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footer24.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27.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1.xml" ContentType="application/vnd.openxmlformats-officedocument.wordprocessingml.header+xml"/>
  <Override PartName="/word/footer44.xml" ContentType="application/vnd.openxmlformats-officedocument.wordprocessingml.footer+xml"/>
  <Override PartName="/word/header42.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header50.xml" ContentType="application/vnd.openxmlformats-officedocument.wordprocessingml.header+xml"/>
  <Override PartName="/word/footer68.xml" ContentType="application/vnd.openxmlformats-officedocument.wordprocessingml.footer+xml"/>
  <Override PartName="/word/header51.xml" ContentType="application/vnd.openxmlformats-officedocument.wordprocessingml.header+xml"/>
  <Override PartName="/word/footer69.xml" ContentType="application/vnd.openxmlformats-officedocument.wordprocessingml.footer+xml"/>
  <Override PartName="/word/header52.xml" ContentType="application/vnd.openxmlformats-officedocument.wordprocessingml.header+xml"/>
  <Override PartName="/word/footer70.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header61.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footer117.xml" ContentType="application/vnd.openxmlformats-officedocument.wordprocessingml.footer+xml"/>
  <Override PartName="/word/header71.xml" ContentType="application/vnd.openxmlformats-officedocument.wordprocessingml.header+xml"/>
  <Override PartName="/word/footer118.xml" ContentType="application/vnd.openxmlformats-officedocument.wordprocessingml.footer+xml"/>
  <Override PartName="/word/header72.xml" ContentType="application/vnd.openxmlformats-officedocument.wordprocessingml.header+xml"/>
  <Override PartName="/word/footer119.xml" ContentType="application/vnd.openxmlformats-officedocument.wordprocessingml.footer+xml"/>
  <Override PartName="/word/header73.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83.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95.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144.xml" ContentType="application/vnd.openxmlformats-officedocument.wordprocessingml.footer+xml"/>
  <Override PartName="/word/footer145.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footer148.xml" ContentType="application/vnd.openxmlformats-officedocument.wordprocessingml.footer+xml"/>
  <Override PartName="/word/header113.xml" ContentType="application/vnd.openxmlformats-officedocument.wordprocessingml.header+xml"/>
  <Override PartName="/word/footer149.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footer150.xml" ContentType="application/vnd.openxmlformats-officedocument.wordprocessingml.footer+xml"/>
  <Override PartName="/word/footer151.xml" ContentType="application/vnd.openxmlformats-officedocument.wordprocessingml.footer+xml"/>
  <Override PartName="/word/header116.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156.xml" ContentType="application/vnd.openxmlformats-officedocument.wordprocessingml.footer+xml"/>
  <Override PartName="/word/footer157.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23.xml" ContentType="application/vnd.openxmlformats-officedocument.wordprocessingml.header+xml"/>
  <Override PartName="/word/footer160.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spacing w:before="9"/>
        <w:rPr>
          <w:sz w:val="22"/>
        </w:rPr>
      </w:pPr>
    </w:p>
    <w:p>
      <w:pPr>
        <w:pStyle w:val="Heading3"/>
        <w:ind w:left="4197"/>
      </w:pPr>
      <w:r>
        <w:rPr>
          <w:color w:val="231F20"/>
        </w:rPr>
        <w:t>Intergovernmental Panel on Climate Change</w:t>
      </w:r>
    </w:p>
    <w:p>
      <w:pPr>
        <w:pStyle w:val="BodyText"/>
        <w:spacing w:before="4"/>
        <w:rPr>
          <w:b/>
          <w:sz w:val="21"/>
        </w:rPr>
      </w:pPr>
    </w:p>
    <w:p>
      <w:pPr>
        <w:spacing w:after="0"/>
        <w:rPr>
          <w:sz w:val="21"/>
        </w:rPr>
        <w:sectPr>
          <w:type w:val="continuous"/>
          <w:pgSz w:w="11900" w:h="16840"/>
          <w:pgMar w:top="1060" w:bottom="280" w:left="1000" w:right="860"/>
        </w:sectPr>
      </w:pPr>
    </w:p>
    <w:p>
      <w:pPr>
        <w:spacing w:before="103"/>
        <w:ind w:left="614" w:right="0" w:firstLine="0"/>
        <w:jc w:val="left"/>
        <w:rPr>
          <w:sz w:val="13"/>
        </w:rPr>
      </w:pPr>
      <w:r>
        <w:rPr>
          <w:color w:val="FFFFFF"/>
          <w:w w:val="110"/>
          <w:sz w:val="13"/>
        </w:rPr>
        <w:t>UNEP</w:t>
      </w:r>
    </w:p>
    <w:p>
      <w:pPr>
        <w:spacing w:before="103"/>
        <w:ind w:left="531" w:right="0" w:firstLine="0"/>
        <w:jc w:val="left"/>
        <w:rPr>
          <w:sz w:val="13"/>
        </w:rPr>
      </w:pPr>
      <w:r>
        <w:rPr/>
        <w:br w:type="column"/>
      </w:r>
      <w:r>
        <w:rPr>
          <w:color w:val="FFFFFF"/>
          <w:w w:val="105"/>
          <w:sz w:val="13"/>
        </w:rPr>
        <w:t>WMO</w:t>
      </w:r>
    </w:p>
    <w:p>
      <w:pPr>
        <w:spacing w:before="513"/>
        <w:ind w:left="2166" w:right="0" w:firstLine="0"/>
        <w:jc w:val="left"/>
        <w:rPr>
          <w:b/>
          <w:sz w:val="52"/>
        </w:rPr>
      </w:pPr>
      <w:r>
        <w:rPr/>
        <w:br w:type="column"/>
      </w:r>
      <w:r>
        <w:rPr>
          <w:b/>
          <w:color w:val="231F20"/>
          <w:sz w:val="52"/>
        </w:rPr>
        <w:t>Good Practice Guidance</w:t>
      </w:r>
    </w:p>
    <w:p>
      <w:pPr>
        <w:spacing w:line="252" w:lineRule="auto" w:before="30"/>
        <w:ind w:left="614" w:right="107" w:firstLine="3948"/>
        <w:jc w:val="left"/>
        <w:rPr>
          <w:b/>
          <w:sz w:val="52"/>
        </w:rPr>
      </w:pPr>
      <w:r>
        <w:rPr>
          <w:b/>
          <w:color w:val="231F20"/>
          <w:spacing w:val="-5"/>
          <w:sz w:val="52"/>
        </w:rPr>
        <w:t>for </w:t>
      </w:r>
      <w:r>
        <w:rPr>
          <w:b/>
          <w:color w:val="231F20"/>
          <w:sz w:val="52"/>
        </w:rPr>
        <w:t>Land </w:t>
      </w:r>
      <w:r>
        <w:rPr>
          <w:b/>
          <w:color w:val="231F20"/>
          <w:spacing w:val="-5"/>
          <w:sz w:val="52"/>
        </w:rPr>
        <w:t>Use, </w:t>
      </w:r>
      <w:r>
        <w:rPr>
          <w:b/>
          <w:color w:val="231F20"/>
          <w:sz w:val="52"/>
        </w:rPr>
        <w:t>Land-Use Change and</w:t>
      </w:r>
      <w:r>
        <w:rPr>
          <w:b/>
          <w:color w:val="231F20"/>
          <w:spacing w:val="8"/>
          <w:sz w:val="52"/>
        </w:rPr>
        <w:t> </w:t>
      </w:r>
      <w:r>
        <w:rPr>
          <w:b/>
          <w:color w:val="231F20"/>
          <w:spacing w:val="-6"/>
          <w:sz w:val="52"/>
        </w:rPr>
        <w:t>Forestry</w:t>
      </w:r>
    </w:p>
    <w:p>
      <w:pPr>
        <w:spacing w:after="0" w:line="252" w:lineRule="auto"/>
        <w:jc w:val="left"/>
        <w:rPr>
          <w:sz w:val="52"/>
        </w:rPr>
        <w:sectPr>
          <w:type w:val="continuous"/>
          <w:pgSz w:w="11900" w:h="16840"/>
          <w:pgMar w:top="1060" w:bottom="280" w:left="1000" w:right="860"/>
          <w:cols w:num="3" w:equalWidth="0">
            <w:col w:w="994" w:space="40"/>
            <w:col w:w="920" w:space="379"/>
            <w:col w:w="7707"/>
          </w:cols>
        </w:sectPr>
      </w:pPr>
    </w:p>
    <w:p>
      <w:pPr>
        <w:pStyle w:val="BodyText"/>
        <w:spacing w:before="9"/>
        <w:rPr>
          <w:b/>
          <w:sz w:val="22"/>
        </w:rPr>
      </w:pPr>
      <w:r>
        <w:rPr/>
        <w:pict>
          <v:group style="position:absolute;margin-left:57.610001pt;margin-top:53.469002pt;width:512.1pt;height:730.95pt;mso-position-horizontal-relative:page;mso-position-vertical-relative:page;z-index:-2455144" coordorigin="1152,1069" coordsize="10242,14619">
            <v:rect style="position:absolute;left:1162;top:1079;width:2212;height:14599" filled="true" fillcolor="#231f20" stroked="false">
              <v:fill type="solid"/>
            </v:rect>
            <v:rect style="position:absolute;left:1162;top:1079;width:10222;height:14599" filled="false" stroked="true" strokeweight="1pt" strokecolor="#231f20">
              <v:stroke dashstyle="solid"/>
            </v:rect>
            <v:shape style="position:absolute;left:7112;top:8963;width:3156;height:3659" type="#_x0000_t75" stroked="false">
              <v:imagedata r:id="rId5" o:title=""/>
            </v:shape>
            <v:shape style="position:absolute;left:2613;top:14022;width:291;height:471" coordorigin="2613,14023" coordsize="291,471" path="m2705,14327l2613,14327,2624,14395,2654,14448,2701,14481,2763,14493,2826,14481,2869,14450,2895,14406,2896,14401,2763,14401,2748,14399,2729,14391,2712,14369,2705,14327xm2760,14023l2724,14026,2695,14036,2673,14048,2657,14062,2637,14093,2626,14122,2623,14144,2623,14160,2624,14163,2635,14199,2658,14238,2697,14273,2751,14294,2781,14304,2800,14320,2809,14338,2811,14356,2806,14382,2792,14395,2777,14400,2763,14401,2896,14401,2903,14356,2896,14310,2873,14265,2831,14227,2768,14204,2745,14194,2729,14179,2720,14162,2715,14150,2716,14144,2717,14133,2725,14125,2731,14118,2743,14115,2895,14115,2895,14112,2870,14069,2826,14036,2760,14023xm2895,14115l2760,14115,2785,14119,2800,14129,2808,14143,2811,14158,2811,14157,2903,14155,2895,14115xe" filled="true" fillcolor="#ffffff" stroked="false">
              <v:path arrowok="t"/>
              <v:fill type="solid"/>
            </v:shape>
            <v:shape style="position:absolute;left:1637;top:13903;width:113;height:113" type="#_x0000_t75" stroked="false">
              <v:imagedata r:id="rId6" o:title=""/>
            </v:shape>
            <v:line style="position:absolute" from="1697,14026" to="1697,14488" stroked="true" strokeweight="5.648pt" strokecolor="#ffffff">
              <v:stroke dashstyle="solid"/>
            </v:line>
            <v:shape style="position:absolute;left:1793;top:14022;width:774;height:474" coordorigin="1794,14022" coordsize="774,474" path="m2264,14261l2263,14251,2263,14246,2006,14246,1931,14325,2144,14325,2123,14352,2096,14374,2065,14389,2030,14394,1978,14383,1935,14355,1906,14312,1896,14260,1906,14208,1935,14166,1978,14137,2030,14126,2060,14130,2088,14140,2112,14155,2133,14175,2247,14175,2219,14126,2213,14115,2162,14068,2100,14037,2029,14026,1954,14038,1890,14072,1839,14122,1806,14187,1794,14261,1806,14335,1839,14400,1890,14451,1954,14484,2029,14496,2103,14484,2167,14451,2218,14400,2221,14394,2252,14335,2264,14261m2567,14022l2309,14022,2309,14023,2306,14023,2306,14482,2309,14482,2309,14482,2567,14482,2567,14381,2407,14381,2407,14309,2453,14309,2552,14208,2407,14208,2407,14123,2567,14123,2567,14022e" filled="true" fillcolor="#ffffff" stroked="false">
              <v:path arrowok="t"/>
              <v:fill type="solid"/>
            </v:shape>
            <v:line style="position:absolute" from="1638,14526" to="2898,14526" stroked="true" strokeweight="1.783pt" strokecolor="#ffffff">
              <v:stroke dashstyle="solid"/>
            </v:line>
            <v:shape style="position:absolute;left:1450;top:1692;width:708;height:611" type="#_x0000_t75" stroked="false">
              <v:imagedata r:id="rId7" o:title=""/>
            </v:shape>
            <v:shape style="position:absolute;left:7044;top:7628;width:3824;height:5062" coordorigin="7044,7628" coordsize="3824,5062" path="m10868,9679l9082,9679,9082,10639,10331,10639,10331,12690,8293,12690,8293,10950,7044,10950,7044,8899,8830,8899,8830,7628,10868,7628,10868,9679xe" filled="false" stroked="true" strokeweight="1pt" strokecolor="#231f20">
              <v:path arrowok="t"/>
              <v:stroke dashstyle="solid"/>
            </v:shape>
            <v:shape style="position:absolute;left:8898;top:7696;width:1902;height:1915" type="#_x0000_t75" stroked="false">
              <v:imagedata r:id="rId8" o:title=""/>
            </v:shape>
            <v:shape style="position:absolute;left:2389;top:1612;width:695;height:706" type="#_x0000_t75" stroked="false">
              <v:imagedata r:id="rId9" o:title=""/>
            </v:shape>
            <w10:wrap type="none"/>
          </v:group>
        </w:pict>
      </w:r>
    </w:p>
    <w:p>
      <w:pPr>
        <w:pStyle w:val="Heading8"/>
        <w:spacing w:before="88"/>
        <w:ind w:left="6182"/>
      </w:pPr>
      <w:r>
        <w:rPr>
          <w:color w:val="231F20"/>
        </w:rPr>
        <w:t>Edited by</w:t>
      </w:r>
    </w:p>
    <w:p>
      <w:pPr>
        <w:spacing w:line="247" w:lineRule="auto" w:before="7"/>
        <w:ind w:left="3382" w:right="260" w:firstLine="0"/>
        <w:jc w:val="center"/>
        <w:rPr>
          <w:sz w:val="22"/>
        </w:rPr>
      </w:pPr>
      <w:r>
        <w:rPr>
          <w:color w:val="231F20"/>
          <w:spacing w:val="-3"/>
          <w:sz w:val="22"/>
        </w:rPr>
        <w:t>Jim </w:t>
      </w:r>
      <w:r>
        <w:rPr>
          <w:color w:val="231F20"/>
          <w:spacing w:val="-4"/>
          <w:sz w:val="22"/>
        </w:rPr>
        <w:t>Penman, Michael </w:t>
      </w:r>
      <w:r>
        <w:rPr>
          <w:color w:val="231F20"/>
          <w:spacing w:val="-6"/>
          <w:sz w:val="22"/>
        </w:rPr>
        <w:t>Gytarsky, </w:t>
      </w:r>
      <w:r>
        <w:rPr>
          <w:color w:val="231F20"/>
          <w:spacing w:val="-8"/>
          <w:sz w:val="22"/>
        </w:rPr>
        <w:t>Taka </w:t>
      </w:r>
      <w:r>
        <w:rPr>
          <w:color w:val="231F20"/>
          <w:spacing w:val="-4"/>
          <w:sz w:val="22"/>
        </w:rPr>
        <w:t>Hiraishi, Thelma Krug, </w:t>
      </w:r>
      <w:r>
        <w:rPr>
          <w:color w:val="231F20"/>
          <w:sz w:val="22"/>
        </w:rPr>
        <w:t>Dina </w:t>
      </w:r>
      <w:r>
        <w:rPr>
          <w:color w:val="231F20"/>
          <w:spacing w:val="-3"/>
          <w:sz w:val="22"/>
        </w:rPr>
        <w:t>Kruger, </w:t>
      </w:r>
      <w:r>
        <w:rPr>
          <w:color w:val="231F20"/>
          <w:sz w:val="22"/>
        </w:rPr>
        <w:t>Riitta Pipatti, Leandro Buendia, </w:t>
      </w:r>
      <w:r>
        <w:rPr>
          <w:color w:val="231F20"/>
          <w:spacing w:val="-3"/>
          <w:sz w:val="22"/>
        </w:rPr>
        <w:t>Kyoko </w:t>
      </w:r>
      <w:r>
        <w:rPr>
          <w:color w:val="231F20"/>
          <w:sz w:val="22"/>
        </w:rPr>
        <w:t>Miwa, </w:t>
      </w:r>
      <w:r>
        <w:rPr>
          <w:color w:val="231F20"/>
          <w:spacing w:val="-5"/>
          <w:sz w:val="22"/>
        </w:rPr>
        <w:t>Todd </w:t>
      </w:r>
      <w:r>
        <w:rPr>
          <w:color w:val="231F20"/>
          <w:sz w:val="22"/>
        </w:rPr>
        <w:t>Ngara,</w:t>
      </w:r>
    </w:p>
    <w:p>
      <w:pPr>
        <w:spacing w:line="252" w:lineRule="exact" w:before="0"/>
        <w:ind w:left="3382" w:right="208" w:firstLine="0"/>
        <w:jc w:val="center"/>
        <w:rPr>
          <w:sz w:val="22"/>
        </w:rPr>
      </w:pPr>
      <w:r>
        <w:rPr>
          <w:color w:val="231F20"/>
          <w:sz w:val="22"/>
        </w:rPr>
        <w:t>Kiyoto Tanabe and Fabian Wagner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225"/>
        <w:ind w:left="3196" w:right="0" w:firstLine="0"/>
        <w:jc w:val="left"/>
        <w:rPr>
          <w:b/>
          <w:sz w:val="28"/>
        </w:rPr>
      </w:pPr>
      <w:r>
        <w:rPr>
          <w:b/>
          <w:color w:val="231F20"/>
          <w:sz w:val="28"/>
        </w:rPr>
        <w:t>IPCC National Greenhouse Gas Inventories Programme</w:t>
      </w:r>
    </w:p>
    <w:p>
      <w:pPr>
        <w:spacing w:after="0"/>
        <w:jc w:val="left"/>
        <w:rPr>
          <w:sz w:val="28"/>
        </w:rPr>
        <w:sectPr>
          <w:type w:val="continuous"/>
          <w:pgSz w:w="11900" w:h="16840"/>
          <w:pgMar w:top="1060" w:bottom="280" w:left="1000" w:right="86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sz w:val="19"/>
        </w:rPr>
      </w:pPr>
    </w:p>
    <w:p>
      <w:pPr>
        <w:pStyle w:val="BodyText"/>
        <w:ind w:left="419"/>
      </w:pPr>
      <w:r>
        <w:rPr/>
        <w:t>Published by the Institute for Global Environmental Strategies (IGES) for the IPCC</w:t>
      </w:r>
    </w:p>
    <w:p>
      <w:pPr>
        <w:pStyle w:val="BodyText"/>
        <w:spacing w:before="1"/>
      </w:pPr>
    </w:p>
    <w:p>
      <w:pPr>
        <w:pStyle w:val="BodyText"/>
        <w:ind w:left="419"/>
      </w:pPr>
      <w:r>
        <w:rPr/>
        <w:t>© The Intergovernmental Panel on Climate Change (IPCC), 2003.</w:t>
      </w:r>
    </w:p>
    <w:p>
      <w:pPr>
        <w:pStyle w:val="BodyText"/>
        <w:spacing w:before="10"/>
        <w:rPr>
          <w:sz w:val="19"/>
        </w:rPr>
      </w:pPr>
    </w:p>
    <w:p>
      <w:pPr>
        <w:pStyle w:val="BodyText"/>
        <w:ind w:left="419" w:right="544"/>
        <w:jc w:val="both"/>
      </w:pPr>
      <w:r>
        <w:rPr/>
        <w:t>All rights reserved. No part of this publication may be reproduced or transmitted for commercial purposes in any form or any means, electronically or mechanically, including photocopying, recording or any  information storage or retrieval system, without prior written permission from the publisher or a licence permitting restricted copying.</w:t>
      </w:r>
    </w:p>
    <w:p>
      <w:pPr>
        <w:pStyle w:val="BodyText"/>
        <w:spacing w:before="11"/>
        <w:rPr>
          <w:sz w:val="19"/>
        </w:rPr>
      </w:pPr>
    </w:p>
    <w:p>
      <w:pPr>
        <w:pStyle w:val="BodyText"/>
        <w:ind w:left="2713" w:right="2844"/>
        <w:jc w:val="center"/>
      </w:pPr>
      <w:r>
        <w:rPr/>
        <w:t>IPCC National Greenhouse Gas Inventories Programme Technical Support Unit</w:t>
      </w:r>
    </w:p>
    <w:p>
      <w:pPr>
        <w:pStyle w:val="BodyText"/>
        <w:spacing w:before="10"/>
        <w:rPr>
          <w:sz w:val="19"/>
        </w:rPr>
      </w:pPr>
    </w:p>
    <w:p>
      <w:pPr>
        <w:pStyle w:val="BodyText"/>
        <w:spacing w:before="1"/>
        <w:ind w:left="2980" w:right="3108"/>
        <w:jc w:val="center"/>
      </w:pPr>
      <w:r>
        <w:rPr/>
        <w:t>C/o Institute for Global Environmental Strategies 2108 -11, Kamiyamaguchi</w:t>
      </w:r>
    </w:p>
    <w:p>
      <w:pPr>
        <w:pStyle w:val="BodyText"/>
        <w:ind w:left="4130" w:right="4258"/>
        <w:jc w:val="center"/>
      </w:pPr>
      <w:r>
        <w:rPr/>
        <w:t>Hayama, Kanagawa Japan, 240-0115</w:t>
      </w:r>
    </w:p>
    <w:p>
      <w:pPr>
        <w:pStyle w:val="BodyText"/>
        <w:spacing w:line="228" w:lineRule="exact"/>
        <w:ind w:left="131" w:right="260"/>
        <w:jc w:val="center"/>
      </w:pPr>
      <w:r>
        <w:rPr/>
        <w:t>Fax: (81 46) 855 3808</w:t>
      </w:r>
    </w:p>
    <w:p>
      <w:pPr>
        <w:pStyle w:val="BodyText"/>
        <w:spacing w:before="1"/>
        <w:ind w:left="129" w:right="260"/>
        <w:jc w:val="center"/>
      </w:pPr>
      <w:hyperlink r:id="rId10">
        <w:r>
          <w:rPr/>
          <w:t>http://www.ipcc-nggip.iges.or.jp</w:t>
        </w:r>
      </w:hyperlink>
    </w:p>
    <w:p>
      <w:pPr>
        <w:pStyle w:val="BodyText"/>
      </w:pPr>
    </w:p>
    <w:p>
      <w:pPr>
        <w:pStyle w:val="BodyText"/>
        <w:spacing w:before="1"/>
        <w:ind w:left="419" w:right="545"/>
        <w:jc w:val="both"/>
      </w:pPr>
      <w:r>
        <w:rPr/>
        <w:t>Whilst advice and information in this IPCC Report is believed to be true and accurate at the date of going to press, neither the authors nor publisher can accept any legal responsibility or liability for any errors or omissions that may be made.</w:t>
      </w:r>
    </w:p>
    <w:p>
      <w:pPr>
        <w:pStyle w:val="BodyText"/>
        <w:spacing w:before="4"/>
        <w:rPr>
          <w:sz w:val="30"/>
        </w:rPr>
      </w:pPr>
    </w:p>
    <w:p>
      <w:pPr>
        <w:pStyle w:val="BodyText"/>
        <w:spacing w:line="362" w:lineRule="auto"/>
        <w:ind w:left="419" w:right="7895"/>
      </w:pPr>
      <w:r>
        <w:rPr/>
        <w:t>Printed in Japan ISBN 4-88788-003-0</w:t>
      </w:r>
    </w:p>
    <w:p>
      <w:pPr>
        <w:spacing w:after="0" w:line="362" w:lineRule="auto"/>
        <w:sectPr>
          <w:pgSz w:w="11900" w:h="16840"/>
          <w:pgMar w:top="1600" w:bottom="280" w:left="1000" w:right="86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p>
    <w:p>
      <w:pPr>
        <w:tabs>
          <w:tab w:pos="9519" w:val="left" w:leader="none"/>
        </w:tabs>
        <w:spacing w:before="80"/>
        <w:ind w:left="419" w:right="0" w:firstLine="0"/>
        <w:jc w:val="left"/>
        <w:rPr>
          <w:b/>
          <w:sz w:val="48"/>
        </w:rPr>
      </w:pPr>
      <w:r>
        <w:rPr>
          <w:b/>
          <w:spacing w:val="39"/>
          <w:sz w:val="48"/>
          <w:u w:val="thick"/>
        </w:rPr>
        <w:t>CONTEN</w:t>
      </w:r>
      <w:r>
        <w:rPr>
          <w:b/>
          <w:spacing w:val="-56"/>
          <w:sz w:val="48"/>
          <w:u w:val="thick"/>
        </w:rPr>
        <w:t> </w:t>
      </w:r>
      <w:r>
        <w:rPr>
          <w:b/>
          <w:spacing w:val="29"/>
          <w:sz w:val="48"/>
          <w:u w:val="thick"/>
        </w:rPr>
        <w:t>TS</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tabs>
          <w:tab w:pos="9492" w:val="right" w:leader="dot"/>
        </w:tabs>
        <w:spacing w:before="223"/>
        <w:ind w:left="419"/>
      </w:pPr>
      <w:r>
        <w:rPr/>
        <w:t>Acknowledgement</w:t>
        <w:tab/>
        <w:t>iv</w:t>
      </w:r>
    </w:p>
    <w:p>
      <w:pPr>
        <w:pStyle w:val="BodyText"/>
        <w:tabs>
          <w:tab w:pos="9492" w:val="right" w:leader="dot"/>
        </w:tabs>
        <w:spacing w:before="120"/>
        <w:ind w:left="419"/>
      </w:pPr>
      <w:r>
        <w:rPr/>
        <w:t>Preface</w:t>
        <w:tab/>
        <w:t>v</w:t>
      </w:r>
    </w:p>
    <w:p>
      <w:pPr>
        <w:pStyle w:val="BodyText"/>
        <w:spacing w:before="121"/>
        <w:ind w:left="419"/>
      </w:pPr>
      <w:r>
        <w:rPr/>
        <w:t>Chapters</w:t>
      </w:r>
    </w:p>
    <w:p>
      <w:pPr>
        <w:pStyle w:val="ListParagraph"/>
        <w:numPr>
          <w:ilvl w:val="0"/>
          <w:numId w:val="1"/>
        </w:numPr>
        <w:tabs>
          <w:tab w:pos="872" w:val="left" w:leader="none"/>
          <w:tab w:pos="873" w:val="left" w:leader="none"/>
          <w:tab w:pos="9491" w:val="right" w:leader="dot"/>
        </w:tabs>
        <w:spacing w:line="240" w:lineRule="auto" w:before="118" w:after="0"/>
        <w:ind w:left="872" w:right="0" w:hanging="453"/>
        <w:jc w:val="left"/>
        <w:rPr>
          <w:sz w:val="20"/>
        </w:rPr>
      </w:pPr>
      <w:r>
        <w:rPr>
          <w:sz w:val="20"/>
        </w:rPr>
        <w:t>Overview</w:t>
        <w:tab/>
        <w:t>1.1</w:t>
      </w:r>
    </w:p>
    <w:p>
      <w:pPr>
        <w:pStyle w:val="ListParagraph"/>
        <w:numPr>
          <w:ilvl w:val="0"/>
          <w:numId w:val="1"/>
        </w:numPr>
        <w:tabs>
          <w:tab w:pos="872" w:val="left" w:leader="none"/>
          <w:tab w:pos="873" w:val="left" w:leader="none"/>
          <w:tab w:pos="9491" w:val="right" w:leader="dot"/>
        </w:tabs>
        <w:spacing w:line="240" w:lineRule="auto" w:before="120" w:after="0"/>
        <w:ind w:left="872" w:right="0" w:hanging="453"/>
        <w:jc w:val="left"/>
        <w:rPr>
          <w:sz w:val="20"/>
        </w:rPr>
      </w:pPr>
      <w:r>
        <w:rPr>
          <w:sz w:val="20"/>
        </w:rPr>
        <w:t>Basis for Consistent Representation of Land</w:t>
      </w:r>
      <w:r>
        <w:rPr>
          <w:spacing w:val="1"/>
          <w:sz w:val="20"/>
        </w:rPr>
        <w:t> </w:t>
      </w:r>
      <w:r>
        <w:rPr>
          <w:sz w:val="20"/>
        </w:rPr>
        <w:t>Areas</w:t>
        <w:tab/>
        <w:t>2.1</w:t>
      </w:r>
    </w:p>
    <w:p>
      <w:pPr>
        <w:pStyle w:val="ListParagraph"/>
        <w:numPr>
          <w:ilvl w:val="0"/>
          <w:numId w:val="1"/>
        </w:numPr>
        <w:tabs>
          <w:tab w:pos="872" w:val="left" w:leader="none"/>
          <w:tab w:pos="873" w:val="left" w:leader="none"/>
          <w:tab w:pos="9491" w:val="right" w:leader="dot"/>
        </w:tabs>
        <w:spacing w:line="240" w:lineRule="auto" w:before="120" w:after="0"/>
        <w:ind w:left="872" w:right="0" w:hanging="453"/>
        <w:jc w:val="left"/>
        <w:rPr>
          <w:sz w:val="20"/>
        </w:rPr>
      </w:pPr>
      <w:r>
        <w:rPr>
          <w:sz w:val="20"/>
        </w:rPr>
        <w:t>LUCF Sector Good</w:t>
      </w:r>
      <w:r>
        <w:rPr>
          <w:spacing w:val="-1"/>
          <w:sz w:val="20"/>
        </w:rPr>
        <w:t> </w:t>
      </w:r>
      <w:r>
        <w:rPr>
          <w:sz w:val="20"/>
        </w:rPr>
        <w:t>Practice</w:t>
      </w:r>
      <w:r>
        <w:rPr>
          <w:spacing w:val="1"/>
          <w:sz w:val="20"/>
        </w:rPr>
        <w:t> </w:t>
      </w:r>
      <w:r>
        <w:rPr>
          <w:sz w:val="20"/>
        </w:rPr>
        <w:t>Guidance</w:t>
        <w:tab/>
        <w:t>3.1</w:t>
      </w:r>
    </w:p>
    <w:p>
      <w:pPr>
        <w:pStyle w:val="ListParagraph"/>
        <w:numPr>
          <w:ilvl w:val="0"/>
          <w:numId w:val="1"/>
        </w:numPr>
        <w:tabs>
          <w:tab w:pos="872" w:val="left" w:leader="none"/>
          <w:tab w:pos="873" w:val="left" w:leader="none"/>
          <w:tab w:pos="9492" w:val="right" w:leader="dot"/>
        </w:tabs>
        <w:spacing w:line="240" w:lineRule="auto" w:before="121" w:after="0"/>
        <w:ind w:left="872" w:right="0" w:hanging="453"/>
        <w:jc w:val="left"/>
        <w:rPr>
          <w:sz w:val="20"/>
        </w:rPr>
      </w:pPr>
      <w:r>
        <w:rPr>
          <w:sz w:val="20"/>
        </w:rPr>
        <w:t>Supplementary Methods and Good Practice Guidance Arising from the</w:t>
      </w:r>
      <w:r>
        <w:rPr>
          <w:spacing w:val="-12"/>
          <w:sz w:val="20"/>
        </w:rPr>
        <w:t> </w:t>
      </w:r>
      <w:r>
        <w:rPr>
          <w:sz w:val="20"/>
        </w:rPr>
        <w:t>Kyoto Protocol</w:t>
        <w:tab/>
        <w:t>4.1</w:t>
      </w:r>
    </w:p>
    <w:p>
      <w:pPr>
        <w:pStyle w:val="ListParagraph"/>
        <w:numPr>
          <w:ilvl w:val="0"/>
          <w:numId w:val="1"/>
        </w:numPr>
        <w:tabs>
          <w:tab w:pos="872" w:val="left" w:leader="none"/>
          <w:tab w:pos="873" w:val="left" w:leader="none"/>
          <w:tab w:pos="9491" w:val="right" w:leader="dot"/>
        </w:tabs>
        <w:spacing w:line="240" w:lineRule="auto" w:before="118" w:after="0"/>
        <w:ind w:left="872" w:right="0" w:hanging="453"/>
        <w:jc w:val="left"/>
        <w:rPr>
          <w:sz w:val="20"/>
        </w:rPr>
      </w:pPr>
      <w:r>
        <w:rPr>
          <w:sz w:val="20"/>
        </w:rPr>
        <w:t>Cross-Cutting</w:t>
      </w:r>
      <w:r>
        <w:rPr>
          <w:spacing w:val="-2"/>
          <w:sz w:val="20"/>
        </w:rPr>
        <w:t> </w:t>
      </w:r>
      <w:r>
        <w:rPr>
          <w:sz w:val="20"/>
        </w:rPr>
        <w:t>Issues</w:t>
        <w:tab/>
        <w:t>5.1</w:t>
      </w:r>
    </w:p>
    <w:p>
      <w:pPr>
        <w:pStyle w:val="BodyText"/>
        <w:rPr>
          <w:sz w:val="22"/>
        </w:rPr>
      </w:pPr>
    </w:p>
    <w:p>
      <w:pPr>
        <w:pStyle w:val="BodyText"/>
        <w:spacing w:before="11"/>
        <w:rPr>
          <w:sz w:val="18"/>
        </w:rPr>
      </w:pPr>
    </w:p>
    <w:p>
      <w:pPr>
        <w:pStyle w:val="BodyText"/>
        <w:ind w:left="419"/>
      </w:pPr>
      <w:r>
        <w:rPr/>
        <w:t>Annexes</w:t>
      </w:r>
    </w:p>
    <w:p>
      <w:pPr>
        <w:pStyle w:val="BodyText"/>
        <w:tabs>
          <w:tab w:pos="1552" w:val="left" w:leader="none"/>
        </w:tabs>
        <w:spacing w:before="120"/>
        <w:ind w:left="419"/>
      </w:pPr>
      <w:r>
        <w:rPr/>
        <w:t>Annex</w:t>
      </w:r>
      <w:r>
        <w:rPr>
          <w:spacing w:val="-1"/>
        </w:rPr>
        <w:t> </w:t>
      </w:r>
      <w:r>
        <w:rPr/>
        <w:t>A</w:t>
        <w:tab/>
        <w:t>Glossary  ...................................................................................................................................... G.1</w:t>
      </w:r>
    </w:p>
    <w:p>
      <w:pPr>
        <w:pStyle w:val="BodyText"/>
        <w:tabs>
          <w:tab w:pos="1551" w:val="left" w:leader="none"/>
        </w:tabs>
        <w:spacing w:before="118"/>
        <w:ind w:left="419"/>
      </w:pPr>
      <w:r>
        <w:rPr/>
        <w:t>Annex</w:t>
      </w:r>
      <w:r>
        <w:rPr>
          <w:spacing w:val="-3"/>
        </w:rPr>
        <w:t> </w:t>
      </w:r>
      <w:r>
        <w:rPr/>
        <w:t>B</w:t>
        <w:tab/>
        <w:t>Basic Information .........................................................................................................................</w:t>
      </w:r>
      <w:r>
        <w:rPr>
          <w:spacing w:val="-28"/>
        </w:rPr>
        <w:t> </w:t>
      </w:r>
      <w:r>
        <w:rPr/>
        <w:t>B.1</w:t>
      </w:r>
    </w:p>
    <w:p>
      <w:pPr>
        <w:pStyle w:val="BodyText"/>
        <w:tabs>
          <w:tab w:pos="1550" w:val="left" w:leader="none"/>
        </w:tabs>
        <w:spacing w:before="121"/>
        <w:ind w:left="419"/>
      </w:pPr>
      <w:r>
        <w:rPr/>
        <w:t>Annex</w:t>
      </w:r>
      <w:r>
        <w:rPr>
          <w:spacing w:val="-1"/>
        </w:rPr>
        <w:t> </w:t>
      </w:r>
      <w:r>
        <w:rPr/>
        <w:t>C</w:t>
        <w:tab/>
        <w:t>Abbreviations and</w:t>
      </w:r>
      <w:r>
        <w:rPr>
          <w:spacing w:val="-38"/>
        </w:rPr>
        <w:t> </w:t>
      </w:r>
      <w:r>
        <w:rPr/>
        <w:t>Acronyms .................................................................................................... AA.1</w:t>
      </w:r>
    </w:p>
    <w:p>
      <w:pPr>
        <w:pStyle w:val="BodyText"/>
        <w:tabs>
          <w:tab w:pos="1551" w:val="left" w:leader="none"/>
        </w:tabs>
        <w:spacing w:before="120"/>
        <w:ind w:left="419"/>
      </w:pPr>
      <w:r>
        <w:rPr/>
        <w:t>Annex</w:t>
      </w:r>
      <w:r>
        <w:rPr>
          <w:spacing w:val="-3"/>
        </w:rPr>
        <w:t> </w:t>
      </w:r>
      <w:r>
        <w:rPr/>
        <w:t>D</w:t>
        <w:tab/>
        <w:t>List of Reviewers  ......................................................................................................................</w:t>
      </w:r>
      <w:r>
        <w:rPr>
          <w:spacing w:val="-18"/>
        </w:rPr>
        <w:t> </w:t>
      </w:r>
      <w:r>
        <w:rPr/>
        <w:t>LR.1</w:t>
      </w:r>
    </w:p>
    <w:p>
      <w:pPr>
        <w:spacing w:after="0"/>
        <w:sectPr>
          <w:headerReference w:type="default" r:id="rId11"/>
          <w:footerReference w:type="default" r:id="rId12"/>
          <w:footerReference w:type="even" r:id="rId13"/>
          <w:pgSz w:w="11900" w:h="16840"/>
          <w:pgMar w:header="230" w:footer="408" w:top="560" w:bottom="600" w:left="1000" w:right="860"/>
          <w:pgNumType w:start="3"/>
        </w:sectPr>
      </w:pPr>
    </w:p>
    <w:p>
      <w:pPr>
        <w:pStyle w:val="BodyText"/>
        <w:spacing w:before="61"/>
        <w:ind w:left="419"/>
      </w:pPr>
      <w:r>
        <w:rPr/>
        <w:pict>
          <v:line style="position:absolute;mso-position-horizontal-relative:page;mso-position-vertical-relative:paragraph;z-index:-1000;mso-wrap-distance-left:0;mso-wrap-distance-right:0" from="70.960999pt,20.306219pt" to="524.440999pt,20.306219pt" stroked="true" strokeweight=".75pt" strokecolor="#010101">
            <v:stroke dashstyle="solid"/>
            <w10:wrap type="topAndBottom"/>
          </v:line>
        </w:pict>
      </w:r>
      <w:r>
        <w:rPr/>
        <w:t>Acknowledgement</w:t>
      </w:r>
    </w:p>
    <w:p>
      <w:pPr>
        <w:pStyle w:val="BodyText"/>
      </w:pPr>
    </w:p>
    <w:p>
      <w:pPr>
        <w:pStyle w:val="BodyText"/>
        <w:spacing w:before="2"/>
        <w:rPr>
          <w:sz w:val="29"/>
        </w:rPr>
      </w:pPr>
    </w:p>
    <w:p>
      <w:pPr>
        <w:pStyle w:val="Heading4"/>
        <w:spacing w:before="89"/>
        <w:ind w:left="3234"/>
        <w:rPr>
          <w:rFonts w:ascii="Times New Roman"/>
        </w:rPr>
      </w:pPr>
      <w:r>
        <w:rPr>
          <w:rFonts w:ascii="Times New Roman"/>
        </w:rPr>
        <w:t>ACKNOWLEDGEMENT</w:t>
      </w:r>
    </w:p>
    <w:p>
      <w:pPr>
        <w:pStyle w:val="BodyText"/>
        <w:spacing w:before="10"/>
        <w:rPr>
          <w:b/>
          <w:sz w:val="30"/>
        </w:rPr>
      </w:pPr>
    </w:p>
    <w:p>
      <w:pPr>
        <w:pStyle w:val="BodyText"/>
        <w:ind w:left="419" w:right="545"/>
        <w:jc w:val="both"/>
      </w:pPr>
      <w:r>
        <w:rPr/>
        <w:t>The preparation of the </w:t>
      </w:r>
      <w:r>
        <w:rPr>
          <w:i/>
        </w:rPr>
        <w:t>Good Practice Guidance for Land Use, Land-Use Change and Forestry </w:t>
      </w:r>
      <w:r>
        <w:rPr/>
        <w:t>(</w:t>
      </w:r>
      <w:r>
        <w:rPr>
          <w:i/>
        </w:rPr>
        <w:t>GPG-LULUCF</w:t>
      </w:r>
      <w:r>
        <w:rPr/>
        <w:t>) has been a major undertaking by the IPCC National Greenhouse Gas Inventories Programme (NGGIP). The success in producing this report has depended foremost on the knowledge, enthusiasm and co-operation of the Coordinating Lead Authors, Lead Authors and Contributing Authors – some 150 worldwide. We wish to thank the authors for the time and effort devoted to the task, as well as the commitment to the IPCC process.</w:t>
      </w:r>
    </w:p>
    <w:p>
      <w:pPr>
        <w:pStyle w:val="BodyText"/>
        <w:spacing w:before="100"/>
        <w:ind w:left="419" w:right="544"/>
        <w:jc w:val="both"/>
      </w:pPr>
      <w:r>
        <w:rPr/>
        <w:t>Review editors have ensured that the process for consideration of the comments has been appropriate. We would like to thank them for this important task.</w:t>
      </w:r>
    </w:p>
    <w:p>
      <w:pPr>
        <w:pStyle w:val="BodyText"/>
        <w:spacing w:before="102"/>
        <w:ind w:left="419" w:right="544"/>
        <w:jc w:val="both"/>
      </w:pPr>
      <w:r>
        <w:rPr/>
        <w:t>UNFCCC Secretariat staff, Roberto Acosta, Claudio Forner and Heikki Granholm participated in the preparation of the report giving background and guidance on issues related to the Convention, the Kyoto Protocol and the Marrakesh Accords. We wish to thank them for their valuable input.</w:t>
      </w:r>
    </w:p>
    <w:p>
      <w:pPr>
        <w:pStyle w:val="BodyText"/>
        <w:spacing w:before="100"/>
        <w:ind w:left="419" w:right="548"/>
        <w:jc w:val="both"/>
      </w:pPr>
      <w:r>
        <w:rPr/>
        <w:t>The Steering Group, consisting of the IPCC TFI Co-chairs Taka Hiraishi and Thelma Krug, and Michael Gytarsky (Russian Federation), Dina Kruger (USA) and Jim Penman (UK), has guided the work and ensured internal consistency within the report as well as consistency with the Revised 1996 IPCC Guidelines for National Greenhouse Gas Inventories. We would like to express our gratitude for their skilful leadership and guidance throughout the preparation of the report.</w:t>
      </w:r>
    </w:p>
    <w:p>
      <w:pPr>
        <w:pStyle w:val="BodyText"/>
        <w:spacing w:before="100"/>
        <w:ind w:left="419" w:right="548"/>
        <w:jc w:val="both"/>
      </w:pPr>
      <w:r>
        <w:rPr/>
        <w:t>Five authors/experts meetings were held in Eisenach, Germany; Tampere, Finland; Rio de Janeiro, Brazil; Kuala Lumpur, Malaysia; and Sydney, Australia during the course of preparation of the report. We wish to thank the host countries and hosting organisations for co-organising these meetings.</w:t>
      </w:r>
    </w:p>
    <w:p>
      <w:pPr>
        <w:pStyle w:val="BodyText"/>
        <w:spacing w:before="119"/>
        <w:ind w:left="419" w:right="543"/>
        <w:jc w:val="both"/>
      </w:pPr>
      <w:r>
        <w:rPr/>
        <w:t>Two combined government/expert reviews were organised during the preparation of the report; the first during the period 2 December 2002 to 27 January 2003, and the second during 2 May 2003 to 27 June 2003. The first review resulted in almost 6,000 comments, the second in some 4,000 comments. The comments have provided additional expertise to the work in a constructive way, and consideration of the comments improved the drafts considerably. We wish to thank all reviewers for their comments.</w:t>
      </w:r>
    </w:p>
    <w:p>
      <w:pPr>
        <w:pStyle w:val="BodyText"/>
        <w:spacing w:before="120"/>
        <w:ind w:left="419" w:right="541"/>
        <w:jc w:val="both"/>
      </w:pPr>
      <w:r>
        <w:rPr/>
        <w:t>The NGGIP Technical Support Unit (TSU Head Riitta Pipatti, Programme Officers Leandro Buendia, Kyoko Miwa, Todd Ngara, Kiyoto Tanabe and Fabian Wagner, Administrative Assistant Ayako Hongo, Project Secretary Akiko Kawase, and IT Officer John Lane) provided guidance as well as technical and organisational support for the project. They worked tirelessly with the authors as they managed the final editing of the report. We wish to thank them for their hard and competent work.</w:t>
      </w:r>
    </w:p>
    <w:p>
      <w:pPr>
        <w:pStyle w:val="BodyText"/>
        <w:spacing w:before="98"/>
        <w:ind w:left="419" w:right="547"/>
        <w:jc w:val="both"/>
      </w:pPr>
      <w:r>
        <w:rPr/>
        <w:t>IPCC Secretariat (Rudie Bourgeois, Annie Courtin and Chantal Ettori) provided assistance for organising the meetings and for the reviews. We wish to thank them for their effort and flexibility in responding to the needs to the authors and the TSU during the tight schedule.</w:t>
      </w:r>
    </w:p>
    <w:p>
      <w:pPr>
        <w:pStyle w:val="BodyText"/>
        <w:spacing w:before="99"/>
        <w:ind w:left="419" w:right="546"/>
        <w:jc w:val="both"/>
      </w:pPr>
      <w:r>
        <w:rPr/>
        <w:t>Last but not least, we wish to thank the IPCC Chair Rajendra Pachauri, IPCC Secretary Geoff Love (until  August 2003), Acting Secretary Renate Christ and the Task Force Bureau on Inventories (Co-chairs, and Ian Carruthers, Soobaraj N. Sok Appadu, Kirit Parikh, Dhari Al-Ajimi, Jamidu Katima, Javier Hanna Figueroa (until June 2003), Sergio Gonzalez-Martineaux, Art Jaques, Dina Kruger, Helen Plume, Audun Rosland and Saad Khorfan) for their support, advice and</w:t>
      </w:r>
      <w:r>
        <w:rPr>
          <w:spacing w:val="3"/>
        </w:rPr>
        <w:t> </w:t>
      </w:r>
      <w:r>
        <w:rPr/>
        <w:t>encouragement.</w:t>
      </w:r>
    </w:p>
    <w:p>
      <w:pPr>
        <w:pStyle w:val="BodyText"/>
      </w:pPr>
    </w:p>
    <w:p>
      <w:pPr>
        <w:pStyle w:val="BodyText"/>
      </w:pPr>
    </w:p>
    <w:p>
      <w:pPr>
        <w:pStyle w:val="BodyText"/>
      </w:pPr>
    </w:p>
    <w:p>
      <w:pPr>
        <w:pStyle w:val="BodyText"/>
      </w:pPr>
    </w:p>
    <w:p>
      <w:pPr>
        <w:pStyle w:val="BodyText"/>
        <w:spacing w:before="7"/>
        <w:rPr>
          <w:sz w:val="14"/>
        </w:rPr>
      </w:pPr>
      <w:r>
        <w:rPr/>
        <w:drawing>
          <wp:anchor distT="0" distB="0" distL="0" distR="0" allowOverlap="1" layoutInCell="1" locked="0" behindDoc="0" simplePos="0" relativeHeight="2">
            <wp:simplePos x="0" y="0"/>
            <wp:positionH relativeFrom="page">
              <wp:posOffset>946896</wp:posOffset>
            </wp:positionH>
            <wp:positionV relativeFrom="paragraph">
              <wp:posOffset>131883</wp:posOffset>
            </wp:positionV>
            <wp:extent cx="1953618" cy="320039"/>
            <wp:effectExtent l="0" t="0" r="0" b="0"/>
            <wp:wrapTopAndBottom/>
            <wp:docPr id="1" name="image6.png" descr=""/>
            <wp:cNvGraphicFramePr>
              <a:graphicFrameLocks noChangeAspect="1"/>
            </wp:cNvGraphicFramePr>
            <a:graphic>
              <a:graphicData uri="http://schemas.openxmlformats.org/drawingml/2006/picture">
                <pic:pic>
                  <pic:nvPicPr>
                    <pic:cNvPr id="2" name="image6.png"/>
                    <pic:cNvPicPr/>
                  </pic:nvPicPr>
                  <pic:blipFill>
                    <a:blip r:embed="rId15" cstate="print"/>
                    <a:stretch>
                      <a:fillRect/>
                    </a:stretch>
                  </pic:blipFill>
                  <pic:spPr>
                    <a:xfrm>
                      <a:off x="0" y="0"/>
                      <a:ext cx="1953618" cy="320039"/>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4157979</wp:posOffset>
            </wp:positionH>
            <wp:positionV relativeFrom="paragraph">
              <wp:posOffset>137986</wp:posOffset>
            </wp:positionV>
            <wp:extent cx="1290676" cy="371856"/>
            <wp:effectExtent l="0" t="0" r="0" b="0"/>
            <wp:wrapTopAndBottom/>
            <wp:docPr id="3" name="image7.png" descr=""/>
            <wp:cNvGraphicFramePr>
              <a:graphicFrameLocks noChangeAspect="1"/>
            </wp:cNvGraphicFramePr>
            <a:graphic>
              <a:graphicData uri="http://schemas.openxmlformats.org/drawingml/2006/picture">
                <pic:pic>
                  <pic:nvPicPr>
                    <pic:cNvPr id="4" name="image7.png"/>
                    <pic:cNvPicPr/>
                  </pic:nvPicPr>
                  <pic:blipFill>
                    <a:blip r:embed="rId16" cstate="print"/>
                    <a:stretch>
                      <a:fillRect/>
                    </a:stretch>
                  </pic:blipFill>
                  <pic:spPr>
                    <a:xfrm>
                      <a:off x="0" y="0"/>
                      <a:ext cx="1290676" cy="371856"/>
                    </a:xfrm>
                    <a:prstGeom prst="rect">
                      <a:avLst/>
                    </a:prstGeom>
                  </pic:spPr>
                </pic:pic>
              </a:graphicData>
            </a:graphic>
          </wp:anchor>
        </w:drawing>
      </w:r>
    </w:p>
    <w:p>
      <w:pPr>
        <w:pStyle w:val="BodyText"/>
        <w:tabs>
          <w:tab w:pos="5460" w:val="left" w:leader="none"/>
        </w:tabs>
        <w:spacing w:before="118"/>
        <w:ind w:left="419"/>
        <w:jc w:val="both"/>
      </w:pPr>
      <w:r>
        <w:rPr/>
        <w:t>G.O.P. Obasi</w:t>
        <w:tab/>
        <w:t>K. Töpfer</w:t>
      </w:r>
    </w:p>
    <w:p>
      <w:pPr>
        <w:pStyle w:val="BodyText"/>
        <w:tabs>
          <w:tab w:pos="5459" w:val="left" w:leader="none"/>
        </w:tabs>
        <w:spacing w:line="229" w:lineRule="exact" w:before="120"/>
        <w:ind w:left="419"/>
        <w:jc w:val="both"/>
      </w:pPr>
      <w:r>
        <w:rPr/>
        <w:t>Secretary-General</w:t>
        <w:tab/>
        <w:t>Executive</w:t>
      </w:r>
      <w:r>
        <w:rPr>
          <w:spacing w:val="-1"/>
        </w:rPr>
        <w:t> </w:t>
      </w:r>
      <w:r>
        <w:rPr/>
        <w:t>Director</w:t>
      </w:r>
    </w:p>
    <w:p>
      <w:pPr>
        <w:pStyle w:val="BodyText"/>
        <w:tabs>
          <w:tab w:pos="5460" w:val="left" w:leader="none"/>
        </w:tabs>
        <w:spacing w:line="229" w:lineRule="exact"/>
        <w:ind w:left="419"/>
        <w:jc w:val="both"/>
      </w:pPr>
      <w:r>
        <w:rPr/>
        <w:t>World</w:t>
      </w:r>
      <w:r>
        <w:rPr>
          <w:spacing w:val="-3"/>
        </w:rPr>
        <w:t> </w:t>
      </w:r>
      <w:r>
        <w:rPr/>
        <w:t>Meteorological</w:t>
      </w:r>
      <w:r>
        <w:rPr>
          <w:spacing w:val="-4"/>
        </w:rPr>
        <w:t> </w:t>
      </w:r>
      <w:r>
        <w:rPr/>
        <w:t>Organisation</w:t>
        <w:tab/>
        <w:t>United Nations Environmental</w:t>
      </w:r>
      <w:r>
        <w:rPr>
          <w:spacing w:val="-1"/>
        </w:rPr>
        <w:t> </w:t>
      </w:r>
      <w:r>
        <w:rPr/>
        <w:t>Programme</w:t>
      </w:r>
    </w:p>
    <w:p>
      <w:pPr>
        <w:spacing w:after="0" w:line="229" w:lineRule="exact"/>
        <w:jc w:val="both"/>
        <w:sectPr>
          <w:headerReference w:type="even" r:id="rId14"/>
          <w:pgSz w:w="11900" w:h="16840"/>
          <w:pgMar w:header="0" w:footer="408" w:top="160" w:bottom="600" w:left="1000" w:right="860"/>
        </w:sectPr>
      </w:pPr>
    </w:p>
    <w:p>
      <w:pPr>
        <w:pStyle w:val="BodyText"/>
      </w:pPr>
    </w:p>
    <w:p>
      <w:pPr>
        <w:pStyle w:val="BodyText"/>
      </w:pPr>
    </w:p>
    <w:p>
      <w:pPr>
        <w:pStyle w:val="Heading4"/>
        <w:spacing w:before="224"/>
        <w:ind w:left="4225"/>
        <w:rPr>
          <w:rFonts w:ascii="Times New Roman"/>
        </w:rPr>
      </w:pPr>
      <w:r>
        <w:rPr>
          <w:rFonts w:ascii="Times New Roman"/>
        </w:rPr>
        <w:t>PREFACE</w:t>
      </w:r>
    </w:p>
    <w:p>
      <w:pPr>
        <w:pStyle w:val="BodyText"/>
        <w:spacing w:before="10"/>
        <w:rPr>
          <w:b/>
          <w:sz w:val="30"/>
        </w:rPr>
      </w:pPr>
    </w:p>
    <w:p>
      <w:pPr>
        <w:pStyle w:val="BodyText"/>
        <w:ind w:left="419" w:right="542"/>
        <w:jc w:val="both"/>
      </w:pPr>
      <w:r>
        <w:rPr/>
        <w:t>This report on </w:t>
      </w:r>
      <w:r>
        <w:rPr>
          <w:i/>
        </w:rPr>
        <w:t>Good Practice Guidance for Land Use, Land-Use Change and Forestry </w:t>
      </w:r>
      <w:r>
        <w:rPr/>
        <w:t>(</w:t>
      </w:r>
      <w:r>
        <w:rPr>
          <w:i/>
        </w:rPr>
        <w:t>GPG-LULUCF</w:t>
      </w:r>
      <w:r>
        <w:rPr/>
        <w:t>) is the response to the invitation by the United Nations Framework Convention on Climate Change (UNFCCC)</w:t>
      </w:r>
      <w:r>
        <w:rPr>
          <w:position w:val="6"/>
          <w:sz w:val="16"/>
        </w:rPr>
        <w:t>1 </w:t>
      </w:r>
      <w:r>
        <w:rPr/>
        <w:t>to the Intergovernmental Panel on Climate Change (IPCC)</w:t>
      </w:r>
      <w:r>
        <w:rPr>
          <w:position w:val="6"/>
          <w:sz w:val="16"/>
        </w:rPr>
        <w:t>2 </w:t>
      </w:r>
      <w:r>
        <w:rPr/>
        <w:t>to develop good practice guidance for land use, land-use change and forestry (LULUCF). </w:t>
      </w:r>
      <w:r>
        <w:rPr>
          <w:i/>
        </w:rPr>
        <w:t>GPG-LULUCF </w:t>
      </w:r>
      <w:r>
        <w:rPr/>
        <w:t>provides supplementary methods and </w:t>
      </w:r>
      <w:r>
        <w:rPr>
          <w:i/>
        </w:rPr>
        <w:t>good practice guidance </w:t>
      </w:r>
      <w:r>
        <w:rPr/>
        <w:t>for estimating, measuring, monitoring and reporting on carbon stock changes and greenhouse gas emissions from LULUCF activities under Article 3, paragraphs 3 and 4, and Articles 6 and 12 of the Kyoto Protocol.</w:t>
      </w:r>
    </w:p>
    <w:p>
      <w:pPr>
        <w:pStyle w:val="BodyText"/>
        <w:spacing w:before="101"/>
        <w:ind w:left="419" w:right="543"/>
        <w:jc w:val="both"/>
      </w:pPr>
      <w:r>
        <w:rPr/>
        <w:t>The </w:t>
      </w:r>
      <w:r>
        <w:rPr>
          <w:i/>
        </w:rPr>
        <w:t>GPG-LULUCF </w:t>
      </w:r>
      <w:r>
        <w:rPr/>
        <w:t>assists countries in producing inventories for the land use, land-use change and forestry sector that are neither over- nor underestimates so far as can be judged, and in which uncertainties are reduced as far as practicable. It supports the development of inventories that are transparent, documented, consistent over time, complete, comparable, assessed for uncertainties, subject to quality control and quality assurance, and efficient in the use of resources.</w:t>
      </w:r>
    </w:p>
    <w:p>
      <w:pPr>
        <w:spacing w:before="100"/>
        <w:ind w:left="419" w:right="0" w:firstLine="0"/>
        <w:jc w:val="left"/>
        <w:rPr>
          <w:sz w:val="20"/>
        </w:rPr>
      </w:pPr>
      <w:r>
        <w:rPr>
          <w:sz w:val="20"/>
        </w:rPr>
        <w:t>The </w:t>
      </w:r>
      <w:r>
        <w:rPr>
          <w:i/>
          <w:sz w:val="20"/>
        </w:rPr>
        <w:t>GPG-LULUCF </w:t>
      </w:r>
      <w:r>
        <w:rPr>
          <w:sz w:val="20"/>
        </w:rPr>
        <w:t>is consistent with the existing </w:t>
      </w:r>
      <w:r>
        <w:rPr>
          <w:i/>
          <w:sz w:val="20"/>
        </w:rPr>
        <w:t>good practice guidance </w:t>
      </w:r>
      <w:r>
        <w:rPr>
          <w:sz w:val="20"/>
        </w:rPr>
        <w:t>for the other sector and addresses:</w:t>
      </w:r>
    </w:p>
    <w:p>
      <w:pPr>
        <w:pStyle w:val="ListParagraph"/>
        <w:numPr>
          <w:ilvl w:val="0"/>
          <w:numId w:val="2"/>
        </w:numPr>
        <w:tabs>
          <w:tab w:pos="779" w:val="left" w:leader="none"/>
          <w:tab w:pos="780" w:val="left" w:leader="none"/>
        </w:tabs>
        <w:spacing w:line="240" w:lineRule="auto" w:before="114" w:after="0"/>
        <w:ind w:left="760" w:right="0" w:hanging="341"/>
        <w:jc w:val="left"/>
        <w:rPr>
          <w:i/>
          <w:sz w:val="20"/>
        </w:rPr>
      </w:pPr>
      <w:r>
        <w:rPr>
          <w:sz w:val="20"/>
        </w:rPr>
        <w:t>Choice of estimation method within the context of the </w:t>
      </w:r>
      <w:r>
        <w:rPr>
          <w:i/>
          <w:sz w:val="20"/>
        </w:rPr>
        <w:t>IPCC</w:t>
      </w:r>
      <w:r>
        <w:rPr>
          <w:i/>
          <w:spacing w:val="-8"/>
          <w:sz w:val="20"/>
        </w:rPr>
        <w:t> </w:t>
      </w:r>
      <w:r>
        <w:rPr>
          <w:i/>
          <w:sz w:val="20"/>
        </w:rPr>
        <w:t>Guidelines;</w:t>
      </w:r>
    </w:p>
    <w:p>
      <w:pPr>
        <w:pStyle w:val="ListParagraph"/>
        <w:numPr>
          <w:ilvl w:val="0"/>
          <w:numId w:val="2"/>
        </w:numPr>
        <w:tabs>
          <w:tab w:pos="779" w:val="left" w:leader="none"/>
          <w:tab w:pos="780" w:val="left" w:leader="none"/>
        </w:tabs>
        <w:spacing w:line="240" w:lineRule="auto" w:before="118" w:after="0"/>
        <w:ind w:left="760" w:right="0" w:hanging="341"/>
        <w:jc w:val="left"/>
        <w:rPr>
          <w:sz w:val="20"/>
        </w:rPr>
      </w:pPr>
      <w:r>
        <w:rPr>
          <w:sz w:val="20"/>
        </w:rPr>
        <w:t>Quality assurance and quality control procedures to provide cross-checks during the inventory</w:t>
      </w:r>
      <w:r>
        <w:rPr>
          <w:spacing w:val="-31"/>
          <w:sz w:val="20"/>
        </w:rPr>
        <w:t> </w:t>
      </w:r>
      <w:r>
        <w:rPr>
          <w:sz w:val="20"/>
        </w:rPr>
        <w:t>compilation;</w:t>
      </w:r>
    </w:p>
    <w:p>
      <w:pPr>
        <w:pStyle w:val="ListParagraph"/>
        <w:numPr>
          <w:ilvl w:val="0"/>
          <w:numId w:val="2"/>
        </w:numPr>
        <w:tabs>
          <w:tab w:pos="779" w:val="left" w:leader="none"/>
          <w:tab w:pos="780" w:val="left" w:leader="none"/>
        </w:tabs>
        <w:spacing w:line="223" w:lineRule="auto" w:before="130" w:after="0"/>
        <w:ind w:left="760" w:right="547" w:hanging="341"/>
        <w:jc w:val="left"/>
        <w:rPr>
          <w:sz w:val="20"/>
        </w:rPr>
      </w:pPr>
      <w:r>
        <w:rPr>
          <w:sz w:val="20"/>
        </w:rPr>
        <w:t>Data and information to be documented, archived and reported to facilitate review and assessment of inventory</w:t>
      </w:r>
      <w:r>
        <w:rPr>
          <w:spacing w:val="-5"/>
          <w:sz w:val="20"/>
        </w:rPr>
        <w:t> </w:t>
      </w:r>
      <w:r>
        <w:rPr>
          <w:sz w:val="20"/>
        </w:rPr>
        <w:t>estimates;</w:t>
      </w:r>
    </w:p>
    <w:p>
      <w:pPr>
        <w:pStyle w:val="ListParagraph"/>
        <w:numPr>
          <w:ilvl w:val="0"/>
          <w:numId w:val="2"/>
        </w:numPr>
        <w:tabs>
          <w:tab w:pos="780" w:val="left" w:leader="none"/>
        </w:tabs>
        <w:spacing w:line="232" w:lineRule="auto" w:before="142" w:after="0"/>
        <w:ind w:left="760" w:right="547" w:hanging="341"/>
        <w:jc w:val="both"/>
        <w:rPr>
          <w:sz w:val="20"/>
        </w:rPr>
      </w:pPr>
      <w:r>
        <w:rPr>
          <w:sz w:val="20"/>
        </w:rPr>
        <w:t>Quantification of uncertainties at the source or sink category level and for the inventory as a whole, so that resources available can be directed toward reducing uncertainties over time, and the improvement can be tracked.</w:t>
      </w:r>
    </w:p>
    <w:p>
      <w:pPr>
        <w:pStyle w:val="BodyText"/>
        <w:spacing w:before="118"/>
        <w:ind w:left="419" w:right="545"/>
        <w:jc w:val="both"/>
      </w:pPr>
      <w:r>
        <w:rPr/>
        <w:t>In addition, </w:t>
      </w:r>
      <w:r>
        <w:rPr>
          <w:i/>
        </w:rPr>
        <w:t>GPG-LULUCF </w:t>
      </w:r>
      <w:r>
        <w:rPr/>
        <w:t>provides guidance related to the specific features of the LULUCF sector on consistent representation of land areas, sampling for area estimates and for estimating emissions and removals, verification, and guidance on how to complement the Convention reporting for the LULUCF sector to meet the supplementary requirements under the Kyoto Protocol.</w:t>
      </w:r>
    </w:p>
    <w:p>
      <w:pPr>
        <w:pStyle w:val="BodyText"/>
        <w:spacing w:before="100"/>
        <w:ind w:left="419" w:right="548"/>
        <w:jc w:val="both"/>
      </w:pPr>
      <w:r>
        <w:rPr/>
        <w:t>The development of </w:t>
      </w:r>
      <w:r>
        <w:rPr>
          <w:i/>
        </w:rPr>
        <w:t>good practice guidance </w:t>
      </w:r>
      <w:r>
        <w:rPr/>
        <w:t>for LULUCF sector is a step in the IPCC’s on-going programme of inventory development and will also support future revisions of the </w:t>
      </w:r>
      <w:r>
        <w:rPr>
          <w:i/>
        </w:rPr>
        <w:t>IPCC Guidelines </w:t>
      </w:r>
      <w:r>
        <w:rPr/>
        <w:t>themselves.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1"/>
        </w:rPr>
      </w:pPr>
      <w:r>
        <w:rPr/>
        <w:pict>
          <v:line style="position:absolute;mso-position-horizontal-relative:page;mso-position-vertical-relative:paragraph;z-index:-928;mso-wrap-distance-left:0;mso-wrap-distance-right:0" from="70.960999pt,8.90917pt" to="214.960999pt,8.90917pt" stroked="true" strokeweight=".48pt" strokecolor="#000000">
            <v:stroke dashstyle="solid"/>
            <w10:wrap type="topAndBottom"/>
          </v:line>
        </w:pict>
      </w:r>
    </w:p>
    <w:p>
      <w:pPr>
        <w:pStyle w:val="BodyText"/>
        <w:spacing w:before="2"/>
        <w:rPr>
          <w:sz w:val="7"/>
        </w:rPr>
      </w:pPr>
    </w:p>
    <w:p>
      <w:pPr>
        <w:pStyle w:val="ListParagraph"/>
        <w:numPr>
          <w:ilvl w:val="0"/>
          <w:numId w:val="3"/>
        </w:numPr>
        <w:tabs>
          <w:tab w:pos="547" w:val="left" w:leader="none"/>
        </w:tabs>
        <w:spacing w:line="240" w:lineRule="auto" w:before="94" w:after="0"/>
        <w:ind w:left="546" w:right="0" w:hanging="127"/>
        <w:jc w:val="left"/>
        <w:rPr>
          <w:sz w:val="18"/>
        </w:rPr>
      </w:pPr>
      <w:r>
        <w:rPr>
          <w:sz w:val="18"/>
        </w:rPr>
        <w:t>Decision 11/CP.7 (Land use, land-use change and forestry) in FCCC/CP/2001/13/Add.1, paragraphs 3(a) and 3 (b), page 55.</w:t>
      </w:r>
    </w:p>
    <w:p>
      <w:pPr>
        <w:pStyle w:val="ListParagraph"/>
        <w:numPr>
          <w:ilvl w:val="0"/>
          <w:numId w:val="3"/>
        </w:numPr>
        <w:tabs>
          <w:tab w:pos="549" w:val="left" w:leader="none"/>
        </w:tabs>
        <w:spacing w:line="240" w:lineRule="auto" w:before="119" w:after="0"/>
        <w:ind w:left="560" w:right="542" w:hanging="141"/>
        <w:jc w:val="left"/>
        <w:rPr>
          <w:sz w:val="18"/>
        </w:rPr>
      </w:pPr>
      <w:r>
        <w:rPr>
          <w:sz w:val="18"/>
        </w:rPr>
        <w:t>IPCC was established jointly by the World Meteorological Organization (WMO) and the United Nations Environment Programme (UNEP)</w:t>
      </w:r>
      <w:r>
        <w:rPr>
          <w:spacing w:val="-2"/>
          <w:sz w:val="18"/>
        </w:rPr>
        <w:t> </w:t>
      </w:r>
      <w:r>
        <w:rPr>
          <w:sz w:val="18"/>
        </w:rPr>
        <w:t>to</w:t>
      </w:r>
    </w:p>
    <w:p>
      <w:pPr>
        <w:pStyle w:val="ListParagraph"/>
        <w:numPr>
          <w:ilvl w:val="1"/>
          <w:numId w:val="3"/>
        </w:numPr>
        <w:tabs>
          <w:tab w:pos="1139" w:val="left" w:leader="none"/>
          <w:tab w:pos="1140" w:val="left" w:leader="none"/>
        </w:tabs>
        <w:spacing w:line="223" w:lineRule="auto" w:before="144" w:after="0"/>
        <w:ind w:left="1144" w:right="1110" w:hanging="545"/>
        <w:jc w:val="left"/>
        <w:rPr>
          <w:sz w:val="18"/>
        </w:rPr>
      </w:pPr>
      <w:r>
        <w:rPr>
          <w:sz w:val="18"/>
        </w:rPr>
        <w:t>Make periodic assessments of the science, impacts and the socio-economic aspects of climate change and of adaptation and mitigation options to address</w:t>
      </w:r>
      <w:r>
        <w:rPr>
          <w:spacing w:val="-1"/>
          <w:sz w:val="18"/>
        </w:rPr>
        <w:t> </w:t>
      </w:r>
      <w:r>
        <w:rPr>
          <w:sz w:val="18"/>
        </w:rPr>
        <w:t>it;</w:t>
      </w:r>
    </w:p>
    <w:p>
      <w:pPr>
        <w:pStyle w:val="ListParagraph"/>
        <w:numPr>
          <w:ilvl w:val="1"/>
          <w:numId w:val="3"/>
        </w:numPr>
        <w:tabs>
          <w:tab w:pos="1139" w:val="left" w:leader="none"/>
          <w:tab w:pos="1140" w:val="left" w:leader="none"/>
        </w:tabs>
        <w:spacing w:line="223" w:lineRule="auto" w:before="27" w:after="0"/>
        <w:ind w:left="1144" w:right="1100" w:hanging="545"/>
        <w:jc w:val="left"/>
        <w:rPr>
          <w:sz w:val="18"/>
        </w:rPr>
      </w:pPr>
      <w:r>
        <w:rPr>
          <w:sz w:val="18"/>
        </w:rPr>
        <w:t>Assess, and develop as necessary, methodologies such as the IPCC Guidelines for National Greenhouse Gas Inventories;</w:t>
      </w:r>
    </w:p>
    <w:p>
      <w:pPr>
        <w:pStyle w:val="ListParagraph"/>
        <w:numPr>
          <w:ilvl w:val="1"/>
          <w:numId w:val="3"/>
        </w:numPr>
        <w:tabs>
          <w:tab w:pos="1139" w:val="left" w:leader="none"/>
          <w:tab w:pos="1140" w:val="left" w:leader="none"/>
        </w:tabs>
        <w:spacing w:line="225" w:lineRule="auto" w:before="23" w:after="0"/>
        <w:ind w:left="1144" w:right="1043" w:hanging="545"/>
        <w:jc w:val="left"/>
        <w:rPr>
          <w:sz w:val="18"/>
        </w:rPr>
      </w:pPr>
      <w:r>
        <w:rPr>
          <w:sz w:val="18"/>
        </w:rPr>
        <w:t>Provide, on request, scientific/technical/socio-economic advice to the Conference of the Parties to the United Nations Framework Convention on Climate Change (UNFCCC) and its</w:t>
      </w:r>
      <w:r>
        <w:rPr>
          <w:spacing w:val="-7"/>
          <w:sz w:val="18"/>
        </w:rPr>
        <w:t> </w:t>
      </w:r>
      <w:r>
        <w:rPr>
          <w:sz w:val="18"/>
        </w:rPr>
        <w:t>bodies.</w:t>
      </w:r>
    </w:p>
    <w:p>
      <w:pPr>
        <w:spacing w:after="0" w:line="225" w:lineRule="auto"/>
        <w:jc w:val="left"/>
        <w:rPr>
          <w:sz w:val="18"/>
        </w:rPr>
        <w:sectPr>
          <w:headerReference w:type="default" r:id="rId17"/>
          <w:footerReference w:type="default" r:id="rId18"/>
          <w:pgSz w:w="11900" w:h="16840"/>
          <w:pgMar w:header="230" w:footer="408" w:top="560" w:bottom="600" w:left="1000" w:right="860"/>
          <w:pgNumType w:start="5"/>
        </w:sectPr>
      </w:pPr>
    </w:p>
    <w:p>
      <w:pPr>
        <w:pStyle w:val="BodyText"/>
        <w:spacing w:before="4"/>
        <w:rPr>
          <w:sz w:val="17"/>
        </w:rPr>
      </w:pPr>
    </w:p>
    <w:p>
      <w:pPr>
        <w:spacing w:after="0"/>
        <w:rPr>
          <w:sz w:val="17"/>
        </w:rPr>
        <w:sectPr>
          <w:headerReference w:type="even" r:id="rId19"/>
          <w:footerReference w:type="even" r:id="rId20"/>
          <w:pgSz w:w="11900" w:h="16840"/>
          <w:pgMar w:header="0" w:footer="0" w:top="1600" w:bottom="280" w:left="1000" w:right="860"/>
        </w:sectPr>
      </w:pPr>
    </w:p>
    <w:p>
      <w:pPr>
        <w:pStyle w:val="BodyText"/>
      </w:pPr>
    </w:p>
    <w:p>
      <w:pPr>
        <w:pStyle w:val="BodyText"/>
        <w:rPr>
          <w:sz w:val="27"/>
        </w:rPr>
      </w:pPr>
    </w:p>
    <w:p>
      <w:pPr>
        <w:tabs>
          <w:tab w:pos="9519" w:val="left" w:leader="none"/>
        </w:tabs>
        <w:spacing w:before="80"/>
        <w:ind w:left="419" w:right="0" w:firstLine="0"/>
        <w:jc w:val="left"/>
        <w:rPr>
          <w:b/>
          <w:sz w:val="48"/>
        </w:rPr>
      </w:pPr>
      <w:r>
        <w:rPr>
          <w:b/>
          <w:sz w:val="48"/>
          <w:u w:val="thick"/>
        </w:rPr>
        <w:t>1</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spacing w:before="228"/>
        <w:ind w:left="419" w:right="0" w:firstLine="0"/>
        <w:jc w:val="left"/>
        <w:rPr>
          <w:b/>
          <w:sz w:val="48"/>
        </w:rPr>
      </w:pPr>
      <w:r>
        <w:rPr>
          <w:b/>
          <w:sz w:val="48"/>
        </w:rPr>
        <w:t>OVERVIEW</w:t>
      </w:r>
    </w:p>
    <w:p>
      <w:pPr>
        <w:spacing w:after="0"/>
        <w:jc w:val="left"/>
        <w:rPr>
          <w:sz w:val="48"/>
        </w:rPr>
        <w:sectPr>
          <w:headerReference w:type="default" r:id="rId21"/>
          <w:footerReference w:type="default" r:id="rId22"/>
          <w:footerReference w:type="even" r:id="rId23"/>
          <w:pgSz w:w="11900" w:h="16840"/>
          <w:pgMar w:header="0" w:footer="408" w:top="1600" w:bottom="600" w:left="1000" w:right="860"/>
        </w:sectPr>
      </w:pPr>
    </w:p>
    <w:p>
      <w:pPr>
        <w:pStyle w:val="BodyText"/>
        <w:rPr>
          <w:b/>
        </w:rPr>
      </w:pPr>
    </w:p>
    <w:p>
      <w:pPr>
        <w:pStyle w:val="BodyText"/>
        <w:rPr>
          <w:b/>
        </w:rPr>
      </w:pPr>
    </w:p>
    <w:p>
      <w:pPr>
        <w:pStyle w:val="BodyText"/>
        <w:rPr>
          <w:b/>
        </w:rPr>
      </w:pPr>
    </w:p>
    <w:p>
      <w:pPr>
        <w:pStyle w:val="Heading5"/>
        <w:spacing w:before="233"/>
        <w:ind w:left="2711"/>
      </w:pPr>
      <w:r>
        <w:rPr/>
        <w:t>AUTHORS AND REVIEW EDITORS</w:t>
      </w:r>
    </w:p>
    <w:p>
      <w:pPr>
        <w:pStyle w:val="BodyText"/>
        <w:spacing w:before="5"/>
        <w:rPr>
          <w:b/>
          <w:sz w:val="36"/>
        </w:rPr>
      </w:pPr>
    </w:p>
    <w:p>
      <w:pPr>
        <w:spacing w:before="1"/>
        <w:ind w:left="419" w:right="0" w:firstLine="0"/>
        <w:jc w:val="left"/>
        <w:rPr>
          <w:b/>
          <w:sz w:val="24"/>
        </w:rPr>
      </w:pPr>
      <w:r>
        <w:rPr>
          <w:b/>
          <w:sz w:val="24"/>
        </w:rPr>
        <w:t>Co-ordinating Lead authors</w:t>
      </w:r>
    </w:p>
    <w:p>
      <w:pPr>
        <w:pStyle w:val="BodyText"/>
        <w:spacing w:before="56"/>
        <w:ind w:left="419"/>
      </w:pPr>
      <w:r>
        <w:rPr/>
        <w:t>Jim Penman (UK)</w:t>
      </w:r>
    </w:p>
    <w:p>
      <w:pPr>
        <w:pStyle w:val="BodyText"/>
        <w:spacing w:before="1"/>
        <w:ind w:left="419"/>
      </w:pPr>
      <w:r>
        <w:rPr/>
        <w:t>Michael Gytarsky (Russia), Taka Hiraishi (Japan), Thelma Krug (Brazil), and Dina Kruger (USA)</w:t>
      </w:r>
    </w:p>
    <w:p>
      <w:pPr>
        <w:pStyle w:val="BodyText"/>
        <w:rPr>
          <w:sz w:val="22"/>
        </w:rPr>
      </w:pPr>
    </w:p>
    <w:p>
      <w:pPr>
        <w:pStyle w:val="Heading5"/>
        <w:spacing w:before="159"/>
        <w:ind w:left="419"/>
      </w:pPr>
      <w:r>
        <w:rPr/>
        <w:t>Review Editors</w:t>
      </w:r>
    </w:p>
    <w:p>
      <w:pPr>
        <w:pStyle w:val="BodyText"/>
        <w:spacing w:before="56"/>
        <w:ind w:left="419"/>
      </w:pPr>
      <w:r>
        <w:rPr/>
        <w:t>Ian Carruthers (Australia) and Carlos Lopez (Cuba)</w:t>
      </w:r>
    </w:p>
    <w:p>
      <w:pPr>
        <w:spacing w:after="0"/>
        <w:sectPr>
          <w:headerReference w:type="even" r:id="rId24"/>
          <w:headerReference w:type="default" r:id="rId25"/>
          <w:pgSz w:w="11900" w:h="16840"/>
          <w:pgMar w:header="230" w:footer="408" w:top="560" w:bottom="600" w:left="1000" w:right="860"/>
        </w:sectPr>
      </w:pPr>
    </w:p>
    <w:p>
      <w:pPr>
        <w:pStyle w:val="BodyText"/>
      </w:pPr>
    </w:p>
    <w:p>
      <w:pPr>
        <w:pStyle w:val="BodyText"/>
      </w:pPr>
    </w:p>
    <w:p>
      <w:pPr>
        <w:pStyle w:val="BodyText"/>
      </w:pPr>
    </w:p>
    <w:p>
      <w:pPr>
        <w:pStyle w:val="BodyText"/>
      </w:pPr>
    </w:p>
    <w:p>
      <w:pPr>
        <w:pStyle w:val="BodyText"/>
        <w:spacing w:before="3"/>
        <w:rPr>
          <w:sz w:val="24"/>
        </w:rPr>
      </w:pPr>
    </w:p>
    <w:p>
      <w:pPr>
        <w:spacing w:before="86"/>
        <w:ind w:left="130" w:right="260" w:firstLine="0"/>
        <w:jc w:val="center"/>
        <w:rPr>
          <w:b/>
          <w:sz w:val="32"/>
        </w:rPr>
      </w:pPr>
      <w:r>
        <w:rPr>
          <w:b/>
          <w:sz w:val="32"/>
        </w:rPr>
        <w:t>Contents</w:t>
      </w:r>
    </w:p>
    <w:p>
      <w:pPr>
        <w:numPr>
          <w:ilvl w:val="1"/>
          <w:numId w:val="4"/>
        </w:numPr>
        <w:tabs>
          <w:tab w:pos="1439" w:val="left" w:leader="none"/>
          <w:tab w:pos="1440" w:val="left" w:leader="none"/>
          <w:tab w:pos="9489" w:val="right" w:leader="none"/>
        </w:tabs>
        <w:spacing w:before="601"/>
        <w:ind w:left="1439" w:right="0" w:hanging="1020"/>
        <w:jc w:val="left"/>
        <w:rPr>
          <w:b/>
          <w:sz w:val="20"/>
        </w:rPr>
      </w:pPr>
      <w:r>
        <w:rPr>
          <w:b/>
          <w:sz w:val="20"/>
        </w:rPr>
        <w:t>INTRODUCTION</w:t>
        <w:tab/>
        <w:t>1.4</w:t>
      </w:r>
    </w:p>
    <w:p>
      <w:pPr>
        <w:numPr>
          <w:ilvl w:val="1"/>
          <w:numId w:val="4"/>
        </w:numPr>
        <w:tabs>
          <w:tab w:pos="1439" w:val="left" w:leader="none"/>
          <w:tab w:pos="1440" w:val="left" w:leader="none"/>
        </w:tabs>
        <w:spacing w:before="238"/>
        <w:ind w:left="1439" w:right="0" w:hanging="1020"/>
        <w:jc w:val="left"/>
        <w:rPr>
          <w:b/>
          <w:sz w:val="20"/>
        </w:rPr>
      </w:pPr>
      <w:r>
        <w:rPr>
          <w:b/>
          <w:sz w:val="20"/>
        </w:rPr>
        <w:t>GOOD PRACTICE GUIDANCE FOR LAND USE, LAND-USE</w:t>
      </w:r>
      <w:r>
        <w:rPr>
          <w:b/>
          <w:spacing w:val="-3"/>
          <w:sz w:val="20"/>
        </w:rPr>
        <w:t> </w:t>
      </w:r>
      <w:r>
        <w:rPr>
          <w:b/>
          <w:sz w:val="20"/>
        </w:rPr>
        <w:t>CHANGE</w:t>
      </w:r>
    </w:p>
    <w:p>
      <w:pPr>
        <w:tabs>
          <w:tab w:pos="9489" w:val="right" w:leader="none"/>
        </w:tabs>
        <w:spacing w:before="0"/>
        <w:ind w:left="1439" w:right="0" w:firstLine="0"/>
        <w:jc w:val="left"/>
        <w:rPr>
          <w:b/>
          <w:sz w:val="20"/>
        </w:rPr>
      </w:pPr>
      <w:r>
        <w:rPr>
          <w:b/>
          <w:sz w:val="20"/>
        </w:rPr>
        <w:t>AND</w:t>
      </w:r>
      <w:r>
        <w:rPr>
          <w:b/>
          <w:spacing w:val="-1"/>
          <w:sz w:val="20"/>
        </w:rPr>
        <w:t> </w:t>
      </w:r>
      <w:r>
        <w:rPr>
          <w:b/>
          <w:sz w:val="20"/>
        </w:rPr>
        <w:t>FORESTRY (LULUCF)</w:t>
        <w:tab/>
        <w:t>1.4</w:t>
      </w:r>
    </w:p>
    <w:p>
      <w:pPr>
        <w:numPr>
          <w:ilvl w:val="1"/>
          <w:numId w:val="4"/>
        </w:numPr>
        <w:tabs>
          <w:tab w:pos="1439" w:val="left" w:leader="none"/>
          <w:tab w:pos="1440" w:val="left" w:leader="none"/>
        </w:tabs>
        <w:spacing w:before="240"/>
        <w:ind w:left="1439" w:right="0" w:hanging="1020"/>
        <w:jc w:val="left"/>
        <w:rPr>
          <w:b/>
          <w:sz w:val="20"/>
        </w:rPr>
      </w:pPr>
      <w:r>
        <w:rPr>
          <w:b/>
          <w:sz w:val="20"/>
        </w:rPr>
        <w:t>DEFINITION OF INVENTORIES CONSISTENT WITH GOOD PRACTICE</w:t>
      </w:r>
    </w:p>
    <w:p>
      <w:pPr>
        <w:tabs>
          <w:tab w:pos="9490" w:val="right" w:leader="none"/>
        </w:tabs>
        <w:spacing w:before="1"/>
        <w:ind w:left="1439" w:right="0" w:firstLine="0"/>
        <w:jc w:val="left"/>
        <w:rPr>
          <w:b/>
          <w:sz w:val="20"/>
        </w:rPr>
      </w:pPr>
      <w:r>
        <w:rPr>
          <w:b/>
          <w:sz w:val="20"/>
        </w:rPr>
        <w:t>GUIDANCE</w:t>
        <w:tab/>
        <w:t>1.6</w:t>
      </w:r>
    </w:p>
    <w:p>
      <w:pPr>
        <w:pStyle w:val="ListParagraph"/>
        <w:numPr>
          <w:ilvl w:val="1"/>
          <w:numId w:val="4"/>
        </w:numPr>
        <w:tabs>
          <w:tab w:pos="1439" w:val="left" w:leader="none"/>
          <w:tab w:pos="1440" w:val="left" w:leader="none"/>
          <w:tab w:pos="9490" w:val="right" w:leader="none"/>
        </w:tabs>
        <w:spacing w:line="240" w:lineRule="auto" w:before="238" w:after="0"/>
        <w:ind w:left="1439" w:right="0" w:hanging="1020"/>
        <w:jc w:val="left"/>
        <w:rPr>
          <w:b/>
          <w:sz w:val="20"/>
        </w:rPr>
      </w:pPr>
      <w:r>
        <w:rPr>
          <w:b/>
          <w:sz w:val="20"/>
        </w:rPr>
        <w:t>RELATIONSHIP TO THE</w:t>
      </w:r>
      <w:r>
        <w:rPr>
          <w:b/>
          <w:spacing w:val="5"/>
          <w:sz w:val="20"/>
        </w:rPr>
        <w:t> </w:t>
      </w:r>
      <w:r>
        <w:rPr>
          <w:rFonts w:ascii="TimesNewRomanPS-BoldItalicMT"/>
          <w:b/>
          <w:i/>
          <w:sz w:val="20"/>
        </w:rPr>
        <w:t>IPCC</w:t>
      </w:r>
      <w:r>
        <w:rPr>
          <w:rFonts w:ascii="TimesNewRomanPS-BoldItalicMT"/>
          <w:b/>
          <w:i/>
          <w:spacing w:val="-1"/>
          <w:sz w:val="20"/>
        </w:rPr>
        <w:t> </w:t>
      </w:r>
      <w:r>
        <w:rPr>
          <w:rFonts w:ascii="TimesNewRomanPS-BoldItalicMT"/>
          <w:b/>
          <w:i/>
          <w:sz w:val="20"/>
        </w:rPr>
        <w:t>GUIDELINES</w:t>
        <w:tab/>
      </w:r>
      <w:r>
        <w:rPr>
          <w:b/>
          <w:sz w:val="20"/>
        </w:rPr>
        <w:t>1.8</w:t>
      </w:r>
    </w:p>
    <w:p>
      <w:pPr>
        <w:numPr>
          <w:ilvl w:val="1"/>
          <w:numId w:val="4"/>
        </w:numPr>
        <w:tabs>
          <w:tab w:pos="1439" w:val="left" w:leader="none"/>
          <w:tab w:pos="1440" w:val="left" w:leader="none"/>
          <w:tab w:pos="9488" w:val="right" w:leader="none"/>
        </w:tabs>
        <w:spacing w:before="240"/>
        <w:ind w:left="1439" w:right="0" w:hanging="1020"/>
        <w:jc w:val="left"/>
        <w:rPr>
          <w:b/>
          <w:sz w:val="20"/>
        </w:rPr>
      </w:pPr>
      <w:r>
        <w:rPr>
          <w:b/>
          <w:sz w:val="20"/>
        </w:rPr>
        <w:t>OUTLINE OF</w:t>
      </w:r>
      <w:r>
        <w:rPr>
          <w:b/>
          <w:spacing w:val="-1"/>
          <w:sz w:val="20"/>
        </w:rPr>
        <w:t> </w:t>
      </w:r>
      <w:r>
        <w:rPr>
          <w:b/>
          <w:sz w:val="20"/>
        </w:rPr>
        <w:t>PRESENT</w:t>
      </w:r>
      <w:r>
        <w:rPr>
          <w:b/>
          <w:spacing w:val="-1"/>
          <w:sz w:val="20"/>
        </w:rPr>
        <w:t> </w:t>
      </w:r>
      <w:r>
        <w:rPr>
          <w:b/>
          <w:sz w:val="20"/>
        </w:rPr>
        <w:t>DOCUMENT</w:t>
        <w:tab/>
        <w:t>1.8</w:t>
      </w:r>
    </w:p>
    <w:p>
      <w:pPr>
        <w:numPr>
          <w:ilvl w:val="1"/>
          <w:numId w:val="4"/>
        </w:numPr>
        <w:tabs>
          <w:tab w:pos="1439" w:val="left" w:leader="none"/>
          <w:tab w:pos="1440" w:val="left" w:leader="none"/>
        </w:tabs>
        <w:spacing w:before="241"/>
        <w:ind w:left="1439" w:right="0" w:hanging="1020"/>
        <w:jc w:val="left"/>
        <w:rPr>
          <w:b/>
          <w:sz w:val="20"/>
        </w:rPr>
      </w:pPr>
      <w:r>
        <w:rPr>
          <w:b/>
          <w:sz w:val="20"/>
        </w:rPr>
        <w:t>USING THE GUIDANCE - PRACTICAL ADVICE FOR INVENTORY</w:t>
      </w:r>
      <w:r>
        <w:rPr>
          <w:b/>
          <w:spacing w:val="-7"/>
          <w:sz w:val="20"/>
        </w:rPr>
        <w:t> </w:t>
      </w:r>
      <w:r>
        <w:rPr>
          <w:b/>
          <w:sz w:val="20"/>
        </w:rPr>
        <w:t>AGENCIES</w:t>
      </w:r>
    </w:p>
    <w:p>
      <w:pPr>
        <w:tabs>
          <w:tab w:pos="9489" w:val="right" w:leader="none"/>
        </w:tabs>
        <w:spacing w:before="0"/>
        <w:ind w:left="1439" w:right="0" w:firstLine="0"/>
        <w:jc w:val="left"/>
        <w:rPr>
          <w:b/>
          <w:sz w:val="20"/>
        </w:rPr>
      </w:pPr>
      <w:r>
        <w:rPr>
          <w:b/>
          <w:sz w:val="20"/>
        </w:rPr>
        <w:t>AND</w:t>
      </w:r>
      <w:r>
        <w:rPr>
          <w:b/>
          <w:spacing w:val="-1"/>
          <w:sz w:val="20"/>
        </w:rPr>
        <w:t> </w:t>
      </w:r>
      <w:r>
        <w:rPr>
          <w:b/>
          <w:sz w:val="20"/>
        </w:rPr>
        <w:t>OTHERS</w:t>
        <w:tab/>
        <w:t>1.10</w:t>
      </w:r>
    </w:p>
    <w:p>
      <w:pPr>
        <w:numPr>
          <w:ilvl w:val="1"/>
          <w:numId w:val="4"/>
        </w:numPr>
        <w:tabs>
          <w:tab w:pos="1439" w:val="left" w:leader="none"/>
          <w:tab w:pos="1440" w:val="left" w:leader="none"/>
          <w:tab w:pos="9490" w:val="right" w:leader="none"/>
        </w:tabs>
        <w:spacing w:before="238"/>
        <w:ind w:left="1439" w:right="0" w:hanging="1020"/>
        <w:jc w:val="left"/>
        <w:rPr>
          <w:b/>
          <w:sz w:val="20"/>
        </w:rPr>
      </w:pPr>
      <w:r>
        <w:rPr>
          <w:b/>
          <w:sz w:val="20"/>
        </w:rPr>
        <w:t>POLICY</w:t>
      </w:r>
      <w:r>
        <w:rPr>
          <w:b/>
          <w:spacing w:val="-1"/>
          <w:sz w:val="20"/>
        </w:rPr>
        <w:t> </w:t>
      </w:r>
      <w:r>
        <w:rPr>
          <w:b/>
          <w:sz w:val="20"/>
        </w:rPr>
        <w:t>RELEVANCE</w:t>
        <w:tab/>
        <w:t>1.11</w:t>
      </w:r>
    </w:p>
    <w:p>
      <w:pPr>
        <w:spacing w:after="0"/>
        <w:jc w:val="left"/>
        <w:rPr>
          <w:sz w:val="20"/>
        </w:rPr>
        <w:sectPr>
          <w:footerReference w:type="default" r:id="rId26"/>
          <w:footerReference w:type="even" r:id="rId27"/>
          <w:pgSz w:w="11900" w:h="16840"/>
          <w:pgMar w:footer="408" w:header="230" w:top="560" w:bottom="600" w:left="1000" w:right="860"/>
          <w:pgNumType w:start="3"/>
        </w:sectPr>
      </w:pPr>
    </w:p>
    <w:p>
      <w:pPr>
        <w:pStyle w:val="BodyText"/>
        <w:rPr>
          <w:b/>
          <w:sz w:val="34"/>
        </w:rPr>
      </w:pPr>
    </w:p>
    <w:p>
      <w:pPr>
        <w:pStyle w:val="ListParagraph"/>
        <w:numPr>
          <w:ilvl w:val="1"/>
          <w:numId w:val="5"/>
        </w:numPr>
        <w:tabs>
          <w:tab w:pos="1622" w:val="left" w:leader="none"/>
        </w:tabs>
        <w:spacing w:line="240" w:lineRule="auto" w:before="294" w:after="0"/>
        <w:ind w:left="1621" w:right="0" w:hanging="1202"/>
        <w:jc w:val="both"/>
        <w:rPr>
          <w:b/>
          <w:sz w:val="32"/>
        </w:rPr>
      </w:pPr>
      <w:r>
        <w:rPr>
          <w:b/>
          <w:spacing w:val="20"/>
          <w:sz w:val="32"/>
        </w:rPr>
        <w:t>INTRODUCTION</w:t>
      </w:r>
    </w:p>
    <w:p>
      <w:pPr>
        <w:spacing w:before="176"/>
        <w:ind w:left="419" w:right="544" w:firstLine="0"/>
        <w:jc w:val="both"/>
        <w:rPr>
          <w:sz w:val="20"/>
        </w:rPr>
      </w:pPr>
      <w:r>
        <w:rPr>
          <w:sz w:val="20"/>
        </w:rPr>
        <w:t>In 1998, the Parties to the United Nations Framework Convention on Climate Change (UNFCCC) invited the Intergovernmental Panel on Climate Change (IPCC) to produce </w:t>
      </w:r>
      <w:r>
        <w:rPr>
          <w:i/>
          <w:sz w:val="20"/>
        </w:rPr>
        <w:t>good practice guidance </w:t>
      </w:r>
      <w:r>
        <w:rPr>
          <w:sz w:val="20"/>
        </w:rPr>
        <w:t>to the </w:t>
      </w:r>
      <w:r>
        <w:rPr>
          <w:i/>
          <w:sz w:val="20"/>
        </w:rPr>
        <w:t>Revised 1996 IPCC Guidelines for National Greenhouse Gas Inventories (IPCC Guidelines)</w:t>
      </w:r>
      <w:r>
        <w:rPr>
          <w:sz w:val="20"/>
          <w:vertAlign w:val="superscript"/>
        </w:rPr>
        <w:t>1</w:t>
      </w:r>
      <w:r>
        <w:rPr>
          <w:i/>
          <w:sz w:val="20"/>
          <w:vertAlign w:val="baseline"/>
        </w:rPr>
        <w:t>. </w:t>
      </w:r>
      <w:r>
        <w:rPr>
          <w:sz w:val="20"/>
          <w:vertAlign w:val="baseline"/>
        </w:rPr>
        <w:t>Since the Parties had already agreed to use</w:t>
      </w:r>
      <w:r>
        <w:rPr>
          <w:sz w:val="20"/>
          <w:vertAlign w:val="superscript"/>
        </w:rPr>
        <w:t>2</w:t>
      </w:r>
      <w:r>
        <w:rPr>
          <w:sz w:val="20"/>
          <w:vertAlign w:val="baseline"/>
        </w:rPr>
        <w:t> the </w:t>
      </w:r>
      <w:r>
        <w:rPr>
          <w:i/>
          <w:sz w:val="20"/>
          <w:vertAlign w:val="baseline"/>
        </w:rPr>
        <w:t>IPCC Guidelines </w:t>
      </w:r>
      <w:r>
        <w:rPr>
          <w:sz w:val="20"/>
          <w:vertAlign w:val="baseline"/>
        </w:rPr>
        <w:t>for estimating greenhouse gas emissions and removals, the role of </w:t>
      </w:r>
      <w:r>
        <w:rPr>
          <w:i/>
          <w:sz w:val="20"/>
          <w:vertAlign w:val="baseline"/>
        </w:rPr>
        <w:t>good practice guidance </w:t>
      </w:r>
      <w:r>
        <w:rPr>
          <w:sz w:val="20"/>
          <w:vertAlign w:val="baseline"/>
        </w:rPr>
        <w:t>was not to replace the </w:t>
      </w:r>
      <w:r>
        <w:rPr>
          <w:i/>
          <w:sz w:val="20"/>
          <w:vertAlign w:val="baseline"/>
        </w:rPr>
        <w:t>IPCC Guidelines</w:t>
      </w:r>
      <w:r>
        <w:rPr>
          <w:sz w:val="20"/>
          <w:vertAlign w:val="baseline"/>
        </w:rPr>
        <w:t>, but rather to provide advice consistent with them.</w:t>
      </w:r>
    </w:p>
    <w:p>
      <w:pPr>
        <w:pStyle w:val="BodyText"/>
        <w:spacing w:before="117"/>
        <w:ind w:left="419" w:right="545"/>
        <w:jc w:val="both"/>
      </w:pPr>
      <w:r>
        <w:rPr/>
        <w:t>The IPCC finished its work in time for the first volume of the </w:t>
      </w:r>
      <w:r>
        <w:rPr>
          <w:i/>
        </w:rPr>
        <w:t>Good Practice Guidance and Uncertainty Management in National Greenhouse Gas Inventories </w:t>
      </w:r>
      <w:r>
        <w:rPr/>
        <w:t>(</w:t>
      </w:r>
      <w:r>
        <w:rPr>
          <w:i/>
        </w:rPr>
        <w:t>GPG2000</w:t>
      </w:r>
      <w:r>
        <w:rPr/>
        <w:t>) </w:t>
      </w:r>
      <w:r>
        <w:rPr>
          <w:vertAlign w:val="superscript"/>
        </w:rPr>
        <w:t>3</w:t>
      </w:r>
      <w:r>
        <w:rPr>
          <w:vertAlign w:val="baseline"/>
        </w:rPr>
        <w:t> to be accepted at the IPCC Plenary meeting held in Montreal in May 2000. The Conference of the Parties (COP) to the UNFCCC as well as its Subsidiary Body for Scientific and Technological Advice (SBSTA) subsequently endorsed </w:t>
      </w:r>
      <w:r>
        <w:rPr>
          <w:vertAlign w:val="superscript"/>
        </w:rPr>
        <w:t>4</w:t>
      </w:r>
      <w:r>
        <w:rPr>
          <w:vertAlign w:val="baseline"/>
        </w:rPr>
        <w:t> </w:t>
      </w:r>
      <w:r>
        <w:rPr>
          <w:i/>
          <w:vertAlign w:val="baseline"/>
        </w:rPr>
        <w:t>GPG2000</w:t>
      </w:r>
      <w:r>
        <w:rPr>
          <w:vertAlign w:val="baseline"/>
        </w:rPr>
        <w:t>. The COP has referred extensively to </w:t>
      </w:r>
      <w:r>
        <w:rPr>
          <w:i/>
          <w:vertAlign w:val="baseline"/>
        </w:rPr>
        <w:t>GPG2000 </w:t>
      </w:r>
      <w:r>
        <w:rPr>
          <w:vertAlign w:val="baseline"/>
        </w:rPr>
        <w:t>in subsequent decisions, including those collectively referred to as the Marrakesh Accords</w:t>
      </w:r>
      <w:r>
        <w:rPr>
          <w:vertAlign w:val="superscript"/>
        </w:rPr>
        <w:t>5</w:t>
      </w:r>
      <w:r>
        <w:rPr>
          <w:vertAlign w:val="baseline"/>
        </w:rPr>
        <w:t>, which were achieved at its seventh session. The Marrakesh Accords also invited the IPCC to develop </w:t>
      </w:r>
      <w:r>
        <w:rPr>
          <w:i/>
          <w:vertAlign w:val="baseline"/>
        </w:rPr>
        <w:t>good practice guidance </w:t>
      </w:r>
      <w:r>
        <w:rPr>
          <w:vertAlign w:val="baseline"/>
        </w:rPr>
        <w:t>for land use, land-use change and forestry (LULUCF), which is not covered in </w:t>
      </w:r>
      <w:r>
        <w:rPr>
          <w:i/>
          <w:vertAlign w:val="baseline"/>
        </w:rPr>
        <w:t>GPG2000</w:t>
      </w:r>
      <w:r>
        <w:rPr>
          <w:vertAlign w:val="baseline"/>
        </w:rPr>
        <w:t>. The mandate for this work, the definition of </w:t>
      </w:r>
      <w:r>
        <w:rPr>
          <w:i/>
          <w:vertAlign w:val="baseline"/>
        </w:rPr>
        <w:t>good practice </w:t>
      </w:r>
      <w:r>
        <w:rPr>
          <w:vertAlign w:val="baseline"/>
        </w:rPr>
        <w:t>in this context, its relationship to the </w:t>
      </w:r>
      <w:r>
        <w:rPr>
          <w:i/>
          <w:vertAlign w:val="baseline"/>
        </w:rPr>
        <w:t>IPCC Guidelines</w:t>
      </w:r>
      <w:r>
        <w:rPr>
          <w:vertAlign w:val="baseline"/>
        </w:rPr>
        <w:t>, and the practical consequences for inventory agencies are described in more detail below in Sections 1.2, 1.3, 1.4 and 1.6 respectively. Sections 1.5 and 1.7 contain an outline of the present document and a discussion of its policy</w:t>
      </w:r>
      <w:r>
        <w:rPr>
          <w:spacing w:val="-8"/>
          <w:vertAlign w:val="baseline"/>
        </w:rPr>
        <w:t> </w:t>
      </w:r>
      <w:r>
        <w:rPr>
          <w:vertAlign w:val="baseline"/>
        </w:rPr>
        <w:t>relevance.</w:t>
      </w:r>
    </w:p>
    <w:p>
      <w:pPr>
        <w:pStyle w:val="BodyText"/>
        <w:spacing w:before="9"/>
        <w:rPr>
          <w:sz w:val="31"/>
        </w:rPr>
      </w:pPr>
    </w:p>
    <w:p>
      <w:pPr>
        <w:pStyle w:val="Heading2"/>
        <w:numPr>
          <w:ilvl w:val="1"/>
          <w:numId w:val="5"/>
        </w:numPr>
        <w:tabs>
          <w:tab w:pos="1621" w:val="left" w:leader="none"/>
          <w:tab w:pos="1622" w:val="left" w:leader="none"/>
        </w:tabs>
        <w:spacing w:line="240" w:lineRule="auto" w:before="0" w:after="0"/>
        <w:ind w:left="1621" w:right="641" w:hanging="1202"/>
        <w:jc w:val="left"/>
      </w:pPr>
      <w:r>
        <w:rPr>
          <w:spacing w:val="15"/>
        </w:rPr>
        <w:t>GOOD </w:t>
      </w:r>
      <w:r>
        <w:rPr>
          <w:spacing w:val="17"/>
        </w:rPr>
        <w:t>PRACTICE GUIDANCE </w:t>
      </w:r>
      <w:r>
        <w:rPr>
          <w:spacing w:val="12"/>
        </w:rPr>
        <w:t>FOR </w:t>
      </w:r>
      <w:r>
        <w:rPr>
          <w:spacing w:val="15"/>
        </w:rPr>
        <w:t>LAND USE, </w:t>
      </w:r>
      <w:r>
        <w:rPr>
          <w:spacing w:val="17"/>
        </w:rPr>
        <w:t>LAND-USE CHANGE </w:t>
      </w:r>
      <w:r>
        <w:rPr>
          <w:spacing w:val="13"/>
        </w:rPr>
        <w:t>AND</w:t>
      </w:r>
      <w:r>
        <w:rPr>
          <w:spacing w:val="87"/>
        </w:rPr>
        <w:t> </w:t>
      </w:r>
      <w:r>
        <w:rPr>
          <w:spacing w:val="20"/>
        </w:rPr>
        <w:t>FORESTRY</w:t>
      </w:r>
    </w:p>
    <w:p>
      <w:pPr>
        <w:spacing w:line="366" w:lineRule="exact" w:before="0"/>
        <w:ind w:left="1621" w:right="0" w:firstLine="0"/>
        <w:jc w:val="left"/>
        <w:rPr>
          <w:b/>
          <w:sz w:val="32"/>
        </w:rPr>
      </w:pPr>
      <w:r>
        <w:rPr>
          <w:b/>
          <w:sz w:val="32"/>
        </w:rPr>
        <w:t>(LULUCF)</w:t>
      </w:r>
    </w:p>
    <w:p>
      <w:pPr>
        <w:spacing w:before="174"/>
        <w:ind w:left="419" w:right="499" w:firstLine="0"/>
        <w:jc w:val="both"/>
        <w:rPr>
          <w:sz w:val="20"/>
        </w:rPr>
      </w:pPr>
      <w:r>
        <w:rPr>
          <w:sz w:val="20"/>
        </w:rPr>
        <w:t>The </w:t>
      </w:r>
      <w:r>
        <w:rPr>
          <w:i/>
          <w:sz w:val="20"/>
        </w:rPr>
        <w:t>GPG2000 </w:t>
      </w:r>
      <w:r>
        <w:rPr>
          <w:sz w:val="20"/>
        </w:rPr>
        <w:t>did not cover the land-use change and forestry (LUCF) activities described in Chapter 5 of the </w:t>
      </w:r>
      <w:r>
        <w:rPr>
          <w:i/>
          <w:sz w:val="20"/>
        </w:rPr>
        <w:t>IPCC Guidelines</w:t>
      </w:r>
      <w:r>
        <w:rPr>
          <w:sz w:val="20"/>
          <w:vertAlign w:val="superscript"/>
        </w:rPr>
        <w:t>6</w:t>
      </w:r>
      <w:r>
        <w:rPr>
          <w:sz w:val="20"/>
          <w:vertAlign w:val="baseline"/>
        </w:rPr>
        <w:t> because during the time that the </w:t>
      </w:r>
      <w:r>
        <w:rPr>
          <w:i/>
          <w:sz w:val="20"/>
          <w:vertAlign w:val="baseline"/>
        </w:rPr>
        <w:t>GPG2000 </w:t>
      </w:r>
      <w:r>
        <w:rPr>
          <w:sz w:val="20"/>
          <w:vertAlign w:val="baseline"/>
        </w:rPr>
        <w:t>was being prepared, the IPCC was also preparing the </w:t>
      </w:r>
      <w:r>
        <w:rPr>
          <w:i/>
          <w:sz w:val="20"/>
          <w:vertAlign w:val="baseline"/>
        </w:rPr>
        <w:t>Special Report on Land Use, Land-Use Change, and Forestry </w:t>
      </w:r>
      <w:r>
        <w:rPr>
          <w:sz w:val="20"/>
          <w:vertAlign w:val="baseline"/>
        </w:rPr>
        <w:t>(SR LULUCF). Parallel work on </w:t>
      </w:r>
      <w:r>
        <w:rPr>
          <w:i/>
          <w:sz w:val="20"/>
          <w:vertAlign w:val="baseline"/>
        </w:rPr>
        <w:t>Good Practice Guidance for LULUCF </w:t>
      </w:r>
      <w:r>
        <w:rPr>
          <w:sz w:val="20"/>
          <w:vertAlign w:val="baseline"/>
        </w:rPr>
        <w:t>would have carried a risk of inconsistency with the Special Report. Furthermore, significant negotiations on LULUCF were underway in the UNFCCC process, and the IPCC recognised that it would be better to develop </w:t>
      </w:r>
      <w:r>
        <w:rPr>
          <w:i/>
          <w:sz w:val="20"/>
          <w:vertAlign w:val="baseline"/>
        </w:rPr>
        <w:t>Good Practice Guidance for LULUCF </w:t>
      </w:r>
      <w:r>
        <w:rPr>
          <w:sz w:val="20"/>
          <w:vertAlign w:val="baseline"/>
        </w:rPr>
        <w:t>in the light of the outcome of these negotiations.</w:t>
      </w:r>
    </w:p>
    <w:p>
      <w:pPr>
        <w:pStyle w:val="BodyText"/>
        <w:spacing w:before="118"/>
        <w:ind w:left="419" w:right="475"/>
        <w:jc w:val="both"/>
      </w:pPr>
      <w:r>
        <w:rPr/>
        <w:t>The LULUCF negotiations relating to the implementation of the Kyoto Protocol were completed (except for  those relating to rules and modalities for afforestation and reforestation activities under the clean development mechanism) during the second part of the COP6, and at COP7, which took place respectively in Bonn (July</w:t>
      </w:r>
      <w:r>
        <w:rPr>
          <w:spacing w:val="-26"/>
        </w:rPr>
        <w:t> </w:t>
      </w:r>
      <w:r>
        <w:rPr/>
        <w:t>2001)</w:t>
      </w:r>
    </w:p>
    <w:p>
      <w:pPr>
        <w:pStyle w:val="BodyText"/>
      </w:pPr>
    </w:p>
    <w:p>
      <w:pPr>
        <w:pStyle w:val="BodyText"/>
      </w:pPr>
    </w:p>
    <w:p>
      <w:pPr>
        <w:pStyle w:val="BodyText"/>
      </w:pPr>
    </w:p>
    <w:p>
      <w:pPr>
        <w:pStyle w:val="BodyText"/>
      </w:pPr>
    </w:p>
    <w:p>
      <w:pPr>
        <w:pStyle w:val="BodyText"/>
      </w:pPr>
    </w:p>
    <w:p>
      <w:pPr>
        <w:pStyle w:val="BodyText"/>
        <w:spacing w:before="2"/>
        <w:rPr>
          <w:sz w:val="10"/>
        </w:rPr>
      </w:pPr>
      <w:r>
        <w:rPr/>
        <w:pict>
          <v:line style="position:absolute;mso-position-horizontal-relative:page;mso-position-vertical-relative:paragraph;z-index:-904;mso-wrap-distance-left:0;mso-wrap-distance-right:0" from="70.960999pt,8.065808pt" to="214.960999pt,8.065808pt" stroked="true" strokeweight=".48pt" strokecolor="#000000">
            <v:stroke dashstyle="solid"/>
            <w10:wrap type="topAndBottom"/>
          </v:line>
        </w:pict>
      </w:r>
    </w:p>
    <w:p>
      <w:pPr>
        <w:spacing w:before="153"/>
        <w:ind w:left="577" w:right="545" w:hanging="159"/>
        <w:jc w:val="both"/>
        <w:rPr>
          <w:sz w:val="18"/>
        </w:rPr>
      </w:pPr>
      <w:r>
        <w:rPr>
          <w:position w:val="8"/>
          <w:sz w:val="12"/>
        </w:rPr>
        <w:t>1 </w:t>
      </w:r>
      <w:r>
        <w:rPr>
          <w:sz w:val="18"/>
        </w:rPr>
        <w:t>Intergovernmental Panel on Climate Change (IPCC). (1997). Houghton J.T., Meira Filho L.G., Lim B., Tréanton K., Mamaty I., Bonduki Y., Griggs D.J. and Callander B.A. (Eds). </w:t>
      </w:r>
      <w:r>
        <w:rPr>
          <w:i/>
          <w:sz w:val="18"/>
        </w:rPr>
        <w:t>Revised 1996 IPCC Guidelines for National Greenhouse Inventories</w:t>
      </w:r>
      <w:r>
        <w:rPr>
          <w:sz w:val="18"/>
        </w:rPr>
        <w:t>. IPCC/OECD/IEA, Paris, France.</w:t>
      </w:r>
    </w:p>
    <w:p>
      <w:pPr>
        <w:spacing w:before="94"/>
        <w:ind w:left="577" w:right="545" w:hanging="159"/>
        <w:jc w:val="both"/>
        <w:rPr>
          <w:sz w:val="18"/>
        </w:rPr>
      </w:pPr>
      <w:r>
        <w:rPr>
          <w:position w:val="8"/>
          <w:sz w:val="12"/>
        </w:rPr>
        <w:t>2 </w:t>
      </w:r>
      <w:r>
        <w:rPr>
          <w:sz w:val="18"/>
        </w:rPr>
        <w:t>Notably the Report of the Fourth Session of the Subsidiary Body for Scientific and Technological Advice (FCCC/SBSTA/1996/20), paragraph 30; decisions 2/CP.3 and 3/CP.5 (UNFCCC reporting guidelines for preparation of national communications by Parties included in Annex I to the Convention, part I: UNFCCC reporting guidelines on annual inventories), 18/CP.8 revising the guidelines adopted under 3/CP.5, and 17/CP.8 adopting improved guidelines for the preparation of national communications from Parties not included in Annex I to the</w:t>
      </w:r>
      <w:r>
        <w:rPr>
          <w:spacing w:val="-15"/>
          <w:sz w:val="18"/>
        </w:rPr>
        <w:t> </w:t>
      </w:r>
      <w:r>
        <w:rPr>
          <w:sz w:val="18"/>
        </w:rPr>
        <w:t>Convention.</w:t>
      </w:r>
    </w:p>
    <w:p>
      <w:pPr>
        <w:spacing w:before="96"/>
        <w:ind w:left="577" w:right="545" w:hanging="159"/>
        <w:jc w:val="both"/>
        <w:rPr>
          <w:sz w:val="18"/>
        </w:rPr>
      </w:pPr>
      <w:r>
        <w:rPr>
          <w:position w:val="8"/>
          <w:sz w:val="12"/>
        </w:rPr>
        <w:t>3 </w:t>
      </w:r>
      <w:r>
        <w:rPr>
          <w:sz w:val="18"/>
        </w:rPr>
        <w:t>Intergovernmental Panel on Climate Change (IPCC) (2000). Penman J., Kruger D., Galbally I., Hiraishi T., Nyenzi B., Emmanuel S., Buendia L., Hoppaus R., Martinsen T., Meijer J., Miwa K., and Tanabe K. (Eds). </w:t>
      </w:r>
      <w:r>
        <w:rPr>
          <w:i/>
          <w:sz w:val="18"/>
        </w:rPr>
        <w:t>Good Practice Guidance and Uncertainty Management in National Greenhouse Gas Inventories</w:t>
      </w:r>
      <w:r>
        <w:rPr>
          <w:sz w:val="18"/>
        </w:rPr>
        <w:t>. IPCC/OECD/IEA/IGES, Hayama, Japan.</w:t>
      </w:r>
    </w:p>
    <w:p>
      <w:pPr>
        <w:spacing w:before="96"/>
        <w:ind w:left="419" w:right="0" w:firstLine="0"/>
        <w:jc w:val="left"/>
        <w:rPr>
          <w:sz w:val="18"/>
        </w:rPr>
      </w:pPr>
      <w:r>
        <w:rPr>
          <w:position w:val="8"/>
          <w:sz w:val="12"/>
        </w:rPr>
        <w:t>4 </w:t>
      </w:r>
      <w:r>
        <w:rPr>
          <w:sz w:val="18"/>
        </w:rPr>
        <w:t>Report of the Twelfth session of the SBSTA (FCCC/SBSTA/2000/5), paragraph 40 and decisions 3/CP.5 and 19/CP.8.</w:t>
      </w:r>
    </w:p>
    <w:p>
      <w:pPr>
        <w:spacing w:before="96"/>
        <w:ind w:left="577" w:right="543" w:hanging="159"/>
        <w:jc w:val="both"/>
        <w:rPr>
          <w:sz w:val="18"/>
        </w:rPr>
      </w:pPr>
      <w:r>
        <w:rPr>
          <w:position w:val="8"/>
          <w:sz w:val="12"/>
        </w:rPr>
        <w:t>5 </w:t>
      </w:r>
      <w:r>
        <w:rPr>
          <w:sz w:val="18"/>
        </w:rPr>
        <w:t>Decisions 1/CP.7 to 24/CP.7, decision 21/CP.7 refers specifically to the use of </w:t>
      </w:r>
      <w:r>
        <w:rPr>
          <w:i/>
          <w:sz w:val="18"/>
        </w:rPr>
        <w:t>Good Practice Guidance </w:t>
      </w:r>
      <w:r>
        <w:rPr>
          <w:sz w:val="18"/>
        </w:rPr>
        <w:t>in the context of  the Kyoto</w:t>
      </w:r>
      <w:r>
        <w:rPr>
          <w:spacing w:val="-3"/>
          <w:sz w:val="18"/>
        </w:rPr>
        <w:t> </w:t>
      </w:r>
      <w:r>
        <w:rPr>
          <w:sz w:val="18"/>
        </w:rPr>
        <w:t>Protocol.</w:t>
      </w:r>
    </w:p>
    <w:p>
      <w:pPr>
        <w:spacing w:before="95"/>
        <w:ind w:left="577" w:right="545" w:hanging="159"/>
        <w:jc w:val="both"/>
        <w:rPr>
          <w:sz w:val="18"/>
        </w:rPr>
      </w:pPr>
      <w:r>
        <w:rPr>
          <w:position w:val="8"/>
          <w:sz w:val="12"/>
        </w:rPr>
        <w:t>6 </w:t>
      </w:r>
      <w:r>
        <w:rPr>
          <w:sz w:val="18"/>
        </w:rPr>
        <w:t>The </w:t>
      </w:r>
      <w:r>
        <w:rPr>
          <w:i/>
          <w:sz w:val="18"/>
        </w:rPr>
        <w:t>IPCC Guidelines </w:t>
      </w:r>
      <w:r>
        <w:rPr>
          <w:sz w:val="18"/>
        </w:rPr>
        <w:t>refer to Land-Use Change and Forestry (LUCF), but Land Use, Land-Use Change and Forestry (LULUCF) has become the usual term in UNFCCC negotiations and was adopted for the title of IPCC’s 2000 Special Report on the subject. LUCF is used in this report when referring specifically to the </w:t>
      </w:r>
      <w:r>
        <w:rPr>
          <w:i/>
          <w:sz w:val="18"/>
        </w:rPr>
        <w:t>IPCC Guidelines</w:t>
      </w:r>
      <w:r>
        <w:rPr>
          <w:sz w:val="18"/>
        </w:rPr>
        <w:t>.</w:t>
      </w:r>
    </w:p>
    <w:p>
      <w:pPr>
        <w:spacing w:after="0"/>
        <w:jc w:val="both"/>
        <w:rPr>
          <w:sz w:val="18"/>
        </w:rPr>
        <w:sectPr>
          <w:pgSz w:w="11900" w:h="16840"/>
          <w:pgMar w:header="230" w:footer="408" w:top="560" w:bottom="600" w:left="1000" w:right="860"/>
        </w:sectPr>
      </w:pPr>
    </w:p>
    <w:p>
      <w:pPr>
        <w:pStyle w:val="BodyText"/>
        <w:spacing w:before="8"/>
        <w:rPr>
          <w:sz w:val="27"/>
        </w:rPr>
      </w:pPr>
    </w:p>
    <w:p>
      <w:pPr>
        <w:pStyle w:val="BodyText"/>
        <w:spacing w:before="121"/>
        <w:ind w:left="419" w:right="520"/>
      </w:pPr>
      <w:r>
        <w:rPr/>
        <w:t>and Marrakesh (November 2001). Paragraph 3 in the Decision 11/CP.7</w:t>
      </w:r>
      <w:r>
        <w:rPr>
          <w:vertAlign w:val="superscript"/>
        </w:rPr>
        <w:t>7</w:t>
      </w:r>
      <w:r>
        <w:rPr>
          <w:vertAlign w:val="baseline"/>
        </w:rPr>
        <w:t> agreed at COP7 contains the requests to the IPCC (see Box 1.2.1).</w:t>
      </w:r>
    </w:p>
    <w:p>
      <w:pPr>
        <w:pStyle w:val="BodyText"/>
        <w:rPr>
          <w:sz w:val="22"/>
        </w:rPr>
      </w:pPr>
    </w:p>
    <w:p>
      <w:pPr>
        <w:pStyle w:val="BodyText"/>
        <w:spacing w:before="9"/>
        <w:rPr>
          <w:sz w:val="30"/>
        </w:rPr>
      </w:pPr>
    </w:p>
    <w:p>
      <w:pPr>
        <w:spacing w:line="207" w:lineRule="exact" w:before="0"/>
        <w:ind w:left="129" w:right="260" w:firstLine="0"/>
        <w:jc w:val="center"/>
        <w:rPr>
          <w:b/>
          <w:sz w:val="18"/>
        </w:rPr>
      </w:pPr>
      <w:r>
        <w:rPr/>
        <w:pict>
          <v:group style="position:absolute;margin-left:91.240997pt;margin-top:-6.477354pt;width:412.95pt;height:397.35pt;mso-position-horizontal-relative:page;mso-position-vertical-relative:paragraph;z-index:-2454976" coordorigin="1825,-130" coordsize="8259,7947">
            <v:line style="position:absolute" from="1854,-115" to="10054,-115" stroked="true" strokeweight="1.44pt" strokecolor="#000000">
              <v:stroke dashstyle="solid"/>
            </v:line>
            <v:shape style="position:absolute;left:1839;top:-130;width:8216;height:7947" coordorigin="1839,-130" coordsize="8216,7947" path="m1854,7802l10054,7802m1839,-130l1839,7817e" filled="false" stroked="true" strokeweight="1.44pt" strokecolor="#000000">
              <v:path arrowok="t"/>
              <v:stroke dashstyle="solid"/>
            </v:shape>
            <v:line style="position:absolute" from="10069,-130" to="10069,7817" stroked="true" strokeweight="1.44pt" strokecolor="#000000">
              <v:stroke dashstyle="solid"/>
            </v:line>
            <w10:wrap type="none"/>
          </v:group>
        </w:pict>
      </w:r>
      <w:r>
        <w:rPr>
          <w:b/>
          <w:sz w:val="18"/>
        </w:rPr>
        <w:t>B</w:t>
      </w:r>
      <w:r>
        <w:rPr>
          <w:b/>
          <w:sz w:val="14"/>
        </w:rPr>
        <w:t>OX </w:t>
      </w:r>
      <w:r>
        <w:rPr>
          <w:b/>
          <w:sz w:val="18"/>
        </w:rPr>
        <w:t>1.2.1</w:t>
      </w:r>
    </w:p>
    <w:p>
      <w:pPr>
        <w:spacing w:line="207" w:lineRule="exact" w:before="0"/>
        <w:ind w:left="131" w:right="260" w:firstLine="0"/>
        <w:jc w:val="center"/>
        <w:rPr>
          <w:b/>
          <w:sz w:val="18"/>
        </w:rPr>
      </w:pPr>
      <w:r>
        <w:rPr>
          <w:b/>
          <w:sz w:val="18"/>
        </w:rPr>
        <w:t>I</w:t>
      </w:r>
      <w:r>
        <w:rPr>
          <w:b/>
          <w:sz w:val="14"/>
        </w:rPr>
        <w:t>NVITATION TO THE </w:t>
      </w:r>
      <w:r>
        <w:rPr>
          <w:b/>
          <w:sz w:val="18"/>
        </w:rPr>
        <w:t>IPCC </w:t>
      </w:r>
      <w:r>
        <w:rPr>
          <w:b/>
          <w:sz w:val="14"/>
        </w:rPr>
        <w:t>IN THE MARRAKESH ACCORDS</w:t>
      </w:r>
      <w:r>
        <w:rPr>
          <w:b/>
          <w:sz w:val="18"/>
        </w:rPr>
        <w:t>, </w:t>
      </w:r>
      <w:r>
        <w:rPr>
          <w:b/>
          <w:sz w:val="14"/>
        </w:rPr>
        <w:t>DECISION </w:t>
      </w:r>
      <w:r>
        <w:rPr>
          <w:b/>
          <w:sz w:val="18"/>
        </w:rPr>
        <w:t>11/CP.7</w:t>
      </w:r>
    </w:p>
    <w:p>
      <w:pPr>
        <w:pStyle w:val="BodyText"/>
        <w:spacing w:before="113"/>
        <w:ind w:left="980"/>
        <w:jc w:val="both"/>
      </w:pPr>
      <w:r>
        <w:rPr/>
        <w:t>The Conference of Parties…..</w:t>
      </w:r>
    </w:p>
    <w:p>
      <w:pPr>
        <w:pStyle w:val="BodyText"/>
        <w:spacing w:before="120"/>
        <w:ind w:left="980"/>
        <w:jc w:val="both"/>
      </w:pPr>
      <w:r>
        <w:rPr>
          <w:i/>
        </w:rPr>
        <w:t>3. Invites </w:t>
      </w:r>
      <w:r>
        <w:rPr/>
        <w:t>the Intergovernmental Panel on Climate Change (IPCC):</w:t>
      </w:r>
    </w:p>
    <w:p>
      <w:pPr>
        <w:pStyle w:val="ListParagraph"/>
        <w:numPr>
          <w:ilvl w:val="0"/>
          <w:numId w:val="6"/>
        </w:numPr>
        <w:tabs>
          <w:tab w:pos="1269" w:val="left" w:leader="none"/>
        </w:tabs>
        <w:spacing w:line="240" w:lineRule="auto" w:before="121" w:after="0"/>
        <w:ind w:left="980" w:right="1106" w:firstLine="0"/>
        <w:jc w:val="both"/>
        <w:rPr>
          <w:sz w:val="20"/>
        </w:rPr>
      </w:pPr>
      <w:r>
        <w:rPr>
          <w:sz w:val="20"/>
        </w:rPr>
        <w:t>To elaborate methods to estimate, measure, monitor, and report changes in carbon stocks and anthropogenic greenhouse gas emissions by sources and removals by sinks resulting from land use, land-use change and forestry activities under Article 3, paragraphs 3 and 4, and Articles 6 and 12 of the Kyoto Protocol, on the basis of the </w:t>
      </w:r>
      <w:r>
        <w:rPr>
          <w:i/>
          <w:sz w:val="20"/>
        </w:rPr>
        <w:t>Revised 1996 Intergovernmental Panel on Climate Change Guidelines for National Greenhouse Gas Inventories</w:t>
      </w:r>
      <w:r>
        <w:rPr>
          <w:sz w:val="20"/>
        </w:rPr>
        <w:t>, taking into account the present decision (11/CP.7), and draft decision -/CMP.1 (</w:t>
      </w:r>
      <w:r>
        <w:rPr>
          <w:i/>
          <w:sz w:val="20"/>
        </w:rPr>
        <w:t>Land use, land-use change and forestry</w:t>
      </w:r>
      <w:r>
        <w:rPr>
          <w:sz w:val="20"/>
        </w:rPr>
        <w:t>) attached hereto, to be submitted for consideration and possible adoption to the Conference of the Parties at its ninth</w:t>
      </w:r>
      <w:r>
        <w:rPr>
          <w:spacing w:val="-3"/>
          <w:sz w:val="20"/>
        </w:rPr>
        <w:t> </w:t>
      </w:r>
      <w:r>
        <w:rPr>
          <w:sz w:val="20"/>
        </w:rPr>
        <w:t>session;</w:t>
      </w:r>
    </w:p>
    <w:p>
      <w:pPr>
        <w:pStyle w:val="ListParagraph"/>
        <w:numPr>
          <w:ilvl w:val="0"/>
          <w:numId w:val="6"/>
        </w:numPr>
        <w:tabs>
          <w:tab w:pos="1293" w:val="left" w:leader="none"/>
        </w:tabs>
        <w:spacing w:line="240" w:lineRule="auto" w:before="118" w:after="0"/>
        <w:ind w:left="980" w:right="1104" w:firstLine="0"/>
        <w:jc w:val="both"/>
        <w:rPr>
          <w:sz w:val="20"/>
        </w:rPr>
      </w:pPr>
      <w:r>
        <w:rPr>
          <w:sz w:val="20"/>
        </w:rPr>
        <w:t>To prepare a report on </w:t>
      </w:r>
      <w:r>
        <w:rPr>
          <w:i/>
          <w:sz w:val="20"/>
        </w:rPr>
        <w:t>good practice guidance </w:t>
      </w:r>
      <w:r>
        <w:rPr>
          <w:sz w:val="20"/>
        </w:rPr>
        <w:t>and uncertainty management relating to the measurement, estimation, assessment of uncertainties, monitoring and reporting of net carbon stock changes and anthropogenic greenhouse gas emissions by sources and removals by sinks in land use, land-use change and forestry sector, taking into consideration the present decision (11/CP.7) and draft decision -/CMP.1 (</w:t>
      </w:r>
      <w:r>
        <w:rPr>
          <w:i/>
          <w:sz w:val="20"/>
        </w:rPr>
        <w:t>Land use, land-use change and forestry</w:t>
      </w:r>
      <w:r>
        <w:rPr>
          <w:sz w:val="20"/>
        </w:rPr>
        <w:t>) attached hereto, to be submitted for consideration and possible adoption to the Conference of the Parties at its ninth session;</w:t>
      </w:r>
    </w:p>
    <w:p>
      <w:pPr>
        <w:pStyle w:val="ListParagraph"/>
        <w:numPr>
          <w:ilvl w:val="0"/>
          <w:numId w:val="6"/>
        </w:numPr>
        <w:tabs>
          <w:tab w:pos="1262" w:val="left" w:leader="none"/>
        </w:tabs>
        <w:spacing w:line="240" w:lineRule="auto" w:before="118" w:after="0"/>
        <w:ind w:left="980" w:right="1106" w:firstLine="0"/>
        <w:jc w:val="both"/>
        <w:rPr>
          <w:sz w:val="20"/>
        </w:rPr>
      </w:pPr>
      <w:r>
        <w:rPr>
          <w:sz w:val="20"/>
        </w:rPr>
        <w:t>To develop definitions for direct human-induced ‘degradation’ of forests and ‘devegetation’ of other vegetation types and methodological options to inventory and report on emissions resulting from these activities, to be submitted for consideration and possible adoption to the Conference of the Parties at its ninth session;</w:t>
      </w:r>
      <w:r>
        <w:rPr>
          <w:spacing w:val="3"/>
          <w:sz w:val="20"/>
        </w:rPr>
        <w:t> </w:t>
      </w:r>
      <w:r>
        <w:rPr>
          <w:sz w:val="20"/>
        </w:rPr>
        <w:t>and</w:t>
      </w:r>
    </w:p>
    <w:p>
      <w:pPr>
        <w:pStyle w:val="ListParagraph"/>
        <w:numPr>
          <w:ilvl w:val="0"/>
          <w:numId w:val="6"/>
        </w:numPr>
        <w:tabs>
          <w:tab w:pos="1334" w:val="left" w:leader="none"/>
        </w:tabs>
        <w:spacing w:line="240" w:lineRule="auto" w:before="120" w:after="0"/>
        <w:ind w:left="980" w:right="1106" w:firstLine="51"/>
        <w:jc w:val="both"/>
        <w:rPr>
          <w:sz w:val="20"/>
        </w:rPr>
      </w:pPr>
      <w:r>
        <w:rPr>
          <w:sz w:val="20"/>
        </w:rPr>
        <w:t>To develop practicable methodologies to factor out direct human-induced changes in carbon stocks and greenhouse gas emissions by sources and removals by sinks from changes in carbon stocks and greenhouse gas emissions by sources and removals by sinks due to indirect human- induced and natural effects (such as those from carbon dioxide fertilization and nitrogen deposition), and effects due to past practices in forests (pre-reference year), to be submitted to the Conference of the Parties at its tenth</w:t>
      </w:r>
      <w:r>
        <w:rPr>
          <w:spacing w:val="-7"/>
          <w:sz w:val="20"/>
        </w:rPr>
        <w:t> </w:t>
      </w:r>
      <w:r>
        <w:rPr>
          <w:sz w:val="20"/>
        </w:rPr>
        <w:t>session.</w:t>
      </w:r>
    </w:p>
    <w:p>
      <w:pPr>
        <w:spacing w:before="120"/>
        <w:ind w:left="980" w:right="0" w:firstLine="0"/>
        <w:jc w:val="both"/>
        <w:rPr>
          <w:i/>
          <w:sz w:val="20"/>
        </w:rPr>
      </w:pPr>
      <w:r>
        <w:rPr>
          <w:i/>
          <w:sz w:val="20"/>
        </w:rPr>
        <w:t>. . .</w:t>
      </w:r>
    </w:p>
    <w:p>
      <w:pPr>
        <w:pStyle w:val="BodyText"/>
        <w:rPr>
          <w:i/>
        </w:rPr>
      </w:pPr>
    </w:p>
    <w:p>
      <w:pPr>
        <w:pStyle w:val="BodyText"/>
        <w:spacing w:before="1"/>
        <w:rPr>
          <w:i/>
          <w:sz w:val="24"/>
        </w:rPr>
      </w:pPr>
    </w:p>
    <w:p>
      <w:pPr>
        <w:spacing w:before="91"/>
        <w:ind w:left="419" w:right="499" w:firstLine="0"/>
        <w:jc w:val="both"/>
        <w:rPr>
          <w:sz w:val="20"/>
        </w:rPr>
      </w:pPr>
      <w:r>
        <w:rPr>
          <w:sz w:val="20"/>
        </w:rPr>
        <w:t>The invitations in paragraphs 3(a) and 3(b) of 11/CP.7 are closely linked, and therefore the IPCC has responded to them by producing a single report on </w:t>
      </w:r>
      <w:r>
        <w:rPr>
          <w:i/>
          <w:sz w:val="20"/>
        </w:rPr>
        <w:t>Good Practice Guidance for LULUCF</w:t>
      </w:r>
      <w:r>
        <w:rPr>
          <w:sz w:val="20"/>
        </w:rPr>
        <w:t>, on the basis of the </w:t>
      </w:r>
      <w:r>
        <w:rPr>
          <w:i/>
          <w:sz w:val="20"/>
        </w:rPr>
        <w:t>IPCC Guidelines. </w:t>
      </w:r>
      <w:r>
        <w:rPr>
          <w:sz w:val="20"/>
        </w:rPr>
        <w:t>This single report completes the set of </w:t>
      </w:r>
      <w:r>
        <w:rPr>
          <w:i/>
          <w:sz w:val="20"/>
        </w:rPr>
        <w:t>good practice guidance </w:t>
      </w:r>
      <w:r>
        <w:rPr>
          <w:sz w:val="20"/>
        </w:rPr>
        <w:t>for all sectors of the </w:t>
      </w:r>
      <w:r>
        <w:rPr>
          <w:i/>
          <w:sz w:val="20"/>
        </w:rPr>
        <w:t>IPCC Guidelines</w:t>
      </w:r>
      <w:r>
        <w:rPr>
          <w:sz w:val="20"/>
        </w:rPr>
        <w:t>. The first volume of the </w:t>
      </w:r>
      <w:r>
        <w:rPr>
          <w:i/>
          <w:sz w:val="20"/>
        </w:rPr>
        <w:t>good practice guidance </w:t>
      </w:r>
      <w:r>
        <w:rPr>
          <w:sz w:val="20"/>
        </w:rPr>
        <w:t>(</w:t>
      </w:r>
      <w:r>
        <w:rPr>
          <w:i/>
          <w:sz w:val="20"/>
        </w:rPr>
        <w:t>GPG2000) </w:t>
      </w:r>
      <w:r>
        <w:rPr>
          <w:sz w:val="20"/>
        </w:rPr>
        <w:t>covers other sectors of the </w:t>
      </w:r>
      <w:r>
        <w:rPr>
          <w:i/>
          <w:sz w:val="20"/>
        </w:rPr>
        <w:t>IPCC Guidelines </w:t>
      </w:r>
      <w:r>
        <w:rPr>
          <w:sz w:val="20"/>
        </w:rPr>
        <w:t>– namely Energy, Industrial Processes, Agriculture and</w:t>
      </w:r>
      <w:r>
        <w:rPr>
          <w:spacing w:val="-2"/>
          <w:sz w:val="20"/>
        </w:rPr>
        <w:t> </w:t>
      </w:r>
      <w:r>
        <w:rPr>
          <w:sz w:val="20"/>
        </w:rPr>
        <w:t>Waste.</w:t>
      </w:r>
    </w:p>
    <w:p>
      <w:pPr>
        <w:pStyle w:val="BodyText"/>
        <w:spacing w:before="120"/>
        <w:ind w:left="419" w:right="546"/>
        <w:jc w:val="both"/>
      </w:pPr>
      <w:r>
        <w:rPr/>
        <w:t>The IPCC is addressing the requests under the paragraphs 3(c) and 3(d) of 11/CP.7 separately, and this </w:t>
      </w:r>
      <w:r>
        <w:rPr>
          <w:i/>
        </w:rPr>
        <w:t>Good Practice Guidance for LULUCF </w:t>
      </w:r>
      <w:r>
        <w:rPr/>
        <w:t>does not rely on them for its application.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2"/>
        </w:rPr>
      </w:pPr>
      <w:r>
        <w:rPr/>
        <w:pict>
          <v:line style="position:absolute;mso-position-horizontal-relative:page;mso-position-vertical-relative:paragraph;z-index:-880;mso-wrap-distance-left:0;mso-wrap-distance-right:0" from="70.960999pt,15.321799pt" to="214.960999pt,15.321799pt" stroked="true" strokeweight=".48pt" strokecolor="#000000">
            <v:stroke dashstyle="solid"/>
            <w10:wrap type="topAndBottom"/>
          </v:line>
        </w:pict>
      </w:r>
    </w:p>
    <w:p>
      <w:pPr>
        <w:spacing w:before="150"/>
        <w:ind w:left="577" w:right="544" w:hanging="159"/>
        <w:jc w:val="both"/>
        <w:rPr>
          <w:sz w:val="18"/>
        </w:rPr>
      </w:pPr>
      <w:r>
        <w:rPr>
          <w:position w:val="8"/>
          <w:sz w:val="12"/>
        </w:rPr>
        <w:t>7 </w:t>
      </w:r>
      <w:r>
        <w:rPr>
          <w:sz w:val="18"/>
        </w:rPr>
        <w:t>The designation 11/CP.7 means the 11th decision adopted by the COP to the UNFCCC  at  its  7th  session.  The  designation -/CMP.1 refers to draft decisions which will be considered by the COP when it meets for the first time serving as the Meeting of the Parties to the Kyoto</w:t>
      </w:r>
      <w:r>
        <w:rPr>
          <w:spacing w:val="-10"/>
          <w:sz w:val="18"/>
        </w:rPr>
        <w:t> </w:t>
      </w:r>
      <w:r>
        <w:rPr>
          <w:sz w:val="18"/>
        </w:rPr>
        <w:t>Protocol.</w:t>
      </w:r>
    </w:p>
    <w:p>
      <w:pPr>
        <w:spacing w:after="0"/>
        <w:jc w:val="both"/>
        <w:rPr>
          <w:sz w:val="18"/>
        </w:rPr>
        <w:sectPr>
          <w:pgSz w:w="11900" w:h="16840"/>
          <w:pgMar w:header="230" w:footer="408" w:top="560" w:bottom="600" w:left="1000" w:right="860"/>
        </w:sectPr>
      </w:pPr>
    </w:p>
    <w:p>
      <w:pPr>
        <w:pStyle w:val="BodyText"/>
      </w:pPr>
    </w:p>
    <w:p>
      <w:pPr>
        <w:pStyle w:val="BodyText"/>
      </w:pPr>
    </w:p>
    <w:p>
      <w:pPr>
        <w:pStyle w:val="Heading2"/>
        <w:numPr>
          <w:ilvl w:val="1"/>
          <w:numId w:val="5"/>
        </w:numPr>
        <w:tabs>
          <w:tab w:pos="1621" w:val="left" w:leader="none"/>
          <w:tab w:pos="1622" w:val="left" w:leader="none"/>
        </w:tabs>
        <w:spacing w:line="240" w:lineRule="auto" w:before="225" w:after="0"/>
        <w:ind w:left="1621" w:right="772" w:hanging="1202"/>
        <w:jc w:val="left"/>
      </w:pPr>
      <w:r>
        <w:rPr>
          <w:spacing w:val="17"/>
        </w:rPr>
        <w:t>DEFINITION </w:t>
      </w:r>
      <w:r>
        <w:rPr>
          <w:spacing w:val="9"/>
        </w:rPr>
        <w:t>OF </w:t>
      </w:r>
      <w:r>
        <w:rPr>
          <w:spacing w:val="18"/>
        </w:rPr>
        <w:t>INVENTORIES </w:t>
      </w:r>
      <w:r>
        <w:rPr>
          <w:spacing w:val="19"/>
        </w:rPr>
        <w:t>CONSISTENT </w:t>
      </w:r>
      <w:r>
        <w:rPr>
          <w:spacing w:val="15"/>
        </w:rPr>
        <w:t>WITH GOOD </w:t>
      </w:r>
      <w:r>
        <w:rPr>
          <w:spacing w:val="17"/>
        </w:rPr>
        <w:t>PRACTICE</w:t>
      </w:r>
      <w:r>
        <w:rPr>
          <w:spacing w:val="94"/>
        </w:rPr>
        <w:t> </w:t>
      </w:r>
      <w:r>
        <w:rPr>
          <w:spacing w:val="19"/>
        </w:rPr>
        <w:t>GUIDANCE</w:t>
      </w:r>
    </w:p>
    <w:p>
      <w:pPr>
        <w:pStyle w:val="BodyText"/>
        <w:spacing w:before="175"/>
        <w:ind w:left="419" w:right="549"/>
        <w:jc w:val="both"/>
      </w:pPr>
      <w:r>
        <w:rPr>
          <w:i/>
        </w:rPr>
        <w:t>GPG2000 </w:t>
      </w:r>
      <w:r>
        <w:rPr/>
        <w:t>defines inventories consistent with </w:t>
      </w:r>
      <w:r>
        <w:rPr>
          <w:i/>
        </w:rPr>
        <w:t>good practice </w:t>
      </w:r>
      <w:r>
        <w:rPr/>
        <w:t>as those which contain neither over- nor under- estimates so far as can be judged, and in which uncertainties are reduced as far as is practicable</w:t>
      </w:r>
      <w:r>
        <w:rPr>
          <w:vertAlign w:val="superscript"/>
        </w:rPr>
        <w:t>8</w:t>
      </w:r>
      <w:r>
        <w:rPr>
          <w:vertAlign w:val="baseline"/>
        </w:rPr>
        <w:t>.</w:t>
      </w:r>
    </w:p>
    <w:p>
      <w:pPr>
        <w:pStyle w:val="BodyText"/>
        <w:spacing w:before="118"/>
        <w:ind w:left="419" w:right="544"/>
        <w:jc w:val="both"/>
      </w:pPr>
      <w:r>
        <w:rPr/>
        <w:t>When applied to LULUCF, this definition from </w:t>
      </w:r>
      <w:r>
        <w:rPr>
          <w:i/>
        </w:rPr>
        <w:t>GPG2000 </w:t>
      </w:r>
      <w:r>
        <w:rPr/>
        <w:t>should ensure that estimates of carbon stock changes, emissions by sources and removals by sinks, even if uncertain, are </w:t>
      </w:r>
      <w:r>
        <w:rPr>
          <w:i/>
        </w:rPr>
        <w:t>bona fide </w:t>
      </w:r>
      <w:r>
        <w:rPr/>
        <w:t>estimates, in the sense of not containing any biases that could have been identified and eliminated, and that uncertainties have been reduced as far as practicable given national circumstances. Estimates of this type are presumably the best attainable, given current scientific knowledge and available resources. </w:t>
      </w:r>
      <w:r>
        <w:rPr>
          <w:i/>
        </w:rPr>
        <w:t>Good practice </w:t>
      </w:r>
      <w:r>
        <w:rPr/>
        <w:t>aims to satisfy the definition by providing guidance on:</w:t>
      </w:r>
    </w:p>
    <w:p>
      <w:pPr>
        <w:pStyle w:val="ListParagraph"/>
        <w:numPr>
          <w:ilvl w:val="0"/>
          <w:numId w:val="2"/>
        </w:numPr>
        <w:tabs>
          <w:tab w:pos="779" w:val="left" w:leader="none"/>
          <w:tab w:pos="780" w:val="left" w:leader="none"/>
        </w:tabs>
        <w:spacing w:line="240" w:lineRule="auto" w:before="135" w:after="0"/>
        <w:ind w:left="779" w:right="0" w:hanging="360"/>
        <w:jc w:val="left"/>
        <w:rPr>
          <w:sz w:val="20"/>
        </w:rPr>
      </w:pPr>
      <w:r>
        <w:rPr>
          <w:sz w:val="20"/>
        </w:rPr>
        <w:t>Choice of estimation method within the context of the </w:t>
      </w:r>
      <w:r>
        <w:rPr>
          <w:i/>
          <w:sz w:val="20"/>
        </w:rPr>
        <w:t>IPCC</w:t>
      </w:r>
      <w:r>
        <w:rPr>
          <w:i/>
          <w:spacing w:val="-9"/>
          <w:sz w:val="20"/>
        </w:rPr>
        <w:t> </w:t>
      </w:r>
      <w:r>
        <w:rPr>
          <w:i/>
          <w:sz w:val="20"/>
        </w:rPr>
        <w:t>Guidelines</w:t>
      </w:r>
      <w:r>
        <w:rPr>
          <w:sz w:val="20"/>
        </w:rPr>
        <w:t>;</w:t>
      </w:r>
    </w:p>
    <w:p>
      <w:pPr>
        <w:pStyle w:val="ListParagraph"/>
        <w:numPr>
          <w:ilvl w:val="0"/>
          <w:numId w:val="2"/>
        </w:numPr>
        <w:tabs>
          <w:tab w:pos="779" w:val="left" w:leader="none"/>
          <w:tab w:pos="780" w:val="left" w:leader="none"/>
        </w:tabs>
        <w:spacing w:line="240" w:lineRule="auto" w:before="118" w:after="0"/>
        <w:ind w:left="779" w:right="0" w:hanging="360"/>
        <w:jc w:val="left"/>
        <w:rPr>
          <w:sz w:val="20"/>
        </w:rPr>
      </w:pPr>
      <w:r>
        <w:rPr>
          <w:sz w:val="20"/>
        </w:rPr>
        <w:t>Quality assurance and quality control procedures to provide cross-checks during inventory</w:t>
      </w:r>
      <w:r>
        <w:rPr>
          <w:spacing w:val="-22"/>
          <w:sz w:val="20"/>
        </w:rPr>
        <w:t> </w:t>
      </w:r>
      <w:r>
        <w:rPr>
          <w:sz w:val="20"/>
        </w:rPr>
        <w:t>compilation;</w:t>
      </w:r>
    </w:p>
    <w:p>
      <w:pPr>
        <w:pStyle w:val="ListParagraph"/>
        <w:numPr>
          <w:ilvl w:val="0"/>
          <w:numId w:val="2"/>
        </w:numPr>
        <w:tabs>
          <w:tab w:pos="779" w:val="left" w:leader="none"/>
          <w:tab w:pos="780" w:val="left" w:leader="none"/>
        </w:tabs>
        <w:spacing w:line="223" w:lineRule="auto" w:before="128" w:after="0"/>
        <w:ind w:left="759" w:right="547" w:hanging="340"/>
        <w:jc w:val="left"/>
        <w:rPr>
          <w:sz w:val="20"/>
        </w:rPr>
      </w:pPr>
      <w:r>
        <w:rPr>
          <w:sz w:val="20"/>
        </w:rPr>
        <w:t>Data and information to be documented, archived and reported to facilitate review and assessment of inventory estimates;</w:t>
      </w:r>
      <w:r>
        <w:rPr>
          <w:spacing w:val="-5"/>
          <w:sz w:val="20"/>
        </w:rPr>
        <w:t> </w:t>
      </w:r>
      <w:r>
        <w:rPr>
          <w:sz w:val="20"/>
        </w:rPr>
        <w:t>and</w:t>
      </w:r>
    </w:p>
    <w:p>
      <w:pPr>
        <w:pStyle w:val="ListParagraph"/>
        <w:numPr>
          <w:ilvl w:val="0"/>
          <w:numId w:val="2"/>
        </w:numPr>
        <w:tabs>
          <w:tab w:pos="780" w:val="left" w:leader="none"/>
        </w:tabs>
        <w:spacing w:line="230" w:lineRule="auto" w:before="146" w:after="0"/>
        <w:ind w:left="776" w:right="545" w:hanging="357"/>
        <w:jc w:val="both"/>
        <w:rPr>
          <w:sz w:val="20"/>
        </w:rPr>
      </w:pPr>
      <w:r>
        <w:rPr>
          <w:sz w:val="20"/>
        </w:rPr>
        <w:t>Quantification of uncertainties at the source or sink category level and for the inventory as a whole, so that resources available can be directed toward reducing uncertainties over time, and the improvement can be tracked.</w:t>
      </w:r>
    </w:p>
    <w:p>
      <w:pPr>
        <w:pStyle w:val="BodyText"/>
        <w:spacing w:before="123"/>
        <w:ind w:left="419" w:right="544"/>
        <w:jc w:val="both"/>
      </w:pPr>
      <w:r>
        <w:rPr>
          <w:i/>
        </w:rPr>
        <w:t>Good practice guidance </w:t>
      </w:r>
      <w:r>
        <w:rPr/>
        <w:t>further supports the development of inventories that are transparent, documented, consistent over time, complete, comparable, assessed for uncertainties, subject to quality control and assurance, efficient in the use of resources available to inventory agencies, and in which uncertainties are reduced as better information becomes available.</w:t>
      </w:r>
    </w:p>
    <w:p>
      <w:pPr>
        <w:pStyle w:val="BodyText"/>
        <w:spacing w:before="119"/>
        <w:ind w:left="419" w:right="543"/>
        <w:jc w:val="both"/>
      </w:pPr>
      <w:r>
        <w:rPr>
          <w:i/>
        </w:rPr>
        <w:t>GPG2000 </w:t>
      </w:r>
      <w:r>
        <w:rPr/>
        <w:t>introduced a method to identify the </w:t>
      </w:r>
      <w:r>
        <w:rPr>
          <w:i/>
        </w:rPr>
        <w:t>key sources </w:t>
      </w:r>
      <w:r>
        <w:rPr/>
        <w:t>that should be prioritised by using more detailed (higher tier) estimation methods where resources are available, because of their significance in affecting absolute level or trend in emissions, their uncertainty, or qualitative factors such as unexpectedly high or low estimates. Chapter 5.4 of this report extends the key source analysis to LULUCF </w:t>
      </w:r>
      <w:r>
        <w:rPr>
          <w:i/>
        </w:rPr>
        <w:t>categories</w:t>
      </w:r>
      <w:r>
        <w:rPr/>
        <w:t>. The approach augments the key source categories identified without consideration of LULUCF by those identified as key by analysis of the whole inventory including LULUCF categories. Activities under Articles 3.3 and 3.4 of the Kyoto Protocol are key if the associated Chapter 3 category is key, or if the effect of activities spread over several Chapter 3 categories is larger than Chapter 3 categories that are key, or on qualitative grounds. The outcome of the </w:t>
      </w:r>
      <w:r>
        <w:rPr>
          <w:i/>
        </w:rPr>
        <w:t>key category </w:t>
      </w:r>
      <w:r>
        <w:rPr/>
        <w:t>analysis is then used in decision trees to guide the choice of estimation method for use in preparing the inventory. Figure 1.1 shows an example decision tree (the abbreviations LF, LG, LC, LW, LS and LO in Figure</w:t>
      </w:r>
    </w:p>
    <w:p>
      <w:pPr>
        <w:pStyle w:val="BodyText"/>
        <w:spacing w:before="2"/>
        <w:ind w:left="419"/>
        <w:jc w:val="both"/>
      </w:pPr>
      <w:r>
        <w:rPr/>
        <w:t>1.1 are explained in the “Abbreviations and Acronyms” at the end of this report).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3"/>
        </w:rPr>
      </w:pPr>
      <w:r>
        <w:rPr/>
        <w:pict>
          <v:line style="position:absolute;mso-position-horizontal-relative:page;mso-position-vertical-relative:paragraph;z-index:-832;mso-wrap-distance-left:0;mso-wrap-distance-right:0" from="70.960999pt,15.797871pt" to="214.960999pt,15.797871pt" stroked="true" strokeweight=".48pt" strokecolor="#000000">
            <v:stroke dashstyle="solid"/>
            <w10:wrap type="topAndBottom"/>
          </v:line>
        </w:pict>
      </w:r>
    </w:p>
    <w:p>
      <w:pPr>
        <w:spacing w:before="153"/>
        <w:ind w:left="419" w:right="0" w:firstLine="0"/>
        <w:jc w:val="left"/>
        <w:rPr>
          <w:sz w:val="18"/>
        </w:rPr>
      </w:pPr>
      <w:r>
        <w:rPr>
          <w:position w:val="8"/>
          <w:sz w:val="12"/>
        </w:rPr>
        <w:t>8 </w:t>
      </w:r>
      <w:r>
        <w:rPr>
          <w:sz w:val="18"/>
        </w:rPr>
        <w:t>See </w:t>
      </w:r>
      <w:r>
        <w:rPr>
          <w:i/>
          <w:sz w:val="18"/>
        </w:rPr>
        <w:t>GPG2000 </w:t>
      </w:r>
      <w:r>
        <w:rPr>
          <w:sz w:val="18"/>
        </w:rPr>
        <w:t>Section 1.3.</w:t>
      </w:r>
    </w:p>
    <w:p>
      <w:pPr>
        <w:spacing w:after="0"/>
        <w:jc w:val="left"/>
        <w:rPr>
          <w:sz w:val="18"/>
        </w:rPr>
        <w:sectPr>
          <w:pgSz w:w="11900" w:h="16840"/>
          <w:pgMar w:header="230" w:footer="408" w:top="560" w:bottom="600" w:left="1000" w:right="860"/>
        </w:sectPr>
      </w:pPr>
    </w:p>
    <w:p>
      <w:pPr>
        <w:pStyle w:val="BodyText"/>
      </w:pPr>
    </w:p>
    <w:p>
      <w:pPr>
        <w:pStyle w:val="BodyText"/>
      </w:pPr>
    </w:p>
    <w:p>
      <w:pPr>
        <w:pStyle w:val="BodyText"/>
        <w:spacing w:before="7"/>
        <w:rPr>
          <w:sz w:val="22"/>
        </w:rPr>
      </w:pPr>
    </w:p>
    <w:p>
      <w:pPr>
        <w:tabs>
          <w:tab w:pos="2120" w:val="left" w:leader="none"/>
        </w:tabs>
        <w:spacing w:before="0"/>
        <w:ind w:left="2120" w:right="595" w:hanging="1702"/>
        <w:jc w:val="left"/>
        <w:rPr>
          <w:b/>
          <w:sz w:val="20"/>
        </w:rPr>
      </w:pPr>
      <w:r>
        <w:rPr/>
        <w:pict>
          <v:group style="position:absolute;margin-left:71.786003pt;margin-top:41.360653pt;width:458.2pt;height:535.5pt;mso-position-horizontal-relative:page;mso-position-vertical-relative:paragraph;z-index:-208;mso-wrap-distance-left:0;mso-wrap-distance-right:0" coordorigin="1436,827" coordsize="9164,10710">
            <v:shape style="position:absolute;left:1733;top:4350;width:2448;height:6893" coordorigin="1734,4351" coordsize="2448,6893" path="m4182,11244l1734,11244,1734,4351e" filled="false" stroked="true" strokeweight=".75pt" strokecolor="#010101">
              <v:path arrowok="t"/>
              <v:stroke dashstyle="solid"/>
            </v:shape>
            <v:line style="position:absolute" from="4182,4351" to="1734,4351" stroked="true" strokeweight=".75pt" strokecolor="#010101">
              <v:stroke dashstyle="solid"/>
            </v:line>
            <v:line style="position:absolute" from="1590,2863" to="1590,11378" stroked="true" strokeweight=".75pt" strokecolor="#010101">
              <v:stroke dashstyle="solid"/>
            </v:line>
            <v:shape style="position:absolute;left:1445;top:834;width:3888;height:10680" coordorigin="1446,835" coordsize="3888,10680" path="m5334,835l1446,835,1446,11515e" filled="false" stroked="true" strokeweight=".75pt" strokecolor="#010101">
              <v:path arrowok="t"/>
              <v:stroke dashstyle="solid"/>
            </v:shape>
            <v:line style="position:absolute" from="4758,11378" to="1590,11378" stroked="true" strokeweight=".75pt" strokecolor="#010101">
              <v:stroke dashstyle="solid"/>
            </v:line>
            <v:line style="position:absolute" from="4758,2863" to="1590,2863" stroked="true" strokeweight=".75pt" strokecolor="#010101">
              <v:stroke dashstyle="solid"/>
            </v:line>
            <v:shape style="position:absolute;left:4160;top:863;width:2715;height:1448" coordorigin="4160,864" coordsize="2715,1448" path="m5518,864l4160,1586,5518,2311,6874,1586,5518,864xe" filled="false" stroked="true" strokeweight=".75pt" strokecolor="#010101">
              <v:path arrowok="t"/>
              <v:stroke dashstyle="solid"/>
            </v:shape>
            <v:shape style="position:absolute;left:6867;top:1521;width:898;height:120" coordorigin="6867,1521" coordsize="898,120" path="m7755,1574l7669,1574,7671,1576,7671,1584,7669,1588,7645,1588,7645,1641,7765,1579,7755,1574xm7645,1574l6874,1579,6870,1579,6867,1581,6867,1591,6870,1593,6874,1593,7645,1588,7645,1574xm7669,1574l7664,1574,7645,1574,7645,1588,7669,1588,7671,1584,7671,1576,7669,1574xm7645,1521l7645,1574,7755,1574,7645,1521xe" filled="true" fillcolor="#010101" stroked="false">
              <v:path arrowok="t"/>
              <v:fill type="solid"/>
            </v:shape>
            <v:shape style="position:absolute;left:4522;top:3033;width:1992;height:1088" coordorigin="4522,3033" coordsize="1992,1088" path="m5518,3033l4522,3578,5518,4120,6514,3578,5518,3033xe" filled="true" fillcolor="#ffffff" stroked="false">
              <v:path arrowok="t"/>
              <v:fill type="solid"/>
            </v:shape>
            <v:shape style="position:absolute;left:4522;top:3033;width:1992;height:1088" coordorigin="4522,3033" coordsize="1992,1088" path="m5518,3033l4522,3578,5518,4120,6514,3578,5518,3033xe" filled="false" stroked="true" strokeweight=".75pt" strokecolor="#010101">
              <v:path arrowok="t"/>
              <v:stroke dashstyle="solid"/>
            </v:shape>
            <v:shape style="position:absolute;left:4160;top:4482;width:2715;height:1760" coordorigin="4160,4483" coordsize="2715,1760" path="m5518,4483l4160,5364,5518,6242,6874,5364,5518,4483xe" filled="true" fillcolor="#ffffff" stroked="false">
              <v:path arrowok="t"/>
              <v:fill type="solid"/>
            </v:shape>
            <v:shape style="position:absolute;left:4160;top:4482;width:2715;height:1760" coordorigin="4160,4483" coordsize="2715,1760" path="m5518,4483l4160,5364,5518,6242,6874,5364,5518,4483xe" filled="false" stroked="true" strokeweight=".75pt" strokecolor="#010101">
              <v:path arrowok="t"/>
              <v:stroke dashstyle="solid"/>
            </v:shape>
            <v:shape style="position:absolute;left:6507;top:3520;width:1258;height:120" coordorigin="6507,3520" coordsize="1258,120" path="m7645,3573l7645,3640,7750,3588,7669,3588,7671,3583,7671,3576,7669,3573,7645,3573xm6514,3571l6510,3571,6507,3576,6507,3583,6510,3588,7645,3588,7645,3573,6514,3571xm7645,3520l7645,3573,7664,3573,7669,3573,7671,3576,7671,3583,7669,3588,7750,3588,7765,3580,7645,3520xe" filled="true" fillcolor="#010101" stroked="false">
              <v:path arrowok="t"/>
              <v:fill type="solid"/>
            </v:shape>
            <v:shape style="position:absolute;left:7419;top:4662;width:1911;height:1400" coordorigin="7419,4663" coordsize="1911,1400" path="m8374,4663l7419,5364,8374,6062,9330,5364,8374,4663xe" filled="false" stroked="true" strokeweight=".75pt" strokecolor="#010101">
              <v:path arrowok="t"/>
              <v:stroke dashstyle="solid"/>
            </v:shape>
            <v:shape style="position:absolute;left:6867;top:5303;width:552;height:120" coordorigin="6867,5304" coordsize="552,120" path="m7299,5304l7299,5424,7405,5371,7323,5371,7326,5368,7326,5359,7323,5356,7405,5356,7299,5304xm7299,5356l6870,5356,6867,5359,6867,5366,6870,5371,7299,5371,7299,5356xm7405,5356l7323,5356,7326,5359,7326,5368,7323,5371,7405,5371,7419,5364,7405,5356xe" filled="true" fillcolor="#010101" stroked="false">
              <v:path arrowok="t"/>
              <v:fill type="solid"/>
            </v:shape>
            <v:shape style="position:absolute;left:4522;top:6474;width:1992;height:1085" coordorigin="4522,6475" coordsize="1992,1085" path="m5518,6475l4522,7017,5518,7560,6514,7017,5518,6475xe" filled="true" fillcolor="#ffffff" stroked="false">
              <v:path arrowok="t"/>
              <v:fill type="solid"/>
            </v:shape>
            <v:shape style="position:absolute;left:4522;top:6474;width:1992;height:1085" coordorigin="4522,6475" coordsize="1992,1085" path="m5518,6475l4522,7017,5518,7560,6514,7017,5518,6475xe" filled="false" stroked="true" strokeweight=".75pt" strokecolor="#010101">
              <v:path arrowok="t"/>
              <v:stroke dashstyle="solid"/>
            </v:shape>
            <v:shape style="position:absolute;left:4342;top:8190;width:2352;height:1812" coordorigin="4342,8191" coordsize="2352,1812" path="m5518,8191l4342,9098,5518,10003,6694,9098,5518,8191xe" filled="true" fillcolor="#ffffff" stroked="false">
              <v:path arrowok="t"/>
              <v:fill type="solid"/>
            </v:shape>
            <v:shape style="position:absolute;left:4342;top:8190;width:2352;height:1812" coordorigin="4342,8191" coordsize="2352,1812" path="m5518,8191l4342,9098,5518,10003,6694,9098,5518,8191xe" filled="false" stroked="true" strokeweight=".75pt" strokecolor="#010101">
              <v:path arrowok="t"/>
              <v:stroke dashstyle="solid"/>
            </v:shape>
            <v:rect style="position:absolute;left:2892;top:9817;width:2172;height:1349" filled="true" fillcolor="#ffffff" stroked="false">
              <v:fill type="solid"/>
            </v:rect>
            <v:rect style="position:absolute;left:6149;top:9817;width:1810;height:1349" filled="true" fillcolor="#ffffff" stroked="false">
              <v:fill type="solid"/>
            </v:rect>
            <v:shape style="position:absolute;left:3920;top:9090;width:430;height:716" coordorigin="3920,9091" coordsize="430,716" path="m3973,9686l3920,9686,3980,9806,4027,9712,3975,9712,3973,9710,3973,9686xm4345,9091l3975,9091,3973,9096,3973,9710,3975,9712,3985,9712,3987,9710,3987,9108,3980,9108,3987,9098,4350,9098,4350,9096,4345,9091xm4040,9686l3987,9686,3987,9710,3985,9712,4027,9712,4040,9686xm3987,9098l3980,9108,3987,9108,3987,9098xm4350,9098l3987,9098,3987,9108,4345,9108,4350,9103,4350,9098xe" filled="true" fillcolor="#010101" stroked="false">
              <v:path arrowok="t"/>
              <v:fill type="solid"/>
            </v:shape>
            <v:shape style="position:absolute;left:5448;top:7552;width:120;height:639" coordorigin="5449,7552" coordsize="120,639" path="m5502,8071l5449,8071,5509,8191,5554,8100,5509,8100,5504,8097,5502,8095,5502,8090,5502,8071xm5521,7552l5514,7552,5509,7555,5509,7560,5502,8090,5502,8095,5504,8097,5509,8100,5514,8100,5516,8095,5516,8090,5523,7560,5523,7555,5521,7552xm5569,8071l5516,8071,5516,8090,5516,8095,5514,8100,5554,8100,5569,8071xe" filled="true" fillcolor="#010101" stroked="false">
              <v:path arrowok="t"/>
              <v:fill type="solid"/>
            </v:shape>
            <v:shape style="position:absolute;left:5460;top:4113;width:120;height:370" type="#_x0000_t75" stroked="false">
              <v:imagedata r:id="rId28" o:title=""/>
            </v:shape>
            <v:shape style="position:absolute;left:5458;top:2303;width:120;height:730" coordorigin="5458,2304" coordsize="120,730" path="m5458,2913l5516,3033,5564,2942,5514,2942,5511,2937,5511,2935,5512,2914,5458,2913xm5512,2914l5511,2935,5511,2937,5514,2942,5523,2942,5526,2937,5526,2935,5526,2914,5512,2914xm5526,2914l5526,2935,5526,2937,5523,2942,5564,2942,5578,2916,5526,2914xm5533,2304l5526,2304,5521,2306,5521,2311,5512,2914,5526,2914,5535,2311,5535,2306,5533,2304xe" filled="true" fillcolor="#010101" stroked="false">
              <v:path arrowok="t"/>
              <v:fill type="solid"/>
            </v:shape>
            <v:shape style="position:absolute;left:6687;top:9090;width:430;height:716" coordorigin="6687,9091" coordsize="430,716" path="m7050,9686l6997,9686,7057,9806,7104,9712,7052,9712,7050,9710,7050,9686xm7050,9098l7050,9710,7052,9712,7062,9712,7064,9710,7064,9108,7057,9108,7050,9098xm7117,9686l7064,9686,7064,9710,7062,9712,7104,9712,7117,9686xm7062,9091l6690,9091,6687,9096,6687,9103,6690,9108,7050,9108,7050,9098,7064,9098,7064,9096,7062,9091xm7064,9098l7050,9098,7057,9108,7064,9108,7064,9098xe" filled="true" fillcolor="#010101" stroked="false">
              <v:path arrowok="t"/>
              <v:fill type="solid"/>
            </v:shape>
            <v:shape style="position:absolute;left:2832;top:7009;width:1697;height:370" coordorigin="2833,7010" coordsize="1697,370" path="m2886,7260l2833,7260,2893,7380,2940,7286,2890,7286,2886,7284,2886,7260xm4525,7010l2890,7010,2886,7012,2886,7284,2890,7286,2898,7286,2902,7284,2902,7024,2893,7024,2902,7017,4530,7017,4530,7012,4525,7010xm2953,7260l2902,7260,2902,7284,2898,7286,2940,7286,2953,7260xm2902,7017l2893,7024,2902,7024,2902,7017xm4530,7017l2902,7017,2902,7024,4525,7024,4530,7022,4530,7017xe" filled="true" fillcolor="#010101" stroked="false">
              <v:path arrowok="t"/>
              <v:fill type="solid"/>
            </v:shape>
            <v:shape style="position:absolute;left:3790;top:7861;width:1707;height:120" coordorigin="3790,7862" coordsize="1707,120" path="m5377,7915l5377,7982,5482,7929,5401,7929,5406,7927,5406,7917,5401,7915,5377,7915xm3798,7912l3793,7912,3790,7917,3790,7924,3793,7929,5377,7929,5377,7915,3798,7912xm5377,7862l5377,7915,5398,7915,5401,7915,5406,7917,5406,7927,5401,7929,5482,7929,5497,7922,5377,7862xe" filled="true" fillcolor="#010101" stroked="false">
              <v:path arrowok="t"/>
              <v:fill type="solid"/>
            </v:shape>
            <v:line style="position:absolute" from="8370,6076" to="8372,7917" stroked="true" strokeweight=".75pt" strokecolor="#010101">
              <v:stroke dashstyle="solid"/>
            </v:line>
            <v:shape style="position:absolute;left:5506;top:7861;width:2873;height:120" coordorigin="5506,7862" coordsize="2873,120" path="m5626,7862l5506,7922,5626,7982,5626,7929,5602,7929,5598,7927,5598,7917,5602,7915,5626,7915,5626,7862xm5626,7915l5602,7915,5598,7917,5598,7927,5602,7929,5626,7929,5626,7915xm8374,7912l5626,7915,5626,7929,8374,7929,8379,7924,8379,7917,8374,7912xe" filled="true" fillcolor="#010101" stroked="false">
              <v:path arrowok="t"/>
              <v:fill type="solid"/>
            </v:shape>
            <v:shape style="position:absolute;left:9322;top:5356;width:329;height:4450" coordorigin="9322,5356" coordsize="329,4450" path="m9584,9686l9531,9686,9591,9806,9638,9712,9586,9712,9584,9710,9584,9686xm9584,5364l9584,9710,9586,9712,9596,9712,9598,9710,9598,5371,9591,5371,9584,5364xm9651,9686l9598,9686,9598,9710,9596,9712,9638,9712,9651,9686xm9596,5356l9327,5356,9322,5359,9322,5366,9327,5371,9584,5371,9584,5364,9598,5364,9598,5359,9596,5356xm9598,5364l9584,5364,9591,5371,9598,5371,9598,5364xe" filled="true" fillcolor="#010101" stroked="false">
              <v:path arrowok="t"/>
              <v:fill type="solid"/>
            </v:shape>
            <v:shape style="position:absolute;left:5458;top:6234;width:120;height:240" type="#_x0000_t75" stroked="false">
              <v:imagedata r:id="rId29" o:title=""/>
            </v:shape>
            <v:line style="position:absolute" from="1443,11527" to="5242,11529" stroked="true" strokeweight=".75pt" strokecolor="#010101">
              <v:stroke dashstyle="solid"/>
            </v:line>
            <v:line style="position:absolute" from="6409,1238" to="10599,1238" stroked="true" strokeweight=".72pt" strokecolor="#ffffff">
              <v:stroke dashstyle="solid"/>
            </v:line>
            <v:shape style="position:absolute;left:1589;top:909;width:2778;height:1606" type="#_x0000_t202" filled="false" stroked="false">
              <v:textbox inset="0,0,0,0">
                <w:txbxContent>
                  <w:p>
                    <w:pPr>
                      <w:spacing w:line="221" w:lineRule="exact" w:before="0"/>
                      <w:ind w:left="0" w:right="0" w:firstLine="0"/>
                      <w:jc w:val="left"/>
                      <w:rPr>
                        <w:sz w:val="20"/>
                      </w:rPr>
                    </w:pPr>
                    <w:r>
                      <w:rPr>
                        <w:sz w:val="20"/>
                      </w:rPr>
                      <w:t>Repeat for each land use category:</w:t>
                    </w:r>
                  </w:p>
                  <w:p>
                    <w:pPr>
                      <w:numPr>
                        <w:ilvl w:val="0"/>
                        <w:numId w:val="7"/>
                      </w:numPr>
                      <w:tabs>
                        <w:tab w:pos="118" w:val="left" w:leader="none"/>
                      </w:tabs>
                      <w:spacing w:before="0"/>
                      <w:ind w:left="117" w:right="0" w:hanging="117"/>
                      <w:jc w:val="left"/>
                      <w:rPr>
                        <w:sz w:val="20"/>
                      </w:rPr>
                    </w:pPr>
                    <w:r>
                      <w:rPr>
                        <w:sz w:val="20"/>
                      </w:rPr>
                      <w:t>LF</w:t>
                    </w:r>
                  </w:p>
                  <w:p>
                    <w:pPr>
                      <w:numPr>
                        <w:ilvl w:val="0"/>
                        <w:numId w:val="7"/>
                      </w:numPr>
                      <w:tabs>
                        <w:tab w:pos="118" w:val="left" w:leader="none"/>
                      </w:tabs>
                      <w:spacing w:line="229" w:lineRule="exact" w:before="1"/>
                      <w:ind w:left="117" w:right="0" w:hanging="117"/>
                      <w:jc w:val="left"/>
                      <w:rPr>
                        <w:sz w:val="20"/>
                      </w:rPr>
                    </w:pPr>
                    <w:r>
                      <w:rPr>
                        <w:sz w:val="20"/>
                      </w:rPr>
                      <w:t>LG</w:t>
                    </w:r>
                  </w:p>
                  <w:p>
                    <w:pPr>
                      <w:numPr>
                        <w:ilvl w:val="0"/>
                        <w:numId w:val="7"/>
                      </w:numPr>
                      <w:tabs>
                        <w:tab w:pos="118" w:val="left" w:leader="none"/>
                      </w:tabs>
                      <w:spacing w:line="229" w:lineRule="exact" w:before="0"/>
                      <w:ind w:left="117" w:right="0" w:hanging="117"/>
                      <w:jc w:val="left"/>
                      <w:rPr>
                        <w:sz w:val="20"/>
                      </w:rPr>
                    </w:pPr>
                    <w:r>
                      <w:rPr>
                        <w:sz w:val="20"/>
                      </w:rPr>
                      <w:t>LC</w:t>
                    </w:r>
                  </w:p>
                  <w:p>
                    <w:pPr>
                      <w:numPr>
                        <w:ilvl w:val="0"/>
                        <w:numId w:val="7"/>
                      </w:numPr>
                      <w:tabs>
                        <w:tab w:pos="118" w:val="left" w:leader="none"/>
                      </w:tabs>
                      <w:spacing w:before="0"/>
                      <w:ind w:left="117" w:right="0" w:hanging="117"/>
                      <w:jc w:val="left"/>
                      <w:rPr>
                        <w:sz w:val="20"/>
                      </w:rPr>
                    </w:pPr>
                    <w:r>
                      <w:rPr>
                        <w:sz w:val="20"/>
                      </w:rPr>
                      <w:t>LW</w:t>
                    </w:r>
                  </w:p>
                  <w:p>
                    <w:pPr>
                      <w:numPr>
                        <w:ilvl w:val="0"/>
                        <w:numId w:val="7"/>
                      </w:numPr>
                      <w:tabs>
                        <w:tab w:pos="118" w:val="left" w:leader="none"/>
                      </w:tabs>
                      <w:spacing w:before="0"/>
                      <w:ind w:left="117" w:right="0" w:hanging="117"/>
                      <w:jc w:val="left"/>
                      <w:rPr>
                        <w:sz w:val="20"/>
                      </w:rPr>
                    </w:pPr>
                    <w:r>
                      <w:rPr>
                        <w:sz w:val="20"/>
                      </w:rPr>
                      <w:t>LS</w:t>
                    </w:r>
                  </w:p>
                  <w:p>
                    <w:pPr>
                      <w:numPr>
                        <w:ilvl w:val="0"/>
                        <w:numId w:val="7"/>
                      </w:numPr>
                      <w:tabs>
                        <w:tab w:pos="118" w:val="left" w:leader="none"/>
                      </w:tabs>
                      <w:spacing w:before="6"/>
                      <w:ind w:left="117" w:right="0" w:hanging="117"/>
                      <w:jc w:val="left"/>
                      <w:rPr>
                        <w:sz w:val="20"/>
                      </w:rPr>
                    </w:pPr>
                    <w:r>
                      <w:rPr>
                        <w:sz w:val="20"/>
                      </w:rPr>
                      <w:t>LO</w:t>
                    </w:r>
                  </w:p>
                </w:txbxContent>
              </v:textbox>
              <w10:wrap type="none"/>
            </v:shape>
            <v:shape style="position:absolute;left:4608;top:1118;width:1910;height:910" type="#_x0000_t202" filled="false" stroked="false">
              <v:textbox inset="0,0,0,0">
                <w:txbxContent>
                  <w:p>
                    <w:pPr>
                      <w:spacing w:line="220" w:lineRule="exact" w:before="0"/>
                      <w:ind w:left="544" w:right="0" w:firstLine="0"/>
                      <w:jc w:val="left"/>
                      <w:rPr>
                        <w:sz w:val="20"/>
                      </w:rPr>
                    </w:pPr>
                    <w:r>
                      <w:rPr>
                        <w:sz w:val="20"/>
                      </w:rPr>
                      <w:t>Are there</w:t>
                    </w:r>
                  </w:p>
                  <w:p>
                    <w:pPr>
                      <w:spacing w:before="0"/>
                      <w:ind w:left="0" w:right="18" w:firstLine="0"/>
                      <w:jc w:val="center"/>
                      <w:rPr>
                        <w:sz w:val="20"/>
                      </w:rPr>
                    </w:pPr>
                    <w:r>
                      <w:rPr>
                        <w:sz w:val="20"/>
                      </w:rPr>
                      <w:t>any land conversions</w:t>
                    </w:r>
                    <w:r>
                      <w:rPr>
                        <w:spacing w:val="-15"/>
                        <w:sz w:val="20"/>
                      </w:rPr>
                      <w:t> </w:t>
                    </w:r>
                    <w:r>
                      <w:rPr>
                        <w:sz w:val="20"/>
                      </w:rPr>
                      <w:t>to forest</w:t>
                    </w:r>
                    <w:r>
                      <w:rPr>
                        <w:spacing w:val="-1"/>
                        <w:sz w:val="20"/>
                      </w:rPr>
                      <w:t> </w:t>
                    </w:r>
                    <w:r>
                      <w:rPr>
                        <w:sz w:val="20"/>
                      </w:rPr>
                      <w:t>land?</w:t>
                    </w:r>
                  </w:p>
                  <w:p>
                    <w:pPr>
                      <w:spacing w:before="0"/>
                      <w:ind w:left="583" w:right="0" w:firstLine="0"/>
                      <w:jc w:val="left"/>
                      <w:rPr>
                        <w:sz w:val="20"/>
                      </w:rPr>
                    </w:pPr>
                    <w:r>
                      <w:rPr>
                        <w:sz w:val="20"/>
                      </w:rPr>
                      <w:t>(Note 1)</w:t>
                    </w:r>
                  </w:p>
                </w:txbxContent>
              </v:textbox>
              <w10:wrap type="none"/>
            </v:shape>
            <v:shape style="position:absolute;left:6828;top:1230;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5561;top:2315;width:331;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1733;top:2937;width:1646;height:926" type="#_x0000_t202" filled="false" stroked="false">
              <v:textbox inset="0,0,0,0">
                <w:txbxContent>
                  <w:p>
                    <w:pPr>
                      <w:spacing w:line="221" w:lineRule="exact" w:before="0"/>
                      <w:ind w:left="0" w:right="0" w:firstLine="0"/>
                      <w:jc w:val="left"/>
                      <w:rPr>
                        <w:sz w:val="20"/>
                      </w:rPr>
                    </w:pPr>
                    <w:r>
                      <w:rPr>
                        <w:sz w:val="20"/>
                      </w:rPr>
                      <w:t>Repeat for each gas:</w:t>
                    </w:r>
                  </w:p>
                  <w:p>
                    <w:pPr>
                      <w:numPr>
                        <w:ilvl w:val="0"/>
                        <w:numId w:val="8"/>
                      </w:numPr>
                      <w:tabs>
                        <w:tab w:pos="116" w:val="left" w:leader="none"/>
                      </w:tabs>
                      <w:spacing w:before="0"/>
                      <w:ind w:left="115" w:right="0" w:hanging="115"/>
                      <w:jc w:val="left"/>
                      <w:rPr>
                        <w:sz w:val="20"/>
                      </w:rPr>
                    </w:pPr>
                    <w:r>
                      <w:rPr>
                        <w:sz w:val="20"/>
                      </w:rPr>
                      <w:t>CO</w:t>
                    </w:r>
                    <w:r>
                      <w:rPr>
                        <w:sz w:val="20"/>
                        <w:vertAlign w:val="subscript"/>
                      </w:rPr>
                      <w:t>2</w:t>
                    </w:r>
                    <w:r>
                      <w:rPr>
                        <w:spacing w:val="-1"/>
                        <w:sz w:val="20"/>
                        <w:vertAlign w:val="baseline"/>
                      </w:rPr>
                      <w:t> </w:t>
                    </w:r>
                    <w:r>
                      <w:rPr>
                        <w:sz w:val="20"/>
                        <w:vertAlign w:val="baseline"/>
                      </w:rPr>
                      <w:t>(carbon)</w:t>
                    </w:r>
                  </w:p>
                  <w:p>
                    <w:pPr>
                      <w:numPr>
                        <w:ilvl w:val="0"/>
                        <w:numId w:val="8"/>
                      </w:numPr>
                      <w:tabs>
                        <w:tab w:pos="116" w:val="left" w:leader="none"/>
                      </w:tabs>
                      <w:spacing w:line="229" w:lineRule="exact" w:before="1"/>
                      <w:ind w:left="115" w:right="0" w:hanging="115"/>
                      <w:jc w:val="left"/>
                      <w:rPr>
                        <w:sz w:val="20"/>
                      </w:rPr>
                    </w:pPr>
                    <w:r>
                      <w:rPr>
                        <w:sz w:val="20"/>
                      </w:rPr>
                      <w:t>CH</w:t>
                    </w:r>
                    <w:r>
                      <w:rPr>
                        <w:sz w:val="20"/>
                        <w:vertAlign w:val="subscript"/>
                      </w:rPr>
                      <w:t>4</w:t>
                    </w:r>
                  </w:p>
                  <w:p>
                    <w:pPr>
                      <w:numPr>
                        <w:ilvl w:val="0"/>
                        <w:numId w:val="8"/>
                      </w:numPr>
                      <w:tabs>
                        <w:tab w:pos="116" w:val="left" w:leader="none"/>
                      </w:tabs>
                      <w:spacing w:line="229" w:lineRule="exact" w:before="0"/>
                      <w:ind w:left="115" w:right="0" w:hanging="115"/>
                      <w:jc w:val="left"/>
                      <w:rPr>
                        <w:sz w:val="20"/>
                      </w:rPr>
                    </w:pPr>
                    <w:r>
                      <w:rPr>
                        <w:sz w:val="20"/>
                      </w:rPr>
                      <w:t>N</w:t>
                    </w:r>
                    <w:r>
                      <w:rPr>
                        <w:sz w:val="20"/>
                        <w:vertAlign w:val="subscript"/>
                      </w:rPr>
                      <w:t>2</w:t>
                    </w:r>
                    <w:r>
                      <w:rPr>
                        <w:sz w:val="20"/>
                        <w:vertAlign w:val="baseline"/>
                      </w:rPr>
                      <w:t>O</w:t>
                    </w:r>
                  </w:p>
                </w:txbxContent>
              </v:textbox>
              <w10:wrap type="none"/>
            </v:shape>
            <v:shape style="position:absolute;left:4896;top:3244;width:1274;height:679" type="#_x0000_t202" filled="false" stroked="false">
              <v:textbox inset="0,0,0,0">
                <w:txbxContent>
                  <w:p>
                    <w:pPr>
                      <w:spacing w:line="220" w:lineRule="exact" w:before="0"/>
                      <w:ind w:left="415" w:right="0" w:firstLine="0"/>
                      <w:jc w:val="left"/>
                      <w:rPr>
                        <w:sz w:val="20"/>
                      </w:rPr>
                    </w:pPr>
                    <w:r>
                      <w:rPr>
                        <w:sz w:val="20"/>
                      </w:rPr>
                      <w:t>Is LF</w:t>
                    </w:r>
                  </w:p>
                  <w:p>
                    <w:pPr>
                      <w:spacing w:before="0"/>
                      <w:ind w:left="-1" w:right="18" w:firstLine="0"/>
                      <w:jc w:val="center"/>
                      <w:rPr>
                        <w:sz w:val="20"/>
                      </w:rPr>
                    </w:pPr>
                    <w:r>
                      <w:rPr>
                        <w:sz w:val="20"/>
                      </w:rPr>
                      <w:t>a key </w:t>
                    </w:r>
                    <w:r>
                      <w:rPr>
                        <w:spacing w:val="-3"/>
                        <w:sz w:val="20"/>
                      </w:rPr>
                      <w:t>category? </w:t>
                    </w:r>
                    <w:r>
                      <w:rPr>
                        <w:sz w:val="20"/>
                      </w:rPr>
                      <w:t>(Note 2)</w:t>
                    </w:r>
                  </w:p>
                </w:txbxContent>
              </v:textbox>
              <w10:wrap type="none"/>
            </v:shape>
            <v:shape style="position:absolute;left:6646;top:3220;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5561;top:4127;width:331;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1877;top:4425;width:2515;height:1035" type="#_x0000_t202" filled="false" stroked="false">
              <v:textbox inset="0,0,0,0">
                <w:txbxContent>
                  <w:p>
                    <w:pPr>
                      <w:spacing w:line="221" w:lineRule="exact" w:before="0"/>
                      <w:ind w:left="0" w:right="0" w:firstLine="0"/>
                      <w:jc w:val="left"/>
                      <w:rPr>
                        <w:sz w:val="20"/>
                      </w:rPr>
                    </w:pPr>
                    <w:r>
                      <w:rPr>
                        <w:sz w:val="20"/>
                      </w:rPr>
                      <w:t>Repeat for each sub-category*:</w:t>
                    </w:r>
                  </w:p>
                  <w:p>
                    <w:pPr>
                      <w:numPr>
                        <w:ilvl w:val="0"/>
                        <w:numId w:val="9"/>
                      </w:numPr>
                      <w:tabs>
                        <w:tab w:pos="116" w:val="left" w:leader="none"/>
                      </w:tabs>
                      <w:spacing w:before="118"/>
                      <w:ind w:left="115" w:right="0" w:hanging="115"/>
                      <w:jc w:val="left"/>
                      <w:rPr>
                        <w:sz w:val="20"/>
                      </w:rPr>
                    </w:pPr>
                    <w:r>
                      <w:rPr>
                        <w:sz w:val="20"/>
                      </w:rPr>
                      <w:t>Biomass</w:t>
                    </w:r>
                  </w:p>
                  <w:p>
                    <w:pPr>
                      <w:numPr>
                        <w:ilvl w:val="0"/>
                        <w:numId w:val="9"/>
                      </w:numPr>
                      <w:tabs>
                        <w:tab w:pos="116" w:val="left" w:leader="none"/>
                      </w:tabs>
                      <w:spacing w:before="0"/>
                      <w:ind w:left="115" w:right="0" w:hanging="115"/>
                      <w:jc w:val="left"/>
                      <w:rPr>
                        <w:sz w:val="20"/>
                      </w:rPr>
                    </w:pPr>
                    <w:r>
                      <w:rPr>
                        <w:sz w:val="20"/>
                      </w:rPr>
                      <w:t>Dead organic</w:t>
                    </w:r>
                    <w:r>
                      <w:rPr>
                        <w:spacing w:val="1"/>
                        <w:sz w:val="20"/>
                      </w:rPr>
                      <w:t> </w:t>
                    </w:r>
                    <w:r>
                      <w:rPr>
                        <w:sz w:val="20"/>
                      </w:rPr>
                      <w:t>matter</w:t>
                    </w:r>
                  </w:p>
                  <w:p>
                    <w:pPr>
                      <w:numPr>
                        <w:ilvl w:val="0"/>
                        <w:numId w:val="9"/>
                      </w:numPr>
                      <w:tabs>
                        <w:tab w:pos="116" w:val="left" w:leader="none"/>
                      </w:tabs>
                      <w:spacing w:before="5"/>
                      <w:ind w:left="115" w:right="0" w:hanging="115"/>
                      <w:jc w:val="left"/>
                      <w:rPr>
                        <w:sz w:val="20"/>
                      </w:rPr>
                    </w:pPr>
                    <w:r>
                      <w:rPr>
                        <w:sz w:val="20"/>
                      </w:rPr>
                      <w:t>Soil</w:t>
                    </w:r>
                  </w:p>
                </w:txbxContent>
              </v:textbox>
              <w10:wrap type="none"/>
            </v:shape>
            <v:shape style="position:absolute;left:4522;top:4775;width:2010;height:1140" type="#_x0000_t202" filled="false" stroked="false">
              <v:textbox inset="0,0,0,0">
                <w:txbxContent>
                  <w:p>
                    <w:pPr>
                      <w:spacing w:line="240" w:lineRule="auto" w:before="0"/>
                      <w:ind w:left="251" w:right="220" w:firstLine="232"/>
                      <w:jc w:val="left"/>
                      <w:rPr>
                        <w:sz w:val="20"/>
                      </w:rPr>
                    </w:pPr>
                    <w:r>
                      <w:rPr>
                        <w:sz w:val="20"/>
                      </w:rPr>
                      <w:t>Ask for each sub-category under</w:t>
                    </w:r>
                  </w:p>
                  <w:p>
                    <w:pPr>
                      <w:spacing w:before="0"/>
                      <w:ind w:left="0" w:right="18" w:firstLine="0"/>
                      <w:jc w:val="center"/>
                      <w:rPr>
                        <w:sz w:val="20"/>
                      </w:rPr>
                    </w:pPr>
                    <w:r>
                      <w:rPr>
                        <w:sz w:val="20"/>
                      </w:rPr>
                      <w:t>LF (Note 3): Is this sub- category significant? (Note 4)</w:t>
                    </w:r>
                  </w:p>
                </w:txbxContent>
              </v:textbox>
              <w10:wrap type="none"/>
            </v:shape>
            <v:shape style="position:absolute;left:6828;top:5032;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7743;top:4977;width:1319;height:682" type="#_x0000_t202" filled="false" stroked="false">
              <v:textbox inset="0,0,0,0">
                <w:txbxContent>
                  <w:p>
                    <w:pPr>
                      <w:spacing w:line="240" w:lineRule="auto" w:before="0"/>
                      <w:ind w:left="0" w:right="18" w:firstLine="501"/>
                      <w:jc w:val="left"/>
                      <w:rPr>
                        <w:sz w:val="20"/>
                      </w:rPr>
                    </w:pPr>
                    <w:r>
                      <w:rPr>
                        <w:sz w:val="20"/>
                      </w:rPr>
                      <w:t>Are </w:t>
                    </w:r>
                    <w:r>
                      <w:rPr>
                        <w:w w:val="95"/>
                        <w:sz w:val="20"/>
                      </w:rPr>
                      <w:t>country-specific </w:t>
                    </w:r>
                    <w:r>
                      <w:rPr>
                        <w:sz w:val="20"/>
                      </w:rPr>
                      <w:t>data available?</w:t>
                    </w:r>
                  </w:p>
                </w:txbxContent>
              </v:textbox>
              <w10:wrap type="none"/>
            </v:shape>
            <v:shape style="position:absolute;left:9363;top:5032;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5724;top:6136;width:331;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8439;top:6136;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4294;top:6650;width:2075;height:1135" type="#_x0000_t202" filled="false" stroked="false">
              <v:textbox inset="0,0,0,0">
                <w:txbxContent>
                  <w:p>
                    <w:pPr>
                      <w:tabs>
                        <w:tab w:pos="1063" w:val="left" w:leader="none"/>
                      </w:tabs>
                      <w:spacing w:line="226" w:lineRule="exact" w:before="0"/>
                      <w:ind w:left="0" w:right="0" w:firstLine="0"/>
                      <w:jc w:val="left"/>
                      <w:rPr>
                        <w:sz w:val="20"/>
                      </w:rPr>
                    </w:pPr>
                    <w:r>
                      <w:rPr>
                        <w:sz w:val="20"/>
                      </w:rPr>
                      <w:t>No</w:t>
                      <w:tab/>
                    </w:r>
                    <w:r>
                      <w:rPr>
                        <w:position w:val="1"/>
                        <w:sz w:val="20"/>
                      </w:rPr>
                      <w:t>Are</w:t>
                    </w:r>
                  </w:p>
                  <w:p>
                    <w:pPr>
                      <w:spacing w:line="240" w:lineRule="auto" w:before="0"/>
                      <w:ind w:left="806" w:right="1" w:hanging="435"/>
                      <w:jc w:val="left"/>
                      <w:rPr>
                        <w:sz w:val="20"/>
                      </w:rPr>
                    </w:pPr>
                    <w:r>
                      <w:rPr>
                        <w:sz w:val="20"/>
                      </w:rPr>
                      <w:t>country-specific data available?</w:t>
                    </w:r>
                  </w:p>
                  <w:p>
                    <w:pPr>
                      <w:spacing w:line="240" w:lineRule="auto" w:before="0"/>
                      <w:rPr>
                        <w:b/>
                        <w:sz w:val="19"/>
                      </w:rPr>
                    </w:pPr>
                  </w:p>
                  <w:p>
                    <w:pPr>
                      <w:spacing w:before="1"/>
                      <w:ind w:left="1267" w:right="0" w:firstLine="0"/>
                      <w:jc w:val="left"/>
                      <w:rPr>
                        <w:sz w:val="20"/>
                      </w:rPr>
                    </w:pPr>
                    <w:r>
                      <w:rPr>
                        <w:sz w:val="20"/>
                      </w:rPr>
                      <w:t>Yes</w:t>
                    </w:r>
                  </w:p>
                </w:txbxContent>
              </v:textbox>
              <w10:wrap type="none"/>
            </v:shape>
            <v:shape style="position:absolute;left:4114;top:8831;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4659;top:8385;width:1719;height:1371" type="#_x0000_t202" filled="false" stroked="false">
              <v:textbox inset="0,0,0,0">
                <w:txbxContent>
                  <w:p>
                    <w:pPr>
                      <w:spacing w:line="240" w:lineRule="auto" w:before="0"/>
                      <w:ind w:left="472" w:right="489" w:hanging="1"/>
                      <w:jc w:val="center"/>
                      <w:rPr>
                        <w:sz w:val="20"/>
                      </w:rPr>
                    </w:pPr>
                    <w:r>
                      <w:rPr>
                        <w:sz w:val="20"/>
                      </w:rPr>
                      <w:t>Are advanced</w:t>
                    </w:r>
                  </w:p>
                  <w:p>
                    <w:pPr>
                      <w:spacing w:before="0"/>
                      <w:ind w:left="0" w:right="18" w:firstLine="0"/>
                      <w:jc w:val="center"/>
                      <w:rPr>
                        <w:sz w:val="20"/>
                      </w:rPr>
                    </w:pPr>
                    <w:r>
                      <w:rPr>
                        <w:sz w:val="20"/>
                      </w:rPr>
                      <w:t>methods and detailed data for LF available in your</w:t>
                    </w:r>
                  </w:p>
                  <w:p>
                    <w:pPr>
                      <w:spacing w:line="229" w:lineRule="exact" w:before="0"/>
                      <w:ind w:left="0" w:right="22" w:firstLine="0"/>
                      <w:jc w:val="center"/>
                      <w:rPr>
                        <w:sz w:val="20"/>
                      </w:rPr>
                    </w:pPr>
                    <w:r>
                      <w:rPr>
                        <w:sz w:val="20"/>
                      </w:rPr>
                      <w:t>country?</w:t>
                    </w:r>
                  </w:p>
                </w:txbxContent>
              </v:textbox>
              <w10:wrap type="none"/>
            </v:shape>
            <v:shape style="position:absolute;left:6646;top:8831;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8686;top:9820;width:1810;height:1354" type="#_x0000_t202" filled="false" stroked="true" strokeweight="1.5pt" strokecolor="#010101">
              <v:textbox inset="0,0,0,0">
                <w:txbxContent>
                  <w:p>
                    <w:pPr>
                      <w:spacing w:before="64"/>
                      <w:ind w:left="59" w:right="59" w:firstLine="0"/>
                      <w:jc w:val="center"/>
                      <w:rPr>
                        <w:sz w:val="20"/>
                      </w:rPr>
                    </w:pPr>
                    <w:r>
                      <w:rPr>
                        <w:sz w:val="20"/>
                      </w:rPr>
                      <w:t>Use default </w:t>
                    </w:r>
                    <w:r>
                      <w:rPr>
                        <w:spacing w:val="-3"/>
                        <w:sz w:val="20"/>
                      </w:rPr>
                      <w:t>data </w:t>
                    </w:r>
                    <w:r>
                      <w:rPr>
                        <w:sz w:val="20"/>
                      </w:rPr>
                      <w:t>(Note 5)</w:t>
                    </w:r>
                  </w:p>
                  <w:p>
                    <w:pPr>
                      <w:spacing w:line="240" w:lineRule="auto" w:before="4"/>
                      <w:rPr>
                        <w:b/>
                        <w:sz w:val="30"/>
                      </w:rPr>
                    </w:pPr>
                  </w:p>
                  <w:p>
                    <w:pPr>
                      <w:spacing w:before="0"/>
                      <w:ind w:left="59" w:right="60" w:firstLine="0"/>
                      <w:jc w:val="center"/>
                      <w:rPr>
                        <w:sz w:val="20"/>
                      </w:rPr>
                    </w:pPr>
                    <w:r>
                      <w:rPr>
                        <w:sz w:val="20"/>
                      </w:rPr>
                      <w:t>(</w:t>
                    </w:r>
                    <w:r>
                      <w:rPr>
                        <w:b/>
                        <w:sz w:val="20"/>
                      </w:rPr>
                      <w:t>Tier</w:t>
                    </w:r>
                    <w:r>
                      <w:rPr>
                        <w:b/>
                        <w:spacing w:val="-4"/>
                        <w:sz w:val="20"/>
                      </w:rPr>
                      <w:t> </w:t>
                    </w:r>
                    <w:r>
                      <w:rPr>
                        <w:b/>
                        <w:sz w:val="20"/>
                      </w:rPr>
                      <w:t>1</w:t>
                    </w:r>
                    <w:r>
                      <w:rPr>
                        <w:sz w:val="20"/>
                      </w:rPr>
                      <w:t>)</w:t>
                    </w:r>
                  </w:p>
                </w:txbxContent>
              </v:textbox>
              <v:stroke dashstyle="solid"/>
              <w10:wrap type="none"/>
            </v:shape>
            <v:shape style="position:absolute;left:6152;top:9820;width:1810;height:1349" type="#_x0000_t202" filled="false" stroked="true" strokeweight="1.5pt" strokecolor="#010101">
              <v:textbox inset="0,0,0,0">
                <w:txbxContent>
                  <w:p>
                    <w:pPr>
                      <w:spacing w:before="64"/>
                      <w:ind w:left="59" w:right="60" w:firstLine="0"/>
                      <w:jc w:val="center"/>
                      <w:rPr>
                        <w:sz w:val="20"/>
                      </w:rPr>
                    </w:pPr>
                    <w:r>
                      <w:rPr>
                        <w:sz w:val="20"/>
                      </w:rPr>
                      <w:t>Use country-specific data (Note 5)</w:t>
                    </w:r>
                  </w:p>
                  <w:p>
                    <w:pPr>
                      <w:spacing w:line="240" w:lineRule="auto" w:before="0"/>
                      <w:rPr>
                        <w:b/>
                        <w:sz w:val="31"/>
                      </w:rPr>
                    </w:pPr>
                  </w:p>
                  <w:p>
                    <w:pPr>
                      <w:spacing w:before="0"/>
                      <w:ind w:left="59" w:right="60" w:firstLine="0"/>
                      <w:jc w:val="center"/>
                      <w:rPr>
                        <w:sz w:val="20"/>
                      </w:rPr>
                    </w:pPr>
                    <w:r>
                      <w:rPr>
                        <w:sz w:val="20"/>
                      </w:rPr>
                      <w:t>(</w:t>
                    </w:r>
                    <w:r>
                      <w:rPr>
                        <w:b/>
                        <w:sz w:val="20"/>
                      </w:rPr>
                      <w:t>Tier 2</w:t>
                    </w:r>
                    <w:r>
                      <w:rPr>
                        <w:sz w:val="20"/>
                      </w:rPr>
                      <w:t>)</w:t>
                    </w:r>
                  </w:p>
                </w:txbxContent>
              </v:textbox>
              <v:stroke dashstyle="solid"/>
              <w10:wrap type="none"/>
            </v:shape>
            <v:shape style="position:absolute;left:7779;top:3057;width:2172;height:1042" type="#_x0000_t202" filled="false" stroked="true" strokeweight="1.5pt" strokecolor="#010101">
              <v:textbox inset="0,0,0,0">
                <w:txbxContent>
                  <w:p>
                    <w:pPr>
                      <w:spacing w:before="127"/>
                      <w:ind w:left="148" w:right="147" w:firstLine="0"/>
                      <w:jc w:val="center"/>
                      <w:rPr>
                        <w:sz w:val="20"/>
                      </w:rPr>
                    </w:pPr>
                    <w:r>
                      <w:rPr>
                        <w:sz w:val="20"/>
                      </w:rPr>
                      <w:t>Use tier level most appropriate for available data</w:t>
                    </w:r>
                  </w:p>
                </w:txbxContent>
              </v:textbox>
              <v:stroke dashstyle="solid"/>
              <w10:wrap type="none"/>
            </v:shape>
            <v:shape style="position:absolute;left:7779;top:1355;width:2357;height:447" type="#_x0000_t202" filled="false" stroked="true" strokeweight="1.5pt" strokecolor="#010101">
              <v:textbox inset="0,0,0,0">
                <w:txbxContent>
                  <w:p>
                    <w:pPr>
                      <w:spacing w:before="64"/>
                      <w:ind w:left="198" w:right="0" w:firstLine="0"/>
                      <w:jc w:val="left"/>
                      <w:rPr>
                        <w:sz w:val="20"/>
                      </w:rPr>
                    </w:pPr>
                    <w:r>
                      <w:rPr>
                        <w:sz w:val="20"/>
                      </w:rPr>
                      <w:t>Report “Not Occurring”</w:t>
                    </w:r>
                  </w:p>
                </w:txbxContent>
              </v:textbox>
              <v:stroke dashstyle="solid"/>
              <w10:wrap type="none"/>
            </v:shape>
            <v:shape style="position:absolute;left:2892;top:9820;width:2172;height:1349" type="#_x0000_t202" filled="false" stroked="true" strokeweight="1.5pt" strokecolor="#010101">
              <v:textbox inset="0,0,0,0">
                <w:txbxContent>
                  <w:p>
                    <w:pPr>
                      <w:spacing w:before="64"/>
                      <w:ind w:left="148" w:right="147" w:firstLine="0"/>
                      <w:jc w:val="center"/>
                      <w:rPr>
                        <w:sz w:val="20"/>
                      </w:rPr>
                    </w:pPr>
                    <w:r>
                      <w:rPr>
                        <w:sz w:val="20"/>
                      </w:rPr>
                      <w:t>Use advanced methods and detailed country- specific data (Note 5)</w:t>
                    </w:r>
                  </w:p>
                  <w:p>
                    <w:pPr>
                      <w:spacing w:before="119"/>
                      <w:ind w:left="147" w:right="147" w:firstLine="0"/>
                      <w:jc w:val="center"/>
                      <w:rPr>
                        <w:sz w:val="20"/>
                      </w:rPr>
                    </w:pPr>
                    <w:r>
                      <w:rPr>
                        <w:sz w:val="20"/>
                      </w:rPr>
                      <w:t>(</w:t>
                    </w:r>
                    <w:r>
                      <w:rPr>
                        <w:b/>
                        <w:sz w:val="20"/>
                      </w:rPr>
                      <w:t>Tier 3</w:t>
                    </w:r>
                    <w:r>
                      <w:rPr>
                        <w:sz w:val="20"/>
                      </w:rPr>
                      <w:t>)</w:t>
                    </w:r>
                  </w:p>
                </w:txbxContent>
              </v:textbox>
              <v:stroke dashstyle="solid"/>
              <w10:wrap type="none"/>
            </v:shape>
            <v:shape style="position:absolute;left:1988;top:7379;width:1810;height:953" type="#_x0000_t202" filled="false" stroked="true" strokeweight=".75pt" strokecolor="#010101">
              <v:textbox inset="0,0,0,0">
                <w:txbxContent>
                  <w:p>
                    <w:pPr>
                      <w:spacing w:before="105"/>
                      <w:ind w:left="148" w:right="141" w:firstLine="0"/>
                      <w:jc w:val="center"/>
                      <w:rPr>
                        <w:sz w:val="20"/>
                      </w:rPr>
                    </w:pPr>
                    <w:r>
                      <w:rPr>
                        <w:sz w:val="20"/>
                      </w:rPr>
                      <w:t>Develop or obtain representative data and EFs</w:t>
                    </w:r>
                  </w:p>
                </w:txbxContent>
              </v:textbox>
              <v:stroke dashstyle="solid"/>
              <w10:wrap type="none"/>
            </v:shape>
            <w10:wrap type="topAndBottom"/>
          </v:group>
        </w:pict>
      </w:r>
      <w:r>
        <w:rPr>
          <w:b/>
          <w:spacing w:val="8"/>
          <w:sz w:val="20"/>
        </w:rPr>
        <w:t>Figure</w:t>
      </w:r>
      <w:r>
        <w:rPr>
          <w:b/>
          <w:spacing w:val="20"/>
          <w:sz w:val="20"/>
        </w:rPr>
        <w:t> </w:t>
      </w:r>
      <w:r>
        <w:rPr>
          <w:b/>
          <w:spacing w:val="6"/>
          <w:sz w:val="20"/>
        </w:rPr>
        <w:t>1.1</w:t>
        <w:tab/>
      </w:r>
      <w:r>
        <w:rPr>
          <w:b/>
          <w:spacing w:val="8"/>
          <w:sz w:val="20"/>
        </w:rPr>
        <w:t>Decision tree </w:t>
      </w:r>
      <w:r>
        <w:rPr>
          <w:b/>
          <w:spacing w:val="6"/>
          <w:sz w:val="20"/>
        </w:rPr>
        <w:t>for </w:t>
      </w:r>
      <w:r>
        <w:rPr>
          <w:b/>
          <w:spacing w:val="9"/>
          <w:sz w:val="20"/>
        </w:rPr>
        <w:t>identification </w:t>
      </w:r>
      <w:r>
        <w:rPr>
          <w:b/>
          <w:spacing w:val="5"/>
          <w:sz w:val="20"/>
        </w:rPr>
        <w:t>of </w:t>
      </w:r>
      <w:r>
        <w:rPr>
          <w:b/>
          <w:spacing w:val="9"/>
          <w:sz w:val="20"/>
        </w:rPr>
        <w:t>appropriate tier-level </w:t>
      </w:r>
      <w:r>
        <w:rPr>
          <w:b/>
          <w:spacing w:val="6"/>
          <w:sz w:val="20"/>
        </w:rPr>
        <w:t>for </w:t>
      </w:r>
      <w:r>
        <w:rPr>
          <w:b/>
          <w:spacing w:val="7"/>
          <w:sz w:val="20"/>
        </w:rPr>
        <w:t>land </w:t>
      </w:r>
      <w:r>
        <w:rPr>
          <w:b/>
          <w:spacing w:val="9"/>
          <w:sz w:val="20"/>
        </w:rPr>
        <w:t>converted </w:t>
      </w:r>
      <w:r>
        <w:rPr>
          <w:b/>
          <w:spacing w:val="6"/>
          <w:sz w:val="20"/>
        </w:rPr>
        <w:t>to  </w:t>
      </w:r>
      <w:r>
        <w:rPr>
          <w:b/>
          <w:spacing w:val="8"/>
          <w:sz w:val="20"/>
        </w:rPr>
        <w:t>another </w:t>
      </w:r>
      <w:r>
        <w:rPr>
          <w:b/>
          <w:spacing w:val="9"/>
          <w:sz w:val="20"/>
        </w:rPr>
        <w:t>land-use category </w:t>
      </w:r>
      <w:r>
        <w:rPr>
          <w:b/>
          <w:spacing w:val="8"/>
          <w:sz w:val="20"/>
        </w:rPr>
        <w:t>(example given </w:t>
      </w:r>
      <w:r>
        <w:rPr>
          <w:b/>
          <w:spacing w:val="6"/>
          <w:sz w:val="20"/>
        </w:rPr>
        <w:t>for </w:t>
      </w:r>
      <w:r>
        <w:rPr>
          <w:b/>
          <w:spacing w:val="7"/>
          <w:sz w:val="20"/>
        </w:rPr>
        <w:t>land </w:t>
      </w:r>
      <w:r>
        <w:rPr>
          <w:b/>
          <w:spacing w:val="8"/>
          <w:sz w:val="20"/>
        </w:rPr>
        <w:t>converted </w:t>
      </w:r>
      <w:r>
        <w:rPr>
          <w:b/>
          <w:spacing w:val="5"/>
          <w:sz w:val="20"/>
        </w:rPr>
        <w:t>to </w:t>
      </w:r>
      <w:r>
        <w:rPr>
          <w:b/>
          <w:spacing w:val="8"/>
          <w:sz w:val="20"/>
        </w:rPr>
        <w:t>forest land, </w:t>
      </w:r>
      <w:r>
        <w:rPr>
          <w:b/>
          <w:spacing w:val="6"/>
          <w:sz w:val="20"/>
        </w:rPr>
        <w:t>LF)</w:t>
      </w:r>
    </w:p>
    <w:p>
      <w:pPr>
        <w:spacing w:before="15"/>
        <w:ind w:left="556" w:right="520" w:firstLine="0"/>
        <w:jc w:val="left"/>
        <w:rPr>
          <w:sz w:val="16"/>
        </w:rPr>
      </w:pPr>
      <w:r>
        <w:rPr>
          <w:b/>
          <w:sz w:val="16"/>
        </w:rPr>
        <w:t>Note 1</w:t>
      </w:r>
      <w:r>
        <w:rPr>
          <w:sz w:val="16"/>
        </w:rPr>
        <w:t>: The use of 20 years, as a threshold, is consistent with the defaults contained in the </w:t>
      </w:r>
      <w:r>
        <w:rPr>
          <w:i/>
          <w:sz w:val="16"/>
        </w:rPr>
        <w:t>IPCC Guidelines</w:t>
      </w:r>
      <w:r>
        <w:rPr>
          <w:sz w:val="16"/>
        </w:rPr>
        <w:t>. Countries may use different periods where appropriate to national circumstances.</w:t>
      </w:r>
    </w:p>
    <w:p>
      <w:pPr>
        <w:spacing w:before="0"/>
        <w:ind w:left="556" w:right="520" w:firstLine="0"/>
        <w:jc w:val="left"/>
        <w:rPr>
          <w:sz w:val="16"/>
        </w:rPr>
      </w:pPr>
      <w:r>
        <w:rPr>
          <w:b/>
          <w:sz w:val="16"/>
        </w:rPr>
        <w:t>Note 2</w:t>
      </w:r>
      <w:r>
        <w:rPr>
          <w:sz w:val="16"/>
        </w:rPr>
        <w:t>: The concept of key categories is explained in Chapter 5, Subsection 5.4 (Methodological Choice – Identification of Key Categories).</w:t>
      </w:r>
    </w:p>
    <w:p>
      <w:pPr>
        <w:spacing w:line="183" w:lineRule="exact" w:before="0"/>
        <w:ind w:left="556" w:right="0" w:firstLine="0"/>
        <w:jc w:val="left"/>
        <w:rPr>
          <w:sz w:val="16"/>
        </w:rPr>
      </w:pPr>
      <w:r>
        <w:rPr>
          <w:b/>
          <w:sz w:val="16"/>
        </w:rPr>
        <w:t>Note 3</w:t>
      </w:r>
      <w:r>
        <w:rPr>
          <w:sz w:val="16"/>
        </w:rPr>
        <w:t>: See Table 3.1.2 for the characterisation of sub-categories.</w:t>
      </w:r>
    </w:p>
    <w:p>
      <w:pPr>
        <w:spacing w:line="183" w:lineRule="exact" w:before="0"/>
        <w:ind w:left="556" w:right="0" w:firstLine="0"/>
        <w:jc w:val="left"/>
        <w:rPr>
          <w:sz w:val="16"/>
        </w:rPr>
      </w:pPr>
      <w:r>
        <w:rPr>
          <w:b/>
          <w:sz w:val="16"/>
        </w:rPr>
        <w:t>Note 4</w:t>
      </w:r>
      <w:r>
        <w:rPr>
          <w:sz w:val="16"/>
        </w:rPr>
        <w:t>: A sub-category is significant if it accounts for 25-30% of emissions/removals for the overall category.</w:t>
      </w:r>
    </w:p>
    <w:p>
      <w:pPr>
        <w:spacing w:line="183" w:lineRule="exact" w:before="0"/>
        <w:ind w:left="556" w:right="0" w:firstLine="0"/>
        <w:jc w:val="left"/>
        <w:rPr>
          <w:sz w:val="16"/>
        </w:rPr>
      </w:pPr>
      <w:r>
        <w:rPr>
          <w:b/>
          <w:sz w:val="16"/>
        </w:rPr>
        <w:t>Note 5</w:t>
      </w:r>
      <w:r>
        <w:rPr>
          <w:sz w:val="16"/>
        </w:rPr>
        <w:t>: See Box 3.1.1 for definition of Tier levels.</w:t>
      </w:r>
    </w:p>
    <w:p>
      <w:pPr>
        <w:pStyle w:val="BodyText"/>
        <w:spacing w:before="11"/>
        <w:rPr>
          <w:sz w:val="15"/>
        </w:rPr>
      </w:pPr>
    </w:p>
    <w:p>
      <w:pPr>
        <w:spacing w:before="0"/>
        <w:ind w:left="556" w:right="0" w:firstLine="0"/>
        <w:jc w:val="left"/>
        <w:rPr>
          <w:sz w:val="16"/>
        </w:rPr>
      </w:pPr>
      <w:r>
        <w:rPr>
          <w:sz w:val="16"/>
        </w:rPr>
        <w:t>* If a country reports harvested wood products (HWP) as a separate pool, it should be treated as a sub-category.</w:t>
      </w:r>
    </w:p>
    <w:p>
      <w:pPr>
        <w:spacing w:after="0"/>
        <w:jc w:val="left"/>
        <w:rPr>
          <w:sz w:val="16"/>
        </w:rPr>
        <w:sectPr>
          <w:pgSz w:w="11900" w:h="16840"/>
          <w:pgMar w:header="230" w:footer="408" w:top="560" w:bottom="600" w:left="1000" w:right="860"/>
        </w:sectPr>
      </w:pPr>
    </w:p>
    <w:p>
      <w:pPr>
        <w:pStyle w:val="BodyText"/>
      </w:pPr>
    </w:p>
    <w:p>
      <w:pPr>
        <w:pStyle w:val="BodyText"/>
      </w:pPr>
    </w:p>
    <w:p>
      <w:pPr>
        <w:pStyle w:val="ListParagraph"/>
        <w:numPr>
          <w:ilvl w:val="1"/>
          <w:numId w:val="10"/>
        </w:numPr>
        <w:tabs>
          <w:tab w:pos="1622" w:val="left" w:leader="none"/>
        </w:tabs>
        <w:spacing w:line="240" w:lineRule="auto" w:before="225" w:after="0"/>
        <w:ind w:left="1621" w:right="0" w:hanging="1202"/>
        <w:jc w:val="both"/>
        <w:rPr>
          <w:rFonts w:ascii="TimesNewRomanPS-BoldItalicMT"/>
          <w:b/>
          <w:i/>
          <w:sz w:val="32"/>
        </w:rPr>
      </w:pPr>
      <w:r>
        <w:rPr>
          <w:b/>
          <w:spacing w:val="18"/>
          <w:sz w:val="32"/>
        </w:rPr>
        <w:t>RELATIONSHIP </w:t>
      </w:r>
      <w:r>
        <w:rPr>
          <w:b/>
          <w:spacing w:val="11"/>
          <w:sz w:val="32"/>
        </w:rPr>
        <w:t>TO </w:t>
      </w:r>
      <w:r>
        <w:rPr>
          <w:b/>
          <w:spacing w:val="13"/>
          <w:sz w:val="32"/>
        </w:rPr>
        <w:t>THE </w:t>
      </w:r>
      <w:r>
        <w:rPr>
          <w:rFonts w:ascii="TimesNewRomanPS-BoldItalicMT"/>
          <w:b/>
          <w:i/>
          <w:spacing w:val="15"/>
          <w:sz w:val="32"/>
        </w:rPr>
        <w:t>IPCC</w:t>
      </w:r>
      <w:r>
        <w:rPr>
          <w:rFonts w:ascii="TimesNewRomanPS-BoldItalicMT"/>
          <w:b/>
          <w:i/>
          <w:spacing w:val="18"/>
          <w:sz w:val="32"/>
        </w:rPr>
        <w:t> </w:t>
      </w:r>
      <w:r>
        <w:rPr>
          <w:rFonts w:ascii="TimesNewRomanPS-BoldItalicMT"/>
          <w:b/>
          <w:i/>
          <w:spacing w:val="20"/>
          <w:sz w:val="32"/>
        </w:rPr>
        <w:t>GUIDELINES</w:t>
      </w:r>
    </w:p>
    <w:p>
      <w:pPr>
        <w:spacing w:before="176"/>
        <w:ind w:left="419" w:right="546" w:firstLine="0"/>
        <w:jc w:val="both"/>
        <w:rPr>
          <w:sz w:val="20"/>
        </w:rPr>
      </w:pPr>
      <w:r>
        <w:rPr>
          <w:sz w:val="20"/>
        </w:rPr>
        <w:t>As explained in the introduction, </w:t>
      </w:r>
      <w:r>
        <w:rPr>
          <w:i/>
          <w:sz w:val="20"/>
        </w:rPr>
        <w:t>good practice guidance </w:t>
      </w:r>
      <w:r>
        <w:rPr>
          <w:sz w:val="20"/>
        </w:rPr>
        <w:t>needs to be consistent with the </w:t>
      </w:r>
      <w:r>
        <w:rPr>
          <w:i/>
          <w:sz w:val="20"/>
        </w:rPr>
        <w:t>IPCC Guidelines </w:t>
      </w:r>
      <w:r>
        <w:rPr>
          <w:sz w:val="20"/>
        </w:rPr>
        <w:t>since the Parties have agreed to use the latter for estimation of greenhouse gas emissions and removals. </w:t>
      </w:r>
      <w:r>
        <w:rPr>
          <w:i/>
          <w:sz w:val="20"/>
        </w:rPr>
        <w:t>Good Practice Guidance for LULUCF </w:t>
      </w:r>
      <w:r>
        <w:rPr>
          <w:sz w:val="20"/>
        </w:rPr>
        <w:t>defines consistency with the </w:t>
      </w:r>
      <w:r>
        <w:rPr>
          <w:i/>
          <w:sz w:val="20"/>
        </w:rPr>
        <w:t>IPCC Guidelines</w:t>
      </w:r>
      <w:r>
        <w:rPr>
          <w:sz w:val="20"/>
        </w:rPr>
        <w:t>, using the following three criteria</w:t>
      </w:r>
      <w:r>
        <w:rPr>
          <w:sz w:val="20"/>
          <w:vertAlign w:val="superscript"/>
        </w:rPr>
        <w:t>9</w:t>
      </w:r>
      <w:r>
        <w:rPr>
          <w:sz w:val="20"/>
          <w:vertAlign w:val="baseline"/>
        </w:rPr>
        <w:t>:</w:t>
      </w:r>
    </w:p>
    <w:p>
      <w:pPr>
        <w:pStyle w:val="ListParagraph"/>
        <w:numPr>
          <w:ilvl w:val="2"/>
          <w:numId w:val="10"/>
        </w:numPr>
        <w:tabs>
          <w:tab w:pos="1496" w:val="left" w:leader="none"/>
          <w:tab w:pos="1497" w:val="left" w:leader="none"/>
        </w:tabs>
        <w:spacing w:line="240" w:lineRule="auto" w:before="119" w:after="0"/>
        <w:ind w:left="1496" w:right="546" w:hanging="571"/>
        <w:jc w:val="left"/>
        <w:rPr>
          <w:i/>
          <w:sz w:val="20"/>
        </w:rPr>
      </w:pPr>
      <w:r>
        <w:rPr>
          <w:sz w:val="20"/>
        </w:rPr>
        <w:t>Specific source or sink categories addressed by the </w:t>
      </w:r>
      <w:r>
        <w:rPr>
          <w:i/>
          <w:sz w:val="20"/>
        </w:rPr>
        <w:t>Good Practice Guidance for LULUCF </w:t>
      </w:r>
      <w:r>
        <w:rPr>
          <w:sz w:val="20"/>
        </w:rPr>
        <w:t>can be traced back to categories in the </w:t>
      </w:r>
      <w:r>
        <w:rPr>
          <w:i/>
          <w:sz w:val="20"/>
        </w:rPr>
        <w:t>IPCC</w:t>
      </w:r>
      <w:r>
        <w:rPr>
          <w:i/>
          <w:spacing w:val="-5"/>
          <w:sz w:val="20"/>
        </w:rPr>
        <w:t> </w:t>
      </w:r>
      <w:r>
        <w:rPr>
          <w:i/>
          <w:sz w:val="20"/>
        </w:rPr>
        <w:t>Guidelines.</w:t>
      </w:r>
    </w:p>
    <w:p>
      <w:pPr>
        <w:pStyle w:val="ListParagraph"/>
        <w:numPr>
          <w:ilvl w:val="2"/>
          <w:numId w:val="10"/>
        </w:numPr>
        <w:tabs>
          <w:tab w:pos="1496" w:val="left" w:leader="none"/>
          <w:tab w:pos="1497" w:val="left" w:leader="none"/>
        </w:tabs>
        <w:spacing w:line="240" w:lineRule="auto" w:before="118" w:after="0"/>
        <w:ind w:left="1496" w:right="544" w:hanging="597"/>
        <w:jc w:val="left"/>
        <w:rPr>
          <w:sz w:val="20"/>
        </w:rPr>
      </w:pPr>
      <w:r>
        <w:rPr>
          <w:i/>
          <w:sz w:val="20"/>
        </w:rPr>
        <w:t>Good practice guidance for LULUCF </w:t>
      </w:r>
      <w:r>
        <w:rPr>
          <w:sz w:val="20"/>
        </w:rPr>
        <w:t>uses the same functional forms for the equations that are used in the </w:t>
      </w:r>
      <w:r>
        <w:rPr>
          <w:i/>
          <w:sz w:val="20"/>
        </w:rPr>
        <w:t>IPCC Guidelines</w:t>
      </w:r>
      <w:r>
        <w:rPr>
          <w:sz w:val="20"/>
        </w:rPr>
        <w:t>, or their</w:t>
      </w:r>
      <w:r>
        <w:rPr>
          <w:spacing w:val="-1"/>
          <w:sz w:val="20"/>
        </w:rPr>
        <w:t> </w:t>
      </w:r>
      <w:r>
        <w:rPr>
          <w:sz w:val="20"/>
        </w:rPr>
        <w:t>equivalent.</w:t>
      </w:r>
    </w:p>
    <w:p>
      <w:pPr>
        <w:pStyle w:val="ListParagraph"/>
        <w:numPr>
          <w:ilvl w:val="2"/>
          <w:numId w:val="10"/>
        </w:numPr>
        <w:tabs>
          <w:tab w:pos="1496" w:val="left" w:leader="none"/>
          <w:tab w:pos="1497" w:val="left" w:leader="none"/>
        </w:tabs>
        <w:spacing w:line="240" w:lineRule="auto" w:before="121" w:after="0"/>
        <w:ind w:left="1496" w:right="547" w:hanging="626"/>
        <w:jc w:val="left"/>
        <w:rPr>
          <w:i/>
          <w:sz w:val="20"/>
        </w:rPr>
      </w:pPr>
      <w:r>
        <w:rPr>
          <w:i/>
          <w:sz w:val="20"/>
        </w:rPr>
        <w:t>Good practice guidance for LULUCF </w:t>
      </w:r>
      <w:r>
        <w:rPr>
          <w:sz w:val="20"/>
        </w:rPr>
        <w:t>allows corrections of any errors or deficiencies that have been identified in the </w:t>
      </w:r>
      <w:r>
        <w:rPr>
          <w:i/>
          <w:sz w:val="20"/>
        </w:rPr>
        <w:t>IPCC</w:t>
      </w:r>
      <w:r>
        <w:rPr>
          <w:i/>
          <w:spacing w:val="-3"/>
          <w:sz w:val="20"/>
        </w:rPr>
        <w:t> </w:t>
      </w:r>
      <w:r>
        <w:rPr>
          <w:i/>
          <w:sz w:val="20"/>
        </w:rPr>
        <w:t>Guidelines.</w:t>
      </w:r>
    </w:p>
    <w:p>
      <w:pPr>
        <w:pStyle w:val="BodyText"/>
        <w:spacing w:before="118"/>
        <w:ind w:left="419" w:right="548"/>
        <w:jc w:val="both"/>
      </w:pPr>
      <w:r>
        <w:rPr>
          <w:i/>
        </w:rPr>
        <w:t>Good Practice Guidance for LULUCF </w:t>
      </w:r>
      <w:r>
        <w:rPr/>
        <w:t>has some interlinkages with </w:t>
      </w:r>
      <w:r>
        <w:rPr>
          <w:i/>
        </w:rPr>
        <w:t>GPG2000 </w:t>
      </w:r>
      <w:r>
        <w:rPr/>
        <w:t>in estimation of agricultural emissions, particularly nitrous oxide from soils, and must maintain consistency with the advice already agreed upon.</w:t>
      </w:r>
    </w:p>
    <w:p>
      <w:pPr>
        <w:pStyle w:val="BodyText"/>
        <w:spacing w:before="122"/>
        <w:ind w:left="419" w:right="547"/>
        <w:jc w:val="both"/>
      </w:pPr>
      <w:r>
        <w:rPr>
          <w:i/>
        </w:rPr>
        <w:t>Good Practice Guidance for LULUCF </w:t>
      </w:r>
      <w:r>
        <w:rPr/>
        <w:t>has some additional, though limited and specific, flexibility following the conclusions of the 15</w:t>
      </w:r>
      <w:r>
        <w:rPr>
          <w:vertAlign w:val="superscript"/>
        </w:rPr>
        <w:t>th</w:t>
      </w:r>
      <w:r>
        <w:rPr>
          <w:vertAlign w:val="baseline"/>
        </w:rPr>
        <w:t> meeting of the Subsidiary Body for Scientific and Technological Advice (SBSTA), held in association with COP7 in Marrakesh. Having noted with appreciation the progress of IPCC’s work on LULUCF, the SBSTA:</w:t>
      </w:r>
    </w:p>
    <w:p>
      <w:pPr>
        <w:spacing w:before="119"/>
        <w:ind w:left="1139" w:right="1262" w:firstLine="50"/>
        <w:jc w:val="both"/>
        <w:rPr>
          <w:sz w:val="20"/>
        </w:rPr>
      </w:pPr>
      <w:r>
        <w:rPr>
          <w:sz w:val="20"/>
        </w:rPr>
        <w:t>…</w:t>
      </w:r>
      <w:r>
        <w:rPr>
          <w:i/>
          <w:sz w:val="20"/>
        </w:rPr>
        <w:t>encouraged the IPCC to ensure that any elaboration of, or change to, the reporting of categories in Chapter 5</w:t>
      </w:r>
      <w:r>
        <w:rPr>
          <w:i/>
          <w:sz w:val="20"/>
          <w:vertAlign w:val="superscript"/>
        </w:rPr>
        <w:t>10</w:t>
      </w:r>
      <w:r>
        <w:rPr>
          <w:i/>
          <w:sz w:val="20"/>
          <w:vertAlign w:val="baseline"/>
        </w:rPr>
        <w:t> of the 1996 Revised IPCC Guidelines for National Greenhouse Gas Inventories allows for a comparison of information reported using Good Practice Guidance with previous inventory reporting under the Convention</w:t>
      </w:r>
      <w:r>
        <w:rPr>
          <w:sz w:val="20"/>
          <w:vertAlign w:val="baseline"/>
        </w:rPr>
        <w:t>.</w:t>
      </w:r>
      <w:r>
        <w:rPr>
          <w:sz w:val="20"/>
          <w:vertAlign w:val="superscript"/>
        </w:rPr>
        <w:t>11</w:t>
      </w:r>
    </w:p>
    <w:p>
      <w:pPr>
        <w:pStyle w:val="BodyText"/>
        <w:spacing w:before="119"/>
        <w:ind w:left="419" w:right="545"/>
        <w:jc w:val="both"/>
      </w:pPr>
      <w:r>
        <w:rPr/>
        <w:t>SBSTA suggested this flexibility for the scientific reason that the </w:t>
      </w:r>
      <w:r>
        <w:rPr>
          <w:i/>
        </w:rPr>
        <w:t>IPCC Guidelines </w:t>
      </w:r>
      <w:r>
        <w:rPr/>
        <w:t>treat all soils as one reporting category, which tends to separate soil organic matter from associated living biomass stocks in the inventory calculations, leading to possible inconsistencies in the estimates due partly to different handling of categories. This advice from SBSTA allows some rearrangement in the </w:t>
      </w:r>
      <w:r>
        <w:rPr>
          <w:i/>
        </w:rPr>
        <w:t>Good Practice Guidance for LULUCF</w:t>
      </w:r>
      <w:r>
        <w:rPr/>
        <w:t>, as long as the ability to trace back the inventory estimates to the reporting categories in Chapter 5 of the </w:t>
      </w:r>
      <w:r>
        <w:rPr>
          <w:i/>
        </w:rPr>
        <w:t>IPCC Guidelines </w:t>
      </w:r>
      <w:r>
        <w:rPr/>
        <w:t>is retained. The development of </w:t>
      </w:r>
      <w:r>
        <w:rPr>
          <w:i/>
        </w:rPr>
        <w:t>Good Practice Guidance for LULUCF </w:t>
      </w:r>
      <w:r>
        <w:rPr/>
        <w:t>has made use of this flexibility, while paying careful attention to the need to ensure consistency with Chapter 5 of the </w:t>
      </w:r>
      <w:r>
        <w:rPr>
          <w:i/>
        </w:rPr>
        <w:t>IPCC</w:t>
      </w:r>
      <w:r>
        <w:rPr>
          <w:i/>
          <w:spacing w:val="-20"/>
        </w:rPr>
        <w:t> </w:t>
      </w:r>
      <w:r>
        <w:rPr>
          <w:i/>
        </w:rPr>
        <w:t>Guidelines</w:t>
      </w:r>
      <w:r>
        <w:rPr/>
        <w:t>.</w:t>
      </w:r>
    </w:p>
    <w:p>
      <w:pPr>
        <w:pStyle w:val="BodyText"/>
        <w:spacing w:before="118"/>
        <w:ind w:left="419" w:right="546"/>
        <w:jc w:val="both"/>
      </w:pPr>
      <w:r>
        <w:rPr/>
        <w:t>Criteria (i) to (iii) allow for inclusion of additional source or sink categories on managed land where these are covered under the “</w:t>
      </w:r>
      <w:r>
        <w:rPr>
          <w:i/>
        </w:rPr>
        <w:t>Other” </w:t>
      </w:r>
      <w:r>
        <w:rPr/>
        <w:t>category of Chapter 5 of the </w:t>
      </w:r>
      <w:r>
        <w:rPr>
          <w:i/>
        </w:rPr>
        <w:t>IPCC Guidelines</w:t>
      </w:r>
      <w:r>
        <w:rPr/>
        <w:t>. Default emission or removal factors and model parameters have been updated where these can be linked to particular national circumstances and documented. Advice on more complex methods than those described in the </w:t>
      </w:r>
      <w:r>
        <w:rPr>
          <w:i/>
        </w:rPr>
        <w:t>IPCC Guidelines </w:t>
      </w:r>
      <w:r>
        <w:rPr/>
        <w:t>is also provided, since the latter anticipate use of such methods</w:t>
      </w:r>
      <w:r>
        <w:rPr>
          <w:vertAlign w:val="superscript"/>
        </w:rPr>
        <w:t>12</w:t>
      </w:r>
      <w:r>
        <w:rPr>
          <w:vertAlign w:val="baseline"/>
        </w:rPr>
        <w:t>.</w:t>
      </w:r>
    </w:p>
    <w:p>
      <w:pPr>
        <w:spacing w:before="120"/>
        <w:ind w:left="419" w:right="546" w:firstLine="0"/>
        <w:jc w:val="both"/>
        <w:rPr>
          <w:sz w:val="20"/>
        </w:rPr>
      </w:pPr>
      <w:r>
        <w:rPr>
          <w:i/>
          <w:sz w:val="20"/>
        </w:rPr>
        <w:t>Good Practice Guidance for LULUCF </w:t>
      </w:r>
      <w:r>
        <w:rPr>
          <w:sz w:val="20"/>
        </w:rPr>
        <w:t>must also serve the needs of the Kyoto Protocol, which introduces LULUCF activities that are a subset of the activities covered in Chapter 5 of the </w:t>
      </w:r>
      <w:r>
        <w:rPr>
          <w:i/>
          <w:sz w:val="20"/>
        </w:rPr>
        <w:t>IPCC Guidelines. </w:t>
      </w:r>
      <w:r>
        <w:rPr>
          <w:sz w:val="20"/>
        </w:rPr>
        <w:t>These activities have more precise requirements on definitions, geographical reporting, carbon pools and greenhouse gases to be accounted and </w:t>
      </w:r>
      <w:r>
        <w:rPr>
          <w:i/>
          <w:sz w:val="20"/>
        </w:rPr>
        <w:t>Good Practice Guidance for LULUCF </w:t>
      </w:r>
      <w:r>
        <w:rPr>
          <w:sz w:val="20"/>
        </w:rPr>
        <w:t>provides ways to meet these requirements.</w:t>
      </w:r>
    </w:p>
    <w:p>
      <w:pPr>
        <w:pStyle w:val="BodyText"/>
        <w:spacing w:before="8"/>
        <w:rPr>
          <w:sz w:val="31"/>
        </w:rPr>
      </w:pPr>
    </w:p>
    <w:p>
      <w:pPr>
        <w:pStyle w:val="Heading2"/>
        <w:numPr>
          <w:ilvl w:val="1"/>
          <w:numId w:val="10"/>
        </w:numPr>
        <w:tabs>
          <w:tab w:pos="1622" w:val="left" w:leader="none"/>
        </w:tabs>
        <w:spacing w:line="240" w:lineRule="auto" w:before="0" w:after="0"/>
        <w:ind w:left="1621" w:right="0" w:hanging="1202"/>
        <w:jc w:val="both"/>
      </w:pPr>
      <w:r>
        <w:rPr>
          <w:spacing w:val="17"/>
        </w:rPr>
        <w:t>OUTLINE </w:t>
      </w:r>
      <w:r>
        <w:rPr>
          <w:spacing w:val="10"/>
        </w:rPr>
        <w:t>OF </w:t>
      </w:r>
      <w:r>
        <w:rPr>
          <w:spacing w:val="17"/>
        </w:rPr>
        <w:t>PRESENT</w:t>
      </w:r>
      <w:r>
        <w:rPr>
          <w:spacing w:val="8"/>
        </w:rPr>
        <w:t> </w:t>
      </w:r>
      <w:r>
        <w:rPr>
          <w:spacing w:val="19"/>
        </w:rPr>
        <w:t>DOCUMENT</w:t>
      </w:r>
    </w:p>
    <w:p>
      <w:pPr>
        <w:spacing w:before="174"/>
        <w:ind w:left="419" w:right="0" w:firstLine="0"/>
        <w:jc w:val="both"/>
        <w:rPr>
          <w:sz w:val="20"/>
        </w:rPr>
      </w:pPr>
      <w:r>
        <w:rPr>
          <w:sz w:val="20"/>
        </w:rPr>
        <w:t>The chapters of the </w:t>
      </w:r>
      <w:r>
        <w:rPr>
          <w:i/>
          <w:sz w:val="20"/>
        </w:rPr>
        <w:t>Good Practice Guidance for LULUCF </w:t>
      </w:r>
      <w:r>
        <w:rPr>
          <w:sz w:val="20"/>
        </w:rPr>
        <w:t>are organised as follows:</w:t>
      </w:r>
    </w:p>
    <w:p>
      <w:pPr>
        <w:spacing w:before="125"/>
        <w:ind w:left="419" w:right="0" w:firstLine="0"/>
        <w:jc w:val="both"/>
        <w:rPr>
          <w:rFonts w:ascii="TimesNewRomanPS-BoldItalicMT"/>
          <w:b/>
          <w:i/>
          <w:sz w:val="20"/>
        </w:rPr>
      </w:pPr>
      <w:r>
        <w:rPr>
          <w:rFonts w:ascii="TimesNewRomanPS-BoldItalicMT"/>
          <w:b/>
          <w:i/>
          <w:sz w:val="20"/>
        </w:rPr>
        <w:t>Chapter 1 Overview</w:t>
      </w:r>
    </w:p>
    <w:p>
      <w:pPr>
        <w:spacing w:before="113"/>
        <w:ind w:left="419" w:right="546" w:firstLine="0"/>
        <w:jc w:val="both"/>
        <w:rPr>
          <w:sz w:val="20"/>
        </w:rPr>
      </w:pPr>
      <w:r>
        <w:rPr>
          <w:sz w:val="20"/>
        </w:rPr>
        <w:t>This Chapter sets out the mandate for </w:t>
      </w:r>
      <w:r>
        <w:rPr>
          <w:i/>
          <w:sz w:val="20"/>
        </w:rPr>
        <w:t>Good Practice Guidance for LULUCF</w:t>
      </w:r>
      <w:r>
        <w:rPr>
          <w:sz w:val="20"/>
        </w:rPr>
        <w:t>, defines and describes the history of IPCC </w:t>
      </w:r>
      <w:r>
        <w:rPr>
          <w:i/>
          <w:sz w:val="20"/>
        </w:rPr>
        <w:t>good practice guidance </w:t>
      </w:r>
      <w:r>
        <w:rPr>
          <w:sz w:val="20"/>
        </w:rPr>
        <w:t>and its relationship to the </w:t>
      </w:r>
      <w:r>
        <w:rPr>
          <w:i/>
          <w:sz w:val="20"/>
        </w:rPr>
        <w:t>IPCC Guidelines</w:t>
      </w:r>
      <w:r>
        <w:rPr>
          <w:sz w:val="20"/>
        </w:rPr>
        <w:t>, summarises the practical advice provided to inventory agencies, and discusses policy</w:t>
      </w:r>
      <w:r>
        <w:rPr>
          <w:spacing w:val="-8"/>
          <w:sz w:val="20"/>
        </w:rPr>
        <w:t> </w:t>
      </w:r>
      <w:r>
        <w:rPr>
          <w:sz w:val="20"/>
        </w:rPr>
        <w:t>relevance.</w:t>
      </w:r>
    </w:p>
    <w:p>
      <w:pPr>
        <w:pStyle w:val="BodyText"/>
        <w:spacing w:before="2"/>
        <w:rPr>
          <w:sz w:val="17"/>
        </w:rPr>
      </w:pPr>
      <w:r>
        <w:rPr/>
        <w:pict>
          <v:line style="position:absolute;mso-position-horizontal-relative:page;mso-position-vertical-relative:paragraph;z-index:-184;mso-wrap-distance-left:0;mso-wrap-distance-right:0" from="70.960999pt,12.076631pt" to="214.960999pt,12.076631pt" stroked="true" strokeweight=".48pt" strokecolor="#000000">
            <v:stroke dashstyle="solid"/>
            <w10:wrap type="topAndBottom"/>
          </v:line>
        </w:pict>
      </w:r>
    </w:p>
    <w:p>
      <w:pPr>
        <w:spacing w:before="153"/>
        <w:ind w:left="419" w:right="0" w:firstLine="0"/>
        <w:jc w:val="left"/>
        <w:rPr>
          <w:sz w:val="18"/>
        </w:rPr>
      </w:pPr>
      <w:r>
        <w:rPr>
          <w:position w:val="8"/>
          <w:sz w:val="12"/>
        </w:rPr>
        <w:t>9 </w:t>
      </w:r>
      <w:r>
        <w:rPr>
          <w:i/>
          <w:sz w:val="18"/>
        </w:rPr>
        <w:t>GPG2000</w:t>
      </w:r>
      <w:r>
        <w:rPr>
          <w:sz w:val="18"/>
        </w:rPr>
        <w:t>, page 1.6.</w:t>
      </w:r>
    </w:p>
    <w:p>
      <w:pPr>
        <w:spacing w:before="95"/>
        <w:ind w:left="577" w:right="520" w:hanging="159"/>
        <w:jc w:val="left"/>
        <w:rPr>
          <w:sz w:val="18"/>
        </w:rPr>
      </w:pPr>
      <w:r>
        <w:rPr>
          <w:position w:val="8"/>
          <w:sz w:val="12"/>
        </w:rPr>
        <w:t>10 </w:t>
      </w:r>
      <w:r>
        <w:rPr>
          <w:sz w:val="18"/>
        </w:rPr>
        <w:t>The Chapter 5 categories referred to are Changes in Forest and Woody Biomass Stocks (5A), Forest and Grassland Conversion (5B), Abandonment of Managed Lands (5C), CO</w:t>
      </w:r>
      <w:r>
        <w:rPr>
          <w:sz w:val="18"/>
          <w:vertAlign w:val="subscript"/>
        </w:rPr>
        <w:t>2</w:t>
      </w:r>
      <w:r>
        <w:rPr>
          <w:sz w:val="18"/>
          <w:vertAlign w:val="baseline"/>
        </w:rPr>
        <w:t> Emissions and Removals from Soil (5D) and Other (5E).</w:t>
      </w:r>
    </w:p>
    <w:p>
      <w:pPr>
        <w:spacing w:before="95"/>
        <w:ind w:left="419" w:right="0" w:firstLine="0"/>
        <w:jc w:val="left"/>
        <w:rPr>
          <w:sz w:val="18"/>
        </w:rPr>
      </w:pPr>
      <w:r>
        <w:rPr>
          <w:position w:val="8"/>
          <w:sz w:val="12"/>
        </w:rPr>
        <w:t>11 </w:t>
      </w:r>
      <w:r>
        <w:rPr>
          <w:sz w:val="18"/>
        </w:rPr>
        <w:t>Report of SBSTA 15, FCCC/SBSTA/2001/8, paragraph 29(b).</w:t>
      </w:r>
    </w:p>
    <w:p>
      <w:pPr>
        <w:spacing w:before="98"/>
        <w:ind w:left="419" w:right="0" w:firstLine="0"/>
        <w:jc w:val="left"/>
        <w:rPr>
          <w:sz w:val="18"/>
        </w:rPr>
      </w:pPr>
      <w:r>
        <w:rPr>
          <w:position w:val="8"/>
          <w:sz w:val="12"/>
        </w:rPr>
        <w:t>12 </w:t>
      </w:r>
      <w:r>
        <w:rPr>
          <w:i/>
          <w:sz w:val="18"/>
        </w:rPr>
        <w:t>IPCC Guidelines </w:t>
      </w:r>
      <w:r>
        <w:rPr>
          <w:sz w:val="18"/>
        </w:rPr>
        <w:t>(Reference Manual), page 5.4.</w:t>
      </w:r>
    </w:p>
    <w:p>
      <w:pPr>
        <w:spacing w:after="0"/>
        <w:jc w:val="left"/>
        <w:rPr>
          <w:sz w:val="18"/>
        </w:rPr>
        <w:sectPr>
          <w:pgSz w:w="11900" w:h="16840"/>
          <w:pgMar w:header="230" w:footer="408" w:top="560" w:bottom="600" w:left="1000" w:right="860"/>
        </w:sectPr>
      </w:pPr>
    </w:p>
    <w:p>
      <w:pPr>
        <w:pStyle w:val="BodyText"/>
      </w:pPr>
    </w:p>
    <w:p>
      <w:pPr>
        <w:pStyle w:val="BodyText"/>
        <w:spacing w:before="7"/>
        <w:rPr>
          <w:sz w:val="18"/>
        </w:rPr>
      </w:pPr>
    </w:p>
    <w:p>
      <w:pPr>
        <w:spacing w:before="0"/>
        <w:ind w:left="419" w:right="0" w:firstLine="0"/>
        <w:jc w:val="both"/>
        <w:rPr>
          <w:rFonts w:ascii="TimesNewRomanPS-BoldItalicMT"/>
          <w:b/>
          <w:i/>
          <w:sz w:val="20"/>
        </w:rPr>
      </w:pPr>
      <w:r>
        <w:rPr>
          <w:rFonts w:ascii="TimesNewRomanPS-BoldItalicMT"/>
          <w:b/>
          <w:i/>
          <w:sz w:val="20"/>
        </w:rPr>
        <w:t>Chapter 2 Basis for consistent representation of land areas</w:t>
      </w:r>
    </w:p>
    <w:p>
      <w:pPr>
        <w:pStyle w:val="BodyText"/>
        <w:spacing w:before="116"/>
        <w:ind w:left="419" w:right="544"/>
        <w:jc w:val="both"/>
      </w:pPr>
      <w:r>
        <w:rPr/>
        <w:t>The </w:t>
      </w:r>
      <w:r>
        <w:rPr>
          <w:i/>
        </w:rPr>
        <w:t>IPCC Guidelines </w:t>
      </w:r>
      <w:r>
        <w:rPr/>
        <w:t>contain little, if any, discussion on how to estimate land areas and changes in land area associated with LUCF activities. In practice, countries use a variety of sources including agricultural census data, forest inventories, and remote sensing data, but definitions that different authorities use in assembling the data are not always consistent. Chapter 2 therefore provides advice on different approaches for representing land area depending on the data available. The term “approach” used in Chapter 2 is distinct from the term “tier” used in Chapters</w:t>
      </w:r>
      <w:r>
        <w:rPr>
          <w:spacing w:val="11"/>
        </w:rPr>
        <w:t> </w:t>
      </w:r>
      <w:r>
        <w:rPr/>
        <w:t>3</w:t>
      </w:r>
      <w:r>
        <w:rPr>
          <w:spacing w:val="12"/>
        </w:rPr>
        <w:t> </w:t>
      </w:r>
      <w:r>
        <w:rPr/>
        <w:t>to</w:t>
      </w:r>
      <w:r>
        <w:rPr>
          <w:spacing w:val="12"/>
        </w:rPr>
        <w:t> </w:t>
      </w:r>
      <w:r>
        <w:rPr/>
        <w:t>5.</w:t>
      </w:r>
      <w:r>
        <w:rPr>
          <w:spacing w:val="12"/>
        </w:rPr>
        <w:t> </w:t>
      </w:r>
      <w:r>
        <w:rPr/>
        <w:t>The</w:t>
      </w:r>
      <w:r>
        <w:rPr>
          <w:spacing w:val="12"/>
        </w:rPr>
        <w:t> </w:t>
      </w:r>
      <w:r>
        <w:rPr/>
        <w:t>approaches</w:t>
      </w:r>
      <w:r>
        <w:rPr>
          <w:spacing w:val="11"/>
        </w:rPr>
        <w:t> </w:t>
      </w:r>
      <w:r>
        <w:rPr/>
        <w:t>are</w:t>
      </w:r>
      <w:r>
        <w:rPr>
          <w:spacing w:val="14"/>
        </w:rPr>
        <w:t> </w:t>
      </w:r>
      <w:r>
        <w:rPr/>
        <w:t>not</w:t>
      </w:r>
      <w:r>
        <w:rPr>
          <w:spacing w:val="12"/>
        </w:rPr>
        <w:t> </w:t>
      </w:r>
      <w:r>
        <w:rPr/>
        <w:t>presented</w:t>
      </w:r>
      <w:r>
        <w:rPr>
          <w:spacing w:val="12"/>
        </w:rPr>
        <w:t> </w:t>
      </w:r>
      <w:r>
        <w:rPr/>
        <w:t>as</w:t>
      </w:r>
      <w:r>
        <w:rPr>
          <w:spacing w:val="11"/>
        </w:rPr>
        <w:t> </w:t>
      </w:r>
      <w:r>
        <w:rPr/>
        <w:t>a</w:t>
      </w:r>
      <w:r>
        <w:rPr>
          <w:spacing w:val="14"/>
        </w:rPr>
        <w:t> </w:t>
      </w:r>
      <w:r>
        <w:rPr/>
        <w:t>hierarchy,</w:t>
      </w:r>
      <w:r>
        <w:rPr>
          <w:spacing w:val="12"/>
        </w:rPr>
        <w:t> </w:t>
      </w:r>
      <w:r>
        <w:rPr/>
        <w:t>although</w:t>
      </w:r>
      <w:r>
        <w:rPr>
          <w:spacing w:val="13"/>
        </w:rPr>
        <w:t> </w:t>
      </w:r>
      <w:r>
        <w:rPr/>
        <w:t>the</w:t>
      </w:r>
      <w:r>
        <w:rPr>
          <w:spacing w:val="12"/>
        </w:rPr>
        <w:t> </w:t>
      </w:r>
      <w:r>
        <w:rPr/>
        <w:t>requirements</w:t>
      </w:r>
      <w:r>
        <w:rPr>
          <w:spacing w:val="11"/>
        </w:rPr>
        <w:t> </w:t>
      </w:r>
      <w:r>
        <w:rPr/>
        <w:t>of</w:t>
      </w:r>
      <w:r>
        <w:rPr>
          <w:spacing w:val="12"/>
        </w:rPr>
        <w:t> </w:t>
      </w:r>
      <w:r>
        <w:rPr/>
        <w:t>Article</w:t>
      </w:r>
      <w:r>
        <w:rPr>
          <w:spacing w:val="13"/>
        </w:rPr>
        <w:t> </w:t>
      </w:r>
      <w:r>
        <w:rPr/>
        <w:t>3.3</w:t>
      </w:r>
      <w:r>
        <w:rPr>
          <w:spacing w:val="12"/>
        </w:rPr>
        <w:t> </w:t>
      </w:r>
      <w:r>
        <w:rPr/>
        <w:t>and</w:t>
      </w:r>
    </w:p>
    <w:p>
      <w:pPr>
        <w:pStyle w:val="BodyText"/>
        <w:ind w:left="419" w:right="543"/>
        <w:jc w:val="both"/>
      </w:pPr>
      <w:r>
        <w:rPr/>
        <w:t>3.4 under the Kyoto Protocol imply the need for additional supplementary spatial data if Approaches 1 or 2 are used for estimating and reporting on these activities. Using the approaches, singly or in combination, will help ensure the reliability of the area estimates, avoid overlaps and gaps.</w:t>
      </w:r>
    </w:p>
    <w:p>
      <w:pPr>
        <w:pStyle w:val="BodyText"/>
        <w:spacing w:before="118"/>
        <w:ind w:left="419" w:right="545"/>
        <w:jc w:val="both"/>
      </w:pPr>
      <w:r>
        <w:rPr/>
        <w:t>The discussion is in terms of six broad categories of land use namely forest land, cropland, grassland, wetlands, settlements, and other land that provide the basis for more detailed discussion in the chapters that follow</w:t>
      </w:r>
      <w:r>
        <w:rPr>
          <w:i/>
        </w:rPr>
        <w:t>. </w:t>
      </w:r>
      <w:r>
        <w:rPr/>
        <w:t>Unmanaged as well as managed areas are considered to help ensure consistency of area estimates, although emissions and removals are only estimated in respect of managed areas, as required by the </w:t>
      </w:r>
      <w:r>
        <w:rPr>
          <w:i/>
        </w:rPr>
        <w:t>IPCC Guidelines</w:t>
      </w:r>
      <w:r>
        <w:rPr/>
        <w:t>.</w:t>
      </w:r>
    </w:p>
    <w:p>
      <w:pPr>
        <w:spacing w:before="125"/>
        <w:ind w:left="419" w:right="0" w:firstLine="0"/>
        <w:jc w:val="both"/>
        <w:rPr>
          <w:rFonts w:ascii="TimesNewRomanPS-BoldItalicMT"/>
          <w:b/>
          <w:i/>
          <w:sz w:val="20"/>
        </w:rPr>
      </w:pPr>
      <w:r>
        <w:rPr>
          <w:rFonts w:ascii="TimesNewRomanPS-BoldItalicMT"/>
          <w:b/>
          <w:i/>
          <w:sz w:val="20"/>
        </w:rPr>
        <w:t>Chapter 3 LUCF sector good practice guidance</w:t>
      </w:r>
    </w:p>
    <w:p>
      <w:pPr>
        <w:pStyle w:val="BodyText"/>
        <w:spacing w:before="115"/>
        <w:ind w:left="419" w:right="543"/>
        <w:jc w:val="both"/>
      </w:pPr>
      <w:r>
        <w:rPr/>
        <w:t>Chapter 3 is organised following the six broad land-use categories identified in Chapter 2. Land may remain in any of these categories (e.g., grassland) or its use may change to another category (e.g., from forest to cropland). Chapter 3 provides advice on the estimation of emissions and removals of CO</w:t>
      </w:r>
      <w:r>
        <w:rPr>
          <w:vertAlign w:val="subscript"/>
        </w:rPr>
        <w:t>2</w:t>
      </w:r>
      <w:r>
        <w:rPr>
          <w:vertAlign w:val="baseline"/>
        </w:rPr>
        <w:t> and non-CO</w:t>
      </w:r>
      <w:r>
        <w:rPr>
          <w:vertAlign w:val="subscript"/>
        </w:rPr>
        <w:t>2</w:t>
      </w:r>
      <w:r>
        <w:rPr>
          <w:vertAlign w:val="baseline"/>
        </w:rPr>
        <w:t> greenhouse gases for both situations, taking account of the long term average carbon stocks associated with particular land uses, and the time taken for carbon stocks to adjust to the new equilibrium following a change in land use. Chapter 3 maintains consistency with the advice in </w:t>
      </w:r>
      <w:r>
        <w:rPr>
          <w:i/>
          <w:vertAlign w:val="baseline"/>
        </w:rPr>
        <w:t>GPG2000 </w:t>
      </w:r>
      <w:r>
        <w:rPr>
          <w:vertAlign w:val="baseline"/>
        </w:rPr>
        <w:t>on estimation of nitrous oxide emissions from land. Decision trees guide the choice of method according to national circumstances. Simple tables are provided to assist countries with the linkage to the </w:t>
      </w:r>
      <w:r>
        <w:rPr>
          <w:i/>
          <w:vertAlign w:val="baseline"/>
        </w:rPr>
        <w:t>IPCC Guidelines </w:t>
      </w:r>
      <w:r>
        <w:rPr>
          <w:vertAlign w:val="baseline"/>
        </w:rPr>
        <w:t>and </w:t>
      </w:r>
      <w:r>
        <w:rPr>
          <w:i/>
          <w:vertAlign w:val="baseline"/>
        </w:rPr>
        <w:t>good practices </w:t>
      </w:r>
      <w:r>
        <w:rPr>
          <w:vertAlign w:val="baseline"/>
        </w:rPr>
        <w:t>on the default methods in the </w:t>
      </w:r>
      <w:r>
        <w:rPr>
          <w:i/>
          <w:vertAlign w:val="baseline"/>
        </w:rPr>
        <w:t>IPCC Guidelines </w:t>
      </w:r>
      <w:r>
        <w:rPr>
          <w:vertAlign w:val="baseline"/>
        </w:rPr>
        <w:t>are clearly identified. There are short summary sections on forest and grassland conversion. The chapter also provides appendices covering wetlands and settlements, for which the </w:t>
      </w:r>
      <w:r>
        <w:rPr>
          <w:i/>
          <w:vertAlign w:val="baseline"/>
        </w:rPr>
        <w:t>IPCC Guidelines </w:t>
      </w:r>
      <w:r>
        <w:rPr>
          <w:vertAlign w:val="baseline"/>
        </w:rPr>
        <w:t>provide only limited advice and harvested wood products (HWP), which remain under consideration by the UNFCCC. The status of the appendices is further discussed in Section</w:t>
      </w:r>
      <w:r>
        <w:rPr>
          <w:spacing w:val="-7"/>
          <w:vertAlign w:val="baseline"/>
        </w:rPr>
        <w:t> </w:t>
      </w:r>
      <w:r>
        <w:rPr>
          <w:vertAlign w:val="baseline"/>
        </w:rPr>
        <w:t>1.7.</w:t>
      </w:r>
    </w:p>
    <w:p>
      <w:pPr>
        <w:spacing w:before="123"/>
        <w:ind w:left="419" w:right="0" w:firstLine="0"/>
        <w:jc w:val="both"/>
        <w:rPr>
          <w:rFonts w:ascii="TimesNewRomanPS-BoldItalicMT"/>
          <w:b/>
          <w:i/>
          <w:sz w:val="20"/>
        </w:rPr>
      </w:pPr>
      <w:r>
        <w:rPr>
          <w:rFonts w:ascii="TimesNewRomanPS-BoldItalicMT"/>
          <w:b/>
          <w:i/>
          <w:sz w:val="20"/>
        </w:rPr>
        <w:t>Chapter 4 Supplementary methods and good practice guidance arising from the Kyoto Protocol</w:t>
      </w:r>
    </w:p>
    <w:p>
      <w:pPr>
        <w:pStyle w:val="BodyText"/>
        <w:spacing w:before="113"/>
        <w:ind w:left="419" w:right="543"/>
        <w:jc w:val="both"/>
      </w:pPr>
      <w:r>
        <w:rPr/>
        <w:t>The human-induced activities agreed under Article 3.3 of the Kyoto Protocol (afforestation, reforestation and deforestation since 1990), and the activities which Parties may elect to use under Article 3.4 (forest management, cropland management, grazing land management, revegetation) have specific supplementary requirements on temporal and spatial boundaries, identification of areas, avoidance of double counting, inclusion of carbon pools, and dealing with possible definitional differences between LULUCF activities under the Kyoto Protocol and categories under the UNFCCC reporting. These requirements imply the need for supplementary information beyond the information reported in inventories under the Convention</w:t>
      </w:r>
      <w:r>
        <w:rPr>
          <w:i/>
        </w:rPr>
        <w:t>. </w:t>
      </w:r>
      <w:r>
        <w:rPr/>
        <w:t>Chapter 4 explains how to use the methods described in the other chapters, and where necessary provides additional methods, to meet these supplementary requirements. Chapter 4 also provides advice on identification of project boundaries and sampling strategies for project activities under Articles 6 and 12 of the Kyoto Protocol. The </w:t>
      </w:r>
      <w:r>
        <w:rPr>
          <w:i/>
        </w:rPr>
        <w:t>good practice </w:t>
      </w:r>
      <w:r>
        <w:rPr/>
        <w:t>advice for LULUCF related project activities covers only estimation of carbon stock changes and emissions and removals of greenhouse gases within the project boundary; there is no consideration of non-permanence, additionality </w:t>
      </w:r>
      <w:r>
        <w:rPr>
          <w:vertAlign w:val="superscript"/>
        </w:rPr>
        <w:t>13</w:t>
      </w:r>
      <w:r>
        <w:rPr>
          <w:vertAlign w:val="baseline"/>
        </w:rPr>
        <w:t> , leakage, baseline definition or socio-economic and environmental impacts, because these items are under consideration by</w:t>
      </w:r>
      <w:r>
        <w:rPr>
          <w:spacing w:val="-1"/>
          <w:vertAlign w:val="baseline"/>
        </w:rPr>
        <w:t> </w:t>
      </w:r>
      <w:r>
        <w:rPr>
          <w:vertAlign w:val="baseline"/>
        </w:rPr>
        <w:t>SBSTA</w:t>
      </w:r>
      <w:r>
        <w:rPr>
          <w:vertAlign w:val="superscript"/>
        </w:rPr>
        <w:t>14</w:t>
      </w:r>
      <w:r>
        <w:rPr>
          <w:vertAlign w:val="baseline"/>
        </w:rPr>
        <w:t>.</w:t>
      </w:r>
    </w:p>
    <w:p>
      <w:pPr>
        <w:spacing w:before="124"/>
        <w:ind w:left="419" w:right="0" w:firstLine="0"/>
        <w:jc w:val="both"/>
        <w:rPr>
          <w:rFonts w:ascii="TimesNewRomanPS-BoldItalicMT"/>
          <w:b/>
          <w:i/>
          <w:sz w:val="20"/>
        </w:rPr>
      </w:pPr>
      <w:r>
        <w:rPr>
          <w:rFonts w:ascii="TimesNewRomanPS-BoldItalicMT"/>
          <w:b/>
          <w:i/>
          <w:sz w:val="20"/>
        </w:rPr>
        <w:t>Chapter 5 Cross-cutting issues</w:t>
      </w:r>
    </w:p>
    <w:p>
      <w:pPr>
        <w:pStyle w:val="BodyText"/>
        <w:spacing w:before="115"/>
        <w:ind w:left="419" w:right="539"/>
        <w:jc w:val="both"/>
      </w:pPr>
      <w:r>
        <w:rPr/>
        <w:t>Inventory development is a resource-intensive enterprise, which means that inventory agencies may need to prioritise efforts to improve the estimates by focusing on the more important categories, both in terms of the contribution made to the overall level of emissions and removals, and the contribution to the trend. Chapter 5 provides advice on this, applying the key category concept in </w:t>
      </w:r>
      <w:r>
        <w:rPr>
          <w:i/>
        </w:rPr>
        <w:t>GPG2000 </w:t>
      </w:r>
      <w:r>
        <w:rPr/>
        <w:t>to cover sinks. The Chapter also has sections on quality assurance and quality control, reconstruction of missing data, time series consistency, collecting and analysing data by sampling, quantification and combination of uncertainties, and verification by means of comparison with inventories in other countries, independently compiled datasets,  modelling approaches and direct measurements on land and/or</w:t>
      </w:r>
      <w:r>
        <w:rPr>
          <w:spacing w:val="-5"/>
        </w:rPr>
        <w:t> </w:t>
      </w:r>
      <w:r>
        <w:rPr/>
        <w:t>atmosphere.</w:t>
      </w:r>
    </w:p>
    <w:p>
      <w:pPr>
        <w:pStyle w:val="BodyText"/>
      </w:pPr>
    </w:p>
    <w:p>
      <w:pPr>
        <w:pStyle w:val="BodyText"/>
      </w:pPr>
    </w:p>
    <w:p>
      <w:pPr>
        <w:pStyle w:val="BodyText"/>
        <w:spacing w:before="9"/>
        <w:rPr>
          <w:sz w:val="12"/>
        </w:rPr>
      </w:pPr>
      <w:r>
        <w:rPr/>
        <w:pict>
          <v:line style="position:absolute;mso-position-horizontal-relative:page;mso-position-vertical-relative:paragraph;z-index:-160;mso-wrap-distance-left:0;mso-wrap-distance-right:0" from="70.960999pt,9.568613pt" to="214.960999pt,9.568613pt" stroked="true" strokeweight=".48pt" strokecolor="#000000">
            <v:stroke dashstyle="solid"/>
            <w10:wrap type="topAndBottom"/>
          </v:line>
        </w:pict>
      </w:r>
    </w:p>
    <w:p>
      <w:pPr>
        <w:spacing w:before="150"/>
        <w:ind w:left="577" w:right="520" w:hanging="159"/>
        <w:jc w:val="left"/>
        <w:rPr>
          <w:sz w:val="18"/>
        </w:rPr>
      </w:pPr>
      <w:r>
        <w:rPr>
          <w:position w:val="8"/>
          <w:sz w:val="12"/>
        </w:rPr>
        <w:t>13 </w:t>
      </w:r>
      <w:r>
        <w:rPr>
          <w:sz w:val="18"/>
        </w:rPr>
        <w:t>Whether the emission reductions or removals are additional to those which would have occurred in the absence of the project.</w:t>
      </w:r>
    </w:p>
    <w:p>
      <w:pPr>
        <w:spacing w:before="98"/>
        <w:ind w:left="419" w:right="0" w:firstLine="0"/>
        <w:jc w:val="left"/>
        <w:rPr>
          <w:sz w:val="18"/>
        </w:rPr>
      </w:pPr>
      <w:r>
        <w:rPr>
          <w:position w:val="8"/>
          <w:sz w:val="12"/>
        </w:rPr>
        <w:t>14 </w:t>
      </w:r>
      <w:r>
        <w:rPr>
          <w:sz w:val="18"/>
        </w:rPr>
        <w:t>Decision 17/CP.7 in FCCC/CP/2001/13/Add.2.</w:t>
      </w:r>
    </w:p>
    <w:p>
      <w:pPr>
        <w:spacing w:after="0"/>
        <w:jc w:val="left"/>
        <w:rPr>
          <w:sz w:val="18"/>
        </w:rPr>
        <w:sectPr>
          <w:pgSz w:w="11900" w:h="16840"/>
          <w:pgMar w:header="230" w:footer="408" w:top="560" w:bottom="600" w:left="1000" w:right="860"/>
        </w:sectPr>
      </w:pPr>
    </w:p>
    <w:p>
      <w:pPr>
        <w:pStyle w:val="BodyText"/>
      </w:pPr>
    </w:p>
    <w:p>
      <w:pPr>
        <w:pStyle w:val="BodyText"/>
        <w:spacing w:before="7"/>
        <w:rPr>
          <w:sz w:val="18"/>
        </w:rPr>
      </w:pPr>
    </w:p>
    <w:p>
      <w:pPr>
        <w:spacing w:before="0"/>
        <w:ind w:left="419" w:right="0" w:firstLine="0"/>
        <w:jc w:val="left"/>
        <w:rPr>
          <w:rFonts w:ascii="TimesNewRomanPS-BoldItalicMT"/>
          <w:b/>
          <w:i/>
          <w:sz w:val="20"/>
        </w:rPr>
      </w:pPr>
      <w:r>
        <w:rPr>
          <w:rFonts w:ascii="TimesNewRomanPS-BoldItalicMT"/>
          <w:b/>
          <w:i/>
          <w:sz w:val="20"/>
        </w:rPr>
        <w:t>Glossary</w:t>
      </w:r>
    </w:p>
    <w:p>
      <w:pPr>
        <w:pStyle w:val="BodyText"/>
        <w:spacing w:before="116"/>
        <w:ind w:left="419"/>
      </w:pPr>
      <w:r>
        <w:rPr/>
        <w:t>Provides definitions of technical terms commonly used in the Guidance.</w:t>
      </w:r>
    </w:p>
    <w:p>
      <w:pPr>
        <w:pStyle w:val="BodyText"/>
        <w:spacing w:before="9"/>
        <w:rPr>
          <w:sz w:val="31"/>
        </w:rPr>
      </w:pPr>
    </w:p>
    <w:p>
      <w:pPr>
        <w:pStyle w:val="Heading2"/>
        <w:numPr>
          <w:ilvl w:val="1"/>
          <w:numId w:val="11"/>
        </w:numPr>
        <w:tabs>
          <w:tab w:pos="1621" w:val="left" w:leader="none"/>
          <w:tab w:pos="1622" w:val="left" w:leader="none"/>
        </w:tabs>
        <w:spacing w:line="240" w:lineRule="auto" w:before="0" w:after="0"/>
        <w:ind w:left="1621" w:right="598" w:hanging="1202"/>
        <w:jc w:val="left"/>
      </w:pPr>
      <w:r>
        <w:rPr>
          <w:spacing w:val="16"/>
        </w:rPr>
        <w:t>USING </w:t>
      </w:r>
      <w:r>
        <w:rPr>
          <w:spacing w:val="13"/>
        </w:rPr>
        <w:t>THE </w:t>
      </w:r>
      <w:r>
        <w:rPr>
          <w:spacing w:val="17"/>
        </w:rPr>
        <w:t>GUIDANCE </w:t>
      </w:r>
      <w:r>
        <w:rPr/>
        <w:t>- </w:t>
      </w:r>
      <w:r>
        <w:rPr>
          <w:spacing w:val="17"/>
        </w:rPr>
        <w:t>PRACTICAL </w:t>
      </w:r>
      <w:r>
        <w:rPr>
          <w:spacing w:val="16"/>
        </w:rPr>
        <w:t>ADVICE </w:t>
      </w:r>
      <w:r>
        <w:rPr>
          <w:spacing w:val="13"/>
        </w:rPr>
        <w:t>FOR </w:t>
      </w:r>
      <w:r>
        <w:rPr>
          <w:spacing w:val="18"/>
        </w:rPr>
        <w:t>INVENTORY </w:t>
      </w:r>
      <w:r>
        <w:rPr>
          <w:spacing w:val="17"/>
        </w:rPr>
        <w:t>AGENCIES </w:t>
      </w:r>
      <w:r>
        <w:rPr>
          <w:spacing w:val="13"/>
        </w:rPr>
        <w:t>AND</w:t>
      </w:r>
      <w:r>
        <w:rPr>
          <w:spacing w:val="17"/>
        </w:rPr>
        <w:t> </w:t>
      </w:r>
      <w:r>
        <w:rPr>
          <w:spacing w:val="16"/>
        </w:rPr>
        <w:t>OTHERS</w:t>
      </w:r>
    </w:p>
    <w:p>
      <w:pPr>
        <w:pStyle w:val="BodyText"/>
        <w:spacing w:before="173"/>
        <w:ind w:left="419" w:right="548"/>
        <w:jc w:val="both"/>
      </w:pPr>
      <w:r>
        <w:rPr/>
        <w:t>Practical advice for using this </w:t>
      </w:r>
      <w:r>
        <w:rPr>
          <w:i/>
        </w:rPr>
        <w:t>good practice guidance </w:t>
      </w:r>
      <w:r>
        <w:rPr/>
        <w:t>report is given below. The advice summarises how to use the guidance in preparing inventories for submission to the UNFCCC, the additional steps relevant to Parties reporting under Articles 3.3 and 3.4 of the Kyoto Protocol, and the use of the guidance for projects under Articles 6 and 12 of the Kyoto</w:t>
      </w:r>
      <w:r>
        <w:rPr>
          <w:spacing w:val="3"/>
        </w:rPr>
        <w:t> </w:t>
      </w:r>
      <w:r>
        <w:rPr/>
        <w:t>Protocol.</w:t>
      </w:r>
    </w:p>
    <w:p>
      <w:pPr>
        <w:spacing w:before="124"/>
        <w:ind w:left="419" w:right="0" w:firstLine="0"/>
        <w:jc w:val="left"/>
        <w:rPr>
          <w:rFonts w:ascii="TimesNewRomanPS-BoldItalicMT"/>
          <w:b/>
          <w:i/>
          <w:sz w:val="20"/>
        </w:rPr>
      </w:pPr>
      <w:r>
        <w:rPr>
          <w:rFonts w:ascii="TimesNewRomanPS-BoldItalicMT"/>
          <w:b/>
          <w:i/>
          <w:sz w:val="20"/>
        </w:rPr>
        <w:t>UNFCCC Inventory preparation</w:t>
      </w:r>
    </w:p>
    <w:p>
      <w:pPr>
        <w:pStyle w:val="BodyText"/>
        <w:spacing w:before="116"/>
        <w:ind w:left="419" w:right="548"/>
        <w:jc w:val="both"/>
      </w:pPr>
      <w:r>
        <w:rPr/>
        <w:t>Inventory agencies, when preparing the national greenhouse gas inventory for the LULUCF Sector for annual reporting under the UNFCCC, should follow steps 1 to 6:</w:t>
      </w:r>
    </w:p>
    <w:p>
      <w:pPr>
        <w:pStyle w:val="ListParagraph"/>
        <w:numPr>
          <w:ilvl w:val="0"/>
          <w:numId w:val="12"/>
        </w:numPr>
        <w:tabs>
          <w:tab w:pos="780" w:val="left" w:leader="none"/>
        </w:tabs>
        <w:spacing w:line="240" w:lineRule="auto" w:before="120" w:after="0"/>
        <w:ind w:left="779" w:right="543" w:hanging="360"/>
        <w:jc w:val="both"/>
        <w:rPr>
          <w:sz w:val="20"/>
        </w:rPr>
      </w:pPr>
      <w:r>
        <w:rPr>
          <w:sz w:val="20"/>
        </w:rPr>
        <w:t>Use the approaches in </w:t>
      </w:r>
      <w:r>
        <w:rPr>
          <w:rFonts w:ascii="TimesNewRomanPS-BoldItalicMT"/>
          <w:b/>
          <w:i/>
          <w:sz w:val="20"/>
        </w:rPr>
        <w:t>Chapter 2 </w:t>
      </w:r>
      <w:r>
        <w:rPr>
          <w:sz w:val="20"/>
        </w:rPr>
        <w:t>(Basis for Consistent Representation of Land Areas), singly or in combination, to estimate land areas for each land-use category relevant to the country. For each land-use category, inventory agencies should complement the advice in Chapter 2 with the more detailed guidance in Chapters 3 and 4 on the preparation of specific emission and removal estimates and, if relevant, the reporting on the activities under the Kyoto</w:t>
      </w:r>
      <w:r>
        <w:rPr>
          <w:spacing w:val="1"/>
          <w:sz w:val="20"/>
        </w:rPr>
        <w:t> </w:t>
      </w:r>
      <w:r>
        <w:rPr>
          <w:sz w:val="20"/>
        </w:rPr>
        <w:t>Protocol.</w:t>
      </w:r>
    </w:p>
    <w:p>
      <w:pPr>
        <w:pStyle w:val="ListParagraph"/>
        <w:numPr>
          <w:ilvl w:val="0"/>
          <w:numId w:val="12"/>
        </w:numPr>
        <w:tabs>
          <w:tab w:pos="780" w:val="left" w:leader="none"/>
        </w:tabs>
        <w:spacing w:line="240" w:lineRule="auto" w:before="118" w:after="0"/>
        <w:ind w:left="779" w:right="543" w:hanging="360"/>
        <w:jc w:val="both"/>
        <w:rPr>
          <w:sz w:val="20"/>
        </w:rPr>
      </w:pPr>
      <w:r>
        <w:rPr>
          <w:sz w:val="20"/>
        </w:rPr>
        <w:t>Follow the </w:t>
      </w:r>
      <w:r>
        <w:rPr>
          <w:i/>
          <w:sz w:val="20"/>
        </w:rPr>
        <w:t>good practice guidance </w:t>
      </w:r>
      <w:r>
        <w:rPr>
          <w:sz w:val="20"/>
        </w:rPr>
        <w:t>in </w:t>
      </w:r>
      <w:r>
        <w:rPr>
          <w:rFonts w:ascii="TimesNewRomanPS-BoldItalicMT"/>
          <w:b/>
          <w:i/>
          <w:sz w:val="20"/>
        </w:rPr>
        <w:t>Chapter 3 </w:t>
      </w:r>
      <w:r>
        <w:rPr>
          <w:sz w:val="20"/>
        </w:rPr>
        <w:t>(LUCF Sector Good Practice Guidance) to estimate the emissions and removals of greenhouse gases for each land use, land-use change and pool relevant to the country. The decision trees in this chapter guide choices of method in terms of </w:t>
      </w:r>
      <w:r>
        <w:rPr>
          <w:i/>
          <w:sz w:val="20"/>
        </w:rPr>
        <w:t>tiers</w:t>
      </w:r>
      <w:r>
        <w:rPr>
          <w:sz w:val="20"/>
        </w:rPr>
        <w:t>. The tier structure used in the </w:t>
      </w:r>
      <w:r>
        <w:rPr>
          <w:i/>
          <w:sz w:val="20"/>
        </w:rPr>
        <w:t>IPCC Guidelines </w:t>
      </w:r>
      <w:r>
        <w:rPr>
          <w:sz w:val="20"/>
        </w:rPr>
        <w:t>(Tier 1, Tier 2 and Tier 3) is hierarchical, with higher tiers implying increased accuracy of the method and/or emissions factor and other parameters used in the estimation of the emissions and removals. Key categories should be identified following the guidance in </w:t>
      </w:r>
      <w:r>
        <w:rPr>
          <w:rFonts w:ascii="TimesNewRomanPS-BoldItalicMT"/>
          <w:b/>
          <w:i/>
          <w:sz w:val="20"/>
        </w:rPr>
        <w:t>Chapter 5 </w:t>
      </w:r>
      <w:r>
        <w:rPr>
          <w:sz w:val="20"/>
        </w:rPr>
        <w:t>and the results taken into account in the application of the decision</w:t>
      </w:r>
      <w:r>
        <w:rPr>
          <w:spacing w:val="-3"/>
          <w:sz w:val="20"/>
        </w:rPr>
        <w:t> </w:t>
      </w:r>
      <w:r>
        <w:rPr>
          <w:sz w:val="20"/>
        </w:rPr>
        <w:t>trees.</w:t>
      </w:r>
    </w:p>
    <w:p>
      <w:pPr>
        <w:pStyle w:val="ListParagraph"/>
        <w:numPr>
          <w:ilvl w:val="0"/>
          <w:numId w:val="12"/>
        </w:numPr>
        <w:tabs>
          <w:tab w:pos="780" w:val="left" w:leader="none"/>
        </w:tabs>
        <w:spacing w:line="240" w:lineRule="auto" w:before="120" w:after="0"/>
        <w:ind w:left="779" w:right="546" w:hanging="360"/>
        <w:jc w:val="both"/>
        <w:rPr>
          <w:sz w:val="20"/>
        </w:rPr>
      </w:pPr>
      <w:r>
        <w:rPr>
          <w:sz w:val="20"/>
        </w:rPr>
        <w:t>If necessary, in some cases, collect additional data (if required to implement a particular tier) to improve emission factors, other parameters and activity</w:t>
      </w:r>
      <w:r>
        <w:rPr>
          <w:spacing w:val="-3"/>
          <w:sz w:val="20"/>
        </w:rPr>
        <w:t> </w:t>
      </w:r>
      <w:r>
        <w:rPr>
          <w:sz w:val="20"/>
        </w:rPr>
        <w:t>data.</w:t>
      </w:r>
    </w:p>
    <w:p>
      <w:pPr>
        <w:pStyle w:val="ListParagraph"/>
        <w:numPr>
          <w:ilvl w:val="0"/>
          <w:numId w:val="12"/>
        </w:numPr>
        <w:tabs>
          <w:tab w:pos="779" w:val="left" w:leader="none"/>
          <w:tab w:pos="780" w:val="left" w:leader="none"/>
        </w:tabs>
        <w:spacing w:line="240" w:lineRule="auto" w:before="119" w:after="0"/>
        <w:ind w:left="779" w:right="0" w:hanging="360"/>
        <w:jc w:val="left"/>
        <w:rPr>
          <w:sz w:val="20"/>
        </w:rPr>
      </w:pPr>
      <w:r>
        <w:rPr>
          <w:sz w:val="20"/>
        </w:rPr>
        <w:t>Estimate uncertainties at the 95% confidence level, using sectoral advice and the detailed guidance</w:t>
      </w:r>
      <w:r>
        <w:rPr>
          <w:spacing w:val="26"/>
          <w:sz w:val="20"/>
        </w:rPr>
        <w:t> </w:t>
      </w:r>
      <w:r>
        <w:rPr>
          <w:sz w:val="20"/>
        </w:rPr>
        <w:t>in</w:t>
      </w:r>
    </w:p>
    <w:p>
      <w:pPr>
        <w:spacing w:before="0"/>
        <w:ind w:left="779" w:right="0" w:firstLine="0"/>
        <w:jc w:val="left"/>
        <w:rPr>
          <w:sz w:val="20"/>
        </w:rPr>
      </w:pPr>
      <w:r>
        <w:rPr>
          <w:rFonts w:ascii="TimesNewRomanPS-BoldItalicMT"/>
          <w:b/>
          <w:i/>
          <w:sz w:val="20"/>
        </w:rPr>
        <w:t>Chapter 5</w:t>
      </w:r>
      <w:r>
        <w:rPr>
          <w:sz w:val="20"/>
        </w:rPr>
        <w:t>.</w:t>
      </w:r>
    </w:p>
    <w:p>
      <w:pPr>
        <w:pStyle w:val="ListParagraph"/>
        <w:numPr>
          <w:ilvl w:val="0"/>
          <w:numId w:val="12"/>
        </w:numPr>
        <w:tabs>
          <w:tab w:pos="780" w:val="left" w:leader="none"/>
        </w:tabs>
        <w:spacing w:line="240" w:lineRule="auto" w:before="121" w:after="0"/>
        <w:ind w:left="779" w:right="548" w:hanging="360"/>
        <w:jc w:val="both"/>
        <w:rPr>
          <w:sz w:val="20"/>
        </w:rPr>
      </w:pPr>
      <w:r>
        <w:rPr>
          <w:sz w:val="20"/>
        </w:rPr>
        <w:t>Report the emissions and removals in the reporting tables provided in </w:t>
      </w:r>
      <w:r>
        <w:rPr>
          <w:rFonts w:ascii="TimesNewRomanPS-BoldItalicMT"/>
          <w:b/>
          <w:i/>
          <w:sz w:val="20"/>
        </w:rPr>
        <w:t>Chapter 3 Annex 3A.2 </w:t>
      </w:r>
      <w:r>
        <w:rPr>
          <w:sz w:val="20"/>
        </w:rPr>
        <w:t>taking into account any modifications by SBSTA</w:t>
      </w:r>
      <w:r>
        <w:rPr>
          <w:sz w:val="20"/>
          <w:vertAlign w:val="superscript"/>
        </w:rPr>
        <w:t>15</w:t>
      </w:r>
      <w:r>
        <w:rPr>
          <w:sz w:val="20"/>
          <w:vertAlign w:val="baseline"/>
        </w:rPr>
        <w:t> and any additional information as specified under each</w:t>
      </w:r>
      <w:r>
        <w:rPr>
          <w:spacing w:val="-25"/>
          <w:sz w:val="20"/>
          <w:vertAlign w:val="baseline"/>
        </w:rPr>
        <w:t> </w:t>
      </w:r>
      <w:r>
        <w:rPr>
          <w:sz w:val="20"/>
          <w:vertAlign w:val="baseline"/>
        </w:rPr>
        <w:t>category.</w:t>
      </w:r>
    </w:p>
    <w:p>
      <w:pPr>
        <w:pStyle w:val="ListParagraph"/>
        <w:numPr>
          <w:ilvl w:val="0"/>
          <w:numId w:val="12"/>
        </w:numPr>
        <w:tabs>
          <w:tab w:pos="780" w:val="left" w:leader="none"/>
        </w:tabs>
        <w:spacing w:line="240" w:lineRule="auto" w:before="118" w:after="0"/>
        <w:ind w:left="779" w:right="546" w:hanging="360"/>
        <w:jc w:val="both"/>
        <w:rPr>
          <w:sz w:val="20"/>
        </w:rPr>
      </w:pPr>
      <w:r>
        <w:rPr>
          <w:sz w:val="20"/>
        </w:rPr>
        <w:t>Implement QA/QC procedures as described in the generic guidance in </w:t>
      </w:r>
      <w:r>
        <w:rPr>
          <w:rFonts w:ascii="TimesNewRomanPS-BoldItalicMT"/>
          <w:b/>
          <w:i/>
          <w:sz w:val="20"/>
        </w:rPr>
        <w:t>Chapter 5 </w:t>
      </w:r>
      <w:r>
        <w:rPr>
          <w:sz w:val="20"/>
        </w:rPr>
        <w:t>and specific advice under each category, including documentation and archiving of the information used to produce the national emission and removal</w:t>
      </w:r>
      <w:r>
        <w:rPr>
          <w:spacing w:val="-1"/>
          <w:sz w:val="20"/>
        </w:rPr>
        <w:t> </w:t>
      </w:r>
      <w:r>
        <w:rPr>
          <w:sz w:val="20"/>
        </w:rPr>
        <w:t>estimates.</w:t>
      </w:r>
    </w:p>
    <w:p>
      <w:pPr>
        <w:spacing w:before="124"/>
        <w:ind w:left="419" w:right="0" w:firstLine="0"/>
        <w:jc w:val="left"/>
        <w:rPr>
          <w:rFonts w:ascii="TimesNewRomanPS-BoldItalicMT"/>
          <w:b/>
          <w:i/>
          <w:sz w:val="20"/>
        </w:rPr>
      </w:pPr>
      <w:r>
        <w:rPr>
          <w:rFonts w:ascii="TimesNewRomanPS-BoldItalicMT"/>
          <w:b/>
          <w:i/>
          <w:sz w:val="20"/>
        </w:rPr>
        <w:t>Kyoto Protocol requirements</w:t>
      </w:r>
    </w:p>
    <w:p>
      <w:pPr>
        <w:pStyle w:val="BodyText"/>
        <w:spacing w:before="115"/>
        <w:ind w:left="419" w:right="545"/>
        <w:jc w:val="both"/>
      </w:pPr>
      <w:r>
        <w:rPr/>
        <w:t>Inventory agencies, when preparing the supplementary information for annual reporting of carbon stock changes and emissions and removals of greenhouse gas emissions resulting from the activities under Article 3.3 and Article 3.4 of the Kyoto Protocol, should additionally:</w:t>
      </w:r>
    </w:p>
    <w:p>
      <w:pPr>
        <w:pStyle w:val="ListParagraph"/>
        <w:numPr>
          <w:ilvl w:val="0"/>
          <w:numId w:val="12"/>
        </w:numPr>
        <w:tabs>
          <w:tab w:pos="780" w:val="left" w:leader="none"/>
        </w:tabs>
        <w:spacing w:line="240" w:lineRule="auto" w:before="119" w:after="0"/>
        <w:ind w:left="779" w:right="541" w:hanging="360"/>
        <w:jc w:val="both"/>
        <w:rPr>
          <w:sz w:val="20"/>
        </w:rPr>
      </w:pPr>
      <w:r>
        <w:rPr>
          <w:sz w:val="20"/>
        </w:rPr>
        <w:t>Assess the extent to which the data assembled for the existing national inventory (following steps 1 to 6 above) can meet the supplementary data requirements set out in the supplementary guidance provided in </w:t>
      </w:r>
      <w:r>
        <w:rPr>
          <w:rFonts w:ascii="TimesNewRomanPS-BoldItalicMT"/>
          <w:b/>
          <w:i/>
          <w:sz w:val="20"/>
        </w:rPr>
        <w:t>Chapter 4 </w:t>
      </w:r>
      <w:r>
        <w:rPr>
          <w:sz w:val="20"/>
        </w:rPr>
        <w:t>of this report, taking into account national choices on definitions and activities elected under Article 3.4, and the requirements in geographical</w:t>
      </w:r>
      <w:r>
        <w:rPr>
          <w:spacing w:val="-1"/>
          <w:sz w:val="20"/>
        </w:rPr>
        <w:t> </w:t>
      </w:r>
      <w:r>
        <w:rPr>
          <w:sz w:val="20"/>
        </w:rPr>
        <w:t>location.</w:t>
      </w:r>
    </w:p>
    <w:p>
      <w:pPr>
        <w:pStyle w:val="ListParagraph"/>
        <w:numPr>
          <w:ilvl w:val="0"/>
          <w:numId w:val="12"/>
        </w:numPr>
        <w:tabs>
          <w:tab w:pos="780" w:val="left" w:leader="none"/>
        </w:tabs>
        <w:spacing w:line="240" w:lineRule="auto" w:before="119" w:after="0"/>
        <w:ind w:left="779" w:right="543" w:hanging="360"/>
        <w:jc w:val="both"/>
        <w:rPr>
          <w:sz w:val="20"/>
        </w:rPr>
      </w:pPr>
      <w:r>
        <w:rPr>
          <w:sz w:val="20"/>
        </w:rPr>
        <w:t>Following this assessment collect or collate any additional information necessary to meet the supplementary data requirements, using the advice in </w:t>
      </w:r>
      <w:r>
        <w:rPr>
          <w:rFonts w:ascii="TimesNewRomanPS-BoldItalicMT"/>
          <w:b/>
          <w:i/>
          <w:sz w:val="20"/>
        </w:rPr>
        <w:t>Chapter 4 </w:t>
      </w:r>
      <w:r>
        <w:rPr>
          <w:sz w:val="20"/>
        </w:rPr>
        <w:t>and the references it contains to other</w:t>
      </w:r>
      <w:r>
        <w:rPr>
          <w:spacing w:val="-18"/>
          <w:sz w:val="20"/>
        </w:rPr>
        <w:t> </w:t>
      </w:r>
      <w:r>
        <w:rPr>
          <w:sz w:val="20"/>
        </w:rPr>
        <w:t>Chapters.</w:t>
      </w:r>
    </w:p>
    <w:p>
      <w:pPr>
        <w:pStyle w:val="ListParagraph"/>
        <w:numPr>
          <w:ilvl w:val="0"/>
          <w:numId w:val="12"/>
        </w:numPr>
        <w:tabs>
          <w:tab w:pos="780" w:val="left" w:leader="none"/>
        </w:tabs>
        <w:spacing w:line="240" w:lineRule="auto" w:before="121" w:after="0"/>
        <w:ind w:left="779" w:right="544" w:hanging="360"/>
        <w:jc w:val="both"/>
        <w:rPr>
          <w:sz w:val="20"/>
        </w:rPr>
      </w:pPr>
      <w:r>
        <w:rPr>
          <w:sz w:val="20"/>
        </w:rPr>
        <w:t>Follow the advice in </w:t>
      </w:r>
      <w:r>
        <w:rPr>
          <w:rFonts w:ascii="TimesNewRomanPS-BoldItalicMT"/>
          <w:b/>
          <w:i/>
          <w:sz w:val="20"/>
        </w:rPr>
        <w:t>Chapter 4 </w:t>
      </w:r>
      <w:r>
        <w:rPr>
          <w:sz w:val="20"/>
        </w:rPr>
        <w:t>on reporting and documentation when providing the supplementary information in the national inventory</w:t>
      </w:r>
      <w:r>
        <w:rPr>
          <w:spacing w:val="-7"/>
          <w:sz w:val="20"/>
        </w:rPr>
        <w:t> </w:t>
      </w:r>
      <w:r>
        <w:rPr>
          <w:sz w:val="20"/>
        </w:rPr>
        <w:t>report.</w:t>
      </w:r>
    </w:p>
    <w:p>
      <w:pPr>
        <w:pStyle w:val="BodyText"/>
        <w:spacing w:before="119"/>
        <w:ind w:left="419" w:right="496"/>
        <w:jc w:val="both"/>
      </w:pPr>
      <w:r>
        <w:rPr/>
        <w:t>National circumstances will determine the sequence in which the reporting information is compiled. For example, it is possible to start with the UNFCCC inventory (with the additional spatial information required for Kyoto Protocol reporting) and expand it to the reporting under the Kyoto Protocol, or it is possible to use a system that</w:t>
      </w:r>
    </w:p>
    <w:p>
      <w:pPr>
        <w:pStyle w:val="BodyText"/>
        <w:spacing w:before="3"/>
        <w:rPr>
          <w:sz w:val="17"/>
        </w:rPr>
      </w:pPr>
      <w:r>
        <w:rPr/>
        <w:pict>
          <v:line style="position:absolute;mso-position-horizontal-relative:page;mso-position-vertical-relative:paragraph;z-index:-136;mso-wrap-distance-left:0;mso-wrap-distance-right:0" from="70.960999pt,12.160439pt" to="214.960999pt,12.160439pt" stroked="true" strokeweight=".48pt" strokecolor="#000000">
            <v:stroke dashstyle="solid"/>
            <w10:wrap type="topAndBottom"/>
          </v:line>
        </w:pict>
      </w:r>
    </w:p>
    <w:p>
      <w:pPr>
        <w:spacing w:before="150"/>
        <w:ind w:left="577" w:right="520" w:hanging="159"/>
        <w:jc w:val="left"/>
        <w:rPr>
          <w:sz w:val="18"/>
        </w:rPr>
      </w:pPr>
      <w:r>
        <w:rPr>
          <w:position w:val="8"/>
          <w:sz w:val="12"/>
        </w:rPr>
        <w:t>15 </w:t>
      </w:r>
      <w:r>
        <w:rPr>
          <w:sz w:val="18"/>
        </w:rPr>
        <w:t>SBSTA 18 requested the UNFCCC secretariat to develop common reporting format for its consideration, in consultation with IPCC - see paragraph 2 in FCCC/SBSTA/2003/10.</w:t>
      </w:r>
    </w:p>
    <w:p>
      <w:pPr>
        <w:spacing w:after="0"/>
        <w:jc w:val="left"/>
        <w:rPr>
          <w:sz w:val="18"/>
        </w:rPr>
        <w:sectPr>
          <w:pgSz w:w="11900" w:h="16840"/>
          <w:pgMar w:header="230" w:footer="408" w:top="560" w:bottom="600" w:left="1000" w:right="860"/>
        </w:sectPr>
      </w:pPr>
    </w:p>
    <w:p>
      <w:pPr>
        <w:pStyle w:val="BodyText"/>
      </w:pPr>
    </w:p>
    <w:p>
      <w:pPr>
        <w:pStyle w:val="BodyText"/>
        <w:spacing w:before="2"/>
        <w:rPr>
          <w:sz w:val="18"/>
        </w:rPr>
      </w:pPr>
    </w:p>
    <w:p>
      <w:pPr>
        <w:pStyle w:val="BodyText"/>
        <w:ind w:left="419" w:right="544"/>
        <w:jc w:val="both"/>
      </w:pPr>
      <w:r>
        <w:rPr/>
        <w:t>generates the information for both UNFCCC and Kyoto Protocol reporting. The precise sequence of steps 1 to 6 and 7 to 9 does not matter as long as the substance is covered.</w:t>
      </w:r>
    </w:p>
    <w:p>
      <w:pPr>
        <w:spacing w:before="126"/>
        <w:ind w:left="419" w:right="0" w:firstLine="0"/>
        <w:jc w:val="both"/>
        <w:rPr>
          <w:rFonts w:ascii="TimesNewRomanPS-BoldItalicMT"/>
          <w:b/>
          <w:i/>
          <w:sz w:val="20"/>
        </w:rPr>
      </w:pPr>
      <w:r>
        <w:rPr>
          <w:rFonts w:ascii="TimesNewRomanPS-BoldItalicMT"/>
          <w:b/>
          <w:i/>
          <w:sz w:val="20"/>
        </w:rPr>
        <w:t>Projects</w:t>
      </w:r>
    </w:p>
    <w:p>
      <w:pPr>
        <w:pStyle w:val="BodyText"/>
        <w:spacing w:before="115"/>
        <w:ind w:left="419" w:right="496"/>
        <w:jc w:val="both"/>
      </w:pPr>
      <w:r>
        <w:rPr/>
        <w:t>Project participants, independent entities and operational entities should use the advice in </w:t>
      </w:r>
      <w:r>
        <w:rPr>
          <w:rFonts w:ascii="TimesNewRomanPS-BoldItalicMT"/>
          <w:b/>
          <w:i/>
        </w:rPr>
        <w:t>Chapter 4, Section 4.3</w:t>
      </w:r>
      <w:r>
        <w:rPr/>
        <w:t>, as needed, in the overall context of relevant decisions of the COP, when designing, validating and verifying methods to measure and monitor changes in carbon stocks and non-CO</w:t>
      </w:r>
      <w:r>
        <w:rPr>
          <w:vertAlign w:val="subscript"/>
        </w:rPr>
        <w:t>2</w:t>
      </w:r>
      <w:r>
        <w:rPr>
          <w:vertAlign w:val="baseline"/>
        </w:rPr>
        <w:t> greenhouse gases associated with projects</w:t>
      </w:r>
      <w:r>
        <w:rPr>
          <w:spacing w:val="-1"/>
          <w:vertAlign w:val="baseline"/>
        </w:rPr>
        <w:t> </w:t>
      </w:r>
      <w:r>
        <w:rPr>
          <w:vertAlign w:val="baseline"/>
        </w:rPr>
        <w:t>activities.</w:t>
      </w:r>
    </w:p>
    <w:p>
      <w:pPr>
        <w:pStyle w:val="BodyText"/>
        <w:spacing w:before="9"/>
        <w:rPr>
          <w:sz w:val="31"/>
        </w:rPr>
      </w:pPr>
    </w:p>
    <w:p>
      <w:pPr>
        <w:pStyle w:val="Heading2"/>
        <w:numPr>
          <w:ilvl w:val="1"/>
          <w:numId w:val="11"/>
        </w:numPr>
        <w:tabs>
          <w:tab w:pos="1622" w:val="left" w:leader="none"/>
        </w:tabs>
        <w:spacing w:line="240" w:lineRule="auto" w:before="0" w:after="0"/>
        <w:ind w:left="1621" w:right="0" w:hanging="1202"/>
        <w:jc w:val="both"/>
      </w:pPr>
      <w:r>
        <w:rPr>
          <w:spacing w:val="17"/>
        </w:rPr>
        <w:t>POLICY</w:t>
      </w:r>
      <w:r>
        <w:rPr>
          <w:spacing w:val="38"/>
        </w:rPr>
        <w:t> </w:t>
      </w:r>
      <w:r>
        <w:rPr>
          <w:spacing w:val="20"/>
        </w:rPr>
        <w:t>RELEVANCE</w:t>
      </w:r>
    </w:p>
    <w:p>
      <w:pPr>
        <w:pStyle w:val="BodyText"/>
        <w:spacing w:before="173"/>
        <w:ind w:left="419" w:right="546"/>
        <w:jc w:val="both"/>
      </w:pPr>
      <w:r>
        <w:rPr/>
        <w:t>This Overview and Chapters 2, 3 and 5 are relevant to all countries as they prepare estimates of emissions and removals from the LULUCF Sector, whether or not they ratify the Kyoto Protocol. The first two sections of Chapter 4 provide supplementary information to that in Chapters 2, 3 and 5, which is relevant only to Annex I countries that have ratified the Kyoto Protocol. Section 4.3 (LULUCF Projects) is relevant to all countries that will undertake projects under the Articles 6 or 12 of the Kyoto Protocol.</w:t>
      </w:r>
    </w:p>
    <w:p>
      <w:pPr>
        <w:pStyle w:val="BodyText"/>
        <w:spacing w:before="120"/>
        <w:ind w:left="419" w:right="498"/>
        <w:jc w:val="both"/>
      </w:pPr>
      <w:r>
        <w:rPr/>
        <w:t>While many categories within the LULUCF sector are well established and relatively straightforward to estimate, LULUCF is a complex area, and it was clear from the outset that some issues remain under consideration for some emission/removal categories. In particular:</w:t>
      </w:r>
    </w:p>
    <w:p>
      <w:pPr>
        <w:pStyle w:val="ListParagraph"/>
        <w:numPr>
          <w:ilvl w:val="0"/>
          <w:numId w:val="2"/>
        </w:numPr>
        <w:tabs>
          <w:tab w:pos="780" w:val="left" w:leader="none"/>
        </w:tabs>
        <w:spacing w:line="237" w:lineRule="auto" w:before="135" w:after="0"/>
        <w:ind w:left="760" w:right="542" w:hanging="341"/>
        <w:jc w:val="both"/>
        <w:rPr>
          <w:sz w:val="20"/>
        </w:rPr>
      </w:pPr>
      <w:r>
        <w:rPr>
          <w:sz w:val="20"/>
        </w:rPr>
        <w:t>SBSTA has set out a policy process on harvested wood products (HWP) accounting and reporting that may lead to decisions by the COP and/or COP/MOP</w:t>
      </w:r>
      <w:r>
        <w:rPr>
          <w:sz w:val="20"/>
          <w:vertAlign w:val="superscript"/>
        </w:rPr>
        <w:t>16</w:t>
      </w:r>
      <w:r>
        <w:rPr>
          <w:sz w:val="20"/>
          <w:vertAlign w:val="baseline"/>
        </w:rPr>
        <w:t>. However, although the default assumption is that HWP pools are not increasing, the </w:t>
      </w:r>
      <w:r>
        <w:rPr>
          <w:i/>
          <w:sz w:val="20"/>
          <w:vertAlign w:val="baseline"/>
        </w:rPr>
        <w:t>IPCC Guidelines </w:t>
      </w:r>
      <w:r>
        <w:rPr>
          <w:sz w:val="20"/>
          <w:vertAlign w:val="baseline"/>
        </w:rPr>
        <w:t>allow inclusion of HWP in national inventories if a country can document that existing stocks of long-term forest products are increasing. </w:t>
      </w:r>
      <w:r>
        <w:rPr>
          <w:i/>
          <w:sz w:val="20"/>
          <w:vertAlign w:val="baseline"/>
        </w:rPr>
        <w:t>Good practice guidance </w:t>
      </w:r>
      <w:r>
        <w:rPr>
          <w:sz w:val="20"/>
          <w:vertAlign w:val="baseline"/>
        </w:rPr>
        <w:t>has therefore been elaborated for the HWP pool. The material provided is in an appendix rather than part of the main text, since SBSTA is still considering this issue. The appendix makes no judgement about possible future decisions on reporting or</w:t>
      </w:r>
      <w:r>
        <w:rPr>
          <w:spacing w:val="-3"/>
          <w:sz w:val="20"/>
          <w:vertAlign w:val="baseline"/>
        </w:rPr>
        <w:t> </w:t>
      </w:r>
      <w:r>
        <w:rPr>
          <w:sz w:val="20"/>
          <w:vertAlign w:val="baseline"/>
        </w:rPr>
        <w:t>accounting.</w:t>
      </w:r>
    </w:p>
    <w:p>
      <w:pPr>
        <w:pStyle w:val="ListParagraph"/>
        <w:numPr>
          <w:ilvl w:val="0"/>
          <w:numId w:val="2"/>
        </w:numPr>
        <w:tabs>
          <w:tab w:pos="780" w:val="left" w:leader="none"/>
        </w:tabs>
        <w:spacing w:line="237" w:lineRule="auto" w:before="132" w:after="0"/>
        <w:ind w:left="760" w:right="543" w:hanging="341"/>
        <w:jc w:val="both"/>
        <w:rPr>
          <w:sz w:val="20"/>
        </w:rPr>
      </w:pPr>
      <w:r>
        <w:rPr>
          <w:sz w:val="20"/>
        </w:rPr>
        <w:t>Settlements and wetlands are land-use categories for which limited methodological guidance was provided in the </w:t>
      </w:r>
      <w:r>
        <w:rPr>
          <w:i/>
          <w:sz w:val="20"/>
        </w:rPr>
        <w:t>IPCC Guidelines</w:t>
      </w:r>
      <w:r>
        <w:rPr>
          <w:sz w:val="20"/>
        </w:rPr>
        <w:t>, but a great deal of scientific work has been done since these </w:t>
      </w:r>
      <w:r>
        <w:rPr>
          <w:i/>
          <w:sz w:val="20"/>
        </w:rPr>
        <w:t>Guidelines </w:t>
      </w:r>
      <w:r>
        <w:rPr>
          <w:sz w:val="20"/>
        </w:rPr>
        <w:t>were completed in 1996. This applies also to non-CO</w:t>
      </w:r>
      <w:r>
        <w:rPr>
          <w:sz w:val="20"/>
          <w:vertAlign w:val="subscript"/>
        </w:rPr>
        <w:t>2</w:t>
      </w:r>
      <w:r>
        <w:rPr>
          <w:sz w:val="20"/>
          <w:vertAlign w:val="baseline"/>
        </w:rPr>
        <w:t> emissions from drainage and rewetting of forests soils. For these categories and sources, the IPCC determined that </w:t>
      </w:r>
      <w:r>
        <w:rPr>
          <w:i/>
          <w:sz w:val="20"/>
          <w:vertAlign w:val="baseline"/>
        </w:rPr>
        <w:t>good practice guidance </w:t>
      </w:r>
      <w:r>
        <w:rPr>
          <w:sz w:val="20"/>
          <w:vertAlign w:val="baseline"/>
        </w:rPr>
        <w:t>reflecting the newer scientific information should be developed, but that it should be presented in an appendix to indicate its preliminary nature. The main text on these sections provided sufficient advice to estimate the contribution that conversions to these categories make to national</w:t>
      </w:r>
      <w:r>
        <w:rPr>
          <w:spacing w:val="4"/>
          <w:sz w:val="20"/>
          <w:vertAlign w:val="baseline"/>
        </w:rPr>
        <w:t> </w:t>
      </w:r>
      <w:r>
        <w:rPr>
          <w:sz w:val="20"/>
          <w:vertAlign w:val="baseline"/>
        </w:rPr>
        <w:t>inventories.</w:t>
      </w:r>
    </w:p>
    <w:p>
      <w:pPr>
        <w:pStyle w:val="BodyText"/>
        <w:spacing w:before="116"/>
        <w:ind w:left="419" w:right="542"/>
        <w:jc w:val="both"/>
      </w:pPr>
      <w:r>
        <w:rPr/>
        <w:t>Countries do not have to prepare estimates for categories contained in appendices, although they can do so if they desire. The IPCC intends this approach to reflect the prevailing scientific and policy contexts, in a manner that provides useful information to countries as they prepare their inventories while recognising that it is the COP’s role to establish general guidelines for inventory reporting and accounting in the UNFCCC</w:t>
      </w:r>
      <w:r>
        <w:rPr>
          <w:spacing w:val="-32"/>
        </w:rPr>
        <w:t> </w:t>
      </w:r>
      <w:r>
        <w:rPr/>
        <w:t>context.</w:t>
      </w:r>
    </w:p>
    <w:p>
      <w:pPr>
        <w:pStyle w:val="ListParagraph"/>
        <w:numPr>
          <w:ilvl w:val="0"/>
          <w:numId w:val="2"/>
        </w:numPr>
        <w:tabs>
          <w:tab w:pos="780" w:val="left" w:leader="none"/>
        </w:tabs>
        <w:spacing w:line="235" w:lineRule="auto" w:before="137" w:after="0"/>
        <w:ind w:left="760" w:right="545" w:hanging="341"/>
        <w:jc w:val="both"/>
        <w:rPr>
          <w:sz w:val="20"/>
        </w:rPr>
      </w:pPr>
      <w:r>
        <w:rPr>
          <w:sz w:val="20"/>
        </w:rPr>
        <w:t>The </w:t>
      </w:r>
      <w:r>
        <w:rPr>
          <w:i/>
          <w:sz w:val="20"/>
        </w:rPr>
        <w:t>IPCC Guidelines </w:t>
      </w:r>
      <w:r>
        <w:rPr>
          <w:sz w:val="20"/>
        </w:rPr>
        <w:t>do not explicitly include losses from natural disturbances in </w:t>
      </w:r>
      <w:r>
        <w:rPr>
          <w:i/>
          <w:sz w:val="20"/>
        </w:rPr>
        <w:t>managed </w:t>
      </w:r>
      <w:r>
        <w:rPr>
          <w:sz w:val="20"/>
        </w:rPr>
        <w:t>forests although omitting the effect of these disturbances would overestimate carbon uptakes as calculated by the methodology in the </w:t>
      </w:r>
      <w:r>
        <w:rPr>
          <w:i/>
          <w:sz w:val="20"/>
        </w:rPr>
        <w:t>Guideline</w:t>
      </w:r>
      <w:r>
        <w:rPr>
          <w:sz w:val="20"/>
        </w:rPr>
        <w:t>s</w:t>
      </w:r>
      <w:r>
        <w:rPr>
          <w:i/>
          <w:sz w:val="20"/>
        </w:rPr>
        <w:t>. Good Practice Guidance </w:t>
      </w:r>
      <w:r>
        <w:rPr>
          <w:sz w:val="20"/>
        </w:rPr>
        <w:t>therefore provides guidance on how to account for them.</w:t>
      </w:r>
    </w:p>
    <w:p>
      <w:pPr>
        <w:pStyle w:val="BodyText"/>
        <w:spacing w:before="118"/>
        <w:ind w:left="419" w:right="547"/>
        <w:jc w:val="both"/>
      </w:pPr>
      <w:r>
        <w:rPr/>
        <w:t>For Kyoto Protocol reporting, Chapter 4 is intended to provide policy-neutral scientific operationalisation of the COP7 agreement in terms of annual reporting</w:t>
      </w:r>
      <w:r>
        <w:rPr>
          <w:vertAlign w:val="superscript"/>
        </w:rPr>
        <w:t>17</w:t>
      </w:r>
      <w:r>
        <w:rPr>
          <w:vertAlign w:val="baseline"/>
        </w:rPr>
        <w:t>. In some cases this has required judgement. In particular:</w:t>
      </w:r>
    </w:p>
    <w:p>
      <w:pPr>
        <w:pStyle w:val="ListParagraph"/>
        <w:numPr>
          <w:ilvl w:val="0"/>
          <w:numId w:val="2"/>
        </w:numPr>
        <w:tabs>
          <w:tab w:pos="780" w:val="left" w:leader="none"/>
        </w:tabs>
        <w:spacing w:line="235" w:lineRule="auto" w:before="139" w:after="0"/>
        <w:ind w:left="760" w:right="544" w:hanging="341"/>
        <w:jc w:val="both"/>
        <w:rPr>
          <w:sz w:val="20"/>
        </w:rPr>
      </w:pPr>
      <w:r>
        <w:rPr>
          <w:sz w:val="20"/>
        </w:rPr>
        <w:t>In the treatment of the geographical identification issue the phrase </w:t>
      </w:r>
      <w:r>
        <w:rPr>
          <w:i/>
          <w:sz w:val="20"/>
        </w:rPr>
        <w:t>The geographical location of the boundaries of the areas that encompass</w:t>
      </w:r>
      <w:r>
        <w:rPr>
          <w:i/>
          <w:sz w:val="20"/>
          <w:vertAlign w:val="superscript"/>
        </w:rPr>
        <w:t>18</w:t>
      </w:r>
      <w:r>
        <w:rPr>
          <w:i/>
          <w:sz w:val="20"/>
          <w:vertAlign w:val="baseline"/>
        </w:rPr>
        <w:t> </w:t>
      </w:r>
      <w:r>
        <w:rPr>
          <w:sz w:val="20"/>
          <w:vertAlign w:val="baseline"/>
        </w:rPr>
        <w:t>is interpreted as consistent with either a sampling approach within a geographical boundary, or complete enumeration of units of area subject to the carbon stock changes and emissions or removals of greenhouse gases due to the activities to be</w:t>
      </w:r>
      <w:r>
        <w:rPr>
          <w:spacing w:val="-2"/>
          <w:sz w:val="20"/>
          <w:vertAlign w:val="baseline"/>
        </w:rPr>
        <w:t> </w:t>
      </w:r>
      <w:r>
        <w:rPr>
          <w:sz w:val="20"/>
          <w:vertAlign w:val="baseline"/>
        </w:rPr>
        <w:t>reported.</w:t>
      </w:r>
    </w:p>
    <w:p>
      <w:pPr>
        <w:pStyle w:val="BodyText"/>
        <w:spacing w:before="7"/>
        <w:rPr>
          <w:sz w:val="18"/>
        </w:rPr>
      </w:pPr>
      <w:r>
        <w:rPr/>
        <w:pict>
          <v:line style="position:absolute;mso-position-horizontal-relative:page;mso-position-vertical-relative:paragraph;z-index:-112;mso-wrap-distance-left:0;mso-wrap-distance-right:0" from="70.960999pt,12.945849pt" to="214.960999pt,12.945849pt" stroked="true" strokeweight=".48pt" strokecolor="#000000">
            <v:stroke dashstyle="solid"/>
            <w10:wrap type="topAndBottom"/>
          </v:line>
        </w:pict>
      </w:r>
    </w:p>
    <w:p>
      <w:pPr>
        <w:spacing w:before="153"/>
        <w:ind w:left="577" w:right="546" w:hanging="159"/>
        <w:jc w:val="both"/>
        <w:rPr>
          <w:sz w:val="18"/>
        </w:rPr>
      </w:pPr>
      <w:r>
        <w:rPr>
          <w:position w:val="8"/>
          <w:sz w:val="12"/>
        </w:rPr>
        <w:t>16 </w:t>
      </w:r>
      <w:r>
        <w:rPr>
          <w:sz w:val="18"/>
        </w:rPr>
        <w:t>Conclusions related to emissions from forest harvesting and wood products (Report of the fifteenth session of SBSTA, held at Marrakesh from 29 October to 6 November 2001, paragraph 29(m), page 14). The COP/MOP is the Conference of Parties to the UNFCCC serving as the Meeting of Parties to the Kyoto Protocol.</w:t>
      </w:r>
    </w:p>
    <w:p>
      <w:pPr>
        <w:spacing w:before="94"/>
        <w:ind w:left="577" w:right="500" w:hanging="159"/>
        <w:jc w:val="both"/>
        <w:rPr>
          <w:sz w:val="18"/>
        </w:rPr>
      </w:pPr>
      <w:r>
        <w:rPr>
          <w:position w:val="8"/>
          <w:sz w:val="12"/>
        </w:rPr>
        <w:t>17 </w:t>
      </w:r>
      <w:r>
        <w:rPr>
          <w:sz w:val="18"/>
        </w:rPr>
        <w:t>The terms estimation, reporting and accounting have distinct meanings. Estimation is the process of calculating emissions, and reporting the process of providing the estimates to the UNFCCC. Accounting refers to the rules for comparing emissions and removals as reported with commitments. </w:t>
      </w:r>
      <w:r>
        <w:rPr>
          <w:i/>
          <w:sz w:val="18"/>
        </w:rPr>
        <w:t>GPG2000 </w:t>
      </w:r>
      <w:r>
        <w:rPr>
          <w:sz w:val="18"/>
        </w:rPr>
        <w:t>and this report deal with estimation and reporting issues, but not accounting for which detailed rules have been established under the Marrakesh</w:t>
      </w:r>
      <w:r>
        <w:rPr>
          <w:spacing w:val="-12"/>
          <w:sz w:val="18"/>
        </w:rPr>
        <w:t> </w:t>
      </w:r>
      <w:r>
        <w:rPr>
          <w:sz w:val="18"/>
        </w:rPr>
        <w:t>Accords.</w:t>
      </w:r>
    </w:p>
    <w:p>
      <w:pPr>
        <w:spacing w:before="96"/>
        <w:ind w:left="419" w:right="0" w:firstLine="0"/>
        <w:jc w:val="left"/>
        <w:rPr>
          <w:sz w:val="18"/>
        </w:rPr>
      </w:pPr>
      <w:r>
        <w:rPr>
          <w:position w:val="8"/>
          <w:sz w:val="12"/>
        </w:rPr>
        <w:t>18 </w:t>
      </w:r>
      <w:r>
        <w:rPr>
          <w:sz w:val="18"/>
        </w:rPr>
        <w:t>FCCC/CP/2001/13/Add.3, page 22, paragraph 6(a).</w:t>
      </w:r>
    </w:p>
    <w:p>
      <w:pPr>
        <w:spacing w:after="0"/>
        <w:jc w:val="left"/>
        <w:rPr>
          <w:sz w:val="18"/>
        </w:rPr>
        <w:sectPr>
          <w:pgSz w:w="11900" w:h="16840"/>
          <w:pgMar w:header="230" w:footer="408" w:top="560" w:bottom="600" w:left="1000" w:right="860"/>
        </w:sectPr>
      </w:pPr>
    </w:p>
    <w:p>
      <w:pPr>
        <w:pStyle w:val="BodyText"/>
        <w:spacing w:before="5"/>
        <w:rPr>
          <w:sz w:val="29"/>
        </w:rPr>
      </w:pPr>
    </w:p>
    <w:p>
      <w:pPr>
        <w:pStyle w:val="ListParagraph"/>
        <w:numPr>
          <w:ilvl w:val="0"/>
          <w:numId w:val="2"/>
        </w:numPr>
        <w:tabs>
          <w:tab w:pos="780" w:val="left" w:leader="none"/>
        </w:tabs>
        <w:spacing w:line="232" w:lineRule="auto" w:before="120" w:after="0"/>
        <w:ind w:left="760" w:right="546" w:hanging="341"/>
        <w:jc w:val="both"/>
        <w:rPr>
          <w:sz w:val="20"/>
        </w:rPr>
      </w:pPr>
      <w:r>
        <w:rPr>
          <w:sz w:val="20"/>
        </w:rPr>
        <w:t>The use of the </w:t>
      </w:r>
      <w:r>
        <w:rPr>
          <w:i/>
          <w:sz w:val="20"/>
        </w:rPr>
        <w:t>key category </w:t>
      </w:r>
      <w:r>
        <w:rPr>
          <w:sz w:val="20"/>
        </w:rPr>
        <w:t>concept and the choice of methodology in relationship to Articles 3.3 and 3.4 activities has been developed in a logical fashion as described in Section 1.3 above, but would not pre-empt any decision as to whether all activities under Articles 3.3 or 3.4 should be treated as</w:t>
      </w:r>
      <w:r>
        <w:rPr>
          <w:spacing w:val="-16"/>
          <w:sz w:val="20"/>
        </w:rPr>
        <w:t> </w:t>
      </w:r>
      <w:r>
        <w:rPr>
          <w:sz w:val="20"/>
        </w:rPr>
        <w:t>key.</w:t>
      </w:r>
    </w:p>
    <w:p>
      <w:pPr>
        <w:pStyle w:val="ListParagraph"/>
        <w:numPr>
          <w:ilvl w:val="0"/>
          <w:numId w:val="2"/>
        </w:numPr>
        <w:tabs>
          <w:tab w:pos="780" w:val="left" w:leader="none"/>
        </w:tabs>
        <w:spacing w:line="235" w:lineRule="auto" w:before="138" w:after="0"/>
        <w:ind w:left="760" w:right="543" w:hanging="341"/>
        <w:jc w:val="both"/>
        <w:rPr>
          <w:sz w:val="20"/>
        </w:rPr>
      </w:pPr>
      <w:r>
        <w:rPr>
          <w:sz w:val="20"/>
        </w:rPr>
        <w:t>Although it is </w:t>
      </w:r>
      <w:r>
        <w:rPr>
          <w:i/>
          <w:sz w:val="20"/>
        </w:rPr>
        <w:t>good practice </w:t>
      </w:r>
      <w:r>
        <w:rPr>
          <w:sz w:val="20"/>
        </w:rPr>
        <w:t>for Article 3.4 activities to match the dominant land use, in some cases (e.g., agroforestry systems) land could fall under either forest management (which is limited by capping) or cropland/grazing land management (which is subject to net-net accounting). In such cases </w:t>
      </w:r>
      <w:r>
        <w:rPr>
          <w:i/>
          <w:sz w:val="20"/>
        </w:rPr>
        <w:t>Good Practice Guidance for LULUCF </w:t>
      </w:r>
      <w:r>
        <w:rPr>
          <w:sz w:val="20"/>
        </w:rPr>
        <w:t>suggests that countries should establish national criteria to be applied consistently over time.</w:t>
      </w:r>
    </w:p>
    <w:p>
      <w:pPr>
        <w:pStyle w:val="ListParagraph"/>
        <w:numPr>
          <w:ilvl w:val="0"/>
          <w:numId w:val="2"/>
        </w:numPr>
        <w:tabs>
          <w:tab w:pos="780" w:val="left" w:leader="none"/>
        </w:tabs>
        <w:spacing w:line="237" w:lineRule="auto" w:before="137" w:after="0"/>
        <w:ind w:left="760" w:right="542" w:hanging="341"/>
        <w:jc w:val="both"/>
        <w:rPr>
          <w:sz w:val="20"/>
        </w:rPr>
      </w:pPr>
      <w:r>
        <w:rPr>
          <w:sz w:val="20"/>
        </w:rPr>
        <w:t>Net-net accounting is taken to require comparison between emissions and removals from the elected activities in the base year and the commitment period, which could lead to comparison of areas that differ in size. Alternative approaches, where areas are changing, would be to normalise to constant area, or maintain constant area over time, possibly the base year area – though this third approach would bring in effects of activities not covered by the Marrakesh Accords, and could increase uncertainties by making the estimation more</w:t>
      </w:r>
      <w:r>
        <w:rPr>
          <w:spacing w:val="-1"/>
          <w:sz w:val="20"/>
        </w:rPr>
        <w:t> </w:t>
      </w:r>
      <w:r>
        <w:rPr>
          <w:sz w:val="20"/>
        </w:rPr>
        <w:t>complex.</w:t>
      </w:r>
    </w:p>
    <w:p>
      <w:pPr>
        <w:pStyle w:val="BodyText"/>
        <w:spacing w:before="115"/>
        <w:ind w:left="419" w:right="545"/>
        <w:jc w:val="both"/>
      </w:pPr>
      <w:r>
        <w:rPr/>
        <w:t>Elaboration of the Marrakesh Accords decision on these (or indeed any other matter) would be for the COP; however, the IPCC believes that the interpretations should be acceptable because of the review process and because throughout the development of this report, the IPCC has maintained contact with the Convention  process via formal reporting of progress at SBSTA, side events, and attendance at workshops. The development of </w:t>
      </w:r>
      <w:r>
        <w:rPr>
          <w:i/>
        </w:rPr>
        <w:t>Good Practice Guidance for LULUCF </w:t>
      </w:r>
      <w:r>
        <w:rPr/>
        <w:t>is a step in the IPCC’s on-going programme of inventory development and will also support future revisions of the </w:t>
      </w:r>
      <w:r>
        <w:rPr>
          <w:i/>
        </w:rPr>
        <w:t>IPCC Guidelines</w:t>
      </w:r>
      <w:r>
        <w:rPr>
          <w:i/>
          <w:spacing w:val="-5"/>
        </w:rPr>
        <w:t> </w:t>
      </w:r>
      <w:r>
        <w:rPr/>
        <w:t>themselves.</w:t>
      </w:r>
    </w:p>
    <w:p>
      <w:pPr>
        <w:spacing w:after="0"/>
        <w:jc w:val="both"/>
        <w:sectPr>
          <w:pgSz w:w="11900" w:h="16840"/>
          <w:pgMar w:header="230" w:footer="408" w:top="560" w:bottom="600" w:left="1000" w:right="860"/>
        </w:sectPr>
      </w:pPr>
    </w:p>
    <w:p>
      <w:pPr>
        <w:pStyle w:val="BodyText"/>
      </w:pPr>
    </w:p>
    <w:p>
      <w:pPr>
        <w:pStyle w:val="BodyText"/>
        <w:rPr>
          <w:sz w:val="27"/>
        </w:rPr>
      </w:pPr>
    </w:p>
    <w:p>
      <w:pPr>
        <w:tabs>
          <w:tab w:pos="9519" w:val="left" w:leader="none"/>
        </w:tabs>
        <w:spacing w:before="80"/>
        <w:ind w:left="419" w:right="0" w:firstLine="0"/>
        <w:jc w:val="left"/>
        <w:rPr>
          <w:b/>
          <w:sz w:val="48"/>
        </w:rPr>
      </w:pPr>
      <w:r>
        <w:rPr>
          <w:b/>
          <w:sz w:val="48"/>
          <w:u w:val="thick"/>
        </w:rPr>
        <w:t>2</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spacing w:before="228"/>
        <w:ind w:left="419" w:right="0" w:firstLine="0"/>
        <w:jc w:val="left"/>
        <w:rPr>
          <w:b/>
          <w:sz w:val="48"/>
        </w:rPr>
      </w:pPr>
      <w:r>
        <w:rPr>
          <w:b/>
          <w:sz w:val="48"/>
        </w:rPr>
        <w:t>BASIS FOR CONSISTENT REPRESENTATION OF LAND AREAS</w:t>
      </w:r>
    </w:p>
    <w:p>
      <w:pPr>
        <w:spacing w:after="0"/>
        <w:jc w:val="left"/>
        <w:rPr>
          <w:sz w:val="48"/>
        </w:rPr>
        <w:sectPr>
          <w:headerReference w:type="default" r:id="rId30"/>
          <w:footerReference w:type="default" r:id="rId31"/>
          <w:footerReference w:type="even" r:id="rId32"/>
          <w:pgSz w:w="11900" w:h="16840"/>
          <w:pgMar w:header="0" w:footer="408" w:top="1600" w:bottom="600" w:left="1000" w:right="860"/>
        </w:sectPr>
      </w:pPr>
    </w:p>
    <w:p>
      <w:pPr>
        <w:pStyle w:val="BodyText"/>
        <w:rPr>
          <w:b/>
        </w:rPr>
      </w:pPr>
    </w:p>
    <w:p>
      <w:pPr>
        <w:pStyle w:val="BodyText"/>
        <w:rPr>
          <w:b/>
        </w:rPr>
      </w:pPr>
    </w:p>
    <w:p>
      <w:pPr>
        <w:pStyle w:val="BodyText"/>
        <w:rPr>
          <w:b/>
        </w:rPr>
      </w:pPr>
    </w:p>
    <w:p>
      <w:pPr>
        <w:pStyle w:val="Heading5"/>
        <w:spacing w:before="233"/>
        <w:ind w:left="2711"/>
      </w:pPr>
      <w:r>
        <w:rPr/>
        <w:t>AUTHORS AND REVIEW EDITORS</w:t>
      </w:r>
    </w:p>
    <w:p>
      <w:pPr>
        <w:pStyle w:val="BodyText"/>
        <w:spacing w:before="5"/>
        <w:rPr>
          <w:b/>
          <w:sz w:val="36"/>
        </w:rPr>
      </w:pPr>
    </w:p>
    <w:p>
      <w:pPr>
        <w:spacing w:before="1"/>
        <w:ind w:left="419" w:right="0" w:firstLine="0"/>
        <w:jc w:val="both"/>
        <w:rPr>
          <w:b/>
          <w:sz w:val="24"/>
        </w:rPr>
      </w:pPr>
      <w:r>
        <w:rPr>
          <w:b/>
          <w:sz w:val="24"/>
        </w:rPr>
        <w:t>Co-ordinating Lead Authors</w:t>
      </w:r>
    </w:p>
    <w:p>
      <w:pPr>
        <w:pStyle w:val="BodyText"/>
        <w:spacing w:before="56"/>
        <w:ind w:left="419"/>
        <w:jc w:val="both"/>
      </w:pPr>
      <w:r>
        <w:rPr/>
        <w:t>Ronnie Milne (UK) and Bubu Pateh Jallow (The Gambia)</w:t>
      </w:r>
    </w:p>
    <w:p>
      <w:pPr>
        <w:pStyle w:val="BodyText"/>
        <w:spacing w:before="7"/>
        <w:rPr>
          <w:sz w:val="31"/>
        </w:rPr>
      </w:pPr>
    </w:p>
    <w:p>
      <w:pPr>
        <w:pStyle w:val="Heading5"/>
        <w:spacing w:before="1"/>
        <w:ind w:left="419"/>
        <w:jc w:val="both"/>
      </w:pPr>
      <w:r>
        <w:rPr/>
        <w:t>Lead Authors</w:t>
      </w:r>
    </w:p>
    <w:p>
      <w:pPr>
        <w:pStyle w:val="BodyText"/>
        <w:spacing w:before="56"/>
        <w:ind w:left="419" w:right="547"/>
        <w:jc w:val="both"/>
      </w:pPr>
      <w:r>
        <w:rPr/>
        <w:t>Dominique Arrouays (France), Peter Beets (New Zealand), Paul Drichi (Uganda), Ismail Bin Harun (Malaysia), James Hrubovcak (USA), Ted Huffman (Canada), William Irving (USA), Michael Koehl (Germany), Erda Lin (China), Lennart Olsson (Sweden), Jim Penman (UK), Ryosuke Shibasaki (Japan), Brian Turner (Australia), Julio C.Vargas (Ecuador) and Ernesto F. Viglizzo</w:t>
      </w:r>
      <w:r>
        <w:rPr>
          <w:spacing w:val="-1"/>
        </w:rPr>
        <w:t> </w:t>
      </w:r>
      <w:r>
        <w:rPr/>
        <w:t>(Argentina).</w:t>
      </w:r>
    </w:p>
    <w:p>
      <w:pPr>
        <w:pStyle w:val="BodyText"/>
        <w:spacing w:before="6"/>
        <w:rPr>
          <w:sz w:val="31"/>
        </w:rPr>
      </w:pPr>
    </w:p>
    <w:p>
      <w:pPr>
        <w:pStyle w:val="Heading5"/>
        <w:ind w:left="419"/>
        <w:jc w:val="both"/>
      </w:pPr>
      <w:r>
        <w:rPr/>
        <w:t>Contributing Author</w:t>
      </w:r>
    </w:p>
    <w:p>
      <w:pPr>
        <w:pStyle w:val="BodyText"/>
        <w:spacing w:before="57"/>
        <w:ind w:left="419"/>
        <w:jc w:val="both"/>
      </w:pPr>
      <w:r>
        <w:rPr/>
        <w:t>Ralph Alig (USA)</w:t>
      </w:r>
    </w:p>
    <w:p>
      <w:pPr>
        <w:pStyle w:val="BodyText"/>
        <w:spacing w:before="7"/>
        <w:rPr>
          <w:sz w:val="31"/>
        </w:rPr>
      </w:pPr>
    </w:p>
    <w:p>
      <w:pPr>
        <w:pStyle w:val="Heading5"/>
        <w:ind w:left="419"/>
        <w:jc w:val="both"/>
      </w:pPr>
      <w:r>
        <w:rPr/>
        <w:t>Review Editors</w:t>
      </w:r>
    </w:p>
    <w:p>
      <w:pPr>
        <w:pStyle w:val="BodyText"/>
        <w:spacing w:before="55"/>
        <w:ind w:left="419"/>
        <w:jc w:val="both"/>
      </w:pPr>
      <w:r>
        <w:rPr/>
        <w:t>Mike Apps (Canada) and Jose Domingo Miguez (Brazil)</w:t>
      </w:r>
    </w:p>
    <w:p>
      <w:pPr>
        <w:spacing w:after="0"/>
        <w:jc w:val="both"/>
        <w:sectPr>
          <w:headerReference w:type="even" r:id="rId33"/>
          <w:headerReference w:type="default" r:id="rId34"/>
          <w:pgSz w:w="11900" w:h="16840"/>
          <w:pgMar w:header="230" w:footer="408" w:top="560" w:bottom="600" w:left="1000" w:right="860"/>
        </w:sectPr>
      </w:pPr>
    </w:p>
    <w:p>
      <w:pPr>
        <w:pStyle w:val="BodyText"/>
      </w:pPr>
    </w:p>
    <w:p>
      <w:pPr>
        <w:pStyle w:val="BodyText"/>
      </w:pPr>
    </w:p>
    <w:p>
      <w:pPr>
        <w:pStyle w:val="BodyText"/>
      </w:pPr>
    </w:p>
    <w:p>
      <w:pPr>
        <w:pStyle w:val="BodyText"/>
      </w:pPr>
    </w:p>
    <w:p>
      <w:pPr>
        <w:pStyle w:val="BodyText"/>
        <w:spacing w:before="3"/>
        <w:rPr>
          <w:sz w:val="24"/>
        </w:rPr>
      </w:pPr>
    </w:p>
    <w:p>
      <w:pPr>
        <w:spacing w:before="86"/>
        <w:ind w:left="130" w:right="260" w:firstLine="0"/>
        <w:jc w:val="center"/>
        <w:rPr>
          <w:b/>
          <w:sz w:val="32"/>
        </w:rPr>
      </w:pPr>
      <w:r>
        <w:rPr>
          <w:b/>
          <w:sz w:val="32"/>
        </w:rPr>
        <w:t>Contents</w:t>
      </w:r>
    </w:p>
    <w:p>
      <w:pPr>
        <w:pStyle w:val="BodyText"/>
        <w:rPr>
          <w:b/>
        </w:rPr>
      </w:pPr>
    </w:p>
    <w:p>
      <w:pPr>
        <w:pStyle w:val="BodyText"/>
        <w:rPr>
          <w:b/>
        </w:rPr>
      </w:pPr>
    </w:p>
    <w:p>
      <w:pPr>
        <w:pStyle w:val="BodyText"/>
        <w:rPr>
          <w:b/>
          <w:sz w:val="13"/>
        </w:rPr>
      </w:pPr>
    </w:p>
    <w:tbl>
      <w:tblPr>
        <w:tblW w:w="0" w:type="auto"/>
        <w:jc w:val="left"/>
        <w:tblInd w:w="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
        <w:gridCol w:w="585"/>
        <w:gridCol w:w="7922"/>
        <w:gridCol w:w="346"/>
      </w:tblGrid>
      <w:tr>
        <w:trPr>
          <w:trHeight w:val="344" w:hRule="atLeast"/>
        </w:trPr>
        <w:tc>
          <w:tcPr>
            <w:tcW w:w="317" w:type="dxa"/>
          </w:tcPr>
          <w:p>
            <w:pPr>
              <w:pStyle w:val="TableParagraph"/>
              <w:spacing w:line="221" w:lineRule="exact"/>
              <w:ind w:right="13"/>
              <w:jc w:val="right"/>
              <w:rPr>
                <w:b/>
                <w:sz w:val="20"/>
              </w:rPr>
            </w:pPr>
            <w:r>
              <w:rPr>
                <w:b/>
                <w:w w:val="95"/>
                <w:sz w:val="20"/>
              </w:rPr>
              <w:t>2.1</w:t>
            </w:r>
          </w:p>
        </w:tc>
        <w:tc>
          <w:tcPr>
            <w:tcW w:w="585" w:type="dxa"/>
          </w:tcPr>
          <w:p>
            <w:pPr>
              <w:pStyle w:val="TableParagraph"/>
              <w:rPr>
                <w:sz w:val="18"/>
              </w:rPr>
            </w:pPr>
          </w:p>
        </w:tc>
        <w:tc>
          <w:tcPr>
            <w:tcW w:w="7922" w:type="dxa"/>
          </w:tcPr>
          <w:p>
            <w:pPr>
              <w:pStyle w:val="TableParagraph"/>
              <w:spacing w:line="221" w:lineRule="exact"/>
              <w:ind w:left="168"/>
              <w:rPr>
                <w:b/>
                <w:sz w:val="20"/>
              </w:rPr>
            </w:pPr>
            <w:r>
              <w:rPr>
                <w:b/>
                <w:sz w:val="20"/>
              </w:rPr>
              <w:t>INTRODUCTION</w:t>
            </w:r>
          </w:p>
        </w:tc>
        <w:tc>
          <w:tcPr>
            <w:tcW w:w="346" w:type="dxa"/>
          </w:tcPr>
          <w:p>
            <w:pPr>
              <w:pStyle w:val="TableParagraph"/>
              <w:spacing w:line="221" w:lineRule="exact"/>
              <w:ind w:left="26" w:right="28"/>
              <w:jc w:val="center"/>
              <w:rPr>
                <w:b/>
                <w:sz w:val="20"/>
              </w:rPr>
            </w:pPr>
            <w:r>
              <w:rPr>
                <w:b/>
                <w:sz w:val="20"/>
              </w:rPr>
              <w:t>2.5</w:t>
            </w:r>
          </w:p>
        </w:tc>
      </w:tr>
      <w:tr>
        <w:trPr>
          <w:trHeight w:val="469" w:hRule="atLeast"/>
        </w:trPr>
        <w:tc>
          <w:tcPr>
            <w:tcW w:w="317" w:type="dxa"/>
          </w:tcPr>
          <w:p>
            <w:pPr>
              <w:pStyle w:val="TableParagraph"/>
              <w:spacing w:before="114"/>
              <w:ind w:right="13"/>
              <w:jc w:val="right"/>
              <w:rPr>
                <w:b/>
                <w:sz w:val="20"/>
              </w:rPr>
            </w:pPr>
            <w:r>
              <w:rPr>
                <w:b/>
                <w:w w:val="95"/>
                <w:sz w:val="20"/>
              </w:rPr>
              <w:t>2.2</w:t>
            </w:r>
          </w:p>
        </w:tc>
        <w:tc>
          <w:tcPr>
            <w:tcW w:w="585" w:type="dxa"/>
          </w:tcPr>
          <w:p>
            <w:pPr>
              <w:pStyle w:val="TableParagraph"/>
              <w:rPr>
                <w:sz w:val="18"/>
              </w:rPr>
            </w:pPr>
          </w:p>
        </w:tc>
        <w:tc>
          <w:tcPr>
            <w:tcW w:w="7922" w:type="dxa"/>
          </w:tcPr>
          <w:p>
            <w:pPr>
              <w:pStyle w:val="TableParagraph"/>
              <w:spacing w:before="114"/>
              <w:ind w:left="168"/>
              <w:rPr>
                <w:b/>
                <w:sz w:val="20"/>
              </w:rPr>
            </w:pPr>
            <w:r>
              <w:rPr>
                <w:b/>
                <w:sz w:val="20"/>
              </w:rPr>
              <w:t>LAND-USE CATEGORIES</w:t>
            </w:r>
          </w:p>
        </w:tc>
        <w:tc>
          <w:tcPr>
            <w:tcW w:w="346" w:type="dxa"/>
          </w:tcPr>
          <w:p>
            <w:pPr>
              <w:pStyle w:val="TableParagraph"/>
              <w:spacing w:before="114"/>
              <w:ind w:left="25" w:right="28"/>
              <w:jc w:val="center"/>
              <w:rPr>
                <w:b/>
                <w:sz w:val="20"/>
              </w:rPr>
            </w:pPr>
            <w:r>
              <w:rPr>
                <w:b/>
                <w:sz w:val="20"/>
              </w:rPr>
              <w:t>2.5</w:t>
            </w:r>
          </w:p>
        </w:tc>
      </w:tr>
      <w:tr>
        <w:trPr>
          <w:trHeight w:val="407" w:hRule="atLeast"/>
        </w:trPr>
        <w:tc>
          <w:tcPr>
            <w:tcW w:w="317" w:type="dxa"/>
          </w:tcPr>
          <w:p>
            <w:pPr>
              <w:pStyle w:val="TableParagraph"/>
              <w:spacing w:before="115"/>
              <w:ind w:right="13"/>
              <w:jc w:val="right"/>
              <w:rPr>
                <w:b/>
                <w:sz w:val="20"/>
              </w:rPr>
            </w:pPr>
            <w:r>
              <w:rPr>
                <w:b/>
                <w:w w:val="95"/>
                <w:sz w:val="20"/>
              </w:rPr>
              <w:t>2.3</w:t>
            </w:r>
          </w:p>
        </w:tc>
        <w:tc>
          <w:tcPr>
            <w:tcW w:w="585" w:type="dxa"/>
          </w:tcPr>
          <w:p>
            <w:pPr>
              <w:pStyle w:val="TableParagraph"/>
              <w:rPr>
                <w:sz w:val="18"/>
              </w:rPr>
            </w:pPr>
          </w:p>
        </w:tc>
        <w:tc>
          <w:tcPr>
            <w:tcW w:w="7922" w:type="dxa"/>
          </w:tcPr>
          <w:p>
            <w:pPr>
              <w:pStyle w:val="TableParagraph"/>
              <w:spacing w:before="115"/>
              <w:ind w:left="168"/>
              <w:rPr>
                <w:b/>
                <w:sz w:val="20"/>
              </w:rPr>
            </w:pPr>
            <w:r>
              <w:rPr>
                <w:b/>
                <w:sz w:val="20"/>
              </w:rPr>
              <w:t>REPRESENTING LAND AREAS</w:t>
            </w:r>
          </w:p>
        </w:tc>
        <w:tc>
          <w:tcPr>
            <w:tcW w:w="346" w:type="dxa"/>
          </w:tcPr>
          <w:p>
            <w:pPr>
              <w:pStyle w:val="TableParagraph"/>
              <w:spacing w:before="115"/>
              <w:ind w:left="26" w:right="26"/>
              <w:jc w:val="center"/>
              <w:rPr>
                <w:b/>
                <w:sz w:val="20"/>
              </w:rPr>
            </w:pPr>
            <w:r>
              <w:rPr>
                <w:b/>
                <w:sz w:val="20"/>
              </w:rPr>
              <w:t>2.7</w:t>
            </w:r>
          </w:p>
        </w:tc>
      </w:tr>
      <w:tr>
        <w:trPr>
          <w:trHeight w:val="348" w:hRule="atLeast"/>
        </w:trPr>
        <w:tc>
          <w:tcPr>
            <w:tcW w:w="317" w:type="dxa"/>
          </w:tcPr>
          <w:p>
            <w:pPr>
              <w:pStyle w:val="TableParagraph"/>
              <w:rPr>
                <w:sz w:val="18"/>
              </w:rPr>
            </w:pPr>
          </w:p>
        </w:tc>
        <w:tc>
          <w:tcPr>
            <w:tcW w:w="585" w:type="dxa"/>
          </w:tcPr>
          <w:p>
            <w:pPr>
              <w:pStyle w:val="TableParagraph"/>
              <w:spacing w:before="53"/>
              <w:ind w:left="16"/>
              <w:rPr>
                <w:sz w:val="20"/>
              </w:rPr>
            </w:pPr>
            <w:r>
              <w:rPr>
                <w:sz w:val="20"/>
              </w:rPr>
              <w:t>2.3.1</w:t>
            </w:r>
          </w:p>
        </w:tc>
        <w:tc>
          <w:tcPr>
            <w:tcW w:w="7922" w:type="dxa"/>
          </w:tcPr>
          <w:p>
            <w:pPr>
              <w:pStyle w:val="TableParagraph"/>
              <w:spacing w:before="53"/>
              <w:ind w:left="168"/>
              <w:rPr>
                <w:sz w:val="20"/>
              </w:rPr>
            </w:pPr>
            <w:r>
              <w:rPr>
                <w:sz w:val="20"/>
              </w:rPr>
              <w:t>Introduction .....................................................................................................................................</w:t>
            </w:r>
          </w:p>
        </w:tc>
        <w:tc>
          <w:tcPr>
            <w:tcW w:w="346" w:type="dxa"/>
          </w:tcPr>
          <w:p>
            <w:pPr>
              <w:pStyle w:val="TableParagraph"/>
              <w:spacing w:before="53"/>
              <w:ind w:left="26" w:right="26"/>
              <w:jc w:val="center"/>
              <w:rPr>
                <w:sz w:val="20"/>
              </w:rPr>
            </w:pPr>
            <w:r>
              <w:rPr>
                <w:sz w:val="20"/>
              </w:rPr>
              <w:t>2.7</w:t>
            </w:r>
          </w:p>
        </w:tc>
      </w:tr>
      <w:tr>
        <w:trPr>
          <w:trHeight w:val="285" w:hRule="atLeast"/>
        </w:trPr>
        <w:tc>
          <w:tcPr>
            <w:tcW w:w="317" w:type="dxa"/>
          </w:tcPr>
          <w:p>
            <w:pPr>
              <w:pStyle w:val="TableParagraph"/>
              <w:rPr>
                <w:sz w:val="18"/>
              </w:rPr>
            </w:pPr>
          </w:p>
        </w:tc>
        <w:tc>
          <w:tcPr>
            <w:tcW w:w="585" w:type="dxa"/>
          </w:tcPr>
          <w:p>
            <w:pPr>
              <w:pStyle w:val="TableParagraph"/>
              <w:spacing w:line="210" w:lineRule="exact" w:before="55"/>
              <w:ind w:left="16"/>
              <w:rPr>
                <w:sz w:val="20"/>
              </w:rPr>
            </w:pPr>
            <w:r>
              <w:rPr>
                <w:sz w:val="20"/>
              </w:rPr>
              <w:t>2.3.2</w:t>
            </w:r>
          </w:p>
        </w:tc>
        <w:tc>
          <w:tcPr>
            <w:tcW w:w="7922" w:type="dxa"/>
          </w:tcPr>
          <w:p>
            <w:pPr>
              <w:pStyle w:val="TableParagraph"/>
              <w:spacing w:line="210" w:lineRule="exact" w:before="55"/>
              <w:ind w:left="168"/>
              <w:rPr>
                <w:sz w:val="20"/>
              </w:rPr>
            </w:pPr>
            <w:r>
              <w:rPr>
                <w:sz w:val="20"/>
              </w:rPr>
              <w:t>Three Approaches ...........................................................................................................................</w:t>
            </w:r>
          </w:p>
        </w:tc>
        <w:tc>
          <w:tcPr>
            <w:tcW w:w="346" w:type="dxa"/>
          </w:tcPr>
          <w:p>
            <w:pPr>
              <w:pStyle w:val="TableParagraph"/>
              <w:spacing w:line="210" w:lineRule="exact" w:before="55"/>
              <w:ind w:left="26" w:right="26"/>
              <w:jc w:val="center"/>
              <w:rPr>
                <w:sz w:val="20"/>
              </w:rPr>
            </w:pPr>
            <w:r>
              <w:rPr>
                <w:sz w:val="20"/>
              </w:rPr>
              <w:t>2.7</w:t>
            </w:r>
          </w:p>
        </w:tc>
      </w:tr>
    </w:tbl>
    <w:p>
      <w:pPr>
        <w:pStyle w:val="ListParagraph"/>
        <w:numPr>
          <w:ilvl w:val="3"/>
          <w:numId w:val="13"/>
        </w:numPr>
        <w:tabs>
          <w:tab w:pos="1723" w:val="left" w:leader="none"/>
          <w:tab w:pos="9490" w:val="right" w:leader="dot"/>
        </w:tabs>
        <w:spacing w:line="240" w:lineRule="auto" w:before="118" w:after="0"/>
        <w:ind w:left="1722" w:right="0" w:hanging="737"/>
        <w:jc w:val="left"/>
        <w:rPr>
          <w:sz w:val="20"/>
        </w:rPr>
      </w:pPr>
      <w:r>
        <w:rPr>
          <w:sz w:val="20"/>
        </w:rPr>
        <w:t>Approach 1: Basic land-use data</w:t>
        <w:tab/>
        <w:t>2.7</w:t>
      </w:r>
    </w:p>
    <w:p>
      <w:pPr>
        <w:pStyle w:val="ListParagraph"/>
        <w:numPr>
          <w:ilvl w:val="3"/>
          <w:numId w:val="13"/>
        </w:numPr>
        <w:tabs>
          <w:tab w:pos="1723" w:val="left" w:leader="none"/>
          <w:tab w:pos="9489" w:val="right" w:leader="dot"/>
        </w:tabs>
        <w:spacing w:line="240" w:lineRule="auto" w:before="120" w:after="0"/>
        <w:ind w:left="1722" w:right="0" w:hanging="737"/>
        <w:jc w:val="left"/>
        <w:rPr>
          <w:sz w:val="20"/>
        </w:rPr>
      </w:pPr>
      <w:r>
        <w:rPr>
          <w:sz w:val="20"/>
        </w:rPr>
        <w:t>Approach 2: Survey of land use and</w:t>
      </w:r>
      <w:r>
        <w:rPr>
          <w:spacing w:val="-6"/>
          <w:sz w:val="20"/>
        </w:rPr>
        <w:t> </w:t>
      </w:r>
      <w:r>
        <w:rPr>
          <w:sz w:val="20"/>
        </w:rPr>
        <w:t>land-use change</w:t>
        <w:tab/>
        <w:t>2.9</w:t>
      </w:r>
    </w:p>
    <w:p>
      <w:pPr>
        <w:pStyle w:val="ListParagraph"/>
        <w:numPr>
          <w:ilvl w:val="3"/>
          <w:numId w:val="13"/>
        </w:numPr>
        <w:tabs>
          <w:tab w:pos="1723" w:val="left" w:leader="none"/>
          <w:tab w:pos="9489" w:val="right" w:leader="dot"/>
        </w:tabs>
        <w:spacing w:line="240" w:lineRule="auto" w:before="121" w:after="0"/>
        <w:ind w:left="1722" w:right="0" w:hanging="737"/>
        <w:jc w:val="left"/>
        <w:rPr>
          <w:sz w:val="20"/>
        </w:rPr>
      </w:pPr>
      <w:r>
        <w:rPr>
          <w:sz w:val="20"/>
        </w:rPr>
        <w:t>Approach 3: Geographically explicit land</w:t>
      </w:r>
      <w:r>
        <w:rPr>
          <w:spacing w:val="-3"/>
          <w:sz w:val="20"/>
        </w:rPr>
        <w:t> </w:t>
      </w:r>
      <w:r>
        <w:rPr>
          <w:sz w:val="20"/>
        </w:rPr>
        <w:t>use</w:t>
      </w:r>
      <w:r>
        <w:rPr>
          <w:spacing w:val="1"/>
          <w:sz w:val="20"/>
        </w:rPr>
        <w:t> </w:t>
      </w:r>
      <w:r>
        <w:rPr>
          <w:sz w:val="20"/>
        </w:rPr>
        <w:t>data</w:t>
        <w:tab/>
        <w:t>2.12</w:t>
      </w:r>
    </w:p>
    <w:p>
      <w:pPr>
        <w:pStyle w:val="ListParagraph"/>
        <w:numPr>
          <w:ilvl w:val="2"/>
          <w:numId w:val="13"/>
        </w:numPr>
        <w:tabs>
          <w:tab w:pos="1439" w:val="left" w:leader="none"/>
          <w:tab w:pos="1440" w:val="left" w:leader="none"/>
          <w:tab w:pos="9490" w:val="right" w:leader="dot"/>
        </w:tabs>
        <w:spacing w:line="240" w:lineRule="auto" w:before="120" w:after="0"/>
        <w:ind w:left="1439" w:right="0" w:hanging="737"/>
        <w:jc w:val="left"/>
        <w:rPr>
          <w:sz w:val="20"/>
        </w:rPr>
      </w:pPr>
      <w:r>
        <w:rPr>
          <w:sz w:val="20"/>
        </w:rPr>
        <w:t>Using</w:t>
      </w:r>
      <w:r>
        <w:rPr>
          <w:spacing w:val="-2"/>
          <w:sz w:val="20"/>
        </w:rPr>
        <w:t> </w:t>
      </w:r>
      <w:r>
        <w:rPr>
          <w:sz w:val="20"/>
        </w:rPr>
        <w:t>the</w:t>
      </w:r>
      <w:r>
        <w:rPr>
          <w:spacing w:val="3"/>
          <w:sz w:val="20"/>
        </w:rPr>
        <w:t> </w:t>
      </w:r>
      <w:r>
        <w:rPr>
          <w:sz w:val="20"/>
        </w:rPr>
        <w:t>Approaches</w:t>
        <w:tab/>
        <w:t>2.14</w:t>
      </w:r>
    </w:p>
    <w:p>
      <w:pPr>
        <w:pStyle w:val="ListParagraph"/>
        <w:numPr>
          <w:ilvl w:val="2"/>
          <w:numId w:val="13"/>
        </w:numPr>
        <w:tabs>
          <w:tab w:pos="1439" w:val="left" w:leader="none"/>
          <w:tab w:pos="1440" w:val="left" w:leader="none"/>
          <w:tab w:pos="9490" w:val="right" w:leader="dot"/>
        </w:tabs>
        <w:spacing w:line="240" w:lineRule="auto" w:before="118" w:after="0"/>
        <w:ind w:left="1439" w:right="0" w:hanging="737"/>
        <w:jc w:val="left"/>
        <w:rPr>
          <w:sz w:val="20"/>
        </w:rPr>
      </w:pPr>
      <w:r>
        <w:rPr>
          <w:sz w:val="20"/>
        </w:rPr>
        <w:t>Uncertainties Associated with</w:t>
      </w:r>
      <w:r>
        <w:rPr>
          <w:spacing w:val="4"/>
          <w:sz w:val="20"/>
        </w:rPr>
        <w:t> </w:t>
      </w:r>
      <w:r>
        <w:rPr>
          <w:sz w:val="20"/>
        </w:rPr>
        <w:t>the</w:t>
      </w:r>
      <w:r>
        <w:rPr>
          <w:spacing w:val="3"/>
          <w:sz w:val="20"/>
        </w:rPr>
        <w:t> </w:t>
      </w:r>
      <w:r>
        <w:rPr>
          <w:sz w:val="20"/>
        </w:rPr>
        <w:t>Approaches</w:t>
        <w:tab/>
        <w:t>2.17</w:t>
      </w:r>
    </w:p>
    <w:p>
      <w:pPr>
        <w:numPr>
          <w:ilvl w:val="1"/>
          <w:numId w:val="13"/>
        </w:numPr>
        <w:tabs>
          <w:tab w:pos="1439" w:val="left" w:leader="none"/>
          <w:tab w:pos="1440" w:val="left" w:leader="none"/>
          <w:tab w:pos="9489" w:val="right" w:leader="none"/>
        </w:tabs>
        <w:spacing w:before="245"/>
        <w:ind w:left="1439" w:right="0" w:hanging="1020"/>
        <w:jc w:val="left"/>
        <w:rPr>
          <w:b/>
          <w:sz w:val="20"/>
        </w:rPr>
      </w:pPr>
      <w:r>
        <w:rPr>
          <w:b/>
          <w:sz w:val="20"/>
        </w:rPr>
        <w:t>DEVELOPMENT OF</w:t>
      </w:r>
      <w:r>
        <w:rPr>
          <w:b/>
          <w:spacing w:val="-1"/>
          <w:sz w:val="20"/>
        </w:rPr>
        <w:t> </w:t>
      </w:r>
      <w:r>
        <w:rPr>
          <w:b/>
          <w:sz w:val="20"/>
        </w:rPr>
        <w:t>LAND-USE</w:t>
      </w:r>
      <w:r>
        <w:rPr>
          <w:b/>
          <w:spacing w:val="-1"/>
          <w:sz w:val="20"/>
        </w:rPr>
        <w:t> </w:t>
      </w:r>
      <w:r>
        <w:rPr>
          <w:b/>
          <w:sz w:val="20"/>
        </w:rPr>
        <w:t>DATABASES</w:t>
        <w:tab/>
        <w:t>2.18</w:t>
      </w:r>
    </w:p>
    <w:p>
      <w:pPr>
        <w:pStyle w:val="ListParagraph"/>
        <w:numPr>
          <w:ilvl w:val="2"/>
          <w:numId w:val="14"/>
        </w:numPr>
        <w:tabs>
          <w:tab w:pos="1439" w:val="left" w:leader="none"/>
          <w:tab w:pos="1440" w:val="left" w:leader="none"/>
          <w:tab w:pos="9491" w:val="right" w:leader="dot"/>
        </w:tabs>
        <w:spacing w:line="240" w:lineRule="auto" w:before="116" w:after="0"/>
        <w:ind w:left="1439" w:right="0" w:hanging="737"/>
        <w:jc w:val="left"/>
        <w:rPr>
          <w:sz w:val="20"/>
        </w:rPr>
      </w:pPr>
      <w:r>
        <w:rPr>
          <w:sz w:val="20"/>
        </w:rPr>
        <w:t>Use of Data Prepared for Other Purposes</w:t>
        <w:tab/>
        <w:t>2.18</w:t>
      </w:r>
    </w:p>
    <w:p>
      <w:pPr>
        <w:pStyle w:val="ListParagraph"/>
        <w:numPr>
          <w:ilvl w:val="2"/>
          <w:numId w:val="14"/>
        </w:numPr>
        <w:tabs>
          <w:tab w:pos="1439" w:val="left" w:leader="none"/>
          <w:tab w:pos="1440" w:val="left" w:leader="none"/>
          <w:tab w:pos="9488" w:val="right" w:leader="dot"/>
        </w:tabs>
        <w:spacing w:line="240" w:lineRule="auto" w:before="120" w:after="0"/>
        <w:ind w:left="1439" w:right="0" w:hanging="737"/>
        <w:jc w:val="left"/>
        <w:rPr>
          <w:sz w:val="20"/>
        </w:rPr>
      </w:pPr>
      <w:r>
        <w:rPr>
          <w:sz w:val="20"/>
        </w:rPr>
        <w:t>Collection of New Data by</w:t>
      </w:r>
      <w:r>
        <w:rPr>
          <w:spacing w:val="-10"/>
          <w:sz w:val="20"/>
        </w:rPr>
        <w:t> </w:t>
      </w:r>
      <w:r>
        <w:rPr>
          <w:sz w:val="20"/>
        </w:rPr>
        <w:t>Sampling</w:t>
      </w:r>
      <w:r>
        <w:rPr>
          <w:spacing w:val="-1"/>
          <w:sz w:val="20"/>
        </w:rPr>
        <w:t> </w:t>
      </w:r>
      <w:r>
        <w:rPr>
          <w:sz w:val="20"/>
        </w:rPr>
        <w:t>Methods</w:t>
        <w:tab/>
        <w:t>2.19</w:t>
      </w:r>
    </w:p>
    <w:p>
      <w:pPr>
        <w:pStyle w:val="ListParagraph"/>
        <w:numPr>
          <w:ilvl w:val="2"/>
          <w:numId w:val="14"/>
        </w:numPr>
        <w:tabs>
          <w:tab w:pos="1439" w:val="left" w:leader="none"/>
          <w:tab w:pos="1440" w:val="left" w:leader="none"/>
          <w:tab w:pos="9491" w:val="right" w:leader="dot"/>
        </w:tabs>
        <w:spacing w:line="240" w:lineRule="auto" w:before="118" w:after="0"/>
        <w:ind w:left="1439" w:right="0" w:hanging="737"/>
        <w:jc w:val="left"/>
        <w:rPr>
          <w:sz w:val="20"/>
        </w:rPr>
      </w:pPr>
      <w:r>
        <w:rPr>
          <w:sz w:val="20"/>
        </w:rPr>
        <w:t>Collection of New Data in</w:t>
      </w:r>
      <w:r>
        <w:rPr>
          <w:spacing w:val="-7"/>
          <w:sz w:val="20"/>
        </w:rPr>
        <w:t> </w:t>
      </w:r>
      <w:r>
        <w:rPr>
          <w:sz w:val="20"/>
        </w:rPr>
        <w:t>Complete</w:t>
      </w:r>
      <w:r>
        <w:rPr>
          <w:spacing w:val="1"/>
          <w:sz w:val="20"/>
        </w:rPr>
        <w:t> </w:t>
      </w:r>
      <w:r>
        <w:rPr>
          <w:sz w:val="20"/>
        </w:rPr>
        <w:t>Inventories</w:t>
        <w:tab/>
        <w:t>2.19</w:t>
      </w:r>
    </w:p>
    <w:p>
      <w:pPr>
        <w:pStyle w:val="ListParagraph"/>
        <w:numPr>
          <w:ilvl w:val="2"/>
          <w:numId w:val="14"/>
        </w:numPr>
        <w:tabs>
          <w:tab w:pos="1439" w:val="left" w:leader="none"/>
          <w:tab w:pos="1440" w:val="left" w:leader="none"/>
          <w:tab w:pos="9490" w:val="right" w:leader="dot"/>
        </w:tabs>
        <w:spacing w:line="240" w:lineRule="auto" w:before="121" w:after="0"/>
        <w:ind w:left="1439" w:right="0" w:hanging="737"/>
        <w:jc w:val="left"/>
        <w:rPr>
          <w:sz w:val="20"/>
        </w:rPr>
      </w:pPr>
      <w:r>
        <w:rPr>
          <w:sz w:val="20"/>
        </w:rPr>
        <w:t>Tools for</w:t>
      </w:r>
      <w:r>
        <w:rPr>
          <w:spacing w:val="-2"/>
          <w:sz w:val="20"/>
        </w:rPr>
        <w:t> </w:t>
      </w:r>
      <w:r>
        <w:rPr>
          <w:sz w:val="20"/>
        </w:rPr>
        <w:t>Data Collection</w:t>
        <w:tab/>
        <w:t>2.19</w:t>
      </w:r>
    </w:p>
    <w:p>
      <w:pPr>
        <w:pStyle w:val="ListParagraph"/>
        <w:numPr>
          <w:ilvl w:val="3"/>
          <w:numId w:val="14"/>
        </w:numPr>
        <w:tabs>
          <w:tab w:pos="1723" w:val="left" w:leader="none"/>
          <w:tab w:pos="9489" w:val="right" w:leader="dot"/>
        </w:tabs>
        <w:spacing w:line="240" w:lineRule="auto" w:before="120" w:after="0"/>
        <w:ind w:left="1722" w:right="0" w:hanging="737"/>
        <w:jc w:val="left"/>
        <w:rPr>
          <w:sz w:val="20"/>
        </w:rPr>
      </w:pPr>
      <w:r>
        <w:rPr>
          <w:sz w:val="20"/>
        </w:rPr>
        <w:t>Remote sensing</w:t>
      </w:r>
      <w:r>
        <w:rPr>
          <w:spacing w:val="1"/>
          <w:sz w:val="20"/>
        </w:rPr>
        <w:t> </w:t>
      </w:r>
      <w:r>
        <w:rPr>
          <w:sz w:val="20"/>
        </w:rPr>
        <w:t>(RS)</w:t>
      </w:r>
      <w:r>
        <w:rPr>
          <w:spacing w:val="1"/>
          <w:sz w:val="20"/>
        </w:rPr>
        <w:t> </w:t>
      </w:r>
      <w:r>
        <w:rPr>
          <w:sz w:val="20"/>
        </w:rPr>
        <w:t>techniques</w:t>
        <w:tab/>
        <w:t>2.19</w:t>
      </w:r>
    </w:p>
    <w:p>
      <w:pPr>
        <w:pStyle w:val="ListParagraph"/>
        <w:numPr>
          <w:ilvl w:val="3"/>
          <w:numId w:val="14"/>
        </w:numPr>
        <w:tabs>
          <w:tab w:pos="1723" w:val="left" w:leader="none"/>
          <w:tab w:pos="9490" w:val="right" w:leader="dot"/>
        </w:tabs>
        <w:spacing w:line="240" w:lineRule="auto" w:before="121" w:after="0"/>
        <w:ind w:left="1722" w:right="0" w:hanging="737"/>
        <w:jc w:val="left"/>
        <w:rPr>
          <w:sz w:val="20"/>
        </w:rPr>
      </w:pPr>
      <w:r>
        <w:rPr>
          <w:sz w:val="20"/>
        </w:rPr>
        <w:t>Ground-based surveys</w:t>
        <w:tab/>
        <w:t>2.21</w:t>
      </w:r>
    </w:p>
    <w:p>
      <w:pPr>
        <w:tabs>
          <w:tab w:pos="1722" w:val="left" w:leader="none"/>
          <w:tab w:pos="9489" w:val="right" w:leader="none"/>
        </w:tabs>
        <w:spacing w:before="238"/>
        <w:ind w:left="419" w:right="0" w:firstLine="0"/>
        <w:jc w:val="left"/>
        <w:rPr>
          <w:b/>
          <w:sz w:val="20"/>
        </w:rPr>
      </w:pPr>
      <w:r>
        <w:rPr>
          <w:b/>
          <w:sz w:val="20"/>
        </w:rPr>
        <w:t>Annex</w:t>
      </w:r>
      <w:r>
        <w:rPr>
          <w:b/>
          <w:spacing w:val="-2"/>
          <w:sz w:val="20"/>
        </w:rPr>
        <w:t> </w:t>
      </w:r>
      <w:r>
        <w:rPr>
          <w:b/>
          <w:sz w:val="20"/>
        </w:rPr>
        <w:t>2A.1</w:t>
        <w:tab/>
      </w:r>
      <w:r>
        <w:rPr>
          <w:sz w:val="20"/>
        </w:rPr>
        <w:t>Examples of Approaches in</w:t>
      </w:r>
      <w:r>
        <w:rPr>
          <w:spacing w:val="-4"/>
          <w:sz w:val="20"/>
        </w:rPr>
        <w:t> </w:t>
      </w:r>
      <w:r>
        <w:rPr>
          <w:sz w:val="20"/>
        </w:rPr>
        <w:t>Individual</w:t>
      </w:r>
      <w:r>
        <w:rPr>
          <w:spacing w:val="2"/>
          <w:sz w:val="20"/>
        </w:rPr>
        <w:t> </w:t>
      </w:r>
      <w:r>
        <w:rPr>
          <w:sz w:val="20"/>
        </w:rPr>
        <w:t>Countries</w:t>
        <w:tab/>
      </w:r>
      <w:r>
        <w:rPr>
          <w:b/>
          <w:sz w:val="20"/>
        </w:rPr>
        <w:t>2.23</w:t>
      </w:r>
    </w:p>
    <w:p>
      <w:pPr>
        <w:tabs>
          <w:tab w:pos="1722" w:val="left" w:leader="none"/>
          <w:tab w:pos="9489" w:val="right" w:leader="none"/>
        </w:tabs>
        <w:spacing w:before="240"/>
        <w:ind w:left="419" w:right="0" w:firstLine="0"/>
        <w:jc w:val="left"/>
        <w:rPr>
          <w:b/>
          <w:sz w:val="20"/>
        </w:rPr>
      </w:pPr>
      <w:r>
        <w:rPr>
          <w:b/>
          <w:sz w:val="20"/>
        </w:rPr>
        <w:t>Annex</w:t>
      </w:r>
      <w:r>
        <w:rPr>
          <w:b/>
          <w:spacing w:val="-2"/>
          <w:sz w:val="20"/>
        </w:rPr>
        <w:t> </w:t>
      </w:r>
      <w:r>
        <w:rPr>
          <w:b/>
          <w:sz w:val="20"/>
        </w:rPr>
        <w:t>2A.2</w:t>
        <w:tab/>
      </w:r>
      <w:r>
        <w:rPr>
          <w:sz w:val="20"/>
        </w:rPr>
        <w:t>Examples of International</w:t>
      </w:r>
      <w:r>
        <w:rPr>
          <w:spacing w:val="-4"/>
          <w:sz w:val="20"/>
        </w:rPr>
        <w:t> </w:t>
      </w:r>
      <w:r>
        <w:rPr>
          <w:sz w:val="20"/>
        </w:rPr>
        <w:t>Land-Cover Datasets</w:t>
        <w:tab/>
      </w:r>
      <w:r>
        <w:rPr>
          <w:b/>
          <w:sz w:val="20"/>
        </w:rPr>
        <w:t>2.27</w:t>
      </w:r>
    </w:p>
    <w:p>
      <w:pPr>
        <w:tabs>
          <w:tab w:pos="9489" w:val="right" w:leader="none"/>
        </w:tabs>
        <w:spacing w:before="245"/>
        <w:ind w:left="419" w:right="0" w:firstLine="0"/>
        <w:jc w:val="left"/>
        <w:rPr>
          <w:b/>
          <w:sz w:val="20"/>
        </w:rPr>
      </w:pPr>
      <w:r>
        <w:rPr>
          <w:b/>
          <w:sz w:val="20"/>
        </w:rPr>
        <w:t>References</w:t>
        <w:tab/>
        <w:t>2.29</w:t>
      </w:r>
    </w:p>
    <w:p>
      <w:pPr>
        <w:spacing w:after="0"/>
        <w:jc w:val="left"/>
        <w:rPr>
          <w:sz w:val="20"/>
        </w:rPr>
        <w:sectPr>
          <w:footerReference w:type="default" r:id="rId35"/>
          <w:footerReference w:type="even" r:id="rId36"/>
          <w:pgSz w:w="11900" w:h="16840"/>
          <w:pgMar w:footer="408" w:header="230" w:top="560" w:bottom="600" w:left="1000" w:right="860"/>
          <w:pgNumType w:start="3"/>
        </w:sectPr>
      </w:pPr>
    </w:p>
    <w:p>
      <w:pPr>
        <w:pStyle w:val="BodyText"/>
        <w:rPr>
          <w:b/>
          <w:sz w:val="34"/>
        </w:rPr>
      </w:pPr>
    </w:p>
    <w:p>
      <w:pPr>
        <w:pStyle w:val="BodyText"/>
        <w:rPr>
          <w:b/>
          <w:sz w:val="34"/>
        </w:rPr>
      </w:pPr>
    </w:p>
    <w:p>
      <w:pPr>
        <w:pStyle w:val="BodyText"/>
        <w:spacing w:before="8"/>
        <w:rPr>
          <w:b/>
          <w:sz w:val="43"/>
        </w:rPr>
      </w:pPr>
    </w:p>
    <w:p>
      <w:pPr>
        <w:spacing w:before="0"/>
        <w:ind w:left="111" w:right="260" w:firstLine="0"/>
        <w:jc w:val="center"/>
        <w:rPr>
          <w:b/>
          <w:sz w:val="32"/>
        </w:rPr>
      </w:pPr>
      <w:r>
        <w:rPr>
          <w:b/>
          <w:sz w:val="32"/>
        </w:rPr>
        <w:t>Figures</w:t>
      </w:r>
    </w:p>
    <w:p>
      <w:pPr>
        <w:pStyle w:val="BodyText"/>
        <w:spacing w:before="5"/>
        <w:rPr>
          <w:b/>
          <w:sz w:val="41"/>
        </w:rPr>
      </w:pPr>
    </w:p>
    <w:p>
      <w:pPr>
        <w:pStyle w:val="BodyText"/>
        <w:tabs>
          <w:tab w:pos="2232" w:val="left" w:leader="none"/>
        </w:tabs>
        <w:spacing w:line="229" w:lineRule="exact"/>
        <w:ind w:left="985"/>
      </w:pPr>
      <w:r>
        <w:rPr/>
        <w:t>Figure</w:t>
      </w:r>
      <w:r>
        <w:rPr>
          <w:spacing w:val="-2"/>
        </w:rPr>
        <w:t> </w:t>
      </w:r>
      <w:r>
        <w:rPr/>
        <w:t>2.3.1</w:t>
        <w:tab/>
        <w:t>Overview of Approach 3: Direct and repeated assessments of land use from</w:t>
      </w:r>
      <w:r>
        <w:rPr>
          <w:spacing w:val="-11"/>
        </w:rPr>
        <w:t> </w:t>
      </w:r>
      <w:r>
        <w:rPr/>
        <w:t>full</w:t>
      </w:r>
    </w:p>
    <w:p>
      <w:pPr>
        <w:pStyle w:val="BodyText"/>
        <w:tabs>
          <w:tab w:pos="9138" w:val="left" w:leader="dot"/>
        </w:tabs>
        <w:spacing w:line="229" w:lineRule="exact"/>
        <w:ind w:left="2233"/>
      </w:pPr>
      <w:r>
        <w:rPr/>
        <w:t>spatial</w:t>
      </w:r>
      <w:r>
        <w:rPr>
          <w:spacing w:val="-2"/>
        </w:rPr>
        <w:t> </w:t>
      </w:r>
      <w:r>
        <w:rPr/>
        <w:t>coverage</w:t>
        <w:tab/>
        <w:t>2.12</w:t>
      </w:r>
    </w:p>
    <w:p>
      <w:pPr>
        <w:pStyle w:val="BodyText"/>
        <w:tabs>
          <w:tab w:pos="2232" w:val="left" w:leader="none"/>
          <w:tab w:pos="9140" w:val="left" w:leader="dot"/>
        </w:tabs>
        <w:spacing w:before="120"/>
        <w:ind w:left="985"/>
      </w:pPr>
      <w:r>
        <w:rPr/>
        <w:t>Figure</w:t>
      </w:r>
      <w:r>
        <w:rPr>
          <w:spacing w:val="-2"/>
        </w:rPr>
        <w:t> </w:t>
      </w:r>
      <w:r>
        <w:rPr/>
        <w:t>2.3.2</w:t>
        <w:tab/>
        <w:t>Decision tree for use of existing data in the land</w:t>
      </w:r>
      <w:r>
        <w:rPr>
          <w:spacing w:val="-20"/>
        </w:rPr>
        <w:t> </w:t>
      </w:r>
      <w:r>
        <w:rPr/>
        <w:t>area</w:t>
      </w:r>
      <w:r>
        <w:rPr>
          <w:spacing w:val="-1"/>
        </w:rPr>
        <w:t> </w:t>
      </w:r>
      <w:r>
        <w:rPr/>
        <w:t>approaches</w:t>
        <w:tab/>
        <w:t>2.15</w:t>
      </w:r>
    </w:p>
    <w:p>
      <w:pPr>
        <w:pStyle w:val="BodyText"/>
        <w:tabs>
          <w:tab w:pos="2208" w:val="left" w:leader="none"/>
          <w:tab w:pos="9122" w:val="left" w:leader="dot"/>
        </w:tabs>
        <w:spacing w:before="121"/>
        <w:ind w:left="985"/>
      </w:pPr>
      <w:r>
        <w:rPr/>
        <w:t>Figure</w:t>
      </w:r>
      <w:r>
        <w:rPr>
          <w:spacing w:val="-2"/>
        </w:rPr>
        <w:t> </w:t>
      </w:r>
      <w:r>
        <w:rPr/>
        <w:t>2.3.3</w:t>
        <w:tab/>
        <w:t>Decision tree for choosing land area approach for countries with no</w:t>
      </w:r>
      <w:r>
        <w:rPr>
          <w:spacing w:val="-32"/>
        </w:rPr>
        <w:t> </w:t>
      </w:r>
      <w:r>
        <w:rPr/>
        <w:t>existing</w:t>
      </w:r>
      <w:r>
        <w:rPr>
          <w:spacing w:val="-4"/>
        </w:rPr>
        <w:t> </w:t>
      </w:r>
      <w:r>
        <w:rPr/>
        <w:t>data</w:t>
        <w:tab/>
        <w:t>2.16</w:t>
      </w:r>
    </w:p>
    <w:p>
      <w:pPr>
        <w:pStyle w:val="BodyText"/>
        <w:tabs>
          <w:tab w:pos="9142" w:val="left" w:leader="dot"/>
        </w:tabs>
        <w:spacing w:before="120"/>
        <w:ind w:left="985"/>
      </w:pPr>
      <w:r>
        <w:rPr/>
        <w:t>Figure 2A.1.1  Stages in preparation of New Zealand</w:t>
      </w:r>
      <w:r>
        <w:rPr>
          <w:spacing w:val="6"/>
        </w:rPr>
        <w:t> </w:t>
      </w:r>
      <w:r>
        <w:rPr/>
        <w:t>Land-Cover</w:t>
      </w:r>
      <w:r>
        <w:rPr>
          <w:spacing w:val="-2"/>
        </w:rPr>
        <w:t> </w:t>
      </w:r>
      <w:r>
        <w:rPr/>
        <w:t>Databases</w:t>
        <w:tab/>
        <w:t>2.25</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2"/>
        <w:spacing w:before="151"/>
        <w:ind w:left="112" w:right="260" w:firstLine="0"/>
        <w:jc w:val="center"/>
      </w:pPr>
      <w:r>
        <w:rPr/>
        <w:t>Tables</w:t>
      </w:r>
    </w:p>
    <w:p>
      <w:pPr>
        <w:pStyle w:val="BodyText"/>
        <w:spacing w:before="2"/>
        <w:rPr>
          <w:b/>
          <w:sz w:val="41"/>
        </w:rPr>
      </w:pPr>
    </w:p>
    <w:p>
      <w:pPr>
        <w:pStyle w:val="BodyText"/>
        <w:tabs>
          <w:tab w:pos="2232" w:val="left" w:leader="none"/>
          <w:tab w:pos="9239" w:val="left" w:leader="dot"/>
        </w:tabs>
        <w:ind w:left="985"/>
      </w:pPr>
      <w:r>
        <w:rPr/>
        <w:t>Table</w:t>
      </w:r>
      <w:r>
        <w:rPr>
          <w:spacing w:val="-3"/>
        </w:rPr>
        <w:t> </w:t>
      </w:r>
      <w:r>
        <w:rPr/>
        <w:t>2.3.1</w:t>
        <w:tab/>
        <w:t>Example</w:t>
      </w:r>
      <w:r>
        <w:rPr>
          <w:spacing w:val="-6"/>
        </w:rPr>
        <w:t> </w:t>
      </w:r>
      <w:r>
        <w:rPr/>
        <w:t>of</w:t>
      </w:r>
      <w:r>
        <w:rPr>
          <w:spacing w:val="-6"/>
        </w:rPr>
        <w:t> </w:t>
      </w:r>
      <w:r>
        <w:rPr/>
        <w:t>Approach</w:t>
      </w:r>
      <w:r>
        <w:rPr>
          <w:spacing w:val="-7"/>
        </w:rPr>
        <w:t> </w:t>
      </w:r>
      <w:r>
        <w:rPr/>
        <w:t>1:</w:t>
      </w:r>
      <w:r>
        <w:rPr>
          <w:spacing w:val="-6"/>
        </w:rPr>
        <w:t> </w:t>
      </w:r>
      <w:r>
        <w:rPr>
          <w:spacing w:val="-3"/>
        </w:rPr>
        <w:t>Available</w:t>
      </w:r>
      <w:r>
        <w:rPr>
          <w:spacing w:val="-8"/>
        </w:rPr>
        <w:t> </w:t>
      </w:r>
      <w:r>
        <w:rPr>
          <w:spacing w:val="-3"/>
        </w:rPr>
        <w:t>Land-Use</w:t>
      </w:r>
      <w:r>
        <w:rPr>
          <w:spacing w:val="-10"/>
        </w:rPr>
        <w:t> </w:t>
      </w:r>
      <w:r>
        <w:rPr/>
        <w:t>data</w:t>
      </w:r>
      <w:r>
        <w:rPr>
          <w:spacing w:val="-8"/>
        </w:rPr>
        <w:t> </w:t>
      </w:r>
      <w:r>
        <w:rPr/>
        <w:t>with</w:t>
      </w:r>
      <w:r>
        <w:rPr>
          <w:spacing w:val="-12"/>
        </w:rPr>
        <w:t> </w:t>
      </w:r>
      <w:r>
        <w:rPr/>
        <w:t>complete</w:t>
      </w:r>
      <w:r>
        <w:rPr>
          <w:spacing w:val="-9"/>
        </w:rPr>
        <w:t> </w:t>
      </w:r>
      <w:r>
        <w:rPr/>
        <w:t>territorial</w:t>
      </w:r>
      <w:r>
        <w:rPr>
          <w:spacing w:val="-11"/>
        </w:rPr>
        <w:t> </w:t>
      </w:r>
      <w:r>
        <w:rPr/>
        <w:t>coverage</w:t>
        <w:tab/>
        <w:t>2.8</w:t>
      </w:r>
    </w:p>
    <w:p>
      <w:pPr>
        <w:pStyle w:val="BodyText"/>
        <w:tabs>
          <w:tab w:pos="2232" w:val="left" w:leader="none"/>
          <w:tab w:pos="9240" w:val="left" w:leader="dot"/>
        </w:tabs>
        <w:spacing w:before="121"/>
        <w:ind w:left="985"/>
      </w:pPr>
      <w:r>
        <w:rPr/>
        <w:t>Table</w:t>
      </w:r>
      <w:r>
        <w:rPr>
          <w:spacing w:val="-3"/>
        </w:rPr>
        <w:t> </w:t>
      </w:r>
      <w:r>
        <w:rPr/>
        <w:t>2.3.2</w:t>
        <w:tab/>
        <w:t>Illustrative example of sub-division of data for</w:t>
      </w:r>
      <w:r>
        <w:rPr>
          <w:spacing w:val="-18"/>
        </w:rPr>
        <w:t> </w:t>
      </w:r>
      <w:r>
        <w:rPr/>
        <w:t>Approach</w:t>
      </w:r>
      <w:r>
        <w:rPr>
          <w:spacing w:val="-4"/>
        </w:rPr>
        <w:t> </w:t>
      </w:r>
      <w:r>
        <w:rPr/>
        <w:t>1</w:t>
        <w:tab/>
        <w:t>2.9</w:t>
      </w:r>
    </w:p>
    <w:p>
      <w:pPr>
        <w:pStyle w:val="BodyText"/>
        <w:tabs>
          <w:tab w:pos="2233" w:val="left" w:leader="none"/>
        </w:tabs>
        <w:spacing w:line="229" w:lineRule="exact" w:before="120"/>
        <w:ind w:left="985"/>
      </w:pPr>
      <w:r>
        <w:rPr/>
        <w:t>Table</w:t>
      </w:r>
      <w:r>
        <w:rPr>
          <w:spacing w:val="-3"/>
        </w:rPr>
        <w:t> </w:t>
      </w:r>
      <w:r>
        <w:rPr/>
        <w:t>2.3.3</w:t>
        <w:tab/>
        <w:t>Illustrative example of tabulating all transitions for Approach 2</w:t>
      </w:r>
      <w:r>
        <w:rPr>
          <w:spacing w:val="-9"/>
        </w:rPr>
        <w:t> </w:t>
      </w:r>
      <w:r>
        <w:rPr/>
        <w:t>including</w:t>
      </w:r>
    </w:p>
    <w:p>
      <w:pPr>
        <w:pStyle w:val="BodyText"/>
        <w:tabs>
          <w:tab w:pos="9144" w:val="left" w:leader="dot"/>
        </w:tabs>
        <w:spacing w:line="229" w:lineRule="exact"/>
        <w:ind w:left="2233"/>
      </w:pPr>
      <w:r>
        <w:rPr/>
        <w:t>nationally</w:t>
      </w:r>
      <w:r>
        <w:rPr>
          <w:spacing w:val="-7"/>
        </w:rPr>
        <w:t> </w:t>
      </w:r>
      <w:r>
        <w:rPr/>
        <w:t>defined</w:t>
      </w:r>
      <w:r>
        <w:rPr>
          <w:spacing w:val="-3"/>
        </w:rPr>
        <w:t> </w:t>
      </w:r>
      <w:r>
        <w:rPr/>
        <w:t>sub-categories</w:t>
        <w:tab/>
        <w:t>2.10</w:t>
      </w:r>
    </w:p>
    <w:p>
      <w:pPr>
        <w:pStyle w:val="BodyText"/>
        <w:tabs>
          <w:tab w:pos="2232" w:val="left" w:leader="none"/>
          <w:tab w:pos="9138" w:val="left" w:leader="dot"/>
        </w:tabs>
        <w:spacing w:line="364" w:lineRule="auto" w:before="120"/>
        <w:ind w:left="985" w:right="512"/>
      </w:pPr>
      <w:r>
        <w:rPr/>
        <w:t>Table</w:t>
      </w:r>
      <w:r>
        <w:rPr>
          <w:spacing w:val="-3"/>
        </w:rPr>
        <w:t> </w:t>
      </w:r>
      <w:r>
        <w:rPr/>
        <w:t>2.3.4</w:t>
        <w:tab/>
        <w:t>Illustrative example of Approach 2 data in a LUC matrix with category subdivisions. 2.11 Table</w:t>
      </w:r>
      <w:r>
        <w:rPr>
          <w:spacing w:val="-3"/>
        </w:rPr>
        <w:t> </w:t>
      </w:r>
      <w:r>
        <w:rPr/>
        <w:t>2.3.5</w:t>
        <w:tab/>
        <w:t>Simplified land-use change matrix for example</w:t>
      </w:r>
      <w:r>
        <w:rPr>
          <w:spacing w:val="-13"/>
        </w:rPr>
        <w:t> </w:t>
      </w:r>
      <w:r>
        <w:rPr/>
        <w:t>Approach</w:t>
      </w:r>
      <w:r>
        <w:rPr>
          <w:spacing w:val="-4"/>
        </w:rPr>
        <w:t> </w:t>
      </w:r>
      <w:r>
        <w:rPr/>
        <w:t>2</w:t>
        <w:tab/>
        <w:t>2.11</w:t>
      </w:r>
    </w:p>
    <w:p>
      <w:pPr>
        <w:pStyle w:val="BodyText"/>
        <w:tabs>
          <w:tab w:pos="2232" w:val="left" w:leader="none"/>
          <w:tab w:pos="9140" w:val="left" w:leader="dot"/>
        </w:tabs>
        <w:spacing w:before="2"/>
        <w:ind w:left="985"/>
      </w:pPr>
      <w:r>
        <w:rPr/>
        <w:t>Table</w:t>
      </w:r>
      <w:r>
        <w:rPr>
          <w:spacing w:val="-3"/>
        </w:rPr>
        <w:t> </w:t>
      </w:r>
      <w:r>
        <w:rPr/>
        <w:t>2.3.6</w:t>
        <w:tab/>
        <w:t>Summary of uncertainties under Approaches 1</w:t>
      </w:r>
      <w:r>
        <w:rPr>
          <w:spacing w:val="-15"/>
        </w:rPr>
        <w:t> </w:t>
      </w:r>
      <w:r>
        <w:rPr/>
        <w:t>to</w:t>
      </w:r>
      <w:r>
        <w:rPr>
          <w:spacing w:val="-2"/>
        </w:rPr>
        <w:t> </w:t>
      </w:r>
      <w:r>
        <w:rPr/>
        <w:t>3.</w:t>
        <w:tab/>
        <w:t>2.17</w:t>
      </w:r>
    </w:p>
    <w:p>
      <w:pPr>
        <w:pStyle w:val="BodyText"/>
        <w:tabs>
          <w:tab w:pos="9140" w:val="left" w:leader="dot"/>
        </w:tabs>
        <w:spacing w:before="118"/>
        <w:ind w:left="985"/>
      </w:pPr>
      <w:r>
        <w:rPr/>
        <w:t>Table 2A.1.1    Land Use and Land-Use change matrix</w:t>
      </w:r>
      <w:r>
        <w:rPr>
          <w:spacing w:val="-20"/>
        </w:rPr>
        <w:t> </w:t>
      </w:r>
      <w:r>
        <w:rPr/>
        <w:t>for</w:t>
      </w:r>
      <w:r>
        <w:rPr>
          <w:spacing w:val="-2"/>
        </w:rPr>
        <w:t> </w:t>
      </w:r>
      <w:r>
        <w:rPr/>
        <w:t>USA</w:t>
        <w:tab/>
        <w:t>2.23</w:t>
      </w:r>
    </w:p>
    <w:p>
      <w:pPr>
        <w:pStyle w:val="BodyText"/>
        <w:tabs>
          <w:tab w:pos="9140" w:val="left" w:leader="dot"/>
        </w:tabs>
        <w:spacing w:before="120"/>
        <w:ind w:left="985"/>
      </w:pPr>
      <w:r>
        <w:rPr/>
        <w:t>Table 2A.1.2    Land-Use change matrix for Scotland between 1984</w:t>
      </w:r>
      <w:r>
        <w:rPr>
          <w:spacing w:val="-34"/>
        </w:rPr>
        <w:t> </w:t>
      </w:r>
      <w:r>
        <w:rPr/>
        <w:t>and</w:t>
      </w:r>
      <w:r>
        <w:rPr>
          <w:spacing w:val="-2"/>
        </w:rPr>
        <w:t> </w:t>
      </w:r>
      <w:r>
        <w:rPr/>
        <w:t>1990</w:t>
        <w:tab/>
        <w:t>2.24</w:t>
      </w:r>
    </w:p>
    <w:p>
      <w:pPr>
        <w:spacing w:after="0"/>
        <w:sectPr>
          <w:pgSz w:w="11900" w:h="16840"/>
          <w:pgMar w:header="230" w:footer="408" w:top="560" w:bottom="600" w:left="1000" w:right="860"/>
        </w:sectPr>
      </w:pPr>
    </w:p>
    <w:p>
      <w:pPr>
        <w:pStyle w:val="BodyText"/>
      </w:pPr>
    </w:p>
    <w:p>
      <w:pPr>
        <w:pStyle w:val="BodyText"/>
      </w:pPr>
    </w:p>
    <w:p>
      <w:pPr>
        <w:pStyle w:val="Heading2"/>
        <w:numPr>
          <w:ilvl w:val="1"/>
          <w:numId w:val="15"/>
        </w:numPr>
        <w:tabs>
          <w:tab w:pos="1621" w:val="left" w:leader="none"/>
          <w:tab w:pos="1622" w:val="left" w:leader="none"/>
        </w:tabs>
        <w:spacing w:line="240" w:lineRule="auto" w:before="225" w:after="0"/>
        <w:ind w:left="1621" w:right="0" w:hanging="1202"/>
        <w:jc w:val="left"/>
      </w:pPr>
      <w:r>
        <w:rPr>
          <w:spacing w:val="20"/>
        </w:rPr>
        <w:t>INTRODUCTION</w:t>
      </w:r>
    </w:p>
    <w:p>
      <w:pPr>
        <w:pStyle w:val="BodyText"/>
        <w:spacing w:before="176"/>
        <w:ind w:left="419" w:right="545"/>
        <w:jc w:val="both"/>
      </w:pPr>
      <w:r>
        <w:rPr/>
        <w:t>Information about land area is needed to estimate carbon stocks and emissions and removals of greenhouse gases associated with Land Use, Land-Use Change and Forestry (LULUCF) activities. This chapter seeks to provide guidance on the selection of suitable methods for identifying and representing land areas as consistently as possible in inventory calculations.</w:t>
      </w:r>
    </w:p>
    <w:p>
      <w:pPr>
        <w:pStyle w:val="BodyText"/>
        <w:spacing w:before="119"/>
        <w:ind w:left="419" w:right="543"/>
        <w:jc w:val="both"/>
      </w:pPr>
      <w:r>
        <w:rPr/>
        <w:t>In practice, countries use methods including annual census, periodic surveys and remote sensing to obtain area data. Starting from this position, Chapter 2 provides </w:t>
      </w:r>
      <w:r>
        <w:rPr>
          <w:i/>
        </w:rPr>
        <w:t>good practice guidance </w:t>
      </w:r>
      <w:r>
        <w:rPr/>
        <w:t>on three approaches for representing land area. The approaches are intended to provide the area data specified in Chapters 3 and 4 for estimating and reporting greenhouse gas inventories for different categories of land. The approaches are also intended to make the best use of available data and models, and to reduce, as far as practicable, possible overlaps and omissions in reporting land areas. The approaches described here should minimize the chance that some areas of land appear under more than one activity whilst others are overlooked. The approaches and guidance presented here allow informed decisions on these matters to be made by those preparing greenhouse gas inventories but are not intended to be definitive or exhaustive. </w:t>
      </w:r>
      <w:r>
        <w:rPr>
          <w:i/>
        </w:rPr>
        <w:t>Good practice </w:t>
      </w:r>
      <w:r>
        <w:rPr/>
        <w:t>approaches for representing areas should have the following general characteristics:</w:t>
      </w:r>
    </w:p>
    <w:p>
      <w:pPr>
        <w:pStyle w:val="ListParagraph"/>
        <w:numPr>
          <w:ilvl w:val="0"/>
          <w:numId w:val="2"/>
        </w:numPr>
        <w:tabs>
          <w:tab w:pos="779" w:val="left" w:leader="none"/>
          <w:tab w:pos="780" w:val="left" w:leader="none"/>
        </w:tabs>
        <w:spacing w:line="223" w:lineRule="auto" w:before="143" w:after="0"/>
        <w:ind w:left="776" w:right="546" w:hanging="357"/>
        <w:jc w:val="left"/>
        <w:rPr>
          <w:sz w:val="20"/>
        </w:rPr>
      </w:pPr>
      <w:r>
        <w:rPr>
          <w:sz w:val="20"/>
        </w:rPr>
        <w:t>Firstly, the approaches should be </w:t>
      </w:r>
      <w:r>
        <w:rPr>
          <w:i/>
          <w:sz w:val="20"/>
        </w:rPr>
        <w:t>adequate, </w:t>
      </w:r>
      <w:r>
        <w:rPr>
          <w:sz w:val="20"/>
        </w:rPr>
        <w:t>i.e., capable of representing carbon stock changes and greenhouse</w:t>
      </w:r>
      <w:r>
        <w:rPr>
          <w:spacing w:val="-2"/>
          <w:sz w:val="20"/>
        </w:rPr>
        <w:t> </w:t>
      </w:r>
      <w:r>
        <w:rPr>
          <w:sz w:val="20"/>
        </w:rPr>
        <w:t>gas</w:t>
      </w:r>
      <w:r>
        <w:rPr>
          <w:spacing w:val="-4"/>
          <w:sz w:val="20"/>
        </w:rPr>
        <w:t> </w:t>
      </w:r>
      <w:r>
        <w:rPr>
          <w:sz w:val="20"/>
        </w:rPr>
        <w:t>emissions</w:t>
      </w:r>
      <w:r>
        <w:rPr>
          <w:spacing w:val="-4"/>
          <w:sz w:val="20"/>
        </w:rPr>
        <w:t> </w:t>
      </w:r>
      <w:r>
        <w:rPr>
          <w:sz w:val="20"/>
        </w:rPr>
        <w:t>and</w:t>
      </w:r>
      <w:r>
        <w:rPr>
          <w:spacing w:val="-3"/>
          <w:sz w:val="20"/>
        </w:rPr>
        <w:t> </w:t>
      </w:r>
      <w:r>
        <w:rPr>
          <w:sz w:val="20"/>
        </w:rPr>
        <w:t>removals</w:t>
      </w:r>
      <w:r>
        <w:rPr>
          <w:spacing w:val="-4"/>
          <w:sz w:val="20"/>
        </w:rPr>
        <w:t> </w:t>
      </w:r>
      <w:r>
        <w:rPr>
          <w:sz w:val="20"/>
        </w:rPr>
        <w:t>and</w:t>
      </w:r>
      <w:r>
        <w:rPr>
          <w:spacing w:val="-2"/>
          <w:sz w:val="20"/>
        </w:rPr>
        <w:t> </w:t>
      </w:r>
      <w:r>
        <w:rPr>
          <w:sz w:val="20"/>
        </w:rPr>
        <w:t>the</w:t>
      </w:r>
      <w:r>
        <w:rPr>
          <w:spacing w:val="-2"/>
          <w:sz w:val="20"/>
        </w:rPr>
        <w:t> </w:t>
      </w:r>
      <w:r>
        <w:rPr>
          <w:sz w:val="20"/>
        </w:rPr>
        <w:t>relations</w:t>
      </w:r>
      <w:r>
        <w:rPr>
          <w:spacing w:val="-4"/>
          <w:sz w:val="20"/>
        </w:rPr>
        <w:t> </w:t>
      </w:r>
      <w:r>
        <w:rPr>
          <w:sz w:val="20"/>
        </w:rPr>
        <w:t>between</w:t>
      </w:r>
      <w:r>
        <w:rPr>
          <w:spacing w:val="-4"/>
          <w:sz w:val="20"/>
        </w:rPr>
        <w:t> </w:t>
      </w:r>
      <w:r>
        <w:rPr>
          <w:sz w:val="20"/>
        </w:rPr>
        <w:t>these</w:t>
      </w:r>
      <w:r>
        <w:rPr>
          <w:spacing w:val="-2"/>
          <w:sz w:val="20"/>
        </w:rPr>
        <w:t> </w:t>
      </w:r>
      <w:r>
        <w:rPr>
          <w:sz w:val="20"/>
        </w:rPr>
        <w:t>and</w:t>
      </w:r>
      <w:r>
        <w:rPr>
          <w:spacing w:val="-3"/>
          <w:sz w:val="20"/>
        </w:rPr>
        <w:t> </w:t>
      </w:r>
      <w:r>
        <w:rPr>
          <w:sz w:val="20"/>
        </w:rPr>
        <w:t>land</w:t>
      </w:r>
      <w:r>
        <w:rPr>
          <w:spacing w:val="-1"/>
          <w:sz w:val="20"/>
        </w:rPr>
        <w:t> </w:t>
      </w:r>
      <w:r>
        <w:rPr>
          <w:sz w:val="20"/>
        </w:rPr>
        <w:t>use</w:t>
      </w:r>
      <w:r>
        <w:rPr>
          <w:spacing w:val="-2"/>
          <w:sz w:val="20"/>
        </w:rPr>
        <w:t> </w:t>
      </w:r>
      <w:r>
        <w:rPr>
          <w:sz w:val="20"/>
        </w:rPr>
        <w:t>and</w:t>
      </w:r>
      <w:r>
        <w:rPr>
          <w:spacing w:val="-3"/>
          <w:sz w:val="20"/>
        </w:rPr>
        <w:t> </w:t>
      </w:r>
      <w:r>
        <w:rPr>
          <w:sz w:val="20"/>
        </w:rPr>
        <w:t>land-use</w:t>
      </w:r>
      <w:r>
        <w:rPr>
          <w:spacing w:val="-3"/>
          <w:sz w:val="20"/>
        </w:rPr>
        <w:t> </w:t>
      </w:r>
      <w:r>
        <w:rPr>
          <w:sz w:val="20"/>
        </w:rPr>
        <w:t>changes.</w:t>
      </w:r>
    </w:p>
    <w:p>
      <w:pPr>
        <w:pStyle w:val="ListParagraph"/>
        <w:numPr>
          <w:ilvl w:val="0"/>
          <w:numId w:val="2"/>
        </w:numPr>
        <w:tabs>
          <w:tab w:pos="780" w:val="left" w:leader="none"/>
        </w:tabs>
        <w:spacing w:line="235" w:lineRule="auto" w:before="143" w:after="0"/>
        <w:ind w:left="776" w:right="545" w:hanging="357"/>
        <w:jc w:val="both"/>
        <w:rPr>
          <w:sz w:val="20"/>
        </w:rPr>
      </w:pPr>
      <w:r>
        <w:rPr>
          <w:sz w:val="20"/>
        </w:rPr>
        <w:t>Secondly, they should be </w:t>
      </w:r>
      <w:r>
        <w:rPr>
          <w:i/>
          <w:sz w:val="20"/>
        </w:rPr>
        <w:t>consistent, </w:t>
      </w:r>
      <w:r>
        <w:rPr>
          <w:sz w:val="20"/>
        </w:rPr>
        <w:t>i.e., capable of representing management and land-use change consistently over time, without being unduly affected either by artificial discontinuities in time series data or by effects due to interference of sampling data with rotational or cyclical patterns of land use (e.g., the harvest-regrowth cycle in forestry, or managed cycles of tillage intensity in</w:t>
      </w:r>
      <w:r>
        <w:rPr>
          <w:spacing w:val="-10"/>
          <w:sz w:val="20"/>
        </w:rPr>
        <w:t> </w:t>
      </w:r>
      <w:r>
        <w:rPr>
          <w:sz w:val="20"/>
        </w:rPr>
        <w:t>cropland).</w:t>
      </w:r>
    </w:p>
    <w:p>
      <w:pPr>
        <w:pStyle w:val="ListParagraph"/>
        <w:numPr>
          <w:ilvl w:val="0"/>
          <w:numId w:val="2"/>
        </w:numPr>
        <w:tabs>
          <w:tab w:pos="780" w:val="left" w:leader="none"/>
        </w:tabs>
        <w:spacing w:line="235" w:lineRule="auto" w:before="135" w:after="0"/>
        <w:ind w:left="776" w:right="546" w:hanging="357"/>
        <w:jc w:val="both"/>
        <w:rPr>
          <w:sz w:val="20"/>
        </w:rPr>
      </w:pPr>
      <w:r>
        <w:rPr>
          <w:sz w:val="20"/>
        </w:rPr>
        <w:t>Thirdly, the approaches should be </w:t>
      </w:r>
      <w:r>
        <w:rPr>
          <w:i/>
          <w:sz w:val="20"/>
        </w:rPr>
        <w:t>complete</w:t>
      </w:r>
      <w:r>
        <w:rPr>
          <w:sz w:val="20"/>
        </w:rPr>
        <w:t>, which means that all land area within a country should be included, with increases in some areas balanced by decreases in others where this occurs in reality, and should recognise subsets of land used for estimation and reporting according to definitions agreed in the Marrakesh Accords for Parties to the Kyoto</w:t>
      </w:r>
      <w:r>
        <w:rPr>
          <w:spacing w:val="2"/>
          <w:sz w:val="20"/>
        </w:rPr>
        <w:t> </w:t>
      </w:r>
      <w:r>
        <w:rPr>
          <w:sz w:val="20"/>
        </w:rPr>
        <w:t>Protocol.</w:t>
      </w:r>
    </w:p>
    <w:p>
      <w:pPr>
        <w:pStyle w:val="ListParagraph"/>
        <w:numPr>
          <w:ilvl w:val="0"/>
          <w:numId w:val="2"/>
        </w:numPr>
        <w:tabs>
          <w:tab w:pos="779" w:val="left" w:leader="none"/>
          <w:tab w:pos="780" w:val="left" w:leader="none"/>
        </w:tabs>
        <w:spacing w:line="223" w:lineRule="auto" w:before="144" w:after="0"/>
        <w:ind w:left="776" w:right="548" w:hanging="357"/>
        <w:jc w:val="left"/>
        <w:rPr>
          <w:sz w:val="20"/>
        </w:rPr>
      </w:pPr>
      <w:r>
        <w:rPr>
          <w:sz w:val="20"/>
        </w:rPr>
        <w:t>Finally, the approaches should be </w:t>
      </w:r>
      <w:r>
        <w:rPr>
          <w:i/>
          <w:sz w:val="20"/>
        </w:rPr>
        <w:t>transparent</w:t>
      </w:r>
      <w:r>
        <w:rPr>
          <w:sz w:val="20"/>
        </w:rPr>
        <w:t>, i.e., data sources, definitions, methodologies and assumptions should be clearly</w:t>
      </w:r>
      <w:r>
        <w:rPr>
          <w:spacing w:val="-3"/>
          <w:sz w:val="20"/>
        </w:rPr>
        <w:t> </w:t>
      </w:r>
      <w:r>
        <w:rPr>
          <w:sz w:val="20"/>
        </w:rPr>
        <w:t>described.</w:t>
      </w:r>
    </w:p>
    <w:p>
      <w:pPr>
        <w:pStyle w:val="BodyText"/>
        <w:rPr>
          <w:sz w:val="32"/>
        </w:rPr>
      </w:pPr>
    </w:p>
    <w:p>
      <w:pPr>
        <w:pStyle w:val="Heading2"/>
        <w:numPr>
          <w:ilvl w:val="1"/>
          <w:numId w:val="15"/>
        </w:numPr>
        <w:tabs>
          <w:tab w:pos="1621" w:val="left" w:leader="none"/>
          <w:tab w:pos="1622" w:val="left" w:leader="none"/>
        </w:tabs>
        <w:spacing w:line="240" w:lineRule="auto" w:before="0" w:after="0"/>
        <w:ind w:left="1621" w:right="0" w:hanging="1202"/>
        <w:jc w:val="left"/>
      </w:pPr>
      <w:r>
        <w:rPr>
          <w:spacing w:val="17"/>
        </w:rPr>
        <w:t>LAND-USE</w:t>
      </w:r>
      <w:r>
        <w:rPr>
          <w:spacing w:val="38"/>
        </w:rPr>
        <w:t> </w:t>
      </w:r>
      <w:r>
        <w:rPr>
          <w:spacing w:val="18"/>
        </w:rPr>
        <w:t>CATEGORIES</w:t>
      </w:r>
    </w:p>
    <w:p>
      <w:pPr>
        <w:pStyle w:val="BodyText"/>
        <w:spacing w:before="174"/>
        <w:ind w:left="419" w:right="544"/>
        <w:jc w:val="both"/>
      </w:pPr>
      <w:r>
        <w:rPr/>
        <w:t>Six broad categories</w:t>
      </w:r>
      <w:r>
        <w:rPr>
          <w:vertAlign w:val="superscript"/>
        </w:rPr>
        <w:t>1</w:t>
      </w:r>
      <w:r>
        <w:rPr>
          <w:vertAlign w:val="baseline"/>
        </w:rPr>
        <w:t> of land are described in this section. These may be considered as top-level categories for representing land areas within a country. The categories are consistent with the </w:t>
      </w:r>
      <w:r>
        <w:rPr>
          <w:i/>
          <w:vertAlign w:val="baseline"/>
        </w:rPr>
        <w:t>IPCC Guidelines </w:t>
      </w:r>
      <w:r>
        <w:rPr>
          <w:vertAlign w:val="baseline"/>
        </w:rPr>
        <w:t>and the requirements of Articles 3.3 and 3.4 of the Kyoto Protocol, and may be further subdivided as described in Chapters 3 and 4 of this report. The categories are broad enough to classify all land areas in most countries and to accommodate differences in national classification systems. These national classification systems should be used consistently over time. The categories are intended for use in conjunction with the approaches described in subsequent sections of this chapter to facilitate consistent estimation of land use over time. This does not imply that carbon stock changes or greenhouse gas emissions and removals need be estimated or reported for areas where this is not required by the </w:t>
      </w:r>
      <w:r>
        <w:rPr>
          <w:i/>
          <w:vertAlign w:val="baseline"/>
        </w:rPr>
        <w:t>IPCC Guidelines </w:t>
      </w:r>
      <w:r>
        <w:rPr>
          <w:vertAlign w:val="baseline"/>
        </w:rPr>
        <w:t>or for some countries, the Marrakesh</w:t>
      </w:r>
      <w:r>
        <w:rPr>
          <w:spacing w:val="-13"/>
          <w:vertAlign w:val="baseline"/>
        </w:rPr>
        <w:t> </w:t>
      </w:r>
      <w:r>
        <w:rPr>
          <w:vertAlign w:val="baseline"/>
        </w:rPr>
        <w:t>Accords</w:t>
      </w:r>
      <w:r>
        <w:rPr>
          <w:vertAlign w:val="superscript"/>
        </w:rPr>
        <w:t>2</w:t>
      </w:r>
      <w:r>
        <w:rPr>
          <w:vertAlign w:val="baseline"/>
        </w:rPr>
        <w:t>.</w:t>
      </w:r>
    </w:p>
    <w:p>
      <w:pPr>
        <w:pStyle w:val="BodyText"/>
        <w:spacing w:before="119"/>
        <w:ind w:left="419" w:right="544"/>
        <w:jc w:val="both"/>
      </w:pPr>
      <w:r>
        <w:rPr/>
        <w:t>It is recognized that the names of these land categories are a mixture of land cover (e.g., Forest land, Grassland, Wetlands) and land use (e.g., Cropland, Settlements) classes. For convenience, they are here referred to as land- use categories. These particular categories have been selected because they are:</w:t>
      </w:r>
    </w:p>
    <w:p>
      <w:pPr>
        <w:pStyle w:val="ListParagraph"/>
        <w:numPr>
          <w:ilvl w:val="0"/>
          <w:numId w:val="2"/>
        </w:numPr>
        <w:tabs>
          <w:tab w:pos="780" w:val="left" w:leader="none"/>
        </w:tabs>
        <w:spacing w:line="240" w:lineRule="auto" w:before="133" w:after="0"/>
        <w:ind w:left="779" w:right="0" w:hanging="360"/>
        <w:jc w:val="both"/>
        <w:rPr>
          <w:i/>
          <w:sz w:val="20"/>
        </w:rPr>
      </w:pPr>
      <w:r>
        <w:rPr>
          <w:sz w:val="20"/>
        </w:rPr>
        <w:t>Reasonably consistent with the </w:t>
      </w:r>
      <w:r>
        <w:rPr>
          <w:i/>
          <w:sz w:val="20"/>
        </w:rPr>
        <w:t>IPCC</w:t>
      </w:r>
      <w:r>
        <w:rPr>
          <w:i/>
          <w:spacing w:val="-1"/>
          <w:sz w:val="20"/>
        </w:rPr>
        <w:t> </w:t>
      </w:r>
      <w:r>
        <w:rPr>
          <w:i/>
          <w:sz w:val="20"/>
        </w:rPr>
        <w:t>Guidelines;</w:t>
      </w:r>
    </w:p>
    <w:p>
      <w:pPr>
        <w:pStyle w:val="ListParagraph"/>
        <w:numPr>
          <w:ilvl w:val="0"/>
          <w:numId w:val="2"/>
        </w:numPr>
        <w:tabs>
          <w:tab w:pos="780" w:val="left" w:leader="none"/>
        </w:tabs>
        <w:spacing w:line="240" w:lineRule="auto" w:before="118" w:after="0"/>
        <w:ind w:left="779" w:right="0" w:hanging="360"/>
        <w:jc w:val="both"/>
        <w:rPr>
          <w:sz w:val="20"/>
        </w:rPr>
      </w:pPr>
      <w:r>
        <w:rPr>
          <w:sz w:val="20"/>
        </w:rPr>
        <w:t>Robust as a basis for carbon</w:t>
      </w:r>
      <w:r>
        <w:rPr>
          <w:spacing w:val="-2"/>
          <w:sz w:val="20"/>
        </w:rPr>
        <w:t> </w:t>
      </w:r>
      <w:r>
        <w:rPr>
          <w:sz w:val="20"/>
        </w:rPr>
        <w:t>estimation;</w:t>
      </w:r>
    </w:p>
    <w:p>
      <w:pPr>
        <w:pStyle w:val="ListParagraph"/>
        <w:numPr>
          <w:ilvl w:val="0"/>
          <w:numId w:val="2"/>
        </w:numPr>
        <w:tabs>
          <w:tab w:pos="780" w:val="left" w:leader="none"/>
        </w:tabs>
        <w:spacing w:line="240" w:lineRule="auto" w:before="119" w:after="0"/>
        <w:ind w:left="779" w:right="0" w:hanging="360"/>
        <w:jc w:val="both"/>
        <w:rPr>
          <w:sz w:val="20"/>
        </w:rPr>
      </w:pPr>
      <w:r>
        <w:rPr>
          <w:sz w:val="20"/>
        </w:rPr>
        <w:t>Reasonably mappable by remote sensing methods;</w:t>
      </w:r>
      <w:r>
        <w:rPr>
          <w:spacing w:val="-3"/>
          <w:sz w:val="20"/>
        </w:rPr>
        <w:t> </w:t>
      </w:r>
      <w:r>
        <w:rPr>
          <w:sz w:val="20"/>
        </w:rPr>
        <w:t>and</w:t>
      </w:r>
    </w:p>
    <w:p>
      <w:pPr>
        <w:pStyle w:val="BodyText"/>
        <w:spacing w:before="7"/>
        <w:rPr>
          <w:sz w:val="12"/>
        </w:rPr>
      </w:pPr>
      <w:r>
        <w:rPr/>
        <w:pict>
          <v:line style="position:absolute;mso-position-horizontal-relative:page;mso-position-vertical-relative:paragraph;z-index:-88;mso-wrap-distance-left:0;mso-wrap-distance-right:0" from="70.960999pt,9.494883pt" to="214.960999pt,9.494883pt" stroked="true" strokeweight=".48pt" strokecolor="#000000">
            <v:stroke dashstyle="solid"/>
            <w10:wrap type="topAndBottom"/>
          </v:line>
        </w:pict>
      </w:r>
    </w:p>
    <w:p>
      <w:pPr>
        <w:spacing w:before="153"/>
        <w:ind w:left="577" w:right="544" w:hanging="159"/>
        <w:jc w:val="both"/>
        <w:rPr>
          <w:sz w:val="18"/>
        </w:rPr>
      </w:pPr>
      <w:r>
        <w:rPr>
          <w:position w:val="8"/>
          <w:sz w:val="12"/>
        </w:rPr>
        <w:t>1 </w:t>
      </w:r>
      <w:r>
        <w:rPr>
          <w:sz w:val="18"/>
        </w:rPr>
        <w:t>The basic categories are generally consistent with on-going work on harmonizing forest-related definitions by Food and Agriculture Organisation (FAO), IPCC, International Union of Forestry Research Organizations (IUFRO) and Centre for International Forestry Research (CIFOR) (FAO 2002), with definitions for forestry and other land use types by the United States Geological Survey (USGS (2001)), FAO (1986, 1995) described by IPCC (2000), and with the definitions adopted for land use under the Kyoto Protocol and Marrakesh Accords (FCCC/CP/2001/13/Add.1, p58).</w:t>
      </w:r>
    </w:p>
    <w:p>
      <w:pPr>
        <w:spacing w:before="117"/>
        <w:ind w:left="577" w:right="547" w:hanging="159"/>
        <w:jc w:val="both"/>
        <w:rPr>
          <w:sz w:val="18"/>
        </w:rPr>
      </w:pPr>
      <w:r>
        <w:rPr>
          <w:sz w:val="18"/>
        </w:rPr>
        <w:t>2 Carbon stock changes and greenhouse gas emissions on unmanaged land are not reported under the </w:t>
      </w:r>
      <w:r>
        <w:rPr>
          <w:i/>
          <w:sz w:val="18"/>
        </w:rPr>
        <w:t>IPCC Guidelines</w:t>
      </w:r>
      <w:r>
        <w:rPr>
          <w:sz w:val="18"/>
        </w:rPr>
        <w:t>, although reporting is required when unmanaged land is subject to land use conversion.</w:t>
      </w:r>
    </w:p>
    <w:p>
      <w:pPr>
        <w:spacing w:after="0"/>
        <w:jc w:val="both"/>
        <w:rPr>
          <w:sz w:val="18"/>
        </w:rPr>
        <w:sectPr>
          <w:headerReference w:type="default" r:id="rId37"/>
          <w:headerReference w:type="even" r:id="rId38"/>
          <w:pgSz w:w="11900" w:h="16840"/>
          <w:pgMar w:header="230" w:footer="408" w:top="560" w:bottom="600" w:left="1000" w:right="860"/>
        </w:sectPr>
      </w:pPr>
    </w:p>
    <w:p>
      <w:pPr>
        <w:pStyle w:val="BodyText"/>
        <w:spacing w:before="5"/>
        <w:rPr>
          <w:sz w:val="29"/>
        </w:rPr>
      </w:pPr>
    </w:p>
    <w:p>
      <w:pPr>
        <w:pStyle w:val="ListParagraph"/>
        <w:numPr>
          <w:ilvl w:val="0"/>
          <w:numId w:val="2"/>
        </w:numPr>
        <w:tabs>
          <w:tab w:pos="780" w:val="left" w:leader="none"/>
        </w:tabs>
        <w:spacing w:line="240" w:lineRule="auto" w:before="115" w:after="0"/>
        <w:ind w:left="779" w:right="0" w:hanging="360"/>
        <w:jc w:val="both"/>
        <w:rPr>
          <w:sz w:val="20"/>
        </w:rPr>
      </w:pPr>
      <w:r>
        <w:rPr>
          <w:sz w:val="20"/>
        </w:rPr>
        <w:t>Complete in that all land areas should be represented in one or another</w:t>
      </w:r>
      <w:r>
        <w:rPr>
          <w:spacing w:val="-4"/>
          <w:sz w:val="20"/>
        </w:rPr>
        <w:t> </w:t>
      </w:r>
      <w:r>
        <w:rPr>
          <w:sz w:val="20"/>
        </w:rPr>
        <w:t>category.</w:t>
      </w:r>
    </w:p>
    <w:p>
      <w:pPr>
        <w:pStyle w:val="BodyText"/>
        <w:spacing w:before="104"/>
        <w:ind w:left="419" w:right="545"/>
        <w:jc w:val="both"/>
      </w:pPr>
      <w:r>
        <w:rPr/>
        <w:t>Care will be needed in inferring land use from these categories. For example, in some countries significant areas of the forest land category may be grazed, and firewood may be collected from scattered trees in the grassland category lands. These areas with different use may be significant enough for countries to consider them separately in which case it is </w:t>
      </w:r>
      <w:r>
        <w:rPr>
          <w:i/>
        </w:rPr>
        <w:t>good practice </w:t>
      </w:r>
      <w:r>
        <w:rPr/>
        <w:t>to make these additional classes subcategories of the suggested high- level categories and to ensure that all land is accounted for.</w:t>
      </w:r>
    </w:p>
    <w:p>
      <w:pPr>
        <w:pStyle w:val="BodyText"/>
        <w:spacing w:before="120"/>
        <w:ind w:left="419" w:right="543"/>
        <w:jc w:val="both"/>
      </w:pPr>
      <w:r>
        <w:rPr/>
        <w:t>Countries will use their own definitions of these categories, which may, of course, refer to internationally accepted definitions, such as those by FAO, Ramsar, etc. For that reason no definitions are given here beyond broad descriptions. Managed land may be distinguished from that unmanaged by fulfilling not only the production but also ecological and social functions. The detailed definitions and the national approach to distinguishing between unmanaged and managed land should be described in a transparent manner.</w:t>
      </w:r>
    </w:p>
    <w:p>
      <w:pPr>
        <w:pStyle w:val="BodyText"/>
        <w:spacing w:before="119"/>
        <w:ind w:left="419"/>
        <w:jc w:val="both"/>
      </w:pPr>
      <w:r>
        <w:rPr/>
        <w:t>The top-level land categories for greenhouse gas (GHG) inventory reporting are:</w:t>
      </w:r>
    </w:p>
    <w:p>
      <w:pPr>
        <w:numPr>
          <w:ilvl w:val="0"/>
          <w:numId w:val="16"/>
        </w:numPr>
        <w:tabs>
          <w:tab w:pos="660" w:val="left" w:leader="none"/>
        </w:tabs>
        <w:spacing w:before="123"/>
        <w:ind w:left="659" w:right="0" w:hanging="240"/>
        <w:jc w:val="both"/>
        <w:rPr>
          <w:b/>
          <w:sz w:val="20"/>
        </w:rPr>
      </w:pPr>
      <w:r>
        <w:rPr>
          <w:b/>
          <w:sz w:val="20"/>
        </w:rPr>
        <w:t>Forest land</w:t>
      </w:r>
    </w:p>
    <w:p>
      <w:pPr>
        <w:pStyle w:val="BodyText"/>
        <w:spacing w:before="116"/>
        <w:ind w:left="419" w:right="546"/>
        <w:jc w:val="both"/>
      </w:pPr>
      <w:r>
        <w:rPr/>
        <w:t>This category includes all land with woody vegetation consistent with thresholds used to define forest land in the national GHG inventory, sub-divided into managed and unmanaged, and also by ecosystem type as specified in the </w:t>
      </w:r>
      <w:r>
        <w:rPr>
          <w:i/>
        </w:rPr>
        <w:t>IPCC Guidelines</w:t>
      </w:r>
      <w:r>
        <w:rPr>
          <w:vertAlign w:val="superscript"/>
        </w:rPr>
        <w:t>3</w:t>
      </w:r>
      <w:r>
        <w:rPr>
          <w:vertAlign w:val="baseline"/>
        </w:rPr>
        <w:t>. It also includes systems with vegetation that currently fall below, but are expected to exceed, the threshold of the forest land category.</w:t>
      </w:r>
    </w:p>
    <w:p>
      <w:pPr>
        <w:numPr>
          <w:ilvl w:val="0"/>
          <w:numId w:val="16"/>
        </w:numPr>
        <w:tabs>
          <w:tab w:pos="714" w:val="left" w:leader="none"/>
        </w:tabs>
        <w:spacing w:before="124"/>
        <w:ind w:left="713" w:right="0" w:hanging="294"/>
        <w:jc w:val="both"/>
        <w:rPr>
          <w:b/>
          <w:sz w:val="20"/>
        </w:rPr>
      </w:pPr>
      <w:r>
        <w:rPr>
          <w:b/>
          <w:sz w:val="20"/>
        </w:rPr>
        <w:t>Cropland</w:t>
      </w:r>
    </w:p>
    <w:p>
      <w:pPr>
        <w:pStyle w:val="BodyText"/>
        <w:spacing w:before="115"/>
        <w:ind w:left="419" w:right="547"/>
        <w:jc w:val="both"/>
      </w:pPr>
      <w:r>
        <w:rPr/>
        <w:t>This category includes arable and tillage land, and agro-forestry systems where vegetation falls below the thresholds used for the forest land category, consistent with the selection of national definitions.</w:t>
      </w:r>
    </w:p>
    <w:p>
      <w:pPr>
        <w:numPr>
          <w:ilvl w:val="0"/>
          <w:numId w:val="16"/>
        </w:numPr>
        <w:tabs>
          <w:tab w:pos="769" w:val="left" w:leader="none"/>
        </w:tabs>
        <w:spacing w:before="124"/>
        <w:ind w:left="768" w:right="0" w:hanging="349"/>
        <w:jc w:val="both"/>
        <w:rPr>
          <w:b/>
          <w:sz w:val="20"/>
        </w:rPr>
      </w:pPr>
      <w:r>
        <w:rPr>
          <w:b/>
          <w:sz w:val="20"/>
        </w:rPr>
        <w:t>Grassland</w:t>
      </w:r>
    </w:p>
    <w:p>
      <w:pPr>
        <w:pStyle w:val="BodyText"/>
        <w:spacing w:before="115"/>
        <w:ind w:left="419" w:right="545"/>
        <w:jc w:val="both"/>
      </w:pPr>
      <w:r>
        <w:rPr/>
        <w:t>This category includes rangelands and pasture land that is not considered as cropland. It also includes systems with vegetation that fall below the threshold used in the forest land category and are not expected to exceed, without human intervention, the threshold used in the forest land category. The category also includes all grassland from wild lands to recreational areas as well as agricultural and silvi-pastural systems, subdivided into managed and unmanaged consistent with national definitions.</w:t>
      </w:r>
    </w:p>
    <w:p>
      <w:pPr>
        <w:numPr>
          <w:ilvl w:val="0"/>
          <w:numId w:val="16"/>
        </w:numPr>
        <w:tabs>
          <w:tab w:pos="760" w:val="left" w:leader="none"/>
        </w:tabs>
        <w:spacing w:before="125"/>
        <w:ind w:left="759" w:right="0" w:hanging="340"/>
        <w:jc w:val="both"/>
        <w:rPr>
          <w:b/>
          <w:sz w:val="20"/>
        </w:rPr>
      </w:pPr>
      <w:r>
        <w:rPr>
          <w:b/>
          <w:sz w:val="20"/>
        </w:rPr>
        <w:t>Wetlands</w:t>
      </w:r>
    </w:p>
    <w:p>
      <w:pPr>
        <w:pStyle w:val="BodyText"/>
        <w:spacing w:before="115"/>
        <w:ind w:left="419" w:right="542"/>
        <w:jc w:val="both"/>
      </w:pPr>
      <w:r>
        <w:rPr/>
        <w:t>This category includes land that is covered or saturated by water for all or part of the year (e.g., peatland) and that does not fall into the forest land, cropland, grassland or settlements categories. The category can be subdivided into managed and unmanaged according to national definitions. It includes reservoirs as a managed sub-division and natural rivers and lakes as unmanaged</w:t>
      </w:r>
      <w:r>
        <w:rPr>
          <w:spacing w:val="-4"/>
        </w:rPr>
        <w:t> </w:t>
      </w:r>
      <w:r>
        <w:rPr/>
        <w:t>sub-divisions.</w:t>
      </w:r>
    </w:p>
    <w:p>
      <w:pPr>
        <w:numPr>
          <w:ilvl w:val="0"/>
          <w:numId w:val="16"/>
        </w:numPr>
        <w:tabs>
          <w:tab w:pos="704" w:val="left" w:leader="none"/>
        </w:tabs>
        <w:spacing w:before="124"/>
        <w:ind w:left="703" w:right="0" w:hanging="284"/>
        <w:jc w:val="both"/>
        <w:rPr>
          <w:b/>
          <w:sz w:val="20"/>
        </w:rPr>
      </w:pPr>
      <w:r>
        <w:rPr>
          <w:b/>
          <w:sz w:val="20"/>
        </w:rPr>
        <w:t>Settlements</w:t>
      </w:r>
    </w:p>
    <w:p>
      <w:pPr>
        <w:pStyle w:val="BodyText"/>
        <w:spacing w:before="114"/>
        <w:ind w:left="419" w:right="544"/>
        <w:jc w:val="both"/>
      </w:pPr>
      <w:r>
        <w:rPr/>
        <w:t>This category includes all developed land, including transportation infrastructure and human settlements of any size, unless they are already included under other categories. This should be consistent with the selection of national definitions.</w:t>
      </w:r>
    </w:p>
    <w:p>
      <w:pPr>
        <w:numPr>
          <w:ilvl w:val="0"/>
          <w:numId w:val="16"/>
        </w:numPr>
        <w:tabs>
          <w:tab w:pos="760" w:val="left" w:leader="none"/>
        </w:tabs>
        <w:spacing w:before="121"/>
        <w:ind w:left="759" w:right="0" w:hanging="340"/>
        <w:jc w:val="both"/>
        <w:rPr>
          <w:sz w:val="20"/>
        </w:rPr>
      </w:pPr>
      <w:r>
        <w:rPr>
          <w:b/>
          <w:sz w:val="20"/>
        </w:rPr>
        <w:t>Other land</w:t>
      </w:r>
      <w:r>
        <w:rPr>
          <w:b/>
          <w:spacing w:val="5"/>
          <w:sz w:val="20"/>
        </w:rPr>
        <w:t> </w:t>
      </w:r>
      <w:r>
        <w:rPr>
          <w:sz w:val="20"/>
          <w:vertAlign w:val="superscript"/>
        </w:rPr>
        <w:t>4</w:t>
      </w:r>
    </w:p>
    <w:p>
      <w:pPr>
        <w:pStyle w:val="BodyText"/>
        <w:spacing w:before="118"/>
        <w:ind w:left="419" w:right="546"/>
        <w:jc w:val="both"/>
      </w:pPr>
      <w:r>
        <w:rPr/>
        <w:t>This category includes bare soil, rock, ice, and all unmanaged land areas that do not fall into any of the other five categories. It allows the total of identified land areas to match the national area, where data are available.</w:t>
      </w:r>
    </w:p>
    <w:p>
      <w:pPr>
        <w:pStyle w:val="BodyText"/>
        <w:spacing w:before="121"/>
        <w:ind w:left="419" w:right="544"/>
        <w:jc w:val="both"/>
      </w:pPr>
      <w:r>
        <w:rPr/>
        <w:t>When applying these categories, inventory agencies should classify land under only one category to prevent double counting. If a country's land classification system does not match categories (i) to (vi) as described above, it is </w:t>
      </w:r>
      <w:r>
        <w:rPr>
          <w:i/>
        </w:rPr>
        <w:t>good practice </w:t>
      </w:r>
      <w:r>
        <w:rPr/>
        <w:t>to combine or disaggregate the existing land classes of this system of land-use classification in order to use the categories presented here, and to report on the procedure adopted. It is also </w:t>
      </w:r>
      <w:r>
        <w:rPr>
          <w:i/>
        </w:rPr>
        <w:t>good practice </w:t>
      </w:r>
      <w:r>
        <w:rPr/>
        <w:t>to specify national definitions for all categories used in the inventory and report any threshold or parameter values used in the definitions. Where national land classification systems are being changed or developed for the first time, it is </w:t>
      </w:r>
      <w:r>
        <w:rPr>
          <w:i/>
        </w:rPr>
        <w:t>good practice </w:t>
      </w:r>
      <w:r>
        <w:rPr/>
        <w:t>to ensure their compatibility with land-use classes (i) to (vi).</w:t>
      </w:r>
    </w:p>
    <w:p>
      <w:pPr>
        <w:pStyle w:val="BodyText"/>
        <w:spacing w:before="118"/>
        <w:ind w:left="419" w:right="544"/>
        <w:jc w:val="both"/>
      </w:pPr>
      <w:r>
        <w:rPr/>
        <w:t>The broad categories listed above provide the framework for the further sub-division by activity, management regime, climatic zone and ecosystem type as necessary to meet the needs of the methods for assessing carbon stock changes and greenhouse gas emissions and removals described in Chapter 3 (LUCF Sector Good Practice</w:t>
      </w:r>
    </w:p>
    <w:p>
      <w:pPr>
        <w:pStyle w:val="BodyText"/>
        <w:spacing w:before="8"/>
        <w:rPr>
          <w:sz w:val="17"/>
        </w:rPr>
      </w:pPr>
      <w:r>
        <w:rPr/>
        <w:pict>
          <v:line style="position:absolute;mso-position-horizontal-relative:page;mso-position-vertical-relative:paragraph;z-index:-64;mso-wrap-distance-left:0;mso-wrap-distance-right:0" from="70.960999pt,12.413095pt" to="214.960999pt,12.413095pt" stroked="true" strokeweight=".48pt" strokecolor="#000000">
            <v:stroke dashstyle="solid"/>
            <w10:wrap type="topAndBottom"/>
          </v:line>
        </w:pict>
      </w:r>
    </w:p>
    <w:p>
      <w:pPr>
        <w:spacing w:before="150"/>
        <w:ind w:left="577" w:right="520" w:hanging="159"/>
        <w:jc w:val="left"/>
        <w:rPr>
          <w:sz w:val="18"/>
        </w:rPr>
      </w:pPr>
      <w:r>
        <w:rPr>
          <w:position w:val="8"/>
          <w:sz w:val="12"/>
        </w:rPr>
        <w:t>3 </w:t>
      </w:r>
      <w:r>
        <w:rPr>
          <w:sz w:val="18"/>
        </w:rPr>
        <w:t>Forest management has particular meaning under the Marrakesh Accords, which may require subdivision of the managed forest as described in Chapter 4.</w:t>
      </w:r>
    </w:p>
    <w:p>
      <w:pPr>
        <w:spacing w:before="98"/>
        <w:ind w:left="419" w:right="0" w:firstLine="0"/>
        <w:jc w:val="left"/>
        <w:rPr>
          <w:sz w:val="18"/>
        </w:rPr>
      </w:pPr>
      <w:r>
        <w:rPr>
          <w:position w:val="8"/>
          <w:sz w:val="12"/>
        </w:rPr>
        <w:t>4 </w:t>
      </w:r>
      <w:r>
        <w:rPr>
          <w:sz w:val="18"/>
        </w:rPr>
        <w:t>Carbon pools would not need to be assessed for this category, but it is included for checking overall consistency of land area.</w:t>
      </w:r>
    </w:p>
    <w:p>
      <w:pPr>
        <w:spacing w:after="0"/>
        <w:jc w:val="left"/>
        <w:rPr>
          <w:sz w:val="18"/>
        </w:rPr>
        <w:sectPr>
          <w:pgSz w:w="11900" w:h="16840"/>
          <w:pgMar w:header="230" w:footer="408" w:top="560" w:bottom="600" w:left="1000" w:right="860"/>
        </w:sectPr>
      </w:pPr>
    </w:p>
    <w:p>
      <w:pPr>
        <w:pStyle w:val="BodyText"/>
      </w:pPr>
    </w:p>
    <w:p>
      <w:pPr>
        <w:pStyle w:val="BodyText"/>
        <w:spacing w:before="2"/>
        <w:rPr>
          <w:sz w:val="18"/>
        </w:rPr>
      </w:pPr>
    </w:p>
    <w:p>
      <w:pPr>
        <w:pStyle w:val="BodyText"/>
        <w:ind w:left="419" w:right="415"/>
      </w:pPr>
      <w:r>
        <w:rPr/>
        <w:t>Guidance) and Chapter 4 (Supplementary Methods and Good Practice Guidance arising from the Kyoto Protocol) and allows comparison with </w:t>
      </w:r>
      <w:r>
        <w:rPr>
          <w:i/>
        </w:rPr>
        <w:t>IPCC Guidelines </w:t>
      </w:r>
      <w:r>
        <w:rPr/>
        <w:t>categories 5A to 5E. Section 3.1.2 and Table 3.1.1 (Mapping between the sections of Chapter 5 of the </w:t>
      </w:r>
      <w:r>
        <w:rPr>
          <w:i/>
        </w:rPr>
        <w:t>IPCC Guidelines </w:t>
      </w:r>
      <w:r>
        <w:rPr/>
        <w:t>and the sections of Chapter 3 of this report) describe how to relate the structure of methods described in this report to those of the </w:t>
      </w:r>
      <w:r>
        <w:rPr>
          <w:i/>
        </w:rPr>
        <w:t>IPCC Guidelines</w:t>
      </w:r>
      <w:r>
        <w:rPr/>
        <w:t>.</w:t>
      </w:r>
    </w:p>
    <w:p>
      <w:pPr>
        <w:pStyle w:val="BodyText"/>
        <w:spacing w:before="8"/>
        <w:rPr>
          <w:sz w:val="31"/>
        </w:rPr>
      </w:pPr>
    </w:p>
    <w:p>
      <w:pPr>
        <w:pStyle w:val="Heading2"/>
        <w:numPr>
          <w:ilvl w:val="1"/>
          <w:numId w:val="15"/>
        </w:numPr>
        <w:tabs>
          <w:tab w:pos="1621" w:val="left" w:leader="none"/>
          <w:tab w:pos="1622" w:val="left" w:leader="none"/>
        </w:tabs>
        <w:spacing w:line="240" w:lineRule="auto" w:before="0" w:after="0"/>
        <w:ind w:left="1621" w:right="0" w:hanging="1202"/>
        <w:jc w:val="left"/>
      </w:pPr>
      <w:r>
        <w:rPr>
          <w:spacing w:val="18"/>
        </w:rPr>
        <w:t>REPRESENTING </w:t>
      </w:r>
      <w:r>
        <w:rPr>
          <w:spacing w:val="15"/>
        </w:rPr>
        <w:t>LAND</w:t>
      </w:r>
      <w:r>
        <w:rPr>
          <w:spacing w:val="59"/>
        </w:rPr>
        <w:t> </w:t>
      </w:r>
      <w:r>
        <w:rPr>
          <w:spacing w:val="16"/>
        </w:rPr>
        <w:t>AREAS</w:t>
      </w:r>
    </w:p>
    <w:p>
      <w:pPr>
        <w:pStyle w:val="BodyText"/>
        <w:spacing w:before="1"/>
        <w:rPr>
          <w:b/>
          <w:sz w:val="47"/>
        </w:rPr>
      </w:pPr>
    </w:p>
    <w:p>
      <w:pPr>
        <w:pStyle w:val="ListParagraph"/>
        <w:numPr>
          <w:ilvl w:val="2"/>
          <w:numId w:val="15"/>
        </w:numPr>
        <w:tabs>
          <w:tab w:pos="1427" w:val="left" w:leader="none"/>
          <w:tab w:pos="1428" w:val="left" w:leader="none"/>
        </w:tabs>
        <w:spacing w:line="240" w:lineRule="auto" w:before="1" w:after="0"/>
        <w:ind w:left="1427" w:right="0" w:hanging="1008"/>
        <w:jc w:val="left"/>
        <w:rPr>
          <w:b/>
          <w:sz w:val="32"/>
        </w:rPr>
      </w:pPr>
      <w:r>
        <w:rPr>
          <w:b/>
          <w:spacing w:val="8"/>
          <w:sz w:val="32"/>
        </w:rPr>
        <w:t>Introduction</w:t>
      </w:r>
    </w:p>
    <w:p>
      <w:pPr>
        <w:pStyle w:val="BodyText"/>
        <w:spacing w:before="113"/>
        <w:ind w:left="419" w:right="545"/>
        <w:jc w:val="both"/>
      </w:pPr>
      <w:r>
        <w:rPr/>
        <w:t>This section describes three approaches for representing land areas using the broad categories defined in the previous section. They are presented below in order of increasing information content. Approach 1 identifies the total area for each individual land-use category, but does not provide detailed information on changes of area between categories and is not spatially explicit other than at the national or regional level. Approach 2 introduces tracking of land-use changes between categories. Approach 3 extends Approach 2 by allowing land-use changes to be tracked on a spatial basis.</w:t>
      </w:r>
    </w:p>
    <w:p>
      <w:pPr>
        <w:pStyle w:val="BodyText"/>
        <w:spacing w:before="118"/>
        <w:ind w:left="419" w:right="544"/>
        <w:jc w:val="both"/>
      </w:pPr>
      <w:r>
        <w:rPr/>
        <w:t>The approaches are not presented as hierarchical tiers; they are not mutually exclusive, and the mix of approaches selected by an inventory agency should reflect calculation needs and national circumstances. One approach may be applied uniformly to all areas and land-use categories within a country, or different approaches may be applied to different regions or categories or in different time intervals. In all cases, it is </w:t>
      </w:r>
      <w:r>
        <w:rPr>
          <w:i/>
        </w:rPr>
        <w:t>good practice </w:t>
      </w:r>
      <w:r>
        <w:rPr/>
        <w:t>to characterise and account for all relevant land areas in a country. Using </w:t>
      </w:r>
      <w:r>
        <w:rPr>
          <w:i/>
        </w:rPr>
        <w:t>good practice </w:t>
      </w:r>
      <w:r>
        <w:rPr/>
        <w:t>in the application of any of the approaches will increase accuracy and precision in area estimation for inventory purposes. Decision trees to </w:t>
      </w:r>
      <w:r>
        <w:rPr>
          <w:spacing w:val="-3"/>
        </w:rPr>
        <w:t>assist</w:t>
      </w:r>
      <w:r>
        <w:rPr>
          <w:spacing w:val="-13"/>
        </w:rPr>
        <w:t> </w:t>
      </w:r>
      <w:r>
        <w:rPr/>
        <w:t>in</w:t>
      </w:r>
      <w:r>
        <w:rPr>
          <w:spacing w:val="-13"/>
        </w:rPr>
        <w:t> </w:t>
      </w:r>
      <w:r>
        <w:rPr/>
        <w:t>selecting</w:t>
      </w:r>
      <w:r>
        <w:rPr>
          <w:spacing w:val="-13"/>
        </w:rPr>
        <w:t> </w:t>
      </w:r>
      <w:r>
        <w:rPr/>
        <w:t>an</w:t>
      </w:r>
      <w:r>
        <w:rPr>
          <w:spacing w:val="-13"/>
        </w:rPr>
        <w:t> </w:t>
      </w:r>
      <w:r>
        <w:rPr/>
        <w:t>appropriate</w:t>
      </w:r>
      <w:r>
        <w:rPr>
          <w:spacing w:val="-11"/>
        </w:rPr>
        <w:t> </w:t>
      </w:r>
      <w:r>
        <w:rPr/>
        <w:t>approach</w:t>
      </w:r>
      <w:r>
        <w:rPr>
          <w:spacing w:val="-13"/>
        </w:rPr>
        <w:t> </w:t>
      </w:r>
      <w:r>
        <w:rPr/>
        <w:t>or</w:t>
      </w:r>
      <w:r>
        <w:rPr>
          <w:spacing w:val="-10"/>
        </w:rPr>
        <w:t> </w:t>
      </w:r>
      <w:r>
        <w:rPr/>
        <w:t>mix</w:t>
      </w:r>
      <w:r>
        <w:rPr>
          <w:spacing w:val="-13"/>
        </w:rPr>
        <w:t> </w:t>
      </w:r>
      <w:r>
        <w:rPr/>
        <w:t>of</w:t>
      </w:r>
      <w:r>
        <w:rPr>
          <w:spacing w:val="-13"/>
        </w:rPr>
        <w:t> </w:t>
      </w:r>
      <w:r>
        <w:rPr/>
        <w:t>approaches</w:t>
      </w:r>
      <w:r>
        <w:rPr>
          <w:spacing w:val="-13"/>
        </w:rPr>
        <w:t> </w:t>
      </w:r>
      <w:r>
        <w:rPr/>
        <w:t>are</w:t>
      </w:r>
      <w:r>
        <w:rPr>
          <w:spacing w:val="-10"/>
        </w:rPr>
        <w:t> </w:t>
      </w:r>
      <w:r>
        <w:rPr/>
        <w:t>given</w:t>
      </w:r>
      <w:r>
        <w:rPr>
          <w:spacing w:val="-13"/>
        </w:rPr>
        <w:t> </w:t>
      </w:r>
      <w:r>
        <w:rPr/>
        <w:t>in</w:t>
      </w:r>
      <w:r>
        <w:rPr>
          <w:spacing w:val="-11"/>
        </w:rPr>
        <w:t> </w:t>
      </w:r>
      <w:r>
        <w:rPr/>
        <w:t>Section</w:t>
      </w:r>
      <w:r>
        <w:rPr>
          <w:spacing w:val="-13"/>
        </w:rPr>
        <w:t> </w:t>
      </w:r>
      <w:r>
        <w:rPr/>
        <w:t>2.3.3</w:t>
      </w:r>
      <w:r>
        <w:rPr>
          <w:spacing w:val="-12"/>
        </w:rPr>
        <w:t> </w:t>
      </w:r>
      <w:r>
        <w:rPr/>
        <w:t>(Using</w:t>
      </w:r>
      <w:r>
        <w:rPr>
          <w:spacing w:val="-13"/>
        </w:rPr>
        <w:t> </w:t>
      </w:r>
      <w:r>
        <w:rPr/>
        <w:t>the</w:t>
      </w:r>
      <w:r>
        <w:rPr>
          <w:spacing w:val="-10"/>
        </w:rPr>
        <w:t> </w:t>
      </w:r>
      <w:r>
        <w:rPr>
          <w:spacing w:val="-3"/>
        </w:rPr>
        <w:t>Approaches).</w:t>
      </w:r>
    </w:p>
    <w:p>
      <w:pPr>
        <w:pStyle w:val="BodyText"/>
        <w:spacing w:before="121"/>
        <w:ind w:left="419" w:right="545"/>
        <w:jc w:val="both"/>
      </w:pPr>
      <w:r>
        <w:rPr/>
        <w:t>All approaches require collection of data for estimating the historical trends in land use, which are needed for the inventory methods described in the </w:t>
      </w:r>
      <w:r>
        <w:rPr>
          <w:i/>
        </w:rPr>
        <w:t>IPCC Guidelines </w:t>
      </w:r>
      <w:r>
        <w:rPr/>
        <w:t>and Chapters 3 and 4 of this report. The amount of historical data required will be based on the amount of time needed for stored carbon to reach equilibrium (often 20 years in the IPCC default methods, but longer for temperate and boreal systems). Where independent data are available, it is </w:t>
      </w:r>
      <w:r>
        <w:rPr>
          <w:i/>
        </w:rPr>
        <w:t>good practice </w:t>
      </w:r>
      <w:r>
        <w:rPr/>
        <w:t>to verify estimates based on interpolation or extrapolation using the methods set out in Chapter 5, Section 5.7 of this report. All approaches are capable of producing input to uncertainty calculations discussed in Chapter 5 (Cross-cutting</w:t>
      </w:r>
      <w:r>
        <w:rPr>
          <w:spacing w:val="1"/>
        </w:rPr>
        <w:t> </w:t>
      </w:r>
      <w:r>
        <w:rPr/>
        <w:t>Issues).</w:t>
      </w:r>
    </w:p>
    <w:p>
      <w:pPr>
        <w:pStyle w:val="BodyText"/>
        <w:spacing w:before="118"/>
        <w:ind w:left="419" w:right="520"/>
      </w:pPr>
      <w:r>
        <w:rPr/>
        <w:t>A hypothetical example of each approach is provided below along with the description, and real-world examples are provided in Annex 2A.1.</w:t>
      </w:r>
    </w:p>
    <w:p>
      <w:pPr>
        <w:pStyle w:val="BodyText"/>
        <w:rPr>
          <w:sz w:val="22"/>
        </w:rPr>
      </w:pPr>
    </w:p>
    <w:p>
      <w:pPr>
        <w:pStyle w:val="BodyText"/>
        <w:spacing w:before="1"/>
      </w:pPr>
    </w:p>
    <w:p>
      <w:pPr>
        <w:pStyle w:val="Heading2"/>
        <w:numPr>
          <w:ilvl w:val="2"/>
          <w:numId w:val="15"/>
        </w:numPr>
        <w:tabs>
          <w:tab w:pos="1515" w:val="left" w:leader="none"/>
          <w:tab w:pos="1517" w:val="left" w:leader="none"/>
        </w:tabs>
        <w:spacing w:line="240" w:lineRule="auto" w:before="0" w:after="0"/>
        <w:ind w:left="1516" w:right="0" w:hanging="1097"/>
        <w:jc w:val="left"/>
      </w:pPr>
      <w:r>
        <w:rPr>
          <w:spacing w:val="7"/>
        </w:rPr>
        <w:t>Three</w:t>
      </w:r>
      <w:r>
        <w:rPr>
          <w:spacing w:val="19"/>
        </w:rPr>
        <w:t> </w:t>
      </w:r>
      <w:r>
        <w:rPr>
          <w:spacing w:val="9"/>
        </w:rPr>
        <w:t>Approaches</w:t>
      </w:r>
    </w:p>
    <w:p>
      <w:pPr>
        <w:pStyle w:val="BodyText"/>
        <w:spacing w:before="5"/>
        <w:rPr>
          <w:b/>
          <w:sz w:val="34"/>
        </w:rPr>
      </w:pPr>
    </w:p>
    <w:p>
      <w:pPr>
        <w:pStyle w:val="Heading6"/>
        <w:numPr>
          <w:ilvl w:val="3"/>
          <w:numId w:val="15"/>
        </w:numPr>
        <w:tabs>
          <w:tab w:pos="1859" w:val="left" w:leader="none"/>
          <w:tab w:pos="1860" w:val="left" w:leader="none"/>
        </w:tabs>
        <w:spacing w:line="240" w:lineRule="auto" w:before="0" w:after="0"/>
        <w:ind w:left="1859" w:right="0" w:hanging="1440"/>
        <w:jc w:val="left"/>
      </w:pPr>
      <w:r>
        <w:rPr>
          <w:spacing w:val="16"/>
          <w:sz w:val="28"/>
        </w:rPr>
        <w:t>A</w:t>
      </w:r>
      <w:r>
        <w:rPr>
          <w:spacing w:val="16"/>
        </w:rPr>
        <w:t>PPROACH </w:t>
      </w:r>
      <w:r>
        <w:rPr>
          <w:spacing w:val="10"/>
          <w:sz w:val="28"/>
        </w:rPr>
        <w:t>1: </w:t>
      </w:r>
      <w:r>
        <w:rPr>
          <w:spacing w:val="15"/>
          <w:sz w:val="28"/>
        </w:rPr>
        <w:t>B</w:t>
      </w:r>
      <w:r>
        <w:rPr>
          <w:spacing w:val="15"/>
        </w:rPr>
        <w:t>ASIC </w:t>
      </w:r>
      <w:r>
        <w:rPr>
          <w:spacing w:val="16"/>
        </w:rPr>
        <w:t>LAND</w:t>
      </w:r>
      <w:r>
        <w:rPr>
          <w:spacing w:val="16"/>
          <w:sz w:val="28"/>
        </w:rPr>
        <w:t>-</w:t>
      </w:r>
      <w:r>
        <w:rPr>
          <w:spacing w:val="16"/>
        </w:rPr>
        <w:t>USE</w:t>
      </w:r>
      <w:r>
        <w:rPr>
          <w:spacing w:val="29"/>
        </w:rPr>
        <w:t> </w:t>
      </w:r>
      <w:r>
        <w:rPr>
          <w:spacing w:val="14"/>
        </w:rPr>
        <w:t>DATA</w:t>
      </w:r>
      <w:r>
        <w:rPr>
          <w:spacing w:val="-35"/>
        </w:rPr>
        <w:t> </w:t>
      </w:r>
    </w:p>
    <w:p>
      <w:pPr>
        <w:pStyle w:val="BodyText"/>
        <w:spacing w:before="209"/>
        <w:ind w:left="419" w:right="543"/>
        <w:jc w:val="both"/>
      </w:pPr>
      <w:r>
        <w:rPr/>
        <w:t>Approach 1 is probably the most common approach used at present for preparing estimates of emissions and removals under </w:t>
      </w:r>
      <w:r>
        <w:rPr>
          <w:i/>
        </w:rPr>
        <w:t>IPCC Guidelines </w:t>
      </w:r>
      <w:r>
        <w:rPr/>
        <w:t>categories 5A-5E. It uses area datasets likely to have been prepared for other purposes such as forestry or agricultural statistics. Frequently, several datasets will be combined to cover all land classifications and regions of a country. The absence of a unified data system can lead to double counting or omission, since the agencies involved may use different definitions of specific land use for assembling their databases. This report suggests ways to deal with this. Coverage must obviously be complete enough to include all land areas affected by the activities set out in Chapter 5 of the </w:t>
      </w:r>
      <w:r>
        <w:rPr>
          <w:i/>
        </w:rPr>
        <w:t>IPCC Guidelines, </w:t>
      </w:r>
      <w:r>
        <w:rPr/>
        <w:t>but might not extend to categories such as unmanaged ecosystems, wetlands or settlements.</w:t>
      </w:r>
    </w:p>
    <w:p>
      <w:pPr>
        <w:spacing w:before="119"/>
        <w:ind w:left="419" w:right="0" w:firstLine="0"/>
        <w:jc w:val="left"/>
        <w:rPr>
          <w:sz w:val="20"/>
        </w:rPr>
      </w:pPr>
      <w:r>
        <w:rPr>
          <w:sz w:val="20"/>
        </w:rPr>
        <w:t>When implementing Approach 1, it is </w:t>
      </w:r>
      <w:r>
        <w:rPr>
          <w:i/>
          <w:sz w:val="20"/>
        </w:rPr>
        <w:t>good practice </w:t>
      </w:r>
      <w:r>
        <w:rPr>
          <w:sz w:val="20"/>
        </w:rPr>
        <w:t>to:</w:t>
      </w:r>
    </w:p>
    <w:p>
      <w:pPr>
        <w:pStyle w:val="ListParagraph"/>
        <w:numPr>
          <w:ilvl w:val="0"/>
          <w:numId w:val="2"/>
        </w:numPr>
        <w:tabs>
          <w:tab w:pos="780" w:val="left" w:leader="none"/>
        </w:tabs>
        <w:spacing w:line="237" w:lineRule="auto" w:before="134" w:after="0"/>
        <w:ind w:left="776" w:right="543" w:hanging="357"/>
        <w:jc w:val="both"/>
        <w:rPr>
          <w:sz w:val="20"/>
        </w:rPr>
      </w:pPr>
      <w:r>
        <w:rPr>
          <w:sz w:val="20"/>
        </w:rPr>
        <w:t>Harmonise definitions between the existing independent databases and also with the broad land-use categories of Section 2.2 (Land-Use Categories) to minimise gaps and overlaps. For example, if woodland on farms were included both in forestry and agricultural datasets, overlaps might occur. In order to harmonise data, the woodland should be counted only once for greenhouse gas inventory purposes, taking into account the forest definitions adopted nationally. Information on possible overlaps for the purposes of harmonisation should be available from agencies responsible for surveys. Harmonisation of definitions does not mean that agencies should abandon definitions that are of use to them. It is consistent with </w:t>
      </w:r>
      <w:r>
        <w:rPr>
          <w:i/>
          <w:sz w:val="20"/>
        </w:rPr>
        <w:t>good practice </w:t>
      </w:r>
      <w:r>
        <w:rPr>
          <w:sz w:val="20"/>
        </w:rPr>
        <w:t>to establish the relationship between definitions in use with the aim of eliminating double counting and omissions. This should be done throughout the dataset to maintain time series</w:t>
      </w:r>
      <w:r>
        <w:rPr>
          <w:spacing w:val="-5"/>
          <w:sz w:val="20"/>
        </w:rPr>
        <w:t> </w:t>
      </w:r>
      <w:r>
        <w:rPr>
          <w:sz w:val="20"/>
        </w:rPr>
        <w:t>consistency.</w:t>
      </w:r>
    </w:p>
    <w:p>
      <w:pPr>
        <w:spacing w:after="0" w:line="237" w:lineRule="auto"/>
        <w:jc w:val="both"/>
        <w:rPr>
          <w:sz w:val="20"/>
        </w:rPr>
        <w:sectPr>
          <w:headerReference w:type="default" r:id="rId39"/>
          <w:headerReference w:type="even" r:id="rId40"/>
          <w:pgSz w:w="11900" w:h="16840"/>
          <w:pgMar w:header="230" w:footer="408" w:top="560" w:bottom="600" w:left="1000" w:right="860"/>
        </w:sectPr>
      </w:pPr>
    </w:p>
    <w:p>
      <w:pPr>
        <w:pStyle w:val="BodyText"/>
        <w:spacing w:before="5"/>
        <w:rPr>
          <w:sz w:val="29"/>
        </w:rPr>
      </w:pPr>
    </w:p>
    <w:p>
      <w:pPr>
        <w:pStyle w:val="ListParagraph"/>
        <w:numPr>
          <w:ilvl w:val="0"/>
          <w:numId w:val="2"/>
        </w:numPr>
        <w:tabs>
          <w:tab w:pos="780" w:val="left" w:leader="none"/>
        </w:tabs>
        <w:spacing w:line="232" w:lineRule="auto" w:before="120" w:after="0"/>
        <w:ind w:left="776" w:right="544" w:hanging="357"/>
        <w:jc w:val="both"/>
        <w:rPr>
          <w:sz w:val="20"/>
        </w:rPr>
      </w:pPr>
      <w:r>
        <w:rPr>
          <w:sz w:val="20"/>
        </w:rPr>
        <w:t>Ensure that the land-use categories used can identify all relevant activities. For example, if a country needs to track a land-use activity such as forest management, then the classification system should be able to distinguish managed from unmanaged forest areas.</w:t>
      </w:r>
    </w:p>
    <w:p>
      <w:pPr>
        <w:pStyle w:val="ListParagraph"/>
        <w:numPr>
          <w:ilvl w:val="0"/>
          <w:numId w:val="2"/>
        </w:numPr>
        <w:tabs>
          <w:tab w:pos="780" w:val="left" w:leader="none"/>
        </w:tabs>
        <w:spacing w:line="235" w:lineRule="auto" w:before="138" w:after="0"/>
        <w:ind w:left="776" w:right="542" w:hanging="357"/>
        <w:jc w:val="both"/>
        <w:rPr>
          <w:sz w:val="20"/>
        </w:rPr>
      </w:pPr>
      <w:r>
        <w:rPr>
          <w:sz w:val="20"/>
        </w:rPr>
        <w:t>Ensure that data acquisition methods are reliable, well documented methodologically, timely, at an appropriate scale, and from reputable sources. Reliability can be achieved by using surveys that can be related to the harmonised definitions. Ground surveys can be cross-checked where independent data sources are available and will be needed for checking the accuracy of remote sensing data, where used (See Chapter 5.7-Verification). International datasets are also available for cross-checking (see Annex</w:t>
      </w:r>
      <w:r>
        <w:rPr>
          <w:spacing w:val="-11"/>
          <w:sz w:val="20"/>
        </w:rPr>
        <w:t> </w:t>
      </w:r>
      <w:r>
        <w:rPr>
          <w:sz w:val="20"/>
        </w:rPr>
        <w:t>2A.2).</w:t>
      </w:r>
    </w:p>
    <w:p>
      <w:pPr>
        <w:pStyle w:val="ListParagraph"/>
        <w:numPr>
          <w:ilvl w:val="0"/>
          <w:numId w:val="2"/>
        </w:numPr>
        <w:tabs>
          <w:tab w:pos="780" w:val="left" w:leader="none"/>
        </w:tabs>
        <w:spacing w:line="235" w:lineRule="auto" w:before="138" w:after="0"/>
        <w:ind w:left="776" w:right="544" w:hanging="357"/>
        <w:jc w:val="both"/>
        <w:rPr>
          <w:sz w:val="20"/>
        </w:rPr>
      </w:pPr>
      <w:r>
        <w:rPr>
          <w:sz w:val="20"/>
        </w:rPr>
        <w:t>Ensure the consistent application of category definitions between time periods. For example, countries should check whether the definition of forest has changed over time in terms of canopy cover and other thresholds. If changes are identified, it is </w:t>
      </w:r>
      <w:r>
        <w:rPr>
          <w:i/>
          <w:sz w:val="20"/>
        </w:rPr>
        <w:t>good practice </w:t>
      </w:r>
      <w:r>
        <w:rPr>
          <w:sz w:val="20"/>
        </w:rPr>
        <w:t>to correct the data using the back-casting methods described in Chapter 5 of this report to ensure consistency throughout the time series, and report on actions taken.</w:t>
      </w:r>
    </w:p>
    <w:p>
      <w:pPr>
        <w:pStyle w:val="ListParagraph"/>
        <w:numPr>
          <w:ilvl w:val="0"/>
          <w:numId w:val="2"/>
        </w:numPr>
        <w:tabs>
          <w:tab w:pos="780" w:val="left" w:leader="none"/>
        </w:tabs>
        <w:spacing w:line="223" w:lineRule="auto" w:before="150" w:after="0"/>
        <w:ind w:left="776" w:right="546" w:hanging="357"/>
        <w:jc w:val="both"/>
        <w:rPr>
          <w:sz w:val="20"/>
        </w:rPr>
      </w:pPr>
      <w:r>
        <w:rPr>
          <w:sz w:val="20"/>
        </w:rPr>
        <w:t>Construct uncertainty estimates for those land category areas and changes in area that will be used in the estimation of carbon stock changes, emissions and removals (see Chapter 5 Section</w:t>
      </w:r>
      <w:r>
        <w:rPr>
          <w:spacing w:val="-14"/>
          <w:sz w:val="20"/>
        </w:rPr>
        <w:t> </w:t>
      </w:r>
      <w:r>
        <w:rPr>
          <w:sz w:val="20"/>
        </w:rPr>
        <w:t>5.3.4.1).</w:t>
      </w:r>
    </w:p>
    <w:p>
      <w:pPr>
        <w:pStyle w:val="ListParagraph"/>
        <w:numPr>
          <w:ilvl w:val="0"/>
          <w:numId w:val="2"/>
        </w:numPr>
        <w:tabs>
          <w:tab w:pos="780" w:val="left" w:leader="none"/>
        </w:tabs>
        <w:spacing w:line="237" w:lineRule="auto" w:before="140" w:after="0"/>
        <w:ind w:left="776" w:right="542" w:hanging="357"/>
        <w:jc w:val="both"/>
        <w:rPr>
          <w:sz w:val="20"/>
        </w:rPr>
      </w:pPr>
      <w:r>
        <w:rPr>
          <w:sz w:val="20"/>
        </w:rPr>
        <w:t>Assess whether the sum of the areas in the land classification databases is consistent with the total territorial area, given the level of data uncertainty. If coverage is complete, then the net sum of all the changes  between two time periods should be zero to within the uncertainties involved. In cases where coverage is incomplete, the difference between the area covered and the territorial area should, in general, be stable or vary slowly with time, again to within the uncertainties expected in the data. If the balancing term varies rapidly, or (in the case of complete coverage) sums are not equal, it is </w:t>
      </w:r>
      <w:r>
        <w:rPr>
          <w:i/>
          <w:sz w:val="20"/>
        </w:rPr>
        <w:t>good practice </w:t>
      </w:r>
      <w:r>
        <w:rPr>
          <w:sz w:val="20"/>
        </w:rPr>
        <w:t>to investigate, explain, and make any corrections necessary. These checks on the total area should take into account the expected uncertainties in the annual or periodic surveys or censuses involved. Information on expected uncertainties should be obtained from the agencies responsible for the surveys. Usually there will be remaining differences between the sum of areas accounted for by the available data and the national area. It is </w:t>
      </w:r>
      <w:r>
        <w:rPr>
          <w:i/>
          <w:sz w:val="20"/>
        </w:rPr>
        <w:t>good practice </w:t>
      </w:r>
      <w:r>
        <w:rPr>
          <w:sz w:val="20"/>
        </w:rPr>
        <w:t>to keep track of these differences and to provide an explanation for the likely causes. Carbon stock changes and emissions and removals of greenhouse gases implied by variation through time of these differences may be due to land-use change and may therefore need to be accounted for in the GHG inventory as required by the methods set out in Chapters 3 and</w:t>
      </w:r>
      <w:r>
        <w:rPr>
          <w:spacing w:val="-11"/>
          <w:sz w:val="20"/>
        </w:rPr>
        <w:t> </w:t>
      </w:r>
      <w:r>
        <w:rPr>
          <w:sz w:val="20"/>
        </w:rPr>
        <w:t>4.</w:t>
      </w:r>
    </w:p>
    <w:p>
      <w:pPr>
        <w:pStyle w:val="BodyText"/>
        <w:spacing w:before="130"/>
        <w:ind w:left="419" w:right="543"/>
        <w:jc w:val="both"/>
      </w:pPr>
      <w:r>
        <w:rPr/>
        <w:t>Tables 2.3.1 and 2.3.2 show summary land area data for a hypothetical country (total area 140 Mha) using locally relevant land classifications. Table 2.3.1 is prepared at the level of categories (i) to (vi) and Table 2.3.2 depicts the same information with example subdivisions to estimate the effect of various activities using the methods in Chapter 3. Table 2.3.2 also indicates where in Chapter 3 the inventory methods can be found. It is </w:t>
      </w:r>
      <w:r>
        <w:rPr>
          <w:i/>
        </w:rPr>
        <w:t>good practice </w:t>
      </w:r>
      <w:r>
        <w:rPr/>
        <w:t>to prepare tables similar to Table 2.3.1 or 2.3.2 as part of the quality assurance and quality control (QA/QC) procedures as set out in Chapter</w:t>
      </w:r>
      <w:r>
        <w:rPr>
          <w:spacing w:val="-3"/>
        </w:rPr>
        <w:t> </w:t>
      </w:r>
      <w:r>
        <w:rPr/>
        <w:t>5.</w:t>
      </w:r>
    </w:p>
    <w:p>
      <w:pPr>
        <w:pStyle w:val="BodyText"/>
      </w:pPr>
    </w:p>
    <w:p>
      <w:pPr>
        <w:pStyle w:val="BodyText"/>
        <w:spacing w:before="5"/>
        <w:rPr>
          <w:sz w:val="19"/>
        </w:rPr>
      </w:pPr>
    </w:p>
    <w:tbl>
      <w:tblPr>
        <w:tblW w:w="0" w:type="auto"/>
        <w:jc w:val="left"/>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4"/>
        <w:gridCol w:w="501"/>
        <w:gridCol w:w="801"/>
        <w:gridCol w:w="778"/>
        <w:gridCol w:w="472"/>
        <w:gridCol w:w="795"/>
        <w:gridCol w:w="1758"/>
        <w:gridCol w:w="690"/>
        <w:gridCol w:w="748"/>
      </w:tblGrid>
      <w:tr>
        <w:trPr>
          <w:trHeight w:val="726" w:hRule="atLeast"/>
        </w:trPr>
        <w:tc>
          <w:tcPr>
            <w:tcW w:w="7377" w:type="dxa"/>
            <w:gridSpan w:val="9"/>
            <w:tcBorders>
              <w:bottom w:val="double" w:sz="1" w:space="0" w:color="000000"/>
            </w:tcBorders>
          </w:tcPr>
          <w:p>
            <w:pPr>
              <w:pStyle w:val="TableParagraph"/>
              <w:spacing w:line="207" w:lineRule="exact" w:before="59"/>
              <w:ind w:left="1047" w:right="1043"/>
              <w:jc w:val="center"/>
              <w:rPr>
                <w:b/>
                <w:sz w:val="18"/>
              </w:rPr>
            </w:pPr>
            <w:r>
              <w:rPr>
                <w:b/>
                <w:sz w:val="18"/>
              </w:rPr>
              <w:t>T</w:t>
            </w:r>
            <w:r>
              <w:rPr>
                <w:b/>
                <w:sz w:val="14"/>
              </w:rPr>
              <w:t>ABLE </w:t>
            </w:r>
            <w:r>
              <w:rPr>
                <w:b/>
                <w:sz w:val="18"/>
              </w:rPr>
              <w:t>2.3.1</w:t>
            </w:r>
          </w:p>
          <w:p>
            <w:pPr>
              <w:pStyle w:val="TableParagraph"/>
              <w:spacing w:line="206" w:lineRule="exact"/>
              <w:ind w:left="1047" w:right="1007"/>
              <w:jc w:val="center"/>
              <w:rPr>
                <w:b/>
                <w:sz w:val="18"/>
              </w:rPr>
            </w:pPr>
            <w:r>
              <w:rPr>
                <w:b/>
                <w:sz w:val="14"/>
              </w:rPr>
              <w:t>EXAMPLE OF </w:t>
            </w:r>
            <w:r>
              <w:rPr>
                <w:b/>
                <w:sz w:val="18"/>
              </w:rPr>
              <w:t>A</w:t>
            </w:r>
            <w:r>
              <w:rPr>
                <w:b/>
                <w:sz w:val="14"/>
              </w:rPr>
              <w:t>PPROACH </w:t>
            </w:r>
            <w:r>
              <w:rPr>
                <w:b/>
                <w:sz w:val="18"/>
              </w:rPr>
              <w:t>1:</w:t>
            </w:r>
          </w:p>
          <w:p>
            <w:pPr>
              <w:pStyle w:val="TableParagraph"/>
              <w:spacing w:line="207" w:lineRule="exact"/>
              <w:ind w:left="1047" w:right="1045"/>
              <w:jc w:val="center"/>
              <w:rPr>
                <w:b/>
                <w:sz w:val="14"/>
              </w:rPr>
            </w:pPr>
            <w:r>
              <w:rPr>
                <w:b/>
                <w:sz w:val="18"/>
              </w:rPr>
              <w:t>A</w:t>
            </w:r>
            <w:r>
              <w:rPr>
                <w:b/>
                <w:sz w:val="14"/>
              </w:rPr>
              <w:t>VAILABLE LAND </w:t>
            </w:r>
            <w:r>
              <w:rPr>
                <w:b/>
                <w:sz w:val="18"/>
              </w:rPr>
              <w:t>-</w:t>
            </w:r>
            <w:r>
              <w:rPr>
                <w:b/>
                <w:sz w:val="14"/>
              </w:rPr>
              <w:t>USE DATA WITH COMPLETE TERRITORIAL COVERAGE</w:t>
            </w:r>
          </w:p>
        </w:tc>
      </w:tr>
      <w:tr>
        <w:trPr>
          <w:trHeight w:val="536" w:hRule="atLeast"/>
        </w:trPr>
        <w:tc>
          <w:tcPr>
            <w:tcW w:w="2136" w:type="dxa"/>
            <w:gridSpan w:val="3"/>
            <w:tcBorders>
              <w:top w:val="double" w:sz="1" w:space="0" w:color="000000"/>
            </w:tcBorders>
          </w:tcPr>
          <w:p>
            <w:pPr>
              <w:pStyle w:val="TableParagraph"/>
              <w:spacing w:before="165"/>
              <w:ind w:left="781" w:right="770"/>
              <w:jc w:val="center"/>
              <w:rPr>
                <w:b/>
                <w:sz w:val="18"/>
              </w:rPr>
            </w:pPr>
            <w:r>
              <w:rPr>
                <w:b/>
                <w:sz w:val="18"/>
              </w:rPr>
              <w:t>Time 1</w:t>
            </w:r>
          </w:p>
        </w:tc>
        <w:tc>
          <w:tcPr>
            <w:tcW w:w="2045" w:type="dxa"/>
            <w:gridSpan w:val="3"/>
            <w:tcBorders>
              <w:top w:val="double" w:sz="1" w:space="0" w:color="000000"/>
            </w:tcBorders>
          </w:tcPr>
          <w:p>
            <w:pPr>
              <w:pStyle w:val="TableParagraph"/>
              <w:spacing w:before="165"/>
              <w:ind w:left="42" w:right="36"/>
              <w:jc w:val="center"/>
              <w:rPr>
                <w:b/>
                <w:sz w:val="18"/>
              </w:rPr>
            </w:pPr>
            <w:r>
              <w:rPr>
                <w:b/>
                <w:sz w:val="18"/>
              </w:rPr>
              <w:t>Time 2</w:t>
            </w:r>
          </w:p>
        </w:tc>
        <w:tc>
          <w:tcPr>
            <w:tcW w:w="3196" w:type="dxa"/>
            <w:gridSpan w:val="3"/>
            <w:tcBorders>
              <w:top w:val="double" w:sz="1" w:space="0" w:color="000000"/>
            </w:tcBorders>
          </w:tcPr>
          <w:p>
            <w:pPr>
              <w:pStyle w:val="TableParagraph"/>
              <w:spacing w:before="61"/>
              <w:ind w:left="532" w:right="509" w:firstLine="372"/>
              <w:rPr>
                <w:b/>
                <w:sz w:val="18"/>
              </w:rPr>
            </w:pPr>
            <w:r>
              <w:rPr>
                <w:b/>
                <w:sz w:val="18"/>
              </w:rPr>
              <w:t>Land-Use Change between Time 1 and Time 2</w:t>
            </w:r>
          </w:p>
        </w:tc>
      </w:tr>
      <w:tr>
        <w:trPr>
          <w:trHeight w:val="275" w:hRule="atLeast"/>
        </w:trPr>
        <w:tc>
          <w:tcPr>
            <w:tcW w:w="834" w:type="dxa"/>
            <w:tcBorders>
              <w:right w:val="nil"/>
            </w:tcBorders>
          </w:tcPr>
          <w:p>
            <w:pPr>
              <w:pStyle w:val="TableParagraph"/>
              <w:spacing w:before="28"/>
              <w:ind w:left="438"/>
              <w:rPr>
                <w:sz w:val="18"/>
              </w:rPr>
            </w:pPr>
            <w:r>
              <w:rPr>
                <w:sz w:val="18"/>
              </w:rPr>
              <w:t>F</w:t>
            </w:r>
          </w:p>
        </w:tc>
        <w:tc>
          <w:tcPr>
            <w:tcW w:w="501" w:type="dxa"/>
            <w:tcBorders>
              <w:left w:val="nil"/>
              <w:right w:val="nil"/>
            </w:tcBorders>
          </w:tcPr>
          <w:p>
            <w:pPr>
              <w:pStyle w:val="TableParagraph"/>
              <w:spacing w:before="28"/>
              <w:ind w:left="203"/>
              <w:rPr>
                <w:sz w:val="18"/>
              </w:rPr>
            </w:pPr>
            <w:r>
              <w:rPr>
                <w:sz w:val="18"/>
              </w:rPr>
              <w:t>=</w:t>
            </w:r>
          </w:p>
        </w:tc>
        <w:tc>
          <w:tcPr>
            <w:tcW w:w="801" w:type="dxa"/>
            <w:tcBorders>
              <w:left w:val="nil"/>
            </w:tcBorders>
          </w:tcPr>
          <w:p>
            <w:pPr>
              <w:pStyle w:val="TableParagraph"/>
              <w:spacing w:before="28"/>
              <w:ind w:right="371"/>
              <w:jc w:val="right"/>
              <w:rPr>
                <w:sz w:val="18"/>
              </w:rPr>
            </w:pPr>
            <w:r>
              <w:rPr>
                <w:sz w:val="18"/>
              </w:rPr>
              <w:t>18</w:t>
            </w:r>
          </w:p>
        </w:tc>
        <w:tc>
          <w:tcPr>
            <w:tcW w:w="778" w:type="dxa"/>
            <w:tcBorders>
              <w:right w:val="nil"/>
            </w:tcBorders>
          </w:tcPr>
          <w:p>
            <w:pPr>
              <w:pStyle w:val="TableParagraph"/>
              <w:spacing w:before="28"/>
              <w:ind w:left="137"/>
              <w:jc w:val="center"/>
              <w:rPr>
                <w:sz w:val="18"/>
              </w:rPr>
            </w:pPr>
            <w:r>
              <w:rPr>
                <w:sz w:val="18"/>
              </w:rPr>
              <w:t>F</w:t>
            </w:r>
          </w:p>
        </w:tc>
        <w:tc>
          <w:tcPr>
            <w:tcW w:w="472" w:type="dxa"/>
            <w:tcBorders>
              <w:left w:val="nil"/>
              <w:right w:val="nil"/>
            </w:tcBorders>
          </w:tcPr>
          <w:p>
            <w:pPr>
              <w:pStyle w:val="TableParagraph"/>
              <w:spacing w:before="28"/>
              <w:ind w:left="182"/>
              <w:rPr>
                <w:sz w:val="18"/>
              </w:rPr>
            </w:pPr>
            <w:r>
              <w:rPr>
                <w:sz w:val="18"/>
              </w:rPr>
              <w:t>=</w:t>
            </w:r>
          </w:p>
        </w:tc>
        <w:tc>
          <w:tcPr>
            <w:tcW w:w="795" w:type="dxa"/>
            <w:tcBorders>
              <w:left w:val="nil"/>
            </w:tcBorders>
          </w:tcPr>
          <w:p>
            <w:pPr>
              <w:pStyle w:val="TableParagraph"/>
              <w:spacing w:before="28"/>
              <w:ind w:right="134"/>
              <w:jc w:val="center"/>
              <w:rPr>
                <w:sz w:val="18"/>
              </w:rPr>
            </w:pPr>
            <w:r>
              <w:rPr>
                <w:sz w:val="18"/>
              </w:rPr>
              <w:t>19</w:t>
            </w:r>
          </w:p>
        </w:tc>
        <w:tc>
          <w:tcPr>
            <w:tcW w:w="1758" w:type="dxa"/>
            <w:tcBorders>
              <w:right w:val="nil"/>
            </w:tcBorders>
          </w:tcPr>
          <w:p>
            <w:pPr>
              <w:pStyle w:val="TableParagraph"/>
              <w:spacing w:before="28"/>
              <w:ind w:left="767"/>
              <w:rPr>
                <w:sz w:val="18"/>
              </w:rPr>
            </w:pPr>
            <w:r>
              <w:rPr>
                <w:sz w:val="18"/>
              </w:rPr>
              <w:t>Forest</w:t>
            </w:r>
          </w:p>
        </w:tc>
        <w:tc>
          <w:tcPr>
            <w:tcW w:w="690" w:type="dxa"/>
            <w:tcBorders>
              <w:left w:val="nil"/>
              <w:right w:val="nil"/>
            </w:tcBorders>
          </w:tcPr>
          <w:p>
            <w:pPr>
              <w:pStyle w:val="TableParagraph"/>
              <w:spacing w:before="28"/>
              <w:ind w:right="225"/>
              <w:jc w:val="right"/>
              <w:rPr>
                <w:sz w:val="18"/>
              </w:rPr>
            </w:pPr>
            <w:r>
              <w:rPr>
                <w:sz w:val="18"/>
              </w:rPr>
              <w:t>=</w:t>
            </w:r>
          </w:p>
        </w:tc>
        <w:tc>
          <w:tcPr>
            <w:tcW w:w="748" w:type="dxa"/>
            <w:tcBorders>
              <w:left w:val="nil"/>
            </w:tcBorders>
          </w:tcPr>
          <w:p>
            <w:pPr>
              <w:pStyle w:val="TableParagraph"/>
              <w:spacing w:before="28"/>
              <w:ind w:left="227"/>
              <w:rPr>
                <w:sz w:val="18"/>
              </w:rPr>
            </w:pPr>
            <w:r>
              <w:rPr>
                <w:sz w:val="18"/>
              </w:rPr>
              <w:t>+1</w:t>
            </w:r>
          </w:p>
        </w:tc>
      </w:tr>
      <w:tr>
        <w:trPr>
          <w:trHeight w:val="273" w:hRule="atLeast"/>
        </w:trPr>
        <w:tc>
          <w:tcPr>
            <w:tcW w:w="834" w:type="dxa"/>
            <w:tcBorders>
              <w:right w:val="nil"/>
            </w:tcBorders>
          </w:tcPr>
          <w:p>
            <w:pPr>
              <w:pStyle w:val="TableParagraph"/>
              <w:spacing w:before="28"/>
              <w:ind w:left="424"/>
              <w:rPr>
                <w:sz w:val="18"/>
              </w:rPr>
            </w:pPr>
            <w:r>
              <w:rPr>
                <w:sz w:val="18"/>
              </w:rPr>
              <w:t>G</w:t>
            </w:r>
          </w:p>
        </w:tc>
        <w:tc>
          <w:tcPr>
            <w:tcW w:w="501" w:type="dxa"/>
            <w:tcBorders>
              <w:left w:val="nil"/>
              <w:right w:val="nil"/>
            </w:tcBorders>
          </w:tcPr>
          <w:p>
            <w:pPr>
              <w:pStyle w:val="TableParagraph"/>
              <w:spacing w:before="28"/>
              <w:ind w:left="202"/>
              <w:rPr>
                <w:sz w:val="18"/>
              </w:rPr>
            </w:pPr>
            <w:r>
              <w:rPr>
                <w:sz w:val="18"/>
              </w:rPr>
              <w:t>=</w:t>
            </w:r>
          </w:p>
        </w:tc>
        <w:tc>
          <w:tcPr>
            <w:tcW w:w="801" w:type="dxa"/>
            <w:tcBorders>
              <w:left w:val="nil"/>
            </w:tcBorders>
          </w:tcPr>
          <w:p>
            <w:pPr>
              <w:pStyle w:val="TableParagraph"/>
              <w:spacing w:before="28"/>
              <w:ind w:right="369"/>
              <w:jc w:val="right"/>
              <w:rPr>
                <w:sz w:val="18"/>
              </w:rPr>
            </w:pPr>
            <w:r>
              <w:rPr>
                <w:sz w:val="18"/>
              </w:rPr>
              <w:t>84</w:t>
            </w:r>
          </w:p>
        </w:tc>
        <w:tc>
          <w:tcPr>
            <w:tcW w:w="778" w:type="dxa"/>
            <w:tcBorders>
              <w:right w:val="nil"/>
            </w:tcBorders>
          </w:tcPr>
          <w:p>
            <w:pPr>
              <w:pStyle w:val="TableParagraph"/>
              <w:spacing w:before="28"/>
              <w:ind w:left="139"/>
              <w:jc w:val="center"/>
              <w:rPr>
                <w:sz w:val="18"/>
              </w:rPr>
            </w:pPr>
            <w:r>
              <w:rPr>
                <w:sz w:val="18"/>
              </w:rPr>
              <w:t>G</w:t>
            </w:r>
          </w:p>
        </w:tc>
        <w:tc>
          <w:tcPr>
            <w:tcW w:w="472" w:type="dxa"/>
            <w:tcBorders>
              <w:left w:val="nil"/>
              <w:right w:val="nil"/>
            </w:tcBorders>
          </w:tcPr>
          <w:p>
            <w:pPr>
              <w:pStyle w:val="TableParagraph"/>
              <w:spacing w:before="28"/>
              <w:ind w:left="182"/>
              <w:rPr>
                <w:sz w:val="18"/>
              </w:rPr>
            </w:pPr>
            <w:r>
              <w:rPr>
                <w:sz w:val="18"/>
              </w:rPr>
              <w:t>=</w:t>
            </w:r>
          </w:p>
        </w:tc>
        <w:tc>
          <w:tcPr>
            <w:tcW w:w="795" w:type="dxa"/>
            <w:tcBorders>
              <w:left w:val="nil"/>
            </w:tcBorders>
          </w:tcPr>
          <w:p>
            <w:pPr>
              <w:pStyle w:val="TableParagraph"/>
              <w:spacing w:before="28"/>
              <w:ind w:right="134"/>
              <w:jc w:val="center"/>
              <w:rPr>
                <w:sz w:val="18"/>
              </w:rPr>
            </w:pPr>
            <w:r>
              <w:rPr>
                <w:sz w:val="18"/>
              </w:rPr>
              <w:t>82</w:t>
            </w:r>
          </w:p>
        </w:tc>
        <w:tc>
          <w:tcPr>
            <w:tcW w:w="1758" w:type="dxa"/>
            <w:tcBorders>
              <w:right w:val="nil"/>
            </w:tcBorders>
          </w:tcPr>
          <w:p>
            <w:pPr>
              <w:pStyle w:val="TableParagraph"/>
              <w:spacing w:before="28"/>
              <w:ind w:left="633"/>
              <w:rPr>
                <w:sz w:val="18"/>
              </w:rPr>
            </w:pPr>
            <w:r>
              <w:rPr>
                <w:sz w:val="18"/>
              </w:rPr>
              <w:t>Grassland</w:t>
            </w:r>
          </w:p>
        </w:tc>
        <w:tc>
          <w:tcPr>
            <w:tcW w:w="690" w:type="dxa"/>
            <w:tcBorders>
              <w:left w:val="nil"/>
              <w:right w:val="nil"/>
            </w:tcBorders>
          </w:tcPr>
          <w:p>
            <w:pPr>
              <w:pStyle w:val="TableParagraph"/>
              <w:spacing w:before="28"/>
              <w:ind w:right="225"/>
              <w:jc w:val="right"/>
              <w:rPr>
                <w:sz w:val="18"/>
              </w:rPr>
            </w:pPr>
            <w:r>
              <w:rPr>
                <w:sz w:val="18"/>
              </w:rPr>
              <w:t>=</w:t>
            </w:r>
          </w:p>
        </w:tc>
        <w:tc>
          <w:tcPr>
            <w:tcW w:w="748" w:type="dxa"/>
            <w:tcBorders>
              <w:left w:val="nil"/>
            </w:tcBorders>
          </w:tcPr>
          <w:p>
            <w:pPr>
              <w:pStyle w:val="TableParagraph"/>
              <w:spacing w:before="28"/>
              <w:ind w:left="246"/>
              <w:rPr>
                <w:sz w:val="18"/>
              </w:rPr>
            </w:pPr>
            <w:r>
              <w:rPr>
                <w:sz w:val="18"/>
              </w:rPr>
              <w:t>-2</w:t>
            </w:r>
          </w:p>
        </w:tc>
      </w:tr>
      <w:tr>
        <w:trPr>
          <w:trHeight w:val="273" w:hRule="atLeast"/>
        </w:trPr>
        <w:tc>
          <w:tcPr>
            <w:tcW w:w="834" w:type="dxa"/>
            <w:tcBorders>
              <w:right w:val="nil"/>
            </w:tcBorders>
          </w:tcPr>
          <w:p>
            <w:pPr>
              <w:pStyle w:val="TableParagraph"/>
              <w:spacing w:before="28"/>
              <w:ind w:left="429"/>
              <w:rPr>
                <w:sz w:val="18"/>
              </w:rPr>
            </w:pPr>
            <w:r>
              <w:rPr>
                <w:sz w:val="18"/>
              </w:rPr>
              <w:t>C</w:t>
            </w:r>
          </w:p>
        </w:tc>
        <w:tc>
          <w:tcPr>
            <w:tcW w:w="501" w:type="dxa"/>
            <w:tcBorders>
              <w:left w:val="nil"/>
              <w:right w:val="nil"/>
            </w:tcBorders>
          </w:tcPr>
          <w:p>
            <w:pPr>
              <w:pStyle w:val="TableParagraph"/>
              <w:spacing w:before="28"/>
              <w:ind w:left="202"/>
              <w:rPr>
                <w:sz w:val="18"/>
              </w:rPr>
            </w:pPr>
            <w:r>
              <w:rPr>
                <w:sz w:val="18"/>
              </w:rPr>
              <w:t>=</w:t>
            </w:r>
          </w:p>
        </w:tc>
        <w:tc>
          <w:tcPr>
            <w:tcW w:w="801" w:type="dxa"/>
            <w:tcBorders>
              <w:left w:val="nil"/>
            </w:tcBorders>
          </w:tcPr>
          <w:p>
            <w:pPr>
              <w:pStyle w:val="TableParagraph"/>
              <w:spacing w:before="28"/>
              <w:ind w:right="369"/>
              <w:jc w:val="right"/>
              <w:rPr>
                <w:sz w:val="18"/>
              </w:rPr>
            </w:pPr>
            <w:r>
              <w:rPr>
                <w:sz w:val="18"/>
              </w:rPr>
              <w:t>31</w:t>
            </w:r>
          </w:p>
        </w:tc>
        <w:tc>
          <w:tcPr>
            <w:tcW w:w="778" w:type="dxa"/>
            <w:tcBorders>
              <w:right w:val="nil"/>
            </w:tcBorders>
          </w:tcPr>
          <w:p>
            <w:pPr>
              <w:pStyle w:val="TableParagraph"/>
              <w:spacing w:before="28"/>
              <w:ind w:left="138"/>
              <w:jc w:val="center"/>
              <w:rPr>
                <w:sz w:val="18"/>
              </w:rPr>
            </w:pPr>
            <w:r>
              <w:rPr>
                <w:sz w:val="18"/>
              </w:rPr>
              <w:t>C</w:t>
            </w:r>
          </w:p>
        </w:tc>
        <w:tc>
          <w:tcPr>
            <w:tcW w:w="472" w:type="dxa"/>
            <w:tcBorders>
              <w:left w:val="nil"/>
              <w:right w:val="nil"/>
            </w:tcBorders>
          </w:tcPr>
          <w:p>
            <w:pPr>
              <w:pStyle w:val="TableParagraph"/>
              <w:spacing w:before="28"/>
              <w:ind w:left="181"/>
              <w:rPr>
                <w:sz w:val="18"/>
              </w:rPr>
            </w:pPr>
            <w:r>
              <w:rPr>
                <w:sz w:val="18"/>
              </w:rPr>
              <w:t>=</w:t>
            </w:r>
          </w:p>
        </w:tc>
        <w:tc>
          <w:tcPr>
            <w:tcW w:w="795" w:type="dxa"/>
            <w:tcBorders>
              <w:left w:val="nil"/>
            </w:tcBorders>
          </w:tcPr>
          <w:p>
            <w:pPr>
              <w:pStyle w:val="TableParagraph"/>
              <w:spacing w:before="28"/>
              <w:ind w:right="134"/>
              <w:jc w:val="center"/>
              <w:rPr>
                <w:sz w:val="18"/>
              </w:rPr>
            </w:pPr>
            <w:r>
              <w:rPr>
                <w:sz w:val="18"/>
              </w:rPr>
              <w:t>29</w:t>
            </w:r>
          </w:p>
        </w:tc>
        <w:tc>
          <w:tcPr>
            <w:tcW w:w="1758" w:type="dxa"/>
            <w:tcBorders>
              <w:right w:val="nil"/>
            </w:tcBorders>
          </w:tcPr>
          <w:p>
            <w:pPr>
              <w:pStyle w:val="TableParagraph"/>
              <w:spacing w:before="28"/>
              <w:ind w:left="656"/>
              <w:rPr>
                <w:sz w:val="18"/>
              </w:rPr>
            </w:pPr>
            <w:r>
              <w:rPr>
                <w:sz w:val="18"/>
              </w:rPr>
              <w:t>Cropland</w:t>
            </w:r>
          </w:p>
        </w:tc>
        <w:tc>
          <w:tcPr>
            <w:tcW w:w="690" w:type="dxa"/>
            <w:tcBorders>
              <w:left w:val="nil"/>
              <w:right w:val="nil"/>
            </w:tcBorders>
          </w:tcPr>
          <w:p>
            <w:pPr>
              <w:pStyle w:val="TableParagraph"/>
              <w:spacing w:before="28"/>
              <w:ind w:right="225"/>
              <w:jc w:val="right"/>
              <w:rPr>
                <w:sz w:val="18"/>
              </w:rPr>
            </w:pPr>
            <w:r>
              <w:rPr>
                <w:sz w:val="18"/>
              </w:rPr>
              <w:t>=</w:t>
            </w:r>
          </w:p>
        </w:tc>
        <w:tc>
          <w:tcPr>
            <w:tcW w:w="748" w:type="dxa"/>
            <w:tcBorders>
              <w:left w:val="nil"/>
            </w:tcBorders>
          </w:tcPr>
          <w:p>
            <w:pPr>
              <w:pStyle w:val="TableParagraph"/>
              <w:spacing w:before="28"/>
              <w:ind w:left="247"/>
              <w:rPr>
                <w:sz w:val="18"/>
              </w:rPr>
            </w:pPr>
            <w:r>
              <w:rPr>
                <w:sz w:val="18"/>
              </w:rPr>
              <w:t>-2</w:t>
            </w:r>
          </w:p>
        </w:tc>
      </w:tr>
      <w:tr>
        <w:trPr>
          <w:trHeight w:val="275" w:hRule="atLeast"/>
        </w:trPr>
        <w:tc>
          <w:tcPr>
            <w:tcW w:w="834" w:type="dxa"/>
            <w:tcBorders>
              <w:right w:val="nil"/>
            </w:tcBorders>
          </w:tcPr>
          <w:p>
            <w:pPr>
              <w:pStyle w:val="TableParagraph"/>
              <w:spacing w:before="28"/>
              <w:ind w:left="405"/>
              <w:rPr>
                <w:sz w:val="18"/>
              </w:rPr>
            </w:pPr>
            <w:r>
              <w:rPr>
                <w:sz w:val="18"/>
              </w:rPr>
              <w:t>W</w:t>
            </w:r>
          </w:p>
        </w:tc>
        <w:tc>
          <w:tcPr>
            <w:tcW w:w="501" w:type="dxa"/>
            <w:tcBorders>
              <w:left w:val="nil"/>
              <w:right w:val="nil"/>
            </w:tcBorders>
          </w:tcPr>
          <w:p>
            <w:pPr>
              <w:pStyle w:val="TableParagraph"/>
              <w:spacing w:before="28"/>
              <w:ind w:left="202"/>
              <w:rPr>
                <w:sz w:val="18"/>
              </w:rPr>
            </w:pPr>
            <w:r>
              <w:rPr>
                <w:sz w:val="18"/>
              </w:rPr>
              <w:t>=</w:t>
            </w:r>
          </w:p>
        </w:tc>
        <w:tc>
          <w:tcPr>
            <w:tcW w:w="801" w:type="dxa"/>
            <w:tcBorders>
              <w:left w:val="nil"/>
            </w:tcBorders>
          </w:tcPr>
          <w:p>
            <w:pPr>
              <w:pStyle w:val="TableParagraph"/>
              <w:spacing w:before="28"/>
              <w:ind w:right="416"/>
              <w:jc w:val="right"/>
              <w:rPr>
                <w:sz w:val="18"/>
              </w:rPr>
            </w:pPr>
            <w:r>
              <w:rPr>
                <w:sz w:val="18"/>
              </w:rPr>
              <w:t>0</w:t>
            </w:r>
          </w:p>
        </w:tc>
        <w:tc>
          <w:tcPr>
            <w:tcW w:w="778" w:type="dxa"/>
            <w:tcBorders>
              <w:right w:val="nil"/>
            </w:tcBorders>
          </w:tcPr>
          <w:p>
            <w:pPr>
              <w:pStyle w:val="TableParagraph"/>
              <w:spacing w:before="28"/>
              <w:ind w:left="140"/>
              <w:jc w:val="center"/>
              <w:rPr>
                <w:sz w:val="18"/>
              </w:rPr>
            </w:pPr>
            <w:r>
              <w:rPr>
                <w:sz w:val="18"/>
              </w:rPr>
              <w:t>W</w:t>
            </w:r>
          </w:p>
        </w:tc>
        <w:tc>
          <w:tcPr>
            <w:tcW w:w="472" w:type="dxa"/>
            <w:tcBorders>
              <w:left w:val="nil"/>
              <w:right w:val="nil"/>
            </w:tcBorders>
          </w:tcPr>
          <w:p>
            <w:pPr>
              <w:pStyle w:val="TableParagraph"/>
              <w:spacing w:before="28"/>
              <w:ind w:left="181"/>
              <w:rPr>
                <w:sz w:val="18"/>
              </w:rPr>
            </w:pPr>
            <w:r>
              <w:rPr>
                <w:sz w:val="18"/>
              </w:rPr>
              <w:t>=</w:t>
            </w:r>
          </w:p>
        </w:tc>
        <w:tc>
          <w:tcPr>
            <w:tcW w:w="795" w:type="dxa"/>
            <w:tcBorders>
              <w:left w:val="nil"/>
            </w:tcBorders>
          </w:tcPr>
          <w:p>
            <w:pPr>
              <w:pStyle w:val="TableParagraph"/>
              <w:spacing w:before="28"/>
              <w:ind w:right="135"/>
              <w:jc w:val="center"/>
              <w:rPr>
                <w:sz w:val="18"/>
              </w:rPr>
            </w:pPr>
            <w:r>
              <w:rPr>
                <w:sz w:val="18"/>
              </w:rPr>
              <w:t>0</w:t>
            </w:r>
          </w:p>
        </w:tc>
        <w:tc>
          <w:tcPr>
            <w:tcW w:w="1758" w:type="dxa"/>
            <w:tcBorders>
              <w:right w:val="nil"/>
            </w:tcBorders>
          </w:tcPr>
          <w:p>
            <w:pPr>
              <w:pStyle w:val="TableParagraph"/>
              <w:spacing w:before="28"/>
              <w:ind w:left="654"/>
              <w:rPr>
                <w:sz w:val="18"/>
              </w:rPr>
            </w:pPr>
            <w:r>
              <w:rPr>
                <w:sz w:val="18"/>
              </w:rPr>
              <w:t>Wetlands</w:t>
            </w:r>
          </w:p>
        </w:tc>
        <w:tc>
          <w:tcPr>
            <w:tcW w:w="690" w:type="dxa"/>
            <w:tcBorders>
              <w:left w:val="nil"/>
              <w:right w:val="nil"/>
            </w:tcBorders>
          </w:tcPr>
          <w:p>
            <w:pPr>
              <w:pStyle w:val="TableParagraph"/>
              <w:spacing w:before="28"/>
              <w:ind w:right="224"/>
              <w:jc w:val="right"/>
              <w:rPr>
                <w:sz w:val="18"/>
              </w:rPr>
            </w:pPr>
            <w:r>
              <w:rPr>
                <w:sz w:val="18"/>
              </w:rPr>
              <w:t>=</w:t>
            </w:r>
          </w:p>
        </w:tc>
        <w:tc>
          <w:tcPr>
            <w:tcW w:w="748" w:type="dxa"/>
            <w:tcBorders>
              <w:left w:val="nil"/>
            </w:tcBorders>
          </w:tcPr>
          <w:p>
            <w:pPr>
              <w:pStyle w:val="TableParagraph"/>
              <w:spacing w:before="28"/>
              <w:ind w:left="278"/>
              <w:rPr>
                <w:sz w:val="18"/>
              </w:rPr>
            </w:pPr>
            <w:r>
              <w:rPr>
                <w:sz w:val="18"/>
              </w:rPr>
              <w:t>0</w:t>
            </w:r>
          </w:p>
        </w:tc>
      </w:tr>
      <w:tr>
        <w:trPr>
          <w:trHeight w:val="273" w:hRule="atLeast"/>
        </w:trPr>
        <w:tc>
          <w:tcPr>
            <w:tcW w:w="834" w:type="dxa"/>
            <w:tcBorders>
              <w:right w:val="nil"/>
            </w:tcBorders>
          </w:tcPr>
          <w:p>
            <w:pPr>
              <w:pStyle w:val="TableParagraph"/>
              <w:spacing w:before="28"/>
              <w:ind w:left="438"/>
              <w:rPr>
                <w:sz w:val="18"/>
              </w:rPr>
            </w:pPr>
            <w:r>
              <w:rPr>
                <w:sz w:val="18"/>
              </w:rPr>
              <w:t>S</w:t>
            </w:r>
          </w:p>
        </w:tc>
        <w:tc>
          <w:tcPr>
            <w:tcW w:w="501" w:type="dxa"/>
            <w:tcBorders>
              <w:left w:val="nil"/>
              <w:right w:val="nil"/>
            </w:tcBorders>
          </w:tcPr>
          <w:p>
            <w:pPr>
              <w:pStyle w:val="TableParagraph"/>
              <w:spacing w:before="28"/>
              <w:ind w:left="202"/>
              <w:rPr>
                <w:sz w:val="18"/>
              </w:rPr>
            </w:pPr>
            <w:r>
              <w:rPr>
                <w:sz w:val="18"/>
              </w:rPr>
              <w:t>=</w:t>
            </w:r>
          </w:p>
        </w:tc>
        <w:tc>
          <w:tcPr>
            <w:tcW w:w="801" w:type="dxa"/>
            <w:tcBorders>
              <w:left w:val="nil"/>
            </w:tcBorders>
          </w:tcPr>
          <w:p>
            <w:pPr>
              <w:pStyle w:val="TableParagraph"/>
              <w:spacing w:before="28"/>
              <w:ind w:right="416"/>
              <w:jc w:val="right"/>
              <w:rPr>
                <w:sz w:val="18"/>
              </w:rPr>
            </w:pPr>
            <w:r>
              <w:rPr>
                <w:sz w:val="18"/>
              </w:rPr>
              <w:t>5</w:t>
            </w:r>
          </w:p>
        </w:tc>
        <w:tc>
          <w:tcPr>
            <w:tcW w:w="778" w:type="dxa"/>
            <w:tcBorders>
              <w:right w:val="nil"/>
            </w:tcBorders>
          </w:tcPr>
          <w:p>
            <w:pPr>
              <w:pStyle w:val="TableParagraph"/>
              <w:spacing w:before="28"/>
              <w:ind w:left="136"/>
              <w:jc w:val="center"/>
              <w:rPr>
                <w:sz w:val="18"/>
              </w:rPr>
            </w:pPr>
            <w:r>
              <w:rPr>
                <w:sz w:val="18"/>
              </w:rPr>
              <w:t>S</w:t>
            </w:r>
          </w:p>
        </w:tc>
        <w:tc>
          <w:tcPr>
            <w:tcW w:w="472" w:type="dxa"/>
            <w:tcBorders>
              <w:left w:val="nil"/>
              <w:right w:val="nil"/>
            </w:tcBorders>
          </w:tcPr>
          <w:p>
            <w:pPr>
              <w:pStyle w:val="TableParagraph"/>
              <w:spacing w:before="28"/>
              <w:ind w:left="180"/>
              <w:rPr>
                <w:sz w:val="18"/>
              </w:rPr>
            </w:pPr>
            <w:r>
              <w:rPr>
                <w:sz w:val="18"/>
              </w:rPr>
              <w:t>=</w:t>
            </w:r>
          </w:p>
        </w:tc>
        <w:tc>
          <w:tcPr>
            <w:tcW w:w="795" w:type="dxa"/>
            <w:tcBorders>
              <w:left w:val="nil"/>
            </w:tcBorders>
          </w:tcPr>
          <w:p>
            <w:pPr>
              <w:pStyle w:val="TableParagraph"/>
              <w:spacing w:before="28"/>
              <w:ind w:right="137"/>
              <w:jc w:val="center"/>
              <w:rPr>
                <w:sz w:val="18"/>
              </w:rPr>
            </w:pPr>
            <w:r>
              <w:rPr>
                <w:sz w:val="18"/>
              </w:rPr>
              <w:t>8</w:t>
            </w:r>
          </w:p>
        </w:tc>
        <w:tc>
          <w:tcPr>
            <w:tcW w:w="1758" w:type="dxa"/>
            <w:tcBorders>
              <w:right w:val="nil"/>
            </w:tcBorders>
          </w:tcPr>
          <w:p>
            <w:pPr>
              <w:pStyle w:val="TableParagraph"/>
              <w:spacing w:before="28"/>
              <w:ind w:left="574"/>
              <w:rPr>
                <w:sz w:val="18"/>
              </w:rPr>
            </w:pPr>
            <w:r>
              <w:rPr>
                <w:sz w:val="18"/>
              </w:rPr>
              <w:t>Settlements</w:t>
            </w:r>
          </w:p>
        </w:tc>
        <w:tc>
          <w:tcPr>
            <w:tcW w:w="690" w:type="dxa"/>
            <w:tcBorders>
              <w:left w:val="nil"/>
              <w:right w:val="nil"/>
            </w:tcBorders>
          </w:tcPr>
          <w:p>
            <w:pPr>
              <w:pStyle w:val="TableParagraph"/>
              <w:spacing w:before="28"/>
              <w:ind w:right="225"/>
              <w:jc w:val="right"/>
              <w:rPr>
                <w:sz w:val="18"/>
              </w:rPr>
            </w:pPr>
            <w:r>
              <w:rPr>
                <w:sz w:val="18"/>
              </w:rPr>
              <w:t>=</w:t>
            </w:r>
          </w:p>
        </w:tc>
        <w:tc>
          <w:tcPr>
            <w:tcW w:w="748" w:type="dxa"/>
            <w:tcBorders>
              <w:left w:val="nil"/>
            </w:tcBorders>
          </w:tcPr>
          <w:p>
            <w:pPr>
              <w:pStyle w:val="TableParagraph"/>
              <w:spacing w:before="28"/>
              <w:ind w:left="227"/>
              <w:rPr>
                <w:sz w:val="18"/>
              </w:rPr>
            </w:pPr>
            <w:r>
              <w:rPr>
                <w:sz w:val="18"/>
              </w:rPr>
              <w:t>+3</w:t>
            </w:r>
          </w:p>
        </w:tc>
      </w:tr>
      <w:tr>
        <w:trPr>
          <w:trHeight w:val="273" w:hRule="atLeast"/>
        </w:trPr>
        <w:tc>
          <w:tcPr>
            <w:tcW w:w="834" w:type="dxa"/>
            <w:tcBorders>
              <w:right w:val="nil"/>
            </w:tcBorders>
          </w:tcPr>
          <w:p>
            <w:pPr>
              <w:pStyle w:val="TableParagraph"/>
              <w:spacing w:before="28"/>
              <w:ind w:left="424"/>
              <w:rPr>
                <w:sz w:val="18"/>
              </w:rPr>
            </w:pPr>
            <w:r>
              <w:rPr>
                <w:sz w:val="18"/>
              </w:rPr>
              <w:t>O</w:t>
            </w:r>
          </w:p>
        </w:tc>
        <w:tc>
          <w:tcPr>
            <w:tcW w:w="501" w:type="dxa"/>
            <w:tcBorders>
              <w:left w:val="nil"/>
              <w:right w:val="nil"/>
            </w:tcBorders>
          </w:tcPr>
          <w:p>
            <w:pPr>
              <w:pStyle w:val="TableParagraph"/>
              <w:spacing w:before="28"/>
              <w:ind w:left="202"/>
              <w:rPr>
                <w:sz w:val="18"/>
              </w:rPr>
            </w:pPr>
            <w:r>
              <w:rPr>
                <w:sz w:val="18"/>
              </w:rPr>
              <w:t>=</w:t>
            </w:r>
          </w:p>
        </w:tc>
        <w:tc>
          <w:tcPr>
            <w:tcW w:w="801" w:type="dxa"/>
            <w:tcBorders>
              <w:left w:val="nil"/>
            </w:tcBorders>
          </w:tcPr>
          <w:p>
            <w:pPr>
              <w:pStyle w:val="TableParagraph"/>
              <w:spacing w:before="28"/>
              <w:ind w:right="416"/>
              <w:jc w:val="right"/>
              <w:rPr>
                <w:sz w:val="18"/>
              </w:rPr>
            </w:pPr>
            <w:r>
              <w:rPr>
                <w:sz w:val="18"/>
              </w:rPr>
              <w:t>2</w:t>
            </w:r>
          </w:p>
        </w:tc>
        <w:tc>
          <w:tcPr>
            <w:tcW w:w="778" w:type="dxa"/>
            <w:tcBorders>
              <w:right w:val="nil"/>
            </w:tcBorders>
          </w:tcPr>
          <w:p>
            <w:pPr>
              <w:pStyle w:val="TableParagraph"/>
              <w:spacing w:before="28"/>
              <w:ind w:left="138"/>
              <w:jc w:val="center"/>
              <w:rPr>
                <w:sz w:val="18"/>
              </w:rPr>
            </w:pPr>
            <w:r>
              <w:rPr>
                <w:sz w:val="18"/>
              </w:rPr>
              <w:t>O</w:t>
            </w:r>
          </w:p>
        </w:tc>
        <w:tc>
          <w:tcPr>
            <w:tcW w:w="472" w:type="dxa"/>
            <w:tcBorders>
              <w:left w:val="nil"/>
              <w:right w:val="nil"/>
            </w:tcBorders>
          </w:tcPr>
          <w:p>
            <w:pPr>
              <w:pStyle w:val="TableParagraph"/>
              <w:spacing w:before="28"/>
              <w:ind w:left="181"/>
              <w:rPr>
                <w:sz w:val="18"/>
              </w:rPr>
            </w:pPr>
            <w:r>
              <w:rPr>
                <w:sz w:val="18"/>
              </w:rPr>
              <w:t>=</w:t>
            </w:r>
          </w:p>
        </w:tc>
        <w:tc>
          <w:tcPr>
            <w:tcW w:w="795" w:type="dxa"/>
            <w:tcBorders>
              <w:left w:val="nil"/>
            </w:tcBorders>
          </w:tcPr>
          <w:p>
            <w:pPr>
              <w:pStyle w:val="TableParagraph"/>
              <w:spacing w:before="28"/>
              <w:ind w:right="136"/>
              <w:jc w:val="center"/>
              <w:rPr>
                <w:sz w:val="18"/>
              </w:rPr>
            </w:pPr>
            <w:r>
              <w:rPr>
                <w:sz w:val="18"/>
              </w:rPr>
              <w:t>2</w:t>
            </w:r>
          </w:p>
        </w:tc>
        <w:tc>
          <w:tcPr>
            <w:tcW w:w="1758" w:type="dxa"/>
            <w:tcBorders>
              <w:right w:val="nil"/>
            </w:tcBorders>
          </w:tcPr>
          <w:p>
            <w:pPr>
              <w:pStyle w:val="TableParagraph"/>
              <w:spacing w:before="28"/>
              <w:ind w:left="608"/>
              <w:rPr>
                <w:sz w:val="18"/>
              </w:rPr>
            </w:pPr>
            <w:r>
              <w:rPr>
                <w:sz w:val="18"/>
              </w:rPr>
              <w:t>Other land</w:t>
            </w:r>
          </w:p>
        </w:tc>
        <w:tc>
          <w:tcPr>
            <w:tcW w:w="690" w:type="dxa"/>
            <w:tcBorders>
              <w:left w:val="nil"/>
              <w:right w:val="nil"/>
            </w:tcBorders>
          </w:tcPr>
          <w:p>
            <w:pPr>
              <w:pStyle w:val="TableParagraph"/>
              <w:spacing w:before="28"/>
              <w:ind w:right="225"/>
              <w:jc w:val="right"/>
              <w:rPr>
                <w:sz w:val="18"/>
              </w:rPr>
            </w:pPr>
            <w:r>
              <w:rPr>
                <w:sz w:val="18"/>
              </w:rPr>
              <w:t>=</w:t>
            </w:r>
          </w:p>
        </w:tc>
        <w:tc>
          <w:tcPr>
            <w:tcW w:w="748" w:type="dxa"/>
            <w:tcBorders>
              <w:left w:val="nil"/>
            </w:tcBorders>
          </w:tcPr>
          <w:p>
            <w:pPr>
              <w:pStyle w:val="TableParagraph"/>
              <w:spacing w:before="28"/>
              <w:ind w:left="278"/>
              <w:rPr>
                <w:sz w:val="18"/>
              </w:rPr>
            </w:pPr>
            <w:r>
              <w:rPr>
                <w:sz w:val="18"/>
              </w:rPr>
              <w:t>0</w:t>
            </w:r>
          </w:p>
        </w:tc>
      </w:tr>
      <w:tr>
        <w:trPr>
          <w:trHeight w:val="275" w:hRule="atLeast"/>
        </w:trPr>
        <w:tc>
          <w:tcPr>
            <w:tcW w:w="834" w:type="dxa"/>
            <w:tcBorders>
              <w:right w:val="nil"/>
            </w:tcBorders>
          </w:tcPr>
          <w:p>
            <w:pPr>
              <w:pStyle w:val="TableParagraph"/>
              <w:spacing w:before="28"/>
              <w:ind w:left="333"/>
              <w:rPr>
                <w:i/>
                <w:sz w:val="18"/>
              </w:rPr>
            </w:pPr>
            <w:r>
              <w:rPr>
                <w:i/>
                <w:sz w:val="18"/>
              </w:rPr>
              <w:t>Sum</w:t>
            </w:r>
          </w:p>
        </w:tc>
        <w:tc>
          <w:tcPr>
            <w:tcW w:w="501" w:type="dxa"/>
            <w:tcBorders>
              <w:left w:val="nil"/>
              <w:right w:val="nil"/>
            </w:tcBorders>
          </w:tcPr>
          <w:p>
            <w:pPr>
              <w:pStyle w:val="TableParagraph"/>
              <w:spacing w:before="28"/>
              <w:ind w:left="193"/>
              <w:rPr>
                <w:i/>
                <w:sz w:val="18"/>
              </w:rPr>
            </w:pPr>
            <w:r>
              <w:rPr>
                <w:i/>
                <w:sz w:val="18"/>
              </w:rPr>
              <w:t>=</w:t>
            </w:r>
          </w:p>
        </w:tc>
        <w:tc>
          <w:tcPr>
            <w:tcW w:w="801" w:type="dxa"/>
            <w:tcBorders>
              <w:left w:val="nil"/>
            </w:tcBorders>
          </w:tcPr>
          <w:p>
            <w:pPr>
              <w:pStyle w:val="TableParagraph"/>
              <w:spacing w:before="28"/>
              <w:ind w:right="324"/>
              <w:jc w:val="right"/>
              <w:rPr>
                <w:i/>
                <w:sz w:val="18"/>
              </w:rPr>
            </w:pPr>
            <w:r>
              <w:rPr>
                <w:i/>
                <w:sz w:val="18"/>
              </w:rPr>
              <w:t>140</w:t>
            </w:r>
          </w:p>
        </w:tc>
        <w:tc>
          <w:tcPr>
            <w:tcW w:w="778" w:type="dxa"/>
            <w:tcBorders>
              <w:right w:val="nil"/>
            </w:tcBorders>
          </w:tcPr>
          <w:p>
            <w:pPr>
              <w:pStyle w:val="TableParagraph"/>
              <w:spacing w:before="28"/>
              <w:ind w:left="281" w:right="141"/>
              <w:jc w:val="center"/>
              <w:rPr>
                <w:i/>
                <w:sz w:val="18"/>
              </w:rPr>
            </w:pPr>
            <w:r>
              <w:rPr>
                <w:i/>
                <w:sz w:val="18"/>
              </w:rPr>
              <w:t>Sum</w:t>
            </w:r>
          </w:p>
        </w:tc>
        <w:tc>
          <w:tcPr>
            <w:tcW w:w="472" w:type="dxa"/>
            <w:tcBorders>
              <w:left w:val="nil"/>
              <w:right w:val="nil"/>
            </w:tcBorders>
          </w:tcPr>
          <w:p>
            <w:pPr>
              <w:pStyle w:val="TableParagraph"/>
              <w:spacing w:before="28"/>
              <w:ind w:left="169"/>
              <w:rPr>
                <w:i/>
                <w:sz w:val="18"/>
              </w:rPr>
            </w:pPr>
            <w:r>
              <w:rPr>
                <w:i/>
                <w:sz w:val="18"/>
              </w:rPr>
              <w:t>=</w:t>
            </w:r>
          </w:p>
        </w:tc>
        <w:tc>
          <w:tcPr>
            <w:tcW w:w="795" w:type="dxa"/>
            <w:tcBorders>
              <w:left w:val="nil"/>
            </w:tcBorders>
          </w:tcPr>
          <w:p>
            <w:pPr>
              <w:pStyle w:val="TableParagraph"/>
              <w:spacing w:before="28"/>
              <w:ind w:right="134"/>
              <w:jc w:val="center"/>
              <w:rPr>
                <w:i/>
                <w:sz w:val="18"/>
              </w:rPr>
            </w:pPr>
            <w:r>
              <w:rPr>
                <w:i/>
                <w:sz w:val="18"/>
              </w:rPr>
              <w:t>140</w:t>
            </w:r>
          </w:p>
        </w:tc>
        <w:tc>
          <w:tcPr>
            <w:tcW w:w="1758" w:type="dxa"/>
            <w:tcBorders>
              <w:right w:val="nil"/>
            </w:tcBorders>
          </w:tcPr>
          <w:p>
            <w:pPr>
              <w:pStyle w:val="TableParagraph"/>
              <w:spacing w:before="28"/>
              <w:ind w:left="818" w:right="584"/>
              <w:jc w:val="center"/>
              <w:rPr>
                <w:i/>
                <w:sz w:val="18"/>
              </w:rPr>
            </w:pPr>
            <w:r>
              <w:rPr>
                <w:i/>
                <w:sz w:val="18"/>
              </w:rPr>
              <w:t>Sum</w:t>
            </w:r>
          </w:p>
        </w:tc>
        <w:tc>
          <w:tcPr>
            <w:tcW w:w="690" w:type="dxa"/>
            <w:tcBorders>
              <w:left w:val="nil"/>
              <w:right w:val="nil"/>
            </w:tcBorders>
          </w:tcPr>
          <w:p>
            <w:pPr>
              <w:pStyle w:val="TableParagraph"/>
              <w:spacing w:before="28"/>
              <w:ind w:right="217"/>
              <w:jc w:val="right"/>
              <w:rPr>
                <w:i/>
                <w:sz w:val="18"/>
              </w:rPr>
            </w:pPr>
            <w:r>
              <w:rPr>
                <w:i/>
                <w:sz w:val="18"/>
              </w:rPr>
              <w:t>=</w:t>
            </w:r>
          </w:p>
        </w:tc>
        <w:tc>
          <w:tcPr>
            <w:tcW w:w="748" w:type="dxa"/>
            <w:tcBorders>
              <w:left w:val="nil"/>
            </w:tcBorders>
          </w:tcPr>
          <w:p>
            <w:pPr>
              <w:pStyle w:val="TableParagraph"/>
              <w:spacing w:before="28"/>
              <w:ind w:left="278"/>
              <w:rPr>
                <w:i/>
                <w:sz w:val="18"/>
              </w:rPr>
            </w:pPr>
            <w:r>
              <w:rPr>
                <w:i/>
                <w:sz w:val="18"/>
              </w:rPr>
              <w:t>0</w:t>
            </w:r>
          </w:p>
        </w:tc>
      </w:tr>
      <w:tr>
        <w:trPr>
          <w:trHeight w:val="443" w:hRule="atLeast"/>
        </w:trPr>
        <w:tc>
          <w:tcPr>
            <w:tcW w:w="7377" w:type="dxa"/>
            <w:gridSpan w:val="9"/>
          </w:tcPr>
          <w:p>
            <w:pPr>
              <w:pStyle w:val="TableParagraph"/>
              <w:spacing w:before="35"/>
              <w:ind w:left="57" w:right="158"/>
              <w:rPr>
                <w:sz w:val="16"/>
              </w:rPr>
            </w:pPr>
            <w:r>
              <w:rPr>
                <w:sz w:val="16"/>
              </w:rPr>
              <w:t>Note: F = Forest land, G = Grassland, C = Cropland, W = Wetlands, S = Settlements, O = Other land. Numbers represent area units (Mha in this example).</w:t>
            </w:r>
          </w:p>
        </w:tc>
      </w:tr>
    </w:tbl>
    <w:p>
      <w:pPr>
        <w:spacing w:after="0"/>
        <w:rPr>
          <w:sz w:val="16"/>
        </w:rPr>
        <w:sectPr>
          <w:pgSz w:w="11900" w:h="16840"/>
          <w:pgMar w:header="230" w:footer="408" w:top="560" w:bottom="600" w:left="1000" w:right="860"/>
        </w:sectPr>
      </w:pPr>
    </w:p>
    <w:p>
      <w:pPr>
        <w:pStyle w:val="BodyText"/>
      </w:pPr>
    </w:p>
    <w:p>
      <w:pPr>
        <w:pStyle w:val="BodyText"/>
        <w:rPr>
          <w:sz w:val="19"/>
        </w:rPr>
      </w:pPr>
    </w:p>
    <w:tbl>
      <w:tblPr>
        <w:tblW w:w="0" w:type="auto"/>
        <w:jc w:val="left"/>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8"/>
        <w:gridCol w:w="655"/>
        <w:gridCol w:w="643"/>
        <w:gridCol w:w="645"/>
        <w:gridCol w:w="1847"/>
        <w:gridCol w:w="2953"/>
      </w:tblGrid>
      <w:tr>
        <w:trPr>
          <w:trHeight w:val="548" w:hRule="atLeast"/>
        </w:trPr>
        <w:tc>
          <w:tcPr>
            <w:tcW w:w="9011" w:type="dxa"/>
            <w:gridSpan w:val="6"/>
            <w:tcBorders>
              <w:bottom w:val="double" w:sz="1" w:space="0" w:color="000000"/>
            </w:tcBorders>
          </w:tcPr>
          <w:p>
            <w:pPr>
              <w:pStyle w:val="TableParagraph"/>
              <w:spacing w:line="207" w:lineRule="exact" w:before="74"/>
              <w:ind w:left="1951" w:right="1940"/>
              <w:jc w:val="center"/>
              <w:rPr>
                <w:b/>
                <w:sz w:val="18"/>
              </w:rPr>
            </w:pPr>
            <w:r>
              <w:rPr>
                <w:b/>
                <w:sz w:val="18"/>
              </w:rPr>
              <w:t>T</w:t>
            </w:r>
            <w:r>
              <w:rPr>
                <w:b/>
                <w:sz w:val="14"/>
              </w:rPr>
              <w:t>ABLE </w:t>
            </w:r>
            <w:r>
              <w:rPr>
                <w:b/>
                <w:sz w:val="18"/>
              </w:rPr>
              <w:t>2.3.2</w:t>
            </w:r>
          </w:p>
          <w:p>
            <w:pPr>
              <w:pStyle w:val="TableParagraph"/>
              <w:spacing w:line="207" w:lineRule="exact"/>
              <w:ind w:left="1987" w:right="1940"/>
              <w:jc w:val="center"/>
              <w:rPr>
                <w:b/>
                <w:sz w:val="18"/>
              </w:rPr>
            </w:pPr>
            <w:r>
              <w:rPr>
                <w:b/>
                <w:sz w:val="18"/>
              </w:rPr>
              <w:t>I</w:t>
            </w:r>
            <w:r>
              <w:rPr>
                <w:b/>
                <w:sz w:val="14"/>
              </w:rPr>
              <w:t>LLUSTRATIVE EXAMPLE OF SUB</w:t>
            </w:r>
            <w:r>
              <w:rPr>
                <w:b/>
                <w:sz w:val="18"/>
              </w:rPr>
              <w:t>-</w:t>
            </w:r>
            <w:r>
              <w:rPr>
                <w:b/>
                <w:sz w:val="14"/>
              </w:rPr>
              <w:t>DIVISION OF DATA FOR </w:t>
            </w:r>
            <w:r>
              <w:rPr>
                <w:b/>
                <w:sz w:val="18"/>
              </w:rPr>
              <w:t>A</w:t>
            </w:r>
            <w:r>
              <w:rPr>
                <w:b/>
                <w:sz w:val="14"/>
              </w:rPr>
              <w:t>PPROACH </w:t>
            </w:r>
            <w:r>
              <w:rPr>
                <w:b/>
                <w:sz w:val="18"/>
              </w:rPr>
              <w:t>1</w:t>
            </w:r>
          </w:p>
        </w:tc>
      </w:tr>
      <w:tr>
        <w:trPr>
          <w:trHeight w:val="947" w:hRule="atLeast"/>
        </w:trPr>
        <w:tc>
          <w:tcPr>
            <w:tcW w:w="2268" w:type="dxa"/>
            <w:tcBorders>
              <w:top w:val="double" w:sz="1" w:space="0" w:color="000000"/>
            </w:tcBorders>
          </w:tcPr>
          <w:p>
            <w:pPr>
              <w:pStyle w:val="TableParagraph"/>
              <w:rPr>
                <w:sz w:val="20"/>
              </w:rPr>
            </w:pPr>
          </w:p>
          <w:p>
            <w:pPr>
              <w:pStyle w:val="TableParagraph"/>
              <w:spacing w:before="124"/>
              <w:ind w:left="57"/>
              <w:rPr>
                <w:b/>
                <w:sz w:val="18"/>
              </w:rPr>
            </w:pPr>
            <w:r>
              <w:rPr>
                <w:b/>
                <w:sz w:val="18"/>
              </w:rPr>
              <w:t>Land-Use Category</w:t>
            </w:r>
          </w:p>
          <w:p>
            <w:pPr>
              <w:pStyle w:val="TableParagraph"/>
              <w:spacing w:before="115"/>
              <w:ind w:left="477"/>
              <w:rPr>
                <w:sz w:val="18"/>
              </w:rPr>
            </w:pPr>
            <w:r>
              <w:rPr>
                <w:sz w:val="18"/>
              </w:rPr>
              <w:t>Land-Use Subcategory</w:t>
            </w:r>
          </w:p>
        </w:tc>
        <w:tc>
          <w:tcPr>
            <w:tcW w:w="655" w:type="dxa"/>
            <w:tcBorders>
              <w:top w:val="double" w:sz="1" w:space="0" w:color="000000"/>
            </w:tcBorders>
          </w:tcPr>
          <w:p>
            <w:pPr>
              <w:pStyle w:val="TableParagraph"/>
              <w:spacing w:before="61"/>
              <w:ind w:left="93" w:right="81"/>
              <w:jc w:val="center"/>
              <w:rPr>
                <w:b/>
                <w:sz w:val="18"/>
              </w:rPr>
            </w:pPr>
            <w:r>
              <w:rPr>
                <w:b/>
                <w:sz w:val="18"/>
              </w:rPr>
              <w:t>Initial land area Mha</w:t>
            </w:r>
          </w:p>
        </w:tc>
        <w:tc>
          <w:tcPr>
            <w:tcW w:w="643" w:type="dxa"/>
            <w:tcBorders>
              <w:top w:val="double" w:sz="1" w:space="0" w:color="000000"/>
            </w:tcBorders>
          </w:tcPr>
          <w:p>
            <w:pPr>
              <w:pStyle w:val="TableParagraph"/>
              <w:spacing w:before="61"/>
              <w:ind w:left="153" w:right="98" w:hanging="20"/>
              <w:jc w:val="both"/>
              <w:rPr>
                <w:b/>
                <w:sz w:val="18"/>
              </w:rPr>
            </w:pPr>
            <w:r>
              <w:rPr>
                <w:b/>
                <w:sz w:val="18"/>
              </w:rPr>
              <w:t>Final land area Mha</w:t>
            </w:r>
          </w:p>
        </w:tc>
        <w:tc>
          <w:tcPr>
            <w:tcW w:w="645" w:type="dxa"/>
            <w:tcBorders>
              <w:top w:val="double" w:sz="1" w:space="0" w:color="000000"/>
            </w:tcBorders>
          </w:tcPr>
          <w:p>
            <w:pPr>
              <w:pStyle w:val="TableParagraph"/>
              <w:spacing w:before="61"/>
              <w:ind w:left="19" w:right="24" w:hanging="3"/>
              <w:jc w:val="center"/>
              <w:rPr>
                <w:b/>
                <w:sz w:val="18"/>
              </w:rPr>
            </w:pPr>
            <w:r>
              <w:rPr>
                <w:b/>
                <w:sz w:val="18"/>
              </w:rPr>
              <w:t>Net Change in area Mha</w:t>
            </w:r>
          </w:p>
        </w:tc>
        <w:tc>
          <w:tcPr>
            <w:tcW w:w="1847" w:type="dxa"/>
            <w:tcBorders>
              <w:top w:val="double" w:sz="1" w:space="0" w:color="000000"/>
            </w:tcBorders>
          </w:tcPr>
          <w:p>
            <w:pPr>
              <w:pStyle w:val="TableParagraph"/>
              <w:spacing w:before="61"/>
              <w:ind w:left="15" w:right="18"/>
              <w:jc w:val="center"/>
              <w:rPr>
                <w:b/>
                <w:sz w:val="18"/>
              </w:rPr>
            </w:pPr>
            <w:r>
              <w:rPr>
                <w:rFonts w:ascii="TimesNewRomanPS-BoldItalicMT"/>
                <w:b/>
                <w:i/>
                <w:sz w:val="18"/>
              </w:rPr>
              <w:t>Good practice Guidance </w:t>
            </w:r>
            <w:r>
              <w:rPr>
                <w:b/>
                <w:sz w:val="18"/>
              </w:rPr>
              <w:t>Methods Section Number in Chapter 3 of this Report</w:t>
            </w:r>
          </w:p>
        </w:tc>
        <w:tc>
          <w:tcPr>
            <w:tcW w:w="2953" w:type="dxa"/>
            <w:tcBorders>
              <w:top w:val="double" w:sz="1" w:space="0" w:color="000000"/>
            </w:tcBorders>
          </w:tcPr>
          <w:p>
            <w:pPr>
              <w:pStyle w:val="TableParagraph"/>
              <w:spacing w:before="3"/>
              <w:rPr>
                <w:sz w:val="23"/>
              </w:rPr>
            </w:pPr>
          </w:p>
          <w:p>
            <w:pPr>
              <w:pStyle w:val="TableParagraph"/>
              <w:ind w:left="808" w:right="74" w:hanging="720"/>
              <w:rPr>
                <w:b/>
                <w:sz w:val="18"/>
              </w:rPr>
            </w:pPr>
            <w:r>
              <w:rPr>
                <w:b/>
                <w:sz w:val="18"/>
              </w:rPr>
              <w:t>Comment on subdivision by activity (illustrative only)</w:t>
            </w:r>
          </w:p>
        </w:tc>
      </w:tr>
      <w:tr>
        <w:trPr>
          <w:trHeight w:val="268" w:hRule="atLeast"/>
        </w:trPr>
        <w:tc>
          <w:tcPr>
            <w:tcW w:w="2268" w:type="dxa"/>
          </w:tcPr>
          <w:p>
            <w:pPr>
              <w:pStyle w:val="TableParagraph"/>
              <w:spacing w:before="33"/>
              <w:ind w:left="57"/>
              <w:rPr>
                <w:b/>
                <w:sz w:val="18"/>
              </w:rPr>
            </w:pPr>
            <w:r>
              <w:rPr>
                <w:b/>
                <w:sz w:val="18"/>
              </w:rPr>
              <w:t>Forest land total</w:t>
            </w:r>
          </w:p>
        </w:tc>
        <w:tc>
          <w:tcPr>
            <w:tcW w:w="655" w:type="dxa"/>
          </w:tcPr>
          <w:p>
            <w:pPr>
              <w:pStyle w:val="TableParagraph"/>
              <w:spacing w:before="38"/>
              <w:ind w:left="88" w:right="81"/>
              <w:jc w:val="center"/>
              <w:rPr>
                <w:b/>
                <w:sz w:val="18"/>
              </w:rPr>
            </w:pPr>
            <w:r>
              <w:rPr>
                <w:b/>
                <w:sz w:val="18"/>
              </w:rPr>
              <w:t>18</w:t>
            </w:r>
          </w:p>
        </w:tc>
        <w:tc>
          <w:tcPr>
            <w:tcW w:w="643" w:type="dxa"/>
          </w:tcPr>
          <w:p>
            <w:pPr>
              <w:pStyle w:val="TableParagraph"/>
              <w:spacing w:before="38"/>
              <w:ind w:left="228"/>
              <w:rPr>
                <w:b/>
                <w:sz w:val="18"/>
              </w:rPr>
            </w:pPr>
            <w:r>
              <w:rPr>
                <w:b/>
                <w:sz w:val="18"/>
              </w:rPr>
              <w:t>19</w:t>
            </w:r>
          </w:p>
        </w:tc>
        <w:tc>
          <w:tcPr>
            <w:tcW w:w="645" w:type="dxa"/>
          </w:tcPr>
          <w:p>
            <w:pPr>
              <w:pStyle w:val="TableParagraph"/>
              <w:spacing w:before="38"/>
              <w:ind w:left="276"/>
              <w:rPr>
                <w:b/>
                <w:sz w:val="18"/>
              </w:rPr>
            </w:pPr>
            <w:r>
              <w:rPr>
                <w:b/>
                <w:sz w:val="18"/>
              </w:rPr>
              <w:t>1</w:t>
            </w:r>
          </w:p>
        </w:tc>
        <w:tc>
          <w:tcPr>
            <w:tcW w:w="1847" w:type="dxa"/>
          </w:tcPr>
          <w:p>
            <w:pPr>
              <w:pStyle w:val="TableParagraph"/>
              <w:rPr>
                <w:sz w:val="18"/>
              </w:rPr>
            </w:pPr>
          </w:p>
        </w:tc>
        <w:tc>
          <w:tcPr>
            <w:tcW w:w="2953" w:type="dxa"/>
          </w:tcPr>
          <w:p>
            <w:pPr>
              <w:pStyle w:val="TableParagraph"/>
              <w:rPr>
                <w:sz w:val="18"/>
              </w:rPr>
            </w:pPr>
          </w:p>
        </w:tc>
      </w:tr>
      <w:tr>
        <w:trPr>
          <w:trHeight w:val="445" w:hRule="atLeast"/>
        </w:trPr>
        <w:tc>
          <w:tcPr>
            <w:tcW w:w="2268" w:type="dxa"/>
          </w:tcPr>
          <w:p>
            <w:pPr>
              <w:pStyle w:val="TableParagraph"/>
              <w:spacing w:line="210" w:lineRule="atLeast" w:before="13"/>
              <w:ind w:left="465" w:right="783" w:firstLine="45"/>
              <w:rPr>
                <w:sz w:val="18"/>
              </w:rPr>
            </w:pPr>
            <w:r>
              <w:rPr>
                <w:sz w:val="18"/>
              </w:rPr>
              <w:t>Forest land (Unmanaged)</w:t>
            </w:r>
          </w:p>
        </w:tc>
        <w:tc>
          <w:tcPr>
            <w:tcW w:w="655" w:type="dxa"/>
          </w:tcPr>
          <w:p>
            <w:pPr>
              <w:pStyle w:val="TableParagraph"/>
              <w:spacing w:before="119"/>
              <w:ind w:left="6"/>
              <w:jc w:val="center"/>
              <w:rPr>
                <w:sz w:val="18"/>
              </w:rPr>
            </w:pPr>
            <w:r>
              <w:rPr>
                <w:sz w:val="18"/>
              </w:rPr>
              <w:t>5</w:t>
            </w:r>
          </w:p>
        </w:tc>
        <w:tc>
          <w:tcPr>
            <w:tcW w:w="643" w:type="dxa"/>
          </w:tcPr>
          <w:p>
            <w:pPr>
              <w:pStyle w:val="TableParagraph"/>
              <w:spacing w:before="119"/>
              <w:ind w:left="3"/>
              <w:jc w:val="center"/>
              <w:rPr>
                <w:sz w:val="18"/>
              </w:rPr>
            </w:pPr>
            <w:r>
              <w:rPr>
                <w:sz w:val="18"/>
              </w:rPr>
              <w:t>5</w:t>
            </w:r>
          </w:p>
        </w:tc>
        <w:tc>
          <w:tcPr>
            <w:tcW w:w="645" w:type="dxa"/>
          </w:tcPr>
          <w:p>
            <w:pPr>
              <w:pStyle w:val="TableParagraph"/>
              <w:spacing w:before="119"/>
              <w:ind w:left="275"/>
              <w:rPr>
                <w:sz w:val="18"/>
              </w:rPr>
            </w:pPr>
            <w:r>
              <w:rPr>
                <w:sz w:val="18"/>
              </w:rPr>
              <w:t>0</w:t>
            </w:r>
          </w:p>
        </w:tc>
        <w:tc>
          <w:tcPr>
            <w:tcW w:w="1847" w:type="dxa"/>
          </w:tcPr>
          <w:p>
            <w:pPr>
              <w:pStyle w:val="TableParagraph"/>
              <w:rPr>
                <w:sz w:val="18"/>
              </w:rPr>
            </w:pPr>
          </w:p>
        </w:tc>
        <w:tc>
          <w:tcPr>
            <w:tcW w:w="2953" w:type="dxa"/>
          </w:tcPr>
          <w:p>
            <w:pPr>
              <w:pStyle w:val="TableParagraph"/>
              <w:spacing w:before="119"/>
              <w:ind w:left="58"/>
              <w:rPr>
                <w:sz w:val="18"/>
              </w:rPr>
            </w:pPr>
            <w:r>
              <w:rPr>
                <w:sz w:val="18"/>
              </w:rPr>
              <w:t>Not included in the inventory estimates</w:t>
            </w:r>
          </w:p>
        </w:tc>
      </w:tr>
      <w:tr>
        <w:trPr>
          <w:trHeight w:val="580" w:hRule="atLeast"/>
        </w:trPr>
        <w:tc>
          <w:tcPr>
            <w:tcW w:w="2268" w:type="dxa"/>
          </w:tcPr>
          <w:p>
            <w:pPr>
              <w:pStyle w:val="TableParagraph"/>
              <w:spacing w:before="86"/>
              <w:ind w:left="465" w:right="348" w:firstLine="45"/>
              <w:rPr>
                <w:sz w:val="18"/>
              </w:rPr>
            </w:pPr>
            <w:r>
              <w:rPr>
                <w:sz w:val="18"/>
              </w:rPr>
              <w:t>Forest land zone A (with deforestation)</w:t>
            </w:r>
          </w:p>
        </w:tc>
        <w:tc>
          <w:tcPr>
            <w:tcW w:w="655" w:type="dxa"/>
          </w:tcPr>
          <w:p>
            <w:pPr>
              <w:pStyle w:val="TableParagraph"/>
              <w:spacing w:before="5"/>
              <w:rPr>
                <w:sz w:val="16"/>
              </w:rPr>
            </w:pPr>
          </w:p>
          <w:p>
            <w:pPr>
              <w:pStyle w:val="TableParagraph"/>
              <w:ind w:left="6"/>
              <w:jc w:val="center"/>
              <w:rPr>
                <w:sz w:val="18"/>
              </w:rPr>
            </w:pPr>
            <w:r>
              <w:rPr>
                <w:sz w:val="18"/>
              </w:rPr>
              <w:t>7</w:t>
            </w:r>
          </w:p>
        </w:tc>
        <w:tc>
          <w:tcPr>
            <w:tcW w:w="643" w:type="dxa"/>
          </w:tcPr>
          <w:p>
            <w:pPr>
              <w:pStyle w:val="TableParagraph"/>
              <w:spacing w:before="5"/>
              <w:rPr>
                <w:sz w:val="16"/>
              </w:rPr>
            </w:pPr>
          </w:p>
          <w:p>
            <w:pPr>
              <w:pStyle w:val="TableParagraph"/>
              <w:ind w:left="3"/>
              <w:jc w:val="center"/>
              <w:rPr>
                <w:sz w:val="18"/>
              </w:rPr>
            </w:pPr>
            <w:r>
              <w:rPr>
                <w:sz w:val="18"/>
              </w:rPr>
              <w:t>4</w:t>
            </w:r>
          </w:p>
        </w:tc>
        <w:tc>
          <w:tcPr>
            <w:tcW w:w="645" w:type="dxa"/>
          </w:tcPr>
          <w:p>
            <w:pPr>
              <w:pStyle w:val="TableParagraph"/>
              <w:spacing w:before="5"/>
              <w:rPr>
                <w:sz w:val="16"/>
              </w:rPr>
            </w:pPr>
          </w:p>
          <w:p>
            <w:pPr>
              <w:pStyle w:val="TableParagraph"/>
              <w:ind w:left="247"/>
              <w:rPr>
                <w:sz w:val="18"/>
              </w:rPr>
            </w:pPr>
            <w:r>
              <w:rPr>
                <w:sz w:val="18"/>
              </w:rPr>
              <w:t>-3</w:t>
            </w:r>
          </w:p>
        </w:tc>
        <w:tc>
          <w:tcPr>
            <w:tcW w:w="1847" w:type="dxa"/>
          </w:tcPr>
          <w:p>
            <w:pPr>
              <w:pStyle w:val="TableParagraph"/>
              <w:spacing w:before="5"/>
              <w:rPr>
                <w:sz w:val="16"/>
              </w:rPr>
            </w:pPr>
          </w:p>
          <w:p>
            <w:pPr>
              <w:pStyle w:val="TableParagraph"/>
              <w:ind w:left="15" w:right="9"/>
              <w:jc w:val="center"/>
              <w:rPr>
                <w:sz w:val="18"/>
              </w:rPr>
            </w:pPr>
            <w:r>
              <w:rPr>
                <w:sz w:val="18"/>
              </w:rPr>
              <w:t>3.2.1/3.4.2/3.6</w:t>
            </w:r>
          </w:p>
        </w:tc>
        <w:tc>
          <w:tcPr>
            <w:tcW w:w="2953" w:type="dxa"/>
          </w:tcPr>
          <w:p>
            <w:pPr>
              <w:pStyle w:val="TableParagraph"/>
              <w:rPr>
                <w:sz w:val="18"/>
              </w:rPr>
            </w:pPr>
          </w:p>
        </w:tc>
      </w:tr>
      <w:tr>
        <w:trPr>
          <w:trHeight w:val="470" w:hRule="atLeast"/>
        </w:trPr>
        <w:tc>
          <w:tcPr>
            <w:tcW w:w="2268" w:type="dxa"/>
          </w:tcPr>
          <w:p>
            <w:pPr>
              <w:pStyle w:val="TableParagraph"/>
              <w:spacing w:before="134"/>
              <w:ind w:left="510"/>
              <w:rPr>
                <w:sz w:val="18"/>
              </w:rPr>
            </w:pPr>
            <w:r>
              <w:rPr>
                <w:sz w:val="18"/>
              </w:rPr>
              <w:t>Forest land zone B</w:t>
            </w:r>
          </w:p>
        </w:tc>
        <w:tc>
          <w:tcPr>
            <w:tcW w:w="655" w:type="dxa"/>
          </w:tcPr>
          <w:p>
            <w:pPr>
              <w:pStyle w:val="TableParagraph"/>
              <w:spacing w:before="134"/>
              <w:ind w:left="7"/>
              <w:jc w:val="center"/>
              <w:rPr>
                <w:sz w:val="18"/>
              </w:rPr>
            </w:pPr>
            <w:r>
              <w:rPr>
                <w:sz w:val="18"/>
              </w:rPr>
              <w:t>6</w:t>
            </w:r>
          </w:p>
        </w:tc>
        <w:tc>
          <w:tcPr>
            <w:tcW w:w="643" w:type="dxa"/>
          </w:tcPr>
          <w:p>
            <w:pPr>
              <w:pStyle w:val="TableParagraph"/>
              <w:spacing w:before="134"/>
              <w:ind w:left="4"/>
              <w:jc w:val="center"/>
              <w:rPr>
                <w:sz w:val="18"/>
              </w:rPr>
            </w:pPr>
            <w:r>
              <w:rPr>
                <w:sz w:val="18"/>
              </w:rPr>
              <w:t>6</w:t>
            </w:r>
          </w:p>
        </w:tc>
        <w:tc>
          <w:tcPr>
            <w:tcW w:w="645" w:type="dxa"/>
          </w:tcPr>
          <w:p>
            <w:pPr>
              <w:pStyle w:val="TableParagraph"/>
              <w:spacing w:before="134"/>
              <w:ind w:left="276"/>
              <w:rPr>
                <w:sz w:val="18"/>
              </w:rPr>
            </w:pPr>
            <w:r>
              <w:rPr>
                <w:sz w:val="18"/>
              </w:rPr>
              <w:t>0</w:t>
            </w:r>
          </w:p>
        </w:tc>
        <w:tc>
          <w:tcPr>
            <w:tcW w:w="1847" w:type="dxa"/>
          </w:tcPr>
          <w:p>
            <w:pPr>
              <w:pStyle w:val="TableParagraph"/>
              <w:spacing w:before="134"/>
              <w:ind w:left="15" w:right="7"/>
              <w:jc w:val="center"/>
              <w:rPr>
                <w:sz w:val="18"/>
              </w:rPr>
            </w:pPr>
            <w:r>
              <w:rPr>
                <w:sz w:val="18"/>
              </w:rPr>
              <w:t>3.2.1</w:t>
            </w:r>
          </w:p>
        </w:tc>
        <w:tc>
          <w:tcPr>
            <w:tcW w:w="2953" w:type="dxa"/>
          </w:tcPr>
          <w:p>
            <w:pPr>
              <w:pStyle w:val="TableParagraph"/>
              <w:spacing w:before="31"/>
              <w:ind w:left="59" w:right="24"/>
              <w:rPr>
                <w:sz w:val="18"/>
              </w:rPr>
            </w:pPr>
            <w:r>
              <w:rPr>
                <w:sz w:val="18"/>
              </w:rPr>
              <w:t>No LUC. Could require subdivision for different management regimes etc.</w:t>
            </w:r>
          </w:p>
        </w:tc>
      </w:tr>
      <w:tr>
        <w:trPr>
          <w:trHeight w:val="467" w:hRule="atLeast"/>
        </w:trPr>
        <w:tc>
          <w:tcPr>
            <w:tcW w:w="2268" w:type="dxa"/>
          </w:tcPr>
          <w:p>
            <w:pPr>
              <w:pStyle w:val="TableParagraph"/>
              <w:spacing w:before="134"/>
              <w:ind w:left="510"/>
              <w:rPr>
                <w:sz w:val="18"/>
              </w:rPr>
            </w:pPr>
            <w:r>
              <w:rPr>
                <w:sz w:val="18"/>
              </w:rPr>
              <w:t>Afforestation</w:t>
            </w:r>
          </w:p>
        </w:tc>
        <w:tc>
          <w:tcPr>
            <w:tcW w:w="655" w:type="dxa"/>
          </w:tcPr>
          <w:p>
            <w:pPr>
              <w:pStyle w:val="TableParagraph"/>
              <w:spacing w:before="134"/>
              <w:ind w:left="9"/>
              <w:jc w:val="center"/>
              <w:rPr>
                <w:sz w:val="18"/>
              </w:rPr>
            </w:pPr>
            <w:r>
              <w:rPr>
                <w:sz w:val="18"/>
              </w:rPr>
              <w:t>0</w:t>
            </w:r>
          </w:p>
        </w:tc>
        <w:tc>
          <w:tcPr>
            <w:tcW w:w="643" w:type="dxa"/>
          </w:tcPr>
          <w:p>
            <w:pPr>
              <w:pStyle w:val="TableParagraph"/>
              <w:spacing w:before="134"/>
              <w:ind w:left="6"/>
              <w:jc w:val="center"/>
              <w:rPr>
                <w:sz w:val="18"/>
              </w:rPr>
            </w:pPr>
            <w:r>
              <w:rPr>
                <w:sz w:val="18"/>
              </w:rPr>
              <w:t>4</w:t>
            </w:r>
          </w:p>
        </w:tc>
        <w:tc>
          <w:tcPr>
            <w:tcW w:w="645" w:type="dxa"/>
          </w:tcPr>
          <w:p>
            <w:pPr>
              <w:pStyle w:val="TableParagraph"/>
              <w:spacing w:before="134"/>
              <w:ind w:left="277"/>
              <w:rPr>
                <w:sz w:val="18"/>
              </w:rPr>
            </w:pPr>
            <w:r>
              <w:rPr>
                <w:sz w:val="18"/>
              </w:rPr>
              <w:t>4</w:t>
            </w:r>
          </w:p>
        </w:tc>
        <w:tc>
          <w:tcPr>
            <w:tcW w:w="1847" w:type="dxa"/>
          </w:tcPr>
          <w:p>
            <w:pPr>
              <w:pStyle w:val="TableParagraph"/>
              <w:spacing w:before="134"/>
              <w:ind w:left="15" w:right="4"/>
              <w:jc w:val="center"/>
              <w:rPr>
                <w:sz w:val="18"/>
              </w:rPr>
            </w:pPr>
            <w:r>
              <w:rPr>
                <w:sz w:val="18"/>
              </w:rPr>
              <w:t>3.2.2</w:t>
            </w:r>
          </w:p>
        </w:tc>
        <w:tc>
          <w:tcPr>
            <w:tcW w:w="2953" w:type="dxa"/>
          </w:tcPr>
          <w:p>
            <w:pPr>
              <w:pStyle w:val="TableParagraph"/>
              <w:spacing w:before="31"/>
              <w:ind w:left="59" w:right="464"/>
              <w:rPr>
                <w:sz w:val="18"/>
              </w:rPr>
            </w:pPr>
            <w:r>
              <w:rPr>
                <w:sz w:val="18"/>
              </w:rPr>
              <w:t>Could require subdivision e.g. by ecosystem type</w:t>
            </w:r>
          </w:p>
        </w:tc>
      </w:tr>
      <w:tr>
        <w:trPr>
          <w:trHeight w:val="270" w:hRule="atLeast"/>
        </w:trPr>
        <w:tc>
          <w:tcPr>
            <w:tcW w:w="2268" w:type="dxa"/>
          </w:tcPr>
          <w:p>
            <w:pPr>
              <w:pStyle w:val="TableParagraph"/>
              <w:spacing w:before="33"/>
              <w:ind w:left="57"/>
              <w:rPr>
                <w:b/>
                <w:sz w:val="18"/>
              </w:rPr>
            </w:pPr>
            <w:r>
              <w:rPr>
                <w:b/>
                <w:sz w:val="18"/>
              </w:rPr>
              <w:t>Grassland total</w:t>
            </w:r>
          </w:p>
        </w:tc>
        <w:tc>
          <w:tcPr>
            <w:tcW w:w="655" w:type="dxa"/>
          </w:tcPr>
          <w:p>
            <w:pPr>
              <w:pStyle w:val="TableParagraph"/>
              <w:spacing w:before="38"/>
              <w:ind w:left="88" w:right="81"/>
              <w:jc w:val="center"/>
              <w:rPr>
                <w:b/>
                <w:sz w:val="18"/>
              </w:rPr>
            </w:pPr>
            <w:r>
              <w:rPr>
                <w:b/>
                <w:sz w:val="18"/>
              </w:rPr>
              <w:t>84</w:t>
            </w:r>
          </w:p>
        </w:tc>
        <w:tc>
          <w:tcPr>
            <w:tcW w:w="643" w:type="dxa"/>
          </w:tcPr>
          <w:p>
            <w:pPr>
              <w:pStyle w:val="TableParagraph"/>
              <w:spacing w:before="38"/>
              <w:ind w:left="227"/>
              <w:rPr>
                <w:b/>
                <w:sz w:val="18"/>
              </w:rPr>
            </w:pPr>
            <w:r>
              <w:rPr>
                <w:b/>
                <w:sz w:val="18"/>
              </w:rPr>
              <w:t>82</w:t>
            </w:r>
          </w:p>
        </w:tc>
        <w:tc>
          <w:tcPr>
            <w:tcW w:w="645" w:type="dxa"/>
          </w:tcPr>
          <w:p>
            <w:pPr>
              <w:pStyle w:val="TableParagraph"/>
              <w:spacing w:before="38"/>
              <w:ind w:left="247"/>
              <w:rPr>
                <w:b/>
                <w:sz w:val="18"/>
              </w:rPr>
            </w:pPr>
            <w:r>
              <w:rPr>
                <w:b/>
                <w:sz w:val="18"/>
              </w:rPr>
              <w:t>-2</w:t>
            </w:r>
          </w:p>
        </w:tc>
        <w:tc>
          <w:tcPr>
            <w:tcW w:w="1847" w:type="dxa"/>
          </w:tcPr>
          <w:p>
            <w:pPr>
              <w:pStyle w:val="TableParagraph"/>
              <w:rPr>
                <w:sz w:val="18"/>
              </w:rPr>
            </w:pPr>
          </w:p>
        </w:tc>
        <w:tc>
          <w:tcPr>
            <w:tcW w:w="2953" w:type="dxa"/>
          </w:tcPr>
          <w:p>
            <w:pPr>
              <w:pStyle w:val="TableParagraph"/>
              <w:rPr>
                <w:sz w:val="18"/>
              </w:rPr>
            </w:pPr>
          </w:p>
        </w:tc>
      </w:tr>
      <w:tr>
        <w:trPr>
          <w:trHeight w:val="669" w:hRule="atLeast"/>
        </w:trPr>
        <w:tc>
          <w:tcPr>
            <w:tcW w:w="2268" w:type="dxa"/>
          </w:tcPr>
          <w:p>
            <w:pPr>
              <w:pStyle w:val="TableParagraph"/>
              <w:spacing w:before="2"/>
              <w:rPr>
                <w:sz w:val="20"/>
              </w:rPr>
            </w:pPr>
          </w:p>
          <w:p>
            <w:pPr>
              <w:pStyle w:val="TableParagraph"/>
              <w:ind w:right="70"/>
              <w:jc w:val="right"/>
              <w:rPr>
                <w:sz w:val="18"/>
              </w:rPr>
            </w:pPr>
            <w:r>
              <w:rPr>
                <w:sz w:val="18"/>
              </w:rPr>
              <w:t>Unimproved grassland</w:t>
            </w:r>
          </w:p>
        </w:tc>
        <w:tc>
          <w:tcPr>
            <w:tcW w:w="655" w:type="dxa"/>
          </w:tcPr>
          <w:p>
            <w:pPr>
              <w:pStyle w:val="TableParagraph"/>
              <w:spacing w:before="2"/>
              <w:rPr>
                <w:sz w:val="20"/>
              </w:rPr>
            </w:pPr>
          </w:p>
          <w:p>
            <w:pPr>
              <w:pStyle w:val="TableParagraph"/>
              <w:ind w:left="89" w:right="81"/>
              <w:jc w:val="center"/>
              <w:rPr>
                <w:sz w:val="18"/>
              </w:rPr>
            </w:pPr>
            <w:r>
              <w:rPr>
                <w:sz w:val="18"/>
              </w:rPr>
              <w:t>65</w:t>
            </w:r>
          </w:p>
        </w:tc>
        <w:tc>
          <w:tcPr>
            <w:tcW w:w="643" w:type="dxa"/>
          </w:tcPr>
          <w:p>
            <w:pPr>
              <w:pStyle w:val="TableParagraph"/>
              <w:spacing w:before="2"/>
              <w:rPr>
                <w:sz w:val="20"/>
              </w:rPr>
            </w:pPr>
          </w:p>
          <w:p>
            <w:pPr>
              <w:pStyle w:val="TableParagraph"/>
              <w:ind w:left="228"/>
              <w:rPr>
                <w:sz w:val="18"/>
              </w:rPr>
            </w:pPr>
            <w:r>
              <w:rPr>
                <w:sz w:val="18"/>
              </w:rPr>
              <w:t>63</w:t>
            </w:r>
          </w:p>
        </w:tc>
        <w:tc>
          <w:tcPr>
            <w:tcW w:w="645" w:type="dxa"/>
          </w:tcPr>
          <w:p>
            <w:pPr>
              <w:pStyle w:val="TableParagraph"/>
              <w:spacing w:before="2"/>
              <w:rPr>
                <w:sz w:val="20"/>
              </w:rPr>
            </w:pPr>
          </w:p>
          <w:p>
            <w:pPr>
              <w:pStyle w:val="TableParagraph"/>
              <w:ind w:left="247"/>
              <w:rPr>
                <w:sz w:val="18"/>
              </w:rPr>
            </w:pPr>
            <w:r>
              <w:rPr>
                <w:sz w:val="18"/>
              </w:rPr>
              <w:t>-2</w:t>
            </w:r>
          </w:p>
        </w:tc>
        <w:tc>
          <w:tcPr>
            <w:tcW w:w="1847" w:type="dxa"/>
          </w:tcPr>
          <w:p>
            <w:pPr>
              <w:pStyle w:val="TableParagraph"/>
              <w:spacing w:before="2"/>
              <w:rPr>
                <w:sz w:val="20"/>
              </w:rPr>
            </w:pPr>
          </w:p>
          <w:p>
            <w:pPr>
              <w:pStyle w:val="TableParagraph"/>
              <w:ind w:left="15" w:right="9"/>
              <w:jc w:val="center"/>
              <w:rPr>
                <w:sz w:val="18"/>
              </w:rPr>
            </w:pPr>
            <w:r>
              <w:rPr>
                <w:sz w:val="18"/>
              </w:rPr>
              <w:t>3.4.1/3.2.2/3.6</w:t>
            </w:r>
          </w:p>
        </w:tc>
        <w:tc>
          <w:tcPr>
            <w:tcW w:w="2953" w:type="dxa"/>
          </w:tcPr>
          <w:p>
            <w:pPr>
              <w:pStyle w:val="TableParagraph"/>
              <w:spacing w:before="26"/>
              <w:ind w:left="59" w:right="74"/>
              <w:rPr>
                <w:sz w:val="18"/>
              </w:rPr>
            </w:pPr>
            <w:r>
              <w:rPr>
                <w:sz w:val="18"/>
              </w:rPr>
              <w:t>Fall in area indicates LUC. Could require subdivision for different management regimes etc.</w:t>
            </w:r>
          </w:p>
        </w:tc>
      </w:tr>
      <w:tr>
        <w:trPr>
          <w:trHeight w:val="470" w:hRule="atLeast"/>
        </w:trPr>
        <w:tc>
          <w:tcPr>
            <w:tcW w:w="2268" w:type="dxa"/>
          </w:tcPr>
          <w:p>
            <w:pPr>
              <w:pStyle w:val="TableParagraph"/>
              <w:spacing w:before="134"/>
              <w:ind w:left="551"/>
              <w:rPr>
                <w:sz w:val="18"/>
              </w:rPr>
            </w:pPr>
            <w:r>
              <w:rPr>
                <w:sz w:val="18"/>
              </w:rPr>
              <w:t>Improved grassland</w:t>
            </w:r>
          </w:p>
        </w:tc>
        <w:tc>
          <w:tcPr>
            <w:tcW w:w="655" w:type="dxa"/>
          </w:tcPr>
          <w:p>
            <w:pPr>
              <w:pStyle w:val="TableParagraph"/>
              <w:spacing w:before="134"/>
              <w:ind w:left="88" w:right="81"/>
              <w:jc w:val="center"/>
              <w:rPr>
                <w:sz w:val="18"/>
              </w:rPr>
            </w:pPr>
            <w:r>
              <w:rPr>
                <w:sz w:val="18"/>
              </w:rPr>
              <w:t>19</w:t>
            </w:r>
          </w:p>
        </w:tc>
        <w:tc>
          <w:tcPr>
            <w:tcW w:w="643" w:type="dxa"/>
          </w:tcPr>
          <w:p>
            <w:pPr>
              <w:pStyle w:val="TableParagraph"/>
              <w:spacing w:before="134"/>
              <w:ind w:left="227"/>
              <w:rPr>
                <w:sz w:val="18"/>
              </w:rPr>
            </w:pPr>
            <w:r>
              <w:rPr>
                <w:sz w:val="18"/>
              </w:rPr>
              <w:t>19</w:t>
            </w:r>
          </w:p>
        </w:tc>
        <w:tc>
          <w:tcPr>
            <w:tcW w:w="645" w:type="dxa"/>
          </w:tcPr>
          <w:p>
            <w:pPr>
              <w:pStyle w:val="TableParagraph"/>
              <w:spacing w:before="134"/>
              <w:ind w:left="275"/>
              <w:rPr>
                <w:sz w:val="18"/>
              </w:rPr>
            </w:pPr>
            <w:r>
              <w:rPr>
                <w:sz w:val="18"/>
              </w:rPr>
              <w:t>0</w:t>
            </w:r>
          </w:p>
        </w:tc>
        <w:tc>
          <w:tcPr>
            <w:tcW w:w="1847" w:type="dxa"/>
          </w:tcPr>
          <w:p>
            <w:pPr>
              <w:pStyle w:val="TableParagraph"/>
              <w:spacing w:before="134"/>
              <w:ind w:left="15" w:right="7"/>
              <w:jc w:val="center"/>
              <w:rPr>
                <w:sz w:val="18"/>
              </w:rPr>
            </w:pPr>
            <w:r>
              <w:rPr>
                <w:sz w:val="18"/>
              </w:rPr>
              <w:t>3.4.1</w:t>
            </w:r>
          </w:p>
        </w:tc>
        <w:tc>
          <w:tcPr>
            <w:tcW w:w="2953" w:type="dxa"/>
          </w:tcPr>
          <w:p>
            <w:pPr>
              <w:pStyle w:val="TableParagraph"/>
              <w:spacing w:before="31"/>
              <w:ind w:left="59" w:right="24"/>
              <w:rPr>
                <w:sz w:val="18"/>
              </w:rPr>
            </w:pPr>
            <w:r>
              <w:rPr>
                <w:sz w:val="18"/>
              </w:rPr>
              <w:t>No LUC. Could require subdivision for different management regimes etc.</w:t>
            </w:r>
          </w:p>
        </w:tc>
      </w:tr>
      <w:tr>
        <w:trPr>
          <w:trHeight w:val="268" w:hRule="atLeast"/>
        </w:trPr>
        <w:tc>
          <w:tcPr>
            <w:tcW w:w="2268" w:type="dxa"/>
          </w:tcPr>
          <w:p>
            <w:pPr>
              <w:pStyle w:val="TableParagraph"/>
              <w:spacing w:before="33"/>
              <w:ind w:left="57"/>
              <w:rPr>
                <w:b/>
                <w:sz w:val="18"/>
              </w:rPr>
            </w:pPr>
            <w:r>
              <w:rPr>
                <w:b/>
                <w:sz w:val="18"/>
              </w:rPr>
              <w:t>Cropland total</w:t>
            </w:r>
          </w:p>
        </w:tc>
        <w:tc>
          <w:tcPr>
            <w:tcW w:w="655" w:type="dxa"/>
          </w:tcPr>
          <w:p>
            <w:pPr>
              <w:pStyle w:val="TableParagraph"/>
              <w:spacing w:before="38"/>
              <w:ind w:left="88" w:right="81"/>
              <w:jc w:val="center"/>
              <w:rPr>
                <w:b/>
                <w:sz w:val="18"/>
              </w:rPr>
            </w:pPr>
            <w:r>
              <w:rPr>
                <w:b/>
                <w:sz w:val="18"/>
              </w:rPr>
              <w:t>31</w:t>
            </w:r>
          </w:p>
        </w:tc>
        <w:tc>
          <w:tcPr>
            <w:tcW w:w="643" w:type="dxa"/>
          </w:tcPr>
          <w:p>
            <w:pPr>
              <w:pStyle w:val="TableParagraph"/>
              <w:spacing w:before="38"/>
              <w:ind w:left="227"/>
              <w:rPr>
                <w:b/>
                <w:sz w:val="18"/>
              </w:rPr>
            </w:pPr>
            <w:r>
              <w:rPr>
                <w:b/>
                <w:sz w:val="18"/>
              </w:rPr>
              <w:t>29</w:t>
            </w:r>
          </w:p>
        </w:tc>
        <w:tc>
          <w:tcPr>
            <w:tcW w:w="645" w:type="dxa"/>
          </w:tcPr>
          <w:p>
            <w:pPr>
              <w:pStyle w:val="TableParagraph"/>
              <w:spacing w:before="38"/>
              <w:ind w:left="247"/>
              <w:rPr>
                <w:b/>
                <w:sz w:val="18"/>
              </w:rPr>
            </w:pPr>
            <w:r>
              <w:rPr>
                <w:b/>
                <w:sz w:val="18"/>
              </w:rPr>
              <w:t>-2</w:t>
            </w:r>
          </w:p>
        </w:tc>
        <w:tc>
          <w:tcPr>
            <w:tcW w:w="1847" w:type="dxa"/>
          </w:tcPr>
          <w:p>
            <w:pPr>
              <w:pStyle w:val="TableParagraph"/>
              <w:rPr>
                <w:sz w:val="18"/>
              </w:rPr>
            </w:pPr>
          </w:p>
        </w:tc>
        <w:tc>
          <w:tcPr>
            <w:tcW w:w="2953" w:type="dxa"/>
          </w:tcPr>
          <w:p>
            <w:pPr>
              <w:pStyle w:val="TableParagraph"/>
              <w:rPr>
                <w:sz w:val="18"/>
              </w:rPr>
            </w:pPr>
          </w:p>
        </w:tc>
      </w:tr>
      <w:tr>
        <w:trPr>
          <w:trHeight w:val="695" w:hRule="atLeast"/>
        </w:trPr>
        <w:tc>
          <w:tcPr>
            <w:tcW w:w="2268" w:type="dxa"/>
          </w:tcPr>
          <w:p>
            <w:pPr>
              <w:pStyle w:val="TableParagraph"/>
              <w:spacing w:before="5"/>
              <w:rPr>
                <w:sz w:val="21"/>
              </w:rPr>
            </w:pPr>
          </w:p>
          <w:p>
            <w:pPr>
              <w:pStyle w:val="TableParagraph"/>
              <w:ind w:left="566"/>
              <w:rPr>
                <w:sz w:val="18"/>
              </w:rPr>
            </w:pPr>
            <w:r>
              <w:rPr>
                <w:sz w:val="18"/>
              </w:rPr>
              <w:t>All Cropland</w:t>
            </w:r>
          </w:p>
        </w:tc>
        <w:tc>
          <w:tcPr>
            <w:tcW w:w="655" w:type="dxa"/>
          </w:tcPr>
          <w:p>
            <w:pPr>
              <w:pStyle w:val="TableParagraph"/>
              <w:spacing w:before="5"/>
              <w:rPr>
                <w:sz w:val="21"/>
              </w:rPr>
            </w:pPr>
          </w:p>
          <w:p>
            <w:pPr>
              <w:pStyle w:val="TableParagraph"/>
              <w:ind w:left="90" w:right="81"/>
              <w:jc w:val="center"/>
              <w:rPr>
                <w:sz w:val="18"/>
              </w:rPr>
            </w:pPr>
            <w:r>
              <w:rPr>
                <w:sz w:val="18"/>
              </w:rPr>
              <w:t>31</w:t>
            </w:r>
          </w:p>
        </w:tc>
        <w:tc>
          <w:tcPr>
            <w:tcW w:w="643" w:type="dxa"/>
          </w:tcPr>
          <w:p>
            <w:pPr>
              <w:pStyle w:val="TableParagraph"/>
              <w:spacing w:before="5"/>
              <w:rPr>
                <w:sz w:val="21"/>
              </w:rPr>
            </w:pPr>
          </w:p>
          <w:p>
            <w:pPr>
              <w:pStyle w:val="TableParagraph"/>
              <w:ind w:left="210" w:right="203"/>
              <w:jc w:val="center"/>
              <w:rPr>
                <w:sz w:val="18"/>
              </w:rPr>
            </w:pPr>
            <w:r>
              <w:rPr>
                <w:sz w:val="18"/>
              </w:rPr>
              <w:t>29</w:t>
            </w:r>
          </w:p>
        </w:tc>
        <w:tc>
          <w:tcPr>
            <w:tcW w:w="645" w:type="dxa"/>
          </w:tcPr>
          <w:p>
            <w:pPr>
              <w:pStyle w:val="TableParagraph"/>
              <w:spacing w:before="5"/>
              <w:rPr>
                <w:sz w:val="21"/>
              </w:rPr>
            </w:pPr>
          </w:p>
          <w:p>
            <w:pPr>
              <w:pStyle w:val="TableParagraph"/>
              <w:ind w:left="248"/>
              <w:rPr>
                <w:sz w:val="18"/>
              </w:rPr>
            </w:pPr>
            <w:r>
              <w:rPr>
                <w:sz w:val="18"/>
              </w:rPr>
              <w:t>-2</w:t>
            </w:r>
          </w:p>
        </w:tc>
        <w:tc>
          <w:tcPr>
            <w:tcW w:w="1847" w:type="dxa"/>
          </w:tcPr>
          <w:p>
            <w:pPr>
              <w:pStyle w:val="TableParagraph"/>
              <w:spacing w:before="5"/>
              <w:rPr>
                <w:sz w:val="21"/>
              </w:rPr>
            </w:pPr>
          </w:p>
          <w:p>
            <w:pPr>
              <w:pStyle w:val="TableParagraph"/>
              <w:ind w:left="15" w:right="7"/>
              <w:jc w:val="center"/>
              <w:rPr>
                <w:sz w:val="18"/>
              </w:rPr>
            </w:pPr>
            <w:r>
              <w:rPr>
                <w:sz w:val="18"/>
              </w:rPr>
              <w:t>3.3.1/3.2.2/3.6</w:t>
            </w:r>
          </w:p>
        </w:tc>
        <w:tc>
          <w:tcPr>
            <w:tcW w:w="2953" w:type="dxa"/>
          </w:tcPr>
          <w:p>
            <w:pPr>
              <w:pStyle w:val="TableParagraph"/>
              <w:spacing w:before="38"/>
              <w:ind w:left="59" w:right="74"/>
              <w:rPr>
                <w:sz w:val="18"/>
              </w:rPr>
            </w:pPr>
            <w:r>
              <w:rPr>
                <w:sz w:val="18"/>
              </w:rPr>
              <w:t>Fall in area indicates LUC. Could require subdivision for different management regimes etc.</w:t>
            </w:r>
          </w:p>
        </w:tc>
      </w:tr>
      <w:tr>
        <w:trPr>
          <w:trHeight w:val="273" w:hRule="atLeast"/>
        </w:trPr>
        <w:tc>
          <w:tcPr>
            <w:tcW w:w="2268" w:type="dxa"/>
          </w:tcPr>
          <w:p>
            <w:pPr>
              <w:pStyle w:val="TableParagraph"/>
              <w:spacing w:before="40"/>
              <w:ind w:left="57"/>
              <w:rPr>
                <w:b/>
                <w:sz w:val="18"/>
              </w:rPr>
            </w:pPr>
            <w:r>
              <w:rPr>
                <w:b/>
                <w:sz w:val="18"/>
              </w:rPr>
              <w:t>Wetlands total</w:t>
            </w:r>
          </w:p>
        </w:tc>
        <w:tc>
          <w:tcPr>
            <w:tcW w:w="655" w:type="dxa"/>
          </w:tcPr>
          <w:p>
            <w:pPr>
              <w:pStyle w:val="TableParagraph"/>
              <w:spacing w:before="40"/>
              <w:ind w:left="6"/>
              <w:jc w:val="center"/>
              <w:rPr>
                <w:b/>
                <w:sz w:val="18"/>
              </w:rPr>
            </w:pPr>
            <w:r>
              <w:rPr>
                <w:b/>
                <w:sz w:val="18"/>
              </w:rPr>
              <w:t>0</w:t>
            </w:r>
          </w:p>
        </w:tc>
        <w:tc>
          <w:tcPr>
            <w:tcW w:w="643" w:type="dxa"/>
          </w:tcPr>
          <w:p>
            <w:pPr>
              <w:pStyle w:val="TableParagraph"/>
              <w:spacing w:before="40"/>
              <w:ind w:left="4"/>
              <w:jc w:val="center"/>
              <w:rPr>
                <w:b/>
                <w:sz w:val="18"/>
              </w:rPr>
            </w:pPr>
            <w:r>
              <w:rPr>
                <w:b/>
                <w:sz w:val="18"/>
              </w:rPr>
              <w:t>0</w:t>
            </w:r>
          </w:p>
        </w:tc>
        <w:tc>
          <w:tcPr>
            <w:tcW w:w="645" w:type="dxa"/>
          </w:tcPr>
          <w:p>
            <w:pPr>
              <w:pStyle w:val="TableParagraph"/>
              <w:spacing w:before="40"/>
              <w:ind w:left="276"/>
              <w:rPr>
                <w:b/>
                <w:sz w:val="18"/>
              </w:rPr>
            </w:pPr>
            <w:r>
              <w:rPr>
                <w:b/>
                <w:sz w:val="18"/>
              </w:rPr>
              <w:t>0</w:t>
            </w:r>
          </w:p>
        </w:tc>
        <w:tc>
          <w:tcPr>
            <w:tcW w:w="1847" w:type="dxa"/>
          </w:tcPr>
          <w:p>
            <w:pPr>
              <w:pStyle w:val="TableParagraph"/>
              <w:rPr>
                <w:sz w:val="18"/>
              </w:rPr>
            </w:pPr>
          </w:p>
        </w:tc>
        <w:tc>
          <w:tcPr>
            <w:tcW w:w="2953" w:type="dxa"/>
          </w:tcPr>
          <w:p>
            <w:pPr>
              <w:pStyle w:val="TableParagraph"/>
              <w:rPr>
                <w:sz w:val="18"/>
              </w:rPr>
            </w:pPr>
          </w:p>
        </w:tc>
      </w:tr>
      <w:tr>
        <w:trPr>
          <w:trHeight w:val="273" w:hRule="atLeast"/>
        </w:trPr>
        <w:tc>
          <w:tcPr>
            <w:tcW w:w="2268" w:type="dxa"/>
          </w:tcPr>
          <w:p>
            <w:pPr>
              <w:pStyle w:val="TableParagraph"/>
              <w:spacing w:before="35"/>
              <w:ind w:left="57"/>
              <w:rPr>
                <w:b/>
                <w:sz w:val="18"/>
              </w:rPr>
            </w:pPr>
            <w:r>
              <w:rPr>
                <w:b/>
                <w:sz w:val="18"/>
              </w:rPr>
              <w:t>Settlements total</w:t>
            </w:r>
          </w:p>
        </w:tc>
        <w:tc>
          <w:tcPr>
            <w:tcW w:w="655" w:type="dxa"/>
          </w:tcPr>
          <w:p>
            <w:pPr>
              <w:pStyle w:val="TableParagraph"/>
              <w:spacing w:before="40"/>
              <w:ind w:left="6"/>
              <w:jc w:val="center"/>
              <w:rPr>
                <w:b/>
                <w:sz w:val="18"/>
              </w:rPr>
            </w:pPr>
            <w:r>
              <w:rPr>
                <w:b/>
                <w:sz w:val="18"/>
              </w:rPr>
              <w:t>5</w:t>
            </w:r>
          </w:p>
        </w:tc>
        <w:tc>
          <w:tcPr>
            <w:tcW w:w="643" w:type="dxa"/>
          </w:tcPr>
          <w:p>
            <w:pPr>
              <w:pStyle w:val="TableParagraph"/>
              <w:spacing w:before="40"/>
              <w:ind w:left="4"/>
              <w:jc w:val="center"/>
              <w:rPr>
                <w:b/>
                <w:sz w:val="18"/>
              </w:rPr>
            </w:pPr>
            <w:r>
              <w:rPr>
                <w:b/>
                <w:sz w:val="18"/>
              </w:rPr>
              <w:t>8</w:t>
            </w:r>
          </w:p>
        </w:tc>
        <w:tc>
          <w:tcPr>
            <w:tcW w:w="645" w:type="dxa"/>
          </w:tcPr>
          <w:p>
            <w:pPr>
              <w:pStyle w:val="TableParagraph"/>
              <w:spacing w:before="40"/>
              <w:ind w:left="276"/>
              <w:rPr>
                <w:b/>
                <w:sz w:val="18"/>
              </w:rPr>
            </w:pPr>
            <w:r>
              <w:rPr>
                <w:b/>
                <w:sz w:val="18"/>
              </w:rPr>
              <w:t>3</w:t>
            </w:r>
          </w:p>
        </w:tc>
        <w:tc>
          <w:tcPr>
            <w:tcW w:w="1847" w:type="dxa"/>
          </w:tcPr>
          <w:p>
            <w:pPr>
              <w:pStyle w:val="TableParagraph"/>
              <w:rPr>
                <w:sz w:val="18"/>
              </w:rPr>
            </w:pPr>
          </w:p>
        </w:tc>
        <w:tc>
          <w:tcPr>
            <w:tcW w:w="2953" w:type="dxa"/>
          </w:tcPr>
          <w:p>
            <w:pPr>
              <w:pStyle w:val="TableParagraph"/>
              <w:rPr>
                <w:sz w:val="18"/>
              </w:rPr>
            </w:pPr>
          </w:p>
        </w:tc>
      </w:tr>
      <w:tr>
        <w:trPr>
          <w:trHeight w:val="275" w:hRule="atLeast"/>
        </w:trPr>
        <w:tc>
          <w:tcPr>
            <w:tcW w:w="2268" w:type="dxa"/>
          </w:tcPr>
          <w:p>
            <w:pPr>
              <w:pStyle w:val="TableParagraph"/>
              <w:spacing w:before="35"/>
              <w:ind w:right="188"/>
              <w:jc w:val="right"/>
              <w:rPr>
                <w:sz w:val="18"/>
              </w:rPr>
            </w:pPr>
            <w:r>
              <w:rPr>
                <w:sz w:val="18"/>
              </w:rPr>
              <w:t>Existing Settlements</w:t>
            </w:r>
          </w:p>
        </w:tc>
        <w:tc>
          <w:tcPr>
            <w:tcW w:w="655" w:type="dxa"/>
          </w:tcPr>
          <w:p>
            <w:pPr>
              <w:pStyle w:val="TableParagraph"/>
              <w:spacing w:before="35"/>
              <w:ind w:left="13"/>
              <w:jc w:val="center"/>
              <w:rPr>
                <w:sz w:val="18"/>
              </w:rPr>
            </w:pPr>
            <w:r>
              <w:rPr>
                <w:sz w:val="18"/>
              </w:rPr>
              <w:t>5</w:t>
            </w:r>
          </w:p>
        </w:tc>
        <w:tc>
          <w:tcPr>
            <w:tcW w:w="643" w:type="dxa"/>
          </w:tcPr>
          <w:p>
            <w:pPr>
              <w:pStyle w:val="TableParagraph"/>
              <w:spacing w:before="35"/>
              <w:ind w:left="10"/>
              <w:jc w:val="center"/>
              <w:rPr>
                <w:sz w:val="18"/>
              </w:rPr>
            </w:pPr>
            <w:r>
              <w:rPr>
                <w:sz w:val="18"/>
              </w:rPr>
              <w:t>5</w:t>
            </w:r>
          </w:p>
        </w:tc>
        <w:tc>
          <w:tcPr>
            <w:tcW w:w="645" w:type="dxa"/>
          </w:tcPr>
          <w:p>
            <w:pPr>
              <w:pStyle w:val="TableParagraph"/>
              <w:spacing w:before="35"/>
              <w:ind w:left="278"/>
              <w:rPr>
                <w:sz w:val="18"/>
              </w:rPr>
            </w:pPr>
            <w:r>
              <w:rPr>
                <w:sz w:val="18"/>
              </w:rPr>
              <w:t>0</w:t>
            </w:r>
          </w:p>
        </w:tc>
        <w:tc>
          <w:tcPr>
            <w:tcW w:w="1847" w:type="dxa"/>
          </w:tcPr>
          <w:p>
            <w:pPr>
              <w:pStyle w:val="TableParagraph"/>
              <w:spacing w:before="35"/>
              <w:ind w:left="15" w:right="2"/>
              <w:jc w:val="center"/>
              <w:rPr>
                <w:sz w:val="18"/>
              </w:rPr>
            </w:pPr>
            <w:r>
              <w:rPr>
                <w:sz w:val="18"/>
              </w:rPr>
              <w:t>3.6</w:t>
            </w:r>
          </w:p>
        </w:tc>
        <w:tc>
          <w:tcPr>
            <w:tcW w:w="2953" w:type="dxa"/>
          </w:tcPr>
          <w:p>
            <w:pPr>
              <w:pStyle w:val="TableParagraph"/>
              <w:rPr>
                <w:sz w:val="18"/>
              </w:rPr>
            </w:pPr>
          </w:p>
        </w:tc>
      </w:tr>
      <w:tr>
        <w:trPr>
          <w:trHeight w:val="273" w:hRule="atLeast"/>
        </w:trPr>
        <w:tc>
          <w:tcPr>
            <w:tcW w:w="2268" w:type="dxa"/>
          </w:tcPr>
          <w:p>
            <w:pPr>
              <w:pStyle w:val="TableParagraph"/>
              <w:spacing w:before="35"/>
              <w:ind w:left="580"/>
              <w:rPr>
                <w:sz w:val="18"/>
              </w:rPr>
            </w:pPr>
            <w:r>
              <w:rPr>
                <w:sz w:val="18"/>
              </w:rPr>
              <w:t>New Settlements</w:t>
            </w:r>
          </w:p>
        </w:tc>
        <w:tc>
          <w:tcPr>
            <w:tcW w:w="655" w:type="dxa"/>
          </w:tcPr>
          <w:p>
            <w:pPr>
              <w:pStyle w:val="TableParagraph"/>
              <w:spacing w:before="35"/>
              <w:ind w:left="11"/>
              <w:jc w:val="center"/>
              <w:rPr>
                <w:sz w:val="18"/>
              </w:rPr>
            </w:pPr>
            <w:r>
              <w:rPr>
                <w:sz w:val="18"/>
              </w:rPr>
              <w:t>0</w:t>
            </w:r>
          </w:p>
        </w:tc>
        <w:tc>
          <w:tcPr>
            <w:tcW w:w="643" w:type="dxa"/>
          </w:tcPr>
          <w:p>
            <w:pPr>
              <w:pStyle w:val="TableParagraph"/>
              <w:spacing w:before="35"/>
              <w:ind w:left="8"/>
              <w:jc w:val="center"/>
              <w:rPr>
                <w:sz w:val="18"/>
              </w:rPr>
            </w:pPr>
            <w:r>
              <w:rPr>
                <w:sz w:val="18"/>
              </w:rPr>
              <w:t>3</w:t>
            </w:r>
          </w:p>
        </w:tc>
        <w:tc>
          <w:tcPr>
            <w:tcW w:w="645" w:type="dxa"/>
          </w:tcPr>
          <w:p>
            <w:pPr>
              <w:pStyle w:val="TableParagraph"/>
              <w:spacing w:before="35"/>
              <w:ind w:left="277"/>
              <w:rPr>
                <w:sz w:val="18"/>
              </w:rPr>
            </w:pPr>
            <w:r>
              <w:rPr>
                <w:sz w:val="18"/>
              </w:rPr>
              <w:t>3</w:t>
            </w:r>
          </w:p>
        </w:tc>
        <w:tc>
          <w:tcPr>
            <w:tcW w:w="1847" w:type="dxa"/>
          </w:tcPr>
          <w:p>
            <w:pPr>
              <w:pStyle w:val="TableParagraph"/>
              <w:spacing w:before="35"/>
              <w:ind w:left="15" w:right="4"/>
              <w:jc w:val="center"/>
              <w:rPr>
                <w:sz w:val="18"/>
              </w:rPr>
            </w:pPr>
            <w:r>
              <w:rPr>
                <w:sz w:val="18"/>
              </w:rPr>
              <w:t>3.6</w:t>
            </w:r>
          </w:p>
        </w:tc>
        <w:tc>
          <w:tcPr>
            <w:tcW w:w="2953" w:type="dxa"/>
          </w:tcPr>
          <w:p>
            <w:pPr>
              <w:pStyle w:val="TableParagraph"/>
              <w:rPr>
                <w:sz w:val="18"/>
              </w:rPr>
            </w:pPr>
          </w:p>
        </w:tc>
      </w:tr>
      <w:tr>
        <w:trPr>
          <w:trHeight w:val="443" w:hRule="atLeast"/>
        </w:trPr>
        <w:tc>
          <w:tcPr>
            <w:tcW w:w="2268" w:type="dxa"/>
          </w:tcPr>
          <w:p>
            <w:pPr>
              <w:pStyle w:val="TableParagraph"/>
              <w:spacing w:before="119"/>
              <w:ind w:left="57"/>
              <w:rPr>
                <w:b/>
                <w:sz w:val="18"/>
              </w:rPr>
            </w:pPr>
            <w:r>
              <w:rPr>
                <w:b/>
                <w:sz w:val="18"/>
              </w:rPr>
              <w:t>Other land total</w:t>
            </w:r>
          </w:p>
        </w:tc>
        <w:tc>
          <w:tcPr>
            <w:tcW w:w="655" w:type="dxa"/>
          </w:tcPr>
          <w:p>
            <w:pPr>
              <w:pStyle w:val="TableParagraph"/>
              <w:spacing w:before="124"/>
              <w:ind w:left="6"/>
              <w:jc w:val="center"/>
              <w:rPr>
                <w:b/>
                <w:sz w:val="18"/>
              </w:rPr>
            </w:pPr>
            <w:r>
              <w:rPr>
                <w:b/>
                <w:sz w:val="18"/>
              </w:rPr>
              <w:t>2</w:t>
            </w:r>
          </w:p>
        </w:tc>
        <w:tc>
          <w:tcPr>
            <w:tcW w:w="643" w:type="dxa"/>
          </w:tcPr>
          <w:p>
            <w:pPr>
              <w:pStyle w:val="TableParagraph"/>
              <w:spacing w:before="124"/>
              <w:ind w:left="4"/>
              <w:jc w:val="center"/>
              <w:rPr>
                <w:b/>
                <w:sz w:val="18"/>
              </w:rPr>
            </w:pPr>
            <w:r>
              <w:rPr>
                <w:b/>
                <w:sz w:val="18"/>
              </w:rPr>
              <w:t>2</w:t>
            </w:r>
          </w:p>
        </w:tc>
        <w:tc>
          <w:tcPr>
            <w:tcW w:w="645" w:type="dxa"/>
          </w:tcPr>
          <w:p>
            <w:pPr>
              <w:pStyle w:val="TableParagraph"/>
              <w:spacing w:before="124"/>
              <w:ind w:left="276"/>
              <w:rPr>
                <w:b/>
                <w:sz w:val="18"/>
              </w:rPr>
            </w:pPr>
            <w:r>
              <w:rPr>
                <w:b/>
                <w:sz w:val="18"/>
              </w:rPr>
              <w:t>0</w:t>
            </w:r>
          </w:p>
        </w:tc>
        <w:tc>
          <w:tcPr>
            <w:tcW w:w="1847" w:type="dxa"/>
          </w:tcPr>
          <w:p>
            <w:pPr>
              <w:pStyle w:val="TableParagraph"/>
              <w:spacing w:before="119"/>
              <w:ind w:left="15" w:right="6"/>
              <w:jc w:val="center"/>
              <w:rPr>
                <w:sz w:val="18"/>
              </w:rPr>
            </w:pPr>
            <w:r>
              <w:rPr>
                <w:sz w:val="18"/>
              </w:rPr>
              <w:t>3.7.1</w:t>
            </w:r>
          </w:p>
        </w:tc>
        <w:tc>
          <w:tcPr>
            <w:tcW w:w="2953" w:type="dxa"/>
          </w:tcPr>
          <w:p>
            <w:pPr>
              <w:pStyle w:val="TableParagraph"/>
              <w:spacing w:line="206" w:lineRule="exact" w:before="20"/>
              <w:ind w:left="59" w:right="694"/>
              <w:rPr>
                <w:sz w:val="18"/>
              </w:rPr>
            </w:pPr>
            <w:r>
              <w:rPr>
                <w:sz w:val="18"/>
              </w:rPr>
              <w:t>Unmanaged - not in inventory estimates</w:t>
            </w:r>
          </w:p>
        </w:tc>
      </w:tr>
      <w:tr>
        <w:trPr>
          <w:trHeight w:val="273" w:hRule="atLeast"/>
        </w:trPr>
        <w:tc>
          <w:tcPr>
            <w:tcW w:w="2268" w:type="dxa"/>
          </w:tcPr>
          <w:p>
            <w:pPr>
              <w:pStyle w:val="TableParagraph"/>
              <w:spacing w:before="35"/>
              <w:ind w:left="57"/>
              <w:rPr>
                <w:b/>
                <w:sz w:val="18"/>
              </w:rPr>
            </w:pPr>
            <w:r>
              <w:rPr>
                <w:b/>
                <w:sz w:val="18"/>
              </w:rPr>
              <w:t>Balancing term</w:t>
            </w:r>
          </w:p>
        </w:tc>
        <w:tc>
          <w:tcPr>
            <w:tcW w:w="655" w:type="dxa"/>
          </w:tcPr>
          <w:p>
            <w:pPr>
              <w:pStyle w:val="TableParagraph"/>
              <w:spacing w:before="35"/>
              <w:ind w:left="6"/>
              <w:jc w:val="center"/>
              <w:rPr>
                <w:sz w:val="18"/>
              </w:rPr>
            </w:pPr>
            <w:r>
              <w:rPr>
                <w:sz w:val="18"/>
              </w:rPr>
              <w:t>0</w:t>
            </w:r>
          </w:p>
        </w:tc>
        <w:tc>
          <w:tcPr>
            <w:tcW w:w="643" w:type="dxa"/>
          </w:tcPr>
          <w:p>
            <w:pPr>
              <w:pStyle w:val="TableParagraph"/>
              <w:spacing w:before="35"/>
              <w:ind w:left="3"/>
              <w:jc w:val="center"/>
              <w:rPr>
                <w:sz w:val="18"/>
              </w:rPr>
            </w:pPr>
            <w:r>
              <w:rPr>
                <w:sz w:val="18"/>
              </w:rPr>
              <w:t>0</w:t>
            </w:r>
          </w:p>
        </w:tc>
        <w:tc>
          <w:tcPr>
            <w:tcW w:w="645" w:type="dxa"/>
          </w:tcPr>
          <w:p>
            <w:pPr>
              <w:pStyle w:val="TableParagraph"/>
              <w:spacing w:before="35"/>
              <w:ind w:left="275"/>
              <w:rPr>
                <w:sz w:val="18"/>
              </w:rPr>
            </w:pPr>
            <w:r>
              <w:rPr>
                <w:sz w:val="18"/>
              </w:rPr>
              <w:t>0</w:t>
            </w:r>
          </w:p>
        </w:tc>
        <w:tc>
          <w:tcPr>
            <w:tcW w:w="1847" w:type="dxa"/>
          </w:tcPr>
          <w:p>
            <w:pPr>
              <w:pStyle w:val="TableParagraph"/>
              <w:rPr>
                <w:sz w:val="18"/>
              </w:rPr>
            </w:pPr>
          </w:p>
        </w:tc>
        <w:tc>
          <w:tcPr>
            <w:tcW w:w="2953" w:type="dxa"/>
          </w:tcPr>
          <w:p>
            <w:pPr>
              <w:pStyle w:val="TableParagraph"/>
              <w:rPr>
                <w:sz w:val="18"/>
              </w:rPr>
            </w:pPr>
          </w:p>
        </w:tc>
      </w:tr>
      <w:tr>
        <w:trPr>
          <w:trHeight w:val="275" w:hRule="atLeast"/>
        </w:trPr>
        <w:tc>
          <w:tcPr>
            <w:tcW w:w="2268" w:type="dxa"/>
          </w:tcPr>
          <w:p>
            <w:pPr>
              <w:pStyle w:val="TableParagraph"/>
              <w:spacing w:before="35"/>
              <w:ind w:left="57"/>
              <w:rPr>
                <w:b/>
                <w:sz w:val="18"/>
              </w:rPr>
            </w:pPr>
            <w:r>
              <w:rPr>
                <w:b/>
                <w:sz w:val="18"/>
              </w:rPr>
              <w:t>TOTAL</w:t>
            </w:r>
          </w:p>
        </w:tc>
        <w:tc>
          <w:tcPr>
            <w:tcW w:w="655" w:type="dxa"/>
          </w:tcPr>
          <w:p>
            <w:pPr>
              <w:pStyle w:val="TableParagraph"/>
              <w:spacing w:before="40"/>
              <w:ind w:left="88" w:right="81"/>
              <w:jc w:val="center"/>
              <w:rPr>
                <w:b/>
                <w:sz w:val="18"/>
              </w:rPr>
            </w:pPr>
            <w:r>
              <w:rPr>
                <w:b/>
                <w:sz w:val="18"/>
              </w:rPr>
              <w:t>140</w:t>
            </w:r>
          </w:p>
        </w:tc>
        <w:tc>
          <w:tcPr>
            <w:tcW w:w="643" w:type="dxa"/>
          </w:tcPr>
          <w:p>
            <w:pPr>
              <w:pStyle w:val="TableParagraph"/>
              <w:spacing w:before="40"/>
              <w:ind w:left="182"/>
              <w:rPr>
                <w:b/>
                <w:sz w:val="18"/>
              </w:rPr>
            </w:pPr>
            <w:r>
              <w:rPr>
                <w:b/>
                <w:sz w:val="18"/>
              </w:rPr>
              <w:t>140</w:t>
            </w:r>
          </w:p>
        </w:tc>
        <w:tc>
          <w:tcPr>
            <w:tcW w:w="645" w:type="dxa"/>
          </w:tcPr>
          <w:p>
            <w:pPr>
              <w:pStyle w:val="TableParagraph"/>
              <w:spacing w:before="40"/>
              <w:ind w:left="276"/>
              <w:rPr>
                <w:b/>
                <w:sz w:val="18"/>
              </w:rPr>
            </w:pPr>
            <w:r>
              <w:rPr>
                <w:b/>
                <w:sz w:val="18"/>
              </w:rPr>
              <w:t>0</w:t>
            </w:r>
          </w:p>
        </w:tc>
        <w:tc>
          <w:tcPr>
            <w:tcW w:w="1847" w:type="dxa"/>
          </w:tcPr>
          <w:p>
            <w:pPr>
              <w:pStyle w:val="TableParagraph"/>
              <w:rPr>
                <w:sz w:val="18"/>
              </w:rPr>
            </w:pPr>
          </w:p>
        </w:tc>
        <w:tc>
          <w:tcPr>
            <w:tcW w:w="2953" w:type="dxa"/>
          </w:tcPr>
          <w:p>
            <w:pPr>
              <w:pStyle w:val="TableParagraph"/>
              <w:rPr>
                <w:sz w:val="18"/>
              </w:rPr>
            </w:pPr>
          </w:p>
        </w:tc>
      </w:tr>
      <w:tr>
        <w:trPr>
          <w:trHeight w:val="628" w:hRule="atLeast"/>
        </w:trPr>
        <w:tc>
          <w:tcPr>
            <w:tcW w:w="9011" w:type="dxa"/>
            <w:gridSpan w:val="6"/>
          </w:tcPr>
          <w:p>
            <w:pPr>
              <w:pStyle w:val="TableParagraph"/>
              <w:spacing w:before="40"/>
              <w:ind w:left="57" w:right="340"/>
              <w:rPr>
                <w:sz w:val="16"/>
              </w:rPr>
            </w:pPr>
            <w:r>
              <w:rPr>
                <w:sz w:val="16"/>
              </w:rPr>
              <w:t>Note: “Initial” is the category at a time previous to the date for which the assessment is made and “Final” is the category at the date of assessment. Activities for which location data are not available should be identified by further sub-division of an appropriate Land Category.</w:t>
            </w:r>
          </w:p>
        </w:tc>
      </w:tr>
    </w:tbl>
    <w:p>
      <w:pPr>
        <w:pStyle w:val="BodyText"/>
        <w:spacing w:before="1"/>
      </w:pPr>
    </w:p>
    <w:p>
      <w:pPr>
        <w:pStyle w:val="BodyText"/>
        <w:spacing w:before="91"/>
        <w:ind w:left="419" w:right="543"/>
        <w:jc w:val="both"/>
      </w:pPr>
      <w:r>
        <w:rPr/>
        <w:t>Determination of the area of land-use change in each category is based on the difference in area at two points in time, either with partial or full land area coverage. No specification of inter-category changes is possible under Approach 1 unless supplementary data are available (which would of course introduce a mix with Approach 2). The land-use distribution data may come originally from sample survey data, maps or censuses (such as landowner surveys), but will probably not be spatially explicit</w:t>
      </w:r>
      <w:r>
        <w:rPr>
          <w:vertAlign w:val="superscript"/>
        </w:rPr>
        <w:t>5</w:t>
      </w:r>
      <w:r>
        <w:rPr>
          <w:vertAlign w:val="baseline"/>
        </w:rPr>
        <w:t> in the form used. The sum of all land-use categories may not equal the total area of the country or region under consideration, and the net result of land- use</w:t>
      </w:r>
      <w:r>
        <w:rPr>
          <w:spacing w:val="-2"/>
          <w:vertAlign w:val="baseline"/>
        </w:rPr>
        <w:t> </w:t>
      </w:r>
      <w:r>
        <w:rPr>
          <w:vertAlign w:val="baseline"/>
        </w:rPr>
        <w:t>changes may</w:t>
      </w:r>
      <w:r>
        <w:rPr>
          <w:spacing w:val="-2"/>
          <w:vertAlign w:val="baseline"/>
        </w:rPr>
        <w:t> </w:t>
      </w:r>
      <w:r>
        <w:rPr>
          <w:vertAlign w:val="baseline"/>
        </w:rPr>
        <w:t>not</w:t>
      </w:r>
      <w:r>
        <w:rPr>
          <w:spacing w:val="-2"/>
          <w:vertAlign w:val="baseline"/>
        </w:rPr>
        <w:t> </w:t>
      </w:r>
      <w:r>
        <w:rPr>
          <w:vertAlign w:val="baseline"/>
        </w:rPr>
        <w:t>equal</w:t>
      </w:r>
      <w:r>
        <w:rPr>
          <w:spacing w:val="-1"/>
          <w:vertAlign w:val="baseline"/>
        </w:rPr>
        <w:t> </w:t>
      </w:r>
      <w:r>
        <w:rPr>
          <w:vertAlign w:val="baseline"/>
        </w:rPr>
        <w:t>zero.</w:t>
      </w:r>
      <w:r>
        <w:rPr>
          <w:spacing w:val="-4"/>
          <w:vertAlign w:val="baseline"/>
        </w:rPr>
        <w:t> </w:t>
      </w:r>
      <w:r>
        <w:rPr>
          <w:vertAlign w:val="baseline"/>
        </w:rPr>
        <w:t>The</w:t>
      </w:r>
      <w:r>
        <w:rPr>
          <w:spacing w:val="-1"/>
          <w:vertAlign w:val="baseline"/>
        </w:rPr>
        <w:t> </w:t>
      </w:r>
      <w:r>
        <w:rPr>
          <w:vertAlign w:val="baseline"/>
        </w:rPr>
        <w:t>final</w:t>
      </w:r>
      <w:r>
        <w:rPr>
          <w:spacing w:val="-2"/>
          <w:vertAlign w:val="baseline"/>
        </w:rPr>
        <w:t> </w:t>
      </w:r>
      <w:r>
        <w:rPr>
          <w:vertAlign w:val="baseline"/>
        </w:rPr>
        <w:t>result</w:t>
      </w:r>
      <w:r>
        <w:rPr>
          <w:spacing w:val="-1"/>
          <w:vertAlign w:val="baseline"/>
        </w:rPr>
        <w:t> </w:t>
      </w:r>
      <w:r>
        <w:rPr>
          <w:vertAlign w:val="baseline"/>
        </w:rPr>
        <w:t>of</w:t>
      </w:r>
      <w:r>
        <w:rPr>
          <w:spacing w:val="-4"/>
          <w:vertAlign w:val="baseline"/>
        </w:rPr>
        <w:t> </w:t>
      </w:r>
      <w:r>
        <w:rPr>
          <w:vertAlign w:val="baseline"/>
        </w:rPr>
        <w:t>this</w:t>
      </w:r>
      <w:r>
        <w:rPr>
          <w:spacing w:val="-2"/>
          <w:vertAlign w:val="baseline"/>
        </w:rPr>
        <w:t> </w:t>
      </w:r>
      <w:r>
        <w:rPr>
          <w:vertAlign w:val="baseline"/>
        </w:rPr>
        <w:t>approach</w:t>
      </w:r>
      <w:r>
        <w:rPr>
          <w:spacing w:val="-3"/>
          <w:vertAlign w:val="baseline"/>
        </w:rPr>
        <w:t> </w:t>
      </w:r>
      <w:r>
        <w:rPr>
          <w:vertAlign w:val="baseline"/>
        </w:rPr>
        <w:t>is</w:t>
      </w:r>
      <w:r>
        <w:rPr>
          <w:spacing w:val="-2"/>
          <w:vertAlign w:val="baseline"/>
        </w:rPr>
        <w:t> </w:t>
      </w:r>
      <w:r>
        <w:rPr>
          <w:vertAlign w:val="baseline"/>
        </w:rPr>
        <w:t>a</w:t>
      </w:r>
      <w:r>
        <w:rPr>
          <w:spacing w:val="-2"/>
          <w:vertAlign w:val="baseline"/>
        </w:rPr>
        <w:t> </w:t>
      </w:r>
      <w:r>
        <w:rPr>
          <w:vertAlign w:val="baseline"/>
        </w:rPr>
        <w:t>table</w:t>
      </w:r>
      <w:r>
        <w:rPr>
          <w:spacing w:val="-1"/>
          <w:vertAlign w:val="baseline"/>
        </w:rPr>
        <w:t> </w:t>
      </w:r>
      <w:r>
        <w:rPr>
          <w:vertAlign w:val="baseline"/>
        </w:rPr>
        <w:t>of</w:t>
      </w:r>
      <w:r>
        <w:rPr>
          <w:spacing w:val="-4"/>
          <w:vertAlign w:val="baseline"/>
        </w:rPr>
        <w:t> </w:t>
      </w:r>
      <w:r>
        <w:rPr>
          <w:vertAlign w:val="baseline"/>
        </w:rPr>
        <w:t>land</w:t>
      </w:r>
      <w:r>
        <w:rPr>
          <w:spacing w:val="2"/>
          <w:vertAlign w:val="baseline"/>
        </w:rPr>
        <w:t> </w:t>
      </w:r>
      <w:r>
        <w:rPr>
          <w:vertAlign w:val="baseline"/>
        </w:rPr>
        <w:t>use</w:t>
      </w:r>
      <w:r>
        <w:rPr>
          <w:spacing w:val="-1"/>
          <w:vertAlign w:val="baseline"/>
        </w:rPr>
        <w:t> </w:t>
      </w:r>
      <w:r>
        <w:rPr>
          <w:vertAlign w:val="baseline"/>
        </w:rPr>
        <w:t>at</w:t>
      </w:r>
      <w:r>
        <w:rPr>
          <w:spacing w:val="-2"/>
          <w:vertAlign w:val="baseline"/>
        </w:rPr>
        <w:t> </w:t>
      </w:r>
      <w:r>
        <w:rPr>
          <w:vertAlign w:val="baseline"/>
        </w:rPr>
        <w:t>given</w:t>
      </w:r>
      <w:r>
        <w:rPr>
          <w:spacing w:val="-2"/>
          <w:vertAlign w:val="baseline"/>
        </w:rPr>
        <w:t> </w:t>
      </w:r>
      <w:r>
        <w:rPr>
          <w:vertAlign w:val="baseline"/>
        </w:rPr>
        <w:t>points</w:t>
      </w:r>
      <w:r>
        <w:rPr>
          <w:spacing w:val="-3"/>
          <w:vertAlign w:val="baseline"/>
        </w:rPr>
        <w:t> </w:t>
      </w:r>
      <w:r>
        <w:rPr>
          <w:vertAlign w:val="baseline"/>
        </w:rPr>
        <w:t>in</w:t>
      </w:r>
      <w:r>
        <w:rPr>
          <w:spacing w:val="-2"/>
          <w:vertAlign w:val="baseline"/>
        </w:rPr>
        <w:t> </w:t>
      </w:r>
      <w:r>
        <w:rPr>
          <w:vertAlign w:val="baseline"/>
        </w:rPr>
        <w:t>time.</w:t>
      </w:r>
    </w:p>
    <w:p>
      <w:pPr>
        <w:pStyle w:val="BodyText"/>
        <w:rPr>
          <w:sz w:val="22"/>
        </w:rPr>
      </w:pPr>
    </w:p>
    <w:p>
      <w:pPr>
        <w:pStyle w:val="Heading6"/>
        <w:numPr>
          <w:ilvl w:val="3"/>
          <w:numId w:val="15"/>
        </w:numPr>
        <w:tabs>
          <w:tab w:pos="1859" w:val="left" w:leader="none"/>
          <w:tab w:pos="1860" w:val="left" w:leader="none"/>
        </w:tabs>
        <w:spacing w:line="283" w:lineRule="auto" w:before="143" w:after="0"/>
        <w:ind w:left="1866" w:right="1497" w:hanging="1447"/>
        <w:jc w:val="left"/>
      </w:pPr>
      <w:r>
        <w:rPr>
          <w:spacing w:val="16"/>
          <w:sz w:val="28"/>
        </w:rPr>
        <w:t>A</w:t>
      </w:r>
      <w:r>
        <w:rPr>
          <w:spacing w:val="16"/>
        </w:rPr>
        <w:t>PPROACH </w:t>
      </w:r>
      <w:r>
        <w:rPr>
          <w:spacing w:val="10"/>
          <w:sz w:val="28"/>
        </w:rPr>
        <w:t>2: </w:t>
      </w:r>
      <w:r>
        <w:rPr>
          <w:spacing w:val="15"/>
          <w:sz w:val="28"/>
        </w:rPr>
        <w:t>S</w:t>
      </w:r>
      <w:r>
        <w:rPr>
          <w:spacing w:val="15"/>
        </w:rPr>
        <w:t>URVEY </w:t>
      </w:r>
      <w:r>
        <w:rPr>
          <w:spacing w:val="10"/>
        </w:rPr>
        <w:t>OF </w:t>
      </w:r>
      <w:r>
        <w:rPr>
          <w:spacing w:val="14"/>
        </w:rPr>
        <w:t>LAND </w:t>
      </w:r>
      <w:r>
        <w:rPr>
          <w:spacing w:val="13"/>
        </w:rPr>
        <w:t>USE </w:t>
      </w:r>
      <w:r>
        <w:rPr>
          <w:spacing w:val="12"/>
        </w:rPr>
        <w:t>AND </w:t>
      </w:r>
      <w:r>
        <w:rPr>
          <w:spacing w:val="18"/>
        </w:rPr>
        <w:t>LAND</w:t>
      </w:r>
      <w:r>
        <w:rPr>
          <w:spacing w:val="18"/>
          <w:sz w:val="28"/>
        </w:rPr>
        <w:t>-</w:t>
      </w:r>
      <w:r>
        <w:rPr>
          <w:spacing w:val="18"/>
        </w:rPr>
        <w:t>USE CHANGE</w:t>
      </w:r>
    </w:p>
    <w:p>
      <w:pPr>
        <w:pStyle w:val="BodyText"/>
        <w:spacing w:before="179"/>
        <w:ind w:left="419" w:right="546"/>
        <w:jc w:val="both"/>
      </w:pPr>
      <w:r>
        <w:rPr/>
        <w:t>The essential feature of Approach 2 is that it provides a national or regional-scale assessment of not only the losses or gains in the area of specific land categories but what these changes represent (i.e., changes from and to a category). Thus, Approach 2 includes more information on changes between categories. Tracking land-use changes</w:t>
      </w:r>
      <w:r>
        <w:rPr>
          <w:spacing w:val="11"/>
        </w:rPr>
        <w:t> </w:t>
      </w:r>
      <w:r>
        <w:rPr/>
        <w:t>in</w:t>
      </w:r>
      <w:r>
        <w:rPr>
          <w:spacing w:val="9"/>
        </w:rPr>
        <w:t> </w:t>
      </w:r>
      <w:r>
        <w:rPr/>
        <w:t>this</w:t>
      </w:r>
      <w:r>
        <w:rPr>
          <w:spacing w:val="11"/>
        </w:rPr>
        <w:t> </w:t>
      </w:r>
      <w:r>
        <w:rPr/>
        <w:t>explicit</w:t>
      </w:r>
      <w:r>
        <w:rPr>
          <w:spacing w:val="12"/>
        </w:rPr>
        <w:t> </w:t>
      </w:r>
      <w:r>
        <w:rPr/>
        <w:t>manner</w:t>
      </w:r>
      <w:r>
        <w:rPr>
          <w:spacing w:val="12"/>
        </w:rPr>
        <w:t> </w:t>
      </w:r>
      <w:r>
        <w:rPr/>
        <w:t>will</w:t>
      </w:r>
      <w:r>
        <w:rPr>
          <w:spacing w:val="11"/>
        </w:rPr>
        <w:t> </w:t>
      </w:r>
      <w:r>
        <w:rPr/>
        <w:t>normally</w:t>
      </w:r>
      <w:r>
        <w:rPr>
          <w:spacing w:val="9"/>
        </w:rPr>
        <w:t> </w:t>
      </w:r>
      <w:r>
        <w:rPr/>
        <w:t>require</w:t>
      </w:r>
      <w:r>
        <w:rPr>
          <w:spacing w:val="10"/>
        </w:rPr>
        <w:t> </w:t>
      </w:r>
      <w:r>
        <w:rPr/>
        <w:t>estimation</w:t>
      </w:r>
      <w:r>
        <w:rPr>
          <w:spacing w:val="9"/>
        </w:rPr>
        <w:t> </w:t>
      </w:r>
      <w:r>
        <w:rPr/>
        <w:t>of</w:t>
      </w:r>
      <w:r>
        <w:rPr>
          <w:spacing w:val="10"/>
        </w:rPr>
        <w:t> </w:t>
      </w:r>
      <w:r>
        <w:rPr/>
        <w:t>initial</w:t>
      </w:r>
      <w:r>
        <w:rPr>
          <w:spacing w:val="12"/>
        </w:rPr>
        <w:t> </w:t>
      </w:r>
      <w:r>
        <w:rPr/>
        <w:t>and</w:t>
      </w:r>
      <w:r>
        <w:rPr>
          <w:spacing w:val="13"/>
        </w:rPr>
        <w:t> </w:t>
      </w:r>
      <w:r>
        <w:rPr/>
        <w:t>final</w:t>
      </w:r>
      <w:r>
        <w:rPr>
          <w:spacing w:val="12"/>
        </w:rPr>
        <w:t> </w:t>
      </w:r>
      <w:r>
        <w:rPr/>
        <w:t>land-use</w:t>
      </w:r>
      <w:r>
        <w:rPr>
          <w:spacing w:val="12"/>
        </w:rPr>
        <w:t> </w:t>
      </w:r>
      <w:r>
        <w:rPr/>
        <w:t>categories,</w:t>
      </w:r>
      <w:r>
        <w:rPr>
          <w:spacing w:val="11"/>
        </w:rPr>
        <w:t> </w:t>
      </w:r>
      <w:r>
        <w:rPr/>
        <w:t>as</w:t>
      </w:r>
      <w:r>
        <w:rPr>
          <w:spacing w:val="15"/>
        </w:rPr>
        <w:t> </w:t>
      </w:r>
      <w:r>
        <w:rPr/>
        <w:t>well</w:t>
      </w:r>
    </w:p>
    <w:p>
      <w:pPr>
        <w:pStyle w:val="BodyText"/>
        <w:spacing w:before="6"/>
        <w:rPr>
          <w:sz w:val="21"/>
        </w:rPr>
      </w:pPr>
      <w:r>
        <w:rPr/>
        <w:pict>
          <v:line style="position:absolute;mso-position-horizontal-relative:page;mso-position-vertical-relative:paragraph;z-index:-40;mso-wrap-distance-left:0;mso-wrap-distance-right:0" from="70.960999pt,14.580674pt" to="214.960999pt,14.580674pt" stroked="true" strokeweight=".48pt" strokecolor="#000000">
            <v:stroke dashstyle="solid"/>
            <w10:wrap type="topAndBottom"/>
          </v:line>
        </w:pict>
      </w:r>
    </w:p>
    <w:p>
      <w:pPr>
        <w:spacing w:before="150"/>
        <w:ind w:left="577" w:right="543" w:hanging="159"/>
        <w:jc w:val="both"/>
        <w:rPr>
          <w:sz w:val="18"/>
        </w:rPr>
      </w:pPr>
      <w:r>
        <w:rPr>
          <w:position w:val="8"/>
          <w:sz w:val="12"/>
        </w:rPr>
        <w:t>5 </w:t>
      </w:r>
      <w:r>
        <w:rPr>
          <w:sz w:val="18"/>
        </w:rPr>
        <w:t>When considering the possibility of adopting Approach 2 or 3, it is useful to investigate with the data collection agencies whether the original data sources contain spatially explicit data. For example, forest inventories are usually derived from spatially explicit data sources.</w:t>
      </w:r>
    </w:p>
    <w:p>
      <w:pPr>
        <w:spacing w:after="0"/>
        <w:jc w:val="both"/>
        <w:rPr>
          <w:sz w:val="18"/>
        </w:rPr>
        <w:sectPr>
          <w:pgSz w:w="11900" w:h="16840"/>
          <w:pgMar w:header="230" w:footer="408" w:top="560" w:bottom="600" w:left="1000" w:right="860"/>
        </w:sectPr>
      </w:pPr>
    </w:p>
    <w:p>
      <w:pPr>
        <w:pStyle w:val="BodyText"/>
      </w:pPr>
    </w:p>
    <w:p>
      <w:pPr>
        <w:pStyle w:val="BodyText"/>
        <w:spacing w:before="2"/>
        <w:rPr>
          <w:sz w:val="18"/>
        </w:rPr>
      </w:pPr>
    </w:p>
    <w:p>
      <w:pPr>
        <w:pStyle w:val="BodyText"/>
        <w:ind w:left="419" w:right="544"/>
        <w:jc w:val="both"/>
      </w:pPr>
      <w:r>
        <w:rPr/>
        <w:t>as of total area of unchanged land by category. The final result of this approach can be presented as a non- spatially explicit land-use change matrix. The matrix form is a compact format for representing the areas that have come under different transitions between all possible land-use categories. Existing land-use databases may have sufficient detail for this approach, or it may be necessary to obtain data through sampling. The input data may or may not have originally been spatially explicit (i.e., mapped or otherwise geographically referenced). Sample data will be extrapolated using the ratio to the total relevant area or the total relevant population. Data will require periodic re-survey of a statistically and spatially valid sample of sites chosen according to the principles set out in Section 5.3 (Sampling) of Chapter 5.</w:t>
      </w:r>
    </w:p>
    <w:p>
      <w:pPr>
        <w:pStyle w:val="BodyText"/>
        <w:spacing w:before="119"/>
        <w:ind w:left="419" w:right="544"/>
        <w:jc w:val="both"/>
      </w:pPr>
      <w:r>
        <w:rPr/>
        <w:t>Although Approach 2 is more data intensive than Approach 1, it can account for all land-use transitions. This means that emission and removal factors or parameters for rate of change of carbon can be chosen to reflect differences in the rate of changes in carbon in the opposing directions of transitions between any two categories, and differences in initial carbon stocks associated with different land uses can be taken into account. For example, the rate of soil organic carbon loss will commonly be much higher through ploughing than the rate of re-accumulation if cultivation is subsequently abandoned, and initial carbon stocks may be lower for transitions from cropland than from pasture.</w:t>
      </w:r>
    </w:p>
    <w:p>
      <w:pPr>
        <w:pStyle w:val="BodyText"/>
        <w:spacing w:before="120"/>
        <w:ind w:left="419" w:right="546"/>
        <w:jc w:val="both"/>
      </w:pPr>
      <w:r>
        <w:rPr>
          <w:i/>
        </w:rPr>
        <w:t>Good practice </w:t>
      </w:r>
      <w:r>
        <w:rPr/>
        <w:t>points described for Approach 1 also apply to Approach 2, although at a greater level of detail, since the pattern of land-use change is available, not just the net change into or out of each land category or subcategory.</w:t>
      </w:r>
    </w:p>
    <w:p>
      <w:pPr>
        <w:pStyle w:val="BodyText"/>
        <w:spacing w:before="119"/>
        <w:ind w:left="419" w:right="544"/>
        <w:jc w:val="both"/>
      </w:pPr>
      <w:r>
        <w:rPr/>
        <w:t>Approach 2 is illustrated in Table 2.3.3 using the data from the Approach 1 example (Table 2.3.2) by adding information on all the transitions taking place. Such data can be written in the more compact form of a matrix and this is presented in Table 2.3.4. To illustrate the added value of Approach 2 and this land-use change matrix format, the data of Table 2.3.4 is given in Table 2.3.5 without the subdivision of the land-use categories and this can be compared with the more limited information from Approach 1 in Table 2.3.1. In Table 2.3.5, the changes into and out of land categories can be tracked, whereas in Table 2.3.1 only the net changes in a broad category are detectable. When using Approach 2, it is </w:t>
      </w:r>
      <w:r>
        <w:rPr>
          <w:i/>
        </w:rPr>
        <w:t>good practice </w:t>
      </w:r>
      <w:r>
        <w:rPr/>
        <w:t>to prepare a table like Table 2.3.4 or 2.3.5 as part of QA/QC procedures as set out in Chapter</w:t>
      </w:r>
      <w:r>
        <w:rPr>
          <w:spacing w:val="-5"/>
        </w:rPr>
        <w:t> </w:t>
      </w:r>
      <w:r>
        <w:rPr/>
        <w:t>5.</w:t>
      </w:r>
    </w:p>
    <w:p>
      <w:pPr>
        <w:pStyle w:val="BodyText"/>
      </w:pPr>
    </w:p>
    <w:p>
      <w:pPr>
        <w:pStyle w:val="BodyText"/>
        <w:spacing w:before="11"/>
        <w:rPr>
          <w:sz w:val="10"/>
        </w:rPr>
      </w:pPr>
    </w:p>
    <w:tbl>
      <w:tblPr>
        <w:tblW w:w="0" w:type="auto"/>
        <w:jc w:val="left"/>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2"/>
        <w:gridCol w:w="2309"/>
        <w:gridCol w:w="1683"/>
        <w:gridCol w:w="2602"/>
      </w:tblGrid>
      <w:tr>
        <w:trPr>
          <w:trHeight w:val="738" w:hRule="atLeast"/>
        </w:trPr>
        <w:tc>
          <w:tcPr>
            <w:tcW w:w="9016" w:type="dxa"/>
            <w:gridSpan w:val="4"/>
            <w:tcBorders>
              <w:bottom w:val="double" w:sz="1" w:space="0" w:color="000000"/>
            </w:tcBorders>
          </w:tcPr>
          <w:p>
            <w:pPr>
              <w:pStyle w:val="TableParagraph"/>
              <w:spacing w:line="207" w:lineRule="exact" w:before="59"/>
              <w:ind w:left="408" w:right="402"/>
              <w:jc w:val="center"/>
              <w:rPr>
                <w:b/>
                <w:sz w:val="18"/>
              </w:rPr>
            </w:pPr>
            <w:r>
              <w:rPr>
                <w:b/>
                <w:sz w:val="18"/>
              </w:rPr>
              <w:t>T</w:t>
            </w:r>
            <w:r>
              <w:rPr>
                <w:b/>
                <w:sz w:val="14"/>
              </w:rPr>
              <w:t>ABLE </w:t>
            </w:r>
            <w:r>
              <w:rPr>
                <w:b/>
                <w:sz w:val="18"/>
              </w:rPr>
              <w:t>2.3.3</w:t>
            </w:r>
          </w:p>
          <w:p>
            <w:pPr>
              <w:pStyle w:val="TableParagraph"/>
              <w:spacing w:line="206" w:lineRule="exact"/>
              <w:ind w:left="406" w:right="402"/>
              <w:jc w:val="center"/>
              <w:rPr>
                <w:b/>
                <w:sz w:val="18"/>
              </w:rPr>
            </w:pPr>
            <w:r>
              <w:rPr>
                <w:b/>
                <w:sz w:val="18"/>
              </w:rPr>
              <w:t>I</w:t>
            </w:r>
            <w:r>
              <w:rPr>
                <w:b/>
                <w:sz w:val="14"/>
              </w:rPr>
              <w:t>LLUSTRATIVE EXAMPLE OF TABULATING ALL TRANSITIONS FOR </w:t>
            </w:r>
            <w:r>
              <w:rPr>
                <w:b/>
                <w:sz w:val="18"/>
              </w:rPr>
              <w:t>A</w:t>
            </w:r>
            <w:r>
              <w:rPr>
                <w:b/>
                <w:sz w:val="14"/>
              </w:rPr>
              <w:t>PPROACH </w:t>
            </w:r>
            <w:r>
              <w:rPr>
                <w:b/>
                <w:sz w:val="18"/>
              </w:rPr>
              <w:t>2</w:t>
            </w:r>
          </w:p>
          <w:p>
            <w:pPr>
              <w:pStyle w:val="TableParagraph"/>
              <w:spacing w:line="207" w:lineRule="exact"/>
              <w:ind w:left="410" w:right="402"/>
              <w:jc w:val="center"/>
              <w:rPr>
                <w:b/>
                <w:sz w:val="14"/>
              </w:rPr>
            </w:pPr>
            <w:r>
              <w:rPr>
                <w:b/>
                <w:sz w:val="14"/>
              </w:rPr>
              <w:t>INCLUDING NATIONALLY DEFINED SUB</w:t>
            </w:r>
            <w:r>
              <w:rPr>
                <w:b/>
                <w:sz w:val="18"/>
              </w:rPr>
              <w:t>-</w:t>
            </w:r>
            <w:r>
              <w:rPr>
                <w:b/>
                <w:sz w:val="14"/>
              </w:rPr>
              <w:t>CATEGORIES</w:t>
            </w:r>
          </w:p>
        </w:tc>
      </w:tr>
      <w:tr>
        <w:trPr>
          <w:trHeight w:val="651" w:hRule="atLeast"/>
        </w:trPr>
        <w:tc>
          <w:tcPr>
            <w:tcW w:w="2422" w:type="dxa"/>
            <w:tcBorders>
              <w:top w:val="double" w:sz="1" w:space="0" w:color="000000"/>
            </w:tcBorders>
          </w:tcPr>
          <w:p>
            <w:pPr>
              <w:pStyle w:val="TableParagraph"/>
              <w:spacing w:before="11"/>
              <w:rPr>
                <w:sz w:val="19"/>
              </w:rPr>
            </w:pPr>
          </w:p>
          <w:p>
            <w:pPr>
              <w:pStyle w:val="TableParagraph"/>
              <w:ind w:left="112"/>
              <w:rPr>
                <w:b/>
                <w:sz w:val="18"/>
              </w:rPr>
            </w:pPr>
            <w:r>
              <w:rPr>
                <w:b/>
                <w:sz w:val="18"/>
              </w:rPr>
              <w:t>Initial Land Use</w:t>
            </w:r>
          </w:p>
        </w:tc>
        <w:tc>
          <w:tcPr>
            <w:tcW w:w="2309" w:type="dxa"/>
            <w:tcBorders>
              <w:top w:val="double" w:sz="1" w:space="0" w:color="000000"/>
            </w:tcBorders>
          </w:tcPr>
          <w:p>
            <w:pPr>
              <w:pStyle w:val="TableParagraph"/>
              <w:spacing w:before="11"/>
              <w:rPr>
                <w:sz w:val="19"/>
              </w:rPr>
            </w:pPr>
          </w:p>
          <w:p>
            <w:pPr>
              <w:pStyle w:val="TableParagraph"/>
              <w:ind w:left="113"/>
              <w:rPr>
                <w:b/>
                <w:sz w:val="18"/>
              </w:rPr>
            </w:pPr>
            <w:r>
              <w:rPr>
                <w:b/>
                <w:sz w:val="18"/>
              </w:rPr>
              <w:t>Final Land Use</w:t>
            </w:r>
          </w:p>
        </w:tc>
        <w:tc>
          <w:tcPr>
            <w:tcW w:w="1683" w:type="dxa"/>
            <w:tcBorders>
              <w:top w:val="double" w:sz="1" w:space="0" w:color="000000"/>
            </w:tcBorders>
          </w:tcPr>
          <w:p>
            <w:pPr>
              <w:pStyle w:val="TableParagraph"/>
              <w:spacing w:before="11"/>
              <w:rPr>
                <w:sz w:val="19"/>
              </w:rPr>
            </w:pPr>
          </w:p>
          <w:p>
            <w:pPr>
              <w:pStyle w:val="TableParagraph"/>
              <w:ind w:left="201" w:right="190"/>
              <w:jc w:val="center"/>
              <w:rPr>
                <w:b/>
                <w:sz w:val="18"/>
              </w:rPr>
            </w:pPr>
            <w:r>
              <w:rPr>
                <w:b/>
                <w:sz w:val="18"/>
              </w:rPr>
              <w:t>Land Area Mha</w:t>
            </w:r>
          </w:p>
        </w:tc>
        <w:tc>
          <w:tcPr>
            <w:tcW w:w="2602" w:type="dxa"/>
            <w:tcBorders>
              <w:top w:val="double" w:sz="1" w:space="0" w:color="000000"/>
            </w:tcBorders>
          </w:tcPr>
          <w:p>
            <w:pPr>
              <w:pStyle w:val="TableParagraph"/>
              <w:spacing w:before="21"/>
              <w:ind w:left="96" w:hanging="75"/>
              <w:rPr>
                <w:b/>
                <w:sz w:val="18"/>
              </w:rPr>
            </w:pPr>
            <w:r>
              <w:rPr>
                <w:rFonts w:ascii="TimesNewRomanPS-BoldItalicMT"/>
                <w:b/>
                <w:i/>
                <w:sz w:val="18"/>
              </w:rPr>
              <w:t>Good Practice </w:t>
            </w:r>
            <w:r>
              <w:rPr>
                <w:b/>
                <w:sz w:val="18"/>
              </w:rPr>
              <w:t>Guidance Methods</w:t>
            </w:r>
          </w:p>
          <w:p>
            <w:pPr>
              <w:pStyle w:val="TableParagraph"/>
              <w:spacing w:line="206" w:lineRule="exact" w:before="5"/>
              <w:ind w:left="1030" w:right="70" w:hanging="934"/>
              <w:rPr>
                <w:b/>
                <w:sz w:val="18"/>
              </w:rPr>
            </w:pPr>
            <w:r>
              <w:rPr>
                <w:b/>
                <w:sz w:val="18"/>
              </w:rPr>
              <w:t>Section No. in Chapter 3 of this Report</w:t>
            </w:r>
          </w:p>
        </w:tc>
      </w:tr>
      <w:tr>
        <w:trPr>
          <w:trHeight w:val="273" w:hRule="atLeast"/>
        </w:trPr>
        <w:tc>
          <w:tcPr>
            <w:tcW w:w="2422" w:type="dxa"/>
          </w:tcPr>
          <w:p>
            <w:pPr>
              <w:pStyle w:val="TableParagraph"/>
              <w:spacing w:before="35"/>
              <w:ind w:left="112"/>
              <w:rPr>
                <w:sz w:val="18"/>
              </w:rPr>
            </w:pPr>
            <w:r>
              <w:rPr>
                <w:sz w:val="18"/>
              </w:rPr>
              <w:t>Forest land (Unmanaged)</w:t>
            </w:r>
          </w:p>
        </w:tc>
        <w:tc>
          <w:tcPr>
            <w:tcW w:w="2309" w:type="dxa"/>
          </w:tcPr>
          <w:p>
            <w:pPr>
              <w:pStyle w:val="TableParagraph"/>
              <w:spacing w:before="35"/>
              <w:ind w:left="112"/>
              <w:rPr>
                <w:sz w:val="18"/>
              </w:rPr>
            </w:pPr>
            <w:r>
              <w:rPr>
                <w:sz w:val="18"/>
              </w:rPr>
              <w:t>Forest land (Unmanaged)</w:t>
            </w:r>
          </w:p>
        </w:tc>
        <w:tc>
          <w:tcPr>
            <w:tcW w:w="1683" w:type="dxa"/>
          </w:tcPr>
          <w:p>
            <w:pPr>
              <w:pStyle w:val="TableParagraph"/>
              <w:spacing w:before="35"/>
              <w:ind w:left="9"/>
              <w:jc w:val="center"/>
              <w:rPr>
                <w:sz w:val="18"/>
              </w:rPr>
            </w:pPr>
            <w:r>
              <w:rPr>
                <w:sz w:val="18"/>
              </w:rPr>
              <w:t>5</w:t>
            </w:r>
          </w:p>
        </w:tc>
        <w:tc>
          <w:tcPr>
            <w:tcW w:w="2602" w:type="dxa"/>
          </w:tcPr>
          <w:p>
            <w:pPr>
              <w:pStyle w:val="TableParagraph"/>
              <w:spacing w:before="35"/>
              <w:ind w:left="104" w:right="94"/>
              <w:jc w:val="center"/>
              <w:rPr>
                <w:sz w:val="18"/>
              </w:rPr>
            </w:pPr>
            <w:r>
              <w:rPr>
                <w:sz w:val="18"/>
              </w:rPr>
              <w:t>Excluded from GHG inventory</w:t>
            </w:r>
          </w:p>
        </w:tc>
      </w:tr>
      <w:tr>
        <w:trPr>
          <w:trHeight w:val="273" w:hRule="atLeast"/>
        </w:trPr>
        <w:tc>
          <w:tcPr>
            <w:tcW w:w="2422" w:type="dxa"/>
          </w:tcPr>
          <w:p>
            <w:pPr>
              <w:pStyle w:val="TableParagraph"/>
              <w:spacing w:before="35"/>
              <w:ind w:left="112"/>
              <w:rPr>
                <w:sz w:val="18"/>
              </w:rPr>
            </w:pPr>
            <w:r>
              <w:rPr>
                <w:sz w:val="18"/>
              </w:rPr>
              <w:t>Forest land (Managed)</w:t>
            </w:r>
          </w:p>
        </w:tc>
        <w:tc>
          <w:tcPr>
            <w:tcW w:w="2309" w:type="dxa"/>
          </w:tcPr>
          <w:p>
            <w:pPr>
              <w:pStyle w:val="TableParagraph"/>
              <w:spacing w:before="35"/>
              <w:ind w:left="112"/>
              <w:rPr>
                <w:sz w:val="18"/>
              </w:rPr>
            </w:pPr>
            <w:r>
              <w:rPr>
                <w:sz w:val="18"/>
              </w:rPr>
              <w:t>Forest land(Managed)</w:t>
            </w:r>
          </w:p>
        </w:tc>
        <w:tc>
          <w:tcPr>
            <w:tcW w:w="1683" w:type="dxa"/>
          </w:tcPr>
          <w:p>
            <w:pPr>
              <w:pStyle w:val="TableParagraph"/>
              <w:spacing w:before="35"/>
              <w:ind w:left="200" w:right="190"/>
              <w:jc w:val="center"/>
              <w:rPr>
                <w:sz w:val="18"/>
              </w:rPr>
            </w:pPr>
            <w:r>
              <w:rPr>
                <w:sz w:val="18"/>
              </w:rPr>
              <w:t>10</w:t>
            </w:r>
          </w:p>
        </w:tc>
        <w:tc>
          <w:tcPr>
            <w:tcW w:w="2602" w:type="dxa"/>
          </w:tcPr>
          <w:p>
            <w:pPr>
              <w:pStyle w:val="TableParagraph"/>
              <w:spacing w:before="35"/>
              <w:ind w:left="98" w:right="94"/>
              <w:jc w:val="center"/>
              <w:rPr>
                <w:sz w:val="18"/>
              </w:rPr>
            </w:pPr>
            <w:r>
              <w:rPr>
                <w:sz w:val="18"/>
              </w:rPr>
              <w:t>3.2.1</w:t>
            </w:r>
          </w:p>
        </w:tc>
      </w:tr>
      <w:tr>
        <w:trPr>
          <w:trHeight w:val="275" w:hRule="atLeast"/>
        </w:trPr>
        <w:tc>
          <w:tcPr>
            <w:tcW w:w="2422" w:type="dxa"/>
          </w:tcPr>
          <w:p>
            <w:pPr>
              <w:pStyle w:val="TableParagraph"/>
              <w:rPr>
                <w:sz w:val="18"/>
              </w:rPr>
            </w:pPr>
          </w:p>
        </w:tc>
        <w:tc>
          <w:tcPr>
            <w:tcW w:w="2309" w:type="dxa"/>
          </w:tcPr>
          <w:p>
            <w:pPr>
              <w:pStyle w:val="TableParagraph"/>
              <w:spacing w:before="35"/>
              <w:ind w:left="112"/>
              <w:rPr>
                <w:i/>
                <w:sz w:val="18"/>
              </w:rPr>
            </w:pPr>
            <w:r>
              <w:rPr>
                <w:i/>
                <w:sz w:val="18"/>
              </w:rPr>
              <w:t>(Forest zone A Table 2.3.2)</w:t>
            </w:r>
          </w:p>
        </w:tc>
        <w:tc>
          <w:tcPr>
            <w:tcW w:w="1683" w:type="dxa"/>
          </w:tcPr>
          <w:p>
            <w:pPr>
              <w:pStyle w:val="TableParagraph"/>
              <w:spacing w:before="35"/>
              <w:ind w:left="9"/>
              <w:jc w:val="center"/>
              <w:rPr>
                <w:i/>
                <w:sz w:val="18"/>
              </w:rPr>
            </w:pPr>
            <w:r>
              <w:rPr>
                <w:i/>
                <w:sz w:val="18"/>
              </w:rPr>
              <w:t>4</w:t>
            </w:r>
          </w:p>
        </w:tc>
        <w:tc>
          <w:tcPr>
            <w:tcW w:w="2602" w:type="dxa"/>
          </w:tcPr>
          <w:p>
            <w:pPr>
              <w:pStyle w:val="TableParagraph"/>
              <w:rPr>
                <w:sz w:val="18"/>
              </w:rPr>
            </w:pPr>
          </w:p>
        </w:tc>
      </w:tr>
      <w:tr>
        <w:trPr>
          <w:trHeight w:val="273" w:hRule="atLeast"/>
        </w:trPr>
        <w:tc>
          <w:tcPr>
            <w:tcW w:w="2422" w:type="dxa"/>
          </w:tcPr>
          <w:p>
            <w:pPr>
              <w:pStyle w:val="TableParagraph"/>
              <w:rPr>
                <w:sz w:val="18"/>
              </w:rPr>
            </w:pPr>
          </w:p>
        </w:tc>
        <w:tc>
          <w:tcPr>
            <w:tcW w:w="2309" w:type="dxa"/>
          </w:tcPr>
          <w:p>
            <w:pPr>
              <w:pStyle w:val="TableParagraph"/>
              <w:spacing w:before="35"/>
              <w:ind w:left="112"/>
              <w:rPr>
                <w:i/>
                <w:sz w:val="18"/>
              </w:rPr>
            </w:pPr>
            <w:r>
              <w:rPr>
                <w:i/>
                <w:sz w:val="18"/>
              </w:rPr>
              <w:t>(Forest zone B Table 2.3.2)</w:t>
            </w:r>
          </w:p>
        </w:tc>
        <w:tc>
          <w:tcPr>
            <w:tcW w:w="1683" w:type="dxa"/>
          </w:tcPr>
          <w:p>
            <w:pPr>
              <w:pStyle w:val="TableParagraph"/>
              <w:spacing w:before="35"/>
              <w:ind w:left="9"/>
              <w:jc w:val="center"/>
              <w:rPr>
                <w:i/>
                <w:sz w:val="18"/>
              </w:rPr>
            </w:pPr>
            <w:r>
              <w:rPr>
                <w:i/>
                <w:sz w:val="18"/>
              </w:rPr>
              <w:t>6</w:t>
            </w:r>
          </w:p>
        </w:tc>
        <w:tc>
          <w:tcPr>
            <w:tcW w:w="2602" w:type="dxa"/>
          </w:tcPr>
          <w:p>
            <w:pPr>
              <w:pStyle w:val="TableParagraph"/>
              <w:rPr>
                <w:sz w:val="18"/>
              </w:rPr>
            </w:pPr>
          </w:p>
        </w:tc>
      </w:tr>
      <w:tr>
        <w:trPr>
          <w:trHeight w:val="273" w:hRule="atLeast"/>
        </w:trPr>
        <w:tc>
          <w:tcPr>
            <w:tcW w:w="2422" w:type="dxa"/>
          </w:tcPr>
          <w:p>
            <w:pPr>
              <w:pStyle w:val="TableParagraph"/>
              <w:spacing w:before="35"/>
              <w:ind w:left="112"/>
              <w:rPr>
                <w:sz w:val="18"/>
              </w:rPr>
            </w:pPr>
            <w:r>
              <w:rPr>
                <w:sz w:val="18"/>
              </w:rPr>
              <w:t>Forest land (Managed)</w:t>
            </w:r>
          </w:p>
        </w:tc>
        <w:tc>
          <w:tcPr>
            <w:tcW w:w="2309" w:type="dxa"/>
          </w:tcPr>
          <w:p>
            <w:pPr>
              <w:pStyle w:val="TableParagraph"/>
              <w:spacing w:before="35"/>
              <w:ind w:left="113"/>
              <w:rPr>
                <w:sz w:val="18"/>
              </w:rPr>
            </w:pPr>
            <w:r>
              <w:rPr>
                <w:sz w:val="18"/>
              </w:rPr>
              <w:t>Grassland (Rough grazing)</w:t>
            </w:r>
          </w:p>
        </w:tc>
        <w:tc>
          <w:tcPr>
            <w:tcW w:w="1683" w:type="dxa"/>
          </w:tcPr>
          <w:p>
            <w:pPr>
              <w:pStyle w:val="TableParagraph"/>
              <w:spacing w:before="35"/>
              <w:ind w:left="8"/>
              <w:jc w:val="center"/>
              <w:rPr>
                <w:sz w:val="18"/>
              </w:rPr>
            </w:pPr>
            <w:r>
              <w:rPr>
                <w:sz w:val="18"/>
              </w:rPr>
              <w:t>2</w:t>
            </w:r>
          </w:p>
        </w:tc>
        <w:tc>
          <w:tcPr>
            <w:tcW w:w="2602" w:type="dxa"/>
          </w:tcPr>
          <w:p>
            <w:pPr>
              <w:pStyle w:val="TableParagraph"/>
              <w:spacing w:before="35"/>
              <w:ind w:left="96" w:right="94"/>
              <w:jc w:val="center"/>
              <w:rPr>
                <w:sz w:val="18"/>
              </w:rPr>
            </w:pPr>
            <w:r>
              <w:rPr>
                <w:sz w:val="18"/>
              </w:rPr>
              <w:t>3.4.2</w:t>
            </w:r>
          </w:p>
        </w:tc>
      </w:tr>
      <w:tr>
        <w:trPr>
          <w:trHeight w:val="275" w:hRule="atLeast"/>
        </w:trPr>
        <w:tc>
          <w:tcPr>
            <w:tcW w:w="2422" w:type="dxa"/>
          </w:tcPr>
          <w:p>
            <w:pPr>
              <w:pStyle w:val="TableParagraph"/>
              <w:spacing w:before="35"/>
              <w:ind w:left="112"/>
              <w:rPr>
                <w:sz w:val="18"/>
              </w:rPr>
            </w:pPr>
            <w:r>
              <w:rPr>
                <w:sz w:val="18"/>
              </w:rPr>
              <w:t>Forest land (Managed)</w:t>
            </w:r>
          </w:p>
        </w:tc>
        <w:tc>
          <w:tcPr>
            <w:tcW w:w="2309" w:type="dxa"/>
          </w:tcPr>
          <w:p>
            <w:pPr>
              <w:pStyle w:val="TableParagraph"/>
              <w:spacing w:before="35"/>
              <w:ind w:left="113"/>
              <w:rPr>
                <w:sz w:val="18"/>
              </w:rPr>
            </w:pPr>
            <w:r>
              <w:rPr>
                <w:sz w:val="18"/>
              </w:rPr>
              <w:t>Settlements</w:t>
            </w:r>
          </w:p>
        </w:tc>
        <w:tc>
          <w:tcPr>
            <w:tcW w:w="1683" w:type="dxa"/>
          </w:tcPr>
          <w:p>
            <w:pPr>
              <w:pStyle w:val="TableParagraph"/>
              <w:spacing w:before="35"/>
              <w:ind w:left="12"/>
              <w:jc w:val="center"/>
              <w:rPr>
                <w:sz w:val="18"/>
              </w:rPr>
            </w:pPr>
            <w:r>
              <w:rPr>
                <w:sz w:val="18"/>
              </w:rPr>
              <w:t>1</w:t>
            </w:r>
          </w:p>
        </w:tc>
        <w:tc>
          <w:tcPr>
            <w:tcW w:w="2602" w:type="dxa"/>
          </w:tcPr>
          <w:p>
            <w:pPr>
              <w:pStyle w:val="TableParagraph"/>
              <w:spacing w:before="35"/>
              <w:ind w:left="99" w:right="94"/>
              <w:jc w:val="center"/>
              <w:rPr>
                <w:sz w:val="18"/>
              </w:rPr>
            </w:pPr>
            <w:r>
              <w:rPr>
                <w:sz w:val="18"/>
              </w:rPr>
              <w:t>3.6</w:t>
            </w:r>
          </w:p>
        </w:tc>
      </w:tr>
      <w:tr>
        <w:trPr>
          <w:trHeight w:val="273" w:hRule="atLeast"/>
        </w:trPr>
        <w:tc>
          <w:tcPr>
            <w:tcW w:w="2422" w:type="dxa"/>
          </w:tcPr>
          <w:p>
            <w:pPr>
              <w:pStyle w:val="TableParagraph"/>
              <w:spacing w:before="35"/>
              <w:ind w:left="112"/>
              <w:rPr>
                <w:sz w:val="18"/>
              </w:rPr>
            </w:pPr>
            <w:r>
              <w:rPr>
                <w:sz w:val="18"/>
              </w:rPr>
              <w:t>Grassland (Rough grazing)</w:t>
            </w:r>
          </w:p>
        </w:tc>
        <w:tc>
          <w:tcPr>
            <w:tcW w:w="2309" w:type="dxa"/>
          </w:tcPr>
          <w:p>
            <w:pPr>
              <w:pStyle w:val="TableParagraph"/>
              <w:spacing w:before="35"/>
              <w:ind w:left="111"/>
              <w:rPr>
                <w:sz w:val="18"/>
              </w:rPr>
            </w:pPr>
            <w:r>
              <w:rPr>
                <w:sz w:val="18"/>
              </w:rPr>
              <w:t>Grassland (Rough grazing)</w:t>
            </w:r>
          </w:p>
        </w:tc>
        <w:tc>
          <w:tcPr>
            <w:tcW w:w="1683" w:type="dxa"/>
          </w:tcPr>
          <w:p>
            <w:pPr>
              <w:pStyle w:val="TableParagraph"/>
              <w:spacing w:before="35"/>
              <w:ind w:left="199" w:right="190"/>
              <w:jc w:val="center"/>
              <w:rPr>
                <w:sz w:val="18"/>
              </w:rPr>
            </w:pPr>
            <w:r>
              <w:rPr>
                <w:sz w:val="18"/>
              </w:rPr>
              <w:t>56</w:t>
            </w:r>
          </w:p>
        </w:tc>
        <w:tc>
          <w:tcPr>
            <w:tcW w:w="2602" w:type="dxa"/>
          </w:tcPr>
          <w:p>
            <w:pPr>
              <w:pStyle w:val="TableParagraph"/>
              <w:spacing w:before="35"/>
              <w:ind w:left="96" w:right="94"/>
              <w:jc w:val="center"/>
              <w:rPr>
                <w:sz w:val="18"/>
              </w:rPr>
            </w:pPr>
            <w:r>
              <w:rPr>
                <w:sz w:val="18"/>
              </w:rPr>
              <w:t>3.4.1</w:t>
            </w:r>
          </w:p>
        </w:tc>
      </w:tr>
      <w:tr>
        <w:trPr>
          <w:trHeight w:val="273" w:hRule="atLeast"/>
        </w:trPr>
        <w:tc>
          <w:tcPr>
            <w:tcW w:w="2422" w:type="dxa"/>
          </w:tcPr>
          <w:p>
            <w:pPr>
              <w:pStyle w:val="TableParagraph"/>
              <w:spacing w:before="35"/>
              <w:ind w:left="112"/>
              <w:rPr>
                <w:sz w:val="18"/>
              </w:rPr>
            </w:pPr>
            <w:r>
              <w:rPr>
                <w:sz w:val="18"/>
              </w:rPr>
              <w:t>Grassland (Rough grazing)</w:t>
            </w:r>
          </w:p>
        </w:tc>
        <w:tc>
          <w:tcPr>
            <w:tcW w:w="2309" w:type="dxa"/>
          </w:tcPr>
          <w:p>
            <w:pPr>
              <w:pStyle w:val="TableParagraph"/>
              <w:spacing w:before="35"/>
              <w:ind w:left="111"/>
              <w:rPr>
                <w:sz w:val="18"/>
              </w:rPr>
            </w:pPr>
            <w:r>
              <w:rPr>
                <w:sz w:val="18"/>
              </w:rPr>
              <w:t>Grassland (Improved)</w:t>
            </w:r>
          </w:p>
        </w:tc>
        <w:tc>
          <w:tcPr>
            <w:tcW w:w="1683" w:type="dxa"/>
          </w:tcPr>
          <w:p>
            <w:pPr>
              <w:pStyle w:val="TableParagraph"/>
              <w:spacing w:before="35"/>
              <w:ind w:left="7"/>
              <w:jc w:val="center"/>
              <w:rPr>
                <w:sz w:val="18"/>
              </w:rPr>
            </w:pPr>
            <w:r>
              <w:rPr>
                <w:sz w:val="18"/>
              </w:rPr>
              <w:t>2</w:t>
            </w:r>
          </w:p>
        </w:tc>
        <w:tc>
          <w:tcPr>
            <w:tcW w:w="2602" w:type="dxa"/>
          </w:tcPr>
          <w:p>
            <w:pPr>
              <w:pStyle w:val="TableParagraph"/>
              <w:spacing w:before="35"/>
              <w:ind w:left="96" w:right="94"/>
              <w:jc w:val="center"/>
              <w:rPr>
                <w:sz w:val="18"/>
              </w:rPr>
            </w:pPr>
            <w:r>
              <w:rPr>
                <w:sz w:val="18"/>
              </w:rPr>
              <w:t>3.4.1</w:t>
            </w:r>
          </w:p>
        </w:tc>
      </w:tr>
      <w:tr>
        <w:trPr>
          <w:trHeight w:val="275" w:hRule="atLeast"/>
        </w:trPr>
        <w:tc>
          <w:tcPr>
            <w:tcW w:w="2422" w:type="dxa"/>
          </w:tcPr>
          <w:p>
            <w:pPr>
              <w:pStyle w:val="TableParagraph"/>
              <w:spacing w:before="35"/>
              <w:ind w:left="112"/>
              <w:rPr>
                <w:sz w:val="18"/>
              </w:rPr>
            </w:pPr>
            <w:r>
              <w:rPr>
                <w:sz w:val="18"/>
              </w:rPr>
              <w:t>Grassland (Rough grazing)</w:t>
            </w:r>
          </w:p>
        </w:tc>
        <w:tc>
          <w:tcPr>
            <w:tcW w:w="2309" w:type="dxa"/>
          </w:tcPr>
          <w:p>
            <w:pPr>
              <w:pStyle w:val="TableParagraph"/>
              <w:spacing w:before="35"/>
              <w:ind w:left="110"/>
              <w:rPr>
                <w:sz w:val="18"/>
              </w:rPr>
            </w:pPr>
            <w:r>
              <w:rPr>
                <w:sz w:val="18"/>
              </w:rPr>
              <w:t>Forest land (Managed)</w:t>
            </w:r>
          </w:p>
        </w:tc>
        <w:tc>
          <w:tcPr>
            <w:tcW w:w="1683" w:type="dxa"/>
          </w:tcPr>
          <w:p>
            <w:pPr>
              <w:pStyle w:val="TableParagraph"/>
              <w:spacing w:before="35"/>
              <w:ind w:left="8"/>
              <w:jc w:val="center"/>
              <w:rPr>
                <w:sz w:val="18"/>
              </w:rPr>
            </w:pPr>
            <w:r>
              <w:rPr>
                <w:sz w:val="18"/>
              </w:rPr>
              <w:t>1</w:t>
            </w:r>
          </w:p>
        </w:tc>
        <w:tc>
          <w:tcPr>
            <w:tcW w:w="2602" w:type="dxa"/>
          </w:tcPr>
          <w:p>
            <w:pPr>
              <w:pStyle w:val="TableParagraph"/>
              <w:spacing w:before="35"/>
              <w:ind w:left="96" w:right="94"/>
              <w:jc w:val="center"/>
              <w:rPr>
                <w:sz w:val="18"/>
              </w:rPr>
            </w:pPr>
            <w:r>
              <w:rPr>
                <w:sz w:val="18"/>
              </w:rPr>
              <w:t>3.2.2</w:t>
            </w:r>
          </w:p>
        </w:tc>
      </w:tr>
      <w:tr>
        <w:trPr>
          <w:trHeight w:val="273" w:hRule="atLeast"/>
        </w:trPr>
        <w:tc>
          <w:tcPr>
            <w:tcW w:w="2422" w:type="dxa"/>
          </w:tcPr>
          <w:p>
            <w:pPr>
              <w:pStyle w:val="TableParagraph"/>
              <w:spacing w:before="35"/>
              <w:ind w:left="112"/>
              <w:rPr>
                <w:sz w:val="18"/>
              </w:rPr>
            </w:pPr>
            <w:r>
              <w:rPr>
                <w:sz w:val="18"/>
              </w:rPr>
              <w:t>Grassland (Rough grazing)</w:t>
            </w:r>
          </w:p>
        </w:tc>
        <w:tc>
          <w:tcPr>
            <w:tcW w:w="2309" w:type="dxa"/>
          </w:tcPr>
          <w:p>
            <w:pPr>
              <w:pStyle w:val="TableParagraph"/>
              <w:spacing w:before="35"/>
              <w:ind w:left="113"/>
              <w:rPr>
                <w:sz w:val="18"/>
              </w:rPr>
            </w:pPr>
            <w:r>
              <w:rPr>
                <w:sz w:val="18"/>
              </w:rPr>
              <w:t>Settlements</w:t>
            </w:r>
          </w:p>
        </w:tc>
        <w:tc>
          <w:tcPr>
            <w:tcW w:w="1683" w:type="dxa"/>
          </w:tcPr>
          <w:p>
            <w:pPr>
              <w:pStyle w:val="TableParagraph"/>
              <w:spacing w:before="35"/>
              <w:ind w:left="14"/>
              <w:jc w:val="center"/>
              <w:rPr>
                <w:sz w:val="18"/>
              </w:rPr>
            </w:pPr>
            <w:r>
              <w:rPr>
                <w:sz w:val="18"/>
              </w:rPr>
              <w:t>1</w:t>
            </w:r>
          </w:p>
        </w:tc>
        <w:tc>
          <w:tcPr>
            <w:tcW w:w="2602" w:type="dxa"/>
          </w:tcPr>
          <w:p>
            <w:pPr>
              <w:pStyle w:val="TableParagraph"/>
              <w:spacing w:before="35"/>
              <w:ind w:left="101" w:right="94"/>
              <w:jc w:val="center"/>
              <w:rPr>
                <w:sz w:val="18"/>
              </w:rPr>
            </w:pPr>
            <w:r>
              <w:rPr>
                <w:sz w:val="18"/>
              </w:rPr>
              <w:t>3.6</w:t>
            </w:r>
          </w:p>
        </w:tc>
      </w:tr>
      <w:tr>
        <w:trPr>
          <w:trHeight w:val="273" w:hRule="atLeast"/>
        </w:trPr>
        <w:tc>
          <w:tcPr>
            <w:tcW w:w="2422" w:type="dxa"/>
          </w:tcPr>
          <w:p>
            <w:pPr>
              <w:pStyle w:val="TableParagraph"/>
              <w:spacing w:before="35"/>
              <w:ind w:left="112"/>
              <w:rPr>
                <w:sz w:val="18"/>
              </w:rPr>
            </w:pPr>
            <w:r>
              <w:rPr>
                <w:sz w:val="18"/>
              </w:rPr>
              <w:t>Grassland (Improved)</w:t>
            </w:r>
          </w:p>
        </w:tc>
        <w:tc>
          <w:tcPr>
            <w:tcW w:w="2309" w:type="dxa"/>
          </w:tcPr>
          <w:p>
            <w:pPr>
              <w:pStyle w:val="TableParagraph"/>
              <w:spacing w:before="35"/>
              <w:ind w:left="111"/>
              <w:rPr>
                <w:sz w:val="18"/>
              </w:rPr>
            </w:pPr>
            <w:r>
              <w:rPr>
                <w:sz w:val="18"/>
              </w:rPr>
              <w:t>Grassland (Improved)</w:t>
            </w:r>
          </w:p>
        </w:tc>
        <w:tc>
          <w:tcPr>
            <w:tcW w:w="1683" w:type="dxa"/>
          </w:tcPr>
          <w:p>
            <w:pPr>
              <w:pStyle w:val="TableParagraph"/>
              <w:spacing w:before="35"/>
              <w:ind w:left="199" w:right="190"/>
              <w:jc w:val="center"/>
              <w:rPr>
                <w:sz w:val="18"/>
              </w:rPr>
            </w:pPr>
            <w:r>
              <w:rPr>
                <w:sz w:val="18"/>
              </w:rPr>
              <w:t>22</w:t>
            </w:r>
          </w:p>
        </w:tc>
        <w:tc>
          <w:tcPr>
            <w:tcW w:w="2602" w:type="dxa"/>
          </w:tcPr>
          <w:p>
            <w:pPr>
              <w:pStyle w:val="TableParagraph"/>
              <w:spacing w:before="35"/>
              <w:ind w:left="96" w:right="94"/>
              <w:jc w:val="center"/>
              <w:rPr>
                <w:sz w:val="18"/>
              </w:rPr>
            </w:pPr>
            <w:r>
              <w:rPr>
                <w:sz w:val="18"/>
              </w:rPr>
              <w:t>3.4.1</w:t>
            </w:r>
          </w:p>
        </w:tc>
      </w:tr>
      <w:tr>
        <w:trPr>
          <w:trHeight w:val="275" w:hRule="atLeast"/>
        </w:trPr>
        <w:tc>
          <w:tcPr>
            <w:tcW w:w="2422" w:type="dxa"/>
          </w:tcPr>
          <w:p>
            <w:pPr>
              <w:pStyle w:val="TableParagraph"/>
              <w:spacing w:before="35"/>
              <w:ind w:left="112"/>
              <w:rPr>
                <w:sz w:val="18"/>
              </w:rPr>
            </w:pPr>
            <w:r>
              <w:rPr>
                <w:sz w:val="18"/>
              </w:rPr>
              <w:t>Grassland (Improved)</w:t>
            </w:r>
          </w:p>
        </w:tc>
        <w:tc>
          <w:tcPr>
            <w:tcW w:w="2309" w:type="dxa"/>
          </w:tcPr>
          <w:p>
            <w:pPr>
              <w:pStyle w:val="TableParagraph"/>
              <w:spacing w:before="35"/>
              <w:ind w:left="111"/>
              <w:rPr>
                <w:sz w:val="18"/>
              </w:rPr>
            </w:pPr>
            <w:r>
              <w:rPr>
                <w:sz w:val="18"/>
              </w:rPr>
              <w:t>Forest land (Managed)</w:t>
            </w:r>
          </w:p>
        </w:tc>
        <w:tc>
          <w:tcPr>
            <w:tcW w:w="1683" w:type="dxa"/>
          </w:tcPr>
          <w:p>
            <w:pPr>
              <w:pStyle w:val="TableParagraph"/>
              <w:spacing w:before="35"/>
              <w:ind w:left="8"/>
              <w:jc w:val="center"/>
              <w:rPr>
                <w:sz w:val="18"/>
              </w:rPr>
            </w:pPr>
            <w:r>
              <w:rPr>
                <w:sz w:val="18"/>
              </w:rPr>
              <w:t>2</w:t>
            </w:r>
          </w:p>
        </w:tc>
        <w:tc>
          <w:tcPr>
            <w:tcW w:w="2602" w:type="dxa"/>
          </w:tcPr>
          <w:p>
            <w:pPr>
              <w:pStyle w:val="TableParagraph"/>
              <w:spacing w:before="35"/>
              <w:ind w:left="96" w:right="94"/>
              <w:jc w:val="center"/>
              <w:rPr>
                <w:sz w:val="18"/>
              </w:rPr>
            </w:pPr>
            <w:r>
              <w:rPr>
                <w:sz w:val="18"/>
              </w:rPr>
              <w:t>3.2.2</w:t>
            </w:r>
          </w:p>
        </w:tc>
      </w:tr>
      <w:tr>
        <w:trPr>
          <w:trHeight w:val="273" w:hRule="atLeast"/>
        </w:trPr>
        <w:tc>
          <w:tcPr>
            <w:tcW w:w="2422" w:type="dxa"/>
          </w:tcPr>
          <w:p>
            <w:pPr>
              <w:pStyle w:val="TableParagraph"/>
              <w:spacing w:before="35"/>
              <w:ind w:left="112"/>
              <w:rPr>
                <w:sz w:val="18"/>
              </w:rPr>
            </w:pPr>
            <w:r>
              <w:rPr>
                <w:sz w:val="18"/>
              </w:rPr>
              <w:t>Cropland</w:t>
            </w:r>
          </w:p>
        </w:tc>
        <w:tc>
          <w:tcPr>
            <w:tcW w:w="2309" w:type="dxa"/>
          </w:tcPr>
          <w:p>
            <w:pPr>
              <w:pStyle w:val="TableParagraph"/>
              <w:spacing w:before="35"/>
              <w:ind w:left="112"/>
              <w:rPr>
                <w:sz w:val="18"/>
              </w:rPr>
            </w:pPr>
            <w:r>
              <w:rPr>
                <w:sz w:val="18"/>
              </w:rPr>
              <w:t>Cropland</w:t>
            </w:r>
          </w:p>
        </w:tc>
        <w:tc>
          <w:tcPr>
            <w:tcW w:w="1683" w:type="dxa"/>
          </w:tcPr>
          <w:p>
            <w:pPr>
              <w:pStyle w:val="TableParagraph"/>
              <w:spacing w:before="35"/>
              <w:ind w:left="201" w:right="190"/>
              <w:jc w:val="center"/>
              <w:rPr>
                <w:sz w:val="18"/>
              </w:rPr>
            </w:pPr>
            <w:r>
              <w:rPr>
                <w:sz w:val="18"/>
              </w:rPr>
              <w:t>29</w:t>
            </w:r>
          </w:p>
        </w:tc>
        <w:tc>
          <w:tcPr>
            <w:tcW w:w="2602" w:type="dxa"/>
          </w:tcPr>
          <w:p>
            <w:pPr>
              <w:pStyle w:val="TableParagraph"/>
              <w:spacing w:before="35"/>
              <w:ind w:left="98" w:right="94"/>
              <w:jc w:val="center"/>
              <w:rPr>
                <w:sz w:val="18"/>
              </w:rPr>
            </w:pPr>
            <w:r>
              <w:rPr>
                <w:sz w:val="18"/>
              </w:rPr>
              <w:t>3.3.1</w:t>
            </w:r>
          </w:p>
        </w:tc>
      </w:tr>
      <w:tr>
        <w:trPr>
          <w:trHeight w:val="273" w:hRule="atLeast"/>
        </w:trPr>
        <w:tc>
          <w:tcPr>
            <w:tcW w:w="2422" w:type="dxa"/>
          </w:tcPr>
          <w:p>
            <w:pPr>
              <w:pStyle w:val="TableParagraph"/>
              <w:spacing w:before="35"/>
              <w:ind w:left="112"/>
              <w:rPr>
                <w:sz w:val="18"/>
              </w:rPr>
            </w:pPr>
            <w:r>
              <w:rPr>
                <w:sz w:val="18"/>
              </w:rPr>
              <w:t>Cropland</w:t>
            </w:r>
          </w:p>
        </w:tc>
        <w:tc>
          <w:tcPr>
            <w:tcW w:w="2309" w:type="dxa"/>
          </w:tcPr>
          <w:p>
            <w:pPr>
              <w:pStyle w:val="TableParagraph"/>
              <w:spacing w:before="35"/>
              <w:ind w:left="112"/>
              <w:rPr>
                <w:sz w:val="18"/>
              </w:rPr>
            </w:pPr>
            <w:r>
              <w:rPr>
                <w:sz w:val="18"/>
              </w:rPr>
              <w:t>Forest land (Managed)</w:t>
            </w:r>
          </w:p>
        </w:tc>
        <w:tc>
          <w:tcPr>
            <w:tcW w:w="1683" w:type="dxa"/>
          </w:tcPr>
          <w:p>
            <w:pPr>
              <w:pStyle w:val="TableParagraph"/>
              <w:spacing w:before="35"/>
              <w:ind w:left="9"/>
              <w:jc w:val="center"/>
              <w:rPr>
                <w:sz w:val="18"/>
              </w:rPr>
            </w:pPr>
            <w:r>
              <w:rPr>
                <w:sz w:val="18"/>
              </w:rPr>
              <w:t>1</w:t>
            </w:r>
          </w:p>
        </w:tc>
        <w:tc>
          <w:tcPr>
            <w:tcW w:w="2602" w:type="dxa"/>
          </w:tcPr>
          <w:p>
            <w:pPr>
              <w:pStyle w:val="TableParagraph"/>
              <w:spacing w:before="35"/>
              <w:ind w:left="97" w:right="94"/>
              <w:jc w:val="center"/>
              <w:rPr>
                <w:sz w:val="18"/>
              </w:rPr>
            </w:pPr>
            <w:r>
              <w:rPr>
                <w:sz w:val="18"/>
              </w:rPr>
              <w:t>3.2.2</w:t>
            </w:r>
          </w:p>
        </w:tc>
      </w:tr>
      <w:tr>
        <w:trPr>
          <w:trHeight w:val="275" w:hRule="atLeast"/>
        </w:trPr>
        <w:tc>
          <w:tcPr>
            <w:tcW w:w="2422" w:type="dxa"/>
          </w:tcPr>
          <w:p>
            <w:pPr>
              <w:pStyle w:val="TableParagraph"/>
              <w:spacing w:before="35"/>
              <w:ind w:left="112"/>
              <w:rPr>
                <w:sz w:val="18"/>
              </w:rPr>
            </w:pPr>
            <w:r>
              <w:rPr>
                <w:sz w:val="18"/>
              </w:rPr>
              <w:t>Cropland</w:t>
            </w:r>
          </w:p>
        </w:tc>
        <w:tc>
          <w:tcPr>
            <w:tcW w:w="2309" w:type="dxa"/>
          </w:tcPr>
          <w:p>
            <w:pPr>
              <w:pStyle w:val="TableParagraph"/>
              <w:spacing w:before="35"/>
              <w:ind w:left="112"/>
              <w:rPr>
                <w:sz w:val="18"/>
              </w:rPr>
            </w:pPr>
            <w:r>
              <w:rPr>
                <w:sz w:val="18"/>
              </w:rPr>
              <w:t>Settlements</w:t>
            </w:r>
          </w:p>
        </w:tc>
        <w:tc>
          <w:tcPr>
            <w:tcW w:w="1683" w:type="dxa"/>
          </w:tcPr>
          <w:p>
            <w:pPr>
              <w:pStyle w:val="TableParagraph"/>
              <w:spacing w:before="35"/>
              <w:ind w:left="12"/>
              <w:jc w:val="center"/>
              <w:rPr>
                <w:sz w:val="18"/>
              </w:rPr>
            </w:pPr>
            <w:r>
              <w:rPr>
                <w:sz w:val="18"/>
              </w:rPr>
              <w:t>1</w:t>
            </w:r>
          </w:p>
        </w:tc>
        <w:tc>
          <w:tcPr>
            <w:tcW w:w="2602" w:type="dxa"/>
          </w:tcPr>
          <w:p>
            <w:pPr>
              <w:pStyle w:val="TableParagraph"/>
              <w:spacing w:before="35"/>
              <w:ind w:left="99" w:right="94"/>
              <w:jc w:val="center"/>
              <w:rPr>
                <w:sz w:val="18"/>
              </w:rPr>
            </w:pPr>
            <w:r>
              <w:rPr>
                <w:sz w:val="18"/>
              </w:rPr>
              <w:t>3.6</w:t>
            </w:r>
          </w:p>
        </w:tc>
      </w:tr>
      <w:tr>
        <w:trPr>
          <w:trHeight w:val="273" w:hRule="atLeast"/>
        </w:trPr>
        <w:tc>
          <w:tcPr>
            <w:tcW w:w="2422" w:type="dxa"/>
          </w:tcPr>
          <w:p>
            <w:pPr>
              <w:pStyle w:val="TableParagraph"/>
              <w:spacing w:before="35"/>
              <w:ind w:left="112"/>
              <w:rPr>
                <w:sz w:val="18"/>
              </w:rPr>
            </w:pPr>
            <w:r>
              <w:rPr>
                <w:sz w:val="18"/>
              </w:rPr>
              <w:t>Wetlands</w:t>
            </w:r>
          </w:p>
        </w:tc>
        <w:tc>
          <w:tcPr>
            <w:tcW w:w="2309" w:type="dxa"/>
          </w:tcPr>
          <w:p>
            <w:pPr>
              <w:pStyle w:val="TableParagraph"/>
              <w:spacing w:before="35"/>
              <w:ind w:left="112"/>
              <w:rPr>
                <w:sz w:val="18"/>
              </w:rPr>
            </w:pPr>
            <w:r>
              <w:rPr>
                <w:sz w:val="18"/>
              </w:rPr>
              <w:t>Wetlands</w:t>
            </w:r>
          </w:p>
        </w:tc>
        <w:tc>
          <w:tcPr>
            <w:tcW w:w="1683" w:type="dxa"/>
          </w:tcPr>
          <w:p>
            <w:pPr>
              <w:pStyle w:val="TableParagraph"/>
              <w:spacing w:before="35"/>
              <w:ind w:left="10"/>
              <w:jc w:val="center"/>
              <w:rPr>
                <w:sz w:val="18"/>
              </w:rPr>
            </w:pPr>
            <w:r>
              <w:rPr>
                <w:sz w:val="18"/>
              </w:rPr>
              <w:t>0</w:t>
            </w:r>
          </w:p>
        </w:tc>
        <w:tc>
          <w:tcPr>
            <w:tcW w:w="2602" w:type="dxa"/>
          </w:tcPr>
          <w:p>
            <w:pPr>
              <w:pStyle w:val="TableParagraph"/>
              <w:rPr>
                <w:sz w:val="18"/>
              </w:rPr>
            </w:pPr>
          </w:p>
        </w:tc>
      </w:tr>
      <w:tr>
        <w:trPr>
          <w:trHeight w:val="273" w:hRule="atLeast"/>
        </w:trPr>
        <w:tc>
          <w:tcPr>
            <w:tcW w:w="2422" w:type="dxa"/>
          </w:tcPr>
          <w:p>
            <w:pPr>
              <w:pStyle w:val="TableParagraph"/>
              <w:spacing w:before="35"/>
              <w:ind w:left="112"/>
              <w:rPr>
                <w:sz w:val="18"/>
              </w:rPr>
            </w:pPr>
            <w:r>
              <w:rPr>
                <w:sz w:val="18"/>
              </w:rPr>
              <w:t>Settlements</w:t>
            </w:r>
          </w:p>
        </w:tc>
        <w:tc>
          <w:tcPr>
            <w:tcW w:w="2309" w:type="dxa"/>
          </w:tcPr>
          <w:p>
            <w:pPr>
              <w:pStyle w:val="TableParagraph"/>
              <w:spacing w:before="35"/>
              <w:ind w:left="113"/>
              <w:rPr>
                <w:sz w:val="18"/>
              </w:rPr>
            </w:pPr>
            <w:r>
              <w:rPr>
                <w:sz w:val="18"/>
              </w:rPr>
              <w:t>Settlements</w:t>
            </w:r>
          </w:p>
        </w:tc>
        <w:tc>
          <w:tcPr>
            <w:tcW w:w="1683" w:type="dxa"/>
          </w:tcPr>
          <w:p>
            <w:pPr>
              <w:pStyle w:val="TableParagraph"/>
              <w:spacing w:before="35"/>
              <w:ind w:left="12"/>
              <w:jc w:val="center"/>
              <w:rPr>
                <w:sz w:val="18"/>
              </w:rPr>
            </w:pPr>
            <w:r>
              <w:rPr>
                <w:sz w:val="18"/>
              </w:rPr>
              <w:t>5</w:t>
            </w:r>
          </w:p>
        </w:tc>
        <w:tc>
          <w:tcPr>
            <w:tcW w:w="2602" w:type="dxa"/>
          </w:tcPr>
          <w:p>
            <w:pPr>
              <w:pStyle w:val="TableParagraph"/>
              <w:spacing w:before="35"/>
              <w:ind w:left="99" w:right="94"/>
              <w:jc w:val="center"/>
              <w:rPr>
                <w:sz w:val="18"/>
              </w:rPr>
            </w:pPr>
            <w:r>
              <w:rPr>
                <w:sz w:val="18"/>
              </w:rPr>
              <w:t>3.6</w:t>
            </w:r>
          </w:p>
        </w:tc>
      </w:tr>
      <w:tr>
        <w:trPr>
          <w:trHeight w:val="275" w:hRule="atLeast"/>
        </w:trPr>
        <w:tc>
          <w:tcPr>
            <w:tcW w:w="2422" w:type="dxa"/>
          </w:tcPr>
          <w:p>
            <w:pPr>
              <w:pStyle w:val="TableParagraph"/>
              <w:spacing w:before="35"/>
              <w:ind w:left="112"/>
              <w:rPr>
                <w:sz w:val="18"/>
              </w:rPr>
            </w:pPr>
            <w:r>
              <w:rPr>
                <w:sz w:val="18"/>
              </w:rPr>
              <w:t>Other land</w:t>
            </w:r>
          </w:p>
        </w:tc>
        <w:tc>
          <w:tcPr>
            <w:tcW w:w="2309" w:type="dxa"/>
          </w:tcPr>
          <w:p>
            <w:pPr>
              <w:pStyle w:val="TableParagraph"/>
              <w:spacing w:before="35"/>
              <w:ind w:left="112"/>
              <w:rPr>
                <w:sz w:val="18"/>
              </w:rPr>
            </w:pPr>
            <w:r>
              <w:rPr>
                <w:sz w:val="18"/>
              </w:rPr>
              <w:t>Other land</w:t>
            </w:r>
          </w:p>
        </w:tc>
        <w:tc>
          <w:tcPr>
            <w:tcW w:w="1683" w:type="dxa"/>
          </w:tcPr>
          <w:p>
            <w:pPr>
              <w:pStyle w:val="TableParagraph"/>
              <w:spacing w:before="35"/>
              <w:ind w:left="9"/>
              <w:jc w:val="center"/>
              <w:rPr>
                <w:sz w:val="18"/>
              </w:rPr>
            </w:pPr>
            <w:r>
              <w:rPr>
                <w:sz w:val="18"/>
              </w:rPr>
              <w:t>2</w:t>
            </w:r>
          </w:p>
        </w:tc>
        <w:tc>
          <w:tcPr>
            <w:tcW w:w="2602" w:type="dxa"/>
          </w:tcPr>
          <w:p>
            <w:pPr>
              <w:pStyle w:val="TableParagraph"/>
              <w:spacing w:before="35"/>
              <w:ind w:left="105" w:right="94"/>
              <w:jc w:val="center"/>
              <w:rPr>
                <w:sz w:val="18"/>
              </w:rPr>
            </w:pPr>
            <w:r>
              <w:rPr>
                <w:sz w:val="18"/>
              </w:rPr>
              <w:t>Excluded from GHG inventory</w:t>
            </w:r>
          </w:p>
        </w:tc>
      </w:tr>
      <w:tr>
        <w:trPr>
          <w:trHeight w:val="273" w:hRule="atLeast"/>
        </w:trPr>
        <w:tc>
          <w:tcPr>
            <w:tcW w:w="2422" w:type="dxa"/>
          </w:tcPr>
          <w:p>
            <w:pPr>
              <w:pStyle w:val="TableParagraph"/>
              <w:spacing w:before="40"/>
              <w:ind w:left="112"/>
              <w:rPr>
                <w:b/>
                <w:sz w:val="18"/>
              </w:rPr>
            </w:pPr>
            <w:r>
              <w:rPr>
                <w:b/>
                <w:sz w:val="18"/>
              </w:rPr>
              <w:t>TOTAL</w:t>
            </w:r>
          </w:p>
        </w:tc>
        <w:tc>
          <w:tcPr>
            <w:tcW w:w="2309" w:type="dxa"/>
          </w:tcPr>
          <w:p>
            <w:pPr>
              <w:pStyle w:val="TableParagraph"/>
              <w:rPr>
                <w:sz w:val="18"/>
              </w:rPr>
            </w:pPr>
          </w:p>
        </w:tc>
        <w:tc>
          <w:tcPr>
            <w:tcW w:w="1683" w:type="dxa"/>
          </w:tcPr>
          <w:p>
            <w:pPr>
              <w:pStyle w:val="TableParagraph"/>
              <w:spacing w:before="40"/>
              <w:ind w:left="199" w:right="190"/>
              <w:jc w:val="center"/>
              <w:rPr>
                <w:b/>
                <w:sz w:val="18"/>
              </w:rPr>
            </w:pPr>
            <w:r>
              <w:rPr>
                <w:b/>
                <w:sz w:val="18"/>
              </w:rPr>
              <w:t>140</w:t>
            </w:r>
          </w:p>
        </w:tc>
        <w:tc>
          <w:tcPr>
            <w:tcW w:w="2602" w:type="dxa"/>
          </w:tcPr>
          <w:p>
            <w:pPr>
              <w:pStyle w:val="TableParagraph"/>
              <w:rPr>
                <w:sz w:val="18"/>
              </w:rPr>
            </w:pPr>
          </w:p>
        </w:tc>
      </w:tr>
      <w:tr>
        <w:trPr>
          <w:trHeight w:val="443" w:hRule="atLeast"/>
        </w:trPr>
        <w:tc>
          <w:tcPr>
            <w:tcW w:w="9016" w:type="dxa"/>
            <w:gridSpan w:val="4"/>
          </w:tcPr>
          <w:p>
            <w:pPr>
              <w:pStyle w:val="TableParagraph"/>
              <w:spacing w:before="40"/>
              <w:ind w:left="112" w:right="143"/>
              <w:rPr>
                <w:sz w:val="16"/>
              </w:rPr>
            </w:pPr>
            <w:r>
              <w:rPr>
                <w:sz w:val="16"/>
              </w:rPr>
              <w:t>Note: Data are subdivided version of those in Table 2.3.2. Sub-categories are nationally defined and are illustrative only. “Initial” indicates the category at a time previous to the date for which the assessment is made and “Final” the category at the date of assessment.</w:t>
            </w:r>
          </w:p>
        </w:tc>
      </w:tr>
    </w:tbl>
    <w:p>
      <w:pPr>
        <w:spacing w:after="0"/>
        <w:rPr>
          <w:sz w:val="16"/>
        </w:rPr>
        <w:sectPr>
          <w:pgSz w:w="11900" w:h="16840"/>
          <w:pgMar w:header="230" w:footer="408" w:top="560" w:bottom="600" w:left="1000" w:right="860"/>
        </w:sectPr>
      </w:pPr>
    </w:p>
    <w:p>
      <w:pPr>
        <w:pStyle w:val="BodyText"/>
      </w:pPr>
      <w:r>
        <w:rPr/>
        <w:pict>
          <v:line style="position:absolute;mso-position-horizontal-relative:page;mso-position-vertical-relative:page;z-index:-2454136" from="56.320999pt,114.599998pt" to="132.760999pt,148.559998pt" stroked="true" strokeweight=".48pt" strokecolor="#000000">
            <v:stroke dashstyle="solid"/>
            <w10:wrap type="none"/>
          </v:line>
        </w:pict>
      </w:r>
      <w:r>
        <w:rPr/>
        <w:pict>
          <v:line style="position:absolute;mso-position-horizontal-relative:page;mso-position-vertical-relative:page;z-index:-2454112" from="146.201004pt,444.359985pt" to="218.081004pt,466.559985pt" stroked="true" strokeweight=".48pt" strokecolor="#000000">
            <v:stroke dashstyle="solid"/>
            <w10:wrap type="none"/>
          </v:line>
        </w:pict>
      </w:r>
    </w:p>
    <w:p>
      <w:pPr>
        <w:pStyle w:val="BodyText"/>
      </w:pPr>
    </w:p>
    <w:p>
      <w:pPr>
        <w:pStyle w:val="BodyText"/>
      </w:pPr>
    </w:p>
    <w:p>
      <w:pPr>
        <w:pStyle w:val="BodyText"/>
      </w:pPr>
    </w:p>
    <w:p>
      <w:pPr>
        <w:pStyle w:val="BodyText"/>
        <w:spacing w:before="8"/>
        <w:rPr>
          <w:sz w:val="19"/>
        </w:rPr>
      </w:pPr>
    </w:p>
    <w:tbl>
      <w:tblPr>
        <w:tblW w:w="0" w:type="auto"/>
        <w:jc w:val="left"/>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38"/>
        <w:gridCol w:w="1080"/>
        <w:gridCol w:w="950"/>
        <w:gridCol w:w="962"/>
        <w:gridCol w:w="976"/>
        <w:gridCol w:w="770"/>
        <w:gridCol w:w="760"/>
        <w:gridCol w:w="921"/>
        <w:gridCol w:w="727"/>
        <w:gridCol w:w="979"/>
      </w:tblGrid>
      <w:tr>
        <w:trPr>
          <w:trHeight w:val="515" w:hRule="atLeast"/>
        </w:trPr>
        <w:tc>
          <w:tcPr>
            <w:tcW w:w="9663" w:type="dxa"/>
            <w:gridSpan w:val="10"/>
            <w:tcBorders>
              <w:bottom w:val="double" w:sz="1" w:space="0" w:color="000000"/>
            </w:tcBorders>
          </w:tcPr>
          <w:p>
            <w:pPr>
              <w:pStyle w:val="TableParagraph"/>
              <w:spacing w:line="207" w:lineRule="exact" w:before="57"/>
              <w:ind w:left="1215" w:right="1208"/>
              <w:jc w:val="center"/>
              <w:rPr>
                <w:b/>
                <w:sz w:val="18"/>
              </w:rPr>
            </w:pPr>
            <w:r>
              <w:rPr>
                <w:b/>
                <w:sz w:val="18"/>
              </w:rPr>
              <w:t>T</w:t>
            </w:r>
            <w:r>
              <w:rPr>
                <w:b/>
                <w:sz w:val="14"/>
              </w:rPr>
              <w:t>ABLE </w:t>
            </w:r>
            <w:r>
              <w:rPr>
                <w:b/>
                <w:sz w:val="18"/>
              </w:rPr>
              <w:t>2.3.4</w:t>
            </w:r>
          </w:p>
          <w:p>
            <w:pPr>
              <w:pStyle w:val="TableParagraph"/>
              <w:spacing w:line="207" w:lineRule="exact"/>
              <w:ind w:left="1257" w:right="1208"/>
              <w:jc w:val="center"/>
              <w:rPr>
                <w:b/>
                <w:sz w:val="14"/>
              </w:rPr>
            </w:pPr>
            <w:r>
              <w:rPr>
                <w:b/>
                <w:sz w:val="18"/>
              </w:rPr>
              <w:t>I</w:t>
            </w:r>
            <w:r>
              <w:rPr>
                <w:b/>
                <w:sz w:val="14"/>
              </w:rPr>
              <w:t>LLUSTRATIVE EXAMPLE OF </w:t>
            </w:r>
            <w:r>
              <w:rPr>
                <w:b/>
                <w:sz w:val="18"/>
              </w:rPr>
              <w:t>A</w:t>
            </w:r>
            <w:r>
              <w:rPr>
                <w:b/>
                <w:sz w:val="14"/>
              </w:rPr>
              <w:t>PPROACH </w:t>
            </w:r>
            <w:r>
              <w:rPr>
                <w:b/>
                <w:sz w:val="18"/>
              </w:rPr>
              <w:t>2 </w:t>
            </w:r>
            <w:r>
              <w:rPr>
                <w:b/>
                <w:sz w:val="14"/>
              </w:rPr>
              <w:t>DATA IN A </w:t>
            </w:r>
            <w:r>
              <w:rPr>
                <w:b/>
                <w:sz w:val="18"/>
              </w:rPr>
              <w:t>LUC </w:t>
            </w:r>
            <w:r>
              <w:rPr>
                <w:b/>
                <w:sz w:val="14"/>
              </w:rPr>
              <w:t>MATRIX WITH CATEGORY SUBDIVISIONS</w:t>
            </w:r>
          </w:p>
        </w:tc>
      </w:tr>
      <w:tr>
        <w:trPr>
          <w:trHeight w:val="695" w:hRule="atLeast"/>
        </w:trPr>
        <w:tc>
          <w:tcPr>
            <w:tcW w:w="1538" w:type="dxa"/>
            <w:tcBorders>
              <w:top w:val="double" w:sz="1" w:space="0" w:color="000000"/>
            </w:tcBorders>
          </w:tcPr>
          <w:p>
            <w:pPr>
              <w:pStyle w:val="TableParagraph"/>
              <w:spacing w:line="207" w:lineRule="exact" w:before="148"/>
              <w:ind w:right="2"/>
              <w:jc w:val="right"/>
              <w:rPr>
                <w:b/>
                <w:sz w:val="18"/>
              </w:rPr>
            </w:pPr>
            <w:r>
              <w:rPr>
                <w:b/>
                <w:sz w:val="18"/>
              </w:rPr>
              <w:t>Initial</w:t>
            </w:r>
          </w:p>
          <w:p>
            <w:pPr>
              <w:pStyle w:val="TableParagraph"/>
              <w:spacing w:line="207" w:lineRule="exact"/>
              <w:ind w:left="57"/>
              <w:rPr>
                <w:b/>
                <w:sz w:val="18"/>
              </w:rPr>
            </w:pPr>
            <w:r>
              <w:rPr>
                <w:b/>
                <w:sz w:val="18"/>
              </w:rPr>
              <w:t>Final</w:t>
            </w:r>
          </w:p>
        </w:tc>
        <w:tc>
          <w:tcPr>
            <w:tcW w:w="1080" w:type="dxa"/>
            <w:tcBorders>
              <w:top w:val="double" w:sz="1" w:space="0" w:color="000000"/>
            </w:tcBorders>
          </w:tcPr>
          <w:p>
            <w:pPr>
              <w:pStyle w:val="TableParagraph"/>
              <w:spacing w:before="148"/>
              <w:ind w:left="14" w:right="-15" w:firstLine="88"/>
              <w:rPr>
                <w:b/>
                <w:sz w:val="18"/>
              </w:rPr>
            </w:pPr>
            <w:r>
              <w:rPr>
                <w:b/>
                <w:sz w:val="18"/>
              </w:rPr>
              <w:t>Forest land (Unmanaged)</w:t>
            </w:r>
          </w:p>
        </w:tc>
        <w:tc>
          <w:tcPr>
            <w:tcW w:w="950" w:type="dxa"/>
            <w:tcBorders>
              <w:top w:val="double" w:sz="1" w:space="0" w:color="000000"/>
            </w:tcBorders>
          </w:tcPr>
          <w:p>
            <w:pPr>
              <w:pStyle w:val="TableParagraph"/>
              <w:spacing w:before="148"/>
              <w:ind w:left="55" w:right="7" w:hanging="17"/>
              <w:rPr>
                <w:b/>
                <w:sz w:val="18"/>
              </w:rPr>
            </w:pPr>
            <w:r>
              <w:rPr>
                <w:b/>
                <w:sz w:val="18"/>
              </w:rPr>
              <w:t>Forest land (Managed)</w:t>
            </w:r>
          </w:p>
        </w:tc>
        <w:tc>
          <w:tcPr>
            <w:tcW w:w="962" w:type="dxa"/>
            <w:tcBorders>
              <w:top w:val="double" w:sz="1" w:space="0" w:color="000000"/>
            </w:tcBorders>
          </w:tcPr>
          <w:p>
            <w:pPr>
              <w:pStyle w:val="TableParagraph"/>
              <w:spacing w:before="45"/>
              <w:ind w:left="68" w:right="52"/>
              <w:jc w:val="center"/>
              <w:rPr>
                <w:b/>
                <w:sz w:val="18"/>
              </w:rPr>
            </w:pPr>
            <w:r>
              <w:rPr>
                <w:b/>
                <w:sz w:val="18"/>
              </w:rPr>
              <w:t>Grassland (Rough grazing)</w:t>
            </w:r>
          </w:p>
        </w:tc>
        <w:tc>
          <w:tcPr>
            <w:tcW w:w="976" w:type="dxa"/>
            <w:tcBorders>
              <w:top w:val="double" w:sz="1" w:space="0" w:color="000000"/>
            </w:tcBorders>
          </w:tcPr>
          <w:p>
            <w:pPr>
              <w:pStyle w:val="TableParagraph"/>
              <w:spacing w:before="148"/>
              <w:ind w:left="48" w:right="18" w:firstLine="45"/>
              <w:rPr>
                <w:b/>
                <w:sz w:val="18"/>
              </w:rPr>
            </w:pPr>
            <w:r>
              <w:rPr>
                <w:b/>
                <w:sz w:val="18"/>
              </w:rPr>
              <w:t>Grassland (Improved)</w:t>
            </w:r>
          </w:p>
        </w:tc>
        <w:tc>
          <w:tcPr>
            <w:tcW w:w="770" w:type="dxa"/>
            <w:tcBorders>
              <w:top w:val="double" w:sz="1" w:space="0" w:color="000000"/>
            </w:tcBorders>
          </w:tcPr>
          <w:p>
            <w:pPr>
              <w:pStyle w:val="TableParagraph"/>
              <w:spacing w:before="9"/>
              <w:rPr>
                <w:sz w:val="21"/>
              </w:rPr>
            </w:pPr>
          </w:p>
          <w:p>
            <w:pPr>
              <w:pStyle w:val="TableParagraph"/>
              <w:spacing w:before="1"/>
              <w:ind w:left="16"/>
              <w:jc w:val="center"/>
              <w:rPr>
                <w:b/>
                <w:sz w:val="18"/>
              </w:rPr>
            </w:pPr>
            <w:r>
              <w:rPr>
                <w:b/>
                <w:sz w:val="18"/>
              </w:rPr>
              <w:t>Cropland</w:t>
            </w:r>
          </w:p>
        </w:tc>
        <w:tc>
          <w:tcPr>
            <w:tcW w:w="760" w:type="dxa"/>
            <w:tcBorders>
              <w:top w:val="double" w:sz="1" w:space="0" w:color="000000"/>
            </w:tcBorders>
          </w:tcPr>
          <w:p>
            <w:pPr>
              <w:pStyle w:val="TableParagraph"/>
              <w:spacing w:before="9"/>
              <w:rPr>
                <w:sz w:val="21"/>
              </w:rPr>
            </w:pPr>
          </w:p>
          <w:p>
            <w:pPr>
              <w:pStyle w:val="TableParagraph"/>
              <w:spacing w:before="1"/>
              <w:ind w:left="13"/>
              <w:jc w:val="center"/>
              <w:rPr>
                <w:b/>
                <w:sz w:val="18"/>
              </w:rPr>
            </w:pPr>
            <w:r>
              <w:rPr>
                <w:b/>
                <w:sz w:val="18"/>
              </w:rPr>
              <w:t>Wetlands</w:t>
            </w:r>
          </w:p>
        </w:tc>
        <w:tc>
          <w:tcPr>
            <w:tcW w:w="921" w:type="dxa"/>
            <w:tcBorders>
              <w:top w:val="double" w:sz="1" w:space="0" w:color="000000"/>
            </w:tcBorders>
          </w:tcPr>
          <w:p>
            <w:pPr>
              <w:pStyle w:val="TableParagraph"/>
              <w:spacing w:before="9"/>
              <w:rPr>
                <w:sz w:val="21"/>
              </w:rPr>
            </w:pPr>
          </w:p>
          <w:p>
            <w:pPr>
              <w:pStyle w:val="TableParagraph"/>
              <w:spacing w:before="1"/>
              <w:ind w:left="11"/>
              <w:jc w:val="center"/>
              <w:rPr>
                <w:b/>
                <w:sz w:val="18"/>
              </w:rPr>
            </w:pPr>
            <w:r>
              <w:rPr>
                <w:b/>
                <w:sz w:val="18"/>
              </w:rPr>
              <w:t>Settlements</w:t>
            </w:r>
          </w:p>
        </w:tc>
        <w:tc>
          <w:tcPr>
            <w:tcW w:w="727" w:type="dxa"/>
            <w:tcBorders>
              <w:top w:val="double" w:sz="1" w:space="0" w:color="000000"/>
            </w:tcBorders>
          </w:tcPr>
          <w:p>
            <w:pPr>
              <w:pStyle w:val="TableParagraph"/>
              <w:spacing w:before="148"/>
              <w:ind w:left="197" w:right="100" w:hanging="60"/>
              <w:rPr>
                <w:b/>
                <w:sz w:val="18"/>
              </w:rPr>
            </w:pPr>
            <w:r>
              <w:rPr>
                <w:b/>
                <w:sz w:val="18"/>
              </w:rPr>
              <w:t>Other land</w:t>
            </w:r>
          </w:p>
        </w:tc>
        <w:tc>
          <w:tcPr>
            <w:tcW w:w="979" w:type="dxa"/>
            <w:tcBorders>
              <w:top w:val="double" w:sz="1" w:space="0" w:color="000000"/>
            </w:tcBorders>
          </w:tcPr>
          <w:p>
            <w:pPr>
              <w:pStyle w:val="TableParagraph"/>
              <w:spacing w:before="9"/>
              <w:rPr>
                <w:sz w:val="21"/>
              </w:rPr>
            </w:pPr>
          </w:p>
          <w:p>
            <w:pPr>
              <w:pStyle w:val="TableParagraph"/>
              <w:spacing w:before="1"/>
              <w:ind w:left="79" w:right="65"/>
              <w:jc w:val="center"/>
              <w:rPr>
                <w:b/>
                <w:sz w:val="18"/>
              </w:rPr>
            </w:pPr>
            <w:r>
              <w:rPr>
                <w:b/>
                <w:sz w:val="18"/>
              </w:rPr>
              <w:t>Final area</w:t>
            </w:r>
          </w:p>
        </w:tc>
      </w:tr>
      <w:tr>
        <w:trPr>
          <w:trHeight w:val="443" w:hRule="atLeast"/>
        </w:trPr>
        <w:tc>
          <w:tcPr>
            <w:tcW w:w="1538" w:type="dxa"/>
          </w:tcPr>
          <w:p>
            <w:pPr>
              <w:pStyle w:val="TableParagraph"/>
              <w:spacing w:line="206" w:lineRule="exact" w:before="24"/>
              <w:ind w:left="57" w:right="400"/>
              <w:rPr>
                <w:b/>
                <w:sz w:val="18"/>
              </w:rPr>
            </w:pPr>
            <w:r>
              <w:rPr>
                <w:b/>
                <w:sz w:val="18"/>
              </w:rPr>
              <w:t>Forest land (Unmanaged)</w:t>
            </w:r>
          </w:p>
        </w:tc>
        <w:tc>
          <w:tcPr>
            <w:tcW w:w="1080" w:type="dxa"/>
          </w:tcPr>
          <w:p>
            <w:pPr>
              <w:pStyle w:val="TableParagraph"/>
              <w:spacing w:before="119"/>
              <w:ind w:left="9"/>
              <w:jc w:val="center"/>
              <w:rPr>
                <w:sz w:val="18"/>
              </w:rPr>
            </w:pPr>
            <w:r>
              <w:rPr>
                <w:sz w:val="18"/>
              </w:rPr>
              <w:t>5</w:t>
            </w:r>
          </w:p>
        </w:tc>
        <w:tc>
          <w:tcPr>
            <w:tcW w:w="950" w:type="dxa"/>
          </w:tcPr>
          <w:p>
            <w:pPr>
              <w:pStyle w:val="TableParagraph"/>
              <w:rPr>
                <w:sz w:val="16"/>
              </w:rPr>
            </w:pPr>
          </w:p>
        </w:tc>
        <w:tc>
          <w:tcPr>
            <w:tcW w:w="962" w:type="dxa"/>
          </w:tcPr>
          <w:p>
            <w:pPr>
              <w:pStyle w:val="TableParagraph"/>
              <w:rPr>
                <w:sz w:val="16"/>
              </w:rPr>
            </w:pPr>
          </w:p>
        </w:tc>
        <w:tc>
          <w:tcPr>
            <w:tcW w:w="976" w:type="dxa"/>
          </w:tcPr>
          <w:p>
            <w:pPr>
              <w:pStyle w:val="TableParagraph"/>
              <w:rPr>
                <w:sz w:val="16"/>
              </w:rPr>
            </w:pPr>
          </w:p>
        </w:tc>
        <w:tc>
          <w:tcPr>
            <w:tcW w:w="770" w:type="dxa"/>
          </w:tcPr>
          <w:p>
            <w:pPr>
              <w:pStyle w:val="TableParagraph"/>
              <w:rPr>
                <w:sz w:val="16"/>
              </w:rPr>
            </w:pPr>
          </w:p>
        </w:tc>
        <w:tc>
          <w:tcPr>
            <w:tcW w:w="760" w:type="dxa"/>
          </w:tcPr>
          <w:p>
            <w:pPr>
              <w:pStyle w:val="TableParagraph"/>
              <w:rPr>
                <w:sz w:val="16"/>
              </w:rPr>
            </w:pPr>
          </w:p>
        </w:tc>
        <w:tc>
          <w:tcPr>
            <w:tcW w:w="921" w:type="dxa"/>
          </w:tcPr>
          <w:p>
            <w:pPr>
              <w:pStyle w:val="TableParagraph"/>
              <w:rPr>
                <w:sz w:val="16"/>
              </w:rPr>
            </w:pPr>
          </w:p>
        </w:tc>
        <w:tc>
          <w:tcPr>
            <w:tcW w:w="727" w:type="dxa"/>
          </w:tcPr>
          <w:p>
            <w:pPr>
              <w:pStyle w:val="TableParagraph"/>
              <w:rPr>
                <w:sz w:val="16"/>
              </w:rPr>
            </w:pPr>
          </w:p>
        </w:tc>
        <w:tc>
          <w:tcPr>
            <w:tcW w:w="979" w:type="dxa"/>
          </w:tcPr>
          <w:p>
            <w:pPr>
              <w:pStyle w:val="TableParagraph"/>
              <w:spacing w:before="124"/>
              <w:ind w:left="11"/>
              <w:jc w:val="center"/>
              <w:rPr>
                <w:b/>
                <w:sz w:val="18"/>
              </w:rPr>
            </w:pPr>
            <w:r>
              <w:rPr>
                <w:b/>
                <w:sz w:val="18"/>
              </w:rPr>
              <w:t>5</w:t>
            </w:r>
          </w:p>
        </w:tc>
      </w:tr>
      <w:tr>
        <w:trPr>
          <w:trHeight w:val="443" w:hRule="atLeast"/>
        </w:trPr>
        <w:tc>
          <w:tcPr>
            <w:tcW w:w="1538" w:type="dxa"/>
          </w:tcPr>
          <w:p>
            <w:pPr>
              <w:pStyle w:val="TableParagraph"/>
              <w:spacing w:line="210" w:lineRule="atLeast" w:before="18"/>
              <w:ind w:left="57" w:right="576"/>
              <w:rPr>
                <w:b/>
                <w:sz w:val="18"/>
              </w:rPr>
            </w:pPr>
            <w:r>
              <w:rPr>
                <w:b/>
                <w:sz w:val="18"/>
              </w:rPr>
              <w:t>Forest land (Managed)</w:t>
            </w:r>
          </w:p>
        </w:tc>
        <w:tc>
          <w:tcPr>
            <w:tcW w:w="1080" w:type="dxa"/>
          </w:tcPr>
          <w:p>
            <w:pPr>
              <w:pStyle w:val="TableParagraph"/>
              <w:rPr>
                <w:sz w:val="16"/>
              </w:rPr>
            </w:pPr>
          </w:p>
        </w:tc>
        <w:tc>
          <w:tcPr>
            <w:tcW w:w="950" w:type="dxa"/>
          </w:tcPr>
          <w:p>
            <w:pPr>
              <w:pStyle w:val="TableParagraph"/>
              <w:spacing w:before="119"/>
              <w:ind w:right="371"/>
              <w:jc w:val="right"/>
              <w:rPr>
                <w:sz w:val="18"/>
              </w:rPr>
            </w:pPr>
            <w:r>
              <w:rPr>
                <w:sz w:val="18"/>
              </w:rPr>
              <w:t>10</w:t>
            </w:r>
          </w:p>
        </w:tc>
        <w:tc>
          <w:tcPr>
            <w:tcW w:w="962" w:type="dxa"/>
          </w:tcPr>
          <w:p>
            <w:pPr>
              <w:pStyle w:val="TableParagraph"/>
              <w:spacing w:before="119"/>
              <w:ind w:left="437"/>
              <w:rPr>
                <w:sz w:val="18"/>
              </w:rPr>
            </w:pPr>
            <w:r>
              <w:rPr>
                <w:sz w:val="18"/>
              </w:rPr>
              <w:t>1</w:t>
            </w:r>
          </w:p>
        </w:tc>
        <w:tc>
          <w:tcPr>
            <w:tcW w:w="976" w:type="dxa"/>
          </w:tcPr>
          <w:p>
            <w:pPr>
              <w:pStyle w:val="TableParagraph"/>
              <w:spacing w:before="119"/>
              <w:ind w:left="442"/>
              <w:rPr>
                <w:sz w:val="18"/>
              </w:rPr>
            </w:pPr>
            <w:r>
              <w:rPr>
                <w:sz w:val="18"/>
              </w:rPr>
              <w:t>2</w:t>
            </w:r>
          </w:p>
        </w:tc>
        <w:tc>
          <w:tcPr>
            <w:tcW w:w="770" w:type="dxa"/>
          </w:tcPr>
          <w:p>
            <w:pPr>
              <w:pStyle w:val="TableParagraph"/>
              <w:spacing w:before="119"/>
              <w:ind w:left="10"/>
              <w:jc w:val="center"/>
              <w:rPr>
                <w:sz w:val="18"/>
              </w:rPr>
            </w:pPr>
            <w:r>
              <w:rPr>
                <w:sz w:val="18"/>
              </w:rPr>
              <w:t>1</w:t>
            </w:r>
          </w:p>
        </w:tc>
        <w:tc>
          <w:tcPr>
            <w:tcW w:w="760" w:type="dxa"/>
          </w:tcPr>
          <w:p>
            <w:pPr>
              <w:pStyle w:val="TableParagraph"/>
              <w:rPr>
                <w:sz w:val="16"/>
              </w:rPr>
            </w:pPr>
          </w:p>
        </w:tc>
        <w:tc>
          <w:tcPr>
            <w:tcW w:w="921" w:type="dxa"/>
          </w:tcPr>
          <w:p>
            <w:pPr>
              <w:pStyle w:val="TableParagraph"/>
              <w:rPr>
                <w:sz w:val="16"/>
              </w:rPr>
            </w:pPr>
          </w:p>
        </w:tc>
        <w:tc>
          <w:tcPr>
            <w:tcW w:w="727" w:type="dxa"/>
          </w:tcPr>
          <w:p>
            <w:pPr>
              <w:pStyle w:val="TableParagraph"/>
              <w:rPr>
                <w:sz w:val="16"/>
              </w:rPr>
            </w:pPr>
          </w:p>
        </w:tc>
        <w:tc>
          <w:tcPr>
            <w:tcW w:w="979" w:type="dxa"/>
          </w:tcPr>
          <w:p>
            <w:pPr>
              <w:pStyle w:val="TableParagraph"/>
              <w:spacing w:before="124"/>
              <w:ind w:left="78" w:right="65"/>
              <w:jc w:val="center"/>
              <w:rPr>
                <w:b/>
                <w:sz w:val="18"/>
              </w:rPr>
            </w:pPr>
            <w:r>
              <w:rPr>
                <w:b/>
                <w:sz w:val="18"/>
              </w:rPr>
              <w:t>14</w:t>
            </w:r>
          </w:p>
        </w:tc>
      </w:tr>
      <w:tr>
        <w:trPr>
          <w:trHeight w:val="590" w:hRule="atLeast"/>
        </w:trPr>
        <w:tc>
          <w:tcPr>
            <w:tcW w:w="1538" w:type="dxa"/>
          </w:tcPr>
          <w:p>
            <w:pPr>
              <w:pStyle w:val="TableParagraph"/>
              <w:spacing w:before="93"/>
              <w:ind w:left="57" w:right="130"/>
              <w:rPr>
                <w:b/>
                <w:sz w:val="18"/>
              </w:rPr>
            </w:pPr>
            <w:r>
              <w:rPr>
                <w:b/>
                <w:sz w:val="18"/>
              </w:rPr>
              <w:t>Grassland (Rough grazing)</w:t>
            </w:r>
          </w:p>
        </w:tc>
        <w:tc>
          <w:tcPr>
            <w:tcW w:w="1080" w:type="dxa"/>
          </w:tcPr>
          <w:p>
            <w:pPr>
              <w:pStyle w:val="TableParagraph"/>
              <w:rPr>
                <w:sz w:val="16"/>
              </w:rPr>
            </w:pPr>
          </w:p>
        </w:tc>
        <w:tc>
          <w:tcPr>
            <w:tcW w:w="950" w:type="dxa"/>
          </w:tcPr>
          <w:p>
            <w:pPr>
              <w:pStyle w:val="TableParagraph"/>
              <w:spacing w:before="10"/>
              <w:rPr>
                <w:sz w:val="16"/>
              </w:rPr>
            </w:pPr>
          </w:p>
          <w:p>
            <w:pPr>
              <w:pStyle w:val="TableParagraph"/>
              <w:ind w:right="418"/>
              <w:jc w:val="right"/>
              <w:rPr>
                <w:sz w:val="18"/>
              </w:rPr>
            </w:pPr>
            <w:r>
              <w:rPr>
                <w:sz w:val="18"/>
              </w:rPr>
              <w:t>2</w:t>
            </w:r>
          </w:p>
        </w:tc>
        <w:tc>
          <w:tcPr>
            <w:tcW w:w="962" w:type="dxa"/>
          </w:tcPr>
          <w:p>
            <w:pPr>
              <w:pStyle w:val="TableParagraph"/>
              <w:spacing w:before="10"/>
              <w:rPr>
                <w:sz w:val="16"/>
              </w:rPr>
            </w:pPr>
          </w:p>
          <w:p>
            <w:pPr>
              <w:pStyle w:val="TableParagraph"/>
              <w:ind w:left="391"/>
              <w:rPr>
                <w:sz w:val="18"/>
              </w:rPr>
            </w:pPr>
            <w:r>
              <w:rPr>
                <w:sz w:val="18"/>
              </w:rPr>
              <w:t>56</w:t>
            </w:r>
          </w:p>
        </w:tc>
        <w:tc>
          <w:tcPr>
            <w:tcW w:w="976" w:type="dxa"/>
          </w:tcPr>
          <w:p>
            <w:pPr>
              <w:pStyle w:val="TableParagraph"/>
              <w:rPr>
                <w:sz w:val="16"/>
              </w:rPr>
            </w:pPr>
          </w:p>
        </w:tc>
        <w:tc>
          <w:tcPr>
            <w:tcW w:w="770" w:type="dxa"/>
          </w:tcPr>
          <w:p>
            <w:pPr>
              <w:pStyle w:val="TableParagraph"/>
              <w:rPr>
                <w:sz w:val="16"/>
              </w:rPr>
            </w:pPr>
          </w:p>
        </w:tc>
        <w:tc>
          <w:tcPr>
            <w:tcW w:w="760" w:type="dxa"/>
          </w:tcPr>
          <w:p>
            <w:pPr>
              <w:pStyle w:val="TableParagraph"/>
              <w:rPr>
                <w:sz w:val="16"/>
              </w:rPr>
            </w:pPr>
          </w:p>
        </w:tc>
        <w:tc>
          <w:tcPr>
            <w:tcW w:w="921" w:type="dxa"/>
          </w:tcPr>
          <w:p>
            <w:pPr>
              <w:pStyle w:val="TableParagraph"/>
              <w:rPr>
                <w:sz w:val="16"/>
              </w:rPr>
            </w:pPr>
          </w:p>
        </w:tc>
        <w:tc>
          <w:tcPr>
            <w:tcW w:w="727" w:type="dxa"/>
          </w:tcPr>
          <w:p>
            <w:pPr>
              <w:pStyle w:val="TableParagraph"/>
              <w:rPr>
                <w:sz w:val="16"/>
              </w:rPr>
            </w:pPr>
          </w:p>
        </w:tc>
        <w:tc>
          <w:tcPr>
            <w:tcW w:w="979" w:type="dxa"/>
          </w:tcPr>
          <w:p>
            <w:pPr>
              <w:pStyle w:val="TableParagraph"/>
              <w:spacing w:before="3"/>
              <w:rPr>
                <w:sz w:val="17"/>
              </w:rPr>
            </w:pPr>
          </w:p>
          <w:p>
            <w:pPr>
              <w:pStyle w:val="TableParagraph"/>
              <w:ind w:left="78" w:right="65"/>
              <w:jc w:val="center"/>
              <w:rPr>
                <w:b/>
                <w:sz w:val="18"/>
              </w:rPr>
            </w:pPr>
            <w:r>
              <w:rPr>
                <w:b/>
                <w:sz w:val="18"/>
              </w:rPr>
              <w:t>58</w:t>
            </w:r>
          </w:p>
        </w:tc>
      </w:tr>
      <w:tr>
        <w:trPr>
          <w:trHeight w:val="443" w:hRule="atLeast"/>
        </w:trPr>
        <w:tc>
          <w:tcPr>
            <w:tcW w:w="1538" w:type="dxa"/>
          </w:tcPr>
          <w:p>
            <w:pPr>
              <w:pStyle w:val="TableParagraph"/>
              <w:spacing w:line="206" w:lineRule="exact" w:before="24"/>
              <w:ind w:left="57" w:right="571"/>
              <w:rPr>
                <w:b/>
                <w:sz w:val="18"/>
              </w:rPr>
            </w:pPr>
            <w:r>
              <w:rPr>
                <w:b/>
                <w:sz w:val="18"/>
              </w:rPr>
              <w:t>Grassland (Improved)</w:t>
            </w:r>
          </w:p>
        </w:tc>
        <w:tc>
          <w:tcPr>
            <w:tcW w:w="1080" w:type="dxa"/>
          </w:tcPr>
          <w:p>
            <w:pPr>
              <w:pStyle w:val="TableParagraph"/>
              <w:rPr>
                <w:sz w:val="16"/>
              </w:rPr>
            </w:pPr>
          </w:p>
        </w:tc>
        <w:tc>
          <w:tcPr>
            <w:tcW w:w="950" w:type="dxa"/>
          </w:tcPr>
          <w:p>
            <w:pPr>
              <w:pStyle w:val="TableParagraph"/>
              <w:rPr>
                <w:sz w:val="16"/>
              </w:rPr>
            </w:pPr>
          </w:p>
        </w:tc>
        <w:tc>
          <w:tcPr>
            <w:tcW w:w="962" w:type="dxa"/>
          </w:tcPr>
          <w:p>
            <w:pPr>
              <w:pStyle w:val="TableParagraph"/>
              <w:spacing w:before="119"/>
              <w:ind w:left="437"/>
              <w:rPr>
                <w:sz w:val="18"/>
              </w:rPr>
            </w:pPr>
            <w:r>
              <w:rPr>
                <w:sz w:val="18"/>
              </w:rPr>
              <w:t>2</w:t>
            </w:r>
          </w:p>
        </w:tc>
        <w:tc>
          <w:tcPr>
            <w:tcW w:w="976" w:type="dxa"/>
          </w:tcPr>
          <w:p>
            <w:pPr>
              <w:pStyle w:val="TableParagraph"/>
              <w:spacing w:before="119"/>
              <w:ind w:left="397"/>
              <w:rPr>
                <w:sz w:val="18"/>
              </w:rPr>
            </w:pPr>
            <w:r>
              <w:rPr>
                <w:sz w:val="18"/>
              </w:rPr>
              <w:t>22</w:t>
            </w:r>
          </w:p>
        </w:tc>
        <w:tc>
          <w:tcPr>
            <w:tcW w:w="770" w:type="dxa"/>
          </w:tcPr>
          <w:p>
            <w:pPr>
              <w:pStyle w:val="TableParagraph"/>
              <w:rPr>
                <w:sz w:val="16"/>
              </w:rPr>
            </w:pPr>
          </w:p>
        </w:tc>
        <w:tc>
          <w:tcPr>
            <w:tcW w:w="760" w:type="dxa"/>
          </w:tcPr>
          <w:p>
            <w:pPr>
              <w:pStyle w:val="TableParagraph"/>
              <w:rPr>
                <w:sz w:val="16"/>
              </w:rPr>
            </w:pPr>
          </w:p>
        </w:tc>
        <w:tc>
          <w:tcPr>
            <w:tcW w:w="921" w:type="dxa"/>
          </w:tcPr>
          <w:p>
            <w:pPr>
              <w:pStyle w:val="TableParagraph"/>
              <w:rPr>
                <w:sz w:val="16"/>
              </w:rPr>
            </w:pPr>
          </w:p>
        </w:tc>
        <w:tc>
          <w:tcPr>
            <w:tcW w:w="727" w:type="dxa"/>
          </w:tcPr>
          <w:p>
            <w:pPr>
              <w:pStyle w:val="TableParagraph"/>
              <w:rPr>
                <w:sz w:val="16"/>
              </w:rPr>
            </w:pPr>
          </w:p>
        </w:tc>
        <w:tc>
          <w:tcPr>
            <w:tcW w:w="979" w:type="dxa"/>
          </w:tcPr>
          <w:p>
            <w:pPr>
              <w:pStyle w:val="TableParagraph"/>
              <w:spacing w:before="124"/>
              <w:ind w:left="78" w:right="65"/>
              <w:jc w:val="center"/>
              <w:rPr>
                <w:b/>
                <w:sz w:val="18"/>
              </w:rPr>
            </w:pPr>
            <w:r>
              <w:rPr>
                <w:b/>
                <w:sz w:val="18"/>
              </w:rPr>
              <w:t>24</w:t>
            </w:r>
          </w:p>
        </w:tc>
      </w:tr>
      <w:tr>
        <w:trPr>
          <w:trHeight w:val="273" w:hRule="atLeast"/>
        </w:trPr>
        <w:tc>
          <w:tcPr>
            <w:tcW w:w="1538" w:type="dxa"/>
          </w:tcPr>
          <w:p>
            <w:pPr>
              <w:pStyle w:val="TableParagraph"/>
              <w:spacing w:before="40"/>
              <w:ind w:left="57"/>
              <w:rPr>
                <w:b/>
                <w:sz w:val="18"/>
              </w:rPr>
            </w:pPr>
            <w:r>
              <w:rPr>
                <w:b/>
                <w:sz w:val="18"/>
              </w:rPr>
              <w:t>Cropland</w:t>
            </w:r>
          </w:p>
        </w:tc>
        <w:tc>
          <w:tcPr>
            <w:tcW w:w="1080" w:type="dxa"/>
          </w:tcPr>
          <w:p>
            <w:pPr>
              <w:pStyle w:val="TableParagraph"/>
              <w:rPr>
                <w:sz w:val="16"/>
              </w:rPr>
            </w:pPr>
          </w:p>
        </w:tc>
        <w:tc>
          <w:tcPr>
            <w:tcW w:w="950" w:type="dxa"/>
          </w:tcPr>
          <w:p>
            <w:pPr>
              <w:pStyle w:val="TableParagraph"/>
              <w:rPr>
                <w:sz w:val="16"/>
              </w:rPr>
            </w:pPr>
          </w:p>
        </w:tc>
        <w:tc>
          <w:tcPr>
            <w:tcW w:w="962" w:type="dxa"/>
          </w:tcPr>
          <w:p>
            <w:pPr>
              <w:pStyle w:val="TableParagraph"/>
              <w:rPr>
                <w:sz w:val="16"/>
              </w:rPr>
            </w:pPr>
          </w:p>
        </w:tc>
        <w:tc>
          <w:tcPr>
            <w:tcW w:w="976" w:type="dxa"/>
          </w:tcPr>
          <w:p>
            <w:pPr>
              <w:pStyle w:val="TableParagraph"/>
              <w:rPr>
                <w:sz w:val="16"/>
              </w:rPr>
            </w:pPr>
          </w:p>
        </w:tc>
        <w:tc>
          <w:tcPr>
            <w:tcW w:w="770" w:type="dxa"/>
          </w:tcPr>
          <w:p>
            <w:pPr>
              <w:pStyle w:val="TableParagraph"/>
              <w:spacing w:before="35"/>
              <w:ind w:left="11"/>
              <w:jc w:val="center"/>
              <w:rPr>
                <w:sz w:val="18"/>
              </w:rPr>
            </w:pPr>
            <w:r>
              <w:rPr>
                <w:sz w:val="18"/>
              </w:rPr>
              <w:t>29</w:t>
            </w:r>
          </w:p>
        </w:tc>
        <w:tc>
          <w:tcPr>
            <w:tcW w:w="760" w:type="dxa"/>
          </w:tcPr>
          <w:p>
            <w:pPr>
              <w:pStyle w:val="TableParagraph"/>
              <w:rPr>
                <w:sz w:val="16"/>
              </w:rPr>
            </w:pPr>
          </w:p>
        </w:tc>
        <w:tc>
          <w:tcPr>
            <w:tcW w:w="921" w:type="dxa"/>
          </w:tcPr>
          <w:p>
            <w:pPr>
              <w:pStyle w:val="TableParagraph"/>
              <w:rPr>
                <w:sz w:val="16"/>
              </w:rPr>
            </w:pPr>
          </w:p>
        </w:tc>
        <w:tc>
          <w:tcPr>
            <w:tcW w:w="727" w:type="dxa"/>
          </w:tcPr>
          <w:p>
            <w:pPr>
              <w:pStyle w:val="TableParagraph"/>
              <w:rPr>
                <w:sz w:val="16"/>
              </w:rPr>
            </w:pPr>
          </w:p>
        </w:tc>
        <w:tc>
          <w:tcPr>
            <w:tcW w:w="979" w:type="dxa"/>
          </w:tcPr>
          <w:p>
            <w:pPr>
              <w:pStyle w:val="TableParagraph"/>
              <w:spacing w:before="40"/>
              <w:ind w:left="78" w:right="65"/>
              <w:jc w:val="center"/>
              <w:rPr>
                <w:b/>
                <w:sz w:val="18"/>
              </w:rPr>
            </w:pPr>
            <w:r>
              <w:rPr>
                <w:b/>
                <w:sz w:val="18"/>
              </w:rPr>
              <w:t>29</w:t>
            </w:r>
          </w:p>
        </w:tc>
      </w:tr>
      <w:tr>
        <w:trPr>
          <w:trHeight w:val="273" w:hRule="atLeast"/>
        </w:trPr>
        <w:tc>
          <w:tcPr>
            <w:tcW w:w="1538" w:type="dxa"/>
          </w:tcPr>
          <w:p>
            <w:pPr>
              <w:pStyle w:val="TableParagraph"/>
              <w:spacing w:before="40"/>
              <w:ind w:left="57"/>
              <w:rPr>
                <w:b/>
                <w:sz w:val="18"/>
              </w:rPr>
            </w:pPr>
            <w:r>
              <w:rPr>
                <w:b/>
                <w:sz w:val="18"/>
              </w:rPr>
              <w:t>Wetlands</w:t>
            </w:r>
          </w:p>
        </w:tc>
        <w:tc>
          <w:tcPr>
            <w:tcW w:w="1080" w:type="dxa"/>
          </w:tcPr>
          <w:p>
            <w:pPr>
              <w:pStyle w:val="TableParagraph"/>
              <w:rPr>
                <w:sz w:val="16"/>
              </w:rPr>
            </w:pPr>
          </w:p>
        </w:tc>
        <w:tc>
          <w:tcPr>
            <w:tcW w:w="950" w:type="dxa"/>
          </w:tcPr>
          <w:p>
            <w:pPr>
              <w:pStyle w:val="TableParagraph"/>
              <w:rPr>
                <w:sz w:val="16"/>
              </w:rPr>
            </w:pPr>
          </w:p>
        </w:tc>
        <w:tc>
          <w:tcPr>
            <w:tcW w:w="962" w:type="dxa"/>
          </w:tcPr>
          <w:p>
            <w:pPr>
              <w:pStyle w:val="TableParagraph"/>
              <w:rPr>
                <w:sz w:val="16"/>
              </w:rPr>
            </w:pPr>
          </w:p>
        </w:tc>
        <w:tc>
          <w:tcPr>
            <w:tcW w:w="976" w:type="dxa"/>
          </w:tcPr>
          <w:p>
            <w:pPr>
              <w:pStyle w:val="TableParagraph"/>
              <w:rPr>
                <w:sz w:val="16"/>
              </w:rPr>
            </w:pPr>
          </w:p>
        </w:tc>
        <w:tc>
          <w:tcPr>
            <w:tcW w:w="770" w:type="dxa"/>
          </w:tcPr>
          <w:p>
            <w:pPr>
              <w:pStyle w:val="TableParagraph"/>
              <w:rPr>
                <w:sz w:val="16"/>
              </w:rPr>
            </w:pPr>
          </w:p>
        </w:tc>
        <w:tc>
          <w:tcPr>
            <w:tcW w:w="760" w:type="dxa"/>
          </w:tcPr>
          <w:p>
            <w:pPr>
              <w:pStyle w:val="TableParagraph"/>
              <w:spacing w:before="35"/>
              <w:ind w:left="11"/>
              <w:jc w:val="center"/>
              <w:rPr>
                <w:sz w:val="18"/>
              </w:rPr>
            </w:pPr>
            <w:r>
              <w:rPr>
                <w:sz w:val="18"/>
              </w:rPr>
              <w:t>0</w:t>
            </w:r>
          </w:p>
        </w:tc>
        <w:tc>
          <w:tcPr>
            <w:tcW w:w="921" w:type="dxa"/>
          </w:tcPr>
          <w:p>
            <w:pPr>
              <w:pStyle w:val="TableParagraph"/>
              <w:rPr>
                <w:sz w:val="16"/>
              </w:rPr>
            </w:pPr>
          </w:p>
        </w:tc>
        <w:tc>
          <w:tcPr>
            <w:tcW w:w="727" w:type="dxa"/>
          </w:tcPr>
          <w:p>
            <w:pPr>
              <w:pStyle w:val="TableParagraph"/>
              <w:rPr>
                <w:sz w:val="16"/>
              </w:rPr>
            </w:pPr>
          </w:p>
        </w:tc>
        <w:tc>
          <w:tcPr>
            <w:tcW w:w="979" w:type="dxa"/>
          </w:tcPr>
          <w:p>
            <w:pPr>
              <w:pStyle w:val="TableParagraph"/>
              <w:spacing w:before="40"/>
              <w:ind w:left="11"/>
              <w:jc w:val="center"/>
              <w:rPr>
                <w:b/>
                <w:sz w:val="18"/>
              </w:rPr>
            </w:pPr>
            <w:r>
              <w:rPr>
                <w:b/>
                <w:sz w:val="18"/>
              </w:rPr>
              <w:t>0</w:t>
            </w:r>
          </w:p>
        </w:tc>
      </w:tr>
      <w:tr>
        <w:trPr>
          <w:trHeight w:val="275" w:hRule="atLeast"/>
        </w:trPr>
        <w:tc>
          <w:tcPr>
            <w:tcW w:w="1538" w:type="dxa"/>
          </w:tcPr>
          <w:p>
            <w:pPr>
              <w:pStyle w:val="TableParagraph"/>
              <w:spacing w:before="40"/>
              <w:ind w:left="57"/>
              <w:rPr>
                <w:b/>
                <w:sz w:val="18"/>
              </w:rPr>
            </w:pPr>
            <w:r>
              <w:rPr>
                <w:b/>
                <w:sz w:val="18"/>
              </w:rPr>
              <w:t>Settlements</w:t>
            </w:r>
          </w:p>
        </w:tc>
        <w:tc>
          <w:tcPr>
            <w:tcW w:w="1080" w:type="dxa"/>
          </w:tcPr>
          <w:p>
            <w:pPr>
              <w:pStyle w:val="TableParagraph"/>
              <w:rPr>
                <w:sz w:val="16"/>
              </w:rPr>
            </w:pPr>
          </w:p>
        </w:tc>
        <w:tc>
          <w:tcPr>
            <w:tcW w:w="950" w:type="dxa"/>
          </w:tcPr>
          <w:p>
            <w:pPr>
              <w:pStyle w:val="TableParagraph"/>
              <w:spacing w:before="35"/>
              <w:ind w:right="418"/>
              <w:jc w:val="right"/>
              <w:rPr>
                <w:sz w:val="18"/>
              </w:rPr>
            </w:pPr>
            <w:r>
              <w:rPr>
                <w:sz w:val="18"/>
              </w:rPr>
              <w:t>1</w:t>
            </w:r>
          </w:p>
        </w:tc>
        <w:tc>
          <w:tcPr>
            <w:tcW w:w="962" w:type="dxa"/>
          </w:tcPr>
          <w:p>
            <w:pPr>
              <w:pStyle w:val="TableParagraph"/>
              <w:spacing w:before="35"/>
              <w:ind w:left="437"/>
              <w:rPr>
                <w:sz w:val="18"/>
              </w:rPr>
            </w:pPr>
            <w:r>
              <w:rPr>
                <w:sz w:val="18"/>
              </w:rPr>
              <w:t>1</w:t>
            </w:r>
          </w:p>
        </w:tc>
        <w:tc>
          <w:tcPr>
            <w:tcW w:w="976" w:type="dxa"/>
          </w:tcPr>
          <w:p>
            <w:pPr>
              <w:pStyle w:val="TableParagraph"/>
              <w:rPr>
                <w:sz w:val="16"/>
              </w:rPr>
            </w:pPr>
          </w:p>
        </w:tc>
        <w:tc>
          <w:tcPr>
            <w:tcW w:w="770" w:type="dxa"/>
          </w:tcPr>
          <w:p>
            <w:pPr>
              <w:pStyle w:val="TableParagraph"/>
              <w:spacing w:before="35"/>
              <w:ind w:left="10"/>
              <w:jc w:val="center"/>
              <w:rPr>
                <w:sz w:val="18"/>
              </w:rPr>
            </w:pPr>
            <w:r>
              <w:rPr>
                <w:sz w:val="18"/>
              </w:rPr>
              <w:t>1</w:t>
            </w:r>
          </w:p>
        </w:tc>
        <w:tc>
          <w:tcPr>
            <w:tcW w:w="760" w:type="dxa"/>
          </w:tcPr>
          <w:p>
            <w:pPr>
              <w:pStyle w:val="TableParagraph"/>
              <w:rPr>
                <w:sz w:val="16"/>
              </w:rPr>
            </w:pPr>
          </w:p>
        </w:tc>
        <w:tc>
          <w:tcPr>
            <w:tcW w:w="921" w:type="dxa"/>
          </w:tcPr>
          <w:p>
            <w:pPr>
              <w:pStyle w:val="TableParagraph"/>
              <w:spacing w:before="35"/>
              <w:ind w:left="10"/>
              <w:jc w:val="center"/>
              <w:rPr>
                <w:sz w:val="18"/>
              </w:rPr>
            </w:pPr>
            <w:r>
              <w:rPr>
                <w:sz w:val="18"/>
              </w:rPr>
              <w:t>5</w:t>
            </w:r>
          </w:p>
        </w:tc>
        <w:tc>
          <w:tcPr>
            <w:tcW w:w="727" w:type="dxa"/>
          </w:tcPr>
          <w:p>
            <w:pPr>
              <w:pStyle w:val="TableParagraph"/>
              <w:rPr>
                <w:sz w:val="16"/>
              </w:rPr>
            </w:pPr>
          </w:p>
        </w:tc>
        <w:tc>
          <w:tcPr>
            <w:tcW w:w="979" w:type="dxa"/>
          </w:tcPr>
          <w:p>
            <w:pPr>
              <w:pStyle w:val="TableParagraph"/>
              <w:spacing w:before="40"/>
              <w:ind w:left="11"/>
              <w:jc w:val="center"/>
              <w:rPr>
                <w:b/>
                <w:sz w:val="18"/>
              </w:rPr>
            </w:pPr>
            <w:r>
              <w:rPr>
                <w:b/>
                <w:sz w:val="18"/>
              </w:rPr>
              <w:t>8</w:t>
            </w:r>
          </w:p>
        </w:tc>
      </w:tr>
      <w:tr>
        <w:trPr>
          <w:trHeight w:val="273" w:hRule="atLeast"/>
        </w:trPr>
        <w:tc>
          <w:tcPr>
            <w:tcW w:w="1538" w:type="dxa"/>
          </w:tcPr>
          <w:p>
            <w:pPr>
              <w:pStyle w:val="TableParagraph"/>
              <w:spacing w:before="40"/>
              <w:ind w:left="57"/>
              <w:rPr>
                <w:b/>
                <w:sz w:val="18"/>
              </w:rPr>
            </w:pPr>
            <w:r>
              <w:rPr>
                <w:b/>
                <w:sz w:val="18"/>
              </w:rPr>
              <w:t>Other land</w:t>
            </w:r>
          </w:p>
        </w:tc>
        <w:tc>
          <w:tcPr>
            <w:tcW w:w="1080" w:type="dxa"/>
          </w:tcPr>
          <w:p>
            <w:pPr>
              <w:pStyle w:val="TableParagraph"/>
              <w:rPr>
                <w:sz w:val="16"/>
              </w:rPr>
            </w:pPr>
          </w:p>
        </w:tc>
        <w:tc>
          <w:tcPr>
            <w:tcW w:w="950" w:type="dxa"/>
          </w:tcPr>
          <w:p>
            <w:pPr>
              <w:pStyle w:val="TableParagraph"/>
              <w:rPr>
                <w:sz w:val="16"/>
              </w:rPr>
            </w:pPr>
          </w:p>
        </w:tc>
        <w:tc>
          <w:tcPr>
            <w:tcW w:w="962" w:type="dxa"/>
          </w:tcPr>
          <w:p>
            <w:pPr>
              <w:pStyle w:val="TableParagraph"/>
              <w:rPr>
                <w:sz w:val="16"/>
              </w:rPr>
            </w:pPr>
          </w:p>
        </w:tc>
        <w:tc>
          <w:tcPr>
            <w:tcW w:w="976" w:type="dxa"/>
          </w:tcPr>
          <w:p>
            <w:pPr>
              <w:pStyle w:val="TableParagraph"/>
              <w:rPr>
                <w:sz w:val="16"/>
              </w:rPr>
            </w:pPr>
          </w:p>
        </w:tc>
        <w:tc>
          <w:tcPr>
            <w:tcW w:w="770" w:type="dxa"/>
          </w:tcPr>
          <w:p>
            <w:pPr>
              <w:pStyle w:val="TableParagraph"/>
              <w:rPr>
                <w:sz w:val="16"/>
              </w:rPr>
            </w:pPr>
          </w:p>
        </w:tc>
        <w:tc>
          <w:tcPr>
            <w:tcW w:w="760" w:type="dxa"/>
          </w:tcPr>
          <w:p>
            <w:pPr>
              <w:pStyle w:val="TableParagraph"/>
              <w:rPr>
                <w:sz w:val="16"/>
              </w:rPr>
            </w:pPr>
          </w:p>
        </w:tc>
        <w:tc>
          <w:tcPr>
            <w:tcW w:w="921" w:type="dxa"/>
          </w:tcPr>
          <w:p>
            <w:pPr>
              <w:pStyle w:val="TableParagraph"/>
              <w:rPr>
                <w:sz w:val="16"/>
              </w:rPr>
            </w:pPr>
          </w:p>
        </w:tc>
        <w:tc>
          <w:tcPr>
            <w:tcW w:w="727" w:type="dxa"/>
          </w:tcPr>
          <w:p>
            <w:pPr>
              <w:pStyle w:val="TableParagraph"/>
              <w:spacing w:before="35"/>
              <w:ind w:left="320"/>
              <w:rPr>
                <w:sz w:val="18"/>
              </w:rPr>
            </w:pPr>
            <w:r>
              <w:rPr>
                <w:sz w:val="18"/>
              </w:rPr>
              <w:t>2</w:t>
            </w:r>
          </w:p>
        </w:tc>
        <w:tc>
          <w:tcPr>
            <w:tcW w:w="979" w:type="dxa"/>
          </w:tcPr>
          <w:p>
            <w:pPr>
              <w:pStyle w:val="TableParagraph"/>
              <w:spacing w:before="40"/>
              <w:ind w:left="11"/>
              <w:jc w:val="center"/>
              <w:rPr>
                <w:b/>
                <w:sz w:val="18"/>
              </w:rPr>
            </w:pPr>
            <w:r>
              <w:rPr>
                <w:b/>
                <w:sz w:val="18"/>
              </w:rPr>
              <w:t>2</w:t>
            </w:r>
          </w:p>
        </w:tc>
      </w:tr>
      <w:tr>
        <w:trPr>
          <w:trHeight w:val="273" w:hRule="atLeast"/>
        </w:trPr>
        <w:tc>
          <w:tcPr>
            <w:tcW w:w="1538" w:type="dxa"/>
          </w:tcPr>
          <w:p>
            <w:pPr>
              <w:pStyle w:val="TableParagraph"/>
              <w:spacing w:before="40"/>
              <w:ind w:left="57"/>
              <w:rPr>
                <w:b/>
                <w:sz w:val="18"/>
              </w:rPr>
            </w:pPr>
            <w:r>
              <w:rPr>
                <w:b/>
                <w:sz w:val="18"/>
              </w:rPr>
              <w:t>Initial area</w:t>
            </w:r>
          </w:p>
        </w:tc>
        <w:tc>
          <w:tcPr>
            <w:tcW w:w="1080" w:type="dxa"/>
          </w:tcPr>
          <w:p>
            <w:pPr>
              <w:pStyle w:val="TableParagraph"/>
              <w:spacing w:before="40"/>
              <w:ind w:left="13"/>
              <w:jc w:val="center"/>
              <w:rPr>
                <w:b/>
                <w:sz w:val="18"/>
              </w:rPr>
            </w:pPr>
            <w:r>
              <w:rPr>
                <w:b/>
                <w:sz w:val="18"/>
              </w:rPr>
              <w:t>5</w:t>
            </w:r>
          </w:p>
        </w:tc>
        <w:tc>
          <w:tcPr>
            <w:tcW w:w="950" w:type="dxa"/>
          </w:tcPr>
          <w:p>
            <w:pPr>
              <w:pStyle w:val="TableParagraph"/>
              <w:spacing w:before="40"/>
              <w:ind w:right="369"/>
              <w:jc w:val="right"/>
              <w:rPr>
                <w:b/>
                <w:sz w:val="18"/>
              </w:rPr>
            </w:pPr>
            <w:r>
              <w:rPr>
                <w:b/>
                <w:sz w:val="18"/>
              </w:rPr>
              <w:t>13</w:t>
            </w:r>
          </w:p>
        </w:tc>
        <w:tc>
          <w:tcPr>
            <w:tcW w:w="962" w:type="dxa"/>
          </w:tcPr>
          <w:p>
            <w:pPr>
              <w:pStyle w:val="TableParagraph"/>
              <w:spacing w:before="40"/>
              <w:ind w:left="393"/>
              <w:rPr>
                <w:b/>
                <w:sz w:val="18"/>
              </w:rPr>
            </w:pPr>
            <w:r>
              <w:rPr>
                <w:b/>
                <w:sz w:val="18"/>
              </w:rPr>
              <w:t>60</w:t>
            </w:r>
          </w:p>
        </w:tc>
        <w:tc>
          <w:tcPr>
            <w:tcW w:w="976" w:type="dxa"/>
          </w:tcPr>
          <w:p>
            <w:pPr>
              <w:pStyle w:val="TableParagraph"/>
              <w:spacing w:before="40"/>
              <w:ind w:left="398"/>
              <w:rPr>
                <w:b/>
                <w:sz w:val="18"/>
              </w:rPr>
            </w:pPr>
            <w:r>
              <w:rPr>
                <w:b/>
                <w:sz w:val="18"/>
              </w:rPr>
              <w:t>24</w:t>
            </w:r>
          </w:p>
        </w:tc>
        <w:tc>
          <w:tcPr>
            <w:tcW w:w="770" w:type="dxa"/>
          </w:tcPr>
          <w:p>
            <w:pPr>
              <w:pStyle w:val="TableParagraph"/>
              <w:spacing w:before="40"/>
              <w:ind w:left="13"/>
              <w:jc w:val="center"/>
              <w:rPr>
                <w:b/>
                <w:sz w:val="18"/>
              </w:rPr>
            </w:pPr>
            <w:r>
              <w:rPr>
                <w:b/>
                <w:sz w:val="18"/>
              </w:rPr>
              <w:t>31</w:t>
            </w:r>
          </w:p>
        </w:tc>
        <w:tc>
          <w:tcPr>
            <w:tcW w:w="760" w:type="dxa"/>
          </w:tcPr>
          <w:p>
            <w:pPr>
              <w:pStyle w:val="TableParagraph"/>
              <w:spacing w:before="40"/>
              <w:ind w:left="13"/>
              <w:jc w:val="center"/>
              <w:rPr>
                <w:b/>
                <w:sz w:val="18"/>
              </w:rPr>
            </w:pPr>
            <w:r>
              <w:rPr>
                <w:b/>
                <w:sz w:val="18"/>
              </w:rPr>
              <w:t>0</w:t>
            </w:r>
          </w:p>
        </w:tc>
        <w:tc>
          <w:tcPr>
            <w:tcW w:w="921" w:type="dxa"/>
          </w:tcPr>
          <w:p>
            <w:pPr>
              <w:pStyle w:val="TableParagraph"/>
              <w:spacing w:before="40"/>
              <w:ind w:left="11"/>
              <w:jc w:val="center"/>
              <w:rPr>
                <w:b/>
                <w:sz w:val="18"/>
              </w:rPr>
            </w:pPr>
            <w:r>
              <w:rPr>
                <w:b/>
                <w:sz w:val="18"/>
              </w:rPr>
              <w:t>5</w:t>
            </w:r>
          </w:p>
        </w:tc>
        <w:tc>
          <w:tcPr>
            <w:tcW w:w="727" w:type="dxa"/>
          </w:tcPr>
          <w:p>
            <w:pPr>
              <w:pStyle w:val="TableParagraph"/>
              <w:spacing w:before="40"/>
              <w:ind w:left="320"/>
              <w:rPr>
                <w:b/>
                <w:sz w:val="18"/>
              </w:rPr>
            </w:pPr>
            <w:r>
              <w:rPr>
                <w:b/>
                <w:sz w:val="18"/>
              </w:rPr>
              <w:t>2</w:t>
            </w:r>
          </w:p>
        </w:tc>
        <w:tc>
          <w:tcPr>
            <w:tcW w:w="979" w:type="dxa"/>
          </w:tcPr>
          <w:p>
            <w:pPr>
              <w:pStyle w:val="TableParagraph"/>
              <w:spacing w:before="40"/>
              <w:ind w:left="78" w:right="65"/>
              <w:jc w:val="center"/>
              <w:rPr>
                <w:b/>
                <w:sz w:val="18"/>
              </w:rPr>
            </w:pPr>
            <w:r>
              <w:rPr>
                <w:b/>
                <w:sz w:val="18"/>
              </w:rPr>
              <w:t>140</w:t>
            </w:r>
          </w:p>
        </w:tc>
      </w:tr>
      <w:tr>
        <w:trPr>
          <w:trHeight w:val="275" w:hRule="atLeast"/>
        </w:trPr>
        <w:tc>
          <w:tcPr>
            <w:tcW w:w="1538" w:type="dxa"/>
          </w:tcPr>
          <w:p>
            <w:pPr>
              <w:pStyle w:val="TableParagraph"/>
              <w:spacing w:before="40"/>
              <w:ind w:left="57"/>
              <w:rPr>
                <w:b/>
                <w:sz w:val="18"/>
              </w:rPr>
            </w:pPr>
            <w:r>
              <w:rPr>
                <w:b/>
                <w:sz w:val="18"/>
              </w:rPr>
              <w:t>NET change</w:t>
            </w:r>
          </w:p>
        </w:tc>
        <w:tc>
          <w:tcPr>
            <w:tcW w:w="1080" w:type="dxa"/>
          </w:tcPr>
          <w:p>
            <w:pPr>
              <w:pStyle w:val="TableParagraph"/>
              <w:spacing w:before="35"/>
              <w:ind w:left="9"/>
              <w:jc w:val="center"/>
              <w:rPr>
                <w:sz w:val="18"/>
              </w:rPr>
            </w:pPr>
            <w:r>
              <w:rPr>
                <w:sz w:val="18"/>
              </w:rPr>
              <w:t>0</w:t>
            </w:r>
          </w:p>
        </w:tc>
        <w:tc>
          <w:tcPr>
            <w:tcW w:w="950" w:type="dxa"/>
          </w:tcPr>
          <w:p>
            <w:pPr>
              <w:pStyle w:val="TableParagraph"/>
              <w:spacing w:before="35"/>
              <w:ind w:right="367"/>
              <w:jc w:val="right"/>
              <w:rPr>
                <w:sz w:val="18"/>
              </w:rPr>
            </w:pPr>
            <w:r>
              <w:rPr>
                <w:sz w:val="18"/>
              </w:rPr>
              <w:t>+1</w:t>
            </w:r>
          </w:p>
        </w:tc>
        <w:tc>
          <w:tcPr>
            <w:tcW w:w="962" w:type="dxa"/>
          </w:tcPr>
          <w:p>
            <w:pPr>
              <w:pStyle w:val="TableParagraph"/>
              <w:spacing w:before="35"/>
              <w:ind w:left="406"/>
              <w:rPr>
                <w:sz w:val="18"/>
              </w:rPr>
            </w:pPr>
            <w:r>
              <w:rPr>
                <w:sz w:val="18"/>
              </w:rPr>
              <w:t>-2</w:t>
            </w:r>
          </w:p>
        </w:tc>
        <w:tc>
          <w:tcPr>
            <w:tcW w:w="976" w:type="dxa"/>
          </w:tcPr>
          <w:p>
            <w:pPr>
              <w:pStyle w:val="TableParagraph"/>
              <w:spacing w:before="35"/>
              <w:ind w:left="442"/>
              <w:rPr>
                <w:sz w:val="18"/>
              </w:rPr>
            </w:pPr>
            <w:r>
              <w:rPr>
                <w:sz w:val="18"/>
              </w:rPr>
              <w:t>0</w:t>
            </w:r>
          </w:p>
        </w:tc>
        <w:tc>
          <w:tcPr>
            <w:tcW w:w="770" w:type="dxa"/>
          </w:tcPr>
          <w:p>
            <w:pPr>
              <w:pStyle w:val="TableParagraph"/>
              <w:spacing w:before="35"/>
              <w:ind w:left="12"/>
              <w:jc w:val="center"/>
              <w:rPr>
                <w:sz w:val="18"/>
              </w:rPr>
            </w:pPr>
            <w:r>
              <w:rPr>
                <w:sz w:val="18"/>
              </w:rPr>
              <w:t>-2</w:t>
            </w:r>
          </w:p>
        </w:tc>
        <w:tc>
          <w:tcPr>
            <w:tcW w:w="760" w:type="dxa"/>
          </w:tcPr>
          <w:p>
            <w:pPr>
              <w:pStyle w:val="TableParagraph"/>
              <w:spacing w:before="35"/>
              <w:ind w:left="11"/>
              <w:jc w:val="center"/>
              <w:rPr>
                <w:sz w:val="18"/>
              </w:rPr>
            </w:pPr>
            <w:r>
              <w:rPr>
                <w:sz w:val="18"/>
              </w:rPr>
              <w:t>0</w:t>
            </w:r>
          </w:p>
        </w:tc>
        <w:tc>
          <w:tcPr>
            <w:tcW w:w="921" w:type="dxa"/>
          </w:tcPr>
          <w:p>
            <w:pPr>
              <w:pStyle w:val="TableParagraph"/>
              <w:spacing w:before="35"/>
              <w:ind w:left="10"/>
              <w:jc w:val="center"/>
              <w:rPr>
                <w:sz w:val="18"/>
              </w:rPr>
            </w:pPr>
            <w:r>
              <w:rPr>
                <w:sz w:val="18"/>
              </w:rPr>
              <w:t>+3</w:t>
            </w:r>
          </w:p>
        </w:tc>
        <w:tc>
          <w:tcPr>
            <w:tcW w:w="727" w:type="dxa"/>
          </w:tcPr>
          <w:p>
            <w:pPr>
              <w:pStyle w:val="TableParagraph"/>
              <w:spacing w:before="35"/>
              <w:ind w:left="320"/>
              <w:rPr>
                <w:sz w:val="18"/>
              </w:rPr>
            </w:pPr>
            <w:r>
              <w:rPr>
                <w:sz w:val="18"/>
              </w:rPr>
              <w:t>0</w:t>
            </w:r>
          </w:p>
        </w:tc>
        <w:tc>
          <w:tcPr>
            <w:tcW w:w="979" w:type="dxa"/>
          </w:tcPr>
          <w:p>
            <w:pPr>
              <w:pStyle w:val="TableParagraph"/>
              <w:spacing w:before="40"/>
              <w:ind w:left="11"/>
              <w:jc w:val="center"/>
              <w:rPr>
                <w:b/>
                <w:sz w:val="18"/>
              </w:rPr>
            </w:pPr>
            <w:r>
              <w:rPr>
                <w:b/>
                <w:sz w:val="18"/>
              </w:rPr>
              <w:t>0</w:t>
            </w:r>
          </w:p>
        </w:tc>
      </w:tr>
      <w:tr>
        <w:trPr>
          <w:trHeight w:val="784" w:hRule="atLeast"/>
        </w:trPr>
        <w:tc>
          <w:tcPr>
            <w:tcW w:w="9663" w:type="dxa"/>
            <w:gridSpan w:val="10"/>
          </w:tcPr>
          <w:p>
            <w:pPr>
              <w:pStyle w:val="TableParagraph"/>
              <w:spacing w:before="25"/>
              <w:ind w:left="14" w:right="53"/>
              <w:rPr>
                <w:sz w:val="16"/>
              </w:rPr>
            </w:pPr>
            <w:r>
              <w:rPr>
                <w:sz w:val="16"/>
              </w:rPr>
              <w:t>Note: Column and row totals show net changes in land use as presented in Table 2.3.2 but subdivided into national subcategories as in Table 2.3.3. “Initial” indicates the category at a time previous to the date for which the assessment is made and “Final” the category at the date of assessment. Net changes (bottom row) are the final area minus the initial area for each of the (sub) categories shown at the head of the corresponding column. Blank entry indicates no land-use change for this transition.</w:t>
            </w:r>
          </w:p>
        </w:tc>
      </w:tr>
    </w:tbl>
    <w:p>
      <w:pPr>
        <w:pStyle w:val="BodyText"/>
      </w:pPr>
    </w:p>
    <w:p>
      <w:pPr>
        <w:pStyle w:val="BodyText"/>
      </w:pPr>
    </w:p>
    <w:p>
      <w:pPr>
        <w:pStyle w:val="BodyText"/>
        <w:spacing w:before="8"/>
      </w:pPr>
    </w:p>
    <w:tbl>
      <w:tblPr>
        <w:tblW w:w="0" w:type="auto"/>
        <w:jc w:val="left"/>
        <w:tblInd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7"/>
        <w:gridCol w:w="583"/>
        <w:gridCol w:w="583"/>
        <w:gridCol w:w="583"/>
        <w:gridCol w:w="583"/>
        <w:gridCol w:w="583"/>
        <w:gridCol w:w="583"/>
        <w:gridCol w:w="1123"/>
      </w:tblGrid>
      <w:tr>
        <w:trPr>
          <w:trHeight w:val="443" w:hRule="atLeast"/>
        </w:trPr>
        <w:tc>
          <w:tcPr>
            <w:tcW w:w="6068" w:type="dxa"/>
            <w:gridSpan w:val="8"/>
            <w:tcBorders>
              <w:bottom w:val="double" w:sz="1" w:space="0" w:color="000000"/>
            </w:tcBorders>
          </w:tcPr>
          <w:p>
            <w:pPr>
              <w:pStyle w:val="TableParagraph"/>
              <w:spacing w:before="14"/>
              <w:ind w:left="544" w:right="537"/>
              <w:jc w:val="center"/>
              <w:rPr>
                <w:b/>
                <w:sz w:val="18"/>
              </w:rPr>
            </w:pPr>
            <w:r>
              <w:rPr>
                <w:b/>
                <w:sz w:val="18"/>
              </w:rPr>
              <w:t>T</w:t>
            </w:r>
            <w:r>
              <w:rPr>
                <w:b/>
                <w:sz w:val="14"/>
              </w:rPr>
              <w:t>ABLE </w:t>
            </w:r>
            <w:r>
              <w:rPr>
                <w:b/>
                <w:sz w:val="18"/>
              </w:rPr>
              <w:t>2.3.5</w:t>
            </w:r>
          </w:p>
          <w:p>
            <w:pPr>
              <w:pStyle w:val="TableParagraph"/>
              <w:spacing w:line="200" w:lineRule="exact" w:before="2"/>
              <w:ind w:left="544" w:right="539"/>
              <w:jc w:val="center"/>
              <w:rPr>
                <w:b/>
                <w:sz w:val="18"/>
              </w:rPr>
            </w:pPr>
            <w:r>
              <w:rPr>
                <w:b/>
                <w:sz w:val="18"/>
              </w:rPr>
              <w:t>S</w:t>
            </w:r>
            <w:r>
              <w:rPr>
                <w:b/>
                <w:sz w:val="14"/>
              </w:rPr>
              <w:t>IMPLIFIED LAND</w:t>
            </w:r>
            <w:r>
              <w:rPr>
                <w:b/>
                <w:sz w:val="18"/>
              </w:rPr>
              <w:t>-</w:t>
            </w:r>
            <w:r>
              <w:rPr>
                <w:b/>
                <w:sz w:val="14"/>
              </w:rPr>
              <w:t>USE CHANGE MATRIX FOR EXAMPLE </w:t>
            </w:r>
            <w:r>
              <w:rPr>
                <w:b/>
                <w:sz w:val="18"/>
              </w:rPr>
              <w:t>A</w:t>
            </w:r>
            <w:r>
              <w:rPr>
                <w:b/>
                <w:sz w:val="14"/>
              </w:rPr>
              <w:t>PPROACH </w:t>
            </w:r>
            <w:r>
              <w:rPr>
                <w:b/>
                <w:sz w:val="18"/>
              </w:rPr>
              <w:t>2</w:t>
            </w:r>
          </w:p>
        </w:tc>
      </w:tr>
      <w:tr>
        <w:trPr>
          <w:trHeight w:val="255" w:hRule="atLeast"/>
        </w:trPr>
        <w:tc>
          <w:tcPr>
            <w:tcW w:w="6068" w:type="dxa"/>
            <w:gridSpan w:val="8"/>
            <w:tcBorders>
              <w:top w:val="double" w:sz="1" w:space="0" w:color="000000"/>
            </w:tcBorders>
          </w:tcPr>
          <w:p>
            <w:pPr>
              <w:pStyle w:val="TableParagraph"/>
              <w:spacing w:before="23"/>
              <w:ind w:left="544" w:right="538"/>
              <w:jc w:val="center"/>
              <w:rPr>
                <w:b/>
                <w:sz w:val="18"/>
              </w:rPr>
            </w:pPr>
            <w:r>
              <w:rPr>
                <w:b/>
                <w:sz w:val="18"/>
              </w:rPr>
              <w:t>Land-Use Change Matrix</w:t>
            </w:r>
          </w:p>
        </w:tc>
      </w:tr>
      <w:tr>
        <w:trPr>
          <w:trHeight w:val="443" w:hRule="atLeast"/>
        </w:trPr>
        <w:tc>
          <w:tcPr>
            <w:tcW w:w="1447" w:type="dxa"/>
          </w:tcPr>
          <w:p>
            <w:pPr>
              <w:pStyle w:val="TableParagraph"/>
              <w:spacing w:line="207" w:lineRule="exact" w:before="14"/>
              <w:ind w:left="870"/>
              <w:rPr>
                <w:b/>
                <w:sz w:val="18"/>
              </w:rPr>
            </w:pPr>
            <w:r>
              <w:rPr>
                <w:b/>
                <w:sz w:val="18"/>
              </w:rPr>
              <w:t>Initial</w:t>
            </w:r>
          </w:p>
          <w:p>
            <w:pPr>
              <w:pStyle w:val="TableParagraph"/>
              <w:spacing w:line="203" w:lineRule="exact"/>
              <w:ind w:left="57"/>
              <w:rPr>
                <w:b/>
                <w:sz w:val="18"/>
              </w:rPr>
            </w:pPr>
            <w:r>
              <w:rPr>
                <w:b/>
                <w:sz w:val="18"/>
              </w:rPr>
              <w:t>Final</w:t>
            </w:r>
          </w:p>
        </w:tc>
        <w:tc>
          <w:tcPr>
            <w:tcW w:w="583" w:type="dxa"/>
          </w:tcPr>
          <w:p>
            <w:pPr>
              <w:pStyle w:val="TableParagraph"/>
              <w:spacing w:before="117"/>
              <w:ind w:left="235"/>
              <w:rPr>
                <w:b/>
                <w:sz w:val="18"/>
              </w:rPr>
            </w:pPr>
            <w:r>
              <w:rPr>
                <w:b/>
                <w:sz w:val="18"/>
              </w:rPr>
              <w:t>F</w:t>
            </w:r>
          </w:p>
        </w:tc>
        <w:tc>
          <w:tcPr>
            <w:tcW w:w="583" w:type="dxa"/>
          </w:tcPr>
          <w:p>
            <w:pPr>
              <w:pStyle w:val="TableParagraph"/>
              <w:spacing w:before="117"/>
              <w:ind w:left="221"/>
              <w:rPr>
                <w:b/>
                <w:sz w:val="18"/>
              </w:rPr>
            </w:pPr>
            <w:r>
              <w:rPr>
                <w:b/>
                <w:sz w:val="18"/>
              </w:rPr>
              <w:t>G</w:t>
            </w:r>
          </w:p>
        </w:tc>
        <w:tc>
          <w:tcPr>
            <w:tcW w:w="583" w:type="dxa"/>
          </w:tcPr>
          <w:p>
            <w:pPr>
              <w:pStyle w:val="TableParagraph"/>
              <w:spacing w:before="117"/>
              <w:ind w:left="9"/>
              <w:jc w:val="center"/>
              <w:rPr>
                <w:b/>
                <w:sz w:val="18"/>
              </w:rPr>
            </w:pPr>
            <w:r>
              <w:rPr>
                <w:b/>
                <w:sz w:val="18"/>
              </w:rPr>
              <w:t>C</w:t>
            </w:r>
          </w:p>
        </w:tc>
        <w:tc>
          <w:tcPr>
            <w:tcW w:w="583" w:type="dxa"/>
          </w:tcPr>
          <w:p>
            <w:pPr>
              <w:pStyle w:val="TableParagraph"/>
              <w:spacing w:before="117"/>
              <w:ind w:left="202"/>
              <w:rPr>
                <w:b/>
                <w:sz w:val="18"/>
              </w:rPr>
            </w:pPr>
            <w:r>
              <w:rPr>
                <w:b/>
                <w:sz w:val="18"/>
              </w:rPr>
              <w:t>W</w:t>
            </w:r>
          </w:p>
        </w:tc>
        <w:tc>
          <w:tcPr>
            <w:tcW w:w="583" w:type="dxa"/>
          </w:tcPr>
          <w:p>
            <w:pPr>
              <w:pStyle w:val="TableParagraph"/>
              <w:spacing w:before="117"/>
              <w:ind w:left="8"/>
              <w:jc w:val="center"/>
              <w:rPr>
                <w:b/>
                <w:sz w:val="18"/>
              </w:rPr>
            </w:pPr>
            <w:r>
              <w:rPr>
                <w:b/>
                <w:sz w:val="18"/>
              </w:rPr>
              <w:t>S</w:t>
            </w:r>
          </w:p>
        </w:tc>
        <w:tc>
          <w:tcPr>
            <w:tcW w:w="583" w:type="dxa"/>
          </w:tcPr>
          <w:p>
            <w:pPr>
              <w:pStyle w:val="TableParagraph"/>
              <w:spacing w:before="117"/>
              <w:ind w:left="10"/>
              <w:jc w:val="center"/>
              <w:rPr>
                <w:b/>
                <w:sz w:val="18"/>
              </w:rPr>
            </w:pPr>
            <w:r>
              <w:rPr>
                <w:b/>
                <w:sz w:val="18"/>
              </w:rPr>
              <w:t>O</w:t>
            </w:r>
          </w:p>
        </w:tc>
        <w:tc>
          <w:tcPr>
            <w:tcW w:w="1123" w:type="dxa"/>
          </w:tcPr>
          <w:p>
            <w:pPr>
              <w:pStyle w:val="TableParagraph"/>
              <w:spacing w:before="117"/>
              <w:ind w:left="145" w:right="134"/>
              <w:jc w:val="center"/>
              <w:rPr>
                <w:rFonts w:ascii="TimesNewRomanPS-BoldItalicMT"/>
                <w:b/>
                <w:i/>
                <w:sz w:val="18"/>
              </w:rPr>
            </w:pPr>
            <w:r>
              <w:rPr>
                <w:rFonts w:ascii="TimesNewRomanPS-BoldItalicMT"/>
                <w:b/>
                <w:i/>
                <w:sz w:val="18"/>
              </w:rPr>
              <w:t>Final sum</w:t>
            </w:r>
          </w:p>
        </w:tc>
      </w:tr>
      <w:tr>
        <w:trPr>
          <w:trHeight w:val="273" w:hRule="atLeast"/>
        </w:trPr>
        <w:tc>
          <w:tcPr>
            <w:tcW w:w="1447" w:type="dxa"/>
          </w:tcPr>
          <w:p>
            <w:pPr>
              <w:pStyle w:val="TableParagraph"/>
              <w:spacing w:before="33"/>
              <w:ind w:left="6"/>
              <w:jc w:val="center"/>
              <w:rPr>
                <w:b/>
                <w:sz w:val="18"/>
              </w:rPr>
            </w:pPr>
            <w:r>
              <w:rPr>
                <w:b/>
                <w:sz w:val="18"/>
              </w:rPr>
              <w:t>F</w:t>
            </w:r>
          </w:p>
        </w:tc>
        <w:tc>
          <w:tcPr>
            <w:tcW w:w="583" w:type="dxa"/>
          </w:tcPr>
          <w:p>
            <w:pPr>
              <w:pStyle w:val="TableParagraph"/>
              <w:spacing w:before="33"/>
              <w:ind w:left="199"/>
              <w:rPr>
                <w:b/>
                <w:sz w:val="18"/>
              </w:rPr>
            </w:pPr>
            <w:r>
              <w:rPr>
                <w:b/>
                <w:sz w:val="18"/>
              </w:rPr>
              <w:t>15</w:t>
            </w:r>
          </w:p>
        </w:tc>
        <w:tc>
          <w:tcPr>
            <w:tcW w:w="583" w:type="dxa"/>
          </w:tcPr>
          <w:p>
            <w:pPr>
              <w:pStyle w:val="TableParagraph"/>
              <w:spacing w:before="28"/>
              <w:ind w:left="244"/>
              <w:rPr>
                <w:sz w:val="18"/>
              </w:rPr>
            </w:pPr>
            <w:r>
              <w:rPr>
                <w:sz w:val="18"/>
              </w:rPr>
              <w:t>3</w:t>
            </w:r>
          </w:p>
        </w:tc>
        <w:tc>
          <w:tcPr>
            <w:tcW w:w="583" w:type="dxa"/>
          </w:tcPr>
          <w:p>
            <w:pPr>
              <w:pStyle w:val="TableParagraph"/>
              <w:spacing w:before="28"/>
              <w:ind w:left="7"/>
              <w:jc w:val="center"/>
              <w:rPr>
                <w:sz w:val="18"/>
              </w:rPr>
            </w:pPr>
            <w:r>
              <w:rPr>
                <w:sz w:val="18"/>
              </w:rPr>
              <w:t>1</w:t>
            </w: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1123" w:type="dxa"/>
          </w:tcPr>
          <w:p>
            <w:pPr>
              <w:pStyle w:val="TableParagraph"/>
              <w:spacing w:before="33"/>
              <w:ind w:left="146" w:right="134"/>
              <w:jc w:val="center"/>
              <w:rPr>
                <w:rFonts w:ascii="TimesNewRomanPS-BoldItalicMT"/>
                <w:b/>
                <w:i/>
                <w:sz w:val="18"/>
              </w:rPr>
            </w:pPr>
            <w:r>
              <w:rPr>
                <w:rFonts w:ascii="TimesNewRomanPS-BoldItalicMT"/>
                <w:b/>
                <w:i/>
                <w:sz w:val="18"/>
              </w:rPr>
              <w:t>19</w:t>
            </w:r>
          </w:p>
        </w:tc>
      </w:tr>
      <w:tr>
        <w:trPr>
          <w:trHeight w:val="275" w:hRule="atLeast"/>
        </w:trPr>
        <w:tc>
          <w:tcPr>
            <w:tcW w:w="1447" w:type="dxa"/>
          </w:tcPr>
          <w:p>
            <w:pPr>
              <w:pStyle w:val="TableParagraph"/>
              <w:spacing w:before="33"/>
              <w:ind w:left="8"/>
              <w:jc w:val="center"/>
              <w:rPr>
                <w:b/>
                <w:sz w:val="18"/>
              </w:rPr>
            </w:pPr>
            <w:r>
              <w:rPr>
                <w:b/>
                <w:sz w:val="18"/>
              </w:rPr>
              <w:t>G</w:t>
            </w:r>
          </w:p>
        </w:tc>
        <w:tc>
          <w:tcPr>
            <w:tcW w:w="583" w:type="dxa"/>
          </w:tcPr>
          <w:p>
            <w:pPr>
              <w:pStyle w:val="TableParagraph"/>
              <w:spacing w:before="28"/>
              <w:ind w:left="244"/>
              <w:rPr>
                <w:sz w:val="18"/>
              </w:rPr>
            </w:pPr>
            <w:r>
              <w:rPr>
                <w:sz w:val="18"/>
              </w:rPr>
              <w:t>2</w:t>
            </w:r>
          </w:p>
        </w:tc>
        <w:tc>
          <w:tcPr>
            <w:tcW w:w="583" w:type="dxa"/>
          </w:tcPr>
          <w:p>
            <w:pPr>
              <w:pStyle w:val="TableParagraph"/>
              <w:spacing w:before="33"/>
              <w:ind w:left="199"/>
              <w:rPr>
                <w:b/>
                <w:sz w:val="18"/>
              </w:rPr>
            </w:pPr>
            <w:r>
              <w:rPr>
                <w:b/>
                <w:sz w:val="18"/>
              </w:rPr>
              <w:t>80</w:t>
            </w: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1123" w:type="dxa"/>
          </w:tcPr>
          <w:p>
            <w:pPr>
              <w:pStyle w:val="TableParagraph"/>
              <w:spacing w:before="33"/>
              <w:ind w:left="146" w:right="134"/>
              <w:jc w:val="center"/>
              <w:rPr>
                <w:rFonts w:ascii="TimesNewRomanPS-BoldItalicMT"/>
                <w:b/>
                <w:i/>
                <w:sz w:val="18"/>
              </w:rPr>
            </w:pPr>
            <w:r>
              <w:rPr>
                <w:rFonts w:ascii="TimesNewRomanPS-BoldItalicMT"/>
                <w:b/>
                <w:i/>
                <w:sz w:val="18"/>
              </w:rPr>
              <w:t>82</w:t>
            </w:r>
          </w:p>
        </w:tc>
      </w:tr>
      <w:tr>
        <w:trPr>
          <w:trHeight w:val="273" w:hRule="atLeast"/>
        </w:trPr>
        <w:tc>
          <w:tcPr>
            <w:tcW w:w="1447" w:type="dxa"/>
          </w:tcPr>
          <w:p>
            <w:pPr>
              <w:pStyle w:val="TableParagraph"/>
              <w:spacing w:before="33"/>
              <w:ind w:left="7"/>
              <w:jc w:val="center"/>
              <w:rPr>
                <w:b/>
                <w:sz w:val="18"/>
              </w:rPr>
            </w:pPr>
            <w:r>
              <w:rPr>
                <w:b/>
                <w:sz w:val="18"/>
              </w:rPr>
              <w:t>C</w:t>
            </w: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spacing w:before="33"/>
              <w:ind w:left="179" w:right="171"/>
              <w:jc w:val="center"/>
              <w:rPr>
                <w:b/>
                <w:sz w:val="18"/>
              </w:rPr>
            </w:pPr>
            <w:r>
              <w:rPr>
                <w:b/>
                <w:sz w:val="18"/>
              </w:rPr>
              <w:t>29</w:t>
            </w: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1123" w:type="dxa"/>
          </w:tcPr>
          <w:p>
            <w:pPr>
              <w:pStyle w:val="TableParagraph"/>
              <w:spacing w:before="33"/>
              <w:ind w:left="146" w:right="134"/>
              <w:jc w:val="center"/>
              <w:rPr>
                <w:rFonts w:ascii="TimesNewRomanPS-BoldItalicMT"/>
                <w:b/>
                <w:i/>
                <w:sz w:val="18"/>
              </w:rPr>
            </w:pPr>
            <w:r>
              <w:rPr>
                <w:rFonts w:ascii="TimesNewRomanPS-BoldItalicMT"/>
                <w:b/>
                <w:i/>
                <w:sz w:val="18"/>
              </w:rPr>
              <w:t>29</w:t>
            </w:r>
          </w:p>
        </w:tc>
      </w:tr>
      <w:tr>
        <w:trPr>
          <w:trHeight w:val="273" w:hRule="atLeast"/>
        </w:trPr>
        <w:tc>
          <w:tcPr>
            <w:tcW w:w="1447" w:type="dxa"/>
          </w:tcPr>
          <w:p>
            <w:pPr>
              <w:pStyle w:val="TableParagraph"/>
              <w:spacing w:before="33"/>
              <w:ind w:left="9"/>
              <w:jc w:val="center"/>
              <w:rPr>
                <w:b/>
                <w:sz w:val="18"/>
              </w:rPr>
            </w:pPr>
            <w:r>
              <w:rPr>
                <w:b/>
                <w:sz w:val="18"/>
              </w:rPr>
              <w:t>W</w:t>
            </w: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1123" w:type="dxa"/>
          </w:tcPr>
          <w:p>
            <w:pPr>
              <w:pStyle w:val="TableParagraph"/>
              <w:rPr>
                <w:sz w:val="16"/>
              </w:rPr>
            </w:pPr>
          </w:p>
        </w:tc>
      </w:tr>
      <w:tr>
        <w:trPr>
          <w:trHeight w:val="275" w:hRule="atLeast"/>
        </w:trPr>
        <w:tc>
          <w:tcPr>
            <w:tcW w:w="1447" w:type="dxa"/>
          </w:tcPr>
          <w:p>
            <w:pPr>
              <w:pStyle w:val="TableParagraph"/>
              <w:spacing w:before="33"/>
              <w:ind w:left="6"/>
              <w:jc w:val="center"/>
              <w:rPr>
                <w:b/>
                <w:sz w:val="18"/>
              </w:rPr>
            </w:pPr>
            <w:r>
              <w:rPr>
                <w:b/>
                <w:sz w:val="18"/>
              </w:rPr>
              <w:t>S</w:t>
            </w:r>
          </w:p>
        </w:tc>
        <w:tc>
          <w:tcPr>
            <w:tcW w:w="583" w:type="dxa"/>
          </w:tcPr>
          <w:p>
            <w:pPr>
              <w:pStyle w:val="TableParagraph"/>
              <w:spacing w:before="28"/>
              <w:ind w:left="244"/>
              <w:rPr>
                <w:sz w:val="18"/>
              </w:rPr>
            </w:pPr>
            <w:r>
              <w:rPr>
                <w:sz w:val="18"/>
              </w:rPr>
              <w:t>1</w:t>
            </w:r>
          </w:p>
        </w:tc>
        <w:tc>
          <w:tcPr>
            <w:tcW w:w="583" w:type="dxa"/>
          </w:tcPr>
          <w:p>
            <w:pPr>
              <w:pStyle w:val="TableParagraph"/>
              <w:spacing w:before="28"/>
              <w:ind w:left="244"/>
              <w:rPr>
                <w:sz w:val="18"/>
              </w:rPr>
            </w:pPr>
            <w:r>
              <w:rPr>
                <w:sz w:val="18"/>
              </w:rPr>
              <w:t>1</w:t>
            </w:r>
          </w:p>
        </w:tc>
        <w:tc>
          <w:tcPr>
            <w:tcW w:w="583" w:type="dxa"/>
          </w:tcPr>
          <w:p>
            <w:pPr>
              <w:pStyle w:val="TableParagraph"/>
              <w:spacing w:before="28"/>
              <w:ind w:left="7"/>
              <w:jc w:val="center"/>
              <w:rPr>
                <w:sz w:val="18"/>
              </w:rPr>
            </w:pPr>
            <w:r>
              <w:rPr>
                <w:sz w:val="18"/>
              </w:rPr>
              <w:t>1</w:t>
            </w:r>
          </w:p>
        </w:tc>
        <w:tc>
          <w:tcPr>
            <w:tcW w:w="583" w:type="dxa"/>
          </w:tcPr>
          <w:p>
            <w:pPr>
              <w:pStyle w:val="TableParagraph"/>
              <w:rPr>
                <w:sz w:val="16"/>
              </w:rPr>
            </w:pPr>
          </w:p>
        </w:tc>
        <w:tc>
          <w:tcPr>
            <w:tcW w:w="583" w:type="dxa"/>
          </w:tcPr>
          <w:p>
            <w:pPr>
              <w:pStyle w:val="TableParagraph"/>
              <w:spacing w:before="33"/>
              <w:ind w:left="8"/>
              <w:jc w:val="center"/>
              <w:rPr>
                <w:b/>
                <w:sz w:val="18"/>
              </w:rPr>
            </w:pPr>
            <w:r>
              <w:rPr>
                <w:b/>
                <w:sz w:val="18"/>
              </w:rPr>
              <w:t>5</w:t>
            </w:r>
          </w:p>
        </w:tc>
        <w:tc>
          <w:tcPr>
            <w:tcW w:w="583" w:type="dxa"/>
          </w:tcPr>
          <w:p>
            <w:pPr>
              <w:pStyle w:val="TableParagraph"/>
              <w:rPr>
                <w:sz w:val="16"/>
              </w:rPr>
            </w:pPr>
          </w:p>
        </w:tc>
        <w:tc>
          <w:tcPr>
            <w:tcW w:w="1123" w:type="dxa"/>
          </w:tcPr>
          <w:p>
            <w:pPr>
              <w:pStyle w:val="TableParagraph"/>
              <w:spacing w:before="33"/>
              <w:ind w:left="11"/>
              <w:jc w:val="center"/>
              <w:rPr>
                <w:rFonts w:ascii="TimesNewRomanPS-BoldItalicMT"/>
                <w:b/>
                <w:i/>
                <w:sz w:val="18"/>
              </w:rPr>
            </w:pPr>
            <w:r>
              <w:rPr>
                <w:rFonts w:ascii="TimesNewRomanPS-BoldItalicMT"/>
                <w:b/>
                <w:i/>
                <w:sz w:val="18"/>
              </w:rPr>
              <w:t>8</w:t>
            </w:r>
          </w:p>
        </w:tc>
      </w:tr>
      <w:tr>
        <w:trPr>
          <w:trHeight w:val="273" w:hRule="atLeast"/>
        </w:trPr>
        <w:tc>
          <w:tcPr>
            <w:tcW w:w="1447" w:type="dxa"/>
          </w:tcPr>
          <w:p>
            <w:pPr>
              <w:pStyle w:val="TableParagraph"/>
              <w:spacing w:before="33"/>
              <w:ind w:left="8"/>
              <w:jc w:val="center"/>
              <w:rPr>
                <w:b/>
                <w:sz w:val="18"/>
              </w:rPr>
            </w:pPr>
            <w:r>
              <w:rPr>
                <w:b/>
                <w:sz w:val="18"/>
              </w:rPr>
              <w:t>O</w:t>
            </w: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rPr>
                <w:sz w:val="16"/>
              </w:rPr>
            </w:pPr>
          </w:p>
        </w:tc>
        <w:tc>
          <w:tcPr>
            <w:tcW w:w="583" w:type="dxa"/>
          </w:tcPr>
          <w:p>
            <w:pPr>
              <w:pStyle w:val="TableParagraph"/>
              <w:spacing w:before="33"/>
              <w:ind w:left="8"/>
              <w:jc w:val="center"/>
              <w:rPr>
                <w:b/>
                <w:sz w:val="18"/>
              </w:rPr>
            </w:pPr>
            <w:r>
              <w:rPr>
                <w:b/>
                <w:sz w:val="18"/>
              </w:rPr>
              <w:t>2</w:t>
            </w:r>
          </w:p>
        </w:tc>
        <w:tc>
          <w:tcPr>
            <w:tcW w:w="1123" w:type="dxa"/>
          </w:tcPr>
          <w:p>
            <w:pPr>
              <w:pStyle w:val="TableParagraph"/>
              <w:spacing w:before="33"/>
              <w:ind w:left="11"/>
              <w:jc w:val="center"/>
              <w:rPr>
                <w:rFonts w:ascii="TimesNewRomanPS-BoldItalicMT"/>
                <w:b/>
                <w:i/>
                <w:sz w:val="18"/>
              </w:rPr>
            </w:pPr>
            <w:r>
              <w:rPr>
                <w:rFonts w:ascii="TimesNewRomanPS-BoldItalicMT"/>
                <w:b/>
                <w:i/>
                <w:sz w:val="18"/>
              </w:rPr>
              <w:t>2</w:t>
            </w:r>
          </w:p>
        </w:tc>
      </w:tr>
      <w:tr>
        <w:trPr>
          <w:trHeight w:val="273" w:hRule="atLeast"/>
        </w:trPr>
        <w:tc>
          <w:tcPr>
            <w:tcW w:w="1447" w:type="dxa"/>
          </w:tcPr>
          <w:p>
            <w:pPr>
              <w:pStyle w:val="TableParagraph"/>
              <w:spacing w:before="33"/>
              <w:ind w:left="136" w:right="128"/>
              <w:jc w:val="center"/>
              <w:rPr>
                <w:rFonts w:ascii="TimesNewRomanPS-BoldItalicMT"/>
                <w:b/>
                <w:i/>
                <w:sz w:val="18"/>
              </w:rPr>
            </w:pPr>
            <w:r>
              <w:rPr>
                <w:rFonts w:ascii="TimesNewRomanPS-BoldItalicMT"/>
                <w:b/>
                <w:i/>
                <w:sz w:val="18"/>
              </w:rPr>
              <w:t>Initial sum</w:t>
            </w:r>
          </w:p>
        </w:tc>
        <w:tc>
          <w:tcPr>
            <w:tcW w:w="583" w:type="dxa"/>
          </w:tcPr>
          <w:p>
            <w:pPr>
              <w:pStyle w:val="TableParagraph"/>
              <w:spacing w:before="33"/>
              <w:ind w:left="202"/>
              <w:rPr>
                <w:rFonts w:ascii="TimesNewRomanPS-BoldItalicMT"/>
                <w:b/>
                <w:i/>
                <w:sz w:val="18"/>
              </w:rPr>
            </w:pPr>
            <w:r>
              <w:rPr>
                <w:rFonts w:ascii="TimesNewRomanPS-BoldItalicMT"/>
                <w:b/>
                <w:i/>
                <w:sz w:val="18"/>
              </w:rPr>
              <w:t>18</w:t>
            </w:r>
          </w:p>
        </w:tc>
        <w:tc>
          <w:tcPr>
            <w:tcW w:w="583" w:type="dxa"/>
          </w:tcPr>
          <w:p>
            <w:pPr>
              <w:pStyle w:val="TableParagraph"/>
              <w:spacing w:before="33"/>
              <w:ind w:left="201"/>
              <w:rPr>
                <w:rFonts w:ascii="TimesNewRomanPS-BoldItalicMT"/>
                <w:b/>
                <w:i/>
                <w:sz w:val="18"/>
              </w:rPr>
            </w:pPr>
            <w:r>
              <w:rPr>
                <w:rFonts w:ascii="TimesNewRomanPS-BoldItalicMT"/>
                <w:b/>
                <w:i/>
                <w:sz w:val="18"/>
              </w:rPr>
              <w:t>84</w:t>
            </w:r>
          </w:p>
        </w:tc>
        <w:tc>
          <w:tcPr>
            <w:tcW w:w="583" w:type="dxa"/>
          </w:tcPr>
          <w:p>
            <w:pPr>
              <w:pStyle w:val="TableParagraph"/>
              <w:spacing w:before="33"/>
              <w:ind w:left="180" w:right="169"/>
              <w:jc w:val="center"/>
              <w:rPr>
                <w:rFonts w:ascii="TimesNewRomanPS-BoldItalicMT"/>
                <w:b/>
                <w:i/>
                <w:sz w:val="18"/>
              </w:rPr>
            </w:pPr>
            <w:r>
              <w:rPr>
                <w:rFonts w:ascii="TimesNewRomanPS-BoldItalicMT"/>
                <w:b/>
                <w:i/>
                <w:sz w:val="18"/>
              </w:rPr>
              <w:t>31</w:t>
            </w:r>
          </w:p>
        </w:tc>
        <w:tc>
          <w:tcPr>
            <w:tcW w:w="583" w:type="dxa"/>
          </w:tcPr>
          <w:p>
            <w:pPr>
              <w:pStyle w:val="TableParagraph"/>
              <w:rPr>
                <w:sz w:val="16"/>
              </w:rPr>
            </w:pPr>
          </w:p>
        </w:tc>
        <w:tc>
          <w:tcPr>
            <w:tcW w:w="583" w:type="dxa"/>
          </w:tcPr>
          <w:p>
            <w:pPr>
              <w:pStyle w:val="TableParagraph"/>
              <w:spacing w:before="33"/>
              <w:ind w:left="10"/>
              <w:jc w:val="center"/>
              <w:rPr>
                <w:rFonts w:ascii="TimesNewRomanPS-BoldItalicMT"/>
                <w:b/>
                <w:i/>
                <w:sz w:val="18"/>
              </w:rPr>
            </w:pPr>
            <w:r>
              <w:rPr>
                <w:rFonts w:ascii="TimesNewRomanPS-BoldItalicMT"/>
                <w:b/>
                <w:i/>
                <w:sz w:val="18"/>
              </w:rPr>
              <w:t>5</w:t>
            </w:r>
          </w:p>
        </w:tc>
        <w:tc>
          <w:tcPr>
            <w:tcW w:w="583" w:type="dxa"/>
          </w:tcPr>
          <w:p>
            <w:pPr>
              <w:pStyle w:val="TableParagraph"/>
              <w:spacing w:before="33"/>
              <w:ind w:left="10"/>
              <w:jc w:val="center"/>
              <w:rPr>
                <w:rFonts w:ascii="TimesNewRomanPS-BoldItalicMT"/>
                <w:b/>
                <w:i/>
                <w:sz w:val="18"/>
              </w:rPr>
            </w:pPr>
            <w:r>
              <w:rPr>
                <w:rFonts w:ascii="TimesNewRomanPS-BoldItalicMT"/>
                <w:b/>
                <w:i/>
                <w:sz w:val="18"/>
              </w:rPr>
              <w:t>2</w:t>
            </w:r>
          </w:p>
        </w:tc>
        <w:tc>
          <w:tcPr>
            <w:tcW w:w="1123" w:type="dxa"/>
          </w:tcPr>
          <w:p>
            <w:pPr>
              <w:pStyle w:val="TableParagraph"/>
              <w:spacing w:before="28"/>
              <w:ind w:left="146" w:right="134"/>
              <w:jc w:val="center"/>
              <w:rPr>
                <w:i/>
                <w:sz w:val="18"/>
              </w:rPr>
            </w:pPr>
            <w:r>
              <w:rPr>
                <w:i/>
                <w:sz w:val="18"/>
              </w:rPr>
              <w:t>140</w:t>
            </w:r>
          </w:p>
        </w:tc>
      </w:tr>
      <w:tr>
        <w:trPr>
          <w:trHeight w:val="1041" w:hRule="atLeast"/>
        </w:trPr>
        <w:tc>
          <w:tcPr>
            <w:tcW w:w="6068" w:type="dxa"/>
            <w:gridSpan w:val="8"/>
          </w:tcPr>
          <w:p>
            <w:pPr>
              <w:pStyle w:val="TableParagraph"/>
              <w:spacing w:before="54"/>
              <w:ind w:left="107"/>
              <w:rPr>
                <w:sz w:val="16"/>
              </w:rPr>
            </w:pPr>
            <w:r>
              <w:rPr>
                <w:sz w:val="16"/>
              </w:rPr>
              <w:t>Note:</w:t>
            </w:r>
          </w:p>
          <w:p>
            <w:pPr>
              <w:pStyle w:val="TableParagraph"/>
              <w:tabs>
                <w:tab w:pos="1444" w:val="left" w:leader="none"/>
                <w:tab w:pos="2732" w:val="left" w:leader="none"/>
                <w:tab w:pos="4006" w:val="left" w:leader="none"/>
              </w:tabs>
              <w:spacing w:before="1"/>
              <w:ind w:left="107" w:right="1047"/>
              <w:rPr>
                <w:sz w:val="16"/>
              </w:rPr>
            </w:pPr>
            <w:r>
              <w:rPr>
                <w:sz w:val="16"/>
              </w:rPr>
              <w:t>F   =</w:t>
            </w:r>
            <w:r>
              <w:rPr>
                <w:spacing w:val="-4"/>
                <w:sz w:val="16"/>
              </w:rPr>
              <w:t> </w:t>
            </w:r>
            <w:r>
              <w:rPr>
                <w:sz w:val="16"/>
              </w:rPr>
              <w:t>Forest</w:t>
            </w:r>
            <w:r>
              <w:rPr>
                <w:spacing w:val="1"/>
                <w:sz w:val="16"/>
              </w:rPr>
              <w:t> </w:t>
            </w:r>
            <w:r>
              <w:rPr>
                <w:sz w:val="16"/>
              </w:rPr>
              <w:t>land,</w:t>
              <w:tab/>
              <w:t>G </w:t>
            </w:r>
            <w:r>
              <w:rPr>
                <w:spacing w:val="37"/>
                <w:sz w:val="16"/>
              </w:rPr>
              <w:t> </w:t>
            </w:r>
            <w:r>
              <w:rPr>
                <w:sz w:val="16"/>
              </w:rPr>
              <w:t>= Grassland,</w:t>
              <w:tab/>
              <w:t>C </w:t>
            </w:r>
            <w:r>
              <w:rPr>
                <w:spacing w:val="36"/>
                <w:sz w:val="16"/>
              </w:rPr>
              <w:t> </w:t>
            </w:r>
            <w:r>
              <w:rPr>
                <w:sz w:val="16"/>
              </w:rPr>
              <w:t>=</w:t>
            </w:r>
            <w:r>
              <w:rPr>
                <w:spacing w:val="1"/>
                <w:sz w:val="16"/>
              </w:rPr>
              <w:t> </w:t>
            </w:r>
            <w:r>
              <w:rPr>
                <w:sz w:val="16"/>
              </w:rPr>
              <w:t>Cropland,</w:t>
              <w:tab/>
              <w:t>W = </w:t>
            </w:r>
            <w:r>
              <w:rPr>
                <w:spacing w:val="-4"/>
                <w:sz w:val="16"/>
              </w:rPr>
              <w:t>Wetlands, </w:t>
            </w:r>
            <w:r>
              <w:rPr>
                <w:sz w:val="16"/>
              </w:rPr>
              <w:t>S = Settlements, O = Other</w:t>
            </w:r>
            <w:r>
              <w:rPr>
                <w:spacing w:val="-5"/>
                <w:sz w:val="16"/>
              </w:rPr>
              <w:t> </w:t>
            </w:r>
            <w:r>
              <w:rPr>
                <w:sz w:val="16"/>
              </w:rPr>
              <w:t>land</w:t>
            </w:r>
          </w:p>
          <w:p>
            <w:pPr>
              <w:pStyle w:val="TableParagraph"/>
              <w:spacing w:line="183" w:lineRule="exact"/>
              <w:ind w:left="107"/>
              <w:rPr>
                <w:sz w:val="16"/>
              </w:rPr>
            </w:pPr>
            <w:r>
              <w:rPr>
                <w:sz w:val="16"/>
              </w:rPr>
              <w:t>Numbers represent area units (Mha in this example).</w:t>
            </w:r>
          </w:p>
          <w:p>
            <w:pPr>
              <w:pStyle w:val="TableParagraph"/>
              <w:spacing w:before="1"/>
              <w:ind w:left="107"/>
              <w:rPr>
                <w:sz w:val="16"/>
              </w:rPr>
            </w:pPr>
            <w:r>
              <w:rPr>
                <w:sz w:val="16"/>
              </w:rPr>
              <w:t>There is no Wetlands in this example. Blank entry indicates no land use change.</w:t>
            </w:r>
          </w:p>
        </w:tc>
      </w:tr>
    </w:tbl>
    <w:p>
      <w:pPr>
        <w:pStyle w:val="BodyText"/>
        <w:spacing w:before="9"/>
        <w:rPr>
          <w:sz w:val="21"/>
        </w:rPr>
      </w:pPr>
    </w:p>
    <w:p>
      <w:pPr>
        <w:pStyle w:val="BodyText"/>
        <w:spacing w:before="90"/>
        <w:ind w:left="419" w:right="545"/>
        <w:jc w:val="both"/>
      </w:pPr>
      <w:r>
        <w:rPr/>
        <w:t>Further subcategorisations, for example by forest species or combinations of species and soil type, are likely to be required by many countries when they implement this Approach, in order to provide data on the land areas needed for estimating carbon stock changes taking account of the guidance in Chapter 3. Table 2.3.3 illustrates possible subdivisions, and indicates where in Chapter 3 to find methodological guidance on particular land uses or transitions.</w:t>
      </w:r>
    </w:p>
    <w:p>
      <w:pPr>
        <w:spacing w:after="0"/>
        <w:jc w:val="both"/>
        <w:sectPr>
          <w:pgSz w:w="11900" w:h="16840"/>
          <w:pgMar w:header="230" w:footer="408" w:top="560" w:bottom="600" w:left="1000" w:right="860"/>
        </w:sectPr>
      </w:pPr>
    </w:p>
    <w:p>
      <w:pPr>
        <w:pStyle w:val="BodyText"/>
      </w:pPr>
    </w:p>
    <w:p>
      <w:pPr>
        <w:pStyle w:val="BodyText"/>
        <w:spacing w:before="2"/>
        <w:rPr>
          <w:sz w:val="19"/>
        </w:rPr>
      </w:pPr>
    </w:p>
    <w:p>
      <w:pPr>
        <w:pStyle w:val="Heading6"/>
        <w:numPr>
          <w:ilvl w:val="3"/>
          <w:numId w:val="15"/>
        </w:numPr>
        <w:tabs>
          <w:tab w:pos="1859" w:val="left" w:leader="none"/>
          <w:tab w:pos="1860" w:val="left" w:leader="none"/>
        </w:tabs>
        <w:spacing w:line="240" w:lineRule="auto" w:before="89" w:after="0"/>
        <w:ind w:left="1859" w:right="0" w:hanging="1440"/>
        <w:jc w:val="left"/>
      </w:pPr>
      <w:r>
        <w:rPr>
          <w:sz w:val="28"/>
        </w:rPr>
        <w:t>A</w:t>
      </w:r>
      <w:r>
        <w:rPr/>
        <w:t>PPROACH </w:t>
      </w:r>
      <w:r>
        <w:rPr>
          <w:sz w:val="28"/>
        </w:rPr>
        <w:t>3: G</w:t>
      </w:r>
      <w:r>
        <w:rPr/>
        <w:t>EOGRAPHICALLY EXPLICIT LAND USE</w:t>
      </w:r>
      <w:r>
        <w:rPr>
          <w:spacing w:val="-22"/>
        </w:rPr>
        <w:t> </w:t>
      </w:r>
      <w:r>
        <w:rPr/>
        <w:t>DATA</w:t>
      </w:r>
    </w:p>
    <w:p>
      <w:pPr>
        <w:pStyle w:val="BodyText"/>
        <w:spacing w:before="211"/>
        <w:ind w:left="419" w:right="499"/>
        <w:jc w:val="both"/>
      </w:pPr>
      <w:r>
        <w:rPr/>
        <w:t>Approach 3 (summarised in Figure 2.3.1) requires spatially explicit observations of land use and land-use change. The data may be obtained either by sampling of geographically located points, a complete tally (wall-to-wall mapping), or a combination of the two.</w:t>
      </w:r>
    </w:p>
    <w:p>
      <w:pPr>
        <w:pStyle w:val="BodyText"/>
        <w:spacing w:before="119"/>
        <w:ind w:left="419" w:right="542"/>
        <w:jc w:val="both"/>
      </w:pPr>
      <w:r>
        <w:rPr/>
        <w:t>Approach 3 is comprehensive and relatively simple conceptually but data intensive to implement. The target area is subdivided into spatial units such as grid cells or polygons appropriate to the scale of land-use variation and the unit size required for sampling or complete enumeration. The spatial units must be used consistently over time or bias will be introduced into the sampling. The spatial units should be sampled using pre-existing map data (usually within a Geographic Information System (GIS)) and/or in the field and the land uses should be observed or inferred and recorded at the time intervals required by Chapter 3 or 4 methods. If wall-to-wall mapping is used, a polygon based approach can be used equivalently to a grid approach, see Figure 2.3.1. Observations may be from remote sensing, site visits, oral interviews, or questionnaires. Sampling units may be points, or areas from 0.1 ha to a square kilometre or more, depending on the sample design. Units can be sampled statistically on a sparser interval than would be used for the complete coverage, chosen at regular or irregular intervals, and can be concentrated in areas where land-use change is expected. Recorded data could be of land use at a point or within a sampling unit on each occasion but could also include land-use change data within a sampling unit between the sampling years.</w:t>
      </w:r>
    </w:p>
    <w:p>
      <w:pPr>
        <w:pStyle w:val="BodyText"/>
        <w:spacing w:before="118"/>
        <w:ind w:left="419" w:right="544"/>
        <w:jc w:val="both"/>
      </w:pPr>
      <w:r>
        <w:rPr/>
        <w:t>For effective implementation of Approach 3, the sampling needs to be sufficient to allow spatial interpolation and thus production of a map of land use. Sampling methods and associated uncertainties are discussed in the sampling section of Chapter 5 (Section 5.3). All LULUCF activities in each spatial unit or collection of the units are then tracked over time (periodically but not necessarily annually) and recorded individually, usually within a GIS. Because Approach 3 is similar to Approach 2, summary Table 2.3.4 or 2.3.5 as described under Approach 2 should be prepared for this approach as part of QA/QC procedures as set out in Chapter</w:t>
      </w:r>
      <w:r>
        <w:rPr>
          <w:spacing w:val="-16"/>
        </w:rPr>
        <w:t> </w:t>
      </w:r>
      <w:r>
        <w:rPr/>
        <w:t>5.</w:t>
      </w:r>
    </w:p>
    <w:p>
      <w:pPr>
        <w:pStyle w:val="BodyText"/>
        <w:rPr>
          <w:sz w:val="22"/>
        </w:rPr>
      </w:pPr>
    </w:p>
    <w:p>
      <w:pPr>
        <w:pStyle w:val="BodyText"/>
        <w:rPr>
          <w:sz w:val="22"/>
        </w:rPr>
      </w:pPr>
    </w:p>
    <w:p>
      <w:pPr>
        <w:pStyle w:val="BodyText"/>
        <w:spacing w:before="2"/>
        <w:rPr>
          <w:sz w:val="21"/>
        </w:rPr>
      </w:pPr>
    </w:p>
    <w:p>
      <w:pPr>
        <w:tabs>
          <w:tab w:pos="2119" w:val="left" w:leader="none"/>
        </w:tabs>
        <w:spacing w:before="0"/>
        <w:ind w:left="2120" w:right="793" w:hanging="1702"/>
        <w:jc w:val="left"/>
        <w:rPr>
          <w:b/>
          <w:sz w:val="20"/>
        </w:rPr>
      </w:pPr>
      <w:r>
        <w:rPr>
          <w:b/>
          <w:spacing w:val="8"/>
          <w:sz w:val="20"/>
        </w:rPr>
        <w:t>Figure</w:t>
      </w:r>
      <w:r>
        <w:rPr>
          <w:b/>
          <w:spacing w:val="19"/>
          <w:sz w:val="20"/>
        </w:rPr>
        <w:t> </w:t>
      </w:r>
      <w:r>
        <w:rPr>
          <w:b/>
          <w:spacing w:val="8"/>
          <w:sz w:val="20"/>
        </w:rPr>
        <w:t>2.3.1</w:t>
        <w:tab/>
        <w:t>Overview </w:t>
      </w:r>
      <w:r>
        <w:rPr>
          <w:b/>
          <w:spacing w:val="5"/>
          <w:sz w:val="20"/>
        </w:rPr>
        <w:t>of </w:t>
      </w:r>
      <w:r>
        <w:rPr>
          <w:b/>
          <w:spacing w:val="8"/>
          <w:sz w:val="20"/>
        </w:rPr>
        <w:t>Approach </w:t>
      </w:r>
      <w:r>
        <w:rPr>
          <w:b/>
          <w:spacing w:val="5"/>
          <w:sz w:val="20"/>
        </w:rPr>
        <w:t>3: </w:t>
      </w:r>
      <w:r>
        <w:rPr>
          <w:b/>
          <w:spacing w:val="8"/>
          <w:sz w:val="20"/>
        </w:rPr>
        <w:t>Direct </w:t>
      </w:r>
      <w:r>
        <w:rPr>
          <w:b/>
          <w:spacing w:val="7"/>
          <w:sz w:val="20"/>
        </w:rPr>
        <w:t>and </w:t>
      </w:r>
      <w:r>
        <w:rPr>
          <w:b/>
          <w:spacing w:val="9"/>
          <w:sz w:val="20"/>
        </w:rPr>
        <w:t>repeated assessments </w:t>
      </w:r>
      <w:r>
        <w:rPr>
          <w:b/>
          <w:spacing w:val="5"/>
          <w:sz w:val="20"/>
        </w:rPr>
        <w:t>of </w:t>
      </w:r>
      <w:r>
        <w:rPr>
          <w:b/>
          <w:spacing w:val="8"/>
          <w:sz w:val="20"/>
        </w:rPr>
        <w:t>land </w:t>
      </w:r>
      <w:r>
        <w:rPr>
          <w:b/>
          <w:spacing w:val="7"/>
          <w:sz w:val="20"/>
        </w:rPr>
        <w:t>use </w:t>
      </w:r>
      <w:r>
        <w:rPr>
          <w:b/>
          <w:spacing w:val="8"/>
          <w:sz w:val="20"/>
        </w:rPr>
        <w:t>from </w:t>
      </w:r>
      <w:r>
        <w:rPr>
          <w:b/>
          <w:spacing w:val="6"/>
          <w:sz w:val="20"/>
        </w:rPr>
        <w:t>full </w:t>
      </w:r>
      <w:r>
        <w:rPr>
          <w:b/>
          <w:spacing w:val="8"/>
          <w:sz w:val="20"/>
        </w:rPr>
        <w:t>spatial</w:t>
      </w:r>
      <w:r>
        <w:rPr>
          <w:b/>
          <w:spacing w:val="37"/>
          <w:sz w:val="20"/>
        </w:rPr>
        <w:t> </w:t>
      </w:r>
      <w:r>
        <w:rPr>
          <w:b/>
          <w:spacing w:val="8"/>
          <w:sz w:val="20"/>
        </w:rPr>
        <w:t>coverage</w:t>
      </w:r>
    </w:p>
    <w:p>
      <w:pPr>
        <w:pStyle w:val="BodyText"/>
        <w:spacing w:before="7"/>
        <w:rPr>
          <w:b/>
          <w:sz w:val="18"/>
        </w:rPr>
      </w:pPr>
    </w:p>
    <w:p>
      <w:pPr>
        <w:spacing w:before="0"/>
        <w:ind w:left="628" w:right="0" w:firstLine="0"/>
        <w:jc w:val="left"/>
        <w:rPr>
          <w:rFonts w:ascii="TimesNewRomanPS-BoldItalicMT"/>
          <w:b/>
          <w:i/>
          <w:sz w:val="20"/>
        </w:rPr>
      </w:pPr>
      <w:r>
        <w:rPr>
          <w:rFonts w:ascii="TimesNewRomanPS-BoldItalicMT"/>
          <w:b/>
          <w:i/>
          <w:sz w:val="20"/>
        </w:rPr>
        <w:t>Description</w:t>
      </w:r>
    </w:p>
    <w:p>
      <w:pPr>
        <w:pStyle w:val="BodyText"/>
        <w:spacing w:before="114"/>
        <w:ind w:left="628" w:right="751"/>
        <w:jc w:val="both"/>
      </w:pPr>
      <w:r>
        <w:rPr/>
        <w:t>Under Approach 3 the country is subdivided into spatial units such as grid cells or small polygons. In this example grid cells are used for subdivision of the area. The grid cells are sampled by remote sensing and ground survey, in order to establish the areas of the land use whose estimated extent is shown by the grey lines below the grid. Remote sensing enables complete coverage of all grid cells (Figure 2.3.1A) in the interpretation of land use. Ground surveys will be carried out in a sample of grid cells and can be used to establish land use directly as well as to help interpret remote sensed data. The sample of grid cells can be distributed regularly (Figure 2.3.1B) or irregularly (Figure 2.3.1C), for example, to give greater coverage where LUC is more likely. Maps can be prepared using the grid cells, which can also be aggregated into polygons (Figure 2.3.1D). The final result of the approach is a spatially explicit land-use change matrix.</w:t>
      </w:r>
    </w:p>
    <w:p>
      <w:pPr>
        <w:pStyle w:val="BodyText"/>
        <w:spacing w:before="2"/>
        <w:rPr>
          <w:sz w:val="21"/>
        </w:rPr>
      </w:pPr>
    </w:p>
    <w:p>
      <w:pPr>
        <w:pStyle w:val="Heading6"/>
        <w:tabs>
          <w:tab w:pos="7108" w:val="left" w:leader="none"/>
        </w:tabs>
        <w:ind w:left="1348"/>
      </w:pPr>
      <w:r>
        <w:rPr>
          <w:spacing w:val="14"/>
        </w:rPr>
        <w:t>Time</w:t>
      </w:r>
      <w:r>
        <w:rPr>
          <w:spacing w:val="40"/>
        </w:rPr>
        <w:t> </w:t>
      </w:r>
      <w:r>
        <w:rPr/>
        <w:t>1</w:t>
        <w:tab/>
      </w:r>
      <w:r>
        <w:rPr>
          <w:spacing w:val="14"/>
        </w:rPr>
        <w:t>Time</w:t>
      </w:r>
      <w:r>
        <w:rPr>
          <w:spacing w:val="39"/>
        </w:rPr>
        <w:t> </w:t>
      </w:r>
      <w:r>
        <w:rPr/>
        <w:t>2</w:t>
      </w:r>
    </w:p>
    <w:p>
      <w:pPr>
        <w:pStyle w:val="BodyText"/>
        <w:spacing w:before="54"/>
        <w:ind w:left="628"/>
        <w:jc w:val="both"/>
      </w:pPr>
      <w:r>
        <w:rPr/>
        <w:pict>
          <v:group style="position:absolute;margin-left:102.341003pt;margin-top:51.936329pt;width:159.85pt;height:111pt;mso-position-horizontal-relative:page;mso-position-vertical-relative:paragraph;z-index:-2454064" coordorigin="2047,1039" coordsize="3197,2220">
            <v:shape style="position:absolute;left:2076;top:1068;width:3137;height:2160" coordorigin="2077,1069" coordsize="3137,2160" path="m2178,1141l2164,1217,2154,1293,2145,1370,2137,1447,2131,1524,2125,1600,2119,1677,2113,1754,2106,1831,2098,1907,2088,1984,2077,2060,2083,2140,2087,2217,2091,2292,2096,2366,2102,2438,2110,2508,2122,2578,2137,2646,2157,2714,2182,2781,2214,2848,2253,2915,2300,2982,2355,3045,2420,3104,2467,3119,2482,3123,2567,3154,2651,3182,2737,3207,2826,3229,2905,3217,2985,3201,3061,3178,3128,3140,3189,3090,3198,3073,3231,3034,3288,2983,3349,2944,3418,2914,3493,2893,3554,2896,3616,2898,3676,2901,3754,2919,3783,2949,3798,2962,3856,3006,3912,3029,3984,3044,4021,3051,4105,3032,4192,3017,4278,3002,4364,2982,4401,2932,4424,2876,4420,2806,4406,2730,4380,2656,4342,2593,4288,2543,4222,2504,4146,2480,4100,2468,4089,2456,4077,2443,4066,2430,4059,2415,4066,2390,4104,2327,4156,2286,4228,2245,4242,2238,4325,2242,4408,2246,4491,2250,4575,2253,4659,2255,4742,2255,4825,2252,4908,2246,4990,2236,5072,2221,5116,2179,5183,2093,5214,2043,5208,1972,5203,1903,5195,1838,5180,1777,5156,1720,5118,1669,5064,1622,4990,1582,4931,1569,4911,1566,4825,1568,4740,1570,4657,1571,4575,1572,4493,1573,4412,1572,4331,1571,4249,1568,4168,1565,4085,1560,4002,1554,3918,1546,3877,1540,3835,1535,3795,1527,3757,1513,3709,1486,3655,1457,3612,1433,3594,1424,3585,1410,3540,1361,3523,1353,3507,1345,3493,1335,3487,1322,3484,1308,3481,1294,3413,1239,3350,1211,3282,1192,3210,1174,3114,1184,3038,1192,2974,1197,2914,1201,2853,1202,2782,1202,2694,1199,2583,1194,2552,1186,2520,1179,2489,1171,2461,1158,2446,1148,2432,1139,2417,1130,2340,1103,2278,1088,2261,1082,2241,1076,2225,1071,2218,1069,2193,1099,2181,1111,2178,1120,2178,1141xe" filled="false" stroked="true" strokeweight="3pt" strokecolor="#808080">
              <v:path arrowok="t"/>
              <v:stroke dashstyle="solid"/>
            </v:shape>
            <v:shape style="position:absolute;left:2196;top:1335;width:1661;height:1575" coordorigin="2197,1335" coordsize="1661,1575" path="m3514,1335l3427,1339,3351,1343,3280,1348,3213,1356,3143,1369,3068,1388,3036,1431,3023,1452,3012,1481,2986,1546,2980,1563,2974,1581,2969,1596,2967,1602,2975,1689,2984,1767,2991,1840,2998,1909,3002,1979,3004,2050,3002,2127,2997,2213,2986,2310,2976,2369,2960,2402,2932,2424,2886,2451,2853,2488,2812,2526,2767,2563,2725,2593,2705,2602,2684,2610,2663,2617,2643,2626,2600,2657,2585,2673,2582,2681,2578,2686,2556,2696,2502,2715,2428,2734,2340,2752,2257,2774,2197,2804m3858,1546l3830,1619,3801,1688,3770,1756,3738,1822,3702,1886,3664,1951,3621,2015,3574,2079,3553,2116,3538,2156,3527,2197,3514,2238,3487,2308,3460,2378,3435,2449,3414,2521,3419,2578,3423,2636,3428,2694,3433,2751,3438,2798,3444,2850,3450,2892,3452,2910e" filled="false" stroked="true" strokeweight="1pt" strokecolor="#808080">
              <v:path arrowok="t"/>
              <v:stroke dashstyle="solid"/>
            </v:shape>
            <v:shape style="position:absolute;left:4365;top:1848;width:584;height:300" coordorigin="4366,1849" coordsize="584,300" path="m4808,1849l4765,1862,4747,1867,4742,1866,4736,1862,4717,1856,4671,1851,4587,1849,4536,1851,4485,1855,4435,1861,4383,1866,4366,1936,4367,2003,4386,2068,4424,2132,4482,2120,4528,2121,4573,2132,4628,2149,4673,2141,4719,2133,4765,2124,4808,2113,4844,2103,4885,2092,4917,2083,4930,2079,4936,2065,4943,2052,4948,2038,4950,2024,4933,1969,4893,1928,4846,1891,4808,1849xe" filled="false" stroked="true" strokeweight="1pt" strokecolor="#808080">
              <v:path arrowok="t"/>
              <v:stroke dashstyle="solid"/>
            </v:shape>
            <w10:wrap type="none"/>
          </v:group>
        </w:pict>
      </w:r>
      <w:r>
        <w:rPr/>
        <w:pict>
          <v:group style="position:absolute;margin-left:340.061005pt;margin-top:51.096329pt;width:162.25pt;height:110.05pt;mso-position-horizontal-relative:page;mso-position-vertical-relative:paragraph;z-index:-2454040" coordorigin="6801,1022" coordsize="3245,2201">
            <v:shape style="position:absolute;left:6831;top:1051;width:3185;height:2141" coordorigin="6831,1052" coordsize="3185,2141" path="m6934,1122l6921,1197,6909,1273,6900,1349,6892,1425,6885,1501,6879,1578,6873,1654,6867,1730,6860,1806,6852,1882,6843,1958,6831,2034,6837,2119,6842,2202,6847,2282,6852,2361,6860,2437,6870,2512,6885,2586,6904,2659,6930,2731,6964,2804,7006,2876,7057,2948,7113,3012,7179,3070,7226,3083,7242,3087,7311,3112,7379,3135,7449,3157,7520,3176,7592,3193,7672,3181,7753,3166,7830,3143,7899,3106,7960,3054,7969,3038,8002,3001,8060,2950,8123,2910,8192,2881,8269,2859,8330,2862,8392,2864,8454,2867,8516,2876,8563,2915,8578,2929,8637,2971,8694,2993,8767,3009,8804,3018,8890,2997,8977,2982,9065,2967,9152,2948,9171,2925,9191,2899,9208,2870,9214,2842,9210,2773,9196,2697,9171,2624,9133,2562,9076,2512,9008,2473,8932,2451,8886,2439,8874,2425,8862,2413,8851,2400,8845,2386,8850,2361,8890,2298,8942,2257,9016,2216,9030,2209,9106,2212,9182,2217,9259,2221,9336,2224,9413,2227,9490,2228,9567,2227,9644,2223,9720,2216,9796,2206,9872,2192,9917,2150,9985,2066,10016,2017,10011,1946,10006,1878,9997,1814,9982,1754,9958,1698,9919,1646,9865,1601,9790,1561,9728,1546,9706,1542,9626,1544,9547,1546,9468,1548,9391,1550,9315,1550,9239,1550,9163,1550,9087,1548,9011,1546,8935,1542,8858,1538,8780,1532,8701,1525,8659,1518,8616,1512,8575,1505,8535,1491,8487,1464,8434,1435,8390,1412,8372,1402,8362,1389,8317,1340,8300,1332,8283,1324,8269,1314,8263,1302,8260,1288,8257,1273,8188,1219,8123,1192,8055,1173,7981,1158,7885,1167,7808,1174,7742,1179,7682,1182,7619,1183,7546,1183,7457,1180,7345,1174,7313,1167,7281,1160,7249,1151,7220,1138,7206,1129,7191,1120,7129,1094,7067,1077,7035,1069,7018,1063,6998,1058,6982,1054,6975,1052,6950,1082,6938,1094,6934,1103,6934,1122xe" filled="false" stroked="true" strokeweight="3pt" strokecolor="#808080">
              <v:path arrowok="t"/>
              <v:stroke dashstyle="solid"/>
            </v:shape>
            <v:shape style="position:absolute;left:6953;top:1313;width:1685;height:1563" coordorigin="6954,1314" coordsize="1685,1563" path="m8290,1314l8202,1318,8124,1322,8053,1327,7984,1335,7913,1347,7837,1366,7804,1409,7791,1430,7780,1459,7755,1525,7749,1540,7742,1557,7736,1572,7734,1578,7742,1664,7751,1742,7759,1814,7765,1883,7770,1952,7771,2023,7770,2100,7765,2185,7755,2281,7745,2340,7728,2373,7699,2394,7652,2420,7619,2458,7577,2496,7532,2532,7489,2562,7468,2571,7447,2578,7425,2586,7405,2595,7361,2625,7346,2641,7344,2649,7339,2655,7318,2664,7263,2684,7188,2702,7099,2720,7014,2741,6954,2770m8638,1527l8610,1598,8580,1666,8549,1733,8516,1798,8480,1862,8441,1926,8398,1989,8350,2053,8329,2089,8314,2129,8303,2171,8290,2211,8263,2280,8235,2350,8209,2420,8187,2492,8192,2548,8197,2605,8201,2662,8206,2720,8213,2767,8220,2818,8226,2859,8228,2876e" filled="false" stroked="true" strokeweight="1pt" strokecolor="#808080">
              <v:path arrowok="t"/>
              <v:stroke dashstyle="solid"/>
            </v:shape>
            <v:shape style="position:absolute;left:8935;top:1584;width:918;height:538" coordorigin="8935,1585" coordsize="918,538" path="m9630,1585l9581,1601,9551,1611,9535,1616,9528,1617,9524,1614,9518,1609,9505,1603,9480,1596,9438,1591,9374,1586,9282,1585,9203,1588,9124,1597,9045,1607,8965,1616,8944,1701,8935,1783,8940,1863,8957,1940,8987,2016,9030,2091,9117,2071,9189,2073,9260,2093,9346,2122,9416,2109,9488,2095,9560,2078,9630,2060,9749,2022,9819,1998,9830,1973,9841,1950,9849,1926,9853,1902,9840,1832,9808,1776,9763,1728,9713,1683,9666,1637,9630,1585xe" filled="false" stroked="true" strokeweight="1pt" strokecolor="#808080">
              <v:path arrowok="t"/>
              <v:stroke dashstyle="solid"/>
            </v:shape>
            <v:shape style="position:absolute;left:7233;top:1155;width:979;height:1512" coordorigin="7233,1155" coordsize="979,1512" path="m7306,2667l7323,2662,7339,2659,7354,2655,7369,2650,7384,2641,7398,2631,7412,2621,7429,2614,7485,2606,7542,2602,7599,2600,7657,2598,7727,2581,7795,2563,7860,2540,7923,2509,7944,2481,7969,2451,7996,2423,8026,2403,8062,2390,8102,2379,8135,2370,8149,2367,8168,2373,8188,2379,8205,2384,8211,2386m7285,1155l7285,1259,7278,1349,7267,1428,7254,1496,7243,1553,7235,1600,7233,1639,7240,1671,7259,1695,7292,1714,7341,1727,7410,1736,7476,1742,7543,1746,7609,1750,7676,1755,7701,1749,7728,1743,7749,1738,7758,1736e" filled="false" stroked="true" strokeweight="1pt" strokecolor="#808080">
              <v:path arrowok="t"/>
              <v:stroke dashstyle="solid"/>
            </v:shape>
            <v:shape style="position:absolute;left:9031;top:1743;width:594;height:298" coordorigin="9031,1743" coordsize="594,298" path="m9481,1743l9437,1755,9419,1760,9413,1759,9406,1755,9386,1750,9340,1745,9255,1743,9203,1745,9152,1749,9101,1754,9049,1760,9031,1829,9032,1896,9052,1960,9090,2024,9147,2012,9194,2013,9240,2024,9296,2041,9341,2033,9436,2016,9517,1995,9590,1975,9610,1957,9617,1945,9622,1932,9625,1918,9607,1863,9566,1822,9519,1785,9481,1743xe" filled="false" stroked="true" strokeweight="1pt" strokecolor="#808080">
              <v:path arrowok="t"/>
              <v:stroke dashstyle="solid"/>
            </v:shape>
            <w10:wrap type="none"/>
          </v:group>
        </w:pict>
      </w:r>
      <w:r>
        <w:rPr/>
        <w:t>Figure 2.3.1A</w:t>
      </w:r>
    </w:p>
    <w:p>
      <w:pPr>
        <w:pStyle w:val="BodyText"/>
      </w:pPr>
    </w:p>
    <w:p>
      <w:pPr>
        <w:pStyle w:val="BodyText"/>
        <w:spacing w:before="7"/>
        <w:rPr>
          <w:sz w:val="11"/>
        </w:rPr>
      </w:pPr>
    </w:p>
    <w:tbl>
      <w:tblPr>
        <w:tblW w:w="0" w:type="auto"/>
        <w:jc w:val="left"/>
        <w:tblInd w:w="83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3"/>
        <w:gridCol w:w="339"/>
        <w:gridCol w:w="337"/>
        <w:gridCol w:w="337"/>
        <w:gridCol w:w="339"/>
        <w:gridCol w:w="337"/>
        <w:gridCol w:w="339"/>
        <w:gridCol w:w="337"/>
        <w:gridCol w:w="337"/>
        <w:gridCol w:w="339"/>
        <w:gridCol w:w="337"/>
        <w:gridCol w:w="1417"/>
        <w:gridCol w:w="339"/>
        <w:gridCol w:w="337"/>
        <w:gridCol w:w="337"/>
        <w:gridCol w:w="339"/>
        <w:gridCol w:w="337"/>
        <w:gridCol w:w="339"/>
        <w:gridCol w:w="337"/>
        <w:gridCol w:w="337"/>
        <w:gridCol w:w="339"/>
        <w:gridCol w:w="337"/>
        <w:gridCol w:w="135"/>
      </w:tblGrid>
      <w:tr>
        <w:trPr>
          <w:trHeight w:val="268" w:hRule="atLeast"/>
        </w:trPr>
        <w:tc>
          <w:tcPr>
            <w:tcW w:w="113" w:type="dxa"/>
            <w:tcBorders>
              <w:bottom w:val="nil"/>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1417" w:type="dxa"/>
            <w:vMerge w:val="restart"/>
            <w:tcBorders>
              <w:left w:val="single" w:sz="4" w:space="0" w:color="000000"/>
              <w:right w:val="single" w:sz="4" w:space="0" w:color="000000"/>
            </w:tcBorders>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
              <w:rPr>
                <w:sz w:val="26"/>
              </w:rPr>
            </w:pPr>
          </w:p>
          <w:p>
            <w:pPr>
              <w:pStyle w:val="TableParagraph"/>
              <w:ind w:left="154"/>
              <w:rPr>
                <w:sz w:val="20"/>
              </w:rPr>
            </w:pPr>
            <w:r>
              <w:rPr>
                <w:sz w:val="20"/>
              </w:rPr>
              <w:pict>
                <v:group style="width:54pt;height:18pt;mso-position-horizontal-relative:char;mso-position-vertical-relative:line" coordorigin="0,0" coordsize="1080,360">
                  <v:shape style="position:absolute;left:0;top:0;width:1080;height:360" coordorigin="0,0" coordsize="1080,360" path="m720,0l720,360,960,240,780,240,780,120,960,120,720,0xm720,120l0,120,0,240,720,240,720,120xm960,120l780,120,780,240,960,240,1080,180,960,120xe" filled="true" fillcolor="#010101" stroked="false">
                    <v:path arrowok="t"/>
                    <v:fill type="solid"/>
                  </v:shape>
                </v:group>
              </w:pict>
            </w:r>
            <w:r>
              <w:rPr>
                <w:sz w:val="20"/>
              </w:rPr>
            </w: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135" w:type="dxa"/>
            <w:tcBorders>
              <w:left w:val="single" w:sz="4" w:space="0" w:color="000000"/>
              <w:bottom w:val="nil"/>
            </w:tcBorders>
          </w:tcPr>
          <w:p>
            <w:pPr>
              <w:pStyle w:val="TableParagraph"/>
              <w:rPr>
                <w:sz w:val="18"/>
              </w:rPr>
            </w:pPr>
          </w:p>
        </w:tc>
      </w:tr>
      <w:tr>
        <w:trPr>
          <w:trHeight w:val="266"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417" w:type="dxa"/>
            <w:vMerge/>
            <w:tcBorders>
              <w:top w:val="nil"/>
              <w:left w:val="single" w:sz="4" w:space="0" w:color="000000"/>
              <w:right w:val="single" w:sz="4" w:space="0" w:color="000000"/>
            </w:tcBorders>
          </w:tcPr>
          <w:p>
            <w:pPr>
              <w:rPr>
                <w:sz w:val="2"/>
                <w:szCs w:val="2"/>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35" w:type="dxa"/>
            <w:tcBorders>
              <w:top w:val="nil"/>
              <w:left w:val="single" w:sz="4" w:space="0" w:color="000000"/>
              <w:bottom w:val="nil"/>
            </w:tcBorders>
          </w:tcPr>
          <w:p>
            <w:pPr>
              <w:pStyle w:val="TableParagraph"/>
              <w:rPr>
                <w:sz w:val="18"/>
              </w:rPr>
            </w:pPr>
          </w:p>
        </w:tc>
      </w:tr>
      <w:tr>
        <w:trPr>
          <w:trHeight w:val="261"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3"/>
              <w:ind w:left="25"/>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3"/>
              <w:ind w:left="115"/>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3"/>
              <w:ind w:left="19"/>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3"/>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417" w:type="dxa"/>
            <w:vMerge/>
            <w:tcBorders>
              <w:top w:val="nil"/>
              <w:left w:val="single" w:sz="4" w:space="0" w:color="000000"/>
              <w:right w:val="single" w:sz="4" w:space="0" w:color="000000"/>
            </w:tcBorders>
          </w:tcPr>
          <w:p>
            <w:pPr>
              <w:rPr>
                <w:sz w:val="2"/>
                <w:szCs w:val="2"/>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5"/>
              <w:ind w:right="98"/>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5"/>
              <w:ind w:left="4"/>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5"/>
              <w:ind w:left="105"/>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5"/>
              <w:ind w:left="1"/>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35" w:type="dxa"/>
            <w:tcBorders>
              <w:top w:val="nil"/>
              <w:left w:val="single" w:sz="4" w:space="0" w:color="000000"/>
              <w:bottom w:val="nil"/>
            </w:tcBorders>
          </w:tcPr>
          <w:p>
            <w:pPr>
              <w:pStyle w:val="TableParagraph"/>
              <w:rPr>
                <w:sz w:val="18"/>
              </w:rPr>
            </w:pPr>
          </w:p>
        </w:tc>
      </w:tr>
      <w:tr>
        <w:trPr>
          <w:trHeight w:val="260"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right="90"/>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25"/>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15"/>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left="19"/>
              <w:jc w:val="center"/>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right="94"/>
              <w:jc w:val="right"/>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7"/>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11"/>
              <w:rPr>
                <w:rFonts w:ascii="Courier"/>
                <w:sz w:val="20"/>
              </w:rPr>
            </w:pPr>
            <w:r>
              <w:rPr>
                <w:rFonts w:ascii="Courier"/>
                <w:w w:val="99"/>
                <w:sz w:val="20"/>
              </w:rPr>
              <w:t>C</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left="11"/>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2"/>
              <w:jc w:val="center"/>
              <w:rPr>
                <w:rFonts w:ascii="Courier"/>
                <w:sz w:val="20"/>
              </w:rPr>
            </w:pPr>
            <w:r>
              <w:rPr>
                <w:rFonts w:ascii="Courier"/>
                <w:w w:val="99"/>
                <w:sz w:val="20"/>
              </w:rPr>
              <w:t>C</w:t>
            </w:r>
          </w:p>
        </w:tc>
        <w:tc>
          <w:tcPr>
            <w:tcW w:w="1417" w:type="dxa"/>
            <w:vMerge/>
            <w:tcBorders>
              <w:top w:val="nil"/>
              <w:left w:val="single" w:sz="4" w:space="0" w:color="000000"/>
              <w:right w:val="single" w:sz="4" w:space="0" w:color="000000"/>
            </w:tcBorders>
          </w:tcPr>
          <w:p>
            <w:pPr>
              <w:rPr>
                <w:sz w:val="2"/>
                <w:szCs w:val="2"/>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6"/>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98"/>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4"/>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05"/>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1"/>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102"/>
              <w:jc w:val="right"/>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1"/>
              <w:jc w:val="center"/>
              <w:rPr>
                <w:rFonts w:ascii="Courier"/>
                <w:sz w:val="20"/>
              </w:rPr>
            </w:pPr>
            <w:r>
              <w:rPr>
                <w:rFonts w:ascii="Courier"/>
                <w:w w:val="99"/>
                <w:sz w:val="20"/>
              </w:rPr>
              <w:t>S</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right="5"/>
              <w:jc w:val="center"/>
              <w:rPr>
                <w:rFonts w:ascii="Courier"/>
                <w:sz w:val="20"/>
              </w:rPr>
            </w:pPr>
            <w:r>
              <w:rPr>
                <w:rFonts w:ascii="Courier"/>
                <w:w w:val="99"/>
                <w:sz w:val="20"/>
              </w:rPr>
              <w:t>S</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4"/>
              <w:jc w:val="center"/>
              <w:rPr>
                <w:rFonts w:ascii="Courier"/>
                <w:sz w:val="20"/>
              </w:rPr>
            </w:pPr>
            <w:r>
              <w:rPr>
                <w:rFonts w:ascii="Courier"/>
                <w:w w:val="99"/>
                <w:sz w:val="20"/>
              </w:rPr>
              <w:t>C</w:t>
            </w:r>
          </w:p>
        </w:tc>
        <w:tc>
          <w:tcPr>
            <w:tcW w:w="135" w:type="dxa"/>
            <w:tcBorders>
              <w:top w:val="nil"/>
              <w:left w:val="single" w:sz="4" w:space="0" w:color="000000"/>
              <w:bottom w:val="nil"/>
            </w:tcBorders>
          </w:tcPr>
          <w:p>
            <w:pPr>
              <w:pStyle w:val="TableParagraph"/>
              <w:rPr>
                <w:sz w:val="18"/>
              </w:rPr>
            </w:pPr>
          </w:p>
        </w:tc>
      </w:tr>
      <w:tr>
        <w:trPr>
          <w:trHeight w:val="260"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right="90"/>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25"/>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15"/>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left="19"/>
              <w:jc w:val="center"/>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right="94"/>
              <w:jc w:val="right"/>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7"/>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11"/>
              <w:rPr>
                <w:rFonts w:ascii="Courier"/>
                <w:sz w:val="20"/>
              </w:rPr>
            </w:pPr>
            <w:r>
              <w:rPr>
                <w:rFonts w:ascii="Courier"/>
                <w:w w:val="99"/>
                <w:sz w:val="20"/>
              </w:rPr>
              <w:t>S</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left="11"/>
              <w:jc w:val="center"/>
              <w:rPr>
                <w:rFonts w:ascii="Courier"/>
                <w:sz w:val="20"/>
              </w:rPr>
            </w:pPr>
            <w:r>
              <w:rPr>
                <w:rFonts w:ascii="Courier"/>
                <w:w w:val="99"/>
                <w:sz w:val="20"/>
              </w:rPr>
              <w:t>S</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2"/>
              <w:jc w:val="center"/>
              <w:rPr>
                <w:rFonts w:ascii="Courier"/>
                <w:sz w:val="20"/>
              </w:rPr>
            </w:pPr>
            <w:r>
              <w:rPr>
                <w:rFonts w:ascii="Courier"/>
                <w:w w:val="99"/>
                <w:sz w:val="20"/>
              </w:rPr>
              <w:t>C</w:t>
            </w:r>
          </w:p>
        </w:tc>
        <w:tc>
          <w:tcPr>
            <w:tcW w:w="1417" w:type="dxa"/>
            <w:vMerge/>
            <w:tcBorders>
              <w:top w:val="nil"/>
              <w:left w:val="single" w:sz="4" w:space="0" w:color="000000"/>
              <w:right w:val="single" w:sz="4" w:space="0" w:color="000000"/>
            </w:tcBorders>
          </w:tcPr>
          <w:p>
            <w:pPr>
              <w:rPr>
                <w:sz w:val="2"/>
                <w:szCs w:val="2"/>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6"/>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98"/>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4"/>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05"/>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1"/>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102"/>
              <w:jc w:val="right"/>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1"/>
              <w:jc w:val="center"/>
              <w:rPr>
                <w:rFonts w:ascii="Courier"/>
                <w:sz w:val="20"/>
              </w:rPr>
            </w:pPr>
            <w:r>
              <w:rPr>
                <w:rFonts w:ascii="Courier"/>
                <w:w w:val="99"/>
                <w:sz w:val="20"/>
              </w:rPr>
              <w:t>S</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right="5"/>
              <w:jc w:val="center"/>
              <w:rPr>
                <w:rFonts w:ascii="Courier"/>
                <w:sz w:val="20"/>
              </w:rPr>
            </w:pPr>
            <w:r>
              <w:rPr>
                <w:rFonts w:ascii="Courier"/>
                <w:w w:val="99"/>
                <w:sz w:val="20"/>
              </w:rPr>
              <w:t>S</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4"/>
              <w:jc w:val="center"/>
              <w:rPr>
                <w:rFonts w:ascii="Courier"/>
                <w:sz w:val="20"/>
              </w:rPr>
            </w:pPr>
            <w:r>
              <w:rPr>
                <w:rFonts w:ascii="Courier"/>
                <w:w w:val="99"/>
                <w:sz w:val="20"/>
              </w:rPr>
              <w:t>C</w:t>
            </w:r>
          </w:p>
        </w:tc>
        <w:tc>
          <w:tcPr>
            <w:tcW w:w="135" w:type="dxa"/>
            <w:tcBorders>
              <w:top w:val="nil"/>
              <w:left w:val="single" w:sz="4" w:space="0" w:color="000000"/>
              <w:bottom w:val="nil"/>
            </w:tcBorders>
          </w:tcPr>
          <w:p>
            <w:pPr>
              <w:pStyle w:val="TableParagraph"/>
              <w:rPr>
                <w:sz w:val="18"/>
              </w:rPr>
            </w:pPr>
          </w:p>
        </w:tc>
      </w:tr>
      <w:tr>
        <w:trPr>
          <w:trHeight w:val="261"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right="90"/>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25"/>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15"/>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left="19"/>
              <w:jc w:val="center"/>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right="94"/>
              <w:jc w:val="right"/>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7"/>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417" w:type="dxa"/>
            <w:vMerge/>
            <w:tcBorders>
              <w:top w:val="nil"/>
              <w:left w:val="single" w:sz="4" w:space="0" w:color="000000"/>
              <w:right w:val="single" w:sz="4" w:space="0" w:color="000000"/>
            </w:tcBorders>
          </w:tcPr>
          <w:p>
            <w:pPr>
              <w:rPr>
                <w:sz w:val="2"/>
                <w:szCs w:val="2"/>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6"/>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98"/>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4"/>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05"/>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1"/>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102"/>
              <w:jc w:val="right"/>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35" w:type="dxa"/>
            <w:tcBorders>
              <w:top w:val="nil"/>
              <w:left w:val="single" w:sz="4" w:space="0" w:color="000000"/>
              <w:bottom w:val="nil"/>
            </w:tcBorders>
          </w:tcPr>
          <w:p>
            <w:pPr>
              <w:pStyle w:val="TableParagraph"/>
              <w:rPr>
                <w:sz w:val="18"/>
              </w:rPr>
            </w:pPr>
          </w:p>
        </w:tc>
      </w:tr>
      <w:tr>
        <w:trPr>
          <w:trHeight w:val="261"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3"/>
              <w:ind w:right="90"/>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3"/>
              <w:ind w:left="25"/>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3"/>
              <w:ind w:left="115"/>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3"/>
              <w:ind w:left="19"/>
              <w:jc w:val="center"/>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3"/>
              <w:ind w:left="20"/>
              <w:jc w:val="center"/>
              <w:rPr>
                <w:rFonts w:ascii="Courier"/>
                <w:sz w:val="20"/>
              </w:rPr>
            </w:pPr>
            <w:r>
              <w:rPr>
                <w:rFonts w:ascii="Courier"/>
                <w:w w:val="99"/>
                <w:sz w:val="20"/>
              </w:rPr>
              <w:t>C</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3"/>
              <w:ind w:right="94"/>
              <w:jc w:val="right"/>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3"/>
              <w:ind w:left="17"/>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417" w:type="dxa"/>
            <w:vMerge/>
            <w:tcBorders>
              <w:top w:val="nil"/>
              <w:left w:val="single" w:sz="4" w:space="0" w:color="000000"/>
              <w:right w:val="single" w:sz="4" w:space="0" w:color="000000"/>
            </w:tcBorders>
          </w:tcPr>
          <w:p>
            <w:pPr>
              <w:rPr>
                <w:sz w:val="2"/>
                <w:szCs w:val="2"/>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5"/>
              <w:ind w:left="6"/>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5"/>
              <w:ind w:right="98"/>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5"/>
              <w:ind w:left="4"/>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5"/>
              <w:ind w:left="105"/>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5"/>
              <w:ind w:left="1"/>
              <w:jc w:val="center"/>
              <w:rPr>
                <w:rFonts w:ascii="Courier"/>
                <w:sz w:val="20"/>
              </w:rPr>
            </w:pPr>
            <w:r>
              <w:rPr>
                <w:rFonts w:ascii="Courier"/>
                <w:w w:val="99"/>
                <w:sz w:val="20"/>
              </w:rPr>
              <w:t>C</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5"/>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5"/>
              <w:ind w:right="102"/>
              <w:jc w:val="right"/>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35" w:type="dxa"/>
            <w:tcBorders>
              <w:top w:val="nil"/>
              <w:left w:val="single" w:sz="4" w:space="0" w:color="000000"/>
              <w:bottom w:val="nil"/>
            </w:tcBorders>
          </w:tcPr>
          <w:p>
            <w:pPr>
              <w:pStyle w:val="TableParagraph"/>
              <w:rPr>
                <w:sz w:val="18"/>
              </w:rPr>
            </w:pPr>
          </w:p>
        </w:tc>
      </w:tr>
      <w:tr>
        <w:trPr>
          <w:trHeight w:val="260"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25"/>
              <w:jc w:val="center"/>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15"/>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left="19"/>
              <w:jc w:val="center"/>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4"/>
              <w:ind w:right="94"/>
              <w:jc w:val="right"/>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7"/>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417" w:type="dxa"/>
            <w:vMerge/>
            <w:tcBorders>
              <w:top w:val="nil"/>
              <w:left w:val="single" w:sz="4" w:space="0" w:color="000000"/>
              <w:right w:val="single" w:sz="4" w:space="0" w:color="000000"/>
            </w:tcBorders>
          </w:tcPr>
          <w:p>
            <w:pPr>
              <w:rPr>
                <w:sz w:val="2"/>
                <w:szCs w:val="2"/>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98"/>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4"/>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05"/>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1"/>
              <w:jc w:val="center"/>
              <w:rPr>
                <w:rFonts w:ascii="Courier"/>
                <w:sz w:val="20"/>
              </w:rPr>
            </w:pPr>
            <w:r>
              <w:rPr>
                <w:rFonts w:ascii="Courier"/>
                <w:w w:val="99"/>
                <w:sz w:val="20"/>
              </w:rPr>
              <w:t>C</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102"/>
              <w:jc w:val="right"/>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35" w:type="dxa"/>
            <w:tcBorders>
              <w:top w:val="nil"/>
              <w:left w:val="single" w:sz="4" w:space="0" w:color="000000"/>
              <w:bottom w:val="nil"/>
            </w:tcBorders>
          </w:tcPr>
          <w:p>
            <w:pPr>
              <w:pStyle w:val="TableParagraph"/>
              <w:rPr>
                <w:sz w:val="18"/>
              </w:rPr>
            </w:pPr>
          </w:p>
        </w:tc>
      </w:tr>
      <w:tr>
        <w:trPr>
          <w:trHeight w:val="260"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4"/>
              <w:ind w:left="115"/>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417" w:type="dxa"/>
            <w:vMerge/>
            <w:tcBorders>
              <w:top w:val="nil"/>
              <w:left w:val="single" w:sz="4" w:space="0" w:color="000000"/>
              <w:right w:val="single" w:sz="4" w:space="0" w:color="000000"/>
            </w:tcBorders>
          </w:tcPr>
          <w:p>
            <w:pPr>
              <w:rPr>
                <w:sz w:val="2"/>
                <w:szCs w:val="2"/>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4"/>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35" w:type="dxa"/>
            <w:tcBorders>
              <w:top w:val="nil"/>
              <w:left w:val="single" w:sz="4" w:space="0" w:color="000000"/>
              <w:bottom w:val="nil"/>
            </w:tcBorders>
          </w:tcPr>
          <w:p>
            <w:pPr>
              <w:pStyle w:val="TableParagraph"/>
              <w:rPr>
                <w:sz w:val="18"/>
              </w:rPr>
            </w:pPr>
          </w:p>
        </w:tc>
      </w:tr>
      <w:tr>
        <w:trPr>
          <w:trHeight w:val="276" w:hRule="atLeast"/>
        </w:trPr>
        <w:tc>
          <w:tcPr>
            <w:tcW w:w="113" w:type="dxa"/>
            <w:tcBorders>
              <w:top w:val="nil"/>
              <w:right w:val="single" w:sz="4" w:space="0" w:color="000000"/>
            </w:tcBorders>
          </w:tcPr>
          <w:p>
            <w:pPr>
              <w:pStyle w:val="TableParagraph"/>
              <w:rPr>
                <w:sz w:val="18"/>
              </w:rPr>
            </w:pPr>
          </w:p>
        </w:tc>
        <w:tc>
          <w:tcPr>
            <w:tcW w:w="339"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1417" w:type="dxa"/>
            <w:vMerge/>
            <w:tcBorders>
              <w:top w:val="nil"/>
              <w:left w:val="single" w:sz="4" w:space="0" w:color="000000"/>
              <w:right w:val="single" w:sz="4" w:space="0" w:color="000000"/>
            </w:tcBorders>
          </w:tcPr>
          <w:p>
            <w:pPr>
              <w:rPr>
                <w:sz w:val="2"/>
                <w:szCs w:val="2"/>
              </w:rPr>
            </w:pPr>
          </w:p>
        </w:tc>
        <w:tc>
          <w:tcPr>
            <w:tcW w:w="339"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135" w:type="dxa"/>
            <w:tcBorders>
              <w:top w:val="nil"/>
              <w:left w:val="single" w:sz="4" w:space="0" w:color="000000"/>
            </w:tcBorders>
          </w:tcPr>
          <w:p>
            <w:pPr>
              <w:pStyle w:val="TableParagraph"/>
              <w:rPr>
                <w:sz w:val="18"/>
              </w:rPr>
            </w:pPr>
          </w:p>
        </w:tc>
      </w:tr>
    </w:tbl>
    <w:p>
      <w:pPr>
        <w:spacing w:after="0"/>
        <w:rPr>
          <w:sz w:val="18"/>
        </w:rPr>
        <w:sectPr>
          <w:pgSz w:w="11900" w:h="16840"/>
          <w:pgMar w:header="230" w:footer="408" w:top="560" w:bottom="600" w:left="1000" w:right="860"/>
        </w:sectPr>
      </w:pPr>
    </w:p>
    <w:p>
      <w:pPr>
        <w:pStyle w:val="BodyText"/>
      </w:pPr>
    </w:p>
    <w:p>
      <w:pPr>
        <w:pStyle w:val="BodyText"/>
        <w:spacing w:before="2"/>
        <w:rPr>
          <w:sz w:val="18"/>
        </w:rPr>
      </w:pPr>
    </w:p>
    <w:p>
      <w:pPr>
        <w:pStyle w:val="BodyText"/>
        <w:ind w:left="628"/>
      </w:pPr>
      <w:r>
        <w:rPr/>
        <w:pict>
          <v:group style="position:absolute;margin-left:95.981003pt;margin-top:48.876244pt;width:159.85pt;height:111pt;mso-position-horizontal-relative:page;mso-position-vertical-relative:paragraph;z-index:-2453680" coordorigin="1920,978" coordsize="3197,2220">
            <v:shape style="position:absolute;left:1949;top:1007;width:3137;height:2160" coordorigin="1950,1008" coordsize="3137,2160" path="m2050,1080l2037,1156,2026,1233,2017,1310,2010,1387,2003,1464,1997,1540,1991,1617,1985,1694,1979,1771,1971,1848,1961,1924,1950,2001,1956,2087,1961,2170,1965,2251,1971,2330,1978,2407,1988,2482,2003,2557,2022,2630,2048,2703,2081,2776,2122,2848,2173,2920,2227,2985,2293,3045,2340,3058,2355,3062,2440,3093,2524,3121,2610,3146,2698,3168,2778,3155,2858,3141,2935,3118,3003,3081,3062,3029,3070,3012,3104,2973,3160,2923,3222,2883,3290,2853,3366,2832,3427,2835,3489,2837,3550,2841,3610,2851,3656,2889,3670,2904,3729,2945,3786,2968,3857,2983,3894,2992,3978,2972,4064,2956,4151,2941,4237,2920,4254,2898,4274,2871,4290,2843,4297,2815,4293,2745,4279,2670,4254,2595,4218,2532,4162,2482,4095,2443,4019,2419,3973,2407,3962,2394,3950,2382,3939,2369,3932,2354,3938,2330,3977,2267,4028,2225,4101,2184,4114,2176,4197,2180,4281,2185,4364,2189,4448,2193,4531,2195,4615,2195,4698,2192,4781,2185,4863,2175,4945,2160,4989,2118,5056,2032,5086,1982,5081,1910,5076,1842,5068,1777,5053,1716,5029,1660,4991,1608,4937,1562,4863,1521,4804,1509,4784,1504,4698,1507,4613,1509,4530,1511,4448,1512,4367,1513,4285,1512,4204,1511,4123,1508,4042,1505,3959,1500,3875,1495,3790,1488,3750,1481,3708,1475,3630,1452,3529,1396,3469,1363,3449,1335,3439,1322,3428,1310,3413,1301,3396,1293,3380,1285,3366,1274,3360,1262,3357,1248,3354,1233,3286,1178,3223,1150,3155,1131,3082,1116,2987,1125,2911,1132,2847,1137,2787,1140,2726,1141,2654,1140,2567,1138,2456,1132,2425,1125,2393,1118,2362,1109,2334,1096,2319,1088,2305,1079,2289,1070,2274,1063,2244,1052,2213,1043,2182,1035,2151,1027,2134,1021,2114,1014,2098,1010,2091,1008,2067,1039,2055,1052,2051,1061,2050,1080xe" filled="false" stroked="true" strokeweight="3pt" strokecolor="#808080">
              <v:path arrowok="t"/>
              <v:stroke dashstyle="solid"/>
            </v:shape>
            <v:shape style="position:absolute;left:2069;top:1273;width:1661;height:1577" coordorigin="2070,1274" coordsize="1661,1577" path="m3387,1274l3300,1279,3223,1283,3153,1288,3085,1295,3016,1308,2941,1327,2909,1369,2896,1391,2884,1421,2859,1488,2854,1503,2848,1520,2842,1534,2840,1540,2848,1628,2857,1707,2864,1779,2871,1849,2875,1918,2877,1990,2875,2067,2869,2152,2859,2248,2849,2309,2833,2342,2805,2363,2758,2390,2726,2428,2684,2466,2640,2502,2598,2532,2578,2541,2557,2549,2536,2557,2516,2568,2473,2597,2457,2612,2455,2620,2451,2626,2429,2636,2374,2656,2301,2674,2213,2691,2129,2713,2070,2743m3730,1488l3702,1559,3673,1628,3643,1695,3610,1761,3575,1825,3537,1889,3494,1953,3447,2018,3425,2054,3411,2094,3400,2136,3387,2176,3360,2247,3333,2317,3308,2388,3286,2460,3291,2517,3296,2575,3301,2632,3306,2690,3311,2737,3318,2790,3325,2833,3327,2851e" filled="false" stroked="true" strokeweight="1pt" strokecolor="#808080">
              <v:path arrowok="t"/>
              <v:stroke dashstyle="solid"/>
            </v:shape>
            <v:shape style="position:absolute;left:4238;top:1787;width:587;height:300" coordorigin="4238,1788" coordsize="587,300" path="m4683,1788l4639,1800,4621,1805,4615,1805,4609,1800,4590,1795,4544,1790,4460,1788,4410,1789,4359,1794,4308,1800,4256,1804,4238,1875,4240,1942,4259,2007,4297,2071,4354,2059,4401,2060,4446,2071,4501,2088,4546,2080,4592,2073,4639,2064,4683,2054,4718,2043,4758,2031,4790,2022,4803,2018,4810,2005,4817,1992,4822,1979,4825,1965,4808,1910,4768,1868,4721,1830,4683,1788xe" filled="false" stroked="true" strokeweight="1pt" strokecolor="#808080">
              <v:path arrowok="t"/>
              <v:stroke dashstyle="solid"/>
            </v:shape>
            <w10:wrap type="none"/>
          </v:group>
        </w:pict>
      </w:r>
      <w:r>
        <w:rPr/>
        <w:pict>
          <v:group style="position:absolute;margin-left:340.781006pt;margin-top:48.036243pt;width:162.25pt;height:110.05pt;mso-position-horizontal-relative:page;mso-position-vertical-relative:paragraph;z-index:-2453656" coordorigin="6816,961" coordsize="3245,2201">
            <v:shape style="position:absolute;left:6845;top:990;width:3185;height:2141" coordorigin="6846,991" coordsize="3185,2141" path="m6949,1060l6935,1137,6924,1213,6914,1289,6907,1365,6900,1441,6894,1518,6888,1594,6881,1670,6875,1746,6867,1822,6857,1899,6846,1975,6852,2060,6857,2142,6861,2223,6867,2301,6874,2377,6885,2452,6899,2526,6919,2599,6945,2671,6978,2743,7020,2815,7071,2887,7128,2951,7196,3009,7241,3024,7256,3028,7325,3052,7394,3075,7463,3096,7534,3115,7606,3132,7686,3119,7767,3105,7845,3082,7914,3045,7974,2994,7983,2978,8017,2940,8075,2889,8137,2850,8206,2820,8283,2798,8346,2801,8409,2803,8470,2807,8530,2817,8578,2855,8593,2870,8652,2911,8708,2934,8782,2949,8818,2956,8905,2937,8993,2922,9081,2907,9169,2887,9206,2838,9229,2781,9225,2712,9211,2636,9185,2563,9147,2500,9091,2452,9025,2414,8947,2390,8900,2378,8889,2366,8877,2353,8866,2340,8859,2325,8865,2300,8904,2238,8956,2196,9030,2157,9044,2150,9120,2154,9197,2158,9274,2161,9350,2165,9428,2167,9505,2167,9582,2166,9658,2162,9735,2155,9811,2145,9886,2131,9932,2090,10000,2006,10030,1956,10025,1885,10020,1817,10012,1753,9997,1692,9972,1636,9934,1585,9879,1539,9805,1500,9743,1486,9723,1483,9642,1485,9562,1487,9484,1489,9406,1490,9330,1491,9254,1491,9178,1490,9102,1488,9026,1485,8949,1481,8872,1477,8794,1471,8715,1464,8673,1458,8631,1452,8552,1430,8449,1375,8386,1341,8377,1328,8368,1315,8357,1301,8346,1288,8331,1279,8314,1272,8298,1265,8283,1255,8277,1242,8275,1227,8271,1213,8202,1159,8138,1131,8070,1112,7998,1096,7901,1105,7823,1112,7757,1118,7696,1121,7633,1122,7561,1121,7472,1118,7359,1113,7328,1106,7296,1099,7265,1091,7237,1080,7221,1070,7206,1061,7190,1052,7174,1044,7144,1034,7113,1025,7083,1016,7052,1008,7033,1003,7013,997,6996,993,6990,991,6964,1020,6952,1033,6949,1041,6949,1060xe" filled="false" stroked="true" strokeweight="3pt" strokecolor="#808080">
              <v:path arrowok="t"/>
              <v:stroke dashstyle="solid"/>
            </v:shape>
            <v:shape style="position:absolute;left:6968;top:1254;width:1685;height:1563" coordorigin="6968,1255" coordsize="1685,1563" path="m8305,1255l8217,1259,8139,1262,8068,1266,7999,1274,7929,1286,7854,1305,7820,1348,7806,1369,7795,1398,7770,1464,7764,1480,7757,1497,7752,1511,7750,1516,7759,1603,7767,1681,7775,1754,7781,1823,7785,1892,7787,1963,7785,2040,7780,2124,7770,2220,7760,2279,7743,2312,7714,2333,7666,2359,7633,2396,7592,2435,7547,2471,7503,2500,7484,2510,7462,2517,7441,2525,7422,2534,7377,2564,7362,2580,7360,2588,7355,2594,7333,2603,7278,2623,7203,2641,7113,2659,7028,2681,6968,2712m8653,1466l8625,1537,8595,1606,8565,1673,8532,1738,8496,1802,8457,1865,8414,1928,8367,1992,8345,2029,8330,2069,8318,2110,8305,2150,8278,2220,8251,2289,8225,2360,8202,2431,8207,2488,8212,2545,8217,2601,8223,2659,8228,2706,8235,2758,8240,2800,8242,2817e" filled="false" stroked="true" strokeweight="1pt" strokecolor="#808080">
              <v:path arrowok="t"/>
              <v:stroke dashstyle="solid"/>
            </v:shape>
            <v:shape style="position:absolute;left:8950;top:1523;width:917;height:540" coordorigin="8950,1524" coordsize="917,540" path="m9646,1524l9598,1540,9568,1551,9552,1556,9545,1556,9540,1554,9534,1549,9521,1542,9496,1536,9453,1530,9389,1525,9296,1524,9217,1527,9139,1536,9060,1547,8982,1557,8959,1641,8950,1722,8954,1802,8971,1879,9001,1955,9044,2030,9133,2010,9204,2013,9275,2033,9361,2064,9430,2049,9504,2034,9577,2017,9646,1999,9765,1960,9836,1936,9845,1913,9855,1889,9864,1865,9867,1840,9855,1772,9822,1716,9778,1668,9728,1624,9682,1577,9646,1524xe" filled="false" stroked="true" strokeweight="1pt" strokecolor="#808080">
              <v:path arrowok="t"/>
              <v:stroke dashstyle="solid"/>
            </v:shape>
            <v:shape style="position:absolute;left:7248;top:1096;width:978;height:1510" coordorigin="7248,1096" coordsize="978,1510" path="m7321,2606l7337,2602,7353,2598,7368,2594,7383,2589,7398,2580,7413,2569,7428,2559,7446,2553,7502,2546,7558,2543,7615,2540,7671,2536,7743,2520,7811,2502,7875,2479,7938,2448,7959,2421,7983,2391,8010,2363,8041,2342,8076,2330,8116,2319,8149,2311,8163,2308,8182,2313,8203,2319,8219,2323,8226,2325m7302,1096l7302,1199,7295,1290,7283,1368,7270,1435,7259,1492,7250,1540,7248,1579,7255,1610,7274,1635,7306,1654,7355,1668,7424,1677,7491,1682,7557,1686,7624,1689,7690,1694,7716,1688,7743,1683,7765,1679,7774,1677e" filled="false" stroked="true" strokeweight="1pt" strokecolor="#808080">
              <v:path arrowok="t"/>
              <v:stroke dashstyle="solid"/>
            </v:shape>
            <v:shape style="position:absolute;left:9045;top:1681;width:594;height:298" coordorigin="9046,1682" coordsize="594,298" path="m9495,1682l9452,1695,9433,1700,9428,1699,9422,1695,9402,1689,9356,1684,9270,1682,9218,1684,9166,1689,9115,1694,9063,1699,9046,1769,9047,1836,9066,1901,9104,1963,9162,1952,9209,1953,9255,1963,9310,1980,9357,1972,9404,1965,9450,1956,9495,1946,9532,1935,9573,1923,9606,1914,9620,1910,9626,1897,9632,1884,9637,1871,9639,1857,9622,1802,9582,1761,9534,1724,9495,1682xe" filled="false" stroked="true" strokeweight="1pt" strokecolor="#808080">
              <v:path arrowok="t"/>
              <v:stroke dashstyle="solid"/>
            </v:shape>
            <w10:wrap type="none"/>
          </v:group>
        </w:pict>
      </w:r>
      <w:r>
        <w:rPr/>
        <w:t>Figure 2.3.1.B</w:t>
      </w:r>
    </w:p>
    <w:p>
      <w:pPr>
        <w:pStyle w:val="BodyText"/>
      </w:pPr>
    </w:p>
    <w:p>
      <w:pPr>
        <w:pStyle w:val="BodyText"/>
        <w:spacing w:before="9" w:after="1"/>
        <w:rPr>
          <w:sz w:val="11"/>
        </w:rPr>
      </w:pPr>
    </w:p>
    <w:tbl>
      <w:tblPr>
        <w:tblW w:w="0" w:type="auto"/>
        <w:jc w:val="left"/>
        <w:tblInd w:w="7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3"/>
        <w:gridCol w:w="339"/>
        <w:gridCol w:w="337"/>
        <w:gridCol w:w="337"/>
        <w:gridCol w:w="339"/>
        <w:gridCol w:w="337"/>
        <w:gridCol w:w="339"/>
        <w:gridCol w:w="337"/>
        <w:gridCol w:w="337"/>
        <w:gridCol w:w="339"/>
        <w:gridCol w:w="337"/>
        <w:gridCol w:w="1559"/>
        <w:gridCol w:w="340"/>
        <w:gridCol w:w="338"/>
        <w:gridCol w:w="338"/>
        <w:gridCol w:w="340"/>
        <w:gridCol w:w="338"/>
        <w:gridCol w:w="340"/>
        <w:gridCol w:w="338"/>
        <w:gridCol w:w="338"/>
        <w:gridCol w:w="340"/>
        <w:gridCol w:w="338"/>
        <w:gridCol w:w="115"/>
      </w:tblGrid>
      <w:tr>
        <w:trPr>
          <w:trHeight w:val="261" w:hRule="atLeast"/>
        </w:trPr>
        <w:tc>
          <w:tcPr>
            <w:tcW w:w="113" w:type="dxa"/>
            <w:tcBorders>
              <w:bottom w:val="nil"/>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1559" w:type="dxa"/>
            <w:vMerge w:val="restart"/>
            <w:tcBorders>
              <w:left w:val="single" w:sz="4" w:space="0" w:color="000000"/>
              <w:right w:val="single" w:sz="4" w:space="0" w:color="000000"/>
            </w:tcBorders>
          </w:tcPr>
          <w:p>
            <w:pPr>
              <w:pStyle w:val="TableParagraph"/>
              <w:rPr>
                <w:sz w:val="20"/>
              </w:rPr>
            </w:pPr>
          </w:p>
          <w:p>
            <w:pPr>
              <w:pStyle w:val="TableParagraph"/>
              <w:rPr>
                <w:sz w:val="20"/>
              </w:rPr>
            </w:pPr>
          </w:p>
          <w:p>
            <w:pPr>
              <w:pStyle w:val="TableParagraph"/>
              <w:rPr>
                <w:sz w:val="20"/>
              </w:rPr>
            </w:pPr>
          </w:p>
          <w:p>
            <w:pPr>
              <w:pStyle w:val="TableParagraph"/>
              <w:spacing w:before="7"/>
              <w:rPr>
                <w:sz w:val="11"/>
              </w:rPr>
            </w:pPr>
          </w:p>
          <w:p>
            <w:pPr>
              <w:pStyle w:val="TableParagraph"/>
              <w:ind w:left="224"/>
              <w:rPr>
                <w:sz w:val="20"/>
              </w:rPr>
            </w:pPr>
            <w:r>
              <w:rPr>
                <w:sz w:val="20"/>
              </w:rPr>
              <w:pict>
                <v:group style="width:54pt;height:18pt;mso-position-horizontal-relative:char;mso-position-vertical-relative:line" coordorigin="0,0" coordsize="1080,360">
                  <v:shape style="position:absolute;left:0;top:0;width:1080;height:360" coordorigin="0,0" coordsize="1080,360" path="m720,0l720,360,960,240,780,240,780,120,960,120,720,0xm720,120l0,120,0,240,720,240,720,120xm960,120l780,120,780,240,960,240,1080,180,960,120xe" filled="true" fillcolor="#010101" stroked="false">
                    <v:path arrowok="t"/>
                    <v:fill type="solid"/>
                  </v:shape>
                </v:group>
              </w:pict>
            </w:r>
            <w:r>
              <w:rPr>
                <w:sz w:val="20"/>
              </w:rPr>
            </w:r>
          </w:p>
        </w:tc>
        <w:tc>
          <w:tcPr>
            <w:tcW w:w="340"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left w:val="single" w:sz="4" w:space="0" w:color="000000"/>
              <w:bottom w:val="nil"/>
            </w:tcBorders>
          </w:tcPr>
          <w:p>
            <w:pPr>
              <w:pStyle w:val="TableParagraph"/>
              <w:rPr>
                <w:sz w:val="18"/>
              </w:rPr>
            </w:pPr>
          </w:p>
        </w:tc>
      </w:tr>
      <w:tr>
        <w:trPr>
          <w:trHeight w:val="262"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55"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25"/>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9"/>
              <w:ind w:right="92"/>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left="3"/>
              <w:jc w:val="center"/>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9"/>
              <w:ind w:right="4"/>
              <w:jc w:val="center"/>
              <w:rPr>
                <w:rFonts w:ascii="Courier"/>
                <w:sz w:val="20"/>
              </w:rPr>
            </w:pPr>
            <w:r>
              <w:rPr>
                <w:rFonts w:ascii="Courier"/>
                <w:w w:val="99"/>
                <w:sz w:val="20"/>
              </w:rPr>
              <w:t>F</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53"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9"/>
              <w:ind w:left="117"/>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23"/>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17"/>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9"/>
              <w:ind w:left="110"/>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9"/>
              <w:ind w:right="101"/>
              <w:jc w:val="right"/>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left="103"/>
              <w:rPr>
                <w:rFonts w:ascii="Courier"/>
                <w:sz w:val="20"/>
              </w:rPr>
            </w:pPr>
            <w:r>
              <w:rPr>
                <w:rFonts w:ascii="Courier"/>
                <w:w w:val="99"/>
                <w:sz w:val="20"/>
              </w:rPr>
              <w:t>F</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right="6"/>
              <w:jc w:val="center"/>
              <w:rPr>
                <w:rFonts w:ascii="Courier"/>
                <w:sz w:val="20"/>
              </w:rPr>
            </w:pPr>
            <w:r>
              <w:rPr>
                <w:rFonts w:ascii="Courier"/>
                <w:w w:val="99"/>
                <w:sz w:val="20"/>
              </w:rPr>
              <w:t>F</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right="13"/>
              <w:jc w:val="center"/>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9"/>
              <w:ind w:left="92"/>
              <w:rPr>
                <w:rFonts w:ascii="Courier"/>
                <w:sz w:val="20"/>
              </w:rPr>
            </w:pPr>
            <w:r>
              <w:rPr>
                <w:rFonts w:ascii="Courier"/>
                <w:w w:val="99"/>
                <w:sz w:val="20"/>
              </w:rPr>
              <w:t>S</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53"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25"/>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9"/>
              <w:ind w:right="92"/>
              <w:jc w:val="right"/>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9"/>
              <w:ind w:left="112"/>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111"/>
              <w:rPr>
                <w:rFonts w:ascii="Courier"/>
                <w:sz w:val="20"/>
              </w:rPr>
            </w:pPr>
            <w:r>
              <w:rPr>
                <w:rFonts w:ascii="Courier"/>
                <w:w w:val="99"/>
                <w:sz w:val="20"/>
              </w:rPr>
              <w:t>S</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109"/>
              <w:rPr>
                <w:rFonts w:ascii="Courier"/>
                <w:sz w:val="20"/>
              </w:rPr>
            </w:pPr>
            <w:r>
              <w:rPr>
                <w:rFonts w:ascii="Courier"/>
                <w:w w:val="99"/>
                <w:sz w:val="20"/>
              </w:rPr>
              <w:t>C</w:t>
            </w:r>
          </w:p>
        </w:tc>
        <w:tc>
          <w:tcPr>
            <w:tcW w:w="1559" w:type="dxa"/>
            <w:vMerge/>
            <w:tcBorders>
              <w:top w:val="nil"/>
              <w:left w:val="single" w:sz="4" w:space="0" w:color="000000"/>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left="3"/>
              <w:jc w:val="center"/>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9"/>
              <w:ind w:right="4"/>
              <w:jc w:val="center"/>
              <w:rPr>
                <w:rFonts w:ascii="Courier"/>
                <w:sz w:val="20"/>
              </w:rPr>
            </w:pPr>
            <w:r>
              <w:rPr>
                <w:rFonts w:ascii="Courier"/>
                <w:w w:val="99"/>
                <w:sz w:val="20"/>
              </w:rPr>
              <w:t>F</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9"/>
              <w:ind w:right="110"/>
              <w:jc w:val="right"/>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left="94"/>
              <w:rPr>
                <w:rFonts w:ascii="Courier"/>
                <w:sz w:val="20"/>
              </w:rPr>
            </w:pPr>
            <w:r>
              <w:rPr>
                <w:rFonts w:ascii="Courier"/>
                <w:w w:val="99"/>
                <w:sz w:val="20"/>
              </w:rPr>
              <w:t>S</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left="90"/>
              <w:rPr>
                <w:rFonts w:ascii="Courier"/>
                <w:sz w:val="20"/>
              </w:rPr>
            </w:pPr>
            <w:r>
              <w:rPr>
                <w:rFonts w:ascii="Courier"/>
                <w:w w:val="99"/>
                <w:sz w:val="20"/>
              </w:rPr>
              <w:t>C</w:t>
            </w:r>
          </w:p>
        </w:tc>
        <w:tc>
          <w:tcPr>
            <w:tcW w:w="115" w:type="dxa"/>
            <w:tcBorders>
              <w:top w:val="nil"/>
              <w:left w:val="single" w:sz="4" w:space="0" w:color="000000"/>
              <w:bottom w:val="nil"/>
            </w:tcBorders>
          </w:tcPr>
          <w:p>
            <w:pPr>
              <w:pStyle w:val="TableParagraph"/>
              <w:rPr>
                <w:sz w:val="18"/>
              </w:rPr>
            </w:pPr>
          </w:p>
        </w:tc>
      </w:tr>
      <w:tr>
        <w:trPr>
          <w:trHeight w:val="255"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9"/>
              <w:ind w:left="117"/>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23"/>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17"/>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9"/>
              <w:ind w:right="101"/>
              <w:jc w:val="right"/>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left="103"/>
              <w:rPr>
                <w:rFonts w:ascii="Courier"/>
                <w:sz w:val="20"/>
              </w:rPr>
            </w:pPr>
            <w:r>
              <w:rPr>
                <w:rFonts w:ascii="Courier"/>
                <w:w w:val="99"/>
                <w:sz w:val="20"/>
              </w:rPr>
              <w:t>G</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right="6"/>
              <w:jc w:val="center"/>
              <w:rPr>
                <w:rFonts w:ascii="Courier"/>
                <w:sz w:val="20"/>
              </w:rPr>
            </w:pPr>
            <w:r>
              <w:rPr>
                <w:rFonts w:ascii="Courier"/>
                <w:w w:val="99"/>
                <w:sz w:val="20"/>
              </w:rPr>
              <w:t>F</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right="13"/>
              <w:jc w:val="center"/>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53"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25"/>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9"/>
              <w:ind w:right="92"/>
              <w:jc w:val="right"/>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9"/>
              <w:ind w:left="112"/>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left="3"/>
              <w:jc w:val="center"/>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9"/>
              <w:ind w:right="4"/>
              <w:jc w:val="center"/>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9"/>
              <w:ind w:right="110"/>
              <w:jc w:val="right"/>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53"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23"/>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9"/>
              <w:ind w:left="17"/>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left="103"/>
              <w:rPr>
                <w:rFonts w:ascii="Courier"/>
                <w:sz w:val="20"/>
              </w:rPr>
            </w:pPr>
            <w:r>
              <w:rPr>
                <w:rFonts w:ascii="Courier"/>
                <w:w w:val="99"/>
                <w:sz w:val="20"/>
              </w:rPr>
              <w:t>G</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right="6"/>
              <w:jc w:val="center"/>
              <w:rPr>
                <w:rFonts w:ascii="Courier"/>
                <w:sz w:val="20"/>
              </w:rPr>
            </w:pPr>
            <w:r>
              <w:rPr>
                <w:rFonts w:ascii="Courier"/>
                <w:w w:val="99"/>
                <w:sz w:val="20"/>
              </w:rPr>
              <w:t>C</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9"/>
              <w:ind w:right="13"/>
              <w:jc w:val="center"/>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55"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60" w:hRule="atLeast"/>
        </w:trPr>
        <w:tc>
          <w:tcPr>
            <w:tcW w:w="113" w:type="dxa"/>
            <w:tcBorders>
              <w:top w:val="nil"/>
              <w:right w:val="single" w:sz="4" w:space="0" w:color="000000"/>
            </w:tcBorders>
          </w:tcPr>
          <w:p>
            <w:pPr>
              <w:pStyle w:val="TableParagraph"/>
              <w:rPr>
                <w:sz w:val="18"/>
              </w:rPr>
            </w:pPr>
          </w:p>
        </w:tc>
        <w:tc>
          <w:tcPr>
            <w:tcW w:w="339" w:type="dxa"/>
            <w:tcBorders>
              <w:top w:val="single" w:sz="4" w:space="0" w:color="000000"/>
              <w:left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right w:val="single" w:sz="4" w:space="0" w:color="000000"/>
            </w:tcBorders>
          </w:tcPr>
          <w:p>
            <w:pPr>
              <w:pStyle w:val="TableParagraph"/>
              <w:rPr>
                <w:sz w:val="18"/>
              </w:rPr>
            </w:pPr>
          </w:p>
        </w:tc>
        <w:tc>
          <w:tcPr>
            <w:tcW w:w="1559" w:type="dxa"/>
            <w:vMerge/>
            <w:tcBorders>
              <w:top w:val="nil"/>
              <w:left w:val="single" w:sz="4" w:space="0" w:color="000000"/>
              <w:right w:val="single" w:sz="4" w:space="0" w:color="000000"/>
            </w:tcBorders>
          </w:tcPr>
          <w:p>
            <w:pPr>
              <w:rPr>
                <w:sz w:val="2"/>
                <w:szCs w:val="2"/>
              </w:rPr>
            </w:pPr>
          </w:p>
        </w:tc>
        <w:tc>
          <w:tcPr>
            <w:tcW w:w="340"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thickThinMediumGap" w:sz="6" w:space="0" w:color="000000"/>
              <w:right w:val="single" w:sz="4" w:space="0" w:color="000000"/>
            </w:tcBorders>
          </w:tcPr>
          <w:p>
            <w:pPr>
              <w:pStyle w:val="TableParagraph"/>
              <w:rPr>
                <w:sz w:val="18"/>
              </w:rPr>
            </w:pPr>
          </w:p>
        </w:tc>
        <w:tc>
          <w:tcPr>
            <w:tcW w:w="115" w:type="dxa"/>
            <w:tcBorders>
              <w:top w:val="nil"/>
              <w:left w:val="single" w:sz="4" w:space="0" w:color="000000"/>
            </w:tcBorders>
          </w:tcPr>
          <w:p>
            <w:pPr>
              <w:pStyle w:val="TableParagraph"/>
              <w:rPr>
                <w:sz w:val="18"/>
              </w:rPr>
            </w:pPr>
          </w:p>
        </w:tc>
      </w:tr>
    </w:tbl>
    <w:p>
      <w:pPr>
        <w:pStyle w:val="BodyText"/>
        <w:spacing w:before="4"/>
        <w:rPr>
          <w:sz w:val="30"/>
        </w:rPr>
      </w:pPr>
    </w:p>
    <w:p>
      <w:pPr>
        <w:pStyle w:val="BodyText"/>
        <w:ind w:left="628"/>
      </w:pPr>
      <w:r>
        <w:rPr/>
        <w:pict>
          <v:group style="position:absolute;margin-left:93.460999pt;margin-top:48.876755pt;width:159.85pt;height:111pt;mso-position-horizontal-relative:page;mso-position-vertical-relative:paragraph;z-index:-2453632" coordorigin="1869,978" coordsize="3197,2220">
            <v:shape style="position:absolute;left:1899;top:1007;width:3137;height:2160" coordorigin="1899,1008" coordsize="3137,2160" path="m2000,1077l1987,1154,1976,1231,1967,1308,1959,1384,1952,1461,1946,1538,1940,1615,1934,1692,1927,1768,1919,1845,1910,1922,1899,1999,1905,2084,1910,2167,1915,2248,1920,2327,1928,2404,1938,2480,1952,2554,1972,2628,1997,2701,2030,2773,2072,2845,2122,2918,2177,2984,2242,3043,2288,3055,2302,3060,2371,3085,2439,3109,2508,3131,2577,3150,2648,3168,2726,3154,2806,3138,2883,3115,2950,3079,3011,3027,3019,3010,3051,2971,3109,2921,3172,2881,3240,2851,3315,2829,3376,2832,3437,2834,3498,2838,3558,2848,3605,2886,3620,2901,3678,2943,3769,2974,3806,2981,3841,2990,3926,2969,4013,2954,4100,2939,4186,2918,4204,2895,4224,2869,4240,2840,4246,2812,4242,2743,4228,2667,4203,2593,4165,2529,4110,2480,4045,2440,3968,2417,3922,2404,3912,2392,3899,2380,3888,2367,3882,2352,3888,2328,3927,2264,3978,2223,4050,2183,4064,2176,4146,2180,4229,2184,4313,2188,4396,2191,4480,2193,4564,2193,4647,2190,4730,2183,4813,2173,4894,2157,4938,2116,5006,2031,5036,1980,5031,1908,5026,1840,5017,1775,5003,1714,4978,1658,4941,1607,4886,1561,4813,1521,4753,1506,4731,1502,4645,1505,4561,1507,4477,1509,4395,1510,4314,1510,4233,1510,4152,1508,4071,1506,3990,1503,3908,1498,3824,1492,3740,1485,3699,1478,3658,1473,3579,1449,3477,1394,3416,1360,3398,1333,3388,1319,3375,1308,3361,1298,3344,1290,3328,1282,3315,1272,3309,1259,3307,1245,3303,1231,3236,1176,3172,1148,3105,1129,3032,1113,2937,1122,2860,1129,2796,1134,2736,1138,2674,1139,2603,1138,2516,1135,2406,1130,2374,1122,2343,1116,2312,1108,2283,1096,2269,1087,2254,1077,2239,1067,2223,1060,2193,1049,2162,1041,2131,1033,2101,1024,2083,1019,2064,1013,2047,1009,2041,1008,2015,1037,2003,1050,2000,1058,2000,1077xe" filled="false" stroked="true" strokeweight="3pt" strokecolor="#808080">
              <v:path arrowok="t"/>
              <v:stroke dashstyle="solid"/>
            </v:shape>
            <v:shape style="position:absolute;left:2019;top:1271;width:1661;height:1577" coordorigin="2019,1272" coordsize="1661,1577" path="m3337,1272l3250,1276,3173,1281,3102,1286,3034,1294,2965,1307,2890,1327,2857,1369,2843,1390,2833,1419,2809,1485,2803,1500,2797,1518,2792,1532,2790,1538,2798,1625,2806,1704,2813,1777,2819,1847,2824,1916,2825,1988,2824,2065,2818,2150,2809,2246,2799,2307,2783,2340,2754,2362,2708,2388,2675,2425,2634,2464,2590,2500,2547,2529,2527,2539,2506,2547,2485,2555,2466,2565,2422,2595,2407,2611,2405,2619,2400,2625,2378,2634,2324,2654,2251,2672,2163,2690,2079,2712,2019,2743m3680,1485l3652,1557,3623,1626,3593,1693,3560,1758,3525,1823,3486,1887,3444,1951,3397,2016,3375,2053,3361,2093,3349,2134,3337,2174,3310,2245,3283,2316,3257,2386,3234,2457,3239,2516,3244,2573,3250,2630,3255,2688,3260,2735,3267,2788,3272,2831,3274,2848e" filled="false" stroked="true" strokeweight="1pt" strokecolor="#808080">
              <v:path arrowok="t"/>
              <v:stroke dashstyle="solid"/>
            </v:shape>
            <v:shape style="position:absolute;left:4188;top:1785;width:584;height:303" coordorigin="4188,1785" coordsize="584,303" path="m4630,1785l4588,1798,4570,1803,4564,1802,4558,1798,4539,1792,4494,1787,4410,1785,4358,1787,4307,1792,4256,1798,4206,1804,4188,1874,4189,1941,4209,2006,4246,2068,4303,2057,4348,2059,4393,2070,4448,2088,4493,2080,4587,2062,4667,2041,4707,2029,4739,2019,4753,2016,4759,2003,4765,1990,4770,1977,4772,1963,4755,1908,4715,1866,4668,1828,4630,1785xe" filled="false" stroked="true" strokeweight="1pt" strokecolor="#808080">
              <v:path arrowok="t"/>
              <v:stroke dashstyle="solid"/>
            </v:shape>
            <w10:wrap type="none"/>
          </v:group>
        </w:pict>
      </w:r>
      <w:r>
        <w:rPr/>
        <w:pict>
          <v:group style="position:absolute;margin-left:338.260986pt;margin-top:47.916756pt;width:162.25pt;height:110.2pt;mso-position-horizontal-relative:page;mso-position-vertical-relative:paragraph;z-index:-2453608" coordorigin="6765,958" coordsize="3245,2204">
            <v:shape style="position:absolute;left:6795;top:988;width:3185;height:2144" coordorigin="6795,988" coordsize="3185,2144" path="m6898,1058l6885,1134,6873,1210,6864,1287,6856,1363,6849,1439,6843,1515,6837,1591,6831,1668,6824,1744,6816,1820,6807,1896,6795,1972,6801,2057,6806,2140,6811,2220,6816,2298,6824,2375,6834,2450,6849,2524,6868,2597,6894,2669,6928,2741,6970,2812,7021,2884,7077,2948,7143,3007,7190,3022,7206,3026,7275,3050,7343,3073,7413,3095,7484,3114,7556,3132,7636,3118,7717,3102,7794,3079,7863,3043,7924,2993,7933,2976,7966,2937,8024,2887,8087,2848,8156,2818,8233,2798,8294,2800,8356,2801,8418,2805,8480,2815,8527,2853,8542,2868,8601,2909,8658,2932,8731,2946,8768,2954,8854,2935,8941,2920,9029,2905,9116,2884,9155,2835,9178,2779,9174,2711,9160,2636,9135,2562,9097,2498,9040,2450,8972,2412,8896,2387,8850,2376,8838,2363,8826,2351,8815,2338,8809,2323,8814,2299,8854,2236,8906,2195,8980,2155,8994,2148,9070,2151,9146,2155,9223,2159,9300,2162,9377,2165,9454,2165,9531,2164,9608,2161,9684,2154,9760,2144,9836,2131,9881,2089,9949,2003,9980,1953,9975,1882,9970,1815,9961,1750,9946,1690,9922,1634,9883,1583,9829,1537,9754,1497,9692,1485,9670,1480,9590,1483,9511,1485,9432,1487,9355,1488,9279,1489,9203,1488,9127,1488,9051,1486,8975,1483,8899,1480,8822,1476,8744,1470,8665,1464,8623,1457,8580,1451,8539,1443,8499,1428,8451,1402,8398,1372,8354,1349,8336,1339,8326,1326,8281,1278,8264,1270,8247,1263,8233,1252,8227,1240,8224,1225,8221,1211,8152,1157,8087,1129,8019,1110,7945,1094,7849,1103,7772,1110,7706,1115,7646,1119,7583,1120,7510,1119,7421,1116,7309,1111,7277,1104,7245,1098,7213,1089,7184,1077,7170,1068,7155,1058,7140,1049,7124,1041,7093,1031,7063,1022,7031,1014,6999,1005,6982,1000,6962,995,6946,990,6939,988,6914,1018,6902,1030,6898,1039,6898,1058xe" filled="false" stroked="true" strokeweight="3pt" strokecolor="#808080">
              <v:path arrowok="t"/>
              <v:stroke dashstyle="solid"/>
            </v:shape>
            <v:shape style="position:absolute;left:6917;top:1252;width:1685;height:1563" coordorigin="6918,1252" coordsize="1685,1563" path="m8254,1252l8166,1256,8088,1260,8017,1265,7948,1273,7877,1286,7801,1305,7768,1346,7755,1367,7744,1396,7719,1461,7713,1477,7706,1495,7700,1508,7698,1514,7706,1601,7715,1680,7723,1752,7729,1821,7734,1890,7735,1961,7734,2038,7729,2122,7719,2217,7709,2277,7692,2310,7663,2332,7616,2359,7583,2395,7541,2433,7496,2468,7453,2498,7432,2507,7411,2515,7389,2523,7369,2534,7325,2563,7310,2579,7308,2586,7303,2592,7282,2601,7227,2620,7152,2640,7063,2658,6978,2679,6918,2709m8602,1464l8574,1535,8544,1604,8513,1670,8480,1735,8444,1799,8405,1862,8362,1926,8314,1989,8293,2027,8278,2067,8267,2107,8254,2148,8227,2217,8199,2287,8173,2357,8151,2428,8156,2486,8161,2542,8165,2599,8170,2656,8177,2703,8184,2755,8190,2797,8192,2815e" filled="false" stroked="true" strokeweight="1pt" strokecolor="#808080">
              <v:path arrowok="t"/>
              <v:stroke dashstyle="solid"/>
            </v:shape>
            <v:shape style="position:absolute;left:8899;top:1523;width:918;height:538" coordorigin="8899,1524" coordsize="918,538" path="m9594,1524l9545,1540,9515,1550,9499,1555,9492,1555,9488,1553,9482,1548,9469,1542,9444,1535,9402,1529,9338,1525,9246,1524,9167,1527,9088,1535,9009,1545,8929,1555,8908,1639,8899,1721,8904,1800,8921,1878,8951,1955,8994,2030,9081,2008,9153,2010,9224,2030,9310,2061,9380,2048,9452,2033,9524,2016,9594,1996,9713,1959,9783,1934,9794,1910,9805,1887,9813,1863,9817,1838,9804,1769,9772,1714,9727,1666,9677,1622,9630,1576,9594,1524xe" filled="false" stroked="true" strokeweight="1pt" strokecolor="#808080">
              <v:path arrowok="t"/>
              <v:stroke dashstyle="solid"/>
            </v:shape>
            <v:shape style="position:absolute;left:7197;top:1093;width:979;height:1510" coordorigin="7197,1094" coordsize="979,1510" path="m7270,2604l7287,2600,7303,2596,7318,2592,7333,2587,7348,2578,7362,2567,7376,2557,7393,2551,7449,2544,7506,2541,7563,2538,7621,2534,7691,2518,7759,2500,7824,2477,7887,2448,7908,2420,7933,2389,7960,2362,7990,2342,8026,2328,8066,2317,8099,2309,8113,2306,8132,2311,8152,2316,8169,2321,8175,2323m7249,1094l7249,1197,7242,1287,7231,1366,7218,1433,7207,1490,7199,1537,7197,1576,7204,1608,7223,1633,7256,1651,7305,1665,7374,1675,7440,1679,7507,1683,7573,1687,7640,1692,7665,1686,7692,1680,7713,1676,7722,1675e" filled="false" stroked="true" strokeweight="1pt" strokecolor="#808080">
              <v:path arrowok="t"/>
              <v:stroke dashstyle="solid"/>
            </v:shape>
            <v:shape style="position:absolute;left:8995;top:1679;width:594;height:300" coordorigin="8995,1680" coordsize="594,300" path="m9445,1680l9401,1692,9383,1697,9377,1697,9370,1692,9350,1687,9304,1682,9219,1680,9167,1681,9116,1686,9065,1692,9013,1696,8995,1767,8996,1834,9016,1898,9054,1960,9111,1949,9158,1951,9204,1962,9260,1980,9305,1972,9400,1954,9481,1934,9554,1912,9574,1895,9581,1882,9586,1869,9589,1855,9571,1800,9530,1759,9483,1722,9445,1680xe" filled="false" stroked="true" strokeweight="1.0pt" strokecolor="#808080">
              <v:path arrowok="t"/>
              <v:stroke dashstyle="solid"/>
            </v:shape>
            <w10:wrap type="none"/>
          </v:group>
        </w:pict>
      </w:r>
      <w:r>
        <w:rPr/>
        <w:t>Figure</w:t>
      </w:r>
      <w:r>
        <w:rPr>
          <w:spacing w:val="-8"/>
        </w:rPr>
        <w:t> </w:t>
      </w:r>
      <w:r>
        <w:rPr/>
        <w:t>2.3.1C</w:t>
      </w:r>
    </w:p>
    <w:p>
      <w:pPr>
        <w:pStyle w:val="BodyText"/>
      </w:pPr>
    </w:p>
    <w:p>
      <w:pPr>
        <w:pStyle w:val="BodyText"/>
        <w:spacing w:before="5"/>
        <w:rPr>
          <w:sz w:val="11"/>
        </w:rPr>
      </w:pPr>
    </w:p>
    <w:tbl>
      <w:tblPr>
        <w:tblW w:w="0" w:type="auto"/>
        <w:jc w:val="left"/>
        <w:tblInd w:w="65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13"/>
        <w:gridCol w:w="339"/>
        <w:gridCol w:w="337"/>
        <w:gridCol w:w="337"/>
        <w:gridCol w:w="339"/>
        <w:gridCol w:w="337"/>
        <w:gridCol w:w="339"/>
        <w:gridCol w:w="337"/>
        <w:gridCol w:w="337"/>
        <w:gridCol w:w="339"/>
        <w:gridCol w:w="337"/>
        <w:gridCol w:w="1559"/>
        <w:gridCol w:w="340"/>
        <w:gridCol w:w="338"/>
        <w:gridCol w:w="338"/>
        <w:gridCol w:w="340"/>
        <w:gridCol w:w="338"/>
        <w:gridCol w:w="340"/>
        <w:gridCol w:w="338"/>
        <w:gridCol w:w="338"/>
        <w:gridCol w:w="340"/>
        <w:gridCol w:w="338"/>
        <w:gridCol w:w="115"/>
      </w:tblGrid>
      <w:tr>
        <w:trPr>
          <w:trHeight w:val="273" w:hRule="atLeast"/>
        </w:trPr>
        <w:tc>
          <w:tcPr>
            <w:tcW w:w="113" w:type="dxa"/>
            <w:tcBorders>
              <w:bottom w:val="nil"/>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1559" w:type="dxa"/>
            <w:vMerge w:val="restart"/>
            <w:tcBorders>
              <w:left w:val="single" w:sz="4" w:space="0" w:color="000000"/>
              <w:bottom w:val="nil"/>
              <w:right w:val="single" w:sz="4" w:space="0" w:color="000000"/>
            </w:tcBorders>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1"/>
              <w:rPr>
                <w:sz w:val="18"/>
              </w:rPr>
            </w:pPr>
          </w:p>
          <w:p>
            <w:pPr>
              <w:pStyle w:val="TableParagraph"/>
              <w:ind w:left="228"/>
              <w:rPr>
                <w:sz w:val="20"/>
              </w:rPr>
            </w:pPr>
            <w:r>
              <w:rPr>
                <w:sz w:val="20"/>
              </w:rPr>
              <w:pict>
                <v:group style="width:54pt;height:18pt;mso-position-horizontal-relative:char;mso-position-vertical-relative:line" coordorigin="0,0" coordsize="1080,360">
                  <v:shape style="position:absolute;left:0;top:0;width:1080;height:360" coordorigin="0,0" coordsize="1080,360" path="m720,0l720,360,960,240,780,240,780,120,960,120,720,0xm720,120l0,120,0,240,720,240,720,120xm960,120l780,120,780,240,960,240,1080,180,960,120xe" filled="true" fillcolor="#010101" stroked="false">
                    <v:path arrowok="t"/>
                    <v:fill type="solid"/>
                  </v:shape>
                </v:group>
              </w:pict>
            </w:r>
            <w:r>
              <w:rPr>
                <w:sz w:val="20"/>
              </w:rPr>
            </w:r>
          </w:p>
        </w:tc>
        <w:tc>
          <w:tcPr>
            <w:tcW w:w="340"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thickThinMediumGap" w:sz="6"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left w:val="single" w:sz="4" w:space="0" w:color="000000"/>
              <w:bottom w:val="nil"/>
            </w:tcBorders>
          </w:tcPr>
          <w:p>
            <w:pPr>
              <w:pStyle w:val="TableParagraph"/>
              <w:rPr>
                <w:sz w:val="18"/>
              </w:rPr>
            </w:pPr>
          </w:p>
        </w:tc>
      </w:tr>
      <w:tr>
        <w:trPr>
          <w:trHeight w:val="277"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bottom w:val="nil"/>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74"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23"/>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14"/>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bottom w:val="nil"/>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4"/>
              <w:jc w:val="center"/>
              <w:rPr>
                <w:rFonts w:ascii="Courier"/>
                <w:sz w:val="20"/>
              </w:rPr>
            </w:pPr>
            <w:r>
              <w:rPr>
                <w:rFonts w:ascii="Courier"/>
                <w:w w:val="99"/>
                <w:sz w:val="20"/>
              </w:rPr>
              <w:t>F</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4"/>
              <w:ind w:right="106"/>
              <w:jc w:val="right"/>
              <w:rPr>
                <w:rFonts w:ascii="Courier"/>
                <w:sz w:val="20"/>
              </w:rPr>
            </w:pPr>
            <w:r>
              <w:rPr>
                <w:rFonts w:ascii="Courier"/>
                <w:w w:val="99"/>
                <w:sz w:val="20"/>
              </w:rPr>
              <w:t>F</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4"/>
              <w:ind w:right="6"/>
              <w:jc w:val="center"/>
              <w:rPr>
                <w:rFonts w:ascii="Courier"/>
                <w:sz w:val="20"/>
              </w:rPr>
            </w:pPr>
            <w:r>
              <w:rPr>
                <w:rFonts w:ascii="Courier"/>
                <w:w w:val="99"/>
                <w:sz w:val="20"/>
              </w:rPr>
              <w:t>F</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74"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3"/>
              <w:ind w:left="24"/>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3"/>
              <w:ind w:right="88"/>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3"/>
              <w:ind w:left="114"/>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3"/>
              <w:ind w:left="20"/>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3"/>
              <w:ind w:left="15"/>
              <w:jc w:val="center"/>
              <w:rPr>
                <w:rFonts w:ascii="Courier"/>
                <w:sz w:val="20"/>
              </w:rPr>
            </w:pPr>
            <w:r>
              <w:rPr>
                <w:rFonts w:ascii="Courier"/>
                <w:w w:val="99"/>
                <w:sz w:val="20"/>
              </w:rPr>
              <w:t>C</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3"/>
              <w:ind w:left="110"/>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bottom w:val="nil"/>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5"/>
              <w:ind w:left="107"/>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5"/>
              <w:ind w:left="3"/>
              <w:jc w:val="center"/>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5"/>
              <w:ind w:right="106"/>
              <w:jc w:val="right"/>
              <w:rPr>
                <w:rFonts w:ascii="Courier"/>
                <w:sz w:val="20"/>
              </w:rPr>
            </w:pPr>
            <w:r>
              <w:rPr>
                <w:rFonts w:ascii="Courier"/>
                <w:w w:val="99"/>
                <w:sz w:val="20"/>
              </w:rPr>
              <w:t>F</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5"/>
              <w:ind w:right="6"/>
              <w:jc w:val="center"/>
              <w:rPr>
                <w:rFonts w:ascii="Courier"/>
                <w:sz w:val="20"/>
              </w:rPr>
            </w:pPr>
            <w:r>
              <w:rPr>
                <w:rFonts w:ascii="Courier"/>
                <w:w w:val="99"/>
                <w:sz w:val="20"/>
              </w:rPr>
              <w:t>F</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5"/>
              <w:ind w:right="17"/>
              <w:jc w:val="center"/>
              <w:rPr>
                <w:rFonts w:ascii="Courier"/>
                <w:sz w:val="20"/>
              </w:rPr>
            </w:pPr>
            <w:r>
              <w:rPr>
                <w:rFonts w:ascii="Courier"/>
                <w:w w:val="99"/>
                <w:sz w:val="20"/>
              </w:rPr>
              <w:t>S</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5"/>
              <w:ind w:right="115"/>
              <w:jc w:val="right"/>
              <w:rPr>
                <w:rFonts w:ascii="Courier"/>
                <w:sz w:val="20"/>
              </w:rPr>
            </w:pPr>
            <w:r>
              <w:rPr>
                <w:rFonts w:ascii="Courier"/>
                <w:w w:val="99"/>
                <w:sz w:val="20"/>
              </w:rPr>
              <w:t>S</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73"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24"/>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23"/>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14"/>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6"/>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15"/>
              <w:jc w:val="center"/>
              <w:rPr>
                <w:rFonts w:ascii="Courier"/>
                <w:sz w:val="20"/>
              </w:rPr>
            </w:pPr>
            <w:r>
              <w:rPr>
                <w:rFonts w:ascii="Courier"/>
                <w:w w:val="99"/>
                <w:sz w:val="20"/>
              </w:rPr>
              <w:t>S</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10"/>
              <w:rPr>
                <w:rFonts w:ascii="Courier"/>
                <w:sz w:val="20"/>
              </w:rPr>
            </w:pPr>
            <w:r>
              <w:rPr>
                <w:rFonts w:ascii="Courier"/>
                <w:w w:val="99"/>
                <w:sz w:val="20"/>
              </w:rPr>
              <w:t>S</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109"/>
              <w:rPr>
                <w:rFonts w:ascii="Courier"/>
                <w:sz w:val="20"/>
              </w:rPr>
            </w:pPr>
            <w:r>
              <w:rPr>
                <w:rFonts w:ascii="Courier"/>
                <w:w w:val="99"/>
                <w:sz w:val="20"/>
              </w:rPr>
              <w:t>C</w:t>
            </w:r>
          </w:p>
        </w:tc>
        <w:tc>
          <w:tcPr>
            <w:tcW w:w="1559" w:type="dxa"/>
            <w:vMerge/>
            <w:tcBorders>
              <w:top w:val="nil"/>
              <w:left w:val="single" w:sz="4" w:space="0" w:color="000000"/>
              <w:bottom w:val="nil"/>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4"/>
              <w:ind w:left="107"/>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4"/>
              <w:jc w:val="center"/>
              <w:rPr>
                <w:rFonts w:ascii="Courier"/>
                <w:sz w:val="20"/>
              </w:rPr>
            </w:pPr>
            <w:r>
              <w:rPr>
                <w:rFonts w:ascii="Courier"/>
                <w:w w:val="99"/>
                <w:sz w:val="20"/>
              </w:rPr>
              <w:t>G</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4"/>
              <w:ind w:right="106"/>
              <w:jc w:val="right"/>
              <w:rPr>
                <w:rFonts w:ascii="Courier"/>
                <w:sz w:val="20"/>
              </w:rPr>
            </w:pPr>
            <w:r>
              <w:rPr>
                <w:rFonts w:ascii="Courier"/>
                <w:w w:val="99"/>
                <w:sz w:val="20"/>
              </w:rPr>
              <w:t>F</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4"/>
              <w:ind w:left="98"/>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4"/>
              <w:ind w:right="17"/>
              <w:jc w:val="center"/>
              <w:rPr>
                <w:rFonts w:ascii="Courier"/>
                <w:sz w:val="20"/>
              </w:rPr>
            </w:pPr>
            <w:r>
              <w:rPr>
                <w:rFonts w:ascii="Courier"/>
                <w:w w:val="99"/>
                <w:sz w:val="20"/>
              </w:rPr>
              <w:t>S</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4"/>
              <w:ind w:right="115"/>
              <w:jc w:val="right"/>
              <w:rPr>
                <w:rFonts w:ascii="Courier"/>
                <w:sz w:val="20"/>
              </w:rPr>
            </w:pPr>
            <w:r>
              <w:rPr>
                <w:rFonts w:ascii="Courier"/>
                <w:w w:val="99"/>
                <w:sz w:val="20"/>
              </w:rPr>
              <w:t>S</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4"/>
              <w:ind w:left="90"/>
              <w:rPr>
                <w:rFonts w:ascii="Courier"/>
                <w:sz w:val="20"/>
              </w:rPr>
            </w:pPr>
            <w:r>
              <w:rPr>
                <w:rFonts w:ascii="Courier"/>
                <w:w w:val="99"/>
                <w:sz w:val="20"/>
              </w:rPr>
              <w:t>C</w:t>
            </w:r>
          </w:p>
        </w:tc>
        <w:tc>
          <w:tcPr>
            <w:tcW w:w="115" w:type="dxa"/>
            <w:tcBorders>
              <w:top w:val="nil"/>
              <w:left w:val="single" w:sz="4" w:space="0" w:color="000000"/>
              <w:bottom w:val="nil"/>
            </w:tcBorders>
          </w:tcPr>
          <w:p>
            <w:pPr>
              <w:pStyle w:val="TableParagraph"/>
              <w:rPr>
                <w:sz w:val="18"/>
              </w:rPr>
            </w:pPr>
          </w:p>
        </w:tc>
      </w:tr>
      <w:tr>
        <w:trPr>
          <w:trHeight w:val="274"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23"/>
              <w:jc w:val="center"/>
              <w:rPr>
                <w:rFonts w:ascii="Courier"/>
                <w:sz w:val="20"/>
              </w:rPr>
            </w:pPr>
            <w:r>
              <w:rPr>
                <w:rFonts w:ascii="Courier"/>
                <w:w w:val="99"/>
                <w:sz w:val="20"/>
              </w:rPr>
              <w:t>G</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6"/>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bottom w:val="nil"/>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4"/>
              <w:jc w:val="center"/>
              <w:rPr>
                <w:rFonts w:ascii="Courier"/>
                <w:sz w:val="20"/>
              </w:rPr>
            </w:pPr>
            <w:r>
              <w:rPr>
                <w:rFonts w:ascii="Courier"/>
                <w:w w:val="99"/>
                <w:sz w:val="20"/>
              </w:rPr>
              <w:t>G</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4"/>
              <w:ind w:left="98"/>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74"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3"/>
              <w:ind w:left="24"/>
              <w:jc w:val="center"/>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3"/>
              <w:ind w:right="88"/>
              <w:jc w:val="right"/>
              <w:rPr>
                <w:rFonts w:ascii="Courier"/>
                <w:sz w:val="20"/>
              </w:rPr>
            </w:pPr>
            <w:r>
              <w:rPr>
                <w:rFonts w:ascii="Courier"/>
                <w:w w:val="99"/>
                <w:sz w:val="20"/>
              </w:rPr>
              <w:t>G</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3"/>
              <w:ind w:left="23"/>
              <w:jc w:val="center"/>
              <w:rPr>
                <w:rFonts w:ascii="Courier"/>
                <w:sz w:val="20"/>
              </w:rPr>
            </w:pPr>
            <w:r>
              <w:rPr>
                <w:rFonts w:ascii="Courier"/>
                <w:w w:val="99"/>
                <w:sz w:val="20"/>
              </w:rPr>
              <w:t>F</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3"/>
              <w:ind w:left="20"/>
              <w:jc w:val="center"/>
              <w:rPr>
                <w:rFonts w:ascii="Courier"/>
                <w:sz w:val="20"/>
              </w:rPr>
            </w:pPr>
            <w:r>
              <w:rPr>
                <w:rFonts w:ascii="Courier"/>
                <w:w w:val="99"/>
                <w:sz w:val="20"/>
              </w:rPr>
              <w:t>C</w:t>
            </w: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3"/>
              <w:ind w:left="16"/>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bottom w:val="nil"/>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5"/>
              <w:ind w:left="107"/>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5"/>
              <w:ind w:left="3"/>
              <w:jc w:val="center"/>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5"/>
              <w:jc w:val="center"/>
              <w:rPr>
                <w:rFonts w:ascii="Courier"/>
                <w:sz w:val="20"/>
              </w:rPr>
            </w:pPr>
            <w:r>
              <w:rPr>
                <w:rFonts w:ascii="Courier"/>
                <w:w w:val="99"/>
                <w:sz w:val="20"/>
              </w:rPr>
              <w:t>G</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5"/>
              <w:ind w:right="6"/>
              <w:jc w:val="center"/>
              <w:rPr>
                <w:rFonts w:ascii="Courier"/>
                <w:sz w:val="20"/>
              </w:rPr>
            </w:pPr>
            <w:r>
              <w:rPr>
                <w:rFonts w:ascii="Courier"/>
                <w:w w:val="99"/>
                <w:sz w:val="20"/>
              </w:rPr>
              <w:t>C</w:t>
            </w: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5"/>
              <w:ind w:left="98"/>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73"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right="88"/>
              <w:jc w:val="right"/>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14"/>
              <w:rPr>
                <w:rFonts w:ascii="Courier"/>
                <w:sz w:val="20"/>
              </w:rPr>
            </w:pPr>
            <w:r>
              <w:rPr>
                <w:rFonts w:ascii="Courier"/>
                <w:w w:val="99"/>
                <w:sz w:val="20"/>
              </w:rPr>
              <w:t>F</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spacing w:before="14"/>
              <w:ind w:left="16"/>
              <w:jc w:val="center"/>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spacing w:before="14"/>
              <w:ind w:left="112"/>
              <w:rPr>
                <w:rFonts w:ascii="Courier"/>
                <w:sz w:val="20"/>
              </w:rPr>
            </w:pPr>
            <w:r>
              <w:rPr>
                <w:rFonts w:ascii="Courier"/>
                <w:w w:val="99"/>
                <w:sz w:val="20"/>
              </w:rPr>
              <w:t>C</w:t>
            </w: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bottom w:val="nil"/>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4"/>
              <w:ind w:left="3"/>
              <w:jc w:val="center"/>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4"/>
              <w:ind w:right="106"/>
              <w:jc w:val="right"/>
              <w:rPr>
                <w:rFonts w:ascii="Courier"/>
                <w:sz w:val="20"/>
              </w:rPr>
            </w:pPr>
            <w:r>
              <w:rPr>
                <w:rFonts w:ascii="Courier"/>
                <w:w w:val="99"/>
                <w:sz w:val="20"/>
              </w:rPr>
              <w:t>G</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spacing w:before="24"/>
              <w:ind w:left="98"/>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spacing w:before="24"/>
              <w:ind w:left="96"/>
              <w:rPr>
                <w:rFonts w:ascii="Courier"/>
                <w:sz w:val="20"/>
              </w:rPr>
            </w:pPr>
            <w:r>
              <w:rPr>
                <w:rFonts w:ascii="Courier"/>
                <w:w w:val="99"/>
                <w:sz w:val="20"/>
              </w:rPr>
              <w:t>C</w:t>
            </w: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74"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bottom w:val="nil"/>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269" w:hRule="atLeast"/>
        </w:trPr>
        <w:tc>
          <w:tcPr>
            <w:tcW w:w="113" w:type="dxa"/>
            <w:tcBorders>
              <w:top w:val="nil"/>
              <w:bottom w:val="nil"/>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9"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7"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559" w:type="dxa"/>
            <w:vMerge/>
            <w:tcBorders>
              <w:top w:val="nil"/>
              <w:left w:val="single" w:sz="4" w:space="0" w:color="000000"/>
              <w:bottom w:val="nil"/>
              <w:right w:val="single" w:sz="4" w:space="0" w:color="000000"/>
            </w:tcBorders>
          </w:tcPr>
          <w:p>
            <w:pPr>
              <w:rPr>
                <w:sz w:val="2"/>
                <w:szCs w:val="2"/>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40"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338" w:type="dxa"/>
            <w:tcBorders>
              <w:top w:val="single" w:sz="4" w:space="0" w:color="000000"/>
              <w:left w:val="single" w:sz="4" w:space="0" w:color="000000"/>
              <w:bottom w:val="single" w:sz="4" w:space="0" w:color="000000"/>
              <w:right w:val="single" w:sz="4" w:space="0" w:color="000000"/>
            </w:tcBorders>
          </w:tcPr>
          <w:p>
            <w:pPr>
              <w:pStyle w:val="TableParagraph"/>
              <w:rPr>
                <w:sz w:val="18"/>
              </w:rPr>
            </w:pPr>
          </w:p>
        </w:tc>
        <w:tc>
          <w:tcPr>
            <w:tcW w:w="115" w:type="dxa"/>
            <w:tcBorders>
              <w:top w:val="nil"/>
              <w:left w:val="single" w:sz="4" w:space="0" w:color="000000"/>
              <w:bottom w:val="nil"/>
            </w:tcBorders>
          </w:tcPr>
          <w:p>
            <w:pPr>
              <w:pStyle w:val="TableParagraph"/>
              <w:rPr>
                <w:sz w:val="18"/>
              </w:rPr>
            </w:pPr>
          </w:p>
        </w:tc>
      </w:tr>
      <w:tr>
        <w:trPr>
          <w:trHeight w:val="171" w:hRule="atLeast"/>
        </w:trPr>
        <w:tc>
          <w:tcPr>
            <w:tcW w:w="8553" w:type="dxa"/>
            <w:gridSpan w:val="23"/>
            <w:tcBorders>
              <w:top w:val="single" w:sz="8" w:space="0" w:color="000000"/>
            </w:tcBorders>
          </w:tcPr>
          <w:p>
            <w:pPr>
              <w:pStyle w:val="TableParagraph"/>
              <w:rPr>
                <w:sz w:val="10"/>
              </w:rPr>
            </w:pPr>
          </w:p>
        </w:tc>
      </w:tr>
    </w:tbl>
    <w:p>
      <w:pPr>
        <w:pStyle w:val="BodyText"/>
        <w:rPr>
          <w:sz w:val="22"/>
        </w:rPr>
      </w:pPr>
    </w:p>
    <w:p>
      <w:pPr>
        <w:pStyle w:val="BodyText"/>
        <w:spacing w:before="1"/>
        <w:rPr>
          <w:sz w:val="18"/>
        </w:rPr>
      </w:pPr>
    </w:p>
    <w:p>
      <w:pPr>
        <w:pStyle w:val="BodyText"/>
        <w:ind w:left="628"/>
      </w:pPr>
      <w:r>
        <w:rPr/>
        <w:t>Figure</w:t>
      </w:r>
      <w:r>
        <w:rPr>
          <w:spacing w:val="-8"/>
        </w:rPr>
        <w:t> </w:t>
      </w:r>
      <w:r>
        <w:rPr/>
        <w:t>2.3.1D</w:t>
      </w:r>
    </w:p>
    <w:p>
      <w:pPr>
        <w:pStyle w:val="BodyText"/>
        <w:spacing w:before="4"/>
        <w:rPr>
          <w:sz w:val="26"/>
        </w:rPr>
      </w:pPr>
      <w:r>
        <w:rPr/>
        <w:pict>
          <v:group style="position:absolute;margin-left:81.401001pt;margin-top:17.892929pt;width:440.05pt;height:119.65pt;mso-position-horizontal-relative:page;mso-position-vertical-relative:paragraph;z-index:392;mso-wrap-distance-left:0;mso-wrap-distance-right:0" coordorigin="1628,358" coordsize="8801,2393">
            <v:line style="position:absolute" from="1657,372" to="5499,372" stroked="true" strokeweight="1.44pt" strokecolor="#000000">
              <v:stroke dashstyle="solid"/>
            </v:line>
            <v:rect style="position:absolute;left:5499;top:357;width:29;height:29" filled="true" fillcolor="#000000" stroked="false">
              <v:fill type="solid"/>
            </v:rect>
            <v:line style="position:absolute" from="5528,372" to="6541,372" stroked="true" strokeweight="1.44pt" strokecolor="#000000">
              <v:stroke dashstyle="solid"/>
            </v:line>
            <v:rect style="position:absolute;left:6540;top:357;width:29;height:29" filled="true" fillcolor="#000000" stroked="false">
              <v:fill type="solid"/>
            </v:rect>
            <v:line style="position:absolute" from="6570,372" to="10400,372" stroked="true" strokeweight="1.44pt" strokecolor="#000000">
              <v:stroke dashstyle="solid"/>
            </v:line>
            <v:line style="position:absolute" from="1642,358" to="1642,2722" stroked="true" strokeweight="1.44pt" strokecolor="#000000">
              <v:stroke dashstyle="solid"/>
            </v:line>
            <v:rect style="position:absolute;left:1628;top:2721;width:29;height:29" filled="true" fillcolor="#000000" stroked="false">
              <v:fill type="solid"/>
            </v:rect>
            <v:rect style="position:absolute;left:1628;top:2721;width:29;height:29" filled="true" fillcolor="#000000" stroked="false">
              <v:fill type="solid"/>
            </v:rect>
            <v:line style="position:absolute" from="1657,2736" to="5506,2736" stroked="true" strokeweight="1.44pt" strokecolor="#000000">
              <v:stroke dashstyle="solid"/>
            </v:line>
            <v:rect style="position:absolute;left:5492;top:2721;width:29;height:29" filled="true" fillcolor="#000000" stroked="false">
              <v:fill type="solid"/>
            </v:rect>
            <v:line style="position:absolute" from="5521,2736" to="6548,2736" stroked="true" strokeweight="1.44pt" strokecolor="#000000">
              <v:stroke dashstyle="solid"/>
            </v:line>
            <v:rect style="position:absolute;left:6533;top:2721;width:29;height:29" filled="true" fillcolor="#000000" stroked="false">
              <v:fill type="solid"/>
            </v:rect>
            <v:line style="position:absolute" from="6562,2736" to="10400,2736" stroked="true" strokeweight="1.44pt" strokecolor="#000000">
              <v:stroke dashstyle="solid"/>
            </v:line>
            <v:line style="position:absolute" from="10414,358" to="10414,2722" stroked="true" strokeweight="1.44pt" strokecolor="#000000">
              <v:stroke dashstyle="solid"/>
            </v:line>
            <v:rect style="position:absolute;left:10400;top:2721;width:29;height:29" filled="true" fillcolor="#000000" stroked="false">
              <v:fill type="solid"/>
            </v:rect>
            <v:rect style="position:absolute;left:10400;top:2721;width:29;height:29" filled="true" fillcolor="#000000" stroked="false">
              <v:fill type="solid"/>
            </v:rect>
            <v:shape style="position:absolute;left:2357;top:389;width:3137;height:2160" coordorigin="2358,389" coordsize="3137,2160" path="m2458,459l2445,535,2434,612,2425,689,2418,766,2411,843,2405,919,2399,996,2393,1073,2387,1150,2379,1227,2369,1303,2358,1380,2364,1466,2369,1549,2373,1630,2379,1709,2386,1786,2396,1861,2411,1936,2430,2009,2456,2082,2489,2155,2530,2227,2581,2299,2635,2365,2701,2424,2748,2437,2763,2441,2831,2466,2898,2489,2966,2511,3035,2531,3106,2549,3186,2536,3266,2520,3343,2497,3411,2460,3470,2408,3478,2391,3512,2352,3568,2302,3630,2263,3698,2232,3774,2211,3835,2214,3897,2216,3958,2220,4018,2230,4064,2268,4078,2283,4137,2324,4194,2347,4265,2362,4302,2371,4386,2351,4472,2335,4559,2320,4645,2299,4662,2277,4682,2250,4698,2222,4705,2194,4701,2125,4687,2049,4662,1974,4626,1911,4570,1862,4503,1822,4427,1798,4381,1786,4370,1774,4358,1761,4347,1748,4340,1733,4346,1709,4385,1646,4436,1604,4509,1563,4522,1555,4605,1560,4689,1564,4772,1568,4856,1572,4939,1574,5023,1574,5106,1571,5189,1565,5271,1554,5353,1539,5397,1497,5464,1412,5494,1361,5489,1290,5484,1221,5476,1156,5461,1096,5437,1039,5399,987,5345,941,5271,900,5212,888,5192,883,5106,886,5021,889,4938,890,4856,891,4775,892,4693,891,4612,890,4531,888,4450,884,4367,880,4283,874,4198,867,4158,860,4116,854,4038,831,3937,775,3877,742,3857,715,3847,701,3836,689,3821,680,3804,672,3788,664,3774,653,3768,641,3765,627,3762,613,3694,557,3631,529,3563,510,3490,495,3395,504,3319,511,3255,516,3195,519,3134,520,3062,520,2975,517,2864,511,2833,504,2801,497,2770,489,2742,475,2727,467,2713,458,2697,449,2682,442,2652,431,2621,422,2590,414,2559,406,2542,400,2522,395,2506,391,2499,389,2475,419,2463,431,2459,440,2458,459xe" filled="false" stroked="true" strokeweight="3pt" strokecolor="#010101">
              <v:path arrowok="t"/>
              <v:stroke dashstyle="solid"/>
            </v:shape>
            <v:shape style="position:absolute;left:2477;top:653;width:1318;height:1469" coordorigin="2478,653" coordsize="1318,1469" path="m3795,653l3708,658,3631,662,3561,667,3493,675,3424,688,3349,708,3304,771,3267,867,3262,882,3256,899,3250,914,3248,919,3256,1007,3265,1086,3272,1158,3279,1228,3283,1297,3285,1369,3283,1446,3277,1531,3267,1627,3257,1688,3213,1744,3166,1769,3134,1807,3048,1881,2986,1920,2965,1928,2944,1936,2924,1947,2881,1976,2865,1992,2863,1999,2859,2005,2837,2015,2782,2035,2709,2054,2621,2071,2537,2093,2478,2122e" filled="false" stroked="true" strokeweight="1pt" strokecolor="#010101">
              <v:path arrowok="t"/>
              <v:stroke dashstyle="solid"/>
            </v:shape>
            <v:shape style="position:absolute;left:3694;top:866;width:444;height:1364" coordorigin="3694,867" coordsize="444,1364" path="m4138,867l4110,938,4081,1007,4051,1074,4018,1140,3983,1205,3945,1269,3902,1333,3855,1397,3833,1435,3819,1474,3808,1515,3795,1555,3768,1626,3741,1696,3716,1767,3694,1839,3699,1896,3704,1954,3714,2069,3726,2169,3733,2212,3735,2230e" filled="false" stroked="true" strokeweight="1pt" strokecolor="#010101">
              <v:path arrowok="t"/>
              <v:stroke dashstyle="solid"/>
            </v:shape>
            <v:shape style="position:absolute;left:4646;top:1166;width:587;height:303" coordorigin="4646,1167" coordsize="587,303" path="m5091,1167l5047,1180,5029,1185,5023,1184,5017,1180,4998,1174,4952,1169,4868,1167,4818,1169,4767,1174,4716,1180,4664,1186,4646,1255,4648,1322,4667,1387,4705,1450,4762,1438,4809,1440,4854,1451,4909,1469,4954,1460,5000,1452,5047,1443,5091,1433,5126,1422,5166,1411,5198,1401,5211,1397,5218,1384,5225,1372,5230,1358,5233,1344,5216,1289,5176,1247,5129,1210,5091,1167xe" filled="false" stroked="true" strokeweight="1pt" strokecolor="#010101">
              <v:path arrowok="t"/>
              <v:stroke dashstyle="solid"/>
            </v:shape>
            <v:shape style="position:absolute;left:6922;top:537;width:3065;height:2067" coordorigin="6922,538" coordsize="3065,2067" path="m7021,605l7007,685,6995,765,6986,845,6978,925,6971,1005,6965,1086,6959,1166,6952,1246,6944,1326,6934,1406,6922,1486,6928,1568,6933,1648,6937,1726,6942,1802,6949,1876,6959,1948,6973,2019,6992,2089,7017,2159,7049,2228,7089,2297,7138,2367,7193,2429,7258,2487,7303,2499,7318,2503,7401,2533,7484,2560,7568,2584,7654,2604,7731,2592,7808,2578,7883,2555,7950,2520,8009,2472,8017,2456,8048,2419,8104,2370,8165,2331,8231,2303,8305,2283,8365,2286,8425,2287,8542,2299,8588,2337,8602,2350,8660,2391,8750,2420,8786,2427,8821,2436,8903,2417,8988,2402,9073,2387,9157,2367,9208,2293,9214,2266,9211,2200,9198,2127,9174,2055,9138,1995,9082,1948,9018,1911,8944,1888,8900,1877,8888,1865,8876,1853,8866,1840,8859,1827,8866,1802,8903,1741,8953,1702,9024,1663,9037,1656,9118,1660,9199,1665,9281,1669,9362,1672,9444,1674,9526,1674,9607,1671,9688,1664,9768,1654,9848,1639,9927,1560,9987,1469,9981,1391,9975,1318,9964,1248,9942,1184,9906,1126,9850,1074,9769,1030,9710,1016,9690,1013,9606,1015,9523,1017,9442,1019,9362,1020,9282,1020,9203,1020,9124,1019,9044,1017,8965,1013,8884,1009,8803,1003,8720,996,8681,989,8640,984,8601,976,8564,963,8517,937,8465,909,8423,886,8406,876,8396,863,8386,850,8376,837,8365,826,8351,817,8335,810,8319,803,8305,792,8299,780,8296,766,8293,753,8227,700,8165,673,8100,654,8029,639,7936,648,7861,655,7798,660,7740,663,7679,664,7610,664,7525,661,7417,655,7386,649,7355,642,7325,634,7297,622,7283,614,7269,605,7255,596,7239,588,7209,579,7179,571,7149,563,7119,555,7102,550,7082,544,7066,540,7059,538,7035,567,7024,579,7021,587,7021,605xe" filled="false" stroked="true" strokeweight="3.0pt" strokecolor="#010101">
              <v:path arrowok="t"/>
              <v:stroke dashstyle="solid"/>
            </v:shape>
            <v:shape style="position:absolute;left:7040;top:792;width:1287;height:1407" coordorigin="7040,792" coordsize="1287,1407" path="m8326,792l8241,796,8166,800,8097,805,8031,813,7963,825,7890,843,7845,904,7834,932,7810,996,7805,1011,7799,1028,7794,1041,7791,1047,7799,1130,7807,1205,7815,1275,7821,1341,7825,1407,7827,1476,7825,1550,7820,1631,7810,1723,7785,1813,7712,1860,7680,1896,7596,1967,7534,2004,7514,2011,7494,2019,7474,2028,7428,2061,7417,2075,7414,2082,7397,2091,7338,2112,7265,2130,7179,2148,7098,2170,7040,2199e" filled="false" stroked="true" strokeweight="1pt" strokecolor="#010101">
              <v:path arrowok="t"/>
              <v:stroke dashstyle="solid"/>
            </v:shape>
            <v:shape style="position:absolute;left:8225;top:996;width:437;height:1304" coordorigin="8226,996" coordsize="437,1304" path="m8662,996l8630,1075,8597,1150,8562,1223,8525,1294,8483,1365,8436,1435,8384,1505,8364,1540,8350,1578,8339,1617,8326,1656,8300,1723,8273,1791,8248,1859,8226,1927,8231,1983,8236,2038,8241,2093,8247,2148,8252,2193,8259,2243,8264,2283,8266,2299e" filled="false" stroked="true" strokeweight="1pt" strokecolor="#010101">
              <v:path arrowok="t"/>
              <v:stroke dashstyle="solid"/>
            </v:shape>
            <v:shape style="position:absolute;left:8947;top:1053;width:882;height:519" coordorigin="8947,1054" coordsize="882,519" path="m9615,1054l9569,1070,9541,1079,9525,1084,9518,1085,9515,1082,9509,1077,9497,1071,9473,1065,9432,1060,9370,1055,9282,1054,9205,1057,9128,1065,9052,1074,8977,1083,8956,1164,8947,1243,8951,1320,8967,1395,8996,1469,9037,1541,9122,1522,9191,1524,9259,1543,9342,1572,9409,1559,9479,1545,9549,1528,9615,1510,9730,1474,9798,1450,9808,1427,9818,1404,9826,1382,9829,1359,9812,1280,9770,1219,9714,1166,9659,1114,9615,1054xe" filled="false" stroked="true" strokeweight="1pt" strokecolor="#010101">
              <v:path arrowok="t"/>
              <v:stroke dashstyle="solid"/>
            </v:shape>
            <v:shape style="position:absolute;left:7380;top:1809;width:869;height:288" coordorigin="7381,1810" coordsize="869,288" path="m7381,2098l7395,2093,7410,2089,7424,2086,7438,2081,7454,2072,7468,2061,7482,2051,7498,2045,7553,2038,7608,2035,7662,2032,7717,2028,7785,2013,7850,1996,7912,1974,7974,1944,7993,1918,8017,1889,8072,1843,8144,1820,8190,1810,8208,1815,8228,1820,8243,1825,8250,1827e" filled="false" stroked="true" strokeweight="1pt" strokecolor="#010101">
              <v:path arrowok="t"/>
              <v:stroke dashstyle="solid"/>
            </v:shape>
            <v:shape style="position:absolute;left:7309;top:638;width:506;height:579" coordorigin="7310,639" coordsize="506,579" path="m7359,639l7359,738,7353,826,7342,901,7330,966,7319,1021,7311,1067,7316,1134,7366,1176,7479,1198,7543,1204,7607,1208,7671,1212,7736,1217,7760,1211,7786,1205,7807,1200,7815,1198e" filled="false" stroked="true" strokeweight="1pt" strokecolor="#010101">
              <v:path arrowok="t"/>
              <v:stroke dashstyle="solid"/>
            </v:shape>
            <v:shape style="position:absolute;left:9038;top:1205;width:572;height:288" coordorigin="9038,1205" coordsize="572,288" path="m9471,1205l9429,1217,9411,1222,9406,1221,9400,1217,9381,1212,9337,1207,9255,1205,9205,1207,9156,1212,9106,1217,9056,1222,9038,1289,9040,1354,9059,1416,9097,1476,9152,1465,9196,1467,9240,1477,9294,1493,9338,1486,9428,1469,9507,1450,9578,1430,9597,1413,9604,1401,9608,1388,9610,1375,9594,1322,9554,1282,9508,1246,9471,1205xe" filled="false" stroked="true" strokeweight="1.0pt" strokecolor="#010101">
              <v:path arrowok="t"/>
              <v:stroke dashstyle="solid"/>
            </v:shape>
            <v:shape style="position:absolute;left:5494;top:1437;width:1080;height:360" coordorigin="5494,1438" coordsize="1080,360" path="m6214,1438l6214,1798,6454,1678,6274,1678,6274,1558,6454,1558,6214,1438xm6214,1558l5494,1558,5494,1678,6214,1678,6214,1558xm6454,1558l6274,1558,6274,1678,6454,1678,6574,1618,6454,1558xe" filled="true" fillcolor="#010101" stroked="false">
              <v:path arrowok="t"/>
              <v:fill type="solid"/>
            </v:shape>
            <v:shape style="position:absolute;left:7712;top:2198;width:239;height:311" type="#_x0000_t202" filled="false" stroked="false">
              <v:textbox inset="0,0,0,0">
                <w:txbxContent>
                  <w:p>
                    <w:pPr>
                      <w:spacing w:line="311" w:lineRule="exact" w:before="0"/>
                      <w:ind w:left="0" w:right="0" w:firstLine="0"/>
                      <w:jc w:val="left"/>
                      <w:rPr>
                        <w:b/>
                        <w:sz w:val="28"/>
                      </w:rPr>
                    </w:pPr>
                    <w:r>
                      <w:rPr>
                        <w:b/>
                        <w:w w:val="100"/>
                        <w:sz w:val="28"/>
                      </w:rPr>
                      <w:t>G</w:t>
                    </w:r>
                  </w:p>
                </w:txbxContent>
              </v:textbox>
              <w10:wrap type="none"/>
            </v:shape>
            <v:shape style="position:absolute;left:8518;top:1701;width:223;height:311" type="#_x0000_t202" filled="false" stroked="false">
              <v:textbox inset="0,0,0,0">
                <w:txbxContent>
                  <w:p>
                    <w:pPr>
                      <w:spacing w:line="311" w:lineRule="exact" w:before="0"/>
                      <w:ind w:left="0" w:right="0" w:firstLine="0"/>
                      <w:jc w:val="left"/>
                      <w:rPr>
                        <w:b/>
                        <w:sz w:val="28"/>
                      </w:rPr>
                    </w:pPr>
                    <w:r>
                      <w:rPr>
                        <w:b/>
                        <w:w w:val="100"/>
                        <w:sz w:val="28"/>
                      </w:rPr>
                      <w:t>C</w:t>
                    </w:r>
                  </w:p>
                </w:txbxContent>
              </v:textbox>
              <w10:wrap type="none"/>
            </v:shape>
            <v:shape style="position:absolute;left:7227;top:1547;width:239;height:311" type="#_x0000_t202" filled="false" stroked="false">
              <v:textbox inset="0,0,0,0">
                <w:txbxContent>
                  <w:p>
                    <w:pPr>
                      <w:spacing w:line="311" w:lineRule="exact" w:before="0"/>
                      <w:ind w:left="0" w:right="0" w:firstLine="0"/>
                      <w:jc w:val="left"/>
                      <w:rPr>
                        <w:b/>
                        <w:sz w:val="28"/>
                      </w:rPr>
                    </w:pPr>
                    <w:r>
                      <w:rPr>
                        <w:b/>
                        <w:w w:val="100"/>
                        <w:sz w:val="28"/>
                      </w:rPr>
                      <w:t>G</w:t>
                    </w:r>
                  </w:p>
                </w:txbxContent>
              </v:textbox>
              <w10:wrap type="none"/>
            </v:shape>
            <v:shape style="position:absolute;left:9327;top:1166;width:472;height:391" type="#_x0000_t202" filled="false" stroked="false">
              <v:textbox inset="0,0,0,0">
                <w:txbxContent>
                  <w:p>
                    <w:pPr>
                      <w:spacing w:line="228" w:lineRule="auto" w:before="0"/>
                      <w:ind w:left="0" w:right="0" w:firstLine="0"/>
                      <w:jc w:val="left"/>
                      <w:rPr>
                        <w:b/>
                        <w:sz w:val="28"/>
                      </w:rPr>
                    </w:pPr>
                    <w:r>
                      <w:rPr>
                        <w:b/>
                        <w:position w:val="-7"/>
                        <w:sz w:val="28"/>
                      </w:rPr>
                      <w:t>S</w:t>
                    </w:r>
                    <w:r>
                      <w:rPr>
                        <w:b/>
                        <w:spacing w:val="69"/>
                        <w:position w:val="-7"/>
                        <w:sz w:val="28"/>
                      </w:rPr>
                      <w:t> </w:t>
                    </w:r>
                    <w:r>
                      <w:rPr>
                        <w:b/>
                        <w:sz w:val="28"/>
                      </w:rPr>
                      <w:t>S</w:t>
                    </w:r>
                  </w:p>
                </w:txbxContent>
              </v:textbox>
              <w10:wrap type="none"/>
            </v:shape>
            <v:shape style="position:absolute;left:4080;top:1439;width:223;height:311" type="#_x0000_t202" filled="false" stroked="false">
              <v:textbox inset="0,0,0,0">
                <w:txbxContent>
                  <w:p>
                    <w:pPr>
                      <w:spacing w:line="311" w:lineRule="exact" w:before="0"/>
                      <w:ind w:left="0" w:right="0" w:firstLine="0"/>
                      <w:jc w:val="left"/>
                      <w:rPr>
                        <w:b/>
                        <w:sz w:val="28"/>
                      </w:rPr>
                    </w:pPr>
                    <w:r>
                      <w:rPr>
                        <w:b/>
                        <w:w w:val="100"/>
                        <w:sz w:val="28"/>
                      </w:rPr>
                      <w:t>C</w:t>
                    </w:r>
                  </w:p>
                </w:txbxContent>
              </v:textbox>
              <w10:wrap type="none"/>
            </v:shape>
            <v:shape style="position:absolute;left:8033;top:1091;width:192;height:311" type="#_x0000_t202" filled="false" stroked="false">
              <v:textbox inset="0,0,0,0">
                <w:txbxContent>
                  <w:p>
                    <w:pPr>
                      <w:spacing w:line="311" w:lineRule="exact" w:before="0"/>
                      <w:ind w:left="0" w:right="0" w:firstLine="0"/>
                      <w:jc w:val="left"/>
                      <w:rPr>
                        <w:b/>
                        <w:sz w:val="28"/>
                      </w:rPr>
                    </w:pPr>
                    <w:r>
                      <w:rPr>
                        <w:b/>
                        <w:w w:val="100"/>
                        <w:sz w:val="28"/>
                      </w:rPr>
                      <w:t>F</w:t>
                    </w:r>
                  </w:p>
                </w:txbxContent>
              </v:textbox>
              <w10:wrap type="none"/>
            </v:shape>
            <v:shape style="position:absolute;left:4906;top:1166;width:177;height:311" type="#_x0000_t202" filled="false" stroked="false">
              <v:textbox inset="0,0,0,0">
                <w:txbxContent>
                  <w:p>
                    <w:pPr>
                      <w:spacing w:line="311" w:lineRule="exact" w:before="0"/>
                      <w:ind w:left="0" w:right="0" w:firstLine="0"/>
                      <w:jc w:val="left"/>
                      <w:rPr>
                        <w:b/>
                        <w:sz w:val="28"/>
                      </w:rPr>
                    </w:pPr>
                    <w:r>
                      <w:rPr>
                        <w:b/>
                        <w:w w:val="100"/>
                        <w:sz w:val="28"/>
                      </w:rPr>
                      <w:t>S</w:t>
                    </w:r>
                  </w:p>
                </w:txbxContent>
              </v:textbox>
              <w10:wrap type="none"/>
            </v:shape>
            <v:shape style="position:absolute;left:3420;top:1281;width:192;height:311" type="#_x0000_t202" filled="false" stroked="false">
              <v:textbox inset="0,0,0,0">
                <w:txbxContent>
                  <w:p>
                    <w:pPr>
                      <w:spacing w:line="311" w:lineRule="exact" w:before="0"/>
                      <w:ind w:left="0" w:right="0" w:firstLine="0"/>
                      <w:jc w:val="left"/>
                      <w:rPr>
                        <w:b/>
                        <w:sz w:val="28"/>
                      </w:rPr>
                    </w:pPr>
                    <w:r>
                      <w:rPr>
                        <w:b/>
                        <w:w w:val="100"/>
                        <w:sz w:val="28"/>
                      </w:rPr>
                      <w:t>F</w:t>
                    </w:r>
                  </w:p>
                </w:txbxContent>
              </v:textbox>
              <w10:wrap type="none"/>
            </v:shape>
            <v:shape style="position:absolute;left:7548;top:786;width:192;height:311" type="#_x0000_t202" filled="false" stroked="false">
              <v:textbox inset="0,0,0,0">
                <w:txbxContent>
                  <w:p>
                    <w:pPr>
                      <w:spacing w:line="311" w:lineRule="exact" w:before="0"/>
                      <w:ind w:left="0" w:right="0" w:firstLine="0"/>
                      <w:jc w:val="left"/>
                      <w:rPr>
                        <w:b/>
                        <w:sz w:val="28"/>
                      </w:rPr>
                    </w:pPr>
                    <w:r>
                      <w:rPr>
                        <w:b/>
                        <w:w w:val="100"/>
                        <w:sz w:val="28"/>
                      </w:rPr>
                      <w:t>F</w:t>
                    </w:r>
                  </w:p>
                </w:txbxContent>
              </v:textbox>
              <w10:wrap type="none"/>
            </v:shape>
            <v:shape style="position:absolute;left:2592;top:962;width:239;height:311" type="#_x0000_t202" filled="false" stroked="false">
              <v:textbox inset="0,0,0,0">
                <w:txbxContent>
                  <w:p>
                    <w:pPr>
                      <w:spacing w:line="311" w:lineRule="exact" w:before="0"/>
                      <w:ind w:left="0" w:right="0" w:firstLine="0"/>
                      <w:jc w:val="left"/>
                      <w:rPr>
                        <w:b/>
                        <w:sz w:val="28"/>
                      </w:rPr>
                    </w:pPr>
                    <w:r>
                      <w:rPr>
                        <w:b/>
                        <w:w w:val="100"/>
                        <w:sz w:val="28"/>
                      </w:rPr>
                      <w:t>G</w:t>
                    </w:r>
                  </w:p>
                </w:txbxContent>
              </v:textbox>
              <w10:wrap type="none"/>
            </v:shape>
            <w10:wrap type="topAndBottom"/>
          </v:group>
        </w:pict>
      </w:r>
      <w:r>
        <w:rPr/>
        <w:pict>
          <v:line style="position:absolute;mso-position-horizontal-relative:page;mso-position-vertical-relative:paragraph;z-index:416;mso-wrap-distance-left:0;mso-wrap-distance-right:0" from="533.801025pt,57.852928pt" to="533.801025pt,79.932928pt" stroked="true" strokeweight=".72pt" strokecolor="#000000">
            <v:stroke dashstyle="solid"/>
            <w10:wrap type="topAndBottom"/>
          </v:line>
        </w:pict>
      </w:r>
    </w:p>
    <w:p>
      <w:pPr>
        <w:pStyle w:val="BodyText"/>
      </w:pPr>
    </w:p>
    <w:p>
      <w:pPr>
        <w:pStyle w:val="BodyText"/>
      </w:pPr>
    </w:p>
    <w:p>
      <w:pPr>
        <w:pStyle w:val="BodyText"/>
      </w:pPr>
    </w:p>
    <w:p>
      <w:pPr>
        <w:pStyle w:val="BodyText"/>
        <w:spacing w:before="5"/>
        <w:rPr>
          <w:sz w:val="26"/>
        </w:rPr>
      </w:pPr>
    </w:p>
    <w:p>
      <w:pPr>
        <w:spacing w:before="94"/>
        <w:ind w:left="419" w:right="0" w:firstLine="0"/>
        <w:jc w:val="left"/>
        <w:rPr>
          <w:sz w:val="16"/>
        </w:rPr>
      </w:pPr>
      <w:r>
        <w:rPr>
          <w:sz w:val="16"/>
        </w:rPr>
        <w:t>Note: F = Forest land, G = Grassland, C = Cropland, W = Wetlands, S = Settlements, O = Other land.</w:t>
      </w:r>
    </w:p>
    <w:p>
      <w:pPr>
        <w:pStyle w:val="BodyText"/>
        <w:rPr>
          <w:sz w:val="18"/>
        </w:rPr>
      </w:pPr>
    </w:p>
    <w:p>
      <w:pPr>
        <w:pStyle w:val="BodyText"/>
        <w:spacing w:before="7"/>
        <w:rPr>
          <w:sz w:val="22"/>
        </w:rPr>
      </w:pPr>
    </w:p>
    <w:p>
      <w:pPr>
        <w:pStyle w:val="BodyText"/>
        <w:spacing w:before="1"/>
        <w:ind w:left="419" w:right="544"/>
        <w:jc w:val="both"/>
      </w:pPr>
      <w:r>
        <w:rPr/>
        <w:t>Data, using either a grid or polygons, at a fine scale could directly account for units of land on which afforestation, reforestation or deforestation has occurred under Article 3.3. Gridded data may be available from remote sensing and will normally be combined with ancillary mapped data (such as forest inventories or soil maps) to improve the accuracy of land-use classification. The building of models to relate remote sensing to ground truth data is a highly skilled process, and hence is discussed in more detail in Section 2.4.4.1 (Remote sensing techniques).</w:t>
      </w:r>
    </w:p>
    <w:p>
      <w:pPr>
        <w:spacing w:after="0"/>
        <w:jc w:val="both"/>
        <w:sectPr>
          <w:pgSz w:w="11900" w:h="16840"/>
          <w:pgMar w:header="230" w:footer="408" w:top="560" w:bottom="600" w:left="1000" w:right="860"/>
        </w:sectPr>
      </w:pPr>
    </w:p>
    <w:p>
      <w:pPr>
        <w:pStyle w:val="BodyText"/>
      </w:pPr>
    </w:p>
    <w:p>
      <w:pPr>
        <w:pStyle w:val="BodyText"/>
        <w:spacing w:before="2"/>
        <w:rPr>
          <w:sz w:val="18"/>
        </w:rPr>
      </w:pPr>
    </w:p>
    <w:p>
      <w:pPr>
        <w:spacing w:before="0"/>
        <w:ind w:left="419" w:right="0" w:firstLine="0"/>
        <w:jc w:val="left"/>
        <w:rPr>
          <w:sz w:val="20"/>
        </w:rPr>
      </w:pPr>
      <w:r>
        <w:rPr>
          <w:sz w:val="20"/>
        </w:rPr>
        <w:t>When using Approach 3, it </w:t>
      </w:r>
      <w:r>
        <w:rPr>
          <w:i/>
          <w:sz w:val="20"/>
        </w:rPr>
        <w:t>is good practice </w:t>
      </w:r>
      <w:r>
        <w:rPr>
          <w:sz w:val="20"/>
        </w:rPr>
        <w:t>to:</w:t>
      </w:r>
    </w:p>
    <w:p>
      <w:pPr>
        <w:pStyle w:val="ListParagraph"/>
        <w:numPr>
          <w:ilvl w:val="0"/>
          <w:numId w:val="2"/>
        </w:numPr>
        <w:tabs>
          <w:tab w:pos="780" w:val="left" w:leader="none"/>
        </w:tabs>
        <w:spacing w:line="235" w:lineRule="auto" w:before="138" w:after="0"/>
        <w:ind w:left="760" w:right="544" w:hanging="341"/>
        <w:jc w:val="both"/>
        <w:rPr>
          <w:sz w:val="20"/>
        </w:rPr>
      </w:pPr>
      <w:r>
        <w:rPr>
          <w:sz w:val="20"/>
        </w:rPr>
        <w:t>Use a sampling strategy consistent with the approaches and advice provided in Section 2.4.2 and Section 5.3 of Chapter 5. This strategy should ensure that the data are unbiased and can be scaled up where necessary. The number and location of the sampling units may need to change over time in order to remain representative. Advice on time evolution is given in Section 5.3.3 (Sampling design) in Chapter</w:t>
      </w:r>
      <w:r>
        <w:rPr>
          <w:spacing w:val="-17"/>
          <w:sz w:val="20"/>
        </w:rPr>
        <w:t> </w:t>
      </w:r>
      <w:r>
        <w:rPr>
          <w:sz w:val="20"/>
        </w:rPr>
        <w:t>5.</w:t>
      </w:r>
    </w:p>
    <w:p>
      <w:pPr>
        <w:pStyle w:val="ListParagraph"/>
        <w:numPr>
          <w:ilvl w:val="0"/>
          <w:numId w:val="2"/>
        </w:numPr>
        <w:tabs>
          <w:tab w:pos="780" w:val="left" w:leader="none"/>
        </w:tabs>
        <w:spacing w:line="237" w:lineRule="auto" w:before="134" w:after="0"/>
        <w:ind w:left="760" w:right="541" w:hanging="341"/>
        <w:jc w:val="both"/>
        <w:rPr>
          <w:sz w:val="20"/>
        </w:rPr>
      </w:pPr>
      <w:r>
        <w:rPr>
          <w:sz w:val="20"/>
        </w:rPr>
        <w:t>Where remote sensing data are used, develop a method for its interpretation into land categories using ground reference data as set out in Section 2.4.4.1 (Remote sensing techniques). Conventional forest inventories or other survey data can be used for this. It is necessary to avoid possible misclassification of land types – e.g., wetlands may be difficult to distinguish from forest land using remote sensing data alone thereby requiring ancillary data such as soil type or topography. Hence map accuracy can be established by means of ground reference data as outlined in the same section. The conventional technique is to establish a matrix</w:t>
      </w:r>
      <w:r>
        <w:rPr>
          <w:sz w:val="20"/>
          <w:vertAlign w:val="superscript"/>
        </w:rPr>
        <w:t>6</w:t>
      </w:r>
      <w:r>
        <w:rPr>
          <w:sz w:val="20"/>
          <w:vertAlign w:val="baseline"/>
        </w:rPr>
        <w:t> showing, for any given classification of land, the probability of misclassification as one of the other candidate</w:t>
      </w:r>
      <w:r>
        <w:rPr>
          <w:spacing w:val="-1"/>
          <w:sz w:val="20"/>
          <w:vertAlign w:val="baseline"/>
        </w:rPr>
        <w:t> </w:t>
      </w:r>
      <w:r>
        <w:rPr>
          <w:sz w:val="20"/>
          <w:vertAlign w:val="baseline"/>
        </w:rPr>
        <w:t>classifications.</w:t>
      </w:r>
    </w:p>
    <w:p>
      <w:pPr>
        <w:pStyle w:val="ListParagraph"/>
        <w:numPr>
          <w:ilvl w:val="0"/>
          <w:numId w:val="2"/>
        </w:numPr>
        <w:tabs>
          <w:tab w:pos="780" w:val="left" w:leader="none"/>
        </w:tabs>
        <w:spacing w:line="223" w:lineRule="auto" w:before="145" w:after="0"/>
        <w:ind w:left="760" w:right="546" w:hanging="341"/>
        <w:jc w:val="both"/>
        <w:rPr>
          <w:sz w:val="20"/>
        </w:rPr>
      </w:pPr>
      <w:r>
        <w:rPr>
          <w:sz w:val="20"/>
        </w:rPr>
        <w:t>Construct confidence intervals for those land category areas and changes in area that will be used in the estimation of carbon stock changes, emissions and removals (see Chapter 5 Section</w:t>
      </w:r>
      <w:r>
        <w:rPr>
          <w:spacing w:val="-14"/>
          <w:sz w:val="20"/>
        </w:rPr>
        <w:t> </w:t>
      </w:r>
      <w:r>
        <w:rPr>
          <w:sz w:val="20"/>
        </w:rPr>
        <w:t>5.3.4.1).</w:t>
      </w:r>
    </w:p>
    <w:p>
      <w:pPr>
        <w:pStyle w:val="ListParagraph"/>
        <w:numPr>
          <w:ilvl w:val="0"/>
          <w:numId w:val="2"/>
        </w:numPr>
        <w:tabs>
          <w:tab w:pos="780" w:val="left" w:leader="none"/>
        </w:tabs>
        <w:spacing w:line="223" w:lineRule="auto" w:before="151" w:after="0"/>
        <w:ind w:left="760" w:right="543" w:hanging="341"/>
        <w:jc w:val="both"/>
        <w:rPr>
          <w:sz w:val="20"/>
        </w:rPr>
      </w:pPr>
      <w:r>
        <w:rPr>
          <w:sz w:val="20"/>
        </w:rPr>
        <w:t>Derive summary tables of the national areas under different land-use change (similar to those described for Approach 2 for QA/QC</w:t>
      </w:r>
      <w:r>
        <w:rPr>
          <w:spacing w:val="-1"/>
          <w:sz w:val="20"/>
        </w:rPr>
        <w:t> </w:t>
      </w:r>
      <w:r>
        <w:rPr>
          <w:sz w:val="20"/>
        </w:rPr>
        <w:t>purposes.</w:t>
      </w:r>
    </w:p>
    <w:p>
      <w:pPr>
        <w:pStyle w:val="BodyText"/>
        <w:rPr>
          <w:sz w:val="22"/>
        </w:rPr>
      </w:pPr>
    </w:p>
    <w:p>
      <w:pPr>
        <w:pStyle w:val="BodyText"/>
        <w:spacing w:before="5"/>
      </w:pPr>
    </w:p>
    <w:p>
      <w:pPr>
        <w:pStyle w:val="Heading2"/>
        <w:numPr>
          <w:ilvl w:val="2"/>
          <w:numId w:val="15"/>
        </w:numPr>
        <w:tabs>
          <w:tab w:pos="1427" w:val="left" w:leader="none"/>
          <w:tab w:pos="1428" w:val="left" w:leader="none"/>
        </w:tabs>
        <w:spacing w:line="240" w:lineRule="auto" w:before="0" w:after="0"/>
        <w:ind w:left="1427" w:right="0" w:hanging="1008"/>
        <w:jc w:val="left"/>
      </w:pPr>
      <w:r>
        <w:rPr>
          <w:spacing w:val="7"/>
        </w:rPr>
        <w:t>Using </w:t>
      </w:r>
      <w:r>
        <w:rPr>
          <w:spacing w:val="6"/>
        </w:rPr>
        <w:t>the</w:t>
      </w:r>
      <w:r>
        <w:rPr>
          <w:spacing w:val="34"/>
        </w:rPr>
        <w:t> </w:t>
      </w:r>
      <w:r>
        <w:rPr>
          <w:spacing w:val="9"/>
        </w:rPr>
        <w:t>Approaches</w:t>
      </w:r>
    </w:p>
    <w:p>
      <w:pPr>
        <w:pStyle w:val="BodyText"/>
        <w:spacing w:before="114"/>
        <w:ind w:left="419" w:right="544"/>
        <w:jc w:val="both"/>
      </w:pPr>
      <w:r>
        <w:rPr/>
        <w:t>Figures 2.3.2 and 2.3.3 are decision trees to assist in choosing an appropriate approach or mix of approaches for identifying land-use areas. All three approaches can, if implemented consistently with the requirements in Chapters 3 to 5, be used to produce greenhouse gas emission and removal estimates that are consistent with </w:t>
      </w:r>
      <w:r>
        <w:rPr>
          <w:i/>
        </w:rPr>
        <w:t>good practice</w:t>
      </w:r>
      <w:r>
        <w:rPr/>
        <w:t>. In general, Approach 3 will allow for the spatial representation required as an input to spatially based carbon models (described in Chapter 3).</w:t>
      </w:r>
    </w:p>
    <w:p>
      <w:pPr>
        <w:pStyle w:val="BodyText"/>
        <w:spacing w:before="119"/>
        <w:ind w:left="419" w:right="542"/>
        <w:jc w:val="both"/>
      </w:pPr>
      <w:r>
        <w:rPr/>
        <w:t>The use of one or more approaches in a country will depend on, amongst other factors, spatial variability, the size and accessibility of remote areas, the history of biogeographical data collection, the availability of remote sensing staff and resources (outsourced, if necessary) and the availability of spatially explicit carbon data and/or models. Most countries will have some existing land-use data and the decision tree in Figure 2.3.2 is provided to assist in using this data in ways that meet the guidance in this Chapter. There are three key decisions to be taken: is spatially explicit data required for Kyoto Protocol reporting, do the data cover the whole country and do they provide an adequate time series.</w:t>
      </w:r>
    </w:p>
    <w:p>
      <w:pPr>
        <w:pStyle w:val="BodyText"/>
        <w:spacing w:before="118"/>
        <w:ind w:left="419" w:right="542"/>
        <w:jc w:val="both"/>
      </w:pPr>
      <w:r>
        <w:rPr/>
        <w:t>For the few countries with no existing data, the decision tree in Figure 2.3.3 is provided to assist in choosing an appropriate approach or mix of approaches. Broadly speaking, good accessibility to all land area and/or limited remote sensing resources are indicators for greater emphasis on field survey methods to develop land-use databases. Countries with more difficult access to some locations but with access to good remote sensing data, should consider Approach 3 with an emphasis on remote sensing. Approach 2 may be more appropriate in countries where the land area is large but resources to handle the extensive high resolution data required by Approach 3 are not available. Countries with poor accessibility and limited remote sensing resources are unlikely to be able to develop databases suitable for Approach 2 or 3 but should be able to use Approach 1, either from FAO data (database on land use and land cover) or other internationally available databases (e.g., see Annex 2A.2).</w:t>
      </w:r>
    </w:p>
    <w:p>
      <w:pPr>
        <w:pStyle w:val="BodyText"/>
        <w:spacing w:before="120"/>
        <w:ind w:left="419" w:right="547"/>
        <w:jc w:val="both"/>
      </w:pPr>
      <w:r>
        <w:rPr/>
        <w:t>Different Approaches may be more effective over different time periods, or may be required for different reporting purposes. Chapter 5 provides methods to carry out matching of the time series between the different periods or uses that are likely to be necessary.</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pPr>
      <w:r>
        <w:rPr/>
        <w:pict>
          <v:line style="position:absolute;mso-position-horizontal-relative:page;mso-position-vertical-relative:paragraph;z-index:536;mso-wrap-distance-left:0;mso-wrap-distance-right:0" from="70.960999pt,13.919063pt" to="214.960999pt,13.919063pt" stroked="true" strokeweight=".48pt" strokecolor="#000000">
            <v:stroke dashstyle="solid"/>
            <w10:wrap type="topAndBottom"/>
          </v:line>
        </w:pict>
      </w:r>
    </w:p>
    <w:p>
      <w:pPr>
        <w:spacing w:before="153"/>
        <w:ind w:left="419" w:right="0" w:firstLine="0"/>
        <w:jc w:val="left"/>
        <w:rPr>
          <w:sz w:val="18"/>
        </w:rPr>
      </w:pPr>
      <w:r>
        <w:rPr>
          <w:position w:val="8"/>
          <w:sz w:val="12"/>
        </w:rPr>
        <w:t>6 </w:t>
      </w:r>
      <w:r>
        <w:rPr>
          <w:sz w:val="18"/>
        </w:rPr>
        <w:t>Sometimes called the </w:t>
      </w:r>
      <w:r>
        <w:rPr>
          <w:i/>
          <w:sz w:val="18"/>
        </w:rPr>
        <w:t>confusion matrix</w:t>
      </w:r>
      <w:r>
        <w:rPr>
          <w:sz w:val="18"/>
        </w:rPr>
        <w:t>.</w:t>
      </w:r>
    </w:p>
    <w:p>
      <w:pPr>
        <w:spacing w:after="0"/>
        <w:jc w:val="left"/>
        <w:rPr>
          <w:sz w:val="18"/>
        </w:rPr>
        <w:sectPr>
          <w:pgSz w:w="11900" w:h="16840"/>
          <w:pgMar w:header="230" w:footer="408" w:top="560" w:bottom="600" w:left="1000" w:right="860"/>
        </w:sectPr>
      </w:pPr>
    </w:p>
    <w:p>
      <w:pPr>
        <w:pStyle w:val="BodyText"/>
      </w:pPr>
    </w:p>
    <w:p>
      <w:pPr>
        <w:pStyle w:val="BodyText"/>
        <w:rPr>
          <w:sz w:val="19"/>
        </w:rPr>
      </w:pPr>
    </w:p>
    <w:p>
      <w:pPr>
        <w:tabs>
          <w:tab w:pos="2119" w:val="left" w:leader="none"/>
        </w:tabs>
        <w:spacing w:before="91"/>
        <w:ind w:left="419" w:right="0" w:firstLine="0"/>
        <w:jc w:val="left"/>
        <w:rPr>
          <w:b/>
          <w:sz w:val="20"/>
        </w:rPr>
      </w:pPr>
      <w:r>
        <w:rPr>
          <w:b/>
          <w:spacing w:val="8"/>
          <w:sz w:val="20"/>
        </w:rPr>
        <w:t>Figure</w:t>
      </w:r>
      <w:r>
        <w:rPr>
          <w:b/>
          <w:spacing w:val="19"/>
          <w:sz w:val="20"/>
        </w:rPr>
        <w:t> </w:t>
      </w:r>
      <w:r>
        <w:rPr>
          <w:b/>
          <w:spacing w:val="8"/>
          <w:sz w:val="20"/>
        </w:rPr>
        <w:t>2.3.2</w:t>
        <w:tab/>
        <w:t>Decision</w:t>
      </w:r>
      <w:r>
        <w:rPr>
          <w:b/>
          <w:spacing w:val="20"/>
          <w:sz w:val="20"/>
        </w:rPr>
        <w:t> </w:t>
      </w:r>
      <w:r>
        <w:rPr>
          <w:b/>
          <w:spacing w:val="8"/>
          <w:sz w:val="20"/>
        </w:rPr>
        <w:t>tree</w:t>
      </w:r>
      <w:r>
        <w:rPr>
          <w:b/>
          <w:spacing w:val="20"/>
          <w:sz w:val="20"/>
        </w:rPr>
        <w:t> </w:t>
      </w:r>
      <w:r>
        <w:rPr>
          <w:b/>
          <w:spacing w:val="6"/>
          <w:sz w:val="20"/>
        </w:rPr>
        <w:t>for</w:t>
      </w:r>
      <w:r>
        <w:rPr>
          <w:b/>
          <w:spacing w:val="20"/>
          <w:sz w:val="20"/>
        </w:rPr>
        <w:t> </w:t>
      </w:r>
      <w:r>
        <w:rPr>
          <w:b/>
          <w:spacing w:val="6"/>
          <w:sz w:val="20"/>
        </w:rPr>
        <w:t>use</w:t>
      </w:r>
      <w:r>
        <w:rPr>
          <w:b/>
          <w:spacing w:val="20"/>
          <w:sz w:val="20"/>
        </w:rPr>
        <w:t> </w:t>
      </w:r>
      <w:r>
        <w:rPr>
          <w:b/>
          <w:spacing w:val="5"/>
          <w:sz w:val="20"/>
        </w:rPr>
        <w:t>of</w:t>
      </w:r>
      <w:r>
        <w:rPr>
          <w:b/>
          <w:spacing w:val="20"/>
          <w:sz w:val="20"/>
        </w:rPr>
        <w:t> </w:t>
      </w:r>
      <w:r>
        <w:rPr>
          <w:b/>
          <w:spacing w:val="8"/>
          <w:sz w:val="20"/>
        </w:rPr>
        <w:t>existing</w:t>
      </w:r>
      <w:r>
        <w:rPr>
          <w:b/>
          <w:spacing w:val="20"/>
          <w:sz w:val="20"/>
        </w:rPr>
        <w:t> </w:t>
      </w:r>
      <w:r>
        <w:rPr>
          <w:b/>
          <w:spacing w:val="7"/>
          <w:sz w:val="20"/>
        </w:rPr>
        <w:t>data</w:t>
      </w:r>
      <w:r>
        <w:rPr>
          <w:b/>
          <w:spacing w:val="20"/>
          <w:sz w:val="20"/>
        </w:rPr>
        <w:t> </w:t>
      </w:r>
      <w:r>
        <w:rPr>
          <w:b/>
          <w:spacing w:val="5"/>
          <w:sz w:val="20"/>
        </w:rPr>
        <w:t>in</w:t>
      </w:r>
      <w:r>
        <w:rPr>
          <w:b/>
          <w:spacing w:val="20"/>
          <w:sz w:val="20"/>
        </w:rPr>
        <w:t> </w:t>
      </w:r>
      <w:r>
        <w:rPr>
          <w:b/>
          <w:spacing w:val="7"/>
          <w:sz w:val="20"/>
        </w:rPr>
        <w:t>the</w:t>
      </w:r>
      <w:r>
        <w:rPr>
          <w:b/>
          <w:spacing w:val="20"/>
          <w:sz w:val="20"/>
        </w:rPr>
        <w:t> </w:t>
      </w:r>
      <w:r>
        <w:rPr>
          <w:b/>
          <w:spacing w:val="8"/>
          <w:sz w:val="20"/>
        </w:rPr>
        <w:t>land</w:t>
      </w:r>
      <w:r>
        <w:rPr>
          <w:b/>
          <w:spacing w:val="20"/>
          <w:sz w:val="20"/>
        </w:rPr>
        <w:t> </w:t>
      </w:r>
      <w:r>
        <w:rPr>
          <w:b/>
          <w:spacing w:val="8"/>
          <w:sz w:val="20"/>
        </w:rPr>
        <w:t>area</w:t>
      </w:r>
      <w:r>
        <w:rPr>
          <w:b/>
          <w:spacing w:val="20"/>
          <w:sz w:val="20"/>
        </w:rPr>
        <w:t> </w:t>
      </w:r>
      <w:r>
        <w:rPr>
          <w:b/>
          <w:spacing w:val="10"/>
          <w:sz w:val="20"/>
        </w:rPr>
        <w:t>approaches</w:t>
      </w:r>
    </w:p>
    <w:p>
      <w:pPr>
        <w:pStyle w:val="BodyText"/>
        <w:spacing w:before="10"/>
        <w:rPr>
          <w:b/>
          <w:sz w:val="22"/>
        </w:rPr>
      </w:pPr>
      <w:r>
        <w:rPr/>
        <w:pict>
          <v:shape style="position:absolute;margin-left:72.161003pt;margin-top:15.512881pt;width:102.5pt;height:37.35pt;mso-position-horizontal-relative:page;mso-position-vertical-relative:paragraph;z-index:560;mso-wrap-distance-left:0;mso-wrap-distance-right:0" type="#_x0000_t202" filled="false" stroked="true" strokeweight=".75pt" strokecolor="#010101">
            <v:textbox inset="0,0,0,0">
              <w:txbxContent>
                <w:p>
                  <w:pPr>
                    <w:spacing w:before="29"/>
                    <w:ind w:left="42" w:right="39" w:firstLine="0"/>
                    <w:jc w:val="center"/>
                    <w:rPr>
                      <w:b/>
                      <w:sz w:val="20"/>
                    </w:rPr>
                  </w:pPr>
                  <w:r>
                    <w:rPr>
                      <w:b/>
                      <w:sz w:val="20"/>
                    </w:rPr>
                    <w:t>Identify a primary existing land-use dataset for the country</w:t>
                  </w:r>
                </w:p>
              </w:txbxContent>
            </v:textbox>
            <v:stroke dashstyle="solid"/>
            <w10:wrap type="topAndBottom"/>
          </v:shape>
        </w:pict>
      </w:r>
    </w:p>
    <w:p>
      <w:pPr>
        <w:pStyle w:val="BodyText"/>
        <w:spacing w:before="6"/>
        <w:rPr>
          <w:b/>
          <w:sz w:val="28"/>
        </w:rPr>
      </w:pPr>
    </w:p>
    <w:p>
      <w:pPr>
        <w:spacing w:after="0"/>
        <w:rPr>
          <w:sz w:val="28"/>
        </w:rPr>
        <w:sectPr>
          <w:pgSz w:w="11900" w:h="16840"/>
          <w:pgMar w:header="230" w:footer="408" w:top="560" w:bottom="600" w:left="1000" w:right="860"/>
        </w:sectPr>
      </w:pPr>
    </w:p>
    <w:p>
      <w:pPr>
        <w:pStyle w:val="BodyText"/>
        <w:spacing w:before="11"/>
        <w:rPr>
          <w:b/>
          <w:sz w:val="22"/>
        </w:rPr>
      </w:pPr>
    </w:p>
    <w:p>
      <w:pPr>
        <w:pStyle w:val="BodyText"/>
        <w:spacing w:line="205" w:lineRule="exact"/>
        <w:ind w:left="609" w:right="377"/>
        <w:jc w:val="center"/>
      </w:pPr>
      <w:r>
        <w:rPr/>
        <w:t>Is the</w:t>
      </w:r>
    </w:p>
    <w:p>
      <w:pPr>
        <w:pStyle w:val="BodyText"/>
        <w:tabs>
          <w:tab w:pos="2084" w:val="left" w:leader="none"/>
        </w:tabs>
        <w:spacing w:line="255" w:lineRule="exact"/>
        <w:ind w:left="964"/>
      </w:pPr>
      <w:r>
        <w:rPr/>
        <w:t>primary</w:t>
        <w:tab/>
      </w:r>
      <w:r>
        <w:rPr>
          <w:spacing w:val="-10"/>
          <w:position w:val="5"/>
        </w:rPr>
        <w:t>No</w:t>
      </w:r>
    </w:p>
    <w:p>
      <w:pPr>
        <w:pStyle w:val="BodyText"/>
        <w:ind w:left="616" w:right="377"/>
        <w:jc w:val="center"/>
      </w:pPr>
      <w:r>
        <w:rPr/>
        <w:t>data set spatially explicit for all land</w:t>
      </w:r>
    </w:p>
    <w:p>
      <w:pPr>
        <w:pStyle w:val="BodyText"/>
        <w:spacing w:line="214" w:lineRule="exact"/>
        <w:ind w:left="605" w:right="377"/>
        <w:jc w:val="center"/>
      </w:pPr>
      <w:r>
        <w:rPr/>
        <w:t>areas?</w:t>
      </w:r>
    </w:p>
    <w:p>
      <w:pPr>
        <w:pStyle w:val="BodyText"/>
        <w:spacing w:before="91"/>
        <w:ind w:left="529" w:right="318"/>
        <w:jc w:val="center"/>
      </w:pPr>
      <w:r>
        <w:rPr/>
        <w:br w:type="column"/>
      </w:r>
      <w:r>
        <w:rPr/>
        <w:t>Is   </w:t>
      </w:r>
      <w:r>
        <w:rPr>
          <w:w w:val="95"/>
        </w:rPr>
        <w:t>spatially</w:t>
      </w:r>
    </w:p>
    <w:p>
      <w:pPr>
        <w:pStyle w:val="BodyText"/>
        <w:ind w:left="208" w:hanging="2"/>
        <w:jc w:val="center"/>
      </w:pPr>
      <w:r>
        <w:rPr/>
        <w:pict>
          <v:group style="position:absolute;margin-left:71.786003pt;margin-top:-46.223713pt;width:447.9pt;height:606pt;mso-position-horizontal-relative:page;mso-position-vertical-relative:paragraph;z-index:-2453536" coordorigin="1436,-924" coordsize="8958,12120">
            <v:shape style="position:absolute;left:1443;top:-575;width:5403;height:9536" coordorigin="1443,-574" coordsize="5403,9536" path="m2281,-574l1443,381,2281,1336,3121,381,2281,-574xm2840,7281l1443,8121,2840,8961,4237,8121,2840,7281xm5636,7281l4424,8121,5636,8961,6846,8121,5636,7281xe" filled="false" stroked="true" strokeweight=".75pt" strokecolor="#010101">
              <v:path arrowok="t"/>
              <v:stroke dashstyle="solid"/>
            </v:shape>
            <v:rect style="position:absolute;left:1815;top:10077;width:2050;height:752" filled="false" stroked="true" strokeweight=".75pt" strokecolor="#010101">
              <v:stroke dashstyle="solid"/>
            </v:rect>
            <v:shape style="position:absolute;left:2780;top:9697;width:120;height:380" type="#_x0000_t75" stroked="false">
              <v:imagedata r:id="rId41" o:title=""/>
            </v:shape>
            <v:shape style="position:absolute;left:4721;top:9517;width:3802;height:1491" coordorigin="4722,9518" coordsize="3802,1491" path="m4722,11008l6586,11008,6586,9518,4722,9518,4722,11008xm7033,11008l8523,11008,8523,9518,7033,9518,7033,11008xe" filled="false" stroked="true" strokeweight=".75pt" strokecolor="#010101">
              <v:path arrowok="t"/>
              <v:stroke dashstyle="solid"/>
            </v:shape>
            <v:shape style="position:absolute;left:2780;top:8951;width:6869;height:2244" coordorigin="2780,8952" coordsize="6869,2244" path="m5694,9398l5641,9399,5638,8961,5638,8956,5636,8952,5626,8952,5624,8956,5624,9399,5574,9400,5634,9518,5679,9427,5694,9398m7040,10262l7038,10257,6706,10257,6706,10204,6586,10264,6706,10324,6706,10272,7038,10272,7040,10269,7040,10262m9649,10632l9646,10629,9637,10629,9634,10632,9634,11181,2847,11181,2847,10948,2900,10948,2886,10920,2840,10828,2780,10948,2833,10948,2833,11193,2838,11196,9646,11196,9649,11193,9649,11188,9649,11181,9649,10632e" filled="true" fillcolor="#010101" stroked="false">
              <v:path arrowok="t"/>
              <v:fill type="solid"/>
            </v:shape>
            <v:shape style="position:absolute;left:7032;top:7281;width:2050;height:1680" coordorigin="7033,7281" coordsize="2050,1680" path="m8058,7281l7033,8121,8058,8961,9082,8121,8058,7281xe" filled="false" stroked="true" strokeweight=".75pt" strokecolor="#010101">
              <v:path arrowok="t"/>
              <v:stroke dashstyle="solid"/>
            </v:shape>
            <v:shape style="position:absolute;left:8002;top:8951;width:120;height:567" coordorigin="8002,8952" coordsize="120,567" path="m8055,9399l8002,9400,8062,9518,8108,9427,8058,9427,8055,9424,8055,9399xm8070,9399l8055,9399,8055,9424,8058,9427,8067,9427,8070,9424,8070,9399xm8122,9398l8070,9399,8070,9424,8067,9427,8108,9427,8122,9398xm8065,8952l8058,8952,8055,8956,8055,9399,8070,9399,8070,8956,8065,8952xe" filled="true" fillcolor="#010101" stroked="false">
              <v:path arrowok="t"/>
              <v:fill type="solid"/>
            </v:shape>
            <v:shape style="position:absolute;left:2780;top:8951;width:120;height:195" type="#_x0000_t75" stroked="false">
              <v:imagedata r:id="rId42" o:title=""/>
            </v:shape>
            <v:shape style="position:absolute;left:9075;top:8113;width:627;height:848" coordorigin="9075,8114" coordsize="627,848" path="m9634,8841l9582,8841,9642,8961,9688,8868,9637,8868,9634,8865,9634,8841xm9634,8121l9634,8865,9637,8868,9646,8868,9649,8865,9649,8131,9642,8131,9634,8121xm9702,8841l9649,8841,9649,8865,9646,8868,9688,8868,9702,8841xm9646,8114l9078,8114,9075,8119,9075,8126,9078,8131,9634,8131,9634,8121,9649,8121,9649,8119,9646,8114xm9649,8121l9634,8121,9642,8131,9649,8131,9649,8121xe" filled="true" fillcolor="#010101" stroked="false">
              <v:path arrowok="t"/>
              <v:fill type="solid"/>
            </v:shape>
            <v:shape style="position:absolute;left:4229;top:8058;width:195;height:120" type="#_x0000_t75" stroked="false">
              <v:imagedata r:id="rId43" o:title=""/>
            </v:shape>
            <v:shape style="position:absolute;left:6845;top:8056;width:202;height:120" type="#_x0000_t75" stroked="false">
              <v:imagedata r:id="rId44" o:title=""/>
            </v:shape>
            <v:shape style="position:absolute;left:2784;top:6155;width:1452;height:1126" coordorigin="2785,6156" coordsize="1452,1126" path="m4237,6348l4232,6343,2965,6345,2965,6292,2852,6349,2852,6160,2847,6156,2840,6156,2835,6160,2838,7161,2785,7161,2845,7281,2890,7190,2905,7161,2852,7161,2852,6356,2965,6412,2965,6360,4232,6360,4237,6355,4237,6348e" filled="true" fillcolor="#010101" stroked="false">
              <v:path arrowok="t"/>
              <v:fill type="solid"/>
            </v:shape>
            <v:rect style="position:absolute;left:8895;top:5418;width:1491;height:1308" filled="false" stroked="true" strokeweight=".75pt" strokecolor="#010101">
              <v:stroke dashstyle="solid"/>
            </v:rect>
            <v:shape style="position:absolute;left:6660;top:3369;width:2050;height:1673" coordorigin="6661,3369" coordsize="2050,1673" path="m7686,3369l6661,4207,7686,5042,8710,4207,7686,3369xe" filled="false" stroked="true" strokeweight=".75pt" strokecolor="#010101">
              <v:path arrowok="t"/>
              <v:stroke dashstyle="solid"/>
            </v:shape>
            <v:shape style="position:absolute;left:5016;top:4199;width:4685;height:2895" coordorigin="5017,4200" coordsize="4685,2895" path="m9649,6722l9646,6720,9637,6720,9634,6722,9634,7080,5084,7080,5084,6784,5137,6784,5124,6758,5077,6664,5017,6784,5070,6784,5070,7089,5072,7094,9646,7094,9649,7089,9649,7087,9649,7080,9649,6722m9702,5299l9649,5299,9649,4214,9649,4207,9649,4202,9646,4200,8706,4200,8703,4202,8703,4212,8706,4214,9634,4214,9634,5299,9582,5299,9642,5419,9687,5328,9702,5299e" filled="true" fillcolor="#010101" stroked="false">
              <v:path arrowok="t"/>
              <v:fill type="solid"/>
            </v:shape>
            <v:shape style="position:absolute;left:3864;top:3369;width:2424;height:1673" coordorigin="3865,3369" coordsize="2424,1673" path="m5077,3369l3865,4207,5077,5042,6289,4207,5077,3369xe" filled="false" stroked="true" strokeweight=".75pt" strokecolor="#010101">
              <v:path arrowok="t"/>
              <v:stroke dashstyle="solid"/>
            </v:shape>
            <v:shape style="position:absolute;left:5016;top:5034;width:120;height:384" type="#_x0000_t75" stroked="false">
              <v:imagedata r:id="rId45" o:title=""/>
            </v:shape>
            <v:shape style="position:absolute;left:1443;top:3369;width:2235;height:1678" coordorigin="1443,3369" coordsize="2235,1678" path="m2562,3369l1443,4209,2562,5047,3678,4209,2562,3369xe" filled="false" stroked="true" strokeweight=".75pt" strokecolor="#010101">
              <v:path arrowok="t"/>
              <v:stroke dashstyle="solid"/>
            </v:shape>
            <v:shape style="position:absolute;left:2501;top:5039;width:120;height:380" type="#_x0000_t75" stroked="false">
              <v:imagedata r:id="rId46" o:title=""/>
            </v:shape>
            <v:shape style="position:absolute;left:3670;top:4151;width:195;height:120" type="#_x0000_t75" stroked="false">
              <v:imagedata r:id="rId47" o:title=""/>
            </v:shape>
            <v:shape style="position:absolute;left:6279;top:4151;width:382;height:120" type="#_x0000_t75" stroked="false">
              <v:imagedata r:id="rId48" o:title=""/>
            </v:shape>
            <v:shape style="position:absolute;left:2501;top:2327;width:120;height:1049" coordorigin="2502,2328" coordsize="120,1049" path="m2554,3256l2502,3256,2562,3376,2607,3285,2557,3285,2554,3280,2554,3256xm2564,2328l2557,2328,2554,2330,2554,3280,2557,3285,2566,3285,2569,3280,2569,2330,2564,2328xm2622,3256l2569,3256,2569,3280,2566,3285,2607,3285,2622,3256xe" filled="true" fillcolor="#010101" stroked="false">
              <v:path arrowok="t"/>
              <v:fill type="solid"/>
            </v:shape>
            <v:shape style="position:absolute;left:3305;top:-731;width:5964;height:2240" coordorigin="3306,-730" coordsize="5964,2240" path="m4237,-730l3306,391,4237,1509,5170,391,4237,-730xm6286,-730l5355,388,6286,1507,7218,388,6286,-730xm8338,-543l7405,391,8338,1322,9270,391,8338,-543xe" filled="false" stroked="true" strokeweight=".75pt" strokecolor="#010101">
              <v:path arrowok="t"/>
              <v:stroke dashstyle="solid"/>
            </v:shape>
            <v:rect style="position:absolute;left:9082;top:945;width:1304;height:1306" filled="true" fillcolor="#ffffff" stroked="false">
              <v:fill type="solid"/>
            </v:rect>
            <v:shape style="position:absolute;left:4983;top:1691;width:3912;height:1239" coordorigin="4983,1692" coordsize="3912,1239" path="m4983,2810l6846,2810,6846,1692,4983,1692,4983,2810xm7218,2930l8895,2930,8895,1692,7218,1692,7218,2930xe" filled="false" stroked="true" strokeweight=".75pt" strokecolor="#010101">
              <v:path arrowok="t"/>
              <v:stroke dashstyle="solid"/>
            </v:shape>
            <v:shape style="position:absolute;left:5854;top:381;width:3941;height:2799" coordorigin="5854,381" coordsize="3941,2799" path="m9742,2248l9740,2244,9730,2244,9728,2248,9728,3163,5922,3163,5922,2930,5974,2930,5961,2904,5914,2810,5854,2930,5907,2930,5907,3175,5910,3180,9740,3180,9742,3175,9742,3170,9742,3163,9742,2248m9795,828l9742,828,9742,396,9742,388,9742,386,9740,381,9265,381,9262,386,9262,393,9265,396,9728,396,9728,828,9675,828,9735,948,9782,854,9795,828e" filled="true" fillcolor="#010101" stroked="false">
              <v:path arrowok="t"/>
              <v:fill type="solid"/>
            </v:shape>
            <v:shape style="position:absolute;left:8278;top:1312;width:120;height:380" type="#_x0000_t75" stroked="false">
              <v:imagedata r:id="rId49" o:title=""/>
            </v:shape>
            <v:shape style="position:absolute;left:6845;top:2193;width:382;height:120" type="#_x0000_t75" stroked="false">
              <v:imagedata r:id="rId50" o:title=""/>
            </v:shape>
            <v:shape style="position:absolute;left:5163;top:328;width:192;height:120" type="#_x0000_t75" stroked="false">
              <v:imagedata r:id="rId51" o:title=""/>
            </v:shape>
            <v:shape style="position:absolute;left:7210;top:328;width:195;height:120" type="#_x0000_t75" stroked="false">
              <v:imagedata r:id="rId52" o:title=""/>
            </v:shape>
            <v:shape style="position:absolute;left:2561;top:1501;width:2429;height:1184" coordorigin="2562,1502" coordsize="2429,1184" path="m4246,1504l4242,1502,4234,1502,4230,1504,4230,1956,3241,1956,3241,1903,3121,1963,3241,2023,3241,1970,4242,1970,4246,1965,4246,1963,4246,1956,4246,1504m4990,2620l4988,2618,2682,2618,2682,2565,2562,2625,2682,2685,2682,2632,4988,2632,4990,2630,4990,2620e" filled="true" fillcolor="#010101" stroked="false">
              <v:path arrowok="t"/>
              <v:fill type="solid"/>
            </v:shape>
            <v:shape style="position:absolute;left:2223;top:1329;width:120;height:260" type="#_x0000_t75" stroked="false">
              <v:imagedata r:id="rId53" o:title=""/>
            </v:shape>
            <v:shape style="position:absolute;left:2218;top:-925;width:120;height:382" type="#_x0000_t75" stroked="false">
              <v:imagedata r:id="rId54" o:title=""/>
            </v:shape>
            <v:shape style="position:absolute;left:3111;top:321;width:195;height:120" type="#_x0000_t75" stroked="false">
              <v:imagedata r:id="rId55" o:title=""/>
            </v:shape>
            <v:shape style="position:absolute;left:6228;top:1499;width:120;height:192" type="#_x0000_t75" stroked="false">
              <v:imagedata r:id="rId56" o:title=""/>
            </v:shape>
            <v:shape style="position:absolute;left:7630;top:5039;width:120;height:380" type="#_x0000_t75" stroked="false">
              <v:imagedata r:id="rId57" o:title=""/>
            </v:shape>
            <v:shape style="position:absolute;left:3872;top:5982;width:2796;height:4416" coordorigin="3872,5983" coordsize="2796,4416" path="m4729,10334l4726,10332,3992,10332,3992,10279,3872,10341,3992,10399,3992,10348,3992,10348,4726,10346,4729,10344,4729,10334m6668,6038l6663,6036,6034,6036,6034,5983,5914,6043,6034,6103,6034,6050,6663,6050,6668,6045,6668,6038e" filled="true" fillcolor="#010101" stroked="false">
              <v:path arrowok="t"/>
              <v:fill type="solid"/>
            </v:shape>
            <w10:wrap type="none"/>
          </v:group>
        </w:pict>
      </w:r>
      <w:r>
        <w:rPr/>
        <w:t>explicit data needed for </w:t>
      </w:r>
      <w:r>
        <w:rPr>
          <w:spacing w:val="-6"/>
        </w:rPr>
        <w:t>some </w:t>
      </w:r>
      <w:r>
        <w:rPr/>
        <w:t>land</w:t>
      </w:r>
      <w:r>
        <w:rPr>
          <w:spacing w:val="-1"/>
        </w:rPr>
        <w:t> </w:t>
      </w:r>
      <w:r>
        <w:rPr/>
        <w:t>areas?</w:t>
      </w:r>
    </w:p>
    <w:p>
      <w:pPr>
        <w:pStyle w:val="BodyText"/>
        <w:spacing w:before="5"/>
        <w:ind w:left="415" w:right="210"/>
        <w:jc w:val="center"/>
      </w:pPr>
      <w:r>
        <w:rPr/>
        <w:t>(cf.</w:t>
      </w:r>
      <w:r>
        <w:rPr>
          <w:spacing w:val="-8"/>
        </w:rPr>
        <w:t> </w:t>
      </w:r>
      <w:r>
        <w:rPr/>
        <w:t>Chp.4)</w:t>
      </w:r>
    </w:p>
    <w:p>
      <w:pPr>
        <w:pStyle w:val="BodyText"/>
        <w:rPr>
          <w:sz w:val="22"/>
        </w:rPr>
      </w:pPr>
      <w:r>
        <w:rPr/>
        <w:br w:type="column"/>
      </w:r>
      <w:r>
        <w:rPr>
          <w:sz w:val="22"/>
        </w:rPr>
      </w:r>
    </w:p>
    <w:p>
      <w:pPr>
        <w:pStyle w:val="BodyText"/>
        <w:spacing w:before="193"/>
        <w:ind w:left="195"/>
      </w:pPr>
      <w:r>
        <w:rPr>
          <w:w w:val="95"/>
        </w:rPr>
        <w:t>Yes</w:t>
      </w:r>
    </w:p>
    <w:p>
      <w:pPr>
        <w:pStyle w:val="BodyText"/>
        <w:spacing w:before="10"/>
      </w:pPr>
      <w:r>
        <w:rPr/>
        <w:br w:type="column"/>
      </w:r>
      <w:r>
        <w:rPr/>
      </w:r>
    </w:p>
    <w:p>
      <w:pPr>
        <w:pStyle w:val="BodyText"/>
        <w:ind w:left="213" w:firstLine="45"/>
        <w:jc w:val="center"/>
      </w:pPr>
      <w:r>
        <w:rPr/>
        <w:t>Can a </w:t>
      </w:r>
      <w:r>
        <w:rPr>
          <w:w w:val="95"/>
        </w:rPr>
        <w:t>geographically </w:t>
      </w:r>
      <w:r>
        <w:rPr/>
        <w:t>mixed set of Approaches (1/2 &amp; 3)</w:t>
      </w:r>
    </w:p>
    <w:p>
      <w:pPr>
        <w:pStyle w:val="BodyText"/>
        <w:spacing w:line="230" w:lineRule="exact"/>
        <w:ind w:left="361" w:right="152"/>
        <w:jc w:val="center"/>
      </w:pPr>
      <w:r>
        <w:rPr/>
        <w:t>be used</w:t>
      </w:r>
    </w:p>
    <w:p>
      <w:pPr>
        <w:pStyle w:val="BodyText"/>
        <w:spacing w:before="6"/>
        <w:rPr>
          <w:sz w:val="21"/>
        </w:rPr>
      </w:pPr>
      <w:r>
        <w:rPr/>
        <w:br w:type="column"/>
      </w:r>
      <w:r>
        <w:rPr>
          <w:sz w:val="21"/>
        </w:rPr>
      </w:r>
    </w:p>
    <w:p>
      <w:pPr>
        <w:pStyle w:val="BodyText"/>
        <w:spacing w:line="215" w:lineRule="exact"/>
        <w:ind w:left="1232"/>
      </w:pPr>
      <w:r>
        <w:rPr/>
        <w:t>Does</w:t>
      </w:r>
    </w:p>
    <w:p>
      <w:pPr>
        <w:pStyle w:val="BodyText"/>
        <w:tabs>
          <w:tab w:pos="987" w:val="left" w:leader="none"/>
          <w:tab w:pos="2307" w:val="left" w:leader="none"/>
        </w:tabs>
        <w:spacing w:line="228" w:lineRule="exact" w:before="19"/>
        <w:ind w:left="258" w:right="1560"/>
        <w:jc w:val="center"/>
      </w:pPr>
      <w:r>
        <w:rPr>
          <w:position w:val="3"/>
        </w:rPr>
        <w:t>No</w:t>
        <w:tab/>
      </w:r>
      <w:r>
        <w:rPr/>
        <w:t>the</w:t>
      </w:r>
      <w:r>
        <w:rPr>
          <w:spacing w:val="-2"/>
        </w:rPr>
        <w:t> </w:t>
      </w:r>
      <w:r>
        <w:rPr/>
        <w:t>dataset</w:t>
        <w:tab/>
      </w:r>
      <w:r>
        <w:rPr>
          <w:spacing w:val="-9"/>
          <w:position w:val="3"/>
        </w:rPr>
        <w:t>No </w:t>
      </w:r>
      <w:r>
        <w:rPr/>
        <w:t>have any</w:t>
      </w:r>
      <w:r>
        <w:rPr>
          <w:spacing w:val="-2"/>
        </w:rPr>
        <w:t> </w:t>
      </w:r>
      <w:r>
        <w:rPr/>
        <w:t>under-</w:t>
      </w:r>
    </w:p>
    <w:p>
      <w:pPr>
        <w:pStyle w:val="BodyText"/>
        <w:ind w:left="920" w:right="2210"/>
        <w:jc w:val="center"/>
      </w:pPr>
      <w:r>
        <w:rPr/>
        <w:t>lying spatial information</w:t>
      </w:r>
    </w:p>
    <w:p>
      <w:pPr>
        <w:pStyle w:val="BodyText"/>
        <w:ind w:right="1289"/>
        <w:jc w:val="center"/>
      </w:pPr>
      <w:r>
        <w:rPr/>
        <w:pict>
          <v:shape style="position:absolute;margin-left:454.121002pt;margin-top:5.017095pt;width:65.2pt;height:65.3pt;mso-position-horizontal-relative:page;mso-position-vertical-relative:paragraph;z-index:2800" type="#_x0000_t202" filled="false" stroked="true" strokeweight=".75pt" strokecolor="#010101">
            <v:textbox inset="0,0,0,0">
              <w:txbxContent>
                <w:p>
                  <w:pPr>
                    <w:pStyle w:val="BodyText"/>
                    <w:spacing w:before="24"/>
                    <w:ind w:left="42" w:right="37" w:hanging="1"/>
                    <w:jc w:val="center"/>
                  </w:pPr>
                  <w:r>
                    <w:rPr/>
                    <w:t>Collect spatial information where required using guidance in this chapter</w:t>
                  </w:r>
                </w:p>
              </w:txbxContent>
            </v:textbox>
            <v:stroke dashstyle="solid"/>
            <w10:wrap type="none"/>
          </v:shape>
        </w:pict>
      </w:r>
      <w:r>
        <w:rPr>
          <w:w w:val="99"/>
        </w:rPr>
        <w:t>?</w:t>
      </w:r>
    </w:p>
    <w:p>
      <w:pPr>
        <w:spacing w:after="0"/>
        <w:jc w:val="center"/>
        <w:sectPr>
          <w:type w:val="continuous"/>
          <w:pgSz w:w="11900" w:h="16840"/>
          <w:pgMar w:top="1060" w:bottom="280" w:left="1000" w:right="860"/>
          <w:cols w:num="5" w:equalWidth="0">
            <w:col w:w="2329" w:space="40"/>
            <w:col w:w="1529" w:space="39"/>
            <w:col w:w="506" w:space="39"/>
            <w:col w:w="1404" w:space="40"/>
            <w:col w:w="4114"/>
          </w:cols>
        </w:sectPr>
      </w:pPr>
    </w:p>
    <w:p>
      <w:pPr>
        <w:pStyle w:val="BodyText"/>
        <w:spacing w:before="123"/>
        <w:ind w:right="38"/>
        <w:jc w:val="right"/>
      </w:pPr>
      <w:r>
        <w:rPr>
          <w:w w:val="95"/>
        </w:rPr>
        <w:t>Yes</w:t>
      </w:r>
    </w:p>
    <w:p>
      <w:pPr>
        <w:pStyle w:val="BodyText"/>
        <w:tabs>
          <w:tab w:pos="3195" w:val="left" w:leader="none"/>
        </w:tabs>
        <w:spacing w:line="354" w:lineRule="exact"/>
        <w:ind w:left="1525"/>
      </w:pPr>
      <w:r>
        <w:rPr/>
        <w:br w:type="column"/>
      </w:r>
      <w:r>
        <w:rPr/>
        <w:t>No</w:t>
        <w:tab/>
      </w:r>
      <w:r>
        <w:rPr>
          <w:position w:val="13"/>
        </w:rPr>
        <w:t>?</w:t>
      </w:r>
    </w:p>
    <w:p>
      <w:pPr>
        <w:pStyle w:val="BodyText"/>
        <w:spacing w:before="291"/>
        <w:ind w:left="2226"/>
      </w:pPr>
      <w:r>
        <w:rPr/>
        <w:pict>
          <v:shape style="position:absolute;margin-left:72.161003pt;margin-top:7.806252pt;width:83.9pt;height:37.35pt;mso-position-horizontal-relative:page;mso-position-vertical-relative:paragraph;z-index:2776" type="#_x0000_t202" filled="false" stroked="true" strokeweight=".75pt" strokecolor="#010101">
            <v:textbox inset="0,0,0,0">
              <w:txbxContent>
                <w:p>
                  <w:pPr>
                    <w:pStyle w:val="BodyText"/>
                    <w:spacing w:before="24"/>
                    <w:ind w:left="74" w:right="72" w:firstLine="2"/>
                    <w:jc w:val="center"/>
                  </w:pPr>
                  <w:r>
                    <w:rPr/>
                    <w:t>Primary dataset acceptable for spatial explicitness</w:t>
                  </w:r>
                </w:p>
              </w:txbxContent>
            </v:textbox>
            <v:stroke dashstyle="solid"/>
            <w10:wrap type="none"/>
          </v:shape>
        </w:pict>
      </w:r>
      <w:r>
        <w:rPr/>
        <w:t>Modify </w:t>
      </w:r>
      <w:r>
        <w:rPr>
          <w:spacing w:val="-3"/>
        </w:rPr>
        <w:t>primary</w:t>
      </w:r>
    </w:p>
    <w:p>
      <w:pPr>
        <w:pStyle w:val="BodyText"/>
        <w:tabs>
          <w:tab w:pos="1331" w:val="left" w:leader="none"/>
        </w:tabs>
        <w:spacing w:before="123"/>
        <w:ind w:left="28"/>
      </w:pPr>
      <w:r>
        <w:rPr/>
        <w:br w:type="column"/>
      </w:r>
      <w:r>
        <w:rPr/>
        <w:t>Yes</w:t>
        <w:tab/>
        <w:t>Yes</w:t>
      </w:r>
    </w:p>
    <w:p>
      <w:pPr>
        <w:pStyle w:val="BodyText"/>
        <w:spacing w:before="3"/>
        <w:rPr>
          <w:sz w:val="25"/>
        </w:rPr>
      </w:pPr>
    </w:p>
    <w:p>
      <w:pPr>
        <w:pStyle w:val="BodyText"/>
        <w:spacing w:before="1"/>
        <w:ind w:left="715"/>
      </w:pPr>
      <w:r>
        <w:rPr/>
        <w:t>Obtain and use the</w:t>
      </w:r>
    </w:p>
    <w:p>
      <w:pPr>
        <w:spacing w:after="0"/>
        <w:sectPr>
          <w:type w:val="continuous"/>
          <w:pgSz w:w="11900" w:h="16840"/>
          <w:pgMar w:top="1060" w:bottom="280" w:left="1000" w:right="860"/>
          <w:cols w:num="3" w:equalWidth="0">
            <w:col w:w="1875" w:space="172"/>
            <w:col w:w="3509" w:space="40"/>
            <w:col w:w="4444"/>
          </w:cols>
        </w:sectPr>
      </w:pPr>
    </w:p>
    <w:p>
      <w:pPr>
        <w:pStyle w:val="BodyText"/>
        <w:spacing w:line="242" w:lineRule="auto"/>
        <w:ind w:left="4040" w:hanging="2"/>
        <w:jc w:val="center"/>
      </w:pPr>
      <w:r>
        <w:rPr/>
        <w:t>dataset to use mixed Approaches (1/2 &amp; 3) or Approach 3</w:t>
      </w:r>
    </w:p>
    <w:p>
      <w:pPr>
        <w:pStyle w:val="BodyText"/>
        <w:ind w:left="515" w:right="2266" w:hanging="4"/>
        <w:jc w:val="center"/>
      </w:pPr>
      <w:r>
        <w:rPr/>
        <w:br w:type="column"/>
      </w:r>
      <w:r>
        <w:rPr/>
        <w:t>additional spatial information using guidance in this chapter</w:t>
      </w:r>
    </w:p>
    <w:p>
      <w:pPr>
        <w:spacing w:after="0"/>
        <w:jc w:val="center"/>
        <w:sectPr>
          <w:type w:val="continuous"/>
          <w:pgSz w:w="11900" w:h="16840"/>
          <w:pgMar w:top="1060" w:bottom="280" w:left="1000" w:right="860"/>
          <w:cols w:num="2" w:equalWidth="0">
            <w:col w:w="5790" w:space="40"/>
            <w:col w:w="4210"/>
          </w:cols>
        </w:sectPr>
      </w:pPr>
    </w:p>
    <w:p>
      <w:pPr>
        <w:pStyle w:val="BodyText"/>
      </w:pPr>
    </w:p>
    <w:p>
      <w:pPr>
        <w:pStyle w:val="BodyText"/>
      </w:pPr>
    </w:p>
    <w:p>
      <w:pPr>
        <w:spacing w:after="0"/>
        <w:sectPr>
          <w:type w:val="continuous"/>
          <w:pgSz w:w="11900" w:h="16840"/>
          <w:pgMar w:top="1060" w:bottom="280" w:left="1000" w:right="860"/>
        </w:sectPr>
      </w:pPr>
    </w:p>
    <w:p>
      <w:pPr>
        <w:pStyle w:val="BodyText"/>
        <w:spacing w:before="4"/>
        <w:rPr>
          <w:sz w:val="22"/>
        </w:rPr>
      </w:pPr>
    </w:p>
    <w:p>
      <w:pPr>
        <w:pStyle w:val="BodyText"/>
        <w:spacing w:line="224" w:lineRule="exact"/>
        <w:ind w:left="1149" w:right="868"/>
        <w:jc w:val="center"/>
      </w:pPr>
      <w:r>
        <w:rPr/>
        <w:t>Does</w:t>
      </w:r>
    </w:p>
    <w:p>
      <w:pPr>
        <w:pStyle w:val="BodyText"/>
        <w:tabs>
          <w:tab w:pos="2643" w:val="left" w:leader="none"/>
        </w:tabs>
        <w:ind w:left="695" w:firstLine="314"/>
      </w:pPr>
      <w:r>
        <w:rPr/>
        <w:t>the</w:t>
      </w:r>
      <w:r>
        <w:rPr>
          <w:spacing w:val="-3"/>
        </w:rPr>
        <w:t> </w:t>
      </w:r>
      <w:r>
        <w:rPr/>
        <w:t>(modified)</w:t>
        <w:tab/>
      </w:r>
      <w:r>
        <w:rPr>
          <w:spacing w:val="-10"/>
          <w:position w:val="1"/>
        </w:rPr>
        <w:t>No </w:t>
      </w:r>
      <w:r>
        <w:rPr/>
        <w:t>primary dataset</w:t>
      </w:r>
      <w:r>
        <w:rPr>
          <w:spacing w:val="-3"/>
        </w:rPr>
        <w:t> </w:t>
      </w:r>
      <w:r>
        <w:rPr/>
        <w:t>cover</w:t>
      </w:r>
    </w:p>
    <w:p>
      <w:pPr>
        <w:pStyle w:val="BodyText"/>
        <w:ind w:left="1149" w:right="914"/>
        <w:jc w:val="center"/>
      </w:pPr>
      <w:r>
        <w:rPr/>
        <w:t>the whole country?</w:t>
      </w:r>
    </w:p>
    <w:p>
      <w:pPr>
        <w:pStyle w:val="BodyText"/>
        <w:spacing w:before="185"/>
        <w:ind w:left="1710"/>
      </w:pPr>
      <w:r>
        <w:rPr/>
        <w:t>Yes</w:t>
      </w:r>
    </w:p>
    <w:p>
      <w:pPr>
        <w:pStyle w:val="BodyText"/>
        <w:spacing w:before="4"/>
        <w:rPr>
          <w:sz w:val="22"/>
        </w:rPr>
      </w:pPr>
      <w:r>
        <w:rPr/>
        <w:br w:type="column"/>
      </w:r>
      <w:r>
        <w:rPr>
          <w:sz w:val="22"/>
        </w:rPr>
      </w:r>
    </w:p>
    <w:p>
      <w:pPr>
        <w:pStyle w:val="BodyText"/>
        <w:spacing w:line="224" w:lineRule="exact"/>
        <w:ind w:left="359" w:right="626"/>
        <w:jc w:val="center"/>
      </w:pPr>
      <w:r>
        <w:rPr/>
        <w:t>Can</w:t>
      </w:r>
    </w:p>
    <w:p>
      <w:pPr>
        <w:pStyle w:val="BodyText"/>
        <w:tabs>
          <w:tab w:pos="2322" w:val="left" w:leader="none"/>
        </w:tabs>
        <w:ind w:left="239" w:firstLine="328"/>
      </w:pPr>
      <w:r>
        <w:rPr/>
        <w:t>the gaps</w:t>
      </w:r>
      <w:r>
        <w:rPr>
          <w:spacing w:val="-4"/>
        </w:rPr>
        <w:t> </w:t>
      </w:r>
      <w:r>
        <w:rPr/>
        <w:t>in</w:t>
      </w:r>
      <w:r>
        <w:rPr>
          <w:spacing w:val="-2"/>
        </w:rPr>
        <w:t> </w:t>
      </w:r>
      <w:r>
        <w:rPr/>
        <w:t>the</w:t>
        <w:tab/>
      </w:r>
      <w:r>
        <w:rPr>
          <w:spacing w:val="-10"/>
          <w:position w:val="1"/>
        </w:rPr>
        <w:t>No </w:t>
      </w:r>
      <w:r>
        <w:rPr/>
        <w:t>area coverage be</w:t>
      </w:r>
      <w:r>
        <w:rPr>
          <w:spacing w:val="-3"/>
        </w:rPr>
        <w:t> </w:t>
      </w:r>
      <w:r>
        <w:rPr/>
        <w:t>filled</w:t>
      </w:r>
    </w:p>
    <w:p>
      <w:pPr>
        <w:pStyle w:val="BodyText"/>
        <w:ind w:left="359" w:right="630"/>
        <w:jc w:val="center"/>
      </w:pPr>
      <w:r>
        <w:rPr/>
        <w:t>using other existing data sets?</w:t>
      </w:r>
    </w:p>
    <w:p>
      <w:pPr>
        <w:pStyle w:val="BodyText"/>
        <w:spacing w:before="185"/>
        <w:ind w:left="1157" w:right="630"/>
        <w:jc w:val="center"/>
      </w:pPr>
      <w:r>
        <w:rPr/>
        <w:t>Yes</w:t>
      </w:r>
    </w:p>
    <w:p>
      <w:pPr>
        <w:pStyle w:val="BodyText"/>
        <w:spacing w:before="4"/>
        <w:rPr>
          <w:sz w:val="22"/>
        </w:rPr>
      </w:pPr>
      <w:r>
        <w:rPr/>
        <w:br w:type="column"/>
      </w:r>
      <w:r>
        <w:rPr>
          <w:sz w:val="22"/>
        </w:rPr>
      </w:r>
    </w:p>
    <w:p>
      <w:pPr>
        <w:pStyle w:val="BodyText"/>
        <w:spacing w:line="224" w:lineRule="exact"/>
        <w:ind w:left="990"/>
      </w:pPr>
      <w:r>
        <w:rPr/>
        <w:t>Can</w:t>
      </w:r>
    </w:p>
    <w:p>
      <w:pPr>
        <w:pStyle w:val="BodyText"/>
        <w:tabs>
          <w:tab w:pos="2140" w:val="left" w:leader="none"/>
        </w:tabs>
        <w:ind w:left="400" w:right="2119" w:firstLine="273"/>
      </w:pPr>
      <w:r>
        <w:rPr/>
        <w:t>new</w:t>
      </w:r>
      <w:r>
        <w:rPr>
          <w:spacing w:val="-3"/>
        </w:rPr>
        <w:t> </w:t>
      </w:r>
      <w:r>
        <w:rPr/>
        <w:t>data</w:t>
      </w:r>
      <w:r>
        <w:rPr>
          <w:spacing w:val="-1"/>
        </w:rPr>
        <w:t> </w:t>
      </w:r>
      <w:r>
        <w:rPr/>
        <w:t>be</w:t>
        <w:tab/>
      </w:r>
      <w:r>
        <w:rPr>
          <w:spacing w:val="-9"/>
          <w:position w:val="1"/>
        </w:rPr>
        <w:t>No </w:t>
      </w:r>
      <w:r>
        <w:rPr/>
        <w:t>collected to fill the</w:t>
      </w:r>
    </w:p>
    <w:p>
      <w:pPr>
        <w:pStyle w:val="BodyText"/>
        <w:ind w:left="673" w:right="2876"/>
        <w:jc w:val="center"/>
      </w:pPr>
      <w:r>
        <w:rPr/>
        <w:t>gaps in area coverage?</w:t>
      </w:r>
    </w:p>
    <w:p>
      <w:pPr>
        <w:pStyle w:val="BodyText"/>
        <w:spacing w:before="185"/>
        <w:ind w:left="1393"/>
      </w:pPr>
      <w:r>
        <w:rPr/>
        <w:t>Yes</w:t>
      </w:r>
    </w:p>
    <w:p>
      <w:pPr>
        <w:spacing w:after="0"/>
        <w:sectPr>
          <w:type w:val="continuous"/>
          <w:pgSz w:w="11900" w:h="16840"/>
          <w:pgMar w:top="1060" w:bottom="280" w:left="1000" w:right="860"/>
          <w:cols w:num="3" w:equalWidth="0">
            <w:col w:w="2888" w:space="40"/>
            <w:col w:w="2567" w:space="39"/>
            <w:col w:w="4506"/>
          </w:cols>
        </w:sectPr>
      </w:pPr>
    </w:p>
    <w:p>
      <w:pPr>
        <w:pStyle w:val="BodyText"/>
        <w:spacing w:before="5"/>
        <w:rPr>
          <w:sz w:val="17"/>
        </w:rPr>
      </w:pPr>
    </w:p>
    <w:p>
      <w:pPr>
        <w:pStyle w:val="BodyText"/>
        <w:spacing w:before="90"/>
        <w:ind w:left="7952" w:right="708" w:hanging="2"/>
        <w:jc w:val="center"/>
      </w:pPr>
      <w:r>
        <w:rPr/>
        <w:pict>
          <v:shape style="position:absolute;margin-left:333.040985pt;margin-top:2.916237pt;width:93.15pt;height:62.3pt;mso-position-horizontal-relative:page;mso-position-vertical-relative:paragraph;z-index:2704" type="#_x0000_t202" filled="false" stroked="true" strokeweight=".75pt" strokecolor="#010101">
            <v:textbox inset="0,0,0,0">
              <w:txbxContent>
                <w:p>
                  <w:pPr>
                    <w:pStyle w:val="BodyText"/>
                    <w:spacing w:before="24"/>
                    <w:ind w:left="107" w:right="109"/>
                    <w:jc w:val="center"/>
                  </w:pPr>
                  <w:r>
                    <w:rPr/>
                    <w:t>Collect new data for the gaps in area coverage using guidance in this chapter</w:t>
                  </w:r>
                </w:p>
              </w:txbxContent>
            </v:textbox>
            <v:stroke dashstyle="solid"/>
            <w10:wrap type="none"/>
          </v:shape>
        </w:pict>
      </w:r>
      <w:r>
        <w:rPr/>
        <w:pict>
          <v:shape style="position:absolute;margin-left:211.841003pt;margin-top:2.916237pt;width:83.9pt;height:62.3pt;mso-position-horizontal-relative:page;mso-position-vertical-relative:paragraph;z-index:2728" type="#_x0000_t202" filled="false" stroked="true" strokeweight=".75pt" strokecolor="#010101">
            <v:textbox inset="0,0,0,0">
              <w:txbxContent>
                <w:p>
                  <w:pPr>
                    <w:pStyle w:val="BodyText"/>
                    <w:spacing w:before="24"/>
                    <w:ind w:left="46" w:right="40"/>
                    <w:jc w:val="center"/>
                  </w:pPr>
                  <w:r>
                    <w:rPr/>
                    <w:t>Combine primary and secondary datasets using guidance in this chapter</w:t>
                  </w:r>
                </w:p>
              </w:txbxContent>
            </v:textbox>
            <v:stroke dashstyle="solid"/>
            <w10:wrap type="none"/>
          </v:shape>
        </w:pict>
      </w:r>
      <w:r>
        <w:rPr/>
        <w:pict>
          <v:shape style="position:absolute;margin-left:90.761002pt;margin-top:2.916237pt;width:83.9pt;height:37.35pt;mso-position-horizontal-relative:page;mso-position-vertical-relative:paragraph;z-index:2752" type="#_x0000_t202" filled="false" stroked="true" strokeweight=".75pt" strokecolor="#010101">
            <v:textbox inset="0,0,0,0">
              <w:txbxContent>
                <w:p>
                  <w:pPr>
                    <w:pStyle w:val="BodyText"/>
                    <w:spacing w:before="24"/>
                    <w:ind w:left="47" w:right="40"/>
                    <w:jc w:val="center"/>
                  </w:pPr>
                  <w:r>
                    <w:rPr/>
                    <w:t>(Modified) Primary dataset acceptable for coverage</w:t>
                  </w:r>
                </w:p>
              </w:txbxContent>
            </v:textbox>
            <v:stroke dashstyle="solid"/>
            <w10:wrap type="none"/>
          </v:shape>
        </w:pict>
      </w:r>
      <w:r>
        <w:rPr/>
        <w:t>Use international datasets to minimize gaps in coverage and document results</w:t>
      </w:r>
    </w:p>
    <w:p>
      <w:pPr>
        <w:pStyle w:val="BodyText"/>
      </w:pPr>
    </w:p>
    <w:p>
      <w:pPr>
        <w:pStyle w:val="BodyText"/>
      </w:pPr>
    </w:p>
    <w:p>
      <w:pPr>
        <w:pStyle w:val="BodyText"/>
        <w:rPr>
          <w:sz w:val="27"/>
        </w:rPr>
      </w:pPr>
    </w:p>
    <w:p>
      <w:pPr>
        <w:spacing w:after="0"/>
        <w:rPr>
          <w:sz w:val="27"/>
        </w:rPr>
        <w:sectPr>
          <w:type w:val="continuous"/>
          <w:pgSz w:w="11900" w:h="16840"/>
          <w:pgMar w:top="1060" w:bottom="280" w:left="1000" w:right="860"/>
        </w:sectPr>
      </w:pPr>
    </w:p>
    <w:p>
      <w:pPr>
        <w:pStyle w:val="BodyText"/>
        <w:spacing w:before="91"/>
        <w:ind w:left="1613" w:right="1193"/>
        <w:jc w:val="center"/>
      </w:pPr>
      <w:r>
        <w:rPr/>
        <w:t>Does</w:t>
      </w:r>
    </w:p>
    <w:p>
      <w:pPr>
        <w:pStyle w:val="BodyText"/>
        <w:tabs>
          <w:tab w:pos="3013" w:val="left" w:leader="none"/>
        </w:tabs>
        <w:spacing w:line="225" w:lineRule="auto" w:before="10"/>
        <w:ind w:left="820" w:firstLine="444"/>
      </w:pPr>
      <w:r>
        <w:rPr/>
        <w:t>the</w:t>
      </w:r>
      <w:r>
        <w:rPr>
          <w:spacing w:val="-2"/>
        </w:rPr>
        <w:t> </w:t>
      </w:r>
      <w:r>
        <w:rPr/>
        <w:t>(modified)</w:t>
        <w:tab/>
      </w:r>
      <w:r>
        <w:rPr>
          <w:spacing w:val="-10"/>
          <w:position w:val="-2"/>
        </w:rPr>
        <w:t>No </w:t>
      </w:r>
      <w:r>
        <w:rPr/>
        <w:t>primary dataset provide a complete time series for</w:t>
      </w:r>
    </w:p>
    <w:p>
      <w:pPr>
        <w:pStyle w:val="BodyText"/>
        <w:spacing w:before="1"/>
        <w:ind w:left="1343"/>
      </w:pPr>
      <w:r>
        <w:rPr/>
        <w:t>the country?</w:t>
      </w:r>
    </w:p>
    <w:p>
      <w:pPr>
        <w:pStyle w:val="BodyText"/>
        <w:spacing w:line="210" w:lineRule="exact" w:before="166"/>
        <w:ind w:left="584" w:right="482"/>
        <w:jc w:val="center"/>
      </w:pPr>
      <w:r>
        <w:rPr/>
        <w:br w:type="column"/>
      </w:r>
      <w:r>
        <w:rPr/>
        <w:t>Can data</w:t>
      </w:r>
    </w:p>
    <w:p>
      <w:pPr>
        <w:pStyle w:val="BodyText"/>
        <w:tabs>
          <w:tab w:pos="2327" w:val="left" w:leader="none"/>
        </w:tabs>
        <w:spacing w:line="230" w:lineRule="exact" w:before="23"/>
        <w:ind w:left="460" w:firstLine="189"/>
      </w:pPr>
      <w:r>
        <w:rPr/>
        <w:t>for missing</w:t>
      </w:r>
      <w:r>
        <w:rPr>
          <w:spacing w:val="-2"/>
        </w:rPr>
        <w:t> </w:t>
      </w:r>
      <w:r>
        <w:rPr/>
        <w:t>years</w:t>
        <w:tab/>
      </w:r>
      <w:r>
        <w:rPr>
          <w:spacing w:val="-10"/>
          <w:position w:val="4"/>
        </w:rPr>
        <w:t>No </w:t>
      </w:r>
      <w:r>
        <w:rPr/>
        <w:t>be supplemented with</w:t>
      </w:r>
    </w:p>
    <w:p>
      <w:pPr>
        <w:pStyle w:val="BodyText"/>
        <w:ind w:left="590" w:right="482"/>
        <w:jc w:val="center"/>
      </w:pPr>
      <w:r>
        <w:rPr/>
        <w:t>existing secondary data sets?</w:t>
      </w:r>
    </w:p>
    <w:p>
      <w:pPr>
        <w:spacing w:line="210" w:lineRule="exact" w:before="166"/>
        <w:ind w:left="988" w:right="0" w:firstLine="0"/>
        <w:jc w:val="left"/>
        <w:rPr>
          <w:sz w:val="20"/>
        </w:rPr>
      </w:pPr>
      <w:r>
        <w:rPr/>
        <w:br w:type="column"/>
      </w:r>
      <w:r>
        <w:rPr>
          <w:sz w:val="20"/>
        </w:rPr>
        <w:t>Can</w:t>
      </w:r>
    </w:p>
    <w:p>
      <w:pPr>
        <w:pStyle w:val="BodyText"/>
        <w:tabs>
          <w:tab w:pos="2137" w:val="left" w:leader="none"/>
        </w:tabs>
        <w:spacing w:line="230" w:lineRule="exact" w:before="23"/>
        <w:ind w:left="294" w:right="1747" w:firstLine="376"/>
      </w:pPr>
      <w:r>
        <w:rPr/>
        <w:t>new</w:t>
      </w:r>
      <w:r>
        <w:rPr>
          <w:spacing w:val="-3"/>
        </w:rPr>
        <w:t> </w:t>
      </w:r>
      <w:r>
        <w:rPr/>
        <w:t>data</w:t>
      </w:r>
      <w:r>
        <w:rPr>
          <w:spacing w:val="-1"/>
        </w:rPr>
        <w:t> </w:t>
      </w:r>
      <w:r>
        <w:rPr/>
        <w:t>be</w:t>
        <w:tab/>
      </w:r>
      <w:r>
        <w:rPr>
          <w:spacing w:val="-8"/>
          <w:position w:val="4"/>
        </w:rPr>
        <w:t>No </w:t>
      </w:r>
      <w:r>
        <w:rPr/>
        <w:t>collected to</w:t>
      </w:r>
      <w:r>
        <w:rPr>
          <w:spacing w:val="-2"/>
        </w:rPr>
        <w:t> </w:t>
      </w:r>
      <w:r>
        <w:rPr/>
        <w:t>complete</w:t>
      </w:r>
    </w:p>
    <w:p>
      <w:pPr>
        <w:pStyle w:val="BodyText"/>
        <w:ind w:left="825" w:right="2656"/>
        <w:jc w:val="center"/>
      </w:pPr>
      <w:r>
        <w:rPr/>
        <w:t>the time series?</w:t>
      </w:r>
    </w:p>
    <w:p>
      <w:pPr>
        <w:spacing w:after="0"/>
        <w:jc w:val="center"/>
        <w:sectPr>
          <w:type w:val="continuous"/>
          <w:pgSz w:w="11900" w:h="16840"/>
          <w:pgMar w:top="1060" w:bottom="280" w:left="1000" w:right="860"/>
          <w:cols w:num="3" w:equalWidth="0">
            <w:col w:w="3258" w:space="40"/>
            <w:col w:w="2572" w:space="39"/>
            <w:col w:w="4131"/>
          </w:cols>
        </w:sectPr>
      </w:pPr>
    </w:p>
    <w:p>
      <w:pPr>
        <w:pStyle w:val="BodyText"/>
        <w:tabs>
          <w:tab w:pos="4878" w:val="left" w:leader="none"/>
          <w:tab w:pos="7298" w:val="left" w:leader="none"/>
        </w:tabs>
        <w:spacing w:before="152"/>
        <w:ind w:left="2084"/>
      </w:pPr>
      <w:r>
        <w:rPr/>
        <w:pict>
          <v:shape style="position:absolute;margin-left:72.161003pt;margin-top:22.815811pt;width:139.7pt;height:28pt;mso-position-horizontal-relative:page;mso-position-vertical-relative:paragraph;z-index:2656" type="#_x0000_t202" filled="false" stroked="true" strokeweight=".75pt" strokecolor="#010101">
            <v:textbox inset="0,0,0,0">
              <w:txbxContent>
                <w:p>
                  <w:pPr>
                    <w:pStyle w:val="BodyText"/>
                    <w:spacing w:before="24"/>
                    <w:ind w:left="378" w:right="99" w:hanging="257"/>
                  </w:pPr>
                  <w:r>
                    <w:rPr/>
                    <w:t>(Modified) Primary dataset will be usable for Approach 3</w:t>
                  </w:r>
                </w:p>
              </w:txbxContent>
            </v:textbox>
            <v:stroke dashstyle="solid"/>
            <w10:wrap type="none"/>
          </v:shape>
        </w:pict>
      </w:r>
      <w:r>
        <w:rPr/>
        <w:pict>
          <v:shape style="position:absolute;margin-left:444.760986pt;margin-top:13.575811pt;width:74.55pt;height:83.8pt;mso-position-horizontal-relative:page;mso-position-vertical-relative:paragraph;z-index:2680" type="#_x0000_t202" filled="false" stroked="true" strokeweight=".75pt" strokecolor="#010101">
            <v:textbox inset="0,0,0,0">
              <w:txbxContent>
                <w:p>
                  <w:pPr>
                    <w:pStyle w:val="BodyText"/>
                    <w:spacing w:before="21"/>
                    <w:ind w:left="50" w:right="46" w:firstLine="2"/>
                    <w:jc w:val="center"/>
                  </w:pPr>
                  <w:r>
                    <w:rPr/>
                    <w:t>Use techniques outlined in Chapter 5 for interpolation and extrapolation to estimate fluxes for missing years</w:t>
                  </w:r>
                </w:p>
              </w:txbxContent>
            </v:textbox>
            <v:stroke dashstyle="solid"/>
            <w10:wrap type="none"/>
          </v:shape>
        </w:pict>
      </w:r>
      <w:r>
        <w:rPr/>
        <w:t>Yes</w:t>
        <w:tab/>
        <w:t>Yes</w:t>
        <w:tab/>
        <w:t>Yes</w:t>
      </w:r>
    </w:p>
    <w:p>
      <w:pPr>
        <w:pStyle w:val="BodyText"/>
        <w:rPr>
          <w:sz w:val="22"/>
        </w:rPr>
      </w:pPr>
    </w:p>
    <w:p>
      <w:pPr>
        <w:pStyle w:val="BodyText"/>
        <w:spacing w:before="7"/>
        <w:rPr>
          <w:sz w:val="19"/>
        </w:rPr>
      </w:pPr>
    </w:p>
    <w:p>
      <w:pPr>
        <w:pStyle w:val="BodyText"/>
        <w:spacing w:line="129" w:lineRule="exact"/>
        <w:ind w:left="2117" w:right="2844"/>
        <w:jc w:val="center"/>
      </w:pPr>
      <w:r>
        <w:rPr/>
        <w:t>Use a mix of</w:t>
      </w:r>
    </w:p>
    <w:p>
      <w:pPr>
        <w:spacing w:after="0" w:line="129" w:lineRule="exact"/>
        <w:jc w:val="center"/>
        <w:sectPr>
          <w:type w:val="continuous"/>
          <w:pgSz w:w="11900" w:h="16840"/>
          <w:pgMar w:top="1060" w:bottom="280" w:left="1000" w:right="860"/>
        </w:sectPr>
      </w:pPr>
    </w:p>
    <w:p>
      <w:pPr>
        <w:pStyle w:val="BodyText"/>
        <w:rPr>
          <w:sz w:val="22"/>
        </w:rPr>
      </w:pPr>
    </w:p>
    <w:p>
      <w:pPr>
        <w:spacing w:before="182"/>
        <w:ind w:left="952" w:right="38" w:firstLine="0"/>
        <w:jc w:val="center"/>
        <w:rPr>
          <w:b/>
          <w:sz w:val="20"/>
        </w:rPr>
      </w:pPr>
      <w:r>
        <w:rPr>
          <w:b/>
          <w:sz w:val="20"/>
        </w:rPr>
        <w:t>Document the choice of methods (Approaches)</w:t>
      </w:r>
    </w:p>
    <w:p>
      <w:pPr>
        <w:pStyle w:val="BodyText"/>
        <w:spacing w:before="101"/>
        <w:ind w:left="952"/>
        <w:jc w:val="center"/>
      </w:pPr>
      <w:r>
        <w:rPr/>
        <w:br w:type="column"/>
      </w:r>
      <w:r>
        <w:rPr/>
        <w:t>approaches to build a complete time series (see Chapter 5 on time series consistency)</w:t>
      </w:r>
    </w:p>
    <w:p>
      <w:pPr>
        <w:pStyle w:val="BodyText"/>
        <w:ind w:left="526" w:right="2553" w:hanging="2"/>
        <w:jc w:val="center"/>
      </w:pPr>
      <w:r>
        <w:rPr/>
        <w:br w:type="column"/>
      </w:r>
      <w:r>
        <w:rPr/>
        <w:t>Collect new data for the gaps in the time series using guidance</w:t>
      </w:r>
      <w:r>
        <w:rPr>
          <w:spacing w:val="-7"/>
        </w:rPr>
        <w:t> </w:t>
      </w:r>
      <w:r>
        <w:rPr/>
        <w:t>in this</w:t>
      </w:r>
      <w:r>
        <w:rPr>
          <w:spacing w:val="-1"/>
        </w:rPr>
        <w:t> </w:t>
      </w:r>
      <w:r>
        <w:rPr/>
        <w:t>chapter</w:t>
      </w:r>
    </w:p>
    <w:p>
      <w:pPr>
        <w:spacing w:after="0"/>
        <w:jc w:val="center"/>
        <w:sectPr>
          <w:type w:val="continuous"/>
          <w:pgSz w:w="11900" w:h="16840"/>
          <w:pgMar w:top="1060" w:bottom="280" w:left="1000" w:right="860"/>
          <w:cols w:num="3" w:equalWidth="0">
            <w:col w:w="2769" w:space="80"/>
            <w:col w:w="2659" w:space="39"/>
            <w:col w:w="4493"/>
          </w:cols>
        </w:sectPr>
      </w:pPr>
    </w:p>
    <w:p>
      <w:pPr>
        <w:pStyle w:val="BodyText"/>
        <w:spacing w:before="61"/>
        <w:ind w:left="131"/>
      </w:pPr>
      <w:r>
        <w:rPr/>
        <w:pict>
          <v:line style="position:absolute;mso-position-horizontal-relative:page;mso-position-vertical-relative:paragraph;z-index:3184" from="69.360001pt,20.305523pt" to="792.240001pt,20.305523pt" stroked="true" strokeweight=".75pt" strokecolor="#010101">
            <v:stroke dashstyle="solid"/>
            <w10:wrap type="none"/>
          </v:line>
        </w:pict>
      </w:r>
      <w:r>
        <w:rPr/>
        <w:pict>
          <v:line style="position:absolute;mso-position-horizontal-relative:page;mso-position-vertical-relative:page;z-index:3208" from="69.360001pt,561.359009pt" to="792.240001pt,561.359009pt" stroked="true" strokeweight=".75pt" strokecolor="#010101">
            <v:stroke dashstyle="solid"/>
            <w10:wrap type="none"/>
          </v:line>
        </w:pict>
      </w:r>
      <w:r>
        <w:rPr/>
        <w:pict>
          <v:group style="position:absolute;margin-left:508.184998pt;margin-top:303.104004pt;width:270.9pt;height:199.6pt;mso-position-horizontal-relative:page;mso-position-vertical-relative:page;z-index:-2452768" coordorigin="10164,6062" coordsize="5418,3992">
            <v:shape style="position:absolute;left:11611;top:7869;width:2163;height:1078" coordorigin="11611,7870" coordsize="2163,1078" path="m12691,7870l11611,8410,12691,8947,13774,8410,12691,7870xe" filled="false" stroked="true" strokeweight=".75pt" strokecolor="#010101">
              <v:path arrowok="t"/>
              <v:stroke dashstyle="solid"/>
            </v:shape>
            <v:shape style="position:absolute;left:10884;top:7502;width:4037;height:2326" coordorigin="10884,7502" coordsize="4037,2326" path="m11839,9768l11746,9721,11719,9708,11719,9758,10898,9758,10898,7507,10896,7502,10891,7502,10886,7502,10884,7507,10884,9770,10886,9775,11719,9775,11719,9828,11839,9768m12754,9360l12701,9359,12703,8947,12703,8945,12698,8940,12691,8940,12686,8945,12686,9359,12634,9358,12694,9480,12754,9360m14251,8410l14160,8364,14131,8350,14131,8402,13774,8400,13769,8400,13766,8405,13766,8412,13769,8414,13774,8414,14131,8417,14131,8470,14251,8410m14921,9125l14916,9122,14914,9122,14909,9122,14906,9125,14906,9758,13663,9758,13663,9708,13637,9721,13543,9768,13663,9828,13663,9775,14916,9775,14921,9770,14921,9125e" filled="true" fillcolor="#010101" stroked="false">
              <v:path arrowok="t"/>
              <v:fill type="solid"/>
            </v:shape>
            <v:shape style="position:absolute;left:12633;top:7142;width:1985;height:728" coordorigin="12634,7142" coordsize="1985,728" path="m14618,7147l14616,7142,14611,7142,14609,7142,14604,7147,14604,7502,12814,7502,12814,7452,12785,7466,12702,7508,12703,7152,12703,7147,12698,7142,12691,7142,12686,7147,12686,7750,12634,7750,12694,7870,12754,7750,12701,7750,12702,7516,12814,7572,12814,7519,14616,7519,14618,7514,14618,7147e" filled="true" fillcolor="#010101" stroked="false">
              <v:path arrowok="t"/>
              <v:fill type="solid"/>
            </v:shape>
            <v:shape style="position:absolute;left:12052;top:8048;width:1300;height:1005" type="#_x0000_t202" filled="false" stroked="false">
              <v:textbox inset="0,0,0,0">
                <w:txbxContent>
                  <w:p>
                    <w:pPr>
                      <w:spacing w:line="210" w:lineRule="exact" w:before="0"/>
                      <w:ind w:left="0" w:right="20" w:firstLine="0"/>
                      <w:jc w:val="center"/>
                      <w:rPr>
                        <w:sz w:val="19"/>
                      </w:rPr>
                    </w:pPr>
                    <w:r>
                      <w:rPr>
                        <w:sz w:val="19"/>
                      </w:rPr>
                      <w:t>Will</w:t>
                    </w:r>
                  </w:p>
                  <w:p>
                    <w:pPr>
                      <w:spacing w:before="0"/>
                      <w:ind w:left="0" w:right="18" w:firstLine="0"/>
                      <w:jc w:val="center"/>
                      <w:rPr>
                        <w:sz w:val="19"/>
                      </w:rPr>
                    </w:pPr>
                    <w:r>
                      <w:rPr>
                        <w:sz w:val="19"/>
                      </w:rPr>
                      <w:t>data be collected annually?</w:t>
                    </w:r>
                  </w:p>
                  <w:p>
                    <w:pPr>
                      <w:spacing w:before="139"/>
                      <w:ind w:left="0" w:right="97" w:firstLine="0"/>
                      <w:jc w:val="right"/>
                      <w:rPr>
                        <w:sz w:val="19"/>
                      </w:rPr>
                    </w:pPr>
                    <w:r>
                      <w:rPr>
                        <w:w w:val="95"/>
                        <w:sz w:val="19"/>
                      </w:rPr>
                      <w:t>Yes</w:t>
                    </w:r>
                  </w:p>
                </w:txbxContent>
              </v:textbox>
              <w10:wrap type="none"/>
            </v:shape>
            <v:shape style="position:absolute;left:13677;top:8123;width:252;height:210" type="#_x0000_t202" filled="false" stroked="false">
              <v:textbox inset="0,0,0,0">
                <w:txbxContent>
                  <w:p>
                    <w:pPr>
                      <w:spacing w:line="210" w:lineRule="exact" w:before="0"/>
                      <w:ind w:left="0" w:right="0" w:firstLine="0"/>
                      <w:jc w:val="left"/>
                      <w:rPr>
                        <w:sz w:val="19"/>
                      </w:rPr>
                    </w:pPr>
                    <w:r>
                      <w:rPr>
                        <w:sz w:val="19"/>
                      </w:rPr>
                      <w:t>No</w:t>
                    </w:r>
                  </w:p>
                </w:txbxContent>
              </v:textbox>
              <w10:wrap type="none"/>
            </v:shape>
            <v:shape style="position:absolute;left:11851;top:9491;width:1683;height:550" type="#_x0000_t202" filled="false" stroked="true" strokeweight="1.25pt" strokecolor="#010101">
              <v:textbox inset="0,0,0,0">
                <w:txbxContent>
                  <w:p>
                    <w:pPr>
                      <w:spacing w:before="107"/>
                      <w:ind w:left="162" w:right="0" w:firstLine="0"/>
                      <w:jc w:val="left"/>
                      <w:rPr>
                        <w:b/>
                        <w:sz w:val="19"/>
                      </w:rPr>
                    </w:pPr>
                    <w:r>
                      <w:rPr>
                        <w:b/>
                        <w:sz w:val="19"/>
                      </w:rPr>
                      <w:t>Approach 1 or 2</w:t>
                    </w:r>
                  </w:p>
                </w:txbxContent>
              </v:textbox>
              <v:stroke dashstyle="solid"/>
              <w10:wrap type="none"/>
            </v:shape>
            <v:shape style="position:absolute;left:14251;top:7689;width:1323;height:1440" type="#_x0000_t202" filled="false" stroked="true" strokeweight=".75pt" strokecolor="#010101">
              <v:textbox inset="0,0,0,0">
                <w:txbxContent>
                  <w:p>
                    <w:pPr>
                      <w:spacing w:line="242" w:lineRule="auto" w:before="64"/>
                      <w:ind w:left="83" w:right="75" w:hanging="2"/>
                      <w:jc w:val="center"/>
                      <w:rPr>
                        <w:sz w:val="19"/>
                      </w:rPr>
                    </w:pPr>
                    <w:r>
                      <w:rPr>
                        <w:sz w:val="19"/>
                      </w:rPr>
                      <w:t>Use   interpolation methods from Chapter 5 to estimate fluxes</w:t>
                    </w:r>
                  </w:p>
                </w:txbxContent>
              </v:textbox>
              <v:stroke dashstyle="solid"/>
              <w10:wrap type="none"/>
            </v:shape>
            <v:shape style="position:absolute;left:10171;top:6789;width:1440;height:723" type="#_x0000_t202" filled="false" stroked="true" strokeweight=".75pt" strokecolor="#010101">
              <v:textbox inset="0,0,0,0">
                <w:txbxContent>
                  <w:p>
                    <w:pPr>
                      <w:spacing w:line="242" w:lineRule="auto" w:before="67"/>
                      <w:ind w:left="412" w:right="42" w:hanging="353"/>
                      <w:jc w:val="left"/>
                      <w:rPr>
                        <w:sz w:val="19"/>
                      </w:rPr>
                    </w:pPr>
                    <w:r>
                      <w:rPr>
                        <w:sz w:val="19"/>
                      </w:rPr>
                      <w:t>Use international datasets</w:t>
                    </w:r>
                  </w:p>
                </w:txbxContent>
              </v:textbox>
              <v:stroke dashstyle="solid"/>
              <w10:wrap type="none"/>
            </v:shape>
            <v:shape style="position:absolute;left:13891;top:6069;width:1440;height:1083" type="#_x0000_t202" filled="false" stroked="true" strokeweight=".75pt" strokecolor="#010101">
              <v:textbox inset="0,0,0,0">
                <w:txbxContent>
                  <w:p>
                    <w:pPr>
                      <w:spacing w:line="237" w:lineRule="auto" w:before="69"/>
                      <w:ind w:left="62" w:right="55" w:firstLine="0"/>
                      <w:jc w:val="center"/>
                      <w:rPr>
                        <w:sz w:val="19"/>
                      </w:rPr>
                    </w:pPr>
                    <w:r>
                      <w:rPr>
                        <w:sz w:val="19"/>
                      </w:rPr>
                      <w:t>Use ground survey to</w:t>
                    </w:r>
                  </w:p>
                  <w:p>
                    <w:pPr>
                      <w:spacing w:before="0"/>
                      <w:ind w:left="62" w:right="55" w:firstLine="0"/>
                      <w:jc w:val="center"/>
                      <w:rPr>
                        <w:sz w:val="19"/>
                      </w:rPr>
                    </w:pPr>
                    <w:r>
                      <w:rPr>
                        <w:sz w:val="19"/>
                      </w:rPr>
                      <w:t>collect Approach 1 or 2 data</w:t>
                    </w:r>
                  </w:p>
                </w:txbxContent>
              </v:textbox>
              <v:stroke dashstyle="solid"/>
              <w10:wrap type="none"/>
            </v:shape>
            <v:shape style="position:absolute;left:11971;top:6069;width:1445;height:1083" type="#_x0000_t202" filled="false" stroked="true" strokeweight=".75pt" strokecolor="#010101">
              <v:textbox inset="0,0,0,0">
                <w:txbxContent>
                  <w:p>
                    <w:pPr>
                      <w:spacing w:line="240" w:lineRule="auto" w:before="67"/>
                      <w:ind w:left="62" w:right="60" w:firstLine="1"/>
                      <w:jc w:val="center"/>
                      <w:rPr>
                        <w:sz w:val="19"/>
                      </w:rPr>
                    </w:pPr>
                    <w:r>
                      <w:rPr>
                        <w:sz w:val="19"/>
                      </w:rPr>
                      <w:t>Use landowner questionnaires to collect Approach 1 or 2 data</w:t>
                    </w:r>
                  </w:p>
                </w:txbxContent>
              </v:textbox>
              <v:stroke dashstyle="solid"/>
              <w10:wrap type="none"/>
            </v:shape>
            <w10:wrap type="none"/>
          </v:group>
        </w:pict>
      </w:r>
      <w:r>
        <w:rPr/>
        <w:pict>
          <v:group style="position:absolute;margin-left:310.304993pt;margin-top:330.104004pt;width:192.75pt;height:172.5pt;mso-position-horizontal-relative:page;mso-position-vertical-relative:page;z-index:3544" coordorigin="6206,6602" coordsize="3855,3450">
            <v:shape style="position:absolute;left:6213;top:8049;width:2036;height:1078" coordorigin="6214,8050" coordsize="2036,1078" path="m7231,8050l6214,8590,7231,9127,8249,8590,7231,8050xe" filled="false" stroked="true" strokeweight=".75pt" strokecolor="#010101">
              <v:path arrowok="t"/>
              <v:stroke dashstyle="solid"/>
            </v:shape>
            <v:shape style="position:absolute;left:7171;top:9119;width:120;height:360" type="#_x0000_t75" stroked="false">
              <v:imagedata r:id="rId61" o:title=""/>
            </v:shape>
            <v:shape style="position:absolute;left:8020;top:8529;width:1380;height:1296" coordorigin="8021,8530" coordsize="1380,1296" path="m8731,8590l8640,8544,8611,8530,8611,8582,8249,8580,8244,8580,8242,8585,8242,8592,8244,8594,8249,8594,8611,8597,8611,8650,8731,8590m9401,9307l9396,9302,9394,9302,9389,9302,9386,9307,9386,9758,8141,9758,8141,9706,8114,9719,8021,9766,8141,9826,8141,9773,9396,9773,9401,9768,9401,9307e" filled="true" fillcolor="#010101" stroked="false">
              <v:path arrowok="t"/>
              <v:fill type="solid"/>
            </v:shape>
            <v:shape style="position:absolute;left:7173;top:7502;width:120;height:548" coordorigin="7174,7502" coordsize="120,548" path="m7174,7930l7234,8050,7294,7930,7241,7930,7241,7954,7236,7956,7229,7956,7224,7954,7224,7930,7174,7930xm7224,7930l7224,7954,7229,7956,7236,7956,7241,7954,7241,7949,7241,7930,7224,7930xm7241,7930l7241,7949,7241,7930,7241,7930xm7224,7507l7224,7930,7241,7930,7238,7507,7236,7502,7226,7502,7224,7507xe" filled="true" fillcolor="#010101" stroked="false">
              <v:path arrowok="t"/>
              <v:fill type="solid"/>
            </v:shape>
            <v:shape style="position:absolute;left:6590;top:8228;width:1300;height:1005" type="#_x0000_t202" filled="false" stroked="false">
              <v:textbox inset="0,0,0,0">
                <w:txbxContent>
                  <w:p>
                    <w:pPr>
                      <w:spacing w:line="210" w:lineRule="exact" w:before="0"/>
                      <w:ind w:left="0" w:right="15" w:firstLine="0"/>
                      <w:jc w:val="center"/>
                      <w:rPr>
                        <w:sz w:val="19"/>
                      </w:rPr>
                    </w:pPr>
                    <w:r>
                      <w:rPr>
                        <w:sz w:val="19"/>
                      </w:rPr>
                      <w:t>Will</w:t>
                    </w:r>
                  </w:p>
                  <w:p>
                    <w:pPr>
                      <w:spacing w:before="0"/>
                      <w:ind w:left="-1" w:right="18" w:firstLine="0"/>
                      <w:jc w:val="center"/>
                      <w:rPr>
                        <w:sz w:val="19"/>
                      </w:rPr>
                    </w:pPr>
                    <w:r>
                      <w:rPr>
                        <w:sz w:val="19"/>
                      </w:rPr>
                      <w:t>data be</w:t>
                    </w:r>
                    <w:r>
                      <w:rPr>
                        <w:spacing w:val="-13"/>
                        <w:sz w:val="19"/>
                      </w:rPr>
                      <w:t> </w:t>
                    </w:r>
                    <w:r>
                      <w:rPr>
                        <w:sz w:val="19"/>
                      </w:rPr>
                      <w:t>collected annually?</w:t>
                    </w:r>
                  </w:p>
                  <w:p>
                    <w:pPr>
                      <w:spacing w:before="139"/>
                      <w:ind w:left="845" w:right="0" w:firstLine="0"/>
                      <w:jc w:val="left"/>
                      <w:rPr>
                        <w:sz w:val="19"/>
                      </w:rPr>
                    </w:pPr>
                    <w:r>
                      <w:rPr>
                        <w:sz w:val="19"/>
                      </w:rPr>
                      <w:t>Yes</w:t>
                    </w:r>
                  </w:p>
                </w:txbxContent>
              </v:textbox>
              <w10:wrap type="none"/>
            </v:shape>
            <v:shape style="position:absolute;left:8155;top:8303;width:252;height:210" type="#_x0000_t202" filled="false" stroked="false">
              <v:textbox inset="0,0,0,0">
                <w:txbxContent>
                  <w:p>
                    <w:pPr>
                      <w:spacing w:line="210" w:lineRule="exact" w:before="0"/>
                      <w:ind w:left="0" w:right="0" w:firstLine="0"/>
                      <w:jc w:val="left"/>
                      <w:rPr>
                        <w:sz w:val="19"/>
                      </w:rPr>
                    </w:pPr>
                    <w:r>
                      <w:rPr>
                        <w:sz w:val="19"/>
                      </w:rPr>
                      <w:t>No</w:t>
                    </w:r>
                  </w:p>
                </w:txbxContent>
              </v:textbox>
              <w10:wrap type="none"/>
            </v:shape>
            <v:shape style="position:absolute;left:6453;top:9491;width:1556;height:548" type="#_x0000_t202" filled="false" stroked="true" strokeweight="1.25pt" strokecolor="#010101">
              <v:textbox inset="0,0,0,0">
                <w:txbxContent>
                  <w:p>
                    <w:pPr>
                      <w:spacing w:before="107"/>
                      <w:ind w:left="285" w:right="0" w:firstLine="0"/>
                      <w:jc w:val="left"/>
                      <w:rPr>
                        <w:b/>
                        <w:sz w:val="19"/>
                      </w:rPr>
                    </w:pPr>
                    <w:r>
                      <w:rPr>
                        <w:b/>
                        <w:sz w:val="19"/>
                      </w:rPr>
                      <w:t>Approach 2</w:t>
                    </w:r>
                  </w:p>
                </w:txbxContent>
              </v:textbox>
              <v:stroke dashstyle="solid"/>
              <w10:wrap type="none"/>
            </v:shape>
            <v:shape style="position:absolute;left:8731;top:7869;width:1323;height:1443" type="#_x0000_t202" filled="false" stroked="true" strokeweight=".75pt" strokecolor="#010101">
              <v:textbox inset="0,0,0,0">
                <w:txbxContent>
                  <w:p>
                    <w:pPr>
                      <w:spacing w:line="242" w:lineRule="auto" w:before="64"/>
                      <w:ind w:left="83" w:right="76" w:hanging="1"/>
                      <w:jc w:val="center"/>
                      <w:rPr>
                        <w:sz w:val="19"/>
                      </w:rPr>
                    </w:pPr>
                    <w:r>
                      <w:rPr>
                        <w:sz w:val="19"/>
                      </w:rPr>
                      <w:t>Use   interpolation methods from Chapter 5 to estimate fluxes</w:t>
                    </w:r>
                  </w:p>
                </w:txbxContent>
              </v:textbox>
              <v:stroke dashstyle="solid"/>
              <w10:wrap type="none"/>
            </v:shape>
            <v:shape style="position:absolute;left:6453;top:6609;width:1556;height:903" type="#_x0000_t202" filled="false" stroked="true" strokeweight=".75pt" strokecolor="#010101">
              <v:textbox inset="0,0,0,0">
                <w:txbxContent>
                  <w:p>
                    <w:pPr>
                      <w:spacing w:line="237" w:lineRule="auto" w:before="69"/>
                      <w:ind w:left="280" w:right="283" w:firstLine="0"/>
                      <w:jc w:val="center"/>
                      <w:rPr>
                        <w:sz w:val="19"/>
                      </w:rPr>
                    </w:pPr>
                    <w:r>
                      <w:rPr>
                        <w:sz w:val="19"/>
                      </w:rPr>
                      <w:t>Use sampled images in Approach 2</w:t>
                    </w:r>
                  </w:p>
                </w:txbxContent>
              </v:textbox>
              <v:stroke dashstyle="solid"/>
              <w10:wrap type="none"/>
            </v:shape>
            <w10:wrap type="none"/>
          </v:group>
        </w:pict>
      </w:r>
      <w:r>
        <w:rPr/>
        <w:t>Chapter 2: Basis for Consistent Representation of Land Areas</w:t>
      </w:r>
    </w:p>
    <w:p>
      <w:pPr>
        <w:pStyle w:val="BodyText"/>
      </w:pPr>
    </w:p>
    <w:p>
      <w:pPr>
        <w:pStyle w:val="BodyText"/>
      </w:pPr>
    </w:p>
    <w:p>
      <w:pPr>
        <w:pStyle w:val="BodyText"/>
      </w:pPr>
    </w:p>
    <w:p>
      <w:pPr>
        <w:pStyle w:val="BodyText"/>
      </w:pPr>
    </w:p>
    <w:p>
      <w:pPr>
        <w:pStyle w:val="BodyText"/>
        <w:spacing w:before="5"/>
        <w:rPr>
          <w:sz w:val="19"/>
        </w:rPr>
      </w:pPr>
    </w:p>
    <w:p>
      <w:pPr>
        <w:spacing w:before="91"/>
        <w:ind w:left="131" w:right="0" w:firstLine="0"/>
        <w:jc w:val="left"/>
        <w:rPr>
          <w:b/>
          <w:sz w:val="20"/>
        </w:rPr>
      </w:pPr>
      <w:r>
        <w:rPr/>
        <w:pict>
          <v:group style="position:absolute;margin-left:70.425003pt;margin-top:115.390541pt;width:192.9pt;height:307.5pt;mso-position-horizontal-relative:page;mso-position-vertical-relative:paragraph;z-index:-2452480" coordorigin="1409,2308" coordsize="3858,6150">
            <v:shape style="position:absolute;left:1416;top:6455;width:2033;height:1080" coordorigin="1416,6455" coordsize="2033,1080" path="m2434,6455l1416,6995,2434,7535,3449,6995,2434,6455xe" filled="false" stroked="true" strokeweight=".75pt" strokecolor="#010101">
              <v:path arrowok="t"/>
              <v:stroke dashstyle="solid"/>
            </v:shape>
            <v:shape style="position:absolute;left:2373;top:7528;width:120;height:358" type="#_x0000_t75" stroked="false">
              <v:imagedata r:id="rId62" o:title=""/>
            </v:shape>
            <v:shape style="position:absolute;left:3223;top:6937;width:1378;height:1294" coordorigin="3223,6938" coordsize="1378,1294" path="m3931,6998l3838,6951,3811,6938,3811,6990,3449,6988,3444,6988,3442,6991,3442,7000,3444,7003,3449,7003,3811,7005,3811,7058,3931,6998m4601,7715l4598,7711,4594,7711,4589,7711,4586,7715,4586,8164,3343,8164,3343,8111,3314,8126,3223,8171,3343,8231,3343,8179,4598,8179,4601,8174,4601,7715e" filled="true" fillcolor="#010101" stroked="false">
              <v:path arrowok="t"/>
              <v:fill type="solid"/>
            </v:shape>
            <v:shape style="position:absolute;left:2373;top:3752;width:120;height:2703" coordorigin="2374,3753" coordsize="120,2703" path="m2374,6335l2434,6455,2494,6335,2441,6335,2441,6359,2438,6362,2429,6362,2426,6359,2426,6335,2374,6335xm2426,6335l2441,6335,2446,3760,2446,3755,2441,3753,2434,3753,2429,3755,2426,6335xm2426,6359l2429,6362,2438,6362,2441,6359,2441,6335,2426,6335,2426,6359xm2426,6335l2426,6359,2426,6335,2426,6335xe" filled="true" fillcolor="#010101" stroked="false">
              <v:path arrowok="t"/>
              <v:fill type="solid"/>
            </v:shape>
            <v:shape style="position:absolute;left:1792;top:6634;width:1300;height:1005" type="#_x0000_t202" filled="false" stroked="false">
              <v:textbox inset="0,0,0,0">
                <w:txbxContent>
                  <w:p>
                    <w:pPr>
                      <w:spacing w:line="210" w:lineRule="exact" w:before="0"/>
                      <w:ind w:left="0" w:right="20" w:firstLine="0"/>
                      <w:jc w:val="center"/>
                      <w:rPr>
                        <w:sz w:val="19"/>
                      </w:rPr>
                    </w:pPr>
                    <w:r>
                      <w:rPr>
                        <w:sz w:val="19"/>
                      </w:rPr>
                      <w:t>Will</w:t>
                    </w:r>
                  </w:p>
                  <w:p>
                    <w:pPr>
                      <w:spacing w:before="0"/>
                      <w:ind w:left="0" w:right="18" w:firstLine="0"/>
                      <w:jc w:val="center"/>
                      <w:rPr>
                        <w:sz w:val="19"/>
                      </w:rPr>
                    </w:pPr>
                    <w:r>
                      <w:rPr>
                        <w:sz w:val="19"/>
                      </w:rPr>
                      <w:t>data be collected annually?</w:t>
                    </w:r>
                  </w:p>
                  <w:p>
                    <w:pPr>
                      <w:spacing w:before="139"/>
                      <w:ind w:left="842" w:right="0" w:firstLine="0"/>
                      <w:jc w:val="left"/>
                      <w:rPr>
                        <w:sz w:val="19"/>
                      </w:rPr>
                    </w:pPr>
                    <w:r>
                      <w:rPr>
                        <w:sz w:val="19"/>
                      </w:rPr>
                      <w:t>Yes</w:t>
                    </w:r>
                  </w:p>
                </w:txbxContent>
              </v:textbox>
              <w10:wrap type="none"/>
            </v:shape>
            <v:shape style="position:absolute;left:3355;top:6708;width:252;height:210" type="#_x0000_t202" filled="false" stroked="false">
              <v:textbox inset="0,0,0,0">
                <w:txbxContent>
                  <w:p>
                    <w:pPr>
                      <w:spacing w:line="210" w:lineRule="exact" w:before="0"/>
                      <w:ind w:left="0" w:right="0" w:firstLine="0"/>
                      <w:jc w:val="left"/>
                      <w:rPr>
                        <w:sz w:val="19"/>
                      </w:rPr>
                    </w:pPr>
                    <w:r>
                      <w:rPr>
                        <w:sz w:val="19"/>
                      </w:rPr>
                      <w:t>No</w:t>
                    </w:r>
                  </w:p>
                </w:txbxContent>
              </v:textbox>
              <w10:wrap type="none"/>
            </v:shape>
            <v:shape style="position:absolute;left:1651;top:7897;width:1560;height:548" type="#_x0000_t202" filled="false" stroked="true" strokeweight="1.25pt" strokecolor="#010101">
              <v:textbox inset="0,0,0,0">
                <w:txbxContent>
                  <w:p>
                    <w:pPr>
                      <w:spacing w:before="107"/>
                      <w:ind w:left="289" w:right="0" w:firstLine="0"/>
                      <w:jc w:val="left"/>
                      <w:rPr>
                        <w:b/>
                        <w:sz w:val="19"/>
                      </w:rPr>
                    </w:pPr>
                    <w:r>
                      <w:rPr>
                        <w:b/>
                        <w:sz w:val="19"/>
                      </w:rPr>
                      <w:t>Approach 3</w:t>
                    </w:r>
                  </w:p>
                </w:txbxContent>
              </v:textbox>
              <v:stroke dashstyle="solid"/>
              <w10:wrap type="none"/>
            </v:shape>
            <v:shape style="position:absolute;left:3931;top:6275;width:1328;height:1443" type="#_x0000_t202" filled="false" stroked="true" strokeweight=".75pt" strokecolor="#010101">
              <v:textbox inset="0,0,0,0">
                <w:txbxContent>
                  <w:p>
                    <w:pPr>
                      <w:spacing w:line="242" w:lineRule="auto" w:before="64"/>
                      <w:ind w:left="83" w:right="81" w:hanging="1"/>
                      <w:jc w:val="center"/>
                      <w:rPr>
                        <w:sz w:val="19"/>
                      </w:rPr>
                    </w:pPr>
                    <w:r>
                      <w:rPr>
                        <w:sz w:val="19"/>
                      </w:rPr>
                      <w:t>Use   interpolation methods from Chapter 5 to estimate fluxes</w:t>
                    </w:r>
                  </w:p>
                </w:txbxContent>
              </v:textbox>
              <v:stroke dashstyle="solid"/>
              <w10:wrap type="none"/>
            </v:shape>
            <v:shape style="position:absolute;left:1771;top:2315;width:1328;height:1445" type="#_x0000_t202" filled="false" stroked="true" strokeweight=".75pt" strokecolor="#010101">
              <v:textbox inset="0,0,0,0">
                <w:txbxContent>
                  <w:p>
                    <w:pPr>
                      <w:spacing w:line="240" w:lineRule="auto" w:before="67"/>
                      <w:ind w:left="81" w:right="76" w:firstLine="0"/>
                      <w:jc w:val="center"/>
                      <w:rPr>
                        <w:sz w:val="19"/>
                      </w:rPr>
                    </w:pPr>
                    <w:r>
                      <w:rPr>
                        <w:sz w:val="19"/>
                      </w:rPr>
                      <w:t>Implement Approach 3 </w:t>
                    </w:r>
                    <w:r>
                      <w:rPr>
                        <w:spacing w:val="-7"/>
                        <w:sz w:val="19"/>
                      </w:rPr>
                      <w:t>for </w:t>
                    </w:r>
                    <w:r>
                      <w:rPr>
                        <w:sz w:val="19"/>
                      </w:rPr>
                      <w:t>complete land area using guidance in this</w:t>
                    </w:r>
                    <w:r>
                      <w:rPr>
                        <w:spacing w:val="-1"/>
                        <w:sz w:val="19"/>
                      </w:rPr>
                      <w:t> </w:t>
                    </w:r>
                    <w:r>
                      <w:rPr>
                        <w:sz w:val="19"/>
                      </w:rPr>
                      <w:t>chapter</w:t>
                    </w:r>
                  </w:p>
                </w:txbxContent>
              </v:textbox>
              <v:stroke dashstyle="solid"/>
              <w10:wrap type="none"/>
            </v:shape>
            <w10:wrap type="none"/>
          </v:group>
        </w:pict>
      </w:r>
      <w:r>
        <w:rPr>
          <w:b/>
          <w:sz w:val="20"/>
        </w:rPr>
        <w:t>Figure 2.3.3 Decision tree for choosing land area approach for countries with no existing data</w:t>
      </w:r>
    </w:p>
    <w:p>
      <w:pPr>
        <w:pStyle w:val="BodyText"/>
        <w:spacing w:before="5"/>
        <w:rPr>
          <w:b/>
          <w:sz w:val="28"/>
        </w:rPr>
      </w:pPr>
      <w:r>
        <w:rPr/>
        <w:pict>
          <v:group style="position:absolute;margin-left:82.184998pt;margin-top:18.335787pt;width:651.4pt;height:225.4pt;mso-position-horizontal-relative:page;mso-position-vertical-relative:paragraph;z-index:1112;mso-wrap-distance-left:0;mso-wrap-distance-right:0" coordorigin="1644,367" coordsize="13028,4508">
            <v:shape style="position:absolute;left:4171;top:374;width:2043;height:1260" coordorigin="4171,374" coordsize="2043,1260" path="m5191,374l4171,1003,5191,1634,6214,1003,5191,374xe" filled="false" stroked="true" strokeweight=".75pt" strokecolor="#010101">
              <v:path arrowok="t"/>
              <v:stroke dashstyle="solid"/>
            </v:shape>
            <v:shape style="position:absolute;left:1651;top:374;width:1560;height:1260" coordorigin="1651,374" coordsize="1560,1260" path="m2431,374l1651,1003,2431,1634,3211,1003,2431,374xe" filled="false" stroked="true" strokeweight=".75pt" strokecolor="#010101">
              <v:path arrowok="t"/>
              <v:stroke dashstyle="solid"/>
            </v:shape>
            <v:shape style="position:absolute;left:2376;top:1627;width:120;height:368" type="#_x0000_t75" stroked="false">
              <v:imagedata r:id="rId63" o:title=""/>
            </v:shape>
            <v:shape style="position:absolute;left:3204;top:945;width:968;height:120" coordorigin="3204,945" coordsize="968,120" path="m4051,1013l4051,1065,4171,1005,4078,959,4078,1010,4075,1013,4051,1013xm3204,998l3204,1008,3209,1010,4075,1013,4078,1010,4078,1001,4075,998,3211,996,3209,996,3204,998xm4051,945l4051,998,4075,998,4078,1001,4078,959,4051,945xe" filled="true" fillcolor="#010101" stroked="false">
              <v:path arrowok="t"/>
              <v:fill type="solid"/>
            </v:shape>
            <v:shape style="position:absolute;left:3098;top:1627;width:2100;height:1150" coordorigin="3098,1627" coordsize="2100,1150" path="m3192,2712l3192,2721,3194,2724,5196,2724,5198,2721,5198,1629,5196,1627,5191,1627,5191,2709,5184,2717,5184,2709,3194,2709,3192,2712xm5184,2709l5184,2717,5191,2709,5184,2709xm5184,1629l5184,2709,5191,2709,5191,1627,5189,1627,5184,1629xm3098,2717l3218,2777,3218,2724,3194,2724,3192,2721,3192,2670,3098,2717xm3192,2670l3192,2712,3194,2709,3218,2709,3218,2657,3192,2670xe" filled="true" fillcolor="#010101" stroked="false">
              <v:path arrowok="t"/>
              <v:fill type="solid"/>
            </v:shape>
            <v:shape style="position:absolute;left:8251;top:1994;width:2038;height:1080" coordorigin="8251,1994" coordsize="2038,1080" path="m9269,1994l8251,2534,9269,3074,10289,2534,9269,1994xe" filled="false" stroked="true" strokeweight=".75pt" strokecolor="#010101">
              <v:path arrowok="t"/>
              <v:stroke dashstyle="solid"/>
            </v:shape>
            <v:shape style="position:absolute;left:8251;top:374;width:2038;height:1260" coordorigin="8251,374" coordsize="2038,1260" path="m9269,374l8251,1003,9269,1634,10289,1003,9269,374xe" filled="false" stroked="true" strokeweight=".75pt" strokecolor="#010101">
              <v:path arrowok="t"/>
              <v:stroke dashstyle="solid"/>
            </v:shape>
            <v:shape style="position:absolute;left:9211;top:1627;width:120;height:368" type="#_x0000_t75" stroked="false">
              <v:imagedata r:id="rId64" o:title=""/>
            </v:shape>
            <v:shape style="position:absolute;left:9811;top:2894;width:2163;height:1671" coordorigin="9811,2894" coordsize="2163,1671" path="m9811,3729l10894,4565,11974,3729,10894,2894,9811,3729xe" filled="true" fillcolor="#ffffff" stroked="false">
              <v:path arrowok="t"/>
              <v:fill type="solid"/>
            </v:shape>
            <v:shape style="position:absolute;left:9811;top:2894;width:2163;height:1671" coordorigin="9811,2894" coordsize="2163,1671" path="m10894,2894l9811,3729,10894,4565,11974,3729,10894,2894xe" filled="false" stroked="true" strokeweight=".75pt" strokecolor="#010101">
              <v:path arrowok="t"/>
              <v:stroke dashstyle="solid"/>
            </v:shape>
            <v:shape style="position:absolute;left:10831;top:4557;width:120;height:317" type="#_x0000_t75" stroked="false">
              <v:imagedata r:id="rId65" o:title=""/>
            </v:shape>
            <v:shape style="position:absolute;left:10281;top:2524;width:672;height:370" coordorigin="10282,2525" coordsize="672,370" path="m10834,2774l10894,2894,10954,2774,10901,2774,10901,2798,10896,2803,10889,2803,10886,2798,10886,2774,10834,2774xm10886,2774l10886,2798,10889,2803,10896,2803,10901,2798,10901,2774,10886,2774xm10886,2539l10886,2774,10901,2774,10901,2529,10896,2525,10894,2525,10894,2539,10886,2539xm10282,2529l10282,2537,10284,2539,10894,2539,10886,2532,10886,2525,10284,2525,10282,2529xm10886,2525l10886,2532,10894,2539,10894,2525,10886,2525xe" filled="true" fillcolor="#010101" stroked="false">
              <v:path arrowok="t"/>
              <v:fill type="solid"/>
            </v:shape>
            <v:shape style="position:absolute;left:7171;top:2524;width:1088;height:2170" coordorigin="7171,2525" coordsize="1088,2170" path="m7231,2539l8256,2539,8258,2537,8258,2529,8256,2525,7238,2525,7238,2532,7231,2539xm7171,4574l7231,4694,7291,4574,7238,4574,7238,4598,7236,4603,7226,4603,7224,4598,7224,4574,7171,4574xm7224,4574l7224,4598,7226,4603,7236,4603,7238,4598,7238,4574,7224,4574xm7224,2529l7224,4574,7238,4574,7238,2539,7231,2539,7231,2525,7226,2525,7224,2529xm7231,2525l7231,2539,7238,2532,7238,2525,7231,2525xe" filled="true" fillcolor="#010101" stroked="false">
              <v:path arrowok="t"/>
              <v:fill type="solid"/>
            </v:shape>
            <v:shape style="position:absolute;left:11966;top:3722;width:790;height:432" coordorigin="11966,3722" coordsize="790,432" path="m12636,4034l12696,4154,12756,4034,12703,4034,12703,4058,12698,4063,12691,4063,12686,4058,12686,4034,12636,4034xm12686,4034l12686,4058,12691,4063,12698,4063,12703,4058,12703,4034,12686,4034xm12686,3737l12686,4034,12703,4034,12703,3725,12698,3722,12696,3722,12696,3737,12686,3737xm11966,3725l11966,3734,11969,3737,12696,3737,12686,3729,12686,3722,11969,3722,11966,3725xm12686,3722l12686,3729,12696,3737,12696,3722,12686,3722xe" filled="true" fillcolor="#010101" stroked="false">
              <v:path arrowok="t"/>
              <v:fill type="solid"/>
            </v:shape>
            <v:shape style="position:absolute;left:6206;top:945;width:2045;height:120" coordorigin="6206,945" coordsize="2045,120" path="m8131,1013l8131,1065,8251,1005,8160,960,8160,1010,8155,1013,8131,1013xm7224,1010l7229,1013,8155,1013,8160,1010,8160,1001,8155,998,7238,998,7238,1005,7231,998,7231,1010,7224,1010xm8131,945l8131,998,8155,998,8160,1001,8160,960,8131,945xm7231,998l7238,1005,7238,998,7231,998xm7224,996l7224,1003,7231,1010,7231,998,7238,998,7236,996,7224,996xm6206,998l6206,1008,6209,1010,7231,1010,7224,1003,7224,996,6209,996,6206,998xe" filled="true" fillcolor="#010101" stroked="false">
              <v:path arrowok="t"/>
              <v:fill type="solid"/>
            </v:shape>
            <v:shape style="position:absolute;left:10281;top:998;width:4390;height:3156" coordorigin="10282,998" coordsize="4390,3156" path="m14551,4034l14611,4154,14671,4034,14618,4034,14618,4058,14616,4063,14609,4063,14604,4058,14604,4034,14551,4034xm14604,4034l14604,4058,14609,4063,14616,4063,14618,4058,14618,4034,14604,4034xm14604,1013l14604,4034,14618,4034,14618,1001,14616,998,14611,998,14611,1013,14604,1013xm10282,1001l10282,1010,10284,1013,14611,1013,14604,1005,14604,998,10284,998,10282,1001xm14604,998l14604,1005,14611,1013,14611,998,14604,998xe" filled="true" fillcolor="#010101" stroked="false">
              <v:path arrowok="t"/>
              <v:fill type="solid"/>
            </v:shape>
            <v:shape style="position:absolute;left:1939;top:572;width:1005;height:652" type="#_x0000_t202" filled="false" stroked="false">
              <v:textbox inset="0,0,0,0">
                <w:txbxContent>
                  <w:p>
                    <w:pPr>
                      <w:spacing w:line="210" w:lineRule="exact" w:before="0"/>
                      <w:ind w:left="0" w:right="22" w:firstLine="0"/>
                      <w:jc w:val="center"/>
                      <w:rPr>
                        <w:sz w:val="19"/>
                      </w:rPr>
                    </w:pPr>
                    <w:r>
                      <w:rPr>
                        <w:sz w:val="19"/>
                      </w:rPr>
                      <w:t>Is</w:t>
                    </w:r>
                  </w:p>
                  <w:p>
                    <w:pPr>
                      <w:spacing w:line="244" w:lineRule="auto" w:before="0"/>
                      <w:ind w:left="0" w:right="18" w:firstLine="0"/>
                      <w:jc w:val="center"/>
                      <w:rPr>
                        <w:sz w:val="19"/>
                      </w:rPr>
                    </w:pPr>
                    <w:r>
                      <w:rPr>
                        <w:sz w:val="19"/>
                      </w:rPr>
                      <w:t>KP reporting required?</w:t>
                    </w:r>
                  </w:p>
                </w:txbxContent>
              </v:textbox>
              <w10:wrap type="none"/>
            </v:shape>
            <v:shape style="position:absolute;left:3115;top:627;width:252;height:210" type="#_x0000_t202" filled="false" stroked="false">
              <v:textbox inset="0,0,0,0">
                <w:txbxContent>
                  <w:p>
                    <w:pPr>
                      <w:spacing w:line="210" w:lineRule="exact" w:before="0"/>
                      <w:ind w:left="0" w:right="0" w:firstLine="0"/>
                      <w:jc w:val="left"/>
                      <w:rPr>
                        <w:sz w:val="19"/>
                      </w:rPr>
                    </w:pPr>
                    <w:r>
                      <w:rPr>
                        <w:sz w:val="19"/>
                      </w:rPr>
                      <w:t>No</w:t>
                    </w:r>
                  </w:p>
                </w:txbxContent>
              </v:textbox>
              <w10:wrap type="none"/>
            </v:shape>
            <v:shape style="position:absolute;left:4466;top:572;width:1471;height:652" type="#_x0000_t202" filled="false" stroked="false">
              <v:textbox inset="0,0,0,0">
                <w:txbxContent>
                  <w:p>
                    <w:pPr>
                      <w:spacing w:line="242" w:lineRule="auto" w:before="0"/>
                      <w:ind w:left="0" w:right="0" w:firstLine="583"/>
                      <w:jc w:val="left"/>
                      <w:rPr>
                        <w:sz w:val="19"/>
                      </w:rPr>
                    </w:pPr>
                    <w:r>
                      <w:rPr>
                        <w:sz w:val="19"/>
                      </w:rPr>
                      <w:t>Are resources available for Approach 3?</w:t>
                    </w:r>
                  </w:p>
                </w:txbxContent>
              </v:textbox>
              <w10:wrap type="none"/>
            </v:shape>
            <v:shape style="position:absolute;left:5997;top:627;width:252;height:210" type="#_x0000_t202" filled="false" stroked="false">
              <v:textbox inset="0,0,0,0">
                <w:txbxContent>
                  <w:p>
                    <w:pPr>
                      <w:spacing w:line="210" w:lineRule="exact" w:before="0"/>
                      <w:ind w:left="0" w:right="0" w:firstLine="0"/>
                      <w:jc w:val="left"/>
                      <w:rPr>
                        <w:sz w:val="19"/>
                      </w:rPr>
                    </w:pPr>
                    <w:r>
                      <w:rPr>
                        <w:sz w:val="19"/>
                      </w:rPr>
                      <w:t>No</w:t>
                    </w:r>
                  </w:p>
                </w:txbxContent>
              </v:textbox>
              <w10:wrap type="none"/>
            </v:shape>
            <v:shape style="position:absolute;left:8563;top:608;width:1948;height:647" type="#_x0000_t202" filled="false" stroked="false">
              <v:textbox inset="0,0,0,0">
                <w:txbxContent>
                  <w:p>
                    <w:pPr>
                      <w:tabs>
                        <w:tab w:pos="1631" w:val="left" w:leader="none"/>
                      </w:tabs>
                      <w:spacing w:line="220" w:lineRule="exact" w:before="0"/>
                      <w:ind w:left="564" w:right="0" w:firstLine="0"/>
                      <w:jc w:val="left"/>
                      <w:rPr>
                        <w:sz w:val="19"/>
                      </w:rPr>
                    </w:pPr>
                    <w:r>
                      <w:rPr>
                        <w:position w:val="2"/>
                        <w:sz w:val="19"/>
                      </w:rPr>
                      <w:t>Are</w:t>
                      <w:tab/>
                    </w:r>
                    <w:r>
                      <w:rPr>
                        <w:sz w:val="19"/>
                      </w:rPr>
                      <w:t>Yes</w:t>
                    </w:r>
                  </w:p>
                  <w:p>
                    <w:pPr>
                      <w:spacing w:line="240" w:lineRule="auto" w:before="0"/>
                      <w:ind w:left="276" w:right="513" w:hanging="276"/>
                      <w:jc w:val="left"/>
                      <w:rPr>
                        <w:sz w:val="19"/>
                      </w:rPr>
                    </w:pPr>
                    <w:r>
                      <w:rPr>
                        <w:sz w:val="19"/>
                      </w:rPr>
                      <w:t>all locations easily accessible?</w:t>
                    </w:r>
                  </w:p>
                </w:txbxContent>
              </v:textbox>
              <w10:wrap type="none"/>
            </v:shape>
            <v:shape style="position:absolute;left:2635;top:1527;width:316;height:210" type="#_x0000_t202" filled="false" stroked="false">
              <v:textbox inset="0,0,0,0">
                <w:txbxContent>
                  <w:p>
                    <w:pPr>
                      <w:spacing w:line="210" w:lineRule="exact" w:before="0"/>
                      <w:ind w:left="0" w:right="0" w:firstLine="0"/>
                      <w:jc w:val="left"/>
                      <w:rPr>
                        <w:sz w:val="19"/>
                      </w:rPr>
                    </w:pPr>
                    <w:r>
                      <w:rPr>
                        <w:sz w:val="19"/>
                      </w:rPr>
                      <w:t>Yes</w:t>
                    </w:r>
                  </w:p>
                </w:txbxContent>
              </v:textbox>
              <w10:wrap type="none"/>
            </v:shape>
            <v:shape style="position:absolute;left:5397;top:1527;width:315;height:210" type="#_x0000_t202" filled="false" stroked="false">
              <v:textbox inset="0,0,0,0">
                <w:txbxContent>
                  <w:p>
                    <w:pPr>
                      <w:spacing w:line="210" w:lineRule="exact" w:before="0"/>
                      <w:ind w:left="0" w:right="0" w:firstLine="0"/>
                      <w:jc w:val="left"/>
                      <w:rPr>
                        <w:sz w:val="19"/>
                      </w:rPr>
                    </w:pPr>
                    <w:r>
                      <w:rPr>
                        <w:sz w:val="19"/>
                      </w:rPr>
                      <w:t>Yes</w:t>
                    </w:r>
                  </w:p>
                </w:txbxContent>
              </v:textbox>
              <w10:wrap type="none"/>
            </v:shape>
            <v:shape style="position:absolute;left:9475;top:1527;width:252;height:210" type="#_x0000_t202" filled="false" stroked="false">
              <v:textbox inset="0,0,0,0">
                <w:txbxContent>
                  <w:p>
                    <w:pPr>
                      <w:spacing w:line="210" w:lineRule="exact" w:before="0"/>
                      <w:ind w:left="0" w:right="0" w:firstLine="0"/>
                      <w:jc w:val="left"/>
                      <w:rPr>
                        <w:sz w:val="19"/>
                      </w:rPr>
                    </w:pPr>
                    <w:r>
                      <w:rPr>
                        <w:sz w:val="19"/>
                      </w:rPr>
                      <w:t>No</w:t>
                    </w:r>
                  </w:p>
                </w:txbxContent>
              </v:textbox>
              <w10:wrap type="none"/>
            </v:shape>
            <v:shape style="position:absolute;left:8035;top:2247;width:316;height:210" type="#_x0000_t202" filled="false" stroked="false">
              <v:textbox inset="0,0,0,0">
                <w:txbxContent>
                  <w:p>
                    <w:pPr>
                      <w:spacing w:line="210" w:lineRule="exact" w:before="0"/>
                      <w:ind w:left="0" w:right="0" w:firstLine="0"/>
                      <w:jc w:val="left"/>
                      <w:rPr>
                        <w:sz w:val="19"/>
                      </w:rPr>
                    </w:pPr>
                    <w:r>
                      <w:rPr>
                        <w:sz w:val="19"/>
                      </w:rPr>
                      <w:t>Yes</w:t>
                    </w:r>
                  </w:p>
                </w:txbxContent>
              </v:textbox>
              <w10:wrap type="none"/>
            </v:shape>
            <v:shape style="position:absolute;left:8512;top:2175;width:1531;height:647" type="#_x0000_t202" filled="false" stroked="false">
              <v:textbox inset="0,0,0,0">
                <w:txbxContent>
                  <w:p>
                    <w:pPr>
                      <w:spacing w:line="210" w:lineRule="exact" w:before="0"/>
                      <w:ind w:left="2" w:right="18" w:firstLine="0"/>
                      <w:jc w:val="center"/>
                      <w:rPr>
                        <w:sz w:val="19"/>
                      </w:rPr>
                    </w:pPr>
                    <w:r>
                      <w:rPr>
                        <w:sz w:val="19"/>
                      </w:rPr>
                      <w:t>Can</w:t>
                    </w:r>
                  </w:p>
                  <w:p>
                    <w:pPr>
                      <w:spacing w:before="0"/>
                      <w:ind w:left="-1" w:right="18" w:firstLine="0"/>
                      <w:jc w:val="center"/>
                      <w:rPr>
                        <w:sz w:val="19"/>
                      </w:rPr>
                    </w:pPr>
                    <w:r>
                      <w:rPr>
                        <w:sz w:val="19"/>
                      </w:rPr>
                      <w:t>remote sensing </w:t>
                    </w:r>
                    <w:r>
                      <w:rPr>
                        <w:spacing w:val="-4"/>
                        <w:sz w:val="19"/>
                      </w:rPr>
                      <w:t>data </w:t>
                    </w:r>
                    <w:r>
                      <w:rPr>
                        <w:sz w:val="19"/>
                      </w:rPr>
                      <w:t>be</w:t>
                    </w:r>
                    <w:r>
                      <w:rPr>
                        <w:spacing w:val="-1"/>
                        <w:sz w:val="19"/>
                      </w:rPr>
                      <w:t> </w:t>
                    </w:r>
                    <w:r>
                      <w:rPr>
                        <w:sz w:val="19"/>
                      </w:rPr>
                      <w:t>obtained?</w:t>
                    </w:r>
                  </w:p>
                </w:txbxContent>
              </v:textbox>
              <w10:wrap type="none"/>
            </v:shape>
            <v:shape style="position:absolute;left:10195;top:2247;width:252;height:210" type="#_x0000_t202" filled="false" stroked="false">
              <v:textbox inset="0,0,0,0">
                <w:txbxContent>
                  <w:p>
                    <w:pPr>
                      <w:spacing w:line="210" w:lineRule="exact" w:before="0"/>
                      <w:ind w:left="0" w:right="0" w:firstLine="0"/>
                      <w:jc w:val="left"/>
                      <w:rPr>
                        <w:sz w:val="19"/>
                      </w:rPr>
                    </w:pPr>
                    <w:r>
                      <w:rPr>
                        <w:sz w:val="19"/>
                      </w:rPr>
                      <w:t>No</w:t>
                    </w:r>
                  </w:p>
                </w:txbxContent>
              </v:textbox>
              <w10:wrap type="none"/>
            </v:shape>
            <v:shape style="position:absolute;left:10166;top:3253;width:1471;height:870" type="#_x0000_t202" filled="false" stroked="false">
              <v:textbox inset="0,0,0,0">
                <w:txbxContent>
                  <w:p>
                    <w:pPr>
                      <w:spacing w:line="240" w:lineRule="auto" w:before="0"/>
                      <w:ind w:left="0" w:right="0" w:firstLine="583"/>
                      <w:jc w:val="left"/>
                      <w:rPr>
                        <w:sz w:val="19"/>
                      </w:rPr>
                    </w:pPr>
                    <w:r>
                      <w:rPr>
                        <w:sz w:val="19"/>
                      </w:rPr>
                      <w:t>Are resources available</w:t>
                    </w:r>
                  </w:p>
                  <w:p>
                    <w:pPr>
                      <w:spacing w:line="244" w:lineRule="auto" w:before="0"/>
                      <w:ind w:left="131" w:right="138" w:firstLine="55"/>
                      <w:jc w:val="left"/>
                      <w:rPr>
                        <w:sz w:val="19"/>
                      </w:rPr>
                    </w:pPr>
                    <w:r>
                      <w:rPr>
                        <w:sz w:val="19"/>
                      </w:rPr>
                      <w:t>for landowner questionnaires?</w:t>
                    </w:r>
                  </w:p>
                </w:txbxContent>
              </v:textbox>
              <w10:wrap type="none"/>
            </v:shape>
            <v:shape style="position:absolute;left:11995;top:3330;width:315;height:210" type="#_x0000_t202" filled="false" stroked="false">
              <v:textbox inset="0,0,0,0">
                <w:txbxContent>
                  <w:p>
                    <w:pPr>
                      <w:spacing w:line="210" w:lineRule="exact" w:before="0"/>
                      <w:ind w:left="0" w:right="0" w:firstLine="0"/>
                      <w:jc w:val="left"/>
                      <w:rPr>
                        <w:sz w:val="19"/>
                      </w:rPr>
                    </w:pPr>
                    <w:r>
                      <w:rPr>
                        <w:sz w:val="19"/>
                      </w:rPr>
                      <w:t>Yes</w:t>
                    </w:r>
                  </w:p>
                </w:txbxContent>
              </v:textbox>
              <w10:wrap type="none"/>
            </v:shape>
            <v:shape style="position:absolute;left:10425;top:4458;width:252;height:210" type="#_x0000_t202" filled="false" stroked="false">
              <v:textbox inset="0,0,0,0">
                <w:txbxContent>
                  <w:p>
                    <w:pPr>
                      <w:spacing w:line="210" w:lineRule="exact" w:before="0"/>
                      <w:ind w:left="0" w:right="0" w:firstLine="0"/>
                      <w:jc w:val="left"/>
                      <w:rPr>
                        <w:sz w:val="19"/>
                      </w:rPr>
                    </w:pPr>
                    <w:r>
                      <w:rPr>
                        <w:sz w:val="19"/>
                      </w:rPr>
                      <w:t>No</w:t>
                    </w:r>
                  </w:p>
                </w:txbxContent>
              </v:textbox>
              <w10:wrap type="none"/>
            </v:shape>
            <w10:wrap type="topAndBottom"/>
          </v:group>
        </w:pict>
      </w:r>
    </w:p>
    <w:p>
      <w:pPr>
        <w:spacing w:after="0"/>
        <w:rPr>
          <w:sz w:val="28"/>
        </w:rPr>
        <w:sectPr>
          <w:headerReference w:type="even" r:id="rId58"/>
          <w:footerReference w:type="even" r:id="rId59"/>
          <w:footerReference w:type="default" r:id="rId60"/>
          <w:pgSz w:w="16840" w:h="11900" w:orient="landscape"/>
          <w:pgMar w:header="0" w:footer="418" w:top="160" w:bottom="600" w:left="1280" w:right="1160"/>
          <w:pgNumType w:start="16"/>
        </w:sectPr>
      </w:pPr>
    </w:p>
    <w:p>
      <w:pPr>
        <w:pStyle w:val="BodyText"/>
        <w:rPr>
          <w:b/>
        </w:rPr>
      </w:pPr>
    </w:p>
    <w:p>
      <w:pPr>
        <w:pStyle w:val="ListParagraph"/>
        <w:numPr>
          <w:ilvl w:val="2"/>
          <w:numId w:val="15"/>
        </w:numPr>
        <w:tabs>
          <w:tab w:pos="1128" w:val="left" w:leader="none"/>
        </w:tabs>
        <w:spacing w:line="240" w:lineRule="auto" w:before="216" w:after="0"/>
        <w:ind w:left="1127" w:right="0" w:hanging="1008"/>
        <w:jc w:val="both"/>
        <w:rPr>
          <w:b/>
          <w:sz w:val="32"/>
        </w:rPr>
      </w:pPr>
      <w:r>
        <w:rPr>
          <w:b/>
          <w:spacing w:val="8"/>
          <w:sz w:val="32"/>
        </w:rPr>
        <w:t>Uncertainties Associated with </w:t>
      </w:r>
      <w:r>
        <w:rPr>
          <w:b/>
          <w:spacing w:val="7"/>
          <w:sz w:val="32"/>
        </w:rPr>
        <w:t>the</w:t>
      </w:r>
      <w:r>
        <w:rPr>
          <w:b/>
          <w:spacing w:val="54"/>
          <w:sz w:val="32"/>
        </w:rPr>
        <w:t> </w:t>
      </w:r>
      <w:r>
        <w:rPr>
          <w:b/>
          <w:spacing w:val="9"/>
          <w:sz w:val="32"/>
        </w:rPr>
        <w:t>Approaches</w:t>
      </w:r>
    </w:p>
    <w:p>
      <w:pPr>
        <w:pStyle w:val="BodyText"/>
        <w:spacing w:before="116"/>
        <w:ind w:left="119" w:right="183"/>
        <w:jc w:val="both"/>
      </w:pPr>
      <w:r>
        <w:rPr>
          <w:i/>
        </w:rPr>
        <w:t>Good practice </w:t>
      </w:r>
      <w:r>
        <w:rPr/>
        <w:t>requires uncertainties to be reduced as far as practicable and Chapter 5.2 (Identifying and quantifying uncertainties) sets out methods to quantify them. These methods require area uncertainty estimates as an input. Although the uncertainty associated with the Approaches 1 to 3 obviously depends on how they are implemented and on the quality of the data available, it is possible to give an indication of what can be achieved in practice. Table 2.3.6 sets out the sources of uncertainty involved, the basis for reducing uncertainties and indicative levels of uncertainty under conditions that might be encountered in</w:t>
      </w:r>
      <w:r>
        <w:rPr>
          <w:spacing w:val="-5"/>
        </w:rPr>
        <w:t> </w:t>
      </w:r>
      <w:r>
        <w:rPr/>
        <w:t>practice.</w:t>
      </w:r>
    </w:p>
    <w:p>
      <w:pPr>
        <w:pStyle w:val="BodyText"/>
        <w:spacing w:before="118"/>
        <w:ind w:left="119" w:right="184"/>
        <w:jc w:val="both"/>
      </w:pPr>
      <w:r>
        <w:rPr/>
        <w:t>The sources of uncertainty of area will tend to increase from Approach 1 to Approach 3, because successively more data are brought into the assessment. This does not imply that uncertainty increases, however, because of the additional cross-checks that are made possible by the new data, and because of the general reduction in uncertainties due to cancellation of errors familiar in statistics. The main difference between Approach 1, and Approaches 2 and 3 is that percentage uncertainties on changes in land area are likely to be greater in Approach</w:t>
      </w:r>
    </w:p>
    <w:p>
      <w:pPr>
        <w:pStyle w:val="BodyText"/>
        <w:ind w:left="119" w:right="185"/>
        <w:jc w:val="both"/>
      </w:pPr>
      <w:r>
        <w:rPr/>
        <w:t>1. This is because in Approach 1 changes in land use are derived from differences in total areas. Under Approach 1, the uncertainty in the difference will be between 1 and 1.4 times the uncertainty in areas being compared, depending on the degree of correlation between the surveys. Approach 3 produces detailed spatially explicit information; which may be required e.g., for some modelling approaches, or for reporting Kyoto Protocol activities. In these cases additional spatial information would be needed if Approach 1 or 2 is being used for land area identification. Kyoto Protocol requirements are identified in Chapter 4, Section 4.2.2.</w:t>
      </w:r>
    </w:p>
    <w:p>
      <w:pPr>
        <w:pStyle w:val="BodyText"/>
      </w:pPr>
    </w:p>
    <w:p>
      <w:pPr>
        <w:pStyle w:val="BodyText"/>
      </w:pPr>
    </w:p>
    <w:p>
      <w:pPr>
        <w:pStyle w:val="BodyText"/>
        <w:spacing w:before="8"/>
        <w:rPr>
          <w:sz w:val="11"/>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8"/>
        <w:gridCol w:w="2800"/>
        <w:gridCol w:w="2510"/>
        <w:gridCol w:w="2524"/>
      </w:tblGrid>
      <w:tr>
        <w:trPr>
          <w:trHeight w:val="474" w:hRule="atLeast"/>
        </w:trPr>
        <w:tc>
          <w:tcPr>
            <w:tcW w:w="9012" w:type="dxa"/>
            <w:gridSpan w:val="4"/>
            <w:tcBorders>
              <w:bottom w:val="double" w:sz="1" w:space="0" w:color="000000"/>
            </w:tcBorders>
          </w:tcPr>
          <w:p>
            <w:pPr>
              <w:pStyle w:val="TableParagraph"/>
              <w:spacing w:line="207" w:lineRule="exact" w:before="59"/>
              <w:ind w:left="1300" w:right="1290"/>
              <w:jc w:val="center"/>
              <w:rPr>
                <w:b/>
                <w:sz w:val="18"/>
              </w:rPr>
            </w:pPr>
            <w:r>
              <w:rPr>
                <w:b/>
                <w:sz w:val="18"/>
              </w:rPr>
              <w:t>T</w:t>
            </w:r>
            <w:r>
              <w:rPr>
                <w:b/>
                <w:sz w:val="14"/>
              </w:rPr>
              <w:t>ABLE </w:t>
            </w:r>
            <w:r>
              <w:rPr>
                <w:b/>
                <w:sz w:val="18"/>
              </w:rPr>
              <w:t>2.3.6</w:t>
            </w:r>
          </w:p>
          <w:p>
            <w:pPr>
              <w:pStyle w:val="TableParagraph"/>
              <w:spacing w:line="188" w:lineRule="exact"/>
              <w:ind w:left="1300" w:right="1290"/>
              <w:jc w:val="center"/>
              <w:rPr>
                <w:b/>
                <w:sz w:val="18"/>
              </w:rPr>
            </w:pPr>
            <w:r>
              <w:rPr>
                <w:b/>
                <w:sz w:val="18"/>
              </w:rPr>
              <w:t>S</w:t>
            </w:r>
            <w:r>
              <w:rPr>
                <w:b/>
                <w:sz w:val="14"/>
              </w:rPr>
              <w:t>UMMARY OF UNCERTAINTIES UNDER </w:t>
            </w:r>
            <w:r>
              <w:rPr>
                <w:b/>
                <w:sz w:val="18"/>
              </w:rPr>
              <w:t>A</w:t>
            </w:r>
            <w:r>
              <w:rPr>
                <w:b/>
                <w:sz w:val="14"/>
              </w:rPr>
              <w:t>PPROACHES </w:t>
            </w:r>
            <w:r>
              <w:rPr>
                <w:b/>
                <w:sz w:val="18"/>
              </w:rPr>
              <w:t>1 </w:t>
            </w:r>
            <w:r>
              <w:rPr>
                <w:b/>
                <w:sz w:val="14"/>
              </w:rPr>
              <w:t>TO </w:t>
            </w:r>
            <w:r>
              <w:rPr>
                <w:b/>
                <w:sz w:val="18"/>
              </w:rPr>
              <w:t>3</w:t>
            </w:r>
          </w:p>
        </w:tc>
      </w:tr>
      <w:tr>
        <w:trPr>
          <w:trHeight w:val="479" w:hRule="atLeast"/>
        </w:trPr>
        <w:tc>
          <w:tcPr>
            <w:tcW w:w="1178" w:type="dxa"/>
            <w:tcBorders>
              <w:top w:val="double" w:sz="1" w:space="0" w:color="000000"/>
            </w:tcBorders>
          </w:tcPr>
          <w:p>
            <w:pPr>
              <w:pStyle w:val="TableParagraph"/>
              <w:rPr>
                <w:sz w:val="18"/>
              </w:rPr>
            </w:pPr>
          </w:p>
        </w:tc>
        <w:tc>
          <w:tcPr>
            <w:tcW w:w="2800" w:type="dxa"/>
            <w:tcBorders>
              <w:top w:val="double" w:sz="1" w:space="0" w:color="000000"/>
            </w:tcBorders>
          </w:tcPr>
          <w:p>
            <w:pPr>
              <w:pStyle w:val="TableParagraph"/>
              <w:spacing w:before="138"/>
              <w:ind w:left="108"/>
              <w:rPr>
                <w:b/>
                <w:sz w:val="18"/>
              </w:rPr>
            </w:pPr>
            <w:r>
              <w:rPr>
                <w:b/>
                <w:sz w:val="18"/>
              </w:rPr>
              <w:t>Sources of uncertainty</w:t>
            </w:r>
          </w:p>
        </w:tc>
        <w:tc>
          <w:tcPr>
            <w:tcW w:w="2510" w:type="dxa"/>
            <w:tcBorders>
              <w:top w:val="double" w:sz="1" w:space="0" w:color="000000"/>
            </w:tcBorders>
          </w:tcPr>
          <w:p>
            <w:pPr>
              <w:pStyle w:val="TableParagraph"/>
              <w:spacing w:before="138"/>
              <w:ind w:left="109"/>
              <w:rPr>
                <w:b/>
                <w:sz w:val="18"/>
              </w:rPr>
            </w:pPr>
            <w:r>
              <w:rPr>
                <w:b/>
                <w:sz w:val="18"/>
              </w:rPr>
              <w:t>Ways to reduce uncertainty</w:t>
            </w:r>
          </w:p>
        </w:tc>
        <w:tc>
          <w:tcPr>
            <w:tcW w:w="2524" w:type="dxa"/>
            <w:tcBorders>
              <w:top w:val="double" w:sz="1" w:space="0" w:color="000000"/>
            </w:tcBorders>
          </w:tcPr>
          <w:p>
            <w:pPr>
              <w:pStyle w:val="TableParagraph"/>
              <w:spacing w:line="206" w:lineRule="exact" w:before="65"/>
              <w:ind w:left="109" w:right="680"/>
              <w:rPr>
                <w:b/>
                <w:sz w:val="18"/>
              </w:rPr>
            </w:pPr>
            <w:r>
              <w:rPr>
                <w:b/>
                <w:sz w:val="18"/>
              </w:rPr>
              <w:t>Indicative uncertainty following checks</w:t>
            </w:r>
          </w:p>
        </w:tc>
      </w:tr>
      <w:tr>
        <w:trPr>
          <w:trHeight w:val="926" w:hRule="atLeast"/>
        </w:trPr>
        <w:tc>
          <w:tcPr>
            <w:tcW w:w="1178" w:type="dxa"/>
            <w:tcBorders>
              <w:bottom w:val="nil"/>
            </w:tcBorders>
          </w:tcPr>
          <w:p>
            <w:pPr>
              <w:pStyle w:val="TableParagraph"/>
              <w:spacing w:before="55"/>
              <w:ind w:left="107"/>
              <w:rPr>
                <w:sz w:val="18"/>
              </w:rPr>
            </w:pPr>
            <w:r>
              <w:rPr>
                <w:sz w:val="18"/>
              </w:rPr>
              <w:t>Approach 1</w:t>
            </w:r>
          </w:p>
        </w:tc>
        <w:tc>
          <w:tcPr>
            <w:tcW w:w="2800" w:type="dxa"/>
            <w:tcBorders>
              <w:bottom w:val="nil"/>
            </w:tcBorders>
          </w:tcPr>
          <w:p>
            <w:pPr>
              <w:pStyle w:val="TableParagraph"/>
              <w:spacing w:before="55"/>
              <w:ind w:left="108" w:right="114" w:hanging="2"/>
              <w:rPr>
                <w:sz w:val="18"/>
              </w:rPr>
            </w:pPr>
            <w:r>
              <w:rPr>
                <w:sz w:val="18"/>
              </w:rPr>
              <w:t>Sources of uncertainty may include some or all of the following, depending on the nature of the source of data:</w:t>
            </w:r>
          </w:p>
        </w:tc>
        <w:tc>
          <w:tcPr>
            <w:tcW w:w="2510" w:type="dxa"/>
            <w:vMerge w:val="restart"/>
          </w:tcPr>
          <w:p>
            <w:pPr>
              <w:pStyle w:val="TableParagraph"/>
              <w:numPr>
                <w:ilvl w:val="0"/>
                <w:numId w:val="17"/>
              </w:numPr>
              <w:tabs>
                <w:tab w:pos="468" w:val="left" w:leader="none"/>
                <w:tab w:pos="469" w:val="left" w:leader="none"/>
              </w:tabs>
              <w:spacing w:line="230" w:lineRule="auto" w:before="54" w:after="0"/>
              <w:ind w:left="469" w:right="185" w:hanging="360"/>
              <w:jc w:val="left"/>
              <w:rPr>
                <w:sz w:val="18"/>
              </w:rPr>
            </w:pPr>
            <w:r>
              <w:rPr>
                <w:sz w:val="18"/>
              </w:rPr>
              <w:t>Check for consistent relationship with national area</w:t>
            </w:r>
          </w:p>
          <w:p>
            <w:pPr>
              <w:pStyle w:val="TableParagraph"/>
              <w:numPr>
                <w:ilvl w:val="0"/>
                <w:numId w:val="17"/>
              </w:numPr>
              <w:tabs>
                <w:tab w:pos="468" w:val="left" w:leader="none"/>
                <w:tab w:pos="469" w:val="left" w:leader="none"/>
              </w:tabs>
              <w:spacing w:line="223" w:lineRule="auto" w:before="106" w:after="0"/>
              <w:ind w:left="469" w:right="205" w:hanging="360"/>
              <w:jc w:val="left"/>
              <w:rPr>
                <w:sz w:val="18"/>
              </w:rPr>
            </w:pPr>
            <w:r>
              <w:rPr>
                <w:sz w:val="18"/>
              </w:rPr>
              <w:t>Correct for differences</w:t>
            </w:r>
            <w:r>
              <w:rPr>
                <w:spacing w:val="-11"/>
                <w:sz w:val="18"/>
              </w:rPr>
              <w:t> </w:t>
            </w:r>
            <w:r>
              <w:rPr>
                <w:sz w:val="18"/>
              </w:rPr>
              <w:t>in definitions</w:t>
            </w:r>
          </w:p>
          <w:p>
            <w:pPr>
              <w:pStyle w:val="TableParagraph"/>
              <w:numPr>
                <w:ilvl w:val="0"/>
                <w:numId w:val="17"/>
              </w:numPr>
              <w:tabs>
                <w:tab w:pos="468" w:val="left" w:leader="none"/>
                <w:tab w:pos="469" w:val="left" w:leader="none"/>
              </w:tabs>
              <w:spacing w:line="230" w:lineRule="auto" w:before="102" w:after="0"/>
              <w:ind w:left="469" w:right="434" w:hanging="360"/>
              <w:jc w:val="left"/>
              <w:rPr>
                <w:sz w:val="18"/>
              </w:rPr>
            </w:pPr>
            <w:r>
              <w:rPr>
                <w:sz w:val="18"/>
              </w:rPr>
              <w:t>Consult statistical agencies on likely uncertainties</w:t>
            </w:r>
            <w:r>
              <w:rPr>
                <w:spacing w:val="-8"/>
                <w:sz w:val="18"/>
              </w:rPr>
              <w:t> </w:t>
            </w:r>
            <w:r>
              <w:rPr>
                <w:sz w:val="18"/>
              </w:rPr>
              <w:t>involved</w:t>
            </w:r>
          </w:p>
          <w:p>
            <w:pPr>
              <w:pStyle w:val="TableParagraph"/>
              <w:numPr>
                <w:ilvl w:val="0"/>
                <w:numId w:val="17"/>
              </w:numPr>
              <w:tabs>
                <w:tab w:pos="468" w:val="left" w:leader="none"/>
                <w:tab w:pos="469" w:val="left" w:leader="none"/>
              </w:tabs>
              <w:spacing w:line="220" w:lineRule="auto" w:before="110" w:after="0"/>
              <w:ind w:left="469" w:right="504" w:hanging="360"/>
              <w:jc w:val="left"/>
              <w:rPr>
                <w:sz w:val="18"/>
              </w:rPr>
            </w:pPr>
            <w:r>
              <w:rPr>
                <w:sz w:val="18"/>
              </w:rPr>
              <w:t>Compare with international</w:t>
            </w:r>
            <w:r>
              <w:rPr>
                <w:spacing w:val="-9"/>
                <w:sz w:val="18"/>
              </w:rPr>
              <w:t> </w:t>
            </w:r>
            <w:r>
              <w:rPr>
                <w:sz w:val="18"/>
              </w:rPr>
              <w:t>datasets</w:t>
            </w:r>
          </w:p>
        </w:tc>
        <w:tc>
          <w:tcPr>
            <w:tcW w:w="2524" w:type="dxa"/>
            <w:vMerge w:val="restart"/>
          </w:tcPr>
          <w:p>
            <w:pPr>
              <w:pStyle w:val="TableParagraph"/>
              <w:spacing w:before="55"/>
              <w:ind w:left="109" w:right="176"/>
              <w:rPr>
                <w:sz w:val="18"/>
              </w:rPr>
            </w:pPr>
            <w:r>
              <w:rPr>
                <w:sz w:val="18"/>
              </w:rPr>
              <w:t>Order of a few % to order of 10% for total land area in each category.</w:t>
            </w:r>
          </w:p>
          <w:p>
            <w:pPr>
              <w:pStyle w:val="TableParagraph"/>
              <w:rPr>
                <w:sz w:val="20"/>
              </w:rPr>
            </w:pPr>
          </w:p>
          <w:p>
            <w:pPr>
              <w:pStyle w:val="TableParagraph"/>
              <w:spacing w:before="8"/>
              <w:rPr>
                <w:sz w:val="20"/>
              </w:rPr>
            </w:pPr>
          </w:p>
          <w:p>
            <w:pPr>
              <w:pStyle w:val="TableParagraph"/>
              <w:ind w:left="109" w:right="296"/>
              <w:rPr>
                <w:sz w:val="18"/>
              </w:rPr>
            </w:pPr>
            <w:r>
              <w:rPr>
                <w:sz w:val="18"/>
              </w:rPr>
              <w:t>Greater % uncertainty for changes in area derived from successive surveys.</w:t>
            </w:r>
          </w:p>
          <w:p>
            <w:pPr>
              <w:pStyle w:val="TableParagraph"/>
              <w:rPr>
                <w:sz w:val="20"/>
              </w:rPr>
            </w:pPr>
          </w:p>
          <w:p>
            <w:pPr>
              <w:pStyle w:val="TableParagraph"/>
              <w:rPr>
                <w:sz w:val="21"/>
              </w:rPr>
            </w:pPr>
          </w:p>
          <w:p>
            <w:pPr>
              <w:pStyle w:val="TableParagraph"/>
              <w:ind w:left="109" w:right="170"/>
              <w:rPr>
                <w:sz w:val="18"/>
              </w:rPr>
            </w:pPr>
            <w:r>
              <w:rPr>
                <w:sz w:val="18"/>
              </w:rPr>
              <w:t>Systematic errors may be significant when data prepared for other purposes is used.</w:t>
            </w:r>
          </w:p>
        </w:tc>
      </w:tr>
      <w:tr>
        <w:trPr>
          <w:trHeight w:val="306" w:hRule="atLeast"/>
        </w:trPr>
        <w:tc>
          <w:tcPr>
            <w:tcW w:w="1178" w:type="dxa"/>
            <w:tcBorders>
              <w:top w:val="nil"/>
              <w:bottom w:val="nil"/>
            </w:tcBorders>
          </w:tcPr>
          <w:p>
            <w:pPr>
              <w:pStyle w:val="TableParagraph"/>
              <w:rPr>
                <w:sz w:val="18"/>
              </w:rPr>
            </w:pPr>
          </w:p>
        </w:tc>
        <w:tc>
          <w:tcPr>
            <w:tcW w:w="2800" w:type="dxa"/>
            <w:tcBorders>
              <w:top w:val="nil"/>
              <w:bottom w:val="nil"/>
            </w:tcBorders>
          </w:tcPr>
          <w:p>
            <w:pPr>
              <w:pStyle w:val="TableParagraph"/>
              <w:numPr>
                <w:ilvl w:val="0"/>
                <w:numId w:val="18"/>
              </w:numPr>
              <w:tabs>
                <w:tab w:pos="468" w:val="left" w:leader="none"/>
                <w:tab w:pos="469" w:val="left" w:leader="none"/>
              </w:tabs>
              <w:spacing w:line="240" w:lineRule="auto" w:before="56" w:after="0"/>
              <w:ind w:left="468" w:right="0" w:hanging="360"/>
              <w:jc w:val="left"/>
              <w:rPr>
                <w:sz w:val="18"/>
              </w:rPr>
            </w:pPr>
            <w:r>
              <w:rPr>
                <w:sz w:val="18"/>
              </w:rPr>
              <w:t>Error in census</w:t>
            </w:r>
            <w:r>
              <w:rPr>
                <w:spacing w:val="-1"/>
                <w:sz w:val="18"/>
              </w:rPr>
              <w:t> </w:t>
            </w:r>
            <w:r>
              <w:rPr>
                <w:sz w:val="18"/>
              </w:rPr>
              <w:t>returns</w:t>
            </w:r>
          </w:p>
        </w:tc>
        <w:tc>
          <w:tcPr>
            <w:tcW w:w="2510" w:type="dxa"/>
            <w:vMerge/>
            <w:tcBorders>
              <w:top w:val="nil"/>
            </w:tcBorders>
          </w:tcPr>
          <w:p>
            <w:pPr>
              <w:rPr>
                <w:sz w:val="2"/>
                <w:szCs w:val="2"/>
              </w:rPr>
            </w:pPr>
          </w:p>
        </w:tc>
        <w:tc>
          <w:tcPr>
            <w:tcW w:w="2524" w:type="dxa"/>
            <w:vMerge/>
            <w:tcBorders>
              <w:top w:val="nil"/>
            </w:tcBorders>
          </w:tcPr>
          <w:p>
            <w:pPr>
              <w:rPr>
                <w:sz w:val="2"/>
                <w:szCs w:val="2"/>
              </w:rPr>
            </w:pPr>
          </w:p>
        </w:tc>
      </w:tr>
      <w:tr>
        <w:trPr>
          <w:trHeight w:val="488" w:hRule="atLeast"/>
        </w:trPr>
        <w:tc>
          <w:tcPr>
            <w:tcW w:w="1178" w:type="dxa"/>
            <w:tcBorders>
              <w:top w:val="nil"/>
              <w:bottom w:val="nil"/>
            </w:tcBorders>
          </w:tcPr>
          <w:p>
            <w:pPr>
              <w:pStyle w:val="TableParagraph"/>
              <w:rPr>
                <w:sz w:val="18"/>
              </w:rPr>
            </w:pPr>
          </w:p>
        </w:tc>
        <w:tc>
          <w:tcPr>
            <w:tcW w:w="2800" w:type="dxa"/>
            <w:tcBorders>
              <w:top w:val="nil"/>
              <w:bottom w:val="nil"/>
            </w:tcBorders>
          </w:tcPr>
          <w:p>
            <w:pPr>
              <w:pStyle w:val="TableParagraph"/>
              <w:numPr>
                <w:ilvl w:val="0"/>
                <w:numId w:val="19"/>
              </w:numPr>
              <w:tabs>
                <w:tab w:pos="468" w:val="left" w:leader="none"/>
                <w:tab w:pos="469" w:val="left" w:leader="none"/>
              </w:tabs>
              <w:spacing w:line="220" w:lineRule="auto" w:before="55" w:after="0"/>
              <w:ind w:left="468" w:right="548" w:hanging="360"/>
              <w:jc w:val="left"/>
              <w:rPr>
                <w:sz w:val="18"/>
              </w:rPr>
            </w:pPr>
            <w:r>
              <w:rPr>
                <w:sz w:val="18"/>
              </w:rPr>
              <w:t>Differences in definition between agencies</w:t>
            </w:r>
          </w:p>
        </w:tc>
        <w:tc>
          <w:tcPr>
            <w:tcW w:w="2510" w:type="dxa"/>
            <w:vMerge/>
            <w:tcBorders>
              <w:top w:val="nil"/>
            </w:tcBorders>
          </w:tcPr>
          <w:p>
            <w:pPr>
              <w:rPr>
                <w:sz w:val="2"/>
                <w:szCs w:val="2"/>
              </w:rPr>
            </w:pPr>
          </w:p>
        </w:tc>
        <w:tc>
          <w:tcPr>
            <w:tcW w:w="2524" w:type="dxa"/>
            <w:vMerge/>
            <w:tcBorders>
              <w:top w:val="nil"/>
            </w:tcBorders>
          </w:tcPr>
          <w:p>
            <w:pPr>
              <w:rPr>
                <w:sz w:val="2"/>
                <w:szCs w:val="2"/>
              </w:rPr>
            </w:pPr>
          </w:p>
        </w:tc>
      </w:tr>
      <w:tr>
        <w:trPr>
          <w:trHeight w:val="296" w:hRule="atLeast"/>
        </w:trPr>
        <w:tc>
          <w:tcPr>
            <w:tcW w:w="1178" w:type="dxa"/>
            <w:tcBorders>
              <w:top w:val="nil"/>
              <w:bottom w:val="nil"/>
            </w:tcBorders>
          </w:tcPr>
          <w:p>
            <w:pPr>
              <w:pStyle w:val="TableParagraph"/>
              <w:rPr>
                <w:sz w:val="18"/>
              </w:rPr>
            </w:pPr>
          </w:p>
        </w:tc>
        <w:tc>
          <w:tcPr>
            <w:tcW w:w="2800" w:type="dxa"/>
            <w:tcBorders>
              <w:top w:val="nil"/>
              <w:bottom w:val="nil"/>
            </w:tcBorders>
          </w:tcPr>
          <w:p>
            <w:pPr>
              <w:pStyle w:val="TableParagraph"/>
              <w:numPr>
                <w:ilvl w:val="0"/>
                <w:numId w:val="20"/>
              </w:numPr>
              <w:tabs>
                <w:tab w:pos="468" w:val="left" w:leader="none"/>
                <w:tab w:pos="469" w:val="left" w:leader="none"/>
              </w:tabs>
              <w:spacing w:line="240" w:lineRule="auto" w:before="48" w:after="0"/>
              <w:ind w:left="468" w:right="0" w:hanging="360"/>
              <w:jc w:val="left"/>
              <w:rPr>
                <w:sz w:val="18"/>
              </w:rPr>
            </w:pPr>
            <w:r>
              <w:rPr>
                <w:sz w:val="18"/>
              </w:rPr>
              <w:t>Sampling</w:t>
            </w:r>
            <w:r>
              <w:rPr>
                <w:spacing w:val="-2"/>
                <w:sz w:val="18"/>
              </w:rPr>
              <w:t> </w:t>
            </w:r>
            <w:r>
              <w:rPr>
                <w:sz w:val="18"/>
              </w:rPr>
              <w:t>design</w:t>
            </w:r>
          </w:p>
        </w:tc>
        <w:tc>
          <w:tcPr>
            <w:tcW w:w="2510" w:type="dxa"/>
            <w:vMerge/>
            <w:tcBorders>
              <w:top w:val="nil"/>
            </w:tcBorders>
          </w:tcPr>
          <w:p>
            <w:pPr>
              <w:rPr>
                <w:sz w:val="2"/>
                <w:szCs w:val="2"/>
              </w:rPr>
            </w:pPr>
          </w:p>
        </w:tc>
        <w:tc>
          <w:tcPr>
            <w:tcW w:w="2524" w:type="dxa"/>
            <w:vMerge/>
            <w:tcBorders>
              <w:top w:val="nil"/>
            </w:tcBorders>
          </w:tcPr>
          <w:p>
            <w:pPr>
              <w:rPr>
                <w:sz w:val="2"/>
                <w:szCs w:val="2"/>
              </w:rPr>
            </w:pPr>
          </w:p>
        </w:tc>
      </w:tr>
      <w:tr>
        <w:trPr>
          <w:trHeight w:val="305" w:hRule="atLeast"/>
        </w:trPr>
        <w:tc>
          <w:tcPr>
            <w:tcW w:w="1178" w:type="dxa"/>
            <w:tcBorders>
              <w:top w:val="nil"/>
              <w:bottom w:val="nil"/>
            </w:tcBorders>
          </w:tcPr>
          <w:p>
            <w:pPr>
              <w:pStyle w:val="TableParagraph"/>
              <w:rPr>
                <w:sz w:val="18"/>
              </w:rPr>
            </w:pPr>
          </w:p>
        </w:tc>
        <w:tc>
          <w:tcPr>
            <w:tcW w:w="2800" w:type="dxa"/>
            <w:tcBorders>
              <w:top w:val="nil"/>
              <w:bottom w:val="nil"/>
            </w:tcBorders>
          </w:tcPr>
          <w:p>
            <w:pPr>
              <w:pStyle w:val="TableParagraph"/>
              <w:numPr>
                <w:ilvl w:val="0"/>
                <w:numId w:val="21"/>
              </w:numPr>
              <w:tabs>
                <w:tab w:pos="468" w:val="left" w:leader="none"/>
                <w:tab w:pos="469" w:val="left" w:leader="none"/>
              </w:tabs>
              <w:spacing w:line="240" w:lineRule="auto" w:before="41" w:after="0"/>
              <w:ind w:left="468" w:right="0" w:hanging="360"/>
              <w:jc w:val="left"/>
              <w:rPr>
                <w:sz w:val="18"/>
              </w:rPr>
            </w:pPr>
            <w:r>
              <w:rPr>
                <w:sz w:val="18"/>
              </w:rPr>
              <w:t>Interpretation of</w:t>
            </w:r>
            <w:r>
              <w:rPr>
                <w:spacing w:val="-3"/>
                <w:sz w:val="18"/>
              </w:rPr>
              <w:t> </w:t>
            </w:r>
            <w:r>
              <w:rPr>
                <w:sz w:val="18"/>
              </w:rPr>
              <w:t>samples</w:t>
            </w:r>
          </w:p>
        </w:tc>
        <w:tc>
          <w:tcPr>
            <w:tcW w:w="2510" w:type="dxa"/>
            <w:vMerge/>
            <w:tcBorders>
              <w:top w:val="nil"/>
            </w:tcBorders>
          </w:tcPr>
          <w:p>
            <w:pPr>
              <w:rPr>
                <w:sz w:val="2"/>
                <w:szCs w:val="2"/>
              </w:rPr>
            </w:pPr>
          </w:p>
        </w:tc>
        <w:tc>
          <w:tcPr>
            <w:tcW w:w="2524" w:type="dxa"/>
            <w:vMerge/>
            <w:tcBorders>
              <w:top w:val="nil"/>
            </w:tcBorders>
          </w:tcPr>
          <w:p>
            <w:pPr>
              <w:rPr>
                <w:sz w:val="2"/>
                <w:szCs w:val="2"/>
              </w:rPr>
            </w:pPr>
          </w:p>
        </w:tc>
      </w:tr>
      <w:tr>
        <w:trPr>
          <w:trHeight w:val="271" w:hRule="atLeast"/>
        </w:trPr>
        <w:tc>
          <w:tcPr>
            <w:tcW w:w="1178" w:type="dxa"/>
            <w:tcBorders>
              <w:top w:val="nil"/>
              <w:bottom w:val="nil"/>
            </w:tcBorders>
          </w:tcPr>
          <w:p>
            <w:pPr>
              <w:pStyle w:val="TableParagraph"/>
              <w:rPr>
                <w:sz w:val="18"/>
              </w:rPr>
            </w:pPr>
          </w:p>
        </w:tc>
        <w:tc>
          <w:tcPr>
            <w:tcW w:w="2800" w:type="dxa"/>
            <w:tcBorders>
              <w:top w:val="nil"/>
              <w:bottom w:val="nil"/>
            </w:tcBorders>
          </w:tcPr>
          <w:p>
            <w:pPr>
              <w:pStyle w:val="TableParagraph"/>
              <w:spacing w:before="35"/>
              <w:ind w:left="108"/>
              <w:rPr>
                <w:sz w:val="18"/>
              </w:rPr>
            </w:pPr>
            <w:r>
              <w:rPr>
                <w:sz w:val="18"/>
              </w:rPr>
              <w:t>In addition:</w:t>
            </w:r>
          </w:p>
        </w:tc>
        <w:tc>
          <w:tcPr>
            <w:tcW w:w="2510" w:type="dxa"/>
            <w:vMerge/>
            <w:tcBorders>
              <w:top w:val="nil"/>
            </w:tcBorders>
          </w:tcPr>
          <w:p>
            <w:pPr>
              <w:rPr>
                <w:sz w:val="2"/>
                <w:szCs w:val="2"/>
              </w:rPr>
            </w:pPr>
          </w:p>
        </w:tc>
        <w:tc>
          <w:tcPr>
            <w:tcW w:w="2524" w:type="dxa"/>
            <w:vMerge/>
            <w:tcBorders>
              <w:top w:val="nil"/>
            </w:tcBorders>
          </w:tcPr>
          <w:p>
            <w:pPr>
              <w:rPr>
                <w:sz w:val="2"/>
                <w:szCs w:val="2"/>
              </w:rPr>
            </w:pPr>
          </w:p>
        </w:tc>
      </w:tr>
      <w:tr>
        <w:trPr>
          <w:trHeight w:val="1201" w:hRule="atLeast"/>
        </w:trPr>
        <w:tc>
          <w:tcPr>
            <w:tcW w:w="1178" w:type="dxa"/>
            <w:tcBorders>
              <w:top w:val="nil"/>
            </w:tcBorders>
          </w:tcPr>
          <w:p>
            <w:pPr>
              <w:pStyle w:val="TableParagraph"/>
              <w:rPr>
                <w:sz w:val="18"/>
              </w:rPr>
            </w:pPr>
          </w:p>
        </w:tc>
        <w:tc>
          <w:tcPr>
            <w:tcW w:w="2800" w:type="dxa"/>
            <w:tcBorders>
              <w:top w:val="nil"/>
            </w:tcBorders>
          </w:tcPr>
          <w:p>
            <w:pPr>
              <w:pStyle w:val="TableParagraph"/>
              <w:spacing w:before="21"/>
              <w:ind w:left="108" w:right="272"/>
              <w:rPr>
                <w:sz w:val="20"/>
              </w:rPr>
            </w:pPr>
            <w:r>
              <w:rPr>
                <w:sz w:val="18"/>
              </w:rPr>
              <w:t>Cross-checks on area changes between categories cannot be conducted under Approach 1 and this will tend to increase uncertainties</w:t>
            </w:r>
            <w:r>
              <w:rPr>
                <w:sz w:val="20"/>
              </w:rPr>
              <w:t>.</w:t>
            </w:r>
          </w:p>
        </w:tc>
        <w:tc>
          <w:tcPr>
            <w:tcW w:w="2510" w:type="dxa"/>
            <w:vMerge/>
            <w:tcBorders>
              <w:top w:val="nil"/>
            </w:tcBorders>
          </w:tcPr>
          <w:p>
            <w:pPr>
              <w:rPr>
                <w:sz w:val="2"/>
                <w:szCs w:val="2"/>
              </w:rPr>
            </w:pPr>
          </w:p>
        </w:tc>
        <w:tc>
          <w:tcPr>
            <w:tcW w:w="2524" w:type="dxa"/>
            <w:vMerge/>
            <w:tcBorders>
              <w:top w:val="nil"/>
            </w:tcBorders>
          </w:tcPr>
          <w:p>
            <w:pPr>
              <w:rPr>
                <w:sz w:val="2"/>
                <w:szCs w:val="2"/>
              </w:rPr>
            </w:pPr>
          </w:p>
        </w:tc>
      </w:tr>
      <w:tr>
        <w:trPr>
          <w:trHeight w:val="1153" w:hRule="atLeast"/>
        </w:trPr>
        <w:tc>
          <w:tcPr>
            <w:tcW w:w="1178" w:type="dxa"/>
          </w:tcPr>
          <w:p>
            <w:pPr>
              <w:pStyle w:val="TableParagraph"/>
              <w:spacing w:before="55"/>
              <w:ind w:left="107"/>
              <w:rPr>
                <w:sz w:val="18"/>
              </w:rPr>
            </w:pPr>
            <w:r>
              <w:rPr>
                <w:sz w:val="18"/>
              </w:rPr>
              <w:t>Approach 2</w:t>
            </w:r>
          </w:p>
        </w:tc>
        <w:tc>
          <w:tcPr>
            <w:tcW w:w="2800" w:type="dxa"/>
          </w:tcPr>
          <w:p>
            <w:pPr>
              <w:pStyle w:val="TableParagraph"/>
              <w:spacing w:before="55"/>
              <w:ind w:left="108" w:right="104" w:hanging="2"/>
              <w:rPr>
                <w:sz w:val="18"/>
              </w:rPr>
            </w:pPr>
            <w:r>
              <w:rPr>
                <w:sz w:val="18"/>
              </w:rPr>
              <w:t>As Approach 1 with ability to carry out cross-checks</w:t>
            </w:r>
          </w:p>
        </w:tc>
        <w:tc>
          <w:tcPr>
            <w:tcW w:w="2510" w:type="dxa"/>
          </w:tcPr>
          <w:p>
            <w:pPr>
              <w:pStyle w:val="TableParagraph"/>
              <w:spacing w:before="55"/>
              <w:ind w:left="108" w:right="183"/>
              <w:rPr>
                <w:sz w:val="18"/>
              </w:rPr>
            </w:pPr>
            <w:r>
              <w:rPr>
                <w:sz w:val="18"/>
              </w:rPr>
              <w:t>As above plus consistency checks between inter-category changes within the matrix</w:t>
            </w:r>
          </w:p>
        </w:tc>
        <w:tc>
          <w:tcPr>
            <w:tcW w:w="2524" w:type="dxa"/>
          </w:tcPr>
          <w:p>
            <w:pPr>
              <w:pStyle w:val="TableParagraph"/>
              <w:spacing w:before="55"/>
              <w:ind w:left="109" w:right="136"/>
              <w:rPr>
                <w:sz w:val="18"/>
              </w:rPr>
            </w:pPr>
            <w:r>
              <w:rPr>
                <w:sz w:val="18"/>
              </w:rPr>
              <w:t>Order of a few % to order of 10% for total land area in each category, and greater for changes in area, since these are derived directly</w:t>
            </w:r>
          </w:p>
        </w:tc>
      </w:tr>
      <w:tr>
        <w:trPr>
          <w:trHeight w:val="1569" w:hRule="atLeast"/>
        </w:trPr>
        <w:tc>
          <w:tcPr>
            <w:tcW w:w="1178" w:type="dxa"/>
          </w:tcPr>
          <w:p>
            <w:pPr>
              <w:pStyle w:val="TableParagraph"/>
              <w:spacing w:before="55"/>
              <w:ind w:left="107"/>
              <w:rPr>
                <w:sz w:val="18"/>
              </w:rPr>
            </w:pPr>
            <w:r>
              <w:rPr>
                <w:sz w:val="18"/>
              </w:rPr>
              <w:t>Approach 3</w:t>
            </w:r>
          </w:p>
        </w:tc>
        <w:tc>
          <w:tcPr>
            <w:tcW w:w="2800" w:type="dxa"/>
          </w:tcPr>
          <w:p>
            <w:pPr>
              <w:pStyle w:val="TableParagraph"/>
              <w:spacing w:before="55"/>
              <w:ind w:left="108" w:right="279" w:hanging="1"/>
              <w:jc w:val="both"/>
              <w:rPr>
                <w:sz w:val="18"/>
              </w:rPr>
            </w:pPr>
            <w:r>
              <w:rPr>
                <w:sz w:val="18"/>
              </w:rPr>
              <w:t>As Approach 2 plus uncertainties linked to interpretation of remote sensing data, where used</w:t>
            </w:r>
          </w:p>
        </w:tc>
        <w:tc>
          <w:tcPr>
            <w:tcW w:w="2510" w:type="dxa"/>
          </w:tcPr>
          <w:p>
            <w:pPr>
              <w:pStyle w:val="TableParagraph"/>
              <w:spacing w:before="55"/>
              <w:ind w:left="108" w:right="197"/>
              <w:rPr>
                <w:sz w:val="18"/>
              </w:rPr>
            </w:pPr>
            <w:r>
              <w:rPr>
                <w:sz w:val="18"/>
              </w:rPr>
              <w:t>As Approach 2 plus formal analysis of uncertainties using principles set out in Chapter 5</w:t>
            </w:r>
          </w:p>
        </w:tc>
        <w:tc>
          <w:tcPr>
            <w:tcW w:w="2524" w:type="dxa"/>
          </w:tcPr>
          <w:p>
            <w:pPr>
              <w:pStyle w:val="TableParagraph"/>
              <w:spacing w:before="55"/>
              <w:ind w:left="109" w:right="85"/>
              <w:rPr>
                <w:sz w:val="18"/>
              </w:rPr>
            </w:pPr>
            <w:r>
              <w:rPr>
                <w:sz w:val="18"/>
              </w:rPr>
              <w:t>As Approach 2, but areas involved can be identified geographically. However, using Approach 3 the amount of uncertainty can be determined more accurately, than for Approach 2.</w:t>
            </w:r>
          </w:p>
        </w:tc>
      </w:tr>
    </w:tbl>
    <w:p>
      <w:pPr>
        <w:spacing w:after="0"/>
        <w:rPr>
          <w:sz w:val="18"/>
        </w:rPr>
        <w:sectPr>
          <w:headerReference w:type="default" r:id="rId66"/>
          <w:headerReference w:type="even" r:id="rId67"/>
          <w:pgSz w:w="11900" w:h="16840"/>
          <w:pgMar w:header="230" w:footer="408" w:top="920" w:bottom="600" w:left="1300" w:right="1220"/>
        </w:sectPr>
      </w:pPr>
    </w:p>
    <w:p>
      <w:pPr>
        <w:pStyle w:val="Heading2"/>
        <w:numPr>
          <w:ilvl w:val="1"/>
          <w:numId w:val="22"/>
        </w:numPr>
        <w:tabs>
          <w:tab w:pos="840" w:val="left" w:leader="none"/>
        </w:tabs>
        <w:spacing w:line="240" w:lineRule="auto" w:before="86" w:after="0"/>
        <w:ind w:left="839" w:right="0" w:hanging="720"/>
        <w:jc w:val="both"/>
      </w:pPr>
      <w:r>
        <w:rPr>
          <w:spacing w:val="17"/>
        </w:rPr>
        <w:t>DEVELOPMENT </w:t>
      </w:r>
      <w:r>
        <w:rPr>
          <w:spacing w:val="9"/>
        </w:rPr>
        <w:t>OF </w:t>
      </w:r>
      <w:r>
        <w:rPr>
          <w:spacing w:val="17"/>
        </w:rPr>
        <w:t>LAND-USE</w:t>
      </w:r>
      <w:r>
        <w:rPr>
          <w:spacing w:val="9"/>
        </w:rPr>
        <w:t> </w:t>
      </w:r>
      <w:r>
        <w:rPr>
          <w:spacing w:val="17"/>
        </w:rPr>
        <w:t>DATABASES</w:t>
      </w:r>
    </w:p>
    <w:p>
      <w:pPr>
        <w:pStyle w:val="BodyText"/>
        <w:spacing w:before="176"/>
        <w:ind w:left="119"/>
        <w:jc w:val="both"/>
      </w:pPr>
      <w:r>
        <w:rPr/>
        <w:t>There are three broad ways to develop the land-use databases needed for greenhouse gas inventories:</w:t>
      </w:r>
    </w:p>
    <w:p>
      <w:pPr>
        <w:pStyle w:val="ListParagraph"/>
        <w:numPr>
          <w:ilvl w:val="0"/>
          <w:numId w:val="23"/>
        </w:numPr>
        <w:tabs>
          <w:tab w:pos="480" w:val="left" w:leader="none"/>
        </w:tabs>
        <w:spacing w:line="240" w:lineRule="auto" w:before="133" w:after="0"/>
        <w:ind w:left="476" w:right="0" w:hanging="357"/>
        <w:jc w:val="both"/>
        <w:rPr>
          <w:sz w:val="20"/>
        </w:rPr>
      </w:pPr>
      <w:r>
        <w:rPr>
          <w:sz w:val="20"/>
        </w:rPr>
        <w:t>Use of existing databases prepared for other</w:t>
      </w:r>
      <w:r>
        <w:rPr>
          <w:spacing w:val="-2"/>
          <w:sz w:val="20"/>
        </w:rPr>
        <w:t> </w:t>
      </w:r>
      <w:r>
        <w:rPr>
          <w:sz w:val="20"/>
        </w:rPr>
        <w:t>purposes;</w:t>
      </w:r>
    </w:p>
    <w:p>
      <w:pPr>
        <w:pStyle w:val="ListParagraph"/>
        <w:numPr>
          <w:ilvl w:val="0"/>
          <w:numId w:val="23"/>
        </w:numPr>
        <w:tabs>
          <w:tab w:pos="480" w:val="left" w:leader="none"/>
        </w:tabs>
        <w:spacing w:line="240" w:lineRule="auto" w:before="118" w:after="0"/>
        <w:ind w:left="476" w:right="0" w:hanging="357"/>
        <w:jc w:val="both"/>
        <w:rPr>
          <w:sz w:val="20"/>
        </w:rPr>
      </w:pPr>
      <w:r>
        <w:rPr>
          <w:sz w:val="20"/>
        </w:rPr>
        <w:t>Use of sampling,</w:t>
      </w:r>
      <w:r>
        <w:rPr>
          <w:spacing w:val="-1"/>
          <w:sz w:val="20"/>
        </w:rPr>
        <w:t> </w:t>
      </w:r>
      <w:r>
        <w:rPr>
          <w:sz w:val="20"/>
        </w:rPr>
        <w:t>and</w:t>
      </w:r>
    </w:p>
    <w:p>
      <w:pPr>
        <w:pStyle w:val="ListParagraph"/>
        <w:numPr>
          <w:ilvl w:val="0"/>
          <w:numId w:val="23"/>
        </w:numPr>
        <w:tabs>
          <w:tab w:pos="480" w:val="left" w:leader="none"/>
        </w:tabs>
        <w:spacing w:line="240" w:lineRule="auto" w:before="118" w:after="0"/>
        <w:ind w:left="476" w:right="0" w:hanging="357"/>
        <w:jc w:val="both"/>
        <w:rPr>
          <w:sz w:val="20"/>
        </w:rPr>
      </w:pPr>
      <w:r>
        <w:rPr>
          <w:sz w:val="20"/>
        </w:rPr>
        <w:t>Use of complete land</w:t>
      </w:r>
      <w:r>
        <w:rPr>
          <w:spacing w:val="-2"/>
          <w:sz w:val="20"/>
        </w:rPr>
        <w:t> </w:t>
      </w:r>
      <w:r>
        <w:rPr>
          <w:sz w:val="20"/>
        </w:rPr>
        <w:t>inventories.</w:t>
      </w:r>
    </w:p>
    <w:p>
      <w:pPr>
        <w:pStyle w:val="BodyText"/>
        <w:spacing w:before="104"/>
        <w:ind w:left="119" w:right="183" w:firstLine="50"/>
        <w:jc w:val="both"/>
      </w:pPr>
      <w:r>
        <w:rPr/>
        <w:t>The following subsections provide general </w:t>
      </w:r>
      <w:r>
        <w:rPr>
          <w:i/>
        </w:rPr>
        <w:t>good practice </w:t>
      </w:r>
      <w:r>
        <w:rPr/>
        <w:t>advice on the use of these types of data for consideration by inventory agencies in consultation with other agencies responsible for provision of statistical data at the national level. Inventory preparers might not be involved in the detailed collection of remote sensing data or ground survey data, but can use the guidance provided here to help plan inventory improvements and communicate with experts in these areas.</w:t>
      </w:r>
    </w:p>
    <w:p>
      <w:pPr>
        <w:pStyle w:val="BodyText"/>
        <w:rPr>
          <w:sz w:val="22"/>
        </w:rPr>
      </w:pPr>
    </w:p>
    <w:p>
      <w:pPr>
        <w:pStyle w:val="BodyText"/>
      </w:pPr>
    </w:p>
    <w:p>
      <w:pPr>
        <w:pStyle w:val="Heading2"/>
        <w:numPr>
          <w:ilvl w:val="2"/>
          <w:numId w:val="22"/>
        </w:numPr>
        <w:tabs>
          <w:tab w:pos="1127" w:val="left" w:leader="none"/>
          <w:tab w:pos="1128" w:val="left" w:leader="none"/>
        </w:tabs>
        <w:spacing w:line="240" w:lineRule="auto" w:before="0" w:after="0"/>
        <w:ind w:left="1127" w:right="0" w:hanging="1008"/>
        <w:jc w:val="left"/>
      </w:pPr>
      <w:r>
        <w:rPr>
          <w:spacing w:val="6"/>
        </w:rPr>
        <w:t>Use </w:t>
      </w:r>
      <w:r>
        <w:rPr>
          <w:spacing w:val="5"/>
        </w:rPr>
        <w:t>of </w:t>
      </w:r>
      <w:r>
        <w:rPr>
          <w:spacing w:val="6"/>
        </w:rPr>
        <w:t>Data </w:t>
      </w:r>
      <w:r>
        <w:rPr>
          <w:spacing w:val="8"/>
        </w:rPr>
        <w:t>Prepared </w:t>
      </w:r>
      <w:r>
        <w:rPr>
          <w:spacing w:val="6"/>
        </w:rPr>
        <w:t>for </w:t>
      </w:r>
      <w:r>
        <w:rPr>
          <w:spacing w:val="7"/>
        </w:rPr>
        <w:t>Other </w:t>
      </w:r>
      <w:r>
        <w:rPr>
          <w:spacing w:val="8"/>
        </w:rPr>
        <w:t>Purposes</w:t>
      </w:r>
    </w:p>
    <w:p>
      <w:pPr>
        <w:pStyle w:val="BodyText"/>
        <w:spacing w:before="116"/>
        <w:ind w:left="119" w:right="185"/>
        <w:jc w:val="both"/>
      </w:pPr>
      <w:r>
        <w:rPr/>
        <w:t>Two types of available databases may be used to classify land. In many countries, national datasets of the type discussed below will be available. Otherwise, inventory agencies may use international datasets. Both types of databases are described below.</w:t>
      </w:r>
    </w:p>
    <w:p>
      <w:pPr>
        <w:pStyle w:val="BodyText"/>
        <w:spacing w:before="2"/>
        <w:rPr>
          <w:sz w:val="21"/>
        </w:rPr>
      </w:pPr>
    </w:p>
    <w:p>
      <w:pPr>
        <w:spacing w:line="228" w:lineRule="exact" w:before="0"/>
        <w:ind w:left="119" w:right="0" w:firstLine="0"/>
        <w:jc w:val="left"/>
        <w:rPr>
          <w:b/>
          <w:sz w:val="20"/>
        </w:rPr>
      </w:pPr>
      <w:r>
        <w:rPr>
          <w:b/>
          <w:sz w:val="20"/>
        </w:rPr>
        <w:t>National databases</w:t>
      </w:r>
    </w:p>
    <w:p>
      <w:pPr>
        <w:pStyle w:val="BodyText"/>
        <w:ind w:left="119" w:right="185"/>
        <w:jc w:val="both"/>
      </w:pPr>
      <w:r>
        <w:rPr/>
        <w:t>Approaches 1 and 2 will usually be based on existing data, updated annually or periodically. Typical sources of data include forest inventories, agricultural census and other surveys, censuses for urban and natural land, land registry data and maps. Use of this information is illustrated by the examples in Annex 2A.1: Examples of Approaches in individual countries. </w:t>
      </w:r>
      <w:r>
        <w:rPr>
          <w:i/>
        </w:rPr>
        <w:t>Good practice </w:t>
      </w:r>
      <w:r>
        <w:rPr/>
        <w:t>in using data of this type is set out in Section 2.3.2.1.</w:t>
      </w:r>
    </w:p>
    <w:p>
      <w:pPr>
        <w:pStyle w:val="BodyText"/>
        <w:rPr>
          <w:sz w:val="21"/>
        </w:rPr>
      </w:pPr>
    </w:p>
    <w:p>
      <w:pPr>
        <w:spacing w:line="227" w:lineRule="exact" w:before="1"/>
        <w:ind w:left="119" w:right="0" w:firstLine="0"/>
        <w:jc w:val="left"/>
        <w:rPr>
          <w:b/>
          <w:sz w:val="20"/>
        </w:rPr>
      </w:pPr>
      <w:r>
        <w:rPr>
          <w:b/>
          <w:sz w:val="20"/>
        </w:rPr>
        <w:t>International databases</w:t>
      </w:r>
    </w:p>
    <w:p>
      <w:pPr>
        <w:pStyle w:val="BodyText"/>
        <w:ind w:left="119" w:right="186"/>
        <w:jc w:val="both"/>
      </w:pPr>
      <w:r>
        <w:rPr/>
        <w:t>Several projects have been undertaken to develop international land-use and land-cover datasets at regional to global scales (Annex 2A.2 lists some of these datasets). Almost all of these datasets are stored as raster data</w:t>
      </w:r>
      <w:r>
        <w:rPr>
          <w:vertAlign w:val="superscript"/>
        </w:rPr>
        <w:t>7</w:t>
      </w:r>
      <w:r>
        <w:rPr>
          <w:vertAlign w:val="baseline"/>
        </w:rPr>
        <w:t> generated using different kinds of satellite remote sensing imagery, complemented by ground reference data obtained by field survey or comparison with existing statistics/maps. These datasets can be used for:</w:t>
      </w:r>
    </w:p>
    <w:p>
      <w:pPr>
        <w:pStyle w:val="ListParagraph"/>
        <w:numPr>
          <w:ilvl w:val="0"/>
          <w:numId w:val="23"/>
        </w:numPr>
        <w:tabs>
          <w:tab w:pos="480" w:val="left" w:leader="none"/>
        </w:tabs>
        <w:spacing w:line="232" w:lineRule="auto" w:before="135" w:after="0"/>
        <w:ind w:left="476" w:right="186" w:hanging="357"/>
        <w:jc w:val="both"/>
        <w:rPr>
          <w:sz w:val="20"/>
        </w:rPr>
      </w:pPr>
      <w:r>
        <w:rPr>
          <w:sz w:val="20"/>
        </w:rPr>
        <w:t>Estimating spatial distribution of land use. Conventional inventories usually provide only the total sum of land-use area by classes. Spatial distribution can be reconstructed using international land-use and land- cover data as auxiliary data where national data are not</w:t>
      </w:r>
      <w:r>
        <w:rPr>
          <w:spacing w:val="-5"/>
          <w:sz w:val="20"/>
        </w:rPr>
        <w:t> </w:t>
      </w:r>
      <w:r>
        <w:rPr>
          <w:sz w:val="20"/>
        </w:rPr>
        <w:t>available.</w:t>
      </w:r>
    </w:p>
    <w:p>
      <w:pPr>
        <w:pStyle w:val="ListParagraph"/>
        <w:numPr>
          <w:ilvl w:val="0"/>
          <w:numId w:val="23"/>
        </w:numPr>
        <w:tabs>
          <w:tab w:pos="480" w:val="left" w:leader="none"/>
        </w:tabs>
        <w:spacing w:line="235" w:lineRule="auto" w:before="138" w:after="0"/>
        <w:ind w:left="476" w:right="186" w:hanging="357"/>
        <w:jc w:val="both"/>
        <w:rPr>
          <w:sz w:val="20"/>
        </w:rPr>
      </w:pPr>
      <w:r>
        <w:rPr>
          <w:sz w:val="20"/>
        </w:rPr>
        <w:t>Reliability assessment of the existing land-use datasets. Comparison between independent national and international datasets can indicate apparent discrepancies and understanding these may increase confidence in national data and/or improve the usability of the international data if required for purposes such as extrapolation.</w:t>
      </w:r>
    </w:p>
    <w:p>
      <w:pPr>
        <w:pStyle w:val="BodyText"/>
        <w:spacing w:before="118"/>
        <w:ind w:left="119"/>
      </w:pPr>
      <w:r>
        <w:rPr/>
        <w:t>When using an international dataset, it is </w:t>
      </w:r>
      <w:r>
        <w:rPr>
          <w:i/>
        </w:rPr>
        <w:t>good practice </w:t>
      </w:r>
      <w:r>
        <w:rPr/>
        <w:t>to consider the following:</w:t>
      </w:r>
    </w:p>
    <w:p>
      <w:pPr>
        <w:pStyle w:val="ListParagraph"/>
        <w:numPr>
          <w:ilvl w:val="0"/>
          <w:numId w:val="23"/>
        </w:numPr>
        <w:tabs>
          <w:tab w:pos="480" w:val="left" w:leader="none"/>
        </w:tabs>
        <w:spacing w:line="235" w:lineRule="auto" w:before="136" w:after="0"/>
        <w:ind w:left="476" w:right="187" w:hanging="357"/>
        <w:jc w:val="both"/>
        <w:rPr>
          <w:sz w:val="20"/>
        </w:rPr>
      </w:pPr>
      <w:r>
        <w:rPr>
          <w:sz w:val="20"/>
        </w:rPr>
        <w:t>The classification scheme (e.g., definition of land-use classes and their relations) may differ from that in the national system. The equivalence between the classification systems used by the country and the systems described in Section 2.2 (Land-Use Categories) therefore needs to be established by contacting the international agency and comparing their definitions with those used</w:t>
      </w:r>
      <w:r>
        <w:rPr>
          <w:spacing w:val="-3"/>
          <w:sz w:val="20"/>
        </w:rPr>
        <w:t> </w:t>
      </w:r>
      <w:r>
        <w:rPr>
          <w:sz w:val="20"/>
        </w:rPr>
        <w:t>nationally.</w:t>
      </w:r>
    </w:p>
    <w:p>
      <w:pPr>
        <w:pStyle w:val="ListParagraph"/>
        <w:numPr>
          <w:ilvl w:val="0"/>
          <w:numId w:val="23"/>
        </w:numPr>
        <w:tabs>
          <w:tab w:pos="479" w:val="left" w:leader="none"/>
          <w:tab w:pos="480" w:val="left" w:leader="none"/>
        </w:tabs>
        <w:spacing w:line="223" w:lineRule="auto" w:before="144" w:after="0"/>
        <w:ind w:left="476" w:right="190" w:hanging="357"/>
        <w:jc w:val="left"/>
        <w:rPr>
          <w:sz w:val="20"/>
        </w:rPr>
      </w:pPr>
      <w:r>
        <w:rPr>
          <w:sz w:val="20"/>
        </w:rPr>
        <w:t>Spatial resolution (typically 1km nominally but sometimes an order of magnitude more in practice) may be coarse, so national data may need aggregating to improve comparability.</w:t>
      </w:r>
    </w:p>
    <w:p>
      <w:pPr>
        <w:pStyle w:val="ListParagraph"/>
        <w:numPr>
          <w:ilvl w:val="0"/>
          <w:numId w:val="23"/>
        </w:numPr>
        <w:tabs>
          <w:tab w:pos="480" w:val="left" w:leader="none"/>
        </w:tabs>
        <w:spacing w:line="230" w:lineRule="auto" w:before="146" w:after="0"/>
        <w:ind w:left="476" w:right="185" w:hanging="357"/>
        <w:jc w:val="both"/>
        <w:rPr>
          <w:sz w:val="20"/>
        </w:rPr>
      </w:pPr>
      <w:r>
        <w:rPr>
          <w:sz w:val="20"/>
        </w:rPr>
        <w:t>Classification accuracy and errors in geo-referencing may exist, though several accuracy tests are usually conducted at sample sites. The agencies responsible should have details on classification issues and tests undertaken.</w:t>
      </w:r>
    </w:p>
    <w:p>
      <w:pPr>
        <w:pStyle w:val="ListParagraph"/>
        <w:numPr>
          <w:ilvl w:val="0"/>
          <w:numId w:val="23"/>
        </w:numPr>
        <w:tabs>
          <w:tab w:pos="479" w:val="left" w:leader="none"/>
          <w:tab w:pos="480" w:val="left" w:leader="none"/>
        </w:tabs>
        <w:spacing w:line="223" w:lineRule="auto" w:before="149" w:after="0"/>
        <w:ind w:left="476" w:right="187" w:hanging="357"/>
        <w:jc w:val="left"/>
        <w:rPr>
          <w:sz w:val="20"/>
        </w:rPr>
      </w:pPr>
      <w:r>
        <w:rPr>
          <w:sz w:val="20"/>
        </w:rPr>
        <w:t>As with national data, interpolation or extrapolation will probably be needed to develop estimates for the time periods to match the dates required for reporting to the UNFCCC or under the Kyoto</w:t>
      </w:r>
      <w:r>
        <w:rPr>
          <w:spacing w:val="-23"/>
          <w:sz w:val="20"/>
        </w:rPr>
        <w:t> </w:t>
      </w:r>
      <w:r>
        <w:rPr>
          <w:sz w:val="20"/>
        </w:rPr>
        <w:t>Protocol.</w:t>
      </w:r>
    </w:p>
    <w:p>
      <w:pPr>
        <w:pStyle w:val="BodyText"/>
      </w:pPr>
    </w:p>
    <w:p>
      <w:pPr>
        <w:pStyle w:val="BodyText"/>
      </w:pPr>
    </w:p>
    <w:p>
      <w:pPr>
        <w:pStyle w:val="BodyText"/>
        <w:spacing w:before="5"/>
        <w:rPr>
          <w:sz w:val="25"/>
        </w:rPr>
      </w:pPr>
      <w:r>
        <w:rPr/>
        <w:pict>
          <v:line style="position:absolute;mso-position-horizontal-relative:page;mso-position-vertical-relative:paragraph;z-index:1664;mso-wrap-distance-left:0;mso-wrap-distance-right:0" from="70.960999pt,16.831682pt" to="214.960999pt,16.831682pt" stroked="true" strokeweight=".48pt" strokecolor="#000000">
            <v:stroke dashstyle="solid"/>
            <w10:wrap type="topAndBottom"/>
          </v:line>
        </w:pict>
      </w:r>
    </w:p>
    <w:p>
      <w:pPr>
        <w:spacing w:before="150"/>
        <w:ind w:left="260" w:right="151" w:hanging="142"/>
        <w:jc w:val="left"/>
        <w:rPr>
          <w:sz w:val="18"/>
        </w:rPr>
      </w:pPr>
      <w:r>
        <w:rPr>
          <w:position w:val="8"/>
          <w:sz w:val="12"/>
        </w:rPr>
        <w:t>7 </w:t>
      </w:r>
      <w:r>
        <w:rPr>
          <w:sz w:val="18"/>
        </w:rPr>
        <w:t>Raster data means information stored on a regular grid of points, as opposed to polygon data, which is information stored as the coordinates of an outline area sharing a common attribute.</w:t>
      </w:r>
    </w:p>
    <w:p>
      <w:pPr>
        <w:spacing w:after="0"/>
        <w:jc w:val="left"/>
        <w:rPr>
          <w:sz w:val="18"/>
        </w:rPr>
        <w:sectPr>
          <w:footerReference w:type="even" r:id="rId68"/>
          <w:footerReference w:type="default" r:id="rId69"/>
          <w:pgSz w:w="11900" w:h="16840"/>
          <w:pgMar w:footer="408" w:header="230" w:top="920" w:bottom="600" w:left="1300" w:right="1220"/>
          <w:pgNumType w:start="18"/>
        </w:sectPr>
      </w:pPr>
    </w:p>
    <w:p>
      <w:pPr>
        <w:pStyle w:val="Heading2"/>
        <w:numPr>
          <w:ilvl w:val="2"/>
          <w:numId w:val="22"/>
        </w:numPr>
        <w:tabs>
          <w:tab w:pos="1128" w:val="left" w:leader="none"/>
        </w:tabs>
        <w:spacing w:line="240" w:lineRule="auto" w:before="86" w:after="0"/>
        <w:ind w:left="1127" w:right="0" w:hanging="1008"/>
        <w:jc w:val="both"/>
      </w:pPr>
      <w:r>
        <w:rPr>
          <w:spacing w:val="8"/>
        </w:rPr>
        <w:t>Collection </w:t>
      </w:r>
      <w:r>
        <w:rPr>
          <w:spacing w:val="4"/>
        </w:rPr>
        <w:t>of </w:t>
      </w:r>
      <w:r>
        <w:rPr>
          <w:spacing w:val="7"/>
        </w:rPr>
        <w:t>New </w:t>
      </w:r>
      <w:r>
        <w:rPr>
          <w:spacing w:val="6"/>
        </w:rPr>
        <w:t>Data </w:t>
      </w:r>
      <w:r>
        <w:rPr>
          <w:spacing w:val="4"/>
        </w:rPr>
        <w:t>by </w:t>
      </w:r>
      <w:r>
        <w:rPr>
          <w:spacing w:val="8"/>
        </w:rPr>
        <w:t>Sampling</w:t>
      </w:r>
      <w:r>
        <w:rPr>
          <w:spacing w:val="87"/>
        </w:rPr>
        <w:t> </w:t>
      </w:r>
      <w:r>
        <w:rPr>
          <w:spacing w:val="8"/>
        </w:rPr>
        <w:t>Methods</w:t>
      </w:r>
    </w:p>
    <w:p>
      <w:pPr>
        <w:pStyle w:val="BodyText"/>
        <w:spacing w:before="116"/>
        <w:ind w:left="119" w:right="183"/>
        <w:jc w:val="both"/>
      </w:pPr>
      <w:r>
        <w:rPr>
          <w:spacing w:val="-4"/>
        </w:rPr>
        <w:t>Sampling techniques for estimating </w:t>
      </w:r>
      <w:r>
        <w:rPr>
          <w:spacing w:val="-3"/>
        </w:rPr>
        <w:t>areas and area </w:t>
      </w:r>
      <w:r>
        <w:rPr>
          <w:spacing w:val="-4"/>
        </w:rPr>
        <w:t>changes are applied </w:t>
      </w:r>
      <w:r>
        <w:rPr/>
        <w:t>in </w:t>
      </w:r>
      <w:r>
        <w:rPr>
          <w:spacing w:val="-4"/>
        </w:rPr>
        <w:t>situations where </w:t>
      </w:r>
      <w:r>
        <w:rPr>
          <w:spacing w:val="-3"/>
        </w:rPr>
        <w:t>total </w:t>
      </w:r>
      <w:r>
        <w:rPr>
          <w:spacing w:val="-4"/>
        </w:rPr>
        <w:t>tallies </w:t>
      </w:r>
      <w:r>
        <w:rPr/>
        <w:t>by </w:t>
      </w:r>
      <w:r>
        <w:rPr>
          <w:spacing w:val="-5"/>
        </w:rPr>
        <w:t>direct </w:t>
      </w:r>
      <w:r>
        <w:rPr>
          <w:spacing w:val="-4"/>
        </w:rPr>
        <w:t>measurements </w:t>
      </w:r>
      <w:r>
        <w:rPr/>
        <w:t>in </w:t>
      </w:r>
      <w:r>
        <w:rPr>
          <w:spacing w:val="-3"/>
        </w:rPr>
        <w:t>the </w:t>
      </w:r>
      <w:r>
        <w:rPr>
          <w:spacing w:val="-4"/>
        </w:rPr>
        <w:t>field </w:t>
      </w:r>
      <w:r>
        <w:rPr/>
        <w:t>or </w:t>
      </w:r>
      <w:r>
        <w:rPr>
          <w:spacing w:val="-4"/>
        </w:rPr>
        <w:t>assessments </w:t>
      </w:r>
      <w:r>
        <w:rPr/>
        <w:t>by </w:t>
      </w:r>
      <w:r>
        <w:rPr>
          <w:spacing w:val="-4"/>
        </w:rPr>
        <w:t>remote sensing techniques </w:t>
      </w:r>
      <w:r>
        <w:rPr>
          <w:spacing w:val="-3"/>
        </w:rPr>
        <w:t>are not </w:t>
      </w:r>
      <w:r>
        <w:rPr>
          <w:spacing w:val="-4"/>
        </w:rPr>
        <w:t>feasible </w:t>
      </w:r>
      <w:r>
        <w:rPr/>
        <w:t>or </w:t>
      </w:r>
      <w:r>
        <w:rPr>
          <w:spacing w:val="-4"/>
        </w:rPr>
        <w:t>would give inaccurate </w:t>
      </w:r>
      <w:r>
        <w:rPr>
          <w:spacing w:val="-5"/>
        </w:rPr>
        <w:t>results.</w:t>
      </w:r>
      <w:r>
        <w:rPr>
          <w:spacing w:val="-8"/>
        </w:rPr>
        <w:t> </w:t>
      </w:r>
      <w:r>
        <w:rPr>
          <w:spacing w:val="-3"/>
        </w:rPr>
        <w:t>It</w:t>
      </w:r>
      <w:r>
        <w:rPr>
          <w:spacing w:val="-4"/>
        </w:rPr>
        <w:t> </w:t>
      </w:r>
      <w:r>
        <w:rPr/>
        <w:t>is</w:t>
      </w:r>
      <w:r>
        <w:rPr>
          <w:spacing w:val="-7"/>
        </w:rPr>
        <w:t> </w:t>
      </w:r>
      <w:r>
        <w:rPr>
          <w:i/>
          <w:spacing w:val="-3"/>
        </w:rPr>
        <w:t>good</w:t>
      </w:r>
      <w:r>
        <w:rPr>
          <w:i/>
          <w:spacing w:val="-7"/>
        </w:rPr>
        <w:t> </w:t>
      </w:r>
      <w:r>
        <w:rPr>
          <w:i/>
          <w:spacing w:val="-4"/>
        </w:rPr>
        <w:t>practice</w:t>
      </w:r>
      <w:r>
        <w:rPr>
          <w:i/>
          <w:spacing w:val="-7"/>
        </w:rPr>
        <w:t> </w:t>
      </w:r>
      <w:r>
        <w:rPr>
          <w:spacing w:val="-3"/>
        </w:rPr>
        <w:t>to</w:t>
      </w:r>
      <w:r>
        <w:rPr>
          <w:spacing w:val="-7"/>
        </w:rPr>
        <w:t> </w:t>
      </w:r>
      <w:r>
        <w:rPr>
          <w:spacing w:val="-3"/>
        </w:rPr>
        <w:t>apply</w:t>
      </w:r>
      <w:r>
        <w:rPr>
          <w:spacing w:val="-9"/>
        </w:rPr>
        <w:t> </w:t>
      </w:r>
      <w:r>
        <w:rPr>
          <w:spacing w:val="-4"/>
        </w:rPr>
        <w:t>sampling</w:t>
      </w:r>
      <w:r>
        <w:rPr>
          <w:spacing w:val="-8"/>
        </w:rPr>
        <w:t> </w:t>
      </w:r>
      <w:r>
        <w:rPr>
          <w:spacing w:val="-4"/>
        </w:rPr>
        <w:t>concepts</w:t>
      </w:r>
      <w:r>
        <w:rPr>
          <w:spacing w:val="-8"/>
        </w:rPr>
        <w:t> </w:t>
      </w:r>
      <w:r>
        <w:rPr>
          <w:spacing w:val="-3"/>
        </w:rPr>
        <w:t>that</w:t>
      </w:r>
      <w:r>
        <w:rPr>
          <w:spacing w:val="-8"/>
        </w:rPr>
        <w:t> </w:t>
      </w:r>
      <w:r>
        <w:rPr>
          <w:spacing w:val="-4"/>
        </w:rPr>
        <w:t>are </w:t>
      </w:r>
      <w:r>
        <w:rPr>
          <w:spacing w:val="-5"/>
        </w:rPr>
        <w:t>based</w:t>
      </w:r>
      <w:r>
        <w:rPr>
          <w:spacing w:val="-7"/>
        </w:rPr>
        <w:t> </w:t>
      </w:r>
      <w:r>
        <w:rPr/>
        <w:t>on</w:t>
      </w:r>
      <w:r>
        <w:rPr>
          <w:spacing w:val="-7"/>
        </w:rPr>
        <w:t> </w:t>
      </w:r>
      <w:r>
        <w:rPr>
          <w:spacing w:val="-4"/>
        </w:rPr>
        <w:t>sampling</w:t>
      </w:r>
      <w:r>
        <w:rPr>
          <w:spacing w:val="-6"/>
        </w:rPr>
        <w:t> </w:t>
      </w:r>
      <w:r>
        <w:rPr>
          <w:spacing w:val="-3"/>
        </w:rPr>
        <w:t>set</w:t>
      </w:r>
      <w:r>
        <w:rPr>
          <w:spacing w:val="-7"/>
        </w:rPr>
        <w:t> </w:t>
      </w:r>
      <w:r>
        <w:rPr>
          <w:spacing w:val="-3"/>
        </w:rPr>
        <w:t>out</w:t>
      </w:r>
      <w:r>
        <w:rPr>
          <w:spacing w:val="-8"/>
        </w:rPr>
        <w:t> </w:t>
      </w:r>
      <w:r>
        <w:rPr/>
        <w:t>in</w:t>
      </w:r>
      <w:r>
        <w:rPr>
          <w:spacing w:val="-6"/>
        </w:rPr>
        <w:t> </w:t>
      </w:r>
      <w:r>
        <w:rPr>
          <w:spacing w:val="-4"/>
        </w:rPr>
        <w:t>Section</w:t>
      </w:r>
      <w:r>
        <w:rPr>
          <w:spacing w:val="-8"/>
        </w:rPr>
        <w:t> </w:t>
      </w:r>
      <w:r>
        <w:rPr/>
        <w:t>3</w:t>
      </w:r>
      <w:r>
        <w:rPr>
          <w:spacing w:val="-8"/>
        </w:rPr>
        <w:t> </w:t>
      </w:r>
      <w:r>
        <w:rPr/>
        <w:t>of</w:t>
      </w:r>
      <w:r>
        <w:rPr>
          <w:spacing w:val="-6"/>
        </w:rPr>
        <w:t> </w:t>
      </w:r>
      <w:r>
        <w:rPr>
          <w:spacing w:val="-4"/>
        </w:rPr>
        <w:t>Chapter</w:t>
      </w:r>
      <w:r>
        <w:rPr>
          <w:spacing w:val="-7"/>
        </w:rPr>
        <w:t> </w:t>
      </w:r>
      <w:r>
        <w:rPr>
          <w:spacing w:val="-3"/>
        </w:rPr>
        <w:t>5,</w:t>
      </w:r>
      <w:r>
        <w:rPr>
          <w:spacing w:val="-8"/>
        </w:rPr>
        <w:t> </w:t>
      </w:r>
      <w:r>
        <w:rPr>
          <w:spacing w:val="-2"/>
        </w:rPr>
        <w:t>and </w:t>
      </w:r>
      <w:r>
        <w:rPr>
          <w:spacing w:val="-4"/>
        </w:rPr>
        <w:t>thus</w:t>
      </w:r>
      <w:r>
        <w:rPr>
          <w:spacing w:val="-9"/>
        </w:rPr>
        <w:t> </w:t>
      </w:r>
      <w:r>
        <w:rPr>
          <w:spacing w:val="-3"/>
        </w:rPr>
        <w:t>allow</w:t>
      </w:r>
      <w:r>
        <w:rPr>
          <w:spacing w:val="-10"/>
        </w:rPr>
        <w:t> </w:t>
      </w:r>
      <w:r>
        <w:rPr>
          <w:spacing w:val="-4"/>
        </w:rPr>
        <w:t>for</w:t>
      </w:r>
      <w:r>
        <w:rPr>
          <w:spacing w:val="-9"/>
        </w:rPr>
        <w:t> </w:t>
      </w:r>
      <w:r>
        <w:rPr>
          <w:spacing w:val="-4"/>
        </w:rPr>
        <w:t>estimation</w:t>
      </w:r>
      <w:r>
        <w:rPr>
          <w:spacing w:val="-9"/>
        </w:rPr>
        <w:t> </w:t>
      </w:r>
      <w:r>
        <w:rPr>
          <w:spacing w:val="-4"/>
        </w:rPr>
        <w:t>procedures</w:t>
      </w:r>
      <w:r>
        <w:rPr>
          <w:spacing w:val="-8"/>
        </w:rPr>
        <w:t> </w:t>
      </w:r>
      <w:r>
        <w:rPr>
          <w:spacing w:val="-3"/>
        </w:rPr>
        <w:t>that</w:t>
      </w:r>
      <w:r>
        <w:rPr>
          <w:spacing w:val="-10"/>
        </w:rPr>
        <w:t> </w:t>
      </w:r>
      <w:r>
        <w:rPr>
          <w:spacing w:val="-2"/>
        </w:rPr>
        <w:t>are</w:t>
      </w:r>
      <w:r>
        <w:rPr>
          <w:spacing w:val="-9"/>
        </w:rPr>
        <w:t> </w:t>
      </w:r>
      <w:r>
        <w:rPr>
          <w:spacing w:val="-4"/>
        </w:rPr>
        <w:t>consistent</w:t>
      </w:r>
      <w:r>
        <w:rPr>
          <w:spacing w:val="-7"/>
        </w:rPr>
        <w:t> </w:t>
      </w:r>
      <w:r>
        <w:rPr>
          <w:spacing w:val="-3"/>
        </w:rPr>
        <w:t>and</w:t>
      </w:r>
      <w:r>
        <w:rPr>
          <w:spacing w:val="-7"/>
        </w:rPr>
        <w:t> </w:t>
      </w:r>
      <w:r>
        <w:rPr>
          <w:spacing w:val="-4"/>
        </w:rPr>
        <w:t>unbiased</w:t>
      </w:r>
      <w:r>
        <w:rPr>
          <w:spacing w:val="-9"/>
        </w:rPr>
        <w:t> </w:t>
      </w:r>
      <w:r>
        <w:rPr>
          <w:spacing w:val="-3"/>
        </w:rPr>
        <w:t>and</w:t>
      </w:r>
      <w:r>
        <w:rPr>
          <w:spacing w:val="-6"/>
        </w:rPr>
        <w:t> </w:t>
      </w:r>
      <w:r>
        <w:rPr>
          <w:spacing w:val="-4"/>
        </w:rPr>
        <w:t>result</w:t>
      </w:r>
      <w:r>
        <w:rPr>
          <w:spacing w:val="-11"/>
        </w:rPr>
        <w:t> </w:t>
      </w:r>
      <w:r>
        <w:rPr/>
        <w:t>in</w:t>
      </w:r>
      <w:r>
        <w:rPr>
          <w:spacing w:val="-8"/>
        </w:rPr>
        <w:t> </w:t>
      </w:r>
      <w:r>
        <w:rPr>
          <w:spacing w:val="-4"/>
        </w:rPr>
        <w:t>estimates</w:t>
      </w:r>
      <w:r>
        <w:rPr>
          <w:spacing w:val="-10"/>
        </w:rPr>
        <w:t> </w:t>
      </w:r>
      <w:r>
        <w:rPr>
          <w:spacing w:val="-3"/>
        </w:rPr>
        <w:t>that</w:t>
      </w:r>
      <w:r>
        <w:rPr>
          <w:spacing w:val="-10"/>
        </w:rPr>
        <w:t> </w:t>
      </w:r>
      <w:r>
        <w:rPr>
          <w:spacing w:val="-2"/>
        </w:rPr>
        <w:t>are</w:t>
      </w:r>
      <w:r>
        <w:rPr>
          <w:spacing w:val="-9"/>
        </w:rPr>
        <w:t> </w:t>
      </w:r>
      <w:r>
        <w:rPr>
          <w:spacing w:val="-5"/>
        </w:rPr>
        <w:t>precise.</w:t>
      </w:r>
    </w:p>
    <w:p>
      <w:pPr>
        <w:pStyle w:val="BodyText"/>
        <w:spacing w:before="119"/>
        <w:ind w:left="119" w:right="185"/>
        <w:jc w:val="both"/>
      </w:pPr>
      <w:r>
        <w:rPr/>
        <w:t>As discussed in Section 3 of Chapter 5, </w:t>
      </w:r>
      <w:r>
        <w:rPr>
          <w:i/>
        </w:rPr>
        <w:t>good practice </w:t>
      </w:r>
      <w:r>
        <w:rPr/>
        <w:t>on sampling usually involves a set of sampling units that are located on a regular grid within the inventory area. A land-use class is then assigned to each sampling unit. Sampling units can be used to derive the proportions of land-use categories within the inventory area. Multiplying the proportions by the total area provides estimates of the area of each land-use category. Where the total area is not known it is assumed that each sampling unit represents a specific area. The area of the land-use category can then be estimated via the number of sampling units that fall into this</w:t>
      </w:r>
      <w:r>
        <w:rPr>
          <w:spacing w:val="-13"/>
        </w:rPr>
        <w:t> </w:t>
      </w:r>
      <w:r>
        <w:rPr/>
        <w:t>category.</w:t>
      </w:r>
    </w:p>
    <w:p>
      <w:pPr>
        <w:pStyle w:val="BodyText"/>
        <w:spacing w:before="118"/>
        <w:ind w:left="119" w:right="188"/>
        <w:jc w:val="both"/>
      </w:pPr>
      <w:r>
        <w:rPr/>
        <w:t>Where sampling for areas is repeated at successive occasions, area changes over time can be derived to construct land-use change matrices.</w:t>
      </w:r>
    </w:p>
    <w:p>
      <w:pPr>
        <w:pStyle w:val="BodyText"/>
        <w:spacing w:before="121"/>
        <w:ind w:left="119" w:right="184"/>
        <w:jc w:val="both"/>
      </w:pPr>
      <w:r>
        <w:rPr/>
        <w:t>Applying a sample-based approach for area assessment enables the calculation of sampling errors  and confidence intervals that quantify the reliability of the area estimates in each category. It is </w:t>
      </w:r>
      <w:r>
        <w:rPr>
          <w:i/>
        </w:rPr>
        <w:t>good practice </w:t>
      </w:r>
      <w:r>
        <w:rPr/>
        <w:t>to use the confidence interval to verify if observed category area changes are statistically significant and reflect meaningful</w:t>
      </w:r>
      <w:r>
        <w:rPr>
          <w:spacing w:val="-1"/>
        </w:rPr>
        <w:t> </w:t>
      </w:r>
      <w:r>
        <w:rPr/>
        <w:t>changes.</w:t>
      </w:r>
    </w:p>
    <w:p>
      <w:pPr>
        <w:pStyle w:val="BodyText"/>
        <w:rPr>
          <w:sz w:val="22"/>
        </w:rPr>
      </w:pPr>
    </w:p>
    <w:p>
      <w:pPr>
        <w:pStyle w:val="BodyText"/>
        <w:spacing w:before="2"/>
      </w:pPr>
    </w:p>
    <w:p>
      <w:pPr>
        <w:pStyle w:val="Heading2"/>
        <w:numPr>
          <w:ilvl w:val="2"/>
          <w:numId w:val="22"/>
        </w:numPr>
        <w:tabs>
          <w:tab w:pos="1128" w:val="left" w:leader="none"/>
        </w:tabs>
        <w:spacing w:line="240" w:lineRule="auto" w:before="0" w:after="0"/>
        <w:ind w:left="1127" w:right="0" w:hanging="1008"/>
        <w:jc w:val="both"/>
      </w:pPr>
      <w:r>
        <w:rPr>
          <w:spacing w:val="8"/>
        </w:rPr>
        <w:t>Collection </w:t>
      </w:r>
      <w:r>
        <w:rPr>
          <w:spacing w:val="4"/>
        </w:rPr>
        <w:t>of </w:t>
      </w:r>
      <w:r>
        <w:rPr>
          <w:spacing w:val="7"/>
        </w:rPr>
        <w:t>New </w:t>
      </w:r>
      <w:r>
        <w:rPr>
          <w:spacing w:val="6"/>
        </w:rPr>
        <w:t>Data </w:t>
      </w:r>
      <w:r>
        <w:rPr>
          <w:spacing w:val="4"/>
        </w:rPr>
        <w:t>in </w:t>
      </w:r>
      <w:r>
        <w:rPr>
          <w:spacing w:val="8"/>
        </w:rPr>
        <w:t>Complete</w:t>
      </w:r>
      <w:r>
        <w:rPr>
          <w:spacing w:val="90"/>
        </w:rPr>
        <w:t> </w:t>
      </w:r>
      <w:r>
        <w:rPr>
          <w:spacing w:val="9"/>
        </w:rPr>
        <w:t>Inventories</w:t>
      </w:r>
    </w:p>
    <w:p>
      <w:pPr>
        <w:pStyle w:val="BodyText"/>
        <w:spacing w:before="114"/>
        <w:ind w:left="119" w:right="187"/>
        <w:jc w:val="both"/>
      </w:pPr>
      <w:r>
        <w:rPr/>
        <w:t>A complete inventory of land use of all areas in a country will entail obtaining maps of land use throughout the country at regular intervals.</w:t>
      </w:r>
    </w:p>
    <w:p>
      <w:pPr>
        <w:pStyle w:val="BodyText"/>
        <w:spacing w:before="118"/>
        <w:ind w:left="119" w:right="184"/>
        <w:jc w:val="both"/>
      </w:pPr>
      <w:r>
        <w:rPr/>
        <w:t>This can be achieved by using remote sensing techniques. As outlined under Approach 3 (Section 2.3.2.3), the data will be most easily used in a GIS based on a set of grid cells or polygons supported by ground truth data needed to achieve unbiased interpretation. If the resolution of these data is sufficiently fine then they may allow direct use for Kyoto Protocol reporting of relevant activities. Coarser scale data could be used to build Approach 1 or 2 data for the whole country or appropriate regions.</w:t>
      </w:r>
    </w:p>
    <w:p>
      <w:pPr>
        <w:pStyle w:val="BodyText"/>
        <w:spacing w:before="120"/>
        <w:ind w:left="119" w:right="186"/>
        <w:jc w:val="both"/>
      </w:pPr>
      <w:r>
        <w:rPr/>
        <w:t>A complete inventory could also be achieved by surveying all landowners and each would need to provide suitable data where they own many different blocks of land. Inherent problems in the method include obtaining data at scales smaller than the size of the owner’s land as well as difficulties with ensuring complete coverage with no overlaps.</w:t>
      </w:r>
    </w:p>
    <w:p>
      <w:pPr>
        <w:pStyle w:val="BodyText"/>
        <w:rPr>
          <w:sz w:val="22"/>
        </w:rPr>
      </w:pPr>
    </w:p>
    <w:p>
      <w:pPr>
        <w:pStyle w:val="BodyText"/>
        <w:spacing w:before="1"/>
      </w:pPr>
    </w:p>
    <w:p>
      <w:pPr>
        <w:pStyle w:val="Heading2"/>
        <w:numPr>
          <w:ilvl w:val="2"/>
          <w:numId w:val="22"/>
        </w:numPr>
        <w:tabs>
          <w:tab w:pos="1128" w:val="left" w:leader="none"/>
        </w:tabs>
        <w:spacing w:line="240" w:lineRule="auto" w:before="1" w:after="0"/>
        <w:ind w:left="1127" w:right="0" w:hanging="1008"/>
        <w:jc w:val="both"/>
      </w:pPr>
      <w:r>
        <w:rPr>
          <w:spacing w:val="7"/>
        </w:rPr>
        <w:t>Tools </w:t>
      </w:r>
      <w:r>
        <w:rPr>
          <w:spacing w:val="6"/>
        </w:rPr>
        <w:t>for </w:t>
      </w:r>
      <w:r>
        <w:rPr>
          <w:spacing w:val="7"/>
        </w:rPr>
        <w:t>Data</w:t>
      </w:r>
      <w:r>
        <w:rPr>
          <w:spacing w:val="43"/>
        </w:rPr>
        <w:t> </w:t>
      </w:r>
      <w:r>
        <w:rPr>
          <w:spacing w:val="9"/>
        </w:rPr>
        <w:t>Collection</w:t>
      </w:r>
    </w:p>
    <w:p>
      <w:pPr>
        <w:pStyle w:val="BodyText"/>
        <w:spacing w:before="3"/>
        <w:rPr>
          <w:b/>
          <w:sz w:val="34"/>
        </w:rPr>
      </w:pPr>
    </w:p>
    <w:p>
      <w:pPr>
        <w:pStyle w:val="Heading6"/>
        <w:numPr>
          <w:ilvl w:val="3"/>
          <w:numId w:val="22"/>
        </w:numPr>
        <w:tabs>
          <w:tab w:pos="1560" w:val="left" w:leader="none"/>
        </w:tabs>
        <w:spacing w:line="240" w:lineRule="auto" w:before="0" w:after="0"/>
        <w:ind w:left="1559" w:right="0" w:hanging="1440"/>
        <w:jc w:val="both"/>
      </w:pPr>
      <w:r>
        <w:rPr>
          <w:spacing w:val="15"/>
          <w:sz w:val="28"/>
        </w:rPr>
        <w:t>R</w:t>
      </w:r>
      <w:r>
        <w:rPr>
          <w:spacing w:val="15"/>
        </w:rPr>
        <w:t>EMOTE </w:t>
      </w:r>
      <w:r>
        <w:rPr>
          <w:spacing w:val="16"/>
        </w:rPr>
        <w:t>SENSING </w:t>
      </w:r>
      <w:r>
        <w:rPr>
          <w:spacing w:val="13"/>
          <w:sz w:val="28"/>
        </w:rPr>
        <w:t>(RS)</w:t>
      </w:r>
      <w:r>
        <w:rPr>
          <w:spacing w:val="73"/>
          <w:sz w:val="28"/>
        </w:rPr>
        <w:t> </w:t>
      </w:r>
      <w:r>
        <w:rPr>
          <w:spacing w:val="18"/>
        </w:rPr>
        <w:t>TECHNIQUES</w:t>
      </w:r>
    </w:p>
    <w:p>
      <w:pPr>
        <w:pStyle w:val="BodyText"/>
        <w:spacing w:before="208"/>
        <w:ind w:left="119" w:right="181"/>
        <w:jc w:val="both"/>
      </w:pPr>
      <w:r>
        <w:rPr/>
        <w:t>Remotely sensed data, as discussed here, are those acquired by sensors (optical or radar) on board satellites, or by cameras equipped with optical or infrared films, installed in aircraft. These data are usually classified to provide estimates of the land cover and its corresponding area, and usually require ground survey data to provide an estimate of the classification accuracy. Classification can be done either by visual analysis of the imagery or photographs, or by digital (computer-based) methods. The strengths of remote sensing come from its ability to provide spatially explicit information and repeated coverage including the possibility of covering large areas as well as remote areas that are difficult to access otherwise. Archives of past remote sensing data also span several decades and can therefore be used to reconstruct past time series of land cover and land use. The challenge of remote sensing is related to the problem of interpretation: the images need to be translated into meaningful information on land use and land management. Depending on the satellite sensor, the acquisition of data may be impaired by the presence of atmospheric clouds and haze. Another concern, particularly when comparing data over long time periods, is that remote sensing systems may change. Remote sensing is mainly useful for obtaining area estimates of land-cover/use categories and for assisting in the identification of relatively homogeneous areas that can guide the selection of sampling schemes and the number of samples to be collected. For</w:t>
      </w:r>
      <w:r>
        <w:rPr>
          <w:spacing w:val="-3"/>
        </w:rPr>
        <w:t> </w:t>
      </w:r>
      <w:r>
        <w:rPr/>
        <w:t>additional</w:t>
      </w:r>
      <w:r>
        <w:rPr>
          <w:spacing w:val="-3"/>
        </w:rPr>
        <w:t> </w:t>
      </w:r>
      <w:r>
        <w:rPr/>
        <w:t>information</w:t>
      </w:r>
      <w:r>
        <w:rPr>
          <w:spacing w:val="-4"/>
        </w:rPr>
        <w:t> </w:t>
      </w:r>
      <w:r>
        <w:rPr/>
        <w:t>on</w:t>
      </w:r>
      <w:r>
        <w:rPr>
          <w:spacing w:val="-1"/>
        </w:rPr>
        <w:t> </w:t>
      </w:r>
      <w:r>
        <w:rPr/>
        <w:t>remote</w:t>
      </w:r>
      <w:r>
        <w:rPr>
          <w:spacing w:val="-3"/>
        </w:rPr>
        <w:t> </w:t>
      </w:r>
      <w:r>
        <w:rPr/>
        <w:t>sensing</w:t>
      </w:r>
      <w:r>
        <w:rPr>
          <w:spacing w:val="-4"/>
        </w:rPr>
        <w:t> </w:t>
      </w:r>
      <w:r>
        <w:rPr/>
        <w:t>and</w:t>
      </w:r>
      <w:r>
        <w:rPr>
          <w:spacing w:val="-3"/>
        </w:rPr>
        <w:t> </w:t>
      </w:r>
      <w:r>
        <w:rPr/>
        <w:t>spatial</w:t>
      </w:r>
      <w:r>
        <w:rPr>
          <w:spacing w:val="-2"/>
        </w:rPr>
        <w:t> </w:t>
      </w:r>
      <w:r>
        <w:rPr/>
        <w:t>statistics,</w:t>
      </w:r>
      <w:r>
        <w:rPr>
          <w:spacing w:val="-2"/>
        </w:rPr>
        <w:t> </w:t>
      </w:r>
      <w:r>
        <w:rPr/>
        <w:t>see Cressie</w:t>
      </w:r>
      <w:r>
        <w:rPr>
          <w:spacing w:val="-3"/>
        </w:rPr>
        <w:t> </w:t>
      </w:r>
      <w:r>
        <w:rPr/>
        <w:t>(1993)</w:t>
      </w:r>
      <w:r>
        <w:rPr>
          <w:spacing w:val="-4"/>
        </w:rPr>
        <w:t> </w:t>
      </w:r>
      <w:r>
        <w:rPr/>
        <w:t>and</w:t>
      </w:r>
      <w:r>
        <w:rPr>
          <w:spacing w:val="-3"/>
        </w:rPr>
        <w:t> </w:t>
      </w:r>
      <w:r>
        <w:rPr/>
        <w:t>Lillesand</w:t>
      </w:r>
      <w:r>
        <w:rPr>
          <w:spacing w:val="-5"/>
        </w:rPr>
        <w:t> </w:t>
      </w:r>
      <w:r>
        <w:rPr>
          <w:i/>
        </w:rPr>
        <w:t>et</w:t>
      </w:r>
      <w:r>
        <w:rPr>
          <w:i/>
          <w:spacing w:val="-3"/>
        </w:rPr>
        <w:t> </w:t>
      </w:r>
      <w:r>
        <w:rPr>
          <w:i/>
        </w:rPr>
        <w:t>a</w:t>
      </w:r>
      <w:r>
        <w:rPr/>
        <w:t>l</w:t>
      </w:r>
      <w:r>
        <w:rPr>
          <w:spacing w:val="-2"/>
        </w:rPr>
        <w:t> </w:t>
      </w:r>
      <w:r>
        <w:rPr/>
        <w:t>(1999).</w:t>
      </w:r>
    </w:p>
    <w:p>
      <w:pPr>
        <w:spacing w:after="0"/>
        <w:jc w:val="both"/>
        <w:sectPr>
          <w:headerReference w:type="default" r:id="rId70"/>
          <w:headerReference w:type="even" r:id="rId71"/>
          <w:pgSz w:w="11900" w:h="16840"/>
          <w:pgMar w:header="230" w:footer="408" w:top="920" w:bottom="600" w:left="1300" w:right="1220"/>
        </w:sectPr>
      </w:pPr>
    </w:p>
    <w:p>
      <w:pPr>
        <w:pStyle w:val="Heading6"/>
        <w:spacing w:before="86"/>
        <w:ind w:left="119"/>
        <w:jc w:val="both"/>
      </w:pPr>
      <w:r>
        <w:rPr/>
        <w:t>Types of remote sensing data</w:t>
      </w:r>
    </w:p>
    <w:p>
      <w:pPr>
        <w:pStyle w:val="BodyText"/>
        <w:spacing w:before="56"/>
        <w:ind w:left="119" w:right="183"/>
        <w:jc w:val="both"/>
      </w:pPr>
      <w:r>
        <w:rPr/>
        <w:t>The most important types of RS data are 1) aerial photographs, 2) satellite imagery using visible and/or near- infrared bands, and 3) satellite or airborne radar imagery (see Table 5.7.2 for features of main remote sensing platforms). Combinations of different types of remote sensing data (e.g., visible/infrared and radar; different spatial or spectral resolutions) might very well be used for assessing different land-use categories or regions. A complete remote sensing system for tracking land-use change could include many sensor and data type combinations at a variety of resolutions.</w:t>
      </w:r>
    </w:p>
    <w:p>
      <w:pPr>
        <w:pStyle w:val="BodyText"/>
        <w:spacing w:before="118"/>
        <w:ind w:left="119"/>
        <w:jc w:val="both"/>
      </w:pPr>
      <w:r>
        <w:rPr/>
        <w:t>Important criteria for selecting remote sensing data and products are:</w:t>
      </w:r>
    </w:p>
    <w:p>
      <w:pPr>
        <w:pStyle w:val="ListParagraph"/>
        <w:numPr>
          <w:ilvl w:val="0"/>
          <w:numId w:val="23"/>
        </w:numPr>
        <w:tabs>
          <w:tab w:pos="480" w:val="left" w:leader="none"/>
        </w:tabs>
        <w:spacing w:line="240" w:lineRule="auto" w:before="134" w:after="0"/>
        <w:ind w:left="479" w:right="0" w:hanging="360"/>
        <w:jc w:val="both"/>
        <w:rPr>
          <w:sz w:val="20"/>
        </w:rPr>
      </w:pPr>
      <w:r>
        <w:rPr>
          <w:sz w:val="20"/>
        </w:rPr>
        <w:t>Adequate land-use classification</w:t>
      </w:r>
      <w:r>
        <w:rPr>
          <w:spacing w:val="-2"/>
          <w:sz w:val="20"/>
        </w:rPr>
        <w:t> </w:t>
      </w:r>
      <w:r>
        <w:rPr>
          <w:sz w:val="20"/>
        </w:rPr>
        <w:t>scheme;</w:t>
      </w:r>
    </w:p>
    <w:p>
      <w:pPr>
        <w:pStyle w:val="ListParagraph"/>
        <w:numPr>
          <w:ilvl w:val="0"/>
          <w:numId w:val="23"/>
        </w:numPr>
        <w:tabs>
          <w:tab w:pos="479" w:val="left" w:leader="none"/>
          <w:tab w:pos="480" w:val="left" w:leader="none"/>
        </w:tabs>
        <w:spacing w:line="223" w:lineRule="auto" w:before="131" w:after="0"/>
        <w:ind w:left="479" w:right="189" w:hanging="360"/>
        <w:jc w:val="left"/>
        <w:rPr>
          <w:sz w:val="20"/>
        </w:rPr>
      </w:pPr>
      <w:r>
        <w:rPr>
          <w:sz w:val="20"/>
        </w:rPr>
        <w:t>Appropriate spatial resolution (The smallest spatial unit for assessing land-use changes under the Kyoto Protocol is 0.05</w:t>
      </w:r>
      <w:r>
        <w:rPr>
          <w:spacing w:val="-3"/>
          <w:sz w:val="20"/>
        </w:rPr>
        <w:t> </w:t>
      </w:r>
      <w:r>
        <w:rPr>
          <w:sz w:val="20"/>
        </w:rPr>
        <w:t>ha);</w:t>
      </w:r>
    </w:p>
    <w:p>
      <w:pPr>
        <w:pStyle w:val="ListParagraph"/>
        <w:numPr>
          <w:ilvl w:val="0"/>
          <w:numId w:val="23"/>
        </w:numPr>
        <w:tabs>
          <w:tab w:pos="480" w:val="left" w:leader="none"/>
        </w:tabs>
        <w:spacing w:line="240" w:lineRule="auto" w:before="136" w:after="0"/>
        <w:ind w:left="479" w:right="0" w:hanging="360"/>
        <w:jc w:val="both"/>
        <w:rPr>
          <w:sz w:val="20"/>
        </w:rPr>
      </w:pPr>
      <w:r>
        <w:rPr>
          <w:sz w:val="20"/>
        </w:rPr>
        <w:t>Appropriate temporal resolution for estimating of land-use and carbon stock</w:t>
      </w:r>
      <w:r>
        <w:rPr>
          <w:spacing w:val="-13"/>
          <w:sz w:val="20"/>
        </w:rPr>
        <w:t> </w:t>
      </w:r>
      <w:r>
        <w:rPr>
          <w:sz w:val="20"/>
        </w:rPr>
        <w:t>changes;</w:t>
      </w:r>
    </w:p>
    <w:p>
      <w:pPr>
        <w:pStyle w:val="ListParagraph"/>
        <w:numPr>
          <w:ilvl w:val="0"/>
          <w:numId w:val="23"/>
        </w:numPr>
        <w:tabs>
          <w:tab w:pos="480" w:val="left" w:leader="none"/>
        </w:tabs>
        <w:spacing w:line="240" w:lineRule="auto" w:before="119" w:after="0"/>
        <w:ind w:left="479" w:right="0" w:hanging="360"/>
        <w:jc w:val="both"/>
        <w:rPr>
          <w:sz w:val="20"/>
        </w:rPr>
      </w:pPr>
      <w:r>
        <w:rPr>
          <w:sz w:val="20"/>
        </w:rPr>
        <w:t>Availability of accuracy</w:t>
      </w:r>
      <w:r>
        <w:rPr>
          <w:spacing w:val="-11"/>
          <w:sz w:val="20"/>
        </w:rPr>
        <w:t> </w:t>
      </w:r>
      <w:r>
        <w:rPr>
          <w:sz w:val="20"/>
        </w:rPr>
        <w:t>assessment;</w:t>
      </w:r>
    </w:p>
    <w:p>
      <w:pPr>
        <w:pStyle w:val="ListParagraph"/>
        <w:numPr>
          <w:ilvl w:val="0"/>
          <w:numId w:val="23"/>
        </w:numPr>
        <w:tabs>
          <w:tab w:pos="480" w:val="left" w:leader="none"/>
        </w:tabs>
        <w:spacing w:line="240" w:lineRule="auto" w:before="118" w:after="0"/>
        <w:ind w:left="479" w:right="0" w:hanging="360"/>
        <w:jc w:val="both"/>
        <w:rPr>
          <w:sz w:val="20"/>
        </w:rPr>
      </w:pPr>
      <w:r>
        <w:rPr>
          <w:sz w:val="20"/>
        </w:rPr>
        <w:t>Transparent methods applied in data acquisition and processing;</w:t>
      </w:r>
      <w:r>
        <w:rPr>
          <w:spacing w:val="-4"/>
          <w:sz w:val="20"/>
        </w:rPr>
        <w:t> </w:t>
      </w:r>
      <w:r>
        <w:rPr>
          <w:sz w:val="20"/>
        </w:rPr>
        <w:t>and</w:t>
      </w:r>
    </w:p>
    <w:p>
      <w:pPr>
        <w:pStyle w:val="ListParagraph"/>
        <w:numPr>
          <w:ilvl w:val="0"/>
          <w:numId w:val="23"/>
        </w:numPr>
        <w:tabs>
          <w:tab w:pos="480" w:val="left" w:leader="none"/>
        </w:tabs>
        <w:spacing w:line="240" w:lineRule="auto" w:before="116" w:after="0"/>
        <w:ind w:left="479" w:right="0" w:hanging="360"/>
        <w:jc w:val="both"/>
        <w:rPr>
          <w:sz w:val="20"/>
        </w:rPr>
      </w:pPr>
      <w:r>
        <w:rPr>
          <w:sz w:val="20"/>
        </w:rPr>
        <w:t>Consistency and availability over</w:t>
      </w:r>
      <w:r>
        <w:rPr>
          <w:spacing w:val="-8"/>
          <w:sz w:val="20"/>
        </w:rPr>
        <w:t> </w:t>
      </w:r>
      <w:r>
        <w:rPr>
          <w:sz w:val="20"/>
        </w:rPr>
        <w:t>time.</w:t>
      </w:r>
    </w:p>
    <w:p>
      <w:pPr>
        <w:numPr>
          <w:ilvl w:val="0"/>
          <w:numId w:val="24"/>
        </w:numPr>
        <w:tabs>
          <w:tab w:pos="379" w:val="left" w:leader="none"/>
        </w:tabs>
        <w:spacing w:line="228" w:lineRule="exact" w:before="229"/>
        <w:ind w:left="378" w:right="0" w:hanging="259"/>
        <w:jc w:val="both"/>
        <w:rPr>
          <w:b/>
          <w:sz w:val="20"/>
        </w:rPr>
      </w:pPr>
      <w:r>
        <w:rPr>
          <w:b/>
          <w:spacing w:val="17"/>
          <w:sz w:val="20"/>
        </w:rPr>
        <w:t>Aerial</w:t>
      </w:r>
      <w:r>
        <w:rPr>
          <w:b/>
          <w:spacing w:val="37"/>
          <w:sz w:val="20"/>
        </w:rPr>
        <w:t> </w:t>
      </w:r>
      <w:r>
        <w:rPr>
          <w:b/>
          <w:spacing w:val="18"/>
          <w:sz w:val="20"/>
        </w:rPr>
        <w:t>photographs</w:t>
      </w:r>
      <w:r>
        <w:rPr>
          <w:b/>
          <w:spacing w:val="-30"/>
          <w:sz w:val="20"/>
        </w:rPr>
        <w:t> </w:t>
      </w:r>
    </w:p>
    <w:p>
      <w:pPr>
        <w:pStyle w:val="BodyText"/>
        <w:ind w:left="119" w:right="185"/>
        <w:jc w:val="both"/>
      </w:pPr>
      <w:r>
        <w:rPr/>
        <w:t>Analysis of aerial photographs can reveal forest tree species and forest structure from which relative age distribution and tree health (e.g., needle loss in coniferous forests, leaf loss and stress in deciduous forests) may be inferred. In agriculture analysis, RS can show crop species, crop stress, and tree cover in agro-forestry systems. The smallest spatial unit possible to assess depends on the type of aerial photos used, but for standard products it is often as small as 1 square metre.</w:t>
      </w:r>
    </w:p>
    <w:p>
      <w:pPr>
        <w:pStyle w:val="BodyText"/>
        <w:rPr>
          <w:sz w:val="21"/>
        </w:rPr>
      </w:pPr>
    </w:p>
    <w:p>
      <w:pPr>
        <w:numPr>
          <w:ilvl w:val="0"/>
          <w:numId w:val="24"/>
        </w:numPr>
        <w:tabs>
          <w:tab w:pos="379" w:val="left" w:leader="none"/>
        </w:tabs>
        <w:spacing w:line="227" w:lineRule="exact" w:before="0"/>
        <w:ind w:left="378" w:right="0" w:hanging="259"/>
        <w:jc w:val="both"/>
        <w:rPr>
          <w:b/>
          <w:sz w:val="20"/>
        </w:rPr>
      </w:pPr>
      <w:r>
        <w:rPr>
          <w:b/>
          <w:spacing w:val="17"/>
          <w:sz w:val="20"/>
        </w:rPr>
        <w:t>Satellite </w:t>
      </w:r>
      <w:r>
        <w:rPr>
          <w:b/>
          <w:spacing w:val="16"/>
          <w:sz w:val="20"/>
        </w:rPr>
        <w:t>images </w:t>
      </w:r>
      <w:r>
        <w:rPr>
          <w:b/>
          <w:spacing w:val="9"/>
          <w:sz w:val="20"/>
        </w:rPr>
        <w:t>in </w:t>
      </w:r>
      <w:r>
        <w:rPr>
          <w:b/>
          <w:spacing w:val="17"/>
          <w:sz w:val="20"/>
        </w:rPr>
        <w:t>visible </w:t>
      </w:r>
      <w:r>
        <w:rPr>
          <w:b/>
          <w:spacing w:val="13"/>
          <w:sz w:val="20"/>
        </w:rPr>
        <w:t>and </w:t>
      </w:r>
      <w:r>
        <w:rPr>
          <w:b/>
          <w:spacing w:val="14"/>
          <w:sz w:val="20"/>
        </w:rPr>
        <w:t>near </w:t>
      </w:r>
      <w:r>
        <w:rPr>
          <w:b/>
          <w:spacing w:val="17"/>
          <w:sz w:val="20"/>
        </w:rPr>
        <w:t>infrared</w:t>
      </w:r>
      <w:r>
        <w:rPr>
          <w:b/>
          <w:spacing w:val="6"/>
          <w:sz w:val="20"/>
        </w:rPr>
        <w:t> </w:t>
      </w:r>
      <w:r>
        <w:rPr>
          <w:b/>
          <w:spacing w:val="18"/>
          <w:sz w:val="20"/>
        </w:rPr>
        <w:t>wavelengths</w:t>
      </w:r>
      <w:r>
        <w:rPr>
          <w:b/>
          <w:spacing w:val="-30"/>
          <w:sz w:val="20"/>
        </w:rPr>
        <w:t> </w:t>
      </w:r>
    </w:p>
    <w:p>
      <w:pPr>
        <w:pStyle w:val="BodyText"/>
        <w:ind w:left="119" w:right="184"/>
        <w:jc w:val="both"/>
      </w:pPr>
      <w:r>
        <w:rPr/>
        <w:t>Complete land use or land cover of large areas (national or regional), if not available otherwise, may be facilitated by the use of satellite images. The possibility exists of obtaining long time series of data from the desired area since the satellite continuously and regularly passes over it. The images usually generate a detailed mosaic of distinct categories, but the labelling into proper land-cover/use categories commonly requires ground reference data from maps or field surveys. The smallest unit to be identified depends on the spatial resolution of the sensor and the scale of work. The most common sensor systems have a spatial resolution of 20 – 30 metres. At a spatial resolution of 30 metres, for example, units as small as 1ha can be identified. Data from higher resolution satellites is also available.</w:t>
      </w:r>
    </w:p>
    <w:p>
      <w:pPr>
        <w:pStyle w:val="BodyText"/>
        <w:spacing w:before="10"/>
      </w:pPr>
    </w:p>
    <w:p>
      <w:pPr>
        <w:numPr>
          <w:ilvl w:val="0"/>
          <w:numId w:val="24"/>
        </w:numPr>
        <w:tabs>
          <w:tab w:pos="378" w:val="left" w:leader="none"/>
        </w:tabs>
        <w:spacing w:line="228" w:lineRule="exact" w:before="0"/>
        <w:ind w:left="377" w:right="0" w:hanging="258"/>
        <w:jc w:val="both"/>
        <w:rPr>
          <w:b/>
          <w:sz w:val="20"/>
        </w:rPr>
      </w:pPr>
      <w:r>
        <w:rPr>
          <w:b/>
          <w:spacing w:val="15"/>
          <w:sz w:val="20"/>
        </w:rPr>
        <w:t>Radar</w:t>
      </w:r>
      <w:r>
        <w:rPr>
          <w:b/>
          <w:spacing w:val="41"/>
          <w:sz w:val="20"/>
        </w:rPr>
        <w:t> </w:t>
      </w:r>
      <w:r>
        <w:rPr>
          <w:b/>
          <w:spacing w:val="16"/>
          <w:sz w:val="20"/>
        </w:rPr>
        <w:t>imagery</w:t>
      </w:r>
      <w:r>
        <w:rPr>
          <w:b/>
          <w:spacing w:val="-31"/>
          <w:sz w:val="20"/>
        </w:rPr>
        <w:t> </w:t>
      </w:r>
    </w:p>
    <w:p>
      <w:pPr>
        <w:pStyle w:val="BodyText"/>
        <w:ind w:left="119" w:right="181"/>
        <w:jc w:val="both"/>
      </w:pPr>
      <w:r>
        <w:rPr>
          <w:spacing w:val="-3"/>
        </w:rPr>
        <w:t>The </w:t>
      </w:r>
      <w:r>
        <w:rPr>
          <w:spacing w:val="-4"/>
        </w:rPr>
        <w:t>most </w:t>
      </w:r>
      <w:r>
        <w:rPr>
          <w:spacing w:val="-3"/>
        </w:rPr>
        <w:t>common </w:t>
      </w:r>
      <w:r>
        <w:rPr>
          <w:spacing w:val="-4"/>
        </w:rPr>
        <w:t>type </w:t>
      </w:r>
      <w:r>
        <w:rPr/>
        <w:t>of </w:t>
      </w:r>
      <w:r>
        <w:rPr>
          <w:spacing w:val="-3"/>
        </w:rPr>
        <w:t>radar </w:t>
      </w:r>
      <w:r>
        <w:rPr>
          <w:spacing w:val="-4"/>
        </w:rPr>
        <w:t>data are from </w:t>
      </w:r>
      <w:r>
        <w:rPr>
          <w:spacing w:val="-3"/>
        </w:rPr>
        <w:t>the </w:t>
      </w:r>
      <w:r>
        <w:rPr>
          <w:spacing w:val="-4"/>
        </w:rPr>
        <w:t>so-called Synthetic Aperture Radar </w:t>
      </w:r>
      <w:r>
        <w:rPr>
          <w:spacing w:val="-3"/>
        </w:rPr>
        <w:t>(SAR) </w:t>
      </w:r>
      <w:r>
        <w:rPr>
          <w:spacing w:val="-4"/>
        </w:rPr>
        <w:t>systems </w:t>
      </w:r>
      <w:r>
        <w:rPr>
          <w:spacing w:val="-3"/>
        </w:rPr>
        <w:t>that </w:t>
      </w:r>
      <w:r>
        <w:rPr>
          <w:spacing w:val="-4"/>
        </w:rPr>
        <w:t>operate </w:t>
      </w:r>
      <w:r>
        <w:rPr>
          <w:spacing w:val="-5"/>
        </w:rPr>
        <w:t>at </w:t>
      </w:r>
      <w:r>
        <w:rPr>
          <w:spacing w:val="-4"/>
        </w:rPr>
        <w:t>microwave frequencies. </w:t>
      </w:r>
      <w:r>
        <w:rPr/>
        <w:t>A </w:t>
      </w:r>
      <w:r>
        <w:rPr>
          <w:spacing w:val="-4"/>
        </w:rPr>
        <w:t>major advantage </w:t>
      </w:r>
      <w:r>
        <w:rPr/>
        <w:t>of </w:t>
      </w:r>
      <w:r>
        <w:rPr>
          <w:spacing w:val="-3"/>
        </w:rPr>
        <w:t>such </w:t>
      </w:r>
      <w:r>
        <w:rPr>
          <w:spacing w:val="-4"/>
        </w:rPr>
        <w:t>systems </w:t>
      </w:r>
      <w:r>
        <w:rPr/>
        <w:t>is </w:t>
      </w:r>
      <w:r>
        <w:rPr>
          <w:spacing w:val="-3"/>
        </w:rPr>
        <w:t>that they can </w:t>
      </w:r>
      <w:r>
        <w:rPr>
          <w:spacing w:val="-4"/>
        </w:rPr>
        <w:t>penetrate </w:t>
      </w:r>
      <w:r>
        <w:rPr>
          <w:spacing w:val="-3"/>
        </w:rPr>
        <w:t>clouds and </w:t>
      </w:r>
      <w:r>
        <w:rPr>
          <w:spacing w:val="-4"/>
        </w:rPr>
        <w:t>haze, </w:t>
      </w:r>
      <w:r>
        <w:rPr>
          <w:spacing w:val="-3"/>
        </w:rPr>
        <w:t>and </w:t>
      </w:r>
      <w:r>
        <w:rPr>
          <w:spacing w:val="-5"/>
        </w:rPr>
        <w:t>acquire </w:t>
      </w:r>
      <w:r>
        <w:rPr>
          <w:spacing w:val="-4"/>
        </w:rPr>
        <w:t>data during night-time. </w:t>
      </w:r>
      <w:r>
        <w:rPr>
          <w:spacing w:val="-3"/>
        </w:rPr>
        <w:t>They may </w:t>
      </w:r>
      <w:r>
        <w:rPr>
          <w:spacing w:val="-4"/>
        </w:rPr>
        <w:t>therefore </w:t>
      </w:r>
      <w:r>
        <w:rPr/>
        <w:t>be </w:t>
      </w:r>
      <w:r>
        <w:rPr>
          <w:spacing w:val="-3"/>
        </w:rPr>
        <w:t>the only </w:t>
      </w:r>
      <w:r>
        <w:rPr>
          <w:spacing w:val="-4"/>
        </w:rPr>
        <w:t>reliable source </w:t>
      </w:r>
      <w:r>
        <w:rPr/>
        <w:t>of </w:t>
      </w:r>
      <w:r>
        <w:rPr>
          <w:spacing w:val="-4"/>
        </w:rPr>
        <w:t>remote sensing </w:t>
      </w:r>
      <w:r>
        <w:rPr>
          <w:spacing w:val="-3"/>
        </w:rPr>
        <w:t>data </w:t>
      </w:r>
      <w:r>
        <w:rPr/>
        <w:t>in </w:t>
      </w:r>
      <w:r>
        <w:rPr>
          <w:spacing w:val="-4"/>
        </w:rPr>
        <w:t>many </w:t>
      </w:r>
      <w:r>
        <w:rPr>
          <w:spacing w:val="-3"/>
        </w:rPr>
        <w:t>areas </w:t>
      </w:r>
      <w:r>
        <w:rPr/>
        <w:t>of </w:t>
      </w:r>
      <w:r>
        <w:rPr>
          <w:spacing w:val="-3"/>
        </w:rPr>
        <w:t>the </w:t>
      </w:r>
      <w:r>
        <w:rPr>
          <w:spacing w:val="-4"/>
        </w:rPr>
        <w:t>world with quasi-permanent </w:t>
      </w:r>
      <w:r>
        <w:rPr>
          <w:spacing w:val="-3"/>
        </w:rPr>
        <w:t>cloud cover. </w:t>
      </w:r>
      <w:r>
        <w:rPr/>
        <w:t>By </w:t>
      </w:r>
      <w:r>
        <w:rPr>
          <w:spacing w:val="-4"/>
        </w:rPr>
        <w:t>using different </w:t>
      </w:r>
      <w:r>
        <w:rPr>
          <w:spacing w:val="-3"/>
        </w:rPr>
        <w:t>parts </w:t>
      </w:r>
      <w:r>
        <w:rPr/>
        <w:t>of </w:t>
      </w:r>
      <w:r>
        <w:rPr>
          <w:spacing w:val="-3"/>
        </w:rPr>
        <w:t>the </w:t>
      </w:r>
      <w:r>
        <w:rPr>
          <w:spacing w:val="-4"/>
        </w:rPr>
        <w:t>spectrum </w:t>
      </w:r>
      <w:r>
        <w:rPr>
          <w:spacing w:val="-3"/>
        </w:rPr>
        <w:t>and </w:t>
      </w:r>
      <w:r>
        <w:rPr>
          <w:spacing w:val="-4"/>
        </w:rPr>
        <w:t>different polarisations, </w:t>
      </w:r>
      <w:r>
        <w:rPr>
          <w:spacing w:val="-3"/>
        </w:rPr>
        <w:t>SAR </w:t>
      </w:r>
      <w:r>
        <w:rPr>
          <w:spacing w:val="-4"/>
        </w:rPr>
        <w:t>systems </w:t>
      </w:r>
      <w:r>
        <w:rPr>
          <w:spacing w:val="-3"/>
        </w:rPr>
        <w:t>may </w:t>
      </w:r>
      <w:r>
        <w:rPr/>
        <w:t>be </w:t>
      </w:r>
      <w:r>
        <w:rPr>
          <w:spacing w:val="-3"/>
        </w:rPr>
        <w:t>able to </w:t>
      </w:r>
      <w:r>
        <w:rPr>
          <w:spacing w:val="-4"/>
        </w:rPr>
        <w:t>distinguish land-cover categories (e.g., forest/non-forest), </w:t>
      </w:r>
      <w:r>
        <w:rPr/>
        <w:t>or </w:t>
      </w:r>
      <w:r>
        <w:rPr>
          <w:spacing w:val="-3"/>
        </w:rPr>
        <w:t>the </w:t>
      </w:r>
      <w:r>
        <w:rPr>
          <w:spacing w:val="-4"/>
        </w:rPr>
        <w:t>biomass content </w:t>
      </w:r>
      <w:r>
        <w:rPr/>
        <w:t>of </w:t>
      </w:r>
      <w:r>
        <w:rPr>
          <w:spacing w:val="-4"/>
        </w:rPr>
        <w:t>vegetation, although </w:t>
      </w:r>
      <w:r>
        <w:rPr>
          <w:spacing w:val="-3"/>
        </w:rPr>
        <w:t>there </w:t>
      </w:r>
      <w:r>
        <w:rPr>
          <w:spacing w:val="-2"/>
        </w:rPr>
        <w:t>are </w:t>
      </w:r>
      <w:r>
        <w:rPr/>
        <w:t>at </w:t>
      </w:r>
      <w:r>
        <w:rPr>
          <w:spacing w:val="-4"/>
        </w:rPr>
        <w:t>present some limitations </w:t>
      </w:r>
      <w:r>
        <w:rPr/>
        <w:t>at </w:t>
      </w:r>
      <w:r>
        <w:rPr>
          <w:spacing w:val="-3"/>
        </w:rPr>
        <w:t>high </w:t>
      </w:r>
      <w:r>
        <w:rPr>
          <w:spacing w:val="-4"/>
        </w:rPr>
        <w:t>biomass due </w:t>
      </w:r>
      <w:r>
        <w:rPr>
          <w:spacing w:val="-3"/>
        </w:rPr>
        <w:t>to </w:t>
      </w:r>
      <w:r>
        <w:rPr>
          <w:spacing w:val="-4"/>
        </w:rPr>
        <w:t>signal saturation.</w:t>
      </w:r>
    </w:p>
    <w:p>
      <w:pPr>
        <w:pStyle w:val="BodyText"/>
        <w:spacing w:before="2"/>
        <w:rPr>
          <w:sz w:val="21"/>
        </w:rPr>
      </w:pPr>
    </w:p>
    <w:p>
      <w:pPr>
        <w:pStyle w:val="Heading6"/>
        <w:ind w:left="119"/>
        <w:jc w:val="both"/>
      </w:pPr>
      <w:r>
        <w:rPr>
          <w:spacing w:val="15"/>
        </w:rPr>
        <w:t>Ground  </w:t>
      </w:r>
      <w:r>
        <w:rPr>
          <w:spacing w:val="17"/>
        </w:rPr>
        <w:t>reference</w:t>
      </w:r>
      <w:r>
        <w:rPr>
          <w:spacing w:val="5"/>
        </w:rPr>
        <w:t> </w:t>
      </w:r>
      <w:r>
        <w:rPr>
          <w:spacing w:val="15"/>
        </w:rPr>
        <w:t>data</w:t>
      </w:r>
    </w:p>
    <w:p>
      <w:pPr>
        <w:pStyle w:val="BodyText"/>
        <w:spacing w:before="54"/>
        <w:ind w:left="119" w:right="183"/>
        <w:jc w:val="both"/>
      </w:pPr>
      <w:r>
        <w:rPr/>
        <w:t>In order to make use of remote sensing data for inventories, and in particular to relate land cover to land use it is </w:t>
      </w:r>
      <w:r>
        <w:rPr>
          <w:i/>
        </w:rPr>
        <w:t>good practice </w:t>
      </w:r>
      <w:r>
        <w:rPr/>
        <w:t>to complement the remotely sensed data with ground reference data (often called ground truth data). Ground reference data can either be collected independently, or be obtained from forest or agricultural inventories. Land uses that are rapidly changing over the estimation period or that have vegetation cover known to be easily misclassified should be more intensively ground-truthed than other areas. This can only be done by using ground reference data, preferably from actual ground surveys collected independently but high-resolution photographs may also be</w:t>
      </w:r>
      <w:r>
        <w:rPr>
          <w:spacing w:val="-1"/>
        </w:rPr>
        <w:t> </w:t>
      </w:r>
      <w:r>
        <w:rPr/>
        <w:t>useful.</w:t>
      </w:r>
    </w:p>
    <w:p>
      <w:pPr>
        <w:pStyle w:val="BodyText"/>
        <w:spacing w:before="2"/>
        <w:rPr>
          <w:sz w:val="21"/>
        </w:rPr>
      </w:pPr>
    </w:p>
    <w:p>
      <w:pPr>
        <w:pStyle w:val="Heading6"/>
        <w:ind w:left="119"/>
        <w:jc w:val="both"/>
      </w:pPr>
      <w:r>
        <w:rPr>
          <w:spacing w:val="17"/>
        </w:rPr>
        <w:t>Integration </w:t>
      </w:r>
      <w:r>
        <w:rPr>
          <w:spacing w:val="9"/>
        </w:rPr>
        <w:t>of </w:t>
      </w:r>
      <w:r>
        <w:rPr>
          <w:spacing w:val="15"/>
        </w:rPr>
        <w:t>remote </w:t>
      </w:r>
      <w:r>
        <w:rPr>
          <w:spacing w:val="16"/>
        </w:rPr>
        <w:t>sensing </w:t>
      </w:r>
      <w:r>
        <w:rPr>
          <w:spacing w:val="13"/>
        </w:rPr>
        <w:t>and</w:t>
      </w:r>
      <w:r>
        <w:rPr>
          <w:spacing w:val="77"/>
        </w:rPr>
        <w:t> </w:t>
      </w:r>
      <w:r>
        <w:rPr>
          <w:spacing w:val="12"/>
        </w:rPr>
        <w:t>GIS</w:t>
      </w:r>
    </w:p>
    <w:p>
      <w:pPr>
        <w:pStyle w:val="BodyText"/>
        <w:spacing w:before="56"/>
        <w:ind w:left="119" w:right="185"/>
        <w:jc w:val="both"/>
      </w:pPr>
      <w:r>
        <w:rPr/>
        <w:t>Visual interpretation of images is often used for identifying sampling sites for forestry inventories. The method is simple, and reliable. However, it is labour intensive and therefore restricted to limited areas, and may be affected by subjective interpretations by different</w:t>
      </w:r>
      <w:r>
        <w:rPr>
          <w:spacing w:val="-8"/>
        </w:rPr>
        <w:t> </w:t>
      </w:r>
      <w:r>
        <w:rPr/>
        <w:t>operators.</w:t>
      </w:r>
    </w:p>
    <w:p>
      <w:pPr>
        <w:spacing w:after="0"/>
        <w:jc w:val="both"/>
        <w:sectPr>
          <w:pgSz w:w="11900" w:h="16840"/>
          <w:pgMar w:header="230" w:footer="408" w:top="920" w:bottom="600" w:left="1300" w:right="1220"/>
        </w:sectPr>
      </w:pPr>
    </w:p>
    <w:p>
      <w:pPr>
        <w:pStyle w:val="BodyText"/>
        <w:spacing w:before="80"/>
        <w:ind w:left="119" w:right="181"/>
        <w:jc w:val="both"/>
      </w:pPr>
      <w:r>
        <w:rPr>
          <w:spacing w:val="-4"/>
        </w:rPr>
        <w:t>Full use </w:t>
      </w:r>
      <w:r>
        <w:rPr/>
        <w:t>of </w:t>
      </w:r>
      <w:r>
        <w:rPr>
          <w:spacing w:val="-4"/>
        </w:rPr>
        <w:t>remote sensing generally requires integration </w:t>
      </w:r>
      <w:r>
        <w:rPr/>
        <w:t>of </w:t>
      </w:r>
      <w:r>
        <w:rPr>
          <w:spacing w:val="-3"/>
        </w:rPr>
        <w:t>the </w:t>
      </w:r>
      <w:r>
        <w:rPr>
          <w:spacing w:val="-4"/>
        </w:rPr>
        <w:t>extensive coverage that </w:t>
      </w:r>
      <w:r>
        <w:rPr>
          <w:spacing w:val="-3"/>
        </w:rPr>
        <w:t>remote </w:t>
      </w:r>
      <w:r>
        <w:rPr>
          <w:spacing w:val="-4"/>
        </w:rPr>
        <w:t>sensing </w:t>
      </w:r>
      <w:r>
        <w:rPr/>
        <w:t>can </w:t>
      </w:r>
      <w:r>
        <w:rPr>
          <w:spacing w:val="-4"/>
        </w:rPr>
        <w:t>provide </w:t>
      </w:r>
      <w:r>
        <w:rPr>
          <w:spacing w:val="-3"/>
        </w:rPr>
        <w:t>with</w:t>
      </w:r>
      <w:r>
        <w:rPr>
          <w:spacing w:val="-7"/>
        </w:rPr>
        <w:t> </w:t>
      </w:r>
      <w:r>
        <w:rPr>
          <w:spacing w:val="-4"/>
        </w:rPr>
        <w:t>ground-based</w:t>
      </w:r>
      <w:r>
        <w:rPr>
          <w:spacing w:val="-6"/>
        </w:rPr>
        <w:t> </w:t>
      </w:r>
      <w:r>
        <w:rPr>
          <w:spacing w:val="-3"/>
        </w:rPr>
        <w:t>point</w:t>
      </w:r>
      <w:r>
        <w:rPr>
          <w:spacing w:val="-6"/>
        </w:rPr>
        <w:t> </w:t>
      </w:r>
      <w:r>
        <w:rPr>
          <w:spacing w:val="-4"/>
        </w:rPr>
        <w:t>measurements</w:t>
      </w:r>
      <w:r>
        <w:rPr>
          <w:spacing w:val="-8"/>
        </w:rPr>
        <w:t> </w:t>
      </w:r>
      <w:r>
        <w:rPr/>
        <w:t>or</w:t>
      </w:r>
      <w:r>
        <w:rPr>
          <w:spacing w:val="-4"/>
        </w:rPr>
        <w:t> map</w:t>
      </w:r>
      <w:r>
        <w:rPr>
          <w:spacing w:val="-7"/>
        </w:rPr>
        <w:t> </w:t>
      </w:r>
      <w:r>
        <w:rPr>
          <w:spacing w:val="-3"/>
        </w:rPr>
        <w:t>data</w:t>
      </w:r>
      <w:r>
        <w:rPr>
          <w:spacing w:val="-4"/>
        </w:rPr>
        <w:t> </w:t>
      </w:r>
      <w:r>
        <w:rPr>
          <w:spacing w:val="-3"/>
        </w:rPr>
        <w:t>to</w:t>
      </w:r>
      <w:r>
        <w:rPr>
          <w:spacing w:val="-7"/>
        </w:rPr>
        <w:t> </w:t>
      </w:r>
      <w:r>
        <w:rPr>
          <w:spacing w:val="-4"/>
        </w:rPr>
        <w:t>represent</w:t>
      </w:r>
      <w:r>
        <w:rPr>
          <w:spacing w:val="-7"/>
        </w:rPr>
        <w:t> </w:t>
      </w:r>
      <w:r>
        <w:rPr>
          <w:spacing w:val="-4"/>
        </w:rPr>
        <w:t>areas</w:t>
      </w:r>
      <w:r>
        <w:rPr>
          <w:spacing w:val="-8"/>
        </w:rPr>
        <w:t> </w:t>
      </w:r>
      <w:r>
        <w:rPr>
          <w:spacing w:val="-4"/>
        </w:rPr>
        <w:t>associated</w:t>
      </w:r>
      <w:r>
        <w:rPr>
          <w:spacing w:val="-5"/>
        </w:rPr>
        <w:t> </w:t>
      </w:r>
      <w:r>
        <w:rPr>
          <w:spacing w:val="-3"/>
        </w:rPr>
        <w:t>with</w:t>
      </w:r>
      <w:r>
        <w:rPr>
          <w:spacing w:val="-8"/>
        </w:rPr>
        <w:t> </w:t>
      </w:r>
      <w:r>
        <w:rPr>
          <w:spacing w:val="-4"/>
        </w:rPr>
        <w:t>particular</w:t>
      </w:r>
      <w:r>
        <w:rPr>
          <w:spacing w:val="-6"/>
        </w:rPr>
        <w:t> </w:t>
      </w:r>
      <w:r>
        <w:rPr>
          <w:spacing w:val="-4"/>
        </w:rPr>
        <w:t>land</w:t>
      </w:r>
      <w:r>
        <w:rPr>
          <w:spacing w:val="-7"/>
        </w:rPr>
        <w:t> </w:t>
      </w:r>
      <w:r>
        <w:rPr>
          <w:spacing w:val="-4"/>
        </w:rPr>
        <w:t>uses</w:t>
      </w:r>
      <w:r>
        <w:rPr>
          <w:spacing w:val="-6"/>
        </w:rPr>
        <w:t> </w:t>
      </w:r>
      <w:r>
        <w:rPr/>
        <w:t>in</w:t>
      </w:r>
      <w:r>
        <w:rPr>
          <w:spacing w:val="-8"/>
        </w:rPr>
        <w:t> </w:t>
      </w:r>
      <w:r>
        <w:rPr>
          <w:spacing w:val="-4"/>
        </w:rPr>
        <w:t>space</w:t>
      </w:r>
      <w:r>
        <w:rPr>
          <w:spacing w:val="-8"/>
        </w:rPr>
        <w:t> </w:t>
      </w:r>
      <w:r>
        <w:rPr>
          <w:spacing w:val="-2"/>
        </w:rPr>
        <w:t>and </w:t>
      </w:r>
      <w:r>
        <w:rPr>
          <w:spacing w:val="-4"/>
        </w:rPr>
        <w:t>time.</w:t>
      </w:r>
      <w:r>
        <w:rPr>
          <w:spacing w:val="-9"/>
        </w:rPr>
        <w:t> </w:t>
      </w:r>
      <w:r>
        <w:rPr>
          <w:spacing w:val="-3"/>
        </w:rPr>
        <w:t>This</w:t>
      </w:r>
      <w:r>
        <w:rPr>
          <w:spacing w:val="-8"/>
        </w:rPr>
        <w:t> </w:t>
      </w:r>
      <w:r>
        <w:rPr/>
        <w:t>is</w:t>
      </w:r>
      <w:r>
        <w:rPr>
          <w:spacing w:val="-8"/>
        </w:rPr>
        <w:t> </w:t>
      </w:r>
      <w:r>
        <w:rPr>
          <w:spacing w:val="-4"/>
        </w:rPr>
        <w:t>generally</w:t>
      </w:r>
      <w:r>
        <w:rPr>
          <w:spacing w:val="-9"/>
        </w:rPr>
        <w:t> </w:t>
      </w:r>
      <w:r>
        <w:rPr>
          <w:spacing w:val="-4"/>
        </w:rPr>
        <w:t>achieved most</w:t>
      </w:r>
      <w:r>
        <w:rPr>
          <w:spacing w:val="-10"/>
        </w:rPr>
        <w:t> </w:t>
      </w:r>
      <w:r>
        <w:rPr>
          <w:spacing w:val="-4"/>
        </w:rPr>
        <w:t>cost</w:t>
      </w:r>
      <w:r>
        <w:rPr>
          <w:spacing w:val="-7"/>
        </w:rPr>
        <w:t> </w:t>
      </w:r>
      <w:r>
        <w:rPr>
          <w:spacing w:val="-4"/>
        </w:rPr>
        <w:t>effectively</w:t>
      </w:r>
      <w:r>
        <w:rPr>
          <w:spacing w:val="-9"/>
        </w:rPr>
        <w:t> </w:t>
      </w:r>
      <w:r>
        <w:rPr>
          <w:spacing w:val="-4"/>
        </w:rPr>
        <w:t>using</w:t>
      </w:r>
      <w:r>
        <w:rPr>
          <w:spacing w:val="-11"/>
        </w:rPr>
        <w:t> </w:t>
      </w:r>
      <w:r>
        <w:rPr/>
        <w:t>a</w:t>
      </w:r>
      <w:r>
        <w:rPr>
          <w:spacing w:val="-4"/>
        </w:rPr>
        <w:t> geographical</w:t>
      </w:r>
      <w:r>
        <w:rPr>
          <w:spacing w:val="-7"/>
        </w:rPr>
        <w:t> </w:t>
      </w:r>
      <w:r>
        <w:rPr>
          <w:spacing w:val="-4"/>
        </w:rPr>
        <w:t>information</w:t>
      </w:r>
      <w:r>
        <w:rPr>
          <w:spacing w:val="-8"/>
        </w:rPr>
        <w:t> </w:t>
      </w:r>
      <w:r>
        <w:rPr>
          <w:spacing w:val="-4"/>
        </w:rPr>
        <w:t>system</w:t>
      </w:r>
      <w:r>
        <w:rPr>
          <w:spacing w:val="-11"/>
        </w:rPr>
        <w:t> </w:t>
      </w:r>
      <w:r>
        <w:rPr>
          <w:spacing w:val="-4"/>
        </w:rPr>
        <w:t>(GIS).</w:t>
      </w:r>
    </w:p>
    <w:p>
      <w:pPr>
        <w:pStyle w:val="BodyText"/>
        <w:spacing w:before="5"/>
        <w:rPr>
          <w:sz w:val="21"/>
        </w:rPr>
      </w:pPr>
    </w:p>
    <w:p>
      <w:pPr>
        <w:pStyle w:val="Heading6"/>
        <w:spacing w:before="1"/>
        <w:ind w:left="119"/>
        <w:jc w:val="both"/>
      </w:pPr>
      <w:r>
        <w:rPr/>
        <w:t>Land-cover classification using remotely sensed data</w:t>
      </w:r>
    </w:p>
    <w:p>
      <w:pPr>
        <w:pStyle w:val="BodyText"/>
        <w:spacing w:before="53"/>
        <w:ind w:left="119" w:right="185"/>
        <w:jc w:val="both"/>
      </w:pPr>
      <w:r>
        <w:rPr/>
        <w:t>Classification of land cover using remotely sensed data may be done by visual or digital (computer based) analysis. Each one presents advantages and disadvantages. Visual analysis of imagery allows for human inference through the evaluation of overall characteristics of the scene (analysis of the contextual aspects in the image). Digital classification, on the other hand, allows several manipulations to be performed with the data, such as merging of different spectral data, which can help to improve modelling of the biophysical ground data (such as tree diameter, height, basal area, biomass) using the remotely sensed data. In addition, digital analysis allows for the immediate computation of areas associated with the different land categories. It has developed rapidly over the past decade, along with the associated technical computer development, making hardware, software and also the satellite data readily available at low cost in most countries, although capacity to use these data and facilities may have to be outsourced, particularly in mapping at national</w:t>
      </w:r>
      <w:r>
        <w:rPr>
          <w:spacing w:val="-8"/>
        </w:rPr>
        <w:t> </w:t>
      </w:r>
      <w:r>
        <w:rPr/>
        <w:t>level.</w:t>
      </w:r>
    </w:p>
    <w:p>
      <w:pPr>
        <w:pStyle w:val="BodyText"/>
        <w:spacing w:before="1"/>
        <w:rPr>
          <w:sz w:val="21"/>
        </w:rPr>
      </w:pPr>
    </w:p>
    <w:p>
      <w:pPr>
        <w:pStyle w:val="Heading6"/>
        <w:ind w:left="119"/>
        <w:jc w:val="both"/>
      </w:pPr>
      <w:r>
        <w:rPr/>
        <w:t>Detection of land use change using RS</w:t>
      </w:r>
    </w:p>
    <w:p>
      <w:pPr>
        <w:pStyle w:val="BodyText"/>
        <w:spacing w:before="56"/>
        <w:ind w:left="119" w:right="188"/>
        <w:jc w:val="both"/>
      </w:pPr>
      <w:r>
        <w:rPr/>
        <w:t>Remote sensing can be used to detect locations of change related to LULUCF. Methods for land-use change detection can be divided into two categories (Singh (1989)):</w:t>
      </w:r>
    </w:p>
    <w:p>
      <w:pPr>
        <w:pStyle w:val="BodyText"/>
        <w:spacing w:before="119"/>
        <w:ind w:left="119" w:right="186"/>
        <w:jc w:val="both"/>
      </w:pPr>
      <w:r>
        <w:rPr>
          <w:b/>
        </w:rPr>
        <w:t>Post-classification change detection: </w:t>
      </w:r>
      <w:r>
        <w:rPr/>
        <w:t>This refers to techniques where two or more predefined land-cover/use classifications exist from different points in time, and where the changes are detected, usually by subtraction of the datasets. The techniques are straightforward but are also very sensitive to inconsistencies in interpretation and classification of the land</w:t>
      </w:r>
      <w:r>
        <w:rPr>
          <w:spacing w:val="-3"/>
        </w:rPr>
        <w:t> </w:t>
      </w:r>
      <w:r>
        <w:rPr/>
        <w:t>categories.</w:t>
      </w:r>
    </w:p>
    <w:p>
      <w:pPr>
        <w:pStyle w:val="BodyText"/>
        <w:spacing w:before="119"/>
        <w:ind w:left="119" w:right="183"/>
        <w:jc w:val="both"/>
      </w:pPr>
      <w:r>
        <w:rPr>
          <w:b/>
        </w:rPr>
        <w:t>Pre-classification change detection: </w:t>
      </w:r>
      <w:r>
        <w:rPr/>
        <w:t>This refers to more sophisticated and biophysical approaches to change detection. Differences between spectral response data from two or more points in time are compared by statistical methods and these differences are used to provide information on land-cover/use changes. This approach is less sensitive to interpretation inconsistencies and can detect much more subtle changes than the post-classification</w:t>
      </w:r>
      <w:r>
        <w:rPr>
          <w:spacing w:val="-5"/>
        </w:rPr>
        <w:t> </w:t>
      </w:r>
      <w:r>
        <w:rPr/>
        <w:t>approaches, but</w:t>
      </w:r>
      <w:r>
        <w:rPr>
          <w:spacing w:val="-2"/>
        </w:rPr>
        <w:t> </w:t>
      </w:r>
      <w:r>
        <w:rPr/>
        <w:t>is</w:t>
      </w:r>
      <w:r>
        <w:rPr>
          <w:spacing w:val="-4"/>
        </w:rPr>
        <w:t> </w:t>
      </w:r>
      <w:r>
        <w:rPr/>
        <w:t>less</w:t>
      </w:r>
      <w:r>
        <w:rPr>
          <w:spacing w:val="-5"/>
        </w:rPr>
        <w:t> </w:t>
      </w:r>
      <w:r>
        <w:rPr/>
        <w:t>straightforward</w:t>
      </w:r>
      <w:r>
        <w:rPr>
          <w:spacing w:val="-2"/>
        </w:rPr>
        <w:t> </w:t>
      </w:r>
      <w:r>
        <w:rPr/>
        <w:t>and</w:t>
      </w:r>
      <w:r>
        <w:rPr>
          <w:spacing w:val="-2"/>
        </w:rPr>
        <w:t> </w:t>
      </w:r>
      <w:r>
        <w:rPr/>
        <w:t>requires</w:t>
      </w:r>
      <w:r>
        <w:rPr>
          <w:spacing w:val="-4"/>
        </w:rPr>
        <w:t> </w:t>
      </w:r>
      <w:r>
        <w:rPr/>
        <w:t>access</w:t>
      </w:r>
      <w:r>
        <w:rPr>
          <w:spacing w:val="-4"/>
        </w:rPr>
        <w:t> </w:t>
      </w:r>
      <w:r>
        <w:rPr/>
        <w:t>to</w:t>
      </w:r>
      <w:r>
        <w:rPr>
          <w:spacing w:val="-3"/>
        </w:rPr>
        <w:t> </w:t>
      </w:r>
      <w:r>
        <w:rPr/>
        <w:t>the</w:t>
      </w:r>
      <w:r>
        <w:rPr>
          <w:spacing w:val="-2"/>
        </w:rPr>
        <w:t> </w:t>
      </w:r>
      <w:r>
        <w:rPr/>
        <w:t>original</w:t>
      </w:r>
      <w:r>
        <w:rPr>
          <w:spacing w:val="-2"/>
        </w:rPr>
        <w:t> </w:t>
      </w:r>
      <w:r>
        <w:rPr/>
        <w:t>remote</w:t>
      </w:r>
      <w:r>
        <w:rPr>
          <w:spacing w:val="-3"/>
        </w:rPr>
        <w:t> </w:t>
      </w:r>
      <w:r>
        <w:rPr/>
        <w:t>sensing</w:t>
      </w:r>
      <w:r>
        <w:rPr>
          <w:spacing w:val="-4"/>
        </w:rPr>
        <w:t> </w:t>
      </w:r>
      <w:r>
        <w:rPr/>
        <w:t>data.</w:t>
      </w:r>
    </w:p>
    <w:p>
      <w:pPr>
        <w:pStyle w:val="BodyText"/>
        <w:spacing w:before="3"/>
        <w:rPr>
          <w:sz w:val="21"/>
        </w:rPr>
      </w:pPr>
    </w:p>
    <w:p>
      <w:pPr>
        <w:pStyle w:val="Heading6"/>
        <w:ind w:left="119"/>
        <w:jc w:val="both"/>
      </w:pPr>
      <w:r>
        <w:rPr/>
        <w:t>Evaluation of mapping accuracy</w:t>
      </w:r>
    </w:p>
    <w:p>
      <w:pPr>
        <w:pStyle w:val="BodyText"/>
        <w:spacing w:before="54"/>
        <w:ind w:left="119" w:right="185" w:hanging="1"/>
        <w:jc w:val="both"/>
      </w:pPr>
      <w:r>
        <w:rPr/>
        <w:t>Whenever a map of land cover/use is being used, it is </w:t>
      </w:r>
      <w:r>
        <w:rPr>
          <w:i/>
        </w:rPr>
        <w:t>good practice </w:t>
      </w:r>
      <w:r>
        <w:rPr/>
        <w:t>to acquire information about the reliability of the map. When such maps are generated from classification of remote sensing data, it should be recognised that the reliability of the map is likely to vary between the different land categories. Some categories may be uniquely distinguished while others may easily be confounded with others. For example, coniferous forest is often more accurately classified than deciduous forest because its reflectance characteristics are more distinct, while deciduous forest may easily be confounded with, for example, grassland or cropland. Similarly, it is often difficult to ascertain changes in land management practices through remote sensing. For example, it may be difficult to detect a change from conventional to conservation tillage on a specific land</w:t>
      </w:r>
      <w:r>
        <w:rPr>
          <w:spacing w:val="-8"/>
        </w:rPr>
        <w:t> </w:t>
      </w:r>
      <w:r>
        <w:rPr/>
        <w:t>area.</w:t>
      </w:r>
    </w:p>
    <w:p>
      <w:pPr>
        <w:pStyle w:val="BodyText"/>
        <w:spacing w:before="119"/>
        <w:ind w:left="119" w:right="180"/>
        <w:jc w:val="both"/>
      </w:pPr>
      <w:r>
        <w:rPr/>
        <w:t>It is therefore </w:t>
      </w:r>
      <w:r>
        <w:rPr>
          <w:i/>
        </w:rPr>
        <w:t>good practice </w:t>
      </w:r>
      <w:r>
        <w:rPr/>
        <w:t>to estimate the accuracy of land-use/land-cover maps on a category-by-category basis. A number of sample points on the map and their corresponding real world categories are used to create a confusion matrix (See Approach 3; Footnote 6) with the diagonal showing the probability of correct identification and the off-diagonal elements showing the relative probability of misclassification of a land category into one of the other possible categories. The confusion matrix expresses not only the accuracy of the map but it is also possible to determine which categories are easily confounded with each other. Based on the confusion matrix, a number of accuracy indices can be derived (Congalton, 1991). It is </w:t>
      </w:r>
      <w:r>
        <w:rPr>
          <w:i/>
        </w:rPr>
        <w:t>good practice </w:t>
      </w:r>
      <w:r>
        <w:rPr/>
        <w:t>to present an estimate of the accuracy of the land-use/cover map category-by-category and a confusion matrix may be employed for this purpose where remote sensing is used. Multi-temporal analysis (analysis of images taken at different times to determine the stability of land-use classification) can also be used to improve classification accuracy, particularly in cases where ground truth data are</w:t>
      </w:r>
      <w:r>
        <w:rPr>
          <w:spacing w:val="-3"/>
        </w:rPr>
        <w:t> </w:t>
      </w:r>
      <w:r>
        <w:rPr/>
        <w:t>limited.</w:t>
      </w:r>
    </w:p>
    <w:p>
      <w:pPr>
        <w:pStyle w:val="BodyText"/>
        <w:rPr>
          <w:sz w:val="22"/>
        </w:rPr>
      </w:pPr>
    </w:p>
    <w:p>
      <w:pPr>
        <w:pStyle w:val="Heading6"/>
        <w:numPr>
          <w:ilvl w:val="3"/>
          <w:numId w:val="22"/>
        </w:numPr>
        <w:tabs>
          <w:tab w:pos="1560" w:val="left" w:leader="none"/>
        </w:tabs>
        <w:spacing w:line="240" w:lineRule="auto" w:before="147" w:after="0"/>
        <w:ind w:left="1559" w:right="0" w:hanging="1440"/>
        <w:jc w:val="both"/>
      </w:pPr>
      <w:r>
        <w:rPr>
          <w:spacing w:val="17"/>
          <w:sz w:val="28"/>
        </w:rPr>
        <w:t>G</w:t>
      </w:r>
      <w:r>
        <w:rPr>
          <w:spacing w:val="17"/>
        </w:rPr>
        <w:t>ROUND</w:t>
      </w:r>
      <w:r>
        <w:rPr>
          <w:spacing w:val="17"/>
          <w:sz w:val="28"/>
        </w:rPr>
        <w:t>-</w:t>
      </w:r>
      <w:r>
        <w:rPr>
          <w:spacing w:val="17"/>
        </w:rPr>
        <w:t>BASED</w:t>
      </w:r>
      <w:r>
        <w:rPr>
          <w:spacing w:val="40"/>
        </w:rPr>
        <w:t> </w:t>
      </w:r>
      <w:r>
        <w:rPr>
          <w:spacing w:val="16"/>
        </w:rPr>
        <w:t>SURVEYS</w:t>
      </w:r>
    </w:p>
    <w:p>
      <w:pPr>
        <w:pStyle w:val="BodyText"/>
        <w:spacing w:before="209"/>
        <w:ind w:left="119" w:right="184"/>
        <w:jc w:val="both"/>
      </w:pPr>
      <w:r>
        <w:rPr/>
        <w:t>Ground-based surveys may be used to gather and record information on land use, and for use as independent ground-truth data for remote sensing classification. Prior to the advent of remote sensing techniques such as aerial photography and satellite imagery, ground-based surveys were the only means of generating maps. The process is essentially one of visiting the area under study and recording visible and/or other physical attributes of the landscape for mapping purposes. Digitisation of boundaries and symbolising attributes are used to make hard copy field notes and historical maps useful in Geographic Information Systems (GIS). This is done via</w:t>
      </w:r>
      <w:r>
        <w:rPr>
          <w:spacing w:val="12"/>
        </w:rPr>
        <w:t> </w:t>
      </w:r>
      <w:r>
        <w:rPr/>
        <w:t>protocols</w:t>
      </w:r>
    </w:p>
    <w:p>
      <w:pPr>
        <w:spacing w:after="0"/>
        <w:jc w:val="both"/>
        <w:sectPr>
          <w:pgSz w:w="11900" w:h="16840"/>
          <w:pgMar w:header="230" w:footer="408" w:top="920" w:bottom="600" w:left="1300" w:right="1220"/>
        </w:sectPr>
      </w:pPr>
    </w:p>
    <w:p>
      <w:pPr>
        <w:pStyle w:val="BodyText"/>
        <w:spacing w:before="80"/>
        <w:ind w:left="119" w:right="187"/>
        <w:jc w:val="both"/>
      </w:pPr>
      <w:r>
        <w:rPr/>
        <w:t>on minimum land area delineation and attribute categorisation that are linked to the scale of the resultant map and its intended</w:t>
      </w:r>
      <w:r>
        <w:rPr>
          <w:spacing w:val="-1"/>
        </w:rPr>
        <w:t> </w:t>
      </w:r>
      <w:r>
        <w:rPr/>
        <w:t>use.</w:t>
      </w:r>
    </w:p>
    <w:p>
      <w:pPr>
        <w:pStyle w:val="BodyText"/>
        <w:spacing w:before="121"/>
        <w:ind w:left="119" w:right="185"/>
        <w:jc w:val="both"/>
      </w:pPr>
      <w:r>
        <w:rPr/>
        <w:t>Very precise measurements of area and location can be made using a combination of survey equipment such as theodolites, tape measures, distance wheels and electronic distance measuring devices. Development of Global Positioning Systems (GPS) means that location information can be recorded in the field directly into electronic format using portable computer devices. Data are downloaded to an office computer for registration and coordination with other layers of information for spatial analysis.</w:t>
      </w:r>
    </w:p>
    <w:p>
      <w:pPr>
        <w:pStyle w:val="BodyText"/>
        <w:spacing w:before="120"/>
        <w:ind w:left="119" w:right="184"/>
        <w:jc w:val="both"/>
      </w:pPr>
      <w:r>
        <w:rPr/>
        <w:t>Landowner interviews and questionnaires are used to collect socio-economic and land management information, but may also provide data on land use and land-use change. With this census approach, the data collection agency depends on the knowledge and records of landowners (or users) to provide reliable data. Typically, the resident is visited and interviewed by a representative of the collection agency and data are recorded in a predetermined format, or a questionnaire is issued to the land-user for completion. The respondent is usually encouraged to use any relevant records or maps they may have, but questions may also be used to elicit information directly (Swanson </w:t>
      </w:r>
      <w:r>
        <w:rPr>
          <w:i/>
        </w:rPr>
        <w:t>et al</w:t>
      </w:r>
      <w:r>
        <w:rPr/>
        <w:t>.,</w:t>
      </w:r>
      <w:r>
        <w:rPr>
          <w:spacing w:val="-3"/>
        </w:rPr>
        <w:t> </w:t>
      </w:r>
      <w:r>
        <w:rPr/>
        <w:t>1997).</w:t>
      </w:r>
    </w:p>
    <w:p>
      <w:pPr>
        <w:pStyle w:val="BodyText"/>
        <w:spacing w:before="118"/>
        <w:ind w:left="119" w:right="185"/>
        <w:jc w:val="both"/>
      </w:pPr>
      <w:r>
        <w:rPr/>
        <w:t>Census surveys are probably the oldest form of data collection methods (Darby, 1970). Land-user surveys can be conducted on the entire population or a sample of suitable size. Modern applications employ a full range of validation and accuracy assessment techniques. The survey may be undertaken through personal visits, telephone interviews (often with computer-assisted prompts) or mail-out questionnaires. Land-user surveys start with the formulation of data and information needs into a series of simple and clear questions soliciting concise and unequivocal responses. The questions are tested on a sample of the population in order to ensure that they are understandable and to identify any local technical terminology variations. For sample applications, the entire study area is spatially stratified by appropriate ecological and/or administrative land units, and by significant categorical differences within the population (e.g., private versus corporate, large versus small, pulp versus lumber, etc.). For responses dealing with land areas and management practices, some geographic location, whether precise coordinates, cadastral description or at least ecological or administrative units should be required of the respondent. Post-survey validation of results is conducted by searching for statistical anomalies, comparing with independent data sources, conducting a sample of follow-up verification questionnaires or conducting a sample of on-site verification surveys. Finally, presentation of results must follow the initial stratification</w:t>
      </w:r>
      <w:r>
        <w:rPr>
          <w:spacing w:val="-2"/>
        </w:rPr>
        <w:t> </w:t>
      </w:r>
      <w:r>
        <w:rPr/>
        <w:t>parameters.</w:t>
      </w:r>
    </w:p>
    <w:p>
      <w:pPr>
        <w:spacing w:after="0"/>
        <w:jc w:val="both"/>
        <w:sectPr>
          <w:pgSz w:w="11900" w:h="16840"/>
          <w:pgMar w:header="230" w:footer="408" w:top="920" w:bottom="600" w:left="1300" w:right="1220"/>
        </w:sectPr>
      </w:pPr>
    </w:p>
    <w:p>
      <w:pPr>
        <w:pStyle w:val="BodyText"/>
        <w:spacing w:before="1"/>
        <w:rPr>
          <w:sz w:val="26"/>
        </w:rPr>
      </w:pPr>
    </w:p>
    <w:p>
      <w:pPr>
        <w:pStyle w:val="Heading2"/>
        <w:spacing w:before="86"/>
        <w:ind w:left="119" w:firstLine="0"/>
        <w:jc w:val="both"/>
      </w:pPr>
      <w:r>
        <w:rPr/>
        <w:t>Annex 2A.1 Examples of Approaches in individual countries</w:t>
      </w:r>
    </w:p>
    <w:p>
      <w:pPr>
        <w:pStyle w:val="BodyText"/>
        <w:spacing w:before="8"/>
        <w:rPr>
          <w:b/>
          <w:sz w:val="36"/>
        </w:rPr>
      </w:pPr>
    </w:p>
    <w:p>
      <w:pPr>
        <w:tabs>
          <w:tab w:pos="1537" w:val="left" w:leader="none"/>
        </w:tabs>
        <w:spacing w:before="0"/>
        <w:ind w:left="1559" w:right="1694" w:hanging="1440"/>
        <w:jc w:val="left"/>
        <w:rPr>
          <w:b/>
          <w:sz w:val="32"/>
        </w:rPr>
      </w:pPr>
      <w:r>
        <w:rPr>
          <w:b/>
          <w:sz w:val="32"/>
        </w:rPr>
        <w:t>2A.1.1</w:t>
        <w:tab/>
        <w:t>Use of Existing Resource Inventories by</w:t>
      </w:r>
      <w:r>
        <w:rPr>
          <w:b/>
          <w:spacing w:val="-16"/>
          <w:sz w:val="32"/>
        </w:rPr>
        <w:t> </w:t>
      </w:r>
      <w:r>
        <w:rPr>
          <w:b/>
          <w:sz w:val="32"/>
        </w:rPr>
        <w:t>USA (Approaches 1, 2 and</w:t>
      </w:r>
      <w:r>
        <w:rPr>
          <w:b/>
          <w:spacing w:val="-2"/>
          <w:sz w:val="32"/>
        </w:rPr>
        <w:t> </w:t>
      </w:r>
      <w:r>
        <w:rPr>
          <w:b/>
          <w:sz w:val="32"/>
        </w:rPr>
        <w:t>3)</w:t>
      </w:r>
    </w:p>
    <w:p>
      <w:pPr>
        <w:pStyle w:val="BodyText"/>
        <w:spacing w:before="113"/>
        <w:ind w:left="119" w:right="184"/>
        <w:jc w:val="both"/>
      </w:pPr>
      <w:r>
        <w:rPr/>
        <w:t>In the United States, the National Resources Inventory (NRI) is designed to assess soil, water, and related environmental resources on non-Federal lands (Nusser and Goebel, 1997; Fuller, 1999)</w:t>
      </w:r>
      <w:r>
        <w:rPr>
          <w:vertAlign w:val="superscript"/>
        </w:rPr>
        <w:t>8</w:t>
      </w:r>
      <w:r>
        <w:rPr>
          <w:vertAlign w:val="baseline"/>
        </w:rPr>
        <w:t>. The NRI uses data  from several sources to verify estimates. A Geographic Information System (GIS) for the United States is used to hold the inventory and includes the total surface area, water area, and Federal land. Data from other sources e.g., soils databases and other inventories such as the Forest Inventory and Analysis (FIA), can be linked to the NRI</w:t>
      </w:r>
      <w:r>
        <w:rPr>
          <w:vertAlign w:val="superscript"/>
        </w:rPr>
        <w:t>9</w:t>
      </w:r>
      <w:r>
        <w:rPr>
          <w:vertAlign w:val="baseline"/>
        </w:rPr>
        <w:t>. While sampling techniques for the NRI and FIA are similar, differing objectives require different sampling grids and make the estimates from the two inventory systems statistically independent. The raw sampled data could, however, be used as a basis for Approach</w:t>
      </w:r>
      <w:r>
        <w:rPr>
          <w:spacing w:val="3"/>
          <w:vertAlign w:val="baseline"/>
        </w:rPr>
        <w:t> </w:t>
      </w:r>
      <w:r>
        <w:rPr>
          <w:vertAlign w:val="baseline"/>
        </w:rPr>
        <w:t>3.</w:t>
      </w:r>
    </w:p>
    <w:p>
      <w:pPr>
        <w:pStyle w:val="BodyText"/>
        <w:spacing w:before="118"/>
        <w:ind w:left="119" w:right="185"/>
        <w:jc w:val="both"/>
      </w:pPr>
      <w:r>
        <w:rPr/>
        <w:t>The data (See Table 2A.1.1) are sufficient to provide a land-use change matrix (Approach 2) that illustrates several important land use and land-use change characteristics for the United States. First, comparing the 1997 total to the 1992 total for each of the broad land-use categories depicts the net change in land use. For example, the amount of cropland declined by 2.1 million hectares from 1992 to1997, falling from 154.7 million hectares to</w:t>
      </w:r>
    </w:p>
    <w:p>
      <w:pPr>
        <w:pStyle w:val="BodyText"/>
        <w:ind w:left="119" w:right="182"/>
        <w:jc w:val="both"/>
      </w:pPr>
      <w:r>
        <w:rPr/>
        <w:t>152.6 million hectares, while the amount of non-Federally owned range and forests remained relatively stable. These aspects of land use could also have been seen from an Approach 1 database. In addition, the total area of the United States remains fixed from 1992 to 1997 at almost 800 million hectares, and thus any area increases in a one land-use category must be offset by area declines in other categories as could have been provided in an Approach 2 structure.</w:t>
      </w:r>
    </w:p>
    <w:p>
      <w:pPr>
        <w:pStyle w:val="BodyText"/>
        <w:spacing w:before="119"/>
        <w:ind w:left="119" w:right="184"/>
        <w:jc w:val="both"/>
      </w:pPr>
      <w:r>
        <w:rPr/>
        <w:t>However, the data can also describe land-use change dynamics using its Approach 2 structure. The diagonal and off-diagonal elements in Table 2A.1.1 show how much land has remained in a land category and how much land has changed use respectively. Comprehensive measures of changes in land use (the off-diagonal elements) can be extremely important for carbon estimation and reporting. For example, the total amount of non-Federal forest land remained relatively stable from 1992 to1997, increasing by about 400 000 hectares. However, the land-use change</w:t>
      </w:r>
      <w:r>
        <w:rPr>
          <w:spacing w:val="12"/>
        </w:rPr>
        <w:t> </w:t>
      </w:r>
      <w:r>
        <w:rPr/>
        <w:t>elements</w:t>
      </w:r>
      <w:r>
        <w:rPr>
          <w:spacing w:val="14"/>
        </w:rPr>
        <w:t> </w:t>
      </w:r>
      <w:r>
        <w:rPr/>
        <w:t>show</w:t>
      </w:r>
      <w:r>
        <w:rPr>
          <w:spacing w:val="10"/>
        </w:rPr>
        <w:t> </w:t>
      </w:r>
      <w:r>
        <w:rPr/>
        <w:t>that</w:t>
      </w:r>
      <w:r>
        <w:rPr>
          <w:spacing w:val="11"/>
        </w:rPr>
        <w:t> </w:t>
      </w:r>
      <w:r>
        <w:rPr/>
        <w:t>1.9</w:t>
      </w:r>
      <w:r>
        <w:rPr>
          <w:spacing w:val="16"/>
        </w:rPr>
        <w:t> </w:t>
      </w:r>
      <w:r>
        <w:rPr/>
        <w:t>million</w:t>
      </w:r>
      <w:r>
        <w:rPr>
          <w:spacing w:val="14"/>
        </w:rPr>
        <w:t> </w:t>
      </w:r>
      <w:r>
        <w:rPr/>
        <w:t>hectares</w:t>
      </w:r>
      <w:r>
        <w:rPr>
          <w:spacing w:val="11"/>
        </w:rPr>
        <w:t> </w:t>
      </w:r>
      <w:r>
        <w:rPr/>
        <w:t>of</w:t>
      </w:r>
      <w:r>
        <w:rPr>
          <w:spacing w:val="13"/>
        </w:rPr>
        <w:t> </w:t>
      </w:r>
      <w:r>
        <w:rPr/>
        <w:t>non-Federal</w:t>
      </w:r>
      <w:r>
        <w:rPr>
          <w:spacing w:val="12"/>
        </w:rPr>
        <w:t> </w:t>
      </w:r>
      <w:r>
        <w:rPr/>
        <w:t>forest</w:t>
      </w:r>
      <w:r>
        <w:rPr>
          <w:spacing w:val="11"/>
        </w:rPr>
        <w:t> </w:t>
      </w:r>
      <w:r>
        <w:rPr/>
        <w:t>land</w:t>
      </w:r>
      <w:r>
        <w:rPr>
          <w:spacing w:val="16"/>
        </w:rPr>
        <w:t> </w:t>
      </w:r>
      <w:r>
        <w:rPr/>
        <w:t>were</w:t>
      </w:r>
      <w:r>
        <w:rPr>
          <w:spacing w:val="12"/>
        </w:rPr>
        <w:t> </w:t>
      </w:r>
      <w:r>
        <w:rPr/>
        <w:t>converted</w:t>
      </w:r>
      <w:r>
        <w:rPr>
          <w:spacing w:val="13"/>
        </w:rPr>
        <w:t> </w:t>
      </w:r>
      <w:r>
        <w:rPr/>
        <w:t>to</w:t>
      </w:r>
      <w:r>
        <w:rPr>
          <w:spacing w:val="14"/>
        </w:rPr>
        <w:t> </w:t>
      </w:r>
      <w:r>
        <w:rPr/>
        <w:t>settlements</w:t>
      </w:r>
      <w:r>
        <w:rPr>
          <w:spacing w:val="15"/>
        </w:rPr>
        <w:t> </w:t>
      </w:r>
      <w:r>
        <w:rPr/>
        <w:t>while</w:t>
      </w:r>
    </w:p>
    <w:p>
      <w:pPr>
        <w:pStyle w:val="BodyText"/>
        <w:ind w:left="119" w:right="183"/>
        <w:jc w:val="both"/>
      </w:pPr>
      <w:r>
        <w:rPr/>
        <w:pict>
          <v:line style="position:absolute;mso-position-horizontal-relative:page;mso-position-vertical-relative:paragraph;z-index:-2452408" from="71.200996pt,69.579048pt" to="166.000996pt,96.219048pt" stroked="true" strokeweight=".48pt" strokecolor="#000000">
            <v:stroke dashstyle="solid"/>
            <w10:wrap type="none"/>
          </v:line>
        </w:pict>
      </w:r>
      <w:r>
        <w:rPr/>
        <w:t>2.5 million hectares of pastureland were converted to forest land. Therefore, inferring small changes in carbon stock based on small changes in overall land use could be incorrect if the individual land-use dynamics (e.g., Forest land to settlements and pastureland to forests) are relatively large.</w:t>
      </w:r>
    </w:p>
    <w:p>
      <w:pPr>
        <w:pStyle w:val="BodyText"/>
        <w:spacing w:before="11"/>
        <w:rPr>
          <w:sz w:val="10"/>
        </w:rPr>
      </w:pPr>
    </w:p>
    <w:tbl>
      <w:tblPr>
        <w:tblW w:w="0" w:type="auto"/>
        <w:jc w:val="left"/>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6"/>
        <w:gridCol w:w="646"/>
        <w:gridCol w:w="653"/>
        <w:gridCol w:w="912"/>
        <w:gridCol w:w="816"/>
        <w:gridCol w:w="828"/>
        <w:gridCol w:w="780"/>
        <w:gridCol w:w="818"/>
        <w:gridCol w:w="993"/>
        <w:gridCol w:w="719"/>
      </w:tblGrid>
      <w:tr>
        <w:trPr>
          <w:trHeight w:val="532" w:hRule="atLeast"/>
        </w:trPr>
        <w:tc>
          <w:tcPr>
            <w:tcW w:w="9071" w:type="dxa"/>
            <w:gridSpan w:val="10"/>
            <w:tcBorders>
              <w:bottom w:val="double" w:sz="1" w:space="0" w:color="000000"/>
            </w:tcBorders>
          </w:tcPr>
          <w:p>
            <w:pPr>
              <w:pStyle w:val="TableParagraph"/>
              <w:spacing w:line="207" w:lineRule="exact" w:before="59"/>
              <w:ind w:left="2597" w:right="2590"/>
              <w:jc w:val="center"/>
              <w:rPr>
                <w:b/>
                <w:sz w:val="18"/>
              </w:rPr>
            </w:pPr>
            <w:r>
              <w:rPr>
                <w:b/>
                <w:sz w:val="18"/>
              </w:rPr>
              <w:t>T</w:t>
            </w:r>
            <w:r>
              <w:rPr>
                <w:b/>
                <w:sz w:val="14"/>
              </w:rPr>
              <w:t>ABLE </w:t>
            </w:r>
            <w:r>
              <w:rPr>
                <w:b/>
                <w:sz w:val="18"/>
              </w:rPr>
              <w:t>2A.1.1</w:t>
            </w:r>
          </w:p>
          <w:p>
            <w:pPr>
              <w:pStyle w:val="TableParagraph"/>
              <w:spacing w:line="207" w:lineRule="exact"/>
              <w:ind w:left="2597" w:right="2592"/>
              <w:jc w:val="center"/>
              <w:rPr>
                <w:b/>
                <w:sz w:val="14"/>
              </w:rPr>
            </w:pPr>
            <w:r>
              <w:rPr>
                <w:b/>
                <w:sz w:val="18"/>
              </w:rPr>
              <w:t>L</w:t>
            </w:r>
            <w:r>
              <w:rPr>
                <w:b/>
                <w:sz w:val="14"/>
              </w:rPr>
              <w:t>AND </w:t>
            </w:r>
            <w:r>
              <w:rPr>
                <w:b/>
                <w:sz w:val="18"/>
              </w:rPr>
              <w:t>U</w:t>
            </w:r>
            <w:r>
              <w:rPr>
                <w:b/>
                <w:sz w:val="14"/>
              </w:rPr>
              <w:t>SE AND </w:t>
            </w:r>
            <w:r>
              <w:rPr>
                <w:b/>
                <w:sz w:val="18"/>
              </w:rPr>
              <w:t>L</w:t>
            </w:r>
            <w:r>
              <w:rPr>
                <w:b/>
                <w:sz w:val="14"/>
              </w:rPr>
              <w:t>AND</w:t>
            </w:r>
            <w:r>
              <w:rPr>
                <w:b/>
                <w:sz w:val="18"/>
              </w:rPr>
              <w:t>-U</w:t>
            </w:r>
            <w:r>
              <w:rPr>
                <w:b/>
                <w:sz w:val="14"/>
              </w:rPr>
              <w:t>SE CHANGE MATRIX FOR USA</w:t>
            </w:r>
          </w:p>
        </w:tc>
      </w:tr>
      <w:tr>
        <w:trPr>
          <w:trHeight w:val="534" w:hRule="atLeast"/>
        </w:trPr>
        <w:tc>
          <w:tcPr>
            <w:tcW w:w="1906" w:type="dxa"/>
            <w:tcBorders>
              <w:top w:val="double" w:sz="1" w:space="0" w:color="000000"/>
            </w:tcBorders>
          </w:tcPr>
          <w:p>
            <w:pPr>
              <w:pStyle w:val="TableParagraph"/>
              <w:spacing w:line="207" w:lineRule="exact" w:before="61"/>
              <w:ind w:left="1226"/>
              <w:rPr>
                <w:b/>
                <w:sz w:val="18"/>
              </w:rPr>
            </w:pPr>
            <w:r>
              <w:rPr>
                <w:b/>
                <w:sz w:val="18"/>
              </w:rPr>
              <w:t>Final</w:t>
            </w:r>
          </w:p>
          <w:p>
            <w:pPr>
              <w:pStyle w:val="TableParagraph"/>
              <w:spacing w:line="207" w:lineRule="exact"/>
              <w:ind w:left="54"/>
              <w:rPr>
                <w:b/>
                <w:sz w:val="18"/>
              </w:rPr>
            </w:pPr>
            <w:r>
              <w:rPr>
                <w:b/>
                <w:sz w:val="18"/>
              </w:rPr>
              <w:t>Initial</w:t>
            </w:r>
          </w:p>
        </w:tc>
        <w:tc>
          <w:tcPr>
            <w:tcW w:w="646" w:type="dxa"/>
            <w:tcBorders>
              <w:top w:val="double" w:sz="1" w:space="0" w:color="000000"/>
            </w:tcBorders>
          </w:tcPr>
          <w:p>
            <w:pPr>
              <w:pStyle w:val="TableParagraph"/>
              <w:spacing w:before="165"/>
              <w:ind w:left="98" w:right="91"/>
              <w:jc w:val="center"/>
              <w:rPr>
                <w:b/>
                <w:sz w:val="18"/>
              </w:rPr>
            </w:pPr>
            <w:r>
              <w:rPr>
                <w:b/>
                <w:sz w:val="18"/>
              </w:rPr>
              <w:t>Crop</w:t>
            </w:r>
          </w:p>
        </w:tc>
        <w:tc>
          <w:tcPr>
            <w:tcW w:w="653" w:type="dxa"/>
            <w:tcBorders>
              <w:top w:val="double" w:sz="1" w:space="0" w:color="000000"/>
            </w:tcBorders>
          </w:tcPr>
          <w:p>
            <w:pPr>
              <w:pStyle w:val="TableParagraph"/>
              <w:spacing w:before="165"/>
              <w:ind w:right="133"/>
              <w:jc w:val="right"/>
              <w:rPr>
                <w:b/>
                <w:sz w:val="18"/>
              </w:rPr>
            </w:pPr>
            <w:r>
              <w:rPr>
                <w:b/>
                <w:sz w:val="18"/>
              </w:rPr>
              <w:t>CRP</w:t>
            </w:r>
          </w:p>
        </w:tc>
        <w:tc>
          <w:tcPr>
            <w:tcW w:w="912" w:type="dxa"/>
            <w:tcBorders>
              <w:top w:val="double" w:sz="1" w:space="0" w:color="000000"/>
            </w:tcBorders>
          </w:tcPr>
          <w:p>
            <w:pPr>
              <w:pStyle w:val="TableParagraph"/>
              <w:spacing w:before="165"/>
              <w:ind w:left="138" w:right="134"/>
              <w:jc w:val="center"/>
              <w:rPr>
                <w:b/>
                <w:sz w:val="18"/>
              </w:rPr>
            </w:pPr>
            <w:r>
              <w:rPr>
                <w:b/>
                <w:sz w:val="18"/>
              </w:rPr>
              <w:t>Pasture</w:t>
            </w:r>
          </w:p>
        </w:tc>
        <w:tc>
          <w:tcPr>
            <w:tcW w:w="816" w:type="dxa"/>
            <w:tcBorders>
              <w:top w:val="double" w:sz="1" w:space="0" w:color="000000"/>
            </w:tcBorders>
          </w:tcPr>
          <w:p>
            <w:pPr>
              <w:pStyle w:val="TableParagraph"/>
              <w:spacing w:before="61"/>
              <w:ind w:left="224" w:right="135" w:hanging="63"/>
              <w:rPr>
                <w:b/>
                <w:sz w:val="18"/>
              </w:rPr>
            </w:pPr>
            <w:r>
              <w:rPr>
                <w:b/>
                <w:sz w:val="18"/>
              </w:rPr>
              <w:t>Range (NF)</w:t>
            </w:r>
          </w:p>
        </w:tc>
        <w:tc>
          <w:tcPr>
            <w:tcW w:w="828" w:type="dxa"/>
            <w:tcBorders>
              <w:top w:val="double" w:sz="1" w:space="0" w:color="000000"/>
            </w:tcBorders>
          </w:tcPr>
          <w:p>
            <w:pPr>
              <w:pStyle w:val="TableParagraph"/>
              <w:spacing w:before="61"/>
              <w:ind w:left="231" w:right="142" w:hanging="65"/>
              <w:rPr>
                <w:b/>
                <w:sz w:val="18"/>
              </w:rPr>
            </w:pPr>
            <w:r>
              <w:rPr>
                <w:b/>
                <w:sz w:val="18"/>
              </w:rPr>
              <w:t>Forest (NF)</w:t>
            </w:r>
          </w:p>
        </w:tc>
        <w:tc>
          <w:tcPr>
            <w:tcW w:w="780" w:type="dxa"/>
            <w:tcBorders>
              <w:top w:val="double" w:sz="1" w:space="0" w:color="000000"/>
            </w:tcBorders>
          </w:tcPr>
          <w:p>
            <w:pPr>
              <w:pStyle w:val="TableParagraph"/>
              <w:spacing w:before="61"/>
              <w:ind w:left="164" w:right="131" w:hanging="5"/>
              <w:rPr>
                <w:b/>
                <w:sz w:val="18"/>
              </w:rPr>
            </w:pPr>
            <w:r>
              <w:rPr>
                <w:b/>
                <w:sz w:val="18"/>
              </w:rPr>
              <w:t>Other Rural</w:t>
            </w:r>
          </w:p>
        </w:tc>
        <w:tc>
          <w:tcPr>
            <w:tcW w:w="818" w:type="dxa"/>
            <w:tcBorders>
              <w:top w:val="double" w:sz="1" w:space="0" w:color="000000"/>
            </w:tcBorders>
          </w:tcPr>
          <w:p>
            <w:pPr>
              <w:pStyle w:val="TableParagraph"/>
              <w:spacing w:before="61"/>
              <w:ind w:left="178" w:right="135" w:hanging="15"/>
              <w:rPr>
                <w:b/>
                <w:sz w:val="18"/>
              </w:rPr>
            </w:pPr>
            <w:r>
              <w:rPr>
                <w:b/>
                <w:sz w:val="18"/>
              </w:rPr>
              <w:t>Settle- ments</w:t>
            </w:r>
          </w:p>
        </w:tc>
        <w:tc>
          <w:tcPr>
            <w:tcW w:w="993" w:type="dxa"/>
            <w:tcBorders>
              <w:top w:val="double" w:sz="1" w:space="0" w:color="000000"/>
            </w:tcBorders>
          </w:tcPr>
          <w:p>
            <w:pPr>
              <w:pStyle w:val="TableParagraph"/>
              <w:spacing w:before="61"/>
              <w:ind w:left="200" w:right="56" w:hanging="118"/>
              <w:rPr>
                <w:b/>
                <w:sz w:val="18"/>
              </w:rPr>
            </w:pPr>
            <w:r>
              <w:rPr>
                <w:b/>
                <w:sz w:val="18"/>
              </w:rPr>
              <w:t>Water and Federal</w:t>
            </w:r>
          </w:p>
        </w:tc>
        <w:tc>
          <w:tcPr>
            <w:tcW w:w="719" w:type="dxa"/>
            <w:tcBorders>
              <w:top w:val="double" w:sz="1" w:space="0" w:color="000000"/>
            </w:tcBorders>
          </w:tcPr>
          <w:p>
            <w:pPr>
              <w:pStyle w:val="TableParagraph"/>
              <w:spacing w:line="207" w:lineRule="exact" w:before="61"/>
              <w:ind w:left="177"/>
              <w:rPr>
                <w:b/>
                <w:sz w:val="18"/>
              </w:rPr>
            </w:pPr>
            <w:r>
              <w:rPr>
                <w:b/>
                <w:sz w:val="18"/>
              </w:rPr>
              <w:t>1997</w:t>
            </w:r>
          </w:p>
          <w:p>
            <w:pPr>
              <w:pStyle w:val="TableParagraph"/>
              <w:spacing w:line="207" w:lineRule="exact"/>
              <w:ind w:left="153"/>
              <w:rPr>
                <w:b/>
                <w:sz w:val="18"/>
              </w:rPr>
            </w:pPr>
            <w:r>
              <w:rPr>
                <w:b/>
                <w:sz w:val="18"/>
              </w:rPr>
              <w:t>Total</w:t>
            </w:r>
          </w:p>
        </w:tc>
      </w:tr>
      <w:tr>
        <w:trPr>
          <w:trHeight w:val="273" w:hRule="atLeast"/>
        </w:trPr>
        <w:tc>
          <w:tcPr>
            <w:tcW w:w="1906" w:type="dxa"/>
          </w:tcPr>
          <w:p>
            <w:pPr>
              <w:pStyle w:val="TableParagraph"/>
              <w:spacing w:before="28"/>
              <w:ind w:left="54"/>
              <w:rPr>
                <w:sz w:val="18"/>
              </w:rPr>
            </w:pPr>
            <w:r>
              <w:rPr>
                <w:sz w:val="18"/>
              </w:rPr>
              <w:t>Crop</w:t>
            </w:r>
          </w:p>
        </w:tc>
        <w:tc>
          <w:tcPr>
            <w:tcW w:w="646" w:type="dxa"/>
          </w:tcPr>
          <w:p>
            <w:pPr>
              <w:pStyle w:val="TableParagraph"/>
              <w:spacing w:before="28"/>
              <w:ind w:left="97" w:right="92"/>
              <w:jc w:val="center"/>
              <w:rPr>
                <w:sz w:val="18"/>
              </w:rPr>
            </w:pPr>
            <w:r>
              <w:rPr>
                <w:sz w:val="18"/>
              </w:rPr>
              <w:t>146.8</w:t>
            </w:r>
          </w:p>
        </w:tc>
        <w:tc>
          <w:tcPr>
            <w:tcW w:w="653" w:type="dxa"/>
          </w:tcPr>
          <w:p>
            <w:pPr>
              <w:pStyle w:val="TableParagraph"/>
              <w:spacing w:before="28"/>
              <w:ind w:right="202"/>
              <w:jc w:val="right"/>
              <w:rPr>
                <w:sz w:val="18"/>
              </w:rPr>
            </w:pPr>
            <w:r>
              <w:rPr>
                <w:sz w:val="18"/>
              </w:rPr>
              <w:t>0.9</w:t>
            </w:r>
          </w:p>
        </w:tc>
        <w:tc>
          <w:tcPr>
            <w:tcW w:w="912" w:type="dxa"/>
          </w:tcPr>
          <w:p>
            <w:pPr>
              <w:pStyle w:val="TableParagraph"/>
              <w:spacing w:before="28"/>
              <w:ind w:left="138" w:right="133"/>
              <w:jc w:val="center"/>
              <w:rPr>
                <w:sz w:val="18"/>
              </w:rPr>
            </w:pPr>
            <w:r>
              <w:rPr>
                <w:sz w:val="18"/>
              </w:rPr>
              <w:t>3.5</w:t>
            </w:r>
          </w:p>
        </w:tc>
        <w:tc>
          <w:tcPr>
            <w:tcW w:w="816" w:type="dxa"/>
          </w:tcPr>
          <w:p>
            <w:pPr>
              <w:pStyle w:val="TableParagraph"/>
              <w:spacing w:before="28"/>
              <w:ind w:left="182" w:right="176"/>
              <w:jc w:val="center"/>
              <w:rPr>
                <w:sz w:val="18"/>
              </w:rPr>
            </w:pPr>
            <w:r>
              <w:rPr>
                <w:sz w:val="18"/>
              </w:rPr>
              <w:t>0.8</w:t>
            </w:r>
          </w:p>
        </w:tc>
        <w:tc>
          <w:tcPr>
            <w:tcW w:w="828" w:type="dxa"/>
          </w:tcPr>
          <w:p>
            <w:pPr>
              <w:pStyle w:val="TableParagraph"/>
              <w:spacing w:before="28"/>
              <w:ind w:left="188" w:right="184"/>
              <w:jc w:val="center"/>
              <w:rPr>
                <w:sz w:val="18"/>
              </w:rPr>
            </w:pPr>
            <w:r>
              <w:rPr>
                <w:sz w:val="18"/>
              </w:rPr>
              <w:t>0.3</w:t>
            </w:r>
          </w:p>
        </w:tc>
        <w:tc>
          <w:tcPr>
            <w:tcW w:w="780" w:type="dxa"/>
          </w:tcPr>
          <w:p>
            <w:pPr>
              <w:pStyle w:val="TableParagraph"/>
              <w:spacing w:before="28"/>
              <w:ind w:left="211" w:right="202"/>
              <w:jc w:val="center"/>
              <w:rPr>
                <w:sz w:val="18"/>
              </w:rPr>
            </w:pPr>
            <w:r>
              <w:rPr>
                <w:sz w:val="18"/>
              </w:rPr>
              <w:t>0.3</w:t>
            </w:r>
          </w:p>
        </w:tc>
        <w:tc>
          <w:tcPr>
            <w:tcW w:w="818" w:type="dxa"/>
          </w:tcPr>
          <w:p>
            <w:pPr>
              <w:pStyle w:val="TableParagraph"/>
              <w:spacing w:before="28"/>
              <w:ind w:left="231" w:right="219"/>
              <w:jc w:val="center"/>
              <w:rPr>
                <w:sz w:val="18"/>
              </w:rPr>
            </w:pPr>
            <w:r>
              <w:rPr>
                <w:sz w:val="18"/>
              </w:rPr>
              <w:t>--</w:t>
            </w:r>
          </w:p>
        </w:tc>
        <w:tc>
          <w:tcPr>
            <w:tcW w:w="993" w:type="dxa"/>
          </w:tcPr>
          <w:p>
            <w:pPr>
              <w:pStyle w:val="TableParagraph"/>
              <w:spacing w:before="28"/>
              <w:ind w:left="219" w:right="213"/>
              <w:jc w:val="center"/>
              <w:rPr>
                <w:sz w:val="18"/>
              </w:rPr>
            </w:pPr>
            <w:r>
              <w:rPr>
                <w:sz w:val="18"/>
              </w:rPr>
              <w:t>--</w:t>
            </w:r>
          </w:p>
        </w:tc>
        <w:tc>
          <w:tcPr>
            <w:tcW w:w="719" w:type="dxa"/>
          </w:tcPr>
          <w:p>
            <w:pPr>
              <w:pStyle w:val="TableParagraph"/>
              <w:spacing w:before="28"/>
              <w:ind w:left="134" w:right="127"/>
              <w:jc w:val="center"/>
              <w:rPr>
                <w:sz w:val="18"/>
              </w:rPr>
            </w:pPr>
            <w:r>
              <w:rPr>
                <w:sz w:val="18"/>
              </w:rPr>
              <w:t>152.6</w:t>
            </w:r>
          </w:p>
        </w:tc>
      </w:tr>
      <w:tr>
        <w:trPr>
          <w:trHeight w:val="275" w:hRule="atLeast"/>
        </w:trPr>
        <w:tc>
          <w:tcPr>
            <w:tcW w:w="1906" w:type="dxa"/>
          </w:tcPr>
          <w:p>
            <w:pPr>
              <w:pStyle w:val="TableParagraph"/>
              <w:spacing w:before="28"/>
              <w:ind w:left="54"/>
              <w:rPr>
                <w:sz w:val="18"/>
              </w:rPr>
            </w:pPr>
            <w:r>
              <w:rPr>
                <w:sz w:val="18"/>
              </w:rPr>
              <w:t>CRP</w:t>
            </w:r>
          </w:p>
        </w:tc>
        <w:tc>
          <w:tcPr>
            <w:tcW w:w="646" w:type="dxa"/>
          </w:tcPr>
          <w:p>
            <w:pPr>
              <w:pStyle w:val="TableParagraph"/>
              <w:spacing w:before="28"/>
              <w:ind w:left="94" w:right="92"/>
              <w:jc w:val="center"/>
              <w:rPr>
                <w:sz w:val="18"/>
              </w:rPr>
            </w:pPr>
            <w:r>
              <w:rPr>
                <w:sz w:val="18"/>
              </w:rPr>
              <w:t>0.8</w:t>
            </w:r>
          </w:p>
        </w:tc>
        <w:tc>
          <w:tcPr>
            <w:tcW w:w="653" w:type="dxa"/>
          </w:tcPr>
          <w:p>
            <w:pPr>
              <w:pStyle w:val="TableParagraph"/>
              <w:spacing w:before="28"/>
              <w:ind w:right="160"/>
              <w:jc w:val="right"/>
              <w:rPr>
                <w:sz w:val="18"/>
              </w:rPr>
            </w:pPr>
            <w:r>
              <w:rPr>
                <w:sz w:val="18"/>
              </w:rPr>
              <w:t>12.3</w:t>
            </w:r>
          </w:p>
        </w:tc>
        <w:tc>
          <w:tcPr>
            <w:tcW w:w="912" w:type="dxa"/>
          </w:tcPr>
          <w:p>
            <w:pPr>
              <w:pStyle w:val="TableParagraph"/>
              <w:spacing w:before="28"/>
              <w:ind w:left="138" w:right="131"/>
              <w:jc w:val="center"/>
              <w:rPr>
                <w:sz w:val="18"/>
              </w:rPr>
            </w:pPr>
            <w:r>
              <w:rPr>
                <w:sz w:val="18"/>
              </w:rPr>
              <w:t>--</w:t>
            </w:r>
          </w:p>
        </w:tc>
        <w:tc>
          <w:tcPr>
            <w:tcW w:w="816" w:type="dxa"/>
          </w:tcPr>
          <w:p>
            <w:pPr>
              <w:pStyle w:val="TableParagraph"/>
              <w:spacing w:before="28"/>
              <w:ind w:left="182" w:right="179"/>
              <w:jc w:val="center"/>
              <w:rPr>
                <w:sz w:val="18"/>
              </w:rPr>
            </w:pPr>
            <w:r>
              <w:rPr>
                <w:sz w:val="18"/>
              </w:rPr>
              <w:t>--</w:t>
            </w:r>
          </w:p>
        </w:tc>
        <w:tc>
          <w:tcPr>
            <w:tcW w:w="828" w:type="dxa"/>
          </w:tcPr>
          <w:p>
            <w:pPr>
              <w:pStyle w:val="TableParagraph"/>
              <w:spacing w:before="28"/>
              <w:ind w:left="189" w:right="184"/>
              <w:jc w:val="center"/>
              <w:rPr>
                <w:sz w:val="18"/>
              </w:rPr>
            </w:pPr>
            <w:r>
              <w:rPr>
                <w:sz w:val="18"/>
              </w:rPr>
              <w:t>--</w:t>
            </w:r>
          </w:p>
        </w:tc>
        <w:tc>
          <w:tcPr>
            <w:tcW w:w="780" w:type="dxa"/>
          </w:tcPr>
          <w:p>
            <w:pPr>
              <w:pStyle w:val="TableParagraph"/>
              <w:spacing w:before="28"/>
              <w:ind w:left="212" w:right="202"/>
              <w:jc w:val="center"/>
              <w:rPr>
                <w:sz w:val="18"/>
              </w:rPr>
            </w:pPr>
            <w:r>
              <w:rPr>
                <w:sz w:val="18"/>
              </w:rPr>
              <w:t>--</w:t>
            </w:r>
          </w:p>
        </w:tc>
        <w:tc>
          <w:tcPr>
            <w:tcW w:w="818" w:type="dxa"/>
          </w:tcPr>
          <w:p>
            <w:pPr>
              <w:pStyle w:val="TableParagraph"/>
              <w:spacing w:before="28"/>
              <w:ind w:left="231" w:right="221"/>
              <w:jc w:val="center"/>
              <w:rPr>
                <w:sz w:val="18"/>
              </w:rPr>
            </w:pPr>
            <w:r>
              <w:rPr>
                <w:sz w:val="18"/>
              </w:rPr>
              <w:t>--</w:t>
            </w:r>
          </w:p>
        </w:tc>
        <w:tc>
          <w:tcPr>
            <w:tcW w:w="993" w:type="dxa"/>
          </w:tcPr>
          <w:p>
            <w:pPr>
              <w:pStyle w:val="TableParagraph"/>
              <w:spacing w:before="28"/>
              <w:ind w:left="217" w:right="213"/>
              <w:jc w:val="center"/>
              <w:rPr>
                <w:sz w:val="18"/>
              </w:rPr>
            </w:pPr>
            <w:r>
              <w:rPr>
                <w:sz w:val="18"/>
              </w:rPr>
              <w:t>--</w:t>
            </w:r>
          </w:p>
        </w:tc>
        <w:tc>
          <w:tcPr>
            <w:tcW w:w="719" w:type="dxa"/>
          </w:tcPr>
          <w:p>
            <w:pPr>
              <w:pStyle w:val="TableParagraph"/>
              <w:spacing w:before="28"/>
              <w:ind w:left="132" w:right="128"/>
              <w:jc w:val="center"/>
              <w:rPr>
                <w:sz w:val="18"/>
              </w:rPr>
            </w:pPr>
            <w:r>
              <w:rPr>
                <w:sz w:val="18"/>
              </w:rPr>
              <w:t>13.2</w:t>
            </w:r>
          </w:p>
        </w:tc>
      </w:tr>
      <w:tr>
        <w:trPr>
          <w:trHeight w:val="273" w:hRule="atLeast"/>
        </w:trPr>
        <w:tc>
          <w:tcPr>
            <w:tcW w:w="1906" w:type="dxa"/>
          </w:tcPr>
          <w:p>
            <w:pPr>
              <w:pStyle w:val="TableParagraph"/>
              <w:spacing w:before="28"/>
              <w:ind w:left="54"/>
              <w:rPr>
                <w:sz w:val="18"/>
              </w:rPr>
            </w:pPr>
            <w:r>
              <w:rPr>
                <w:sz w:val="18"/>
              </w:rPr>
              <w:t>Pasture</w:t>
            </w:r>
          </w:p>
        </w:tc>
        <w:tc>
          <w:tcPr>
            <w:tcW w:w="646" w:type="dxa"/>
          </w:tcPr>
          <w:p>
            <w:pPr>
              <w:pStyle w:val="TableParagraph"/>
              <w:spacing w:before="28"/>
              <w:ind w:left="95" w:right="92"/>
              <w:jc w:val="center"/>
              <w:rPr>
                <w:sz w:val="18"/>
              </w:rPr>
            </w:pPr>
            <w:r>
              <w:rPr>
                <w:sz w:val="18"/>
              </w:rPr>
              <w:t>3.7</w:t>
            </w:r>
          </w:p>
        </w:tc>
        <w:tc>
          <w:tcPr>
            <w:tcW w:w="653" w:type="dxa"/>
          </w:tcPr>
          <w:p>
            <w:pPr>
              <w:pStyle w:val="TableParagraph"/>
              <w:spacing w:before="28"/>
              <w:ind w:right="202"/>
              <w:jc w:val="right"/>
              <w:rPr>
                <w:sz w:val="18"/>
              </w:rPr>
            </w:pPr>
            <w:r>
              <w:rPr>
                <w:sz w:val="18"/>
              </w:rPr>
              <w:t>0.3</w:t>
            </w:r>
          </w:p>
        </w:tc>
        <w:tc>
          <w:tcPr>
            <w:tcW w:w="912" w:type="dxa"/>
          </w:tcPr>
          <w:p>
            <w:pPr>
              <w:pStyle w:val="TableParagraph"/>
              <w:spacing w:before="28"/>
              <w:ind w:left="138" w:right="131"/>
              <w:jc w:val="center"/>
              <w:rPr>
                <w:sz w:val="18"/>
              </w:rPr>
            </w:pPr>
            <w:r>
              <w:rPr>
                <w:sz w:val="18"/>
              </w:rPr>
              <w:t>43.2</w:t>
            </w:r>
          </w:p>
        </w:tc>
        <w:tc>
          <w:tcPr>
            <w:tcW w:w="816" w:type="dxa"/>
          </w:tcPr>
          <w:p>
            <w:pPr>
              <w:pStyle w:val="TableParagraph"/>
              <w:spacing w:before="28"/>
              <w:ind w:left="182" w:right="176"/>
              <w:jc w:val="center"/>
              <w:rPr>
                <w:sz w:val="18"/>
              </w:rPr>
            </w:pPr>
            <w:r>
              <w:rPr>
                <w:sz w:val="18"/>
              </w:rPr>
              <w:t>0.3</w:t>
            </w:r>
          </w:p>
        </w:tc>
        <w:tc>
          <w:tcPr>
            <w:tcW w:w="828" w:type="dxa"/>
          </w:tcPr>
          <w:p>
            <w:pPr>
              <w:pStyle w:val="TableParagraph"/>
              <w:spacing w:before="28"/>
              <w:ind w:left="188" w:right="184"/>
              <w:jc w:val="center"/>
              <w:rPr>
                <w:sz w:val="18"/>
              </w:rPr>
            </w:pPr>
            <w:r>
              <w:rPr>
                <w:sz w:val="18"/>
              </w:rPr>
              <w:t>0.8</w:t>
            </w:r>
          </w:p>
        </w:tc>
        <w:tc>
          <w:tcPr>
            <w:tcW w:w="780" w:type="dxa"/>
          </w:tcPr>
          <w:p>
            <w:pPr>
              <w:pStyle w:val="TableParagraph"/>
              <w:spacing w:before="28"/>
              <w:ind w:left="212" w:right="202"/>
              <w:jc w:val="center"/>
              <w:rPr>
                <w:sz w:val="18"/>
              </w:rPr>
            </w:pPr>
            <w:r>
              <w:rPr>
                <w:sz w:val="18"/>
              </w:rPr>
              <w:t>0.3</w:t>
            </w:r>
          </w:p>
        </w:tc>
        <w:tc>
          <w:tcPr>
            <w:tcW w:w="818" w:type="dxa"/>
          </w:tcPr>
          <w:p>
            <w:pPr>
              <w:pStyle w:val="TableParagraph"/>
              <w:spacing w:before="28"/>
              <w:ind w:left="231" w:right="218"/>
              <w:jc w:val="center"/>
              <w:rPr>
                <w:sz w:val="18"/>
              </w:rPr>
            </w:pPr>
            <w:r>
              <w:rPr>
                <w:sz w:val="18"/>
              </w:rPr>
              <w:t>--</w:t>
            </w:r>
          </w:p>
        </w:tc>
        <w:tc>
          <w:tcPr>
            <w:tcW w:w="993" w:type="dxa"/>
          </w:tcPr>
          <w:p>
            <w:pPr>
              <w:pStyle w:val="TableParagraph"/>
              <w:spacing w:before="28"/>
              <w:ind w:left="220" w:right="213"/>
              <w:jc w:val="center"/>
              <w:rPr>
                <w:sz w:val="18"/>
              </w:rPr>
            </w:pPr>
            <w:r>
              <w:rPr>
                <w:sz w:val="18"/>
              </w:rPr>
              <w:t>--</w:t>
            </w:r>
          </w:p>
        </w:tc>
        <w:tc>
          <w:tcPr>
            <w:tcW w:w="719" w:type="dxa"/>
          </w:tcPr>
          <w:p>
            <w:pPr>
              <w:pStyle w:val="TableParagraph"/>
              <w:spacing w:before="28"/>
              <w:ind w:left="134" w:right="127"/>
              <w:jc w:val="center"/>
              <w:rPr>
                <w:sz w:val="18"/>
              </w:rPr>
            </w:pPr>
            <w:r>
              <w:rPr>
                <w:sz w:val="18"/>
              </w:rPr>
              <w:t>48.6</w:t>
            </w:r>
          </w:p>
        </w:tc>
      </w:tr>
      <w:tr>
        <w:trPr>
          <w:trHeight w:val="273" w:hRule="atLeast"/>
        </w:trPr>
        <w:tc>
          <w:tcPr>
            <w:tcW w:w="1906" w:type="dxa"/>
          </w:tcPr>
          <w:p>
            <w:pPr>
              <w:pStyle w:val="TableParagraph"/>
              <w:spacing w:before="28"/>
              <w:ind w:left="54"/>
              <w:rPr>
                <w:sz w:val="18"/>
              </w:rPr>
            </w:pPr>
            <w:r>
              <w:rPr>
                <w:sz w:val="18"/>
              </w:rPr>
              <w:t>Range (NF)</w:t>
            </w:r>
          </w:p>
        </w:tc>
        <w:tc>
          <w:tcPr>
            <w:tcW w:w="646" w:type="dxa"/>
          </w:tcPr>
          <w:p>
            <w:pPr>
              <w:pStyle w:val="TableParagraph"/>
              <w:spacing w:before="28"/>
              <w:ind w:left="96" w:right="92"/>
              <w:jc w:val="center"/>
              <w:rPr>
                <w:sz w:val="18"/>
              </w:rPr>
            </w:pPr>
            <w:r>
              <w:rPr>
                <w:sz w:val="18"/>
              </w:rPr>
              <w:t>0.6</w:t>
            </w:r>
          </w:p>
        </w:tc>
        <w:tc>
          <w:tcPr>
            <w:tcW w:w="653" w:type="dxa"/>
          </w:tcPr>
          <w:p>
            <w:pPr>
              <w:pStyle w:val="TableParagraph"/>
              <w:spacing w:before="28"/>
              <w:ind w:right="202"/>
              <w:jc w:val="right"/>
              <w:rPr>
                <w:sz w:val="18"/>
              </w:rPr>
            </w:pPr>
            <w:r>
              <w:rPr>
                <w:sz w:val="18"/>
              </w:rPr>
              <w:t>0.1</w:t>
            </w:r>
          </w:p>
        </w:tc>
        <w:tc>
          <w:tcPr>
            <w:tcW w:w="912" w:type="dxa"/>
          </w:tcPr>
          <w:p>
            <w:pPr>
              <w:pStyle w:val="TableParagraph"/>
              <w:spacing w:before="28"/>
              <w:ind w:left="138" w:right="132"/>
              <w:jc w:val="center"/>
              <w:rPr>
                <w:sz w:val="18"/>
              </w:rPr>
            </w:pPr>
            <w:r>
              <w:rPr>
                <w:sz w:val="18"/>
              </w:rPr>
              <w:t>0.6</w:t>
            </w:r>
          </w:p>
        </w:tc>
        <w:tc>
          <w:tcPr>
            <w:tcW w:w="816" w:type="dxa"/>
          </w:tcPr>
          <w:p>
            <w:pPr>
              <w:pStyle w:val="TableParagraph"/>
              <w:spacing w:before="28"/>
              <w:ind w:left="182" w:right="179"/>
              <w:jc w:val="center"/>
              <w:rPr>
                <w:sz w:val="18"/>
              </w:rPr>
            </w:pPr>
            <w:r>
              <w:rPr>
                <w:sz w:val="18"/>
              </w:rPr>
              <w:t>162.3</w:t>
            </w:r>
          </w:p>
        </w:tc>
        <w:tc>
          <w:tcPr>
            <w:tcW w:w="828" w:type="dxa"/>
          </w:tcPr>
          <w:p>
            <w:pPr>
              <w:pStyle w:val="TableParagraph"/>
              <w:spacing w:before="28"/>
              <w:ind w:left="187" w:right="184"/>
              <w:jc w:val="center"/>
              <w:rPr>
                <w:sz w:val="18"/>
              </w:rPr>
            </w:pPr>
            <w:r>
              <w:rPr>
                <w:sz w:val="18"/>
              </w:rPr>
              <w:t>0.5</w:t>
            </w:r>
          </w:p>
        </w:tc>
        <w:tc>
          <w:tcPr>
            <w:tcW w:w="780" w:type="dxa"/>
          </w:tcPr>
          <w:p>
            <w:pPr>
              <w:pStyle w:val="TableParagraph"/>
              <w:spacing w:before="28"/>
              <w:ind w:left="211" w:right="202"/>
              <w:jc w:val="center"/>
              <w:rPr>
                <w:sz w:val="18"/>
              </w:rPr>
            </w:pPr>
            <w:r>
              <w:rPr>
                <w:sz w:val="18"/>
              </w:rPr>
              <w:t>0.2</w:t>
            </w:r>
          </w:p>
        </w:tc>
        <w:tc>
          <w:tcPr>
            <w:tcW w:w="818" w:type="dxa"/>
          </w:tcPr>
          <w:p>
            <w:pPr>
              <w:pStyle w:val="TableParagraph"/>
              <w:spacing w:before="28"/>
              <w:ind w:left="231" w:right="220"/>
              <w:jc w:val="center"/>
              <w:rPr>
                <w:sz w:val="18"/>
              </w:rPr>
            </w:pPr>
            <w:r>
              <w:rPr>
                <w:sz w:val="18"/>
              </w:rPr>
              <w:t>--</w:t>
            </w:r>
          </w:p>
        </w:tc>
        <w:tc>
          <w:tcPr>
            <w:tcW w:w="993" w:type="dxa"/>
          </w:tcPr>
          <w:p>
            <w:pPr>
              <w:pStyle w:val="TableParagraph"/>
              <w:spacing w:before="28"/>
              <w:ind w:left="218" w:right="213"/>
              <w:jc w:val="center"/>
              <w:rPr>
                <w:sz w:val="18"/>
              </w:rPr>
            </w:pPr>
            <w:r>
              <w:rPr>
                <w:sz w:val="18"/>
              </w:rPr>
              <w:t>--</w:t>
            </w:r>
          </w:p>
        </w:tc>
        <w:tc>
          <w:tcPr>
            <w:tcW w:w="719" w:type="dxa"/>
          </w:tcPr>
          <w:p>
            <w:pPr>
              <w:pStyle w:val="TableParagraph"/>
              <w:spacing w:before="28"/>
              <w:ind w:left="134" w:right="127"/>
              <w:jc w:val="center"/>
              <w:rPr>
                <w:sz w:val="18"/>
              </w:rPr>
            </w:pPr>
            <w:r>
              <w:rPr>
                <w:sz w:val="18"/>
              </w:rPr>
              <w:t>164.4</w:t>
            </w:r>
          </w:p>
        </w:tc>
      </w:tr>
      <w:tr>
        <w:trPr>
          <w:trHeight w:val="275" w:hRule="atLeast"/>
        </w:trPr>
        <w:tc>
          <w:tcPr>
            <w:tcW w:w="1906" w:type="dxa"/>
          </w:tcPr>
          <w:p>
            <w:pPr>
              <w:pStyle w:val="TableParagraph"/>
              <w:spacing w:before="28"/>
              <w:ind w:left="54"/>
              <w:rPr>
                <w:sz w:val="18"/>
              </w:rPr>
            </w:pPr>
            <w:r>
              <w:rPr>
                <w:sz w:val="18"/>
              </w:rPr>
              <w:t>Forest (NF)</w:t>
            </w:r>
          </w:p>
        </w:tc>
        <w:tc>
          <w:tcPr>
            <w:tcW w:w="646" w:type="dxa"/>
          </w:tcPr>
          <w:p>
            <w:pPr>
              <w:pStyle w:val="TableParagraph"/>
              <w:spacing w:before="28"/>
              <w:ind w:left="95" w:right="92"/>
              <w:jc w:val="center"/>
              <w:rPr>
                <w:sz w:val="18"/>
              </w:rPr>
            </w:pPr>
            <w:r>
              <w:rPr>
                <w:sz w:val="18"/>
              </w:rPr>
              <w:t>0.8</w:t>
            </w:r>
          </w:p>
        </w:tc>
        <w:tc>
          <w:tcPr>
            <w:tcW w:w="653" w:type="dxa"/>
          </w:tcPr>
          <w:p>
            <w:pPr>
              <w:pStyle w:val="TableParagraph"/>
              <w:spacing w:before="28"/>
              <w:ind w:left="240" w:right="237"/>
              <w:jc w:val="center"/>
              <w:rPr>
                <w:sz w:val="18"/>
              </w:rPr>
            </w:pPr>
            <w:r>
              <w:rPr>
                <w:sz w:val="18"/>
              </w:rPr>
              <w:t>--</w:t>
            </w:r>
          </w:p>
        </w:tc>
        <w:tc>
          <w:tcPr>
            <w:tcW w:w="912" w:type="dxa"/>
          </w:tcPr>
          <w:p>
            <w:pPr>
              <w:pStyle w:val="TableParagraph"/>
              <w:spacing w:before="28"/>
              <w:ind w:left="138" w:right="133"/>
              <w:jc w:val="center"/>
              <w:rPr>
                <w:sz w:val="18"/>
              </w:rPr>
            </w:pPr>
            <w:r>
              <w:rPr>
                <w:sz w:val="18"/>
              </w:rPr>
              <w:t>2.5</w:t>
            </w:r>
          </w:p>
        </w:tc>
        <w:tc>
          <w:tcPr>
            <w:tcW w:w="816" w:type="dxa"/>
          </w:tcPr>
          <w:p>
            <w:pPr>
              <w:pStyle w:val="TableParagraph"/>
              <w:spacing w:before="28"/>
              <w:ind w:left="182" w:right="177"/>
              <w:jc w:val="center"/>
              <w:rPr>
                <w:sz w:val="18"/>
              </w:rPr>
            </w:pPr>
            <w:r>
              <w:rPr>
                <w:sz w:val="18"/>
              </w:rPr>
              <w:t>0.6</w:t>
            </w:r>
          </w:p>
        </w:tc>
        <w:tc>
          <w:tcPr>
            <w:tcW w:w="828" w:type="dxa"/>
          </w:tcPr>
          <w:p>
            <w:pPr>
              <w:pStyle w:val="TableParagraph"/>
              <w:spacing w:before="28"/>
              <w:ind w:left="189" w:right="184"/>
              <w:jc w:val="center"/>
              <w:rPr>
                <w:sz w:val="18"/>
              </w:rPr>
            </w:pPr>
            <w:r>
              <w:rPr>
                <w:sz w:val="18"/>
              </w:rPr>
              <w:t>160.1</w:t>
            </w:r>
          </w:p>
        </w:tc>
        <w:tc>
          <w:tcPr>
            <w:tcW w:w="780" w:type="dxa"/>
          </w:tcPr>
          <w:p>
            <w:pPr>
              <w:pStyle w:val="TableParagraph"/>
              <w:spacing w:before="28"/>
              <w:ind w:left="209" w:right="202"/>
              <w:jc w:val="center"/>
              <w:rPr>
                <w:sz w:val="18"/>
              </w:rPr>
            </w:pPr>
            <w:r>
              <w:rPr>
                <w:sz w:val="18"/>
              </w:rPr>
              <w:t>0.6</w:t>
            </w:r>
          </w:p>
        </w:tc>
        <w:tc>
          <w:tcPr>
            <w:tcW w:w="818" w:type="dxa"/>
          </w:tcPr>
          <w:p>
            <w:pPr>
              <w:pStyle w:val="TableParagraph"/>
              <w:spacing w:before="28"/>
              <w:ind w:left="231" w:right="221"/>
              <w:jc w:val="center"/>
              <w:rPr>
                <w:sz w:val="18"/>
              </w:rPr>
            </w:pPr>
            <w:r>
              <w:rPr>
                <w:sz w:val="18"/>
              </w:rPr>
              <w:t>--</w:t>
            </w:r>
          </w:p>
        </w:tc>
        <w:tc>
          <w:tcPr>
            <w:tcW w:w="993" w:type="dxa"/>
          </w:tcPr>
          <w:p>
            <w:pPr>
              <w:pStyle w:val="TableParagraph"/>
              <w:spacing w:before="28"/>
              <w:ind w:left="216" w:right="213"/>
              <w:jc w:val="center"/>
              <w:rPr>
                <w:sz w:val="18"/>
              </w:rPr>
            </w:pPr>
            <w:r>
              <w:rPr>
                <w:sz w:val="18"/>
              </w:rPr>
              <w:t>--</w:t>
            </w:r>
          </w:p>
        </w:tc>
        <w:tc>
          <w:tcPr>
            <w:tcW w:w="719" w:type="dxa"/>
          </w:tcPr>
          <w:p>
            <w:pPr>
              <w:pStyle w:val="TableParagraph"/>
              <w:spacing w:before="28"/>
              <w:ind w:left="133" w:right="128"/>
              <w:jc w:val="center"/>
              <w:rPr>
                <w:sz w:val="18"/>
              </w:rPr>
            </w:pPr>
            <w:r>
              <w:rPr>
                <w:sz w:val="18"/>
              </w:rPr>
              <w:t>164.5</w:t>
            </w:r>
          </w:p>
        </w:tc>
      </w:tr>
      <w:tr>
        <w:trPr>
          <w:trHeight w:val="273" w:hRule="atLeast"/>
        </w:trPr>
        <w:tc>
          <w:tcPr>
            <w:tcW w:w="1906" w:type="dxa"/>
          </w:tcPr>
          <w:p>
            <w:pPr>
              <w:pStyle w:val="TableParagraph"/>
              <w:spacing w:before="28"/>
              <w:ind w:left="54"/>
              <w:rPr>
                <w:sz w:val="18"/>
              </w:rPr>
            </w:pPr>
            <w:r>
              <w:rPr>
                <w:sz w:val="18"/>
              </w:rPr>
              <w:t>Other Rural</w:t>
            </w:r>
          </w:p>
        </w:tc>
        <w:tc>
          <w:tcPr>
            <w:tcW w:w="646" w:type="dxa"/>
          </w:tcPr>
          <w:p>
            <w:pPr>
              <w:pStyle w:val="TableParagraph"/>
              <w:spacing w:before="28"/>
              <w:ind w:left="97" w:right="92"/>
              <w:jc w:val="center"/>
              <w:rPr>
                <w:sz w:val="18"/>
              </w:rPr>
            </w:pPr>
            <w:r>
              <w:rPr>
                <w:sz w:val="18"/>
              </w:rPr>
              <w:t>0.7</w:t>
            </w:r>
          </w:p>
        </w:tc>
        <w:tc>
          <w:tcPr>
            <w:tcW w:w="653" w:type="dxa"/>
          </w:tcPr>
          <w:p>
            <w:pPr>
              <w:pStyle w:val="TableParagraph"/>
              <w:spacing w:before="28"/>
              <w:ind w:left="241" w:right="237"/>
              <w:jc w:val="center"/>
              <w:rPr>
                <w:sz w:val="18"/>
              </w:rPr>
            </w:pPr>
            <w:r>
              <w:rPr>
                <w:sz w:val="18"/>
              </w:rPr>
              <w:t>--</w:t>
            </w:r>
          </w:p>
        </w:tc>
        <w:tc>
          <w:tcPr>
            <w:tcW w:w="912" w:type="dxa"/>
          </w:tcPr>
          <w:p>
            <w:pPr>
              <w:pStyle w:val="TableParagraph"/>
              <w:spacing w:before="28"/>
              <w:ind w:left="138" w:right="131"/>
              <w:jc w:val="center"/>
              <w:rPr>
                <w:sz w:val="18"/>
              </w:rPr>
            </w:pPr>
            <w:r>
              <w:rPr>
                <w:sz w:val="18"/>
              </w:rPr>
              <w:t>0.4</w:t>
            </w:r>
          </w:p>
        </w:tc>
        <w:tc>
          <w:tcPr>
            <w:tcW w:w="816" w:type="dxa"/>
          </w:tcPr>
          <w:p>
            <w:pPr>
              <w:pStyle w:val="TableParagraph"/>
              <w:spacing w:before="28"/>
              <w:ind w:left="182" w:right="175"/>
              <w:jc w:val="center"/>
              <w:rPr>
                <w:sz w:val="18"/>
              </w:rPr>
            </w:pPr>
            <w:r>
              <w:rPr>
                <w:sz w:val="18"/>
              </w:rPr>
              <w:t>0.3</w:t>
            </w:r>
          </w:p>
        </w:tc>
        <w:tc>
          <w:tcPr>
            <w:tcW w:w="828" w:type="dxa"/>
          </w:tcPr>
          <w:p>
            <w:pPr>
              <w:pStyle w:val="TableParagraph"/>
              <w:spacing w:before="28"/>
              <w:ind w:left="189" w:right="184"/>
              <w:jc w:val="center"/>
              <w:rPr>
                <w:sz w:val="18"/>
              </w:rPr>
            </w:pPr>
            <w:r>
              <w:rPr>
                <w:sz w:val="18"/>
              </w:rPr>
              <w:t>0.4</w:t>
            </w:r>
          </w:p>
        </w:tc>
        <w:tc>
          <w:tcPr>
            <w:tcW w:w="780" w:type="dxa"/>
          </w:tcPr>
          <w:p>
            <w:pPr>
              <w:pStyle w:val="TableParagraph"/>
              <w:spacing w:before="28"/>
              <w:ind w:left="212" w:right="201"/>
              <w:jc w:val="center"/>
              <w:rPr>
                <w:sz w:val="18"/>
              </w:rPr>
            </w:pPr>
            <w:r>
              <w:rPr>
                <w:sz w:val="18"/>
              </w:rPr>
              <w:t>18.9</w:t>
            </w:r>
          </w:p>
        </w:tc>
        <w:tc>
          <w:tcPr>
            <w:tcW w:w="818" w:type="dxa"/>
          </w:tcPr>
          <w:p>
            <w:pPr>
              <w:pStyle w:val="TableParagraph"/>
              <w:spacing w:before="28"/>
              <w:ind w:left="231" w:right="219"/>
              <w:jc w:val="center"/>
              <w:rPr>
                <w:sz w:val="18"/>
              </w:rPr>
            </w:pPr>
            <w:r>
              <w:rPr>
                <w:sz w:val="18"/>
              </w:rPr>
              <w:t>--</w:t>
            </w:r>
          </w:p>
        </w:tc>
        <w:tc>
          <w:tcPr>
            <w:tcW w:w="993" w:type="dxa"/>
          </w:tcPr>
          <w:p>
            <w:pPr>
              <w:pStyle w:val="TableParagraph"/>
              <w:spacing w:before="28"/>
              <w:ind w:left="219" w:right="213"/>
              <w:jc w:val="center"/>
              <w:rPr>
                <w:sz w:val="18"/>
              </w:rPr>
            </w:pPr>
            <w:r>
              <w:rPr>
                <w:sz w:val="18"/>
              </w:rPr>
              <w:t>--</w:t>
            </w:r>
          </w:p>
        </w:tc>
        <w:tc>
          <w:tcPr>
            <w:tcW w:w="719" w:type="dxa"/>
          </w:tcPr>
          <w:p>
            <w:pPr>
              <w:pStyle w:val="TableParagraph"/>
              <w:spacing w:before="28"/>
              <w:ind w:left="134" w:right="128"/>
              <w:jc w:val="center"/>
              <w:rPr>
                <w:sz w:val="18"/>
              </w:rPr>
            </w:pPr>
            <w:r>
              <w:rPr>
                <w:sz w:val="18"/>
              </w:rPr>
              <w:t>20.7</w:t>
            </w:r>
          </w:p>
        </w:tc>
      </w:tr>
      <w:tr>
        <w:trPr>
          <w:trHeight w:val="273" w:hRule="atLeast"/>
        </w:trPr>
        <w:tc>
          <w:tcPr>
            <w:tcW w:w="1906" w:type="dxa"/>
          </w:tcPr>
          <w:p>
            <w:pPr>
              <w:pStyle w:val="TableParagraph"/>
              <w:spacing w:before="28"/>
              <w:ind w:left="54"/>
              <w:rPr>
                <w:sz w:val="18"/>
              </w:rPr>
            </w:pPr>
            <w:r>
              <w:rPr>
                <w:sz w:val="18"/>
              </w:rPr>
              <w:t>Settlements</w:t>
            </w:r>
          </w:p>
        </w:tc>
        <w:tc>
          <w:tcPr>
            <w:tcW w:w="646" w:type="dxa"/>
          </w:tcPr>
          <w:p>
            <w:pPr>
              <w:pStyle w:val="TableParagraph"/>
              <w:spacing w:before="28"/>
              <w:ind w:left="98" w:right="90"/>
              <w:jc w:val="center"/>
              <w:rPr>
                <w:sz w:val="18"/>
              </w:rPr>
            </w:pPr>
            <w:r>
              <w:rPr>
                <w:sz w:val="18"/>
              </w:rPr>
              <w:t>1.2</w:t>
            </w:r>
          </w:p>
        </w:tc>
        <w:tc>
          <w:tcPr>
            <w:tcW w:w="653" w:type="dxa"/>
          </w:tcPr>
          <w:p>
            <w:pPr>
              <w:pStyle w:val="TableParagraph"/>
              <w:spacing w:before="28"/>
              <w:ind w:left="243" w:right="235"/>
              <w:jc w:val="center"/>
              <w:rPr>
                <w:sz w:val="18"/>
              </w:rPr>
            </w:pPr>
            <w:r>
              <w:rPr>
                <w:sz w:val="18"/>
              </w:rPr>
              <w:t>--</w:t>
            </w:r>
          </w:p>
        </w:tc>
        <w:tc>
          <w:tcPr>
            <w:tcW w:w="912" w:type="dxa"/>
          </w:tcPr>
          <w:p>
            <w:pPr>
              <w:pStyle w:val="TableParagraph"/>
              <w:spacing w:before="28"/>
              <w:ind w:left="138" w:right="126"/>
              <w:jc w:val="center"/>
              <w:rPr>
                <w:sz w:val="18"/>
              </w:rPr>
            </w:pPr>
            <w:r>
              <w:rPr>
                <w:sz w:val="18"/>
              </w:rPr>
              <w:t>0.8</w:t>
            </w:r>
          </w:p>
        </w:tc>
        <w:tc>
          <w:tcPr>
            <w:tcW w:w="816" w:type="dxa"/>
          </w:tcPr>
          <w:p>
            <w:pPr>
              <w:pStyle w:val="TableParagraph"/>
              <w:spacing w:before="28"/>
              <w:ind w:left="182" w:right="172"/>
              <w:jc w:val="center"/>
              <w:rPr>
                <w:sz w:val="18"/>
              </w:rPr>
            </w:pPr>
            <w:r>
              <w:rPr>
                <w:sz w:val="18"/>
              </w:rPr>
              <w:t>0.5</w:t>
            </w:r>
          </w:p>
        </w:tc>
        <w:tc>
          <w:tcPr>
            <w:tcW w:w="828" w:type="dxa"/>
          </w:tcPr>
          <w:p>
            <w:pPr>
              <w:pStyle w:val="TableParagraph"/>
              <w:spacing w:before="28"/>
              <w:ind w:left="189" w:right="182"/>
              <w:jc w:val="center"/>
              <w:rPr>
                <w:sz w:val="18"/>
              </w:rPr>
            </w:pPr>
            <w:r>
              <w:rPr>
                <w:sz w:val="18"/>
              </w:rPr>
              <w:t>1.9</w:t>
            </w:r>
          </w:p>
        </w:tc>
        <w:tc>
          <w:tcPr>
            <w:tcW w:w="780" w:type="dxa"/>
          </w:tcPr>
          <w:p>
            <w:pPr>
              <w:pStyle w:val="TableParagraph"/>
              <w:spacing w:before="28"/>
              <w:ind w:left="212" w:right="201"/>
              <w:jc w:val="center"/>
              <w:rPr>
                <w:sz w:val="18"/>
              </w:rPr>
            </w:pPr>
            <w:r>
              <w:rPr>
                <w:sz w:val="18"/>
              </w:rPr>
              <w:t>0.2</w:t>
            </w:r>
          </w:p>
        </w:tc>
        <w:tc>
          <w:tcPr>
            <w:tcW w:w="818" w:type="dxa"/>
          </w:tcPr>
          <w:p>
            <w:pPr>
              <w:pStyle w:val="TableParagraph"/>
              <w:spacing w:before="28"/>
              <w:ind w:left="231" w:right="220"/>
              <w:jc w:val="center"/>
              <w:rPr>
                <w:sz w:val="18"/>
              </w:rPr>
            </w:pPr>
            <w:r>
              <w:rPr>
                <w:sz w:val="18"/>
              </w:rPr>
              <w:t>35.2</w:t>
            </w:r>
          </w:p>
        </w:tc>
        <w:tc>
          <w:tcPr>
            <w:tcW w:w="993" w:type="dxa"/>
          </w:tcPr>
          <w:p>
            <w:pPr>
              <w:pStyle w:val="TableParagraph"/>
              <w:spacing w:before="28"/>
              <w:ind w:left="219" w:right="213"/>
              <w:jc w:val="center"/>
              <w:rPr>
                <w:sz w:val="18"/>
              </w:rPr>
            </w:pPr>
            <w:r>
              <w:rPr>
                <w:sz w:val="18"/>
              </w:rPr>
              <w:t>--</w:t>
            </w:r>
          </w:p>
        </w:tc>
        <w:tc>
          <w:tcPr>
            <w:tcW w:w="719" w:type="dxa"/>
          </w:tcPr>
          <w:p>
            <w:pPr>
              <w:pStyle w:val="TableParagraph"/>
              <w:spacing w:before="28"/>
              <w:ind w:left="134" w:right="127"/>
              <w:jc w:val="center"/>
              <w:rPr>
                <w:sz w:val="18"/>
              </w:rPr>
            </w:pPr>
            <w:r>
              <w:rPr>
                <w:sz w:val="18"/>
              </w:rPr>
              <w:t>39.8</w:t>
            </w:r>
          </w:p>
        </w:tc>
      </w:tr>
      <w:tr>
        <w:trPr>
          <w:trHeight w:val="275" w:hRule="atLeast"/>
        </w:trPr>
        <w:tc>
          <w:tcPr>
            <w:tcW w:w="1906" w:type="dxa"/>
          </w:tcPr>
          <w:p>
            <w:pPr>
              <w:pStyle w:val="TableParagraph"/>
              <w:spacing w:before="28"/>
              <w:ind w:left="54"/>
              <w:rPr>
                <w:sz w:val="18"/>
              </w:rPr>
            </w:pPr>
            <w:r>
              <w:rPr>
                <w:sz w:val="18"/>
              </w:rPr>
              <w:t>Water and Federal Land</w:t>
            </w:r>
          </w:p>
        </w:tc>
        <w:tc>
          <w:tcPr>
            <w:tcW w:w="646" w:type="dxa"/>
          </w:tcPr>
          <w:p>
            <w:pPr>
              <w:pStyle w:val="TableParagraph"/>
              <w:spacing w:before="28"/>
              <w:ind w:left="97" w:right="92"/>
              <w:jc w:val="center"/>
              <w:rPr>
                <w:sz w:val="18"/>
              </w:rPr>
            </w:pPr>
            <w:r>
              <w:rPr>
                <w:sz w:val="18"/>
              </w:rPr>
              <w:t>0.1</w:t>
            </w:r>
          </w:p>
        </w:tc>
        <w:tc>
          <w:tcPr>
            <w:tcW w:w="653" w:type="dxa"/>
          </w:tcPr>
          <w:p>
            <w:pPr>
              <w:pStyle w:val="TableParagraph"/>
              <w:spacing w:before="28"/>
              <w:ind w:left="241" w:right="237"/>
              <w:jc w:val="center"/>
              <w:rPr>
                <w:sz w:val="18"/>
              </w:rPr>
            </w:pPr>
            <w:r>
              <w:rPr>
                <w:sz w:val="18"/>
              </w:rPr>
              <w:t>--</w:t>
            </w:r>
          </w:p>
        </w:tc>
        <w:tc>
          <w:tcPr>
            <w:tcW w:w="912" w:type="dxa"/>
          </w:tcPr>
          <w:p>
            <w:pPr>
              <w:pStyle w:val="TableParagraph"/>
              <w:spacing w:before="28"/>
              <w:ind w:left="138" w:right="129"/>
              <w:jc w:val="center"/>
              <w:rPr>
                <w:sz w:val="18"/>
              </w:rPr>
            </w:pPr>
            <w:r>
              <w:rPr>
                <w:sz w:val="18"/>
              </w:rPr>
              <w:t>--</w:t>
            </w:r>
          </w:p>
        </w:tc>
        <w:tc>
          <w:tcPr>
            <w:tcW w:w="816" w:type="dxa"/>
          </w:tcPr>
          <w:p>
            <w:pPr>
              <w:pStyle w:val="TableParagraph"/>
              <w:spacing w:before="28"/>
              <w:ind w:left="182" w:right="176"/>
              <w:jc w:val="center"/>
              <w:rPr>
                <w:sz w:val="18"/>
              </w:rPr>
            </w:pPr>
            <w:r>
              <w:rPr>
                <w:sz w:val="18"/>
              </w:rPr>
              <w:t>0.1</w:t>
            </w:r>
          </w:p>
        </w:tc>
        <w:tc>
          <w:tcPr>
            <w:tcW w:w="828" w:type="dxa"/>
          </w:tcPr>
          <w:p>
            <w:pPr>
              <w:pStyle w:val="TableParagraph"/>
              <w:spacing w:before="28"/>
              <w:ind w:left="188" w:right="184"/>
              <w:jc w:val="center"/>
              <w:rPr>
                <w:sz w:val="18"/>
              </w:rPr>
            </w:pPr>
            <w:r>
              <w:rPr>
                <w:sz w:val="18"/>
              </w:rPr>
              <w:t>0.2</w:t>
            </w:r>
          </w:p>
        </w:tc>
        <w:tc>
          <w:tcPr>
            <w:tcW w:w="780" w:type="dxa"/>
          </w:tcPr>
          <w:p>
            <w:pPr>
              <w:pStyle w:val="TableParagraph"/>
              <w:spacing w:before="28"/>
              <w:ind w:left="212" w:right="201"/>
              <w:jc w:val="center"/>
              <w:rPr>
                <w:sz w:val="18"/>
              </w:rPr>
            </w:pPr>
            <w:r>
              <w:rPr>
                <w:sz w:val="18"/>
              </w:rPr>
              <w:t>--</w:t>
            </w:r>
          </w:p>
        </w:tc>
        <w:tc>
          <w:tcPr>
            <w:tcW w:w="818" w:type="dxa"/>
          </w:tcPr>
          <w:p>
            <w:pPr>
              <w:pStyle w:val="TableParagraph"/>
              <w:spacing w:before="28"/>
              <w:ind w:left="231" w:right="219"/>
              <w:jc w:val="center"/>
              <w:rPr>
                <w:sz w:val="18"/>
              </w:rPr>
            </w:pPr>
            <w:r>
              <w:rPr>
                <w:sz w:val="18"/>
              </w:rPr>
              <w:t>--</w:t>
            </w:r>
          </w:p>
        </w:tc>
        <w:tc>
          <w:tcPr>
            <w:tcW w:w="993" w:type="dxa"/>
          </w:tcPr>
          <w:p>
            <w:pPr>
              <w:pStyle w:val="TableParagraph"/>
              <w:spacing w:before="28"/>
              <w:ind w:left="218" w:right="213"/>
              <w:jc w:val="center"/>
              <w:rPr>
                <w:sz w:val="18"/>
              </w:rPr>
            </w:pPr>
            <w:r>
              <w:rPr>
                <w:sz w:val="18"/>
              </w:rPr>
              <w:t>182.6</w:t>
            </w:r>
          </w:p>
        </w:tc>
        <w:tc>
          <w:tcPr>
            <w:tcW w:w="719" w:type="dxa"/>
          </w:tcPr>
          <w:p>
            <w:pPr>
              <w:pStyle w:val="TableParagraph"/>
              <w:spacing w:before="28"/>
              <w:ind w:left="134" w:right="128"/>
              <w:jc w:val="center"/>
              <w:rPr>
                <w:sz w:val="18"/>
              </w:rPr>
            </w:pPr>
            <w:r>
              <w:rPr>
                <w:sz w:val="18"/>
              </w:rPr>
              <w:t>183.1</w:t>
            </w:r>
          </w:p>
        </w:tc>
      </w:tr>
      <w:tr>
        <w:trPr>
          <w:trHeight w:val="273" w:hRule="atLeast"/>
        </w:trPr>
        <w:tc>
          <w:tcPr>
            <w:tcW w:w="1906" w:type="dxa"/>
          </w:tcPr>
          <w:p>
            <w:pPr>
              <w:pStyle w:val="TableParagraph"/>
              <w:spacing w:line="193" w:lineRule="exact" w:before="59"/>
              <w:ind w:left="54"/>
              <w:rPr>
                <w:b/>
                <w:sz w:val="18"/>
              </w:rPr>
            </w:pPr>
            <w:r>
              <w:rPr>
                <w:b/>
                <w:sz w:val="18"/>
              </w:rPr>
              <w:t>1992 Total</w:t>
            </w:r>
          </w:p>
        </w:tc>
        <w:tc>
          <w:tcPr>
            <w:tcW w:w="646" w:type="dxa"/>
          </w:tcPr>
          <w:p>
            <w:pPr>
              <w:pStyle w:val="TableParagraph"/>
              <w:spacing w:line="198" w:lineRule="exact" w:before="55"/>
              <w:ind w:left="98" w:right="92"/>
              <w:jc w:val="center"/>
              <w:rPr>
                <w:sz w:val="18"/>
              </w:rPr>
            </w:pPr>
            <w:r>
              <w:rPr>
                <w:sz w:val="18"/>
              </w:rPr>
              <w:t>154.7</w:t>
            </w:r>
          </w:p>
        </w:tc>
        <w:tc>
          <w:tcPr>
            <w:tcW w:w="653" w:type="dxa"/>
          </w:tcPr>
          <w:p>
            <w:pPr>
              <w:pStyle w:val="TableParagraph"/>
              <w:spacing w:line="198" w:lineRule="exact" w:before="55"/>
              <w:ind w:right="160"/>
              <w:jc w:val="right"/>
              <w:rPr>
                <w:sz w:val="18"/>
              </w:rPr>
            </w:pPr>
            <w:r>
              <w:rPr>
                <w:sz w:val="18"/>
              </w:rPr>
              <w:t>13.8</w:t>
            </w:r>
          </w:p>
        </w:tc>
        <w:tc>
          <w:tcPr>
            <w:tcW w:w="912" w:type="dxa"/>
          </w:tcPr>
          <w:p>
            <w:pPr>
              <w:pStyle w:val="TableParagraph"/>
              <w:spacing w:line="198" w:lineRule="exact" w:before="55"/>
              <w:ind w:left="138" w:right="132"/>
              <w:jc w:val="center"/>
              <w:rPr>
                <w:sz w:val="18"/>
              </w:rPr>
            </w:pPr>
            <w:r>
              <w:rPr>
                <w:sz w:val="18"/>
              </w:rPr>
              <w:t>51.0</w:t>
            </w:r>
          </w:p>
        </w:tc>
        <w:tc>
          <w:tcPr>
            <w:tcW w:w="816" w:type="dxa"/>
          </w:tcPr>
          <w:p>
            <w:pPr>
              <w:pStyle w:val="TableParagraph"/>
              <w:spacing w:line="198" w:lineRule="exact" w:before="55"/>
              <w:ind w:left="181" w:right="179"/>
              <w:jc w:val="center"/>
              <w:rPr>
                <w:sz w:val="18"/>
              </w:rPr>
            </w:pPr>
            <w:r>
              <w:rPr>
                <w:sz w:val="18"/>
              </w:rPr>
              <w:t>165</w:t>
            </w:r>
          </w:p>
        </w:tc>
        <w:tc>
          <w:tcPr>
            <w:tcW w:w="828" w:type="dxa"/>
          </w:tcPr>
          <w:p>
            <w:pPr>
              <w:pStyle w:val="TableParagraph"/>
              <w:spacing w:line="198" w:lineRule="exact" w:before="55"/>
              <w:ind w:left="189" w:right="184"/>
              <w:jc w:val="center"/>
              <w:rPr>
                <w:sz w:val="18"/>
              </w:rPr>
            </w:pPr>
            <w:r>
              <w:rPr>
                <w:sz w:val="18"/>
              </w:rPr>
              <w:t>164.1</w:t>
            </w:r>
          </w:p>
        </w:tc>
        <w:tc>
          <w:tcPr>
            <w:tcW w:w="780" w:type="dxa"/>
          </w:tcPr>
          <w:p>
            <w:pPr>
              <w:pStyle w:val="TableParagraph"/>
              <w:spacing w:line="198" w:lineRule="exact" w:before="55"/>
              <w:ind w:left="211" w:right="202"/>
              <w:jc w:val="center"/>
              <w:rPr>
                <w:sz w:val="18"/>
              </w:rPr>
            </w:pPr>
            <w:r>
              <w:rPr>
                <w:sz w:val="18"/>
              </w:rPr>
              <w:t>20.5</w:t>
            </w:r>
          </w:p>
        </w:tc>
        <w:tc>
          <w:tcPr>
            <w:tcW w:w="818" w:type="dxa"/>
          </w:tcPr>
          <w:p>
            <w:pPr>
              <w:pStyle w:val="TableParagraph"/>
              <w:spacing w:line="198" w:lineRule="exact" w:before="55"/>
              <w:ind w:left="230" w:right="221"/>
              <w:jc w:val="center"/>
              <w:rPr>
                <w:sz w:val="18"/>
              </w:rPr>
            </w:pPr>
            <w:r>
              <w:rPr>
                <w:sz w:val="18"/>
              </w:rPr>
              <w:t>35.2</w:t>
            </w:r>
          </w:p>
        </w:tc>
        <w:tc>
          <w:tcPr>
            <w:tcW w:w="993" w:type="dxa"/>
          </w:tcPr>
          <w:p>
            <w:pPr>
              <w:pStyle w:val="TableParagraph"/>
              <w:spacing w:line="198" w:lineRule="exact" w:before="55"/>
              <w:ind w:left="217" w:right="213"/>
              <w:jc w:val="center"/>
              <w:rPr>
                <w:sz w:val="18"/>
              </w:rPr>
            </w:pPr>
            <w:r>
              <w:rPr>
                <w:sz w:val="18"/>
              </w:rPr>
              <w:t>182.8</w:t>
            </w:r>
          </w:p>
        </w:tc>
        <w:tc>
          <w:tcPr>
            <w:tcW w:w="719" w:type="dxa"/>
          </w:tcPr>
          <w:p>
            <w:pPr>
              <w:pStyle w:val="TableParagraph"/>
              <w:spacing w:line="198" w:lineRule="exact" w:before="55"/>
              <w:ind w:left="134" w:right="127"/>
              <w:jc w:val="center"/>
              <w:rPr>
                <w:sz w:val="18"/>
              </w:rPr>
            </w:pPr>
            <w:r>
              <w:rPr>
                <w:sz w:val="18"/>
              </w:rPr>
              <w:t>787.4</w:t>
            </w:r>
          </w:p>
        </w:tc>
      </w:tr>
      <w:tr>
        <w:trPr>
          <w:trHeight w:val="443" w:hRule="atLeast"/>
        </w:trPr>
        <w:tc>
          <w:tcPr>
            <w:tcW w:w="9071" w:type="dxa"/>
            <w:gridSpan w:val="10"/>
          </w:tcPr>
          <w:p>
            <w:pPr>
              <w:pStyle w:val="TableParagraph"/>
              <w:spacing w:before="35"/>
              <w:ind w:left="54" w:right="309"/>
              <w:rPr>
                <w:sz w:val="16"/>
              </w:rPr>
            </w:pPr>
            <w:r>
              <w:rPr>
                <w:sz w:val="16"/>
              </w:rPr>
              <w:t>Note: (i) Data from the 1997 NRI and excludes Alaska. (ii) NF is Non-Federal. Areas are millions of hectares. (iii) CRP represents land enrolled in the Conservation Reserve Program. (iv) Some row and column totals do not add up due to rounding errors.</w:t>
            </w:r>
          </w:p>
        </w:tc>
      </w:tr>
    </w:tbl>
    <w:p>
      <w:pPr>
        <w:pStyle w:val="BodyText"/>
      </w:pPr>
    </w:p>
    <w:p>
      <w:pPr>
        <w:pStyle w:val="BodyText"/>
        <w:spacing w:before="2"/>
      </w:pPr>
      <w:r>
        <w:rPr/>
        <w:pict>
          <v:line style="position:absolute;mso-position-horizontal-relative:page;mso-position-vertical-relative:paragraph;z-index:1688;mso-wrap-distance-left:0;mso-wrap-distance-right:0" from="70.960999pt,13.820976pt" to="214.960999pt,13.820976pt" stroked="true" strokeweight=".48pt" strokecolor="#000000">
            <v:stroke dashstyle="solid"/>
            <w10:wrap type="topAndBottom"/>
          </v:line>
        </w:pict>
      </w:r>
    </w:p>
    <w:p>
      <w:pPr>
        <w:spacing w:before="153"/>
        <w:ind w:left="277" w:right="182" w:hanging="159"/>
        <w:jc w:val="both"/>
        <w:rPr>
          <w:sz w:val="18"/>
        </w:rPr>
      </w:pPr>
      <w:r>
        <w:rPr>
          <w:position w:val="8"/>
          <w:sz w:val="12"/>
        </w:rPr>
        <w:t>8 </w:t>
      </w:r>
      <w:r>
        <w:rPr>
          <w:sz w:val="18"/>
        </w:rPr>
        <w:t>The NRI is conducted by the U.S. Department of Agriculture’s (USDA) Natural Resources Conservation Service, in cooperation with the Iowa State University Statistical Laboratory. More information on the NRI is found at: </w:t>
      </w:r>
      <w:hyperlink r:id="rId74">
        <w:r>
          <w:rPr>
            <w:sz w:val="18"/>
          </w:rPr>
          <w:t>http://www.nhq.nrcs.usda.gov/technical/NRI/1997/.</w:t>
        </w:r>
      </w:hyperlink>
    </w:p>
    <w:p>
      <w:pPr>
        <w:spacing w:before="94"/>
        <w:ind w:left="277" w:right="184" w:hanging="159"/>
        <w:jc w:val="both"/>
        <w:rPr>
          <w:sz w:val="18"/>
        </w:rPr>
      </w:pPr>
      <w:r>
        <w:rPr>
          <w:position w:val="8"/>
          <w:sz w:val="12"/>
        </w:rPr>
        <w:t>9 </w:t>
      </w:r>
      <w:r>
        <w:rPr>
          <w:sz w:val="18"/>
        </w:rPr>
        <w:t>The FIA is managed by the Research and Development organization within the USDA Forest Service in cooperation with State and Private Forestry and National Forest Systems. More information on the FIA is found at: </w:t>
      </w:r>
      <w:hyperlink r:id="rId75">
        <w:r>
          <w:rPr>
            <w:sz w:val="18"/>
          </w:rPr>
          <w:t>http://fia.fs.fed.us/.</w:t>
        </w:r>
      </w:hyperlink>
    </w:p>
    <w:p>
      <w:pPr>
        <w:spacing w:after="0"/>
        <w:jc w:val="both"/>
        <w:rPr>
          <w:sz w:val="18"/>
        </w:rPr>
        <w:sectPr>
          <w:headerReference w:type="default" r:id="rId72"/>
          <w:headerReference w:type="even" r:id="rId73"/>
          <w:pgSz w:w="11900" w:h="16840"/>
          <w:pgMar w:header="230" w:footer="408" w:top="920" w:bottom="600" w:left="1300" w:right="1220"/>
        </w:sectPr>
      </w:pPr>
    </w:p>
    <w:p>
      <w:pPr>
        <w:pStyle w:val="Heading2"/>
        <w:tabs>
          <w:tab w:pos="1537" w:val="left" w:leader="none"/>
        </w:tabs>
        <w:spacing w:before="86"/>
        <w:ind w:left="1559" w:right="868" w:hanging="1440"/>
      </w:pPr>
      <w:r>
        <w:rPr/>
        <w:t>2A.1.2</w:t>
        <w:tab/>
        <w:t>Use of Agricultural Data for the Argentine</w:t>
      </w:r>
      <w:r>
        <w:rPr>
          <w:spacing w:val="-16"/>
        </w:rPr>
        <w:t> </w:t>
      </w:r>
      <w:r>
        <w:rPr/>
        <w:t>Pampas (Approaches 1 and</w:t>
      </w:r>
      <w:r>
        <w:rPr>
          <w:spacing w:val="-4"/>
        </w:rPr>
        <w:t> </w:t>
      </w:r>
      <w:r>
        <w:rPr/>
        <w:t>2)</w:t>
      </w:r>
    </w:p>
    <w:p>
      <w:pPr>
        <w:pStyle w:val="BodyText"/>
        <w:spacing w:before="115"/>
        <w:ind w:left="119" w:right="182"/>
        <w:jc w:val="both"/>
      </w:pPr>
      <w:r>
        <w:rPr/>
        <w:t>Since 1881, various national agricultural censuses involving 100% of farms in the Argentine pampas have been undertaken. Data on land use were organized at the level of political districts in each of the 24 provinces. A particular study on land-use change in the pampas across one century of agricultural transformation was recently published (Viglizzo </w:t>
      </w:r>
      <w:r>
        <w:rPr>
          <w:i/>
        </w:rPr>
        <w:t>et al</w:t>
      </w:r>
      <w:r>
        <w:rPr/>
        <w:t>., 2001). Later results show that the Argentine pampas behaved as a net source of greenhouse gas emitter over much of the period in response to the conversion of natural grasslands into grazing lands and croplands. However, emissions tend to decline since 1960 due to the adoption of conservation soil management techniques, mainly reduced- and no-tillage methods - (Bernardos </w:t>
      </w:r>
      <w:r>
        <w:rPr>
          <w:i/>
        </w:rPr>
        <w:t>et al</w:t>
      </w:r>
      <w:r>
        <w:rPr/>
        <w:t>., 2001).These data can be used in the implementation of Approach 1 or 2.</w:t>
      </w:r>
    </w:p>
    <w:p>
      <w:pPr>
        <w:pStyle w:val="BodyText"/>
        <w:spacing w:before="8"/>
        <w:rPr>
          <w:sz w:val="31"/>
        </w:rPr>
      </w:pPr>
    </w:p>
    <w:p>
      <w:pPr>
        <w:pStyle w:val="Heading2"/>
        <w:ind w:left="119" w:firstLine="0"/>
        <w:jc w:val="both"/>
      </w:pPr>
      <w:r>
        <w:rPr/>
        <w:t>2A.1.3 Use of Land Registry Data in China (Approach 1)</w:t>
      </w:r>
    </w:p>
    <w:p>
      <w:pPr>
        <w:pStyle w:val="BodyText"/>
        <w:spacing w:before="114"/>
        <w:ind w:left="119" w:right="183"/>
        <w:jc w:val="both"/>
      </w:pPr>
      <w:r>
        <w:rPr/>
        <w:t>China uses Approaches 1 and 2 for land-use change data, including forest inventories every 5 years, agricultural censuses and other surveys. In particular, China is implementing a household contract system for returning cultivated land to woodland. An individual contract system is being introduced whereby households are assigned tasks, receive subsidies and own the trees and other vegetation that they plant. The programme aims at planting about 5 million hectares with trees from year 2000 to 2010. The contracts for this scheme have been used to make a database of specific land-use</w:t>
      </w:r>
      <w:r>
        <w:rPr>
          <w:spacing w:val="-2"/>
        </w:rPr>
        <w:t> </w:t>
      </w:r>
      <w:r>
        <w:rPr/>
        <w:t>changes.</w:t>
      </w:r>
    </w:p>
    <w:p>
      <w:pPr>
        <w:pStyle w:val="BodyText"/>
        <w:spacing w:before="9"/>
        <w:rPr>
          <w:sz w:val="31"/>
        </w:rPr>
      </w:pPr>
    </w:p>
    <w:p>
      <w:pPr>
        <w:pStyle w:val="Heading2"/>
        <w:tabs>
          <w:tab w:pos="1537" w:val="left" w:leader="none"/>
        </w:tabs>
        <w:ind w:left="1559" w:right="234" w:hanging="1440"/>
      </w:pPr>
      <w:r>
        <w:rPr/>
        <w:t>2A.1.4</w:t>
        <w:tab/>
        <w:t>Land-use Matrices in the United Kingdom</w:t>
      </w:r>
      <w:r>
        <w:rPr>
          <w:spacing w:val="-15"/>
        </w:rPr>
        <w:t> </w:t>
      </w:r>
      <w:r>
        <w:rPr/>
        <w:t>(Approaches 1, 2 and</w:t>
      </w:r>
      <w:r>
        <w:rPr>
          <w:spacing w:val="-3"/>
        </w:rPr>
        <w:t> </w:t>
      </w:r>
      <w:r>
        <w:rPr/>
        <w:t>3)</w:t>
      </w:r>
    </w:p>
    <w:p>
      <w:pPr>
        <w:pStyle w:val="BodyText"/>
        <w:spacing w:before="113"/>
        <w:ind w:left="119" w:right="182" w:hanging="1"/>
        <w:jc w:val="both"/>
      </w:pPr>
      <w:r>
        <w:rPr/>
        <w:t>In the United Kingdom, land-use change matrices have been constructed from field survey data (Barr </w:t>
      </w:r>
      <w:r>
        <w:rPr>
          <w:i/>
        </w:rPr>
        <w:t>et al</w:t>
      </w:r>
      <w:r>
        <w:rPr/>
        <w:t>. 1993, Haines-Young, 2000). Three surveys have now been completed, in 1984, 1990 and 1998. Each sample was a 1 km square area and 384 of these were used in 1984 to provide a stratified sampling of 32 eco-climatic zones. These sample squares were revisited in 1990 and 1998 and about another 140 were added for the campaign in 1990 and another 50 for 1998 to improve the coverage of the eco-climatic zones. Initially land-use /cover classes unique to the survey were developed, but in 1998 alternative types common to other agencies in the UK were used. The saved data for 1984 and 1990 have now been reclassified into the new classes. Each 1 km sample was visited by surveyors who, starting from existing 1:10 560 maps, drew outlines of different land cover/use parcels, numbered the parcels and recorded a range of information for each parcel. Subsequently, the maps were digitised and the area of each parcel calculated from the digital data. When a square was revisited some years later, the digitised maps, with the older parcel boundaries, became the starting point for recording of changes in the parcels. Thus data were built up, not only of the areas of land-cover/use classes in each sampling year, but of the transitions occurring between each class. Regional and national estimates of land cover/use and change were then made by weighted averaging of the samples against the occurrence in the different eco-climatic</w:t>
      </w:r>
      <w:r>
        <w:rPr>
          <w:spacing w:val="-29"/>
        </w:rPr>
        <w:t> </w:t>
      </w:r>
      <w:r>
        <w:rPr/>
        <w:t>zones.</w:t>
      </w:r>
    </w:p>
    <w:p>
      <w:pPr>
        <w:pStyle w:val="BodyText"/>
        <w:spacing w:before="116"/>
        <w:ind w:left="119" w:right="186"/>
        <w:jc w:val="both"/>
      </w:pPr>
      <w:r>
        <w:rPr/>
        <w:pict>
          <v:line style="position:absolute;mso-position-horizontal-relative:page;mso-position-vertical-relative:paragraph;z-index:-2452384" from="72.640999pt,82.458122pt" to="170.320999pt,103.578122pt" stroked="true" strokeweight=".24pt" strokecolor="#000000">
            <v:stroke dashstyle="solid"/>
            <w10:wrap type="none"/>
          </v:line>
        </w:pict>
      </w:r>
      <w:r>
        <w:rPr/>
        <w:t>LUC matrices for England, Scotland and Wales between 1984 and 1990 were constructed for a simplified set of land-use categories (Farm, Natural, Urban, Woods, Other) and have been used for estimating emissions and removals for Category 5D (CO</w:t>
      </w:r>
      <w:r>
        <w:rPr>
          <w:vertAlign w:val="subscript"/>
        </w:rPr>
        <w:t>2</w:t>
      </w:r>
      <w:r>
        <w:rPr>
          <w:vertAlign w:val="baseline"/>
        </w:rPr>
        <w:t> emissions and uptake by soils from LUC and management) of the UK greenhouse gas inventory. An example is shown in Table 2A.1.2.</w:t>
      </w:r>
    </w:p>
    <w:p>
      <w:pPr>
        <w:pStyle w:val="BodyText"/>
        <w:spacing w:before="11"/>
        <w:rPr>
          <w:sz w:val="10"/>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3"/>
        <w:gridCol w:w="1056"/>
        <w:gridCol w:w="1198"/>
        <w:gridCol w:w="1200"/>
        <w:gridCol w:w="1198"/>
        <w:gridCol w:w="1200"/>
        <w:gridCol w:w="1200"/>
      </w:tblGrid>
      <w:tr>
        <w:trPr>
          <w:trHeight w:val="445" w:hRule="atLeast"/>
        </w:trPr>
        <w:tc>
          <w:tcPr>
            <w:tcW w:w="9015" w:type="dxa"/>
            <w:gridSpan w:val="7"/>
            <w:tcBorders>
              <w:bottom w:val="double" w:sz="1" w:space="0" w:color="000000"/>
            </w:tcBorders>
          </w:tcPr>
          <w:p>
            <w:pPr>
              <w:pStyle w:val="TableParagraph"/>
              <w:spacing w:line="207" w:lineRule="exact"/>
              <w:ind w:left="129" w:right="123"/>
              <w:jc w:val="center"/>
              <w:rPr>
                <w:b/>
                <w:sz w:val="18"/>
              </w:rPr>
            </w:pPr>
            <w:r>
              <w:rPr>
                <w:b/>
                <w:sz w:val="18"/>
              </w:rPr>
              <w:t>T</w:t>
            </w:r>
            <w:r>
              <w:rPr>
                <w:b/>
                <w:sz w:val="14"/>
              </w:rPr>
              <w:t>ABLE </w:t>
            </w:r>
            <w:r>
              <w:rPr>
                <w:b/>
                <w:sz w:val="18"/>
              </w:rPr>
              <w:t>2A.1.2</w:t>
            </w:r>
          </w:p>
          <w:p>
            <w:pPr>
              <w:pStyle w:val="TableParagraph"/>
              <w:spacing w:before="2"/>
              <w:ind w:left="131" w:right="89"/>
              <w:jc w:val="center"/>
              <w:rPr>
                <w:b/>
                <w:sz w:val="18"/>
              </w:rPr>
            </w:pPr>
            <w:r>
              <w:rPr>
                <w:b/>
                <w:sz w:val="18"/>
              </w:rPr>
              <w:t>L</w:t>
            </w:r>
            <w:r>
              <w:rPr>
                <w:b/>
                <w:sz w:val="14"/>
              </w:rPr>
              <w:t>AND</w:t>
            </w:r>
            <w:r>
              <w:rPr>
                <w:b/>
                <w:sz w:val="18"/>
              </w:rPr>
              <w:t>-</w:t>
            </w:r>
            <w:r>
              <w:rPr>
                <w:b/>
                <w:sz w:val="14"/>
              </w:rPr>
              <w:t>USE CHANGE MATRIX FOR </w:t>
            </w:r>
            <w:r>
              <w:rPr>
                <w:b/>
                <w:sz w:val="18"/>
              </w:rPr>
              <w:t>S</w:t>
            </w:r>
            <w:r>
              <w:rPr>
                <w:b/>
                <w:sz w:val="14"/>
              </w:rPr>
              <w:t>COTLAND BETWEEN </w:t>
            </w:r>
            <w:r>
              <w:rPr>
                <w:b/>
                <w:sz w:val="18"/>
              </w:rPr>
              <w:t>1984 </w:t>
            </w:r>
            <w:r>
              <w:rPr>
                <w:b/>
                <w:sz w:val="14"/>
              </w:rPr>
              <w:t>AND </w:t>
            </w:r>
            <w:r>
              <w:rPr>
                <w:b/>
                <w:sz w:val="18"/>
              </w:rPr>
              <w:t>1990</w:t>
            </w:r>
          </w:p>
        </w:tc>
      </w:tr>
      <w:tr>
        <w:trPr>
          <w:trHeight w:val="423" w:hRule="atLeast"/>
        </w:trPr>
        <w:tc>
          <w:tcPr>
            <w:tcW w:w="1963" w:type="dxa"/>
            <w:tcBorders>
              <w:top w:val="double" w:sz="1" w:space="0" w:color="000000"/>
            </w:tcBorders>
          </w:tcPr>
          <w:p>
            <w:pPr>
              <w:pStyle w:val="TableParagraph"/>
              <w:spacing w:line="182" w:lineRule="exact"/>
              <w:ind w:right="116"/>
              <w:jc w:val="right"/>
              <w:rPr>
                <w:b/>
                <w:sz w:val="16"/>
              </w:rPr>
            </w:pPr>
            <w:r>
              <w:rPr>
                <w:b/>
                <w:sz w:val="16"/>
              </w:rPr>
              <w:t>1990</w:t>
            </w:r>
          </w:p>
          <w:p>
            <w:pPr>
              <w:pStyle w:val="TableParagraph"/>
              <w:spacing w:line="183" w:lineRule="exact"/>
              <w:ind w:left="112"/>
              <w:rPr>
                <w:b/>
                <w:sz w:val="16"/>
              </w:rPr>
            </w:pPr>
            <w:r>
              <w:rPr>
                <w:b/>
                <w:sz w:val="16"/>
              </w:rPr>
              <w:t>1984</w:t>
            </w:r>
          </w:p>
        </w:tc>
        <w:tc>
          <w:tcPr>
            <w:tcW w:w="1056" w:type="dxa"/>
            <w:tcBorders>
              <w:top w:val="double" w:sz="1" w:space="0" w:color="000000"/>
            </w:tcBorders>
          </w:tcPr>
          <w:p>
            <w:pPr>
              <w:pStyle w:val="TableParagraph"/>
              <w:spacing w:before="109"/>
              <w:ind w:left="295" w:right="281"/>
              <w:jc w:val="center"/>
              <w:rPr>
                <w:b/>
                <w:sz w:val="18"/>
              </w:rPr>
            </w:pPr>
            <w:r>
              <w:rPr>
                <w:b/>
                <w:sz w:val="18"/>
              </w:rPr>
              <w:t>Farm</w:t>
            </w:r>
          </w:p>
        </w:tc>
        <w:tc>
          <w:tcPr>
            <w:tcW w:w="1198" w:type="dxa"/>
            <w:tcBorders>
              <w:top w:val="double" w:sz="1" w:space="0" w:color="000000"/>
            </w:tcBorders>
          </w:tcPr>
          <w:p>
            <w:pPr>
              <w:pStyle w:val="TableParagraph"/>
              <w:spacing w:before="109"/>
              <w:ind w:left="278" w:right="270"/>
              <w:jc w:val="center"/>
              <w:rPr>
                <w:b/>
                <w:sz w:val="18"/>
              </w:rPr>
            </w:pPr>
            <w:r>
              <w:rPr>
                <w:b/>
                <w:sz w:val="18"/>
              </w:rPr>
              <w:t>Natural</w:t>
            </w:r>
          </w:p>
        </w:tc>
        <w:tc>
          <w:tcPr>
            <w:tcW w:w="1200" w:type="dxa"/>
            <w:tcBorders>
              <w:top w:val="double" w:sz="1" w:space="0" w:color="000000"/>
            </w:tcBorders>
          </w:tcPr>
          <w:p>
            <w:pPr>
              <w:pStyle w:val="TableParagraph"/>
              <w:spacing w:before="109"/>
              <w:ind w:left="171" w:right="162"/>
              <w:jc w:val="center"/>
              <w:rPr>
                <w:b/>
                <w:sz w:val="18"/>
              </w:rPr>
            </w:pPr>
            <w:r>
              <w:rPr>
                <w:b/>
                <w:sz w:val="18"/>
              </w:rPr>
              <w:t>Urban</w:t>
            </w:r>
          </w:p>
        </w:tc>
        <w:tc>
          <w:tcPr>
            <w:tcW w:w="1198" w:type="dxa"/>
            <w:tcBorders>
              <w:top w:val="double" w:sz="1" w:space="0" w:color="000000"/>
            </w:tcBorders>
          </w:tcPr>
          <w:p>
            <w:pPr>
              <w:pStyle w:val="TableParagraph"/>
              <w:spacing w:before="109"/>
              <w:ind w:left="277" w:right="270"/>
              <w:jc w:val="center"/>
              <w:rPr>
                <w:b/>
                <w:sz w:val="18"/>
              </w:rPr>
            </w:pPr>
            <w:r>
              <w:rPr>
                <w:b/>
                <w:sz w:val="18"/>
              </w:rPr>
              <w:t>Woods</w:t>
            </w:r>
          </w:p>
        </w:tc>
        <w:tc>
          <w:tcPr>
            <w:tcW w:w="1200" w:type="dxa"/>
            <w:tcBorders>
              <w:top w:val="double" w:sz="1" w:space="0" w:color="000000"/>
            </w:tcBorders>
          </w:tcPr>
          <w:p>
            <w:pPr>
              <w:pStyle w:val="TableParagraph"/>
              <w:spacing w:before="109"/>
              <w:ind w:left="170" w:right="164"/>
              <w:jc w:val="center"/>
              <w:rPr>
                <w:b/>
                <w:sz w:val="18"/>
              </w:rPr>
            </w:pPr>
            <w:r>
              <w:rPr>
                <w:b/>
                <w:sz w:val="18"/>
              </w:rPr>
              <w:t>Other</w:t>
            </w:r>
          </w:p>
        </w:tc>
        <w:tc>
          <w:tcPr>
            <w:tcW w:w="1200" w:type="dxa"/>
            <w:tcBorders>
              <w:top w:val="double" w:sz="1" w:space="0" w:color="000000"/>
            </w:tcBorders>
          </w:tcPr>
          <w:p>
            <w:pPr>
              <w:pStyle w:val="TableParagraph"/>
              <w:spacing w:before="109"/>
              <w:ind w:left="171" w:right="164"/>
              <w:jc w:val="center"/>
              <w:rPr>
                <w:b/>
                <w:sz w:val="18"/>
              </w:rPr>
            </w:pPr>
            <w:r>
              <w:rPr>
                <w:b/>
                <w:sz w:val="18"/>
              </w:rPr>
              <w:t>1990 Total</w:t>
            </w:r>
          </w:p>
        </w:tc>
      </w:tr>
      <w:tr>
        <w:trPr>
          <w:trHeight w:val="244" w:hRule="atLeast"/>
        </w:trPr>
        <w:tc>
          <w:tcPr>
            <w:tcW w:w="1963" w:type="dxa"/>
          </w:tcPr>
          <w:p>
            <w:pPr>
              <w:pStyle w:val="TableParagraph"/>
              <w:spacing w:line="205" w:lineRule="exact" w:before="19"/>
              <w:ind w:left="112"/>
              <w:rPr>
                <w:b/>
                <w:sz w:val="18"/>
              </w:rPr>
            </w:pPr>
            <w:r>
              <w:rPr>
                <w:b/>
                <w:sz w:val="18"/>
              </w:rPr>
              <w:t>Farm</w:t>
            </w:r>
          </w:p>
        </w:tc>
        <w:tc>
          <w:tcPr>
            <w:tcW w:w="1056" w:type="dxa"/>
          </w:tcPr>
          <w:p>
            <w:pPr>
              <w:pStyle w:val="TableParagraph"/>
              <w:spacing w:before="14"/>
              <w:ind w:left="290" w:right="281"/>
              <w:jc w:val="center"/>
              <w:rPr>
                <w:sz w:val="18"/>
              </w:rPr>
            </w:pPr>
            <w:r>
              <w:rPr>
                <w:sz w:val="18"/>
              </w:rPr>
              <w:t>1 967</w:t>
            </w:r>
          </w:p>
        </w:tc>
        <w:tc>
          <w:tcPr>
            <w:tcW w:w="1198" w:type="dxa"/>
          </w:tcPr>
          <w:p>
            <w:pPr>
              <w:pStyle w:val="TableParagraph"/>
              <w:spacing w:before="14"/>
              <w:ind w:left="277" w:right="270"/>
              <w:jc w:val="center"/>
              <w:rPr>
                <w:sz w:val="18"/>
              </w:rPr>
            </w:pPr>
            <w:r>
              <w:rPr>
                <w:sz w:val="18"/>
              </w:rPr>
              <w:t>81</w:t>
            </w:r>
          </w:p>
        </w:tc>
        <w:tc>
          <w:tcPr>
            <w:tcW w:w="1200" w:type="dxa"/>
          </w:tcPr>
          <w:p>
            <w:pPr>
              <w:pStyle w:val="TableParagraph"/>
              <w:spacing w:before="14"/>
              <w:ind w:left="3"/>
              <w:jc w:val="center"/>
              <w:rPr>
                <w:sz w:val="18"/>
              </w:rPr>
            </w:pPr>
            <w:r>
              <w:rPr>
                <w:sz w:val="18"/>
              </w:rPr>
              <w:t>6</w:t>
            </w:r>
          </w:p>
        </w:tc>
        <w:tc>
          <w:tcPr>
            <w:tcW w:w="1198" w:type="dxa"/>
          </w:tcPr>
          <w:p>
            <w:pPr>
              <w:pStyle w:val="TableParagraph"/>
              <w:spacing w:before="14"/>
              <w:ind w:left="5"/>
              <w:jc w:val="center"/>
              <w:rPr>
                <w:sz w:val="18"/>
              </w:rPr>
            </w:pPr>
            <w:r>
              <w:rPr>
                <w:sz w:val="18"/>
              </w:rPr>
              <w:t>6</w:t>
            </w:r>
          </w:p>
        </w:tc>
        <w:tc>
          <w:tcPr>
            <w:tcW w:w="1200" w:type="dxa"/>
          </w:tcPr>
          <w:p>
            <w:pPr>
              <w:pStyle w:val="TableParagraph"/>
              <w:spacing w:before="14"/>
              <w:ind w:left="2"/>
              <w:jc w:val="center"/>
              <w:rPr>
                <w:sz w:val="18"/>
              </w:rPr>
            </w:pPr>
            <w:r>
              <w:rPr>
                <w:sz w:val="18"/>
              </w:rPr>
              <w:t>0</w:t>
            </w:r>
          </w:p>
        </w:tc>
        <w:tc>
          <w:tcPr>
            <w:tcW w:w="1200" w:type="dxa"/>
          </w:tcPr>
          <w:p>
            <w:pPr>
              <w:pStyle w:val="TableParagraph"/>
              <w:spacing w:before="14"/>
              <w:ind w:left="171" w:right="163"/>
              <w:jc w:val="center"/>
              <w:rPr>
                <w:sz w:val="18"/>
              </w:rPr>
            </w:pPr>
            <w:r>
              <w:rPr>
                <w:sz w:val="18"/>
              </w:rPr>
              <w:t>2 060</w:t>
            </w:r>
          </w:p>
        </w:tc>
      </w:tr>
      <w:tr>
        <w:trPr>
          <w:trHeight w:val="244" w:hRule="atLeast"/>
        </w:trPr>
        <w:tc>
          <w:tcPr>
            <w:tcW w:w="1963" w:type="dxa"/>
          </w:tcPr>
          <w:p>
            <w:pPr>
              <w:pStyle w:val="TableParagraph"/>
              <w:spacing w:line="205" w:lineRule="exact" w:before="19"/>
              <w:ind w:left="112"/>
              <w:rPr>
                <w:b/>
                <w:sz w:val="18"/>
              </w:rPr>
            </w:pPr>
            <w:r>
              <w:rPr>
                <w:b/>
                <w:sz w:val="18"/>
              </w:rPr>
              <w:t>Natural</w:t>
            </w:r>
          </w:p>
        </w:tc>
        <w:tc>
          <w:tcPr>
            <w:tcW w:w="1056" w:type="dxa"/>
          </w:tcPr>
          <w:p>
            <w:pPr>
              <w:pStyle w:val="TableParagraph"/>
              <w:spacing w:before="14"/>
              <w:ind w:left="290" w:right="281"/>
              <w:jc w:val="center"/>
              <w:rPr>
                <w:sz w:val="18"/>
              </w:rPr>
            </w:pPr>
            <w:r>
              <w:rPr>
                <w:sz w:val="18"/>
              </w:rPr>
              <w:t>113</w:t>
            </w:r>
          </w:p>
        </w:tc>
        <w:tc>
          <w:tcPr>
            <w:tcW w:w="1198" w:type="dxa"/>
          </w:tcPr>
          <w:p>
            <w:pPr>
              <w:pStyle w:val="TableParagraph"/>
              <w:spacing w:before="14"/>
              <w:ind w:left="277" w:right="270"/>
              <w:jc w:val="center"/>
              <w:rPr>
                <w:sz w:val="18"/>
              </w:rPr>
            </w:pPr>
            <w:r>
              <w:rPr>
                <w:sz w:val="18"/>
              </w:rPr>
              <w:t>4 779</w:t>
            </w:r>
          </w:p>
        </w:tc>
        <w:tc>
          <w:tcPr>
            <w:tcW w:w="1200" w:type="dxa"/>
          </w:tcPr>
          <w:p>
            <w:pPr>
              <w:pStyle w:val="TableParagraph"/>
              <w:spacing w:before="14"/>
              <w:ind w:left="3"/>
              <w:jc w:val="center"/>
              <w:rPr>
                <w:sz w:val="18"/>
              </w:rPr>
            </w:pPr>
            <w:r>
              <w:rPr>
                <w:sz w:val="18"/>
              </w:rPr>
              <w:t>5</w:t>
            </w:r>
          </w:p>
        </w:tc>
        <w:tc>
          <w:tcPr>
            <w:tcW w:w="1198" w:type="dxa"/>
          </w:tcPr>
          <w:p>
            <w:pPr>
              <w:pStyle w:val="TableParagraph"/>
              <w:spacing w:before="14"/>
              <w:ind w:left="276" w:right="270"/>
              <w:jc w:val="center"/>
              <w:rPr>
                <w:sz w:val="18"/>
              </w:rPr>
            </w:pPr>
            <w:r>
              <w:rPr>
                <w:sz w:val="18"/>
              </w:rPr>
              <w:t>32</w:t>
            </w:r>
          </w:p>
        </w:tc>
        <w:tc>
          <w:tcPr>
            <w:tcW w:w="1200" w:type="dxa"/>
          </w:tcPr>
          <w:p>
            <w:pPr>
              <w:pStyle w:val="TableParagraph"/>
              <w:spacing w:before="14"/>
              <w:ind w:left="2"/>
              <w:jc w:val="center"/>
              <w:rPr>
                <w:sz w:val="18"/>
              </w:rPr>
            </w:pPr>
            <w:r>
              <w:rPr>
                <w:sz w:val="18"/>
              </w:rPr>
              <w:t>0</w:t>
            </w:r>
          </w:p>
        </w:tc>
        <w:tc>
          <w:tcPr>
            <w:tcW w:w="1200" w:type="dxa"/>
          </w:tcPr>
          <w:p>
            <w:pPr>
              <w:pStyle w:val="TableParagraph"/>
              <w:spacing w:before="14"/>
              <w:ind w:left="171" w:right="163"/>
              <w:jc w:val="center"/>
              <w:rPr>
                <w:sz w:val="18"/>
              </w:rPr>
            </w:pPr>
            <w:r>
              <w:rPr>
                <w:sz w:val="18"/>
              </w:rPr>
              <w:t>4 929</w:t>
            </w:r>
          </w:p>
        </w:tc>
      </w:tr>
      <w:tr>
        <w:trPr>
          <w:trHeight w:val="244" w:hRule="atLeast"/>
        </w:trPr>
        <w:tc>
          <w:tcPr>
            <w:tcW w:w="1963" w:type="dxa"/>
          </w:tcPr>
          <w:p>
            <w:pPr>
              <w:pStyle w:val="TableParagraph"/>
              <w:spacing w:line="205" w:lineRule="exact" w:before="19"/>
              <w:ind w:left="112"/>
              <w:rPr>
                <w:b/>
                <w:sz w:val="18"/>
              </w:rPr>
            </w:pPr>
            <w:r>
              <w:rPr>
                <w:b/>
                <w:sz w:val="18"/>
              </w:rPr>
              <w:t>Urban</w:t>
            </w:r>
          </w:p>
        </w:tc>
        <w:tc>
          <w:tcPr>
            <w:tcW w:w="1056" w:type="dxa"/>
          </w:tcPr>
          <w:p>
            <w:pPr>
              <w:pStyle w:val="TableParagraph"/>
              <w:spacing w:before="14"/>
              <w:ind w:left="291" w:right="281"/>
              <w:jc w:val="center"/>
              <w:rPr>
                <w:sz w:val="18"/>
              </w:rPr>
            </w:pPr>
            <w:r>
              <w:rPr>
                <w:sz w:val="18"/>
              </w:rPr>
              <w:t>14</w:t>
            </w:r>
          </w:p>
        </w:tc>
        <w:tc>
          <w:tcPr>
            <w:tcW w:w="1198" w:type="dxa"/>
          </w:tcPr>
          <w:p>
            <w:pPr>
              <w:pStyle w:val="TableParagraph"/>
              <w:spacing w:before="14"/>
              <w:ind w:left="6"/>
              <w:jc w:val="center"/>
              <w:rPr>
                <w:sz w:val="18"/>
              </w:rPr>
            </w:pPr>
            <w:r>
              <w:rPr>
                <w:sz w:val="18"/>
              </w:rPr>
              <w:t>4</w:t>
            </w:r>
          </w:p>
        </w:tc>
        <w:tc>
          <w:tcPr>
            <w:tcW w:w="1200" w:type="dxa"/>
          </w:tcPr>
          <w:p>
            <w:pPr>
              <w:pStyle w:val="TableParagraph"/>
              <w:spacing w:before="14"/>
              <w:ind w:left="168" w:right="164"/>
              <w:jc w:val="center"/>
              <w:rPr>
                <w:sz w:val="18"/>
              </w:rPr>
            </w:pPr>
            <w:r>
              <w:rPr>
                <w:sz w:val="18"/>
              </w:rPr>
              <w:t>276</w:t>
            </w:r>
          </w:p>
        </w:tc>
        <w:tc>
          <w:tcPr>
            <w:tcW w:w="1198" w:type="dxa"/>
          </w:tcPr>
          <w:p>
            <w:pPr>
              <w:pStyle w:val="TableParagraph"/>
              <w:spacing w:before="14"/>
              <w:ind w:left="5"/>
              <w:jc w:val="center"/>
              <w:rPr>
                <w:sz w:val="18"/>
              </w:rPr>
            </w:pPr>
            <w:r>
              <w:rPr>
                <w:sz w:val="18"/>
              </w:rPr>
              <w:t>1</w:t>
            </w:r>
          </w:p>
        </w:tc>
        <w:tc>
          <w:tcPr>
            <w:tcW w:w="1200" w:type="dxa"/>
          </w:tcPr>
          <w:p>
            <w:pPr>
              <w:pStyle w:val="TableParagraph"/>
              <w:spacing w:before="14"/>
              <w:ind w:left="2"/>
              <w:jc w:val="center"/>
              <w:rPr>
                <w:sz w:val="18"/>
              </w:rPr>
            </w:pPr>
            <w:r>
              <w:rPr>
                <w:sz w:val="18"/>
              </w:rPr>
              <w:t>0</w:t>
            </w:r>
          </w:p>
        </w:tc>
        <w:tc>
          <w:tcPr>
            <w:tcW w:w="1200" w:type="dxa"/>
          </w:tcPr>
          <w:p>
            <w:pPr>
              <w:pStyle w:val="TableParagraph"/>
              <w:spacing w:before="14"/>
              <w:ind w:left="171" w:right="164"/>
              <w:jc w:val="center"/>
              <w:rPr>
                <w:sz w:val="18"/>
              </w:rPr>
            </w:pPr>
            <w:r>
              <w:rPr>
                <w:sz w:val="18"/>
              </w:rPr>
              <w:t>2 95</w:t>
            </w:r>
          </w:p>
        </w:tc>
      </w:tr>
      <w:tr>
        <w:trPr>
          <w:trHeight w:val="246" w:hRule="atLeast"/>
        </w:trPr>
        <w:tc>
          <w:tcPr>
            <w:tcW w:w="1963" w:type="dxa"/>
          </w:tcPr>
          <w:p>
            <w:pPr>
              <w:pStyle w:val="TableParagraph"/>
              <w:spacing w:before="19"/>
              <w:ind w:left="112"/>
              <w:rPr>
                <w:b/>
                <w:sz w:val="18"/>
              </w:rPr>
            </w:pPr>
            <w:r>
              <w:rPr>
                <w:b/>
                <w:sz w:val="18"/>
              </w:rPr>
              <w:t>Woods</w:t>
            </w:r>
          </w:p>
        </w:tc>
        <w:tc>
          <w:tcPr>
            <w:tcW w:w="1056" w:type="dxa"/>
          </w:tcPr>
          <w:p>
            <w:pPr>
              <w:pStyle w:val="TableParagraph"/>
              <w:spacing w:before="14"/>
              <w:ind w:left="8"/>
              <w:jc w:val="center"/>
              <w:rPr>
                <w:sz w:val="18"/>
              </w:rPr>
            </w:pPr>
            <w:r>
              <w:rPr>
                <w:sz w:val="18"/>
              </w:rPr>
              <w:t>9</w:t>
            </w:r>
          </w:p>
        </w:tc>
        <w:tc>
          <w:tcPr>
            <w:tcW w:w="1198" w:type="dxa"/>
          </w:tcPr>
          <w:p>
            <w:pPr>
              <w:pStyle w:val="TableParagraph"/>
              <w:spacing w:before="14"/>
              <w:ind w:left="277" w:right="270"/>
              <w:jc w:val="center"/>
              <w:rPr>
                <w:sz w:val="18"/>
              </w:rPr>
            </w:pPr>
            <w:r>
              <w:rPr>
                <w:sz w:val="18"/>
              </w:rPr>
              <w:t>77</w:t>
            </w:r>
          </w:p>
        </w:tc>
        <w:tc>
          <w:tcPr>
            <w:tcW w:w="1200" w:type="dxa"/>
          </w:tcPr>
          <w:p>
            <w:pPr>
              <w:pStyle w:val="TableParagraph"/>
              <w:spacing w:before="14"/>
              <w:ind w:left="3"/>
              <w:jc w:val="center"/>
              <w:rPr>
                <w:sz w:val="18"/>
              </w:rPr>
            </w:pPr>
            <w:r>
              <w:rPr>
                <w:sz w:val="18"/>
              </w:rPr>
              <w:t>1</w:t>
            </w:r>
          </w:p>
        </w:tc>
        <w:tc>
          <w:tcPr>
            <w:tcW w:w="1198" w:type="dxa"/>
          </w:tcPr>
          <w:p>
            <w:pPr>
              <w:pStyle w:val="TableParagraph"/>
              <w:spacing w:before="14"/>
              <w:ind w:left="276" w:right="270"/>
              <w:jc w:val="center"/>
              <w:rPr>
                <w:sz w:val="18"/>
              </w:rPr>
            </w:pPr>
            <w:r>
              <w:rPr>
                <w:sz w:val="18"/>
              </w:rPr>
              <w:t>981</w:t>
            </w:r>
          </w:p>
        </w:tc>
        <w:tc>
          <w:tcPr>
            <w:tcW w:w="1200" w:type="dxa"/>
          </w:tcPr>
          <w:p>
            <w:pPr>
              <w:pStyle w:val="TableParagraph"/>
              <w:spacing w:before="14"/>
              <w:ind w:left="2"/>
              <w:jc w:val="center"/>
              <w:rPr>
                <w:sz w:val="18"/>
              </w:rPr>
            </w:pPr>
            <w:r>
              <w:rPr>
                <w:sz w:val="18"/>
              </w:rPr>
              <w:t>0</w:t>
            </w:r>
          </w:p>
        </w:tc>
        <w:tc>
          <w:tcPr>
            <w:tcW w:w="1200" w:type="dxa"/>
          </w:tcPr>
          <w:p>
            <w:pPr>
              <w:pStyle w:val="TableParagraph"/>
              <w:spacing w:before="14"/>
              <w:ind w:left="171" w:right="163"/>
              <w:jc w:val="center"/>
              <w:rPr>
                <w:sz w:val="18"/>
              </w:rPr>
            </w:pPr>
            <w:r>
              <w:rPr>
                <w:sz w:val="18"/>
              </w:rPr>
              <w:t>1 068</w:t>
            </w:r>
          </w:p>
        </w:tc>
      </w:tr>
      <w:tr>
        <w:trPr>
          <w:trHeight w:val="244" w:hRule="atLeast"/>
        </w:trPr>
        <w:tc>
          <w:tcPr>
            <w:tcW w:w="1963" w:type="dxa"/>
          </w:tcPr>
          <w:p>
            <w:pPr>
              <w:pStyle w:val="TableParagraph"/>
              <w:spacing w:line="205" w:lineRule="exact" w:before="19"/>
              <w:ind w:left="112"/>
              <w:rPr>
                <w:b/>
                <w:sz w:val="18"/>
              </w:rPr>
            </w:pPr>
            <w:r>
              <w:rPr>
                <w:b/>
                <w:sz w:val="18"/>
              </w:rPr>
              <w:t>Other</w:t>
            </w:r>
          </w:p>
        </w:tc>
        <w:tc>
          <w:tcPr>
            <w:tcW w:w="1056" w:type="dxa"/>
          </w:tcPr>
          <w:p>
            <w:pPr>
              <w:pStyle w:val="TableParagraph"/>
              <w:spacing w:before="14"/>
              <w:ind w:left="8"/>
              <w:jc w:val="center"/>
              <w:rPr>
                <w:sz w:val="18"/>
              </w:rPr>
            </w:pPr>
            <w:r>
              <w:rPr>
                <w:sz w:val="18"/>
              </w:rPr>
              <w:t>0</w:t>
            </w:r>
          </w:p>
        </w:tc>
        <w:tc>
          <w:tcPr>
            <w:tcW w:w="1198" w:type="dxa"/>
          </w:tcPr>
          <w:p>
            <w:pPr>
              <w:pStyle w:val="TableParagraph"/>
              <w:spacing w:before="14"/>
              <w:ind w:left="5"/>
              <w:jc w:val="center"/>
              <w:rPr>
                <w:sz w:val="18"/>
              </w:rPr>
            </w:pPr>
            <w:r>
              <w:rPr>
                <w:sz w:val="18"/>
              </w:rPr>
              <w:t>0</w:t>
            </w:r>
          </w:p>
        </w:tc>
        <w:tc>
          <w:tcPr>
            <w:tcW w:w="1200" w:type="dxa"/>
          </w:tcPr>
          <w:p>
            <w:pPr>
              <w:pStyle w:val="TableParagraph"/>
              <w:spacing w:before="14"/>
              <w:ind w:left="3"/>
              <w:jc w:val="center"/>
              <w:rPr>
                <w:sz w:val="18"/>
              </w:rPr>
            </w:pPr>
            <w:r>
              <w:rPr>
                <w:sz w:val="18"/>
              </w:rPr>
              <w:t>0</w:t>
            </w:r>
          </w:p>
        </w:tc>
        <w:tc>
          <w:tcPr>
            <w:tcW w:w="1198" w:type="dxa"/>
          </w:tcPr>
          <w:p>
            <w:pPr>
              <w:pStyle w:val="TableParagraph"/>
              <w:spacing w:before="14"/>
              <w:ind w:left="5"/>
              <w:jc w:val="center"/>
              <w:rPr>
                <w:sz w:val="18"/>
              </w:rPr>
            </w:pPr>
            <w:r>
              <w:rPr>
                <w:sz w:val="18"/>
              </w:rPr>
              <w:t>0</w:t>
            </w:r>
          </w:p>
        </w:tc>
        <w:tc>
          <w:tcPr>
            <w:tcW w:w="1200" w:type="dxa"/>
          </w:tcPr>
          <w:p>
            <w:pPr>
              <w:pStyle w:val="TableParagraph"/>
              <w:spacing w:before="14"/>
              <w:ind w:left="167" w:right="164"/>
              <w:jc w:val="center"/>
              <w:rPr>
                <w:sz w:val="18"/>
              </w:rPr>
            </w:pPr>
            <w:r>
              <w:rPr>
                <w:sz w:val="18"/>
              </w:rPr>
              <w:t>141</w:t>
            </w:r>
          </w:p>
        </w:tc>
        <w:tc>
          <w:tcPr>
            <w:tcW w:w="1200" w:type="dxa"/>
          </w:tcPr>
          <w:p>
            <w:pPr>
              <w:pStyle w:val="TableParagraph"/>
              <w:spacing w:before="14"/>
              <w:ind w:left="171" w:right="119"/>
              <w:jc w:val="center"/>
              <w:rPr>
                <w:sz w:val="18"/>
              </w:rPr>
            </w:pPr>
            <w:r>
              <w:rPr>
                <w:sz w:val="18"/>
              </w:rPr>
              <w:t>141</w:t>
            </w:r>
          </w:p>
        </w:tc>
      </w:tr>
      <w:tr>
        <w:trPr>
          <w:trHeight w:val="244" w:hRule="atLeast"/>
        </w:trPr>
        <w:tc>
          <w:tcPr>
            <w:tcW w:w="1963" w:type="dxa"/>
          </w:tcPr>
          <w:p>
            <w:pPr>
              <w:pStyle w:val="TableParagraph"/>
              <w:spacing w:line="205" w:lineRule="exact" w:before="19"/>
              <w:ind w:left="112"/>
              <w:rPr>
                <w:b/>
                <w:sz w:val="18"/>
              </w:rPr>
            </w:pPr>
            <w:r>
              <w:rPr>
                <w:b/>
                <w:sz w:val="18"/>
              </w:rPr>
              <w:t>1984 Total</w:t>
            </w:r>
          </w:p>
        </w:tc>
        <w:tc>
          <w:tcPr>
            <w:tcW w:w="1056" w:type="dxa"/>
          </w:tcPr>
          <w:p>
            <w:pPr>
              <w:pStyle w:val="TableParagraph"/>
              <w:spacing w:before="14"/>
              <w:ind w:left="290" w:right="281"/>
              <w:jc w:val="center"/>
              <w:rPr>
                <w:sz w:val="18"/>
              </w:rPr>
            </w:pPr>
            <w:r>
              <w:rPr>
                <w:sz w:val="18"/>
              </w:rPr>
              <w:t>2 103</w:t>
            </w:r>
          </w:p>
        </w:tc>
        <w:tc>
          <w:tcPr>
            <w:tcW w:w="1198" w:type="dxa"/>
          </w:tcPr>
          <w:p>
            <w:pPr>
              <w:pStyle w:val="TableParagraph"/>
              <w:spacing w:before="14"/>
              <w:ind w:left="277" w:right="270"/>
              <w:jc w:val="center"/>
              <w:rPr>
                <w:sz w:val="18"/>
              </w:rPr>
            </w:pPr>
            <w:r>
              <w:rPr>
                <w:sz w:val="18"/>
              </w:rPr>
              <w:t>4 941</w:t>
            </w:r>
          </w:p>
        </w:tc>
        <w:tc>
          <w:tcPr>
            <w:tcW w:w="1200" w:type="dxa"/>
          </w:tcPr>
          <w:p>
            <w:pPr>
              <w:pStyle w:val="TableParagraph"/>
              <w:spacing w:before="14"/>
              <w:ind w:left="168" w:right="164"/>
              <w:jc w:val="center"/>
              <w:rPr>
                <w:sz w:val="18"/>
              </w:rPr>
            </w:pPr>
            <w:r>
              <w:rPr>
                <w:sz w:val="18"/>
              </w:rPr>
              <w:t>288</w:t>
            </w:r>
          </w:p>
        </w:tc>
        <w:tc>
          <w:tcPr>
            <w:tcW w:w="1198" w:type="dxa"/>
          </w:tcPr>
          <w:p>
            <w:pPr>
              <w:pStyle w:val="TableParagraph"/>
              <w:spacing w:before="14"/>
              <w:ind w:left="276" w:right="270"/>
              <w:jc w:val="center"/>
              <w:rPr>
                <w:sz w:val="18"/>
              </w:rPr>
            </w:pPr>
            <w:r>
              <w:rPr>
                <w:sz w:val="18"/>
              </w:rPr>
              <w:t>1 020</w:t>
            </w:r>
          </w:p>
        </w:tc>
        <w:tc>
          <w:tcPr>
            <w:tcW w:w="1200" w:type="dxa"/>
          </w:tcPr>
          <w:p>
            <w:pPr>
              <w:pStyle w:val="TableParagraph"/>
              <w:spacing w:before="14"/>
              <w:ind w:left="167" w:right="164"/>
              <w:jc w:val="center"/>
              <w:rPr>
                <w:sz w:val="18"/>
              </w:rPr>
            </w:pPr>
            <w:r>
              <w:rPr>
                <w:sz w:val="18"/>
              </w:rPr>
              <w:t>141</w:t>
            </w:r>
          </w:p>
        </w:tc>
        <w:tc>
          <w:tcPr>
            <w:tcW w:w="1200" w:type="dxa"/>
          </w:tcPr>
          <w:p>
            <w:pPr>
              <w:pStyle w:val="TableParagraph"/>
              <w:spacing w:before="14"/>
              <w:ind w:left="171" w:right="163"/>
              <w:jc w:val="center"/>
              <w:rPr>
                <w:sz w:val="18"/>
              </w:rPr>
            </w:pPr>
            <w:r>
              <w:rPr>
                <w:sz w:val="18"/>
              </w:rPr>
              <w:t>8 493</w:t>
            </w:r>
          </w:p>
        </w:tc>
      </w:tr>
      <w:tr>
        <w:trPr>
          <w:trHeight w:val="217" w:hRule="atLeast"/>
        </w:trPr>
        <w:tc>
          <w:tcPr>
            <w:tcW w:w="9015" w:type="dxa"/>
            <w:gridSpan w:val="7"/>
          </w:tcPr>
          <w:p>
            <w:pPr>
              <w:pStyle w:val="TableParagraph"/>
              <w:spacing w:before="11"/>
              <w:ind w:left="126"/>
              <w:rPr>
                <w:sz w:val="16"/>
              </w:rPr>
            </w:pPr>
            <w:r>
              <w:rPr>
                <w:sz w:val="16"/>
              </w:rPr>
              <w:t>Note: Areas are thousands of hectares</w:t>
            </w:r>
          </w:p>
        </w:tc>
      </w:tr>
    </w:tbl>
    <w:p>
      <w:pPr>
        <w:pStyle w:val="BodyText"/>
        <w:spacing w:before="53"/>
        <w:ind w:left="119" w:right="187"/>
        <w:jc w:val="both"/>
      </w:pPr>
      <w:r>
        <w:rPr/>
        <w:t>The uncertainty in estimating land use and land-use change for regions using this method of sampling has been described by Barr </w:t>
      </w:r>
      <w:r>
        <w:rPr>
          <w:i/>
        </w:rPr>
        <w:t>et al</w:t>
      </w:r>
      <w:r>
        <w:rPr/>
        <w:t>. (1993). If the variation in land use or change across a region is known or can be estimated by an approximate value then the number of samples needed for a specified level of confidence in the regional total area for that land use or change can be estimated from statistical theory (Cochran,</w:t>
      </w:r>
      <w:r>
        <w:rPr>
          <w:spacing w:val="-24"/>
        </w:rPr>
        <w:t> </w:t>
      </w:r>
      <w:r>
        <w:rPr/>
        <w:t>1977).</w:t>
      </w:r>
    </w:p>
    <w:p>
      <w:pPr>
        <w:spacing w:after="0"/>
        <w:jc w:val="both"/>
        <w:sectPr>
          <w:pgSz w:w="11900" w:h="16840"/>
          <w:pgMar w:header="230" w:footer="408" w:top="920" w:bottom="600" w:left="1300" w:right="1220"/>
        </w:sectPr>
      </w:pPr>
    </w:p>
    <w:p>
      <w:pPr>
        <w:pStyle w:val="Heading2"/>
        <w:tabs>
          <w:tab w:pos="1537" w:val="left" w:leader="none"/>
        </w:tabs>
        <w:spacing w:before="86"/>
        <w:ind w:left="1537" w:right="368" w:hanging="1419"/>
      </w:pPr>
      <w:r>
        <w:rPr/>
        <w:pict>
          <v:shape style="position:absolute;margin-left:397.00061pt;margin-top:565.579651pt;width:117.35pt;height:70.95pt;mso-position-horizontal-relative:page;mso-position-vertical-relative:page;z-index:-2452144" type="#_x0000_t202" filled="false" stroked="false">
            <v:textbox inset="0,0,0,0">
              <w:txbxContent>
                <w:p>
                  <w:pPr>
                    <w:spacing w:line="198" w:lineRule="exact" w:before="0"/>
                    <w:ind w:left="916" w:right="835" w:firstLine="0"/>
                    <w:jc w:val="center"/>
                    <w:rPr>
                      <w:b/>
                      <w:sz w:val="18"/>
                    </w:rPr>
                  </w:pPr>
                  <w:r>
                    <w:rPr>
                      <w:b/>
                      <w:sz w:val="18"/>
                    </w:rPr>
                    <w:t>Stage 5</w:t>
                  </w:r>
                </w:p>
                <w:p>
                  <w:pPr>
                    <w:spacing w:line="204" w:lineRule="exact" w:before="0"/>
                    <w:ind w:left="662" w:right="0" w:firstLine="0"/>
                    <w:jc w:val="left"/>
                    <w:rPr>
                      <w:rFonts w:ascii="TimesNewRomanPS-BoldItalicMT"/>
                      <w:b/>
                      <w:i/>
                      <w:sz w:val="18"/>
                    </w:rPr>
                  </w:pPr>
                  <w:r>
                    <w:rPr>
                      <w:rFonts w:ascii="TimesNewRomanPS-BoldItalicMT"/>
                      <w:b/>
                      <w:i/>
                      <w:sz w:val="18"/>
                    </w:rPr>
                    <w:t>Field Checking</w:t>
                  </w:r>
                </w:p>
                <w:p>
                  <w:pPr>
                    <w:spacing w:line="204" w:lineRule="exact" w:before="0"/>
                    <w:ind w:left="0" w:right="0" w:firstLine="0"/>
                    <w:jc w:val="left"/>
                    <w:rPr>
                      <w:sz w:val="18"/>
                    </w:rPr>
                  </w:pPr>
                  <w:r>
                    <w:rPr>
                      <w:sz w:val="18"/>
                    </w:rPr>
                    <w:t>- Verify draft land cover classes</w:t>
                  </w:r>
                </w:p>
                <w:p>
                  <w:pPr>
                    <w:spacing w:line="235" w:lineRule="auto" w:before="2"/>
                    <w:ind w:left="136" w:right="-4" w:hanging="137"/>
                    <w:jc w:val="left"/>
                    <w:rPr>
                      <w:sz w:val="18"/>
                    </w:rPr>
                  </w:pPr>
                  <w:r>
                    <w:rPr>
                      <w:sz w:val="18"/>
                    </w:rPr>
                    <w:t>- Supply recommended edits to draft classification / additional ground data to contractors at Stage 4</w:t>
                  </w:r>
                </w:p>
              </w:txbxContent>
            </v:textbox>
            <w10:wrap type="none"/>
          </v:shape>
        </w:pict>
      </w:r>
      <w:r>
        <w:rPr/>
        <w:pict>
          <v:shape style="position:absolute;margin-left:251.800003pt;margin-top:602.179688pt;width:121.75pt;height:121.1pt;mso-position-horizontal-relative:page;mso-position-vertical-relative:page;z-index:-2452120" type="#_x0000_t202" filled="false" stroked="false">
            <v:textbox inset="0,0,0,0">
              <w:txbxContent>
                <w:p>
                  <w:pPr>
                    <w:spacing w:line="198" w:lineRule="exact" w:before="0"/>
                    <w:ind w:left="279" w:right="280" w:firstLine="0"/>
                    <w:jc w:val="center"/>
                    <w:rPr>
                      <w:b/>
                      <w:sz w:val="18"/>
                    </w:rPr>
                  </w:pPr>
                  <w:r>
                    <w:rPr>
                      <w:b/>
                      <w:sz w:val="18"/>
                    </w:rPr>
                    <w:t>Stage 4</w:t>
                  </w:r>
                </w:p>
                <w:p>
                  <w:pPr>
                    <w:spacing w:line="223" w:lineRule="auto" w:before="10"/>
                    <w:ind w:left="355" w:right="280" w:firstLine="0"/>
                    <w:jc w:val="center"/>
                    <w:rPr>
                      <w:rFonts w:ascii="TimesNewRomanPS-BoldItalicMT"/>
                      <w:b/>
                      <w:i/>
                      <w:sz w:val="18"/>
                    </w:rPr>
                  </w:pPr>
                  <w:r>
                    <w:rPr>
                      <w:rFonts w:ascii="TimesNewRomanPS-BoldItalicMT"/>
                      <w:b/>
                      <w:i/>
                      <w:sz w:val="18"/>
                    </w:rPr>
                    <w:t>LCDB 2 GIS processing Stage 4a</w:t>
                  </w:r>
                </w:p>
                <w:p>
                  <w:pPr>
                    <w:spacing w:before="11"/>
                    <w:ind w:left="124" w:right="0" w:hanging="125"/>
                    <w:jc w:val="left"/>
                    <w:rPr>
                      <w:sz w:val="18"/>
                    </w:rPr>
                  </w:pPr>
                  <w:r>
                    <w:rPr>
                      <w:sz w:val="18"/>
                    </w:rPr>
                    <w:t>- Correct LCDB1 classification and generalisationerrors</w:t>
                  </w:r>
                </w:p>
                <w:p>
                  <w:pPr>
                    <w:spacing w:line="187" w:lineRule="exact" w:before="0"/>
                    <w:ind w:left="0" w:right="0" w:firstLine="0"/>
                    <w:jc w:val="left"/>
                    <w:rPr>
                      <w:b/>
                      <w:sz w:val="18"/>
                    </w:rPr>
                  </w:pPr>
                  <w:r>
                    <w:rPr>
                      <w:sz w:val="18"/>
                    </w:rPr>
                    <w:t>- Confirm</w:t>
                  </w:r>
                  <w:r>
                    <w:rPr>
                      <w:b/>
                      <w:position w:val="1"/>
                      <w:sz w:val="18"/>
                    </w:rPr>
                    <w:t>actual land cover</w:t>
                  </w:r>
                </w:p>
                <w:p>
                  <w:pPr>
                    <w:spacing w:line="210" w:lineRule="exact" w:before="0"/>
                    <w:ind w:left="91" w:right="0" w:firstLine="0"/>
                    <w:jc w:val="left"/>
                    <w:rPr>
                      <w:sz w:val="18"/>
                    </w:rPr>
                  </w:pPr>
                  <w:r>
                    <w:rPr>
                      <w:b/>
                      <w:position w:val="1"/>
                      <w:sz w:val="18"/>
                    </w:rPr>
                    <w:t>changes</w:t>
                  </w:r>
                  <w:r>
                    <w:rPr>
                      <w:sz w:val="18"/>
                    </w:rPr>
                    <w:t>between image dates</w:t>
                  </w:r>
                </w:p>
                <w:p>
                  <w:pPr>
                    <w:spacing w:line="200" w:lineRule="exact" w:before="0"/>
                    <w:ind w:left="0" w:right="0" w:firstLine="0"/>
                    <w:jc w:val="left"/>
                    <w:rPr>
                      <w:sz w:val="18"/>
                    </w:rPr>
                  </w:pPr>
                  <w:r>
                    <w:rPr>
                      <w:sz w:val="18"/>
                    </w:rPr>
                    <w:t>- Code type of land cover change</w:t>
                  </w:r>
                </w:p>
                <w:p>
                  <w:pPr>
                    <w:spacing w:line="237" w:lineRule="auto" w:before="0"/>
                    <w:ind w:left="0" w:right="-8" w:firstLine="0"/>
                    <w:jc w:val="left"/>
                    <w:rPr>
                      <w:sz w:val="18"/>
                    </w:rPr>
                  </w:pPr>
                  <w:r>
                    <w:rPr>
                      <w:sz w:val="18"/>
                    </w:rPr>
                    <w:t>-Supply LCDB2 classification</w:t>
                  </w:r>
                  <w:r>
                    <w:rPr>
                      <w:spacing w:val="-12"/>
                      <w:sz w:val="18"/>
                    </w:rPr>
                    <w:t> </w:t>
                  </w:r>
                  <w:r>
                    <w:rPr>
                      <w:sz w:val="18"/>
                    </w:rPr>
                    <w:t>for Field Check</w:t>
                  </w:r>
                </w:p>
                <w:p>
                  <w:pPr>
                    <w:spacing w:line="195" w:lineRule="exact" w:before="0"/>
                    <w:ind w:left="218" w:right="0" w:firstLine="0"/>
                    <w:jc w:val="left"/>
                    <w:rPr>
                      <w:rFonts w:ascii="TimesNewRomanPS-BoldItalicMT"/>
                      <w:b/>
                      <w:i/>
                      <w:sz w:val="18"/>
                    </w:rPr>
                  </w:pPr>
                  <w:r>
                    <w:rPr>
                      <w:rFonts w:ascii="TimesNewRomanPS-BoldItalicMT"/>
                      <w:b/>
                      <w:i/>
                      <w:sz w:val="18"/>
                    </w:rPr>
                    <w:t>Stage</w:t>
                  </w:r>
                  <w:r>
                    <w:rPr>
                      <w:rFonts w:ascii="TimesNewRomanPS-BoldItalicMT"/>
                      <w:b/>
                      <w:i/>
                      <w:spacing w:val="-1"/>
                      <w:sz w:val="18"/>
                    </w:rPr>
                    <w:t> </w:t>
                  </w:r>
                  <w:r>
                    <w:rPr>
                      <w:rFonts w:ascii="TimesNewRomanPS-BoldItalicMT"/>
                      <w:b/>
                      <w:i/>
                      <w:sz w:val="18"/>
                    </w:rPr>
                    <w:t>4b</w:t>
                  </w:r>
                </w:p>
                <w:p>
                  <w:pPr>
                    <w:spacing w:line="205" w:lineRule="exact" w:before="0"/>
                    <w:ind w:left="0" w:right="0" w:firstLine="0"/>
                    <w:jc w:val="left"/>
                    <w:rPr>
                      <w:sz w:val="18"/>
                    </w:rPr>
                  </w:pPr>
                  <w:r>
                    <w:rPr>
                      <w:sz w:val="18"/>
                    </w:rPr>
                    <w:t>- Edit vectors from Field Check</w:t>
                  </w:r>
                </w:p>
              </w:txbxContent>
            </v:textbox>
            <w10:wrap type="none"/>
          </v:shape>
        </w:pict>
      </w:r>
      <w:r>
        <w:rPr/>
        <w:pict>
          <v:shape style="position:absolute;margin-left:76.960602pt;margin-top:510.859589pt;width:136.15pt;height:50.8pt;mso-position-horizontal-relative:page;mso-position-vertical-relative:page;z-index:-2452072" type="#_x0000_t202" filled="false" stroked="false">
            <v:textbox inset="0,0,0,0">
              <w:txbxContent>
                <w:p>
                  <w:pPr>
                    <w:spacing w:line="197" w:lineRule="exact" w:before="0"/>
                    <w:ind w:left="847" w:right="475" w:firstLine="0"/>
                    <w:jc w:val="center"/>
                    <w:rPr>
                      <w:b/>
                      <w:sz w:val="18"/>
                    </w:rPr>
                  </w:pPr>
                  <w:r>
                    <w:rPr>
                      <w:b/>
                      <w:sz w:val="18"/>
                    </w:rPr>
                    <w:t>Stage 2</w:t>
                  </w:r>
                </w:p>
                <w:p>
                  <w:pPr>
                    <w:spacing w:line="203" w:lineRule="exact" w:before="0"/>
                    <w:ind w:left="883" w:right="475" w:firstLine="0"/>
                    <w:jc w:val="center"/>
                    <w:rPr>
                      <w:rFonts w:ascii="TimesNewRomanPS-BoldItalicMT"/>
                      <w:b/>
                      <w:i/>
                      <w:sz w:val="18"/>
                    </w:rPr>
                  </w:pPr>
                  <w:r>
                    <w:rPr>
                      <w:rFonts w:ascii="TimesNewRomanPS-BoldItalicMT"/>
                      <w:b/>
                      <w:i/>
                      <w:sz w:val="18"/>
                    </w:rPr>
                    <w:t>Image Processing</w:t>
                  </w:r>
                </w:p>
                <w:p>
                  <w:pPr>
                    <w:spacing w:line="205" w:lineRule="exact" w:before="0"/>
                    <w:ind w:left="0" w:right="0" w:firstLine="0"/>
                    <w:jc w:val="left"/>
                    <w:rPr>
                      <w:sz w:val="18"/>
                    </w:rPr>
                  </w:pPr>
                  <w:r>
                    <w:rPr>
                      <w:sz w:val="18"/>
                    </w:rPr>
                    <w:t>- Pan sharpen ETM+ imagery to 15m</w:t>
                  </w:r>
                </w:p>
                <w:p>
                  <w:pPr>
                    <w:spacing w:line="205" w:lineRule="exact" w:before="0"/>
                    <w:ind w:left="0" w:right="0" w:firstLine="0"/>
                    <w:jc w:val="left"/>
                    <w:rPr>
                      <w:sz w:val="18"/>
                    </w:rPr>
                  </w:pPr>
                  <w:r>
                    <w:rPr>
                      <w:sz w:val="18"/>
                    </w:rPr>
                    <w:t>- Ortho-rectify imagery</w:t>
                  </w:r>
                </w:p>
                <w:p>
                  <w:pPr>
                    <w:spacing w:line="205" w:lineRule="exact" w:before="0"/>
                    <w:ind w:left="0" w:right="0" w:firstLine="0"/>
                    <w:jc w:val="left"/>
                    <w:rPr>
                      <w:sz w:val="18"/>
                    </w:rPr>
                  </w:pPr>
                  <w:r>
                    <w:rPr>
                      <w:sz w:val="18"/>
                    </w:rPr>
                    <w:t>- Run TopographicNormalisation</w:t>
                  </w:r>
                </w:p>
              </w:txbxContent>
            </v:textbox>
            <w10:wrap type="none"/>
          </v:shape>
        </w:pict>
      </w:r>
      <w:r>
        <w:rPr/>
        <w:pict>
          <v:shape style="position:absolute;margin-left:93.520599pt;margin-top:597.61969pt;width:125.05pt;height:70.850pt;mso-position-horizontal-relative:page;mso-position-vertical-relative:page;z-index:-2452048" type="#_x0000_t202" filled="false" stroked="false">
            <v:textbox inset="0,0,0,0">
              <w:txbxContent>
                <w:p>
                  <w:pPr>
                    <w:spacing w:line="197" w:lineRule="exact" w:before="0"/>
                    <w:ind w:left="920" w:right="985" w:firstLine="0"/>
                    <w:jc w:val="center"/>
                    <w:rPr>
                      <w:b/>
                      <w:sz w:val="18"/>
                    </w:rPr>
                  </w:pPr>
                  <w:r>
                    <w:rPr>
                      <w:b/>
                      <w:sz w:val="18"/>
                    </w:rPr>
                    <w:t>Stage 3</w:t>
                  </w:r>
                </w:p>
                <w:p>
                  <w:pPr>
                    <w:spacing w:line="203" w:lineRule="exact" w:before="0"/>
                    <w:ind w:left="367" w:right="0" w:firstLine="0"/>
                    <w:jc w:val="left"/>
                    <w:rPr>
                      <w:rFonts w:ascii="TimesNewRomanPS-BoldItalicMT"/>
                      <w:b/>
                      <w:i/>
                      <w:sz w:val="18"/>
                    </w:rPr>
                  </w:pPr>
                  <w:r>
                    <w:rPr>
                      <w:rFonts w:ascii="TimesNewRomanPS-BoldItalicMT"/>
                      <w:b/>
                      <w:i/>
                      <w:sz w:val="18"/>
                    </w:rPr>
                    <w:t>Spectral Integrity check</w:t>
                  </w:r>
                </w:p>
                <w:p>
                  <w:pPr>
                    <w:spacing w:before="0"/>
                    <w:ind w:left="0" w:right="0" w:firstLine="0"/>
                    <w:jc w:val="left"/>
                    <w:rPr>
                      <w:sz w:val="18"/>
                    </w:rPr>
                  </w:pPr>
                  <w:r>
                    <w:rPr>
                      <w:sz w:val="18"/>
                    </w:rPr>
                    <w:t>-Perform Spectral Integrity Check of LCDB1 (1996) with 2001 / 02</w:t>
                  </w:r>
                </w:p>
                <w:p>
                  <w:pPr>
                    <w:spacing w:line="198" w:lineRule="exact" w:before="0"/>
                    <w:ind w:left="0" w:right="0" w:firstLine="0"/>
                    <w:jc w:val="left"/>
                    <w:rPr>
                      <w:sz w:val="18"/>
                    </w:rPr>
                  </w:pPr>
                  <w:r>
                    <w:rPr>
                      <w:sz w:val="18"/>
                    </w:rPr>
                    <w:t>imagery</w:t>
                  </w:r>
                </w:p>
                <w:p>
                  <w:pPr>
                    <w:spacing w:line="237" w:lineRule="auto" w:before="0"/>
                    <w:ind w:left="0" w:right="-19" w:firstLine="0"/>
                    <w:jc w:val="left"/>
                    <w:rPr>
                      <w:sz w:val="18"/>
                    </w:rPr>
                  </w:pPr>
                  <w:r>
                    <w:rPr>
                      <w:sz w:val="18"/>
                    </w:rPr>
                    <w:t>-Highlight pixels that deviate from assigned LCDB1 class</w:t>
                  </w:r>
                </w:p>
              </w:txbxContent>
            </v:textbox>
            <w10:wrap type="none"/>
          </v:shape>
        </w:pict>
      </w:r>
      <w:r>
        <w:rPr/>
        <w:pict>
          <v:shape style="position:absolute;margin-left:249.040604pt;margin-top:501.619568pt;width:129.25pt;height:70.95pt;mso-position-horizontal-relative:page;mso-position-vertical-relative:page;z-index:-2452024" type="#_x0000_t202" filled="false" stroked="false">
            <v:textbox inset="0,0,0,0">
              <w:txbxContent>
                <w:p>
                  <w:pPr>
                    <w:spacing w:line="198" w:lineRule="exact" w:before="0"/>
                    <w:ind w:left="975" w:right="1014" w:firstLine="0"/>
                    <w:jc w:val="center"/>
                    <w:rPr>
                      <w:b/>
                      <w:sz w:val="18"/>
                    </w:rPr>
                  </w:pPr>
                  <w:r>
                    <w:rPr>
                      <w:b/>
                      <w:sz w:val="18"/>
                    </w:rPr>
                    <w:t>Stage 6</w:t>
                  </w:r>
                </w:p>
                <w:p>
                  <w:pPr>
                    <w:spacing w:line="204" w:lineRule="exact" w:before="0"/>
                    <w:ind w:left="513" w:right="0" w:firstLine="0"/>
                    <w:jc w:val="left"/>
                    <w:rPr>
                      <w:rFonts w:ascii="TimesNewRomanPS-BoldItalicMT"/>
                      <w:b/>
                      <w:i/>
                      <w:sz w:val="18"/>
                    </w:rPr>
                  </w:pPr>
                  <w:r>
                    <w:rPr>
                      <w:rFonts w:ascii="TimesNewRomanPS-BoldItalicMT"/>
                      <w:b/>
                      <w:i/>
                      <w:sz w:val="18"/>
                    </w:rPr>
                    <w:t>Accuracy Assessment</w:t>
                  </w:r>
                </w:p>
                <w:p>
                  <w:pPr>
                    <w:spacing w:line="232" w:lineRule="auto" w:before="3"/>
                    <w:ind w:left="124" w:right="-4" w:hanging="125"/>
                    <w:jc w:val="left"/>
                    <w:rPr>
                      <w:sz w:val="18"/>
                    </w:rPr>
                  </w:pPr>
                  <w:r>
                    <w:rPr>
                      <w:sz w:val="18"/>
                    </w:rPr>
                    <w:t>- Decide on Sampling Intensity by class, acquire relevant aerial photography and ancillary ground data to complete the work.</w:t>
                  </w:r>
                </w:p>
                <w:p>
                  <w:pPr>
                    <w:spacing w:before="3"/>
                    <w:ind w:left="0" w:right="0" w:firstLine="0"/>
                    <w:jc w:val="left"/>
                    <w:rPr>
                      <w:sz w:val="18"/>
                    </w:rPr>
                  </w:pPr>
                  <w:r>
                    <w:rPr>
                      <w:sz w:val="18"/>
                    </w:rPr>
                    <w:t>- Publish Accuracy Assessment</w:t>
                  </w:r>
                </w:p>
              </w:txbxContent>
            </v:textbox>
            <w10:wrap type="none"/>
          </v:shape>
        </w:pict>
      </w:r>
      <w:r>
        <w:rPr>
          <w:spacing w:val="-4"/>
        </w:rPr>
        <w:t>2A.1.5</w:t>
        <w:tab/>
        <w:t>The New Zealand Example </w:t>
      </w:r>
      <w:r>
        <w:rPr/>
        <w:t>of </w:t>
      </w:r>
      <w:r>
        <w:rPr>
          <w:spacing w:val="-4"/>
        </w:rPr>
        <w:t>Implementation </w:t>
      </w:r>
      <w:r>
        <w:rPr/>
        <w:t>of </w:t>
      </w:r>
      <w:r>
        <w:rPr>
          <w:spacing w:val="-3"/>
        </w:rPr>
        <w:t>Land- </w:t>
      </w:r>
      <w:r>
        <w:rPr>
          <w:spacing w:val="-4"/>
        </w:rPr>
        <w:t>Use/Cover Database </w:t>
      </w:r>
      <w:r>
        <w:rPr>
          <w:spacing w:val="-3"/>
        </w:rPr>
        <w:t>from </w:t>
      </w:r>
      <w:r>
        <w:rPr>
          <w:spacing w:val="-4"/>
        </w:rPr>
        <w:t>Remote Sensing (Approach</w:t>
      </w:r>
      <w:r>
        <w:rPr>
          <w:spacing w:val="-31"/>
        </w:rPr>
        <w:t> </w:t>
      </w:r>
      <w:r>
        <w:rPr>
          <w:spacing w:val="-5"/>
        </w:rPr>
        <w:t>3)</w:t>
      </w:r>
    </w:p>
    <w:p>
      <w:pPr>
        <w:pStyle w:val="BodyText"/>
        <w:spacing w:before="115"/>
        <w:ind w:left="119" w:right="116"/>
      </w:pPr>
      <w:r>
        <w:rPr/>
        <w:t>The first New Zealand land-use /Cover Database (NZLCDB) was completed in June 2000 from satellite images acquired, mainly during the summer of 1996/97. For New Zealand, an appropriate period of time for detecting significant land-cover changes is considered to be five years. Landsat Enhanced Thematic Mapper Plus (7 ETM+) is the preferred sensor with in-fill from </w:t>
      </w:r>
      <w:r>
        <w:rPr>
          <w:i/>
        </w:rPr>
        <w:t>Système Probatoire d’Observation de la Terre </w:t>
      </w:r>
      <w:r>
        <w:rPr/>
        <w:t>(SPOT) as necessary. Work commenced in 2001/02 on image acquisition and analyses, which will continue through until 2003/04 to produce NZLCDB2, following stages outlined</w:t>
      </w:r>
      <w:r>
        <w:rPr>
          <w:spacing w:val="-1"/>
        </w:rPr>
        <w:t> </w:t>
      </w:r>
      <w:r>
        <w:rPr/>
        <w:t>below.</w:t>
      </w:r>
    </w:p>
    <w:p>
      <w:pPr>
        <w:pStyle w:val="BodyText"/>
        <w:spacing w:before="118"/>
        <w:ind w:left="119" w:right="151"/>
      </w:pPr>
      <w:r>
        <w:rPr/>
        <w:t>The cost of Land-Cover Database 2 (NZLCDB2) is of the order of US$1 500 000 for 270 000 km</w:t>
      </w:r>
      <w:r>
        <w:rPr>
          <w:vertAlign w:val="superscript"/>
        </w:rPr>
        <w:t>2</w:t>
      </w:r>
      <w:r>
        <w:rPr>
          <w:vertAlign w:val="baseline"/>
        </w:rPr>
        <w:t> i.e., US$5.6 per km</w:t>
      </w:r>
      <w:r>
        <w:rPr>
          <w:vertAlign w:val="superscript"/>
        </w:rPr>
        <w:t>2</w:t>
      </w:r>
      <w:r>
        <w:rPr>
          <w:vertAlign w:val="baseline"/>
        </w:rPr>
        <w:t> and it will provide:</w:t>
      </w:r>
    </w:p>
    <w:p>
      <w:pPr>
        <w:pStyle w:val="ListParagraph"/>
        <w:numPr>
          <w:ilvl w:val="0"/>
          <w:numId w:val="23"/>
        </w:numPr>
        <w:tabs>
          <w:tab w:pos="479" w:val="left" w:leader="none"/>
          <w:tab w:pos="480" w:val="left" w:leader="none"/>
        </w:tabs>
        <w:spacing w:line="223" w:lineRule="auto" w:before="147" w:after="0"/>
        <w:ind w:left="479" w:right="188" w:hanging="360"/>
        <w:jc w:val="left"/>
        <w:rPr>
          <w:sz w:val="20"/>
        </w:rPr>
      </w:pPr>
      <w:r>
        <w:rPr>
          <w:sz w:val="20"/>
        </w:rPr>
        <w:t>A complete set of multi-spectral and ortho-corrected satellite imagery covering New Zealand sharpened to 15m spatial</w:t>
      </w:r>
      <w:r>
        <w:rPr>
          <w:spacing w:val="-5"/>
          <w:sz w:val="20"/>
        </w:rPr>
        <w:t> </w:t>
      </w:r>
      <w:r>
        <w:rPr>
          <w:sz w:val="20"/>
        </w:rPr>
        <w:t>resolution;</w:t>
      </w:r>
    </w:p>
    <w:p>
      <w:pPr>
        <w:pStyle w:val="ListParagraph"/>
        <w:numPr>
          <w:ilvl w:val="0"/>
          <w:numId w:val="23"/>
        </w:numPr>
        <w:tabs>
          <w:tab w:pos="479" w:val="left" w:leader="none"/>
          <w:tab w:pos="480" w:val="left" w:leader="none"/>
        </w:tabs>
        <w:spacing w:line="223" w:lineRule="auto" w:before="149" w:after="0"/>
        <w:ind w:left="479" w:right="187" w:hanging="360"/>
        <w:jc w:val="left"/>
        <w:rPr>
          <w:sz w:val="20"/>
        </w:rPr>
      </w:pPr>
      <w:r>
        <w:rPr>
          <w:sz w:val="20"/>
        </w:rPr>
        <w:t>A revised NZLCDB1 digital GIS map of land-cover classes with identified classification and generalisation errors</w:t>
      </w:r>
      <w:r>
        <w:rPr>
          <w:spacing w:val="-2"/>
          <w:sz w:val="20"/>
        </w:rPr>
        <w:t> </w:t>
      </w:r>
      <w:r>
        <w:rPr>
          <w:sz w:val="20"/>
        </w:rPr>
        <w:t>corrected;</w:t>
      </w:r>
    </w:p>
    <w:p>
      <w:pPr>
        <w:pStyle w:val="ListParagraph"/>
        <w:numPr>
          <w:ilvl w:val="0"/>
          <w:numId w:val="23"/>
        </w:numPr>
        <w:tabs>
          <w:tab w:pos="479" w:val="left" w:leader="none"/>
          <w:tab w:pos="480" w:val="left" w:leader="none"/>
        </w:tabs>
        <w:spacing w:line="240" w:lineRule="auto" w:before="139" w:after="0"/>
        <w:ind w:left="479" w:right="0" w:hanging="360"/>
        <w:jc w:val="left"/>
        <w:rPr>
          <w:sz w:val="20"/>
        </w:rPr>
      </w:pPr>
      <w:r>
        <w:rPr>
          <w:sz w:val="20"/>
        </w:rPr>
        <w:t>A new NZLCDB2 digital GIS map of land-cover classes compatible with NZLCDB1 "parent</w:t>
      </w:r>
      <w:r>
        <w:rPr>
          <w:spacing w:val="-17"/>
          <w:sz w:val="20"/>
        </w:rPr>
        <w:t> </w:t>
      </w:r>
      <w:r>
        <w:rPr>
          <w:sz w:val="20"/>
        </w:rPr>
        <w:t>classes";</w:t>
      </w:r>
    </w:p>
    <w:p>
      <w:pPr>
        <w:pStyle w:val="ListParagraph"/>
        <w:numPr>
          <w:ilvl w:val="0"/>
          <w:numId w:val="23"/>
        </w:numPr>
        <w:tabs>
          <w:tab w:pos="479" w:val="left" w:leader="none"/>
          <w:tab w:pos="480" w:val="left" w:leader="none"/>
        </w:tabs>
        <w:spacing w:line="223" w:lineRule="auto" w:before="130" w:after="0"/>
        <w:ind w:left="479" w:right="184" w:hanging="360"/>
        <w:jc w:val="left"/>
        <w:rPr>
          <w:sz w:val="20"/>
        </w:rPr>
      </w:pPr>
      <w:r>
        <w:rPr>
          <w:sz w:val="20"/>
        </w:rPr>
        <w:t>A digital GIS map recording changes identified in land cover for New Zealand at the 1 ha minimum mapping unit,</w:t>
      </w:r>
      <w:r>
        <w:rPr>
          <w:spacing w:val="-1"/>
          <w:sz w:val="20"/>
        </w:rPr>
        <w:t> </w:t>
      </w:r>
      <w:r>
        <w:rPr>
          <w:sz w:val="20"/>
        </w:rPr>
        <w:t>and</w:t>
      </w:r>
    </w:p>
    <w:p>
      <w:pPr>
        <w:pStyle w:val="ListParagraph"/>
        <w:numPr>
          <w:ilvl w:val="0"/>
          <w:numId w:val="23"/>
        </w:numPr>
        <w:tabs>
          <w:tab w:pos="479" w:val="left" w:leader="none"/>
          <w:tab w:pos="480" w:val="left" w:leader="none"/>
        </w:tabs>
        <w:spacing w:line="223" w:lineRule="auto" w:before="149" w:after="0"/>
        <w:ind w:left="479" w:right="190" w:hanging="360"/>
        <w:jc w:val="left"/>
        <w:rPr>
          <w:sz w:val="20"/>
        </w:rPr>
      </w:pPr>
      <w:r>
        <w:rPr>
          <w:sz w:val="20"/>
        </w:rPr>
        <w:t>An accuracy assessment of NZLCDB2 including an error matrix to estimate data quality both spatially and by</w:t>
      </w:r>
      <w:r>
        <w:rPr>
          <w:spacing w:val="-5"/>
          <w:sz w:val="20"/>
        </w:rPr>
        <w:t> </w:t>
      </w:r>
      <w:r>
        <w:rPr>
          <w:sz w:val="20"/>
        </w:rPr>
        <w:t>class.</w:t>
      </w:r>
    </w:p>
    <w:p>
      <w:pPr>
        <w:pStyle w:val="BodyText"/>
        <w:spacing w:before="124"/>
        <w:ind w:left="119" w:right="182"/>
        <w:jc w:val="both"/>
      </w:pPr>
      <w:r>
        <w:rPr/>
        <w:t>A fuller description of the New Zealand Land-Cover Database project, which will be updated as the project progresses, can be found at </w:t>
      </w:r>
      <w:hyperlink r:id="rId76">
        <w:r>
          <w:rPr/>
          <w:t>http://www.mfe.govt.nz/issues/land/land-cover-dbase/index.html.</w:t>
        </w:r>
      </w:hyperlink>
      <w:r>
        <w:rPr/>
        <w:t> The stages of completion of the database are shown in Figure 2A.1.1.</w:t>
      </w:r>
    </w:p>
    <w:p>
      <w:pPr>
        <w:pStyle w:val="BodyText"/>
        <w:rPr>
          <w:sz w:val="22"/>
        </w:rPr>
      </w:pPr>
    </w:p>
    <w:p>
      <w:pPr>
        <w:spacing w:before="147"/>
        <w:ind w:left="119" w:right="0" w:firstLine="0"/>
        <w:jc w:val="left"/>
        <w:rPr>
          <w:b/>
          <w:sz w:val="20"/>
        </w:rPr>
      </w:pPr>
      <w:r>
        <w:rPr/>
        <w:pict>
          <v:shape style="position:absolute;margin-left:246.040298pt;margin-top:33.267418pt;width:130.8pt;height:60.65pt;mso-position-horizontal-relative:page;mso-position-vertical-relative:paragraph;z-index:-2452168" type="#_x0000_t202" filled="false" stroked="false">
            <v:textbox inset="0,0,0,0">
              <w:txbxContent>
                <w:p>
                  <w:pPr>
                    <w:spacing w:line="199" w:lineRule="exact" w:before="0"/>
                    <w:ind w:left="34" w:right="11" w:firstLine="0"/>
                    <w:jc w:val="center"/>
                    <w:rPr>
                      <w:b/>
                      <w:sz w:val="18"/>
                    </w:rPr>
                  </w:pPr>
                  <w:r>
                    <w:rPr>
                      <w:b/>
                      <w:sz w:val="18"/>
                    </w:rPr>
                    <w:t>Stage 7</w:t>
                  </w:r>
                </w:p>
                <w:p>
                  <w:pPr>
                    <w:spacing w:line="204" w:lineRule="exact" w:before="0"/>
                    <w:ind w:left="106" w:right="11" w:firstLine="0"/>
                    <w:jc w:val="center"/>
                    <w:rPr>
                      <w:b/>
                      <w:sz w:val="18"/>
                    </w:rPr>
                  </w:pPr>
                  <w:r>
                    <w:rPr>
                      <w:b/>
                      <w:sz w:val="18"/>
                    </w:rPr>
                    <w:t>Completed LCDB 2</w:t>
                  </w:r>
                </w:p>
                <w:p>
                  <w:pPr>
                    <w:spacing w:line="203" w:lineRule="exact" w:before="0"/>
                    <w:ind w:left="0" w:right="0" w:firstLine="0"/>
                    <w:jc w:val="left"/>
                    <w:rPr>
                      <w:sz w:val="18"/>
                    </w:rPr>
                  </w:pPr>
                  <w:r>
                    <w:rPr>
                      <w:sz w:val="18"/>
                    </w:rPr>
                    <w:t>- Compile Metadata</w:t>
                  </w:r>
                </w:p>
                <w:p>
                  <w:pPr>
                    <w:spacing w:line="205" w:lineRule="exact" w:before="0"/>
                    <w:ind w:left="0" w:right="0" w:firstLine="0"/>
                    <w:jc w:val="left"/>
                    <w:rPr>
                      <w:sz w:val="18"/>
                    </w:rPr>
                  </w:pPr>
                  <w:r>
                    <w:rPr>
                      <w:sz w:val="18"/>
                    </w:rPr>
                    <w:t>- Produce User Manual</w:t>
                  </w:r>
                </w:p>
                <w:p>
                  <w:pPr>
                    <w:spacing w:line="200" w:lineRule="exact" w:before="0"/>
                    <w:ind w:left="10" w:right="11" w:firstLine="0"/>
                    <w:jc w:val="center"/>
                    <w:rPr>
                      <w:sz w:val="18"/>
                    </w:rPr>
                  </w:pPr>
                  <w:r>
                    <w:rPr>
                      <w:sz w:val="18"/>
                    </w:rPr>
                    <w:t>- Distribute via Database</w:t>
                  </w:r>
                  <w:r>
                    <w:rPr>
                      <w:spacing w:val="-15"/>
                      <w:sz w:val="18"/>
                    </w:rPr>
                    <w:t> </w:t>
                  </w:r>
                  <w:r>
                    <w:rPr>
                      <w:sz w:val="18"/>
                    </w:rPr>
                    <w:t>Custodian</w:t>
                  </w:r>
                </w:p>
                <w:p>
                  <w:pPr>
                    <w:spacing w:line="201" w:lineRule="exact" w:before="0"/>
                    <w:ind w:left="0" w:right="0" w:firstLine="0"/>
                    <w:jc w:val="left"/>
                    <w:rPr>
                      <w:sz w:val="18"/>
                    </w:rPr>
                  </w:pPr>
                  <w:r>
                    <w:rPr>
                      <w:sz w:val="18"/>
                    </w:rPr>
                    <w:t>- Institute Database Maintenance</w:t>
                  </w:r>
                </w:p>
              </w:txbxContent>
            </v:textbox>
            <w10:wrap type="none"/>
          </v:shape>
        </w:pict>
      </w:r>
      <w:r>
        <w:rPr/>
        <w:pict>
          <v:shape style="position:absolute;margin-left:112.960602pt;margin-top:46.947418pt;width:77.55pt;height:30.4pt;mso-position-horizontal-relative:page;mso-position-vertical-relative:paragraph;z-index:-2452096" type="#_x0000_t202" filled="false" stroked="false">
            <v:textbox inset="0,0,0,0">
              <w:txbxContent>
                <w:p>
                  <w:pPr>
                    <w:spacing w:line="198" w:lineRule="exact" w:before="0"/>
                    <w:ind w:left="104" w:right="0" w:firstLine="0"/>
                    <w:jc w:val="center"/>
                    <w:rPr>
                      <w:b/>
                      <w:sz w:val="18"/>
                    </w:rPr>
                  </w:pPr>
                  <w:r>
                    <w:rPr>
                      <w:b/>
                      <w:sz w:val="18"/>
                    </w:rPr>
                    <w:t>Stage 1</w:t>
                  </w:r>
                </w:p>
                <w:p>
                  <w:pPr>
                    <w:spacing w:line="204" w:lineRule="exact" w:before="0"/>
                    <w:ind w:left="182" w:right="0" w:firstLine="0"/>
                    <w:jc w:val="center"/>
                    <w:rPr>
                      <w:rFonts w:ascii="TimesNewRomanPS-BoldItalicMT"/>
                      <w:b/>
                      <w:i/>
                      <w:sz w:val="18"/>
                    </w:rPr>
                  </w:pPr>
                  <w:r>
                    <w:rPr>
                      <w:rFonts w:ascii="TimesNewRomanPS-BoldItalicMT"/>
                      <w:b/>
                      <w:i/>
                      <w:sz w:val="18"/>
                    </w:rPr>
                    <w:t>Image Acquisition</w:t>
                  </w:r>
                </w:p>
                <w:p>
                  <w:pPr>
                    <w:spacing w:line="205" w:lineRule="exact" w:before="0"/>
                    <w:ind w:left="3" w:right="67" w:firstLine="0"/>
                    <w:jc w:val="center"/>
                    <w:rPr>
                      <w:sz w:val="18"/>
                    </w:rPr>
                  </w:pPr>
                  <w:r>
                    <w:rPr>
                      <w:sz w:val="18"/>
                    </w:rPr>
                    <w:t>- Summer 2001 / 02</w:t>
                  </w:r>
                </w:p>
              </w:txbxContent>
            </v:textbox>
            <w10:wrap type="none"/>
          </v:shape>
        </w:pict>
      </w:r>
      <w:r>
        <w:rPr>
          <w:b/>
          <w:sz w:val="20"/>
        </w:rPr>
        <w:t>Figure 2A.1.1 Stages in preparation of New Zealand Land-Cover Databases</w:t>
      </w:r>
    </w:p>
    <w:p>
      <w:pPr>
        <w:pStyle w:val="BodyText"/>
        <w:spacing w:before="3"/>
        <w:rPr>
          <w:b/>
          <w:sz w:val="15"/>
        </w:rPr>
      </w:pPr>
      <w:r>
        <w:rPr/>
        <w:pict>
          <v:group style="position:absolute;margin-left:70.926003pt;margin-top:10.768971pt;width:452.6pt;height:327.8pt;mso-position-horizontal-relative:page;mso-position-vertical-relative:paragraph;z-index:1928;mso-wrap-distance-left:0;mso-wrap-distance-right:0" coordorigin="1419,215" coordsize="9052,6556">
            <v:rect style="position:absolute;left:4920;top:3967;width:2631;height:2525" filled="false" stroked="true" strokeweight=".550pt" strokecolor="#010101">
              <v:stroke dashstyle="solid"/>
            </v:rect>
            <v:shape style="position:absolute;left:3070;top:5520;width:3166;height:1246" coordorigin="3070,5520" coordsize="3166,1246" path="m3070,5520l3070,6766,6236,6766,6236,6583e" filled="false" stroked="true" strokeweight=".550pt" strokecolor="#010101">
              <v:path arrowok="t"/>
              <v:stroke dashstyle="solid"/>
            </v:shape>
            <v:shape style="position:absolute;left:6180;top:6501;width:125;height:116" coordorigin="6181,6502" coordsize="125,116" path="m6248,6502l6181,6617,6306,6617,6248,6502xe" filled="true" fillcolor="#010101" stroked="false">
              <v:path arrowok="t"/>
              <v:fill type="solid"/>
            </v:shape>
            <v:shape style="position:absolute;left:7642;top:4845;width:1498;height:377" coordorigin="7642,4846" coordsize="1498,377" path="m9140,4846l9140,5222,7642,5222e" filled="false" stroked="true" strokeweight=".550pt" strokecolor="#010101">
              <v:path arrowok="t"/>
              <v:stroke dashstyle="solid"/>
            </v:shape>
            <v:shape style="position:absolute;left:9082;top:4766;width:125;height:116" coordorigin="9082,4766" coordsize="125,116" path="m9150,4766l9082,4882,9207,4882,9150,4766xe" filled="true" fillcolor="#010101" stroked="false">
              <v:path arrowok="t"/>
              <v:fill type="solid"/>
            </v:shape>
            <v:shape style="position:absolute;left:7551;top:5167;width:125;height:125" coordorigin="7551,5167" coordsize="125,125" path="m7676,5167l7551,5222,7676,5292,7676,5167xe" filled="true" fillcolor="#010101" stroked="false">
              <v:path arrowok="t"/>
              <v:fill type="solid"/>
            </v:shape>
            <v:line style="position:absolute" from="6237,3688" to="6237,3967" stroked="true" strokeweight=".67pt" strokecolor="#010101">
              <v:stroke dashstyle="solid"/>
            </v:line>
            <v:shape style="position:absolute;left:6180;top:3602;width:125;height:125" coordorigin="6181,3602" coordsize="125,125" path="m6248,3602l6181,3727,6306,3727,6248,3602xe" filled="true" fillcolor="#010101" stroked="false">
              <v:path arrowok="t"/>
              <v:fill type="solid"/>
            </v:shape>
            <v:shape style="position:absolute;left:7700;top:2779;width:1440;height:365" coordorigin="7700,2779" coordsize="1440,365" path="m9140,3144l9140,2779,7700,2779e" filled="false" stroked="true" strokeweight=".550pt" strokecolor="#010101">
              <v:path arrowok="t"/>
              <v:stroke dashstyle="solid"/>
            </v:shape>
            <v:shape style="position:absolute;left:9082;top:3122;width:125;height:113" coordorigin="9082,3122" coordsize="125,113" path="m9207,3122l9082,3122,9150,3235,9207,3122xe" filled="true" fillcolor="#010101" stroked="false">
              <v:path arrowok="t"/>
              <v:fill type="solid"/>
            </v:shape>
            <v:shape style="position:absolute;left:7620;top:2721;width:113;height:128" coordorigin="7621,2722" coordsize="113,128" path="m7734,2722l7621,2779,7734,2849,7734,2722xe" filled="true" fillcolor="#010101" stroked="false">
              <v:path arrowok="t"/>
              <v:fill type="solid"/>
            </v:shape>
            <v:rect style="position:absolute;left:7824;top:3235;width:2640;height:1529" filled="true" fillcolor="#ffffff" stroked="false">
              <v:fill type="solid"/>
            </v:rect>
            <v:rect style="position:absolute;left:4920;top:3967;width:2628;height:2523" filled="true" fillcolor="#ffffff" stroked="false">
              <v:fill type="solid"/>
            </v:rect>
            <v:rect style="position:absolute;left:4920;top:3967;width:2631;height:2525" filled="false" stroked="true" strokeweight=".550pt" strokecolor="#010101">
              <v:stroke dashstyle="solid"/>
            </v:rect>
            <v:line style="position:absolute" from="3070,1330" to="3070,2047" stroked="true" strokeweight=".550pt" strokecolor="#010101">
              <v:stroke dashstyle="solid"/>
            </v:line>
            <v:shape style="position:absolute;left:3012;top:2025;width:125;height:116" coordorigin="3013,2026" coordsize="125,116" path="m3138,2026l3013,2026,3070,2141,3138,2026xe" filled="true" fillcolor="#010101" stroked="false">
              <v:path arrowok="t"/>
              <v:fill type="solid"/>
            </v:shape>
            <v:rect style="position:absolute;left:2144;top:494;width:1863;height:833" filled="true" fillcolor="#ffffff" stroked="false">
              <v:fill type="solid"/>
            </v:rect>
            <v:line style="position:absolute" from="3070,3350" to="3073,3785" stroked="true" strokeweight=".550pt" strokecolor="#010101">
              <v:stroke dashstyle="solid"/>
            </v:line>
            <v:shape style="position:absolute;left:3012;top:3760;width:125;height:116" coordorigin="3013,3761" coordsize="125,116" path="m3138,3761l3013,3761,3070,3876,3138,3761xe" filled="true" fillcolor="#010101" stroked="false">
              <v:path arrowok="t"/>
              <v:fill type="solid"/>
            </v:shape>
            <v:rect style="position:absolute;left:1424;top:2138;width:3293;height:1210" filled="true" fillcolor="#ffffff" stroked="false">
              <v:fill type="solid"/>
            </v:rect>
            <v:rect style="position:absolute;left:1755;top:3876;width:2628;height:1644" filled="true" fillcolor="#ffffff" stroked="false">
              <v:fill type="solid"/>
            </v:rect>
            <v:line style="position:absolute" from="6237,1665" to="6237,1956" stroked="true" strokeweight=".67pt" strokecolor="#010101">
              <v:stroke dashstyle="solid"/>
            </v:line>
            <v:shape style="position:absolute;left:6180;top:1591;width:125;height:116" coordorigin="6181,1591" coordsize="125,116" path="m6248,1591l6181,1706,6306,1706,6248,1591xe" filled="true" fillcolor="#010101" stroked="false">
              <v:path arrowok="t"/>
              <v:fill type="solid"/>
            </v:shape>
            <v:rect style="position:absolute;left:4805;top:220;width:2859;height:1359" filled="true" fillcolor="#ffffff" stroked="false">
              <v:fill type="solid"/>
            </v:rect>
            <v:rect style="position:absolute;left:4863;top:1956;width:2744;height:1644" filled="true" fillcolor="#ffffff" stroked="false">
              <v:fill type="solid"/>
            </v:rect>
            <v:line style="position:absolute" from="3070,1330" to="3070,2047" stroked="true" strokeweight=".550pt" strokecolor="#010101">
              <v:stroke dashstyle="solid"/>
            </v:line>
            <v:shape style="position:absolute;left:3012;top:2025;width:125;height:116" coordorigin="3013,2026" coordsize="125,116" path="m3138,2026l3013,2026,3070,2141,3138,2026xe" filled="true" fillcolor="#010101" stroked="false">
              <v:path arrowok="t"/>
              <v:fill type="solid"/>
            </v:shape>
            <v:line style="position:absolute" from="3070,3350" to="3073,3785" stroked="true" strokeweight=".550pt" strokecolor="#010101">
              <v:stroke dashstyle="solid"/>
            </v:line>
            <v:shape style="position:absolute;left:3012;top:3760;width:125;height:116" coordorigin="3013,3761" coordsize="125,116" path="m3138,3761l3013,3761,3070,3876,3138,3761xe" filled="true" fillcolor="#010101" stroked="false">
              <v:path arrowok="t"/>
              <v:fill type="solid"/>
            </v:shape>
            <v:shape style="position:absolute;left:3070;top:5520;width:3166;height:1246" coordorigin="3070,5520" coordsize="3166,1246" path="m3070,5520l3070,6766,6236,6766,6236,6583e" filled="false" stroked="true" strokeweight=".550pt" strokecolor="#010101">
              <v:path arrowok="t"/>
              <v:stroke dashstyle="solid"/>
            </v:shape>
            <v:shape style="position:absolute;left:6180;top:6501;width:125;height:116" coordorigin="6181,6502" coordsize="125,116" path="m6248,6502l6181,6617,6306,6617,6248,6502xe" filled="true" fillcolor="#010101" stroked="false">
              <v:path arrowok="t"/>
              <v:fill type="solid"/>
            </v:shape>
            <v:shape style="position:absolute;left:7700;top:2779;width:1440;height:365" coordorigin="7700,2779" coordsize="1440,365" path="m9140,3144l9140,2779,7700,2779e" filled="false" stroked="true" strokeweight=".550pt" strokecolor="#010101">
              <v:path arrowok="t"/>
              <v:stroke dashstyle="solid"/>
            </v:shape>
            <v:shape style="position:absolute;left:9082;top:3122;width:125;height:113" coordorigin="9082,3122" coordsize="125,113" path="m9207,3122l9082,3122,9150,3235,9207,3122xe" filled="true" fillcolor="#010101" stroked="false">
              <v:path arrowok="t"/>
              <v:fill type="solid"/>
            </v:shape>
            <v:shape style="position:absolute;left:7620;top:2721;width:113;height:128" coordorigin="7621,2722" coordsize="113,128" path="m7734,2722l7621,2779,7734,2849,7734,2722xe" filled="true" fillcolor="#010101" stroked="false">
              <v:path arrowok="t"/>
              <v:fill type="solid"/>
            </v:shape>
            <v:shape style="position:absolute;left:7642;top:4845;width:1498;height:377" coordorigin="7642,4846" coordsize="1498,377" path="m9140,4846l9140,5222,7642,5222e" filled="false" stroked="true" strokeweight=".550pt" strokecolor="#010101">
              <v:path arrowok="t"/>
              <v:stroke dashstyle="solid"/>
            </v:shape>
            <v:shape style="position:absolute;left:9082;top:4766;width:125;height:116" coordorigin="9082,4766" coordsize="125,116" path="m9150,4766l9082,4882,9207,4882,9150,4766xe" filled="true" fillcolor="#010101" stroked="false">
              <v:path arrowok="t"/>
              <v:fill type="solid"/>
            </v:shape>
            <v:shape style="position:absolute;left:7551;top:5167;width:125;height:125" coordorigin="7551,5167" coordsize="125,125" path="m7676,5167l7551,5222,7676,5292,7676,5167xe" filled="true" fillcolor="#010101" stroked="false">
              <v:path arrowok="t"/>
              <v:fill type="solid"/>
            </v:shape>
            <v:line style="position:absolute" from="6236,3967" to="6238,3694" stroked="true" strokeweight=".550pt" strokecolor="#010101">
              <v:stroke dashstyle="solid"/>
            </v:line>
            <v:shape style="position:absolute;left:6180;top:3602;width:125;height:125" coordorigin="6181,3602" coordsize="125,125" path="m6248,3602l6181,3727,6306,3727,6248,3602xe" filled="true" fillcolor="#010101" stroked="false">
              <v:path arrowok="t"/>
              <v:fill type="solid"/>
            </v:shape>
            <v:line style="position:absolute" from="6236,1956" to="6238,1670" stroked="true" strokeweight=".550pt" strokecolor="#010101">
              <v:stroke dashstyle="solid"/>
            </v:line>
            <v:shape style="position:absolute;left:6180;top:1591;width:125;height:116" coordorigin="6181,1591" coordsize="125,116" path="m6248,1591l6181,1706,6306,1706,6248,1591xe" filled="true" fillcolor="#010101" stroked="false">
              <v:path arrowok="t"/>
              <v:fill type="solid"/>
            </v:shape>
            <v:shape style="position:absolute;left:4920;top:3967;width:2631;height:2525" type="#_x0000_t202" filled="false" stroked="true" strokeweight=".550pt" strokecolor="#010101">
              <v:textbox inset="0,0,0,0">
                <w:txbxContent>
                  <w:p>
                    <w:pPr>
                      <w:spacing w:line="205" w:lineRule="exact" w:before="54"/>
                      <w:ind w:left="387" w:right="355" w:firstLine="0"/>
                      <w:jc w:val="center"/>
                      <w:rPr>
                        <w:b/>
                        <w:sz w:val="18"/>
                      </w:rPr>
                    </w:pPr>
                    <w:r>
                      <w:rPr>
                        <w:b/>
                        <w:sz w:val="18"/>
                      </w:rPr>
                      <w:t>Stage 4</w:t>
                    </w:r>
                  </w:p>
                  <w:p>
                    <w:pPr>
                      <w:spacing w:line="223" w:lineRule="auto" w:before="10"/>
                      <w:ind w:left="464" w:right="355" w:firstLine="0"/>
                      <w:jc w:val="center"/>
                      <w:rPr>
                        <w:rFonts w:ascii="TimesNewRomanPS-BoldItalicMT"/>
                        <w:b/>
                        <w:i/>
                        <w:sz w:val="18"/>
                      </w:rPr>
                    </w:pPr>
                    <w:r>
                      <w:rPr>
                        <w:rFonts w:ascii="TimesNewRomanPS-BoldItalicMT"/>
                        <w:b/>
                        <w:i/>
                        <w:sz w:val="18"/>
                      </w:rPr>
                      <w:t>LCDB 2 GIS</w:t>
                    </w:r>
                    <w:r>
                      <w:rPr>
                        <w:rFonts w:ascii="TimesNewRomanPS-BoldItalicMT"/>
                        <w:b/>
                        <w:i/>
                        <w:spacing w:val="-9"/>
                        <w:sz w:val="18"/>
                      </w:rPr>
                      <w:t> </w:t>
                    </w:r>
                    <w:r>
                      <w:rPr>
                        <w:rFonts w:ascii="TimesNewRomanPS-BoldItalicMT"/>
                        <w:b/>
                        <w:i/>
                        <w:sz w:val="18"/>
                      </w:rPr>
                      <w:t>processing Stage</w:t>
                    </w:r>
                    <w:r>
                      <w:rPr>
                        <w:rFonts w:ascii="TimesNewRomanPS-BoldItalicMT"/>
                        <w:b/>
                        <w:i/>
                        <w:spacing w:val="-3"/>
                        <w:sz w:val="18"/>
                      </w:rPr>
                      <w:t> </w:t>
                    </w:r>
                    <w:r>
                      <w:rPr>
                        <w:rFonts w:ascii="TimesNewRomanPS-BoldItalicMT"/>
                        <w:b/>
                        <w:i/>
                        <w:sz w:val="18"/>
                      </w:rPr>
                      <w:t>4a</w:t>
                    </w:r>
                  </w:p>
                  <w:p>
                    <w:pPr>
                      <w:numPr>
                        <w:ilvl w:val="0"/>
                        <w:numId w:val="25"/>
                      </w:numPr>
                      <w:tabs>
                        <w:tab w:pos="259" w:val="left" w:leader="none"/>
                      </w:tabs>
                      <w:spacing w:before="12"/>
                      <w:ind w:left="234" w:right="209" w:hanging="125"/>
                      <w:jc w:val="left"/>
                      <w:rPr>
                        <w:sz w:val="18"/>
                      </w:rPr>
                    </w:pPr>
                    <w:r>
                      <w:rPr>
                        <w:sz w:val="18"/>
                      </w:rPr>
                      <w:t>Correct LCDB1 classification and generalisation</w:t>
                    </w:r>
                    <w:r>
                      <w:rPr>
                        <w:spacing w:val="-11"/>
                        <w:sz w:val="18"/>
                      </w:rPr>
                      <w:t> </w:t>
                    </w:r>
                    <w:r>
                      <w:rPr>
                        <w:sz w:val="18"/>
                      </w:rPr>
                      <w:t>errors</w:t>
                    </w:r>
                  </w:p>
                  <w:p>
                    <w:pPr>
                      <w:numPr>
                        <w:ilvl w:val="0"/>
                        <w:numId w:val="25"/>
                      </w:numPr>
                      <w:tabs>
                        <w:tab w:pos="213" w:val="left" w:leader="none"/>
                      </w:tabs>
                      <w:spacing w:line="187" w:lineRule="exact" w:before="0"/>
                      <w:ind w:left="212" w:right="0" w:hanging="103"/>
                      <w:jc w:val="left"/>
                      <w:rPr>
                        <w:b/>
                        <w:sz w:val="18"/>
                      </w:rPr>
                    </w:pPr>
                    <w:r>
                      <w:rPr>
                        <w:sz w:val="18"/>
                      </w:rPr>
                      <w:t>Confirm </w:t>
                    </w:r>
                    <w:r>
                      <w:rPr>
                        <w:b/>
                        <w:position w:val="1"/>
                        <w:sz w:val="18"/>
                      </w:rPr>
                      <w:t>actual</w:t>
                    </w:r>
                    <w:r>
                      <w:rPr>
                        <w:b/>
                        <w:spacing w:val="-28"/>
                        <w:position w:val="1"/>
                        <w:sz w:val="18"/>
                      </w:rPr>
                      <w:t> </w:t>
                    </w:r>
                    <w:r>
                      <w:rPr>
                        <w:b/>
                        <w:position w:val="1"/>
                        <w:sz w:val="18"/>
                      </w:rPr>
                      <w:t>land-cover</w:t>
                    </w:r>
                  </w:p>
                  <w:p>
                    <w:pPr>
                      <w:spacing w:line="210" w:lineRule="exact" w:before="0"/>
                      <w:ind w:left="200" w:right="0" w:firstLine="0"/>
                      <w:jc w:val="left"/>
                      <w:rPr>
                        <w:sz w:val="18"/>
                      </w:rPr>
                    </w:pPr>
                    <w:r>
                      <w:rPr>
                        <w:b/>
                        <w:position w:val="1"/>
                        <w:sz w:val="18"/>
                      </w:rPr>
                      <w:t>changes </w:t>
                    </w:r>
                    <w:r>
                      <w:rPr>
                        <w:sz w:val="18"/>
                      </w:rPr>
                      <w:t>between image dates</w:t>
                    </w:r>
                  </w:p>
                  <w:p>
                    <w:pPr>
                      <w:numPr>
                        <w:ilvl w:val="0"/>
                        <w:numId w:val="25"/>
                      </w:numPr>
                      <w:tabs>
                        <w:tab w:pos="213" w:val="left" w:leader="none"/>
                      </w:tabs>
                      <w:spacing w:line="200" w:lineRule="exact" w:before="0"/>
                      <w:ind w:left="212" w:right="0" w:hanging="103"/>
                      <w:jc w:val="left"/>
                      <w:rPr>
                        <w:sz w:val="18"/>
                      </w:rPr>
                    </w:pPr>
                    <w:r>
                      <w:rPr>
                        <w:sz w:val="18"/>
                      </w:rPr>
                      <w:t>Code type of land-cover</w:t>
                    </w:r>
                    <w:r>
                      <w:rPr>
                        <w:spacing w:val="-11"/>
                        <w:sz w:val="18"/>
                      </w:rPr>
                      <w:t> </w:t>
                    </w:r>
                    <w:r>
                      <w:rPr>
                        <w:sz w:val="18"/>
                      </w:rPr>
                      <w:t>change</w:t>
                    </w:r>
                  </w:p>
                  <w:p>
                    <w:pPr>
                      <w:numPr>
                        <w:ilvl w:val="0"/>
                        <w:numId w:val="25"/>
                      </w:numPr>
                      <w:tabs>
                        <w:tab w:pos="213" w:val="left" w:leader="none"/>
                      </w:tabs>
                      <w:spacing w:line="237" w:lineRule="auto" w:before="0"/>
                      <w:ind w:left="246" w:right="30" w:hanging="137"/>
                      <w:jc w:val="left"/>
                      <w:rPr>
                        <w:sz w:val="18"/>
                      </w:rPr>
                    </w:pPr>
                    <w:r>
                      <w:rPr>
                        <w:sz w:val="18"/>
                      </w:rPr>
                      <w:t>Supply LCDB2 classification for Field Check</w:t>
                    </w:r>
                  </w:p>
                  <w:p>
                    <w:pPr>
                      <w:spacing w:line="195" w:lineRule="exact" w:before="0"/>
                      <w:ind w:left="291" w:right="355" w:firstLine="0"/>
                      <w:jc w:val="center"/>
                      <w:rPr>
                        <w:rFonts w:ascii="TimesNewRomanPS-BoldItalicMT"/>
                        <w:b/>
                        <w:i/>
                        <w:sz w:val="18"/>
                      </w:rPr>
                    </w:pPr>
                    <w:r>
                      <w:rPr>
                        <w:rFonts w:ascii="TimesNewRomanPS-BoldItalicMT"/>
                        <w:b/>
                        <w:i/>
                        <w:sz w:val="18"/>
                      </w:rPr>
                      <w:t>Stage 4b</w:t>
                    </w:r>
                  </w:p>
                  <w:p>
                    <w:pPr>
                      <w:numPr>
                        <w:ilvl w:val="0"/>
                        <w:numId w:val="25"/>
                      </w:numPr>
                      <w:tabs>
                        <w:tab w:pos="259" w:val="left" w:leader="none"/>
                      </w:tabs>
                      <w:spacing w:line="205" w:lineRule="exact" w:before="0"/>
                      <w:ind w:left="258" w:right="0" w:hanging="149"/>
                      <w:jc w:val="left"/>
                      <w:rPr>
                        <w:sz w:val="18"/>
                      </w:rPr>
                    </w:pPr>
                    <w:r>
                      <w:rPr>
                        <w:sz w:val="18"/>
                      </w:rPr>
                      <w:t>Edit vectors from Field</w:t>
                    </w:r>
                    <w:r>
                      <w:rPr>
                        <w:spacing w:val="-6"/>
                        <w:sz w:val="18"/>
                      </w:rPr>
                      <w:t> </w:t>
                    </w:r>
                    <w:r>
                      <w:rPr>
                        <w:sz w:val="18"/>
                      </w:rPr>
                      <w:t>Check</w:t>
                    </w:r>
                  </w:p>
                </w:txbxContent>
              </v:textbox>
              <v:stroke dashstyle="solid"/>
              <w10:wrap type="none"/>
            </v:shape>
            <v:shape style="position:absolute;left:1757;top:3876;width:2628;height:1644" type="#_x0000_t202" filled="false" stroked="true" strokeweight=".550pt" strokecolor="#010101">
              <v:textbox inset="0,0,0,0">
                <w:txbxContent>
                  <w:p>
                    <w:pPr>
                      <w:spacing w:line="204" w:lineRule="exact" w:before="54"/>
                      <w:ind w:left="1025" w:right="996" w:firstLine="0"/>
                      <w:jc w:val="center"/>
                      <w:rPr>
                        <w:b/>
                        <w:sz w:val="18"/>
                      </w:rPr>
                    </w:pPr>
                    <w:r>
                      <w:rPr>
                        <w:b/>
                        <w:sz w:val="18"/>
                      </w:rPr>
                      <w:t>Stage 3</w:t>
                    </w:r>
                  </w:p>
                  <w:p>
                    <w:pPr>
                      <w:spacing w:line="203" w:lineRule="exact" w:before="0"/>
                      <w:ind w:left="474" w:right="0" w:firstLine="0"/>
                      <w:jc w:val="left"/>
                      <w:rPr>
                        <w:rFonts w:ascii="TimesNewRomanPS-BoldItalicMT"/>
                        <w:b/>
                        <w:i/>
                        <w:sz w:val="18"/>
                      </w:rPr>
                    </w:pPr>
                    <w:r>
                      <w:rPr>
                        <w:rFonts w:ascii="TimesNewRomanPS-BoldItalicMT"/>
                        <w:b/>
                        <w:i/>
                        <w:sz w:val="18"/>
                      </w:rPr>
                      <w:t>Spectral Integrity check</w:t>
                    </w:r>
                  </w:p>
                  <w:p>
                    <w:pPr>
                      <w:numPr>
                        <w:ilvl w:val="0"/>
                        <w:numId w:val="26"/>
                      </w:numPr>
                      <w:tabs>
                        <w:tab w:pos="209" w:val="left" w:leader="none"/>
                      </w:tabs>
                      <w:spacing w:before="0"/>
                      <w:ind w:left="107" w:right="9" w:firstLine="0"/>
                      <w:jc w:val="left"/>
                      <w:rPr>
                        <w:sz w:val="18"/>
                      </w:rPr>
                    </w:pPr>
                    <w:r>
                      <w:rPr>
                        <w:sz w:val="18"/>
                      </w:rPr>
                      <w:t>Perform Spectral Integrity Check of LCDB1 (1996) with 2001 /</w:t>
                    </w:r>
                    <w:r>
                      <w:rPr>
                        <w:spacing w:val="-10"/>
                        <w:sz w:val="18"/>
                      </w:rPr>
                      <w:t> </w:t>
                    </w:r>
                    <w:r>
                      <w:rPr>
                        <w:sz w:val="18"/>
                      </w:rPr>
                      <w:t>02</w:t>
                    </w:r>
                  </w:p>
                  <w:p>
                    <w:pPr>
                      <w:spacing w:line="198" w:lineRule="exact" w:before="0"/>
                      <w:ind w:left="198" w:right="0" w:firstLine="0"/>
                      <w:jc w:val="left"/>
                      <w:rPr>
                        <w:sz w:val="18"/>
                      </w:rPr>
                    </w:pPr>
                    <w:r>
                      <w:rPr>
                        <w:sz w:val="18"/>
                      </w:rPr>
                      <w:t>imagery</w:t>
                    </w:r>
                  </w:p>
                  <w:p>
                    <w:pPr>
                      <w:numPr>
                        <w:ilvl w:val="0"/>
                        <w:numId w:val="26"/>
                      </w:numPr>
                      <w:tabs>
                        <w:tab w:pos="211" w:val="left" w:leader="none"/>
                      </w:tabs>
                      <w:spacing w:line="200" w:lineRule="exact" w:before="0"/>
                      <w:ind w:left="210" w:right="-44" w:hanging="103"/>
                      <w:jc w:val="left"/>
                      <w:rPr>
                        <w:sz w:val="18"/>
                      </w:rPr>
                    </w:pPr>
                    <w:r>
                      <w:rPr>
                        <w:sz w:val="18"/>
                      </w:rPr>
                      <w:t>Highlight pixels that deviate</w:t>
                    </w:r>
                    <w:r>
                      <w:rPr>
                        <w:spacing w:val="-8"/>
                        <w:sz w:val="18"/>
                      </w:rPr>
                      <w:t> </w:t>
                    </w:r>
                    <w:r>
                      <w:rPr>
                        <w:sz w:val="18"/>
                      </w:rPr>
                      <w:t>from</w:t>
                    </w:r>
                  </w:p>
                  <w:p>
                    <w:pPr>
                      <w:numPr>
                        <w:ilvl w:val="0"/>
                        <w:numId w:val="26"/>
                      </w:numPr>
                      <w:tabs>
                        <w:tab w:pos="213" w:val="left" w:leader="none"/>
                      </w:tabs>
                      <w:spacing w:line="205" w:lineRule="exact" w:before="0"/>
                      <w:ind w:left="212" w:right="0" w:hanging="105"/>
                      <w:jc w:val="left"/>
                      <w:rPr>
                        <w:sz w:val="18"/>
                      </w:rPr>
                    </w:pPr>
                    <w:r>
                      <w:rPr>
                        <w:sz w:val="18"/>
                      </w:rPr>
                      <w:t>assigned LCDB1 class</w:t>
                    </w:r>
                  </w:p>
                </w:txbxContent>
              </v:textbox>
              <v:stroke dashstyle="solid"/>
              <w10:wrap type="none"/>
            </v:shape>
            <v:shape style="position:absolute;left:1424;top:2140;width:3293;height:1210" type="#_x0000_t202" filled="false" stroked="true" strokeweight=".550pt" strokecolor="#010101">
              <v:textbox inset="0,0,0,0">
                <w:txbxContent>
                  <w:p>
                    <w:pPr>
                      <w:spacing w:line="204" w:lineRule="exact" w:before="54"/>
                      <w:ind w:left="956" w:right="924" w:firstLine="0"/>
                      <w:jc w:val="center"/>
                      <w:rPr>
                        <w:b/>
                        <w:sz w:val="18"/>
                      </w:rPr>
                    </w:pPr>
                    <w:r>
                      <w:rPr>
                        <w:b/>
                        <w:sz w:val="18"/>
                      </w:rPr>
                      <w:t>Stage 2</w:t>
                    </w:r>
                  </w:p>
                  <w:p>
                    <w:pPr>
                      <w:spacing w:line="203" w:lineRule="exact" w:before="0"/>
                      <w:ind w:left="992" w:right="924" w:firstLine="0"/>
                      <w:jc w:val="center"/>
                      <w:rPr>
                        <w:rFonts w:ascii="TimesNewRomanPS-BoldItalicMT"/>
                        <w:b/>
                        <w:i/>
                        <w:sz w:val="18"/>
                      </w:rPr>
                    </w:pPr>
                    <w:r>
                      <w:rPr>
                        <w:rFonts w:ascii="TimesNewRomanPS-BoldItalicMT"/>
                        <w:b/>
                        <w:i/>
                        <w:sz w:val="18"/>
                      </w:rPr>
                      <w:t>Image Processing</w:t>
                    </w:r>
                  </w:p>
                  <w:p>
                    <w:pPr>
                      <w:numPr>
                        <w:ilvl w:val="0"/>
                        <w:numId w:val="27"/>
                      </w:numPr>
                      <w:tabs>
                        <w:tab w:pos="247" w:val="left" w:leader="none"/>
                      </w:tabs>
                      <w:spacing w:line="205" w:lineRule="exact" w:before="0"/>
                      <w:ind w:left="246" w:right="0" w:hanging="137"/>
                      <w:jc w:val="left"/>
                      <w:rPr>
                        <w:sz w:val="18"/>
                      </w:rPr>
                    </w:pPr>
                    <w:r>
                      <w:rPr>
                        <w:sz w:val="18"/>
                      </w:rPr>
                      <w:t>Pan sharpen ETM+ imagery to</w:t>
                    </w:r>
                    <w:r>
                      <w:rPr>
                        <w:spacing w:val="-7"/>
                        <w:sz w:val="18"/>
                      </w:rPr>
                      <w:t> </w:t>
                    </w:r>
                    <w:r>
                      <w:rPr>
                        <w:sz w:val="18"/>
                      </w:rPr>
                      <w:t>15m</w:t>
                    </w:r>
                  </w:p>
                  <w:p>
                    <w:pPr>
                      <w:numPr>
                        <w:ilvl w:val="0"/>
                        <w:numId w:val="27"/>
                      </w:numPr>
                      <w:tabs>
                        <w:tab w:pos="259" w:val="left" w:leader="none"/>
                      </w:tabs>
                      <w:spacing w:line="205" w:lineRule="exact" w:before="0"/>
                      <w:ind w:left="258" w:right="0" w:hanging="149"/>
                      <w:jc w:val="left"/>
                      <w:rPr>
                        <w:sz w:val="18"/>
                      </w:rPr>
                    </w:pPr>
                    <w:r>
                      <w:rPr>
                        <w:spacing w:val="-3"/>
                        <w:sz w:val="18"/>
                      </w:rPr>
                      <w:t>Ortho-rectify</w:t>
                    </w:r>
                    <w:r>
                      <w:rPr>
                        <w:spacing w:val="-2"/>
                        <w:sz w:val="18"/>
                      </w:rPr>
                      <w:t> </w:t>
                    </w:r>
                    <w:r>
                      <w:rPr>
                        <w:sz w:val="18"/>
                      </w:rPr>
                      <w:t>imagery</w:t>
                    </w:r>
                  </w:p>
                  <w:p>
                    <w:pPr>
                      <w:numPr>
                        <w:ilvl w:val="0"/>
                        <w:numId w:val="27"/>
                      </w:numPr>
                      <w:tabs>
                        <w:tab w:pos="259" w:val="left" w:leader="none"/>
                      </w:tabs>
                      <w:spacing w:line="205" w:lineRule="exact" w:before="0"/>
                      <w:ind w:left="258" w:right="0" w:hanging="149"/>
                      <w:jc w:val="left"/>
                      <w:rPr>
                        <w:sz w:val="18"/>
                      </w:rPr>
                    </w:pPr>
                    <w:r>
                      <w:rPr>
                        <w:sz w:val="18"/>
                      </w:rPr>
                      <w:t>Run Topographic</w:t>
                    </w:r>
                    <w:r>
                      <w:rPr>
                        <w:spacing w:val="-13"/>
                        <w:sz w:val="18"/>
                      </w:rPr>
                      <w:t> </w:t>
                    </w:r>
                    <w:r>
                      <w:rPr>
                        <w:sz w:val="18"/>
                      </w:rPr>
                      <w:t>Normalisation</w:t>
                    </w:r>
                  </w:p>
                </w:txbxContent>
              </v:textbox>
              <v:stroke dashstyle="solid"/>
              <w10:wrap type="none"/>
            </v:shape>
            <v:shape style="position:absolute;left:4865;top:1956;width:2744;height:1647" type="#_x0000_t202" filled="false" stroked="true" strokeweight=".550pt" strokecolor="#010101">
              <v:textbox inset="0,0,0,0">
                <w:txbxContent>
                  <w:p>
                    <w:pPr>
                      <w:spacing w:line="205" w:lineRule="exact" w:before="54"/>
                      <w:ind w:left="1083" w:right="1054" w:firstLine="0"/>
                      <w:jc w:val="center"/>
                      <w:rPr>
                        <w:b/>
                        <w:sz w:val="18"/>
                      </w:rPr>
                    </w:pPr>
                    <w:r>
                      <w:rPr>
                        <w:b/>
                        <w:sz w:val="18"/>
                      </w:rPr>
                      <w:t>Stage 6</w:t>
                    </w:r>
                  </w:p>
                  <w:p>
                    <w:pPr>
                      <w:spacing w:line="204" w:lineRule="exact" w:before="0"/>
                      <w:ind w:left="623" w:right="0" w:firstLine="0"/>
                      <w:jc w:val="left"/>
                      <w:rPr>
                        <w:rFonts w:ascii="TimesNewRomanPS-BoldItalicMT"/>
                        <w:b/>
                        <w:i/>
                        <w:sz w:val="18"/>
                      </w:rPr>
                    </w:pPr>
                    <w:r>
                      <w:rPr>
                        <w:rFonts w:ascii="TimesNewRomanPS-BoldItalicMT"/>
                        <w:b/>
                        <w:i/>
                        <w:sz w:val="18"/>
                      </w:rPr>
                      <w:t>Accuracy Assessment</w:t>
                    </w:r>
                  </w:p>
                  <w:p>
                    <w:pPr>
                      <w:numPr>
                        <w:ilvl w:val="0"/>
                        <w:numId w:val="28"/>
                      </w:numPr>
                      <w:tabs>
                        <w:tab w:pos="257" w:val="left" w:leader="none"/>
                      </w:tabs>
                      <w:spacing w:line="232" w:lineRule="auto" w:before="4"/>
                      <w:ind w:left="234" w:right="36" w:hanging="125"/>
                      <w:jc w:val="left"/>
                      <w:rPr>
                        <w:sz w:val="18"/>
                      </w:rPr>
                    </w:pPr>
                    <w:r>
                      <w:rPr>
                        <w:sz w:val="18"/>
                      </w:rPr>
                      <w:t>Decide on Sampling Intensity by class, acquire relevant aerial photography and ancillary ground data to complete the</w:t>
                    </w:r>
                    <w:r>
                      <w:rPr>
                        <w:spacing w:val="-4"/>
                        <w:sz w:val="18"/>
                      </w:rPr>
                      <w:t> </w:t>
                    </w:r>
                    <w:r>
                      <w:rPr>
                        <w:sz w:val="18"/>
                      </w:rPr>
                      <w:t>work</w:t>
                    </w:r>
                  </w:p>
                  <w:p>
                    <w:pPr>
                      <w:numPr>
                        <w:ilvl w:val="0"/>
                        <w:numId w:val="28"/>
                      </w:numPr>
                      <w:tabs>
                        <w:tab w:pos="247" w:val="left" w:leader="none"/>
                      </w:tabs>
                      <w:spacing w:before="3"/>
                      <w:ind w:left="246" w:right="0" w:hanging="137"/>
                      <w:jc w:val="left"/>
                      <w:rPr>
                        <w:sz w:val="18"/>
                      </w:rPr>
                    </w:pPr>
                    <w:r>
                      <w:rPr>
                        <w:sz w:val="18"/>
                      </w:rPr>
                      <w:t>Publish Accuracy</w:t>
                    </w:r>
                    <w:r>
                      <w:rPr>
                        <w:spacing w:val="-2"/>
                        <w:sz w:val="18"/>
                      </w:rPr>
                      <w:t> </w:t>
                    </w:r>
                    <w:r>
                      <w:rPr>
                        <w:sz w:val="18"/>
                      </w:rPr>
                      <w:t>Assessment</w:t>
                    </w:r>
                  </w:p>
                </w:txbxContent>
              </v:textbox>
              <v:stroke dashstyle="solid"/>
              <w10:wrap type="none"/>
            </v:shape>
            <v:shape style="position:absolute;left:2144;top:494;width:1865;height:836" type="#_x0000_t202" filled="false" stroked="true" strokeweight=".550pt" strokecolor="#010101">
              <v:textbox inset="0,0,0,0">
                <w:txbxContent>
                  <w:p>
                    <w:pPr>
                      <w:spacing w:line="205" w:lineRule="exact" w:before="54"/>
                      <w:ind w:left="113" w:right="93" w:firstLine="0"/>
                      <w:jc w:val="center"/>
                      <w:rPr>
                        <w:b/>
                        <w:sz w:val="18"/>
                      </w:rPr>
                    </w:pPr>
                    <w:r>
                      <w:rPr>
                        <w:b/>
                        <w:sz w:val="18"/>
                      </w:rPr>
                      <w:t>Stage 1</w:t>
                    </w:r>
                  </w:p>
                  <w:p>
                    <w:pPr>
                      <w:spacing w:line="204" w:lineRule="exact" w:before="0"/>
                      <w:ind w:left="113" w:right="15" w:firstLine="0"/>
                      <w:jc w:val="center"/>
                      <w:rPr>
                        <w:rFonts w:ascii="TimesNewRomanPS-BoldItalicMT"/>
                        <w:b/>
                        <w:i/>
                        <w:sz w:val="18"/>
                      </w:rPr>
                    </w:pPr>
                    <w:r>
                      <w:rPr>
                        <w:rFonts w:ascii="TimesNewRomanPS-BoldItalicMT"/>
                        <w:b/>
                        <w:i/>
                        <w:sz w:val="18"/>
                      </w:rPr>
                      <w:t>Image Acquisition</w:t>
                    </w:r>
                  </w:p>
                  <w:p>
                    <w:pPr>
                      <w:spacing w:line="205" w:lineRule="exact" w:before="0"/>
                      <w:ind w:left="27" w:right="175" w:firstLine="0"/>
                      <w:jc w:val="center"/>
                      <w:rPr>
                        <w:sz w:val="18"/>
                      </w:rPr>
                    </w:pPr>
                    <w:r>
                      <w:rPr>
                        <w:sz w:val="18"/>
                      </w:rPr>
                      <w:t>- Summer 2001 / 02</w:t>
                    </w:r>
                  </w:p>
                </w:txbxContent>
              </v:textbox>
              <v:stroke dashstyle="solid"/>
              <w10:wrap type="none"/>
            </v:shape>
            <v:shape style="position:absolute;left:7824;top:3235;width:2640;height:1532" type="#_x0000_t202" filled="false" stroked="true" strokeweight=".550pt" strokecolor="#010101">
              <v:textbox inset="0,0,0,0">
                <w:txbxContent>
                  <w:p>
                    <w:pPr>
                      <w:spacing w:line="205" w:lineRule="exact" w:before="54"/>
                      <w:ind w:left="1025" w:right="1008" w:firstLine="0"/>
                      <w:jc w:val="center"/>
                      <w:rPr>
                        <w:b/>
                        <w:sz w:val="18"/>
                      </w:rPr>
                    </w:pPr>
                    <w:r>
                      <w:rPr>
                        <w:b/>
                        <w:sz w:val="18"/>
                      </w:rPr>
                      <w:t>Stage 5</w:t>
                    </w:r>
                  </w:p>
                  <w:p>
                    <w:pPr>
                      <w:spacing w:line="204" w:lineRule="exact" w:before="0"/>
                      <w:ind w:left="772" w:right="0" w:firstLine="0"/>
                      <w:jc w:val="left"/>
                      <w:rPr>
                        <w:rFonts w:ascii="TimesNewRomanPS-BoldItalicMT"/>
                        <w:b/>
                        <w:i/>
                        <w:sz w:val="18"/>
                      </w:rPr>
                    </w:pPr>
                    <w:r>
                      <w:rPr>
                        <w:rFonts w:ascii="TimesNewRomanPS-BoldItalicMT"/>
                        <w:b/>
                        <w:i/>
                        <w:sz w:val="18"/>
                      </w:rPr>
                      <w:t>Field Checking</w:t>
                    </w:r>
                  </w:p>
                  <w:p>
                    <w:pPr>
                      <w:numPr>
                        <w:ilvl w:val="0"/>
                        <w:numId w:val="29"/>
                      </w:numPr>
                      <w:tabs>
                        <w:tab w:pos="259" w:val="left" w:leader="none"/>
                      </w:tabs>
                      <w:spacing w:line="204" w:lineRule="exact" w:before="0"/>
                      <w:ind w:left="246" w:right="0" w:hanging="137"/>
                      <w:jc w:val="left"/>
                      <w:rPr>
                        <w:sz w:val="18"/>
                      </w:rPr>
                    </w:pPr>
                    <w:r>
                      <w:rPr>
                        <w:sz w:val="18"/>
                      </w:rPr>
                      <w:t>Verify draft land-cover</w:t>
                    </w:r>
                    <w:r>
                      <w:rPr>
                        <w:spacing w:val="-6"/>
                        <w:sz w:val="18"/>
                      </w:rPr>
                      <w:t> </w:t>
                    </w:r>
                    <w:r>
                      <w:rPr>
                        <w:sz w:val="18"/>
                      </w:rPr>
                      <w:t>classes</w:t>
                    </w:r>
                  </w:p>
                  <w:p>
                    <w:pPr>
                      <w:numPr>
                        <w:ilvl w:val="0"/>
                        <w:numId w:val="29"/>
                      </w:numPr>
                      <w:tabs>
                        <w:tab w:pos="259" w:val="left" w:leader="none"/>
                      </w:tabs>
                      <w:spacing w:line="235" w:lineRule="auto" w:before="2"/>
                      <w:ind w:left="246" w:right="186" w:hanging="137"/>
                      <w:jc w:val="left"/>
                      <w:rPr>
                        <w:sz w:val="18"/>
                      </w:rPr>
                    </w:pPr>
                    <w:r>
                      <w:rPr>
                        <w:sz w:val="18"/>
                      </w:rPr>
                      <w:t>Supply recommended edits to draft classification / additional ground data to contractors at Stage</w:t>
                    </w:r>
                    <w:r>
                      <w:rPr>
                        <w:spacing w:val="-2"/>
                        <w:sz w:val="18"/>
                      </w:rPr>
                      <w:t> </w:t>
                    </w:r>
                    <w:r>
                      <w:rPr>
                        <w:sz w:val="18"/>
                      </w:rPr>
                      <w:t>4</w:t>
                    </w:r>
                  </w:p>
                </w:txbxContent>
              </v:textbox>
              <v:stroke dashstyle="solid"/>
              <w10:wrap type="none"/>
            </v:shape>
            <v:shape style="position:absolute;left:4808;top:220;width:2856;height:1359" type="#_x0000_t202" filled="false" stroked="true" strokeweight=".550pt" strokecolor="#010101">
              <v:textbox inset="0,0,0,0">
                <w:txbxContent>
                  <w:p>
                    <w:pPr>
                      <w:spacing w:line="205" w:lineRule="exact" w:before="54"/>
                      <w:ind w:left="680" w:right="672" w:firstLine="0"/>
                      <w:jc w:val="center"/>
                      <w:rPr>
                        <w:b/>
                        <w:sz w:val="18"/>
                      </w:rPr>
                    </w:pPr>
                    <w:r>
                      <w:rPr>
                        <w:b/>
                        <w:sz w:val="18"/>
                      </w:rPr>
                      <w:t>Stage 7</w:t>
                    </w:r>
                  </w:p>
                  <w:p>
                    <w:pPr>
                      <w:spacing w:line="204" w:lineRule="exact" w:before="0"/>
                      <w:ind w:left="683" w:right="672" w:firstLine="0"/>
                      <w:jc w:val="center"/>
                      <w:rPr>
                        <w:rFonts w:ascii="TimesNewRomanPS-BoldItalicMT"/>
                        <w:b/>
                        <w:i/>
                        <w:sz w:val="18"/>
                      </w:rPr>
                    </w:pPr>
                    <w:r>
                      <w:rPr>
                        <w:rFonts w:ascii="TimesNewRomanPS-BoldItalicMT"/>
                        <w:b/>
                        <w:i/>
                        <w:sz w:val="18"/>
                      </w:rPr>
                      <w:t>Completed LCDB 2</w:t>
                    </w:r>
                  </w:p>
                  <w:p>
                    <w:pPr>
                      <w:numPr>
                        <w:ilvl w:val="0"/>
                        <w:numId w:val="30"/>
                      </w:numPr>
                      <w:tabs>
                        <w:tab w:pos="259" w:val="left" w:leader="none"/>
                      </w:tabs>
                      <w:spacing w:line="204" w:lineRule="exact" w:before="0"/>
                      <w:ind w:left="258" w:right="0" w:hanging="151"/>
                      <w:jc w:val="left"/>
                      <w:rPr>
                        <w:sz w:val="18"/>
                      </w:rPr>
                    </w:pPr>
                    <w:r>
                      <w:rPr>
                        <w:sz w:val="18"/>
                      </w:rPr>
                      <w:t>Compile</w:t>
                    </w:r>
                    <w:r>
                      <w:rPr>
                        <w:spacing w:val="-2"/>
                        <w:sz w:val="18"/>
                      </w:rPr>
                      <w:t> </w:t>
                    </w:r>
                    <w:r>
                      <w:rPr>
                        <w:sz w:val="18"/>
                      </w:rPr>
                      <w:t>Metadata</w:t>
                    </w:r>
                  </w:p>
                  <w:p>
                    <w:pPr>
                      <w:numPr>
                        <w:ilvl w:val="0"/>
                        <w:numId w:val="30"/>
                      </w:numPr>
                      <w:tabs>
                        <w:tab w:pos="247" w:val="left" w:leader="none"/>
                      </w:tabs>
                      <w:spacing w:line="205" w:lineRule="exact" w:before="0"/>
                      <w:ind w:left="246" w:right="0" w:hanging="139"/>
                      <w:jc w:val="left"/>
                      <w:rPr>
                        <w:sz w:val="18"/>
                      </w:rPr>
                    </w:pPr>
                    <w:r>
                      <w:rPr>
                        <w:sz w:val="18"/>
                      </w:rPr>
                      <w:t>Produce User</w:t>
                    </w:r>
                    <w:r>
                      <w:rPr>
                        <w:spacing w:val="-2"/>
                        <w:sz w:val="18"/>
                      </w:rPr>
                      <w:t> </w:t>
                    </w:r>
                    <w:r>
                      <w:rPr>
                        <w:sz w:val="18"/>
                      </w:rPr>
                      <w:t>Manual</w:t>
                    </w:r>
                  </w:p>
                  <w:p>
                    <w:pPr>
                      <w:numPr>
                        <w:ilvl w:val="0"/>
                        <w:numId w:val="30"/>
                      </w:numPr>
                      <w:tabs>
                        <w:tab w:pos="259" w:val="left" w:leader="none"/>
                      </w:tabs>
                      <w:spacing w:line="200" w:lineRule="exact" w:before="0"/>
                      <w:ind w:left="258" w:right="13" w:hanging="151"/>
                      <w:jc w:val="left"/>
                      <w:rPr>
                        <w:sz w:val="18"/>
                      </w:rPr>
                    </w:pPr>
                    <w:r>
                      <w:rPr>
                        <w:sz w:val="18"/>
                      </w:rPr>
                      <w:t>Distribute via Database</w:t>
                    </w:r>
                    <w:r>
                      <w:rPr>
                        <w:spacing w:val="-9"/>
                        <w:sz w:val="18"/>
                      </w:rPr>
                      <w:t> </w:t>
                    </w:r>
                    <w:r>
                      <w:rPr>
                        <w:sz w:val="18"/>
                      </w:rPr>
                      <w:t>Custodian</w:t>
                    </w:r>
                  </w:p>
                  <w:p>
                    <w:pPr>
                      <w:numPr>
                        <w:ilvl w:val="0"/>
                        <w:numId w:val="30"/>
                      </w:numPr>
                      <w:tabs>
                        <w:tab w:pos="259" w:val="left" w:leader="none"/>
                      </w:tabs>
                      <w:spacing w:line="201" w:lineRule="exact" w:before="0"/>
                      <w:ind w:left="258" w:right="0" w:hanging="151"/>
                      <w:jc w:val="left"/>
                      <w:rPr>
                        <w:sz w:val="18"/>
                      </w:rPr>
                    </w:pPr>
                    <w:r>
                      <w:rPr>
                        <w:sz w:val="18"/>
                      </w:rPr>
                      <w:t>Institute Database</w:t>
                    </w:r>
                    <w:r>
                      <w:rPr>
                        <w:spacing w:val="-4"/>
                        <w:sz w:val="18"/>
                      </w:rPr>
                      <w:t> </w:t>
                    </w:r>
                    <w:r>
                      <w:rPr>
                        <w:sz w:val="18"/>
                      </w:rPr>
                      <w:t>Maintenance</w:t>
                    </w:r>
                  </w:p>
                </w:txbxContent>
              </v:textbox>
              <v:stroke dashstyle="solid"/>
              <w10:wrap type="none"/>
            </v:shape>
            <w10:wrap type="topAndBottom"/>
          </v:group>
        </w:pict>
      </w:r>
    </w:p>
    <w:p>
      <w:pPr>
        <w:spacing w:after="0"/>
        <w:rPr>
          <w:sz w:val="15"/>
        </w:rPr>
        <w:sectPr>
          <w:pgSz w:w="11900" w:h="16840"/>
          <w:pgMar w:header="230" w:footer="408" w:top="920" w:bottom="600" w:left="1300" w:right="1220"/>
        </w:sectPr>
      </w:pPr>
    </w:p>
    <w:p>
      <w:pPr>
        <w:tabs>
          <w:tab w:pos="1537" w:val="left" w:leader="none"/>
        </w:tabs>
        <w:spacing w:before="86"/>
        <w:ind w:left="1559" w:right="441" w:hanging="1440"/>
        <w:jc w:val="left"/>
        <w:rPr>
          <w:b/>
          <w:sz w:val="32"/>
        </w:rPr>
      </w:pPr>
      <w:r>
        <w:rPr>
          <w:b/>
          <w:sz w:val="32"/>
        </w:rPr>
        <w:t>2A.1.6</w:t>
        <w:tab/>
        <w:t>The Australian Multi-Temporal Landsat Database</w:t>
      </w:r>
      <w:r>
        <w:rPr>
          <w:b/>
          <w:spacing w:val="-17"/>
          <w:sz w:val="32"/>
        </w:rPr>
        <w:t> </w:t>
      </w:r>
      <w:r>
        <w:rPr>
          <w:b/>
          <w:sz w:val="32"/>
        </w:rPr>
        <w:t>for Carbon Accounting (Approach</w:t>
      </w:r>
      <w:r>
        <w:rPr>
          <w:b/>
          <w:spacing w:val="-4"/>
          <w:sz w:val="32"/>
        </w:rPr>
        <w:t> </w:t>
      </w:r>
      <w:r>
        <w:rPr>
          <w:b/>
          <w:sz w:val="32"/>
        </w:rPr>
        <w:t>3)</w:t>
      </w:r>
    </w:p>
    <w:p>
      <w:pPr>
        <w:pStyle w:val="BodyText"/>
        <w:spacing w:before="115"/>
        <w:ind w:left="119" w:right="182"/>
        <w:jc w:val="both"/>
      </w:pPr>
      <w:r>
        <w:rPr/>
        <w:t>The Australian Greenhouse Office (AGO) through its National Carbon Accounting System (NCAS) has developed a national scale multi-temporal remote sensing programme which is an example of Approach 3, even though its primary purpose is to identify areas of land impacted by forest cover change rather than full land-use mapping. Using Landsat satellite data for twelve national passes between 1972 and 2002, the forest cover status of land units is monitored over time, at better than a one-hectare resolution. Initially a Year 2000 mosaic of scenes was constructed for the whole continent (369 scenes) as a base dataset to which other time series were registered.</w:t>
      </w:r>
    </w:p>
    <w:p>
      <w:pPr>
        <w:pStyle w:val="BodyText"/>
        <w:spacing w:before="118"/>
        <w:ind w:left="119" w:right="184"/>
        <w:jc w:val="both"/>
      </w:pPr>
      <w:r>
        <w:rPr/>
        <w:t>Consistent geographic resolution and spectral calibration of satellite data allows for objective statistical analysis on a single land unit (pixel) through time. Remote sensing experts experienced in interpreting the Australian vegetation developed the analytical methods (Furby, 2002) that were refined over two rounds of pilot testing (Furby and Woodgate, 2002). The pilot testing was also used to train private sector providers who subsequently competitively bid for the work.</w:t>
      </w:r>
    </w:p>
    <w:p>
      <w:pPr>
        <w:pStyle w:val="BodyText"/>
        <w:spacing w:before="120"/>
        <w:ind w:left="119" w:right="186"/>
        <w:jc w:val="both"/>
      </w:pPr>
      <w:r>
        <w:rPr/>
        <w:t>In addition to the highly prescriptive methodology and performance standards, an independent quality assurance programme has been implemented to ensure a consistent output standard. A Continuous Improvement and Verification Programme also monitors the quality of results and provides guidance on future improvements. Because the methodology uses a conditional probability approach, the full time series is readily subjected to any improvements identified.</w:t>
      </w:r>
    </w:p>
    <w:p>
      <w:pPr>
        <w:pStyle w:val="BodyText"/>
        <w:spacing w:before="120"/>
        <w:ind w:left="119" w:right="186"/>
        <w:jc w:val="both"/>
      </w:pPr>
      <w:r>
        <w:rPr/>
        <w:t>The efficiency in processing methods developed for the programme has enabled the addition of new national passes to the time series at a cost of approximately half a million US dollars.</w:t>
      </w:r>
    </w:p>
    <w:p>
      <w:pPr>
        <w:pStyle w:val="BodyText"/>
        <w:spacing w:before="118"/>
        <w:ind w:left="119" w:right="184"/>
        <w:jc w:val="both"/>
      </w:pPr>
      <w:r>
        <w:rPr/>
        <w:t>The forest cover change data is integrated into a carbon/nitrogen cycle process model which is spatially operated from within a Geographic Information System. In this way, carbon accounting of this sector is readily accomplished.</w:t>
      </w:r>
    </w:p>
    <w:p>
      <w:pPr>
        <w:pStyle w:val="BodyText"/>
        <w:spacing w:before="119"/>
        <w:ind w:left="119" w:right="188"/>
        <w:jc w:val="both"/>
      </w:pPr>
      <w:r>
        <w:rPr/>
        <w:t>Further information can be found in various NCAS Technical Reports available on the AGO Website: http:// </w:t>
      </w:r>
      <w:hyperlink r:id="rId77">
        <w:r>
          <w:rPr/>
          <w:t>www.greenhouse.gov.au/ncas.</w:t>
        </w:r>
      </w:hyperlink>
    </w:p>
    <w:p>
      <w:pPr>
        <w:spacing w:after="0"/>
        <w:jc w:val="both"/>
        <w:sectPr>
          <w:pgSz w:w="11900" w:h="16840"/>
          <w:pgMar w:header="230" w:footer="408" w:top="920" w:bottom="600" w:left="1300" w:right="1220"/>
        </w:sectPr>
      </w:pPr>
    </w:p>
    <w:p>
      <w:pPr>
        <w:pStyle w:val="BodyText"/>
        <w:spacing w:before="76"/>
        <w:ind w:right="100"/>
        <w:jc w:val="right"/>
      </w:pPr>
      <w:r>
        <w:rPr/>
        <w:pict>
          <v:line style="position:absolute;mso-position-horizontal-relative:page;mso-position-vertical-relative:paragraph;z-index:2120;mso-wrap-distance-left:0;mso-wrap-distance-right:0" from="69.480003pt,21.175514pt" to="792.360003pt,21.175514pt" stroked="true" strokeweight=".75pt" strokecolor="#010101">
            <v:stroke dashstyle="solid"/>
            <w10:wrap type="topAndBottom"/>
          </v:line>
        </w:pict>
      </w:r>
      <w:r>
        <w:rPr/>
        <w:t>Annex 2A.2</w:t>
      </w:r>
    </w:p>
    <w:p>
      <w:pPr>
        <w:pStyle w:val="BodyText"/>
      </w:pPr>
    </w:p>
    <w:p>
      <w:pPr>
        <w:pStyle w:val="BodyText"/>
      </w:pPr>
    </w:p>
    <w:p>
      <w:pPr>
        <w:pStyle w:val="BodyText"/>
      </w:pPr>
    </w:p>
    <w:p>
      <w:pPr>
        <w:pStyle w:val="BodyText"/>
        <w:spacing w:before="4"/>
        <w:rPr>
          <w:sz w:val="24"/>
        </w:rPr>
      </w:pPr>
    </w:p>
    <w:p>
      <w:pPr>
        <w:pStyle w:val="Heading2"/>
        <w:spacing w:before="86"/>
        <w:ind w:left="138" w:firstLine="0"/>
      </w:pPr>
      <w:r>
        <w:rPr/>
        <w:t>ANNEX 2A.2 Examples of international land cover datasets</w:t>
      </w:r>
    </w:p>
    <w:p>
      <w:pPr>
        <w:pStyle w:val="BodyText"/>
        <w:spacing w:before="10"/>
        <w:rPr>
          <w:b/>
          <w:sz w:val="15"/>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3122"/>
        <w:gridCol w:w="3187"/>
        <w:gridCol w:w="3189"/>
        <w:gridCol w:w="3189"/>
      </w:tblGrid>
      <w:tr>
        <w:trPr>
          <w:trHeight w:val="325" w:hRule="atLeast"/>
        </w:trPr>
        <w:tc>
          <w:tcPr>
            <w:tcW w:w="14175" w:type="dxa"/>
            <w:gridSpan w:val="5"/>
            <w:tcBorders>
              <w:bottom w:val="double" w:sz="1" w:space="0" w:color="000000"/>
            </w:tcBorders>
          </w:tcPr>
          <w:p>
            <w:pPr>
              <w:pStyle w:val="TableParagraph"/>
              <w:spacing w:before="59"/>
              <w:ind w:left="4827" w:right="4816"/>
              <w:jc w:val="center"/>
              <w:rPr>
                <w:b/>
                <w:sz w:val="14"/>
              </w:rPr>
            </w:pPr>
            <w:r>
              <w:rPr>
                <w:b/>
                <w:sz w:val="18"/>
              </w:rPr>
              <w:t>E</w:t>
            </w:r>
            <w:r>
              <w:rPr>
                <w:b/>
                <w:sz w:val="14"/>
              </w:rPr>
              <w:t>XAMPLES OF INTERNATIONAL LAND COVER DATASETS</w:t>
            </w:r>
          </w:p>
        </w:tc>
      </w:tr>
      <w:tr>
        <w:trPr>
          <w:trHeight w:val="479" w:hRule="atLeast"/>
        </w:trPr>
        <w:tc>
          <w:tcPr>
            <w:tcW w:w="1488" w:type="dxa"/>
            <w:tcBorders>
              <w:top w:val="double" w:sz="1" w:space="0" w:color="000000"/>
            </w:tcBorders>
          </w:tcPr>
          <w:p>
            <w:pPr>
              <w:pStyle w:val="TableParagraph"/>
              <w:spacing w:before="138"/>
              <w:ind w:left="86"/>
              <w:rPr>
                <w:b/>
                <w:sz w:val="18"/>
              </w:rPr>
            </w:pPr>
            <w:r>
              <w:rPr>
                <w:b/>
                <w:sz w:val="18"/>
              </w:rPr>
              <w:t>Dataset name</w:t>
            </w:r>
          </w:p>
        </w:tc>
        <w:tc>
          <w:tcPr>
            <w:tcW w:w="3122" w:type="dxa"/>
            <w:tcBorders>
              <w:top w:val="double" w:sz="1" w:space="0" w:color="000000"/>
            </w:tcBorders>
          </w:tcPr>
          <w:p>
            <w:pPr>
              <w:pStyle w:val="TableParagraph"/>
              <w:spacing w:before="133"/>
              <w:ind w:left="83"/>
              <w:rPr>
                <w:sz w:val="18"/>
              </w:rPr>
            </w:pPr>
            <w:r>
              <w:rPr>
                <w:sz w:val="18"/>
              </w:rPr>
              <w:t>AARS Global 4-Minute Land Cover</w:t>
            </w:r>
          </w:p>
        </w:tc>
        <w:tc>
          <w:tcPr>
            <w:tcW w:w="3187" w:type="dxa"/>
            <w:tcBorders>
              <w:top w:val="double" w:sz="1" w:space="0" w:color="000000"/>
            </w:tcBorders>
          </w:tcPr>
          <w:p>
            <w:pPr>
              <w:pStyle w:val="TableParagraph"/>
              <w:spacing w:before="30"/>
              <w:ind w:left="84" w:right="128"/>
              <w:rPr>
                <w:sz w:val="18"/>
              </w:rPr>
            </w:pPr>
            <w:r>
              <w:rPr>
                <w:sz w:val="18"/>
              </w:rPr>
              <w:t>IGBP-DIS Global 1km Land Cover Data Set</w:t>
            </w:r>
          </w:p>
        </w:tc>
        <w:tc>
          <w:tcPr>
            <w:tcW w:w="3189" w:type="dxa"/>
            <w:tcBorders>
              <w:top w:val="double" w:sz="1" w:space="0" w:color="000000"/>
            </w:tcBorders>
          </w:tcPr>
          <w:p>
            <w:pPr>
              <w:pStyle w:val="TableParagraph"/>
              <w:spacing w:before="133"/>
              <w:ind w:left="86"/>
              <w:rPr>
                <w:sz w:val="18"/>
              </w:rPr>
            </w:pPr>
            <w:r>
              <w:rPr>
                <w:sz w:val="18"/>
              </w:rPr>
              <w:t>Global Land Cover Dataset</w:t>
            </w:r>
          </w:p>
        </w:tc>
        <w:tc>
          <w:tcPr>
            <w:tcW w:w="3189" w:type="dxa"/>
            <w:tcBorders>
              <w:top w:val="double" w:sz="1" w:space="0" w:color="000000"/>
            </w:tcBorders>
          </w:tcPr>
          <w:p>
            <w:pPr>
              <w:pStyle w:val="TableParagraph"/>
              <w:spacing w:before="30"/>
              <w:ind w:left="85"/>
              <w:rPr>
                <w:sz w:val="18"/>
              </w:rPr>
            </w:pPr>
            <w:r>
              <w:rPr>
                <w:sz w:val="18"/>
              </w:rPr>
              <w:t>Global Land Cover Dataset</w:t>
            </w:r>
          </w:p>
        </w:tc>
      </w:tr>
      <w:tr>
        <w:trPr>
          <w:trHeight w:val="501" w:hRule="atLeast"/>
        </w:trPr>
        <w:tc>
          <w:tcPr>
            <w:tcW w:w="1488" w:type="dxa"/>
          </w:tcPr>
          <w:p>
            <w:pPr>
              <w:pStyle w:val="TableParagraph"/>
              <w:spacing w:before="146"/>
              <w:ind w:left="86"/>
              <w:rPr>
                <w:b/>
                <w:sz w:val="18"/>
              </w:rPr>
            </w:pPr>
            <w:r>
              <w:rPr>
                <w:b/>
                <w:sz w:val="18"/>
              </w:rPr>
              <w:t>Author</w:t>
            </w:r>
          </w:p>
        </w:tc>
        <w:tc>
          <w:tcPr>
            <w:tcW w:w="3122" w:type="dxa"/>
          </w:tcPr>
          <w:p>
            <w:pPr>
              <w:pStyle w:val="TableParagraph"/>
              <w:spacing w:before="38"/>
              <w:ind w:left="83" w:right="554"/>
              <w:rPr>
                <w:sz w:val="18"/>
              </w:rPr>
            </w:pPr>
            <w:r>
              <w:rPr>
                <w:sz w:val="18"/>
              </w:rPr>
              <w:t>Center for Environmental Remote Sensing, Chiba University</w:t>
            </w:r>
          </w:p>
        </w:tc>
        <w:tc>
          <w:tcPr>
            <w:tcW w:w="3187" w:type="dxa"/>
          </w:tcPr>
          <w:p>
            <w:pPr>
              <w:pStyle w:val="TableParagraph"/>
              <w:spacing w:before="141"/>
              <w:ind w:left="84"/>
              <w:rPr>
                <w:sz w:val="18"/>
              </w:rPr>
            </w:pPr>
            <w:r>
              <w:rPr>
                <w:sz w:val="18"/>
              </w:rPr>
              <w:t>IGBP/DIS</w:t>
            </w:r>
          </w:p>
        </w:tc>
        <w:tc>
          <w:tcPr>
            <w:tcW w:w="3189" w:type="dxa"/>
          </w:tcPr>
          <w:p>
            <w:pPr>
              <w:pStyle w:val="TableParagraph"/>
              <w:spacing w:before="141"/>
              <w:ind w:left="88"/>
              <w:rPr>
                <w:sz w:val="18"/>
              </w:rPr>
            </w:pPr>
            <w:r>
              <w:rPr>
                <w:sz w:val="18"/>
              </w:rPr>
              <w:t>USGS, USA</w:t>
            </w:r>
          </w:p>
        </w:tc>
        <w:tc>
          <w:tcPr>
            <w:tcW w:w="3189" w:type="dxa"/>
          </w:tcPr>
          <w:p>
            <w:pPr>
              <w:pStyle w:val="TableParagraph"/>
              <w:spacing w:before="141"/>
              <w:ind w:left="87"/>
              <w:rPr>
                <w:sz w:val="18"/>
              </w:rPr>
            </w:pPr>
            <w:r>
              <w:rPr>
                <w:sz w:val="18"/>
              </w:rPr>
              <w:t>GLCF (Global Land Cover Facility)</w:t>
            </w:r>
          </w:p>
        </w:tc>
      </w:tr>
      <w:tr>
        <w:trPr>
          <w:trHeight w:val="1154" w:hRule="atLeast"/>
        </w:trPr>
        <w:tc>
          <w:tcPr>
            <w:tcW w:w="1488" w:type="dxa"/>
          </w:tcPr>
          <w:p>
            <w:pPr>
              <w:pStyle w:val="TableParagraph"/>
              <w:rPr>
                <w:b/>
                <w:sz w:val="20"/>
              </w:rPr>
            </w:pPr>
          </w:p>
          <w:p>
            <w:pPr>
              <w:pStyle w:val="TableParagraph"/>
              <w:spacing w:before="139"/>
              <w:ind w:left="86" w:right="77"/>
              <w:rPr>
                <w:b/>
                <w:sz w:val="18"/>
              </w:rPr>
            </w:pPr>
            <w:r>
              <w:rPr>
                <w:b/>
                <w:sz w:val="18"/>
              </w:rPr>
              <w:t>Brief description of contents</w:t>
            </w:r>
          </w:p>
        </w:tc>
        <w:tc>
          <w:tcPr>
            <w:tcW w:w="3122" w:type="dxa"/>
          </w:tcPr>
          <w:p>
            <w:pPr>
              <w:pStyle w:val="TableParagraph"/>
              <w:rPr>
                <w:b/>
                <w:sz w:val="20"/>
              </w:rPr>
            </w:pPr>
          </w:p>
          <w:p>
            <w:pPr>
              <w:pStyle w:val="TableParagraph"/>
              <w:spacing w:before="134"/>
              <w:ind w:left="83" w:right="24"/>
              <w:rPr>
                <w:sz w:val="18"/>
              </w:rPr>
            </w:pPr>
            <w:r>
              <w:rPr>
                <w:sz w:val="18"/>
              </w:rPr>
              <w:t>Land cover classes are identified through clustering NOAA AVHRR monthly data.</w:t>
            </w:r>
          </w:p>
        </w:tc>
        <w:tc>
          <w:tcPr>
            <w:tcW w:w="3187" w:type="dxa"/>
          </w:tcPr>
          <w:p>
            <w:pPr>
              <w:pStyle w:val="TableParagraph"/>
              <w:spacing w:before="158"/>
              <w:ind w:left="84" w:right="423"/>
              <w:rPr>
                <w:sz w:val="18"/>
              </w:rPr>
            </w:pPr>
            <w:r>
              <w:rPr>
                <w:sz w:val="18"/>
              </w:rPr>
              <w:t>This classification is derived from Advanced Very High Resolution Radiometer (AVHRR) 1km data and ancillary data.</w:t>
            </w:r>
          </w:p>
        </w:tc>
        <w:tc>
          <w:tcPr>
            <w:tcW w:w="3189" w:type="dxa"/>
          </w:tcPr>
          <w:p>
            <w:pPr>
              <w:pStyle w:val="TableParagraph"/>
              <w:spacing w:before="8"/>
              <w:rPr>
                <w:b/>
                <w:sz w:val="22"/>
              </w:rPr>
            </w:pPr>
          </w:p>
          <w:p>
            <w:pPr>
              <w:pStyle w:val="TableParagraph"/>
              <w:ind w:left="86" w:right="355"/>
              <w:jc w:val="both"/>
              <w:rPr>
                <w:sz w:val="18"/>
              </w:rPr>
            </w:pPr>
            <w:r>
              <w:rPr>
                <w:sz w:val="18"/>
              </w:rPr>
              <w:t>The data set is derived from a flexible data base structure and seasonal land- cover regions concepts</w:t>
            </w:r>
          </w:p>
        </w:tc>
        <w:tc>
          <w:tcPr>
            <w:tcW w:w="3189" w:type="dxa"/>
          </w:tcPr>
          <w:p>
            <w:pPr>
              <w:pStyle w:val="TableParagraph"/>
              <w:spacing w:before="55"/>
              <w:ind w:left="85" w:right="32"/>
              <w:rPr>
                <w:sz w:val="18"/>
              </w:rPr>
            </w:pPr>
            <w:r>
              <w:rPr>
                <w:sz w:val="18"/>
              </w:rPr>
              <w:t>Metrics describing the temporal dynamics of vegetation were applied to 1984 PAL data at 8km resolution to derive a global land-cover classification product using a decision tree classifier.</w:t>
            </w:r>
          </w:p>
        </w:tc>
      </w:tr>
      <w:tr>
        <w:trPr>
          <w:trHeight w:val="947" w:hRule="atLeast"/>
        </w:trPr>
        <w:tc>
          <w:tcPr>
            <w:tcW w:w="1488" w:type="dxa"/>
          </w:tcPr>
          <w:p>
            <w:pPr>
              <w:pStyle w:val="TableParagraph"/>
              <w:spacing w:before="1"/>
              <w:rPr>
                <w:b/>
                <w:sz w:val="23"/>
              </w:rPr>
            </w:pPr>
          </w:p>
          <w:p>
            <w:pPr>
              <w:pStyle w:val="TableParagraph"/>
              <w:ind w:left="86" w:right="332"/>
              <w:rPr>
                <w:b/>
                <w:sz w:val="18"/>
              </w:rPr>
            </w:pPr>
            <w:r>
              <w:rPr>
                <w:b/>
                <w:sz w:val="18"/>
              </w:rPr>
              <w:t>Classification scheme</w:t>
            </w:r>
          </w:p>
        </w:tc>
        <w:tc>
          <w:tcPr>
            <w:tcW w:w="3122" w:type="dxa"/>
          </w:tcPr>
          <w:p>
            <w:pPr>
              <w:pStyle w:val="TableParagraph"/>
              <w:spacing w:before="158"/>
              <w:ind w:left="83" w:right="29"/>
              <w:jc w:val="both"/>
              <w:rPr>
                <w:sz w:val="18"/>
              </w:rPr>
            </w:pPr>
            <w:r>
              <w:rPr>
                <w:sz w:val="18"/>
              </w:rPr>
              <w:t>Original classification scheme is applied. Compatible with IGBP/DIS classification scheme.</w:t>
            </w:r>
          </w:p>
        </w:tc>
        <w:tc>
          <w:tcPr>
            <w:tcW w:w="3187" w:type="dxa"/>
          </w:tcPr>
          <w:p>
            <w:pPr>
              <w:pStyle w:val="TableParagraph"/>
              <w:rPr>
                <w:b/>
                <w:sz w:val="20"/>
              </w:rPr>
            </w:pPr>
          </w:p>
          <w:p>
            <w:pPr>
              <w:pStyle w:val="TableParagraph"/>
              <w:spacing w:before="134"/>
              <w:ind w:left="84"/>
              <w:rPr>
                <w:sz w:val="18"/>
              </w:rPr>
            </w:pPr>
            <w:r>
              <w:rPr>
                <w:sz w:val="18"/>
              </w:rPr>
              <w:t>It consists of 17 classes.</w:t>
            </w:r>
          </w:p>
        </w:tc>
        <w:tc>
          <w:tcPr>
            <w:tcW w:w="3189" w:type="dxa"/>
          </w:tcPr>
          <w:p>
            <w:pPr>
              <w:pStyle w:val="TableParagraph"/>
              <w:spacing w:before="158"/>
              <w:ind w:left="86" w:right="119"/>
              <w:rPr>
                <w:sz w:val="18"/>
              </w:rPr>
            </w:pPr>
            <w:r>
              <w:rPr>
                <w:sz w:val="18"/>
              </w:rPr>
              <w:t>A convergence of evidence approach is used to determine the land cover type for each seasonal land cover class.</w:t>
            </w:r>
          </w:p>
        </w:tc>
        <w:tc>
          <w:tcPr>
            <w:tcW w:w="3189" w:type="dxa"/>
          </w:tcPr>
          <w:p>
            <w:pPr>
              <w:pStyle w:val="TableParagraph"/>
              <w:spacing w:before="55"/>
              <w:ind w:left="85" w:right="80"/>
              <w:rPr>
                <w:sz w:val="18"/>
              </w:rPr>
            </w:pPr>
            <w:r>
              <w:rPr>
                <w:sz w:val="18"/>
              </w:rPr>
              <w:t>The classification was derived by testing several metrics that describe the temporal dynamics of vegetation over an annual cycle.</w:t>
            </w:r>
          </w:p>
        </w:tc>
      </w:tr>
      <w:tr>
        <w:trPr>
          <w:trHeight w:val="498" w:hRule="atLeast"/>
        </w:trPr>
        <w:tc>
          <w:tcPr>
            <w:tcW w:w="1488" w:type="dxa"/>
          </w:tcPr>
          <w:p>
            <w:pPr>
              <w:pStyle w:val="TableParagraph"/>
              <w:spacing w:before="43"/>
              <w:ind w:left="86"/>
              <w:rPr>
                <w:b/>
                <w:sz w:val="18"/>
              </w:rPr>
            </w:pPr>
            <w:r>
              <w:rPr>
                <w:b/>
                <w:sz w:val="18"/>
              </w:rPr>
              <w:t>Data format (vector/raster)</w:t>
            </w:r>
          </w:p>
        </w:tc>
        <w:tc>
          <w:tcPr>
            <w:tcW w:w="3122" w:type="dxa"/>
          </w:tcPr>
          <w:p>
            <w:pPr>
              <w:pStyle w:val="TableParagraph"/>
              <w:spacing w:before="141"/>
              <w:ind w:left="83"/>
              <w:rPr>
                <w:sz w:val="18"/>
              </w:rPr>
            </w:pPr>
            <w:r>
              <w:rPr>
                <w:sz w:val="18"/>
              </w:rPr>
              <w:t>Raster</w:t>
            </w:r>
          </w:p>
        </w:tc>
        <w:tc>
          <w:tcPr>
            <w:tcW w:w="3187" w:type="dxa"/>
          </w:tcPr>
          <w:p>
            <w:pPr>
              <w:pStyle w:val="TableParagraph"/>
              <w:spacing w:before="141"/>
              <w:ind w:left="84"/>
              <w:rPr>
                <w:sz w:val="18"/>
              </w:rPr>
            </w:pPr>
            <w:r>
              <w:rPr>
                <w:sz w:val="18"/>
              </w:rPr>
              <w:t>Raster</w:t>
            </w:r>
          </w:p>
        </w:tc>
        <w:tc>
          <w:tcPr>
            <w:tcW w:w="3189" w:type="dxa"/>
          </w:tcPr>
          <w:p>
            <w:pPr>
              <w:pStyle w:val="TableParagraph"/>
              <w:spacing w:before="141"/>
              <w:ind w:left="86"/>
              <w:rPr>
                <w:sz w:val="18"/>
              </w:rPr>
            </w:pPr>
            <w:r>
              <w:rPr>
                <w:sz w:val="18"/>
              </w:rPr>
              <w:t>Raster</w:t>
            </w:r>
          </w:p>
        </w:tc>
        <w:tc>
          <w:tcPr>
            <w:tcW w:w="3189" w:type="dxa"/>
          </w:tcPr>
          <w:p>
            <w:pPr>
              <w:pStyle w:val="TableParagraph"/>
              <w:spacing w:before="141"/>
              <w:ind w:left="85"/>
              <w:rPr>
                <w:sz w:val="18"/>
              </w:rPr>
            </w:pPr>
            <w:r>
              <w:rPr>
                <w:sz w:val="18"/>
              </w:rPr>
              <w:t>Raster</w:t>
            </w:r>
          </w:p>
        </w:tc>
      </w:tr>
      <w:tr>
        <w:trPr>
          <w:trHeight w:val="501" w:hRule="atLeast"/>
        </w:trPr>
        <w:tc>
          <w:tcPr>
            <w:tcW w:w="1488" w:type="dxa"/>
          </w:tcPr>
          <w:p>
            <w:pPr>
              <w:pStyle w:val="TableParagraph"/>
              <w:spacing w:before="146"/>
              <w:ind w:left="86"/>
              <w:rPr>
                <w:b/>
                <w:sz w:val="18"/>
              </w:rPr>
            </w:pPr>
            <w:r>
              <w:rPr>
                <w:b/>
                <w:sz w:val="18"/>
              </w:rPr>
              <w:t>Spatial coverage</w:t>
            </w:r>
          </w:p>
        </w:tc>
        <w:tc>
          <w:tcPr>
            <w:tcW w:w="3122" w:type="dxa"/>
          </w:tcPr>
          <w:p>
            <w:pPr>
              <w:pStyle w:val="TableParagraph"/>
              <w:spacing w:before="141"/>
              <w:ind w:left="83"/>
              <w:rPr>
                <w:sz w:val="18"/>
              </w:rPr>
            </w:pPr>
            <w:r>
              <w:rPr>
                <w:sz w:val="18"/>
              </w:rPr>
              <w:t>Global</w:t>
            </w:r>
          </w:p>
        </w:tc>
        <w:tc>
          <w:tcPr>
            <w:tcW w:w="3187" w:type="dxa"/>
          </w:tcPr>
          <w:p>
            <w:pPr>
              <w:pStyle w:val="TableParagraph"/>
              <w:spacing w:before="141"/>
              <w:ind w:left="84"/>
              <w:rPr>
                <w:sz w:val="18"/>
              </w:rPr>
            </w:pPr>
            <w:r>
              <w:rPr>
                <w:sz w:val="18"/>
              </w:rPr>
              <w:t>Global</w:t>
            </w:r>
          </w:p>
        </w:tc>
        <w:tc>
          <w:tcPr>
            <w:tcW w:w="3189" w:type="dxa"/>
          </w:tcPr>
          <w:p>
            <w:pPr>
              <w:pStyle w:val="TableParagraph"/>
              <w:spacing w:before="141"/>
              <w:ind w:left="86"/>
              <w:rPr>
                <w:sz w:val="18"/>
              </w:rPr>
            </w:pPr>
            <w:r>
              <w:rPr>
                <w:sz w:val="18"/>
              </w:rPr>
              <w:t>Global</w:t>
            </w:r>
          </w:p>
        </w:tc>
        <w:tc>
          <w:tcPr>
            <w:tcW w:w="3189" w:type="dxa"/>
          </w:tcPr>
          <w:p>
            <w:pPr>
              <w:pStyle w:val="TableParagraph"/>
              <w:spacing w:before="141"/>
              <w:ind w:left="84"/>
              <w:rPr>
                <w:sz w:val="18"/>
              </w:rPr>
            </w:pPr>
            <w:r>
              <w:rPr>
                <w:sz w:val="18"/>
              </w:rPr>
              <w:t>Global</w:t>
            </w:r>
          </w:p>
        </w:tc>
      </w:tr>
      <w:tr>
        <w:trPr>
          <w:trHeight w:val="498" w:hRule="atLeast"/>
        </w:trPr>
        <w:tc>
          <w:tcPr>
            <w:tcW w:w="1488" w:type="dxa"/>
          </w:tcPr>
          <w:p>
            <w:pPr>
              <w:pStyle w:val="TableParagraph"/>
              <w:spacing w:before="43"/>
              <w:ind w:left="86" w:right="116"/>
              <w:rPr>
                <w:b/>
                <w:sz w:val="18"/>
              </w:rPr>
            </w:pPr>
            <w:r>
              <w:rPr>
                <w:b/>
                <w:sz w:val="18"/>
              </w:rPr>
              <w:t>Data acquisition year</w:t>
            </w:r>
          </w:p>
        </w:tc>
        <w:tc>
          <w:tcPr>
            <w:tcW w:w="3122" w:type="dxa"/>
          </w:tcPr>
          <w:p>
            <w:pPr>
              <w:pStyle w:val="TableParagraph"/>
              <w:spacing w:before="141"/>
              <w:ind w:left="83"/>
              <w:rPr>
                <w:sz w:val="18"/>
              </w:rPr>
            </w:pPr>
            <w:r>
              <w:rPr>
                <w:sz w:val="18"/>
              </w:rPr>
              <w:t>1990</w:t>
            </w:r>
          </w:p>
        </w:tc>
        <w:tc>
          <w:tcPr>
            <w:tcW w:w="3187" w:type="dxa"/>
          </w:tcPr>
          <w:p>
            <w:pPr>
              <w:pStyle w:val="TableParagraph"/>
              <w:spacing w:before="141"/>
              <w:ind w:left="83"/>
              <w:rPr>
                <w:sz w:val="18"/>
              </w:rPr>
            </w:pPr>
            <w:r>
              <w:rPr>
                <w:sz w:val="18"/>
              </w:rPr>
              <w:t>1992-1993</w:t>
            </w:r>
          </w:p>
        </w:tc>
        <w:tc>
          <w:tcPr>
            <w:tcW w:w="3189" w:type="dxa"/>
          </w:tcPr>
          <w:p>
            <w:pPr>
              <w:pStyle w:val="TableParagraph"/>
              <w:spacing w:before="141"/>
              <w:ind w:left="86"/>
              <w:rPr>
                <w:sz w:val="18"/>
              </w:rPr>
            </w:pPr>
            <w:r>
              <w:rPr>
                <w:sz w:val="18"/>
              </w:rPr>
              <w:t>April 1992-March 1993</w:t>
            </w:r>
          </w:p>
        </w:tc>
        <w:tc>
          <w:tcPr>
            <w:tcW w:w="3189" w:type="dxa"/>
          </w:tcPr>
          <w:p>
            <w:pPr>
              <w:pStyle w:val="TableParagraph"/>
              <w:spacing w:before="141"/>
              <w:ind w:left="85"/>
              <w:rPr>
                <w:sz w:val="18"/>
              </w:rPr>
            </w:pPr>
            <w:r>
              <w:rPr>
                <w:sz w:val="18"/>
              </w:rPr>
              <w:t>1987</w:t>
            </w:r>
          </w:p>
        </w:tc>
      </w:tr>
      <w:tr>
        <w:trPr>
          <w:trHeight w:val="501" w:hRule="atLeast"/>
        </w:trPr>
        <w:tc>
          <w:tcPr>
            <w:tcW w:w="1488" w:type="dxa"/>
          </w:tcPr>
          <w:p>
            <w:pPr>
              <w:pStyle w:val="TableParagraph"/>
              <w:spacing w:before="43"/>
              <w:ind w:left="86" w:right="16"/>
              <w:rPr>
                <w:b/>
                <w:sz w:val="18"/>
              </w:rPr>
            </w:pPr>
            <w:r>
              <w:rPr>
                <w:b/>
                <w:sz w:val="18"/>
              </w:rPr>
              <w:t>Spatial resolution or grid size</w:t>
            </w:r>
          </w:p>
        </w:tc>
        <w:tc>
          <w:tcPr>
            <w:tcW w:w="3122" w:type="dxa"/>
          </w:tcPr>
          <w:p>
            <w:pPr>
              <w:pStyle w:val="TableParagraph"/>
              <w:spacing w:before="141"/>
              <w:ind w:left="83"/>
              <w:rPr>
                <w:sz w:val="18"/>
              </w:rPr>
            </w:pPr>
            <w:r>
              <w:rPr>
                <w:sz w:val="18"/>
              </w:rPr>
              <w:t>4min x 4min.</w:t>
            </w:r>
          </w:p>
        </w:tc>
        <w:tc>
          <w:tcPr>
            <w:tcW w:w="3187" w:type="dxa"/>
          </w:tcPr>
          <w:p>
            <w:pPr>
              <w:pStyle w:val="TableParagraph"/>
              <w:spacing w:before="141"/>
              <w:ind w:left="85"/>
              <w:rPr>
                <w:sz w:val="18"/>
              </w:rPr>
            </w:pPr>
            <w:r>
              <w:rPr>
                <w:sz w:val="18"/>
              </w:rPr>
              <w:t>1km x 1km</w:t>
            </w:r>
          </w:p>
        </w:tc>
        <w:tc>
          <w:tcPr>
            <w:tcW w:w="3189" w:type="dxa"/>
          </w:tcPr>
          <w:p>
            <w:pPr>
              <w:pStyle w:val="TableParagraph"/>
              <w:spacing w:before="141"/>
              <w:ind w:left="88"/>
              <w:rPr>
                <w:sz w:val="18"/>
              </w:rPr>
            </w:pPr>
            <w:r>
              <w:rPr>
                <w:sz w:val="18"/>
              </w:rPr>
              <w:t>1km x 1km</w:t>
            </w:r>
          </w:p>
        </w:tc>
        <w:tc>
          <w:tcPr>
            <w:tcW w:w="3189" w:type="dxa"/>
          </w:tcPr>
          <w:p>
            <w:pPr>
              <w:pStyle w:val="TableParagraph"/>
              <w:spacing w:before="141"/>
              <w:ind w:left="85"/>
              <w:rPr>
                <w:sz w:val="18"/>
              </w:rPr>
            </w:pPr>
            <w:r>
              <w:rPr>
                <w:sz w:val="18"/>
              </w:rPr>
              <w:t>8km x 8km</w:t>
            </w:r>
          </w:p>
        </w:tc>
      </w:tr>
      <w:tr>
        <w:trPr>
          <w:trHeight w:val="669" w:hRule="atLeast"/>
        </w:trPr>
        <w:tc>
          <w:tcPr>
            <w:tcW w:w="1488" w:type="dxa"/>
          </w:tcPr>
          <w:p>
            <w:pPr>
              <w:pStyle w:val="TableParagraph"/>
              <w:spacing w:before="23"/>
              <w:ind w:left="86"/>
              <w:rPr>
                <w:b/>
                <w:sz w:val="18"/>
              </w:rPr>
            </w:pPr>
            <w:r>
              <w:rPr>
                <w:b/>
                <w:sz w:val="18"/>
              </w:rPr>
              <w:t>Revision interval (for time-series datasets)</w:t>
            </w:r>
          </w:p>
        </w:tc>
        <w:tc>
          <w:tcPr>
            <w:tcW w:w="3122" w:type="dxa"/>
          </w:tcPr>
          <w:p>
            <w:pPr>
              <w:pStyle w:val="TableParagraph"/>
              <w:spacing w:before="6"/>
              <w:rPr>
                <w:b/>
                <w:sz w:val="19"/>
              </w:rPr>
            </w:pPr>
          </w:p>
          <w:p>
            <w:pPr>
              <w:pStyle w:val="TableParagraph"/>
              <w:spacing w:before="1"/>
              <w:ind w:left="83"/>
              <w:rPr>
                <w:sz w:val="18"/>
              </w:rPr>
            </w:pPr>
            <w:r>
              <w:rPr>
                <w:sz w:val="18"/>
              </w:rPr>
              <w:t>Not applicable</w:t>
            </w:r>
          </w:p>
        </w:tc>
        <w:tc>
          <w:tcPr>
            <w:tcW w:w="3187" w:type="dxa"/>
          </w:tcPr>
          <w:p>
            <w:pPr>
              <w:pStyle w:val="TableParagraph"/>
              <w:spacing w:before="6"/>
              <w:rPr>
                <w:b/>
                <w:sz w:val="19"/>
              </w:rPr>
            </w:pPr>
          </w:p>
          <w:p>
            <w:pPr>
              <w:pStyle w:val="TableParagraph"/>
              <w:spacing w:before="1"/>
              <w:ind w:left="84"/>
              <w:rPr>
                <w:sz w:val="18"/>
              </w:rPr>
            </w:pPr>
            <w:r>
              <w:rPr>
                <w:sz w:val="18"/>
              </w:rPr>
              <w:t>Not applicable</w:t>
            </w:r>
          </w:p>
        </w:tc>
        <w:tc>
          <w:tcPr>
            <w:tcW w:w="3189" w:type="dxa"/>
          </w:tcPr>
          <w:p>
            <w:pPr>
              <w:pStyle w:val="TableParagraph"/>
              <w:spacing w:before="6"/>
              <w:rPr>
                <w:b/>
                <w:sz w:val="19"/>
              </w:rPr>
            </w:pPr>
          </w:p>
          <w:p>
            <w:pPr>
              <w:pStyle w:val="TableParagraph"/>
              <w:spacing w:before="1"/>
              <w:ind w:left="86"/>
              <w:rPr>
                <w:sz w:val="18"/>
              </w:rPr>
            </w:pPr>
            <w:r>
              <w:rPr>
                <w:sz w:val="18"/>
              </w:rPr>
              <w:t>Not applicable</w:t>
            </w:r>
          </w:p>
        </w:tc>
        <w:tc>
          <w:tcPr>
            <w:tcW w:w="3189" w:type="dxa"/>
          </w:tcPr>
          <w:p>
            <w:pPr>
              <w:pStyle w:val="TableParagraph"/>
              <w:spacing w:before="6"/>
              <w:rPr>
                <w:b/>
                <w:sz w:val="19"/>
              </w:rPr>
            </w:pPr>
          </w:p>
          <w:p>
            <w:pPr>
              <w:pStyle w:val="TableParagraph"/>
              <w:spacing w:before="1"/>
              <w:ind w:left="85"/>
              <w:rPr>
                <w:sz w:val="18"/>
              </w:rPr>
            </w:pPr>
            <w:r>
              <w:rPr>
                <w:sz w:val="18"/>
              </w:rPr>
              <w:t>Not applicable</w:t>
            </w:r>
          </w:p>
        </w:tc>
      </w:tr>
      <w:tr>
        <w:trPr>
          <w:trHeight w:val="671" w:hRule="atLeast"/>
        </w:trPr>
        <w:tc>
          <w:tcPr>
            <w:tcW w:w="1488" w:type="dxa"/>
          </w:tcPr>
          <w:p>
            <w:pPr>
              <w:pStyle w:val="TableParagraph"/>
              <w:spacing w:before="127"/>
              <w:ind w:left="86" w:right="512"/>
              <w:rPr>
                <w:b/>
                <w:sz w:val="18"/>
              </w:rPr>
            </w:pPr>
            <w:r>
              <w:rPr>
                <w:b/>
                <w:sz w:val="18"/>
              </w:rPr>
              <w:t>Quality description</w:t>
            </w:r>
          </w:p>
        </w:tc>
        <w:tc>
          <w:tcPr>
            <w:tcW w:w="3122" w:type="dxa"/>
          </w:tcPr>
          <w:p>
            <w:pPr>
              <w:pStyle w:val="TableParagraph"/>
              <w:spacing w:before="122"/>
              <w:ind w:left="83" w:right="155"/>
              <w:rPr>
                <w:sz w:val="18"/>
              </w:rPr>
            </w:pPr>
            <w:r>
              <w:rPr>
                <w:sz w:val="18"/>
              </w:rPr>
              <w:t>Ground truth data are compared against the dataset.</w:t>
            </w:r>
          </w:p>
        </w:tc>
        <w:tc>
          <w:tcPr>
            <w:tcW w:w="3187" w:type="dxa"/>
          </w:tcPr>
          <w:p>
            <w:pPr>
              <w:pStyle w:val="TableParagraph"/>
              <w:spacing w:before="122"/>
              <w:ind w:left="84" w:right="133"/>
              <w:rPr>
                <w:sz w:val="18"/>
              </w:rPr>
            </w:pPr>
            <w:r>
              <w:rPr>
                <w:sz w:val="18"/>
              </w:rPr>
              <w:t>High-resolution satellite imagery used to statistically validate the dataset.</w:t>
            </w:r>
          </w:p>
        </w:tc>
        <w:tc>
          <w:tcPr>
            <w:tcW w:w="3189" w:type="dxa"/>
          </w:tcPr>
          <w:p>
            <w:pPr>
              <w:pStyle w:val="TableParagraph"/>
              <w:spacing w:before="19"/>
              <w:ind w:left="86" w:right="438"/>
              <w:jc w:val="both"/>
              <w:rPr>
                <w:sz w:val="18"/>
              </w:rPr>
            </w:pPr>
            <w:r>
              <w:rPr>
                <w:sz w:val="18"/>
              </w:rPr>
              <w:t>Sample point accuracy: 59.4% Area- weighted accuracy: 66.9% (Scepan, 1999).</w:t>
            </w:r>
          </w:p>
        </w:tc>
        <w:tc>
          <w:tcPr>
            <w:tcW w:w="3189" w:type="dxa"/>
          </w:tcPr>
          <w:p>
            <w:pPr>
              <w:pStyle w:val="TableParagraph"/>
              <w:spacing w:before="6"/>
              <w:rPr>
                <w:b/>
                <w:sz w:val="19"/>
              </w:rPr>
            </w:pPr>
          </w:p>
          <w:p>
            <w:pPr>
              <w:pStyle w:val="TableParagraph"/>
              <w:spacing w:before="1"/>
              <w:ind w:left="85"/>
              <w:rPr>
                <w:sz w:val="18"/>
              </w:rPr>
            </w:pPr>
            <w:r>
              <w:rPr>
                <w:sz w:val="18"/>
              </w:rPr>
              <w:t>No description</w:t>
            </w:r>
          </w:p>
        </w:tc>
      </w:tr>
      <w:tr>
        <w:trPr>
          <w:trHeight w:val="669" w:hRule="atLeast"/>
        </w:trPr>
        <w:tc>
          <w:tcPr>
            <w:tcW w:w="1488" w:type="dxa"/>
          </w:tcPr>
          <w:p>
            <w:pPr>
              <w:pStyle w:val="TableParagraph"/>
              <w:spacing w:before="23"/>
              <w:ind w:left="86" w:right="127"/>
              <w:rPr>
                <w:b/>
                <w:sz w:val="18"/>
              </w:rPr>
            </w:pPr>
            <w:r>
              <w:rPr>
                <w:b/>
                <w:sz w:val="18"/>
              </w:rPr>
              <w:t>Contact address and reference URL</w:t>
            </w:r>
          </w:p>
        </w:tc>
        <w:tc>
          <w:tcPr>
            <w:tcW w:w="3122" w:type="dxa"/>
          </w:tcPr>
          <w:p>
            <w:pPr>
              <w:pStyle w:val="TableParagraph"/>
              <w:spacing w:before="19"/>
              <w:ind w:left="83" w:right="325"/>
              <w:rPr>
                <w:sz w:val="18"/>
              </w:rPr>
            </w:pPr>
            <w:hyperlink r:id="rId81">
              <w:r>
                <w:rPr>
                  <w:sz w:val="18"/>
                </w:rPr>
                <w:t>tateishi@rsirc.cr.chiba-u.ac.jp</w:t>
              </w:r>
            </w:hyperlink>
            <w:r>
              <w:rPr>
                <w:sz w:val="18"/>
              </w:rPr>
              <w:t> http://ceres.cr.chiba-u.ac.jp:8080/usr- dir/you/ICHP/index.html</w:t>
            </w:r>
          </w:p>
        </w:tc>
        <w:tc>
          <w:tcPr>
            <w:tcW w:w="3187" w:type="dxa"/>
          </w:tcPr>
          <w:p>
            <w:pPr>
              <w:pStyle w:val="TableParagraph"/>
              <w:spacing w:before="19"/>
              <w:ind w:left="84" w:right="303"/>
              <w:rPr>
                <w:sz w:val="18"/>
              </w:rPr>
            </w:pPr>
            <w:hyperlink r:id="rId82">
              <w:r>
                <w:rPr>
                  <w:sz w:val="18"/>
                </w:rPr>
                <w:t>alan.belward@jrc.it</w:t>
              </w:r>
            </w:hyperlink>
            <w:r>
              <w:rPr>
                <w:sz w:val="18"/>
              </w:rPr>
              <w:t> </w:t>
            </w:r>
            <w:hyperlink r:id="rId83">
              <w:r>
                <w:rPr>
                  <w:sz w:val="18"/>
                </w:rPr>
                <w:t>http://www.ngdc.noaa.gov/paleo/igbp-</w:t>
              </w:r>
            </w:hyperlink>
            <w:r>
              <w:rPr>
                <w:sz w:val="18"/>
              </w:rPr>
              <w:t> dis/frame/coreprojects/index.html</w:t>
            </w:r>
          </w:p>
        </w:tc>
        <w:tc>
          <w:tcPr>
            <w:tcW w:w="3189" w:type="dxa"/>
          </w:tcPr>
          <w:p>
            <w:pPr>
              <w:pStyle w:val="TableParagraph"/>
              <w:spacing w:before="122"/>
              <w:ind w:left="86" w:right="22"/>
              <w:rPr>
                <w:sz w:val="18"/>
              </w:rPr>
            </w:pPr>
            <w:r>
              <w:rPr>
                <w:sz w:val="18"/>
              </w:rPr>
              <w:t>icac@usgs.gov</w:t>
            </w:r>
            <w:hyperlink r:id="rId84">
              <w:r>
                <w:rPr>
                  <w:sz w:val="18"/>
                </w:rPr>
                <w:t>http://edcdaac.usgs.gov/glc</w:t>
              </w:r>
            </w:hyperlink>
            <w:r>
              <w:rPr>
                <w:sz w:val="18"/>
              </w:rPr>
              <w:t> c/globe_int.html.</w:t>
            </w:r>
          </w:p>
        </w:tc>
        <w:tc>
          <w:tcPr>
            <w:tcW w:w="3189" w:type="dxa"/>
          </w:tcPr>
          <w:p>
            <w:pPr>
              <w:pStyle w:val="TableParagraph"/>
              <w:spacing w:before="6"/>
              <w:rPr>
                <w:b/>
                <w:sz w:val="19"/>
              </w:rPr>
            </w:pPr>
          </w:p>
          <w:p>
            <w:pPr>
              <w:pStyle w:val="TableParagraph"/>
              <w:spacing w:before="1"/>
              <w:ind w:left="85"/>
              <w:rPr>
                <w:sz w:val="18"/>
              </w:rPr>
            </w:pPr>
            <w:hyperlink r:id="rId85">
              <w:r>
                <w:rPr>
                  <w:sz w:val="18"/>
                </w:rPr>
                <w:t>http://glcf.umiacs.umd.edu/data.html</w:t>
              </w:r>
            </w:hyperlink>
          </w:p>
        </w:tc>
      </w:tr>
    </w:tbl>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
        <w:rPr>
          <w:b/>
          <w:sz w:val="21"/>
        </w:rPr>
      </w:pPr>
      <w:r>
        <w:rPr/>
        <w:pict>
          <v:line style="position:absolute;mso-position-horizontal-relative:page;mso-position-vertical-relative:paragraph;z-index:2144;mso-wrap-distance-left:0;mso-wrap-distance-right:0" from="69.480003pt,14.864882pt" to="792.360003pt,14.864882pt" stroked="true" strokeweight=".75pt" strokecolor="#010101">
            <v:stroke dashstyle="solid"/>
            <w10:wrap type="topAndBottom"/>
          </v:line>
        </w:pict>
      </w:r>
    </w:p>
    <w:p>
      <w:pPr>
        <w:spacing w:after="0"/>
        <w:rPr>
          <w:sz w:val="21"/>
        </w:rPr>
        <w:sectPr>
          <w:headerReference w:type="default" r:id="rId78"/>
          <w:footerReference w:type="default" r:id="rId79"/>
          <w:footerReference w:type="even" r:id="rId80"/>
          <w:pgSz w:w="16840" w:h="11900" w:orient="landscape"/>
          <w:pgMar w:header="0" w:footer="360" w:top="200" w:bottom="540" w:left="1280" w:right="860"/>
        </w:sectPr>
      </w:pPr>
    </w:p>
    <w:p>
      <w:pPr>
        <w:pStyle w:val="BodyText"/>
        <w:spacing w:before="76"/>
        <w:ind w:left="138"/>
      </w:pPr>
      <w:r>
        <w:rPr/>
        <w:pict>
          <v:line style="position:absolute;mso-position-horizontal-relative:page;mso-position-vertical-relative:paragraph;z-index:2168;mso-wrap-distance-left:0;mso-wrap-distance-right:0" from="69.480003pt,21.175514pt" to="792.360003pt,21.175514pt" stroked="true" strokeweight=".75pt" strokecolor="#010101">
            <v:stroke dashstyle="solid"/>
            <w10:wrap type="topAndBottom"/>
          </v:line>
        </w:pict>
      </w:r>
      <w:r>
        <w:rPr/>
        <w:t>Chapter 2: Basis for Consistent Representation of Land Areas</w:t>
      </w:r>
    </w:p>
    <w:p>
      <w:pPr>
        <w:pStyle w:val="BodyText"/>
      </w:pPr>
    </w:p>
    <w:p>
      <w:pPr>
        <w:pStyle w:val="BodyText"/>
      </w:pPr>
    </w:p>
    <w:p>
      <w:pPr>
        <w:pStyle w:val="BodyText"/>
        <w:spacing w:before="9" w:after="1"/>
        <w:rPr>
          <w:sz w:val="25"/>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18"/>
        <w:gridCol w:w="3192"/>
        <w:gridCol w:w="3187"/>
        <w:gridCol w:w="3189"/>
        <w:gridCol w:w="3189"/>
      </w:tblGrid>
      <w:tr>
        <w:trPr>
          <w:trHeight w:val="328" w:hRule="atLeast"/>
        </w:trPr>
        <w:tc>
          <w:tcPr>
            <w:tcW w:w="14175" w:type="dxa"/>
            <w:gridSpan w:val="5"/>
            <w:tcBorders>
              <w:bottom w:val="double" w:sz="1" w:space="0" w:color="000000"/>
            </w:tcBorders>
          </w:tcPr>
          <w:p>
            <w:pPr>
              <w:pStyle w:val="TableParagraph"/>
              <w:spacing w:before="59"/>
              <w:ind w:left="4827" w:right="4816"/>
              <w:jc w:val="center"/>
              <w:rPr>
                <w:b/>
                <w:sz w:val="18"/>
              </w:rPr>
            </w:pPr>
            <w:r>
              <w:rPr>
                <w:b/>
                <w:sz w:val="18"/>
              </w:rPr>
              <w:t>Examples of international land cover datasets (Continued)</w:t>
            </w:r>
          </w:p>
        </w:tc>
      </w:tr>
      <w:tr>
        <w:trPr>
          <w:trHeight w:val="651" w:hRule="atLeast"/>
        </w:trPr>
        <w:tc>
          <w:tcPr>
            <w:tcW w:w="1418" w:type="dxa"/>
            <w:tcBorders>
              <w:top w:val="double" w:sz="1" w:space="0" w:color="000000"/>
            </w:tcBorders>
          </w:tcPr>
          <w:p>
            <w:pPr>
              <w:pStyle w:val="TableParagraph"/>
              <w:spacing w:before="6"/>
              <w:rPr>
                <w:sz w:val="19"/>
              </w:rPr>
            </w:pPr>
          </w:p>
          <w:p>
            <w:pPr>
              <w:pStyle w:val="TableParagraph"/>
              <w:ind w:left="30"/>
              <w:rPr>
                <w:b/>
                <w:sz w:val="18"/>
              </w:rPr>
            </w:pPr>
            <w:r>
              <w:rPr>
                <w:b/>
                <w:sz w:val="18"/>
              </w:rPr>
              <w:t>Dataset name</w:t>
            </w:r>
          </w:p>
        </w:tc>
        <w:tc>
          <w:tcPr>
            <w:tcW w:w="3192" w:type="dxa"/>
            <w:tcBorders>
              <w:top w:val="double" w:sz="1" w:space="0" w:color="000000"/>
            </w:tcBorders>
          </w:tcPr>
          <w:p>
            <w:pPr>
              <w:pStyle w:val="TableParagraph"/>
              <w:spacing w:before="57"/>
              <w:ind w:left="31"/>
              <w:rPr>
                <w:sz w:val="18"/>
              </w:rPr>
            </w:pPr>
            <w:r>
              <w:rPr>
                <w:sz w:val="18"/>
              </w:rPr>
              <w:t>1º Land Cover Map from AVHRR</w:t>
            </w:r>
          </w:p>
        </w:tc>
        <w:tc>
          <w:tcPr>
            <w:tcW w:w="3187" w:type="dxa"/>
            <w:tcBorders>
              <w:top w:val="double" w:sz="1" w:space="0" w:color="000000"/>
            </w:tcBorders>
          </w:tcPr>
          <w:p>
            <w:pPr>
              <w:pStyle w:val="TableParagraph"/>
              <w:spacing w:before="57"/>
              <w:ind w:left="27"/>
              <w:rPr>
                <w:sz w:val="18"/>
              </w:rPr>
            </w:pPr>
            <w:r>
              <w:rPr>
                <w:sz w:val="18"/>
              </w:rPr>
              <w:t>CORINE land cover (CLC) database</w:t>
            </w:r>
          </w:p>
        </w:tc>
        <w:tc>
          <w:tcPr>
            <w:tcW w:w="3189" w:type="dxa"/>
            <w:tcBorders>
              <w:top w:val="double" w:sz="1" w:space="0" w:color="000000"/>
            </w:tcBorders>
          </w:tcPr>
          <w:p>
            <w:pPr>
              <w:pStyle w:val="TableParagraph"/>
              <w:spacing w:before="57"/>
              <w:ind w:left="29"/>
              <w:rPr>
                <w:sz w:val="18"/>
              </w:rPr>
            </w:pPr>
            <w:r>
              <w:rPr>
                <w:sz w:val="18"/>
              </w:rPr>
              <w:t>Digital Chart of the World</w:t>
            </w:r>
          </w:p>
        </w:tc>
        <w:tc>
          <w:tcPr>
            <w:tcW w:w="3189" w:type="dxa"/>
            <w:tcBorders>
              <w:top w:val="double" w:sz="1" w:space="0" w:color="000000"/>
            </w:tcBorders>
          </w:tcPr>
          <w:p>
            <w:pPr>
              <w:pStyle w:val="TableParagraph"/>
              <w:spacing w:before="57"/>
              <w:ind w:left="32"/>
              <w:rPr>
                <w:sz w:val="18"/>
              </w:rPr>
            </w:pPr>
            <w:r>
              <w:rPr>
                <w:sz w:val="18"/>
              </w:rPr>
              <w:t>Global Map</w:t>
            </w:r>
          </w:p>
        </w:tc>
      </w:tr>
      <w:tr>
        <w:trPr>
          <w:trHeight w:val="534" w:hRule="atLeast"/>
        </w:trPr>
        <w:tc>
          <w:tcPr>
            <w:tcW w:w="1418" w:type="dxa"/>
          </w:tcPr>
          <w:p>
            <w:pPr>
              <w:pStyle w:val="TableParagraph"/>
              <w:spacing w:before="163"/>
              <w:ind w:left="30"/>
              <w:rPr>
                <w:b/>
                <w:sz w:val="18"/>
              </w:rPr>
            </w:pPr>
            <w:r>
              <w:rPr>
                <w:b/>
                <w:sz w:val="18"/>
              </w:rPr>
              <w:t>Author</w:t>
            </w:r>
          </w:p>
        </w:tc>
        <w:tc>
          <w:tcPr>
            <w:tcW w:w="3192" w:type="dxa"/>
          </w:tcPr>
          <w:p>
            <w:pPr>
              <w:pStyle w:val="TableParagraph"/>
              <w:spacing w:before="55"/>
              <w:ind w:left="31" w:right="141"/>
              <w:rPr>
                <w:sz w:val="18"/>
              </w:rPr>
            </w:pPr>
            <w:r>
              <w:rPr>
                <w:sz w:val="18"/>
              </w:rPr>
              <w:t>Dr. Ruth DeFries University of Maryland at College Park, USA</w:t>
            </w:r>
          </w:p>
        </w:tc>
        <w:tc>
          <w:tcPr>
            <w:tcW w:w="3187" w:type="dxa"/>
          </w:tcPr>
          <w:p>
            <w:pPr>
              <w:pStyle w:val="TableParagraph"/>
              <w:spacing w:before="55"/>
              <w:ind w:left="28"/>
              <w:rPr>
                <w:sz w:val="18"/>
              </w:rPr>
            </w:pPr>
            <w:r>
              <w:rPr>
                <w:sz w:val="18"/>
              </w:rPr>
              <w:t>European Environmental Agency</w:t>
            </w:r>
          </w:p>
        </w:tc>
        <w:tc>
          <w:tcPr>
            <w:tcW w:w="3189" w:type="dxa"/>
          </w:tcPr>
          <w:p>
            <w:pPr>
              <w:pStyle w:val="TableParagraph"/>
              <w:spacing w:before="55"/>
              <w:ind w:left="31"/>
              <w:rPr>
                <w:sz w:val="18"/>
              </w:rPr>
            </w:pPr>
            <w:r>
              <w:rPr>
                <w:sz w:val="18"/>
              </w:rPr>
              <w:t>ESRI Products</w:t>
            </w:r>
          </w:p>
        </w:tc>
        <w:tc>
          <w:tcPr>
            <w:tcW w:w="3189" w:type="dxa"/>
          </w:tcPr>
          <w:p>
            <w:pPr>
              <w:pStyle w:val="TableParagraph"/>
              <w:spacing w:before="55"/>
              <w:ind w:left="32" w:right="127"/>
              <w:rPr>
                <w:sz w:val="18"/>
              </w:rPr>
            </w:pPr>
            <w:r>
              <w:rPr>
                <w:sz w:val="18"/>
              </w:rPr>
              <w:t>Produced by National Mapping Organizations, and Compiled by ISCGM.</w:t>
            </w:r>
          </w:p>
        </w:tc>
      </w:tr>
      <w:tr>
        <w:trPr>
          <w:trHeight w:val="1154" w:hRule="atLeast"/>
        </w:trPr>
        <w:tc>
          <w:tcPr>
            <w:tcW w:w="1418" w:type="dxa"/>
          </w:tcPr>
          <w:p>
            <w:pPr>
              <w:pStyle w:val="TableParagraph"/>
              <w:rPr>
                <w:sz w:val="20"/>
              </w:rPr>
            </w:pPr>
          </w:p>
          <w:p>
            <w:pPr>
              <w:pStyle w:val="TableParagraph"/>
              <w:spacing w:before="139"/>
              <w:ind w:left="30" w:right="63"/>
              <w:rPr>
                <w:b/>
                <w:sz w:val="18"/>
              </w:rPr>
            </w:pPr>
            <w:r>
              <w:rPr>
                <w:b/>
                <w:sz w:val="18"/>
              </w:rPr>
              <w:t>Brief description of contents</w:t>
            </w:r>
          </w:p>
        </w:tc>
        <w:tc>
          <w:tcPr>
            <w:tcW w:w="3192" w:type="dxa"/>
          </w:tcPr>
          <w:p>
            <w:pPr>
              <w:pStyle w:val="TableParagraph"/>
              <w:spacing w:before="55"/>
              <w:ind w:left="31" w:right="101"/>
              <w:rPr>
                <w:sz w:val="18"/>
              </w:rPr>
            </w:pPr>
            <w:r>
              <w:rPr>
                <w:sz w:val="18"/>
              </w:rPr>
              <w:t>The data set describes the geographical distributions of eleven major cover types based on inter-annual variations in NDVI.</w:t>
            </w:r>
          </w:p>
        </w:tc>
        <w:tc>
          <w:tcPr>
            <w:tcW w:w="3187" w:type="dxa"/>
          </w:tcPr>
          <w:p>
            <w:pPr>
              <w:pStyle w:val="TableParagraph"/>
              <w:spacing w:before="55"/>
              <w:ind w:left="28" w:right="244"/>
              <w:rPr>
                <w:sz w:val="18"/>
              </w:rPr>
            </w:pPr>
            <w:r>
              <w:rPr>
                <w:sz w:val="18"/>
              </w:rPr>
              <w:t>It provides a pan-European inventory of biophysical land cover. CORINE land cover is a key database for integrated environmental assessment.</w:t>
            </w:r>
          </w:p>
        </w:tc>
        <w:tc>
          <w:tcPr>
            <w:tcW w:w="3189" w:type="dxa"/>
          </w:tcPr>
          <w:p>
            <w:pPr>
              <w:pStyle w:val="TableParagraph"/>
              <w:spacing w:before="55"/>
              <w:ind w:left="31" w:right="48"/>
              <w:rPr>
                <w:sz w:val="18"/>
              </w:rPr>
            </w:pPr>
            <w:r>
              <w:rPr>
                <w:sz w:val="18"/>
              </w:rPr>
              <w:t>It is a worldwide base map of coastlines, boundaries, land cover, etc. Contains more than 200 attributes arranged into 17 thematic layers with text annotations for geographical features.</w:t>
            </w:r>
          </w:p>
        </w:tc>
        <w:tc>
          <w:tcPr>
            <w:tcW w:w="3189" w:type="dxa"/>
          </w:tcPr>
          <w:p>
            <w:pPr>
              <w:pStyle w:val="TableParagraph"/>
              <w:spacing w:before="55"/>
              <w:ind w:left="32" w:right="183"/>
              <w:rPr>
                <w:sz w:val="18"/>
              </w:rPr>
            </w:pPr>
            <w:r>
              <w:rPr>
                <w:sz w:val="18"/>
              </w:rPr>
              <w:t>Digital geographic information in 1 km resolution covering the whole land with standardized specifications and available to everyone at marginal cost.</w:t>
            </w:r>
          </w:p>
        </w:tc>
      </w:tr>
      <w:tr>
        <w:trPr>
          <w:trHeight w:val="534" w:hRule="atLeast"/>
        </w:trPr>
        <w:tc>
          <w:tcPr>
            <w:tcW w:w="1418" w:type="dxa"/>
          </w:tcPr>
          <w:p>
            <w:pPr>
              <w:pStyle w:val="TableParagraph"/>
              <w:spacing w:before="59"/>
              <w:ind w:left="30" w:right="318"/>
              <w:rPr>
                <w:b/>
                <w:sz w:val="18"/>
              </w:rPr>
            </w:pPr>
            <w:r>
              <w:rPr>
                <w:b/>
                <w:sz w:val="18"/>
              </w:rPr>
              <w:t>Classification scheme</w:t>
            </w:r>
          </w:p>
        </w:tc>
        <w:tc>
          <w:tcPr>
            <w:tcW w:w="3192" w:type="dxa"/>
          </w:tcPr>
          <w:p>
            <w:pPr>
              <w:pStyle w:val="TableParagraph"/>
              <w:spacing w:before="55"/>
              <w:ind w:left="31"/>
              <w:rPr>
                <w:sz w:val="18"/>
              </w:rPr>
            </w:pPr>
            <w:r>
              <w:rPr>
                <w:sz w:val="18"/>
              </w:rPr>
              <w:t>It consists of the digital 13 class map</w:t>
            </w:r>
          </w:p>
        </w:tc>
        <w:tc>
          <w:tcPr>
            <w:tcW w:w="3187" w:type="dxa"/>
          </w:tcPr>
          <w:p>
            <w:pPr>
              <w:pStyle w:val="TableParagraph"/>
              <w:spacing w:before="55"/>
              <w:ind w:left="30"/>
              <w:rPr>
                <w:sz w:val="18"/>
              </w:rPr>
            </w:pPr>
            <w:r>
              <w:rPr>
                <w:sz w:val="18"/>
              </w:rPr>
              <w:t>Uses a 44 class nomenclature.</w:t>
            </w:r>
          </w:p>
        </w:tc>
        <w:tc>
          <w:tcPr>
            <w:tcW w:w="3189" w:type="dxa"/>
          </w:tcPr>
          <w:p>
            <w:pPr>
              <w:pStyle w:val="TableParagraph"/>
              <w:spacing w:before="55"/>
              <w:ind w:left="31" w:right="265" w:hanging="1"/>
              <w:rPr>
                <w:sz w:val="18"/>
              </w:rPr>
            </w:pPr>
            <w:r>
              <w:rPr>
                <w:sz w:val="18"/>
              </w:rPr>
              <w:t>8 Agriculture/ Extraction features and 7 surface cover features.</w:t>
            </w:r>
          </w:p>
        </w:tc>
        <w:tc>
          <w:tcPr>
            <w:tcW w:w="3189" w:type="dxa"/>
          </w:tcPr>
          <w:p>
            <w:pPr>
              <w:pStyle w:val="TableParagraph"/>
              <w:spacing w:before="55"/>
              <w:ind w:left="32"/>
              <w:rPr>
                <w:sz w:val="18"/>
              </w:rPr>
            </w:pPr>
            <w:r>
              <w:rPr>
                <w:sz w:val="18"/>
              </w:rPr>
              <w:t>Refer to </w:t>
            </w:r>
            <w:hyperlink r:id="rId87">
              <w:r>
                <w:rPr>
                  <w:sz w:val="18"/>
                </w:rPr>
                <w:t>http://www.iscgm.org/gm-</w:t>
              </w:r>
            </w:hyperlink>
            <w:r>
              <w:rPr>
                <w:sz w:val="18"/>
              </w:rPr>
              <w:t> specifications11.pdf</w:t>
            </w:r>
          </w:p>
        </w:tc>
      </w:tr>
      <w:tr>
        <w:trPr>
          <w:trHeight w:val="412" w:hRule="atLeast"/>
        </w:trPr>
        <w:tc>
          <w:tcPr>
            <w:tcW w:w="1418" w:type="dxa"/>
          </w:tcPr>
          <w:p>
            <w:pPr>
              <w:pStyle w:val="TableParagraph"/>
              <w:spacing w:line="206" w:lineRule="exact" w:before="3"/>
              <w:ind w:left="30" w:right="248"/>
              <w:rPr>
                <w:b/>
                <w:sz w:val="18"/>
              </w:rPr>
            </w:pPr>
            <w:r>
              <w:rPr>
                <w:b/>
                <w:sz w:val="18"/>
              </w:rPr>
              <w:t>Data format (vector/raster)</w:t>
            </w:r>
          </w:p>
        </w:tc>
        <w:tc>
          <w:tcPr>
            <w:tcW w:w="3192" w:type="dxa"/>
          </w:tcPr>
          <w:p>
            <w:pPr>
              <w:pStyle w:val="TableParagraph"/>
              <w:spacing w:before="55"/>
              <w:ind w:left="31"/>
              <w:rPr>
                <w:sz w:val="18"/>
              </w:rPr>
            </w:pPr>
            <w:r>
              <w:rPr>
                <w:sz w:val="18"/>
              </w:rPr>
              <w:t>Raster</w:t>
            </w:r>
          </w:p>
        </w:tc>
        <w:tc>
          <w:tcPr>
            <w:tcW w:w="3187" w:type="dxa"/>
          </w:tcPr>
          <w:p>
            <w:pPr>
              <w:pStyle w:val="TableParagraph"/>
              <w:spacing w:before="55"/>
              <w:ind w:left="28"/>
              <w:rPr>
                <w:sz w:val="18"/>
              </w:rPr>
            </w:pPr>
            <w:r>
              <w:rPr>
                <w:sz w:val="18"/>
              </w:rPr>
              <w:t>Raster</w:t>
            </w:r>
          </w:p>
        </w:tc>
        <w:tc>
          <w:tcPr>
            <w:tcW w:w="3189" w:type="dxa"/>
          </w:tcPr>
          <w:p>
            <w:pPr>
              <w:pStyle w:val="TableParagraph"/>
              <w:spacing w:before="55"/>
              <w:ind w:left="30"/>
              <w:rPr>
                <w:sz w:val="18"/>
              </w:rPr>
            </w:pPr>
            <w:r>
              <w:rPr>
                <w:sz w:val="18"/>
              </w:rPr>
              <w:t>Vector Polygons</w:t>
            </w:r>
          </w:p>
        </w:tc>
        <w:tc>
          <w:tcPr>
            <w:tcW w:w="3189" w:type="dxa"/>
          </w:tcPr>
          <w:p>
            <w:pPr>
              <w:pStyle w:val="TableParagraph"/>
              <w:spacing w:before="55"/>
              <w:ind w:left="32"/>
              <w:rPr>
                <w:sz w:val="18"/>
              </w:rPr>
            </w:pPr>
            <w:r>
              <w:rPr>
                <w:sz w:val="18"/>
              </w:rPr>
              <w:t>Raster and Vector</w:t>
            </w:r>
          </w:p>
        </w:tc>
      </w:tr>
      <w:tr>
        <w:trPr>
          <w:trHeight w:val="1563" w:hRule="atLeast"/>
        </w:trPr>
        <w:tc>
          <w:tcPr>
            <w:tcW w:w="1418" w:type="dxa"/>
          </w:tcPr>
          <w:p>
            <w:pPr>
              <w:pStyle w:val="TableParagraph"/>
              <w:rPr>
                <w:sz w:val="20"/>
              </w:rPr>
            </w:pPr>
          </w:p>
          <w:p>
            <w:pPr>
              <w:pStyle w:val="TableParagraph"/>
              <w:rPr>
                <w:sz w:val="20"/>
              </w:rPr>
            </w:pPr>
          </w:p>
          <w:p>
            <w:pPr>
              <w:pStyle w:val="TableParagraph"/>
              <w:spacing w:before="9"/>
              <w:rPr>
                <w:sz w:val="18"/>
              </w:rPr>
            </w:pPr>
          </w:p>
          <w:p>
            <w:pPr>
              <w:pStyle w:val="TableParagraph"/>
              <w:ind w:left="30"/>
              <w:rPr>
                <w:b/>
                <w:sz w:val="18"/>
              </w:rPr>
            </w:pPr>
            <w:r>
              <w:rPr>
                <w:b/>
                <w:sz w:val="18"/>
              </w:rPr>
              <w:t>Spatial coverage</w:t>
            </w:r>
          </w:p>
        </w:tc>
        <w:tc>
          <w:tcPr>
            <w:tcW w:w="3192" w:type="dxa"/>
          </w:tcPr>
          <w:p>
            <w:pPr>
              <w:pStyle w:val="TableParagraph"/>
              <w:spacing w:before="52"/>
              <w:ind w:left="31"/>
              <w:rPr>
                <w:sz w:val="18"/>
              </w:rPr>
            </w:pPr>
            <w:r>
              <w:rPr>
                <w:sz w:val="18"/>
              </w:rPr>
              <w:t>Global</w:t>
            </w:r>
          </w:p>
        </w:tc>
        <w:tc>
          <w:tcPr>
            <w:tcW w:w="3187" w:type="dxa"/>
          </w:tcPr>
          <w:p>
            <w:pPr>
              <w:pStyle w:val="TableParagraph"/>
              <w:spacing w:before="52"/>
              <w:ind w:left="28" w:right="75" w:hanging="2"/>
              <w:rPr>
                <w:sz w:val="18"/>
              </w:rPr>
            </w:pPr>
            <w:r>
              <w:rPr>
                <w:sz w:val="18"/>
              </w:rPr>
              <w:t>Austria, Belgium, Bulgaria, Czech Republic, Denmark, Finland, France, Germany, Greece, Hungary, Ireland, Italy, Luxembourg, Netherlands, Poland , Portugal, Romania, Slovakia, Spain, United Kingdom, Parts of Morocco and Tunisia.</w:t>
            </w:r>
          </w:p>
        </w:tc>
        <w:tc>
          <w:tcPr>
            <w:tcW w:w="3189" w:type="dxa"/>
          </w:tcPr>
          <w:p>
            <w:pPr>
              <w:pStyle w:val="TableParagraph"/>
              <w:spacing w:before="52"/>
              <w:ind w:left="31"/>
              <w:rPr>
                <w:sz w:val="18"/>
              </w:rPr>
            </w:pPr>
            <w:r>
              <w:rPr>
                <w:sz w:val="18"/>
              </w:rPr>
              <w:t>Global coverage</w:t>
            </w:r>
          </w:p>
        </w:tc>
        <w:tc>
          <w:tcPr>
            <w:tcW w:w="3189" w:type="dxa"/>
          </w:tcPr>
          <w:p>
            <w:pPr>
              <w:pStyle w:val="TableParagraph"/>
              <w:spacing w:before="52"/>
              <w:ind w:left="31"/>
              <w:rPr>
                <w:sz w:val="18"/>
              </w:rPr>
            </w:pPr>
            <w:r>
              <w:rPr>
                <w:sz w:val="18"/>
              </w:rPr>
              <w:t>Participating countries (90 in number)</w:t>
            </w:r>
          </w:p>
        </w:tc>
      </w:tr>
      <w:tr>
        <w:trPr>
          <w:trHeight w:val="741" w:hRule="atLeast"/>
        </w:trPr>
        <w:tc>
          <w:tcPr>
            <w:tcW w:w="1418" w:type="dxa"/>
          </w:tcPr>
          <w:p>
            <w:pPr>
              <w:pStyle w:val="TableParagraph"/>
              <w:spacing w:before="163"/>
              <w:ind w:left="30" w:right="102"/>
              <w:rPr>
                <w:b/>
                <w:sz w:val="18"/>
              </w:rPr>
            </w:pPr>
            <w:r>
              <w:rPr>
                <w:b/>
                <w:sz w:val="18"/>
              </w:rPr>
              <w:t>Data acquisition year</w:t>
            </w:r>
          </w:p>
        </w:tc>
        <w:tc>
          <w:tcPr>
            <w:tcW w:w="3192" w:type="dxa"/>
          </w:tcPr>
          <w:p>
            <w:pPr>
              <w:pStyle w:val="TableParagraph"/>
              <w:spacing w:before="55"/>
              <w:ind w:left="31"/>
              <w:rPr>
                <w:sz w:val="18"/>
              </w:rPr>
            </w:pPr>
            <w:r>
              <w:rPr>
                <w:sz w:val="18"/>
              </w:rPr>
              <w:t>1987</w:t>
            </w:r>
          </w:p>
        </w:tc>
        <w:tc>
          <w:tcPr>
            <w:tcW w:w="3187" w:type="dxa"/>
          </w:tcPr>
          <w:p>
            <w:pPr>
              <w:pStyle w:val="TableParagraph"/>
              <w:spacing w:before="55"/>
              <w:ind w:left="28" w:right="71" w:hanging="2"/>
              <w:rPr>
                <w:sz w:val="18"/>
              </w:rPr>
            </w:pPr>
            <w:r>
              <w:rPr>
                <w:sz w:val="18"/>
              </w:rPr>
              <w:t>Depends on the country (overall time span is around 1985-95)</w:t>
            </w:r>
          </w:p>
        </w:tc>
        <w:tc>
          <w:tcPr>
            <w:tcW w:w="3189" w:type="dxa"/>
          </w:tcPr>
          <w:p>
            <w:pPr>
              <w:pStyle w:val="TableParagraph"/>
              <w:spacing w:before="55"/>
              <w:ind w:left="31" w:right="168"/>
              <w:rPr>
                <w:sz w:val="18"/>
              </w:rPr>
            </w:pPr>
            <w:r>
              <w:rPr>
                <w:sz w:val="18"/>
              </w:rPr>
              <w:t>Based on ONCs of US Defense Mapping Agency. Period 1970-80. Refer to the Compilation date layer.</w:t>
            </w:r>
          </w:p>
        </w:tc>
        <w:tc>
          <w:tcPr>
            <w:tcW w:w="3189" w:type="dxa"/>
          </w:tcPr>
          <w:p>
            <w:pPr>
              <w:pStyle w:val="TableParagraph"/>
              <w:spacing w:before="55"/>
              <w:ind w:left="32"/>
              <w:rPr>
                <w:sz w:val="18"/>
              </w:rPr>
            </w:pPr>
            <w:r>
              <w:rPr>
                <w:sz w:val="18"/>
              </w:rPr>
              <w:t>Depends on the participating nations.</w:t>
            </w:r>
          </w:p>
        </w:tc>
      </w:tr>
      <w:tr>
        <w:trPr>
          <w:trHeight w:val="741" w:hRule="atLeast"/>
        </w:trPr>
        <w:tc>
          <w:tcPr>
            <w:tcW w:w="1418" w:type="dxa"/>
          </w:tcPr>
          <w:p>
            <w:pPr>
              <w:pStyle w:val="TableParagraph"/>
              <w:spacing w:before="163"/>
              <w:ind w:left="30" w:right="2"/>
              <w:rPr>
                <w:b/>
                <w:sz w:val="18"/>
              </w:rPr>
            </w:pPr>
            <w:r>
              <w:rPr>
                <w:b/>
                <w:sz w:val="18"/>
              </w:rPr>
              <w:t>Spatial resolution or grid size</w:t>
            </w:r>
          </w:p>
        </w:tc>
        <w:tc>
          <w:tcPr>
            <w:tcW w:w="3192" w:type="dxa"/>
          </w:tcPr>
          <w:p>
            <w:pPr>
              <w:pStyle w:val="TableParagraph"/>
              <w:spacing w:before="55"/>
              <w:ind w:left="31"/>
              <w:rPr>
                <w:sz w:val="18"/>
              </w:rPr>
            </w:pPr>
            <w:r>
              <w:rPr>
                <w:sz w:val="18"/>
              </w:rPr>
              <w:t>1 x 1 degree</w:t>
            </w:r>
          </w:p>
        </w:tc>
        <w:tc>
          <w:tcPr>
            <w:tcW w:w="3187" w:type="dxa"/>
          </w:tcPr>
          <w:p>
            <w:pPr>
              <w:pStyle w:val="TableParagraph"/>
              <w:spacing w:before="55"/>
              <w:ind w:left="28" w:right="195" w:hanging="1"/>
              <w:rPr>
                <w:sz w:val="18"/>
              </w:rPr>
            </w:pPr>
            <w:r>
              <w:rPr>
                <w:sz w:val="18"/>
              </w:rPr>
              <w:t>250m by 250m grid database which has been aggregated from the original vector data at 1:100,000.</w:t>
            </w:r>
          </w:p>
        </w:tc>
        <w:tc>
          <w:tcPr>
            <w:tcW w:w="3189" w:type="dxa"/>
          </w:tcPr>
          <w:p>
            <w:pPr>
              <w:pStyle w:val="TableParagraph"/>
              <w:spacing w:before="55"/>
              <w:ind w:left="31"/>
              <w:rPr>
                <w:sz w:val="18"/>
              </w:rPr>
            </w:pPr>
            <w:r>
              <w:rPr>
                <w:sz w:val="18"/>
              </w:rPr>
              <w:t>1:1,000,000 scale</w:t>
            </w:r>
          </w:p>
        </w:tc>
        <w:tc>
          <w:tcPr>
            <w:tcW w:w="3189" w:type="dxa"/>
          </w:tcPr>
          <w:p>
            <w:pPr>
              <w:pStyle w:val="TableParagraph"/>
              <w:spacing w:before="55"/>
              <w:ind w:left="32"/>
              <w:rPr>
                <w:sz w:val="18"/>
              </w:rPr>
            </w:pPr>
            <w:r>
              <w:rPr>
                <w:sz w:val="18"/>
              </w:rPr>
              <w:t>1km x 1km grids</w:t>
            </w:r>
          </w:p>
        </w:tc>
      </w:tr>
      <w:tr>
        <w:trPr>
          <w:trHeight w:val="621" w:hRule="atLeast"/>
        </w:trPr>
        <w:tc>
          <w:tcPr>
            <w:tcW w:w="1418" w:type="dxa"/>
          </w:tcPr>
          <w:p>
            <w:pPr>
              <w:pStyle w:val="TableParagraph"/>
              <w:spacing w:line="206" w:lineRule="exact" w:before="3"/>
              <w:ind w:left="30" w:right="53"/>
              <w:rPr>
                <w:b/>
                <w:sz w:val="18"/>
              </w:rPr>
            </w:pPr>
            <w:r>
              <w:rPr>
                <w:b/>
                <w:sz w:val="18"/>
              </w:rPr>
              <w:t>Revision interval (for time-series datasets)</w:t>
            </w:r>
          </w:p>
        </w:tc>
        <w:tc>
          <w:tcPr>
            <w:tcW w:w="3192" w:type="dxa"/>
          </w:tcPr>
          <w:p>
            <w:pPr>
              <w:pStyle w:val="TableParagraph"/>
              <w:spacing w:before="55"/>
              <w:ind w:left="31"/>
              <w:rPr>
                <w:sz w:val="18"/>
              </w:rPr>
            </w:pPr>
            <w:r>
              <w:rPr>
                <w:sz w:val="18"/>
              </w:rPr>
              <w:t>Not applicable</w:t>
            </w:r>
          </w:p>
        </w:tc>
        <w:tc>
          <w:tcPr>
            <w:tcW w:w="3187" w:type="dxa"/>
          </w:tcPr>
          <w:p>
            <w:pPr>
              <w:pStyle w:val="TableParagraph"/>
              <w:spacing w:before="55"/>
              <w:ind w:left="28" w:right="128" w:firstLine="1"/>
              <w:rPr>
                <w:sz w:val="18"/>
              </w:rPr>
            </w:pPr>
            <w:r>
              <w:rPr>
                <w:sz w:val="18"/>
              </w:rPr>
              <w:t>CLC Update Project of 2000 for updating it to the 1990's data</w:t>
            </w:r>
          </w:p>
        </w:tc>
        <w:tc>
          <w:tcPr>
            <w:tcW w:w="3189" w:type="dxa"/>
          </w:tcPr>
          <w:p>
            <w:pPr>
              <w:pStyle w:val="TableParagraph"/>
              <w:spacing w:before="55"/>
              <w:ind w:left="31"/>
              <w:rPr>
                <w:sz w:val="18"/>
              </w:rPr>
            </w:pPr>
            <w:r>
              <w:rPr>
                <w:sz w:val="18"/>
              </w:rPr>
              <w:t>Not applicable</w:t>
            </w:r>
          </w:p>
        </w:tc>
        <w:tc>
          <w:tcPr>
            <w:tcW w:w="3189" w:type="dxa"/>
          </w:tcPr>
          <w:p>
            <w:pPr>
              <w:pStyle w:val="TableParagraph"/>
              <w:spacing w:before="55"/>
              <w:ind w:left="33"/>
              <w:rPr>
                <w:sz w:val="18"/>
              </w:rPr>
            </w:pPr>
            <w:r>
              <w:rPr>
                <w:sz w:val="18"/>
              </w:rPr>
              <w:t>Approximately five-year intervals</w:t>
            </w:r>
          </w:p>
        </w:tc>
      </w:tr>
      <w:tr>
        <w:trPr>
          <w:trHeight w:val="945" w:hRule="atLeast"/>
        </w:trPr>
        <w:tc>
          <w:tcPr>
            <w:tcW w:w="1418" w:type="dxa"/>
          </w:tcPr>
          <w:p>
            <w:pPr>
              <w:pStyle w:val="TableParagraph"/>
              <w:spacing w:before="1"/>
              <w:rPr>
                <w:sz w:val="23"/>
              </w:rPr>
            </w:pPr>
          </w:p>
          <w:p>
            <w:pPr>
              <w:pStyle w:val="TableParagraph"/>
              <w:ind w:left="30" w:right="498"/>
              <w:rPr>
                <w:b/>
                <w:sz w:val="18"/>
              </w:rPr>
            </w:pPr>
            <w:r>
              <w:rPr>
                <w:b/>
                <w:sz w:val="18"/>
              </w:rPr>
              <w:t>Quality description</w:t>
            </w:r>
          </w:p>
        </w:tc>
        <w:tc>
          <w:tcPr>
            <w:tcW w:w="3192" w:type="dxa"/>
          </w:tcPr>
          <w:p>
            <w:pPr>
              <w:pStyle w:val="TableParagraph"/>
              <w:spacing w:before="55"/>
              <w:ind w:left="31"/>
              <w:rPr>
                <w:sz w:val="18"/>
              </w:rPr>
            </w:pPr>
            <w:r>
              <w:rPr>
                <w:sz w:val="18"/>
              </w:rPr>
              <w:t>No description</w:t>
            </w:r>
          </w:p>
        </w:tc>
        <w:tc>
          <w:tcPr>
            <w:tcW w:w="3187" w:type="dxa"/>
          </w:tcPr>
          <w:p>
            <w:pPr>
              <w:pStyle w:val="TableParagraph"/>
              <w:spacing w:before="55"/>
              <w:ind w:left="28" w:right="31" w:hanging="2"/>
              <w:rPr>
                <w:sz w:val="18"/>
              </w:rPr>
            </w:pPr>
            <w:r>
              <w:rPr>
                <w:sz w:val="18"/>
              </w:rPr>
              <w:t>No specific information available. Refer to</w:t>
            </w:r>
            <w:hyperlink r:id="rId88">
              <w:r>
                <w:rPr>
                  <w:sz w:val="18"/>
                </w:rPr>
                <w:t> </w:t>
              </w:r>
              <w:r>
                <w:rPr>
                  <w:spacing w:val="-1"/>
                  <w:sz w:val="18"/>
                </w:rPr>
                <w:t>http://dataservice.eea.eu.int/dataservice/oth</w:t>
              </w:r>
            </w:hyperlink>
            <w:r>
              <w:rPr>
                <w:spacing w:val="-1"/>
                <w:sz w:val="18"/>
              </w:rPr>
              <w:t> </w:t>
            </w:r>
            <w:r>
              <w:rPr>
                <w:sz w:val="18"/>
              </w:rPr>
              <w:t>er/land_cover/lcsource.asp for country wise</w:t>
            </w:r>
            <w:r>
              <w:rPr>
                <w:spacing w:val="-2"/>
                <w:sz w:val="18"/>
              </w:rPr>
              <w:t> </w:t>
            </w:r>
            <w:r>
              <w:rPr>
                <w:sz w:val="18"/>
              </w:rPr>
              <w:t>information.</w:t>
            </w:r>
          </w:p>
        </w:tc>
        <w:tc>
          <w:tcPr>
            <w:tcW w:w="3189" w:type="dxa"/>
          </w:tcPr>
          <w:p>
            <w:pPr>
              <w:pStyle w:val="TableParagraph"/>
              <w:spacing w:before="55"/>
              <w:ind w:left="31" w:right="229"/>
              <w:rPr>
                <w:sz w:val="18"/>
              </w:rPr>
            </w:pPr>
            <w:r>
              <w:rPr>
                <w:sz w:val="18"/>
              </w:rPr>
              <w:t>Data quality information exists at three levels within the database: feature, layer and source.</w:t>
            </w:r>
          </w:p>
        </w:tc>
        <w:tc>
          <w:tcPr>
            <w:tcW w:w="3189" w:type="dxa"/>
          </w:tcPr>
          <w:p>
            <w:pPr>
              <w:pStyle w:val="TableParagraph"/>
              <w:spacing w:before="55"/>
              <w:ind w:left="32"/>
              <w:rPr>
                <w:sz w:val="18"/>
              </w:rPr>
            </w:pPr>
            <w:r>
              <w:rPr>
                <w:sz w:val="18"/>
              </w:rPr>
              <w:t>Refer to </w:t>
            </w:r>
            <w:hyperlink r:id="rId87">
              <w:r>
                <w:rPr>
                  <w:sz w:val="18"/>
                </w:rPr>
                <w:t>http://www.iscgm.org/gm-</w:t>
              </w:r>
            </w:hyperlink>
            <w:r>
              <w:rPr>
                <w:sz w:val="18"/>
              </w:rPr>
              <w:t> specifications11.pdf.</w:t>
            </w:r>
          </w:p>
        </w:tc>
      </w:tr>
      <w:tr>
        <w:trPr>
          <w:trHeight w:val="861" w:hRule="atLeast"/>
        </w:trPr>
        <w:tc>
          <w:tcPr>
            <w:tcW w:w="1418" w:type="dxa"/>
          </w:tcPr>
          <w:p>
            <w:pPr>
              <w:pStyle w:val="TableParagraph"/>
              <w:spacing w:before="119"/>
              <w:ind w:left="30" w:right="113"/>
              <w:rPr>
                <w:b/>
                <w:sz w:val="18"/>
              </w:rPr>
            </w:pPr>
            <w:r>
              <w:rPr>
                <w:b/>
                <w:sz w:val="18"/>
              </w:rPr>
              <w:t>Contact address and reference URL</w:t>
            </w:r>
          </w:p>
        </w:tc>
        <w:tc>
          <w:tcPr>
            <w:tcW w:w="3192" w:type="dxa"/>
          </w:tcPr>
          <w:p>
            <w:pPr>
              <w:pStyle w:val="TableParagraph"/>
              <w:spacing w:before="55"/>
              <w:ind w:left="31"/>
              <w:rPr>
                <w:sz w:val="18"/>
              </w:rPr>
            </w:pPr>
            <w:hyperlink r:id="rId89">
              <w:r>
                <w:rPr>
                  <w:sz w:val="18"/>
                </w:rPr>
                <w:t>landcov@geog.umd.edu</w:t>
              </w:r>
            </w:hyperlink>
          </w:p>
          <w:p>
            <w:pPr>
              <w:pStyle w:val="TableParagraph"/>
              <w:spacing w:before="121"/>
              <w:ind w:left="31" w:right="196"/>
              <w:rPr>
                <w:sz w:val="18"/>
              </w:rPr>
            </w:pPr>
            <w:hyperlink r:id="rId90">
              <w:r>
                <w:rPr>
                  <w:sz w:val="18"/>
                </w:rPr>
                <w:t>http://www.geog.umd.edu/landcover/1d-</w:t>
              </w:r>
            </w:hyperlink>
            <w:r>
              <w:rPr>
                <w:sz w:val="18"/>
              </w:rPr>
              <w:t> map.html</w:t>
            </w:r>
          </w:p>
        </w:tc>
        <w:tc>
          <w:tcPr>
            <w:tcW w:w="3187" w:type="dxa"/>
          </w:tcPr>
          <w:p>
            <w:pPr>
              <w:pStyle w:val="TableParagraph"/>
              <w:spacing w:before="55"/>
              <w:ind w:left="28"/>
              <w:rPr>
                <w:sz w:val="18"/>
              </w:rPr>
            </w:pPr>
            <w:hyperlink r:id="rId91">
              <w:r>
                <w:rPr>
                  <w:sz w:val="18"/>
                </w:rPr>
                <w:t>dataservice@eea.eu.int</w:t>
              </w:r>
            </w:hyperlink>
          </w:p>
          <w:p>
            <w:pPr>
              <w:pStyle w:val="TableParagraph"/>
              <w:spacing w:before="122"/>
              <w:ind w:left="28" w:right="25"/>
              <w:rPr>
                <w:sz w:val="18"/>
              </w:rPr>
            </w:pPr>
            <w:hyperlink r:id="rId92">
              <w:r>
                <w:rPr>
                  <w:sz w:val="18"/>
                </w:rPr>
                <w:t>http://dataservice.eea.eu.int/dataservice/me</w:t>
              </w:r>
            </w:hyperlink>
            <w:r>
              <w:rPr>
                <w:sz w:val="18"/>
              </w:rPr>
              <w:t> tadetails.asp?table=landcover and i=1</w:t>
            </w:r>
          </w:p>
        </w:tc>
        <w:tc>
          <w:tcPr>
            <w:tcW w:w="3189" w:type="dxa"/>
          </w:tcPr>
          <w:p>
            <w:pPr>
              <w:pStyle w:val="TableParagraph"/>
              <w:spacing w:before="55"/>
              <w:ind w:left="31"/>
              <w:rPr>
                <w:sz w:val="18"/>
              </w:rPr>
            </w:pPr>
            <w:hyperlink r:id="rId93">
              <w:r>
                <w:rPr>
                  <w:sz w:val="18"/>
                </w:rPr>
                <w:t>http://www.esri.com/data/index.html</w:t>
              </w:r>
            </w:hyperlink>
          </w:p>
        </w:tc>
        <w:tc>
          <w:tcPr>
            <w:tcW w:w="3189" w:type="dxa"/>
          </w:tcPr>
          <w:p>
            <w:pPr>
              <w:pStyle w:val="TableParagraph"/>
              <w:spacing w:line="381" w:lineRule="auto" w:before="55"/>
              <w:ind w:left="32" w:right="427" w:hanging="1"/>
              <w:rPr>
                <w:sz w:val="18"/>
              </w:rPr>
            </w:pPr>
            <w:hyperlink r:id="rId94">
              <w:r>
                <w:rPr>
                  <w:sz w:val="18"/>
                </w:rPr>
                <w:t>sec@iscgm.org</w:t>
              </w:r>
            </w:hyperlink>
            <w:r>
              <w:rPr>
                <w:sz w:val="18"/>
              </w:rPr>
              <w:t> </w:t>
            </w:r>
            <w:hyperlink r:id="rId95">
              <w:r>
                <w:rPr>
                  <w:sz w:val="18"/>
                </w:rPr>
                <w:t>http://www.iscgm.org/</w:t>
              </w:r>
            </w:hyperlink>
          </w:p>
        </w:tc>
      </w:tr>
    </w:tbl>
    <w:p>
      <w:pPr>
        <w:pStyle w:val="BodyText"/>
      </w:pPr>
    </w:p>
    <w:p>
      <w:pPr>
        <w:pStyle w:val="BodyText"/>
        <w:spacing w:before="11"/>
        <w:rPr>
          <w:sz w:val="29"/>
        </w:rPr>
      </w:pPr>
      <w:r>
        <w:rPr/>
        <w:pict>
          <v:line style="position:absolute;mso-position-horizontal-relative:page;mso-position-vertical-relative:paragraph;z-index:2192;mso-wrap-distance-left:0;mso-wrap-distance-right:0" from="69.480003pt,19.580976pt" to="792.360003pt,19.580976pt" stroked="true" strokeweight=".75pt" strokecolor="#010101">
            <v:stroke dashstyle="solid"/>
            <w10:wrap type="topAndBottom"/>
          </v:line>
        </w:pict>
      </w:r>
    </w:p>
    <w:p>
      <w:pPr>
        <w:spacing w:after="0"/>
        <w:rPr>
          <w:sz w:val="29"/>
        </w:rPr>
        <w:sectPr>
          <w:headerReference w:type="even" r:id="rId86"/>
          <w:pgSz w:w="16840" w:h="11900" w:orient="landscape"/>
          <w:pgMar w:header="0" w:footer="360" w:top="200" w:bottom="540" w:left="1280" w:right="860"/>
        </w:sectPr>
      </w:pPr>
    </w:p>
    <w:p>
      <w:pPr>
        <w:pStyle w:val="BodyText"/>
        <w:spacing w:before="61"/>
        <w:ind w:right="165"/>
        <w:jc w:val="right"/>
      </w:pPr>
      <w:r>
        <w:rPr/>
        <w:pict>
          <v:line style="position:absolute;mso-position-horizontal-relative:page;mso-position-vertical-relative:paragraph;z-index:2216;mso-wrap-distance-left:0;mso-wrap-distance-right:0" from="70.960999pt,20.306219pt" to="524.440999pt,20.306219pt" stroked="true" strokeweight=".75pt" strokecolor="#010101">
            <v:stroke dashstyle="solid"/>
            <w10:wrap type="topAndBottom"/>
          </v:line>
        </w:pict>
      </w:r>
      <w:r>
        <w:rPr/>
        <w:t>References</w:t>
      </w:r>
    </w:p>
    <w:p>
      <w:pPr>
        <w:pStyle w:val="BodyText"/>
        <w:spacing w:before="3"/>
        <w:rPr>
          <w:sz w:val="28"/>
        </w:rPr>
      </w:pPr>
    </w:p>
    <w:p>
      <w:pPr>
        <w:pStyle w:val="Heading4"/>
        <w:spacing w:before="89"/>
        <w:ind w:left="159"/>
        <w:rPr>
          <w:rFonts w:ascii="Times New Roman"/>
        </w:rPr>
      </w:pPr>
      <w:r>
        <w:rPr>
          <w:rFonts w:ascii="Times New Roman"/>
        </w:rPr>
        <w:t>References</w:t>
      </w:r>
    </w:p>
    <w:p>
      <w:pPr>
        <w:pStyle w:val="BodyText"/>
        <w:rPr>
          <w:b/>
          <w:sz w:val="30"/>
        </w:rPr>
      </w:pPr>
    </w:p>
    <w:p>
      <w:pPr>
        <w:pStyle w:val="BodyText"/>
        <w:spacing w:before="1"/>
        <w:ind w:left="725" w:right="169" w:hanging="567"/>
        <w:jc w:val="both"/>
      </w:pPr>
      <w:r>
        <w:rPr/>
        <w:t>Barr C.J., Bunce R.G.H., Clarke R.T., Furse M.T., Gillespie M.K., Groom G.G., Hallam C.J., Hornung M., Howard D.C. and Ness M.J. (1993). Countryside Survey 1990, Main Report. Department of the Environment, London.</w:t>
      </w:r>
    </w:p>
    <w:p>
      <w:pPr>
        <w:pStyle w:val="BodyText"/>
        <w:spacing w:before="121"/>
        <w:ind w:left="725" w:right="167" w:hanging="567"/>
        <w:jc w:val="both"/>
      </w:pPr>
      <w:r>
        <w:rPr/>
        <w:t>Bernardos J.N., Viglizzo E.F., Jouvet V., Lértora F.A., Pordomingo S.J., and Aid F.D. (2001). The use of EPIC model to study the agroecological change during 93 years of farming transformation in the Argentine pampas. </w:t>
      </w:r>
      <w:r>
        <w:rPr>
          <w:i/>
        </w:rPr>
        <w:t>Agricultural Systems</w:t>
      </w:r>
      <w:r>
        <w:rPr/>
        <w:t>, 69: pp. 215-234.</w:t>
      </w:r>
    </w:p>
    <w:p>
      <w:pPr>
        <w:pStyle w:val="BodyText"/>
        <w:spacing w:before="119"/>
        <w:ind w:left="159"/>
      </w:pPr>
      <w:r>
        <w:rPr/>
        <w:t>Cochran W.G. (1977). Sampling Techniques. J. Wiley and Sons, New York, 428 p 9.</w:t>
      </w:r>
    </w:p>
    <w:p>
      <w:pPr>
        <w:pStyle w:val="BodyText"/>
        <w:spacing w:before="120"/>
        <w:ind w:left="725" w:right="164" w:hanging="567"/>
        <w:jc w:val="both"/>
      </w:pPr>
      <w:r>
        <w:rPr/>
        <w:t>Congalton R.G. (1991). A review of assessing the accuracy of classifications of remotely sensed data. </w:t>
      </w:r>
      <w:r>
        <w:rPr>
          <w:i/>
        </w:rPr>
        <w:t>Remote Sensing of Environment, </w:t>
      </w:r>
      <w:r>
        <w:rPr/>
        <w:t>Vol 37: No 1, pp. 35-46.</w:t>
      </w:r>
    </w:p>
    <w:p>
      <w:pPr>
        <w:pStyle w:val="BodyText"/>
        <w:spacing w:before="121"/>
        <w:ind w:left="159"/>
      </w:pPr>
      <w:r>
        <w:rPr/>
        <w:t>Cressie N.A.C. (1993). Statistics for Spatial Data. John Wiley and Sons, New York.</w:t>
      </w:r>
    </w:p>
    <w:p>
      <w:pPr>
        <w:pStyle w:val="BodyText"/>
        <w:spacing w:before="120"/>
        <w:ind w:left="725" w:right="163" w:hanging="567"/>
        <w:jc w:val="both"/>
      </w:pPr>
      <w:r>
        <w:rPr/>
        <w:t>Darby H.C. (1970). Doomsday Book – The first land utilization survey. </w:t>
      </w:r>
      <w:r>
        <w:rPr>
          <w:i/>
        </w:rPr>
        <w:t>The Geographical Magazine</w:t>
      </w:r>
      <w:r>
        <w:rPr/>
        <w:t>, Vol. 42: No.6, pp. 416 – 423.</w:t>
      </w:r>
    </w:p>
    <w:p>
      <w:pPr>
        <w:pStyle w:val="BodyText"/>
        <w:spacing w:before="119"/>
        <w:ind w:left="725" w:right="167" w:hanging="567"/>
        <w:jc w:val="both"/>
      </w:pPr>
      <w:r>
        <w:rPr/>
        <w:t>FAO (1986). Programme for the 1990 World Census of Agriculture. FAO Statistical Development Series 2, Food and Agriculture Organisation, Rome Italy, 90</w:t>
      </w:r>
      <w:r>
        <w:rPr>
          <w:spacing w:val="3"/>
        </w:rPr>
        <w:t> </w:t>
      </w:r>
      <w:r>
        <w:rPr/>
        <w:t>pp.</w:t>
      </w:r>
    </w:p>
    <w:p>
      <w:pPr>
        <w:pStyle w:val="BodyText"/>
        <w:spacing w:before="121"/>
        <w:ind w:left="725" w:right="167" w:hanging="567"/>
        <w:jc w:val="both"/>
      </w:pPr>
      <w:r>
        <w:rPr/>
        <w:t>FAO (1995). Planning for Sustainable use of Land Resources: Towards a New Approach. Land and Water Bulletin 2, Food and Agriculture Organisation, Rome Italy, 60 pp.</w:t>
      </w:r>
    </w:p>
    <w:p>
      <w:pPr>
        <w:pStyle w:val="BodyText"/>
        <w:spacing w:before="118"/>
        <w:ind w:left="725" w:right="165" w:hanging="567"/>
        <w:jc w:val="both"/>
      </w:pPr>
      <w:r>
        <w:rPr/>
        <w:t>FAO (2002) Proceedings of Expert Meeting on Harmonizing forest-related definitions for use by various stakeholders. Food and Agriculture Organisation, Rome Italy. Available at</w:t>
      </w:r>
      <w:hyperlink r:id="rId99">
        <w:r>
          <w:rPr/>
          <w:t> http://www.fao.org/forestry/fop/fopw/Climate/doc/Y3431E.pdf.</w:t>
        </w:r>
      </w:hyperlink>
    </w:p>
    <w:p>
      <w:pPr>
        <w:pStyle w:val="BodyText"/>
        <w:spacing w:before="121"/>
        <w:ind w:left="725" w:right="164" w:hanging="516"/>
        <w:jc w:val="both"/>
      </w:pPr>
      <w:r>
        <w:rPr/>
        <w:t>Fuller W.A. (1999). Estimation procedures for the United States National Resources Inventory, 1999. Proceedings of the Survey Methods Section, Statistical Society of Canada. Available at</w:t>
      </w:r>
      <w:hyperlink r:id="rId100">
        <w:r>
          <w:rPr/>
          <w:t> http://www.nhq.nrcs.usda.gov/NRI/1997/stat_estimate.htm.</w:t>
        </w:r>
      </w:hyperlink>
    </w:p>
    <w:p>
      <w:pPr>
        <w:pStyle w:val="BodyText"/>
        <w:spacing w:before="119"/>
        <w:ind w:left="725" w:right="166" w:hanging="567"/>
        <w:jc w:val="both"/>
      </w:pPr>
      <w:r>
        <w:rPr/>
        <w:t>Furby S. (2002). Land Cover Change: Specification for Remote Sensing Analysis. National Carbon Accounting System Technical Report No. 9, Australian Greenhouse Office, Canberra, Australia (402pp).</w:t>
      </w:r>
    </w:p>
    <w:p>
      <w:pPr>
        <w:pStyle w:val="BodyText"/>
        <w:spacing w:before="121"/>
        <w:ind w:left="725" w:right="166" w:hanging="567"/>
        <w:jc w:val="both"/>
      </w:pPr>
      <w:r>
        <w:rPr/>
        <w:t>Furby S. and Woodgate P. (2002). Remote Sensing Analysis of Land Cover Change – Pilot Testing of Techniques (Furby and Woodgate ed.) National Carbon Accounting System Technical Report No. 16, Australian Greenhouse Office, Canberra, Australia (354pp).</w:t>
      </w:r>
    </w:p>
    <w:p>
      <w:pPr>
        <w:pStyle w:val="BodyText"/>
        <w:spacing w:line="229" w:lineRule="exact" w:before="121"/>
        <w:ind w:left="159"/>
      </w:pPr>
      <w:r>
        <w:rPr/>
        <w:t>Haines-Young R.H. and 23 others (2000). Accounting for nature: assessing habitats in the UK countryside.</w:t>
      </w:r>
    </w:p>
    <w:p>
      <w:pPr>
        <w:pStyle w:val="BodyText"/>
        <w:spacing w:line="229" w:lineRule="exact"/>
        <w:ind w:left="725"/>
      </w:pPr>
      <w:r>
        <w:rPr/>
        <w:t>Department of the Environment, Transport and the Regions, London. ISBN 1 85112 460 8.</w:t>
      </w:r>
    </w:p>
    <w:p>
      <w:pPr>
        <w:pStyle w:val="BodyText"/>
        <w:spacing w:before="121"/>
        <w:ind w:left="725" w:right="169" w:hanging="567"/>
        <w:jc w:val="both"/>
      </w:pPr>
      <w:r>
        <w:rPr/>
        <w:t>Intergovernmental Panel on Climate Change (IPCC). (2000). Watson R., Noble I.R., Bolin B., Ravindranath N.H., Verardo D.J. and Dokken D.J. (Eds) Land use, Land-use Change, and Forestry: A Special Report. Cambridge University Press. Cambridge, UK.</w:t>
      </w:r>
    </w:p>
    <w:p>
      <w:pPr>
        <w:pStyle w:val="BodyText"/>
        <w:spacing w:line="163" w:lineRule="exact" w:before="121"/>
        <w:ind w:left="159"/>
      </w:pPr>
      <w:r>
        <w:rPr/>
        <w:t>Lillesand T.M. and Kiefer R. W., (1999). Remote Sensing and Image Interpretation, John Wiley and Sons,</w:t>
      </w:r>
    </w:p>
    <w:p>
      <w:pPr>
        <w:spacing w:after="0" w:line="163" w:lineRule="exact"/>
        <w:sectPr>
          <w:headerReference w:type="default" r:id="rId96"/>
          <w:footerReference w:type="default" r:id="rId97"/>
          <w:footerReference w:type="even" r:id="rId98"/>
          <w:pgSz w:w="11900" w:h="16840"/>
          <w:pgMar w:header="0" w:footer="426" w:top="160" w:bottom="620" w:left="1260" w:right="1240"/>
        </w:sectPr>
      </w:pPr>
    </w:p>
    <w:p>
      <w:pPr>
        <w:pStyle w:val="BodyText"/>
        <w:spacing w:before="67"/>
        <w:ind w:left="725"/>
      </w:pPr>
      <w:r>
        <w:rPr/>
        <w:t>New York.</w:t>
      </w:r>
    </w:p>
    <w:p>
      <w:pPr>
        <w:pStyle w:val="BodyText"/>
        <w:spacing w:line="221" w:lineRule="exact"/>
        <w:ind w:left="725"/>
      </w:pPr>
      <w:r>
        <w:rPr/>
        <w:br w:type="column"/>
      </w:r>
      <w:r>
        <w:rPr/>
        <w:t>2.29</w:t>
      </w:r>
    </w:p>
    <w:p>
      <w:pPr>
        <w:spacing w:after="0" w:line="221" w:lineRule="exact"/>
        <w:sectPr>
          <w:type w:val="continuous"/>
          <w:pgSz w:w="11900" w:h="16840"/>
          <w:pgMar w:top="1060" w:bottom="280" w:left="1260" w:right="1240"/>
          <w:cols w:num="2" w:equalWidth="0">
            <w:col w:w="1651" w:space="6502"/>
            <w:col w:w="1247"/>
          </w:cols>
        </w:sectPr>
      </w:pPr>
    </w:p>
    <w:p>
      <w:pPr>
        <w:pStyle w:val="BodyText"/>
        <w:spacing w:before="118"/>
        <w:ind w:left="725" w:right="166" w:hanging="567"/>
      </w:pPr>
      <w:r>
        <w:rPr/>
        <w:t>Nusser S. M., and Goebel J.J. (1997). The National Resources Inventory: A Long-Term Multi-Resource Monitoring Programme. Environmental and Ecological Statistics. Vol. 4, pp. 181-204.</w:t>
      </w:r>
    </w:p>
    <w:p>
      <w:pPr>
        <w:pStyle w:val="BodyText"/>
        <w:spacing w:before="121"/>
        <w:ind w:left="159"/>
      </w:pPr>
      <w:r>
        <w:rPr/>
        <w:t>Singh A., (1989). Digital change detection techniques using remotely sensed data. </w:t>
      </w:r>
      <w:r>
        <w:rPr>
          <w:i/>
        </w:rPr>
        <w:t>Int. J. Remote Sensing</w:t>
      </w:r>
      <w:r>
        <w:rPr/>
        <w:t>, 10 no.</w:t>
      </w:r>
    </w:p>
    <w:p>
      <w:pPr>
        <w:pStyle w:val="BodyText"/>
        <w:spacing w:before="1"/>
        <w:ind w:left="725"/>
      </w:pPr>
      <w:r>
        <w:rPr/>
        <w:t>6: 989 – 1003.</w:t>
      </w:r>
    </w:p>
    <w:p>
      <w:pPr>
        <w:spacing w:before="120"/>
        <w:ind w:left="725" w:right="166" w:hanging="567"/>
        <w:jc w:val="left"/>
        <w:rPr>
          <w:sz w:val="20"/>
        </w:rPr>
      </w:pPr>
      <w:r>
        <w:rPr>
          <w:sz w:val="20"/>
        </w:rPr>
        <w:t>Swanson B.E., R.P. Bentz and A.J., Sofranco (Eds.). (1997). </w:t>
      </w:r>
      <w:r>
        <w:rPr>
          <w:i/>
          <w:sz w:val="20"/>
        </w:rPr>
        <w:t>Improving agricultural extension. A reference manual. </w:t>
      </w:r>
      <w:r>
        <w:rPr>
          <w:sz w:val="20"/>
        </w:rPr>
        <w:t>Food and Agriculture Organization of the United Nations, Rome.</w:t>
      </w:r>
    </w:p>
    <w:p>
      <w:pPr>
        <w:pStyle w:val="BodyText"/>
        <w:spacing w:before="118"/>
        <w:ind w:left="159"/>
      </w:pPr>
      <w:r>
        <w:rPr/>
        <w:t>USGS (2001) </w:t>
      </w:r>
      <w:hyperlink r:id="rId101">
        <w:r>
          <w:rPr/>
          <w:t>http://edcdaac.usgs.gov/glcc/globe_int.html</w:t>
        </w:r>
      </w:hyperlink>
    </w:p>
    <w:p>
      <w:pPr>
        <w:pStyle w:val="BodyText"/>
        <w:spacing w:before="121"/>
        <w:ind w:left="725" w:right="165" w:hanging="567"/>
        <w:jc w:val="both"/>
      </w:pPr>
      <w:r>
        <w:rPr/>
        <w:t>Viglizzo E.F., Lértora F., Pordomingo S.J., BernardosJ.N., Roberto Z.E. and Del Valle H. (2001). Ecological lessons and applications from one century of low external-input farming in the pampas of Argentina. </w:t>
      </w:r>
      <w:r>
        <w:rPr>
          <w:i/>
        </w:rPr>
        <w:t>Agriculture, Ecosystems and Environment</w:t>
      </w:r>
      <w:r>
        <w:rPr/>
        <w:t>, 83: 65-81.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r>
        <w:rPr/>
        <w:pict>
          <v:line style="position:absolute;mso-position-horizontal-relative:page;mso-position-vertical-relative:paragraph;z-index:2240;mso-wrap-distance-left:0;mso-wrap-distance-right:0" from="70.960999pt,11.743873pt" to="524.440999pt,11.743873pt" stroked="true" strokeweight=".75pt" strokecolor="#010101">
            <v:stroke dashstyle="solid"/>
            <w10:wrap type="topAndBottom"/>
          </v:line>
        </w:pict>
      </w:r>
    </w:p>
    <w:p>
      <w:pPr>
        <w:spacing w:after="0"/>
        <w:rPr>
          <w:sz w:val="16"/>
        </w:rPr>
        <w:sectPr>
          <w:type w:val="continuous"/>
          <w:pgSz w:w="11900" w:h="16840"/>
          <w:pgMar w:top="1060" w:bottom="280" w:left="1260" w:right="1240"/>
        </w:sectPr>
      </w:pPr>
    </w:p>
    <w:p>
      <w:pPr>
        <w:pStyle w:val="BodyText"/>
      </w:pPr>
    </w:p>
    <w:p>
      <w:pPr>
        <w:pStyle w:val="BodyText"/>
        <w:rPr>
          <w:sz w:val="27"/>
        </w:rPr>
      </w:pPr>
    </w:p>
    <w:p>
      <w:pPr>
        <w:tabs>
          <w:tab w:pos="9259" w:val="left" w:leader="none"/>
        </w:tabs>
        <w:spacing w:before="80"/>
        <w:ind w:left="159" w:right="0" w:firstLine="0"/>
        <w:jc w:val="left"/>
        <w:rPr>
          <w:b/>
          <w:sz w:val="48"/>
        </w:rPr>
      </w:pPr>
      <w:r>
        <w:rPr>
          <w:b/>
          <w:sz w:val="48"/>
          <w:u w:val="thick"/>
        </w:rPr>
        <w:t>3</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spacing w:before="228"/>
        <w:ind w:left="159" w:right="1606" w:firstLine="0"/>
        <w:jc w:val="left"/>
        <w:rPr>
          <w:b/>
          <w:sz w:val="48"/>
        </w:rPr>
      </w:pPr>
      <w:r>
        <w:rPr>
          <w:b/>
          <w:sz w:val="48"/>
        </w:rPr>
        <w:t>LUCF SECTOR GOOD PRACTICE GUIDANCE</w:t>
      </w:r>
    </w:p>
    <w:p>
      <w:pPr>
        <w:spacing w:after="0"/>
        <w:jc w:val="left"/>
        <w:rPr>
          <w:sz w:val="48"/>
        </w:rPr>
        <w:sectPr>
          <w:headerReference w:type="even" r:id="rId102"/>
          <w:pgSz w:w="11900" w:h="16840"/>
          <w:pgMar w:header="0" w:footer="408" w:top="1600" w:bottom="600" w:left="1260" w:right="1240"/>
        </w:sectPr>
      </w:pPr>
    </w:p>
    <w:p>
      <w:pPr>
        <w:pStyle w:val="BodyText"/>
        <w:rPr>
          <w:b/>
        </w:rPr>
      </w:pPr>
    </w:p>
    <w:p>
      <w:pPr>
        <w:pStyle w:val="BodyText"/>
        <w:rPr>
          <w:b/>
        </w:rPr>
      </w:pPr>
    </w:p>
    <w:p>
      <w:pPr>
        <w:pStyle w:val="BodyText"/>
        <w:rPr>
          <w:b/>
        </w:rPr>
      </w:pPr>
    </w:p>
    <w:p>
      <w:pPr>
        <w:pStyle w:val="BodyText"/>
        <w:rPr>
          <w:b/>
        </w:rPr>
      </w:pPr>
    </w:p>
    <w:p>
      <w:pPr>
        <w:pStyle w:val="BodyText"/>
        <w:spacing w:before="10"/>
        <w:rPr>
          <w:b/>
          <w:sz w:val="22"/>
        </w:rPr>
      </w:pPr>
    </w:p>
    <w:p>
      <w:pPr>
        <w:pStyle w:val="Heading5"/>
        <w:spacing w:before="90"/>
        <w:ind w:left="2451"/>
      </w:pPr>
      <w:r>
        <w:rPr/>
        <w:t>AUTHORS AND REVIEW EDITORS</w:t>
      </w:r>
    </w:p>
    <w:p>
      <w:pPr>
        <w:pStyle w:val="BodyText"/>
        <w:spacing w:before="6"/>
        <w:rPr>
          <w:b/>
          <w:sz w:val="36"/>
        </w:rPr>
      </w:pPr>
    </w:p>
    <w:p>
      <w:pPr>
        <w:spacing w:before="0"/>
        <w:ind w:left="159" w:right="0" w:firstLine="0"/>
        <w:jc w:val="left"/>
        <w:rPr>
          <w:b/>
          <w:sz w:val="24"/>
        </w:rPr>
      </w:pPr>
      <w:r>
        <w:rPr>
          <w:b/>
          <w:sz w:val="24"/>
        </w:rPr>
        <w:t>Co-ordinating Lead Authors</w:t>
      </w:r>
    </w:p>
    <w:p>
      <w:pPr>
        <w:pStyle w:val="BodyText"/>
        <w:spacing w:before="57"/>
        <w:ind w:left="159" w:right="1889"/>
      </w:pPr>
      <w:r>
        <w:rPr/>
        <w:t>Gert-Jan Nabuurs (The Netherlands), N.H. Ravindranath (India), and Keith Paustian (USA) Annette Freibauer (Germany), William Hohenstein (USA), and Willy Makundi (Tanzania)</w:t>
      </w:r>
    </w:p>
    <w:p>
      <w:pPr>
        <w:pStyle w:val="BodyText"/>
        <w:spacing w:before="7"/>
        <w:rPr>
          <w:sz w:val="31"/>
        </w:rPr>
      </w:pPr>
    </w:p>
    <w:p>
      <w:pPr>
        <w:pStyle w:val="Heading5"/>
      </w:pPr>
      <w:r>
        <w:rPr/>
        <w:t>Lead Authors</w:t>
      </w:r>
    </w:p>
    <w:p>
      <w:pPr>
        <w:pStyle w:val="BodyText"/>
        <w:spacing w:before="57"/>
        <w:ind w:left="159" w:right="165"/>
        <w:jc w:val="both"/>
      </w:pPr>
      <w:r>
        <w:rPr/>
        <w:t>Harald Aalde (Norway), Abdelazim Yassin Abdelgadir (Sudan), Anwar Sheikhaddin Abdu Khalil (Bahrain), James Barton (New Zealand), Kathryn Bickel (USA), Samsudin Bin-Musa (Malaysia), Dominique Blain (Canada), Rizaldi Boer (Indonesia), Kenneth Byrne (Ireland), Carlos Cerri (Brazil), Lorenzo Ciccarese (Italy), David-Cruz Choque (Bolivia), Eric Duchemin (Canada), Lucien Dja (Ivory Coast), Justin Ford-Robertson (New Zealand), Wojciech Galinski (Poland), Jean-Claude Germon (France), Hector Ginzo (Argentina), Michael Gytarsky (Russian Federation), Linda Heath (USA), Denis Loustau (France), Tijani Mandouri (Morocco), Josef Mindas (Slovakia), Kim Pingoud (Finland), John Raison (Australia), Vladimir Savchenko (Belarus), Dieter Schöne (UN-FAO), Risto Sievanen (Finland), Kenneth Skog (USA), Keith Smith (UK), and Deying Xu (China)</w:t>
      </w:r>
    </w:p>
    <w:p>
      <w:pPr>
        <w:pStyle w:val="BodyText"/>
        <w:spacing w:before="5"/>
        <w:rPr>
          <w:sz w:val="31"/>
        </w:rPr>
      </w:pPr>
    </w:p>
    <w:p>
      <w:pPr>
        <w:pStyle w:val="Heading5"/>
        <w:spacing w:before="1"/>
      </w:pPr>
      <w:r>
        <w:rPr/>
        <w:t>Contributing Authors</w:t>
      </w:r>
    </w:p>
    <w:p>
      <w:pPr>
        <w:pStyle w:val="BodyText"/>
        <w:spacing w:before="56"/>
        <w:ind w:left="159" w:right="165"/>
        <w:jc w:val="both"/>
      </w:pPr>
      <w:r>
        <w:rPr/>
        <w:t>Mark Bakker (France), Martial Bernoux (France/Brazil), Jagtar Bhatti (Canada), Rich Conant (USA), Mark Harmon (USA), Yasuhiko Hirakawa (Japan), Toshiro Iehara (Japan), Moriyoshi Ishizuka (Japan), Esteban Jobbagy (Argentina), Jukka Laine (Finland), Marna van der Merwe (South Africa), Indu K. Murthy (India), David Nowak (USA), Steve Ogle (USA), P. Sudha (India), Bob Scholes (South Africa), and Xiaoquan Zhang (China)</w:t>
      </w:r>
    </w:p>
    <w:p>
      <w:pPr>
        <w:pStyle w:val="BodyText"/>
        <w:spacing w:before="9"/>
        <w:rPr>
          <w:sz w:val="31"/>
        </w:rPr>
      </w:pPr>
    </w:p>
    <w:p>
      <w:pPr>
        <w:pStyle w:val="Heading5"/>
        <w:jc w:val="both"/>
      </w:pPr>
      <w:r>
        <w:rPr/>
        <w:t>Review Editors</w:t>
      </w:r>
    </w:p>
    <w:p>
      <w:pPr>
        <w:pStyle w:val="BodyText"/>
        <w:spacing w:before="57"/>
        <w:ind w:left="159"/>
        <w:jc w:val="both"/>
      </w:pPr>
      <w:r>
        <w:rPr/>
        <w:t>Sergio Gonzalez-Martineaux (Chile), Anke Herold (Germany), and Audun Rosland (Norway)</w:t>
      </w:r>
    </w:p>
    <w:p>
      <w:pPr>
        <w:spacing w:after="0"/>
        <w:jc w:val="both"/>
        <w:sectPr>
          <w:headerReference w:type="even" r:id="rId103"/>
          <w:headerReference w:type="default" r:id="rId104"/>
          <w:footerReference w:type="even" r:id="rId105"/>
          <w:footerReference w:type="default" r:id="rId106"/>
          <w:pgSz w:w="11900" w:h="16840"/>
          <w:pgMar w:header="230" w:footer="408" w:top="560" w:bottom="600" w:left="1260" w:right="1240"/>
          <w:pgNumType w:start="2"/>
        </w:sectPr>
      </w:pPr>
    </w:p>
    <w:p>
      <w:pPr>
        <w:pStyle w:val="BodyText"/>
      </w:pPr>
    </w:p>
    <w:p>
      <w:pPr>
        <w:pStyle w:val="BodyText"/>
      </w:pPr>
    </w:p>
    <w:p>
      <w:pPr>
        <w:pStyle w:val="BodyText"/>
      </w:pPr>
    </w:p>
    <w:p>
      <w:pPr>
        <w:pStyle w:val="BodyText"/>
      </w:pPr>
    </w:p>
    <w:p>
      <w:pPr>
        <w:pStyle w:val="BodyText"/>
        <w:spacing w:before="3"/>
        <w:rPr>
          <w:sz w:val="24"/>
        </w:rPr>
      </w:pPr>
    </w:p>
    <w:p>
      <w:pPr>
        <w:spacing w:before="86"/>
        <w:ind w:left="556" w:right="566" w:firstLine="0"/>
        <w:jc w:val="center"/>
        <w:rPr>
          <w:b/>
          <w:sz w:val="32"/>
        </w:rPr>
      </w:pPr>
      <w:r>
        <w:rPr>
          <w:b/>
          <w:sz w:val="32"/>
        </w:rPr>
        <w:t>Contents</w:t>
      </w:r>
    </w:p>
    <w:p>
      <w:pPr>
        <w:numPr>
          <w:ilvl w:val="1"/>
          <w:numId w:val="31"/>
        </w:numPr>
        <w:tabs>
          <w:tab w:pos="1179" w:val="left" w:leader="none"/>
          <w:tab w:pos="1180" w:val="left" w:leader="none"/>
          <w:tab w:pos="9231" w:val="right" w:leader="none"/>
        </w:tabs>
        <w:spacing w:before="601"/>
        <w:ind w:left="1179" w:right="0" w:hanging="1020"/>
        <w:jc w:val="left"/>
        <w:rPr>
          <w:b/>
          <w:sz w:val="20"/>
        </w:rPr>
      </w:pPr>
      <w:r>
        <w:rPr>
          <w:b/>
          <w:sz w:val="20"/>
        </w:rPr>
        <w:t>INTRODUCTION</w:t>
        <w:tab/>
        <w:t>3.11</w:t>
      </w:r>
    </w:p>
    <w:p>
      <w:pPr>
        <w:pStyle w:val="ListParagraph"/>
        <w:numPr>
          <w:ilvl w:val="2"/>
          <w:numId w:val="31"/>
        </w:numPr>
        <w:tabs>
          <w:tab w:pos="1177" w:val="left" w:leader="none"/>
          <w:tab w:pos="1179" w:val="left" w:leader="none"/>
          <w:tab w:pos="9231" w:val="right" w:leader="dot"/>
        </w:tabs>
        <w:spacing w:line="240" w:lineRule="auto" w:before="115" w:after="0"/>
        <w:ind w:left="1178" w:right="0" w:hanging="736"/>
        <w:jc w:val="left"/>
        <w:rPr>
          <w:sz w:val="20"/>
        </w:rPr>
      </w:pPr>
      <w:r>
        <w:rPr>
          <w:sz w:val="20"/>
        </w:rPr>
        <w:t>Inventory and</w:t>
      </w:r>
      <w:r>
        <w:rPr>
          <w:spacing w:val="-2"/>
          <w:sz w:val="20"/>
        </w:rPr>
        <w:t> </w:t>
      </w:r>
      <w:r>
        <w:rPr>
          <w:sz w:val="20"/>
        </w:rPr>
        <w:t>Reporting</w:t>
      </w:r>
      <w:r>
        <w:rPr>
          <w:spacing w:val="1"/>
          <w:sz w:val="20"/>
        </w:rPr>
        <w:t> </w:t>
      </w:r>
      <w:r>
        <w:rPr>
          <w:sz w:val="20"/>
        </w:rPr>
        <w:t>Steps</w:t>
        <w:tab/>
        <w:t>3.11</w:t>
      </w:r>
    </w:p>
    <w:p>
      <w:pPr>
        <w:pStyle w:val="ListParagraph"/>
        <w:numPr>
          <w:ilvl w:val="2"/>
          <w:numId w:val="31"/>
        </w:numPr>
        <w:tabs>
          <w:tab w:pos="1179" w:val="left" w:leader="none"/>
          <w:tab w:pos="1180" w:val="left" w:leader="none"/>
          <w:tab w:pos="9231" w:val="right" w:leader="dot"/>
        </w:tabs>
        <w:spacing w:line="240" w:lineRule="auto" w:before="118" w:after="0"/>
        <w:ind w:left="1179" w:right="0" w:hanging="737"/>
        <w:jc w:val="left"/>
        <w:rPr>
          <w:sz w:val="20"/>
        </w:rPr>
      </w:pPr>
      <w:r>
        <w:rPr>
          <w:sz w:val="20"/>
        </w:rPr>
        <w:t>Linkage between this Chapter and the </w:t>
      </w:r>
      <w:r>
        <w:rPr>
          <w:i/>
          <w:sz w:val="20"/>
        </w:rPr>
        <w:t>IPCC Guidelines</w:t>
      </w:r>
      <w:r>
        <w:rPr>
          <w:sz w:val="20"/>
        </w:rPr>
        <w:t>’</w:t>
      </w:r>
      <w:r>
        <w:rPr>
          <w:spacing w:val="-8"/>
          <w:sz w:val="20"/>
        </w:rPr>
        <w:t> </w:t>
      </w:r>
      <w:r>
        <w:rPr>
          <w:sz w:val="20"/>
        </w:rPr>
        <w:t>Reporting</w:t>
      </w:r>
      <w:r>
        <w:rPr>
          <w:spacing w:val="-1"/>
          <w:sz w:val="20"/>
        </w:rPr>
        <w:t> </w:t>
      </w:r>
      <w:r>
        <w:rPr>
          <w:sz w:val="20"/>
        </w:rPr>
        <w:t>Categories</w:t>
        <w:tab/>
        <w:t>3.11</w:t>
      </w:r>
    </w:p>
    <w:p>
      <w:pPr>
        <w:pStyle w:val="ListParagraph"/>
        <w:numPr>
          <w:ilvl w:val="3"/>
          <w:numId w:val="31"/>
        </w:numPr>
        <w:tabs>
          <w:tab w:pos="1462" w:val="left" w:leader="none"/>
          <w:tab w:pos="9233" w:val="right" w:leader="dot"/>
        </w:tabs>
        <w:spacing w:line="240" w:lineRule="auto" w:before="121" w:after="0"/>
        <w:ind w:left="1461" w:right="0" w:hanging="736"/>
        <w:jc w:val="left"/>
        <w:rPr>
          <w:sz w:val="20"/>
        </w:rPr>
      </w:pPr>
      <w:r>
        <w:rPr>
          <w:sz w:val="20"/>
        </w:rPr>
        <w:t>Changes in forest and other woody</w:t>
      </w:r>
      <w:r>
        <w:rPr>
          <w:spacing w:val="-5"/>
          <w:sz w:val="20"/>
        </w:rPr>
        <w:t> </w:t>
      </w:r>
      <w:r>
        <w:rPr>
          <w:sz w:val="20"/>
        </w:rPr>
        <w:t>biomass</w:t>
      </w:r>
      <w:r>
        <w:rPr>
          <w:spacing w:val="-1"/>
          <w:sz w:val="20"/>
        </w:rPr>
        <w:t> </w:t>
      </w:r>
      <w:r>
        <w:rPr>
          <w:sz w:val="20"/>
        </w:rPr>
        <w:t>stocks.</w:t>
        <w:tab/>
        <w:t>3.13</w:t>
      </w:r>
    </w:p>
    <w:p>
      <w:pPr>
        <w:pStyle w:val="ListParagraph"/>
        <w:numPr>
          <w:ilvl w:val="3"/>
          <w:numId w:val="31"/>
        </w:numPr>
        <w:tabs>
          <w:tab w:pos="1461" w:val="left" w:leader="none"/>
          <w:tab w:pos="9231" w:val="right" w:leader="dot"/>
        </w:tabs>
        <w:spacing w:line="240" w:lineRule="auto" w:before="120" w:after="0"/>
        <w:ind w:left="1460" w:right="0" w:hanging="735"/>
        <w:jc w:val="left"/>
        <w:rPr>
          <w:sz w:val="20"/>
        </w:rPr>
      </w:pPr>
      <w:r>
        <w:rPr>
          <w:sz w:val="20"/>
        </w:rPr>
        <w:t>Forest and grassland</w:t>
      </w:r>
      <w:r>
        <w:rPr>
          <w:spacing w:val="1"/>
          <w:sz w:val="20"/>
        </w:rPr>
        <w:t> </w:t>
      </w:r>
      <w:r>
        <w:rPr>
          <w:sz w:val="20"/>
        </w:rPr>
        <w:t>conversion</w:t>
        <w:tab/>
        <w:t>3.13</w:t>
      </w:r>
    </w:p>
    <w:p>
      <w:pPr>
        <w:pStyle w:val="ListParagraph"/>
        <w:numPr>
          <w:ilvl w:val="3"/>
          <w:numId w:val="31"/>
        </w:numPr>
        <w:tabs>
          <w:tab w:pos="1462" w:val="left" w:leader="none"/>
          <w:tab w:pos="9231" w:val="right" w:leader="dot"/>
        </w:tabs>
        <w:spacing w:line="240" w:lineRule="auto" w:before="120" w:after="0"/>
        <w:ind w:left="1461" w:right="0" w:hanging="736"/>
        <w:jc w:val="left"/>
        <w:rPr>
          <w:sz w:val="20"/>
        </w:rPr>
      </w:pPr>
      <w:r>
        <w:rPr>
          <w:sz w:val="20"/>
        </w:rPr>
        <w:t>Abandonment of croplands, pastures, or other</w:t>
      </w:r>
      <w:r>
        <w:rPr>
          <w:spacing w:val="-1"/>
          <w:sz w:val="20"/>
        </w:rPr>
        <w:t> </w:t>
      </w:r>
      <w:r>
        <w:rPr>
          <w:sz w:val="20"/>
        </w:rPr>
        <w:t>managed</w:t>
      </w:r>
      <w:r>
        <w:rPr>
          <w:spacing w:val="1"/>
          <w:sz w:val="20"/>
        </w:rPr>
        <w:t> </w:t>
      </w:r>
      <w:r>
        <w:rPr>
          <w:sz w:val="20"/>
        </w:rPr>
        <w:t>lands.</w:t>
        <w:tab/>
        <w:t>3.13</w:t>
      </w:r>
    </w:p>
    <w:p>
      <w:pPr>
        <w:pStyle w:val="ListParagraph"/>
        <w:numPr>
          <w:ilvl w:val="3"/>
          <w:numId w:val="31"/>
        </w:numPr>
        <w:tabs>
          <w:tab w:pos="1463" w:val="left" w:leader="none"/>
          <w:tab w:pos="9231" w:val="right" w:leader="dot"/>
        </w:tabs>
        <w:spacing w:line="240" w:lineRule="auto" w:before="121" w:after="0"/>
        <w:ind w:left="1462" w:right="0" w:hanging="737"/>
        <w:jc w:val="left"/>
        <w:rPr>
          <w:sz w:val="20"/>
        </w:rPr>
      </w:pPr>
      <w:r>
        <w:rPr>
          <w:sz w:val="20"/>
        </w:rPr>
        <w:t>CO</w:t>
      </w:r>
      <w:r>
        <w:rPr>
          <w:sz w:val="20"/>
          <w:vertAlign w:val="subscript"/>
        </w:rPr>
        <w:t>2</w:t>
      </w:r>
      <w:r>
        <w:rPr>
          <w:sz w:val="20"/>
          <w:vertAlign w:val="baseline"/>
        </w:rPr>
        <w:t> emissions and removals</w:t>
      </w:r>
      <w:r>
        <w:rPr>
          <w:spacing w:val="1"/>
          <w:sz w:val="20"/>
          <w:vertAlign w:val="baseline"/>
        </w:rPr>
        <w:t> </w:t>
      </w:r>
      <w:r>
        <w:rPr>
          <w:sz w:val="20"/>
          <w:vertAlign w:val="baseline"/>
        </w:rPr>
        <w:t>from</w:t>
      </w:r>
      <w:r>
        <w:rPr>
          <w:spacing w:val="-2"/>
          <w:sz w:val="20"/>
          <w:vertAlign w:val="baseline"/>
        </w:rPr>
        <w:t> </w:t>
      </w:r>
      <w:r>
        <w:rPr>
          <w:sz w:val="20"/>
          <w:vertAlign w:val="baseline"/>
        </w:rPr>
        <w:t>soils</w:t>
        <w:tab/>
        <w:t>3.14</w:t>
      </w:r>
    </w:p>
    <w:p>
      <w:pPr>
        <w:pStyle w:val="ListParagraph"/>
        <w:numPr>
          <w:ilvl w:val="3"/>
          <w:numId w:val="31"/>
        </w:numPr>
        <w:tabs>
          <w:tab w:pos="1461" w:val="left" w:leader="none"/>
          <w:tab w:pos="9231" w:val="right" w:leader="dot"/>
        </w:tabs>
        <w:spacing w:line="240" w:lineRule="auto" w:before="120" w:after="0"/>
        <w:ind w:left="1460" w:right="0" w:hanging="735"/>
        <w:jc w:val="left"/>
        <w:rPr>
          <w:sz w:val="20"/>
        </w:rPr>
      </w:pPr>
      <w:r>
        <w:rPr>
          <w:sz w:val="20"/>
        </w:rPr>
        <w:t>Other categories of reporting and</w:t>
      </w:r>
      <w:r>
        <w:rPr>
          <w:spacing w:val="-4"/>
          <w:sz w:val="20"/>
        </w:rPr>
        <w:t> </w:t>
      </w:r>
      <w:r>
        <w:rPr>
          <w:sz w:val="20"/>
        </w:rPr>
        <w:t>specific</w:t>
      </w:r>
      <w:r>
        <w:rPr>
          <w:spacing w:val="1"/>
          <w:sz w:val="20"/>
        </w:rPr>
        <w:t> </w:t>
      </w:r>
      <w:r>
        <w:rPr>
          <w:sz w:val="20"/>
        </w:rPr>
        <w:t>cases</w:t>
        <w:tab/>
        <w:t>3.14</w:t>
      </w:r>
    </w:p>
    <w:p>
      <w:pPr>
        <w:pStyle w:val="ListParagraph"/>
        <w:numPr>
          <w:ilvl w:val="2"/>
          <w:numId w:val="31"/>
        </w:numPr>
        <w:tabs>
          <w:tab w:pos="1177" w:val="left" w:leader="none"/>
          <w:tab w:pos="1179" w:val="left" w:leader="none"/>
          <w:tab w:pos="9231" w:val="right" w:leader="dot"/>
        </w:tabs>
        <w:spacing w:line="240" w:lineRule="auto" w:before="118" w:after="0"/>
        <w:ind w:left="1178" w:right="0" w:hanging="736"/>
        <w:jc w:val="left"/>
        <w:rPr>
          <w:sz w:val="20"/>
        </w:rPr>
      </w:pPr>
      <w:r>
        <w:rPr>
          <w:sz w:val="20"/>
        </w:rPr>
        <w:t>Definitions of</w:t>
      </w:r>
      <w:r>
        <w:rPr>
          <w:spacing w:val="-1"/>
          <w:sz w:val="20"/>
        </w:rPr>
        <w:t> </w:t>
      </w:r>
      <w:r>
        <w:rPr>
          <w:sz w:val="20"/>
        </w:rPr>
        <w:t>Carbon</w:t>
      </w:r>
      <w:r>
        <w:rPr>
          <w:spacing w:val="-1"/>
          <w:sz w:val="20"/>
        </w:rPr>
        <w:t> </w:t>
      </w:r>
      <w:r>
        <w:rPr>
          <w:sz w:val="20"/>
        </w:rPr>
        <w:t>Pools</w:t>
        <w:tab/>
        <w:t>3.14</w:t>
      </w:r>
    </w:p>
    <w:p>
      <w:pPr>
        <w:pStyle w:val="ListParagraph"/>
        <w:numPr>
          <w:ilvl w:val="2"/>
          <w:numId w:val="31"/>
        </w:numPr>
        <w:tabs>
          <w:tab w:pos="1177" w:val="left" w:leader="none"/>
          <w:tab w:pos="1178" w:val="left" w:leader="none"/>
          <w:tab w:pos="9231" w:val="right" w:leader="dot"/>
        </w:tabs>
        <w:spacing w:line="240" w:lineRule="auto" w:before="121" w:after="0"/>
        <w:ind w:left="1178" w:right="0" w:hanging="736"/>
        <w:jc w:val="left"/>
        <w:rPr>
          <w:sz w:val="20"/>
        </w:rPr>
      </w:pPr>
      <w:r>
        <w:rPr>
          <w:sz w:val="20"/>
        </w:rPr>
        <w:t>General Methods</w:t>
        <w:tab/>
        <w:t>3.15</w:t>
      </w:r>
    </w:p>
    <w:p>
      <w:pPr>
        <w:pStyle w:val="ListParagraph"/>
        <w:numPr>
          <w:ilvl w:val="2"/>
          <w:numId w:val="31"/>
        </w:numPr>
        <w:tabs>
          <w:tab w:pos="1177" w:val="left" w:leader="none"/>
          <w:tab w:pos="1178" w:val="left" w:leader="none"/>
          <w:tab w:pos="9231" w:val="right" w:leader="dot"/>
        </w:tabs>
        <w:spacing w:line="240" w:lineRule="auto" w:before="120" w:after="0"/>
        <w:ind w:left="1178" w:right="0" w:hanging="736"/>
        <w:jc w:val="left"/>
        <w:rPr>
          <w:sz w:val="20"/>
        </w:rPr>
      </w:pPr>
      <w:r>
        <w:rPr>
          <w:sz w:val="20"/>
        </w:rPr>
        <w:t>Tier Levels</w:t>
        <w:tab/>
        <w:t>3.16</w:t>
      </w:r>
    </w:p>
    <w:p>
      <w:pPr>
        <w:pStyle w:val="ListParagraph"/>
        <w:numPr>
          <w:ilvl w:val="2"/>
          <w:numId w:val="31"/>
        </w:numPr>
        <w:tabs>
          <w:tab w:pos="1177" w:val="left" w:leader="none"/>
          <w:tab w:pos="1179" w:val="left" w:leader="none"/>
          <w:tab w:pos="9231" w:val="right" w:leader="dot"/>
        </w:tabs>
        <w:spacing w:line="240" w:lineRule="auto" w:before="121" w:after="0"/>
        <w:ind w:left="1178" w:right="0" w:hanging="736"/>
        <w:jc w:val="left"/>
        <w:rPr>
          <w:sz w:val="20"/>
        </w:rPr>
      </w:pPr>
      <w:r>
        <w:rPr>
          <w:sz w:val="20"/>
        </w:rPr>
        <w:t>Choice of</w:t>
      </w:r>
      <w:r>
        <w:rPr>
          <w:spacing w:val="-2"/>
          <w:sz w:val="20"/>
        </w:rPr>
        <w:t> </w:t>
      </w:r>
      <w:r>
        <w:rPr>
          <w:sz w:val="20"/>
        </w:rPr>
        <w:t>Method</w:t>
        <w:tab/>
        <w:t>3.17</w:t>
      </w:r>
    </w:p>
    <w:p>
      <w:pPr>
        <w:pStyle w:val="ListParagraph"/>
        <w:numPr>
          <w:ilvl w:val="2"/>
          <w:numId w:val="31"/>
        </w:numPr>
        <w:tabs>
          <w:tab w:pos="1177" w:val="left" w:leader="none"/>
          <w:tab w:pos="1178" w:val="left" w:leader="none"/>
          <w:tab w:pos="9231" w:val="right" w:leader="dot"/>
        </w:tabs>
        <w:spacing w:line="240" w:lineRule="auto" w:before="120" w:after="0"/>
        <w:ind w:left="1178" w:right="0" w:hanging="736"/>
        <w:jc w:val="left"/>
        <w:rPr>
          <w:sz w:val="20"/>
        </w:rPr>
      </w:pPr>
      <w:r>
        <w:rPr>
          <w:sz w:val="20"/>
        </w:rPr>
        <w:t>Reporting</w:t>
        <w:tab/>
        <w:t>3.20</w:t>
      </w:r>
    </w:p>
    <w:p>
      <w:pPr>
        <w:pStyle w:val="ListParagraph"/>
        <w:numPr>
          <w:ilvl w:val="2"/>
          <w:numId w:val="31"/>
        </w:numPr>
        <w:tabs>
          <w:tab w:pos="1177" w:val="left" w:leader="none"/>
          <w:tab w:pos="1178" w:val="left" w:leader="none"/>
          <w:tab w:pos="9231" w:val="right" w:leader="dot"/>
        </w:tabs>
        <w:spacing w:line="240" w:lineRule="auto" w:before="118" w:after="0"/>
        <w:ind w:left="1177" w:right="0" w:hanging="735"/>
        <w:jc w:val="left"/>
        <w:rPr>
          <w:sz w:val="20"/>
        </w:rPr>
      </w:pPr>
      <w:r>
        <w:rPr>
          <w:sz w:val="20"/>
        </w:rPr>
        <w:t>Generic</w:t>
      </w:r>
      <w:r>
        <w:rPr>
          <w:spacing w:val="-1"/>
          <w:sz w:val="20"/>
        </w:rPr>
        <w:t> </w:t>
      </w:r>
      <w:r>
        <w:rPr>
          <w:sz w:val="20"/>
        </w:rPr>
        <w:t>Climatic</w:t>
      </w:r>
      <w:r>
        <w:rPr>
          <w:spacing w:val="1"/>
          <w:sz w:val="20"/>
        </w:rPr>
        <w:t> </w:t>
      </w:r>
      <w:r>
        <w:rPr>
          <w:sz w:val="20"/>
        </w:rPr>
        <w:t>Zones</w:t>
        <w:tab/>
        <w:t>3.20</w:t>
      </w:r>
    </w:p>
    <w:p>
      <w:pPr>
        <w:numPr>
          <w:ilvl w:val="1"/>
          <w:numId w:val="31"/>
        </w:numPr>
        <w:tabs>
          <w:tab w:pos="1179" w:val="left" w:leader="none"/>
          <w:tab w:pos="1180" w:val="left" w:leader="none"/>
          <w:tab w:pos="9231" w:val="right" w:leader="none"/>
        </w:tabs>
        <w:spacing w:before="245"/>
        <w:ind w:left="1179" w:right="0" w:hanging="1020"/>
        <w:jc w:val="left"/>
        <w:rPr>
          <w:b/>
          <w:sz w:val="20"/>
        </w:rPr>
      </w:pPr>
      <w:r>
        <w:rPr>
          <w:b/>
          <w:sz w:val="20"/>
        </w:rPr>
        <w:t>FOREST LAND</w:t>
        <w:tab/>
        <w:t>3.23</w:t>
      </w:r>
    </w:p>
    <w:p>
      <w:pPr>
        <w:pStyle w:val="ListParagraph"/>
        <w:numPr>
          <w:ilvl w:val="2"/>
          <w:numId w:val="31"/>
        </w:numPr>
        <w:tabs>
          <w:tab w:pos="1177" w:val="left" w:leader="none"/>
          <w:tab w:pos="1179" w:val="left" w:leader="none"/>
          <w:tab w:pos="9231" w:val="right" w:leader="dot"/>
        </w:tabs>
        <w:spacing w:line="240" w:lineRule="auto" w:before="116" w:after="0"/>
        <w:ind w:left="1178" w:right="0" w:hanging="736"/>
        <w:jc w:val="left"/>
        <w:rPr>
          <w:sz w:val="20"/>
        </w:rPr>
      </w:pPr>
      <w:r>
        <w:rPr>
          <w:sz w:val="20"/>
        </w:rPr>
        <w:t>Forest Land Remaining</w:t>
      </w:r>
      <w:r>
        <w:rPr>
          <w:spacing w:val="-1"/>
          <w:sz w:val="20"/>
        </w:rPr>
        <w:t> </w:t>
      </w:r>
      <w:r>
        <w:rPr>
          <w:sz w:val="20"/>
        </w:rPr>
        <w:t>Forest</w:t>
      </w:r>
      <w:r>
        <w:rPr>
          <w:spacing w:val="2"/>
          <w:sz w:val="20"/>
        </w:rPr>
        <w:t> </w:t>
      </w:r>
      <w:r>
        <w:rPr>
          <w:sz w:val="20"/>
        </w:rPr>
        <w:t>Land</w:t>
        <w:tab/>
        <w:t>3.23</w:t>
      </w:r>
    </w:p>
    <w:p>
      <w:pPr>
        <w:pStyle w:val="ListParagraph"/>
        <w:numPr>
          <w:ilvl w:val="3"/>
          <w:numId w:val="31"/>
        </w:numPr>
        <w:tabs>
          <w:tab w:pos="1461" w:val="left" w:leader="none"/>
          <w:tab w:pos="9230" w:val="right" w:leader="dot"/>
        </w:tabs>
        <w:spacing w:line="240" w:lineRule="auto" w:before="120" w:after="0"/>
        <w:ind w:left="1460" w:right="0" w:hanging="735"/>
        <w:jc w:val="left"/>
        <w:rPr>
          <w:sz w:val="20"/>
        </w:rPr>
      </w:pPr>
      <w:r>
        <w:rPr>
          <w:sz w:val="20"/>
        </w:rPr>
        <w:t>Change in carbon stocks in</w:t>
      </w:r>
      <w:r>
        <w:rPr>
          <w:spacing w:val="-5"/>
          <w:sz w:val="20"/>
        </w:rPr>
        <w:t> </w:t>
      </w:r>
      <w:r>
        <w:rPr>
          <w:sz w:val="20"/>
        </w:rPr>
        <w:t>living</w:t>
      </w:r>
      <w:r>
        <w:rPr>
          <w:spacing w:val="-1"/>
          <w:sz w:val="20"/>
        </w:rPr>
        <w:t> </w:t>
      </w:r>
      <w:r>
        <w:rPr>
          <w:sz w:val="20"/>
        </w:rPr>
        <w:t>biomass</w:t>
        <w:tab/>
        <w:t>3.24</w:t>
      </w:r>
    </w:p>
    <w:p>
      <w:pPr>
        <w:pStyle w:val="ListParagraph"/>
        <w:numPr>
          <w:ilvl w:val="3"/>
          <w:numId w:val="31"/>
        </w:numPr>
        <w:tabs>
          <w:tab w:pos="1461" w:val="left" w:leader="none"/>
          <w:tab w:pos="9229" w:val="right" w:leader="dot"/>
        </w:tabs>
        <w:spacing w:line="240" w:lineRule="auto" w:before="121" w:after="0"/>
        <w:ind w:left="1460" w:right="0" w:hanging="735"/>
        <w:jc w:val="left"/>
        <w:rPr>
          <w:sz w:val="20"/>
        </w:rPr>
      </w:pPr>
      <w:r>
        <w:rPr>
          <w:sz w:val="20"/>
        </w:rPr>
        <w:t>Change in carbon stocks in dead</w:t>
      </w:r>
      <w:r>
        <w:rPr>
          <w:spacing w:val="-5"/>
          <w:sz w:val="20"/>
        </w:rPr>
        <w:t> </w:t>
      </w:r>
      <w:r>
        <w:rPr>
          <w:sz w:val="20"/>
        </w:rPr>
        <w:t>organic</w:t>
      </w:r>
      <w:r>
        <w:rPr>
          <w:spacing w:val="2"/>
          <w:sz w:val="20"/>
        </w:rPr>
        <w:t> </w:t>
      </w:r>
      <w:r>
        <w:rPr>
          <w:sz w:val="20"/>
        </w:rPr>
        <w:t>matter</w:t>
        <w:tab/>
        <w:t>3.32</w:t>
      </w:r>
    </w:p>
    <w:p>
      <w:pPr>
        <w:pStyle w:val="ListParagraph"/>
        <w:numPr>
          <w:ilvl w:val="3"/>
          <w:numId w:val="31"/>
        </w:numPr>
        <w:tabs>
          <w:tab w:pos="1461" w:val="left" w:leader="none"/>
          <w:tab w:pos="9231" w:val="right" w:leader="dot"/>
        </w:tabs>
        <w:spacing w:line="240" w:lineRule="auto" w:before="120" w:after="0"/>
        <w:ind w:left="1460" w:right="0" w:hanging="735"/>
        <w:jc w:val="left"/>
        <w:rPr>
          <w:sz w:val="20"/>
        </w:rPr>
      </w:pPr>
      <w:r>
        <w:rPr>
          <w:sz w:val="20"/>
        </w:rPr>
        <w:t>Change in carbon stocks</w:t>
      </w:r>
      <w:r>
        <w:rPr>
          <w:spacing w:val="-4"/>
          <w:sz w:val="20"/>
        </w:rPr>
        <w:t> </w:t>
      </w:r>
      <w:r>
        <w:rPr>
          <w:sz w:val="20"/>
        </w:rPr>
        <w:t>in</w:t>
      </w:r>
      <w:r>
        <w:rPr>
          <w:spacing w:val="-1"/>
          <w:sz w:val="20"/>
        </w:rPr>
        <w:t> </w:t>
      </w:r>
      <w:r>
        <w:rPr>
          <w:sz w:val="20"/>
        </w:rPr>
        <w:t>soils</w:t>
        <w:tab/>
        <w:t>3.38</w:t>
      </w:r>
    </w:p>
    <w:p>
      <w:pPr>
        <w:pStyle w:val="ListParagraph"/>
        <w:numPr>
          <w:ilvl w:val="3"/>
          <w:numId w:val="31"/>
        </w:numPr>
        <w:tabs>
          <w:tab w:pos="1463" w:val="left" w:leader="none"/>
          <w:tab w:pos="9231" w:val="right" w:leader="dot"/>
        </w:tabs>
        <w:spacing w:line="240" w:lineRule="auto" w:before="118" w:after="0"/>
        <w:ind w:left="1462" w:right="0" w:hanging="737"/>
        <w:jc w:val="left"/>
        <w:rPr>
          <w:sz w:val="20"/>
        </w:rPr>
      </w:pPr>
      <w:r>
        <w:rPr>
          <w:sz w:val="20"/>
        </w:rPr>
        <w:t>Non-CO</w:t>
      </w:r>
      <w:r>
        <w:rPr>
          <w:sz w:val="20"/>
          <w:vertAlign w:val="subscript"/>
        </w:rPr>
        <w:t>2</w:t>
      </w:r>
      <w:r>
        <w:rPr>
          <w:sz w:val="20"/>
          <w:vertAlign w:val="baseline"/>
        </w:rPr>
        <w:t> greenhouse</w:t>
      </w:r>
      <w:r>
        <w:rPr>
          <w:spacing w:val="-15"/>
          <w:sz w:val="20"/>
          <w:vertAlign w:val="baseline"/>
        </w:rPr>
        <w:t> </w:t>
      </w:r>
      <w:r>
        <w:rPr>
          <w:sz w:val="20"/>
          <w:vertAlign w:val="baseline"/>
        </w:rPr>
        <w:t>gas</w:t>
      </w:r>
      <w:r>
        <w:rPr>
          <w:spacing w:val="-1"/>
          <w:sz w:val="20"/>
          <w:vertAlign w:val="baseline"/>
        </w:rPr>
        <w:t> </w:t>
      </w:r>
      <w:r>
        <w:rPr>
          <w:sz w:val="20"/>
          <w:vertAlign w:val="baseline"/>
        </w:rPr>
        <w:t>emissions</w:t>
        <w:tab/>
        <w:t>3.45</w:t>
      </w:r>
    </w:p>
    <w:p>
      <w:pPr>
        <w:pStyle w:val="ListParagraph"/>
        <w:numPr>
          <w:ilvl w:val="2"/>
          <w:numId w:val="31"/>
        </w:numPr>
        <w:tabs>
          <w:tab w:pos="1177" w:val="left" w:leader="none"/>
          <w:tab w:pos="1179" w:val="left" w:leader="none"/>
          <w:tab w:pos="9231" w:val="right" w:leader="dot"/>
        </w:tabs>
        <w:spacing w:line="240" w:lineRule="auto" w:before="121" w:after="0"/>
        <w:ind w:left="1178" w:right="0" w:hanging="736"/>
        <w:jc w:val="left"/>
        <w:rPr>
          <w:sz w:val="20"/>
        </w:rPr>
      </w:pPr>
      <w:r>
        <w:rPr>
          <w:sz w:val="20"/>
        </w:rPr>
        <w:t>Land Converted to</w:t>
      </w:r>
      <w:r>
        <w:rPr>
          <w:spacing w:val="2"/>
          <w:sz w:val="20"/>
        </w:rPr>
        <w:t> </w:t>
      </w:r>
      <w:r>
        <w:rPr>
          <w:sz w:val="20"/>
        </w:rPr>
        <w:t>Forest Land</w:t>
        <w:tab/>
        <w:t>3.50</w:t>
      </w:r>
    </w:p>
    <w:p>
      <w:pPr>
        <w:pStyle w:val="ListParagraph"/>
        <w:numPr>
          <w:ilvl w:val="3"/>
          <w:numId w:val="31"/>
        </w:numPr>
        <w:tabs>
          <w:tab w:pos="1461" w:val="left" w:leader="none"/>
          <w:tab w:pos="9230" w:val="right" w:leader="dot"/>
        </w:tabs>
        <w:spacing w:line="240" w:lineRule="auto" w:before="120" w:after="0"/>
        <w:ind w:left="1460" w:right="0" w:hanging="735"/>
        <w:jc w:val="left"/>
        <w:rPr>
          <w:sz w:val="20"/>
        </w:rPr>
      </w:pPr>
      <w:r>
        <w:rPr>
          <w:sz w:val="20"/>
        </w:rPr>
        <w:t>Change in carbon stocks in</w:t>
      </w:r>
      <w:r>
        <w:rPr>
          <w:spacing w:val="-5"/>
          <w:sz w:val="20"/>
        </w:rPr>
        <w:t> </w:t>
      </w:r>
      <w:r>
        <w:rPr>
          <w:sz w:val="20"/>
        </w:rPr>
        <w:t>living</w:t>
      </w:r>
      <w:r>
        <w:rPr>
          <w:spacing w:val="-1"/>
          <w:sz w:val="20"/>
        </w:rPr>
        <w:t> </w:t>
      </w:r>
      <w:r>
        <w:rPr>
          <w:sz w:val="20"/>
        </w:rPr>
        <w:t>biomass</w:t>
        <w:tab/>
        <w:t>3.51</w:t>
      </w:r>
    </w:p>
    <w:p>
      <w:pPr>
        <w:pStyle w:val="ListParagraph"/>
        <w:numPr>
          <w:ilvl w:val="3"/>
          <w:numId w:val="31"/>
        </w:numPr>
        <w:tabs>
          <w:tab w:pos="1461" w:val="left" w:leader="none"/>
          <w:tab w:pos="9229" w:val="right" w:leader="dot"/>
        </w:tabs>
        <w:spacing w:line="240" w:lineRule="auto" w:before="120" w:after="0"/>
        <w:ind w:left="1460" w:right="0" w:hanging="735"/>
        <w:jc w:val="left"/>
        <w:rPr>
          <w:sz w:val="20"/>
        </w:rPr>
      </w:pPr>
      <w:r>
        <w:rPr>
          <w:sz w:val="20"/>
        </w:rPr>
        <w:t>Change in carbon stocks in dead</w:t>
      </w:r>
      <w:r>
        <w:rPr>
          <w:spacing w:val="-5"/>
          <w:sz w:val="20"/>
        </w:rPr>
        <w:t> </w:t>
      </w:r>
      <w:r>
        <w:rPr>
          <w:sz w:val="20"/>
        </w:rPr>
        <w:t>organic</w:t>
      </w:r>
      <w:r>
        <w:rPr>
          <w:spacing w:val="2"/>
          <w:sz w:val="20"/>
        </w:rPr>
        <w:t> </w:t>
      </w:r>
      <w:r>
        <w:rPr>
          <w:sz w:val="20"/>
        </w:rPr>
        <w:t>matter</w:t>
        <w:tab/>
        <w:t>3.56</w:t>
      </w:r>
    </w:p>
    <w:p>
      <w:pPr>
        <w:pStyle w:val="ListParagraph"/>
        <w:numPr>
          <w:ilvl w:val="3"/>
          <w:numId w:val="31"/>
        </w:numPr>
        <w:tabs>
          <w:tab w:pos="1461" w:val="left" w:leader="none"/>
          <w:tab w:pos="9231" w:val="right" w:leader="dot"/>
        </w:tabs>
        <w:spacing w:line="240" w:lineRule="auto" w:before="121" w:after="0"/>
        <w:ind w:left="1460" w:right="0" w:hanging="735"/>
        <w:jc w:val="left"/>
        <w:rPr>
          <w:sz w:val="20"/>
        </w:rPr>
      </w:pPr>
      <w:r>
        <w:rPr>
          <w:sz w:val="20"/>
        </w:rPr>
        <w:t>Change in carbon stocks</w:t>
      </w:r>
      <w:r>
        <w:rPr>
          <w:spacing w:val="-4"/>
          <w:sz w:val="20"/>
        </w:rPr>
        <w:t> </w:t>
      </w:r>
      <w:r>
        <w:rPr>
          <w:sz w:val="20"/>
        </w:rPr>
        <w:t>in</w:t>
      </w:r>
      <w:r>
        <w:rPr>
          <w:spacing w:val="-1"/>
          <w:sz w:val="20"/>
        </w:rPr>
        <w:t> </w:t>
      </w:r>
      <w:r>
        <w:rPr>
          <w:sz w:val="20"/>
        </w:rPr>
        <w:t>soils</w:t>
        <w:tab/>
        <w:t>3.60</w:t>
      </w:r>
    </w:p>
    <w:p>
      <w:pPr>
        <w:pStyle w:val="ListParagraph"/>
        <w:numPr>
          <w:ilvl w:val="3"/>
          <w:numId w:val="31"/>
        </w:numPr>
        <w:tabs>
          <w:tab w:pos="1463" w:val="left" w:leader="none"/>
          <w:tab w:pos="9232" w:val="right" w:leader="dot"/>
        </w:tabs>
        <w:spacing w:line="240" w:lineRule="auto" w:before="120" w:after="0"/>
        <w:ind w:left="1462" w:right="0" w:hanging="737"/>
        <w:jc w:val="left"/>
        <w:rPr>
          <w:sz w:val="20"/>
        </w:rPr>
      </w:pPr>
      <w:r>
        <w:rPr>
          <w:sz w:val="20"/>
        </w:rPr>
        <w:t>Non-CO</w:t>
      </w:r>
      <w:r>
        <w:rPr>
          <w:sz w:val="20"/>
          <w:vertAlign w:val="subscript"/>
        </w:rPr>
        <w:t>2</w:t>
      </w:r>
      <w:r>
        <w:rPr>
          <w:sz w:val="20"/>
          <w:vertAlign w:val="baseline"/>
        </w:rPr>
        <w:t> greenhouse</w:t>
      </w:r>
      <w:r>
        <w:rPr>
          <w:spacing w:val="4"/>
          <w:sz w:val="20"/>
          <w:vertAlign w:val="baseline"/>
        </w:rPr>
        <w:t> </w:t>
      </w:r>
      <w:r>
        <w:rPr>
          <w:sz w:val="20"/>
          <w:vertAlign w:val="baseline"/>
        </w:rPr>
        <w:t>gas</w:t>
      </w:r>
      <w:r>
        <w:rPr>
          <w:spacing w:val="-1"/>
          <w:sz w:val="20"/>
          <w:vertAlign w:val="baseline"/>
        </w:rPr>
        <w:t> </w:t>
      </w:r>
      <w:r>
        <w:rPr>
          <w:sz w:val="20"/>
          <w:vertAlign w:val="baseline"/>
        </w:rPr>
        <w:t>emissions</w:t>
        <w:tab/>
        <w:t>3.65</w:t>
      </w:r>
    </w:p>
    <w:p>
      <w:pPr>
        <w:pStyle w:val="ListParagraph"/>
        <w:numPr>
          <w:ilvl w:val="2"/>
          <w:numId w:val="31"/>
        </w:numPr>
        <w:tabs>
          <w:tab w:pos="1177" w:val="left" w:leader="none"/>
          <w:tab w:pos="1178" w:val="left" w:leader="none"/>
          <w:tab w:pos="9231" w:val="right" w:leader="dot"/>
        </w:tabs>
        <w:spacing w:line="240" w:lineRule="auto" w:before="118" w:after="0"/>
        <w:ind w:left="1177" w:right="0" w:hanging="735"/>
        <w:jc w:val="left"/>
        <w:rPr>
          <w:sz w:val="20"/>
        </w:rPr>
      </w:pPr>
      <w:r>
        <w:rPr>
          <w:sz w:val="20"/>
        </w:rPr>
        <w:t>Completeness</w:t>
        <w:tab/>
        <w:t>3.66</w:t>
      </w:r>
    </w:p>
    <w:p>
      <w:pPr>
        <w:pStyle w:val="ListParagraph"/>
        <w:numPr>
          <w:ilvl w:val="2"/>
          <w:numId w:val="31"/>
        </w:numPr>
        <w:tabs>
          <w:tab w:pos="1177" w:val="left" w:leader="none"/>
          <w:tab w:pos="1178" w:val="left" w:leader="none"/>
          <w:tab w:pos="9231" w:val="right" w:leader="dot"/>
        </w:tabs>
        <w:spacing w:line="240" w:lineRule="auto" w:before="121" w:after="0"/>
        <w:ind w:left="1177" w:right="0" w:hanging="735"/>
        <w:jc w:val="left"/>
        <w:rPr>
          <w:sz w:val="20"/>
        </w:rPr>
      </w:pPr>
      <w:r>
        <w:rPr>
          <w:sz w:val="20"/>
        </w:rPr>
        <w:t>Developing a Consistent</w:t>
      </w:r>
      <w:r>
        <w:rPr>
          <w:spacing w:val="-1"/>
          <w:sz w:val="20"/>
        </w:rPr>
        <w:t> </w:t>
      </w:r>
      <w:r>
        <w:rPr>
          <w:sz w:val="20"/>
        </w:rPr>
        <w:t>Time</w:t>
      </w:r>
      <w:r>
        <w:rPr>
          <w:spacing w:val="3"/>
          <w:sz w:val="20"/>
        </w:rPr>
        <w:t> </w:t>
      </w:r>
      <w:r>
        <w:rPr>
          <w:sz w:val="20"/>
        </w:rPr>
        <w:t>Series</w:t>
        <w:tab/>
        <w:t>3.66</w:t>
      </w:r>
    </w:p>
    <w:p>
      <w:pPr>
        <w:pStyle w:val="ListParagraph"/>
        <w:numPr>
          <w:ilvl w:val="2"/>
          <w:numId w:val="31"/>
        </w:numPr>
        <w:tabs>
          <w:tab w:pos="1177" w:val="left" w:leader="none"/>
          <w:tab w:pos="1179" w:val="left" w:leader="none"/>
          <w:tab w:pos="9231" w:val="right" w:leader="dot"/>
        </w:tabs>
        <w:spacing w:line="240" w:lineRule="auto" w:before="120" w:after="0"/>
        <w:ind w:left="1178" w:right="0" w:hanging="736"/>
        <w:jc w:val="left"/>
        <w:rPr>
          <w:sz w:val="20"/>
        </w:rPr>
      </w:pPr>
      <w:r>
        <w:rPr>
          <w:sz w:val="20"/>
        </w:rPr>
        <w:t>Reporting</w:t>
      </w:r>
      <w:r>
        <w:rPr>
          <w:spacing w:val="-2"/>
          <w:sz w:val="20"/>
        </w:rPr>
        <w:t> </w:t>
      </w:r>
      <w:r>
        <w:rPr>
          <w:sz w:val="20"/>
        </w:rPr>
        <w:t>and</w:t>
      </w:r>
      <w:r>
        <w:rPr>
          <w:spacing w:val="1"/>
          <w:sz w:val="20"/>
        </w:rPr>
        <w:t> </w:t>
      </w:r>
      <w:r>
        <w:rPr>
          <w:sz w:val="20"/>
        </w:rPr>
        <w:t>Documentation</w:t>
        <w:tab/>
        <w:t>3.66</w:t>
      </w:r>
    </w:p>
    <w:p>
      <w:pPr>
        <w:pStyle w:val="ListParagraph"/>
        <w:numPr>
          <w:ilvl w:val="2"/>
          <w:numId w:val="31"/>
        </w:numPr>
        <w:tabs>
          <w:tab w:pos="1177" w:val="left" w:leader="none"/>
          <w:tab w:pos="1178" w:val="left" w:leader="none"/>
          <w:tab w:pos="9229" w:val="right" w:leader="dot"/>
        </w:tabs>
        <w:spacing w:line="240" w:lineRule="auto" w:before="121" w:after="0"/>
        <w:ind w:left="1177" w:right="0" w:hanging="735"/>
        <w:jc w:val="left"/>
        <w:rPr>
          <w:sz w:val="20"/>
        </w:rPr>
      </w:pPr>
      <w:r>
        <w:rPr>
          <w:sz w:val="20"/>
        </w:rPr>
        <w:t>Inventory Quality Assurance/Quality</w:t>
      </w:r>
      <w:r>
        <w:rPr>
          <w:spacing w:val="-5"/>
          <w:sz w:val="20"/>
        </w:rPr>
        <w:t> </w:t>
      </w:r>
      <w:r>
        <w:rPr>
          <w:sz w:val="20"/>
        </w:rPr>
        <w:t>Control</w:t>
      </w:r>
      <w:r>
        <w:rPr>
          <w:spacing w:val="-1"/>
          <w:sz w:val="20"/>
        </w:rPr>
        <w:t> </w:t>
      </w:r>
      <w:r>
        <w:rPr>
          <w:sz w:val="20"/>
        </w:rPr>
        <w:t>(QA/QC)</w:t>
        <w:tab/>
        <w:t>3.68</w:t>
      </w:r>
    </w:p>
    <w:p>
      <w:pPr>
        <w:numPr>
          <w:ilvl w:val="1"/>
          <w:numId w:val="31"/>
        </w:numPr>
        <w:tabs>
          <w:tab w:pos="1179" w:val="left" w:leader="none"/>
          <w:tab w:pos="1180" w:val="left" w:leader="none"/>
          <w:tab w:pos="9230" w:val="right" w:leader="none"/>
        </w:tabs>
        <w:spacing w:before="245"/>
        <w:ind w:left="1179" w:right="0" w:hanging="1020"/>
        <w:jc w:val="left"/>
        <w:rPr>
          <w:b/>
          <w:sz w:val="20"/>
        </w:rPr>
      </w:pPr>
      <w:r>
        <w:rPr>
          <w:b/>
          <w:sz w:val="20"/>
        </w:rPr>
        <w:t>CROPLAND</w:t>
        <w:tab/>
        <w:t>3.69</w:t>
      </w:r>
    </w:p>
    <w:p>
      <w:pPr>
        <w:pStyle w:val="ListParagraph"/>
        <w:numPr>
          <w:ilvl w:val="2"/>
          <w:numId w:val="31"/>
        </w:numPr>
        <w:tabs>
          <w:tab w:pos="1177" w:val="left" w:leader="none"/>
          <w:tab w:pos="1179" w:val="left" w:leader="none"/>
          <w:tab w:pos="9231" w:val="right" w:leader="dot"/>
        </w:tabs>
        <w:spacing w:line="240" w:lineRule="auto" w:before="113" w:after="0"/>
        <w:ind w:left="1178" w:right="0" w:hanging="736"/>
        <w:jc w:val="left"/>
        <w:rPr>
          <w:sz w:val="20"/>
        </w:rPr>
      </w:pPr>
      <w:r>
        <w:rPr>
          <w:sz w:val="20"/>
        </w:rPr>
        <w:t>Cropland Remaining</w:t>
      </w:r>
      <w:r>
        <w:rPr>
          <w:spacing w:val="-1"/>
          <w:sz w:val="20"/>
        </w:rPr>
        <w:t> </w:t>
      </w:r>
      <w:r>
        <w:rPr>
          <w:sz w:val="20"/>
        </w:rPr>
        <w:t>Cropland</w:t>
        <w:tab/>
        <w:t>3.69</w:t>
      </w:r>
    </w:p>
    <w:p>
      <w:pPr>
        <w:pStyle w:val="ListParagraph"/>
        <w:numPr>
          <w:ilvl w:val="3"/>
          <w:numId w:val="31"/>
        </w:numPr>
        <w:tabs>
          <w:tab w:pos="1461" w:val="left" w:leader="none"/>
          <w:tab w:pos="9230" w:val="right" w:leader="dot"/>
        </w:tabs>
        <w:spacing w:line="240" w:lineRule="auto" w:before="120" w:after="0"/>
        <w:ind w:left="1460" w:right="0" w:hanging="735"/>
        <w:jc w:val="left"/>
        <w:rPr>
          <w:sz w:val="20"/>
        </w:rPr>
      </w:pPr>
      <w:r>
        <w:rPr>
          <w:sz w:val="20"/>
        </w:rPr>
        <w:t>Change in carbon stocks in</w:t>
      </w:r>
      <w:r>
        <w:rPr>
          <w:spacing w:val="-5"/>
          <w:sz w:val="20"/>
        </w:rPr>
        <w:t> </w:t>
      </w:r>
      <w:r>
        <w:rPr>
          <w:sz w:val="20"/>
        </w:rPr>
        <w:t>living</w:t>
      </w:r>
      <w:r>
        <w:rPr>
          <w:spacing w:val="-1"/>
          <w:sz w:val="20"/>
        </w:rPr>
        <w:t> </w:t>
      </w:r>
      <w:r>
        <w:rPr>
          <w:sz w:val="20"/>
        </w:rPr>
        <w:t>biomass</w:t>
        <w:tab/>
        <w:t>3.70</w:t>
      </w:r>
    </w:p>
    <w:p>
      <w:pPr>
        <w:pStyle w:val="ListParagraph"/>
        <w:numPr>
          <w:ilvl w:val="3"/>
          <w:numId w:val="31"/>
        </w:numPr>
        <w:tabs>
          <w:tab w:pos="1461" w:val="left" w:leader="none"/>
          <w:tab w:pos="9231" w:val="right" w:leader="dot"/>
        </w:tabs>
        <w:spacing w:line="240" w:lineRule="auto" w:before="121" w:after="0"/>
        <w:ind w:left="1460" w:right="0" w:hanging="735"/>
        <w:jc w:val="left"/>
        <w:rPr>
          <w:sz w:val="20"/>
        </w:rPr>
      </w:pPr>
      <w:r>
        <w:rPr>
          <w:sz w:val="20"/>
        </w:rPr>
        <w:t>Change in carbon stocks</w:t>
      </w:r>
      <w:r>
        <w:rPr>
          <w:spacing w:val="-4"/>
          <w:sz w:val="20"/>
        </w:rPr>
        <w:t> </w:t>
      </w:r>
      <w:r>
        <w:rPr>
          <w:sz w:val="20"/>
        </w:rPr>
        <w:t>in</w:t>
      </w:r>
      <w:r>
        <w:rPr>
          <w:spacing w:val="-1"/>
          <w:sz w:val="20"/>
        </w:rPr>
        <w:t> </w:t>
      </w:r>
      <w:r>
        <w:rPr>
          <w:sz w:val="20"/>
        </w:rPr>
        <w:t>soils</w:t>
        <w:tab/>
        <w:t>3.74</w:t>
      </w:r>
    </w:p>
    <w:p>
      <w:pPr>
        <w:pStyle w:val="ListParagraph"/>
        <w:numPr>
          <w:ilvl w:val="3"/>
          <w:numId w:val="31"/>
        </w:numPr>
        <w:tabs>
          <w:tab w:pos="1463" w:val="left" w:leader="none"/>
          <w:tab w:pos="9232" w:val="right" w:leader="dot"/>
        </w:tabs>
        <w:spacing w:line="240" w:lineRule="auto" w:before="120" w:after="0"/>
        <w:ind w:left="1462" w:right="0" w:hanging="737"/>
        <w:jc w:val="left"/>
        <w:rPr>
          <w:sz w:val="20"/>
        </w:rPr>
      </w:pPr>
      <w:r>
        <w:rPr>
          <w:sz w:val="20"/>
        </w:rPr>
        <w:t>Non-CO</w:t>
      </w:r>
      <w:r>
        <w:rPr>
          <w:sz w:val="20"/>
          <w:vertAlign w:val="subscript"/>
        </w:rPr>
        <w:t>2</w:t>
      </w:r>
      <w:r>
        <w:rPr>
          <w:sz w:val="20"/>
          <w:vertAlign w:val="baseline"/>
        </w:rPr>
        <w:t> greenhouse</w:t>
      </w:r>
      <w:r>
        <w:rPr>
          <w:spacing w:val="4"/>
          <w:sz w:val="20"/>
          <w:vertAlign w:val="baseline"/>
        </w:rPr>
        <w:t> </w:t>
      </w:r>
      <w:r>
        <w:rPr>
          <w:sz w:val="20"/>
          <w:vertAlign w:val="baseline"/>
        </w:rPr>
        <w:t>gas</w:t>
      </w:r>
      <w:r>
        <w:rPr>
          <w:spacing w:val="-1"/>
          <w:sz w:val="20"/>
          <w:vertAlign w:val="baseline"/>
        </w:rPr>
        <w:t> </w:t>
      </w:r>
      <w:r>
        <w:rPr>
          <w:sz w:val="20"/>
          <w:vertAlign w:val="baseline"/>
        </w:rPr>
        <w:t>emissions</w:t>
        <w:tab/>
        <w:t>3.82</w:t>
      </w:r>
    </w:p>
    <w:p>
      <w:pPr>
        <w:pStyle w:val="ListParagraph"/>
        <w:numPr>
          <w:ilvl w:val="2"/>
          <w:numId w:val="31"/>
        </w:numPr>
        <w:tabs>
          <w:tab w:pos="1178" w:val="left" w:leader="none"/>
          <w:tab w:pos="1179" w:val="left" w:leader="none"/>
          <w:tab w:pos="9231" w:val="right" w:leader="dot"/>
        </w:tabs>
        <w:spacing w:line="240" w:lineRule="auto" w:before="121" w:after="0"/>
        <w:ind w:left="1178" w:right="0" w:hanging="736"/>
        <w:jc w:val="left"/>
        <w:rPr>
          <w:sz w:val="20"/>
        </w:rPr>
      </w:pPr>
      <w:r>
        <w:rPr>
          <w:sz w:val="20"/>
        </w:rPr>
        <w:t>Land Converted</w:t>
      </w:r>
      <w:r>
        <w:rPr>
          <w:spacing w:val="1"/>
          <w:sz w:val="20"/>
        </w:rPr>
        <w:t> </w:t>
      </w:r>
      <w:r>
        <w:rPr>
          <w:sz w:val="20"/>
        </w:rPr>
        <w:t>to</w:t>
      </w:r>
      <w:r>
        <w:rPr>
          <w:spacing w:val="1"/>
          <w:sz w:val="20"/>
        </w:rPr>
        <w:t> </w:t>
      </w:r>
      <w:r>
        <w:rPr>
          <w:sz w:val="20"/>
        </w:rPr>
        <w:t>Cropland</w:t>
        <w:tab/>
        <w:t>3.83</w:t>
      </w:r>
    </w:p>
    <w:p>
      <w:pPr>
        <w:spacing w:after="0" w:line="240" w:lineRule="auto"/>
        <w:jc w:val="left"/>
        <w:rPr>
          <w:sz w:val="20"/>
        </w:rPr>
        <w:sectPr>
          <w:pgSz w:w="11900" w:h="16840"/>
          <w:pgMar w:header="230" w:footer="408" w:top="560" w:bottom="600" w:left="1260" w:right="1240"/>
        </w:sectPr>
      </w:pPr>
    </w:p>
    <w:p>
      <w:pPr>
        <w:pStyle w:val="ListParagraph"/>
        <w:numPr>
          <w:ilvl w:val="3"/>
          <w:numId w:val="31"/>
        </w:numPr>
        <w:tabs>
          <w:tab w:pos="1461" w:val="left" w:leader="none"/>
          <w:tab w:pos="9231" w:val="right" w:leader="dot"/>
        </w:tabs>
        <w:spacing w:line="240" w:lineRule="auto" w:before="439" w:after="0"/>
        <w:ind w:left="1460" w:right="0" w:hanging="735"/>
        <w:jc w:val="left"/>
        <w:rPr>
          <w:sz w:val="20"/>
        </w:rPr>
      </w:pPr>
      <w:r>
        <w:rPr>
          <w:sz w:val="20"/>
        </w:rPr>
        <w:t>Change in carbon stocks</w:t>
      </w:r>
      <w:r>
        <w:rPr>
          <w:spacing w:val="-4"/>
          <w:sz w:val="20"/>
        </w:rPr>
        <w:t> </w:t>
      </w:r>
      <w:r>
        <w:rPr>
          <w:sz w:val="20"/>
        </w:rPr>
        <w:t>living</w:t>
      </w:r>
      <w:r>
        <w:rPr>
          <w:spacing w:val="-1"/>
          <w:sz w:val="20"/>
        </w:rPr>
        <w:t> </w:t>
      </w:r>
      <w:r>
        <w:rPr>
          <w:sz w:val="20"/>
        </w:rPr>
        <w:t>biomass</w:t>
        <w:tab/>
        <w:t>3.84</w:t>
      </w:r>
    </w:p>
    <w:p>
      <w:pPr>
        <w:pStyle w:val="ListParagraph"/>
        <w:numPr>
          <w:ilvl w:val="3"/>
          <w:numId w:val="31"/>
        </w:numPr>
        <w:tabs>
          <w:tab w:pos="1461" w:val="left" w:leader="none"/>
          <w:tab w:pos="9231" w:val="right" w:leader="dot"/>
        </w:tabs>
        <w:spacing w:line="240" w:lineRule="auto" w:before="120" w:after="0"/>
        <w:ind w:left="1460" w:right="0" w:hanging="735"/>
        <w:jc w:val="left"/>
        <w:rPr>
          <w:sz w:val="20"/>
        </w:rPr>
      </w:pPr>
      <w:r>
        <w:rPr>
          <w:sz w:val="20"/>
        </w:rPr>
        <w:t>Change in carbon stocks</w:t>
      </w:r>
      <w:r>
        <w:rPr>
          <w:spacing w:val="-4"/>
          <w:sz w:val="20"/>
        </w:rPr>
        <w:t> </w:t>
      </w:r>
      <w:r>
        <w:rPr>
          <w:sz w:val="20"/>
        </w:rPr>
        <w:t>in</w:t>
      </w:r>
      <w:r>
        <w:rPr>
          <w:spacing w:val="-1"/>
          <w:sz w:val="20"/>
        </w:rPr>
        <w:t> </w:t>
      </w:r>
      <w:r>
        <w:rPr>
          <w:sz w:val="20"/>
        </w:rPr>
        <w:t>soils</w:t>
        <w:tab/>
        <w:t>3.89</w:t>
      </w:r>
    </w:p>
    <w:p>
      <w:pPr>
        <w:pStyle w:val="ListParagraph"/>
        <w:numPr>
          <w:ilvl w:val="3"/>
          <w:numId w:val="31"/>
        </w:numPr>
        <w:tabs>
          <w:tab w:pos="1463" w:val="left" w:leader="none"/>
          <w:tab w:pos="9232" w:val="right" w:leader="dot"/>
        </w:tabs>
        <w:spacing w:line="240" w:lineRule="auto" w:before="121" w:after="0"/>
        <w:ind w:left="1462" w:right="0" w:hanging="737"/>
        <w:jc w:val="left"/>
        <w:rPr>
          <w:sz w:val="20"/>
        </w:rPr>
      </w:pPr>
      <w:r>
        <w:rPr>
          <w:sz w:val="20"/>
        </w:rPr>
        <w:t>Non-CO</w:t>
      </w:r>
      <w:r>
        <w:rPr>
          <w:sz w:val="20"/>
          <w:vertAlign w:val="subscript"/>
        </w:rPr>
        <w:t>2</w:t>
      </w:r>
      <w:r>
        <w:rPr>
          <w:sz w:val="20"/>
          <w:vertAlign w:val="baseline"/>
        </w:rPr>
        <w:t> greenhouse</w:t>
      </w:r>
      <w:r>
        <w:rPr>
          <w:spacing w:val="4"/>
          <w:sz w:val="20"/>
          <w:vertAlign w:val="baseline"/>
        </w:rPr>
        <w:t> </w:t>
      </w:r>
      <w:r>
        <w:rPr>
          <w:sz w:val="20"/>
          <w:vertAlign w:val="baseline"/>
        </w:rPr>
        <w:t>gas</w:t>
      </w:r>
      <w:r>
        <w:rPr>
          <w:spacing w:val="-1"/>
          <w:sz w:val="20"/>
          <w:vertAlign w:val="baseline"/>
        </w:rPr>
        <w:t> </w:t>
      </w:r>
      <w:r>
        <w:rPr>
          <w:sz w:val="20"/>
          <w:vertAlign w:val="baseline"/>
        </w:rPr>
        <w:t>emissions</w:t>
        <w:tab/>
        <w:t>3.93</w:t>
      </w:r>
    </w:p>
    <w:p>
      <w:pPr>
        <w:pStyle w:val="ListParagraph"/>
        <w:numPr>
          <w:ilvl w:val="2"/>
          <w:numId w:val="31"/>
        </w:numPr>
        <w:tabs>
          <w:tab w:pos="1177" w:val="left" w:leader="none"/>
          <w:tab w:pos="1178" w:val="left" w:leader="none"/>
          <w:tab w:pos="9231" w:val="right" w:leader="dot"/>
        </w:tabs>
        <w:spacing w:line="240" w:lineRule="auto" w:before="120" w:after="0"/>
        <w:ind w:left="1177" w:right="0" w:hanging="735"/>
        <w:jc w:val="left"/>
        <w:rPr>
          <w:sz w:val="20"/>
        </w:rPr>
      </w:pPr>
      <w:r>
        <w:rPr>
          <w:sz w:val="20"/>
        </w:rPr>
        <w:t>Completeness</w:t>
        <w:tab/>
        <w:t>3.95</w:t>
      </w:r>
    </w:p>
    <w:p>
      <w:pPr>
        <w:pStyle w:val="ListParagraph"/>
        <w:numPr>
          <w:ilvl w:val="2"/>
          <w:numId w:val="31"/>
        </w:numPr>
        <w:tabs>
          <w:tab w:pos="1177" w:val="left" w:leader="none"/>
          <w:tab w:pos="1178" w:val="left" w:leader="none"/>
          <w:tab w:pos="9231" w:val="right" w:leader="dot"/>
        </w:tabs>
        <w:spacing w:line="240" w:lineRule="auto" w:before="121" w:after="0"/>
        <w:ind w:left="1177" w:right="0" w:hanging="735"/>
        <w:jc w:val="left"/>
        <w:rPr>
          <w:sz w:val="20"/>
        </w:rPr>
      </w:pPr>
      <w:r>
        <w:rPr>
          <w:sz w:val="20"/>
        </w:rPr>
        <w:t>Developing a Consistent</w:t>
      </w:r>
      <w:r>
        <w:rPr>
          <w:spacing w:val="-1"/>
          <w:sz w:val="20"/>
        </w:rPr>
        <w:t> </w:t>
      </w:r>
      <w:r>
        <w:rPr>
          <w:sz w:val="20"/>
        </w:rPr>
        <w:t>Time</w:t>
      </w:r>
      <w:r>
        <w:rPr>
          <w:spacing w:val="3"/>
          <w:sz w:val="20"/>
        </w:rPr>
        <w:t> </w:t>
      </w:r>
      <w:r>
        <w:rPr>
          <w:sz w:val="20"/>
        </w:rPr>
        <w:t>Series</w:t>
        <w:tab/>
        <w:t>3.95</w:t>
      </w:r>
    </w:p>
    <w:p>
      <w:pPr>
        <w:pStyle w:val="ListParagraph"/>
        <w:numPr>
          <w:ilvl w:val="2"/>
          <w:numId w:val="31"/>
        </w:numPr>
        <w:tabs>
          <w:tab w:pos="1177" w:val="left" w:leader="none"/>
          <w:tab w:pos="1179" w:val="left" w:leader="none"/>
          <w:tab w:pos="9231" w:val="right" w:leader="dot"/>
        </w:tabs>
        <w:spacing w:line="240" w:lineRule="auto" w:before="120" w:after="0"/>
        <w:ind w:left="1178" w:right="0" w:hanging="736"/>
        <w:jc w:val="left"/>
        <w:rPr>
          <w:sz w:val="20"/>
        </w:rPr>
      </w:pPr>
      <w:r>
        <w:rPr>
          <w:sz w:val="20"/>
        </w:rPr>
        <w:t>Reporting</w:t>
      </w:r>
      <w:r>
        <w:rPr>
          <w:spacing w:val="-2"/>
          <w:sz w:val="20"/>
        </w:rPr>
        <w:t> </w:t>
      </w:r>
      <w:r>
        <w:rPr>
          <w:sz w:val="20"/>
        </w:rPr>
        <w:t>and</w:t>
      </w:r>
      <w:r>
        <w:rPr>
          <w:spacing w:val="1"/>
          <w:sz w:val="20"/>
        </w:rPr>
        <w:t> </w:t>
      </w:r>
      <w:r>
        <w:rPr>
          <w:sz w:val="20"/>
        </w:rPr>
        <w:t>Documentation</w:t>
        <w:tab/>
        <w:t>3.96</w:t>
      </w:r>
    </w:p>
    <w:p>
      <w:pPr>
        <w:pStyle w:val="ListParagraph"/>
        <w:numPr>
          <w:ilvl w:val="2"/>
          <w:numId w:val="31"/>
        </w:numPr>
        <w:tabs>
          <w:tab w:pos="1177" w:val="left" w:leader="none"/>
          <w:tab w:pos="1178" w:val="left" w:leader="none"/>
          <w:tab w:pos="9229" w:val="right" w:leader="dot"/>
        </w:tabs>
        <w:spacing w:line="240" w:lineRule="auto" w:before="118" w:after="0"/>
        <w:ind w:left="1177" w:right="0" w:hanging="735"/>
        <w:jc w:val="left"/>
        <w:rPr>
          <w:sz w:val="20"/>
        </w:rPr>
      </w:pPr>
      <w:r>
        <w:rPr>
          <w:sz w:val="20"/>
        </w:rPr>
        <w:t>Inventory Quality Assurance/Quality</w:t>
      </w:r>
      <w:r>
        <w:rPr>
          <w:spacing w:val="-5"/>
          <w:sz w:val="20"/>
        </w:rPr>
        <w:t> </w:t>
      </w:r>
      <w:r>
        <w:rPr>
          <w:sz w:val="20"/>
        </w:rPr>
        <w:t>Control</w:t>
      </w:r>
      <w:r>
        <w:rPr>
          <w:spacing w:val="-1"/>
          <w:sz w:val="20"/>
        </w:rPr>
        <w:t> </w:t>
      </w:r>
      <w:r>
        <w:rPr>
          <w:sz w:val="20"/>
        </w:rPr>
        <w:t>(QA/QC)</w:t>
        <w:tab/>
        <w:t>3.96</w:t>
      </w:r>
    </w:p>
    <w:p>
      <w:pPr>
        <w:pStyle w:val="ListParagraph"/>
        <w:numPr>
          <w:ilvl w:val="2"/>
          <w:numId w:val="31"/>
        </w:numPr>
        <w:tabs>
          <w:tab w:pos="1179" w:val="left" w:leader="none"/>
          <w:tab w:pos="1180" w:val="left" w:leader="none"/>
        </w:tabs>
        <w:spacing w:line="240" w:lineRule="auto" w:before="121" w:after="0"/>
        <w:ind w:left="1179" w:right="0" w:hanging="737"/>
        <w:jc w:val="left"/>
        <w:rPr>
          <w:sz w:val="20"/>
        </w:rPr>
      </w:pPr>
      <w:r>
        <w:rPr>
          <w:sz w:val="20"/>
        </w:rPr>
        <w:t>Estimation of Revised GPG Tier 1 Defaults for Mineral Soil C</w:t>
      </w:r>
      <w:r>
        <w:rPr>
          <w:spacing w:val="-8"/>
          <w:sz w:val="20"/>
        </w:rPr>
        <w:t> </w:t>
      </w:r>
      <w:r>
        <w:rPr>
          <w:sz w:val="20"/>
        </w:rPr>
        <w:t>Emissions/Removals</w:t>
      </w:r>
    </w:p>
    <w:p>
      <w:pPr>
        <w:pStyle w:val="BodyText"/>
        <w:tabs>
          <w:tab w:pos="9231" w:val="right" w:leader="dot"/>
        </w:tabs>
        <w:ind w:left="1179"/>
      </w:pPr>
      <w:r>
        <w:rPr/>
        <w:t>for Cropland</w:t>
        <w:tab/>
        <w:t>3.97</w:t>
      </w:r>
    </w:p>
    <w:p>
      <w:pPr>
        <w:numPr>
          <w:ilvl w:val="1"/>
          <w:numId w:val="31"/>
        </w:numPr>
        <w:tabs>
          <w:tab w:pos="1179" w:val="left" w:leader="none"/>
          <w:tab w:pos="1180" w:val="left" w:leader="none"/>
          <w:tab w:pos="9231" w:val="right" w:leader="none"/>
        </w:tabs>
        <w:spacing w:before="245"/>
        <w:ind w:left="1179" w:right="0" w:hanging="1020"/>
        <w:jc w:val="left"/>
        <w:rPr>
          <w:b/>
          <w:sz w:val="20"/>
        </w:rPr>
      </w:pPr>
      <w:r>
        <w:rPr>
          <w:b/>
          <w:sz w:val="20"/>
        </w:rPr>
        <w:t>GRASSLAND</w:t>
        <w:tab/>
        <w:t>3.105</w:t>
      </w:r>
    </w:p>
    <w:p>
      <w:pPr>
        <w:pStyle w:val="ListParagraph"/>
        <w:numPr>
          <w:ilvl w:val="2"/>
          <w:numId w:val="31"/>
        </w:numPr>
        <w:tabs>
          <w:tab w:pos="1177" w:val="left" w:leader="none"/>
          <w:tab w:pos="1178" w:val="left" w:leader="none"/>
          <w:tab w:pos="9230" w:val="right" w:leader="dot"/>
        </w:tabs>
        <w:spacing w:line="240" w:lineRule="auto" w:before="116" w:after="0"/>
        <w:ind w:left="1178" w:right="0" w:hanging="736"/>
        <w:jc w:val="left"/>
        <w:rPr>
          <w:sz w:val="20"/>
        </w:rPr>
      </w:pPr>
      <w:r>
        <w:rPr>
          <w:sz w:val="20"/>
        </w:rPr>
        <w:t>Grassland Remaining</w:t>
      </w:r>
      <w:r>
        <w:rPr>
          <w:spacing w:val="-1"/>
          <w:sz w:val="20"/>
        </w:rPr>
        <w:t> </w:t>
      </w:r>
      <w:r>
        <w:rPr>
          <w:sz w:val="20"/>
        </w:rPr>
        <w:t>Grassland</w:t>
        <w:tab/>
        <w:t>3.105</w:t>
      </w:r>
    </w:p>
    <w:p>
      <w:pPr>
        <w:pStyle w:val="ListParagraph"/>
        <w:numPr>
          <w:ilvl w:val="3"/>
          <w:numId w:val="31"/>
        </w:numPr>
        <w:tabs>
          <w:tab w:pos="1461" w:val="left" w:leader="none"/>
          <w:tab w:pos="9229" w:val="right" w:leader="dot"/>
        </w:tabs>
        <w:spacing w:line="240" w:lineRule="auto" w:before="118" w:after="0"/>
        <w:ind w:left="1460" w:right="0" w:hanging="735"/>
        <w:jc w:val="left"/>
        <w:rPr>
          <w:sz w:val="20"/>
        </w:rPr>
      </w:pPr>
      <w:r>
        <w:rPr>
          <w:sz w:val="20"/>
        </w:rPr>
        <w:t>Change in carbon stocks in</w:t>
      </w:r>
      <w:r>
        <w:rPr>
          <w:spacing w:val="-6"/>
          <w:sz w:val="20"/>
        </w:rPr>
        <w:t> </w:t>
      </w:r>
      <w:r>
        <w:rPr>
          <w:sz w:val="20"/>
        </w:rPr>
        <w:t>living</w:t>
      </w:r>
      <w:r>
        <w:rPr>
          <w:spacing w:val="-1"/>
          <w:sz w:val="20"/>
        </w:rPr>
        <w:t> </w:t>
      </w:r>
      <w:r>
        <w:rPr>
          <w:sz w:val="20"/>
        </w:rPr>
        <w:t>biomass</w:t>
        <w:tab/>
        <w:t>3.106</w:t>
      </w:r>
    </w:p>
    <w:p>
      <w:pPr>
        <w:pStyle w:val="ListParagraph"/>
        <w:numPr>
          <w:ilvl w:val="3"/>
          <w:numId w:val="31"/>
        </w:numPr>
        <w:tabs>
          <w:tab w:pos="1461" w:val="left" w:leader="none"/>
          <w:tab w:pos="9230" w:val="right" w:leader="dot"/>
        </w:tabs>
        <w:spacing w:line="240" w:lineRule="auto" w:before="120" w:after="0"/>
        <w:ind w:left="1460" w:right="0" w:hanging="735"/>
        <w:jc w:val="left"/>
        <w:rPr>
          <w:sz w:val="20"/>
        </w:rPr>
      </w:pPr>
      <w:r>
        <w:rPr>
          <w:sz w:val="20"/>
        </w:rPr>
        <w:t>Change in carbon stocks</w:t>
      </w:r>
      <w:r>
        <w:rPr>
          <w:spacing w:val="-4"/>
          <w:sz w:val="20"/>
        </w:rPr>
        <w:t> </w:t>
      </w:r>
      <w:r>
        <w:rPr>
          <w:sz w:val="20"/>
        </w:rPr>
        <w:t>in</w:t>
      </w:r>
      <w:r>
        <w:rPr>
          <w:spacing w:val="-1"/>
          <w:sz w:val="20"/>
        </w:rPr>
        <w:t> </w:t>
      </w:r>
      <w:r>
        <w:rPr>
          <w:sz w:val="20"/>
        </w:rPr>
        <w:t>soils</w:t>
        <w:tab/>
        <w:t>3.111</w:t>
      </w:r>
    </w:p>
    <w:p>
      <w:pPr>
        <w:pStyle w:val="ListParagraph"/>
        <w:numPr>
          <w:ilvl w:val="3"/>
          <w:numId w:val="31"/>
        </w:numPr>
        <w:tabs>
          <w:tab w:pos="1463" w:val="left" w:leader="none"/>
          <w:tab w:pos="9231" w:val="right" w:leader="dot"/>
        </w:tabs>
        <w:spacing w:line="240" w:lineRule="auto" w:before="121" w:after="0"/>
        <w:ind w:left="1462" w:right="0" w:hanging="737"/>
        <w:jc w:val="left"/>
        <w:rPr>
          <w:sz w:val="20"/>
        </w:rPr>
      </w:pPr>
      <w:r>
        <w:rPr>
          <w:sz w:val="20"/>
        </w:rPr>
        <w:t>Non-CO</w:t>
      </w:r>
      <w:r>
        <w:rPr>
          <w:sz w:val="20"/>
          <w:vertAlign w:val="subscript"/>
        </w:rPr>
        <w:t>2</w:t>
      </w:r>
      <w:r>
        <w:rPr>
          <w:sz w:val="20"/>
          <w:vertAlign w:val="baseline"/>
        </w:rPr>
        <w:t> greenhouse</w:t>
      </w:r>
      <w:r>
        <w:rPr>
          <w:spacing w:val="4"/>
          <w:sz w:val="20"/>
          <w:vertAlign w:val="baseline"/>
        </w:rPr>
        <w:t> </w:t>
      </w:r>
      <w:r>
        <w:rPr>
          <w:sz w:val="20"/>
          <w:vertAlign w:val="baseline"/>
        </w:rPr>
        <w:t>gas</w:t>
      </w:r>
      <w:r>
        <w:rPr>
          <w:spacing w:val="-1"/>
          <w:sz w:val="20"/>
          <w:vertAlign w:val="baseline"/>
        </w:rPr>
        <w:t> </w:t>
      </w:r>
      <w:r>
        <w:rPr>
          <w:sz w:val="20"/>
          <w:vertAlign w:val="baseline"/>
        </w:rPr>
        <w:t>emissions</w:t>
        <w:tab/>
        <w:t>3.120</w:t>
      </w:r>
    </w:p>
    <w:p>
      <w:pPr>
        <w:pStyle w:val="ListParagraph"/>
        <w:numPr>
          <w:ilvl w:val="2"/>
          <w:numId w:val="31"/>
        </w:numPr>
        <w:tabs>
          <w:tab w:pos="1178" w:val="left" w:leader="none"/>
          <w:tab w:pos="1179" w:val="left" w:leader="none"/>
          <w:tab w:pos="9230" w:val="right" w:leader="dot"/>
        </w:tabs>
        <w:spacing w:line="240" w:lineRule="auto" w:before="120" w:after="0"/>
        <w:ind w:left="1178" w:right="0" w:hanging="736"/>
        <w:jc w:val="left"/>
        <w:rPr>
          <w:sz w:val="20"/>
        </w:rPr>
      </w:pPr>
      <w:r>
        <w:rPr>
          <w:sz w:val="20"/>
        </w:rPr>
        <w:t>Land Converted</w:t>
      </w:r>
      <w:r>
        <w:rPr>
          <w:spacing w:val="1"/>
          <w:sz w:val="20"/>
        </w:rPr>
        <w:t> </w:t>
      </w:r>
      <w:r>
        <w:rPr>
          <w:sz w:val="20"/>
        </w:rPr>
        <w:t>to</w:t>
      </w:r>
      <w:r>
        <w:rPr>
          <w:spacing w:val="1"/>
          <w:sz w:val="20"/>
        </w:rPr>
        <w:t> </w:t>
      </w:r>
      <w:r>
        <w:rPr>
          <w:sz w:val="20"/>
        </w:rPr>
        <w:t>Grassland</w:t>
        <w:tab/>
        <w:t>3.120</w:t>
      </w:r>
    </w:p>
    <w:p>
      <w:pPr>
        <w:pStyle w:val="ListParagraph"/>
        <w:numPr>
          <w:ilvl w:val="3"/>
          <w:numId w:val="31"/>
        </w:numPr>
        <w:tabs>
          <w:tab w:pos="1461" w:val="left" w:leader="none"/>
          <w:tab w:pos="9230" w:val="right" w:leader="dot"/>
        </w:tabs>
        <w:spacing w:line="240" w:lineRule="auto" w:before="121" w:after="0"/>
        <w:ind w:left="1460" w:right="0" w:hanging="735"/>
        <w:jc w:val="left"/>
        <w:rPr>
          <w:sz w:val="20"/>
        </w:rPr>
      </w:pPr>
      <w:r>
        <w:rPr>
          <w:sz w:val="20"/>
        </w:rPr>
        <w:t>Change in carbon stocks</w:t>
      </w:r>
      <w:r>
        <w:rPr>
          <w:spacing w:val="-4"/>
          <w:sz w:val="20"/>
        </w:rPr>
        <w:t> </w:t>
      </w:r>
      <w:r>
        <w:rPr>
          <w:sz w:val="20"/>
        </w:rPr>
        <w:t>in</w:t>
      </w:r>
      <w:r>
        <w:rPr>
          <w:spacing w:val="-1"/>
          <w:sz w:val="20"/>
        </w:rPr>
        <w:t> </w:t>
      </w:r>
      <w:r>
        <w:rPr>
          <w:sz w:val="20"/>
        </w:rPr>
        <w:t>biomass</w:t>
        <w:tab/>
        <w:t>3.121</w:t>
      </w:r>
    </w:p>
    <w:p>
      <w:pPr>
        <w:pStyle w:val="ListParagraph"/>
        <w:numPr>
          <w:ilvl w:val="3"/>
          <w:numId w:val="31"/>
        </w:numPr>
        <w:tabs>
          <w:tab w:pos="1461" w:val="left" w:leader="none"/>
          <w:tab w:pos="9230" w:val="right" w:leader="dot"/>
        </w:tabs>
        <w:spacing w:line="240" w:lineRule="auto" w:before="120" w:after="0"/>
        <w:ind w:left="1460" w:right="0" w:hanging="735"/>
        <w:jc w:val="left"/>
        <w:rPr>
          <w:sz w:val="20"/>
        </w:rPr>
      </w:pPr>
      <w:r>
        <w:rPr>
          <w:sz w:val="20"/>
        </w:rPr>
        <w:t>Change in carbon stocks</w:t>
      </w:r>
      <w:r>
        <w:rPr>
          <w:spacing w:val="-4"/>
          <w:sz w:val="20"/>
        </w:rPr>
        <w:t> </w:t>
      </w:r>
      <w:r>
        <w:rPr>
          <w:sz w:val="20"/>
        </w:rPr>
        <w:t>in</w:t>
      </w:r>
      <w:r>
        <w:rPr>
          <w:spacing w:val="-1"/>
          <w:sz w:val="20"/>
        </w:rPr>
        <w:t> </w:t>
      </w:r>
      <w:r>
        <w:rPr>
          <w:sz w:val="20"/>
        </w:rPr>
        <w:t>soils</w:t>
        <w:tab/>
        <w:t>3.126</w:t>
      </w:r>
    </w:p>
    <w:p>
      <w:pPr>
        <w:pStyle w:val="ListParagraph"/>
        <w:numPr>
          <w:ilvl w:val="3"/>
          <w:numId w:val="31"/>
        </w:numPr>
        <w:tabs>
          <w:tab w:pos="1463" w:val="left" w:leader="none"/>
          <w:tab w:pos="9230" w:val="right" w:leader="dot"/>
        </w:tabs>
        <w:spacing w:line="240" w:lineRule="auto" w:before="118" w:after="0"/>
        <w:ind w:left="1462" w:right="0" w:hanging="737"/>
        <w:jc w:val="left"/>
        <w:rPr>
          <w:sz w:val="20"/>
        </w:rPr>
      </w:pPr>
      <w:r>
        <w:rPr>
          <w:sz w:val="20"/>
        </w:rPr>
        <w:t>Non-CO</w:t>
      </w:r>
      <w:r>
        <w:rPr>
          <w:sz w:val="20"/>
          <w:vertAlign w:val="subscript"/>
        </w:rPr>
        <w:t>2</w:t>
      </w:r>
      <w:r>
        <w:rPr>
          <w:spacing w:val="1"/>
          <w:sz w:val="20"/>
          <w:vertAlign w:val="baseline"/>
        </w:rPr>
        <w:t> </w:t>
      </w:r>
      <w:r>
        <w:rPr>
          <w:sz w:val="20"/>
          <w:vertAlign w:val="baseline"/>
        </w:rPr>
        <w:t>greenhouse</w:t>
      </w:r>
      <w:r>
        <w:rPr>
          <w:spacing w:val="3"/>
          <w:sz w:val="20"/>
          <w:vertAlign w:val="baseline"/>
        </w:rPr>
        <w:t> </w:t>
      </w:r>
      <w:r>
        <w:rPr>
          <w:sz w:val="20"/>
          <w:vertAlign w:val="baseline"/>
        </w:rPr>
        <w:t>gases</w:t>
        <w:tab/>
        <w:t>3.130</w:t>
      </w:r>
    </w:p>
    <w:p>
      <w:pPr>
        <w:pStyle w:val="ListParagraph"/>
        <w:numPr>
          <w:ilvl w:val="2"/>
          <w:numId w:val="31"/>
        </w:numPr>
        <w:tabs>
          <w:tab w:pos="1177" w:val="left" w:leader="none"/>
          <w:tab w:pos="1178" w:val="left" w:leader="none"/>
          <w:tab w:pos="9230" w:val="right" w:leader="dot"/>
        </w:tabs>
        <w:spacing w:line="240" w:lineRule="auto" w:before="120" w:after="0"/>
        <w:ind w:left="1177" w:right="0" w:hanging="735"/>
        <w:jc w:val="left"/>
        <w:rPr>
          <w:sz w:val="20"/>
        </w:rPr>
      </w:pPr>
      <w:r>
        <w:rPr>
          <w:sz w:val="20"/>
        </w:rPr>
        <w:t>Completeness</w:t>
        <w:tab/>
        <w:t>3.130</w:t>
      </w:r>
    </w:p>
    <w:p>
      <w:pPr>
        <w:pStyle w:val="ListParagraph"/>
        <w:numPr>
          <w:ilvl w:val="2"/>
          <w:numId w:val="31"/>
        </w:numPr>
        <w:tabs>
          <w:tab w:pos="1177" w:val="left" w:leader="none"/>
          <w:tab w:pos="1178" w:val="left" w:leader="none"/>
          <w:tab w:pos="9230" w:val="right" w:leader="dot"/>
        </w:tabs>
        <w:spacing w:line="240" w:lineRule="auto" w:before="121" w:after="0"/>
        <w:ind w:left="1177" w:right="0" w:hanging="735"/>
        <w:jc w:val="left"/>
        <w:rPr>
          <w:sz w:val="20"/>
        </w:rPr>
      </w:pPr>
      <w:r>
        <w:rPr>
          <w:sz w:val="20"/>
        </w:rPr>
        <w:t>Developing a Consistent</w:t>
      </w:r>
      <w:r>
        <w:rPr>
          <w:spacing w:val="-1"/>
          <w:sz w:val="20"/>
        </w:rPr>
        <w:t> </w:t>
      </w:r>
      <w:r>
        <w:rPr>
          <w:sz w:val="20"/>
        </w:rPr>
        <w:t>Time</w:t>
      </w:r>
      <w:r>
        <w:rPr>
          <w:spacing w:val="3"/>
          <w:sz w:val="20"/>
        </w:rPr>
        <w:t> </w:t>
      </w:r>
      <w:r>
        <w:rPr>
          <w:sz w:val="20"/>
        </w:rPr>
        <w:t>Series</w:t>
        <w:tab/>
        <w:t>3.131</w:t>
      </w:r>
    </w:p>
    <w:p>
      <w:pPr>
        <w:pStyle w:val="ListParagraph"/>
        <w:numPr>
          <w:ilvl w:val="2"/>
          <w:numId w:val="31"/>
        </w:numPr>
        <w:tabs>
          <w:tab w:pos="1177" w:val="left" w:leader="none"/>
          <w:tab w:pos="1179" w:val="left" w:leader="none"/>
          <w:tab w:pos="9230" w:val="right" w:leader="dot"/>
        </w:tabs>
        <w:spacing w:line="240" w:lineRule="auto" w:before="120" w:after="0"/>
        <w:ind w:left="1178" w:right="0" w:hanging="736"/>
        <w:jc w:val="left"/>
        <w:rPr>
          <w:sz w:val="20"/>
        </w:rPr>
      </w:pPr>
      <w:r>
        <w:rPr>
          <w:sz w:val="20"/>
        </w:rPr>
        <w:t>Reporting</w:t>
      </w:r>
      <w:r>
        <w:rPr>
          <w:spacing w:val="-2"/>
          <w:sz w:val="20"/>
        </w:rPr>
        <w:t> </w:t>
      </w:r>
      <w:r>
        <w:rPr>
          <w:sz w:val="20"/>
        </w:rPr>
        <w:t>and</w:t>
      </w:r>
      <w:r>
        <w:rPr>
          <w:spacing w:val="1"/>
          <w:sz w:val="20"/>
        </w:rPr>
        <w:t> </w:t>
      </w:r>
      <w:r>
        <w:rPr>
          <w:sz w:val="20"/>
        </w:rPr>
        <w:t>Documentation</w:t>
        <w:tab/>
        <w:t>3.131</w:t>
      </w:r>
    </w:p>
    <w:p>
      <w:pPr>
        <w:pStyle w:val="ListParagraph"/>
        <w:numPr>
          <w:ilvl w:val="2"/>
          <w:numId w:val="31"/>
        </w:numPr>
        <w:tabs>
          <w:tab w:pos="1177" w:val="left" w:leader="none"/>
          <w:tab w:pos="1178" w:val="left" w:leader="none"/>
          <w:tab w:pos="9228" w:val="right" w:leader="dot"/>
        </w:tabs>
        <w:spacing w:line="240" w:lineRule="auto" w:before="121" w:after="0"/>
        <w:ind w:left="1177" w:right="0" w:hanging="735"/>
        <w:jc w:val="left"/>
        <w:rPr>
          <w:sz w:val="20"/>
        </w:rPr>
      </w:pPr>
      <w:r>
        <w:rPr>
          <w:sz w:val="20"/>
        </w:rPr>
        <w:t>Inventory Quality Assurance/Quality</w:t>
      </w:r>
      <w:r>
        <w:rPr>
          <w:spacing w:val="-6"/>
          <w:sz w:val="20"/>
        </w:rPr>
        <w:t> </w:t>
      </w:r>
      <w:r>
        <w:rPr>
          <w:sz w:val="20"/>
        </w:rPr>
        <w:t>Control (QA/QC)</w:t>
        <w:tab/>
        <w:t>3.131</w:t>
      </w:r>
    </w:p>
    <w:p>
      <w:pPr>
        <w:pStyle w:val="ListParagraph"/>
        <w:numPr>
          <w:ilvl w:val="2"/>
          <w:numId w:val="31"/>
        </w:numPr>
        <w:tabs>
          <w:tab w:pos="1177" w:val="left" w:leader="none"/>
          <w:tab w:pos="1179" w:val="left" w:leader="none"/>
          <w:tab w:pos="9231" w:val="right" w:leader="dot"/>
        </w:tabs>
        <w:spacing w:line="240" w:lineRule="auto" w:before="120" w:after="0"/>
        <w:ind w:left="1178" w:right="0" w:hanging="736"/>
        <w:jc w:val="left"/>
        <w:rPr>
          <w:sz w:val="20"/>
        </w:rPr>
      </w:pPr>
      <w:r>
        <w:rPr>
          <w:sz w:val="20"/>
        </w:rPr>
        <w:t>Estimation of Revised GPG Tier 1 Defaults for</w:t>
      </w:r>
      <w:r>
        <w:rPr>
          <w:spacing w:val="-1"/>
          <w:sz w:val="20"/>
        </w:rPr>
        <w:t> </w:t>
      </w:r>
      <w:r>
        <w:rPr>
          <w:sz w:val="20"/>
        </w:rPr>
        <w:t>Grassland Management</w:t>
        <w:tab/>
        <w:t>3.132</w:t>
      </w:r>
    </w:p>
    <w:p>
      <w:pPr>
        <w:numPr>
          <w:ilvl w:val="1"/>
          <w:numId w:val="31"/>
        </w:numPr>
        <w:tabs>
          <w:tab w:pos="1179" w:val="left" w:leader="none"/>
          <w:tab w:pos="1180" w:val="left" w:leader="none"/>
          <w:tab w:pos="9230" w:val="right" w:leader="none"/>
        </w:tabs>
        <w:spacing w:before="243"/>
        <w:ind w:left="1179" w:right="0" w:hanging="1020"/>
        <w:jc w:val="left"/>
        <w:rPr>
          <w:b/>
          <w:sz w:val="20"/>
        </w:rPr>
      </w:pPr>
      <w:r>
        <w:rPr>
          <w:b/>
          <w:sz w:val="20"/>
        </w:rPr>
        <w:t>WETLANDS</w:t>
        <w:tab/>
        <w:t>3.135</w:t>
      </w:r>
    </w:p>
    <w:p>
      <w:pPr>
        <w:pStyle w:val="ListParagraph"/>
        <w:numPr>
          <w:ilvl w:val="2"/>
          <w:numId w:val="31"/>
        </w:numPr>
        <w:tabs>
          <w:tab w:pos="1177" w:val="left" w:leader="none"/>
          <w:tab w:pos="1178" w:val="left" w:leader="none"/>
          <w:tab w:pos="9230" w:val="right" w:leader="dot"/>
        </w:tabs>
        <w:spacing w:line="240" w:lineRule="auto" w:before="116" w:after="0"/>
        <w:ind w:left="1177" w:right="0" w:hanging="735"/>
        <w:jc w:val="left"/>
        <w:rPr>
          <w:sz w:val="20"/>
        </w:rPr>
      </w:pPr>
      <w:r>
        <w:rPr>
          <w:sz w:val="20"/>
        </w:rPr>
        <w:t>Wetlands</w:t>
      </w:r>
      <w:r>
        <w:rPr>
          <w:spacing w:val="-2"/>
          <w:sz w:val="20"/>
        </w:rPr>
        <w:t> </w:t>
      </w:r>
      <w:r>
        <w:rPr>
          <w:sz w:val="20"/>
        </w:rPr>
        <w:t>Remaining</w:t>
      </w:r>
      <w:r>
        <w:rPr>
          <w:spacing w:val="-1"/>
          <w:sz w:val="20"/>
        </w:rPr>
        <w:t> </w:t>
      </w:r>
      <w:r>
        <w:rPr>
          <w:sz w:val="20"/>
        </w:rPr>
        <w:t>Wetlands</w:t>
        <w:tab/>
        <w:t>3.135</w:t>
      </w:r>
    </w:p>
    <w:p>
      <w:pPr>
        <w:pStyle w:val="ListParagraph"/>
        <w:numPr>
          <w:ilvl w:val="2"/>
          <w:numId w:val="31"/>
        </w:numPr>
        <w:tabs>
          <w:tab w:pos="1177" w:val="left" w:leader="none"/>
          <w:tab w:pos="1179" w:val="left" w:leader="none"/>
          <w:tab w:pos="9230" w:val="right" w:leader="dot"/>
        </w:tabs>
        <w:spacing w:line="240" w:lineRule="auto" w:before="120" w:after="0"/>
        <w:ind w:left="1178" w:right="0" w:hanging="736"/>
        <w:jc w:val="left"/>
        <w:rPr>
          <w:sz w:val="20"/>
        </w:rPr>
      </w:pPr>
      <w:r>
        <w:rPr>
          <w:sz w:val="20"/>
        </w:rPr>
        <w:t>Land Converted</w:t>
      </w:r>
      <w:r>
        <w:rPr>
          <w:spacing w:val="1"/>
          <w:sz w:val="20"/>
        </w:rPr>
        <w:t> </w:t>
      </w:r>
      <w:r>
        <w:rPr>
          <w:sz w:val="20"/>
        </w:rPr>
        <w:t>to</w:t>
      </w:r>
      <w:r>
        <w:rPr>
          <w:spacing w:val="1"/>
          <w:sz w:val="20"/>
        </w:rPr>
        <w:t> </w:t>
      </w:r>
      <w:r>
        <w:rPr>
          <w:sz w:val="20"/>
        </w:rPr>
        <w:t>Wetlands</w:t>
        <w:tab/>
        <w:t>3.135</w:t>
      </w:r>
    </w:p>
    <w:p>
      <w:pPr>
        <w:pStyle w:val="ListParagraph"/>
        <w:numPr>
          <w:ilvl w:val="3"/>
          <w:numId w:val="31"/>
        </w:numPr>
        <w:tabs>
          <w:tab w:pos="1461" w:val="left" w:leader="none"/>
          <w:tab w:pos="9231" w:val="right" w:leader="dot"/>
        </w:tabs>
        <w:spacing w:line="240" w:lineRule="auto" w:before="120" w:after="0"/>
        <w:ind w:left="1460" w:right="0" w:hanging="735"/>
        <w:jc w:val="left"/>
        <w:rPr>
          <w:sz w:val="20"/>
        </w:rPr>
      </w:pPr>
      <w:r>
        <w:rPr>
          <w:sz w:val="20"/>
        </w:rPr>
        <w:t>Change in carbon stocks in land converted to</w:t>
      </w:r>
      <w:r>
        <w:rPr>
          <w:spacing w:val="-5"/>
          <w:sz w:val="20"/>
        </w:rPr>
        <w:t> </w:t>
      </w:r>
      <w:r>
        <w:rPr>
          <w:sz w:val="20"/>
        </w:rPr>
        <w:t>peat extraction</w:t>
        <w:tab/>
        <w:t>3.136</w:t>
      </w:r>
    </w:p>
    <w:p>
      <w:pPr>
        <w:pStyle w:val="ListParagraph"/>
        <w:numPr>
          <w:ilvl w:val="3"/>
          <w:numId w:val="31"/>
        </w:numPr>
        <w:tabs>
          <w:tab w:pos="1462" w:val="left" w:leader="none"/>
          <w:tab w:pos="9231" w:val="right" w:leader="dot"/>
        </w:tabs>
        <w:spacing w:line="240" w:lineRule="auto" w:before="121" w:after="0"/>
        <w:ind w:left="1461" w:right="0" w:hanging="736"/>
        <w:jc w:val="left"/>
        <w:rPr>
          <w:sz w:val="20"/>
        </w:rPr>
      </w:pPr>
      <w:r>
        <w:rPr>
          <w:sz w:val="20"/>
        </w:rPr>
        <w:t>Change in carbon stocks in land converted to flooded</w:t>
      </w:r>
      <w:r>
        <w:rPr>
          <w:spacing w:val="-10"/>
          <w:sz w:val="20"/>
        </w:rPr>
        <w:t> </w:t>
      </w:r>
      <w:r>
        <w:rPr>
          <w:sz w:val="20"/>
        </w:rPr>
        <w:t>land (Reservoirs)</w:t>
        <w:tab/>
        <w:t>3.140</w:t>
      </w:r>
    </w:p>
    <w:p>
      <w:pPr>
        <w:pStyle w:val="BodyText"/>
        <w:spacing w:before="3"/>
        <w:rPr>
          <w:sz w:val="11"/>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584"/>
        <w:gridCol w:w="7724"/>
        <w:gridCol w:w="548"/>
      </w:tblGrid>
      <w:tr>
        <w:trPr>
          <w:trHeight w:val="284" w:hRule="atLeast"/>
        </w:trPr>
        <w:tc>
          <w:tcPr>
            <w:tcW w:w="318" w:type="dxa"/>
            <w:vMerge w:val="restart"/>
          </w:tcPr>
          <w:p>
            <w:pPr>
              <w:pStyle w:val="TableParagraph"/>
              <w:rPr>
                <w:sz w:val="18"/>
              </w:rPr>
            </w:pPr>
          </w:p>
        </w:tc>
        <w:tc>
          <w:tcPr>
            <w:tcW w:w="584" w:type="dxa"/>
          </w:tcPr>
          <w:p>
            <w:pPr>
              <w:pStyle w:val="TableParagraph"/>
              <w:spacing w:line="221" w:lineRule="exact"/>
              <w:ind w:left="15"/>
              <w:rPr>
                <w:sz w:val="20"/>
              </w:rPr>
            </w:pPr>
            <w:r>
              <w:rPr>
                <w:sz w:val="20"/>
              </w:rPr>
              <w:t>3.5.3</w:t>
            </w:r>
          </w:p>
        </w:tc>
        <w:tc>
          <w:tcPr>
            <w:tcW w:w="7724" w:type="dxa"/>
          </w:tcPr>
          <w:p>
            <w:pPr>
              <w:pStyle w:val="TableParagraph"/>
              <w:spacing w:line="221" w:lineRule="exact"/>
              <w:ind w:left="166"/>
              <w:rPr>
                <w:sz w:val="20"/>
              </w:rPr>
            </w:pPr>
            <w:r>
              <w:rPr>
                <w:sz w:val="20"/>
              </w:rPr>
              <w:t>Completeness ..............................................................................................................................</w:t>
            </w:r>
          </w:p>
        </w:tc>
        <w:tc>
          <w:tcPr>
            <w:tcW w:w="548" w:type="dxa"/>
          </w:tcPr>
          <w:p>
            <w:pPr>
              <w:pStyle w:val="TableParagraph"/>
              <w:spacing w:line="221" w:lineRule="exact"/>
              <w:ind w:left="46"/>
              <w:rPr>
                <w:sz w:val="20"/>
              </w:rPr>
            </w:pPr>
            <w:r>
              <w:rPr>
                <w:sz w:val="20"/>
              </w:rPr>
              <w:t>3.140</w:t>
            </w:r>
          </w:p>
        </w:tc>
      </w:tr>
      <w:tr>
        <w:trPr>
          <w:trHeight w:val="349" w:hRule="atLeast"/>
        </w:trPr>
        <w:tc>
          <w:tcPr>
            <w:tcW w:w="318" w:type="dxa"/>
            <w:vMerge/>
            <w:tcBorders>
              <w:top w:val="nil"/>
            </w:tcBorders>
          </w:tcPr>
          <w:p>
            <w:pPr>
              <w:rPr>
                <w:sz w:val="2"/>
                <w:szCs w:val="2"/>
              </w:rPr>
            </w:pPr>
          </w:p>
        </w:tc>
        <w:tc>
          <w:tcPr>
            <w:tcW w:w="584" w:type="dxa"/>
          </w:tcPr>
          <w:p>
            <w:pPr>
              <w:pStyle w:val="TableParagraph"/>
              <w:spacing w:before="54"/>
              <w:ind w:left="15"/>
              <w:rPr>
                <w:sz w:val="20"/>
              </w:rPr>
            </w:pPr>
            <w:r>
              <w:rPr>
                <w:sz w:val="20"/>
              </w:rPr>
              <w:t>3.5.4</w:t>
            </w:r>
          </w:p>
        </w:tc>
        <w:tc>
          <w:tcPr>
            <w:tcW w:w="7724" w:type="dxa"/>
          </w:tcPr>
          <w:p>
            <w:pPr>
              <w:pStyle w:val="TableParagraph"/>
              <w:spacing w:before="54"/>
              <w:ind w:left="166"/>
              <w:rPr>
                <w:sz w:val="20"/>
              </w:rPr>
            </w:pPr>
            <w:r>
              <w:rPr>
                <w:sz w:val="20"/>
              </w:rPr>
              <w:t>Developing a Consistent Time Series .........................................................................................</w:t>
            </w:r>
          </w:p>
        </w:tc>
        <w:tc>
          <w:tcPr>
            <w:tcW w:w="548" w:type="dxa"/>
          </w:tcPr>
          <w:p>
            <w:pPr>
              <w:pStyle w:val="TableParagraph"/>
              <w:spacing w:before="54"/>
              <w:ind w:left="45"/>
              <w:rPr>
                <w:sz w:val="20"/>
              </w:rPr>
            </w:pPr>
            <w:r>
              <w:rPr>
                <w:sz w:val="20"/>
              </w:rPr>
              <w:t>3.140</w:t>
            </w:r>
          </w:p>
        </w:tc>
      </w:tr>
      <w:tr>
        <w:trPr>
          <w:trHeight w:val="350" w:hRule="atLeast"/>
        </w:trPr>
        <w:tc>
          <w:tcPr>
            <w:tcW w:w="318" w:type="dxa"/>
            <w:vMerge/>
            <w:tcBorders>
              <w:top w:val="nil"/>
            </w:tcBorders>
          </w:tcPr>
          <w:p>
            <w:pPr>
              <w:rPr>
                <w:sz w:val="2"/>
                <w:szCs w:val="2"/>
              </w:rPr>
            </w:pPr>
          </w:p>
        </w:tc>
        <w:tc>
          <w:tcPr>
            <w:tcW w:w="584" w:type="dxa"/>
          </w:tcPr>
          <w:p>
            <w:pPr>
              <w:pStyle w:val="TableParagraph"/>
              <w:spacing w:before="55"/>
              <w:ind w:left="15"/>
              <w:rPr>
                <w:sz w:val="20"/>
              </w:rPr>
            </w:pPr>
            <w:r>
              <w:rPr>
                <w:sz w:val="20"/>
              </w:rPr>
              <w:t>3.5.5</w:t>
            </w:r>
          </w:p>
        </w:tc>
        <w:tc>
          <w:tcPr>
            <w:tcW w:w="7724" w:type="dxa"/>
          </w:tcPr>
          <w:p>
            <w:pPr>
              <w:pStyle w:val="TableParagraph"/>
              <w:spacing w:before="55"/>
              <w:ind w:left="166"/>
              <w:rPr>
                <w:sz w:val="20"/>
              </w:rPr>
            </w:pPr>
            <w:r>
              <w:rPr>
                <w:sz w:val="20"/>
              </w:rPr>
              <w:t>Reporting and Documentation ....................................................................................................</w:t>
            </w:r>
          </w:p>
        </w:tc>
        <w:tc>
          <w:tcPr>
            <w:tcW w:w="548" w:type="dxa"/>
          </w:tcPr>
          <w:p>
            <w:pPr>
              <w:pStyle w:val="TableParagraph"/>
              <w:spacing w:before="55"/>
              <w:ind w:left="45"/>
              <w:rPr>
                <w:sz w:val="20"/>
              </w:rPr>
            </w:pPr>
            <w:r>
              <w:rPr>
                <w:sz w:val="20"/>
              </w:rPr>
              <w:t>3.141</w:t>
            </w:r>
          </w:p>
        </w:tc>
      </w:tr>
      <w:tr>
        <w:trPr>
          <w:trHeight w:val="412" w:hRule="atLeast"/>
        </w:trPr>
        <w:tc>
          <w:tcPr>
            <w:tcW w:w="318" w:type="dxa"/>
            <w:vMerge/>
            <w:tcBorders>
              <w:top w:val="nil"/>
            </w:tcBorders>
          </w:tcPr>
          <w:p>
            <w:pPr>
              <w:rPr>
                <w:sz w:val="2"/>
                <w:szCs w:val="2"/>
              </w:rPr>
            </w:pPr>
          </w:p>
        </w:tc>
        <w:tc>
          <w:tcPr>
            <w:tcW w:w="584" w:type="dxa"/>
          </w:tcPr>
          <w:p>
            <w:pPr>
              <w:pStyle w:val="TableParagraph"/>
              <w:spacing w:before="55"/>
              <w:ind w:left="15"/>
              <w:rPr>
                <w:sz w:val="20"/>
              </w:rPr>
            </w:pPr>
            <w:r>
              <w:rPr>
                <w:sz w:val="20"/>
              </w:rPr>
              <w:t>3.5.6</w:t>
            </w:r>
          </w:p>
        </w:tc>
        <w:tc>
          <w:tcPr>
            <w:tcW w:w="7724" w:type="dxa"/>
          </w:tcPr>
          <w:p>
            <w:pPr>
              <w:pStyle w:val="TableParagraph"/>
              <w:spacing w:before="55"/>
              <w:ind w:left="166"/>
              <w:rPr>
                <w:sz w:val="20"/>
              </w:rPr>
            </w:pPr>
            <w:r>
              <w:rPr>
                <w:sz w:val="20"/>
              </w:rPr>
              <w:t>Inventory Quality Assurance/Quality Control (QA/QC).............................................................</w:t>
            </w:r>
          </w:p>
        </w:tc>
        <w:tc>
          <w:tcPr>
            <w:tcW w:w="548" w:type="dxa"/>
          </w:tcPr>
          <w:p>
            <w:pPr>
              <w:pStyle w:val="TableParagraph"/>
              <w:spacing w:before="55"/>
              <w:ind w:left="45"/>
              <w:rPr>
                <w:sz w:val="20"/>
              </w:rPr>
            </w:pPr>
            <w:r>
              <w:rPr>
                <w:sz w:val="20"/>
              </w:rPr>
              <w:t>3.141</w:t>
            </w:r>
          </w:p>
        </w:tc>
      </w:tr>
      <w:tr>
        <w:trPr>
          <w:trHeight w:val="410" w:hRule="atLeast"/>
        </w:trPr>
        <w:tc>
          <w:tcPr>
            <w:tcW w:w="318" w:type="dxa"/>
          </w:tcPr>
          <w:p>
            <w:pPr>
              <w:pStyle w:val="TableParagraph"/>
              <w:spacing w:before="118"/>
              <w:ind w:right="13"/>
              <w:jc w:val="right"/>
              <w:rPr>
                <w:b/>
                <w:sz w:val="20"/>
              </w:rPr>
            </w:pPr>
            <w:r>
              <w:rPr>
                <w:b/>
                <w:sz w:val="20"/>
              </w:rPr>
              <w:t>3.6</w:t>
            </w:r>
          </w:p>
        </w:tc>
        <w:tc>
          <w:tcPr>
            <w:tcW w:w="584" w:type="dxa"/>
          </w:tcPr>
          <w:p>
            <w:pPr>
              <w:pStyle w:val="TableParagraph"/>
              <w:rPr>
                <w:sz w:val="18"/>
              </w:rPr>
            </w:pPr>
          </w:p>
        </w:tc>
        <w:tc>
          <w:tcPr>
            <w:tcW w:w="7724" w:type="dxa"/>
          </w:tcPr>
          <w:p>
            <w:pPr>
              <w:pStyle w:val="TableParagraph"/>
              <w:spacing w:before="118"/>
              <w:ind w:left="168"/>
              <w:rPr>
                <w:b/>
                <w:sz w:val="20"/>
              </w:rPr>
            </w:pPr>
            <w:r>
              <w:rPr>
                <w:b/>
                <w:sz w:val="20"/>
              </w:rPr>
              <w:t>SETTLEMENTS</w:t>
            </w:r>
          </w:p>
        </w:tc>
        <w:tc>
          <w:tcPr>
            <w:tcW w:w="548" w:type="dxa"/>
          </w:tcPr>
          <w:p>
            <w:pPr>
              <w:pStyle w:val="TableParagraph"/>
              <w:spacing w:before="118"/>
              <w:ind w:left="44"/>
              <w:rPr>
                <w:b/>
                <w:sz w:val="20"/>
              </w:rPr>
            </w:pPr>
            <w:r>
              <w:rPr>
                <w:b/>
                <w:sz w:val="20"/>
              </w:rPr>
              <w:t>3.143</w:t>
            </w:r>
          </w:p>
        </w:tc>
      </w:tr>
      <w:tr>
        <w:trPr>
          <w:trHeight w:val="346" w:hRule="atLeast"/>
        </w:trPr>
        <w:tc>
          <w:tcPr>
            <w:tcW w:w="318" w:type="dxa"/>
          </w:tcPr>
          <w:p>
            <w:pPr>
              <w:pStyle w:val="TableParagraph"/>
              <w:rPr>
                <w:sz w:val="18"/>
              </w:rPr>
            </w:pPr>
          </w:p>
        </w:tc>
        <w:tc>
          <w:tcPr>
            <w:tcW w:w="584" w:type="dxa"/>
          </w:tcPr>
          <w:p>
            <w:pPr>
              <w:pStyle w:val="TableParagraph"/>
              <w:spacing w:before="53"/>
              <w:ind w:left="15"/>
              <w:rPr>
                <w:sz w:val="20"/>
              </w:rPr>
            </w:pPr>
            <w:r>
              <w:rPr>
                <w:sz w:val="20"/>
              </w:rPr>
              <w:t>3.6.1</w:t>
            </w:r>
          </w:p>
        </w:tc>
        <w:tc>
          <w:tcPr>
            <w:tcW w:w="7724" w:type="dxa"/>
          </w:tcPr>
          <w:p>
            <w:pPr>
              <w:pStyle w:val="TableParagraph"/>
              <w:spacing w:before="53"/>
              <w:ind w:left="166"/>
              <w:rPr>
                <w:sz w:val="20"/>
              </w:rPr>
            </w:pPr>
            <w:r>
              <w:rPr>
                <w:sz w:val="20"/>
              </w:rPr>
              <w:t>Settlements Remaining Settlements ............................................................................................</w:t>
            </w:r>
          </w:p>
        </w:tc>
        <w:tc>
          <w:tcPr>
            <w:tcW w:w="548" w:type="dxa"/>
          </w:tcPr>
          <w:p>
            <w:pPr>
              <w:pStyle w:val="TableParagraph"/>
              <w:spacing w:before="53"/>
              <w:ind w:left="45"/>
              <w:rPr>
                <w:sz w:val="20"/>
              </w:rPr>
            </w:pPr>
            <w:r>
              <w:rPr>
                <w:sz w:val="20"/>
              </w:rPr>
              <w:t>3.143</w:t>
            </w:r>
          </w:p>
        </w:tc>
      </w:tr>
      <w:tr>
        <w:trPr>
          <w:trHeight w:val="411" w:hRule="atLeast"/>
        </w:trPr>
        <w:tc>
          <w:tcPr>
            <w:tcW w:w="318" w:type="dxa"/>
          </w:tcPr>
          <w:p>
            <w:pPr>
              <w:pStyle w:val="TableParagraph"/>
              <w:rPr>
                <w:sz w:val="18"/>
              </w:rPr>
            </w:pPr>
          </w:p>
        </w:tc>
        <w:tc>
          <w:tcPr>
            <w:tcW w:w="584" w:type="dxa"/>
          </w:tcPr>
          <w:p>
            <w:pPr>
              <w:pStyle w:val="TableParagraph"/>
              <w:spacing w:before="54"/>
              <w:ind w:left="15"/>
              <w:rPr>
                <w:sz w:val="20"/>
              </w:rPr>
            </w:pPr>
            <w:r>
              <w:rPr>
                <w:sz w:val="20"/>
              </w:rPr>
              <w:t>3.6.2</w:t>
            </w:r>
          </w:p>
        </w:tc>
        <w:tc>
          <w:tcPr>
            <w:tcW w:w="7724" w:type="dxa"/>
          </w:tcPr>
          <w:p>
            <w:pPr>
              <w:pStyle w:val="TableParagraph"/>
              <w:spacing w:before="54"/>
              <w:ind w:left="166"/>
              <w:rPr>
                <w:sz w:val="20"/>
              </w:rPr>
            </w:pPr>
            <w:r>
              <w:rPr>
                <w:sz w:val="20"/>
              </w:rPr>
              <w:t>Land Converted to Settlements ...................................................................................................</w:t>
            </w:r>
          </w:p>
        </w:tc>
        <w:tc>
          <w:tcPr>
            <w:tcW w:w="548" w:type="dxa"/>
          </w:tcPr>
          <w:p>
            <w:pPr>
              <w:pStyle w:val="TableParagraph"/>
              <w:spacing w:before="54"/>
              <w:ind w:left="46"/>
              <w:rPr>
                <w:sz w:val="20"/>
              </w:rPr>
            </w:pPr>
            <w:r>
              <w:rPr>
                <w:sz w:val="20"/>
              </w:rPr>
              <w:t>3.143</w:t>
            </w:r>
          </w:p>
        </w:tc>
      </w:tr>
      <w:tr>
        <w:trPr>
          <w:trHeight w:val="410" w:hRule="atLeast"/>
        </w:trPr>
        <w:tc>
          <w:tcPr>
            <w:tcW w:w="318" w:type="dxa"/>
          </w:tcPr>
          <w:p>
            <w:pPr>
              <w:pStyle w:val="TableParagraph"/>
              <w:spacing w:before="118"/>
              <w:ind w:right="13"/>
              <w:jc w:val="right"/>
              <w:rPr>
                <w:b/>
                <w:sz w:val="20"/>
              </w:rPr>
            </w:pPr>
            <w:r>
              <w:rPr>
                <w:b/>
                <w:sz w:val="20"/>
              </w:rPr>
              <w:t>3.7</w:t>
            </w:r>
          </w:p>
        </w:tc>
        <w:tc>
          <w:tcPr>
            <w:tcW w:w="584" w:type="dxa"/>
          </w:tcPr>
          <w:p>
            <w:pPr>
              <w:pStyle w:val="TableParagraph"/>
              <w:rPr>
                <w:sz w:val="18"/>
              </w:rPr>
            </w:pPr>
          </w:p>
        </w:tc>
        <w:tc>
          <w:tcPr>
            <w:tcW w:w="7724" w:type="dxa"/>
          </w:tcPr>
          <w:p>
            <w:pPr>
              <w:pStyle w:val="TableParagraph"/>
              <w:spacing w:before="118"/>
              <w:ind w:left="168"/>
              <w:rPr>
                <w:b/>
                <w:sz w:val="20"/>
              </w:rPr>
            </w:pPr>
            <w:r>
              <w:rPr>
                <w:b/>
                <w:sz w:val="20"/>
              </w:rPr>
              <w:t>OTHER LAND</w:t>
            </w:r>
          </w:p>
        </w:tc>
        <w:tc>
          <w:tcPr>
            <w:tcW w:w="548" w:type="dxa"/>
          </w:tcPr>
          <w:p>
            <w:pPr>
              <w:pStyle w:val="TableParagraph"/>
              <w:spacing w:before="118"/>
              <w:ind w:left="42"/>
              <w:rPr>
                <w:b/>
                <w:sz w:val="20"/>
              </w:rPr>
            </w:pPr>
            <w:r>
              <w:rPr>
                <w:b/>
                <w:sz w:val="20"/>
              </w:rPr>
              <w:t>3.145</w:t>
            </w:r>
          </w:p>
        </w:tc>
      </w:tr>
      <w:tr>
        <w:trPr>
          <w:trHeight w:val="347" w:hRule="atLeast"/>
        </w:trPr>
        <w:tc>
          <w:tcPr>
            <w:tcW w:w="318" w:type="dxa"/>
          </w:tcPr>
          <w:p>
            <w:pPr>
              <w:pStyle w:val="TableParagraph"/>
              <w:rPr>
                <w:sz w:val="18"/>
              </w:rPr>
            </w:pPr>
          </w:p>
        </w:tc>
        <w:tc>
          <w:tcPr>
            <w:tcW w:w="584" w:type="dxa"/>
          </w:tcPr>
          <w:p>
            <w:pPr>
              <w:pStyle w:val="TableParagraph"/>
              <w:spacing w:before="53"/>
              <w:ind w:left="15"/>
              <w:rPr>
                <w:sz w:val="20"/>
              </w:rPr>
            </w:pPr>
            <w:r>
              <w:rPr>
                <w:sz w:val="20"/>
              </w:rPr>
              <w:t>3.7.1</w:t>
            </w:r>
          </w:p>
        </w:tc>
        <w:tc>
          <w:tcPr>
            <w:tcW w:w="7724" w:type="dxa"/>
          </w:tcPr>
          <w:p>
            <w:pPr>
              <w:pStyle w:val="TableParagraph"/>
              <w:spacing w:before="53"/>
              <w:ind w:left="166"/>
              <w:rPr>
                <w:sz w:val="20"/>
              </w:rPr>
            </w:pPr>
            <w:r>
              <w:rPr>
                <w:sz w:val="20"/>
              </w:rPr>
              <w:t>Other Land Remaining Other Land.............................................................................................</w:t>
            </w:r>
          </w:p>
        </w:tc>
        <w:tc>
          <w:tcPr>
            <w:tcW w:w="548" w:type="dxa"/>
          </w:tcPr>
          <w:p>
            <w:pPr>
              <w:pStyle w:val="TableParagraph"/>
              <w:spacing w:before="53"/>
              <w:ind w:left="45"/>
              <w:rPr>
                <w:sz w:val="20"/>
              </w:rPr>
            </w:pPr>
            <w:r>
              <w:rPr>
                <w:sz w:val="20"/>
              </w:rPr>
              <w:t>3.145</w:t>
            </w:r>
          </w:p>
        </w:tc>
      </w:tr>
      <w:tr>
        <w:trPr>
          <w:trHeight w:val="285" w:hRule="atLeast"/>
        </w:trPr>
        <w:tc>
          <w:tcPr>
            <w:tcW w:w="318" w:type="dxa"/>
          </w:tcPr>
          <w:p>
            <w:pPr>
              <w:pStyle w:val="TableParagraph"/>
              <w:rPr>
                <w:sz w:val="18"/>
              </w:rPr>
            </w:pPr>
          </w:p>
        </w:tc>
        <w:tc>
          <w:tcPr>
            <w:tcW w:w="584" w:type="dxa"/>
          </w:tcPr>
          <w:p>
            <w:pPr>
              <w:pStyle w:val="TableParagraph"/>
              <w:spacing w:line="210" w:lineRule="exact" w:before="55"/>
              <w:ind w:left="15"/>
              <w:rPr>
                <w:sz w:val="20"/>
              </w:rPr>
            </w:pPr>
            <w:r>
              <w:rPr>
                <w:sz w:val="20"/>
              </w:rPr>
              <w:t>3.7.2</w:t>
            </w:r>
          </w:p>
        </w:tc>
        <w:tc>
          <w:tcPr>
            <w:tcW w:w="7724" w:type="dxa"/>
          </w:tcPr>
          <w:p>
            <w:pPr>
              <w:pStyle w:val="TableParagraph"/>
              <w:spacing w:line="210" w:lineRule="exact" w:before="55"/>
              <w:ind w:left="166"/>
              <w:rPr>
                <w:sz w:val="20"/>
              </w:rPr>
            </w:pPr>
            <w:r>
              <w:rPr>
                <w:sz w:val="20"/>
              </w:rPr>
              <w:t>Land Converted to Other Land....................................................................................................</w:t>
            </w:r>
          </w:p>
        </w:tc>
        <w:tc>
          <w:tcPr>
            <w:tcW w:w="548" w:type="dxa"/>
          </w:tcPr>
          <w:p>
            <w:pPr>
              <w:pStyle w:val="TableParagraph"/>
              <w:spacing w:line="210" w:lineRule="exact" w:before="55"/>
              <w:ind w:left="46"/>
              <w:rPr>
                <w:sz w:val="20"/>
              </w:rPr>
            </w:pPr>
            <w:r>
              <w:rPr>
                <w:sz w:val="20"/>
              </w:rPr>
              <w:t>3.145</w:t>
            </w:r>
          </w:p>
        </w:tc>
      </w:tr>
    </w:tbl>
    <w:p>
      <w:pPr>
        <w:pStyle w:val="ListParagraph"/>
        <w:numPr>
          <w:ilvl w:val="3"/>
          <w:numId w:val="32"/>
        </w:numPr>
        <w:tabs>
          <w:tab w:pos="1461" w:val="left" w:leader="none"/>
          <w:tab w:pos="8781" w:val="left" w:leader="dot"/>
        </w:tabs>
        <w:spacing w:line="240" w:lineRule="auto" w:before="120" w:after="0"/>
        <w:ind w:left="1460" w:right="0" w:hanging="735"/>
        <w:jc w:val="left"/>
        <w:rPr>
          <w:sz w:val="20"/>
        </w:rPr>
      </w:pPr>
      <w:r>
        <w:rPr>
          <w:sz w:val="20"/>
        </w:rPr>
        <w:t>Change in carbon stocks in</w:t>
      </w:r>
      <w:r>
        <w:rPr>
          <w:spacing w:val="-13"/>
          <w:sz w:val="20"/>
        </w:rPr>
        <w:t> </w:t>
      </w:r>
      <w:r>
        <w:rPr>
          <w:sz w:val="20"/>
        </w:rPr>
        <w:t>living</w:t>
      </w:r>
      <w:r>
        <w:rPr>
          <w:spacing w:val="-3"/>
          <w:sz w:val="20"/>
        </w:rPr>
        <w:t> </w:t>
      </w:r>
      <w:r>
        <w:rPr>
          <w:sz w:val="20"/>
        </w:rPr>
        <w:t>biomass</w:t>
        <w:tab/>
        <w:t>3.145</w:t>
      </w:r>
    </w:p>
    <w:p>
      <w:pPr>
        <w:pStyle w:val="ListParagraph"/>
        <w:numPr>
          <w:ilvl w:val="3"/>
          <w:numId w:val="32"/>
        </w:numPr>
        <w:tabs>
          <w:tab w:pos="1461" w:val="left" w:leader="none"/>
          <w:tab w:pos="9230" w:val="right" w:leader="dot"/>
        </w:tabs>
        <w:spacing w:line="240" w:lineRule="auto" w:before="121" w:after="0"/>
        <w:ind w:left="1460" w:right="0" w:hanging="735"/>
        <w:jc w:val="left"/>
        <w:rPr>
          <w:sz w:val="20"/>
        </w:rPr>
      </w:pPr>
      <w:r>
        <w:rPr>
          <w:sz w:val="20"/>
        </w:rPr>
        <w:t>Change in carbon stocks</w:t>
      </w:r>
      <w:r>
        <w:rPr>
          <w:spacing w:val="-4"/>
          <w:sz w:val="20"/>
        </w:rPr>
        <w:t> </w:t>
      </w:r>
      <w:r>
        <w:rPr>
          <w:sz w:val="20"/>
        </w:rPr>
        <w:t>in</w:t>
      </w:r>
      <w:r>
        <w:rPr>
          <w:spacing w:val="-1"/>
          <w:sz w:val="20"/>
        </w:rPr>
        <w:t> </w:t>
      </w:r>
      <w:r>
        <w:rPr>
          <w:sz w:val="20"/>
        </w:rPr>
        <w:t>soils</w:t>
        <w:tab/>
        <w:t>3.147</w:t>
      </w:r>
    </w:p>
    <w:p>
      <w:pPr>
        <w:spacing w:after="0" w:line="240" w:lineRule="auto"/>
        <w:jc w:val="left"/>
        <w:rPr>
          <w:sz w:val="20"/>
        </w:rPr>
        <w:sectPr>
          <w:pgSz w:w="11900" w:h="16840"/>
          <w:pgMar w:header="230" w:footer="408" w:top="560" w:bottom="600" w:left="1260" w:right="1240"/>
        </w:sectPr>
      </w:pPr>
    </w:p>
    <w:p>
      <w:pPr>
        <w:pStyle w:val="ListParagraph"/>
        <w:numPr>
          <w:ilvl w:val="2"/>
          <w:numId w:val="32"/>
        </w:numPr>
        <w:tabs>
          <w:tab w:pos="1177" w:val="left" w:leader="none"/>
          <w:tab w:pos="1178" w:val="left" w:leader="none"/>
          <w:tab w:pos="9230" w:val="right" w:leader="dot"/>
        </w:tabs>
        <w:spacing w:line="240" w:lineRule="auto" w:before="439" w:after="0"/>
        <w:ind w:left="1177" w:right="0" w:hanging="735"/>
        <w:jc w:val="left"/>
        <w:rPr>
          <w:sz w:val="20"/>
        </w:rPr>
      </w:pPr>
      <w:r>
        <w:rPr>
          <w:sz w:val="20"/>
        </w:rPr>
        <w:t>Completeness</w:t>
        <w:tab/>
        <w:t>3.149</w:t>
      </w:r>
    </w:p>
    <w:p>
      <w:pPr>
        <w:pStyle w:val="ListParagraph"/>
        <w:numPr>
          <w:ilvl w:val="2"/>
          <w:numId w:val="32"/>
        </w:numPr>
        <w:tabs>
          <w:tab w:pos="1177" w:val="left" w:leader="none"/>
          <w:tab w:pos="1178" w:val="left" w:leader="none"/>
          <w:tab w:pos="9230" w:val="right" w:leader="dot"/>
        </w:tabs>
        <w:spacing w:line="240" w:lineRule="auto" w:before="120" w:after="0"/>
        <w:ind w:left="1177" w:right="0" w:hanging="735"/>
        <w:jc w:val="left"/>
        <w:rPr>
          <w:sz w:val="20"/>
        </w:rPr>
      </w:pPr>
      <w:r>
        <w:rPr>
          <w:sz w:val="20"/>
        </w:rPr>
        <w:t>Developing a Consistent</w:t>
      </w:r>
      <w:r>
        <w:rPr>
          <w:spacing w:val="-1"/>
          <w:sz w:val="20"/>
        </w:rPr>
        <w:t> </w:t>
      </w:r>
      <w:r>
        <w:rPr>
          <w:sz w:val="20"/>
        </w:rPr>
        <w:t>Time</w:t>
      </w:r>
      <w:r>
        <w:rPr>
          <w:spacing w:val="3"/>
          <w:sz w:val="20"/>
        </w:rPr>
        <w:t> </w:t>
      </w:r>
      <w:r>
        <w:rPr>
          <w:sz w:val="20"/>
        </w:rPr>
        <w:t>Series</w:t>
        <w:tab/>
        <w:t>3.149</w:t>
      </w:r>
    </w:p>
    <w:p>
      <w:pPr>
        <w:pStyle w:val="ListParagraph"/>
        <w:numPr>
          <w:ilvl w:val="2"/>
          <w:numId w:val="32"/>
        </w:numPr>
        <w:tabs>
          <w:tab w:pos="1177" w:val="left" w:leader="none"/>
          <w:tab w:pos="1179" w:val="left" w:leader="none"/>
          <w:tab w:pos="9230" w:val="right" w:leader="dot"/>
        </w:tabs>
        <w:spacing w:line="240" w:lineRule="auto" w:before="121" w:after="0"/>
        <w:ind w:left="1178" w:right="0" w:hanging="736"/>
        <w:jc w:val="left"/>
        <w:rPr>
          <w:sz w:val="20"/>
        </w:rPr>
      </w:pPr>
      <w:r>
        <w:rPr>
          <w:sz w:val="20"/>
        </w:rPr>
        <w:t>Reporting</w:t>
      </w:r>
      <w:r>
        <w:rPr>
          <w:spacing w:val="-2"/>
          <w:sz w:val="20"/>
        </w:rPr>
        <w:t> </w:t>
      </w:r>
      <w:r>
        <w:rPr>
          <w:sz w:val="20"/>
        </w:rPr>
        <w:t>and</w:t>
      </w:r>
      <w:r>
        <w:rPr>
          <w:spacing w:val="1"/>
          <w:sz w:val="20"/>
        </w:rPr>
        <w:t> </w:t>
      </w:r>
      <w:r>
        <w:rPr>
          <w:sz w:val="20"/>
        </w:rPr>
        <w:t>Documentation</w:t>
        <w:tab/>
        <w:t>3.149</w:t>
      </w:r>
    </w:p>
    <w:p>
      <w:pPr>
        <w:pStyle w:val="ListParagraph"/>
        <w:numPr>
          <w:ilvl w:val="2"/>
          <w:numId w:val="32"/>
        </w:numPr>
        <w:tabs>
          <w:tab w:pos="1177" w:val="left" w:leader="none"/>
          <w:tab w:pos="1178" w:val="left" w:leader="none"/>
          <w:tab w:pos="9229" w:val="right" w:leader="dot"/>
        </w:tabs>
        <w:spacing w:line="240" w:lineRule="auto" w:before="120" w:after="0"/>
        <w:ind w:left="1177" w:right="0" w:hanging="735"/>
        <w:jc w:val="left"/>
        <w:rPr>
          <w:sz w:val="20"/>
        </w:rPr>
      </w:pPr>
      <w:r>
        <w:rPr>
          <w:sz w:val="20"/>
        </w:rPr>
        <w:t>Inventory Quality Assurance/Quality</w:t>
      </w:r>
      <w:r>
        <w:rPr>
          <w:spacing w:val="-6"/>
          <w:sz w:val="20"/>
        </w:rPr>
        <w:t> </w:t>
      </w:r>
      <w:r>
        <w:rPr>
          <w:sz w:val="20"/>
        </w:rPr>
        <w:t>Control (QA/QC)</w:t>
        <w:tab/>
        <w:t>3.149</w:t>
      </w:r>
    </w:p>
    <w:p>
      <w:pPr>
        <w:tabs>
          <w:tab w:pos="1462" w:val="left" w:leader="none"/>
          <w:tab w:pos="9231" w:val="right" w:leader="none"/>
        </w:tabs>
        <w:spacing w:before="591"/>
        <w:ind w:left="159" w:right="0" w:firstLine="0"/>
        <w:jc w:val="left"/>
        <w:rPr>
          <w:b/>
          <w:sz w:val="20"/>
        </w:rPr>
      </w:pPr>
      <w:r>
        <w:rPr>
          <w:b/>
          <w:sz w:val="20"/>
        </w:rPr>
        <w:t>Annex</w:t>
      </w:r>
      <w:r>
        <w:rPr>
          <w:b/>
          <w:spacing w:val="-2"/>
          <w:sz w:val="20"/>
        </w:rPr>
        <w:t> </w:t>
      </w:r>
      <w:r>
        <w:rPr>
          <w:b/>
          <w:sz w:val="20"/>
        </w:rPr>
        <w:t>3A.1</w:t>
        <w:tab/>
      </w:r>
      <w:r>
        <w:rPr>
          <w:sz w:val="20"/>
        </w:rPr>
        <w:t>Biomass Default Tables for Section 3.2</w:t>
      </w:r>
      <w:r>
        <w:rPr>
          <w:spacing w:val="-3"/>
          <w:sz w:val="20"/>
        </w:rPr>
        <w:t> </w:t>
      </w:r>
      <w:r>
        <w:rPr>
          <w:sz w:val="20"/>
        </w:rPr>
        <w:t>Forest Land</w:t>
        <w:tab/>
      </w:r>
      <w:r>
        <w:rPr>
          <w:b/>
          <w:sz w:val="20"/>
        </w:rPr>
        <w:t>3.151</w:t>
      </w:r>
    </w:p>
    <w:p>
      <w:pPr>
        <w:tabs>
          <w:tab w:pos="1462" w:val="left" w:leader="none"/>
          <w:tab w:pos="9231" w:val="right" w:leader="none"/>
        </w:tabs>
        <w:spacing w:before="238"/>
        <w:ind w:left="159" w:right="0" w:firstLine="0"/>
        <w:jc w:val="left"/>
        <w:rPr>
          <w:b/>
          <w:sz w:val="20"/>
        </w:rPr>
      </w:pPr>
      <w:r>
        <w:rPr>
          <w:b/>
          <w:sz w:val="20"/>
        </w:rPr>
        <w:t>Annex</w:t>
      </w:r>
      <w:r>
        <w:rPr>
          <w:b/>
          <w:spacing w:val="-2"/>
          <w:sz w:val="20"/>
        </w:rPr>
        <w:t> </w:t>
      </w:r>
      <w:r>
        <w:rPr>
          <w:b/>
          <w:sz w:val="20"/>
        </w:rPr>
        <w:t>3A.2</w:t>
        <w:tab/>
      </w:r>
      <w:r>
        <w:rPr>
          <w:sz w:val="20"/>
        </w:rPr>
        <w:t>Reporting Tables</w:t>
      </w:r>
      <w:r>
        <w:rPr>
          <w:spacing w:val="-2"/>
          <w:sz w:val="20"/>
        </w:rPr>
        <w:t> </w:t>
      </w:r>
      <w:r>
        <w:rPr>
          <w:sz w:val="20"/>
        </w:rPr>
        <w:t>and</w:t>
      </w:r>
      <w:r>
        <w:rPr>
          <w:spacing w:val="1"/>
          <w:sz w:val="20"/>
        </w:rPr>
        <w:t> </w:t>
      </w:r>
      <w:r>
        <w:rPr>
          <w:sz w:val="20"/>
        </w:rPr>
        <w:t>Worksheets</w:t>
        <w:tab/>
      </w:r>
      <w:r>
        <w:rPr>
          <w:b/>
          <w:sz w:val="20"/>
        </w:rPr>
        <w:t>3.187</w:t>
      </w:r>
    </w:p>
    <w:p>
      <w:pPr>
        <w:spacing w:before="241"/>
        <w:ind w:left="159" w:right="0" w:firstLine="0"/>
        <w:jc w:val="left"/>
        <w:rPr>
          <w:sz w:val="20"/>
        </w:rPr>
      </w:pPr>
      <w:r>
        <w:rPr>
          <w:b/>
          <w:sz w:val="20"/>
        </w:rPr>
        <w:t>Appendix 3a.1 </w:t>
      </w:r>
      <w:r>
        <w:rPr>
          <w:sz w:val="20"/>
        </w:rPr>
        <w:t>Harvested Wood Products: Basis for Future</w:t>
      </w:r>
    </w:p>
    <w:p>
      <w:pPr>
        <w:pStyle w:val="BodyText"/>
        <w:tabs>
          <w:tab w:pos="9231" w:val="right" w:leader="none"/>
        </w:tabs>
        <w:ind w:left="1462"/>
        <w:rPr>
          <w:b/>
        </w:rPr>
      </w:pPr>
      <w:r>
        <w:rPr/>
        <w:t>Methodological</w:t>
      </w:r>
      <w:r>
        <w:rPr>
          <w:spacing w:val="-1"/>
        </w:rPr>
        <w:t> </w:t>
      </w:r>
      <w:r>
        <w:rPr/>
        <w:t>Development</w:t>
        <w:tab/>
      </w:r>
      <w:r>
        <w:rPr>
          <w:b/>
        </w:rPr>
        <w:t>3.257</w:t>
      </w:r>
    </w:p>
    <w:p>
      <w:pPr>
        <w:spacing w:before="240"/>
        <w:ind w:left="159" w:right="0" w:firstLine="0"/>
        <w:jc w:val="left"/>
        <w:rPr>
          <w:sz w:val="20"/>
        </w:rPr>
      </w:pPr>
      <w:r>
        <w:rPr>
          <w:b/>
          <w:sz w:val="20"/>
        </w:rPr>
        <w:t>Appendix 3a.2 </w:t>
      </w:r>
      <w:r>
        <w:rPr>
          <w:sz w:val="20"/>
        </w:rPr>
        <w:t>Non-CO</w:t>
      </w:r>
      <w:r>
        <w:rPr>
          <w:sz w:val="20"/>
          <w:vertAlign w:val="subscript"/>
        </w:rPr>
        <w:t>2</w:t>
      </w:r>
      <w:r>
        <w:rPr>
          <w:sz w:val="20"/>
          <w:vertAlign w:val="baseline"/>
        </w:rPr>
        <w:t> Emissions from Drainage and Rewetting of Forest</w:t>
      </w:r>
    </w:p>
    <w:p>
      <w:pPr>
        <w:pStyle w:val="BodyText"/>
        <w:tabs>
          <w:tab w:pos="9231" w:val="right" w:leader="none"/>
        </w:tabs>
        <w:spacing w:before="1"/>
        <w:ind w:left="1462"/>
        <w:rPr>
          <w:b/>
        </w:rPr>
      </w:pPr>
      <w:r>
        <w:rPr/>
        <w:t>Soils: Basis For Future Methodological Development</w:t>
        <w:tab/>
      </w:r>
      <w:r>
        <w:rPr>
          <w:b/>
        </w:rPr>
        <w:t>3.273</w:t>
      </w:r>
    </w:p>
    <w:p>
      <w:pPr>
        <w:tabs>
          <w:tab w:pos="9231" w:val="right" w:leader="none"/>
        </w:tabs>
        <w:spacing w:before="238"/>
        <w:ind w:left="159" w:right="0" w:firstLine="0"/>
        <w:jc w:val="left"/>
        <w:rPr>
          <w:b/>
          <w:sz w:val="20"/>
        </w:rPr>
      </w:pPr>
      <w:r>
        <w:rPr>
          <w:b/>
          <w:sz w:val="20"/>
        </w:rPr>
        <w:t>Appendix 3a.3 </w:t>
      </w:r>
      <w:r>
        <w:rPr>
          <w:sz w:val="20"/>
        </w:rPr>
        <w:t>Wetlands Remaining Wetlands: Basis for Future</w:t>
      </w:r>
      <w:r>
        <w:rPr>
          <w:spacing w:val="8"/>
          <w:sz w:val="20"/>
        </w:rPr>
        <w:t> </w:t>
      </w:r>
      <w:r>
        <w:rPr>
          <w:sz w:val="20"/>
        </w:rPr>
        <w:t>Methodological</w:t>
      </w:r>
      <w:r>
        <w:rPr>
          <w:spacing w:val="-2"/>
          <w:sz w:val="20"/>
        </w:rPr>
        <w:t> </w:t>
      </w:r>
      <w:r>
        <w:rPr>
          <w:sz w:val="20"/>
        </w:rPr>
        <w:t>Development</w:t>
        <w:tab/>
      </w:r>
      <w:r>
        <w:rPr>
          <w:b/>
          <w:sz w:val="20"/>
        </w:rPr>
        <w:t>3.277</w:t>
      </w:r>
    </w:p>
    <w:p>
      <w:pPr>
        <w:spacing w:before="240"/>
        <w:ind w:left="159" w:right="0" w:firstLine="0"/>
        <w:jc w:val="left"/>
        <w:rPr>
          <w:sz w:val="20"/>
        </w:rPr>
      </w:pPr>
      <w:r>
        <w:rPr>
          <w:b/>
          <w:sz w:val="20"/>
        </w:rPr>
        <w:t>Appendix 3a.4 </w:t>
      </w:r>
      <w:r>
        <w:rPr>
          <w:sz w:val="20"/>
        </w:rPr>
        <w:t>Settlements: Basis for Future Methodological</w:t>
      </w:r>
    </w:p>
    <w:p>
      <w:pPr>
        <w:tabs>
          <w:tab w:pos="9231" w:val="right" w:leader="none"/>
        </w:tabs>
        <w:spacing w:before="1"/>
        <w:ind w:left="1462" w:right="0" w:firstLine="0"/>
        <w:jc w:val="left"/>
        <w:rPr>
          <w:b/>
          <w:sz w:val="20"/>
        </w:rPr>
      </w:pPr>
      <w:r>
        <w:rPr>
          <w:sz w:val="20"/>
        </w:rPr>
        <w:t>Development</w:t>
        <w:tab/>
      </w:r>
      <w:r>
        <w:rPr>
          <w:b/>
          <w:sz w:val="20"/>
        </w:rPr>
        <w:t>3.295</w:t>
      </w:r>
    </w:p>
    <w:p>
      <w:pPr>
        <w:tabs>
          <w:tab w:pos="9231" w:val="right" w:leader="none"/>
        </w:tabs>
        <w:spacing w:before="245"/>
        <w:ind w:left="159" w:right="0" w:firstLine="0"/>
        <w:jc w:val="left"/>
        <w:rPr>
          <w:b/>
          <w:sz w:val="20"/>
        </w:rPr>
      </w:pPr>
      <w:r>
        <w:rPr>
          <w:b/>
          <w:sz w:val="20"/>
        </w:rPr>
        <w:t>References</w:t>
        <w:tab/>
        <w:t>3.301</w:t>
      </w:r>
    </w:p>
    <w:p>
      <w:pPr>
        <w:spacing w:after="0"/>
        <w:jc w:val="left"/>
        <w:rPr>
          <w:sz w:val="20"/>
        </w:rPr>
        <w:sectPr>
          <w:pgSz w:w="11900" w:h="16840"/>
          <w:pgMar w:header="230" w:footer="408" w:top="560" w:bottom="600" w:left="1260" w:right="1240"/>
        </w:sectPr>
      </w:pPr>
    </w:p>
    <w:p>
      <w:pPr>
        <w:pStyle w:val="BodyText"/>
        <w:rPr>
          <w:b/>
          <w:sz w:val="34"/>
        </w:rPr>
      </w:pPr>
    </w:p>
    <w:p>
      <w:pPr>
        <w:pStyle w:val="BodyText"/>
        <w:rPr>
          <w:b/>
          <w:sz w:val="34"/>
        </w:rPr>
      </w:pPr>
    </w:p>
    <w:p>
      <w:pPr>
        <w:pStyle w:val="BodyText"/>
        <w:spacing w:before="8"/>
        <w:rPr>
          <w:b/>
          <w:sz w:val="43"/>
        </w:rPr>
      </w:pPr>
    </w:p>
    <w:p>
      <w:pPr>
        <w:pStyle w:val="Heading2"/>
        <w:ind w:left="556" w:right="487" w:firstLine="0"/>
        <w:jc w:val="center"/>
      </w:pPr>
      <w:r>
        <w:rPr/>
        <w:t>Equations</w:t>
      </w:r>
    </w:p>
    <w:p>
      <w:pPr>
        <w:pStyle w:val="BodyText"/>
        <w:spacing w:before="5"/>
        <w:rPr>
          <w:b/>
          <w:sz w:val="41"/>
        </w:rPr>
      </w:pPr>
    </w:p>
    <w:p>
      <w:pPr>
        <w:pStyle w:val="BodyText"/>
        <w:tabs>
          <w:tab w:pos="2148" w:val="left" w:leader="none"/>
          <w:tab w:pos="8879" w:val="left" w:leader="dot"/>
        </w:tabs>
        <w:ind w:left="725"/>
      </w:pPr>
      <w:r>
        <w:rPr/>
        <w:t>Equation</w:t>
      </w:r>
      <w:r>
        <w:rPr>
          <w:spacing w:val="-4"/>
        </w:rPr>
        <w:t> </w:t>
      </w:r>
      <w:r>
        <w:rPr/>
        <w:t>3.1.1</w:t>
        <w:tab/>
        <w:t>Annual carbon stock change in a given pool as a function of gains</w:t>
      </w:r>
      <w:r>
        <w:rPr>
          <w:spacing w:val="-33"/>
        </w:rPr>
        <w:t> </w:t>
      </w:r>
      <w:r>
        <w:rPr/>
        <w:t>and</w:t>
      </w:r>
      <w:r>
        <w:rPr>
          <w:spacing w:val="-1"/>
        </w:rPr>
        <w:t> </w:t>
      </w:r>
      <w:r>
        <w:rPr/>
        <w:t>losses</w:t>
        <w:tab/>
        <w:t>3.16</w:t>
      </w:r>
    </w:p>
    <w:p>
      <w:pPr>
        <w:pStyle w:val="BodyText"/>
        <w:tabs>
          <w:tab w:pos="2147" w:val="left" w:leader="none"/>
          <w:tab w:pos="8881" w:val="left" w:leader="dot"/>
        </w:tabs>
        <w:spacing w:before="120"/>
        <w:ind w:left="725"/>
      </w:pPr>
      <w:r>
        <w:rPr/>
        <w:t>Equation</w:t>
      </w:r>
      <w:r>
        <w:rPr>
          <w:spacing w:val="-4"/>
        </w:rPr>
        <w:t> </w:t>
      </w:r>
      <w:r>
        <w:rPr/>
        <w:t>3.1.2</w:t>
        <w:tab/>
        <w:t>Annual carbon stock change in a</w:t>
      </w:r>
      <w:r>
        <w:rPr>
          <w:spacing w:val="-15"/>
        </w:rPr>
        <w:t> </w:t>
      </w:r>
      <w:r>
        <w:rPr/>
        <w:t>given</w:t>
      </w:r>
      <w:r>
        <w:rPr>
          <w:spacing w:val="-3"/>
        </w:rPr>
        <w:t> </w:t>
      </w:r>
      <w:r>
        <w:rPr/>
        <w:t>pool</w:t>
        <w:tab/>
        <w:t>3.16</w:t>
      </w:r>
    </w:p>
    <w:p>
      <w:pPr>
        <w:pStyle w:val="BodyText"/>
        <w:tabs>
          <w:tab w:pos="2150" w:val="left" w:leader="none"/>
          <w:tab w:pos="8879" w:val="left" w:leader="dot"/>
        </w:tabs>
        <w:spacing w:before="118"/>
        <w:ind w:left="725"/>
      </w:pPr>
      <w:r>
        <w:rPr/>
        <w:t>Equation</w:t>
      </w:r>
      <w:r>
        <w:rPr>
          <w:spacing w:val="-3"/>
        </w:rPr>
        <w:t> </w:t>
      </w:r>
      <w:r>
        <w:rPr/>
        <w:t>3.2.1</w:t>
        <w:tab/>
        <w:t>Annual emissions or removals from forest land remaining</w:t>
      </w:r>
      <w:r>
        <w:rPr>
          <w:spacing w:val="-21"/>
        </w:rPr>
        <w:t> </w:t>
      </w:r>
      <w:r>
        <w:rPr/>
        <w:t>forest</w:t>
      </w:r>
      <w:r>
        <w:rPr>
          <w:spacing w:val="-3"/>
        </w:rPr>
        <w:t> </w:t>
      </w:r>
      <w:r>
        <w:rPr/>
        <w:t>land</w:t>
        <w:tab/>
        <w:t>3.23</w:t>
      </w:r>
    </w:p>
    <w:p>
      <w:pPr>
        <w:pStyle w:val="BodyText"/>
        <w:tabs>
          <w:tab w:pos="2149" w:val="left" w:leader="none"/>
        </w:tabs>
        <w:spacing w:before="121"/>
        <w:ind w:left="725"/>
      </w:pPr>
      <w:r>
        <w:rPr/>
        <w:t>Equation</w:t>
      </w:r>
      <w:r>
        <w:rPr>
          <w:spacing w:val="-3"/>
        </w:rPr>
        <w:t> </w:t>
      </w:r>
      <w:r>
        <w:rPr/>
        <w:t>3.2.2</w:t>
        <w:tab/>
        <w:t>Annual change in carbon stocks in living biomass in forest land</w:t>
      </w:r>
      <w:r>
        <w:rPr>
          <w:spacing w:val="-14"/>
        </w:rPr>
        <w:t> </w:t>
      </w:r>
      <w:r>
        <w:rPr/>
        <w:t>remaining</w:t>
      </w:r>
    </w:p>
    <w:p>
      <w:pPr>
        <w:pStyle w:val="BodyText"/>
        <w:tabs>
          <w:tab w:pos="8879" w:val="left" w:leader="dot"/>
        </w:tabs>
        <w:ind w:left="2148"/>
      </w:pPr>
      <w:r>
        <w:rPr/>
        <w:t>forest land</w:t>
      </w:r>
      <w:r>
        <w:rPr>
          <w:spacing w:val="-5"/>
        </w:rPr>
        <w:t> </w:t>
      </w:r>
      <w:r>
        <w:rPr/>
        <w:t>(Default</w:t>
      </w:r>
      <w:r>
        <w:rPr>
          <w:spacing w:val="-3"/>
        </w:rPr>
        <w:t> </w:t>
      </w:r>
      <w:r>
        <w:rPr/>
        <w:t>Method)</w:t>
        <w:tab/>
        <w:t>3.24</w:t>
      </w:r>
    </w:p>
    <w:p>
      <w:pPr>
        <w:pStyle w:val="BodyText"/>
        <w:tabs>
          <w:tab w:pos="2151" w:val="left" w:leader="none"/>
        </w:tabs>
        <w:spacing w:before="121"/>
        <w:ind w:left="725"/>
      </w:pPr>
      <w:r>
        <w:rPr/>
        <w:t>Equation</w:t>
      </w:r>
      <w:r>
        <w:rPr>
          <w:spacing w:val="-3"/>
        </w:rPr>
        <w:t> </w:t>
      </w:r>
      <w:r>
        <w:rPr/>
        <w:t>3.2.3</w:t>
        <w:tab/>
        <w:t>Annual change in carbon stocks in living biomass in forest land</w:t>
      </w:r>
      <w:r>
        <w:rPr>
          <w:spacing w:val="-14"/>
        </w:rPr>
        <w:t> </w:t>
      </w:r>
      <w:r>
        <w:rPr/>
        <w:t>remaining</w:t>
      </w:r>
    </w:p>
    <w:p>
      <w:pPr>
        <w:pStyle w:val="BodyText"/>
        <w:tabs>
          <w:tab w:pos="8881" w:val="left" w:leader="dot"/>
        </w:tabs>
        <w:ind w:left="2151"/>
      </w:pPr>
      <w:r>
        <w:rPr/>
        <w:t>forest land (Stock</w:t>
      </w:r>
      <w:r>
        <w:rPr>
          <w:spacing w:val="-7"/>
        </w:rPr>
        <w:t> </w:t>
      </w:r>
      <w:r>
        <w:rPr/>
        <w:t>Change</w:t>
      </w:r>
      <w:r>
        <w:rPr>
          <w:spacing w:val="-3"/>
        </w:rPr>
        <w:t> </w:t>
      </w:r>
      <w:r>
        <w:rPr/>
        <w:t>Method)</w:t>
        <w:tab/>
        <w:t>3.24</w:t>
      </w:r>
    </w:p>
    <w:p>
      <w:pPr>
        <w:pStyle w:val="BodyText"/>
        <w:tabs>
          <w:tab w:pos="2147" w:val="left" w:leader="none"/>
        </w:tabs>
        <w:spacing w:line="229" w:lineRule="exact" w:before="120"/>
        <w:ind w:left="725"/>
      </w:pPr>
      <w:r>
        <w:rPr/>
        <w:t>Equation</w:t>
      </w:r>
      <w:r>
        <w:rPr>
          <w:spacing w:val="-3"/>
        </w:rPr>
        <w:t> </w:t>
      </w:r>
      <w:r>
        <w:rPr/>
        <w:t>3.2.4</w:t>
        <w:tab/>
        <w:t>Annual increase in carbon stocks due to biomass increment in</w:t>
      </w:r>
      <w:r>
        <w:rPr>
          <w:spacing w:val="-5"/>
        </w:rPr>
        <w:t> </w:t>
      </w:r>
      <w:r>
        <w:rPr/>
        <w:t>forest</w:t>
      </w:r>
    </w:p>
    <w:p>
      <w:pPr>
        <w:pStyle w:val="BodyText"/>
        <w:tabs>
          <w:tab w:pos="8880" w:val="left" w:leader="dot"/>
        </w:tabs>
        <w:spacing w:line="229" w:lineRule="exact"/>
        <w:ind w:left="2199"/>
      </w:pPr>
      <w:r>
        <w:rPr/>
        <w:t>land remaining</w:t>
      </w:r>
      <w:r>
        <w:rPr>
          <w:spacing w:val="-5"/>
        </w:rPr>
        <w:t> </w:t>
      </w:r>
      <w:r>
        <w:rPr/>
        <w:t>forest</w:t>
      </w:r>
      <w:r>
        <w:rPr>
          <w:spacing w:val="-2"/>
        </w:rPr>
        <w:t> </w:t>
      </w:r>
      <w:r>
        <w:rPr/>
        <w:t>land</w:t>
        <w:tab/>
        <w:t>3.25</w:t>
      </w:r>
    </w:p>
    <w:p>
      <w:pPr>
        <w:pStyle w:val="BodyText"/>
        <w:tabs>
          <w:tab w:pos="2148" w:val="left" w:leader="none"/>
          <w:tab w:pos="8881" w:val="left" w:leader="dot"/>
        </w:tabs>
        <w:spacing w:before="121"/>
        <w:ind w:left="725"/>
      </w:pPr>
      <w:r>
        <w:rPr/>
        <w:t>Equation</w:t>
      </w:r>
      <w:r>
        <w:rPr>
          <w:spacing w:val="-3"/>
        </w:rPr>
        <w:t> </w:t>
      </w:r>
      <w:r>
        <w:rPr/>
        <w:t>3.2.5</w:t>
        <w:tab/>
        <w:t>Average annual increment</w:t>
      </w:r>
      <w:r>
        <w:rPr>
          <w:spacing w:val="-7"/>
        </w:rPr>
        <w:t> </w:t>
      </w:r>
      <w:r>
        <w:rPr/>
        <w:t>in</w:t>
      </w:r>
      <w:r>
        <w:rPr>
          <w:spacing w:val="-2"/>
        </w:rPr>
        <w:t> </w:t>
      </w:r>
      <w:r>
        <w:rPr/>
        <w:t>biomass</w:t>
        <w:tab/>
        <w:t>3.26</w:t>
      </w:r>
    </w:p>
    <w:p>
      <w:pPr>
        <w:pStyle w:val="BodyText"/>
        <w:tabs>
          <w:tab w:pos="2147" w:val="left" w:leader="none"/>
        </w:tabs>
        <w:spacing w:before="120"/>
        <w:ind w:left="725"/>
      </w:pPr>
      <w:r>
        <w:rPr/>
        <w:t>Equation</w:t>
      </w:r>
      <w:r>
        <w:rPr>
          <w:spacing w:val="-3"/>
        </w:rPr>
        <w:t> </w:t>
      </w:r>
      <w:r>
        <w:rPr/>
        <w:t>3.2.6</w:t>
        <w:tab/>
        <w:t>Annual decrease in carbon stocks due to biomass loss in forest</w:t>
      </w:r>
      <w:r>
        <w:rPr>
          <w:spacing w:val="-7"/>
        </w:rPr>
        <w:t> </w:t>
      </w:r>
      <w:r>
        <w:rPr/>
        <w:t>land</w:t>
      </w:r>
    </w:p>
    <w:p>
      <w:pPr>
        <w:pStyle w:val="BodyText"/>
        <w:tabs>
          <w:tab w:pos="8881" w:val="left" w:leader="dot"/>
        </w:tabs>
        <w:spacing w:before="1"/>
        <w:ind w:left="2148"/>
      </w:pPr>
      <w:r>
        <w:rPr/>
        <w:t>remaining</w:t>
      </w:r>
      <w:r>
        <w:rPr>
          <w:spacing w:val="-4"/>
        </w:rPr>
        <w:t> </w:t>
      </w:r>
      <w:r>
        <w:rPr/>
        <w:t>forest</w:t>
      </w:r>
      <w:r>
        <w:rPr>
          <w:spacing w:val="-2"/>
        </w:rPr>
        <w:t> </w:t>
      </w:r>
      <w:r>
        <w:rPr/>
        <w:t>land</w:t>
        <w:tab/>
        <w:t>3.26</w:t>
      </w:r>
    </w:p>
    <w:p>
      <w:pPr>
        <w:pStyle w:val="BodyText"/>
        <w:tabs>
          <w:tab w:pos="2148" w:val="left" w:leader="none"/>
          <w:tab w:pos="8882" w:val="left" w:leader="dot"/>
        </w:tabs>
        <w:spacing w:before="120"/>
        <w:ind w:left="725"/>
      </w:pPr>
      <w:r>
        <w:rPr/>
        <w:t>Equation</w:t>
      </w:r>
      <w:r>
        <w:rPr>
          <w:spacing w:val="-3"/>
        </w:rPr>
        <w:t> </w:t>
      </w:r>
      <w:r>
        <w:rPr/>
        <w:t>3.2.7</w:t>
        <w:tab/>
        <w:t>Annual carbon loss due to</w:t>
      </w:r>
      <w:r>
        <w:rPr>
          <w:spacing w:val="-13"/>
        </w:rPr>
        <w:t> </w:t>
      </w:r>
      <w:r>
        <w:rPr/>
        <w:t>commercial</w:t>
      </w:r>
      <w:r>
        <w:rPr>
          <w:spacing w:val="-1"/>
        </w:rPr>
        <w:t> </w:t>
      </w:r>
      <w:r>
        <w:rPr/>
        <w:t>fellings</w:t>
        <w:tab/>
        <w:t>3.27</w:t>
      </w:r>
    </w:p>
    <w:p>
      <w:pPr>
        <w:pStyle w:val="BodyText"/>
        <w:tabs>
          <w:tab w:pos="2147" w:val="left" w:leader="none"/>
          <w:tab w:pos="8880" w:val="left" w:leader="dot"/>
        </w:tabs>
        <w:spacing w:before="118"/>
        <w:ind w:left="725"/>
      </w:pPr>
      <w:r>
        <w:rPr/>
        <w:t>Equation</w:t>
      </w:r>
      <w:r>
        <w:rPr>
          <w:spacing w:val="-4"/>
        </w:rPr>
        <w:t> </w:t>
      </w:r>
      <w:r>
        <w:rPr/>
        <w:t>3.2.8</w:t>
        <w:tab/>
        <w:t>Annual carbon loss due to</w:t>
      </w:r>
      <w:r>
        <w:rPr>
          <w:spacing w:val="-14"/>
        </w:rPr>
        <w:t> </w:t>
      </w:r>
      <w:r>
        <w:rPr/>
        <w:t>fuelwood</w:t>
      </w:r>
      <w:r>
        <w:rPr>
          <w:spacing w:val="-2"/>
        </w:rPr>
        <w:t> </w:t>
      </w:r>
      <w:r>
        <w:rPr/>
        <w:t>gathering</w:t>
        <w:tab/>
        <w:t>3.27</w:t>
      </w:r>
    </w:p>
    <w:p>
      <w:pPr>
        <w:pStyle w:val="BodyText"/>
        <w:tabs>
          <w:tab w:pos="2148" w:val="left" w:leader="none"/>
          <w:tab w:pos="8878" w:val="left" w:leader="dot"/>
        </w:tabs>
        <w:spacing w:before="120"/>
        <w:ind w:left="725"/>
      </w:pPr>
      <w:r>
        <w:rPr/>
        <w:t>Equation</w:t>
      </w:r>
      <w:r>
        <w:rPr>
          <w:spacing w:val="-3"/>
        </w:rPr>
        <w:t> </w:t>
      </w:r>
      <w:r>
        <w:rPr/>
        <w:t>3.2.9</w:t>
        <w:tab/>
        <w:t>Annual other losses</w:t>
      </w:r>
      <w:r>
        <w:rPr>
          <w:spacing w:val="-5"/>
        </w:rPr>
        <w:t> </w:t>
      </w:r>
      <w:r>
        <w:rPr/>
        <w:t>of</w:t>
      </w:r>
      <w:r>
        <w:rPr>
          <w:spacing w:val="-4"/>
        </w:rPr>
        <w:t> </w:t>
      </w:r>
      <w:r>
        <w:rPr/>
        <w:t>carbon</w:t>
        <w:tab/>
        <w:t>3.28</w:t>
      </w:r>
    </w:p>
    <w:p>
      <w:pPr>
        <w:pStyle w:val="BodyText"/>
        <w:spacing w:before="121"/>
        <w:ind w:left="725"/>
      </w:pPr>
      <w:r>
        <w:rPr/>
        <w:t>Equation 3.2.10 Annual change in carbon stocks in dead organic matter in forest land</w:t>
      </w:r>
    </w:p>
    <w:p>
      <w:pPr>
        <w:pStyle w:val="BodyText"/>
        <w:tabs>
          <w:tab w:pos="8881" w:val="left" w:leader="dot"/>
        </w:tabs>
        <w:ind w:left="2148"/>
      </w:pPr>
      <w:r>
        <w:rPr/>
        <w:t>remaining</w:t>
      </w:r>
      <w:r>
        <w:rPr>
          <w:spacing w:val="-4"/>
        </w:rPr>
        <w:t> </w:t>
      </w:r>
      <w:r>
        <w:rPr/>
        <w:t>forest</w:t>
      </w:r>
      <w:r>
        <w:rPr>
          <w:spacing w:val="-2"/>
        </w:rPr>
        <w:t> </w:t>
      </w:r>
      <w:r>
        <w:rPr/>
        <w:t>land</w:t>
        <w:tab/>
        <w:t>3.32</w:t>
      </w:r>
    </w:p>
    <w:p>
      <w:pPr>
        <w:pStyle w:val="BodyText"/>
        <w:spacing w:before="121"/>
        <w:ind w:left="725"/>
      </w:pPr>
      <w:r>
        <w:rPr/>
        <w:t>Equation 3.2.11 Annual change in carbon stocks in dead wood in forest land remaining</w:t>
      </w:r>
    </w:p>
    <w:p>
      <w:pPr>
        <w:pStyle w:val="BodyText"/>
        <w:tabs>
          <w:tab w:pos="8881" w:val="left" w:leader="dot"/>
        </w:tabs>
        <w:ind w:left="2199"/>
      </w:pPr>
      <w:r>
        <w:rPr/>
        <w:t>forest land</w:t>
      </w:r>
      <w:r>
        <w:rPr>
          <w:spacing w:val="-3"/>
        </w:rPr>
        <w:t> </w:t>
      </w:r>
      <w:r>
        <w:rPr/>
        <w:t>(Option</w:t>
      </w:r>
      <w:r>
        <w:rPr>
          <w:spacing w:val="-3"/>
        </w:rPr>
        <w:t> </w:t>
      </w:r>
      <w:r>
        <w:rPr/>
        <w:t>1)</w:t>
        <w:tab/>
        <w:t>3.33</w:t>
      </w:r>
    </w:p>
    <w:p>
      <w:pPr>
        <w:pStyle w:val="BodyText"/>
        <w:spacing w:before="118"/>
        <w:ind w:left="725"/>
      </w:pPr>
      <w:r>
        <w:rPr/>
        <w:t>Equation 3.2.12 Annual change in carbon stocks in dead wood in forest land</w:t>
      </w:r>
    </w:p>
    <w:p>
      <w:pPr>
        <w:pStyle w:val="BodyText"/>
        <w:tabs>
          <w:tab w:pos="8880" w:val="left" w:leader="dot"/>
        </w:tabs>
        <w:spacing w:before="1"/>
        <w:ind w:left="2148"/>
      </w:pPr>
      <w:r>
        <w:rPr/>
        <w:t>remaining forest land</w:t>
      </w:r>
      <w:r>
        <w:rPr>
          <w:spacing w:val="-7"/>
        </w:rPr>
        <w:t> </w:t>
      </w:r>
      <w:r>
        <w:rPr/>
        <w:t>(Option</w:t>
      </w:r>
      <w:r>
        <w:rPr>
          <w:spacing w:val="-1"/>
        </w:rPr>
        <w:t> </w:t>
      </w:r>
      <w:r>
        <w:rPr/>
        <w:t>2)</w:t>
        <w:tab/>
        <w:t>3.34</w:t>
      </w:r>
    </w:p>
    <w:p>
      <w:pPr>
        <w:pStyle w:val="BodyText"/>
        <w:tabs>
          <w:tab w:pos="8883" w:val="left" w:leader="dot"/>
        </w:tabs>
        <w:spacing w:before="120"/>
        <w:ind w:left="725"/>
      </w:pPr>
      <w:r>
        <w:rPr/>
        <w:t>Equation 3.2.13   Annual change in carbon stocks in litter in forest land remaining</w:t>
      </w:r>
      <w:r>
        <w:rPr>
          <w:spacing w:val="-33"/>
        </w:rPr>
        <w:t> </w:t>
      </w:r>
      <w:r>
        <w:rPr/>
        <w:t>forest</w:t>
      </w:r>
      <w:r>
        <w:rPr>
          <w:spacing w:val="-2"/>
        </w:rPr>
        <w:t> </w:t>
      </w:r>
      <w:r>
        <w:rPr/>
        <w:t>land</w:t>
        <w:tab/>
        <w:t>3.35</w:t>
      </w:r>
    </w:p>
    <w:p>
      <w:pPr>
        <w:pStyle w:val="BodyText"/>
        <w:spacing w:before="120"/>
        <w:ind w:left="725"/>
      </w:pPr>
      <w:r>
        <w:rPr/>
        <w:t>Equation 3.2.14 Annual change in carbon stocks in mineral soils in forest land</w:t>
      </w:r>
    </w:p>
    <w:p>
      <w:pPr>
        <w:pStyle w:val="BodyText"/>
        <w:tabs>
          <w:tab w:pos="8881" w:val="left" w:leader="dot"/>
        </w:tabs>
        <w:spacing w:before="1"/>
        <w:ind w:left="2148"/>
      </w:pPr>
      <w:r>
        <w:rPr/>
        <w:t>remaining</w:t>
      </w:r>
      <w:r>
        <w:rPr>
          <w:spacing w:val="-4"/>
        </w:rPr>
        <w:t> </w:t>
      </w:r>
      <w:r>
        <w:rPr/>
        <w:t>forest</w:t>
      </w:r>
      <w:r>
        <w:rPr>
          <w:spacing w:val="-2"/>
        </w:rPr>
        <w:t> </w:t>
      </w:r>
      <w:r>
        <w:rPr/>
        <w:t>land</w:t>
        <w:tab/>
        <w:t>3.40</w:t>
      </w:r>
    </w:p>
    <w:p>
      <w:pPr>
        <w:pStyle w:val="BodyText"/>
        <w:tabs>
          <w:tab w:pos="8879" w:val="left" w:leader="dot"/>
        </w:tabs>
        <w:spacing w:before="120"/>
        <w:ind w:left="725"/>
      </w:pPr>
      <w:r>
        <w:rPr/>
        <w:t>Equation 3.2.15   CO</w:t>
      </w:r>
      <w:r>
        <w:rPr>
          <w:vertAlign w:val="subscript"/>
        </w:rPr>
        <w:t>2</w:t>
      </w:r>
      <w:r>
        <w:rPr>
          <w:vertAlign w:val="baseline"/>
        </w:rPr>
        <w:t> emissions from drained organic</w:t>
      </w:r>
      <w:r>
        <w:rPr>
          <w:spacing w:val="-18"/>
          <w:vertAlign w:val="baseline"/>
        </w:rPr>
        <w:t> </w:t>
      </w:r>
      <w:r>
        <w:rPr>
          <w:vertAlign w:val="baseline"/>
        </w:rPr>
        <w:t>forest</w:t>
      </w:r>
      <w:r>
        <w:rPr>
          <w:spacing w:val="-2"/>
          <w:vertAlign w:val="baseline"/>
        </w:rPr>
        <w:t> </w:t>
      </w:r>
      <w:r>
        <w:rPr>
          <w:vertAlign w:val="baseline"/>
        </w:rPr>
        <w:t>soils</w:t>
        <w:tab/>
        <w:t>3.42</w:t>
      </w:r>
    </w:p>
    <w:p>
      <w:pPr>
        <w:pStyle w:val="BodyText"/>
        <w:tabs>
          <w:tab w:pos="8879" w:val="left" w:leader="dot"/>
        </w:tabs>
        <w:spacing w:before="118"/>
        <w:ind w:left="725"/>
      </w:pPr>
      <w:r>
        <w:rPr/>
        <w:t>Equation 3.2.16   Soil organic</w:t>
      </w:r>
      <w:r>
        <w:rPr>
          <w:spacing w:val="-15"/>
        </w:rPr>
        <w:t> </w:t>
      </w:r>
      <w:r>
        <w:rPr/>
        <w:t>carbon</w:t>
      </w:r>
      <w:r>
        <w:rPr>
          <w:spacing w:val="-4"/>
        </w:rPr>
        <w:t> </w:t>
      </w:r>
      <w:r>
        <w:rPr/>
        <w:t>content</w:t>
        <w:tab/>
        <w:t>3.43</w:t>
      </w:r>
    </w:p>
    <w:p>
      <w:pPr>
        <w:pStyle w:val="BodyText"/>
        <w:tabs>
          <w:tab w:pos="8880" w:val="left" w:leader="dot"/>
        </w:tabs>
        <w:spacing w:before="121"/>
        <w:ind w:left="725"/>
      </w:pPr>
      <w:r>
        <w:rPr/>
        <w:t>Equation 3.2.17   Direct N</w:t>
      </w:r>
      <w:r>
        <w:rPr>
          <w:vertAlign w:val="subscript"/>
        </w:rPr>
        <w:t>2</w:t>
      </w:r>
      <w:r>
        <w:rPr>
          <w:vertAlign w:val="baseline"/>
        </w:rPr>
        <w:t>O emissions from</w:t>
      </w:r>
      <w:r>
        <w:rPr>
          <w:spacing w:val="-21"/>
          <w:vertAlign w:val="baseline"/>
        </w:rPr>
        <w:t> </w:t>
      </w:r>
      <w:r>
        <w:rPr>
          <w:vertAlign w:val="baseline"/>
        </w:rPr>
        <w:t>managed forests</w:t>
        <w:tab/>
        <w:t>3.46</w:t>
      </w:r>
    </w:p>
    <w:p>
      <w:pPr>
        <w:pStyle w:val="BodyText"/>
        <w:tabs>
          <w:tab w:pos="8878" w:val="left" w:leader="dot"/>
        </w:tabs>
        <w:spacing w:before="120"/>
        <w:ind w:left="725"/>
      </w:pPr>
      <w:r>
        <w:rPr/>
        <w:t>Equation 3.2.18   Direct N</w:t>
      </w:r>
      <w:r>
        <w:rPr>
          <w:vertAlign w:val="subscript"/>
        </w:rPr>
        <w:t>2</w:t>
      </w:r>
      <w:r>
        <w:rPr>
          <w:vertAlign w:val="baseline"/>
        </w:rPr>
        <w:t>O emissions from</w:t>
      </w:r>
      <w:r>
        <w:rPr>
          <w:spacing w:val="-15"/>
          <w:vertAlign w:val="baseline"/>
        </w:rPr>
        <w:t> </w:t>
      </w:r>
      <w:r>
        <w:rPr>
          <w:vertAlign w:val="baseline"/>
        </w:rPr>
        <w:t>forest</w:t>
      </w:r>
      <w:r>
        <w:rPr>
          <w:spacing w:val="-1"/>
          <w:vertAlign w:val="baseline"/>
        </w:rPr>
        <w:t> </w:t>
      </w:r>
      <w:r>
        <w:rPr>
          <w:vertAlign w:val="baseline"/>
        </w:rPr>
        <w:t>fertilisation</w:t>
        <w:tab/>
        <w:t>3.46</w:t>
      </w:r>
    </w:p>
    <w:p>
      <w:pPr>
        <w:pStyle w:val="BodyText"/>
        <w:tabs>
          <w:tab w:pos="8879" w:val="left" w:leader="dot"/>
        </w:tabs>
        <w:spacing w:before="121"/>
        <w:ind w:left="725"/>
      </w:pPr>
      <w:r>
        <w:rPr/>
        <w:t>Equation 3.2.19   Estimation of non-CO</w:t>
      </w:r>
      <w:r>
        <w:rPr>
          <w:vertAlign w:val="subscript"/>
        </w:rPr>
        <w:t>2</w:t>
      </w:r>
      <w:r>
        <w:rPr>
          <w:vertAlign w:val="baseline"/>
        </w:rPr>
        <w:t> emissions from</w:t>
      </w:r>
      <w:r>
        <w:rPr>
          <w:spacing w:val="-16"/>
          <w:vertAlign w:val="baseline"/>
        </w:rPr>
        <w:t> </w:t>
      </w:r>
      <w:r>
        <w:rPr>
          <w:vertAlign w:val="baseline"/>
        </w:rPr>
        <w:t>C</w:t>
      </w:r>
      <w:r>
        <w:rPr>
          <w:spacing w:val="-3"/>
          <w:vertAlign w:val="baseline"/>
        </w:rPr>
        <w:t> </w:t>
      </w:r>
      <w:r>
        <w:rPr>
          <w:vertAlign w:val="baseline"/>
        </w:rPr>
        <w:t>released</w:t>
        <w:tab/>
        <w:t>3.49</w:t>
      </w:r>
    </w:p>
    <w:p>
      <w:pPr>
        <w:pStyle w:val="BodyText"/>
        <w:tabs>
          <w:tab w:pos="8880" w:val="left" w:leader="dot"/>
        </w:tabs>
        <w:spacing w:before="120"/>
        <w:ind w:left="725"/>
      </w:pPr>
      <w:r>
        <w:rPr/>
        <w:t>Equation 3.2.20   Estimation of GHGs directly released</w:t>
      </w:r>
      <w:r>
        <w:rPr>
          <w:spacing w:val="-20"/>
        </w:rPr>
        <w:t> </w:t>
      </w:r>
      <w:r>
        <w:rPr/>
        <w:t>in</w:t>
      </w:r>
      <w:r>
        <w:rPr>
          <w:spacing w:val="-2"/>
        </w:rPr>
        <w:t> </w:t>
      </w:r>
      <w:r>
        <w:rPr/>
        <w:t>fires</w:t>
        <w:tab/>
        <w:t>3.49</w:t>
      </w:r>
    </w:p>
    <w:p>
      <w:pPr>
        <w:pStyle w:val="BodyText"/>
        <w:tabs>
          <w:tab w:pos="8882" w:val="left" w:leader="dot"/>
        </w:tabs>
        <w:spacing w:before="118"/>
        <w:ind w:left="725"/>
      </w:pPr>
      <w:r>
        <w:rPr/>
        <w:t>Equation 3.2.21   Annual change in carbon stocks in land converted to</w:t>
      </w:r>
      <w:r>
        <w:rPr>
          <w:spacing w:val="-31"/>
        </w:rPr>
        <w:t> </w:t>
      </w:r>
      <w:r>
        <w:rPr/>
        <w:t>forest</w:t>
      </w:r>
      <w:r>
        <w:rPr>
          <w:spacing w:val="-3"/>
        </w:rPr>
        <w:t> </w:t>
      </w:r>
      <w:r>
        <w:rPr/>
        <w:t>land</w:t>
        <w:tab/>
        <w:t>3.51</w:t>
      </w:r>
    </w:p>
    <w:p>
      <w:pPr>
        <w:pStyle w:val="BodyText"/>
        <w:spacing w:before="120"/>
        <w:ind w:left="725"/>
      </w:pPr>
      <w:r>
        <w:rPr/>
        <w:t>Equation 3.2.22 Annual change in carbon stocks in living biomass in land converted to</w:t>
      </w:r>
    </w:p>
    <w:p>
      <w:pPr>
        <w:pStyle w:val="BodyText"/>
        <w:tabs>
          <w:tab w:pos="8881" w:val="left" w:leader="dot"/>
        </w:tabs>
        <w:spacing w:before="1"/>
        <w:ind w:left="2148"/>
      </w:pPr>
      <w:r>
        <w:rPr/>
        <w:t>forest land</w:t>
      </w:r>
      <w:r>
        <w:rPr>
          <w:spacing w:val="-2"/>
        </w:rPr>
        <w:t> </w:t>
      </w:r>
      <w:r>
        <w:rPr/>
        <w:t>(Tier 1)</w:t>
        <w:tab/>
        <w:t>3.51</w:t>
      </w:r>
    </w:p>
    <w:p>
      <w:pPr>
        <w:pStyle w:val="BodyText"/>
        <w:spacing w:before="120"/>
        <w:ind w:left="725"/>
      </w:pPr>
      <w:r>
        <w:rPr/>
        <w:t>Equation 3.2.23 Annual increase in carbon stocks in living biomass in land converted</w:t>
      </w:r>
    </w:p>
    <w:p>
      <w:pPr>
        <w:pStyle w:val="BodyText"/>
        <w:tabs>
          <w:tab w:pos="8879" w:val="left" w:leader="dot"/>
        </w:tabs>
        <w:spacing w:before="1"/>
        <w:ind w:left="2148"/>
      </w:pPr>
      <w:r>
        <w:rPr/>
        <w:t>to</w:t>
      </w:r>
      <w:r>
        <w:rPr>
          <w:spacing w:val="-1"/>
        </w:rPr>
        <w:t> </w:t>
      </w:r>
      <w:r>
        <w:rPr/>
        <w:t>forest</w:t>
      </w:r>
      <w:r>
        <w:rPr>
          <w:spacing w:val="-2"/>
        </w:rPr>
        <w:t> </w:t>
      </w:r>
      <w:r>
        <w:rPr/>
        <w:t>land</w:t>
        <w:tab/>
        <w:t>3.52</w:t>
      </w:r>
    </w:p>
    <w:p>
      <w:pPr>
        <w:pStyle w:val="BodyText"/>
        <w:spacing w:line="229" w:lineRule="exact" w:before="120"/>
        <w:ind w:left="725"/>
      </w:pPr>
      <w:r>
        <w:rPr/>
        <w:t>Equation 3.2.24 Annual decrease in carbon stocks in living biomass due to losses in land</w:t>
      </w:r>
    </w:p>
    <w:p>
      <w:pPr>
        <w:pStyle w:val="BodyText"/>
        <w:tabs>
          <w:tab w:pos="8881" w:val="left" w:leader="dot"/>
        </w:tabs>
        <w:spacing w:line="229" w:lineRule="exact"/>
        <w:ind w:left="2148"/>
      </w:pPr>
      <w:r>
        <w:rPr/>
        <w:t>converted to</w:t>
      </w:r>
      <w:r>
        <w:rPr>
          <w:spacing w:val="-4"/>
        </w:rPr>
        <w:t> </w:t>
      </w:r>
      <w:r>
        <w:rPr/>
        <w:t>forest</w:t>
      </w:r>
      <w:r>
        <w:rPr>
          <w:spacing w:val="-3"/>
        </w:rPr>
        <w:t> </w:t>
      </w:r>
      <w:r>
        <w:rPr/>
        <w:t>land</w:t>
        <w:tab/>
        <w:t>3.52</w:t>
      </w:r>
    </w:p>
    <w:p>
      <w:pPr>
        <w:pStyle w:val="BodyText"/>
        <w:spacing w:before="120"/>
        <w:ind w:left="725"/>
      </w:pPr>
      <w:r>
        <w:rPr/>
        <w:t>Equation 3.2.25 Annual change in carbon stocks in living biomass in land converted to</w:t>
      </w:r>
    </w:p>
    <w:p>
      <w:pPr>
        <w:pStyle w:val="BodyText"/>
        <w:tabs>
          <w:tab w:pos="8881" w:val="left" w:leader="dot"/>
        </w:tabs>
        <w:spacing w:before="1"/>
        <w:ind w:left="2148"/>
      </w:pPr>
      <w:r>
        <w:rPr/>
        <w:t>forest land</w:t>
      </w:r>
      <w:r>
        <w:rPr>
          <w:spacing w:val="-2"/>
        </w:rPr>
        <w:t> </w:t>
      </w:r>
      <w:r>
        <w:rPr/>
        <w:t>(Tier 2)</w:t>
        <w:tab/>
        <w:t>3.53</w:t>
      </w:r>
    </w:p>
    <w:p>
      <w:pPr>
        <w:pStyle w:val="BodyText"/>
        <w:spacing w:before="120"/>
        <w:ind w:left="725"/>
      </w:pPr>
      <w:r>
        <w:rPr/>
        <w:t>Equation 3.2.26 Change in carbon stocks in living biomass in land annually converted to</w:t>
      </w:r>
    </w:p>
    <w:p>
      <w:pPr>
        <w:pStyle w:val="BodyText"/>
        <w:tabs>
          <w:tab w:pos="8879" w:val="left" w:leader="dot"/>
        </w:tabs>
        <w:spacing w:before="1"/>
        <w:ind w:left="2148"/>
      </w:pPr>
      <w:r>
        <w:rPr/>
        <w:t>forest</w:t>
      </w:r>
      <w:r>
        <w:rPr>
          <w:spacing w:val="-3"/>
        </w:rPr>
        <w:t> </w:t>
      </w:r>
      <w:r>
        <w:rPr/>
        <w:t>land</w:t>
        <w:tab/>
        <w:t>3.53</w:t>
      </w:r>
    </w:p>
    <w:p>
      <w:pPr>
        <w:spacing w:after="0"/>
        <w:sectPr>
          <w:pgSz w:w="11900" w:h="16840"/>
          <w:pgMar w:header="230" w:footer="408" w:top="560" w:bottom="600" w:left="1260" w:right="1240"/>
        </w:sectPr>
      </w:pPr>
    </w:p>
    <w:p>
      <w:pPr>
        <w:pStyle w:val="BodyText"/>
      </w:pPr>
    </w:p>
    <w:p>
      <w:pPr>
        <w:pStyle w:val="BodyText"/>
        <w:tabs>
          <w:tab w:pos="9231" w:val="right" w:leader="dot"/>
        </w:tabs>
        <w:spacing w:before="209"/>
        <w:ind w:left="725"/>
      </w:pPr>
      <w:r>
        <w:rPr/>
        <w:t>Equation 3.2.27   Annual change in carbon stocks in dead wood in land converted to</w:t>
      </w:r>
      <w:r>
        <w:rPr>
          <w:spacing w:val="-31"/>
        </w:rPr>
        <w:t> </w:t>
      </w:r>
      <w:r>
        <w:rPr/>
        <w:t>forest</w:t>
      </w:r>
      <w:r>
        <w:rPr>
          <w:spacing w:val="-2"/>
        </w:rPr>
        <w:t> </w:t>
      </w:r>
      <w:r>
        <w:rPr/>
        <w:t>land</w:t>
        <w:tab/>
        <w:t>3.57</w:t>
      </w:r>
    </w:p>
    <w:p>
      <w:pPr>
        <w:pStyle w:val="BodyText"/>
        <w:tabs>
          <w:tab w:pos="9231" w:val="right" w:leader="dot"/>
        </w:tabs>
        <w:spacing w:before="121"/>
        <w:ind w:left="725"/>
      </w:pPr>
      <w:r>
        <w:rPr/>
        <w:t>Equation 3.2.28   Annual change in carbon stocks in dead wood in land converted to</w:t>
      </w:r>
      <w:r>
        <w:rPr>
          <w:spacing w:val="-31"/>
        </w:rPr>
        <w:t> </w:t>
      </w:r>
      <w:r>
        <w:rPr/>
        <w:t>forest</w:t>
      </w:r>
      <w:r>
        <w:rPr>
          <w:spacing w:val="-2"/>
        </w:rPr>
        <w:t> </w:t>
      </w:r>
      <w:r>
        <w:rPr/>
        <w:t>land</w:t>
        <w:tab/>
        <w:t>3.57</w:t>
      </w:r>
    </w:p>
    <w:p>
      <w:pPr>
        <w:pStyle w:val="BodyText"/>
        <w:tabs>
          <w:tab w:pos="9234" w:val="right" w:leader="dot"/>
        </w:tabs>
        <w:spacing w:before="120"/>
        <w:ind w:left="725"/>
      </w:pPr>
      <w:r>
        <w:rPr/>
        <w:t>Equation 3.2.29   Annual change in carbon stocks in litter in land converted to</w:t>
      </w:r>
      <w:r>
        <w:rPr>
          <w:spacing w:val="-17"/>
        </w:rPr>
        <w:t> </w:t>
      </w:r>
      <w:r>
        <w:rPr/>
        <w:t>forest</w:t>
      </w:r>
      <w:r>
        <w:rPr>
          <w:spacing w:val="-1"/>
        </w:rPr>
        <w:t> </w:t>
      </w:r>
      <w:r>
        <w:rPr/>
        <w:t>land</w:t>
        <w:tab/>
        <w:t>3.58</w:t>
      </w:r>
    </w:p>
    <w:p>
      <w:pPr>
        <w:pStyle w:val="BodyText"/>
        <w:tabs>
          <w:tab w:pos="9234" w:val="right" w:leader="dot"/>
        </w:tabs>
        <w:spacing w:before="120"/>
        <w:ind w:left="725"/>
      </w:pPr>
      <w:r>
        <w:rPr/>
        <w:t>Equation 3.2.30   Annual change in carbon stocks in litter in land converted to</w:t>
      </w:r>
      <w:r>
        <w:rPr>
          <w:spacing w:val="-17"/>
        </w:rPr>
        <w:t> </w:t>
      </w:r>
      <w:r>
        <w:rPr/>
        <w:t>forest</w:t>
      </w:r>
      <w:r>
        <w:rPr>
          <w:spacing w:val="-1"/>
        </w:rPr>
        <w:t> </w:t>
      </w:r>
      <w:r>
        <w:rPr/>
        <w:t>land</w:t>
        <w:tab/>
        <w:t>3.58</w:t>
      </w:r>
    </w:p>
    <w:p>
      <w:pPr>
        <w:pStyle w:val="BodyText"/>
        <w:tabs>
          <w:tab w:pos="9231" w:val="right" w:leader="dot"/>
        </w:tabs>
        <w:spacing w:before="121"/>
        <w:ind w:left="725"/>
      </w:pPr>
      <w:r>
        <w:rPr/>
        <w:t>Equation 3.2.31   Annual change in carbon stocks in mineral soils in land converted to</w:t>
      </w:r>
      <w:r>
        <w:rPr>
          <w:spacing w:val="-30"/>
        </w:rPr>
        <w:t> </w:t>
      </w:r>
      <w:r>
        <w:rPr/>
        <w:t>forest</w:t>
      </w:r>
      <w:r>
        <w:rPr>
          <w:spacing w:val="-2"/>
        </w:rPr>
        <w:t> </w:t>
      </w:r>
      <w:r>
        <w:rPr/>
        <w:t>land</w:t>
        <w:tab/>
        <w:t>3.62</w:t>
      </w:r>
    </w:p>
    <w:p>
      <w:pPr>
        <w:pStyle w:val="BodyText"/>
        <w:tabs>
          <w:tab w:pos="9230" w:val="right" w:leader="dot"/>
        </w:tabs>
        <w:spacing w:before="120"/>
        <w:ind w:left="725"/>
      </w:pPr>
      <w:r>
        <w:rPr/>
        <w:t>Equation 3.2.32   Annual change in carbon stocks in mineral soils</w:t>
      </w:r>
      <w:r>
        <w:rPr>
          <w:spacing w:val="-15"/>
        </w:rPr>
        <w:t> </w:t>
      </w:r>
      <w:r>
        <w:rPr/>
        <w:t>upon</w:t>
      </w:r>
      <w:r>
        <w:rPr>
          <w:spacing w:val="-2"/>
        </w:rPr>
        <w:t> </w:t>
      </w:r>
      <w:r>
        <w:rPr/>
        <w:t>afforestation1</w:t>
        <w:tab/>
        <w:t>3.63</w:t>
      </w:r>
    </w:p>
    <w:p>
      <w:pPr>
        <w:pStyle w:val="BodyText"/>
        <w:tabs>
          <w:tab w:pos="9233" w:val="right" w:leader="dot"/>
        </w:tabs>
        <w:spacing w:before="118"/>
        <w:ind w:left="725"/>
      </w:pPr>
      <w:r>
        <w:rPr/>
        <w:t>Equation 3.2.33   CO</w:t>
      </w:r>
      <w:r>
        <w:rPr>
          <w:vertAlign w:val="subscript"/>
        </w:rPr>
        <w:t>2</w:t>
      </w:r>
      <w:r>
        <w:rPr>
          <w:vertAlign w:val="baseline"/>
        </w:rPr>
        <w:t> emissions from drained organic soils in land converted to</w:t>
      </w:r>
      <w:r>
        <w:rPr>
          <w:spacing w:val="-16"/>
          <w:vertAlign w:val="baseline"/>
        </w:rPr>
        <w:t> </w:t>
      </w:r>
      <w:r>
        <w:rPr>
          <w:vertAlign w:val="baseline"/>
        </w:rPr>
        <w:t>forest</w:t>
      </w:r>
      <w:r>
        <w:rPr>
          <w:spacing w:val="-1"/>
          <w:vertAlign w:val="baseline"/>
        </w:rPr>
        <w:t> </w:t>
      </w:r>
      <w:r>
        <w:rPr>
          <w:vertAlign w:val="baseline"/>
        </w:rPr>
        <w:t>land</w:t>
        <w:tab/>
        <w:t>3.63</w:t>
      </w:r>
    </w:p>
    <w:p>
      <w:pPr>
        <w:pStyle w:val="BodyText"/>
        <w:tabs>
          <w:tab w:pos="2148" w:val="left" w:leader="none"/>
          <w:tab w:pos="9232" w:val="right" w:leader="dot"/>
        </w:tabs>
        <w:spacing w:before="121"/>
        <w:ind w:left="725"/>
      </w:pPr>
      <w:r>
        <w:rPr/>
        <w:t>Equation</w:t>
      </w:r>
      <w:r>
        <w:rPr>
          <w:spacing w:val="-3"/>
        </w:rPr>
        <w:t> </w:t>
      </w:r>
      <w:r>
        <w:rPr/>
        <w:t>3.3.1</w:t>
        <w:tab/>
        <w:t>Annual change in carbon stocks in cropland</w:t>
      </w:r>
      <w:r>
        <w:rPr>
          <w:spacing w:val="-8"/>
        </w:rPr>
        <w:t> </w:t>
      </w:r>
      <w:r>
        <w:rPr/>
        <w:t>remaining</w:t>
      </w:r>
      <w:r>
        <w:rPr>
          <w:spacing w:val="-2"/>
        </w:rPr>
        <w:t> </w:t>
      </w:r>
      <w:r>
        <w:rPr/>
        <w:t>cropland</w:t>
        <w:tab/>
        <w:t>3.70</w:t>
      </w:r>
    </w:p>
    <w:p>
      <w:pPr>
        <w:pStyle w:val="BodyText"/>
        <w:tabs>
          <w:tab w:pos="2148" w:val="left" w:leader="none"/>
          <w:tab w:pos="9231" w:val="right" w:leader="dot"/>
        </w:tabs>
        <w:spacing w:before="120"/>
        <w:ind w:left="725"/>
      </w:pPr>
      <w:r>
        <w:rPr/>
        <w:t>Equation</w:t>
      </w:r>
      <w:r>
        <w:rPr>
          <w:spacing w:val="-3"/>
        </w:rPr>
        <w:t> </w:t>
      </w:r>
      <w:r>
        <w:rPr/>
        <w:t>3.3.2</w:t>
        <w:tab/>
        <w:t>Annual change in carbon stocks in soils in cropland</w:t>
      </w:r>
      <w:r>
        <w:rPr>
          <w:spacing w:val="-14"/>
        </w:rPr>
        <w:t> </w:t>
      </w:r>
      <w:r>
        <w:rPr/>
        <w:t>remaining</w:t>
      </w:r>
      <w:r>
        <w:rPr>
          <w:spacing w:val="-2"/>
        </w:rPr>
        <w:t> </w:t>
      </w:r>
      <w:r>
        <w:rPr/>
        <w:t>cropland</w:t>
        <w:tab/>
        <w:t>3.74</w:t>
      </w:r>
    </w:p>
    <w:p>
      <w:pPr>
        <w:pStyle w:val="BodyText"/>
        <w:tabs>
          <w:tab w:pos="2148" w:val="left" w:leader="none"/>
          <w:tab w:pos="9230" w:val="right" w:leader="dot"/>
        </w:tabs>
        <w:spacing w:before="120"/>
        <w:ind w:left="725"/>
      </w:pPr>
      <w:r>
        <w:rPr/>
        <w:t>Equation</w:t>
      </w:r>
      <w:r>
        <w:rPr>
          <w:spacing w:val="-3"/>
        </w:rPr>
        <w:t> </w:t>
      </w:r>
      <w:r>
        <w:rPr/>
        <w:t>3.3.3</w:t>
        <w:tab/>
        <w:t>Annual change in carbon stocks in mineral soils for a single</w:t>
      </w:r>
      <w:r>
        <w:rPr>
          <w:spacing w:val="-14"/>
        </w:rPr>
        <w:t> </w:t>
      </w:r>
      <w:r>
        <w:rPr/>
        <w:t>cropland system</w:t>
        <w:tab/>
        <w:t>3.75</w:t>
      </w:r>
    </w:p>
    <w:p>
      <w:pPr>
        <w:pStyle w:val="BodyText"/>
        <w:tabs>
          <w:tab w:pos="2147" w:val="left" w:leader="none"/>
          <w:tab w:pos="9229" w:val="right" w:leader="dot"/>
        </w:tabs>
        <w:spacing w:before="121"/>
        <w:ind w:left="725"/>
      </w:pPr>
      <w:r>
        <w:rPr/>
        <w:t>Equation</w:t>
      </w:r>
      <w:r>
        <w:rPr>
          <w:spacing w:val="-3"/>
        </w:rPr>
        <w:t> </w:t>
      </w:r>
      <w:r>
        <w:rPr/>
        <w:t>3.3.4</w:t>
        <w:tab/>
        <w:t>Annual change in carbon stocks in mineral soils in cropland</w:t>
      </w:r>
      <w:r>
        <w:rPr>
          <w:spacing w:val="-21"/>
        </w:rPr>
        <w:t> </w:t>
      </w:r>
      <w:r>
        <w:rPr/>
        <w:t>remaining</w:t>
      </w:r>
      <w:r>
        <w:rPr>
          <w:spacing w:val="-3"/>
        </w:rPr>
        <w:t> </w:t>
      </w:r>
      <w:r>
        <w:rPr/>
        <w:t>cropland</w:t>
        <w:tab/>
        <w:t>3.78</w:t>
      </w:r>
    </w:p>
    <w:p>
      <w:pPr>
        <w:pStyle w:val="BodyText"/>
        <w:tabs>
          <w:tab w:pos="2149" w:val="left" w:leader="none"/>
          <w:tab w:pos="9231" w:val="right" w:leader="dot"/>
        </w:tabs>
        <w:spacing w:before="118"/>
        <w:ind w:left="725"/>
      </w:pPr>
      <w:r>
        <w:rPr/>
        <w:t>Equation</w:t>
      </w:r>
      <w:r>
        <w:rPr>
          <w:spacing w:val="-3"/>
        </w:rPr>
        <w:t> </w:t>
      </w:r>
      <w:r>
        <w:rPr/>
        <w:t>3.3.5</w:t>
        <w:tab/>
        <w:t>CO</w:t>
      </w:r>
      <w:r>
        <w:rPr>
          <w:vertAlign w:val="subscript"/>
        </w:rPr>
        <w:t>2</w:t>
      </w:r>
      <w:r>
        <w:rPr>
          <w:vertAlign w:val="baseline"/>
        </w:rPr>
        <w:t> emissions from cultivated organic soils in cropland</w:t>
      </w:r>
      <w:r>
        <w:rPr>
          <w:spacing w:val="-15"/>
          <w:vertAlign w:val="baseline"/>
        </w:rPr>
        <w:t> </w:t>
      </w:r>
      <w:r>
        <w:rPr>
          <w:vertAlign w:val="baseline"/>
        </w:rPr>
        <w:t>remaining</w:t>
      </w:r>
      <w:r>
        <w:rPr>
          <w:spacing w:val="-3"/>
          <w:vertAlign w:val="baseline"/>
        </w:rPr>
        <w:t> </w:t>
      </w:r>
      <w:r>
        <w:rPr>
          <w:vertAlign w:val="baseline"/>
        </w:rPr>
        <w:t>cropland</w:t>
        <w:tab/>
        <w:t>3.79</w:t>
      </w:r>
    </w:p>
    <w:p>
      <w:pPr>
        <w:pStyle w:val="BodyText"/>
        <w:tabs>
          <w:tab w:pos="2147" w:val="left" w:leader="none"/>
          <w:tab w:pos="9232" w:val="right" w:leader="dot"/>
        </w:tabs>
        <w:spacing w:before="120"/>
        <w:ind w:left="725"/>
      </w:pPr>
      <w:r>
        <w:rPr/>
        <w:t>Equation</w:t>
      </w:r>
      <w:r>
        <w:rPr>
          <w:spacing w:val="-3"/>
        </w:rPr>
        <w:t> </w:t>
      </w:r>
      <w:r>
        <w:rPr/>
        <w:t>3.3.6</w:t>
        <w:tab/>
        <w:t>Annual carbon emissions from agricultural</w:t>
      </w:r>
      <w:r>
        <w:rPr>
          <w:spacing w:val="-4"/>
        </w:rPr>
        <w:t> </w:t>
      </w:r>
      <w:r>
        <w:rPr/>
        <w:t>lime</w:t>
      </w:r>
      <w:r>
        <w:rPr>
          <w:spacing w:val="-1"/>
        </w:rPr>
        <w:t> </w:t>
      </w:r>
      <w:r>
        <w:rPr/>
        <w:t>application</w:t>
        <w:tab/>
        <w:t>3.80</w:t>
      </w:r>
    </w:p>
    <w:p>
      <w:pPr>
        <w:pStyle w:val="BodyText"/>
        <w:tabs>
          <w:tab w:pos="2148" w:val="left" w:leader="none"/>
          <w:tab w:pos="9233" w:val="right" w:leader="dot"/>
        </w:tabs>
        <w:spacing w:before="121"/>
        <w:ind w:left="725"/>
      </w:pPr>
      <w:r>
        <w:rPr/>
        <w:t>Equation</w:t>
      </w:r>
      <w:r>
        <w:rPr>
          <w:spacing w:val="-3"/>
        </w:rPr>
        <w:t> </w:t>
      </w:r>
      <w:r>
        <w:rPr/>
        <w:t>3.3.7</w:t>
        <w:tab/>
        <w:t>Total change in carbon stocks in land converted</w:t>
      </w:r>
      <w:r>
        <w:rPr>
          <w:spacing w:val="-3"/>
        </w:rPr>
        <w:t> </w:t>
      </w:r>
      <w:r>
        <w:rPr/>
        <w:t>to cropland</w:t>
        <w:tab/>
        <w:t>3.83</w:t>
      </w:r>
    </w:p>
    <w:p>
      <w:pPr>
        <w:pStyle w:val="BodyText"/>
        <w:tabs>
          <w:tab w:pos="2148" w:val="left" w:leader="none"/>
          <w:tab w:pos="9229" w:val="right" w:leader="dot"/>
        </w:tabs>
        <w:spacing w:before="120"/>
        <w:ind w:left="725"/>
      </w:pPr>
      <w:r>
        <w:rPr/>
        <w:t>Equation</w:t>
      </w:r>
      <w:r>
        <w:rPr>
          <w:spacing w:val="-3"/>
        </w:rPr>
        <w:t> </w:t>
      </w:r>
      <w:r>
        <w:rPr/>
        <w:t>3.3.8</w:t>
        <w:tab/>
        <w:t>Annual change in carbon stocks in living biomass in land converted</w:t>
      </w:r>
      <w:r>
        <w:rPr>
          <w:spacing w:val="-23"/>
        </w:rPr>
        <w:t> </w:t>
      </w:r>
      <w:r>
        <w:rPr/>
        <w:t>to</w:t>
      </w:r>
      <w:r>
        <w:rPr>
          <w:spacing w:val="-1"/>
        </w:rPr>
        <w:t> </w:t>
      </w:r>
      <w:r>
        <w:rPr/>
        <w:t>cropland</w:t>
        <w:tab/>
        <w:t>3.85</w:t>
      </w:r>
    </w:p>
    <w:p>
      <w:pPr>
        <w:pStyle w:val="BodyText"/>
        <w:tabs>
          <w:tab w:pos="2147" w:val="left" w:leader="none"/>
          <w:tab w:pos="9232" w:val="right" w:leader="dot"/>
        </w:tabs>
        <w:spacing w:before="121"/>
        <w:ind w:left="725"/>
      </w:pPr>
      <w:r>
        <w:rPr/>
        <w:t>Equation</w:t>
      </w:r>
      <w:r>
        <w:rPr>
          <w:spacing w:val="-3"/>
        </w:rPr>
        <w:t> </w:t>
      </w:r>
      <w:r>
        <w:rPr/>
        <w:t>3.3.9</w:t>
        <w:tab/>
        <w:t>Change in carbon stocks as a result of clearing biomass in a land</w:t>
      </w:r>
      <w:r>
        <w:rPr>
          <w:spacing w:val="-23"/>
        </w:rPr>
        <w:t> </w:t>
      </w:r>
      <w:r>
        <w:rPr/>
        <w:t>use</w:t>
      </w:r>
      <w:r>
        <w:rPr>
          <w:spacing w:val="-1"/>
        </w:rPr>
        <w:t> </w:t>
      </w:r>
      <w:r>
        <w:rPr/>
        <w:t>conversion</w:t>
        <w:tab/>
        <w:t>3.86</w:t>
      </w:r>
    </w:p>
    <w:p>
      <w:pPr>
        <w:pStyle w:val="BodyText"/>
        <w:tabs>
          <w:tab w:pos="9233" w:val="right" w:leader="dot"/>
        </w:tabs>
        <w:spacing w:before="120"/>
        <w:ind w:left="725"/>
      </w:pPr>
      <w:r>
        <w:rPr/>
        <w:t>Equation 3.3.10   Carbon losses from biomass burning, on-site</w:t>
      </w:r>
      <w:r>
        <w:rPr>
          <w:spacing w:val="-9"/>
        </w:rPr>
        <w:t> </w:t>
      </w:r>
      <w:r>
        <w:rPr/>
        <w:t>and off-site</w:t>
        <w:tab/>
        <w:t>3.86</w:t>
      </w:r>
    </w:p>
    <w:p>
      <w:pPr>
        <w:pStyle w:val="BodyText"/>
        <w:tabs>
          <w:tab w:pos="9231" w:val="right" w:leader="dot"/>
        </w:tabs>
        <w:spacing w:before="118"/>
        <w:ind w:left="725"/>
      </w:pPr>
      <w:r>
        <w:rPr/>
        <w:t>Equation 3.3.11   Carbon losses from</w:t>
      </w:r>
      <w:r>
        <w:rPr>
          <w:spacing w:val="-6"/>
        </w:rPr>
        <w:t> </w:t>
      </w:r>
      <w:r>
        <w:rPr/>
        <w:t>biomass</w:t>
      </w:r>
      <w:r>
        <w:rPr>
          <w:spacing w:val="-1"/>
        </w:rPr>
        <w:t> </w:t>
      </w:r>
      <w:r>
        <w:rPr/>
        <w:t>decay</w:t>
        <w:tab/>
        <w:t>3.87</w:t>
      </w:r>
    </w:p>
    <w:p>
      <w:pPr>
        <w:pStyle w:val="BodyText"/>
        <w:tabs>
          <w:tab w:pos="9230" w:val="right" w:leader="dot"/>
        </w:tabs>
        <w:spacing w:before="120"/>
        <w:ind w:left="725"/>
      </w:pPr>
      <w:r>
        <w:rPr/>
        <w:t>Equation 3.3.12   Annual change in carbon stocks in soils in land converted</w:t>
      </w:r>
      <w:r>
        <w:rPr>
          <w:spacing w:val="-18"/>
        </w:rPr>
        <w:t> </w:t>
      </w:r>
      <w:r>
        <w:rPr/>
        <w:t>to cropland</w:t>
        <w:tab/>
        <w:t>3.89</w:t>
      </w:r>
    </w:p>
    <w:p>
      <w:pPr>
        <w:pStyle w:val="BodyText"/>
        <w:tabs>
          <w:tab w:pos="9231" w:val="right" w:leader="dot"/>
        </w:tabs>
        <w:spacing w:before="121"/>
        <w:ind w:left="725"/>
      </w:pPr>
      <w:r>
        <w:rPr/>
        <w:t>Equation 3.3.13   Total annual emissions of N</w:t>
      </w:r>
      <w:r>
        <w:rPr>
          <w:vertAlign w:val="subscript"/>
        </w:rPr>
        <w:t>2</w:t>
      </w:r>
      <w:r>
        <w:rPr>
          <w:vertAlign w:val="baseline"/>
        </w:rPr>
        <w:t>O from mineral soils in land converted</w:t>
      </w:r>
      <w:r>
        <w:rPr>
          <w:spacing w:val="-28"/>
          <w:vertAlign w:val="baseline"/>
        </w:rPr>
        <w:t> </w:t>
      </w:r>
      <w:r>
        <w:rPr>
          <w:vertAlign w:val="baseline"/>
        </w:rPr>
        <w:t>to</w:t>
      </w:r>
      <w:r>
        <w:rPr>
          <w:spacing w:val="-2"/>
          <w:vertAlign w:val="baseline"/>
        </w:rPr>
        <w:t> </w:t>
      </w:r>
      <w:r>
        <w:rPr>
          <w:vertAlign w:val="baseline"/>
        </w:rPr>
        <w:t>cropland</w:t>
        <w:tab/>
        <w:t>3.93</w:t>
      </w:r>
    </w:p>
    <w:p>
      <w:pPr>
        <w:pStyle w:val="BodyText"/>
        <w:spacing w:before="120"/>
        <w:ind w:left="725"/>
      </w:pPr>
      <w:r>
        <w:rPr/>
        <w:t>Equation 3.3.14 N</w:t>
      </w:r>
      <w:r>
        <w:rPr>
          <w:vertAlign w:val="subscript"/>
        </w:rPr>
        <w:t>2</w:t>
      </w:r>
      <w:r>
        <w:rPr>
          <w:vertAlign w:val="baseline"/>
        </w:rPr>
        <w:t>O emissions as a result of the disturbance associated with land-use</w:t>
      </w:r>
    </w:p>
    <w:p>
      <w:pPr>
        <w:pStyle w:val="BodyText"/>
        <w:tabs>
          <w:tab w:pos="9231" w:val="right" w:leader="dot"/>
        </w:tabs>
        <w:spacing w:before="1"/>
        <w:ind w:left="2148"/>
      </w:pPr>
      <w:r>
        <w:rPr/>
        <w:t>conversion of forest, grassland, or other land to cropland</w:t>
        <w:tab/>
        <w:t>3.94</w:t>
      </w:r>
    </w:p>
    <w:p>
      <w:pPr>
        <w:pStyle w:val="BodyText"/>
        <w:spacing w:line="229" w:lineRule="exact" w:before="120"/>
        <w:ind w:left="725"/>
      </w:pPr>
      <w:r>
        <w:rPr/>
        <w:t>Equation 3.3.15 Annual nitrogen released by net soil organic mineralisation as a result</w:t>
      </w:r>
    </w:p>
    <w:p>
      <w:pPr>
        <w:pStyle w:val="BodyText"/>
        <w:tabs>
          <w:tab w:pos="9231" w:val="right" w:leader="dot"/>
        </w:tabs>
        <w:spacing w:line="229" w:lineRule="exact"/>
        <w:ind w:left="2148"/>
      </w:pPr>
      <w:r>
        <w:rPr/>
        <w:t>of the disturbance (based on soil</w:t>
      </w:r>
      <w:r>
        <w:rPr>
          <w:spacing w:val="-2"/>
        </w:rPr>
        <w:t> </w:t>
      </w:r>
      <w:r>
        <w:rPr/>
        <w:t>C</w:t>
      </w:r>
      <w:r>
        <w:rPr>
          <w:spacing w:val="1"/>
        </w:rPr>
        <w:t> </w:t>
      </w:r>
      <w:r>
        <w:rPr/>
        <w:t>mineralised)</w:t>
        <w:tab/>
        <w:t>3.94</w:t>
      </w:r>
    </w:p>
    <w:p>
      <w:pPr>
        <w:pStyle w:val="BodyText"/>
        <w:tabs>
          <w:tab w:pos="2148" w:val="left" w:leader="none"/>
          <w:tab w:pos="9231" w:val="right" w:leader="dot"/>
        </w:tabs>
        <w:spacing w:before="121"/>
        <w:ind w:left="725"/>
      </w:pPr>
      <w:r>
        <w:rPr/>
        <w:t>Equation</w:t>
      </w:r>
      <w:r>
        <w:rPr>
          <w:spacing w:val="-3"/>
        </w:rPr>
        <w:t> </w:t>
      </w:r>
      <w:r>
        <w:rPr/>
        <w:t>3.4.1</w:t>
        <w:tab/>
        <w:t>Annual change in carbon stocks in grassland</w:t>
      </w:r>
      <w:r>
        <w:rPr>
          <w:spacing w:val="-10"/>
        </w:rPr>
        <w:t> </w:t>
      </w:r>
      <w:r>
        <w:rPr/>
        <w:t>remaining grassland</w:t>
        <w:tab/>
        <w:t>3.105</w:t>
      </w:r>
    </w:p>
    <w:p>
      <w:pPr>
        <w:pStyle w:val="BodyText"/>
        <w:tabs>
          <w:tab w:pos="2149" w:val="left" w:leader="none"/>
        </w:tabs>
        <w:spacing w:before="120"/>
        <w:ind w:left="725"/>
      </w:pPr>
      <w:r>
        <w:rPr/>
        <w:t>Equation</w:t>
      </w:r>
      <w:r>
        <w:rPr>
          <w:spacing w:val="-3"/>
        </w:rPr>
        <w:t> </w:t>
      </w:r>
      <w:r>
        <w:rPr/>
        <w:t>3.4.2</w:t>
        <w:tab/>
        <w:t>Annual change in carbon stocks in living biomass in</w:t>
      </w:r>
      <w:r>
        <w:rPr>
          <w:spacing w:val="-11"/>
        </w:rPr>
        <w:t> </w:t>
      </w:r>
      <w:r>
        <w:rPr/>
        <w:t>grassland</w:t>
      </w:r>
    </w:p>
    <w:p>
      <w:pPr>
        <w:pStyle w:val="BodyText"/>
        <w:tabs>
          <w:tab w:pos="9230" w:val="right" w:leader="dot"/>
        </w:tabs>
        <w:ind w:left="2148"/>
      </w:pPr>
      <w:r>
        <w:rPr/>
        <w:t>remaining</w:t>
      </w:r>
      <w:r>
        <w:rPr>
          <w:spacing w:val="-2"/>
        </w:rPr>
        <w:t> </w:t>
      </w:r>
      <w:r>
        <w:rPr/>
        <w:t>grassland</w:t>
        <w:tab/>
        <w:t>3.106</w:t>
      </w:r>
    </w:p>
    <w:p>
      <w:pPr>
        <w:pStyle w:val="BodyText"/>
        <w:tabs>
          <w:tab w:pos="2149" w:val="left" w:leader="none"/>
        </w:tabs>
        <w:spacing w:before="121"/>
        <w:ind w:left="725"/>
      </w:pPr>
      <w:r>
        <w:rPr/>
        <w:t>Equation</w:t>
      </w:r>
      <w:r>
        <w:rPr>
          <w:spacing w:val="-3"/>
        </w:rPr>
        <w:t> </w:t>
      </w:r>
      <w:r>
        <w:rPr/>
        <w:t>3.4.3</w:t>
        <w:tab/>
        <w:t>Annual change in carbon stocks in living biomass in</w:t>
      </w:r>
      <w:r>
        <w:rPr>
          <w:spacing w:val="-11"/>
        </w:rPr>
        <w:t> </w:t>
      </w:r>
      <w:r>
        <w:rPr/>
        <w:t>grassland</w:t>
      </w:r>
    </w:p>
    <w:p>
      <w:pPr>
        <w:pStyle w:val="BodyText"/>
        <w:tabs>
          <w:tab w:pos="9230" w:val="right" w:leader="dot"/>
        </w:tabs>
        <w:ind w:left="2148"/>
      </w:pPr>
      <w:r>
        <w:rPr/>
        <w:t>remaining</w:t>
      </w:r>
      <w:r>
        <w:rPr>
          <w:spacing w:val="-2"/>
        </w:rPr>
        <w:t> </w:t>
      </w:r>
      <w:r>
        <w:rPr/>
        <w:t>grassland</w:t>
        <w:tab/>
        <w:t>3.107</w:t>
      </w:r>
    </w:p>
    <w:p>
      <w:pPr>
        <w:pStyle w:val="BodyText"/>
        <w:tabs>
          <w:tab w:pos="2147" w:val="left" w:leader="none"/>
          <w:tab w:pos="9228" w:val="right" w:leader="dot"/>
        </w:tabs>
        <w:spacing w:before="118"/>
        <w:ind w:left="725"/>
      </w:pPr>
      <w:r>
        <w:rPr/>
        <w:t>Equation</w:t>
      </w:r>
      <w:r>
        <w:rPr>
          <w:spacing w:val="-3"/>
        </w:rPr>
        <w:t> </w:t>
      </w:r>
      <w:r>
        <w:rPr/>
        <w:t>3.4.4</w:t>
        <w:tab/>
        <w:t>Annual change in living biomass –</w:t>
      </w:r>
      <w:r>
        <w:rPr>
          <w:spacing w:val="-4"/>
        </w:rPr>
        <w:t> </w:t>
      </w:r>
      <w:r>
        <w:rPr/>
        <w:t>Rate</w:t>
      </w:r>
      <w:r>
        <w:rPr>
          <w:spacing w:val="2"/>
        </w:rPr>
        <w:t> </w:t>
      </w:r>
      <w:r>
        <w:rPr/>
        <w:t>Approach</w:t>
        <w:tab/>
        <w:t>3.107</w:t>
      </w:r>
    </w:p>
    <w:p>
      <w:pPr>
        <w:pStyle w:val="BodyText"/>
        <w:tabs>
          <w:tab w:pos="2147" w:val="left" w:leader="none"/>
          <w:tab w:pos="9229" w:val="right" w:leader="dot"/>
        </w:tabs>
        <w:spacing w:before="121"/>
        <w:ind w:left="725"/>
      </w:pPr>
      <w:r>
        <w:rPr/>
        <w:t>Equation</w:t>
      </w:r>
      <w:r>
        <w:rPr>
          <w:spacing w:val="-3"/>
        </w:rPr>
        <w:t> </w:t>
      </w:r>
      <w:r>
        <w:rPr/>
        <w:t>3.4.5</w:t>
        <w:tab/>
        <w:t>Annual change in living biomass –</w:t>
      </w:r>
      <w:r>
        <w:rPr>
          <w:spacing w:val="-5"/>
        </w:rPr>
        <w:t> </w:t>
      </w:r>
      <w:r>
        <w:rPr/>
        <w:t>Difference</w:t>
      </w:r>
      <w:r>
        <w:rPr>
          <w:spacing w:val="2"/>
        </w:rPr>
        <w:t> </w:t>
      </w:r>
      <w:r>
        <w:rPr/>
        <w:t>Approach</w:t>
        <w:tab/>
        <w:t>3.108</w:t>
      </w:r>
    </w:p>
    <w:p>
      <w:pPr>
        <w:pStyle w:val="BodyText"/>
        <w:tabs>
          <w:tab w:pos="2147" w:val="left" w:leader="none"/>
          <w:tab w:pos="9230" w:val="right" w:leader="dot"/>
        </w:tabs>
        <w:spacing w:before="120"/>
        <w:ind w:left="725"/>
      </w:pPr>
      <w:r>
        <w:rPr/>
        <w:t>Equation</w:t>
      </w:r>
      <w:r>
        <w:rPr>
          <w:spacing w:val="-3"/>
        </w:rPr>
        <w:t> </w:t>
      </w:r>
      <w:r>
        <w:rPr/>
        <w:t>3.4.6</w:t>
        <w:tab/>
        <w:t>Total</w:t>
      </w:r>
      <w:r>
        <w:rPr>
          <w:spacing w:val="-2"/>
        </w:rPr>
        <w:t> </w:t>
      </w:r>
      <w:r>
        <w:rPr/>
        <w:t>biomass</w:t>
        <w:tab/>
        <w:t>3.108</w:t>
      </w:r>
    </w:p>
    <w:p>
      <w:pPr>
        <w:pStyle w:val="BodyText"/>
        <w:tabs>
          <w:tab w:pos="2148" w:val="left" w:leader="none"/>
          <w:tab w:pos="9231" w:val="right" w:leader="dot"/>
        </w:tabs>
        <w:spacing w:before="120"/>
        <w:ind w:left="725"/>
      </w:pPr>
      <w:r>
        <w:rPr/>
        <w:t>Equation</w:t>
      </w:r>
      <w:r>
        <w:rPr>
          <w:spacing w:val="-3"/>
        </w:rPr>
        <w:t> </w:t>
      </w:r>
      <w:r>
        <w:rPr/>
        <w:t>3.4.7</w:t>
        <w:tab/>
        <w:t>Annual change in carbon stocks in soils in grassland</w:t>
      </w:r>
      <w:r>
        <w:rPr>
          <w:spacing w:val="-16"/>
        </w:rPr>
        <w:t> </w:t>
      </w:r>
      <w:r>
        <w:rPr/>
        <w:t>remaining</w:t>
      </w:r>
      <w:r>
        <w:rPr>
          <w:spacing w:val="-1"/>
        </w:rPr>
        <w:t> </w:t>
      </w:r>
      <w:r>
        <w:rPr/>
        <w:t>grassland</w:t>
        <w:tab/>
        <w:t>3.111</w:t>
      </w:r>
    </w:p>
    <w:p>
      <w:pPr>
        <w:pStyle w:val="BodyText"/>
        <w:tabs>
          <w:tab w:pos="2148" w:val="left" w:leader="none"/>
          <w:tab w:pos="9230" w:val="right" w:leader="dot"/>
        </w:tabs>
        <w:spacing w:before="121"/>
        <w:ind w:left="725"/>
      </w:pPr>
      <w:r>
        <w:rPr/>
        <w:t>Equation</w:t>
      </w:r>
      <w:r>
        <w:rPr>
          <w:spacing w:val="-3"/>
        </w:rPr>
        <w:t> </w:t>
      </w:r>
      <w:r>
        <w:rPr/>
        <w:t>3.4.8</w:t>
        <w:tab/>
        <w:t>Annual change in carbon stocks in mineral soils for a single</w:t>
      </w:r>
      <w:r>
        <w:rPr>
          <w:spacing w:val="-18"/>
        </w:rPr>
        <w:t> </w:t>
      </w:r>
      <w:r>
        <w:rPr/>
        <w:t>grassland</w:t>
      </w:r>
      <w:r>
        <w:rPr>
          <w:spacing w:val="-1"/>
        </w:rPr>
        <w:t> </w:t>
      </w:r>
      <w:r>
        <w:rPr/>
        <w:t>system</w:t>
        <w:tab/>
        <w:t>3.112</w:t>
      </w:r>
    </w:p>
    <w:p>
      <w:pPr>
        <w:pStyle w:val="BodyText"/>
        <w:tabs>
          <w:tab w:pos="2148" w:val="left" w:leader="none"/>
        </w:tabs>
        <w:spacing w:before="118"/>
        <w:ind w:left="725"/>
      </w:pPr>
      <w:r>
        <w:rPr/>
        <w:t>Equation</w:t>
      </w:r>
      <w:r>
        <w:rPr>
          <w:spacing w:val="-2"/>
        </w:rPr>
        <w:t> </w:t>
      </w:r>
      <w:r>
        <w:rPr/>
        <w:t>3.4.9</w:t>
        <w:tab/>
        <w:t>Annual change in carbon stocks in mineral soils in total</w:t>
      </w:r>
      <w:r>
        <w:rPr>
          <w:spacing w:val="-6"/>
        </w:rPr>
        <w:t> </w:t>
      </w:r>
      <w:r>
        <w:rPr/>
        <w:t>grassland</w:t>
      </w:r>
    </w:p>
    <w:p>
      <w:pPr>
        <w:pStyle w:val="BodyText"/>
        <w:tabs>
          <w:tab w:pos="9230" w:val="right" w:leader="dot"/>
        </w:tabs>
        <w:ind w:left="2148"/>
      </w:pPr>
      <w:r>
        <w:rPr/>
        <w:t>remaining</w:t>
      </w:r>
      <w:r>
        <w:rPr>
          <w:spacing w:val="-2"/>
        </w:rPr>
        <w:t> </w:t>
      </w:r>
      <w:r>
        <w:rPr/>
        <w:t>grassland</w:t>
        <w:tab/>
        <w:t>3.113</w:t>
      </w:r>
    </w:p>
    <w:p>
      <w:pPr>
        <w:pStyle w:val="BodyText"/>
        <w:tabs>
          <w:tab w:pos="9231" w:val="right" w:leader="dot"/>
        </w:tabs>
        <w:spacing w:before="121"/>
        <w:ind w:left="725"/>
      </w:pPr>
      <w:r>
        <w:rPr/>
        <w:t>Equation 3.4.10   CO</w:t>
      </w:r>
      <w:r>
        <w:rPr>
          <w:vertAlign w:val="subscript"/>
        </w:rPr>
        <w:t>2</w:t>
      </w:r>
      <w:r>
        <w:rPr>
          <w:vertAlign w:val="baseline"/>
        </w:rPr>
        <w:t> emissions from cultivated organic soils in grassland</w:t>
      </w:r>
      <w:r>
        <w:rPr>
          <w:spacing w:val="-27"/>
          <w:vertAlign w:val="baseline"/>
        </w:rPr>
        <w:t> </w:t>
      </w:r>
      <w:r>
        <w:rPr>
          <w:vertAlign w:val="baseline"/>
        </w:rPr>
        <w:t>remaining</w:t>
      </w:r>
      <w:r>
        <w:rPr>
          <w:spacing w:val="-1"/>
          <w:vertAlign w:val="baseline"/>
        </w:rPr>
        <w:t> </w:t>
      </w:r>
      <w:r>
        <w:rPr>
          <w:vertAlign w:val="baseline"/>
        </w:rPr>
        <w:t>grassland</w:t>
        <w:tab/>
        <w:t>3.114</w:t>
      </w:r>
    </w:p>
    <w:p>
      <w:pPr>
        <w:pStyle w:val="BodyText"/>
        <w:tabs>
          <w:tab w:pos="9232" w:val="right" w:leader="dot"/>
        </w:tabs>
        <w:spacing w:before="120"/>
        <w:ind w:left="725"/>
      </w:pPr>
      <w:r>
        <w:rPr/>
        <w:t>Equation 3.4.11   Annual carbon emissions from agricultural</w:t>
      </w:r>
      <w:r>
        <w:rPr>
          <w:spacing w:val="-9"/>
        </w:rPr>
        <w:t> </w:t>
      </w:r>
      <w:r>
        <w:rPr/>
        <w:t>lime</w:t>
      </w:r>
      <w:r>
        <w:rPr>
          <w:spacing w:val="-1"/>
        </w:rPr>
        <w:t> </w:t>
      </w:r>
      <w:r>
        <w:rPr/>
        <w:t>application</w:t>
        <w:tab/>
        <w:t>3.115</w:t>
      </w:r>
    </w:p>
    <w:p>
      <w:pPr>
        <w:pStyle w:val="BodyText"/>
        <w:tabs>
          <w:tab w:pos="9232" w:val="right" w:leader="dot"/>
        </w:tabs>
        <w:spacing w:before="121"/>
        <w:ind w:left="725"/>
      </w:pPr>
      <w:r>
        <w:rPr/>
        <w:t>Equation 3.4.12   Total change in carbon stocks in land converted</w:t>
      </w:r>
      <w:r>
        <w:rPr>
          <w:spacing w:val="-9"/>
        </w:rPr>
        <w:t> </w:t>
      </w:r>
      <w:r>
        <w:rPr/>
        <w:t>to grassland</w:t>
        <w:tab/>
        <w:t>3.120</w:t>
      </w:r>
    </w:p>
    <w:p>
      <w:pPr>
        <w:pStyle w:val="BodyText"/>
        <w:tabs>
          <w:tab w:pos="9229" w:val="right" w:leader="dot"/>
        </w:tabs>
        <w:spacing w:before="120"/>
        <w:ind w:left="725"/>
      </w:pPr>
      <w:r>
        <w:rPr/>
        <w:t>Equation 3.4.13  Annual change in carbon stocks in living biomass in land converted</w:t>
      </w:r>
      <w:r>
        <w:rPr>
          <w:spacing w:val="6"/>
        </w:rPr>
        <w:t> </w:t>
      </w:r>
      <w:r>
        <w:rPr/>
        <w:t>to</w:t>
      </w:r>
      <w:r>
        <w:rPr>
          <w:spacing w:val="-2"/>
        </w:rPr>
        <w:t> </w:t>
      </w:r>
      <w:r>
        <w:rPr/>
        <w:t>grassland</w:t>
        <w:tab/>
        <w:t>3.122</w:t>
      </w:r>
    </w:p>
    <w:p>
      <w:pPr>
        <w:pStyle w:val="BodyText"/>
        <w:spacing w:before="118"/>
        <w:ind w:left="725"/>
      </w:pPr>
      <w:r>
        <w:rPr/>
        <w:t>Equation 3.4.14 Change in carbon stocks as a result of biomass clearing during</w:t>
      </w:r>
    </w:p>
    <w:p>
      <w:pPr>
        <w:pStyle w:val="BodyText"/>
        <w:tabs>
          <w:tab w:pos="9232" w:val="right" w:leader="dot"/>
        </w:tabs>
        <w:ind w:left="2148"/>
      </w:pPr>
      <w:r>
        <w:rPr/>
        <w:t>land use</w:t>
      </w:r>
      <w:r>
        <w:rPr>
          <w:spacing w:val="1"/>
        </w:rPr>
        <w:t> </w:t>
      </w:r>
      <w:r>
        <w:rPr/>
        <w:t>conversion</w:t>
        <w:tab/>
        <w:t>3.123</w:t>
      </w:r>
    </w:p>
    <w:p>
      <w:pPr>
        <w:pStyle w:val="BodyText"/>
        <w:tabs>
          <w:tab w:pos="9233" w:val="right" w:leader="dot"/>
        </w:tabs>
        <w:spacing w:before="121"/>
        <w:ind w:left="725"/>
      </w:pPr>
      <w:r>
        <w:rPr/>
        <w:t>Equation 3.4.15   Carbon losses from biomass burning, on-site</w:t>
      </w:r>
      <w:r>
        <w:rPr>
          <w:spacing w:val="-10"/>
        </w:rPr>
        <w:t> </w:t>
      </w:r>
      <w:r>
        <w:rPr/>
        <w:t>and off-site</w:t>
        <w:tab/>
        <w:t>3.123</w:t>
      </w:r>
    </w:p>
    <w:p>
      <w:pPr>
        <w:spacing w:after="0"/>
        <w:sectPr>
          <w:pgSz w:w="11900" w:h="16840"/>
          <w:pgMar w:header="230" w:footer="408" w:top="560" w:bottom="600" w:left="1260" w:right="1240"/>
        </w:sectPr>
      </w:pPr>
    </w:p>
    <w:p>
      <w:pPr>
        <w:pStyle w:val="BodyText"/>
      </w:pPr>
    </w:p>
    <w:p>
      <w:pPr>
        <w:pStyle w:val="BodyText"/>
        <w:rPr>
          <w:sz w:val="19"/>
        </w:rPr>
      </w:pPr>
    </w:p>
    <w:tbl>
      <w:tblPr>
        <w:tblW w:w="0" w:type="auto"/>
        <w:jc w:val="left"/>
        <w:tblInd w:w="6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8"/>
        <w:gridCol w:w="6664"/>
        <w:gridCol w:w="547"/>
      </w:tblGrid>
      <w:tr>
        <w:trPr>
          <w:trHeight w:val="285" w:hRule="atLeast"/>
        </w:trPr>
        <w:tc>
          <w:tcPr>
            <w:tcW w:w="1398" w:type="dxa"/>
          </w:tcPr>
          <w:p>
            <w:pPr>
              <w:pStyle w:val="TableParagraph"/>
              <w:spacing w:line="221" w:lineRule="exact"/>
              <w:ind w:left="30" w:right="52"/>
              <w:jc w:val="center"/>
              <w:rPr>
                <w:sz w:val="20"/>
              </w:rPr>
            </w:pPr>
            <w:r>
              <w:rPr>
                <w:sz w:val="20"/>
              </w:rPr>
              <w:t>Equation 3.4.16</w:t>
            </w:r>
          </w:p>
        </w:tc>
        <w:tc>
          <w:tcPr>
            <w:tcW w:w="6664" w:type="dxa"/>
          </w:tcPr>
          <w:p>
            <w:pPr>
              <w:pStyle w:val="TableParagraph"/>
              <w:spacing w:line="221" w:lineRule="exact"/>
              <w:ind w:left="49" w:right="20"/>
              <w:jc w:val="center"/>
              <w:rPr>
                <w:sz w:val="20"/>
              </w:rPr>
            </w:pPr>
            <w:r>
              <w:rPr>
                <w:sz w:val="20"/>
              </w:rPr>
              <w:t>Carbon losses from biomass decay ..........................................................................</w:t>
            </w:r>
          </w:p>
        </w:tc>
        <w:tc>
          <w:tcPr>
            <w:tcW w:w="547" w:type="dxa"/>
          </w:tcPr>
          <w:p>
            <w:pPr>
              <w:pStyle w:val="TableParagraph"/>
              <w:spacing w:line="221" w:lineRule="exact"/>
              <w:ind w:left="23" w:right="29"/>
              <w:jc w:val="center"/>
              <w:rPr>
                <w:sz w:val="20"/>
              </w:rPr>
            </w:pPr>
            <w:r>
              <w:rPr>
                <w:sz w:val="20"/>
              </w:rPr>
              <w:t>3.124</w:t>
            </w:r>
          </w:p>
        </w:tc>
      </w:tr>
      <w:tr>
        <w:trPr>
          <w:trHeight w:val="350" w:hRule="atLeast"/>
        </w:trPr>
        <w:tc>
          <w:tcPr>
            <w:tcW w:w="1398" w:type="dxa"/>
          </w:tcPr>
          <w:p>
            <w:pPr>
              <w:pStyle w:val="TableParagraph"/>
              <w:spacing w:before="55"/>
              <w:ind w:left="30" w:right="53"/>
              <w:jc w:val="center"/>
              <w:rPr>
                <w:sz w:val="20"/>
              </w:rPr>
            </w:pPr>
            <w:r>
              <w:rPr>
                <w:sz w:val="20"/>
              </w:rPr>
              <w:t>Equation 3.4.17</w:t>
            </w:r>
          </w:p>
        </w:tc>
        <w:tc>
          <w:tcPr>
            <w:tcW w:w="6664" w:type="dxa"/>
          </w:tcPr>
          <w:p>
            <w:pPr>
              <w:pStyle w:val="TableParagraph"/>
              <w:spacing w:before="55"/>
              <w:ind w:left="48" w:right="21"/>
              <w:jc w:val="center"/>
              <w:rPr>
                <w:sz w:val="20"/>
              </w:rPr>
            </w:pPr>
            <w:r>
              <w:rPr>
                <w:sz w:val="20"/>
              </w:rPr>
              <w:t>Annual change in carbon stocks in soils in land converted to grassland (LG).........</w:t>
            </w:r>
          </w:p>
        </w:tc>
        <w:tc>
          <w:tcPr>
            <w:tcW w:w="547" w:type="dxa"/>
          </w:tcPr>
          <w:p>
            <w:pPr>
              <w:pStyle w:val="TableParagraph"/>
              <w:spacing w:before="55"/>
              <w:ind w:left="22" w:right="29"/>
              <w:jc w:val="center"/>
              <w:rPr>
                <w:sz w:val="20"/>
              </w:rPr>
            </w:pPr>
            <w:r>
              <w:rPr>
                <w:sz w:val="20"/>
              </w:rPr>
              <w:t>3.126</w:t>
            </w:r>
          </w:p>
        </w:tc>
      </w:tr>
      <w:tr>
        <w:trPr>
          <w:trHeight w:val="350" w:hRule="atLeast"/>
        </w:trPr>
        <w:tc>
          <w:tcPr>
            <w:tcW w:w="1398" w:type="dxa"/>
          </w:tcPr>
          <w:p>
            <w:pPr>
              <w:pStyle w:val="TableParagraph"/>
              <w:spacing w:before="55"/>
              <w:ind w:left="30" w:right="153"/>
              <w:jc w:val="center"/>
              <w:rPr>
                <w:sz w:val="20"/>
              </w:rPr>
            </w:pPr>
            <w:r>
              <w:rPr>
                <w:sz w:val="20"/>
              </w:rPr>
              <w:t>Equation 3.5.1</w:t>
            </w:r>
          </w:p>
        </w:tc>
        <w:tc>
          <w:tcPr>
            <w:tcW w:w="6664" w:type="dxa"/>
          </w:tcPr>
          <w:p>
            <w:pPr>
              <w:pStyle w:val="TableParagraph"/>
              <w:spacing w:before="55"/>
              <w:ind w:left="49" w:right="19"/>
              <w:jc w:val="center"/>
              <w:rPr>
                <w:sz w:val="20"/>
              </w:rPr>
            </w:pPr>
            <w:r>
              <w:rPr>
                <w:sz w:val="20"/>
              </w:rPr>
              <w:t>Change in carbon stocks in land converted to wetlands...........................................</w:t>
            </w:r>
          </w:p>
        </w:tc>
        <w:tc>
          <w:tcPr>
            <w:tcW w:w="547" w:type="dxa"/>
          </w:tcPr>
          <w:p>
            <w:pPr>
              <w:pStyle w:val="TableParagraph"/>
              <w:spacing w:before="55"/>
              <w:ind w:left="23" w:right="24"/>
              <w:jc w:val="center"/>
              <w:rPr>
                <w:sz w:val="20"/>
              </w:rPr>
            </w:pPr>
            <w:r>
              <w:rPr>
                <w:sz w:val="20"/>
              </w:rPr>
              <w:t>3.136</w:t>
            </w:r>
          </w:p>
        </w:tc>
      </w:tr>
      <w:tr>
        <w:trPr>
          <w:trHeight w:val="350" w:hRule="atLeast"/>
        </w:trPr>
        <w:tc>
          <w:tcPr>
            <w:tcW w:w="1398" w:type="dxa"/>
          </w:tcPr>
          <w:p>
            <w:pPr>
              <w:pStyle w:val="TableParagraph"/>
              <w:spacing w:before="55"/>
              <w:ind w:left="30" w:right="153"/>
              <w:jc w:val="center"/>
              <w:rPr>
                <w:sz w:val="20"/>
              </w:rPr>
            </w:pPr>
            <w:r>
              <w:rPr>
                <w:sz w:val="20"/>
              </w:rPr>
              <w:t>Equation 3.5.2</w:t>
            </w:r>
          </w:p>
        </w:tc>
        <w:tc>
          <w:tcPr>
            <w:tcW w:w="6664" w:type="dxa"/>
          </w:tcPr>
          <w:p>
            <w:pPr>
              <w:pStyle w:val="TableParagraph"/>
              <w:spacing w:before="55"/>
              <w:ind w:left="49" w:right="18"/>
              <w:jc w:val="center"/>
              <w:rPr>
                <w:sz w:val="20"/>
              </w:rPr>
            </w:pPr>
            <w:r>
              <w:rPr>
                <w:sz w:val="20"/>
              </w:rPr>
              <w:t>Annual change in carbon stocks in land converted to peat extraction......................</w:t>
            </w:r>
          </w:p>
        </w:tc>
        <w:tc>
          <w:tcPr>
            <w:tcW w:w="547" w:type="dxa"/>
          </w:tcPr>
          <w:p>
            <w:pPr>
              <w:pStyle w:val="TableParagraph"/>
              <w:spacing w:before="55"/>
              <w:ind w:left="23" w:right="24"/>
              <w:jc w:val="center"/>
              <w:rPr>
                <w:sz w:val="20"/>
              </w:rPr>
            </w:pPr>
            <w:r>
              <w:rPr>
                <w:sz w:val="20"/>
              </w:rPr>
              <w:t>3.136</w:t>
            </w:r>
          </w:p>
        </w:tc>
      </w:tr>
      <w:tr>
        <w:trPr>
          <w:trHeight w:val="579" w:hRule="atLeast"/>
        </w:trPr>
        <w:tc>
          <w:tcPr>
            <w:tcW w:w="1398" w:type="dxa"/>
          </w:tcPr>
          <w:p>
            <w:pPr>
              <w:pStyle w:val="TableParagraph"/>
              <w:spacing w:before="55"/>
              <w:ind w:left="30" w:right="153"/>
              <w:jc w:val="center"/>
              <w:rPr>
                <w:sz w:val="20"/>
              </w:rPr>
            </w:pPr>
            <w:r>
              <w:rPr>
                <w:sz w:val="20"/>
              </w:rPr>
              <w:t>Equation 3.5.3</w:t>
            </w:r>
          </w:p>
        </w:tc>
        <w:tc>
          <w:tcPr>
            <w:tcW w:w="6664" w:type="dxa"/>
          </w:tcPr>
          <w:p>
            <w:pPr>
              <w:pStyle w:val="TableParagraph"/>
              <w:spacing w:before="55"/>
              <w:ind w:left="75"/>
              <w:rPr>
                <w:sz w:val="20"/>
              </w:rPr>
            </w:pPr>
            <w:r>
              <w:rPr>
                <w:sz w:val="20"/>
              </w:rPr>
              <w:t>Annual change in carbon stocks in living biomass in land converted to</w:t>
            </w:r>
          </w:p>
          <w:p>
            <w:pPr>
              <w:pStyle w:val="TableParagraph"/>
              <w:spacing w:before="1"/>
              <w:ind w:left="75"/>
              <w:rPr>
                <w:sz w:val="20"/>
              </w:rPr>
            </w:pPr>
            <w:r>
              <w:rPr>
                <w:sz w:val="20"/>
              </w:rPr>
              <w:t>peat extraction..........................................................................................................</w:t>
            </w:r>
          </w:p>
        </w:tc>
        <w:tc>
          <w:tcPr>
            <w:tcW w:w="547" w:type="dxa"/>
          </w:tcPr>
          <w:p>
            <w:pPr>
              <w:pStyle w:val="TableParagraph"/>
              <w:spacing w:before="10"/>
              <w:rPr>
                <w:sz w:val="24"/>
              </w:rPr>
            </w:pPr>
          </w:p>
          <w:p>
            <w:pPr>
              <w:pStyle w:val="TableParagraph"/>
              <w:ind w:left="23" w:right="29"/>
              <w:jc w:val="center"/>
              <w:rPr>
                <w:sz w:val="20"/>
              </w:rPr>
            </w:pPr>
            <w:r>
              <w:rPr>
                <w:sz w:val="20"/>
              </w:rPr>
              <w:t>3.137</w:t>
            </w:r>
          </w:p>
        </w:tc>
      </w:tr>
      <w:tr>
        <w:trPr>
          <w:trHeight w:val="349" w:hRule="atLeast"/>
        </w:trPr>
        <w:tc>
          <w:tcPr>
            <w:tcW w:w="1398" w:type="dxa"/>
          </w:tcPr>
          <w:p>
            <w:pPr>
              <w:pStyle w:val="TableParagraph"/>
              <w:spacing w:before="54"/>
              <w:ind w:left="29" w:right="154"/>
              <w:jc w:val="center"/>
              <w:rPr>
                <w:sz w:val="20"/>
              </w:rPr>
            </w:pPr>
            <w:r>
              <w:rPr>
                <w:sz w:val="20"/>
              </w:rPr>
              <w:t>Equation 3.5.4</w:t>
            </w:r>
          </w:p>
        </w:tc>
        <w:tc>
          <w:tcPr>
            <w:tcW w:w="6664" w:type="dxa"/>
          </w:tcPr>
          <w:p>
            <w:pPr>
              <w:pStyle w:val="TableParagraph"/>
              <w:spacing w:before="54"/>
              <w:ind w:left="49" w:right="21"/>
              <w:jc w:val="center"/>
              <w:rPr>
                <w:sz w:val="20"/>
              </w:rPr>
            </w:pPr>
            <w:r>
              <w:rPr>
                <w:sz w:val="20"/>
              </w:rPr>
              <w:t>Annual change in carbon stocks in soils in land converted to peat extraction .........</w:t>
            </w:r>
          </w:p>
        </w:tc>
        <w:tc>
          <w:tcPr>
            <w:tcW w:w="547" w:type="dxa"/>
          </w:tcPr>
          <w:p>
            <w:pPr>
              <w:pStyle w:val="TableParagraph"/>
              <w:spacing w:before="54"/>
              <w:ind w:left="23" w:right="29"/>
              <w:jc w:val="center"/>
              <w:rPr>
                <w:sz w:val="20"/>
              </w:rPr>
            </w:pPr>
            <w:r>
              <w:rPr>
                <w:sz w:val="20"/>
              </w:rPr>
              <w:t>3.137</w:t>
            </w:r>
          </w:p>
        </w:tc>
      </w:tr>
      <w:tr>
        <w:trPr>
          <w:trHeight w:val="580" w:hRule="atLeast"/>
        </w:trPr>
        <w:tc>
          <w:tcPr>
            <w:tcW w:w="1398" w:type="dxa"/>
          </w:tcPr>
          <w:p>
            <w:pPr>
              <w:pStyle w:val="TableParagraph"/>
              <w:spacing w:before="55"/>
              <w:ind w:left="30" w:right="153"/>
              <w:jc w:val="center"/>
              <w:rPr>
                <w:sz w:val="20"/>
              </w:rPr>
            </w:pPr>
            <w:r>
              <w:rPr>
                <w:sz w:val="20"/>
              </w:rPr>
              <w:t>Equation 3.5.5</w:t>
            </w:r>
          </w:p>
        </w:tc>
        <w:tc>
          <w:tcPr>
            <w:tcW w:w="6664" w:type="dxa"/>
          </w:tcPr>
          <w:p>
            <w:pPr>
              <w:pStyle w:val="TableParagraph"/>
              <w:spacing w:before="55"/>
              <w:ind w:left="75" w:right="57"/>
              <w:rPr>
                <w:sz w:val="20"/>
              </w:rPr>
            </w:pPr>
            <w:r>
              <w:rPr>
                <w:sz w:val="20"/>
              </w:rPr>
              <w:t>Annual change in carbon stocks in soils due to drainage of organic soils converted to peat extraction</w:t>
            </w:r>
            <w:r>
              <w:rPr>
                <w:spacing w:val="-40"/>
                <w:sz w:val="20"/>
              </w:rPr>
              <w:t> </w:t>
            </w:r>
            <w:r>
              <w:rPr>
                <w:sz w:val="20"/>
              </w:rPr>
              <w:t>.....................................................................................</w:t>
            </w:r>
          </w:p>
        </w:tc>
        <w:tc>
          <w:tcPr>
            <w:tcW w:w="547" w:type="dxa"/>
          </w:tcPr>
          <w:p>
            <w:pPr>
              <w:pStyle w:val="TableParagraph"/>
              <w:spacing w:before="10"/>
              <w:rPr>
                <w:sz w:val="24"/>
              </w:rPr>
            </w:pPr>
          </w:p>
          <w:p>
            <w:pPr>
              <w:pStyle w:val="TableParagraph"/>
              <w:ind w:left="23" w:right="28"/>
              <w:jc w:val="center"/>
              <w:rPr>
                <w:sz w:val="20"/>
              </w:rPr>
            </w:pPr>
            <w:r>
              <w:rPr>
                <w:sz w:val="20"/>
              </w:rPr>
              <w:t>3.138</w:t>
            </w:r>
          </w:p>
        </w:tc>
      </w:tr>
      <w:tr>
        <w:trPr>
          <w:trHeight w:val="579" w:hRule="atLeast"/>
        </w:trPr>
        <w:tc>
          <w:tcPr>
            <w:tcW w:w="1398" w:type="dxa"/>
          </w:tcPr>
          <w:p>
            <w:pPr>
              <w:pStyle w:val="TableParagraph"/>
              <w:spacing w:before="55"/>
              <w:ind w:left="30" w:right="153"/>
              <w:jc w:val="center"/>
              <w:rPr>
                <w:sz w:val="20"/>
              </w:rPr>
            </w:pPr>
            <w:r>
              <w:rPr>
                <w:sz w:val="20"/>
              </w:rPr>
              <w:t>Equation 3.5.6</w:t>
            </w:r>
          </w:p>
        </w:tc>
        <w:tc>
          <w:tcPr>
            <w:tcW w:w="6664" w:type="dxa"/>
          </w:tcPr>
          <w:p>
            <w:pPr>
              <w:pStyle w:val="TableParagraph"/>
              <w:spacing w:before="55"/>
              <w:ind w:left="75"/>
              <w:rPr>
                <w:sz w:val="20"/>
              </w:rPr>
            </w:pPr>
            <w:r>
              <w:rPr>
                <w:sz w:val="20"/>
              </w:rPr>
              <w:t>Annual change in carbon stocks in living biomass in land converted</w:t>
            </w:r>
          </w:p>
          <w:p>
            <w:pPr>
              <w:pStyle w:val="TableParagraph"/>
              <w:spacing w:before="1"/>
              <w:ind w:left="75"/>
              <w:rPr>
                <w:sz w:val="20"/>
              </w:rPr>
            </w:pPr>
            <w:r>
              <w:rPr>
                <w:sz w:val="20"/>
              </w:rPr>
              <w:t>to flooded land .........................................................................................................</w:t>
            </w:r>
          </w:p>
        </w:tc>
        <w:tc>
          <w:tcPr>
            <w:tcW w:w="547" w:type="dxa"/>
          </w:tcPr>
          <w:p>
            <w:pPr>
              <w:pStyle w:val="TableParagraph"/>
              <w:spacing w:before="10"/>
              <w:rPr>
                <w:sz w:val="24"/>
              </w:rPr>
            </w:pPr>
          </w:p>
          <w:p>
            <w:pPr>
              <w:pStyle w:val="TableParagraph"/>
              <w:ind w:left="22" w:right="29"/>
              <w:jc w:val="center"/>
              <w:rPr>
                <w:sz w:val="20"/>
              </w:rPr>
            </w:pPr>
            <w:r>
              <w:rPr>
                <w:sz w:val="20"/>
              </w:rPr>
              <w:t>3.140</w:t>
            </w:r>
          </w:p>
        </w:tc>
      </w:tr>
      <w:tr>
        <w:trPr>
          <w:trHeight w:val="579" w:hRule="atLeast"/>
        </w:trPr>
        <w:tc>
          <w:tcPr>
            <w:tcW w:w="1398" w:type="dxa"/>
          </w:tcPr>
          <w:p>
            <w:pPr>
              <w:pStyle w:val="TableParagraph"/>
              <w:spacing w:before="54"/>
              <w:ind w:left="30" w:right="153"/>
              <w:jc w:val="center"/>
              <w:rPr>
                <w:sz w:val="20"/>
              </w:rPr>
            </w:pPr>
            <w:r>
              <w:rPr>
                <w:sz w:val="20"/>
              </w:rPr>
              <w:t>Equation 3.6.1</w:t>
            </w:r>
          </w:p>
        </w:tc>
        <w:tc>
          <w:tcPr>
            <w:tcW w:w="6664" w:type="dxa"/>
          </w:tcPr>
          <w:p>
            <w:pPr>
              <w:pStyle w:val="TableParagraph"/>
              <w:spacing w:before="54"/>
              <w:ind w:left="75"/>
              <w:rPr>
                <w:sz w:val="20"/>
              </w:rPr>
            </w:pPr>
            <w:r>
              <w:rPr>
                <w:sz w:val="20"/>
              </w:rPr>
              <w:t>Annual change in carbon stocks in living biomass in forest land converted</w:t>
            </w:r>
          </w:p>
          <w:p>
            <w:pPr>
              <w:pStyle w:val="TableParagraph"/>
              <w:spacing w:before="1"/>
              <w:ind w:left="75"/>
              <w:rPr>
                <w:sz w:val="20"/>
              </w:rPr>
            </w:pPr>
            <w:r>
              <w:rPr>
                <w:sz w:val="20"/>
              </w:rPr>
              <w:t>to settlements (FS) ...................................................................................................</w:t>
            </w:r>
          </w:p>
        </w:tc>
        <w:tc>
          <w:tcPr>
            <w:tcW w:w="547" w:type="dxa"/>
          </w:tcPr>
          <w:p>
            <w:pPr>
              <w:pStyle w:val="TableParagraph"/>
              <w:spacing w:before="8"/>
              <w:rPr>
                <w:sz w:val="24"/>
              </w:rPr>
            </w:pPr>
          </w:p>
          <w:p>
            <w:pPr>
              <w:pStyle w:val="TableParagraph"/>
              <w:spacing w:before="1"/>
              <w:ind w:left="18" w:right="29"/>
              <w:jc w:val="center"/>
              <w:rPr>
                <w:sz w:val="20"/>
              </w:rPr>
            </w:pPr>
            <w:r>
              <w:rPr>
                <w:sz w:val="20"/>
              </w:rPr>
              <w:t>3.143</w:t>
            </w:r>
          </w:p>
        </w:tc>
      </w:tr>
      <w:tr>
        <w:trPr>
          <w:trHeight w:val="350" w:hRule="atLeast"/>
        </w:trPr>
        <w:tc>
          <w:tcPr>
            <w:tcW w:w="1398" w:type="dxa"/>
          </w:tcPr>
          <w:p>
            <w:pPr>
              <w:pStyle w:val="TableParagraph"/>
              <w:spacing w:before="55"/>
              <w:ind w:left="30" w:right="154"/>
              <w:jc w:val="center"/>
              <w:rPr>
                <w:sz w:val="20"/>
              </w:rPr>
            </w:pPr>
            <w:r>
              <w:rPr>
                <w:sz w:val="20"/>
              </w:rPr>
              <w:t>Equation 3.7.1</w:t>
            </w:r>
          </w:p>
        </w:tc>
        <w:tc>
          <w:tcPr>
            <w:tcW w:w="6664" w:type="dxa"/>
          </w:tcPr>
          <w:p>
            <w:pPr>
              <w:pStyle w:val="TableParagraph"/>
              <w:spacing w:before="55"/>
              <w:ind w:left="49" w:right="19"/>
              <w:jc w:val="center"/>
              <w:rPr>
                <w:sz w:val="20"/>
              </w:rPr>
            </w:pPr>
            <w:r>
              <w:rPr>
                <w:sz w:val="20"/>
              </w:rPr>
              <w:t>Annual change in carbon stocks in land converted to “Other Land” .......................</w:t>
            </w:r>
          </w:p>
        </w:tc>
        <w:tc>
          <w:tcPr>
            <w:tcW w:w="547" w:type="dxa"/>
          </w:tcPr>
          <w:p>
            <w:pPr>
              <w:pStyle w:val="TableParagraph"/>
              <w:spacing w:before="55"/>
              <w:ind w:left="23" w:right="25"/>
              <w:jc w:val="center"/>
              <w:rPr>
                <w:sz w:val="20"/>
              </w:rPr>
            </w:pPr>
            <w:r>
              <w:rPr>
                <w:sz w:val="20"/>
              </w:rPr>
              <w:t>3.145</w:t>
            </w:r>
          </w:p>
        </w:tc>
      </w:tr>
      <w:tr>
        <w:trPr>
          <w:trHeight w:val="580" w:hRule="atLeast"/>
        </w:trPr>
        <w:tc>
          <w:tcPr>
            <w:tcW w:w="1398" w:type="dxa"/>
          </w:tcPr>
          <w:p>
            <w:pPr>
              <w:pStyle w:val="TableParagraph"/>
              <w:spacing w:before="55"/>
              <w:ind w:left="30" w:right="153"/>
              <w:jc w:val="center"/>
              <w:rPr>
                <w:sz w:val="20"/>
              </w:rPr>
            </w:pPr>
            <w:r>
              <w:rPr>
                <w:sz w:val="20"/>
              </w:rPr>
              <w:t>Equation 3.7.2</w:t>
            </w:r>
          </w:p>
        </w:tc>
        <w:tc>
          <w:tcPr>
            <w:tcW w:w="6664" w:type="dxa"/>
          </w:tcPr>
          <w:p>
            <w:pPr>
              <w:pStyle w:val="TableParagraph"/>
              <w:spacing w:before="55"/>
              <w:ind w:left="75"/>
              <w:rPr>
                <w:sz w:val="20"/>
              </w:rPr>
            </w:pPr>
            <w:r>
              <w:rPr>
                <w:sz w:val="20"/>
              </w:rPr>
              <w:t>Annual change in carbon stocks in living biomass in land</w:t>
            </w:r>
          </w:p>
          <w:p>
            <w:pPr>
              <w:pStyle w:val="TableParagraph"/>
              <w:spacing w:before="1"/>
              <w:ind w:left="75"/>
              <w:rPr>
                <w:sz w:val="20"/>
              </w:rPr>
            </w:pPr>
            <w:r>
              <w:rPr>
                <w:sz w:val="20"/>
              </w:rPr>
              <w:t>converted to “Other Land” .......................................................................................</w:t>
            </w:r>
          </w:p>
        </w:tc>
        <w:tc>
          <w:tcPr>
            <w:tcW w:w="547" w:type="dxa"/>
          </w:tcPr>
          <w:p>
            <w:pPr>
              <w:pStyle w:val="TableParagraph"/>
              <w:spacing w:before="10"/>
              <w:rPr>
                <w:sz w:val="24"/>
              </w:rPr>
            </w:pPr>
          </w:p>
          <w:p>
            <w:pPr>
              <w:pStyle w:val="TableParagraph"/>
              <w:ind w:left="23" w:right="26"/>
              <w:jc w:val="center"/>
              <w:rPr>
                <w:sz w:val="20"/>
              </w:rPr>
            </w:pPr>
            <w:r>
              <w:rPr>
                <w:sz w:val="20"/>
              </w:rPr>
              <w:t>3.146</w:t>
            </w:r>
          </w:p>
        </w:tc>
      </w:tr>
      <w:tr>
        <w:trPr>
          <w:trHeight w:val="513" w:hRule="atLeast"/>
        </w:trPr>
        <w:tc>
          <w:tcPr>
            <w:tcW w:w="1398" w:type="dxa"/>
          </w:tcPr>
          <w:p>
            <w:pPr>
              <w:pStyle w:val="TableParagraph"/>
              <w:spacing w:before="55"/>
              <w:ind w:left="30" w:right="153"/>
              <w:jc w:val="center"/>
              <w:rPr>
                <w:sz w:val="20"/>
              </w:rPr>
            </w:pPr>
            <w:r>
              <w:rPr>
                <w:sz w:val="20"/>
              </w:rPr>
              <w:t>Equation 3.7.3</w:t>
            </w:r>
          </w:p>
        </w:tc>
        <w:tc>
          <w:tcPr>
            <w:tcW w:w="6664" w:type="dxa"/>
          </w:tcPr>
          <w:p>
            <w:pPr>
              <w:pStyle w:val="TableParagraph"/>
              <w:spacing w:line="229" w:lineRule="exact" w:before="55"/>
              <w:ind w:left="75"/>
              <w:rPr>
                <w:sz w:val="20"/>
              </w:rPr>
            </w:pPr>
            <w:r>
              <w:rPr>
                <w:sz w:val="20"/>
              </w:rPr>
              <w:t>Annual change in carbon stocks in mineral soils in land converted</w:t>
            </w:r>
          </w:p>
          <w:p>
            <w:pPr>
              <w:pStyle w:val="TableParagraph"/>
              <w:spacing w:line="209" w:lineRule="exact"/>
              <w:ind w:left="75"/>
              <w:rPr>
                <w:sz w:val="20"/>
              </w:rPr>
            </w:pPr>
            <w:r>
              <w:rPr>
                <w:sz w:val="20"/>
              </w:rPr>
              <w:t>to “Other Land”........................................................................................................</w:t>
            </w:r>
          </w:p>
        </w:tc>
        <w:tc>
          <w:tcPr>
            <w:tcW w:w="547" w:type="dxa"/>
          </w:tcPr>
          <w:p>
            <w:pPr>
              <w:pStyle w:val="TableParagraph"/>
              <w:spacing w:before="7"/>
              <w:rPr>
                <w:sz w:val="24"/>
              </w:rPr>
            </w:pPr>
          </w:p>
          <w:p>
            <w:pPr>
              <w:pStyle w:val="TableParagraph"/>
              <w:spacing w:line="210" w:lineRule="exact"/>
              <w:ind w:left="23" w:right="24"/>
              <w:jc w:val="center"/>
              <w:rPr>
                <w:sz w:val="20"/>
              </w:rPr>
            </w:pPr>
            <w:r>
              <w:rPr>
                <w:sz w:val="20"/>
              </w:rPr>
              <w:t>3.148</w:t>
            </w:r>
          </w:p>
        </w:tc>
      </w:tr>
    </w:tbl>
    <w:p>
      <w:pPr>
        <w:pStyle w:val="BodyText"/>
        <w:rPr>
          <w:sz w:val="34"/>
        </w:rPr>
      </w:pPr>
    </w:p>
    <w:p>
      <w:pPr>
        <w:pStyle w:val="BodyText"/>
        <w:rPr>
          <w:sz w:val="34"/>
        </w:rPr>
      </w:pPr>
    </w:p>
    <w:p>
      <w:pPr>
        <w:pStyle w:val="BodyText"/>
        <w:spacing w:before="5"/>
        <w:rPr>
          <w:sz w:val="46"/>
        </w:rPr>
      </w:pPr>
    </w:p>
    <w:p>
      <w:pPr>
        <w:pStyle w:val="Heading2"/>
        <w:ind w:left="4109" w:firstLine="0"/>
      </w:pPr>
      <w:r>
        <w:rPr/>
        <w:t>Figures</w:t>
      </w:r>
    </w:p>
    <w:p>
      <w:pPr>
        <w:pStyle w:val="BodyText"/>
        <w:spacing w:before="2"/>
        <w:rPr>
          <w:b/>
          <w:sz w:val="41"/>
        </w:rPr>
      </w:pPr>
    </w:p>
    <w:p>
      <w:pPr>
        <w:pStyle w:val="BodyText"/>
        <w:tabs>
          <w:tab w:pos="1972" w:val="left" w:leader="none"/>
        </w:tabs>
        <w:spacing w:before="1"/>
        <w:ind w:left="1973" w:right="1825" w:hanging="1248"/>
      </w:pPr>
      <w:r>
        <w:rPr/>
        <w:t>Figure</w:t>
      </w:r>
      <w:r>
        <w:rPr>
          <w:spacing w:val="-2"/>
        </w:rPr>
        <w:t> </w:t>
      </w:r>
      <w:r>
        <w:rPr/>
        <w:t>3.1.1</w:t>
        <w:tab/>
        <w:t>Decision Tree for Identification of Appropriate Tier-Level for Land Remaining in the same Land Use Category (Example given for</w:t>
      </w:r>
      <w:r>
        <w:rPr>
          <w:spacing w:val="-32"/>
        </w:rPr>
        <w:t> </w:t>
      </w:r>
      <w:r>
        <w:rPr/>
        <w:t>Forest</w:t>
      </w:r>
    </w:p>
    <w:p>
      <w:pPr>
        <w:pStyle w:val="BodyText"/>
        <w:tabs>
          <w:tab w:pos="8879" w:val="left" w:leader="dot"/>
        </w:tabs>
        <w:ind w:left="1973"/>
      </w:pPr>
      <w:r>
        <w:rPr/>
        <w:t>Land Remaining Forest</w:t>
      </w:r>
      <w:r>
        <w:rPr>
          <w:spacing w:val="-6"/>
        </w:rPr>
        <w:t> </w:t>
      </w:r>
      <w:r>
        <w:rPr/>
        <w:t>Land, FF)</w:t>
        <w:tab/>
        <w:t>3.18</w:t>
      </w:r>
    </w:p>
    <w:p>
      <w:pPr>
        <w:pStyle w:val="BodyText"/>
        <w:tabs>
          <w:tab w:pos="1972" w:val="left" w:leader="none"/>
        </w:tabs>
        <w:spacing w:before="121"/>
        <w:ind w:left="1973" w:right="2006" w:hanging="1248"/>
      </w:pPr>
      <w:r>
        <w:rPr/>
        <w:t>Figure</w:t>
      </w:r>
      <w:r>
        <w:rPr>
          <w:spacing w:val="-2"/>
        </w:rPr>
        <w:t> </w:t>
      </w:r>
      <w:r>
        <w:rPr/>
        <w:t>3.1.2</w:t>
        <w:tab/>
        <w:t>Decision Tree for Identification of Appropriate Tier-Level for Land Converted to another Land Use Category (Example given for</w:t>
      </w:r>
      <w:r>
        <w:rPr>
          <w:spacing w:val="-30"/>
        </w:rPr>
        <w:t> </w:t>
      </w:r>
      <w:r>
        <w:rPr/>
        <w:t>Land</w:t>
      </w:r>
    </w:p>
    <w:p>
      <w:pPr>
        <w:pStyle w:val="BodyText"/>
        <w:tabs>
          <w:tab w:pos="8882" w:val="left" w:leader="dot"/>
        </w:tabs>
        <w:spacing w:before="1"/>
        <w:ind w:left="1973"/>
      </w:pPr>
      <w:r>
        <w:rPr/>
        <w:t>Converted to Forest</w:t>
      </w:r>
      <w:r>
        <w:rPr>
          <w:spacing w:val="-8"/>
        </w:rPr>
        <w:t> </w:t>
      </w:r>
      <w:r>
        <w:rPr/>
        <w:t>Land, LF)</w:t>
        <w:tab/>
        <w:t>3.19</w:t>
      </w:r>
    </w:p>
    <w:p>
      <w:pPr>
        <w:pStyle w:val="BodyText"/>
        <w:tabs>
          <w:tab w:pos="1946" w:val="left" w:leader="none"/>
          <w:tab w:pos="8880" w:val="left" w:leader="dot"/>
        </w:tabs>
        <w:spacing w:before="118"/>
        <w:ind w:left="1973" w:right="166" w:hanging="1248"/>
      </w:pPr>
      <w:r>
        <w:rPr/>
        <w:t>Figure</w:t>
      </w:r>
      <w:r>
        <w:rPr>
          <w:spacing w:val="-2"/>
        </w:rPr>
        <w:t> </w:t>
      </w:r>
      <w:r>
        <w:rPr/>
        <w:t>3.2.1</w:t>
        <w:tab/>
        <w:t>Two temporally averaged values of soil organic carbon corresponding to different combinations of forest soils, management practices and</w:t>
      </w:r>
      <w:r>
        <w:rPr>
          <w:spacing w:val="-25"/>
        </w:rPr>
        <w:t> </w:t>
      </w:r>
      <w:r>
        <w:rPr/>
        <w:t>disturbance</w:t>
      </w:r>
      <w:r>
        <w:rPr>
          <w:spacing w:val="-2"/>
        </w:rPr>
        <w:t> </w:t>
      </w:r>
      <w:r>
        <w:rPr/>
        <w:t>regimes</w:t>
        <w:tab/>
      </w:r>
      <w:r>
        <w:rPr>
          <w:spacing w:val="-4"/>
        </w:rPr>
        <w:t>3.39</w:t>
      </w:r>
    </w:p>
    <w:p>
      <w:pPr>
        <w:spacing w:after="0"/>
        <w:sectPr>
          <w:pgSz w:w="11900" w:h="16840"/>
          <w:pgMar w:header="230" w:footer="408" w:top="560" w:bottom="600" w:left="1260" w:right="1240"/>
        </w:sectPr>
      </w:pPr>
    </w:p>
    <w:p>
      <w:pPr>
        <w:pStyle w:val="BodyText"/>
      </w:pPr>
    </w:p>
    <w:p>
      <w:pPr>
        <w:pStyle w:val="BodyText"/>
      </w:pPr>
    </w:p>
    <w:p>
      <w:pPr>
        <w:pStyle w:val="BodyText"/>
      </w:pPr>
    </w:p>
    <w:p>
      <w:pPr>
        <w:pStyle w:val="BodyText"/>
      </w:pPr>
    </w:p>
    <w:p>
      <w:pPr>
        <w:pStyle w:val="BodyText"/>
        <w:spacing w:before="3"/>
        <w:rPr>
          <w:sz w:val="24"/>
        </w:rPr>
      </w:pPr>
    </w:p>
    <w:p>
      <w:pPr>
        <w:pStyle w:val="Heading2"/>
        <w:spacing w:before="86"/>
        <w:ind w:left="556" w:right="566" w:firstLine="0"/>
        <w:jc w:val="center"/>
      </w:pPr>
      <w:r>
        <w:rPr/>
        <w:t>Tables</w:t>
      </w:r>
    </w:p>
    <w:p>
      <w:pPr>
        <w:pStyle w:val="BodyText"/>
        <w:spacing w:before="4"/>
        <w:rPr>
          <w:b/>
          <w:sz w:val="41"/>
        </w:rPr>
      </w:pPr>
    </w:p>
    <w:p>
      <w:pPr>
        <w:pStyle w:val="BodyText"/>
        <w:tabs>
          <w:tab w:pos="1973" w:val="left" w:leader="none"/>
        </w:tabs>
        <w:ind w:left="725"/>
      </w:pPr>
      <w:r>
        <w:rPr/>
        <w:t>Table</w:t>
      </w:r>
      <w:r>
        <w:rPr>
          <w:spacing w:val="-3"/>
        </w:rPr>
        <w:t> </w:t>
      </w:r>
      <w:r>
        <w:rPr/>
        <w:t>3.1.1</w:t>
        <w:tab/>
        <w:t>Mapping between the sections of Chapter 5 of the 1996 IPCC</w:t>
      </w:r>
      <w:r>
        <w:rPr>
          <w:spacing w:val="-11"/>
        </w:rPr>
        <w:t> </w:t>
      </w:r>
      <w:r>
        <w:rPr/>
        <w:t>Guidelines</w:t>
      </w:r>
    </w:p>
    <w:p>
      <w:pPr>
        <w:pStyle w:val="BodyText"/>
        <w:tabs>
          <w:tab w:pos="9232" w:val="right" w:leader="dot"/>
        </w:tabs>
        <w:spacing w:before="1"/>
        <w:ind w:left="1973"/>
      </w:pPr>
      <w:r>
        <w:rPr/>
        <w:t>and the sections of Chapter 3 of</w:t>
      </w:r>
      <w:r>
        <w:rPr>
          <w:spacing w:val="-3"/>
        </w:rPr>
        <w:t> </w:t>
      </w:r>
      <w:r>
        <w:rPr/>
        <w:t>this</w:t>
      </w:r>
      <w:r>
        <w:rPr>
          <w:spacing w:val="-1"/>
        </w:rPr>
        <w:t> </w:t>
      </w:r>
      <w:r>
        <w:rPr/>
        <w:t>report</w:t>
        <w:tab/>
        <w:t>3.12</w:t>
      </w:r>
    </w:p>
    <w:p>
      <w:pPr>
        <w:pStyle w:val="BodyText"/>
        <w:tabs>
          <w:tab w:pos="1973" w:val="left" w:leader="none"/>
          <w:tab w:pos="9236" w:val="right" w:leader="dot"/>
        </w:tabs>
        <w:spacing w:before="118"/>
        <w:ind w:left="725"/>
      </w:pPr>
      <w:r>
        <w:rPr/>
        <w:t>Table</w:t>
      </w:r>
      <w:r>
        <w:rPr>
          <w:spacing w:val="-3"/>
        </w:rPr>
        <w:t> </w:t>
      </w:r>
      <w:r>
        <w:rPr/>
        <w:t>3.1.2</w:t>
        <w:tab/>
        <w:t>Definitions for terrestrial pools used in</w:t>
      </w:r>
      <w:r>
        <w:rPr>
          <w:spacing w:val="1"/>
        </w:rPr>
        <w:t> </w:t>
      </w:r>
      <w:r>
        <w:rPr/>
        <w:t>Chapter 3</w:t>
        <w:tab/>
        <w:t>3.15</w:t>
      </w:r>
    </w:p>
    <w:p>
      <w:pPr>
        <w:pStyle w:val="BodyText"/>
        <w:tabs>
          <w:tab w:pos="1972" w:val="left" w:leader="none"/>
          <w:tab w:pos="9231" w:val="right" w:leader="dot"/>
        </w:tabs>
        <w:spacing w:before="120"/>
        <w:ind w:left="725"/>
      </w:pPr>
      <w:r>
        <w:rPr/>
        <w:t>Table</w:t>
      </w:r>
      <w:r>
        <w:rPr>
          <w:spacing w:val="-3"/>
        </w:rPr>
        <w:t> </w:t>
      </w:r>
      <w:r>
        <w:rPr/>
        <w:t>3.1.3</w:t>
        <w:tab/>
        <w:t>Sub-categories within a given land</w:t>
      </w:r>
      <w:r>
        <w:rPr>
          <w:spacing w:val="2"/>
        </w:rPr>
        <w:t> </w:t>
      </w:r>
      <w:r>
        <w:rPr/>
        <w:t>use</w:t>
      </w:r>
      <w:r>
        <w:rPr>
          <w:spacing w:val="3"/>
        </w:rPr>
        <w:t> </w:t>
      </w:r>
      <w:r>
        <w:rPr/>
        <w:t>section</w:t>
        <w:tab/>
        <w:t>3.20</w:t>
      </w:r>
    </w:p>
    <w:p>
      <w:pPr>
        <w:pStyle w:val="BodyText"/>
        <w:tabs>
          <w:tab w:pos="1972" w:val="left" w:leader="none"/>
          <w:tab w:pos="9234" w:val="right" w:leader="dot"/>
        </w:tabs>
        <w:spacing w:before="121"/>
        <w:ind w:left="725"/>
      </w:pPr>
      <w:r>
        <w:rPr/>
        <w:t>Table</w:t>
      </w:r>
      <w:r>
        <w:rPr>
          <w:spacing w:val="-3"/>
        </w:rPr>
        <w:t> </w:t>
      </w:r>
      <w:r>
        <w:rPr/>
        <w:t>3.2.1</w:t>
        <w:tab/>
        <w:t>Updated defaults for litter carbon stocks  and</w:t>
      </w:r>
      <w:r>
        <w:rPr>
          <w:spacing w:val="-1"/>
        </w:rPr>
        <w:t> </w:t>
      </w:r>
      <w:r>
        <w:rPr/>
        <w:t>transition</w:t>
      </w:r>
      <w:r>
        <w:rPr>
          <w:spacing w:val="-2"/>
        </w:rPr>
        <w:t> </w:t>
      </w:r>
      <w:r>
        <w:rPr/>
        <w:t>period</w:t>
        <w:tab/>
        <w:t>3.36</w:t>
      </w:r>
    </w:p>
    <w:p>
      <w:pPr>
        <w:pStyle w:val="BodyText"/>
        <w:tabs>
          <w:tab w:pos="1973" w:val="left" w:leader="none"/>
        </w:tabs>
        <w:spacing w:before="120"/>
        <w:ind w:left="725"/>
      </w:pPr>
      <w:r>
        <w:rPr/>
        <w:t>Table</w:t>
      </w:r>
      <w:r>
        <w:rPr>
          <w:spacing w:val="-3"/>
        </w:rPr>
        <w:t> </w:t>
      </w:r>
      <w:r>
        <w:rPr/>
        <w:t>3.2.2</w:t>
        <w:tab/>
        <w:t>Updated defaults of natural mortality rates, dead wood stocks, and</w:t>
      </w:r>
      <w:r>
        <w:rPr>
          <w:spacing w:val="-8"/>
        </w:rPr>
        <w:t> </w:t>
      </w:r>
      <w:r>
        <w:rPr/>
        <w:t>live:dead</w:t>
      </w:r>
    </w:p>
    <w:p>
      <w:pPr>
        <w:pStyle w:val="BodyText"/>
        <w:tabs>
          <w:tab w:pos="9231" w:val="right" w:leader="dot"/>
        </w:tabs>
        <w:ind w:left="1973"/>
      </w:pPr>
      <w:r>
        <w:rPr/>
        <w:t>ratios</w:t>
        <w:tab/>
        <w:t>3.37</w:t>
      </w:r>
    </w:p>
    <w:p>
      <w:pPr>
        <w:pStyle w:val="BodyText"/>
        <w:tabs>
          <w:tab w:pos="1973" w:val="left" w:leader="none"/>
        </w:tabs>
        <w:spacing w:line="229" w:lineRule="exact" w:before="121"/>
        <w:ind w:left="725"/>
      </w:pPr>
      <w:r>
        <w:rPr/>
        <w:t>Table</w:t>
      </w:r>
      <w:r>
        <w:rPr>
          <w:spacing w:val="-3"/>
        </w:rPr>
        <w:t> </w:t>
      </w:r>
      <w:r>
        <w:rPr/>
        <w:t>3.2.3</w:t>
        <w:tab/>
        <w:t>Default values for CO</w:t>
      </w:r>
      <w:r>
        <w:rPr>
          <w:vertAlign w:val="subscript"/>
        </w:rPr>
        <w:t>2</w:t>
      </w:r>
      <w:r>
        <w:rPr>
          <w:vertAlign w:val="baseline"/>
        </w:rPr>
        <w:t>-C emission factor for drained organic</w:t>
      </w:r>
      <w:r>
        <w:rPr>
          <w:spacing w:val="-3"/>
          <w:vertAlign w:val="baseline"/>
        </w:rPr>
        <w:t> </w:t>
      </w:r>
      <w:r>
        <w:rPr>
          <w:vertAlign w:val="baseline"/>
        </w:rPr>
        <w:t>soils</w:t>
      </w:r>
    </w:p>
    <w:p>
      <w:pPr>
        <w:pStyle w:val="BodyText"/>
        <w:tabs>
          <w:tab w:pos="9229" w:val="right" w:leader="dot"/>
        </w:tabs>
        <w:spacing w:line="229" w:lineRule="exact"/>
        <w:ind w:left="1973"/>
      </w:pPr>
      <w:r>
        <w:rPr/>
        <w:t>in managed</w:t>
      </w:r>
      <w:r>
        <w:rPr>
          <w:spacing w:val="1"/>
        </w:rPr>
        <w:t> </w:t>
      </w:r>
      <w:r>
        <w:rPr/>
        <w:t>forests</w:t>
        <w:tab/>
        <w:t>3.42</w:t>
      </w:r>
    </w:p>
    <w:p>
      <w:pPr>
        <w:pStyle w:val="BodyText"/>
        <w:tabs>
          <w:tab w:pos="1973" w:val="left" w:leader="none"/>
          <w:tab w:pos="9231" w:val="right" w:leader="dot"/>
        </w:tabs>
        <w:spacing w:before="120"/>
        <w:ind w:left="725"/>
      </w:pPr>
      <w:r>
        <w:rPr/>
        <w:t>Table</w:t>
      </w:r>
      <w:r>
        <w:rPr>
          <w:spacing w:val="-3"/>
        </w:rPr>
        <w:t> </w:t>
      </w:r>
      <w:r>
        <w:rPr/>
        <w:t>3.2.4</w:t>
        <w:tab/>
        <w:t>Default reference (under native vegetation) soil organic C</w:t>
      </w:r>
      <w:r>
        <w:rPr>
          <w:spacing w:val="-9"/>
        </w:rPr>
        <w:t> </w:t>
      </w:r>
      <w:r>
        <w:rPr/>
        <w:t>stocks</w:t>
      </w:r>
      <w:r>
        <w:rPr>
          <w:spacing w:val="-2"/>
        </w:rPr>
        <w:t> </w:t>
      </w:r>
      <w:r>
        <w:rPr/>
        <w:t>(SOC</w:t>
      </w:r>
      <w:r>
        <w:rPr>
          <w:vertAlign w:val="subscript"/>
        </w:rPr>
        <w:t>Ref</w:t>
      </w:r>
      <w:r>
        <w:rPr>
          <w:vertAlign w:val="baseline"/>
        </w:rPr>
        <w:t>)</w:t>
        <w:tab/>
        <w:t>3.43</w:t>
      </w:r>
    </w:p>
    <w:p>
      <w:pPr>
        <w:pStyle w:val="BodyText"/>
        <w:tabs>
          <w:tab w:pos="1973" w:val="left" w:leader="none"/>
        </w:tabs>
        <w:spacing w:before="121"/>
        <w:ind w:left="725"/>
      </w:pPr>
      <w:r>
        <w:rPr/>
        <w:t>Table</w:t>
      </w:r>
      <w:r>
        <w:rPr>
          <w:spacing w:val="-3"/>
        </w:rPr>
        <w:t> </w:t>
      </w:r>
      <w:r>
        <w:rPr/>
        <w:t>3.2.5</w:t>
        <w:tab/>
        <w:t>Sources of uncertainty in estimating CO</w:t>
      </w:r>
      <w:r>
        <w:rPr>
          <w:vertAlign w:val="subscript"/>
        </w:rPr>
        <w:t>2</w:t>
      </w:r>
      <w:r>
        <w:rPr>
          <w:vertAlign w:val="baseline"/>
        </w:rPr>
        <w:t> emission/removal from forest</w:t>
      </w:r>
      <w:r>
        <w:rPr>
          <w:spacing w:val="-9"/>
          <w:vertAlign w:val="baseline"/>
        </w:rPr>
        <w:t> </w:t>
      </w:r>
      <w:r>
        <w:rPr>
          <w:vertAlign w:val="baseline"/>
        </w:rPr>
        <w:t>soil</w:t>
      </w:r>
    </w:p>
    <w:p>
      <w:pPr>
        <w:pStyle w:val="BodyText"/>
        <w:tabs>
          <w:tab w:pos="9232" w:val="right" w:leader="dot"/>
        </w:tabs>
        <w:ind w:left="1973"/>
      </w:pPr>
      <w:r>
        <w:rPr/>
        <w:t>and DOM pools</w:t>
        <w:tab/>
        <w:t>3.61</w:t>
      </w:r>
    </w:p>
    <w:p>
      <w:pPr>
        <w:pStyle w:val="BodyText"/>
        <w:tabs>
          <w:tab w:pos="1972" w:val="left" w:leader="none"/>
          <w:tab w:pos="9231" w:val="right" w:leader="dot"/>
        </w:tabs>
        <w:spacing w:before="121"/>
        <w:ind w:left="725"/>
      </w:pPr>
      <w:r>
        <w:rPr/>
        <w:t>Table</w:t>
      </w:r>
      <w:r>
        <w:rPr>
          <w:spacing w:val="-3"/>
        </w:rPr>
        <w:t> </w:t>
      </w:r>
      <w:r>
        <w:rPr/>
        <w:t>3.3.1</w:t>
        <w:tab/>
        <w:t>Tier descriptions for subcategories under cropland</w:t>
      </w:r>
      <w:r>
        <w:rPr>
          <w:spacing w:val="-7"/>
        </w:rPr>
        <w:t> </w:t>
      </w:r>
      <w:r>
        <w:rPr/>
        <w:t>remaining</w:t>
      </w:r>
      <w:r>
        <w:rPr>
          <w:spacing w:val="-2"/>
        </w:rPr>
        <w:t> </w:t>
      </w:r>
      <w:r>
        <w:rPr/>
        <w:t>cropland</w:t>
        <w:tab/>
        <w:t>3.70</w:t>
      </w:r>
    </w:p>
    <w:p>
      <w:pPr>
        <w:pStyle w:val="BodyText"/>
        <w:tabs>
          <w:tab w:pos="1972" w:val="left" w:leader="none"/>
        </w:tabs>
        <w:spacing w:before="118"/>
        <w:ind w:left="725"/>
      </w:pPr>
      <w:r>
        <w:rPr/>
        <w:t>Table</w:t>
      </w:r>
      <w:r>
        <w:rPr>
          <w:spacing w:val="-3"/>
        </w:rPr>
        <w:t> </w:t>
      </w:r>
      <w:r>
        <w:rPr/>
        <w:t>3.3.2</w:t>
        <w:tab/>
        <w:t>Default coefficients for aboveground woody biomass and harvest cycles</w:t>
      </w:r>
      <w:r>
        <w:rPr>
          <w:spacing w:val="-8"/>
        </w:rPr>
        <w:t> </w:t>
      </w:r>
      <w:r>
        <w:rPr/>
        <w:t>in</w:t>
      </w:r>
    </w:p>
    <w:p>
      <w:pPr>
        <w:pStyle w:val="BodyText"/>
        <w:tabs>
          <w:tab w:pos="9233" w:val="right" w:leader="dot"/>
        </w:tabs>
        <w:ind w:left="1973"/>
      </w:pPr>
      <w:r>
        <w:rPr/>
        <w:t>cropping systems containing</w:t>
      </w:r>
      <w:r>
        <w:rPr>
          <w:spacing w:val="-5"/>
        </w:rPr>
        <w:t> </w:t>
      </w:r>
      <w:r>
        <w:rPr/>
        <w:t>perennial</w:t>
      </w:r>
      <w:r>
        <w:rPr>
          <w:spacing w:val="2"/>
        </w:rPr>
        <w:t> </w:t>
      </w:r>
      <w:r>
        <w:rPr/>
        <w:t>species</w:t>
        <w:tab/>
        <w:t>3.71</w:t>
      </w:r>
    </w:p>
    <w:p>
      <w:pPr>
        <w:pStyle w:val="BodyText"/>
        <w:tabs>
          <w:tab w:pos="1973" w:val="left" w:leader="none"/>
          <w:tab w:pos="9231" w:val="right" w:leader="dot"/>
        </w:tabs>
        <w:spacing w:before="120"/>
        <w:ind w:left="725"/>
      </w:pPr>
      <w:r>
        <w:rPr/>
        <w:t>Table</w:t>
      </w:r>
      <w:r>
        <w:rPr>
          <w:spacing w:val="-3"/>
        </w:rPr>
        <w:t> </w:t>
      </w:r>
      <w:r>
        <w:rPr/>
        <w:t>3.3.3</w:t>
        <w:tab/>
        <w:t>Default reference (under native vegetation) soil organic C</w:t>
      </w:r>
      <w:r>
        <w:rPr>
          <w:spacing w:val="-9"/>
        </w:rPr>
        <w:t> </w:t>
      </w:r>
      <w:r>
        <w:rPr/>
        <w:t>stocks</w:t>
      </w:r>
      <w:r>
        <w:rPr>
          <w:spacing w:val="-2"/>
        </w:rPr>
        <w:t> </w:t>
      </w:r>
      <w:r>
        <w:rPr/>
        <w:t>(SOC</w:t>
      </w:r>
      <w:r>
        <w:rPr>
          <w:vertAlign w:val="subscript"/>
        </w:rPr>
        <w:t>Ref</w:t>
      </w:r>
      <w:r>
        <w:rPr>
          <w:vertAlign w:val="baseline"/>
        </w:rPr>
        <w:t>)</w:t>
        <w:tab/>
        <w:t>3.76</w:t>
      </w:r>
    </w:p>
    <w:p>
      <w:pPr>
        <w:pStyle w:val="BodyText"/>
        <w:tabs>
          <w:tab w:pos="1973" w:val="left" w:leader="none"/>
        </w:tabs>
        <w:spacing w:before="121"/>
        <w:ind w:left="725"/>
      </w:pPr>
      <w:r>
        <w:rPr/>
        <w:t>Table</w:t>
      </w:r>
      <w:r>
        <w:rPr>
          <w:spacing w:val="-3"/>
        </w:rPr>
        <w:t> </w:t>
      </w:r>
      <w:r>
        <w:rPr/>
        <w:t>3.3.4</w:t>
        <w:tab/>
        <w:t>Relative stock change factors (F</w:t>
      </w:r>
      <w:r>
        <w:rPr>
          <w:vertAlign w:val="subscript"/>
        </w:rPr>
        <w:t>LU</w:t>
      </w:r>
      <w:r>
        <w:rPr>
          <w:vertAlign w:val="baseline"/>
        </w:rPr>
        <w:t>, F</w:t>
      </w:r>
      <w:r>
        <w:rPr>
          <w:vertAlign w:val="subscript"/>
        </w:rPr>
        <w:t>MG</w:t>
      </w:r>
      <w:r>
        <w:rPr>
          <w:vertAlign w:val="baseline"/>
        </w:rPr>
        <w:t>, and F</w:t>
      </w:r>
      <w:r>
        <w:rPr>
          <w:vertAlign w:val="subscript"/>
        </w:rPr>
        <w:t>I</w:t>
      </w:r>
      <w:r>
        <w:rPr>
          <w:vertAlign w:val="baseline"/>
        </w:rPr>
        <w:t>) (over 20 years)</w:t>
      </w:r>
      <w:r>
        <w:rPr>
          <w:spacing w:val="2"/>
          <w:vertAlign w:val="baseline"/>
        </w:rPr>
        <w:t> </w:t>
      </w:r>
      <w:r>
        <w:rPr>
          <w:vertAlign w:val="baseline"/>
        </w:rPr>
        <w:t>for</w:t>
      </w:r>
    </w:p>
    <w:p>
      <w:pPr>
        <w:pStyle w:val="BodyText"/>
        <w:tabs>
          <w:tab w:pos="9230" w:val="right" w:leader="dot"/>
        </w:tabs>
        <w:ind w:left="1973"/>
      </w:pPr>
      <w:r>
        <w:rPr/>
        <w:t>different management activities on</w:t>
      </w:r>
      <w:r>
        <w:rPr>
          <w:spacing w:val="-2"/>
        </w:rPr>
        <w:t> </w:t>
      </w:r>
      <w:r>
        <w:rPr/>
        <w:t>cropland</w:t>
        <w:tab/>
        <w:t>3.77</w:t>
      </w:r>
    </w:p>
    <w:p>
      <w:pPr>
        <w:pStyle w:val="BodyText"/>
        <w:tabs>
          <w:tab w:pos="1972" w:val="left" w:leader="none"/>
          <w:tab w:pos="9231" w:val="right" w:leader="dot"/>
        </w:tabs>
        <w:spacing w:before="121"/>
        <w:ind w:left="725"/>
      </w:pPr>
      <w:r>
        <w:rPr/>
        <w:t>Table</w:t>
      </w:r>
      <w:r>
        <w:rPr>
          <w:spacing w:val="-3"/>
        </w:rPr>
        <w:t> </w:t>
      </w:r>
      <w:r>
        <w:rPr/>
        <w:t>3.3.5</w:t>
        <w:tab/>
        <w:t>Annual emission factors (EF) for cultivated</w:t>
      </w:r>
      <w:r>
        <w:rPr>
          <w:spacing w:val="-1"/>
        </w:rPr>
        <w:t> </w:t>
      </w:r>
      <w:r>
        <w:rPr/>
        <w:t>organic</w:t>
      </w:r>
      <w:r>
        <w:rPr>
          <w:spacing w:val="3"/>
        </w:rPr>
        <w:t> </w:t>
      </w:r>
      <w:r>
        <w:rPr/>
        <w:t>soils</w:t>
        <w:tab/>
        <w:t>3.79</w:t>
      </w:r>
    </w:p>
    <w:p>
      <w:pPr>
        <w:pStyle w:val="BodyText"/>
        <w:tabs>
          <w:tab w:pos="1973" w:val="left" w:leader="none"/>
          <w:tab w:pos="9234" w:val="right" w:leader="dot"/>
        </w:tabs>
        <w:spacing w:before="118"/>
        <w:ind w:left="725"/>
      </w:pPr>
      <w:r>
        <w:rPr/>
        <w:t>Table</w:t>
      </w:r>
      <w:r>
        <w:rPr>
          <w:spacing w:val="-3"/>
        </w:rPr>
        <w:t> </w:t>
      </w:r>
      <w:r>
        <w:rPr/>
        <w:t>3.3.6</w:t>
        <w:tab/>
        <w:t>Tier descriptions for subcategories under land converted to</w:t>
      </w:r>
      <w:r>
        <w:rPr>
          <w:spacing w:val="-9"/>
        </w:rPr>
        <w:t> </w:t>
      </w:r>
      <w:r>
        <w:rPr/>
        <w:t>cropland</w:t>
      </w:r>
      <w:r>
        <w:rPr>
          <w:spacing w:val="-1"/>
        </w:rPr>
        <w:t> </w:t>
      </w:r>
      <w:r>
        <w:rPr/>
        <w:t>(LC)</w:t>
        <w:tab/>
        <w:t>3.84</w:t>
      </w:r>
    </w:p>
    <w:p>
      <w:pPr>
        <w:pStyle w:val="BodyText"/>
        <w:tabs>
          <w:tab w:pos="1973" w:val="left" w:leader="none"/>
          <w:tab w:pos="9232" w:val="right" w:leader="dot"/>
        </w:tabs>
        <w:spacing w:before="120"/>
        <w:ind w:left="725"/>
      </w:pPr>
      <w:r>
        <w:rPr/>
        <w:t>Table</w:t>
      </w:r>
      <w:r>
        <w:rPr>
          <w:spacing w:val="-3"/>
        </w:rPr>
        <w:t> </w:t>
      </w:r>
      <w:r>
        <w:rPr/>
        <w:t>3.3.7</w:t>
        <w:tab/>
        <w:t>Default biomass carbon stocks removed due to land conversion</w:t>
      </w:r>
      <w:r>
        <w:rPr>
          <w:spacing w:val="-8"/>
        </w:rPr>
        <w:t> </w:t>
      </w:r>
      <w:r>
        <w:rPr/>
        <w:t>to cropland</w:t>
        <w:tab/>
        <w:t>3.87</w:t>
      </w:r>
    </w:p>
    <w:p>
      <w:pPr>
        <w:pStyle w:val="BodyText"/>
        <w:tabs>
          <w:tab w:pos="1973" w:val="left" w:leader="none"/>
        </w:tabs>
        <w:spacing w:before="120"/>
        <w:ind w:left="725"/>
      </w:pPr>
      <w:r>
        <w:rPr/>
        <w:t>Table</w:t>
      </w:r>
      <w:r>
        <w:rPr>
          <w:spacing w:val="-3"/>
        </w:rPr>
        <w:t> </w:t>
      </w:r>
      <w:r>
        <w:rPr/>
        <w:t>3.3.8</w:t>
        <w:tab/>
        <w:t>Default biomass carbon stocks present on land converted to cropland</w:t>
      </w:r>
      <w:r>
        <w:rPr>
          <w:spacing w:val="-8"/>
        </w:rPr>
        <w:t> </w:t>
      </w:r>
      <w:r>
        <w:rPr/>
        <w:t>in</w:t>
      </w:r>
    </w:p>
    <w:p>
      <w:pPr>
        <w:pStyle w:val="BodyText"/>
        <w:tabs>
          <w:tab w:pos="9232" w:val="right" w:leader="dot"/>
        </w:tabs>
        <w:spacing w:before="1"/>
        <w:ind w:left="1973"/>
      </w:pPr>
      <w:r>
        <w:rPr/>
        <w:t>the year</w:t>
      </w:r>
      <w:r>
        <w:rPr>
          <w:spacing w:val="5"/>
        </w:rPr>
        <w:t> </w:t>
      </w:r>
      <w:r>
        <w:rPr/>
        <w:t>following</w:t>
      </w:r>
      <w:r>
        <w:rPr>
          <w:spacing w:val="-1"/>
        </w:rPr>
        <w:t> </w:t>
      </w:r>
      <w:r>
        <w:rPr/>
        <w:t>conversion</w:t>
        <w:tab/>
        <w:t>3.88</w:t>
      </w:r>
    </w:p>
    <w:p>
      <w:pPr>
        <w:pStyle w:val="BodyText"/>
        <w:tabs>
          <w:tab w:pos="1973" w:val="left" w:leader="none"/>
        </w:tabs>
        <w:spacing w:before="120"/>
        <w:ind w:left="725"/>
      </w:pPr>
      <w:r>
        <w:rPr/>
        <w:t>Table</w:t>
      </w:r>
      <w:r>
        <w:rPr>
          <w:spacing w:val="-3"/>
        </w:rPr>
        <w:t> </w:t>
      </w:r>
      <w:r>
        <w:rPr/>
        <w:t>3.3.9</w:t>
        <w:tab/>
        <w:t>Relative soil stock change factors (F</w:t>
      </w:r>
      <w:r>
        <w:rPr>
          <w:vertAlign w:val="subscript"/>
        </w:rPr>
        <w:t>LU</w:t>
      </w:r>
      <w:r>
        <w:rPr>
          <w:vertAlign w:val="baseline"/>
        </w:rPr>
        <w:t>, F</w:t>
      </w:r>
      <w:r>
        <w:rPr>
          <w:vertAlign w:val="subscript"/>
        </w:rPr>
        <w:t>MG</w:t>
      </w:r>
      <w:r>
        <w:rPr>
          <w:vertAlign w:val="baseline"/>
        </w:rPr>
        <w:t>, F</w:t>
      </w:r>
      <w:r>
        <w:rPr>
          <w:vertAlign w:val="subscript"/>
        </w:rPr>
        <w:t>I</w:t>
      </w:r>
      <w:r>
        <w:rPr>
          <w:vertAlign w:val="baseline"/>
        </w:rPr>
        <w:t>) for</w:t>
      </w:r>
      <w:r>
        <w:rPr>
          <w:spacing w:val="-2"/>
          <w:vertAlign w:val="baseline"/>
        </w:rPr>
        <w:t> </w:t>
      </w:r>
      <w:r>
        <w:rPr>
          <w:vertAlign w:val="baseline"/>
        </w:rPr>
        <w:t>land-use</w:t>
      </w:r>
    </w:p>
    <w:p>
      <w:pPr>
        <w:pStyle w:val="BodyText"/>
        <w:tabs>
          <w:tab w:pos="9231" w:val="right" w:leader="dot"/>
        </w:tabs>
        <w:spacing w:before="1"/>
        <w:ind w:left="1973"/>
      </w:pPr>
      <w:r>
        <w:rPr/>
        <w:t>conversions</w:t>
      </w:r>
      <w:r>
        <w:rPr>
          <w:spacing w:val="-2"/>
        </w:rPr>
        <w:t> </w:t>
      </w:r>
      <w:r>
        <w:rPr/>
        <w:t>to</w:t>
      </w:r>
      <w:r>
        <w:rPr>
          <w:spacing w:val="1"/>
        </w:rPr>
        <w:t> </w:t>
      </w:r>
      <w:r>
        <w:rPr/>
        <w:t>cropland</w:t>
        <w:tab/>
        <w:t>3.92</w:t>
      </w:r>
    </w:p>
    <w:p>
      <w:pPr>
        <w:pStyle w:val="BodyText"/>
        <w:tabs>
          <w:tab w:pos="1973" w:val="left" w:leader="none"/>
          <w:tab w:pos="9231" w:val="right" w:leader="dot"/>
        </w:tabs>
        <w:spacing w:before="118"/>
        <w:ind w:left="725"/>
      </w:pPr>
      <w:r>
        <w:rPr/>
        <w:t>Table</w:t>
      </w:r>
      <w:r>
        <w:rPr>
          <w:spacing w:val="-3"/>
        </w:rPr>
        <w:t> </w:t>
      </w:r>
      <w:r>
        <w:rPr/>
        <w:t>3.4.1</w:t>
        <w:tab/>
        <w:t>Tier descriptions for subcategories under grassland</w:t>
      </w:r>
      <w:r>
        <w:rPr>
          <w:spacing w:val="-10"/>
        </w:rPr>
        <w:t> </w:t>
      </w:r>
      <w:r>
        <w:rPr/>
        <w:t>remaining grassland</w:t>
        <w:tab/>
        <w:t>3.106</w:t>
      </w:r>
    </w:p>
    <w:p>
      <w:pPr>
        <w:pStyle w:val="BodyText"/>
        <w:tabs>
          <w:tab w:pos="1973" w:val="left" w:leader="none"/>
        </w:tabs>
        <w:spacing w:before="120"/>
        <w:ind w:left="725"/>
      </w:pPr>
      <w:r>
        <w:rPr/>
        <w:t>Table</w:t>
      </w:r>
      <w:r>
        <w:rPr>
          <w:spacing w:val="-3"/>
        </w:rPr>
        <w:t> </w:t>
      </w:r>
      <w:r>
        <w:rPr/>
        <w:t>3.4.2</w:t>
        <w:tab/>
        <w:t>Default estimates for standing biomass grassland (as dry matter)</w:t>
      </w:r>
      <w:r>
        <w:rPr>
          <w:spacing w:val="-4"/>
        </w:rPr>
        <w:t> </w:t>
      </w:r>
      <w:r>
        <w:rPr/>
        <w:t>and</w:t>
      </w:r>
    </w:p>
    <w:p>
      <w:pPr>
        <w:pStyle w:val="BodyText"/>
        <w:tabs>
          <w:tab w:pos="9232" w:val="right" w:leader="dot"/>
        </w:tabs>
        <w:spacing w:before="1"/>
        <w:ind w:left="1973"/>
      </w:pPr>
      <w:r>
        <w:rPr/>
        <w:t>aboveground net primary production, classified by IPCC</w:t>
      </w:r>
      <w:r>
        <w:rPr>
          <w:spacing w:val="-10"/>
        </w:rPr>
        <w:t> </w:t>
      </w:r>
      <w:r>
        <w:rPr/>
        <w:t>climate zones</w:t>
        <w:tab/>
        <w:t>3.109</w:t>
      </w:r>
    </w:p>
    <w:p>
      <w:pPr>
        <w:pStyle w:val="BodyText"/>
        <w:tabs>
          <w:tab w:pos="1973" w:val="left" w:leader="none"/>
        </w:tabs>
        <w:spacing w:before="120"/>
        <w:ind w:left="725"/>
      </w:pPr>
      <w:r>
        <w:rPr/>
        <w:t>Table</w:t>
      </w:r>
      <w:r>
        <w:rPr>
          <w:spacing w:val="-3"/>
        </w:rPr>
        <w:t> </w:t>
      </w:r>
      <w:r>
        <w:rPr/>
        <w:t>3.4.3</w:t>
        <w:tab/>
        <w:t>Default expansion factors (root-to-shoot [R:S] ratios) for the</w:t>
      </w:r>
      <w:r>
        <w:rPr>
          <w:spacing w:val="-3"/>
        </w:rPr>
        <w:t> </w:t>
      </w:r>
      <w:r>
        <w:rPr/>
        <w:t>major</w:t>
      </w:r>
    </w:p>
    <w:p>
      <w:pPr>
        <w:pStyle w:val="BodyText"/>
        <w:tabs>
          <w:tab w:pos="9230" w:val="right" w:leader="dot"/>
        </w:tabs>
        <w:ind w:left="1973"/>
      </w:pPr>
      <w:r>
        <w:rPr/>
        <w:t>savannah/rangeland ecosystems of</w:t>
      </w:r>
      <w:r>
        <w:rPr>
          <w:spacing w:val="-4"/>
        </w:rPr>
        <w:t> </w:t>
      </w:r>
      <w:r>
        <w:rPr/>
        <w:t>the</w:t>
      </w:r>
      <w:r>
        <w:rPr>
          <w:spacing w:val="3"/>
        </w:rPr>
        <w:t> </w:t>
      </w:r>
      <w:r>
        <w:rPr/>
        <w:t>world</w:t>
        <w:tab/>
        <w:t>3.110</w:t>
      </w:r>
    </w:p>
    <w:p>
      <w:pPr>
        <w:pStyle w:val="BodyText"/>
        <w:tabs>
          <w:tab w:pos="1973" w:val="left" w:leader="none"/>
          <w:tab w:pos="9231" w:val="right" w:leader="dot"/>
        </w:tabs>
        <w:spacing w:before="118"/>
        <w:ind w:left="725"/>
      </w:pPr>
      <w:r>
        <w:rPr/>
        <w:t>Table</w:t>
      </w:r>
      <w:r>
        <w:rPr>
          <w:spacing w:val="-3"/>
        </w:rPr>
        <w:t> </w:t>
      </w:r>
      <w:r>
        <w:rPr/>
        <w:t>3.4.4</w:t>
        <w:tab/>
        <w:t>Default reference (under native vegetation) soil organic c</w:t>
      </w:r>
      <w:r>
        <w:rPr>
          <w:spacing w:val="-10"/>
        </w:rPr>
        <w:t> </w:t>
      </w:r>
      <w:r>
        <w:rPr/>
        <w:t>stocks</w:t>
      </w:r>
      <w:r>
        <w:rPr>
          <w:spacing w:val="-3"/>
        </w:rPr>
        <w:t> </w:t>
      </w:r>
      <w:r>
        <w:rPr/>
        <w:t>(SOC</w:t>
      </w:r>
      <w:r>
        <w:rPr>
          <w:vertAlign w:val="subscript"/>
        </w:rPr>
        <w:t>Ref</w:t>
      </w:r>
      <w:r>
        <w:rPr>
          <w:vertAlign w:val="baseline"/>
        </w:rPr>
        <w:t>)</w:t>
        <w:tab/>
        <w:t>3.117</w:t>
      </w:r>
    </w:p>
    <w:p>
      <w:pPr>
        <w:pStyle w:val="BodyText"/>
        <w:tabs>
          <w:tab w:pos="1972" w:val="left" w:leader="none"/>
          <w:tab w:pos="9232" w:val="right" w:leader="dot"/>
        </w:tabs>
        <w:spacing w:before="121"/>
        <w:ind w:left="725"/>
      </w:pPr>
      <w:r>
        <w:rPr/>
        <w:t>Table</w:t>
      </w:r>
      <w:r>
        <w:rPr>
          <w:spacing w:val="-3"/>
        </w:rPr>
        <w:t> </w:t>
      </w:r>
      <w:r>
        <w:rPr/>
        <w:t>3.4.5</w:t>
        <w:tab/>
        <w:t>Relative stock change factors for</w:t>
      </w:r>
      <w:r>
        <w:rPr>
          <w:spacing w:val="1"/>
        </w:rPr>
        <w:t> </w:t>
      </w:r>
      <w:r>
        <w:rPr/>
        <w:t>grassland</w:t>
      </w:r>
      <w:r>
        <w:rPr>
          <w:spacing w:val="2"/>
        </w:rPr>
        <w:t> </w:t>
      </w:r>
      <w:r>
        <w:rPr/>
        <w:t>management</w:t>
        <w:tab/>
        <w:t>3.118</w:t>
      </w:r>
    </w:p>
    <w:p>
      <w:pPr>
        <w:pStyle w:val="BodyText"/>
        <w:tabs>
          <w:tab w:pos="1972" w:val="left" w:leader="none"/>
          <w:tab w:pos="9231" w:val="right" w:leader="dot"/>
        </w:tabs>
        <w:spacing w:before="120"/>
        <w:ind w:left="725"/>
      </w:pPr>
      <w:r>
        <w:rPr/>
        <w:t>Table</w:t>
      </w:r>
      <w:r>
        <w:rPr>
          <w:spacing w:val="-3"/>
        </w:rPr>
        <w:t> </w:t>
      </w:r>
      <w:r>
        <w:rPr/>
        <w:t>3.4.6</w:t>
        <w:tab/>
        <w:t>Annual emission factors (EF) for managed grassland organic soils</w:t>
        <w:tab/>
        <w:t>3.118</w:t>
      </w:r>
    </w:p>
    <w:p>
      <w:pPr>
        <w:pStyle w:val="BodyText"/>
        <w:tabs>
          <w:tab w:pos="1973" w:val="left" w:leader="none"/>
          <w:tab w:pos="9233" w:val="right" w:leader="dot"/>
        </w:tabs>
        <w:spacing w:before="121"/>
        <w:ind w:left="725"/>
      </w:pPr>
      <w:r>
        <w:rPr/>
        <w:t>Table</w:t>
      </w:r>
      <w:r>
        <w:rPr>
          <w:spacing w:val="-3"/>
        </w:rPr>
        <w:t> </w:t>
      </w:r>
      <w:r>
        <w:rPr/>
        <w:t>3.4.7</w:t>
        <w:tab/>
        <w:t>Tier descriptions for subcategories under land converted</w:t>
      </w:r>
      <w:r>
        <w:rPr>
          <w:spacing w:val="-8"/>
        </w:rPr>
        <w:t> </w:t>
      </w:r>
      <w:r>
        <w:rPr/>
        <w:t>to grassland</w:t>
        <w:tab/>
        <w:t>3.122</w:t>
      </w:r>
    </w:p>
    <w:p>
      <w:pPr>
        <w:pStyle w:val="BodyText"/>
        <w:tabs>
          <w:tab w:pos="1973" w:val="left" w:leader="none"/>
          <w:tab w:pos="9233" w:val="right" w:leader="dot"/>
        </w:tabs>
        <w:spacing w:before="120"/>
        <w:ind w:left="725"/>
      </w:pPr>
      <w:r>
        <w:rPr/>
        <w:t>Table</w:t>
      </w:r>
      <w:r>
        <w:rPr>
          <w:spacing w:val="-3"/>
        </w:rPr>
        <w:t> </w:t>
      </w:r>
      <w:r>
        <w:rPr/>
        <w:t>3.4.8</w:t>
        <w:tab/>
        <w:t>Default biomass carbon stocks removed due to land conversion</w:t>
      </w:r>
      <w:r>
        <w:rPr>
          <w:spacing w:val="-11"/>
        </w:rPr>
        <w:t> </w:t>
      </w:r>
      <w:r>
        <w:rPr/>
        <w:t>to grassland</w:t>
        <w:tab/>
        <w:t>3.124</w:t>
      </w:r>
    </w:p>
    <w:p>
      <w:pPr>
        <w:pStyle w:val="BodyText"/>
        <w:tabs>
          <w:tab w:pos="1973" w:val="left" w:leader="none"/>
          <w:tab w:pos="9233" w:val="right" w:leader="dot"/>
        </w:tabs>
        <w:spacing w:before="121"/>
        <w:ind w:left="725"/>
      </w:pPr>
      <w:r>
        <w:rPr/>
        <w:t>Table</w:t>
      </w:r>
      <w:r>
        <w:rPr>
          <w:spacing w:val="-3"/>
        </w:rPr>
        <w:t> </w:t>
      </w:r>
      <w:r>
        <w:rPr/>
        <w:t>3.4.9</w:t>
        <w:tab/>
        <w:t>Default biomass carbon stocks present on land converted</w:t>
      </w:r>
      <w:r>
        <w:rPr>
          <w:spacing w:val="-7"/>
        </w:rPr>
        <w:t> </w:t>
      </w:r>
      <w:r>
        <w:rPr/>
        <w:t>to grassland.</w:t>
        <w:tab/>
        <w:t>3.125</w:t>
      </w:r>
    </w:p>
    <w:p>
      <w:pPr>
        <w:pStyle w:val="BodyText"/>
        <w:tabs>
          <w:tab w:pos="1972" w:val="left" w:leader="none"/>
          <w:tab w:pos="9232" w:val="right" w:leader="dot"/>
        </w:tabs>
        <w:spacing w:before="118"/>
        <w:ind w:left="725"/>
      </w:pPr>
      <w:r>
        <w:rPr/>
        <w:t>Table</w:t>
      </w:r>
      <w:r>
        <w:rPr>
          <w:spacing w:val="-3"/>
        </w:rPr>
        <w:t> </w:t>
      </w:r>
      <w:r>
        <w:rPr/>
        <w:t>3.4.10</w:t>
        <w:tab/>
        <w:t>Relative soil stock change factors for land-use conversions</w:t>
      </w:r>
      <w:r>
        <w:rPr>
          <w:spacing w:val="-11"/>
        </w:rPr>
        <w:t> </w:t>
      </w:r>
      <w:r>
        <w:rPr/>
        <w:t>to grassland</w:t>
        <w:tab/>
        <w:t>3.128</w:t>
      </w:r>
    </w:p>
    <w:p>
      <w:pPr>
        <w:pStyle w:val="BodyText"/>
        <w:tabs>
          <w:tab w:pos="1973" w:val="left" w:leader="none"/>
        </w:tabs>
        <w:spacing w:before="120"/>
        <w:ind w:left="725"/>
      </w:pPr>
      <w:r>
        <w:rPr/>
        <w:t>Table</w:t>
      </w:r>
      <w:r>
        <w:rPr>
          <w:spacing w:val="-3"/>
        </w:rPr>
        <w:t> </w:t>
      </w:r>
      <w:r>
        <w:rPr/>
        <w:t>3.5.1</w:t>
        <w:tab/>
        <w:t>Sections and appendices addressing major greenhouse gas emissions</w:t>
      </w:r>
      <w:r>
        <w:rPr>
          <w:spacing w:val="-8"/>
        </w:rPr>
        <w:t> </w:t>
      </w:r>
      <w:r>
        <w:rPr/>
        <w:t>from</w:t>
      </w:r>
    </w:p>
    <w:p>
      <w:pPr>
        <w:pStyle w:val="BodyText"/>
        <w:tabs>
          <w:tab w:pos="9230" w:val="right" w:leader="dot"/>
        </w:tabs>
        <w:ind w:left="1973"/>
      </w:pPr>
      <w:r>
        <w:rPr/>
        <w:t>managed wetlands in this</w:t>
      </w:r>
      <w:r>
        <w:rPr>
          <w:spacing w:val="-1"/>
        </w:rPr>
        <w:t> </w:t>
      </w:r>
      <w:r>
        <w:rPr/>
        <w:t>report</w:t>
        <w:tab/>
        <w:t>3.135</w:t>
      </w:r>
    </w:p>
    <w:p>
      <w:pPr>
        <w:pStyle w:val="BodyText"/>
        <w:tabs>
          <w:tab w:pos="1972" w:val="left" w:leader="none"/>
          <w:tab w:pos="9233" w:val="right" w:leader="dot"/>
        </w:tabs>
        <w:spacing w:before="121"/>
        <w:ind w:left="725"/>
      </w:pPr>
      <w:r>
        <w:rPr/>
        <w:t>Table</w:t>
      </w:r>
      <w:r>
        <w:rPr>
          <w:spacing w:val="-3"/>
        </w:rPr>
        <w:t> </w:t>
      </w:r>
      <w:r>
        <w:rPr/>
        <w:t>3.5.2</w:t>
        <w:tab/>
        <w:t>Emission factors and associated uncertainty for organic soils</w:t>
      </w:r>
      <w:r>
        <w:rPr>
          <w:spacing w:val="-8"/>
        </w:rPr>
        <w:t> </w:t>
      </w:r>
      <w:r>
        <w:rPr/>
        <w:t>after</w:t>
      </w:r>
      <w:r>
        <w:rPr>
          <w:spacing w:val="-1"/>
        </w:rPr>
        <w:t> </w:t>
      </w:r>
      <w:r>
        <w:rPr/>
        <w:t>drainage</w:t>
        <w:tab/>
        <w:t>3.138</w:t>
      </w:r>
    </w:p>
    <w:p>
      <w:pPr>
        <w:spacing w:after="0"/>
        <w:sectPr>
          <w:pgSz w:w="11900" w:h="16840"/>
          <w:pgMar w:header="230" w:footer="408" w:top="560" w:bottom="600" w:left="1260" w:right="1240"/>
        </w:sectPr>
      </w:pPr>
    </w:p>
    <w:p>
      <w:pPr>
        <w:pStyle w:val="BodyText"/>
        <w:rPr>
          <w:sz w:val="34"/>
        </w:rPr>
      </w:pPr>
    </w:p>
    <w:p>
      <w:pPr>
        <w:pStyle w:val="BodyText"/>
        <w:rPr>
          <w:sz w:val="34"/>
        </w:rPr>
      </w:pPr>
    </w:p>
    <w:p>
      <w:pPr>
        <w:pStyle w:val="BodyText"/>
        <w:rPr>
          <w:sz w:val="34"/>
        </w:rPr>
      </w:pPr>
    </w:p>
    <w:p>
      <w:pPr>
        <w:pStyle w:val="BodyText"/>
        <w:spacing w:before="2"/>
        <w:rPr>
          <w:sz w:val="40"/>
        </w:rPr>
      </w:pPr>
    </w:p>
    <w:p>
      <w:pPr>
        <w:pStyle w:val="Heading2"/>
        <w:ind w:left="556" w:right="563" w:firstLine="0"/>
        <w:jc w:val="center"/>
      </w:pPr>
      <w:r>
        <w:rPr/>
        <w:t>Boxes</w:t>
      </w:r>
    </w:p>
    <w:p>
      <w:pPr>
        <w:pStyle w:val="BodyText"/>
        <w:spacing w:before="5"/>
        <w:rPr>
          <w:b/>
          <w:sz w:val="41"/>
        </w:rPr>
      </w:pPr>
    </w:p>
    <w:p>
      <w:pPr>
        <w:pStyle w:val="BodyText"/>
        <w:tabs>
          <w:tab w:pos="1971" w:val="left" w:leader="none"/>
          <w:tab w:pos="8880" w:val="left" w:leader="dot"/>
        </w:tabs>
        <w:ind w:left="725"/>
      </w:pPr>
      <w:r>
        <w:rPr/>
        <w:t>Box</w:t>
      </w:r>
      <w:r>
        <w:rPr>
          <w:spacing w:val="-3"/>
        </w:rPr>
        <w:t> </w:t>
      </w:r>
      <w:r>
        <w:rPr/>
        <w:t>3.1.1</w:t>
        <w:tab/>
        <w:t>Framework of Tier Structure in the Good</w:t>
      </w:r>
      <w:r>
        <w:rPr>
          <w:spacing w:val="-22"/>
        </w:rPr>
        <w:t> </w:t>
      </w:r>
      <w:r>
        <w:rPr/>
        <w:t>Practice</w:t>
      </w:r>
      <w:r>
        <w:rPr>
          <w:spacing w:val="-2"/>
        </w:rPr>
        <w:t> </w:t>
      </w:r>
      <w:r>
        <w:rPr/>
        <w:t>Guidance</w:t>
        <w:tab/>
        <w:t>3.17</w:t>
      </w:r>
    </w:p>
    <w:p>
      <w:pPr>
        <w:pStyle w:val="BodyText"/>
        <w:tabs>
          <w:tab w:pos="1970" w:val="left" w:leader="none"/>
          <w:tab w:pos="8879" w:val="left" w:leader="dot"/>
        </w:tabs>
        <w:spacing w:before="118"/>
        <w:ind w:left="725"/>
      </w:pPr>
      <w:r>
        <w:rPr/>
        <w:t>Box</w:t>
      </w:r>
      <w:r>
        <w:rPr>
          <w:spacing w:val="-3"/>
        </w:rPr>
        <w:t> </w:t>
      </w:r>
      <w:r>
        <w:rPr/>
        <w:t>3.2.1</w:t>
        <w:tab/>
        <w:t>Organic soils, peat lands</w:t>
      </w:r>
      <w:r>
        <w:rPr>
          <w:spacing w:val="-7"/>
        </w:rPr>
        <w:t> </w:t>
      </w:r>
      <w:r>
        <w:rPr/>
        <w:t>and</w:t>
      </w:r>
      <w:r>
        <w:rPr>
          <w:spacing w:val="-2"/>
        </w:rPr>
        <w:t> </w:t>
      </w:r>
      <w:r>
        <w:rPr/>
        <w:t>wetlands</w:t>
        <w:tab/>
        <w:t>3.38</w:t>
      </w:r>
    </w:p>
    <w:p>
      <w:pPr>
        <w:pStyle w:val="BodyText"/>
        <w:tabs>
          <w:tab w:pos="1971" w:val="left" w:leader="none"/>
          <w:tab w:pos="8880" w:val="left" w:leader="dot"/>
        </w:tabs>
        <w:spacing w:before="120"/>
        <w:ind w:left="725"/>
      </w:pPr>
      <w:r>
        <w:rPr/>
        <w:t>Box</w:t>
      </w:r>
      <w:r>
        <w:rPr>
          <w:spacing w:val="-3"/>
        </w:rPr>
        <w:t> </w:t>
      </w:r>
      <w:r>
        <w:rPr/>
        <w:t>3.3.1</w:t>
        <w:tab/>
        <w:t>Good practice in derivation of country-specific</w:t>
      </w:r>
      <w:r>
        <w:rPr>
          <w:spacing w:val="-23"/>
        </w:rPr>
        <w:t> </w:t>
      </w:r>
      <w:r>
        <w:rPr/>
        <w:t>emission</w:t>
      </w:r>
      <w:r>
        <w:rPr>
          <w:spacing w:val="-3"/>
        </w:rPr>
        <w:t> </w:t>
      </w:r>
      <w:r>
        <w:rPr/>
        <w:t>factors</w:t>
        <w:tab/>
        <w:t>3.95</w:t>
      </w:r>
    </w:p>
    <w:p>
      <w:pPr>
        <w:spacing w:after="0"/>
        <w:sectPr>
          <w:pgSz w:w="11900" w:h="16840"/>
          <w:pgMar w:header="230" w:footer="408" w:top="560" w:bottom="600" w:left="1260" w:right="1240"/>
        </w:sectPr>
      </w:pPr>
    </w:p>
    <w:p>
      <w:pPr>
        <w:pStyle w:val="BodyText"/>
      </w:pPr>
    </w:p>
    <w:p>
      <w:pPr>
        <w:pStyle w:val="BodyText"/>
      </w:pPr>
    </w:p>
    <w:p>
      <w:pPr>
        <w:pStyle w:val="Heading2"/>
        <w:numPr>
          <w:ilvl w:val="1"/>
          <w:numId w:val="33"/>
        </w:numPr>
        <w:tabs>
          <w:tab w:pos="1361" w:val="left" w:leader="none"/>
          <w:tab w:pos="1362" w:val="left" w:leader="none"/>
        </w:tabs>
        <w:spacing w:line="240" w:lineRule="auto" w:before="225" w:after="0"/>
        <w:ind w:left="1361" w:right="0" w:hanging="1202"/>
        <w:jc w:val="left"/>
      </w:pPr>
      <w:r>
        <w:rPr>
          <w:spacing w:val="20"/>
        </w:rPr>
        <w:t>INTRODUCTION</w:t>
      </w:r>
    </w:p>
    <w:p>
      <w:pPr>
        <w:pStyle w:val="BodyText"/>
        <w:spacing w:before="176"/>
        <w:ind w:left="159" w:right="169"/>
        <w:jc w:val="both"/>
      </w:pPr>
      <w:r>
        <w:rPr/>
        <w:t>Chapter 3 provides guidance on the estimation of emissions and removals of CO</w:t>
      </w:r>
      <w:r>
        <w:rPr>
          <w:vertAlign w:val="subscript"/>
        </w:rPr>
        <w:t>2</w:t>
      </w:r>
      <w:r>
        <w:rPr>
          <w:vertAlign w:val="baseline"/>
        </w:rPr>
        <w:t> and non-CO</w:t>
      </w:r>
      <w:r>
        <w:rPr>
          <w:vertAlign w:val="subscript"/>
        </w:rPr>
        <w:t>2</w:t>
      </w:r>
      <w:r>
        <w:rPr>
          <w:vertAlign w:val="baseline"/>
        </w:rPr>
        <w:t> for the Land Use, Land-Use Change and Forestry (LULUCF) sector, covering Chapter 5 of the Revised 1996 IPCC Guidelines for National Greenhouse Gas Inventories (</w:t>
      </w:r>
      <w:r>
        <w:rPr>
          <w:i/>
          <w:vertAlign w:val="baseline"/>
        </w:rPr>
        <w:t>IPCC Guidelines</w:t>
      </w:r>
      <w:r>
        <w:rPr>
          <w:vertAlign w:val="baseline"/>
        </w:rPr>
        <w:t>).</w:t>
      </w:r>
    </w:p>
    <w:p>
      <w:pPr>
        <w:pStyle w:val="BodyText"/>
        <w:spacing w:before="119"/>
        <w:ind w:left="159"/>
      </w:pPr>
      <w:r>
        <w:rPr/>
        <w:t>This chapter provides two significant advances:</w:t>
      </w:r>
    </w:p>
    <w:p>
      <w:pPr>
        <w:pStyle w:val="ListParagraph"/>
        <w:numPr>
          <w:ilvl w:val="2"/>
          <w:numId w:val="33"/>
        </w:numPr>
        <w:tabs>
          <w:tab w:pos="1237" w:val="left" w:leader="none"/>
        </w:tabs>
        <w:spacing w:line="240" w:lineRule="auto" w:before="120" w:after="0"/>
        <w:ind w:left="1236" w:right="167" w:hanging="571"/>
        <w:jc w:val="both"/>
        <w:rPr>
          <w:sz w:val="20"/>
        </w:rPr>
      </w:pPr>
      <w:r>
        <w:rPr>
          <w:sz w:val="20"/>
        </w:rPr>
        <w:t>It introduces three hierarchical tiers of methods that range from default data and simple equations to the use of country-specific data and models to accommodate national circumstances. These tiers, if properly implemented, successively reduce uncertainty and increase</w:t>
      </w:r>
      <w:r>
        <w:rPr>
          <w:spacing w:val="-16"/>
          <w:sz w:val="20"/>
        </w:rPr>
        <w:t> </w:t>
      </w:r>
      <w:r>
        <w:rPr>
          <w:sz w:val="20"/>
        </w:rPr>
        <w:t>accuracy.</w:t>
      </w:r>
    </w:p>
    <w:p>
      <w:pPr>
        <w:pStyle w:val="ListParagraph"/>
        <w:numPr>
          <w:ilvl w:val="2"/>
          <w:numId w:val="33"/>
        </w:numPr>
        <w:tabs>
          <w:tab w:pos="1237" w:val="left" w:leader="none"/>
        </w:tabs>
        <w:spacing w:line="240" w:lineRule="auto" w:before="119" w:after="0"/>
        <w:ind w:left="1236" w:right="165" w:hanging="597"/>
        <w:jc w:val="both"/>
        <w:rPr>
          <w:sz w:val="20"/>
        </w:rPr>
      </w:pPr>
      <w:r>
        <w:rPr>
          <w:sz w:val="20"/>
        </w:rPr>
        <w:t>It uses the land-use categories (of Chapter 2) to organise the methodologies and to facilitate: a) transparent reporting, b) association of above and below ground carbon pools (at the higher tiers), whilst allowing comparison with reporting of the </w:t>
      </w:r>
      <w:r>
        <w:rPr>
          <w:i/>
          <w:sz w:val="20"/>
        </w:rPr>
        <w:t>IPCC</w:t>
      </w:r>
      <w:r>
        <w:rPr>
          <w:i/>
          <w:spacing w:val="-8"/>
          <w:sz w:val="20"/>
        </w:rPr>
        <w:t> </w:t>
      </w:r>
      <w:r>
        <w:rPr>
          <w:i/>
          <w:sz w:val="20"/>
        </w:rPr>
        <w:t>Guidelines</w:t>
      </w:r>
      <w:r>
        <w:rPr>
          <w:sz w:val="20"/>
        </w:rPr>
        <w:t>.</w:t>
      </w:r>
    </w:p>
    <w:p>
      <w:pPr>
        <w:pStyle w:val="BodyText"/>
        <w:spacing w:before="119"/>
        <w:ind w:left="159" w:right="166"/>
      </w:pPr>
      <w:r>
        <w:rPr/>
        <w:t>The methodologies in this report are organised by land-use categories (six sections), by broad carbon pools and non-CO</w:t>
      </w:r>
      <w:r>
        <w:rPr>
          <w:vertAlign w:val="subscript"/>
        </w:rPr>
        <w:t>2</w:t>
      </w:r>
      <w:r>
        <w:rPr>
          <w:vertAlign w:val="baseline"/>
        </w:rPr>
        <w:t> gases, and by tier, and are consistent with the other chapters of the report.</w:t>
      </w:r>
    </w:p>
    <w:p>
      <w:pPr>
        <w:pStyle w:val="BodyText"/>
        <w:rPr>
          <w:sz w:val="24"/>
        </w:rPr>
      </w:pPr>
    </w:p>
    <w:p>
      <w:pPr>
        <w:pStyle w:val="Heading2"/>
        <w:numPr>
          <w:ilvl w:val="2"/>
          <w:numId w:val="34"/>
        </w:numPr>
        <w:tabs>
          <w:tab w:pos="1361" w:val="left" w:leader="none"/>
          <w:tab w:pos="1362" w:val="left" w:leader="none"/>
        </w:tabs>
        <w:spacing w:line="240" w:lineRule="auto" w:before="210" w:after="0"/>
        <w:ind w:left="1361" w:right="0" w:hanging="1202"/>
        <w:jc w:val="left"/>
      </w:pPr>
      <w:r>
        <w:rPr>
          <w:spacing w:val="8"/>
        </w:rPr>
        <w:t>Inventory </w:t>
      </w:r>
      <w:r>
        <w:rPr>
          <w:spacing w:val="6"/>
        </w:rPr>
        <w:t>and </w:t>
      </w:r>
      <w:r>
        <w:rPr>
          <w:spacing w:val="8"/>
        </w:rPr>
        <w:t>Reporting</w:t>
      </w:r>
      <w:r>
        <w:rPr>
          <w:spacing w:val="45"/>
        </w:rPr>
        <w:t> </w:t>
      </w:r>
      <w:r>
        <w:rPr>
          <w:spacing w:val="10"/>
        </w:rPr>
        <w:t>Steps</w:t>
      </w:r>
    </w:p>
    <w:p>
      <w:pPr>
        <w:pStyle w:val="BodyText"/>
        <w:spacing w:before="114"/>
        <w:ind w:left="159" w:right="166"/>
        <w:jc w:val="both"/>
      </w:pPr>
      <w:r>
        <w:rPr/>
        <w:t>The overall sequence of steps for inventorying and reporting emissions and removals is outlined below. It is </w:t>
      </w:r>
      <w:r>
        <w:rPr>
          <w:i/>
        </w:rPr>
        <w:t>good practice </w:t>
      </w:r>
      <w:r>
        <w:rPr/>
        <w:t>for countries to follow these steps and those provided in each section of this chapter to estimate emissions and</w:t>
      </w:r>
      <w:r>
        <w:rPr>
          <w:spacing w:val="-1"/>
        </w:rPr>
        <w:t> </w:t>
      </w:r>
      <w:r>
        <w:rPr/>
        <w:t>removals:</w:t>
      </w:r>
    </w:p>
    <w:p>
      <w:pPr>
        <w:pStyle w:val="ListParagraph"/>
        <w:numPr>
          <w:ilvl w:val="3"/>
          <w:numId w:val="34"/>
        </w:numPr>
        <w:tabs>
          <w:tab w:pos="1237" w:val="left" w:leader="none"/>
        </w:tabs>
        <w:spacing w:line="240" w:lineRule="auto" w:before="119" w:after="0"/>
        <w:ind w:left="1236" w:right="166" w:hanging="571"/>
        <w:jc w:val="both"/>
        <w:rPr>
          <w:sz w:val="20"/>
        </w:rPr>
      </w:pPr>
      <w:r>
        <w:rPr>
          <w:sz w:val="20"/>
        </w:rPr>
        <w:t>Drawing on the three approaches for representing areas in Chapter 2, estimate the land areas in each land use category for time period</w:t>
      </w:r>
      <w:r>
        <w:rPr>
          <w:spacing w:val="-2"/>
          <w:sz w:val="20"/>
        </w:rPr>
        <w:t> </w:t>
      </w:r>
      <w:r>
        <w:rPr>
          <w:sz w:val="20"/>
        </w:rPr>
        <w:t>required.</w:t>
      </w:r>
    </w:p>
    <w:p>
      <w:pPr>
        <w:pStyle w:val="ListParagraph"/>
        <w:numPr>
          <w:ilvl w:val="3"/>
          <w:numId w:val="34"/>
        </w:numPr>
        <w:tabs>
          <w:tab w:pos="1237" w:val="left" w:leader="none"/>
        </w:tabs>
        <w:spacing w:line="240" w:lineRule="auto" w:before="121" w:after="0"/>
        <w:ind w:left="1236" w:right="165" w:hanging="597"/>
        <w:jc w:val="both"/>
        <w:rPr>
          <w:sz w:val="20"/>
        </w:rPr>
      </w:pPr>
      <w:r>
        <w:rPr>
          <w:sz w:val="20"/>
        </w:rPr>
        <w:t>Conduct key category assessment for the relevant LULUCF categories using the guidance provided in Chapters 3 and 5. Within the categories designated as key, assess which non-CO</w:t>
      </w:r>
      <w:r>
        <w:rPr>
          <w:sz w:val="20"/>
          <w:vertAlign w:val="subscript"/>
        </w:rPr>
        <w:t>2</w:t>
      </w:r>
      <w:r>
        <w:rPr>
          <w:sz w:val="20"/>
          <w:vertAlign w:val="baseline"/>
        </w:rPr>
        <w:t> gases and carbon pools are significant, and prioritise such pools in terms of methodological</w:t>
      </w:r>
      <w:r>
        <w:rPr>
          <w:spacing w:val="-18"/>
          <w:sz w:val="20"/>
          <w:vertAlign w:val="baseline"/>
        </w:rPr>
        <w:t> </w:t>
      </w:r>
      <w:r>
        <w:rPr>
          <w:sz w:val="20"/>
          <w:vertAlign w:val="baseline"/>
        </w:rPr>
        <w:t>choice.</w:t>
      </w:r>
    </w:p>
    <w:p>
      <w:pPr>
        <w:pStyle w:val="ListParagraph"/>
        <w:numPr>
          <w:ilvl w:val="3"/>
          <w:numId w:val="34"/>
        </w:numPr>
        <w:tabs>
          <w:tab w:pos="1237" w:val="left" w:leader="none"/>
        </w:tabs>
        <w:spacing w:line="240" w:lineRule="auto" w:before="118" w:after="0"/>
        <w:ind w:left="1236" w:right="164" w:hanging="626"/>
        <w:jc w:val="both"/>
        <w:rPr>
          <w:sz w:val="20"/>
        </w:rPr>
      </w:pPr>
      <w:r>
        <w:rPr>
          <w:sz w:val="20"/>
        </w:rPr>
        <w:t>Ensure that the requirements in terms of emission and removal factors and activity data appropriate to the tier level are being</w:t>
      </w:r>
      <w:r>
        <w:rPr>
          <w:spacing w:val="1"/>
          <w:sz w:val="20"/>
        </w:rPr>
        <w:t> </w:t>
      </w:r>
      <w:r>
        <w:rPr>
          <w:sz w:val="20"/>
        </w:rPr>
        <w:t>met.</w:t>
      </w:r>
    </w:p>
    <w:p>
      <w:pPr>
        <w:pStyle w:val="ListParagraph"/>
        <w:numPr>
          <w:ilvl w:val="3"/>
          <w:numId w:val="34"/>
        </w:numPr>
        <w:tabs>
          <w:tab w:pos="1237" w:val="left" w:leader="none"/>
        </w:tabs>
        <w:spacing w:line="240" w:lineRule="auto" w:before="119" w:after="0"/>
        <w:ind w:left="1236" w:right="164" w:hanging="621"/>
        <w:jc w:val="both"/>
        <w:rPr>
          <w:sz w:val="20"/>
        </w:rPr>
      </w:pPr>
      <w:r>
        <w:rPr>
          <w:sz w:val="20"/>
        </w:rPr>
        <w:t>Quantify emissions and removals and estimate the uncertainty in each estimate, as set out in Chapter 5 and the sector specific data provided in this</w:t>
      </w:r>
      <w:r>
        <w:rPr>
          <w:spacing w:val="-3"/>
          <w:sz w:val="20"/>
        </w:rPr>
        <w:t> </w:t>
      </w:r>
      <w:r>
        <w:rPr>
          <w:sz w:val="20"/>
        </w:rPr>
        <w:t>Chapter.</w:t>
      </w:r>
    </w:p>
    <w:p>
      <w:pPr>
        <w:pStyle w:val="ListParagraph"/>
        <w:numPr>
          <w:ilvl w:val="3"/>
          <w:numId w:val="34"/>
        </w:numPr>
        <w:tabs>
          <w:tab w:pos="1237" w:val="left" w:leader="none"/>
        </w:tabs>
        <w:spacing w:line="240" w:lineRule="auto" w:before="121" w:after="0"/>
        <w:ind w:left="1236" w:right="167" w:hanging="592"/>
        <w:jc w:val="both"/>
        <w:rPr>
          <w:sz w:val="20"/>
        </w:rPr>
      </w:pPr>
      <w:r>
        <w:rPr>
          <w:sz w:val="20"/>
        </w:rPr>
        <w:t>Use the reporting tables to report emissions and removals estimates. Utilize the worksheets where appropriate (see Annex 3A.2).</w:t>
      </w:r>
    </w:p>
    <w:p>
      <w:pPr>
        <w:pStyle w:val="ListParagraph"/>
        <w:numPr>
          <w:ilvl w:val="3"/>
          <w:numId w:val="34"/>
        </w:numPr>
        <w:tabs>
          <w:tab w:pos="1237" w:val="left" w:leader="none"/>
        </w:tabs>
        <w:spacing w:line="240" w:lineRule="auto" w:before="118" w:after="0"/>
        <w:ind w:left="1236" w:right="167" w:hanging="621"/>
        <w:jc w:val="both"/>
        <w:rPr>
          <w:sz w:val="20"/>
        </w:rPr>
      </w:pPr>
      <w:r>
        <w:rPr>
          <w:sz w:val="20"/>
        </w:rPr>
        <w:t>Document and archive all information used to produce the national emissions and removals estimates following specific instructions under each land use category, carbon pool, non-CO</w:t>
      </w:r>
      <w:r>
        <w:rPr>
          <w:sz w:val="20"/>
          <w:vertAlign w:val="subscript"/>
        </w:rPr>
        <w:t>2</w:t>
      </w:r>
      <w:r>
        <w:rPr>
          <w:sz w:val="20"/>
          <w:vertAlign w:val="baseline"/>
        </w:rPr>
        <w:t> source, and land use</w:t>
      </w:r>
      <w:r>
        <w:rPr>
          <w:spacing w:val="2"/>
          <w:sz w:val="20"/>
          <w:vertAlign w:val="baseline"/>
        </w:rPr>
        <w:t> </w:t>
      </w:r>
      <w:r>
        <w:rPr>
          <w:sz w:val="20"/>
          <w:vertAlign w:val="baseline"/>
        </w:rPr>
        <w:t>change.</w:t>
      </w:r>
    </w:p>
    <w:p>
      <w:pPr>
        <w:pStyle w:val="ListParagraph"/>
        <w:numPr>
          <w:ilvl w:val="3"/>
          <w:numId w:val="34"/>
        </w:numPr>
        <w:tabs>
          <w:tab w:pos="1237" w:val="left" w:leader="none"/>
        </w:tabs>
        <w:spacing w:line="240" w:lineRule="auto" w:before="121" w:after="0"/>
        <w:ind w:left="1236" w:right="167" w:hanging="648"/>
        <w:jc w:val="both"/>
        <w:rPr>
          <w:sz w:val="20"/>
        </w:rPr>
      </w:pPr>
      <w:r>
        <w:rPr>
          <w:sz w:val="20"/>
        </w:rPr>
        <w:t>Implement quality control checks, verification, and expert peer review of the emission estimates following specific guidance under each land use category, pool or non-CO</w:t>
      </w:r>
      <w:r>
        <w:rPr>
          <w:sz w:val="20"/>
          <w:vertAlign w:val="subscript"/>
        </w:rPr>
        <w:t>2</w:t>
      </w:r>
      <w:r>
        <w:rPr>
          <w:sz w:val="20"/>
          <w:vertAlign w:val="baseline"/>
        </w:rPr>
        <w:t> gas (see also Chapter 5, for broad</w:t>
      </w:r>
      <w:r>
        <w:rPr>
          <w:spacing w:val="1"/>
          <w:sz w:val="20"/>
          <w:vertAlign w:val="baseline"/>
        </w:rPr>
        <w:t> </w:t>
      </w:r>
      <w:r>
        <w:rPr>
          <w:sz w:val="20"/>
          <w:vertAlign w:val="baseline"/>
        </w:rPr>
        <w:t>guidance).</w:t>
      </w:r>
    </w:p>
    <w:p>
      <w:pPr>
        <w:pStyle w:val="BodyText"/>
        <w:rPr>
          <w:sz w:val="22"/>
        </w:rPr>
      </w:pPr>
    </w:p>
    <w:p>
      <w:pPr>
        <w:pStyle w:val="BodyText"/>
        <w:spacing w:before="2"/>
      </w:pPr>
    </w:p>
    <w:p>
      <w:pPr>
        <w:pStyle w:val="ListParagraph"/>
        <w:numPr>
          <w:ilvl w:val="2"/>
          <w:numId w:val="34"/>
        </w:numPr>
        <w:tabs>
          <w:tab w:pos="1361" w:val="left" w:leader="none"/>
          <w:tab w:pos="1362" w:val="left" w:leader="none"/>
        </w:tabs>
        <w:spacing w:line="240" w:lineRule="auto" w:before="0" w:after="0"/>
        <w:ind w:left="1361" w:right="1582" w:hanging="1202"/>
        <w:jc w:val="left"/>
        <w:rPr>
          <w:b/>
          <w:sz w:val="32"/>
        </w:rPr>
      </w:pPr>
      <w:r>
        <w:rPr>
          <w:b/>
          <w:spacing w:val="8"/>
          <w:sz w:val="32"/>
        </w:rPr>
        <w:t>Linkage between </w:t>
      </w:r>
      <w:r>
        <w:rPr>
          <w:b/>
          <w:spacing w:val="7"/>
          <w:sz w:val="32"/>
        </w:rPr>
        <w:t>this </w:t>
      </w:r>
      <w:r>
        <w:rPr>
          <w:b/>
          <w:spacing w:val="8"/>
          <w:sz w:val="32"/>
        </w:rPr>
        <w:t>Chapter </w:t>
      </w:r>
      <w:r>
        <w:rPr>
          <w:b/>
          <w:spacing w:val="7"/>
          <w:sz w:val="32"/>
        </w:rPr>
        <w:t>and </w:t>
      </w:r>
      <w:r>
        <w:rPr>
          <w:b/>
          <w:spacing w:val="6"/>
          <w:sz w:val="32"/>
        </w:rPr>
        <w:t>the </w:t>
      </w:r>
      <w:r>
        <w:rPr>
          <w:rFonts w:ascii="TimesNewRomanPS-BoldItalicMT" w:hAnsi="TimesNewRomanPS-BoldItalicMT"/>
          <w:b/>
          <w:i/>
          <w:spacing w:val="10"/>
          <w:sz w:val="32"/>
        </w:rPr>
        <w:t>IPCC </w:t>
      </w:r>
      <w:r>
        <w:rPr>
          <w:rFonts w:ascii="TimesNewRomanPS-BoldItalicMT" w:hAnsi="TimesNewRomanPS-BoldItalicMT"/>
          <w:b/>
          <w:i/>
          <w:spacing w:val="8"/>
          <w:sz w:val="32"/>
        </w:rPr>
        <w:t>Guidelines</w:t>
      </w:r>
      <w:r>
        <w:rPr>
          <w:b/>
          <w:spacing w:val="8"/>
          <w:sz w:val="32"/>
        </w:rPr>
        <w:t>’ Reporting</w:t>
      </w:r>
      <w:r>
        <w:rPr>
          <w:b/>
          <w:spacing w:val="34"/>
          <w:sz w:val="32"/>
        </w:rPr>
        <w:t> </w:t>
      </w:r>
      <w:r>
        <w:rPr>
          <w:b/>
          <w:spacing w:val="9"/>
          <w:sz w:val="32"/>
        </w:rPr>
        <w:t>Categories</w:t>
      </w:r>
    </w:p>
    <w:p>
      <w:pPr>
        <w:pStyle w:val="BodyText"/>
        <w:spacing w:before="113"/>
        <w:ind w:left="159"/>
      </w:pPr>
      <w:r>
        <w:rPr/>
        <w:t>Chapter 3 is divided into six sections based on land-use categories; each section is further divided into two subsections based on the status and recent history of the land use.</w:t>
      </w:r>
    </w:p>
    <w:p>
      <w:pPr>
        <w:pStyle w:val="ListParagraph"/>
        <w:numPr>
          <w:ilvl w:val="0"/>
          <w:numId w:val="23"/>
        </w:numPr>
        <w:tabs>
          <w:tab w:pos="519" w:val="left" w:leader="none"/>
          <w:tab w:pos="520" w:val="left" w:leader="none"/>
        </w:tabs>
        <w:spacing w:line="240" w:lineRule="auto" w:before="135" w:after="0"/>
        <w:ind w:left="519" w:right="0" w:hanging="360"/>
        <w:jc w:val="left"/>
        <w:rPr>
          <w:sz w:val="20"/>
        </w:rPr>
      </w:pPr>
      <w:r>
        <w:rPr>
          <w:sz w:val="20"/>
        </w:rPr>
        <w:t>The first subsection is for lands that begin and end an inventory period in the same</w:t>
      </w:r>
      <w:r>
        <w:rPr>
          <w:spacing w:val="-15"/>
          <w:sz w:val="20"/>
        </w:rPr>
        <w:t> </w:t>
      </w:r>
      <w:r>
        <w:rPr>
          <w:sz w:val="20"/>
        </w:rPr>
        <w:t>use.</w:t>
      </w:r>
    </w:p>
    <w:p>
      <w:pPr>
        <w:pStyle w:val="ListParagraph"/>
        <w:numPr>
          <w:ilvl w:val="0"/>
          <w:numId w:val="23"/>
        </w:numPr>
        <w:tabs>
          <w:tab w:pos="519" w:val="left" w:leader="none"/>
          <w:tab w:pos="520" w:val="left" w:leader="none"/>
        </w:tabs>
        <w:spacing w:line="240" w:lineRule="auto" w:before="116" w:after="0"/>
        <w:ind w:left="519" w:right="0" w:hanging="360"/>
        <w:jc w:val="left"/>
        <w:rPr>
          <w:sz w:val="20"/>
        </w:rPr>
      </w:pPr>
      <w:r>
        <w:rPr>
          <w:sz w:val="20"/>
        </w:rPr>
        <w:t>The second subsection is for land conversions to the land use covered by the</w:t>
      </w:r>
      <w:r>
        <w:rPr>
          <w:spacing w:val="-5"/>
          <w:sz w:val="20"/>
        </w:rPr>
        <w:t> </w:t>
      </w:r>
      <w:r>
        <w:rPr>
          <w:sz w:val="20"/>
        </w:rPr>
        <w:t>section.</w:t>
      </w:r>
    </w:p>
    <w:p>
      <w:pPr>
        <w:pStyle w:val="BodyText"/>
        <w:spacing w:before="104"/>
        <w:ind w:left="159" w:right="166" w:hanging="1"/>
      </w:pPr>
      <w:r>
        <w:rPr/>
        <w:t>Table 3.1.1 shows the sections and subsections of this chapter in relationship to the </w:t>
      </w:r>
      <w:r>
        <w:rPr>
          <w:i/>
        </w:rPr>
        <w:t>IPCC Guidelines</w:t>
      </w:r>
      <w:r>
        <w:rPr/>
        <w:t>. This provides a basis for comparison, which is described in more detail below.</w:t>
      </w:r>
    </w:p>
    <w:p>
      <w:pPr>
        <w:spacing w:after="0"/>
        <w:sectPr>
          <w:headerReference w:type="even" r:id="rId107"/>
          <w:headerReference w:type="default" r:id="rId108"/>
          <w:pgSz w:w="11900" w:h="16840"/>
          <w:pgMar w:header="230" w:footer="408" w:top="560" w:bottom="600" w:left="1260" w:right="1240"/>
        </w:sectPr>
      </w:pPr>
    </w:p>
    <w:p>
      <w:pPr>
        <w:pStyle w:val="BodyText"/>
      </w:pPr>
    </w:p>
    <w:p>
      <w:pPr>
        <w:pStyle w:val="BodyText"/>
        <w:spacing w:before="9"/>
        <w:rPr>
          <w:sz w:val="18"/>
        </w:rPr>
      </w:pPr>
    </w:p>
    <w:tbl>
      <w:tblPr>
        <w:tblW w:w="0" w:type="auto"/>
        <w:jc w:val="left"/>
        <w:tblInd w:w="1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1"/>
        <w:gridCol w:w="2951"/>
        <w:gridCol w:w="1607"/>
        <w:gridCol w:w="1804"/>
      </w:tblGrid>
      <w:tr>
        <w:trPr>
          <w:trHeight w:val="671" w:hRule="atLeast"/>
        </w:trPr>
        <w:tc>
          <w:tcPr>
            <w:tcW w:w="9013" w:type="dxa"/>
            <w:gridSpan w:val="4"/>
            <w:tcBorders>
              <w:top w:val="single" w:sz="4" w:space="0" w:color="000000"/>
              <w:left w:val="single" w:sz="4" w:space="0" w:color="000000"/>
              <w:bottom w:val="double" w:sz="1" w:space="0" w:color="000000"/>
              <w:right w:val="single" w:sz="4" w:space="0" w:color="000000"/>
            </w:tcBorders>
          </w:tcPr>
          <w:p>
            <w:pPr>
              <w:pStyle w:val="TableParagraph"/>
              <w:spacing w:before="23"/>
              <w:ind w:left="781" w:right="772"/>
              <w:jc w:val="center"/>
              <w:rPr>
                <w:b/>
                <w:sz w:val="18"/>
              </w:rPr>
            </w:pPr>
            <w:r>
              <w:rPr>
                <w:b/>
                <w:sz w:val="18"/>
              </w:rPr>
              <w:t>T</w:t>
            </w:r>
            <w:r>
              <w:rPr>
                <w:b/>
                <w:sz w:val="14"/>
              </w:rPr>
              <w:t>ABLE </w:t>
            </w:r>
            <w:r>
              <w:rPr>
                <w:b/>
                <w:sz w:val="18"/>
              </w:rPr>
              <w:t>3.1.1</w:t>
            </w:r>
          </w:p>
          <w:p>
            <w:pPr>
              <w:pStyle w:val="TableParagraph"/>
              <w:spacing w:line="207" w:lineRule="exact" w:before="2"/>
              <w:ind w:left="781" w:right="772"/>
              <w:jc w:val="center"/>
              <w:rPr>
                <w:rFonts w:ascii="TimesNewRomanPS-BoldItalicMT"/>
                <w:b/>
                <w:i/>
                <w:sz w:val="14"/>
              </w:rPr>
            </w:pPr>
            <w:r>
              <w:rPr>
                <w:b/>
                <w:sz w:val="18"/>
              </w:rPr>
              <w:t>M</w:t>
            </w:r>
            <w:r>
              <w:rPr>
                <w:b/>
                <w:sz w:val="14"/>
              </w:rPr>
              <w:t>APPING BETWEEN THE SECTIONS OF </w:t>
            </w:r>
            <w:r>
              <w:rPr>
                <w:b/>
                <w:sz w:val="18"/>
              </w:rPr>
              <w:t>C</w:t>
            </w:r>
            <w:r>
              <w:rPr>
                <w:b/>
                <w:sz w:val="14"/>
              </w:rPr>
              <w:t>HAPTER </w:t>
            </w:r>
            <w:r>
              <w:rPr>
                <w:b/>
                <w:sz w:val="18"/>
              </w:rPr>
              <w:t>5 </w:t>
            </w:r>
            <w:r>
              <w:rPr>
                <w:b/>
                <w:sz w:val="14"/>
              </w:rPr>
              <w:t>OF THE </w:t>
            </w:r>
            <w:r>
              <w:rPr>
                <w:b/>
                <w:sz w:val="18"/>
              </w:rPr>
              <w:t>1996 </w:t>
            </w:r>
            <w:r>
              <w:rPr>
                <w:rFonts w:ascii="TimesNewRomanPS-BoldItalicMT"/>
                <w:b/>
                <w:i/>
                <w:sz w:val="18"/>
              </w:rPr>
              <w:t>IPCC G</w:t>
            </w:r>
            <w:r>
              <w:rPr>
                <w:rFonts w:ascii="TimesNewRomanPS-BoldItalicMT"/>
                <w:b/>
                <w:i/>
                <w:sz w:val="14"/>
              </w:rPr>
              <w:t>UIDELINES</w:t>
            </w:r>
          </w:p>
          <w:p>
            <w:pPr>
              <w:pStyle w:val="TableParagraph"/>
              <w:spacing w:line="207" w:lineRule="exact"/>
              <w:ind w:left="780" w:right="773"/>
              <w:jc w:val="center"/>
              <w:rPr>
                <w:b/>
                <w:sz w:val="14"/>
              </w:rPr>
            </w:pPr>
            <w:r>
              <w:rPr>
                <w:b/>
                <w:sz w:val="14"/>
              </w:rPr>
              <w:t>AND THE SECTIONS OF </w:t>
            </w:r>
            <w:r>
              <w:rPr>
                <w:b/>
                <w:sz w:val="18"/>
              </w:rPr>
              <w:t>C</w:t>
            </w:r>
            <w:r>
              <w:rPr>
                <w:b/>
                <w:sz w:val="14"/>
              </w:rPr>
              <w:t>HAPTER </w:t>
            </w:r>
            <w:r>
              <w:rPr>
                <w:b/>
                <w:sz w:val="18"/>
              </w:rPr>
              <w:t>3 </w:t>
            </w:r>
            <w:r>
              <w:rPr>
                <w:b/>
                <w:sz w:val="14"/>
              </w:rPr>
              <w:t>OF THIS REPORT</w:t>
            </w:r>
          </w:p>
        </w:tc>
      </w:tr>
      <w:tr>
        <w:trPr>
          <w:trHeight w:val="479" w:hRule="atLeast"/>
        </w:trPr>
        <w:tc>
          <w:tcPr>
            <w:tcW w:w="2651" w:type="dxa"/>
            <w:tcBorders>
              <w:top w:val="double" w:sz="1" w:space="0" w:color="000000"/>
              <w:left w:val="single" w:sz="4" w:space="0" w:color="000000"/>
              <w:bottom w:val="single" w:sz="4" w:space="0" w:color="000000"/>
            </w:tcBorders>
          </w:tcPr>
          <w:p>
            <w:pPr>
              <w:pStyle w:val="TableParagraph"/>
              <w:spacing w:line="207" w:lineRule="exact" w:before="35"/>
              <w:ind w:left="416" w:right="247"/>
              <w:jc w:val="center"/>
              <w:rPr>
                <w:b/>
                <w:sz w:val="18"/>
              </w:rPr>
            </w:pPr>
            <w:r>
              <w:rPr>
                <w:b/>
                <w:sz w:val="18"/>
              </w:rPr>
              <w:t>Land Use</w:t>
            </w:r>
          </w:p>
          <w:p>
            <w:pPr>
              <w:pStyle w:val="TableParagraph"/>
              <w:spacing w:line="207" w:lineRule="exact"/>
              <w:ind w:left="418" w:right="247"/>
              <w:jc w:val="center"/>
              <w:rPr>
                <w:b/>
                <w:sz w:val="18"/>
              </w:rPr>
            </w:pPr>
            <w:r>
              <w:rPr>
                <w:b/>
                <w:sz w:val="18"/>
              </w:rPr>
              <w:t>in the Initial Time period</w:t>
            </w:r>
          </w:p>
        </w:tc>
        <w:tc>
          <w:tcPr>
            <w:tcW w:w="2951" w:type="dxa"/>
            <w:tcBorders>
              <w:top w:val="double" w:sz="1" w:space="0" w:color="000000"/>
              <w:bottom w:val="single" w:sz="4" w:space="0" w:color="000000"/>
            </w:tcBorders>
          </w:tcPr>
          <w:p>
            <w:pPr>
              <w:pStyle w:val="TableParagraph"/>
              <w:spacing w:line="207" w:lineRule="exact" w:before="35"/>
              <w:ind w:left="321" w:right="114"/>
              <w:jc w:val="center"/>
              <w:rPr>
                <w:b/>
                <w:sz w:val="18"/>
              </w:rPr>
            </w:pPr>
            <w:r>
              <w:rPr>
                <w:b/>
                <w:sz w:val="18"/>
              </w:rPr>
              <w:t>Land Use</w:t>
            </w:r>
          </w:p>
          <w:p>
            <w:pPr>
              <w:pStyle w:val="TableParagraph"/>
              <w:spacing w:line="207" w:lineRule="exact"/>
              <w:ind w:left="321" w:right="114"/>
              <w:jc w:val="center"/>
              <w:rPr>
                <w:b/>
                <w:sz w:val="18"/>
              </w:rPr>
            </w:pPr>
            <w:r>
              <w:rPr>
                <w:b/>
                <w:sz w:val="18"/>
              </w:rPr>
              <w:t>in the Reporting ( current) Year</w:t>
            </w:r>
          </w:p>
        </w:tc>
        <w:tc>
          <w:tcPr>
            <w:tcW w:w="1607" w:type="dxa"/>
            <w:tcBorders>
              <w:top w:val="double" w:sz="1" w:space="0" w:color="000000"/>
              <w:bottom w:val="single" w:sz="4" w:space="0" w:color="000000"/>
            </w:tcBorders>
          </w:tcPr>
          <w:p>
            <w:pPr>
              <w:pStyle w:val="TableParagraph"/>
              <w:spacing w:line="207" w:lineRule="exact" w:before="35"/>
              <w:ind w:left="508"/>
              <w:rPr>
                <w:b/>
                <w:sz w:val="18"/>
              </w:rPr>
            </w:pPr>
            <w:r>
              <w:rPr>
                <w:b/>
                <w:sz w:val="18"/>
              </w:rPr>
              <w:t>Chapter 3</w:t>
            </w:r>
          </w:p>
          <w:p>
            <w:pPr>
              <w:pStyle w:val="TableParagraph"/>
              <w:spacing w:line="207" w:lineRule="exact"/>
              <w:ind w:left="429"/>
              <w:rPr>
                <w:b/>
                <w:sz w:val="18"/>
              </w:rPr>
            </w:pPr>
            <w:r>
              <w:rPr>
                <w:b/>
                <w:sz w:val="18"/>
              </w:rPr>
              <w:t>Subsection </w:t>
            </w:r>
            <w:r>
              <w:rPr>
                <w:b/>
                <w:sz w:val="18"/>
                <w:vertAlign w:val="superscript"/>
              </w:rPr>
              <w:t>1</w:t>
            </w:r>
          </w:p>
        </w:tc>
        <w:tc>
          <w:tcPr>
            <w:tcW w:w="1804" w:type="dxa"/>
            <w:tcBorders>
              <w:top w:val="double" w:sz="1" w:space="0" w:color="000000"/>
              <w:bottom w:val="single" w:sz="4" w:space="0" w:color="000000"/>
              <w:right w:val="single" w:sz="4" w:space="0" w:color="000000"/>
            </w:tcBorders>
          </w:tcPr>
          <w:p>
            <w:pPr>
              <w:pStyle w:val="TableParagraph"/>
              <w:spacing w:before="138"/>
              <w:ind w:left="293"/>
              <w:rPr>
                <w:b/>
                <w:sz w:val="18"/>
              </w:rPr>
            </w:pPr>
            <w:r>
              <w:rPr>
                <w:rFonts w:ascii="TimesNewRomanPS-BoldItalicMT"/>
                <w:b/>
                <w:i/>
                <w:sz w:val="18"/>
              </w:rPr>
              <w:t>IPCC Guidelines </w:t>
            </w:r>
            <w:r>
              <w:rPr>
                <w:b/>
                <w:sz w:val="18"/>
                <w:vertAlign w:val="superscript"/>
              </w:rPr>
              <w:t>2</w:t>
            </w:r>
          </w:p>
        </w:tc>
      </w:tr>
      <w:tr>
        <w:trPr>
          <w:trHeight w:val="441" w:hRule="atLeast"/>
        </w:trPr>
        <w:tc>
          <w:tcPr>
            <w:tcW w:w="2651" w:type="dxa"/>
            <w:tcBorders>
              <w:top w:val="single" w:sz="4" w:space="0" w:color="000000"/>
              <w:left w:val="single" w:sz="4" w:space="0" w:color="000000"/>
            </w:tcBorders>
          </w:tcPr>
          <w:p>
            <w:pPr>
              <w:pStyle w:val="TableParagraph"/>
              <w:spacing w:before="180"/>
              <w:ind w:left="107"/>
              <w:rPr>
                <w:sz w:val="20"/>
              </w:rPr>
            </w:pPr>
            <w:r>
              <w:rPr>
                <w:sz w:val="20"/>
              </w:rPr>
              <w:t>Forest land</w:t>
            </w:r>
          </w:p>
        </w:tc>
        <w:tc>
          <w:tcPr>
            <w:tcW w:w="2951" w:type="dxa"/>
            <w:tcBorders>
              <w:top w:val="single" w:sz="4" w:space="0" w:color="000000"/>
            </w:tcBorders>
          </w:tcPr>
          <w:p>
            <w:pPr>
              <w:pStyle w:val="TableParagraph"/>
              <w:spacing w:before="180"/>
              <w:ind w:left="279"/>
              <w:rPr>
                <w:sz w:val="20"/>
              </w:rPr>
            </w:pPr>
            <w:r>
              <w:rPr>
                <w:sz w:val="20"/>
              </w:rPr>
              <w:t>Forest land</w:t>
            </w:r>
          </w:p>
        </w:tc>
        <w:tc>
          <w:tcPr>
            <w:tcW w:w="1607" w:type="dxa"/>
            <w:tcBorders>
              <w:top w:val="single" w:sz="4" w:space="0" w:color="000000"/>
            </w:tcBorders>
          </w:tcPr>
          <w:p>
            <w:pPr>
              <w:pStyle w:val="TableParagraph"/>
              <w:spacing w:before="180"/>
              <w:ind w:left="147"/>
              <w:rPr>
                <w:sz w:val="20"/>
              </w:rPr>
            </w:pPr>
            <w:r>
              <w:rPr>
                <w:sz w:val="20"/>
              </w:rPr>
              <w:t>3.2.1</w:t>
            </w:r>
          </w:p>
        </w:tc>
        <w:tc>
          <w:tcPr>
            <w:tcW w:w="1804" w:type="dxa"/>
            <w:tcBorders>
              <w:top w:val="single" w:sz="4" w:space="0" w:color="000000"/>
              <w:right w:val="single" w:sz="4" w:space="0" w:color="000000"/>
            </w:tcBorders>
          </w:tcPr>
          <w:p>
            <w:pPr>
              <w:pStyle w:val="TableParagraph"/>
              <w:spacing w:before="180"/>
              <w:ind w:left="257"/>
              <w:rPr>
                <w:sz w:val="20"/>
              </w:rPr>
            </w:pPr>
            <w:r>
              <w:rPr>
                <w:sz w:val="20"/>
              </w:rPr>
              <w:t>5 A</w:t>
            </w:r>
          </w:p>
        </w:tc>
      </w:tr>
      <w:tr>
        <w:trPr>
          <w:trHeight w:val="284" w:hRule="atLeast"/>
        </w:trPr>
        <w:tc>
          <w:tcPr>
            <w:tcW w:w="2651" w:type="dxa"/>
            <w:tcBorders>
              <w:left w:val="single" w:sz="4" w:space="0" w:color="000000"/>
            </w:tcBorders>
          </w:tcPr>
          <w:p>
            <w:pPr>
              <w:pStyle w:val="TableParagraph"/>
              <w:spacing w:before="22"/>
              <w:ind w:left="107"/>
              <w:rPr>
                <w:sz w:val="20"/>
              </w:rPr>
            </w:pPr>
            <w:r>
              <w:rPr>
                <w:sz w:val="20"/>
              </w:rPr>
              <w:t>Cropland</w:t>
            </w:r>
          </w:p>
        </w:tc>
        <w:tc>
          <w:tcPr>
            <w:tcW w:w="2951" w:type="dxa"/>
          </w:tcPr>
          <w:p>
            <w:pPr>
              <w:pStyle w:val="TableParagraph"/>
              <w:spacing w:before="22"/>
              <w:ind w:left="279"/>
              <w:rPr>
                <w:sz w:val="20"/>
              </w:rPr>
            </w:pPr>
            <w:r>
              <w:rPr>
                <w:sz w:val="20"/>
              </w:rPr>
              <w:t>Forest land</w:t>
            </w:r>
          </w:p>
        </w:tc>
        <w:tc>
          <w:tcPr>
            <w:tcW w:w="1607" w:type="dxa"/>
          </w:tcPr>
          <w:p>
            <w:pPr>
              <w:pStyle w:val="TableParagraph"/>
              <w:spacing w:before="22"/>
              <w:ind w:left="146"/>
              <w:rPr>
                <w:sz w:val="20"/>
              </w:rPr>
            </w:pPr>
            <w:r>
              <w:rPr>
                <w:sz w:val="20"/>
              </w:rPr>
              <w:t>3.2.2</w:t>
            </w:r>
          </w:p>
        </w:tc>
        <w:tc>
          <w:tcPr>
            <w:tcW w:w="1804" w:type="dxa"/>
            <w:tcBorders>
              <w:right w:val="single" w:sz="4" w:space="0" w:color="000000"/>
            </w:tcBorders>
          </w:tcPr>
          <w:p>
            <w:pPr>
              <w:pStyle w:val="TableParagraph"/>
              <w:spacing w:before="22"/>
              <w:ind w:left="258"/>
              <w:rPr>
                <w:sz w:val="20"/>
              </w:rPr>
            </w:pPr>
            <w:r>
              <w:rPr>
                <w:sz w:val="20"/>
              </w:rPr>
              <w:t>5 A, 5 C, 5 D</w:t>
            </w:r>
          </w:p>
        </w:tc>
      </w:tr>
      <w:tr>
        <w:trPr>
          <w:trHeight w:val="284" w:hRule="atLeast"/>
        </w:trPr>
        <w:tc>
          <w:tcPr>
            <w:tcW w:w="2651" w:type="dxa"/>
            <w:tcBorders>
              <w:left w:val="single" w:sz="4" w:space="0" w:color="000000"/>
            </w:tcBorders>
          </w:tcPr>
          <w:p>
            <w:pPr>
              <w:pStyle w:val="TableParagraph"/>
              <w:spacing w:before="23"/>
              <w:ind w:left="107"/>
              <w:rPr>
                <w:sz w:val="20"/>
              </w:rPr>
            </w:pPr>
            <w:r>
              <w:rPr>
                <w:sz w:val="20"/>
              </w:rPr>
              <w:t>Grassland</w:t>
            </w:r>
          </w:p>
        </w:tc>
        <w:tc>
          <w:tcPr>
            <w:tcW w:w="2951" w:type="dxa"/>
          </w:tcPr>
          <w:p>
            <w:pPr>
              <w:pStyle w:val="TableParagraph"/>
              <w:spacing w:before="23"/>
              <w:ind w:left="279"/>
              <w:rPr>
                <w:sz w:val="20"/>
              </w:rPr>
            </w:pPr>
            <w:r>
              <w:rPr>
                <w:sz w:val="20"/>
              </w:rPr>
              <w:t>Forest land</w:t>
            </w:r>
          </w:p>
        </w:tc>
        <w:tc>
          <w:tcPr>
            <w:tcW w:w="1607" w:type="dxa"/>
          </w:tcPr>
          <w:p>
            <w:pPr>
              <w:pStyle w:val="TableParagraph"/>
              <w:spacing w:before="23"/>
              <w:ind w:left="147"/>
              <w:rPr>
                <w:sz w:val="20"/>
              </w:rPr>
            </w:pPr>
            <w:r>
              <w:rPr>
                <w:sz w:val="20"/>
              </w:rPr>
              <w:t>3.2.2</w:t>
            </w:r>
          </w:p>
        </w:tc>
        <w:tc>
          <w:tcPr>
            <w:tcW w:w="1804" w:type="dxa"/>
            <w:tcBorders>
              <w:right w:val="single" w:sz="4" w:space="0" w:color="000000"/>
            </w:tcBorders>
          </w:tcPr>
          <w:p>
            <w:pPr>
              <w:pStyle w:val="TableParagraph"/>
              <w:spacing w:before="23"/>
              <w:ind w:left="258"/>
              <w:rPr>
                <w:sz w:val="20"/>
              </w:rPr>
            </w:pPr>
            <w:r>
              <w:rPr>
                <w:sz w:val="20"/>
              </w:rPr>
              <w:t>5 A, 5 C, 5 D</w:t>
            </w:r>
          </w:p>
        </w:tc>
      </w:tr>
      <w:tr>
        <w:trPr>
          <w:trHeight w:val="283" w:hRule="atLeast"/>
        </w:trPr>
        <w:tc>
          <w:tcPr>
            <w:tcW w:w="2651" w:type="dxa"/>
            <w:tcBorders>
              <w:left w:val="single" w:sz="4" w:space="0" w:color="000000"/>
            </w:tcBorders>
          </w:tcPr>
          <w:p>
            <w:pPr>
              <w:pStyle w:val="TableParagraph"/>
              <w:spacing w:before="22"/>
              <w:ind w:left="107"/>
              <w:rPr>
                <w:sz w:val="20"/>
              </w:rPr>
            </w:pPr>
            <w:r>
              <w:rPr>
                <w:sz w:val="20"/>
              </w:rPr>
              <w:t>Wetlands</w:t>
            </w:r>
          </w:p>
        </w:tc>
        <w:tc>
          <w:tcPr>
            <w:tcW w:w="2951" w:type="dxa"/>
          </w:tcPr>
          <w:p>
            <w:pPr>
              <w:pStyle w:val="TableParagraph"/>
              <w:spacing w:before="22"/>
              <w:ind w:left="279"/>
              <w:rPr>
                <w:sz w:val="20"/>
              </w:rPr>
            </w:pPr>
            <w:r>
              <w:rPr>
                <w:sz w:val="20"/>
              </w:rPr>
              <w:t>Forest land</w:t>
            </w:r>
          </w:p>
        </w:tc>
        <w:tc>
          <w:tcPr>
            <w:tcW w:w="1607" w:type="dxa"/>
          </w:tcPr>
          <w:p>
            <w:pPr>
              <w:pStyle w:val="TableParagraph"/>
              <w:spacing w:before="22"/>
              <w:ind w:left="146"/>
              <w:rPr>
                <w:sz w:val="20"/>
              </w:rPr>
            </w:pPr>
            <w:r>
              <w:rPr>
                <w:sz w:val="20"/>
              </w:rPr>
              <w:t>3.2.2</w:t>
            </w:r>
          </w:p>
        </w:tc>
        <w:tc>
          <w:tcPr>
            <w:tcW w:w="1804" w:type="dxa"/>
            <w:tcBorders>
              <w:right w:val="single" w:sz="4" w:space="0" w:color="000000"/>
            </w:tcBorders>
          </w:tcPr>
          <w:p>
            <w:pPr>
              <w:pStyle w:val="TableParagraph"/>
              <w:spacing w:before="22"/>
              <w:ind w:left="258"/>
              <w:rPr>
                <w:sz w:val="20"/>
              </w:rPr>
            </w:pPr>
            <w:r>
              <w:rPr>
                <w:sz w:val="20"/>
              </w:rPr>
              <w:t>5 A, 5 C, 5 D</w:t>
            </w:r>
          </w:p>
        </w:tc>
      </w:tr>
      <w:tr>
        <w:trPr>
          <w:trHeight w:val="284" w:hRule="atLeast"/>
        </w:trPr>
        <w:tc>
          <w:tcPr>
            <w:tcW w:w="2651" w:type="dxa"/>
            <w:tcBorders>
              <w:left w:val="single" w:sz="4" w:space="0" w:color="000000"/>
            </w:tcBorders>
          </w:tcPr>
          <w:p>
            <w:pPr>
              <w:pStyle w:val="TableParagraph"/>
              <w:spacing w:before="22"/>
              <w:ind w:left="107"/>
              <w:rPr>
                <w:sz w:val="20"/>
              </w:rPr>
            </w:pPr>
            <w:r>
              <w:rPr>
                <w:sz w:val="20"/>
              </w:rPr>
              <w:t>Settlements</w:t>
            </w:r>
          </w:p>
        </w:tc>
        <w:tc>
          <w:tcPr>
            <w:tcW w:w="2951" w:type="dxa"/>
          </w:tcPr>
          <w:p>
            <w:pPr>
              <w:pStyle w:val="TableParagraph"/>
              <w:spacing w:before="22"/>
              <w:ind w:left="280"/>
              <w:rPr>
                <w:sz w:val="20"/>
              </w:rPr>
            </w:pPr>
            <w:r>
              <w:rPr>
                <w:sz w:val="20"/>
              </w:rPr>
              <w:t>Forest land</w:t>
            </w:r>
          </w:p>
        </w:tc>
        <w:tc>
          <w:tcPr>
            <w:tcW w:w="1607" w:type="dxa"/>
          </w:tcPr>
          <w:p>
            <w:pPr>
              <w:pStyle w:val="TableParagraph"/>
              <w:spacing w:before="22"/>
              <w:ind w:left="146"/>
              <w:rPr>
                <w:sz w:val="20"/>
              </w:rPr>
            </w:pPr>
            <w:r>
              <w:rPr>
                <w:sz w:val="20"/>
              </w:rPr>
              <w:t>3.2.2</w:t>
            </w:r>
          </w:p>
        </w:tc>
        <w:tc>
          <w:tcPr>
            <w:tcW w:w="1804" w:type="dxa"/>
            <w:tcBorders>
              <w:right w:val="single" w:sz="4" w:space="0" w:color="000000"/>
            </w:tcBorders>
          </w:tcPr>
          <w:p>
            <w:pPr>
              <w:pStyle w:val="TableParagraph"/>
              <w:spacing w:before="22"/>
              <w:ind w:left="257"/>
              <w:rPr>
                <w:sz w:val="20"/>
              </w:rPr>
            </w:pPr>
            <w:r>
              <w:rPr>
                <w:sz w:val="20"/>
              </w:rPr>
              <w:t>5 A, 5 C, 5 D</w:t>
            </w:r>
          </w:p>
        </w:tc>
      </w:tr>
      <w:tr>
        <w:trPr>
          <w:trHeight w:val="369" w:hRule="atLeast"/>
        </w:trPr>
        <w:tc>
          <w:tcPr>
            <w:tcW w:w="2651" w:type="dxa"/>
            <w:tcBorders>
              <w:left w:val="single" w:sz="4" w:space="0" w:color="000000"/>
            </w:tcBorders>
          </w:tcPr>
          <w:p>
            <w:pPr>
              <w:pStyle w:val="TableParagraph"/>
              <w:spacing w:before="23"/>
              <w:ind w:left="107"/>
              <w:rPr>
                <w:sz w:val="20"/>
              </w:rPr>
            </w:pPr>
            <w:r>
              <w:rPr>
                <w:sz w:val="20"/>
              </w:rPr>
              <w:t>Other land</w:t>
            </w:r>
          </w:p>
        </w:tc>
        <w:tc>
          <w:tcPr>
            <w:tcW w:w="2951" w:type="dxa"/>
          </w:tcPr>
          <w:p>
            <w:pPr>
              <w:pStyle w:val="TableParagraph"/>
              <w:spacing w:before="23"/>
              <w:ind w:left="279"/>
              <w:rPr>
                <w:sz w:val="20"/>
              </w:rPr>
            </w:pPr>
            <w:r>
              <w:rPr>
                <w:sz w:val="20"/>
              </w:rPr>
              <w:t>Forest land</w:t>
            </w:r>
          </w:p>
        </w:tc>
        <w:tc>
          <w:tcPr>
            <w:tcW w:w="1607" w:type="dxa"/>
          </w:tcPr>
          <w:p>
            <w:pPr>
              <w:pStyle w:val="TableParagraph"/>
              <w:spacing w:before="23"/>
              <w:ind w:left="146"/>
              <w:rPr>
                <w:sz w:val="20"/>
              </w:rPr>
            </w:pPr>
            <w:r>
              <w:rPr>
                <w:sz w:val="20"/>
              </w:rPr>
              <w:t>3.2.2</w:t>
            </w:r>
          </w:p>
        </w:tc>
        <w:tc>
          <w:tcPr>
            <w:tcW w:w="1804" w:type="dxa"/>
            <w:tcBorders>
              <w:right w:val="single" w:sz="4" w:space="0" w:color="000000"/>
            </w:tcBorders>
          </w:tcPr>
          <w:p>
            <w:pPr>
              <w:pStyle w:val="TableParagraph"/>
              <w:spacing w:before="23"/>
              <w:ind w:left="258"/>
              <w:rPr>
                <w:sz w:val="20"/>
              </w:rPr>
            </w:pPr>
            <w:r>
              <w:rPr>
                <w:sz w:val="20"/>
              </w:rPr>
              <w:t>5 A, 5 C, 5 D</w:t>
            </w:r>
          </w:p>
        </w:tc>
      </w:tr>
      <w:tr>
        <w:trPr>
          <w:trHeight w:val="368" w:hRule="atLeast"/>
        </w:trPr>
        <w:tc>
          <w:tcPr>
            <w:tcW w:w="2651" w:type="dxa"/>
            <w:tcBorders>
              <w:left w:val="single" w:sz="4" w:space="0" w:color="000000"/>
            </w:tcBorders>
          </w:tcPr>
          <w:p>
            <w:pPr>
              <w:pStyle w:val="TableParagraph"/>
              <w:spacing w:before="107"/>
              <w:ind w:left="107"/>
              <w:rPr>
                <w:sz w:val="20"/>
              </w:rPr>
            </w:pPr>
            <w:r>
              <w:rPr>
                <w:sz w:val="20"/>
              </w:rPr>
              <w:t>Cropland</w:t>
            </w:r>
          </w:p>
        </w:tc>
        <w:tc>
          <w:tcPr>
            <w:tcW w:w="2951" w:type="dxa"/>
          </w:tcPr>
          <w:p>
            <w:pPr>
              <w:pStyle w:val="TableParagraph"/>
              <w:spacing w:before="107"/>
              <w:ind w:left="279"/>
              <w:rPr>
                <w:sz w:val="20"/>
              </w:rPr>
            </w:pPr>
            <w:r>
              <w:rPr>
                <w:sz w:val="20"/>
              </w:rPr>
              <w:t>Cropland</w:t>
            </w:r>
          </w:p>
        </w:tc>
        <w:tc>
          <w:tcPr>
            <w:tcW w:w="1607" w:type="dxa"/>
          </w:tcPr>
          <w:p>
            <w:pPr>
              <w:pStyle w:val="TableParagraph"/>
              <w:spacing w:before="107"/>
              <w:ind w:left="146"/>
              <w:rPr>
                <w:sz w:val="20"/>
              </w:rPr>
            </w:pPr>
            <w:r>
              <w:rPr>
                <w:sz w:val="20"/>
              </w:rPr>
              <w:t>3.3.1</w:t>
            </w:r>
          </w:p>
        </w:tc>
        <w:tc>
          <w:tcPr>
            <w:tcW w:w="1804" w:type="dxa"/>
            <w:tcBorders>
              <w:right w:val="single" w:sz="4" w:space="0" w:color="000000"/>
            </w:tcBorders>
          </w:tcPr>
          <w:p>
            <w:pPr>
              <w:pStyle w:val="TableParagraph"/>
              <w:spacing w:before="107"/>
              <w:ind w:left="257"/>
              <w:rPr>
                <w:sz w:val="20"/>
              </w:rPr>
            </w:pPr>
            <w:r>
              <w:rPr>
                <w:sz w:val="20"/>
              </w:rPr>
              <w:t>5 A, 5 D</w:t>
            </w:r>
          </w:p>
        </w:tc>
      </w:tr>
      <w:tr>
        <w:trPr>
          <w:trHeight w:val="286" w:hRule="atLeast"/>
        </w:trPr>
        <w:tc>
          <w:tcPr>
            <w:tcW w:w="2651" w:type="dxa"/>
            <w:tcBorders>
              <w:left w:val="single" w:sz="4" w:space="0" w:color="000000"/>
            </w:tcBorders>
          </w:tcPr>
          <w:p>
            <w:pPr>
              <w:pStyle w:val="TableParagraph"/>
              <w:spacing w:before="22"/>
              <w:ind w:left="107"/>
              <w:rPr>
                <w:sz w:val="20"/>
              </w:rPr>
            </w:pPr>
            <w:r>
              <w:rPr>
                <w:sz w:val="20"/>
              </w:rPr>
              <w:t>Forest land</w:t>
            </w:r>
          </w:p>
        </w:tc>
        <w:tc>
          <w:tcPr>
            <w:tcW w:w="2951" w:type="dxa"/>
          </w:tcPr>
          <w:p>
            <w:pPr>
              <w:pStyle w:val="TableParagraph"/>
              <w:spacing w:before="22"/>
              <w:ind w:left="279"/>
              <w:rPr>
                <w:sz w:val="20"/>
              </w:rPr>
            </w:pPr>
            <w:r>
              <w:rPr>
                <w:sz w:val="20"/>
              </w:rPr>
              <w:t>Cropland</w:t>
            </w:r>
          </w:p>
        </w:tc>
        <w:tc>
          <w:tcPr>
            <w:tcW w:w="1607" w:type="dxa"/>
          </w:tcPr>
          <w:p>
            <w:pPr>
              <w:pStyle w:val="TableParagraph"/>
              <w:spacing w:before="27"/>
              <w:ind w:left="146"/>
              <w:rPr>
                <w:b/>
                <w:sz w:val="20"/>
              </w:rPr>
            </w:pPr>
            <w:r>
              <w:rPr>
                <w:b/>
                <w:sz w:val="20"/>
              </w:rPr>
              <w:t>3.3.2</w:t>
            </w:r>
          </w:p>
        </w:tc>
        <w:tc>
          <w:tcPr>
            <w:tcW w:w="1804" w:type="dxa"/>
            <w:tcBorders>
              <w:right w:val="single" w:sz="4" w:space="0" w:color="000000"/>
            </w:tcBorders>
          </w:tcPr>
          <w:p>
            <w:pPr>
              <w:pStyle w:val="TableParagraph"/>
              <w:spacing w:before="22"/>
              <w:ind w:left="257"/>
              <w:rPr>
                <w:sz w:val="20"/>
              </w:rPr>
            </w:pPr>
            <w:r>
              <w:rPr>
                <w:sz w:val="20"/>
              </w:rPr>
              <w:t>5 B, 5 D</w:t>
            </w:r>
          </w:p>
        </w:tc>
      </w:tr>
      <w:tr>
        <w:trPr>
          <w:trHeight w:val="284" w:hRule="atLeast"/>
        </w:trPr>
        <w:tc>
          <w:tcPr>
            <w:tcW w:w="2651" w:type="dxa"/>
            <w:tcBorders>
              <w:left w:val="single" w:sz="4" w:space="0" w:color="000000"/>
            </w:tcBorders>
          </w:tcPr>
          <w:p>
            <w:pPr>
              <w:pStyle w:val="TableParagraph"/>
              <w:spacing w:before="21"/>
              <w:ind w:left="107"/>
              <w:rPr>
                <w:sz w:val="20"/>
              </w:rPr>
            </w:pPr>
            <w:r>
              <w:rPr>
                <w:sz w:val="20"/>
              </w:rPr>
              <w:t>Grassland</w:t>
            </w:r>
          </w:p>
        </w:tc>
        <w:tc>
          <w:tcPr>
            <w:tcW w:w="2951" w:type="dxa"/>
          </w:tcPr>
          <w:p>
            <w:pPr>
              <w:pStyle w:val="TableParagraph"/>
              <w:spacing w:before="21"/>
              <w:ind w:left="279"/>
              <w:rPr>
                <w:sz w:val="20"/>
              </w:rPr>
            </w:pPr>
            <w:r>
              <w:rPr>
                <w:sz w:val="20"/>
              </w:rPr>
              <w:t>Cropland</w:t>
            </w:r>
          </w:p>
        </w:tc>
        <w:tc>
          <w:tcPr>
            <w:tcW w:w="1607" w:type="dxa"/>
          </w:tcPr>
          <w:p>
            <w:pPr>
              <w:pStyle w:val="TableParagraph"/>
              <w:spacing w:before="25"/>
              <w:ind w:left="146"/>
              <w:rPr>
                <w:b/>
                <w:sz w:val="20"/>
              </w:rPr>
            </w:pPr>
            <w:r>
              <w:rPr>
                <w:b/>
                <w:sz w:val="20"/>
              </w:rPr>
              <w:t>3.3.2</w:t>
            </w:r>
          </w:p>
        </w:tc>
        <w:tc>
          <w:tcPr>
            <w:tcW w:w="1804" w:type="dxa"/>
            <w:tcBorders>
              <w:right w:val="single" w:sz="4" w:space="0" w:color="000000"/>
            </w:tcBorders>
          </w:tcPr>
          <w:p>
            <w:pPr>
              <w:pStyle w:val="TableParagraph"/>
              <w:spacing w:before="21"/>
              <w:ind w:left="257"/>
              <w:rPr>
                <w:sz w:val="20"/>
              </w:rPr>
            </w:pPr>
            <w:r>
              <w:rPr>
                <w:sz w:val="20"/>
              </w:rPr>
              <w:t>5 B, 5 D</w:t>
            </w:r>
          </w:p>
        </w:tc>
      </w:tr>
      <w:tr>
        <w:trPr>
          <w:trHeight w:val="280" w:hRule="atLeast"/>
        </w:trPr>
        <w:tc>
          <w:tcPr>
            <w:tcW w:w="2651" w:type="dxa"/>
            <w:tcBorders>
              <w:left w:val="single" w:sz="4" w:space="0" w:color="000000"/>
            </w:tcBorders>
          </w:tcPr>
          <w:p>
            <w:pPr>
              <w:pStyle w:val="TableParagraph"/>
              <w:spacing w:before="19"/>
              <w:ind w:left="107"/>
              <w:rPr>
                <w:sz w:val="20"/>
              </w:rPr>
            </w:pPr>
            <w:r>
              <w:rPr>
                <w:sz w:val="20"/>
              </w:rPr>
              <w:t>Wetlands</w:t>
            </w:r>
          </w:p>
        </w:tc>
        <w:tc>
          <w:tcPr>
            <w:tcW w:w="2951" w:type="dxa"/>
          </w:tcPr>
          <w:p>
            <w:pPr>
              <w:pStyle w:val="TableParagraph"/>
              <w:spacing w:before="19"/>
              <w:ind w:left="279"/>
              <w:rPr>
                <w:sz w:val="20"/>
              </w:rPr>
            </w:pPr>
            <w:r>
              <w:rPr>
                <w:sz w:val="20"/>
              </w:rPr>
              <w:t>Cropland</w:t>
            </w:r>
          </w:p>
        </w:tc>
        <w:tc>
          <w:tcPr>
            <w:tcW w:w="1607" w:type="dxa"/>
          </w:tcPr>
          <w:p>
            <w:pPr>
              <w:pStyle w:val="TableParagraph"/>
              <w:spacing w:before="19"/>
              <w:ind w:left="146"/>
              <w:rPr>
                <w:sz w:val="20"/>
              </w:rPr>
            </w:pPr>
            <w:r>
              <w:rPr>
                <w:sz w:val="20"/>
              </w:rPr>
              <w:t>3.3.2</w:t>
            </w:r>
          </w:p>
        </w:tc>
        <w:tc>
          <w:tcPr>
            <w:tcW w:w="1804" w:type="dxa"/>
            <w:tcBorders>
              <w:right w:val="single" w:sz="4" w:space="0" w:color="000000"/>
            </w:tcBorders>
          </w:tcPr>
          <w:p>
            <w:pPr>
              <w:pStyle w:val="TableParagraph"/>
              <w:spacing w:before="19"/>
              <w:ind w:left="257"/>
              <w:rPr>
                <w:sz w:val="20"/>
              </w:rPr>
            </w:pPr>
            <w:r>
              <w:rPr>
                <w:sz w:val="20"/>
              </w:rPr>
              <w:t>5 D</w:t>
            </w:r>
          </w:p>
        </w:tc>
      </w:tr>
      <w:tr>
        <w:trPr>
          <w:trHeight w:val="284" w:hRule="atLeast"/>
        </w:trPr>
        <w:tc>
          <w:tcPr>
            <w:tcW w:w="2651" w:type="dxa"/>
            <w:tcBorders>
              <w:left w:val="single" w:sz="4" w:space="0" w:color="000000"/>
            </w:tcBorders>
          </w:tcPr>
          <w:p>
            <w:pPr>
              <w:pStyle w:val="TableParagraph"/>
              <w:spacing w:before="22"/>
              <w:ind w:left="107"/>
              <w:rPr>
                <w:sz w:val="20"/>
              </w:rPr>
            </w:pPr>
            <w:r>
              <w:rPr>
                <w:sz w:val="20"/>
              </w:rPr>
              <w:t>Settlements</w:t>
            </w:r>
          </w:p>
        </w:tc>
        <w:tc>
          <w:tcPr>
            <w:tcW w:w="2951" w:type="dxa"/>
          </w:tcPr>
          <w:p>
            <w:pPr>
              <w:pStyle w:val="TableParagraph"/>
              <w:spacing w:before="22"/>
              <w:ind w:left="280"/>
              <w:rPr>
                <w:sz w:val="20"/>
              </w:rPr>
            </w:pPr>
            <w:r>
              <w:rPr>
                <w:sz w:val="20"/>
              </w:rPr>
              <w:t>Cropland</w:t>
            </w:r>
          </w:p>
        </w:tc>
        <w:tc>
          <w:tcPr>
            <w:tcW w:w="1607" w:type="dxa"/>
          </w:tcPr>
          <w:p>
            <w:pPr>
              <w:pStyle w:val="TableParagraph"/>
              <w:spacing w:before="22"/>
              <w:ind w:left="146"/>
              <w:rPr>
                <w:sz w:val="20"/>
              </w:rPr>
            </w:pPr>
            <w:r>
              <w:rPr>
                <w:sz w:val="20"/>
              </w:rPr>
              <w:t>3.3.2.</w:t>
            </w:r>
          </w:p>
        </w:tc>
        <w:tc>
          <w:tcPr>
            <w:tcW w:w="1804" w:type="dxa"/>
            <w:tcBorders>
              <w:right w:val="single" w:sz="4" w:space="0" w:color="000000"/>
            </w:tcBorders>
          </w:tcPr>
          <w:p>
            <w:pPr>
              <w:pStyle w:val="TableParagraph"/>
              <w:spacing w:before="22"/>
              <w:ind w:left="257"/>
              <w:rPr>
                <w:sz w:val="20"/>
              </w:rPr>
            </w:pPr>
            <w:r>
              <w:rPr>
                <w:sz w:val="20"/>
              </w:rPr>
              <w:t>5 D</w:t>
            </w:r>
          </w:p>
        </w:tc>
      </w:tr>
      <w:tr>
        <w:trPr>
          <w:trHeight w:val="369" w:hRule="atLeast"/>
        </w:trPr>
        <w:tc>
          <w:tcPr>
            <w:tcW w:w="2651" w:type="dxa"/>
            <w:tcBorders>
              <w:left w:val="single" w:sz="4" w:space="0" w:color="000000"/>
            </w:tcBorders>
          </w:tcPr>
          <w:p>
            <w:pPr>
              <w:pStyle w:val="TableParagraph"/>
              <w:spacing w:before="23"/>
              <w:ind w:left="107"/>
              <w:rPr>
                <w:sz w:val="20"/>
              </w:rPr>
            </w:pPr>
            <w:r>
              <w:rPr>
                <w:sz w:val="20"/>
              </w:rPr>
              <w:t>Other land</w:t>
            </w:r>
          </w:p>
        </w:tc>
        <w:tc>
          <w:tcPr>
            <w:tcW w:w="2951" w:type="dxa"/>
          </w:tcPr>
          <w:p>
            <w:pPr>
              <w:pStyle w:val="TableParagraph"/>
              <w:spacing w:before="23"/>
              <w:ind w:left="279"/>
              <w:rPr>
                <w:sz w:val="20"/>
              </w:rPr>
            </w:pPr>
            <w:r>
              <w:rPr>
                <w:sz w:val="20"/>
              </w:rPr>
              <w:t>Cropland</w:t>
            </w:r>
          </w:p>
        </w:tc>
        <w:tc>
          <w:tcPr>
            <w:tcW w:w="1607" w:type="dxa"/>
          </w:tcPr>
          <w:p>
            <w:pPr>
              <w:pStyle w:val="TableParagraph"/>
              <w:spacing w:before="23"/>
              <w:ind w:left="146"/>
              <w:rPr>
                <w:sz w:val="20"/>
              </w:rPr>
            </w:pPr>
            <w:r>
              <w:rPr>
                <w:sz w:val="20"/>
              </w:rPr>
              <w:t>3.3.2.</w:t>
            </w:r>
          </w:p>
        </w:tc>
        <w:tc>
          <w:tcPr>
            <w:tcW w:w="1804" w:type="dxa"/>
            <w:tcBorders>
              <w:right w:val="single" w:sz="4" w:space="0" w:color="000000"/>
            </w:tcBorders>
          </w:tcPr>
          <w:p>
            <w:pPr>
              <w:pStyle w:val="TableParagraph"/>
              <w:spacing w:before="23"/>
              <w:ind w:left="257"/>
              <w:rPr>
                <w:sz w:val="20"/>
              </w:rPr>
            </w:pPr>
            <w:r>
              <w:rPr>
                <w:sz w:val="20"/>
              </w:rPr>
              <w:t>5 D</w:t>
            </w:r>
          </w:p>
        </w:tc>
      </w:tr>
      <w:tr>
        <w:trPr>
          <w:trHeight w:val="368" w:hRule="atLeast"/>
        </w:trPr>
        <w:tc>
          <w:tcPr>
            <w:tcW w:w="2651" w:type="dxa"/>
            <w:tcBorders>
              <w:left w:val="single" w:sz="4" w:space="0" w:color="000000"/>
            </w:tcBorders>
          </w:tcPr>
          <w:p>
            <w:pPr>
              <w:pStyle w:val="TableParagraph"/>
              <w:spacing w:before="107"/>
              <w:ind w:left="107"/>
              <w:rPr>
                <w:sz w:val="20"/>
              </w:rPr>
            </w:pPr>
            <w:r>
              <w:rPr>
                <w:sz w:val="20"/>
              </w:rPr>
              <w:t>Grassland</w:t>
            </w:r>
          </w:p>
        </w:tc>
        <w:tc>
          <w:tcPr>
            <w:tcW w:w="2951" w:type="dxa"/>
          </w:tcPr>
          <w:p>
            <w:pPr>
              <w:pStyle w:val="TableParagraph"/>
              <w:spacing w:before="107"/>
              <w:ind w:left="279"/>
              <w:rPr>
                <w:sz w:val="20"/>
              </w:rPr>
            </w:pPr>
            <w:r>
              <w:rPr>
                <w:sz w:val="20"/>
              </w:rPr>
              <w:t>Grassland</w:t>
            </w:r>
          </w:p>
        </w:tc>
        <w:tc>
          <w:tcPr>
            <w:tcW w:w="1607" w:type="dxa"/>
          </w:tcPr>
          <w:p>
            <w:pPr>
              <w:pStyle w:val="TableParagraph"/>
              <w:spacing w:before="107"/>
              <w:ind w:left="146"/>
              <w:rPr>
                <w:sz w:val="20"/>
              </w:rPr>
            </w:pPr>
            <w:r>
              <w:rPr>
                <w:sz w:val="20"/>
              </w:rPr>
              <w:t>3.4.1</w:t>
            </w:r>
          </w:p>
        </w:tc>
        <w:tc>
          <w:tcPr>
            <w:tcW w:w="1804" w:type="dxa"/>
            <w:tcBorders>
              <w:right w:val="single" w:sz="4" w:space="0" w:color="000000"/>
            </w:tcBorders>
          </w:tcPr>
          <w:p>
            <w:pPr>
              <w:pStyle w:val="TableParagraph"/>
              <w:spacing w:before="107"/>
              <w:ind w:left="258"/>
              <w:rPr>
                <w:sz w:val="20"/>
              </w:rPr>
            </w:pPr>
            <w:r>
              <w:rPr>
                <w:sz w:val="20"/>
              </w:rPr>
              <w:t>5 A, 5 D</w:t>
            </w:r>
          </w:p>
        </w:tc>
      </w:tr>
      <w:tr>
        <w:trPr>
          <w:trHeight w:val="285" w:hRule="atLeast"/>
        </w:trPr>
        <w:tc>
          <w:tcPr>
            <w:tcW w:w="2651" w:type="dxa"/>
            <w:tcBorders>
              <w:left w:val="single" w:sz="4" w:space="0" w:color="000000"/>
            </w:tcBorders>
          </w:tcPr>
          <w:p>
            <w:pPr>
              <w:pStyle w:val="TableParagraph"/>
              <w:spacing w:before="22"/>
              <w:ind w:left="107"/>
              <w:rPr>
                <w:sz w:val="20"/>
              </w:rPr>
            </w:pPr>
            <w:r>
              <w:rPr>
                <w:sz w:val="20"/>
              </w:rPr>
              <w:t>Forest land</w:t>
            </w:r>
          </w:p>
        </w:tc>
        <w:tc>
          <w:tcPr>
            <w:tcW w:w="2951" w:type="dxa"/>
          </w:tcPr>
          <w:p>
            <w:pPr>
              <w:pStyle w:val="TableParagraph"/>
              <w:spacing w:before="22"/>
              <w:ind w:left="279"/>
              <w:rPr>
                <w:sz w:val="20"/>
              </w:rPr>
            </w:pPr>
            <w:r>
              <w:rPr>
                <w:sz w:val="20"/>
              </w:rPr>
              <w:t>Grassland</w:t>
            </w:r>
          </w:p>
        </w:tc>
        <w:tc>
          <w:tcPr>
            <w:tcW w:w="1607" w:type="dxa"/>
          </w:tcPr>
          <w:p>
            <w:pPr>
              <w:pStyle w:val="TableParagraph"/>
              <w:spacing w:before="27"/>
              <w:ind w:left="146"/>
              <w:rPr>
                <w:b/>
                <w:sz w:val="20"/>
              </w:rPr>
            </w:pPr>
            <w:r>
              <w:rPr>
                <w:b/>
                <w:sz w:val="20"/>
              </w:rPr>
              <w:t>3.4.2</w:t>
            </w:r>
          </w:p>
        </w:tc>
        <w:tc>
          <w:tcPr>
            <w:tcW w:w="1804" w:type="dxa"/>
            <w:tcBorders>
              <w:right w:val="single" w:sz="4" w:space="0" w:color="000000"/>
            </w:tcBorders>
          </w:tcPr>
          <w:p>
            <w:pPr>
              <w:pStyle w:val="TableParagraph"/>
              <w:spacing w:before="22"/>
              <w:ind w:left="257"/>
              <w:rPr>
                <w:sz w:val="20"/>
              </w:rPr>
            </w:pPr>
            <w:r>
              <w:rPr>
                <w:sz w:val="20"/>
              </w:rPr>
              <w:t>5 B, 5 D</w:t>
            </w:r>
          </w:p>
        </w:tc>
      </w:tr>
      <w:tr>
        <w:trPr>
          <w:trHeight w:val="281" w:hRule="atLeast"/>
        </w:trPr>
        <w:tc>
          <w:tcPr>
            <w:tcW w:w="2651" w:type="dxa"/>
            <w:tcBorders>
              <w:left w:val="single" w:sz="4" w:space="0" w:color="000000"/>
            </w:tcBorders>
          </w:tcPr>
          <w:p>
            <w:pPr>
              <w:pStyle w:val="TableParagraph"/>
              <w:spacing w:before="19"/>
              <w:ind w:left="107"/>
              <w:rPr>
                <w:sz w:val="20"/>
              </w:rPr>
            </w:pPr>
            <w:r>
              <w:rPr>
                <w:sz w:val="20"/>
              </w:rPr>
              <w:t>Cropland</w:t>
            </w:r>
          </w:p>
        </w:tc>
        <w:tc>
          <w:tcPr>
            <w:tcW w:w="2951" w:type="dxa"/>
          </w:tcPr>
          <w:p>
            <w:pPr>
              <w:pStyle w:val="TableParagraph"/>
              <w:spacing w:before="19"/>
              <w:ind w:left="279"/>
              <w:rPr>
                <w:sz w:val="20"/>
              </w:rPr>
            </w:pPr>
            <w:r>
              <w:rPr>
                <w:sz w:val="20"/>
              </w:rPr>
              <w:t>Grassland</w:t>
            </w:r>
          </w:p>
        </w:tc>
        <w:tc>
          <w:tcPr>
            <w:tcW w:w="1607" w:type="dxa"/>
          </w:tcPr>
          <w:p>
            <w:pPr>
              <w:pStyle w:val="TableParagraph"/>
              <w:spacing w:before="19"/>
              <w:ind w:left="146"/>
              <w:rPr>
                <w:sz w:val="20"/>
              </w:rPr>
            </w:pPr>
            <w:r>
              <w:rPr>
                <w:sz w:val="20"/>
              </w:rPr>
              <w:t>3.4.2</w:t>
            </w:r>
          </w:p>
        </w:tc>
        <w:tc>
          <w:tcPr>
            <w:tcW w:w="1804" w:type="dxa"/>
            <w:tcBorders>
              <w:right w:val="single" w:sz="4" w:space="0" w:color="000000"/>
            </w:tcBorders>
          </w:tcPr>
          <w:p>
            <w:pPr>
              <w:pStyle w:val="TableParagraph"/>
              <w:spacing w:before="19"/>
              <w:ind w:left="258"/>
              <w:rPr>
                <w:sz w:val="20"/>
              </w:rPr>
            </w:pPr>
            <w:r>
              <w:rPr>
                <w:sz w:val="20"/>
              </w:rPr>
              <w:t>5 C, 5 D</w:t>
            </w:r>
          </w:p>
        </w:tc>
      </w:tr>
      <w:tr>
        <w:trPr>
          <w:trHeight w:val="284" w:hRule="atLeast"/>
        </w:trPr>
        <w:tc>
          <w:tcPr>
            <w:tcW w:w="2651" w:type="dxa"/>
            <w:tcBorders>
              <w:left w:val="single" w:sz="4" w:space="0" w:color="000000"/>
            </w:tcBorders>
          </w:tcPr>
          <w:p>
            <w:pPr>
              <w:pStyle w:val="TableParagraph"/>
              <w:spacing w:before="23"/>
              <w:ind w:left="107"/>
              <w:rPr>
                <w:sz w:val="20"/>
              </w:rPr>
            </w:pPr>
            <w:r>
              <w:rPr>
                <w:sz w:val="20"/>
              </w:rPr>
              <w:t>Wetlands</w:t>
            </w:r>
          </w:p>
        </w:tc>
        <w:tc>
          <w:tcPr>
            <w:tcW w:w="2951" w:type="dxa"/>
          </w:tcPr>
          <w:p>
            <w:pPr>
              <w:pStyle w:val="TableParagraph"/>
              <w:spacing w:before="23"/>
              <w:ind w:left="279"/>
              <w:rPr>
                <w:sz w:val="20"/>
              </w:rPr>
            </w:pPr>
            <w:r>
              <w:rPr>
                <w:sz w:val="20"/>
              </w:rPr>
              <w:t>Grassland</w:t>
            </w:r>
          </w:p>
        </w:tc>
        <w:tc>
          <w:tcPr>
            <w:tcW w:w="1607" w:type="dxa"/>
          </w:tcPr>
          <w:p>
            <w:pPr>
              <w:pStyle w:val="TableParagraph"/>
              <w:spacing w:before="23"/>
              <w:ind w:left="146"/>
              <w:rPr>
                <w:sz w:val="20"/>
              </w:rPr>
            </w:pPr>
            <w:r>
              <w:rPr>
                <w:sz w:val="20"/>
              </w:rPr>
              <w:t>3.4.2</w:t>
            </w:r>
          </w:p>
        </w:tc>
        <w:tc>
          <w:tcPr>
            <w:tcW w:w="1804" w:type="dxa"/>
            <w:tcBorders>
              <w:right w:val="single" w:sz="4" w:space="0" w:color="000000"/>
            </w:tcBorders>
          </w:tcPr>
          <w:p>
            <w:pPr>
              <w:pStyle w:val="TableParagraph"/>
              <w:spacing w:before="23"/>
              <w:ind w:left="258"/>
              <w:rPr>
                <w:sz w:val="20"/>
              </w:rPr>
            </w:pPr>
            <w:r>
              <w:rPr>
                <w:sz w:val="20"/>
              </w:rPr>
              <w:t>5 C, 5 D</w:t>
            </w:r>
          </w:p>
        </w:tc>
      </w:tr>
      <w:tr>
        <w:trPr>
          <w:trHeight w:val="283" w:hRule="atLeast"/>
        </w:trPr>
        <w:tc>
          <w:tcPr>
            <w:tcW w:w="2651" w:type="dxa"/>
            <w:tcBorders>
              <w:left w:val="single" w:sz="4" w:space="0" w:color="000000"/>
            </w:tcBorders>
          </w:tcPr>
          <w:p>
            <w:pPr>
              <w:pStyle w:val="TableParagraph"/>
              <w:spacing w:before="22"/>
              <w:ind w:left="107"/>
              <w:rPr>
                <w:sz w:val="20"/>
              </w:rPr>
            </w:pPr>
            <w:r>
              <w:rPr>
                <w:sz w:val="20"/>
              </w:rPr>
              <w:t>Settlements</w:t>
            </w:r>
          </w:p>
        </w:tc>
        <w:tc>
          <w:tcPr>
            <w:tcW w:w="2951" w:type="dxa"/>
          </w:tcPr>
          <w:p>
            <w:pPr>
              <w:pStyle w:val="TableParagraph"/>
              <w:spacing w:before="22"/>
              <w:ind w:left="279"/>
              <w:rPr>
                <w:sz w:val="20"/>
              </w:rPr>
            </w:pPr>
            <w:r>
              <w:rPr>
                <w:sz w:val="20"/>
              </w:rPr>
              <w:t>Grassland</w:t>
            </w:r>
          </w:p>
        </w:tc>
        <w:tc>
          <w:tcPr>
            <w:tcW w:w="1607" w:type="dxa"/>
          </w:tcPr>
          <w:p>
            <w:pPr>
              <w:pStyle w:val="TableParagraph"/>
              <w:spacing w:before="22"/>
              <w:ind w:left="146"/>
              <w:rPr>
                <w:sz w:val="20"/>
              </w:rPr>
            </w:pPr>
            <w:r>
              <w:rPr>
                <w:sz w:val="20"/>
              </w:rPr>
              <w:t>3.4.2</w:t>
            </w:r>
          </w:p>
        </w:tc>
        <w:tc>
          <w:tcPr>
            <w:tcW w:w="1804" w:type="dxa"/>
            <w:tcBorders>
              <w:right w:val="single" w:sz="4" w:space="0" w:color="000000"/>
            </w:tcBorders>
          </w:tcPr>
          <w:p>
            <w:pPr>
              <w:pStyle w:val="TableParagraph"/>
              <w:spacing w:before="22"/>
              <w:ind w:left="257"/>
              <w:rPr>
                <w:sz w:val="20"/>
              </w:rPr>
            </w:pPr>
            <w:r>
              <w:rPr>
                <w:sz w:val="20"/>
              </w:rPr>
              <w:t>5 C, 5 D</w:t>
            </w:r>
          </w:p>
        </w:tc>
      </w:tr>
      <w:tr>
        <w:trPr>
          <w:trHeight w:val="369" w:hRule="atLeast"/>
        </w:trPr>
        <w:tc>
          <w:tcPr>
            <w:tcW w:w="2651" w:type="dxa"/>
            <w:tcBorders>
              <w:left w:val="single" w:sz="4" w:space="0" w:color="000000"/>
            </w:tcBorders>
          </w:tcPr>
          <w:p>
            <w:pPr>
              <w:pStyle w:val="TableParagraph"/>
              <w:spacing w:before="22"/>
              <w:ind w:left="107"/>
              <w:rPr>
                <w:sz w:val="20"/>
              </w:rPr>
            </w:pPr>
            <w:r>
              <w:rPr>
                <w:sz w:val="20"/>
              </w:rPr>
              <w:t>Other land</w:t>
            </w:r>
          </w:p>
        </w:tc>
        <w:tc>
          <w:tcPr>
            <w:tcW w:w="2951" w:type="dxa"/>
          </w:tcPr>
          <w:p>
            <w:pPr>
              <w:pStyle w:val="TableParagraph"/>
              <w:spacing w:before="22"/>
              <w:ind w:left="279"/>
              <w:rPr>
                <w:sz w:val="20"/>
              </w:rPr>
            </w:pPr>
            <w:r>
              <w:rPr>
                <w:sz w:val="20"/>
              </w:rPr>
              <w:t>Grassland</w:t>
            </w:r>
          </w:p>
        </w:tc>
        <w:tc>
          <w:tcPr>
            <w:tcW w:w="1607" w:type="dxa"/>
          </w:tcPr>
          <w:p>
            <w:pPr>
              <w:pStyle w:val="TableParagraph"/>
              <w:spacing w:before="22"/>
              <w:ind w:left="146"/>
              <w:rPr>
                <w:sz w:val="20"/>
              </w:rPr>
            </w:pPr>
            <w:r>
              <w:rPr>
                <w:sz w:val="20"/>
              </w:rPr>
              <w:t>3.4.2</w:t>
            </w:r>
          </w:p>
        </w:tc>
        <w:tc>
          <w:tcPr>
            <w:tcW w:w="1804" w:type="dxa"/>
            <w:tcBorders>
              <w:right w:val="single" w:sz="4" w:space="0" w:color="000000"/>
            </w:tcBorders>
          </w:tcPr>
          <w:p>
            <w:pPr>
              <w:pStyle w:val="TableParagraph"/>
              <w:spacing w:before="22"/>
              <w:ind w:left="258"/>
              <w:rPr>
                <w:sz w:val="20"/>
              </w:rPr>
            </w:pPr>
            <w:r>
              <w:rPr>
                <w:sz w:val="20"/>
              </w:rPr>
              <w:t>5 C, 5 D</w:t>
            </w:r>
          </w:p>
        </w:tc>
      </w:tr>
      <w:tr>
        <w:trPr>
          <w:trHeight w:val="369" w:hRule="atLeast"/>
        </w:trPr>
        <w:tc>
          <w:tcPr>
            <w:tcW w:w="2651" w:type="dxa"/>
            <w:tcBorders>
              <w:left w:val="single" w:sz="4" w:space="0" w:color="000000"/>
            </w:tcBorders>
          </w:tcPr>
          <w:p>
            <w:pPr>
              <w:pStyle w:val="TableParagraph"/>
              <w:spacing w:before="108"/>
              <w:ind w:left="107"/>
              <w:rPr>
                <w:sz w:val="20"/>
              </w:rPr>
            </w:pPr>
            <w:r>
              <w:rPr>
                <w:sz w:val="20"/>
              </w:rPr>
              <w:t>Wetlands</w:t>
            </w:r>
          </w:p>
        </w:tc>
        <w:tc>
          <w:tcPr>
            <w:tcW w:w="2951" w:type="dxa"/>
          </w:tcPr>
          <w:p>
            <w:pPr>
              <w:pStyle w:val="TableParagraph"/>
              <w:spacing w:before="108"/>
              <w:ind w:left="279"/>
              <w:rPr>
                <w:sz w:val="20"/>
              </w:rPr>
            </w:pPr>
            <w:r>
              <w:rPr>
                <w:sz w:val="20"/>
              </w:rPr>
              <w:t>Wetlands</w:t>
            </w:r>
          </w:p>
        </w:tc>
        <w:tc>
          <w:tcPr>
            <w:tcW w:w="1607" w:type="dxa"/>
          </w:tcPr>
          <w:p>
            <w:pPr>
              <w:pStyle w:val="TableParagraph"/>
              <w:spacing w:before="108"/>
              <w:ind w:left="146"/>
              <w:rPr>
                <w:sz w:val="20"/>
              </w:rPr>
            </w:pPr>
            <w:r>
              <w:rPr>
                <w:sz w:val="20"/>
              </w:rPr>
              <w:t>3.5.1</w:t>
            </w:r>
          </w:p>
        </w:tc>
        <w:tc>
          <w:tcPr>
            <w:tcW w:w="1804" w:type="dxa"/>
            <w:tcBorders>
              <w:right w:val="single" w:sz="4" w:space="0" w:color="000000"/>
            </w:tcBorders>
          </w:tcPr>
          <w:p>
            <w:pPr>
              <w:pStyle w:val="TableParagraph"/>
              <w:spacing w:before="108"/>
              <w:ind w:left="258"/>
              <w:rPr>
                <w:sz w:val="20"/>
              </w:rPr>
            </w:pPr>
            <w:r>
              <w:rPr>
                <w:sz w:val="20"/>
              </w:rPr>
              <w:t>5 A, 5 E</w:t>
            </w:r>
          </w:p>
        </w:tc>
      </w:tr>
      <w:tr>
        <w:trPr>
          <w:trHeight w:val="285" w:hRule="atLeast"/>
        </w:trPr>
        <w:tc>
          <w:tcPr>
            <w:tcW w:w="2651" w:type="dxa"/>
            <w:tcBorders>
              <w:left w:val="single" w:sz="4" w:space="0" w:color="000000"/>
            </w:tcBorders>
          </w:tcPr>
          <w:p>
            <w:pPr>
              <w:pStyle w:val="TableParagraph"/>
              <w:spacing w:before="22"/>
              <w:ind w:left="107"/>
              <w:rPr>
                <w:sz w:val="20"/>
              </w:rPr>
            </w:pPr>
            <w:r>
              <w:rPr>
                <w:sz w:val="20"/>
              </w:rPr>
              <w:t>Forest land</w:t>
            </w:r>
          </w:p>
        </w:tc>
        <w:tc>
          <w:tcPr>
            <w:tcW w:w="2951" w:type="dxa"/>
          </w:tcPr>
          <w:p>
            <w:pPr>
              <w:pStyle w:val="TableParagraph"/>
              <w:spacing w:before="22"/>
              <w:ind w:left="278"/>
              <w:rPr>
                <w:sz w:val="20"/>
              </w:rPr>
            </w:pPr>
            <w:r>
              <w:rPr>
                <w:sz w:val="20"/>
              </w:rPr>
              <w:t>Wetlands</w:t>
            </w:r>
          </w:p>
        </w:tc>
        <w:tc>
          <w:tcPr>
            <w:tcW w:w="1607" w:type="dxa"/>
          </w:tcPr>
          <w:p>
            <w:pPr>
              <w:pStyle w:val="TableParagraph"/>
              <w:spacing w:before="27"/>
              <w:ind w:left="146"/>
              <w:rPr>
                <w:b/>
                <w:sz w:val="20"/>
              </w:rPr>
            </w:pPr>
            <w:r>
              <w:rPr>
                <w:b/>
                <w:sz w:val="20"/>
              </w:rPr>
              <w:t>3.5.2</w:t>
            </w:r>
          </w:p>
        </w:tc>
        <w:tc>
          <w:tcPr>
            <w:tcW w:w="1804" w:type="dxa"/>
            <w:tcBorders>
              <w:right w:val="single" w:sz="4" w:space="0" w:color="000000"/>
            </w:tcBorders>
          </w:tcPr>
          <w:p>
            <w:pPr>
              <w:pStyle w:val="TableParagraph"/>
              <w:spacing w:before="22"/>
              <w:ind w:left="257"/>
              <w:rPr>
                <w:sz w:val="20"/>
              </w:rPr>
            </w:pPr>
            <w:r>
              <w:rPr>
                <w:sz w:val="20"/>
              </w:rPr>
              <w:t>5 B</w:t>
            </w:r>
          </w:p>
        </w:tc>
      </w:tr>
      <w:tr>
        <w:trPr>
          <w:trHeight w:val="281" w:hRule="atLeast"/>
        </w:trPr>
        <w:tc>
          <w:tcPr>
            <w:tcW w:w="2651" w:type="dxa"/>
            <w:tcBorders>
              <w:left w:val="single" w:sz="4" w:space="0" w:color="000000"/>
            </w:tcBorders>
          </w:tcPr>
          <w:p>
            <w:pPr>
              <w:pStyle w:val="TableParagraph"/>
              <w:spacing w:before="19"/>
              <w:ind w:left="107"/>
              <w:rPr>
                <w:sz w:val="20"/>
              </w:rPr>
            </w:pPr>
            <w:r>
              <w:rPr>
                <w:sz w:val="20"/>
              </w:rPr>
              <w:t>Cropland</w:t>
            </w:r>
          </w:p>
        </w:tc>
        <w:tc>
          <w:tcPr>
            <w:tcW w:w="2951" w:type="dxa"/>
          </w:tcPr>
          <w:p>
            <w:pPr>
              <w:pStyle w:val="TableParagraph"/>
              <w:spacing w:before="19"/>
              <w:ind w:left="279"/>
              <w:rPr>
                <w:sz w:val="20"/>
              </w:rPr>
            </w:pPr>
            <w:r>
              <w:rPr>
                <w:sz w:val="20"/>
              </w:rPr>
              <w:t>Wetlands</w:t>
            </w:r>
          </w:p>
        </w:tc>
        <w:tc>
          <w:tcPr>
            <w:tcW w:w="1607" w:type="dxa"/>
          </w:tcPr>
          <w:p>
            <w:pPr>
              <w:pStyle w:val="TableParagraph"/>
              <w:spacing w:before="19"/>
              <w:ind w:left="146"/>
              <w:rPr>
                <w:sz w:val="20"/>
              </w:rPr>
            </w:pPr>
            <w:r>
              <w:rPr>
                <w:sz w:val="20"/>
              </w:rPr>
              <w:t>3.5.2</w:t>
            </w:r>
          </w:p>
        </w:tc>
        <w:tc>
          <w:tcPr>
            <w:tcW w:w="1804" w:type="dxa"/>
            <w:tcBorders>
              <w:right w:val="single" w:sz="4" w:space="0" w:color="000000"/>
            </w:tcBorders>
          </w:tcPr>
          <w:p>
            <w:pPr>
              <w:pStyle w:val="TableParagraph"/>
              <w:spacing w:before="19"/>
              <w:ind w:left="257"/>
              <w:rPr>
                <w:sz w:val="20"/>
              </w:rPr>
            </w:pPr>
            <w:r>
              <w:rPr>
                <w:sz w:val="20"/>
              </w:rPr>
              <w:t>5 E</w:t>
            </w:r>
          </w:p>
        </w:tc>
      </w:tr>
      <w:tr>
        <w:trPr>
          <w:trHeight w:val="286" w:hRule="atLeast"/>
        </w:trPr>
        <w:tc>
          <w:tcPr>
            <w:tcW w:w="2651" w:type="dxa"/>
            <w:tcBorders>
              <w:left w:val="single" w:sz="4" w:space="0" w:color="000000"/>
            </w:tcBorders>
          </w:tcPr>
          <w:p>
            <w:pPr>
              <w:pStyle w:val="TableParagraph"/>
              <w:spacing w:before="23"/>
              <w:ind w:left="107"/>
              <w:rPr>
                <w:sz w:val="20"/>
              </w:rPr>
            </w:pPr>
            <w:r>
              <w:rPr>
                <w:sz w:val="20"/>
              </w:rPr>
              <w:t>Grassland</w:t>
            </w:r>
          </w:p>
        </w:tc>
        <w:tc>
          <w:tcPr>
            <w:tcW w:w="2951" w:type="dxa"/>
          </w:tcPr>
          <w:p>
            <w:pPr>
              <w:pStyle w:val="TableParagraph"/>
              <w:spacing w:before="23"/>
              <w:ind w:left="278"/>
              <w:rPr>
                <w:sz w:val="20"/>
              </w:rPr>
            </w:pPr>
            <w:r>
              <w:rPr>
                <w:sz w:val="20"/>
              </w:rPr>
              <w:t>Wetlands</w:t>
            </w:r>
          </w:p>
        </w:tc>
        <w:tc>
          <w:tcPr>
            <w:tcW w:w="1607" w:type="dxa"/>
          </w:tcPr>
          <w:p>
            <w:pPr>
              <w:pStyle w:val="TableParagraph"/>
              <w:spacing w:before="28"/>
              <w:ind w:left="146"/>
              <w:rPr>
                <w:b/>
                <w:sz w:val="20"/>
              </w:rPr>
            </w:pPr>
            <w:r>
              <w:rPr>
                <w:b/>
                <w:sz w:val="20"/>
              </w:rPr>
              <w:t>3.5.2</w:t>
            </w:r>
          </w:p>
        </w:tc>
        <w:tc>
          <w:tcPr>
            <w:tcW w:w="1804" w:type="dxa"/>
            <w:tcBorders>
              <w:right w:val="single" w:sz="4" w:space="0" w:color="000000"/>
            </w:tcBorders>
          </w:tcPr>
          <w:p>
            <w:pPr>
              <w:pStyle w:val="TableParagraph"/>
              <w:spacing w:before="23"/>
              <w:ind w:left="257"/>
              <w:rPr>
                <w:sz w:val="20"/>
              </w:rPr>
            </w:pPr>
            <w:r>
              <w:rPr>
                <w:sz w:val="20"/>
              </w:rPr>
              <w:t>5 B</w:t>
            </w:r>
          </w:p>
        </w:tc>
      </w:tr>
      <w:tr>
        <w:trPr>
          <w:trHeight w:val="280" w:hRule="atLeast"/>
        </w:trPr>
        <w:tc>
          <w:tcPr>
            <w:tcW w:w="2651" w:type="dxa"/>
            <w:tcBorders>
              <w:left w:val="single" w:sz="4" w:space="0" w:color="000000"/>
            </w:tcBorders>
          </w:tcPr>
          <w:p>
            <w:pPr>
              <w:pStyle w:val="TableParagraph"/>
              <w:spacing w:before="19"/>
              <w:ind w:left="107"/>
              <w:rPr>
                <w:sz w:val="20"/>
              </w:rPr>
            </w:pPr>
            <w:r>
              <w:rPr>
                <w:sz w:val="20"/>
              </w:rPr>
              <w:t>Settlements</w:t>
            </w:r>
          </w:p>
        </w:tc>
        <w:tc>
          <w:tcPr>
            <w:tcW w:w="2951" w:type="dxa"/>
          </w:tcPr>
          <w:p>
            <w:pPr>
              <w:pStyle w:val="TableParagraph"/>
              <w:spacing w:before="19"/>
              <w:ind w:left="279"/>
              <w:rPr>
                <w:sz w:val="20"/>
              </w:rPr>
            </w:pPr>
            <w:r>
              <w:rPr>
                <w:sz w:val="20"/>
              </w:rPr>
              <w:t>Wetlands</w:t>
            </w:r>
          </w:p>
        </w:tc>
        <w:tc>
          <w:tcPr>
            <w:tcW w:w="1607" w:type="dxa"/>
          </w:tcPr>
          <w:p>
            <w:pPr>
              <w:pStyle w:val="TableParagraph"/>
              <w:spacing w:before="19"/>
              <w:ind w:left="146"/>
              <w:rPr>
                <w:sz w:val="20"/>
              </w:rPr>
            </w:pPr>
            <w:r>
              <w:rPr>
                <w:sz w:val="20"/>
              </w:rPr>
              <w:t>3.5.2</w:t>
            </w:r>
          </w:p>
        </w:tc>
        <w:tc>
          <w:tcPr>
            <w:tcW w:w="1804" w:type="dxa"/>
            <w:tcBorders>
              <w:right w:val="single" w:sz="4" w:space="0" w:color="000000"/>
            </w:tcBorders>
          </w:tcPr>
          <w:p>
            <w:pPr>
              <w:pStyle w:val="TableParagraph"/>
              <w:spacing w:before="19"/>
              <w:ind w:left="257"/>
              <w:rPr>
                <w:sz w:val="20"/>
              </w:rPr>
            </w:pPr>
            <w:r>
              <w:rPr>
                <w:sz w:val="20"/>
              </w:rPr>
              <w:t>5 E</w:t>
            </w:r>
          </w:p>
        </w:tc>
      </w:tr>
      <w:tr>
        <w:trPr>
          <w:trHeight w:val="368" w:hRule="atLeast"/>
        </w:trPr>
        <w:tc>
          <w:tcPr>
            <w:tcW w:w="2651" w:type="dxa"/>
            <w:tcBorders>
              <w:left w:val="single" w:sz="4" w:space="0" w:color="000000"/>
            </w:tcBorders>
          </w:tcPr>
          <w:p>
            <w:pPr>
              <w:pStyle w:val="TableParagraph"/>
              <w:spacing w:before="22"/>
              <w:ind w:left="107"/>
              <w:rPr>
                <w:sz w:val="20"/>
              </w:rPr>
            </w:pPr>
            <w:r>
              <w:rPr>
                <w:sz w:val="20"/>
              </w:rPr>
              <w:t>Other land</w:t>
            </w:r>
          </w:p>
        </w:tc>
        <w:tc>
          <w:tcPr>
            <w:tcW w:w="2951" w:type="dxa"/>
          </w:tcPr>
          <w:p>
            <w:pPr>
              <w:pStyle w:val="TableParagraph"/>
              <w:spacing w:before="22"/>
              <w:ind w:left="279"/>
              <w:rPr>
                <w:sz w:val="20"/>
              </w:rPr>
            </w:pPr>
            <w:r>
              <w:rPr>
                <w:sz w:val="20"/>
              </w:rPr>
              <w:t>Wetlands</w:t>
            </w:r>
          </w:p>
        </w:tc>
        <w:tc>
          <w:tcPr>
            <w:tcW w:w="1607" w:type="dxa"/>
          </w:tcPr>
          <w:p>
            <w:pPr>
              <w:pStyle w:val="TableParagraph"/>
              <w:spacing w:before="22"/>
              <w:ind w:left="146"/>
              <w:rPr>
                <w:sz w:val="20"/>
              </w:rPr>
            </w:pPr>
            <w:r>
              <w:rPr>
                <w:sz w:val="20"/>
              </w:rPr>
              <w:t>3.5.2</w:t>
            </w:r>
          </w:p>
        </w:tc>
        <w:tc>
          <w:tcPr>
            <w:tcW w:w="1804" w:type="dxa"/>
            <w:tcBorders>
              <w:right w:val="single" w:sz="4" w:space="0" w:color="000000"/>
            </w:tcBorders>
          </w:tcPr>
          <w:p>
            <w:pPr>
              <w:pStyle w:val="TableParagraph"/>
              <w:spacing w:before="22"/>
              <w:ind w:left="257"/>
              <w:rPr>
                <w:sz w:val="20"/>
              </w:rPr>
            </w:pPr>
            <w:r>
              <w:rPr>
                <w:sz w:val="20"/>
              </w:rPr>
              <w:t>5 E</w:t>
            </w:r>
          </w:p>
        </w:tc>
      </w:tr>
      <w:tr>
        <w:trPr>
          <w:trHeight w:val="369" w:hRule="atLeast"/>
        </w:trPr>
        <w:tc>
          <w:tcPr>
            <w:tcW w:w="2651" w:type="dxa"/>
            <w:tcBorders>
              <w:left w:val="single" w:sz="4" w:space="0" w:color="000000"/>
            </w:tcBorders>
          </w:tcPr>
          <w:p>
            <w:pPr>
              <w:pStyle w:val="TableParagraph"/>
              <w:spacing w:before="107"/>
              <w:ind w:left="107"/>
              <w:rPr>
                <w:sz w:val="20"/>
              </w:rPr>
            </w:pPr>
            <w:r>
              <w:rPr>
                <w:sz w:val="20"/>
              </w:rPr>
              <w:t>Settlements</w:t>
            </w:r>
          </w:p>
        </w:tc>
        <w:tc>
          <w:tcPr>
            <w:tcW w:w="2951" w:type="dxa"/>
          </w:tcPr>
          <w:p>
            <w:pPr>
              <w:pStyle w:val="TableParagraph"/>
              <w:spacing w:before="107"/>
              <w:ind w:left="278"/>
              <w:rPr>
                <w:sz w:val="20"/>
              </w:rPr>
            </w:pPr>
            <w:r>
              <w:rPr>
                <w:sz w:val="20"/>
              </w:rPr>
              <w:t>Settlements</w:t>
            </w:r>
          </w:p>
        </w:tc>
        <w:tc>
          <w:tcPr>
            <w:tcW w:w="1607" w:type="dxa"/>
          </w:tcPr>
          <w:p>
            <w:pPr>
              <w:pStyle w:val="TableParagraph"/>
              <w:spacing w:before="107"/>
              <w:ind w:left="144"/>
              <w:rPr>
                <w:sz w:val="20"/>
              </w:rPr>
            </w:pPr>
            <w:r>
              <w:rPr>
                <w:sz w:val="20"/>
              </w:rPr>
              <w:t>3.6.1</w:t>
            </w:r>
          </w:p>
        </w:tc>
        <w:tc>
          <w:tcPr>
            <w:tcW w:w="1804" w:type="dxa"/>
            <w:tcBorders>
              <w:right w:val="single" w:sz="4" w:space="0" w:color="000000"/>
            </w:tcBorders>
          </w:tcPr>
          <w:p>
            <w:pPr>
              <w:pStyle w:val="TableParagraph"/>
              <w:spacing w:before="107"/>
              <w:ind w:left="256"/>
              <w:rPr>
                <w:sz w:val="20"/>
              </w:rPr>
            </w:pPr>
            <w:r>
              <w:rPr>
                <w:sz w:val="20"/>
              </w:rPr>
              <w:t>5 A</w:t>
            </w:r>
          </w:p>
        </w:tc>
      </w:tr>
      <w:tr>
        <w:trPr>
          <w:trHeight w:val="286" w:hRule="atLeast"/>
        </w:trPr>
        <w:tc>
          <w:tcPr>
            <w:tcW w:w="2651" w:type="dxa"/>
            <w:tcBorders>
              <w:left w:val="single" w:sz="4" w:space="0" w:color="000000"/>
            </w:tcBorders>
          </w:tcPr>
          <w:p>
            <w:pPr>
              <w:pStyle w:val="TableParagraph"/>
              <w:spacing w:before="23"/>
              <w:ind w:left="107"/>
              <w:rPr>
                <w:sz w:val="20"/>
              </w:rPr>
            </w:pPr>
            <w:r>
              <w:rPr>
                <w:sz w:val="20"/>
              </w:rPr>
              <w:t>Forest land</w:t>
            </w:r>
          </w:p>
        </w:tc>
        <w:tc>
          <w:tcPr>
            <w:tcW w:w="2951" w:type="dxa"/>
          </w:tcPr>
          <w:p>
            <w:pPr>
              <w:pStyle w:val="TableParagraph"/>
              <w:spacing w:before="23"/>
              <w:ind w:left="278"/>
              <w:rPr>
                <w:sz w:val="20"/>
              </w:rPr>
            </w:pPr>
            <w:r>
              <w:rPr>
                <w:sz w:val="20"/>
              </w:rPr>
              <w:t>Settlements</w:t>
            </w:r>
          </w:p>
        </w:tc>
        <w:tc>
          <w:tcPr>
            <w:tcW w:w="1607" w:type="dxa"/>
          </w:tcPr>
          <w:p>
            <w:pPr>
              <w:pStyle w:val="TableParagraph"/>
              <w:spacing w:before="28"/>
              <w:ind w:left="146"/>
              <w:rPr>
                <w:b/>
                <w:sz w:val="20"/>
              </w:rPr>
            </w:pPr>
            <w:r>
              <w:rPr>
                <w:b/>
                <w:sz w:val="20"/>
              </w:rPr>
              <w:t>3.6.2</w:t>
            </w:r>
          </w:p>
        </w:tc>
        <w:tc>
          <w:tcPr>
            <w:tcW w:w="1804" w:type="dxa"/>
            <w:tcBorders>
              <w:right w:val="single" w:sz="4" w:space="0" w:color="000000"/>
            </w:tcBorders>
          </w:tcPr>
          <w:p>
            <w:pPr>
              <w:pStyle w:val="TableParagraph"/>
              <w:spacing w:before="23"/>
              <w:ind w:left="257"/>
              <w:rPr>
                <w:sz w:val="20"/>
              </w:rPr>
            </w:pPr>
            <w:r>
              <w:rPr>
                <w:sz w:val="20"/>
              </w:rPr>
              <w:t>5 B</w:t>
            </w:r>
          </w:p>
        </w:tc>
      </w:tr>
      <w:tr>
        <w:trPr>
          <w:trHeight w:val="280" w:hRule="atLeast"/>
        </w:trPr>
        <w:tc>
          <w:tcPr>
            <w:tcW w:w="2651" w:type="dxa"/>
            <w:tcBorders>
              <w:left w:val="single" w:sz="4" w:space="0" w:color="000000"/>
            </w:tcBorders>
          </w:tcPr>
          <w:p>
            <w:pPr>
              <w:pStyle w:val="TableParagraph"/>
              <w:spacing w:before="19"/>
              <w:ind w:left="107"/>
              <w:rPr>
                <w:sz w:val="20"/>
              </w:rPr>
            </w:pPr>
            <w:r>
              <w:rPr>
                <w:sz w:val="20"/>
              </w:rPr>
              <w:t>Cropland</w:t>
            </w:r>
          </w:p>
        </w:tc>
        <w:tc>
          <w:tcPr>
            <w:tcW w:w="2951" w:type="dxa"/>
          </w:tcPr>
          <w:p>
            <w:pPr>
              <w:pStyle w:val="TableParagraph"/>
              <w:spacing w:before="19"/>
              <w:ind w:left="279"/>
              <w:rPr>
                <w:sz w:val="20"/>
              </w:rPr>
            </w:pPr>
            <w:r>
              <w:rPr>
                <w:sz w:val="20"/>
              </w:rPr>
              <w:t>Settlements</w:t>
            </w:r>
          </w:p>
        </w:tc>
        <w:tc>
          <w:tcPr>
            <w:tcW w:w="1607" w:type="dxa"/>
          </w:tcPr>
          <w:p>
            <w:pPr>
              <w:pStyle w:val="TableParagraph"/>
              <w:spacing w:before="19"/>
              <w:ind w:left="146"/>
              <w:rPr>
                <w:sz w:val="20"/>
              </w:rPr>
            </w:pPr>
            <w:r>
              <w:rPr>
                <w:sz w:val="20"/>
              </w:rPr>
              <w:t>3.6.2</w:t>
            </w:r>
          </w:p>
        </w:tc>
        <w:tc>
          <w:tcPr>
            <w:tcW w:w="1804" w:type="dxa"/>
            <w:tcBorders>
              <w:right w:val="single" w:sz="4" w:space="0" w:color="000000"/>
            </w:tcBorders>
          </w:tcPr>
          <w:p>
            <w:pPr>
              <w:pStyle w:val="TableParagraph"/>
              <w:spacing w:before="19"/>
              <w:ind w:left="258"/>
              <w:rPr>
                <w:sz w:val="20"/>
              </w:rPr>
            </w:pPr>
            <w:r>
              <w:rPr>
                <w:sz w:val="20"/>
              </w:rPr>
              <w:t>5 E</w:t>
            </w:r>
          </w:p>
        </w:tc>
      </w:tr>
      <w:tr>
        <w:trPr>
          <w:trHeight w:val="286" w:hRule="atLeast"/>
        </w:trPr>
        <w:tc>
          <w:tcPr>
            <w:tcW w:w="2651" w:type="dxa"/>
            <w:tcBorders>
              <w:left w:val="single" w:sz="4" w:space="0" w:color="000000"/>
            </w:tcBorders>
          </w:tcPr>
          <w:p>
            <w:pPr>
              <w:pStyle w:val="TableParagraph"/>
              <w:spacing w:before="22"/>
              <w:ind w:left="107"/>
              <w:rPr>
                <w:sz w:val="20"/>
              </w:rPr>
            </w:pPr>
            <w:r>
              <w:rPr>
                <w:sz w:val="20"/>
              </w:rPr>
              <w:t>Grassland</w:t>
            </w:r>
          </w:p>
        </w:tc>
        <w:tc>
          <w:tcPr>
            <w:tcW w:w="2951" w:type="dxa"/>
          </w:tcPr>
          <w:p>
            <w:pPr>
              <w:pStyle w:val="TableParagraph"/>
              <w:spacing w:before="22"/>
              <w:ind w:left="278"/>
              <w:rPr>
                <w:sz w:val="20"/>
              </w:rPr>
            </w:pPr>
            <w:r>
              <w:rPr>
                <w:sz w:val="20"/>
              </w:rPr>
              <w:t>Settlements</w:t>
            </w:r>
          </w:p>
        </w:tc>
        <w:tc>
          <w:tcPr>
            <w:tcW w:w="1607" w:type="dxa"/>
          </w:tcPr>
          <w:p>
            <w:pPr>
              <w:pStyle w:val="TableParagraph"/>
              <w:spacing w:before="27"/>
              <w:ind w:left="146"/>
              <w:rPr>
                <w:b/>
                <w:sz w:val="20"/>
              </w:rPr>
            </w:pPr>
            <w:r>
              <w:rPr>
                <w:b/>
                <w:sz w:val="20"/>
              </w:rPr>
              <w:t>3.6.2</w:t>
            </w:r>
          </w:p>
        </w:tc>
        <w:tc>
          <w:tcPr>
            <w:tcW w:w="1804" w:type="dxa"/>
            <w:tcBorders>
              <w:right w:val="single" w:sz="4" w:space="0" w:color="000000"/>
            </w:tcBorders>
          </w:tcPr>
          <w:p>
            <w:pPr>
              <w:pStyle w:val="TableParagraph"/>
              <w:spacing w:before="22"/>
              <w:ind w:left="257"/>
              <w:rPr>
                <w:sz w:val="20"/>
              </w:rPr>
            </w:pPr>
            <w:r>
              <w:rPr>
                <w:sz w:val="20"/>
              </w:rPr>
              <w:t>5 B</w:t>
            </w:r>
          </w:p>
        </w:tc>
      </w:tr>
      <w:tr>
        <w:trPr>
          <w:trHeight w:val="281" w:hRule="atLeast"/>
        </w:trPr>
        <w:tc>
          <w:tcPr>
            <w:tcW w:w="2651" w:type="dxa"/>
            <w:tcBorders>
              <w:left w:val="single" w:sz="4" w:space="0" w:color="000000"/>
            </w:tcBorders>
          </w:tcPr>
          <w:p>
            <w:pPr>
              <w:pStyle w:val="TableParagraph"/>
              <w:spacing w:before="21"/>
              <w:ind w:left="107"/>
              <w:rPr>
                <w:sz w:val="20"/>
              </w:rPr>
            </w:pPr>
            <w:r>
              <w:rPr>
                <w:sz w:val="20"/>
              </w:rPr>
              <w:t>Wetlands</w:t>
            </w:r>
          </w:p>
        </w:tc>
        <w:tc>
          <w:tcPr>
            <w:tcW w:w="2951" w:type="dxa"/>
          </w:tcPr>
          <w:p>
            <w:pPr>
              <w:pStyle w:val="TableParagraph"/>
              <w:spacing w:before="21"/>
              <w:ind w:left="279"/>
              <w:rPr>
                <w:sz w:val="20"/>
              </w:rPr>
            </w:pPr>
            <w:r>
              <w:rPr>
                <w:sz w:val="20"/>
              </w:rPr>
              <w:t>Settlements</w:t>
            </w:r>
          </w:p>
        </w:tc>
        <w:tc>
          <w:tcPr>
            <w:tcW w:w="1607" w:type="dxa"/>
          </w:tcPr>
          <w:p>
            <w:pPr>
              <w:pStyle w:val="TableParagraph"/>
              <w:spacing w:before="21"/>
              <w:ind w:left="146"/>
              <w:rPr>
                <w:sz w:val="20"/>
              </w:rPr>
            </w:pPr>
            <w:r>
              <w:rPr>
                <w:sz w:val="20"/>
              </w:rPr>
              <w:t>3.6.2</w:t>
            </w:r>
          </w:p>
        </w:tc>
        <w:tc>
          <w:tcPr>
            <w:tcW w:w="1804" w:type="dxa"/>
            <w:tcBorders>
              <w:right w:val="single" w:sz="4" w:space="0" w:color="000000"/>
            </w:tcBorders>
          </w:tcPr>
          <w:p>
            <w:pPr>
              <w:pStyle w:val="TableParagraph"/>
              <w:spacing w:before="21"/>
              <w:ind w:left="257"/>
              <w:rPr>
                <w:sz w:val="20"/>
              </w:rPr>
            </w:pPr>
            <w:r>
              <w:rPr>
                <w:sz w:val="20"/>
              </w:rPr>
              <w:t>5 E</w:t>
            </w:r>
          </w:p>
        </w:tc>
      </w:tr>
      <w:tr>
        <w:trPr>
          <w:trHeight w:val="368" w:hRule="atLeast"/>
        </w:trPr>
        <w:tc>
          <w:tcPr>
            <w:tcW w:w="2651" w:type="dxa"/>
            <w:tcBorders>
              <w:left w:val="single" w:sz="4" w:space="0" w:color="000000"/>
            </w:tcBorders>
          </w:tcPr>
          <w:p>
            <w:pPr>
              <w:pStyle w:val="TableParagraph"/>
              <w:spacing w:before="22"/>
              <w:ind w:left="107"/>
              <w:rPr>
                <w:sz w:val="20"/>
              </w:rPr>
            </w:pPr>
            <w:r>
              <w:rPr>
                <w:sz w:val="20"/>
              </w:rPr>
              <w:t>Other land</w:t>
            </w:r>
          </w:p>
        </w:tc>
        <w:tc>
          <w:tcPr>
            <w:tcW w:w="2951" w:type="dxa"/>
          </w:tcPr>
          <w:p>
            <w:pPr>
              <w:pStyle w:val="TableParagraph"/>
              <w:spacing w:before="22"/>
              <w:ind w:left="278"/>
              <w:rPr>
                <w:sz w:val="20"/>
              </w:rPr>
            </w:pPr>
            <w:r>
              <w:rPr>
                <w:sz w:val="20"/>
              </w:rPr>
              <w:t>Settlements</w:t>
            </w:r>
          </w:p>
        </w:tc>
        <w:tc>
          <w:tcPr>
            <w:tcW w:w="1607" w:type="dxa"/>
          </w:tcPr>
          <w:p>
            <w:pPr>
              <w:pStyle w:val="TableParagraph"/>
              <w:spacing w:before="22"/>
              <w:ind w:left="146"/>
              <w:rPr>
                <w:sz w:val="20"/>
              </w:rPr>
            </w:pPr>
            <w:r>
              <w:rPr>
                <w:sz w:val="20"/>
              </w:rPr>
              <w:t>3.6.2</w:t>
            </w:r>
          </w:p>
        </w:tc>
        <w:tc>
          <w:tcPr>
            <w:tcW w:w="1804" w:type="dxa"/>
            <w:tcBorders>
              <w:right w:val="single" w:sz="4" w:space="0" w:color="000000"/>
            </w:tcBorders>
          </w:tcPr>
          <w:p>
            <w:pPr>
              <w:pStyle w:val="TableParagraph"/>
              <w:spacing w:before="22"/>
              <w:ind w:left="258"/>
              <w:rPr>
                <w:sz w:val="20"/>
              </w:rPr>
            </w:pPr>
            <w:r>
              <w:rPr>
                <w:sz w:val="20"/>
              </w:rPr>
              <w:t>5 E</w:t>
            </w:r>
          </w:p>
        </w:tc>
      </w:tr>
      <w:tr>
        <w:trPr>
          <w:trHeight w:val="369" w:hRule="atLeast"/>
        </w:trPr>
        <w:tc>
          <w:tcPr>
            <w:tcW w:w="2651" w:type="dxa"/>
            <w:tcBorders>
              <w:left w:val="single" w:sz="4" w:space="0" w:color="000000"/>
            </w:tcBorders>
          </w:tcPr>
          <w:p>
            <w:pPr>
              <w:pStyle w:val="TableParagraph"/>
              <w:spacing w:before="107"/>
              <w:ind w:left="107"/>
              <w:rPr>
                <w:sz w:val="20"/>
              </w:rPr>
            </w:pPr>
            <w:r>
              <w:rPr>
                <w:sz w:val="20"/>
              </w:rPr>
              <w:t>Other land</w:t>
            </w:r>
          </w:p>
        </w:tc>
        <w:tc>
          <w:tcPr>
            <w:tcW w:w="2951" w:type="dxa"/>
          </w:tcPr>
          <w:p>
            <w:pPr>
              <w:pStyle w:val="TableParagraph"/>
              <w:spacing w:before="107"/>
              <w:ind w:left="279"/>
              <w:rPr>
                <w:sz w:val="20"/>
              </w:rPr>
            </w:pPr>
            <w:r>
              <w:rPr>
                <w:sz w:val="20"/>
              </w:rPr>
              <w:t>Other land</w:t>
            </w:r>
          </w:p>
        </w:tc>
        <w:tc>
          <w:tcPr>
            <w:tcW w:w="1607" w:type="dxa"/>
          </w:tcPr>
          <w:p>
            <w:pPr>
              <w:pStyle w:val="TableParagraph"/>
              <w:spacing w:before="107"/>
              <w:ind w:left="146"/>
              <w:rPr>
                <w:sz w:val="20"/>
              </w:rPr>
            </w:pPr>
            <w:r>
              <w:rPr>
                <w:sz w:val="20"/>
              </w:rPr>
              <w:t>3.7.1</w:t>
            </w:r>
          </w:p>
        </w:tc>
        <w:tc>
          <w:tcPr>
            <w:tcW w:w="1804" w:type="dxa"/>
            <w:tcBorders>
              <w:right w:val="single" w:sz="4" w:space="0" w:color="000000"/>
            </w:tcBorders>
          </w:tcPr>
          <w:p>
            <w:pPr>
              <w:pStyle w:val="TableParagraph"/>
              <w:spacing w:before="107"/>
              <w:ind w:left="257"/>
              <w:rPr>
                <w:sz w:val="20"/>
              </w:rPr>
            </w:pPr>
            <w:r>
              <w:rPr>
                <w:sz w:val="20"/>
              </w:rPr>
              <w:t>5 A</w:t>
            </w:r>
          </w:p>
        </w:tc>
      </w:tr>
      <w:tr>
        <w:trPr>
          <w:trHeight w:val="286" w:hRule="atLeast"/>
        </w:trPr>
        <w:tc>
          <w:tcPr>
            <w:tcW w:w="2651" w:type="dxa"/>
            <w:tcBorders>
              <w:left w:val="single" w:sz="4" w:space="0" w:color="000000"/>
            </w:tcBorders>
          </w:tcPr>
          <w:p>
            <w:pPr>
              <w:pStyle w:val="TableParagraph"/>
              <w:spacing w:before="23"/>
              <w:ind w:left="107"/>
              <w:rPr>
                <w:sz w:val="20"/>
              </w:rPr>
            </w:pPr>
            <w:r>
              <w:rPr>
                <w:sz w:val="20"/>
              </w:rPr>
              <w:t>Forest land</w:t>
            </w:r>
          </w:p>
        </w:tc>
        <w:tc>
          <w:tcPr>
            <w:tcW w:w="2951" w:type="dxa"/>
          </w:tcPr>
          <w:p>
            <w:pPr>
              <w:pStyle w:val="TableParagraph"/>
              <w:spacing w:before="23"/>
              <w:ind w:left="278"/>
              <w:rPr>
                <w:sz w:val="20"/>
              </w:rPr>
            </w:pPr>
            <w:r>
              <w:rPr>
                <w:sz w:val="20"/>
              </w:rPr>
              <w:t>Other land</w:t>
            </w:r>
          </w:p>
        </w:tc>
        <w:tc>
          <w:tcPr>
            <w:tcW w:w="1607" w:type="dxa"/>
          </w:tcPr>
          <w:p>
            <w:pPr>
              <w:pStyle w:val="TableParagraph"/>
              <w:spacing w:before="28"/>
              <w:ind w:left="146"/>
              <w:rPr>
                <w:b/>
                <w:sz w:val="20"/>
              </w:rPr>
            </w:pPr>
            <w:r>
              <w:rPr>
                <w:b/>
                <w:sz w:val="20"/>
              </w:rPr>
              <w:t>3.7.2</w:t>
            </w:r>
          </w:p>
        </w:tc>
        <w:tc>
          <w:tcPr>
            <w:tcW w:w="1804" w:type="dxa"/>
            <w:tcBorders>
              <w:right w:val="single" w:sz="4" w:space="0" w:color="000000"/>
            </w:tcBorders>
          </w:tcPr>
          <w:p>
            <w:pPr>
              <w:pStyle w:val="TableParagraph"/>
              <w:spacing w:before="23"/>
              <w:ind w:left="257"/>
              <w:rPr>
                <w:sz w:val="20"/>
              </w:rPr>
            </w:pPr>
            <w:r>
              <w:rPr>
                <w:sz w:val="20"/>
              </w:rPr>
              <w:t>5 B</w:t>
            </w:r>
          </w:p>
        </w:tc>
      </w:tr>
      <w:tr>
        <w:trPr>
          <w:trHeight w:val="280" w:hRule="atLeast"/>
        </w:trPr>
        <w:tc>
          <w:tcPr>
            <w:tcW w:w="2651" w:type="dxa"/>
            <w:tcBorders>
              <w:left w:val="single" w:sz="4" w:space="0" w:color="000000"/>
            </w:tcBorders>
          </w:tcPr>
          <w:p>
            <w:pPr>
              <w:pStyle w:val="TableParagraph"/>
              <w:spacing w:before="19"/>
              <w:ind w:left="107"/>
              <w:rPr>
                <w:sz w:val="20"/>
              </w:rPr>
            </w:pPr>
            <w:r>
              <w:rPr>
                <w:sz w:val="20"/>
              </w:rPr>
              <w:t>Cropland</w:t>
            </w:r>
          </w:p>
        </w:tc>
        <w:tc>
          <w:tcPr>
            <w:tcW w:w="2951" w:type="dxa"/>
          </w:tcPr>
          <w:p>
            <w:pPr>
              <w:pStyle w:val="TableParagraph"/>
              <w:spacing w:before="19"/>
              <w:ind w:left="279"/>
              <w:rPr>
                <w:sz w:val="20"/>
              </w:rPr>
            </w:pPr>
            <w:r>
              <w:rPr>
                <w:sz w:val="20"/>
              </w:rPr>
              <w:t>Other land</w:t>
            </w:r>
          </w:p>
        </w:tc>
        <w:tc>
          <w:tcPr>
            <w:tcW w:w="1607" w:type="dxa"/>
          </w:tcPr>
          <w:p>
            <w:pPr>
              <w:pStyle w:val="TableParagraph"/>
              <w:spacing w:before="19"/>
              <w:ind w:left="146"/>
              <w:rPr>
                <w:sz w:val="20"/>
              </w:rPr>
            </w:pPr>
            <w:r>
              <w:rPr>
                <w:sz w:val="20"/>
              </w:rPr>
              <w:t>3.7.2</w:t>
            </w:r>
          </w:p>
        </w:tc>
        <w:tc>
          <w:tcPr>
            <w:tcW w:w="1804" w:type="dxa"/>
            <w:tcBorders>
              <w:right w:val="single" w:sz="4" w:space="0" w:color="000000"/>
            </w:tcBorders>
          </w:tcPr>
          <w:p>
            <w:pPr>
              <w:pStyle w:val="TableParagraph"/>
              <w:spacing w:before="19"/>
              <w:ind w:left="257"/>
              <w:rPr>
                <w:sz w:val="20"/>
              </w:rPr>
            </w:pPr>
            <w:r>
              <w:rPr>
                <w:sz w:val="20"/>
              </w:rPr>
              <w:t>5 E</w:t>
            </w:r>
          </w:p>
        </w:tc>
      </w:tr>
      <w:tr>
        <w:trPr>
          <w:trHeight w:val="286" w:hRule="atLeast"/>
        </w:trPr>
        <w:tc>
          <w:tcPr>
            <w:tcW w:w="2651" w:type="dxa"/>
            <w:tcBorders>
              <w:left w:val="single" w:sz="4" w:space="0" w:color="000000"/>
            </w:tcBorders>
          </w:tcPr>
          <w:p>
            <w:pPr>
              <w:pStyle w:val="TableParagraph"/>
              <w:spacing w:before="22"/>
              <w:ind w:left="107"/>
              <w:rPr>
                <w:sz w:val="20"/>
              </w:rPr>
            </w:pPr>
            <w:r>
              <w:rPr>
                <w:sz w:val="20"/>
              </w:rPr>
              <w:t>Grassland</w:t>
            </w:r>
          </w:p>
        </w:tc>
        <w:tc>
          <w:tcPr>
            <w:tcW w:w="2951" w:type="dxa"/>
          </w:tcPr>
          <w:p>
            <w:pPr>
              <w:pStyle w:val="TableParagraph"/>
              <w:spacing w:before="22"/>
              <w:ind w:left="280"/>
              <w:rPr>
                <w:sz w:val="20"/>
              </w:rPr>
            </w:pPr>
            <w:r>
              <w:rPr>
                <w:sz w:val="20"/>
              </w:rPr>
              <w:t>Other land</w:t>
            </w:r>
          </w:p>
        </w:tc>
        <w:tc>
          <w:tcPr>
            <w:tcW w:w="1607" w:type="dxa"/>
          </w:tcPr>
          <w:p>
            <w:pPr>
              <w:pStyle w:val="TableParagraph"/>
              <w:spacing w:before="27"/>
              <w:ind w:left="146"/>
              <w:rPr>
                <w:b/>
                <w:sz w:val="20"/>
              </w:rPr>
            </w:pPr>
            <w:r>
              <w:rPr>
                <w:b/>
                <w:sz w:val="20"/>
              </w:rPr>
              <w:t>3.7.2</w:t>
            </w:r>
          </w:p>
        </w:tc>
        <w:tc>
          <w:tcPr>
            <w:tcW w:w="1804" w:type="dxa"/>
            <w:tcBorders>
              <w:right w:val="single" w:sz="4" w:space="0" w:color="000000"/>
            </w:tcBorders>
          </w:tcPr>
          <w:p>
            <w:pPr>
              <w:pStyle w:val="TableParagraph"/>
              <w:spacing w:before="22"/>
              <w:ind w:left="257"/>
              <w:rPr>
                <w:sz w:val="20"/>
              </w:rPr>
            </w:pPr>
            <w:r>
              <w:rPr>
                <w:sz w:val="20"/>
              </w:rPr>
              <w:t>5 B</w:t>
            </w:r>
          </w:p>
        </w:tc>
      </w:tr>
      <w:tr>
        <w:trPr>
          <w:trHeight w:val="281" w:hRule="atLeast"/>
        </w:trPr>
        <w:tc>
          <w:tcPr>
            <w:tcW w:w="2651" w:type="dxa"/>
            <w:tcBorders>
              <w:left w:val="single" w:sz="4" w:space="0" w:color="000000"/>
            </w:tcBorders>
          </w:tcPr>
          <w:p>
            <w:pPr>
              <w:pStyle w:val="TableParagraph"/>
              <w:spacing w:before="21"/>
              <w:ind w:left="107"/>
              <w:rPr>
                <w:sz w:val="20"/>
              </w:rPr>
            </w:pPr>
            <w:r>
              <w:rPr>
                <w:sz w:val="20"/>
              </w:rPr>
              <w:t>Wetlands</w:t>
            </w:r>
          </w:p>
        </w:tc>
        <w:tc>
          <w:tcPr>
            <w:tcW w:w="2951" w:type="dxa"/>
          </w:tcPr>
          <w:p>
            <w:pPr>
              <w:pStyle w:val="TableParagraph"/>
              <w:spacing w:before="21"/>
              <w:ind w:left="279"/>
              <w:rPr>
                <w:sz w:val="20"/>
              </w:rPr>
            </w:pPr>
            <w:r>
              <w:rPr>
                <w:sz w:val="20"/>
              </w:rPr>
              <w:t>Other land</w:t>
            </w:r>
          </w:p>
        </w:tc>
        <w:tc>
          <w:tcPr>
            <w:tcW w:w="1607" w:type="dxa"/>
          </w:tcPr>
          <w:p>
            <w:pPr>
              <w:pStyle w:val="TableParagraph"/>
              <w:spacing w:before="21"/>
              <w:ind w:left="146"/>
              <w:rPr>
                <w:sz w:val="20"/>
              </w:rPr>
            </w:pPr>
            <w:r>
              <w:rPr>
                <w:sz w:val="20"/>
              </w:rPr>
              <w:t>3.7.2</w:t>
            </w:r>
          </w:p>
        </w:tc>
        <w:tc>
          <w:tcPr>
            <w:tcW w:w="1804" w:type="dxa"/>
            <w:tcBorders>
              <w:right w:val="single" w:sz="4" w:space="0" w:color="000000"/>
            </w:tcBorders>
          </w:tcPr>
          <w:p>
            <w:pPr>
              <w:pStyle w:val="TableParagraph"/>
              <w:spacing w:before="21"/>
              <w:ind w:left="257"/>
              <w:rPr>
                <w:sz w:val="20"/>
              </w:rPr>
            </w:pPr>
            <w:r>
              <w:rPr>
                <w:sz w:val="20"/>
              </w:rPr>
              <w:t>5 E</w:t>
            </w:r>
          </w:p>
        </w:tc>
      </w:tr>
      <w:tr>
        <w:trPr>
          <w:trHeight w:val="285" w:hRule="atLeast"/>
        </w:trPr>
        <w:tc>
          <w:tcPr>
            <w:tcW w:w="2651" w:type="dxa"/>
            <w:tcBorders>
              <w:left w:val="single" w:sz="4" w:space="0" w:color="000000"/>
              <w:bottom w:val="single" w:sz="4" w:space="0" w:color="000000"/>
            </w:tcBorders>
          </w:tcPr>
          <w:p>
            <w:pPr>
              <w:pStyle w:val="TableParagraph"/>
              <w:spacing w:before="22"/>
              <w:ind w:left="107"/>
              <w:rPr>
                <w:sz w:val="20"/>
              </w:rPr>
            </w:pPr>
            <w:r>
              <w:rPr>
                <w:sz w:val="20"/>
              </w:rPr>
              <w:t>Settlements</w:t>
            </w:r>
          </w:p>
        </w:tc>
        <w:tc>
          <w:tcPr>
            <w:tcW w:w="2951" w:type="dxa"/>
            <w:tcBorders>
              <w:bottom w:val="single" w:sz="4" w:space="0" w:color="000000"/>
            </w:tcBorders>
          </w:tcPr>
          <w:p>
            <w:pPr>
              <w:pStyle w:val="TableParagraph"/>
              <w:spacing w:before="22"/>
              <w:ind w:left="280"/>
              <w:rPr>
                <w:sz w:val="20"/>
              </w:rPr>
            </w:pPr>
            <w:r>
              <w:rPr>
                <w:sz w:val="20"/>
              </w:rPr>
              <w:t>Other land</w:t>
            </w:r>
          </w:p>
        </w:tc>
        <w:tc>
          <w:tcPr>
            <w:tcW w:w="1607" w:type="dxa"/>
            <w:tcBorders>
              <w:bottom w:val="single" w:sz="4" w:space="0" w:color="000000"/>
            </w:tcBorders>
          </w:tcPr>
          <w:p>
            <w:pPr>
              <w:pStyle w:val="TableParagraph"/>
              <w:spacing w:before="22"/>
              <w:ind w:left="146"/>
              <w:rPr>
                <w:sz w:val="20"/>
              </w:rPr>
            </w:pPr>
            <w:r>
              <w:rPr>
                <w:sz w:val="20"/>
              </w:rPr>
              <w:t>3.7.2</w:t>
            </w:r>
          </w:p>
        </w:tc>
        <w:tc>
          <w:tcPr>
            <w:tcW w:w="1804" w:type="dxa"/>
            <w:tcBorders>
              <w:bottom w:val="single" w:sz="4" w:space="0" w:color="000000"/>
              <w:right w:val="single" w:sz="4" w:space="0" w:color="000000"/>
            </w:tcBorders>
          </w:tcPr>
          <w:p>
            <w:pPr>
              <w:pStyle w:val="TableParagraph"/>
              <w:spacing w:before="22"/>
              <w:ind w:left="258"/>
              <w:rPr>
                <w:sz w:val="20"/>
              </w:rPr>
            </w:pPr>
            <w:r>
              <w:rPr>
                <w:sz w:val="20"/>
              </w:rPr>
              <w:t>5 E</w:t>
            </w:r>
          </w:p>
        </w:tc>
      </w:tr>
      <w:tr>
        <w:trPr>
          <w:trHeight w:val="935" w:hRule="atLeast"/>
        </w:trPr>
        <w:tc>
          <w:tcPr>
            <w:tcW w:w="9013" w:type="dxa"/>
            <w:gridSpan w:val="4"/>
            <w:tcBorders>
              <w:top w:val="single" w:sz="4" w:space="0" w:color="000000"/>
              <w:left w:val="single" w:sz="4" w:space="0" w:color="000000"/>
              <w:bottom w:val="single" w:sz="4" w:space="0" w:color="000000"/>
              <w:right w:val="single" w:sz="4" w:space="0" w:color="000000"/>
            </w:tcBorders>
          </w:tcPr>
          <w:p>
            <w:pPr>
              <w:pStyle w:val="TableParagraph"/>
              <w:spacing w:before="21"/>
              <w:ind w:left="107"/>
              <w:rPr>
                <w:sz w:val="16"/>
              </w:rPr>
            </w:pPr>
            <w:r>
              <w:rPr>
                <w:position w:val="7"/>
                <w:sz w:val="10"/>
              </w:rPr>
              <w:t>1 </w:t>
            </w:r>
            <w:r>
              <w:rPr>
                <w:sz w:val="16"/>
              </w:rPr>
              <w:t>Combines both soils and biomass, those in bold represent the ‘Forest and grassland conversion’ of the </w:t>
            </w:r>
            <w:r>
              <w:rPr>
                <w:i/>
                <w:sz w:val="16"/>
              </w:rPr>
              <w:t>IPCC Guidelines</w:t>
            </w:r>
            <w:r>
              <w:rPr>
                <w:sz w:val="16"/>
              </w:rPr>
              <w:t>.</w:t>
            </w:r>
          </w:p>
          <w:p>
            <w:pPr>
              <w:pStyle w:val="TableParagraph"/>
              <w:spacing w:before="88"/>
              <w:ind w:left="210" w:right="52" w:hanging="104"/>
              <w:rPr>
                <w:sz w:val="16"/>
              </w:rPr>
            </w:pPr>
            <w:r>
              <w:rPr>
                <w:position w:val="7"/>
                <w:sz w:val="10"/>
              </w:rPr>
              <w:t>2 </w:t>
            </w:r>
            <w:r>
              <w:rPr>
                <w:sz w:val="16"/>
              </w:rPr>
              <w:t>The </w:t>
            </w:r>
            <w:r>
              <w:rPr>
                <w:i/>
                <w:sz w:val="16"/>
              </w:rPr>
              <w:t>IPCC Guidelines </w:t>
            </w:r>
            <w:r>
              <w:rPr>
                <w:sz w:val="16"/>
              </w:rPr>
              <w:t>cover the following categories: 5 A Changes in Forest and Other Woody Biomass Stocks; 5 B Forest and Grassland Conversion; 5 C Abandonment of Managed Lands; 5 D Emissions and Removals from Soils, and 5 E Other (Reporting Instructions p. 1.14 - 1.16)</w:t>
            </w:r>
          </w:p>
        </w:tc>
      </w:tr>
    </w:tbl>
    <w:p>
      <w:pPr>
        <w:spacing w:after="0"/>
        <w:rPr>
          <w:sz w:val="16"/>
        </w:rPr>
        <w:sectPr>
          <w:pgSz w:w="11900" w:h="16840"/>
          <w:pgMar w:header="230" w:footer="408" w:top="560" w:bottom="600" w:left="1260" w:right="1240"/>
        </w:sectPr>
      </w:pPr>
    </w:p>
    <w:p>
      <w:pPr>
        <w:pStyle w:val="BodyText"/>
      </w:pPr>
    </w:p>
    <w:p>
      <w:pPr>
        <w:pStyle w:val="BodyText"/>
        <w:rPr>
          <w:sz w:val="19"/>
        </w:rPr>
      </w:pPr>
    </w:p>
    <w:p>
      <w:pPr>
        <w:pStyle w:val="Heading6"/>
        <w:numPr>
          <w:ilvl w:val="3"/>
          <w:numId w:val="35"/>
        </w:numPr>
        <w:tabs>
          <w:tab w:pos="1599" w:val="left" w:leader="none"/>
          <w:tab w:pos="1600" w:val="left" w:leader="none"/>
        </w:tabs>
        <w:spacing w:line="283" w:lineRule="auto" w:before="89" w:after="0"/>
        <w:ind w:left="1599" w:right="1245" w:hanging="1440"/>
        <w:jc w:val="left"/>
      </w:pPr>
      <w:r>
        <w:rPr>
          <w:spacing w:val="16"/>
          <w:sz w:val="28"/>
        </w:rPr>
        <w:t>C</w:t>
      </w:r>
      <w:r>
        <w:rPr>
          <w:spacing w:val="16"/>
        </w:rPr>
        <w:t>HANGES </w:t>
      </w:r>
      <w:r>
        <w:rPr>
          <w:spacing w:val="10"/>
        </w:rPr>
        <w:t>IN </w:t>
      </w:r>
      <w:r>
        <w:rPr>
          <w:spacing w:val="16"/>
        </w:rPr>
        <w:t>FOREST </w:t>
      </w:r>
      <w:r>
        <w:rPr>
          <w:spacing w:val="12"/>
        </w:rPr>
        <w:t>AND </w:t>
      </w:r>
      <w:r>
        <w:rPr>
          <w:spacing w:val="15"/>
        </w:rPr>
        <w:t>OTHER </w:t>
      </w:r>
      <w:r>
        <w:rPr>
          <w:spacing w:val="16"/>
        </w:rPr>
        <w:t>WOODY BIOMASS </w:t>
      </w:r>
      <w:r>
        <w:rPr>
          <w:spacing w:val="15"/>
        </w:rPr>
        <w:t>STOCKS</w:t>
      </w:r>
      <w:r>
        <w:rPr>
          <w:spacing w:val="-35"/>
        </w:rPr>
        <w:t> </w:t>
      </w:r>
    </w:p>
    <w:p>
      <w:pPr>
        <w:spacing w:before="178"/>
        <w:ind w:left="159" w:right="166" w:firstLine="0"/>
        <w:jc w:val="both"/>
        <w:rPr>
          <w:sz w:val="20"/>
        </w:rPr>
      </w:pPr>
      <w:r>
        <w:rPr>
          <w:sz w:val="20"/>
        </w:rPr>
        <w:t>As with the </w:t>
      </w:r>
      <w:r>
        <w:rPr>
          <w:i/>
          <w:sz w:val="20"/>
        </w:rPr>
        <w:t>IPCC Guidelines, </w:t>
      </w:r>
      <w:r>
        <w:rPr>
          <w:sz w:val="20"/>
        </w:rPr>
        <w:t>the </w:t>
      </w:r>
      <w:r>
        <w:rPr>
          <w:i/>
          <w:sz w:val="20"/>
        </w:rPr>
        <w:t>Good Practice Guidance </w:t>
      </w:r>
      <w:r>
        <w:rPr>
          <w:sz w:val="20"/>
        </w:rPr>
        <w:t>covers managed forests which can be defined in the following terms:</w:t>
      </w:r>
    </w:p>
    <w:p>
      <w:pPr>
        <w:spacing w:before="119"/>
        <w:ind w:left="521" w:right="546" w:firstLine="0"/>
        <w:jc w:val="both"/>
        <w:rPr>
          <w:sz w:val="20"/>
        </w:rPr>
      </w:pPr>
      <w:r>
        <w:rPr>
          <w:i/>
          <w:sz w:val="20"/>
        </w:rPr>
        <w:t>Forest management is the process of planning and implementing practices for stewardship and use of the forest aimed at fulfilling relevant ecological, economic and social functions of the forest...A managed forest is a forest subject to forest management</w:t>
      </w:r>
      <w:r>
        <w:rPr>
          <w:i/>
          <w:sz w:val="20"/>
          <w:vertAlign w:val="superscript"/>
        </w:rPr>
        <w:t>1</w:t>
      </w:r>
      <w:r>
        <w:rPr>
          <w:sz w:val="20"/>
          <w:vertAlign w:val="baseline"/>
        </w:rPr>
        <w:t>.</w:t>
      </w:r>
    </w:p>
    <w:p>
      <w:pPr>
        <w:pStyle w:val="BodyText"/>
        <w:spacing w:before="119"/>
        <w:ind w:left="159" w:right="164"/>
        <w:jc w:val="both"/>
      </w:pPr>
      <w:r>
        <w:rPr/>
        <w:t>This definition implies that managed forests are subject to periodic or ongoing human interventions and that they include the full range of management practices from commercial timber production to stewardship in non- commercial purposes. Section 3.2.1 covers forest land remaining forest land. Management and conversion to forests is covered in Section 3.2.2 Land Converted to Forest land.</w:t>
      </w:r>
    </w:p>
    <w:p>
      <w:pPr>
        <w:pStyle w:val="BodyText"/>
        <w:spacing w:before="119"/>
        <w:ind w:left="159" w:right="165"/>
        <w:jc w:val="both"/>
      </w:pPr>
      <w:r>
        <w:rPr/>
        <w:t>The section Forest land provides guidance for all carbon pools and non-CO</w:t>
      </w:r>
      <w:r>
        <w:rPr>
          <w:vertAlign w:val="subscript"/>
        </w:rPr>
        <w:t>2</w:t>
      </w:r>
      <w:r>
        <w:rPr>
          <w:vertAlign w:val="baseline"/>
        </w:rPr>
        <w:t> gases with exception of the harvested wood products (HWP). The </w:t>
      </w:r>
      <w:r>
        <w:rPr>
          <w:i/>
          <w:vertAlign w:val="baseline"/>
        </w:rPr>
        <w:t>IPCC Guidelines </w:t>
      </w:r>
      <w:r>
        <w:rPr>
          <w:vertAlign w:val="baseline"/>
        </w:rPr>
        <w:t>contain references to the treatment of HWP, and countries choosing to estimate carbon stock changes within the harvested wood products pool can find methodological advice in Appendix 3a.1. The </w:t>
      </w:r>
      <w:r>
        <w:rPr>
          <w:i/>
          <w:vertAlign w:val="baseline"/>
        </w:rPr>
        <w:t>IPCC Guidelines </w:t>
      </w:r>
      <w:r>
        <w:rPr>
          <w:vertAlign w:val="baseline"/>
        </w:rPr>
        <w:t>briefly address ‘Other Woody Biomass Stocks’, e.g., perennial biomass in croplands and grazing lands, as well as trees in urban areas. Guidance on this topic is elaborated in the </w:t>
      </w:r>
      <w:r>
        <w:rPr>
          <w:i/>
          <w:vertAlign w:val="baseline"/>
        </w:rPr>
        <w:t>Good Practice Guidance </w:t>
      </w:r>
      <w:r>
        <w:rPr>
          <w:vertAlign w:val="baseline"/>
        </w:rPr>
        <w:t>within the sections entitled “Changes in Biomass Carbon Pools.” Changes in carbon stocks of perennial woody biomass are addressed in relevant biomass sections of each land use category. Urban trees are addressed in the Section 3.6 and in Appendix</w:t>
      </w:r>
      <w:r>
        <w:rPr>
          <w:spacing w:val="-7"/>
          <w:vertAlign w:val="baseline"/>
        </w:rPr>
        <w:t> </w:t>
      </w:r>
      <w:r>
        <w:rPr>
          <w:vertAlign w:val="baseline"/>
        </w:rPr>
        <w:t>3a.4.</w:t>
      </w:r>
    </w:p>
    <w:p>
      <w:pPr>
        <w:pStyle w:val="BodyText"/>
        <w:rPr>
          <w:sz w:val="22"/>
        </w:rPr>
      </w:pPr>
    </w:p>
    <w:p>
      <w:pPr>
        <w:pStyle w:val="Heading6"/>
        <w:numPr>
          <w:ilvl w:val="3"/>
          <w:numId w:val="35"/>
        </w:numPr>
        <w:tabs>
          <w:tab w:pos="1600" w:val="left" w:leader="none"/>
        </w:tabs>
        <w:spacing w:line="240" w:lineRule="auto" w:before="146" w:after="0"/>
        <w:ind w:left="1599" w:right="0" w:hanging="1440"/>
        <w:jc w:val="both"/>
      </w:pPr>
      <w:r>
        <w:rPr>
          <w:spacing w:val="15"/>
          <w:sz w:val="28"/>
        </w:rPr>
        <w:t>F</w:t>
      </w:r>
      <w:r>
        <w:rPr>
          <w:spacing w:val="15"/>
        </w:rPr>
        <w:t>OREST </w:t>
      </w:r>
      <w:r>
        <w:rPr>
          <w:spacing w:val="12"/>
        </w:rPr>
        <w:t>AND </w:t>
      </w:r>
      <w:r>
        <w:rPr>
          <w:spacing w:val="16"/>
        </w:rPr>
        <w:t>GRASSLAND</w:t>
      </w:r>
      <w:r>
        <w:rPr>
          <w:spacing w:val="22"/>
        </w:rPr>
        <w:t> </w:t>
      </w:r>
      <w:r>
        <w:rPr>
          <w:spacing w:val="17"/>
        </w:rPr>
        <w:t>CONVERSION</w:t>
      </w:r>
    </w:p>
    <w:p>
      <w:pPr>
        <w:pStyle w:val="BodyText"/>
        <w:spacing w:before="211"/>
        <w:ind w:left="159" w:right="167"/>
        <w:jc w:val="both"/>
      </w:pPr>
      <w:r>
        <w:rPr/>
        <w:t>The Forest and Grassland Conversion Section of the </w:t>
      </w:r>
      <w:r>
        <w:rPr>
          <w:i/>
        </w:rPr>
        <w:t>IPCC Guidelines </w:t>
      </w:r>
      <w:r>
        <w:rPr/>
        <w:t>includes conversion of existing forests  and natural grasslands to other land uses such as cropland. Forests can be cleared to convert land to a wide variety of other uses, but a predominant cause is conversion to pasture and croplands, which was the focus of the </w:t>
      </w:r>
      <w:r>
        <w:rPr>
          <w:i/>
        </w:rPr>
        <w:t>IPCC Guidelines</w:t>
      </w:r>
      <w:r>
        <w:rPr/>
        <w:t>, with an emphasis on changes in carbon in biomass pools. Land use conversions are treated systematically in this report, organised by final land use. Guidance is provided under each section titled “Lands Converted to any other land-use category”, and is given separately for changes in all carbon</w:t>
      </w:r>
      <w:r>
        <w:rPr>
          <w:spacing w:val="-23"/>
        </w:rPr>
        <w:t> </w:t>
      </w:r>
      <w:r>
        <w:rPr/>
        <w:t>pools.</w:t>
      </w:r>
    </w:p>
    <w:p>
      <w:pPr>
        <w:pStyle w:val="BodyText"/>
        <w:spacing w:before="118"/>
        <w:ind w:left="159" w:right="162"/>
        <w:jc w:val="both"/>
      </w:pPr>
      <w:r>
        <w:rPr/>
        <w:t>A summary estimate of conversion from forests or grassland to other uses can be constructed by totaling each individual conversion from these categories to another land-use category. For CO</w:t>
      </w:r>
      <w:r>
        <w:rPr>
          <w:vertAlign w:val="subscript"/>
        </w:rPr>
        <w:t>2</w:t>
      </w:r>
      <w:r>
        <w:rPr>
          <w:vertAlign w:val="baseline"/>
        </w:rPr>
        <w:t> emissions and removals from forest conversion, the total can be arrived at by summing Equations: 3.3.7, 3.4.12, 3.5.1, 3.6.1, and 3.7.1 for conversions from forest land to each category. Similarly, for grassland conversion, the total can be arrived at by summing the same equations for conversions from grassland. It is </w:t>
      </w:r>
      <w:r>
        <w:rPr>
          <w:i/>
          <w:vertAlign w:val="baseline"/>
        </w:rPr>
        <w:t>good practice </w:t>
      </w:r>
      <w:r>
        <w:rPr>
          <w:vertAlign w:val="baseline"/>
        </w:rPr>
        <w:t>to estimate and report separately the sum of all forest land conversions (deforestation) and grassland conversions to other final land uses. A reporting table is provided for this in Annex 3A.2 (Table 3A.2.1B).</w:t>
      </w:r>
    </w:p>
    <w:p>
      <w:pPr>
        <w:pStyle w:val="BodyText"/>
        <w:rPr>
          <w:sz w:val="22"/>
        </w:rPr>
      </w:pPr>
    </w:p>
    <w:p>
      <w:pPr>
        <w:pStyle w:val="Heading6"/>
        <w:numPr>
          <w:ilvl w:val="3"/>
          <w:numId w:val="35"/>
        </w:numPr>
        <w:tabs>
          <w:tab w:pos="1599" w:val="left" w:leader="none"/>
          <w:tab w:pos="1600" w:val="left" w:leader="none"/>
        </w:tabs>
        <w:spacing w:line="283" w:lineRule="auto" w:before="143" w:after="0"/>
        <w:ind w:left="1599" w:right="741" w:hanging="1440"/>
        <w:jc w:val="left"/>
      </w:pPr>
      <w:r>
        <w:rPr>
          <w:spacing w:val="17"/>
          <w:sz w:val="28"/>
        </w:rPr>
        <w:t>A</w:t>
      </w:r>
      <w:r>
        <w:rPr>
          <w:spacing w:val="17"/>
        </w:rPr>
        <w:t>BANDONMENT </w:t>
      </w:r>
      <w:r>
        <w:rPr>
          <w:spacing w:val="10"/>
        </w:rPr>
        <w:t>OF </w:t>
      </w:r>
      <w:r>
        <w:rPr>
          <w:spacing w:val="17"/>
        </w:rPr>
        <w:t>CROPLANDS</w:t>
      </w:r>
      <w:r>
        <w:rPr>
          <w:spacing w:val="17"/>
          <w:sz w:val="28"/>
        </w:rPr>
        <w:t>, </w:t>
      </w:r>
      <w:r>
        <w:rPr>
          <w:spacing w:val="16"/>
        </w:rPr>
        <w:t>PASTURES</w:t>
      </w:r>
      <w:r>
        <w:rPr>
          <w:spacing w:val="16"/>
          <w:sz w:val="28"/>
        </w:rPr>
        <w:t>, </w:t>
      </w:r>
      <w:r>
        <w:rPr>
          <w:spacing w:val="10"/>
        </w:rPr>
        <w:t>OR </w:t>
      </w:r>
      <w:r>
        <w:rPr>
          <w:spacing w:val="15"/>
        </w:rPr>
        <w:t>OTHER </w:t>
      </w:r>
      <w:r>
        <w:rPr>
          <w:spacing w:val="16"/>
        </w:rPr>
        <w:t>MANAGED</w:t>
      </w:r>
      <w:r>
        <w:rPr>
          <w:spacing w:val="39"/>
        </w:rPr>
        <w:t> </w:t>
      </w:r>
      <w:r>
        <w:rPr>
          <w:spacing w:val="15"/>
        </w:rPr>
        <w:t>LANDS</w:t>
      </w:r>
    </w:p>
    <w:p>
      <w:pPr>
        <w:pStyle w:val="BodyText"/>
        <w:spacing w:before="179"/>
        <w:ind w:left="159" w:right="165"/>
        <w:jc w:val="both"/>
      </w:pPr>
      <w:r>
        <w:rPr/>
        <w:t>The </w:t>
      </w:r>
      <w:r>
        <w:rPr>
          <w:i/>
        </w:rPr>
        <w:t>IPCC Guidelines </w:t>
      </w:r>
      <w:r>
        <w:rPr/>
        <w:t>focus mainly on lands that re-accumulate carbon in biomass as they return to a quasi- natural state following abandonment or active reforestation. However, land can also remain constant or degrade further with respect to carbon re-accumulation.</w:t>
      </w:r>
    </w:p>
    <w:p>
      <w:pPr>
        <w:pStyle w:val="BodyText"/>
        <w:spacing w:before="119"/>
        <w:ind w:left="159" w:right="166"/>
        <w:jc w:val="both"/>
      </w:pPr>
      <w:r>
        <w:rPr/>
        <w:t>Croplands and grasslands can be abandoned or actively converted to several different land uses, affecting the net change in carbon in biomass. Therefore, guidance on estimating changes in biomass is located in a number of places depending on the type of land use it changed to. The range of specific land use transitions can be summed for an aggregate assessment of carbon changes from abandonment of cropland, pastures, or other managed lands, as indicated in Table 3.1.1.</w:t>
      </w:r>
    </w:p>
    <w:p>
      <w:pPr>
        <w:pStyle w:val="BodyText"/>
      </w:pPr>
    </w:p>
    <w:p>
      <w:pPr>
        <w:pStyle w:val="BodyText"/>
      </w:pPr>
    </w:p>
    <w:p>
      <w:pPr>
        <w:pStyle w:val="BodyText"/>
      </w:pPr>
    </w:p>
    <w:p>
      <w:pPr>
        <w:pStyle w:val="BodyText"/>
      </w:pPr>
    </w:p>
    <w:p>
      <w:pPr>
        <w:pStyle w:val="BodyText"/>
      </w:pPr>
    </w:p>
    <w:p>
      <w:pPr>
        <w:pStyle w:val="BodyText"/>
        <w:spacing w:before="4"/>
        <w:rPr>
          <w:sz w:val="17"/>
        </w:rPr>
      </w:pPr>
      <w:r>
        <w:rPr/>
        <w:pict>
          <v:line style="position:absolute;mso-position-horizontal-relative:page;mso-position-vertical-relative:paragraph;z-index:2264;mso-wrap-distance-left:0;mso-wrap-distance-right:0" from="70.960999pt,12.183174pt" to="214.960999pt,12.183174pt" stroked="true" strokeweight=".48pt" strokecolor="#000000">
            <v:stroke dashstyle="solid"/>
            <w10:wrap type="topAndBottom"/>
          </v:line>
        </w:pict>
      </w:r>
    </w:p>
    <w:p>
      <w:pPr>
        <w:spacing w:before="153"/>
        <w:ind w:left="159" w:right="0" w:firstLine="0"/>
        <w:jc w:val="left"/>
        <w:rPr>
          <w:sz w:val="18"/>
        </w:rPr>
      </w:pPr>
      <w:r>
        <w:rPr>
          <w:position w:val="8"/>
          <w:sz w:val="12"/>
        </w:rPr>
        <w:t>1 </w:t>
      </w:r>
      <w:r>
        <w:rPr>
          <w:sz w:val="18"/>
        </w:rPr>
        <w:t>Proceedings of the Expert Meeting on Harmonising Forest Related Definitions, Rome, Sept 2002 (FAO 2003).</w:t>
      </w:r>
    </w:p>
    <w:p>
      <w:pPr>
        <w:spacing w:after="0"/>
        <w:jc w:val="left"/>
        <w:rPr>
          <w:sz w:val="18"/>
        </w:rPr>
        <w:sectPr>
          <w:pgSz w:w="11900" w:h="16840"/>
          <w:pgMar w:header="230" w:footer="408" w:top="560" w:bottom="600" w:left="1260" w:right="1240"/>
        </w:sectPr>
      </w:pPr>
    </w:p>
    <w:p>
      <w:pPr>
        <w:pStyle w:val="BodyText"/>
      </w:pPr>
    </w:p>
    <w:p>
      <w:pPr>
        <w:pStyle w:val="BodyText"/>
        <w:spacing w:before="2"/>
        <w:rPr>
          <w:sz w:val="19"/>
        </w:rPr>
      </w:pPr>
    </w:p>
    <w:p>
      <w:pPr>
        <w:pStyle w:val="Heading6"/>
        <w:numPr>
          <w:ilvl w:val="3"/>
          <w:numId w:val="35"/>
        </w:numPr>
        <w:tabs>
          <w:tab w:pos="1600" w:val="left" w:leader="none"/>
        </w:tabs>
        <w:spacing w:line="240" w:lineRule="auto" w:before="89" w:after="0"/>
        <w:ind w:left="1599" w:right="0" w:hanging="1440"/>
        <w:jc w:val="both"/>
      </w:pPr>
      <w:r>
        <w:rPr>
          <w:spacing w:val="12"/>
          <w:sz w:val="28"/>
        </w:rPr>
        <w:t>CO</w:t>
      </w:r>
      <w:r>
        <w:rPr>
          <w:spacing w:val="12"/>
          <w:sz w:val="28"/>
          <w:vertAlign w:val="subscript"/>
        </w:rPr>
        <w:t>2</w:t>
      </w:r>
      <w:r>
        <w:rPr>
          <w:spacing w:val="12"/>
          <w:sz w:val="28"/>
          <w:vertAlign w:val="baseline"/>
        </w:rPr>
        <w:t> </w:t>
      </w:r>
      <w:r>
        <w:rPr>
          <w:spacing w:val="16"/>
          <w:vertAlign w:val="baseline"/>
        </w:rPr>
        <w:t>EMISSIONS </w:t>
      </w:r>
      <w:r>
        <w:rPr>
          <w:spacing w:val="12"/>
          <w:vertAlign w:val="baseline"/>
        </w:rPr>
        <w:t>AND </w:t>
      </w:r>
      <w:r>
        <w:rPr>
          <w:spacing w:val="16"/>
          <w:vertAlign w:val="baseline"/>
        </w:rPr>
        <w:t>REMOVALS </w:t>
      </w:r>
      <w:r>
        <w:rPr>
          <w:spacing w:val="15"/>
          <w:vertAlign w:val="baseline"/>
        </w:rPr>
        <w:t>FROM</w:t>
      </w:r>
      <w:r>
        <w:rPr>
          <w:spacing w:val="64"/>
          <w:vertAlign w:val="baseline"/>
        </w:rPr>
        <w:t> </w:t>
      </w:r>
      <w:r>
        <w:rPr>
          <w:spacing w:val="18"/>
          <w:vertAlign w:val="baseline"/>
        </w:rPr>
        <w:t>SOILS</w:t>
      </w:r>
    </w:p>
    <w:p>
      <w:pPr>
        <w:pStyle w:val="BodyText"/>
        <w:spacing w:before="211"/>
        <w:ind w:left="159" w:right="167"/>
        <w:jc w:val="both"/>
      </w:pPr>
      <w:r>
        <w:rPr/>
        <w:t>The </w:t>
      </w:r>
      <w:r>
        <w:rPr>
          <w:i/>
        </w:rPr>
        <w:t>IPCC Guidelines </w:t>
      </w:r>
      <w:r>
        <w:rPr/>
        <w:t>further divide this topic into: a) Cultivation of Mineral Soils; b) Cultivation of Organic Soils; and c) Liming of Agricultural Soils. In general, in this chapter, each land use section addresses changes in soil carbon for that land use either remaining in the same use, or recently converted to that land use.</w:t>
      </w:r>
    </w:p>
    <w:p>
      <w:pPr>
        <w:pStyle w:val="BodyText"/>
        <w:spacing w:before="119"/>
        <w:ind w:left="159" w:right="164"/>
        <w:jc w:val="both"/>
      </w:pPr>
      <w:r>
        <w:rPr/>
        <w:t>Guidance on estimating soil carbon stock changes due to management practices is covered under Cropland Remaining Cropland, and Grassland Remaining Grassland, each at the sub section entitled ‘Changes in Carbon Stocks in Soils’, within which guidance is provided separately for mineral and organic soils. Changes in soil carbon stocks as a result of lands being converted into cropland or grassland are also covered, under the conversion subsections. A total assessment of soil carbon stock changes due to cultivation of mineral soils is the sum of changes in carbon stocks over a finite period following changes in management that impact soil carbon.</w:t>
      </w:r>
    </w:p>
    <w:p>
      <w:pPr>
        <w:pStyle w:val="BodyText"/>
        <w:spacing w:before="118"/>
        <w:ind w:left="159" w:right="166"/>
        <w:jc w:val="both"/>
      </w:pPr>
      <w:r>
        <w:rPr/>
        <w:t>Drainage of peatland soils for forest establishment is found in the Forest land soil section. All greenhouse gas emissions from Wetlands Remaining Wetlands are presented in Appendix 3a.3. Cultivation of organic soils in the sense of peat extraction is handled under lands converted to peat extraction in Section 3.5 of this</w:t>
      </w:r>
      <w:r>
        <w:rPr>
          <w:spacing w:val="-20"/>
        </w:rPr>
        <w:t> </w:t>
      </w:r>
      <w:r>
        <w:rPr/>
        <w:t>report.</w:t>
      </w:r>
    </w:p>
    <w:p>
      <w:pPr>
        <w:pStyle w:val="BodyText"/>
        <w:spacing w:before="121"/>
        <w:ind w:left="159"/>
        <w:jc w:val="both"/>
      </w:pPr>
      <w:r>
        <w:rPr/>
        <w:t>Methodological guidance on liming of agricultural soils is addressed as in the </w:t>
      </w:r>
      <w:r>
        <w:rPr>
          <w:i/>
        </w:rPr>
        <w:t>IPCC Guidelines</w:t>
      </w:r>
      <w:r>
        <w:rPr/>
        <w:t>.</w:t>
      </w:r>
    </w:p>
    <w:p>
      <w:pPr>
        <w:pStyle w:val="BodyText"/>
        <w:rPr>
          <w:sz w:val="22"/>
        </w:rPr>
      </w:pPr>
    </w:p>
    <w:p>
      <w:pPr>
        <w:pStyle w:val="Heading6"/>
        <w:numPr>
          <w:ilvl w:val="3"/>
          <w:numId w:val="35"/>
        </w:numPr>
        <w:tabs>
          <w:tab w:pos="1600" w:val="left" w:leader="none"/>
        </w:tabs>
        <w:spacing w:line="240" w:lineRule="auto" w:before="146" w:after="0"/>
        <w:ind w:left="1599" w:right="0" w:hanging="1440"/>
        <w:jc w:val="both"/>
      </w:pPr>
      <w:r>
        <w:rPr>
          <w:spacing w:val="15"/>
          <w:sz w:val="28"/>
        </w:rPr>
        <w:t>O</w:t>
      </w:r>
      <w:r>
        <w:rPr>
          <w:spacing w:val="15"/>
        </w:rPr>
        <w:t>THER </w:t>
      </w:r>
      <w:r>
        <w:rPr>
          <w:spacing w:val="17"/>
        </w:rPr>
        <w:t>CATEGORIES </w:t>
      </w:r>
      <w:r>
        <w:rPr>
          <w:spacing w:val="10"/>
        </w:rPr>
        <w:t>OF </w:t>
      </w:r>
      <w:r>
        <w:rPr>
          <w:spacing w:val="17"/>
        </w:rPr>
        <w:t>REPORTING </w:t>
      </w:r>
      <w:r>
        <w:rPr>
          <w:spacing w:val="12"/>
        </w:rPr>
        <w:t>AND </w:t>
      </w:r>
      <w:r>
        <w:rPr>
          <w:spacing w:val="16"/>
        </w:rPr>
        <w:t>SPECIFIC</w:t>
      </w:r>
      <w:r>
        <w:rPr>
          <w:spacing w:val="48"/>
        </w:rPr>
        <w:t> </w:t>
      </w:r>
      <w:r>
        <w:rPr>
          <w:spacing w:val="15"/>
        </w:rPr>
        <w:t>CASES</w:t>
      </w:r>
    </w:p>
    <w:p>
      <w:pPr>
        <w:pStyle w:val="BodyText"/>
        <w:spacing w:before="211"/>
        <w:ind w:left="159" w:right="165"/>
        <w:jc w:val="both"/>
      </w:pPr>
      <w:r>
        <w:rPr/>
        <w:t>The </w:t>
      </w:r>
      <w:r>
        <w:rPr>
          <w:i/>
        </w:rPr>
        <w:t>IPCC Guidelines </w:t>
      </w:r>
      <w:r>
        <w:rPr/>
        <w:t>briefly describe general issues and methodological approaches for other categories. The issues are often complex and agreed methodologies were not available at the time the </w:t>
      </w:r>
      <w:r>
        <w:rPr>
          <w:i/>
        </w:rPr>
        <w:t>IPCC Guidelines </w:t>
      </w:r>
      <w:r>
        <w:rPr/>
        <w:t>were being prepared. This chapter addresses some of these categories in more depth. “Other possible categories” as discussed in the </w:t>
      </w:r>
      <w:r>
        <w:rPr>
          <w:i/>
        </w:rPr>
        <w:t>IPCC Guidelines </w:t>
      </w:r>
      <w:r>
        <w:rPr/>
        <w:t>explicitly includes belowground biomass, natural disturbances (including fire), shifting cultivation, and flooding and drainage of wetlands. Information on estimating CO</w:t>
      </w:r>
      <w:r>
        <w:rPr>
          <w:vertAlign w:val="subscript"/>
        </w:rPr>
        <w:t>2</w:t>
      </w:r>
      <w:r>
        <w:rPr>
          <w:vertAlign w:val="baseline"/>
        </w:rPr>
        <w:t> emission and removals and non-CO</w:t>
      </w:r>
      <w:r>
        <w:rPr>
          <w:vertAlign w:val="subscript"/>
        </w:rPr>
        <w:t>2</w:t>
      </w:r>
      <w:r>
        <w:rPr>
          <w:vertAlign w:val="baseline"/>
        </w:rPr>
        <w:t> emissions from managed wetland (including peatlands and flooded lands), and for Settlements Remaining Settlements, are addressed in Appendix 3a.3 and 3a.4, respectively, because the methods and available data for these land use types are preliminary. Estimation methods for belowground biomass are included explicitly in the section covering carbon stock changes in forest biomass (Sections 3.2.1.1 and 3.2.2.1) and options for including belowground biomass in non-forest land uses are provided in other sections as well. Non-CO</w:t>
      </w:r>
      <w:r>
        <w:rPr>
          <w:vertAlign w:val="subscript"/>
        </w:rPr>
        <w:t>2</w:t>
      </w:r>
      <w:r>
        <w:rPr>
          <w:vertAlign w:val="baseline"/>
        </w:rPr>
        <w:t> emissions from drainage and rewetting of forest soils are addressed in Appendix 3a.2.</w:t>
      </w:r>
    </w:p>
    <w:p>
      <w:pPr>
        <w:pStyle w:val="BodyText"/>
        <w:spacing w:before="117"/>
        <w:ind w:left="159" w:right="162"/>
        <w:jc w:val="both"/>
      </w:pPr>
      <w:r>
        <w:rPr/>
        <w:t>The </w:t>
      </w:r>
      <w:r>
        <w:rPr>
          <w:i/>
        </w:rPr>
        <w:t>Good Practice Guidance </w:t>
      </w:r>
      <w:r>
        <w:rPr/>
        <w:t>does not alter the basic default assumptions that land use changes have a linear impact on soil organic matter for 20 years before a new equilibrium is reached (Tier 1), with possible  successions of 20 year periods to deal with longer time constants in temperate and boreal zones. This means that, when a piece of land changes use, then it is followed in that ‘changed status’ for 20 years, with each year 1/20 of the CO</w:t>
      </w:r>
      <w:r>
        <w:rPr>
          <w:vertAlign w:val="subscript"/>
        </w:rPr>
        <w:t>2</w:t>
      </w:r>
      <w:r>
        <w:rPr>
          <w:vertAlign w:val="baseline"/>
        </w:rPr>
        <w:t> and non-CO</w:t>
      </w:r>
      <w:r>
        <w:rPr>
          <w:vertAlign w:val="subscript"/>
        </w:rPr>
        <w:t>2</w:t>
      </w:r>
      <w:r>
        <w:rPr>
          <w:vertAlign w:val="baseline"/>
        </w:rPr>
        <w:t> effects reported. Tier 3 modeling approaches may utilize different assumptions. Land should be reported in a conversion category for 20 years, and then moved to a “remaining category”, unless a further change occurs.</w:t>
      </w:r>
    </w:p>
    <w:p>
      <w:pPr>
        <w:pStyle w:val="BodyText"/>
        <w:spacing w:before="118"/>
        <w:ind w:left="159" w:right="166"/>
        <w:jc w:val="both"/>
      </w:pPr>
      <w:r>
        <w:rPr/>
        <w:t>Natural disturbances (e.g., storms, fires, insects but only on managed lands) are included for their CO</w:t>
      </w:r>
      <w:r>
        <w:rPr>
          <w:vertAlign w:val="subscript"/>
        </w:rPr>
        <w:t>2</w:t>
      </w:r>
      <w:r>
        <w:rPr>
          <w:vertAlign w:val="baseline"/>
        </w:rPr>
        <w:t> and non- CO</w:t>
      </w:r>
      <w:r>
        <w:rPr>
          <w:vertAlign w:val="subscript"/>
        </w:rPr>
        <w:t>2</w:t>
      </w:r>
      <w:r>
        <w:rPr>
          <w:vertAlign w:val="baseline"/>
        </w:rPr>
        <w:t> effects. Where natural disturbances on unmanaged lands are followed by a land use change, then the CO</w:t>
      </w:r>
      <w:r>
        <w:rPr>
          <w:vertAlign w:val="subscript"/>
        </w:rPr>
        <w:t>2</w:t>
      </w:r>
      <w:r>
        <w:rPr>
          <w:vertAlign w:val="baseline"/>
        </w:rPr>
        <w:t> and non-CO</w:t>
      </w:r>
      <w:r>
        <w:rPr>
          <w:vertAlign w:val="subscript"/>
        </w:rPr>
        <w:t>2</w:t>
      </w:r>
      <w:r>
        <w:rPr>
          <w:vertAlign w:val="baseline"/>
        </w:rPr>
        <w:t> effects of the natural disturbance are to be reported.</w:t>
      </w:r>
    </w:p>
    <w:p>
      <w:pPr>
        <w:pStyle w:val="BodyText"/>
        <w:rPr>
          <w:sz w:val="24"/>
        </w:rPr>
      </w:pPr>
    </w:p>
    <w:p>
      <w:pPr>
        <w:pStyle w:val="Heading2"/>
        <w:numPr>
          <w:ilvl w:val="2"/>
          <w:numId w:val="36"/>
        </w:numPr>
        <w:tabs>
          <w:tab w:pos="1362" w:val="left" w:leader="none"/>
        </w:tabs>
        <w:spacing w:line="240" w:lineRule="auto" w:before="209" w:after="0"/>
        <w:ind w:left="1361" w:right="0" w:hanging="1202"/>
        <w:jc w:val="both"/>
      </w:pPr>
      <w:r>
        <w:rPr>
          <w:spacing w:val="8"/>
        </w:rPr>
        <w:t>Definitions </w:t>
      </w:r>
      <w:r>
        <w:rPr>
          <w:spacing w:val="5"/>
        </w:rPr>
        <w:t>of </w:t>
      </w:r>
      <w:r>
        <w:rPr>
          <w:spacing w:val="8"/>
        </w:rPr>
        <w:t>Carbon</w:t>
      </w:r>
      <w:r>
        <w:rPr>
          <w:spacing w:val="48"/>
        </w:rPr>
        <w:t> </w:t>
      </w:r>
      <w:r>
        <w:rPr>
          <w:spacing w:val="9"/>
        </w:rPr>
        <w:t>Pools</w:t>
      </w:r>
    </w:p>
    <w:p>
      <w:pPr>
        <w:pStyle w:val="BodyText"/>
        <w:spacing w:before="116"/>
        <w:ind w:left="159" w:right="164"/>
        <w:jc w:val="both"/>
      </w:pPr>
      <w:r>
        <w:rPr/>
        <w:t>The methodologies in this report are organised first by land-use categories, as described above, and second by broad pools. Table 3.1.2 provides a generic representation of these pools occurring in a terrestrial ecosystem. Each of these pools is discussed in the </w:t>
      </w:r>
      <w:r>
        <w:rPr>
          <w:i/>
        </w:rPr>
        <w:t>IPCC Guidelines</w:t>
      </w:r>
      <w:r>
        <w:rPr/>
        <w:t>, although in some cases with only minimal guidance.</w:t>
      </w:r>
    </w:p>
    <w:p>
      <w:pPr>
        <w:spacing w:after="0"/>
        <w:jc w:val="both"/>
        <w:sectPr>
          <w:pgSz w:w="11900" w:h="16840"/>
          <w:pgMar w:header="230" w:footer="408" w:top="560" w:bottom="600" w:left="1260" w:right="1240"/>
        </w:sectPr>
      </w:pPr>
    </w:p>
    <w:p>
      <w:pPr>
        <w:pStyle w:val="BodyText"/>
      </w:pPr>
    </w:p>
    <w:p>
      <w:pPr>
        <w:pStyle w:val="BodyText"/>
        <w:spacing w:before="9"/>
        <w:rPr>
          <w:sz w:val="18"/>
        </w:rPr>
      </w:pPr>
    </w:p>
    <w:tbl>
      <w:tblPr>
        <w:tblW w:w="0" w:type="auto"/>
        <w:jc w:val="left"/>
        <w:tblInd w:w="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1243"/>
        <w:gridCol w:w="6420"/>
      </w:tblGrid>
      <w:tr>
        <w:trPr>
          <w:trHeight w:val="534" w:hRule="atLeast"/>
        </w:trPr>
        <w:tc>
          <w:tcPr>
            <w:tcW w:w="9014" w:type="dxa"/>
            <w:gridSpan w:val="3"/>
            <w:tcBorders>
              <w:bottom w:val="double" w:sz="1" w:space="0" w:color="000000"/>
            </w:tcBorders>
          </w:tcPr>
          <w:p>
            <w:pPr>
              <w:pStyle w:val="TableParagraph"/>
              <w:spacing w:before="59"/>
              <w:ind w:left="120" w:right="114"/>
              <w:jc w:val="center"/>
              <w:rPr>
                <w:b/>
                <w:sz w:val="18"/>
              </w:rPr>
            </w:pPr>
            <w:r>
              <w:rPr>
                <w:b/>
                <w:sz w:val="18"/>
              </w:rPr>
              <w:t>T</w:t>
            </w:r>
            <w:r>
              <w:rPr>
                <w:b/>
                <w:sz w:val="14"/>
              </w:rPr>
              <w:t>ABLE  </w:t>
            </w:r>
            <w:r>
              <w:rPr>
                <w:b/>
                <w:sz w:val="18"/>
              </w:rPr>
              <w:t>3.1.2</w:t>
            </w:r>
          </w:p>
          <w:p>
            <w:pPr>
              <w:pStyle w:val="TableParagraph"/>
              <w:spacing w:before="2"/>
              <w:ind w:left="122" w:right="114"/>
              <w:jc w:val="center"/>
              <w:rPr>
                <w:b/>
                <w:sz w:val="18"/>
              </w:rPr>
            </w:pPr>
            <w:r>
              <w:rPr>
                <w:b/>
                <w:sz w:val="18"/>
              </w:rPr>
              <w:t>D</w:t>
            </w:r>
            <w:r>
              <w:rPr>
                <w:b/>
                <w:sz w:val="14"/>
              </w:rPr>
              <w:t>EFINITIONS FOR TERRESTRIAL POOLS USED IN </w:t>
            </w:r>
            <w:r>
              <w:rPr>
                <w:b/>
                <w:sz w:val="18"/>
              </w:rPr>
              <w:t>C</w:t>
            </w:r>
            <w:r>
              <w:rPr>
                <w:b/>
                <w:sz w:val="14"/>
              </w:rPr>
              <w:t>HAPTER </w:t>
            </w:r>
            <w:r>
              <w:rPr>
                <w:b/>
                <w:sz w:val="18"/>
              </w:rPr>
              <w:t>3</w:t>
            </w:r>
          </w:p>
        </w:tc>
      </w:tr>
      <w:tr>
        <w:trPr>
          <w:trHeight w:val="327" w:hRule="atLeast"/>
        </w:trPr>
        <w:tc>
          <w:tcPr>
            <w:tcW w:w="2594" w:type="dxa"/>
            <w:gridSpan w:val="2"/>
            <w:tcBorders>
              <w:top w:val="double" w:sz="1" w:space="0" w:color="000000"/>
            </w:tcBorders>
          </w:tcPr>
          <w:p>
            <w:pPr>
              <w:pStyle w:val="TableParagraph"/>
              <w:spacing w:before="61"/>
              <w:ind w:left="1054" w:right="1045"/>
              <w:jc w:val="center"/>
              <w:rPr>
                <w:b/>
                <w:sz w:val="18"/>
              </w:rPr>
            </w:pPr>
            <w:r>
              <w:rPr>
                <w:b/>
                <w:sz w:val="18"/>
              </w:rPr>
              <w:t>Pool </w:t>
            </w:r>
            <w:r>
              <w:rPr>
                <w:b/>
                <w:sz w:val="18"/>
                <w:vertAlign w:val="superscript"/>
              </w:rPr>
              <w:t>2</w:t>
            </w:r>
          </w:p>
        </w:tc>
        <w:tc>
          <w:tcPr>
            <w:tcW w:w="6420" w:type="dxa"/>
            <w:tcBorders>
              <w:top w:val="double" w:sz="1" w:space="0" w:color="000000"/>
            </w:tcBorders>
          </w:tcPr>
          <w:p>
            <w:pPr>
              <w:pStyle w:val="TableParagraph"/>
              <w:spacing w:before="61"/>
              <w:ind w:left="1939"/>
              <w:rPr>
                <w:b/>
                <w:sz w:val="18"/>
              </w:rPr>
            </w:pPr>
            <w:r>
              <w:rPr>
                <w:b/>
                <w:sz w:val="18"/>
              </w:rPr>
              <w:t>Description (see also notes below in italics)</w:t>
            </w:r>
          </w:p>
        </w:tc>
      </w:tr>
      <w:tr>
        <w:trPr>
          <w:trHeight w:val="1480" w:hRule="atLeast"/>
        </w:trPr>
        <w:tc>
          <w:tcPr>
            <w:tcW w:w="1351" w:type="dxa"/>
            <w:vMerge w:val="restart"/>
          </w:tcPr>
          <w:p>
            <w:pPr>
              <w:pStyle w:val="TableParagraph"/>
              <w:spacing w:before="59"/>
              <w:ind w:left="107" w:right="573"/>
              <w:rPr>
                <w:b/>
                <w:sz w:val="18"/>
              </w:rPr>
            </w:pPr>
            <w:r>
              <w:rPr>
                <w:b/>
                <w:sz w:val="18"/>
              </w:rPr>
              <w:t>Living Biomass</w:t>
            </w:r>
          </w:p>
        </w:tc>
        <w:tc>
          <w:tcPr>
            <w:tcW w:w="1243" w:type="dxa"/>
          </w:tcPr>
          <w:p>
            <w:pPr>
              <w:pStyle w:val="TableParagraph"/>
              <w:spacing w:before="55"/>
              <w:ind w:left="107" w:right="534"/>
              <w:jc w:val="both"/>
              <w:rPr>
                <w:sz w:val="18"/>
              </w:rPr>
            </w:pPr>
            <w:r>
              <w:rPr>
                <w:sz w:val="18"/>
              </w:rPr>
              <w:t>Above- ground biomass</w:t>
            </w:r>
          </w:p>
        </w:tc>
        <w:tc>
          <w:tcPr>
            <w:tcW w:w="6420" w:type="dxa"/>
          </w:tcPr>
          <w:p>
            <w:pPr>
              <w:pStyle w:val="TableParagraph"/>
              <w:spacing w:before="55"/>
              <w:ind w:left="108" w:right="194"/>
              <w:rPr>
                <w:sz w:val="18"/>
              </w:rPr>
            </w:pPr>
            <w:r>
              <w:rPr>
                <w:sz w:val="18"/>
              </w:rPr>
              <w:t>All living biomass </w:t>
            </w:r>
            <w:r>
              <w:rPr>
                <w:sz w:val="18"/>
                <w:vertAlign w:val="superscript"/>
              </w:rPr>
              <w:t>3</w:t>
            </w:r>
            <w:r>
              <w:rPr>
                <w:sz w:val="18"/>
                <w:vertAlign w:val="baseline"/>
              </w:rPr>
              <w:t> above the soil including stem, stump, branches, bark, seeds, and foliage.</w:t>
            </w:r>
          </w:p>
          <w:p>
            <w:pPr>
              <w:pStyle w:val="TableParagraph"/>
              <w:spacing w:before="118"/>
              <w:ind w:left="108" w:right="119"/>
              <w:rPr>
                <w:sz w:val="18"/>
              </w:rPr>
            </w:pPr>
            <w:r>
              <w:rPr>
                <w:sz w:val="18"/>
              </w:rPr>
              <w:t>Note: In cases where forest understorey is a relatively small component of the above- ground biomass carbon pool, it is acceptable for the methodologies and associated data used in some tiers to exclude it, provided the tiers are used in a consistent manner throughout the inventory time series as specified in Chapter</w:t>
            </w:r>
            <w:r>
              <w:rPr>
                <w:spacing w:val="-8"/>
                <w:sz w:val="18"/>
              </w:rPr>
              <w:t> </w:t>
            </w:r>
            <w:r>
              <w:rPr>
                <w:sz w:val="18"/>
              </w:rPr>
              <w:t>5.</w:t>
            </w:r>
          </w:p>
        </w:tc>
      </w:tr>
      <w:tr>
        <w:trPr>
          <w:trHeight w:val="741" w:hRule="atLeast"/>
        </w:trPr>
        <w:tc>
          <w:tcPr>
            <w:tcW w:w="1351" w:type="dxa"/>
            <w:vMerge/>
            <w:tcBorders>
              <w:top w:val="nil"/>
            </w:tcBorders>
          </w:tcPr>
          <w:p>
            <w:pPr>
              <w:rPr>
                <w:sz w:val="2"/>
                <w:szCs w:val="2"/>
              </w:rPr>
            </w:pPr>
          </w:p>
        </w:tc>
        <w:tc>
          <w:tcPr>
            <w:tcW w:w="1243" w:type="dxa"/>
          </w:tcPr>
          <w:p>
            <w:pPr>
              <w:pStyle w:val="TableParagraph"/>
              <w:spacing w:before="55"/>
              <w:ind w:left="107" w:right="534"/>
              <w:jc w:val="both"/>
              <w:rPr>
                <w:sz w:val="18"/>
              </w:rPr>
            </w:pPr>
            <w:r>
              <w:rPr>
                <w:sz w:val="18"/>
              </w:rPr>
              <w:t>Below- ground biomass</w:t>
            </w:r>
          </w:p>
        </w:tc>
        <w:tc>
          <w:tcPr>
            <w:tcW w:w="6420" w:type="dxa"/>
          </w:tcPr>
          <w:p>
            <w:pPr>
              <w:pStyle w:val="TableParagraph"/>
              <w:spacing w:before="55"/>
              <w:ind w:left="108" w:right="128"/>
              <w:rPr>
                <w:sz w:val="18"/>
              </w:rPr>
            </w:pPr>
            <w:r>
              <w:rPr>
                <w:sz w:val="18"/>
              </w:rPr>
              <w:t>All living biomass of live roots. Fine roots of less than (suggested) 2mm diameter are often excluded because these often cannot be distinguished empirically from soil organic matter or litter.</w:t>
            </w:r>
          </w:p>
        </w:tc>
      </w:tr>
      <w:tr>
        <w:trPr>
          <w:trHeight w:val="945" w:hRule="atLeast"/>
        </w:trPr>
        <w:tc>
          <w:tcPr>
            <w:tcW w:w="1351" w:type="dxa"/>
            <w:vMerge w:val="restart"/>
          </w:tcPr>
          <w:p>
            <w:pPr>
              <w:pStyle w:val="TableParagraph"/>
              <w:spacing w:before="59"/>
              <w:ind w:left="107" w:right="139"/>
              <w:rPr>
                <w:b/>
                <w:sz w:val="18"/>
              </w:rPr>
            </w:pPr>
            <w:r>
              <w:rPr>
                <w:b/>
                <w:sz w:val="18"/>
              </w:rPr>
              <w:t>Dead Organic Matter</w:t>
            </w:r>
          </w:p>
        </w:tc>
        <w:tc>
          <w:tcPr>
            <w:tcW w:w="1243" w:type="dxa"/>
          </w:tcPr>
          <w:p>
            <w:pPr>
              <w:pStyle w:val="TableParagraph"/>
              <w:spacing w:before="55"/>
              <w:ind w:left="107"/>
              <w:rPr>
                <w:sz w:val="18"/>
              </w:rPr>
            </w:pPr>
            <w:r>
              <w:rPr>
                <w:sz w:val="18"/>
              </w:rPr>
              <w:t>Dead wood</w:t>
            </w:r>
          </w:p>
        </w:tc>
        <w:tc>
          <w:tcPr>
            <w:tcW w:w="6420" w:type="dxa"/>
          </w:tcPr>
          <w:p>
            <w:pPr>
              <w:pStyle w:val="TableParagraph"/>
              <w:spacing w:before="55"/>
              <w:ind w:left="108" w:right="353"/>
              <w:rPr>
                <w:sz w:val="18"/>
              </w:rPr>
            </w:pPr>
            <w:r>
              <w:rPr>
                <w:sz w:val="18"/>
              </w:rPr>
              <w:t>Includes all non-living woody biomass not contained in the litter, either standing, lying on the ground, or in the soil. Dead wood includes wood lying on the surface, dead roots, and stumps larger than or equal to 10 cm in diameter or any other diameter used by the country.</w:t>
            </w:r>
          </w:p>
        </w:tc>
      </w:tr>
      <w:tr>
        <w:trPr>
          <w:trHeight w:val="1153" w:hRule="atLeast"/>
        </w:trPr>
        <w:tc>
          <w:tcPr>
            <w:tcW w:w="1351" w:type="dxa"/>
            <w:vMerge/>
            <w:tcBorders>
              <w:top w:val="nil"/>
            </w:tcBorders>
          </w:tcPr>
          <w:p>
            <w:pPr>
              <w:rPr>
                <w:sz w:val="2"/>
                <w:szCs w:val="2"/>
              </w:rPr>
            </w:pPr>
          </w:p>
        </w:tc>
        <w:tc>
          <w:tcPr>
            <w:tcW w:w="1243" w:type="dxa"/>
          </w:tcPr>
          <w:p>
            <w:pPr>
              <w:pStyle w:val="TableParagraph"/>
              <w:spacing w:before="55"/>
              <w:ind w:left="107"/>
              <w:rPr>
                <w:sz w:val="18"/>
              </w:rPr>
            </w:pPr>
            <w:r>
              <w:rPr>
                <w:sz w:val="18"/>
              </w:rPr>
              <w:t>Litter</w:t>
            </w:r>
          </w:p>
        </w:tc>
        <w:tc>
          <w:tcPr>
            <w:tcW w:w="6420" w:type="dxa"/>
          </w:tcPr>
          <w:p>
            <w:pPr>
              <w:pStyle w:val="TableParagraph"/>
              <w:spacing w:before="55"/>
              <w:ind w:left="108" w:right="93"/>
              <w:rPr>
                <w:sz w:val="18"/>
              </w:rPr>
            </w:pPr>
            <w:r>
              <w:rPr>
                <w:sz w:val="18"/>
              </w:rPr>
              <w:t>Includes all non-living biomass with a diameter less than a minimum diameter chosen by the country (for example 10 cm), lying dead, in various states of decomposition above the mineral or organic soil. This includes the litter, fumic, and humic layers.</w:t>
            </w:r>
          </w:p>
          <w:p>
            <w:pPr>
              <w:pStyle w:val="TableParagraph"/>
              <w:ind w:left="108" w:right="213"/>
              <w:rPr>
                <w:sz w:val="18"/>
              </w:rPr>
            </w:pPr>
            <w:r>
              <w:rPr>
                <w:sz w:val="18"/>
              </w:rPr>
              <w:t>Live fine roots (of less than the suggested diameter limit for below-ground biomass) are included in litter where they cannot be distinguished from it empirically.</w:t>
            </w:r>
          </w:p>
        </w:tc>
      </w:tr>
      <w:tr>
        <w:trPr>
          <w:trHeight w:val="1154" w:hRule="atLeast"/>
        </w:trPr>
        <w:tc>
          <w:tcPr>
            <w:tcW w:w="1351" w:type="dxa"/>
          </w:tcPr>
          <w:p>
            <w:pPr>
              <w:pStyle w:val="TableParagraph"/>
              <w:spacing w:before="59"/>
              <w:ind w:left="107"/>
              <w:rPr>
                <w:b/>
                <w:sz w:val="18"/>
              </w:rPr>
            </w:pPr>
            <w:r>
              <w:rPr>
                <w:b/>
                <w:sz w:val="18"/>
              </w:rPr>
              <w:t>Soils</w:t>
            </w:r>
          </w:p>
        </w:tc>
        <w:tc>
          <w:tcPr>
            <w:tcW w:w="1243" w:type="dxa"/>
          </w:tcPr>
          <w:p>
            <w:pPr>
              <w:pStyle w:val="TableParagraph"/>
              <w:spacing w:before="55"/>
              <w:ind w:left="107" w:right="231"/>
              <w:rPr>
                <w:sz w:val="18"/>
              </w:rPr>
            </w:pPr>
            <w:r>
              <w:rPr>
                <w:sz w:val="18"/>
              </w:rPr>
              <w:t>Soil organic matter</w:t>
            </w:r>
          </w:p>
        </w:tc>
        <w:tc>
          <w:tcPr>
            <w:tcW w:w="6420" w:type="dxa"/>
          </w:tcPr>
          <w:p>
            <w:pPr>
              <w:pStyle w:val="TableParagraph"/>
              <w:spacing w:before="55"/>
              <w:ind w:left="108" w:right="314"/>
              <w:rPr>
                <w:sz w:val="18"/>
              </w:rPr>
            </w:pPr>
            <w:r>
              <w:rPr>
                <w:sz w:val="18"/>
              </w:rPr>
              <w:t>Includes organic carbon in mineral and organic soils (including peat) to a specified depth chosen by the country and applied consistently through the time series. Live fine roots (of less than the suggested diameter limit for below-ground biomass) are included with soil organic matter where they cannot be distinguished from it empirically.</w:t>
            </w:r>
          </w:p>
        </w:tc>
      </w:tr>
      <w:tr>
        <w:trPr>
          <w:trHeight w:val="741" w:hRule="atLeast"/>
        </w:trPr>
        <w:tc>
          <w:tcPr>
            <w:tcW w:w="9014" w:type="dxa"/>
            <w:gridSpan w:val="3"/>
          </w:tcPr>
          <w:p>
            <w:pPr>
              <w:pStyle w:val="TableParagraph"/>
              <w:spacing w:before="55"/>
              <w:ind w:left="107" w:right="483"/>
              <w:rPr>
                <w:i/>
                <w:sz w:val="18"/>
              </w:rPr>
            </w:pPr>
            <w:r>
              <w:rPr>
                <w:i/>
                <w:sz w:val="18"/>
              </w:rPr>
              <w:t>Note: National circumstances may necessitate slight modifications to the pool definitions used here. Where modified definitions are used, it is good practice to report upon them clearly, to ensure that modified definitions are used consistently over time, and to demonstrate that pools are neither omitted nor double counted.</w:t>
            </w:r>
          </w:p>
        </w:tc>
      </w:tr>
    </w:tbl>
    <w:p>
      <w:pPr>
        <w:pStyle w:val="BodyText"/>
        <w:spacing w:before="8"/>
        <w:rPr>
          <w:sz w:val="23"/>
        </w:rPr>
      </w:pPr>
    </w:p>
    <w:p>
      <w:pPr>
        <w:pStyle w:val="Heading2"/>
        <w:numPr>
          <w:ilvl w:val="2"/>
          <w:numId w:val="36"/>
        </w:numPr>
        <w:tabs>
          <w:tab w:pos="1361" w:val="left" w:leader="none"/>
          <w:tab w:pos="1362" w:val="left" w:leader="none"/>
        </w:tabs>
        <w:spacing w:line="240" w:lineRule="auto" w:before="86" w:after="0"/>
        <w:ind w:left="1361" w:right="0" w:hanging="1202"/>
        <w:jc w:val="left"/>
      </w:pPr>
      <w:r>
        <w:rPr>
          <w:spacing w:val="8"/>
        </w:rPr>
        <w:t>General</w:t>
      </w:r>
      <w:r>
        <w:rPr>
          <w:spacing w:val="19"/>
        </w:rPr>
        <w:t> </w:t>
      </w:r>
      <w:r>
        <w:rPr>
          <w:spacing w:val="8"/>
        </w:rPr>
        <w:t>Methods</w:t>
      </w:r>
    </w:p>
    <w:p>
      <w:pPr>
        <w:spacing w:before="116"/>
        <w:ind w:left="159" w:right="166" w:firstLine="0"/>
        <w:jc w:val="both"/>
        <w:rPr>
          <w:sz w:val="20"/>
        </w:rPr>
      </w:pPr>
      <w:r>
        <w:rPr>
          <w:sz w:val="20"/>
        </w:rPr>
        <w:t>Chapter 3 uses the same basic methodological approaches as in the </w:t>
      </w:r>
      <w:r>
        <w:rPr>
          <w:i/>
          <w:sz w:val="20"/>
        </w:rPr>
        <w:t>IPCC Guidelines</w:t>
      </w:r>
      <w:r>
        <w:rPr>
          <w:sz w:val="20"/>
        </w:rPr>
        <w:t>. As stated in the </w:t>
      </w:r>
      <w:r>
        <w:rPr>
          <w:i/>
          <w:sz w:val="20"/>
        </w:rPr>
        <w:t>IPCC Guidelines</w:t>
      </w:r>
      <w:r>
        <w:rPr>
          <w:sz w:val="20"/>
        </w:rPr>
        <w:t>:</w:t>
      </w:r>
    </w:p>
    <w:p>
      <w:pPr>
        <w:spacing w:before="119"/>
        <w:ind w:left="521" w:right="684" w:firstLine="180"/>
        <w:jc w:val="both"/>
        <w:rPr>
          <w:i/>
          <w:sz w:val="20"/>
        </w:rPr>
      </w:pPr>
      <w:r>
        <w:rPr>
          <w:i/>
          <w:sz w:val="20"/>
        </w:rPr>
        <w:t>The fundamental basis for the methodology rests upon two linked themes: i) the flux of CO</w:t>
      </w:r>
      <w:r>
        <w:rPr>
          <w:i/>
          <w:sz w:val="20"/>
          <w:vertAlign w:val="subscript"/>
        </w:rPr>
        <w:t>2</w:t>
      </w:r>
      <w:r>
        <w:rPr>
          <w:i/>
          <w:sz w:val="20"/>
          <w:vertAlign w:val="baseline"/>
        </w:rPr>
        <w:t> to or from the atmosphere is assumed to be equal to changes in carbon stocks in existing biomass and soils, and ii) changes in carbon stocks can be estimated by first establishing rates of change in land use  and the practice used to bring about the change (e.g., burning, clear-cutting, selective cut, etc.). Second, simple assumptions or data are applied about their impact on carbon stocks and the biological response to a given land</w:t>
      </w:r>
      <w:r>
        <w:rPr>
          <w:i/>
          <w:spacing w:val="-1"/>
          <w:sz w:val="20"/>
          <w:vertAlign w:val="baseline"/>
        </w:rPr>
        <w:t> </w:t>
      </w:r>
      <w:r>
        <w:rPr>
          <w:i/>
          <w:sz w:val="20"/>
          <w:vertAlign w:val="baseline"/>
        </w:rPr>
        <w:t>use.</w:t>
      </w:r>
    </w:p>
    <w:p>
      <w:pPr>
        <w:pStyle w:val="BodyText"/>
        <w:spacing w:before="120"/>
        <w:ind w:left="159" w:right="162"/>
        <w:jc w:val="both"/>
      </w:pPr>
      <w:r>
        <w:rPr/>
        <w:t>The first order approach described above is the foundation for the basic methodologies presented in this chapter for calculating changes in carbon pools. This approach can be generalised and applied to all carbon pools (i.e., aboveground biomass, belowground biomass, dead wood, litter, and soils), subdivided as necessary to capture differences between ecosystems, climatic zones and management practice. Equation 3.1.1 illustrates the general approach for estimating carbon stock change based on rates of carbon losses and gains by area of land use.</w:t>
      </w:r>
    </w:p>
    <w:p>
      <w:pPr>
        <w:pStyle w:val="BodyText"/>
        <w:spacing w:before="117"/>
        <w:ind w:left="159" w:right="165"/>
        <w:jc w:val="both"/>
      </w:pPr>
      <w:r>
        <w:rPr/>
        <w:t>In most first order approximations, the “activity data” are in terms of area of land use or land use change. The generic guidance is to multiply the activity data by a carbon stock coefficient or “emission factor” to provide the source/or sink estimates. Guidance is provided for all relevant carbon pools and changes of land use from one type to another. The full range of possible changes in land use from one type to another is covered systematically and default transition periods are provided.</w:t>
      </w:r>
    </w:p>
    <w:p>
      <w:pPr>
        <w:pStyle w:val="BodyText"/>
        <w:spacing w:before="7"/>
        <w:rPr>
          <w:sz w:val="27"/>
        </w:rPr>
      </w:pPr>
      <w:r>
        <w:rPr/>
        <w:pict>
          <v:line style="position:absolute;mso-position-horizontal-relative:page;mso-position-vertical-relative:paragraph;z-index:2288;mso-wrap-distance-left:0;mso-wrap-distance-right:0" from="70.960999pt,18.095264pt" to="214.960999pt,18.095264pt" stroked="true" strokeweight=".48pt" strokecolor="#000000">
            <v:stroke dashstyle="solid"/>
            <w10:wrap type="topAndBottom"/>
          </v:line>
        </w:pict>
      </w:r>
    </w:p>
    <w:p>
      <w:pPr>
        <w:spacing w:before="153"/>
        <w:ind w:left="317" w:right="185" w:hanging="159"/>
        <w:jc w:val="left"/>
        <w:rPr>
          <w:sz w:val="18"/>
        </w:rPr>
      </w:pPr>
      <w:r>
        <w:rPr>
          <w:position w:val="8"/>
          <w:sz w:val="12"/>
        </w:rPr>
        <w:t>2 </w:t>
      </w:r>
      <w:r>
        <w:rPr>
          <w:sz w:val="18"/>
        </w:rPr>
        <w:t>The default assumption in </w:t>
      </w:r>
      <w:r>
        <w:rPr>
          <w:i/>
          <w:sz w:val="18"/>
        </w:rPr>
        <w:t>IPCC Guidelines </w:t>
      </w:r>
      <w:r>
        <w:rPr>
          <w:sz w:val="18"/>
        </w:rPr>
        <w:t>is that carbon removed in wood and other biomass from forests is oxidised in the year of removal. Countries may report on HWP pools if they can document that existing stocks of forest products are in fact increasing. Appendix 3a.1 provides guidance to countries and information that could be used in future methodological development subject to decisions by UNFCCC.</w:t>
      </w:r>
    </w:p>
    <w:p>
      <w:pPr>
        <w:spacing w:before="113"/>
        <w:ind w:left="159" w:right="0" w:firstLine="0"/>
        <w:jc w:val="left"/>
        <w:rPr>
          <w:sz w:val="20"/>
        </w:rPr>
      </w:pPr>
      <w:r>
        <w:rPr>
          <w:position w:val="8"/>
          <w:sz w:val="12"/>
        </w:rPr>
        <w:t>3 </w:t>
      </w:r>
      <w:r>
        <w:rPr>
          <w:sz w:val="18"/>
        </w:rPr>
        <w:t>Expressed </w:t>
      </w:r>
      <w:r>
        <w:rPr>
          <w:sz w:val="20"/>
        </w:rPr>
        <w:t>in </w:t>
      </w:r>
      <w:r>
        <w:rPr>
          <w:sz w:val="18"/>
        </w:rPr>
        <w:t>tonnes dry weight</w:t>
      </w:r>
      <w:r>
        <w:rPr>
          <w:sz w:val="20"/>
        </w:rPr>
        <w:t>.</w:t>
      </w:r>
    </w:p>
    <w:p>
      <w:pPr>
        <w:spacing w:after="0"/>
        <w:jc w:val="left"/>
        <w:rPr>
          <w:sz w:val="20"/>
        </w:rPr>
        <w:sectPr>
          <w:pgSz w:w="11900" w:h="16840"/>
          <w:pgMar w:header="230" w:footer="408" w:top="560" w:bottom="600" w:left="1260" w:right="1240"/>
        </w:sectPr>
      </w:pPr>
    </w:p>
    <w:p>
      <w:pPr>
        <w:pStyle w:val="BodyText"/>
      </w:pPr>
    </w:p>
    <w:p>
      <w:pPr>
        <w:pStyle w:val="BodyText"/>
        <w:spacing w:before="10" w:after="1"/>
        <w:rPr>
          <w:sz w:val="18"/>
        </w:rPr>
      </w:pPr>
    </w:p>
    <w:p>
      <w:pPr>
        <w:pStyle w:val="BodyText"/>
        <w:ind w:left="564"/>
      </w:pPr>
      <w:r>
        <w:rPr>
          <w:position w:val="0"/>
        </w:rPr>
        <w:pict>
          <v:shape style="width:411.5pt;height:50.65pt;mso-position-horizontal-relative:char;mso-position-vertical-relative:line" type="#_x0000_t202" filled="false" stroked="true" strokeweight="1.44pt" strokecolor="#000000">
            <w10:anchorlock/>
            <v:textbox inset="0,0,0,0">
              <w:txbxContent>
                <w:p>
                  <w:pPr>
                    <w:spacing w:line="229" w:lineRule="exact" w:before="99"/>
                    <w:ind w:left="67" w:right="68" w:firstLine="0"/>
                    <w:jc w:val="center"/>
                    <w:rPr>
                      <w:b/>
                      <w:sz w:val="20"/>
                    </w:rPr>
                  </w:pPr>
                  <w:r>
                    <w:rPr>
                      <w:b/>
                      <w:sz w:val="20"/>
                    </w:rPr>
                    <w:t>E</w:t>
                  </w:r>
                  <w:r>
                    <w:rPr>
                      <w:b/>
                      <w:sz w:val="16"/>
                    </w:rPr>
                    <w:t>QUATION </w:t>
                  </w:r>
                  <w:r>
                    <w:rPr>
                      <w:b/>
                      <w:sz w:val="20"/>
                    </w:rPr>
                    <w:t>3.1.1</w:t>
                  </w:r>
                </w:p>
                <w:p>
                  <w:pPr>
                    <w:spacing w:line="229" w:lineRule="exact" w:before="0"/>
                    <w:ind w:left="67" w:right="68" w:firstLine="0"/>
                    <w:jc w:val="center"/>
                    <w:rPr>
                      <w:b/>
                      <w:sz w:val="16"/>
                    </w:rPr>
                  </w:pPr>
                  <w:r>
                    <w:rPr>
                      <w:b/>
                      <w:sz w:val="20"/>
                    </w:rPr>
                    <w:t>A</w:t>
                  </w:r>
                  <w:r>
                    <w:rPr>
                      <w:b/>
                      <w:sz w:val="16"/>
                    </w:rPr>
                    <w:t>NNUAL CARBON STOCK CHANGE IN A GIVEN POOL AS A FUNCTION OF GAINS AND LOSSES</w:t>
                  </w:r>
                </w:p>
                <w:p>
                  <w:pPr>
                    <w:spacing w:before="93"/>
                    <w:ind w:left="67" w:right="68" w:firstLine="0"/>
                    <w:jc w:val="center"/>
                    <w:rPr>
                      <w:sz w:val="20"/>
                    </w:rPr>
                  </w:pPr>
                  <w:r>
                    <w:rPr>
                      <w:rFonts w:ascii="Symbol" w:hAnsi="Symbol"/>
                      <w:sz w:val="20"/>
                    </w:rPr>
                    <w:t>∆</w:t>
                  </w:r>
                  <w:r>
                    <w:rPr>
                      <w:sz w:val="20"/>
                    </w:rPr>
                    <w:t>C = </w:t>
                  </w:r>
                  <w:r>
                    <w:rPr>
                      <w:rFonts w:ascii="Arial" w:hAnsi="Arial"/>
                      <w:sz w:val="20"/>
                    </w:rPr>
                    <w:t>∑</w:t>
                  </w:r>
                  <w:r>
                    <w:rPr>
                      <w:i/>
                      <w:sz w:val="20"/>
                      <w:vertAlign w:val="subscript"/>
                    </w:rPr>
                    <w:t>ijk</w:t>
                  </w:r>
                  <w:r>
                    <w:rPr>
                      <w:i/>
                      <w:sz w:val="20"/>
                      <w:vertAlign w:val="baseline"/>
                    </w:rPr>
                    <w:t>  </w:t>
                  </w:r>
                  <w:r>
                    <w:rPr>
                      <w:sz w:val="20"/>
                      <w:vertAlign w:val="baseline"/>
                    </w:rPr>
                    <w:t>[A</w:t>
                  </w:r>
                  <w:r>
                    <w:rPr>
                      <w:i/>
                      <w:sz w:val="20"/>
                      <w:vertAlign w:val="subscript"/>
                    </w:rPr>
                    <w:t>ijk</w:t>
                  </w:r>
                  <w:r>
                    <w:rPr>
                      <w:i/>
                      <w:sz w:val="20"/>
                      <w:vertAlign w:val="baseline"/>
                    </w:rPr>
                    <w:t> </w:t>
                  </w:r>
                  <w:r>
                    <w:rPr>
                      <w:sz w:val="20"/>
                      <w:vertAlign w:val="baseline"/>
                    </w:rPr>
                    <w:t>● (C</w:t>
                  </w:r>
                  <w:r>
                    <w:rPr>
                      <w:sz w:val="20"/>
                      <w:vertAlign w:val="subscript"/>
                    </w:rPr>
                    <w:t>I</w:t>
                  </w:r>
                  <w:r>
                    <w:rPr>
                      <w:sz w:val="20"/>
                      <w:vertAlign w:val="baseline"/>
                    </w:rPr>
                    <w:t> – C</w:t>
                  </w:r>
                  <w:r>
                    <w:rPr>
                      <w:sz w:val="20"/>
                      <w:vertAlign w:val="subscript"/>
                    </w:rPr>
                    <w:t>L</w:t>
                  </w:r>
                  <w:r>
                    <w:rPr>
                      <w:sz w:val="20"/>
                      <w:vertAlign w:val="baseline"/>
                    </w:rPr>
                    <w:t>)</w:t>
                  </w:r>
                  <w:r>
                    <w:rPr>
                      <w:i/>
                      <w:sz w:val="20"/>
                      <w:vertAlign w:val="subscript"/>
                    </w:rPr>
                    <w:t>ijk</w:t>
                  </w:r>
                  <w:r>
                    <w:rPr>
                      <w:sz w:val="20"/>
                      <w:vertAlign w:val="baseline"/>
                    </w:rPr>
                    <w:t>]</w:t>
                  </w:r>
                </w:p>
              </w:txbxContent>
            </v:textbox>
            <v:stroke dashstyle="solid"/>
          </v:shape>
        </w:pict>
      </w:r>
      <w:r>
        <w:rPr>
          <w:position w:val="0"/>
        </w:rPr>
      </w:r>
    </w:p>
    <w:p>
      <w:pPr>
        <w:pStyle w:val="BodyText"/>
        <w:spacing w:before="11"/>
        <w:ind w:left="159"/>
      </w:pPr>
      <w:r>
        <w:rPr/>
        <w:t>Where:</w:t>
      </w:r>
    </w:p>
    <w:p>
      <w:pPr>
        <w:pStyle w:val="BodyText"/>
        <w:tabs>
          <w:tab w:pos="1083" w:val="left" w:leader="none"/>
        </w:tabs>
        <w:spacing w:line="338" w:lineRule="auto" w:before="137"/>
        <w:ind w:left="725" w:right="4481"/>
      </w:pPr>
      <w:r>
        <w:rPr>
          <w:rFonts w:ascii="Symbol" w:hAnsi="Symbol"/>
        </w:rPr>
        <w:t>∆</w:t>
      </w:r>
      <w:r>
        <w:rPr/>
        <w:t>C = carbon stock change in the pool, tonnes C </w:t>
      </w:r>
      <w:r>
        <w:rPr>
          <w:spacing w:val="-19"/>
        </w:rPr>
        <w:t>yr</w:t>
      </w:r>
      <w:r>
        <w:rPr>
          <w:spacing w:val="-19"/>
          <w:vertAlign w:val="superscript"/>
        </w:rPr>
        <w:t>-1</w:t>
      </w:r>
      <w:r>
        <w:rPr>
          <w:spacing w:val="-19"/>
          <w:vertAlign w:val="baseline"/>
        </w:rPr>
        <w:t> </w:t>
      </w:r>
      <w:r>
        <w:rPr>
          <w:vertAlign w:val="baseline"/>
        </w:rPr>
        <w:t>A</w:t>
        <w:tab/>
        <w:t>= area of land,</w:t>
      </w:r>
      <w:r>
        <w:rPr>
          <w:spacing w:val="-3"/>
          <w:vertAlign w:val="baseline"/>
        </w:rPr>
        <w:t> </w:t>
      </w:r>
      <w:r>
        <w:rPr>
          <w:vertAlign w:val="baseline"/>
        </w:rPr>
        <w:t>ha</w:t>
      </w:r>
    </w:p>
    <w:p>
      <w:pPr>
        <w:pStyle w:val="BodyText"/>
        <w:spacing w:line="364" w:lineRule="auto" w:before="34"/>
        <w:ind w:left="725" w:right="2338"/>
      </w:pPr>
      <w:r>
        <w:rPr>
          <w:i/>
        </w:rPr>
        <w:t>ijk </w:t>
      </w:r>
      <w:r>
        <w:rPr/>
        <w:t>= corresponds to climate type </w:t>
      </w:r>
      <w:r>
        <w:rPr>
          <w:i/>
        </w:rPr>
        <w:t>i</w:t>
      </w:r>
      <w:r>
        <w:rPr/>
        <w:t>, forest type </w:t>
      </w:r>
      <w:r>
        <w:rPr>
          <w:i/>
        </w:rPr>
        <w:t>j</w:t>
      </w:r>
      <w:r>
        <w:rPr/>
        <w:t>, management practice </w:t>
      </w:r>
      <w:r>
        <w:rPr>
          <w:i/>
        </w:rPr>
        <w:t>k</w:t>
      </w:r>
      <w:r>
        <w:rPr/>
        <w:t>, etc… C</w:t>
      </w:r>
      <w:r>
        <w:rPr>
          <w:vertAlign w:val="subscript"/>
        </w:rPr>
        <w:t>I</w:t>
      </w:r>
      <w:r>
        <w:rPr>
          <w:vertAlign w:val="baseline"/>
        </w:rPr>
        <w:t> = rate of gain of carbon, tonnes C ha</w:t>
      </w:r>
      <w:r>
        <w:rPr>
          <w:vertAlign w:val="superscript"/>
        </w:rPr>
        <w:t>-1</w:t>
      </w:r>
      <w:r>
        <w:rPr>
          <w:spacing w:val="-26"/>
          <w:vertAlign w:val="baseline"/>
        </w:rPr>
        <w:t> </w:t>
      </w:r>
      <w:r>
        <w:rPr>
          <w:vertAlign w:val="baseline"/>
        </w:rPr>
        <w:t>yr</w:t>
      </w:r>
      <w:r>
        <w:rPr>
          <w:vertAlign w:val="superscript"/>
        </w:rPr>
        <w:t>-1</w:t>
      </w:r>
    </w:p>
    <w:p>
      <w:pPr>
        <w:pStyle w:val="BodyText"/>
        <w:spacing w:line="229" w:lineRule="exact"/>
        <w:ind w:left="725"/>
      </w:pPr>
      <w:r>
        <w:rPr/>
        <w:t>C</w:t>
      </w:r>
      <w:r>
        <w:rPr>
          <w:vertAlign w:val="subscript"/>
        </w:rPr>
        <w:t>L</w:t>
      </w:r>
      <w:r>
        <w:rPr>
          <w:vertAlign w:val="baseline"/>
        </w:rPr>
        <w:t>   = rate of loss of carbon , tonnes C ha</w:t>
      </w:r>
      <w:r>
        <w:rPr>
          <w:vertAlign w:val="superscript"/>
        </w:rPr>
        <w:t>-1</w:t>
      </w:r>
      <w:r>
        <w:rPr>
          <w:spacing w:val="-29"/>
          <w:vertAlign w:val="baseline"/>
        </w:rPr>
        <w:t> </w:t>
      </w:r>
      <w:r>
        <w:rPr>
          <w:vertAlign w:val="baseline"/>
        </w:rPr>
        <w:t>yr</w:t>
      </w:r>
      <w:r>
        <w:rPr>
          <w:vertAlign w:val="superscript"/>
        </w:rPr>
        <w:t>-1</w:t>
      </w:r>
    </w:p>
    <w:p>
      <w:pPr>
        <w:pStyle w:val="BodyText"/>
        <w:spacing w:before="120"/>
        <w:ind w:left="159" w:right="166"/>
        <w:jc w:val="both"/>
      </w:pPr>
      <w:r>
        <w:rPr/>
        <w:t>An alternative approach is proposed in the </w:t>
      </w:r>
      <w:r>
        <w:rPr>
          <w:i/>
        </w:rPr>
        <w:t>IPCC Guidelines </w:t>
      </w:r>
      <w:r>
        <w:rPr/>
        <w:t>where carbon stocks are measured at two points in time to assess carbon stock changes. Equation 3.1.2 illustrates the generic approach for estimating carbon stock change in this way. This latter approach is presented in this chapter as an option in some instances.</w:t>
      </w:r>
    </w:p>
    <w:p>
      <w:pPr>
        <w:pStyle w:val="BodyText"/>
        <w:spacing w:before="9"/>
        <w:rPr>
          <w:sz w:val="9"/>
        </w:rPr>
      </w:pPr>
      <w:r>
        <w:rPr/>
        <w:pict>
          <v:group style="position:absolute;margin-left:91.240997pt;margin-top:8.332092pt;width:412.95pt;height:55.2pt;mso-position-horizontal-relative:page;mso-position-vertical-relative:paragraph;z-index:2408;mso-wrap-distance-left:0;mso-wrap-distance-right:0" coordorigin="1825,167" coordsize="8259,1104">
            <v:line style="position:absolute" from="1854,181" to="10054,181" stroked="true" strokeweight="1.44pt" strokecolor="#000000">
              <v:stroke dashstyle="solid"/>
            </v:line>
            <v:line style="position:absolute" from="1854,1256" to="10054,1256" stroked="true" strokeweight="1.44pt" strokecolor="#000000">
              <v:stroke dashstyle="solid"/>
            </v:line>
            <v:line style="position:absolute" from="1839,167" to="1839,1271" stroked="true" strokeweight="1.44pt" strokecolor="#000000">
              <v:stroke dashstyle="solid"/>
            </v:line>
            <v:line style="position:absolute" from="10069,167" to="10069,1271" stroked="true" strokeweight="1.44pt" strokecolor="#000000">
              <v:stroke dashstyle="solid"/>
            </v:line>
            <v:shape style="position:absolute;left:5744;top:1008;width:1302;height:144" type="#_x0000_t202" filled="false" stroked="false">
              <v:textbox inset="0,0,0,0">
                <w:txbxContent>
                  <w:p>
                    <w:pPr>
                      <w:tabs>
                        <w:tab w:pos="434" w:val="left" w:leader="none"/>
                        <w:tab w:pos="895" w:val="left" w:leader="none"/>
                        <w:tab w:pos="1216" w:val="left" w:leader="none"/>
                      </w:tabs>
                      <w:spacing w:line="144" w:lineRule="exact" w:before="0"/>
                      <w:ind w:left="0" w:right="0" w:firstLine="0"/>
                      <w:jc w:val="left"/>
                      <w:rPr>
                        <w:sz w:val="13"/>
                      </w:rPr>
                    </w:pPr>
                    <w:r>
                      <w:rPr>
                        <w:sz w:val="13"/>
                      </w:rPr>
                      <w:t>2</w:t>
                      <w:tab/>
                      <w:t>1</w:t>
                      <w:tab/>
                      <w:t>2</w:t>
                      <w:tab/>
                      <w:t>1</w:t>
                    </w:r>
                  </w:p>
                </w:txbxContent>
              </v:textbox>
              <w10:wrap type="none"/>
            </v:shape>
            <v:shape style="position:absolute;left:4685;top:831;width:2557;height:261" type="#_x0000_t202" filled="false" stroked="false">
              <v:textbox inset="0,0,0,0">
                <w:txbxContent>
                  <w:p>
                    <w:pPr>
                      <w:spacing w:line="247" w:lineRule="exact" w:before="13"/>
                      <w:ind w:left="0" w:right="0" w:firstLine="0"/>
                      <w:jc w:val="left"/>
                      <w:rPr>
                        <w:i/>
                        <w:sz w:val="20"/>
                      </w:rPr>
                    </w:pPr>
                    <w:r>
                      <w:rPr>
                        <w:rFonts w:ascii="Symbol" w:hAnsi="Symbol"/>
                        <w:sz w:val="20"/>
                      </w:rPr>
                      <w:t>∆</w:t>
                    </w:r>
                    <w:r>
                      <w:rPr>
                        <w:sz w:val="20"/>
                      </w:rPr>
                      <w:t>C = </w:t>
                    </w:r>
                    <w:r>
                      <w:rPr>
                        <w:rFonts w:ascii="Arial" w:hAnsi="Arial"/>
                        <w:sz w:val="20"/>
                      </w:rPr>
                      <w:t>∑</w:t>
                    </w:r>
                    <w:r>
                      <w:rPr>
                        <w:i/>
                        <w:sz w:val="20"/>
                        <w:vertAlign w:val="subscript"/>
                      </w:rPr>
                      <w:t>ijk</w:t>
                    </w:r>
                    <w:r>
                      <w:rPr>
                        <w:i/>
                        <w:sz w:val="20"/>
                        <w:vertAlign w:val="baseline"/>
                      </w:rPr>
                      <w:t> </w:t>
                    </w:r>
                    <w:r>
                      <w:rPr>
                        <w:sz w:val="20"/>
                        <w:vertAlign w:val="baseline"/>
                      </w:rPr>
                      <w:t>(C</w:t>
                    </w:r>
                    <w:r>
                      <w:rPr>
                        <w:sz w:val="20"/>
                        <w:vertAlign w:val="subscript"/>
                      </w:rPr>
                      <w:t>t</w:t>
                    </w:r>
                    <w:r>
                      <w:rPr>
                        <w:sz w:val="20"/>
                        <w:vertAlign w:val="baseline"/>
                      </w:rPr>
                      <w:t> – C</w:t>
                    </w:r>
                    <w:r>
                      <w:rPr>
                        <w:sz w:val="20"/>
                        <w:vertAlign w:val="subscript"/>
                      </w:rPr>
                      <w:t>t</w:t>
                    </w:r>
                    <w:r>
                      <w:rPr>
                        <w:sz w:val="20"/>
                        <w:vertAlign w:val="baseline"/>
                      </w:rPr>
                      <w:t> ) / (t – t </w:t>
                    </w:r>
                    <w:r>
                      <w:rPr>
                        <w:spacing w:val="-23"/>
                        <w:sz w:val="20"/>
                        <w:vertAlign w:val="baseline"/>
                      </w:rPr>
                      <w:t>)</w:t>
                    </w:r>
                    <w:r>
                      <w:rPr>
                        <w:i/>
                        <w:spacing w:val="-23"/>
                        <w:sz w:val="20"/>
                        <w:vertAlign w:val="subscript"/>
                      </w:rPr>
                      <w:t>ijk</w:t>
                    </w:r>
                  </w:p>
                </w:txbxContent>
              </v:textbox>
              <w10:wrap type="none"/>
            </v:shape>
            <v:shape style="position:absolute;left:3840;top:303;width:4242;height:452" type="#_x0000_t202" filled="false" stroked="false">
              <v:textbox inset="0,0,0,0">
                <w:txbxContent>
                  <w:p>
                    <w:pPr>
                      <w:spacing w:line="221" w:lineRule="exact" w:before="0"/>
                      <w:ind w:left="2" w:right="18" w:firstLine="0"/>
                      <w:jc w:val="center"/>
                      <w:rPr>
                        <w:b/>
                        <w:sz w:val="20"/>
                      </w:rPr>
                    </w:pPr>
                    <w:r>
                      <w:rPr>
                        <w:b/>
                        <w:sz w:val="20"/>
                      </w:rPr>
                      <w:t>E</w:t>
                    </w:r>
                    <w:r>
                      <w:rPr>
                        <w:b/>
                        <w:sz w:val="16"/>
                      </w:rPr>
                      <w:t>QUATION </w:t>
                    </w:r>
                    <w:r>
                      <w:rPr>
                        <w:b/>
                        <w:sz w:val="20"/>
                      </w:rPr>
                      <w:t>3.1.2</w:t>
                    </w:r>
                  </w:p>
                  <w:p>
                    <w:pPr>
                      <w:spacing w:before="0"/>
                      <w:ind w:left="-1" w:right="18" w:firstLine="0"/>
                      <w:jc w:val="center"/>
                      <w:rPr>
                        <w:b/>
                        <w:sz w:val="16"/>
                      </w:rPr>
                    </w:pPr>
                    <w:r>
                      <w:rPr>
                        <w:b/>
                        <w:sz w:val="20"/>
                      </w:rPr>
                      <w:t>A</w:t>
                    </w:r>
                    <w:r>
                      <w:rPr>
                        <w:b/>
                        <w:sz w:val="16"/>
                      </w:rPr>
                      <w:t>NNUAL CARBON STOCK CHANGE IN A GIVEN</w:t>
                    </w:r>
                    <w:r>
                      <w:rPr>
                        <w:b/>
                        <w:spacing w:val="-12"/>
                        <w:sz w:val="16"/>
                      </w:rPr>
                      <w:t> </w:t>
                    </w:r>
                    <w:r>
                      <w:rPr>
                        <w:b/>
                        <w:sz w:val="16"/>
                      </w:rPr>
                      <w:t>POOL</w:t>
                    </w:r>
                  </w:p>
                </w:txbxContent>
              </v:textbox>
              <w10:wrap type="none"/>
            </v:shape>
            <w10:wrap type="topAndBottom"/>
          </v:group>
        </w:pict>
      </w:r>
    </w:p>
    <w:p>
      <w:pPr>
        <w:pStyle w:val="BodyText"/>
        <w:spacing w:line="220" w:lineRule="exact"/>
        <w:ind w:left="159"/>
      </w:pPr>
      <w:r>
        <w:rPr/>
        <w:t>Where:</w:t>
      </w:r>
    </w:p>
    <w:p>
      <w:pPr>
        <w:pStyle w:val="BodyText"/>
        <w:spacing w:line="350" w:lineRule="auto" w:before="118"/>
        <w:ind w:left="725" w:right="4547"/>
      </w:pPr>
      <w:r>
        <w:rPr/>
        <w:pict>
          <v:shape style="position:absolute;margin-left:256.600586pt;margin-top:14.021389pt;width:3.25pt;height:7.2pt;mso-position-horizontal-relative:page;mso-position-vertical-relative:paragraph;z-index:-2451664" type="#_x0000_t202" filled="false" stroked="false">
            <v:textbox inset="0,0,0,0">
              <w:txbxContent>
                <w:p>
                  <w:pPr>
                    <w:spacing w:line="144" w:lineRule="exact" w:before="0"/>
                    <w:ind w:left="0" w:right="0" w:firstLine="0"/>
                    <w:jc w:val="left"/>
                    <w:rPr>
                      <w:sz w:val="13"/>
                    </w:rPr>
                  </w:pPr>
                  <w:r>
                    <w:rPr>
                      <w:w w:val="99"/>
                      <w:sz w:val="13"/>
                    </w:rPr>
                    <w:t>1</w:t>
                  </w:r>
                </w:p>
              </w:txbxContent>
            </v:textbox>
            <w10:wrap type="none"/>
          </v:shape>
        </w:pict>
      </w:r>
      <w:r>
        <w:rPr/>
        <w:pict>
          <v:shape style="position:absolute;margin-left:256.600586pt;margin-top:34.541389pt;width:3.25pt;height:7.2pt;mso-position-horizontal-relative:page;mso-position-vertical-relative:paragraph;z-index:-2451640" type="#_x0000_t202" filled="false" stroked="false">
            <v:textbox inset="0,0,0,0">
              <w:txbxContent>
                <w:p>
                  <w:pPr>
                    <w:spacing w:line="144" w:lineRule="exact" w:before="0"/>
                    <w:ind w:left="0" w:right="0" w:firstLine="0"/>
                    <w:jc w:val="left"/>
                    <w:rPr>
                      <w:sz w:val="13"/>
                    </w:rPr>
                  </w:pPr>
                  <w:r>
                    <w:rPr>
                      <w:w w:val="99"/>
                      <w:sz w:val="13"/>
                    </w:rPr>
                    <w:t>2</w:t>
                  </w:r>
                </w:p>
              </w:txbxContent>
            </v:textbox>
            <w10:wrap type="none"/>
          </v:shape>
        </w:pict>
      </w:r>
      <w:r>
        <w:rPr/>
        <w:t>C</w:t>
      </w:r>
      <w:r>
        <w:rPr>
          <w:vertAlign w:val="subscript"/>
        </w:rPr>
        <w:t>t</w:t>
      </w:r>
      <w:r>
        <w:rPr>
          <w:position w:val="-8"/>
          <w:sz w:val="13"/>
          <w:vertAlign w:val="baseline"/>
        </w:rPr>
        <w:t>1 </w:t>
      </w:r>
      <w:r>
        <w:rPr>
          <w:vertAlign w:val="baseline"/>
        </w:rPr>
        <w:t>= carbon stock in the pool at time t , tonnes C C</w:t>
      </w:r>
      <w:r>
        <w:rPr>
          <w:vertAlign w:val="subscript"/>
        </w:rPr>
        <w:t>t</w:t>
      </w:r>
      <w:r>
        <w:rPr>
          <w:position w:val="-8"/>
          <w:sz w:val="13"/>
          <w:vertAlign w:val="baseline"/>
        </w:rPr>
        <w:t>2 </w:t>
      </w:r>
      <w:r>
        <w:rPr>
          <w:vertAlign w:val="baseline"/>
        </w:rPr>
        <w:t>= carbon stock in the pool at time t , tonnes C</w:t>
      </w:r>
    </w:p>
    <w:p>
      <w:pPr>
        <w:pStyle w:val="BodyText"/>
        <w:ind w:left="159" w:right="165"/>
        <w:jc w:val="both"/>
      </w:pPr>
      <w:r>
        <w:rPr/>
        <w:t>Even though national reporting of sources and sinks is required annually, it does not mean that national inventories have to be carried out annually for all pools, since data from national inventories done on 5 to 10 year cycles, can be interpolated. Chapter 5 provides guidance on how to use interpolation and extrapolation to merge sources of</w:t>
      </w:r>
      <w:r>
        <w:rPr>
          <w:spacing w:val="-1"/>
        </w:rPr>
        <w:t> </w:t>
      </w:r>
      <w:r>
        <w:rPr/>
        <w:t>data.</w:t>
      </w:r>
    </w:p>
    <w:p>
      <w:pPr>
        <w:pStyle w:val="BodyText"/>
        <w:spacing w:before="119"/>
        <w:ind w:left="159" w:right="165"/>
        <w:jc w:val="both"/>
      </w:pPr>
      <w:r>
        <w:rPr/>
        <w:t>Several sources of non-CO</w:t>
      </w:r>
      <w:r>
        <w:rPr>
          <w:vertAlign w:val="subscript"/>
        </w:rPr>
        <w:t>2</w:t>
      </w:r>
      <w:r>
        <w:rPr>
          <w:vertAlign w:val="baseline"/>
        </w:rPr>
        <w:t> greenhouse gas emissions from land use were discussed in the Agriculture Chapter (Chapter 4) of the </w:t>
      </w:r>
      <w:r>
        <w:rPr>
          <w:i/>
          <w:vertAlign w:val="baseline"/>
        </w:rPr>
        <w:t>IPCC Guidelines </w:t>
      </w:r>
      <w:r>
        <w:rPr>
          <w:vertAlign w:val="baseline"/>
        </w:rPr>
        <w:t>and the related parts of the </w:t>
      </w:r>
      <w:r>
        <w:rPr>
          <w:i/>
          <w:vertAlign w:val="baseline"/>
        </w:rPr>
        <w:t>GPG2000</w:t>
      </w:r>
      <w:r>
        <w:rPr>
          <w:vertAlign w:val="baseline"/>
        </w:rPr>
        <w:t>. Chapter 4 of </w:t>
      </w:r>
      <w:r>
        <w:rPr>
          <w:i/>
          <w:vertAlign w:val="baseline"/>
        </w:rPr>
        <w:t>IPCC Guidelines </w:t>
      </w:r>
      <w:r>
        <w:rPr>
          <w:vertAlign w:val="baseline"/>
        </w:rPr>
        <w:t>and </w:t>
      </w:r>
      <w:r>
        <w:rPr>
          <w:i/>
          <w:vertAlign w:val="baseline"/>
        </w:rPr>
        <w:t>GPG2000 </w:t>
      </w:r>
      <w:r>
        <w:rPr>
          <w:vertAlign w:val="baseline"/>
        </w:rPr>
        <w:t>cover CH</w:t>
      </w:r>
      <w:r>
        <w:rPr>
          <w:vertAlign w:val="subscript"/>
        </w:rPr>
        <w:t>4</w:t>
      </w:r>
      <w:r>
        <w:rPr>
          <w:vertAlign w:val="baseline"/>
        </w:rPr>
        <w:t> and N</w:t>
      </w:r>
      <w:r>
        <w:rPr>
          <w:vertAlign w:val="subscript"/>
        </w:rPr>
        <w:t>2</w:t>
      </w:r>
      <w:r>
        <w:rPr>
          <w:vertAlign w:val="baseline"/>
        </w:rPr>
        <w:t>O emissions from savanna burning and agricultural residue burning, direct and indirect N</w:t>
      </w:r>
      <w:r>
        <w:rPr>
          <w:vertAlign w:val="subscript"/>
        </w:rPr>
        <w:t>2</w:t>
      </w:r>
      <w:r>
        <w:rPr>
          <w:vertAlign w:val="baseline"/>
        </w:rPr>
        <w:t>O emissions from agricultural soils, and CH</w:t>
      </w:r>
      <w:r>
        <w:rPr>
          <w:vertAlign w:val="subscript"/>
        </w:rPr>
        <w:t>4</w:t>
      </w:r>
      <w:r>
        <w:rPr>
          <w:vertAlign w:val="baseline"/>
        </w:rPr>
        <w:t> emissions from rice production. Guidance on greenhouse gas emissions from the biomass fraction in waste disposed at solid waste disposal sites or incinerated is provided in the Waste Chapter of </w:t>
      </w:r>
      <w:r>
        <w:rPr>
          <w:i/>
          <w:vertAlign w:val="baseline"/>
        </w:rPr>
        <w:t>IPCC Guidelines </w:t>
      </w:r>
      <w:r>
        <w:rPr>
          <w:vertAlign w:val="baseline"/>
        </w:rPr>
        <w:t>and</w:t>
      </w:r>
      <w:r>
        <w:rPr>
          <w:spacing w:val="-3"/>
          <w:vertAlign w:val="baseline"/>
        </w:rPr>
        <w:t> </w:t>
      </w:r>
      <w:r>
        <w:rPr>
          <w:i/>
          <w:vertAlign w:val="baseline"/>
        </w:rPr>
        <w:t>GPG2000</w:t>
      </w:r>
      <w:r>
        <w:rPr>
          <w:vertAlign w:val="baseline"/>
        </w:rPr>
        <w:t>.</w:t>
      </w:r>
    </w:p>
    <w:p>
      <w:pPr>
        <w:spacing w:before="117"/>
        <w:ind w:left="159" w:right="168" w:firstLine="0"/>
        <w:jc w:val="both"/>
        <w:rPr>
          <w:sz w:val="20"/>
        </w:rPr>
      </w:pPr>
      <w:r>
        <w:rPr>
          <w:sz w:val="20"/>
        </w:rPr>
        <w:t>This </w:t>
      </w:r>
      <w:r>
        <w:rPr>
          <w:i/>
          <w:sz w:val="20"/>
        </w:rPr>
        <w:t>good practice guidance </w:t>
      </w:r>
      <w:r>
        <w:rPr>
          <w:sz w:val="20"/>
        </w:rPr>
        <w:t>provides additional information on how to apply and expand the Agriculture Chapter of the </w:t>
      </w:r>
      <w:r>
        <w:rPr>
          <w:i/>
          <w:sz w:val="20"/>
        </w:rPr>
        <w:t>IPCC Guidelines </w:t>
      </w:r>
      <w:r>
        <w:rPr>
          <w:sz w:val="20"/>
        </w:rPr>
        <w:t>and </w:t>
      </w:r>
      <w:r>
        <w:rPr>
          <w:i/>
          <w:sz w:val="20"/>
        </w:rPr>
        <w:t>GPG2000 </w:t>
      </w:r>
      <w:r>
        <w:rPr>
          <w:sz w:val="20"/>
        </w:rPr>
        <w:t>to these additional categories of land uses and land use change:</w:t>
      </w:r>
    </w:p>
    <w:p>
      <w:pPr>
        <w:pStyle w:val="ListParagraph"/>
        <w:numPr>
          <w:ilvl w:val="0"/>
          <w:numId w:val="23"/>
        </w:numPr>
        <w:tabs>
          <w:tab w:pos="520" w:val="left" w:leader="none"/>
        </w:tabs>
        <w:spacing w:line="240" w:lineRule="auto" w:before="135" w:after="0"/>
        <w:ind w:left="519" w:right="0" w:hanging="360"/>
        <w:jc w:val="both"/>
        <w:rPr>
          <w:sz w:val="20"/>
        </w:rPr>
      </w:pPr>
      <w:r>
        <w:rPr>
          <w:sz w:val="20"/>
        </w:rPr>
        <w:t>Non-CO</w:t>
      </w:r>
      <w:r>
        <w:rPr>
          <w:sz w:val="20"/>
          <w:vertAlign w:val="subscript"/>
        </w:rPr>
        <w:t>2</w:t>
      </w:r>
      <w:r>
        <w:rPr>
          <w:sz w:val="20"/>
          <w:vertAlign w:val="baseline"/>
        </w:rPr>
        <w:t> (N</w:t>
      </w:r>
      <w:r>
        <w:rPr>
          <w:sz w:val="20"/>
          <w:vertAlign w:val="subscript"/>
        </w:rPr>
        <w:t>2</w:t>
      </w:r>
      <w:r>
        <w:rPr>
          <w:sz w:val="20"/>
          <w:vertAlign w:val="baseline"/>
        </w:rPr>
        <w:t>O and CH</w:t>
      </w:r>
      <w:r>
        <w:rPr>
          <w:sz w:val="20"/>
          <w:vertAlign w:val="subscript"/>
        </w:rPr>
        <w:t>4</w:t>
      </w:r>
      <w:r>
        <w:rPr>
          <w:sz w:val="20"/>
          <w:vertAlign w:val="baseline"/>
        </w:rPr>
        <w:t>) from forest fire (Section</w:t>
      </w:r>
      <w:r>
        <w:rPr>
          <w:spacing w:val="-1"/>
          <w:sz w:val="20"/>
          <w:vertAlign w:val="baseline"/>
        </w:rPr>
        <w:t> </w:t>
      </w:r>
      <w:r>
        <w:rPr>
          <w:sz w:val="20"/>
          <w:vertAlign w:val="baseline"/>
        </w:rPr>
        <w:t>3.2.1.4);</w:t>
      </w:r>
    </w:p>
    <w:p>
      <w:pPr>
        <w:pStyle w:val="ListParagraph"/>
        <w:numPr>
          <w:ilvl w:val="0"/>
          <w:numId w:val="23"/>
        </w:numPr>
        <w:tabs>
          <w:tab w:pos="520" w:val="left" w:leader="none"/>
        </w:tabs>
        <w:spacing w:line="240" w:lineRule="auto" w:before="119" w:after="0"/>
        <w:ind w:left="519" w:right="0" w:hanging="360"/>
        <w:jc w:val="both"/>
        <w:rPr>
          <w:sz w:val="20"/>
        </w:rPr>
      </w:pPr>
      <w:r>
        <w:rPr>
          <w:sz w:val="20"/>
        </w:rPr>
        <w:t>N</w:t>
      </w:r>
      <w:r>
        <w:rPr>
          <w:sz w:val="20"/>
          <w:vertAlign w:val="subscript"/>
        </w:rPr>
        <w:t>2</w:t>
      </w:r>
      <w:r>
        <w:rPr>
          <w:sz w:val="20"/>
          <w:vertAlign w:val="baseline"/>
        </w:rPr>
        <w:t>O from managed (fertilized) forests (Section</w:t>
      </w:r>
      <w:r>
        <w:rPr>
          <w:spacing w:val="-3"/>
          <w:sz w:val="20"/>
          <w:vertAlign w:val="baseline"/>
        </w:rPr>
        <w:t> </w:t>
      </w:r>
      <w:r>
        <w:rPr>
          <w:sz w:val="20"/>
          <w:vertAlign w:val="baseline"/>
        </w:rPr>
        <w:t>3.2.1.4);</w:t>
      </w:r>
    </w:p>
    <w:p>
      <w:pPr>
        <w:pStyle w:val="ListParagraph"/>
        <w:numPr>
          <w:ilvl w:val="0"/>
          <w:numId w:val="23"/>
        </w:numPr>
        <w:tabs>
          <w:tab w:pos="520" w:val="left" w:leader="none"/>
        </w:tabs>
        <w:spacing w:line="240" w:lineRule="auto" w:before="116" w:after="0"/>
        <w:ind w:left="519" w:right="0" w:hanging="360"/>
        <w:jc w:val="both"/>
        <w:rPr>
          <w:sz w:val="20"/>
        </w:rPr>
      </w:pPr>
      <w:r>
        <w:rPr>
          <w:sz w:val="20"/>
        </w:rPr>
        <w:t>N</w:t>
      </w:r>
      <w:r>
        <w:rPr>
          <w:sz w:val="20"/>
          <w:vertAlign w:val="subscript"/>
        </w:rPr>
        <w:t>2</w:t>
      </w:r>
      <w:r>
        <w:rPr>
          <w:sz w:val="20"/>
          <w:vertAlign w:val="baseline"/>
        </w:rPr>
        <w:t>O from drainage of forest soils (Appendix</w:t>
      </w:r>
      <w:r>
        <w:rPr>
          <w:spacing w:val="-7"/>
          <w:sz w:val="20"/>
          <w:vertAlign w:val="baseline"/>
        </w:rPr>
        <w:t> </w:t>
      </w:r>
      <w:r>
        <w:rPr>
          <w:sz w:val="20"/>
          <w:vertAlign w:val="baseline"/>
        </w:rPr>
        <w:t>3a.2);</w:t>
      </w:r>
    </w:p>
    <w:p>
      <w:pPr>
        <w:pStyle w:val="ListParagraph"/>
        <w:numPr>
          <w:ilvl w:val="0"/>
          <w:numId w:val="23"/>
        </w:numPr>
        <w:tabs>
          <w:tab w:pos="520" w:val="left" w:leader="none"/>
        </w:tabs>
        <w:spacing w:line="240" w:lineRule="auto" w:before="118" w:after="0"/>
        <w:ind w:left="519" w:right="0" w:hanging="360"/>
        <w:jc w:val="both"/>
        <w:rPr>
          <w:sz w:val="20"/>
        </w:rPr>
      </w:pPr>
      <w:r>
        <w:rPr>
          <w:sz w:val="20"/>
        </w:rPr>
        <w:t>N</w:t>
      </w:r>
      <w:r>
        <w:rPr>
          <w:sz w:val="20"/>
          <w:vertAlign w:val="subscript"/>
        </w:rPr>
        <w:t>2</w:t>
      </w:r>
      <w:r>
        <w:rPr>
          <w:sz w:val="20"/>
          <w:vertAlign w:val="baseline"/>
        </w:rPr>
        <w:t>O and CH</w:t>
      </w:r>
      <w:r>
        <w:rPr>
          <w:sz w:val="20"/>
          <w:vertAlign w:val="subscript"/>
        </w:rPr>
        <w:t>4</w:t>
      </w:r>
      <w:r>
        <w:rPr>
          <w:sz w:val="20"/>
          <w:vertAlign w:val="baseline"/>
        </w:rPr>
        <w:t> from managed wetland (Appendix 3a.3);</w:t>
      </w:r>
      <w:r>
        <w:rPr>
          <w:spacing w:val="2"/>
          <w:sz w:val="20"/>
          <w:vertAlign w:val="baseline"/>
        </w:rPr>
        <w:t> </w:t>
      </w:r>
      <w:r>
        <w:rPr>
          <w:sz w:val="20"/>
          <w:vertAlign w:val="baseline"/>
        </w:rPr>
        <w:t>and</w:t>
      </w:r>
    </w:p>
    <w:p>
      <w:pPr>
        <w:pStyle w:val="ListParagraph"/>
        <w:numPr>
          <w:ilvl w:val="0"/>
          <w:numId w:val="23"/>
        </w:numPr>
        <w:tabs>
          <w:tab w:pos="520" w:val="left" w:leader="none"/>
        </w:tabs>
        <w:spacing w:line="240" w:lineRule="auto" w:before="118" w:after="0"/>
        <w:ind w:left="519" w:right="0" w:hanging="360"/>
        <w:jc w:val="both"/>
        <w:rPr>
          <w:sz w:val="20"/>
        </w:rPr>
      </w:pPr>
      <w:r>
        <w:rPr>
          <w:sz w:val="20"/>
        </w:rPr>
        <w:t>Soil emissions of N</w:t>
      </w:r>
      <w:r>
        <w:rPr>
          <w:sz w:val="20"/>
          <w:vertAlign w:val="subscript"/>
        </w:rPr>
        <w:t>2</w:t>
      </w:r>
      <w:r>
        <w:rPr>
          <w:sz w:val="20"/>
          <w:vertAlign w:val="baseline"/>
        </w:rPr>
        <w:t>O following land use conversion (Sections 3.3.2.3 and</w:t>
      </w:r>
      <w:r>
        <w:rPr>
          <w:spacing w:val="-9"/>
          <w:sz w:val="20"/>
          <w:vertAlign w:val="baseline"/>
        </w:rPr>
        <w:t> </w:t>
      </w:r>
      <w:r>
        <w:rPr>
          <w:sz w:val="20"/>
          <w:vertAlign w:val="baseline"/>
        </w:rPr>
        <w:t>3.4.2.3).</w:t>
      </w:r>
    </w:p>
    <w:p>
      <w:pPr>
        <w:pStyle w:val="BodyText"/>
        <w:rPr>
          <w:sz w:val="26"/>
        </w:rPr>
      </w:pPr>
    </w:p>
    <w:p>
      <w:pPr>
        <w:pStyle w:val="Heading2"/>
        <w:numPr>
          <w:ilvl w:val="2"/>
          <w:numId w:val="36"/>
        </w:numPr>
        <w:tabs>
          <w:tab w:pos="1362" w:val="left" w:leader="none"/>
        </w:tabs>
        <w:spacing w:line="240" w:lineRule="auto" w:before="171" w:after="0"/>
        <w:ind w:left="1361" w:right="0" w:hanging="1202"/>
        <w:jc w:val="both"/>
      </w:pPr>
      <w:r>
        <w:rPr>
          <w:spacing w:val="6"/>
        </w:rPr>
        <w:t>Tier</w:t>
      </w:r>
      <w:r>
        <w:rPr>
          <w:spacing w:val="20"/>
        </w:rPr>
        <w:t> </w:t>
      </w:r>
      <w:r>
        <w:rPr>
          <w:spacing w:val="9"/>
        </w:rPr>
        <w:t>Levels</w:t>
      </w:r>
    </w:p>
    <w:p>
      <w:pPr>
        <w:pStyle w:val="BodyText"/>
        <w:spacing w:before="114"/>
        <w:ind w:left="159" w:right="162"/>
        <w:jc w:val="both"/>
      </w:pPr>
      <w:r>
        <w:rPr/>
        <w:t>This chapter provides users with three methodological tiers for estimating greenhouse gas emissions and removals for each source. Tiers correspond to a progression from the use of simple equations with default data  to country-specific data </w:t>
      </w:r>
      <w:r>
        <w:rPr>
          <w:vertAlign w:val="superscript"/>
        </w:rPr>
        <w:t>4</w:t>
      </w:r>
      <w:r>
        <w:rPr>
          <w:vertAlign w:val="baseline"/>
        </w:rPr>
        <w:t> in more complex national systems. Three general tiers are summarised in Box 3.1.1. Tiers implicitly progress from least to greatest levels of certainty in estimates as a function of methodological complexity, regional specificity of model parameters, and spatial resolution and extent of activity data.</w:t>
      </w:r>
      <w:r>
        <w:rPr>
          <w:spacing w:val="-11"/>
          <w:vertAlign w:val="baseline"/>
        </w:rPr>
        <w:t> </w:t>
      </w:r>
      <w:r>
        <w:rPr>
          <w:vertAlign w:val="baseline"/>
        </w:rPr>
        <w:t>Complete</w:t>
      </w:r>
    </w:p>
    <w:p>
      <w:pPr>
        <w:pStyle w:val="BodyText"/>
        <w:spacing w:before="6"/>
        <w:rPr>
          <w:sz w:val="27"/>
        </w:rPr>
      </w:pPr>
      <w:r>
        <w:rPr/>
        <w:pict>
          <v:line style="position:absolute;mso-position-horizontal-relative:page;mso-position-vertical-relative:paragraph;z-index:2432;mso-wrap-distance-left:0;mso-wrap-distance-right:0" from="70.960999pt,18.072578pt" to="214.960999pt,18.072578pt" stroked="true" strokeweight=".48pt" strokecolor="#000000">
            <v:stroke dashstyle="solid"/>
            <w10:wrap type="topAndBottom"/>
          </v:line>
        </w:pict>
      </w:r>
    </w:p>
    <w:p>
      <w:pPr>
        <w:spacing w:before="150"/>
        <w:ind w:left="317" w:right="0" w:hanging="159"/>
        <w:jc w:val="left"/>
        <w:rPr>
          <w:sz w:val="18"/>
        </w:rPr>
      </w:pPr>
      <w:r>
        <w:rPr>
          <w:position w:val="8"/>
          <w:sz w:val="12"/>
        </w:rPr>
        <w:t>4 </w:t>
      </w:r>
      <w:r>
        <w:rPr>
          <w:sz w:val="18"/>
        </w:rPr>
        <w:t>Country-specific data may require subdivision to capture different ecosystems and site qualities, climatic zones and management practice within a single land category.</w:t>
      </w:r>
    </w:p>
    <w:p>
      <w:pPr>
        <w:spacing w:after="0"/>
        <w:jc w:val="left"/>
        <w:rPr>
          <w:sz w:val="18"/>
        </w:rPr>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3"/>
        <w:jc w:val="both"/>
      </w:pPr>
      <w:r>
        <w:rPr/>
        <w:pict>
          <v:shape style="position:absolute;margin-left:91.960999pt;margin-top:64.536240pt;width:411.5pt;height:300pt;mso-position-horizontal-relative:page;mso-position-vertical-relative:paragraph;z-index:2504;mso-wrap-distance-left:0;mso-wrap-distance-right:0" type="#_x0000_t202" filled="false" stroked="true" strokeweight="1.44pt" strokecolor="#000000">
            <v:textbox inset="0,0,0,0">
              <w:txbxContent>
                <w:p>
                  <w:pPr>
                    <w:spacing w:line="207" w:lineRule="exact" w:before="81"/>
                    <w:ind w:left="67" w:right="68" w:firstLine="0"/>
                    <w:jc w:val="center"/>
                    <w:rPr>
                      <w:b/>
                      <w:sz w:val="18"/>
                    </w:rPr>
                  </w:pPr>
                  <w:r>
                    <w:rPr>
                      <w:b/>
                      <w:sz w:val="18"/>
                    </w:rPr>
                    <w:t>B</w:t>
                  </w:r>
                  <w:r>
                    <w:rPr>
                      <w:b/>
                      <w:sz w:val="14"/>
                    </w:rPr>
                    <w:t>OX </w:t>
                  </w:r>
                  <w:r>
                    <w:rPr>
                      <w:b/>
                      <w:sz w:val="18"/>
                    </w:rPr>
                    <w:t>3.1.1</w:t>
                  </w:r>
                </w:p>
                <w:p>
                  <w:pPr>
                    <w:spacing w:line="207" w:lineRule="exact" w:before="0"/>
                    <w:ind w:left="1531" w:right="0" w:firstLine="0"/>
                    <w:jc w:val="left"/>
                    <w:rPr>
                      <w:b/>
                      <w:sz w:val="14"/>
                    </w:rPr>
                  </w:pPr>
                  <w:r>
                    <w:rPr>
                      <w:b/>
                      <w:sz w:val="18"/>
                    </w:rPr>
                    <w:t>F</w:t>
                  </w:r>
                  <w:r>
                    <w:rPr>
                      <w:b/>
                      <w:sz w:val="14"/>
                    </w:rPr>
                    <w:t>RAMEWORK OF TIER STRUCTURE IN THE </w:t>
                  </w:r>
                  <w:r>
                    <w:rPr>
                      <w:b/>
                      <w:sz w:val="18"/>
                    </w:rPr>
                    <w:t>G</w:t>
                  </w:r>
                  <w:r>
                    <w:rPr>
                      <w:b/>
                      <w:sz w:val="14"/>
                    </w:rPr>
                    <w:t>OOD </w:t>
                  </w:r>
                  <w:r>
                    <w:rPr>
                      <w:b/>
                      <w:sz w:val="18"/>
                    </w:rPr>
                    <w:t>P</w:t>
                  </w:r>
                  <w:r>
                    <w:rPr>
                      <w:b/>
                      <w:sz w:val="14"/>
                    </w:rPr>
                    <w:t>RACTICE </w:t>
                  </w:r>
                  <w:r>
                    <w:rPr>
                      <w:b/>
                      <w:sz w:val="18"/>
                    </w:rPr>
                    <w:t>G</w:t>
                  </w:r>
                  <w:r>
                    <w:rPr>
                      <w:b/>
                      <w:sz w:val="14"/>
                    </w:rPr>
                    <w:t>UIDANCE</w:t>
                  </w:r>
                </w:p>
                <w:p>
                  <w:pPr>
                    <w:pStyle w:val="BodyText"/>
                    <w:spacing w:before="113"/>
                    <w:ind w:left="127" w:right="123"/>
                    <w:jc w:val="both"/>
                  </w:pPr>
                  <w:r>
                    <w:rPr/>
                    <w:t>The </w:t>
                  </w:r>
                  <w:r>
                    <w:rPr>
                      <w:b/>
                    </w:rPr>
                    <w:t>Tier 1 </w:t>
                  </w:r>
                  <w:r>
                    <w:rPr/>
                    <w:t>approach employs the basic method provided in the </w:t>
                  </w:r>
                  <w:r>
                    <w:rPr>
                      <w:i/>
                    </w:rPr>
                    <w:t>IPCC Guidelines </w:t>
                  </w:r>
                  <w:r>
                    <w:rPr/>
                    <w:t>(Workbook) and the default emission factors provided in the </w:t>
                  </w:r>
                  <w:r>
                    <w:rPr>
                      <w:i/>
                    </w:rPr>
                    <w:t>IPCC Guidelines </w:t>
                  </w:r>
                  <w:r>
                    <w:rPr/>
                    <w:t>(Workbook and Reference Manual) with updates in this chapter of the report. For some land uses and pools that were only mentioned in the </w:t>
                  </w:r>
                  <w:r>
                    <w:rPr>
                      <w:i/>
                    </w:rPr>
                    <w:t>IPCC Guidelines </w:t>
                  </w:r>
                  <w:r>
                    <w:rPr/>
                    <w:t>(i.e., the default was an assumed zero emissions or removals), updates are included in this report if new scientific information is available. Tier 1 methodologies usually use activity data that are spatially coarse, such as nationally or globally available estimates of deforestation rates, agricultural production statistics, and global land cover</w:t>
                  </w:r>
                  <w:r>
                    <w:rPr>
                      <w:spacing w:val="-3"/>
                    </w:rPr>
                    <w:t> </w:t>
                  </w:r>
                  <w:r>
                    <w:rPr/>
                    <w:t>maps.</w:t>
                  </w:r>
                </w:p>
                <w:p>
                  <w:pPr>
                    <w:pStyle w:val="BodyText"/>
                    <w:spacing w:before="121"/>
                    <w:ind w:left="127" w:right="123"/>
                    <w:jc w:val="both"/>
                  </w:pPr>
                  <w:r>
                    <w:rPr>
                      <w:b/>
                    </w:rPr>
                    <w:t>Tier 2 </w:t>
                  </w:r>
                  <w:r>
                    <w:rPr/>
                    <w:t>can use the same methodological approach as Tier 1 but applies emission factors and activity data which are defined by the country for the most important land uses/activities. Tier 2 can also apply stock change methodologies based on country-specific data. Country-defined emission factors/activity data are more appropriate for the climatic regions and land use systems in that country. Higher resolution activity data are typically used in Tier 2 to correspond with country-defined coefficients for specific regions and specialised land-use</w:t>
                  </w:r>
                  <w:r>
                    <w:rPr>
                      <w:spacing w:val="-11"/>
                    </w:rPr>
                    <w:t> </w:t>
                  </w:r>
                  <w:r>
                    <w:rPr/>
                    <w:t>categories.</w:t>
                  </w:r>
                </w:p>
                <w:p>
                  <w:pPr>
                    <w:pStyle w:val="BodyText"/>
                    <w:spacing w:before="117"/>
                    <w:ind w:left="127" w:right="122"/>
                    <w:jc w:val="both"/>
                  </w:pPr>
                  <w:r>
                    <w:rPr/>
                    <w:t>At </w:t>
                  </w:r>
                  <w:r>
                    <w:rPr>
                      <w:b/>
                    </w:rPr>
                    <w:t>Tier 3</w:t>
                  </w:r>
                  <w:r>
                    <w:rPr/>
                    <w:t>, higher order methods are used including models and inventory measurement systems tailored to address national circumstances, repeated over time, and driven by high-resolution activity data and disaggregated at sub-national to fine grid scales. These higher order methods provide estimates of greater certainty than lower tiers and have a closer link between biomass and soil dynamics. Such systems may be GIS-based combinations of age, class/production data systems with connections to soil modules, integrating several types of monitoring. Pieces of land where a land-use change occurs can be tracked over time. In most cases these systems have a climate dependency, and thus provide source estimates with interannual variability. Models should undergo quality checks, audits, and</w:t>
                  </w:r>
                  <w:r>
                    <w:rPr>
                      <w:spacing w:val="-5"/>
                    </w:rPr>
                    <w:t> </w:t>
                  </w:r>
                  <w:r>
                    <w:rPr/>
                    <w:t>validations.</w:t>
                  </w:r>
                </w:p>
              </w:txbxContent>
            </v:textbox>
            <v:stroke dashstyle="solid"/>
            <w10:wrap type="topAndBottom"/>
          </v:shape>
        </w:pict>
      </w:r>
      <w:r>
        <w:rPr/>
        <w:t>guidance is provided for the implementation of Tier 1. Regardless of tier level, countries should document what tiers were used for various categories and pools as well as the emission factors, and activity data used to prepare the estimate. For higher tiers, inventory agencies may need to provide additional documentation to support decisions to use more sophisticated methodologies or country-defined parameters. Moving from lower to higher tiers will usually require increased resources, and institutional and technical capacity.</w:t>
      </w:r>
    </w:p>
    <w:p>
      <w:pPr>
        <w:pStyle w:val="BodyText"/>
      </w:pPr>
    </w:p>
    <w:p>
      <w:pPr>
        <w:pStyle w:val="Heading2"/>
        <w:numPr>
          <w:ilvl w:val="2"/>
          <w:numId w:val="36"/>
        </w:numPr>
        <w:tabs>
          <w:tab w:pos="1362" w:val="left" w:leader="none"/>
        </w:tabs>
        <w:spacing w:line="240" w:lineRule="auto" w:before="219" w:after="0"/>
        <w:ind w:left="1361" w:right="0" w:hanging="1202"/>
        <w:jc w:val="both"/>
      </w:pPr>
      <w:r>
        <w:rPr>
          <w:spacing w:val="8"/>
        </w:rPr>
        <w:t>Choice </w:t>
      </w:r>
      <w:r>
        <w:rPr>
          <w:spacing w:val="5"/>
        </w:rPr>
        <w:t>of</w:t>
      </w:r>
      <w:r>
        <w:rPr>
          <w:spacing w:val="29"/>
        </w:rPr>
        <w:t> </w:t>
      </w:r>
      <w:r>
        <w:rPr>
          <w:spacing w:val="8"/>
        </w:rPr>
        <w:t>Method</w:t>
      </w:r>
    </w:p>
    <w:p>
      <w:pPr>
        <w:pStyle w:val="BodyText"/>
        <w:spacing w:before="116"/>
        <w:ind w:left="159" w:right="162"/>
        <w:jc w:val="both"/>
      </w:pPr>
      <w:r>
        <w:rPr/>
        <w:t>It is </w:t>
      </w:r>
      <w:r>
        <w:rPr>
          <w:i/>
        </w:rPr>
        <w:t>good practice </w:t>
      </w:r>
      <w:r>
        <w:rPr/>
        <w:t>to use methods that provide the highest levels of certainty, while using available resources as efficiently as possible. The decision about what tier to use and where to expand resources for inventory improvement should take into account whether the land use is a key category, as described in Chapter 5, Section</w:t>
      </w:r>
    </w:p>
    <w:p>
      <w:pPr>
        <w:pStyle w:val="BodyText"/>
        <w:ind w:left="159" w:right="162"/>
        <w:jc w:val="both"/>
      </w:pPr>
      <w:r>
        <w:rPr/>
        <w:t>5.4 in this report. Guidance on methodological choice is provided in a set of decision trees, which are designed  to assess whether a source/sink category is a key category and which pools within a key category are considered significant. Decision trees are applied at the sub-category level which corresponds roughly to carbon pools and sources of non-CO</w:t>
      </w:r>
      <w:r>
        <w:rPr>
          <w:vertAlign w:val="subscript"/>
        </w:rPr>
        <w:t>2</w:t>
      </w:r>
      <w:r>
        <w:rPr>
          <w:vertAlign w:val="baseline"/>
        </w:rPr>
        <w:t> gases (see Table 3.1.3 for a list of subcategories). It is important to note that the key  category analysis is an iterative process and that initial estimates are needed for each sub-category to perform the analysis. Figure 3.1.1 provides a generic decision tree to determine the appropriate methodological tier for lands that begin and end an inventory period in the same use. This decision tree should be applied to subcategories described in Sections 3.2.1, 3.3.1, 3.4.1, 3.5.1, 3.6.1, and 3.7.1. The figure uses Section 3.2.1, Forest land Remaining Forest land, as an example. Figure 3.1.2 provides a generic decision tree to determine the appropriate methodological tier for lands that changes uses during the inventory period, using Section 3.2.2, Lands Converted to Forest land, as an example. This decision tree should be applied to subcategories described in Sections 3.2.2., 3.3.2, 3.4.2, 3.5.2., 3.6.2., and</w:t>
      </w:r>
      <w:r>
        <w:rPr>
          <w:spacing w:val="-4"/>
          <w:vertAlign w:val="baseline"/>
        </w:rPr>
        <w:t> </w:t>
      </w:r>
      <w:r>
        <w:rPr>
          <w:vertAlign w:val="baseline"/>
        </w:rPr>
        <w:t>3.7.2.</w:t>
      </w:r>
    </w:p>
    <w:p>
      <w:pPr>
        <w:pStyle w:val="BodyText"/>
        <w:spacing w:before="117"/>
        <w:ind w:left="159" w:right="165"/>
        <w:jc w:val="both"/>
      </w:pPr>
      <w:r>
        <w:rPr/>
        <w:t>The abbreviations FF, GG, CC, WW, SS, OO used in Figure 3.1.1 denote land-use categories undergoing no conversions; and the abbreviations LF, LG, LC, LW, LS, LO in Figure 3.1.2 denote land conversions to these land-use categories:</w:t>
      </w:r>
    </w:p>
    <w:p>
      <w:pPr>
        <w:pStyle w:val="BodyText"/>
        <w:tabs>
          <w:tab w:pos="1246" w:val="left" w:leader="none"/>
          <w:tab w:pos="1606" w:val="left" w:leader="none"/>
          <w:tab w:pos="5227" w:val="left" w:leader="none"/>
          <w:tab w:pos="5770" w:val="left" w:leader="none"/>
          <w:tab w:pos="6132" w:val="left" w:leader="none"/>
        </w:tabs>
        <w:spacing w:before="119"/>
        <w:ind w:left="725" w:right="849"/>
      </w:pPr>
      <w:r>
        <w:rPr/>
        <w:t>FF</w:t>
        <w:tab/>
        <w:t>=</w:t>
        <w:tab/>
        <w:t>forest land remaining</w:t>
      </w:r>
      <w:r>
        <w:rPr>
          <w:spacing w:val="-6"/>
        </w:rPr>
        <w:t> </w:t>
      </w:r>
      <w:r>
        <w:rPr/>
        <w:t>forest</w:t>
      </w:r>
      <w:r>
        <w:rPr>
          <w:spacing w:val="-2"/>
        </w:rPr>
        <w:t> </w:t>
      </w:r>
      <w:r>
        <w:rPr/>
        <w:t>land</w:t>
        <w:tab/>
        <w:t>LF</w:t>
        <w:tab/>
        <w:t>=</w:t>
        <w:tab/>
        <w:t>lands converted to forest land GG</w:t>
        <w:tab/>
        <w:t>=</w:t>
        <w:tab/>
        <w:t>grassland</w:t>
      </w:r>
      <w:r>
        <w:rPr>
          <w:spacing w:val="-5"/>
        </w:rPr>
        <w:t> </w:t>
      </w:r>
      <w:r>
        <w:rPr/>
        <w:t>remaining</w:t>
      </w:r>
      <w:r>
        <w:rPr>
          <w:spacing w:val="-5"/>
        </w:rPr>
        <w:t> </w:t>
      </w:r>
      <w:r>
        <w:rPr/>
        <w:t>grassland</w:t>
        <w:tab/>
        <w:t>LG</w:t>
        <w:tab/>
        <w:t>=</w:t>
        <w:tab/>
        <w:t>lands converted to grassland CC</w:t>
        <w:tab/>
        <w:t>=</w:t>
        <w:tab/>
        <w:t>cropland</w:t>
      </w:r>
      <w:r>
        <w:rPr>
          <w:spacing w:val="-4"/>
        </w:rPr>
        <w:t> </w:t>
      </w:r>
      <w:r>
        <w:rPr/>
        <w:t>remaining</w:t>
      </w:r>
      <w:r>
        <w:rPr>
          <w:spacing w:val="-5"/>
        </w:rPr>
        <w:t> </w:t>
      </w:r>
      <w:r>
        <w:rPr/>
        <w:t>cropland</w:t>
        <w:tab/>
        <w:t>LC</w:t>
        <w:tab/>
        <w:t>=</w:t>
        <w:tab/>
        <w:t>lands converted to cropland WW </w:t>
      </w:r>
      <w:r>
        <w:rPr>
          <w:spacing w:val="42"/>
        </w:rPr>
        <w:t> </w:t>
      </w:r>
      <w:r>
        <w:rPr/>
        <w:t>=</w:t>
        <w:tab/>
        <w:t>wetlands</w:t>
      </w:r>
      <w:r>
        <w:rPr>
          <w:spacing w:val="-4"/>
        </w:rPr>
        <w:t> </w:t>
      </w:r>
      <w:r>
        <w:rPr/>
        <w:t>remaining</w:t>
      </w:r>
      <w:r>
        <w:rPr>
          <w:spacing w:val="-2"/>
        </w:rPr>
        <w:t> </w:t>
      </w:r>
      <w:r>
        <w:rPr/>
        <w:t>wetlands</w:t>
        <w:tab/>
        <w:t>LW</w:t>
        <w:tab/>
        <w:t>=</w:t>
        <w:tab/>
        <w:t>lands converted to wetlands SS</w:t>
        <w:tab/>
        <w:t>=</w:t>
        <w:tab/>
        <w:t>settlements</w:t>
      </w:r>
      <w:r>
        <w:rPr>
          <w:spacing w:val="-5"/>
        </w:rPr>
        <w:t> </w:t>
      </w:r>
      <w:r>
        <w:rPr/>
        <w:t>remaining</w:t>
      </w:r>
      <w:r>
        <w:rPr>
          <w:spacing w:val="-5"/>
        </w:rPr>
        <w:t> </w:t>
      </w:r>
      <w:r>
        <w:rPr/>
        <w:t>settlements</w:t>
        <w:tab/>
        <w:t>LS</w:t>
        <w:tab/>
        <w:t>=</w:t>
        <w:tab/>
        <w:t>lands converted to</w:t>
      </w:r>
      <w:r>
        <w:rPr>
          <w:spacing w:val="-12"/>
        </w:rPr>
        <w:t> </w:t>
      </w:r>
      <w:r>
        <w:rPr/>
        <w:t>settlements OO</w:t>
        <w:tab/>
        <w:t>=</w:t>
        <w:tab/>
        <w:t>other land remaining</w:t>
      </w:r>
      <w:r>
        <w:rPr>
          <w:spacing w:val="-7"/>
        </w:rPr>
        <w:t> </w:t>
      </w:r>
      <w:r>
        <w:rPr/>
        <w:t>other</w:t>
      </w:r>
      <w:r>
        <w:rPr>
          <w:spacing w:val="-1"/>
        </w:rPr>
        <w:t> </w:t>
      </w:r>
      <w:r>
        <w:rPr/>
        <w:t>land</w:t>
        <w:tab/>
        <w:t>LO</w:t>
        <w:tab/>
        <w:t>=</w:t>
        <w:tab/>
        <w:t>lands converted to other</w:t>
      </w:r>
      <w:r>
        <w:rPr>
          <w:spacing w:val="-11"/>
        </w:rPr>
        <w:t> </w:t>
      </w:r>
      <w:r>
        <w:rPr/>
        <w:t>land</w:t>
      </w:r>
    </w:p>
    <w:p>
      <w:pPr>
        <w:pStyle w:val="BodyText"/>
        <w:spacing w:before="120"/>
        <w:ind w:left="159"/>
        <w:jc w:val="both"/>
      </w:pPr>
      <w:r>
        <w:rPr/>
        <w:t>These abbreviations have been used throughout Chapter 3 as subscripts for symbols in the equations.</w:t>
      </w:r>
    </w:p>
    <w:p>
      <w:pPr>
        <w:spacing w:after="0"/>
        <w:jc w:val="both"/>
        <w:sectPr>
          <w:pgSz w:w="11900" w:h="16840"/>
          <w:pgMar w:header="230" w:footer="408" w:top="560" w:bottom="600" w:left="1260" w:right="1240"/>
        </w:sectPr>
      </w:pPr>
    </w:p>
    <w:p>
      <w:pPr>
        <w:pStyle w:val="BodyText"/>
      </w:pPr>
    </w:p>
    <w:p>
      <w:pPr>
        <w:pStyle w:val="BodyText"/>
      </w:pPr>
    </w:p>
    <w:p>
      <w:pPr>
        <w:pStyle w:val="BodyText"/>
        <w:spacing w:before="7"/>
        <w:rPr>
          <w:sz w:val="22"/>
        </w:rPr>
      </w:pPr>
    </w:p>
    <w:p>
      <w:pPr>
        <w:tabs>
          <w:tab w:pos="1859" w:val="left" w:leader="none"/>
        </w:tabs>
        <w:spacing w:before="0"/>
        <w:ind w:left="1860" w:right="177" w:hanging="1702"/>
        <w:jc w:val="both"/>
        <w:rPr>
          <w:b/>
          <w:sz w:val="20"/>
        </w:rPr>
      </w:pPr>
      <w:r>
        <w:rPr>
          <w:b/>
          <w:spacing w:val="8"/>
          <w:sz w:val="20"/>
        </w:rPr>
        <w:t>Figure</w:t>
      </w:r>
      <w:r>
        <w:rPr>
          <w:b/>
          <w:spacing w:val="19"/>
          <w:sz w:val="20"/>
        </w:rPr>
        <w:t> </w:t>
      </w:r>
      <w:r>
        <w:rPr>
          <w:b/>
          <w:spacing w:val="8"/>
          <w:sz w:val="20"/>
        </w:rPr>
        <w:t>3.1.1</w:t>
        <w:tab/>
        <w:t>Decision tree </w:t>
      </w:r>
      <w:r>
        <w:rPr>
          <w:b/>
          <w:spacing w:val="6"/>
          <w:sz w:val="20"/>
        </w:rPr>
        <w:t>for </w:t>
      </w:r>
      <w:r>
        <w:rPr>
          <w:b/>
          <w:spacing w:val="9"/>
          <w:sz w:val="20"/>
        </w:rPr>
        <w:t>identification </w:t>
      </w:r>
      <w:r>
        <w:rPr>
          <w:b/>
          <w:spacing w:val="5"/>
          <w:sz w:val="20"/>
        </w:rPr>
        <w:t>of </w:t>
      </w:r>
      <w:r>
        <w:rPr>
          <w:b/>
          <w:spacing w:val="9"/>
          <w:sz w:val="20"/>
        </w:rPr>
        <w:t>appropriate tier-level </w:t>
      </w:r>
      <w:r>
        <w:rPr>
          <w:b/>
          <w:spacing w:val="6"/>
          <w:sz w:val="20"/>
        </w:rPr>
        <w:t>for </w:t>
      </w:r>
      <w:r>
        <w:rPr>
          <w:b/>
          <w:spacing w:val="8"/>
          <w:sz w:val="20"/>
        </w:rPr>
        <w:t>land </w:t>
      </w:r>
      <w:r>
        <w:rPr>
          <w:b/>
          <w:spacing w:val="9"/>
          <w:sz w:val="20"/>
        </w:rPr>
        <w:t>remaining </w:t>
      </w:r>
      <w:r>
        <w:rPr>
          <w:b/>
          <w:spacing w:val="5"/>
          <w:sz w:val="20"/>
        </w:rPr>
        <w:t>in </w:t>
      </w:r>
      <w:r>
        <w:rPr>
          <w:b/>
          <w:spacing w:val="6"/>
          <w:sz w:val="20"/>
        </w:rPr>
        <w:t>the </w:t>
      </w:r>
      <w:r>
        <w:rPr>
          <w:b/>
          <w:spacing w:val="7"/>
          <w:sz w:val="20"/>
        </w:rPr>
        <w:t>same land </w:t>
      </w:r>
      <w:r>
        <w:rPr>
          <w:b/>
          <w:spacing w:val="6"/>
          <w:sz w:val="20"/>
        </w:rPr>
        <w:t>use </w:t>
      </w:r>
      <w:r>
        <w:rPr>
          <w:b/>
          <w:spacing w:val="9"/>
          <w:sz w:val="20"/>
        </w:rPr>
        <w:t>category </w:t>
      </w:r>
      <w:r>
        <w:rPr>
          <w:b/>
          <w:spacing w:val="8"/>
          <w:sz w:val="20"/>
        </w:rPr>
        <w:t>(example given </w:t>
      </w:r>
      <w:r>
        <w:rPr>
          <w:b/>
          <w:spacing w:val="6"/>
          <w:sz w:val="20"/>
        </w:rPr>
        <w:t>for </w:t>
      </w:r>
      <w:r>
        <w:rPr>
          <w:b/>
          <w:spacing w:val="8"/>
          <w:sz w:val="20"/>
        </w:rPr>
        <w:t>forest land </w:t>
      </w:r>
      <w:r>
        <w:rPr>
          <w:b/>
          <w:spacing w:val="9"/>
          <w:sz w:val="20"/>
        </w:rPr>
        <w:t>remaining </w:t>
      </w:r>
      <w:r>
        <w:rPr>
          <w:b/>
          <w:spacing w:val="8"/>
          <w:sz w:val="20"/>
        </w:rPr>
        <w:t>forest </w:t>
      </w:r>
      <w:r>
        <w:rPr>
          <w:b/>
          <w:spacing w:val="7"/>
          <w:sz w:val="20"/>
        </w:rPr>
        <w:t>land,</w:t>
      </w:r>
      <w:r>
        <w:rPr>
          <w:b/>
          <w:spacing w:val="19"/>
          <w:sz w:val="20"/>
        </w:rPr>
        <w:t> </w:t>
      </w:r>
      <w:r>
        <w:rPr>
          <w:b/>
          <w:spacing w:val="6"/>
          <w:sz w:val="20"/>
        </w:rPr>
        <w:t>FF)</w:t>
      </w:r>
    </w:p>
    <w:p>
      <w:pPr>
        <w:pStyle w:val="BodyText"/>
        <w:spacing w:before="10"/>
        <w:rPr>
          <w:b/>
          <w:sz w:val="16"/>
        </w:rPr>
      </w:pPr>
      <w:r>
        <w:rPr/>
        <w:pict>
          <v:group style="position:absolute;margin-left:77.066002pt;margin-top:11.675957pt;width:447.55pt;height:553.75pt;mso-position-horizontal-relative:page;mso-position-vertical-relative:paragraph;z-index:3056;mso-wrap-distance-left:0;mso-wrap-distance-right:0" coordorigin="1541,234" coordsize="8951,11075">
            <v:shape style="position:absolute;left:1836;top:3874;width:2448;height:7126" coordorigin="1837,3875" coordsize="2448,7126" path="m4285,11000l1837,11000,1837,3875e" filled="false" stroked="true" strokeweight=".75pt" strokecolor="#010101">
              <v:path arrowok="t"/>
              <v:stroke dashstyle="solid"/>
            </v:shape>
            <v:line style="position:absolute" from="4285,3875" to="1837,3875" stroked="true" strokeweight=".75pt" strokecolor="#010101">
              <v:stroke dashstyle="solid"/>
            </v:line>
            <v:line style="position:absolute" from="1693,2336" to="1693,11142" stroked="true" strokeweight=".75pt" strokecolor="#010101">
              <v:stroke dashstyle="solid"/>
            </v:line>
            <v:shape style="position:absolute;left:1548;top:241;width:3888;height:11040" coordorigin="1549,241" coordsize="3888,11040" path="m5437,241l1549,241,1549,11281e" filled="false" stroked="true" strokeweight=".75pt" strokecolor="#010101">
              <v:path arrowok="t"/>
              <v:stroke dashstyle="solid"/>
            </v:shape>
            <v:line style="position:absolute" from="4861,11142" to="1693,11142" stroked="true" strokeweight=".75pt" strokecolor="#010101">
              <v:stroke dashstyle="solid"/>
            </v:line>
            <v:line style="position:absolute" from="4861,2336" to="1693,2336" stroked="true" strokeweight=".75pt" strokecolor="#010101">
              <v:stroke dashstyle="solid"/>
            </v:line>
            <v:shape style="position:absolute;left:4505;top:603;width:2040;height:1260" coordorigin="4506,603" coordsize="2040,1260" path="m5526,603l4506,1232,5526,1863,6546,1232,5526,603xe" filled="true" fillcolor="#ffffff" stroked="false">
              <v:path arrowok="t"/>
              <v:fill type="solid"/>
            </v:shape>
            <v:shape style="position:absolute;left:4505;top:603;width:2040;height:1260" coordorigin="4506,603" coordsize="2040,1260" path="m5526,603l4506,1232,5526,1863,6546,1232,5526,603xe" filled="false" stroked="true" strokeweight=".75pt" strokecolor="#010101">
              <v:path arrowok="t"/>
              <v:stroke dashstyle="solid"/>
            </v:shape>
            <v:shape style="position:absolute;left:6538;top:1167;width:1119;height:120" coordorigin="6538,1167" coordsize="1119,120" path="m7647,1220l7561,1220,7563,1223,7563,1230,7561,1235,7537,1235,7537,1287,7657,1225,7647,1220xm7537,1220l6546,1225,6543,1225,6538,1230,6538,1237,6543,1242,7537,1235,7537,1220xm7561,1220l7537,1220,7537,1235,7561,1235,7563,1230,7563,1223,7561,1220xm7537,1167l7537,1220,7647,1220,7537,1167xe" filled="true" fillcolor="#010101" stroked="false">
              <v:path arrowok="t"/>
              <v:fill type="solid"/>
            </v:shape>
            <v:shape style="position:absolute;left:4505;top:2593;width:2040;height:1260" coordorigin="4506,2593" coordsize="2040,1260" path="m5526,2593l4506,3224,5526,3853,6546,3224,5526,2593xe" filled="true" fillcolor="#ffffff" stroked="false">
              <v:path arrowok="t"/>
              <v:fill type="solid"/>
            </v:shape>
            <v:shape style="position:absolute;left:4505;top:2593;width:2040;height:1260" coordorigin="4506,2593" coordsize="2040,1260" path="m5526,2593l4506,3224,5526,3853,6546,3224,5526,2593xe" filled="false" stroked="true" strokeweight=".75pt" strokecolor="#010101">
              <v:path arrowok="t"/>
              <v:stroke dashstyle="solid"/>
            </v:shape>
            <v:shape style="position:absolute;left:6538;top:3164;width:1119;height:120" coordorigin="6538,3164" coordsize="1119,120" path="m7537,3217l7537,3284,7642,3231,7561,3231,7563,3229,7563,3219,7561,3217,7537,3217xm6546,3215l6543,3215,6538,3219,6538,3227,6543,3231,7537,3231,7537,3217,6546,3215xm7537,3164l7537,3217,7556,3217,7561,3217,7563,3219,7563,3229,7561,3231,7642,3231,7657,3224,7537,3164xe" filled="true" fillcolor="#010101" stroked="false">
              <v:path arrowok="t"/>
              <v:fill type="solid"/>
            </v:shape>
            <v:shape style="position:absolute;left:5468;top:1856;width:120;height:737" coordorigin="5468,1856" coordsize="120,737" path="m5521,2473l5468,2473,5528,2593,5574,2502,5523,2502,5521,2497,5521,2473xm5530,1856l5523,1856,5518,1859,5521,2497,5523,2502,5533,2502,5535,2497,5535,1859,5530,1856xm5588,2473l5535,2473,5535,2497,5533,2502,5574,2502,5588,2473xe" filled="true" fillcolor="#010101" stroked="false">
              <v:path arrowok="t"/>
              <v:fill type="solid"/>
            </v:shape>
            <v:shape style="position:absolute;left:3963;top:4222;width:3120;height:1800" coordorigin="3963,4223" coordsize="3120,1800" path="m5523,4223l3963,5123,5523,6023,7083,5123,5523,4223xe" filled="true" fillcolor="#ffffff" stroked="false">
              <v:path arrowok="t"/>
              <v:fill type="solid"/>
            </v:shape>
            <v:shape style="position:absolute;left:3963;top:4222;width:3120;height:1800" coordorigin="3963,4223" coordsize="3120,1800" path="m5523,4223l3963,5123,5523,6023,7083,5123,5523,4223xe" filled="false" stroked="true" strokeweight=".75pt" strokecolor="#010101">
              <v:path arrowok="t"/>
              <v:stroke dashstyle="solid"/>
            </v:shape>
            <v:shape style="position:absolute;left:7402;top:4585;width:2040;height:1085" coordorigin="7402,4585" coordsize="2040,1085" path="m8422,4585l7402,5127,8422,5670,9442,5127,8422,4585xe" filled="false" stroked="true" strokeweight=".75pt" strokecolor="#010101">
              <v:path arrowok="t"/>
              <v:stroke dashstyle="solid"/>
            </v:shape>
            <v:shape style="position:absolute;left:7076;top:5067;width:327;height:120" type="#_x0000_t75" stroked="false">
              <v:imagedata r:id="rId109" o:title=""/>
            </v:shape>
            <v:shape style="position:absolute;left:5468;top:3845;width:120;height:377" type="#_x0000_t75" stroked="false">
              <v:imagedata r:id="rId110" o:title=""/>
            </v:shape>
            <v:shape style="position:absolute;left:4505;top:6212;width:2040;height:1088" coordorigin="4506,6212" coordsize="2040,1088" path="m5526,6212l4506,6757,5526,7299,6546,6757,5526,6212xe" filled="true" fillcolor="#ffffff" stroked="false">
              <v:path arrowok="t"/>
              <v:fill type="solid"/>
            </v:shape>
            <v:shape style="position:absolute;left:4505;top:6212;width:2040;height:1088" coordorigin="4506,6212" coordsize="2040,1088" path="m5526,6212l4506,6757,5526,7299,6546,6757,5526,6212xe" filled="false" stroked="true" strokeweight=".75pt" strokecolor="#010101">
              <v:path arrowok="t"/>
              <v:stroke dashstyle="solid"/>
            </v:shape>
            <v:shape style="position:absolute;left:5463;top:6015;width:120;height:197" type="#_x0000_t75" stroked="false">
              <v:imagedata r:id="rId111" o:title=""/>
            </v:shape>
            <v:shape style="position:absolute;left:4143;top:7844;width:2765;height:1628" coordorigin="4143,7844" coordsize="2765,1628" path="m5526,7844l4143,8658,5526,9471,6908,8658,5526,7844xe" filled="true" fillcolor="#ffffff" stroked="false">
              <v:path arrowok="t"/>
              <v:fill type="solid"/>
            </v:shape>
            <v:shape style="position:absolute;left:4143;top:7844;width:2765;height:1628" coordorigin="4143,7844" coordsize="2765,1628" path="m5526,7844l4143,8658,5526,9471,6908,8658,5526,7844xe" filled="false" stroked="true" strokeweight=".75pt" strokecolor="#010101">
              <v:path arrowok="t"/>
              <v:stroke dashstyle="solid"/>
            </v:shape>
            <v:shape style="position:absolute;left:5468;top:7292;width:120;height:552" coordorigin="5468,7292" coordsize="120,552" path="m5521,7724l5468,7724,5528,7844,5575,7751,5523,7751,5521,7748,5521,7724xm5530,7292l5523,7292,5518,7295,5518,7299,5521,7724,5521,7748,5523,7751,5533,7751,5535,7748,5535,7295,5530,7292xm5588,7724l5535,7724,5535,7748,5533,7751,5575,7751,5588,7724xe" filled="true" fillcolor="#010101" stroked="false">
              <v:path arrowok="t"/>
              <v:fill type="solid"/>
            </v:shape>
            <v:rect style="position:absolute;left:2513;top:7117;width:1810;height:725" filled="true" fillcolor="#ffffff" stroked="false">
              <v:fill type="solid"/>
            </v:rect>
            <v:shape style="position:absolute;left:3360;top:6749;width:1155;height:368" coordorigin="3361,6750" coordsize="1155,368" path="m3411,6997l3361,6997,3421,7117,3466,7026,3416,7026,3411,7023,3411,6997xm4510,6750l3416,6750,3411,6752,3411,7023,3416,7026,3423,7026,3428,7023,3428,6764,3421,6764,3428,6757,4515,6757,4515,6752,4510,6750xm3481,6997l3428,6997,3428,7023,3423,7026,3466,7026,3481,6997xm3428,6757l3421,6764,3428,6764,3428,6757xm4515,6757l3428,6757,3428,6764,4510,6764,4515,6759,4515,6757xe" filled="true" fillcolor="#010101" stroked="false">
              <v:path arrowok="t"/>
              <v:fill type="solid"/>
            </v:shape>
            <v:shape style="position:absolute;left:4318;top:7421;width:1188;height:120" coordorigin="4318,7422" coordsize="1188,120" path="m5386,7489l5386,7542,5492,7489,5410,7489,5386,7489xm5386,7475l5386,7489,5410,7489,5415,7484,5415,7477,5410,7475,5386,7475xm5386,7422l5386,7475,5406,7475,5410,7475,5415,7477,5415,7484,5410,7489,5492,7489,5506,7482,5386,7422xm4326,7472l4321,7472,4318,7477,4318,7484,4321,7487,5386,7489,5386,7475,4326,7472xe" filled="true" fillcolor="#010101" stroked="false">
              <v:path arrowok="t"/>
              <v:fill type="solid"/>
            </v:shape>
            <v:line style="position:absolute" from="8413,5653" to="8413,7479" stroked="true" strokeweight=".75pt" strokecolor="#010101">
              <v:stroke dashstyle="solid"/>
            </v:line>
            <v:shape style="position:absolute;left:5532;top:7421;width:2888;height:120" coordorigin="5533,7422" coordsize="2888,120" path="m5653,7422l5533,7482,5653,7542,5653,7489,5629,7489,5626,7484,5626,7477,5629,7475,5653,7475,5653,7422xm5653,7475l5629,7475,5626,7477,5626,7484,5629,7489,5653,7489,5653,7475xm5653,7489l5634,7489,5653,7489,5653,7489xm8418,7472l5653,7475,5653,7489,8418,7487,8420,7484,8420,7477,8418,7472xe" filled="true" fillcolor="#010101" stroked="false">
              <v:path arrowok="t"/>
              <v:fill type="solid"/>
            </v:shape>
            <v:rect style="position:absolute;left:2696;top:9469;width:2170;height:1268" filled="true" fillcolor="#ffffff" stroked="false">
              <v:fill type="solid"/>
            </v:rect>
            <v:shape style="position:absolute;left:3723;top:8650;width:428;height:809" coordorigin="3723,8651" coordsize="428,809" path="m3776,9339l3723,9339,3783,9459,3830,9366,3778,9366,3776,9363,3776,9339xm4148,8651l3778,8651,3776,8653,3776,9363,3778,9366,3788,9366,3790,9363,3790,8665,3783,8665,3790,8658,4150,8658,4150,8653,4148,8651xm3843,9339l3790,9339,3790,9363,3788,9366,3830,9366,3843,9339xm3790,8658l3783,8665,3790,8665,3790,8658xm4150,8658l3790,8658,3790,8665,4148,8665,4150,8663,4150,8658xe" filled="true" fillcolor="#010101" stroked="false">
              <v:path arrowok="t"/>
              <v:fill type="solid"/>
            </v:shape>
            <v:shape style="position:absolute;left:6900;top:8650;width:382;height:809" coordorigin="6901,8651" coordsize="382,809" path="m7215,9339l7162,9339,7222,9459,7269,9366,7218,9366,7215,9363,7215,9339xm7215,8658l7215,9363,7218,9366,7225,9366,7230,9363,7230,8665,7222,8665,7215,8658xm7282,9339l7230,9339,7230,9363,7225,9366,7269,9366,7282,9339xm7225,8651l6906,8651,6901,8653,6901,8663,6906,8665,7215,8665,7215,8658,7230,8658,7230,8653,7225,8651xm7230,8658l7215,8658,7222,8665,7230,8665,7230,8658xe" filled="true" fillcolor="#010101" stroked="false">
              <v:path arrowok="t"/>
              <v:fill type="solid"/>
            </v:shape>
            <v:shape style="position:absolute;left:9435;top:5120;width:200;height:4340" coordorigin="9435,5120" coordsize="200,4340" path="m9567,9339l9514,9339,9574,9459,9621,9366,9570,9366,9567,9363,9567,9339xm9567,5127l9567,9363,9570,9366,9577,9366,9582,9363,9582,5135,9574,5135,9567,5127xm9634,9339l9582,9339,9582,9363,9577,9366,9621,9366,9634,9339xm9577,5120l9438,5120,9435,5125,9435,5132,9438,5135,9567,5135,9567,5127,9582,5127,9582,5125,9577,5120xm9582,5127l9567,5127,9574,5135,9582,5135,9582,5127xe" filled="true" fillcolor="#010101" stroked="false">
              <v:path arrowok="t"/>
              <v:fill type="solid"/>
            </v:shape>
            <v:line style="position:absolute" from="1558,11300" to="5178,11300" stroked="true" strokeweight=".75pt" strokecolor="#010101">
              <v:stroke dashstyle="solid"/>
            </v:line>
            <v:shape style="position:absolute;left:1692;top:315;width:2778;height:1603" type="#_x0000_t202" filled="false" stroked="false">
              <v:textbox inset="0,0,0,0">
                <w:txbxContent>
                  <w:p>
                    <w:pPr>
                      <w:spacing w:line="220" w:lineRule="exact" w:before="0"/>
                      <w:ind w:left="0" w:right="0" w:firstLine="0"/>
                      <w:jc w:val="left"/>
                      <w:rPr>
                        <w:sz w:val="20"/>
                      </w:rPr>
                    </w:pPr>
                    <w:r>
                      <w:rPr>
                        <w:sz w:val="20"/>
                      </w:rPr>
                      <w:t>Repeat for each land use category:</w:t>
                    </w:r>
                  </w:p>
                  <w:p>
                    <w:pPr>
                      <w:numPr>
                        <w:ilvl w:val="0"/>
                        <w:numId w:val="37"/>
                      </w:numPr>
                      <w:tabs>
                        <w:tab w:pos="116" w:val="left" w:leader="none"/>
                      </w:tabs>
                      <w:spacing w:line="229" w:lineRule="exact" w:before="0"/>
                      <w:ind w:left="115" w:right="0" w:hanging="115"/>
                      <w:jc w:val="left"/>
                      <w:rPr>
                        <w:sz w:val="20"/>
                      </w:rPr>
                    </w:pPr>
                    <w:r>
                      <w:rPr>
                        <w:sz w:val="20"/>
                      </w:rPr>
                      <w:t>FF</w:t>
                    </w:r>
                  </w:p>
                  <w:p>
                    <w:pPr>
                      <w:numPr>
                        <w:ilvl w:val="0"/>
                        <w:numId w:val="37"/>
                      </w:numPr>
                      <w:tabs>
                        <w:tab w:pos="116" w:val="left" w:leader="none"/>
                      </w:tabs>
                      <w:spacing w:before="0"/>
                      <w:ind w:left="115" w:right="0" w:hanging="115"/>
                      <w:jc w:val="left"/>
                      <w:rPr>
                        <w:sz w:val="20"/>
                      </w:rPr>
                    </w:pPr>
                    <w:r>
                      <w:rPr>
                        <w:sz w:val="20"/>
                      </w:rPr>
                      <w:t>GG</w:t>
                    </w:r>
                  </w:p>
                  <w:p>
                    <w:pPr>
                      <w:numPr>
                        <w:ilvl w:val="0"/>
                        <w:numId w:val="37"/>
                      </w:numPr>
                      <w:tabs>
                        <w:tab w:pos="116" w:val="left" w:leader="none"/>
                      </w:tabs>
                      <w:spacing w:before="1"/>
                      <w:ind w:left="115" w:right="0" w:hanging="115"/>
                      <w:jc w:val="left"/>
                      <w:rPr>
                        <w:sz w:val="20"/>
                      </w:rPr>
                    </w:pPr>
                    <w:r>
                      <w:rPr>
                        <w:sz w:val="20"/>
                      </w:rPr>
                      <w:t>CC</w:t>
                    </w:r>
                  </w:p>
                  <w:p>
                    <w:pPr>
                      <w:numPr>
                        <w:ilvl w:val="0"/>
                        <w:numId w:val="37"/>
                      </w:numPr>
                      <w:tabs>
                        <w:tab w:pos="116" w:val="left" w:leader="none"/>
                      </w:tabs>
                      <w:spacing w:line="229" w:lineRule="exact" w:before="0"/>
                      <w:ind w:left="115" w:right="0" w:hanging="115"/>
                      <w:jc w:val="left"/>
                      <w:rPr>
                        <w:sz w:val="20"/>
                      </w:rPr>
                    </w:pPr>
                    <w:r>
                      <w:rPr>
                        <w:sz w:val="20"/>
                      </w:rPr>
                      <w:t>WW</w:t>
                    </w:r>
                  </w:p>
                  <w:p>
                    <w:pPr>
                      <w:numPr>
                        <w:ilvl w:val="0"/>
                        <w:numId w:val="37"/>
                      </w:numPr>
                      <w:tabs>
                        <w:tab w:pos="116" w:val="left" w:leader="none"/>
                      </w:tabs>
                      <w:spacing w:line="229" w:lineRule="exact" w:before="0"/>
                      <w:ind w:left="115" w:right="0" w:hanging="115"/>
                      <w:jc w:val="left"/>
                      <w:rPr>
                        <w:sz w:val="20"/>
                      </w:rPr>
                    </w:pPr>
                    <w:r>
                      <w:rPr>
                        <w:sz w:val="20"/>
                      </w:rPr>
                      <w:t>SS</w:t>
                    </w:r>
                  </w:p>
                  <w:p>
                    <w:pPr>
                      <w:numPr>
                        <w:ilvl w:val="0"/>
                        <w:numId w:val="37"/>
                      </w:numPr>
                      <w:tabs>
                        <w:tab w:pos="116" w:val="left" w:leader="none"/>
                      </w:tabs>
                      <w:spacing w:before="5"/>
                      <w:ind w:left="115" w:right="0" w:hanging="115"/>
                      <w:jc w:val="left"/>
                      <w:rPr>
                        <w:sz w:val="20"/>
                      </w:rPr>
                    </w:pPr>
                    <w:r>
                      <w:rPr>
                        <w:sz w:val="20"/>
                      </w:rPr>
                      <w:t>OO</w:t>
                    </w:r>
                  </w:p>
                </w:txbxContent>
              </v:textbox>
              <w10:wrap type="none"/>
            </v:shape>
            <v:shape style="position:absolute;left:4990;top:939;width:1065;height:1044" type="#_x0000_t202" filled="false" stroked="false">
              <v:textbox inset="0,0,0,0">
                <w:txbxContent>
                  <w:p>
                    <w:pPr>
                      <w:spacing w:line="240" w:lineRule="auto" w:before="0"/>
                      <w:ind w:left="0" w:right="18" w:firstLine="2"/>
                      <w:jc w:val="center"/>
                      <w:rPr>
                        <w:sz w:val="20"/>
                      </w:rPr>
                    </w:pPr>
                    <w:r>
                      <w:rPr>
                        <w:sz w:val="20"/>
                      </w:rPr>
                      <w:t>Do managed forests </w:t>
                    </w:r>
                    <w:r>
                      <w:rPr>
                        <w:spacing w:val="-3"/>
                        <w:sz w:val="20"/>
                      </w:rPr>
                      <w:t>exist? </w:t>
                    </w:r>
                    <w:r>
                      <w:rPr>
                        <w:sz w:val="20"/>
                      </w:rPr>
                      <w:t>(Note 1)</w:t>
                    </w:r>
                  </w:p>
                  <w:p>
                    <w:pPr>
                      <w:spacing w:before="124"/>
                      <w:ind w:left="21" w:right="0" w:firstLine="0"/>
                      <w:jc w:val="left"/>
                      <w:rPr>
                        <w:sz w:val="20"/>
                      </w:rPr>
                    </w:pPr>
                    <w:r>
                      <w:rPr>
                        <w:sz w:val="20"/>
                      </w:rPr>
                      <w:t>Yes</w:t>
                    </w:r>
                  </w:p>
                </w:txbxContent>
              </v:textbox>
              <w10:wrap type="none"/>
            </v:shape>
            <v:shape style="position:absolute;left:6461;top:857;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1836;top:2410;width:1646;height:931" type="#_x0000_t202" filled="false" stroked="false">
              <v:textbox inset="0,0,0,0">
                <w:txbxContent>
                  <w:p>
                    <w:pPr>
                      <w:spacing w:line="221" w:lineRule="exact" w:before="0"/>
                      <w:ind w:left="0" w:right="0" w:firstLine="0"/>
                      <w:jc w:val="left"/>
                      <w:rPr>
                        <w:sz w:val="20"/>
                      </w:rPr>
                    </w:pPr>
                    <w:r>
                      <w:rPr>
                        <w:sz w:val="20"/>
                      </w:rPr>
                      <w:t>Repeat for each gas:</w:t>
                    </w:r>
                  </w:p>
                  <w:p>
                    <w:pPr>
                      <w:numPr>
                        <w:ilvl w:val="0"/>
                        <w:numId w:val="38"/>
                      </w:numPr>
                      <w:tabs>
                        <w:tab w:pos="116" w:val="left" w:leader="none"/>
                      </w:tabs>
                      <w:spacing w:before="0"/>
                      <w:ind w:left="115" w:right="0" w:hanging="115"/>
                      <w:jc w:val="left"/>
                      <w:rPr>
                        <w:sz w:val="20"/>
                      </w:rPr>
                    </w:pPr>
                    <w:r>
                      <w:rPr>
                        <w:sz w:val="20"/>
                      </w:rPr>
                      <w:t>CO</w:t>
                    </w:r>
                    <w:r>
                      <w:rPr>
                        <w:sz w:val="20"/>
                        <w:vertAlign w:val="subscript"/>
                      </w:rPr>
                      <w:t>2</w:t>
                    </w:r>
                    <w:r>
                      <w:rPr>
                        <w:spacing w:val="-1"/>
                        <w:sz w:val="20"/>
                        <w:vertAlign w:val="baseline"/>
                      </w:rPr>
                      <w:t> </w:t>
                    </w:r>
                    <w:r>
                      <w:rPr>
                        <w:sz w:val="20"/>
                        <w:vertAlign w:val="baseline"/>
                      </w:rPr>
                      <w:t>(carbon)</w:t>
                    </w:r>
                  </w:p>
                  <w:p>
                    <w:pPr>
                      <w:numPr>
                        <w:ilvl w:val="0"/>
                        <w:numId w:val="38"/>
                      </w:numPr>
                      <w:tabs>
                        <w:tab w:pos="116" w:val="left" w:leader="none"/>
                      </w:tabs>
                      <w:spacing w:before="1"/>
                      <w:ind w:left="115" w:right="0" w:hanging="115"/>
                      <w:jc w:val="left"/>
                      <w:rPr>
                        <w:sz w:val="20"/>
                      </w:rPr>
                    </w:pPr>
                    <w:r>
                      <w:rPr>
                        <w:sz w:val="20"/>
                      </w:rPr>
                      <w:t>CH</w:t>
                    </w:r>
                    <w:r>
                      <w:rPr>
                        <w:sz w:val="20"/>
                        <w:vertAlign w:val="subscript"/>
                      </w:rPr>
                      <w:t>4</w:t>
                    </w:r>
                  </w:p>
                  <w:p>
                    <w:pPr>
                      <w:numPr>
                        <w:ilvl w:val="0"/>
                        <w:numId w:val="38"/>
                      </w:numPr>
                      <w:tabs>
                        <w:tab w:pos="116" w:val="left" w:leader="none"/>
                      </w:tabs>
                      <w:spacing w:before="2"/>
                      <w:ind w:left="115" w:right="0" w:hanging="115"/>
                      <w:jc w:val="left"/>
                      <w:rPr>
                        <w:sz w:val="20"/>
                      </w:rPr>
                    </w:pPr>
                    <w:r>
                      <w:rPr>
                        <w:sz w:val="20"/>
                      </w:rPr>
                      <w:t>N</w:t>
                    </w:r>
                    <w:r>
                      <w:rPr>
                        <w:sz w:val="20"/>
                        <w:vertAlign w:val="subscript"/>
                      </w:rPr>
                      <w:t>2</w:t>
                    </w:r>
                    <w:r>
                      <w:rPr>
                        <w:sz w:val="20"/>
                        <w:vertAlign w:val="baseline"/>
                      </w:rPr>
                      <w:t>O</w:t>
                    </w:r>
                  </w:p>
                </w:txbxContent>
              </v:textbox>
              <w10:wrap type="none"/>
            </v:shape>
            <v:shape style="position:absolute;left:4956;top:2849;width:1769;height:1126" type="#_x0000_t202" filled="false" stroked="false">
              <v:textbox inset="0,0,0,0">
                <w:txbxContent>
                  <w:p>
                    <w:pPr>
                      <w:tabs>
                        <w:tab w:pos="1504" w:val="left" w:leader="none"/>
                      </w:tabs>
                      <w:spacing w:line="237" w:lineRule="auto" w:before="0"/>
                      <w:ind w:left="0" w:right="18" w:firstLine="280"/>
                      <w:jc w:val="left"/>
                      <w:rPr>
                        <w:sz w:val="20"/>
                      </w:rPr>
                    </w:pPr>
                    <w:r>
                      <w:rPr>
                        <w:sz w:val="20"/>
                      </w:rPr>
                      <w:t>Is</w:t>
                    </w:r>
                    <w:r>
                      <w:rPr>
                        <w:spacing w:val="-2"/>
                        <w:sz w:val="20"/>
                      </w:rPr>
                      <w:t> </w:t>
                    </w:r>
                    <w:r>
                      <w:rPr>
                        <w:sz w:val="20"/>
                      </w:rPr>
                      <w:t>FF</w:t>
                    </w:r>
                    <w:r>
                      <w:rPr>
                        <w:spacing w:val="-1"/>
                        <w:sz w:val="20"/>
                      </w:rPr>
                      <w:t> </w:t>
                    </w:r>
                    <w:r>
                      <w:rPr>
                        <w:sz w:val="20"/>
                      </w:rPr>
                      <w:t>a</w:t>
                      <w:tab/>
                    </w:r>
                    <w:r>
                      <w:rPr>
                        <w:spacing w:val="-9"/>
                        <w:sz w:val="20"/>
                      </w:rPr>
                      <w:t>No </w:t>
                    </w:r>
                    <w:r>
                      <w:rPr>
                        <w:sz w:val="20"/>
                      </w:rPr>
                      <w:t>key</w:t>
                    </w:r>
                    <w:r>
                      <w:rPr>
                        <w:spacing w:val="-5"/>
                        <w:sz w:val="20"/>
                      </w:rPr>
                      <w:t> </w:t>
                    </w:r>
                    <w:r>
                      <w:rPr>
                        <w:sz w:val="20"/>
                      </w:rPr>
                      <w:t>category?</w:t>
                    </w:r>
                  </w:p>
                  <w:p>
                    <w:pPr>
                      <w:spacing w:before="0"/>
                      <w:ind w:left="220" w:right="0" w:firstLine="0"/>
                      <w:jc w:val="left"/>
                      <w:rPr>
                        <w:sz w:val="20"/>
                      </w:rPr>
                    </w:pPr>
                    <w:r>
                      <w:rPr>
                        <w:sz w:val="20"/>
                      </w:rPr>
                      <w:t>(Note 2)</w:t>
                    </w:r>
                  </w:p>
                  <w:p>
                    <w:pPr>
                      <w:spacing w:line="240" w:lineRule="auto" w:before="3"/>
                      <w:rPr>
                        <w:b/>
                        <w:sz w:val="18"/>
                      </w:rPr>
                    </w:pPr>
                  </w:p>
                  <w:p>
                    <w:pPr>
                      <w:spacing w:before="0"/>
                      <w:ind w:left="55" w:right="0" w:firstLine="0"/>
                      <w:jc w:val="left"/>
                      <w:rPr>
                        <w:sz w:val="20"/>
                      </w:rPr>
                    </w:pPr>
                    <w:r>
                      <w:rPr>
                        <w:sz w:val="20"/>
                      </w:rPr>
                      <w:t>Yes</w:t>
                    </w:r>
                  </w:p>
                </w:txbxContent>
              </v:textbox>
              <w10:wrap type="none"/>
            </v:shape>
            <v:shape style="position:absolute;left:1980;top:3949;width:2445;height:1035" type="#_x0000_t202" filled="false" stroked="false">
              <v:textbox inset="0,0,0,0">
                <w:txbxContent>
                  <w:p>
                    <w:pPr>
                      <w:spacing w:line="221" w:lineRule="exact" w:before="0"/>
                      <w:ind w:left="0" w:right="0" w:firstLine="0"/>
                      <w:jc w:val="left"/>
                      <w:rPr>
                        <w:sz w:val="20"/>
                      </w:rPr>
                    </w:pPr>
                    <w:r>
                      <w:rPr>
                        <w:sz w:val="20"/>
                      </w:rPr>
                      <w:t>Repeat for each subcategory*:</w:t>
                    </w:r>
                  </w:p>
                  <w:p>
                    <w:pPr>
                      <w:numPr>
                        <w:ilvl w:val="0"/>
                        <w:numId w:val="39"/>
                      </w:numPr>
                      <w:tabs>
                        <w:tab w:pos="116" w:val="left" w:leader="none"/>
                      </w:tabs>
                      <w:spacing w:line="229" w:lineRule="exact" w:before="120"/>
                      <w:ind w:left="115" w:right="0" w:hanging="115"/>
                      <w:jc w:val="left"/>
                      <w:rPr>
                        <w:sz w:val="20"/>
                      </w:rPr>
                    </w:pPr>
                    <w:r>
                      <w:rPr>
                        <w:sz w:val="20"/>
                      </w:rPr>
                      <w:t>Biomass</w:t>
                    </w:r>
                  </w:p>
                  <w:p>
                    <w:pPr>
                      <w:numPr>
                        <w:ilvl w:val="0"/>
                        <w:numId w:val="39"/>
                      </w:numPr>
                      <w:tabs>
                        <w:tab w:pos="116" w:val="left" w:leader="none"/>
                      </w:tabs>
                      <w:spacing w:line="229" w:lineRule="exact" w:before="0"/>
                      <w:ind w:left="115" w:right="0" w:hanging="115"/>
                      <w:jc w:val="left"/>
                      <w:rPr>
                        <w:sz w:val="20"/>
                      </w:rPr>
                    </w:pPr>
                    <w:r>
                      <w:rPr>
                        <w:sz w:val="20"/>
                      </w:rPr>
                      <w:t>Dead organic</w:t>
                    </w:r>
                    <w:r>
                      <w:rPr>
                        <w:spacing w:val="1"/>
                        <w:sz w:val="20"/>
                      </w:rPr>
                      <w:t> </w:t>
                    </w:r>
                    <w:r>
                      <w:rPr>
                        <w:sz w:val="20"/>
                      </w:rPr>
                      <w:t>matter</w:t>
                    </w:r>
                  </w:p>
                  <w:p>
                    <w:pPr>
                      <w:numPr>
                        <w:ilvl w:val="0"/>
                        <w:numId w:val="39"/>
                      </w:numPr>
                      <w:tabs>
                        <w:tab w:pos="116" w:val="left" w:leader="none"/>
                      </w:tabs>
                      <w:spacing w:before="5"/>
                      <w:ind w:left="115" w:right="0" w:hanging="115"/>
                      <w:jc w:val="left"/>
                      <w:rPr>
                        <w:sz w:val="20"/>
                      </w:rPr>
                    </w:pPr>
                    <w:r>
                      <w:rPr>
                        <w:sz w:val="20"/>
                      </w:rPr>
                      <w:t>Soils</w:t>
                    </w:r>
                  </w:p>
                </w:txbxContent>
              </v:textbox>
              <w10:wrap type="none"/>
            </v:shape>
            <v:shape style="position:absolute;left:5007;top:4414;width:1065;height:451" type="#_x0000_t202" filled="false" stroked="false">
              <v:textbox inset="0,0,0,0">
                <w:txbxContent>
                  <w:p>
                    <w:pPr>
                      <w:spacing w:line="221" w:lineRule="exact" w:before="0"/>
                      <w:ind w:left="0" w:right="22" w:firstLine="0"/>
                      <w:jc w:val="center"/>
                      <w:rPr>
                        <w:sz w:val="20"/>
                      </w:rPr>
                    </w:pPr>
                    <w:r>
                      <w:rPr>
                        <w:sz w:val="20"/>
                      </w:rPr>
                      <w:t>Ask</w:t>
                    </w:r>
                  </w:p>
                  <w:p>
                    <w:pPr>
                      <w:spacing w:before="0"/>
                      <w:ind w:left="0" w:right="18" w:firstLine="0"/>
                      <w:jc w:val="center"/>
                      <w:rPr>
                        <w:sz w:val="20"/>
                      </w:rPr>
                    </w:pPr>
                    <w:r>
                      <w:rPr>
                        <w:sz w:val="20"/>
                      </w:rPr>
                      <w:t>for each sub-</w:t>
                    </w:r>
                  </w:p>
                </w:txbxContent>
              </v:textbox>
              <w10:wrap type="none"/>
            </v:shape>
            <v:shape style="position:absolute;left:4404;top:4875;width:2265;height:1272" type="#_x0000_t202" filled="false" stroked="false">
              <v:textbox inset="0,0,0,0">
                <w:txbxContent>
                  <w:p>
                    <w:pPr>
                      <w:spacing w:line="240" w:lineRule="auto" w:before="0"/>
                      <w:ind w:left="0" w:right="18" w:firstLine="0"/>
                      <w:jc w:val="center"/>
                      <w:rPr>
                        <w:sz w:val="20"/>
                      </w:rPr>
                    </w:pPr>
                    <w:r>
                      <w:rPr>
                        <w:sz w:val="20"/>
                      </w:rPr>
                      <w:t>category under FF (Note 3): Is this subcategory significant?</w:t>
                    </w:r>
                  </w:p>
                  <w:p>
                    <w:pPr>
                      <w:spacing w:line="229" w:lineRule="exact" w:before="0"/>
                      <w:ind w:left="0" w:right="19" w:firstLine="0"/>
                      <w:jc w:val="center"/>
                      <w:rPr>
                        <w:sz w:val="20"/>
                      </w:rPr>
                    </w:pPr>
                    <w:r>
                      <w:rPr>
                        <w:sz w:val="20"/>
                      </w:rPr>
                      <w:t>(Note 4)</w:t>
                    </w:r>
                  </w:p>
                  <w:p>
                    <w:pPr>
                      <w:spacing w:before="123"/>
                      <w:ind w:left="607" w:right="0" w:firstLine="0"/>
                      <w:jc w:val="left"/>
                      <w:rPr>
                        <w:sz w:val="20"/>
                      </w:rPr>
                    </w:pPr>
                    <w:r>
                      <w:rPr>
                        <w:sz w:val="20"/>
                      </w:rPr>
                      <w:t>Yes</w:t>
                    </w:r>
                  </w:p>
                </w:txbxContent>
              </v:textbox>
              <w10:wrap type="none"/>
            </v:shape>
            <v:shape style="position:absolute;left:7004;top:4839;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7568;top:4839;width:2052;height:946" type="#_x0000_t202" filled="false" stroked="false">
              <v:textbox inset="0,0,0,0">
                <w:txbxContent>
                  <w:p>
                    <w:pPr>
                      <w:spacing w:line="240" w:lineRule="auto" w:before="0"/>
                      <w:ind w:left="436" w:right="0" w:hanging="437"/>
                      <w:jc w:val="left"/>
                      <w:rPr>
                        <w:sz w:val="20"/>
                      </w:rPr>
                    </w:pPr>
                    <w:r>
                      <w:rPr>
                        <w:sz w:val="20"/>
                      </w:rPr>
                      <w:t>country-specific data </w:t>
                    </w:r>
                    <w:r>
                      <w:rPr>
                        <w:position w:val="13"/>
                        <w:sz w:val="20"/>
                      </w:rPr>
                      <w:t>No </w:t>
                    </w:r>
                    <w:r>
                      <w:rPr>
                        <w:sz w:val="20"/>
                      </w:rPr>
                      <w:t>available?</w:t>
                    </w:r>
                  </w:p>
                  <w:p>
                    <w:pPr>
                      <w:spacing w:before="125"/>
                      <w:ind w:left="340" w:right="0" w:firstLine="0"/>
                      <w:jc w:val="left"/>
                      <w:rPr>
                        <w:sz w:val="20"/>
                      </w:rPr>
                    </w:pPr>
                    <w:r>
                      <w:rPr>
                        <w:sz w:val="20"/>
                      </w:rPr>
                      <w:t>Yes</w:t>
                    </w:r>
                  </w:p>
                </w:txbxContent>
              </v:textbox>
              <w10:wrap type="none"/>
            </v:shape>
            <v:shape style="position:absolute;left:8261;top:4738;width:318;height:221" type="#_x0000_t202" filled="false" stroked="false">
              <v:textbox inset="0,0,0,0">
                <w:txbxContent>
                  <w:p>
                    <w:pPr>
                      <w:spacing w:line="221" w:lineRule="exact" w:before="0"/>
                      <w:ind w:left="0" w:right="0" w:firstLine="0"/>
                      <w:jc w:val="left"/>
                      <w:rPr>
                        <w:sz w:val="20"/>
                      </w:rPr>
                    </w:pPr>
                    <w:r>
                      <w:rPr>
                        <w:sz w:val="20"/>
                      </w:rPr>
                      <w:t>Are</w:t>
                    </w:r>
                  </w:p>
                </w:txbxContent>
              </v:textbox>
              <w10:wrap type="none"/>
            </v:shape>
            <v:shape style="position:absolute;left:4287;top:6469;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4673;top:6368;width:1703;height:1044" type="#_x0000_t202" filled="false" stroked="false">
              <v:textbox inset="0,0,0,0">
                <w:txbxContent>
                  <w:p>
                    <w:pPr>
                      <w:spacing w:line="221" w:lineRule="exact" w:before="0"/>
                      <w:ind w:left="0" w:right="16" w:firstLine="0"/>
                      <w:jc w:val="center"/>
                      <w:rPr>
                        <w:sz w:val="20"/>
                      </w:rPr>
                    </w:pPr>
                    <w:r>
                      <w:rPr>
                        <w:sz w:val="20"/>
                      </w:rPr>
                      <w:t>Are</w:t>
                    </w:r>
                  </w:p>
                  <w:p>
                    <w:pPr>
                      <w:spacing w:before="0"/>
                      <w:ind w:left="0" w:right="18" w:firstLine="0"/>
                      <w:jc w:val="center"/>
                      <w:rPr>
                        <w:sz w:val="20"/>
                      </w:rPr>
                    </w:pPr>
                    <w:r>
                      <w:rPr>
                        <w:sz w:val="20"/>
                      </w:rPr>
                      <w:t>country-specific data available?</w:t>
                    </w:r>
                  </w:p>
                  <w:p>
                    <w:pPr>
                      <w:spacing w:before="133"/>
                      <w:ind w:left="1063" w:right="0" w:firstLine="0"/>
                      <w:jc w:val="left"/>
                      <w:rPr>
                        <w:sz w:val="20"/>
                      </w:rPr>
                    </w:pPr>
                    <w:r>
                      <w:rPr>
                        <w:sz w:val="20"/>
                      </w:rPr>
                      <w:t>Yes</w:t>
                    </w:r>
                  </w:p>
                </w:txbxContent>
              </v:textbox>
              <w10:wrap type="none"/>
            </v:shape>
            <v:shape style="position:absolute;left:3924;top:8278;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4594;top:8055;width:1931;height:1140" type="#_x0000_t202" filled="false" stroked="false">
              <v:textbox inset="0,0,0,0">
                <w:txbxContent>
                  <w:p>
                    <w:pPr>
                      <w:spacing w:line="237" w:lineRule="auto" w:before="0"/>
                      <w:ind w:left="213" w:right="215" w:firstLine="592"/>
                      <w:jc w:val="left"/>
                      <w:rPr>
                        <w:sz w:val="20"/>
                      </w:rPr>
                    </w:pPr>
                    <w:r>
                      <w:rPr>
                        <w:sz w:val="20"/>
                      </w:rPr>
                      <w:t>Are advanced methods</w:t>
                    </w:r>
                  </w:p>
                  <w:p>
                    <w:pPr>
                      <w:spacing w:before="0"/>
                      <w:ind w:left="0" w:right="18" w:firstLine="0"/>
                      <w:jc w:val="center"/>
                      <w:rPr>
                        <w:sz w:val="20"/>
                      </w:rPr>
                    </w:pPr>
                    <w:r>
                      <w:rPr>
                        <w:sz w:val="20"/>
                      </w:rPr>
                      <w:t>and detailed data for FF available in your country?</w:t>
                    </w:r>
                  </w:p>
                </w:txbxContent>
              </v:textbox>
              <w10:wrap type="none"/>
            </v:shape>
            <v:shape style="position:absolute;left:6821;top:8278;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8669;top:9471;width:1810;height:1268" type="#_x0000_t202" filled="false" stroked="true" strokeweight="1.25pt" strokecolor="#010101">
              <v:textbox inset="0,0,0,0">
                <w:txbxContent>
                  <w:p>
                    <w:pPr>
                      <w:spacing w:before="64"/>
                      <w:ind w:left="187" w:right="187" w:firstLine="0"/>
                      <w:jc w:val="center"/>
                      <w:rPr>
                        <w:sz w:val="20"/>
                      </w:rPr>
                    </w:pPr>
                    <w:r>
                      <w:rPr>
                        <w:sz w:val="20"/>
                      </w:rPr>
                      <w:t>Use default </w:t>
                    </w:r>
                    <w:r>
                      <w:rPr>
                        <w:spacing w:val="-3"/>
                        <w:sz w:val="20"/>
                      </w:rPr>
                      <w:t>data </w:t>
                    </w:r>
                    <w:r>
                      <w:rPr>
                        <w:sz w:val="20"/>
                      </w:rPr>
                      <w:t>(Note 5)</w:t>
                    </w:r>
                  </w:p>
                  <w:p>
                    <w:pPr>
                      <w:spacing w:line="240" w:lineRule="auto" w:before="0"/>
                      <w:rPr>
                        <w:b/>
                        <w:sz w:val="31"/>
                      </w:rPr>
                    </w:pPr>
                  </w:p>
                  <w:p>
                    <w:pPr>
                      <w:spacing w:before="0"/>
                      <w:ind w:left="187" w:right="187" w:firstLine="0"/>
                      <w:jc w:val="center"/>
                      <w:rPr>
                        <w:b/>
                        <w:sz w:val="20"/>
                      </w:rPr>
                    </w:pPr>
                    <w:r>
                      <w:rPr>
                        <w:b/>
                        <w:sz w:val="20"/>
                      </w:rPr>
                      <w:t>(Tier</w:t>
                    </w:r>
                    <w:r>
                      <w:rPr>
                        <w:b/>
                        <w:spacing w:val="-3"/>
                        <w:sz w:val="20"/>
                      </w:rPr>
                      <w:t> </w:t>
                    </w:r>
                    <w:r>
                      <w:rPr>
                        <w:b/>
                        <w:sz w:val="20"/>
                      </w:rPr>
                      <w:t>1)</w:t>
                    </w:r>
                  </w:p>
                </w:txbxContent>
              </v:textbox>
              <v:stroke dashstyle="solid"/>
              <w10:wrap type="none"/>
            </v:shape>
            <v:shape style="position:absolute;left:6317;top:9471;width:1810;height:1268" type="#_x0000_t202" filled="false" stroked="true" strokeweight="1.25pt" strokecolor="#010101">
              <v:textbox inset="0,0,0,0">
                <w:txbxContent>
                  <w:p>
                    <w:pPr>
                      <w:spacing w:before="64"/>
                      <w:ind w:left="185" w:right="187" w:firstLine="0"/>
                      <w:jc w:val="center"/>
                      <w:rPr>
                        <w:sz w:val="20"/>
                      </w:rPr>
                    </w:pPr>
                    <w:r>
                      <w:rPr>
                        <w:sz w:val="20"/>
                      </w:rPr>
                      <w:t>Use </w:t>
                    </w:r>
                    <w:r>
                      <w:rPr>
                        <w:spacing w:val="-3"/>
                        <w:sz w:val="20"/>
                      </w:rPr>
                      <w:t>country- </w:t>
                    </w:r>
                    <w:r>
                      <w:rPr>
                        <w:sz w:val="20"/>
                      </w:rPr>
                      <w:t>specific data (Note 5)</w:t>
                    </w:r>
                  </w:p>
                  <w:p>
                    <w:pPr>
                      <w:spacing w:before="127"/>
                      <w:ind w:left="187" w:right="187" w:firstLine="0"/>
                      <w:jc w:val="center"/>
                      <w:rPr>
                        <w:b/>
                        <w:sz w:val="20"/>
                      </w:rPr>
                    </w:pPr>
                    <w:r>
                      <w:rPr>
                        <w:b/>
                        <w:sz w:val="20"/>
                      </w:rPr>
                      <w:t>(Tier</w:t>
                    </w:r>
                    <w:r>
                      <w:rPr>
                        <w:b/>
                        <w:spacing w:val="-3"/>
                        <w:sz w:val="20"/>
                      </w:rPr>
                      <w:t> </w:t>
                    </w:r>
                    <w:r>
                      <w:rPr>
                        <w:b/>
                        <w:sz w:val="20"/>
                      </w:rPr>
                      <w:t>2)</w:t>
                    </w:r>
                  </w:p>
                </w:txbxContent>
              </v:textbox>
              <v:stroke dashstyle="solid"/>
              <w10:wrap type="none"/>
            </v:shape>
            <v:shape style="position:absolute;left:7668;top:2773;width:2160;height:900" type="#_x0000_t202" filled="false" stroked="true" strokeweight="1.25pt" strokecolor="#010101">
              <v:textbox inset="0,0,0,0">
                <w:txbxContent>
                  <w:p>
                    <w:pPr>
                      <w:spacing w:before="84"/>
                      <w:ind w:left="85" w:right="80" w:hanging="2"/>
                      <w:jc w:val="center"/>
                      <w:rPr>
                        <w:sz w:val="20"/>
                      </w:rPr>
                    </w:pPr>
                    <w:r>
                      <w:rPr>
                        <w:sz w:val="20"/>
                      </w:rPr>
                      <w:t>Use tier level most appropriate for available data</w:t>
                    </w:r>
                  </w:p>
                </w:txbxContent>
              </v:textbox>
              <v:stroke dashstyle="solid"/>
              <w10:wrap type="none"/>
            </v:shape>
            <v:shape style="position:absolute;left:7668;top:1045;width:2160;height:360" type="#_x0000_t202" filled="false" stroked="true" strokeweight="1.25pt" strokecolor="#010101">
              <v:textbox inset="0,0,0,0">
                <w:txbxContent>
                  <w:p>
                    <w:pPr>
                      <w:spacing w:before="24"/>
                      <w:ind w:left="102" w:right="0" w:firstLine="0"/>
                      <w:jc w:val="left"/>
                      <w:rPr>
                        <w:sz w:val="20"/>
                      </w:rPr>
                    </w:pPr>
                    <w:r>
                      <w:rPr>
                        <w:sz w:val="20"/>
                      </w:rPr>
                      <w:t>Report “Not Occurring”</w:t>
                    </w:r>
                  </w:p>
                </w:txbxContent>
              </v:textbox>
              <v:stroke dashstyle="solid"/>
              <w10:wrap type="none"/>
            </v:shape>
            <v:shape style="position:absolute;left:2696;top:9471;width:2172;height:1268" type="#_x0000_t202" filled="false" stroked="true" strokeweight="1.25pt" strokecolor="#010101">
              <v:textbox inset="0,0,0,0">
                <w:txbxContent>
                  <w:p>
                    <w:pPr>
                      <w:spacing w:before="64"/>
                      <w:ind w:left="153" w:right="147" w:firstLine="0"/>
                      <w:jc w:val="center"/>
                      <w:rPr>
                        <w:sz w:val="20"/>
                      </w:rPr>
                    </w:pPr>
                    <w:r>
                      <w:rPr>
                        <w:sz w:val="20"/>
                      </w:rPr>
                      <w:t>Use advanced methods and detailed country- specific data (Note 5)</w:t>
                    </w:r>
                  </w:p>
                  <w:p>
                    <w:pPr>
                      <w:spacing w:before="127"/>
                      <w:ind w:left="147" w:right="147" w:firstLine="0"/>
                      <w:jc w:val="center"/>
                      <w:rPr>
                        <w:b/>
                        <w:sz w:val="20"/>
                      </w:rPr>
                    </w:pPr>
                    <w:r>
                      <w:rPr>
                        <w:b/>
                        <w:sz w:val="20"/>
                      </w:rPr>
                      <w:t>(Tier 3)</w:t>
                    </w:r>
                  </w:p>
                </w:txbxContent>
              </v:textbox>
              <v:stroke dashstyle="solid"/>
              <w10:wrap type="none"/>
            </v:shape>
            <v:shape style="position:absolute;left:2513;top:7117;width:1812;height:728" type="#_x0000_t202" filled="false" stroked="true" strokeweight=".75pt" strokecolor="#010101">
              <v:textbox inset="0,0,0,0">
                <w:txbxContent>
                  <w:p>
                    <w:pPr>
                      <w:spacing w:before="24"/>
                      <w:ind w:left="148" w:right="143" w:firstLine="0"/>
                      <w:jc w:val="center"/>
                      <w:rPr>
                        <w:sz w:val="20"/>
                      </w:rPr>
                    </w:pPr>
                    <w:r>
                      <w:rPr>
                        <w:sz w:val="20"/>
                      </w:rPr>
                      <w:t>Develop or obtain representative data and EFs</w:t>
                    </w:r>
                  </w:p>
                </w:txbxContent>
              </v:textbox>
              <v:stroke dashstyle="solid"/>
              <w10:wrap type="none"/>
            </v:shape>
            <w10:wrap type="topAndBottom"/>
          </v:group>
        </w:pict>
      </w:r>
    </w:p>
    <w:p>
      <w:pPr>
        <w:spacing w:before="65"/>
        <w:ind w:left="312" w:right="532" w:firstLine="0"/>
        <w:jc w:val="left"/>
        <w:rPr>
          <w:sz w:val="16"/>
        </w:rPr>
      </w:pPr>
      <w:r>
        <w:rPr>
          <w:b/>
          <w:sz w:val="16"/>
        </w:rPr>
        <w:t>Note 1</w:t>
      </w:r>
      <w:r>
        <w:rPr>
          <w:sz w:val="16"/>
        </w:rPr>
        <w:t>: The use of 20 years, as a threshold, is consistent with the defaults contained in </w:t>
      </w:r>
      <w:r>
        <w:rPr>
          <w:i/>
          <w:sz w:val="16"/>
        </w:rPr>
        <w:t>IPCC Guidelines</w:t>
      </w:r>
      <w:r>
        <w:rPr>
          <w:sz w:val="16"/>
        </w:rPr>
        <w:t>. Countries may use different periods where appropriate to national circumstances.</w:t>
      </w:r>
    </w:p>
    <w:p>
      <w:pPr>
        <w:spacing w:before="0"/>
        <w:ind w:left="312" w:right="861" w:firstLine="0"/>
        <w:jc w:val="left"/>
        <w:rPr>
          <w:sz w:val="16"/>
        </w:rPr>
      </w:pPr>
      <w:r>
        <w:rPr>
          <w:b/>
          <w:sz w:val="16"/>
        </w:rPr>
        <w:t>Note 2</w:t>
      </w:r>
      <w:r>
        <w:rPr>
          <w:sz w:val="16"/>
        </w:rPr>
        <w:t>: The concept of key categories is explained in Chapter 5, Subsection 5.4 (Methodological Choice – Identification of Key Categories).</w:t>
      </w:r>
    </w:p>
    <w:p>
      <w:pPr>
        <w:spacing w:line="183" w:lineRule="exact" w:before="0"/>
        <w:ind w:left="312" w:right="0" w:firstLine="0"/>
        <w:jc w:val="left"/>
        <w:rPr>
          <w:sz w:val="16"/>
        </w:rPr>
      </w:pPr>
      <w:r>
        <w:rPr>
          <w:b/>
          <w:sz w:val="16"/>
        </w:rPr>
        <w:t>Note 3</w:t>
      </w:r>
      <w:r>
        <w:rPr>
          <w:sz w:val="16"/>
        </w:rPr>
        <w:t>: See Table 3.1.2 for the characterisation of subcategories.</w:t>
      </w:r>
    </w:p>
    <w:p>
      <w:pPr>
        <w:spacing w:before="0"/>
        <w:ind w:left="312" w:right="0" w:firstLine="0"/>
        <w:jc w:val="left"/>
        <w:rPr>
          <w:sz w:val="16"/>
        </w:rPr>
      </w:pPr>
      <w:r>
        <w:rPr>
          <w:b/>
          <w:sz w:val="16"/>
        </w:rPr>
        <w:t>Note 4</w:t>
      </w:r>
      <w:r>
        <w:rPr>
          <w:sz w:val="16"/>
        </w:rPr>
        <w:t>: A subcategory is significant if it accounts for 25-30% of emissions/removals for the overall category.</w:t>
      </w:r>
    </w:p>
    <w:p>
      <w:pPr>
        <w:spacing w:before="1"/>
        <w:ind w:left="312" w:right="0" w:firstLine="0"/>
        <w:jc w:val="left"/>
        <w:rPr>
          <w:sz w:val="16"/>
        </w:rPr>
      </w:pPr>
      <w:r>
        <w:rPr>
          <w:b/>
          <w:sz w:val="16"/>
        </w:rPr>
        <w:t>Note 5: </w:t>
      </w:r>
      <w:r>
        <w:rPr>
          <w:sz w:val="16"/>
        </w:rPr>
        <w:t>See Box 3.1.1 for definition of Tier levels.</w:t>
      </w:r>
    </w:p>
    <w:p>
      <w:pPr>
        <w:spacing w:before="123"/>
        <w:ind w:left="312" w:right="0" w:firstLine="0"/>
        <w:jc w:val="left"/>
        <w:rPr>
          <w:sz w:val="16"/>
        </w:rPr>
      </w:pPr>
      <w:r>
        <w:rPr>
          <w:sz w:val="16"/>
        </w:rPr>
        <w:t>* If a country reports harvested wood products (HWP) as a separate pool, it should be treated as a subcategory.</w:t>
      </w:r>
    </w:p>
    <w:p>
      <w:pPr>
        <w:spacing w:after="0"/>
        <w:jc w:val="left"/>
        <w:rPr>
          <w:sz w:val="16"/>
        </w:rPr>
        <w:sectPr>
          <w:pgSz w:w="11900" w:h="16840"/>
          <w:pgMar w:header="230" w:footer="408" w:top="560" w:bottom="600" w:left="1260" w:right="1240"/>
        </w:sectPr>
      </w:pPr>
    </w:p>
    <w:p>
      <w:pPr>
        <w:pStyle w:val="BodyText"/>
      </w:pPr>
    </w:p>
    <w:p>
      <w:pPr>
        <w:pStyle w:val="BodyText"/>
        <w:rPr>
          <w:sz w:val="19"/>
        </w:rPr>
      </w:pPr>
    </w:p>
    <w:p>
      <w:pPr>
        <w:tabs>
          <w:tab w:pos="1859" w:val="left" w:leader="none"/>
        </w:tabs>
        <w:spacing w:line="242" w:lineRule="auto" w:before="91"/>
        <w:ind w:left="1860" w:right="166" w:hanging="1702"/>
        <w:jc w:val="both"/>
        <w:rPr>
          <w:b/>
          <w:sz w:val="20"/>
        </w:rPr>
      </w:pPr>
      <w:r>
        <w:rPr>
          <w:b/>
          <w:spacing w:val="8"/>
          <w:sz w:val="20"/>
        </w:rPr>
        <w:t>Figure</w:t>
      </w:r>
      <w:r>
        <w:rPr>
          <w:b/>
          <w:spacing w:val="19"/>
          <w:sz w:val="20"/>
        </w:rPr>
        <w:t> </w:t>
      </w:r>
      <w:r>
        <w:rPr>
          <w:b/>
          <w:spacing w:val="8"/>
          <w:sz w:val="20"/>
        </w:rPr>
        <w:t>3.1.2</w:t>
        <w:tab/>
        <w:t>Decision </w:t>
      </w:r>
      <w:r>
        <w:rPr>
          <w:b/>
          <w:spacing w:val="7"/>
          <w:sz w:val="20"/>
        </w:rPr>
        <w:t>tree </w:t>
      </w:r>
      <w:r>
        <w:rPr>
          <w:b/>
          <w:spacing w:val="6"/>
          <w:sz w:val="20"/>
        </w:rPr>
        <w:t>for </w:t>
      </w:r>
      <w:r>
        <w:rPr>
          <w:b/>
          <w:spacing w:val="9"/>
          <w:sz w:val="20"/>
        </w:rPr>
        <w:t>identification </w:t>
      </w:r>
      <w:r>
        <w:rPr>
          <w:b/>
          <w:spacing w:val="5"/>
          <w:sz w:val="20"/>
        </w:rPr>
        <w:t>of </w:t>
      </w:r>
      <w:r>
        <w:rPr>
          <w:b/>
          <w:spacing w:val="9"/>
          <w:sz w:val="20"/>
        </w:rPr>
        <w:t>appropriate tier-level </w:t>
      </w:r>
      <w:r>
        <w:rPr>
          <w:b/>
          <w:spacing w:val="6"/>
          <w:sz w:val="20"/>
        </w:rPr>
        <w:t>for </w:t>
      </w:r>
      <w:r>
        <w:rPr>
          <w:b/>
          <w:spacing w:val="7"/>
          <w:sz w:val="20"/>
        </w:rPr>
        <w:t>land </w:t>
      </w:r>
      <w:r>
        <w:rPr>
          <w:b/>
          <w:spacing w:val="9"/>
          <w:sz w:val="20"/>
        </w:rPr>
        <w:t>converted </w:t>
      </w:r>
      <w:r>
        <w:rPr>
          <w:b/>
          <w:spacing w:val="10"/>
          <w:sz w:val="20"/>
        </w:rPr>
        <w:t>to </w:t>
      </w:r>
      <w:r>
        <w:rPr>
          <w:b/>
          <w:spacing w:val="8"/>
          <w:sz w:val="20"/>
        </w:rPr>
        <w:t>another </w:t>
      </w:r>
      <w:r>
        <w:rPr>
          <w:b/>
          <w:spacing w:val="7"/>
          <w:sz w:val="20"/>
        </w:rPr>
        <w:t>land </w:t>
      </w:r>
      <w:r>
        <w:rPr>
          <w:b/>
          <w:spacing w:val="6"/>
          <w:sz w:val="20"/>
        </w:rPr>
        <w:t>use </w:t>
      </w:r>
      <w:r>
        <w:rPr>
          <w:b/>
          <w:spacing w:val="8"/>
          <w:sz w:val="20"/>
        </w:rPr>
        <w:t>category (example given </w:t>
      </w:r>
      <w:r>
        <w:rPr>
          <w:b/>
          <w:spacing w:val="6"/>
          <w:sz w:val="20"/>
        </w:rPr>
        <w:t>for </w:t>
      </w:r>
      <w:r>
        <w:rPr>
          <w:b/>
          <w:spacing w:val="7"/>
          <w:sz w:val="20"/>
        </w:rPr>
        <w:t>land </w:t>
      </w:r>
      <w:r>
        <w:rPr>
          <w:b/>
          <w:spacing w:val="9"/>
          <w:sz w:val="20"/>
        </w:rPr>
        <w:t>converted </w:t>
      </w:r>
      <w:r>
        <w:rPr>
          <w:b/>
          <w:spacing w:val="5"/>
          <w:sz w:val="20"/>
        </w:rPr>
        <w:t>to </w:t>
      </w:r>
      <w:r>
        <w:rPr>
          <w:b/>
          <w:spacing w:val="8"/>
          <w:sz w:val="20"/>
        </w:rPr>
        <w:t>forest land,  </w:t>
      </w:r>
      <w:r>
        <w:rPr>
          <w:b/>
          <w:spacing w:val="6"/>
          <w:sz w:val="20"/>
        </w:rPr>
        <w:t>LF)</w:t>
      </w:r>
    </w:p>
    <w:p>
      <w:pPr>
        <w:pStyle w:val="BodyText"/>
        <w:spacing w:before="7"/>
        <w:rPr>
          <w:b/>
          <w:sz w:val="23"/>
        </w:rPr>
      </w:pPr>
      <w:r>
        <w:rPr/>
        <w:pict>
          <v:group style="position:absolute;margin-left:71.786003pt;margin-top:15.554863pt;width:453.8pt;height:535.5pt;mso-position-horizontal-relative:page;mso-position-vertical-relative:paragraph;z-index:3680;mso-wrap-distance-left:0;mso-wrap-distance-right:0" coordorigin="1436,311" coordsize="9076,10710">
            <v:shape style="position:absolute;left:1733;top:3834;width:2448;height:6893" coordorigin="1734,3835" coordsize="2448,6893" path="m4182,10727l1734,10727,1734,3835e" filled="false" stroked="true" strokeweight=".75pt" strokecolor="#010101">
              <v:path arrowok="t"/>
              <v:stroke dashstyle="solid"/>
            </v:shape>
            <v:line style="position:absolute" from="4182,3835" to="1734,3835" stroked="true" strokeweight=".75pt" strokecolor="#010101">
              <v:stroke dashstyle="solid"/>
            </v:line>
            <v:line style="position:absolute" from="1590,2347" to="1590,10862" stroked="true" strokeweight=".75pt" strokecolor="#010101">
              <v:stroke dashstyle="solid"/>
            </v:line>
            <v:shape style="position:absolute;left:1445;top:318;width:3888;height:10680" coordorigin="1446,319" coordsize="3888,10680" path="m5334,319l1446,319,1446,10999e" filled="false" stroked="true" strokeweight=".75pt" strokecolor="#010101">
              <v:path arrowok="t"/>
              <v:stroke dashstyle="solid"/>
            </v:shape>
            <v:line style="position:absolute" from="4758,10862" to="1590,10862" stroked="true" strokeweight=".75pt" strokecolor="#010101">
              <v:stroke dashstyle="solid"/>
            </v:line>
            <v:line style="position:absolute" from="4758,2347" to="1590,2347" stroked="true" strokeweight=".75pt" strokecolor="#010101">
              <v:stroke dashstyle="solid"/>
            </v:line>
            <v:shape style="position:absolute;left:4160;top:347;width:2715;height:1448" coordorigin="4160,347" coordsize="2715,1448" path="m5518,347l4160,1070,5518,1795,6874,1070,5518,347xe" filled="false" stroked="true" strokeweight=".75pt" strokecolor="#010101">
              <v:path arrowok="t"/>
              <v:stroke dashstyle="solid"/>
            </v:shape>
            <v:shape style="position:absolute;left:6867;top:1005;width:898;height:120" coordorigin="6867,1005" coordsize="898,120" path="m7755,1058l7669,1058,7671,1060,7671,1067,7669,1072,7645,1072,7645,1125,7765,1063,7755,1058xm7645,1058l6874,1063,6870,1063,6867,1065,6867,1075,6870,1077,6874,1077,7645,1072,7645,1058xm7669,1058l7664,1058,7645,1058,7645,1072,7669,1072,7671,1067,7671,1060,7669,1058xm7645,1005l7645,1058,7755,1058,7645,1005xe" filled="true" fillcolor="#010101" stroked="false">
              <v:path arrowok="t"/>
              <v:fill type="solid"/>
            </v:shape>
            <v:shape style="position:absolute;left:4522;top:2517;width:1992;height:1088" coordorigin="4522,2517" coordsize="1992,1088" path="m5518,2517l4522,3062,5518,3604,6514,3062,5518,2517xe" filled="true" fillcolor="#ffffff" stroked="false">
              <v:path arrowok="t"/>
              <v:fill type="solid"/>
            </v:shape>
            <v:shape style="position:absolute;left:4522;top:2517;width:1992;height:1088" coordorigin="4522,2517" coordsize="1992,1088" path="m5518,2517l4522,3062,5518,3604,6514,3062,5518,2517xe" filled="false" stroked="true" strokeweight=".75pt" strokecolor="#010101">
              <v:path arrowok="t"/>
              <v:stroke dashstyle="solid"/>
            </v:shape>
            <v:shape style="position:absolute;left:4160;top:3966;width:2715;height:1760" coordorigin="4160,3967" coordsize="2715,1760" path="m5518,3967l4160,4847,5518,5726,6874,4847,5518,3967xe" filled="true" fillcolor="#ffffff" stroked="false">
              <v:path arrowok="t"/>
              <v:fill type="solid"/>
            </v:shape>
            <v:shape style="position:absolute;left:4160;top:3966;width:2715;height:1760" coordorigin="4160,3967" coordsize="2715,1760" path="m5518,3967l4160,4847,5518,5726,6874,4847,5518,3967xe" filled="false" stroked="true" strokeweight=".75pt" strokecolor="#010101">
              <v:path arrowok="t"/>
              <v:stroke dashstyle="solid"/>
            </v:shape>
            <v:shape style="position:absolute;left:6507;top:3004;width:1258;height:120" coordorigin="6507,3004" coordsize="1258,120" path="m7645,3057l7645,3124,7750,3071,7669,3071,7671,3067,7671,3059,7669,3057,7645,3057xm6514,3055l6510,3055,6507,3059,6507,3067,6510,3071,7645,3071,7645,3057,6514,3055xm7645,3004l7645,3057,7664,3057,7669,3057,7671,3059,7671,3067,7669,3071,7750,3071,7765,3064,7645,3004xe" filled="true" fillcolor="#010101" stroked="false">
              <v:path arrowok="t"/>
              <v:fill type="solid"/>
            </v:shape>
            <v:shape style="position:absolute;left:7419;top:4146;width:1911;height:1400" coordorigin="7419,4147" coordsize="1911,1400" path="m8374,4147l7419,4847,8374,5546,9330,4847,8374,4147xe" filled="false" stroked="true" strokeweight=".75pt" strokecolor="#010101">
              <v:path arrowok="t"/>
              <v:stroke dashstyle="solid"/>
            </v:shape>
            <v:shape style="position:absolute;left:6867;top:4787;width:552;height:120" coordorigin="6867,4787" coordsize="552,120" path="m7299,4787l7299,4907,7405,4855,7323,4855,7326,4852,7326,4843,7323,4840,7405,4840,7299,4787xm7299,4840l6870,4840,6867,4843,6867,4850,6870,4855,7299,4855,7299,4840xm7405,4840l7323,4840,7326,4843,7326,4852,7323,4855,7405,4855,7419,4847,7405,4840xe" filled="true" fillcolor="#010101" stroked="false">
              <v:path arrowok="t"/>
              <v:fill type="solid"/>
            </v:shape>
            <v:shape style="position:absolute;left:4522;top:5958;width:1992;height:1085" coordorigin="4522,5959" coordsize="1992,1085" path="m5518,5959l4522,6501,5518,7043,6514,6501,5518,5959xe" filled="true" fillcolor="#ffffff" stroked="false">
              <v:path arrowok="t"/>
              <v:fill type="solid"/>
            </v:shape>
            <v:shape style="position:absolute;left:4522;top:5958;width:1992;height:1085" coordorigin="4522,5959" coordsize="1992,1085" path="m5518,5959l4522,6501,5518,7043,6514,6501,5518,5959xe" filled="false" stroked="true" strokeweight=".75pt" strokecolor="#010101">
              <v:path arrowok="t"/>
              <v:stroke dashstyle="solid"/>
            </v:shape>
            <v:shape style="position:absolute;left:4342;top:7674;width:2352;height:1812" coordorigin="4342,7675" coordsize="2352,1812" path="m5518,7675l4342,8582,5518,9487,6694,8582,5518,7675xe" filled="true" fillcolor="#ffffff" stroked="false">
              <v:path arrowok="t"/>
              <v:fill type="solid"/>
            </v:shape>
            <v:shape style="position:absolute;left:4342;top:7674;width:2352;height:1812" coordorigin="4342,7675" coordsize="2352,1812" path="m5518,7675l4342,8582,5518,9487,6694,8582,5518,7675xe" filled="false" stroked="true" strokeweight=".75pt" strokecolor="#010101">
              <v:path arrowok="t"/>
              <v:stroke dashstyle="solid"/>
            </v:shape>
            <v:rect style="position:absolute;left:2892;top:9301;width:2172;height:1349" filled="true" fillcolor="#ffffff" stroked="false">
              <v:fill type="solid"/>
            </v:rect>
            <v:rect style="position:absolute;left:6149;top:9301;width:1810;height:1349" filled="true" fillcolor="#ffffff" stroked="false">
              <v:fill type="solid"/>
            </v:rect>
            <v:shape style="position:absolute;left:3920;top:8574;width:430;height:716" coordorigin="3920,8575" coordsize="430,716" path="m3973,9170l3920,9170,3980,9290,4027,9196,3975,9196,3973,9194,3973,9170xm4345,8575l3975,8575,3973,8579,3973,9194,3975,9196,3985,9196,3987,9194,3987,8591,3980,8591,3987,8582,4350,8582,4350,8579,4345,8575xm4040,9170l3987,9170,3987,9194,3985,9196,4027,9196,4040,9170xm3987,8582l3980,8591,3987,8591,3987,8582xm4350,8582l3987,8582,3987,8591,4345,8591,4350,8587,4350,8582xe" filled="true" fillcolor="#010101" stroked="false">
              <v:path arrowok="t"/>
              <v:fill type="solid"/>
            </v:shape>
            <v:shape style="position:absolute;left:5448;top:7036;width:120;height:639" coordorigin="5449,7036" coordsize="120,639" path="m5502,7555l5449,7555,5509,7675,5554,7583,5509,7583,5504,7581,5502,7579,5502,7574,5502,7555xm5521,7036l5514,7036,5509,7039,5509,7043,5502,7574,5502,7579,5504,7581,5509,7583,5514,7583,5516,7579,5516,7574,5523,7043,5523,7039,5521,7036xm5569,7555l5516,7555,5516,7574,5516,7579,5514,7583,5554,7583,5569,7555xe" filled="true" fillcolor="#010101" stroked="false">
              <v:path arrowok="t"/>
              <v:fill type="solid"/>
            </v:shape>
            <v:shape style="position:absolute;left:5460;top:3597;width:120;height:370" type="#_x0000_t75" stroked="false">
              <v:imagedata r:id="rId28" o:title=""/>
            </v:shape>
            <v:shape style="position:absolute;left:5458;top:1787;width:120;height:730" coordorigin="5458,1787" coordsize="120,730" path="m5458,2397l5516,2517,5564,2426,5514,2426,5511,2421,5511,2419,5512,2398,5458,2397xm5512,2398l5511,2419,5511,2421,5514,2426,5523,2426,5526,2421,5526,2419,5526,2398,5512,2398xm5526,2398l5526,2419,5526,2421,5523,2426,5564,2426,5578,2399,5526,2398xm5533,1787l5526,1787,5521,1790,5521,1795,5512,2398,5526,2398,5535,1795,5535,1790,5533,1787xe" filled="true" fillcolor="#010101" stroked="false">
              <v:path arrowok="t"/>
              <v:fill type="solid"/>
            </v:shape>
            <v:shape style="position:absolute;left:6687;top:8574;width:430;height:716" coordorigin="6687,8575" coordsize="430,716" path="m7050,9170l6997,9170,7057,9290,7104,9196,7052,9196,7050,9194,7050,9170xm7050,8582l7050,9194,7052,9196,7062,9196,7064,9194,7064,8591,7057,8591,7050,8582xm7117,9170l7064,9170,7064,9194,7062,9196,7104,9196,7117,9170xm7062,8575l6690,8575,6687,8579,6687,8587,6690,8591,7050,8591,7050,8582,7064,8582,7064,8579,7062,8575xm7064,8582l7050,8582,7057,8591,7064,8591,7064,8582xe" filled="true" fillcolor="#010101" stroked="false">
              <v:path arrowok="t"/>
              <v:fill type="solid"/>
            </v:shape>
            <v:shape style="position:absolute;left:2832;top:6493;width:1697;height:370" coordorigin="2833,6494" coordsize="1697,370" path="m2886,6743l2833,6743,2893,6863,2940,6770,2890,6770,2886,6767,2886,6743xm4525,6494l2890,6494,2886,6496,2886,6767,2890,6770,2898,6770,2902,6767,2902,6508,2893,6508,2902,6501,4530,6501,4530,6496,4525,6494xm2953,6743l2902,6743,2902,6767,2898,6770,2940,6770,2953,6743xm2902,6501l2893,6508,2902,6508,2902,6501xm4530,6501l2902,6501,2902,6508,4525,6508,4530,6506,4530,6501xe" filled="true" fillcolor="#010101" stroked="false">
              <v:path arrowok="t"/>
              <v:fill type="solid"/>
            </v:shape>
            <v:shape style="position:absolute;left:3790;top:7345;width:1707;height:120" coordorigin="3790,7346" coordsize="1707,120" path="m5377,7399l5377,7466,5482,7413,5401,7413,5406,7411,5406,7401,5401,7399,5377,7399xm3798,7396l3793,7396,3790,7401,3790,7408,3793,7413,5377,7413,5377,7399,3798,7396xm5377,7346l5377,7399,5398,7399,5401,7399,5406,7401,5406,7411,5401,7413,5482,7413,5497,7406,5377,7346xe" filled="true" fillcolor="#010101" stroked="false">
              <v:path arrowok="t"/>
              <v:fill type="solid"/>
            </v:shape>
            <v:line style="position:absolute" from="8370,5560" to="8372,7401" stroked="true" strokeweight=".75pt" strokecolor="#010101">
              <v:stroke dashstyle="solid"/>
            </v:line>
            <v:shape style="position:absolute;left:5506;top:7345;width:2873;height:120" coordorigin="5506,7346" coordsize="2873,120" path="m5626,7346l5506,7406,5626,7466,5626,7413,5602,7413,5598,7411,5598,7401,5602,7399,5626,7399,5626,7346xm5626,7399l5602,7399,5598,7401,5598,7411,5602,7413,5626,7413,5626,7399xm8374,7396l5626,7399,5626,7413,8374,7413,8379,7408,8379,7401,8374,7396xe" filled="true" fillcolor="#010101" stroked="false">
              <v:path arrowok="t"/>
              <v:fill type="solid"/>
            </v:shape>
            <v:shape style="position:absolute;left:9322;top:4840;width:329;height:4450" coordorigin="9322,4840" coordsize="329,4450" path="m9584,9170l9531,9170,9591,9290,9638,9196,9586,9196,9584,9194,9584,9170xm9584,4847l9584,9194,9586,9196,9596,9196,9598,9194,9598,4855,9591,4855,9584,4847xm9651,9170l9598,9170,9598,9194,9596,9196,9638,9196,9651,9170xm9596,4840l9327,4840,9322,4843,9322,4850,9327,4855,9584,4855,9584,4847,9598,4847,9598,4843,9596,4840xm9598,4847l9584,4847,9591,4855,9598,4855,9598,4847xe" filled="true" fillcolor="#010101" stroked="false">
              <v:path arrowok="t"/>
              <v:fill type="solid"/>
            </v:shape>
            <v:shape style="position:absolute;left:5458;top:5718;width:120;height:240" type="#_x0000_t75" stroked="false">
              <v:imagedata r:id="rId29" o:title=""/>
            </v:shape>
            <v:line style="position:absolute" from="1443,11011" to="5242,11013" stroked="true" strokeweight=".75pt" strokecolor="#010101">
              <v:stroke dashstyle="solid"/>
            </v:line>
            <v:shape style="position:absolute;left:1589;top:393;width:2778;height:1606" type="#_x0000_t202" filled="false" stroked="false">
              <v:textbox inset="0,0,0,0">
                <w:txbxContent>
                  <w:p>
                    <w:pPr>
                      <w:spacing w:line="221" w:lineRule="exact" w:before="0"/>
                      <w:ind w:left="0" w:right="0" w:firstLine="0"/>
                      <w:jc w:val="left"/>
                      <w:rPr>
                        <w:sz w:val="20"/>
                      </w:rPr>
                    </w:pPr>
                    <w:r>
                      <w:rPr>
                        <w:sz w:val="20"/>
                      </w:rPr>
                      <w:t>Repeat for each land use category:</w:t>
                    </w:r>
                  </w:p>
                  <w:p>
                    <w:pPr>
                      <w:numPr>
                        <w:ilvl w:val="0"/>
                        <w:numId w:val="40"/>
                      </w:numPr>
                      <w:tabs>
                        <w:tab w:pos="118" w:val="left" w:leader="none"/>
                      </w:tabs>
                      <w:spacing w:before="0"/>
                      <w:ind w:left="117" w:right="0" w:hanging="117"/>
                      <w:jc w:val="left"/>
                      <w:rPr>
                        <w:sz w:val="20"/>
                      </w:rPr>
                    </w:pPr>
                    <w:r>
                      <w:rPr>
                        <w:sz w:val="20"/>
                      </w:rPr>
                      <w:t>LF</w:t>
                    </w:r>
                  </w:p>
                  <w:p>
                    <w:pPr>
                      <w:numPr>
                        <w:ilvl w:val="0"/>
                        <w:numId w:val="40"/>
                      </w:numPr>
                      <w:tabs>
                        <w:tab w:pos="118" w:val="left" w:leader="none"/>
                      </w:tabs>
                      <w:spacing w:line="229" w:lineRule="exact" w:before="1"/>
                      <w:ind w:left="117" w:right="0" w:hanging="117"/>
                      <w:jc w:val="left"/>
                      <w:rPr>
                        <w:sz w:val="20"/>
                      </w:rPr>
                    </w:pPr>
                    <w:r>
                      <w:rPr>
                        <w:sz w:val="20"/>
                      </w:rPr>
                      <w:t>LG</w:t>
                    </w:r>
                  </w:p>
                  <w:p>
                    <w:pPr>
                      <w:numPr>
                        <w:ilvl w:val="0"/>
                        <w:numId w:val="40"/>
                      </w:numPr>
                      <w:tabs>
                        <w:tab w:pos="118" w:val="left" w:leader="none"/>
                      </w:tabs>
                      <w:spacing w:line="229" w:lineRule="exact" w:before="0"/>
                      <w:ind w:left="117" w:right="0" w:hanging="117"/>
                      <w:jc w:val="left"/>
                      <w:rPr>
                        <w:sz w:val="20"/>
                      </w:rPr>
                    </w:pPr>
                    <w:r>
                      <w:rPr>
                        <w:sz w:val="20"/>
                      </w:rPr>
                      <w:t>LC</w:t>
                    </w:r>
                  </w:p>
                  <w:p>
                    <w:pPr>
                      <w:numPr>
                        <w:ilvl w:val="0"/>
                        <w:numId w:val="40"/>
                      </w:numPr>
                      <w:tabs>
                        <w:tab w:pos="118" w:val="left" w:leader="none"/>
                      </w:tabs>
                      <w:spacing w:before="0"/>
                      <w:ind w:left="117" w:right="0" w:hanging="117"/>
                      <w:jc w:val="left"/>
                      <w:rPr>
                        <w:sz w:val="20"/>
                      </w:rPr>
                    </w:pPr>
                    <w:r>
                      <w:rPr>
                        <w:sz w:val="20"/>
                      </w:rPr>
                      <w:t>LW</w:t>
                    </w:r>
                  </w:p>
                  <w:p>
                    <w:pPr>
                      <w:numPr>
                        <w:ilvl w:val="0"/>
                        <w:numId w:val="40"/>
                      </w:numPr>
                      <w:tabs>
                        <w:tab w:pos="118" w:val="left" w:leader="none"/>
                      </w:tabs>
                      <w:spacing w:before="0"/>
                      <w:ind w:left="117" w:right="0" w:hanging="117"/>
                      <w:jc w:val="left"/>
                      <w:rPr>
                        <w:sz w:val="20"/>
                      </w:rPr>
                    </w:pPr>
                    <w:r>
                      <w:rPr>
                        <w:sz w:val="20"/>
                      </w:rPr>
                      <w:t>LS</w:t>
                    </w:r>
                  </w:p>
                  <w:p>
                    <w:pPr>
                      <w:numPr>
                        <w:ilvl w:val="0"/>
                        <w:numId w:val="40"/>
                      </w:numPr>
                      <w:tabs>
                        <w:tab w:pos="118" w:val="left" w:leader="none"/>
                      </w:tabs>
                      <w:spacing w:before="6"/>
                      <w:ind w:left="117" w:right="0" w:hanging="117"/>
                      <w:jc w:val="left"/>
                      <w:rPr>
                        <w:sz w:val="20"/>
                      </w:rPr>
                    </w:pPr>
                    <w:r>
                      <w:rPr>
                        <w:sz w:val="20"/>
                      </w:rPr>
                      <w:t>LO</w:t>
                    </w:r>
                  </w:p>
                </w:txbxContent>
              </v:textbox>
              <w10:wrap type="none"/>
            </v:shape>
            <v:shape style="position:absolute;left:4608;top:601;width:1910;height:910" type="#_x0000_t202" filled="false" stroked="false">
              <v:textbox inset="0,0,0,0">
                <w:txbxContent>
                  <w:p>
                    <w:pPr>
                      <w:spacing w:line="220" w:lineRule="exact" w:before="0"/>
                      <w:ind w:left="544" w:right="0" w:firstLine="0"/>
                      <w:jc w:val="left"/>
                      <w:rPr>
                        <w:sz w:val="20"/>
                      </w:rPr>
                    </w:pPr>
                    <w:r>
                      <w:rPr>
                        <w:sz w:val="20"/>
                      </w:rPr>
                      <w:t>Are there</w:t>
                    </w:r>
                  </w:p>
                  <w:p>
                    <w:pPr>
                      <w:spacing w:before="0"/>
                      <w:ind w:left="0" w:right="18" w:firstLine="0"/>
                      <w:jc w:val="center"/>
                      <w:rPr>
                        <w:sz w:val="20"/>
                      </w:rPr>
                    </w:pPr>
                    <w:r>
                      <w:rPr>
                        <w:sz w:val="20"/>
                      </w:rPr>
                      <w:t>any land conversions</w:t>
                    </w:r>
                    <w:r>
                      <w:rPr>
                        <w:spacing w:val="-15"/>
                        <w:sz w:val="20"/>
                      </w:rPr>
                      <w:t> </w:t>
                    </w:r>
                    <w:r>
                      <w:rPr>
                        <w:sz w:val="20"/>
                      </w:rPr>
                      <w:t>to forest</w:t>
                    </w:r>
                    <w:r>
                      <w:rPr>
                        <w:spacing w:val="-1"/>
                        <w:sz w:val="20"/>
                      </w:rPr>
                      <w:t> </w:t>
                    </w:r>
                    <w:r>
                      <w:rPr>
                        <w:sz w:val="20"/>
                      </w:rPr>
                      <w:t>land?</w:t>
                    </w:r>
                  </w:p>
                  <w:p>
                    <w:pPr>
                      <w:spacing w:before="0"/>
                      <w:ind w:left="583" w:right="0" w:firstLine="0"/>
                      <w:jc w:val="left"/>
                      <w:rPr>
                        <w:sz w:val="20"/>
                      </w:rPr>
                    </w:pPr>
                    <w:r>
                      <w:rPr>
                        <w:sz w:val="20"/>
                      </w:rPr>
                      <w:t>(Note 1)</w:t>
                    </w:r>
                  </w:p>
                </w:txbxContent>
              </v:textbox>
              <w10:wrap type="none"/>
            </v:shape>
            <v:shape style="position:absolute;left:6828;top:714;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5561;top:1799;width:331;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1733;top:2421;width:1646;height:926" type="#_x0000_t202" filled="false" stroked="false">
              <v:textbox inset="0,0,0,0">
                <w:txbxContent>
                  <w:p>
                    <w:pPr>
                      <w:spacing w:line="221" w:lineRule="exact" w:before="0"/>
                      <w:ind w:left="0" w:right="0" w:firstLine="0"/>
                      <w:jc w:val="left"/>
                      <w:rPr>
                        <w:sz w:val="20"/>
                      </w:rPr>
                    </w:pPr>
                    <w:r>
                      <w:rPr>
                        <w:sz w:val="20"/>
                      </w:rPr>
                      <w:t>Repeat for each gas:</w:t>
                    </w:r>
                  </w:p>
                  <w:p>
                    <w:pPr>
                      <w:numPr>
                        <w:ilvl w:val="0"/>
                        <w:numId w:val="41"/>
                      </w:numPr>
                      <w:tabs>
                        <w:tab w:pos="116" w:val="left" w:leader="none"/>
                      </w:tabs>
                      <w:spacing w:before="0"/>
                      <w:ind w:left="115" w:right="0" w:hanging="115"/>
                      <w:jc w:val="left"/>
                      <w:rPr>
                        <w:sz w:val="20"/>
                      </w:rPr>
                    </w:pPr>
                    <w:r>
                      <w:rPr>
                        <w:sz w:val="20"/>
                      </w:rPr>
                      <w:t>CO</w:t>
                    </w:r>
                    <w:r>
                      <w:rPr>
                        <w:sz w:val="20"/>
                        <w:vertAlign w:val="subscript"/>
                      </w:rPr>
                      <w:t>2</w:t>
                    </w:r>
                    <w:r>
                      <w:rPr>
                        <w:spacing w:val="-1"/>
                        <w:sz w:val="20"/>
                        <w:vertAlign w:val="baseline"/>
                      </w:rPr>
                      <w:t> </w:t>
                    </w:r>
                    <w:r>
                      <w:rPr>
                        <w:sz w:val="20"/>
                        <w:vertAlign w:val="baseline"/>
                      </w:rPr>
                      <w:t>(carbon)</w:t>
                    </w:r>
                  </w:p>
                  <w:p>
                    <w:pPr>
                      <w:numPr>
                        <w:ilvl w:val="0"/>
                        <w:numId w:val="41"/>
                      </w:numPr>
                      <w:tabs>
                        <w:tab w:pos="116" w:val="left" w:leader="none"/>
                      </w:tabs>
                      <w:spacing w:line="229" w:lineRule="exact" w:before="1"/>
                      <w:ind w:left="115" w:right="0" w:hanging="115"/>
                      <w:jc w:val="left"/>
                      <w:rPr>
                        <w:sz w:val="20"/>
                      </w:rPr>
                    </w:pPr>
                    <w:r>
                      <w:rPr>
                        <w:sz w:val="20"/>
                      </w:rPr>
                      <w:t>CH</w:t>
                    </w:r>
                    <w:r>
                      <w:rPr>
                        <w:sz w:val="20"/>
                        <w:vertAlign w:val="subscript"/>
                      </w:rPr>
                      <w:t>4</w:t>
                    </w:r>
                  </w:p>
                  <w:p>
                    <w:pPr>
                      <w:numPr>
                        <w:ilvl w:val="0"/>
                        <w:numId w:val="41"/>
                      </w:numPr>
                      <w:tabs>
                        <w:tab w:pos="116" w:val="left" w:leader="none"/>
                      </w:tabs>
                      <w:spacing w:line="229" w:lineRule="exact" w:before="0"/>
                      <w:ind w:left="115" w:right="0" w:hanging="115"/>
                      <w:jc w:val="left"/>
                      <w:rPr>
                        <w:sz w:val="20"/>
                      </w:rPr>
                    </w:pPr>
                    <w:r>
                      <w:rPr>
                        <w:sz w:val="20"/>
                      </w:rPr>
                      <w:t>N</w:t>
                    </w:r>
                    <w:r>
                      <w:rPr>
                        <w:sz w:val="20"/>
                        <w:vertAlign w:val="subscript"/>
                      </w:rPr>
                      <w:t>2</w:t>
                    </w:r>
                    <w:r>
                      <w:rPr>
                        <w:sz w:val="20"/>
                        <w:vertAlign w:val="baseline"/>
                      </w:rPr>
                      <w:t>O</w:t>
                    </w:r>
                  </w:p>
                </w:txbxContent>
              </v:textbox>
              <w10:wrap type="none"/>
            </v:shape>
            <v:shape style="position:absolute;left:4896;top:2728;width:1274;height:679" type="#_x0000_t202" filled="false" stroked="false">
              <v:textbox inset="0,0,0,0">
                <w:txbxContent>
                  <w:p>
                    <w:pPr>
                      <w:spacing w:line="220" w:lineRule="exact" w:before="0"/>
                      <w:ind w:left="415" w:right="0" w:firstLine="0"/>
                      <w:jc w:val="left"/>
                      <w:rPr>
                        <w:sz w:val="20"/>
                      </w:rPr>
                    </w:pPr>
                    <w:r>
                      <w:rPr>
                        <w:sz w:val="20"/>
                      </w:rPr>
                      <w:t>Is LF</w:t>
                    </w:r>
                  </w:p>
                  <w:p>
                    <w:pPr>
                      <w:spacing w:before="0"/>
                      <w:ind w:left="-1" w:right="18" w:firstLine="0"/>
                      <w:jc w:val="center"/>
                      <w:rPr>
                        <w:sz w:val="20"/>
                      </w:rPr>
                    </w:pPr>
                    <w:r>
                      <w:rPr>
                        <w:sz w:val="20"/>
                      </w:rPr>
                      <w:t>a key </w:t>
                    </w:r>
                    <w:r>
                      <w:rPr>
                        <w:spacing w:val="-3"/>
                        <w:sz w:val="20"/>
                      </w:rPr>
                      <w:t>category? </w:t>
                    </w:r>
                    <w:r>
                      <w:rPr>
                        <w:sz w:val="20"/>
                      </w:rPr>
                      <w:t>(Note 2)</w:t>
                    </w:r>
                  </w:p>
                </w:txbxContent>
              </v:textbox>
              <w10:wrap type="none"/>
            </v:shape>
            <v:shape style="position:absolute;left:6646;top:2704;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5561;top:3611;width:331;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1877;top:3909;width:2445;height:1035" type="#_x0000_t202" filled="false" stroked="false">
              <v:textbox inset="0,0,0,0">
                <w:txbxContent>
                  <w:p>
                    <w:pPr>
                      <w:spacing w:line="221" w:lineRule="exact" w:before="0"/>
                      <w:ind w:left="0" w:right="0" w:firstLine="0"/>
                      <w:jc w:val="left"/>
                      <w:rPr>
                        <w:sz w:val="20"/>
                      </w:rPr>
                    </w:pPr>
                    <w:r>
                      <w:rPr>
                        <w:sz w:val="20"/>
                      </w:rPr>
                      <w:t>Repeat for each subcategory*:</w:t>
                    </w:r>
                  </w:p>
                  <w:p>
                    <w:pPr>
                      <w:numPr>
                        <w:ilvl w:val="0"/>
                        <w:numId w:val="42"/>
                      </w:numPr>
                      <w:tabs>
                        <w:tab w:pos="116" w:val="left" w:leader="none"/>
                      </w:tabs>
                      <w:spacing w:before="118"/>
                      <w:ind w:left="115" w:right="0" w:hanging="115"/>
                      <w:jc w:val="left"/>
                      <w:rPr>
                        <w:sz w:val="20"/>
                      </w:rPr>
                    </w:pPr>
                    <w:r>
                      <w:rPr>
                        <w:sz w:val="20"/>
                      </w:rPr>
                      <w:t>Biomass</w:t>
                    </w:r>
                  </w:p>
                  <w:p>
                    <w:pPr>
                      <w:numPr>
                        <w:ilvl w:val="0"/>
                        <w:numId w:val="42"/>
                      </w:numPr>
                      <w:tabs>
                        <w:tab w:pos="116" w:val="left" w:leader="none"/>
                      </w:tabs>
                      <w:spacing w:before="0"/>
                      <w:ind w:left="115" w:right="0" w:hanging="115"/>
                      <w:jc w:val="left"/>
                      <w:rPr>
                        <w:sz w:val="20"/>
                      </w:rPr>
                    </w:pPr>
                    <w:r>
                      <w:rPr>
                        <w:sz w:val="20"/>
                      </w:rPr>
                      <w:t>Dead organic</w:t>
                    </w:r>
                    <w:r>
                      <w:rPr>
                        <w:spacing w:val="1"/>
                        <w:sz w:val="20"/>
                      </w:rPr>
                      <w:t> </w:t>
                    </w:r>
                    <w:r>
                      <w:rPr>
                        <w:sz w:val="20"/>
                      </w:rPr>
                      <w:t>matter</w:t>
                    </w:r>
                  </w:p>
                  <w:p>
                    <w:pPr>
                      <w:numPr>
                        <w:ilvl w:val="0"/>
                        <w:numId w:val="42"/>
                      </w:numPr>
                      <w:tabs>
                        <w:tab w:pos="116" w:val="left" w:leader="none"/>
                      </w:tabs>
                      <w:spacing w:before="5"/>
                      <w:ind w:left="115" w:right="0" w:hanging="115"/>
                      <w:jc w:val="left"/>
                      <w:rPr>
                        <w:sz w:val="20"/>
                      </w:rPr>
                    </w:pPr>
                    <w:r>
                      <w:rPr>
                        <w:sz w:val="20"/>
                      </w:rPr>
                      <w:t>Soils</w:t>
                    </w:r>
                  </w:p>
                </w:txbxContent>
              </v:textbox>
              <w10:wrap type="none"/>
            </v:shape>
            <v:shape style="position:absolute;left:4498;top:4259;width:2061;height:1140" type="#_x0000_t202" filled="false" stroked="false">
              <v:textbox inset="0,0,0,0">
                <w:txbxContent>
                  <w:p>
                    <w:pPr>
                      <w:spacing w:line="240" w:lineRule="auto" w:before="0"/>
                      <w:ind w:left="309" w:right="278" w:hanging="51"/>
                      <w:jc w:val="center"/>
                      <w:rPr>
                        <w:sz w:val="20"/>
                      </w:rPr>
                    </w:pPr>
                    <w:r>
                      <w:rPr>
                        <w:sz w:val="20"/>
                      </w:rPr>
                      <w:t>Ask for each subcategory under</w:t>
                    </w:r>
                  </w:p>
                  <w:p>
                    <w:pPr>
                      <w:spacing w:before="0"/>
                      <w:ind w:left="35" w:right="54" w:firstLine="0"/>
                      <w:jc w:val="center"/>
                      <w:rPr>
                        <w:sz w:val="20"/>
                      </w:rPr>
                    </w:pPr>
                    <w:r>
                      <w:rPr>
                        <w:sz w:val="20"/>
                      </w:rPr>
                      <w:t>LF (Note 3): Is this</w:t>
                    </w:r>
                    <w:r>
                      <w:rPr>
                        <w:spacing w:val="-8"/>
                        <w:sz w:val="20"/>
                      </w:rPr>
                      <w:t> </w:t>
                    </w:r>
                    <w:r>
                      <w:rPr>
                        <w:sz w:val="20"/>
                      </w:rPr>
                      <w:t>sub- category significant? (Note 4)</w:t>
                    </w:r>
                  </w:p>
                </w:txbxContent>
              </v:textbox>
              <w10:wrap type="none"/>
            </v:shape>
            <v:shape style="position:absolute;left:6828;top:4516;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7743;top:4461;width:1319;height:682" type="#_x0000_t202" filled="false" stroked="false">
              <v:textbox inset="0,0,0,0">
                <w:txbxContent>
                  <w:p>
                    <w:pPr>
                      <w:spacing w:line="240" w:lineRule="auto" w:before="0"/>
                      <w:ind w:left="0" w:right="18" w:firstLine="501"/>
                      <w:jc w:val="left"/>
                      <w:rPr>
                        <w:sz w:val="20"/>
                      </w:rPr>
                    </w:pPr>
                    <w:r>
                      <w:rPr>
                        <w:sz w:val="20"/>
                      </w:rPr>
                      <w:t>Are </w:t>
                    </w:r>
                    <w:r>
                      <w:rPr>
                        <w:w w:val="95"/>
                        <w:sz w:val="20"/>
                      </w:rPr>
                      <w:t>country-specific </w:t>
                    </w:r>
                    <w:r>
                      <w:rPr>
                        <w:sz w:val="20"/>
                      </w:rPr>
                      <w:t>data available?</w:t>
                    </w:r>
                  </w:p>
                </w:txbxContent>
              </v:textbox>
              <w10:wrap type="none"/>
            </v:shape>
            <v:shape style="position:absolute;left:9363;top:4516;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5724;top:5620;width:331;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8441;top:5620;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4294;top:6133;width:2075;height:1135" type="#_x0000_t202" filled="false" stroked="false">
              <v:textbox inset="0,0,0,0">
                <w:txbxContent>
                  <w:p>
                    <w:pPr>
                      <w:tabs>
                        <w:tab w:pos="1063" w:val="left" w:leader="none"/>
                      </w:tabs>
                      <w:spacing w:line="226" w:lineRule="exact" w:before="0"/>
                      <w:ind w:left="0" w:right="0" w:firstLine="0"/>
                      <w:jc w:val="left"/>
                      <w:rPr>
                        <w:sz w:val="20"/>
                      </w:rPr>
                    </w:pPr>
                    <w:r>
                      <w:rPr>
                        <w:sz w:val="20"/>
                      </w:rPr>
                      <w:t>No</w:t>
                      <w:tab/>
                    </w:r>
                    <w:r>
                      <w:rPr>
                        <w:position w:val="1"/>
                        <w:sz w:val="20"/>
                      </w:rPr>
                      <w:t>Are</w:t>
                    </w:r>
                  </w:p>
                  <w:p>
                    <w:pPr>
                      <w:spacing w:line="240" w:lineRule="auto" w:before="0"/>
                      <w:ind w:left="806" w:right="1" w:hanging="435"/>
                      <w:jc w:val="left"/>
                      <w:rPr>
                        <w:sz w:val="20"/>
                      </w:rPr>
                    </w:pPr>
                    <w:r>
                      <w:rPr>
                        <w:sz w:val="20"/>
                      </w:rPr>
                      <w:t>country-specific data available?</w:t>
                    </w:r>
                  </w:p>
                  <w:p>
                    <w:pPr>
                      <w:spacing w:line="240" w:lineRule="auto" w:before="0"/>
                      <w:rPr>
                        <w:b/>
                        <w:sz w:val="19"/>
                      </w:rPr>
                    </w:pPr>
                  </w:p>
                  <w:p>
                    <w:pPr>
                      <w:spacing w:before="1"/>
                      <w:ind w:left="1267" w:right="0" w:firstLine="0"/>
                      <w:jc w:val="left"/>
                      <w:rPr>
                        <w:sz w:val="20"/>
                      </w:rPr>
                    </w:pPr>
                    <w:r>
                      <w:rPr>
                        <w:sz w:val="20"/>
                      </w:rPr>
                      <w:t>Yes</w:t>
                    </w:r>
                  </w:p>
                </w:txbxContent>
              </v:textbox>
              <w10:wrap type="none"/>
            </v:shape>
            <v:shape style="position:absolute;left:4114;top:8315;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4659;top:7869;width:1719;height:1371" type="#_x0000_t202" filled="false" stroked="false">
              <v:textbox inset="0,0,0,0">
                <w:txbxContent>
                  <w:p>
                    <w:pPr>
                      <w:spacing w:line="240" w:lineRule="auto" w:before="0"/>
                      <w:ind w:left="472" w:right="489" w:hanging="1"/>
                      <w:jc w:val="center"/>
                      <w:rPr>
                        <w:sz w:val="20"/>
                      </w:rPr>
                    </w:pPr>
                    <w:r>
                      <w:rPr>
                        <w:sz w:val="20"/>
                      </w:rPr>
                      <w:t>Are advanced</w:t>
                    </w:r>
                  </w:p>
                  <w:p>
                    <w:pPr>
                      <w:spacing w:before="0"/>
                      <w:ind w:left="0" w:right="18" w:firstLine="0"/>
                      <w:jc w:val="center"/>
                      <w:rPr>
                        <w:sz w:val="20"/>
                      </w:rPr>
                    </w:pPr>
                    <w:r>
                      <w:rPr>
                        <w:sz w:val="20"/>
                      </w:rPr>
                      <w:t>methods and detailed data for LF available in your</w:t>
                    </w:r>
                  </w:p>
                  <w:p>
                    <w:pPr>
                      <w:spacing w:line="229" w:lineRule="exact" w:before="0"/>
                      <w:ind w:left="0" w:right="22" w:firstLine="0"/>
                      <w:jc w:val="center"/>
                      <w:rPr>
                        <w:sz w:val="20"/>
                      </w:rPr>
                    </w:pPr>
                    <w:r>
                      <w:rPr>
                        <w:sz w:val="20"/>
                      </w:rPr>
                      <w:t>country?</w:t>
                    </w:r>
                  </w:p>
                </w:txbxContent>
              </v:textbox>
              <w10:wrap type="none"/>
            </v:shape>
            <v:shape style="position:absolute;left:6646;top:8315;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8686;top:9304;width:1810;height:1354" type="#_x0000_t202" filled="false" stroked="true" strokeweight="1.5pt" strokecolor="#010101">
              <v:textbox inset="0,0,0,0">
                <w:txbxContent>
                  <w:p>
                    <w:pPr>
                      <w:spacing w:before="64"/>
                      <w:ind w:left="59" w:right="59" w:firstLine="0"/>
                      <w:jc w:val="center"/>
                      <w:rPr>
                        <w:sz w:val="20"/>
                      </w:rPr>
                    </w:pPr>
                    <w:r>
                      <w:rPr>
                        <w:sz w:val="20"/>
                      </w:rPr>
                      <w:t>Use default </w:t>
                    </w:r>
                    <w:r>
                      <w:rPr>
                        <w:spacing w:val="-3"/>
                        <w:sz w:val="20"/>
                      </w:rPr>
                      <w:t>data </w:t>
                    </w:r>
                    <w:r>
                      <w:rPr>
                        <w:sz w:val="20"/>
                      </w:rPr>
                      <w:t>(Note 5)</w:t>
                    </w:r>
                  </w:p>
                  <w:p>
                    <w:pPr>
                      <w:spacing w:line="240" w:lineRule="auto" w:before="0"/>
                      <w:rPr>
                        <w:b/>
                        <w:sz w:val="22"/>
                      </w:rPr>
                    </w:pPr>
                  </w:p>
                  <w:p>
                    <w:pPr>
                      <w:spacing w:line="240" w:lineRule="auto" w:before="9"/>
                      <w:rPr>
                        <w:b/>
                        <w:sz w:val="18"/>
                      </w:rPr>
                    </w:pPr>
                  </w:p>
                  <w:p>
                    <w:pPr>
                      <w:spacing w:before="0"/>
                      <w:ind w:left="59" w:right="60" w:firstLine="0"/>
                      <w:jc w:val="center"/>
                      <w:rPr>
                        <w:sz w:val="20"/>
                      </w:rPr>
                    </w:pPr>
                    <w:r>
                      <w:rPr>
                        <w:sz w:val="20"/>
                      </w:rPr>
                      <w:t>(</w:t>
                    </w:r>
                    <w:r>
                      <w:rPr>
                        <w:b/>
                        <w:sz w:val="20"/>
                      </w:rPr>
                      <w:t>Tier</w:t>
                    </w:r>
                    <w:r>
                      <w:rPr>
                        <w:b/>
                        <w:spacing w:val="-4"/>
                        <w:sz w:val="20"/>
                      </w:rPr>
                      <w:t> </w:t>
                    </w:r>
                    <w:r>
                      <w:rPr>
                        <w:b/>
                        <w:sz w:val="20"/>
                      </w:rPr>
                      <w:t>1</w:t>
                    </w:r>
                    <w:r>
                      <w:rPr>
                        <w:sz w:val="20"/>
                      </w:rPr>
                      <w:t>)</w:t>
                    </w:r>
                  </w:p>
                </w:txbxContent>
              </v:textbox>
              <v:stroke dashstyle="solid"/>
              <w10:wrap type="none"/>
            </v:shape>
            <v:shape style="position:absolute;left:6152;top:9304;width:1810;height:1349" type="#_x0000_t202" filled="false" stroked="true" strokeweight="1.5pt" strokecolor="#010101">
              <v:textbox inset="0,0,0,0">
                <w:txbxContent>
                  <w:p>
                    <w:pPr>
                      <w:spacing w:before="64"/>
                      <w:ind w:left="368" w:right="370" w:firstLine="0"/>
                      <w:jc w:val="center"/>
                      <w:rPr>
                        <w:sz w:val="20"/>
                      </w:rPr>
                    </w:pPr>
                    <w:r>
                      <w:rPr>
                        <w:sz w:val="20"/>
                      </w:rPr>
                      <w:t>Use </w:t>
                    </w:r>
                    <w:r>
                      <w:rPr>
                        <w:spacing w:val="-3"/>
                        <w:sz w:val="20"/>
                      </w:rPr>
                      <w:t>country- </w:t>
                    </w:r>
                    <w:r>
                      <w:rPr>
                        <w:sz w:val="20"/>
                      </w:rPr>
                      <w:t>specific data (Note 5)</w:t>
                    </w:r>
                  </w:p>
                  <w:p>
                    <w:pPr>
                      <w:spacing w:line="240" w:lineRule="auto" w:before="11"/>
                      <w:rPr>
                        <w:b/>
                        <w:sz w:val="19"/>
                      </w:rPr>
                    </w:pPr>
                  </w:p>
                  <w:p>
                    <w:pPr>
                      <w:spacing w:before="0"/>
                      <w:ind w:left="59" w:right="60" w:firstLine="0"/>
                      <w:jc w:val="center"/>
                      <w:rPr>
                        <w:sz w:val="20"/>
                      </w:rPr>
                    </w:pPr>
                    <w:r>
                      <w:rPr>
                        <w:sz w:val="20"/>
                      </w:rPr>
                      <w:t>(</w:t>
                    </w:r>
                    <w:r>
                      <w:rPr>
                        <w:b/>
                        <w:sz w:val="20"/>
                      </w:rPr>
                      <w:t>Tier</w:t>
                    </w:r>
                    <w:r>
                      <w:rPr>
                        <w:b/>
                        <w:spacing w:val="-4"/>
                        <w:sz w:val="20"/>
                      </w:rPr>
                      <w:t> </w:t>
                    </w:r>
                    <w:r>
                      <w:rPr>
                        <w:b/>
                        <w:sz w:val="20"/>
                      </w:rPr>
                      <w:t>2</w:t>
                    </w:r>
                    <w:r>
                      <w:rPr>
                        <w:sz w:val="20"/>
                      </w:rPr>
                      <w:t>)</w:t>
                    </w:r>
                  </w:p>
                </w:txbxContent>
              </v:textbox>
              <v:stroke dashstyle="solid"/>
              <w10:wrap type="none"/>
            </v:shape>
            <v:shape style="position:absolute;left:7779;top:2541;width:2172;height:1042" type="#_x0000_t202" filled="false" stroked="true" strokeweight="1.5pt" strokecolor="#010101">
              <v:textbox inset="0,0,0,0">
                <w:txbxContent>
                  <w:p>
                    <w:pPr>
                      <w:spacing w:before="127"/>
                      <w:ind w:left="148" w:right="147" w:firstLine="0"/>
                      <w:jc w:val="center"/>
                      <w:rPr>
                        <w:sz w:val="20"/>
                      </w:rPr>
                    </w:pPr>
                    <w:r>
                      <w:rPr>
                        <w:sz w:val="20"/>
                      </w:rPr>
                      <w:t>Use tier level most appropriate for available data</w:t>
                    </w:r>
                  </w:p>
                </w:txbxContent>
              </v:textbox>
              <v:stroke dashstyle="solid"/>
              <w10:wrap type="none"/>
            </v:shape>
            <v:shape style="position:absolute;left:7779;top:839;width:2357;height:447" type="#_x0000_t202" filled="false" stroked="true" strokeweight="1.5pt" strokecolor="#010101">
              <v:textbox inset="0,0,0,0">
                <w:txbxContent>
                  <w:p>
                    <w:pPr>
                      <w:spacing w:before="64"/>
                      <w:ind w:left="198" w:right="0" w:firstLine="0"/>
                      <w:jc w:val="left"/>
                      <w:rPr>
                        <w:sz w:val="20"/>
                      </w:rPr>
                    </w:pPr>
                    <w:r>
                      <w:rPr>
                        <w:sz w:val="20"/>
                      </w:rPr>
                      <w:t>Report “Not Occurring”</w:t>
                    </w:r>
                  </w:p>
                </w:txbxContent>
              </v:textbox>
              <v:stroke dashstyle="solid"/>
              <w10:wrap type="none"/>
            </v:shape>
            <v:shape style="position:absolute;left:2892;top:9304;width:2172;height:1349" type="#_x0000_t202" filled="false" stroked="true" strokeweight="1.5pt" strokecolor="#010101">
              <v:textbox inset="0,0,0,0">
                <w:txbxContent>
                  <w:p>
                    <w:pPr>
                      <w:spacing w:before="64"/>
                      <w:ind w:left="148" w:right="147" w:firstLine="0"/>
                      <w:jc w:val="center"/>
                      <w:rPr>
                        <w:sz w:val="20"/>
                      </w:rPr>
                    </w:pPr>
                    <w:r>
                      <w:rPr>
                        <w:sz w:val="20"/>
                      </w:rPr>
                      <w:t>Use advanced methods and detailed country- specific data (Note 5)</w:t>
                    </w:r>
                  </w:p>
                  <w:p>
                    <w:pPr>
                      <w:spacing w:before="119"/>
                      <w:ind w:left="147" w:right="147" w:firstLine="0"/>
                      <w:jc w:val="center"/>
                      <w:rPr>
                        <w:sz w:val="20"/>
                      </w:rPr>
                    </w:pPr>
                    <w:r>
                      <w:rPr>
                        <w:sz w:val="20"/>
                      </w:rPr>
                      <w:t>(</w:t>
                    </w:r>
                    <w:r>
                      <w:rPr>
                        <w:b/>
                        <w:sz w:val="20"/>
                      </w:rPr>
                      <w:t>Tier 3</w:t>
                    </w:r>
                    <w:r>
                      <w:rPr>
                        <w:sz w:val="20"/>
                      </w:rPr>
                      <w:t>)</w:t>
                    </w:r>
                  </w:p>
                </w:txbxContent>
              </v:textbox>
              <v:stroke dashstyle="solid"/>
              <w10:wrap type="none"/>
            </v:shape>
            <v:shape style="position:absolute;left:1988;top:6863;width:1810;height:953" type="#_x0000_t202" filled="false" stroked="true" strokeweight=".75pt" strokecolor="#010101">
              <v:textbox inset="0,0,0,0">
                <w:txbxContent>
                  <w:p>
                    <w:pPr>
                      <w:spacing w:before="105"/>
                      <w:ind w:left="148" w:right="141" w:firstLine="0"/>
                      <w:jc w:val="center"/>
                      <w:rPr>
                        <w:sz w:val="20"/>
                      </w:rPr>
                    </w:pPr>
                    <w:r>
                      <w:rPr>
                        <w:sz w:val="20"/>
                      </w:rPr>
                      <w:t>Develop or obtain representative data and EFs</w:t>
                    </w:r>
                  </w:p>
                </w:txbxContent>
              </v:textbox>
              <v:stroke dashstyle="solid"/>
              <w10:wrap type="none"/>
            </v:shape>
            <w10:wrap type="topAndBottom"/>
          </v:group>
        </w:pict>
      </w:r>
    </w:p>
    <w:p>
      <w:pPr>
        <w:spacing w:before="15"/>
        <w:ind w:left="296" w:right="312" w:firstLine="0"/>
        <w:jc w:val="left"/>
        <w:rPr>
          <w:sz w:val="16"/>
        </w:rPr>
      </w:pPr>
      <w:r>
        <w:rPr>
          <w:b/>
          <w:sz w:val="16"/>
        </w:rPr>
        <w:t>Note 1</w:t>
      </w:r>
      <w:r>
        <w:rPr>
          <w:sz w:val="16"/>
        </w:rPr>
        <w:t>: The use of 20 years, as a threshold, is consistent with the defaults contained in the </w:t>
      </w:r>
      <w:r>
        <w:rPr>
          <w:i/>
          <w:sz w:val="16"/>
        </w:rPr>
        <w:t>IPCC Guidelines</w:t>
      </w:r>
      <w:r>
        <w:rPr>
          <w:sz w:val="16"/>
        </w:rPr>
        <w:t>. Countries may use different periods where appropriate to national circumstances.</w:t>
      </w:r>
    </w:p>
    <w:p>
      <w:pPr>
        <w:spacing w:before="0"/>
        <w:ind w:left="296" w:right="877" w:firstLine="0"/>
        <w:jc w:val="left"/>
        <w:rPr>
          <w:sz w:val="16"/>
        </w:rPr>
      </w:pPr>
      <w:r>
        <w:rPr>
          <w:b/>
          <w:sz w:val="16"/>
        </w:rPr>
        <w:t>Note 2</w:t>
      </w:r>
      <w:r>
        <w:rPr>
          <w:sz w:val="16"/>
        </w:rPr>
        <w:t>: The concept of key categories is explained in Chapter 5, Subsection 5.4 (Methodological Choice – Identification of Key Categories).</w:t>
      </w:r>
    </w:p>
    <w:p>
      <w:pPr>
        <w:spacing w:line="183" w:lineRule="exact" w:before="0"/>
        <w:ind w:left="296" w:right="0" w:firstLine="0"/>
        <w:jc w:val="left"/>
        <w:rPr>
          <w:sz w:val="16"/>
        </w:rPr>
      </w:pPr>
      <w:r>
        <w:rPr>
          <w:b/>
          <w:sz w:val="16"/>
        </w:rPr>
        <w:t>Note 3</w:t>
      </w:r>
      <w:r>
        <w:rPr>
          <w:sz w:val="16"/>
        </w:rPr>
        <w:t>: See Table 3.1.2 for the characterisation of subcategories.</w:t>
      </w:r>
    </w:p>
    <w:p>
      <w:pPr>
        <w:spacing w:line="183" w:lineRule="exact" w:before="0"/>
        <w:ind w:left="296" w:right="0" w:firstLine="0"/>
        <w:jc w:val="left"/>
        <w:rPr>
          <w:sz w:val="16"/>
        </w:rPr>
      </w:pPr>
      <w:r>
        <w:rPr>
          <w:b/>
          <w:sz w:val="16"/>
        </w:rPr>
        <w:t>Note 4</w:t>
      </w:r>
      <w:r>
        <w:rPr>
          <w:sz w:val="16"/>
        </w:rPr>
        <w:t>: A subcategory is significant if it accounts for 25-30% of emissions/removals for the overall category.</w:t>
      </w:r>
    </w:p>
    <w:p>
      <w:pPr>
        <w:spacing w:line="183" w:lineRule="exact" w:before="0"/>
        <w:ind w:left="296" w:right="0" w:firstLine="0"/>
        <w:jc w:val="left"/>
        <w:rPr>
          <w:sz w:val="16"/>
        </w:rPr>
      </w:pPr>
      <w:r>
        <w:rPr>
          <w:b/>
          <w:sz w:val="16"/>
        </w:rPr>
        <w:t>Note 5: </w:t>
      </w:r>
      <w:r>
        <w:rPr>
          <w:sz w:val="16"/>
        </w:rPr>
        <w:t>See Box 3.1.1 for definition of Tier levels.</w:t>
      </w:r>
    </w:p>
    <w:p>
      <w:pPr>
        <w:pStyle w:val="BodyText"/>
        <w:spacing w:before="11"/>
        <w:rPr>
          <w:sz w:val="15"/>
        </w:rPr>
      </w:pPr>
    </w:p>
    <w:p>
      <w:pPr>
        <w:spacing w:before="0"/>
        <w:ind w:left="296" w:right="0" w:firstLine="0"/>
        <w:jc w:val="left"/>
        <w:rPr>
          <w:sz w:val="16"/>
        </w:rPr>
      </w:pPr>
      <w:r>
        <w:rPr>
          <w:sz w:val="16"/>
        </w:rPr>
        <w:t>* If a country reports harvested wood products (HWP) as a separate pool, it should be treated as a subcategory.</w:t>
      </w:r>
    </w:p>
    <w:p>
      <w:pPr>
        <w:spacing w:after="0"/>
        <w:jc w:val="left"/>
        <w:rPr>
          <w:sz w:val="16"/>
        </w:rPr>
        <w:sectPr>
          <w:pgSz w:w="11900" w:h="16840"/>
          <w:pgMar w:header="230" w:footer="408" w:top="560" w:bottom="600" w:left="1260" w:right="1240"/>
        </w:sectPr>
      </w:pPr>
    </w:p>
    <w:p>
      <w:pPr>
        <w:pStyle w:val="BodyText"/>
      </w:pPr>
    </w:p>
    <w:p>
      <w:pPr>
        <w:pStyle w:val="BodyText"/>
      </w:pPr>
    </w:p>
    <w:p>
      <w:pPr>
        <w:pStyle w:val="BodyText"/>
      </w:pPr>
    </w:p>
    <w:p>
      <w:pPr>
        <w:pStyle w:val="BodyText"/>
      </w:pPr>
    </w:p>
    <w:p>
      <w:pPr>
        <w:pStyle w:val="BodyText"/>
        <w:spacing w:before="7"/>
        <w:rPr>
          <w:sz w:val="17"/>
        </w:rPr>
      </w:pPr>
    </w:p>
    <w:tbl>
      <w:tblPr>
        <w:tblW w:w="0" w:type="auto"/>
        <w:jc w:val="left"/>
        <w:tblInd w:w="1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80"/>
        <w:gridCol w:w="4123"/>
      </w:tblGrid>
      <w:tr>
        <w:trPr>
          <w:trHeight w:val="558" w:hRule="atLeast"/>
        </w:trPr>
        <w:tc>
          <w:tcPr>
            <w:tcW w:w="6803" w:type="dxa"/>
            <w:gridSpan w:val="2"/>
            <w:tcBorders>
              <w:bottom w:val="double" w:sz="1" w:space="0" w:color="000000"/>
            </w:tcBorders>
          </w:tcPr>
          <w:p>
            <w:pPr>
              <w:pStyle w:val="TableParagraph"/>
              <w:spacing w:before="59"/>
              <w:ind w:left="19" w:right="13"/>
              <w:jc w:val="center"/>
              <w:rPr>
                <w:b/>
                <w:sz w:val="18"/>
              </w:rPr>
            </w:pPr>
            <w:r>
              <w:rPr>
                <w:b/>
                <w:sz w:val="18"/>
              </w:rPr>
              <w:t>T</w:t>
            </w:r>
            <w:r>
              <w:rPr>
                <w:b/>
                <w:sz w:val="14"/>
              </w:rPr>
              <w:t>ABLE </w:t>
            </w:r>
            <w:r>
              <w:rPr>
                <w:b/>
                <w:sz w:val="18"/>
              </w:rPr>
              <w:t>3.1.3</w:t>
            </w:r>
          </w:p>
          <w:p>
            <w:pPr>
              <w:pStyle w:val="TableParagraph"/>
              <w:spacing w:before="2"/>
              <w:ind w:left="19" w:right="13"/>
              <w:jc w:val="center"/>
              <w:rPr>
                <w:b/>
                <w:sz w:val="14"/>
              </w:rPr>
            </w:pPr>
            <w:r>
              <w:rPr>
                <w:b/>
                <w:sz w:val="18"/>
              </w:rPr>
              <w:t>S</w:t>
            </w:r>
            <w:r>
              <w:rPr>
                <w:b/>
                <w:sz w:val="14"/>
              </w:rPr>
              <w:t>UBCATEGORIES WITHIN A GIVEN LAND USE SECTION</w:t>
            </w:r>
          </w:p>
        </w:tc>
      </w:tr>
      <w:tr>
        <w:trPr>
          <w:trHeight w:val="308" w:hRule="atLeast"/>
        </w:trPr>
        <w:tc>
          <w:tcPr>
            <w:tcW w:w="2680" w:type="dxa"/>
            <w:tcBorders>
              <w:top w:val="double" w:sz="1" w:space="0" w:color="000000"/>
              <w:right w:val="nil"/>
            </w:tcBorders>
          </w:tcPr>
          <w:p>
            <w:pPr>
              <w:pStyle w:val="TableParagraph"/>
              <w:spacing w:before="38"/>
              <w:ind w:right="811"/>
              <w:jc w:val="right"/>
              <w:rPr>
                <w:b/>
                <w:sz w:val="20"/>
              </w:rPr>
            </w:pPr>
            <w:r>
              <w:rPr>
                <w:b/>
                <w:w w:val="95"/>
                <w:sz w:val="20"/>
              </w:rPr>
              <w:t>Gas</w:t>
            </w:r>
          </w:p>
        </w:tc>
        <w:tc>
          <w:tcPr>
            <w:tcW w:w="4123" w:type="dxa"/>
            <w:tcBorders>
              <w:top w:val="double" w:sz="1" w:space="0" w:color="000000"/>
              <w:left w:val="nil"/>
            </w:tcBorders>
          </w:tcPr>
          <w:p>
            <w:pPr>
              <w:pStyle w:val="TableParagraph"/>
              <w:spacing w:before="38"/>
              <w:ind w:left="825"/>
              <w:rPr>
                <w:b/>
                <w:sz w:val="20"/>
              </w:rPr>
            </w:pPr>
            <w:r>
              <w:rPr>
                <w:b/>
                <w:sz w:val="20"/>
              </w:rPr>
              <w:t>Subcategory</w:t>
            </w:r>
          </w:p>
        </w:tc>
      </w:tr>
      <w:tr>
        <w:trPr>
          <w:trHeight w:val="1010" w:hRule="atLeast"/>
        </w:trPr>
        <w:tc>
          <w:tcPr>
            <w:tcW w:w="2680" w:type="dxa"/>
            <w:tcBorders>
              <w:right w:val="nil"/>
            </w:tcBorders>
          </w:tcPr>
          <w:p>
            <w:pPr>
              <w:pStyle w:val="TableParagraph"/>
              <w:spacing w:before="57"/>
              <w:ind w:right="822"/>
              <w:jc w:val="right"/>
              <w:rPr>
                <w:sz w:val="18"/>
              </w:rPr>
            </w:pPr>
            <w:r>
              <w:rPr>
                <w:w w:val="95"/>
                <w:sz w:val="18"/>
              </w:rPr>
              <w:t>CO</w:t>
            </w:r>
            <w:r>
              <w:rPr>
                <w:w w:val="95"/>
                <w:sz w:val="18"/>
                <w:vertAlign w:val="subscript"/>
              </w:rPr>
              <w:t>2</w:t>
            </w:r>
          </w:p>
        </w:tc>
        <w:tc>
          <w:tcPr>
            <w:tcW w:w="4123" w:type="dxa"/>
            <w:tcBorders>
              <w:left w:val="nil"/>
            </w:tcBorders>
          </w:tcPr>
          <w:p>
            <w:pPr>
              <w:pStyle w:val="TableParagraph"/>
              <w:spacing w:line="388" w:lineRule="auto" w:before="57"/>
              <w:ind w:left="823" w:right="1762"/>
              <w:rPr>
                <w:sz w:val="18"/>
              </w:rPr>
            </w:pPr>
            <w:r>
              <w:rPr>
                <w:sz w:val="18"/>
              </w:rPr>
              <w:t>Living Biomass Dead Organic</w:t>
            </w:r>
            <w:r>
              <w:rPr>
                <w:spacing w:val="-7"/>
                <w:sz w:val="18"/>
              </w:rPr>
              <w:t> </w:t>
            </w:r>
            <w:r>
              <w:rPr>
                <w:sz w:val="18"/>
              </w:rPr>
              <w:t>Matter</w:t>
            </w:r>
          </w:p>
          <w:p>
            <w:pPr>
              <w:pStyle w:val="TableParagraph"/>
              <w:spacing w:before="6"/>
              <w:ind w:left="823"/>
              <w:rPr>
                <w:sz w:val="18"/>
              </w:rPr>
            </w:pPr>
            <w:r>
              <w:rPr>
                <w:sz w:val="18"/>
              </w:rPr>
              <w:t>Soils</w:t>
            </w:r>
          </w:p>
        </w:tc>
      </w:tr>
      <w:tr>
        <w:trPr>
          <w:trHeight w:val="1350" w:hRule="atLeast"/>
        </w:trPr>
        <w:tc>
          <w:tcPr>
            <w:tcW w:w="2680" w:type="dxa"/>
            <w:tcBorders>
              <w:right w:val="nil"/>
            </w:tcBorders>
          </w:tcPr>
          <w:p>
            <w:pPr>
              <w:pStyle w:val="TableParagraph"/>
              <w:spacing w:before="57"/>
              <w:ind w:right="817"/>
              <w:jc w:val="right"/>
              <w:rPr>
                <w:sz w:val="18"/>
              </w:rPr>
            </w:pPr>
            <w:r>
              <w:rPr>
                <w:w w:val="95"/>
                <w:sz w:val="18"/>
              </w:rPr>
              <w:t>N</w:t>
            </w:r>
            <w:r>
              <w:rPr>
                <w:w w:val="95"/>
                <w:sz w:val="18"/>
                <w:vertAlign w:val="subscript"/>
              </w:rPr>
              <w:t>2</w:t>
            </w:r>
            <w:r>
              <w:rPr>
                <w:w w:val="95"/>
                <w:sz w:val="18"/>
                <w:vertAlign w:val="baseline"/>
              </w:rPr>
              <w:t>O</w:t>
            </w:r>
          </w:p>
        </w:tc>
        <w:tc>
          <w:tcPr>
            <w:tcW w:w="4123" w:type="dxa"/>
            <w:tcBorders>
              <w:left w:val="nil"/>
            </w:tcBorders>
          </w:tcPr>
          <w:p>
            <w:pPr>
              <w:pStyle w:val="TableParagraph"/>
              <w:spacing w:before="57"/>
              <w:ind w:left="823"/>
              <w:rPr>
                <w:sz w:val="18"/>
              </w:rPr>
            </w:pPr>
            <w:r>
              <w:rPr>
                <w:sz w:val="18"/>
              </w:rPr>
              <w:t>Fire</w:t>
            </w:r>
          </w:p>
          <w:p>
            <w:pPr>
              <w:pStyle w:val="TableParagraph"/>
              <w:spacing w:line="396" w:lineRule="auto" w:before="129"/>
              <w:ind w:left="823" w:right="130"/>
              <w:rPr>
                <w:sz w:val="18"/>
              </w:rPr>
            </w:pPr>
            <w:r>
              <w:rPr>
                <w:sz w:val="18"/>
              </w:rPr>
              <w:t>Soil Organic Matter Mineralization Nitrogen Inputs</w:t>
            </w:r>
          </w:p>
          <w:p>
            <w:pPr>
              <w:pStyle w:val="TableParagraph"/>
              <w:spacing w:line="203" w:lineRule="exact"/>
              <w:ind w:left="823"/>
              <w:rPr>
                <w:sz w:val="18"/>
              </w:rPr>
            </w:pPr>
            <w:r>
              <w:rPr>
                <w:sz w:val="18"/>
              </w:rPr>
              <w:t>Cultivation of organic soils</w:t>
            </w:r>
          </w:p>
        </w:tc>
      </w:tr>
      <w:tr>
        <w:trPr>
          <w:trHeight w:val="330" w:hRule="atLeast"/>
        </w:trPr>
        <w:tc>
          <w:tcPr>
            <w:tcW w:w="2680" w:type="dxa"/>
            <w:tcBorders>
              <w:right w:val="nil"/>
            </w:tcBorders>
          </w:tcPr>
          <w:p>
            <w:pPr>
              <w:pStyle w:val="TableParagraph"/>
              <w:spacing w:before="57"/>
              <w:ind w:right="822"/>
              <w:jc w:val="right"/>
              <w:rPr>
                <w:sz w:val="18"/>
              </w:rPr>
            </w:pPr>
            <w:r>
              <w:rPr>
                <w:w w:val="95"/>
                <w:sz w:val="18"/>
              </w:rPr>
              <w:t>CH</w:t>
            </w:r>
            <w:r>
              <w:rPr>
                <w:w w:val="95"/>
                <w:sz w:val="18"/>
                <w:vertAlign w:val="subscript"/>
              </w:rPr>
              <w:t>4</w:t>
            </w:r>
          </w:p>
        </w:tc>
        <w:tc>
          <w:tcPr>
            <w:tcW w:w="4123" w:type="dxa"/>
            <w:tcBorders>
              <w:left w:val="nil"/>
            </w:tcBorders>
          </w:tcPr>
          <w:p>
            <w:pPr>
              <w:pStyle w:val="TableParagraph"/>
              <w:spacing w:before="57"/>
              <w:ind w:left="823"/>
              <w:rPr>
                <w:sz w:val="18"/>
              </w:rPr>
            </w:pPr>
            <w:r>
              <w:rPr>
                <w:sz w:val="18"/>
              </w:rPr>
              <w:t>Fire</w:t>
            </w:r>
          </w:p>
        </w:tc>
      </w:tr>
    </w:tbl>
    <w:p>
      <w:pPr>
        <w:pStyle w:val="BodyText"/>
      </w:pPr>
    </w:p>
    <w:p>
      <w:pPr>
        <w:pStyle w:val="BodyText"/>
        <w:spacing w:before="9"/>
        <w:rPr>
          <w:sz w:val="23"/>
        </w:rPr>
      </w:pPr>
    </w:p>
    <w:p>
      <w:pPr>
        <w:pStyle w:val="Heading2"/>
        <w:numPr>
          <w:ilvl w:val="2"/>
          <w:numId w:val="43"/>
        </w:numPr>
        <w:tabs>
          <w:tab w:pos="1361" w:val="left" w:leader="none"/>
          <w:tab w:pos="1362" w:val="left" w:leader="none"/>
        </w:tabs>
        <w:spacing w:line="240" w:lineRule="auto" w:before="85" w:after="0"/>
        <w:ind w:left="1361" w:right="0" w:hanging="1202"/>
        <w:jc w:val="left"/>
      </w:pPr>
      <w:r>
        <w:rPr>
          <w:spacing w:val="9"/>
        </w:rPr>
        <w:t>Reporting</w:t>
      </w:r>
    </w:p>
    <w:p>
      <w:pPr>
        <w:pStyle w:val="BodyText"/>
        <w:spacing w:before="114"/>
        <w:ind w:left="159" w:right="185"/>
      </w:pPr>
      <w:r>
        <w:rPr/>
        <w:t>It is </w:t>
      </w:r>
      <w:r>
        <w:rPr>
          <w:i/>
        </w:rPr>
        <w:t>good practice </w:t>
      </w:r>
      <w:r>
        <w:rPr/>
        <w:t>to conduct key category assessments for each land use category using the guidance provided in this chapter and in Chapter 5 Section</w:t>
      </w:r>
      <w:r>
        <w:rPr>
          <w:spacing w:val="1"/>
        </w:rPr>
        <w:t> </w:t>
      </w:r>
      <w:r>
        <w:rPr/>
        <w:t>5.4:</w:t>
      </w:r>
    </w:p>
    <w:p>
      <w:pPr>
        <w:pStyle w:val="ListParagraph"/>
        <w:numPr>
          <w:ilvl w:val="0"/>
          <w:numId w:val="23"/>
        </w:numPr>
        <w:tabs>
          <w:tab w:pos="519" w:val="left" w:leader="none"/>
          <w:tab w:pos="520" w:val="left" w:leader="none"/>
        </w:tabs>
        <w:spacing w:line="240" w:lineRule="auto" w:before="133" w:after="0"/>
        <w:ind w:left="519" w:right="0" w:hanging="360"/>
        <w:jc w:val="left"/>
        <w:rPr>
          <w:sz w:val="20"/>
        </w:rPr>
      </w:pPr>
      <w:r>
        <w:rPr>
          <w:sz w:val="20"/>
        </w:rPr>
        <w:t>Within each land use category designated as key, to assess which subcategories are significant;</w:t>
      </w:r>
      <w:r>
        <w:rPr>
          <w:spacing w:val="-20"/>
          <w:sz w:val="20"/>
        </w:rPr>
        <w:t> </w:t>
      </w:r>
      <w:r>
        <w:rPr>
          <w:sz w:val="20"/>
        </w:rPr>
        <w:t>and</w:t>
      </w:r>
    </w:p>
    <w:p>
      <w:pPr>
        <w:pStyle w:val="ListParagraph"/>
        <w:numPr>
          <w:ilvl w:val="0"/>
          <w:numId w:val="23"/>
        </w:numPr>
        <w:tabs>
          <w:tab w:pos="519" w:val="left" w:leader="none"/>
          <w:tab w:pos="520" w:val="left" w:leader="none"/>
        </w:tabs>
        <w:spacing w:line="223" w:lineRule="auto" w:before="130" w:after="0"/>
        <w:ind w:left="516" w:right="165" w:hanging="357"/>
        <w:jc w:val="left"/>
        <w:rPr>
          <w:sz w:val="20"/>
        </w:rPr>
      </w:pPr>
      <w:r>
        <w:rPr>
          <w:sz w:val="20"/>
        </w:rPr>
        <w:t>Use the results of this analysis to determine what categories and subcategories should be prioritised in terms of methodological choice.</w:t>
      </w:r>
    </w:p>
    <w:p>
      <w:pPr>
        <w:pStyle w:val="BodyText"/>
        <w:spacing w:before="122"/>
        <w:ind w:left="159" w:right="163"/>
        <w:jc w:val="both"/>
      </w:pPr>
      <w:r>
        <w:rPr/>
        <w:t>Reporting categories are divided into greenhouse gases and land uses i.e., lands remaining in a use and lands converted to that use. Category estimates are a compilation of individual subcategories. Table 3.1.3 shows the subcategories within each reporting category. The reporting tables are given in Annex 3A.2. When compiling emissions and sinks estimates from land use, land-use change, and forestry with other elements of national greenhouse gas inventories, consistent signs (+/-) must be followed. In final reporting tables, emissions  (decrease in the carbon stock, non-CO</w:t>
      </w:r>
      <w:r>
        <w:rPr>
          <w:vertAlign w:val="subscript"/>
        </w:rPr>
        <w:t>2</w:t>
      </w:r>
      <w:r>
        <w:rPr>
          <w:vertAlign w:val="baseline"/>
        </w:rPr>
        <w:t> emissions) are always positive (+) and removals (increase in the carbon stock) negative (-). For calculating initial estimates, this chapter follows the convention used in Chapter 5 of the </w:t>
      </w:r>
      <w:r>
        <w:rPr>
          <w:i/>
          <w:vertAlign w:val="baseline"/>
        </w:rPr>
        <w:t>IPCC Guidelines </w:t>
      </w:r>
      <w:r>
        <w:rPr>
          <w:vertAlign w:val="baseline"/>
        </w:rPr>
        <w:t>in which net increases of carbon stocks are positive (+) and net decreases are negative (-). As  is the case in the </w:t>
      </w:r>
      <w:r>
        <w:rPr>
          <w:i/>
          <w:vertAlign w:val="baseline"/>
        </w:rPr>
        <w:t>IPCC Guidelines</w:t>
      </w:r>
      <w:r>
        <w:rPr>
          <w:vertAlign w:val="baseline"/>
        </w:rPr>
        <w:t>, the signs of these values need to be converted in the final reporting tables in order to maintain consistency with other sections of national inventory</w:t>
      </w:r>
      <w:r>
        <w:rPr>
          <w:spacing w:val="-12"/>
          <w:vertAlign w:val="baseline"/>
        </w:rPr>
        <w:t> </w:t>
      </w:r>
      <w:r>
        <w:rPr>
          <w:vertAlign w:val="baseline"/>
        </w:rPr>
        <w:t>reports.</w:t>
      </w:r>
    </w:p>
    <w:p>
      <w:pPr>
        <w:pStyle w:val="BodyText"/>
        <w:spacing w:before="3"/>
        <w:rPr>
          <w:sz w:val="21"/>
        </w:rPr>
      </w:pPr>
    </w:p>
    <w:p>
      <w:pPr>
        <w:pStyle w:val="Heading7"/>
        <w:spacing w:before="1"/>
        <w:ind w:left="159"/>
        <w:jc w:val="left"/>
      </w:pPr>
      <w:r>
        <w:rPr/>
        <w:t>Units </w:t>
      </w:r>
    </w:p>
    <w:p>
      <w:pPr>
        <w:pStyle w:val="BodyText"/>
        <w:ind w:left="159" w:right="165"/>
        <w:jc w:val="both"/>
      </w:pPr>
      <w:r>
        <w:rPr/>
        <w:t>Units of CO</w:t>
      </w:r>
      <w:r>
        <w:rPr>
          <w:vertAlign w:val="subscript"/>
        </w:rPr>
        <w:t>2</w:t>
      </w:r>
      <w:r>
        <w:rPr>
          <w:vertAlign w:val="baseline"/>
        </w:rPr>
        <w:t> emissions/removals and emissions of non-CO</w:t>
      </w:r>
      <w:r>
        <w:rPr>
          <w:vertAlign w:val="subscript"/>
        </w:rPr>
        <w:t>2</w:t>
      </w:r>
      <w:r>
        <w:rPr>
          <w:vertAlign w:val="baseline"/>
        </w:rPr>
        <w:t> gases are reported in gigagrams (Gg). To convert tonnes C to Gg CO</w:t>
      </w:r>
      <w:r>
        <w:rPr>
          <w:vertAlign w:val="subscript"/>
        </w:rPr>
        <w:t>2</w:t>
      </w:r>
      <w:r>
        <w:rPr>
          <w:vertAlign w:val="baseline"/>
        </w:rPr>
        <w:t>, multiply the value by 44/12 and 10</w:t>
      </w:r>
      <w:r>
        <w:rPr>
          <w:vertAlign w:val="superscript"/>
        </w:rPr>
        <w:t>-3</w:t>
      </w:r>
      <w:r>
        <w:rPr>
          <w:vertAlign w:val="baseline"/>
        </w:rPr>
        <w:t>. To convert unit from kg N</w:t>
      </w:r>
      <w:r>
        <w:rPr>
          <w:vertAlign w:val="subscript"/>
        </w:rPr>
        <w:t>2</w:t>
      </w:r>
      <w:r>
        <w:rPr>
          <w:vertAlign w:val="baseline"/>
        </w:rPr>
        <w:t>O-N to Gg N</w:t>
      </w:r>
      <w:r>
        <w:rPr>
          <w:vertAlign w:val="subscript"/>
        </w:rPr>
        <w:t>2</w:t>
      </w:r>
      <w:r>
        <w:rPr>
          <w:vertAlign w:val="baseline"/>
        </w:rPr>
        <w:t>O, multiply the value by 44/28 and 10</w:t>
      </w:r>
      <w:r>
        <w:rPr>
          <w:vertAlign w:val="superscript"/>
        </w:rPr>
        <w:t>-6</w:t>
      </w:r>
      <w:r>
        <w:rPr>
          <w:vertAlign w:val="baseline"/>
        </w:rPr>
        <w:t>.</w:t>
      </w:r>
    </w:p>
    <w:p>
      <w:pPr>
        <w:pStyle w:val="BodyText"/>
        <w:spacing w:before="1"/>
        <w:rPr>
          <w:sz w:val="21"/>
        </w:rPr>
      </w:pPr>
    </w:p>
    <w:p>
      <w:pPr>
        <w:pStyle w:val="Heading7"/>
        <w:spacing w:before="1"/>
        <w:ind w:left="159"/>
        <w:jc w:val="left"/>
      </w:pPr>
      <w:r>
        <w:rPr/>
        <w:t>Convention</w:t>
      </w:r>
    </w:p>
    <w:p>
      <w:pPr>
        <w:pStyle w:val="BodyText"/>
        <w:ind w:left="159"/>
      </w:pPr>
      <w:r>
        <w:rPr/>
        <w:t>For the purpose of reporting, which is consistent with the </w:t>
      </w:r>
      <w:r>
        <w:rPr>
          <w:i/>
        </w:rPr>
        <w:t>IPCC Guidelines</w:t>
      </w:r>
      <w:r>
        <w:rPr/>
        <w:t>, the signs for removal (uptake) are always (-) and for emissions (+).</w:t>
      </w:r>
    </w:p>
    <w:p>
      <w:pPr>
        <w:pStyle w:val="BodyText"/>
        <w:rPr>
          <w:sz w:val="22"/>
        </w:rPr>
      </w:pPr>
    </w:p>
    <w:p>
      <w:pPr>
        <w:pStyle w:val="BodyText"/>
        <w:spacing w:before="9"/>
        <w:rPr>
          <w:sz w:val="19"/>
        </w:rPr>
      </w:pPr>
    </w:p>
    <w:p>
      <w:pPr>
        <w:pStyle w:val="Heading2"/>
        <w:numPr>
          <w:ilvl w:val="2"/>
          <w:numId w:val="43"/>
        </w:numPr>
        <w:tabs>
          <w:tab w:pos="1361" w:val="left" w:leader="none"/>
          <w:tab w:pos="1362" w:val="left" w:leader="none"/>
        </w:tabs>
        <w:spacing w:line="240" w:lineRule="auto" w:before="0" w:after="0"/>
        <w:ind w:left="1361" w:right="0" w:hanging="1202"/>
        <w:jc w:val="left"/>
      </w:pPr>
      <w:r>
        <w:rPr>
          <w:spacing w:val="8"/>
        </w:rPr>
        <w:t>Generic Climatic</w:t>
      </w:r>
      <w:r>
        <w:rPr>
          <w:spacing w:val="32"/>
        </w:rPr>
        <w:t> </w:t>
      </w:r>
      <w:r>
        <w:rPr>
          <w:spacing w:val="7"/>
        </w:rPr>
        <w:t>Zones</w:t>
      </w:r>
    </w:p>
    <w:p>
      <w:pPr>
        <w:pStyle w:val="BodyText"/>
        <w:spacing w:before="116"/>
        <w:ind w:left="159" w:right="317"/>
      </w:pPr>
      <w:r>
        <w:rPr/>
        <w:t>Some default values in this chapter are provided by climatic zones. Figure 3.1.3 provides the global delineation of these zones. In comparison to the </w:t>
      </w:r>
      <w:r>
        <w:rPr>
          <w:i/>
        </w:rPr>
        <w:t>IPCC Guidelines </w:t>
      </w:r>
      <w:r>
        <w:rPr/>
        <w:t>this figure only holds polar/boreal as additional classes.</w:t>
      </w:r>
    </w:p>
    <w:p>
      <w:pPr>
        <w:spacing w:after="0"/>
        <w:sectPr>
          <w:pgSz w:w="11900" w:h="16840"/>
          <w:pgMar w:header="230" w:footer="408" w:top="560" w:bottom="600" w:left="1260" w:right="1240"/>
        </w:sectPr>
      </w:pPr>
    </w:p>
    <w:p>
      <w:pPr>
        <w:pStyle w:val="BodyText"/>
        <w:spacing w:before="76"/>
        <w:ind w:right="158"/>
        <w:jc w:val="right"/>
      </w:pPr>
      <w:r>
        <w:rPr/>
        <w:pict>
          <v:line style="position:absolute;mso-position-horizontal-relative:page;mso-position-vertical-relative:paragraph;z-index:3704;mso-wrap-distance-left:0;mso-wrap-distance-right:0" from="69.480003pt,21.175514pt" to="792.360003pt,21.175514pt" stroked="true" strokeweight=".75pt" strokecolor="#010101">
            <v:stroke dashstyle="solid"/>
            <w10:wrap type="topAndBottom"/>
          </v:line>
        </w:pict>
      </w:r>
      <w:r>
        <w:rPr/>
        <w:t>Introduction</w:t>
      </w:r>
    </w:p>
    <w:p>
      <w:pPr>
        <w:pStyle w:val="BodyText"/>
      </w:pPr>
    </w:p>
    <w:p>
      <w:pPr>
        <w:pStyle w:val="BodyText"/>
      </w:pPr>
    </w:p>
    <w:p>
      <w:pPr>
        <w:pStyle w:val="BodyText"/>
        <w:spacing w:before="4"/>
        <w:rPr>
          <w:sz w:val="17"/>
        </w:rPr>
      </w:pPr>
    </w:p>
    <w:p>
      <w:pPr>
        <w:pStyle w:val="BodyText"/>
        <w:spacing w:before="91"/>
        <w:ind w:left="138" w:right="134"/>
        <w:jc w:val="both"/>
      </w:pPr>
      <w:r>
        <w:rPr>
          <w:b/>
          <w:spacing w:val="7"/>
        </w:rPr>
        <w:t>Figure </w:t>
      </w:r>
      <w:r>
        <w:rPr>
          <w:b/>
          <w:spacing w:val="8"/>
        </w:rPr>
        <w:t>3.1.3 Delineation </w:t>
      </w:r>
      <w:r>
        <w:rPr>
          <w:b/>
          <w:spacing w:val="5"/>
        </w:rPr>
        <w:t>of </w:t>
      </w:r>
      <w:r>
        <w:rPr>
          <w:b/>
          <w:spacing w:val="6"/>
        </w:rPr>
        <w:t>major </w:t>
      </w:r>
      <w:r>
        <w:rPr>
          <w:b/>
          <w:spacing w:val="8"/>
        </w:rPr>
        <w:t>climate zones, updated from </w:t>
      </w:r>
      <w:r>
        <w:rPr>
          <w:b/>
          <w:spacing w:val="6"/>
        </w:rPr>
        <w:t>the </w:t>
      </w:r>
      <w:r>
        <w:rPr>
          <w:rFonts w:ascii="TimesNewRomanPS-BoldItalicMT" w:hAnsi="TimesNewRomanPS-BoldItalicMT"/>
          <w:b/>
          <w:i/>
          <w:spacing w:val="7"/>
        </w:rPr>
        <w:t>IPCC  </w:t>
      </w:r>
      <w:r>
        <w:rPr>
          <w:rFonts w:ascii="TimesNewRomanPS-BoldItalicMT" w:hAnsi="TimesNewRomanPS-BoldItalicMT"/>
          <w:b/>
          <w:i/>
          <w:spacing w:val="8"/>
        </w:rPr>
        <w:t>Guidelines</w:t>
      </w:r>
      <w:r>
        <w:rPr>
          <w:b/>
          <w:spacing w:val="8"/>
        </w:rPr>
        <w:t>.</w:t>
      </w:r>
      <w:r>
        <w:rPr>
          <w:b/>
          <w:spacing w:val="66"/>
        </w:rPr>
        <w:t> </w:t>
      </w:r>
      <w:r>
        <w:rPr/>
        <w:t>Temperature zones are defined by mean annual temperature (MAT):  Polar/boreal (MAT&lt;0 °C), Cold temperate (MAT 0-10 °C), Warm temperate (MAT 10-20 °C) and Tropical (MAT&gt;20 °C). Moisture regimes for boreal and temperate zones are defined by the ratio of mean annual precipitation (MAP) and potential evapotranspiration (PET): Dry (MAP/PET &lt; 1) and Wet (MAP/PET &gt; 1); and for tropical zones by precipitation alone: Dry (MAP &lt; 1000 mm), Moist (MAP 1000-2000 mm) and Wet (MAP &gt; 2000 mm). Precipitation and temperature data are from</w:t>
      </w:r>
      <w:r>
        <w:rPr>
          <w:spacing w:val="-18"/>
        </w:rPr>
        <w:t> </w:t>
      </w:r>
      <w:r>
        <w:rPr/>
        <w:t>UNEP-GRID.</w:t>
      </w:r>
    </w:p>
    <w:p>
      <w:pPr>
        <w:pStyle w:val="BodyText"/>
        <w:spacing w:before="10"/>
        <w:rPr>
          <w:sz w:val="24"/>
        </w:rPr>
      </w:pPr>
      <w:r>
        <w:rPr/>
        <w:drawing>
          <wp:anchor distT="0" distB="0" distL="0" distR="0" allowOverlap="1" layoutInCell="1" locked="0" behindDoc="0" simplePos="0" relativeHeight="198">
            <wp:simplePos x="0" y="0"/>
            <wp:positionH relativeFrom="page">
              <wp:posOffset>939514</wp:posOffset>
            </wp:positionH>
            <wp:positionV relativeFrom="paragraph">
              <wp:posOffset>206655</wp:posOffset>
            </wp:positionV>
            <wp:extent cx="8763528" cy="4249674"/>
            <wp:effectExtent l="0" t="0" r="0" b="0"/>
            <wp:wrapTopAndBottom/>
            <wp:docPr id="5" name="image35.png" descr=""/>
            <wp:cNvGraphicFramePr>
              <a:graphicFrameLocks noChangeAspect="1"/>
            </wp:cNvGraphicFramePr>
            <a:graphic>
              <a:graphicData uri="http://schemas.openxmlformats.org/drawingml/2006/picture">
                <pic:pic>
                  <pic:nvPicPr>
                    <pic:cNvPr id="6" name="image35.png"/>
                    <pic:cNvPicPr/>
                  </pic:nvPicPr>
                  <pic:blipFill>
                    <a:blip r:embed="rId114" cstate="print"/>
                    <a:stretch>
                      <a:fillRect/>
                    </a:stretch>
                  </pic:blipFill>
                  <pic:spPr>
                    <a:xfrm>
                      <a:off x="0" y="0"/>
                      <a:ext cx="8763528" cy="4249674"/>
                    </a:xfrm>
                    <a:prstGeom prst="rect">
                      <a:avLst/>
                    </a:prstGeom>
                  </pic:spPr>
                </pic:pic>
              </a:graphicData>
            </a:graphic>
          </wp:anchor>
        </w:drawing>
      </w:r>
    </w:p>
    <w:p>
      <w:pPr>
        <w:pStyle w:val="BodyText"/>
        <w:spacing w:before="104"/>
        <w:ind w:left="138"/>
        <w:jc w:val="both"/>
      </w:pPr>
      <w:hyperlink r:id="rId115">
        <w:r>
          <w:rPr/>
          <w:t>http://www.grid.unep.ch/data/grid/climate.php</w:t>
        </w:r>
      </w:hyperlink>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2"/>
        </w:rPr>
      </w:pPr>
      <w:r>
        <w:rPr/>
        <w:pict>
          <v:line style="position:absolute;mso-position-horizontal-relative:page;mso-position-vertical-relative:paragraph;z-index:3752;mso-wrap-distance-left:0;mso-wrap-distance-right:0" from="69.480003pt,9.516451pt" to="792.360003pt,9.516451pt" stroked="true" strokeweight=".75pt" strokecolor="#010101">
            <v:stroke dashstyle="solid"/>
            <w10:wrap type="topAndBottom"/>
          </v:line>
        </w:pict>
      </w:r>
    </w:p>
    <w:p>
      <w:pPr>
        <w:spacing w:after="0"/>
        <w:rPr>
          <w:sz w:val="12"/>
        </w:rPr>
        <w:sectPr>
          <w:headerReference w:type="even" r:id="rId112"/>
          <w:footerReference w:type="even" r:id="rId113"/>
          <w:pgSz w:w="16840" w:h="11900" w:orient="landscape"/>
          <w:pgMar w:header="0" w:footer="360" w:top="200" w:bottom="540" w:left="1280" w:right="880"/>
        </w:sectPr>
      </w:pPr>
    </w:p>
    <w:p>
      <w:pPr>
        <w:pStyle w:val="BodyText"/>
        <w:spacing w:before="4"/>
        <w:rPr>
          <w:sz w:val="17"/>
        </w:rPr>
      </w:pPr>
    </w:p>
    <w:p>
      <w:pPr>
        <w:spacing w:after="0"/>
        <w:rPr>
          <w:sz w:val="17"/>
        </w:rPr>
        <w:sectPr>
          <w:headerReference w:type="default" r:id="rId116"/>
          <w:footerReference w:type="default" r:id="rId117"/>
          <w:pgSz w:w="11900" w:h="16840"/>
          <w:pgMar w:header="0" w:footer="0" w:top="1600" w:bottom="280" w:left="1200" w:right="1140"/>
        </w:sectPr>
      </w:pPr>
    </w:p>
    <w:p>
      <w:pPr>
        <w:pStyle w:val="BodyText"/>
      </w:pPr>
    </w:p>
    <w:p>
      <w:pPr>
        <w:pStyle w:val="BodyText"/>
      </w:pPr>
    </w:p>
    <w:p>
      <w:pPr>
        <w:pStyle w:val="Heading2"/>
        <w:numPr>
          <w:ilvl w:val="1"/>
          <w:numId w:val="43"/>
        </w:numPr>
        <w:tabs>
          <w:tab w:pos="1422" w:val="left" w:leader="none"/>
        </w:tabs>
        <w:spacing w:line="240" w:lineRule="auto" w:before="225" w:after="0"/>
        <w:ind w:left="1421" w:right="0" w:hanging="1202"/>
        <w:jc w:val="both"/>
      </w:pPr>
      <w:r>
        <w:rPr>
          <w:spacing w:val="17"/>
        </w:rPr>
        <w:t>FOREST</w:t>
      </w:r>
      <w:r>
        <w:rPr>
          <w:spacing w:val="38"/>
        </w:rPr>
        <w:t> </w:t>
      </w:r>
      <w:r>
        <w:rPr>
          <w:spacing w:val="21"/>
        </w:rPr>
        <w:t>LAND</w:t>
      </w:r>
    </w:p>
    <w:p>
      <w:pPr>
        <w:spacing w:before="176"/>
        <w:ind w:left="219" w:right="265" w:firstLine="0"/>
        <w:jc w:val="both"/>
        <w:rPr>
          <w:sz w:val="20"/>
        </w:rPr>
      </w:pPr>
      <w:r>
        <w:rPr>
          <w:sz w:val="20"/>
        </w:rPr>
        <w:t>This section of the </w:t>
      </w:r>
      <w:r>
        <w:rPr>
          <w:i/>
          <w:sz w:val="20"/>
        </w:rPr>
        <w:t>Guidance </w:t>
      </w:r>
      <w:r>
        <w:rPr>
          <w:sz w:val="20"/>
        </w:rPr>
        <w:t>provides methods for estimating carbon stock changes and greenhouse gas emissions and removals associated with changes in biomass and soil organic carbon on forest lands and lands converted to forest land. It is consistent with the approach in the </w:t>
      </w:r>
      <w:r>
        <w:rPr>
          <w:i/>
          <w:sz w:val="20"/>
        </w:rPr>
        <w:t>Revised 1996 IPCC Guidelines for National Greenhouse Gas Inventories </w:t>
      </w:r>
      <w:r>
        <w:rPr>
          <w:sz w:val="20"/>
        </w:rPr>
        <w:t>(</w:t>
      </w:r>
      <w:r>
        <w:rPr>
          <w:i/>
          <w:sz w:val="20"/>
        </w:rPr>
        <w:t>IPCC Guidelines</w:t>
      </w:r>
      <w:r>
        <w:rPr>
          <w:sz w:val="20"/>
        </w:rPr>
        <w:t>) whereby the annual change in biomass is calculated from the difference between biomass growth and loss terms. The </w:t>
      </w:r>
      <w:r>
        <w:rPr>
          <w:i/>
          <w:sz w:val="20"/>
        </w:rPr>
        <w:t>Guidance</w:t>
      </w:r>
      <w:r>
        <w:rPr>
          <w:sz w:val="20"/>
        </w:rPr>
        <w:t>:</w:t>
      </w:r>
    </w:p>
    <w:p>
      <w:pPr>
        <w:pStyle w:val="BodyText"/>
        <w:spacing w:before="119"/>
        <w:ind w:left="219"/>
      </w:pPr>
      <w:r>
        <w:rPr/>
        <w:t>Addresses the five carbon pools identified in Section 3.1;</w:t>
      </w:r>
    </w:p>
    <w:p>
      <w:pPr>
        <w:pStyle w:val="BodyText"/>
        <w:spacing w:before="135"/>
        <w:ind w:left="219"/>
        <w:jc w:val="both"/>
      </w:pPr>
      <w:r>
        <w:rPr>
          <w:rFonts w:ascii="Symbol" w:hAnsi="Symbol"/>
        </w:rPr>
        <w:t>• </w:t>
      </w:r>
      <w:r>
        <w:rPr/>
        <w:t>Links biomass and soil carbon pools for the same land areas at the higher tiers;</w:t>
      </w:r>
    </w:p>
    <w:p>
      <w:pPr>
        <w:pStyle w:val="BodyText"/>
        <w:tabs>
          <w:tab w:pos="579" w:val="left" w:leader="none"/>
        </w:tabs>
        <w:spacing w:line="223" w:lineRule="auto" w:before="128"/>
        <w:ind w:left="576" w:right="354" w:hanging="358"/>
      </w:pPr>
      <w:r>
        <w:rPr>
          <w:rFonts w:ascii="Symbol" w:hAnsi="Symbol"/>
        </w:rPr>
        <w:t>•</w:t>
        <w:tab/>
        <w:tab/>
      </w:r>
      <w:r>
        <w:rPr/>
        <w:t>Includes emissions of carbon on managed lands due to natural losses caused by fire, windstorms, pest and disease outbreaks;</w:t>
      </w:r>
    </w:p>
    <w:p>
      <w:pPr>
        <w:pStyle w:val="BodyText"/>
        <w:spacing w:before="139"/>
        <w:ind w:left="219"/>
        <w:jc w:val="both"/>
      </w:pPr>
      <w:r>
        <w:rPr>
          <w:rFonts w:ascii="Symbol" w:hAnsi="Symbol"/>
        </w:rPr>
        <w:t>• </w:t>
      </w:r>
      <w:r>
        <w:rPr/>
        <w:t>Provides methods to estimate non-CO</w:t>
      </w:r>
      <w:r>
        <w:rPr>
          <w:vertAlign w:val="subscript"/>
        </w:rPr>
        <w:t>2</w:t>
      </w:r>
      <w:r>
        <w:rPr>
          <w:vertAlign w:val="baseline"/>
        </w:rPr>
        <w:t> greenhouse gas emissions; and</w:t>
      </w:r>
    </w:p>
    <w:p>
      <w:pPr>
        <w:pStyle w:val="BodyText"/>
        <w:spacing w:before="118"/>
        <w:ind w:left="219"/>
        <w:jc w:val="both"/>
      </w:pPr>
      <w:r>
        <w:rPr>
          <w:rFonts w:ascii="Symbol" w:hAnsi="Symbol"/>
        </w:rPr>
        <w:t>• </w:t>
      </w:r>
      <w:r>
        <w:rPr/>
        <w:t>Should be used together with the approaches for obtaining consistent area data described in Chapter 2.</w:t>
      </w:r>
    </w:p>
    <w:p>
      <w:pPr>
        <w:pStyle w:val="BodyText"/>
        <w:spacing w:before="104"/>
        <w:ind w:left="219" w:right="267"/>
        <w:jc w:val="both"/>
      </w:pPr>
      <w:r>
        <w:rPr/>
        <w:t>Section 3.2 is organised into two parts. Section 3.2.1, the first section, covers the methodology to estimate changes in carbon stocks in five pools on forest areas which have been forest for at least the past 20 years</w:t>
      </w:r>
      <w:r>
        <w:rPr>
          <w:vertAlign w:val="superscript"/>
        </w:rPr>
        <w:t>1</w:t>
      </w:r>
      <w:r>
        <w:rPr>
          <w:vertAlign w:val="baseline"/>
        </w:rPr>
        <w:t>. The second section, Section 3.2.2, addresses changes in carbon stocks on lands converted more recently to forest. Section 3.2.1 describes how the decision tree in Figure 3.1.1, given in Section 3.1.6, should be used to facilitate choices on tier level for carbon pools and non-CO</w:t>
      </w:r>
      <w:r>
        <w:rPr>
          <w:vertAlign w:val="subscript"/>
        </w:rPr>
        <w:t>2</w:t>
      </w:r>
      <w:r>
        <w:rPr>
          <w:vertAlign w:val="baseline"/>
        </w:rPr>
        <w:t> gases.</w:t>
      </w:r>
    </w:p>
    <w:p>
      <w:pPr>
        <w:pStyle w:val="BodyText"/>
        <w:spacing w:before="120"/>
        <w:ind w:left="219" w:right="265"/>
        <w:jc w:val="both"/>
      </w:pPr>
      <w:r>
        <w:rPr/>
        <w:t>As stated in the </w:t>
      </w:r>
      <w:r>
        <w:rPr>
          <w:i/>
        </w:rPr>
        <w:t>IPCC Guidelines</w:t>
      </w:r>
      <w:r>
        <w:rPr/>
        <w:t>, natural, undisturbed forests should not be considered either an anthropogenic source or sink and are excluded from national inventory estimation. This chapter therefore provides guidance on estimating and reporting of anthropogenic sources and sinks of greenhouse gases for managed forests only. The definition of managed forest is discussed in Section 3.1.2.1. Definitions at the national level should be applied consistently over time and cover all forests subject to periodic or ongoing human intervention, including the full range of management practices from commercial timber production to non-commercial purposes.</w:t>
      </w:r>
    </w:p>
    <w:p>
      <w:pPr>
        <w:pStyle w:val="BodyText"/>
        <w:spacing w:before="120"/>
        <w:ind w:left="219" w:right="264"/>
        <w:jc w:val="both"/>
      </w:pPr>
      <w:r>
        <w:rPr/>
        <w:t>The </w:t>
      </w:r>
      <w:r>
        <w:rPr>
          <w:i/>
        </w:rPr>
        <w:t>IPCC Guidelines </w:t>
      </w:r>
      <w:r>
        <w:rPr/>
        <w:t>contain the default assumption that all carbon in harvested biomass is oxidised in the removal year, but gives flexibility to include carbon storage in harvested wood products (HWP) if existing stocks can be shown to be increasing. Accounting for HWP is also under consideration by the SBSTA. Pending the outcome of negotiations, estimation methods for HWP are discussed in a separate section (Appendix 3a.1). This indicates the state of methodological development and does not affect the advice in the </w:t>
      </w:r>
      <w:r>
        <w:rPr>
          <w:i/>
        </w:rPr>
        <w:t>IPCC Guidelines</w:t>
      </w:r>
      <w:r>
        <w:rPr/>
        <w:t>, or prejudge the outcome of the negotiations referred to.</w:t>
      </w:r>
    </w:p>
    <w:p>
      <w:pPr>
        <w:pStyle w:val="BodyText"/>
        <w:rPr>
          <w:sz w:val="22"/>
        </w:rPr>
      </w:pPr>
    </w:p>
    <w:p>
      <w:pPr>
        <w:pStyle w:val="BodyText"/>
        <w:spacing w:before="3"/>
      </w:pPr>
    </w:p>
    <w:p>
      <w:pPr>
        <w:pStyle w:val="Heading2"/>
        <w:ind w:left="219" w:firstLine="0"/>
        <w:jc w:val="both"/>
      </w:pPr>
      <w:r>
        <w:rPr>
          <w:spacing w:val="7"/>
        </w:rPr>
        <w:t>3.2.1 </w:t>
      </w:r>
      <w:r>
        <w:rPr>
          <w:spacing w:val="8"/>
        </w:rPr>
        <w:t>Forest </w:t>
      </w:r>
      <w:r>
        <w:rPr>
          <w:spacing w:val="7"/>
        </w:rPr>
        <w:t>Land </w:t>
      </w:r>
      <w:r>
        <w:rPr>
          <w:spacing w:val="8"/>
        </w:rPr>
        <w:t>Remaining </w:t>
      </w:r>
      <w:r>
        <w:rPr>
          <w:spacing w:val="7"/>
        </w:rPr>
        <w:t>Forest</w:t>
      </w:r>
      <w:r>
        <w:rPr>
          <w:spacing w:val="61"/>
        </w:rPr>
        <w:t> </w:t>
      </w:r>
      <w:r>
        <w:rPr>
          <w:spacing w:val="9"/>
        </w:rPr>
        <w:t>Land</w:t>
      </w:r>
    </w:p>
    <w:p>
      <w:pPr>
        <w:pStyle w:val="BodyText"/>
        <w:spacing w:before="114"/>
        <w:ind w:left="219" w:right="265"/>
        <w:jc w:val="both"/>
      </w:pPr>
      <w:r>
        <w:rPr/>
        <w:t>Greenhouse gas inventory for the land-use category ‘Forest land Remaining Forest land (FF)’ involves estimation of changes in carbon stock from five carbon pools (i.e. aboveground biomass, belowground biomass, dead wood, litter, and soil organic matter), as well as emissions of non-CO</w:t>
      </w:r>
      <w:r>
        <w:rPr>
          <w:vertAlign w:val="subscript"/>
        </w:rPr>
        <w:t>2</w:t>
      </w:r>
      <w:r>
        <w:rPr>
          <w:vertAlign w:val="baseline"/>
        </w:rPr>
        <w:t> gases from such pools.  The summary equation, which estimates the annual emissions or removals from FF with respect to changes in carbon pools is given in Equation</w:t>
      </w:r>
      <w:r>
        <w:rPr>
          <w:spacing w:val="-6"/>
          <w:vertAlign w:val="baseline"/>
        </w:rPr>
        <w:t> </w:t>
      </w:r>
      <w:r>
        <w:rPr>
          <w:vertAlign w:val="baseline"/>
        </w:rPr>
        <w:t>3.2.1.</w:t>
      </w:r>
    </w:p>
    <w:p>
      <w:pPr>
        <w:pStyle w:val="BodyText"/>
        <w:spacing w:before="9"/>
        <w:rPr>
          <w:sz w:val="9"/>
        </w:rPr>
      </w:pPr>
      <w:r>
        <w:rPr/>
        <w:pict>
          <v:group style="position:absolute;margin-left:91.240997pt;margin-top:8.353437pt;width:412.95pt;height:54.5pt;mso-position-horizontal-relative:page;mso-position-vertical-relative:paragraph;z-index:3824;mso-wrap-distance-left:0;mso-wrap-distance-right:0" coordorigin="1825,167" coordsize="8259,1090">
            <v:line style="position:absolute" from="1854,181" to="10054,181" stroked="true" strokeweight="1.44pt" strokecolor="#000000">
              <v:stroke dashstyle="solid"/>
            </v:line>
            <v:rect style="position:absolute;left:1824;top:1227;width:29;height:29" filled="true" fillcolor="#000000" stroked="false">
              <v:fill type="solid"/>
            </v:rect>
            <v:rect style="position:absolute;left:1824;top:1227;width:29;height:29" filled="true" fillcolor="#000000" stroked="false">
              <v:fill type="solid"/>
            </v:rect>
            <v:line style="position:absolute" from="1854,1242" to="10054,1242" stroked="true" strokeweight="1.44pt" strokecolor="#000000">
              <v:stroke dashstyle="solid"/>
            </v:line>
            <v:rect style="position:absolute;left:10054;top:1227;width:29;height:29" filled="true" fillcolor="#000000" stroked="false">
              <v:fill type="solid"/>
            </v:rect>
            <v:rect style="position:absolute;left:10054;top:1227;width:29;height:29" filled="true" fillcolor="#000000" stroked="false">
              <v:fill type="solid"/>
            </v:rect>
            <v:line style="position:absolute" from="1839,167" to="1839,1228" stroked="true" strokeweight="1.44pt" strokecolor="#000000">
              <v:stroke dashstyle="solid"/>
            </v:line>
            <v:line style="position:absolute" from="10069,167" to="10069,1228" stroked="true" strokeweight="1.44pt" strokecolor="#000000">
              <v:stroke dashstyle="solid"/>
            </v:line>
            <v:shape style="position:absolute;left:4402;top:841;width:3054;height:297" type="#_x0000_t202" filled="false" stroked="false">
              <v:textbox inset="0,0,0,0">
                <w:txbxContent>
                  <w:p>
                    <w:pPr>
                      <w:spacing w:line="228" w:lineRule="auto" w:before="0"/>
                      <w:ind w:left="0" w:right="0" w:firstLine="0"/>
                      <w:jc w:val="left"/>
                      <w:rPr>
                        <w:sz w:val="13"/>
                      </w:rPr>
                    </w:pPr>
                    <w:r>
                      <w:rPr>
                        <w:sz w:val="20"/>
                      </w:rPr>
                      <w:t>∆C</w:t>
                    </w:r>
                    <w:r>
                      <w:rPr>
                        <w:position w:val="-2"/>
                        <w:sz w:val="13"/>
                      </w:rPr>
                      <w:t>FF </w:t>
                    </w:r>
                    <w:r>
                      <w:rPr>
                        <w:sz w:val="20"/>
                      </w:rPr>
                      <w:t>= (∆C</w:t>
                    </w:r>
                    <w:r>
                      <w:rPr>
                        <w:position w:val="-2"/>
                        <w:sz w:val="13"/>
                      </w:rPr>
                      <w:t>FF</w:t>
                    </w:r>
                    <w:r>
                      <w:rPr>
                        <w:position w:val="-8"/>
                        <w:sz w:val="13"/>
                      </w:rPr>
                      <w:t>LB </w:t>
                    </w:r>
                    <w:r>
                      <w:rPr>
                        <w:sz w:val="20"/>
                      </w:rPr>
                      <w:t>+ ∆C</w:t>
                    </w:r>
                    <w:r>
                      <w:rPr>
                        <w:position w:val="-2"/>
                        <w:sz w:val="13"/>
                      </w:rPr>
                      <w:t>FF</w:t>
                    </w:r>
                    <w:r>
                      <w:rPr>
                        <w:position w:val="-8"/>
                        <w:sz w:val="13"/>
                      </w:rPr>
                      <w:t>DOM </w:t>
                    </w:r>
                    <w:r>
                      <w:rPr>
                        <w:sz w:val="20"/>
                      </w:rPr>
                      <w:t>+ ∆C</w:t>
                    </w:r>
                    <w:r>
                      <w:rPr>
                        <w:position w:val="-2"/>
                        <w:sz w:val="13"/>
                      </w:rPr>
                      <w:t>FF</w:t>
                    </w:r>
                    <w:r>
                      <w:rPr>
                        <w:position w:val="-8"/>
                        <w:sz w:val="13"/>
                      </w:rPr>
                      <w:t>Soils</w:t>
                    </w:r>
                  </w:p>
                </w:txbxContent>
              </v:textbox>
              <w10:wrap type="none"/>
            </v:shape>
            <v:shape style="position:absolute;left:2566;top:303;width:6793;height:759" type="#_x0000_t202" filled="false" stroked="false">
              <v:textbox inset="0,0,0,0">
                <w:txbxContent>
                  <w:p>
                    <w:pPr>
                      <w:spacing w:line="221" w:lineRule="exact" w:before="0"/>
                      <w:ind w:left="3" w:right="18" w:firstLine="0"/>
                      <w:jc w:val="center"/>
                      <w:rPr>
                        <w:b/>
                        <w:sz w:val="20"/>
                      </w:rPr>
                    </w:pPr>
                    <w:r>
                      <w:rPr>
                        <w:b/>
                        <w:sz w:val="20"/>
                      </w:rPr>
                      <w:t>E</w:t>
                    </w:r>
                    <w:r>
                      <w:rPr>
                        <w:b/>
                        <w:sz w:val="16"/>
                      </w:rPr>
                      <w:t>QUATION </w:t>
                    </w:r>
                    <w:r>
                      <w:rPr>
                        <w:b/>
                        <w:sz w:val="20"/>
                      </w:rPr>
                      <w:t>3.2.1</w:t>
                    </w:r>
                  </w:p>
                  <w:p>
                    <w:pPr>
                      <w:spacing w:before="0"/>
                      <w:ind w:left="0" w:right="18" w:firstLine="0"/>
                      <w:jc w:val="center"/>
                      <w:rPr>
                        <w:b/>
                        <w:sz w:val="16"/>
                      </w:rPr>
                    </w:pPr>
                    <w:r>
                      <w:rPr>
                        <w:b/>
                        <w:sz w:val="20"/>
                      </w:rPr>
                      <w:t>A</w:t>
                    </w:r>
                    <w:r>
                      <w:rPr>
                        <w:b/>
                        <w:sz w:val="16"/>
                      </w:rPr>
                      <w:t>NNUAL EMISSIONS OR REMOVALS FROM FOREST LAND REMAINING FOREST LAND</w:t>
                    </w:r>
                  </w:p>
                  <w:p>
                    <w:pPr>
                      <w:spacing w:before="77"/>
                      <w:ind w:left="0" w:right="1854" w:firstLine="0"/>
                      <w:jc w:val="right"/>
                      <w:rPr>
                        <w:sz w:val="20"/>
                      </w:rPr>
                    </w:pPr>
                    <w:r>
                      <w:rPr>
                        <w:w w:val="99"/>
                        <w:sz w:val="20"/>
                      </w:rPr>
                      <w:t>)</w:t>
                    </w:r>
                  </w:p>
                </w:txbxContent>
              </v:textbox>
              <w10:wrap type="none"/>
            </v:shape>
            <w10:wrap type="topAndBottom"/>
          </v:group>
        </w:pict>
      </w:r>
    </w:p>
    <w:p>
      <w:pPr>
        <w:pStyle w:val="BodyText"/>
        <w:spacing w:before="4"/>
        <w:ind w:left="219"/>
      </w:pPr>
      <w:r>
        <w:rPr/>
        <w:t>Where:</w:t>
      </w:r>
    </w:p>
    <w:p>
      <w:pPr>
        <w:pStyle w:val="BodyText"/>
        <w:spacing w:before="121"/>
        <w:ind w:left="785"/>
      </w:pPr>
      <w:r>
        <w:rPr/>
        <w:t>∆C</w:t>
      </w:r>
      <w:r>
        <w:rPr>
          <w:vertAlign w:val="subscript"/>
        </w:rPr>
        <w:t>FF</w:t>
      </w:r>
      <w:r>
        <w:rPr>
          <w:vertAlign w:val="baseline"/>
        </w:rPr>
        <w:t> = annual change in carbon stocks from forest land remaining forest land, tonnes C yr</w:t>
      </w:r>
      <w:r>
        <w:rPr>
          <w:vertAlign w:val="superscript"/>
        </w:rPr>
        <w:t>-1</w:t>
      </w:r>
    </w:p>
    <w:p>
      <w:pPr>
        <w:pStyle w:val="BodyText"/>
        <w:spacing w:line="228" w:lineRule="auto" w:before="123"/>
        <w:ind w:left="1637" w:right="354" w:hanging="852"/>
      </w:pPr>
      <w:r>
        <w:rPr/>
        <w:t>∆C</w:t>
      </w:r>
      <w:r>
        <w:rPr>
          <w:vertAlign w:val="subscript"/>
        </w:rPr>
        <w:t>FF</w:t>
      </w:r>
      <w:r>
        <w:rPr>
          <w:position w:val="-8"/>
          <w:sz w:val="13"/>
          <w:vertAlign w:val="baseline"/>
        </w:rPr>
        <w:t>LB </w:t>
      </w:r>
      <w:r>
        <w:rPr>
          <w:vertAlign w:val="baseline"/>
        </w:rPr>
        <w:t>= annual change in carbon stocks in living biomass (includes above- and belowground biomass)  in forest land remaining forest land; tonnes C yr</w:t>
      </w:r>
      <w:r>
        <w:rPr>
          <w:vertAlign w:val="superscript"/>
        </w:rPr>
        <w:t>-1</w:t>
      </w:r>
    </w:p>
    <w:p>
      <w:pPr>
        <w:pStyle w:val="BodyText"/>
      </w:pPr>
    </w:p>
    <w:p>
      <w:pPr>
        <w:pStyle w:val="BodyText"/>
        <w:spacing w:before="7"/>
        <w:rPr>
          <w:sz w:val="29"/>
        </w:rPr>
      </w:pPr>
      <w:r>
        <w:rPr/>
        <w:pict>
          <v:line style="position:absolute;mso-position-horizontal-relative:page;mso-position-vertical-relative:paragraph;z-index:3848;mso-wrap-distance-left:0;mso-wrap-distance-right:0" from="70.960999pt,19.271866pt" to="214.960999pt,19.271866pt" stroked="true" strokeweight=".48pt" strokecolor="#000000">
            <v:stroke dashstyle="solid"/>
            <w10:wrap type="topAndBottom"/>
          </v:line>
        </w:pict>
      </w:r>
    </w:p>
    <w:p>
      <w:pPr>
        <w:spacing w:before="33"/>
        <w:ind w:left="377" w:right="265" w:hanging="159"/>
        <w:jc w:val="both"/>
        <w:rPr>
          <w:sz w:val="18"/>
        </w:rPr>
      </w:pPr>
      <w:r>
        <w:rPr>
          <w:position w:val="8"/>
          <w:sz w:val="12"/>
        </w:rPr>
        <w:t>1 </w:t>
      </w:r>
      <w:r>
        <w:rPr>
          <w:sz w:val="18"/>
        </w:rPr>
        <w:t>Lands that have been converted to another land use should be tracked under the appropriate sections for as long as carbon dynamics are influenced by the conversion and follow up dynamics. 20 years is consistent with </w:t>
      </w:r>
      <w:r>
        <w:rPr>
          <w:i/>
          <w:sz w:val="18"/>
        </w:rPr>
        <w:t>IPCC Guidelin</w:t>
      </w:r>
      <w:r>
        <w:rPr>
          <w:sz w:val="18"/>
        </w:rPr>
        <w:t>es, but Tier 3 methods may use longer periods where appropriate to national</w:t>
      </w:r>
      <w:r>
        <w:rPr>
          <w:spacing w:val="-10"/>
          <w:sz w:val="18"/>
        </w:rPr>
        <w:t> </w:t>
      </w:r>
      <w:r>
        <w:rPr>
          <w:sz w:val="18"/>
        </w:rPr>
        <w:t>circumstances.</w:t>
      </w:r>
    </w:p>
    <w:p>
      <w:pPr>
        <w:spacing w:after="0"/>
        <w:jc w:val="both"/>
        <w:rPr>
          <w:sz w:val="18"/>
        </w:rPr>
        <w:sectPr>
          <w:headerReference w:type="default" r:id="rId118"/>
          <w:headerReference w:type="even" r:id="rId119"/>
          <w:footerReference w:type="default" r:id="rId120"/>
          <w:footerReference w:type="even" r:id="rId121"/>
          <w:pgSz w:w="11900" w:h="16840"/>
          <w:pgMar w:header="230" w:footer="408" w:top="560" w:bottom="600" w:left="1200" w:right="1140"/>
          <w:pgNumType w:start="23"/>
        </w:sectPr>
      </w:pPr>
    </w:p>
    <w:p>
      <w:pPr>
        <w:pStyle w:val="BodyText"/>
      </w:pPr>
    </w:p>
    <w:p>
      <w:pPr>
        <w:pStyle w:val="BodyText"/>
        <w:spacing w:line="228" w:lineRule="auto" w:before="215"/>
        <w:ind w:left="1692" w:right="354" w:hanging="908"/>
      </w:pPr>
      <w:r>
        <w:rPr/>
        <w:t>∆C</w:t>
      </w:r>
      <w:r>
        <w:rPr>
          <w:vertAlign w:val="subscript"/>
        </w:rPr>
        <w:t>FF</w:t>
      </w:r>
      <w:r>
        <w:rPr>
          <w:position w:val="-8"/>
          <w:sz w:val="13"/>
          <w:vertAlign w:val="baseline"/>
        </w:rPr>
        <w:t>DOM </w:t>
      </w:r>
      <w:r>
        <w:rPr>
          <w:vertAlign w:val="baseline"/>
        </w:rPr>
        <w:t>= annual change in carbon stocks in dead organic matter (includes dead wood and litter) in  forest land remaining forest land; tonnes C</w:t>
      </w:r>
      <w:r>
        <w:rPr>
          <w:spacing w:val="-3"/>
          <w:vertAlign w:val="baseline"/>
        </w:rPr>
        <w:t> </w:t>
      </w:r>
      <w:r>
        <w:rPr>
          <w:vertAlign w:val="baseline"/>
        </w:rPr>
        <w:t>yr</w:t>
      </w:r>
      <w:r>
        <w:rPr>
          <w:vertAlign w:val="superscript"/>
        </w:rPr>
        <w:t>-1</w:t>
      </w:r>
    </w:p>
    <w:p>
      <w:pPr>
        <w:pStyle w:val="BodyText"/>
        <w:tabs>
          <w:tab w:pos="1493" w:val="left" w:leader="none"/>
        </w:tabs>
        <w:spacing w:line="193" w:lineRule="exact" w:before="123"/>
        <w:ind w:left="785"/>
      </w:pPr>
      <w:r>
        <w:rPr/>
        <w:pict>
          <v:shape style="position:absolute;margin-left:112.000603pt;margin-top:11.271855pt;width:7.2pt;height:7.2pt;mso-position-horizontal-relative:page;mso-position-vertical-relative:paragraph;z-index:-2450008" type="#_x0000_t202" filled="false" stroked="false">
            <v:textbox inset="0,0,0,0">
              <w:txbxContent>
                <w:p>
                  <w:pPr>
                    <w:spacing w:line="144" w:lineRule="exact" w:before="0"/>
                    <w:ind w:left="0" w:right="0" w:firstLine="0"/>
                    <w:jc w:val="left"/>
                    <w:rPr>
                      <w:sz w:val="13"/>
                    </w:rPr>
                  </w:pPr>
                  <w:r>
                    <w:rPr>
                      <w:spacing w:val="-1"/>
                      <w:sz w:val="13"/>
                    </w:rPr>
                    <w:t>FF</w:t>
                  </w:r>
                </w:p>
              </w:txbxContent>
            </v:textbox>
            <w10:wrap type="none"/>
          </v:shape>
        </w:pict>
      </w:r>
      <w:r>
        <w:rPr/>
        <w:t>∆C</w:t>
        <w:tab/>
        <w:t>= annual change in carbon stocks in soils in forest land remaining forest land; tonnes C</w:t>
      </w:r>
      <w:r>
        <w:rPr>
          <w:spacing w:val="-22"/>
        </w:rPr>
        <w:t> </w:t>
      </w:r>
      <w:r>
        <w:rPr/>
        <w:t>yr</w:t>
      </w:r>
      <w:r>
        <w:rPr>
          <w:vertAlign w:val="superscript"/>
        </w:rPr>
        <w:t>-1</w:t>
      </w:r>
    </w:p>
    <w:p>
      <w:pPr>
        <w:spacing w:line="113" w:lineRule="exact" w:before="0"/>
        <w:ind w:left="1186" w:right="0" w:firstLine="0"/>
        <w:jc w:val="left"/>
        <w:rPr>
          <w:sz w:val="13"/>
        </w:rPr>
      </w:pPr>
      <w:r>
        <w:rPr>
          <w:sz w:val="13"/>
        </w:rPr>
        <w:t>Soils</w:t>
      </w:r>
    </w:p>
    <w:p>
      <w:pPr>
        <w:pStyle w:val="BodyText"/>
        <w:spacing w:before="104"/>
        <w:ind w:left="219"/>
        <w:jc w:val="both"/>
      </w:pPr>
      <w:r>
        <w:rPr/>
        <w:t>To convert tonnes C to Gg CO</w:t>
      </w:r>
      <w:r>
        <w:rPr>
          <w:vertAlign w:val="subscript"/>
        </w:rPr>
        <w:t>2</w:t>
      </w:r>
      <w:r>
        <w:rPr>
          <w:vertAlign w:val="baseline"/>
        </w:rPr>
        <w:t>, multiply the value by 44/12 and 10</w:t>
      </w:r>
      <w:r>
        <w:rPr>
          <w:vertAlign w:val="superscript"/>
        </w:rPr>
        <w:t>-3</w:t>
      </w:r>
      <w:r>
        <w:rPr>
          <w:vertAlign w:val="baseline"/>
        </w:rPr>
        <w:t>. For the convention (signs), refer to Section</w:t>
      </w:r>
    </w:p>
    <w:p>
      <w:pPr>
        <w:pStyle w:val="BodyText"/>
        <w:spacing w:before="1"/>
        <w:ind w:left="219"/>
        <w:jc w:val="both"/>
      </w:pPr>
      <w:r>
        <w:rPr/>
        <w:t>3.1.7 or Annex 3A.2 (Reporting Tables and Worksheets).</w:t>
      </w:r>
    </w:p>
    <w:p>
      <w:pPr>
        <w:pStyle w:val="BodyText"/>
        <w:rPr>
          <w:sz w:val="22"/>
        </w:rPr>
      </w:pPr>
    </w:p>
    <w:p>
      <w:pPr>
        <w:pStyle w:val="Heading6"/>
        <w:numPr>
          <w:ilvl w:val="3"/>
          <w:numId w:val="44"/>
        </w:numPr>
        <w:tabs>
          <w:tab w:pos="1667" w:val="left" w:leader="none"/>
        </w:tabs>
        <w:spacing w:line="240" w:lineRule="auto" w:before="148" w:after="0"/>
        <w:ind w:left="1666" w:right="0" w:hanging="1447"/>
        <w:jc w:val="both"/>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LIVING</w:t>
      </w:r>
      <w:r>
        <w:rPr>
          <w:spacing w:val="42"/>
        </w:rPr>
        <w:t> </w:t>
      </w:r>
      <w:r>
        <w:rPr>
          <w:spacing w:val="17"/>
        </w:rPr>
        <w:t>BIOMASS</w:t>
      </w:r>
    </w:p>
    <w:p>
      <w:pPr>
        <w:pStyle w:val="BodyText"/>
        <w:spacing w:before="209"/>
        <w:ind w:left="219" w:right="265"/>
        <w:jc w:val="both"/>
      </w:pPr>
      <w:r>
        <w:rPr/>
        <w:t>Carbon stock change is calculated by multiplying the difference in oven dry weight of biomass increments and losses with the appropriate carbon fraction. This section presents methods for estimating biomass increments and the losses. Increments include biomass growth. Losses include fellings, fuelwood gathering, and natural losses.</w:t>
      </w:r>
    </w:p>
    <w:p>
      <w:pPr>
        <w:pStyle w:val="Heading6"/>
        <w:numPr>
          <w:ilvl w:val="4"/>
          <w:numId w:val="44"/>
        </w:numPr>
        <w:tabs>
          <w:tab w:pos="1659" w:val="left" w:leader="none"/>
          <w:tab w:pos="1660" w:val="left" w:leader="none"/>
        </w:tabs>
        <w:spacing w:line="370" w:lineRule="atLeast" w:before="127" w:after="0"/>
        <w:ind w:left="219" w:right="4472" w:firstLine="0"/>
        <w:jc w:val="left"/>
      </w:pPr>
      <w:r>
        <w:rPr/>
        <w:t>1</w:t>
        <w:tab/>
      </w:r>
      <w:r>
        <w:rPr>
          <w:spacing w:val="17"/>
        </w:rPr>
        <w:t>METHODOLOGICAL </w:t>
      </w:r>
      <w:r>
        <w:rPr>
          <w:spacing w:val="16"/>
        </w:rPr>
        <w:t>ISSUES 3.2.1.1</w:t>
      </w:r>
      <w:r>
        <w:rPr>
          <w:spacing w:val="-34"/>
        </w:rPr>
        <w:t> </w:t>
      </w:r>
      <w:r>
        <w:rPr>
          <w:spacing w:val="14"/>
        </w:rPr>
        <w:t>.1.1</w:t>
        <w:tab/>
      </w:r>
      <w:r>
        <w:rPr>
          <w:spacing w:val="15"/>
        </w:rPr>
        <w:t>Choice </w:t>
      </w:r>
      <w:r>
        <w:rPr>
          <w:spacing w:val="9"/>
        </w:rPr>
        <w:t>of</w:t>
      </w:r>
      <w:r>
        <w:rPr>
          <w:spacing w:val="-4"/>
        </w:rPr>
        <w:t> </w:t>
      </w:r>
      <w:r>
        <w:rPr>
          <w:spacing w:val="19"/>
        </w:rPr>
        <w:t>Method</w:t>
      </w:r>
    </w:p>
    <w:p>
      <w:pPr>
        <w:pStyle w:val="BodyText"/>
        <w:spacing w:before="58"/>
        <w:ind w:left="219"/>
      </w:pPr>
      <w:r>
        <w:rPr/>
        <w:t>Two methods are feasible for estimating carbon stock changes in biomass:</w:t>
      </w:r>
    </w:p>
    <w:p>
      <w:pPr>
        <w:pStyle w:val="BodyText"/>
        <w:spacing w:before="120"/>
        <w:ind w:left="219"/>
      </w:pPr>
      <w:r>
        <w:rPr>
          <w:b/>
        </w:rPr>
        <w:t>Method 1 </w:t>
      </w:r>
      <w:r>
        <w:rPr/>
        <w:t>(also called the </w:t>
      </w:r>
      <w:r>
        <w:rPr>
          <w:b/>
        </w:rPr>
        <w:t>default method</w:t>
      </w:r>
      <w:r>
        <w:rPr/>
        <w:t>) requires the biomass carbon loss to be subtracted from the biomass carbon increment for the reporting year (Equation 3.2.2).</w:t>
      </w:r>
    </w:p>
    <w:p>
      <w:pPr>
        <w:pStyle w:val="BodyText"/>
        <w:spacing w:before="11"/>
        <w:rPr>
          <w:sz w:val="9"/>
        </w:rPr>
      </w:pPr>
      <w:r>
        <w:rPr/>
        <w:pict>
          <v:group style="position:absolute;margin-left:91.240997pt;margin-top:8.442676pt;width:412.95pt;height:65.9pt;mso-position-horizontal-relative:page;mso-position-vertical-relative:paragraph;z-index:3920;mso-wrap-distance-left:0;mso-wrap-distance-right:0" coordorigin="1825,169" coordsize="8259,1318">
            <v:line style="position:absolute" from="1854,183" to="10054,183" stroked="true" strokeweight="1.44pt" strokecolor="#000000">
              <v:stroke dashstyle="solid"/>
            </v:line>
            <v:line style="position:absolute" from="1854,1472" to="10054,1472" stroked="true" strokeweight="1.44pt" strokecolor="#000000">
              <v:stroke dashstyle="solid"/>
            </v:line>
            <v:line style="position:absolute" from="1839,169" to="1839,1486" stroked="true" strokeweight="1.44pt" strokecolor="#000000">
              <v:stroke dashstyle="solid"/>
            </v:line>
            <v:line style="position:absolute" from="10069,169" to="10069,1486" stroked="true" strokeweight="1.44pt" strokecolor="#000000">
              <v:stroke dashstyle="solid"/>
            </v:line>
            <v:shape style="position:absolute;left:4920;top:1073;width:2022;height:297" type="#_x0000_t202" filled="false" stroked="false">
              <v:textbox inset="0,0,0,0">
                <w:txbxContent>
                  <w:p>
                    <w:pPr>
                      <w:spacing w:line="228" w:lineRule="auto" w:before="0"/>
                      <w:ind w:left="0" w:right="0" w:firstLine="0"/>
                      <w:jc w:val="left"/>
                      <w:rPr>
                        <w:sz w:val="13"/>
                      </w:rPr>
                    </w:pPr>
                    <w:r>
                      <w:rPr>
                        <w:sz w:val="20"/>
                      </w:rPr>
                      <w:t>∆C</w:t>
                    </w:r>
                    <w:r>
                      <w:rPr>
                        <w:sz w:val="20"/>
                        <w:vertAlign w:val="subscript"/>
                      </w:rPr>
                      <w:t>FF</w:t>
                    </w:r>
                    <w:r>
                      <w:rPr>
                        <w:position w:val="-8"/>
                        <w:sz w:val="13"/>
                        <w:vertAlign w:val="baseline"/>
                      </w:rPr>
                      <w:t>LB </w:t>
                    </w:r>
                    <w:r>
                      <w:rPr>
                        <w:sz w:val="20"/>
                        <w:vertAlign w:val="baseline"/>
                      </w:rPr>
                      <w:t>= (∆C</w:t>
                    </w:r>
                    <w:r>
                      <w:rPr>
                        <w:sz w:val="20"/>
                        <w:vertAlign w:val="subscript"/>
                      </w:rPr>
                      <w:t>FF</w:t>
                    </w:r>
                    <w:r>
                      <w:rPr>
                        <w:position w:val="-8"/>
                        <w:sz w:val="13"/>
                        <w:vertAlign w:val="baseline"/>
                      </w:rPr>
                      <w:t>G </w:t>
                    </w:r>
                    <w:r>
                      <w:rPr>
                        <w:sz w:val="20"/>
                        <w:vertAlign w:val="baseline"/>
                      </w:rPr>
                      <w:t>– ∆C</w:t>
                    </w:r>
                    <w:r>
                      <w:rPr>
                        <w:sz w:val="20"/>
                        <w:vertAlign w:val="subscript"/>
                      </w:rPr>
                      <w:t>FF</w:t>
                    </w:r>
                    <w:r>
                      <w:rPr>
                        <w:position w:val="-8"/>
                        <w:sz w:val="13"/>
                        <w:vertAlign w:val="baseline"/>
                      </w:rPr>
                      <w:t>L</w:t>
                    </w:r>
                  </w:p>
                </w:txbxContent>
              </v:textbox>
              <w10:wrap type="none"/>
            </v:shape>
            <v:shape style="position:absolute;left:3298;top:305;width:5328;height:989" type="#_x0000_t202" filled="false" stroked="false">
              <v:textbox inset="0,0,0,0">
                <w:txbxContent>
                  <w:p>
                    <w:pPr>
                      <w:spacing w:line="220" w:lineRule="exact" w:before="0"/>
                      <w:ind w:left="4" w:right="18" w:firstLine="0"/>
                      <w:jc w:val="center"/>
                      <w:rPr>
                        <w:b/>
                        <w:sz w:val="20"/>
                      </w:rPr>
                    </w:pPr>
                    <w:r>
                      <w:rPr>
                        <w:b/>
                        <w:sz w:val="20"/>
                      </w:rPr>
                      <w:t>E</w:t>
                    </w:r>
                    <w:r>
                      <w:rPr>
                        <w:b/>
                        <w:sz w:val="16"/>
                      </w:rPr>
                      <w:t>QUATION </w:t>
                    </w:r>
                    <w:r>
                      <w:rPr>
                        <w:b/>
                        <w:sz w:val="20"/>
                      </w:rPr>
                      <w:t>3.2.2</w:t>
                    </w:r>
                  </w:p>
                  <w:p>
                    <w:pPr>
                      <w:spacing w:line="229" w:lineRule="exact" w:before="0"/>
                      <w:ind w:left="4" w:right="18" w:firstLine="0"/>
                      <w:jc w:val="center"/>
                      <w:rPr>
                        <w:b/>
                        <w:sz w:val="16"/>
                      </w:rPr>
                    </w:pPr>
                    <w:r>
                      <w:rPr>
                        <w:b/>
                        <w:sz w:val="20"/>
                      </w:rPr>
                      <w:t>A</w:t>
                    </w:r>
                    <w:r>
                      <w:rPr>
                        <w:b/>
                        <w:sz w:val="16"/>
                      </w:rPr>
                      <w:t>NNUAL CHANGE IN CARBON STOCKS IN LIVING BIOMASS</w:t>
                    </w:r>
                  </w:p>
                  <w:p>
                    <w:pPr>
                      <w:spacing w:before="0"/>
                      <w:ind w:left="-1" w:right="18" w:firstLine="0"/>
                      <w:jc w:val="center"/>
                      <w:rPr>
                        <w:b/>
                        <w:sz w:val="20"/>
                      </w:rPr>
                    </w:pPr>
                    <w:r>
                      <w:rPr>
                        <w:b/>
                        <w:sz w:val="16"/>
                      </w:rPr>
                      <w:t>IN FOREST LAND REMAINING FOREST LAND </w:t>
                    </w:r>
                    <w:r>
                      <w:rPr>
                        <w:b/>
                        <w:sz w:val="20"/>
                      </w:rPr>
                      <w:t>(D</w:t>
                    </w:r>
                    <w:r>
                      <w:rPr>
                        <w:b/>
                        <w:sz w:val="16"/>
                      </w:rPr>
                      <w:t>EFAULT</w:t>
                    </w:r>
                    <w:r>
                      <w:rPr>
                        <w:b/>
                        <w:spacing w:val="-19"/>
                        <w:sz w:val="16"/>
                      </w:rPr>
                      <w:t> </w:t>
                    </w:r>
                    <w:r>
                      <w:rPr>
                        <w:b/>
                        <w:sz w:val="20"/>
                      </w:rPr>
                      <w:t>M</w:t>
                    </w:r>
                    <w:r>
                      <w:rPr>
                        <w:b/>
                        <w:sz w:val="16"/>
                      </w:rPr>
                      <w:t>ETHOD</w:t>
                    </w:r>
                    <w:r>
                      <w:rPr>
                        <w:b/>
                        <w:sz w:val="20"/>
                      </w:rPr>
                      <w:t>)</w:t>
                    </w:r>
                  </w:p>
                  <w:p>
                    <w:pPr>
                      <w:spacing w:before="80"/>
                      <w:ind w:left="0" w:right="1638" w:firstLine="0"/>
                      <w:jc w:val="right"/>
                      <w:rPr>
                        <w:sz w:val="20"/>
                      </w:rPr>
                    </w:pPr>
                    <w:r>
                      <w:rPr>
                        <w:w w:val="99"/>
                        <w:sz w:val="20"/>
                      </w:rPr>
                      <w:t>)</w:t>
                    </w:r>
                  </w:p>
                </w:txbxContent>
              </v:textbox>
              <w10:wrap type="none"/>
            </v:shape>
            <w10:wrap type="topAndBottom"/>
          </v:group>
        </w:pict>
      </w:r>
    </w:p>
    <w:p>
      <w:pPr>
        <w:pStyle w:val="BodyText"/>
        <w:spacing w:line="220" w:lineRule="exact"/>
        <w:ind w:left="219"/>
      </w:pPr>
      <w:r>
        <w:rPr/>
        <w:t>Where:</w:t>
      </w:r>
    </w:p>
    <w:p>
      <w:pPr>
        <w:pStyle w:val="BodyText"/>
        <w:spacing w:line="228" w:lineRule="auto" w:before="126"/>
        <w:ind w:left="1637" w:right="354" w:hanging="852"/>
      </w:pPr>
      <w:r>
        <w:rPr/>
        <w:t>∆C</w:t>
      </w:r>
      <w:r>
        <w:rPr>
          <w:vertAlign w:val="subscript"/>
        </w:rPr>
        <w:t>FF</w:t>
      </w:r>
      <w:r>
        <w:rPr>
          <w:position w:val="-8"/>
          <w:sz w:val="13"/>
          <w:vertAlign w:val="baseline"/>
        </w:rPr>
        <w:t>LB </w:t>
      </w:r>
      <w:r>
        <w:rPr>
          <w:vertAlign w:val="baseline"/>
        </w:rPr>
        <w:t>= annual change in carbon stocks in living biomass (includes above- and belowground biomass)  in forest land remaining forest land, tonnes C yr</w:t>
      </w:r>
      <w:r>
        <w:rPr>
          <w:vertAlign w:val="superscript"/>
        </w:rPr>
        <w:t>-1</w:t>
      </w:r>
    </w:p>
    <w:p>
      <w:pPr>
        <w:pStyle w:val="BodyText"/>
        <w:spacing w:before="121"/>
        <w:ind w:left="785"/>
      </w:pPr>
      <w:r>
        <w:rPr/>
        <w:pict>
          <v:shape style="position:absolute;margin-left:119.200531pt;margin-top:14.171641pt;width:4.7pt;height:7.2pt;mso-position-horizontal-relative:page;mso-position-vertical-relative:paragraph;z-index:-2449984"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t>∆C</w:t>
      </w:r>
      <w:r>
        <w:rPr>
          <w:vertAlign w:val="subscript"/>
        </w:rPr>
        <w:t>FF</w:t>
      </w:r>
      <w:r>
        <w:rPr>
          <w:vertAlign w:val="baseline"/>
        </w:rPr>
        <w:t> = annual increase in carbon stocks due to biomass growth, tonnes C yr</w:t>
      </w:r>
      <w:r>
        <w:rPr>
          <w:vertAlign w:val="superscript"/>
        </w:rPr>
        <w:t>-1</w:t>
      </w:r>
    </w:p>
    <w:p>
      <w:pPr>
        <w:pStyle w:val="BodyText"/>
        <w:spacing w:before="180"/>
        <w:ind w:left="785"/>
      </w:pPr>
      <w:r>
        <w:rPr/>
        <w:pict>
          <v:shape style="position:absolute;margin-left:119.320412pt;margin-top:17.122171pt;width:4pt;height:7.2pt;mso-position-horizontal-relative:page;mso-position-vertical-relative:paragraph;z-index:-2449960"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t>∆C</w:t>
      </w:r>
      <w:r>
        <w:rPr>
          <w:vertAlign w:val="subscript"/>
        </w:rPr>
        <w:t>FF</w:t>
      </w:r>
      <w:r>
        <w:rPr>
          <w:vertAlign w:val="baseline"/>
        </w:rPr>
        <w:t> = annual decrease in carbon stocks due to biomass loss, tonnes C yr</w:t>
      </w:r>
      <w:r>
        <w:rPr>
          <w:vertAlign w:val="superscript"/>
        </w:rPr>
        <w:t>-1</w:t>
      </w:r>
    </w:p>
    <w:p>
      <w:pPr>
        <w:pStyle w:val="BodyText"/>
        <w:spacing w:before="8"/>
        <w:rPr>
          <w:sz w:val="35"/>
        </w:rPr>
      </w:pPr>
    </w:p>
    <w:p>
      <w:pPr>
        <w:spacing w:before="0"/>
        <w:ind w:left="219" w:right="0" w:firstLine="0"/>
        <w:jc w:val="left"/>
        <w:rPr>
          <w:sz w:val="20"/>
        </w:rPr>
      </w:pPr>
      <w:r>
        <w:rPr>
          <w:b/>
          <w:sz w:val="20"/>
        </w:rPr>
        <w:t>Method 2 </w:t>
      </w:r>
      <w:r>
        <w:rPr>
          <w:sz w:val="20"/>
        </w:rPr>
        <w:t>(also called the </w:t>
      </w:r>
      <w:r>
        <w:rPr>
          <w:b/>
          <w:sz w:val="20"/>
        </w:rPr>
        <w:t>stock change method</w:t>
      </w:r>
      <w:r>
        <w:rPr>
          <w:sz w:val="20"/>
        </w:rPr>
        <w:t>) requires biomass carbon stock inventories for a given forest</w:t>
      </w:r>
    </w:p>
    <w:p>
      <w:pPr>
        <w:spacing w:after="0"/>
        <w:jc w:val="left"/>
        <w:rPr>
          <w:sz w:val="20"/>
        </w:rPr>
        <w:sectPr>
          <w:pgSz w:w="11900" w:h="16840"/>
          <w:pgMar w:header="230" w:footer="408" w:top="560" w:bottom="600" w:left="1200" w:right="1140"/>
        </w:sectPr>
      </w:pPr>
    </w:p>
    <w:p>
      <w:pPr>
        <w:pStyle w:val="BodyText"/>
        <w:spacing w:line="193" w:lineRule="exact" w:before="1"/>
        <w:ind w:right="62"/>
        <w:jc w:val="right"/>
      </w:pPr>
      <w:r>
        <w:rPr/>
        <w:t>area at two points in time. Biomass change is the difference between the biomass at time t</w:t>
      </w:r>
    </w:p>
    <w:p>
      <w:pPr>
        <w:spacing w:line="104" w:lineRule="exact" w:before="0"/>
        <w:ind w:left="0" w:right="0" w:firstLine="0"/>
        <w:jc w:val="right"/>
        <w:rPr>
          <w:sz w:val="13"/>
        </w:rPr>
      </w:pPr>
      <w:r>
        <w:rPr>
          <w:w w:val="99"/>
          <w:sz w:val="13"/>
        </w:rPr>
        <w:t>2</w:t>
      </w:r>
    </w:p>
    <w:p>
      <w:pPr>
        <w:pStyle w:val="BodyText"/>
        <w:spacing w:line="193" w:lineRule="exact" w:before="1"/>
        <w:ind w:left="22" w:right="271"/>
        <w:jc w:val="center"/>
      </w:pPr>
      <w:r>
        <w:rPr/>
        <w:br w:type="column"/>
      </w:r>
      <w:r>
        <w:rPr/>
        <w:t>and time t , divided</w:t>
      </w:r>
    </w:p>
    <w:p>
      <w:pPr>
        <w:spacing w:line="104" w:lineRule="exact" w:before="0"/>
        <w:ind w:left="0" w:right="141" w:firstLine="0"/>
        <w:jc w:val="center"/>
        <w:rPr>
          <w:sz w:val="13"/>
        </w:rPr>
      </w:pPr>
      <w:r>
        <w:rPr>
          <w:w w:val="99"/>
          <w:sz w:val="13"/>
        </w:rPr>
        <w:t>1</w:t>
      </w:r>
    </w:p>
    <w:p>
      <w:pPr>
        <w:spacing w:after="0" w:line="104" w:lineRule="exact"/>
        <w:jc w:val="center"/>
        <w:rPr>
          <w:sz w:val="13"/>
        </w:rPr>
        <w:sectPr>
          <w:type w:val="continuous"/>
          <w:pgSz w:w="11900" w:h="16840"/>
          <w:pgMar w:top="1060" w:bottom="280" w:left="1200" w:right="1140"/>
          <w:cols w:num="2" w:equalWidth="0">
            <w:col w:w="7636" w:space="40"/>
            <w:col w:w="1884"/>
          </w:cols>
        </w:sectPr>
      </w:pPr>
    </w:p>
    <w:p>
      <w:pPr>
        <w:pStyle w:val="BodyText"/>
        <w:spacing w:line="221" w:lineRule="exact"/>
        <w:ind w:left="219"/>
      </w:pPr>
      <w:r>
        <w:rPr/>
        <w:t>by the number of years between the inventories (Equation 3.2.3).</w:t>
      </w:r>
    </w:p>
    <w:p>
      <w:pPr>
        <w:pStyle w:val="BodyText"/>
        <w:spacing w:before="10"/>
        <w:rPr>
          <w:sz w:val="9"/>
        </w:rPr>
      </w:pPr>
      <w:r>
        <w:rPr/>
        <w:pict>
          <v:group style="position:absolute;margin-left:91.240997pt;margin-top:8.397051pt;width:412.95pt;height:97.7pt;mso-position-horizontal-relative:page;mso-position-vertical-relative:paragraph;z-index:4088;mso-wrap-distance-left:0;mso-wrap-distance-right:0" coordorigin="1825,168" coordsize="8259,1954">
            <v:line style="position:absolute" from="1854,182" to="10054,182" stroked="true" strokeweight="1.44pt" strokecolor="#000000">
              <v:stroke dashstyle="solid"/>
            </v:line>
            <v:line style="position:absolute" from="1854,2107" to="10054,2107" stroked="true" strokeweight="1.44pt" strokecolor="#000000">
              <v:stroke dashstyle="solid"/>
            </v:line>
            <v:line style="position:absolute" from="1839,168" to="1839,2122" stroked="true" strokeweight="1.44pt" strokecolor="#000000">
              <v:stroke dashstyle="solid"/>
            </v:line>
            <v:line style="position:absolute" from="10069,168" to="10069,2122" stroked="true" strokeweight="1.44pt" strokecolor="#000000">
              <v:stroke dashstyle="solid"/>
            </v:line>
            <v:shape style="position:absolute;left:4515;top:1745;width:2898;height:261" type="#_x0000_t202" filled="false" stroked="false">
              <v:textbox inset="0,0,0,0">
                <w:txbxContent>
                  <w:p>
                    <w:pPr>
                      <w:spacing w:line="246" w:lineRule="exact" w:before="14"/>
                      <w:ind w:left="0" w:right="0" w:firstLine="0"/>
                      <w:jc w:val="left"/>
                      <w:rPr>
                        <w:sz w:val="20"/>
                      </w:rPr>
                    </w:pPr>
                    <w:r>
                      <w:rPr>
                        <w:sz w:val="20"/>
                      </w:rPr>
                      <w:t>C = [V ● D </w:t>
                    </w:r>
                    <w:r>
                      <w:rPr>
                        <w:rFonts w:ascii="Symbol" w:hAnsi="Symbol"/>
                        <w:sz w:val="20"/>
                      </w:rPr>
                      <w:t>• </w:t>
                    </w:r>
                    <w:r>
                      <w:rPr>
                        <w:sz w:val="20"/>
                      </w:rPr>
                      <w:t>BEF</w:t>
                    </w:r>
                    <w:r>
                      <w:rPr>
                        <w:sz w:val="20"/>
                        <w:vertAlign w:val="subscript"/>
                      </w:rPr>
                      <w:t>2</w:t>
                    </w:r>
                    <w:r>
                      <w:rPr>
                        <w:sz w:val="20"/>
                        <w:vertAlign w:val="baseline"/>
                      </w:rPr>
                      <w:t>] ● (1 + R) ● CF</w:t>
                    </w:r>
                  </w:p>
                </w:txbxContent>
              </v:textbox>
              <w10:wrap type="none"/>
            </v:shape>
            <v:shape style="position:absolute;left:5775;top:1163;width:524;height:144" type="#_x0000_t202" filled="false" stroked="false">
              <v:textbox inset="0,0,0,0">
                <w:txbxContent>
                  <w:p>
                    <w:pPr>
                      <w:tabs>
                        <w:tab w:pos="467" w:val="left" w:leader="none"/>
                      </w:tabs>
                      <w:spacing w:line="144" w:lineRule="exact" w:before="0"/>
                      <w:ind w:left="0" w:right="0" w:firstLine="0"/>
                      <w:jc w:val="left"/>
                      <w:rPr>
                        <w:sz w:val="13"/>
                      </w:rPr>
                    </w:pPr>
                    <w:r>
                      <w:rPr>
                        <w:sz w:val="13"/>
                      </w:rPr>
                      <w:t>t</w:t>
                      <w:tab/>
                      <w:t>t</w:t>
                    </w:r>
                  </w:p>
                </w:txbxContent>
              </v:textbox>
              <w10:wrap type="none"/>
            </v:shape>
            <v:shape style="position:absolute;left:5165;top:1223;width:1931;height:437" type="#_x0000_t202" filled="false" stroked="false">
              <v:textbox inset="0,0,0,0">
                <w:txbxContent>
                  <w:p>
                    <w:pPr>
                      <w:tabs>
                        <w:tab w:pos="645" w:val="left" w:leader="none"/>
                        <w:tab w:pos="1113" w:val="left" w:leader="none"/>
                        <w:tab w:pos="1523" w:val="left" w:leader="none"/>
                        <w:tab w:pos="1845" w:val="left" w:leader="none"/>
                      </w:tabs>
                      <w:spacing w:line="144" w:lineRule="exact" w:before="0"/>
                      <w:ind w:left="0" w:right="0" w:firstLine="0"/>
                      <w:jc w:val="left"/>
                      <w:rPr>
                        <w:sz w:val="13"/>
                      </w:rPr>
                    </w:pPr>
                    <w:r>
                      <w:rPr>
                        <w:sz w:val="13"/>
                      </w:rPr>
                      <w:t>LB</w:t>
                      <w:tab/>
                      <w:t>2</w:t>
                      <w:tab/>
                      <w:t>1</w:t>
                      <w:tab/>
                      <w:t>2</w:t>
                      <w:tab/>
                      <w:t>1</w:t>
                    </w:r>
                  </w:p>
                  <w:p>
                    <w:pPr>
                      <w:spacing w:before="63"/>
                      <w:ind w:left="643" w:right="0" w:firstLine="0"/>
                      <w:jc w:val="left"/>
                      <w:rPr>
                        <w:sz w:val="20"/>
                      </w:rPr>
                    </w:pPr>
                    <w:r>
                      <w:rPr>
                        <w:sz w:val="20"/>
                      </w:rPr>
                      <w:t>and</w:t>
                    </w:r>
                  </w:p>
                </w:txbxContent>
              </v:textbox>
              <w10:wrap type="none"/>
            </v:shape>
            <v:shape style="position:absolute;left:5019;top:1163;width:164;height:144" type="#_x0000_t202" filled="false" stroked="false">
              <v:textbox inset="0,0,0,0">
                <w:txbxContent>
                  <w:p>
                    <w:pPr>
                      <w:spacing w:line="144" w:lineRule="exact" w:before="0"/>
                      <w:ind w:left="0" w:right="0" w:firstLine="0"/>
                      <w:jc w:val="left"/>
                      <w:rPr>
                        <w:sz w:val="13"/>
                      </w:rPr>
                    </w:pPr>
                    <w:r>
                      <w:rPr>
                        <w:sz w:val="13"/>
                      </w:rPr>
                      <w:t>FF</w:t>
                    </w:r>
                  </w:p>
                </w:txbxContent>
              </v:textbox>
              <w10:wrap type="none"/>
            </v:shape>
            <v:shape style="position:absolute;left:4764;top:1070;width:2398;height:221" type="#_x0000_t202" filled="false" stroked="false">
              <v:textbox inset="0,0,0,0">
                <w:txbxContent>
                  <w:p>
                    <w:pPr>
                      <w:tabs>
                        <w:tab w:pos="614" w:val="left" w:leader="none"/>
                      </w:tabs>
                      <w:spacing w:line="221" w:lineRule="exact" w:before="0"/>
                      <w:ind w:left="0" w:right="0" w:firstLine="0"/>
                      <w:jc w:val="left"/>
                      <w:rPr>
                        <w:sz w:val="20"/>
                      </w:rPr>
                    </w:pPr>
                    <w:r>
                      <w:rPr>
                        <w:sz w:val="20"/>
                      </w:rPr>
                      <w:t>∆C</w:t>
                      <w:tab/>
                      <w:t>= (C – C ) / (t – t</w:t>
                    </w:r>
                    <w:r>
                      <w:rPr>
                        <w:spacing w:val="-6"/>
                        <w:sz w:val="20"/>
                      </w:rPr>
                      <w:t> </w:t>
                    </w:r>
                    <w:r>
                      <w:rPr>
                        <w:sz w:val="20"/>
                      </w:rPr>
                      <w:t>)</w:t>
                    </w:r>
                  </w:p>
                </w:txbxContent>
              </v:textbox>
              <w10:wrap type="none"/>
            </v:shape>
            <v:shape style="position:absolute;left:3020;top:304;width:5888;height:682" type="#_x0000_t202" filled="false" stroked="false">
              <v:textbox inset="0,0,0,0">
                <w:txbxContent>
                  <w:p>
                    <w:pPr>
                      <w:spacing w:line="221" w:lineRule="exact" w:before="0"/>
                      <w:ind w:left="0" w:right="16" w:firstLine="0"/>
                      <w:jc w:val="center"/>
                      <w:rPr>
                        <w:b/>
                        <w:sz w:val="20"/>
                      </w:rPr>
                    </w:pPr>
                    <w:r>
                      <w:rPr>
                        <w:b/>
                        <w:sz w:val="20"/>
                      </w:rPr>
                      <w:t>E</w:t>
                    </w:r>
                    <w:r>
                      <w:rPr>
                        <w:b/>
                        <w:sz w:val="16"/>
                      </w:rPr>
                      <w:t>QUATION </w:t>
                    </w:r>
                    <w:r>
                      <w:rPr>
                        <w:b/>
                        <w:sz w:val="20"/>
                      </w:rPr>
                      <w:t>3.2.3</w:t>
                    </w:r>
                  </w:p>
                  <w:p>
                    <w:pPr>
                      <w:spacing w:before="0"/>
                      <w:ind w:left="0" w:right="17" w:firstLine="0"/>
                      <w:jc w:val="center"/>
                      <w:rPr>
                        <w:b/>
                        <w:sz w:val="16"/>
                      </w:rPr>
                    </w:pPr>
                    <w:r>
                      <w:rPr>
                        <w:b/>
                        <w:sz w:val="20"/>
                      </w:rPr>
                      <w:t>A</w:t>
                    </w:r>
                    <w:r>
                      <w:rPr>
                        <w:b/>
                        <w:sz w:val="16"/>
                      </w:rPr>
                      <w:t>NNUAL CHANGE IN CARBON STOCKS IN LIVING BIOMASS</w:t>
                    </w:r>
                  </w:p>
                  <w:p>
                    <w:pPr>
                      <w:spacing w:before="1"/>
                      <w:ind w:left="0" w:right="18" w:firstLine="0"/>
                      <w:jc w:val="center"/>
                      <w:rPr>
                        <w:b/>
                        <w:sz w:val="20"/>
                      </w:rPr>
                    </w:pPr>
                    <w:r>
                      <w:rPr>
                        <w:b/>
                        <w:sz w:val="16"/>
                      </w:rPr>
                      <w:t>IN FOREST LAND REMAINING FOREST LAND </w:t>
                    </w:r>
                    <w:r>
                      <w:rPr>
                        <w:b/>
                        <w:sz w:val="20"/>
                      </w:rPr>
                      <w:t>(S</w:t>
                    </w:r>
                    <w:r>
                      <w:rPr>
                        <w:b/>
                        <w:sz w:val="16"/>
                      </w:rPr>
                      <w:t>TOCK </w:t>
                    </w:r>
                    <w:r>
                      <w:rPr>
                        <w:b/>
                        <w:sz w:val="20"/>
                      </w:rPr>
                      <w:t>C</w:t>
                    </w:r>
                    <w:r>
                      <w:rPr>
                        <w:b/>
                        <w:sz w:val="16"/>
                      </w:rPr>
                      <w:t>HANGE </w:t>
                    </w:r>
                    <w:r>
                      <w:rPr>
                        <w:b/>
                        <w:sz w:val="20"/>
                      </w:rPr>
                      <w:t>M</w:t>
                    </w:r>
                    <w:r>
                      <w:rPr>
                        <w:b/>
                        <w:sz w:val="16"/>
                      </w:rPr>
                      <w:t>ETHOD</w:t>
                    </w:r>
                    <w:r>
                      <w:rPr>
                        <w:b/>
                        <w:sz w:val="20"/>
                      </w:rPr>
                      <w:t>)</w:t>
                    </w:r>
                  </w:p>
                </w:txbxContent>
              </v:textbox>
              <w10:wrap type="none"/>
            </v:shape>
            <w10:wrap type="topAndBottom"/>
          </v:group>
        </w:pict>
      </w:r>
    </w:p>
    <w:p>
      <w:pPr>
        <w:pStyle w:val="BodyText"/>
        <w:spacing w:line="220" w:lineRule="exact"/>
        <w:ind w:left="219"/>
      </w:pPr>
      <w:r>
        <w:rPr/>
        <w:t>Where:</w:t>
      </w:r>
    </w:p>
    <w:p>
      <w:pPr>
        <w:pStyle w:val="BodyText"/>
        <w:spacing w:line="228" w:lineRule="auto" w:before="126"/>
        <w:ind w:left="1637" w:right="354" w:hanging="852"/>
      </w:pPr>
      <w:r>
        <w:rPr/>
        <w:t>∆C </w:t>
      </w:r>
      <w:r>
        <w:rPr>
          <w:vertAlign w:val="subscript"/>
        </w:rPr>
        <w:t>FF</w:t>
      </w:r>
      <w:r>
        <w:rPr>
          <w:position w:val="-8"/>
          <w:sz w:val="13"/>
          <w:vertAlign w:val="baseline"/>
        </w:rPr>
        <w:t>LB </w:t>
      </w:r>
      <w:r>
        <w:rPr>
          <w:vertAlign w:val="baseline"/>
        </w:rPr>
        <w:t>= annual change in carbon stocks in living biomass (includes above- and belowground biomass) in forest land remaining forest land, tonnes C yr</w:t>
      </w:r>
      <w:r>
        <w:rPr>
          <w:vertAlign w:val="superscript"/>
        </w:rPr>
        <w:t>-1</w:t>
      </w:r>
    </w:p>
    <w:p>
      <w:pPr>
        <w:pStyle w:val="BodyText"/>
        <w:spacing w:line="348" w:lineRule="auto" w:before="123"/>
        <w:ind w:left="785" w:right="3997"/>
        <w:jc w:val="both"/>
      </w:pPr>
      <w:r>
        <w:rPr/>
        <w:t>C </w:t>
      </w:r>
      <w:r>
        <w:rPr>
          <w:vertAlign w:val="subscript"/>
        </w:rPr>
        <w:t>t</w:t>
      </w:r>
      <w:r>
        <w:rPr>
          <w:position w:val="-8"/>
          <w:sz w:val="13"/>
          <w:vertAlign w:val="baseline"/>
        </w:rPr>
        <w:t>2 </w:t>
      </w:r>
      <w:r>
        <w:rPr>
          <w:vertAlign w:val="baseline"/>
        </w:rPr>
        <w:t>= total carbon in biomass calculated at time t</w:t>
      </w:r>
      <w:r>
        <w:rPr>
          <w:position w:val="-8"/>
          <w:sz w:val="13"/>
          <w:vertAlign w:val="baseline"/>
        </w:rPr>
        <w:t>2</w:t>
      </w:r>
      <w:r>
        <w:rPr>
          <w:vertAlign w:val="baseline"/>
        </w:rPr>
        <w:t>, tonnes C C </w:t>
      </w:r>
      <w:r>
        <w:rPr>
          <w:vertAlign w:val="subscript"/>
        </w:rPr>
        <w:t>t</w:t>
      </w:r>
      <w:r>
        <w:rPr>
          <w:position w:val="-8"/>
          <w:sz w:val="13"/>
          <w:vertAlign w:val="baseline"/>
        </w:rPr>
        <w:t>1 </w:t>
      </w:r>
      <w:r>
        <w:rPr>
          <w:vertAlign w:val="baseline"/>
        </w:rPr>
        <w:t>= total carbon in biomass calculated at time t</w:t>
      </w:r>
      <w:r>
        <w:rPr>
          <w:position w:val="-8"/>
          <w:sz w:val="13"/>
          <w:vertAlign w:val="baseline"/>
        </w:rPr>
        <w:t>1</w:t>
      </w:r>
      <w:r>
        <w:rPr>
          <w:vertAlign w:val="baseline"/>
        </w:rPr>
        <w:t>, tonnes C V = merchantable volume, m</w:t>
      </w:r>
      <w:r>
        <w:rPr>
          <w:vertAlign w:val="superscript"/>
        </w:rPr>
        <w:t>3</w:t>
      </w:r>
      <w:r>
        <w:rPr>
          <w:vertAlign w:val="baseline"/>
        </w:rPr>
        <w:t> ha</w:t>
      </w:r>
      <w:r>
        <w:rPr>
          <w:vertAlign w:val="superscript"/>
        </w:rPr>
        <w:t>-1</w:t>
      </w:r>
    </w:p>
    <w:p>
      <w:pPr>
        <w:pStyle w:val="BodyText"/>
        <w:spacing w:before="19"/>
        <w:ind w:left="785"/>
      </w:pPr>
      <w:r>
        <w:rPr/>
        <w:t>D = basic wood density, tonnes d.m. m</w:t>
      </w:r>
      <w:r>
        <w:rPr>
          <w:vertAlign w:val="superscript"/>
        </w:rPr>
        <w:t>-3</w:t>
      </w:r>
      <w:r>
        <w:rPr>
          <w:vertAlign w:val="baseline"/>
        </w:rPr>
        <w:t> merchantable volume</w:t>
      </w:r>
    </w:p>
    <w:p>
      <w:pPr>
        <w:pStyle w:val="BodyText"/>
        <w:spacing w:before="120"/>
        <w:ind w:left="1486" w:hanging="701"/>
      </w:pPr>
      <w:r>
        <w:rPr/>
        <w:t>BEF</w:t>
      </w:r>
      <w:r>
        <w:rPr>
          <w:vertAlign w:val="subscript"/>
        </w:rPr>
        <w:t>2</w:t>
      </w:r>
      <w:r>
        <w:rPr>
          <w:vertAlign w:val="baseline"/>
        </w:rPr>
        <w:t> = biomass expansion factor for conversion of merchantable volume to aboveground tree biomass, dimensionless.</w:t>
      </w:r>
    </w:p>
    <w:p>
      <w:pPr>
        <w:spacing w:after="0"/>
        <w:sectPr>
          <w:type w:val="continuous"/>
          <w:pgSz w:w="11900" w:h="16840"/>
          <w:pgMar w:top="1060" w:bottom="280" w:left="1200" w:right="1140"/>
        </w:sectPr>
      </w:pPr>
    </w:p>
    <w:p>
      <w:pPr>
        <w:pStyle w:val="BodyText"/>
      </w:pPr>
    </w:p>
    <w:p>
      <w:pPr>
        <w:pStyle w:val="BodyText"/>
        <w:spacing w:before="2"/>
        <w:rPr>
          <w:sz w:val="18"/>
        </w:rPr>
      </w:pPr>
    </w:p>
    <w:p>
      <w:pPr>
        <w:pStyle w:val="BodyText"/>
        <w:ind w:left="785"/>
      </w:pPr>
      <w:r>
        <w:rPr/>
        <w:t>R = root-to-shoot ratio, dimensionless</w:t>
      </w:r>
    </w:p>
    <w:p>
      <w:pPr>
        <w:pStyle w:val="BodyText"/>
        <w:spacing w:before="121"/>
        <w:ind w:left="785"/>
      </w:pPr>
      <w:r>
        <w:rPr/>
        <w:t>CF = carbon fraction of dry matter (default = 0.5), tonnes C (tonne d.m.)</w:t>
      </w:r>
      <w:r>
        <w:rPr>
          <w:vertAlign w:val="superscript"/>
        </w:rPr>
        <w:t>-1</w:t>
      </w:r>
    </w:p>
    <w:p>
      <w:pPr>
        <w:pStyle w:val="BodyText"/>
        <w:spacing w:before="120"/>
        <w:ind w:left="219" w:right="263"/>
        <w:jc w:val="both"/>
      </w:pPr>
      <w:r>
        <w:rPr/>
        <w:t>The default method is applicable for all tiers, while the data requirements for the stock change method exclude this option for the Tier 1 approach. In general the stock change method will provide good results for relatively large increases or decreases of biomass, or where very accurate forest inventories are carried out. However for forest areas of mixed stands, and/or where biomass change is very low compared to the total amount of biomass, there is a risk with the stock change method of the inventory error being larger than the expected change. In such conditions incremental data may give better results. The choice of using default or stock change method at the appropriate tier level will therefore be a matter for expert judgment, taking the national inventory systems and forest properties into account.</w:t>
      </w:r>
    </w:p>
    <w:p>
      <w:pPr>
        <w:pStyle w:val="BodyText"/>
        <w:spacing w:before="121"/>
        <w:ind w:left="219" w:right="262"/>
        <w:jc w:val="both"/>
      </w:pPr>
      <w:r>
        <w:rPr/>
        <w:t>The default method for estimating the changes in aboveground and belowground biomass uses a series of equations. These require activity data on area of different land-use categories, according to different forest types or management systems, corresponding emission and removal factors, and factors to estimate biomass loss. The accuracy of the estimate depends on the tier chosen for biomass estimation, and the data available.</w:t>
      </w:r>
    </w:p>
    <w:p>
      <w:pPr>
        <w:pStyle w:val="BodyText"/>
        <w:spacing w:before="119"/>
        <w:ind w:left="219" w:right="264"/>
        <w:jc w:val="both"/>
      </w:pPr>
      <w:r>
        <w:rPr/>
        <w:t>It is </w:t>
      </w:r>
      <w:r>
        <w:rPr>
          <w:i/>
        </w:rPr>
        <w:t>good practice </w:t>
      </w:r>
      <w:r>
        <w:rPr/>
        <w:t>to choose tier by following the decision tree as shown in Figure 3.1.1. This promotes efficient use of available resources, taking into account whether the biomass of this category is a key category as described in Chapter 5, Section 5.4. In</w:t>
      </w:r>
      <w:r>
        <w:rPr>
          <w:spacing w:val="-1"/>
        </w:rPr>
        <w:t> </w:t>
      </w:r>
      <w:r>
        <w:rPr/>
        <w:t>general:</w:t>
      </w:r>
    </w:p>
    <w:p>
      <w:pPr>
        <w:pStyle w:val="BodyText"/>
        <w:spacing w:before="119"/>
        <w:ind w:left="219" w:right="267"/>
        <w:jc w:val="both"/>
      </w:pPr>
      <w:r>
        <w:rPr>
          <w:b/>
        </w:rPr>
        <w:t>Tier 1: </w:t>
      </w:r>
      <w:r>
        <w:rPr/>
        <w:t>Tier 1 applies to countries in which either the subcategory (forest land remaining forest land or biomass carbon pool) is not a key category or little or no country-specific activity data and emission/removal factors exist nor can be obtained.</w:t>
      </w:r>
    </w:p>
    <w:p>
      <w:pPr>
        <w:pStyle w:val="BodyText"/>
        <w:spacing w:before="121"/>
        <w:ind w:left="219" w:right="269"/>
        <w:jc w:val="both"/>
      </w:pPr>
      <w:r>
        <w:rPr>
          <w:b/>
        </w:rPr>
        <w:t>Tier 2: </w:t>
      </w:r>
      <w:r>
        <w:rPr/>
        <w:t>Tier 2 applies where forest land remaining forest land or biomass carbon is a key category. Tier 2 should be used in countries where country-specific estimates of activity data and emission/removal factors are available or can be gathered at expenses that weigh favourably against expenses required for other land-use categories.</w:t>
      </w:r>
    </w:p>
    <w:p>
      <w:pPr>
        <w:pStyle w:val="BodyText"/>
        <w:spacing w:before="119"/>
        <w:ind w:left="219" w:right="263"/>
        <w:jc w:val="both"/>
      </w:pPr>
      <w:r>
        <w:rPr>
          <w:b/>
        </w:rPr>
        <w:t>Tier 3: </w:t>
      </w:r>
      <w:r>
        <w:rPr/>
        <w:t>Tier 3 applies where the forest land remaining forest land or biomass carbon is a key category. This requires use of detailed national forest inventory data supplemented by dynamic models or allometric equations calibrated to national circumstances that allow for direct calculation of biomass increment. Tier 3 approach for carbon stock change allows for a variety of methods, and implementation may differ from one country to another, due to differences in inventory methods and forest conditions. Proper documentation of the validity and completeness of the data, assumptions, equations and models used is therefore a critical issue at Tier</w:t>
      </w:r>
      <w:r>
        <w:rPr>
          <w:spacing w:val="-23"/>
        </w:rPr>
        <w:t> </w:t>
      </w:r>
      <w:r>
        <w:rPr/>
        <w:t>3.</w:t>
      </w:r>
    </w:p>
    <w:p>
      <w:pPr>
        <w:pStyle w:val="BodyText"/>
        <w:spacing w:before="3"/>
        <w:rPr>
          <w:sz w:val="21"/>
        </w:rPr>
      </w:pPr>
    </w:p>
    <w:p>
      <w:pPr>
        <w:tabs>
          <w:tab w:pos="2155" w:val="left" w:leader="none"/>
        </w:tabs>
        <w:spacing w:before="1"/>
        <w:ind w:left="219" w:right="1333" w:firstLine="0"/>
        <w:jc w:val="left"/>
        <w:rPr>
          <w:b/>
          <w:sz w:val="20"/>
        </w:rPr>
      </w:pPr>
      <w:r>
        <w:rPr/>
        <w:pict>
          <v:shape style="position:absolute;margin-left:147.160599pt;margin-top:16.691528pt;width:10.1pt;height:7.2pt;mso-position-horizontal-relative:page;mso-position-vertical-relative:paragraph;z-index:-2449912" type="#_x0000_t202" filled="false" stroked="false">
            <v:textbox inset="0,0,0,0">
              <w:txbxContent>
                <w:p>
                  <w:pPr>
                    <w:spacing w:line="144" w:lineRule="exact" w:before="0"/>
                    <w:ind w:left="0" w:right="0" w:firstLine="0"/>
                    <w:jc w:val="left"/>
                    <w:rPr>
                      <w:b/>
                      <w:sz w:val="13"/>
                    </w:rPr>
                  </w:pPr>
                  <w:r>
                    <w:rPr>
                      <w:b/>
                      <w:sz w:val="13"/>
                    </w:rPr>
                    <w:t>FF </w:t>
                  </w:r>
                </w:p>
              </w:txbxContent>
            </v:textbox>
            <w10:wrap type="none"/>
          </v:shape>
        </w:pict>
      </w:r>
      <w:r>
        <w:rPr>
          <w:b/>
          <w:spacing w:val="17"/>
          <w:sz w:val="20"/>
        </w:rPr>
        <w:t>EQUATIONS </w:t>
      </w:r>
      <w:r>
        <w:rPr>
          <w:b/>
          <w:spacing w:val="13"/>
          <w:sz w:val="20"/>
        </w:rPr>
        <w:t>FOR </w:t>
      </w:r>
      <w:r>
        <w:rPr>
          <w:b/>
          <w:spacing w:val="17"/>
          <w:sz w:val="20"/>
        </w:rPr>
        <w:t>ESTIMATING CHANGE </w:t>
      </w:r>
      <w:r>
        <w:rPr>
          <w:b/>
          <w:spacing w:val="10"/>
          <w:sz w:val="20"/>
        </w:rPr>
        <w:t>IN </w:t>
      </w:r>
      <w:r>
        <w:rPr>
          <w:b/>
          <w:spacing w:val="16"/>
          <w:sz w:val="20"/>
        </w:rPr>
        <w:t>CARBON STOCKS </w:t>
      </w:r>
      <w:r>
        <w:rPr>
          <w:b/>
          <w:spacing w:val="10"/>
          <w:sz w:val="20"/>
        </w:rPr>
        <w:t>IN </w:t>
      </w:r>
      <w:r>
        <w:rPr>
          <w:b/>
          <w:spacing w:val="16"/>
          <w:sz w:val="20"/>
        </w:rPr>
        <w:t>LIVING </w:t>
      </w:r>
      <w:r>
        <w:rPr>
          <w:b/>
          <w:spacing w:val="17"/>
          <w:sz w:val="20"/>
        </w:rPr>
        <w:t>BIOMASS</w:t>
      </w:r>
      <w:r>
        <w:rPr>
          <w:b/>
          <w:spacing w:val="36"/>
          <w:sz w:val="20"/>
        </w:rPr>
        <w:t> </w:t>
      </w:r>
      <w:r>
        <w:rPr>
          <w:b/>
          <w:spacing w:val="10"/>
          <w:sz w:val="20"/>
        </w:rPr>
        <w:t>(∆</w:t>
      </w:r>
      <w:r>
        <w:rPr>
          <w:b/>
          <w:spacing w:val="-28"/>
          <w:sz w:val="20"/>
        </w:rPr>
        <w:t> </w:t>
      </w:r>
      <w:r>
        <w:rPr>
          <w:b/>
          <w:sz w:val="20"/>
        </w:rPr>
        <w:t>C</w:t>
        <w:tab/>
        <w:t>) </w:t>
      </w:r>
      <w:r>
        <w:rPr>
          <w:b/>
          <w:spacing w:val="16"/>
          <w:sz w:val="20"/>
        </w:rPr>
        <w:t>USING </w:t>
      </w:r>
      <w:r>
        <w:rPr>
          <w:b/>
          <w:spacing w:val="13"/>
          <w:sz w:val="20"/>
        </w:rPr>
        <w:t>THE </w:t>
      </w:r>
      <w:r>
        <w:rPr>
          <w:b/>
          <w:spacing w:val="17"/>
          <w:sz w:val="20"/>
        </w:rPr>
        <w:t>DEFAULT</w:t>
      </w:r>
      <w:r>
        <w:rPr>
          <w:b/>
          <w:spacing w:val="78"/>
          <w:sz w:val="20"/>
        </w:rPr>
        <w:t> </w:t>
      </w:r>
      <w:r>
        <w:rPr>
          <w:b/>
          <w:spacing w:val="17"/>
          <w:sz w:val="20"/>
        </w:rPr>
        <w:t>METHOD</w:t>
      </w:r>
    </w:p>
    <w:p>
      <w:pPr>
        <w:spacing w:line="76" w:lineRule="exact" w:before="0"/>
        <w:ind w:left="1942" w:right="0" w:firstLine="0"/>
        <w:jc w:val="left"/>
        <w:rPr>
          <w:b/>
          <w:sz w:val="13"/>
        </w:rPr>
      </w:pPr>
      <w:r>
        <w:rPr>
          <w:b/>
          <w:sz w:val="13"/>
        </w:rPr>
        <w:t>LB </w:t>
      </w:r>
    </w:p>
    <w:p>
      <w:pPr>
        <w:spacing w:before="104"/>
        <w:ind w:left="219" w:right="1333" w:firstLine="0"/>
        <w:jc w:val="left"/>
        <w:rPr>
          <w:b/>
          <w:sz w:val="20"/>
        </w:rPr>
      </w:pPr>
      <w:r>
        <w:rPr>
          <w:b/>
          <w:sz w:val="20"/>
        </w:rPr>
        <w:t>Annual Increase in Carbon Stocks due to Bio mass Increment in Forest land Remaining Forest land (∆ C</w:t>
      </w:r>
      <w:r>
        <w:rPr>
          <w:b/>
          <w:sz w:val="20"/>
          <w:vertAlign w:val="subscript"/>
        </w:rPr>
        <w:t>FF</w:t>
      </w:r>
      <w:r>
        <w:rPr>
          <w:b/>
          <w:sz w:val="20"/>
          <w:vertAlign w:val="baseline"/>
        </w:rPr>
        <w:t> </w:t>
      </w:r>
      <w:r>
        <w:rPr>
          <w:b/>
          <w:position w:val="-8"/>
          <w:sz w:val="13"/>
          <w:vertAlign w:val="baseline"/>
        </w:rPr>
        <w:t>G </w:t>
      </w:r>
      <w:r>
        <w:rPr>
          <w:b/>
          <w:sz w:val="20"/>
          <w:vertAlign w:val="baseline"/>
        </w:rPr>
        <w:t>)</w:t>
      </w:r>
    </w:p>
    <w:p>
      <w:pPr>
        <w:pStyle w:val="BodyText"/>
        <w:spacing w:line="210" w:lineRule="exact"/>
        <w:ind w:left="219"/>
        <w:jc w:val="both"/>
      </w:pPr>
      <w:r>
        <w:rPr/>
        <w:t>Estimation of annual increase in carbon stocks due to biomass increment in forest land remaining forest land</w:t>
      </w:r>
    </w:p>
    <w:p>
      <w:pPr>
        <w:pStyle w:val="BodyText"/>
        <w:ind w:left="219" w:right="265"/>
        <w:jc w:val="both"/>
      </w:pPr>
      <w:r>
        <w:rPr/>
        <w:t>requires estimates of area and annual increment of total biomass, for each forest type and climatic zone in the country (Equation 3.2.4). The carbon fraction of biomass has a default value of 0.5, although higher tier methods may allow for variation with different species, different components of a tree or a stand (stem, roots and leaves) and age of the stand.</w:t>
      </w:r>
    </w:p>
    <w:p>
      <w:pPr>
        <w:pStyle w:val="BodyText"/>
        <w:spacing w:before="2"/>
        <w:rPr>
          <w:sz w:val="11"/>
        </w:rPr>
      </w:pPr>
      <w:r>
        <w:rPr/>
        <w:pict>
          <v:shape style="position:absolute;margin-left:91.960999pt;margin-top:9.143238pt;width:411.5pt;height:65.2pt;mso-position-horizontal-relative:page;mso-position-vertical-relative:paragraph;z-index:4184;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E</w:t>
                  </w:r>
                  <w:r>
                    <w:rPr>
                      <w:b/>
                      <w:sz w:val="16"/>
                    </w:rPr>
                    <w:t>QUATION </w:t>
                  </w:r>
                  <w:r>
                    <w:rPr>
                      <w:b/>
                      <w:sz w:val="20"/>
                    </w:rPr>
                    <w:t>3.2.4</w:t>
                  </w:r>
                </w:p>
                <w:p>
                  <w:pPr>
                    <w:spacing w:line="300" w:lineRule="auto" w:before="35"/>
                    <w:ind w:left="1293" w:right="1250" w:firstLine="0"/>
                    <w:jc w:val="center"/>
                    <w:rPr>
                      <w:b/>
                      <w:sz w:val="16"/>
                    </w:rPr>
                  </w:pPr>
                  <w:r>
                    <w:rPr>
                      <w:b/>
                      <w:sz w:val="16"/>
                    </w:rPr>
                    <w:t>ANNUAL INCREASE IN CARBON STOCKS DUE TO BIOMASS INCREMENT IN FOREST LAND REMAINING FOREST LAND</w:t>
                  </w:r>
                </w:p>
                <w:p>
                  <w:pPr>
                    <w:spacing w:before="57"/>
                    <w:ind w:left="68" w:right="68" w:firstLine="0"/>
                    <w:jc w:val="center"/>
                    <w:rPr>
                      <w:sz w:val="20"/>
                    </w:rPr>
                  </w:pPr>
                  <w:r>
                    <w:rPr>
                      <w:position w:val="5"/>
                      <w:sz w:val="20"/>
                    </w:rPr>
                    <w:t>∆C</w:t>
                  </w:r>
                  <w:r>
                    <w:rPr>
                      <w:position w:val="2"/>
                      <w:sz w:val="13"/>
                    </w:rPr>
                    <w:t>FF</w:t>
                  </w:r>
                  <w:r>
                    <w:rPr>
                      <w:position w:val="-3"/>
                      <w:sz w:val="13"/>
                    </w:rPr>
                    <w:t>G </w:t>
                  </w:r>
                  <w:r>
                    <w:rPr>
                      <w:position w:val="5"/>
                      <w:sz w:val="20"/>
                    </w:rPr>
                    <w:t>= </w:t>
                  </w:r>
                  <w:r>
                    <w:rPr>
                      <w:rFonts w:ascii="Arial" w:hAnsi="Arial"/>
                      <w:position w:val="5"/>
                      <w:sz w:val="20"/>
                    </w:rPr>
                    <w:t>∑</w:t>
                  </w:r>
                  <w:r>
                    <w:rPr>
                      <w:i/>
                      <w:position w:val="2"/>
                      <w:sz w:val="13"/>
                    </w:rPr>
                    <w:t>ij </w:t>
                  </w:r>
                  <w:r>
                    <w:rPr>
                      <w:position w:val="5"/>
                      <w:sz w:val="20"/>
                    </w:rPr>
                    <w:t>(A</w:t>
                  </w:r>
                  <w:r>
                    <w:rPr>
                      <w:i/>
                      <w:position w:val="2"/>
                      <w:sz w:val="13"/>
                    </w:rPr>
                    <w:t>ij </w:t>
                  </w:r>
                  <w:r>
                    <w:rPr>
                      <w:position w:val="5"/>
                      <w:sz w:val="20"/>
                    </w:rPr>
                    <w:t>●  G</w:t>
                  </w:r>
                  <w:r>
                    <w:rPr>
                      <w:position w:val="2"/>
                      <w:sz w:val="13"/>
                    </w:rPr>
                    <w:t>TOTAL</w:t>
                  </w:r>
                  <w:r>
                    <w:rPr>
                      <w:i/>
                      <w:sz w:val="13"/>
                    </w:rPr>
                    <w:t>ij</w:t>
                  </w:r>
                  <w:r>
                    <w:rPr>
                      <w:position w:val="5"/>
                      <w:sz w:val="20"/>
                    </w:rPr>
                    <w:t>) ● CF</w:t>
                  </w:r>
                </w:p>
              </w:txbxContent>
            </v:textbox>
            <v:stroke dashstyle="solid"/>
            <w10:wrap type="topAndBottom"/>
          </v:shape>
        </w:pict>
      </w:r>
    </w:p>
    <w:p>
      <w:pPr>
        <w:pStyle w:val="BodyText"/>
        <w:spacing w:before="4"/>
        <w:ind w:left="219"/>
      </w:pPr>
      <w:r>
        <w:rPr/>
        <w:t>Where:</w:t>
      </w:r>
    </w:p>
    <w:p>
      <w:pPr>
        <w:pStyle w:val="BodyText"/>
        <w:spacing w:line="228" w:lineRule="auto" w:before="126"/>
        <w:ind w:left="1548" w:right="354" w:hanging="764"/>
      </w:pPr>
      <w:r>
        <w:rPr/>
        <w:t>∆C</w:t>
      </w:r>
      <w:r>
        <w:rPr>
          <w:vertAlign w:val="subscript"/>
        </w:rPr>
        <w:t>FF</w:t>
      </w:r>
      <w:r>
        <w:rPr>
          <w:position w:val="-8"/>
          <w:sz w:val="13"/>
          <w:vertAlign w:val="baseline"/>
        </w:rPr>
        <w:t>G </w:t>
      </w:r>
      <w:r>
        <w:rPr>
          <w:vertAlign w:val="baseline"/>
        </w:rPr>
        <w:t>= annual increase in carbon stocks due to biomass increment in forest land remaining forest land  by forest type and climatic zone, tonnes C</w:t>
      </w:r>
      <w:r>
        <w:rPr>
          <w:spacing w:val="-2"/>
          <w:vertAlign w:val="baseline"/>
        </w:rPr>
        <w:t> </w:t>
      </w:r>
      <w:r>
        <w:rPr>
          <w:vertAlign w:val="baseline"/>
        </w:rPr>
        <w:t>yr</w:t>
      </w:r>
      <w:r>
        <w:rPr>
          <w:vertAlign w:val="superscript"/>
        </w:rPr>
        <w:t>-1</w:t>
      </w:r>
    </w:p>
    <w:p>
      <w:pPr>
        <w:pStyle w:val="BodyText"/>
        <w:spacing w:line="350" w:lineRule="exact" w:before="30"/>
        <w:ind w:left="785"/>
      </w:pPr>
      <w:r>
        <w:rPr/>
        <w:t>A</w:t>
      </w:r>
      <w:r>
        <w:rPr>
          <w:i/>
          <w:vertAlign w:val="subscript"/>
        </w:rPr>
        <w:t>ij</w:t>
      </w:r>
      <w:r>
        <w:rPr>
          <w:i/>
          <w:vertAlign w:val="baseline"/>
        </w:rPr>
        <w:t> </w:t>
      </w:r>
      <w:r>
        <w:rPr>
          <w:vertAlign w:val="baseline"/>
        </w:rPr>
        <w:t>= area of forest land remaining forest land, by forest type (</w:t>
      </w:r>
      <w:r>
        <w:rPr>
          <w:i/>
          <w:vertAlign w:val="baseline"/>
        </w:rPr>
        <w:t>i </w:t>
      </w:r>
      <w:r>
        <w:rPr>
          <w:vertAlign w:val="baseline"/>
        </w:rPr>
        <w:t>= 1 to </w:t>
      </w:r>
      <w:r>
        <w:rPr>
          <w:i/>
          <w:vertAlign w:val="baseline"/>
        </w:rPr>
        <w:t>n</w:t>
      </w:r>
      <w:r>
        <w:rPr>
          <w:vertAlign w:val="baseline"/>
        </w:rPr>
        <w:t>) and climatic zone (</w:t>
      </w:r>
      <w:r>
        <w:rPr>
          <w:i/>
          <w:vertAlign w:val="baseline"/>
        </w:rPr>
        <w:t>j </w:t>
      </w:r>
      <w:r>
        <w:rPr>
          <w:vertAlign w:val="baseline"/>
        </w:rPr>
        <w:t>= 1 to </w:t>
      </w:r>
      <w:r>
        <w:rPr>
          <w:i/>
          <w:vertAlign w:val="baseline"/>
        </w:rPr>
        <w:t>m</w:t>
      </w:r>
      <w:r>
        <w:rPr>
          <w:vertAlign w:val="baseline"/>
        </w:rPr>
        <w:t>), ha G</w:t>
      </w:r>
      <w:r>
        <w:rPr>
          <w:vertAlign w:val="subscript"/>
        </w:rPr>
        <w:t>TOTAL</w:t>
      </w:r>
      <w:r>
        <w:rPr>
          <w:i/>
          <w:position w:val="-4"/>
          <w:sz w:val="13"/>
          <w:vertAlign w:val="baseline"/>
        </w:rPr>
        <w:t>ij </w:t>
      </w:r>
      <w:r>
        <w:rPr>
          <w:vertAlign w:val="baseline"/>
        </w:rPr>
        <w:t>= average annual increment rate in total biomass in units of dry matter, by forest type (</w:t>
      </w:r>
      <w:r>
        <w:rPr>
          <w:i/>
          <w:vertAlign w:val="baseline"/>
        </w:rPr>
        <w:t>i </w:t>
      </w:r>
      <w:r>
        <w:rPr>
          <w:vertAlign w:val="baseline"/>
        </w:rPr>
        <w:t>= 1 to </w:t>
      </w:r>
      <w:r>
        <w:rPr>
          <w:i/>
          <w:vertAlign w:val="baseline"/>
        </w:rPr>
        <w:t>n</w:t>
      </w:r>
      <w:r>
        <w:rPr>
          <w:vertAlign w:val="baseline"/>
        </w:rPr>
        <w:t>)</w:t>
      </w:r>
    </w:p>
    <w:p>
      <w:pPr>
        <w:pStyle w:val="BodyText"/>
        <w:spacing w:line="221" w:lineRule="exact"/>
        <w:ind w:left="766" w:right="2942"/>
        <w:jc w:val="center"/>
      </w:pPr>
      <w:r>
        <w:rPr/>
        <w:t>and climatic zone (</w:t>
      </w:r>
      <w:r>
        <w:rPr>
          <w:i/>
        </w:rPr>
        <w:t>j </w:t>
      </w:r>
      <w:r>
        <w:rPr/>
        <w:t>= 1 to </w:t>
      </w:r>
      <w:r>
        <w:rPr>
          <w:i/>
        </w:rPr>
        <w:t>m</w:t>
      </w:r>
      <w:r>
        <w:rPr/>
        <w:t>), tonnes d.m. ha</w:t>
      </w:r>
      <w:r>
        <w:rPr>
          <w:vertAlign w:val="superscript"/>
        </w:rPr>
        <w:t>-1</w:t>
      </w:r>
      <w:r>
        <w:rPr>
          <w:vertAlign w:val="baseline"/>
        </w:rPr>
        <w:t> yr</w:t>
      </w:r>
      <w:r>
        <w:rPr>
          <w:vertAlign w:val="superscript"/>
        </w:rPr>
        <w:t>-1</w:t>
      </w:r>
    </w:p>
    <w:p>
      <w:pPr>
        <w:pStyle w:val="BodyText"/>
        <w:spacing w:before="121"/>
        <w:ind w:left="785"/>
      </w:pPr>
      <w:r>
        <w:rPr/>
        <w:t>CF = carbon fraction of dry matter (default = 0.5), tonnes C (tonne d.m.)</w:t>
      </w:r>
      <w:r>
        <w:rPr>
          <w:vertAlign w:val="superscript"/>
        </w:rPr>
        <w:t>-1</w:t>
      </w:r>
    </w:p>
    <w:p>
      <w:pPr>
        <w:spacing w:after="0"/>
        <w:sectPr>
          <w:pgSz w:w="11900" w:h="16840"/>
          <w:pgMar w:header="230" w:footer="408" w:top="560" w:bottom="600" w:left="1200" w:right="1140"/>
        </w:sectPr>
      </w:pPr>
    </w:p>
    <w:p>
      <w:pPr>
        <w:pStyle w:val="BodyText"/>
      </w:pPr>
    </w:p>
    <w:p>
      <w:pPr>
        <w:spacing w:line="228" w:lineRule="exact" w:before="214"/>
        <w:ind w:left="219" w:right="0" w:firstLine="0"/>
        <w:jc w:val="left"/>
        <w:rPr>
          <w:b/>
          <w:sz w:val="20"/>
        </w:rPr>
      </w:pPr>
      <w:r>
        <w:rPr>
          <w:b/>
          <w:sz w:val="20"/>
        </w:rPr>
        <w:t>Average Annual Increment in Bio mass ( G</w:t>
      </w:r>
      <w:r>
        <w:rPr>
          <w:b/>
          <w:sz w:val="20"/>
          <w:vertAlign w:val="subscript"/>
        </w:rPr>
        <w:t>TO</w:t>
      </w:r>
      <w:r>
        <w:rPr>
          <w:b/>
          <w:sz w:val="20"/>
          <w:vertAlign w:val="baseline"/>
        </w:rPr>
        <w:t> </w:t>
      </w:r>
      <w:r>
        <w:rPr>
          <w:b/>
          <w:sz w:val="20"/>
          <w:vertAlign w:val="subscript"/>
        </w:rPr>
        <w:t>T</w:t>
      </w:r>
      <w:r>
        <w:rPr>
          <w:b/>
          <w:sz w:val="20"/>
          <w:vertAlign w:val="baseline"/>
        </w:rPr>
        <w:t> </w:t>
      </w:r>
      <w:r>
        <w:rPr>
          <w:b/>
          <w:sz w:val="20"/>
          <w:vertAlign w:val="subscript"/>
        </w:rPr>
        <w:t>A</w:t>
      </w:r>
      <w:r>
        <w:rPr>
          <w:b/>
          <w:sz w:val="20"/>
          <w:vertAlign w:val="baseline"/>
        </w:rPr>
        <w:t> </w:t>
      </w:r>
      <w:r>
        <w:rPr>
          <w:b/>
          <w:sz w:val="20"/>
          <w:vertAlign w:val="subscript"/>
        </w:rPr>
        <w:t>L</w:t>
      </w:r>
      <w:r>
        <w:rPr>
          <w:b/>
          <w:sz w:val="20"/>
          <w:vertAlign w:val="baseline"/>
        </w:rPr>
        <w:t> )</w:t>
      </w:r>
    </w:p>
    <w:p>
      <w:pPr>
        <w:pStyle w:val="BodyText"/>
        <w:ind w:left="219" w:right="264"/>
        <w:jc w:val="both"/>
      </w:pPr>
      <w:r>
        <w:rPr/>
        <w:t>G</w:t>
      </w:r>
      <w:r>
        <w:rPr>
          <w:vertAlign w:val="subscript"/>
        </w:rPr>
        <w:t>TOTAL</w:t>
      </w:r>
      <w:r>
        <w:rPr>
          <w:vertAlign w:val="baseline"/>
        </w:rPr>
        <w:t> is the expansion of annual increment rate of aboveground biomass (G</w:t>
      </w:r>
      <w:r>
        <w:rPr>
          <w:vertAlign w:val="subscript"/>
        </w:rPr>
        <w:t>W</w:t>
      </w:r>
      <w:r>
        <w:rPr>
          <w:vertAlign w:val="baseline"/>
        </w:rPr>
        <w:t>) to include its belowground part, involving multiplication by the ratio of belowground biomass to aboveground biomass (often called the root-to- shoot ratio (R)) that applies to increments. This may be achieved directly where G</w:t>
      </w:r>
      <w:r>
        <w:rPr>
          <w:vertAlign w:val="subscript"/>
        </w:rPr>
        <w:t>W</w:t>
      </w:r>
      <w:r>
        <w:rPr>
          <w:vertAlign w:val="baseline"/>
        </w:rPr>
        <w:t> data are available as in the case of naturally regenerated forests or broad categories of plantation. In case G</w:t>
      </w:r>
      <w:r>
        <w:rPr>
          <w:vertAlign w:val="subscript"/>
        </w:rPr>
        <w:t>W</w:t>
      </w:r>
      <w:r>
        <w:rPr>
          <w:vertAlign w:val="baseline"/>
        </w:rPr>
        <w:t> data are not available, the increment in volume (I</w:t>
      </w:r>
      <w:r>
        <w:rPr>
          <w:vertAlign w:val="subscript"/>
        </w:rPr>
        <w:t>V</w:t>
      </w:r>
      <w:r>
        <w:rPr>
          <w:vertAlign w:val="baseline"/>
        </w:rPr>
        <w:t>) can be used with biomass expansion factor for conversion of annual net increment to aboveground biomass increment. Equation 3.2.5 shows the relationship:</w:t>
      </w:r>
    </w:p>
    <w:p>
      <w:pPr>
        <w:pStyle w:val="BodyText"/>
        <w:spacing w:before="8"/>
        <w:rPr>
          <w:sz w:val="9"/>
        </w:rPr>
      </w:pPr>
      <w:r>
        <w:rPr/>
        <w:pict>
          <v:group style="position:absolute;margin-left:91.240997pt;margin-top:8.282462pt;width:412.95pt;height:89.9pt;mso-position-horizontal-relative:page;mso-position-vertical-relative:paragraph;z-index:4352;mso-wrap-distance-left:0;mso-wrap-distance-right:0" coordorigin="1825,166" coordsize="8259,1798">
            <v:line style="position:absolute" from="1854,180" to="10054,180" stroked="true" strokeweight="1.44pt" strokecolor="#000000">
              <v:stroke dashstyle="solid"/>
            </v:line>
            <v:line style="position:absolute" from="1854,1949" to="10054,1949" stroked="true" strokeweight="1.44pt" strokecolor="#000000">
              <v:stroke dashstyle="solid"/>
            </v:line>
            <v:line style="position:absolute" from="1839,166" to="1839,1963" stroked="true" strokeweight="1.44pt" strokecolor="#000000">
              <v:stroke dashstyle="solid"/>
            </v:line>
            <v:line style="position:absolute" from="10069,166" to="10069,1963" stroked="true" strokeweight="1.44pt" strokecolor="#000000">
              <v:stroke dashstyle="solid"/>
            </v:line>
            <v:shape style="position:absolute;left:4253;top:837;width:5695;height:1010" type="#_x0000_t202" filled="false" stroked="false">
              <v:textbox inset="0,0,0,0">
                <w:txbxContent>
                  <w:p>
                    <w:pPr>
                      <w:spacing w:line="240" w:lineRule="auto" w:before="0"/>
                      <w:ind w:left="422" w:right="18" w:firstLine="0"/>
                      <w:jc w:val="both"/>
                      <w:rPr>
                        <w:sz w:val="20"/>
                      </w:rPr>
                    </w:pPr>
                    <w:r>
                      <w:rPr>
                        <w:sz w:val="20"/>
                      </w:rPr>
                      <w:t>In case aboveground biomass increment (dry matter) data are used directly. Otherwise G</w:t>
                    </w:r>
                    <w:r>
                      <w:rPr>
                        <w:sz w:val="20"/>
                        <w:vertAlign w:val="subscript"/>
                      </w:rPr>
                      <w:t>W</w:t>
                    </w:r>
                    <w:r>
                      <w:rPr>
                        <w:sz w:val="20"/>
                        <w:vertAlign w:val="baseline"/>
                      </w:rPr>
                      <w:t> is estimated using equation B or its equivalent</w:t>
                    </w:r>
                  </w:p>
                  <w:p>
                    <w:pPr>
                      <w:spacing w:before="73"/>
                      <w:ind w:left="0" w:right="0" w:firstLine="0"/>
                      <w:jc w:val="left"/>
                      <w:rPr>
                        <w:sz w:val="20"/>
                      </w:rPr>
                    </w:pPr>
                    <w:r>
                      <w:rPr>
                        <w:b/>
                        <w:sz w:val="20"/>
                      </w:rPr>
                      <w:t>(B) </w:t>
                    </w:r>
                    <w:r>
                      <w:rPr>
                        <w:sz w:val="20"/>
                      </w:rPr>
                      <w:t>In case net volume increment data are used to estimate G</w:t>
                    </w:r>
                    <w:r>
                      <w:rPr>
                        <w:sz w:val="20"/>
                        <w:vertAlign w:val="subscript"/>
                      </w:rPr>
                      <w:t>W</w:t>
                    </w:r>
                    <w:r>
                      <w:rPr>
                        <w:sz w:val="20"/>
                        <w:vertAlign w:val="baseline"/>
                      </w:rPr>
                      <w:t>.</w:t>
                    </w:r>
                  </w:p>
                </w:txbxContent>
              </v:textbox>
              <w10:wrap type="none"/>
            </v:shape>
            <v:shape style="position:absolute;left:1980;top:1610;width:1679;height:237" type="#_x0000_t202" filled="false" stroked="false">
              <v:textbox inset="0,0,0,0">
                <w:txbxContent>
                  <w:p>
                    <w:pPr>
                      <w:spacing w:line="221" w:lineRule="exact" w:before="0"/>
                      <w:ind w:left="0" w:right="0" w:firstLine="0"/>
                      <w:jc w:val="left"/>
                      <w:rPr>
                        <w:sz w:val="20"/>
                      </w:rPr>
                    </w:pPr>
                    <w:r>
                      <w:rPr>
                        <w:sz w:val="20"/>
                      </w:rPr>
                      <w:t>G</w:t>
                    </w:r>
                    <w:r>
                      <w:rPr>
                        <w:sz w:val="20"/>
                        <w:vertAlign w:val="subscript"/>
                      </w:rPr>
                      <w:t>W</w:t>
                    </w:r>
                    <w:r>
                      <w:rPr>
                        <w:sz w:val="20"/>
                        <w:vertAlign w:val="baseline"/>
                      </w:rPr>
                      <w:t> = I</w:t>
                    </w:r>
                    <w:r>
                      <w:rPr>
                        <w:sz w:val="20"/>
                        <w:vertAlign w:val="subscript"/>
                      </w:rPr>
                      <w:t>V</w:t>
                    </w:r>
                    <w:r>
                      <w:rPr>
                        <w:sz w:val="20"/>
                        <w:vertAlign w:val="baseline"/>
                      </w:rPr>
                      <w:t> ● D ● BEF</w:t>
                    </w:r>
                    <w:r>
                      <w:rPr>
                        <w:sz w:val="20"/>
                        <w:vertAlign w:val="subscript"/>
                      </w:rPr>
                      <w:t>1</w:t>
                    </w:r>
                  </w:p>
                </w:txbxContent>
              </v:textbox>
              <w10:wrap type="none"/>
            </v:shape>
            <v:shape style="position:absolute;left:4253;top:837;width:299;height:221" type="#_x0000_t202" filled="false" stroked="false">
              <v:textbox inset="0,0,0,0">
                <w:txbxContent>
                  <w:p>
                    <w:pPr>
                      <w:spacing w:line="221" w:lineRule="exact" w:before="0"/>
                      <w:ind w:left="0" w:right="0" w:firstLine="0"/>
                      <w:jc w:val="left"/>
                      <w:rPr>
                        <w:b/>
                        <w:sz w:val="20"/>
                      </w:rPr>
                    </w:pPr>
                    <w:r>
                      <w:rPr>
                        <w:b/>
                        <w:sz w:val="20"/>
                      </w:rPr>
                      <w:t>(A)</w:t>
                    </w:r>
                  </w:p>
                </w:txbxContent>
              </v:textbox>
              <w10:wrap type="none"/>
            </v:shape>
            <v:shape style="position:absolute;left:1980;top:837;width:1774;height:237" type="#_x0000_t202" filled="false" stroked="false">
              <v:textbox inset="0,0,0,0">
                <w:txbxContent>
                  <w:p>
                    <w:pPr>
                      <w:spacing w:line="229" w:lineRule="exact" w:before="0"/>
                      <w:ind w:left="0" w:right="0" w:firstLine="0"/>
                      <w:jc w:val="left"/>
                      <w:rPr>
                        <w:sz w:val="20"/>
                      </w:rPr>
                    </w:pPr>
                    <w:r>
                      <w:rPr>
                        <w:sz w:val="20"/>
                      </w:rPr>
                      <w:t>G</w:t>
                    </w:r>
                    <w:r>
                      <w:rPr>
                        <w:position w:val="-2"/>
                        <w:sz w:val="10"/>
                      </w:rPr>
                      <w:t>TOTAL </w:t>
                    </w:r>
                    <w:r>
                      <w:rPr>
                        <w:sz w:val="20"/>
                      </w:rPr>
                      <w:t>= G</w:t>
                    </w:r>
                    <w:r>
                      <w:rPr>
                        <w:sz w:val="20"/>
                        <w:vertAlign w:val="subscript"/>
                      </w:rPr>
                      <w:t>W</w:t>
                    </w:r>
                    <w:r>
                      <w:rPr>
                        <w:sz w:val="20"/>
                        <w:vertAlign w:val="baseline"/>
                      </w:rPr>
                      <w:t> ● (1 + R)</w:t>
                    </w:r>
                  </w:p>
                </w:txbxContent>
              </v:textbox>
              <w10:wrap type="none"/>
            </v:shape>
            <v:shape style="position:absolute;left:4181;top:302;width:3606;height:451" type="#_x0000_t202" filled="false" stroked="false">
              <v:textbox inset="0,0,0,0">
                <w:txbxContent>
                  <w:p>
                    <w:pPr>
                      <w:spacing w:line="221" w:lineRule="exact" w:before="0"/>
                      <w:ind w:left="1085" w:right="1143" w:firstLine="0"/>
                      <w:jc w:val="center"/>
                      <w:rPr>
                        <w:b/>
                        <w:sz w:val="20"/>
                      </w:rPr>
                    </w:pPr>
                    <w:r>
                      <w:rPr>
                        <w:b/>
                        <w:sz w:val="20"/>
                      </w:rPr>
                      <w:t>E</w:t>
                    </w:r>
                    <w:r>
                      <w:rPr>
                        <w:b/>
                        <w:sz w:val="16"/>
                      </w:rPr>
                      <w:t>QUATION </w:t>
                    </w:r>
                    <w:r>
                      <w:rPr>
                        <w:b/>
                        <w:sz w:val="20"/>
                      </w:rPr>
                      <w:t>3.2.5</w:t>
                    </w:r>
                  </w:p>
                  <w:p>
                    <w:pPr>
                      <w:spacing w:before="0"/>
                      <w:ind w:left="-1" w:right="18" w:firstLine="0"/>
                      <w:jc w:val="center"/>
                      <w:rPr>
                        <w:b/>
                        <w:sz w:val="16"/>
                      </w:rPr>
                    </w:pPr>
                    <w:r>
                      <w:rPr>
                        <w:b/>
                        <w:sz w:val="20"/>
                      </w:rPr>
                      <w:t>A</w:t>
                    </w:r>
                    <w:r>
                      <w:rPr>
                        <w:b/>
                        <w:sz w:val="16"/>
                      </w:rPr>
                      <w:t>VERAGE ANNUAL INCREMENT IN</w:t>
                    </w:r>
                    <w:r>
                      <w:rPr>
                        <w:b/>
                        <w:spacing w:val="-7"/>
                        <w:sz w:val="16"/>
                      </w:rPr>
                      <w:t> </w:t>
                    </w:r>
                    <w:r>
                      <w:rPr>
                        <w:b/>
                        <w:sz w:val="16"/>
                      </w:rPr>
                      <w:t>BIOMASS</w:t>
                    </w:r>
                  </w:p>
                </w:txbxContent>
              </v:textbox>
              <w10:wrap type="none"/>
            </v:shape>
            <w10:wrap type="topAndBottom"/>
          </v:group>
        </w:pict>
      </w:r>
    </w:p>
    <w:p>
      <w:pPr>
        <w:pStyle w:val="BodyText"/>
        <w:spacing w:line="220" w:lineRule="exact"/>
        <w:ind w:left="219"/>
      </w:pPr>
      <w:r>
        <w:rPr/>
        <w:t>Where:</w:t>
      </w:r>
    </w:p>
    <w:p>
      <w:pPr>
        <w:pStyle w:val="BodyText"/>
        <w:spacing w:before="120"/>
        <w:ind w:left="785"/>
      </w:pPr>
      <w:r>
        <w:rPr/>
        <w:t>G</w:t>
      </w:r>
      <w:r>
        <w:rPr>
          <w:vertAlign w:val="subscript"/>
        </w:rPr>
        <w:t>TOTAL</w:t>
      </w:r>
      <w:r>
        <w:rPr>
          <w:vertAlign w:val="baseline"/>
        </w:rPr>
        <w:t> = average annual biomass increment above and belowground, tonnes d.m. ha</w:t>
      </w:r>
      <w:r>
        <w:rPr>
          <w:vertAlign w:val="superscript"/>
        </w:rPr>
        <w:t>-1</w:t>
      </w:r>
      <w:r>
        <w:rPr>
          <w:vertAlign w:val="baseline"/>
        </w:rPr>
        <w:t> yr</w:t>
      </w:r>
      <w:r>
        <w:rPr>
          <w:vertAlign w:val="superscript"/>
        </w:rPr>
        <w:t>-1</w:t>
      </w:r>
    </w:p>
    <w:p>
      <w:pPr>
        <w:pStyle w:val="BodyText"/>
        <w:tabs>
          <w:tab w:pos="1142" w:val="left" w:leader="none"/>
        </w:tabs>
        <w:spacing w:line="364" w:lineRule="auto" w:before="121"/>
        <w:ind w:left="785" w:right="531"/>
      </w:pPr>
      <w:r>
        <w:rPr/>
        <w:t>G</w:t>
      </w:r>
      <w:r>
        <w:rPr>
          <w:vertAlign w:val="subscript"/>
        </w:rPr>
        <w:t>W</w:t>
      </w:r>
      <w:r>
        <w:rPr>
          <w:vertAlign w:val="baseline"/>
        </w:rPr>
        <w:t> = average annual aboveground biomass increment, tonnes d.m. ha</w:t>
      </w:r>
      <w:r>
        <w:rPr>
          <w:vertAlign w:val="superscript"/>
        </w:rPr>
        <w:t>-1</w:t>
      </w:r>
      <w:r>
        <w:rPr>
          <w:vertAlign w:val="baseline"/>
        </w:rPr>
        <w:t> yr</w:t>
      </w:r>
      <w:r>
        <w:rPr>
          <w:vertAlign w:val="superscript"/>
        </w:rPr>
        <w:t>-1</w:t>
      </w:r>
      <w:r>
        <w:rPr>
          <w:vertAlign w:val="baseline"/>
        </w:rPr>
        <w:t>; Tables 3A.1.5 and 3A.1.6 R</w:t>
        <w:tab/>
        <w:t>= root-to-shoot ratio appropriate to increments, dimensionless; Table</w:t>
      </w:r>
      <w:r>
        <w:rPr>
          <w:spacing w:val="-5"/>
          <w:vertAlign w:val="baseline"/>
        </w:rPr>
        <w:t> </w:t>
      </w:r>
      <w:r>
        <w:rPr>
          <w:vertAlign w:val="baseline"/>
        </w:rPr>
        <w:t>3A.1.8</w:t>
      </w:r>
    </w:p>
    <w:p>
      <w:pPr>
        <w:pStyle w:val="BodyText"/>
        <w:tabs>
          <w:tab w:pos="1171" w:val="left" w:leader="none"/>
        </w:tabs>
        <w:spacing w:before="1"/>
        <w:ind w:left="1325" w:right="354" w:hanging="540"/>
      </w:pPr>
      <w:r>
        <w:rPr/>
        <w:t>I</w:t>
      </w:r>
      <w:r>
        <w:rPr>
          <w:vertAlign w:val="subscript"/>
        </w:rPr>
        <w:t>V</w:t>
      </w:r>
      <w:r>
        <w:rPr>
          <w:vertAlign w:val="baseline"/>
        </w:rPr>
        <w:tab/>
        <w:t>=average annual net increment in volume suitable for industrial processing, m</w:t>
      </w:r>
      <w:r>
        <w:rPr>
          <w:vertAlign w:val="superscript"/>
        </w:rPr>
        <w:t>3</w:t>
      </w:r>
      <w:r>
        <w:rPr>
          <w:vertAlign w:val="baseline"/>
        </w:rPr>
        <w:t> ha</w:t>
      </w:r>
      <w:r>
        <w:rPr>
          <w:vertAlign w:val="superscript"/>
        </w:rPr>
        <w:t>-1</w:t>
      </w:r>
      <w:r>
        <w:rPr>
          <w:vertAlign w:val="baseline"/>
        </w:rPr>
        <w:t> yr</w:t>
      </w:r>
      <w:r>
        <w:rPr>
          <w:vertAlign w:val="superscript"/>
        </w:rPr>
        <w:t>-1</w:t>
      </w:r>
      <w:r>
        <w:rPr>
          <w:vertAlign w:val="baseline"/>
        </w:rPr>
        <w:t>; Table 3A.1.7</w:t>
      </w:r>
    </w:p>
    <w:p>
      <w:pPr>
        <w:pStyle w:val="BodyText"/>
        <w:tabs>
          <w:tab w:pos="1143" w:val="left" w:leader="none"/>
        </w:tabs>
        <w:spacing w:before="119"/>
        <w:ind w:left="785"/>
      </w:pPr>
      <w:r>
        <w:rPr/>
        <w:t>D</w:t>
        <w:tab/>
        <w:t>= basic wood density, tonnes d.m. m</w:t>
      </w:r>
      <w:r>
        <w:rPr>
          <w:vertAlign w:val="superscript"/>
        </w:rPr>
        <w:t>-3</w:t>
      </w:r>
      <w:r>
        <w:rPr>
          <w:vertAlign w:val="baseline"/>
        </w:rPr>
        <w:t>; Table</w:t>
      </w:r>
      <w:r>
        <w:rPr>
          <w:spacing w:val="10"/>
          <w:vertAlign w:val="baseline"/>
        </w:rPr>
        <w:t> </w:t>
      </w:r>
      <w:r>
        <w:rPr>
          <w:vertAlign w:val="baseline"/>
        </w:rPr>
        <w:t>3A.1.9</w:t>
      </w:r>
    </w:p>
    <w:p>
      <w:pPr>
        <w:pStyle w:val="BodyText"/>
        <w:spacing w:before="120"/>
        <w:ind w:left="1143" w:right="266" w:hanging="358"/>
      </w:pPr>
      <w:r>
        <w:rPr/>
        <w:t>BEF</w:t>
      </w:r>
      <w:r>
        <w:rPr>
          <w:vertAlign w:val="subscript"/>
        </w:rPr>
        <w:t>1</w:t>
      </w:r>
      <w:r>
        <w:rPr>
          <w:vertAlign w:val="baseline"/>
        </w:rPr>
        <w:t> = biomass expansion factor for conversion of annual net increment (including bark) to aboveground tree biomass increment, dimensionless; Table 3A.1.10</w:t>
      </w:r>
    </w:p>
    <w:p>
      <w:pPr>
        <w:pStyle w:val="BodyText"/>
        <w:spacing w:before="121"/>
        <w:ind w:left="219" w:right="263"/>
        <w:jc w:val="both"/>
      </w:pPr>
      <w:r>
        <w:rPr/>
        <w:t>Basic wood density (D) and biomass expansion factors (BEF) vary by forest type, age, growing conditions, stand density and climate (Kramer, 1982; Brown, 1997; Lowe </w:t>
      </w:r>
      <w:r>
        <w:rPr>
          <w:i/>
        </w:rPr>
        <w:t>et al.</w:t>
      </w:r>
      <w:r>
        <w:rPr/>
        <w:t>, 2000; Koehl, 2000). Table 3A.1.10 provides default values of BEF by forest type and climatic zone for use with the minimum diameter ranges indicated. The BEFs serve as substitute for the expansion ratios in the </w:t>
      </w:r>
      <w:r>
        <w:rPr>
          <w:i/>
        </w:rPr>
        <w:t>IPCC Guidelines </w:t>
      </w:r>
      <w:r>
        <w:rPr/>
        <w:t>which are used to calculate non- merchantable biomass (limbs, small trees etc.) that are cut during felling and left to decay.</w:t>
      </w:r>
    </w:p>
    <w:p>
      <w:pPr>
        <w:pStyle w:val="BodyText"/>
        <w:spacing w:before="120"/>
        <w:ind w:left="219" w:right="269"/>
        <w:jc w:val="both"/>
      </w:pPr>
      <w:r>
        <w:rPr/>
        <w:t>For countries using Tier 2 methods, it is </w:t>
      </w:r>
      <w:r>
        <w:rPr>
          <w:i/>
        </w:rPr>
        <w:t>good practice </w:t>
      </w:r>
      <w:r>
        <w:rPr/>
        <w:t>to use country-specific as well as species-specific basic wood density and BEF values, if available nationally.</w:t>
      </w:r>
    </w:p>
    <w:p>
      <w:pPr>
        <w:pStyle w:val="BodyText"/>
        <w:spacing w:before="120"/>
        <w:ind w:left="219" w:right="267"/>
        <w:jc w:val="both"/>
      </w:pPr>
      <w:r>
        <w:rPr/>
        <w:t>D as well as BEF values should be estimated at the species level in countries adopting Tier 3. BEFs for biomass increment, growing stock and harvest differ for a given species or a stand. For Tiers 2 and 3, inventory experts are encouraged to develop country-specific D and BEF values for growing stock, biomass increment and harvests separately. If country-specific factors and approaches are used, they should be appropriately verified and documented in accordance with the general requirements set out in Chapter</w:t>
      </w:r>
      <w:r>
        <w:rPr>
          <w:spacing w:val="-2"/>
        </w:rPr>
        <w:t> </w:t>
      </w:r>
      <w:r>
        <w:rPr/>
        <w:t>5.</w:t>
      </w:r>
    </w:p>
    <w:p>
      <w:pPr>
        <w:pStyle w:val="BodyText"/>
        <w:spacing w:before="120"/>
        <w:ind w:left="219" w:right="266"/>
        <w:jc w:val="both"/>
      </w:pPr>
      <w:r>
        <w:rPr/>
        <w:t>Due to country-specific conditions (e.g. Lehtonen </w:t>
      </w:r>
      <w:r>
        <w:rPr>
          <w:i/>
        </w:rPr>
        <w:t>et al.</w:t>
      </w:r>
      <w:r>
        <w:rPr/>
        <w:t>, 2003; Smith </w:t>
      </w:r>
      <w:r>
        <w:rPr>
          <w:i/>
        </w:rPr>
        <w:t>et al.</w:t>
      </w:r>
      <w:r>
        <w:rPr/>
        <w:t>, 2003) BEF and D may be combined in one value. In such cases, the guidance given on BEF and D should be applied to the combined values as appropriate.</w:t>
      </w:r>
    </w:p>
    <w:p>
      <w:pPr>
        <w:pStyle w:val="BodyText"/>
        <w:spacing w:before="2"/>
        <w:rPr>
          <w:sz w:val="21"/>
        </w:rPr>
      </w:pPr>
    </w:p>
    <w:p>
      <w:pPr>
        <w:spacing w:line="242" w:lineRule="auto" w:before="0"/>
        <w:ind w:left="219" w:right="867" w:firstLine="0"/>
        <w:jc w:val="left"/>
        <w:rPr>
          <w:b/>
          <w:sz w:val="20"/>
        </w:rPr>
      </w:pPr>
      <w:r>
        <w:rPr>
          <w:b/>
          <w:spacing w:val="16"/>
          <w:sz w:val="20"/>
        </w:rPr>
        <w:t>Annual </w:t>
      </w:r>
      <w:r>
        <w:rPr>
          <w:b/>
          <w:spacing w:val="17"/>
          <w:sz w:val="20"/>
        </w:rPr>
        <w:t>Decrease </w:t>
      </w:r>
      <w:r>
        <w:rPr>
          <w:b/>
          <w:spacing w:val="9"/>
          <w:sz w:val="20"/>
        </w:rPr>
        <w:t>in </w:t>
      </w:r>
      <w:r>
        <w:rPr>
          <w:b/>
          <w:spacing w:val="16"/>
          <w:sz w:val="20"/>
        </w:rPr>
        <w:t>Carbon Stocks </w:t>
      </w:r>
      <w:r>
        <w:rPr>
          <w:b/>
          <w:spacing w:val="13"/>
          <w:sz w:val="20"/>
        </w:rPr>
        <w:t>Due </w:t>
      </w:r>
      <w:r>
        <w:rPr>
          <w:b/>
          <w:spacing w:val="9"/>
          <w:sz w:val="20"/>
        </w:rPr>
        <w:t>to </w:t>
      </w:r>
      <w:r>
        <w:rPr>
          <w:b/>
          <w:spacing w:val="17"/>
          <w:sz w:val="20"/>
        </w:rPr>
        <w:t>Biomass </w:t>
      </w:r>
      <w:r>
        <w:rPr>
          <w:b/>
          <w:spacing w:val="15"/>
          <w:sz w:val="20"/>
        </w:rPr>
        <w:t>Loss </w:t>
      </w:r>
      <w:r>
        <w:rPr>
          <w:b/>
          <w:spacing w:val="9"/>
          <w:sz w:val="20"/>
        </w:rPr>
        <w:t>in </w:t>
      </w:r>
      <w:r>
        <w:rPr>
          <w:b/>
          <w:spacing w:val="16"/>
          <w:sz w:val="20"/>
        </w:rPr>
        <w:t>Forest </w:t>
      </w:r>
      <w:r>
        <w:rPr>
          <w:b/>
          <w:spacing w:val="15"/>
          <w:sz w:val="20"/>
        </w:rPr>
        <w:t>land </w:t>
      </w:r>
      <w:r>
        <w:rPr>
          <w:b/>
          <w:spacing w:val="17"/>
          <w:sz w:val="20"/>
        </w:rPr>
        <w:t>Remaining </w:t>
      </w:r>
      <w:r>
        <w:rPr>
          <w:b/>
          <w:spacing w:val="16"/>
          <w:sz w:val="20"/>
        </w:rPr>
        <w:t>Forest </w:t>
      </w:r>
      <w:r>
        <w:rPr>
          <w:b/>
          <w:spacing w:val="15"/>
          <w:sz w:val="20"/>
        </w:rPr>
        <w:t>land </w:t>
      </w:r>
      <w:r>
        <w:rPr>
          <w:b/>
          <w:spacing w:val="11"/>
          <w:sz w:val="20"/>
        </w:rPr>
        <w:t>(∆ </w:t>
      </w:r>
      <w:r>
        <w:rPr>
          <w:b/>
          <w:spacing w:val="13"/>
          <w:sz w:val="20"/>
        </w:rPr>
        <w:t>C</w:t>
      </w:r>
      <w:r>
        <w:rPr>
          <w:b/>
          <w:spacing w:val="13"/>
          <w:sz w:val="20"/>
          <w:vertAlign w:val="subscript"/>
        </w:rPr>
        <w:t>FF</w:t>
      </w:r>
      <w:r>
        <w:rPr>
          <w:b/>
          <w:spacing w:val="-38"/>
          <w:sz w:val="20"/>
          <w:vertAlign w:val="baseline"/>
        </w:rPr>
        <w:t> </w:t>
      </w:r>
      <w:r>
        <w:rPr>
          <w:b/>
          <w:position w:val="-6"/>
          <w:sz w:val="13"/>
          <w:vertAlign w:val="baseline"/>
        </w:rPr>
        <w:t>L </w:t>
      </w:r>
      <w:r>
        <w:rPr>
          <w:b/>
          <w:sz w:val="20"/>
          <w:vertAlign w:val="baseline"/>
        </w:rPr>
        <w:t>)</w:t>
      </w:r>
    </w:p>
    <w:p>
      <w:pPr>
        <w:pStyle w:val="BodyText"/>
        <w:spacing w:line="206" w:lineRule="exact"/>
        <w:ind w:left="219"/>
        <w:jc w:val="both"/>
      </w:pPr>
      <w:r>
        <w:rPr/>
        <w:t>Annual biomass loss is a sum of losses from commercial roundwood fellings, fuelwood gathering, and other</w:t>
      </w:r>
    </w:p>
    <w:p>
      <w:pPr>
        <w:pStyle w:val="BodyText"/>
        <w:spacing w:line="229" w:lineRule="exact"/>
        <w:ind w:left="219"/>
        <w:jc w:val="both"/>
      </w:pPr>
      <w:r>
        <w:rPr/>
        <w:t>losses (Equation 3.2.6):</w:t>
      </w:r>
    </w:p>
    <w:p>
      <w:pPr>
        <w:pStyle w:val="BodyText"/>
        <w:spacing w:before="2"/>
        <w:rPr>
          <w:sz w:val="11"/>
        </w:rPr>
      </w:pPr>
      <w:r>
        <w:rPr/>
        <w:pict>
          <v:shape style="position:absolute;margin-left:91.960999pt;margin-top:9.143928pt;width:411.5pt;height:64.6pt;mso-position-horizontal-relative:page;mso-position-vertical-relative:paragraph;z-index:4376;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E</w:t>
                  </w:r>
                  <w:r>
                    <w:rPr>
                      <w:b/>
                      <w:sz w:val="16"/>
                    </w:rPr>
                    <w:t>QUATION </w:t>
                  </w:r>
                  <w:r>
                    <w:rPr>
                      <w:b/>
                      <w:sz w:val="20"/>
                    </w:rPr>
                    <w:t>3.2.6</w:t>
                  </w:r>
                </w:p>
                <w:p>
                  <w:pPr>
                    <w:spacing w:line="278" w:lineRule="auto" w:before="0"/>
                    <w:ind w:left="1528" w:right="1529" w:firstLine="0"/>
                    <w:jc w:val="center"/>
                    <w:rPr>
                      <w:b/>
                      <w:sz w:val="16"/>
                    </w:rPr>
                  </w:pPr>
                  <w:r>
                    <w:rPr>
                      <w:b/>
                      <w:sz w:val="20"/>
                    </w:rPr>
                    <w:t>A</w:t>
                  </w:r>
                  <w:r>
                    <w:rPr>
                      <w:b/>
                      <w:sz w:val="16"/>
                    </w:rPr>
                    <w:t>NNUAL DECREASE IN CARBON STOCKS DUE TO BIOMASS LOSS IN FOREST LAND REMAINING FOREST LAND</w:t>
                  </w:r>
                </w:p>
                <w:p>
                  <w:pPr>
                    <w:spacing w:before="59"/>
                    <w:ind w:left="67" w:right="68" w:firstLine="0"/>
                    <w:jc w:val="center"/>
                    <w:rPr>
                      <w:sz w:val="13"/>
                    </w:rPr>
                  </w:pPr>
                  <w:r>
                    <w:rPr>
                      <w:position w:val="3"/>
                      <w:sz w:val="20"/>
                    </w:rPr>
                    <w:t>∆C</w:t>
                  </w:r>
                  <w:r>
                    <w:rPr>
                      <w:sz w:val="13"/>
                    </w:rPr>
                    <w:t>FF</w:t>
                  </w:r>
                  <w:r>
                    <w:rPr>
                      <w:position w:val="-5"/>
                      <w:sz w:val="13"/>
                    </w:rPr>
                    <w:t>L </w:t>
                  </w:r>
                  <w:r>
                    <w:rPr>
                      <w:position w:val="3"/>
                      <w:sz w:val="20"/>
                    </w:rPr>
                    <w:t>= L</w:t>
                  </w:r>
                  <w:r>
                    <w:rPr>
                      <w:sz w:val="13"/>
                    </w:rPr>
                    <w:t>fellings </w:t>
                  </w:r>
                  <w:r>
                    <w:rPr>
                      <w:position w:val="3"/>
                      <w:sz w:val="20"/>
                    </w:rPr>
                    <w:t>+ L</w:t>
                  </w:r>
                  <w:r>
                    <w:rPr>
                      <w:sz w:val="13"/>
                    </w:rPr>
                    <w:t>fuelwood </w:t>
                  </w:r>
                  <w:r>
                    <w:rPr>
                      <w:position w:val="3"/>
                      <w:sz w:val="20"/>
                    </w:rPr>
                    <w:t>+ L</w:t>
                  </w:r>
                  <w:r>
                    <w:rPr>
                      <w:sz w:val="13"/>
                    </w:rPr>
                    <w:t>other</w:t>
                  </w:r>
                  <w:r>
                    <w:rPr>
                      <w:spacing w:val="-10"/>
                      <w:sz w:val="13"/>
                    </w:rPr>
                    <w:t> </w:t>
                  </w:r>
                  <w:r>
                    <w:rPr>
                      <w:sz w:val="13"/>
                    </w:rPr>
                    <w:t>losses</w:t>
                  </w:r>
                </w:p>
              </w:txbxContent>
            </v:textbox>
            <v:stroke dashstyle="solid"/>
            <w10:wrap type="topAndBottom"/>
          </v:shape>
        </w:pict>
      </w:r>
    </w:p>
    <w:p>
      <w:pPr>
        <w:pStyle w:val="BodyText"/>
        <w:spacing w:before="4"/>
        <w:ind w:left="219"/>
      </w:pPr>
      <w:r>
        <w:rPr/>
        <w:t>Where:</w:t>
      </w:r>
    </w:p>
    <w:p>
      <w:pPr>
        <w:pStyle w:val="BodyText"/>
        <w:spacing w:line="228" w:lineRule="auto" w:before="124"/>
        <w:ind w:left="1563" w:right="354" w:hanging="778"/>
      </w:pPr>
      <w:r>
        <w:rPr/>
        <w:t>∆C</w:t>
      </w:r>
      <w:r>
        <w:rPr>
          <w:vertAlign w:val="subscript"/>
        </w:rPr>
        <w:t>FF</w:t>
      </w:r>
      <w:r>
        <w:rPr>
          <w:position w:val="-8"/>
          <w:sz w:val="13"/>
          <w:vertAlign w:val="baseline"/>
        </w:rPr>
        <w:t>L </w:t>
      </w:r>
      <w:r>
        <w:rPr>
          <w:vertAlign w:val="baseline"/>
        </w:rPr>
        <w:t>= annual decrease in carbon stocks due to biomass loss in forest land  remaining  forest land,  tonnes C</w:t>
      </w:r>
      <w:r>
        <w:rPr>
          <w:spacing w:val="-1"/>
          <w:vertAlign w:val="baseline"/>
        </w:rPr>
        <w:t> </w:t>
      </w:r>
      <w:r>
        <w:rPr>
          <w:vertAlign w:val="baseline"/>
        </w:rPr>
        <w:t>yr</w:t>
      </w:r>
      <w:r>
        <w:rPr>
          <w:vertAlign w:val="superscript"/>
        </w:rPr>
        <w:t>-1</w:t>
      </w:r>
    </w:p>
    <w:p>
      <w:pPr>
        <w:pStyle w:val="BodyText"/>
        <w:spacing w:before="123"/>
        <w:ind w:left="785"/>
      </w:pPr>
      <w:r>
        <w:rPr/>
        <w:t>L</w:t>
      </w:r>
      <w:r>
        <w:rPr>
          <w:vertAlign w:val="subscript"/>
        </w:rPr>
        <w:t>fellings</w:t>
      </w:r>
      <w:r>
        <w:rPr>
          <w:vertAlign w:val="baseline"/>
        </w:rPr>
        <w:t> = annual carbon loss due to commercial fellings, tonnes C yr</w:t>
      </w:r>
      <w:r>
        <w:rPr>
          <w:vertAlign w:val="superscript"/>
        </w:rPr>
        <w:t>-1</w:t>
      </w:r>
      <w:r>
        <w:rPr>
          <w:vertAlign w:val="baseline"/>
        </w:rPr>
        <w:t> (See Equation 3.2.7)</w:t>
      </w:r>
    </w:p>
    <w:p>
      <w:pPr>
        <w:spacing w:after="0"/>
        <w:sectPr>
          <w:pgSz w:w="11900" w:h="16840"/>
          <w:pgMar w:header="230" w:footer="408" w:top="560" w:bottom="600" w:left="1200" w:right="1140"/>
        </w:sectPr>
      </w:pPr>
    </w:p>
    <w:p>
      <w:pPr>
        <w:pStyle w:val="BodyText"/>
        <w:spacing w:before="8"/>
        <w:rPr>
          <w:sz w:val="27"/>
        </w:rPr>
      </w:pPr>
    </w:p>
    <w:p>
      <w:pPr>
        <w:pStyle w:val="BodyText"/>
        <w:spacing w:line="364" w:lineRule="auto" w:before="121"/>
        <w:ind w:left="785" w:right="1461"/>
      </w:pPr>
      <w:r>
        <w:rPr/>
        <w:t>L</w:t>
      </w:r>
      <w:r>
        <w:rPr>
          <w:vertAlign w:val="subscript"/>
        </w:rPr>
        <w:t>fuelwood</w:t>
      </w:r>
      <w:r>
        <w:rPr>
          <w:vertAlign w:val="baseline"/>
        </w:rPr>
        <w:t> = annual carbon loss due to fuelwood gathering, tonnes C yr</w:t>
      </w:r>
      <w:r>
        <w:rPr>
          <w:vertAlign w:val="superscript"/>
        </w:rPr>
        <w:t>-1</w:t>
      </w:r>
      <w:r>
        <w:rPr>
          <w:vertAlign w:val="baseline"/>
        </w:rPr>
        <w:t> (See Equation 3.2.8) L</w:t>
      </w:r>
      <w:r>
        <w:rPr>
          <w:vertAlign w:val="subscript"/>
        </w:rPr>
        <w:t>other</w:t>
      </w:r>
      <w:r>
        <w:rPr>
          <w:vertAlign w:val="baseline"/>
        </w:rPr>
        <w:t> </w:t>
      </w:r>
      <w:r>
        <w:rPr>
          <w:vertAlign w:val="subscript"/>
        </w:rPr>
        <w:t>losses</w:t>
      </w:r>
      <w:r>
        <w:rPr>
          <w:vertAlign w:val="baseline"/>
        </w:rPr>
        <w:t> = annual other losses of carbon, tonnes C yr</w:t>
      </w:r>
      <w:r>
        <w:rPr>
          <w:vertAlign w:val="superscript"/>
        </w:rPr>
        <w:t>-1</w:t>
      </w:r>
      <w:r>
        <w:rPr>
          <w:vertAlign w:val="baseline"/>
        </w:rPr>
        <w:t> (See Equation 3.2.9)</w:t>
      </w:r>
    </w:p>
    <w:p>
      <w:pPr>
        <w:pStyle w:val="BodyText"/>
        <w:spacing w:before="6"/>
        <w:rPr>
          <w:sz w:val="30"/>
        </w:rPr>
      </w:pPr>
    </w:p>
    <w:p>
      <w:pPr>
        <w:pStyle w:val="BodyText"/>
        <w:spacing w:before="1"/>
        <w:ind w:left="219"/>
      </w:pPr>
      <w:r>
        <w:rPr/>
        <w:t>The equation for estimating the annual carbon loss due to commercial fellings is provided in Equation 3.2.7:</w:t>
      </w:r>
    </w:p>
    <w:p>
      <w:pPr>
        <w:pStyle w:val="BodyText"/>
        <w:spacing w:before="1"/>
        <w:rPr>
          <w:sz w:val="11"/>
        </w:rPr>
      </w:pPr>
      <w:r>
        <w:rPr/>
        <w:pict>
          <v:shape style="position:absolute;margin-left:91.960999pt;margin-top:9.116729pt;width:411.5pt;height:49.95pt;mso-position-horizontal-relative:page;mso-position-vertical-relative:paragraph;z-index:4400;mso-wrap-distance-left:0;mso-wrap-distance-right:0" type="#_x0000_t202" filled="false" stroked="true" strokeweight="1.44pt" strokecolor="#000000">
            <v:textbox inset="0,0,0,0">
              <w:txbxContent>
                <w:p>
                  <w:pPr>
                    <w:spacing w:line="229" w:lineRule="exact" w:before="99"/>
                    <w:ind w:left="68" w:right="68" w:firstLine="0"/>
                    <w:jc w:val="center"/>
                    <w:rPr>
                      <w:b/>
                      <w:sz w:val="20"/>
                    </w:rPr>
                  </w:pPr>
                  <w:r>
                    <w:rPr>
                      <w:b/>
                      <w:sz w:val="20"/>
                    </w:rPr>
                    <w:t>E</w:t>
                  </w:r>
                  <w:r>
                    <w:rPr>
                      <w:b/>
                      <w:sz w:val="16"/>
                    </w:rPr>
                    <w:t>QUATION </w:t>
                  </w:r>
                  <w:r>
                    <w:rPr>
                      <w:b/>
                      <w:sz w:val="20"/>
                    </w:rPr>
                    <w:t>3.2.7</w:t>
                  </w:r>
                </w:p>
                <w:p>
                  <w:pPr>
                    <w:spacing w:line="229" w:lineRule="exact" w:before="0"/>
                    <w:ind w:left="67" w:right="68" w:firstLine="0"/>
                    <w:jc w:val="center"/>
                    <w:rPr>
                      <w:b/>
                      <w:sz w:val="16"/>
                    </w:rPr>
                  </w:pPr>
                  <w:r>
                    <w:rPr>
                      <w:b/>
                      <w:sz w:val="20"/>
                    </w:rPr>
                    <w:t>A</w:t>
                  </w:r>
                  <w:r>
                    <w:rPr>
                      <w:b/>
                      <w:sz w:val="16"/>
                    </w:rPr>
                    <w:t>NNUAL CARBON LOSS DUE TO COMMERCIAL FELLINGS</w:t>
                  </w:r>
                </w:p>
                <w:p>
                  <w:pPr>
                    <w:pStyle w:val="BodyText"/>
                    <w:spacing w:before="79"/>
                    <w:ind w:left="67" w:right="68"/>
                    <w:jc w:val="center"/>
                  </w:pPr>
                  <w:r>
                    <w:rPr/>
                    <w:t>L</w:t>
                  </w:r>
                  <w:r>
                    <w:rPr>
                      <w:vertAlign w:val="subscript"/>
                    </w:rPr>
                    <w:t>fellings</w:t>
                  </w:r>
                  <w:r>
                    <w:rPr>
                      <w:vertAlign w:val="baseline"/>
                    </w:rPr>
                    <w:t> = H ● D ● BEF</w:t>
                  </w:r>
                  <w:r>
                    <w:rPr>
                      <w:vertAlign w:val="subscript"/>
                    </w:rPr>
                    <w:t>2</w:t>
                  </w:r>
                  <w:r>
                    <w:rPr>
                      <w:vertAlign w:val="baseline"/>
                    </w:rPr>
                    <w:t> ● (1– f</w:t>
                  </w:r>
                  <w:r>
                    <w:rPr>
                      <w:vertAlign w:val="subscript"/>
                    </w:rPr>
                    <w:t>BL</w:t>
                  </w:r>
                  <w:r>
                    <w:rPr>
                      <w:vertAlign w:val="baseline"/>
                    </w:rPr>
                    <w:t>) ● CF</w:t>
                  </w:r>
                </w:p>
              </w:txbxContent>
            </v:textbox>
            <v:stroke dashstyle="solid"/>
            <w10:wrap type="topAndBottom"/>
          </v:shape>
        </w:pict>
      </w:r>
    </w:p>
    <w:p>
      <w:pPr>
        <w:pStyle w:val="BodyText"/>
        <w:spacing w:before="4"/>
        <w:ind w:left="219"/>
      </w:pPr>
      <w:r>
        <w:rPr/>
        <w:t>Where:</w:t>
      </w:r>
    </w:p>
    <w:p>
      <w:pPr>
        <w:pStyle w:val="BodyText"/>
        <w:tabs>
          <w:tab w:pos="1143" w:val="left" w:leader="none"/>
        </w:tabs>
        <w:spacing w:line="364" w:lineRule="auto" w:before="121"/>
        <w:ind w:left="785" w:right="3242"/>
      </w:pPr>
      <w:r>
        <w:rPr/>
        <w:t>L</w:t>
      </w:r>
      <w:r>
        <w:rPr>
          <w:vertAlign w:val="subscript"/>
        </w:rPr>
        <w:t>fellings</w:t>
      </w:r>
      <w:r>
        <w:rPr>
          <w:vertAlign w:val="baseline"/>
        </w:rPr>
        <w:t> = annual carbon loss due to commercial fellings, tonnes C</w:t>
      </w:r>
      <w:r>
        <w:rPr>
          <w:spacing w:val="-29"/>
          <w:vertAlign w:val="baseline"/>
        </w:rPr>
        <w:t> </w:t>
      </w:r>
      <w:r>
        <w:rPr>
          <w:vertAlign w:val="baseline"/>
        </w:rPr>
        <w:t>yr</w:t>
      </w:r>
      <w:r>
        <w:rPr>
          <w:vertAlign w:val="superscript"/>
        </w:rPr>
        <w:t>-1</w:t>
      </w:r>
      <w:r>
        <w:rPr>
          <w:vertAlign w:val="baseline"/>
        </w:rPr>
        <w:t> H</w:t>
        <w:tab/>
        <w:t>= annually extracted volume, roundwood, m</w:t>
      </w:r>
      <w:r>
        <w:rPr>
          <w:vertAlign w:val="superscript"/>
        </w:rPr>
        <w:t>3</w:t>
      </w:r>
      <w:r>
        <w:rPr>
          <w:vertAlign w:val="baseline"/>
        </w:rPr>
        <w:t> yr</w:t>
      </w:r>
      <w:r>
        <w:rPr>
          <w:vertAlign w:val="superscript"/>
        </w:rPr>
        <w:t>-1</w:t>
      </w:r>
    </w:p>
    <w:p>
      <w:pPr>
        <w:pStyle w:val="BodyText"/>
        <w:tabs>
          <w:tab w:pos="1143" w:val="left" w:leader="none"/>
        </w:tabs>
        <w:spacing w:before="1"/>
        <w:ind w:left="785"/>
      </w:pPr>
      <w:r>
        <w:rPr/>
        <w:t>D</w:t>
        <w:tab/>
        <w:t>= basic wood density, tonnes d.m. m</w:t>
      </w:r>
      <w:r>
        <w:rPr>
          <w:vertAlign w:val="superscript"/>
        </w:rPr>
        <w:t>-3</w:t>
      </w:r>
      <w:r>
        <w:rPr>
          <w:vertAlign w:val="baseline"/>
        </w:rPr>
        <w:t>; Table</w:t>
      </w:r>
      <w:r>
        <w:rPr>
          <w:spacing w:val="8"/>
          <w:vertAlign w:val="baseline"/>
        </w:rPr>
        <w:t> </w:t>
      </w:r>
      <w:r>
        <w:rPr>
          <w:vertAlign w:val="baseline"/>
        </w:rPr>
        <w:t>3A.1.9</w:t>
      </w:r>
    </w:p>
    <w:p>
      <w:pPr>
        <w:pStyle w:val="BodyText"/>
        <w:spacing w:before="118"/>
        <w:ind w:left="1464" w:hanging="680"/>
      </w:pPr>
      <w:r>
        <w:rPr/>
        <w:t>BEF</w:t>
      </w:r>
      <w:r>
        <w:rPr>
          <w:vertAlign w:val="subscript"/>
        </w:rPr>
        <w:t>2</w:t>
      </w:r>
      <w:r>
        <w:rPr>
          <w:vertAlign w:val="baseline"/>
        </w:rPr>
        <w:t> = biomass expansion factor for converting volumes of extracted roundwood to total aboveground biomass (including bark), dimensionless; Table 3A.1.10</w:t>
      </w:r>
    </w:p>
    <w:p>
      <w:pPr>
        <w:pStyle w:val="BodyText"/>
        <w:spacing w:line="364" w:lineRule="auto" w:before="121"/>
        <w:ind w:left="785" w:right="1986"/>
      </w:pPr>
      <w:r>
        <w:rPr/>
        <w:t>f</w:t>
      </w:r>
      <w:r>
        <w:rPr>
          <w:vertAlign w:val="subscript"/>
        </w:rPr>
        <w:t>BL</w:t>
      </w:r>
      <w:r>
        <w:rPr>
          <w:vertAlign w:val="baseline"/>
        </w:rPr>
        <w:t> = fraction of biomass left to decay in forest (transferred to dead organic matter) CF = carbon fraction of dry matter (default = 0.5), tonnes C (tonne d.m.)</w:t>
      </w:r>
      <w:r>
        <w:rPr>
          <w:vertAlign w:val="superscript"/>
        </w:rPr>
        <w:t>-1</w:t>
      </w:r>
    </w:p>
    <w:p>
      <w:pPr>
        <w:pStyle w:val="BodyText"/>
        <w:spacing w:before="2"/>
        <w:ind w:left="219"/>
      </w:pPr>
      <w:r>
        <w:rPr/>
        <w:t>In applying this equation there are two choices:</w:t>
      </w:r>
    </w:p>
    <w:p>
      <w:pPr>
        <w:pStyle w:val="ListParagraph"/>
        <w:numPr>
          <w:ilvl w:val="5"/>
          <w:numId w:val="44"/>
        </w:numPr>
        <w:tabs>
          <w:tab w:pos="1297" w:val="left" w:leader="none"/>
        </w:tabs>
        <w:spacing w:line="240" w:lineRule="auto" w:before="120" w:after="0"/>
        <w:ind w:left="1296" w:right="264" w:hanging="571"/>
        <w:jc w:val="both"/>
        <w:rPr>
          <w:sz w:val="20"/>
        </w:rPr>
      </w:pPr>
      <w:r>
        <w:rPr>
          <w:sz w:val="20"/>
        </w:rPr>
        <w:t>Total biomass associated with the volume of the extracted roundwood is considered as an immediate emission. This is the default assumption and implies that f</w:t>
      </w:r>
      <w:r>
        <w:rPr>
          <w:sz w:val="20"/>
          <w:vertAlign w:val="subscript"/>
        </w:rPr>
        <w:t>BL</w:t>
      </w:r>
      <w:r>
        <w:rPr>
          <w:sz w:val="20"/>
          <w:vertAlign w:val="baseline"/>
        </w:rPr>
        <w:t> should be set to 0. This assumption should be made unless changes in dead organic matter are being explicitly accounted for, which implies use of higher tiers under Section 3.2.1.2</w:t>
      </w:r>
      <w:r>
        <w:rPr>
          <w:spacing w:val="-6"/>
          <w:sz w:val="20"/>
          <w:vertAlign w:val="baseline"/>
        </w:rPr>
        <w:t> </w:t>
      </w:r>
      <w:r>
        <w:rPr>
          <w:sz w:val="20"/>
          <w:vertAlign w:val="baseline"/>
        </w:rPr>
        <w:t>below.</w:t>
      </w:r>
    </w:p>
    <w:p>
      <w:pPr>
        <w:pStyle w:val="ListParagraph"/>
        <w:numPr>
          <w:ilvl w:val="5"/>
          <w:numId w:val="44"/>
        </w:numPr>
        <w:tabs>
          <w:tab w:pos="1297" w:val="left" w:leader="none"/>
        </w:tabs>
        <w:spacing w:line="240" w:lineRule="auto" w:before="119" w:after="0"/>
        <w:ind w:left="1296" w:right="264" w:hanging="597"/>
        <w:jc w:val="both"/>
        <w:rPr>
          <w:sz w:val="20"/>
        </w:rPr>
      </w:pPr>
      <w:r>
        <w:rPr>
          <w:sz w:val="20"/>
        </w:rPr>
        <w:t>A proportion of the biomass is transferred to the dead wood stock. In this case, f</w:t>
      </w:r>
      <w:r>
        <w:rPr>
          <w:sz w:val="20"/>
          <w:vertAlign w:val="subscript"/>
        </w:rPr>
        <w:t>BL</w:t>
      </w:r>
      <w:r>
        <w:rPr>
          <w:sz w:val="20"/>
          <w:vertAlign w:val="baseline"/>
        </w:rPr>
        <w:t> should be obtained by expert judgment or based on empirical data (Tier 2 or 3). Annex 3.A.11 provides default data on f</w:t>
      </w:r>
      <w:r>
        <w:rPr>
          <w:sz w:val="20"/>
          <w:vertAlign w:val="subscript"/>
        </w:rPr>
        <w:t>BL</w:t>
      </w:r>
      <w:r>
        <w:rPr>
          <w:sz w:val="20"/>
          <w:vertAlign w:val="baseline"/>
        </w:rPr>
        <w:t> for use at Tier</w:t>
      </w:r>
      <w:r>
        <w:rPr>
          <w:spacing w:val="3"/>
          <w:sz w:val="20"/>
          <w:vertAlign w:val="baseline"/>
        </w:rPr>
        <w:t> </w:t>
      </w:r>
      <w:r>
        <w:rPr>
          <w:sz w:val="20"/>
          <w:vertAlign w:val="baseline"/>
        </w:rPr>
        <w:t>2.</w:t>
      </w:r>
    </w:p>
    <w:p>
      <w:pPr>
        <w:pStyle w:val="BodyText"/>
        <w:rPr>
          <w:sz w:val="24"/>
        </w:rPr>
      </w:pPr>
    </w:p>
    <w:p>
      <w:pPr>
        <w:pStyle w:val="BodyText"/>
        <w:spacing w:before="194"/>
        <w:ind w:left="219"/>
      </w:pPr>
      <w:r>
        <w:rPr/>
        <w:t>The carbon loss due to fuelwood gathering is estimated using Equation 3.2.8:</w:t>
      </w:r>
    </w:p>
    <w:p>
      <w:pPr>
        <w:pStyle w:val="BodyText"/>
        <w:spacing w:before="1"/>
        <w:rPr>
          <w:sz w:val="11"/>
        </w:rPr>
      </w:pPr>
      <w:r>
        <w:rPr/>
        <w:pict>
          <v:shape style="position:absolute;margin-left:91.960999pt;margin-top:9.119804pt;width:411.5pt;height:50.05pt;mso-position-horizontal-relative:page;mso-position-vertical-relative:paragraph;z-index:4424;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E</w:t>
                  </w:r>
                  <w:r>
                    <w:rPr>
                      <w:b/>
                      <w:sz w:val="16"/>
                    </w:rPr>
                    <w:t>QUATION </w:t>
                  </w:r>
                  <w:r>
                    <w:rPr>
                      <w:b/>
                      <w:sz w:val="20"/>
                    </w:rPr>
                    <w:t>3.2.8</w:t>
                  </w:r>
                </w:p>
                <w:p>
                  <w:pPr>
                    <w:spacing w:before="0"/>
                    <w:ind w:left="67" w:right="68" w:firstLine="0"/>
                    <w:jc w:val="center"/>
                    <w:rPr>
                      <w:b/>
                      <w:sz w:val="16"/>
                    </w:rPr>
                  </w:pPr>
                  <w:r>
                    <w:rPr>
                      <w:b/>
                      <w:sz w:val="20"/>
                    </w:rPr>
                    <w:t>A</w:t>
                  </w:r>
                  <w:r>
                    <w:rPr>
                      <w:b/>
                      <w:sz w:val="16"/>
                    </w:rPr>
                    <w:t>NNUAL CARBON LOSS DUE TO FUELWOOD GATHERING</w:t>
                  </w:r>
                </w:p>
                <w:p>
                  <w:pPr>
                    <w:pStyle w:val="BodyText"/>
                    <w:spacing w:before="77"/>
                    <w:ind w:left="67" w:right="68"/>
                    <w:jc w:val="center"/>
                  </w:pPr>
                  <w:r>
                    <w:rPr/>
                    <w:t>L</w:t>
                  </w:r>
                  <w:r>
                    <w:rPr>
                      <w:vertAlign w:val="subscript"/>
                    </w:rPr>
                    <w:t>fuelwood</w:t>
                  </w:r>
                  <w:r>
                    <w:rPr>
                      <w:vertAlign w:val="baseline"/>
                    </w:rPr>
                    <w:t> = FG ● D ● BEF</w:t>
                  </w:r>
                  <w:r>
                    <w:rPr>
                      <w:vertAlign w:val="subscript"/>
                    </w:rPr>
                    <w:t>2</w:t>
                  </w:r>
                  <w:r>
                    <w:rPr>
                      <w:vertAlign w:val="baseline"/>
                    </w:rPr>
                    <w:t> ● CF</w:t>
                  </w:r>
                </w:p>
              </w:txbxContent>
            </v:textbox>
            <v:stroke dashstyle="solid"/>
            <w10:wrap type="topAndBottom"/>
          </v:shape>
        </w:pict>
      </w:r>
    </w:p>
    <w:p>
      <w:pPr>
        <w:pStyle w:val="BodyText"/>
        <w:spacing w:before="4"/>
        <w:ind w:left="219"/>
      </w:pPr>
      <w:r>
        <w:rPr/>
        <w:t>Where:</w:t>
      </w:r>
    </w:p>
    <w:p>
      <w:pPr>
        <w:pStyle w:val="BodyText"/>
        <w:spacing w:line="364" w:lineRule="auto" w:before="118"/>
        <w:ind w:left="785" w:right="3105"/>
      </w:pPr>
      <w:r>
        <w:rPr/>
        <w:t>L</w:t>
      </w:r>
      <w:r>
        <w:rPr>
          <w:vertAlign w:val="subscript"/>
        </w:rPr>
        <w:t>fuelwood</w:t>
      </w:r>
      <w:r>
        <w:rPr>
          <w:vertAlign w:val="baseline"/>
        </w:rPr>
        <w:t> = annual carbon loss due to fuelwood gathering, tonnes C. yr</w:t>
      </w:r>
      <w:r>
        <w:rPr>
          <w:vertAlign w:val="superscript"/>
        </w:rPr>
        <w:t>-1</w:t>
      </w:r>
      <w:r>
        <w:rPr>
          <w:vertAlign w:val="baseline"/>
        </w:rPr>
        <w:t> FG = annual volume of fuelwood gathering, m</w:t>
      </w:r>
      <w:r>
        <w:rPr>
          <w:vertAlign w:val="superscript"/>
        </w:rPr>
        <w:t>3</w:t>
      </w:r>
      <w:r>
        <w:rPr>
          <w:vertAlign w:val="baseline"/>
        </w:rPr>
        <w:t> yr</w:t>
      </w:r>
      <w:r>
        <w:rPr>
          <w:vertAlign w:val="superscript"/>
        </w:rPr>
        <w:t>-1</w:t>
      </w:r>
    </w:p>
    <w:p>
      <w:pPr>
        <w:pStyle w:val="BodyText"/>
        <w:spacing w:before="2"/>
        <w:ind w:left="785"/>
      </w:pPr>
      <w:r>
        <w:rPr/>
        <w:t>D = basic wood density, tonnes d.m. m</w:t>
      </w:r>
      <w:r>
        <w:rPr>
          <w:vertAlign w:val="superscript"/>
        </w:rPr>
        <w:t>-3</w:t>
      </w:r>
      <w:r>
        <w:rPr>
          <w:vertAlign w:val="baseline"/>
        </w:rPr>
        <w:t>; Table 3A.1.9</w:t>
      </w:r>
    </w:p>
    <w:p>
      <w:pPr>
        <w:pStyle w:val="BodyText"/>
        <w:spacing w:before="120"/>
        <w:ind w:left="1486" w:hanging="701"/>
      </w:pPr>
      <w:r>
        <w:rPr/>
        <w:t>BEF</w:t>
      </w:r>
      <w:r>
        <w:rPr>
          <w:vertAlign w:val="subscript"/>
        </w:rPr>
        <w:t>2</w:t>
      </w:r>
      <w:r>
        <w:rPr>
          <w:vertAlign w:val="baseline"/>
        </w:rPr>
        <w:t> = biomass expansion factor for converting volumes of extracted roundwood to total aboveground biomass (including bark), dimensionless; Table 3A.1.10</w:t>
      </w:r>
    </w:p>
    <w:p>
      <w:pPr>
        <w:pStyle w:val="BodyText"/>
        <w:spacing w:before="119"/>
        <w:ind w:left="785"/>
      </w:pPr>
      <w:r>
        <w:rPr/>
        <w:t>CF = carbon fraction of dry matter (default = 0.5), tonnes C (tonne d.m.)</w:t>
      </w:r>
      <w:r>
        <w:rPr>
          <w:vertAlign w:val="superscript"/>
        </w:rPr>
        <w:t>-1</w:t>
      </w:r>
    </w:p>
    <w:p>
      <w:pPr>
        <w:pStyle w:val="BodyText"/>
      </w:pPr>
    </w:p>
    <w:p>
      <w:pPr>
        <w:pStyle w:val="BodyText"/>
        <w:spacing w:before="1"/>
        <w:ind w:left="219" w:right="266"/>
        <w:jc w:val="both"/>
      </w:pPr>
      <w:r>
        <w:rPr/>
        <w:t>Other carbon losses in managed forest land include losses from disturbances such as windstorms, pest outbreaks, or fires. A generic approach for estimating the amount of carbon lost from such disturbances is provided below. In the specific case of losses from fire on managed forest land, including wildfires and controlled fires, this method should be used to provide input to the methodology in Section 3.2.1.4 (Non-CO</w:t>
      </w:r>
      <w:r>
        <w:rPr>
          <w:vertAlign w:val="subscript"/>
        </w:rPr>
        <w:t>2</w:t>
      </w:r>
      <w:r>
        <w:rPr>
          <w:vertAlign w:val="baseline"/>
        </w:rPr>
        <w:t> Greenhouse Gas Emissions) to estimate CO</w:t>
      </w:r>
      <w:r>
        <w:rPr>
          <w:vertAlign w:val="subscript"/>
        </w:rPr>
        <w:t>2</w:t>
      </w:r>
      <w:r>
        <w:rPr>
          <w:vertAlign w:val="baseline"/>
        </w:rPr>
        <w:t> and non-CO</w:t>
      </w:r>
      <w:r>
        <w:rPr>
          <w:vertAlign w:val="subscript"/>
        </w:rPr>
        <w:t>2</w:t>
      </w:r>
      <w:r>
        <w:rPr>
          <w:vertAlign w:val="baseline"/>
        </w:rPr>
        <w:t> emissions from fires.</w:t>
      </w:r>
    </w:p>
    <w:p>
      <w:pPr>
        <w:pStyle w:val="BodyText"/>
        <w:spacing w:before="119"/>
        <w:ind w:left="219" w:right="267"/>
        <w:jc w:val="both"/>
      </w:pPr>
      <w:r>
        <w:rPr/>
        <w:t>It is </w:t>
      </w:r>
      <w:r>
        <w:rPr>
          <w:i/>
        </w:rPr>
        <w:t>good practice </w:t>
      </w:r>
      <w:r>
        <w:rPr/>
        <w:t>to report all areas affected by disturbances such as fires, pest outbreaks and windstorms that occur in managed forest lands irrespective of whether these were the result of human activity. Natural disturbances occurring on unmanaged forest, and not resulting in land-use change, should not be included. Losses in biomass accounted as commercial harvest or fuelwood should not be included under the losses due to other disturbances.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3"/>
        <w:jc w:val="both"/>
      </w:pPr>
      <w:r>
        <w:rPr/>
        <w:t>The impact of disturbances on forest ecosystem varies with the type and severity of disturbance, the conditions under which they occur (e.g. weather) and the ecosystem characteristics. The proposed generic method  illustrated in Equation 3.2.9 assumes complete destruction of forest biomass in the event of a disturbance – hence the default methodology addresses “stand-replacing” disturbances only. Countries reporting under Tier 3 should consider both stand-replacing and non-stand replacing</w:t>
      </w:r>
      <w:r>
        <w:rPr>
          <w:spacing w:val="-2"/>
        </w:rPr>
        <w:t> </w:t>
      </w:r>
      <w:r>
        <w:rPr/>
        <w:t>disturbances.</w:t>
      </w:r>
    </w:p>
    <w:p>
      <w:pPr>
        <w:pStyle w:val="BodyText"/>
        <w:spacing w:before="3"/>
        <w:rPr>
          <w:sz w:val="11"/>
        </w:rPr>
      </w:pPr>
      <w:r>
        <w:rPr/>
        <w:pict>
          <v:shape style="position:absolute;margin-left:91.960999pt;margin-top:9.221738pt;width:411.5pt;height:49.95pt;mso-position-horizontal-relative:page;mso-position-vertical-relative:paragraph;z-index:4448;mso-wrap-distance-left:0;mso-wrap-distance-right:0" type="#_x0000_t202" filled="false" stroked="true" strokeweight="1.44pt" strokecolor="#000000">
            <v:textbox inset="0,0,0,0">
              <w:txbxContent>
                <w:p>
                  <w:pPr>
                    <w:spacing w:line="229" w:lineRule="exact" w:before="99"/>
                    <w:ind w:left="68" w:right="68" w:firstLine="0"/>
                    <w:jc w:val="center"/>
                    <w:rPr>
                      <w:b/>
                      <w:sz w:val="20"/>
                    </w:rPr>
                  </w:pPr>
                  <w:r>
                    <w:rPr>
                      <w:b/>
                      <w:sz w:val="20"/>
                    </w:rPr>
                    <w:t>E</w:t>
                  </w:r>
                  <w:r>
                    <w:rPr>
                      <w:b/>
                      <w:sz w:val="16"/>
                    </w:rPr>
                    <w:t>QUATION </w:t>
                  </w:r>
                  <w:r>
                    <w:rPr>
                      <w:b/>
                      <w:sz w:val="20"/>
                    </w:rPr>
                    <w:t>3.2.9</w:t>
                  </w:r>
                </w:p>
                <w:p>
                  <w:pPr>
                    <w:spacing w:line="229" w:lineRule="exact" w:before="0"/>
                    <w:ind w:left="66" w:right="68" w:firstLine="0"/>
                    <w:jc w:val="center"/>
                    <w:rPr>
                      <w:b/>
                      <w:sz w:val="16"/>
                    </w:rPr>
                  </w:pPr>
                  <w:r>
                    <w:rPr>
                      <w:b/>
                      <w:sz w:val="20"/>
                    </w:rPr>
                    <w:t>A</w:t>
                  </w:r>
                  <w:r>
                    <w:rPr>
                      <w:b/>
                      <w:sz w:val="16"/>
                    </w:rPr>
                    <w:t>NNUAL OTHER LOSSES OF</w:t>
                  </w:r>
                  <w:r>
                    <w:rPr>
                      <w:b/>
                      <w:spacing w:val="-5"/>
                      <w:sz w:val="16"/>
                    </w:rPr>
                    <w:t> </w:t>
                  </w:r>
                  <w:r>
                    <w:rPr>
                      <w:b/>
                      <w:sz w:val="16"/>
                    </w:rPr>
                    <w:t>CARBON</w:t>
                  </w:r>
                </w:p>
                <w:p>
                  <w:pPr>
                    <w:spacing w:before="80"/>
                    <w:ind w:left="69" w:right="68" w:firstLine="0"/>
                    <w:jc w:val="center"/>
                    <w:rPr>
                      <w:sz w:val="20"/>
                    </w:rPr>
                  </w:pPr>
                  <w:r>
                    <w:rPr>
                      <w:position w:val="3"/>
                      <w:sz w:val="20"/>
                    </w:rPr>
                    <w:t>L</w:t>
                  </w:r>
                  <w:r>
                    <w:rPr>
                      <w:sz w:val="13"/>
                    </w:rPr>
                    <w:t>other losses </w:t>
                  </w:r>
                  <w:r>
                    <w:rPr>
                      <w:position w:val="3"/>
                      <w:sz w:val="20"/>
                    </w:rPr>
                    <w:t>= A</w:t>
                  </w:r>
                  <w:r>
                    <w:rPr>
                      <w:sz w:val="13"/>
                    </w:rPr>
                    <w:t>disturbance </w:t>
                  </w:r>
                  <w:r>
                    <w:rPr>
                      <w:position w:val="3"/>
                      <w:sz w:val="20"/>
                    </w:rPr>
                    <w:t>● B</w:t>
                  </w:r>
                  <w:r>
                    <w:rPr>
                      <w:sz w:val="13"/>
                    </w:rPr>
                    <w:t>W </w:t>
                  </w:r>
                  <w:r>
                    <w:rPr>
                      <w:position w:val="3"/>
                      <w:sz w:val="20"/>
                    </w:rPr>
                    <w:t>● (1 – f</w:t>
                  </w:r>
                  <w:r>
                    <w:rPr>
                      <w:sz w:val="13"/>
                    </w:rPr>
                    <w:t>BL</w:t>
                  </w:r>
                  <w:r>
                    <w:rPr>
                      <w:position w:val="3"/>
                      <w:sz w:val="20"/>
                    </w:rPr>
                    <w:t>) ● CF</w:t>
                  </w:r>
                </w:p>
              </w:txbxContent>
            </v:textbox>
            <v:stroke dashstyle="solid"/>
            <w10:wrap type="topAndBottom"/>
          </v:shape>
        </w:pict>
      </w:r>
    </w:p>
    <w:p>
      <w:pPr>
        <w:pStyle w:val="BodyText"/>
        <w:spacing w:before="4"/>
        <w:ind w:left="219"/>
      </w:pPr>
      <w:r>
        <w:rPr/>
        <w:t>Where:</w:t>
      </w:r>
    </w:p>
    <w:p>
      <w:pPr>
        <w:pStyle w:val="BodyText"/>
        <w:spacing w:line="364" w:lineRule="auto" w:before="121"/>
        <w:ind w:left="785" w:right="4275"/>
      </w:pPr>
      <w:r>
        <w:rPr/>
        <w:t>L</w:t>
      </w:r>
      <w:r>
        <w:rPr>
          <w:vertAlign w:val="subscript"/>
        </w:rPr>
        <w:t>other</w:t>
      </w:r>
      <w:r>
        <w:rPr>
          <w:vertAlign w:val="baseline"/>
        </w:rPr>
        <w:t> </w:t>
      </w:r>
      <w:r>
        <w:rPr>
          <w:vertAlign w:val="subscript"/>
        </w:rPr>
        <w:t>losses</w:t>
      </w:r>
      <w:r>
        <w:rPr>
          <w:vertAlign w:val="baseline"/>
        </w:rPr>
        <w:t> = annual other losses of carbon, tonnes C yr</w:t>
      </w:r>
      <w:r>
        <w:rPr>
          <w:vertAlign w:val="superscript"/>
        </w:rPr>
        <w:t>-1</w:t>
      </w:r>
      <w:r>
        <w:rPr>
          <w:vertAlign w:val="baseline"/>
        </w:rPr>
        <w:t> A</w:t>
      </w:r>
      <w:r>
        <w:rPr>
          <w:vertAlign w:val="subscript"/>
        </w:rPr>
        <w:t>disturbance</w:t>
      </w:r>
      <w:r>
        <w:rPr>
          <w:vertAlign w:val="baseline"/>
        </w:rPr>
        <w:t> = forest areas affected by disturbances, ha yr</w:t>
      </w:r>
      <w:r>
        <w:rPr>
          <w:vertAlign w:val="superscript"/>
        </w:rPr>
        <w:t>-1</w:t>
      </w:r>
    </w:p>
    <w:p>
      <w:pPr>
        <w:pStyle w:val="BodyText"/>
        <w:spacing w:line="364" w:lineRule="auto"/>
        <w:ind w:left="785" w:right="867"/>
      </w:pPr>
      <w:r>
        <w:rPr/>
        <w:t>B</w:t>
      </w:r>
      <w:r>
        <w:rPr>
          <w:vertAlign w:val="subscript"/>
        </w:rPr>
        <w:t>W</w:t>
      </w:r>
      <w:r>
        <w:rPr>
          <w:vertAlign w:val="baseline"/>
        </w:rPr>
        <w:t> = average biomass stock of forest areas, tonnes d.m. ha</w:t>
      </w:r>
      <w:r>
        <w:rPr>
          <w:vertAlign w:val="superscript"/>
        </w:rPr>
        <w:t>-1</w:t>
      </w:r>
      <w:r>
        <w:rPr>
          <w:vertAlign w:val="baseline"/>
        </w:rPr>
        <w:t>; Tables 3A.1.2, 3A.1.3, and 3A.1.4 f</w:t>
      </w:r>
      <w:r>
        <w:rPr>
          <w:vertAlign w:val="subscript"/>
        </w:rPr>
        <w:t>BL</w:t>
      </w:r>
      <w:r>
        <w:rPr>
          <w:vertAlign w:val="baseline"/>
        </w:rPr>
        <w:t> = fraction of biomass left to decay in forest (transferred to dead organic matter); Table 3A.1.11 CF = carbon fraction of dry matter (default = 0.5), tonnes C (tonne d.m.)</w:t>
      </w:r>
      <w:r>
        <w:rPr>
          <w:vertAlign w:val="superscript"/>
        </w:rPr>
        <w:t>-1</w:t>
      </w:r>
    </w:p>
    <w:p>
      <w:pPr>
        <w:pStyle w:val="BodyText"/>
        <w:spacing w:before="1"/>
        <w:ind w:left="219" w:right="267"/>
        <w:jc w:val="both"/>
      </w:pPr>
      <w:r>
        <w:rPr>
          <w:b/>
        </w:rPr>
        <w:t>Tier 1: </w:t>
      </w:r>
      <w:r>
        <w:rPr/>
        <w:t>Under Tier 1, disturbances are assumed to affect the aboveground biomass only; it is also assumed that all aboveground biomass carbon is lost upon disturbance. Hence, f</w:t>
      </w:r>
      <w:r>
        <w:rPr>
          <w:vertAlign w:val="subscript"/>
        </w:rPr>
        <w:t>BL</w:t>
      </w:r>
      <w:r>
        <w:rPr>
          <w:vertAlign w:val="baseline"/>
        </w:rPr>
        <w:t> is equal to</w:t>
      </w:r>
      <w:r>
        <w:rPr>
          <w:spacing w:val="-27"/>
          <w:vertAlign w:val="baseline"/>
        </w:rPr>
        <w:t> </w:t>
      </w:r>
      <w:r>
        <w:rPr>
          <w:vertAlign w:val="baseline"/>
        </w:rPr>
        <w:t>zero.</w:t>
      </w:r>
    </w:p>
    <w:p>
      <w:pPr>
        <w:pStyle w:val="BodyText"/>
        <w:spacing w:before="121"/>
        <w:ind w:left="219" w:right="265"/>
        <w:jc w:val="both"/>
      </w:pPr>
      <w:r>
        <w:rPr>
          <w:b/>
        </w:rPr>
        <w:t>Tier 2: </w:t>
      </w:r>
      <w:r>
        <w:rPr/>
        <w:t>Countries reporting at higher tiers, which account for emissions/removals from all forest pools, have to distinguish between the proportion of the pre-disturbance biomass that is destroyed and causes emissions of greenhouse gas, and that which is transferred into the dead organic matter pools and later decay.</w:t>
      </w:r>
    </w:p>
    <w:p>
      <w:pPr>
        <w:pStyle w:val="BodyText"/>
        <w:spacing w:before="119"/>
        <w:ind w:left="219" w:right="267"/>
        <w:jc w:val="both"/>
      </w:pPr>
      <w:r>
        <w:rPr>
          <w:b/>
        </w:rPr>
        <w:t>Tier 3: </w:t>
      </w:r>
      <w:r>
        <w:rPr/>
        <w:t>Countries reporting under Tier 3 should consider all significant disturbances, both stand-replacing and non-stand replacing. When accounting for the impact of non-stand-replacing disturbances, countries may add a term to Equation 3.2.9 to adjust for the proportion of pre-disturbance biomass which is not affected by the disturbance.</w:t>
      </w:r>
    </w:p>
    <w:p>
      <w:pPr>
        <w:pStyle w:val="BodyText"/>
        <w:spacing w:before="2"/>
        <w:rPr>
          <w:sz w:val="21"/>
        </w:rPr>
      </w:pPr>
    </w:p>
    <w:p>
      <w:pPr>
        <w:spacing w:before="1"/>
        <w:ind w:left="219" w:right="0" w:firstLine="0"/>
        <w:jc w:val="both"/>
        <w:rPr>
          <w:b/>
          <w:sz w:val="20"/>
        </w:rPr>
      </w:pPr>
      <w:r>
        <w:rPr>
          <w:b/>
          <w:spacing w:val="17"/>
          <w:sz w:val="20"/>
        </w:rPr>
        <w:t>SUMMARY </w:t>
      </w:r>
      <w:r>
        <w:rPr>
          <w:b/>
          <w:spacing w:val="9"/>
          <w:sz w:val="20"/>
        </w:rPr>
        <w:t>OF </w:t>
      </w:r>
      <w:r>
        <w:rPr>
          <w:b/>
          <w:spacing w:val="16"/>
          <w:sz w:val="20"/>
        </w:rPr>
        <w:t>STEPS </w:t>
      </w:r>
      <w:r>
        <w:rPr>
          <w:b/>
          <w:spacing w:val="12"/>
          <w:sz w:val="20"/>
        </w:rPr>
        <w:t>FOR </w:t>
      </w:r>
      <w:r>
        <w:rPr>
          <w:b/>
          <w:spacing w:val="18"/>
          <w:sz w:val="20"/>
        </w:rPr>
        <w:t>ESTIMATING </w:t>
      </w:r>
      <w:r>
        <w:rPr>
          <w:b/>
          <w:spacing w:val="16"/>
          <w:sz w:val="20"/>
        </w:rPr>
        <w:t>CHANGE </w:t>
      </w:r>
      <w:r>
        <w:rPr>
          <w:b/>
          <w:spacing w:val="10"/>
          <w:sz w:val="20"/>
        </w:rPr>
        <w:t>IN </w:t>
      </w:r>
      <w:r>
        <w:rPr>
          <w:b/>
          <w:spacing w:val="16"/>
          <w:sz w:val="20"/>
        </w:rPr>
        <w:t>CARBON STOCKS </w:t>
      </w:r>
      <w:r>
        <w:rPr>
          <w:b/>
          <w:spacing w:val="10"/>
          <w:sz w:val="20"/>
        </w:rPr>
        <w:t>IN</w:t>
      </w:r>
    </w:p>
    <w:p>
      <w:pPr>
        <w:tabs>
          <w:tab w:pos="3079" w:val="left" w:leader="none"/>
        </w:tabs>
        <w:spacing w:line="162" w:lineRule="exact" w:before="0"/>
        <w:ind w:left="219" w:right="0" w:firstLine="0"/>
        <w:jc w:val="left"/>
        <w:rPr>
          <w:b/>
          <w:sz w:val="20"/>
        </w:rPr>
      </w:pPr>
      <w:r>
        <w:rPr>
          <w:b/>
          <w:spacing w:val="16"/>
          <w:sz w:val="20"/>
        </w:rPr>
        <w:t>LIVING  </w:t>
      </w:r>
      <w:r>
        <w:rPr>
          <w:b/>
          <w:spacing w:val="17"/>
          <w:sz w:val="20"/>
        </w:rPr>
        <w:t>BIOMASS</w:t>
      </w:r>
      <w:r>
        <w:rPr>
          <w:b/>
          <w:spacing w:val="-6"/>
          <w:sz w:val="20"/>
        </w:rPr>
        <w:t> </w:t>
      </w:r>
      <w:r>
        <w:rPr>
          <w:b/>
          <w:spacing w:val="10"/>
          <w:sz w:val="20"/>
        </w:rPr>
        <w:t>(∆</w:t>
      </w:r>
      <w:r>
        <w:rPr>
          <w:b/>
          <w:spacing w:val="-28"/>
          <w:sz w:val="20"/>
        </w:rPr>
        <w:t> </w:t>
      </w:r>
      <w:r>
        <w:rPr>
          <w:b/>
          <w:spacing w:val="13"/>
          <w:sz w:val="20"/>
        </w:rPr>
        <w:t>C</w:t>
      </w:r>
      <w:r>
        <w:rPr>
          <w:b/>
          <w:spacing w:val="13"/>
          <w:sz w:val="20"/>
          <w:vertAlign w:val="subscript"/>
        </w:rPr>
        <w:t>FF</w:t>
      </w:r>
      <w:r>
        <w:rPr>
          <w:b/>
          <w:spacing w:val="13"/>
          <w:sz w:val="20"/>
          <w:vertAlign w:val="baseline"/>
        </w:rPr>
        <w:tab/>
      </w:r>
      <w:r>
        <w:rPr>
          <w:b/>
          <w:sz w:val="20"/>
          <w:vertAlign w:val="baseline"/>
        </w:rPr>
        <w:t>) </w:t>
      </w:r>
      <w:r>
        <w:rPr>
          <w:b/>
          <w:spacing w:val="16"/>
          <w:sz w:val="20"/>
          <w:vertAlign w:val="baseline"/>
        </w:rPr>
        <w:t>USING </w:t>
      </w:r>
      <w:r>
        <w:rPr>
          <w:b/>
          <w:spacing w:val="13"/>
          <w:sz w:val="20"/>
          <w:vertAlign w:val="baseline"/>
        </w:rPr>
        <w:t>THE </w:t>
      </w:r>
      <w:r>
        <w:rPr>
          <w:b/>
          <w:spacing w:val="17"/>
          <w:sz w:val="20"/>
          <w:vertAlign w:val="baseline"/>
        </w:rPr>
        <w:t>DEFAULT</w:t>
      </w:r>
      <w:r>
        <w:rPr>
          <w:b/>
          <w:spacing w:val="16"/>
          <w:sz w:val="20"/>
          <w:vertAlign w:val="baseline"/>
        </w:rPr>
        <w:t> </w:t>
      </w:r>
      <w:r>
        <w:rPr>
          <w:b/>
          <w:spacing w:val="17"/>
          <w:sz w:val="20"/>
          <w:vertAlign w:val="baseline"/>
        </w:rPr>
        <w:t>METHOD</w:t>
      </w:r>
    </w:p>
    <w:p>
      <w:pPr>
        <w:spacing w:line="134" w:lineRule="exact" w:before="0"/>
        <w:ind w:left="2866" w:right="0" w:firstLine="0"/>
        <w:jc w:val="left"/>
        <w:rPr>
          <w:b/>
          <w:sz w:val="13"/>
        </w:rPr>
      </w:pPr>
      <w:r>
        <w:rPr>
          <w:b/>
          <w:sz w:val="13"/>
        </w:rPr>
        <w:t>LB </w:t>
      </w:r>
    </w:p>
    <w:p>
      <w:pPr>
        <w:pStyle w:val="BodyText"/>
        <w:ind w:left="944" w:right="263" w:hanging="725"/>
        <w:jc w:val="both"/>
      </w:pPr>
      <w:r>
        <w:rPr>
          <w:b/>
        </w:rPr>
        <w:t>Step 1: </w:t>
      </w:r>
      <w:r>
        <w:rPr/>
        <w:t>Using guidance from Chapter 2 (approaches in representing land areas), categorise the area (A) of forest land remaining forest land into forest types of different climatic zones, as adopted by the country. As a point of reference, Table 3A.1.1 provides national level data of forest area and annual change in forest area by region and by country as a means of verification;</w:t>
      </w:r>
    </w:p>
    <w:p>
      <w:pPr>
        <w:pStyle w:val="BodyText"/>
        <w:spacing w:before="109"/>
        <w:ind w:left="944" w:right="263" w:hanging="725"/>
        <w:jc w:val="both"/>
      </w:pPr>
      <w:r>
        <w:rPr>
          <w:b/>
        </w:rPr>
        <w:t>Step 2: </w:t>
      </w:r>
      <w:r>
        <w:rPr/>
        <w:t>Estimate the average annual increment in biomass (G</w:t>
      </w:r>
      <w:r>
        <w:rPr>
          <w:vertAlign w:val="subscript"/>
        </w:rPr>
        <w:t>TOTAL</w:t>
      </w:r>
      <w:r>
        <w:rPr>
          <w:vertAlign w:val="baseline"/>
        </w:rPr>
        <w:t>) using Equation 3.2.5. If data of the average annual aboveground biomass increment (G</w:t>
      </w:r>
      <w:r>
        <w:rPr>
          <w:vertAlign w:val="subscript"/>
        </w:rPr>
        <w:t>W</w:t>
      </w:r>
      <w:r>
        <w:rPr>
          <w:vertAlign w:val="baseline"/>
        </w:rPr>
        <w:t>) are available, use Equation 3.2.5A. If not available, estimate G</w:t>
      </w:r>
      <w:r>
        <w:rPr>
          <w:vertAlign w:val="subscript"/>
        </w:rPr>
        <w:t>W</w:t>
      </w:r>
      <w:r>
        <w:rPr>
          <w:vertAlign w:val="baseline"/>
        </w:rPr>
        <w:t> using Equation 3.2.5B;</w:t>
      </w:r>
    </w:p>
    <w:p>
      <w:pPr>
        <w:pStyle w:val="BodyText"/>
        <w:spacing w:before="121"/>
        <w:ind w:left="219"/>
      </w:pPr>
      <w:r>
        <w:rPr>
          <w:b/>
        </w:rPr>
        <w:t>Step 3: </w:t>
      </w:r>
      <w:r>
        <w:rPr/>
        <w:t>Estimate the annual increase in carbon stocks due to biomass increment (∆C</w:t>
      </w:r>
      <w:r>
        <w:rPr>
          <w:vertAlign w:val="subscript"/>
        </w:rPr>
        <w:t>FF</w:t>
      </w:r>
      <w:r>
        <w:rPr>
          <w:position w:val="-8"/>
          <w:sz w:val="13"/>
          <w:vertAlign w:val="baseline"/>
        </w:rPr>
        <w:t>G</w:t>
      </w:r>
      <w:r>
        <w:rPr>
          <w:vertAlign w:val="baseline"/>
        </w:rPr>
        <w:t>) using Equation 3.2.4;</w:t>
      </w:r>
    </w:p>
    <w:p>
      <w:pPr>
        <w:pStyle w:val="BodyText"/>
        <w:spacing w:line="364" w:lineRule="auto" w:before="106"/>
        <w:ind w:left="219" w:right="1215"/>
      </w:pPr>
      <w:r>
        <w:rPr>
          <w:b/>
        </w:rPr>
        <w:t>Step 4: </w:t>
      </w:r>
      <w:r>
        <w:rPr/>
        <w:t>Estimate the annual carbon loss due to commercial fellings (L</w:t>
      </w:r>
      <w:r>
        <w:rPr>
          <w:vertAlign w:val="subscript"/>
        </w:rPr>
        <w:t>W</w:t>
      </w:r>
      <w:r>
        <w:rPr>
          <w:vertAlign w:val="baseline"/>
        </w:rPr>
        <w:t> </w:t>
      </w:r>
      <w:r>
        <w:rPr>
          <w:vertAlign w:val="subscript"/>
        </w:rPr>
        <w:t>fellings</w:t>
      </w:r>
      <w:r>
        <w:rPr>
          <w:vertAlign w:val="baseline"/>
        </w:rPr>
        <w:t>) using Equation 3.2.7; </w:t>
      </w:r>
      <w:r>
        <w:rPr>
          <w:b/>
          <w:vertAlign w:val="baseline"/>
        </w:rPr>
        <w:t>Step 5: </w:t>
      </w:r>
      <w:r>
        <w:rPr>
          <w:vertAlign w:val="baseline"/>
        </w:rPr>
        <w:t>Estimate annual carbon loss due to fuelwood gathering (L</w:t>
      </w:r>
      <w:r>
        <w:rPr>
          <w:vertAlign w:val="subscript"/>
        </w:rPr>
        <w:t>W</w:t>
      </w:r>
      <w:r>
        <w:rPr>
          <w:vertAlign w:val="baseline"/>
        </w:rPr>
        <w:t> </w:t>
      </w:r>
      <w:r>
        <w:rPr>
          <w:vertAlign w:val="subscript"/>
        </w:rPr>
        <w:t>fuelwood</w:t>
      </w:r>
      <w:r>
        <w:rPr>
          <w:vertAlign w:val="baseline"/>
        </w:rPr>
        <w:t>) using Equation 3.2.8; </w:t>
      </w:r>
      <w:r>
        <w:rPr>
          <w:b/>
          <w:vertAlign w:val="baseline"/>
        </w:rPr>
        <w:t>Step 6: </w:t>
      </w:r>
      <w:r>
        <w:rPr>
          <w:vertAlign w:val="baseline"/>
        </w:rPr>
        <w:t>Estimate annual carbon loss due to other losses (L</w:t>
      </w:r>
      <w:r>
        <w:rPr>
          <w:vertAlign w:val="subscript"/>
        </w:rPr>
        <w:t>other</w:t>
      </w:r>
      <w:r>
        <w:rPr>
          <w:vertAlign w:val="baseline"/>
        </w:rPr>
        <w:t> </w:t>
      </w:r>
      <w:r>
        <w:rPr>
          <w:vertAlign w:val="subscript"/>
        </w:rPr>
        <w:t>losses</w:t>
      </w:r>
      <w:r>
        <w:rPr>
          <w:vertAlign w:val="baseline"/>
        </w:rPr>
        <w:t>) using Equation 3.2.9;</w:t>
      </w:r>
    </w:p>
    <w:p>
      <w:pPr>
        <w:pStyle w:val="BodyText"/>
        <w:ind w:left="944" w:right="354" w:hanging="725"/>
      </w:pPr>
      <w:r>
        <w:rPr/>
        <w:pict>
          <v:shape style="position:absolute;margin-left:148.600403pt;margin-top:19.642120pt;width:4pt;height:7.2pt;mso-position-horizontal-relative:page;mso-position-vertical-relative:paragraph;z-index:-2449648"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b/>
        </w:rPr>
        <w:t>Step 7: </w:t>
      </w:r>
      <w:r>
        <w:rPr/>
        <w:t>From the estimated losses in Steps 4 to 6, estimate the annual decrease in carbon stocks due to biomass loss (∆C</w:t>
      </w:r>
      <w:r>
        <w:rPr>
          <w:vertAlign w:val="subscript"/>
        </w:rPr>
        <w:t>FF</w:t>
      </w:r>
      <w:r>
        <w:rPr>
          <w:vertAlign w:val="baseline"/>
        </w:rPr>
        <w:t> ) using Equation 3.2.6;</w:t>
      </w:r>
    </w:p>
    <w:p>
      <w:pPr>
        <w:pStyle w:val="BodyText"/>
        <w:spacing w:before="180"/>
        <w:ind w:left="219"/>
      </w:pPr>
      <w:r>
        <w:rPr>
          <w:b/>
        </w:rPr>
        <w:t>Step 8: </w:t>
      </w:r>
      <w:r>
        <w:rPr/>
        <w:t>Estimate the annual change in carbon stocks in living biomass (∆C</w:t>
      </w:r>
      <w:r>
        <w:rPr>
          <w:vertAlign w:val="subscript"/>
        </w:rPr>
        <w:t>FF</w:t>
      </w:r>
      <w:r>
        <w:rPr>
          <w:position w:val="-8"/>
          <w:sz w:val="13"/>
          <w:vertAlign w:val="baseline"/>
        </w:rPr>
        <w:t>LB</w:t>
      </w:r>
      <w:r>
        <w:rPr>
          <w:vertAlign w:val="baseline"/>
        </w:rPr>
        <w:t>) using Equation 3.2.2.</w:t>
      </w:r>
    </w:p>
    <w:p>
      <w:pPr>
        <w:pStyle w:val="Heading6"/>
        <w:numPr>
          <w:ilvl w:val="5"/>
          <w:numId w:val="45"/>
        </w:numPr>
        <w:tabs>
          <w:tab w:pos="1661" w:val="left" w:leader="none"/>
          <w:tab w:pos="1662" w:val="left" w:leader="none"/>
        </w:tabs>
        <w:spacing w:line="240" w:lineRule="auto" w:before="231" w:after="0"/>
        <w:ind w:left="1661" w:right="0" w:hanging="1442"/>
        <w:jc w:val="left"/>
      </w:pPr>
      <w:r>
        <w:rPr/>
        <w:t>2</w:t>
        <w:tab/>
      </w:r>
      <w:r>
        <w:rPr>
          <w:spacing w:val="15"/>
        </w:rPr>
        <w:t>Choice </w:t>
      </w:r>
      <w:r>
        <w:rPr>
          <w:spacing w:val="9"/>
        </w:rPr>
        <w:t>of </w:t>
      </w:r>
      <w:r>
        <w:rPr>
          <w:spacing w:val="17"/>
        </w:rPr>
        <w:t>Emission/Removal</w:t>
      </w:r>
      <w:r>
        <w:rPr>
          <w:spacing w:val="31"/>
        </w:rPr>
        <w:t> </w:t>
      </w:r>
      <w:r>
        <w:rPr>
          <w:spacing w:val="19"/>
        </w:rPr>
        <w:t>Factors</w:t>
      </w:r>
    </w:p>
    <w:p>
      <w:pPr>
        <w:pStyle w:val="BodyText"/>
        <w:spacing w:before="54"/>
        <w:ind w:left="219" w:right="266"/>
      </w:pPr>
      <w:r>
        <w:rPr/>
        <w:t>Method 1 requires the annual biomass increment, according to each forest </w:t>
      </w:r>
      <w:r>
        <w:rPr>
          <w:spacing w:val="-3"/>
        </w:rPr>
        <w:t>type </w:t>
      </w:r>
      <w:r>
        <w:rPr/>
        <w:t>and climatic zone in the country, plus</w:t>
      </w:r>
      <w:r>
        <w:rPr>
          <w:spacing w:val="-14"/>
        </w:rPr>
        <w:t> </w:t>
      </w:r>
      <w:r>
        <w:rPr/>
        <w:t>emission</w:t>
      </w:r>
      <w:r>
        <w:rPr>
          <w:spacing w:val="-11"/>
        </w:rPr>
        <w:t> </w:t>
      </w:r>
      <w:r>
        <w:rPr/>
        <w:t>factors</w:t>
      </w:r>
      <w:r>
        <w:rPr>
          <w:spacing w:val="-13"/>
        </w:rPr>
        <w:t> </w:t>
      </w:r>
      <w:r>
        <w:rPr/>
        <w:t>related</w:t>
      </w:r>
      <w:r>
        <w:rPr>
          <w:spacing w:val="-11"/>
        </w:rPr>
        <w:t> </w:t>
      </w:r>
      <w:r>
        <w:rPr/>
        <w:t>to</w:t>
      </w:r>
      <w:r>
        <w:rPr>
          <w:spacing w:val="-9"/>
        </w:rPr>
        <w:t> </w:t>
      </w:r>
      <w:r>
        <w:rPr>
          <w:spacing w:val="-3"/>
        </w:rPr>
        <w:t>biomass</w:t>
      </w:r>
      <w:r>
        <w:rPr>
          <w:spacing w:val="-11"/>
        </w:rPr>
        <w:t> </w:t>
      </w:r>
      <w:r>
        <w:rPr/>
        <w:t>loss</w:t>
      </w:r>
      <w:r>
        <w:rPr>
          <w:spacing w:val="-13"/>
        </w:rPr>
        <w:t> </w:t>
      </w:r>
      <w:r>
        <w:rPr/>
        <w:t>including</w:t>
      </w:r>
      <w:r>
        <w:rPr>
          <w:spacing w:val="-13"/>
        </w:rPr>
        <w:t> </w:t>
      </w:r>
      <w:r>
        <w:rPr/>
        <w:t>losses</w:t>
      </w:r>
      <w:r>
        <w:rPr>
          <w:spacing w:val="-11"/>
        </w:rPr>
        <w:t> </w:t>
      </w:r>
      <w:r>
        <w:rPr>
          <w:spacing w:val="-2"/>
        </w:rPr>
        <w:t>due</w:t>
      </w:r>
      <w:r>
        <w:rPr>
          <w:spacing w:val="-11"/>
        </w:rPr>
        <w:t> </w:t>
      </w:r>
      <w:r>
        <w:rPr/>
        <w:t>to</w:t>
      </w:r>
      <w:r>
        <w:rPr>
          <w:spacing w:val="-9"/>
        </w:rPr>
        <w:t> </w:t>
      </w:r>
      <w:r>
        <w:rPr>
          <w:spacing w:val="-3"/>
        </w:rPr>
        <w:t>fellings,</w:t>
      </w:r>
      <w:r>
        <w:rPr>
          <w:spacing w:val="-9"/>
        </w:rPr>
        <w:t> </w:t>
      </w:r>
      <w:r>
        <w:rPr/>
        <w:t>fuelwood</w:t>
      </w:r>
      <w:r>
        <w:rPr>
          <w:spacing w:val="-11"/>
        </w:rPr>
        <w:t> </w:t>
      </w:r>
      <w:r>
        <w:rPr/>
        <w:t>gathering</w:t>
      </w:r>
      <w:r>
        <w:rPr>
          <w:spacing w:val="-13"/>
        </w:rPr>
        <w:t> </w:t>
      </w:r>
      <w:r>
        <w:rPr/>
        <w:t>and</w:t>
      </w:r>
      <w:r>
        <w:rPr>
          <w:spacing w:val="-9"/>
        </w:rPr>
        <w:t> </w:t>
      </w:r>
      <w:r>
        <w:rPr>
          <w:spacing w:val="-3"/>
        </w:rPr>
        <w:t>natural</w:t>
      </w:r>
      <w:r>
        <w:rPr>
          <w:spacing w:val="-11"/>
        </w:rPr>
        <w:t> </w:t>
      </w:r>
      <w:r>
        <w:rPr>
          <w:spacing w:val="-3"/>
        </w:rPr>
        <w:t>losses.</w:t>
      </w:r>
    </w:p>
    <w:p>
      <w:pPr>
        <w:pStyle w:val="BodyText"/>
        <w:spacing w:before="4"/>
        <w:rPr>
          <w:sz w:val="21"/>
        </w:rPr>
      </w:pPr>
    </w:p>
    <w:p>
      <w:pPr>
        <w:spacing w:before="0"/>
        <w:ind w:left="219" w:right="0" w:firstLine="0"/>
        <w:jc w:val="left"/>
        <w:rPr>
          <w:b/>
          <w:sz w:val="20"/>
        </w:rPr>
      </w:pPr>
      <w:r>
        <w:rPr>
          <w:b/>
          <w:sz w:val="20"/>
        </w:rPr>
        <w:t>ANNUAL INCREASE IN BIOMASS</w:t>
      </w:r>
    </w:p>
    <w:p>
      <w:pPr>
        <w:spacing w:line="228" w:lineRule="exact" w:before="118"/>
        <w:ind w:left="219" w:right="0" w:firstLine="0"/>
        <w:jc w:val="left"/>
        <w:rPr>
          <w:b/>
          <w:sz w:val="20"/>
        </w:rPr>
      </w:pPr>
      <w:r>
        <w:rPr>
          <w:b/>
          <w:sz w:val="20"/>
        </w:rPr>
        <w:t>Annual Aboveground Biomass Increment, G</w:t>
      </w:r>
      <w:r>
        <w:rPr>
          <w:b/>
          <w:sz w:val="20"/>
          <w:vertAlign w:val="subscript"/>
        </w:rPr>
        <w:t>W</w:t>
      </w:r>
    </w:p>
    <w:p>
      <w:pPr>
        <w:pStyle w:val="BodyText"/>
        <w:ind w:left="219" w:right="354"/>
      </w:pPr>
      <w:r>
        <w:rPr>
          <w:b/>
        </w:rPr>
        <w:t>Tier 1: </w:t>
      </w:r>
      <w:r>
        <w:rPr/>
        <w:t>Tier 1 uses default values of the average annual increment in aboveground biomass (G</w:t>
      </w:r>
      <w:r>
        <w:rPr>
          <w:vertAlign w:val="subscript"/>
        </w:rPr>
        <w:t>W</w:t>
      </w:r>
      <w:r>
        <w:rPr>
          <w:vertAlign w:val="baseline"/>
        </w:rPr>
        <w:t>) which are provided in Tables 3A.1.5 and 3A.1.6.</w:t>
      </w:r>
    </w:p>
    <w:p>
      <w:pPr>
        <w:spacing w:after="0"/>
        <w:sectPr>
          <w:pgSz w:w="11900" w:h="16840"/>
          <w:pgMar w:header="230" w:footer="408" w:top="560" w:bottom="600" w:left="1200" w:right="1140"/>
        </w:sectPr>
      </w:pPr>
    </w:p>
    <w:p>
      <w:pPr>
        <w:pStyle w:val="BodyText"/>
      </w:pPr>
    </w:p>
    <w:p>
      <w:pPr>
        <w:pStyle w:val="BodyText"/>
        <w:spacing w:before="209"/>
        <w:ind w:left="219" w:right="268"/>
        <w:jc w:val="both"/>
      </w:pPr>
      <w:r>
        <w:rPr>
          <w:b/>
        </w:rPr>
        <w:t>Tier 2: </w:t>
      </w:r>
      <w:r>
        <w:rPr/>
        <w:t>Tier 2 method uses country-specific data to calculate the gross mean annual biomass increment G</w:t>
      </w:r>
      <w:r>
        <w:rPr>
          <w:vertAlign w:val="subscript"/>
        </w:rPr>
        <w:t>W</w:t>
      </w:r>
      <w:r>
        <w:rPr>
          <w:vertAlign w:val="baseline"/>
        </w:rPr>
        <w:t>. The country-specific data is often linked to merchantable volumes (I</w:t>
      </w:r>
      <w:r>
        <w:rPr>
          <w:vertAlign w:val="subscript"/>
        </w:rPr>
        <w:t>V</w:t>
      </w:r>
      <w:r>
        <w:rPr>
          <w:vertAlign w:val="baseline"/>
        </w:rPr>
        <w:t>). Data on biomass expansion factor (BEF</w:t>
      </w:r>
      <w:r>
        <w:rPr>
          <w:vertAlign w:val="subscript"/>
        </w:rPr>
        <w:t>1</w:t>
      </w:r>
      <w:r>
        <w:rPr>
          <w:vertAlign w:val="baseline"/>
        </w:rPr>
        <w:t>) and basic wood density (D) are needed to convert the available data to G</w:t>
      </w:r>
      <w:r>
        <w:rPr>
          <w:vertAlign w:val="subscript"/>
        </w:rPr>
        <w:t>W</w:t>
      </w:r>
      <w:r>
        <w:rPr>
          <w:vertAlign w:val="baseline"/>
        </w:rPr>
        <w:t>. Table 3A.1.7 provides the default values for I</w:t>
      </w:r>
      <w:r>
        <w:rPr>
          <w:vertAlign w:val="subscript"/>
        </w:rPr>
        <w:t>V</w:t>
      </w:r>
      <w:r>
        <w:rPr>
          <w:vertAlign w:val="baseline"/>
        </w:rPr>
        <w:t> and Tables 3A.1.10 and 3A.1.9 provide default values for BEF</w:t>
      </w:r>
      <w:r>
        <w:rPr>
          <w:vertAlign w:val="subscript"/>
        </w:rPr>
        <w:t>1</w:t>
      </w:r>
      <w:r>
        <w:rPr>
          <w:vertAlign w:val="baseline"/>
        </w:rPr>
        <w:t> and D, respectively.</w:t>
      </w:r>
    </w:p>
    <w:p>
      <w:pPr>
        <w:pStyle w:val="BodyText"/>
        <w:spacing w:before="122"/>
        <w:ind w:left="219" w:right="263"/>
        <w:jc w:val="both"/>
      </w:pPr>
      <w:r>
        <w:rPr>
          <w:b/>
        </w:rPr>
        <w:t>Tier 3: </w:t>
      </w:r>
      <w:r>
        <w:rPr/>
        <w:t>Under Tier 3, a detailed forest inventory or monitoring system will be available which contains at least data on growing stock, and, ideally, also on annual increment. If appropriate allometric biomass functions are available it is </w:t>
      </w:r>
      <w:r>
        <w:rPr>
          <w:i/>
        </w:rPr>
        <w:t>good practice </w:t>
      </w:r>
      <w:r>
        <w:rPr/>
        <w:t>to use those equations directly. Carbon fraction and basic wood density could also be incorporated in such</w:t>
      </w:r>
      <w:r>
        <w:rPr>
          <w:spacing w:val="-3"/>
        </w:rPr>
        <w:t> </w:t>
      </w:r>
      <w:r>
        <w:rPr/>
        <w:t>functions.</w:t>
      </w:r>
    </w:p>
    <w:p>
      <w:pPr>
        <w:pStyle w:val="BodyText"/>
        <w:spacing w:before="119"/>
        <w:ind w:left="219" w:right="264"/>
        <w:jc w:val="both"/>
      </w:pPr>
      <w:r>
        <w:rPr/>
        <w:t>The detailed forest inventory should be used to provide initial conditions of forest carbon stocks in the forest inventory year. When the year of inventory does not correspond with the commitment period, mean annual increment or increment estimated by models (i.e. model capable of simulating forest dynamics), should be used.</w:t>
      </w:r>
    </w:p>
    <w:p>
      <w:pPr>
        <w:pStyle w:val="BodyText"/>
        <w:spacing w:before="119"/>
        <w:ind w:left="219" w:right="269"/>
        <w:jc w:val="both"/>
      </w:pPr>
      <w:r>
        <w:rPr/>
        <w:t>Periodic forest inventories may be combined with annual planting and felling data to provide non-linear interpolations of increment between inventory years.</w:t>
      </w:r>
    </w:p>
    <w:p>
      <w:pPr>
        <w:pStyle w:val="BodyText"/>
        <w:spacing w:before="4"/>
        <w:rPr>
          <w:sz w:val="21"/>
        </w:rPr>
      </w:pPr>
    </w:p>
    <w:p>
      <w:pPr>
        <w:spacing w:line="228" w:lineRule="exact" w:before="0"/>
        <w:ind w:left="219" w:right="0" w:firstLine="0"/>
        <w:jc w:val="both"/>
        <w:rPr>
          <w:b/>
          <w:sz w:val="20"/>
        </w:rPr>
      </w:pPr>
      <w:r>
        <w:rPr>
          <w:b/>
          <w:sz w:val="20"/>
        </w:rPr>
        <w:t>Belowground Bio mass Increment </w:t>
      </w:r>
    </w:p>
    <w:p>
      <w:pPr>
        <w:pStyle w:val="BodyText"/>
        <w:ind w:left="219" w:right="266"/>
        <w:jc w:val="both"/>
      </w:pPr>
      <w:r>
        <w:rPr>
          <w:b/>
        </w:rPr>
        <w:t>Tier 1: </w:t>
      </w:r>
      <w:r>
        <w:rPr/>
        <w:t>Belowground biomass increment, as a default assumption consistent with the </w:t>
      </w:r>
      <w:r>
        <w:rPr>
          <w:i/>
        </w:rPr>
        <w:t>IPCC Guidelines </w:t>
      </w:r>
      <w:r>
        <w:rPr/>
        <w:t>can be zero. Alternatively, default values for root-to-shoot ratios (R), which could be used to estimate belowground biomass, are provided Table 3A.1.8.</w:t>
      </w:r>
    </w:p>
    <w:p>
      <w:pPr>
        <w:pStyle w:val="BodyText"/>
        <w:spacing w:before="117"/>
        <w:ind w:left="219"/>
        <w:jc w:val="both"/>
      </w:pPr>
      <w:r>
        <w:rPr>
          <w:b/>
        </w:rPr>
        <w:t>Tier 2: </w:t>
      </w:r>
      <w:r>
        <w:rPr/>
        <w:t>Country-specific root-to-shoot ratios should be used to estimate belowground biomass.</w:t>
      </w:r>
    </w:p>
    <w:p>
      <w:pPr>
        <w:pStyle w:val="BodyText"/>
        <w:spacing w:before="120"/>
        <w:ind w:left="219" w:right="267"/>
        <w:jc w:val="both"/>
      </w:pPr>
      <w:r>
        <w:rPr>
          <w:b/>
        </w:rPr>
        <w:t>Tier 3: </w:t>
      </w:r>
      <w:r>
        <w:rPr/>
        <w:t>Nationally or regionally determined root-to-shoot ratios or increment models should be used. Preferably, belowground biomass should be incorporated in models for calculating total biomass increment.</w:t>
      </w:r>
    </w:p>
    <w:p>
      <w:pPr>
        <w:pStyle w:val="BodyText"/>
        <w:spacing w:before="4"/>
        <w:rPr>
          <w:sz w:val="21"/>
        </w:rPr>
      </w:pPr>
    </w:p>
    <w:p>
      <w:pPr>
        <w:spacing w:line="228" w:lineRule="exact" w:before="0"/>
        <w:ind w:left="219" w:right="0" w:firstLine="0"/>
        <w:jc w:val="both"/>
        <w:rPr>
          <w:b/>
          <w:sz w:val="20"/>
        </w:rPr>
      </w:pPr>
      <w:r>
        <w:rPr>
          <w:b/>
          <w:sz w:val="20"/>
        </w:rPr>
        <w:t>ANNUAL BIOMASS LOSS</w:t>
      </w:r>
    </w:p>
    <w:p>
      <w:pPr>
        <w:pStyle w:val="BodyText"/>
        <w:ind w:left="219" w:right="265"/>
        <w:jc w:val="both"/>
      </w:pPr>
      <w:r>
        <w:rPr/>
        <w:t>The </w:t>
      </w:r>
      <w:r>
        <w:rPr>
          <w:i/>
        </w:rPr>
        <w:t>IPCC Guidelines </w:t>
      </w:r>
      <w:r>
        <w:rPr/>
        <w:t>refer to biomass extraction (i.e. commercial fellings, removals for fuelwood and other wood use, and natural losses) as total biomass consumption from stocks leading to carbon release. Equation 3.2.6 sets out the three components more precisely.</w:t>
      </w:r>
    </w:p>
    <w:p>
      <w:pPr>
        <w:pStyle w:val="BodyText"/>
        <w:spacing w:before="117"/>
        <w:ind w:left="219" w:right="263"/>
        <w:jc w:val="both"/>
      </w:pPr>
      <w:r>
        <w:rPr/>
        <w:t>In addition to commercial fellings of industrial wood and saw logs, fuelwood are mentioned more specifically, there may also be other types of non-commercial fellings, as wood cut for own consumption. This quantity may not be included in official statistics and may need to be estimated by survey.</w:t>
      </w:r>
    </w:p>
    <w:p>
      <w:pPr>
        <w:pStyle w:val="BodyText"/>
        <w:spacing w:before="4"/>
        <w:rPr>
          <w:sz w:val="21"/>
        </w:rPr>
      </w:pPr>
    </w:p>
    <w:p>
      <w:pPr>
        <w:spacing w:line="228" w:lineRule="exact" w:before="0"/>
        <w:ind w:left="219" w:right="0" w:firstLine="0"/>
        <w:jc w:val="both"/>
        <w:rPr>
          <w:b/>
          <w:sz w:val="20"/>
        </w:rPr>
      </w:pPr>
      <w:r>
        <w:rPr>
          <w:b/>
          <w:sz w:val="20"/>
        </w:rPr>
        <w:t>Fellings</w:t>
      </w:r>
    </w:p>
    <w:p>
      <w:pPr>
        <w:pStyle w:val="BodyText"/>
        <w:spacing w:line="237" w:lineRule="auto"/>
        <w:ind w:left="219" w:right="271"/>
        <w:jc w:val="both"/>
      </w:pPr>
      <w:r>
        <w:rPr>
          <w:spacing w:val="-3"/>
        </w:rPr>
        <w:t>When </w:t>
      </w:r>
      <w:r>
        <w:rPr>
          <w:spacing w:val="-4"/>
        </w:rPr>
        <w:t>computing carbon </w:t>
      </w:r>
      <w:r>
        <w:rPr>
          <w:spacing w:val="-3"/>
        </w:rPr>
        <w:t>loss </w:t>
      </w:r>
      <w:r>
        <w:rPr>
          <w:spacing w:val="-4"/>
        </w:rPr>
        <w:t>due </w:t>
      </w:r>
      <w:r>
        <w:rPr/>
        <w:t>to </w:t>
      </w:r>
      <w:r>
        <w:rPr>
          <w:spacing w:val="-4"/>
        </w:rPr>
        <w:t>commercial </w:t>
      </w:r>
      <w:r>
        <w:rPr>
          <w:spacing w:val="-5"/>
        </w:rPr>
        <w:t>fellings, </w:t>
      </w:r>
      <w:r>
        <w:rPr>
          <w:spacing w:val="-3"/>
        </w:rPr>
        <w:t>the </w:t>
      </w:r>
      <w:r>
        <w:rPr>
          <w:spacing w:val="-4"/>
        </w:rPr>
        <w:t>following emission/removal factors are needed: </w:t>
      </w:r>
      <w:r>
        <w:rPr>
          <w:spacing w:val="-5"/>
        </w:rPr>
        <w:t>extracted </w:t>
      </w:r>
      <w:r>
        <w:rPr>
          <w:spacing w:val="-4"/>
        </w:rPr>
        <w:t>volume </w:t>
      </w:r>
      <w:r>
        <w:rPr/>
        <w:t>of </w:t>
      </w:r>
      <w:r>
        <w:rPr>
          <w:spacing w:val="-4"/>
        </w:rPr>
        <w:t>roundwood </w:t>
      </w:r>
      <w:r>
        <w:rPr>
          <w:spacing w:val="-3"/>
        </w:rPr>
        <w:t>(H), basic </w:t>
      </w:r>
      <w:r>
        <w:rPr>
          <w:spacing w:val="-4"/>
        </w:rPr>
        <w:t>wood density (D), </w:t>
      </w:r>
      <w:r>
        <w:rPr>
          <w:spacing w:val="-3"/>
        </w:rPr>
        <w:t>and the </w:t>
      </w:r>
      <w:r>
        <w:rPr>
          <w:spacing w:val="-4"/>
        </w:rPr>
        <w:t>fraction </w:t>
      </w:r>
      <w:r>
        <w:rPr/>
        <w:t>of </w:t>
      </w:r>
      <w:r>
        <w:rPr>
          <w:spacing w:val="-4"/>
        </w:rPr>
        <w:t>biomass left </w:t>
      </w:r>
      <w:r>
        <w:rPr>
          <w:spacing w:val="-3"/>
        </w:rPr>
        <w:t>to decay </w:t>
      </w:r>
      <w:r>
        <w:rPr/>
        <w:t>in </w:t>
      </w:r>
      <w:r>
        <w:rPr>
          <w:spacing w:val="-4"/>
        </w:rPr>
        <w:t>forest </w:t>
      </w:r>
      <w:r>
        <w:rPr>
          <w:spacing w:val="-5"/>
        </w:rPr>
        <w:t>(f</w:t>
      </w:r>
      <w:r>
        <w:rPr>
          <w:spacing w:val="-5"/>
          <w:vertAlign w:val="subscript"/>
        </w:rPr>
        <w:t>BL</w:t>
      </w:r>
      <w:r>
        <w:rPr>
          <w:spacing w:val="-5"/>
          <w:vertAlign w:val="baseline"/>
        </w:rPr>
        <w:t>).</w:t>
      </w:r>
    </w:p>
    <w:p>
      <w:pPr>
        <w:pStyle w:val="BodyText"/>
        <w:spacing w:before="121"/>
        <w:ind w:left="219" w:right="265"/>
        <w:jc w:val="both"/>
      </w:pPr>
      <w:r>
        <w:rPr/>
        <w:t>Where it is separable, fellings data should not be counted from forest land being converted to another land use since this would lead to double counting. The statistics on fellings are not likely to provide such separation on what lands the fellings are coming from, hence an amount of biomass similar to the biomass loss from lands converted from forest should be subtracted from the total fellings.</w:t>
      </w:r>
    </w:p>
    <w:p>
      <w:pPr>
        <w:pStyle w:val="BodyText"/>
        <w:spacing w:before="120"/>
        <w:ind w:left="219" w:right="264"/>
        <w:jc w:val="both"/>
      </w:pPr>
      <w:r>
        <w:rPr>
          <w:spacing w:val="-4"/>
        </w:rPr>
        <w:t>Extraction</w:t>
      </w:r>
      <w:r>
        <w:rPr>
          <w:spacing w:val="-7"/>
        </w:rPr>
        <w:t> </w:t>
      </w:r>
      <w:r>
        <w:rPr/>
        <w:t>of</w:t>
      </w:r>
      <w:r>
        <w:rPr>
          <w:spacing w:val="-10"/>
        </w:rPr>
        <w:t> </w:t>
      </w:r>
      <w:r>
        <w:rPr>
          <w:spacing w:val="-4"/>
        </w:rPr>
        <w:t>roundwood </w:t>
      </w:r>
      <w:r>
        <w:rPr/>
        <w:t>is</w:t>
      </w:r>
      <w:r>
        <w:rPr>
          <w:spacing w:val="-9"/>
        </w:rPr>
        <w:t> </w:t>
      </w:r>
      <w:r>
        <w:rPr>
          <w:spacing w:val="-4"/>
        </w:rPr>
        <w:t>published</w:t>
      </w:r>
      <w:r>
        <w:rPr>
          <w:spacing w:val="-5"/>
        </w:rPr>
        <w:t> </w:t>
      </w:r>
      <w:r>
        <w:rPr/>
        <w:t>in</w:t>
      </w:r>
      <w:r>
        <w:rPr>
          <w:spacing w:val="-8"/>
        </w:rPr>
        <w:t> </w:t>
      </w:r>
      <w:r>
        <w:rPr>
          <w:spacing w:val="-3"/>
        </w:rPr>
        <w:t>the</w:t>
      </w:r>
      <w:r>
        <w:rPr>
          <w:spacing w:val="-7"/>
        </w:rPr>
        <w:t> </w:t>
      </w:r>
      <w:r>
        <w:rPr>
          <w:spacing w:val="-4"/>
        </w:rPr>
        <w:t>UNECE/FAO</w:t>
      </w:r>
      <w:r>
        <w:rPr>
          <w:spacing w:val="-8"/>
        </w:rPr>
        <w:t> </w:t>
      </w:r>
      <w:r>
        <w:rPr>
          <w:spacing w:val="-3"/>
        </w:rPr>
        <w:t>Timber</w:t>
      </w:r>
      <w:r>
        <w:rPr>
          <w:spacing w:val="-6"/>
        </w:rPr>
        <w:t> </w:t>
      </w:r>
      <w:r>
        <w:rPr>
          <w:spacing w:val="-4"/>
        </w:rPr>
        <w:t>Bulletin</w:t>
      </w:r>
      <w:r>
        <w:rPr>
          <w:spacing w:val="-9"/>
        </w:rPr>
        <w:t> </w:t>
      </w:r>
      <w:r>
        <w:rPr>
          <w:spacing w:val="-3"/>
        </w:rPr>
        <w:t>and</w:t>
      </w:r>
      <w:r>
        <w:rPr>
          <w:spacing w:val="-6"/>
        </w:rPr>
        <w:t> </w:t>
      </w:r>
      <w:r>
        <w:rPr/>
        <w:t>by</w:t>
      </w:r>
      <w:r>
        <w:rPr>
          <w:spacing w:val="-7"/>
        </w:rPr>
        <w:t> </w:t>
      </w:r>
      <w:r>
        <w:rPr>
          <w:spacing w:val="-3"/>
        </w:rPr>
        <w:t>FAO</w:t>
      </w:r>
      <w:r>
        <w:rPr>
          <w:spacing w:val="-6"/>
        </w:rPr>
        <w:t> </w:t>
      </w:r>
      <w:r>
        <w:rPr>
          <w:spacing w:val="-4"/>
        </w:rPr>
        <w:t>Yearbook</w:t>
      </w:r>
      <w:r>
        <w:rPr>
          <w:spacing w:val="-8"/>
        </w:rPr>
        <w:t> </w:t>
      </w:r>
      <w:r>
        <w:rPr/>
        <w:t>of</w:t>
      </w:r>
      <w:r>
        <w:rPr>
          <w:spacing w:val="-7"/>
        </w:rPr>
        <w:t> </w:t>
      </w:r>
      <w:r>
        <w:rPr>
          <w:spacing w:val="-4"/>
        </w:rPr>
        <w:t>Forest</w:t>
      </w:r>
      <w:r>
        <w:rPr>
          <w:spacing w:val="-8"/>
        </w:rPr>
        <w:t> </w:t>
      </w:r>
      <w:r>
        <w:rPr>
          <w:spacing w:val="-4"/>
        </w:rPr>
        <w:t>Products. </w:t>
      </w:r>
      <w:r>
        <w:rPr>
          <w:spacing w:val="-3"/>
        </w:rPr>
        <w:t>The </w:t>
      </w:r>
      <w:r>
        <w:rPr>
          <w:spacing w:val="-4"/>
        </w:rPr>
        <w:t>latter </w:t>
      </w:r>
      <w:r>
        <w:rPr/>
        <w:t>is </w:t>
      </w:r>
      <w:r>
        <w:rPr>
          <w:spacing w:val="-4"/>
        </w:rPr>
        <w:t>based primarily </w:t>
      </w:r>
      <w:r>
        <w:rPr/>
        <w:t>on </w:t>
      </w:r>
      <w:r>
        <w:rPr>
          <w:spacing w:val="-3"/>
        </w:rPr>
        <w:t>data </w:t>
      </w:r>
      <w:r>
        <w:rPr>
          <w:spacing w:val="-4"/>
        </w:rPr>
        <w:t>provided </w:t>
      </w:r>
      <w:r>
        <w:rPr/>
        <w:t>by </w:t>
      </w:r>
      <w:r>
        <w:rPr>
          <w:spacing w:val="-3"/>
        </w:rPr>
        <w:t>the </w:t>
      </w:r>
      <w:r>
        <w:rPr>
          <w:spacing w:val="-4"/>
        </w:rPr>
        <w:t>countries. </w:t>
      </w:r>
      <w:r>
        <w:rPr/>
        <w:t>In </w:t>
      </w:r>
      <w:r>
        <w:rPr>
          <w:spacing w:val="-3"/>
        </w:rPr>
        <w:t>the </w:t>
      </w:r>
      <w:r>
        <w:rPr>
          <w:spacing w:val="-4"/>
        </w:rPr>
        <w:t>absence </w:t>
      </w:r>
      <w:r>
        <w:rPr/>
        <w:t>of </w:t>
      </w:r>
      <w:r>
        <w:rPr>
          <w:spacing w:val="-4"/>
        </w:rPr>
        <w:t>official data, </w:t>
      </w:r>
      <w:r>
        <w:rPr>
          <w:spacing w:val="-3"/>
        </w:rPr>
        <w:t>FAO </w:t>
      </w:r>
      <w:r>
        <w:rPr>
          <w:spacing w:val="-4"/>
        </w:rPr>
        <w:t>provides </w:t>
      </w:r>
      <w:r>
        <w:rPr/>
        <w:t>an </w:t>
      </w:r>
      <w:r>
        <w:rPr>
          <w:spacing w:val="-4"/>
        </w:rPr>
        <w:t>estimate</w:t>
      </w:r>
      <w:r>
        <w:rPr>
          <w:spacing w:val="-8"/>
        </w:rPr>
        <w:t> </w:t>
      </w:r>
      <w:r>
        <w:rPr>
          <w:spacing w:val="-4"/>
        </w:rPr>
        <w:t>based</w:t>
      </w:r>
      <w:r>
        <w:rPr>
          <w:spacing w:val="-8"/>
        </w:rPr>
        <w:t> </w:t>
      </w:r>
      <w:r>
        <w:rPr/>
        <w:t>on</w:t>
      </w:r>
      <w:r>
        <w:rPr>
          <w:spacing w:val="-8"/>
        </w:rPr>
        <w:t> </w:t>
      </w:r>
      <w:r>
        <w:rPr>
          <w:spacing w:val="-3"/>
        </w:rPr>
        <w:t>the</w:t>
      </w:r>
      <w:r>
        <w:rPr>
          <w:spacing w:val="-9"/>
        </w:rPr>
        <w:t> </w:t>
      </w:r>
      <w:r>
        <w:rPr>
          <w:spacing w:val="-3"/>
        </w:rPr>
        <w:t>best</w:t>
      </w:r>
      <w:r>
        <w:rPr>
          <w:spacing w:val="-7"/>
        </w:rPr>
        <w:t> </w:t>
      </w:r>
      <w:r>
        <w:rPr>
          <w:spacing w:val="-4"/>
        </w:rPr>
        <w:t>information</w:t>
      </w:r>
      <w:r>
        <w:rPr>
          <w:spacing w:val="-8"/>
        </w:rPr>
        <w:t> </w:t>
      </w:r>
      <w:r>
        <w:rPr>
          <w:spacing w:val="-4"/>
        </w:rPr>
        <w:t>available.</w:t>
      </w:r>
      <w:r>
        <w:rPr>
          <w:spacing w:val="-9"/>
        </w:rPr>
        <w:t> </w:t>
      </w:r>
      <w:r>
        <w:rPr>
          <w:spacing w:val="-4"/>
        </w:rPr>
        <w:t>Usually,</w:t>
      </w:r>
      <w:r>
        <w:rPr>
          <w:spacing w:val="-7"/>
        </w:rPr>
        <w:t> </w:t>
      </w:r>
      <w:r>
        <w:rPr>
          <w:spacing w:val="-3"/>
        </w:rPr>
        <w:t>the</w:t>
      </w:r>
      <w:r>
        <w:rPr>
          <w:spacing w:val="-5"/>
        </w:rPr>
        <w:t> </w:t>
      </w:r>
      <w:r>
        <w:rPr>
          <w:spacing w:val="-4"/>
        </w:rPr>
        <w:t>yearbook</w:t>
      </w:r>
      <w:r>
        <w:rPr>
          <w:spacing w:val="-11"/>
        </w:rPr>
        <w:t> </w:t>
      </w:r>
      <w:r>
        <w:rPr>
          <w:spacing w:val="-4"/>
        </w:rPr>
        <w:t>appears</w:t>
      </w:r>
      <w:r>
        <w:rPr>
          <w:spacing w:val="-8"/>
        </w:rPr>
        <w:t> </w:t>
      </w:r>
      <w:r>
        <w:rPr>
          <w:spacing w:val="-4"/>
        </w:rPr>
        <w:t>with</w:t>
      </w:r>
      <w:r>
        <w:rPr>
          <w:spacing w:val="-9"/>
        </w:rPr>
        <w:t> </w:t>
      </w:r>
      <w:r>
        <w:rPr/>
        <w:t>a</w:t>
      </w:r>
      <w:r>
        <w:rPr>
          <w:spacing w:val="-7"/>
        </w:rPr>
        <w:t> </w:t>
      </w:r>
      <w:r>
        <w:rPr>
          <w:spacing w:val="-4"/>
        </w:rPr>
        <w:t>two-year</w:t>
      </w:r>
      <w:r>
        <w:rPr>
          <w:spacing w:val="-9"/>
        </w:rPr>
        <w:t> </w:t>
      </w:r>
      <w:r>
        <w:rPr>
          <w:spacing w:val="-4"/>
        </w:rPr>
        <w:t>time</w:t>
      </w:r>
      <w:r>
        <w:rPr>
          <w:spacing w:val="-7"/>
        </w:rPr>
        <w:t> </w:t>
      </w:r>
      <w:r>
        <w:rPr>
          <w:spacing w:val="-3"/>
        </w:rPr>
        <w:t>lag.</w:t>
      </w:r>
    </w:p>
    <w:p>
      <w:pPr>
        <w:pStyle w:val="BodyText"/>
        <w:spacing w:before="121"/>
        <w:ind w:left="219" w:right="263"/>
        <w:jc w:val="both"/>
      </w:pPr>
      <w:r>
        <w:rPr>
          <w:b/>
        </w:rPr>
        <w:t>Tier 1: </w:t>
      </w:r>
      <w:r>
        <w:rPr/>
        <w:t>FAO data can be used as a Tier 1 default for H in Equation 3.2.7. The roundwood data includes all wood removed from forests which are reported in cubic meters underbark. The underbark data needs converting to overbark for use with BEF</w:t>
      </w:r>
      <w:r>
        <w:rPr>
          <w:vertAlign w:val="subscript"/>
        </w:rPr>
        <w:t>2</w:t>
      </w:r>
      <w:r>
        <w:rPr>
          <w:vertAlign w:val="baseline"/>
        </w:rPr>
        <w:t>. For most tree species bark makes up about 10% to 20% of the overbark stem volume. Unless country-specific data are available, 15% should be used as a default value and the FAO overbark volume can be estimated by dividing the underbark estimate by 0.85 before using the values in Equation 3.2.7</w:t>
      </w:r>
      <w:r>
        <w:rPr>
          <w:i/>
          <w:vertAlign w:val="baseline"/>
        </w:rPr>
        <w:t>. </w:t>
      </w:r>
      <w:r>
        <w:rPr>
          <w:vertAlign w:val="baseline"/>
        </w:rPr>
        <w:t>It is </w:t>
      </w:r>
      <w:r>
        <w:rPr>
          <w:i/>
          <w:vertAlign w:val="baseline"/>
        </w:rPr>
        <w:t>good practice </w:t>
      </w:r>
      <w:r>
        <w:rPr>
          <w:vertAlign w:val="baseline"/>
        </w:rPr>
        <w:t>to verify, supplement, update and check the quality of data based on any additional data from national or regional surveys.</w:t>
      </w:r>
    </w:p>
    <w:p>
      <w:pPr>
        <w:pStyle w:val="BodyText"/>
        <w:spacing w:before="120"/>
        <w:ind w:left="219"/>
        <w:jc w:val="both"/>
      </w:pPr>
      <w:r>
        <w:rPr>
          <w:b/>
        </w:rPr>
        <w:t>Tier 2: </w:t>
      </w:r>
      <w:r>
        <w:rPr/>
        <w:t>Country-specific data should be used.</w:t>
      </w:r>
    </w:p>
    <w:p>
      <w:pPr>
        <w:pStyle w:val="BodyText"/>
        <w:spacing w:before="121"/>
        <w:ind w:left="219" w:right="265"/>
        <w:jc w:val="both"/>
      </w:pPr>
      <w:r>
        <w:rPr>
          <w:b/>
        </w:rPr>
        <w:t>Tier 3: </w:t>
      </w:r>
      <w:r>
        <w:rPr/>
        <w:t>Country-specific removals data from different forest categories should be used at the resolution corresponding to the Tier 3 forest model. If known, country-specific information on the dynamics of dead wood decay should be used to describe the time evolution of non-harvested biomass.</w:t>
      </w:r>
    </w:p>
    <w:p>
      <w:pPr>
        <w:pStyle w:val="BodyText"/>
        <w:spacing w:before="2"/>
        <w:rPr>
          <w:sz w:val="21"/>
        </w:rPr>
      </w:pPr>
    </w:p>
    <w:p>
      <w:pPr>
        <w:spacing w:line="228" w:lineRule="exact" w:before="0"/>
        <w:ind w:left="219" w:right="0" w:firstLine="0"/>
        <w:jc w:val="both"/>
        <w:rPr>
          <w:b/>
          <w:sz w:val="20"/>
        </w:rPr>
      </w:pPr>
      <w:r>
        <w:rPr>
          <w:b/>
          <w:sz w:val="20"/>
        </w:rPr>
        <w:t>Fuelwood gathering</w:t>
      </w:r>
    </w:p>
    <w:p>
      <w:pPr>
        <w:pStyle w:val="BodyText"/>
        <w:ind w:left="219" w:right="265"/>
        <w:jc w:val="both"/>
      </w:pPr>
      <w:r>
        <w:rPr/>
        <w:t>Estimation of carbon losses due to fuelwood gathering requires data on annual volume of fuelwood gathered (FG), basic wood density (D), and biomass expansion (BEF</w:t>
      </w:r>
      <w:r>
        <w:rPr>
          <w:vertAlign w:val="subscript"/>
        </w:rPr>
        <w:t>2</w:t>
      </w:r>
      <w:r>
        <w:rPr>
          <w:vertAlign w:val="baseline"/>
        </w:rPr>
        <w:t>) for converting volumes of collected roundwood to total aboveground biomass.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3"/>
        <w:jc w:val="both"/>
      </w:pPr>
      <w:r>
        <w:rPr/>
        <w:t>The way fuelwood extraction takes place in different countries varies from ordinary fellings to the gathering of dead wood (the latter often as a fraction of ‘f</w:t>
      </w:r>
      <w:r>
        <w:rPr>
          <w:vertAlign w:val="subscript"/>
        </w:rPr>
        <w:t>BL</w:t>
      </w:r>
      <w:r>
        <w:rPr>
          <w:vertAlign w:val="baseline"/>
        </w:rPr>
        <w:t>’ of Equation 3.2.7.). This calls for different approaches when calculating FG, as felling of trees for fuelwood use should be treated as carbon loss due to fellings .The equation for fuelwood gathering, in comparison with the equation for commercial fellings, does not have a variable for ‘fraction left to decay’, as it is assumed that a larger proportion of the trees is likely to be removed from forest. On the other hand, fuelwood gathering from the forest floor should not be expanded, as it represents a reduction of the dead wood stock equal to the amount extracted. At the lower tiers it is assumed that this does not affect the stock in dead wood (see Sec. 3.2.1.2).</w:t>
      </w:r>
    </w:p>
    <w:p>
      <w:pPr>
        <w:pStyle w:val="BodyText"/>
        <w:spacing w:before="121"/>
        <w:ind w:left="219" w:right="268"/>
        <w:jc w:val="both"/>
      </w:pPr>
      <w:r>
        <w:rPr/>
        <w:t>This section deals only with fuelwood gathering in forest land remaining forest land. In the sections ‘land converted to cropland, grassland, etc’, explanation is given on how fuelwood used off-site, from the land use conversion, should be treated and compensated for in the fuelwood statistics.</w:t>
      </w:r>
    </w:p>
    <w:p>
      <w:pPr>
        <w:pStyle w:val="BodyText"/>
        <w:spacing w:before="119"/>
        <w:ind w:left="219" w:right="265"/>
        <w:jc w:val="both"/>
      </w:pPr>
      <w:r>
        <w:rPr>
          <w:b/>
        </w:rPr>
        <w:t>Tier 1: </w:t>
      </w:r>
      <w:r>
        <w:rPr/>
        <w:t>FAO provides statistics on fuelwood and charcoal consumption data for all countries. Thus, under Tier  1, FAO statistics can be used directly but should be checked for completeness because in some cases FAO data may refer to specific activities taking place in particular forests rather than total fuelwood. If more complete information is available nationally, it should be used. It is </w:t>
      </w:r>
      <w:r>
        <w:rPr>
          <w:i/>
        </w:rPr>
        <w:t>good practice </w:t>
      </w:r>
      <w:r>
        <w:rPr/>
        <w:t>to locate the national source of data for the FAO such as the Ministry of Forests or Agriculture or any statistical organization. It is also </w:t>
      </w:r>
      <w:r>
        <w:rPr>
          <w:i/>
        </w:rPr>
        <w:t>good practice </w:t>
      </w:r>
      <w:r>
        <w:rPr/>
        <w:t>to separate fuelwood gathering from forest land remaining forest land and that coming from forest land conversion to other</w:t>
      </w:r>
      <w:r>
        <w:rPr>
          <w:spacing w:val="1"/>
        </w:rPr>
        <w:t> </w:t>
      </w:r>
      <w:r>
        <w:rPr/>
        <w:t>uses.</w:t>
      </w:r>
    </w:p>
    <w:p>
      <w:pPr>
        <w:pStyle w:val="BodyText"/>
        <w:spacing w:before="120"/>
        <w:ind w:left="219" w:right="265" w:hanging="1"/>
        <w:jc w:val="both"/>
      </w:pPr>
      <w:r>
        <w:rPr>
          <w:b/>
        </w:rPr>
        <w:t>Tier 2: </w:t>
      </w:r>
      <w:r>
        <w:rPr/>
        <w:t>Country-specific data should be used, if available. It is </w:t>
      </w:r>
      <w:r>
        <w:rPr>
          <w:i/>
        </w:rPr>
        <w:t>good practice </w:t>
      </w:r>
      <w:r>
        <w:rPr/>
        <w:t>to verify and supplement the FAO data from many national surveys and studies. Further, it is </w:t>
      </w:r>
      <w:r>
        <w:rPr>
          <w:i/>
        </w:rPr>
        <w:t>good practice </w:t>
      </w:r>
      <w:r>
        <w:rPr/>
        <w:t>to conduct a few regional surveys of fuelwood consumption to validate the national or FAO data source. The national level, aggregate fuelwood consumption could be estimated by conducting regional level surveys of rural and urban households at different income levels, industries and establishments.</w:t>
      </w:r>
    </w:p>
    <w:p>
      <w:pPr>
        <w:pStyle w:val="BodyText"/>
        <w:spacing w:before="120"/>
        <w:ind w:left="219" w:right="265"/>
        <w:jc w:val="both"/>
      </w:pPr>
      <w:r>
        <w:rPr>
          <w:b/>
        </w:rPr>
        <w:t>Tier 3: </w:t>
      </w:r>
      <w:r>
        <w:rPr/>
        <w:t>Fuelwood fellings data from national level studies should be used at the resolution required for the Tier  3 model, including the non-commercial</w:t>
      </w:r>
      <w:r>
        <w:rPr>
          <w:spacing w:val="-1"/>
        </w:rPr>
        <w:t> </w:t>
      </w:r>
      <w:r>
        <w:rPr/>
        <w:t>fellings.</w:t>
      </w:r>
    </w:p>
    <w:p>
      <w:pPr>
        <w:pStyle w:val="BodyText"/>
        <w:spacing w:before="121"/>
        <w:ind w:left="219" w:right="265"/>
        <w:jc w:val="both"/>
      </w:pPr>
      <w:r>
        <w:rPr/>
        <w:t>Traditional fuelwood gathering as well as commercial fuelwood felling from forest land remaining forest land sources should be generated at regional or disaggregated level through surveys. Fuelwood consumption depends on household incomes. Thus, it may be possible to develop models to estimate fuelwood consumption. The source of fuelwood should be clearly investigated to ensure no double counting occurs, between fuelwood from forest land remaining forest land and forest land converted to other uses.</w:t>
      </w:r>
    </w:p>
    <w:p>
      <w:pPr>
        <w:pStyle w:val="BodyText"/>
        <w:spacing w:before="120"/>
        <w:ind w:left="219" w:right="262"/>
        <w:jc w:val="both"/>
      </w:pPr>
      <w:r>
        <w:rPr/>
        <w:t>A country adopting Tier 3 should undertake a systematic approach to estimate fuelwood consumption along with sources, through survey of households, industries and establishments. The survey could be conducted in different homogeneous climatic and socio-economic zones by adopting a statistical procedure (see Chapter 5, Section 5.3 on Sampling). Fuelwood consumption is likely to be different in rural and urban areas and during different seasons of a year. Thus, the study should be conducted separately in rural and urban areas and in different seasons. Fuelwood consumption models could be developed using income, level of urbanization, etc.</w:t>
      </w:r>
    </w:p>
    <w:p>
      <w:pPr>
        <w:pStyle w:val="BodyText"/>
        <w:spacing w:before="120"/>
        <w:ind w:left="219" w:right="268"/>
        <w:jc w:val="both"/>
      </w:pPr>
      <w:r>
        <w:rPr/>
        <w:t>If fuelwood consumption data is in the form of commercial wood, reflecting only the merchantable wood, it needs to be converted to whole stand biomass.</w:t>
      </w:r>
    </w:p>
    <w:p>
      <w:pPr>
        <w:pStyle w:val="BodyText"/>
        <w:spacing w:before="4"/>
        <w:rPr>
          <w:sz w:val="21"/>
        </w:rPr>
      </w:pPr>
    </w:p>
    <w:p>
      <w:pPr>
        <w:spacing w:line="228" w:lineRule="exact" w:before="0"/>
        <w:ind w:left="219" w:right="0" w:firstLine="0"/>
        <w:jc w:val="both"/>
        <w:rPr>
          <w:b/>
          <w:sz w:val="20"/>
        </w:rPr>
      </w:pPr>
      <w:r>
        <w:rPr>
          <w:b/>
          <w:sz w:val="20"/>
        </w:rPr>
        <w:t>Other losses</w:t>
      </w:r>
    </w:p>
    <w:p>
      <w:pPr>
        <w:pStyle w:val="BodyText"/>
        <w:spacing w:line="237" w:lineRule="auto"/>
        <w:ind w:left="219" w:right="269"/>
        <w:jc w:val="both"/>
      </w:pPr>
      <w:r>
        <w:rPr/>
        <w:t>The estimate of other losses of carbon requires data on areas affected by disturbances (A</w:t>
      </w:r>
      <w:r>
        <w:rPr>
          <w:vertAlign w:val="subscript"/>
        </w:rPr>
        <w:t>disturbance</w:t>
      </w:r>
      <w:r>
        <w:rPr>
          <w:vertAlign w:val="baseline"/>
        </w:rPr>
        <w:t>), the average biomass stocks of forest areas (B</w:t>
      </w:r>
      <w:r>
        <w:rPr>
          <w:vertAlign w:val="subscript"/>
        </w:rPr>
        <w:t>W</w:t>
      </w:r>
      <w:r>
        <w:rPr>
          <w:vertAlign w:val="baseline"/>
        </w:rPr>
        <w:t>), and the fraction of biomass left to decay in forest (f</w:t>
      </w:r>
      <w:r>
        <w:rPr>
          <w:vertAlign w:val="subscript"/>
        </w:rPr>
        <w:t>BL</w:t>
      </w:r>
      <w:r>
        <w:rPr>
          <w:vertAlign w:val="baseline"/>
        </w:rPr>
        <w:t>).</w:t>
      </w:r>
    </w:p>
    <w:p>
      <w:pPr>
        <w:pStyle w:val="BodyText"/>
        <w:spacing w:before="121"/>
        <w:ind w:left="219" w:right="260"/>
        <w:jc w:val="both"/>
      </w:pPr>
      <w:r>
        <w:rPr/>
        <w:t>It is </w:t>
      </w:r>
      <w:r>
        <w:rPr>
          <w:i/>
        </w:rPr>
        <w:t>good practice </w:t>
      </w:r>
      <w:r>
        <w:rPr/>
        <w:t>to report all areas affected by disturbances such as fires, pest and disease outbreaks and windstorms that occur in managed forest lands irrespective of whether these were the result of human activity. However, natural disturbances occurring on unmanaged forest, and not resulting in land-use change, should not be included. Depending on their intensity, fires, windstorms and pests outbreaks affect a variable proportion of trees in a stand. It is </w:t>
      </w:r>
      <w:r>
        <w:rPr>
          <w:i/>
        </w:rPr>
        <w:t>good practice </w:t>
      </w:r>
      <w:r>
        <w:rPr/>
        <w:t>to categorise the affected area, as far as possible, according to the nature and intensity of disturbances. Losses in biomass accounted as commercial harvest or fuelwood should not be included under the losses due to other</w:t>
      </w:r>
      <w:r>
        <w:rPr>
          <w:spacing w:val="-1"/>
        </w:rPr>
        <w:t> </w:t>
      </w:r>
      <w:r>
        <w:rPr/>
        <w:t>disturbances.</w:t>
      </w:r>
    </w:p>
    <w:p>
      <w:pPr>
        <w:pStyle w:val="BodyText"/>
        <w:spacing w:before="120"/>
        <w:ind w:left="219" w:right="264"/>
        <w:jc w:val="both"/>
      </w:pPr>
      <w:r>
        <w:rPr>
          <w:b/>
        </w:rPr>
        <w:t>Tier 1: </w:t>
      </w:r>
      <w:r>
        <w:rPr/>
        <w:t>Tier 1 approach is to obtain area of disturbance for the actual year. There are some international data available on disturbances (see below) but in general default information is limited, and national assessment, making use of data available at the local level following the disturbance, will be necessary to establish the area affected. It may also be possible to use aerial survey data.</w:t>
      </w:r>
    </w:p>
    <w:p>
      <w:pPr>
        <w:pStyle w:val="BodyText"/>
        <w:spacing w:before="120"/>
        <w:ind w:left="219" w:right="267"/>
        <w:jc w:val="both"/>
      </w:pPr>
      <w:r>
        <w:rPr/>
        <w:t>In the case of fire, both CO</w:t>
      </w:r>
      <w:r>
        <w:rPr>
          <w:vertAlign w:val="subscript"/>
        </w:rPr>
        <w:t>2</w:t>
      </w:r>
      <w:r>
        <w:rPr>
          <w:vertAlign w:val="baseline"/>
        </w:rPr>
        <w:t> and non-CO</w:t>
      </w:r>
      <w:r>
        <w:rPr>
          <w:vertAlign w:val="subscript"/>
        </w:rPr>
        <w:t>2</w:t>
      </w:r>
      <w:r>
        <w:rPr>
          <w:vertAlign w:val="baseline"/>
        </w:rPr>
        <w:t> emissions occur from combusted fuels (standing biomass including understorey, slash, dead wood and litter). Fire may consume a high proportion of under storey vegetation. See Section 3.2.1.4 for methodology to estimate non-CO</w:t>
      </w:r>
      <w:r>
        <w:rPr>
          <w:vertAlign w:val="subscript"/>
        </w:rPr>
        <w:t>2</w:t>
      </w:r>
      <w:r>
        <w:rPr>
          <w:vertAlign w:val="baseline"/>
        </w:rPr>
        <w:t> emissions from fire and Equation 3.2.9 for calculating CO</w:t>
      </w:r>
      <w:r>
        <w:rPr>
          <w:vertAlign w:val="subscript"/>
        </w:rPr>
        <w:t>2</w:t>
      </w:r>
      <w:r>
        <w:rPr>
          <w:vertAlign w:val="baseline"/>
        </w:rPr>
        <w:t> emissions from fire.</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jc w:val="both"/>
      </w:pPr>
      <w:r>
        <w:rPr/>
        <w:t>Annex 3A.1 provides several tables to be used in connection with Equation 3.2.9.</w:t>
      </w:r>
    </w:p>
    <w:p>
      <w:pPr>
        <w:pStyle w:val="BodyText"/>
        <w:tabs>
          <w:tab w:pos="579" w:val="left" w:leader="none"/>
        </w:tabs>
        <w:spacing w:line="223" w:lineRule="auto" w:before="147"/>
        <w:ind w:left="579" w:right="354" w:hanging="360"/>
      </w:pPr>
      <w:r>
        <w:rPr>
          <w:rFonts w:ascii="Symbol" w:hAnsi="Symbol"/>
        </w:rPr>
        <w:t>•</w:t>
        <w:tab/>
      </w:r>
      <w:r>
        <w:rPr/>
        <w:t>Table 3A.1.12 provides default values of combustion factor to be used as (1– f</w:t>
      </w:r>
      <w:r>
        <w:rPr>
          <w:vertAlign w:val="subscript"/>
        </w:rPr>
        <w:t>BL</w:t>
      </w:r>
      <w:r>
        <w:rPr>
          <w:vertAlign w:val="baseline"/>
        </w:rPr>
        <w:t>) in case the country has good growing stock biomass data; in this case the share lost is</w:t>
      </w:r>
      <w:r>
        <w:rPr>
          <w:spacing w:val="-6"/>
          <w:vertAlign w:val="baseline"/>
        </w:rPr>
        <w:t> </w:t>
      </w:r>
      <w:r>
        <w:rPr>
          <w:vertAlign w:val="baseline"/>
        </w:rPr>
        <w:t>used;</w:t>
      </w:r>
    </w:p>
    <w:p>
      <w:pPr>
        <w:pStyle w:val="BodyText"/>
        <w:tabs>
          <w:tab w:pos="579" w:val="left" w:leader="none"/>
        </w:tabs>
        <w:spacing w:line="223" w:lineRule="auto" w:before="153"/>
        <w:ind w:left="579" w:right="354" w:hanging="360"/>
      </w:pPr>
      <w:r>
        <w:rPr>
          <w:rFonts w:ascii="Symbol" w:hAnsi="Symbol"/>
        </w:rPr>
        <w:t>•</w:t>
        <w:tab/>
      </w:r>
      <w:r>
        <w:rPr/>
        <w:t>Table 3A.1.13 provides default values of biomass consumption to be used as [B</w:t>
      </w:r>
      <w:r>
        <w:rPr>
          <w:vertAlign w:val="subscript"/>
        </w:rPr>
        <w:t>W</w:t>
      </w:r>
      <w:r>
        <w:rPr>
          <w:vertAlign w:val="baseline"/>
        </w:rPr>
        <w:t> </w:t>
      </w:r>
      <w:r>
        <w:rPr>
          <w:rFonts w:ascii="Symbol" w:hAnsi="Symbol"/>
          <w:vertAlign w:val="baseline"/>
        </w:rPr>
        <w:t>• </w:t>
      </w:r>
      <w:r>
        <w:rPr>
          <w:vertAlign w:val="baseline"/>
        </w:rPr>
        <w:t>(1– f</w:t>
      </w:r>
      <w:r>
        <w:rPr>
          <w:vertAlign w:val="subscript"/>
        </w:rPr>
        <w:t>BL</w:t>
      </w:r>
      <w:r>
        <w:rPr>
          <w:vertAlign w:val="baseline"/>
        </w:rPr>
        <w:t>)] in case the growing stock biomass data are not so good;</w:t>
      </w:r>
      <w:r>
        <w:rPr>
          <w:spacing w:val="-3"/>
          <w:vertAlign w:val="baseline"/>
        </w:rPr>
        <w:t> </w:t>
      </w:r>
      <w:r>
        <w:rPr>
          <w:vertAlign w:val="baseline"/>
        </w:rPr>
        <w:t>and</w:t>
      </w:r>
    </w:p>
    <w:p>
      <w:pPr>
        <w:pStyle w:val="BodyText"/>
        <w:tabs>
          <w:tab w:pos="579" w:val="left" w:leader="none"/>
        </w:tabs>
        <w:spacing w:line="223" w:lineRule="auto" w:before="149"/>
        <w:ind w:left="579" w:right="266" w:hanging="360"/>
      </w:pPr>
      <w:r>
        <w:rPr>
          <w:rFonts w:ascii="Symbol" w:hAnsi="Symbol"/>
        </w:rPr>
        <w:t>•</w:t>
        <w:tab/>
      </w:r>
      <w:r>
        <w:rPr/>
        <w:t>Table 3A.1.14 provides default values of combustion efficiency in cases where fire is used as a means for land-use</w:t>
      </w:r>
      <w:r>
        <w:rPr>
          <w:spacing w:val="-1"/>
        </w:rPr>
        <w:t> </w:t>
      </w:r>
      <w:r>
        <w:rPr/>
        <w:t>change.</w:t>
      </w:r>
    </w:p>
    <w:p>
      <w:pPr>
        <w:pStyle w:val="BodyText"/>
        <w:spacing w:before="122"/>
        <w:ind w:left="219" w:right="264"/>
        <w:jc w:val="both"/>
      </w:pPr>
      <w:r>
        <w:rPr>
          <w:b/>
        </w:rPr>
        <w:t>Tier 2: </w:t>
      </w:r>
      <w:r>
        <w:rPr/>
        <w:t>Under Tier 2, biomass growing stock changes due to major disturbances will be taken into account by forest category, type of disturbance and intensity. Average values for biomass stocks are obtained from national data.</w:t>
      </w:r>
    </w:p>
    <w:p>
      <w:pPr>
        <w:pStyle w:val="BodyText"/>
        <w:spacing w:before="121"/>
        <w:ind w:left="219" w:right="267"/>
        <w:jc w:val="both"/>
      </w:pPr>
      <w:r>
        <w:rPr>
          <w:b/>
        </w:rPr>
        <w:t>Tier 3: </w:t>
      </w:r>
      <w:r>
        <w:rPr/>
        <w:t>Estimation of growth rate using two inventories and the loss of biomass from disturbances that have happened between the inventories are included. If the year of the disturbance is unknown, the result will be a reduction of the average growth rate for the period. If disturbances occur after the last inventory, losses will have to be calculated similar to Tier 2 approach.</w:t>
      </w:r>
    </w:p>
    <w:p>
      <w:pPr>
        <w:pStyle w:val="BodyText"/>
        <w:spacing w:before="119"/>
        <w:ind w:left="219" w:right="267"/>
        <w:jc w:val="both"/>
      </w:pPr>
      <w:r>
        <w:rPr/>
        <w:t>A database on rate and impact of natural disturbances by type, for all European countries (Schelhaas </w:t>
      </w:r>
      <w:r>
        <w:rPr>
          <w:i/>
        </w:rPr>
        <w:t>et al.</w:t>
      </w:r>
      <w:r>
        <w:rPr/>
        <w:t>, 2001), can be found at: </w:t>
      </w:r>
      <w:hyperlink r:id="rId122">
        <w:r>
          <w:rPr/>
          <w:t>http://www.efi.fi/projects/dfde</w:t>
        </w:r>
      </w:hyperlink>
    </w:p>
    <w:p>
      <w:pPr>
        <w:pStyle w:val="BodyText"/>
        <w:spacing w:before="121"/>
        <w:ind w:left="219"/>
      </w:pPr>
      <w:r>
        <w:rPr/>
        <w:t>A UNEP database on global burnt area can be found at:</w:t>
      </w:r>
      <w:hyperlink r:id="rId123">
        <w:r>
          <w:rPr/>
          <w:t> </w:t>
        </w:r>
        <w:r>
          <w:rPr>
            <w:w w:val="95"/>
          </w:rPr>
          <w:t>http://www.grid.unep.ch/activities/earlywarning/preview/ims/gba/</w:t>
        </w:r>
      </w:hyperlink>
    </w:p>
    <w:p>
      <w:pPr>
        <w:pStyle w:val="BodyText"/>
        <w:spacing w:before="121"/>
        <w:ind w:left="219" w:right="268"/>
        <w:jc w:val="both"/>
      </w:pPr>
      <w:r>
        <w:rPr/>
        <w:t>However, one should note that the UNEP database is only valid for year 2000. In many countries interannual variability in burned area is large, so these figures will not provide a representative average.</w:t>
      </w:r>
    </w:p>
    <w:p>
      <w:pPr>
        <w:pStyle w:val="BodyText"/>
        <w:spacing w:before="2"/>
        <w:rPr>
          <w:sz w:val="21"/>
        </w:rPr>
      </w:pPr>
    </w:p>
    <w:p>
      <w:pPr>
        <w:pStyle w:val="Heading6"/>
        <w:numPr>
          <w:ilvl w:val="5"/>
          <w:numId w:val="45"/>
        </w:numPr>
        <w:tabs>
          <w:tab w:pos="1661" w:val="left" w:leader="none"/>
        </w:tabs>
        <w:spacing w:line="240" w:lineRule="auto" w:before="0"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spacing w:line="227" w:lineRule="exact" w:before="181"/>
        <w:ind w:left="219" w:right="0" w:firstLine="0"/>
        <w:jc w:val="both"/>
        <w:rPr>
          <w:b/>
          <w:sz w:val="20"/>
        </w:rPr>
      </w:pPr>
      <w:r>
        <w:rPr>
          <w:b/>
          <w:sz w:val="20"/>
        </w:rPr>
        <w:t>AREA OF MANAGED FOREST LAND</w:t>
      </w:r>
    </w:p>
    <w:p>
      <w:pPr>
        <w:pStyle w:val="BodyText"/>
        <w:spacing w:line="227" w:lineRule="exact"/>
        <w:ind w:left="219"/>
        <w:jc w:val="both"/>
      </w:pPr>
      <w:r>
        <w:rPr/>
        <w:t>All tiers require information on areas of managed forest land.</w:t>
      </w:r>
    </w:p>
    <w:p>
      <w:pPr>
        <w:pStyle w:val="BodyText"/>
        <w:spacing w:before="121"/>
        <w:ind w:left="219" w:right="264"/>
        <w:jc w:val="both"/>
      </w:pPr>
      <w:r>
        <w:rPr>
          <w:b/>
        </w:rPr>
        <w:t>Tier 1: </w:t>
      </w:r>
      <w:r>
        <w:rPr/>
        <w:t>Tier 1 uses data of forest area which can be obtained through national statistics, from forest services (which may have information on areas of different management practices), conservation agencies (especially for areas managed for natural regeneration), municipalities, survey and mapping agencies. Cross-checks should be made to ensure complete and consistent representation for avoiding omissions or double counting as specified in Chapter 2. If no country data are available, aggregate information can be obtained from international data sources (FAO, 1995; FAO 2001, TBFRA, 2000). It is </w:t>
      </w:r>
      <w:r>
        <w:rPr>
          <w:i/>
        </w:rPr>
        <w:t>good practice </w:t>
      </w:r>
      <w:r>
        <w:rPr/>
        <w:t>to verify, validate, and update the FAO data using national</w:t>
      </w:r>
      <w:r>
        <w:rPr>
          <w:spacing w:val="-2"/>
        </w:rPr>
        <w:t> </w:t>
      </w:r>
      <w:r>
        <w:rPr/>
        <w:t>sources.</w:t>
      </w:r>
    </w:p>
    <w:p>
      <w:pPr>
        <w:pStyle w:val="BodyText"/>
        <w:spacing w:before="120"/>
        <w:ind w:left="219" w:right="266"/>
        <w:jc w:val="both"/>
      </w:pPr>
      <w:r>
        <w:rPr>
          <w:b/>
        </w:rPr>
        <w:t>Tier 2: </w:t>
      </w:r>
      <w:r>
        <w:rPr/>
        <w:t>Tier 2 uses country-defined national data sets with a resolution sufficient to ensure appropriate representation of land areas in line with provisions of Chapter 2 of this report.</w:t>
      </w:r>
    </w:p>
    <w:p>
      <w:pPr>
        <w:pStyle w:val="BodyText"/>
        <w:spacing w:before="121"/>
        <w:ind w:left="219" w:right="268"/>
        <w:jc w:val="both"/>
      </w:pPr>
      <w:r>
        <w:rPr>
          <w:b/>
        </w:rPr>
        <w:t>Tier 3: </w:t>
      </w:r>
      <w:r>
        <w:rPr/>
        <w:t>Tier 3 uses national data on managed forest lands from different sources, notably national forest inventories, registers of land-use and land-use changes, or remote sensing. These data should give a full accounting of all land use transitions to forest land and disaggregate along climate, soil and vegetation types.</w:t>
      </w:r>
    </w:p>
    <w:p>
      <w:pPr>
        <w:pStyle w:val="BodyText"/>
        <w:spacing w:before="3"/>
        <w:rPr>
          <w:sz w:val="21"/>
        </w:rPr>
      </w:pPr>
    </w:p>
    <w:p>
      <w:pPr>
        <w:pStyle w:val="Heading6"/>
        <w:numPr>
          <w:ilvl w:val="5"/>
          <w:numId w:val="45"/>
        </w:numPr>
        <w:tabs>
          <w:tab w:pos="1662" w:val="left" w:leader="none"/>
        </w:tabs>
        <w:spacing w:line="240" w:lineRule="auto" w:before="0" w:after="0"/>
        <w:ind w:left="1661" w:right="0" w:hanging="1442"/>
        <w:jc w:val="both"/>
      </w:pPr>
      <w:r>
        <w:rPr/>
        <w:t>4 </w:t>
      </w:r>
      <w:r>
        <w:rPr>
          <w:spacing w:val="17"/>
        </w:rPr>
        <w:t>Uncertainty</w:t>
      </w:r>
      <w:r>
        <w:rPr>
          <w:spacing w:val="18"/>
        </w:rPr>
        <w:t> </w:t>
      </w:r>
      <w:r>
        <w:rPr>
          <w:spacing w:val="19"/>
        </w:rPr>
        <w:t>Assessment</w:t>
      </w:r>
    </w:p>
    <w:p>
      <w:pPr>
        <w:pStyle w:val="BodyText"/>
        <w:spacing w:before="56"/>
        <w:ind w:left="219" w:right="263"/>
        <w:jc w:val="both"/>
      </w:pPr>
      <w:r>
        <w:rPr/>
        <w:t>This section considers source-specific uncertainties relevant to inventory estimates made for forest land remaining forest. Estimating country-specific and/or disaggregated values entails getting more accurate information on uncertainties than given below. Section 5.3 on Sampling, in Chapter 5, provides information on uncertainties associated with sample-based studies.</w:t>
      </w:r>
    </w:p>
    <w:p>
      <w:pPr>
        <w:pStyle w:val="BodyText"/>
        <w:spacing w:before="2"/>
        <w:rPr>
          <w:sz w:val="21"/>
        </w:rPr>
      </w:pPr>
    </w:p>
    <w:p>
      <w:pPr>
        <w:spacing w:line="228" w:lineRule="exact" w:before="1"/>
        <w:ind w:left="219" w:right="0" w:firstLine="0"/>
        <w:jc w:val="both"/>
        <w:rPr>
          <w:b/>
          <w:sz w:val="20"/>
        </w:rPr>
      </w:pPr>
      <w:r>
        <w:rPr>
          <w:b/>
          <w:sz w:val="20"/>
        </w:rPr>
        <w:t>EMISSION AND REMOVAL FACTORS</w:t>
      </w:r>
    </w:p>
    <w:p>
      <w:pPr>
        <w:pStyle w:val="BodyText"/>
        <w:ind w:left="219" w:right="267"/>
        <w:jc w:val="both"/>
      </w:pPr>
      <w:r>
        <w:rPr/>
        <w:t>The uncertainty of basic wood density of pine, spruce and birch trees (predominantly stems) is under 20% in studies of Hakkila (1968, 1979) in Finland. The variability between forest stands should be lower or at most the same as for trees. It is concluded that overall uncertainty of country-specific basic wood density values should be about 30%.</w:t>
      </w:r>
    </w:p>
    <w:p>
      <w:pPr>
        <w:pStyle w:val="BodyText"/>
        <w:spacing w:before="117"/>
        <w:ind w:left="219" w:right="264" w:hanging="1"/>
        <w:jc w:val="both"/>
      </w:pPr>
      <w:r>
        <w:rPr/>
        <w:t>Lehtonen </w:t>
      </w:r>
      <w:r>
        <w:rPr>
          <w:i/>
        </w:rPr>
        <w:t>et al. </w:t>
      </w:r>
      <w:r>
        <w:rPr/>
        <w:t>(2003) analyzed stand level biomass expansion factors for pine, spruce and birch dominated forests in Finland. The uncertainty of estimates was about 10%. The study was made for predominantly managed forests, thus, it underestimates about 2 times the variation between forests in the boreal zone. Based on the above, as estimated by expert judgment, overall uncertainty of BEFs should be 30%. The uncertainty of root-to- shoot ratio is likely to have similar value of an order of</w:t>
      </w:r>
      <w:r>
        <w:rPr>
          <w:spacing w:val="-9"/>
        </w:rPr>
        <w:t> </w:t>
      </w:r>
      <w:r>
        <w:rPr/>
        <w:t>30%.</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4"/>
        <w:jc w:val="both"/>
      </w:pPr>
      <w:r>
        <w:rPr/>
        <w:t>The major source of uncertainty of estimates, in using default wood density and BEFs, is related to applicability of these parameters for diverse age and composition structure of specific stands. To reduce the uncertainty associated with this issue, the countries are encouraged to develop country-specific BEFs or share regional experience on values derived for forest stands that fit most in their conditions. In case the country-specific or regional-specific values are unavailable, the sources of default emission and removal factors should be checked and their correspondence with specific conditions of a country should be examined. The efforts should be made to apply the default values that have the highest correspondence with stand structure, climate and growth conditions of a particular country.</w:t>
      </w:r>
    </w:p>
    <w:p>
      <w:pPr>
        <w:pStyle w:val="BodyText"/>
        <w:spacing w:before="121"/>
        <w:ind w:left="219" w:right="264"/>
        <w:jc w:val="both"/>
      </w:pPr>
      <w:r>
        <w:rPr/>
        <w:t>Vuokila and Väliaho (1980) report values of increment for artificially regenerated pine and spruce stands in Finland that vary by 50% around the average. The causes of variation include climate, site growth conditions, and soil fertility. Because artificially regenerated and managed stands are less variable than natural boreal forests, the overall variability of default values for increment for this climatic zone is expected to be a factor of two. Based on higher biological diversity of temperate and tropical forests, one can expect that their default increment values may vary by a factor of three. The major ways to improve accuracy of estimates are associated with application of country-specific or regional increment stratified by forest type. If the default values of increment are used, the uncertainty of estimates should be clearly indicated and</w:t>
      </w:r>
      <w:r>
        <w:rPr>
          <w:spacing w:val="-21"/>
        </w:rPr>
        <w:t> </w:t>
      </w:r>
      <w:r>
        <w:rPr/>
        <w:t>documented.</w:t>
      </w:r>
    </w:p>
    <w:p>
      <w:pPr>
        <w:pStyle w:val="BodyText"/>
        <w:spacing w:before="121"/>
        <w:ind w:left="219" w:right="262"/>
        <w:jc w:val="both"/>
      </w:pPr>
      <w:r>
        <w:rPr/>
        <w:t>The data on commercial fellings are relatively accurate. Therefore, their uncertainty is less than 30%. However, the data on total fellings may be incomplete, due to illegal fellings and (or) underreporting due to tax regulations. Wood that are used directly, without being sold or processed by others than the person taking the wood from forest are not likely to be included in any statistics. However, it must be noted that illegal fellings and underreporting in most cases constitute minor part of carbon stock withdrawals from forests and hence, they should not affect overall estimates and associated uncertainties so much. The amount of wood removed from forests after storm breaks and pest outbreaks varies a lot both in time and volumes. No default data can be provided on this type of losses. The uncertainties associated with these losses could be estimated by expert judgment based on amount of damaged wood directly withdrawn from forest (if available) or based on the data on the damaged wood subsequently used for commercial and other purposes.</w:t>
      </w:r>
    </w:p>
    <w:p>
      <w:pPr>
        <w:pStyle w:val="BodyText"/>
        <w:spacing w:before="119"/>
        <w:ind w:left="219" w:right="264"/>
        <w:jc w:val="both"/>
      </w:pPr>
      <w:r>
        <w:rPr/>
        <w:t>If fuelwood gathering is treated separately from fellings, the relevant uncertainties might be high. International data sources provide uncertainty estimates that could be used together with appropriate data on fuelwood. The uncertainties for national data on fuelwood gathering could be obtained from local forestry service or statistical agency or can be estimated with the use of expert judgment.</w:t>
      </w:r>
    </w:p>
    <w:p>
      <w:pPr>
        <w:pStyle w:val="BodyText"/>
        <w:spacing w:before="3"/>
        <w:rPr>
          <w:sz w:val="21"/>
        </w:rPr>
      </w:pPr>
    </w:p>
    <w:p>
      <w:pPr>
        <w:spacing w:line="228" w:lineRule="exact" w:before="0"/>
        <w:ind w:left="219" w:right="0" w:firstLine="0"/>
        <w:jc w:val="both"/>
        <w:rPr>
          <w:b/>
          <w:sz w:val="20"/>
        </w:rPr>
      </w:pPr>
      <w:r>
        <w:rPr>
          <w:b/>
          <w:sz w:val="20"/>
        </w:rPr>
        <w:t>ACTIVITY DATA</w:t>
      </w:r>
    </w:p>
    <w:p>
      <w:pPr>
        <w:pStyle w:val="BodyText"/>
        <w:ind w:left="219" w:right="263"/>
        <w:jc w:val="both"/>
      </w:pPr>
      <w:r>
        <w:rPr/>
        <w:t>Area data should be obtained using the methods in Chapter 2. Uncertainties vary between 1-15% in 16 European countries (Laitat </w:t>
      </w:r>
      <w:r>
        <w:rPr>
          <w:i/>
        </w:rPr>
        <w:t>et al.</w:t>
      </w:r>
      <w:r>
        <w:rPr/>
        <w:t>, 2000). The uncertainty of remote sensing methods is ±10-15%. Sub-units will have greater uncertainty unless the number of samples is increased – other things being equal for uniform sampling an area one tenth of the national total will have one tenth the number of sample points and hence the uncertainty will be larger by about the square root of 10, or roughly 3.16. In case the national data on areas of forest lands are not available, the inventory preparers should refer to international data sources and use uncertainty provided by</w:t>
      </w:r>
      <w:r>
        <w:rPr>
          <w:spacing w:val="-5"/>
        </w:rPr>
        <w:t> </w:t>
      </w:r>
      <w:r>
        <w:rPr/>
        <w:t>them.</w:t>
      </w:r>
    </w:p>
    <w:p>
      <w:pPr>
        <w:pStyle w:val="BodyText"/>
        <w:rPr>
          <w:sz w:val="22"/>
        </w:rPr>
      </w:pPr>
    </w:p>
    <w:p>
      <w:pPr>
        <w:pStyle w:val="Heading6"/>
        <w:numPr>
          <w:ilvl w:val="3"/>
          <w:numId w:val="45"/>
        </w:numPr>
        <w:tabs>
          <w:tab w:pos="1667" w:val="left" w:leader="none"/>
        </w:tabs>
        <w:spacing w:line="240" w:lineRule="auto" w:before="146" w:after="0"/>
        <w:ind w:left="1666" w:right="0" w:hanging="1447"/>
        <w:jc w:val="both"/>
        <w:rPr>
          <w:sz w:val="28"/>
        </w:rPr>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4"/>
        </w:rPr>
        <w:t>DEAD </w:t>
      </w:r>
      <w:r>
        <w:rPr>
          <w:spacing w:val="16"/>
        </w:rPr>
        <w:t>ORGANIC</w:t>
      </w:r>
      <w:r>
        <w:rPr>
          <w:spacing w:val="76"/>
        </w:rPr>
        <w:t> </w:t>
      </w:r>
      <w:r>
        <w:rPr>
          <w:spacing w:val="16"/>
        </w:rPr>
        <w:t>MATTER</w:t>
      </w:r>
      <w:r>
        <w:rPr>
          <w:spacing w:val="-35"/>
        </w:rPr>
        <w:t> </w:t>
      </w:r>
    </w:p>
    <w:p>
      <w:pPr>
        <w:pStyle w:val="BodyText"/>
        <w:spacing w:before="209"/>
        <w:ind w:left="219" w:right="267"/>
        <w:jc w:val="both"/>
      </w:pPr>
      <w:r>
        <w:rPr/>
        <w:t>This section elaborates </w:t>
      </w:r>
      <w:r>
        <w:rPr>
          <w:i/>
        </w:rPr>
        <w:t>good practices </w:t>
      </w:r>
      <w:r>
        <w:rPr/>
        <w:t>for estimating carbon stock changes associated with dead organic matter pools. The </w:t>
      </w:r>
      <w:r>
        <w:rPr>
          <w:i/>
        </w:rPr>
        <w:t>IPCC Guidelines </w:t>
      </w:r>
      <w:r>
        <w:rPr/>
        <w:t>assume as a default that changes in carbon stocks in these pools are not significant and can be assumed zero, i.e. that inputs balance losses so that net dead organic matter carbon stock changes are zero. However, the </w:t>
      </w:r>
      <w:r>
        <w:rPr>
          <w:i/>
        </w:rPr>
        <w:t>IPCC Guidelines </w:t>
      </w:r>
      <w:r>
        <w:rPr/>
        <w:t>say that dead organic matter should be considered in future work on inventory methods because the quantity of carbon in dead organic matter is a significant reservoir in many of the world’s forests. Note that the dead organic matter pools only need to be estimated if Tier 2 or Tier 3 is chosen.</w:t>
      </w:r>
    </w:p>
    <w:p>
      <w:pPr>
        <w:pStyle w:val="BodyText"/>
        <w:spacing w:before="120"/>
        <w:ind w:left="219"/>
        <w:jc w:val="both"/>
      </w:pPr>
      <w:r>
        <w:rPr/>
        <w:t>Separate guidance is provided here for two types of dead organic matter pools: 1) dead wood and 2) litter. Table</w:t>
      </w:r>
    </w:p>
    <w:p>
      <w:pPr>
        <w:pStyle w:val="BodyText"/>
        <w:ind w:left="219" w:right="268"/>
        <w:jc w:val="both"/>
      </w:pPr>
      <w:r>
        <w:rPr/>
        <w:t>3.1.2 in Section 3.1.3 of this report provides detailed definitions of these pools. Equation 3.2.10 summarises the calculation for change in dead organic matter carbon pools.</w:t>
      </w:r>
    </w:p>
    <w:p>
      <w:pPr>
        <w:pStyle w:val="BodyText"/>
        <w:spacing w:before="2"/>
        <w:rPr>
          <w:sz w:val="11"/>
        </w:rPr>
      </w:pPr>
      <w:r>
        <w:rPr/>
        <w:pict>
          <v:shape style="position:absolute;margin-left:91.960999pt;margin-top:9.160886pt;width:411.5pt;height:64.45pt;mso-position-horizontal-relative:page;mso-position-vertical-relative:paragraph;z-index:4496;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3.2.10</w:t>
                  </w:r>
                </w:p>
                <w:p>
                  <w:pPr>
                    <w:spacing w:line="278" w:lineRule="auto" w:before="0"/>
                    <w:ind w:left="1418" w:right="1414" w:firstLine="0"/>
                    <w:jc w:val="center"/>
                    <w:rPr>
                      <w:b/>
                      <w:sz w:val="16"/>
                    </w:rPr>
                  </w:pPr>
                  <w:r>
                    <w:rPr>
                      <w:b/>
                      <w:sz w:val="20"/>
                    </w:rPr>
                    <w:t>A</w:t>
                  </w:r>
                  <w:r>
                    <w:rPr>
                      <w:b/>
                      <w:sz w:val="16"/>
                    </w:rPr>
                    <w:t>NNUAL CHANGE IN CARBON STOCKS IN DEAD ORGANIC MATTER IN FOREST LAND REMAINING FOREST LAND</w:t>
                  </w:r>
                </w:p>
                <w:p>
                  <w:pPr>
                    <w:spacing w:before="56"/>
                    <w:ind w:left="68" w:right="68" w:firstLine="0"/>
                    <w:jc w:val="center"/>
                    <w:rPr>
                      <w:sz w:val="13"/>
                    </w:rPr>
                  </w:pPr>
                  <w:r>
                    <w:rPr>
                      <w:sz w:val="20"/>
                    </w:rPr>
                    <w:t>∆C</w:t>
                  </w:r>
                  <w:r>
                    <w:rPr>
                      <w:position w:val="-2"/>
                      <w:sz w:val="13"/>
                    </w:rPr>
                    <w:t>FF</w:t>
                  </w:r>
                  <w:r>
                    <w:rPr>
                      <w:position w:val="-8"/>
                      <w:sz w:val="13"/>
                    </w:rPr>
                    <w:t>DOM </w:t>
                  </w:r>
                  <w:r>
                    <w:rPr>
                      <w:sz w:val="20"/>
                    </w:rPr>
                    <w:t>= ∆C</w:t>
                  </w:r>
                  <w:r>
                    <w:rPr>
                      <w:position w:val="-2"/>
                      <w:sz w:val="13"/>
                    </w:rPr>
                    <w:t>FF</w:t>
                  </w:r>
                  <w:r>
                    <w:rPr>
                      <w:position w:val="-8"/>
                      <w:sz w:val="13"/>
                    </w:rPr>
                    <w:t>DW </w:t>
                  </w:r>
                  <w:r>
                    <w:rPr>
                      <w:sz w:val="20"/>
                    </w:rPr>
                    <w:t>+ ∆C</w:t>
                  </w:r>
                  <w:r>
                    <w:rPr>
                      <w:position w:val="-2"/>
                      <w:sz w:val="13"/>
                    </w:rPr>
                    <w:t>FF  </w:t>
                  </w:r>
                  <w:r>
                    <w:rPr>
                      <w:position w:val="-8"/>
                      <w:sz w:val="13"/>
                    </w:rPr>
                    <w:t>LT</w:t>
                  </w:r>
                </w:p>
              </w:txbxContent>
            </v:textbox>
            <v:stroke dashstyle="solid"/>
            <w10:wrap type="topAndBottom"/>
          </v:shape>
        </w:pict>
      </w:r>
    </w:p>
    <w:p>
      <w:pPr>
        <w:pStyle w:val="BodyText"/>
        <w:spacing w:before="4"/>
        <w:ind w:left="219"/>
      </w:pPr>
      <w:r>
        <w:rPr/>
        <w:t>Where:</w:t>
      </w:r>
    </w:p>
    <w:p>
      <w:pPr>
        <w:spacing w:after="0"/>
        <w:sectPr>
          <w:pgSz w:w="11900" w:h="16840"/>
          <w:pgMar w:header="230" w:footer="408" w:top="560" w:bottom="600" w:left="1200" w:right="1140"/>
        </w:sectPr>
      </w:pPr>
    </w:p>
    <w:p>
      <w:pPr>
        <w:pStyle w:val="BodyText"/>
      </w:pPr>
    </w:p>
    <w:p>
      <w:pPr>
        <w:pStyle w:val="BodyText"/>
        <w:spacing w:line="228" w:lineRule="auto" w:before="215"/>
        <w:ind w:left="1808" w:right="354" w:hanging="1023"/>
      </w:pPr>
      <w:r>
        <w:rPr/>
        <w:t>∆C</w:t>
      </w:r>
      <w:r>
        <w:rPr>
          <w:vertAlign w:val="subscript"/>
        </w:rPr>
        <w:t>FF</w:t>
      </w:r>
      <w:r>
        <w:rPr>
          <w:position w:val="-8"/>
          <w:sz w:val="13"/>
          <w:vertAlign w:val="baseline"/>
        </w:rPr>
        <w:t>DOM </w:t>
      </w:r>
      <w:r>
        <w:rPr>
          <w:vertAlign w:val="baseline"/>
        </w:rPr>
        <w:t>= annual change in carbon stocks in dead organic matter (includes dead wood and litter) in  forest land remaining forest land, tonnes C</w:t>
      </w:r>
      <w:r>
        <w:rPr>
          <w:spacing w:val="-2"/>
          <w:vertAlign w:val="baseline"/>
        </w:rPr>
        <w:t> </w:t>
      </w:r>
      <w:r>
        <w:rPr>
          <w:vertAlign w:val="baseline"/>
        </w:rPr>
        <w:t>yr</w:t>
      </w:r>
      <w:r>
        <w:rPr>
          <w:vertAlign w:val="superscript"/>
        </w:rPr>
        <w:t>-1</w:t>
      </w:r>
    </w:p>
    <w:p>
      <w:pPr>
        <w:pStyle w:val="BodyText"/>
        <w:tabs>
          <w:tab w:pos="1450" w:val="left" w:leader="none"/>
        </w:tabs>
        <w:spacing w:line="193" w:lineRule="exact" w:before="123"/>
        <w:ind w:left="785"/>
      </w:pPr>
      <w:r>
        <w:rPr/>
        <w:pict>
          <v:shape style="position:absolute;margin-left:112.000603pt;margin-top:11.271855pt;width:7.2pt;height:7.2pt;mso-position-horizontal-relative:page;mso-position-vertical-relative:paragraph;z-index:-2449576" type="#_x0000_t202" filled="false" stroked="false">
            <v:textbox inset="0,0,0,0">
              <w:txbxContent>
                <w:p>
                  <w:pPr>
                    <w:spacing w:line="144" w:lineRule="exact" w:before="0"/>
                    <w:ind w:left="0" w:right="0" w:firstLine="0"/>
                    <w:jc w:val="left"/>
                    <w:rPr>
                      <w:sz w:val="13"/>
                    </w:rPr>
                  </w:pPr>
                  <w:r>
                    <w:rPr>
                      <w:spacing w:val="-1"/>
                      <w:sz w:val="13"/>
                    </w:rPr>
                    <w:t>FF</w:t>
                  </w:r>
                </w:p>
              </w:txbxContent>
            </v:textbox>
            <w10:wrap type="none"/>
          </v:shape>
        </w:pict>
      </w:r>
      <w:r>
        <w:rPr/>
        <w:t>∆C</w:t>
        <w:tab/>
        <w:t>= change in carbon stocks in dead wood in forest land remaining forest land, tonnes C</w:t>
      </w:r>
      <w:r>
        <w:rPr>
          <w:spacing w:val="-18"/>
        </w:rPr>
        <w:t> </w:t>
      </w:r>
      <w:r>
        <w:rPr/>
        <w:t>yr</w:t>
      </w:r>
      <w:r>
        <w:rPr>
          <w:vertAlign w:val="superscript"/>
        </w:rPr>
        <w:t>-1</w:t>
      </w:r>
    </w:p>
    <w:p>
      <w:pPr>
        <w:spacing w:line="113" w:lineRule="exact" w:before="0"/>
        <w:ind w:left="1184" w:right="0" w:firstLine="0"/>
        <w:jc w:val="left"/>
        <w:rPr>
          <w:sz w:val="13"/>
        </w:rPr>
      </w:pPr>
      <w:r>
        <w:rPr>
          <w:sz w:val="13"/>
        </w:rPr>
        <w:t>DW</w:t>
      </w:r>
    </w:p>
    <w:p>
      <w:pPr>
        <w:pStyle w:val="BodyText"/>
        <w:tabs>
          <w:tab w:pos="1392" w:val="left" w:leader="none"/>
        </w:tabs>
        <w:spacing w:line="193" w:lineRule="exact" w:before="104"/>
        <w:ind w:left="785"/>
      </w:pPr>
      <w:r>
        <w:rPr/>
        <w:pict>
          <v:shape style="position:absolute;margin-left:112.000603pt;margin-top:10.321959pt;width:7.2pt;height:7.2pt;mso-position-horizontal-relative:page;mso-position-vertical-relative:paragraph;z-index:-2449552" type="#_x0000_t202" filled="false" stroked="false">
            <v:textbox inset="0,0,0,0">
              <w:txbxContent>
                <w:p>
                  <w:pPr>
                    <w:spacing w:line="144" w:lineRule="exact" w:before="0"/>
                    <w:ind w:left="0" w:right="0" w:firstLine="0"/>
                    <w:jc w:val="left"/>
                    <w:rPr>
                      <w:sz w:val="13"/>
                    </w:rPr>
                  </w:pPr>
                  <w:r>
                    <w:rPr>
                      <w:spacing w:val="-1"/>
                      <w:sz w:val="13"/>
                    </w:rPr>
                    <w:t>FF</w:t>
                  </w:r>
                </w:p>
              </w:txbxContent>
            </v:textbox>
            <w10:wrap type="none"/>
          </v:shape>
        </w:pict>
      </w:r>
      <w:r>
        <w:rPr/>
        <w:t>∆C</w:t>
        <w:tab/>
        <w:t>= change in carbon stocks in litter in forest land remaining forest land, tonnes C</w:t>
      </w:r>
      <w:r>
        <w:rPr>
          <w:spacing w:val="-9"/>
        </w:rPr>
        <w:t> </w:t>
      </w:r>
      <w:r>
        <w:rPr/>
        <w:t>yr</w:t>
      </w:r>
      <w:r>
        <w:rPr>
          <w:vertAlign w:val="superscript"/>
        </w:rPr>
        <w:t>-1</w:t>
      </w:r>
    </w:p>
    <w:p>
      <w:pPr>
        <w:spacing w:line="113" w:lineRule="exact" w:before="0"/>
        <w:ind w:left="1186" w:right="0" w:firstLine="0"/>
        <w:jc w:val="left"/>
        <w:rPr>
          <w:sz w:val="13"/>
        </w:rPr>
      </w:pPr>
      <w:r>
        <w:rPr>
          <w:sz w:val="13"/>
        </w:rPr>
        <w:t>LT</w:t>
      </w:r>
    </w:p>
    <w:p>
      <w:pPr>
        <w:pStyle w:val="BodyText"/>
      </w:pPr>
    </w:p>
    <w:p>
      <w:pPr>
        <w:pStyle w:val="Heading6"/>
        <w:ind w:left="219"/>
        <w:jc w:val="both"/>
      </w:pPr>
      <w:r>
        <w:rPr/>
        <w:t>3.2.1.2 .1 METHODOLOGICAL ISSUES</w:t>
      </w:r>
    </w:p>
    <w:p>
      <w:pPr>
        <w:spacing w:line="228" w:lineRule="exact" w:before="119"/>
        <w:ind w:left="219" w:right="0" w:firstLine="0"/>
        <w:jc w:val="both"/>
        <w:rPr>
          <w:b/>
          <w:sz w:val="20"/>
        </w:rPr>
      </w:pPr>
      <w:r>
        <w:rPr>
          <w:b/>
          <w:sz w:val="20"/>
        </w:rPr>
        <w:t>DEAD WOOD </w:t>
      </w:r>
    </w:p>
    <w:p>
      <w:pPr>
        <w:pStyle w:val="BodyText"/>
        <w:ind w:left="219" w:right="265"/>
        <w:jc w:val="both"/>
      </w:pPr>
      <w:r>
        <w:rPr/>
        <w:t>Dead wood is a diverse pool with many practical problems for measuring in the field and associated uncertainties about rates of transfer to litter, soil, or emissions to the atmosphere. Carbon in dead wood is highly variable between stands across the landscape, both in managed stands (Duvall and Grigal, 1999; Chojnacky and Heath, 2002) and even in unmanaged stands (Spies </w:t>
      </w:r>
      <w:r>
        <w:rPr>
          <w:i/>
        </w:rPr>
        <w:t>et al.</w:t>
      </w:r>
      <w:r>
        <w:rPr/>
        <w:t>, 1988). Amounts of dead wood depend on the time of last disturbance, the amount of input (mortality) at the time of the disturbance (Spies </w:t>
      </w:r>
      <w:r>
        <w:rPr>
          <w:i/>
        </w:rPr>
        <w:t>et al. </w:t>
      </w:r>
      <w:r>
        <w:rPr/>
        <w:t>1988), natural mortality rates, decay rate, and management. The proposed approach recognizes the regional importance of forest type, disturbance regime, and management regime on the carbon stocks in dead wood, and allows for the  incorporation of available scientific knowledge and</w:t>
      </w:r>
      <w:r>
        <w:rPr>
          <w:spacing w:val="-4"/>
        </w:rPr>
        <w:t> </w:t>
      </w:r>
      <w:r>
        <w:rPr/>
        <w:t>data.</w:t>
      </w:r>
    </w:p>
    <w:p>
      <w:pPr>
        <w:pStyle w:val="BodyText"/>
        <w:spacing w:before="1"/>
        <w:rPr>
          <w:sz w:val="21"/>
        </w:rPr>
      </w:pPr>
    </w:p>
    <w:p>
      <w:pPr>
        <w:spacing w:line="227" w:lineRule="exact" w:before="1"/>
        <w:ind w:left="219" w:right="0" w:firstLine="0"/>
        <w:jc w:val="both"/>
        <w:rPr>
          <w:b/>
          <w:sz w:val="20"/>
        </w:rPr>
      </w:pPr>
      <w:r>
        <w:rPr>
          <w:b/>
          <w:sz w:val="20"/>
        </w:rPr>
        <w:t>LITTER </w:t>
      </w:r>
    </w:p>
    <w:p>
      <w:pPr>
        <w:pStyle w:val="BodyText"/>
        <w:ind w:left="219" w:right="263"/>
        <w:jc w:val="both"/>
      </w:pPr>
      <w:r>
        <w:rPr/>
        <w:t>The accumulation of litter is a function of the annual amount of litterfall, which includes all leaves, twigs and small branches, fruits, flowers, and bark, minus the annual rate of decomposition. The litter mass is also influenced by the time of last disturbance, and the type of disturbance. During the early stages of stand development, litter increases rapidly. Management such as timber harvesting, slash burning, and site preparation dramatically alter litter properties (Fisher and Binkley, 2000), but there are few studies clearly documenting the effects of management on litter carbon (Smith and Heath, 2002).</w:t>
      </w:r>
    </w:p>
    <w:p>
      <w:pPr>
        <w:pStyle w:val="BodyText"/>
        <w:spacing w:before="116"/>
        <w:ind w:left="219" w:right="267"/>
        <w:jc w:val="both"/>
      </w:pPr>
      <w:r>
        <w:rPr/>
        <w:t>The proposed approach recognizes the important impact of forest type, and disturbance regimes or management activities on the carbon in litter, and allows for the incorporation of the available scientific knowledge and data. The methodology assumes:</w:t>
      </w:r>
    </w:p>
    <w:p>
      <w:pPr>
        <w:pStyle w:val="BodyText"/>
        <w:tabs>
          <w:tab w:pos="579" w:val="left" w:leader="none"/>
        </w:tabs>
        <w:spacing w:line="223" w:lineRule="auto" w:before="148"/>
        <w:ind w:left="576" w:right="354" w:hanging="358"/>
      </w:pPr>
      <w:r>
        <w:rPr>
          <w:rFonts w:ascii="Symbol" w:hAnsi="Symbol"/>
        </w:rPr>
        <w:t>•</w:t>
        <w:tab/>
        <w:tab/>
      </w:r>
      <w:r>
        <w:rPr/>
        <w:t>Carbon in the litter pool eventually attains a spatially-averaged, stable value specific to the forest type, disturbance regime, and management</w:t>
      </w:r>
      <w:r>
        <w:rPr>
          <w:spacing w:val="3"/>
        </w:rPr>
        <w:t> </w:t>
      </w:r>
      <w:r>
        <w:rPr/>
        <w:t>practice;</w:t>
      </w:r>
    </w:p>
    <w:p>
      <w:pPr>
        <w:pStyle w:val="BodyText"/>
        <w:spacing w:line="232" w:lineRule="auto" w:before="142"/>
        <w:ind w:left="576" w:right="264" w:hanging="358"/>
        <w:jc w:val="both"/>
      </w:pPr>
      <w:r>
        <w:rPr>
          <w:rFonts w:ascii="Symbol" w:hAnsi="Symbol"/>
        </w:rPr>
        <w:t>• </w:t>
      </w:r>
      <w:r>
        <w:rPr/>
        <w:t>Changes leading to a new stable litter carbon value occur over a transition time. A column in Table 3.2.1 features updated default factors for the transition period. The value of carbon in litter generally stabilizes sooner than aboveground biomass stocks; and</w:t>
      </w:r>
    </w:p>
    <w:p>
      <w:pPr>
        <w:pStyle w:val="BodyText"/>
        <w:spacing w:before="134"/>
        <w:ind w:left="219"/>
        <w:jc w:val="both"/>
      </w:pPr>
      <w:r>
        <w:rPr>
          <w:rFonts w:ascii="Symbol" w:hAnsi="Symbol"/>
        </w:rPr>
        <w:t>• </w:t>
      </w:r>
      <w:r>
        <w:rPr/>
        <w:t>Carbon sequestration during the transition to a new equilibrium is linear.</w:t>
      </w:r>
    </w:p>
    <w:p>
      <w:pPr>
        <w:pStyle w:val="Heading6"/>
        <w:spacing w:before="230"/>
        <w:ind w:left="219"/>
        <w:jc w:val="both"/>
      </w:pPr>
      <w:r>
        <w:rPr/>
        <w:t>3.2.1.2 .1.1 Choice of Method</w:t>
      </w:r>
    </w:p>
    <w:p>
      <w:pPr>
        <w:pStyle w:val="BodyText"/>
        <w:spacing w:before="53"/>
        <w:ind w:left="219"/>
        <w:jc w:val="both"/>
      </w:pPr>
      <w:r>
        <w:rPr/>
        <w:t>Depending on available data, the country may arrive at a different tier for the dead wood and litter pools.</w:t>
      </w:r>
    </w:p>
    <w:p>
      <w:pPr>
        <w:pStyle w:val="BodyText"/>
        <w:spacing w:before="4"/>
        <w:rPr>
          <w:sz w:val="21"/>
        </w:rPr>
      </w:pPr>
    </w:p>
    <w:p>
      <w:pPr>
        <w:spacing w:line="228" w:lineRule="exact" w:before="0"/>
        <w:ind w:left="219" w:right="0" w:firstLine="0"/>
        <w:jc w:val="both"/>
        <w:rPr>
          <w:b/>
          <w:sz w:val="20"/>
        </w:rPr>
      </w:pPr>
      <w:r>
        <w:rPr>
          <w:b/>
          <w:sz w:val="20"/>
        </w:rPr>
        <w:t>Calculation procedure for change in carbon stocks in dead wood </w:t>
      </w:r>
    </w:p>
    <w:p>
      <w:pPr>
        <w:pStyle w:val="BodyText"/>
        <w:ind w:left="219" w:right="266"/>
        <w:jc w:val="both"/>
      </w:pPr>
      <w:r>
        <w:rPr/>
        <w:t>The </w:t>
      </w:r>
      <w:r>
        <w:rPr>
          <w:i/>
        </w:rPr>
        <w:t>IPCC Guidelines </w:t>
      </w:r>
      <w:r>
        <w:rPr/>
        <w:t>do not require estimation or reporting on dead wood or litter, on the assumption that the time average value of these pools will remain constant with inputs to dead matter pools balanced by outputs. The GPG retains this default assumption but provides advice for reporting at higher tiers for Convention purposes and to meet the requirements set out in Chapter</w:t>
      </w:r>
      <w:r>
        <w:rPr>
          <w:spacing w:val="6"/>
        </w:rPr>
        <w:t> </w:t>
      </w:r>
      <w:r>
        <w:rPr/>
        <w:t>4.</w:t>
      </w:r>
    </w:p>
    <w:p>
      <w:pPr>
        <w:pStyle w:val="BodyText"/>
        <w:spacing w:before="117"/>
        <w:ind w:left="219" w:right="266"/>
        <w:jc w:val="both"/>
      </w:pPr>
      <w:r>
        <w:rPr/>
        <w:t>The change in carbon stocks in dead wood for an area of forest land can be calculated using two options, given  in Equation 3.2.11 and Equation 3.2.12. The forest land areas should be categorised by forest type, disturbance regime, management regime, or other factors significantly affecting dead wood carbon pools. Gross CO</w:t>
      </w:r>
      <w:r>
        <w:rPr>
          <w:vertAlign w:val="subscript"/>
        </w:rPr>
        <w:t>2</w:t>
      </w:r>
      <w:r>
        <w:rPr>
          <w:vertAlign w:val="baseline"/>
        </w:rPr>
        <w:t> emissions from dead wood should be calculated as part of Equation 3.2.11 at Tier 2 or Tier</w:t>
      </w:r>
      <w:r>
        <w:rPr>
          <w:spacing w:val="-23"/>
          <w:vertAlign w:val="baseline"/>
        </w:rPr>
        <w:t> </w:t>
      </w:r>
      <w:r>
        <w:rPr>
          <w:vertAlign w:val="baseline"/>
        </w:rPr>
        <w:t>3.</w:t>
      </w:r>
    </w:p>
    <w:p>
      <w:pPr>
        <w:pStyle w:val="BodyText"/>
        <w:spacing w:before="1"/>
        <w:rPr>
          <w:sz w:val="11"/>
        </w:rPr>
      </w:pPr>
      <w:r>
        <w:rPr/>
        <w:pict>
          <v:shape style="position:absolute;margin-left:91.960999pt;margin-top:9.087057pt;width:411.5pt;height:64.6pt;mso-position-horizontal-relative:page;mso-position-vertical-relative:paragraph;z-index:4520;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3.2.11</w:t>
                  </w:r>
                </w:p>
                <w:p>
                  <w:pPr>
                    <w:spacing w:before="0"/>
                    <w:ind w:left="105" w:right="68" w:firstLine="0"/>
                    <w:jc w:val="center"/>
                    <w:rPr>
                      <w:b/>
                      <w:sz w:val="16"/>
                    </w:rPr>
                  </w:pPr>
                  <w:r>
                    <w:rPr>
                      <w:b/>
                      <w:sz w:val="20"/>
                    </w:rPr>
                    <w:t>A</w:t>
                  </w:r>
                  <w:r>
                    <w:rPr>
                      <w:b/>
                      <w:sz w:val="16"/>
                    </w:rPr>
                    <w:t>NNUAL CHANGE IN CARBON STOCKS IN DEAD WOOD IN FOREST LAND REMAINING FOREST LAND</w:t>
                  </w:r>
                </w:p>
                <w:p>
                  <w:pPr>
                    <w:spacing w:before="0"/>
                    <w:ind w:left="68" w:right="68" w:firstLine="0"/>
                    <w:jc w:val="center"/>
                    <w:rPr>
                      <w:b/>
                      <w:sz w:val="20"/>
                    </w:rPr>
                  </w:pPr>
                  <w:r>
                    <w:rPr>
                      <w:b/>
                      <w:sz w:val="20"/>
                    </w:rPr>
                    <w:t>(O</w:t>
                  </w:r>
                  <w:r>
                    <w:rPr>
                      <w:b/>
                      <w:sz w:val="16"/>
                    </w:rPr>
                    <w:t>PTION </w:t>
                  </w:r>
                  <w:r>
                    <w:rPr>
                      <w:b/>
                      <w:sz w:val="20"/>
                    </w:rPr>
                    <w:t>1)</w:t>
                  </w:r>
                </w:p>
                <w:p>
                  <w:pPr>
                    <w:pStyle w:val="BodyText"/>
                    <w:spacing w:before="78"/>
                    <w:ind w:left="68" w:right="68"/>
                    <w:jc w:val="center"/>
                  </w:pPr>
                  <w:r>
                    <w:rPr/>
                    <w:t>∆C</w:t>
                  </w:r>
                  <w:r>
                    <w:rPr>
                      <w:vertAlign w:val="subscript"/>
                    </w:rPr>
                    <w:t>FF</w:t>
                  </w:r>
                  <w:r>
                    <w:rPr>
                      <w:position w:val="-8"/>
                      <w:sz w:val="13"/>
                      <w:vertAlign w:val="baseline"/>
                    </w:rPr>
                    <w:t>DW </w:t>
                  </w:r>
                  <w:r>
                    <w:rPr>
                      <w:vertAlign w:val="baseline"/>
                    </w:rPr>
                    <w:t>= [A ● (B</w:t>
                  </w:r>
                  <w:r>
                    <w:rPr>
                      <w:vertAlign w:val="subscript"/>
                    </w:rPr>
                    <w:t>into</w:t>
                  </w:r>
                  <w:r>
                    <w:rPr>
                      <w:vertAlign w:val="baseline"/>
                    </w:rPr>
                    <w:t> – B</w:t>
                  </w:r>
                  <w:r>
                    <w:rPr>
                      <w:vertAlign w:val="subscript"/>
                    </w:rPr>
                    <w:t>out</w:t>
                  </w:r>
                  <w:r>
                    <w:rPr>
                      <w:vertAlign w:val="baseline"/>
                    </w:rPr>
                    <w:t>)] ● CF</w:t>
                  </w:r>
                </w:p>
              </w:txbxContent>
            </v:textbox>
            <v:stroke dashstyle="solid"/>
            <w10:wrap type="topAndBottom"/>
          </v:shape>
        </w:pict>
      </w:r>
    </w:p>
    <w:p>
      <w:pPr>
        <w:pStyle w:val="BodyText"/>
        <w:spacing w:before="4"/>
        <w:ind w:left="219"/>
      </w:pPr>
      <w:r>
        <w:rPr/>
        <w:t>Where:</w:t>
      </w:r>
    </w:p>
    <w:p>
      <w:pPr>
        <w:pStyle w:val="BodyText"/>
        <w:tabs>
          <w:tab w:pos="1143" w:val="left" w:leader="none"/>
        </w:tabs>
        <w:spacing w:line="350" w:lineRule="auto" w:before="118"/>
        <w:ind w:left="785" w:right="321"/>
      </w:pPr>
      <w:r>
        <w:rPr/>
        <w:t>∆C</w:t>
      </w:r>
      <w:r>
        <w:rPr>
          <w:vertAlign w:val="subscript"/>
        </w:rPr>
        <w:t>FF</w:t>
      </w:r>
      <w:r>
        <w:rPr>
          <w:position w:val="-8"/>
          <w:sz w:val="13"/>
          <w:vertAlign w:val="baseline"/>
        </w:rPr>
        <w:t>DW </w:t>
      </w:r>
      <w:r>
        <w:rPr>
          <w:vertAlign w:val="baseline"/>
        </w:rPr>
        <w:t>= annual change in carbon stocks in dead wood in forest land remaining forest land, tonnes C yr</w:t>
      </w:r>
      <w:r>
        <w:rPr>
          <w:vertAlign w:val="superscript"/>
        </w:rPr>
        <w:t>-1</w:t>
      </w:r>
      <w:r>
        <w:rPr>
          <w:vertAlign w:val="baseline"/>
        </w:rPr>
        <w:t> A</w:t>
        <w:tab/>
        <w:t>= area of managed forest land remaining forest land,</w:t>
      </w:r>
      <w:r>
        <w:rPr>
          <w:spacing w:val="-4"/>
          <w:vertAlign w:val="baseline"/>
        </w:rPr>
        <w:t> </w:t>
      </w:r>
      <w:r>
        <w:rPr>
          <w:vertAlign w:val="baseline"/>
        </w:rPr>
        <w:t>ha</w:t>
      </w:r>
    </w:p>
    <w:p>
      <w:pPr>
        <w:spacing w:after="0" w:line="350" w:lineRule="auto"/>
        <w:sectPr>
          <w:pgSz w:w="11900" w:h="16840"/>
          <w:pgMar w:header="230" w:footer="408" w:top="560" w:bottom="600" w:left="1200" w:right="1140"/>
        </w:sectPr>
      </w:pPr>
    </w:p>
    <w:p>
      <w:pPr>
        <w:pStyle w:val="BodyText"/>
        <w:spacing w:before="8"/>
        <w:rPr>
          <w:sz w:val="27"/>
        </w:rPr>
      </w:pPr>
    </w:p>
    <w:p>
      <w:pPr>
        <w:pStyle w:val="BodyText"/>
        <w:spacing w:line="364" w:lineRule="auto" w:before="121"/>
        <w:ind w:left="785" w:right="3233"/>
      </w:pPr>
      <w:r>
        <w:rPr/>
        <w:t>B</w:t>
      </w:r>
      <w:r>
        <w:rPr>
          <w:vertAlign w:val="subscript"/>
        </w:rPr>
        <w:t>into</w:t>
      </w:r>
      <w:r>
        <w:rPr>
          <w:vertAlign w:val="baseline"/>
        </w:rPr>
        <w:t> = average annual transfer into dead wood</w:t>
      </w:r>
      <w:r>
        <w:rPr>
          <w:i/>
          <w:vertAlign w:val="baseline"/>
        </w:rPr>
        <w:t>, </w:t>
      </w:r>
      <w:r>
        <w:rPr>
          <w:vertAlign w:val="baseline"/>
        </w:rPr>
        <w:t>tonnes d.m. ha</w:t>
      </w:r>
      <w:r>
        <w:rPr>
          <w:vertAlign w:val="superscript"/>
        </w:rPr>
        <w:t>-1</w:t>
      </w:r>
      <w:r>
        <w:rPr>
          <w:vertAlign w:val="baseline"/>
        </w:rPr>
        <w:t> yr</w:t>
      </w:r>
      <w:r>
        <w:rPr>
          <w:vertAlign w:val="superscript"/>
        </w:rPr>
        <w:t>-1</w:t>
      </w:r>
      <w:r>
        <w:rPr>
          <w:vertAlign w:val="baseline"/>
        </w:rPr>
        <w:t> B</w:t>
      </w:r>
      <w:r>
        <w:rPr>
          <w:vertAlign w:val="subscript"/>
        </w:rPr>
        <w:t>out</w:t>
      </w:r>
      <w:r>
        <w:rPr>
          <w:vertAlign w:val="baseline"/>
        </w:rPr>
        <w:t> = average annual transfer out of dead wood</w:t>
      </w:r>
      <w:r>
        <w:rPr>
          <w:i/>
          <w:vertAlign w:val="baseline"/>
        </w:rPr>
        <w:t>, </w:t>
      </w:r>
      <w:r>
        <w:rPr>
          <w:vertAlign w:val="baseline"/>
        </w:rPr>
        <w:t>tonnes d.m. ha</w:t>
      </w:r>
      <w:r>
        <w:rPr>
          <w:vertAlign w:val="superscript"/>
        </w:rPr>
        <w:t>-1</w:t>
      </w:r>
      <w:r>
        <w:rPr>
          <w:vertAlign w:val="baseline"/>
        </w:rPr>
        <w:t> yr</w:t>
      </w:r>
      <w:r>
        <w:rPr>
          <w:vertAlign w:val="superscript"/>
        </w:rPr>
        <w:t>-1</w:t>
      </w:r>
    </w:p>
    <w:p>
      <w:pPr>
        <w:pStyle w:val="BodyText"/>
        <w:spacing w:before="1"/>
        <w:ind w:left="785"/>
      </w:pPr>
      <w:r>
        <w:rPr/>
        <w:t>CF = carbon fraction of dry matter (default = 0.5), tonnes C (tonne d.m.)</w:t>
      </w:r>
      <w:r>
        <w:rPr>
          <w:vertAlign w:val="superscript"/>
        </w:rPr>
        <w:t>-1</w:t>
      </w:r>
    </w:p>
    <w:p>
      <w:pPr>
        <w:pStyle w:val="BodyText"/>
        <w:spacing w:before="121"/>
        <w:ind w:left="219" w:right="265"/>
        <w:jc w:val="both"/>
      </w:pPr>
      <w:r>
        <w:rPr/>
        <w:t>B</w:t>
      </w:r>
      <w:r>
        <w:rPr>
          <w:vertAlign w:val="subscript"/>
        </w:rPr>
        <w:t>into</w:t>
      </w:r>
      <w:r>
        <w:rPr>
          <w:vertAlign w:val="baseline"/>
        </w:rPr>
        <w:t>, the annual transfer into the dead wood pool, includes biomass cut for harvest but left on the site, natural mortality, and biomass from trees killed by fire or other disturbances, but not emitted at the time of disturbance. B</w:t>
      </w:r>
      <w:r>
        <w:rPr>
          <w:vertAlign w:val="subscript"/>
        </w:rPr>
        <w:t>out</w:t>
      </w:r>
      <w:r>
        <w:rPr>
          <w:vertAlign w:val="baseline"/>
        </w:rPr>
        <w:t>, average annual transfer out of dead wood pool, is the carbon emissions from the dead wood pool. These are calculated by multiplying the dead wood carbon stock by a decay rate. The </w:t>
      </w:r>
      <w:r>
        <w:rPr>
          <w:i/>
          <w:vertAlign w:val="baseline"/>
        </w:rPr>
        <w:t>IPCC Guidelines</w:t>
      </w:r>
      <w:r>
        <w:rPr>
          <w:vertAlign w:val="baseline"/>
        </w:rPr>
        <w:t>, assume that B</w:t>
      </w:r>
      <w:r>
        <w:rPr>
          <w:vertAlign w:val="subscript"/>
        </w:rPr>
        <w:t>into</w:t>
      </w:r>
      <w:r>
        <w:rPr>
          <w:vertAlign w:val="baseline"/>
        </w:rPr>
        <w:t> and B</w:t>
      </w:r>
      <w:r>
        <w:rPr>
          <w:vertAlign w:val="subscript"/>
        </w:rPr>
        <w:t>out</w:t>
      </w:r>
      <w:r>
        <w:rPr>
          <w:vertAlign w:val="baseline"/>
        </w:rPr>
        <w:t> balance so that ∆C</w:t>
      </w:r>
      <w:r>
        <w:rPr>
          <w:vertAlign w:val="subscript"/>
        </w:rPr>
        <w:t>FF</w:t>
      </w:r>
      <w:r>
        <w:rPr>
          <w:position w:val="-8"/>
          <w:sz w:val="13"/>
          <w:vertAlign w:val="baseline"/>
        </w:rPr>
        <w:t>DW </w:t>
      </w:r>
      <w:r>
        <w:rPr>
          <w:vertAlign w:val="baseline"/>
        </w:rPr>
        <w:t>equals zero.</w:t>
      </w:r>
    </w:p>
    <w:p>
      <w:pPr>
        <w:pStyle w:val="BodyText"/>
        <w:spacing w:before="105"/>
        <w:ind w:left="219" w:right="263"/>
        <w:jc w:val="both"/>
      </w:pPr>
      <w:r>
        <w:rPr/>
        <w:t>The equation chosen depends on available data. Transfers into and out of a dead wood pool for Equation 3.2.11 may be difficult to measure. The stock change method described in Equation 3.2.12 is used with survey data sampled according to the principles set out in Section 5.3.</w:t>
      </w:r>
    </w:p>
    <w:p>
      <w:pPr>
        <w:pStyle w:val="BodyText"/>
        <w:rPr>
          <w:sz w:val="11"/>
        </w:rPr>
      </w:pPr>
      <w:r>
        <w:rPr/>
        <w:pict>
          <v:shape style="position:absolute;margin-left:91.960999pt;margin-top:9.030156pt;width:411.5pt;height:64.6pt;mso-position-horizontal-relative:page;mso-position-vertical-relative:paragraph;z-index:4592;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3.2.12</w:t>
                  </w:r>
                </w:p>
                <w:p>
                  <w:pPr>
                    <w:spacing w:before="0"/>
                    <w:ind w:left="104" w:right="68" w:firstLine="0"/>
                    <w:jc w:val="center"/>
                    <w:rPr>
                      <w:b/>
                      <w:sz w:val="16"/>
                    </w:rPr>
                  </w:pPr>
                  <w:r>
                    <w:rPr>
                      <w:b/>
                      <w:sz w:val="20"/>
                    </w:rPr>
                    <w:t>A</w:t>
                  </w:r>
                  <w:r>
                    <w:rPr>
                      <w:b/>
                      <w:sz w:val="16"/>
                    </w:rPr>
                    <w:t>NNUAL CHANGE IN CARBON STOCKS IN DEAD WOOD IN FOREST LAND REMAINING FOREST LAND</w:t>
                  </w:r>
                </w:p>
                <w:p>
                  <w:pPr>
                    <w:spacing w:before="0"/>
                    <w:ind w:left="68" w:right="68" w:firstLine="0"/>
                    <w:jc w:val="center"/>
                    <w:rPr>
                      <w:b/>
                      <w:sz w:val="20"/>
                    </w:rPr>
                  </w:pPr>
                  <w:r>
                    <w:rPr>
                      <w:b/>
                      <w:sz w:val="20"/>
                    </w:rPr>
                    <w:t>(O</w:t>
                  </w:r>
                  <w:r>
                    <w:rPr>
                      <w:b/>
                      <w:sz w:val="16"/>
                    </w:rPr>
                    <w:t>PTION </w:t>
                  </w:r>
                  <w:r>
                    <w:rPr>
                      <w:b/>
                      <w:sz w:val="20"/>
                    </w:rPr>
                    <w:t>2)</w:t>
                  </w:r>
                </w:p>
                <w:p>
                  <w:pPr>
                    <w:pStyle w:val="BodyText"/>
                    <w:spacing w:before="78"/>
                    <w:ind w:left="68" w:right="68"/>
                    <w:jc w:val="center"/>
                  </w:pPr>
                  <w:r>
                    <w:rPr/>
                    <w:t>∆C</w:t>
                  </w:r>
                  <w:r>
                    <w:rPr>
                      <w:vertAlign w:val="subscript"/>
                    </w:rPr>
                    <w:t>FF</w:t>
                  </w:r>
                  <w:r>
                    <w:rPr>
                      <w:position w:val="-8"/>
                      <w:sz w:val="13"/>
                      <w:vertAlign w:val="baseline"/>
                    </w:rPr>
                    <w:t>DW </w:t>
                  </w:r>
                  <w:r>
                    <w:rPr>
                      <w:vertAlign w:val="baseline"/>
                    </w:rPr>
                    <w:t>= [A ● (B</w:t>
                  </w:r>
                  <w:r>
                    <w:rPr>
                      <w:vertAlign w:val="subscript"/>
                    </w:rPr>
                    <w:t>t</w:t>
                  </w:r>
                  <w:r>
                    <w:rPr>
                      <w:position w:val="-6"/>
                      <w:sz w:val="13"/>
                      <w:vertAlign w:val="baseline"/>
                    </w:rPr>
                    <w:t>2 </w:t>
                  </w:r>
                  <w:r>
                    <w:rPr>
                      <w:vertAlign w:val="baseline"/>
                    </w:rPr>
                    <w:t>– B</w:t>
                  </w:r>
                  <w:r>
                    <w:rPr>
                      <w:vertAlign w:val="subscript"/>
                    </w:rPr>
                    <w:t>t</w:t>
                  </w:r>
                  <w:r>
                    <w:rPr>
                      <w:position w:val="-6"/>
                      <w:sz w:val="13"/>
                      <w:vertAlign w:val="baseline"/>
                    </w:rPr>
                    <w:t>1</w:t>
                  </w:r>
                  <w:r>
                    <w:rPr>
                      <w:vertAlign w:val="baseline"/>
                    </w:rPr>
                    <w:t>) / T] ● CF</w:t>
                  </w:r>
                </w:p>
              </w:txbxContent>
            </v:textbox>
            <v:stroke dashstyle="solid"/>
            <w10:wrap type="topAndBottom"/>
          </v:shape>
        </w:pict>
      </w:r>
    </w:p>
    <w:p>
      <w:pPr>
        <w:pStyle w:val="BodyText"/>
        <w:spacing w:before="4"/>
        <w:ind w:left="219"/>
        <w:jc w:val="both"/>
      </w:pPr>
      <w:r>
        <w:rPr/>
        <w:t>Where:</w:t>
      </w:r>
    </w:p>
    <w:p>
      <w:pPr>
        <w:pStyle w:val="BodyText"/>
        <w:tabs>
          <w:tab w:pos="1450" w:val="left" w:leader="none"/>
        </w:tabs>
        <w:spacing w:line="193" w:lineRule="exact" w:before="121"/>
        <w:ind w:left="785"/>
      </w:pPr>
      <w:r>
        <w:rPr/>
        <w:pict>
          <v:shape style="position:absolute;margin-left:112.000603pt;margin-top:11.171778pt;width:7.2pt;height:7.2pt;mso-position-horizontal-relative:page;mso-position-vertical-relative:paragraph;z-index:-2449504" type="#_x0000_t202" filled="false" stroked="false">
            <v:textbox inset="0,0,0,0">
              <w:txbxContent>
                <w:p>
                  <w:pPr>
                    <w:spacing w:line="144" w:lineRule="exact" w:before="0"/>
                    <w:ind w:left="0" w:right="0" w:firstLine="0"/>
                    <w:jc w:val="left"/>
                    <w:rPr>
                      <w:sz w:val="13"/>
                    </w:rPr>
                  </w:pPr>
                  <w:r>
                    <w:rPr>
                      <w:spacing w:val="-1"/>
                      <w:sz w:val="13"/>
                    </w:rPr>
                    <w:t>FF</w:t>
                  </w:r>
                </w:p>
              </w:txbxContent>
            </v:textbox>
            <w10:wrap type="none"/>
          </v:shape>
        </w:pict>
      </w:r>
      <w:r>
        <w:rPr/>
        <w:t>∆C</w:t>
        <w:tab/>
        <w:t>= annual change in carbon stocks in dead wood in forest land remaining forest land, tonnes C</w:t>
      </w:r>
      <w:r>
        <w:rPr>
          <w:spacing w:val="-33"/>
        </w:rPr>
        <w:t> </w:t>
      </w:r>
      <w:r>
        <w:rPr/>
        <w:t>yr</w:t>
      </w:r>
      <w:r>
        <w:rPr>
          <w:vertAlign w:val="superscript"/>
        </w:rPr>
        <w:t>-1</w:t>
      </w:r>
    </w:p>
    <w:p>
      <w:pPr>
        <w:spacing w:line="113" w:lineRule="exact" w:before="0"/>
        <w:ind w:left="1184" w:right="0" w:firstLine="0"/>
        <w:jc w:val="left"/>
        <w:rPr>
          <w:sz w:val="13"/>
        </w:rPr>
      </w:pPr>
      <w:r>
        <w:rPr>
          <w:sz w:val="13"/>
        </w:rPr>
        <w:t>DW</w:t>
      </w:r>
    </w:p>
    <w:p>
      <w:pPr>
        <w:pStyle w:val="BodyText"/>
        <w:spacing w:before="102"/>
        <w:ind w:left="785"/>
      </w:pPr>
      <w:r>
        <w:rPr/>
        <w:t>A = area of managed forest land remaining forest land, ha</w:t>
      </w:r>
    </w:p>
    <w:p>
      <w:pPr>
        <w:pStyle w:val="BodyText"/>
        <w:spacing w:before="120"/>
        <w:ind w:left="785"/>
      </w:pPr>
      <w:r>
        <w:rPr/>
        <w:t>B</w:t>
      </w:r>
      <w:r>
        <w:rPr>
          <w:vertAlign w:val="subscript"/>
        </w:rPr>
        <w:t>t1</w:t>
      </w:r>
      <w:r>
        <w:rPr>
          <w:vertAlign w:val="baseline"/>
        </w:rPr>
        <w:t> = dead wood stock at time t</w:t>
      </w:r>
      <w:r>
        <w:rPr>
          <w:vertAlign w:val="subscript"/>
        </w:rPr>
        <w:t>1</w:t>
      </w:r>
      <w:r>
        <w:rPr>
          <w:vertAlign w:val="baseline"/>
        </w:rPr>
        <w:t> for managed forest land remaining forest land, tonnes d.m. ha</w:t>
      </w:r>
      <w:r>
        <w:rPr>
          <w:vertAlign w:val="superscript"/>
        </w:rPr>
        <w:t>-1</w:t>
      </w:r>
    </w:p>
    <w:p>
      <w:pPr>
        <w:pStyle w:val="BodyText"/>
        <w:spacing w:before="120"/>
        <w:ind w:left="785"/>
      </w:pPr>
      <w:r>
        <w:rPr/>
        <w:t>B</w:t>
      </w:r>
      <w:r>
        <w:rPr>
          <w:vertAlign w:val="subscript"/>
        </w:rPr>
        <w:t>t2</w:t>
      </w:r>
      <w:r>
        <w:rPr>
          <w:vertAlign w:val="baseline"/>
        </w:rPr>
        <w:t> = dead wood stock at time t</w:t>
      </w:r>
      <w:r>
        <w:rPr>
          <w:vertAlign w:val="subscript"/>
        </w:rPr>
        <w:t>2</w:t>
      </w:r>
      <w:r>
        <w:rPr>
          <w:vertAlign w:val="baseline"/>
        </w:rPr>
        <w:t> (the previous time) for managed forest land remaining forest land, tonnes</w:t>
      </w:r>
    </w:p>
    <w:p>
      <w:pPr>
        <w:pStyle w:val="BodyText"/>
        <w:spacing w:before="1"/>
        <w:ind w:left="1239"/>
      </w:pPr>
      <w:r>
        <w:rPr/>
        <w:t>d.m. ha</w:t>
      </w:r>
      <w:r>
        <w:rPr>
          <w:vertAlign w:val="superscript"/>
        </w:rPr>
        <w:t>-1</w:t>
      </w:r>
    </w:p>
    <w:p>
      <w:pPr>
        <w:pStyle w:val="BodyText"/>
        <w:spacing w:line="364" w:lineRule="auto" w:before="120"/>
        <w:ind w:left="785" w:right="673"/>
      </w:pPr>
      <w:r>
        <w:rPr/>
        <w:t>T (= t</w:t>
      </w:r>
      <w:r>
        <w:rPr>
          <w:vertAlign w:val="subscript"/>
        </w:rPr>
        <w:t>2</w:t>
      </w:r>
      <w:r>
        <w:rPr>
          <w:vertAlign w:val="baseline"/>
        </w:rPr>
        <w:t> – t</w:t>
      </w:r>
      <w:r>
        <w:rPr>
          <w:vertAlign w:val="subscript"/>
        </w:rPr>
        <w:t>1</w:t>
      </w:r>
      <w:r>
        <w:rPr>
          <w:vertAlign w:val="baseline"/>
        </w:rPr>
        <w:t>) = time period between time of the second stock estimate and the first stock estimate, yr CF = carbon fraction of dry matter (default = 0.5), tonnes C (tonne d.m.)</w:t>
      </w:r>
      <w:r>
        <w:rPr>
          <w:vertAlign w:val="superscript"/>
        </w:rPr>
        <w:t>-1</w:t>
      </w:r>
    </w:p>
    <w:p>
      <w:pPr>
        <w:pStyle w:val="BodyText"/>
        <w:ind w:left="219" w:right="262"/>
        <w:jc w:val="both"/>
      </w:pPr>
      <w:r>
        <w:rPr/>
        <w:t>The decision tree in Figure 3.1.1 (Section 3.1.6) provides assistance in the selection of the appropriate tier level for the implementation of estimation procedures. Theoretically, Equations 3.2.11 and 3.2.12 should give the same carbon estimates. In practice, data availability and desired accuracy determine choice of</w:t>
      </w:r>
      <w:r>
        <w:rPr>
          <w:spacing w:val="-22"/>
        </w:rPr>
        <w:t> </w:t>
      </w:r>
      <w:r>
        <w:rPr/>
        <w:t>equation.</w:t>
      </w:r>
    </w:p>
    <w:p>
      <w:pPr>
        <w:pStyle w:val="BodyText"/>
        <w:spacing w:before="121"/>
        <w:ind w:left="219" w:right="264" w:firstLine="50"/>
        <w:jc w:val="both"/>
      </w:pPr>
      <w:r>
        <w:rPr>
          <w:b/>
        </w:rPr>
        <w:t>Tier 1 (Default): </w:t>
      </w:r>
      <w:r>
        <w:rPr/>
        <w:t>The </w:t>
      </w:r>
      <w:r>
        <w:rPr>
          <w:i/>
        </w:rPr>
        <w:t>IPCC Guidelines</w:t>
      </w:r>
      <w:r>
        <w:rPr/>
        <w:t>, consistent with reporting under Tier 1, assume that the average transfer rate into the dead wood pool is equal to the transfer rate out of the dead wood pool so the net change is zero. This assumption means that magnitude of the dead wood carbon pool need not be quantified. Countries experiencing significant changes in forest types, or disturbance or management regimes in their forests are encouraged to develop domestic data to quantify this impact and report it under Tier 2 or 3 methodologies.</w:t>
      </w:r>
    </w:p>
    <w:p>
      <w:pPr>
        <w:pStyle w:val="BodyText"/>
        <w:spacing w:before="119"/>
        <w:ind w:left="219" w:right="263"/>
        <w:jc w:val="both"/>
      </w:pPr>
      <w:r>
        <w:rPr>
          <w:b/>
        </w:rPr>
        <w:t>Tier 2: </w:t>
      </w:r>
      <w:r>
        <w:rPr/>
        <w:t>Equation 3.2.11 or Equation 3.2.12 is used, depending on the type of data available nationally. Activity data are defined by the country by significant forest types, disturbance and management regimes, or other important variables affecting dead wood pool. Where Equation 3.2.11 is used, transfer rates are determined for the country or taken from matching regional sources such as data from nearby countries. Country-specific decay rates are used to estimate carbon emissions from dead wood stocks. When country-specific dead wood carbon stocks defaults are known, Equation 3.2.12 is used.</w:t>
      </w:r>
    </w:p>
    <w:p>
      <w:pPr>
        <w:pStyle w:val="BodyText"/>
        <w:spacing w:before="120"/>
        <w:ind w:left="219" w:right="266"/>
        <w:jc w:val="both"/>
      </w:pPr>
      <w:r>
        <w:rPr>
          <w:b/>
        </w:rPr>
        <w:t>Tier 3: </w:t>
      </w:r>
      <w:r>
        <w:rPr/>
        <w:t>Tier 3 methods are used where countries have country-specific emission factors, and substantial national methodology. Country-defined methodology may be based on detailed inventories of permanent sample plots for their managed forests, and/or models. The statistical design of the inventory, consistent with the principles set out in Chapter 5, will provide information on the uncertainties associated with the inventory. Models used will follow the principles set out in Chapter 5. Equation 3.2.11 or Equation 3.2.12 is used, depending on the available data and</w:t>
      </w:r>
      <w:r>
        <w:rPr>
          <w:spacing w:val="2"/>
        </w:rPr>
        <w:t> </w:t>
      </w:r>
      <w:r>
        <w:rPr/>
        <w:t>methodology.</w:t>
      </w:r>
    </w:p>
    <w:p>
      <w:pPr>
        <w:pStyle w:val="BodyText"/>
        <w:spacing w:before="4"/>
        <w:rPr>
          <w:sz w:val="21"/>
        </w:rPr>
      </w:pPr>
    </w:p>
    <w:p>
      <w:pPr>
        <w:spacing w:before="0"/>
        <w:ind w:left="219" w:right="0" w:firstLine="0"/>
        <w:jc w:val="both"/>
        <w:rPr>
          <w:b/>
          <w:sz w:val="20"/>
        </w:rPr>
      </w:pPr>
      <w:r>
        <w:rPr>
          <w:b/>
          <w:sz w:val="20"/>
        </w:rPr>
        <w:t>LITTER </w:t>
      </w:r>
    </w:p>
    <w:p>
      <w:pPr>
        <w:spacing w:line="228" w:lineRule="exact" w:before="120"/>
        <w:ind w:left="219" w:right="0" w:firstLine="0"/>
        <w:jc w:val="both"/>
        <w:rPr>
          <w:b/>
          <w:sz w:val="20"/>
        </w:rPr>
      </w:pPr>
      <w:r>
        <w:rPr>
          <w:b/>
          <w:sz w:val="20"/>
        </w:rPr>
        <w:t>Calculation procedure for change in carbon stocks in litter </w:t>
      </w:r>
    </w:p>
    <w:p>
      <w:pPr>
        <w:pStyle w:val="BodyText"/>
        <w:spacing w:line="237" w:lineRule="auto"/>
        <w:ind w:left="219" w:right="266"/>
        <w:jc w:val="both"/>
      </w:pPr>
      <w:r>
        <w:rPr/>
        <w:t>The conceptual approach to estimating changes in carbon stocks in litter is to calculate the net annual changes in litter stocks for an area of forest land undergoing a transition from state </w:t>
      </w:r>
      <w:r>
        <w:rPr>
          <w:i/>
        </w:rPr>
        <w:t>i </w:t>
      </w:r>
      <w:r>
        <w:rPr/>
        <w:t>to state </w:t>
      </w:r>
      <w:r>
        <w:rPr>
          <w:i/>
        </w:rPr>
        <w:t>j </w:t>
      </w:r>
      <w:r>
        <w:rPr/>
        <w:t>as in Equation 3.2.13:</w:t>
      </w:r>
    </w:p>
    <w:p>
      <w:pPr>
        <w:spacing w:after="0" w:line="237" w:lineRule="auto"/>
        <w:jc w:val="both"/>
        <w:sectPr>
          <w:pgSz w:w="11900" w:h="16840"/>
          <w:pgMar w:header="230" w:footer="408" w:top="560" w:bottom="600" w:left="1200" w:right="1140"/>
        </w:sectPr>
      </w:pPr>
    </w:p>
    <w:p>
      <w:pPr>
        <w:pStyle w:val="BodyText"/>
      </w:pPr>
    </w:p>
    <w:p>
      <w:pPr>
        <w:pStyle w:val="BodyText"/>
        <w:spacing w:before="10" w:after="1"/>
        <w:rPr>
          <w:sz w:val="18"/>
        </w:rPr>
      </w:pPr>
    </w:p>
    <w:p>
      <w:pPr>
        <w:pStyle w:val="BodyText"/>
        <w:ind w:left="624"/>
      </w:pPr>
      <w:r>
        <w:rPr>
          <w:position w:val="0"/>
        </w:rPr>
        <w:pict>
          <v:shape style="width:411.5pt;height:84.6pt;mso-position-horizontal-relative:char;mso-position-vertical-relative:line" type="#_x0000_t202" filled="false" stroked="true" strokeweight="1.44pt" strokecolor="#000000">
            <w10:anchorlock/>
            <v:textbox inset="0,0,0,0">
              <w:txbxContent>
                <w:p>
                  <w:pPr>
                    <w:spacing w:line="229" w:lineRule="exact" w:before="99"/>
                    <w:ind w:left="67" w:right="68" w:firstLine="0"/>
                    <w:jc w:val="center"/>
                    <w:rPr>
                      <w:b/>
                      <w:sz w:val="20"/>
                    </w:rPr>
                  </w:pPr>
                  <w:r>
                    <w:rPr>
                      <w:b/>
                      <w:sz w:val="20"/>
                    </w:rPr>
                    <w:t>E</w:t>
                  </w:r>
                  <w:r>
                    <w:rPr>
                      <w:b/>
                      <w:sz w:val="16"/>
                    </w:rPr>
                    <w:t>QUATION </w:t>
                  </w:r>
                  <w:r>
                    <w:rPr>
                      <w:b/>
                      <w:sz w:val="20"/>
                    </w:rPr>
                    <w:t>3.2.13</w:t>
                  </w:r>
                </w:p>
                <w:p>
                  <w:pPr>
                    <w:spacing w:line="229" w:lineRule="exact" w:before="0"/>
                    <w:ind w:left="352" w:right="0" w:firstLine="0"/>
                    <w:jc w:val="left"/>
                    <w:rPr>
                      <w:b/>
                      <w:sz w:val="16"/>
                    </w:rPr>
                  </w:pPr>
                  <w:r>
                    <w:rPr>
                      <w:b/>
                      <w:sz w:val="20"/>
                    </w:rPr>
                    <w:t>A</w:t>
                  </w:r>
                  <w:r>
                    <w:rPr>
                      <w:b/>
                      <w:sz w:val="16"/>
                    </w:rPr>
                    <w:t>NNUAL CHANGE IN CARBON STOCKS IN LITTER IN FOREST LAND REMAINING FOREST LAND</w:t>
                  </w:r>
                </w:p>
                <w:p>
                  <w:pPr>
                    <w:spacing w:line="307" w:lineRule="auto" w:before="90"/>
                    <w:ind w:left="2767" w:right="2767" w:firstLine="0"/>
                    <w:jc w:val="center"/>
                    <w:rPr>
                      <w:sz w:val="20"/>
                    </w:rPr>
                  </w:pPr>
                  <w:r>
                    <w:rPr>
                      <w:sz w:val="20"/>
                    </w:rPr>
                    <w:t>∆C</w:t>
                  </w:r>
                  <w:r>
                    <w:rPr>
                      <w:sz w:val="20"/>
                      <w:vertAlign w:val="subscript"/>
                    </w:rPr>
                    <w:t>FF</w:t>
                  </w:r>
                  <w:r>
                    <w:rPr>
                      <w:position w:val="-8"/>
                      <w:sz w:val="13"/>
                      <w:vertAlign w:val="baseline"/>
                    </w:rPr>
                    <w:t>LT </w:t>
                  </w:r>
                  <w:r>
                    <w:rPr>
                      <w:sz w:val="20"/>
                      <w:vertAlign w:val="baseline"/>
                    </w:rPr>
                    <w:t>= </w:t>
                  </w:r>
                  <w:r>
                    <w:rPr>
                      <w:rFonts w:ascii="Arial" w:hAnsi="Arial"/>
                      <w:sz w:val="20"/>
                      <w:vertAlign w:val="baseline"/>
                    </w:rPr>
                    <w:t>∑</w:t>
                  </w:r>
                  <w:r>
                    <w:rPr>
                      <w:i/>
                      <w:sz w:val="20"/>
                      <w:vertAlign w:val="subscript"/>
                    </w:rPr>
                    <w:t>i,j</w:t>
                  </w:r>
                  <w:r>
                    <w:rPr>
                      <w:i/>
                      <w:sz w:val="20"/>
                      <w:vertAlign w:val="baseline"/>
                    </w:rPr>
                    <w:t> </w:t>
                  </w:r>
                  <w:r>
                    <w:rPr>
                      <w:sz w:val="20"/>
                      <w:vertAlign w:val="baseline"/>
                    </w:rPr>
                    <w:t>[(C</w:t>
                  </w:r>
                  <w:r>
                    <w:rPr>
                      <w:i/>
                      <w:sz w:val="20"/>
                      <w:vertAlign w:val="subscript"/>
                    </w:rPr>
                    <w:t>j</w:t>
                  </w:r>
                  <w:r>
                    <w:rPr>
                      <w:i/>
                      <w:sz w:val="20"/>
                      <w:vertAlign w:val="baseline"/>
                    </w:rPr>
                    <w:t> </w:t>
                  </w:r>
                  <w:r>
                    <w:rPr>
                      <w:sz w:val="20"/>
                      <w:vertAlign w:val="baseline"/>
                    </w:rPr>
                    <w:t>– C</w:t>
                  </w:r>
                  <w:r>
                    <w:rPr>
                      <w:i/>
                      <w:sz w:val="20"/>
                      <w:vertAlign w:val="subscript"/>
                    </w:rPr>
                    <w:t>i</w:t>
                  </w:r>
                  <w:r>
                    <w:rPr>
                      <w:sz w:val="20"/>
                      <w:vertAlign w:val="baseline"/>
                    </w:rPr>
                    <w:t>) ● A</w:t>
                  </w:r>
                  <w:r>
                    <w:rPr>
                      <w:i/>
                      <w:sz w:val="20"/>
                      <w:vertAlign w:val="subscript"/>
                    </w:rPr>
                    <w:t>ij</w:t>
                  </w:r>
                  <w:r>
                    <w:rPr>
                      <w:sz w:val="20"/>
                      <w:vertAlign w:val="baseline"/>
                    </w:rPr>
                    <w:t>] / T</w:t>
                  </w:r>
                  <w:r>
                    <w:rPr>
                      <w:i/>
                      <w:sz w:val="20"/>
                      <w:vertAlign w:val="subscript"/>
                    </w:rPr>
                    <w:t>ij</w:t>
                  </w:r>
                  <w:r>
                    <w:rPr>
                      <w:i/>
                      <w:sz w:val="20"/>
                      <w:vertAlign w:val="baseline"/>
                    </w:rPr>
                    <w:t> </w:t>
                  </w:r>
                  <w:r>
                    <w:rPr>
                      <w:sz w:val="20"/>
                      <w:vertAlign w:val="baseline"/>
                    </w:rPr>
                    <w:t>where,</w:t>
                  </w:r>
                </w:p>
                <w:p>
                  <w:pPr>
                    <w:spacing w:before="20"/>
                    <w:ind w:left="68" w:right="68" w:firstLine="0"/>
                    <w:jc w:val="center"/>
                    <w:rPr>
                      <w:sz w:val="13"/>
                    </w:rPr>
                  </w:pPr>
                  <w:r>
                    <w:rPr>
                      <w:position w:val="3"/>
                      <w:sz w:val="20"/>
                    </w:rPr>
                    <w:t>C</w:t>
                  </w:r>
                  <w:r>
                    <w:rPr>
                      <w:i/>
                      <w:sz w:val="13"/>
                    </w:rPr>
                    <w:t>i </w:t>
                  </w:r>
                  <w:r>
                    <w:rPr>
                      <w:position w:val="3"/>
                      <w:sz w:val="20"/>
                    </w:rPr>
                    <w:t>= LT</w:t>
                  </w:r>
                  <w:r>
                    <w:rPr>
                      <w:sz w:val="13"/>
                    </w:rPr>
                    <w:t>ref(</w:t>
                  </w:r>
                  <w:r>
                    <w:rPr>
                      <w:i/>
                      <w:sz w:val="13"/>
                    </w:rPr>
                    <w:t>i</w:t>
                  </w:r>
                  <w:r>
                    <w:rPr>
                      <w:sz w:val="13"/>
                    </w:rPr>
                    <w:t>) </w:t>
                  </w:r>
                  <w:r>
                    <w:rPr>
                      <w:position w:val="3"/>
                      <w:sz w:val="20"/>
                    </w:rPr>
                    <w:t>● f</w:t>
                  </w:r>
                  <w:r>
                    <w:rPr>
                      <w:sz w:val="13"/>
                    </w:rPr>
                    <w:t>man intensity(</w:t>
                  </w:r>
                  <w:r>
                    <w:rPr>
                      <w:i/>
                      <w:sz w:val="13"/>
                    </w:rPr>
                    <w:t>i</w:t>
                  </w:r>
                  <w:r>
                    <w:rPr>
                      <w:sz w:val="13"/>
                    </w:rPr>
                    <w:t>) </w:t>
                  </w:r>
                  <w:r>
                    <w:rPr>
                      <w:position w:val="3"/>
                      <w:sz w:val="20"/>
                    </w:rPr>
                    <w:t>● f</w:t>
                  </w:r>
                  <w:r>
                    <w:rPr>
                      <w:sz w:val="13"/>
                    </w:rPr>
                    <w:t>dist regime(</w:t>
                  </w:r>
                  <w:r>
                    <w:rPr>
                      <w:i/>
                      <w:sz w:val="13"/>
                    </w:rPr>
                    <w:t>i</w:t>
                  </w:r>
                  <w:r>
                    <w:rPr>
                      <w:sz w:val="13"/>
                    </w:rPr>
                    <w:t>)</w:t>
                  </w:r>
                </w:p>
              </w:txbxContent>
            </v:textbox>
            <v:stroke dashstyle="solid"/>
          </v:shape>
        </w:pict>
      </w:r>
      <w:r>
        <w:rPr>
          <w:position w:val="0"/>
        </w:rPr>
      </w:r>
    </w:p>
    <w:p>
      <w:pPr>
        <w:pStyle w:val="BodyText"/>
        <w:spacing w:before="15"/>
        <w:ind w:left="219"/>
        <w:jc w:val="both"/>
      </w:pPr>
      <w:r>
        <w:rPr/>
        <w:t>Where:</w:t>
      </w:r>
    </w:p>
    <w:p>
      <w:pPr>
        <w:pStyle w:val="BodyText"/>
        <w:spacing w:line="350" w:lineRule="auto" w:before="121"/>
        <w:ind w:left="785" w:right="3607"/>
      </w:pPr>
      <w:r>
        <w:rPr/>
        <w:t>∆C</w:t>
      </w:r>
      <w:r>
        <w:rPr>
          <w:vertAlign w:val="subscript"/>
        </w:rPr>
        <w:t>FF</w:t>
      </w:r>
      <w:r>
        <w:rPr>
          <w:position w:val="-8"/>
          <w:sz w:val="13"/>
          <w:vertAlign w:val="baseline"/>
        </w:rPr>
        <w:t>LT </w:t>
      </w:r>
      <w:r>
        <w:rPr>
          <w:vertAlign w:val="baseline"/>
        </w:rPr>
        <w:t>= annual change in carbon stocks in litter, tonnes C yr</w:t>
      </w:r>
      <w:r>
        <w:rPr>
          <w:vertAlign w:val="superscript"/>
        </w:rPr>
        <w:t>-1</w:t>
      </w:r>
      <w:r>
        <w:rPr>
          <w:vertAlign w:val="baseline"/>
        </w:rPr>
        <w:t> C</w:t>
      </w:r>
      <w:r>
        <w:rPr>
          <w:i/>
          <w:vertAlign w:val="subscript"/>
        </w:rPr>
        <w:t>i</w:t>
      </w:r>
      <w:r>
        <w:rPr>
          <w:i/>
          <w:vertAlign w:val="baseline"/>
        </w:rPr>
        <w:t> </w:t>
      </w:r>
      <w:r>
        <w:rPr>
          <w:vertAlign w:val="baseline"/>
        </w:rPr>
        <w:t>= stable litter stock, under previous state </w:t>
      </w:r>
      <w:r>
        <w:rPr>
          <w:i/>
          <w:vertAlign w:val="baseline"/>
        </w:rPr>
        <w:t>i</w:t>
      </w:r>
      <w:r>
        <w:rPr>
          <w:vertAlign w:val="baseline"/>
        </w:rPr>
        <w:t>, tonnes C</w:t>
      </w:r>
      <w:r>
        <w:rPr>
          <w:spacing w:val="-12"/>
          <w:vertAlign w:val="baseline"/>
        </w:rPr>
        <w:t> </w:t>
      </w:r>
      <w:r>
        <w:rPr>
          <w:vertAlign w:val="baseline"/>
        </w:rPr>
        <w:t>ha</w:t>
      </w:r>
      <w:r>
        <w:rPr>
          <w:vertAlign w:val="superscript"/>
        </w:rPr>
        <w:t>-1</w:t>
      </w:r>
    </w:p>
    <w:p>
      <w:pPr>
        <w:pStyle w:val="BodyText"/>
        <w:spacing w:line="364" w:lineRule="auto" w:before="14"/>
        <w:ind w:left="785" w:right="4037"/>
      </w:pPr>
      <w:r>
        <w:rPr/>
        <w:t>C</w:t>
      </w:r>
      <w:r>
        <w:rPr>
          <w:i/>
          <w:vertAlign w:val="subscript"/>
        </w:rPr>
        <w:t>j</w:t>
      </w:r>
      <w:r>
        <w:rPr>
          <w:i/>
          <w:vertAlign w:val="baseline"/>
        </w:rPr>
        <w:t> </w:t>
      </w:r>
      <w:r>
        <w:rPr>
          <w:vertAlign w:val="baseline"/>
        </w:rPr>
        <w:t>= stable litter stock, under current state </w:t>
      </w:r>
      <w:r>
        <w:rPr>
          <w:i/>
          <w:vertAlign w:val="baseline"/>
        </w:rPr>
        <w:t>j</w:t>
      </w:r>
      <w:r>
        <w:rPr>
          <w:vertAlign w:val="baseline"/>
        </w:rPr>
        <w:t>, tonnes C ha</w:t>
      </w:r>
      <w:r>
        <w:rPr>
          <w:vertAlign w:val="superscript"/>
        </w:rPr>
        <w:t>-1</w:t>
      </w:r>
      <w:r>
        <w:rPr>
          <w:vertAlign w:val="baseline"/>
        </w:rPr>
        <w:t> A</w:t>
      </w:r>
      <w:r>
        <w:rPr>
          <w:i/>
          <w:vertAlign w:val="subscript"/>
        </w:rPr>
        <w:t>ij</w:t>
      </w:r>
      <w:r>
        <w:rPr>
          <w:i/>
          <w:vertAlign w:val="baseline"/>
        </w:rPr>
        <w:t> </w:t>
      </w:r>
      <w:r>
        <w:rPr>
          <w:vertAlign w:val="baseline"/>
        </w:rPr>
        <w:t>= forest area undergoing a transition from state </w:t>
      </w:r>
      <w:r>
        <w:rPr>
          <w:i/>
          <w:vertAlign w:val="baseline"/>
        </w:rPr>
        <w:t>i </w:t>
      </w:r>
      <w:r>
        <w:rPr>
          <w:vertAlign w:val="baseline"/>
        </w:rPr>
        <w:t>to </w:t>
      </w:r>
      <w:r>
        <w:rPr>
          <w:i/>
          <w:vertAlign w:val="baseline"/>
        </w:rPr>
        <w:t>j</w:t>
      </w:r>
      <w:r>
        <w:rPr>
          <w:vertAlign w:val="baseline"/>
        </w:rPr>
        <w:t>,</w:t>
      </w:r>
      <w:r>
        <w:rPr>
          <w:spacing w:val="-19"/>
          <w:vertAlign w:val="baseline"/>
        </w:rPr>
        <w:t> </w:t>
      </w:r>
      <w:r>
        <w:rPr>
          <w:vertAlign w:val="baseline"/>
        </w:rPr>
        <w:t>ha</w:t>
      </w:r>
    </w:p>
    <w:p>
      <w:pPr>
        <w:pStyle w:val="BodyText"/>
        <w:spacing w:before="2"/>
        <w:ind w:left="785"/>
      </w:pPr>
      <w:r>
        <w:rPr/>
        <w:t>T</w:t>
      </w:r>
      <w:r>
        <w:rPr>
          <w:i/>
          <w:vertAlign w:val="subscript"/>
        </w:rPr>
        <w:t>ij</w:t>
      </w:r>
      <w:r>
        <w:rPr>
          <w:i/>
          <w:vertAlign w:val="baseline"/>
        </w:rPr>
        <w:t> </w:t>
      </w:r>
      <w:r>
        <w:rPr>
          <w:vertAlign w:val="baseline"/>
        </w:rPr>
        <w:t>= time period of the transition from state </w:t>
      </w:r>
      <w:r>
        <w:rPr>
          <w:i/>
          <w:vertAlign w:val="baseline"/>
        </w:rPr>
        <w:t>i </w:t>
      </w:r>
      <w:r>
        <w:rPr>
          <w:vertAlign w:val="baseline"/>
        </w:rPr>
        <w:t>to state </w:t>
      </w:r>
      <w:r>
        <w:rPr>
          <w:i/>
          <w:vertAlign w:val="baseline"/>
        </w:rPr>
        <w:t>j</w:t>
      </w:r>
      <w:r>
        <w:rPr>
          <w:vertAlign w:val="baseline"/>
        </w:rPr>
        <w:t>, yr. The default is 20 years</w:t>
      </w:r>
    </w:p>
    <w:p>
      <w:pPr>
        <w:pStyle w:val="BodyText"/>
        <w:spacing w:line="204" w:lineRule="auto" w:before="146"/>
        <w:ind w:left="1522" w:right="267" w:hanging="737"/>
        <w:rPr>
          <w:sz w:val="13"/>
        </w:rPr>
      </w:pPr>
      <w:r>
        <w:rPr/>
        <w:t>LT</w:t>
      </w:r>
      <w:r>
        <w:rPr>
          <w:vertAlign w:val="subscript"/>
        </w:rPr>
        <w:t>ref(</w:t>
      </w:r>
      <w:r>
        <w:rPr>
          <w:i/>
          <w:vertAlign w:val="subscript"/>
        </w:rPr>
        <w:t>i</w:t>
      </w:r>
      <w:r>
        <w:rPr>
          <w:vertAlign w:val="subscript"/>
        </w:rPr>
        <w:t>)</w:t>
      </w:r>
      <w:r>
        <w:rPr>
          <w:vertAlign w:val="baseline"/>
        </w:rPr>
        <w:t> = the reference stock of litter under native, unmanaged forest, corresponding to state </w:t>
      </w:r>
      <w:r>
        <w:rPr>
          <w:i/>
          <w:vertAlign w:val="baseline"/>
        </w:rPr>
        <w:t>i</w:t>
      </w:r>
      <w:r>
        <w:rPr>
          <w:vertAlign w:val="baseline"/>
        </w:rPr>
        <w:t>, tonnes C </w:t>
      </w:r>
      <w:r>
        <w:rPr>
          <w:position w:val="-8"/>
          <w:vertAlign w:val="baseline"/>
        </w:rPr>
        <w:t>ha</w:t>
      </w:r>
      <w:r>
        <w:rPr>
          <w:sz w:val="13"/>
          <w:vertAlign w:val="baseline"/>
        </w:rPr>
        <w:t>-1</w:t>
      </w:r>
    </w:p>
    <w:p>
      <w:pPr>
        <w:pStyle w:val="BodyText"/>
        <w:spacing w:before="137"/>
        <w:ind w:left="785"/>
      </w:pPr>
      <w:r>
        <w:rPr/>
        <w:t>f</w:t>
      </w:r>
      <w:r>
        <w:rPr>
          <w:vertAlign w:val="subscript"/>
        </w:rPr>
        <w:t>man</w:t>
      </w:r>
      <w:r>
        <w:rPr>
          <w:vertAlign w:val="baseline"/>
        </w:rPr>
        <w:t> </w:t>
      </w:r>
      <w:r>
        <w:rPr>
          <w:vertAlign w:val="subscript"/>
        </w:rPr>
        <w:t>intensity(</w:t>
      </w:r>
      <w:r>
        <w:rPr>
          <w:i/>
          <w:vertAlign w:val="subscript"/>
        </w:rPr>
        <w:t>i</w:t>
      </w:r>
      <w:r>
        <w:rPr>
          <w:vertAlign w:val="subscript"/>
        </w:rPr>
        <w:t>)</w:t>
      </w:r>
      <w:r>
        <w:rPr>
          <w:vertAlign w:val="baseline"/>
        </w:rPr>
        <w:t> = adjustment factor reflecting the effect of management intensity or practices on LT</w:t>
      </w:r>
      <w:r>
        <w:rPr>
          <w:vertAlign w:val="subscript"/>
        </w:rPr>
        <w:t>ref</w:t>
      </w:r>
      <w:r>
        <w:rPr>
          <w:vertAlign w:val="baseline"/>
        </w:rPr>
        <w:t> in state</w:t>
      </w:r>
    </w:p>
    <w:p>
      <w:pPr>
        <w:pStyle w:val="BodyText"/>
        <w:ind w:left="1920"/>
      </w:pPr>
      <w:r>
        <w:rPr>
          <w:i/>
        </w:rPr>
        <w:t>i</w:t>
      </w:r>
      <w:r>
        <w:rPr/>
        <w:t>, dimensionless</w:t>
      </w:r>
    </w:p>
    <w:p>
      <w:pPr>
        <w:pStyle w:val="BodyText"/>
        <w:spacing w:before="121"/>
        <w:ind w:left="1808" w:hanging="1023"/>
      </w:pPr>
      <w:r>
        <w:rPr/>
        <w:t>f</w:t>
      </w:r>
      <w:r>
        <w:rPr>
          <w:vertAlign w:val="subscript"/>
        </w:rPr>
        <w:t>dist</w:t>
      </w:r>
      <w:r>
        <w:rPr>
          <w:vertAlign w:val="baseline"/>
        </w:rPr>
        <w:t> </w:t>
      </w:r>
      <w:r>
        <w:rPr>
          <w:vertAlign w:val="subscript"/>
        </w:rPr>
        <w:t>regime(</w:t>
      </w:r>
      <w:r>
        <w:rPr>
          <w:i/>
          <w:vertAlign w:val="subscript"/>
        </w:rPr>
        <w:t>i</w:t>
      </w:r>
      <w:r>
        <w:rPr>
          <w:vertAlign w:val="subscript"/>
        </w:rPr>
        <w:t>)</w:t>
      </w:r>
      <w:r>
        <w:rPr>
          <w:vertAlign w:val="baseline"/>
        </w:rPr>
        <w:t>= adjustment factor reflecting a change in the disturbance regime with respect to LT</w:t>
      </w:r>
      <w:r>
        <w:rPr>
          <w:vertAlign w:val="subscript"/>
        </w:rPr>
        <w:t>ref</w:t>
      </w:r>
      <w:r>
        <w:rPr>
          <w:vertAlign w:val="baseline"/>
        </w:rPr>
        <w:t> in state </w:t>
      </w:r>
      <w:r>
        <w:rPr>
          <w:i/>
          <w:vertAlign w:val="baseline"/>
        </w:rPr>
        <w:t>i</w:t>
      </w:r>
      <w:r>
        <w:rPr>
          <w:vertAlign w:val="baseline"/>
        </w:rPr>
        <w:t>, dimensionless</w:t>
      </w:r>
    </w:p>
    <w:p>
      <w:pPr>
        <w:pStyle w:val="BodyText"/>
        <w:spacing w:before="118"/>
        <w:ind w:left="219" w:right="263"/>
        <w:jc w:val="both"/>
      </w:pPr>
      <w:r>
        <w:rPr/>
        <w:t>The values of the default adjustment factors reflecting the effect of management intensity or disturbance regime are 1.0. Sometimes data on litter pools are collected in terms of dry matter, not carbon. To convert to dry matter mass of litter to carbon, multiply the mass by a default value of 0.370 (Smith and Heath, 2002), not the carbon fraction used for biomass.</w:t>
      </w:r>
    </w:p>
    <w:p>
      <w:pPr>
        <w:pStyle w:val="BodyText"/>
        <w:spacing w:before="122"/>
        <w:ind w:left="219" w:right="262"/>
        <w:jc w:val="both"/>
      </w:pPr>
      <w:r>
        <w:rPr/>
        <w:t>The transition from C</w:t>
      </w:r>
      <w:r>
        <w:rPr>
          <w:i/>
          <w:vertAlign w:val="subscript"/>
        </w:rPr>
        <w:t>i</w:t>
      </w:r>
      <w:r>
        <w:rPr>
          <w:i/>
          <w:vertAlign w:val="baseline"/>
        </w:rPr>
        <w:t> </w:t>
      </w:r>
      <w:r>
        <w:rPr>
          <w:vertAlign w:val="baseline"/>
        </w:rPr>
        <w:t>to C</w:t>
      </w:r>
      <w:r>
        <w:rPr>
          <w:i/>
          <w:vertAlign w:val="subscript"/>
        </w:rPr>
        <w:t>j</w:t>
      </w:r>
      <w:r>
        <w:rPr>
          <w:i/>
          <w:vertAlign w:val="baseline"/>
        </w:rPr>
        <w:t> </w:t>
      </w:r>
      <w:r>
        <w:rPr>
          <w:vertAlign w:val="baseline"/>
        </w:rPr>
        <w:t>is assumed to take place over a transition period of T years (default = 20 years). The total litter carbon pool changes in any year equals the sum of the annual emissions/removals for all forest lands having undergone changes in forest types, management practices or disturbance regimes for a period of time shorter than T years. Updated default values are presented in Table 3.2.1 for litter carbon stocks for mature forest land remaining forest, net accumulation rates for the 20 year default, updated default transition period lengths, and net accumulation rates for the updated default transition period lengths.</w:t>
      </w:r>
    </w:p>
    <w:p>
      <w:pPr>
        <w:pStyle w:val="BodyText"/>
        <w:spacing w:before="120"/>
        <w:ind w:left="219" w:right="262"/>
        <w:jc w:val="both"/>
      </w:pPr>
      <w:r>
        <w:rPr/>
        <w:t>The decision tree in Figure 3.1.1 (Section 3.1.6) provides assistance in the selection of the appropriate tier level for the implementation of estimation procedures.</w:t>
      </w:r>
    </w:p>
    <w:p>
      <w:pPr>
        <w:pStyle w:val="BodyText"/>
        <w:spacing w:before="118"/>
        <w:ind w:left="219" w:right="260"/>
        <w:jc w:val="both"/>
      </w:pPr>
      <w:r>
        <w:rPr>
          <w:b/>
        </w:rPr>
        <w:t>Tier 1 (Default): </w:t>
      </w:r>
      <w:r>
        <w:rPr/>
        <w:t>The </w:t>
      </w:r>
      <w:r>
        <w:rPr>
          <w:i/>
        </w:rPr>
        <w:t>IPCC </w:t>
      </w:r>
      <w:r>
        <w:rPr>
          <w:i/>
          <w:spacing w:val="-3"/>
        </w:rPr>
        <w:t>Guidelines, </w:t>
      </w:r>
      <w:r>
        <w:rPr/>
        <w:t>consistent with reporting under Tier 1, </w:t>
      </w:r>
      <w:r>
        <w:rPr>
          <w:spacing w:val="-3"/>
        </w:rPr>
        <w:t>assume </w:t>
      </w:r>
      <w:r>
        <w:rPr/>
        <w:t>that the average transfer rate into the litter pool is equal to the transfer rate out of the litter pool so the net change is zero. This assumption means that </w:t>
      </w:r>
      <w:r>
        <w:rPr>
          <w:spacing w:val="-3"/>
        </w:rPr>
        <w:t>magnitude </w:t>
      </w:r>
      <w:r>
        <w:rPr/>
        <w:t>of the litter pool need </w:t>
      </w:r>
      <w:r>
        <w:rPr>
          <w:spacing w:val="-2"/>
        </w:rPr>
        <w:t>not </w:t>
      </w:r>
      <w:r>
        <w:rPr/>
        <w:t>be quantified. </w:t>
      </w:r>
      <w:r>
        <w:rPr>
          <w:spacing w:val="-3"/>
        </w:rPr>
        <w:t>Countries </w:t>
      </w:r>
      <w:r>
        <w:rPr/>
        <w:t>experiencing </w:t>
      </w:r>
      <w:r>
        <w:rPr>
          <w:spacing w:val="-3"/>
        </w:rPr>
        <w:t>significant </w:t>
      </w:r>
      <w:r>
        <w:rPr/>
        <w:t>changes in </w:t>
      </w:r>
      <w:r>
        <w:rPr>
          <w:spacing w:val="-2"/>
        </w:rPr>
        <w:t>forest </w:t>
      </w:r>
      <w:r>
        <w:rPr/>
        <w:t>types or disturbance or </w:t>
      </w:r>
      <w:r>
        <w:rPr>
          <w:spacing w:val="-3"/>
        </w:rPr>
        <w:t>management </w:t>
      </w:r>
      <w:r>
        <w:rPr/>
        <w:t>regimes in their </w:t>
      </w:r>
      <w:r>
        <w:rPr>
          <w:spacing w:val="-3"/>
        </w:rPr>
        <w:t>forests </w:t>
      </w:r>
      <w:r>
        <w:rPr/>
        <w:t>are </w:t>
      </w:r>
      <w:r>
        <w:rPr>
          <w:spacing w:val="-2"/>
        </w:rPr>
        <w:t>encouraged </w:t>
      </w:r>
      <w:r>
        <w:rPr/>
        <w:t>to develop </w:t>
      </w:r>
      <w:r>
        <w:rPr>
          <w:spacing w:val="-2"/>
        </w:rPr>
        <w:t>domestic </w:t>
      </w:r>
      <w:r>
        <w:rPr/>
        <w:t>data to quantify this impact and report it under Tier 2 or 3 </w:t>
      </w:r>
      <w:r>
        <w:rPr>
          <w:spacing w:val="-3"/>
        </w:rPr>
        <w:t>methodologies.</w:t>
      </w:r>
    </w:p>
    <w:p>
      <w:pPr>
        <w:pStyle w:val="BodyText"/>
        <w:spacing w:before="120"/>
        <w:ind w:left="219" w:right="265"/>
        <w:jc w:val="both"/>
      </w:pPr>
      <w:r>
        <w:rPr>
          <w:b/>
        </w:rPr>
        <w:t>Tier 2: </w:t>
      </w:r>
      <w:r>
        <w:rPr/>
        <w:t>Equation 3.2.13 or a formulation of Equation 3.2.11 for litter carbon is used, depending on the type of data available nationally. Activity data are defined by the country by significant forest types, disturbance and management regimes, or other important variables affecting dead wood pool. Where transfer rates are determined for the country or taken from matching regional sources such as data from nearby countries, Equation 3.2.11 formulated for litter is used. Country-specific decay rates are used to estimate carbon emissions from dead wood stocks. Where litter carbon pools are measured consistently over time, Equation 3.2.12 is</w:t>
      </w:r>
      <w:r>
        <w:rPr>
          <w:spacing w:val="8"/>
        </w:rPr>
        <w:t> </w:t>
      </w:r>
      <w:r>
        <w:rPr/>
        <w:t>used.</w:t>
      </w:r>
    </w:p>
    <w:p>
      <w:pPr>
        <w:pStyle w:val="BodyText"/>
        <w:spacing w:before="120"/>
        <w:ind w:left="219" w:right="262"/>
        <w:jc w:val="both"/>
      </w:pPr>
      <w:r>
        <w:rPr>
          <w:b/>
        </w:rPr>
        <w:t>Tier 3: </w:t>
      </w:r>
      <w:r>
        <w:rPr/>
        <w:t>Methodology for estimating litter carbon changes involves the development, validation, and implementation of a domestic inventory scheme or inventory systems combined with the use of models. This tier features pools that are more closely linked, perhaps by taking measurements or samples of all forest pools at the same location. Given the spatial and temporal variability and uncertainty in litter carbon, countries in which litter C changes from managed forests are a key category, are encouraged to quantify changes using statistically- designed inventories or advanced models proven to be capable of accurately predicting site-specific changes.  The statistical design of the inventory, consistent with the principles set out in Chapter 5, will provide information on the uncertainties associated with the inventory. Models used will follow the principles set out in Chapter</w:t>
      </w:r>
      <w:r>
        <w:rPr>
          <w:spacing w:val="23"/>
        </w:rPr>
        <w:t> </w:t>
      </w:r>
      <w:r>
        <w:rPr/>
        <w:t>5.</w:t>
      </w:r>
      <w:r>
        <w:rPr>
          <w:spacing w:val="24"/>
        </w:rPr>
        <w:t> </w:t>
      </w:r>
      <w:r>
        <w:rPr/>
        <w:t>Depending</w:t>
      </w:r>
      <w:r>
        <w:rPr>
          <w:spacing w:val="22"/>
        </w:rPr>
        <w:t> </w:t>
      </w:r>
      <w:r>
        <w:rPr/>
        <w:t>on</w:t>
      </w:r>
      <w:r>
        <w:rPr>
          <w:spacing w:val="22"/>
        </w:rPr>
        <w:t> </w:t>
      </w:r>
      <w:r>
        <w:rPr/>
        <w:t>the</w:t>
      </w:r>
      <w:r>
        <w:rPr>
          <w:spacing w:val="25"/>
        </w:rPr>
        <w:t> </w:t>
      </w:r>
      <w:r>
        <w:rPr/>
        <w:t>available</w:t>
      </w:r>
      <w:r>
        <w:rPr>
          <w:spacing w:val="24"/>
        </w:rPr>
        <w:t> </w:t>
      </w:r>
      <w:r>
        <w:rPr/>
        <w:t>data</w:t>
      </w:r>
      <w:r>
        <w:rPr>
          <w:spacing w:val="24"/>
        </w:rPr>
        <w:t> </w:t>
      </w:r>
      <w:r>
        <w:rPr/>
        <w:t>and</w:t>
      </w:r>
      <w:r>
        <w:rPr>
          <w:spacing w:val="25"/>
        </w:rPr>
        <w:t> </w:t>
      </w:r>
      <w:r>
        <w:rPr/>
        <w:t>methodology,</w:t>
      </w:r>
      <w:r>
        <w:rPr>
          <w:spacing w:val="24"/>
        </w:rPr>
        <w:t> </w:t>
      </w:r>
      <w:r>
        <w:rPr/>
        <w:t>Equation</w:t>
      </w:r>
      <w:r>
        <w:rPr>
          <w:spacing w:val="22"/>
        </w:rPr>
        <w:t> </w:t>
      </w:r>
      <w:r>
        <w:rPr/>
        <w:t>3.2.13</w:t>
      </w:r>
      <w:r>
        <w:rPr>
          <w:spacing w:val="24"/>
        </w:rPr>
        <w:t> </w:t>
      </w:r>
      <w:r>
        <w:rPr/>
        <w:t>or</w:t>
      </w:r>
      <w:r>
        <w:rPr>
          <w:spacing w:val="21"/>
        </w:rPr>
        <w:t> </w:t>
      </w:r>
      <w:r>
        <w:rPr/>
        <w:t>a</w:t>
      </w:r>
      <w:r>
        <w:rPr>
          <w:spacing w:val="24"/>
        </w:rPr>
        <w:t> </w:t>
      </w:r>
      <w:r>
        <w:rPr/>
        <w:t>litter</w:t>
      </w:r>
      <w:r>
        <w:rPr>
          <w:spacing w:val="24"/>
        </w:rPr>
        <w:t> </w:t>
      </w:r>
      <w:r>
        <w:rPr/>
        <w:t>variant</w:t>
      </w:r>
      <w:r>
        <w:rPr>
          <w:spacing w:val="24"/>
        </w:rPr>
        <w:t> </w:t>
      </w:r>
      <w:r>
        <w:rPr/>
        <w:t>of</w:t>
      </w:r>
      <w:r>
        <w:rPr>
          <w:spacing w:val="21"/>
        </w:rPr>
        <w:t> </w:t>
      </w:r>
      <w:r>
        <w:rPr/>
        <w:t>Equation</w:t>
      </w:r>
    </w:p>
    <w:p>
      <w:pPr>
        <w:pStyle w:val="BodyText"/>
        <w:spacing w:before="1"/>
        <w:ind w:left="219"/>
        <w:jc w:val="both"/>
      </w:pPr>
      <w:r>
        <w:rPr/>
        <w:t>3.2.11 is used.</w:t>
      </w:r>
    </w:p>
    <w:p>
      <w:pPr>
        <w:spacing w:after="0"/>
        <w:jc w:val="both"/>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42"/>
        <w:gridCol w:w="968"/>
        <w:gridCol w:w="971"/>
        <w:gridCol w:w="970"/>
        <w:gridCol w:w="971"/>
        <w:gridCol w:w="971"/>
        <w:gridCol w:w="924"/>
        <w:gridCol w:w="896"/>
        <w:gridCol w:w="899"/>
      </w:tblGrid>
      <w:tr>
        <w:trPr>
          <w:trHeight w:val="949" w:hRule="atLeast"/>
        </w:trPr>
        <w:tc>
          <w:tcPr>
            <w:tcW w:w="9012" w:type="dxa"/>
            <w:gridSpan w:val="9"/>
            <w:tcBorders>
              <w:top w:val="single" w:sz="4" w:space="0" w:color="000000"/>
              <w:left w:val="single" w:sz="4" w:space="0" w:color="000000"/>
              <w:bottom w:val="double" w:sz="1" w:space="0" w:color="000000"/>
              <w:right w:val="single" w:sz="4" w:space="0" w:color="000000"/>
            </w:tcBorders>
          </w:tcPr>
          <w:p>
            <w:pPr>
              <w:pStyle w:val="TableParagraph"/>
              <w:spacing w:line="196" w:lineRule="exact" w:before="59"/>
              <w:ind w:left="1297" w:right="1292"/>
              <w:jc w:val="center"/>
              <w:rPr>
                <w:b/>
                <w:sz w:val="18"/>
              </w:rPr>
            </w:pPr>
            <w:r>
              <w:rPr>
                <w:b/>
                <w:sz w:val="18"/>
              </w:rPr>
              <w:t>T</w:t>
            </w:r>
            <w:r>
              <w:rPr>
                <w:b/>
                <w:sz w:val="14"/>
              </w:rPr>
              <w:t>ABLE </w:t>
            </w:r>
            <w:r>
              <w:rPr>
                <w:b/>
                <w:sz w:val="18"/>
              </w:rPr>
              <w:t>3.2.1</w:t>
            </w:r>
          </w:p>
          <w:p>
            <w:pPr>
              <w:pStyle w:val="TableParagraph"/>
              <w:spacing w:line="220" w:lineRule="exact"/>
              <w:ind w:left="837"/>
              <w:rPr>
                <w:b/>
                <w:sz w:val="18"/>
              </w:rPr>
            </w:pPr>
            <w:r>
              <w:rPr>
                <w:b/>
                <w:sz w:val="18"/>
              </w:rPr>
              <w:t>U</w:t>
            </w:r>
            <w:r>
              <w:rPr>
                <w:b/>
                <w:sz w:val="14"/>
              </w:rPr>
              <w:t>PDATED DEFAULTS FOR LITTER CARBON STOCKS </w:t>
            </w:r>
            <w:r>
              <w:rPr>
                <w:b/>
                <w:sz w:val="18"/>
              </w:rPr>
              <w:t>(</w:t>
            </w:r>
            <w:r>
              <w:rPr>
                <w:b/>
                <w:sz w:val="14"/>
              </w:rPr>
              <w:t>TONNES </w:t>
            </w:r>
            <w:r>
              <w:rPr>
                <w:b/>
                <w:sz w:val="18"/>
              </w:rPr>
              <w:t>C </w:t>
            </w:r>
            <w:r>
              <w:rPr>
                <w:b/>
                <w:sz w:val="14"/>
              </w:rPr>
              <w:t>HA</w:t>
            </w:r>
            <w:r>
              <w:rPr>
                <w:b/>
                <w:position w:val="8"/>
                <w:sz w:val="12"/>
              </w:rPr>
              <w:t>-1</w:t>
            </w:r>
            <w:r>
              <w:rPr>
                <w:b/>
                <w:sz w:val="18"/>
              </w:rPr>
              <w:t>) </w:t>
            </w:r>
            <w:r>
              <w:rPr>
                <w:b/>
                <w:sz w:val="14"/>
              </w:rPr>
              <w:t>AND TRANSITION PERIOD </w:t>
            </w:r>
            <w:r>
              <w:rPr>
                <w:b/>
                <w:sz w:val="18"/>
              </w:rPr>
              <w:t>(</w:t>
            </w:r>
            <w:r>
              <w:rPr>
                <w:b/>
                <w:sz w:val="14"/>
              </w:rPr>
              <w:t>YEARS</w:t>
            </w:r>
            <w:r>
              <w:rPr>
                <w:b/>
                <w:sz w:val="18"/>
              </w:rPr>
              <w:t>)</w:t>
            </w:r>
          </w:p>
          <w:p>
            <w:pPr>
              <w:pStyle w:val="TableParagraph"/>
              <w:spacing w:line="206" w:lineRule="exact" w:before="58"/>
              <w:ind w:left="1300" w:right="1292"/>
              <w:jc w:val="center"/>
              <w:rPr>
                <w:sz w:val="18"/>
              </w:rPr>
            </w:pPr>
            <w:r>
              <w:rPr>
                <w:sz w:val="18"/>
              </w:rPr>
              <w:t>(Net annual accumulation of litter carbon is based mostly on data for managed forest and default period of 20 years)</w:t>
            </w:r>
          </w:p>
        </w:tc>
      </w:tr>
      <w:tr>
        <w:trPr>
          <w:trHeight w:val="253" w:hRule="atLeast"/>
        </w:trPr>
        <w:tc>
          <w:tcPr>
            <w:tcW w:w="1442" w:type="dxa"/>
            <w:vMerge w:val="restart"/>
            <w:tcBorders>
              <w:top w:val="double" w:sz="1" w:space="0" w:color="000000"/>
              <w:left w:val="single" w:sz="4" w:space="0" w:color="000000"/>
              <w:bottom w:val="single" w:sz="4" w:space="0" w:color="000000"/>
              <w:right w:val="single" w:sz="4" w:space="0" w:color="000000"/>
            </w:tcBorders>
          </w:tcPr>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43"/>
              <w:ind w:left="448"/>
              <w:rPr>
                <w:b/>
                <w:sz w:val="16"/>
              </w:rPr>
            </w:pPr>
            <w:r>
              <w:rPr>
                <w:b/>
                <w:sz w:val="16"/>
              </w:rPr>
              <w:t>Climate</w:t>
            </w:r>
          </w:p>
        </w:tc>
        <w:tc>
          <w:tcPr>
            <w:tcW w:w="7570" w:type="dxa"/>
            <w:gridSpan w:val="8"/>
            <w:tcBorders>
              <w:top w:val="double" w:sz="1" w:space="0" w:color="000000"/>
              <w:left w:val="single" w:sz="4" w:space="0" w:color="000000"/>
              <w:bottom w:val="single" w:sz="4" w:space="0" w:color="000000"/>
              <w:right w:val="single" w:sz="4" w:space="0" w:color="000000"/>
            </w:tcBorders>
          </w:tcPr>
          <w:p>
            <w:pPr>
              <w:pStyle w:val="TableParagraph"/>
              <w:spacing w:before="32"/>
              <w:ind w:left="3353" w:right="3343"/>
              <w:jc w:val="center"/>
              <w:rPr>
                <w:b/>
                <w:sz w:val="16"/>
              </w:rPr>
            </w:pPr>
            <w:r>
              <w:rPr>
                <w:b/>
                <w:sz w:val="16"/>
              </w:rPr>
              <w:t>Forest Type</w:t>
            </w:r>
          </w:p>
        </w:tc>
      </w:tr>
      <w:tr>
        <w:trPr>
          <w:trHeight w:val="453" w:hRule="atLeast"/>
        </w:trPr>
        <w:tc>
          <w:tcPr>
            <w:tcW w:w="1442" w:type="dxa"/>
            <w:vMerge/>
            <w:tcBorders>
              <w:top w:val="nil"/>
              <w:left w:val="single" w:sz="4" w:space="0" w:color="000000"/>
              <w:bottom w:val="single" w:sz="4" w:space="0" w:color="000000"/>
              <w:right w:val="single" w:sz="4" w:space="0" w:color="000000"/>
            </w:tcBorders>
          </w:tcPr>
          <w:p>
            <w:pPr>
              <w:rPr>
                <w:sz w:val="2"/>
                <w:szCs w:val="2"/>
              </w:rPr>
            </w:pPr>
          </w:p>
        </w:tc>
        <w:tc>
          <w:tcPr>
            <w:tcW w:w="968" w:type="dxa"/>
            <w:tcBorders>
              <w:top w:val="single" w:sz="4" w:space="0" w:color="000000"/>
              <w:left w:val="single" w:sz="4" w:space="0" w:color="000000"/>
              <w:bottom w:val="single" w:sz="4" w:space="0" w:color="000000"/>
            </w:tcBorders>
          </w:tcPr>
          <w:p>
            <w:pPr>
              <w:pStyle w:val="TableParagraph"/>
              <w:spacing w:before="40"/>
              <w:ind w:left="127" w:right="104" w:firstLine="16"/>
              <w:rPr>
                <w:b/>
                <w:sz w:val="16"/>
              </w:rPr>
            </w:pPr>
            <w:r>
              <w:rPr>
                <w:b/>
                <w:sz w:val="16"/>
              </w:rPr>
              <w:t>Broadleaf Deciduous</w:t>
            </w:r>
          </w:p>
        </w:tc>
        <w:tc>
          <w:tcPr>
            <w:tcW w:w="971" w:type="dxa"/>
            <w:tcBorders>
              <w:top w:val="single" w:sz="4" w:space="0" w:color="000000"/>
              <w:bottom w:val="single" w:sz="4" w:space="0" w:color="000000"/>
              <w:right w:val="single" w:sz="4" w:space="0" w:color="000000"/>
            </w:tcBorders>
          </w:tcPr>
          <w:p>
            <w:pPr>
              <w:pStyle w:val="TableParagraph"/>
              <w:spacing w:before="40"/>
              <w:ind w:left="133" w:right="102"/>
              <w:rPr>
                <w:b/>
                <w:sz w:val="16"/>
              </w:rPr>
            </w:pPr>
            <w:r>
              <w:rPr>
                <w:b/>
                <w:sz w:val="16"/>
              </w:rPr>
              <w:t>Needleleaf Evergreen</w:t>
            </w:r>
          </w:p>
        </w:tc>
        <w:tc>
          <w:tcPr>
            <w:tcW w:w="970" w:type="dxa"/>
            <w:tcBorders>
              <w:top w:val="single" w:sz="4" w:space="0" w:color="000000"/>
              <w:left w:val="single" w:sz="4" w:space="0" w:color="000000"/>
              <w:bottom w:val="single" w:sz="4" w:space="0" w:color="000000"/>
            </w:tcBorders>
          </w:tcPr>
          <w:p>
            <w:pPr>
              <w:pStyle w:val="TableParagraph"/>
              <w:spacing w:before="40"/>
              <w:ind w:left="130" w:right="103" w:firstLine="16"/>
              <w:rPr>
                <w:b/>
                <w:sz w:val="16"/>
              </w:rPr>
            </w:pPr>
            <w:r>
              <w:rPr>
                <w:b/>
                <w:sz w:val="16"/>
              </w:rPr>
              <w:t>Broadleaf Deciduous</w:t>
            </w:r>
          </w:p>
        </w:tc>
        <w:tc>
          <w:tcPr>
            <w:tcW w:w="971" w:type="dxa"/>
            <w:tcBorders>
              <w:top w:val="single" w:sz="4" w:space="0" w:color="000000"/>
              <w:bottom w:val="single" w:sz="4" w:space="0" w:color="000000"/>
              <w:right w:val="single" w:sz="4" w:space="0" w:color="000000"/>
            </w:tcBorders>
          </w:tcPr>
          <w:p>
            <w:pPr>
              <w:pStyle w:val="TableParagraph"/>
              <w:spacing w:before="40"/>
              <w:ind w:left="134" w:right="101"/>
              <w:rPr>
                <w:b/>
                <w:sz w:val="16"/>
              </w:rPr>
            </w:pPr>
            <w:r>
              <w:rPr>
                <w:b/>
                <w:sz w:val="16"/>
              </w:rPr>
              <w:t>Needleleaf Evergreen</w:t>
            </w:r>
          </w:p>
        </w:tc>
        <w:tc>
          <w:tcPr>
            <w:tcW w:w="971" w:type="dxa"/>
            <w:tcBorders>
              <w:top w:val="single" w:sz="4" w:space="0" w:color="000000"/>
              <w:left w:val="single" w:sz="4" w:space="0" w:color="000000"/>
              <w:bottom w:val="single" w:sz="4" w:space="0" w:color="000000"/>
            </w:tcBorders>
          </w:tcPr>
          <w:p>
            <w:pPr>
              <w:pStyle w:val="TableParagraph"/>
              <w:spacing w:before="40"/>
              <w:ind w:left="142" w:right="92" w:firstLine="19"/>
              <w:rPr>
                <w:b/>
                <w:sz w:val="16"/>
              </w:rPr>
            </w:pPr>
            <w:r>
              <w:rPr>
                <w:b/>
                <w:sz w:val="16"/>
              </w:rPr>
              <w:t>Broadleaf Deciduous</w:t>
            </w:r>
          </w:p>
        </w:tc>
        <w:tc>
          <w:tcPr>
            <w:tcW w:w="924" w:type="dxa"/>
            <w:tcBorders>
              <w:top w:val="single" w:sz="4" w:space="0" w:color="000000"/>
              <w:bottom w:val="single" w:sz="4" w:space="0" w:color="000000"/>
              <w:right w:val="single" w:sz="4" w:space="0" w:color="000000"/>
            </w:tcBorders>
          </w:tcPr>
          <w:p>
            <w:pPr>
              <w:pStyle w:val="TableParagraph"/>
              <w:spacing w:before="40"/>
              <w:ind w:left="124" w:right="64"/>
              <w:rPr>
                <w:b/>
                <w:sz w:val="16"/>
              </w:rPr>
            </w:pPr>
            <w:r>
              <w:rPr>
                <w:b/>
                <w:sz w:val="16"/>
              </w:rPr>
              <w:t>Needleleaf Evergreen</w:t>
            </w:r>
          </w:p>
        </w:tc>
        <w:tc>
          <w:tcPr>
            <w:tcW w:w="896" w:type="dxa"/>
            <w:tcBorders>
              <w:top w:val="single" w:sz="4" w:space="0" w:color="000000"/>
              <w:left w:val="single" w:sz="4" w:space="0" w:color="000000"/>
              <w:bottom w:val="single" w:sz="4" w:space="0" w:color="000000"/>
            </w:tcBorders>
          </w:tcPr>
          <w:p>
            <w:pPr>
              <w:pStyle w:val="TableParagraph"/>
              <w:spacing w:before="40"/>
              <w:ind w:left="93" w:right="66" w:firstLine="19"/>
              <w:rPr>
                <w:b/>
                <w:sz w:val="16"/>
              </w:rPr>
            </w:pPr>
            <w:r>
              <w:rPr>
                <w:b/>
                <w:sz w:val="16"/>
              </w:rPr>
              <w:t>Broadleaf Deciduous</w:t>
            </w:r>
          </w:p>
        </w:tc>
        <w:tc>
          <w:tcPr>
            <w:tcW w:w="899" w:type="dxa"/>
            <w:tcBorders>
              <w:top w:val="single" w:sz="4" w:space="0" w:color="000000"/>
              <w:bottom w:val="single" w:sz="4" w:space="0" w:color="000000"/>
              <w:right w:val="single" w:sz="4" w:space="0" w:color="000000"/>
            </w:tcBorders>
          </w:tcPr>
          <w:p>
            <w:pPr>
              <w:pStyle w:val="TableParagraph"/>
              <w:spacing w:before="40"/>
              <w:ind w:left="99" w:right="64"/>
              <w:rPr>
                <w:b/>
                <w:sz w:val="16"/>
              </w:rPr>
            </w:pPr>
            <w:r>
              <w:rPr>
                <w:b/>
                <w:sz w:val="16"/>
              </w:rPr>
              <w:t>Needleleaf Evergreen</w:t>
            </w:r>
          </w:p>
        </w:tc>
      </w:tr>
      <w:tr>
        <w:trPr>
          <w:trHeight w:val="1036" w:hRule="atLeast"/>
        </w:trPr>
        <w:tc>
          <w:tcPr>
            <w:tcW w:w="1442" w:type="dxa"/>
            <w:vMerge/>
            <w:tcBorders>
              <w:top w:val="nil"/>
              <w:left w:val="single" w:sz="4" w:space="0" w:color="000000"/>
              <w:bottom w:val="single" w:sz="4" w:space="0" w:color="000000"/>
              <w:right w:val="single" w:sz="4" w:space="0" w:color="000000"/>
            </w:tcBorders>
          </w:tcPr>
          <w:p>
            <w:pPr>
              <w:rPr>
                <w:sz w:val="2"/>
                <w:szCs w:val="2"/>
              </w:rPr>
            </w:pPr>
          </w:p>
        </w:tc>
        <w:tc>
          <w:tcPr>
            <w:tcW w:w="1939" w:type="dxa"/>
            <w:gridSpan w:val="2"/>
            <w:tcBorders>
              <w:top w:val="single" w:sz="4" w:space="0" w:color="000000"/>
              <w:left w:val="single" w:sz="4" w:space="0" w:color="000000"/>
              <w:bottom w:val="single" w:sz="4" w:space="0" w:color="000000"/>
              <w:right w:val="single" w:sz="4" w:space="0" w:color="000000"/>
            </w:tcBorders>
          </w:tcPr>
          <w:p>
            <w:pPr>
              <w:pStyle w:val="TableParagraph"/>
              <w:spacing w:before="5"/>
              <w:rPr>
                <w:sz w:val="17"/>
              </w:rPr>
            </w:pPr>
          </w:p>
          <w:p>
            <w:pPr>
              <w:pStyle w:val="TableParagraph"/>
              <w:spacing w:before="1"/>
              <w:ind w:left="11"/>
              <w:jc w:val="center"/>
              <w:rPr>
                <w:sz w:val="18"/>
              </w:rPr>
            </w:pPr>
            <w:r>
              <w:rPr>
                <w:sz w:val="18"/>
              </w:rPr>
              <w:t>Litter carbon stock</w:t>
            </w:r>
            <w:r>
              <w:rPr>
                <w:spacing w:val="-6"/>
                <w:sz w:val="18"/>
              </w:rPr>
              <w:t> </w:t>
            </w:r>
            <w:r>
              <w:rPr>
                <w:sz w:val="18"/>
              </w:rPr>
              <w:t>of mature</w:t>
            </w:r>
            <w:r>
              <w:rPr>
                <w:spacing w:val="-2"/>
                <w:sz w:val="18"/>
              </w:rPr>
              <w:t> </w:t>
            </w:r>
            <w:r>
              <w:rPr>
                <w:sz w:val="18"/>
              </w:rPr>
              <w:t>forests</w:t>
            </w:r>
          </w:p>
          <w:p>
            <w:pPr>
              <w:pStyle w:val="TableParagraph"/>
              <w:rPr>
                <w:sz w:val="18"/>
              </w:rPr>
            </w:pPr>
          </w:p>
          <w:p>
            <w:pPr>
              <w:pStyle w:val="TableParagraph"/>
              <w:spacing w:line="193" w:lineRule="exact"/>
              <w:ind w:left="8"/>
              <w:jc w:val="center"/>
              <w:rPr>
                <w:sz w:val="18"/>
              </w:rPr>
            </w:pPr>
            <w:r>
              <w:rPr>
                <w:sz w:val="18"/>
              </w:rPr>
              <w:t>(tonnes C</w:t>
            </w:r>
            <w:r>
              <w:rPr>
                <w:spacing w:val="-4"/>
                <w:sz w:val="18"/>
              </w:rPr>
              <w:t> </w:t>
            </w:r>
            <w:r>
              <w:rPr>
                <w:sz w:val="18"/>
              </w:rPr>
              <w:t>ha</w:t>
            </w:r>
            <w:r>
              <w:rPr>
                <w:sz w:val="18"/>
                <w:vertAlign w:val="superscript"/>
              </w:rPr>
              <w:t>-1</w:t>
            </w:r>
            <w:r>
              <w:rPr>
                <w:sz w:val="18"/>
                <w:vertAlign w:val="baseline"/>
              </w:rPr>
              <w:t>)</w:t>
            </w:r>
          </w:p>
        </w:tc>
        <w:tc>
          <w:tcPr>
            <w:tcW w:w="1941" w:type="dxa"/>
            <w:gridSpan w:val="2"/>
            <w:tcBorders>
              <w:top w:val="single" w:sz="4" w:space="0" w:color="000000"/>
              <w:left w:val="single" w:sz="4" w:space="0" w:color="000000"/>
              <w:bottom w:val="single" w:sz="4" w:space="0" w:color="000000"/>
              <w:right w:val="single" w:sz="4" w:space="0" w:color="000000"/>
            </w:tcBorders>
          </w:tcPr>
          <w:p>
            <w:pPr>
              <w:pStyle w:val="TableParagraph"/>
              <w:spacing w:before="5"/>
              <w:rPr>
                <w:sz w:val="17"/>
              </w:rPr>
            </w:pPr>
          </w:p>
          <w:p>
            <w:pPr>
              <w:pStyle w:val="TableParagraph"/>
              <w:spacing w:before="1"/>
              <w:ind w:left="377" w:right="362" w:firstLine="2"/>
              <w:jc w:val="center"/>
              <w:rPr>
                <w:sz w:val="18"/>
              </w:rPr>
            </w:pPr>
            <w:r>
              <w:rPr>
                <w:sz w:val="18"/>
              </w:rPr>
              <w:t>Length of transition period</w:t>
            </w:r>
          </w:p>
          <w:p>
            <w:pPr>
              <w:pStyle w:val="TableParagraph"/>
              <w:rPr>
                <w:sz w:val="18"/>
              </w:rPr>
            </w:pPr>
          </w:p>
          <w:p>
            <w:pPr>
              <w:pStyle w:val="TableParagraph"/>
              <w:spacing w:line="193" w:lineRule="exact"/>
              <w:ind w:left="30" w:right="18"/>
              <w:jc w:val="center"/>
              <w:rPr>
                <w:sz w:val="18"/>
              </w:rPr>
            </w:pPr>
            <w:r>
              <w:rPr>
                <w:sz w:val="18"/>
              </w:rPr>
              <w:t>(years)</w:t>
            </w:r>
          </w:p>
        </w:tc>
        <w:tc>
          <w:tcPr>
            <w:tcW w:w="1895" w:type="dxa"/>
            <w:gridSpan w:val="2"/>
            <w:tcBorders>
              <w:top w:val="single" w:sz="4" w:space="0" w:color="000000"/>
              <w:left w:val="single" w:sz="4" w:space="0" w:color="000000"/>
              <w:bottom w:val="single" w:sz="4" w:space="0" w:color="000000"/>
              <w:right w:val="single" w:sz="4" w:space="0" w:color="000000"/>
            </w:tcBorders>
          </w:tcPr>
          <w:p>
            <w:pPr>
              <w:pStyle w:val="TableParagraph"/>
              <w:spacing w:before="98"/>
              <w:ind w:left="46" w:right="34"/>
              <w:jc w:val="center"/>
              <w:rPr>
                <w:sz w:val="18"/>
              </w:rPr>
            </w:pPr>
            <w:r>
              <w:rPr>
                <w:sz w:val="18"/>
              </w:rPr>
              <w:t>Net annual</w:t>
            </w:r>
            <w:r>
              <w:rPr>
                <w:spacing w:val="-7"/>
                <w:sz w:val="18"/>
              </w:rPr>
              <w:t> </w:t>
            </w:r>
            <w:r>
              <w:rPr>
                <w:sz w:val="18"/>
              </w:rPr>
              <w:t>accumulation of litter C over length of transition period</w:t>
            </w:r>
            <w:r>
              <w:rPr>
                <w:spacing w:val="-9"/>
                <w:sz w:val="18"/>
              </w:rPr>
              <w:t> </w:t>
            </w:r>
            <w:r>
              <w:rPr>
                <w:spacing w:val="-3"/>
                <w:sz w:val="18"/>
                <w:vertAlign w:val="superscript"/>
              </w:rPr>
              <w:t>bc</w:t>
            </w:r>
          </w:p>
          <w:p>
            <w:pPr>
              <w:pStyle w:val="TableParagraph"/>
              <w:spacing w:line="193" w:lineRule="exact" w:before="104"/>
              <w:ind w:left="45" w:right="34"/>
              <w:jc w:val="center"/>
              <w:rPr>
                <w:sz w:val="18"/>
              </w:rPr>
            </w:pPr>
            <w:r>
              <w:rPr>
                <w:sz w:val="18"/>
              </w:rPr>
              <w:t>(tonnes C ha</w:t>
            </w:r>
            <w:r>
              <w:rPr>
                <w:sz w:val="18"/>
                <w:vertAlign w:val="superscript"/>
              </w:rPr>
              <w:t>-1</w:t>
            </w:r>
            <w:r>
              <w:rPr>
                <w:spacing w:val="-13"/>
                <w:sz w:val="18"/>
                <w:vertAlign w:val="baseline"/>
              </w:rPr>
              <w:t> </w:t>
            </w:r>
            <w:r>
              <w:rPr>
                <w:sz w:val="18"/>
                <w:vertAlign w:val="baseline"/>
              </w:rPr>
              <w:t>yr</w:t>
            </w:r>
            <w:r>
              <w:rPr>
                <w:sz w:val="18"/>
                <w:vertAlign w:val="superscript"/>
              </w:rPr>
              <w:t>-1</w:t>
            </w:r>
            <w:r>
              <w:rPr>
                <w:sz w:val="18"/>
                <w:vertAlign w:val="baseline"/>
              </w:rPr>
              <w:t>)</w:t>
            </w:r>
          </w:p>
        </w:tc>
        <w:tc>
          <w:tcPr>
            <w:tcW w:w="1795" w:type="dxa"/>
            <w:gridSpan w:val="2"/>
            <w:tcBorders>
              <w:top w:val="single" w:sz="4" w:space="0" w:color="000000"/>
              <w:left w:val="single" w:sz="4" w:space="0" w:color="000000"/>
              <w:bottom w:val="single" w:sz="4" w:space="0" w:color="000000"/>
              <w:right w:val="single" w:sz="4" w:space="0" w:color="000000"/>
            </w:tcBorders>
          </w:tcPr>
          <w:p>
            <w:pPr>
              <w:pStyle w:val="TableParagraph"/>
              <w:ind w:left="124" w:right="107" w:hanging="2"/>
              <w:jc w:val="center"/>
              <w:rPr>
                <w:sz w:val="18"/>
              </w:rPr>
            </w:pPr>
            <w:r>
              <w:rPr>
                <w:sz w:val="18"/>
              </w:rPr>
              <w:t>Net annual accumulation of litter C, based on 20 year default</w:t>
            </w:r>
          </w:p>
          <w:p>
            <w:pPr>
              <w:pStyle w:val="TableParagraph"/>
              <w:spacing w:line="193" w:lineRule="exact"/>
              <w:ind w:left="198" w:right="187"/>
              <w:jc w:val="center"/>
              <w:rPr>
                <w:sz w:val="18"/>
              </w:rPr>
            </w:pPr>
            <w:r>
              <w:rPr>
                <w:sz w:val="18"/>
              </w:rPr>
              <w:t>(tonnes C ha</w:t>
            </w:r>
            <w:r>
              <w:rPr>
                <w:sz w:val="18"/>
                <w:vertAlign w:val="superscript"/>
              </w:rPr>
              <w:t>-1</w:t>
            </w:r>
            <w:r>
              <w:rPr>
                <w:sz w:val="18"/>
                <w:vertAlign w:val="baseline"/>
              </w:rPr>
              <w:t> yr</w:t>
            </w:r>
            <w:r>
              <w:rPr>
                <w:sz w:val="18"/>
                <w:vertAlign w:val="superscript"/>
              </w:rPr>
              <w:t>-1</w:t>
            </w:r>
            <w:r>
              <w:rPr>
                <w:sz w:val="18"/>
                <w:vertAlign w:val="baseline"/>
              </w:rPr>
              <w:t>)</w:t>
            </w:r>
          </w:p>
        </w:tc>
      </w:tr>
      <w:tr>
        <w:trPr>
          <w:trHeight w:val="500" w:hRule="atLeast"/>
        </w:trPr>
        <w:tc>
          <w:tcPr>
            <w:tcW w:w="1442" w:type="dxa"/>
            <w:tcBorders>
              <w:top w:val="single" w:sz="4" w:space="0" w:color="000000"/>
              <w:left w:val="single" w:sz="4" w:space="0" w:color="000000"/>
              <w:right w:val="single" w:sz="4" w:space="0" w:color="000000"/>
            </w:tcBorders>
          </w:tcPr>
          <w:p>
            <w:pPr>
              <w:pStyle w:val="TableParagraph"/>
              <w:spacing w:before="55"/>
              <w:ind w:left="215" w:right="207"/>
              <w:jc w:val="center"/>
              <w:rPr>
                <w:sz w:val="18"/>
              </w:rPr>
            </w:pPr>
            <w:r>
              <w:rPr>
                <w:sz w:val="18"/>
              </w:rPr>
              <w:t>Boreal, dry</w:t>
            </w:r>
          </w:p>
        </w:tc>
        <w:tc>
          <w:tcPr>
            <w:tcW w:w="968" w:type="dxa"/>
            <w:tcBorders>
              <w:top w:val="single" w:sz="4" w:space="0" w:color="000000"/>
              <w:left w:val="single" w:sz="4" w:space="0" w:color="000000"/>
            </w:tcBorders>
          </w:tcPr>
          <w:p>
            <w:pPr>
              <w:pStyle w:val="TableParagraph"/>
              <w:spacing w:line="207" w:lineRule="exact" w:before="38"/>
              <w:ind w:left="146" w:right="144"/>
              <w:jc w:val="center"/>
              <w:rPr>
                <w:sz w:val="18"/>
              </w:rPr>
            </w:pPr>
            <w:r>
              <w:rPr>
                <w:sz w:val="18"/>
              </w:rPr>
              <w:t>25</w:t>
            </w:r>
          </w:p>
          <w:p>
            <w:pPr>
              <w:pStyle w:val="TableParagraph"/>
              <w:spacing w:line="207" w:lineRule="exact"/>
              <w:ind w:left="147" w:right="144"/>
              <w:jc w:val="center"/>
              <w:rPr>
                <w:sz w:val="18"/>
              </w:rPr>
            </w:pPr>
            <w:r>
              <w:rPr>
                <w:sz w:val="18"/>
              </w:rPr>
              <w:t>(10-58)</w:t>
            </w:r>
          </w:p>
        </w:tc>
        <w:tc>
          <w:tcPr>
            <w:tcW w:w="971" w:type="dxa"/>
            <w:tcBorders>
              <w:top w:val="single" w:sz="4" w:space="0" w:color="000000"/>
              <w:right w:val="single" w:sz="4" w:space="0" w:color="000000"/>
            </w:tcBorders>
          </w:tcPr>
          <w:p>
            <w:pPr>
              <w:pStyle w:val="TableParagraph"/>
              <w:spacing w:line="207" w:lineRule="exact" w:before="38"/>
              <w:ind w:left="149" w:right="137"/>
              <w:jc w:val="center"/>
              <w:rPr>
                <w:sz w:val="18"/>
              </w:rPr>
            </w:pPr>
            <w:r>
              <w:rPr>
                <w:sz w:val="18"/>
              </w:rPr>
              <w:t>31</w:t>
            </w:r>
          </w:p>
          <w:p>
            <w:pPr>
              <w:pStyle w:val="TableParagraph"/>
              <w:spacing w:line="207" w:lineRule="exact"/>
              <w:ind w:left="149" w:right="137"/>
              <w:jc w:val="center"/>
              <w:rPr>
                <w:sz w:val="18"/>
              </w:rPr>
            </w:pPr>
            <w:r>
              <w:rPr>
                <w:sz w:val="18"/>
              </w:rPr>
              <w:t>(6-86)</w:t>
            </w:r>
          </w:p>
        </w:tc>
        <w:tc>
          <w:tcPr>
            <w:tcW w:w="970" w:type="dxa"/>
            <w:tcBorders>
              <w:top w:val="single" w:sz="4" w:space="0" w:color="000000"/>
              <w:left w:val="single" w:sz="4" w:space="0" w:color="000000"/>
            </w:tcBorders>
          </w:tcPr>
          <w:p>
            <w:pPr>
              <w:pStyle w:val="TableParagraph"/>
              <w:spacing w:before="141"/>
              <w:ind w:left="375" w:right="370"/>
              <w:jc w:val="center"/>
              <w:rPr>
                <w:sz w:val="18"/>
              </w:rPr>
            </w:pPr>
            <w:r>
              <w:rPr>
                <w:sz w:val="18"/>
              </w:rPr>
              <w:t>50</w:t>
            </w:r>
          </w:p>
        </w:tc>
        <w:tc>
          <w:tcPr>
            <w:tcW w:w="971" w:type="dxa"/>
            <w:tcBorders>
              <w:top w:val="single" w:sz="4" w:space="0" w:color="000000"/>
              <w:right w:val="single" w:sz="4" w:space="0" w:color="000000"/>
            </w:tcBorders>
          </w:tcPr>
          <w:p>
            <w:pPr>
              <w:pStyle w:val="TableParagraph"/>
              <w:spacing w:before="141"/>
              <w:ind w:left="398"/>
              <w:rPr>
                <w:sz w:val="18"/>
              </w:rPr>
            </w:pPr>
            <w:r>
              <w:rPr>
                <w:sz w:val="18"/>
              </w:rPr>
              <w:t>80</w:t>
            </w:r>
          </w:p>
        </w:tc>
        <w:tc>
          <w:tcPr>
            <w:tcW w:w="971" w:type="dxa"/>
            <w:tcBorders>
              <w:top w:val="single" w:sz="4" w:space="0" w:color="000000"/>
              <w:left w:val="single" w:sz="4" w:space="0" w:color="000000"/>
            </w:tcBorders>
          </w:tcPr>
          <w:p>
            <w:pPr>
              <w:pStyle w:val="TableParagraph"/>
              <w:spacing w:before="141"/>
              <w:ind w:left="384"/>
              <w:rPr>
                <w:sz w:val="18"/>
              </w:rPr>
            </w:pPr>
            <w:r>
              <w:rPr>
                <w:sz w:val="18"/>
              </w:rPr>
              <w:t>0.5</w:t>
            </w:r>
          </w:p>
        </w:tc>
        <w:tc>
          <w:tcPr>
            <w:tcW w:w="924" w:type="dxa"/>
            <w:tcBorders>
              <w:top w:val="single" w:sz="4" w:space="0" w:color="000000"/>
              <w:right w:val="single" w:sz="4" w:space="0" w:color="000000"/>
            </w:tcBorders>
          </w:tcPr>
          <w:p>
            <w:pPr>
              <w:pStyle w:val="TableParagraph"/>
              <w:spacing w:before="141"/>
              <w:ind w:left="348" w:right="305"/>
              <w:jc w:val="center"/>
              <w:rPr>
                <w:sz w:val="18"/>
              </w:rPr>
            </w:pPr>
            <w:r>
              <w:rPr>
                <w:sz w:val="18"/>
              </w:rPr>
              <w:t>0.4</w:t>
            </w:r>
          </w:p>
        </w:tc>
        <w:tc>
          <w:tcPr>
            <w:tcW w:w="896" w:type="dxa"/>
            <w:tcBorders>
              <w:top w:val="single" w:sz="4" w:space="0" w:color="000000"/>
              <w:left w:val="single" w:sz="4" w:space="0" w:color="000000"/>
            </w:tcBorders>
          </w:tcPr>
          <w:p>
            <w:pPr>
              <w:pStyle w:val="TableParagraph"/>
              <w:spacing w:before="141"/>
              <w:ind w:left="317" w:right="309"/>
              <w:jc w:val="center"/>
              <w:rPr>
                <w:sz w:val="18"/>
              </w:rPr>
            </w:pPr>
            <w:r>
              <w:rPr>
                <w:sz w:val="18"/>
              </w:rPr>
              <w:t>1.2</w:t>
            </w:r>
          </w:p>
        </w:tc>
        <w:tc>
          <w:tcPr>
            <w:tcW w:w="899" w:type="dxa"/>
            <w:tcBorders>
              <w:top w:val="single" w:sz="4" w:space="0" w:color="000000"/>
              <w:right w:val="single" w:sz="4" w:space="0" w:color="000000"/>
            </w:tcBorders>
          </w:tcPr>
          <w:p>
            <w:pPr>
              <w:pStyle w:val="TableParagraph"/>
              <w:spacing w:before="141"/>
              <w:ind w:left="92" w:right="73"/>
              <w:jc w:val="center"/>
              <w:rPr>
                <w:sz w:val="18"/>
              </w:rPr>
            </w:pPr>
            <w:r>
              <w:rPr>
                <w:sz w:val="18"/>
              </w:rPr>
              <w:t>1.6</w:t>
            </w:r>
          </w:p>
        </w:tc>
      </w:tr>
      <w:tr>
        <w:trPr>
          <w:trHeight w:val="507" w:hRule="atLeast"/>
        </w:trPr>
        <w:tc>
          <w:tcPr>
            <w:tcW w:w="1442" w:type="dxa"/>
            <w:tcBorders>
              <w:left w:val="single" w:sz="4" w:space="0" w:color="000000"/>
              <w:right w:val="single" w:sz="4" w:space="0" w:color="000000"/>
            </w:tcBorders>
          </w:tcPr>
          <w:p>
            <w:pPr>
              <w:pStyle w:val="TableParagraph"/>
              <w:spacing w:before="53"/>
              <w:ind w:left="215" w:right="207"/>
              <w:jc w:val="center"/>
              <w:rPr>
                <w:sz w:val="18"/>
              </w:rPr>
            </w:pPr>
            <w:r>
              <w:rPr>
                <w:sz w:val="18"/>
              </w:rPr>
              <w:t>Boreal, moist</w:t>
            </w:r>
          </w:p>
        </w:tc>
        <w:tc>
          <w:tcPr>
            <w:tcW w:w="968" w:type="dxa"/>
            <w:tcBorders>
              <w:left w:val="single" w:sz="4" w:space="0" w:color="000000"/>
            </w:tcBorders>
          </w:tcPr>
          <w:p>
            <w:pPr>
              <w:pStyle w:val="TableParagraph"/>
              <w:spacing w:line="207" w:lineRule="exact" w:before="41"/>
              <w:ind w:left="146" w:right="144"/>
              <w:jc w:val="center"/>
              <w:rPr>
                <w:sz w:val="18"/>
              </w:rPr>
            </w:pPr>
            <w:r>
              <w:rPr>
                <w:sz w:val="18"/>
              </w:rPr>
              <w:t>39</w:t>
            </w:r>
          </w:p>
          <w:p>
            <w:pPr>
              <w:pStyle w:val="TableParagraph"/>
              <w:spacing w:line="207" w:lineRule="exact"/>
              <w:ind w:left="149" w:right="144"/>
              <w:jc w:val="center"/>
              <w:rPr>
                <w:sz w:val="18"/>
              </w:rPr>
            </w:pPr>
            <w:r>
              <w:rPr>
                <w:sz w:val="18"/>
              </w:rPr>
              <w:t>(11-117)</w:t>
            </w:r>
          </w:p>
        </w:tc>
        <w:tc>
          <w:tcPr>
            <w:tcW w:w="971" w:type="dxa"/>
            <w:tcBorders>
              <w:right w:val="single" w:sz="4" w:space="0" w:color="000000"/>
            </w:tcBorders>
          </w:tcPr>
          <w:p>
            <w:pPr>
              <w:pStyle w:val="TableParagraph"/>
              <w:spacing w:line="207" w:lineRule="exact" w:before="41"/>
              <w:ind w:left="149" w:right="137"/>
              <w:jc w:val="center"/>
              <w:rPr>
                <w:sz w:val="18"/>
              </w:rPr>
            </w:pPr>
            <w:r>
              <w:rPr>
                <w:sz w:val="18"/>
              </w:rPr>
              <w:t>55</w:t>
            </w:r>
          </w:p>
          <w:p>
            <w:pPr>
              <w:pStyle w:val="TableParagraph"/>
              <w:spacing w:line="207" w:lineRule="exact"/>
              <w:ind w:left="149" w:right="137"/>
              <w:jc w:val="center"/>
              <w:rPr>
                <w:sz w:val="18"/>
              </w:rPr>
            </w:pPr>
            <w:r>
              <w:rPr>
                <w:sz w:val="18"/>
              </w:rPr>
              <w:t>(7-123)</w:t>
            </w:r>
          </w:p>
        </w:tc>
        <w:tc>
          <w:tcPr>
            <w:tcW w:w="970" w:type="dxa"/>
            <w:tcBorders>
              <w:left w:val="single" w:sz="4" w:space="0" w:color="000000"/>
            </w:tcBorders>
          </w:tcPr>
          <w:p>
            <w:pPr>
              <w:pStyle w:val="TableParagraph"/>
              <w:spacing w:before="144"/>
              <w:ind w:left="375" w:right="370"/>
              <w:jc w:val="center"/>
              <w:rPr>
                <w:sz w:val="18"/>
              </w:rPr>
            </w:pPr>
            <w:r>
              <w:rPr>
                <w:sz w:val="18"/>
              </w:rPr>
              <w:t>50</w:t>
            </w:r>
          </w:p>
        </w:tc>
        <w:tc>
          <w:tcPr>
            <w:tcW w:w="971" w:type="dxa"/>
            <w:tcBorders>
              <w:right w:val="single" w:sz="4" w:space="0" w:color="000000"/>
            </w:tcBorders>
          </w:tcPr>
          <w:p>
            <w:pPr>
              <w:pStyle w:val="TableParagraph"/>
              <w:spacing w:before="144"/>
              <w:ind w:left="398"/>
              <w:rPr>
                <w:sz w:val="18"/>
              </w:rPr>
            </w:pPr>
            <w:r>
              <w:rPr>
                <w:sz w:val="18"/>
              </w:rPr>
              <w:t>80</w:t>
            </w:r>
          </w:p>
        </w:tc>
        <w:tc>
          <w:tcPr>
            <w:tcW w:w="971" w:type="dxa"/>
            <w:tcBorders>
              <w:left w:val="single" w:sz="4" w:space="0" w:color="000000"/>
            </w:tcBorders>
          </w:tcPr>
          <w:p>
            <w:pPr>
              <w:pStyle w:val="TableParagraph"/>
              <w:spacing w:before="144"/>
              <w:ind w:left="384"/>
              <w:rPr>
                <w:sz w:val="18"/>
              </w:rPr>
            </w:pPr>
            <w:r>
              <w:rPr>
                <w:sz w:val="18"/>
              </w:rPr>
              <w:t>0.8</w:t>
            </w:r>
          </w:p>
        </w:tc>
        <w:tc>
          <w:tcPr>
            <w:tcW w:w="924" w:type="dxa"/>
            <w:tcBorders>
              <w:right w:val="single" w:sz="4" w:space="0" w:color="000000"/>
            </w:tcBorders>
          </w:tcPr>
          <w:p>
            <w:pPr>
              <w:pStyle w:val="TableParagraph"/>
              <w:spacing w:before="144"/>
              <w:ind w:left="348" w:right="305"/>
              <w:jc w:val="center"/>
              <w:rPr>
                <w:sz w:val="18"/>
              </w:rPr>
            </w:pPr>
            <w:r>
              <w:rPr>
                <w:sz w:val="18"/>
              </w:rPr>
              <w:t>0.7</w:t>
            </w:r>
          </w:p>
        </w:tc>
        <w:tc>
          <w:tcPr>
            <w:tcW w:w="896" w:type="dxa"/>
            <w:tcBorders>
              <w:left w:val="single" w:sz="4" w:space="0" w:color="000000"/>
            </w:tcBorders>
          </w:tcPr>
          <w:p>
            <w:pPr>
              <w:pStyle w:val="TableParagraph"/>
              <w:spacing w:before="144"/>
              <w:ind w:left="317" w:right="309"/>
              <w:jc w:val="center"/>
              <w:rPr>
                <w:sz w:val="18"/>
              </w:rPr>
            </w:pPr>
            <w:r>
              <w:rPr>
                <w:sz w:val="18"/>
              </w:rPr>
              <w:t>2.0</w:t>
            </w:r>
          </w:p>
        </w:tc>
        <w:tc>
          <w:tcPr>
            <w:tcW w:w="899" w:type="dxa"/>
            <w:tcBorders>
              <w:right w:val="single" w:sz="4" w:space="0" w:color="000000"/>
            </w:tcBorders>
          </w:tcPr>
          <w:p>
            <w:pPr>
              <w:pStyle w:val="TableParagraph"/>
              <w:spacing w:before="144"/>
              <w:ind w:left="92" w:right="73"/>
              <w:jc w:val="center"/>
              <w:rPr>
                <w:sz w:val="18"/>
              </w:rPr>
            </w:pPr>
            <w:r>
              <w:rPr>
                <w:sz w:val="18"/>
              </w:rPr>
              <w:t>2.8</w:t>
            </w:r>
          </w:p>
        </w:tc>
      </w:tr>
      <w:tr>
        <w:trPr>
          <w:trHeight w:val="516" w:hRule="atLeast"/>
        </w:trPr>
        <w:tc>
          <w:tcPr>
            <w:tcW w:w="1442" w:type="dxa"/>
            <w:tcBorders>
              <w:left w:val="single" w:sz="4" w:space="0" w:color="000000"/>
              <w:right w:val="single" w:sz="4" w:space="0" w:color="000000"/>
            </w:tcBorders>
          </w:tcPr>
          <w:p>
            <w:pPr>
              <w:pStyle w:val="TableParagraph"/>
              <w:spacing w:before="57"/>
              <w:ind w:left="599" w:right="88" w:hanging="485"/>
              <w:rPr>
                <w:sz w:val="18"/>
              </w:rPr>
            </w:pPr>
            <w:r>
              <w:rPr>
                <w:sz w:val="18"/>
              </w:rPr>
              <w:t>Cold Temperate, dry</w:t>
            </w:r>
          </w:p>
        </w:tc>
        <w:tc>
          <w:tcPr>
            <w:tcW w:w="968" w:type="dxa"/>
            <w:tcBorders>
              <w:left w:val="single" w:sz="4" w:space="0" w:color="000000"/>
            </w:tcBorders>
          </w:tcPr>
          <w:p>
            <w:pPr>
              <w:pStyle w:val="TableParagraph"/>
              <w:spacing w:before="45"/>
              <w:ind w:left="184" w:right="180" w:firstLine="206"/>
              <w:rPr>
                <w:sz w:val="18"/>
              </w:rPr>
            </w:pPr>
            <w:r>
              <w:rPr>
                <w:sz w:val="18"/>
              </w:rPr>
              <w:t>28 (23-33)</w:t>
            </w:r>
            <w:r>
              <w:rPr>
                <w:sz w:val="18"/>
                <w:vertAlign w:val="superscript"/>
              </w:rPr>
              <w:t>a</w:t>
            </w:r>
          </w:p>
        </w:tc>
        <w:tc>
          <w:tcPr>
            <w:tcW w:w="971" w:type="dxa"/>
            <w:tcBorders>
              <w:right w:val="single" w:sz="4" w:space="0" w:color="000000"/>
            </w:tcBorders>
          </w:tcPr>
          <w:p>
            <w:pPr>
              <w:pStyle w:val="TableParagraph"/>
              <w:spacing w:line="207" w:lineRule="exact" w:before="45"/>
              <w:ind w:left="149" w:right="137"/>
              <w:jc w:val="center"/>
              <w:rPr>
                <w:sz w:val="18"/>
              </w:rPr>
            </w:pPr>
            <w:r>
              <w:rPr>
                <w:sz w:val="18"/>
              </w:rPr>
              <w:t>27</w:t>
            </w:r>
          </w:p>
          <w:p>
            <w:pPr>
              <w:pStyle w:val="TableParagraph"/>
              <w:spacing w:line="207" w:lineRule="exact"/>
              <w:ind w:left="152" w:right="137"/>
              <w:jc w:val="center"/>
              <w:rPr>
                <w:sz w:val="18"/>
              </w:rPr>
            </w:pPr>
            <w:r>
              <w:rPr>
                <w:sz w:val="18"/>
              </w:rPr>
              <w:t>(17-42) </w:t>
            </w:r>
            <w:r>
              <w:rPr>
                <w:sz w:val="18"/>
                <w:vertAlign w:val="superscript"/>
              </w:rPr>
              <w:t>a</w:t>
            </w:r>
          </w:p>
        </w:tc>
        <w:tc>
          <w:tcPr>
            <w:tcW w:w="970" w:type="dxa"/>
            <w:tcBorders>
              <w:left w:val="single" w:sz="4" w:space="0" w:color="000000"/>
            </w:tcBorders>
          </w:tcPr>
          <w:p>
            <w:pPr>
              <w:pStyle w:val="TableParagraph"/>
              <w:spacing w:before="148"/>
              <w:ind w:left="375" w:right="370"/>
              <w:jc w:val="center"/>
              <w:rPr>
                <w:sz w:val="18"/>
              </w:rPr>
            </w:pPr>
            <w:r>
              <w:rPr>
                <w:sz w:val="18"/>
              </w:rPr>
              <w:t>50</w:t>
            </w:r>
          </w:p>
        </w:tc>
        <w:tc>
          <w:tcPr>
            <w:tcW w:w="971" w:type="dxa"/>
            <w:tcBorders>
              <w:right w:val="single" w:sz="4" w:space="0" w:color="000000"/>
            </w:tcBorders>
          </w:tcPr>
          <w:p>
            <w:pPr>
              <w:pStyle w:val="TableParagraph"/>
              <w:spacing w:before="148"/>
              <w:ind w:left="398"/>
              <w:rPr>
                <w:sz w:val="18"/>
              </w:rPr>
            </w:pPr>
            <w:r>
              <w:rPr>
                <w:sz w:val="18"/>
              </w:rPr>
              <w:t>80</w:t>
            </w:r>
          </w:p>
        </w:tc>
        <w:tc>
          <w:tcPr>
            <w:tcW w:w="971" w:type="dxa"/>
            <w:tcBorders>
              <w:left w:val="single" w:sz="4" w:space="0" w:color="000000"/>
            </w:tcBorders>
          </w:tcPr>
          <w:p>
            <w:pPr>
              <w:pStyle w:val="TableParagraph"/>
              <w:spacing w:before="148"/>
              <w:ind w:left="384"/>
              <w:rPr>
                <w:sz w:val="18"/>
              </w:rPr>
            </w:pPr>
            <w:r>
              <w:rPr>
                <w:sz w:val="18"/>
              </w:rPr>
              <w:t>0.6</w:t>
            </w:r>
          </w:p>
        </w:tc>
        <w:tc>
          <w:tcPr>
            <w:tcW w:w="924" w:type="dxa"/>
            <w:tcBorders>
              <w:right w:val="single" w:sz="4" w:space="0" w:color="000000"/>
            </w:tcBorders>
          </w:tcPr>
          <w:p>
            <w:pPr>
              <w:pStyle w:val="TableParagraph"/>
              <w:spacing w:before="148"/>
              <w:ind w:left="348" w:right="305"/>
              <w:jc w:val="center"/>
              <w:rPr>
                <w:sz w:val="18"/>
              </w:rPr>
            </w:pPr>
            <w:r>
              <w:rPr>
                <w:sz w:val="18"/>
              </w:rPr>
              <w:t>0.4</w:t>
            </w:r>
          </w:p>
        </w:tc>
        <w:tc>
          <w:tcPr>
            <w:tcW w:w="896" w:type="dxa"/>
            <w:tcBorders>
              <w:left w:val="single" w:sz="4" w:space="0" w:color="000000"/>
            </w:tcBorders>
          </w:tcPr>
          <w:p>
            <w:pPr>
              <w:pStyle w:val="TableParagraph"/>
              <w:spacing w:before="148"/>
              <w:ind w:left="317" w:right="309"/>
              <w:jc w:val="center"/>
              <w:rPr>
                <w:sz w:val="18"/>
              </w:rPr>
            </w:pPr>
            <w:r>
              <w:rPr>
                <w:sz w:val="18"/>
              </w:rPr>
              <w:t>1.4</w:t>
            </w:r>
          </w:p>
        </w:tc>
        <w:tc>
          <w:tcPr>
            <w:tcW w:w="899" w:type="dxa"/>
            <w:tcBorders>
              <w:right w:val="single" w:sz="4" w:space="0" w:color="000000"/>
            </w:tcBorders>
          </w:tcPr>
          <w:p>
            <w:pPr>
              <w:pStyle w:val="TableParagraph"/>
              <w:spacing w:before="148"/>
              <w:ind w:left="92" w:right="73"/>
              <w:jc w:val="center"/>
              <w:rPr>
                <w:sz w:val="18"/>
              </w:rPr>
            </w:pPr>
            <w:r>
              <w:rPr>
                <w:sz w:val="18"/>
              </w:rPr>
              <w:t>1.4</w:t>
            </w:r>
          </w:p>
        </w:tc>
      </w:tr>
      <w:tr>
        <w:trPr>
          <w:trHeight w:val="510" w:hRule="atLeast"/>
        </w:trPr>
        <w:tc>
          <w:tcPr>
            <w:tcW w:w="1442" w:type="dxa"/>
            <w:tcBorders>
              <w:left w:val="single" w:sz="4" w:space="0" w:color="000000"/>
              <w:right w:val="single" w:sz="4" w:space="0" w:color="000000"/>
            </w:tcBorders>
          </w:tcPr>
          <w:p>
            <w:pPr>
              <w:pStyle w:val="TableParagraph"/>
              <w:spacing w:before="50"/>
              <w:ind w:left="520" w:right="117" w:hanging="375"/>
              <w:rPr>
                <w:sz w:val="18"/>
              </w:rPr>
            </w:pPr>
            <w:r>
              <w:rPr>
                <w:sz w:val="18"/>
              </w:rPr>
              <w:t>Cold temperate, moist</w:t>
            </w:r>
          </w:p>
        </w:tc>
        <w:tc>
          <w:tcPr>
            <w:tcW w:w="968" w:type="dxa"/>
            <w:tcBorders>
              <w:left w:val="single" w:sz="4" w:space="0" w:color="000000"/>
            </w:tcBorders>
          </w:tcPr>
          <w:p>
            <w:pPr>
              <w:pStyle w:val="TableParagraph"/>
              <w:spacing w:line="207" w:lineRule="exact" w:before="38"/>
              <w:ind w:left="146" w:right="144"/>
              <w:jc w:val="center"/>
              <w:rPr>
                <w:sz w:val="18"/>
              </w:rPr>
            </w:pPr>
            <w:r>
              <w:rPr>
                <w:sz w:val="18"/>
              </w:rPr>
              <w:t>16</w:t>
            </w:r>
          </w:p>
          <w:p>
            <w:pPr>
              <w:pStyle w:val="TableParagraph"/>
              <w:spacing w:line="207" w:lineRule="exact"/>
              <w:ind w:left="149" w:right="144"/>
              <w:jc w:val="center"/>
              <w:rPr>
                <w:sz w:val="18"/>
              </w:rPr>
            </w:pPr>
            <w:r>
              <w:rPr>
                <w:sz w:val="18"/>
              </w:rPr>
              <w:t>(5-31) </w:t>
            </w:r>
            <w:r>
              <w:rPr>
                <w:sz w:val="18"/>
                <w:vertAlign w:val="superscript"/>
              </w:rPr>
              <w:t>a</w:t>
            </w:r>
          </w:p>
        </w:tc>
        <w:tc>
          <w:tcPr>
            <w:tcW w:w="971" w:type="dxa"/>
            <w:tcBorders>
              <w:right w:val="single" w:sz="4" w:space="0" w:color="000000"/>
            </w:tcBorders>
          </w:tcPr>
          <w:p>
            <w:pPr>
              <w:pStyle w:val="TableParagraph"/>
              <w:spacing w:line="207" w:lineRule="exact" w:before="38"/>
              <w:ind w:left="149" w:right="137"/>
              <w:jc w:val="center"/>
              <w:rPr>
                <w:sz w:val="18"/>
              </w:rPr>
            </w:pPr>
            <w:r>
              <w:rPr>
                <w:sz w:val="18"/>
              </w:rPr>
              <w:t>26</w:t>
            </w:r>
          </w:p>
          <w:p>
            <w:pPr>
              <w:pStyle w:val="TableParagraph"/>
              <w:spacing w:line="207" w:lineRule="exact"/>
              <w:ind w:left="152" w:right="137"/>
              <w:jc w:val="center"/>
              <w:rPr>
                <w:sz w:val="18"/>
              </w:rPr>
            </w:pPr>
            <w:r>
              <w:rPr>
                <w:sz w:val="18"/>
              </w:rPr>
              <w:t>(10-48) </w:t>
            </w:r>
            <w:r>
              <w:rPr>
                <w:sz w:val="18"/>
                <w:vertAlign w:val="superscript"/>
              </w:rPr>
              <w:t>a</w:t>
            </w:r>
          </w:p>
        </w:tc>
        <w:tc>
          <w:tcPr>
            <w:tcW w:w="970" w:type="dxa"/>
            <w:tcBorders>
              <w:left w:val="single" w:sz="4" w:space="0" w:color="000000"/>
            </w:tcBorders>
          </w:tcPr>
          <w:p>
            <w:pPr>
              <w:pStyle w:val="TableParagraph"/>
              <w:spacing w:before="141"/>
              <w:ind w:left="375" w:right="370"/>
              <w:jc w:val="center"/>
              <w:rPr>
                <w:sz w:val="18"/>
              </w:rPr>
            </w:pPr>
            <w:r>
              <w:rPr>
                <w:sz w:val="18"/>
              </w:rPr>
              <w:t>50</w:t>
            </w:r>
          </w:p>
        </w:tc>
        <w:tc>
          <w:tcPr>
            <w:tcW w:w="971" w:type="dxa"/>
            <w:tcBorders>
              <w:right w:val="single" w:sz="4" w:space="0" w:color="000000"/>
            </w:tcBorders>
          </w:tcPr>
          <w:p>
            <w:pPr>
              <w:pStyle w:val="TableParagraph"/>
              <w:spacing w:before="141"/>
              <w:ind w:left="398"/>
              <w:rPr>
                <w:sz w:val="18"/>
              </w:rPr>
            </w:pPr>
            <w:r>
              <w:rPr>
                <w:sz w:val="18"/>
              </w:rPr>
              <w:t>50</w:t>
            </w:r>
          </w:p>
        </w:tc>
        <w:tc>
          <w:tcPr>
            <w:tcW w:w="971" w:type="dxa"/>
            <w:tcBorders>
              <w:left w:val="single" w:sz="4" w:space="0" w:color="000000"/>
            </w:tcBorders>
          </w:tcPr>
          <w:p>
            <w:pPr>
              <w:pStyle w:val="TableParagraph"/>
              <w:spacing w:before="141"/>
              <w:ind w:left="384"/>
              <w:rPr>
                <w:sz w:val="18"/>
              </w:rPr>
            </w:pPr>
            <w:r>
              <w:rPr>
                <w:sz w:val="18"/>
              </w:rPr>
              <w:t>0.3</w:t>
            </w:r>
          </w:p>
        </w:tc>
        <w:tc>
          <w:tcPr>
            <w:tcW w:w="924" w:type="dxa"/>
            <w:tcBorders>
              <w:right w:val="single" w:sz="4" w:space="0" w:color="000000"/>
            </w:tcBorders>
          </w:tcPr>
          <w:p>
            <w:pPr>
              <w:pStyle w:val="TableParagraph"/>
              <w:spacing w:before="141"/>
              <w:ind w:left="348" w:right="305"/>
              <w:jc w:val="center"/>
              <w:rPr>
                <w:sz w:val="18"/>
              </w:rPr>
            </w:pPr>
            <w:r>
              <w:rPr>
                <w:sz w:val="18"/>
              </w:rPr>
              <w:t>0.5</w:t>
            </w:r>
          </w:p>
        </w:tc>
        <w:tc>
          <w:tcPr>
            <w:tcW w:w="896" w:type="dxa"/>
            <w:tcBorders>
              <w:left w:val="single" w:sz="4" w:space="0" w:color="000000"/>
            </w:tcBorders>
          </w:tcPr>
          <w:p>
            <w:pPr>
              <w:pStyle w:val="TableParagraph"/>
              <w:spacing w:before="141"/>
              <w:ind w:left="317" w:right="309"/>
              <w:jc w:val="center"/>
              <w:rPr>
                <w:sz w:val="18"/>
              </w:rPr>
            </w:pPr>
            <w:r>
              <w:rPr>
                <w:sz w:val="18"/>
              </w:rPr>
              <w:t>0.8</w:t>
            </w:r>
          </w:p>
        </w:tc>
        <w:tc>
          <w:tcPr>
            <w:tcW w:w="899" w:type="dxa"/>
            <w:tcBorders>
              <w:right w:val="single" w:sz="4" w:space="0" w:color="000000"/>
            </w:tcBorders>
          </w:tcPr>
          <w:p>
            <w:pPr>
              <w:pStyle w:val="TableParagraph"/>
              <w:spacing w:before="141"/>
              <w:ind w:left="92" w:right="73"/>
              <w:jc w:val="center"/>
              <w:rPr>
                <w:sz w:val="18"/>
              </w:rPr>
            </w:pPr>
            <w:r>
              <w:rPr>
                <w:sz w:val="18"/>
              </w:rPr>
              <w:t>1.3</w:t>
            </w:r>
          </w:p>
        </w:tc>
      </w:tr>
      <w:tr>
        <w:trPr>
          <w:trHeight w:val="510" w:hRule="atLeast"/>
        </w:trPr>
        <w:tc>
          <w:tcPr>
            <w:tcW w:w="1442" w:type="dxa"/>
            <w:tcBorders>
              <w:left w:val="single" w:sz="4" w:space="0" w:color="000000"/>
              <w:right w:val="single" w:sz="4" w:space="0" w:color="000000"/>
            </w:tcBorders>
          </w:tcPr>
          <w:p>
            <w:pPr>
              <w:pStyle w:val="TableParagraph"/>
              <w:spacing w:before="51"/>
              <w:ind w:left="599" w:right="39" w:hanging="536"/>
              <w:rPr>
                <w:sz w:val="18"/>
              </w:rPr>
            </w:pPr>
            <w:r>
              <w:rPr>
                <w:sz w:val="18"/>
              </w:rPr>
              <w:t>Warm Temperate, dry</w:t>
            </w:r>
          </w:p>
        </w:tc>
        <w:tc>
          <w:tcPr>
            <w:tcW w:w="1939" w:type="dxa"/>
            <w:gridSpan w:val="2"/>
            <w:tcBorders>
              <w:left w:val="single" w:sz="4" w:space="0" w:color="000000"/>
              <w:right w:val="single" w:sz="4" w:space="0" w:color="000000"/>
            </w:tcBorders>
          </w:tcPr>
          <w:p>
            <w:pPr>
              <w:pStyle w:val="TableParagraph"/>
              <w:tabs>
                <w:tab w:pos="974" w:val="left" w:leader="none"/>
              </w:tabs>
              <w:spacing w:line="207" w:lineRule="exact" w:before="39"/>
              <w:ind w:left="4"/>
              <w:jc w:val="center"/>
              <w:rPr>
                <w:sz w:val="18"/>
              </w:rPr>
            </w:pPr>
            <w:r>
              <w:rPr>
                <w:sz w:val="18"/>
              </w:rPr>
              <w:t>28.2</w:t>
              <w:tab/>
              <w:t>20.3</w:t>
            </w:r>
          </w:p>
          <w:p>
            <w:pPr>
              <w:pStyle w:val="TableParagraph"/>
              <w:spacing w:line="207" w:lineRule="exact"/>
              <w:ind w:left="6"/>
              <w:jc w:val="center"/>
              <w:rPr>
                <w:sz w:val="18"/>
              </w:rPr>
            </w:pPr>
            <w:r>
              <w:rPr>
                <w:sz w:val="18"/>
              </w:rPr>
              <w:t>(23.4-33.0)</w:t>
            </w:r>
            <w:r>
              <w:rPr>
                <w:sz w:val="18"/>
                <w:vertAlign w:val="superscript"/>
              </w:rPr>
              <w:t>a</w:t>
            </w:r>
            <w:r>
              <w:rPr>
                <w:sz w:val="18"/>
                <w:vertAlign w:val="baseline"/>
              </w:rPr>
              <w:t> (17.3-21.1)</w:t>
            </w:r>
            <w:r>
              <w:rPr>
                <w:sz w:val="18"/>
                <w:vertAlign w:val="superscript"/>
              </w:rPr>
              <w:t>a</w:t>
            </w:r>
          </w:p>
        </w:tc>
        <w:tc>
          <w:tcPr>
            <w:tcW w:w="970" w:type="dxa"/>
            <w:tcBorders>
              <w:left w:val="single" w:sz="4" w:space="0" w:color="000000"/>
            </w:tcBorders>
          </w:tcPr>
          <w:p>
            <w:pPr>
              <w:pStyle w:val="TableParagraph"/>
              <w:spacing w:before="142"/>
              <w:ind w:left="375" w:right="370"/>
              <w:jc w:val="center"/>
              <w:rPr>
                <w:sz w:val="18"/>
              </w:rPr>
            </w:pPr>
            <w:r>
              <w:rPr>
                <w:sz w:val="18"/>
              </w:rPr>
              <w:t>75</w:t>
            </w:r>
          </w:p>
        </w:tc>
        <w:tc>
          <w:tcPr>
            <w:tcW w:w="971" w:type="dxa"/>
            <w:tcBorders>
              <w:right w:val="single" w:sz="4" w:space="0" w:color="000000"/>
            </w:tcBorders>
          </w:tcPr>
          <w:p>
            <w:pPr>
              <w:pStyle w:val="TableParagraph"/>
              <w:spacing w:before="142"/>
              <w:ind w:left="398"/>
              <w:rPr>
                <w:sz w:val="18"/>
              </w:rPr>
            </w:pPr>
            <w:r>
              <w:rPr>
                <w:sz w:val="18"/>
              </w:rPr>
              <w:t>75</w:t>
            </w:r>
          </w:p>
        </w:tc>
        <w:tc>
          <w:tcPr>
            <w:tcW w:w="971" w:type="dxa"/>
            <w:tcBorders>
              <w:left w:val="single" w:sz="4" w:space="0" w:color="000000"/>
            </w:tcBorders>
          </w:tcPr>
          <w:p>
            <w:pPr>
              <w:pStyle w:val="TableParagraph"/>
              <w:spacing w:before="142"/>
              <w:ind w:left="384"/>
              <w:rPr>
                <w:sz w:val="18"/>
              </w:rPr>
            </w:pPr>
            <w:r>
              <w:rPr>
                <w:sz w:val="18"/>
              </w:rPr>
              <w:t>0.4</w:t>
            </w:r>
          </w:p>
        </w:tc>
        <w:tc>
          <w:tcPr>
            <w:tcW w:w="924" w:type="dxa"/>
            <w:tcBorders>
              <w:right w:val="single" w:sz="4" w:space="0" w:color="000000"/>
            </w:tcBorders>
          </w:tcPr>
          <w:p>
            <w:pPr>
              <w:pStyle w:val="TableParagraph"/>
              <w:spacing w:before="142"/>
              <w:ind w:left="348" w:right="305"/>
              <w:jc w:val="center"/>
              <w:rPr>
                <w:sz w:val="18"/>
              </w:rPr>
            </w:pPr>
            <w:r>
              <w:rPr>
                <w:sz w:val="18"/>
              </w:rPr>
              <w:t>0.3</w:t>
            </w:r>
          </w:p>
        </w:tc>
        <w:tc>
          <w:tcPr>
            <w:tcW w:w="896" w:type="dxa"/>
            <w:tcBorders>
              <w:left w:val="single" w:sz="4" w:space="0" w:color="000000"/>
            </w:tcBorders>
          </w:tcPr>
          <w:p>
            <w:pPr>
              <w:pStyle w:val="TableParagraph"/>
              <w:spacing w:before="142"/>
              <w:ind w:left="317" w:right="309"/>
              <w:jc w:val="center"/>
              <w:rPr>
                <w:sz w:val="18"/>
              </w:rPr>
            </w:pPr>
            <w:r>
              <w:rPr>
                <w:sz w:val="18"/>
              </w:rPr>
              <w:t>1.4</w:t>
            </w:r>
          </w:p>
        </w:tc>
        <w:tc>
          <w:tcPr>
            <w:tcW w:w="899" w:type="dxa"/>
            <w:tcBorders>
              <w:right w:val="single" w:sz="4" w:space="0" w:color="000000"/>
            </w:tcBorders>
          </w:tcPr>
          <w:p>
            <w:pPr>
              <w:pStyle w:val="TableParagraph"/>
              <w:spacing w:before="142"/>
              <w:ind w:left="92" w:right="73"/>
              <w:jc w:val="center"/>
              <w:rPr>
                <w:sz w:val="18"/>
              </w:rPr>
            </w:pPr>
            <w:r>
              <w:rPr>
                <w:sz w:val="18"/>
              </w:rPr>
              <w:t>1.0</w:t>
            </w:r>
          </w:p>
        </w:tc>
      </w:tr>
      <w:tr>
        <w:trPr>
          <w:trHeight w:val="510" w:hRule="atLeast"/>
        </w:trPr>
        <w:tc>
          <w:tcPr>
            <w:tcW w:w="1442" w:type="dxa"/>
            <w:tcBorders>
              <w:left w:val="single" w:sz="4" w:space="0" w:color="000000"/>
              <w:right w:val="single" w:sz="4" w:space="0" w:color="000000"/>
            </w:tcBorders>
          </w:tcPr>
          <w:p>
            <w:pPr>
              <w:pStyle w:val="TableParagraph"/>
              <w:spacing w:before="50"/>
              <w:ind w:left="520" w:right="67" w:hanging="425"/>
              <w:rPr>
                <w:sz w:val="18"/>
              </w:rPr>
            </w:pPr>
            <w:r>
              <w:rPr>
                <w:sz w:val="18"/>
              </w:rPr>
              <w:t>Warm temperate, moist</w:t>
            </w:r>
          </w:p>
        </w:tc>
        <w:tc>
          <w:tcPr>
            <w:tcW w:w="968" w:type="dxa"/>
            <w:tcBorders>
              <w:left w:val="single" w:sz="4" w:space="0" w:color="000000"/>
            </w:tcBorders>
          </w:tcPr>
          <w:p>
            <w:pPr>
              <w:pStyle w:val="TableParagraph"/>
              <w:spacing w:line="207" w:lineRule="exact" w:before="38"/>
              <w:ind w:left="146" w:right="144"/>
              <w:jc w:val="center"/>
              <w:rPr>
                <w:sz w:val="18"/>
              </w:rPr>
            </w:pPr>
            <w:r>
              <w:rPr>
                <w:sz w:val="18"/>
              </w:rPr>
              <w:t>13</w:t>
            </w:r>
          </w:p>
          <w:p>
            <w:pPr>
              <w:pStyle w:val="TableParagraph"/>
              <w:spacing w:line="207" w:lineRule="exact"/>
              <w:ind w:left="149" w:right="144"/>
              <w:jc w:val="center"/>
              <w:rPr>
                <w:sz w:val="18"/>
              </w:rPr>
            </w:pPr>
            <w:r>
              <w:rPr>
                <w:sz w:val="18"/>
              </w:rPr>
              <w:t>(2-31) </w:t>
            </w:r>
            <w:r>
              <w:rPr>
                <w:sz w:val="18"/>
                <w:vertAlign w:val="superscript"/>
              </w:rPr>
              <w:t>a</w:t>
            </w:r>
          </w:p>
        </w:tc>
        <w:tc>
          <w:tcPr>
            <w:tcW w:w="971" w:type="dxa"/>
            <w:tcBorders>
              <w:right w:val="single" w:sz="4" w:space="0" w:color="000000"/>
            </w:tcBorders>
          </w:tcPr>
          <w:p>
            <w:pPr>
              <w:pStyle w:val="TableParagraph"/>
              <w:spacing w:before="38"/>
              <w:ind w:left="237" w:right="222" w:firstLine="160"/>
              <w:rPr>
                <w:sz w:val="18"/>
              </w:rPr>
            </w:pPr>
            <w:r>
              <w:rPr>
                <w:sz w:val="18"/>
              </w:rPr>
              <w:t>22 (6-42)</w:t>
            </w:r>
            <w:r>
              <w:rPr>
                <w:sz w:val="18"/>
                <w:vertAlign w:val="superscript"/>
              </w:rPr>
              <w:t>a</w:t>
            </w:r>
          </w:p>
        </w:tc>
        <w:tc>
          <w:tcPr>
            <w:tcW w:w="970" w:type="dxa"/>
            <w:tcBorders>
              <w:left w:val="single" w:sz="4" w:space="0" w:color="000000"/>
            </w:tcBorders>
          </w:tcPr>
          <w:p>
            <w:pPr>
              <w:pStyle w:val="TableParagraph"/>
              <w:spacing w:before="141"/>
              <w:ind w:left="375" w:right="370"/>
              <w:jc w:val="center"/>
              <w:rPr>
                <w:sz w:val="18"/>
              </w:rPr>
            </w:pPr>
            <w:r>
              <w:rPr>
                <w:sz w:val="18"/>
              </w:rPr>
              <w:t>50</w:t>
            </w:r>
          </w:p>
        </w:tc>
        <w:tc>
          <w:tcPr>
            <w:tcW w:w="971" w:type="dxa"/>
            <w:tcBorders>
              <w:right w:val="single" w:sz="4" w:space="0" w:color="000000"/>
            </w:tcBorders>
          </w:tcPr>
          <w:p>
            <w:pPr>
              <w:pStyle w:val="TableParagraph"/>
              <w:spacing w:before="141"/>
              <w:ind w:left="398"/>
              <w:rPr>
                <w:sz w:val="18"/>
              </w:rPr>
            </w:pPr>
            <w:r>
              <w:rPr>
                <w:sz w:val="18"/>
              </w:rPr>
              <w:t>30</w:t>
            </w:r>
          </w:p>
        </w:tc>
        <w:tc>
          <w:tcPr>
            <w:tcW w:w="971" w:type="dxa"/>
            <w:tcBorders>
              <w:left w:val="single" w:sz="4" w:space="0" w:color="000000"/>
            </w:tcBorders>
          </w:tcPr>
          <w:p>
            <w:pPr>
              <w:pStyle w:val="TableParagraph"/>
              <w:spacing w:before="141"/>
              <w:ind w:left="384"/>
              <w:rPr>
                <w:sz w:val="18"/>
              </w:rPr>
            </w:pPr>
            <w:r>
              <w:rPr>
                <w:sz w:val="18"/>
              </w:rPr>
              <w:t>0.3</w:t>
            </w:r>
          </w:p>
        </w:tc>
        <w:tc>
          <w:tcPr>
            <w:tcW w:w="924" w:type="dxa"/>
            <w:tcBorders>
              <w:right w:val="single" w:sz="4" w:space="0" w:color="000000"/>
            </w:tcBorders>
          </w:tcPr>
          <w:p>
            <w:pPr>
              <w:pStyle w:val="TableParagraph"/>
              <w:spacing w:before="141"/>
              <w:ind w:left="348" w:right="305"/>
              <w:jc w:val="center"/>
              <w:rPr>
                <w:sz w:val="18"/>
              </w:rPr>
            </w:pPr>
            <w:r>
              <w:rPr>
                <w:sz w:val="18"/>
              </w:rPr>
              <w:t>0.7</w:t>
            </w:r>
          </w:p>
        </w:tc>
        <w:tc>
          <w:tcPr>
            <w:tcW w:w="896" w:type="dxa"/>
            <w:tcBorders>
              <w:left w:val="single" w:sz="4" w:space="0" w:color="000000"/>
            </w:tcBorders>
          </w:tcPr>
          <w:p>
            <w:pPr>
              <w:pStyle w:val="TableParagraph"/>
              <w:spacing w:before="141"/>
              <w:ind w:left="317" w:right="309"/>
              <w:jc w:val="center"/>
              <w:rPr>
                <w:sz w:val="18"/>
              </w:rPr>
            </w:pPr>
            <w:r>
              <w:rPr>
                <w:sz w:val="18"/>
              </w:rPr>
              <w:t>0.6</w:t>
            </w:r>
          </w:p>
        </w:tc>
        <w:tc>
          <w:tcPr>
            <w:tcW w:w="899" w:type="dxa"/>
            <w:tcBorders>
              <w:right w:val="single" w:sz="4" w:space="0" w:color="000000"/>
            </w:tcBorders>
          </w:tcPr>
          <w:p>
            <w:pPr>
              <w:pStyle w:val="TableParagraph"/>
              <w:spacing w:before="141"/>
              <w:ind w:left="92" w:right="73"/>
              <w:jc w:val="center"/>
              <w:rPr>
                <w:sz w:val="18"/>
              </w:rPr>
            </w:pPr>
            <w:r>
              <w:rPr>
                <w:sz w:val="18"/>
              </w:rPr>
              <w:t>1.1</w:t>
            </w:r>
          </w:p>
        </w:tc>
      </w:tr>
      <w:tr>
        <w:trPr>
          <w:trHeight w:val="503" w:hRule="atLeast"/>
        </w:trPr>
        <w:tc>
          <w:tcPr>
            <w:tcW w:w="1442" w:type="dxa"/>
            <w:tcBorders>
              <w:left w:val="single" w:sz="4" w:space="0" w:color="000000"/>
              <w:right w:val="single" w:sz="4" w:space="0" w:color="000000"/>
            </w:tcBorders>
          </w:tcPr>
          <w:p>
            <w:pPr>
              <w:pStyle w:val="TableParagraph"/>
              <w:spacing w:before="51"/>
              <w:ind w:left="214" w:right="207"/>
              <w:jc w:val="center"/>
              <w:rPr>
                <w:sz w:val="18"/>
              </w:rPr>
            </w:pPr>
            <w:r>
              <w:rPr>
                <w:sz w:val="18"/>
              </w:rPr>
              <w:t>Subtropical</w:t>
            </w:r>
          </w:p>
        </w:tc>
        <w:tc>
          <w:tcPr>
            <w:tcW w:w="968" w:type="dxa"/>
            <w:tcBorders>
              <w:left w:val="single" w:sz="4" w:space="0" w:color="000000"/>
            </w:tcBorders>
          </w:tcPr>
          <w:p>
            <w:pPr>
              <w:pStyle w:val="TableParagraph"/>
              <w:spacing w:line="207" w:lineRule="exact" w:before="39"/>
              <w:ind w:left="148" w:right="144"/>
              <w:jc w:val="center"/>
              <w:rPr>
                <w:sz w:val="18"/>
              </w:rPr>
            </w:pPr>
            <w:r>
              <w:rPr>
                <w:sz w:val="18"/>
              </w:rPr>
              <w:t>2.8</w:t>
            </w:r>
          </w:p>
          <w:p>
            <w:pPr>
              <w:pStyle w:val="TableParagraph"/>
              <w:spacing w:line="207" w:lineRule="exact"/>
              <w:ind w:left="148" w:right="144"/>
              <w:jc w:val="center"/>
              <w:rPr>
                <w:sz w:val="18"/>
              </w:rPr>
            </w:pPr>
            <w:r>
              <w:rPr>
                <w:sz w:val="18"/>
              </w:rPr>
              <w:t>(2-3)</w:t>
            </w:r>
          </w:p>
        </w:tc>
        <w:tc>
          <w:tcPr>
            <w:tcW w:w="971" w:type="dxa"/>
            <w:tcBorders>
              <w:right w:val="single" w:sz="4" w:space="0" w:color="000000"/>
            </w:tcBorders>
          </w:tcPr>
          <w:p>
            <w:pPr>
              <w:pStyle w:val="TableParagraph"/>
              <w:spacing w:before="142"/>
              <w:ind w:right="359"/>
              <w:jc w:val="right"/>
              <w:rPr>
                <w:sz w:val="18"/>
              </w:rPr>
            </w:pPr>
            <w:r>
              <w:rPr>
                <w:sz w:val="18"/>
              </w:rPr>
              <w:t>4.1</w:t>
            </w:r>
          </w:p>
        </w:tc>
        <w:tc>
          <w:tcPr>
            <w:tcW w:w="970" w:type="dxa"/>
            <w:tcBorders>
              <w:left w:val="single" w:sz="4" w:space="0" w:color="000000"/>
            </w:tcBorders>
          </w:tcPr>
          <w:p>
            <w:pPr>
              <w:pStyle w:val="TableParagraph"/>
              <w:spacing w:before="142"/>
              <w:ind w:left="375" w:right="370"/>
              <w:jc w:val="center"/>
              <w:rPr>
                <w:sz w:val="18"/>
              </w:rPr>
            </w:pPr>
            <w:r>
              <w:rPr>
                <w:sz w:val="18"/>
              </w:rPr>
              <w:t>20</w:t>
            </w:r>
          </w:p>
        </w:tc>
        <w:tc>
          <w:tcPr>
            <w:tcW w:w="971" w:type="dxa"/>
            <w:tcBorders>
              <w:right w:val="single" w:sz="4" w:space="0" w:color="000000"/>
            </w:tcBorders>
          </w:tcPr>
          <w:p>
            <w:pPr>
              <w:pStyle w:val="TableParagraph"/>
              <w:spacing w:before="142"/>
              <w:ind w:left="398"/>
              <w:rPr>
                <w:sz w:val="18"/>
              </w:rPr>
            </w:pPr>
            <w:r>
              <w:rPr>
                <w:sz w:val="18"/>
              </w:rPr>
              <w:t>20</w:t>
            </w:r>
          </w:p>
        </w:tc>
        <w:tc>
          <w:tcPr>
            <w:tcW w:w="971" w:type="dxa"/>
            <w:tcBorders>
              <w:left w:val="single" w:sz="4" w:space="0" w:color="000000"/>
            </w:tcBorders>
          </w:tcPr>
          <w:p>
            <w:pPr>
              <w:pStyle w:val="TableParagraph"/>
              <w:spacing w:before="142"/>
              <w:ind w:left="384"/>
              <w:rPr>
                <w:sz w:val="18"/>
              </w:rPr>
            </w:pPr>
            <w:r>
              <w:rPr>
                <w:sz w:val="18"/>
              </w:rPr>
              <w:t>0.1</w:t>
            </w:r>
          </w:p>
        </w:tc>
        <w:tc>
          <w:tcPr>
            <w:tcW w:w="924" w:type="dxa"/>
            <w:tcBorders>
              <w:right w:val="single" w:sz="4" w:space="0" w:color="000000"/>
            </w:tcBorders>
          </w:tcPr>
          <w:p>
            <w:pPr>
              <w:pStyle w:val="TableParagraph"/>
              <w:spacing w:before="142"/>
              <w:ind w:left="348" w:right="305"/>
              <w:jc w:val="center"/>
              <w:rPr>
                <w:sz w:val="18"/>
              </w:rPr>
            </w:pPr>
            <w:r>
              <w:rPr>
                <w:sz w:val="18"/>
              </w:rPr>
              <w:t>0.2</w:t>
            </w:r>
          </w:p>
        </w:tc>
        <w:tc>
          <w:tcPr>
            <w:tcW w:w="896" w:type="dxa"/>
            <w:tcBorders>
              <w:left w:val="single" w:sz="4" w:space="0" w:color="000000"/>
            </w:tcBorders>
          </w:tcPr>
          <w:p>
            <w:pPr>
              <w:pStyle w:val="TableParagraph"/>
              <w:spacing w:before="142"/>
              <w:ind w:left="317" w:right="309"/>
              <w:jc w:val="center"/>
              <w:rPr>
                <w:sz w:val="18"/>
              </w:rPr>
            </w:pPr>
            <w:r>
              <w:rPr>
                <w:sz w:val="18"/>
              </w:rPr>
              <w:t>0.1</w:t>
            </w:r>
          </w:p>
        </w:tc>
        <w:tc>
          <w:tcPr>
            <w:tcW w:w="899" w:type="dxa"/>
            <w:tcBorders>
              <w:right w:val="single" w:sz="4" w:space="0" w:color="000000"/>
            </w:tcBorders>
          </w:tcPr>
          <w:p>
            <w:pPr>
              <w:pStyle w:val="TableParagraph"/>
              <w:spacing w:before="142"/>
              <w:ind w:left="92" w:right="73"/>
              <w:jc w:val="center"/>
              <w:rPr>
                <w:sz w:val="18"/>
              </w:rPr>
            </w:pPr>
            <w:r>
              <w:rPr>
                <w:sz w:val="18"/>
              </w:rPr>
              <w:t>0.2</w:t>
            </w:r>
          </w:p>
        </w:tc>
      </w:tr>
      <w:tr>
        <w:trPr>
          <w:trHeight w:val="511" w:hRule="atLeast"/>
        </w:trPr>
        <w:tc>
          <w:tcPr>
            <w:tcW w:w="1442" w:type="dxa"/>
            <w:tcBorders>
              <w:left w:val="single" w:sz="4" w:space="0" w:color="000000"/>
              <w:bottom w:val="single" w:sz="4" w:space="0" w:color="000000"/>
              <w:right w:val="single" w:sz="4" w:space="0" w:color="000000"/>
            </w:tcBorders>
          </w:tcPr>
          <w:p>
            <w:pPr>
              <w:pStyle w:val="TableParagraph"/>
              <w:spacing w:before="56"/>
              <w:ind w:left="214" w:right="207"/>
              <w:jc w:val="center"/>
              <w:rPr>
                <w:sz w:val="18"/>
              </w:rPr>
            </w:pPr>
            <w:r>
              <w:rPr>
                <w:sz w:val="18"/>
              </w:rPr>
              <w:t>Tropical</w:t>
            </w:r>
          </w:p>
        </w:tc>
        <w:tc>
          <w:tcPr>
            <w:tcW w:w="968" w:type="dxa"/>
            <w:tcBorders>
              <w:left w:val="single" w:sz="4" w:space="0" w:color="000000"/>
              <w:bottom w:val="single" w:sz="4" w:space="0" w:color="000000"/>
            </w:tcBorders>
          </w:tcPr>
          <w:p>
            <w:pPr>
              <w:pStyle w:val="TableParagraph"/>
              <w:spacing w:line="207" w:lineRule="exact" w:before="44"/>
              <w:ind w:left="148" w:right="144"/>
              <w:jc w:val="center"/>
              <w:rPr>
                <w:sz w:val="18"/>
              </w:rPr>
            </w:pPr>
            <w:r>
              <w:rPr>
                <w:sz w:val="18"/>
              </w:rPr>
              <w:t>2.1</w:t>
            </w:r>
          </w:p>
          <w:p>
            <w:pPr>
              <w:pStyle w:val="TableParagraph"/>
              <w:spacing w:line="207" w:lineRule="exact"/>
              <w:ind w:left="148" w:right="144"/>
              <w:jc w:val="center"/>
              <w:rPr>
                <w:sz w:val="18"/>
              </w:rPr>
            </w:pPr>
            <w:r>
              <w:rPr>
                <w:sz w:val="18"/>
              </w:rPr>
              <w:t>(1-3)</w:t>
            </w:r>
          </w:p>
        </w:tc>
        <w:tc>
          <w:tcPr>
            <w:tcW w:w="971" w:type="dxa"/>
            <w:tcBorders>
              <w:bottom w:val="single" w:sz="4" w:space="0" w:color="000000"/>
              <w:right w:val="single" w:sz="4" w:space="0" w:color="000000"/>
            </w:tcBorders>
          </w:tcPr>
          <w:p>
            <w:pPr>
              <w:pStyle w:val="TableParagraph"/>
              <w:spacing w:before="147"/>
              <w:ind w:right="359"/>
              <w:jc w:val="right"/>
              <w:rPr>
                <w:sz w:val="18"/>
              </w:rPr>
            </w:pPr>
            <w:r>
              <w:rPr>
                <w:sz w:val="18"/>
              </w:rPr>
              <w:t>5.2</w:t>
            </w:r>
          </w:p>
        </w:tc>
        <w:tc>
          <w:tcPr>
            <w:tcW w:w="970" w:type="dxa"/>
            <w:tcBorders>
              <w:left w:val="single" w:sz="4" w:space="0" w:color="000000"/>
              <w:bottom w:val="single" w:sz="4" w:space="0" w:color="000000"/>
            </w:tcBorders>
          </w:tcPr>
          <w:p>
            <w:pPr>
              <w:pStyle w:val="TableParagraph"/>
              <w:spacing w:before="147"/>
              <w:ind w:left="375" w:right="370"/>
              <w:jc w:val="center"/>
              <w:rPr>
                <w:sz w:val="18"/>
              </w:rPr>
            </w:pPr>
            <w:r>
              <w:rPr>
                <w:sz w:val="18"/>
              </w:rPr>
              <w:t>20</w:t>
            </w:r>
          </w:p>
        </w:tc>
        <w:tc>
          <w:tcPr>
            <w:tcW w:w="971" w:type="dxa"/>
            <w:tcBorders>
              <w:bottom w:val="single" w:sz="4" w:space="0" w:color="000000"/>
              <w:right w:val="single" w:sz="4" w:space="0" w:color="000000"/>
            </w:tcBorders>
          </w:tcPr>
          <w:p>
            <w:pPr>
              <w:pStyle w:val="TableParagraph"/>
              <w:spacing w:before="147"/>
              <w:ind w:left="398"/>
              <w:rPr>
                <w:sz w:val="18"/>
              </w:rPr>
            </w:pPr>
            <w:r>
              <w:rPr>
                <w:sz w:val="18"/>
              </w:rPr>
              <w:t>20</w:t>
            </w:r>
          </w:p>
        </w:tc>
        <w:tc>
          <w:tcPr>
            <w:tcW w:w="971" w:type="dxa"/>
            <w:tcBorders>
              <w:left w:val="single" w:sz="4" w:space="0" w:color="000000"/>
              <w:bottom w:val="single" w:sz="4" w:space="0" w:color="000000"/>
            </w:tcBorders>
          </w:tcPr>
          <w:p>
            <w:pPr>
              <w:pStyle w:val="TableParagraph"/>
              <w:spacing w:before="147"/>
              <w:ind w:left="384"/>
              <w:rPr>
                <w:sz w:val="18"/>
              </w:rPr>
            </w:pPr>
            <w:r>
              <w:rPr>
                <w:sz w:val="18"/>
              </w:rPr>
              <w:t>0.1</w:t>
            </w:r>
          </w:p>
        </w:tc>
        <w:tc>
          <w:tcPr>
            <w:tcW w:w="924" w:type="dxa"/>
            <w:tcBorders>
              <w:bottom w:val="single" w:sz="4" w:space="0" w:color="000000"/>
              <w:right w:val="single" w:sz="4" w:space="0" w:color="000000"/>
            </w:tcBorders>
          </w:tcPr>
          <w:p>
            <w:pPr>
              <w:pStyle w:val="TableParagraph"/>
              <w:spacing w:before="147"/>
              <w:ind w:left="348" w:right="305"/>
              <w:jc w:val="center"/>
              <w:rPr>
                <w:sz w:val="18"/>
              </w:rPr>
            </w:pPr>
            <w:r>
              <w:rPr>
                <w:sz w:val="18"/>
              </w:rPr>
              <w:t>0.3</w:t>
            </w:r>
          </w:p>
        </w:tc>
        <w:tc>
          <w:tcPr>
            <w:tcW w:w="896" w:type="dxa"/>
            <w:tcBorders>
              <w:left w:val="single" w:sz="4" w:space="0" w:color="000000"/>
              <w:bottom w:val="single" w:sz="4" w:space="0" w:color="000000"/>
            </w:tcBorders>
          </w:tcPr>
          <w:p>
            <w:pPr>
              <w:pStyle w:val="TableParagraph"/>
              <w:spacing w:before="147"/>
              <w:ind w:left="317" w:right="309"/>
              <w:jc w:val="center"/>
              <w:rPr>
                <w:sz w:val="18"/>
              </w:rPr>
            </w:pPr>
            <w:r>
              <w:rPr>
                <w:sz w:val="18"/>
              </w:rPr>
              <w:t>0.1</w:t>
            </w:r>
          </w:p>
        </w:tc>
        <w:tc>
          <w:tcPr>
            <w:tcW w:w="899" w:type="dxa"/>
            <w:tcBorders>
              <w:bottom w:val="single" w:sz="4" w:space="0" w:color="000000"/>
              <w:right w:val="single" w:sz="4" w:space="0" w:color="000000"/>
            </w:tcBorders>
          </w:tcPr>
          <w:p>
            <w:pPr>
              <w:pStyle w:val="TableParagraph"/>
              <w:spacing w:before="147"/>
              <w:ind w:left="92" w:right="73"/>
              <w:jc w:val="center"/>
              <w:rPr>
                <w:sz w:val="18"/>
              </w:rPr>
            </w:pPr>
            <w:r>
              <w:rPr>
                <w:sz w:val="18"/>
              </w:rPr>
              <w:t>0.3</w:t>
            </w:r>
          </w:p>
        </w:tc>
      </w:tr>
      <w:tr>
        <w:trPr>
          <w:trHeight w:val="1770" w:hRule="atLeast"/>
        </w:trPr>
        <w:tc>
          <w:tcPr>
            <w:tcW w:w="9012" w:type="dxa"/>
            <w:gridSpan w:val="9"/>
            <w:tcBorders>
              <w:top w:val="single" w:sz="4" w:space="0" w:color="000000"/>
              <w:left w:val="single" w:sz="4" w:space="0" w:color="000000"/>
              <w:bottom w:val="single" w:sz="4" w:space="0" w:color="000000"/>
              <w:right w:val="single" w:sz="4" w:space="0" w:color="000000"/>
            </w:tcBorders>
          </w:tcPr>
          <w:p>
            <w:pPr>
              <w:pStyle w:val="TableParagraph"/>
              <w:spacing w:before="54"/>
              <w:ind w:left="55" w:right="160" w:hanging="1"/>
              <w:rPr>
                <w:sz w:val="16"/>
              </w:rPr>
            </w:pPr>
            <w:r>
              <w:rPr>
                <w:sz w:val="16"/>
              </w:rPr>
              <w:t>Source: Siltanen </w:t>
            </w:r>
            <w:r>
              <w:rPr>
                <w:i/>
                <w:sz w:val="16"/>
              </w:rPr>
              <w:t>et al.</w:t>
            </w:r>
            <w:r>
              <w:rPr>
                <w:sz w:val="16"/>
              </w:rPr>
              <w:t>, 1997; and Smith and Heath, 2002; Tremblay </w:t>
            </w:r>
            <w:r>
              <w:rPr>
                <w:i/>
                <w:sz w:val="16"/>
              </w:rPr>
              <w:t>et al.</w:t>
            </w:r>
            <w:r>
              <w:rPr>
                <w:sz w:val="16"/>
              </w:rPr>
              <w:t>, 2002; and Vogt </w:t>
            </w:r>
            <w:r>
              <w:rPr>
                <w:i/>
                <w:sz w:val="16"/>
              </w:rPr>
              <w:t>et al.</w:t>
            </w:r>
            <w:r>
              <w:rPr>
                <w:sz w:val="16"/>
              </w:rPr>
              <w:t>,1996, converted from mass to carbon by multiplying by conversion factor of 0.37 (Smith and Heath, 2002).</w:t>
            </w:r>
          </w:p>
          <w:p>
            <w:pPr>
              <w:pStyle w:val="TableParagraph"/>
              <w:spacing w:before="59"/>
              <w:ind w:left="55"/>
              <w:rPr>
                <w:sz w:val="16"/>
              </w:rPr>
            </w:pPr>
            <w:r>
              <w:rPr>
                <w:sz w:val="16"/>
              </w:rPr>
              <w:t>Note: Ages follow Smith and Heath (2002).</w:t>
            </w:r>
          </w:p>
          <w:p>
            <w:pPr>
              <w:pStyle w:val="TableParagraph"/>
              <w:spacing w:before="47"/>
              <w:ind w:left="158" w:hanging="104"/>
              <w:rPr>
                <w:sz w:val="16"/>
              </w:rPr>
            </w:pPr>
            <w:r>
              <w:rPr>
                <w:position w:val="7"/>
                <w:sz w:val="10"/>
              </w:rPr>
              <w:t>a </w:t>
            </w:r>
            <w:r>
              <w:rPr>
                <w:sz w:val="16"/>
              </w:rPr>
              <w:t>Values in parentheses marked by superscript “a” are the 5</w:t>
            </w:r>
            <w:r>
              <w:rPr>
                <w:sz w:val="16"/>
                <w:vertAlign w:val="superscript"/>
              </w:rPr>
              <w:t>th</w:t>
            </w:r>
            <w:r>
              <w:rPr>
                <w:sz w:val="16"/>
                <w:vertAlign w:val="baseline"/>
              </w:rPr>
              <w:t> and 95</w:t>
            </w:r>
            <w:r>
              <w:rPr>
                <w:sz w:val="16"/>
                <w:vertAlign w:val="superscript"/>
              </w:rPr>
              <w:t>th</w:t>
            </w:r>
            <w:r>
              <w:rPr>
                <w:sz w:val="16"/>
                <w:vertAlign w:val="baseline"/>
              </w:rPr>
              <w:t> percentiles from simulations of inventory plots, while those without superscript “a” indicate the entire range.</w:t>
            </w:r>
          </w:p>
          <w:p>
            <w:pPr>
              <w:pStyle w:val="TableParagraph"/>
              <w:spacing w:before="45"/>
              <w:ind w:left="54"/>
              <w:rPr>
                <w:sz w:val="16"/>
              </w:rPr>
            </w:pPr>
            <w:r>
              <w:rPr>
                <w:position w:val="7"/>
                <w:sz w:val="10"/>
              </w:rPr>
              <w:t>b </w:t>
            </w:r>
            <w:r>
              <w:rPr>
                <w:sz w:val="16"/>
              </w:rPr>
              <w:t>These columns indicates the annual increase in litter carbon when starting from bare ground in land converted forest land.</w:t>
            </w:r>
          </w:p>
          <w:p>
            <w:pPr>
              <w:pStyle w:val="TableParagraph"/>
              <w:spacing w:line="182" w:lineRule="exact" w:before="65"/>
              <w:ind w:left="158" w:right="17" w:hanging="104"/>
              <w:rPr>
                <w:sz w:val="16"/>
              </w:rPr>
            </w:pPr>
            <w:r>
              <w:rPr>
                <w:position w:val="7"/>
                <w:sz w:val="10"/>
              </w:rPr>
              <w:t>c </w:t>
            </w:r>
            <w:r>
              <w:rPr>
                <w:sz w:val="16"/>
              </w:rPr>
              <w:t>Note that the accumulation rates are for carbon being absorbed from the atmosphere. However, depending on the methodology, these may be transfers from other pools.</w:t>
            </w:r>
          </w:p>
        </w:tc>
      </w:tr>
    </w:tbl>
    <w:p>
      <w:pPr>
        <w:pStyle w:val="BodyText"/>
      </w:pPr>
    </w:p>
    <w:p>
      <w:pPr>
        <w:pStyle w:val="BodyText"/>
        <w:spacing w:before="9"/>
      </w:pPr>
    </w:p>
    <w:p>
      <w:pPr>
        <w:pStyle w:val="Heading6"/>
        <w:numPr>
          <w:ilvl w:val="5"/>
          <w:numId w:val="46"/>
        </w:numPr>
        <w:tabs>
          <w:tab w:pos="1661" w:val="left" w:leader="none"/>
          <w:tab w:pos="1662" w:val="left" w:leader="none"/>
        </w:tabs>
        <w:spacing w:line="240" w:lineRule="auto" w:before="0" w:after="0"/>
        <w:ind w:left="1661" w:right="0" w:hanging="1442"/>
        <w:jc w:val="left"/>
      </w:pPr>
      <w:r>
        <w:rPr/>
        <w:t>2</w:t>
        <w:tab/>
      </w:r>
      <w:r>
        <w:rPr>
          <w:spacing w:val="15"/>
        </w:rPr>
        <w:t>Choice </w:t>
      </w:r>
      <w:r>
        <w:rPr>
          <w:spacing w:val="9"/>
        </w:rPr>
        <w:t>of </w:t>
      </w:r>
      <w:r>
        <w:rPr>
          <w:spacing w:val="17"/>
        </w:rPr>
        <w:t>Emission/Removal</w:t>
      </w:r>
      <w:r>
        <w:rPr>
          <w:spacing w:val="31"/>
        </w:rPr>
        <w:t> </w:t>
      </w:r>
      <w:r>
        <w:rPr>
          <w:spacing w:val="19"/>
        </w:rPr>
        <w:t>Factors</w:t>
      </w:r>
    </w:p>
    <w:p>
      <w:pPr>
        <w:spacing w:line="228" w:lineRule="exact" w:before="178"/>
        <w:ind w:left="219" w:right="0" w:firstLine="0"/>
        <w:jc w:val="left"/>
        <w:rPr>
          <w:b/>
          <w:sz w:val="20"/>
        </w:rPr>
      </w:pPr>
      <w:r>
        <w:rPr>
          <w:b/>
          <w:sz w:val="20"/>
        </w:rPr>
        <w:t>DEAD WOOD </w:t>
      </w:r>
    </w:p>
    <w:p>
      <w:pPr>
        <w:pStyle w:val="BodyText"/>
        <w:ind w:left="219" w:right="267"/>
        <w:jc w:val="both"/>
      </w:pPr>
      <w:r>
        <w:rPr>
          <w:b/>
        </w:rPr>
        <w:t>Tier 1: </w:t>
      </w:r>
      <w:r>
        <w:rPr/>
        <w:t>By default, it is assumed that the dead wood carbon stocks in all managed forests remaining forests are stable.</w:t>
      </w:r>
    </w:p>
    <w:p>
      <w:pPr>
        <w:pStyle w:val="BodyText"/>
        <w:spacing w:before="119"/>
        <w:ind w:left="219" w:right="264"/>
        <w:jc w:val="both"/>
      </w:pPr>
      <w:r>
        <w:rPr>
          <w:b/>
        </w:rPr>
        <w:t>Tier 2: </w:t>
      </w:r>
      <w:r>
        <w:rPr/>
        <w:t>Country-specific values for transfer of carbon in live trees that are harvested to harvest residues can be derived from domestic expansion factors, taking into  account  the  forest  type  (coniferous/broadleaved/  mixed), the rate of biomass utilization, harvesting practices and the amount of damaged trees during harvesting operations. Country-specific values for disturbance regimes could be derived from scientific studies. If country- specific input factors are derived, corresponding loss factors for harvest and disturbance regimes should also be derived from country-specific</w:t>
      </w:r>
      <w:r>
        <w:rPr>
          <w:spacing w:val="-1"/>
        </w:rPr>
        <w:t> </w:t>
      </w:r>
      <w:r>
        <w:rPr/>
        <w:t>data.</w:t>
      </w:r>
    </w:p>
    <w:p>
      <w:pPr>
        <w:pStyle w:val="BodyText"/>
        <w:spacing w:before="120"/>
        <w:ind w:left="219" w:right="263"/>
        <w:jc w:val="both"/>
      </w:pPr>
      <w:r>
        <w:rPr>
          <w:b/>
        </w:rPr>
        <w:t>Tier 3: </w:t>
      </w:r>
      <w:r>
        <w:rPr/>
        <w:t>For Tier 3, countries should develop their own methodologies and parameters for estimating changes in dead wood. Such approaches should be undertaken as part of the national forest inventory, with periodic sampling according to the principles set our in Section 5.3, which can be coupled with modeling studies to capture the dynamics of all forest-related pools. Tier 3 methods provide estimates of greater certainty than lower tiers and feature a greater link between individual forest pools. Some countries have developed disturbance matrices that provide, for each type of disturbance, a carbon reallocation pattern among different pools (Kurz  and Apps, 1992). Other important parameters in a modeled dead wood carbon budget are decay rates, which may vary with the type of wood and microclimatic conditions, and site preparation procedures (e.g. controlled broadcast burning, or burning of piles). Equation 3.2.12 can be used with sample data obtained consistent with the principles set out in Section 5.3. Table 3.2.2 provides data which may be useful for model intercomparison, but are not suitable as</w:t>
      </w:r>
      <w:r>
        <w:rPr>
          <w:spacing w:val="-1"/>
        </w:rPr>
        <w:t> </w:t>
      </w:r>
      <w:r>
        <w:rPr/>
        <w:t>defaults.</w:t>
      </w:r>
    </w:p>
    <w:p>
      <w:pPr>
        <w:spacing w:after="0"/>
        <w:jc w:val="both"/>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4"/>
        <w:gridCol w:w="3316"/>
        <w:gridCol w:w="3582"/>
      </w:tblGrid>
      <w:tr>
        <w:trPr>
          <w:trHeight w:val="740" w:hRule="atLeast"/>
        </w:trPr>
        <w:tc>
          <w:tcPr>
            <w:tcW w:w="9012" w:type="dxa"/>
            <w:gridSpan w:val="3"/>
            <w:tcBorders>
              <w:bottom w:val="double" w:sz="1" w:space="0" w:color="000000"/>
            </w:tcBorders>
          </w:tcPr>
          <w:p>
            <w:pPr>
              <w:pStyle w:val="TableParagraph"/>
              <w:spacing w:before="59"/>
              <w:ind w:left="1300" w:right="1290"/>
              <w:jc w:val="center"/>
              <w:rPr>
                <w:b/>
                <w:sz w:val="18"/>
              </w:rPr>
            </w:pPr>
            <w:r>
              <w:rPr>
                <w:b/>
                <w:sz w:val="18"/>
              </w:rPr>
              <w:t>T</w:t>
            </w:r>
            <w:r>
              <w:rPr>
                <w:b/>
                <w:sz w:val="14"/>
              </w:rPr>
              <w:t>ABLE </w:t>
            </w:r>
            <w:r>
              <w:rPr>
                <w:b/>
                <w:sz w:val="18"/>
              </w:rPr>
              <w:t>3.2.2</w:t>
            </w:r>
          </w:p>
          <w:p>
            <w:pPr>
              <w:pStyle w:val="TableParagraph"/>
              <w:spacing w:line="204" w:lineRule="exact" w:before="2"/>
              <w:ind w:left="407" w:right="398"/>
              <w:jc w:val="center"/>
              <w:rPr>
                <w:b/>
                <w:sz w:val="14"/>
              </w:rPr>
            </w:pPr>
            <w:r>
              <w:rPr>
                <w:b/>
                <w:sz w:val="18"/>
              </w:rPr>
              <w:t>U</w:t>
            </w:r>
            <w:r>
              <w:rPr>
                <w:b/>
                <w:sz w:val="14"/>
              </w:rPr>
              <w:t>PDATED DEFAULTS OF NATURAL MORTALITY RATES</w:t>
            </w:r>
            <w:r>
              <w:rPr>
                <w:b/>
                <w:sz w:val="18"/>
              </w:rPr>
              <w:t>, </w:t>
            </w:r>
            <w:r>
              <w:rPr>
                <w:b/>
                <w:sz w:val="14"/>
              </w:rPr>
              <w:t>DEAD WOOD STOCKS</w:t>
            </w:r>
            <w:r>
              <w:rPr>
                <w:b/>
                <w:sz w:val="18"/>
              </w:rPr>
              <w:t>, </w:t>
            </w:r>
            <w:r>
              <w:rPr>
                <w:b/>
                <w:sz w:val="14"/>
              </w:rPr>
              <w:t>AND LIVE</w:t>
            </w:r>
            <w:r>
              <w:rPr>
                <w:b/>
                <w:sz w:val="18"/>
              </w:rPr>
              <w:t>:</w:t>
            </w:r>
            <w:r>
              <w:rPr>
                <w:b/>
                <w:sz w:val="14"/>
              </w:rPr>
              <w:t>DEAD RATIOS</w:t>
            </w:r>
          </w:p>
          <w:p>
            <w:pPr>
              <w:pStyle w:val="TableParagraph"/>
              <w:spacing w:line="204" w:lineRule="exact"/>
              <w:ind w:left="1300" w:right="1289"/>
              <w:jc w:val="center"/>
              <w:rPr>
                <w:sz w:val="18"/>
              </w:rPr>
            </w:pPr>
            <w:r>
              <w:rPr>
                <w:sz w:val="18"/>
              </w:rPr>
              <w:t>(Note that these are mostly based on semi natural and near natural forests)</w:t>
            </w:r>
          </w:p>
        </w:tc>
      </w:tr>
      <w:tr>
        <w:trPr>
          <w:trHeight w:val="424" w:hRule="atLeast"/>
        </w:trPr>
        <w:tc>
          <w:tcPr>
            <w:tcW w:w="2114" w:type="dxa"/>
            <w:tcBorders>
              <w:top w:val="double" w:sz="1" w:space="0" w:color="000000"/>
            </w:tcBorders>
          </w:tcPr>
          <w:p>
            <w:pPr>
              <w:pStyle w:val="TableParagraph"/>
              <w:spacing w:before="109"/>
              <w:ind w:left="422" w:right="415"/>
              <w:jc w:val="center"/>
              <w:rPr>
                <w:b/>
                <w:sz w:val="18"/>
              </w:rPr>
            </w:pPr>
            <w:r>
              <w:rPr>
                <w:b/>
                <w:sz w:val="18"/>
              </w:rPr>
              <w:t>Biome</w:t>
            </w:r>
            <w:r>
              <w:rPr>
                <w:b/>
                <w:sz w:val="18"/>
                <w:vertAlign w:val="superscript"/>
              </w:rPr>
              <w:t>a</w:t>
            </w:r>
          </w:p>
        </w:tc>
        <w:tc>
          <w:tcPr>
            <w:tcW w:w="3316" w:type="dxa"/>
            <w:tcBorders>
              <w:top w:val="double" w:sz="1" w:space="0" w:color="000000"/>
            </w:tcBorders>
          </w:tcPr>
          <w:p>
            <w:pPr>
              <w:pStyle w:val="TableParagraph"/>
              <w:spacing w:line="210" w:lineRule="atLeast" w:before="3"/>
              <w:ind w:left="144" w:right="112" w:firstLine="636"/>
              <w:rPr>
                <w:b/>
                <w:sz w:val="18"/>
              </w:rPr>
            </w:pPr>
            <w:r>
              <w:rPr>
                <w:b/>
                <w:sz w:val="18"/>
              </w:rPr>
              <w:t>Average mortality rate (fraction of standing biomass per year )</w:t>
            </w:r>
          </w:p>
        </w:tc>
        <w:tc>
          <w:tcPr>
            <w:tcW w:w="3582" w:type="dxa"/>
            <w:tcBorders>
              <w:top w:val="double" w:sz="1" w:space="0" w:color="000000"/>
            </w:tcBorders>
          </w:tcPr>
          <w:p>
            <w:pPr>
              <w:pStyle w:val="TableParagraph"/>
              <w:spacing w:before="109"/>
              <w:ind w:left="151" w:right="139"/>
              <w:jc w:val="center"/>
              <w:rPr>
                <w:b/>
                <w:sz w:val="18"/>
              </w:rPr>
            </w:pPr>
            <w:r>
              <w:rPr>
                <w:b/>
                <w:sz w:val="18"/>
              </w:rPr>
              <w:t>Coefficient of Variation/Number of stands</w:t>
            </w:r>
          </w:p>
        </w:tc>
      </w:tr>
      <w:tr>
        <w:trPr>
          <w:trHeight w:val="275" w:hRule="atLeast"/>
        </w:trPr>
        <w:tc>
          <w:tcPr>
            <w:tcW w:w="2114" w:type="dxa"/>
          </w:tcPr>
          <w:p>
            <w:pPr>
              <w:pStyle w:val="TableParagraph"/>
              <w:spacing w:before="28"/>
              <w:ind w:left="423" w:right="414"/>
              <w:jc w:val="center"/>
              <w:rPr>
                <w:sz w:val="18"/>
              </w:rPr>
            </w:pPr>
            <w:r>
              <w:rPr>
                <w:sz w:val="18"/>
              </w:rPr>
              <w:t>Tropical forest</w:t>
            </w:r>
          </w:p>
        </w:tc>
        <w:tc>
          <w:tcPr>
            <w:tcW w:w="3316" w:type="dxa"/>
          </w:tcPr>
          <w:p>
            <w:pPr>
              <w:pStyle w:val="TableParagraph"/>
              <w:spacing w:before="28"/>
              <w:ind w:left="371" w:right="358"/>
              <w:jc w:val="center"/>
              <w:rPr>
                <w:sz w:val="18"/>
              </w:rPr>
            </w:pPr>
            <w:r>
              <w:rPr>
                <w:sz w:val="18"/>
              </w:rPr>
              <w:t>0.0177</w:t>
            </w:r>
          </w:p>
        </w:tc>
        <w:tc>
          <w:tcPr>
            <w:tcW w:w="3582" w:type="dxa"/>
          </w:tcPr>
          <w:p>
            <w:pPr>
              <w:pStyle w:val="TableParagraph"/>
              <w:spacing w:before="28"/>
              <w:ind w:left="150" w:right="139"/>
              <w:jc w:val="center"/>
              <w:rPr>
                <w:sz w:val="18"/>
              </w:rPr>
            </w:pPr>
            <w:r>
              <w:rPr>
                <w:sz w:val="18"/>
              </w:rPr>
              <w:t>0.616/61</w:t>
            </w:r>
          </w:p>
        </w:tc>
      </w:tr>
      <w:tr>
        <w:trPr>
          <w:trHeight w:val="273" w:hRule="atLeast"/>
        </w:trPr>
        <w:tc>
          <w:tcPr>
            <w:tcW w:w="2114" w:type="dxa"/>
          </w:tcPr>
          <w:p>
            <w:pPr>
              <w:pStyle w:val="TableParagraph"/>
              <w:spacing w:before="28"/>
              <w:ind w:left="423" w:right="414"/>
              <w:jc w:val="center"/>
              <w:rPr>
                <w:sz w:val="18"/>
              </w:rPr>
            </w:pPr>
            <w:r>
              <w:rPr>
                <w:sz w:val="18"/>
              </w:rPr>
              <w:t>Evergreen forest</w:t>
            </w:r>
          </w:p>
        </w:tc>
        <w:tc>
          <w:tcPr>
            <w:tcW w:w="3316" w:type="dxa"/>
          </w:tcPr>
          <w:p>
            <w:pPr>
              <w:pStyle w:val="TableParagraph"/>
              <w:spacing w:before="28"/>
              <w:ind w:left="371" w:right="359"/>
              <w:jc w:val="center"/>
              <w:rPr>
                <w:sz w:val="18"/>
              </w:rPr>
            </w:pPr>
            <w:r>
              <w:rPr>
                <w:sz w:val="18"/>
              </w:rPr>
              <w:t>0.0116</w:t>
            </w:r>
          </w:p>
        </w:tc>
        <w:tc>
          <w:tcPr>
            <w:tcW w:w="3582" w:type="dxa"/>
          </w:tcPr>
          <w:p>
            <w:pPr>
              <w:pStyle w:val="TableParagraph"/>
              <w:spacing w:before="28"/>
              <w:ind w:left="150" w:right="139"/>
              <w:jc w:val="center"/>
              <w:rPr>
                <w:sz w:val="18"/>
              </w:rPr>
            </w:pPr>
            <w:r>
              <w:rPr>
                <w:sz w:val="18"/>
              </w:rPr>
              <w:t>1.059/49</w:t>
            </w:r>
          </w:p>
        </w:tc>
      </w:tr>
      <w:tr>
        <w:trPr>
          <w:trHeight w:val="273" w:hRule="atLeast"/>
        </w:trPr>
        <w:tc>
          <w:tcPr>
            <w:tcW w:w="2114" w:type="dxa"/>
          </w:tcPr>
          <w:p>
            <w:pPr>
              <w:pStyle w:val="TableParagraph"/>
              <w:spacing w:before="28"/>
              <w:ind w:left="423" w:right="414"/>
              <w:jc w:val="center"/>
              <w:rPr>
                <w:sz w:val="18"/>
              </w:rPr>
            </w:pPr>
            <w:r>
              <w:rPr>
                <w:sz w:val="18"/>
              </w:rPr>
              <w:t>Deciduous forest</w:t>
            </w:r>
          </w:p>
        </w:tc>
        <w:tc>
          <w:tcPr>
            <w:tcW w:w="3316" w:type="dxa"/>
          </w:tcPr>
          <w:p>
            <w:pPr>
              <w:pStyle w:val="TableParagraph"/>
              <w:spacing w:before="28"/>
              <w:ind w:left="371" w:right="359"/>
              <w:jc w:val="center"/>
              <w:rPr>
                <w:sz w:val="18"/>
              </w:rPr>
            </w:pPr>
            <w:r>
              <w:rPr>
                <w:sz w:val="18"/>
              </w:rPr>
              <w:t>0.0117</w:t>
            </w:r>
          </w:p>
        </w:tc>
        <w:tc>
          <w:tcPr>
            <w:tcW w:w="3582" w:type="dxa"/>
          </w:tcPr>
          <w:p>
            <w:pPr>
              <w:pStyle w:val="TableParagraph"/>
              <w:spacing w:before="28"/>
              <w:ind w:left="149" w:right="139"/>
              <w:jc w:val="center"/>
              <w:rPr>
                <w:sz w:val="18"/>
              </w:rPr>
            </w:pPr>
            <w:r>
              <w:rPr>
                <w:sz w:val="18"/>
              </w:rPr>
              <w:t>0.682/29</w:t>
            </w:r>
          </w:p>
        </w:tc>
      </w:tr>
      <w:tr>
        <w:trPr>
          <w:trHeight w:val="445" w:hRule="atLeast"/>
        </w:trPr>
        <w:tc>
          <w:tcPr>
            <w:tcW w:w="2114" w:type="dxa"/>
          </w:tcPr>
          <w:p>
            <w:pPr>
              <w:pStyle w:val="TableParagraph"/>
              <w:rPr>
                <w:sz w:val="18"/>
              </w:rPr>
            </w:pPr>
          </w:p>
        </w:tc>
        <w:tc>
          <w:tcPr>
            <w:tcW w:w="3316" w:type="dxa"/>
          </w:tcPr>
          <w:p>
            <w:pPr>
              <w:pStyle w:val="TableParagraph"/>
              <w:spacing w:line="210" w:lineRule="atLeast" w:before="11"/>
              <w:ind w:left="988" w:right="280" w:hanging="672"/>
              <w:rPr>
                <w:b/>
                <w:sz w:val="18"/>
              </w:rPr>
            </w:pPr>
            <w:r>
              <w:rPr>
                <w:b/>
                <w:sz w:val="18"/>
              </w:rPr>
              <w:t>Average (median) dead wood stock (tonnes d.m. ha</w:t>
            </w:r>
            <w:r>
              <w:rPr>
                <w:b/>
                <w:sz w:val="18"/>
                <w:vertAlign w:val="superscript"/>
              </w:rPr>
              <w:t>-1</w:t>
            </w:r>
            <w:r>
              <w:rPr>
                <w:b/>
                <w:sz w:val="18"/>
                <w:vertAlign w:val="baseline"/>
              </w:rPr>
              <w:t>)</w:t>
            </w:r>
          </w:p>
        </w:tc>
        <w:tc>
          <w:tcPr>
            <w:tcW w:w="3582" w:type="dxa"/>
          </w:tcPr>
          <w:p>
            <w:pPr>
              <w:pStyle w:val="TableParagraph"/>
              <w:spacing w:before="117"/>
              <w:ind w:left="151" w:right="139"/>
              <w:jc w:val="center"/>
              <w:rPr>
                <w:b/>
                <w:sz w:val="18"/>
              </w:rPr>
            </w:pPr>
            <w:r>
              <w:rPr>
                <w:b/>
                <w:sz w:val="18"/>
              </w:rPr>
              <w:t>Coefficient of Variation/Number of stands</w:t>
            </w:r>
          </w:p>
        </w:tc>
      </w:tr>
      <w:tr>
        <w:trPr>
          <w:trHeight w:val="273" w:hRule="atLeast"/>
        </w:trPr>
        <w:tc>
          <w:tcPr>
            <w:tcW w:w="2114" w:type="dxa"/>
          </w:tcPr>
          <w:p>
            <w:pPr>
              <w:pStyle w:val="TableParagraph"/>
              <w:spacing w:before="28"/>
              <w:ind w:left="423" w:right="414"/>
              <w:jc w:val="center"/>
              <w:rPr>
                <w:sz w:val="18"/>
              </w:rPr>
            </w:pPr>
            <w:r>
              <w:rPr>
                <w:sz w:val="18"/>
              </w:rPr>
              <w:t>Tropical forest</w:t>
            </w:r>
          </w:p>
        </w:tc>
        <w:tc>
          <w:tcPr>
            <w:tcW w:w="3316" w:type="dxa"/>
          </w:tcPr>
          <w:p>
            <w:pPr>
              <w:pStyle w:val="TableParagraph"/>
              <w:spacing w:before="28"/>
              <w:ind w:left="368" w:right="359"/>
              <w:jc w:val="center"/>
              <w:rPr>
                <w:sz w:val="18"/>
              </w:rPr>
            </w:pPr>
            <w:r>
              <w:rPr>
                <w:sz w:val="18"/>
              </w:rPr>
              <w:t>18.2</w:t>
            </w:r>
          </w:p>
        </w:tc>
        <w:tc>
          <w:tcPr>
            <w:tcW w:w="3582" w:type="dxa"/>
          </w:tcPr>
          <w:p>
            <w:pPr>
              <w:pStyle w:val="TableParagraph"/>
              <w:spacing w:before="28"/>
              <w:ind w:left="148" w:right="139"/>
              <w:jc w:val="center"/>
              <w:rPr>
                <w:sz w:val="18"/>
              </w:rPr>
            </w:pPr>
            <w:r>
              <w:rPr>
                <w:sz w:val="18"/>
              </w:rPr>
              <w:t>2.12/37</w:t>
            </w:r>
          </w:p>
        </w:tc>
      </w:tr>
      <w:tr>
        <w:trPr>
          <w:trHeight w:val="273" w:hRule="atLeast"/>
        </w:trPr>
        <w:tc>
          <w:tcPr>
            <w:tcW w:w="2114" w:type="dxa"/>
          </w:tcPr>
          <w:p>
            <w:pPr>
              <w:pStyle w:val="TableParagraph"/>
              <w:spacing w:before="28"/>
              <w:ind w:left="423" w:right="414"/>
              <w:jc w:val="center"/>
              <w:rPr>
                <w:sz w:val="18"/>
              </w:rPr>
            </w:pPr>
            <w:r>
              <w:rPr>
                <w:sz w:val="18"/>
              </w:rPr>
              <w:t>Evergreen forest</w:t>
            </w:r>
          </w:p>
        </w:tc>
        <w:tc>
          <w:tcPr>
            <w:tcW w:w="3316" w:type="dxa"/>
          </w:tcPr>
          <w:p>
            <w:pPr>
              <w:pStyle w:val="TableParagraph"/>
              <w:spacing w:before="28"/>
              <w:ind w:left="368" w:right="359"/>
              <w:jc w:val="center"/>
              <w:rPr>
                <w:sz w:val="18"/>
              </w:rPr>
            </w:pPr>
            <w:r>
              <w:rPr>
                <w:sz w:val="18"/>
              </w:rPr>
              <w:t>43.4</w:t>
            </w:r>
          </w:p>
        </w:tc>
        <w:tc>
          <w:tcPr>
            <w:tcW w:w="3582" w:type="dxa"/>
          </w:tcPr>
          <w:p>
            <w:pPr>
              <w:pStyle w:val="TableParagraph"/>
              <w:spacing w:before="28"/>
              <w:ind w:left="148" w:right="139"/>
              <w:jc w:val="center"/>
              <w:rPr>
                <w:sz w:val="18"/>
              </w:rPr>
            </w:pPr>
            <w:r>
              <w:rPr>
                <w:sz w:val="18"/>
              </w:rPr>
              <w:t>1.12/64</w:t>
            </w:r>
          </w:p>
        </w:tc>
      </w:tr>
      <w:tr>
        <w:trPr>
          <w:trHeight w:val="275" w:hRule="atLeast"/>
        </w:trPr>
        <w:tc>
          <w:tcPr>
            <w:tcW w:w="2114" w:type="dxa"/>
          </w:tcPr>
          <w:p>
            <w:pPr>
              <w:pStyle w:val="TableParagraph"/>
              <w:spacing w:before="28"/>
              <w:ind w:left="423" w:right="414"/>
              <w:jc w:val="center"/>
              <w:rPr>
                <w:sz w:val="18"/>
              </w:rPr>
            </w:pPr>
            <w:r>
              <w:rPr>
                <w:sz w:val="18"/>
              </w:rPr>
              <w:t>Deciduous forest</w:t>
            </w:r>
          </w:p>
        </w:tc>
        <w:tc>
          <w:tcPr>
            <w:tcW w:w="3316" w:type="dxa"/>
          </w:tcPr>
          <w:p>
            <w:pPr>
              <w:pStyle w:val="TableParagraph"/>
              <w:spacing w:before="28"/>
              <w:ind w:left="367" w:right="359"/>
              <w:jc w:val="center"/>
              <w:rPr>
                <w:sz w:val="18"/>
              </w:rPr>
            </w:pPr>
            <w:r>
              <w:rPr>
                <w:sz w:val="18"/>
              </w:rPr>
              <w:t>34.7</w:t>
            </w:r>
          </w:p>
        </w:tc>
        <w:tc>
          <w:tcPr>
            <w:tcW w:w="3582" w:type="dxa"/>
          </w:tcPr>
          <w:p>
            <w:pPr>
              <w:pStyle w:val="TableParagraph"/>
              <w:spacing w:before="28"/>
              <w:ind w:left="147" w:right="139"/>
              <w:jc w:val="center"/>
              <w:rPr>
                <w:sz w:val="18"/>
              </w:rPr>
            </w:pPr>
            <w:r>
              <w:rPr>
                <w:sz w:val="18"/>
              </w:rPr>
              <w:t>1.00/62</w:t>
            </w:r>
          </w:p>
        </w:tc>
      </w:tr>
      <w:tr>
        <w:trPr>
          <w:trHeight w:val="273" w:hRule="atLeast"/>
        </w:trPr>
        <w:tc>
          <w:tcPr>
            <w:tcW w:w="2114" w:type="dxa"/>
          </w:tcPr>
          <w:p>
            <w:pPr>
              <w:pStyle w:val="TableParagraph"/>
              <w:rPr>
                <w:sz w:val="18"/>
              </w:rPr>
            </w:pPr>
          </w:p>
        </w:tc>
        <w:tc>
          <w:tcPr>
            <w:tcW w:w="3316" w:type="dxa"/>
          </w:tcPr>
          <w:p>
            <w:pPr>
              <w:pStyle w:val="TableParagraph"/>
              <w:spacing w:before="33"/>
              <w:ind w:left="371" w:right="359"/>
              <w:jc w:val="center"/>
              <w:rPr>
                <w:b/>
                <w:sz w:val="18"/>
              </w:rPr>
            </w:pPr>
            <w:r>
              <w:rPr>
                <w:b/>
                <w:sz w:val="18"/>
              </w:rPr>
              <w:t>Average (median) dead:live ratio</w:t>
            </w:r>
          </w:p>
        </w:tc>
        <w:tc>
          <w:tcPr>
            <w:tcW w:w="3582" w:type="dxa"/>
          </w:tcPr>
          <w:p>
            <w:pPr>
              <w:pStyle w:val="TableParagraph"/>
              <w:spacing w:before="33"/>
              <w:ind w:left="152" w:right="139"/>
              <w:jc w:val="center"/>
              <w:rPr>
                <w:b/>
                <w:sz w:val="18"/>
              </w:rPr>
            </w:pPr>
            <w:r>
              <w:rPr>
                <w:b/>
                <w:sz w:val="18"/>
              </w:rPr>
              <w:t>Coefficient of Variation/Number of stands</w:t>
            </w:r>
          </w:p>
        </w:tc>
      </w:tr>
      <w:tr>
        <w:trPr>
          <w:trHeight w:val="273" w:hRule="atLeast"/>
        </w:trPr>
        <w:tc>
          <w:tcPr>
            <w:tcW w:w="2114" w:type="dxa"/>
          </w:tcPr>
          <w:p>
            <w:pPr>
              <w:pStyle w:val="TableParagraph"/>
              <w:spacing w:before="28"/>
              <w:ind w:left="423" w:right="414"/>
              <w:jc w:val="center"/>
              <w:rPr>
                <w:sz w:val="18"/>
              </w:rPr>
            </w:pPr>
            <w:r>
              <w:rPr>
                <w:sz w:val="18"/>
              </w:rPr>
              <w:t>Tropical forest</w:t>
            </w:r>
          </w:p>
        </w:tc>
        <w:tc>
          <w:tcPr>
            <w:tcW w:w="3316" w:type="dxa"/>
          </w:tcPr>
          <w:p>
            <w:pPr>
              <w:pStyle w:val="TableParagraph"/>
              <w:spacing w:before="28"/>
              <w:ind w:left="368" w:right="359"/>
              <w:jc w:val="center"/>
              <w:rPr>
                <w:sz w:val="18"/>
              </w:rPr>
            </w:pPr>
            <w:r>
              <w:rPr>
                <w:sz w:val="18"/>
              </w:rPr>
              <w:t>0.11</w:t>
            </w:r>
          </w:p>
        </w:tc>
        <w:tc>
          <w:tcPr>
            <w:tcW w:w="3582" w:type="dxa"/>
          </w:tcPr>
          <w:p>
            <w:pPr>
              <w:pStyle w:val="TableParagraph"/>
              <w:spacing w:before="28"/>
              <w:ind w:left="148" w:right="139"/>
              <w:jc w:val="center"/>
              <w:rPr>
                <w:sz w:val="18"/>
              </w:rPr>
            </w:pPr>
            <w:r>
              <w:rPr>
                <w:sz w:val="18"/>
              </w:rPr>
              <w:t>0.75/10</w:t>
            </w:r>
          </w:p>
        </w:tc>
      </w:tr>
      <w:tr>
        <w:trPr>
          <w:trHeight w:val="275" w:hRule="atLeast"/>
        </w:trPr>
        <w:tc>
          <w:tcPr>
            <w:tcW w:w="2114" w:type="dxa"/>
          </w:tcPr>
          <w:p>
            <w:pPr>
              <w:pStyle w:val="TableParagraph"/>
              <w:spacing w:before="28"/>
              <w:ind w:left="423" w:right="414"/>
              <w:jc w:val="center"/>
              <w:rPr>
                <w:sz w:val="18"/>
              </w:rPr>
            </w:pPr>
            <w:r>
              <w:rPr>
                <w:sz w:val="18"/>
              </w:rPr>
              <w:t>Evergreen forest</w:t>
            </w:r>
          </w:p>
        </w:tc>
        <w:tc>
          <w:tcPr>
            <w:tcW w:w="3316" w:type="dxa"/>
          </w:tcPr>
          <w:p>
            <w:pPr>
              <w:pStyle w:val="TableParagraph"/>
              <w:spacing w:before="28"/>
              <w:ind w:left="368" w:right="359"/>
              <w:jc w:val="center"/>
              <w:rPr>
                <w:sz w:val="18"/>
              </w:rPr>
            </w:pPr>
            <w:r>
              <w:rPr>
                <w:sz w:val="18"/>
              </w:rPr>
              <w:t>0.20</w:t>
            </w:r>
          </w:p>
        </w:tc>
        <w:tc>
          <w:tcPr>
            <w:tcW w:w="3582" w:type="dxa"/>
          </w:tcPr>
          <w:p>
            <w:pPr>
              <w:pStyle w:val="TableParagraph"/>
              <w:spacing w:before="28"/>
              <w:ind w:left="149" w:right="139"/>
              <w:jc w:val="center"/>
              <w:rPr>
                <w:sz w:val="18"/>
              </w:rPr>
            </w:pPr>
            <w:r>
              <w:rPr>
                <w:sz w:val="18"/>
              </w:rPr>
              <w:t>1.33/18</w:t>
            </w:r>
          </w:p>
        </w:tc>
      </w:tr>
      <w:tr>
        <w:trPr>
          <w:trHeight w:val="273" w:hRule="atLeast"/>
        </w:trPr>
        <w:tc>
          <w:tcPr>
            <w:tcW w:w="2114" w:type="dxa"/>
          </w:tcPr>
          <w:p>
            <w:pPr>
              <w:pStyle w:val="TableParagraph"/>
              <w:spacing w:before="28"/>
              <w:ind w:left="423" w:right="415"/>
              <w:jc w:val="center"/>
              <w:rPr>
                <w:sz w:val="18"/>
              </w:rPr>
            </w:pPr>
            <w:r>
              <w:rPr>
                <w:sz w:val="18"/>
              </w:rPr>
              <w:t>Deciduous forest</w:t>
            </w:r>
          </w:p>
        </w:tc>
        <w:tc>
          <w:tcPr>
            <w:tcW w:w="3316" w:type="dxa"/>
          </w:tcPr>
          <w:p>
            <w:pPr>
              <w:pStyle w:val="TableParagraph"/>
              <w:spacing w:before="28"/>
              <w:ind w:left="367" w:right="359"/>
              <w:jc w:val="center"/>
              <w:rPr>
                <w:sz w:val="18"/>
              </w:rPr>
            </w:pPr>
            <w:r>
              <w:rPr>
                <w:sz w:val="18"/>
              </w:rPr>
              <w:t>0.14</w:t>
            </w:r>
          </w:p>
        </w:tc>
        <w:tc>
          <w:tcPr>
            <w:tcW w:w="3582" w:type="dxa"/>
          </w:tcPr>
          <w:p>
            <w:pPr>
              <w:pStyle w:val="TableParagraph"/>
              <w:spacing w:before="28"/>
              <w:ind w:left="147" w:right="139"/>
              <w:jc w:val="center"/>
              <w:rPr>
                <w:sz w:val="18"/>
              </w:rPr>
            </w:pPr>
            <w:r>
              <w:rPr>
                <w:sz w:val="18"/>
              </w:rPr>
              <w:t>0.77/19</w:t>
            </w:r>
          </w:p>
        </w:tc>
      </w:tr>
      <w:tr>
        <w:trPr>
          <w:trHeight w:val="753" w:hRule="atLeast"/>
        </w:trPr>
        <w:tc>
          <w:tcPr>
            <w:tcW w:w="9012" w:type="dxa"/>
            <w:gridSpan w:val="3"/>
          </w:tcPr>
          <w:p>
            <w:pPr>
              <w:pStyle w:val="TableParagraph"/>
              <w:spacing w:before="35"/>
              <w:ind w:left="107" w:right="285"/>
              <w:rPr>
                <w:sz w:val="16"/>
              </w:rPr>
            </w:pPr>
            <w:r>
              <w:rPr>
                <w:sz w:val="16"/>
              </w:rPr>
              <w:t>Sources: Harmon, M. E., O. N. Krankina, M. Yatskov, and E. Matthews. 2001. Predicting broad-scale carbon stores of woody detritus from plot-level data. Pp. 533-552 In: Lal, R., J. Kimble, B. A. Stewart, Assessment Methods for Soil Carbon, CRC Press, New York</w:t>
            </w:r>
          </w:p>
          <w:p>
            <w:pPr>
              <w:pStyle w:val="TableParagraph"/>
              <w:spacing w:before="86"/>
              <w:ind w:left="107"/>
              <w:rPr>
                <w:sz w:val="16"/>
              </w:rPr>
            </w:pPr>
            <w:r>
              <w:rPr>
                <w:position w:val="7"/>
                <w:sz w:val="10"/>
              </w:rPr>
              <w:t>a </w:t>
            </w:r>
            <w:r>
              <w:rPr>
                <w:sz w:val="16"/>
              </w:rPr>
              <w:t>For delineation of biomes, see Figure 3.1.3.</w:t>
            </w:r>
          </w:p>
        </w:tc>
      </w:tr>
    </w:tbl>
    <w:p>
      <w:pPr>
        <w:pStyle w:val="BodyText"/>
      </w:pPr>
    </w:p>
    <w:p>
      <w:pPr>
        <w:pStyle w:val="BodyText"/>
        <w:spacing w:before="6"/>
      </w:pPr>
    </w:p>
    <w:p>
      <w:pPr>
        <w:spacing w:line="228" w:lineRule="exact" w:before="0"/>
        <w:ind w:left="219" w:right="0" w:firstLine="0"/>
        <w:jc w:val="both"/>
        <w:rPr>
          <w:b/>
          <w:sz w:val="20"/>
        </w:rPr>
      </w:pPr>
      <w:r>
        <w:rPr>
          <w:b/>
          <w:sz w:val="20"/>
        </w:rPr>
        <w:t>LITTER </w:t>
      </w:r>
    </w:p>
    <w:p>
      <w:pPr>
        <w:pStyle w:val="BodyText"/>
        <w:ind w:left="219" w:right="263" w:hanging="1"/>
        <w:jc w:val="both"/>
      </w:pPr>
      <w:r>
        <w:rPr>
          <w:b/>
        </w:rPr>
        <w:t>Tier 1 (Default): </w:t>
      </w:r>
      <w:r>
        <w:rPr/>
        <w:t>In the </w:t>
      </w:r>
      <w:r>
        <w:rPr>
          <w:i/>
        </w:rPr>
        <w:t>IPCC Guidelines</w:t>
      </w:r>
      <w:r>
        <w:rPr/>
        <w:t>, consistent with reporting under Tier 1, litter inputs and outputs are assumed to balance and the pools are therefore taken to be stable. Countries experiencing significant changes in forest types or disturbance or management regimes in their forests are encouraged to develop domestic data to quantify this impact and report it under Tier 2 or 3 methodologies. Default values are presented in Table 3.2.1. These values may be used as an approximate calculation to determine if litter carbon is a key category, or as a check for country-specific values.</w:t>
      </w:r>
    </w:p>
    <w:p>
      <w:pPr>
        <w:pStyle w:val="BodyText"/>
        <w:spacing w:before="118"/>
        <w:ind w:left="219" w:right="264"/>
        <w:jc w:val="both"/>
      </w:pPr>
      <w:r>
        <w:rPr>
          <w:b/>
        </w:rPr>
        <w:t>Tier 2: </w:t>
      </w:r>
      <w:r>
        <w:rPr/>
        <w:t>It is </w:t>
      </w:r>
      <w:r>
        <w:rPr>
          <w:i/>
        </w:rPr>
        <w:t>good practice </w:t>
      </w:r>
      <w:r>
        <w:rPr/>
        <w:t>to use country level data on litter for different forest categories, in combination with default values if country or regional values are not available for some forest categories. Table 3.2.1 provides updated default data on litter stocks, but these are not a substitute for national data, where available.</w:t>
      </w:r>
    </w:p>
    <w:p>
      <w:pPr>
        <w:pStyle w:val="BodyText"/>
        <w:spacing w:before="121"/>
        <w:ind w:left="219" w:right="263"/>
        <w:jc w:val="both"/>
      </w:pPr>
      <w:r>
        <w:rPr>
          <w:b/>
        </w:rPr>
        <w:t>Tier 3: </w:t>
      </w:r>
      <w:r>
        <w:rPr/>
        <w:t>National level disaggregated litter carbon estimates are available for different forest types, disturbance and management regimes, based on measurements from National Forest Inventories or from a dedicated greenhouse gas (GHG) Inventory Programme.</w:t>
      </w:r>
    </w:p>
    <w:p>
      <w:pPr>
        <w:pStyle w:val="BodyText"/>
        <w:spacing w:before="3"/>
        <w:rPr>
          <w:sz w:val="21"/>
        </w:rPr>
      </w:pPr>
    </w:p>
    <w:p>
      <w:pPr>
        <w:pStyle w:val="Heading6"/>
        <w:numPr>
          <w:ilvl w:val="5"/>
          <w:numId w:val="46"/>
        </w:numPr>
        <w:tabs>
          <w:tab w:pos="1661" w:val="left" w:leader="none"/>
        </w:tabs>
        <w:spacing w:line="240" w:lineRule="auto" w:before="0"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pStyle w:val="BodyText"/>
        <w:spacing w:before="56"/>
        <w:ind w:left="219" w:right="264"/>
        <w:jc w:val="both"/>
      </w:pPr>
      <w:r>
        <w:rPr/>
        <w:t>Activity data consist of areas of forest remaining forest summarised by major forest types, management practices, and disturbance regimes. Total forest area should be consistent with those reported under other sections of this chapter, notably Section 3.2.1.1. The assessment of changes in dead organic matter is greatly facilitated if this information can be used in conjunction with national soil and climate data, vegetation inventories, and other geophysical data. The area summaries for the litter pool may be different than those for the dead wood pool when it is known that emission factors do not vary for some of the activity data, such as by management</w:t>
      </w:r>
      <w:r>
        <w:rPr>
          <w:spacing w:val="-1"/>
        </w:rPr>
        <w:t> </w:t>
      </w:r>
      <w:r>
        <w:rPr/>
        <w:t>practice.</w:t>
      </w:r>
    </w:p>
    <w:p>
      <w:pPr>
        <w:pStyle w:val="BodyText"/>
        <w:spacing w:before="118"/>
        <w:ind w:left="219" w:right="263"/>
        <w:jc w:val="both"/>
      </w:pPr>
      <w:r>
        <w:rPr/>
        <w:t>Data sources will vary according to a country’s forest management system, from individual contractors or companies, to regulation bodies and government agencies responsible for forest inventory and management, and research institutions. Data formats vary widely, and include, among others, activity reports submitted regularly within incentive programs or as required by regulations, forest management inventories and remotely sensed imagery.</w:t>
      </w:r>
    </w:p>
    <w:p>
      <w:pPr>
        <w:pStyle w:val="BodyText"/>
        <w:spacing w:before="3"/>
        <w:rPr>
          <w:sz w:val="21"/>
        </w:rPr>
      </w:pPr>
    </w:p>
    <w:p>
      <w:pPr>
        <w:pStyle w:val="Heading6"/>
        <w:numPr>
          <w:ilvl w:val="5"/>
          <w:numId w:val="46"/>
        </w:numPr>
        <w:tabs>
          <w:tab w:pos="1662" w:val="left" w:leader="none"/>
        </w:tabs>
        <w:spacing w:line="240" w:lineRule="auto" w:before="0" w:after="0"/>
        <w:ind w:left="1661" w:right="0" w:hanging="1442"/>
        <w:jc w:val="both"/>
      </w:pPr>
      <w:r>
        <w:rPr/>
        <w:t>4 </w:t>
      </w:r>
      <w:r>
        <w:rPr>
          <w:spacing w:val="17"/>
        </w:rPr>
        <w:t>Uncertainty</w:t>
      </w:r>
      <w:r>
        <w:rPr>
          <w:spacing w:val="18"/>
        </w:rPr>
        <w:t> </w:t>
      </w:r>
      <w:r>
        <w:rPr>
          <w:spacing w:val="19"/>
        </w:rPr>
        <w:t>Assessment</w:t>
      </w:r>
    </w:p>
    <w:p>
      <w:pPr>
        <w:pStyle w:val="BodyText"/>
        <w:spacing w:before="57"/>
        <w:ind w:left="219" w:right="264"/>
        <w:jc w:val="both"/>
      </w:pPr>
      <w:r>
        <w:rPr/>
        <w:t>The uncertainty associated with Tier 1 methods is so high that the dead organic matter pools were simply assumed to be stable at a time that managed forests are growing. Logging residue created by harvest was assumed to decay instantly at time of harvest, emitting its entire mass as carbon dioxide. Emissions from dead organic matter due to disturbances like wildfires, or insect or disease infestation were ignored. The dynamics of the litter carbon pool were also ignored. When emissions are assumed equal to zero, describing uncertainty in terms of percentage of the emissions is indeterminate. Any percentage multiplied by zero is</w:t>
      </w:r>
      <w:r>
        <w:rPr>
          <w:spacing w:val="-12"/>
        </w:rPr>
        <w:t> </w:t>
      </w:r>
      <w:r>
        <w:rPr/>
        <w:t>zero.</w:t>
      </w:r>
    </w:p>
    <w:p>
      <w:pPr>
        <w:spacing w:after="0"/>
        <w:jc w:val="both"/>
        <w:sectPr>
          <w:pgSz w:w="11900" w:h="16840"/>
          <w:pgMar w:header="230" w:footer="408" w:top="560" w:bottom="600" w:left="1200" w:right="1140"/>
        </w:sectPr>
      </w:pPr>
    </w:p>
    <w:p>
      <w:pPr>
        <w:pStyle w:val="BodyText"/>
      </w:pPr>
    </w:p>
    <w:p>
      <w:pPr>
        <w:pStyle w:val="BodyText"/>
        <w:spacing w:before="7"/>
        <w:rPr>
          <w:sz w:val="18"/>
        </w:rPr>
      </w:pPr>
    </w:p>
    <w:p>
      <w:pPr>
        <w:spacing w:line="228" w:lineRule="exact" w:before="0"/>
        <w:ind w:left="219" w:right="0" w:firstLine="0"/>
        <w:jc w:val="both"/>
        <w:rPr>
          <w:b/>
          <w:sz w:val="20"/>
        </w:rPr>
      </w:pPr>
      <w:r>
        <w:rPr>
          <w:b/>
          <w:sz w:val="20"/>
        </w:rPr>
        <w:t>DEAD WOOD </w:t>
      </w:r>
    </w:p>
    <w:p>
      <w:pPr>
        <w:pStyle w:val="BodyText"/>
        <w:ind w:left="219" w:right="265"/>
        <w:jc w:val="both"/>
      </w:pPr>
      <w:r>
        <w:rPr/>
        <w:t>An estimate for a maximum bound for carbon in dead wood is 25% of the amount of C in live biomass pools. The maximum value in absolute terms in C in dead wood is 25% of the amount of C in live biomass pools divided by five. Dividing by 5 simulates dead wood decaying in five years. The use of regional and country- specific inventory data and models under Tiers 2 and 3 enables for significant reduction of uncertainties. A survey</w:t>
      </w:r>
      <w:r>
        <w:rPr>
          <w:spacing w:val="23"/>
        </w:rPr>
        <w:t> </w:t>
      </w:r>
      <w:r>
        <w:rPr/>
        <w:t>of</w:t>
      </w:r>
      <w:r>
        <w:rPr>
          <w:spacing w:val="26"/>
        </w:rPr>
        <w:t> </w:t>
      </w:r>
      <w:r>
        <w:rPr/>
        <w:t>dead</w:t>
      </w:r>
      <w:r>
        <w:rPr>
          <w:spacing w:val="30"/>
        </w:rPr>
        <w:t> </w:t>
      </w:r>
      <w:r>
        <w:rPr/>
        <w:t>wood</w:t>
      </w:r>
      <w:r>
        <w:rPr>
          <w:spacing w:val="31"/>
        </w:rPr>
        <w:t> </w:t>
      </w:r>
      <w:r>
        <w:rPr/>
        <w:t>may</w:t>
      </w:r>
      <w:r>
        <w:rPr>
          <w:spacing w:val="23"/>
        </w:rPr>
        <w:t> </w:t>
      </w:r>
      <w:r>
        <w:rPr/>
        <w:t>be</w:t>
      </w:r>
      <w:r>
        <w:rPr>
          <w:spacing w:val="28"/>
        </w:rPr>
        <w:t> </w:t>
      </w:r>
      <w:r>
        <w:rPr/>
        <w:t>designed</w:t>
      </w:r>
      <w:r>
        <w:rPr>
          <w:spacing w:val="29"/>
        </w:rPr>
        <w:t> </w:t>
      </w:r>
      <w:r>
        <w:rPr/>
        <w:t>for</w:t>
      </w:r>
      <w:r>
        <w:rPr>
          <w:spacing w:val="28"/>
        </w:rPr>
        <w:t> </w:t>
      </w:r>
      <w:r>
        <w:rPr/>
        <w:t>any</w:t>
      </w:r>
      <w:r>
        <w:rPr>
          <w:spacing w:val="24"/>
        </w:rPr>
        <w:t> </w:t>
      </w:r>
      <w:r>
        <w:rPr/>
        <w:t>designated</w:t>
      </w:r>
      <w:r>
        <w:rPr>
          <w:spacing w:val="28"/>
        </w:rPr>
        <w:t> </w:t>
      </w:r>
      <w:r>
        <w:rPr/>
        <w:t>precision.</w:t>
      </w:r>
      <w:r>
        <w:rPr>
          <w:spacing w:val="29"/>
        </w:rPr>
        <w:t> </w:t>
      </w:r>
      <w:r>
        <w:rPr/>
        <w:t>Nationally</w:t>
      </w:r>
      <w:r>
        <w:rPr>
          <w:spacing w:val="23"/>
        </w:rPr>
        <w:t> </w:t>
      </w:r>
      <w:r>
        <w:rPr/>
        <w:t>determined</w:t>
      </w:r>
      <w:r>
        <w:rPr>
          <w:spacing w:val="28"/>
        </w:rPr>
        <w:t> </w:t>
      </w:r>
      <w:r>
        <w:rPr/>
        <w:t>values</w:t>
      </w:r>
      <w:r>
        <w:rPr>
          <w:spacing w:val="27"/>
        </w:rPr>
        <w:t> </w:t>
      </w:r>
      <w:r>
        <w:rPr/>
        <w:t>of</w:t>
      </w:r>
      <w:r>
        <w:rPr>
          <w:spacing w:val="28"/>
        </w:rPr>
        <w:t> </w:t>
      </w:r>
      <w:r>
        <w:rPr/>
        <w:t>within</w:t>
      </w:r>
    </w:p>
    <w:p>
      <w:pPr>
        <w:pStyle w:val="BodyText"/>
        <w:spacing w:line="230" w:lineRule="exact"/>
        <w:ind w:left="219"/>
        <w:jc w:val="both"/>
      </w:pPr>
      <w:r>
        <w:rPr/>
        <w:t>±30% may be reasonable for dead wood.</w:t>
      </w:r>
    </w:p>
    <w:p>
      <w:pPr>
        <w:pStyle w:val="BodyText"/>
        <w:spacing w:before="1"/>
        <w:rPr>
          <w:sz w:val="21"/>
        </w:rPr>
      </w:pPr>
    </w:p>
    <w:p>
      <w:pPr>
        <w:spacing w:line="228" w:lineRule="exact" w:before="0"/>
        <w:ind w:left="219" w:right="0" w:firstLine="0"/>
        <w:jc w:val="both"/>
        <w:rPr>
          <w:b/>
          <w:sz w:val="20"/>
        </w:rPr>
      </w:pPr>
      <w:r>
        <w:rPr>
          <w:b/>
          <w:sz w:val="20"/>
        </w:rPr>
        <w:t>LITTER </w:t>
      </w:r>
    </w:p>
    <w:p>
      <w:pPr>
        <w:pStyle w:val="BodyText"/>
        <w:ind w:left="219" w:right="264"/>
        <w:jc w:val="both"/>
      </w:pPr>
      <w:r>
        <w:rPr/>
        <w:t>Ranges in Table 3.2.1 may be analyzed for uncertainty defaults for litter. For litter pools, the uncertainty is approximately a factor of one. For emissions or sequestration rates, the uncertainty is also approximately a factor of one. The use of regional and country-specific inventory data and models under Tiers 2 and 3 enables for significant reduction of uncertainties.</w:t>
      </w:r>
    </w:p>
    <w:p>
      <w:pPr>
        <w:pStyle w:val="BodyText"/>
        <w:rPr>
          <w:sz w:val="22"/>
        </w:rPr>
      </w:pPr>
    </w:p>
    <w:p>
      <w:pPr>
        <w:pStyle w:val="Heading6"/>
        <w:numPr>
          <w:ilvl w:val="3"/>
          <w:numId w:val="46"/>
        </w:numPr>
        <w:tabs>
          <w:tab w:pos="1667" w:val="left" w:leader="none"/>
        </w:tabs>
        <w:spacing w:line="240" w:lineRule="auto" w:before="145" w:after="0"/>
        <w:ind w:left="1666" w:right="0" w:hanging="1447"/>
        <w:jc w:val="both"/>
        <w:rPr>
          <w:sz w:val="28"/>
        </w:rPr>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SOILS</w:t>
      </w:r>
    </w:p>
    <w:p>
      <w:pPr>
        <w:pStyle w:val="BodyText"/>
        <w:spacing w:line="235" w:lineRule="auto" w:before="215"/>
        <w:ind w:left="219" w:right="265"/>
        <w:jc w:val="both"/>
      </w:pPr>
      <w:r>
        <w:rPr/>
        <w:t>This section elaborates on estimation procedures and </w:t>
      </w:r>
      <w:r>
        <w:rPr>
          <w:i/>
        </w:rPr>
        <w:t>good practices </w:t>
      </w:r>
      <w:r>
        <w:rPr/>
        <w:t>for estimating change in carbon stocks from and to forest soils. Separate guidance is provided for two types of forest soil carbon pools: 1) the organic fraction of mineral forest soils, and 2) organic soils. The change in carbon stocks in soils in forest land remaining forest land (∆C</w:t>
      </w:r>
      <w:r>
        <w:rPr>
          <w:vertAlign w:val="subscript"/>
        </w:rPr>
        <w:t>FF</w:t>
      </w:r>
      <w:r>
        <w:rPr>
          <w:position w:val="-8"/>
          <w:sz w:val="13"/>
          <w:vertAlign w:val="baseline"/>
        </w:rPr>
        <w:t>Soils</w:t>
      </w:r>
      <w:r>
        <w:rPr>
          <w:vertAlign w:val="baseline"/>
        </w:rPr>
        <w:t>) is equal to the sum of changes in carbon stocks in the mineral soil (∆C</w:t>
      </w:r>
      <w:r>
        <w:rPr>
          <w:vertAlign w:val="subscript"/>
        </w:rPr>
        <w:t>FF</w:t>
      </w:r>
      <w:r>
        <w:rPr>
          <w:position w:val="-8"/>
          <w:sz w:val="13"/>
          <w:vertAlign w:val="baseline"/>
        </w:rPr>
        <w:t>Mineral</w:t>
      </w:r>
      <w:r>
        <w:rPr>
          <w:vertAlign w:val="baseline"/>
        </w:rPr>
        <w:t>) and the organic soil</w:t>
      </w:r>
      <w:r>
        <w:rPr>
          <w:spacing w:val="-1"/>
          <w:vertAlign w:val="baseline"/>
        </w:rPr>
        <w:t> </w:t>
      </w:r>
      <w:r>
        <w:rPr>
          <w:vertAlign w:val="baseline"/>
        </w:rPr>
        <w:t>(∆C</w:t>
      </w:r>
      <w:r>
        <w:rPr>
          <w:vertAlign w:val="subscript"/>
        </w:rPr>
        <w:t>FF</w:t>
      </w:r>
      <w:r>
        <w:rPr>
          <w:position w:val="-8"/>
          <w:sz w:val="13"/>
          <w:vertAlign w:val="baseline"/>
        </w:rPr>
        <w:t>Organic</w:t>
      </w:r>
      <w:r>
        <w:rPr>
          <w:vertAlign w:val="baseline"/>
        </w:rPr>
        <w:t>).</w:t>
      </w:r>
    </w:p>
    <w:p>
      <w:pPr>
        <w:pStyle w:val="BodyText"/>
        <w:spacing w:before="109"/>
        <w:ind w:left="219" w:right="268"/>
        <w:jc w:val="both"/>
      </w:pPr>
      <w:r>
        <w:rPr/>
        <w:t>This report does not address the inorganic soil carbon pool, but notes the need for soil analytical procedures to distinguish between the organic and inorganic fractions where the latter is significant.</w:t>
      </w:r>
    </w:p>
    <w:p>
      <w:pPr>
        <w:pStyle w:val="BodyText"/>
        <w:spacing w:before="2"/>
        <w:rPr>
          <w:sz w:val="21"/>
        </w:rPr>
      </w:pPr>
    </w:p>
    <w:p>
      <w:pPr>
        <w:spacing w:line="228" w:lineRule="exact" w:before="0"/>
        <w:ind w:left="219" w:right="0" w:firstLine="0"/>
        <w:jc w:val="both"/>
        <w:rPr>
          <w:b/>
          <w:sz w:val="20"/>
        </w:rPr>
      </w:pPr>
      <w:r>
        <w:rPr>
          <w:b/>
          <w:sz w:val="20"/>
        </w:rPr>
        <w:t>SOIL ORGANIC MATTER</w:t>
      </w:r>
    </w:p>
    <w:p>
      <w:pPr>
        <w:pStyle w:val="BodyText"/>
        <w:ind w:left="219" w:right="265"/>
        <w:jc w:val="both"/>
      </w:pPr>
      <w:r>
        <w:rPr/>
        <w:t>Soil organic matter refers to a complex of large and amorphous organic molecules and particles derived from the humification of aboveground and belowground litter, and incorporated into the soil, either as free particles or bound to mineral soil particles. It also includes organic acids, dead and living microorganisms, and the substances synthesized from their breakdown products (Johnson </w:t>
      </w:r>
      <w:r>
        <w:rPr>
          <w:i/>
        </w:rPr>
        <w:t>et al.</w:t>
      </w:r>
      <w:r>
        <w:rPr/>
        <w:t>,</w:t>
      </w:r>
      <w:r>
        <w:rPr>
          <w:spacing w:val="-6"/>
        </w:rPr>
        <w:t> </w:t>
      </w:r>
      <w:r>
        <w:rPr/>
        <w:t>1995).</w:t>
      </w:r>
    </w:p>
    <w:p>
      <w:pPr>
        <w:pStyle w:val="BodyText"/>
        <w:spacing w:before="119"/>
        <w:ind w:left="219"/>
        <w:jc w:val="both"/>
      </w:pPr>
      <w:r>
        <w:rPr/>
        <w:t>It is </w:t>
      </w:r>
      <w:r>
        <w:rPr>
          <w:i/>
        </w:rPr>
        <w:t>good practice </w:t>
      </w:r>
      <w:r>
        <w:rPr/>
        <w:t>to separate mineral from organic forest soils, as default estimation procedures are different.</w:t>
      </w:r>
    </w:p>
    <w:p>
      <w:pPr>
        <w:pStyle w:val="BodyText"/>
        <w:spacing w:before="2"/>
        <w:rPr>
          <w:sz w:val="21"/>
        </w:rPr>
      </w:pPr>
    </w:p>
    <w:p>
      <w:pPr>
        <w:spacing w:line="228" w:lineRule="exact" w:before="0"/>
        <w:ind w:left="219" w:right="0" w:firstLine="0"/>
        <w:jc w:val="both"/>
        <w:rPr>
          <w:b/>
          <w:sz w:val="20"/>
        </w:rPr>
      </w:pPr>
      <w:r>
        <w:rPr>
          <w:b/>
          <w:sz w:val="20"/>
        </w:rPr>
        <w:t>SOIL ORGANIC MATTER IN MINERAL FOREST SOILS</w:t>
      </w:r>
    </w:p>
    <w:p>
      <w:pPr>
        <w:pStyle w:val="BodyText"/>
        <w:ind w:left="219" w:right="264"/>
        <w:jc w:val="both"/>
      </w:pPr>
      <w:r>
        <w:rPr/>
        <w:t>Globally, the organic carbon content of mineral forest soils (to 1 m depth) varies between less than 10  and almost 20 kg C m</w:t>
      </w:r>
      <w:r>
        <w:rPr>
          <w:vertAlign w:val="superscript"/>
        </w:rPr>
        <w:t>-2</w:t>
      </w:r>
      <w:r>
        <w:rPr>
          <w:vertAlign w:val="baseline"/>
        </w:rPr>
        <w:t>, with large standard deviations (Jobbagy and Jackson, 2000). Mineral forest soils to that depth contain approximately 700 Pg C (Dixon </w:t>
      </w:r>
      <w:r>
        <w:rPr>
          <w:i/>
          <w:vertAlign w:val="baseline"/>
        </w:rPr>
        <w:t>et al.</w:t>
      </w:r>
      <w:r>
        <w:rPr>
          <w:vertAlign w:val="baseline"/>
        </w:rPr>
        <w:t>, 1994). Because the input of organic matter is largely from aboveground litter, forest soil organic matter tends to concentrate in the upper soil horizons, with roughly half of the soil organic carbon of the top 100 cm of mineral soil being held in the upper 30 cm layer. The carbon held in the upper profile is often the most chemically decomposable, and the most directly exposed to natural and anthropogenic</w:t>
      </w:r>
      <w:r>
        <w:rPr>
          <w:spacing w:val="-1"/>
          <w:vertAlign w:val="baseline"/>
        </w:rPr>
        <w:t> </w:t>
      </w:r>
      <w:r>
        <w:rPr>
          <w:vertAlign w:val="baseline"/>
        </w:rPr>
        <w:t>disturbances.</w:t>
      </w:r>
    </w:p>
    <w:p>
      <w:pPr>
        <w:pStyle w:val="BodyText"/>
        <w:spacing w:before="118"/>
        <w:ind w:left="219" w:right="264"/>
        <w:jc w:val="both"/>
      </w:pPr>
      <w:r>
        <w:rPr/>
        <w:t>Due to inconsistent classifications, there is no global estimate of the carbon content of forested organic soils. Zoltai and Martikainen (1997) estimated that forested peatlands extend between 70 and 88 Mha (using a 30 cm minimum depth), with a global carbon content in the order of 500 Pg.</w:t>
      </w:r>
    </w:p>
    <w:p>
      <w:pPr>
        <w:pStyle w:val="BodyText"/>
        <w:spacing w:before="6"/>
        <w:rPr>
          <w:sz w:val="27"/>
        </w:rPr>
      </w:pPr>
      <w:r>
        <w:rPr/>
        <w:pict>
          <v:shape style="position:absolute;margin-left:91.960999pt;margin-top:18.541212pt;width:411.6pt;height:165.25pt;mso-position-horizontal-relative:page;mso-position-vertical-relative:paragraph;z-index:4664;mso-wrap-distance-left:0;mso-wrap-distance-right:0" type="#_x0000_t202" filled="false" stroked="true" strokeweight="1.44pt" strokecolor="#000000">
            <v:textbox inset="0,0,0,0">
              <w:txbxContent>
                <w:p>
                  <w:pPr>
                    <w:spacing w:before="100"/>
                    <w:ind w:left="3673" w:right="3674" w:firstLine="0"/>
                    <w:jc w:val="center"/>
                    <w:rPr>
                      <w:b/>
                      <w:sz w:val="18"/>
                    </w:rPr>
                  </w:pPr>
                  <w:r>
                    <w:rPr>
                      <w:b/>
                      <w:sz w:val="18"/>
                    </w:rPr>
                    <w:t>B</w:t>
                  </w:r>
                  <w:r>
                    <w:rPr>
                      <w:b/>
                      <w:sz w:val="14"/>
                    </w:rPr>
                    <w:t>OX </w:t>
                  </w:r>
                  <w:r>
                    <w:rPr>
                      <w:b/>
                      <w:sz w:val="18"/>
                    </w:rPr>
                    <w:t>3.2.1</w:t>
                  </w:r>
                </w:p>
                <w:p>
                  <w:pPr>
                    <w:spacing w:before="2"/>
                    <w:ind w:left="2471" w:right="0" w:firstLine="0"/>
                    <w:jc w:val="left"/>
                    <w:rPr>
                      <w:b/>
                      <w:sz w:val="14"/>
                    </w:rPr>
                  </w:pPr>
                  <w:r>
                    <w:rPr>
                      <w:b/>
                      <w:sz w:val="18"/>
                    </w:rPr>
                    <w:t>O</w:t>
                  </w:r>
                  <w:r>
                    <w:rPr>
                      <w:b/>
                      <w:sz w:val="14"/>
                    </w:rPr>
                    <w:t>RGANIC SOILS</w:t>
                  </w:r>
                  <w:r>
                    <w:rPr>
                      <w:b/>
                      <w:sz w:val="18"/>
                    </w:rPr>
                    <w:t>, </w:t>
                  </w:r>
                  <w:r>
                    <w:rPr>
                      <w:b/>
                      <w:sz w:val="14"/>
                    </w:rPr>
                    <w:t>PEATLANDS AND WETLANDS</w:t>
                  </w:r>
                </w:p>
                <w:p>
                  <w:pPr>
                    <w:pStyle w:val="BodyText"/>
                    <w:spacing w:before="113"/>
                    <w:ind w:left="127" w:right="123"/>
                    <w:jc w:val="both"/>
                  </w:pPr>
                  <w:r>
                    <w:rPr/>
                    <w:t>The expressions organic soils and peatlands are sometimes used interchangeably in the literature, although the term “peat”, more commonly used in the ecological literature, really refers to the origin of the organic material – principally moss fragments formed under anaerobic conditions. The mere presence of peat is not sufficient to define the soil as organic. Note that organic soils may be covered by LFH (litter, fermentation and humus) layers, however these organic layers would not be found in an anaerobic</w:t>
                  </w:r>
                  <w:r>
                    <w:rPr>
                      <w:spacing w:val="-1"/>
                    </w:rPr>
                    <w:t> </w:t>
                  </w:r>
                  <w:r>
                    <w:rPr/>
                    <w:t>environment.</w:t>
                  </w:r>
                </w:p>
                <w:p>
                  <w:pPr>
                    <w:pStyle w:val="BodyText"/>
                    <w:spacing w:before="120"/>
                    <w:ind w:left="127" w:right="121"/>
                    <w:jc w:val="both"/>
                  </w:pPr>
                  <w:r>
                    <w:rPr/>
                    <w:t>Wetlands are identified and classified based on their hydrological properties, i.e. by the dominance of anaerobic conditions. Bogs are wetlands with an organic substrate.</w:t>
                  </w:r>
                </w:p>
                <w:p>
                  <w:pPr>
                    <w:pStyle w:val="BodyText"/>
                    <w:spacing w:before="121"/>
                    <w:ind w:left="127" w:right="122"/>
                    <w:jc w:val="both"/>
                  </w:pPr>
                  <w:r>
                    <w:rPr/>
                    <w:t>For the purpose of this document, all organic soils within the managed forest should be included in the assessment, regardless of the origin of the organic matter, or the soil’s hydrological regime.</w:t>
                  </w:r>
                </w:p>
              </w:txbxContent>
            </v:textbox>
            <v:stroke dashstyle="solid"/>
            <w10:wrap type="topAndBottom"/>
          </v:shape>
        </w:pict>
      </w:r>
    </w:p>
    <w:p>
      <w:pPr>
        <w:spacing w:after="0"/>
        <w:rPr>
          <w:sz w:val="27"/>
        </w:rPr>
        <w:sectPr>
          <w:pgSz w:w="11900" w:h="16840"/>
          <w:pgMar w:header="230" w:footer="408" w:top="560" w:bottom="600" w:left="1200" w:right="1140"/>
        </w:sectPr>
      </w:pPr>
    </w:p>
    <w:p>
      <w:pPr>
        <w:pStyle w:val="BodyText"/>
      </w:pPr>
    </w:p>
    <w:p>
      <w:pPr>
        <w:pStyle w:val="Heading6"/>
        <w:numPr>
          <w:ilvl w:val="4"/>
          <w:numId w:val="46"/>
        </w:numPr>
        <w:tabs>
          <w:tab w:pos="1660" w:val="left" w:leader="none"/>
        </w:tabs>
        <w:spacing w:line="251" w:lineRule="exact" w:before="214" w:after="0"/>
        <w:ind w:left="1659" w:right="0" w:hanging="1440"/>
        <w:jc w:val="both"/>
      </w:pPr>
      <w:r>
        <w:rPr/>
        <w:t>1 </w:t>
      </w:r>
      <w:r>
        <w:rPr>
          <w:spacing w:val="17"/>
        </w:rPr>
        <w:t>METHODOLOGICAL</w:t>
      </w:r>
      <w:r>
        <w:rPr>
          <w:spacing w:val="1"/>
        </w:rPr>
        <w:t> </w:t>
      </w:r>
      <w:r>
        <w:rPr>
          <w:spacing w:val="16"/>
        </w:rPr>
        <w:t>ISSUES</w:t>
      </w:r>
    </w:p>
    <w:p>
      <w:pPr>
        <w:pStyle w:val="BodyText"/>
        <w:ind w:left="219" w:right="264"/>
        <w:jc w:val="both"/>
      </w:pPr>
      <w:r>
        <w:rPr/>
        <w:t>Soil organic matter is in a state of dynamic balance between inputs and outputs of organic carbon. Inputs are largely determined by the forest productivity, the decomposition of litter and its incorporation into the mineral soil; rates of organic matter decay and the return of carbon to the atmosphere through respiration control outputs (Pregitzer, 2003). Other losses of soil organic carbon occur through erosion or the dissolution of organic carbon, but these processes may not result in immediate carbon emissions.</w:t>
      </w:r>
    </w:p>
    <w:p>
      <w:pPr>
        <w:pStyle w:val="BodyText"/>
        <w:spacing w:before="118"/>
        <w:ind w:left="219" w:right="263"/>
        <w:jc w:val="both"/>
      </w:pPr>
      <w:r>
        <w:rPr/>
        <w:t>In general, human activities and other disturbances alter the carbon dynamics of forest soils. Changes in forest type, productivity, decay rates and disturbances can effectively modify the carbon contents of forest soils. Different forest management activities, such as rotation length; harvest practices (whole tree or sawlog; regeneration, partial cut or thinning); site preparation activities (prescribed fires, soil scarification); and fertilisation, interfere more or less strongly with soil organic carbon (Harmon and Marks, 2002; Liski </w:t>
      </w:r>
      <w:r>
        <w:rPr>
          <w:i/>
        </w:rPr>
        <w:t>et al.</w:t>
      </w:r>
      <w:r>
        <w:rPr/>
        <w:t>, 2001; Johnson and Curtis, 2001). Changes in disturbance regimes, notably in the occurrence of severe forest fires, pest outbreaks, and other stand-replacing disturbances are also expected to alter the forest soil carbon pool (Li and Apps, 2002; de Groot </w:t>
      </w:r>
      <w:r>
        <w:rPr>
          <w:i/>
        </w:rPr>
        <w:t>et al.</w:t>
      </w:r>
      <w:r>
        <w:rPr/>
        <w:t>,</w:t>
      </w:r>
      <w:r>
        <w:rPr>
          <w:spacing w:val="2"/>
        </w:rPr>
        <w:t> </w:t>
      </w:r>
      <w:r>
        <w:rPr/>
        <w:t>2002).</w:t>
      </w:r>
    </w:p>
    <w:p>
      <w:pPr>
        <w:pStyle w:val="BodyText"/>
        <w:spacing w:before="4"/>
        <w:rPr>
          <w:sz w:val="21"/>
        </w:rPr>
      </w:pPr>
    </w:p>
    <w:p>
      <w:pPr>
        <w:spacing w:line="227" w:lineRule="exact" w:before="0"/>
        <w:ind w:left="219" w:right="0" w:firstLine="0"/>
        <w:jc w:val="both"/>
        <w:rPr>
          <w:b/>
          <w:sz w:val="20"/>
        </w:rPr>
      </w:pPr>
      <w:r>
        <w:rPr>
          <w:b/>
          <w:sz w:val="20"/>
        </w:rPr>
        <w:t>MINERAL SOILS</w:t>
      </w:r>
    </w:p>
    <w:p>
      <w:pPr>
        <w:pStyle w:val="BodyText"/>
        <w:ind w:left="219" w:right="263"/>
        <w:jc w:val="both"/>
      </w:pPr>
      <w:r>
        <w:rPr/>
        <w:t>In spite of a growing body of literature on the effect of forest types, management practices and other  disturbances on soil organic carbon, the available evidence remains largely site- and study-specific, for the most part influenced by climatic conditions, soil properties, the time scale of interest, the soil depth considered and the sampling intensity (Johnson and Curtis, 2001; Hoover, 2003; Page-Dumroese </w:t>
      </w:r>
      <w:r>
        <w:rPr>
          <w:i/>
        </w:rPr>
        <w:t>et al.</w:t>
      </w:r>
      <w:r>
        <w:rPr/>
        <w:t>, 2003). The current knowledge remains inconclusive on both the magnitude and direction of carbon stock changes in mineral forest soils</w:t>
      </w:r>
      <w:r>
        <w:rPr>
          <w:spacing w:val="-5"/>
        </w:rPr>
        <w:t> </w:t>
      </w:r>
      <w:r>
        <w:rPr/>
        <w:t>associated</w:t>
      </w:r>
      <w:r>
        <w:rPr>
          <w:spacing w:val="-2"/>
        </w:rPr>
        <w:t> </w:t>
      </w:r>
      <w:r>
        <w:rPr/>
        <w:t>with</w:t>
      </w:r>
      <w:r>
        <w:rPr>
          <w:spacing w:val="-3"/>
        </w:rPr>
        <w:t> </w:t>
      </w:r>
      <w:r>
        <w:rPr/>
        <w:t>forest</w:t>
      </w:r>
      <w:r>
        <w:rPr>
          <w:spacing w:val="-4"/>
        </w:rPr>
        <w:t> </w:t>
      </w:r>
      <w:r>
        <w:rPr/>
        <w:t>type,</w:t>
      </w:r>
      <w:r>
        <w:rPr>
          <w:spacing w:val="-3"/>
        </w:rPr>
        <w:t> </w:t>
      </w:r>
      <w:r>
        <w:rPr/>
        <w:t>management</w:t>
      </w:r>
      <w:r>
        <w:rPr>
          <w:spacing w:val="-4"/>
        </w:rPr>
        <w:t> </w:t>
      </w:r>
      <w:r>
        <w:rPr/>
        <w:t>and</w:t>
      </w:r>
      <w:r>
        <w:rPr>
          <w:spacing w:val="-3"/>
        </w:rPr>
        <w:t> </w:t>
      </w:r>
      <w:r>
        <w:rPr/>
        <w:t>other</w:t>
      </w:r>
      <w:r>
        <w:rPr>
          <w:spacing w:val="-3"/>
        </w:rPr>
        <w:t> </w:t>
      </w:r>
      <w:r>
        <w:rPr/>
        <w:t>disturbances,</w:t>
      </w:r>
      <w:r>
        <w:rPr>
          <w:spacing w:val="-3"/>
        </w:rPr>
        <w:t> </w:t>
      </w:r>
      <w:r>
        <w:rPr/>
        <w:t>and</w:t>
      </w:r>
      <w:r>
        <w:rPr>
          <w:spacing w:val="-4"/>
        </w:rPr>
        <w:t> </w:t>
      </w:r>
      <w:r>
        <w:rPr/>
        <w:t>cannot</w:t>
      </w:r>
      <w:r>
        <w:rPr>
          <w:spacing w:val="-4"/>
        </w:rPr>
        <w:t> </w:t>
      </w:r>
      <w:r>
        <w:rPr/>
        <w:t>support</w:t>
      </w:r>
      <w:r>
        <w:rPr>
          <w:spacing w:val="-4"/>
        </w:rPr>
        <w:t> </w:t>
      </w:r>
      <w:r>
        <w:rPr/>
        <w:t>broad</w:t>
      </w:r>
      <w:r>
        <w:rPr>
          <w:spacing w:val="-3"/>
        </w:rPr>
        <w:t> </w:t>
      </w:r>
      <w:r>
        <w:rPr/>
        <w:t>generalisations.</w:t>
      </w:r>
    </w:p>
    <w:p>
      <w:pPr>
        <w:pStyle w:val="BodyText"/>
        <w:spacing w:before="117"/>
        <w:ind w:left="219" w:right="265"/>
        <w:jc w:val="both"/>
      </w:pPr>
      <w:r>
        <w:rPr/>
        <w:t>The proposed approach acknowledges the regionally important impact of forest type, management activities or disturbance regimes on the carbon budget of mineral forest soils, and allows for the incorporation of the available scientific knowledge and data. However, due to the incomplete scientific basis and resulting uncertainty, the assumption in the </w:t>
      </w:r>
      <w:r>
        <w:rPr>
          <w:i/>
        </w:rPr>
        <w:t>IPCC Guidelines </w:t>
      </w:r>
      <w:r>
        <w:rPr/>
        <w:t>that forest soil carbon stocks remain constant is retained and accordingly no default data will be provided at the Tier 1</w:t>
      </w:r>
      <w:r>
        <w:rPr>
          <w:spacing w:val="-4"/>
        </w:rPr>
        <w:t> </w:t>
      </w:r>
      <w:r>
        <w:rPr/>
        <w:t>level.</w:t>
      </w:r>
    </w:p>
    <w:p>
      <w:pPr>
        <w:pStyle w:val="BodyText"/>
        <w:spacing w:before="120"/>
        <w:ind w:left="219" w:right="267"/>
        <w:jc w:val="both"/>
      </w:pPr>
      <w:r>
        <w:rPr/>
        <w:t>Conceptually, the default approach assumes a stable, spatially-averaged carbon content of mineral soils under given forest types, management practices and disturbance regimes. This equilibrium value is altered when these states or conditions change. The following assumptions are made:</w:t>
      </w:r>
    </w:p>
    <w:p>
      <w:pPr>
        <w:pStyle w:val="ListParagraph"/>
        <w:numPr>
          <w:ilvl w:val="0"/>
          <w:numId w:val="47"/>
        </w:numPr>
        <w:tabs>
          <w:tab w:pos="1297" w:val="left" w:leader="none"/>
        </w:tabs>
        <w:spacing w:line="240" w:lineRule="auto" w:before="121" w:after="0"/>
        <w:ind w:left="1296" w:right="268" w:hanging="571"/>
        <w:jc w:val="both"/>
        <w:rPr>
          <w:sz w:val="20"/>
        </w:rPr>
      </w:pPr>
      <w:r>
        <w:rPr>
          <w:sz w:val="20"/>
        </w:rPr>
        <w:t>Forest soil organic carbon (SOC) reaches over time a spatially-averaged, stable value specific to the soil, forest type and management practices (e.g. tropical conifer plantation on a low-activity soil). This value is a temporally averaged SOC best estimated over several rotations or disturbance cycles (Figure 3.2.1).</w:t>
      </w:r>
    </w:p>
    <w:p>
      <w:pPr>
        <w:pStyle w:val="ListParagraph"/>
        <w:numPr>
          <w:ilvl w:val="0"/>
          <w:numId w:val="47"/>
        </w:numPr>
        <w:tabs>
          <w:tab w:pos="1297" w:val="left" w:leader="none"/>
        </w:tabs>
        <w:spacing w:line="240" w:lineRule="auto" w:before="119" w:after="0"/>
        <w:ind w:left="1296" w:right="265" w:hanging="597"/>
        <w:jc w:val="both"/>
        <w:rPr>
          <w:sz w:val="20"/>
        </w:rPr>
      </w:pPr>
      <w:r>
        <w:rPr>
          <w:sz w:val="20"/>
        </w:rPr>
        <w:t>Changes in forest type or management leading to a new stable SOC value occur over a transition time equal to the length of a rotation or the return interval of natural disturbances, in</w:t>
      </w:r>
      <w:r>
        <w:rPr>
          <w:spacing w:val="-17"/>
          <w:sz w:val="20"/>
        </w:rPr>
        <w:t> </w:t>
      </w:r>
      <w:r>
        <w:rPr>
          <w:sz w:val="20"/>
        </w:rPr>
        <w:t>years.</w:t>
      </w:r>
    </w:p>
    <w:p>
      <w:pPr>
        <w:pStyle w:val="ListParagraph"/>
        <w:numPr>
          <w:ilvl w:val="0"/>
          <w:numId w:val="47"/>
        </w:numPr>
        <w:tabs>
          <w:tab w:pos="1297" w:val="left" w:leader="none"/>
        </w:tabs>
        <w:spacing w:line="240" w:lineRule="auto" w:before="121" w:after="0"/>
        <w:ind w:left="1296" w:right="266" w:hanging="626"/>
        <w:jc w:val="both"/>
        <w:rPr>
          <w:sz w:val="20"/>
        </w:rPr>
      </w:pPr>
      <w:r>
        <w:rPr>
          <w:sz w:val="20"/>
        </w:rPr>
        <w:t>SOC sequestration/release during the transition to a new equilibrium SOC occurs in a linear fashion.</w:t>
      </w:r>
    </w:p>
    <w:p>
      <w:pPr>
        <w:pStyle w:val="BodyText"/>
        <w:rPr>
          <w:sz w:val="22"/>
        </w:rPr>
      </w:pPr>
    </w:p>
    <w:p>
      <w:pPr>
        <w:spacing w:before="149"/>
        <w:ind w:left="1486" w:right="354" w:hanging="1268"/>
        <w:jc w:val="left"/>
        <w:rPr>
          <w:b/>
          <w:sz w:val="20"/>
        </w:rPr>
      </w:pPr>
      <w:r>
        <w:rPr/>
        <w:pict>
          <v:shape style="position:absolute;margin-left:161.415451pt;margin-top:85.732727pt;width:28.25pt;height:104.65pt;mso-position-horizontal-relative:page;mso-position-vertical-relative:paragraph;z-index:6808" type="#_x0000_t202" filled="false" stroked="false">
            <v:textbox inset="0,0,0,0" style="layout-flow:vertical;mso-layout-flow-alt:bottom-to-top">
              <w:txbxContent>
                <w:p>
                  <w:pPr>
                    <w:spacing w:before="14"/>
                    <w:ind w:left="93" w:right="93" w:firstLine="0"/>
                    <w:jc w:val="center"/>
                    <w:rPr>
                      <w:rFonts w:ascii="Arial"/>
                      <w:b/>
                      <w:sz w:val="20"/>
                    </w:rPr>
                  </w:pPr>
                  <w:r>
                    <w:rPr>
                      <w:rFonts w:ascii="Arial"/>
                      <w:b/>
                      <w:sz w:val="20"/>
                    </w:rPr>
                    <w:t>Soil organic carbon</w:t>
                  </w:r>
                </w:p>
                <w:p>
                  <w:pPr>
                    <w:spacing w:before="70"/>
                    <w:ind w:left="90" w:right="93" w:firstLine="0"/>
                    <w:jc w:val="center"/>
                    <w:rPr>
                      <w:rFonts w:ascii="Arial"/>
                      <w:b/>
                      <w:sz w:val="20"/>
                    </w:rPr>
                  </w:pPr>
                  <w:r>
                    <w:rPr>
                      <w:rFonts w:ascii="Arial"/>
                      <w:b/>
                      <w:sz w:val="20"/>
                    </w:rPr>
                    <w:t>(g C per ha)</w:t>
                  </w:r>
                </w:p>
              </w:txbxContent>
            </v:textbox>
            <w10:wrap type="none"/>
          </v:shape>
        </w:pict>
      </w:r>
      <w:r>
        <w:rPr>
          <w:b/>
          <w:sz w:val="20"/>
        </w:rPr>
        <w:t>Figure 3.2.1 Two temporally averaged values of soil organic carbon corresponding to different combinations of forest soils, management practices and disturbance regimes.</w:t>
      </w:r>
    </w:p>
    <w:p>
      <w:pPr>
        <w:pStyle w:val="BodyText"/>
        <w:rPr>
          <w:b/>
        </w:rPr>
      </w:pPr>
    </w:p>
    <w:p>
      <w:pPr>
        <w:pStyle w:val="BodyText"/>
        <w:rPr>
          <w:b/>
        </w:rPr>
      </w:pPr>
    </w:p>
    <w:p>
      <w:pPr>
        <w:pStyle w:val="BodyText"/>
        <w:rPr>
          <w:b/>
        </w:rPr>
      </w:pPr>
    </w:p>
    <w:p>
      <w:pPr>
        <w:pStyle w:val="BodyText"/>
        <w:spacing w:before="8"/>
        <w:rPr>
          <w:b/>
          <w:sz w:val="23"/>
        </w:rPr>
      </w:pPr>
      <w:r>
        <w:rPr/>
        <w:pict>
          <v:group style="position:absolute;margin-left:194.261002pt;margin-top:15.691279pt;width:235.8pt;height:113.95pt;mso-position-horizontal-relative:page;mso-position-vertical-relative:paragraph;z-index:4736;mso-wrap-distance-left:0;mso-wrap-distance-right:0" coordorigin="3885,314" coordsize="4716,2279">
            <v:line style="position:absolute" from="3886,314" to="3886,2591" stroked="true" strokeweight=".12pt" strokecolor="#000000">
              <v:stroke dashstyle="solid"/>
            </v:line>
            <v:line style="position:absolute" from="3886,2591" to="7935,2591" stroked="true" strokeweight=".12pt" strokecolor="#000000">
              <v:stroke dashstyle="solid"/>
            </v:line>
            <v:line style="position:absolute" from="3901,2008" to="3947,1994" stroked="true" strokeweight="1.497837pt" strokecolor="#000000">
              <v:stroke dashstyle="solid"/>
            </v:line>
            <v:shape style="position:absolute;left:3946;top:1242;width:3975;height:766" coordorigin="3947,1243" coordsize="3975,766" path="m3947,1994l3990,1994,4021,1977,4064,1963,4095,1948,4141,1934,4184,1903,4215,1888,4259,1843,4290,1797,4335,1737,4379,1617,4410,1514,4453,1454,4484,1408,4527,1363,4573,1334,4604,1319,4647,1288,4679,1288,4722,1274,4767,1260,4799,1243,4842,1243,4873,2008,4916,1994,4962,1994,4991,1977,5036,1963,5067,1948,5111,1934,5156,1903,5276,1797,5305,1737,5351,1617,5379,1514,5425,1454,5471,1408,5499,1363,5545,1334,5574,1319,5619,1288,5665,1288,5694,1274,5739,1260,5768,1243,5814,1243,5859,2008,5888,1994,5934,1994,5963,1977,6008,1963,6051,1948,6083,1934,6128,1903,6157,1888,6203,1843,6246,1797,6277,1737,6323,1617,6351,1514,6397,1454,6440,1408,6471,1363,6515,1334,6546,1319,6591,1288,6635,1288,6666,1274,6709,1260,6755,1243,6786,1243,6829,2008,6860,1994,6903,1994,6949,1977,6978,1963,7023,1948,7055,1934,7098,1903,7143,1888,7172,1843,7218,1797,7249,1737,7292,1617,7338,1514,7367,1454,7412,1408,7441,1363,7487,1334,7532,1319,7561,1288,7607,1288,7635,1274,7681,1260,7727,1243,7755,1243,7801,2008,7830,1994,7875,1994,7921,1977e" filled="false" stroked="true" strokeweight="1.498083pt" strokecolor="#000000">
              <v:path arrowok="t"/>
              <v:stroke dashstyle="solid"/>
            </v:shape>
            <v:line style="position:absolute" from="3901,1677" to="3947,1677" stroked="true" strokeweight="1.498244pt" strokecolor="#000000">
              <v:stroke dashstyle="solid"/>
            </v:line>
            <v:line style="position:absolute" from="3947,1677" to="7921,1677" stroked="true" strokeweight="1.498244pt" strokecolor="#000000">
              <v:stroke dashstyle="solid"/>
            </v:line>
            <v:shape style="position:absolute;left:3886;top:1542;width:44;height:32" coordorigin="3886,1543" coordsize="44,32" path="m3915,1543l3886,1559,3901,1574,3930,1559,3915,1543xe" filled="true" fillcolor="#000000" stroked="false">
              <v:path arrowok="t"/>
              <v:fill type="solid"/>
            </v:shape>
            <v:shape style="position:absolute;left:3929;top:1528;width:46;height:32" coordorigin="3930,1528" coordsize="46,32" path="m3961,1528l3930,1543,3946,1559,3975,1543,3961,1528xe" filled="true" fillcolor="#000000" stroked="false">
              <v:path arrowok="t"/>
              <v:fill type="solid"/>
            </v:shape>
            <v:rect style="position:absolute;left:3989;top:1528;width:32;height:15" filled="true" fillcolor="#000000" stroked="false">
              <v:fill type="solid"/>
            </v:rect>
            <v:shape style="position:absolute;left:4006;top:1513;width:44;height:29" coordorigin="4006,1514" coordsize="44,29" path="m4035,1514l4006,1528,4021,1543,4050,1528,4035,1514xe" filled="true" fillcolor="#000000" stroked="false">
              <v:path arrowok="t"/>
              <v:fill type="solid"/>
            </v:shape>
            <v:shape style="position:absolute;left:4049;top:1499;width:46;height:29" coordorigin="4050,1499" coordsize="46,29" path="m4081,1499l4050,1514,4064,1528,4095,1514,4081,1499xe" filled="true" fillcolor="#000000" stroked="false">
              <v:path arrowok="t"/>
              <v:fill type="solid"/>
            </v:shape>
            <v:shape style="position:absolute;left:4080;top:1482;width:44;height:32" coordorigin="4081,1483" coordsize="44,32" path="m4110,1483l4081,1499,4095,1514,4124,1499,4110,1483xe" filled="true" fillcolor="#000000" stroked="false">
              <v:path arrowok="t"/>
              <v:fill type="solid"/>
            </v:shape>
            <v:rect style="position:absolute;left:4140;top:1482;width:29;height:17" filled="true" fillcolor="#000000" stroked="false">
              <v:fill type="solid"/>
            </v:rect>
            <v:shape style="position:absolute;left:4184;top:1453;width:32;height:46" coordorigin="4184,1454" coordsize="32,46" path="m4201,1454l4184,1483,4201,1499,4215,1468,4201,1454xe" filled="true" fillcolor="#000000" stroked="false">
              <v:path arrowok="t"/>
              <v:fill type="solid"/>
            </v:shape>
            <v:shape style="position:absolute;left:4184;top:1439;width:46;height:29" coordorigin="4184,1439" coordsize="46,29" path="m4215,1439l4184,1454,4201,1468,4230,1454,4215,1439xe" filled="true" fillcolor="#000000" stroked="false">
              <v:path arrowok="t"/>
              <v:fill type="solid"/>
            </v:shape>
            <v:shape style="position:absolute;left:4258;top:1393;width:32;height:46" coordorigin="4258,1394" coordsize="32,46" path="m4275,1394l4258,1423,4275,1439,4290,1408,4275,1394xe" filled="true" fillcolor="#000000" stroked="false">
              <v:path arrowok="t"/>
              <v:fill type="solid"/>
            </v:shape>
            <v:shape style="position:absolute;left:4289;top:1348;width:29;height:46" coordorigin="4290,1348" coordsize="29,46" path="m4304,1348l4290,1379,4304,1394,4318,1363,4304,1348xe" filled="true" fillcolor="#000000" stroked="false">
              <v:path arrowok="t"/>
              <v:fill type="solid"/>
            </v:shape>
            <v:shape style="position:absolute;left:4335;top:1302;width:29;height:46" coordorigin="4335,1303" coordsize="29,46" path="m4350,1303l4335,1334,4350,1348,4364,1319,4350,1303xe" filled="true" fillcolor="#000000" stroked="false">
              <v:path arrowok="t"/>
              <v:fill type="solid"/>
            </v:shape>
            <v:rect style="position:absolute;left:4378;top:1273;width:15;height:29" filled="true" fillcolor="#000000" stroked="false">
              <v:fill type="solid"/>
            </v:rect>
            <v:shape style="position:absolute;left:4392;top:1168;width:32;height:46" coordorigin="4393,1168" coordsize="32,46" path="m4410,1168l4393,1199,4410,1214,4424,1183,4410,1168xe" filled="true" fillcolor="#000000" stroked="false">
              <v:path arrowok="t"/>
              <v:fill type="solid"/>
            </v:shape>
            <v:shape style="position:absolute;left:4409;top:1139;width:29;height:44" coordorigin="4410,1139" coordsize="29,44" path="m4424,1139l4410,1168,4424,1183,4438,1154,4424,1139xe" filled="true" fillcolor="#000000" stroked="false">
              <v:path arrowok="t"/>
              <v:fill type="solid"/>
            </v:shape>
            <v:shape style="position:absolute;left:4438;top:765;width:509;height:389" type="#_x0000_t75" stroked="false">
              <v:imagedata r:id="rId124" o:title=""/>
            </v:shape>
            <v:rect style="position:absolute;left:4947;top:1213;width:15;height:29" filled="true" fillcolor="#000000" stroked="false">
              <v:fill type="solid"/>
            </v:rect>
            <v:rect style="position:absolute;left:4947;top:1302;width:15;height:32" filled="true" fillcolor="#000000" stroked="false">
              <v:fill type="solid"/>
            </v:rect>
            <v:rect style="position:absolute;left:4947;top:1393;width:15;height:29" filled="true" fillcolor="#000000" stroked="false">
              <v:fill type="solid"/>
            </v:rect>
            <v:shape style="position:absolute;left:4947;top:1468;width:298;height:106" type="#_x0000_t75" stroked="false">
              <v:imagedata r:id="rId125" o:title=""/>
            </v:shape>
            <v:shape style="position:absolute;left:5276;top:1422;width:29;height:46" coordorigin="5276,1423" coordsize="29,46" path="m5290,1423l5276,1454,5290,1468,5305,1439,5290,1423xe" filled="true" fillcolor="#000000" stroked="false">
              <v:path arrowok="t"/>
              <v:fill type="solid"/>
            </v:shape>
            <v:shape style="position:absolute;left:5304;top:1393;width:32;height:46" coordorigin="5305,1394" coordsize="32,46" path="m5319,1394l5305,1423,5319,1439,5336,1408,5319,1394xe" filled="true" fillcolor="#000000" stroked="false">
              <v:path arrowok="t"/>
              <v:fill type="solid"/>
            </v:shape>
            <v:shape style="position:absolute;left:5350;top:1348;width:29;height:46" coordorigin="5350,1348" coordsize="29,46" path="m5365,1348l5350,1379,5365,1394,5379,1363,5365,1348xe" filled="true" fillcolor="#000000" stroked="false">
              <v:path arrowok="t"/>
              <v:fill type="solid"/>
            </v:shape>
            <v:shape style="position:absolute;left:5379;top:1302;width:32;height:46" coordorigin="5379,1303" coordsize="32,46" path="m5396,1303l5379,1334,5396,1348,5410,1319,5396,1303xe" filled="true" fillcolor="#000000" stroked="false">
              <v:path arrowok="t"/>
              <v:fill type="solid"/>
            </v:shape>
            <v:shape style="position:absolute;left:5424;top:1259;width:29;height:44" coordorigin="5425,1259" coordsize="29,44" path="m5439,1259l5425,1288,5439,1303,5454,1274,5439,1259xe" filled="true" fillcolor="#000000" stroked="false">
              <v:path arrowok="t"/>
              <v:fill type="solid"/>
            </v:shape>
            <v:rect style="position:absolute;left:5453;top:1182;width:17;height:32" filled="true" fillcolor="#000000" stroked="false">
              <v:fill type="solid"/>
            </v:rect>
            <v:rect style="position:absolute;left:5470;top:1153;width:15;height:29" filled="true" fillcolor="#000000" stroked="false">
              <v:fill type="solid"/>
            </v:rect>
            <v:shape style="position:absolute;left:5484;top:899;width:149;height:195" type="#_x0000_t75" stroked="false">
              <v:imagedata r:id="rId126" o:title=""/>
            </v:shape>
            <v:shape style="position:absolute;left:5664;top:765;width:312;height:135" type="#_x0000_t75" stroked="false">
              <v:imagedata r:id="rId127" o:title=""/>
            </v:shape>
            <v:rect style="position:absolute;left:5976;top:945;width:17;height:29" filled="true" fillcolor="#000000" stroked="false">
              <v:fill type="solid"/>
            </v:rect>
            <v:rect style="position:absolute;left:5976;top:1033;width:17;height:32" filled="true" fillcolor="#000000" stroked="false">
              <v:fill type="solid"/>
            </v:rect>
            <v:rect style="position:absolute;left:5976;top:1122;width:17;height:32" filled="true" fillcolor="#000000" stroked="false">
              <v:fill type="solid"/>
            </v:rect>
            <v:rect style="position:absolute;left:5993;top:1213;width:15;height:29" filled="true" fillcolor="#000000" stroked="false">
              <v:fill type="solid"/>
            </v:rect>
            <v:rect style="position:absolute;left:5993;top:1302;width:15;height:32" filled="true" fillcolor="#000000" stroked="false">
              <v:fill type="solid"/>
            </v:rect>
            <v:rect style="position:absolute;left:5993;top:1393;width:15;height:29" filled="true" fillcolor="#000000" stroked="false">
              <v:fill type="solid"/>
            </v:rect>
            <v:shape style="position:absolute;left:5993;top:1468;width:298;height:106" type="#_x0000_t75" stroked="false">
              <v:imagedata r:id="rId128" o:title=""/>
            </v:shape>
            <v:shape style="position:absolute;left:6322;top:1422;width:29;height:46" coordorigin="6322,1423" coordsize="29,46" path="m6337,1423l6322,1454,6337,1468,6351,1439,6337,1423xe" filled="true" fillcolor="#000000" stroked="false">
              <v:path arrowok="t"/>
              <v:fill type="solid"/>
            </v:shape>
            <v:shape style="position:absolute;left:6351;top:1393;width:29;height:46" coordorigin="6351,1394" coordsize="29,46" path="m6366,1394l6351,1423,6366,1439,6380,1408,6366,1394xe" filled="true" fillcolor="#000000" stroked="false">
              <v:path arrowok="t"/>
              <v:fill type="solid"/>
            </v:shape>
            <v:shape style="position:absolute;left:6396;top:1348;width:29;height:46" coordorigin="6397,1348" coordsize="29,46" path="m6411,1348l6397,1379,6411,1394,6426,1363,6411,1348xe" filled="true" fillcolor="#000000" stroked="false">
              <v:path arrowok="t"/>
              <v:fill type="solid"/>
            </v:shape>
            <v:shape style="position:absolute;left:6440;top:1302;width:32;height:46" coordorigin="6440,1303" coordsize="32,46" path="m6457,1303l6440,1334,6457,1348,6471,1319,6457,1303xe" filled="true" fillcolor="#000000" stroked="false">
              <v:path arrowok="t"/>
              <v:fill type="solid"/>
            </v:shape>
            <v:shape style="position:absolute;left:6471;top:1259;width:29;height:44" coordorigin="6471,1259" coordsize="29,44" path="m6486,1259l6471,1288,6486,1303,6500,1274,6486,1259xe" filled="true" fillcolor="#000000" stroked="false">
              <v:path arrowok="t"/>
              <v:fill type="solid"/>
            </v:shape>
            <v:rect style="position:absolute;left:6500;top:1182;width:15;height:32" filled="true" fillcolor="#000000" stroked="false">
              <v:fill type="solid"/>
            </v:rect>
            <v:rect style="position:absolute;left:6514;top:1153;width:17;height:29" filled="true" fillcolor="#000000" stroked="false">
              <v:fill type="solid"/>
            </v:rect>
            <v:shape style="position:absolute;left:6531;top:765;width:524;height:389" type="#_x0000_t75" stroked="false">
              <v:imagedata r:id="rId129" o:title=""/>
            </v:shape>
            <v:rect style="position:absolute;left:7037;top:1213;width:17;height:29" filled="true" fillcolor="#000000" stroked="false">
              <v:fill type="solid"/>
            </v:rect>
            <v:rect style="position:absolute;left:7037;top:1302;width:17;height:32" filled="true" fillcolor="#000000" stroked="false">
              <v:fill type="solid"/>
            </v:rect>
            <v:rect style="position:absolute;left:7054;top:1393;width:15;height:29" filled="true" fillcolor="#000000" stroked="false">
              <v:fill type="solid"/>
            </v:rect>
            <v:rect style="position:absolute;left:7054;top:1482;width:15;height:32" filled="true" fillcolor="#000000" stroked="false">
              <v:fill type="solid"/>
            </v:rect>
            <v:shape style="position:absolute;left:7037;top:1542;width:46;height:32" coordorigin="7038,1543" coordsize="46,32" path="m7069,1543l7038,1559,7054,1574,7083,1559,7069,1543xe" filled="true" fillcolor="#000000" stroked="false">
              <v:path arrowok="t"/>
              <v:fill type="solid"/>
            </v:shape>
            <v:shape style="position:absolute;left:7083;top:1528;width:46;height:32" coordorigin="7083,1528" coordsize="46,32" path="m7114,1528l7083,1543,7098,1559,7129,1543,7114,1528xe" filled="true" fillcolor="#000000" stroked="false">
              <v:path arrowok="t"/>
              <v:fill type="solid"/>
            </v:shape>
            <v:rect style="position:absolute;left:7143;top:1528;width:29;height:15" filled="true" fillcolor="#000000" stroked="false">
              <v:fill type="solid"/>
            </v:rect>
            <v:shape style="position:absolute;left:7157;top:1513;width:46;height:29" coordorigin="7158,1514" coordsize="46,29" path="m7189,1514l7158,1528,7172,1543,7203,1528,7189,1514xe" filled="true" fillcolor="#000000" stroked="false">
              <v:path arrowok="t"/>
              <v:fill type="solid"/>
            </v:shape>
            <v:shape style="position:absolute;left:7203;top:1499;width:46;height:29" coordorigin="7203,1499" coordsize="46,29" path="m7232,1499l7203,1514,7218,1528,7249,1514,7232,1499xe" filled="true" fillcolor="#000000" stroked="false">
              <v:path arrowok="t"/>
              <v:fill type="solid"/>
            </v:shape>
            <v:shape style="position:absolute;left:7232;top:1482;width:46;height:32" coordorigin="7232,1483" coordsize="46,32" path="m7263,1483l7232,1499,7249,1514,7278,1499,7263,1483xe" filled="true" fillcolor="#000000" stroked="false">
              <v:path arrowok="t"/>
              <v:fill type="solid"/>
            </v:shape>
            <v:rect style="position:absolute;left:7292;top:1482;width:32;height:17" filled="true" fillcolor="#000000" stroked="false">
              <v:fill type="solid"/>
            </v:rect>
            <v:shape style="position:absolute;left:7337;top:1453;width:29;height:46" coordorigin="7338,1454" coordsize="29,46" path="m7352,1454l7338,1483,7352,1499,7366,1468,7352,1454xe" filled="true" fillcolor="#000000" stroked="false">
              <v:path arrowok="t"/>
              <v:fill type="solid"/>
            </v:shape>
            <v:shape style="position:absolute;left:7337;top:1439;width:46;height:29" coordorigin="7338,1439" coordsize="46,29" path="m7366,1439l7338,1454,7352,1468,7383,1454,7366,1439xe" filled="true" fillcolor="#000000" stroked="false">
              <v:path arrowok="t"/>
              <v:fill type="solid"/>
            </v:shape>
            <v:shape style="position:absolute;left:7412;top:1393;width:29;height:46" coordorigin="7412,1394" coordsize="29,46" path="m7426,1394l7412,1423,7426,1439,7441,1408,7426,1394xe" filled="true" fillcolor="#000000" stroked="false">
              <v:path arrowok="t"/>
              <v:fill type="solid"/>
            </v:shape>
            <v:shape style="position:absolute;left:7440;top:1348;width:32;height:46" coordorigin="7441,1348" coordsize="32,46" path="m7458,1348l7441,1379,7458,1394,7472,1363,7458,1348xe" filled="true" fillcolor="#000000" stroked="false">
              <v:path arrowok="t"/>
              <v:fill type="solid"/>
            </v:shape>
            <v:shape style="position:absolute;left:7486;top:1302;width:32;height:46" coordorigin="7486,1303" coordsize="32,46" path="m7501,1303l7486,1334,7501,1348,7518,1319,7501,1303xe" filled="true" fillcolor="#000000" stroked="false">
              <v:path arrowok="t"/>
              <v:fill type="solid"/>
            </v:shape>
            <v:rect style="position:absolute;left:7532;top:1273;width:15;height:29" filled="true" fillcolor="#000000" stroked="false">
              <v:fill type="solid"/>
            </v:rect>
            <v:shape style="position:absolute;left:7546;top:1168;width:32;height:46" coordorigin="7546,1168" coordsize="32,46" path="m7561,1168l7546,1199,7561,1214,7578,1183,7561,1168xe" filled="true" fillcolor="#000000" stroked="false">
              <v:path arrowok="t"/>
              <v:fill type="solid"/>
            </v:shape>
            <v:shape style="position:absolute;left:7560;top:1139;width:32;height:44" coordorigin="7561,1139" coordsize="32,44" path="m7578,1139l7561,1168,7578,1183,7592,1154,7578,1139xe" filled="true" fillcolor="#000000" stroked="false">
              <v:path arrowok="t"/>
              <v:fill type="solid"/>
            </v:shape>
            <v:shape style="position:absolute;left:7592;top:868;width:178;height:226" type="#_x0000_t75" stroked="false">
              <v:imagedata r:id="rId130" o:title=""/>
            </v:shape>
            <v:rect style="position:absolute;left:7800;top:853;width:29;height:15" filled="true" fillcolor="#000000" stroked="false">
              <v:fill type="solid"/>
            </v:rect>
            <v:shape style="position:absolute;left:7815;top:839;width:46;height:29" coordorigin="7815,839" coordsize="46,29" path="m7846,839l7815,854,7830,868,7861,854,7846,839xe" filled="true" fillcolor="#000000" stroked="false">
              <v:path arrowok="t"/>
              <v:fill type="solid"/>
            </v:shape>
            <v:shape style="position:absolute;left:7860;top:825;width:44;height:29" coordorigin="7861,825" coordsize="44,29" path="m7890,825l7861,839,7875,854,7904,839,7890,825xe" filled="true" fillcolor="#000000" stroked="false">
              <v:path arrowok="t"/>
              <v:fill type="solid"/>
            </v:shape>
            <v:rect style="position:absolute;left:3900;top:1333;width:29;height:15" filled="true" fillcolor="#000000" stroked="false">
              <v:fill type="solid"/>
            </v:rect>
            <v:rect style="position:absolute;left:3946;top:1333;width:29;height:15" filled="true" fillcolor="#000000" stroked="false">
              <v:fill type="solid"/>
            </v:rect>
            <v:rect style="position:absolute;left:3989;top:1333;width:32;height:15" filled="true" fillcolor="#000000" stroked="false">
              <v:fill type="solid"/>
            </v:rect>
            <v:rect style="position:absolute;left:4020;top:1333;width:29;height:15" filled="true" fillcolor="#000000" stroked="false">
              <v:fill type="solid"/>
            </v:rect>
            <v:rect style="position:absolute;left:4064;top:1333;width:32;height:15" filled="true" fillcolor="#000000" stroked="false">
              <v:fill type="solid"/>
            </v:rect>
            <v:rect style="position:absolute;left:4095;top:1333;width:29;height:15" filled="true" fillcolor="#000000" stroked="false">
              <v:fill type="solid"/>
            </v:rect>
            <v:rect style="position:absolute;left:4140;top:1333;width:29;height:15" filled="true" fillcolor="#000000" stroked="false">
              <v:fill type="solid"/>
            </v:rect>
            <v:rect style="position:absolute;left:4184;top:1333;width:32;height:15" filled="true" fillcolor="#000000" stroked="false">
              <v:fill type="solid"/>
            </v:rect>
            <v:rect style="position:absolute;left:4215;top:1333;width:29;height:15" filled="true" fillcolor="#000000" stroked="false">
              <v:fill type="solid"/>
            </v:rect>
            <v:rect style="position:absolute;left:4258;top:1333;width:32;height:15" filled="true" fillcolor="#000000" stroked="false">
              <v:fill type="solid"/>
            </v:rect>
            <v:rect style="position:absolute;left:4289;top:1333;width:29;height:15" filled="true" fillcolor="#000000" stroked="false">
              <v:fill type="solid"/>
            </v:rect>
            <v:rect style="position:absolute;left:4335;top:1333;width:29;height:15" filled="true" fillcolor="#000000" stroked="false">
              <v:fill type="solid"/>
            </v:rect>
            <v:rect style="position:absolute;left:4378;top:1333;width:32;height:15" filled="true" fillcolor="#000000" stroked="false">
              <v:fill type="solid"/>
            </v:rect>
            <v:rect style="position:absolute;left:4409;top:1333;width:29;height:15" filled="true" fillcolor="#000000" stroked="false">
              <v:fill type="solid"/>
            </v:rect>
            <v:rect style="position:absolute;left:4452;top:1333;width:32;height:15" filled="true" fillcolor="#000000" stroked="false">
              <v:fill type="solid"/>
            </v:rect>
            <v:rect style="position:absolute;left:4484;top:1333;width:29;height:15" filled="true" fillcolor="#000000" stroked="false">
              <v:fill type="solid"/>
            </v:rect>
            <v:rect style="position:absolute;left:4527;top:1333;width:32;height:15" filled="true" fillcolor="#000000" stroked="false">
              <v:fill type="solid"/>
            </v:rect>
            <v:rect style="position:absolute;left:4572;top:1333;width:32;height:15" filled="true" fillcolor="#000000" stroked="false">
              <v:fill type="solid"/>
            </v:rect>
            <v:rect style="position:absolute;left:4604;top:1333;width:29;height:15" filled="true" fillcolor="#000000" stroked="false">
              <v:fill type="solid"/>
            </v:rect>
            <v:rect style="position:absolute;left:4647;top:1333;width:32;height:15" filled="true" fillcolor="#000000" stroked="false">
              <v:fill type="solid"/>
            </v:rect>
            <v:rect style="position:absolute;left:4678;top:1333;width:29;height:15" filled="true" fillcolor="#000000" stroked="false">
              <v:fill type="solid"/>
            </v:rect>
            <v:rect style="position:absolute;left:4721;top:1333;width:32;height:15" filled="true" fillcolor="#000000" stroked="false">
              <v:fill type="solid"/>
            </v:rect>
            <v:rect style="position:absolute;left:4767;top:1333;width:32;height:15" filled="true" fillcolor="#000000" stroked="false">
              <v:fill type="solid"/>
            </v:rect>
            <v:rect style="position:absolute;left:4798;top:1333;width:29;height:15" filled="true" fillcolor="#000000" stroked="false">
              <v:fill type="solid"/>
            </v:rect>
            <v:rect style="position:absolute;left:4841;top:1333;width:32;height:15" filled="true" fillcolor="#000000" stroked="false">
              <v:fill type="solid"/>
            </v:rect>
            <v:rect style="position:absolute;left:4872;top:1333;width:29;height:15" filled="true" fillcolor="#000000" stroked="false">
              <v:fill type="solid"/>
            </v:rect>
            <v:rect style="position:absolute;left:4916;top:1333;width:32;height:15" filled="true" fillcolor="#000000" stroked="false">
              <v:fill type="solid"/>
            </v:rect>
            <v:rect style="position:absolute;left:4961;top:1333;width:29;height:15" filled="true" fillcolor="#000000" stroked="false">
              <v:fill type="solid"/>
            </v:rect>
            <v:rect style="position:absolute;left:4990;top:1333;width:32;height:15" filled="true" fillcolor="#000000" stroked="false">
              <v:fill type="solid"/>
            </v:rect>
            <v:rect style="position:absolute;left:5036;top:1333;width:32;height:15" filled="true" fillcolor="#000000" stroked="false">
              <v:fill type="solid"/>
            </v:rect>
            <v:rect style="position:absolute;left:5067;top:1333;width:29;height:15" filled="true" fillcolor="#000000" stroked="false">
              <v:fill type="solid"/>
            </v:rect>
            <v:rect style="position:absolute;left:5110;top:1333;width:32;height:15" filled="true" fillcolor="#000000" stroked="false">
              <v:fill type="solid"/>
            </v:rect>
            <v:rect style="position:absolute;left:5156;top:1333;width:29;height:15" filled="true" fillcolor="#000000" stroked="false">
              <v:fill type="solid"/>
            </v:rect>
            <v:rect style="position:absolute;left:5184;top:1333;width:32;height:15" filled="true" fillcolor="#000000" stroked="false">
              <v:fill type="solid"/>
            </v:rect>
            <v:rect style="position:absolute;left:5230;top:1333;width:32;height:15" filled="true" fillcolor="#000000" stroked="false">
              <v:fill type="solid"/>
            </v:rect>
            <v:rect style="position:absolute;left:5276;top:1333;width:29;height:15" filled="true" fillcolor="#000000" stroked="false">
              <v:fill type="solid"/>
            </v:rect>
            <v:rect style="position:absolute;left:5304;top:1333;width:32;height:15" filled="true" fillcolor="#000000" stroked="false">
              <v:fill type="solid"/>
            </v:rect>
            <v:rect style="position:absolute;left:5350;top:1333;width:29;height:15" filled="true" fillcolor="#000000" stroked="false">
              <v:fill type="solid"/>
            </v:rect>
            <v:rect style="position:absolute;left:5379;top:1333;width:32;height:15" filled="true" fillcolor="#000000" stroked="false">
              <v:fill type="solid"/>
            </v:rect>
            <v:rect style="position:absolute;left:5424;top:1333;width:29;height:15" filled="true" fillcolor="#000000" stroked="false">
              <v:fill type="solid"/>
            </v:rect>
            <v:rect style="position:absolute;left:5470;top:1333;width:29;height:15" filled="true" fillcolor="#000000" stroked="false">
              <v:fill type="solid"/>
            </v:rect>
            <v:rect style="position:absolute;left:5499;top:1333;width:32;height:15" filled="true" fillcolor="#000000" stroked="false">
              <v:fill type="solid"/>
            </v:rect>
            <v:rect style="position:absolute;left:5544;top:1333;width:29;height:15" filled="true" fillcolor="#000000" stroked="false">
              <v:fill type="solid"/>
            </v:rect>
            <v:rect style="position:absolute;left:5573;top:1333;width:32;height:15" filled="true" fillcolor="#000000" stroked="false">
              <v:fill type="solid"/>
            </v:rect>
            <v:rect style="position:absolute;left:5619;top:1333;width:29;height:15" filled="true" fillcolor="#000000" stroked="false">
              <v:fill type="solid"/>
            </v:rect>
            <v:rect style="position:absolute;left:5664;top:1333;width:29;height:15" filled="true" fillcolor="#000000" stroked="false">
              <v:fill type="solid"/>
            </v:rect>
            <v:rect style="position:absolute;left:5693;top:1333;width:32;height:15" filled="true" fillcolor="#000000" stroked="false">
              <v:fill type="solid"/>
            </v:rect>
            <v:rect style="position:absolute;left:5739;top:1333;width:29;height:15" filled="true" fillcolor="#000000" stroked="false">
              <v:fill type="solid"/>
            </v:rect>
            <v:rect style="position:absolute;left:5768;top:1333;width:32;height:15" filled="true" fillcolor="#000000" stroked="false">
              <v:fill type="solid"/>
            </v:rect>
            <v:rect style="position:absolute;left:5813;top:1333;width:29;height:15" filled="true" fillcolor="#000000" stroked="false">
              <v:fill type="solid"/>
            </v:rect>
            <v:rect style="position:absolute;left:5859;top:1333;width:29;height:15" filled="true" fillcolor="#000000" stroked="false">
              <v:fill type="solid"/>
            </v:rect>
            <v:rect style="position:absolute;left:5888;top:1333;width:29;height:15" filled="true" fillcolor="#000000" stroked="false">
              <v:fill type="solid"/>
            </v:rect>
            <v:rect style="position:absolute;left:5933;top:1333;width:29;height:15" filled="true" fillcolor="#000000" stroked="false">
              <v:fill type="solid"/>
            </v:rect>
            <v:rect style="position:absolute;left:5962;top:1333;width:32;height:15" filled="true" fillcolor="#000000" stroked="false">
              <v:fill type="solid"/>
            </v:rect>
            <v:rect style="position:absolute;left:6008;top:1333;width:29;height:15" filled="true" fillcolor="#000000" stroked="false">
              <v:fill type="solid"/>
            </v:rect>
            <v:rect style="position:absolute;left:6051;top:1333;width:32;height:15" filled="true" fillcolor="#000000" stroked="false">
              <v:fill type="solid"/>
            </v:rect>
            <v:rect style="position:absolute;left:6082;top:1333;width:29;height:15" filled="true" fillcolor="#000000" stroked="false">
              <v:fill type="solid"/>
            </v:rect>
            <v:rect style="position:absolute;left:6128;top:1333;width:29;height:15" filled="true" fillcolor="#000000" stroked="false">
              <v:fill type="solid"/>
            </v:rect>
            <v:rect style="position:absolute;left:6156;top:1333;width:32;height:15" filled="true" fillcolor="#000000" stroked="false">
              <v:fill type="solid"/>
            </v:rect>
            <v:rect style="position:absolute;left:6202;top:1333;width:29;height:15" filled="true" fillcolor="#000000" stroked="false">
              <v:fill type="solid"/>
            </v:rect>
            <v:rect style="position:absolute;left:6245;top:1333;width:32;height:15" filled="true" fillcolor="#000000" stroked="false">
              <v:fill type="solid"/>
            </v:rect>
            <v:rect style="position:absolute;left:6276;top:1333;width:29;height:15" filled="true" fillcolor="#000000" stroked="false">
              <v:fill type="solid"/>
            </v:rect>
            <v:rect style="position:absolute;left:6322;top:1333;width:29;height:15" filled="true" fillcolor="#000000" stroked="false">
              <v:fill type="solid"/>
            </v:rect>
            <v:rect style="position:absolute;left:6351;top:1333;width:29;height:15" filled="true" fillcolor="#000000" stroked="false">
              <v:fill type="solid"/>
            </v:rect>
            <v:rect style="position:absolute;left:6396;top:1333;width:29;height:15" filled="true" fillcolor="#000000" stroked="false">
              <v:fill type="solid"/>
            </v:rect>
            <v:rect style="position:absolute;left:6440;top:1333;width:32;height:15" filled="true" fillcolor="#000000" stroked="false">
              <v:fill type="solid"/>
            </v:rect>
            <v:rect style="position:absolute;left:6471;top:1333;width:29;height:15" filled="true" fillcolor="#000000" stroked="false">
              <v:fill type="solid"/>
            </v:rect>
            <v:rect style="position:absolute;left:6514;top:1333;width:32;height:15" filled="true" fillcolor="#000000" stroked="false">
              <v:fill type="solid"/>
            </v:rect>
            <v:rect style="position:absolute;left:6545;top:1333;width:29;height:15" filled="true" fillcolor="#000000" stroked="false">
              <v:fill type="solid"/>
            </v:rect>
            <v:rect style="position:absolute;left:6591;top:1333;width:29;height:15" filled="true" fillcolor="#000000" stroked="false">
              <v:fill type="solid"/>
            </v:rect>
            <v:rect style="position:absolute;left:6634;top:1333;width:32;height:15" filled="true" fillcolor="#000000" stroked="false">
              <v:fill type="solid"/>
            </v:rect>
            <v:rect style="position:absolute;left:6665;top:1333;width:29;height:15" filled="true" fillcolor="#000000" stroked="false">
              <v:fill type="solid"/>
            </v:rect>
            <v:rect style="position:absolute;left:6708;top:1333;width:32;height:15" filled="true" fillcolor="#000000" stroked="false">
              <v:fill type="solid"/>
            </v:rect>
            <v:rect style="position:absolute;left:6754;top:1333;width:32;height:15" filled="true" fillcolor="#000000" stroked="false">
              <v:fill type="solid"/>
            </v:rect>
            <v:rect style="position:absolute;left:6785;top:1333;width:29;height:15" filled="true" fillcolor="#000000" stroked="false">
              <v:fill type="solid"/>
            </v:rect>
            <v:rect style="position:absolute;left:6828;top:1333;width:32;height:15" filled="true" fillcolor="#000000" stroked="false">
              <v:fill type="solid"/>
            </v:rect>
            <v:rect style="position:absolute;left:6860;top:1333;width:29;height:15" filled="true" fillcolor="#000000" stroked="false">
              <v:fill type="solid"/>
            </v:rect>
            <v:rect style="position:absolute;left:6903;top:1333;width:32;height:15" filled="true" fillcolor="#000000" stroked="false">
              <v:fill type="solid"/>
            </v:rect>
            <v:rect style="position:absolute;left:6948;top:1333;width:29;height:15" filled="true" fillcolor="#000000" stroked="false">
              <v:fill type="solid"/>
            </v:rect>
            <v:rect style="position:absolute;left:6977;top:1333;width:32;height:15" filled="true" fillcolor="#000000" stroked="false">
              <v:fill type="solid"/>
            </v:rect>
            <v:rect style="position:absolute;left:7023;top:1333;width:32;height:15" filled="true" fillcolor="#000000" stroked="false">
              <v:fill type="solid"/>
            </v:rect>
            <v:rect style="position:absolute;left:7054;top:1333;width:29;height:15" filled="true" fillcolor="#000000" stroked="false">
              <v:fill type="solid"/>
            </v:rect>
            <v:rect style="position:absolute;left:7097;top:1333;width:32;height:15" filled="true" fillcolor="#000000" stroked="false">
              <v:fill type="solid"/>
            </v:rect>
            <v:rect style="position:absolute;left:7143;top:1333;width:29;height:15" filled="true" fillcolor="#000000" stroked="false">
              <v:fill type="solid"/>
            </v:rect>
            <v:rect style="position:absolute;left:7172;top:1333;width:32;height:15" filled="true" fillcolor="#000000" stroked="false">
              <v:fill type="solid"/>
            </v:rect>
            <v:rect style="position:absolute;left:7217;top:1333;width:32;height:15" filled="true" fillcolor="#000000" stroked="false">
              <v:fill type="solid"/>
            </v:rect>
            <v:rect style="position:absolute;left:7248;top:1333;width:29;height:15" filled="true" fillcolor="#000000" stroked="false">
              <v:fill type="solid"/>
            </v:rect>
            <v:rect style="position:absolute;left:7292;top:1333;width:32;height:15" filled="true" fillcolor="#000000" stroked="false">
              <v:fill type="solid"/>
            </v:rect>
            <v:rect style="position:absolute;left:7337;top:1333;width:29;height:15" filled="true" fillcolor="#000000" stroked="false">
              <v:fill type="solid"/>
            </v:rect>
            <v:rect style="position:absolute;left:7366;top:1333;width:32;height:15" filled="true" fillcolor="#000000" stroked="false">
              <v:fill type="solid"/>
            </v:rect>
            <v:rect style="position:absolute;left:7412;top:1333;width:29;height:15" filled="true" fillcolor="#000000" stroked="false">
              <v:fill type="solid"/>
            </v:rect>
            <v:rect style="position:absolute;left:7440;top:1333;width:32;height:15" filled="true" fillcolor="#000000" stroked="false">
              <v:fill type="solid"/>
            </v:rect>
            <v:rect style="position:absolute;left:7486;top:1333;width:32;height:15" filled="true" fillcolor="#000000" stroked="false">
              <v:fill type="solid"/>
            </v:rect>
            <v:rect style="position:absolute;left:7532;top:1333;width:29;height:15" filled="true" fillcolor="#000000" stroked="false">
              <v:fill type="solid"/>
            </v:rect>
            <v:rect style="position:absolute;left:7560;top:1333;width:32;height:15" filled="true" fillcolor="#000000" stroked="false">
              <v:fill type="solid"/>
            </v:rect>
            <v:rect style="position:absolute;left:7606;top:1333;width:29;height:15" filled="true" fillcolor="#000000" stroked="false">
              <v:fill type="solid"/>
            </v:rect>
            <v:rect style="position:absolute;left:7635;top:1333;width:32;height:15" filled="true" fillcolor="#000000" stroked="false">
              <v:fill type="solid"/>
            </v:rect>
            <v:rect style="position:absolute;left:7680;top:1333;width:32;height:15" filled="true" fillcolor="#000000" stroked="false">
              <v:fill type="solid"/>
            </v:rect>
            <v:rect style="position:absolute;left:7726;top:1333;width:29;height:15" filled="true" fillcolor="#000000" stroked="false">
              <v:fill type="solid"/>
            </v:rect>
            <v:rect style="position:absolute;left:7755;top:1333;width:32;height:15" filled="true" fillcolor="#000000" stroked="false">
              <v:fill type="solid"/>
            </v:rect>
            <v:rect style="position:absolute;left:7800;top:1333;width:29;height:15" filled="true" fillcolor="#000000" stroked="false">
              <v:fill type="solid"/>
            </v:rect>
            <v:rect style="position:absolute;left:7829;top:1333;width:32;height:15" filled="true" fillcolor="#000000" stroked="false">
              <v:fill type="solid"/>
            </v:rect>
            <v:rect style="position:absolute;left:7875;top:1333;width:29;height:15" filled="true" fillcolor="#000000" stroked="false">
              <v:fill type="solid"/>
            </v:rect>
            <v:line style="position:absolute" from="8367,1094" to="7904,1348" stroked="true" strokeweight=".748602pt" strokecolor="#000000">
              <v:stroke dashstyle="solid"/>
            </v:line>
            <v:shape style="position:absolute;left:7921;top:1213;width:164;height:149" coordorigin="7921,1214" coordsize="164,149" path="m8010,1214l7921,1363,8084,1348e" filled="false" stroked="true" strokeweight=".748103pt" strokecolor="#000000">
              <v:path arrowok="t"/>
              <v:stroke dashstyle="solid"/>
            </v:shape>
            <v:line style="position:absolute" from="8384,1903" to="7950,1663" stroked="true" strokeweight=".748597pt" strokecolor="#000000">
              <v:stroke dashstyle="solid"/>
            </v:line>
            <v:shape style="position:absolute;left:7949;top:1662;width:180;height:152" coordorigin="7950,1663" coordsize="180,152" path="m8130,1677l7950,1663,8055,1814e" filled="false" stroked="true" strokeweight=".748194pt" strokecolor="#000000">
              <v:path arrowok="t"/>
              <v:stroke dashstyle="solid"/>
            </v:shape>
            <v:shape style="position:absolute;left:8129;top:852;width:472;height:227" type="#_x0000_t202" filled="false" stroked="false">
              <v:textbox inset="0,0,0,0">
                <w:txbxContent>
                  <w:p>
                    <w:pPr>
                      <w:spacing w:line="223" w:lineRule="exact" w:before="0"/>
                      <w:ind w:left="0" w:right="0" w:firstLine="0"/>
                      <w:jc w:val="left"/>
                      <w:rPr>
                        <w:rFonts w:ascii="Arial"/>
                        <w:b/>
                        <w:sz w:val="12"/>
                      </w:rPr>
                    </w:pPr>
                    <w:r>
                      <w:rPr>
                        <w:rFonts w:ascii="Arial"/>
                        <w:b/>
                        <w:sz w:val="17"/>
                      </w:rPr>
                      <w:t>SOC</w:t>
                    </w:r>
                    <w:r>
                      <w:rPr>
                        <w:rFonts w:ascii="Arial"/>
                        <w:b/>
                        <w:position w:val="-3"/>
                        <w:sz w:val="12"/>
                      </w:rPr>
                      <w:t>j</w:t>
                    </w:r>
                  </w:p>
                </w:txbxContent>
              </v:textbox>
              <w10:wrap type="none"/>
            </v:shape>
            <v:shape style="position:absolute;left:8129;top:1946;width:472;height:225" type="#_x0000_t202" filled="false" stroked="false">
              <v:textbox inset="0,0,0,0">
                <w:txbxContent>
                  <w:p>
                    <w:pPr>
                      <w:spacing w:line="223" w:lineRule="exact" w:before="0"/>
                      <w:ind w:left="0" w:right="0" w:firstLine="0"/>
                      <w:jc w:val="left"/>
                      <w:rPr>
                        <w:rFonts w:ascii="Arial"/>
                        <w:b/>
                        <w:sz w:val="12"/>
                      </w:rPr>
                    </w:pPr>
                    <w:r>
                      <w:rPr>
                        <w:rFonts w:ascii="Arial"/>
                        <w:b/>
                        <w:sz w:val="17"/>
                      </w:rPr>
                      <w:t>SOC</w:t>
                    </w:r>
                    <w:r>
                      <w:rPr>
                        <w:rFonts w:ascii="Arial"/>
                        <w:b/>
                        <w:position w:val="-3"/>
                        <w:sz w:val="12"/>
                      </w:rPr>
                      <w:t>i</w:t>
                    </w:r>
                  </w:p>
                </w:txbxContent>
              </v:textbox>
              <w10:wrap type="none"/>
            </v:shape>
            <w10:wrap type="topAndBottom"/>
          </v:group>
        </w:pict>
      </w:r>
    </w:p>
    <w:p>
      <w:pPr>
        <w:spacing w:before="21"/>
        <w:ind w:left="766" w:right="984" w:firstLine="0"/>
        <w:jc w:val="center"/>
        <w:rPr>
          <w:rFonts w:ascii="Arial"/>
          <w:b/>
          <w:sz w:val="20"/>
        </w:rPr>
      </w:pPr>
      <w:r>
        <w:rPr>
          <w:rFonts w:ascii="Arial"/>
          <w:b/>
          <w:sz w:val="20"/>
        </w:rPr>
        <w:t>T ime</w:t>
      </w:r>
    </w:p>
    <w:p>
      <w:pPr>
        <w:spacing w:after="0"/>
        <w:jc w:val="center"/>
        <w:rPr>
          <w:rFonts w:ascii="Arial"/>
          <w:sz w:val="20"/>
        </w:rPr>
        <w:sectPr>
          <w:pgSz w:w="11900" w:h="16840"/>
          <w:pgMar w:header="230" w:footer="408" w:top="560" w:bottom="600" w:left="1200" w:right="1140"/>
        </w:sectPr>
      </w:pPr>
    </w:p>
    <w:p>
      <w:pPr>
        <w:pStyle w:val="BodyText"/>
        <w:rPr>
          <w:rFonts w:ascii="Arial"/>
          <w:b/>
        </w:rPr>
      </w:pPr>
    </w:p>
    <w:p>
      <w:pPr>
        <w:pStyle w:val="BodyText"/>
        <w:spacing w:before="7"/>
        <w:rPr>
          <w:rFonts w:ascii="Arial"/>
          <w:b/>
          <w:sz w:val="18"/>
        </w:rPr>
      </w:pPr>
    </w:p>
    <w:p>
      <w:pPr>
        <w:spacing w:line="228" w:lineRule="exact" w:before="0"/>
        <w:ind w:left="219" w:right="0" w:firstLine="0"/>
        <w:jc w:val="both"/>
        <w:rPr>
          <w:b/>
          <w:sz w:val="20"/>
        </w:rPr>
      </w:pPr>
      <w:r>
        <w:rPr>
          <w:b/>
          <w:sz w:val="20"/>
        </w:rPr>
        <w:t>ORGANIC SOILS</w:t>
      </w:r>
    </w:p>
    <w:p>
      <w:pPr>
        <w:pStyle w:val="BodyText"/>
        <w:ind w:left="219" w:right="261"/>
        <w:jc w:val="both"/>
      </w:pPr>
      <w:r>
        <w:rPr/>
        <w:t>As in mineral soils, the accumulation or loss of carbon in organic soils results from a balance between inputs and outputs. When wet or moist conditions more or less hamper the decomposition of organic matter, input of organic matter may exceed decomposition losses, and organic matter accumulates. The carbon released from saturated organic soils to the atmosphere is predominantly under the form of CH</w:t>
      </w:r>
      <w:r>
        <w:rPr>
          <w:vertAlign w:val="subscript"/>
        </w:rPr>
        <w:t>4</w:t>
      </w:r>
      <w:r>
        <w:rPr>
          <w:vertAlign w:val="baseline"/>
        </w:rPr>
        <w:t>, while under aerobic  conditions the C flux to the atmosphere is dominated by CO</w:t>
      </w:r>
      <w:r>
        <w:rPr>
          <w:vertAlign w:val="subscript"/>
        </w:rPr>
        <w:t>2</w:t>
      </w:r>
      <w:r>
        <w:rPr>
          <w:vertAlign w:val="baseline"/>
        </w:rPr>
        <w:t>. The C dynamics of organic soils are closely linked to the site hydrological regimes: available moisture, depth of the water table, reduction-oxidation conditions (Clymo, 1984; Thormann </w:t>
      </w:r>
      <w:r>
        <w:rPr>
          <w:i/>
          <w:vertAlign w:val="baseline"/>
        </w:rPr>
        <w:t>et al.</w:t>
      </w:r>
      <w:r>
        <w:rPr>
          <w:vertAlign w:val="baseline"/>
        </w:rPr>
        <w:t>, 1999); but also species composition and litter chemistry (Yavitt </w:t>
      </w:r>
      <w:r>
        <w:rPr>
          <w:i/>
          <w:vertAlign w:val="baseline"/>
        </w:rPr>
        <w:t>et al.</w:t>
      </w:r>
      <w:r>
        <w:rPr>
          <w:vertAlign w:val="baseline"/>
        </w:rPr>
        <w:t>, 1997). This C pool will readily respond to activities or events that affect aeration and decomposition</w:t>
      </w:r>
      <w:r>
        <w:rPr>
          <w:spacing w:val="-28"/>
          <w:vertAlign w:val="baseline"/>
        </w:rPr>
        <w:t> </w:t>
      </w:r>
      <w:r>
        <w:rPr>
          <w:vertAlign w:val="baseline"/>
        </w:rPr>
        <w:t>conditions.</w:t>
      </w:r>
    </w:p>
    <w:p>
      <w:pPr>
        <w:pStyle w:val="BodyText"/>
        <w:spacing w:before="119"/>
        <w:ind w:left="219" w:right="264"/>
        <w:jc w:val="both"/>
      </w:pPr>
      <w:r>
        <w:rPr/>
        <w:t>The drainage of organic soils releases CO</w:t>
      </w:r>
      <w:r>
        <w:rPr>
          <w:vertAlign w:val="subscript"/>
        </w:rPr>
        <w:t>2</w:t>
      </w:r>
      <w:r>
        <w:rPr>
          <w:vertAlign w:val="baseline"/>
        </w:rPr>
        <w:t> by oxidation of the organic matter in the aerobic layer, although this loss of carbon can be partially or entirely offset by: 1) greater inputs of organic matter from above; or 2)  decrease in natural fluxes of CH</w:t>
      </w:r>
      <w:r>
        <w:rPr>
          <w:vertAlign w:val="subscript"/>
        </w:rPr>
        <w:t>4</w:t>
      </w:r>
      <w:r>
        <w:rPr>
          <w:vertAlign w:val="baseline"/>
        </w:rPr>
        <w:t>. The magnitude of the CO</w:t>
      </w:r>
      <w:r>
        <w:rPr>
          <w:vertAlign w:val="subscript"/>
        </w:rPr>
        <w:t>2</w:t>
      </w:r>
      <w:r>
        <w:rPr>
          <w:vertAlign w:val="baseline"/>
        </w:rPr>
        <w:t> emissions is related to drainage depth, the fertility and consistence of the peat, and temperature (Martikainen </w:t>
      </w:r>
      <w:r>
        <w:rPr>
          <w:i/>
          <w:vertAlign w:val="baseline"/>
        </w:rPr>
        <w:t>et al.</w:t>
      </w:r>
      <w:r>
        <w:rPr>
          <w:vertAlign w:val="baseline"/>
        </w:rPr>
        <w:t>, 1995). Abandonment of drainage in organic soils reduces these CO</w:t>
      </w:r>
      <w:r>
        <w:rPr>
          <w:vertAlign w:val="subscript"/>
        </w:rPr>
        <w:t>2</w:t>
      </w:r>
      <w:r>
        <w:rPr>
          <w:vertAlign w:val="baseline"/>
        </w:rPr>
        <w:t> emissions and may even re-establish the net carbon sequestration potential in forested organic</w:t>
      </w:r>
      <w:r>
        <w:rPr>
          <w:spacing w:val="5"/>
          <w:vertAlign w:val="baseline"/>
        </w:rPr>
        <w:t> </w:t>
      </w:r>
      <w:r>
        <w:rPr>
          <w:vertAlign w:val="baseline"/>
        </w:rPr>
        <w:t>soils</w:t>
      </w:r>
      <w:r>
        <w:rPr>
          <w:spacing w:val="3"/>
          <w:vertAlign w:val="baseline"/>
        </w:rPr>
        <w:t> </w:t>
      </w:r>
      <w:r>
        <w:rPr>
          <w:vertAlign w:val="baseline"/>
        </w:rPr>
        <w:t>(see</w:t>
      </w:r>
      <w:r>
        <w:rPr>
          <w:spacing w:val="5"/>
          <w:vertAlign w:val="baseline"/>
        </w:rPr>
        <w:t> </w:t>
      </w:r>
      <w:r>
        <w:rPr>
          <w:vertAlign w:val="baseline"/>
        </w:rPr>
        <w:t>also</w:t>
      </w:r>
      <w:r>
        <w:rPr>
          <w:spacing w:val="5"/>
          <w:vertAlign w:val="baseline"/>
        </w:rPr>
        <w:t> </w:t>
      </w:r>
      <w:r>
        <w:rPr>
          <w:vertAlign w:val="baseline"/>
        </w:rPr>
        <w:t>Section</w:t>
      </w:r>
      <w:r>
        <w:rPr>
          <w:spacing w:val="5"/>
          <w:vertAlign w:val="baseline"/>
        </w:rPr>
        <w:t> </w:t>
      </w:r>
      <w:r>
        <w:rPr>
          <w:vertAlign w:val="baseline"/>
        </w:rPr>
        <w:t>3a.3.2</w:t>
      </w:r>
      <w:r>
        <w:rPr>
          <w:spacing w:val="3"/>
          <w:vertAlign w:val="baseline"/>
        </w:rPr>
        <w:t> </w:t>
      </w:r>
      <w:r>
        <w:rPr>
          <w:vertAlign w:val="baseline"/>
        </w:rPr>
        <w:t>(Organic</w:t>
      </w:r>
      <w:r>
        <w:rPr>
          <w:spacing w:val="5"/>
          <w:vertAlign w:val="baseline"/>
        </w:rPr>
        <w:t> </w:t>
      </w:r>
      <w:r>
        <w:rPr>
          <w:vertAlign w:val="baseline"/>
        </w:rPr>
        <w:t>soils</w:t>
      </w:r>
      <w:r>
        <w:rPr>
          <w:spacing w:val="6"/>
          <w:vertAlign w:val="baseline"/>
        </w:rPr>
        <w:t> </w:t>
      </w:r>
      <w:r>
        <w:rPr>
          <w:vertAlign w:val="baseline"/>
        </w:rPr>
        <w:t>managed</w:t>
      </w:r>
      <w:r>
        <w:rPr>
          <w:spacing w:val="6"/>
          <w:vertAlign w:val="baseline"/>
        </w:rPr>
        <w:t> </w:t>
      </w:r>
      <w:r>
        <w:rPr>
          <w:vertAlign w:val="baseline"/>
        </w:rPr>
        <w:t>for</w:t>
      </w:r>
      <w:r>
        <w:rPr>
          <w:spacing w:val="5"/>
          <w:vertAlign w:val="baseline"/>
        </w:rPr>
        <w:t> </w:t>
      </w:r>
      <w:r>
        <w:rPr>
          <w:vertAlign w:val="baseline"/>
        </w:rPr>
        <w:t>peat</w:t>
      </w:r>
      <w:r>
        <w:rPr>
          <w:spacing w:val="5"/>
          <w:vertAlign w:val="baseline"/>
        </w:rPr>
        <w:t> </w:t>
      </w:r>
      <w:r>
        <w:rPr>
          <w:vertAlign w:val="baseline"/>
        </w:rPr>
        <w:t>extraction)</w:t>
      </w:r>
      <w:r>
        <w:rPr>
          <w:spacing w:val="5"/>
          <w:vertAlign w:val="baseline"/>
        </w:rPr>
        <w:t> </w:t>
      </w:r>
      <w:r>
        <w:rPr>
          <w:vertAlign w:val="baseline"/>
        </w:rPr>
        <w:t>in</w:t>
      </w:r>
      <w:r>
        <w:rPr>
          <w:spacing w:val="5"/>
          <w:vertAlign w:val="baseline"/>
        </w:rPr>
        <w:t> </w:t>
      </w:r>
      <w:r>
        <w:rPr>
          <w:vertAlign w:val="baseline"/>
        </w:rPr>
        <w:t>Appendix</w:t>
      </w:r>
      <w:r>
        <w:rPr>
          <w:spacing w:val="3"/>
          <w:vertAlign w:val="baseline"/>
        </w:rPr>
        <w:t> </w:t>
      </w:r>
      <w:r>
        <w:rPr>
          <w:vertAlign w:val="baseline"/>
        </w:rPr>
        <w:t>3a.3,</w:t>
      </w:r>
      <w:r>
        <w:rPr>
          <w:spacing w:val="5"/>
          <w:vertAlign w:val="baseline"/>
        </w:rPr>
        <w:t> </w:t>
      </w:r>
      <w:r>
        <w:rPr>
          <w:vertAlign w:val="baseline"/>
        </w:rPr>
        <w:t>and</w:t>
      </w:r>
      <w:r>
        <w:rPr>
          <w:spacing w:val="5"/>
          <w:vertAlign w:val="baseline"/>
        </w:rPr>
        <w:t> </w:t>
      </w:r>
      <w:r>
        <w:rPr>
          <w:vertAlign w:val="baseline"/>
        </w:rPr>
        <w:t>Section</w:t>
      </w:r>
    </w:p>
    <w:p>
      <w:pPr>
        <w:pStyle w:val="ListParagraph"/>
        <w:numPr>
          <w:ilvl w:val="3"/>
          <w:numId w:val="46"/>
        </w:numPr>
        <w:tabs>
          <w:tab w:pos="834" w:val="left" w:leader="none"/>
        </w:tabs>
        <w:spacing w:line="240" w:lineRule="auto" w:before="0" w:after="0"/>
        <w:ind w:left="219" w:right="264" w:firstLine="0"/>
        <w:jc w:val="both"/>
        <w:rPr>
          <w:sz w:val="20"/>
        </w:rPr>
      </w:pPr>
      <w:r>
        <w:rPr>
          <w:sz w:val="20"/>
        </w:rPr>
        <w:t>(Non-CO</w:t>
      </w:r>
      <w:r>
        <w:rPr>
          <w:sz w:val="20"/>
          <w:vertAlign w:val="subscript"/>
        </w:rPr>
        <w:t>2</w:t>
      </w:r>
      <w:r>
        <w:rPr>
          <w:sz w:val="20"/>
          <w:vertAlign w:val="baseline"/>
        </w:rPr>
        <w:t> Greenhouse Gas Emissions)). The CO</w:t>
      </w:r>
      <w:r>
        <w:rPr>
          <w:sz w:val="20"/>
          <w:vertAlign w:val="subscript"/>
        </w:rPr>
        <w:t>2</w:t>
      </w:r>
      <w:r>
        <w:rPr>
          <w:sz w:val="20"/>
          <w:vertAlign w:val="baseline"/>
        </w:rPr>
        <w:t> released from organic matter oxidation after drainage is considered anthropogenic. Emissions from undrained, and unmanaged forested peatlands are considered as natural and are therefore not accounted</w:t>
      </w:r>
      <w:r>
        <w:rPr>
          <w:spacing w:val="-2"/>
          <w:sz w:val="20"/>
          <w:vertAlign w:val="baseline"/>
        </w:rPr>
        <w:t> </w:t>
      </w:r>
      <w:r>
        <w:rPr>
          <w:sz w:val="20"/>
          <w:vertAlign w:val="baseline"/>
        </w:rPr>
        <w:t>for.</w:t>
      </w:r>
    </w:p>
    <w:p>
      <w:pPr>
        <w:pStyle w:val="BodyText"/>
        <w:spacing w:before="119"/>
        <w:ind w:left="219" w:right="266"/>
        <w:jc w:val="both"/>
      </w:pPr>
      <w:r>
        <w:rPr/>
        <w:t>Other forest management activities are likely to disrupt the C dynamics of the underlying organic soils. Harvest, for example, may cause a rise in the water table due to reduced interception, evaporation and transpiration (Dubé </w:t>
      </w:r>
      <w:r>
        <w:rPr>
          <w:i/>
        </w:rPr>
        <w:t>et al.</w:t>
      </w:r>
      <w:r>
        <w:rPr/>
        <w:t>, 1995).</w:t>
      </w:r>
    </w:p>
    <w:p>
      <w:pPr>
        <w:pStyle w:val="BodyText"/>
        <w:spacing w:before="121"/>
        <w:ind w:left="219" w:right="267"/>
        <w:jc w:val="both"/>
      </w:pPr>
      <w:r>
        <w:rPr/>
        <w:t>While there is some evidence of the effects of anthropogenic activities on forested organic soils, the data and knowledge remain largely site-specific and can hardly be generalized. The net carbon flux of organic soils is usually directly estimated from chamber or flux tower measurements (Lafleur, 2002).</w:t>
      </w:r>
    </w:p>
    <w:p>
      <w:pPr>
        <w:pStyle w:val="BodyText"/>
        <w:spacing w:before="2"/>
        <w:rPr>
          <w:sz w:val="21"/>
        </w:rPr>
      </w:pPr>
    </w:p>
    <w:p>
      <w:pPr>
        <w:pStyle w:val="Heading6"/>
        <w:numPr>
          <w:ilvl w:val="5"/>
          <w:numId w:val="48"/>
        </w:numPr>
        <w:tabs>
          <w:tab w:pos="1660" w:val="left" w:leader="none"/>
        </w:tabs>
        <w:spacing w:line="240" w:lineRule="auto" w:before="1" w:after="0"/>
        <w:ind w:left="1659" w:right="0" w:hanging="1440"/>
        <w:jc w:val="both"/>
      </w:pPr>
      <w:r>
        <w:rPr/>
        <w:t>1 </w:t>
      </w:r>
      <w:r>
        <w:rPr>
          <w:spacing w:val="15"/>
        </w:rPr>
        <w:t>Choice </w:t>
      </w:r>
      <w:r>
        <w:rPr>
          <w:spacing w:val="9"/>
        </w:rPr>
        <w:t>of</w:t>
      </w:r>
      <w:r>
        <w:rPr>
          <w:spacing w:val="42"/>
        </w:rPr>
        <w:t> </w:t>
      </w:r>
      <w:r>
        <w:rPr>
          <w:spacing w:val="19"/>
        </w:rPr>
        <w:t>Method</w:t>
      </w:r>
    </w:p>
    <w:p>
      <w:pPr>
        <w:spacing w:line="350" w:lineRule="atLeast" w:before="60"/>
        <w:ind w:left="219" w:right="3105" w:firstLine="0"/>
        <w:jc w:val="left"/>
        <w:rPr>
          <w:b/>
          <w:sz w:val="20"/>
        </w:rPr>
      </w:pPr>
      <w:r>
        <w:rPr>
          <w:b/>
          <w:sz w:val="20"/>
        </w:rPr>
        <w:t>Calculation procedure for change in carbon stocks in soils MINERAL SOILS</w:t>
      </w:r>
    </w:p>
    <w:p>
      <w:pPr>
        <w:pStyle w:val="BodyText"/>
        <w:ind w:left="219" w:right="673"/>
      </w:pPr>
      <w:r>
        <w:rPr/>
        <w:t>Conceptually, emissions or removals of carbon from the mineral forest soil pool can be calculated as annual changes in soil organic carbon stocks for an area of forest land undergoing a transition from state </w:t>
      </w:r>
      <w:r>
        <w:rPr>
          <w:i/>
        </w:rPr>
        <w:t>i </w:t>
      </w:r>
      <w:r>
        <w:rPr/>
        <w:t>to state </w:t>
      </w:r>
      <w:r>
        <w:rPr>
          <w:i/>
        </w:rPr>
        <w:t>j</w:t>
      </w:r>
      <w:r>
        <w:rPr/>
        <w:t>, where each state corresponds to a given combination of forest type, management intensity and disturbance regime. This is illustrated by Equation 3.2.14:</w:t>
      </w:r>
    </w:p>
    <w:p>
      <w:pPr>
        <w:pStyle w:val="BodyText"/>
        <w:spacing w:before="9"/>
        <w:rPr>
          <w:sz w:val="10"/>
        </w:rPr>
      </w:pPr>
      <w:r>
        <w:rPr/>
        <w:pict>
          <v:shape style="position:absolute;margin-left:91.960999pt;margin-top:8.900949pt;width:411.5pt;height:96.15pt;mso-position-horizontal-relative:page;mso-position-vertical-relative:paragraph;z-index:4784;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3.2.14</w:t>
                  </w:r>
                </w:p>
                <w:p>
                  <w:pPr>
                    <w:spacing w:line="278" w:lineRule="auto" w:before="0"/>
                    <w:ind w:left="1739" w:right="1737" w:firstLine="0"/>
                    <w:jc w:val="center"/>
                    <w:rPr>
                      <w:b/>
                      <w:sz w:val="16"/>
                    </w:rPr>
                  </w:pPr>
                  <w:r>
                    <w:rPr>
                      <w:b/>
                      <w:sz w:val="20"/>
                    </w:rPr>
                    <w:t>A</w:t>
                  </w:r>
                  <w:r>
                    <w:rPr>
                      <w:b/>
                      <w:sz w:val="16"/>
                    </w:rPr>
                    <w:t>NNUAL CHANGE IN CARBON STOCKS IN MINERAL SOILS IN FOREST LAND REMAINING FOREST LAND</w:t>
                  </w:r>
                </w:p>
                <w:p>
                  <w:pPr>
                    <w:spacing w:line="307" w:lineRule="auto" w:before="70"/>
                    <w:ind w:left="2311" w:right="2311" w:firstLine="0"/>
                    <w:jc w:val="center"/>
                    <w:rPr>
                      <w:sz w:val="20"/>
                    </w:rPr>
                  </w:pPr>
                  <w:r>
                    <w:rPr>
                      <w:sz w:val="20"/>
                    </w:rPr>
                    <w:t>∆C</w:t>
                  </w:r>
                  <w:r>
                    <w:rPr>
                      <w:sz w:val="20"/>
                      <w:vertAlign w:val="subscript"/>
                    </w:rPr>
                    <w:t>FF</w:t>
                  </w:r>
                  <w:r>
                    <w:rPr>
                      <w:position w:val="-8"/>
                      <w:sz w:val="13"/>
                      <w:vertAlign w:val="baseline"/>
                    </w:rPr>
                    <w:t>MINERAL </w:t>
                  </w:r>
                  <w:r>
                    <w:rPr>
                      <w:sz w:val="20"/>
                      <w:vertAlign w:val="baseline"/>
                    </w:rPr>
                    <w:t>= </w:t>
                  </w:r>
                  <w:r>
                    <w:rPr>
                      <w:rFonts w:ascii="Arial" w:hAnsi="Arial"/>
                      <w:sz w:val="20"/>
                      <w:vertAlign w:val="baseline"/>
                    </w:rPr>
                    <w:t>∑</w:t>
                  </w:r>
                  <w:r>
                    <w:rPr>
                      <w:i/>
                      <w:sz w:val="20"/>
                      <w:vertAlign w:val="subscript"/>
                    </w:rPr>
                    <w:t>ij</w:t>
                  </w:r>
                  <w:r>
                    <w:rPr>
                      <w:i/>
                      <w:sz w:val="20"/>
                      <w:vertAlign w:val="baseline"/>
                    </w:rPr>
                    <w:t> </w:t>
                  </w:r>
                  <w:r>
                    <w:rPr>
                      <w:sz w:val="20"/>
                      <w:vertAlign w:val="baseline"/>
                    </w:rPr>
                    <w:t>[(SOC</w:t>
                  </w:r>
                  <w:r>
                    <w:rPr>
                      <w:i/>
                      <w:sz w:val="20"/>
                      <w:vertAlign w:val="subscript"/>
                    </w:rPr>
                    <w:t>j</w:t>
                  </w:r>
                  <w:r>
                    <w:rPr>
                      <w:i/>
                      <w:sz w:val="20"/>
                      <w:vertAlign w:val="baseline"/>
                    </w:rPr>
                    <w:t> </w:t>
                  </w:r>
                  <w:r>
                    <w:rPr>
                      <w:sz w:val="20"/>
                      <w:vertAlign w:val="baseline"/>
                    </w:rPr>
                    <w:t>– SOC</w:t>
                  </w:r>
                  <w:r>
                    <w:rPr>
                      <w:i/>
                      <w:sz w:val="20"/>
                      <w:vertAlign w:val="subscript"/>
                    </w:rPr>
                    <w:t>i</w:t>
                  </w:r>
                  <w:r>
                    <w:rPr>
                      <w:sz w:val="20"/>
                      <w:vertAlign w:val="baseline"/>
                    </w:rPr>
                    <w:t>) ● A</w:t>
                  </w:r>
                  <w:r>
                    <w:rPr>
                      <w:i/>
                      <w:sz w:val="20"/>
                      <w:vertAlign w:val="subscript"/>
                    </w:rPr>
                    <w:t>ij</w:t>
                  </w:r>
                  <w:r>
                    <w:rPr>
                      <w:sz w:val="20"/>
                      <w:vertAlign w:val="baseline"/>
                    </w:rPr>
                    <w:t>] / T</w:t>
                  </w:r>
                  <w:r>
                    <w:rPr>
                      <w:i/>
                      <w:sz w:val="20"/>
                      <w:vertAlign w:val="subscript"/>
                    </w:rPr>
                    <w:t>ij</w:t>
                  </w:r>
                  <w:r>
                    <w:rPr>
                      <w:i/>
                      <w:sz w:val="20"/>
                      <w:vertAlign w:val="baseline"/>
                    </w:rPr>
                    <w:t> </w:t>
                  </w:r>
                  <w:r>
                    <w:rPr>
                      <w:sz w:val="20"/>
                      <w:vertAlign w:val="baseline"/>
                    </w:rPr>
                    <w:t>Where,</w:t>
                  </w:r>
                </w:p>
                <w:p>
                  <w:pPr>
                    <w:spacing w:before="19"/>
                    <w:ind w:left="68" w:right="68" w:firstLine="0"/>
                    <w:jc w:val="center"/>
                    <w:rPr>
                      <w:sz w:val="13"/>
                    </w:rPr>
                  </w:pPr>
                  <w:r>
                    <w:rPr>
                      <w:position w:val="3"/>
                      <w:sz w:val="20"/>
                    </w:rPr>
                    <w:t>SOC</w:t>
                  </w:r>
                  <w:r>
                    <w:rPr>
                      <w:i/>
                      <w:sz w:val="13"/>
                    </w:rPr>
                    <w:t>i </w:t>
                  </w:r>
                  <w:r>
                    <w:rPr>
                      <w:position w:val="3"/>
                      <w:sz w:val="20"/>
                    </w:rPr>
                    <w:t>= SOC</w:t>
                  </w:r>
                  <w:r>
                    <w:rPr>
                      <w:sz w:val="13"/>
                    </w:rPr>
                    <w:t>ref </w:t>
                  </w:r>
                  <w:r>
                    <w:rPr>
                      <w:position w:val="3"/>
                      <w:sz w:val="20"/>
                    </w:rPr>
                    <w:t>● f</w:t>
                  </w:r>
                  <w:r>
                    <w:rPr>
                      <w:sz w:val="13"/>
                    </w:rPr>
                    <w:t>forest type (</w:t>
                  </w:r>
                  <w:r>
                    <w:rPr>
                      <w:i/>
                      <w:sz w:val="13"/>
                    </w:rPr>
                    <w:t>i</w:t>
                  </w:r>
                  <w:r>
                    <w:rPr>
                      <w:sz w:val="13"/>
                    </w:rPr>
                    <w:t>) </w:t>
                  </w:r>
                  <w:r>
                    <w:rPr>
                      <w:position w:val="3"/>
                      <w:sz w:val="20"/>
                    </w:rPr>
                    <w:t>● f</w:t>
                  </w:r>
                  <w:r>
                    <w:rPr>
                      <w:sz w:val="13"/>
                    </w:rPr>
                    <w:t>man intensity (</w:t>
                  </w:r>
                  <w:r>
                    <w:rPr>
                      <w:i/>
                      <w:sz w:val="13"/>
                    </w:rPr>
                    <w:t>i</w:t>
                  </w:r>
                  <w:r>
                    <w:rPr>
                      <w:sz w:val="13"/>
                    </w:rPr>
                    <w:t>) </w:t>
                  </w:r>
                  <w:r>
                    <w:rPr>
                      <w:position w:val="3"/>
                      <w:sz w:val="20"/>
                    </w:rPr>
                    <w:t>● f</w:t>
                  </w:r>
                  <w:r>
                    <w:rPr>
                      <w:sz w:val="13"/>
                    </w:rPr>
                    <w:t>dist regime (</w:t>
                  </w:r>
                  <w:r>
                    <w:rPr>
                      <w:i/>
                      <w:sz w:val="13"/>
                    </w:rPr>
                    <w:t>i</w:t>
                  </w:r>
                  <w:r>
                    <w:rPr>
                      <w:sz w:val="13"/>
                    </w:rPr>
                    <w:t>)</w:t>
                  </w:r>
                </w:p>
              </w:txbxContent>
            </v:textbox>
            <v:stroke dashstyle="solid"/>
            <w10:wrap type="topAndBottom"/>
          </v:shape>
        </w:pict>
      </w:r>
    </w:p>
    <w:p>
      <w:pPr>
        <w:pStyle w:val="BodyText"/>
        <w:spacing w:before="4"/>
        <w:ind w:left="219"/>
      </w:pPr>
      <w:r>
        <w:rPr/>
        <w:t>Where:</w:t>
      </w:r>
    </w:p>
    <w:p>
      <w:pPr>
        <w:pStyle w:val="BodyText"/>
        <w:spacing w:line="228" w:lineRule="auto" w:before="126"/>
        <w:ind w:left="1928" w:right="354" w:hanging="1143"/>
      </w:pPr>
      <w:r>
        <w:rPr/>
        <w:t>∆C</w:t>
      </w:r>
      <w:r>
        <w:rPr>
          <w:vertAlign w:val="subscript"/>
        </w:rPr>
        <w:t>FF</w:t>
      </w:r>
      <w:r>
        <w:rPr>
          <w:position w:val="-8"/>
          <w:sz w:val="13"/>
          <w:vertAlign w:val="baseline"/>
        </w:rPr>
        <w:t>Mineral </w:t>
      </w:r>
      <w:r>
        <w:rPr>
          <w:vertAlign w:val="baseline"/>
        </w:rPr>
        <w:t>= annual change in carbon stocks in mineral soils in  forest  land  remaining  forest  land, tonnes C</w:t>
      </w:r>
      <w:r>
        <w:rPr>
          <w:spacing w:val="-1"/>
          <w:vertAlign w:val="baseline"/>
        </w:rPr>
        <w:t> </w:t>
      </w:r>
      <w:r>
        <w:rPr>
          <w:vertAlign w:val="baseline"/>
        </w:rPr>
        <w:t>yr</w:t>
      </w:r>
      <w:r>
        <w:rPr>
          <w:vertAlign w:val="superscript"/>
        </w:rPr>
        <w:t>-1</w:t>
      </w:r>
    </w:p>
    <w:p>
      <w:pPr>
        <w:pStyle w:val="BodyText"/>
        <w:spacing w:line="364" w:lineRule="auto" w:before="124"/>
        <w:ind w:left="785" w:right="2626" w:hanging="1"/>
      </w:pPr>
      <w:r>
        <w:rPr/>
        <w:t>SOC</w:t>
      </w:r>
      <w:r>
        <w:rPr>
          <w:i/>
          <w:vertAlign w:val="subscript"/>
        </w:rPr>
        <w:t>i</w:t>
      </w:r>
      <w:r>
        <w:rPr>
          <w:i/>
          <w:vertAlign w:val="baseline"/>
        </w:rPr>
        <w:t> </w:t>
      </w:r>
      <w:r>
        <w:rPr>
          <w:vertAlign w:val="baseline"/>
        </w:rPr>
        <w:t>= stable soil organic carbon stock, under previous state </w:t>
      </w:r>
      <w:r>
        <w:rPr>
          <w:i/>
          <w:vertAlign w:val="baseline"/>
        </w:rPr>
        <w:t>i</w:t>
      </w:r>
      <w:r>
        <w:rPr>
          <w:vertAlign w:val="baseline"/>
        </w:rPr>
        <w:t>, tonnes C ha</w:t>
      </w:r>
      <w:r>
        <w:rPr>
          <w:vertAlign w:val="superscript"/>
        </w:rPr>
        <w:t>-1</w:t>
      </w:r>
      <w:r>
        <w:rPr>
          <w:vertAlign w:val="baseline"/>
        </w:rPr>
        <w:t> SOC</w:t>
      </w:r>
      <w:r>
        <w:rPr>
          <w:i/>
          <w:vertAlign w:val="subscript"/>
        </w:rPr>
        <w:t>j</w:t>
      </w:r>
      <w:r>
        <w:rPr>
          <w:i/>
          <w:vertAlign w:val="baseline"/>
        </w:rPr>
        <w:t> </w:t>
      </w:r>
      <w:r>
        <w:rPr>
          <w:vertAlign w:val="baseline"/>
        </w:rPr>
        <w:t>= stable soil organic carbon stock, under current state </w:t>
      </w:r>
      <w:r>
        <w:rPr>
          <w:i/>
          <w:vertAlign w:val="baseline"/>
        </w:rPr>
        <w:t>j</w:t>
      </w:r>
      <w:r>
        <w:rPr>
          <w:vertAlign w:val="baseline"/>
        </w:rPr>
        <w:t>, tonnes C ha</w:t>
      </w:r>
      <w:r>
        <w:rPr>
          <w:vertAlign w:val="superscript"/>
        </w:rPr>
        <w:t>-1</w:t>
      </w:r>
      <w:r>
        <w:rPr>
          <w:vertAlign w:val="baseline"/>
        </w:rPr>
        <w:t> A</w:t>
      </w:r>
      <w:r>
        <w:rPr>
          <w:i/>
          <w:vertAlign w:val="subscript"/>
        </w:rPr>
        <w:t>ij</w:t>
      </w:r>
      <w:r>
        <w:rPr>
          <w:i/>
          <w:vertAlign w:val="baseline"/>
        </w:rPr>
        <w:t> </w:t>
      </w:r>
      <w:r>
        <w:rPr>
          <w:vertAlign w:val="baseline"/>
        </w:rPr>
        <w:t>= forest area undergoing a transition from state </w:t>
      </w:r>
      <w:r>
        <w:rPr>
          <w:i/>
          <w:vertAlign w:val="baseline"/>
        </w:rPr>
        <w:t>i </w:t>
      </w:r>
      <w:r>
        <w:rPr>
          <w:vertAlign w:val="baseline"/>
        </w:rPr>
        <w:t>to </w:t>
      </w:r>
      <w:r>
        <w:rPr>
          <w:i/>
          <w:vertAlign w:val="baseline"/>
        </w:rPr>
        <w:t>j</w:t>
      </w:r>
      <w:r>
        <w:rPr>
          <w:vertAlign w:val="baseline"/>
        </w:rPr>
        <w:t>, ha</w:t>
      </w:r>
    </w:p>
    <w:p>
      <w:pPr>
        <w:pStyle w:val="BodyText"/>
        <w:ind w:left="785"/>
      </w:pPr>
      <w:r>
        <w:rPr/>
        <w:t>T</w:t>
      </w:r>
      <w:r>
        <w:rPr>
          <w:i/>
          <w:vertAlign w:val="subscript"/>
        </w:rPr>
        <w:t>ij</w:t>
      </w:r>
      <w:r>
        <w:rPr>
          <w:i/>
          <w:vertAlign w:val="baseline"/>
        </w:rPr>
        <w:t> </w:t>
      </w:r>
      <w:r>
        <w:rPr>
          <w:vertAlign w:val="baseline"/>
        </w:rPr>
        <w:t>= time period of the transition from SOC</w:t>
      </w:r>
      <w:r>
        <w:rPr>
          <w:i/>
          <w:vertAlign w:val="subscript"/>
        </w:rPr>
        <w:t>i</w:t>
      </w:r>
      <w:r>
        <w:rPr>
          <w:i/>
          <w:vertAlign w:val="baseline"/>
        </w:rPr>
        <w:t> </w:t>
      </w:r>
      <w:r>
        <w:rPr>
          <w:vertAlign w:val="baseline"/>
        </w:rPr>
        <w:t>to SOC</w:t>
      </w:r>
      <w:r>
        <w:rPr>
          <w:i/>
          <w:vertAlign w:val="subscript"/>
        </w:rPr>
        <w:t>j</w:t>
      </w:r>
      <w:r>
        <w:rPr>
          <w:vertAlign w:val="baseline"/>
        </w:rPr>
        <w:t>, yr. The default is 20 years.</w:t>
      </w:r>
    </w:p>
    <w:p>
      <w:pPr>
        <w:pStyle w:val="BodyText"/>
        <w:spacing w:before="120"/>
        <w:ind w:left="785"/>
      </w:pPr>
      <w:r>
        <w:rPr/>
        <w:t>SOC</w:t>
      </w:r>
      <w:r>
        <w:rPr>
          <w:vertAlign w:val="subscript"/>
        </w:rPr>
        <w:t>ref</w:t>
      </w:r>
      <w:r>
        <w:rPr>
          <w:vertAlign w:val="baseline"/>
        </w:rPr>
        <w:t> = the reference carbon stock, under native, unmanaged forest on a given soil, tonnes C ha</w:t>
      </w:r>
      <w:r>
        <w:rPr>
          <w:vertAlign w:val="superscript"/>
        </w:rPr>
        <w:t>-1</w:t>
      </w:r>
    </w:p>
    <w:p>
      <w:pPr>
        <w:pStyle w:val="BodyText"/>
        <w:tabs>
          <w:tab w:pos="1786" w:val="left" w:leader="none"/>
        </w:tabs>
        <w:spacing w:before="120"/>
        <w:ind w:left="2026" w:right="354" w:hanging="1241"/>
      </w:pPr>
      <w:r>
        <w:rPr/>
        <w:t>f</w:t>
      </w:r>
      <w:r>
        <w:rPr>
          <w:vertAlign w:val="subscript"/>
        </w:rPr>
        <w:t>forest</w:t>
      </w:r>
      <w:r>
        <w:rPr>
          <w:spacing w:val="-18"/>
          <w:vertAlign w:val="baseline"/>
        </w:rPr>
        <w:t> </w:t>
      </w:r>
      <w:r>
        <w:rPr>
          <w:vertAlign w:val="subscript"/>
        </w:rPr>
        <w:t>type</w:t>
      </w:r>
      <w:r>
        <w:rPr>
          <w:spacing w:val="-17"/>
          <w:vertAlign w:val="baseline"/>
        </w:rPr>
        <w:t> </w:t>
      </w:r>
      <w:r>
        <w:rPr>
          <w:vertAlign w:val="subscript"/>
        </w:rPr>
        <w:t>(</w:t>
      </w:r>
      <w:r>
        <w:rPr>
          <w:i/>
          <w:vertAlign w:val="subscript"/>
        </w:rPr>
        <w:t>i</w:t>
      </w:r>
      <w:r>
        <w:rPr>
          <w:vertAlign w:val="subscript"/>
        </w:rPr>
        <w:t>)</w:t>
      </w:r>
      <w:r>
        <w:rPr>
          <w:vertAlign w:val="baseline"/>
        </w:rPr>
        <w:tab/>
        <w:t>= adjustment factor reflecting the effect of a change from the native forest to forest type in state </w:t>
      </w:r>
      <w:r>
        <w:rPr>
          <w:i/>
          <w:vertAlign w:val="baseline"/>
        </w:rPr>
        <w:t>i</w:t>
      </w:r>
      <w:r>
        <w:rPr>
          <w:vertAlign w:val="baseline"/>
        </w:rPr>
        <w:t>, dimensionless</w:t>
      </w:r>
    </w:p>
    <w:p>
      <w:pPr>
        <w:pStyle w:val="BodyText"/>
        <w:spacing w:before="119"/>
        <w:ind w:left="2026" w:right="354" w:hanging="1241"/>
      </w:pPr>
      <w:r>
        <w:rPr/>
        <w:t>f</w:t>
      </w:r>
      <w:r>
        <w:rPr>
          <w:vertAlign w:val="subscript"/>
        </w:rPr>
        <w:t>man</w:t>
      </w:r>
      <w:r>
        <w:rPr>
          <w:vertAlign w:val="baseline"/>
        </w:rPr>
        <w:t> </w:t>
      </w:r>
      <w:r>
        <w:rPr>
          <w:vertAlign w:val="subscript"/>
        </w:rPr>
        <w:t>intensity</w:t>
      </w:r>
      <w:r>
        <w:rPr>
          <w:vertAlign w:val="baseline"/>
        </w:rPr>
        <w:t> </w:t>
      </w:r>
      <w:r>
        <w:rPr>
          <w:vertAlign w:val="subscript"/>
        </w:rPr>
        <w:t>(</w:t>
      </w:r>
      <w:r>
        <w:rPr>
          <w:i/>
          <w:vertAlign w:val="subscript"/>
        </w:rPr>
        <w:t>i</w:t>
      </w:r>
      <w:r>
        <w:rPr>
          <w:vertAlign w:val="subscript"/>
        </w:rPr>
        <w:t>)</w:t>
      </w:r>
      <w:r>
        <w:rPr>
          <w:vertAlign w:val="baseline"/>
        </w:rPr>
        <w:t> = adjustment factor reflecting the effect of management intensity or practices on forest in state </w:t>
      </w:r>
      <w:r>
        <w:rPr>
          <w:i/>
          <w:vertAlign w:val="baseline"/>
        </w:rPr>
        <w:t>i</w:t>
      </w:r>
      <w:r>
        <w:rPr>
          <w:vertAlign w:val="baseline"/>
        </w:rPr>
        <w:t>, dimensionless</w:t>
      </w:r>
    </w:p>
    <w:p>
      <w:pPr>
        <w:spacing w:after="0"/>
        <w:sectPr>
          <w:pgSz w:w="11900" w:h="16840"/>
          <w:pgMar w:header="230" w:footer="408" w:top="560" w:bottom="600" w:left="1200" w:right="1140"/>
        </w:sectPr>
      </w:pPr>
    </w:p>
    <w:p>
      <w:pPr>
        <w:pStyle w:val="BodyText"/>
      </w:pPr>
    </w:p>
    <w:p>
      <w:pPr>
        <w:pStyle w:val="BodyText"/>
        <w:spacing w:before="2"/>
        <w:rPr>
          <w:sz w:val="18"/>
        </w:rPr>
      </w:pPr>
    </w:p>
    <w:p>
      <w:pPr>
        <w:pStyle w:val="BodyText"/>
        <w:ind w:left="1815" w:hanging="1030"/>
      </w:pPr>
      <w:r>
        <w:rPr/>
        <w:t>f</w:t>
      </w:r>
      <w:r>
        <w:rPr>
          <w:vertAlign w:val="subscript"/>
        </w:rPr>
        <w:t>dist</w:t>
      </w:r>
      <w:r>
        <w:rPr>
          <w:vertAlign w:val="baseline"/>
        </w:rPr>
        <w:t> </w:t>
      </w:r>
      <w:r>
        <w:rPr>
          <w:vertAlign w:val="subscript"/>
        </w:rPr>
        <w:t>regime</w:t>
      </w:r>
      <w:r>
        <w:rPr>
          <w:vertAlign w:val="baseline"/>
        </w:rPr>
        <w:t> </w:t>
      </w:r>
      <w:r>
        <w:rPr>
          <w:vertAlign w:val="subscript"/>
        </w:rPr>
        <w:t>(</w:t>
      </w:r>
      <w:r>
        <w:rPr>
          <w:i/>
          <w:vertAlign w:val="subscript"/>
        </w:rPr>
        <w:t>i</w:t>
      </w:r>
      <w:r>
        <w:rPr>
          <w:vertAlign w:val="subscript"/>
        </w:rPr>
        <w:t>)</w:t>
      </w:r>
      <w:r>
        <w:rPr>
          <w:vertAlign w:val="baseline"/>
        </w:rPr>
        <w:t> = adjustment factor reflecting the effect of a change in the disturbance regime to state </w:t>
      </w:r>
      <w:r>
        <w:rPr>
          <w:i/>
          <w:vertAlign w:val="baseline"/>
        </w:rPr>
        <w:t>i </w:t>
      </w:r>
      <w:r>
        <w:rPr>
          <w:vertAlign w:val="baseline"/>
        </w:rPr>
        <w:t>with respect to the native forest, dimensionless</w:t>
      </w:r>
    </w:p>
    <w:p>
      <w:pPr>
        <w:pStyle w:val="BodyText"/>
        <w:spacing w:before="121"/>
        <w:ind w:left="219" w:right="266"/>
        <w:jc w:val="both"/>
      </w:pPr>
      <w:r>
        <w:rPr/>
        <w:t>The transition from SOC</w:t>
      </w:r>
      <w:r>
        <w:rPr>
          <w:i/>
          <w:vertAlign w:val="subscript"/>
        </w:rPr>
        <w:t>i</w:t>
      </w:r>
      <w:r>
        <w:rPr>
          <w:i/>
          <w:vertAlign w:val="baseline"/>
        </w:rPr>
        <w:t> </w:t>
      </w:r>
      <w:r>
        <w:rPr>
          <w:vertAlign w:val="baseline"/>
        </w:rPr>
        <w:t>to SOC</w:t>
      </w:r>
      <w:r>
        <w:rPr>
          <w:i/>
          <w:vertAlign w:val="subscript"/>
        </w:rPr>
        <w:t>j</w:t>
      </w:r>
      <w:r>
        <w:rPr>
          <w:i/>
          <w:vertAlign w:val="baseline"/>
        </w:rPr>
        <w:t> </w:t>
      </w:r>
      <w:r>
        <w:rPr>
          <w:vertAlign w:val="baseline"/>
        </w:rPr>
        <w:t>is assumed to take place over a transition period of T years (default = 20 years). In other words ∆C &gt; 0 as long as fewer than T years have elapsed since the onset of changes in forest type, management practices, or disturbance regime. The total SOC changes in any year equals the sum of the annual emissions/removals for all forest lands having undergone changes in forest types, management practices or disturbance regimes for a period of time shorter than T years.</w:t>
      </w:r>
    </w:p>
    <w:p>
      <w:pPr>
        <w:pStyle w:val="BodyText"/>
        <w:spacing w:before="120"/>
        <w:ind w:left="219" w:right="264"/>
        <w:jc w:val="both"/>
      </w:pPr>
      <w:r>
        <w:rPr/>
        <w:t>The decision tree in Figure 3.1.1 (Section 3.1) provides assistance in the selection of the appropriate tier level for the implementation of estimation procedures.</w:t>
      </w:r>
    </w:p>
    <w:p>
      <w:pPr>
        <w:pStyle w:val="BodyText"/>
        <w:spacing w:before="120"/>
        <w:ind w:left="219" w:right="263"/>
        <w:jc w:val="both"/>
      </w:pPr>
      <w:r>
        <w:rPr>
          <w:b/>
        </w:rPr>
        <w:t>Tier 1: </w:t>
      </w:r>
      <w:r>
        <w:rPr/>
        <w:t>This tier is used for countries using the default procedure in the </w:t>
      </w:r>
      <w:r>
        <w:rPr>
          <w:i/>
        </w:rPr>
        <w:t>IPCC Guidelines</w:t>
      </w:r>
      <w:r>
        <w:rPr/>
        <w:t>, or for which this subcategory is not significant, and little or no country-specific data exist on the SOC of mineral forest soils under dominant forest types, management practices and disturbance regimes. Under Tier 1, it is assumed that when forest remains forest the carbon stock in soil organic matter does not change, regardless of changes in forest management, types, and disturbance regimes (i.e. SOC</w:t>
      </w:r>
      <w:r>
        <w:rPr>
          <w:i/>
          <w:vertAlign w:val="subscript"/>
        </w:rPr>
        <w:t>j</w:t>
      </w:r>
      <w:r>
        <w:rPr>
          <w:i/>
          <w:vertAlign w:val="baseline"/>
        </w:rPr>
        <w:t> </w:t>
      </w:r>
      <w:r>
        <w:rPr>
          <w:vertAlign w:val="baseline"/>
        </w:rPr>
        <w:t>= SOC</w:t>
      </w:r>
      <w:r>
        <w:rPr>
          <w:i/>
          <w:vertAlign w:val="subscript"/>
        </w:rPr>
        <w:t>i</w:t>
      </w:r>
      <w:r>
        <w:rPr>
          <w:i/>
          <w:vertAlign w:val="baseline"/>
        </w:rPr>
        <w:t> </w:t>
      </w:r>
      <w:r>
        <w:rPr>
          <w:vertAlign w:val="baseline"/>
        </w:rPr>
        <w:t>= … = SOC</w:t>
      </w:r>
      <w:r>
        <w:rPr>
          <w:i/>
          <w:vertAlign w:val="subscript"/>
        </w:rPr>
        <w:t>n</w:t>
      </w:r>
      <w:r>
        <w:rPr>
          <w:vertAlign w:val="baseline"/>
        </w:rPr>
        <w:t>) in other words that the carbon stock in mineral soil remains constant so long as the land remains forest.</w:t>
      </w:r>
    </w:p>
    <w:p>
      <w:pPr>
        <w:pStyle w:val="BodyText"/>
        <w:spacing w:before="121"/>
        <w:ind w:left="219" w:right="265"/>
        <w:jc w:val="both"/>
      </w:pPr>
      <w:r>
        <w:rPr>
          <w:b/>
        </w:rPr>
        <w:t>Tier 2: </w:t>
      </w:r>
      <w:r>
        <w:rPr/>
        <w:t>Countries where this subcategory is significant should develop or select representative adjustment factors f</w:t>
      </w:r>
      <w:r>
        <w:rPr>
          <w:vertAlign w:val="subscript"/>
        </w:rPr>
        <w:t>forest</w:t>
      </w:r>
      <w:r>
        <w:rPr>
          <w:vertAlign w:val="baseline"/>
        </w:rPr>
        <w:t> </w:t>
      </w:r>
      <w:r>
        <w:rPr>
          <w:vertAlign w:val="subscript"/>
        </w:rPr>
        <w:t>type</w:t>
      </w:r>
      <w:r>
        <w:rPr>
          <w:vertAlign w:val="baseline"/>
        </w:rPr>
        <w:t>, f</w:t>
      </w:r>
      <w:r>
        <w:rPr>
          <w:vertAlign w:val="subscript"/>
        </w:rPr>
        <w:t>man</w:t>
      </w:r>
      <w:r>
        <w:rPr>
          <w:vertAlign w:val="baseline"/>
        </w:rPr>
        <w:t> </w:t>
      </w:r>
      <w:r>
        <w:rPr>
          <w:vertAlign w:val="subscript"/>
        </w:rPr>
        <w:t>intensity</w:t>
      </w:r>
      <w:r>
        <w:rPr>
          <w:vertAlign w:val="baseline"/>
        </w:rPr>
        <w:t>, and f</w:t>
      </w:r>
      <w:r>
        <w:rPr>
          <w:vertAlign w:val="subscript"/>
        </w:rPr>
        <w:t>dist</w:t>
      </w:r>
      <w:r>
        <w:rPr>
          <w:vertAlign w:val="baseline"/>
        </w:rPr>
        <w:t> </w:t>
      </w:r>
      <w:r>
        <w:rPr>
          <w:vertAlign w:val="subscript"/>
        </w:rPr>
        <w:t>regime</w:t>
      </w:r>
      <w:r>
        <w:rPr>
          <w:vertAlign w:val="baseline"/>
        </w:rPr>
        <w:t> reflecting the impact on mineral SOC of different forest types, management practices or disturbance regimes, and SOC</w:t>
      </w:r>
      <w:r>
        <w:rPr>
          <w:vertAlign w:val="subscript"/>
        </w:rPr>
        <w:t>ref</w:t>
      </w:r>
      <w:r>
        <w:rPr>
          <w:vertAlign w:val="baseline"/>
        </w:rPr>
        <w:t> for their own native, unmanaged forest ecosystems. Domestic values for the transition period T should be developed, and the assumption of linear rates of SOC change can be modified to better reflect the actual temporal dynamics of soil carbon sequestration or</w:t>
      </w:r>
      <w:r>
        <w:rPr>
          <w:spacing w:val="-16"/>
          <w:vertAlign w:val="baseline"/>
        </w:rPr>
        <w:t> </w:t>
      </w:r>
      <w:r>
        <w:rPr>
          <w:vertAlign w:val="baseline"/>
        </w:rPr>
        <w:t>release.</w:t>
      </w:r>
    </w:p>
    <w:p>
      <w:pPr>
        <w:pStyle w:val="BodyText"/>
        <w:spacing w:before="119"/>
        <w:ind w:left="219" w:right="265"/>
        <w:jc w:val="both"/>
      </w:pPr>
      <w:r>
        <w:rPr>
          <w:b/>
        </w:rPr>
        <w:t>Tier 3: </w:t>
      </w:r>
      <w:r>
        <w:rPr/>
        <w:t>Tier 3 is appropriate for countries where emissions/removals in the mineral soils of managed forests are important, while current knowledge and available data allow the development of an accurate and comprehensive domestic estimation methodology. This involves the development, validation and implementation of a domestic monitoring scheme and/or modelling tool and its associated parameters. The basic elements of any country- specific approach are (adapted from Webbnet Land Resource Services Pty ltd, 1999):</w:t>
      </w:r>
    </w:p>
    <w:p>
      <w:pPr>
        <w:pStyle w:val="BodyText"/>
        <w:tabs>
          <w:tab w:pos="579" w:val="left" w:leader="none"/>
        </w:tabs>
        <w:spacing w:line="223" w:lineRule="auto" w:before="146"/>
        <w:ind w:left="576" w:right="354" w:hanging="358"/>
      </w:pPr>
      <w:r>
        <w:rPr>
          <w:rFonts w:ascii="Symbol" w:hAnsi="Symbol"/>
        </w:rPr>
        <w:t>•</w:t>
        <w:tab/>
        <w:tab/>
      </w:r>
      <w:r>
        <w:rPr/>
        <w:t>Stratification by climatic zones, major forest types and management regimes coherent with those used for other sections of the inventory, especially the other carbon pools under this Section</w:t>
      </w:r>
      <w:r>
        <w:rPr>
          <w:spacing w:val="-18"/>
        </w:rPr>
        <w:t> </w:t>
      </w:r>
      <w:r>
        <w:rPr/>
        <w:t>3.2.1;</w:t>
      </w:r>
    </w:p>
    <w:p>
      <w:pPr>
        <w:pStyle w:val="BodyText"/>
        <w:spacing w:before="139"/>
        <w:ind w:left="219"/>
        <w:jc w:val="both"/>
      </w:pPr>
      <w:r>
        <w:rPr>
          <w:rFonts w:ascii="Symbol" w:hAnsi="Symbol"/>
        </w:rPr>
        <w:t>• </w:t>
      </w:r>
      <w:r>
        <w:rPr/>
        <w:t>Determination of dominant soil types in each stratum;</w:t>
      </w:r>
    </w:p>
    <w:p>
      <w:pPr>
        <w:pStyle w:val="BodyText"/>
        <w:tabs>
          <w:tab w:pos="579" w:val="left" w:leader="none"/>
        </w:tabs>
        <w:spacing w:line="223" w:lineRule="auto" w:before="128"/>
        <w:ind w:left="576" w:right="354" w:hanging="358"/>
      </w:pPr>
      <w:r>
        <w:rPr>
          <w:rFonts w:ascii="Symbol" w:hAnsi="Symbol"/>
        </w:rPr>
        <w:t>•</w:t>
        <w:tab/>
        <w:tab/>
      </w:r>
      <w:r>
        <w:rPr/>
        <w:t>Characterisation of corresponding soil carbon pools, identification of determinant processes in SOC input and output rates and the conditions under which these processes occur; and</w:t>
      </w:r>
    </w:p>
    <w:p>
      <w:pPr>
        <w:pStyle w:val="BodyText"/>
        <w:spacing w:line="237" w:lineRule="auto" w:before="141"/>
        <w:ind w:left="576" w:right="262" w:hanging="358"/>
        <w:jc w:val="both"/>
      </w:pPr>
      <w:r>
        <w:rPr>
          <w:rFonts w:ascii="Symbol" w:hAnsi="Symbol"/>
        </w:rPr>
        <w:t>• </w:t>
      </w:r>
      <w:r>
        <w:rPr/>
        <w:t>Determination and implementation of suitable methods to estimate carbon emissions/removals from forest  soils for each stratum on an operational basis, including validation procedures; methodological considerations should include the combination of monitoring activities – such as repeated forest soil inventories - and modelling studies, and the establishment of benchmark sites. Further guidance on good soil monitoring practices is available in the scientific literature (Kimble </w:t>
      </w:r>
      <w:r>
        <w:rPr>
          <w:i/>
        </w:rPr>
        <w:t>et al.</w:t>
      </w:r>
      <w:r>
        <w:rPr/>
        <w:t>, 2003; Lal </w:t>
      </w:r>
      <w:r>
        <w:rPr>
          <w:i/>
        </w:rPr>
        <w:t>et al.</w:t>
      </w:r>
      <w:r>
        <w:rPr/>
        <w:t>, 2001; McKenzie </w:t>
      </w:r>
      <w:r>
        <w:rPr>
          <w:i/>
        </w:rPr>
        <w:t>et al.</w:t>
      </w:r>
      <w:r>
        <w:rPr/>
        <w:t>, 2000), and Section 5.3 provides generic guidance on sampling techniques. Models developed or adapted for this purpose should be peer-reviewed, and validated with observations representative of the ecosystems under study and independent from the calibration</w:t>
      </w:r>
      <w:r>
        <w:rPr>
          <w:spacing w:val="-8"/>
        </w:rPr>
        <w:t> </w:t>
      </w:r>
      <w:r>
        <w:rPr/>
        <w:t>data.</w:t>
      </w:r>
    </w:p>
    <w:p>
      <w:pPr>
        <w:pStyle w:val="BodyText"/>
        <w:spacing w:before="121"/>
        <w:ind w:left="219" w:right="262"/>
        <w:jc w:val="both"/>
      </w:pPr>
      <w:r>
        <w:rPr/>
        <w:t>The methodology should be comprehensive, and include all managed forest lands and all anthropogenic influence on SOC dynamics. Some assumptions underlying Tier 3 estimation procedures may depart from those inherent to the default methodology, provided sound scientific basis underlies new assumptions. Tier 3 may also include factors that influence emissions and removals of C from forest soils that are not included in the default approach. Finally, Tier 3 calculations are expected to be more refined temporally and spatially. It is </w:t>
      </w:r>
      <w:r>
        <w:rPr>
          <w:i/>
        </w:rPr>
        <w:t>good practice</w:t>
      </w:r>
      <w:r>
        <w:rPr/>
        <w:t>, at Tier-3 accounting level, to include SOC in an integrated ecosystem assessment of all forest carbon pools, with explicit linkages between the soil, biomass and dead organic matter</w:t>
      </w:r>
      <w:r>
        <w:rPr>
          <w:spacing w:val="-7"/>
        </w:rPr>
        <w:t> </w:t>
      </w:r>
      <w:r>
        <w:rPr/>
        <w:t>pools.</w:t>
      </w:r>
    </w:p>
    <w:p>
      <w:pPr>
        <w:pStyle w:val="BodyText"/>
        <w:spacing w:before="118"/>
        <w:ind w:left="219" w:right="263"/>
        <w:jc w:val="both"/>
      </w:pPr>
      <w:r>
        <w:rPr/>
        <w:t>The national methodology should include a strong verification component, in which independent data are collected for the verification of the applicability of defaults values and national parameters. Verification activities should take place at a number of spatial and temporal scales, and may incorporate data from basic inventory methods, remote sensing and modelling. Chapter 5 elaborates on general approaches to the verification of inventory</w:t>
      </w:r>
      <w:r>
        <w:rPr>
          <w:spacing w:val="-7"/>
        </w:rPr>
        <w:t> </w:t>
      </w:r>
      <w:r>
        <w:rPr/>
        <w:t>estimates.</w:t>
      </w:r>
    </w:p>
    <w:p>
      <w:pPr>
        <w:pStyle w:val="BodyText"/>
        <w:spacing w:before="5"/>
        <w:rPr>
          <w:sz w:val="21"/>
        </w:rPr>
      </w:pPr>
    </w:p>
    <w:p>
      <w:pPr>
        <w:spacing w:line="227" w:lineRule="exact" w:before="0"/>
        <w:ind w:left="219" w:right="0" w:firstLine="0"/>
        <w:jc w:val="both"/>
        <w:rPr>
          <w:b/>
          <w:sz w:val="20"/>
        </w:rPr>
      </w:pPr>
      <w:r>
        <w:rPr>
          <w:b/>
          <w:spacing w:val="17"/>
          <w:sz w:val="20"/>
        </w:rPr>
        <w:t>ORGANIC</w:t>
      </w:r>
      <w:r>
        <w:rPr>
          <w:b/>
          <w:spacing w:val="33"/>
          <w:sz w:val="20"/>
        </w:rPr>
        <w:t> </w:t>
      </w:r>
      <w:r>
        <w:rPr>
          <w:b/>
          <w:spacing w:val="16"/>
          <w:sz w:val="20"/>
        </w:rPr>
        <w:t>SOILS</w:t>
      </w:r>
    </w:p>
    <w:p>
      <w:pPr>
        <w:pStyle w:val="BodyText"/>
        <w:ind w:left="219" w:right="263"/>
        <w:jc w:val="both"/>
      </w:pPr>
      <w:r>
        <w:rPr/>
        <w:t>Current knowledge and data limitations constrain the development of a default methodology for estimating CO</w:t>
      </w:r>
      <w:r>
        <w:rPr>
          <w:vertAlign w:val="subscript"/>
        </w:rPr>
        <w:t>2</w:t>
      </w:r>
      <w:r>
        <w:rPr>
          <w:vertAlign w:val="baseline"/>
        </w:rPr>
        <w:t> emissions to and from drained, organic forest soils. Guidance will be limited to the estimation of carbon emissions associated with the drainage of organic soils in managed forests (Equation 3.2.15).</w:t>
      </w:r>
    </w:p>
    <w:p>
      <w:pPr>
        <w:spacing w:after="0"/>
        <w:jc w:val="both"/>
        <w:sectPr>
          <w:pgSz w:w="11900" w:h="16840"/>
          <w:pgMar w:header="230" w:footer="408" w:top="560" w:bottom="600" w:left="1200" w:right="1140"/>
        </w:sectPr>
      </w:pPr>
    </w:p>
    <w:p>
      <w:pPr>
        <w:pStyle w:val="BodyText"/>
      </w:pPr>
    </w:p>
    <w:p>
      <w:pPr>
        <w:pStyle w:val="BodyText"/>
        <w:spacing w:before="10" w:after="1"/>
        <w:rPr>
          <w:sz w:val="18"/>
        </w:rPr>
      </w:pPr>
    </w:p>
    <w:p>
      <w:pPr>
        <w:pStyle w:val="BodyText"/>
        <w:ind w:left="624"/>
      </w:pPr>
      <w:r>
        <w:rPr>
          <w:position w:val="0"/>
        </w:rPr>
        <w:pict>
          <v:shape style="width:411.5pt;height:52.95pt;mso-position-horizontal-relative:char;mso-position-vertical-relative:line" type="#_x0000_t202" filled="false" stroked="true" strokeweight="1.44pt" strokecolor="#000000">
            <w10:anchorlock/>
            <v:textbox inset="0,0,0,0">
              <w:txbxContent>
                <w:p>
                  <w:pPr>
                    <w:spacing w:line="229" w:lineRule="exact" w:before="99"/>
                    <w:ind w:left="67" w:right="68" w:firstLine="0"/>
                    <w:jc w:val="center"/>
                    <w:rPr>
                      <w:b/>
                      <w:sz w:val="20"/>
                    </w:rPr>
                  </w:pPr>
                  <w:r>
                    <w:rPr>
                      <w:b/>
                      <w:sz w:val="20"/>
                    </w:rPr>
                    <w:t>E</w:t>
                  </w:r>
                  <w:r>
                    <w:rPr>
                      <w:b/>
                      <w:sz w:val="16"/>
                    </w:rPr>
                    <w:t>QUATION </w:t>
                  </w:r>
                  <w:r>
                    <w:rPr>
                      <w:b/>
                      <w:sz w:val="20"/>
                    </w:rPr>
                    <w:t>3.2.15</w:t>
                  </w:r>
                </w:p>
                <w:p>
                  <w:pPr>
                    <w:spacing w:line="229" w:lineRule="exact" w:before="0"/>
                    <w:ind w:left="68" w:right="68" w:firstLine="0"/>
                    <w:jc w:val="center"/>
                    <w:rPr>
                      <w:b/>
                      <w:sz w:val="16"/>
                    </w:rPr>
                  </w:pPr>
                  <w:r>
                    <w:rPr>
                      <w:b/>
                      <w:sz w:val="20"/>
                    </w:rPr>
                    <w:t>CO</w:t>
                  </w:r>
                  <w:r>
                    <w:rPr>
                      <w:b/>
                      <w:sz w:val="20"/>
                      <w:vertAlign w:val="subscript"/>
                    </w:rPr>
                    <w:t>2</w:t>
                  </w:r>
                  <w:r>
                    <w:rPr>
                      <w:b/>
                      <w:sz w:val="20"/>
                      <w:vertAlign w:val="baseline"/>
                    </w:rPr>
                    <w:t> </w:t>
                  </w:r>
                  <w:r>
                    <w:rPr>
                      <w:b/>
                      <w:sz w:val="16"/>
                      <w:vertAlign w:val="baseline"/>
                    </w:rPr>
                    <w:t>EMISSIONS FROM DRAINED ORGANIC FOREST SOILS</w:t>
                  </w:r>
                </w:p>
                <w:p>
                  <w:pPr>
                    <w:spacing w:before="80"/>
                    <w:ind w:left="68" w:right="68" w:firstLine="0"/>
                    <w:jc w:val="center"/>
                    <w:rPr>
                      <w:sz w:val="13"/>
                    </w:rPr>
                  </w:pPr>
                  <w:r>
                    <w:rPr>
                      <w:position w:val="3"/>
                      <w:sz w:val="20"/>
                    </w:rPr>
                    <w:t>∆C</w:t>
                  </w:r>
                  <w:r>
                    <w:rPr>
                      <w:sz w:val="13"/>
                    </w:rPr>
                    <w:t>FF</w:t>
                  </w:r>
                  <w:r>
                    <w:rPr>
                      <w:position w:val="-5"/>
                      <w:sz w:val="13"/>
                    </w:rPr>
                    <w:t>Organic  </w:t>
                  </w:r>
                  <w:r>
                    <w:rPr>
                      <w:position w:val="3"/>
                      <w:sz w:val="20"/>
                    </w:rPr>
                    <w:t>= A</w:t>
                  </w:r>
                  <w:r>
                    <w:rPr>
                      <w:sz w:val="13"/>
                    </w:rPr>
                    <w:t>Drained  </w:t>
                  </w:r>
                  <w:r>
                    <w:rPr>
                      <w:position w:val="3"/>
                      <w:sz w:val="20"/>
                    </w:rPr>
                    <w:t>● EF</w:t>
                  </w:r>
                  <w:r>
                    <w:rPr>
                      <w:sz w:val="13"/>
                    </w:rPr>
                    <w:t>Drainage</w:t>
                  </w:r>
                </w:p>
              </w:txbxContent>
            </v:textbox>
            <v:stroke dashstyle="solid"/>
          </v:shape>
        </w:pict>
      </w:r>
      <w:r>
        <w:rPr>
          <w:position w:val="0"/>
        </w:rPr>
      </w:r>
    </w:p>
    <w:p>
      <w:pPr>
        <w:pStyle w:val="BodyText"/>
        <w:spacing w:before="12"/>
        <w:ind w:left="219"/>
      </w:pPr>
      <w:r>
        <w:rPr/>
        <w:t>Where:</w:t>
      </w:r>
    </w:p>
    <w:p>
      <w:pPr>
        <w:pStyle w:val="BodyText"/>
        <w:tabs>
          <w:tab w:pos="1651" w:val="left" w:leader="none"/>
        </w:tabs>
        <w:spacing w:line="193" w:lineRule="exact" w:before="120"/>
        <w:ind w:left="785"/>
      </w:pPr>
      <w:r>
        <w:rPr/>
        <w:pict>
          <v:shape style="position:absolute;margin-left:112.000603pt;margin-top:11.121856pt;width:55.95pt;height:7.2pt;mso-position-horizontal-relative:page;mso-position-vertical-relative:paragraph;z-index:-2449288" type="#_x0000_t202" filled="false" stroked="false">
            <v:textbox inset="0,0,0,0">
              <w:txbxContent>
                <w:p>
                  <w:pPr>
                    <w:tabs>
                      <w:tab w:pos="1053" w:val="left" w:leader="none"/>
                    </w:tabs>
                    <w:spacing w:line="144" w:lineRule="exact" w:before="0"/>
                    <w:ind w:left="0" w:right="0" w:firstLine="0"/>
                    <w:jc w:val="left"/>
                    <w:rPr>
                      <w:sz w:val="13"/>
                    </w:rPr>
                  </w:pPr>
                  <w:r>
                    <w:rPr>
                      <w:sz w:val="13"/>
                    </w:rPr>
                    <w:t>FF</w:t>
                    <w:tab/>
                  </w:r>
                  <w:r>
                    <w:rPr>
                      <w:spacing w:val="-20"/>
                      <w:sz w:val="13"/>
                    </w:rPr>
                    <w:t>2</w:t>
                  </w:r>
                </w:p>
              </w:txbxContent>
            </v:textbox>
            <w10:wrap type="none"/>
          </v:shape>
        </w:pict>
      </w:r>
      <w:r>
        <w:rPr/>
        <w:t>∆C</w:t>
        <w:tab/>
        <w:t>= CO emissions from drained organic forest soils, tonnes C</w:t>
      </w:r>
      <w:r>
        <w:rPr>
          <w:spacing w:val="15"/>
        </w:rPr>
        <w:t> </w:t>
      </w:r>
      <w:r>
        <w:rPr/>
        <w:t>yr</w:t>
      </w:r>
      <w:r>
        <w:rPr>
          <w:vertAlign w:val="superscript"/>
        </w:rPr>
        <w:t>-1</w:t>
      </w:r>
    </w:p>
    <w:p>
      <w:pPr>
        <w:spacing w:line="113" w:lineRule="exact" w:before="0"/>
        <w:ind w:left="1184" w:right="0" w:firstLine="0"/>
        <w:jc w:val="left"/>
        <w:rPr>
          <w:sz w:val="13"/>
        </w:rPr>
      </w:pPr>
      <w:r>
        <w:rPr>
          <w:sz w:val="13"/>
        </w:rPr>
        <w:t>Organic</w:t>
      </w:r>
    </w:p>
    <w:p>
      <w:pPr>
        <w:pStyle w:val="BodyText"/>
        <w:spacing w:before="104"/>
        <w:ind w:left="785"/>
      </w:pPr>
      <w:r>
        <w:rPr/>
        <w:t>A</w:t>
      </w:r>
      <w:r>
        <w:rPr>
          <w:vertAlign w:val="subscript"/>
        </w:rPr>
        <w:t>Drained</w:t>
      </w:r>
      <w:r>
        <w:rPr>
          <w:vertAlign w:val="baseline"/>
        </w:rPr>
        <w:t> = area of drained organic forest soils, ha</w:t>
      </w:r>
    </w:p>
    <w:p>
      <w:pPr>
        <w:pStyle w:val="BodyText"/>
        <w:spacing w:before="121"/>
        <w:ind w:left="785"/>
      </w:pPr>
      <w:r>
        <w:rPr/>
        <w:t>EF</w:t>
      </w:r>
      <w:r>
        <w:rPr>
          <w:vertAlign w:val="subscript"/>
        </w:rPr>
        <w:t>Drainage</w:t>
      </w:r>
      <w:r>
        <w:rPr>
          <w:vertAlign w:val="baseline"/>
        </w:rPr>
        <w:t> = emission factor for CO</w:t>
      </w:r>
      <w:r>
        <w:rPr>
          <w:vertAlign w:val="subscript"/>
        </w:rPr>
        <w:t>2</w:t>
      </w:r>
      <w:r>
        <w:rPr>
          <w:vertAlign w:val="baseline"/>
        </w:rPr>
        <w:t> from drained organic forest soils, tonnes C ha</w:t>
      </w:r>
      <w:r>
        <w:rPr>
          <w:vertAlign w:val="superscript"/>
        </w:rPr>
        <w:t>-1</w:t>
      </w:r>
      <w:r>
        <w:rPr>
          <w:vertAlign w:val="baseline"/>
        </w:rPr>
        <w:t> yr</w:t>
      </w:r>
      <w:r>
        <w:rPr>
          <w:vertAlign w:val="superscript"/>
        </w:rPr>
        <w:t>-1</w:t>
      </w:r>
      <w:r>
        <w:rPr>
          <w:vertAlign w:val="baseline"/>
        </w:rPr>
        <w:t> (see Table 3.2.3)</w:t>
      </w:r>
    </w:p>
    <w:p>
      <w:pPr>
        <w:pStyle w:val="BodyText"/>
      </w:pPr>
    </w:p>
    <w:p>
      <w:pPr>
        <w:pStyle w:val="BodyText"/>
        <w:spacing w:before="3"/>
        <w:rPr>
          <w:sz w:val="21"/>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5"/>
      </w:tblGrid>
      <w:tr>
        <w:trPr>
          <w:trHeight w:val="534" w:hRule="atLeast"/>
        </w:trPr>
        <w:tc>
          <w:tcPr>
            <w:tcW w:w="9015" w:type="dxa"/>
            <w:gridSpan w:val="3"/>
            <w:tcBorders>
              <w:bottom w:val="double" w:sz="1" w:space="0" w:color="000000"/>
            </w:tcBorders>
          </w:tcPr>
          <w:p>
            <w:pPr>
              <w:pStyle w:val="TableParagraph"/>
              <w:spacing w:before="59"/>
              <w:ind w:left="130" w:right="123"/>
              <w:jc w:val="center"/>
              <w:rPr>
                <w:b/>
                <w:sz w:val="18"/>
              </w:rPr>
            </w:pPr>
            <w:r>
              <w:rPr>
                <w:b/>
                <w:sz w:val="18"/>
              </w:rPr>
              <w:t>T</w:t>
            </w:r>
            <w:r>
              <w:rPr>
                <w:b/>
                <w:sz w:val="14"/>
              </w:rPr>
              <w:t>ABLE </w:t>
            </w:r>
            <w:r>
              <w:rPr>
                <w:b/>
                <w:sz w:val="18"/>
              </w:rPr>
              <w:t>3.2.3</w:t>
            </w:r>
          </w:p>
          <w:p>
            <w:pPr>
              <w:pStyle w:val="TableParagraph"/>
              <w:spacing w:before="2"/>
              <w:ind w:left="131" w:right="123"/>
              <w:jc w:val="center"/>
              <w:rPr>
                <w:b/>
                <w:sz w:val="14"/>
              </w:rPr>
            </w:pPr>
            <w:r>
              <w:rPr>
                <w:b/>
                <w:sz w:val="18"/>
              </w:rPr>
              <w:t>D</w:t>
            </w:r>
            <w:r>
              <w:rPr>
                <w:b/>
                <w:sz w:val="14"/>
              </w:rPr>
              <w:t>EFAULT VALUES FOR </w:t>
            </w:r>
            <w:r>
              <w:rPr>
                <w:b/>
                <w:sz w:val="18"/>
              </w:rPr>
              <w:t>CO</w:t>
            </w:r>
            <w:r>
              <w:rPr>
                <w:b/>
                <w:position w:val="-2"/>
                <w:sz w:val="12"/>
              </w:rPr>
              <w:t>2</w:t>
            </w:r>
            <w:r>
              <w:rPr>
                <w:b/>
                <w:sz w:val="18"/>
              </w:rPr>
              <w:t>-C </w:t>
            </w:r>
            <w:r>
              <w:rPr>
                <w:b/>
                <w:sz w:val="14"/>
              </w:rPr>
              <w:t>EMISSION FACTOR FOR DRAINED ORGANIC SOILS IN MANAGED FORESTS</w:t>
            </w:r>
          </w:p>
        </w:tc>
      </w:tr>
      <w:tr>
        <w:trPr>
          <w:trHeight w:val="327" w:hRule="atLeast"/>
        </w:trPr>
        <w:tc>
          <w:tcPr>
            <w:tcW w:w="3005" w:type="dxa"/>
            <w:vMerge w:val="restart"/>
            <w:tcBorders>
              <w:top w:val="double" w:sz="1" w:space="0" w:color="000000"/>
            </w:tcBorders>
          </w:tcPr>
          <w:p>
            <w:pPr>
              <w:pStyle w:val="TableParagraph"/>
              <w:spacing w:before="61"/>
              <w:ind w:left="131" w:right="122"/>
              <w:jc w:val="center"/>
              <w:rPr>
                <w:b/>
                <w:sz w:val="18"/>
              </w:rPr>
            </w:pPr>
            <w:r>
              <w:rPr>
                <w:b/>
                <w:sz w:val="18"/>
              </w:rPr>
              <w:t>Biomes</w:t>
            </w:r>
          </w:p>
        </w:tc>
        <w:tc>
          <w:tcPr>
            <w:tcW w:w="6010" w:type="dxa"/>
            <w:gridSpan w:val="2"/>
            <w:tcBorders>
              <w:top w:val="double" w:sz="1" w:space="0" w:color="000000"/>
            </w:tcBorders>
          </w:tcPr>
          <w:p>
            <w:pPr>
              <w:pStyle w:val="TableParagraph"/>
              <w:spacing w:before="61"/>
              <w:ind w:left="1585"/>
              <w:rPr>
                <w:b/>
                <w:sz w:val="18"/>
              </w:rPr>
            </w:pPr>
            <w:r>
              <w:rPr>
                <w:b/>
                <w:sz w:val="18"/>
              </w:rPr>
              <w:t>Emissions factors (tonnes C ha</w:t>
            </w:r>
            <w:r>
              <w:rPr>
                <w:b/>
                <w:sz w:val="18"/>
                <w:vertAlign w:val="superscript"/>
              </w:rPr>
              <w:t>-1</w:t>
            </w:r>
            <w:r>
              <w:rPr>
                <w:b/>
                <w:sz w:val="18"/>
                <w:vertAlign w:val="baseline"/>
              </w:rPr>
              <w:t> yr</w:t>
            </w:r>
            <w:r>
              <w:rPr>
                <w:b/>
                <w:sz w:val="18"/>
                <w:vertAlign w:val="superscript"/>
              </w:rPr>
              <w:t>-1</w:t>
            </w:r>
            <w:r>
              <w:rPr>
                <w:b/>
                <w:sz w:val="18"/>
                <w:vertAlign w:val="baseline"/>
              </w:rPr>
              <w:t>)</w:t>
            </w:r>
          </w:p>
        </w:tc>
      </w:tr>
      <w:tr>
        <w:trPr>
          <w:trHeight w:val="325" w:hRule="atLeast"/>
        </w:trPr>
        <w:tc>
          <w:tcPr>
            <w:tcW w:w="3005" w:type="dxa"/>
            <w:vMerge/>
            <w:tcBorders>
              <w:top w:val="nil"/>
            </w:tcBorders>
          </w:tcPr>
          <w:p>
            <w:pPr>
              <w:rPr>
                <w:sz w:val="2"/>
                <w:szCs w:val="2"/>
              </w:rPr>
            </w:pPr>
          </w:p>
        </w:tc>
        <w:tc>
          <w:tcPr>
            <w:tcW w:w="3005" w:type="dxa"/>
          </w:tcPr>
          <w:p>
            <w:pPr>
              <w:pStyle w:val="TableParagraph"/>
              <w:spacing w:before="59"/>
              <w:ind w:left="130" w:right="122"/>
              <w:jc w:val="center"/>
              <w:rPr>
                <w:b/>
                <w:sz w:val="18"/>
              </w:rPr>
            </w:pPr>
            <w:r>
              <w:rPr>
                <w:b/>
                <w:sz w:val="18"/>
              </w:rPr>
              <w:t>Values</w:t>
            </w:r>
          </w:p>
        </w:tc>
        <w:tc>
          <w:tcPr>
            <w:tcW w:w="3005" w:type="dxa"/>
          </w:tcPr>
          <w:p>
            <w:pPr>
              <w:pStyle w:val="TableParagraph"/>
              <w:spacing w:before="59"/>
              <w:ind w:left="131" w:right="122"/>
              <w:jc w:val="center"/>
              <w:rPr>
                <w:b/>
                <w:sz w:val="18"/>
              </w:rPr>
            </w:pPr>
            <w:r>
              <w:rPr>
                <w:b/>
                <w:sz w:val="18"/>
              </w:rPr>
              <w:t>Ranges</w:t>
            </w:r>
          </w:p>
        </w:tc>
      </w:tr>
      <w:tr>
        <w:trPr>
          <w:trHeight w:val="328" w:hRule="atLeast"/>
        </w:trPr>
        <w:tc>
          <w:tcPr>
            <w:tcW w:w="3005" w:type="dxa"/>
          </w:tcPr>
          <w:p>
            <w:pPr>
              <w:pStyle w:val="TableParagraph"/>
              <w:spacing w:before="55"/>
              <w:ind w:left="132" w:right="122"/>
              <w:jc w:val="center"/>
              <w:rPr>
                <w:sz w:val="18"/>
              </w:rPr>
            </w:pPr>
            <w:r>
              <w:rPr>
                <w:sz w:val="18"/>
              </w:rPr>
              <w:t>Tropical forests</w:t>
            </w:r>
          </w:p>
        </w:tc>
        <w:tc>
          <w:tcPr>
            <w:tcW w:w="3005" w:type="dxa"/>
          </w:tcPr>
          <w:p>
            <w:pPr>
              <w:pStyle w:val="TableParagraph"/>
              <w:spacing w:before="55"/>
              <w:ind w:left="130" w:right="122"/>
              <w:jc w:val="center"/>
              <w:rPr>
                <w:sz w:val="18"/>
              </w:rPr>
            </w:pPr>
            <w:r>
              <w:rPr>
                <w:sz w:val="18"/>
              </w:rPr>
              <w:t>1.36</w:t>
            </w:r>
          </w:p>
        </w:tc>
        <w:tc>
          <w:tcPr>
            <w:tcW w:w="3005" w:type="dxa"/>
          </w:tcPr>
          <w:p>
            <w:pPr>
              <w:pStyle w:val="TableParagraph"/>
              <w:spacing w:before="55"/>
              <w:ind w:left="128" w:right="122"/>
              <w:jc w:val="center"/>
              <w:rPr>
                <w:sz w:val="18"/>
              </w:rPr>
            </w:pPr>
            <w:r>
              <w:rPr>
                <w:sz w:val="18"/>
              </w:rPr>
              <w:t>0.82 – 3.82</w:t>
            </w:r>
          </w:p>
        </w:tc>
      </w:tr>
      <w:tr>
        <w:trPr>
          <w:trHeight w:val="325" w:hRule="atLeast"/>
        </w:trPr>
        <w:tc>
          <w:tcPr>
            <w:tcW w:w="3005" w:type="dxa"/>
          </w:tcPr>
          <w:p>
            <w:pPr>
              <w:pStyle w:val="TableParagraph"/>
              <w:spacing w:before="55"/>
              <w:ind w:left="132" w:right="122"/>
              <w:jc w:val="center"/>
              <w:rPr>
                <w:sz w:val="18"/>
              </w:rPr>
            </w:pPr>
            <w:r>
              <w:rPr>
                <w:sz w:val="18"/>
              </w:rPr>
              <w:t>Temperate forests</w:t>
            </w:r>
          </w:p>
        </w:tc>
        <w:tc>
          <w:tcPr>
            <w:tcW w:w="3005" w:type="dxa"/>
          </w:tcPr>
          <w:p>
            <w:pPr>
              <w:pStyle w:val="TableParagraph"/>
              <w:spacing w:before="55"/>
              <w:ind w:left="130" w:right="122"/>
              <w:jc w:val="center"/>
              <w:rPr>
                <w:sz w:val="18"/>
              </w:rPr>
            </w:pPr>
            <w:r>
              <w:rPr>
                <w:sz w:val="18"/>
              </w:rPr>
              <w:t>0.68</w:t>
            </w:r>
          </w:p>
        </w:tc>
        <w:tc>
          <w:tcPr>
            <w:tcW w:w="3005" w:type="dxa"/>
          </w:tcPr>
          <w:p>
            <w:pPr>
              <w:pStyle w:val="TableParagraph"/>
              <w:spacing w:before="55"/>
              <w:ind w:left="128" w:right="122"/>
              <w:jc w:val="center"/>
              <w:rPr>
                <w:sz w:val="18"/>
              </w:rPr>
            </w:pPr>
            <w:r>
              <w:rPr>
                <w:sz w:val="18"/>
              </w:rPr>
              <w:t>0.41 – 1.91</w:t>
            </w:r>
          </w:p>
        </w:tc>
      </w:tr>
      <w:tr>
        <w:trPr>
          <w:trHeight w:val="328" w:hRule="atLeast"/>
        </w:trPr>
        <w:tc>
          <w:tcPr>
            <w:tcW w:w="3005" w:type="dxa"/>
          </w:tcPr>
          <w:p>
            <w:pPr>
              <w:pStyle w:val="TableParagraph"/>
              <w:spacing w:before="55"/>
              <w:ind w:left="131" w:right="122"/>
              <w:jc w:val="center"/>
              <w:rPr>
                <w:sz w:val="18"/>
              </w:rPr>
            </w:pPr>
            <w:r>
              <w:rPr>
                <w:sz w:val="18"/>
              </w:rPr>
              <w:t>Boreal forests</w:t>
            </w:r>
          </w:p>
        </w:tc>
        <w:tc>
          <w:tcPr>
            <w:tcW w:w="3005" w:type="dxa"/>
          </w:tcPr>
          <w:p>
            <w:pPr>
              <w:pStyle w:val="TableParagraph"/>
              <w:spacing w:before="55"/>
              <w:ind w:left="130" w:right="122"/>
              <w:jc w:val="center"/>
              <w:rPr>
                <w:sz w:val="18"/>
              </w:rPr>
            </w:pPr>
            <w:r>
              <w:rPr>
                <w:sz w:val="18"/>
              </w:rPr>
              <w:t>0.16</w:t>
            </w:r>
          </w:p>
        </w:tc>
        <w:tc>
          <w:tcPr>
            <w:tcW w:w="3005" w:type="dxa"/>
          </w:tcPr>
          <w:p>
            <w:pPr>
              <w:pStyle w:val="TableParagraph"/>
              <w:spacing w:before="55"/>
              <w:ind w:left="128" w:right="122"/>
              <w:jc w:val="center"/>
              <w:rPr>
                <w:sz w:val="18"/>
              </w:rPr>
            </w:pPr>
            <w:r>
              <w:rPr>
                <w:sz w:val="18"/>
              </w:rPr>
              <w:t>0.08 – 1.09</w:t>
            </w:r>
          </w:p>
        </w:tc>
      </w:tr>
    </w:tbl>
    <w:p>
      <w:pPr>
        <w:pStyle w:val="BodyText"/>
        <w:spacing w:before="4"/>
        <w:rPr>
          <w:sz w:val="11"/>
        </w:rPr>
      </w:pPr>
    </w:p>
    <w:p>
      <w:pPr>
        <w:pStyle w:val="BodyText"/>
        <w:spacing w:before="90"/>
        <w:ind w:left="219" w:right="266"/>
        <w:jc w:val="both"/>
      </w:pPr>
      <w:r>
        <w:rPr/>
        <w:t>Emissions are assumed to continue for as long as the aerobic organic layer remains and the soil is considered to be an organic soil.</w:t>
      </w:r>
    </w:p>
    <w:p>
      <w:pPr>
        <w:pStyle w:val="BodyText"/>
        <w:spacing w:before="121"/>
        <w:ind w:left="219" w:right="264"/>
        <w:jc w:val="both"/>
      </w:pPr>
      <w:r>
        <w:rPr>
          <w:b/>
        </w:rPr>
        <w:t>Tier 1: </w:t>
      </w:r>
      <w:r>
        <w:rPr/>
        <w:t>Tier 1 calculation procedures involve producing country-specific data on the area of drained, organic forest soils and applying the appropriate default emissions factor. This tier is appropriate for countries in which this subcategory is not significant, and in case where representative EF</w:t>
      </w:r>
      <w:r>
        <w:rPr>
          <w:vertAlign w:val="subscript"/>
        </w:rPr>
        <w:t>Drainage</w:t>
      </w:r>
      <w:r>
        <w:rPr>
          <w:vertAlign w:val="baseline"/>
        </w:rPr>
        <w:t> values are not available.</w:t>
      </w:r>
    </w:p>
    <w:p>
      <w:pPr>
        <w:pStyle w:val="BodyText"/>
        <w:spacing w:before="122"/>
        <w:ind w:left="219" w:right="267"/>
        <w:jc w:val="both"/>
      </w:pPr>
      <w:r>
        <w:rPr>
          <w:b/>
        </w:rPr>
        <w:t>Tier 2: </w:t>
      </w:r>
      <w:r>
        <w:rPr/>
        <w:t>Tier 2 is suitable for countries where this subcategory is significant; these countries should develop or select representative EF</w:t>
      </w:r>
      <w:r>
        <w:rPr>
          <w:vertAlign w:val="subscript"/>
        </w:rPr>
        <w:t>Drainage</w:t>
      </w:r>
      <w:r>
        <w:rPr>
          <w:vertAlign w:val="baseline"/>
        </w:rPr>
        <w:t> values.</w:t>
      </w:r>
    </w:p>
    <w:p>
      <w:pPr>
        <w:pStyle w:val="BodyText"/>
        <w:spacing w:before="118"/>
        <w:ind w:left="219" w:right="264"/>
        <w:jc w:val="both"/>
      </w:pPr>
      <w:r>
        <w:rPr>
          <w:b/>
        </w:rPr>
        <w:t>Tier 3: </w:t>
      </w:r>
      <w:r>
        <w:rPr/>
        <w:t>Tier 3 methodology involves the estimation of CO</w:t>
      </w:r>
      <w:r>
        <w:rPr>
          <w:vertAlign w:val="subscript"/>
        </w:rPr>
        <w:t>2</w:t>
      </w:r>
      <w:r>
        <w:rPr>
          <w:vertAlign w:val="baseline"/>
        </w:rPr>
        <w:t>-C emissions and removals associated with the entire area of forested organic soils, including all anthropogenic activities likely to alter the hydrological regime, surface temperature and vegetation composition of forested organic soils; and major disturbances such as fires. It is </w:t>
      </w:r>
      <w:r>
        <w:rPr>
          <w:i/>
          <w:vertAlign w:val="baseline"/>
        </w:rPr>
        <w:t>good practice</w:t>
      </w:r>
      <w:r>
        <w:rPr>
          <w:vertAlign w:val="baseline"/>
        </w:rPr>
        <w:t>, in Tier 3 estimation procedures, to conduct a full carbon balance of forested organic soils, including fluxes of both CO</w:t>
      </w:r>
      <w:r>
        <w:rPr>
          <w:vertAlign w:val="subscript"/>
        </w:rPr>
        <w:t>2</w:t>
      </w:r>
      <w:r>
        <w:rPr>
          <w:vertAlign w:val="baseline"/>
        </w:rPr>
        <w:t> and CH</w:t>
      </w:r>
      <w:r>
        <w:rPr>
          <w:vertAlign w:val="subscript"/>
        </w:rPr>
        <w:t>4</w:t>
      </w:r>
      <w:r>
        <w:rPr>
          <w:vertAlign w:val="baseline"/>
        </w:rPr>
        <w:t>. Tier 3 methodologies should also be consistent with the estimation procedures for non-CO</w:t>
      </w:r>
      <w:r>
        <w:rPr>
          <w:vertAlign w:val="subscript"/>
        </w:rPr>
        <w:t>2</w:t>
      </w:r>
      <w:r>
        <w:rPr>
          <w:vertAlign w:val="baseline"/>
        </w:rPr>
        <w:t> GHG in Section 3.2.1.4. Tier 3 estimation procedures are appropriate if a country’s managed forest includes extensive areas of organic soils.</w:t>
      </w:r>
    </w:p>
    <w:p>
      <w:pPr>
        <w:pStyle w:val="BodyText"/>
        <w:spacing w:before="121"/>
        <w:ind w:left="219" w:right="266"/>
        <w:jc w:val="both"/>
      </w:pPr>
      <w:r>
        <w:rPr/>
        <w:t>Figure 3.1.1 (Section 3.1) provides guidance in the selection of tiers for the estimation of CO</w:t>
      </w:r>
      <w:r>
        <w:rPr>
          <w:vertAlign w:val="subscript"/>
        </w:rPr>
        <w:t>2</w:t>
      </w:r>
      <w:r>
        <w:rPr>
          <w:vertAlign w:val="baseline"/>
        </w:rPr>
        <w:t> emissions from drained, organic forest soils.</w:t>
      </w:r>
    </w:p>
    <w:p>
      <w:pPr>
        <w:pStyle w:val="BodyText"/>
        <w:spacing w:before="4"/>
        <w:rPr>
          <w:sz w:val="21"/>
        </w:rPr>
      </w:pPr>
    </w:p>
    <w:p>
      <w:pPr>
        <w:pStyle w:val="Heading6"/>
        <w:numPr>
          <w:ilvl w:val="5"/>
          <w:numId w:val="48"/>
        </w:numPr>
        <w:tabs>
          <w:tab w:pos="1662" w:val="left" w:leader="none"/>
        </w:tabs>
        <w:spacing w:line="240" w:lineRule="auto" w:before="0" w:after="0"/>
        <w:ind w:left="1661" w:right="0" w:hanging="1442"/>
        <w:jc w:val="both"/>
      </w:pPr>
      <w:r>
        <w:rPr/>
        <w:t>2 </w:t>
      </w:r>
      <w:r>
        <w:rPr>
          <w:spacing w:val="15"/>
        </w:rPr>
        <w:t>Choice </w:t>
      </w:r>
      <w:r>
        <w:rPr>
          <w:spacing w:val="9"/>
        </w:rPr>
        <w:t>of </w:t>
      </w:r>
      <w:r>
        <w:rPr>
          <w:spacing w:val="17"/>
        </w:rPr>
        <w:t>Emission/Removal</w:t>
      </w:r>
      <w:r>
        <w:rPr>
          <w:spacing w:val="11"/>
        </w:rPr>
        <w:t> </w:t>
      </w:r>
      <w:r>
        <w:rPr>
          <w:spacing w:val="19"/>
        </w:rPr>
        <w:t>Factors</w:t>
      </w:r>
    </w:p>
    <w:p>
      <w:pPr>
        <w:spacing w:line="228" w:lineRule="exact" w:before="179"/>
        <w:ind w:left="219" w:right="0" w:firstLine="0"/>
        <w:jc w:val="both"/>
        <w:rPr>
          <w:b/>
          <w:sz w:val="20"/>
        </w:rPr>
      </w:pPr>
      <w:r>
        <w:rPr>
          <w:b/>
          <w:sz w:val="20"/>
        </w:rPr>
        <w:t>MINERAL SOILS</w:t>
      </w:r>
    </w:p>
    <w:p>
      <w:pPr>
        <w:pStyle w:val="BodyText"/>
        <w:spacing w:line="228" w:lineRule="exact"/>
        <w:ind w:left="219"/>
        <w:jc w:val="both"/>
      </w:pPr>
      <w:r>
        <w:rPr/>
        <w:t>The parameters to be estimated are SOC</w:t>
      </w:r>
      <w:r>
        <w:rPr>
          <w:i/>
          <w:vertAlign w:val="subscript"/>
        </w:rPr>
        <w:t>i,j</w:t>
      </w:r>
      <w:r>
        <w:rPr>
          <w:vertAlign w:val="baseline"/>
        </w:rPr>
        <w:t>, T</w:t>
      </w:r>
      <w:r>
        <w:rPr>
          <w:i/>
          <w:vertAlign w:val="subscript"/>
        </w:rPr>
        <w:t>ij</w:t>
      </w:r>
      <w:r>
        <w:rPr>
          <w:vertAlign w:val="baseline"/>
        </w:rPr>
        <w:t>, SOC</w:t>
      </w:r>
      <w:r>
        <w:rPr>
          <w:vertAlign w:val="subscript"/>
        </w:rPr>
        <w:t>ref</w:t>
      </w:r>
      <w:r>
        <w:rPr>
          <w:vertAlign w:val="baseline"/>
        </w:rPr>
        <w:t> , f</w:t>
      </w:r>
      <w:r>
        <w:rPr>
          <w:vertAlign w:val="subscript"/>
        </w:rPr>
        <w:t>forest</w:t>
      </w:r>
      <w:r>
        <w:rPr>
          <w:vertAlign w:val="baseline"/>
        </w:rPr>
        <w:t> </w:t>
      </w:r>
      <w:r>
        <w:rPr>
          <w:vertAlign w:val="subscript"/>
        </w:rPr>
        <w:t>type</w:t>
      </w:r>
      <w:r>
        <w:rPr>
          <w:vertAlign w:val="baseline"/>
        </w:rPr>
        <w:t>, f</w:t>
      </w:r>
      <w:r>
        <w:rPr>
          <w:vertAlign w:val="subscript"/>
        </w:rPr>
        <w:t>man</w:t>
      </w:r>
      <w:r>
        <w:rPr>
          <w:vertAlign w:val="baseline"/>
        </w:rPr>
        <w:t> </w:t>
      </w:r>
      <w:r>
        <w:rPr>
          <w:vertAlign w:val="subscript"/>
        </w:rPr>
        <w:t>intensity</w:t>
      </w:r>
      <w:r>
        <w:rPr>
          <w:vertAlign w:val="baseline"/>
        </w:rPr>
        <w:t>, and f</w:t>
      </w:r>
      <w:r>
        <w:rPr>
          <w:vertAlign w:val="subscript"/>
        </w:rPr>
        <w:t>dist</w:t>
      </w:r>
      <w:r>
        <w:rPr>
          <w:vertAlign w:val="baseline"/>
        </w:rPr>
        <w:t> </w:t>
      </w:r>
      <w:r>
        <w:rPr>
          <w:vertAlign w:val="subscript"/>
        </w:rPr>
        <w:t>regime</w:t>
      </w:r>
      <w:r>
        <w:rPr>
          <w:vertAlign w:val="baseline"/>
        </w:rPr>
        <w:t>.</w:t>
      </w:r>
    </w:p>
    <w:p>
      <w:pPr>
        <w:pStyle w:val="BodyText"/>
        <w:spacing w:before="120"/>
        <w:ind w:left="219" w:right="268"/>
        <w:jc w:val="both"/>
      </w:pPr>
      <w:r>
        <w:rPr>
          <w:b/>
        </w:rPr>
        <w:t>Tier 1: </w:t>
      </w:r>
      <w:r>
        <w:rPr/>
        <w:t>The current state of knowledge on managed forest soils does not allow the derivation of default soil carbon stock parameters (SOC</w:t>
      </w:r>
      <w:r>
        <w:rPr>
          <w:i/>
          <w:vertAlign w:val="subscript"/>
        </w:rPr>
        <w:t>i,j</w:t>
      </w:r>
      <w:r>
        <w:rPr>
          <w:vertAlign w:val="baseline"/>
        </w:rPr>
        <w:t>). Default values for SOC</w:t>
      </w:r>
      <w:r>
        <w:rPr>
          <w:vertAlign w:val="subscript"/>
        </w:rPr>
        <w:t>ref</w:t>
      </w:r>
      <w:r>
        <w:rPr>
          <w:vertAlign w:val="baseline"/>
        </w:rPr>
        <w:t>, the organic carbon content of mineral forest soils under native vegetation, for 0-30 cm depth, are provided in Table 3.2.4.</w:t>
      </w:r>
    </w:p>
    <w:p>
      <w:pPr>
        <w:pStyle w:val="BodyText"/>
        <w:spacing w:before="119"/>
        <w:ind w:left="219" w:right="266"/>
        <w:jc w:val="both"/>
      </w:pPr>
      <w:r>
        <w:rPr>
          <w:b/>
        </w:rPr>
        <w:t>Tier 2: </w:t>
      </w:r>
      <w:r>
        <w:rPr/>
        <w:t>Countries provide their own values of SOC</w:t>
      </w:r>
      <w:r>
        <w:rPr>
          <w:vertAlign w:val="subscript"/>
        </w:rPr>
        <w:t>ref</w:t>
      </w:r>
      <w:r>
        <w:rPr>
          <w:vertAlign w:val="baseline"/>
        </w:rPr>
        <w:t>, compiled from published studies or surveys representative of major native forest and soil types. Such values are typically obtained through the development and/or compilation of large soil profile databases (Scott </w:t>
      </w:r>
      <w:r>
        <w:rPr>
          <w:i/>
          <w:vertAlign w:val="baseline"/>
        </w:rPr>
        <w:t>et al.</w:t>
      </w:r>
      <w:r>
        <w:rPr>
          <w:vertAlign w:val="baseline"/>
        </w:rPr>
        <w:t>, 2002; NSSC, 1997; Siltanen </w:t>
      </w:r>
      <w:r>
        <w:rPr>
          <w:i/>
          <w:vertAlign w:val="baseline"/>
        </w:rPr>
        <w:t>et al.</w:t>
      </w:r>
      <w:r>
        <w:rPr>
          <w:vertAlign w:val="baseline"/>
        </w:rPr>
        <w:t>, 1997).</w:t>
      </w:r>
    </w:p>
    <w:p>
      <w:pPr>
        <w:pStyle w:val="BodyText"/>
        <w:spacing w:before="121"/>
        <w:ind w:left="219" w:right="265"/>
        <w:jc w:val="both"/>
      </w:pPr>
      <w:r>
        <w:rPr/>
        <w:t>The carbon content per unit area (or carbon stocks) should be reported in tonnes C ha</w:t>
      </w:r>
      <w:r>
        <w:rPr>
          <w:vertAlign w:val="superscript"/>
        </w:rPr>
        <w:t>-1</w:t>
      </w:r>
      <w:r>
        <w:rPr>
          <w:vertAlign w:val="baseline"/>
        </w:rPr>
        <w:t> for a given soil depth or layer (e.g. to 100 cm, or for the 0-30 cm layer). As shown in Equation 3.2.16, total SOC contents is obtained by summing the SOC contents of the constituent soil horizons or layers; the SOC content of each horizon or layer is calculated by multiplying the concentration of soil organic carbon in a sample (g C (kg soil)</w:t>
      </w:r>
      <w:r>
        <w:rPr>
          <w:vertAlign w:val="superscript"/>
        </w:rPr>
        <w:t>-1</w:t>
      </w:r>
      <w:r>
        <w:rPr>
          <w:vertAlign w:val="baseline"/>
        </w:rPr>
        <w:t>), with the corresponding depth and bulk density (Mg m</w:t>
      </w:r>
      <w:r>
        <w:rPr>
          <w:vertAlign w:val="superscript"/>
        </w:rPr>
        <w:t>-3</w:t>
      </w:r>
      <w:r>
        <w:rPr>
          <w:vertAlign w:val="baseline"/>
        </w:rPr>
        <w:t>) and adjusting for the soil volume occupied by coarse fragments:</w:t>
      </w:r>
    </w:p>
    <w:p>
      <w:pPr>
        <w:spacing w:after="0"/>
        <w:jc w:val="both"/>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9"/>
        <w:gridCol w:w="1087"/>
        <w:gridCol w:w="1176"/>
        <w:gridCol w:w="1176"/>
        <w:gridCol w:w="1176"/>
        <w:gridCol w:w="1344"/>
        <w:gridCol w:w="1176"/>
      </w:tblGrid>
      <w:tr>
        <w:trPr>
          <w:trHeight w:val="740" w:hRule="atLeast"/>
        </w:trPr>
        <w:tc>
          <w:tcPr>
            <w:tcW w:w="9014" w:type="dxa"/>
            <w:gridSpan w:val="7"/>
            <w:tcBorders>
              <w:bottom w:val="double" w:sz="1" w:space="0" w:color="000000"/>
            </w:tcBorders>
          </w:tcPr>
          <w:p>
            <w:pPr>
              <w:pStyle w:val="TableParagraph"/>
              <w:spacing w:before="59"/>
              <w:ind w:left="122" w:right="114"/>
              <w:jc w:val="center"/>
              <w:rPr>
                <w:b/>
                <w:sz w:val="18"/>
              </w:rPr>
            </w:pPr>
            <w:r>
              <w:rPr>
                <w:b/>
                <w:sz w:val="18"/>
              </w:rPr>
              <w:t>T</w:t>
            </w:r>
            <w:r>
              <w:rPr>
                <w:b/>
                <w:sz w:val="14"/>
              </w:rPr>
              <w:t>ABLE </w:t>
            </w:r>
            <w:r>
              <w:rPr>
                <w:b/>
                <w:sz w:val="18"/>
              </w:rPr>
              <w:t>3.2.4</w:t>
            </w:r>
          </w:p>
          <w:p>
            <w:pPr>
              <w:pStyle w:val="TableParagraph"/>
              <w:spacing w:line="215" w:lineRule="exact" w:before="2"/>
              <w:ind w:left="123" w:right="114"/>
              <w:jc w:val="center"/>
              <w:rPr>
                <w:b/>
                <w:sz w:val="18"/>
              </w:rPr>
            </w:pPr>
            <w:r>
              <w:rPr>
                <w:b/>
                <w:sz w:val="18"/>
              </w:rPr>
              <w:t>D</w:t>
            </w:r>
            <w:r>
              <w:rPr>
                <w:b/>
                <w:sz w:val="14"/>
              </w:rPr>
              <w:t>EFAULT REFERENCE </w:t>
            </w:r>
            <w:r>
              <w:rPr>
                <w:b/>
                <w:sz w:val="18"/>
              </w:rPr>
              <w:t>(</w:t>
            </w:r>
            <w:r>
              <w:rPr>
                <w:b/>
                <w:sz w:val="14"/>
              </w:rPr>
              <w:t>UNDER NATIVE VEGETATION</w:t>
            </w:r>
            <w:r>
              <w:rPr>
                <w:b/>
                <w:sz w:val="18"/>
              </w:rPr>
              <w:t>) </w:t>
            </w:r>
            <w:r>
              <w:rPr>
                <w:b/>
                <w:sz w:val="14"/>
              </w:rPr>
              <w:t>SOIL ORGANIC </w:t>
            </w:r>
            <w:r>
              <w:rPr>
                <w:b/>
                <w:sz w:val="18"/>
              </w:rPr>
              <w:t>C </w:t>
            </w:r>
            <w:r>
              <w:rPr>
                <w:b/>
                <w:sz w:val="14"/>
              </w:rPr>
              <w:t>STOCKS </w:t>
            </w:r>
            <w:r>
              <w:rPr>
                <w:b/>
                <w:sz w:val="18"/>
              </w:rPr>
              <w:t>(SOC</w:t>
            </w:r>
            <w:r>
              <w:rPr>
                <w:b/>
                <w:position w:val="-2"/>
                <w:sz w:val="12"/>
              </w:rPr>
              <w:t>R</w:t>
            </w:r>
            <w:r>
              <w:rPr>
                <w:b/>
                <w:position w:val="-2"/>
                <w:sz w:val="10"/>
              </w:rPr>
              <w:t>EF</w:t>
            </w:r>
            <w:r>
              <w:rPr>
                <w:b/>
                <w:sz w:val="18"/>
              </w:rPr>
              <w:t>)</w:t>
            </w:r>
          </w:p>
          <w:p>
            <w:pPr>
              <w:pStyle w:val="TableParagraph"/>
              <w:spacing w:line="198" w:lineRule="exact"/>
              <w:ind w:left="121" w:right="114"/>
              <w:jc w:val="center"/>
              <w:rPr>
                <w:b/>
                <w:sz w:val="18"/>
              </w:rPr>
            </w:pPr>
            <w:r>
              <w:rPr>
                <w:b/>
                <w:sz w:val="18"/>
              </w:rPr>
              <w:t>(tonnes C per ha for 0-30 cm depth)</w:t>
            </w:r>
          </w:p>
        </w:tc>
      </w:tr>
      <w:tr>
        <w:trPr>
          <w:trHeight w:val="534" w:hRule="atLeast"/>
        </w:trPr>
        <w:tc>
          <w:tcPr>
            <w:tcW w:w="1879" w:type="dxa"/>
            <w:tcBorders>
              <w:top w:val="double" w:sz="1" w:space="0" w:color="000000"/>
            </w:tcBorders>
          </w:tcPr>
          <w:p>
            <w:pPr>
              <w:pStyle w:val="TableParagraph"/>
              <w:spacing w:before="165"/>
              <w:ind w:left="107"/>
              <w:rPr>
                <w:b/>
                <w:sz w:val="18"/>
              </w:rPr>
            </w:pPr>
            <w:r>
              <w:rPr>
                <w:b/>
                <w:sz w:val="18"/>
              </w:rPr>
              <w:t>Region</w:t>
            </w:r>
          </w:p>
        </w:tc>
        <w:tc>
          <w:tcPr>
            <w:tcW w:w="1087" w:type="dxa"/>
            <w:tcBorders>
              <w:top w:val="double" w:sz="1" w:space="0" w:color="000000"/>
            </w:tcBorders>
          </w:tcPr>
          <w:p>
            <w:pPr>
              <w:pStyle w:val="TableParagraph"/>
              <w:spacing w:before="165"/>
              <w:ind w:left="62" w:right="87"/>
              <w:jc w:val="center"/>
              <w:rPr>
                <w:b/>
                <w:sz w:val="18"/>
              </w:rPr>
            </w:pPr>
            <w:r>
              <w:rPr>
                <w:b/>
                <w:sz w:val="18"/>
              </w:rPr>
              <w:t>HAC soils</w:t>
            </w:r>
            <w:r>
              <w:rPr>
                <w:b/>
                <w:sz w:val="18"/>
                <w:vertAlign w:val="superscript"/>
              </w:rPr>
              <w:t>1</w:t>
            </w:r>
          </w:p>
        </w:tc>
        <w:tc>
          <w:tcPr>
            <w:tcW w:w="1176" w:type="dxa"/>
            <w:tcBorders>
              <w:top w:val="double" w:sz="1" w:space="0" w:color="000000"/>
            </w:tcBorders>
          </w:tcPr>
          <w:p>
            <w:pPr>
              <w:pStyle w:val="TableParagraph"/>
              <w:spacing w:before="165"/>
              <w:ind w:left="108"/>
              <w:rPr>
                <w:b/>
                <w:sz w:val="18"/>
              </w:rPr>
            </w:pPr>
            <w:r>
              <w:rPr>
                <w:b/>
                <w:sz w:val="18"/>
              </w:rPr>
              <w:t>LAC soils</w:t>
            </w:r>
            <w:r>
              <w:rPr>
                <w:b/>
                <w:sz w:val="18"/>
                <w:vertAlign w:val="superscript"/>
              </w:rPr>
              <w:t>2</w:t>
            </w:r>
          </w:p>
        </w:tc>
        <w:tc>
          <w:tcPr>
            <w:tcW w:w="1176" w:type="dxa"/>
            <w:tcBorders>
              <w:top w:val="double" w:sz="1" w:space="0" w:color="000000"/>
            </w:tcBorders>
          </w:tcPr>
          <w:p>
            <w:pPr>
              <w:pStyle w:val="TableParagraph"/>
              <w:spacing w:before="165"/>
              <w:ind w:left="49" w:right="82"/>
              <w:jc w:val="center"/>
              <w:rPr>
                <w:b/>
                <w:sz w:val="18"/>
              </w:rPr>
            </w:pPr>
            <w:r>
              <w:rPr>
                <w:b/>
                <w:sz w:val="18"/>
              </w:rPr>
              <w:t>Sandy soils</w:t>
            </w:r>
            <w:r>
              <w:rPr>
                <w:b/>
                <w:sz w:val="18"/>
                <w:vertAlign w:val="superscript"/>
              </w:rPr>
              <w:t>3</w:t>
            </w:r>
          </w:p>
        </w:tc>
        <w:tc>
          <w:tcPr>
            <w:tcW w:w="1176" w:type="dxa"/>
            <w:tcBorders>
              <w:top w:val="double" w:sz="1" w:space="0" w:color="000000"/>
            </w:tcBorders>
          </w:tcPr>
          <w:p>
            <w:pPr>
              <w:pStyle w:val="TableParagraph"/>
              <w:spacing w:before="165"/>
              <w:ind w:left="85" w:right="82"/>
              <w:jc w:val="center"/>
              <w:rPr>
                <w:b/>
                <w:sz w:val="18"/>
              </w:rPr>
            </w:pPr>
            <w:r>
              <w:rPr>
                <w:b/>
                <w:sz w:val="18"/>
              </w:rPr>
              <w:t>Spodic soils</w:t>
            </w:r>
            <w:r>
              <w:rPr>
                <w:b/>
                <w:sz w:val="18"/>
                <w:vertAlign w:val="superscript"/>
              </w:rPr>
              <w:t>4</w:t>
            </w:r>
          </w:p>
        </w:tc>
        <w:tc>
          <w:tcPr>
            <w:tcW w:w="1344" w:type="dxa"/>
            <w:tcBorders>
              <w:top w:val="double" w:sz="1" w:space="0" w:color="000000"/>
            </w:tcBorders>
          </w:tcPr>
          <w:p>
            <w:pPr>
              <w:pStyle w:val="TableParagraph"/>
              <w:spacing w:before="165"/>
              <w:ind w:left="79" w:right="90"/>
              <w:jc w:val="center"/>
              <w:rPr>
                <w:b/>
                <w:sz w:val="18"/>
              </w:rPr>
            </w:pPr>
            <w:r>
              <w:rPr>
                <w:b/>
                <w:sz w:val="18"/>
              </w:rPr>
              <w:t>Volcanic soils</w:t>
            </w:r>
            <w:r>
              <w:rPr>
                <w:b/>
                <w:sz w:val="18"/>
                <w:vertAlign w:val="superscript"/>
              </w:rPr>
              <w:t>5</w:t>
            </w:r>
          </w:p>
        </w:tc>
        <w:tc>
          <w:tcPr>
            <w:tcW w:w="1176" w:type="dxa"/>
            <w:tcBorders>
              <w:top w:val="double" w:sz="1" w:space="0" w:color="000000"/>
            </w:tcBorders>
          </w:tcPr>
          <w:p>
            <w:pPr>
              <w:pStyle w:val="TableParagraph"/>
              <w:spacing w:before="61"/>
              <w:ind w:left="108"/>
              <w:rPr>
                <w:b/>
                <w:sz w:val="18"/>
              </w:rPr>
            </w:pPr>
            <w:r>
              <w:rPr>
                <w:b/>
                <w:sz w:val="18"/>
              </w:rPr>
              <w:t>Wetlands soils</w:t>
            </w:r>
            <w:r>
              <w:rPr>
                <w:b/>
                <w:sz w:val="18"/>
                <w:vertAlign w:val="superscript"/>
              </w:rPr>
              <w:t>6</w:t>
            </w:r>
          </w:p>
        </w:tc>
      </w:tr>
      <w:tr>
        <w:trPr>
          <w:trHeight w:val="287" w:hRule="atLeast"/>
        </w:trPr>
        <w:tc>
          <w:tcPr>
            <w:tcW w:w="1879" w:type="dxa"/>
          </w:tcPr>
          <w:p>
            <w:pPr>
              <w:pStyle w:val="TableParagraph"/>
              <w:spacing w:before="35"/>
              <w:ind w:left="107"/>
              <w:rPr>
                <w:sz w:val="18"/>
              </w:rPr>
            </w:pPr>
            <w:r>
              <w:rPr>
                <w:sz w:val="18"/>
              </w:rPr>
              <w:t>Boreal</w:t>
            </w:r>
          </w:p>
        </w:tc>
        <w:tc>
          <w:tcPr>
            <w:tcW w:w="1087" w:type="dxa"/>
          </w:tcPr>
          <w:p>
            <w:pPr>
              <w:pStyle w:val="TableParagraph"/>
              <w:spacing w:before="35"/>
              <w:ind w:left="89" w:right="81"/>
              <w:jc w:val="center"/>
              <w:rPr>
                <w:sz w:val="18"/>
              </w:rPr>
            </w:pPr>
            <w:r>
              <w:rPr>
                <w:sz w:val="18"/>
              </w:rPr>
              <w:t>68</w:t>
            </w:r>
          </w:p>
        </w:tc>
        <w:tc>
          <w:tcPr>
            <w:tcW w:w="1176" w:type="dxa"/>
          </w:tcPr>
          <w:p>
            <w:pPr>
              <w:pStyle w:val="TableParagraph"/>
              <w:spacing w:before="35"/>
              <w:ind w:left="87" w:right="77"/>
              <w:jc w:val="center"/>
              <w:rPr>
                <w:sz w:val="18"/>
              </w:rPr>
            </w:pPr>
            <w:r>
              <w:rPr>
                <w:sz w:val="18"/>
              </w:rPr>
              <w:t>NA</w:t>
            </w:r>
          </w:p>
        </w:tc>
        <w:tc>
          <w:tcPr>
            <w:tcW w:w="1176" w:type="dxa"/>
          </w:tcPr>
          <w:p>
            <w:pPr>
              <w:pStyle w:val="TableParagraph"/>
              <w:spacing w:before="35"/>
              <w:ind w:left="87" w:right="79"/>
              <w:jc w:val="center"/>
              <w:rPr>
                <w:sz w:val="18"/>
              </w:rPr>
            </w:pPr>
            <w:r>
              <w:rPr>
                <w:sz w:val="18"/>
              </w:rPr>
              <w:t>10</w:t>
            </w:r>
            <w:r>
              <w:rPr>
                <w:sz w:val="18"/>
                <w:vertAlign w:val="superscript"/>
              </w:rPr>
              <w:t>#</w:t>
            </w:r>
          </w:p>
        </w:tc>
        <w:tc>
          <w:tcPr>
            <w:tcW w:w="1176" w:type="dxa"/>
          </w:tcPr>
          <w:p>
            <w:pPr>
              <w:pStyle w:val="TableParagraph"/>
              <w:spacing w:before="35"/>
              <w:ind w:left="87" w:right="78"/>
              <w:jc w:val="center"/>
              <w:rPr>
                <w:sz w:val="18"/>
              </w:rPr>
            </w:pPr>
            <w:r>
              <w:rPr>
                <w:sz w:val="18"/>
              </w:rPr>
              <w:t>117</w:t>
            </w:r>
          </w:p>
        </w:tc>
        <w:tc>
          <w:tcPr>
            <w:tcW w:w="1344" w:type="dxa"/>
          </w:tcPr>
          <w:p>
            <w:pPr>
              <w:pStyle w:val="TableParagraph"/>
              <w:spacing w:before="35"/>
              <w:ind w:left="89" w:right="82"/>
              <w:jc w:val="center"/>
              <w:rPr>
                <w:sz w:val="18"/>
              </w:rPr>
            </w:pPr>
            <w:r>
              <w:rPr>
                <w:sz w:val="18"/>
              </w:rPr>
              <w:t>20</w:t>
            </w:r>
            <w:r>
              <w:rPr>
                <w:sz w:val="18"/>
                <w:vertAlign w:val="superscript"/>
              </w:rPr>
              <w:t>#</w:t>
            </w:r>
          </w:p>
        </w:tc>
        <w:tc>
          <w:tcPr>
            <w:tcW w:w="1176" w:type="dxa"/>
          </w:tcPr>
          <w:p>
            <w:pPr>
              <w:pStyle w:val="TableParagraph"/>
              <w:spacing w:before="35"/>
              <w:ind w:left="87" w:right="78"/>
              <w:jc w:val="center"/>
              <w:rPr>
                <w:sz w:val="18"/>
              </w:rPr>
            </w:pPr>
            <w:r>
              <w:rPr>
                <w:sz w:val="18"/>
              </w:rPr>
              <w:t>146</w:t>
            </w:r>
          </w:p>
        </w:tc>
      </w:tr>
      <w:tr>
        <w:trPr>
          <w:trHeight w:val="290" w:hRule="atLeast"/>
        </w:trPr>
        <w:tc>
          <w:tcPr>
            <w:tcW w:w="1879" w:type="dxa"/>
          </w:tcPr>
          <w:p>
            <w:pPr>
              <w:pStyle w:val="TableParagraph"/>
              <w:spacing w:before="35"/>
              <w:ind w:left="107"/>
              <w:rPr>
                <w:sz w:val="18"/>
              </w:rPr>
            </w:pPr>
            <w:r>
              <w:rPr>
                <w:sz w:val="18"/>
              </w:rPr>
              <w:t>Cold temperate, dry</w:t>
            </w:r>
          </w:p>
        </w:tc>
        <w:tc>
          <w:tcPr>
            <w:tcW w:w="1087" w:type="dxa"/>
          </w:tcPr>
          <w:p>
            <w:pPr>
              <w:pStyle w:val="TableParagraph"/>
              <w:spacing w:before="35"/>
              <w:ind w:left="89" w:right="79"/>
              <w:jc w:val="center"/>
              <w:rPr>
                <w:sz w:val="18"/>
              </w:rPr>
            </w:pPr>
            <w:r>
              <w:rPr>
                <w:sz w:val="18"/>
              </w:rPr>
              <w:t>50</w:t>
            </w:r>
          </w:p>
        </w:tc>
        <w:tc>
          <w:tcPr>
            <w:tcW w:w="1176" w:type="dxa"/>
          </w:tcPr>
          <w:p>
            <w:pPr>
              <w:pStyle w:val="TableParagraph"/>
              <w:spacing w:before="35"/>
              <w:ind w:left="87" w:right="75"/>
              <w:jc w:val="center"/>
              <w:rPr>
                <w:sz w:val="18"/>
              </w:rPr>
            </w:pPr>
            <w:r>
              <w:rPr>
                <w:sz w:val="18"/>
              </w:rPr>
              <w:t>33</w:t>
            </w:r>
          </w:p>
        </w:tc>
        <w:tc>
          <w:tcPr>
            <w:tcW w:w="1176" w:type="dxa"/>
          </w:tcPr>
          <w:p>
            <w:pPr>
              <w:pStyle w:val="TableParagraph"/>
              <w:spacing w:before="35"/>
              <w:ind w:left="87" w:right="76"/>
              <w:jc w:val="center"/>
              <w:rPr>
                <w:sz w:val="18"/>
              </w:rPr>
            </w:pPr>
            <w:r>
              <w:rPr>
                <w:sz w:val="18"/>
              </w:rPr>
              <w:t>34</w:t>
            </w:r>
          </w:p>
        </w:tc>
        <w:tc>
          <w:tcPr>
            <w:tcW w:w="1176" w:type="dxa"/>
          </w:tcPr>
          <w:p>
            <w:pPr>
              <w:pStyle w:val="TableParagraph"/>
              <w:spacing w:before="35"/>
              <w:ind w:left="87" w:right="76"/>
              <w:jc w:val="center"/>
              <w:rPr>
                <w:sz w:val="18"/>
              </w:rPr>
            </w:pPr>
            <w:r>
              <w:rPr>
                <w:sz w:val="18"/>
              </w:rPr>
              <w:t>NA</w:t>
            </w:r>
          </w:p>
        </w:tc>
        <w:tc>
          <w:tcPr>
            <w:tcW w:w="1344" w:type="dxa"/>
          </w:tcPr>
          <w:p>
            <w:pPr>
              <w:pStyle w:val="TableParagraph"/>
              <w:spacing w:before="35"/>
              <w:ind w:left="89" w:right="81"/>
              <w:jc w:val="center"/>
              <w:rPr>
                <w:sz w:val="18"/>
              </w:rPr>
            </w:pPr>
            <w:r>
              <w:rPr>
                <w:sz w:val="18"/>
              </w:rPr>
              <w:t>20</w:t>
            </w:r>
            <w:r>
              <w:rPr>
                <w:sz w:val="18"/>
                <w:vertAlign w:val="superscript"/>
              </w:rPr>
              <w:t>#</w:t>
            </w:r>
          </w:p>
        </w:tc>
        <w:tc>
          <w:tcPr>
            <w:tcW w:w="1176" w:type="dxa"/>
            <w:vMerge w:val="restart"/>
          </w:tcPr>
          <w:p>
            <w:pPr>
              <w:pStyle w:val="TableParagraph"/>
              <w:spacing w:before="179"/>
              <w:ind w:left="87" w:right="77"/>
              <w:jc w:val="center"/>
              <w:rPr>
                <w:sz w:val="18"/>
              </w:rPr>
            </w:pPr>
            <w:r>
              <w:rPr>
                <w:sz w:val="18"/>
              </w:rPr>
              <w:t>87</w:t>
            </w:r>
          </w:p>
        </w:tc>
      </w:tr>
      <w:tr>
        <w:trPr>
          <w:trHeight w:val="287" w:hRule="atLeast"/>
        </w:trPr>
        <w:tc>
          <w:tcPr>
            <w:tcW w:w="1879" w:type="dxa"/>
          </w:tcPr>
          <w:p>
            <w:pPr>
              <w:pStyle w:val="TableParagraph"/>
              <w:spacing w:before="35"/>
              <w:ind w:left="107"/>
              <w:rPr>
                <w:sz w:val="18"/>
              </w:rPr>
            </w:pPr>
            <w:r>
              <w:rPr>
                <w:sz w:val="18"/>
              </w:rPr>
              <w:t>Cold temperate, moist</w:t>
            </w:r>
          </w:p>
        </w:tc>
        <w:tc>
          <w:tcPr>
            <w:tcW w:w="1087" w:type="dxa"/>
          </w:tcPr>
          <w:p>
            <w:pPr>
              <w:pStyle w:val="TableParagraph"/>
              <w:spacing w:before="35"/>
              <w:ind w:left="89" w:right="77"/>
              <w:jc w:val="center"/>
              <w:rPr>
                <w:sz w:val="18"/>
              </w:rPr>
            </w:pPr>
            <w:r>
              <w:rPr>
                <w:sz w:val="18"/>
              </w:rPr>
              <w:t>95</w:t>
            </w:r>
          </w:p>
        </w:tc>
        <w:tc>
          <w:tcPr>
            <w:tcW w:w="1176" w:type="dxa"/>
          </w:tcPr>
          <w:p>
            <w:pPr>
              <w:pStyle w:val="TableParagraph"/>
              <w:spacing w:before="35"/>
              <w:ind w:left="87" w:right="74"/>
              <w:jc w:val="center"/>
              <w:rPr>
                <w:sz w:val="18"/>
              </w:rPr>
            </w:pPr>
            <w:r>
              <w:rPr>
                <w:sz w:val="18"/>
              </w:rPr>
              <w:t>85</w:t>
            </w:r>
          </w:p>
        </w:tc>
        <w:tc>
          <w:tcPr>
            <w:tcW w:w="1176" w:type="dxa"/>
          </w:tcPr>
          <w:p>
            <w:pPr>
              <w:pStyle w:val="TableParagraph"/>
              <w:spacing w:before="35"/>
              <w:ind w:left="87" w:right="75"/>
              <w:jc w:val="center"/>
              <w:rPr>
                <w:sz w:val="18"/>
              </w:rPr>
            </w:pPr>
            <w:r>
              <w:rPr>
                <w:sz w:val="18"/>
              </w:rPr>
              <w:t>71</w:t>
            </w:r>
          </w:p>
        </w:tc>
        <w:tc>
          <w:tcPr>
            <w:tcW w:w="1176" w:type="dxa"/>
          </w:tcPr>
          <w:p>
            <w:pPr>
              <w:pStyle w:val="TableParagraph"/>
              <w:spacing w:before="35"/>
              <w:ind w:left="87" w:right="76"/>
              <w:jc w:val="center"/>
              <w:rPr>
                <w:sz w:val="18"/>
              </w:rPr>
            </w:pPr>
            <w:r>
              <w:rPr>
                <w:sz w:val="18"/>
              </w:rPr>
              <w:t>115</w:t>
            </w:r>
          </w:p>
        </w:tc>
        <w:tc>
          <w:tcPr>
            <w:tcW w:w="1344" w:type="dxa"/>
          </w:tcPr>
          <w:p>
            <w:pPr>
              <w:pStyle w:val="TableParagraph"/>
              <w:spacing w:before="35"/>
              <w:ind w:left="89" w:right="79"/>
              <w:jc w:val="center"/>
              <w:rPr>
                <w:sz w:val="18"/>
              </w:rPr>
            </w:pPr>
            <w:r>
              <w:rPr>
                <w:sz w:val="18"/>
              </w:rPr>
              <w:t>130</w:t>
            </w:r>
          </w:p>
        </w:tc>
        <w:tc>
          <w:tcPr>
            <w:tcW w:w="1176" w:type="dxa"/>
            <w:vMerge/>
            <w:tcBorders>
              <w:top w:val="nil"/>
            </w:tcBorders>
          </w:tcPr>
          <w:p>
            <w:pPr>
              <w:rPr>
                <w:sz w:val="2"/>
                <w:szCs w:val="2"/>
              </w:rPr>
            </w:pPr>
          </w:p>
        </w:tc>
      </w:tr>
      <w:tr>
        <w:trPr>
          <w:trHeight w:val="287" w:hRule="atLeast"/>
        </w:trPr>
        <w:tc>
          <w:tcPr>
            <w:tcW w:w="1879" w:type="dxa"/>
          </w:tcPr>
          <w:p>
            <w:pPr>
              <w:pStyle w:val="TableParagraph"/>
              <w:spacing w:before="35"/>
              <w:ind w:left="107"/>
              <w:rPr>
                <w:sz w:val="18"/>
              </w:rPr>
            </w:pPr>
            <w:r>
              <w:rPr>
                <w:sz w:val="18"/>
              </w:rPr>
              <w:t>Warm temperate, dry</w:t>
            </w:r>
          </w:p>
        </w:tc>
        <w:tc>
          <w:tcPr>
            <w:tcW w:w="1087" w:type="dxa"/>
          </w:tcPr>
          <w:p>
            <w:pPr>
              <w:pStyle w:val="TableParagraph"/>
              <w:spacing w:before="35"/>
              <w:ind w:left="89" w:right="81"/>
              <w:jc w:val="center"/>
              <w:rPr>
                <w:sz w:val="18"/>
              </w:rPr>
            </w:pPr>
            <w:r>
              <w:rPr>
                <w:sz w:val="18"/>
              </w:rPr>
              <w:t>38</w:t>
            </w:r>
          </w:p>
        </w:tc>
        <w:tc>
          <w:tcPr>
            <w:tcW w:w="1176" w:type="dxa"/>
          </w:tcPr>
          <w:p>
            <w:pPr>
              <w:pStyle w:val="TableParagraph"/>
              <w:spacing w:before="35"/>
              <w:ind w:left="87" w:right="77"/>
              <w:jc w:val="center"/>
              <w:rPr>
                <w:sz w:val="18"/>
              </w:rPr>
            </w:pPr>
            <w:r>
              <w:rPr>
                <w:sz w:val="18"/>
              </w:rPr>
              <w:t>24</w:t>
            </w:r>
          </w:p>
        </w:tc>
        <w:tc>
          <w:tcPr>
            <w:tcW w:w="1176" w:type="dxa"/>
          </w:tcPr>
          <w:p>
            <w:pPr>
              <w:pStyle w:val="TableParagraph"/>
              <w:spacing w:before="35"/>
              <w:ind w:left="87" w:right="77"/>
              <w:jc w:val="center"/>
              <w:rPr>
                <w:sz w:val="18"/>
              </w:rPr>
            </w:pPr>
            <w:r>
              <w:rPr>
                <w:sz w:val="18"/>
              </w:rPr>
              <w:t>19</w:t>
            </w:r>
          </w:p>
        </w:tc>
        <w:tc>
          <w:tcPr>
            <w:tcW w:w="1176" w:type="dxa"/>
          </w:tcPr>
          <w:p>
            <w:pPr>
              <w:pStyle w:val="TableParagraph"/>
              <w:spacing w:before="35"/>
              <w:ind w:left="87" w:right="77"/>
              <w:jc w:val="center"/>
              <w:rPr>
                <w:sz w:val="18"/>
              </w:rPr>
            </w:pPr>
            <w:r>
              <w:rPr>
                <w:sz w:val="18"/>
              </w:rPr>
              <w:t>NA</w:t>
            </w:r>
          </w:p>
        </w:tc>
        <w:tc>
          <w:tcPr>
            <w:tcW w:w="1344" w:type="dxa"/>
          </w:tcPr>
          <w:p>
            <w:pPr>
              <w:pStyle w:val="TableParagraph"/>
              <w:spacing w:before="35"/>
              <w:ind w:left="89" w:right="82"/>
              <w:jc w:val="center"/>
              <w:rPr>
                <w:sz w:val="18"/>
              </w:rPr>
            </w:pPr>
            <w:r>
              <w:rPr>
                <w:sz w:val="18"/>
              </w:rPr>
              <w:t>70</w:t>
            </w:r>
            <w:r>
              <w:rPr>
                <w:sz w:val="18"/>
                <w:vertAlign w:val="superscript"/>
              </w:rPr>
              <w:t>#</w:t>
            </w:r>
          </w:p>
        </w:tc>
        <w:tc>
          <w:tcPr>
            <w:tcW w:w="1176" w:type="dxa"/>
            <w:vMerge w:val="restart"/>
          </w:tcPr>
          <w:p>
            <w:pPr>
              <w:pStyle w:val="TableParagraph"/>
              <w:rPr>
                <w:sz w:val="21"/>
              </w:rPr>
            </w:pPr>
          </w:p>
          <w:p>
            <w:pPr>
              <w:pStyle w:val="TableParagraph"/>
              <w:ind w:left="87" w:right="77"/>
              <w:jc w:val="center"/>
              <w:rPr>
                <w:sz w:val="18"/>
              </w:rPr>
            </w:pPr>
            <w:r>
              <w:rPr>
                <w:sz w:val="18"/>
              </w:rPr>
              <w:t>88</w:t>
            </w:r>
          </w:p>
        </w:tc>
      </w:tr>
      <w:tr>
        <w:trPr>
          <w:trHeight w:val="414" w:hRule="atLeast"/>
        </w:trPr>
        <w:tc>
          <w:tcPr>
            <w:tcW w:w="1879" w:type="dxa"/>
          </w:tcPr>
          <w:p>
            <w:pPr>
              <w:pStyle w:val="TableParagraph"/>
              <w:spacing w:line="202" w:lineRule="exact"/>
              <w:ind w:left="107"/>
              <w:rPr>
                <w:sz w:val="18"/>
              </w:rPr>
            </w:pPr>
            <w:r>
              <w:rPr>
                <w:sz w:val="18"/>
              </w:rPr>
              <w:t>Warm temperate,</w:t>
            </w:r>
          </w:p>
          <w:p>
            <w:pPr>
              <w:pStyle w:val="TableParagraph"/>
              <w:spacing w:line="193" w:lineRule="exact"/>
              <w:ind w:left="107"/>
              <w:rPr>
                <w:sz w:val="18"/>
              </w:rPr>
            </w:pPr>
            <w:r>
              <w:rPr>
                <w:sz w:val="18"/>
              </w:rPr>
              <w:t>moist</w:t>
            </w:r>
          </w:p>
        </w:tc>
        <w:tc>
          <w:tcPr>
            <w:tcW w:w="1087" w:type="dxa"/>
          </w:tcPr>
          <w:p>
            <w:pPr>
              <w:pStyle w:val="TableParagraph"/>
              <w:spacing w:before="98"/>
              <w:ind w:left="89" w:right="82"/>
              <w:jc w:val="center"/>
              <w:rPr>
                <w:sz w:val="18"/>
              </w:rPr>
            </w:pPr>
            <w:r>
              <w:rPr>
                <w:sz w:val="18"/>
              </w:rPr>
              <w:t>88</w:t>
            </w:r>
          </w:p>
        </w:tc>
        <w:tc>
          <w:tcPr>
            <w:tcW w:w="1176" w:type="dxa"/>
          </w:tcPr>
          <w:p>
            <w:pPr>
              <w:pStyle w:val="TableParagraph"/>
              <w:spacing w:before="98"/>
              <w:ind w:left="87" w:right="77"/>
              <w:jc w:val="center"/>
              <w:rPr>
                <w:sz w:val="18"/>
              </w:rPr>
            </w:pPr>
            <w:r>
              <w:rPr>
                <w:sz w:val="18"/>
              </w:rPr>
              <w:t>63</w:t>
            </w:r>
          </w:p>
        </w:tc>
        <w:tc>
          <w:tcPr>
            <w:tcW w:w="1176" w:type="dxa"/>
          </w:tcPr>
          <w:p>
            <w:pPr>
              <w:pStyle w:val="TableParagraph"/>
              <w:spacing w:before="98"/>
              <w:ind w:left="87" w:right="77"/>
              <w:jc w:val="center"/>
              <w:rPr>
                <w:sz w:val="18"/>
              </w:rPr>
            </w:pPr>
            <w:r>
              <w:rPr>
                <w:sz w:val="18"/>
              </w:rPr>
              <w:t>34</w:t>
            </w:r>
          </w:p>
        </w:tc>
        <w:tc>
          <w:tcPr>
            <w:tcW w:w="1176" w:type="dxa"/>
          </w:tcPr>
          <w:p>
            <w:pPr>
              <w:pStyle w:val="TableParagraph"/>
              <w:spacing w:before="98"/>
              <w:ind w:left="87" w:right="77"/>
              <w:jc w:val="center"/>
              <w:rPr>
                <w:sz w:val="18"/>
              </w:rPr>
            </w:pPr>
            <w:r>
              <w:rPr>
                <w:sz w:val="18"/>
              </w:rPr>
              <w:t>NA</w:t>
            </w:r>
          </w:p>
        </w:tc>
        <w:tc>
          <w:tcPr>
            <w:tcW w:w="1344" w:type="dxa"/>
          </w:tcPr>
          <w:p>
            <w:pPr>
              <w:pStyle w:val="TableParagraph"/>
              <w:spacing w:before="98"/>
              <w:ind w:left="89" w:right="79"/>
              <w:jc w:val="center"/>
              <w:rPr>
                <w:sz w:val="18"/>
              </w:rPr>
            </w:pPr>
            <w:r>
              <w:rPr>
                <w:sz w:val="18"/>
              </w:rPr>
              <w:t>80</w:t>
            </w:r>
          </w:p>
        </w:tc>
        <w:tc>
          <w:tcPr>
            <w:tcW w:w="1176" w:type="dxa"/>
            <w:vMerge/>
            <w:tcBorders>
              <w:top w:val="nil"/>
            </w:tcBorders>
          </w:tcPr>
          <w:p>
            <w:pPr>
              <w:rPr>
                <w:sz w:val="2"/>
                <w:szCs w:val="2"/>
              </w:rPr>
            </w:pPr>
          </w:p>
        </w:tc>
      </w:tr>
      <w:tr>
        <w:trPr>
          <w:trHeight w:val="287" w:hRule="atLeast"/>
        </w:trPr>
        <w:tc>
          <w:tcPr>
            <w:tcW w:w="1879" w:type="dxa"/>
          </w:tcPr>
          <w:p>
            <w:pPr>
              <w:pStyle w:val="TableParagraph"/>
              <w:spacing w:before="35"/>
              <w:ind w:left="107"/>
              <w:rPr>
                <w:sz w:val="18"/>
              </w:rPr>
            </w:pPr>
            <w:r>
              <w:rPr>
                <w:sz w:val="18"/>
              </w:rPr>
              <w:t>Tropical, dry</w:t>
            </w:r>
          </w:p>
        </w:tc>
        <w:tc>
          <w:tcPr>
            <w:tcW w:w="1087" w:type="dxa"/>
          </w:tcPr>
          <w:p>
            <w:pPr>
              <w:pStyle w:val="TableParagraph"/>
              <w:spacing w:before="35"/>
              <w:ind w:left="89" w:right="80"/>
              <w:jc w:val="center"/>
              <w:rPr>
                <w:sz w:val="18"/>
              </w:rPr>
            </w:pPr>
            <w:r>
              <w:rPr>
                <w:sz w:val="18"/>
              </w:rPr>
              <w:t>38</w:t>
            </w:r>
          </w:p>
        </w:tc>
        <w:tc>
          <w:tcPr>
            <w:tcW w:w="1176" w:type="dxa"/>
          </w:tcPr>
          <w:p>
            <w:pPr>
              <w:pStyle w:val="TableParagraph"/>
              <w:spacing w:before="35"/>
              <w:ind w:left="87" w:right="76"/>
              <w:jc w:val="center"/>
              <w:rPr>
                <w:sz w:val="18"/>
              </w:rPr>
            </w:pPr>
            <w:r>
              <w:rPr>
                <w:sz w:val="18"/>
              </w:rPr>
              <w:t>35</w:t>
            </w:r>
          </w:p>
        </w:tc>
        <w:tc>
          <w:tcPr>
            <w:tcW w:w="1176" w:type="dxa"/>
          </w:tcPr>
          <w:p>
            <w:pPr>
              <w:pStyle w:val="TableParagraph"/>
              <w:spacing w:before="35"/>
              <w:ind w:left="87" w:right="76"/>
              <w:jc w:val="center"/>
              <w:rPr>
                <w:sz w:val="18"/>
              </w:rPr>
            </w:pPr>
            <w:r>
              <w:rPr>
                <w:sz w:val="18"/>
              </w:rPr>
              <w:t>31</w:t>
            </w:r>
          </w:p>
        </w:tc>
        <w:tc>
          <w:tcPr>
            <w:tcW w:w="1176" w:type="dxa"/>
          </w:tcPr>
          <w:p>
            <w:pPr>
              <w:pStyle w:val="TableParagraph"/>
              <w:spacing w:before="35"/>
              <w:ind w:left="87" w:right="76"/>
              <w:jc w:val="center"/>
              <w:rPr>
                <w:sz w:val="18"/>
              </w:rPr>
            </w:pPr>
            <w:r>
              <w:rPr>
                <w:sz w:val="18"/>
              </w:rPr>
              <w:t>NA</w:t>
            </w:r>
          </w:p>
        </w:tc>
        <w:tc>
          <w:tcPr>
            <w:tcW w:w="1344" w:type="dxa"/>
          </w:tcPr>
          <w:p>
            <w:pPr>
              <w:pStyle w:val="TableParagraph"/>
              <w:spacing w:before="35"/>
              <w:ind w:left="89" w:right="81"/>
              <w:jc w:val="center"/>
              <w:rPr>
                <w:sz w:val="18"/>
              </w:rPr>
            </w:pPr>
            <w:r>
              <w:rPr>
                <w:sz w:val="18"/>
              </w:rPr>
              <w:t>50</w:t>
            </w:r>
            <w:r>
              <w:rPr>
                <w:sz w:val="18"/>
                <w:vertAlign w:val="superscript"/>
              </w:rPr>
              <w:t>#</w:t>
            </w:r>
          </w:p>
        </w:tc>
        <w:tc>
          <w:tcPr>
            <w:tcW w:w="1176" w:type="dxa"/>
            <w:vMerge w:val="restart"/>
          </w:tcPr>
          <w:p>
            <w:pPr>
              <w:pStyle w:val="TableParagraph"/>
              <w:spacing w:before="6"/>
              <w:rPr>
                <w:sz w:val="28"/>
              </w:rPr>
            </w:pPr>
          </w:p>
          <w:p>
            <w:pPr>
              <w:pStyle w:val="TableParagraph"/>
              <w:ind w:left="87" w:right="77"/>
              <w:jc w:val="center"/>
              <w:rPr>
                <w:sz w:val="18"/>
              </w:rPr>
            </w:pPr>
            <w:r>
              <w:rPr>
                <w:sz w:val="18"/>
              </w:rPr>
              <w:t>86</w:t>
            </w:r>
          </w:p>
        </w:tc>
      </w:tr>
      <w:tr>
        <w:trPr>
          <w:trHeight w:val="287" w:hRule="atLeast"/>
        </w:trPr>
        <w:tc>
          <w:tcPr>
            <w:tcW w:w="1879" w:type="dxa"/>
          </w:tcPr>
          <w:p>
            <w:pPr>
              <w:pStyle w:val="TableParagraph"/>
              <w:spacing w:before="35"/>
              <w:ind w:left="107"/>
              <w:rPr>
                <w:sz w:val="18"/>
              </w:rPr>
            </w:pPr>
            <w:r>
              <w:rPr>
                <w:sz w:val="18"/>
              </w:rPr>
              <w:t>Tropical, moist</w:t>
            </w:r>
          </w:p>
        </w:tc>
        <w:tc>
          <w:tcPr>
            <w:tcW w:w="1087" w:type="dxa"/>
          </w:tcPr>
          <w:p>
            <w:pPr>
              <w:pStyle w:val="TableParagraph"/>
              <w:spacing w:before="35"/>
              <w:ind w:left="89" w:right="79"/>
              <w:jc w:val="center"/>
              <w:rPr>
                <w:sz w:val="18"/>
              </w:rPr>
            </w:pPr>
            <w:r>
              <w:rPr>
                <w:sz w:val="18"/>
              </w:rPr>
              <w:t>65</w:t>
            </w:r>
          </w:p>
        </w:tc>
        <w:tc>
          <w:tcPr>
            <w:tcW w:w="1176" w:type="dxa"/>
          </w:tcPr>
          <w:p>
            <w:pPr>
              <w:pStyle w:val="TableParagraph"/>
              <w:spacing w:before="35"/>
              <w:ind w:left="87" w:right="75"/>
              <w:jc w:val="center"/>
              <w:rPr>
                <w:sz w:val="18"/>
              </w:rPr>
            </w:pPr>
            <w:r>
              <w:rPr>
                <w:sz w:val="18"/>
              </w:rPr>
              <w:t>47</w:t>
            </w:r>
          </w:p>
        </w:tc>
        <w:tc>
          <w:tcPr>
            <w:tcW w:w="1176" w:type="dxa"/>
          </w:tcPr>
          <w:p>
            <w:pPr>
              <w:pStyle w:val="TableParagraph"/>
              <w:spacing w:before="35"/>
              <w:ind w:left="87" w:right="76"/>
              <w:jc w:val="center"/>
              <w:rPr>
                <w:sz w:val="18"/>
              </w:rPr>
            </w:pPr>
            <w:r>
              <w:rPr>
                <w:sz w:val="18"/>
              </w:rPr>
              <w:t>39</w:t>
            </w:r>
          </w:p>
        </w:tc>
        <w:tc>
          <w:tcPr>
            <w:tcW w:w="1176" w:type="dxa"/>
          </w:tcPr>
          <w:p>
            <w:pPr>
              <w:pStyle w:val="TableParagraph"/>
              <w:spacing w:before="35"/>
              <w:ind w:left="87" w:right="77"/>
              <w:jc w:val="center"/>
              <w:rPr>
                <w:sz w:val="18"/>
              </w:rPr>
            </w:pPr>
            <w:r>
              <w:rPr>
                <w:sz w:val="18"/>
              </w:rPr>
              <w:t>NA</w:t>
            </w:r>
          </w:p>
        </w:tc>
        <w:tc>
          <w:tcPr>
            <w:tcW w:w="1344" w:type="dxa"/>
          </w:tcPr>
          <w:p>
            <w:pPr>
              <w:pStyle w:val="TableParagraph"/>
              <w:spacing w:before="35"/>
              <w:ind w:left="89" w:right="81"/>
              <w:jc w:val="center"/>
              <w:rPr>
                <w:sz w:val="18"/>
              </w:rPr>
            </w:pPr>
            <w:r>
              <w:rPr>
                <w:sz w:val="18"/>
              </w:rPr>
              <w:t>70</w:t>
            </w:r>
            <w:r>
              <w:rPr>
                <w:sz w:val="18"/>
                <w:vertAlign w:val="superscript"/>
              </w:rPr>
              <w:t>#</w:t>
            </w:r>
          </w:p>
        </w:tc>
        <w:tc>
          <w:tcPr>
            <w:tcW w:w="1176" w:type="dxa"/>
            <w:vMerge/>
            <w:tcBorders>
              <w:top w:val="nil"/>
            </w:tcBorders>
          </w:tcPr>
          <w:p>
            <w:pPr>
              <w:rPr>
                <w:sz w:val="2"/>
                <w:szCs w:val="2"/>
              </w:rPr>
            </w:pPr>
          </w:p>
        </w:tc>
      </w:tr>
      <w:tr>
        <w:trPr>
          <w:trHeight w:val="287" w:hRule="atLeast"/>
        </w:trPr>
        <w:tc>
          <w:tcPr>
            <w:tcW w:w="1879" w:type="dxa"/>
          </w:tcPr>
          <w:p>
            <w:pPr>
              <w:pStyle w:val="TableParagraph"/>
              <w:spacing w:before="35"/>
              <w:ind w:left="107"/>
              <w:rPr>
                <w:sz w:val="18"/>
              </w:rPr>
            </w:pPr>
            <w:r>
              <w:rPr>
                <w:sz w:val="18"/>
              </w:rPr>
              <w:t>Tropical, wet</w:t>
            </w:r>
          </w:p>
        </w:tc>
        <w:tc>
          <w:tcPr>
            <w:tcW w:w="1087" w:type="dxa"/>
          </w:tcPr>
          <w:p>
            <w:pPr>
              <w:pStyle w:val="TableParagraph"/>
              <w:spacing w:before="35"/>
              <w:ind w:left="89" w:right="79"/>
              <w:jc w:val="center"/>
              <w:rPr>
                <w:sz w:val="18"/>
              </w:rPr>
            </w:pPr>
            <w:r>
              <w:rPr>
                <w:sz w:val="18"/>
              </w:rPr>
              <w:t>44</w:t>
            </w:r>
          </w:p>
        </w:tc>
        <w:tc>
          <w:tcPr>
            <w:tcW w:w="1176" w:type="dxa"/>
          </w:tcPr>
          <w:p>
            <w:pPr>
              <w:pStyle w:val="TableParagraph"/>
              <w:spacing w:before="35"/>
              <w:ind w:left="87" w:right="75"/>
              <w:jc w:val="center"/>
              <w:rPr>
                <w:sz w:val="18"/>
              </w:rPr>
            </w:pPr>
            <w:r>
              <w:rPr>
                <w:sz w:val="18"/>
              </w:rPr>
              <w:t>60</w:t>
            </w:r>
          </w:p>
        </w:tc>
        <w:tc>
          <w:tcPr>
            <w:tcW w:w="1176" w:type="dxa"/>
          </w:tcPr>
          <w:p>
            <w:pPr>
              <w:pStyle w:val="TableParagraph"/>
              <w:spacing w:before="35"/>
              <w:ind w:left="87" w:right="76"/>
              <w:jc w:val="center"/>
              <w:rPr>
                <w:sz w:val="18"/>
              </w:rPr>
            </w:pPr>
            <w:r>
              <w:rPr>
                <w:sz w:val="18"/>
              </w:rPr>
              <w:t>66</w:t>
            </w:r>
          </w:p>
        </w:tc>
        <w:tc>
          <w:tcPr>
            <w:tcW w:w="1176" w:type="dxa"/>
          </w:tcPr>
          <w:p>
            <w:pPr>
              <w:pStyle w:val="TableParagraph"/>
              <w:spacing w:before="35"/>
              <w:ind w:left="87" w:right="76"/>
              <w:jc w:val="center"/>
              <w:rPr>
                <w:sz w:val="18"/>
              </w:rPr>
            </w:pPr>
            <w:r>
              <w:rPr>
                <w:sz w:val="18"/>
              </w:rPr>
              <w:t>NA</w:t>
            </w:r>
          </w:p>
        </w:tc>
        <w:tc>
          <w:tcPr>
            <w:tcW w:w="1344" w:type="dxa"/>
          </w:tcPr>
          <w:p>
            <w:pPr>
              <w:pStyle w:val="TableParagraph"/>
              <w:spacing w:before="35"/>
              <w:ind w:left="89" w:right="77"/>
              <w:jc w:val="center"/>
              <w:rPr>
                <w:sz w:val="18"/>
              </w:rPr>
            </w:pPr>
            <w:r>
              <w:rPr>
                <w:sz w:val="18"/>
              </w:rPr>
              <w:t>130</w:t>
            </w:r>
            <w:r>
              <w:rPr>
                <w:sz w:val="18"/>
                <w:vertAlign w:val="superscript"/>
              </w:rPr>
              <w:t>#</w:t>
            </w:r>
          </w:p>
        </w:tc>
        <w:tc>
          <w:tcPr>
            <w:tcW w:w="1176" w:type="dxa"/>
            <w:vMerge/>
            <w:tcBorders>
              <w:top w:val="nil"/>
            </w:tcBorders>
          </w:tcPr>
          <w:p>
            <w:pPr>
              <w:rPr>
                <w:sz w:val="2"/>
                <w:szCs w:val="2"/>
              </w:rPr>
            </w:pPr>
          </w:p>
        </w:tc>
      </w:tr>
      <w:tr>
        <w:trPr>
          <w:trHeight w:val="4134" w:hRule="atLeast"/>
        </w:trPr>
        <w:tc>
          <w:tcPr>
            <w:tcW w:w="9014" w:type="dxa"/>
            <w:gridSpan w:val="7"/>
          </w:tcPr>
          <w:p>
            <w:pPr>
              <w:pStyle w:val="TableParagraph"/>
              <w:spacing w:before="35"/>
              <w:ind w:left="107" w:right="133" w:hanging="1"/>
              <w:rPr>
                <w:sz w:val="16"/>
              </w:rPr>
            </w:pPr>
            <w:r>
              <w:rPr>
                <w:sz w:val="16"/>
              </w:rPr>
              <w:t>Note: Data are derived from soil databases described by Jobbagy and Jackson (2000) and Bernoux </w:t>
            </w:r>
            <w:r>
              <w:rPr>
                <w:i/>
                <w:sz w:val="16"/>
              </w:rPr>
              <w:t>et al. </w:t>
            </w:r>
            <w:r>
              <w:rPr>
                <w:sz w:val="16"/>
              </w:rPr>
              <w:t>(2002). Mean stocks are shown. A default error estimate of 95% (expressed as 2X standard deviations as percent of the mean are assumed for soil-climate types. NA denotes ‘not applicable’ because these soils do not normally occur in some climate zones.</w:t>
            </w:r>
          </w:p>
          <w:p>
            <w:pPr>
              <w:pStyle w:val="TableParagraph"/>
              <w:spacing w:before="101"/>
              <w:ind w:left="107"/>
              <w:rPr>
                <w:sz w:val="16"/>
              </w:rPr>
            </w:pPr>
            <w:r>
              <w:rPr>
                <w:sz w:val="16"/>
              </w:rPr>
              <w:t># indicates where no data were available and default values from </w:t>
            </w:r>
            <w:r>
              <w:rPr>
                <w:i/>
                <w:sz w:val="16"/>
              </w:rPr>
              <w:t>IPCC Guidelines </w:t>
            </w:r>
            <w:r>
              <w:rPr>
                <w:sz w:val="16"/>
              </w:rPr>
              <w:t>were retained.</w:t>
            </w:r>
          </w:p>
          <w:p>
            <w:pPr>
              <w:pStyle w:val="TableParagraph"/>
              <w:spacing w:before="85"/>
              <w:ind w:left="210" w:right="249" w:hanging="104"/>
              <w:rPr>
                <w:sz w:val="16"/>
              </w:rPr>
            </w:pPr>
            <w:r>
              <w:rPr>
                <w:position w:val="7"/>
                <w:sz w:val="10"/>
              </w:rPr>
              <w:t>1 </w:t>
            </w:r>
            <w:r>
              <w:rPr>
                <w:sz w:val="16"/>
              </w:rPr>
              <w:t>Soils with high activity clay (HAC) minerals are lightly to moderately weathered soils, which are dominated by 2:1 silicate clay minerals (in the World Reference Base for Soil Resources (WRB) classification these include Leptosols, Vertisols, Kastanozems, Chernozems, Phaeozems, Luvisols, Alisols, Albeluvisols, Solonetz, Calcisols, Gypsisols, Umbrisols, Cambisols, Regosols; in USDA classification includes Mollisols, Vertisols, high-base status Alfisols, Aridisols, Inceptisols).</w:t>
            </w:r>
          </w:p>
          <w:p>
            <w:pPr>
              <w:pStyle w:val="TableParagraph"/>
              <w:spacing w:before="85"/>
              <w:ind w:left="210" w:right="321" w:hanging="104"/>
              <w:rPr>
                <w:sz w:val="16"/>
              </w:rPr>
            </w:pPr>
            <w:r>
              <w:rPr>
                <w:position w:val="7"/>
                <w:sz w:val="10"/>
              </w:rPr>
              <w:t>2 </w:t>
            </w:r>
            <w:r>
              <w:rPr>
                <w:sz w:val="16"/>
              </w:rPr>
              <w:t>Soils with low activity clay (LAC) minerals are highly weathered soils, dominated by 1:1 clay minerals and amorphous iron and aluminium oxides (in WRB classification includes Acrisols, Lixisols, Nitisols, Ferralsols, Durisols; in USDA classification includes Ultisols, Oxisols, acidic Alfisols).</w:t>
            </w:r>
          </w:p>
          <w:p>
            <w:pPr>
              <w:pStyle w:val="TableParagraph"/>
              <w:spacing w:before="87"/>
              <w:ind w:left="210" w:right="371" w:hanging="104"/>
              <w:rPr>
                <w:sz w:val="16"/>
              </w:rPr>
            </w:pPr>
            <w:r>
              <w:rPr>
                <w:position w:val="7"/>
                <w:sz w:val="10"/>
              </w:rPr>
              <w:t>3 </w:t>
            </w:r>
            <w:r>
              <w:rPr>
                <w:sz w:val="16"/>
              </w:rPr>
              <w:t>Includes all soils (regardless of taxonomic classification) having &gt; 70% sand and &lt; 8% clay, based on standard textural analyses (in WRB classification includes Arenosols,; in USDA classification includes Psamments).</w:t>
            </w:r>
          </w:p>
          <w:p>
            <w:pPr>
              <w:pStyle w:val="TableParagraph"/>
              <w:spacing w:before="86"/>
              <w:ind w:left="107"/>
              <w:rPr>
                <w:sz w:val="16"/>
              </w:rPr>
            </w:pPr>
            <w:r>
              <w:rPr>
                <w:position w:val="7"/>
                <w:sz w:val="10"/>
              </w:rPr>
              <w:t>4 </w:t>
            </w:r>
            <w:r>
              <w:rPr>
                <w:sz w:val="16"/>
              </w:rPr>
              <w:t>Soils exhibiting strong podzolization (in WRB classification includes Podzols; in USDA classification Spodosols)</w:t>
            </w:r>
          </w:p>
          <w:p>
            <w:pPr>
              <w:pStyle w:val="TableParagraph"/>
              <w:spacing w:before="85"/>
              <w:ind w:left="107"/>
              <w:rPr>
                <w:sz w:val="16"/>
              </w:rPr>
            </w:pPr>
            <w:r>
              <w:rPr>
                <w:position w:val="7"/>
                <w:sz w:val="10"/>
              </w:rPr>
              <w:t>5 </w:t>
            </w:r>
            <w:r>
              <w:rPr>
                <w:sz w:val="16"/>
              </w:rPr>
              <w:t>Soils derived from volcanic ash with allophanic mineralogy (in WRB classification Andosols; in USDA classification Andisols)</w:t>
            </w:r>
          </w:p>
          <w:p>
            <w:pPr>
              <w:pStyle w:val="TableParagraph"/>
              <w:spacing w:before="88"/>
              <w:ind w:left="210" w:right="483" w:hanging="104"/>
              <w:rPr>
                <w:sz w:val="16"/>
              </w:rPr>
            </w:pPr>
            <w:r>
              <w:rPr>
                <w:position w:val="7"/>
                <w:sz w:val="10"/>
              </w:rPr>
              <w:t>6 </w:t>
            </w:r>
            <w:r>
              <w:rPr>
                <w:sz w:val="16"/>
              </w:rPr>
              <w:t>Soils with restricted drainage leading to periodic flooding and anaerobic conditions (in WRB classification Gleysols; in USDA classification Aquic suborders).</w:t>
            </w:r>
          </w:p>
        </w:tc>
      </w:tr>
    </w:tbl>
    <w:p>
      <w:pPr>
        <w:pStyle w:val="BodyText"/>
        <w:spacing w:before="10"/>
        <w:rPr>
          <w:sz w:val="18"/>
        </w:rPr>
      </w:pPr>
      <w:r>
        <w:rPr/>
        <w:pict>
          <v:group style="position:absolute;margin-left:91.240997pt;margin-top:13.56pt;width:412.95pt;height:79.1pt;mso-position-horizontal-relative:page;mso-position-vertical-relative:paragraph;z-index:5024;mso-wrap-distance-left:0;mso-wrap-distance-right:0" coordorigin="1825,271" coordsize="8259,1582">
            <v:line style="position:absolute" from="1854,286" to="10054,286" stroked="true" strokeweight="1.44pt" strokecolor="#000000">
              <v:stroke dashstyle="solid"/>
            </v:line>
            <v:line style="position:absolute" from="1854,1838" to="10054,1838" stroked="true" strokeweight="1.44pt" strokecolor="#000000">
              <v:stroke dashstyle="solid"/>
            </v:line>
            <v:line style="position:absolute" from="1839,271" to="1839,1853" stroked="true" strokeweight="1.44pt" strokecolor="#000000">
              <v:stroke dashstyle="solid"/>
            </v:line>
            <v:line style="position:absolute" from="10069,271" to="10069,1853" stroked="true" strokeweight="1.44pt" strokecolor="#000000">
              <v:stroke dashstyle="solid"/>
            </v:line>
            <v:shape style="position:absolute;left:4784;top:1480;width:807;height:236" type="#_x0000_t202" filled="false" stroked="false">
              <v:textbox inset="0,0,0,0">
                <w:txbxContent>
                  <w:p>
                    <w:pPr>
                      <w:spacing w:line="221" w:lineRule="exact" w:before="14"/>
                      <w:ind w:left="0" w:right="0" w:firstLine="0"/>
                      <w:jc w:val="left"/>
                      <w:rPr>
                        <w:sz w:val="18"/>
                      </w:rPr>
                    </w:pPr>
                    <w:r>
                      <w:rPr>
                        <w:i/>
                        <w:sz w:val="18"/>
                      </w:rPr>
                      <w:t>horizon </w:t>
                    </w:r>
                    <w:r>
                      <w:rPr>
                        <w:rFonts w:ascii="Symbol"/>
                        <w:sz w:val="18"/>
                      </w:rPr>
                      <w:t>=</w:t>
                    </w:r>
                    <w:r>
                      <w:rPr>
                        <w:sz w:val="18"/>
                      </w:rPr>
                      <w:t>1</w:t>
                    </w:r>
                  </w:p>
                </w:txbxContent>
              </v:textbox>
              <w10:wrap type="none"/>
            </v:shape>
            <v:shape style="position:absolute;left:5043;top:1106;width:4760;height:384" type="#_x0000_t202" filled="false" stroked="false">
              <v:textbox inset="0,0,0,0">
                <w:txbxContent>
                  <w:p>
                    <w:pPr>
                      <w:spacing w:line="384" w:lineRule="exact" w:before="0"/>
                      <w:ind w:left="0" w:right="0" w:firstLine="0"/>
                      <w:jc w:val="left"/>
                      <w:rPr>
                        <w:i/>
                        <w:sz w:val="18"/>
                      </w:rPr>
                    </w:pPr>
                    <w:r>
                      <w:rPr>
                        <w:rFonts w:ascii="Arial" w:hAnsi="Arial"/>
                        <w:spacing w:val="3"/>
                        <w:position w:val="-5"/>
                        <w:sz w:val="36"/>
                      </w:rPr>
                      <w:t>∑</w:t>
                    </w:r>
                    <w:r>
                      <w:rPr>
                        <w:rFonts w:ascii="Symbol" w:hAnsi="Symbol"/>
                        <w:spacing w:val="3"/>
                        <w:sz w:val="27"/>
                      </w:rPr>
                      <w:t>(</w:t>
                    </w:r>
                    <w:r>
                      <w:rPr>
                        <w:spacing w:val="3"/>
                        <w:sz w:val="20"/>
                      </w:rPr>
                      <w:t>[</w:t>
                    </w:r>
                    <w:r>
                      <w:rPr>
                        <w:i/>
                        <w:spacing w:val="3"/>
                        <w:sz w:val="20"/>
                      </w:rPr>
                      <w:t>SOC</w:t>
                    </w:r>
                    <w:r>
                      <w:rPr>
                        <w:i/>
                        <w:spacing w:val="-23"/>
                        <w:sz w:val="20"/>
                      </w:rPr>
                      <w:t> </w:t>
                    </w:r>
                    <w:r>
                      <w:rPr>
                        <w:sz w:val="20"/>
                      </w:rPr>
                      <w:t>]</w:t>
                    </w:r>
                    <w:r>
                      <w:rPr>
                        <w:spacing w:val="-22"/>
                        <w:sz w:val="20"/>
                      </w:rPr>
                      <w:t> </w:t>
                    </w:r>
                    <w:r>
                      <w:rPr>
                        <w:rFonts w:ascii="Symbol" w:hAnsi="Symbol"/>
                        <w:sz w:val="20"/>
                      </w:rPr>
                      <w:t>•</w:t>
                    </w:r>
                    <w:r>
                      <w:rPr>
                        <w:rFonts w:ascii="Symbol" w:hAnsi="Symbol"/>
                        <w:spacing w:val="-6"/>
                        <w:sz w:val="20"/>
                      </w:rPr>
                      <w:t> </w:t>
                    </w:r>
                    <w:r>
                      <w:rPr>
                        <w:i/>
                        <w:sz w:val="20"/>
                      </w:rPr>
                      <w:t>BulkDensit</w:t>
                    </w:r>
                    <w:r>
                      <w:rPr>
                        <w:i/>
                        <w:spacing w:val="-22"/>
                        <w:sz w:val="20"/>
                      </w:rPr>
                      <w:t> </w:t>
                    </w:r>
                    <w:r>
                      <w:rPr>
                        <w:i/>
                        <w:sz w:val="20"/>
                      </w:rPr>
                      <w:t>y</w:t>
                    </w:r>
                    <w:r>
                      <w:rPr>
                        <w:i/>
                        <w:spacing w:val="-5"/>
                        <w:sz w:val="20"/>
                      </w:rPr>
                      <w:t> </w:t>
                    </w:r>
                    <w:r>
                      <w:rPr>
                        <w:rFonts w:ascii="Symbol" w:hAnsi="Symbol"/>
                        <w:sz w:val="20"/>
                      </w:rPr>
                      <w:t>•</w:t>
                    </w:r>
                    <w:r>
                      <w:rPr>
                        <w:rFonts w:ascii="Symbol" w:hAnsi="Symbol"/>
                        <w:spacing w:val="-3"/>
                        <w:sz w:val="20"/>
                      </w:rPr>
                      <w:t> </w:t>
                    </w:r>
                    <w:r>
                      <w:rPr>
                        <w:i/>
                        <w:sz w:val="20"/>
                      </w:rPr>
                      <w:t>Depth</w:t>
                    </w:r>
                    <w:r>
                      <w:rPr>
                        <w:i/>
                        <w:spacing w:val="5"/>
                        <w:sz w:val="20"/>
                      </w:rPr>
                      <w:t> </w:t>
                    </w:r>
                    <w:r>
                      <w:rPr>
                        <w:rFonts w:ascii="Symbol" w:hAnsi="Symbol"/>
                        <w:sz w:val="20"/>
                      </w:rPr>
                      <w:t>•</w:t>
                    </w:r>
                    <w:r>
                      <w:rPr>
                        <w:rFonts w:ascii="Symbol" w:hAnsi="Symbol"/>
                        <w:spacing w:val="-13"/>
                        <w:sz w:val="20"/>
                      </w:rPr>
                      <w:t> </w:t>
                    </w:r>
                    <w:r>
                      <w:rPr>
                        <w:spacing w:val="-5"/>
                        <w:sz w:val="20"/>
                      </w:rPr>
                      <w:t>(1</w:t>
                    </w:r>
                    <w:r>
                      <w:rPr>
                        <w:spacing w:val="-20"/>
                        <w:sz w:val="20"/>
                      </w:rPr>
                      <w:t> </w:t>
                    </w:r>
                    <w:r>
                      <w:rPr>
                        <w:rFonts w:ascii="Symbol" w:hAnsi="Symbol"/>
                        <w:sz w:val="20"/>
                      </w:rPr>
                      <w:t>−</w:t>
                    </w:r>
                    <w:r>
                      <w:rPr>
                        <w:rFonts w:ascii="Symbol" w:hAnsi="Symbol"/>
                        <w:spacing w:val="36"/>
                        <w:sz w:val="20"/>
                      </w:rPr>
                      <w:t> </w:t>
                    </w:r>
                    <w:r>
                      <w:rPr>
                        <w:i/>
                        <w:sz w:val="20"/>
                      </w:rPr>
                      <w:t>frag</w:t>
                    </w:r>
                    <w:r>
                      <w:rPr>
                        <w:i/>
                        <w:spacing w:val="-26"/>
                        <w:sz w:val="20"/>
                      </w:rPr>
                      <w:t> </w:t>
                    </w:r>
                    <w:r>
                      <w:rPr>
                        <w:sz w:val="20"/>
                      </w:rPr>
                      <w:t>)</w:t>
                    </w:r>
                    <w:r>
                      <w:rPr>
                        <w:spacing w:val="-14"/>
                        <w:sz w:val="20"/>
                      </w:rPr>
                      <w:t> </w:t>
                    </w:r>
                    <w:r>
                      <w:rPr>
                        <w:rFonts w:ascii="Symbol" w:hAnsi="Symbol"/>
                        <w:sz w:val="20"/>
                      </w:rPr>
                      <w:t>•</w:t>
                    </w:r>
                    <w:r>
                      <w:rPr>
                        <w:rFonts w:ascii="Symbol" w:hAnsi="Symbol"/>
                        <w:spacing w:val="-26"/>
                        <w:sz w:val="20"/>
                      </w:rPr>
                      <w:t> </w:t>
                    </w:r>
                    <w:r>
                      <w:rPr>
                        <w:sz w:val="20"/>
                      </w:rPr>
                      <w:t>10</w:t>
                    </w:r>
                    <w:r>
                      <w:rPr>
                        <w:rFonts w:ascii="Symbol" w:hAnsi="Symbol"/>
                        <w:sz w:val="27"/>
                      </w:rPr>
                      <w:t>)</w:t>
                    </w:r>
                    <w:r>
                      <w:rPr>
                        <w:i/>
                        <w:position w:val="-6"/>
                        <w:sz w:val="18"/>
                      </w:rPr>
                      <w:t>horizon</w:t>
                    </w:r>
                  </w:p>
                </w:txbxContent>
              </v:textbox>
              <w10:wrap type="none"/>
            </v:shape>
            <v:shape style="position:absolute;left:3533;top:1179;width:1191;height:293" type="#_x0000_t202" filled="false" stroked="false">
              <v:textbox inset="0,0,0,0">
                <w:txbxContent>
                  <w:p>
                    <w:pPr>
                      <w:spacing w:before="16"/>
                      <w:ind w:left="0" w:right="0" w:firstLine="0"/>
                      <w:jc w:val="left"/>
                      <w:rPr>
                        <w:rFonts w:ascii="Symbol"/>
                        <w:sz w:val="20"/>
                      </w:rPr>
                    </w:pPr>
                    <w:r>
                      <w:rPr>
                        <w:i/>
                        <w:position w:val="5"/>
                        <w:sz w:val="20"/>
                      </w:rPr>
                      <w:t>SOC </w:t>
                    </w:r>
                    <w:r>
                      <w:rPr>
                        <w:i/>
                        <w:sz w:val="18"/>
                      </w:rPr>
                      <w:t>horizon </w:t>
                    </w:r>
                    <w:r>
                      <w:rPr>
                        <w:rFonts w:ascii="Symbol"/>
                        <w:position w:val="5"/>
                        <w:sz w:val="20"/>
                      </w:rPr>
                      <w:t>=</w:t>
                    </w:r>
                  </w:p>
                </w:txbxContent>
              </v:textbox>
              <w10:wrap type="none"/>
            </v:shape>
            <v:shape style="position:absolute;left:4767;top:955;width:821;height:236" type="#_x0000_t202" filled="false" stroked="false">
              <v:textbox inset="0,0,0,0">
                <w:txbxContent>
                  <w:p>
                    <w:pPr>
                      <w:spacing w:line="221" w:lineRule="exact" w:before="14"/>
                      <w:ind w:left="0" w:right="0" w:firstLine="0"/>
                      <w:jc w:val="left"/>
                      <w:rPr>
                        <w:i/>
                        <w:sz w:val="18"/>
                      </w:rPr>
                    </w:pPr>
                    <w:r>
                      <w:rPr>
                        <w:i/>
                        <w:sz w:val="18"/>
                      </w:rPr>
                      <w:t>horizon </w:t>
                    </w:r>
                    <w:r>
                      <w:rPr>
                        <w:rFonts w:ascii="Symbol"/>
                        <w:sz w:val="18"/>
                      </w:rPr>
                      <w:t>=</w:t>
                    </w:r>
                    <w:r>
                      <w:rPr>
                        <w:rFonts w:ascii="Symbol"/>
                        <w:spacing w:val="-31"/>
                        <w:sz w:val="18"/>
                      </w:rPr>
                      <w:t> </w:t>
                    </w:r>
                    <w:r>
                      <w:rPr>
                        <w:i/>
                        <w:sz w:val="18"/>
                      </w:rPr>
                      <w:t>n</w:t>
                    </w:r>
                  </w:p>
                </w:txbxContent>
              </v:textbox>
              <w10:wrap type="none"/>
            </v:shape>
            <v:shape style="position:absolute;left:2708;top:955;width:824;height:761" type="#_x0000_t202" filled="false" stroked="false">
              <v:textbox inset="0,0,0,0">
                <w:txbxContent>
                  <w:p>
                    <w:pPr>
                      <w:spacing w:line="181" w:lineRule="exact" w:before="14"/>
                      <w:ind w:left="0" w:right="18" w:firstLine="0"/>
                      <w:jc w:val="center"/>
                      <w:rPr>
                        <w:i/>
                        <w:sz w:val="18"/>
                      </w:rPr>
                    </w:pPr>
                    <w:r>
                      <w:rPr>
                        <w:i/>
                        <w:sz w:val="18"/>
                      </w:rPr>
                      <w:t>horizon </w:t>
                    </w:r>
                    <w:r>
                      <w:rPr>
                        <w:rFonts w:ascii="Symbol"/>
                        <w:sz w:val="18"/>
                      </w:rPr>
                      <w:t>=</w:t>
                    </w:r>
                    <w:r>
                      <w:rPr>
                        <w:rFonts w:ascii="Symbol"/>
                        <w:spacing w:val="-26"/>
                        <w:sz w:val="18"/>
                      </w:rPr>
                      <w:t> </w:t>
                    </w:r>
                    <w:r>
                      <w:rPr>
                        <w:i/>
                        <w:spacing w:val="-18"/>
                        <w:sz w:val="18"/>
                      </w:rPr>
                      <w:t>n</w:t>
                    </w:r>
                  </w:p>
                  <w:p>
                    <w:pPr>
                      <w:spacing w:line="359" w:lineRule="exact" w:before="0"/>
                      <w:ind w:left="0" w:right="12" w:firstLine="0"/>
                      <w:jc w:val="center"/>
                      <w:rPr>
                        <w:rFonts w:ascii="Arial" w:hAnsi="Arial"/>
                        <w:sz w:val="36"/>
                      </w:rPr>
                    </w:pPr>
                    <w:r>
                      <w:rPr>
                        <w:rFonts w:ascii="Arial" w:hAnsi="Arial"/>
                        <w:w w:val="100"/>
                        <w:sz w:val="36"/>
                      </w:rPr>
                      <w:t>∑</w:t>
                    </w:r>
                  </w:p>
                  <w:p>
                    <w:pPr>
                      <w:spacing w:line="207" w:lineRule="exact" w:before="0"/>
                      <w:ind w:left="0" w:right="1" w:firstLine="0"/>
                      <w:jc w:val="center"/>
                      <w:rPr>
                        <w:sz w:val="18"/>
                      </w:rPr>
                    </w:pPr>
                    <w:r>
                      <w:rPr>
                        <w:i/>
                        <w:sz w:val="18"/>
                      </w:rPr>
                      <w:t>horizon</w:t>
                    </w:r>
                    <w:r>
                      <w:rPr>
                        <w:i/>
                        <w:spacing w:val="2"/>
                        <w:sz w:val="18"/>
                      </w:rPr>
                      <w:t> </w:t>
                    </w:r>
                    <w:r>
                      <w:rPr>
                        <w:rFonts w:ascii="Symbol"/>
                        <w:sz w:val="18"/>
                      </w:rPr>
                      <w:t>=</w:t>
                    </w:r>
                    <w:r>
                      <w:rPr>
                        <w:sz w:val="18"/>
                      </w:rPr>
                      <w:t>1</w:t>
                    </w:r>
                  </w:p>
                </w:txbxContent>
              </v:textbox>
              <w10:wrap type="none"/>
            </v:shape>
            <v:shape style="position:absolute;left:2074;top:1179;width:594;height:262" type="#_x0000_t202" filled="false" stroked="false">
              <v:textbox inset="0,0,0,0">
                <w:txbxContent>
                  <w:p>
                    <w:pPr>
                      <w:spacing w:line="245" w:lineRule="exact" w:before="16"/>
                      <w:ind w:left="0" w:right="0" w:firstLine="0"/>
                      <w:jc w:val="left"/>
                      <w:rPr>
                        <w:rFonts w:ascii="Symbol"/>
                        <w:sz w:val="20"/>
                      </w:rPr>
                    </w:pPr>
                    <w:r>
                      <w:rPr>
                        <w:i/>
                        <w:sz w:val="20"/>
                      </w:rPr>
                      <w:t>SOC </w:t>
                    </w:r>
                    <w:r>
                      <w:rPr>
                        <w:rFonts w:ascii="Symbol"/>
                        <w:sz w:val="20"/>
                      </w:rPr>
                      <w:t>=</w:t>
                    </w:r>
                  </w:p>
                </w:txbxContent>
              </v:textbox>
              <w10:wrap type="none"/>
            </v:shape>
            <v:shape style="position:absolute;left:4560;top:408;width:2804;height:451" type="#_x0000_t202" filled="false" stroked="false">
              <v:textbox inset="0,0,0,0">
                <w:txbxContent>
                  <w:p>
                    <w:pPr>
                      <w:spacing w:line="221" w:lineRule="exact" w:before="0"/>
                      <w:ind w:left="0" w:right="18" w:firstLine="0"/>
                      <w:jc w:val="center"/>
                      <w:rPr>
                        <w:b/>
                        <w:sz w:val="20"/>
                      </w:rPr>
                    </w:pPr>
                    <w:r>
                      <w:rPr>
                        <w:b/>
                        <w:sz w:val="20"/>
                      </w:rPr>
                      <w:t>E</w:t>
                    </w:r>
                    <w:r>
                      <w:rPr>
                        <w:b/>
                        <w:sz w:val="16"/>
                      </w:rPr>
                      <w:t>QUATION </w:t>
                    </w:r>
                    <w:r>
                      <w:rPr>
                        <w:b/>
                        <w:sz w:val="20"/>
                      </w:rPr>
                      <w:t>3.2.16</w:t>
                    </w:r>
                  </w:p>
                  <w:p>
                    <w:pPr>
                      <w:spacing w:before="0"/>
                      <w:ind w:left="0" w:right="18" w:firstLine="0"/>
                      <w:jc w:val="center"/>
                      <w:rPr>
                        <w:b/>
                        <w:sz w:val="16"/>
                      </w:rPr>
                    </w:pPr>
                    <w:r>
                      <w:rPr>
                        <w:b/>
                        <w:sz w:val="20"/>
                      </w:rPr>
                      <w:t>S</w:t>
                    </w:r>
                    <w:r>
                      <w:rPr>
                        <w:b/>
                        <w:sz w:val="16"/>
                      </w:rPr>
                      <w:t>OIL ORGANIC CARBON CONTENT</w:t>
                    </w:r>
                  </w:p>
                </w:txbxContent>
              </v:textbox>
              <w10:wrap type="none"/>
            </v:shape>
            <w10:wrap type="topAndBottom"/>
          </v:group>
        </w:pict>
      </w:r>
    </w:p>
    <w:p>
      <w:pPr>
        <w:pStyle w:val="BodyText"/>
        <w:spacing w:line="220" w:lineRule="exact"/>
        <w:ind w:left="219"/>
      </w:pPr>
      <w:r>
        <w:rPr/>
        <w:t>Where:</w:t>
      </w:r>
    </w:p>
    <w:p>
      <w:pPr>
        <w:pStyle w:val="BodyText"/>
        <w:spacing w:line="364" w:lineRule="auto" w:before="118"/>
        <w:ind w:left="785" w:right="647"/>
      </w:pPr>
      <w:r>
        <w:rPr/>
        <w:t>SOC = representative soil organic carbon content for the forest type and soil of interest, tonnes C ha</w:t>
      </w:r>
      <w:r>
        <w:rPr>
          <w:vertAlign w:val="superscript"/>
        </w:rPr>
        <w:t>-1</w:t>
      </w:r>
      <w:r>
        <w:rPr>
          <w:vertAlign w:val="baseline"/>
        </w:rPr>
        <w:t> SOC</w:t>
      </w:r>
      <w:r>
        <w:rPr>
          <w:vertAlign w:val="subscript"/>
        </w:rPr>
        <w:t>horizon</w:t>
      </w:r>
      <w:r>
        <w:rPr>
          <w:vertAlign w:val="baseline"/>
        </w:rPr>
        <w:t> = soil organic carbon content for a constituent soil horizon, tonnes C ha</w:t>
      </w:r>
      <w:r>
        <w:rPr>
          <w:vertAlign w:val="superscript"/>
        </w:rPr>
        <w:t>-1</w:t>
      </w:r>
    </w:p>
    <w:p>
      <w:pPr>
        <w:pStyle w:val="BodyText"/>
        <w:spacing w:before="1"/>
        <w:ind w:left="1580" w:right="267" w:hanging="795"/>
      </w:pPr>
      <w:r>
        <w:rPr/>
        <w:t>[SOC] = concentration of soil organic carbon in a given soil mass obtained from lab analyses, g C (kg soil)</w:t>
      </w:r>
      <w:r>
        <w:rPr>
          <w:vertAlign w:val="superscript"/>
        </w:rPr>
        <w:t>-1</w:t>
      </w:r>
    </w:p>
    <w:p>
      <w:pPr>
        <w:pStyle w:val="BodyText"/>
        <w:spacing w:before="121"/>
        <w:ind w:left="785"/>
      </w:pPr>
      <w:r>
        <w:rPr/>
        <w:t>Bulk Density = soil mass per sample volume, tonnes soil m</w:t>
      </w:r>
      <w:r>
        <w:rPr>
          <w:vertAlign w:val="superscript"/>
        </w:rPr>
        <w:t>-3</w:t>
      </w:r>
      <w:r>
        <w:rPr>
          <w:vertAlign w:val="baseline"/>
        </w:rPr>
        <w:t> (equivalent to Mg m</w:t>
      </w:r>
      <w:r>
        <w:rPr>
          <w:vertAlign w:val="superscript"/>
        </w:rPr>
        <w:t>-3</w:t>
      </w:r>
      <w:r>
        <w:rPr>
          <w:vertAlign w:val="baseline"/>
        </w:rPr>
        <w:t>)</w:t>
      </w:r>
    </w:p>
    <w:p>
      <w:pPr>
        <w:pStyle w:val="BodyText"/>
        <w:spacing w:before="121"/>
        <w:ind w:left="785"/>
      </w:pPr>
      <w:r>
        <w:rPr/>
        <w:t>Depth = horizon depth or thickness of soil layer, m</w:t>
      </w:r>
    </w:p>
    <w:p>
      <w:pPr>
        <w:pStyle w:val="BodyText"/>
        <w:spacing w:before="118"/>
        <w:ind w:left="785"/>
      </w:pPr>
      <w:r>
        <w:rPr/>
        <w:t>frag = % volume of coarse fragments/100, dimensionless </w:t>
      </w:r>
      <w:r>
        <w:rPr>
          <w:vertAlign w:val="superscript"/>
        </w:rPr>
        <w:t>2</w:t>
      </w:r>
    </w:p>
    <w:p>
      <w:pPr>
        <w:pStyle w:val="BodyText"/>
        <w:rPr>
          <w:sz w:val="24"/>
        </w:rPr>
      </w:pPr>
    </w:p>
    <w:p>
      <w:pPr>
        <w:pStyle w:val="BodyText"/>
        <w:spacing w:before="194"/>
        <w:ind w:left="219"/>
      </w:pPr>
      <w:r>
        <w:rPr/>
        <w:t>Country- or region-specific values should be elaborated for the stable SOC</w:t>
      </w:r>
      <w:r>
        <w:rPr>
          <w:i/>
          <w:vertAlign w:val="subscript"/>
        </w:rPr>
        <w:t>i</w:t>
      </w:r>
      <w:r>
        <w:rPr>
          <w:vertAlign w:val="baseline"/>
        </w:rPr>
        <w:t>, SOC</w:t>
      </w:r>
      <w:r>
        <w:rPr>
          <w:i/>
          <w:vertAlign w:val="subscript"/>
        </w:rPr>
        <w:t>j</w:t>
      </w:r>
      <w:r>
        <w:rPr>
          <w:vertAlign w:val="baseline"/>
        </w:rPr>
        <w:t>, for the major combinations of forest types, management practices and disturbance regimes. Priority should be given to the factors that have the</w:t>
      </w:r>
    </w:p>
    <w:p>
      <w:pPr>
        <w:pStyle w:val="BodyText"/>
        <w:spacing w:before="6"/>
        <w:rPr>
          <w:sz w:val="12"/>
        </w:rPr>
      </w:pPr>
      <w:r>
        <w:rPr/>
        <w:pict>
          <v:line style="position:absolute;mso-position-horizontal-relative:page;mso-position-vertical-relative:paragraph;z-index:5048;mso-wrap-distance-left:0;mso-wrap-distance-right:0" from="70.960999pt,9.418203pt" to="214.960999pt,9.418203pt" stroked="true" strokeweight=".48pt" strokecolor="#000000">
            <v:stroke dashstyle="solid"/>
            <w10:wrap type="topAndBottom"/>
          </v:line>
        </w:pict>
      </w:r>
    </w:p>
    <w:p>
      <w:pPr>
        <w:spacing w:before="33"/>
        <w:ind w:left="377" w:right="0" w:hanging="159"/>
        <w:jc w:val="left"/>
        <w:rPr>
          <w:sz w:val="18"/>
        </w:rPr>
      </w:pPr>
      <w:r>
        <w:rPr>
          <w:position w:val="8"/>
          <w:sz w:val="12"/>
        </w:rPr>
        <w:t>2 </w:t>
      </w:r>
      <w:r>
        <w:rPr>
          <w:sz w:val="18"/>
        </w:rPr>
        <w:t>[SOC] is usually determined on the fine earth fraction (commonly &lt; 2 mm). The bulk density should be corrected for the proportion of the soil volume occupied by coarse fragments (e.g. particles with a diameter &gt; 2 mm).</w:t>
      </w:r>
    </w:p>
    <w:p>
      <w:pPr>
        <w:spacing w:after="0"/>
        <w:jc w:val="left"/>
        <w:rPr>
          <w:sz w:val="18"/>
        </w:rPr>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0"/>
        <w:jc w:val="both"/>
      </w:pPr>
      <w:r>
        <w:rPr/>
        <w:t>largest overall effect, taking into account the impact on forest SOC and the extent of affected forests. Management practices can be coarsely labelled as intensive (e.g. plantation forestry with intensive site preparation and fertilisation) or extensive (natural forests with minimum intervention); these categories can also be redefined according to national circumstances. The development of adjustment factors is likely to be based on intensive studies at experimental sites and sampling plots involving replicated, paired site comparisons (Johnson </w:t>
      </w:r>
      <w:r>
        <w:rPr>
          <w:i/>
        </w:rPr>
        <w:t>et al.</w:t>
      </w:r>
      <w:r>
        <w:rPr/>
        <w:t>, 2002; Olsson </w:t>
      </w:r>
      <w:r>
        <w:rPr>
          <w:i/>
        </w:rPr>
        <w:t>et al.</w:t>
      </w:r>
      <w:r>
        <w:rPr/>
        <w:t>, 1996; see also the reviews by Johnson &amp; Curtis, 2001 and Hoover, 2003.) In practice, it may not be always possible to separate the effects of a different forest types, intensive management practices and altered disturbance regimes, in which case some adjustment factors can be combined into a single modifier. If a country has well-documented data for different forest types under different management regimes it might be possible to derive SOC</w:t>
      </w:r>
      <w:r>
        <w:rPr>
          <w:i/>
          <w:vertAlign w:val="subscript"/>
        </w:rPr>
        <w:t>i</w:t>
      </w:r>
      <w:r>
        <w:rPr>
          <w:i/>
          <w:vertAlign w:val="baseline"/>
        </w:rPr>
        <w:t> </w:t>
      </w:r>
      <w:r>
        <w:rPr>
          <w:vertAlign w:val="baseline"/>
        </w:rPr>
        <w:t>directly without using reference carbon stocks and adjustment factors. Estimating the effect of changing disturbance regimes over vast areas through sampling studies may create intractable logistical problems. Modelling studies provide an alternative approach for the derivation of these adjustment factors (Bhatti </w:t>
      </w:r>
      <w:r>
        <w:rPr>
          <w:i/>
          <w:vertAlign w:val="baseline"/>
        </w:rPr>
        <w:t>et al.</w:t>
      </w:r>
      <w:r>
        <w:rPr>
          <w:vertAlign w:val="baseline"/>
        </w:rPr>
        <w:t>, 2001).</w:t>
      </w:r>
    </w:p>
    <w:p>
      <w:pPr>
        <w:pStyle w:val="BodyText"/>
        <w:spacing w:before="121"/>
        <w:ind w:left="219" w:right="267" w:hanging="1"/>
        <w:jc w:val="both"/>
      </w:pPr>
      <w:r>
        <w:rPr/>
        <w:t>The duration of transition periods T between stable SOC</w:t>
      </w:r>
      <w:r>
        <w:rPr>
          <w:i/>
          <w:vertAlign w:val="subscript"/>
        </w:rPr>
        <w:t>i</w:t>
      </w:r>
      <w:r>
        <w:rPr>
          <w:i/>
          <w:vertAlign w:val="baseline"/>
        </w:rPr>
        <w:t> </w:t>
      </w:r>
      <w:r>
        <w:rPr>
          <w:vertAlign w:val="baseline"/>
        </w:rPr>
        <w:t>can be estimated from long-term monitoring of changes in forest SOC. The assumption of a linear rate of carbon stock changes during the transition from one forest type/management regime to another can also be</w:t>
      </w:r>
      <w:r>
        <w:rPr>
          <w:spacing w:val="-1"/>
          <w:vertAlign w:val="baseline"/>
        </w:rPr>
        <w:t> </w:t>
      </w:r>
      <w:r>
        <w:rPr>
          <w:vertAlign w:val="baseline"/>
        </w:rPr>
        <w:t>reassessed.</w:t>
      </w:r>
    </w:p>
    <w:p>
      <w:pPr>
        <w:pStyle w:val="BodyText"/>
        <w:spacing w:before="121"/>
        <w:ind w:left="219" w:right="265"/>
        <w:jc w:val="both"/>
      </w:pPr>
      <w:r>
        <w:rPr>
          <w:b/>
        </w:rPr>
        <w:t>Tier 3: </w:t>
      </w:r>
      <w:r>
        <w:rPr/>
        <w:t>Country-specific methodologies and parameters are expected to be based on rigorous monitoring programs, coupled with empirical and/or process modelling studies. The national system must represent all significant forest types, management practices and disturbance regimes. Models must be validated with independent observations from country or region-specific studies that cover the range of climatic conditions, soil types and management practices. The same quality criteria as described under Tier 2 apply to SOC data. Documentation on the structure, update frequency and procedures, and QA/QC procedures of SOC databases should also be available.</w:t>
      </w:r>
    </w:p>
    <w:p>
      <w:pPr>
        <w:pStyle w:val="BodyText"/>
        <w:spacing w:before="1"/>
        <w:rPr>
          <w:sz w:val="21"/>
        </w:rPr>
      </w:pPr>
    </w:p>
    <w:p>
      <w:pPr>
        <w:spacing w:line="228" w:lineRule="exact" w:before="0"/>
        <w:ind w:left="219" w:right="0" w:firstLine="0"/>
        <w:jc w:val="both"/>
        <w:rPr>
          <w:b/>
          <w:sz w:val="20"/>
        </w:rPr>
      </w:pPr>
      <w:r>
        <w:rPr>
          <w:b/>
          <w:sz w:val="20"/>
        </w:rPr>
        <w:t>ORGANIC SOILS</w:t>
      </w:r>
    </w:p>
    <w:p>
      <w:pPr>
        <w:pStyle w:val="BodyText"/>
        <w:spacing w:line="228" w:lineRule="exact"/>
        <w:ind w:left="219"/>
        <w:jc w:val="both"/>
      </w:pPr>
      <w:r>
        <w:rPr/>
        <w:t>The parameters to be estimated are emission factor(s) for CO</w:t>
      </w:r>
      <w:r>
        <w:rPr>
          <w:vertAlign w:val="subscript"/>
        </w:rPr>
        <w:t>2</w:t>
      </w:r>
      <w:r>
        <w:rPr>
          <w:vertAlign w:val="baseline"/>
        </w:rPr>
        <w:t> from drained organic forest soils: EF</w:t>
      </w:r>
      <w:r>
        <w:rPr>
          <w:vertAlign w:val="subscript"/>
        </w:rPr>
        <w:t>Drainage</w:t>
      </w:r>
      <w:r>
        <w:rPr>
          <w:vertAlign w:val="baseline"/>
        </w:rPr>
        <w:t>.</w:t>
      </w:r>
    </w:p>
    <w:p>
      <w:pPr>
        <w:pStyle w:val="BodyText"/>
        <w:spacing w:before="121"/>
        <w:ind w:left="219" w:right="264"/>
        <w:jc w:val="both"/>
      </w:pPr>
      <w:r>
        <w:rPr>
          <w:b/>
        </w:rPr>
        <w:t>Tier 1: </w:t>
      </w:r>
      <w:r>
        <w:rPr/>
        <w:t>Table 3.2.3 provides default values for EF</w:t>
      </w:r>
      <w:r>
        <w:rPr>
          <w:vertAlign w:val="subscript"/>
        </w:rPr>
        <w:t>Drainage</w:t>
      </w:r>
      <w:r>
        <w:rPr>
          <w:vertAlign w:val="baseline"/>
        </w:rPr>
        <w:t>, derived from corresponding values for the conversion to pastures/forests in the </w:t>
      </w:r>
      <w:r>
        <w:rPr>
          <w:i/>
          <w:vertAlign w:val="baseline"/>
        </w:rPr>
        <w:t>IPCC Guidelines</w:t>
      </w:r>
      <w:r>
        <w:rPr>
          <w:vertAlign w:val="baseline"/>
        </w:rPr>
        <w:t>, (Reference Manual, Section 5.3.9). These values apply for as long as a drained organic soil</w:t>
      </w:r>
      <w:r>
        <w:rPr>
          <w:spacing w:val="2"/>
          <w:vertAlign w:val="baseline"/>
        </w:rPr>
        <w:t> </w:t>
      </w:r>
      <w:r>
        <w:rPr>
          <w:vertAlign w:val="baseline"/>
        </w:rPr>
        <w:t>remains.</w:t>
      </w:r>
    </w:p>
    <w:p>
      <w:pPr>
        <w:pStyle w:val="BodyText"/>
        <w:spacing w:before="121"/>
        <w:ind w:left="219" w:right="267"/>
        <w:jc w:val="both"/>
      </w:pPr>
      <w:r>
        <w:rPr>
          <w:b/>
        </w:rPr>
        <w:t>Tier 2: </w:t>
      </w:r>
      <w:r>
        <w:rPr/>
        <w:t>Countries which develop their own emission factors or adopt ones that are different from the default values should provide scientifically-based evidence of their reliability and representativeness, document the experimental procedures used to derive them, and provide uncertainty estimates.</w:t>
      </w:r>
    </w:p>
    <w:p>
      <w:pPr>
        <w:pStyle w:val="BodyText"/>
        <w:spacing w:before="3"/>
        <w:rPr>
          <w:sz w:val="21"/>
        </w:rPr>
      </w:pPr>
    </w:p>
    <w:p>
      <w:pPr>
        <w:pStyle w:val="Heading6"/>
        <w:numPr>
          <w:ilvl w:val="5"/>
          <w:numId w:val="48"/>
        </w:numPr>
        <w:tabs>
          <w:tab w:pos="1661" w:val="left" w:leader="none"/>
        </w:tabs>
        <w:spacing w:line="240" w:lineRule="auto" w:before="0"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pStyle w:val="BodyText"/>
        <w:spacing w:before="54"/>
        <w:ind w:left="219" w:right="265"/>
        <w:jc w:val="both"/>
      </w:pPr>
      <w:r>
        <w:rPr/>
        <w:t>It is </w:t>
      </w:r>
      <w:r>
        <w:rPr>
          <w:i/>
        </w:rPr>
        <w:t>good practice </w:t>
      </w:r>
      <w:r>
        <w:rPr/>
        <w:t>to distinguish managed forests on mineral soils from those on organic soils. The defining criteria of organic soils are provided in the Glossary. For the purpose of this assessment, the depth of the organic layer itself is not as important as its presence; countries are therefore encouraged to use their own national depth criterion for the distinction between organic and mineral soils. Mineral soils comprised all soils which do not fulfill the definition of organic soils.</w:t>
      </w:r>
    </w:p>
    <w:p>
      <w:pPr>
        <w:pStyle w:val="BodyText"/>
        <w:spacing w:before="122"/>
        <w:ind w:left="219" w:right="265"/>
        <w:jc w:val="both"/>
      </w:pPr>
      <w:r>
        <w:rPr/>
        <w:t>Forest inventories, where they include soil descriptions, are preferred data sources. Statistical, stratified sampling programmes can provide an estimate of the proportion of the managed forest on organic soils, but will not indicate their location. However, it is an acceptable first step in the determination of the importance of forested organic soils. Alternatively, an area estimate of forest on organic soils could be derived from overlaying soil maps, and land cover or land use maps. However the relative uncertainty associated with this type of GIS exercise is high, since it combines the omission and commission errors of all the maps used. Standard GIS textbooks provide guidance on the treatment of error for overlay exercises.</w:t>
      </w:r>
    </w:p>
    <w:p>
      <w:pPr>
        <w:pStyle w:val="BodyText"/>
        <w:spacing w:before="1"/>
        <w:rPr>
          <w:sz w:val="21"/>
        </w:rPr>
      </w:pPr>
    </w:p>
    <w:p>
      <w:pPr>
        <w:spacing w:line="228" w:lineRule="exact" w:before="0"/>
        <w:ind w:left="219" w:right="0" w:firstLine="0"/>
        <w:jc w:val="both"/>
        <w:rPr>
          <w:b/>
          <w:sz w:val="20"/>
        </w:rPr>
      </w:pPr>
      <w:r>
        <w:rPr>
          <w:b/>
          <w:sz w:val="20"/>
        </w:rPr>
        <w:t>MINERAL SOILS</w:t>
      </w:r>
    </w:p>
    <w:p>
      <w:pPr>
        <w:pStyle w:val="BodyText"/>
        <w:ind w:left="219" w:right="266"/>
        <w:jc w:val="both"/>
      </w:pPr>
      <w:r>
        <w:rPr>
          <w:b/>
        </w:rPr>
        <w:t>Tier 2: </w:t>
      </w:r>
      <w:r>
        <w:rPr/>
        <w:t>Activity data consist of the major forest types, management practices, disturbance regimes and the areas to which they apply, consistently with the guidance provided in Chapter 2 of the present report. The data should preferably be linked to the national forest inventory, where one exists, or with national soil and climate databases.</w:t>
      </w:r>
    </w:p>
    <w:p>
      <w:pPr>
        <w:pStyle w:val="BodyText"/>
        <w:spacing w:before="117"/>
        <w:ind w:left="219" w:right="264"/>
        <w:jc w:val="both"/>
      </w:pPr>
      <w:r>
        <w:rPr/>
        <w:t>Typical changes are: conversion of unmanaged to managed forest; conversion of native forest into a new forest type; intensification of forest management activities, such as site preparation, tree planting and shorter rotations; changes in harvesting practices (bole vs. whole-tree harvesting; amount of residues left on-site); frequency of disturbances (pest and disease outbreaks, flooding, fires etc). Data sources will vary according to a country’s forest management system, but could include individual contractors or companies, statutory forest authorities,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8"/>
        <w:jc w:val="both"/>
      </w:pPr>
      <w:r>
        <w:rPr/>
        <w:t>research institutions and agencies responsible for forest inventories. Data formats vary widely, and include, among others, activity reports, forest management inventories and remotely sensed imagery.</w:t>
      </w:r>
    </w:p>
    <w:p>
      <w:pPr>
        <w:pStyle w:val="BodyText"/>
        <w:spacing w:before="121"/>
        <w:ind w:left="219" w:right="266"/>
        <w:jc w:val="both"/>
      </w:pPr>
      <w:r>
        <w:rPr/>
        <w:t>Records should extend sufficiently far back as to include all significant changes having occurred over the T years selected as the transition period, or else back-casting will be necessary.</w:t>
      </w:r>
    </w:p>
    <w:p>
      <w:pPr>
        <w:pStyle w:val="BodyText"/>
        <w:spacing w:before="121"/>
        <w:ind w:left="219" w:right="265"/>
        <w:jc w:val="both"/>
      </w:pPr>
      <w:r>
        <w:rPr>
          <w:b/>
        </w:rPr>
        <w:t>Tier 3: </w:t>
      </w:r>
      <w:r>
        <w:rPr/>
        <w:t>It is </w:t>
      </w:r>
      <w:r>
        <w:rPr>
          <w:i/>
        </w:rPr>
        <w:t>good practice </w:t>
      </w:r>
      <w:r>
        <w:rPr/>
        <w:t>to adopt the same forest types, management practices and disturbance regimes as those used for estimating emissions/removals in other forest</w:t>
      </w:r>
      <w:r>
        <w:rPr>
          <w:spacing w:val="-1"/>
        </w:rPr>
        <w:t> </w:t>
      </w:r>
      <w:r>
        <w:rPr/>
        <w:t>pools.</w:t>
      </w:r>
    </w:p>
    <w:p>
      <w:pPr>
        <w:pStyle w:val="BodyText"/>
        <w:spacing w:before="1"/>
        <w:rPr>
          <w:sz w:val="21"/>
        </w:rPr>
      </w:pPr>
    </w:p>
    <w:p>
      <w:pPr>
        <w:spacing w:line="228" w:lineRule="exact" w:before="1"/>
        <w:ind w:left="219" w:right="0" w:firstLine="0"/>
        <w:jc w:val="both"/>
        <w:rPr>
          <w:b/>
          <w:sz w:val="20"/>
        </w:rPr>
      </w:pPr>
      <w:r>
        <w:rPr>
          <w:b/>
          <w:sz w:val="20"/>
        </w:rPr>
        <w:t>ORGANIC SOILS</w:t>
      </w:r>
    </w:p>
    <w:p>
      <w:pPr>
        <w:pStyle w:val="BodyText"/>
        <w:ind w:left="219" w:right="264"/>
        <w:jc w:val="both"/>
      </w:pPr>
      <w:r>
        <w:rPr/>
        <w:t>The activity data consist of A</w:t>
      </w:r>
      <w:r>
        <w:rPr>
          <w:vertAlign w:val="subscript"/>
        </w:rPr>
        <w:t>Drainage</w:t>
      </w:r>
      <w:r>
        <w:rPr>
          <w:vertAlign w:val="baseline"/>
        </w:rPr>
        <w:t>, the area of drained organic soil (including peatland) covered by forest. Probable data sources are forest management records of industry or statutory forest authorities. Alternatively, expert knowledge from within such organisations may be solicited.</w:t>
      </w:r>
    </w:p>
    <w:p>
      <w:pPr>
        <w:pStyle w:val="BodyText"/>
        <w:spacing w:before="2"/>
        <w:rPr>
          <w:sz w:val="21"/>
        </w:rPr>
      </w:pPr>
    </w:p>
    <w:p>
      <w:pPr>
        <w:pStyle w:val="Heading6"/>
        <w:numPr>
          <w:ilvl w:val="5"/>
          <w:numId w:val="48"/>
        </w:numPr>
        <w:tabs>
          <w:tab w:pos="1662" w:val="left" w:leader="none"/>
        </w:tabs>
        <w:spacing w:line="240" w:lineRule="auto" w:before="0" w:after="0"/>
        <w:ind w:left="1661" w:right="0" w:hanging="1442"/>
        <w:jc w:val="both"/>
      </w:pPr>
      <w:r>
        <w:rPr/>
        <w:t>4 </w:t>
      </w:r>
      <w:r>
        <w:rPr>
          <w:spacing w:val="17"/>
        </w:rPr>
        <w:t>Uncertainty</w:t>
      </w:r>
      <w:r>
        <w:rPr>
          <w:spacing w:val="18"/>
        </w:rPr>
        <w:t> </w:t>
      </w:r>
      <w:r>
        <w:rPr>
          <w:spacing w:val="19"/>
        </w:rPr>
        <w:t>Assessment</w:t>
      </w:r>
    </w:p>
    <w:p>
      <w:pPr>
        <w:spacing w:line="228" w:lineRule="exact" w:before="179"/>
        <w:ind w:left="219" w:right="0" w:firstLine="0"/>
        <w:jc w:val="both"/>
        <w:rPr>
          <w:b/>
          <w:sz w:val="20"/>
        </w:rPr>
      </w:pPr>
      <w:r>
        <w:rPr>
          <w:b/>
          <w:sz w:val="20"/>
        </w:rPr>
        <w:t>MINERAL SOILS</w:t>
      </w:r>
    </w:p>
    <w:p>
      <w:pPr>
        <w:pStyle w:val="BodyText"/>
        <w:ind w:left="219" w:right="266"/>
        <w:jc w:val="both"/>
      </w:pPr>
      <w:r>
        <w:rPr/>
        <w:t>The greatest uncertainty arises from the determination of SOC values (in tonnes C ha</w:t>
      </w:r>
      <w:r>
        <w:rPr>
          <w:vertAlign w:val="superscript"/>
        </w:rPr>
        <w:t>-1</w:t>
      </w:r>
      <w:r>
        <w:rPr>
          <w:vertAlign w:val="baseline"/>
        </w:rPr>
        <w:t>) over large areas (Equation 3.2.14). Default values have a high inherent uncertainty when applied to specific countries. Standard deviations of default reference soil carbon stocks under native vegetation are provided in Table 3.2.4.</w:t>
      </w:r>
    </w:p>
    <w:p>
      <w:pPr>
        <w:pStyle w:val="BodyText"/>
        <w:spacing w:before="117"/>
        <w:ind w:left="219" w:right="264"/>
        <w:jc w:val="both"/>
      </w:pPr>
      <w:r>
        <w:rPr/>
        <w:t>For countries developing their own SOC values, the two major sources of uncertainty are soil bulk density and soil volume occupied by coarse fragments. When computing forest SOC values, assume 40% uncertainty in bulk density values, and a factor of 2 uncertainty for the soil volume occupied by coarse fragments. Assume that the top 30 cm of mineral forest soils contain 50% of total SOC. Uncertainty associated with shallow sampling can be reduced by providing scientific evidence on (1) the proportion of total SOC contained in the soil depth sampled; and (2) the depth at which SOC responds to changes in forest types, management practices and disturbance regimes. Chapter 5, Box 5.2.4, provides generic guidance on the treatment of uncertainty when estimates are derived from model outputs.</w:t>
      </w:r>
    </w:p>
    <w:p>
      <w:pPr>
        <w:pStyle w:val="BodyText"/>
        <w:spacing w:before="4"/>
        <w:rPr>
          <w:sz w:val="21"/>
        </w:rPr>
      </w:pPr>
    </w:p>
    <w:p>
      <w:pPr>
        <w:spacing w:line="228" w:lineRule="exact" w:before="0"/>
        <w:ind w:left="219" w:right="0" w:firstLine="0"/>
        <w:jc w:val="both"/>
        <w:rPr>
          <w:b/>
          <w:sz w:val="20"/>
        </w:rPr>
      </w:pPr>
      <w:r>
        <w:rPr>
          <w:b/>
          <w:sz w:val="20"/>
        </w:rPr>
        <w:t>ORGANIC SOILS</w:t>
      </w:r>
    </w:p>
    <w:p>
      <w:pPr>
        <w:pStyle w:val="BodyText"/>
        <w:ind w:left="219" w:right="266"/>
        <w:jc w:val="both"/>
      </w:pPr>
      <w:r>
        <w:rPr/>
        <w:t>The largest uncertainties stem from CO</w:t>
      </w:r>
      <w:r>
        <w:rPr>
          <w:vertAlign w:val="subscript"/>
        </w:rPr>
        <w:t>2</w:t>
      </w:r>
      <w:r>
        <w:rPr>
          <w:vertAlign w:val="baseline"/>
        </w:rPr>
        <w:t> emission factors for drained organic soils. Assume that EF</w:t>
      </w:r>
      <w:r>
        <w:rPr>
          <w:vertAlign w:val="subscript"/>
        </w:rPr>
        <w:t>Drainage</w:t>
      </w:r>
      <w:r>
        <w:rPr>
          <w:vertAlign w:val="baseline"/>
        </w:rPr>
        <w:t> varies by a factor of 2. The measurement of carbon stocks on organic soils present a significant challenge because of the great variability in bulk density (from 0.05 to 0.2 g cm</w:t>
      </w:r>
      <w:r>
        <w:rPr>
          <w:vertAlign w:val="superscript"/>
        </w:rPr>
        <w:t>3</w:t>
      </w:r>
      <w:r>
        <w:rPr>
          <w:vertAlign w:val="baseline"/>
        </w:rPr>
        <w:t>, a four-fold difference), and in the total depth of the organic layer (an even large source of variability). Further uncertainty arises due to the failure of carbon stock changes to distinguish between off-site transfer of carbon as dissolved organic matter versus emissions to the atmosphere.</w:t>
      </w:r>
    </w:p>
    <w:p>
      <w:pPr>
        <w:pStyle w:val="BodyText"/>
        <w:rPr>
          <w:sz w:val="22"/>
        </w:rPr>
      </w:pPr>
    </w:p>
    <w:p>
      <w:pPr>
        <w:pStyle w:val="Heading6"/>
        <w:numPr>
          <w:ilvl w:val="3"/>
          <w:numId w:val="48"/>
        </w:numPr>
        <w:tabs>
          <w:tab w:pos="1667" w:val="left" w:leader="none"/>
        </w:tabs>
        <w:spacing w:line="240" w:lineRule="auto" w:before="145" w:after="0"/>
        <w:ind w:left="1666" w:right="0" w:hanging="1447"/>
        <w:jc w:val="both"/>
        <w:rPr>
          <w:sz w:val="28"/>
        </w:rPr>
      </w:pPr>
      <w:r>
        <w:rPr>
          <w:spacing w:val="16"/>
          <w:sz w:val="28"/>
        </w:rPr>
        <w:t>N</w:t>
      </w:r>
      <w:r>
        <w:rPr>
          <w:spacing w:val="16"/>
        </w:rPr>
        <w:t>ON</w:t>
      </w:r>
      <w:r>
        <w:rPr>
          <w:spacing w:val="16"/>
          <w:sz w:val="28"/>
        </w:rPr>
        <w:t>-CO</w:t>
      </w:r>
      <w:r>
        <w:rPr>
          <w:spacing w:val="16"/>
          <w:sz w:val="28"/>
          <w:vertAlign w:val="subscript"/>
        </w:rPr>
        <w:t>2</w:t>
      </w:r>
      <w:r>
        <w:rPr>
          <w:spacing w:val="16"/>
          <w:sz w:val="28"/>
          <w:vertAlign w:val="baseline"/>
        </w:rPr>
        <w:t> </w:t>
      </w:r>
      <w:r>
        <w:rPr>
          <w:spacing w:val="17"/>
          <w:vertAlign w:val="baseline"/>
        </w:rPr>
        <w:t>GREENHOUSE  </w:t>
      </w:r>
      <w:r>
        <w:rPr>
          <w:spacing w:val="12"/>
          <w:vertAlign w:val="baseline"/>
        </w:rPr>
        <w:t>GAS</w:t>
      </w:r>
      <w:r>
        <w:rPr>
          <w:spacing w:val="27"/>
          <w:vertAlign w:val="baseline"/>
        </w:rPr>
        <w:t> </w:t>
      </w:r>
      <w:r>
        <w:rPr>
          <w:spacing w:val="16"/>
          <w:vertAlign w:val="baseline"/>
        </w:rPr>
        <w:t>EMISSIONS</w:t>
      </w:r>
    </w:p>
    <w:p>
      <w:pPr>
        <w:pStyle w:val="BodyText"/>
        <w:spacing w:before="209"/>
        <w:ind w:left="219" w:right="265"/>
        <w:jc w:val="both"/>
      </w:pPr>
      <w:r>
        <w:rPr/>
        <w:t>This section considers N</w:t>
      </w:r>
      <w:r>
        <w:rPr>
          <w:vertAlign w:val="subscript"/>
        </w:rPr>
        <w:t>2</w:t>
      </w:r>
      <w:r>
        <w:rPr>
          <w:vertAlign w:val="baseline"/>
        </w:rPr>
        <w:t>O emissions from forest soils and non-CO</w:t>
      </w:r>
      <w:r>
        <w:rPr>
          <w:vertAlign w:val="subscript"/>
        </w:rPr>
        <w:t>2</w:t>
      </w:r>
      <w:r>
        <w:rPr>
          <w:vertAlign w:val="baseline"/>
        </w:rPr>
        <w:t> greenhouse gas emissions from biomass burning. N</w:t>
      </w:r>
      <w:r>
        <w:rPr>
          <w:vertAlign w:val="subscript"/>
        </w:rPr>
        <w:t>2</w:t>
      </w:r>
      <w:r>
        <w:rPr>
          <w:vertAlign w:val="baseline"/>
        </w:rPr>
        <w:t>O and NO</w:t>
      </w:r>
      <w:r>
        <w:rPr>
          <w:vertAlign w:val="subscript"/>
        </w:rPr>
        <w:t>x</w:t>
      </w:r>
      <w:r>
        <w:rPr>
          <w:vertAlign w:val="baseline"/>
        </w:rPr>
        <w:t> are mainly produced in soils as a byproduct of nitrification and denitrification. Emissions are stimulated directly by N fertilisation of forests and drainage of wet forest soils (Appendix 3a.2), and indirectly through deposition of N from the atmosphere and leaching and runoff. The indirect N</w:t>
      </w:r>
      <w:r>
        <w:rPr>
          <w:vertAlign w:val="subscript"/>
        </w:rPr>
        <w:t>2</w:t>
      </w:r>
      <w:r>
        <w:rPr>
          <w:vertAlign w:val="baseline"/>
        </w:rPr>
        <w:t>O emissions are addressed in the Agriculture Chapter of the </w:t>
      </w:r>
      <w:r>
        <w:rPr>
          <w:i/>
          <w:vertAlign w:val="baseline"/>
        </w:rPr>
        <w:t>IPCC Guidelines </w:t>
      </w:r>
      <w:r>
        <w:rPr>
          <w:vertAlign w:val="baseline"/>
        </w:rPr>
        <w:t>and therefore not considered here in order to avoid double counting. Liming of forest soil may reduce N</w:t>
      </w:r>
      <w:r>
        <w:rPr>
          <w:vertAlign w:val="subscript"/>
        </w:rPr>
        <w:t>2</w:t>
      </w:r>
      <w:r>
        <w:rPr>
          <w:vertAlign w:val="baseline"/>
        </w:rPr>
        <w:t>O emissions in some environments, but increase emissions in others (Klemedtsson </w:t>
      </w:r>
      <w:r>
        <w:rPr>
          <w:i/>
          <w:vertAlign w:val="baseline"/>
        </w:rPr>
        <w:t>et al.</w:t>
      </w:r>
      <w:r>
        <w:rPr>
          <w:vertAlign w:val="baseline"/>
        </w:rPr>
        <w:t>, 1997, Mosier </w:t>
      </w:r>
      <w:r>
        <w:rPr>
          <w:i/>
          <w:vertAlign w:val="baseline"/>
        </w:rPr>
        <w:t>et al.</w:t>
      </w:r>
      <w:r>
        <w:rPr>
          <w:vertAlign w:val="baseline"/>
        </w:rPr>
        <w:t>, 1998, Papen and Butterbach-Bahl, 1999). Forest management such as clear cutting and thinning may increase N</w:t>
      </w:r>
      <w:r>
        <w:rPr>
          <w:vertAlign w:val="subscript"/>
        </w:rPr>
        <w:t>2</w:t>
      </w:r>
      <w:r>
        <w:rPr>
          <w:vertAlign w:val="baseline"/>
        </w:rPr>
        <w:t>O emissions. However, available data are insufficient and somewhat contradictory, therefore in the present section the impact of these practices is not</w:t>
      </w:r>
      <w:r>
        <w:rPr>
          <w:spacing w:val="-23"/>
          <w:vertAlign w:val="baseline"/>
        </w:rPr>
        <w:t> </w:t>
      </w:r>
      <w:r>
        <w:rPr>
          <w:vertAlign w:val="baseline"/>
        </w:rPr>
        <w:t>considered.</w:t>
      </w:r>
    </w:p>
    <w:p>
      <w:pPr>
        <w:pStyle w:val="BodyText"/>
        <w:spacing w:before="121"/>
        <w:ind w:left="219" w:right="267"/>
        <w:jc w:val="both"/>
      </w:pPr>
      <w:r>
        <w:rPr/>
        <w:t>Afforestation with N-fixing tree species may increase N</w:t>
      </w:r>
      <w:r>
        <w:rPr>
          <w:vertAlign w:val="subscript"/>
        </w:rPr>
        <w:t>2</w:t>
      </w:r>
      <w:r>
        <w:rPr>
          <w:vertAlign w:val="baseline"/>
        </w:rPr>
        <w:t>O emissions for much of the lifetime of the forest, but there is too limited data to provide a default methodology.</w:t>
      </w:r>
    </w:p>
    <w:p>
      <w:pPr>
        <w:pStyle w:val="BodyText"/>
        <w:spacing w:before="119"/>
        <w:ind w:left="219" w:right="265"/>
        <w:jc w:val="both"/>
      </w:pPr>
      <w:r>
        <w:rPr/>
        <w:t>The CH</w:t>
      </w:r>
      <w:r>
        <w:rPr>
          <w:vertAlign w:val="subscript"/>
        </w:rPr>
        <w:t>4</w:t>
      </w:r>
      <w:r>
        <w:rPr>
          <w:vertAlign w:val="baseline"/>
        </w:rPr>
        <w:t> sink in aerated and undisturbed forest soils is a natural process and is estimated to average at 2.4 kg CH</w:t>
      </w:r>
      <w:r>
        <w:rPr>
          <w:vertAlign w:val="subscript"/>
        </w:rPr>
        <w:t>4</w:t>
      </w:r>
      <w:r>
        <w:rPr>
          <w:vertAlign w:val="baseline"/>
        </w:rPr>
        <w:t>/ha/yr (Smith </w:t>
      </w:r>
      <w:r>
        <w:rPr>
          <w:i/>
          <w:vertAlign w:val="baseline"/>
        </w:rPr>
        <w:t>et al.</w:t>
      </w:r>
      <w:r>
        <w:rPr>
          <w:vertAlign w:val="baseline"/>
        </w:rPr>
        <w:t>, 2000). Forest management, particularly N fertilisation, may significantly alter this CH</w:t>
      </w:r>
      <w:r>
        <w:rPr>
          <w:vertAlign w:val="subscript"/>
        </w:rPr>
        <w:t>4</w:t>
      </w:r>
      <w:r>
        <w:rPr>
          <w:vertAlign w:val="baseline"/>
        </w:rPr>
        <w:t> sink. Methods and data to estimate changes in methane oxidation are not provided at this time. As additional information becomes available, a fuller consideration of various activities and their impacts on methane oxidation from fertilised lands may be</w:t>
      </w:r>
      <w:r>
        <w:rPr>
          <w:spacing w:val="-2"/>
          <w:vertAlign w:val="baseline"/>
        </w:rPr>
        <w:t> </w:t>
      </w:r>
      <w:r>
        <w:rPr>
          <w:vertAlign w:val="baseline"/>
        </w:rPr>
        <w:t>possible.</w:t>
      </w:r>
    </w:p>
    <w:p>
      <w:pPr>
        <w:pStyle w:val="BodyText"/>
        <w:spacing w:before="3"/>
        <w:rPr>
          <w:sz w:val="21"/>
        </w:rPr>
      </w:pPr>
    </w:p>
    <w:p>
      <w:pPr>
        <w:pStyle w:val="Heading6"/>
        <w:spacing w:line="251" w:lineRule="exact"/>
        <w:ind w:left="219"/>
        <w:jc w:val="both"/>
      </w:pPr>
      <w:r>
        <w:rPr/>
        <w:t>NITROUS OXIDE </w:t>
      </w:r>
    </w:p>
    <w:p>
      <w:pPr>
        <w:pStyle w:val="BodyText"/>
        <w:ind w:left="219" w:right="267"/>
        <w:jc w:val="both"/>
      </w:pPr>
      <w:r>
        <w:rPr/>
        <w:t>The </w:t>
      </w:r>
      <w:r>
        <w:rPr>
          <w:i/>
        </w:rPr>
        <w:t>IPCC Guidelines </w:t>
      </w:r>
      <w:r>
        <w:rPr/>
        <w:t>in Chapter 4 Agriculture include N</w:t>
      </w:r>
      <w:r>
        <w:rPr>
          <w:vertAlign w:val="subscript"/>
        </w:rPr>
        <w:t>2</w:t>
      </w:r>
      <w:r>
        <w:rPr>
          <w:vertAlign w:val="baseline"/>
        </w:rPr>
        <w:t>O emissions from nitrogen fertilisation and also account for N</w:t>
      </w:r>
      <w:r>
        <w:rPr>
          <w:vertAlign w:val="subscript"/>
        </w:rPr>
        <w:t>2</w:t>
      </w:r>
      <w:r>
        <w:rPr>
          <w:vertAlign w:val="baseline"/>
        </w:rPr>
        <w:t>O emissions from nitrogen deposition as “indirect N</w:t>
      </w:r>
      <w:r>
        <w:rPr>
          <w:vertAlign w:val="subscript"/>
        </w:rPr>
        <w:t>2</w:t>
      </w:r>
      <w:r>
        <w:rPr>
          <w:vertAlign w:val="baseline"/>
        </w:rPr>
        <w:t>O emissions”. Specific guidance is given below applying the methods from Chapter 4 of the </w:t>
      </w:r>
      <w:r>
        <w:rPr>
          <w:i/>
          <w:vertAlign w:val="baseline"/>
        </w:rPr>
        <w:t>IPCC Guidelines </w:t>
      </w:r>
      <w:r>
        <w:rPr>
          <w:vertAlign w:val="baseline"/>
        </w:rPr>
        <w:t>to estimate fertiliser-based N</w:t>
      </w:r>
      <w:r>
        <w:rPr>
          <w:vertAlign w:val="subscript"/>
        </w:rPr>
        <w:t>2</w:t>
      </w:r>
      <w:r>
        <w:rPr>
          <w:vertAlign w:val="baseline"/>
        </w:rPr>
        <w:t>O emissions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5"/>
        <w:jc w:val="both"/>
      </w:pPr>
      <w:r>
        <w:rPr/>
        <w:t>from forests. The methodology for estimating N</w:t>
      </w:r>
      <w:r>
        <w:rPr>
          <w:vertAlign w:val="subscript"/>
        </w:rPr>
        <w:t>2</w:t>
      </w:r>
      <w:r>
        <w:rPr>
          <w:vertAlign w:val="baseline"/>
        </w:rPr>
        <w:t>O emissions from drainage of wet forest soils is presented in Appendix 3a.2. Forests receive atmospheric nitrogen depositions and nitrogen in runoff and leaching from adjacent agricultural fields. The Agriculture Chapter of the </w:t>
      </w:r>
      <w:r>
        <w:rPr>
          <w:i/>
          <w:vertAlign w:val="baseline"/>
        </w:rPr>
        <w:t>IPCC Guidelines </w:t>
      </w:r>
      <w:r>
        <w:rPr>
          <w:vertAlign w:val="baseline"/>
        </w:rPr>
        <w:t>already addresses these N</w:t>
      </w:r>
      <w:r>
        <w:rPr>
          <w:vertAlign w:val="subscript"/>
        </w:rPr>
        <w:t>2</w:t>
      </w:r>
      <w:r>
        <w:rPr>
          <w:vertAlign w:val="baseline"/>
        </w:rPr>
        <w:t>O emissions from N deposition, runoff and leaching as “indirect emissions”. These emissions are not accounted here, avoiding double-counting. It is assumed that the leaching and run-off from forests where nitrogen fertiliser is applied into surrounding non-forest or unfertilised forest areas is negligible. This is justified because leaching and runoff are smaller in forest than in agricultural land, and the emission factor used in the </w:t>
      </w:r>
      <w:r>
        <w:rPr>
          <w:i/>
          <w:vertAlign w:val="baseline"/>
        </w:rPr>
        <w:t>IPCC Guidelines </w:t>
      </w:r>
      <w:r>
        <w:rPr>
          <w:vertAlign w:val="baseline"/>
        </w:rPr>
        <w:t>appears to be high.</w:t>
      </w:r>
    </w:p>
    <w:p>
      <w:pPr>
        <w:pStyle w:val="BodyText"/>
        <w:spacing w:before="5"/>
        <w:rPr>
          <w:sz w:val="21"/>
        </w:rPr>
      </w:pPr>
    </w:p>
    <w:p>
      <w:pPr>
        <w:pStyle w:val="Heading6"/>
        <w:numPr>
          <w:ilvl w:val="4"/>
          <w:numId w:val="48"/>
        </w:numPr>
        <w:tabs>
          <w:tab w:pos="1659" w:val="left" w:leader="none"/>
          <w:tab w:pos="1660" w:val="left" w:leader="none"/>
        </w:tabs>
        <w:spacing w:line="250" w:lineRule="exact" w:before="0" w:after="0"/>
        <w:ind w:left="1659" w:right="0" w:hanging="1440"/>
        <w:jc w:val="left"/>
      </w:pPr>
      <w:r>
        <w:rPr/>
        <w:t>1</w:t>
        <w:tab/>
      </w:r>
      <w:r>
        <w:rPr>
          <w:spacing w:val="17"/>
        </w:rPr>
        <w:t>METHODOLOGICAL</w:t>
      </w:r>
      <w:r>
        <w:rPr>
          <w:spacing w:val="37"/>
        </w:rPr>
        <w:t> </w:t>
      </w:r>
      <w:r>
        <w:rPr>
          <w:spacing w:val="16"/>
        </w:rPr>
        <w:t>ISSUES</w:t>
      </w:r>
    </w:p>
    <w:p>
      <w:pPr>
        <w:pStyle w:val="BodyText"/>
        <w:ind w:left="219" w:right="267"/>
        <w:jc w:val="both"/>
      </w:pPr>
      <w:r>
        <w:rPr/>
        <w:t>The method used to estimate N</w:t>
      </w:r>
      <w:r>
        <w:rPr>
          <w:vertAlign w:val="subscript"/>
        </w:rPr>
        <w:t>2</w:t>
      </w:r>
      <w:r>
        <w:rPr>
          <w:vertAlign w:val="baseline"/>
        </w:rPr>
        <w:t>O emissions from forest soils is identical to that provided in the </w:t>
      </w:r>
      <w:r>
        <w:rPr>
          <w:i/>
          <w:vertAlign w:val="baseline"/>
        </w:rPr>
        <w:t>IPCC Guidelines </w:t>
      </w:r>
      <w:r>
        <w:rPr>
          <w:vertAlign w:val="baseline"/>
        </w:rPr>
        <w:t>for Agriculture and described in </w:t>
      </w:r>
      <w:r>
        <w:rPr>
          <w:i/>
          <w:vertAlign w:val="baseline"/>
        </w:rPr>
        <w:t>GPG2000</w:t>
      </w:r>
      <w:r>
        <w:rPr>
          <w:vertAlign w:val="baseline"/>
        </w:rPr>
        <w:t>. The basic equation, taken from </w:t>
      </w:r>
      <w:r>
        <w:rPr>
          <w:i/>
          <w:vertAlign w:val="baseline"/>
        </w:rPr>
        <w:t>GPG2000</w:t>
      </w:r>
      <w:r>
        <w:rPr>
          <w:vertAlign w:val="baseline"/>
        </w:rPr>
        <w:t>, is shown in Equation 3.2.17.</w:t>
      </w:r>
    </w:p>
    <w:p>
      <w:pPr>
        <w:pStyle w:val="BodyText"/>
        <w:spacing w:before="11"/>
        <w:rPr>
          <w:sz w:val="10"/>
        </w:rPr>
      </w:pPr>
      <w:r>
        <w:rPr/>
        <w:pict>
          <v:shape style="position:absolute;margin-left:91.960999pt;margin-top:9.012412pt;width:411.5pt;height:49.95pt;mso-position-horizontal-relative:page;mso-position-vertical-relative:paragraph;z-index:5072;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3.2.17</w:t>
                  </w:r>
                </w:p>
                <w:p>
                  <w:pPr>
                    <w:spacing w:before="0"/>
                    <w:ind w:left="68" w:right="68" w:firstLine="0"/>
                    <w:jc w:val="center"/>
                    <w:rPr>
                      <w:b/>
                      <w:sz w:val="16"/>
                    </w:rPr>
                  </w:pPr>
                  <w:r>
                    <w:rPr>
                      <w:b/>
                      <w:sz w:val="20"/>
                    </w:rPr>
                    <w:t>D</w:t>
                  </w:r>
                  <w:r>
                    <w:rPr>
                      <w:b/>
                      <w:sz w:val="16"/>
                    </w:rPr>
                    <w:t>IRECT </w:t>
                  </w:r>
                  <w:r>
                    <w:rPr>
                      <w:b/>
                      <w:sz w:val="20"/>
                    </w:rPr>
                    <w:t>N</w:t>
                  </w:r>
                  <w:r>
                    <w:rPr>
                      <w:b/>
                      <w:sz w:val="20"/>
                      <w:vertAlign w:val="subscript"/>
                    </w:rPr>
                    <w:t>2</w:t>
                  </w:r>
                  <w:r>
                    <w:rPr>
                      <w:b/>
                      <w:sz w:val="20"/>
                      <w:vertAlign w:val="baseline"/>
                    </w:rPr>
                    <w:t>O </w:t>
                  </w:r>
                  <w:r>
                    <w:rPr>
                      <w:b/>
                      <w:sz w:val="16"/>
                      <w:vertAlign w:val="baseline"/>
                    </w:rPr>
                    <w:t>EMISSIONS FROM MANAGED FORESTS</w:t>
                  </w:r>
                </w:p>
                <w:p>
                  <w:pPr>
                    <w:pStyle w:val="BodyText"/>
                    <w:spacing w:before="77"/>
                    <w:ind w:left="67" w:right="68"/>
                    <w:jc w:val="center"/>
                  </w:pPr>
                  <w:r>
                    <w:rPr/>
                    <w:t>N</w:t>
                  </w:r>
                  <w:r>
                    <w:rPr>
                      <w:vertAlign w:val="subscript"/>
                    </w:rPr>
                    <w:t>2</w:t>
                  </w:r>
                  <w:r>
                    <w:rPr>
                      <w:vertAlign w:val="baseline"/>
                    </w:rPr>
                    <w:t>O direct-N</w:t>
                  </w:r>
                  <w:r>
                    <w:rPr>
                      <w:vertAlign w:val="subscript"/>
                    </w:rPr>
                    <w:t>FF</w:t>
                  </w:r>
                  <w:r>
                    <w:rPr>
                      <w:vertAlign w:val="baseline"/>
                    </w:rPr>
                    <w:t> = (N</w:t>
                  </w:r>
                  <w:r>
                    <w:rPr>
                      <w:vertAlign w:val="subscript"/>
                    </w:rPr>
                    <w:t>2</w:t>
                  </w:r>
                  <w:r>
                    <w:rPr>
                      <w:vertAlign w:val="baseline"/>
                    </w:rPr>
                    <w:t>O direct-N</w:t>
                  </w:r>
                  <w:r>
                    <w:rPr>
                      <w:vertAlign w:val="subscript"/>
                    </w:rPr>
                    <w:t>fertiliser</w:t>
                  </w:r>
                  <w:r>
                    <w:rPr>
                      <w:vertAlign w:val="baseline"/>
                    </w:rPr>
                    <w:t> + N</w:t>
                  </w:r>
                  <w:r>
                    <w:rPr>
                      <w:vertAlign w:val="subscript"/>
                    </w:rPr>
                    <w:t>2</w:t>
                  </w:r>
                  <w:r>
                    <w:rPr>
                      <w:vertAlign w:val="baseline"/>
                    </w:rPr>
                    <w:t>O direct-N</w:t>
                  </w:r>
                  <w:r>
                    <w:rPr>
                      <w:vertAlign w:val="subscript"/>
                    </w:rPr>
                    <w:t>drainage</w:t>
                  </w:r>
                  <w:r>
                    <w:rPr>
                      <w:vertAlign w:val="baseline"/>
                    </w:rPr>
                    <w:t>)</w:t>
                  </w:r>
                </w:p>
              </w:txbxContent>
            </v:textbox>
            <v:stroke dashstyle="solid"/>
            <w10:wrap type="topAndBottom"/>
          </v:shape>
        </w:pict>
      </w:r>
    </w:p>
    <w:p>
      <w:pPr>
        <w:pStyle w:val="BodyText"/>
        <w:spacing w:before="4"/>
        <w:ind w:left="219"/>
        <w:jc w:val="both"/>
      </w:pPr>
      <w:r>
        <w:rPr/>
        <w:t>Where:</w:t>
      </w:r>
    </w:p>
    <w:p>
      <w:pPr>
        <w:pStyle w:val="BodyText"/>
        <w:spacing w:before="121"/>
        <w:ind w:left="785"/>
      </w:pPr>
      <w:r>
        <w:rPr/>
        <w:t>N</w:t>
      </w:r>
      <w:r>
        <w:rPr>
          <w:vertAlign w:val="subscript"/>
        </w:rPr>
        <w:t>2</w:t>
      </w:r>
      <w:r>
        <w:rPr>
          <w:vertAlign w:val="baseline"/>
        </w:rPr>
        <w:t>O direct-N</w:t>
      </w:r>
      <w:r>
        <w:rPr>
          <w:vertAlign w:val="subscript"/>
        </w:rPr>
        <w:t>FF</w:t>
      </w:r>
      <w:r>
        <w:rPr>
          <w:vertAlign w:val="baseline"/>
        </w:rPr>
        <w:t> = direct emissions of N</w:t>
      </w:r>
      <w:r>
        <w:rPr>
          <w:vertAlign w:val="subscript"/>
        </w:rPr>
        <w:t>2</w:t>
      </w:r>
      <w:r>
        <w:rPr>
          <w:vertAlign w:val="baseline"/>
        </w:rPr>
        <w:t>O from managed forests in units of Nitrogen, Gg N</w:t>
      </w:r>
    </w:p>
    <w:p>
      <w:pPr>
        <w:pStyle w:val="BodyText"/>
        <w:spacing w:before="120"/>
        <w:ind w:left="785"/>
      </w:pPr>
      <w:r>
        <w:rPr/>
        <w:t>N</w:t>
      </w:r>
      <w:r>
        <w:rPr>
          <w:vertAlign w:val="subscript"/>
        </w:rPr>
        <w:t>2</w:t>
      </w:r>
      <w:r>
        <w:rPr>
          <w:vertAlign w:val="baseline"/>
        </w:rPr>
        <w:t>O direct-N</w:t>
      </w:r>
      <w:r>
        <w:rPr>
          <w:vertAlign w:val="subscript"/>
        </w:rPr>
        <w:t>fertiliser</w:t>
      </w:r>
      <w:r>
        <w:rPr>
          <w:vertAlign w:val="baseline"/>
        </w:rPr>
        <w:t> = direct emissions of N</w:t>
      </w:r>
      <w:r>
        <w:rPr>
          <w:vertAlign w:val="subscript"/>
        </w:rPr>
        <w:t>2</w:t>
      </w:r>
      <w:r>
        <w:rPr>
          <w:vertAlign w:val="baseline"/>
        </w:rPr>
        <w:t>O from forest fertilisation in units of Nitrogen, Gg N</w:t>
      </w:r>
    </w:p>
    <w:p>
      <w:pPr>
        <w:pStyle w:val="BodyText"/>
        <w:spacing w:before="120"/>
        <w:ind w:left="785"/>
      </w:pPr>
      <w:r>
        <w:rPr/>
        <w:t>N</w:t>
      </w:r>
      <w:r>
        <w:rPr>
          <w:vertAlign w:val="subscript"/>
        </w:rPr>
        <w:t>2</w:t>
      </w:r>
      <w:r>
        <w:rPr>
          <w:vertAlign w:val="baseline"/>
        </w:rPr>
        <w:t>O direct-N</w:t>
      </w:r>
      <w:r>
        <w:rPr>
          <w:vertAlign w:val="subscript"/>
        </w:rPr>
        <w:t>drainage</w:t>
      </w:r>
      <w:r>
        <w:rPr>
          <w:vertAlign w:val="baseline"/>
        </w:rPr>
        <w:t> = direct emissions of N</w:t>
      </w:r>
      <w:r>
        <w:rPr>
          <w:vertAlign w:val="subscript"/>
        </w:rPr>
        <w:t>2</w:t>
      </w:r>
      <w:r>
        <w:rPr>
          <w:vertAlign w:val="baseline"/>
        </w:rPr>
        <w:t>O from drainage of wet forest soils in units of Nitrogen, Gg N</w:t>
      </w:r>
    </w:p>
    <w:p>
      <w:pPr>
        <w:pStyle w:val="BodyText"/>
        <w:spacing w:before="6"/>
        <w:rPr>
          <w:sz w:val="30"/>
        </w:rPr>
      </w:pPr>
    </w:p>
    <w:p>
      <w:pPr>
        <w:pStyle w:val="BodyText"/>
        <w:ind w:left="219" w:right="266"/>
        <w:jc w:val="both"/>
      </w:pPr>
      <w:r>
        <w:rPr/>
        <w:t>The method for estimating N</w:t>
      </w:r>
      <w:r>
        <w:rPr>
          <w:vertAlign w:val="subscript"/>
        </w:rPr>
        <w:t>2</w:t>
      </w:r>
      <w:r>
        <w:rPr>
          <w:vertAlign w:val="baseline"/>
        </w:rPr>
        <w:t>O emissions from fertiliser application to forest is described in Equation 3.2.18 in the sections below. The method for estimating N</w:t>
      </w:r>
      <w:r>
        <w:rPr>
          <w:vertAlign w:val="subscript"/>
        </w:rPr>
        <w:t>2</w:t>
      </w:r>
      <w:r>
        <w:rPr>
          <w:vertAlign w:val="baseline"/>
        </w:rPr>
        <w:t>O emissions from drainage of wet forest soils is described in Appendix 3a.2 and may be applied optionally where data are available.</w:t>
      </w:r>
    </w:p>
    <w:p>
      <w:pPr>
        <w:pStyle w:val="BodyText"/>
        <w:spacing w:before="3"/>
        <w:rPr>
          <w:sz w:val="21"/>
        </w:rPr>
      </w:pPr>
    </w:p>
    <w:p>
      <w:pPr>
        <w:pStyle w:val="Heading6"/>
        <w:numPr>
          <w:ilvl w:val="5"/>
          <w:numId w:val="48"/>
        </w:numPr>
        <w:tabs>
          <w:tab w:pos="1659" w:val="left" w:leader="none"/>
          <w:tab w:pos="1660" w:val="left" w:leader="none"/>
        </w:tabs>
        <w:spacing w:line="240" w:lineRule="auto" w:before="0" w:after="0"/>
        <w:ind w:left="1659" w:right="0" w:hanging="1440"/>
        <w:jc w:val="left"/>
      </w:pPr>
      <w:r>
        <w:rPr/>
        <w:t>1</w:t>
        <w:tab/>
      </w:r>
      <w:r>
        <w:rPr>
          <w:spacing w:val="15"/>
        </w:rPr>
        <w:t>Choice </w:t>
      </w:r>
      <w:r>
        <w:rPr>
          <w:spacing w:val="9"/>
        </w:rPr>
        <w:t>of</w:t>
      </w:r>
      <w:r>
        <w:rPr>
          <w:spacing w:val="-6"/>
        </w:rPr>
        <w:t> </w:t>
      </w:r>
      <w:r>
        <w:rPr>
          <w:spacing w:val="19"/>
        </w:rPr>
        <w:t>Method</w:t>
      </w:r>
    </w:p>
    <w:p>
      <w:pPr>
        <w:pStyle w:val="BodyText"/>
        <w:spacing w:before="54"/>
        <w:ind w:left="219" w:right="270"/>
        <w:jc w:val="both"/>
      </w:pPr>
      <w:r>
        <w:rPr/>
        <w:t>Figure 3.1.1 provides the decision tree to select the respective tier for N</w:t>
      </w:r>
      <w:r>
        <w:rPr>
          <w:vertAlign w:val="subscript"/>
        </w:rPr>
        <w:t>2</w:t>
      </w:r>
      <w:r>
        <w:rPr>
          <w:vertAlign w:val="baseline"/>
        </w:rPr>
        <w:t>O emissions from forest land. As shown in Equation 3.2.17, N</w:t>
      </w:r>
      <w:r>
        <w:rPr>
          <w:vertAlign w:val="subscript"/>
        </w:rPr>
        <w:t>2</w:t>
      </w:r>
      <w:r>
        <w:rPr>
          <w:vertAlign w:val="baseline"/>
        </w:rPr>
        <w:t>O emissions include two sources: forest fertilisation and drainage of wet forest soils.</w:t>
      </w:r>
    </w:p>
    <w:p>
      <w:pPr>
        <w:pStyle w:val="BodyText"/>
        <w:spacing w:before="121"/>
        <w:ind w:left="219" w:right="264"/>
        <w:jc w:val="both"/>
      </w:pPr>
      <w:r>
        <w:rPr>
          <w:b/>
        </w:rPr>
        <w:t>Tier 1: </w:t>
      </w:r>
      <w:r>
        <w:rPr/>
        <w:t>Emission rates are the same for N</w:t>
      </w:r>
      <w:r>
        <w:rPr>
          <w:vertAlign w:val="subscript"/>
        </w:rPr>
        <w:t>2</w:t>
      </w:r>
      <w:r>
        <w:rPr>
          <w:vertAlign w:val="baseline"/>
        </w:rPr>
        <w:t>O fertilisation in forest and agricultural areas. Thus, </w:t>
      </w:r>
      <w:r>
        <w:rPr>
          <w:i/>
          <w:vertAlign w:val="baseline"/>
        </w:rPr>
        <w:t>good practice </w:t>
      </w:r>
      <w:r>
        <w:rPr>
          <w:vertAlign w:val="baseline"/>
        </w:rPr>
        <w:t>from </w:t>
      </w:r>
      <w:r>
        <w:rPr>
          <w:i/>
          <w:vertAlign w:val="baseline"/>
        </w:rPr>
        <w:t>GPG2000 </w:t>
      </w:r>
      <w:r>
        <w:rPr>
          <w:vertAlign w:val="baseline"/>
        </w:rPr>
        <w:t>should be used to estimate N</w:t>
      </w:r>
      <w:r>
        <w:rPr>
          <w:vertAlign w:val="subscript"/>
        </w:rPr>
        <w:t>2</w:t>
      </w:r>
      <w:r>
        <w:rPr>
          <w:vertAlign w:val="baseline"/>
        </w:rPr>
        <w:t>O emissions from nitrogen inputs as mineral or organic fertiliser to forests. N</w:t>
      </w:r>
      <w:r>
        <w:rPr>
          <w:vertAlign w:val="subscript"/>
        </w:rPr>
        <w:t>2</w:t>
      </w:r>
      <w:r>
        <w:rPr>
          <w:vertAlign w:val="baseline"/>
        </w:rPr>
        <w:t>O emissions from manure deposited by animals grazing in forest areas are reported in Agricultural Soils part of the </w:t>
      </w:r>
      <w:r>
        <w:rPr>
          <w:i/>
          <w:vertAlign w:val="baseline"/>
        </w:rPr>
        <w:t>IPCC Guidelines </w:t>
      </w:r>
      <w:r>
        <w:rPr>
          <w:vertAlign w:val="baseline"/>
        </w:rPr>
        <w:t>Agriculture Chapter under Pasture/Range/Paddock emissions and should not be estimated separately in the forest</w:t>
      </w:r>
      <w:r>
        <w:rPr>
          <w:spacing w:val="-2"/>
          <w:vertAlign w:val="baseline"/>
        </w:rPr>
        <w:t> </w:t>
      </w:r>
      <w:r>
        <w:rPr>
          <w:vertAlign w:val="baseline"/>
        </w:rPr>
        <w:t>section.</w:t>
      </w:r>
    </w:p>
    <w:p>
      <w:pPr>
        <w:pStyle w:val="BodyText"/>
        <w:spacing w:before="119"/>
        <w:ind w:left="219"/>
        <w:jc w:val="both"/>
      </w:pPr>
      <w:r>
        <w:rPr/>
        <w:t>Direct N</w:t>
      </w:r>
      <w:r>
        <w:rPr>
          <w:vertAlign w:val="subscript"/>
        </w:rPr>
        <w:t>2</w:t>
      </w:r>
      <w:r>
        <w:rPr>
          <w:vertAlign w:val="baseline"/>
        </w:rPr>
        <w:t>O emissions from forest fertilisation are calculated as in Equation 3.2.18:</w:t>
      </w:r>
    </w:p>
    <w:p>
      <w:pPr>
        <w:pStyle w:val="BodyText"/>
        <w:spacing w:before="2"/>
        <w:rPr>
          <w:sz w:val="11"/>
        </w:rPr>
      </w:pPr>
      <w:r>
        <w:rPr/>
        <w:pict>
          <v:shape style="position:absolute;margin-left:91.960999pt;margin-top:9.143213pt;width:411.5pt;height:49.95pt;mso-position-horizontal-relative:page;mso-position-vertical-relative:paragraph;z-index:5096;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3.2.18</w:t>
                  </w:r>
                </w:p>
                <w:p>
                  <w:pPr>
                    <w:spacing w:before="0"/>
                    <w:ind w:left="67" w:right="68" w:firstLine="0"/>
                    <w:jc w:val="center"/>
                    <w:rPr>
                      <w:b/>
                      <w:sz w:val="16"/>
                    </w:rPr>
                  </w:pPr>
                  <w:r>
                    <w:rPr>
                      <w:b/>
                      <w:sz w:val="20"/>
                    </w:rPr>
                    <w:t>D</w:t>
                  </w:r>
                  <w:r>
                    <w:rPr>
                      <w:b/>
                      <w:sz w:val="16"/>
                    </w:rPr>
                    <w:t>IRECT </w:t>
                  </w:r>
                  <w:r>
                    <w:rPr>
                      <w:b/>
                      <w:sz w:val="20"/>
                    </w:rPr>
                    <w:t>N</w:t>
                  </w:r>
                  <w:r>
                    <w:rPr>
                      <w:b/>
                      <w:sz w:val="20"/>
                      <w:vertAlign w:val="subscript"/>
                    </w:rPr>
                    <w:t>2</w:t>
                  </w:r>
                  <w:r>
                    <w:rPr>
                      <w:b/>
                      <w:sz w:val="20"/>
                      <w:vertAlign w:val="baseline"/>
                    </w:rPr>
                    <w:t>O </w:t>
                  </w:r>
                  <w:r>
                    <w:rPr>
                      <w:b/>
                      <w:sz w:val="16"/>
                      <w:vertAlign w:val="baseline"/>
                    </w:rPr>
                    <w:t>EMISSIONS FROM FOREST FERTILISATION</w:t>
                  </w:r>
                </w:p>
                <w:p>
                  <w:pPr>
                    <w:pStyle w:val="BodyText"/>
                    <w:spacing w:before="77"/>
                    <w:ind w:left="67" w:right="68"/>
                    <w:jc w:val="center"/>
                  </w:pPr>
                  <w:r>
                    <w:rPr/>
                    <w:t>N</w:t>
                  </w:r>
                  <w:r>
                    <w:rPr>
                      <w:vertAlign w:val="subscript"/>
                    </w:rPr>
                    <w:t>2</w:t>
                  </w:r>
                  <w:r>
                    <w:rPr>
                      <w:vertAlign w:val="baseline"/>
                    </w:rPr>
                    <w:t>O direct-N</w:t>
                  </w:r>
                  <w:r>
                    <w:rPr>
                      <w:vertAlign w:val="subscript"/>
                    </w:rPr>
                    <w:t>fertiliser</w:t>
                  </w:r>
                  <w:r>
                    <w:rPr>
                      <w:vertAlign w:val="baseline"/>
                    </w:rPr>
                    <w:t> = (F</w:t>
                  </w:r>
                  <w:r>
                    <w:rPr>
                      <w:vertAlign w:val="subscript"/>
                    </w:rPr>
                    <w:t>SN</w:t>
                  </w:r>
                  <w:r>
                    <w:rPr>
                      <w:vertAlign w:val="baseline"/>
                    </w:rPr>
                    <w:t> + F</w:t>
                  </w:r>
                  <w:r>
                    <w:rPr>
                      <w:vertAlign w:val="subscript"/>
                    </w:rPr>
                    <w:t>ON</w:t>
                  </w:r>
                  <w:r>
                    <w:rPr>
                      <w:vertAlign w:val="baseline"/>
                    </w:rPr>
                    <w:t>) ● EF</w:t>
                  </w:r>
                  <w:r>
                    <w:rPr>
                      <w:vertAlign w:val="subscript"/>
                    </w:rPr>
                    <w:t>1</w:t>
                  </w:r>
                  <w:r>
                    <w:rPr>
                      <w:vertAlign w:val="baseline"/>
                    </w:rPr>
                    <w:t>)</w:t>
                  </w:r>
                </w:p>
              </w:txbxContent>
            </v:textbox>
            <v:stroke dashstyle="solid"/>
            <w10:wrap type="topAndBottom"/>
          </v:shape>
        </w:pict>
      </w:r>
    </w:p>
    <w:p>
      <w:pPr>
        <w:pStyle w:val="BodyText"/>
        <w:spacing w:before="4"/>
        <w:ind w:left="219"/>
      </w:pPr>
      <w:r>
        <w:rPr/>
        <w:t>Where:</w:t>
      </w:r>
    </w:p>
    <w:p>
      <w:pPr>
        <w:pStyle w:val="BodyText"/>
        <w:spacing w:before="121"/>
        <w:ind w:left="785"/>
      </w:pPr>
      <w:r>
        <w:rPr/>
        <w:t>N</w:t>
      </w:r>
      <w:r>
        <w:rPr>
          <w:vertAlign w:val="subscript"/>
        </w:rPr>
        <w:t>2</w:t>
      </w:r>
      <w:r>
        <w:rPr>
          <w:vertAlign w:val="baseline"/>
        </w:rPr>
        <w:t>O direct-N</w:t>
      </w:r>
      <w:r>
        <w:rPr>
          <w:vertAlign w:val="subscript"/>
        </w:rPr>
        <w:t>fertiliser</w:t>
      </w:r>
      <w:r>
        <w:rPr>
          <w:vertAlign w:val="baseline"/>
        </w:rPr>
        <w:t> = direct emissions of N</w:t>
      </w:r>
      <w:r>
        <w:rPr>
          <w:vertAlign w:val="subscript"/>
        </w:rPr>
        <w:t>2</w:t>
      </w:r>
      <w:r>
        <w:rPr>
          <w:vertAlign w:val="baseline"/>
        </w:rPr>
        <w:t>O from forest fertilisation in units of Nitrogen, Gg N</w:t>
      </w:r>
    </w:p>
    <w:p>
      <w:pPr>
        <w:pStyle w:val="BodyText"/>
        <w:spacing w:before="120"/>
        <w:ind w:left="1325" w:right="354" w:hanging="540"/>
      </w:pPr>
      <w:r>
        <w:rPr/>
        <w:t>F</w:t>
      </w:r>
      <w:r>
        <w:rPr>
          <w:vertAlign w:val="subscript"/>
        </w:rPr>
        <w:t>SN</w:t>
      </w:r>
      <w:r>
        <w:rPr>
          <w:vertAlign w:val="baseline"/>
        </w:rPr>
        <w:t> = annual amount of synthetic fertiliser nitrogen applied to forest soils adjusted for volatilisation as NH</w:t>
      </w:r>
      <w:r>
        <w:rPr>
          <w:vertAlign w:val="subscript"/>
        </w:rPr>
        <w:t>3</w:t>
      </w:r>
      <w:r>
        <w:rPr>
          <w:vertAlign w:val="baseline"/>
        </w:rPr>
        <w:t> and NO</w:t>
      </w:r>
      <w:r>
        <w:rPr>
          <w:vertAlign w:val="subscript"/>
        </w:rPr>
        <w:t>x</w:t>
      </w:r>
      <w:r>
        <w:rPr>
          <w:vertAlign w:val="baseline"/>
        </w:rPr>
        <w:t>, Gg N</w:t>
      </w:r>
    </w:p>
    <w:p>
      <w:pPr>
        <w:pStyle w:val="BodyText"/>
        <w:spacing w:before="121"/>
        <w:ind w:left="1325" w:right="266" w:hanging="540"/>
      </w:pPr>
      <w:r>
        <w:rPr/>
        <w:t>F</w:t>
      </w:r>
      <w:r>
        <w:rPr>
          <w:vertAlign w:val="subscript"/>
        </w:rPr>
        <w:t>ON</w:t>
      </w:r>
      <w:r>
        <w:rPr>
          <w:vertAlign w:val="baseline"/>
        </w:rPr>
        <w:t> = annual amount of organic fertiliser nitrogen applied to forest soils adjusted for volatilisation as NH</w:t>
      </w:r>
      <w:r>
        <w:rPr>
          <w:vertAlign w:val="subscript"/>
        </w:rPr>
        <w:t>3</w:t>
      </w:r>
      <w:r>
        <w:rPr>
          <w:vertAlign w:val="baseline"/>
        </w:rPr>
        <w:t> and NO</w:t>
      </w:r>
      <w:r>
        <w:rPr>
          <w:vertAlign w:val="subscript"/>
        </w:rPr>
        <w:t>x</w:t>
      </w:r>
      <w:r>
        <w:rPr>
          <w:vertAlign w:val="baseline"/>
        </w:rPr>
        <w:t>, Gg N</w:t>
      </w:r>
    </w:p>
    <w:p>
      <w:pPr>
        <w:pStyle w:val="BodyText"/>
        <w:spacing w:before="118"/>
        <w:ind w:left="785"/>
      </w:pPr>
      <w:r>
        <w:rPr/>
        <w:t>EF</w:t>
      </w:r>
      <w:r>
        <w:rPr>
          <w:vertAlign w:val="subscript"/>
        </w:rPr>
        <w:t>1</w:t>
      </w:r>
      <w:r>
        <w:rPr>
          <w:vertAlign w:val="baseline"/>
        </w:rPr>
        <w:t> = emission factor for N</w:t>
      </w:r>
      <w:r>
        <w:rPr>
          <w:vertAlign w:val="subscript"/>
        </w:rPr>
        <w:t>2</w:t>
      </w:r>
      <w:r>
        <w:rPr>
          <w:vertAlign w:val="baseline"/>
        </w:rPr>
        <w:t>O emissions from N inputs, kg N</w:t>
      </w:r>
      <w:r>
        <w:rPr>
          <w:vertAlign w:val="subscript"/>
        </w:rPr>
        <w:t>2</w:t>
      </w:r>
      <w:r>
        <w:rPr>
          <w:vertAlign w:val="baseline"/>
        </w:rPr>
        <w:t>O-N / kg N input</w:t>
      </w:r>
    </w:p>
    <w:p>
      <w:pPr>
        <w:pStyle w:val="BodyText"/>
        <w:spacing w:before="121"/>
        <w:ind w:left="219" w:right="264"/>
        <w:jc w:val="both"/>
        <w:rPr>
          <w:i/>
        </w:rPr>
      </w:pPr>
      <w:r>
        <w:rPr/>
        <w:t>In order to calculate N</w:t>
      </w:r>
      <w:r>
        <w:rPr>
          <w:vertAlign w:val="subscript"/>
        </w:rPr>
        <w:t>2</w:t>
      </w:r>
      <w:r>
        <w:rPr>
          <w:vertAlign w:val="baseline"/>
        </w:rPr>
        <w:t>O emissions using this equation, the amounts of N inputs, F</w:t>
      </w:r>
      <w:r>
        <w:rPr>
          <w:vertAlign w:val="subscript"/>
        </w:rPr>
        <w:t>SN</w:t>
      </w:r>
      <w:r>
        <w:rPr>
          <w:vertAlign w:val="baseline"/>
        </w:rPr>
        <w:t> and F</w:t>
      </w:r>
      <w:r>
        <w:rPr>
          <w:vertAlign w:val="subscript"/>
        </w:rPr>
        <w:t>ON</w:t>
      </w:r>
      <w:r>
        <w:rPr>
          <w:vertAlign w:val="baseline"/>
        </w:rPr>
        <w:t> must be estimated. It is </w:t>
      </w:r>
      <w:r>
        <w:rPr>
          <w:i/>
          <w:vertAlign w:val="baseline"/>
        </w:rPr>
        <w:t>good practice to </w:t>
      </w:r>
      <w:r>
        <w:rPr>
          <w:vertAlign w:val="baseline"/>
        </w:rPr>
        <w:t>adjust for the amount that volatilises as NH</w:t>
      </w:r>
      <w:r>
        <w:rPr>
          <w:vertAlign w:val="subscript"/>
        </w:rPr>
        <w:t>3</w:t>
      </w:r>
      <w:r>
        <w:rPr>
          <w:vertAlign w:val="baseline"/>
        </w:rPr>
        <w:t> and NO</w:t>
      </w:r>
      <w:r>
        <w:rPr>
          <w:vertAlign w:val="subscript"/>
        </w:rPr>
        <w:t>x</w:t>
      </w:r>
      <w:r>
        <w:rPr>
          <w:vertAlign w:val="baseline"/>
        </w:rPr>
        <w:t>, using the same volatilisation factors as in the agriculture chapter of the </w:t>
      </w:r>
      <w:r>
        <w:rPr>
          <w:i/>
          <w:vertAlign w:val="baseline"/>
        </w:rPr>
        <w:t>IPCC Guidelines. </w:t>
      </w:r>
      <w:r>
        <w:rPr>
          <w:vertAlign w:val="baseline"/>
        </w:rPr>
        <w:t>Indirect N</w:t>
      </w:r>
      <w:r>
        <w:rPr>
          <w:vertAlign w:val="subscript"/>
        </w:rPr>
        <w:t>2</w:t>
      </w:r>
      <w:r>
        <w:rPr>
          <w:vertAlign w:val="baseline"/>
        </w:rPr>
        <w:t>O emissions from the N volatilised are calculated as in the agriculture chapter of the </w:t>
      </w:r>
      <w:r>
        <w:rPr>
          <w:i/>
          <w:vertAlign w:val="baseline"/>
        </w:rPr>
        <w:t>IPCC</w:t>
      </w:r>
      <w:r>
        <w:rPr>
          <w:i/>
          <w:spacing w:val="-7"/>
          <w:vertAlign w:val="baseline"/>
        </w:rPr>
        <w:t> </w:t>
      </w:r>
      <w:r>
        <w:rPr>
          <w:i/>
          <w:vertAlign w:val="baseline"/>
        </w:rPr>
        <w:t>Guidelines.</w:t>
      </w:r>
    </w:p>
    <w:p>
      <w:pPr>
        <w:pStyle w:val="BodyText"/>
        <w:spacing w:before="121"/>
        <w:ind w:left="219" w:right="266"/>
        <w:jc w:val="both"/>
      </w:pPr>
      <w:r>
        <w:rPr>
          <w:b/>
        </w:rPr>
        <w:t>Tier 2: </w:t>
      </w:r>
      <w:r>
        <w:rPr/>
        <w:t>Under Tier 2, country-specific information and additional management activities can be included in estimating nitrous oxide emissions:</w:t>
      </w:r>
    </w:p>
    <w:p>
      <w:pPr>
        <w:spacing w:after="0"/>
        <w:jc w:val="both"/>
        <w:sectPr>
          <w:pgSz w:w="11900" w:h="16840"/>
          <w:pgMar w:header="230" w:footer="408" w:top="560" w:bottom="600" w:left="1200" w:right="1140"/>
        </w:sectPr>
      </w:pPr>
    </w:p>
    <w:p>
      <w:pPr>
        <w:pStyle w:val="BodyText"/>
      </w:pPr>
    </w:p>
    <w:p>
      <w:pPr>
        <w:pStyle w:val="BodyText"/>
        <w:spacing w:before="209"/>
        <w:ind w:left="219" w:right="264"/>
        <w:jc w:val="both"/>
      </w:pPr>
      <w:r>
        <w:rPr/>
        <w:t>Countries can use Equation 3.2.18 with an emission factor EF</w:t>
      </w:r>
      <w:r>
        <w:rPr>
          <w:vertAlign w:val="subscript"/>
        </w:rPr>
        <w:t>1</w:t>
      </w:r>
      <w:r>
        <w:rPr>
          <w:vertAlign w:val="baseline"/>
        </w:rPr>
        <w:t> developed to meet the specific conditions of the country. Specific </w:t>
      </w:r>
      <w:r>
        <w:rPr>
          <w:i/>
          <w:vertAlign w:val="baseline"/>
        </w:rPr>
        <w:t>good practice guidance </w:t>
      </w:r>
      <w:r>
        <w:rPr>
          <w:vertAlign w:val="baseline"/>
        </w:rPr>
        <w:t>on how to derive country-specific EFs is given in Box 4.1, Good Practice in Derivation of Country-Specific Emission Factors, page 4.62 of </w:t>
      </w:r>
      <w:r>
        <w:rPr>
          <w:i/>
          <w:vertAlign w:val="baseline"/>
        </w:rPr>
        <w:t>GPG2000. </w:t>
      </w:r>
      <w:r>
        <w:rPr>
          <w:vertAlign w:val="baseline"/>
        </w:rPr>
        <w:t>In addition, countries can extend the estimation to take into account the impact of forest liming and management (thinning, harvest) on N</w:t>
      </w:r>
      <w:r>
        <w:rPr>
          <w:vertAlign w:val="subscript"/>
        </w:rPr>
        <w:t>2</w:t>
      </w:r>
      <w:r>
        <w:rPr>
          <w:vertAlign w:val="baseline"/>
        </w:rPr>
        <w:t>O emission. Liming can reduce N</w:t>
      </w:r>
      <w:r>
        <w:rPr>
          <w:vertAlign w:val="subscript"/>
        </w:rPr>
        <w:t>2</w:t>
      </w:r>
      <w:r>
        <w:rPr>
          <w:vertAlign w:val="baseline"/>
        </w:rPr>
        <w:t>O emissions from forest in some environments and increase them in</w:t>
      </w:r>
      <w:r>
        <w:rPr>
          <w:spacing w:val="-32"/>
          <w:vertAlign w:val="baseline"/>
        </w:rPr>
        <w:t> </w:t>
      </w:r>
      <w:r>
        <w:rPr>
          <w:vertAlign w:val="baseline"/>
        </w:rPr>
        <w:t>others.</w:t>
      </w:r>
    </w:p>
    <w:p>
      <w:pPr>
        <w:pStyle w:val="BodyText"/>
        <w:spacing w:before="122"/>
        <w:ind w:left="219" w:right="265"/>
        <w:jc w:val="both"/>
      </w:pPr>
      <w:r>
        <w:rPr>
          <w:b/>
        </w:rPr>
        <w:t>Tier 3: </w:t>
      </w:r>
      <w:r>
        <w:rPr/>
        <w:t>Some models exist for estimating N</w:t>
      </w:r>
      <w:r>
        <w:rPr>
          <w:vertAlign w:val="subscript"/>
        </w:rPr>
        <w:t>2</w:t>
      </w:r>
      <w:r>
        <w:rPr>
          <w:vertAlign w:val="baseline"/>
        </w:rPr>
        <w:t>O emissions (Renault, 1999, Conen </w:t>
      </w:r>
      <w:r>
        <w:rPr>
          <w:i/>
          <w:vertAlign w:val="baseline"/>
        </w:rPr>
        <w:t>et al.</w:t>
      </w:r>
      <w:r>
        <w:rPr>
          <w:vertAlign w:val="baseline"/>
        </w:rPr>
        <w:t>, 2000, Stange and Butterbach-Bahl, 2002). Apply advanced models capable of representing the impacts of management practices and other relevant driving variables. It is </w:t>
      </w:r>
      <w:r>
        <w:rPr>
          <w:i/>
          <w:vertAlign w:val="baseline"/>
        </w:rPr>
        <w:t>good practice </w:t>
      </w:r>
      <w:r>
        <w:rPr>
          <w:vertAlign w:val="baseline"/>
        </w:rPr>
        <w:t>to validate the models against measurements and to document thoroughly the model parameterization and calibration.</w:t>
      </w:r>
    </w:p>
    <w:p>
      <w:pPr>
        <w:pStyle w:val="BodyText"/>
        <w:spacing w:before="119"/>
        <w:ind w:left="219" w:right="265" w:hanging="1"/>
        <w:jc w:val="both"/>
      </w:pPr>
      <w:r>
        <w:rPr/>
        <w:t>Most models calculate the total N</w:t>
      </w:r>
      <w:r>
        <w:rPr>
          <w:vertAlign w:val="subscript"/>
        </w:rPr>
        <w:t>2</w:t>
      </w:r>
      <w:r>
        <w:rPr>
          <w:vertAlign w:val="baseline"/>
        </w:rPr>
        <w:t>O emissions which include more than the human-induced emissions. The direct human-induced emissions could be estimated by running the model with and without fertilisation and drainage, and using the difference as the direct human-induced component of the</w:t>
      </w:r>
      <w:r>
        <w:rPr>
          <w:spacing w:val="-7"/>
          <w:vertAlign w:val="baseline"/>
        </w:rPr>
        <w:t> </w:t>
      </w:r>
      <w:r>
        <w:rPr>
          <w:vertAlign w:val="baseline"/>
        </w:rPr>
        <w:t>emissions.</w:t>
      </w:r>
    </w:p>
    <w:p>
      <w:pPr>
        <w:pStyle w:val="BodyText"/>
        <w:spacing w:before="3"/>
        <w:rPr>
          <w:sz w:val="21"/>
        </w:rPr>
      </w:pPr>
    </w:p>
    <w:p>
      <w:pPr>
        <w:pStyle w:val="Heading6"/>
        <w:numPr>
          <w:ilvl w:val="5"/>
          <w:numId w:val="48"/>
        </w:numPr>
        <w:tabs>
          <w:tab w:pos="1662" w:val="left" w:leader="none"/>
        </w:tabs>
        <w:spacing w:line="240" w:lineRule="auto" w:before="0" w:after="0"/>
        <w:ind w:left="1661" w:right="0" w:hanging="1442"/>
        <w:jc w:val="both"/>
      </w:pPr>
      <w:r>
        <w:rPr/>
        <w:t>2 </w:t>
      </w:r>
      <w:r>
        <w:rPr>
          <w:spacing w:val="15"/>
        </w:rPr>
        <w:t>Choice </w:t>
      </w:r>
      <w:r>
        <w:rPr>
          <w:spacing w:val="9"/>
        </w:rPr>
        <w:t>of </w:t>
      </w:r>
      <w:r>
        <w:rPr>
          <w:spacing w:val="17"/>
        </w:rPr>
        <w:t>Emission/Removal</w:t>
      </w:r>
      <w:r>
        <w:rPr>
          <w:spacing w:val="11"/>
        </w:rPr>
        <w:t> </w:t>
      </w:r>
      <w:r>
        <w:rPr>
          <w:spacing w:val="19"/>
        </w:rPr>
        <w:t>Factors</w:t>
      </w:r>
    </w:p>
    <w:p>
      <w:pPr>
        <w:pStyle w:val="BodyText"/>
        <w:spacing w:before="56"/>
        <w:ind w:left="219" w:right="264"/>
        <w:jc w:val="both"/>
      </w:pPr>
      <w:r>
        <w:rPr>
          <w:b/>
        </w:rPr>
        <w:t>Tier 1: </w:t>
      </w:r>
      <w:r>
        <w:rPr/>
        <w:t>As noted in </w:t>
      </w:r>
      <w:r>
        <w:rPr>
          <w:i/>
        </w:rPr>
        <w:t>GPG2000</w:t>
      </w:r>
      <w:r>
        <w:rPr/>
        <w:t>, the default emission factor (EF</w:t>
      </w:r>
      <w:r>
        <w:rPr>
          <w:vertAlign w:val="subscript"/>
        </w:rPr>
        <w:t>1</w:t>
      </w:r>
      <w:r>
        <w:rPr>
          <w:vertAlign w:val="baseline"/>
        </w:rPr>
        <w:t>) is 1.25 % of applied N, and this value should be used under Tier 1.</w:t>
      </w:r>
    </w:p>
    <w:p>
      <w:pPr>
        <w:pStyle w:val="BodyText"/>
        <w:spacing w:before="119"/>
        <w:ind w:left="219" w:right="264"/>
        <w:jc w:val="both"/>
      </w:pPr>
      <w:r>
        <w:rPr>
          <w:b/>
        </w:rPr>
        <w:t>Tier 2: </w:t>
      </w:r>
      <w:r>
        <w:rPr/>
        <w:t>Countries may develop specific emission factors that are more appropriate for their countries. Specific </w:t>
      </w:r>
      <w:r>
        <w:rPr>
          <w:i/>
        </w:rPr>
        <w:t>good practice guidance </w:t>
      </w:r>
      <w:r>
        <w:rPr/>
        <w:t>on how to derive country-specific emission factors is given in Box 4.1, Good Practice in Derivation of Country-Specific Emission Factors, page 4.62 of </w:t>
      </w:r>
      <w:r>
        <w:rPr>
          <w:i/>
        </w:rPr>
        <w:t>GPG2000</w:t>
      </w:r>
      <w:r>
        <w:rPr/>
        <w:t>. The availability of country-specific factors is essential if the effects of liming and management are to be considered.</w:t>
      </w:r>
    </w:p>
    <w:p>
      <w:pPr>
        <w:pStyle w:val="BodyText"/>
        <w:spacing w:before="121"/>
        <w:ind w:left="219" w:right="268"/>
        <w:jc w:val="both"/>
      </w:pPr>
      <w:r>
        <w:rPr>
          <w:b/>
        </w:rPr>
        <w:t>Tier 3: </w:t>
      </w:r>
      <w:r>
        <w:rPr/>
        <w:t>In case N</w:t>
      </w:r>
      <w:r>
        <w:rPr>
          <w:vertAlign w:val="subscript"/>
        </w:rPr>
        <w:t>2</w:t>
      </w:r>
      <w:r>
        <w:rPr>
          <w:vertAlign w:val="baseline"/>
        </w:rPr>
        <w:t>O emission are estimated with models, it is necessary to make sure that the models distinguish between "indirect N</w:t>
      </w:r>
      <w:r>
        <w:rPr>
          <w:vertAlign w:val="subscript"/>
        </w:rPr>
        <w:t>2</w:t>
      </w:r>
      <w:r>
        <w:rPr>
          <w:vertAlign w:val="baseline"/>
        </w:rPr>
        <w:t>O" from N deposition (covered in Agriculture Chapter of the </w:t>
      </w:r>
      <w:r>
        <w:rPr>
          <w:i/>
          <w:vertAlign w:val="baseline"/>
        </w:rPr>
        <w:t>IPCC Guidelines</w:t>
      </w:r>
      <w:r>
        <w:rPr>
          <w:vertAlign w:val="baseline"/>
        </w:rPr>
        <w:t>) and fertilisation. The PnET-N-DNDC model, for instance, is a process oriented model which is already applicable to estimate N</w:t>
      </w:r>
      <w:r>
        <w:rPr>
          <w:vertAlign w:val="subscript"/>
        </w:rPr>
        <w:t>2</w:t>
      </w:r>
      <w:r>
        <w:rPr>
          <w:vertAlign w:val="baseline"/>
        </w:rPr>
        <w:t>O-emissions from forest soils (Butterbach-Bahl </w:t>
      </w:r>
      <w:r>
        <w:rPr>
          <w:i/>
          <w:vertAlign w:val="baseline"/>
        </w:rPr>
        <w:t>et al.</w:t>
      </w:r>
      <w:r>
        <w:rPr>
          <w:vertAlign w:val="baseline"/>
        </w:rPr>
        <w:t>, 2001; Li </w:t>
      </w:r>
      <w:r>
        <w:rPr>
          <w:i/>
          <w:vertAlign w:val="baseline"/>
        </w:rPr>
        <w:t>et al.</w:t>
      </w:r>
      <w:r>
        <w:rPr>
          <w:vertAlign w:val="baseline"/>
        </w:rPr>
        <w:t>, 2000).</w:t>
      </w:r>
    </w:p>
    <w:p>
      <w:pPr>
        <w:pStyle w:val="BodyText"/>
        <w:spacing w:before="3"/>
        <w:rPr>
          <w:sz w:val="21"/>
        </w:rPr>
      </w:pPr>
    </w:p>
    <w:p>
      <w:pPr>
        <w:pStyle w:val="Heading6"/>
        <w:numPr>
          <w:ilvl w:val="5"/>
          <w:numId w:val="48"/>
        </w:numPr>
        <w:tabs>
          <w:tab w:pos="1661" w:val="left" w:leader="none"/>
        </w:tabs>
        <w:spacing w:line="240" w:lineRule="auto" w:before="1"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pStyle w:val="BodyText"/>
        <w:spacing w:before="53"/>
        <w:ind w:left="219" w:right="263"/>
        <w:jc w:val="both"/>
      </w:pPr>
      <w:r>
        <w:rPr/>
        <w:t>N</w:t>
      </w:r>
      <w:r>
        <w:rPr>
          <w:vertAlign w:val="subscript"/>
        </w:rPr>
        <w:t>2</w:t>
      </w:r>
      <w:r>
        <w:rPr>
          <w:vertAlign w:val="baseline"/>
        </w:rPr>
        <w:t>O emissions from managed forest are calculated on the basis of mineral and organic nitrogen inputs in forest soils. Some countries have data on fertilisation of forests separately from agriculture and will be able to make estimations. However, many countries may only have national fertiliser sales statistics. If such data are not available, countries may follow the guidance below to separate the amount applied to agricultural soils and forest soils, or they may report all emissions under Tier 1 in the agriculture sector. This should, however, be explicitly noted in the inventory.</w:t>
      </w:r>
    </w:p>
    <w:p>
      <w:pPr>
        <w:pStyle w:val="BodyText"/>
        <w:spacing w:before="120"/>
        <w:ind w:left="219" w:right="262"/>
        <w:jc w:val="both"/>
      </w:pPr>
      <w:r>
        <w:rPr>
          <w:b/>
        </w:rPr>
        <w:t>F</w:t>
      </w:r>
      <w:r>
        <w:rPr>
          <w:b/>
          <w:vertAlign w:val="subscript"/>
        </w:rPr>
        <w:t>SN</w:t>
      </w:r>
      <w:r>
        <w:rPr>
          <w:b/>
          <w:vertAlign w:val="baseline"/>
        </w:rPr>
        <w:t>: </w:t>
      </w:r>
      <w:r>
        <w:rPr>
          <w:vertAlign w:val="baseline"/>
        </w:rPr>
        <w:t>This is the same term used in the Agriculture Chapter of the </w:t>
      </w:r>
      <w:r>
        <w:rPr>
          <w:i/>
          <w:vertAlign w:val="baseline"/>
        </w:rPr>
        <w:t>IPCC Guidelines </w:t>
      </w:r>
      <w:r>
        <w:rPr>
          <w:vertAlign w:val="baseline"/>
        </w:rPr>
        <w:t>to refer to synthetic N  applied to agricultural soils adjusted for the amount that volatilises as NH</w:t>
      </w:r>
      <w:r>
        <w:rPr>
          <w:vertAlign w:val="subscript"/>
        </w:rPr>
        <w:t>3</w:t>
      </w:r>
      <w:r>
        <w:rPr>
          <w:vertAlign w:val="baseline"/>
        </w:rPr>
        <w:t> and NO</w:t>
      </w:r>
      <w:r>
        <w:rPr>
          <w:vertAlign w:val="subscript"/>
        </w:rPr>
        <w:t>x</w:t>
      </w:r>
      <w:r>
        <w:rPr>
          <w:vertAlign w:val="baseline"/>
        </w:rPr>
        <w:t>, using the same volatilisation factors as in the Agriculture Chapter of the </w:t>
      </w:r>
      <w:r>
        <w:rPr>
          <w:i/>
          <w:vertAlign w:val="baseline"/>
        </w:rPr>
        <w:t>IPCC Guidelines. </w:t>
      </w:r>
      <w:r>
        <w:rPr>
          <w:vertAlign w:val="baseline"/>
        </w:rPr>
        <w:t>Many countries have national fertiliser sales statistics. Countries can determine the amount of synthetic nitrogen fertiliser applied in forest by subtracting the amount of fertiliser used for agriculture from the national total nitrogen fertiliser applied. Alternatively, estimate fertiliser application in forests as the product of an estimated area of fertilised forest and an average fertilisation</w:t>
      </w:r>
      <w:r>
        <w:rPr>
          <w:spacing w:val="-3"/>
          <w:vertAlign w:val="baseline"/>
        </w:rPr>
        <w:t> </w:t>
      </w:r>
      <w:r>
        <w:rPr>
          <w:vertAlign w:val="baseline"/>
        </w:rPr>
        <w:t>rate.</w:t>
      </w:r>
    </w:p>
    <w:p>
      <w:pPr>
        <w:pStyle w:val="BodyText"/>
        <w:spacing w:before="121"/>
        <w:ind w:left="219" w:right="265"/>
        <w:jc w:val="both"/>
      </w:pPr>
      <w:r>
        <w:rPr/>
        <w:t>Countries being able to distinguish between fertiliser applied to newly planted forests versus old forests can use a Tier 2 level for estimating F</w:t>
      </w:r>
      <w:r>
        <w:rPr>
          <w:vertAlign w:val="subscript"/>
        </w:rPr>
        <w:t>SN</w:t>
      </w:r>
      <w:r>
        <w:rPr>
          <w:vertAlign w:val="baseline"/>
        </w:rPr>
        <w:t>. For fertiliser applied to those forest plantations which have not yet reached canopy closure, the adjustment for volatilisation losses should follow the agriculture chapter of the </w:t>
      </w:r>
      <w:r>
        <w:rPr>
          <w:i/>
          <w:vertAlign w:val="baseline"/>
        </w:rPr>
        <w:t>IPCC Guidelines</w:t>
      </w:r>
      <w:r>
        <w:rPr>
          <w:vertAlign w:val="baseline"/>
        </w:rPr>
        <w:t>, i.e. taking account of the fraction of the N applied that is lost by volatilisation. For fertiliser applied to closed-canopy forests, it can be assumed that the adjustment is zero, i.e. all volatilised N is assumed to remain within the</w:t>
      </w:r>
      <w:r>
        <w:rPr>
          <w:spacing w:val="-2"/>
          <w:vertAlign w:val="baseline"/>
        </w:rPr>
        <w:t> </w:t>
      </w:r>
      <w:r>
        <w:rPr>
          <w:vertAlign w:val="baseline"/>
        </w:rPr>
        <w:t>forest.</w:t>
      </w:r>
    </w:p>
    <w:p>
      <w:pPr>
        <w:pStyle w:val="BodyText"/>
        <w:spacing w:before="120"/>
        <w:ind w:left="219" w:right="268"/>
        <w:jc w:val="both"/>
      </w:pPr>
      <w:r>
        <w:rPr>
          <w:b/>
        </w:rPr>
        <w:t>F</w:t>
      </w:r>
      <w:r>
        <w:rPr>
          <w:b/>
          <w:vertAlign w:val="subscript"/>
        </w:rPr>
        <w:t>ON</w:t>
      </w:r>
      <w:r>
        <w:rPr>
          <w:b/>
          <w:vertAlign w:val="baseline"/>
        </w:rPr>
        <w:t>: </w:t>
      </w:r>
      <w:r>
        <w:rPr>
          <w:vertAlign w:val="baseline"/>
        </w:rPr>
        <w:t>Estimate organic nitrogen applied in forests from the tonnage of organic wastes spread in forest and their nitrogen content. Adjustment for volatilisation losses follows the guidance given for F</w:t>
      </w:r>
      <w:r>
        <w:rPr>
          <w:vertAlign w:val="subscript"/>
        </w:rPr>
        <w:t>SN</w:t>
      </w:r>
      <w:r>
        <w:rPr>
          <w:vertAlign w:val="baseline"/>
        </w:rPr>
        <w:t>.</w:t>
      </w:r>
    </w:p>
    <w:p>
      <w:pPr>
        <w:pStyle w:val="BodyText"/>
        <w:spacing w:before="4"/>
        <w:rPr>
          <w:sz w:val="21"/>
        </w:rPr>
      </w:pPr>
    </w:p>
    <w:p>
      <w:pPr>
        <w:pStyle w:val="Heading6"/>
        <w:numPr>
          <w:ilvl w:val="5"/>
          <w:numId w:val="48"/>
        </w:numPr>
        <w:tabs>
          <w:tab w:pos="1662" w:val="left" w:leader="none"/>
        </w:tabs>
        <w:spacing w:line="240" w:lineRule="auto" w:before="1" w:after="0"/>
        <w:ind w:left="1661" w:right="0" w:hanging="1442"/>
        <w:jc w:val="both"/>
      </w:pPr>
      <w:r>
        <w:rPr/>
        <w:t>4 </w:t>
      </w:r>
      <w:r>
        <w:rPr>
          <w:spacing w:val="17"/>
        </w:rPr>
        <w:t>Uncertainty</w:t>
      </w:r>
      <w:r>
        <w:rPr>
          <w:spacing w:val="18"/>
        </w:rPr>
        <w:t> </w:t>
      </w:r>
      <w:r>
        <w:rPr>
          <w:spacing w:val="19"/>
        </w:rPr>
        <w:t>Assessment</w:t>
      </w:r>
    </w:p>
    <w:p>
      <w:pPr>
        <w:pStyle w:val="BodyText"/>
        <w:spacing w:before="53"/>
        <w:ind w:left="219" w:right="263"/>
        <w:jc w:val="both"/>
      </w:pPr>
      <w:r>
        <w:rPr/>
        <w:t>Estimates of N</w:t>
      </w:r>
      <w:r>
        <w:rPr>
          <w:vertAlign w:val="subscript"/>
        </w:rPr>
        <w:t>2</w:t>
      </w:r>
      <w:r>
        <w:rPr>
          <w:vertAlign w:val="baseline"/>
        </w:rPr>
        <w:t>O emissions from fertilisation of forests can be highly uncertain because of a) high spatial and temporal variability of the emissions, b) scarcity of long-term measurements and limited representativity of data for larger regions, and c) uncertainty in spatial aggregation and uncertainty inherent to the emission factors and activity data.</w:t>
      </w:r>
    </w:p>
    <w:p>
      <w:pPr>
        <w:pStyle w:val="BodyText"/>
        <w:spacing w:before="120"/>
        <w:ind w:left="219" w:right="264"/>
        <w:jc w:val="both"/>
      </w:pPr>
      <w:r>
        <w:rPr>
          <w:b/>
        </w:rPr>
        <w:t>Tier 1: </w:t>
      </w:r>
      <w:r>
        <w:rPr/>
        <w:t>For EF</w:t>
      </w:r>
      <w:r>
        <w:rPr>
          <w:vertAlign w:val="subscript"/>
        </w:rPr>
        <w:t>1</w:t>
      </w:r>
      <w:r>
        <w:rPr>
          <w:vertAlign w:val="baseline"/>
        </w:rPr>
        <w:t>, F</w:t>
      </w:r>
      <w:r>
        <w:rPr>
          <w:vertAlign w:val="subscript"/>
        </w:rPr>
        <w:t>SN</w:t>
      </w:r>
      <w:r>
        <w:rPr>
          <w:vertAlign w:val="baseline"/>
        </w:rPr>
        <w:t> and F</w:t>
      </w:r>
      <w:r>
        <w:rPr>
          <w:vertAlign w:val="subscript"/>
        </w:rPr>
        <w:t>ON</w:t>
      </w:r>
      <w:r>
        <w:rPr>
          <w:vertAlign w:val="baseline"/>
        </w:rPr>
        <w:t> , it is </w:t>
      </w:r>
      <w:r>
        <w:rPr>
          <w:i/>
          <w:vertAlign w:val="baseline"/>
        </w:rPr>
        <w:t>good practice </w:t>
      </w:r>
      <w:r>
        <w:rPr>
          <w:vertAlign w:val="baseline"/>
        </w:rPr>
        <w:t>to apply the uncertainty range applied in the agriculture source category unless more detailed analyses are available.</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8"/>
        <w:jc w:val="both"/>
      </w:pPr>
      <w:r>
        <w:rPr>
          <w:rFonts w:ascii="TimesNewRomanPS-BoldItalicMT"/>
          <w:b/>
          <w:i/>
        </w:rPr>
        <w:t>Emission factors: </w:t>
      </w:r>
      <w:r>
        <w:rPr/>
        <w:t>There are few measured data, mainly for boreal and temperate regions in Europe, on the effects of fertilisation, liming and forest management. Measured emission factors of N</w:t>
      </w:r>
      <w:r>
        <w:rPr>
          <w:vertAlign w:val="subscript"/>
        </w:rPr>
        <w:t>2</w:t>
      </w:r>
      <w:r>
        <w:rPr>
          <w:vertAlign w:val="baseline"/>
        </w:rPr>
        <w:t>O have a skewed distribution, which is likely to be log-normal.</w:t>
      </w:r>
    </w:p>
    <w:p>
      <w:pPr>
        <w:pStyle w:val="BodyText"/>
        <w:spacing w:before="121"/>
        <w:ind w:left="219" w:right="268"/>
        <w:jc w:val="both"/>
      </w:pPr>
      <w:r>
        <w:rPr>
          <w:i/>
        </w:rPr>
        <w:t>EF</w:t>
      </w:r>
      <w:r>
        <w:rPr>
          <w:i/>
          <w:vertAlign w:val="subscript"/>
        </w:rPr>
        <w:t>1</w:t>
      </w:r>
      <w:r>
        <w:rPr>
          <w:i/>
          <w:vertAlign w:val="baseline"/>
        </w:rPr>
        <w:t>: </w:t>
      </w:r>
      <w:r>
        <w:rPr>
          <w:vertAlign w:val="baseline"/>
        </w:rPr>
        <w:t>Based on recent data (Smith </w:t>
      </w:r>
      <w:r>
        <w:rPr>
          <w:i/>
          <w:vertAlign w:val="baseline"/>
        </w:rPr>
        <w:t>et al</w:t>
      </w:r>
      <w:r>
        <w:rPr>
          <w:vertAlign w:val="baseline"/>
        </w:rPr>
        <w:t>., 1999; Mosier and Kroeze, 1999), </w:t>
      </w:r>
      <w:r>
        <w:rPr>
          <w:i/>
          <w:vertAlign w:val="baseline"/>
        </w:rPr>
        <w:t>GPG2000 </w:t>
      </w:r>
      <w:r>
        <w:rPr>
          <w:vertAlign w:val="baseline"/>
        </w:rPr>
        <w:t>suggests the best estimate of uncertainties of EF</w:t>
      </w:r>
      <w:r>
        <w:rPr>
          <w:vertAlign w:val="subscript"/>
        </w:rPr>
        <w:t>1</w:t>
      </w:r>
      <w:r>
        <w:rPr>
          <w:vertAlign w:val="baseline"/>
        </w:rPr>
        <w:t> = 1.25% to range from 0.25% to 6%. The same uncertainty range is assumed for forest emissions.</w:t>
      </w:r>
    </w:p>
    <w:p>
      <w:pPr>
        <w:pStyle w:val="BodyText"/>
        <w:spacing w:before="119"/>
        <w:ind w:left="219" w:right="264"/>
        <w:jc w:val="both"/>
      </w:pPr>
      <w:r>
        <w:rPr>
          <w:rFonts w:ascii="TimesNewRomanPS-BoldItalicMT"/>
          <w:b/>
          <w:i/>
        </w:rPr>
        <w:t>Activity data</w:t>
      </w:r>
      <w:r>
        <w:rPr>
          <w:i/>
        </w:rPr>
        <w:t>: </w:t>
      </w:r>
      <w:r>
        <w:rPr/>
        <w:t>If a country has separate statistics for fertiliser applied to forest and to agriculture, it can be assumed that the uncertainty in fertiliser statistics applied in forest is similar to the uncertainty in fertiliser statistics applied in agriculture. In this case, the same uncertainty is applied in both source categories, e.g. 10% or smaller for the amount of mineral fertiliser and 20% or smaller for the amount of organic waste (Chapter 4, Agriculture, of the </w:t>
      </w:r>
      <w:r>
        <w:rPr>
          <w:i/>
        </w:rPr>
        <w:t>IPCC Guidelines</w:t>
      </w:r>
      <w:r>
        <w:rPr/>
        <w:t>, and </w:t>
      </w:r>
      <w:r>
        <w:rPr>
          <w:i/>
        </w:rPr>
        <w:t>GPG2000</w:t>
      </w:r>
      <w:r>
        <w:rPr/>
        <w:t>). If a country derives the amount of fertiliser applied to forest and agriculture from a national total, an additional separate assessment of the uncertainty in the division is required. The total uncertainty will be country-specific and will probably be higher than in the separate</w:t>
      </w:r>
      <w:r>
        <w:rPr>
          <w:spacing w:val="-35"/>
        </w:rPr>
        <w:t> </w:t>
      </w:r>
      <w:r>
        <w:rPr/>
        <w:t>statistics.</w:t>
      </w:r>
    </w:p>
    <w:p>
      <w:pPr>
        <w:pStyle w:val="BodyText"/>
        <w:spacing w:before="121"/>
        <w:ind w:left="219" w:right="266"/>
        <w:jc w:val="both"/>
      </w:pPr>
      <w:r>
        <w:rPr>
          <w:b/>
        </w:rPr>
        <w:t>Tier 2: </w:t>
      </w:r>
      <w:r>
        <w:rPr>
          <w:i/>
        </w:rPr>
        <w:t>Good practice </w:t>
      </w:r>
      <w:r>
        <w:rPr/>
        <w:t>in derivation of country-specific emission factors is described in Box 4.1, Good Practice in Derivation of Country-Specific Emission Factors, page 4.62 of</w:t>
      </w:r>
      <w:r>
        <w:rPr>
          <w:spacing w:val="-6"/>
        </w:rPr>
        <w:t> </w:t>
      </w:r>
      <w:r>
        <w:rPr>
          <w:i/>
        </w:rPr>
        <w:t>GPG2000</w:t>
      </w:r>
      <w:r>
        <w:rPr/>
        <w:t>.</w:t>
      </w:r>
    </w:p>
    <w:p>
      <w:pPr>
        <w:pStyle w:val="BodyText"/>
        <w:spacing w:before="121"/>
        <w:ind w:left="219" w:right="266"/>
        <w:jc w:val="both"/>
      </w:pPr>
      <w:r>
        <w:rPr>
          <w:b/>
        </w:rPr>
        <w:t>Tier 3: </w:t>
      </w:r>
      <w:r>
        <w:rPr/>
        <w:t>Process-based models will probably provide a more realistic estimate but need to be calibrated and validated against measurements. Sufficient representative measurements are needed for validation purposes. Generic guidance on uncertainty assessment for advanced methods is given in Section 5.2, Identifying and Quantifying Uncertainties. Stange </w:t>
      </w:r>
      <w:r>
        <w:rPr>
          <w:i/>
        </w:rPr>
        <w:t>et al. </w:t>
      </w:r>
      <w:r>
        <w:rPr/>
        <w:t>(2000) have performed uncertainty assessment for the PnET-N-DNDC model. This can be taken as an example for how to proceed.</w:t>
      </w:r>
    </w:p>
    <w:p>
      <w:pPr>
        <w:pStyle w:val="BodyText"/>
        <w:spacing w:before="3"/>
        <w:rPr>
          <w:sz w:val="21"/>
        </w:rPr>
      </w:pPr>
    </w:p>
    <w:p>
      <w:pPr>
        <w:pStyle w:val="Heading6"/>
        <w:spacing w:line="250" w:lineRule="exact"/>
        <w:ind w:left="219"/>
        <w:jc w:val="both"/>
      </w:pPr>
      <w:r>
        <w:rPr/>
        <w:t>GREENHOUSE GAS EMISSIONS FROM BIOMASS BURNING </w:t>
      </w:r>
    </w:p>
    <w:p>
      <w:pPr>
        <w:pStyle w:val="BodyText"/>
        <w:ind w:left="219" w:right="265"/>
        <w:jc w:val="both"/>
      </w:pPr>
      <w:r>
        <w:rPr/>
        <w:t>Biomass burning occurs in many types of land uses causing emissions of CO</w:t>
      </w:r>
      <w:r>
        <w:rPr>
          <w:vertAlign w:val="subscript"/>
        </w:rPr>
        <w:t>2</w:t>
      </w:r>
      <w:r>
        <w:rPr>
          <w:vertAlign w:val="baseline"/>
        </w:rPr>
        <w:t>, CH</w:t>
      </w:r>
      <w:r>
        <w:rPr>
          <w:vertAlign w:val="subscript"/>
        </w:rPr>
        <w:t>4</w:t>
      </w:r>
      <w:r>
        <w:rPr>
          <w:vertAlign w:val="baseline"/>
        </w:rPr>
        <w:t>, N</w:t>
      </w:r>
      <w:r>
        <w:rPr>
          <w:vertAlign w:val="subscript"/>
        </w:rPr>
        <w:t>2</w:t>
      </w:r>
      <w:r>
        <w:rPr>
          <w:vertAlign w:val="baseline"/>
        </w:rPr>
        <w:t>O, CO, and NO</w:t>
      </w:r>
      <w:r>
        <w:rPr>
          <w:vertAlign w:val="subscript"/>
        </w:rPr>
        <w:t>x</w:t>
      </w:r>
      <w:r>
        <w:rPr>
          <w:vertAlign w:val="baseline"/>
        </w:rPr>
        <w:t>. There are two general types of biomass burning covered in this section: burning within managed forests and burning in the course of land use conversion. The basic approach for estimating greenhouse gas emissions from biomass burning are the same regardless of the specific land use type. The basic approach is presented here and referenced in other relevant sections of this chapter (e.g., lands converted to croplands). This section provides </w:t>
      </w:r>
      <w:r>
        <w:rPr>
          <w:i/>
          <w:vertAlign w:val="baseline"/>
        </w:rPr>
        <w:t>good practice guidance </w:t>
      </w:r>
      <w:r>
        <w:rPr>
          <w:vertAlign w:val="baseline"/>
        </w:rPr>
        <w:t>for estimating emissions from biomass burning</w:t>
      </w:r>
      <w:r>
        <w:rPr>
          <w:spacing w:val="-8"/>
          <w:vertAlign w:val="baseline"/>
        </w:rPr>
        <w:t> </w:t>
      </w:r>
      <w:r>
        <w:rPr>
          <w:vertAlign w:val="baseline"/>
        </w:rPr>
        <w:t>in:</w:t>
      </w:r>
    </w:p>
    <w:p>
      <w:pPr>
        <w:pStyle w:val="ListParagraph"/>
        <w:numPr>
          <w:ilvl w:val="6"/>
          <w:numId w:val="48"/>
        </w:numPr>
        <w:tabs>
          <w:tab w:pos="786" w:val="left" w:leader="none"/>
        </w:tabs>
        <w:spacing w:line="240" w:lineRule="auto" w:before="132" w:after="0"/>
        <w:ind w:left="785" w:right="0" w:hanging="206"/>
        <w:jc w:val="left"/>
        <w:rPr>
          <w:sz w:val="20"/>
        </w:rPr>
      </w:pPr>
      <w:r>
        <w:rPr>
          <w:sz w:val="20"/>
        </w:rPr>
        <w:t>Forest land remaining Forest</w:t>
      </w:r>
      <w:r>
        <w:rPr>
          <w:spacing w:val="1"/>
          <w:sz w:val="20"/>
        </w:rPr>
        <w:t> </w:t>
      </w:r>
      <w:r>
        <w:rPr>
          <w:sz w:val="20"/>
        </w:rPr>
        <w:t>land;</w:t>
      </w:r>
    </w:p>
    <w:p>
      <w:pPr>
        <w:pStyle w:val="ListParagraph"/>
        <w:numPr>
          <w:ilvl w:val="6"/>
          <w:numId w:val="48"/>
        </w:numPr>
        <w:tabs>
          <w:tab w:pos="786" w:val="left" w:leader="none"/>
        </w:tabs>
        <w:spacing w:line="240" w:lineRule="auto" w:before="118" w:after="0"/>
        <w:ind w:left="785" w:right="0" w:hanging="206"/>
        <w:jc w:val="left"/>
        <w:rPr>
          <w:sz w:val="20"/>
        </w:rPr>
      </w:pPr>
      <w:r>
        <w:rPr>
          <w:sz w:val="20"/>
        </w:rPr>
        <w:t>Land converted to Forest</w:t>
      </w:r>
      <w:r>
        <w:rPr>
          <w:spacing w:val="2"/>
          <w:sz w:val="20"/>
        </w:rPr>
        <w:t> </w:t>
      </w:r>
      <w:r>
        <w:rPr>
          <w:sz w:val="20"/>
        </w:rPr>
        <w:t>land;</w:t>
      </w:r>
    </w:p>
    <w:p>
      <w:pPr>
        <w:pStyle w:val="ListParagraph"/>
        <w:numPr>
          <w:ilvl w:val="6"/>
          <w:numId w:val="48"/>
        </w:numPr>
        <w:tabs>
          <w:tab w:pos="786" w:val="left" w:leader="none"/>
        </w:tabs>
        <w:spacing w:line="240" w:lineRule="auto" w:before="118" w:after="0"/>
        <w:ind w:left="785" w:right="0" w:hanging="206"/>
        <w:jc w:val="left"/>
        <w:rPr>
          <w:sz w:val="20"/>
        </w:rPr>
      </w:pPr>
      <w:r>
        <w:rPr>
          <w:sz w:val="20"/>
        </w:rPr>
        <w:t>Land converted to Cropland;</w:t>
      </w:r>
      <w:r>
        <w:rPr>
          <w:spacing w:val="3"/>
          <w:sz w:val="20"/>
        </w:rPr>
        <w:t> </w:t>
      </w:r>
      <w:r>
        <w:rPr>
          <w:sz w:val="20"/>
        </w:rPr>
        <w:t>and</w:t>
      </w:r>
    </w:p>
    <w:p>
      <w:pPr>
        <w:pStyle w:val="ListParagraph"/>
        <w:numPr>
          <w:ilvl w:val="6"/>
          <w:numId w:val="48"/>
        </w:numPr>
        <w:tabs>
          <w:tab w:pos="786" w:val="left" w:leader="none"/>
        </w:tabs>
        <w:spacing w:line="240" w:lineRule="auto" w:before="118" w:after="0"/>
        <w:ind w:left="785" w:right="0" w:hanging="206"/>
        <w:jc w:val="left"/>
        <w:rPr>
          <w:sz w:val="20"/>
        </w:rPr>
      </w:pPr>
      <w:r>
        <w:rPr>
          <w:sz w:val="20"/>
        </w:rPr>
        <w:t>Land converted to</w:t>
      </w:r>
      <w:r>
        <w:rPr>
          <w:spacing w:val="2"/>
          <w:sz w:val="20"/>
        </w:rPr>
        <w:t> </w:t>
      </w:r>
      <w:r>
        <w:rPr>
          <w:sz w:val="20"/>
        </w:rPr>
        <w:t>Grassland.</w:t>
      </w:r>
    </w:p>
    <w:p>
      <w:pPr>
        <w:pStyle w:val="BodyText"/>
        <w:spacing w:before="104"/>
        <w:ind w:left="219" w:right="262"/>
        <w:jc w:val="both"/>
      </w:pPr>
      <w:r>
        <w:rPr/>
        <w:t>The </w:t>
      </w:r>
      <w:r>
        <w:rPr>
          <w:i/>
        </w:rPr>
        <w:t>IPCC Guidelines </w:t>
      </w:r>
      <w:r>
        <w:rPr/>
        <w:t>address both types of biomass burning in the LUCF sector (Chapter 5). Emissions from burning for land use conversion are covered under Forest and Grassland Conversions and emissions from burning for land management are covered under On-site burning of Forest Biomass. While presented separately in the </w:t>
      </w:r>
      <w:r>
        <w:rPr>
          <w:i/>
        </w:rPr>
        <w:t>IPCC Guidelines</w:t>
      </w:r>
      <w:r>
        <w:rPr/>
        <w:t>, the same method and default factors are used for estimating emissions. In this GPG, the methodology for emissions from burning for land conversion remains essentially unchanged from the </w:t>
      </w:r>
      <w:r>
        <w:rPr>
          <w:i/>
        </w:rPr>
        <w:t>IPCC Guidelines</w:t>
      </w:r>
      <w:r>
        <w:rPr/>
        <w:t>, but the scope of coverage of emissions from burning for land management is broadened in the case of managed forest land to include the effect of both prescribed and wildfires on CO</w:t>
      </w:r>
      <w:r>
        <w:rPr>
          <w:vertAlign w:val="subscript"/>
        </w:rPr>
        <w:t>2</w:t>
      </w:r>
      <w:r>
        <w:rPr>
          <w:vertAlign w:val="baseline"/>
        </w:rPr>
        <w:t> and non-CO</w:t>
      </w:r>
      <w:r>
        <w:rPr>
          <w:vertAlign w:val="subscript"/>
        </w:rPr>
        <w:t>2</w:t>
      </w:r>
      <w:r>
        <w:rPr>
          <w:vertAlign w:val="baseline"/>
        </w:rPr>
        <w:t> emissions in all managed forest</w:t>
      </w:r>
      <w:r>
        <w:rPr>
          <w:spacing w:val="5"/>
          <w:vertAlign w:val="baseline"/>
        </w:rPr>
        <w:t> </w:t>
      </w:r>
      <w:r>
        <w:rPr>
          <w:vertAlign w:val="baseline"/>
        </w:rPr>
        <w:t>lands.</w:t>
      </w:r>
      <w:r>
        <w:rPr>
          <w:vertAlign w:val="superscript"/>
        </w:rPr>
        <w:t>3</w:t>
      </w:r>
    </w:p>
    <w:p>
      <w:pPr>
        <w:pStyle w:val="BodyText"/>
        <w:spacing w:before="119"/>
        <w:ind w:left="219" w:right="265"/>
        <w:jc w:val="both"/>
      </w:pPr>
      <w:r>
        <w:rPr/>
        <w:t>The </w:t>
      </w:r>
      <w:r>
        <w:rPr>
          <w:i/>
        </w:rPr>
        <w:t>GPG2000 </w:t>
      </w:r>
      <w:r>
        <w:rPr/>
        <w:t>covers burning for land management in agriculture. Guidance is provided to estimate emissions from prescribed burning of savannas and field burning of agricultural residues covered under the Agricultural sector. The CO</w:t>
      </w:r>
      <w:r>
        <w:rPr>
          <w:vertAlign w:val="subscript"/>
        </w:rPr>
        <w:t>2</w:t>
      </w:r>
      <w:r>
        <w:rPr>
          <w:vertAlign w:val="baseline"/>
        </w:rPr>
        <w:t> released is assumed to be removed by photosynthesis of annual vegetation regrowing during the subsequent year and therefore only non-CO</w:t>
      </w:r>
      <w:r>
        <w:rPr>
          <w:vertAlign w:val="subscript"/>
        </w:rPr>
        <w:t>2</w:t>
      </w:r>
      <w:r>
        <w:rPr>
          <w:vertAlign w:val="baseline"/>
        </w:rPr>
        <w:t> gases are considered.</w:t>
      </w:r>
    </w:p>
    <w:p>
      <w:pPr>
        <w:pStyle w:val="BodyText"/>
        <w:spacing w:before="3"/>
        <w:rPr>
          <w:sz w:val="21"/>
        </w:rPr>
      </w:pPr>
    </w:p>
    <w:p>
      <w:pPr>
        <w:pStyle w:val="Heading6"/>
        <w:numPr>
          <w:ilvl w:val="4"/>
          <w:numId w:val="48"/>
        </w:numPr>
        <w:tabs>
          <w:tab w:pos="1660" w:val="left" w:leader="none"/>
        </w:tabs>
        <w:spacing w:line="251" w:lineRule="exact" w:before="0" w:after="0"/>
        <w:ind w:left="1659" w:right="0" w:hanging="1440"/>
        <w:jc w:val="both"/>
      </w:pPr>
      <w:r>
        <w:rPr/>
        <w:t>2 </w:t>
      </w:r>
      <w:r>
        <w:rPr>
          <w:spacing w:val="17"/>
        </w:rPr>
        <w:t>METHODOLOGICAL</w:t>
      </w:r>
      <w:r>
        <w:rPr>
          <w:spacing w:val="1"/>
        </w:rPr>
        <w:t> </w:t>
      </w:r>
      <w:r>
        <w:rPr>
          <w:spacing w:val="16"/>
        </w:rPr>
        <w:t>ISSUES</w:t>
      </w:r>
    </w:p>
    <w:p>
      <w:pPr>
        <w:pStyle w:val="BodyText"/>
        <w:ind w:left="219" w:right="264"/>
        <w:jc w:val="both"/>
      </w:pPr>
      <w:r>
        <w:rPr/>
        <w:t>Generally fires can be grouped into prescribed (or controlled) fires and wildfires. Fires associated with land clearing and ecosystem management activities are usually controlled. Significant types of prescribed fires include: (i) land clearing fires in the course of forest conversion, (ii) slash-and-burn agriculture, (iii) post-logging burning of harvest residues (slash); and (iv) low-intensity prescribed fire for fuel load management. The purpose of these fires is usually to get rid of unwanted biomass. The average fire temperature is controlled, the burning conditions more uniform, and emission factors less variable. In contrast, the characteristics of wildfires are high variable: fire temperature, quantities of biomass available, thoroughness of the combustion and impact on forest</w:t>
      </w:r>
    </w:p>
    <w:p>
      <w:pPr>
        <w:pStyle w:val="BodyText"/>
        <w:spacing w:before="6"/>
        <w:rPr>
          <w:sz w:val="27"/>
        </w:rPr>
      </w:pPr>
      <w:r>
        <w:rPr/>
        <w:pict>
          <v:line style="position:absolute;mso-position-horizontal-relative:page;mso-position-vertical-relative:paragraph;z-index:5120;mso-wrap-distance-left:0;mso-wrap-distance-right:0" from="70.960999pt,18.043442pt" to="214.960999pt,18.043442pt" stroked="true" strokeweight=".48pt" strokecolor="#000000">
            <v:stroke dashstyle="solid"/>
            <w10:wrap type="topAndBottom"/>
          </v:line>
        </w:pict>
      </w:r>
    </w:p>
    <w:p>
      <w:pPr>
        <w:spacing w:line="237" w:lineRule="auto" w:before="35"/>
        <w:ind w:left="377" w:right="0" w:hanging="159"/>
        <w:jc w:val="left"/>
        <w:rPr>
          <w:i/>
          <w:sz w:val="20"/>
        </w:rPr>
      </w:pPr>
      <w:r>
        <w:rPr>
          <w:position w:val="8"/>
          <w:sz w:val="12"/>
        </w:rPr>
        <w:t>3 </w:t>
      </w:r>
      <w:r>
        <w:rPr>
          <w:sz w:val="18"/>
        </w:rPr>
        <w:t>The elaboration is for forest land only because burning for land management in croplands and grasslands is covered by the Agriculture sector of the </w:t>
      </w:r>
      <w:r>
        <w:rPr>
          <w:i/>
          <w:sz w:val="18"/>
        </w:rPr>
        <w:t>GPG2000</w:t>
      </w:r>
      <w:r>
        <w:rPr>
          <w:i/>
          <w:sz w:val="20"/>
        </w:rPr>
        <w:t>.</w:t>
      </w:r>
    </w:p>
    <w:p>
      <w:pPr>
        <w:spacing w:after="0" w:line="237" w:lineRule="auto"/>
        <w:jc w:val="left"/>
        <w:rPr>
          <w:sz w:val="20"/>
        </w:rPr>
        <w:sectPr>
          <w:pgSz w:w="11900" w:h="16840"/>
          <w:pgMar w:header="230" w:footer="408" w:top="560" w:bottom="600" w:left="1200" w:right="1140"/>
        </w:sectPr>
      </w:pPr>
    </w:p>
    <w:p>
      <w:pPr>
        <w:pStyle w:val="BodyText"/>
        <w:rPr>
          <w:i/>
        </w:rPr>
      </w:pPr>
    </w:p>
    <w:p>
      <w:pPr>
        <w:pStyle w:val="BodyText"/>
        <w:spacing w:before="209"/>
        <w:ind w:left="219" w:right="266"/>
        <w:jc w:val="both"/>
      </w:pPr>
      <w:r>
        <w:rPr/>
        <w:t>stands all vary. Among wildfires, ground-level ones are less intensive and their impact on trees less severe than crown fires. When managed land is burned, emissions resulting from both prescribed fires and wildfires should be reported so that carbon losses on managed lands are taken into consideration.</w:t>
      </w:r>
      <w:r>
        <w:rPr>
          <w:vertAlign w:val="superscript"/>
        </w:rPr>
        <w:t>4</w:t>
      </w:r>
    </w:p>
    <w:p>
      <w:pPr>
        <w:pStyle w:val="BodyText"/>
        <w:spacing w:before="121"/>
        <w:ind w:left="219" w:right="268"/>
        <w:jc w:val="both"/>
      </w:pPr>
      <w:r>
        <w:rPr/>
        <w:t>Estimating the impact of fire is more difficult for wildfires, especially high-temperature wildfires, than for controlled burns. As a consequence there is better knowledge on the effect of the latter than the former.</w:t>
      </w:r>
    </w:p>
    <w:p>
      <w:pPr>
        <w:pStyle w:val="BodyText"/>
        <w:spacing w:before="121"/>
        <w:ind w:left="219" w:right="263"/>
        <w:jc w:val="both"/>
      </w:pPr>
      <w:r>
        <w:rPr/>
        <w:t>In managed forest, CO</w:t>
      </w:r>
      <w:r>
        <w:rPr>
          <w:vertAlign w:val="subscript"/>
        </w:rPr>
        <w:t>2</w:t>
      </w:r>
      <w:r>
        <w:rPr>
          <w:vertAlign w:val="baseline"/>
        </w:rPr>
        <w:t> emissions from combustion need to be estimated because the uptake of carbon by regrowing vegetation is taken into account (Kirschbaum, 2000) – see Equations 3.2.2 and 3.2.6. It is therefore </w:t>
      </w:r>
      <w:r>
        <w:rPr>
          <w:i/>
          <w:vertAlign w:val="baseline"/>
        </w:rPr>
        <w:t>good practice </w:t>
      </w:r>
      <w:r>
        <w:rPr>
          <w:vertAlign w:val="baseline"/>
        </w:rPr>
        <w:t>to estimate CO</w:t>
      </w:r>
      <w:r>
        <w:rPr>
          <w:vertAlign w:val="subscript"/>
        </w:rPr>
        <w:t>2</w:t>
      </w:r>
      <w:r>
        <w:rPr>
          <w:vertAlign w:val="baseline"/>
        </w:rPr>
        <w:t> and non-CO</w:t>
      </w:r>
      <w:r>
        <w:rPr>
          <w:vertAlign w:val="subscript"/>
        </w:rPr>
        <w:t>2</w:t>
      </w:r>
      <w:r>
        <w:rPr>
          <w:vertAlign w:val="baseline"/>
        </w:rPr>
        <w:t> emissions from biomass burning on managed forest lands. The method for doing this is set out in the parts of Section 3.2.1.1 dealing with Equation 3.2.9. The release of CO</w:t>
      </w:r>
      <w:r>
        <w:rPr>
          <w:vertAlign w:val="subscript"/>
        </w:rPr>
        <w:t>2</w:t>
      </w:r>
      <w:r>
        <w:rPr>
          <w:vertAlign w:val="baseline"/>
        </w:rPr>
        <w:t> in fire is not synchronous with the rate of uptake by regrowing forest and may take many years to sequester the quantity of carbon released in a wildfire or prescribed burn. If methods are applied that do not capture removals by regrowth after natural disturbances, then it is not necessary to report the CO</w:t>
      </w:r>
      <w:r>
        <w:rPr>
          <w:vertAlign w:val="subscript"/>
        </w:rPr>
        <w:t>2</w:t>
      </w:r>
      <w:r>
        <w:rPr>
          <w:vertAlign w:val="baseline"/>
        </w:rPr>
        <w:t> emissions associated with natural disturbance events. It is </w:t>
      </w:r>
      <w:r>
        <w:rPr>
          <w:i/>
          <w:vertAlign w:val="baseline"/>
        </w:rPr>
        <w:t>good practice </w:t>
      </w:r>
      <w:r>
        <w:rPr>
          <w:vertAlign w:val="baseline"/>
        </w:rPr>
        <w:t>to document this in a transparent</w:t>
      </w:r>
      <w:r>
        <w:rPr>
          <w:spacing w:val="-8"/>
          <w:vertAlign w:val="baseline"/>
        </w:rPr>
        <w:t> </w:t>
      </w:r>
      <w:r>
        <w:rPr>
          <w:vertAlign w:val="baseline"/>
        </w:rPr>
        <w:t>manner.</w:t>
      </w:r>
    </w:p>
    <w:p>
      <w:pPr>
        <w:pStyle w:val="BodyText"/>
        <w:spacing w:before="119"/>
        <w:ind w:left="219" w:right="267"/>
        <w:jc w:val="both"/>
      </w:pPr>
      <w:r>
        <w:rPr/>
        <w:t>The methodology described below can be used to estimate CH</w:t>
      </w:r>
      <w:r>
        <w:rPr>
          <w:vertAlign w:val="subscript"/>
        </w:rPr>
        <w:t>4</w:t>
      </w:r>
      <w:r>
        <w:rPr>
          <w:vertAlign w:val="baseline"/>
        </w:rPr>
        <w:t>, N</w:t>
      </w:r>
      <w:r>
        <w:rPr>
          <w:vertAlign w:val="subscript"/>
        </w:rPr>
        <w:t>2</w:t>
      </w:r>
      <w:r>
        <w:rPr>
          <w:vertAlign w:val="baseline"/>
        </w:rPr>
        <w:t>O, CO, and NO</w:t>
      </w:r>
      <w:r>
        <w:rPr>
          <w:vertAlign w:val="subscript"/>
        </w:rPr>
        <w:t>x</w:t>
      </w:r>
      <w:r>
        <w:rPr>
          <w:vertAlign w:val="baseline"/>
        </w:rPr>
        <w:t> emissions from biomass burning on managed forest land and emissions of these gases from fires associated with land use conversions.</w:t>
      </w:r>
    </w:p>
    <w:p>
      <w:pPr>
        <w:pStyle w:val="BodyText"/>
        <w:spacing w:before="4"/>
        <w:rPr>
          <w:sz w:val="21"/>
        </w:rPr>
      </w:pPr>
    </w:p>
    <w:p>
      <w:pPr>
        <w:pStyle w:val="Heading6"/>
        <w:numPr>
          <w:ilvl w:val="5"/>
          <w:numId w:val="48"/>
        </w:numPr>
        <w:tabs>
          <w:tab w:pos="1660" w:val="left" w:leader="none"/>
        </w:tabs>
        <w:spacing w:line="240" w:lineRule="auto" w:before="0" w:after="0"/>
        <w:ind w:left="1659" w:right="0" w:hanging="1440"/>
        <w:jc w:val="both"/>
      </w:pPr>
      <w:r>
        <w:rPr/>
        <w:t>1 </w:t>
      </w:r>
      <w:r>
        <w:rPr>
          <w:spacing w:val="15"/>
        </w:rPr>
        <w:t>Choice </w:t>
      </w:r>
      <w:r>
        <w:rPr>
          <w:spacing w:val="9"/>
        </w:rPr>
        <w:t>of</w:t>
      </w:r>
      <w:r>
        <w:rPr>
          <w:spacing w:val="42"/>
        </w:rPr>
        <w:t> </w:t>
      </w:r>
      <w:r>
        <w:rPr>
          <w:spacing w:val="19"/>
        </w:rPr>
        <w:t>Method</w:t>
      </w:r>
    </w:p>
    <w:p>
      <w:pPr>
        <w:pStyle w:val="BodyText"/>
        <w:spacing w:before="54"/>
        <w:ind w:left="219" w:right="265"/>
        <w:jc w:val="both"/>
      </w:pPr>
      <w:r>
        <w:rPr/>
        <w:t>The existing methodology described in the </w:t>
      </w:r>
      <w:r>
        <w:rPr>
          <w:i/>
        </w:rPr>
        <w:t>IPCC Guidelines </w:t>
      </w:r>
      <w:r>
        <w:rPr/>
        <w:t>estimates carbon release during fires as 50% (assuming this to be the C content of biomass) of the mass of fuel actually combusted and uses this as a basis for the calculation of non-CO</w:t>
      </w:r>
      <w:r>
        <w:rPr>
          <w:vertAlign w:val="subscript"/>
        </w:rPr>
        <w:t>2</w:t>
      </w:r>
      <w:r>
        <w:rPr>
          <w:vertAlign w:val="baseline"/>
        </w:rPr>
        <w:t> emissions (see Equation 3.2.6). Some of the partially burnt fuel remains as charcoal, which is relatively stable over time (Houghton, 1999).</w:t>
      </w:r>
    </w:p>
    <w:p>
      <w:pPr>
        <w:pStyle w:val="BodyText"/>
        <w:spacing w:before="122"/>
        <w:ind w:left="219" w:right="265"/>
        <w:jc w:val="both"/>
      </w:pPr>
      <w:r>
        <w:rPr/>
        <w:t>Carbon release from burnt biomass as part of forest/grassland conversion is calculated using a simple methodology described in the </w:t>
      </w:r>
      <w:r>
        <w:rPr>
          <w:i/>
        </w:rPr>
        <w:t>IPCC Guidelines </w:t>
      </w:r>
      <w:r>
        <w:rPr/>
        <w:t>(Section 5.3). This methodology is extended below, for all vegetation types.</w:t>
      </w:r>
    </w:p>
    <w:p>
      <w:pPr>
        <w:pStyle w:val="BodyText"/>
        <w:spacing w:before="119"/>
        <w:ind w:left="219" w:right="263"/>
        <w:jc w:val="both"/>
      </w:pPr>
      <w:r>
        <w:rPr/>
        <w:t>The emissions of non-CO</w:t>
      </w:r>
      <w:r>
        <w:rPr>
          <w:vertAlign w:val="subscript"/>
        </w:rPr>
        <w:t>2</w:t>
      </w:r>
      <w:r>
        <w:rPr>
          <w:vertAlign w:val="baseline"/>
        </w:rPr>
        <w:t> gases can be estimated based on the total carbon released using Equation 3.2.19 (Crutzen and Andreae, 1990; Andreae and Merlet, 2002):</w:t>
      </w:r>
    </w:p>
    <w:p>
      <w:pPr>
        <w:pStyle w:val="BodyText"/>
        <w:spacing w:before="2"/>
        <w:rPr>
          <w:sz w:val="11"/>
        </w:rPr>
      </w:pPr>
      <w:r>
        <w:rPr/>
        <w:pict>
          <v:shape style="position:absolute;margin-left:91.960999pt;margin-top:9.136514pt;width:411.5pt;height:96.5pt;mso-position-horizontal-relative:page;mso-position-vertical-relative:paragraph;z-index:5144;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3.2.19</w:t>
                  </w:r>
                </w:p>
                <w:p>
                  <w:pPr>
                    <w:spacing w:line="229" w:lineRule="exact" w:before="0"/>
                    <w:ind w:left="1747" w:right="0" w:firstLine="0"/>
                    <w:jc w:val="left"/>
                    <w:rPr>
                      <w:b/>
                      <w:sz w:val="16"/>
                    </w:rPr>
                  </w:pPr>
                  <w:r>
                    <w:rPr>
                      <w:b/>
                      <w:sz w:val="20"/>
                    </w:rPr>
                    <w:t>E</w:t>
                  </w:r>
                  <w:r>
                    <w:rPr>
                      <w:b/>
                      <w:sz w:val="16"/>
                    </w:rPr>
                    <w:t>STIMATION OF NON</w:t>
                  </w:r>
                  <w:r>
                    <w:rPr>
                      <w:b/>
                      <w:sz w:val="20"/>
                    </w:rPr>
                    <w:t>-CO</w:t>
                  </w:r>
                  <w:r>
                    <w:rPr>
                      <w:b/>
                      <w:sz w:val="20"/>
                      <w:vertAlign w:val="subscript"/>
                    </w:rPr>
                    <w:t>2</w:t>
                  </w:r>
                  <w:r>
                    <w:rPr>
                      <w:b/>
                      <w:sz w:val="20"/>
                      <w:vertAlign w:val="baseline"/>
                    </w:rPr>
                    <w:t> </w:t>
                  </w:r>
                  <w:r>
                    <w:rPr>
                      <w:b/>
                      <w:sz w:val="16"/>
                      <w:vertAlign w:val="baseline"/>
                    </w:rPr>
                    <w:t>EMISSIONS FROM </w:t>
                  </w:r>
                  <w:r>
                    <w:rPr>
                      <w:b/>
                      <w:sz w:val="20"/>
                      <w:vertAlign w:val="baseline"/>
                    </w:rPr>
                    <w:t>C </w:t>
                  </w:r>
                  <w:r>
                    <w:rPr>
                      <w:b/>
                      <w:sz w:val="16"/>
                      <w:vertAlign w:val="baseline"/>
                    </w:rPr>
                    <w:t>RELEASED</w:t>
                  </w:r>
                </w:p>
                <w:p>
                  <w:pPr>
                    <w:pStyle w:val="BodyText"/>
                    <w:tabs>
                      <w:tab w:pos="2209" w:val="left" w:leader="none"/>
                    </w:tabs>
                    <w:spacing w:line="324" w:lineRule="auto" w:before="77"/>
                    <w:ind w:left="779" w:right="2283"/>
                  </w:pPr>
                  <w:r>
                    <w:rPr/>
                    <w:t>CH</w:t>
                  </w:r>
                  <w:r>
                    <w:rPr>
                      <w:vertAlign w:val="subscript"/>
                    </w:rPr>
                    <w:t>4</w:t>
                  </w:r>
                  <w:r>
                    <w:rPr>
                      <w:spacing w:val="-3"/>
                      <w:vertAlign w:val="baseline"/>
                    </w:rPr>
                    <w:t> </w:t>
                  </w:r>
                  <w:r>
                    <w:rPr>
                      <w:vertAlign w:val="baseline"/>
                    </w:rPr>
                    <w:t>Emissions</w:t>
                    <w:tab/>
                    <w:t>= (carbon released) ● (emission ratio) ● 16/12 CO</w:t>
                  </w:r>
                  <w:r>
                    <w:rPr>
                      <w:spacing w:val="-3"/>
                      <w:vertAlign w:val="baseline"/>
                    </w:rPr>
                    <w:t> </w:t>
                  </w:r>
                  <w:r>
                    <w:rPr>
                      <w:vertAlign w:val="baseline"/>
                    </w:rPr>
                    <w:t>Emissions</w:t>
                    <w:tab/>
                    <w:t>= (carbon released) ● (emission ratio) ●</w:t>
                  </w:r>
                  <w:r>
                    <w:rPr>
                      <w:spacing w:val="-16"/>
                      <w:vertAlign w:val="baseline"/>
                    </w:rPr>
                    <w:t> </w:t>
                  </w:r>
                  <w:r>
                    <w:rPr>
                      <w:vertAlign w:val="baseline"/>
                    </w:rPr>
                    <w:t>28/12</w:t>
                  </w:r>
                </w:p>
                <w:p>
                  <w:pPr>
                    <w:pStyle w:val="BodyText"/>
                    <w:tabs>
                      <w:tab w:pos="2210" w:val="left" w:leader="none"/>
                    </w:tabs>
                    <w:spacing w:line="326" w:lineRule="auto"/>
                    <w:ind w:left="779" w:right="1179"/>
                  </w:pPr>
                  <w:r>
                    <w:rPr/>
                    <w:t>N</w:t>
                  </w:r>
                  <w:r>
                    <w:rPr>
                      <w:vertAlign w:val="subscript"/>
                    </w:rPr>
                    <w:t>2</w:t>
                  </w:r>
                  <w:r>
                    <w:rPr>
                      <w:vertAlign w:val="baseline"/>
                    </w:rPr>
                    <w:t>O</w:t>
                  </w:r>
                  <w:r>
                    <w:rPr>
                      <w:spacing w:val="-2"/>
                      <w:vertAlign w:val="baseline"/>
                    </w:rPr>
                    <w:t> </w:t>
                  </w:r>
                  <w:r>
                    <w:rPr>
                      <w:vertAlign w:val="baseline"/>
                    </w:rPr>
                    <w:t>Emissions</w:t>
                    <w:tab/>
                    <w:t>= (carbon released) ● (N/C ratio) ● (emission ratio) ● 44/28 NO</w:t>
                  </w:r>
                  <w:r>
                    <w:rPr>
                      <w:vertAlign w:val="subscript"/>
                    </w:rPr>
                    <w:t>x</w:t>
                  </w:r>
                  <w:r>
                    <w:rPr>
                      <w:spacing w:val="-2"/>
                      <w:vertAlign w:val="baseline"/>
                    </w:rPr>
                    <w:t> </w:t>
                  </w:r>
                  <w:r>
                    <w:rPr>
                      <w:vertAlign w:val="baseline"/>
                    </w:rPr>
                    <w:t>Emissions</w:t>
                    <w:tab/>
                    <w:t>= (carbon released) ● (N/C ratio) ● (emission ratio) ●</w:t>
                  </w:r>
                  <w:r>
                    <w:rPr>
                      <w:spacing w:val="-21"/>
                      <w:vertAlign w:val="baseline"/>
                    </w:rPr>
                    <w:t> </w:t>
                  </w:r>
                  <w:r>
                    <w:rPr>
                      <w:vertAlign w:val="baseline"/>
                    </w:rPr>
                    <w:t>46/14</w:t>
                  </w:r>
                </w:p>
              </w:txbxContent>
            </v:textbox>
            <v:stroke dashstyle="solid"/>
            <w10:wrap type="topAndBottom"/>
          </v:shape>
        </w:pict>
      </w:r>
    </w:p>
    <w:p>
      <w:pPr>
        <w:pStyle w:val="BodyText"/>
        <w:spacing w:before="3"/>
        <w:rPr>
          <w:sz w:val="12"/>
        </w:rPr>
      </w:pPr>
    </w:p>
    <w:p>
      <w:pPr>
        <w:pStyle w:val="BodyText"/>
        <w:spacing w:before="91"/>
        <w:ind w:left="219"/>
      </w:pPr>
      <w:r>
        <w:rPr/>
        <w:t>The extended methodology to estimate GHGs (CO</w:t>
      </w:r>
      <w:r>
        <w:rPr>
          <w:vertAlign w:val="subscript"/>
        </w:rPr>
        <w:t>2</w:t>
      </w:r>
      <w:r>
        <w:rPr>
          <w:vertAlign w:val="baseline"/>
        </w:rPr>
        <w:t> and non-CO</w:t>
      </w:r>
      <w:r>
        <w:rPr>
          <w:vertAlign w:val="subscript"/>
        </w:rPr>
        <w:t>2</w:t>
      </w:r>
      <w:r>
        <w:rPr>
          <w:vertAlign w:val="baseline"/>
        </w:rPr>
        <w:t>) directly released in fires is summarised by the following equation:</w:t>
      </w:r>
    </w:p>
    <w:p>
      <w:pPr>
        <w:pStyle w:val="BodyText"/>
        <w:spacing w:before="2"/>
        <w:rPr>
          <w:sz w:val="11"/>
        </w:rPr>
      </w:pPr>
      <w:r>
        <w:rPr/>
        <w:pict>
          <v:shape style="position:absolute;margin-left:91.960999pt;margin-top:9.162539pt;width:411.5pt;height:50.05pt;mso-position-horizontal-relative:page;mso-position-vertical-relative:paragraph;z-index:5168;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3.2.20</w:t>
                  </w:r>
                </w:p>
                <w:p>
                  <w:pPr>
                    <w:spacing w:before="0"/>
                    <w:ind w:left="68" w:right="68" w:firstLine="0"/>
                    <w:jc w:val="center"/>
                    <w:rPr>
                      <w:b/>
                      <w:sz w:val="16"/>
                    </w:rPr>
                  </w:pPr>
                  <w:r>
                    <w:rPr>
                      <w:b/>
                      <w:sz w:val="20"/>
                    </w:rPr>
                    <w:t>E</w:t>
                  </w:r>
                  <w:r>
                    <w:rPr>
                      <w:b/>
                      <w:sz w:val="16"/>
                    </w:rPr>
                    <w:t>STIMATION OF </w:t>
                  </w:r>
                  <w:r>
                    <w:rPr>
                      <w:b/>
                      <w:sz w:val="20"/>
                    </w:rPr>
                    <w:t>GHG</w:t>
                  </w:r>
                  <w:r>
                    <w:rPr>
                      <w:b/>
                      <w:sz w:val="16"/>
                    </w:rPr>
                    <w:t>S DIRECTLY RELEASED IN FIRES</w:t>
                  </w:r>
                </w:p>
                <w:p>
                  <w:pPr>
                    <w:pStyle w:val="BodyText"/>
                    <w:spacing w:before="77"/>
                    <w:ind w:left="67" w:right="68"/>
                    <w:jc w:val="center"/>
                  </w:pPr>
                  <w:r>
                    <w:rPr/>
                    <w:t>L</w:t>
                  </w:r>
                  <w:r>
                    <w:rPr>
                      <w:vertAlign w:val="subscript"/>
                    </w:rPr>
                    <w:t>fire</w:t>
                  </w:r>
                  <w:r>
                    <w:rPr>
                      <w:vertAlign w:val="baseline"/>
                    </w:rPr>
                    <w:t> = A ● B ● C ● D ● 10</w:t>
                  </w:r>
                  <w:r>
                    <w:rPr>
                      <w:vertAlign w:val="superscript"/>
                    </w:rPr>
                    <w:t>-6</w:t>
                  </w:r>
                </w:p>
              </w:txbxContent>
            </v:textbox>
            <v:stroke dashstyle="solid"/>
            <w10:wrap type="topAndBottom"/>
          </v:shape>
        </w:pict>
      </w:r>
    </w:p>
    <w:p>
      <w:pPr>
        <w:pStyle w:val="BodyText"/>
        <w:spacing w:before="4"/>
        <w:ind w:left="219"/>
      </w:pPr>
      <w:r>
        <w:rPr/>
        <w:t>Where:</w:t>
      </w:r>
    </w:p>
    <w:p>
      <w:pPr>
        <w:pStyle w:val="BodyText"/>
        <w:tabs>
          <w:tab w:pos="1143" w:val="left" w:leader="none"/>
        </w:tabs>
        <w:spacing w:line="364" w:lineRule="auto" w:before="118"/>
        <w:ind w:left="785" w:right="3997"/>
      </w:pPr>
      <w:r>
        <w:rPr/>
        <w:t>L</w:t>
      </w:r>
      <w:r>
        <w:rPr>
          <w:vertAlign w:val="subscript"/>
        </w:rPr>
        <w:t>fire</w:t>
      </w:r>
      <w:r>
        <w:rPr>
          <w:vertAlign w:val="baseline"/>
        </w:rPr>
        <w:t> = quantity of GHG released due to fire, tonnes of GHG A</w:t>
        <w:tab/>
        <w:t>= area burnt,</w:t>
      </w:r>
      <w:r>
        <w:rPr>
          <w:spacing w:val="1"/>
          <w:vertAlign w:val="baseline"/>
        </w:rPr>
        <w:t> </w:t>
      </w:r>
      <w:r>
        <w:rPr>
          <w:vertAlign w:val="baseline"/>
        </w:rPr>
        <w:t>ha</w:t>
      </w:r>
    </w:p>
    <w:p>
      <w:pPr>
        <w:pStyle w:val="BodyText"/>
        <w:tabs>
          <w:tab w:pos="1143" w:val="left" w:leader="none"/>
        </w:tabs>
        <w:spacing w:before="2"/>
        <w:ind w:left="785"/>
      </w:pPr>
      <w:r>
        <w:rPr/>
        <w:t>B</w:t>
        <w:tab/>
        <w:t>= mass of ‘available’ fuel, kg d.m.</w:t>
      </w:r>
      <w:r>
        <w:rPr>
          <w:spacing w:val="3"/>
        </w:rPr>
        <w:t> </w:t>
      </w:r>
      <w:r>
        <w:rPr/>
        <w:t>ha</w:t>
      </w:r>
      <w:r>
        <w:rPr>
          <w:vertAlign w:val="superscript"/>
        </w:rPr>
        <w:t>-1</w:t>
      </w:r>
    </w:p>
    <w:p>
      <w:pPr>
        <w:pStyle w:val="BodyText"/>
        <w:tabs>
          <w:tab w:pos="1142" w:val="left" w:leader="none"/>
        </w:tabs>
        <w:spacing w:line="364" w:lineRule="auto" w:before="120"/>
        <w:ind w:left="785" w:right="354"/>
      </w:pPr>
      <w:r>
        <w:rPr/>
        <w:t>C</w:t>
        <w:tab/>
        <w:t>= combustion efficiency (or fraction of the biomass combusted), dimensionless. (See Table 3A.1.12) D</w:t>
        <w:tab/>
        <w:t>= emission factor, g (kg d.m.)</w:t>
      </w:r>
      <w:r>
        <w:rPr>
          <w:vertAlign w:val="superscript"/>
        </w:rPr>
        <w:t>-1</w:t>
      </w:r>
    </w:p>
    <w:p>
      <w:pPr>
        <w:pStyle w:val="BodyText"/>
        <w:spacing w:before="5"/>
        <w:rPr>
          <w:sz w:val="30"/>
        </w:rPr>
      </w:pPr>
    </w:p>
    <w:p>
      <w:pPr>
        <w:pStyle w:val="BodyText"/>
        <w:ind w:left="219"/>
      </w:pPr>
      <w:r>
        <w:rPr/>
        <w:t>Calculations are made separately for each greenhouse gas, using the appropriate emission factor.</w:t>
      </w:r>
    </w:p>
    <w:p>
      <w:pPr>
        <w:pStyle w:val="BodyText"/>
        <w:spacing w:before="9"/>
        <w:rPr>
          <w:sz w:val="11"/>
        </w:rPr>
      </w:pPr>
      <w:r>
        <w:rPr/>
        <w:pict>
          <v:line style="position:absolute;mso-position-horizontal-relative:page;mso-position-vertical-relative:paragraph;z-index:5192;mso-wrap-distance-left:0;mso-wrap-distance-right:0" from="70.960999pt,9.010332pt" to="214.960999pt,9.010332pt" stroked="true" strokeweight=".48pt" strokecolor="#000000">
            <v:stroke dashstyle="solid"/>
            <w10:wrap type="topAndBottom"/>
          </v:line>
        </w:pict>
      </w:r>
    </w:p>
    <w:p>
      <w:pPr>
        <w:pStyle w:val="BodyText"/>
        <w:spacing w:before="30"/>
        <w:ind w:left="219"/>
      </w:pPr>
      <w:r>
        <w:rPr>
          <w:position w:val="9"/>
          <w:sz w:val="13"/>
        </w:rPr>
        <w:t>4 </w:t>
      </w:r>
      <w:r>
        <w:rPr/>
        <w:t>Fire impact in unmanaged forest </w:t>
      </w:r>
      <w:r>
        <w:rPr>
          <w:sz w:val="18"/>
        </w:rPr>
        <w:t>lands </w:t>
      </w:r>
      <w:r>
        <w:rPr/>
        <w:t>should not be reported.</w:t>
      </w:r>
    </w:p>
    <w:p>
      <w:pPr>
        <w:spacing w:after="0"/>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5"/>
        <w:jc w:val="both"/>
      </w:pPr>
      <w:r>
        <w:rPr/>
        <w:t>The accuracy of the estimates depends on the data available. Application of the decision tree in Figure 3.1.1 will determine which of the Tier 1 to 3 methods to use. Under Tier 1, the above two approaches can be used to estimates emissions for each GHG using default data. Under Tier 2, country-specific activity data or emission factors are used, while under Tier 3, both country-specific data and methods are used.</w:t>
      </w:r>
    </w:p>
    <w:p>
      <w:pPr>
        <w:pStyle w:val="BodyText"/>
        <w:spacing w:before="5"/>
        <w:rPr>
          <w:sz w:val="21"/>
        </w:rPr>
      </w:pPr>
    </w:p>
    <w:p>
      <w:pPr>
        <w:pStyle w:val="Heading6"/>
        <w:numPr>
          <w:ilvl w:val="5"/>
          <w:numId w:val="48"/>
        </w:numPr>
        <w:tabs>
          <w:tab w:pos="1661" w:val="left" w:leader="none"/>
        </w:tabs>
        <w:spacing w:line="240" w:lineRule="auto" w:before="1" w:after="0"/>
        <w:ind w:left="1660" w:right="0" w:hanging="1441"/>
        <w:jc w:val="both"/>
      </w:pPr>
      <w:r>
        <w:rPr/>
        <w:t>2 </w:t>
      </w:r>
      <w:r>
        <w:rPr>
          <w:spacing w:val="15"/>
        </w:rPr>
        <w:t>Choice </w:t>
      </w:r>
      <w:r>
        <w:rPr>
          <w:spacing w:val="9"/>
        </w:rPr>
        <w:t>of </w:t>
      </w:r>
      <w:r>
        <w:rPr>
          <w:spacing w:val="16"/>
        </w:rPr>
        <w:t>Removals/ Emission</w:t>
      </w:r>
      <w:r>
        <w:rPr>
          <w:spacing w:val="26"/>
        </w:rPr>
        <w:t> </w:t>
      </w:r>
      <w:r>
        <w:rPr>
          <w:spacing w:val="19"/>
        </w:rPr>
        <w:t>Factors</w:t>
      </w:r>
    </w:p>
    <w:p>
      <w:pPr>
        <w:pStyle w:val="BodyText"/>
        <w:spacing w:before="53"/>
        <w:ind w:left="219" w:right="263"/>
        <w:jc w:val="both"/>
      </w:pPr>
      <w:r>
        <w:rPr>
          <w:b/>
        </w:rPr>
        <w:t>Tier 1: </w:t>
      </w:r>
      <w:r>
        <w:rPr/>
        <w:t>Firstly, the quantity of fuel burnt must be estimated. If no local data are available, this can be estimated from Table 3.A.1.13 which tabulates the product of B (the available fuel, or biomass density on the land before combustion) and C (the combustion efficiency). If ‘available fuel densities’ are available the combustion efficiencies in Table 3.A.1.14 may be used. If combustion efficiency is needed, and more specific advice is not available, the IPCC default of 0.5 should be used. When the Equation 3.2.19 is used for the estimation of non- CO</w:t>
      </w:r>
      <w:r>
        <w:rPr>
          <w:vertAlign w:val="subscript"/>
        </w:rPr>
        <w:t>2</w:t>
      </w:r>
      <w:r>
        <w:rPr>
          <w:vertAlign w:val="baseline"/>
        </w:rPr>
        <w:t>, an emission ratio and a N/C ratio is required. The N/C ratio for the fuel burnt is approximated to be about</w:t>
      </w:r>
    </w:p>
    <w:p>
      <w:pPr>
        <w:pStyle w:val="BodyText"/>
        <w:ind w:left="219" w:right="266"/>
        <w:jc w:val="both"/>
      </w:pPr>
      <w:r>
        <w:rPr/>
        <w:t>0.01 (Crutzen and Andreae, 1990). This is a general default value that applies to leaf litter, but lower values would be appropriate for fuels with greater woody content, if data are available. Emission factors for use with Equations 3.2.19 and 3.2.20 are provided in Tables 3.A.1.15 and 3.A.1.16 respectively.</w:t>
      </w:r>
    </w:p>
    <w:p>
      <w:pPr>
        <w:pStyle w:val="BodyText"/>
        <w:spacing w:before="122"/>
        <w:ind w:left="219"/>
        <w:jc w:val="both"/>
      </w:pPr>
      <w:r>
        <w:rPr>
          <w:b/>
        </w:rPr>
        <w:t>Tiers 2 and 3: </w:t>
      </w:r>
      <w:r>
        <w:rPr/>
        <w:t>Use country-specific data and methods developed through field experiments.</w:t>
      </w:r>
    </w:p>
    <w:p>
      <w:pPr>
        <w:pStyle w:val="BodyText"/>
        <w:spacing w:before="1"/>
        <w:rPr>
          <w:sz w:val="21"/>
        </w:rPr>
      </w:pPr>
    </w:p>
    <w:p>
      <w:pPr>
        <w:pStyle w:val="Heading6"/>
        <w:numPr>
          <w:ilvl w:val="5"/>
          <w:numId w:val="48"/>
        </w:numPr>
        <w:tabs>
          <w:tab w:pos="1661" w:val="left" w:leader="none"/>
        </w:tabs>
        <w:spacing w:line="240" w:lineRule="auto" w:before="1"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pStyle w:val="BodyText"/>
        <w:spacing w:before="56"/>
        <w:ind w:left="219" w:right="266"/>
        <w:jc w:val="both"/>
      </w:pPr>
      <w:r>
        <w:rPr/>
        <w:t>The selection of activity data should follow the guidance in Section 3.2.1.1 “Other Carbon Losses” for fires in managed forests.</w:t>
      </w:r>
    </w:p>
    <w:p>
      <w:pPr>
        <w:pStyle w:val="BodyText"/>
        <w:spacing w:before="118"/>
        <w:ind w:left="219" w:right="266"/>
        <w:jc w:val="both"/>
      </w:pPr>
      <w:r>
        <w:rPr>
          <w:b/>
        </w:rPr>
        <w:t>Tier 1: </w:t>
      </w:r>
      <w:r>
        <w:rPr/>
        <w:t>Area of wild fire varies markedly between countries and over time. In extreme drought years, wild fires increase significantly. Thus, data on wild fires are highly country- and year- specific and cannot be generalized by region. A global data base exists on annual area of vegetation fires at: </w:t>
      </w:r>
      <w:hyperlink r:id="rId131">
        <w:r>
          <w:rPr/>
          <w:t>http://www.grid.unep.ch/activities</w:t>
        </w:r>
      </w:hyperlink>
    </w:p>
    <w:p>
      <w:pPr>
        <w:pStyle w:val="BodyText"/>
        <w:spacing w:before="1"/>
        <w:ind w:left="219"/>
        <w:jc w:val="both"/>
      </w:pPr>
      <w:r>
        <w:rPr/>
        <w:t>/earlywarning/preview/ims/gba.</w:t>
      </w:r>
    </w:p>
    <w:p>
      <w:pPr>
        <w:pStyle w:val="BodyText"/>
        <w:spacing w:before="121"/>
        <w:ind w:left="219" w:right="269"/>
        <w:jc w:val="both"/>
      </w:pPr>
      <w:r>
        <w:rPr>
          <w:b/>
        </w:rPr>
        <w:t>Tiers 2 and 3: </w:t>
      </w:r>
      <w:r>
        <w:rPr/>
        <w:t>Country level estimates of area burnt are used. These would generally be based on remotely- sensed methods.</w:t>
      </w:r>
    </w:p>
    <w:p>
      <w:pPr>
        <w:pStyle w:val="BodyText"/>
        <w:spacing w:before="2"/>
        <w:rPr>
          <w:sz w:val="21"/>
        </w:rPr>
      </w:pPr>
    </w:p>
    <w:p>
      <w:pPr>
        <w:pStyle w:val="Heading6"/>
        <w:numPr>
          <w:ilvl w:val="5"/>
          <w:numId w:val="48"/>
        </w:numPr>
        <w:tabs>
          <w:tab w:pos="1662" w:val="left" w:leader="none"/>
        </w:tabs>
        <w:spacing w:line="240" w:lineRule="auto" w:before="0" w:after="0"/>
        <w:ind w:left="1661" w:right="0" w:hanging="1442"/>
        <w:jc w:val="both"/>
      </w:pPr>
      <w:r>
        <w:rPr/>
        <w:t>4 </w:t>
      </w:r>
      <w:r>
        <w:rPr>
          <w:spacing w:val="17"/>
        </w:rPr>
        <w:t>Uncertainty</w:t>
      </w:r>
      <w:r>
        <w:rPr>
          <w:spacing w:val="18"/>
        </w:rPr>
        <w:t> </w:t>
      </w:r>
      <w:r>
        <w:rPr>
          <w:spacing w:val="19"/>
        </w:rPr>
        <w:t>Assessment</w:t>
      </w:r>
    </w:p>
    <w:p>
      <w:pPr>
        <w:pStyle w:val="BodyText"/>
        <w:spacing w:before="56"/>
        <w:ind w:left="219" w:right="267"/>
        <w:jc w:val="both"/>
      </w:pPr>
      <w:r>
        <w:rPr>
          <w:b/>
        </w:rPr>
        <w:t>Tier 1: </w:t>
      </w:r>
      <w:r>
        <w:rPr/>
        <w:t>Estimates of non-CO</w:t>
      </w:r>
      <w:r>
        <w:rPr>
          <w:vertAlign w:val="subscript"/>
        </w:rPr>
        <w:t>2</w:t>
      </w:r>
      <w:r>
        <w:rPr>
          <w:vertAlign w:val="baseline"/>
        </w:rPr>
        <w:t> emissions from fires of forests can be highly uncertain because of: a) high spatial and temporal variability of the emissions, b) scarcity of measurements and limited representativeness of data for larger regions, and c) uncertainty in spatial aggregation and uncertainty inherent to the emission factors and activity data.</w:t>
      </w:r>
    </w:p>
    <w:p>
      <w:pPr>
        <w:pStyle w:val="BodyText"/>
        <w:spacing w:before="119"/>
        <w:ind w:left="219" w:right="268"/>
        <w:jc w:val="both"/>
      </w:pPr>
      <w:r>
        <w:rPr>
          <w:b/>
        </w:rPr>
        <w:t>Emission factors: </w:t>
      </w:r>
      <w:r>
        <w:rPr/>
        <w:t>There are few measured data; it is suggested to apply a 70% uncertainty range in emission factors.</w:t>
      </w:r>
    </w:p>
    <w:p>
      <w:pPr>
        <w:pStyle w:val="BodyText"/>
        <w:spacing w:before="121"/>
        <w:ind w:left="219" w:right="267"/>
        <w:jc w:val="both"/>
      </w:pPr>
      <w:r>
        <w:rPr>
          <w:b/>
        </w:rPr>
        <w:t>Activity data: </w:t>
      </w:r>
      <w:r>
        <w:rPr/>
        <w:t>Because of increased accuracy and global coverage of area burned by fire, uncertainty is relatively small, in the range of</w:t>
      </w:r>
      <w:r>
        <w:rPr>
          <w:spacing w:val="-5"/>
        </w:rPr>
        <w:t> </w:t>
      </w:r>
      <w:r>
        <w:rPr/>
        <w:t>20-30%.</w:t>
      </w:r>
    </w:p>
    <w:p>
      <w:pPr>
        <w:pStyle w:val="BodyText"/>
        <w:spacing w:before="119"/>
        <w:ind w:left="219"/>
        <w:jc w:val="both"/>
      </w:pPr>
      <w:r>
        <w:rPr>
          <w:b/>
        </w:rPr>
        <w:t>Tier 2: </w:t>
      </w:r>
      <w:r>
        <w:rPr/>
        <w:t>Applying country-specific data to emission factors will greatly reduce uncertainty.</w:t>
      </w:r>
    </w:p>
    <w:p>
      <w:pPr>
        <w:pStyle w:val="BodyText"/>
        <w:spacing w:before="120"/>
        <w:ind w:left="219" w:right="266"/>
        <w:jc w:val="both"/>
      </w:pPr>
      <w:r>
        <w:rPr>
          <w:b/>
        </w:rPr>
        <w:t>Tier 3: </w:t>
      </w:r>
      <w:r>
        <w:rPr/>
        <w:t>Process-based models will probably provide a more realistic estimate but need to be calibrated and validated against measurements. Sufficient representative measurements are needed for validation purposes.</w:t>
      </w:r>
    </w:p>
    <w:p>
      <w:pPr>
        <w:pStyle w:val="BodyText"/>
        <w:rPr>
          <w:sz w:val="22"/>
        </w:rPr>
      </w:pPr>
    </w:p>
    <w:p>
      <w:pPr>
        <w:pStyle w:val="BodyText"/>
        <w:spacing w:before="3"/>
      </w:pPr>
    </w:p>
    <w:p>
      <w:pPr>
        <w:pStyle w:val="Heading2"/>
        <w:spacing w:before="1"/>
        <w:ind w:left="219" w:firstLine="0"/>
        <w:jc w:val="both"/>
      </w:pPr>
      <w:r>
        <w:rPr>
          <w:spacing w:val="7"/>
        </w:rPr>
        <w:t>3.2.2 </w:t>
      </w:r>
      <w:r>
        <w:rPr>
          <w:spacing w:val="6"/>
        </w:rPr>
        <w:t>Land </w:t>
      </w:r>
      <w:r>
        <w:rPr>
          <w:spacing w:val="8"/>
        </w:rPr>
        <w:t>Converted </w:t>
      </w:r>
      <w:r>
        <w:rPr>
          <w:spacing w:val="4"/>
        </w:rPr>
        <w:t>to </w:t>
      </w:r>
      <w:r>
        <w:rPr>
          <w:spacing w:val="7"/>
        </w:rPr>
        <w:t>Forest</w:t>
      </w:r>
      <w:r>
        <w:rPr>
          <w:spacing w:val="66"/>
        </w:rPr>
        <w:t> </w:t>
      </w:r>
      <w:r>
        <w:rPr>
          <w:spacing w:val="9"/>
        </w:rPr>
        <w:t>Land</w:t>
      </w:r>
    </w:p>
    <w:p>
      <w:pPr>
        <w:pStyle w:val="BodyText"/>
        <w:spacing w:before="113"/>
        <w:ind w:left="219" w:right="263"/>
        <w:jc w:val="both"/>
      </w:pPr>
      <w:r>
        <w:rPr/>
        <w:t>Managed land is converted to forest land by afforestation and reforestation, either by natural or artificial regeneration (including plantations). These activities are covered under categories 5A, 5C, and 5D of </w:t>
      </w:r>
      <w:r>
        <w:rPr>
          <w:i/>
        </w:rPr>
        <w:t>IPCC Guidelines</w:t>
      </w:r>
      <w:r>
        <w:rPr/>
        <w:t>. The conversion involves a change in land use. This section does not provide any guidance on regeneration in unmanaged forests. Converted areas are considered forest if they correspond to definition of forest adopted by the country. Lands converted to forest land are followed in conversion status for 20 years</w:t>
      </w:r>
      <w:r>
        <w:rPr>
          <w:vertAlign w:val="superscript"/>
        </w:rPr>
        <w:t>5</w:t>
      </w:r>
      <w:r>
        <w:rPr>
          <w:vertAlign w:val="baseline"/>
        </w:rPr>
        <w:t>. After 20 years the areas are accounted for under Section 3.2.1 Forest land Remaining Forest land, although longer term</w:t>
      </w:r>
      <w:r>
        <w:rPr>
          <w:spacing w:val="-37"/>
          <w:vertAlign w:val="baseline"/>
        </w:rPr>
        <w:t> </w:t>
      </w:r>
      <w:r>
        <w:rPr>
          <w:vertAlign w:val="baseline"/>
        </w:rPr>
        <w:t>dynamics of recovery may need tracking for up to about 100 years after establishment of forest.</w:t>
      </w:r>
    </w:p>
    <w:p>
      <w:pPr>
        <w:pStyle w:val="BodyText"/>
        <w:spacing w:before="121"/>
        <w:ind w:left="219" w:right="267"/>
        <w:jc w:val="both"/>
      </w:pPr>
      <w:r>
        <w:rPr/>
        <w:t>The estimation of emissions and removals of carbon from land use conversions to forest land is divided into four sub-sections: Change in Carbon Stocks in Living Biomass (Section 3.2.2.1), Change in Carbon Stocks in Dead Organic Matter (Section 3.2.2.2), Change in Carbon Stocks in Soils (Section 3.2.2.3) and Non-CO</w:t>
      </w:r>
      <w:r>
        <w:rPr>
          <w:vertAlign w:val="subscript"/>
        </w:rPr>
        <w:t>2</w:t>
      </w:r>
      <w:r>
        <w:rPr>
          <w:vertAlign w:val="baseline"/>
        </w:rPr>
        <w:t> Greenhouse Gas Emissions (Section 3.2.2.4). Each sub-section provides pool-specific </w:t>
      </w:r>
      <w:r>
        <w:rPr>
          <w:i/>
          <w:vertAlign w:val="baseline"/>
        </w:rPr>
        <w:t>good practice </w:t>
      </w:r>
      <w:r>
        <w:rPr>
          <w:vertAlign w:val="baseline"/>
        </w:rPr>
        <w:t>approach for emission</w:t>
      </w:r>
    </w:p>
    <w:p>
      <w:pPr>
        <w:pStyle w:val="BodyText"/>
        <w:spacing w:before="11"/>
        <w:rPr>
          <w:sz w:val="12"/>
        </w:rPr>
      </w:pPr>
      <w:r>
        <w:rPr/>
        <w:pict>
          <v:line style="position:absolute;mso-position-horizontal-relative:page;mso-position-vertical-relative:paragraph;z-index:5216;mso-wrap-distance-left:0;mso-wrap-distance-right:0" from="70.960999pt,9.664737pt" to="214.960999pt,9.664737pt" stroked="true" strokeweight=".48pt" strokecolor="#000000">
            <v:stroke dashstyle="solid"/>
            <w10:wrap type="topAndBottom"/>
          </v:line>
        </w:pict>
      </w:r>
    </w:p>
    <w:p>
      <w:pPr>
        <w:spacing w:before="30"/>
        <w:ind w:left="360" w:right="354" w:hanging="142"/>
        <w:jc w:val="left"/>
        <w:rPr>
          <w:sz w:val="18"/>
        </w:rPr>
      </w:pPr>
      <w:r>
        <w:rPr>
          <w:position w:val="8"/>
          <w:sz w:val="12"/>
        </w:rPr>
        <w:t>5 </w:t>
      </w:r>
      <w:r>
        <w:rPr>
          <w:sz w:val="18"/>
        </w:rPr>
        <w:t>The </w:t>
      </w:r>
      <w:r>
        <w:rPr>
          <w:i/>
          <w:sz w:val="18"/>
        </w:rPr>
        <w:t>IPCC Guidelines </w:t>
      </w:r>
      <w:r>
        <w:rPr>
          <w:sz w:val="18"/>
        </w:rPr>
        <w:t>specify default value of 20 years but allow for 100 years if necessary to take account of long term carbon dynamics in biomass, soil and litter pools.</w:t>
      </w:r>
    </w:p>
    <w:p>
      <w:pPr>
        <w:spacing w:after="0"/>
        <w:jc w:val="left"/>
        <w:rPr>
          <w:sz w:val="18"/>
        </w:rPr>
        <w:sectPr>
          <w:pgSz w:w="11900" w:h="16840"/>
          <w:pgMar w:header="230" w:footer="408" w:top="560" w:bottom="600" w:left="1200" w:right="1140"/>
        </w:sectPr>
      </w:pPr>
    </w:p>
    <w:p>
      <w:pPr>
        <w:pStyle w:val="BodyText"/>
      </w:pPr>
    </w:p>
    <w:p>
      <w:pPr>
        <w:pStyle w:val="BodyText"/>
        <w:spacing w:before="2"/>
        <w:rPr>
          <w:sz w:val="18"/>
        </w:rPr>
      </w:pPr>
    </w:p>
    <w:p>
      <w:pPr>
        <w:pStyle w:val="BodyText"/>
        <w:ind w:left="219"/>
      </w:pPr>
      <w:r>
        <w:rPr/>
        <w:t>and removal estimates. The CO</w:t>
      </w:r>
      <w:r>
        <w:rPr>
          <w:vertAlign w:val="subscript"/>
        </w:rPr>
        <w:t>2</w:t>
      </w:r>
      <w:r>
        <w:rPr>
          <w:vertAlign w:val="baseline"/>
        </w:rPr>
        <w:t> emissions or removals for land converted to forest are summarised by Equation 3.2.21:</w:t>
      </w:r>
    </w:p>
    <w:p>
      <w:pPr>
        <w:pStyle w:val="BodyText"/>
        <w:spacing w:before="2"/>
        <w:rPr>
          <w:sz w:val="11"/>
        </w:rPr>
      </w:pPr>
      <w:r>
        <w:rPr/>
        <w:pict>
          <v:shape style="position:absolute;margin-left:91.960999pt;margin-top:9.158809pt;width:411.5pt;height:53.05pt;mso-position-horizontal-relative:page;mso-position-vertical-relative:paragraph;z-index:5240;mso-wrap-distance-left:0;mso-wrap-distance-right:0" type="#_x0000_t202" filled="false" stroked="true" strokeweight="1.44pt" strokecolor="#000000">
            <v:textbox inset="0,0,0,0">
              <w:txbxContent>
                <w:p>
                  <w:pPr>
                    <w:spacing w:line="218" w:lineRule="exact" w:before="99"/>
                    <w:ind w:left="67" w:right="68" w:firstLine="0"/>
                    <w:jc w:val="center"/>
                    <w:rPr>
                      <w:b/>
                      <w:sz w:val="20"/>
                    </w:rPr>
                  </w:pPr>
                  <w:r>
                    <w:rPr>
                      <w:b/>
                      <w:sz w:val="20"/>
                    </w:rPr>
                    <w:t>E</w:t>
                  </w:r>
                  <w:r>
                    <w:rPr>
                      <w:b/>
                      <w:sz w:val="16"/>
                    </w:rPr>
                    <w:t>QUATION </w:t>
                  </w:r>
                  <w:r>
                    <w:rPr>
                      <w:b/>
                      <w:sz w:val="20"/>
                    </w:rPr>
                    <w:t>3.2.21</w:t>
                  </w:r>
                </w:p>
                <w:p>
                  <w:pPr>
                    <w:spacing w:line="243" w:lineRule="exact" w:before="0"/>
                    <w:ind w:left="68" w:right="68" w:firstLine="0"/>
                    <w:jc w:val="center"/>
                    <w:rPr>
                      <w:b/>
                      <w:sz w:val="13"/>
                    </w:rPr>
                  </w:pPr>
                  <w:r>
                    <w:rPr>
                      <w:b/>
                      <w:sz w:val="20"/>
                    </w:rPr>
                    <w:t>A</w:t>
                  </w:r>
                  <w:r>
                    <w:rPr>
                      <w:b/>
                      <w:sz w:val="16"/>
                    </w:rPr>
                    <w:t>NNUAL CHANGE IN CARBON STOCKS IN LAND CONVERTED TO FOREST LAND </w:t>
                  </w:r>
                  <w:r>
                    <w:rPr>
                      <w:b/>
                      <w:position w:val="9"/>
                      <w:sz w:val="13"/>
                    </w:rPr>
                    <w:t>6</w:t>
                  </w:r>
                </w:p>
                <w:p>
                  <w:pPr>
                    <w:spacing w:before="77"/>
                    <w:ind w:left="68" w:right="68" w:firstLine="0"/>
                    <w:jc w:val="center"/>
                    <w:rPr>
                      <w:sz w:val="13"/>
                    </w:rPr>
                  </w:pPr>
                  <w:r>
                    <w:rPr>
                      <w:sz w:val="20"/>
                    </w:rPr>
                    <w:t>∆C </w:t>
                  </w:r>
                  <w:r>
                    <w:rPr>
                      <w:position w:val="-2"/>
                      <w:sz w:val="13"/>
                    </w:rPr>
                    <w:t>LF </w:t>
                  </w:r>
                  <w:r>
                    <w:rPr>
                      <w:sz w:val="20"/>
                    </w:rPr>
                    <w:t>= ∆C</w:t>
                  </w:r>
                  <w:r>
                    <w:rPr>
                      <w:position w:val="-2"/>
                      <w:sz w:val="13"/>
                    </w:rPr>
                    <w:t>LF</w:t>
                  </w:r>
                  <w:r>
                    <w:rPr>
                      <w:position w:val="-8"/>
                      <w:sz w:val="13"/>
                    </w:rPr>
                    <w:t>LB </w:t>
                  </w:r>
                  <w:r>
                    <w:rPr>
                      <w:sz w:val="20"/>
                    </w:rPr>
                    <w:t>+ ∆C</w:t>
                  </w:r>
                  <w:r>
                    <w:rPr>
                      <w:position w:val="-2"/>
                      <w:sz w:val="13"/>
                    </w:rPr>
                    <w:t>LF</w:t>
                  </w:r>
                  <w:r>
                    <w:rPr>
                      <w:position w:val="-8"/>
                      <w:sz w:val="13"/>
                    </w:rPr>
                    <w:t>DOM </w:t>
                  </w:r>
                  <w:r>
                    <w:rPr>
                      <w:sz w:val="20"/>
                    </w:rPr>
                    <w:t>+ ∆C</w:t>
                  </w:r>
                  <w:r>
                    <w:rPr>
                      <w:position w:val="-2"/>
                      <w:sz w:val="13"/>
                    </w:rPr>
                    <w:t>LF</w:t>
                  </w:r>
                  <w:r>
                    <w:rPr>
                      <w:position w:val="-8"/>
                      <w:sz w:val="13"/>
                    </w:rPr>
                    <w:t>Soils</w:t>
                  </w:r>
                </w:p>
              </w:txbxContent>
            </v:textbox>
            <v:stroke dashstyle="solid"/>
            <w10:wrap type="topAndBottom"/>
          </v:shape>
        </w:pict>
      </w:r>
    </w:p>
    <w:p>
      <w:pPr>
        <w:pStyle w:val="BodyText"/>
        <w:spacing w:before="4"/>
        <w:ind w:left="219"/>
      </w:pPr>
      <w:r>
        <w:rPr/>
        <w:t>Where:</w:t>
      </w:r>
    </w:p>
    <w:p>
      <w:pPr>
        <w:pStyle w:val="BodyText"/>
        <w:spacing w:before="118"/>
        <w:ind w:left="785"/>
      </w:pPr>
      <w:r>
        <w:rPr/>
        <w:t>∆C </w:t>
      </w:r>
      <w:r>
        <w:rPr>
          <w:vertAlign w:val="subscript"/>
        </w:rPr>
        <w:t>LF</w:t>
      </w:r>
      <w:r>
        <w:rPr>
          <w:vertAlign w:val="baseline"/>
        </w:rPr>
        <w:t> = annual change in carbon stocks in land converted to forest land, tonnes C yr</w:t>
      </w:r>
      <w:r>
        <w:rPr>
          <w:vertAlign w:val="superscript"/>
        </w:rPr>
        <w:t>-1</w:t>
      </w:r>
    </w:p>
    <w:p>
      <w:pPr>
        <w:pStyle w:val="BodyText"/>
        <w:spacing w:line="228" w:lineRule="auto" w:before="126"/>
        <w:ind w:left="1637" w:right="354" w:hanging="852"/>
      </w:pPr>
      <w:r>
        <w:rPr/>
        <w:t>∆C</w:t>
      </w:r>
      <w:r>
        <w:rPr>
          <w:vertAlign w:val="subscript"/>
        </w:rPr>
        <w:t>LF</w:t>
      </w:r>
      <w:r>
        <w:rPr>
          <w:position w:val="-8"/>
          <w:sz w:val="13"/>
          <w:vertAlign w:val="baseline"/>
        </w:rPr>
        <w:t>LB </w:t>
      </w:r>
      <w:r>
        <w:rPr>
          <w:vertAlign w:val="baseline"/>
        </w:rPr>
        <w:t>= annual change in carbon stocks in living biomass (includes above- and belowground biomass)  in land converted to forest land; tonnes C</w:t>
      </w:r>
      <w:r>
        <w:rPr>
          <w:spacing w:val="4"/>
          <w:vertAlign w:val="baseline"/>
        </w:rPr>
        <w:t> </w:t>
      </w:r>
      <w:r>
        <w:rPr>
          <w:vertAlign w:val="baseline"/>
        </w:rPr>
        <w:t>yr</w:t>
      </w:r>
      <w:r>
        <w:rPr>
          <w:vertAlign w:val="superscript"/>
        </w:rPr>
        <w:t>-1</w:t>
      </w:r>
    </w:p>
    <w:p>
      <w:pPr>
        <w:pStyle w:val="BodyText"/>
        <w:spacing w:line="228" w:lineRule="auto" w:before="129"/>
        <w:ind w:left="1692" w:hanging="908"/>
      </w:pPr>
      <w:r>
        <w:rPr/>
        <w:t>∆C</w:t>
      </w:r>
      <w:r>
        <w:rPr>
          <w:vertAlign w:val="subscript"/>
        </w:rPr>
        <w:t>LF</w:t>
      </w:r>
      <w:r>
        <w:rPr>
          <w:position w:val="-8"/>
          <w:sz w:val="13"/>
          <w:vertAlign w:val="baseline"/>
        </w:rPr>
        <w:t>DOM </w:t>
      </w:r>
      <w:r>
        <w:rPr>
          <w:vertAlign w:val="baseline"/>
        </w:rPr>
        <w:t>= annual change in carbon stocks in dead organic matter (includes dead wood and litter) in land converted to forest land; tonnes C yr</w:t>
      </w:r>
      <w:r>
        <w:rPr>
          <w:vertAlign w:val="superscript"/>
        </w:rPr>
        <w:t>-1</w:t>
      </w:r>
    </w:p>
    <w:p>
      <w:pPr>
        <w:pStyle w:val="BodyText"/>
        <w:tabs>
          <w:tab w:pos="1500" w:val="left" w:leader="none"/>
        </w:tabs>
        <w:spacing w:line="193" w:lineRule="exact" w:before="121"/>
        <w:ind w:left="785"/>
      </w:pPr>
      <w:r>
        <w:rPr/>
        <w:pict>
          <v:shape style="position:absolute;margin-left:112.120598pt;margin-top:11.171426pt;width:7.35pt;height:7.2pt;mso-position-horizontal-relative:page;mso-position-vertical-relative:paragraph;z-index:-2448808" type="#_x0000_t202" filled="false" stroked="false">
            <v:textbox inset="0,0,0,0">
              <w:txbxContent>
                <w:p>
                  <w:pPr>
                    <w:spacing w:line="144" w:lineRule="exact" w:before="0"/>
                    <w:ind w:left="0" w:right="0" w:firstLine="0"/>
                    <w:jc w:val="left"/>
                    <w:rPr>
                      <w:sz w:val="13"/>
                    </w:rPr>
                  </w:pPr>
                  <w:r>
                    <w:rPr>
                      <w:spacing w:val="-3"/>
                      <w:sz w:val="13"/>
                    </w:rPr>
                    <w:t>LF</w:t>
                  </w:r>
                </w:p>
              </w:txbxContent>
            </v:textbox>
            <w10:wrap type="none"/>
          </v:shape>
        </w:pict>
      </w:r>
      <w:r>
        <w:rPr/>
        <w:t>∆C</w:t>
        <w:tab/>
        <w:t>= annual change in carbon stocks in soils in land converted to forest land; tonnes C</w:t>
      </w:r>
      <w:r>
        <w:rPr>
          <w:spacing w:val="-11"/>
        </w:rPr>
        <w:t> </w:t>
      </w:r>
      <w:r>
        <w:rPr/>
        <w:t>yr</w:t>
      </w:r>
      <w:r>
        <w:rPr>
          <w:vertAlign w:val="superscript"/>
        </w:rPr>
        <w:t>-1</w:t>
      </w:r>
    </w:p>
    <w:p>
      <w:pPr>
        <w:spacing w:line="113" w:lineRule="exact" w:before="0"/>
        <w:ind w:left="1193" w:right="0" w:firstLine="0"/>
        <w:jc w:val="left"/>
        <w:rPr>
          <w:sz w:val="13"/>
        </w:rPr>
      </w:pPr>
      <w:r>
        <w:rPr>
          <w:sz w:val="13"/>
        </w:rPr>
        <w:t>Soils</w:t>
      </w:r>
    </w:p>
    <w:p>
      <w:pPr>
        <w:pStyle w:val="BodyText"/>
        <w:spacing w:before="105"/>
        <w:ind w:left="219"/>
        <w:jc w:val="both"/>
      </w:pPr>
      <w:r>
        <w:rPr/>
        <w:t>To convert tonnes C to Gg CO</w:t>
      </w:r>
      <w:r>
        <w:rPr>
          <w:vertAlign w:val="subscript"/>
        </w:rPr>
        <w:t>2</w:t>
      </w:r>
      <w:r>
        <w:rPr>
          <w:vertAlign w:val="baseline"/>
        </w:rPr>
        <w:t>, multiply the value by 44/12 and 10</w:t>
      </w:r>
      <w:r>
        <w:rPr>
          <w:vertAlign w:val="superscript"/>
        </w:rPr>
        <w:t>-3</w:t>
      </w:r>
      <w:r>
        <w:rPr>
          <w:vertAlign w:val="baseline"/>
        </w:rPr>
        <w:t>. For the convention (signs), refer to Section</w:t>
      </w:r>
    </w:p>
    <w:p>
      <w:pPr>
        <w:pStyle w:val="BodyText"/>
        <w:ind w:left="219"/>
        <w:jc w:val="both"/>
      </w:pPr>
      <w:r>
        <w:rPr/>
        <w:t>3.1.7 or Annex 3A.2 (Reporting Tables and Worksheets).</w:t>
      </w:r>
    </w:p>
    <w:p>
      <w:pPr>
        <w:pStyle w:val="BodyText"/>
        <w:rPr>
          <w:sz w:val="22"/>
        </w:rPr>
      </w:pPr>
    </w:p>
    <w:p>
      <w:pPr>
        <w:pStyle w:val="Heading6"/>
        <w:spacing w:before="167"/>
        <w:ind w:left="219"/>
        <w:jc w:val="both"/>
      </w:pPr>
      <w:r>
        <w:rPr>
          <w:sz w:val="28"/>
        </w:rPr>
        <w:t>3.2.2.1 C</w:t>
      </w:r>
      <w:r>
        <w:rPr/>
        <w:t>HANGE IN CARBON STOCKS IN LIVING BIOMASS</w:t>
      </w:r>
    </w:p>
    <w:p>
      <w:pPr>
        <w:pStyle w:val="BodyText"/>
        <w:spacing w:before="3"/>
        <w:rPr>
          <w:b/>
          <w:sz w:val="29"/>
        </w:rPr>
      </w:pPr>
    </w:p>
    <w:p>
      <w:pPr>
        <w:spacing w:line="250" w:lineRule="exact" w:before="0"/>
        <w:ind w:left="219" w:right="0" w:firstLine="0"/>
        <w:jc w:val="both"/>
        <w:rPr>
          <w:b/>
          <w:sz w:val="22"/>
        </w:rPr>
      </w:pPr>
      <w:r>
        <w:rPr>
          <w:b/>
          <w:sz w:val="22"/>
        </w:rPr>
        <w:t>3.2.2.1 .1 METHODOLOGICAL ISSUES</w:t>
      </w:r>
    </w:p>
    <w:p>
      <w:pPr>
        <w:pStyle w:val="BodyText"/>
        <w:ind w:left="219" w:right="265"/>
        <w:jc w:val="both"/>
      </w:pPr>
      <w:r>
        <w:rPr/>
        <w:t>This section presents </w:t>
      </w:r>
      <w:r>
        <w:rPr>
          <w:i/>
        </w:rPr>
        <w:t>good practice </w:t>
      </w:r>
      <w:r>
        <w:rPr/>
        <w:t>approach for calculation emissions and removals of CO</w:t>
      </w:r>
      <w:r>
        <w:rPr>
          <w:vertAlign w:val="subscript"/>
        </w:rPr>
        <w:t>2</w:t>
      </w:r>
      <w:r>
        <w:rPr>
          <w:vertAlign w:val="baseline"/>
        </w:rPr>
        <w:t> by changes in biomass on managed lands converted to forest land. This section covers the reporting categories of the </w:t>
      </w:r>
      <w:r>
        <w:rPr>
          <w:i/>
          <w:vertAlign w:val="baseline"/>
        </w:rPr>
        <w:t>IPCC Guidelines </w:t>
      </w:r>
      <w:r>
        <w:rPr>
          <w:vertAlign w:val="baseline"/>
        </w:rPr>
        <w:t>“Changes in Forest and Other Woody Biomass Stocks” and “Abandonment of Managed Lands” as applied to new forest land.</w:t>
      </w:r>
    </w:p>
    <w:p>
      <w:pPr>
        <w:pStyle w:val="BodyText"/>
        <w:rPr>
          <w:sz w:val="21"/>
        </w:rPr>
      </w:pPr>
    </w:p>
    <w:p>
      <w:pPr>
        <w:pStyle w:val="Heading6"/>
        <w:tabs>
          <w:tab w:pos="1659" w:val="left" w:leader="none"/>
        </w:tabs>
        <w:ind w:left="219"/>
      </w:pPr>
      <w:r>
        <w:rPr>
          <w:spacing w:val="16"/>
        </w:rPr>
        <w:t>3.2.2.1</w:t>
      </w:r>
      <w:r>
        <w:rPr>
          <w:spacing w:val="-34"/>
        </w:rPr>
        <w:t> </w:t>
      </w:r>
      <w:r>
        <w:rPr>
          <w:spacing w:val="14"/>
        </w:rPr>
        <w:t>.1.1</w:t>
        <w:tab/>
      </w:r>
      <w:r>
        <w:rPr>
          <w:spacing w:val="15"/>
        </w:rPr>
        <w:t>Choice </w:t>
      </w:r>
      <w:r>
        <w:rPr>
          <w:spacing w:val="9"/>
        </w:rPr>
        <w:t>of</w:t>
      </w:r>
      <w:r>
        <w:rPr>
          <w:spacing w:val="-5"/>
        </w:rPr>
        <w:t> </w:t>
      </w:r>
      <w:r>
        <w:rPr>
          <w:spacing w:val="19"/>
        </w:rPr>
        <w:t>Method</w:t>
      </w:r>
    </w:p>
    <w:p>
      <w:pPr>
        <w:pStyle w:val="BodyText"/>
        <w:spacing w:before="56"/>
        <w:ind w:left="219" w:right="264"/>
        <w:jc w:val="both"/>
      </w:pPr>
      <w:r>
        <w:rPr/>
        <w:t>Based on activity data and resources available, there are three tier methods that can be used by greenhouse gas inventory preparers to estimate changes in biomass stocks. The decision tree in Figure 3.1.2 illustrates </w:t>
      </w:r>
      <w:r>
        <w:rPr>
          <w:i/>
        </w:rPr>
        <w:t>good practice </w:t>
      </w:r>
      <w:r>
        <w:rPr/>
        <w:t>in choosing a method to calculate CO</w:t>
      </w:r>
      <w:r>
        <w:rPr>
          <w:vertAlign w:val="subscript"/>
        </w:rPr>
        <w:t>2</w:t>
      </w:r>
      <w:r>
        <w:rPr>
          <w:vertAlign w:val="baseline"/>
        </w:rPr>
        <w:t> removals and emissions in biomass on lands converted to forests.</w:t>
      </w:r>
    </w:p>
    <w:p>
      <w:pPr>
        <w:pStyle w:val="BodyText"/>
        <w:spacing w:before="119"/>
        <w:ind w:left="219" w:right="267"/>
        <w:jc w:val="both"/>
      </w:pPr>
      <w:r>
        <w:rPr>
          <w:b/>
        </w:rPr>
        <w:t>Tier 1:  </w:t>
      </w:r>
      <w:r>
        <w:rPr/>
        <w:t>Annual changes in carbon stocks in living biomass are estimated following default approach in the  </w:t>
      </w:r>
      <w:r>
        <w:rPr>
          <w:i/>
        </w:rPr>
        <w:t>IPCC Guidelines</w:t>
      </w:r>
      <w:r>
        <w:rPr/>
        <w:t>. Changes in carbon stocks in living biomass on land converted to forest through artificial and natural regeneration are estimated with the use of Equation</w:t>
      </w:r>
      <w:r>
        <w:rPr>
          <w:spacing w:val="1"/>
        </w:rPr>
        <w:t> </w:t>
      </w:r>
      <w:r>
        <w:rPr/>
        <w:t>3.2.22:</w:t>
      </w:r>
    </w:p>
    <w:p>
      <w:pPr>
        <w:pStyle w:val="BodyText"/>
        <w:spacing w:before="3"/>
        <w:rPr>
          <w:sz w:val="11"/>
        </w:rPr>
      </w:pPr>
      <w:r>
        <w:rPr/>
        <w:pict>
          <v:shape style="position:absolute;margin-left:91.960999pt;margin-top:9.17418pt;width:411.5pt;height:64.45pt;mso-position-horizontal-relative:page;mso-position-vertical-relative:paragraph;z-index:5264;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3.2.22</w:t>
                  </w:r>
                </w:p>
                <w:p>
                  <w:pPr>
                    <w:spacing w:line="229" w:lineRule="exact" w:before="0"/>
                    <w:ind w:left="66" w:right="68" w:firstLine="0"/>
                    <w:jc w:val="center"/>
                    <w:rPr>
                      <w:b/>
                      <w:sz w:val="16"/>
                    </w:rPr>
                  </w:pPr>
                  <w:r>
                    <w:rPr>
                      <w:b/>
                      <w:sz w:val="20"/>
                    </w:rPr>
                    <w:t>A</w:t>
                  </w:r>
                  <w:r>
                    <w:rPr>
                      <w:b/>
                      <w:sz w:val="16"/>
                    </w:rPr>
                    <w:t>NNUAL CHANGE IN CARBON STOCKS IN LIVING BIOMASS IN LAND CONVERTED TO FOREST LAND</w:t>
                  </w:r>
                </w:p>
                <w:p>
                  <w:pPr>
                    <w:spacing w:before="0"/>
                    <w:ind w:left="68" w:right="68" w:firstLine="0"/>
                    <w:jc w:val="center"/>
                    <w:rPr>
                      <w:b/>
                      <w:sz w:val="20"/>
                    </w:rPr>
                  </w:pPr>
                  <w:r>
                    <w:rPr>
                      <w:b/>
                      <w:sz w:val="20"/>
                    </w:rPr>
                    <w:t>(T</w:t>
                  </w:r>
                  <w:r>
                    <w:rPr>
                      <w:b/>
                      <w:sz w:val="16"/>
                    </w:rPr>
                    <w:t>IER </w:t>
                  </w:r>
                  <w:r>
                    <w:rPr>
                      <w:b/>
                      <w:sz w:val="20"/>
                    </w:rPr>
                    <w:t>1)</w:t>
                  </w:r>
                </w:p>
                <w:p>
                  <w:pPr>
                    <w:spacing w:before="81"/>
                    <w:ind w:left="70" w:right="68" w:firstLine="0"/>
                    <w:jc w:val="center"/>
                    <w:rPr>
                      <w:sz w:val="13"/>
                    </w:rPr>
                  </w:pPr>
                  <w:r>
                    <w:rPr>
                      <w:position w:val="9"/>
                      <w:sz w:val="20"/>
                    </w:rPr>
                    <w:t>∆C</w:t>
                  </w:r>
                  <w:r>
                    <w:rPr>
                      <w:position w:val="6"/>
                      <w:sz w:val="13"/>
                    </w:rPr>
                    <w:t>LF</w:t>
                  </w:r>
                  <w:r>
                    <w:rPr>
                      <w:sz w:val="13"/>
                    </w:rPr>
                    <w:t>LB  </w:t>
                  </w:r>
                  <w:r>
                    <w:rPr>
                      <w:position w:val="9"/>
                      <w:sz w:val="20"/>
                    </w:rPr>
                    <w:t>= ∆C</w:t>
                  </w:r>
                  <w:r>
                    <w:rPr>
                      <w:position w:val="6"/>
                      <w:sz w:val="13"/>
                    </w:rPr>
                    <w:t>LF</w:t>
                  </w:r>
                  <w:r>
                    <w:rPr>
                      <w:sz w:val="13"/>
                    </w:rPr>
                    <w:t>GROWTH  </w:t>
                  </w:r>
                  <w:r>
                    <w:rPr>
                      <w:position w:val="9"/>
                      <w:sz w:val="20"/>
                    </w:rPr>
                    <w:t>– ∆C</w:t>
                  </w:r>
                  <w:r>
                    <w:rPr>
                      <w:position w:val="6"/>
                      <w:sz w:val="13"/>
                    </w:rPr>
                    <w:t>LF</w:t>
                  </w:r>
                  <w:r>
                    <w:rPr>
                      <w:sz w:val="13"/>
                    </w:rPr>
                    <w:t>LOSS</w:t>
                  </w:r>
                </w:p>
              </w:txbxContent>
            </v:textbox>
            <v:stroke dashstyle="solid"/>
            <w10:wrap type="topAndBottom"/>
          </v:shape>
        </w:pict>
      </w:r>
    </w:p>
    <w:p>
      <w:pPr>
        <w:pStyle w:val="BodyText"/>
        <w:spacing w:before="4"/>
        <w:ind w:left="219"/>
      </w:pPr>
      <w:r>
        <w:rPr/>
        <w:t>Where:</w:t>
      </w:r>
    </w:p>
    <w:p>
      <w:pPr>
        <w:pStyle w:val="BodyText"/>
        <w:tabs>
          <w:tab w:pos="1390" w:val="left" w:leader="none"/>
        </w:tabs>
        <w:spacing w:line="193" w:lineRule="exact" w:before="121"/>
        <w:ind w:left="785"/>
      </w:pPr>
      <w:r>
        <w:rPr/>
        <w:pict>
          <v:shape style="position:absolute;margin-left:112.120598pt;margin-top:11.171877pt;width:7.35pt;height:7.2pt;mso-position-horizontal-relative:page;mso-position-vertical-relative:paragraph;z-index:-2448784" type="#_x0000_t202" filled="false" stroked="false">
            <v:textbox inset="0,0,0,0">
              <w:txbxContent>
                <w:p>
                  <w:pPr>
                    <w:spacing w:line="144" w:lineRule="exact" w:before="0"/>
                    <w:ind w:left="0" w:right="0" w:firstLine="0"/>
                    <w:jc w:val="left"/>
                    <w:rPr>
                      <w:sz w:val="13"/>
                    </w:rPr>
                  </w:pPr>
                  <w:r>
                    <w:rPr>
                      <w:spacing w:val="-3"/>
                      <w:sz w:val="13"/>
                    </w:rPr>
                    <w:t>LF</w:t>
                  </w:r>
                </w:p>
              </w:txbxContent>
            </v:textbox>
            <w10:wrap type="none"/>
          </v:shape>
        </w:pict>
      </w:r>
      <w:r>
        <w:rPr/>
        <w:t>∆C</w:t>
        <w:tab/>
        <w:t>= annual change in carbon stocks in living biomass in land converted to forest land, tonnes C</w:t>
      </w:r>
      <w:r>
        <w:rPr>
          <w:spacing w:val="-30"/>
        </w:rPr>
        <w:t> </w:t>
      </w:r>
      <w:r>
        <w:rPr/>
        <w:t>yr</w:t>
      </w:r>
      <w:r>
        <w:rPr>
          <w:vertAlign w:val="superscript"/>
        </w:rPr>
        <w:t>-1</w:t>
      </w:r>
    </w:p>
    <w:p>
      <w:pPr>
        <w:spacing w:line="113" w:lineRule="exact" w:before="0"/>
        <w:ind w:left="1193" w:right="0" w:firstLine="0"/>
        <w:jc w:val="left"/>
        <w:rPr>
          <w:sz w:val="13"/>
        </w:rPr>
      </w:pPr>
      <w:r>
        <w:rPr>
          <w:sz w:val="13"/>
        </w:rPr>
        <w:t>LB</w:t>
      </w:r>
    </w:p>
    <w:p>
      <w:pPr>
        <w:spacing w:after="0" w:line="113" w:lineRule="exact"/>
        <w:jc w:val="left"/>
        <w:rPr>
          <w:sz w:val="13"/>
        </w:rPr>
        <w:sectPr>
          <w:pgSz w:w="11900" w:h="16840"/>
          <w:pgMar w:header="230" w:footer="408" w:top="560" w:bottom="600" w:left="1200" w:right="1140"/>
        </w:sectPr>
      </w:pPr>
    </w:p>
    <w:p>
      <w:pPr>
        <w:pStyle w:val="BodyText"/>
        <w:spacing w:before="121"/>
        <w:ind w:left="785"/>
      </w:pPr>
      <w:r>
        <w:rPr>
          <w:w w:val="95"/>
        </w:rPr>
        <w:t>∆C</w:t>
      </w:r>
      <w:r>
        <w:rPr>
          <w:w w:val="95"/>
          <w:vertAlign w:val="subscript"/>
        </w:rPr>
        <w:t>LF</w:t>
      </w:r>
    </w:p>
    <w:p>
      <w:pPr>
        <w:pStyle w:val="BodyText"/>
        <w:rPr>
          <w:sz w:val="14"/>
        </w:rPr>
      </w:pPr>
      <w:r>
        <w:rPr/>
        <w:br w:type="column"/>
      </w:r>
      <w:r>
        <w:rPr>
          <w:sz w:val="14"/>
        </w:rPr>
      </w:r>
    </w:p>
    <w:p>
      <w:pPr>
        <w:spacing w:before="116"/>
        <w:ind w:left="-38" w:right="0" w:firstLine="0"/>
        <w:jc w:val="left"/>
        <w:rPr>
          <w:sz w:val="13"/>
        </w:rPr>
      </w:pPr>
      <w:r>
        <w:rPr>
          <w:sz w:val="13"/>
        </w:rPr>
        <w:t>GROWTH</w:t>
      </w:r>
    </w:p>
    <w:p>
      <w:pPr>
        <w:pStyle w:val="BodyText"/>
        <w:spacing w:line="300" w:lineRule="auto" w:before="120"/>
        <w:ind w:left="226" w:right="295" w:hanging="212"/>
      </w:pPr>
      <w:r>
        <w:rPr/>
        <w:br w:type="column"/>
      </w:r>
      <w:r>
        <w:rPr>
          <w:rFonts w:ascii="Arial"/>
        </w:rPr>
        <w:t>= </w:t>
      </w:r>
      <w:r>
        <w:rPr/>
        <w:t>annual increase in carbon stocks in living biomass due to growth in land converted to forest land, tonnes C</w:t>
      </w:r>
      <w:r>
        <w:rPr>
          <w:spacing w:val="2"/>
        </w:rPr>
        <w:t> </w:t>
      </w:r>
      <w:r>
        <w:rPr/>
        <w:t>yr</w:t>
      </w:r>
      <w:r>
        <w:rPr>
          <w:vertAlign w:val="superscript"/>
        </w:rPr>
        <w:t>-1</w:t>
      </w:r>
    </w:p>
    <w:p>
      <w:pPr>
        <w:spacing w:after="0" w:line="300" w:lineRule="auto"/>
        <w:sectPr>
          <w:type w:val="continuous"/>
          <w:pgSz w:w="11900" w:h="16840"/>
          <w:pgMar w:top="1060" w:bottom="280" w:left="1200" w:right="1140"/>
          <w:cols w:num="3" w:equalWidth="0">
            <w:col w:w="1189" w:space="40"/>
            <w:col w:w="534" w:space="39"/>
            <w:col w:w="7758"/>
          </w:cols>
        </w:sectPr>
      </w:pPr>
    </w:p>
    <w:p>
      <w:pPr>
        <w:pStyle w:val="BodyText"/>
        <w:spacing w:line="228" w:lineRule="auto" w:before="67"/>
        <w:ind w:left="1750" w:hanging="965"/>
      </w:pPr>
      <w:r>
        <w:rPr/>
        <w:t>∆C</w:t>
      </w:r>
      <w:r>
        <w:rPr>
          <w:vertAlign w:val="subscript"/>
        </w:rPr>
        <w:t>LF</w:t>
      </w:r>
      <w:r>
        <w:rPr>
          <w:position w:val="-8"/>
          <w:sz w:val="13"/>
          <w:vertAlign w:val="baseline"/>
        </w:rPr>
        <w:t>LOSS </w:t>
      </w:r>
      <w:r>
        <w:rPr>
          <w:vertAlign w:val="baseline"/>
        </w:rPr>
        <w:t>= annual decrease in carbon stocks in living biomass due to losses from harvesting, fuel wood gathering and disturbances in land converted to forest, tonnes C yr</w:t>
      </w:r>
      <w:r>
        <w:rPr>
          <w:vertAlign w:val="superscript"/>
        </w:rPr>
        <w:t>-1</w:t>
      </w:r>
    </w:p>
    <w:p>
      <w:pPr>
        <w:pStyle w:val="BodyText"/>
      </w:pPr>
    </w:p>
    <w:p>
      <w:pPr>
        <w:pStyle w:val="BodyText"/>
      </w:pPr>
    </w:p>
    <w:p>
      <w:pPr>
        <w:pStyle w:val="BodyText"/>
        <w:rPr>
          <w:sz w:val="19"/>
        </w:rPr>
      </w:pPr>
      <w:r>
        <w:rPr/>
        <w:pict>
          <v:line style="position:absolute;mso-position-horizontal-relative:page;mso-position-vertical-relative:paragraph;z-index:5288;mso-wrap-distance-left:0;mso-wrap-distance-right:0" from="70.960999pt,13.137825pt" to="214.960999pt,13.137825pt" stroked="true" strokeweight=".48pt" strokecolor="#000000">
            <v:stroke dashstyle="solid"/>
            <w10:wrap type="topAndBottom"/>
          </v:line>
        </w:pict>
      </w:r>
    </w:p>
    <w:p>
      <w:pPr>
        <w:spacing w:before="30"/>
        <w:ind w:left="360" w:right="264" w:hanging="142"/>
        <w:jc w:val="both"/>
        <w:rPr>
          <w:sz w:val="18"/>
        </w:rPr>
      </w:pPr>
      <w:r>
        <w:rPr>
          <w:position w:val="8"/>
          <w:sz w:val="12"/>
        </w:rPr>
        <w:t>6 </w:t>
      </w:r>
      <w:r>
        <w:rPr>
          <w:sz w:val="18"/>
        </w:rPr>
        <w:t>The default assumption in the </w:t>
      </w:r>
      <w:r>
        <w:rPr>
          <w:i/>
          <w:sz w:val="18"/>
        </w:rPr>
        <w:t>IPCC Guidelines </w:t>
      </w:r>
      <w:r>
        <w:rPr>
          <w:sz w:val="18"/>
        </w:rPr>
        <w:t>is that carbon does not accumulate in harvested wood products (HWP) pools, though countries may report on HWP pools if they can document that existing stocks of long term forest products are in fact increasing (Box 5 of the </w:t>
      </w:r>
      <w:r>
        <w:rPr>
          <w:i/>
          <w:sz w:val="18"/>
        </w:rPr>
        <w:t>IPCC Guidelines</w:t>
      </w:r>
      <w:r>
        <w:rPr>
          <w:sz w:val="18"/>
        </w:rPr>
        <w:t>). Future treatment of HWP is under discussion by the UNFCCC (i.e. the Conference of the Parties (COP) and COP7 decided that any changes to the treatment of HWP shall be in accordance with future decisions of the COP [Decision 11/CP.7 para 4]). With this background, discussions on methodological issues for HWP are placed in Appendix</w:t>
      </w:r>
      <w:r>
        <w:rPr>
          <w:spacing w:val="-2"/>
          <w:sz w:val="18"/>
        </w:rPr>
        <w:t> </w:t>
      </w:r>
      <w:r>
        <w:rPr>
          <w:sz w:val="18"/>
        </w:rPr>
        <w:t>3a.1</w:t>
      </w:r>
    </w:p>
    <w:p>
      <w:pPr>
        <w:spacing w:after="0"/>
        <w:jc w:val="both"/>
        <w:rPr>
          <w:sz w:val="18"/>
        </w:rPr>
        <w:sectPr>
          <w:type w:val="continuous"/>
          <w:pgSz w:w="11900" w:h="16840"/>
          <w:pgMar w:top="1060" w:bottom="280" w:left="1200" w:right="1140"/>
        </w:sectPr>
      </w:pPr>
    </w:p>
    <w:p>
      <w:pPr>
        <w:pStyle w:val="BodyText"/>
      </w:pPr>
    </w:p>
    <w:p>
      <w:pPr>
        <w:pStyle w:val="BodyText"/>
        <w:spacing w:before="2"/>
        <w:rPr>
          <w:sz w:val="18"/>
        </w:rPr>
      </w:pPr>
    </w:p>
    <w:p>
      <w:pPr>
        <w:pStyle w:val="BodyText"/>
        <w:ind w:left="219" w:right="266"/>
        <w:jc w:val="both"/>
      </w:pPr>
      <w:r>
        <w:rPr/>
        <w:t>Tier 1 can be applied even when previous land uses are not known, which may be the case if areas are estimated using Approach 1 or 2 from Chapter 2. It uses default parameters that are provided in Annex 3A.1 (Biomass Default Tables).</w:t>
      </w:r>
    </w:p>
    <w:p>
      <w:pPr>
        <w:spacing w:after="0"/>
        <w:jc w:val="both"/>
        <w:sectPr>
          <w:pgSz w:w="11900" w:h="16840"/>
          <w:pgMar w:header="230" w:footer="408" w:top="560" w:bottom="600" w:left="1200" w:right="1140"/>
        </w:sectPr>
      </w:pPr>
    </w:p>
    <w:p>
      <w:pPr>
        <w:spacing w:before="126"/>
        <w:ind w:left="219" w:right="0" w:firstLine="0"/>
        <w:jc w:val="left"/>
        <w:rPr>
          <w:b/>
          <w:sz w:val="20"/>
        </w:rPr>
      </w:pPr>
      <w:r>
        <w:rPr>
          <w:b/>
          <w:sz w:val="20"/>
        </w:rPr>
        <w:t>Step 1: Annual Increase in Carbon Stocks in Living Biomass, ∆C</w:t>
      </w:r>
      <w:r>
        <w:rPr>
          <w:b/>
          <w:sz w:val="20"/>
          <w:vertAlign w:val="subscript"/>
        </w:rPr>
        <w:t>LF</w:t>
      </w:r>
    </w:p>
    <w:p>
      <w:pPr>
        <w:pStyle w:val="BodyText"/>
        <w:spacing w:line="193" w:lineRule="exact" w:before="126"/>
        <w:ind w:left="572"/>
      </w:pPr>
      <w:r>
        <w:rPr/>
        <w:br w:type="column"/>
      </w:r>
      <w:r>
        <w:rPr>
          <w:b/>
        </w:rPr>
        <w:t>. </w:t>
      </w:r>
      <w:r>
        <w:rPr/>
        <w:t>The method follows Equation</w:t>
      </w:r>
    </w:p>
    <w:p>
      <w:pPr>
        <w:spacing w:line="102" w:lineRule="exact" w:before="0"/>
        <w:ind w:left="-38" w:right="0" w:firstLine="0"/>
        <w:jc w:val="left"/>
        <w:rPr>
          <w:b/>
          <w:sz w:val="13"/>
        </w:rPr>
      </w:pPr>
      <w:r>
        <w:rPr>
          <w:b/>
          <w:sz w:val="13"/>
        </w:rPr>
        <w:t>GROWTH</w:t>
      </w:r>
    </w:p>
    <w:p>
      <w:pPr>
        <w:spacing w:after="0" w:line="102" w:lineRule="exact"/>
        <w:jc w:val="left"/>
        <w:rPr>
          <w:sz w:val="13"/>
        </w:rPr>
        <w:sectPr>
          <w:type w:val="continuous"/>
          <w:pgSz w:w="11900" w:h="16840"/>
          <w:pgMar w:top="1060" w:bottom="280" w:left="1200" w:right="1140"/>
          <w:cols w:num="2" w:equalWidth="0">
            <w:col w:w="6121" w:space="40"/>
            <w:col w:w="3399"/>
          </w:cols>
        </w:sectPr>
      </w:pPr>
    </w:p>
    <w:p>
      <w:pPr>
        <w:pStyle w:val="BodyText"/>
        <w:ind w:left="219" w:right="267"/>
        <w:jc w:val="both"/>
      </w:pPr>
      <w:r>
        <w:rPr/>
        <w:t>3.2.4, Section 3.2.1 Forest land Remaining Forest land, which refers to Category 5A “Changes in Forest and Other Woody Biomass Stocks” of the </w:t>
      </w:r>
      <w:r>
        <w:rPr>
          <w:i/>
        </w:rPr>
        <w:t>IPCC Guidelines</w:t>
      </w:r>
      <w:r>
        <w:rPr/>
        <w:t>. As growth rate of a forest strongly depends on management regime, a distinction is made between forests that are managed intensively (e.g. plantation forestry with intensive site preparation and fertilisation) and extensively (e.g. naturally regenerated forests with minimum human intervention). The calculations are made according to Equation 3.2.23:</w:t>
      </w:r>
    </w:p>
    <w:p>
      <w:pPr>
        <w:pStyle w:val="BodyText"/>
        <w:spacing w:before="5"/>
        <w:rPr>
          <w:sz w:val="12"/>
        </w:rPr>
      </w:pPr>
    </w:p>
    <w:p>
      <w:pPr>
        <w:pStyle w:val="BodyText"/>
        <w:ind w:left="624"/>
      </w:pPr>
      <w:r>
        <w:rPr/>
        <w:pict>
          <v:group style="width:412.95pt;height:66.6pt;mso-position-horizontal-relative:char;mso-position-vertical-relative:line" coordorigin="0,0" coordsize="8259,1332">
            <v:line style="position:absolute" from="29,14" to="8230,14" stroked="true" strokeweight="1.44pt" strokecolor="#000000">
              <v:stroke dashstyle="solid"/>
            </v:line>
            <v:line style="position:absolute" from="29,1318" to="8230,1318" stroked="true" strokeweight="1.44pt" strokecolor="#000000">
              <v:stroke dashstyle="solid"/>
            </v:line>
            <v:line style="position:absolute" from="14,0" to="14,1332" stroked="true" strokeweight="1.44pt" strokecolor="#000000">
              <v:stroke dashstyle="solid"/>
            </v:line>
            <v:line style="position:absolute" from="8244,0" to="8244,1332" stroked="true" strokeweight="1.44pt" strokecolor="#000000">
              <v:stroke dashstyle="solid"/>
            </v:line>
            <v:shape style="position:absolute;left:6912;top:1072;width:114;height:144" type="#_x0000_t202" filled="false" stroked="false">
              <v:textbox inset="0,0,0,0">
                <w:txbxContent>
                  <w:p>
                    <w:pPr>
                      <w:spacing w:line="144" w:lineRule="exact" w:before="0"/>
                      <w:ind w:left="0" w:right="0" w:firstLine="0"/>
                      <w:jc w:val="left"/>
                      <w:rPr>
                        <w:i/>
                        <w:sz w:val="13"/>
                      </w:rPr>
                    </w:pPr>
                    <w:r>
                      <w:rPr>
                        <w:i/>
                        <w:w w:val="99"/>
                        <w:sz w:val="13"/>
                      </w:rPr>
                      <w:t>m</w:t>
                    </w:r>
                  </w:p>
                </w:txbxContent>
              </v:textbox>
              <w10:wrap type="none"/>
            </v:shape>
            <v:shape style="position:absolute;left:5510;top:1072;width:114;height:144" type="#_x0000_t202" filled="false" stroked="false">
              <v:textbox inset="0,0,0,0">
                <w:txbxContent>
                  <w:p>
                    <w:pPr>
                      <w:spacing w:line="144" w:lineRule="exact" w:before="0"/>
                      <w:ind w:left="0" w:right="0" w:firstLine="0"/>
                      <w:jc w:val="left"/>
                      <w:rPr>
                        <w:i/>
                        <w:sz w:val="13"/>
                      </w:rPr>
                    </w:pPr>
                    <w:r>
                      <w:rPr>
                        <w:i/>
                        <w:w w:val="99"/>
                        <w:sz w:val="13"/>
                      </w:rPr>
                      <w:t>m</w:t>
                    </w:r>
                  </w:p>
                </w:txbxContent>
              </v:textbox>
              <w10:wrap type="none"/>
            </v:shape>
            <v:shape style="position:absolute;left:4886;top:919;width:2673;height:237" type="#_x0000_t202" filled="false" stroked="false">
              <v:textbox inset="0,0,0,0">
                <w:txbxContent>
                  <w:p>
                    <w:pPr>
                      <w:spacing w:line="237" w:lineRule="exact" w:before="0"/>
                      <w:ind w:left="0" w:right="0" w:firstLine="0"/>
                      <w:jc w:val="left"/>
                      <w:rPr>
                        <w:sz w:val="20"/>
                      </w:rPr>
                    </w:pPr>
                    <w:r>
                      <w:rPr>
                        <w:sz w:val="13"/>
                      </w:rPr>
                      <w:t>EXT_MAN </w:t>
                    </w:r>
                    <w:r>
                      <w:rPr>
                        <w:position w:val="3"/>
                        <w:sz w:val="20"/>
                      </w:rPr>
                      <w:t>● G</w:t>
                    </w:r>
                    <w:r>
                      <w:rPr>
                        <w:sz w:val="13"/>
                      </w:rPr>
                      <w:t>Total EXT_MAN </w:t>
                    </w:r>
                    <w:r>
                      <w:rPr>
                        <w:position w:val="3"/>
                        <w:sz w:val="20"/>
                      </w:rPr>
                      <w:t>] ● CF</w:t>
                    </w:r>
                  </w:p>
                </w:txbxContent>
              </v:textbox>
              <w10:wrap type="none"/>
            </v:shape>
            <v:shape style="position:absolute;left:4343;top:919;width:565;height:221" type="#_x0000_t202" filled="false" stroked="false">
              <v:textbox inset="0,0,0,0">
                <w:txbxContent>
                  <w:p>
                    <w:pPr>
                      <w:spacing w:line="221" w:lineRule="exact" w:before="0"/>
                      <w:ind w:left="0" w:right="0" w:firstLine="0"/>
                      <w:jc w:val="left"/>
                      <w:rPr>
                        <w:sz w:val="20"/>
                      </w:rPr>
                    </w:pPr>
                    <w:r>
                      <w:rPr>
                        <w:sz w:val="20"/>
                      </w:rPr>
                      <w:t>+ </w:t>
                    </w:r>
                    <w:r>
                      <w:rPr>
                        <w:rFonts w:ascii="Arial" w:hAnsi="Arial"/>
                        <w:sz w:val="20"/>
                      </w:rPr>
                      <w:t>∑ </w:t>
                    </w:r>
                    <w:r>
                      <w:rPr>
                        <w:sz w:val="20"/>
                      </w:rPr>
                      <w:t>A</w:t>
                    </w:r>
                  </w:p>
                </w:txbxContent>
              </v:textbox>
              <w10:wrap type="none"/>
            </v:shape>
            <v:shape style="position:absolute;left:4236;top:1072;width:527;height:144" type="#_x0000_t202" filled="false" stroked="false">
              <v:textbox inset="0,0,0,0">
                <w:txbxContent>
                  <w:p>
                    <w:pPr>
                      <w:tabs>
                        <w:tab w:pos="412" w:val="left" w:leader="none"/>
                      </w:tabs>
                      <w:spacing w:line="144" w:lineRule="exact" w:before="0"/>
                      <w:ind w:left="0" w:right="0" w:firstLine="0"/>
                      <w:jc w:val="left"/>
                      <w:rPr>
                        <w:i/>
                        <w:sz w:val="13"/>
                      </w:rPr>
                    </w:pPr>
                    <w:r>
                      <w:rPr>
                        <w:i/>
                        <w:sz w:val="13"/>
                      </w:rPr>
                      <w:t>k</w:t>
                      <w:tab/>
                      <w:t>m</w:t>
                    </w:r>
                  </w:p>
                </w:txbxContent>
              </v:textbox>
              <w10:wrap type="none"/>
            </v:shape>
            <v:shape style="position:absolute;left:3012;top:919;width:337;height:221" type="#_x0000_t202" filled="false" stroked="false">
              <v:textbox inset="0,0,0,0">
                <w:txbxContent>
                  <w:p>
                    <w:pPr>
                      <w:numPr>
                        <w:ilvl w:val="0"/>
                        <w:numId w:val="49"/>
                      </w:numPr>
                      <w:tabs>
                        <w:tab w:pos="173" w:val="left" w:leader="none"/>
                      </w:tabs>
                      <w:spacing w:line="221" w:lineRule="exact" w:before="0"/>
                      <w:ind w:left="172" w:right="0" w:hanging="172"/>
                      <w:jc w:val="left"/>
                      <w:rPr>
                        <w:sz w:val="20"/>
                      </w:rPr>
                    </w:pPr>
                    <w:r>
                      <w:rPr>
                        <w:w w:val="99"/>
                        <w:sz w:val="20"/>
                      </w:rPr>
                      <w:t>G</w:t>
                    </w:r>
                    <w:r>
                      <w:rPr>
                        <w:sz w:val="20"/>
                      </w:rPr>
                    </w:r>
                  </w:p>
                </w:txbxContent>
              </v:textbox>
              <w10:wrap type="none"/>
            </v:shape>
            <v:shape style="position:absolute;left:2901;top:1072;width:78;height:144" type="#_x0000_t202" filled="false" stroked="false">
              <v:textbox inset="0,0,0,0">
                <w:txbxContent>
                  <w:p>
                    <w:pPr>
                      <w:spacing w:line="144" w:lineRule="exact" w:before="0"/>
                      <w:ind w:left="0" w:right="0" w:firstLine="0"/>
                      <w:jc w:val="left"/>
                      <w:rPr>
                        <w:i/>
                        <w:sz w:val="13"/>
                      </w:rPr>
                    </w:pPr>
                    <w:r>
                      <w:rPr>
                        <w:i/>
                        <w:w w:val="99"/>
                        <w:sz w:val="13"/>
                      </w:rPr>
                      <w:t>k</w:t>
                    </w:r>
                  </w:p>
                </w:txbxContent>
              </v:textbox>
              <w10:wrap type="none"/>
            </v:shape>
            <v:shape style="position:absolute;left:2320;top:1012;width:1936;height:144" type="#_x0000_t202" filled="false" stroked="false">
              <v:textbox inset="0,0,0,0">
                <w:txbxContent>
                  <w:p>
                    <w:pPr>
                      <w:tabs>
                        <w:tab w:pos="1007" w:val="left" w:leader="none"/>
                      </w:tabs>
                      <w:spacing w:line="144" w:lineRule="exact" w:before="0"/>
                      <w:ind w:left="0" w:right="0" w:firstLine="0"/>
                      <w:jc w:val="left"/>
                      <w:rPr>
                        <w:sz w:val="13"/>
                      </w:rPr>
                    </w:pPr>
                    <w:r>
                      <w:rPr>
                        <w:sz w:val="13"/>
                      </w:rPr>
                      <w:t>INT_MAN</w:t>
                      <w:tab/>
                      <w:t>Total</w:t>
                    </w:r>
                    <w:r>
                      <w:rPr>
                        <w:spacing w:val="14"/>
                        <w:sz w:val="13"/>
                      </w:rPr>
                      <w:t> </w:t>
                    </w:r>
                    <w:r>
                      <w:rPr>
                        <w:sz w:val="13"/>
                      </w:rPr>
                      <w:t>INT_MAN</w:t>
                    </w:r>
                  </w:p>
                </w:txbxContent>
              </v:textbox>
              <w10:wrap type="none"/>
            </v:shape>
            <v:shape style="position:absolute;left:1744;top:919;width:596;height:221" type="#_x0000_t202" filled="false" stroked="false">
              <v:textbox inset="0,0,0,0">
                <w:txbxContent>
                  <w:p>
                    <w:pPr>
                      <w:spacing w:line="221" w:lineRule="exact" w:before="0"/>
                      <w:ind w:left="0" w:right="0" w:firstLine="0"/>
                      <w:jc w:val="left"/>
                      <w:rPr>
                        <w:sz w:val="20"/>
                      </w:rPr>
                    </w:pPr>
                    <w:r>
                      <w:rPr>
                        <w:sz w:val="20"/>
                      </w:rPr>
                      <w:t>= [</w:t>
                    </w:r>
                    <w:r>
                      <w:rPr>
                        <w:rFonts w:ascii="Arial" w:hAnsi="Arial"/>
                        <w:sz w:val="20"/>
                      </w:rPr>
                      <w:t>∑ </w:t>
                    </w:r>
                    <w:r>
                      <w:rPr>
                        <w:sz w:val="20"/>
                      </w:rPr>
                      <w:t>A</w:t>
                    </w:r>
                  </w:p>
                </w:txbxContent>
              </v:textbox>
              <w10:wrap type="none"/>
            </v:shape>
            <v:shape style="position:absolute;left:1123;top:1072;width:1072;height:144" type="#_x0000_t202" filled="false" stroked="false">
              <v:textbox inset="0,0,0,0">
                <w:txbxContent>
                  <w:p>
                    <w:pPr>
                      <w:tabs>
                        <w:tab w:pos="993" w:val="left" w:leader="none"/>
                      </w:tabs>
                      <w:spacing w:line="144" w:lineRule="exact" w:before="0"/>
                      <w:ind w:left="0" w:right="0" w:firstLine="0"/>
                      <w:jc w:val="left"/>
                      <w:rPr>
                        <w:i/>
                        <w:sz w:val="13"/>
                      </w:rPr>
                    </w:pPr>
                    <w:r>
                      <w:rPr>
                        <w:sz w:val="13"/>
                      </w:rPr>
                      <w:t>GROWTH</w:t>
                      <w:tab/>
                    </w:r>
                    <w:r>
                      <w:rPr>
                        <w:i/>
                        <w:sz w:val="13"/>
                      </w:rPr>
                      <w:t>k</w:t>
                    </w:r>
                  </w:p>
                </w:txbxContent>
              </v:textbox>
              <w10:wrap type="none"/>
            </v:shape>
            <v:shape style="position:absolute;left:717;top:919;width:424;height:237" type="#_x0000_t202" filled="false" stroked="false">
              <v:textbox inset="0,0,0,0">
                <w:txbxContent>
                  <w:p>
                    <w:pPr>
                      <w:spacing w:line="221" w:lineRule="exact" w:before="0"/>
                      <w:ind w:left="0" w:right="0" w:firstLine="0"/>
                      <w:jc w:val="left"/>
                      <w:rPr>
                        <w:sz w:val="20"/>
                      </w:rPr>
                    </w:pPr>
                    <w:r>
                      <w:rPr>
                        <w:sz w:val="20"/>
                      </w:rPr>
                      <w:t>∆C</w:t>
                    </w:r>
                    <w:r>
                      <w:rPr>
                        <w:sz w:val="20"/>
                        <w:vertAlign w:val="subscript"/>
                      </w:rPr>
                      <w:t>LF</w:t>
                    </w:r>
                  </w:p>
                </w:txbxContent>
              </v:textbox>
              <w10:wrap type="none"/>
            </v:shape>
            <v:shape style="position:absolute;left:1706;top:136;width:4865;height:671" type="#_x0000_t202" filled="false" stroked="false">
              <v:textbox inset="0,0,0,0">
                <w:txbxContent>
                  <w:p>
                    <w:pPr>
                      <w:spacing w:line="221" w:lineRule="exact" w:before="0"/>
                      <w:ind w:left="0" w:right="20" w:firstLine="0"/>
                      <w:jc w:val="center"/>
                      <w:rPr>
                        <w:b/>
                        <w:sz w:val="20"/>
                      </w:rPr>
                    </w:pPr>
                    <w:r>
                      <w:rPr>
                        <w:b/>
                        <w:sz w:val="20"/>
                      </w:rPr>
                      <w:t>E</w:t>
                    </w:r>
                    <w:r>
                      <w:rPr>
                        <w:b/>
                        <w:sz w:val="16"/>
                      </w:rPr>
                      <w:t>QUATION </w:t>
                    </w:r>
                    <w:r>
                      <w:rPr>
                        <w:b/>
                        <w:sz w:val="20"/>
                      </w:rPr>
                      <w:t>3.2.23</w:t>
                    </w:r>
                  </w:p>
                  <w:p>
                    <w:pPr>
                      <w:spacing w:line="276" w:lineRule="auto" w:before="0"/>
                      <w:ind w:left="0" w:right="18" w:firstLine="0"/>
                      <w:jc w:val="center"/>
                      <w:rPr>
                        <w:b/>
                        <w:sz w:val="16"/>
                      </w:rPr>
                    </w:pPr>
                    <w:r>
                      <w:rPr>
                        <w:b/>
                        <w:sz w:val="20"/>
                      </w:rPr>
                      <w:t>A</w:t>
                    </w:r>
                    <w:r>
                      <w:rPr>
                        <w:b/>
                        <w:sz w:val="16"/>
                      </w:rPr>
                      <w:t>NNUAL INCREASE IN CARBON STOCKS IN LIVING BIOMASS IN LAND CONVERTED TO FOREST LAND</w:t>
                    </w:r>
                  </w:p>
                </w:txbxContent>
              </v:textbox>
              <w10:wrap type="none"/>
            </v:shape>
          </v:group>
        </w:pict>
      </w:r>
      <w:r>
        <w:rPr/>
      </w:r>
    </w:p>
    <w:p>
      <w:pPr>
        <w:spacing w:after="0"/>
        <w:sectPr>
          <w:type w:val="continuous"/>
          <w:pgSz w:w="11900" w:h="16840"/>
          <w:pgMar w:top="1060" w:bottom="280" w:left="1200" w:right="1140"/>
        </w:sectPr>
      </w:pPr>
    </w:p>
    <w:p>
      <w:pPr>
        <w:pStyle w:val="BodyText"/>
        <w:spacing w:before="1"/>
        <w:ind w:left="219"/>
      </w:pPr>
      <w:r>
        <w:rPr/>
        <w:t>Where:</w:t>
      </w:r>
    </w:p>
    <w:p>
      <w:pPr>
        <w:pStyle w:val="BodyText"/>
        <w:spacing w:before="137"/>
        <w:ind w:left="785"/>
      </w:pPr>
      <w:r>
        <w:rPr>
          <w:w w:val="95"/>
        </w:rPr>
        <w:t>∆C</w:t>
      </w:r>
      <w:r>
        <w:rPr>
          <w:w w:val="95"/>
          <w:vertAlign w:val="subscript"/>
        </w:rPr>
        <w:t>LF</w:t>
      </w:r>
    </w:p>
    <w:p>
      <w:pPr>
        <w:pStyle w:val="BodyText"/>
        <w:rPr>
          <w:sz w:val="14"/>
        </w:rPr>
      </w:pPr>
      <w:r>
        <w:rPr/>
        <w:br w:type="column"/>
      </w:r>
      <w:r>
        <w:rPr>
          <w:sz w:val="14"/>
        </w:rPr>
      </w:r>
    </w:p>
    <w:p>
      <w:pPr>
        <w:pStyle w:val="BodyText"/>
        <w:rPr>
          <w:sz w:val="14"/>
        </w:rPr>
      </w:pPr>
    </w:p>
    <w:p>
      <w:pPr>
        <w:pStyle w:val="BodyText"/>
        <w:spacing w:before="7"/>
        <w:rPr>
          <w:sz w:val="17"/>
        </w:rPr>
      </w:pPr>
    </w:p>
    <w:p>
      <w:pPr>
        <w:spacing w:before="0"/>
        <w:ind w:left="-38" w:right="0" w:firstLine="0"/>
        <w:jc w:val="left"/>
        <w:rPr>
          <w:sz w:val="13"/>
        </w:rPr>
      </w:pPr>
      <w:r>
        <w:rPr>
          <w:sz w:val="13"/>
        </w:rPr>
        <w:t>GROWTH</w:t>
      </w:r>
    </w:p>
    <w:p>
      <w:pPr>
        <w:pStyle w:val="BodyText"/>
        <w:spacing w:before="10"/>
        <w:rPr>
          <w:sz w:val="31"/>
        </w:rPr>
      </w:pPr>
      <w:r>
        <w:rPr/>
        <w:br w:type="column"/>
      </w:r>
      <w:r>
        <w:rPr>
          <w:sz w:val="31"/>
        </w:rPr>
      </w:r>
    </w:p>
    <w:p>
      <w:pPr>
        <w:pStyle w:val="BodyText"/>
        <w:spacing w:line="300" w:lineRule="auto" w:before="1"/>
        <w:ind w:left="288" w:right="295" w:hanging="250"/>
      </w:pPr>
      <w:r>
        <w:rPr>
          <w:rFonts w:ascii="Arial"/>
        </w:rPr>
        <w:t>= </w:t>
      </w:r>
      <w:r>
        <w:rPr/>
        <w:t>annual increase in carbon stocks in living biomass due to growth in land converted to forest land, tonnes C</w:t>
      </w:r>
      <w:r>
        <w:rPr>
          <w:spacing w:val="2"/>
        </w:rPr>
        <w:t> </w:t>
      </w:r>
      <w:r>
        <w:rPr/>
        <w:t>yr</w:t>
      </w:r>
      <w:r>
        <w:rPr>
          <w:vertAlign w:val="superscript"/>
        </w:rPr>
        <w:t>-1</w:t>
      </w:r>
    </w:p>
    <w:p>
      <w:pPr>
        <w:spacing w:after="0" w:line="300" w:lineRule="auto"/>
        <w:sectPr>
          <w:type w:val="continuous"/>
          <w:pgSz w:w="11900" w:h="16840"/>
          <w:pgMar w:top="1060" w:bottom="280" w:left="1200" w:right="1140"/>
          <w:cols w:num="3" w:equalWidth="0">
            <w:col w:w="1189" w:space="40"/>
            <w:col w:w="534" w:space="39"/>
            <w:col w:w="7758"/>
          </w:cols>
        </w:sectPr>
      </w:pPr>
    </w:p>
    <w:p>
      <w:pPr>
        <w:pStyle w:val="BodyText"/>
        <w:spacing w:before="63"/>
        <w:ind w:left="785"/>
      </w:pPr>
      <w:r>
        <w:rPr/>
        <w:t>A</w:t>
      </w:r>
      <w:r>
        <w:rPr>
          <w:vertAlign w:val="subscript"/>
        </w:rPr>
        <w:t>INT_MAN</w:t>
      </w:r>
      <w:r>
        <w:rPr>
          <w:i/>
          <w:position w:val="-8"/>
          <w:sz w:val="13"/>
          <w:vertAlign w:val="baseline"/>
        </w:rPr>
        <w:t>k </w:t>
      </w:r>
      <w:r>
        <w:rPr>
          <w:vertAlign w:val="baseline"/>
        </w:rPr>
        <w:t>= area of land converted to intensively managed forest in condition </w:t>
      </w:r>
      <w:r>
        <w:rPr>
          <w:i/>
          <w:vertAlign w:val="baseline"/>
        </w:rPr>
        <w:t>k </w:t>
      </w:r>
      <w:r>
        <w:rPr>
          <w:vertAlign w:val="baseline"/>
        </w:rPr>
        <w:t>(including plantations), ha</w:t>
      </w:r>
    </w:p>
    <w:p>
      <w:pPr>
        <w:spacing w:after="0"/>
        <w:sectPr>
          <w:type w:val="continuous"/>
          <w:pgSz w:w="11900" w:h="16840"/>
          <w:pgMar w:top="1060" w:bottom="280" w:left="1200" w:right="1140"/>
        </w:sectPr>
      </w:pPr>
    </w:p>
    <w:p>
      <w:pPr>
        <w:spacing w:before="124"/>
        <w:ind w:left="785" w:right="0" w:firstLine="0"/>
        <w:jc w:val="left"/>
        <w:rPr>
          <w:i/>
          <w:sz w:val="13"/>
        </w:rPr>
      </w:pPr>
      <w:r>
        <w:rPr>
          <w:position w:val="3"/>
          <w:sz w:val="20"/>
        </w:rPr>
        <w:t>G</w:t>
      </w:r>
      <w:r>
        <w:rPr>
          <w:sz w:val="13"/>
        </w:rPr>
        <w:t>Total INT_MAN</w:t>
      </w:r>
      <w:r>
        <w:rPr>
          <w:i/>
          <w:position w:val="-5"/>
          <w:sz w:val="13"/>
        </w:rPr>
        <w:t>k</w:t>
      </w:r>
    </w:p>
    <w:p>
      <w:pPr>
        <w:pStyle w:val="BodyText"/>
        <w:spacing w:line="300" w:lineRule="auto" w:before="122"/>
        <w:ind w:left="255" w:hanging="250"/>
      </w:pPr>
      <w:r>
        <w:rPr/>
        <w:br w:type="column"/>
      </w:r>
      <w:r>
        <w:rPr>
          <w:rFonts w:ascii="Arial"/>
        </w:rPr>
        <w:t>= </w:t>
      </w:r>
      <w:r>
        <w:rPr/>
        <w:t>annual growth rate of biomass in intensively managed forest in condition </w:t>
      </w:r>
      <w:r>
        <w:rPr>
          <w:i/>
        </w:rPr>
        <w:t>k </w:t>
      </w:r>
      <w:r>
        <w:rPr/>
        <w:t>(including plantations), tonnes d.m. ha</w:t>
      </w:r>
      <w:r>
        <w:rPr>
          <w:vertAlign w:val="superscript"/>
        </w:rPr>
        <w:t>-1</w:t>
      </w:r>
      <w:r>
        <w:rPr>
          <w:vertAlign w:val="baseline"/>
        </w:rPr>
        <w:t> yr</w:t>
      </w:r>
      <w:r>
        <w:rPr>
          <w:vertAlign w:val="superscript"/>
        </w:rPr>
        <w:t>-1</w:t>
      </w:r>
    </w:p>
    <w:p>
      <w:pPr>
        <w:spacing w:after="0" w:line="300" w:lineRule="auto"/>
        <w:sectPr>
          <w:type w:val="continuous"/>
          <w:pgSz w:w="11900" w:h="16840"/>
          <w:pgMar w:top="1060" w:bottom="280" w:left="1200" w:right="1140"/>
          <w:cols w:num="2" w:equalWidth="0">
            <w:col w:w="1916" w:space="40"/>
            <w:col w:w="7604"/>
          </w:cols>
        </w:sectPr>
      </w:pPr>
    </w:p>
    <w:p>
      <w:pPr>
        <w:pStyle w:val="BodyText"/>
        <w:spacing w:before="61"/>
        <w:ind w:left="785"/>
      </w:pPr>
      <w:r>
        <w:rPr/>
        <w:t>A</w:t>
      </w:r>
      <w:r>
        <w:rPr>
          <w:vertAlign w:val="subscript"/>
        </w:rPr>
        <w:t>EXT_MAN</w:t>
      </w:r>
      <w:r>
        <w:rPr>
          <w:i/>
          <w:position w:val="-8"/>
          <w:sz w:val="13"/>
          <w:vertAlign w:val="baseline"/>
        </w:rPr>
        <w:t>m </w:t>
      </w:r>
      <w:r>
        <w:rPr>
          <w:vertAlign w:val="baseline"/>
        </w:rPr>
        <w:t>= area of land converted to extensively managed forest in condition </w:t>
      </w:r>
      <w:r>
        <w:rPr>
          <w:i/>
          <w:vertAlign w:val="baseline"/>
        </w:rPr>
        <w:t>m</w:t>
      </w:r>
      <w:r>
        <w:rPr>
          <w:vertAlign w:val="baseline"/>
        </w:rPr>
        <w:t>, ha</w:t>
      </w:r>
    </w:p>
    <w:p>
      <w:pPr>
        <w:spacing w:after="0"/>
        <w:sectPr>
          <w:type w:val="continuous"/>
          <w:pgSz w:w="11900" w:h="16840"/>
          <w:pgMar w:top="1060" w:bottom="280" w:left="1200" w:right="1140"/>
        </w:sectPr>
      </w:pPr>
    </w:p>
    <w:p>
      <w:pPr>
        <w:spacing w:before="123"/>
        <w:ind w:left="785" w:right="0" w:firstLine="0"/>
        <w:jc w:val="left"/>
        <w:rPr>
          <w:i/>
          <w:sz w:val="13"/>
        </w:rPr>
      </w:pPr>
      <w:r>
        <w:rPr>
          <w:position w:val="3"/>
          <w:sz w:val="20"/>
        </w:rPr>
        <w:t>G</w:t>
      </w:r>
      <w:r>
        <w:rPr>
          <w:sz w:val="13"/>
        </w:rPr>
        <w:t>Total EXT_MAN</w:t>
      </w:r>
      <w:r>
        <w:rPr>
          <w:i/>
          <w:position w:val="-5"/>
          <w:sz w:val="13"/>
        </w:rPr>
        <w:t>m</w:t>
      </w:r>
    </w:p>
    <w:p>
      <w:pPr>
        <w:pStyle w:val="BodyText"/>
        <w:spacing w:line="300" w:lineRule="auto" w:before="121"/>
        <w:ind w:left="248" w:right="265" w:hanging="214"/>
      </w:pPr>
      <w:r>
        <w:rPr/>
        <w:br w:type="column"/>
      </w:r>
      <w:r>
        <w:rPr>
          <w:rFonts w:ascii="Arial"/>
        </w:rPr>
        <w:t>= </w:t>
      </w:r>
      <w:r>
        <w:rPr/>
        <w:t>annual growth rate of biomass in extensively managed forest in condition </w:t>
      </w:r>
      <w:r>
        <w:rPr>
          <w:i/>
        </w:rPr>
        <w:t>m</w:t>
      </w:r>
      <w:r>
        <w:rPr/>
        <w:t>, tonnes dm ha</w:t>
      </w:r>
      <w:r>
        <w:rPr>
          <w:vertAlign w:val="superscript"/>
        </w:rPr>
        <w:t>-1</w:t>
      </w:r>
      <w:r>
        <w:rPr>
          <w:vertAlign w:val="baseline"/>
        </w:rPr>
        <w:t> yr</w:t>
      </w:r>
      <w:r>
        <w:rPr>
          <w:vertAlign w:val="superscript"/>
        </w:rPr>
        <w:t>-1</w:t>
      </w:r>
      <w:r>
        <w:rPr>
          <w:vertAlign w:val="baseline"/>
        </w:rPr>
        <w:t> (includes natural regeneration)</w:t>
      </w:r>
    </w:p>
    <w:p>
      <w:pPr>
        <w:spacing w:after="0" w:line="300" w:lineRule="auto"/>
        <w:sectPr>
          <w:type w:val="continuous"/>
          <w:pgSz w:w="11900" w:h="16840"/>
          <w:pgMar w:top="1060" w:bottom="280" w:left="1200" w:right="1140"/>
          <w:cols w:num="2" w:equalWidth="0">
            <w:col w:w="1972" w:space="40"/>
            <w:col w:w="7548"/>
          </w:cols>
        </w:sectPr>
      </w:pPr>
    </w:p>
    <w:p>
      <w:pPr>
        <w:pStyle w:val="BodyText"/>
        <w:spacing w:before="64"/>
        <w:ind w:left="1486" w:right="354" w:hanging="701"/>
      </w:pPr>
      <w:r>
        <w:rPr>
          <w:i/>
        </w:rPr>
        <w:t>k</w:t>
      </w:r>
      <w:r>
        <w:rPr/>
        <w:t>, </w:t>
      </w:r>
      <w:r>
        <w:rPr>
          <w:i/>
        </w:rPr>
        <w:t>m </w:t>
      </w:r>
      <w:r>
        <w:rPr/>
        <w:t>= represent the different conditions in which intensively and extensively managed forests are growing</w:t>
      </w:r>
    </w:p>
    <w:p>
      <w:pPr>
        <w:pStyle w:val="BodyText"/>
        <w:spacing w:before="120"/>
        <w:ind w:left="785"/>
      </w:pPr>
      <w:r>
        <w:rPr/>
        <w:t>CF = carbon fraction of dry matter (default = 0.5), tonnes C (tonne d.m.)</w:t>
      </w:r>
      <w:r>
        <w:rPr>
          <w:vertAlign w:val="superscript"/>
        </w:rPr>
        <w:t>-1</w:t>
      </w:r>
    </w:p>
    <w:p>
      <w:pPr>
        <w:pStyle w:val="BodyText"/>
        <w:spacing w:before="4"/>
        <w:rPr>
          <w:sz w:val="30"/>
        </w:rPr>
      </w:pPr>
    </w:p>
    <w:p>
      <w:pPr>
        <w:pStyle w:val="BodyText"/>
        <w:ind w:left="219" w:right="265"/>
        <w:jc w:val="both"/>
      </w:pPr>
      <w:r>
        <w:rPr/>
        <w:t>The annual increment in biomass of both intensively (G</w:t>
      </w:r>
      <w:r>
        <w:rPr>
          <w:vertAlign w:val="subscript"/>
        </w:rPr>
        <w:t>Total</w:t>
      </w:r>
      <w:r>
        <w:rPr>
          <w:vertAlign w:val="baseline"/>
        </w:rPr>
        <w:t> </w:t>
      </w:r>
      <w:r>
        <w:rPr>
          <w:vertAlign w:val="subscript"/>
        </w:rPr>
        <w:t>INT_MAN</w:t>
      </w:r>
      <w:r>
        <w:rPr>
          <w:vertAlign w:val="baseline"/>
        </w:rPr>
        <w:t>) and extensively G</w:t>
      </w:r>
      <w:r>
        <w:rPr>
          <w:vertAlign w:val="subscript"/>
        </w:rPr>
        <w:t>Total</w:t>
      </w:r>
      <w:r>
        <w:rPr>
          <w:vertAlign w:val="baseline"/>
        </w:rPr>
        <w:t> </w:t>
      </w:r>
      <w:r>
        <w:rPr>
          <w:vertAlign w:val="subscript"/>
        </w:rPr>
        <w:t>EXT_MAN</w:t>
      </w:r>
      <w:r>
        <w:rPr>
          <w:vertAlign w:val="baseline"/>
        </w:rPr>
        <w:t>) managed forests is calculated in accordance with Equation 3.2.5, Section 3.2.1 Forest land Remaining Forest land and with the use of default values provided in Tables 3A.1.5, 3A.1.6, 3A.1.7, 3A.1.8, 3A.1.9, and 3A.1.10 in Annex 3A.1. The values from tables should be chosen with regard to tree species composition and climatic region. Data for extensively managed forests should be taken from Table 3.A.1.5 and for intensively managed forests from Table 3A.1.6 or 3A.1.7.</w:t>
      </w:r>
    </w:p>
    <w:p>
      <w:pPr>
        <w:spacing w:after="0"/>
        <w:jc w:val="both"/>
        <w:sectPr>
          <w:type w:val="continuous"/>
          <w:pgSz w:w="11900" w:h="16840"/>
          <w:pgMar w:top="1060" w:bottom="280" w:left="1200" w:right="1140"/>
        </w:sectPr>
      </w:pPr>
    </w:p>
    <w:p>
      <w:pPr>
        <w:spacing w:before="125"/>
        <w:ind w:left="219" w:right="0" w:firstLine="0"/>
        <w:jc w:val="left"/>
        <w:rPr>
          <w:b/>
          <w:sz w:val="20"/>
        </w:rPr>
      </w:pPr>
      <w:r>
        <w:rPr>
          <w:b/>
          <w:sz w:val="20"/>
        </w:rPr>
        <w:t>Step 2: Annual Decrease in Carbon Stocks in Living Biomass Due to Losses, ∆C</w:t>
      </w:r>
      <w:r>
        <w:rPr>
          <w:b/>
          <w:sz w:val="20"/>
          <w:vertAlign w:val="subscript"/>
        </w:rPr>
        <w:t>LF</w:t>
      </w:r>
    </w:p>
    <w:p>
      <w:pPr>
        <w:pStyle w:val="BodyText"/>
        <w:spacing w:line="193" w:lineRule="exact" w:before="125"/>
        <w:ind w:left="291"/>
      </w:pPr>
      <w:r>
        <w:rPr/>
        <w:br w:type="column"/>
      </w:r>
      <w:r>
        <w:rPr>
          <w:b/>
        </w:rPr>
        <w:t>. </w:t>
      </w:r>
      <w:r>
        <w:rPr/>
        <w:t>In case harvesting,</w:t>
      </w:r>
    </w:p>
    <w:p>
      <w:pPr>
        <w:spacing w:line="102" w:lineRule="exact" w:before="0"/>
        <w:ind w:left="-40" w:right="0" w:firstLine="0"/>
        <w:jc w:val="left"/>
        <w:rPr>
          <w:b/>
          <w:sz w:val="13"/>
        </w:rPr>
      </w:pPr>
      <w:r>
        <w:rPr>
          <w:b/>
          <w:sz w:val="13"/>
        </w:rPr>
        <w:t>LOSS</w:t>
      </w:r>
    </w:p>
    <w:p>
      <w:pPr>
        <w:spacing w:after="0" w:line="102" w:lineRule="exact"/>
        <w:jc w:val="left"/>
        <w:rPr>
          <w:sz w:val="13"/>
        </w:rPr>
        <w:sectPr>
          <w:type w:val="continuous"/>
          <w:pgSz w:w="11900" w:h="16840"/>
          <w:pgMar w:top="1060" w:bottom="280" w:left="1200" w:right="1140"/>
          <w:cols w:num="2" w:equalWidth="0">
            <w:col w:w="7338" w:space="40"/>
            <w:col w:w="2182"/>
          </w:cols>
        </w:sectPr>
      </w:pPr>
    </w:p>
    <w:p>
      <w:pPr>
        <w:pStyle w:val="BodyText"/>
        <w:ind w:left="219" w:right="264"/>
        <w:jc w:val="both"/>
      </w:pPr>
      <w:r>
        <w:rPr/>
        <w:t>fuel wood gathering and disturbances can be attributed to land converted to forest, annual losses in biomass should be estimated with the use of Equation 3.2.24 that repeats the </w:t>
      </w:r>
      <w:r>
        <w:rPr>
          <w:i/>
        </w:rPr>
        <w:t>good practice </w:t>
      </w:r>
      <w:r>
        <w:rPr/>
        <w:t>approach given in Equation 3.2.6, Section 3.2.1, Forest land Remaining Forest land:</w:t>
      </w:r>
    </w:p>
    <w:p>
      <w:pPr>
        <w:pStyle w:val="BodyText"/>
        <w:spacing w:before="5"/>
        <w:rPr>
          <w:sz w:val="10"/>
        </w:rPr>
      </w:pPr>
      <w:r>
        <w:rPr/>
        <w:pict>
          <v:shape style="position:absolute;margin-left:91.960999pt;margin-top:8.701196pt;width:411.5pt;height:64.45pt;mso-position-horizontal-relative:page;mso-position-vertical-relative:paragraph;z-index:5672;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3.2.24</w:t>
                  </w:r>
                </w:p>
                <w:p>
                  <w:pPr>
                    <w:spacing w:line="278" w:lineRule="auto" w:before="0"/>
                    <w:ind w:left="1007" w:right="1008" w:firstLine="0"/>
                    <w:jc w:val="center"/>
                    <w:rPr>
                      <w:b/>
                      <w:sz w:val="16"/>
                    </w:rPr>
                  </w:pPr>
                  <w:r>
                    <w:rPr>
                      <w:b/>
                      <w:sz w:val="20"/>
                    </w:rPr>
                    <w:t>A</w:t>
                  </w:r>
                  <w:r>
                    <w:rPr>
                      <w:b/>
                      <w:sz w:val="16"/>
                    </w:rPr>
                    <w:t>NNUAL DECREASE IN CARBON STOCKS IN LIVING BIOMASS DUE TO</w:t>
                  </w:r>
                  <w:r>
                    <w:rPr>
                      <w:b/>
                      <w:spacing w:val="-20"/>
                      <w:sz w:val="16"/>
                    </w:rPr>
                    <w:t> </w:t>
                  </w:r>
                  <w:r>
                    <w:rPr>
                      <w:b/>
                      <w:sz w:val="16"/>
                    </w:rPr>
                    <w:t>LOSSES IN LAND CONVERTED TO FOREST</w:t>
                  </w:r>
                  <w:r>
                    <w:rPr>
                      <w:b/>
                      <w:spacing w:val="-7"/>
                      <w:sz w:val="16"/>
                    </w:rPr>
                    <w:t> </w:t>
                  </w:r>
                  <w:r>
                    <w:rPr>
                      <w:b/>
                      <w:sz w:val="16"/>
                    </w:rPr>
                    <w:t>LAND</w:t>
                  </w:r>
                </w:p>
                <w:p>
                  <w:pPr>
                    <w:spacing w:before="60"/>
                    <w:ind w:left="68" w:right="68" w:firstLine="0"/>
                    <w:jc w:val="center"/>
                    <w:rPr>
                      <w:sz w:val="13"/>
                    </w:rPr>
                  </w:pPr>
                  <w:r>
                    <w:rPr>
                      <w:position w:val="3"/>
                      <w:sz w:val="20"/>
                    </w:rPr>
                    <w:t>∆C</w:t>
                  </w:r>
                  <w:r>
                    <w:rPr>
                      <w:sz w:val="13"/>
                    </w:rPr>
                    <w:t>LF</w:t>
                  </w:r>
                  <w:r>
                    <w:rPr>
                      <w:position w:val="-5"/>
                      <w:sz w:val="13"/>
                    </w:rPr>
                    <w:t>LOSS </w:t>
                  </w:r>
                  <w:r>
                    <w:rPr>
                      <w:position w:val="3"/>
                      <w:sz w:val="20"/>
                    </w:rPr>
                    <w:t>= L</w:t>
                  </w:r>
                  <w:r>
                    <w:rPr>
                      <w:sz w:val="13"/>
                    </w:rPr>
                    <w:t>fellings </w:t>
                  </w:r>
                  <w:r>
                    <w:rPr>
                      <w:position w:val="3"/>
                      <w:sz w:val="20"/>
                    </w:rPr>
                    <w:t>+ L</w:t>
                  </w:r>
                  <w:r>
                    <w:rPr>
                      <w:sz w:val="13"/>
                    </w:rPr>
                    <w:t>fuelwood </w:t>
                  </w:r>
                  <w:r>
                    <w:rPr>
                      <w:position w:val="3"/>
                      <w:sz w:val="20"/>
                    </w:rPr>
                    <w:t>+ L</w:t>
                  </w:r>
                  <w:r>
                    <w:rPr>
                      <w:sz w:val="13"/>
                    </w:rPr>
                    <w:t>other </w:t>
                  </w:r>
                  <w:r>
                    <w:rPr>
                      <w:spacing w:val="8"/>
                      <w:sz w:val="13"/>
                    </w:rPr>
                    <w:t> </w:t>
                  </w:r>
                  <w:r>
                    <w:rPr>
                      <w:sz w:val="13"/>
                    </w:rPr>
                    <w:t>losses</w:t>
                  </w:r>
                </w:p>
              </w:txbxContent>
            </v:textbox>
            <v:stroke dashstyle="solid"/>
            <w10:wrap type="topAndBottom"/>
          </v:shape>
        </w:pict>
      </w:r>
    </w:p>
    <w:p>
      <w:pPr>
        <w:pStyle w:val="BodyText"/>
        <w:spacing w:before="4"/>
        <w:ind w:left="219"/>
      </w:pPr>
      <w:r>
        <w:rPr/>
        <w:t>Where:</w:t>
      </w:r>
    </w:p>
    <w:p>
      <w:pPr>
        <w:pStyle w:val="BodyText"/>
        <w:spacing w:line="228" w:lineRule="auto" w:before="6"/>
        <w:ind w:left="1750" w:right="354" w:hanging="965"/>
      </w:pPr>
      <w:r>
        <w:rPr/>
        <w:t>∆C</w:t>
      </w:r>
      <w:r>
        <w:rPr>
          <w:vertAlign w:val="subscript"/>
        </w:rPr>
        <w:t>LF</w:t>
      </w:r>
      <w:r>
        <w:rPr>
          <w:position w:val="-8"/>
          <w:sz w:val="13"/>
          <w:vertAlign w:val="baseline"/>
        </w:rPr>
        <w:t>LOSS </w:t>
      </w:r>
      <w:r>
        <w:rPr>
          <w:vertAlign w:val="baseline"/>
        </w:rPr>
        <w:t>= annual decrease in carbon stocks in living biomass due to losses in land converted to forest land, tonnes C yr</w:t>
      </w:r>
      <w:r>
        <w:rPr>
          <w:vertAlign w:val="superscript"/>
        </w:rPr>
        <w:t>-1</w:t>
      </w:r>
    </w:p>
    <w:p>
      <w:pPr>
        <w:pStyle w:val="BodyText"/>
        <w:spacing w:before="121"/>
        <w:ind w:left="1580" w:right="354" w:hanging="795"/>
      </w:pPr>
      <w:r>
        <w:rPr/>
        <w:t>L</w:t>
      </w:r>
      <w:r>
        <w:rPr>
          <w:vertAlign w:val="subscript"/>
        </w:rPr>
        <w:t>fellings</w:t>
      </w:r>
      <w:r>
        <w:rPr>
          <w:vertAlign w:val="baseline"/>
        </w:rPr>
        <w:t> = biomass loss due to harvest of industrial wood and saw logs in land converted to forest land, tonnes C yr</w:t>
      </w:r>
      <w:r>
        <w:rPr>
          <w:vertAlign w:val="superscript"/>
        </w:rPr>
        <w:t>-1</w:t>
      </w:r>
    </w:p>
    <w:p>
      <w:pPr>
        <w:pStyle w:val="BodyText"/>
        <w:spacing w:before="121"/>
        <w:ind w:left="785"/>
      </w:pPr>
      <w:r>
        <w:rPr/>
        <w:t>L</w:t>
      </w:r>
      <w:r>
        <w:rPr>
          <w:vertAlign w:val="subscript"/>
        </w:rPr>
        <w:t>fuelwood</w:t>
      </w:r>
      <w:r>
        <w:rPr>
          <w:vertAlign w:val="baseline"/>
        </w:rPr>
        <w:t> = biomass loss due to fuelwood gathering in land converted to forest land, tonnes C yr</w:t>
      </w:r>
      <w:r>
        <w:rPr>
          <w:vertAlign w:val="superscript"/>
        </w:rPr>
        <w:t>-1</w:t>
      </w:r>
    </w:p>
    <w:p>
      <w:pPr>
        <w:pStyle w:val="BodyText"/>
        <w:spacing w:before="120"/>
        <w:ind w:left="785"/>
      </w:pPr>
      <w:r>
        <w:rPr/>
        <w:t>L</w:t>
      </w:r>
      <w:r>
        <w:rPr>
          <w:vertAlign w:val="subscript"/>
        </w:rPr>
        <w:t>other</w:t>
      </w:r>
      <w:r>
        <w:rPr>
          <w:vertAlign w:val="baseline"/>
        </w:rPr>
        <w:t> </w:t>
      </w:r>
      <w:r>
        <w:rPr>
          <w:vertAlign w:val="subscript"/>
        </w:rPr>
        <w:t>losses</w:t>
      </w:r>
      <w:r>
        <w:rPr>
          <w:vertAlign w:val="baseline"/>
        </w:rPr>
        <w:t> = biomass loss due to fires and other disturbances in land converted to forest land, tonnes C yr</w:t>
      </w:r>
      <w:r>
        <w:rPr>
          <w:vertAlign w:val="superscript"/>
        </w:rPr>
        <w:t>-1</w:t>
      </w:r>
    </w:p>
    <w:p>
      <w:pPr>
        <w:spacing w:after="0"/>
        <w:sectPr>
          <w:type w:val="continuous"/>
          <w:pgSz w:w="11900" w:h="16840"/>
          <w:pgMar w:top="1060" w:bottom="280" w:left="1200" w:right="1140"/>
        </w:sectPr>
      </w:pPr>
    </w:p>
    <w:p>
      <w:pPr>
        <w:pStyle w:val="BodyText"/>
      </w:pPr>
    </w:p>
    <w:p>
      <w:pPr>
        <w:pStyle w:val="BodyText"/>
      </w:pPr>
    </w:p>
    <w:p>
      <w:pPr>
        <w:pStyle w:val="BodyText"/>
        <w:spacing w:before="4"/>
        <w:rPr>
          <w:sz w:val="18"/>
        </w:rPr>
      </w:pPr>
    </w:p>
    <w:p>
      <w:pPr>
        <w:pStyle w:val="BodyText"/>
        <w:spacing w:line="237" w:lineRule="auto"/>
        <w:ind w:left="219" w:right="264"/>
        <w:jc w:val="both"/>
      </w:pPr>
      <w:r>
        <w:rPr/>
        <w:t>The biomass loss due to harvest (L</w:t>
      </w:r>
      <w:r>
        <w:rPr>
          <w:vertAlign w:val="subscript"/>
        </w:rPr>
        <w:t>fellings</w:t>
      </w:r>
      <w:r>
        <w:rPr>
          <w:vertAlign w:val="baseline"/>
        </w:rPr>
        <w:t>) is estimated with the use of Equation 3.2.7, Section 3.2.1, Forest land Remaining Forest land, and default basic wood density and biomass expansion factor values provided in Tables 3A.1.9 and 3A.1.10 of Annex 3A.1. The </w:t>
      </w:r>
      <w:r>
        <w:rPr>
          <w:i/>
          <w:vertAlign w:val="baseline"/>
        </w:rPr>
        <w:t>good practice </w:t>
      </w:r>
      <w:r>
        <w:rPr>
          <w:vertAlign w:val="baseline"/>
        </w:rPr>
        <w:t>approaches for estimating biomass losses due to fuel wood gathering (L</w:t>
      </w:r>
      <w:r>
        <w:rPr>
          <w:vertAlign w:val="subscript"/>
        </w:rPr>
        <w:t>fuelwood</w:t>
      </w:r>
      <w:r>
        <w:rPr>
          <w:vertAlign w:val="baseline"/>
        </w:rPr>
        <w:t>), fires and other disturbances (L</w:t>
      </w:r>
      <w:r>
        <w:rPr>
          <w:vertAlign w:val="subscript"/>
        </w:rPr>
        <w:t>disturbance</w:t>
      </w:r>
      <w:r>
        <w:rPr>
          <w:vertAlign w:val="baseline"/>
        </w:rPr>
        <w:t>) are also described in Section 3.2.1, Forest land Remaining Forest land. If no data on losses on this land category are available, all loss terms should be set to value 0, thus also ∆C</w:t>
      </w:r>
      <w:r>
        <w:rPr>
          <w:vertAlign w:val="subscript"/>
        </w:rPr>
        <w:t>LF</w:t>
      </w:r>
      <w:r>
        <w:rPr>
          <w:position w:val="-8"/>
          <w:sz w:val="13"/>
          <w:vertAlign w:val="baseline"/>
        </w:rPr>
        <w:t>LOSS </w:t>
      </w:r>
      <w:r>
        <w:rPr>
          <w:vertAlign w:val="baseline"/>
        </w:rPr>
        <w:t>then equals 0. It is </w:t>
      </w:r>
      <w:r>
        <w:rPr>
          <w:i/>
          <w:vertAlign w:val="baseline"/>
        </w:rPr>
        <w:t>good practice </w:t>
      </w:r>
      <w:r>
        <w:rPr>
          <w:vertAlign w:val="baseline"/>
        </w:rPr>
        <w:t>to ensure consistent reporting on losses of biomass between this category and Section 3.2.1 Forest land Remaining Forest land to prevent double accounting or omission of biomass loss.</w:t>
      </w:r>
    </w:p>
    <w:p>
      <w:pPr>
        <w:pStyle w:val="BodyText"/>
        <w:spacing w:before="123"/>
        <w:ind w:left="219" w:right="267"/>
        <w:jc w:val="both"/>
      </w:pPr>
      <w:r>
        <w:rPr>
          <w:b/>
        </w:rPr>
        <w:t>Tier 2: </w:t>
      </w:r>
      <w:r>
        <w:rPr/>
        <w:t>The Tier 2 method is similar to Tier 1, but it uses more disaggregated approach and allows for more precise estimates of changes in carbon stocks in biomass. The net annual CO</w:t>
      </w:r>
      <w:r>
        <w:rPr>
          <w:vertAlign w:val="subscript"/>
        </w:rPr>
        <w:t>2</w:t>
      </w:r>
      <w:r>
        <w:rPr>
          <w:vertAlign w:val="baseline"/>
        </w:rPr>
        <w:t> removals in biomass are calculated as a sum of removals due to growth of biomass on the areas converted to forest, changes in biomass due to actual conversion (estimates the difference between initial biomass stocks on non-forest land before and after conversion to forest e.g. by artificial regeneration), and losses on areas converted to forest (Equation 3.2.25):</w:t>
      </w:r>
    </w:p>
    <w:p>
      <w:pPr>
        <w:pStyle w:val="BodyText"/>
        <w:spacing w:before="1"/>
        <w:rPr>
          <w:sz w:val="11"/>
        </w:rPr>
      </w:pPr>
      <w:r>
        <w:rPr/>
        <w:pict>
          <v:shape style="position:absolute;margin-left:91.960999pt;margin-top:9.097529pt;width:411.5pt;height:64.45pt;mso-position-horizontal-relative:page;mso-position-vertical-relative:paragraph;z-index:5696;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3.2.25</w:t>
                  </w:r>
                </w:p>
                <w:p>
                  <w:pPr>
                    <w:spacing w:line="229" w:lineRule="exact" w:before="0"/>
                    <w:ind w:left="66" w:right="68" w:firstLine="0"/>
                    <w:jc w:val="center"/>
                    <w:rPr>
                      <w:b/>
                      <w:sz w:val="16"/>
                    </w:rPr>
                  </w:pPr>
                  <w:r>
                    <w:rPr>
                      <w:b/>
                      <w:sz w:val="20"/>
                    </w:rPr>
                    <w:t>A</w:t>
                  </w:r>
                  <w:r>
                    <w:rPr>
                      <w:b/>
                      <w:sz w:val="16"/>
                    </w:rPr>
                    <w:t>NNUAL CHANGE IN CARBON STOCKS IN LIVING BIOMASS IN LAND CONVERTED TO FOREST LAND</w:t>
                  </w:r>
                </w:p>
                <w:p>
                  <w:pPr>
                    <w:spacing w:line="229" w:lineRule="exact" w:before="0"/>
                    <w:ind w:left="68" w:right="68" w:firstLine="0"/>
                    <w:jc w:val="center"/>
                    <w:rPr>
                      <w:b/>
                      <w:sz w:val="20"/>
                    </w:rPr>
                  </w:pPr>
                  <w:r>
                    <w:rPr>
                      <w:b/>
                      <w:sz w:val="20"/>
                    </w:rPr>
                    <w:t>(T</w:t>
                  </w:r>
                  <w:r>
                    <w:rPr>
                      <w:b/>
                      <w:sz w:val="16"/>
                    </w:rPr>
                    <w:t>IER </w:t>
                  </w:r>
                  <w:r>
                    <w:rPr>
                      <w:b/>
                      <w:sz w:val="20"/>
                    </w:rPr>
                    <w:t>2)</w:t>
                  </w:r>
                </w:p>
                <w:p>
                  <w:pPr>
                    <w:spacing w:before="81"/>
                    <w:ind w:left="68" w:right="68" w:firstLine="0"/>
                    <w:jc w:val="center"/>
                    <w:rPr>
                      <w:sz w:val="13"/>
                    </w:rPr>
                  </w:pPr>
                  <w:r>
                    <w:rPr>
                      <w:position w:val="9"/>
                      <w:sz w:val="20"/>
                    </w:rPr>
                    <w:t>∆C</w:t>
                  </w:r>
                  <w:r>
                    <w:rPr>
                      <w:position w:val="6"/>
                      <w:sz w:val="13"/>
                    </w:rPr>
                    <w:t>LF</w:t>
                  </w:r>
                  <w:r>
                    <w:rPr>
                      <w:sz w:val="13"/>
                    </w:rPr>
                    <w:t>LB </w:t>
                  </w:r>
                  <w:r>
                    <w:rPr>
                      <w:position w:val="9"/>
                      <w:sz w:val="20"/>
                    </w:rPr>
                    <w:t>= ∆C</w:t>
                  </w:r>
                  <w:r>
                    <w:rPr>
                      <w:position w:val="6"/>
                      <w:sz w:val="13"/>
                    </w:rPr>
                    <w:t>LF</w:t>
                  </w:r>
                  <w:r>
                    <w:rPr>
                      <w:sz w:val="13"/>
                    </w:rPr>
                    <w:t>GROWTH </w:t>
                  </w:r>
                  <w:r>
                    <w:rPr>
                      <w:position w:val="9"/>
                      <w:sz w:val="20"/>
                    </w:rPr>
                    <w:t>+ ∆C</w:t>
                  </w:r>
                  <w:r>
                    <w:rPr>
                      <w:position w:val="6"/>
                      <w:sz w:val="13"/>
                    </w:rPr>
                    <w:t>LF</w:t>
                  </w:r>
                  <w:r>
                    <w:rPr>
                      <w:sz w:val="13"/>
                    </w:rPr>
                    <w:t>CONVERSION </w:t>
                  </w:r>
                  <w:r>
                    <w:rPr>
                      <w:position w:val="9"/>
                      <w:sz w:val="20"/>
                    </w:rPr>
                    <w:t>– ∆C</w:t>
                  </w:r>
                  <w:r>
                    <w:rPr>
                      <w:position w:val="6"/>
                      <w:sz w:val="13"/>
                    </w:rPr>
                    <w:t>LF</w:t>
                  </w:r>
                  <w:r>
                    <w:rPr>
                      <w:sz w:val="13"/>
                    </w:rPr>
                    <w:t>LOSS</w:t>
                  </w:r>
                </w:p>
              </w:txbxContent>
            </v:textbox>
            <v:stroke dashstyle="solid"/>
            <w10:wrap type="topAndBottom"/>
          </v:shape>
        </w:pict>
      </w:r>
    </w:p>
    <w:p>
      <w:pPr>
        <w:pStyle w:val="BodyText"/>
        <w:spacing w:before="4"/>
        <w:ind w:left="219"/>
      </w:pPr>
      <w:r>
        <w:rPr/>
        <w:t>Where:</w:t>
      </w:r>
    </w:p>
    <w:p>
      <w:pPr>
        <w:pStyle w:val="BodyText"/>
        <w:tabs>
          <w:tab w:pos="1407" w:val="left" w:leader="none"/>
        </w:tabs>
        <w:spacing w:line="193" w:lineRule="exact" w:before="121"/>
        <w:ind w:left="785"/>
      </w:pPr>
      <w:r>
        <w:rPr/>
        <w:pict>
          <v:shape style="position:absolute;margin-left:112.120598pt;margin-top:11.171875pt;width:7.35pt;height:7.2pt;mso-position-horizontal-relative:page;mso-position-vertical-relative:paragraph;z-index:-2448112" type="#_x0000_t202" filled="false" stroked="false">
            <v:textbox inset="0,0,0,0">
              <w:txbxContent>
                <w:p>
                  <w:pPr>
                    <w:spacing w:line="144" w:lineRule="exact" w:before="0"/>
                    <w:ind w:left="0" w:right="0" w:firstLine="0"/>
                    <w:jc w:val="left"/>
                    <w:rPr>
                      <w:sz w:val="13"/>
                    </w:rPr>
                  </w:pPr>
                  <w:r>
                    <w:rPr>
                      <w:spacing w:val="-3"/>
                      <w:sz w:val="13"/>
                    </w:rPr>
                    <w:t>LF</w:t>
                  </w:r>
                </w:p>
              </w:txbxContent>
            </v:textbox>
            <w10:wrap type="none"/>
          </v:shape>
        </w:pict>
      </w:r>
      <w:r>
        <w:rPr/>
        <w:t>∆C</w:t>
        <w:tab/>
        <w:t>= annual change in carbon stocks in living biomass in land converted to forest land, tonnes C</w:t>
      </w:r>
      <w:r>
        <w:rPr>
          <w:spacing w:val="-29"/>
        </w:rPr>
        <w:t> </w:t>
      </w:r>
      <w:r>
        <w:rPr/>
        <w:t>yr</w:t>
      </w:r>
      <w:r>
        <w:rPr>
          <w:vertAlign w:val="superscript"/>
        </w:rPr>
        <w:t>-1</w:t>
      </w:r>
    </w:p>
    <w:p>
      <w:pPr>
        <w:spacing w:line="113" w:lineRule="exact" w:before="0"/>
        <w:ind w:left="1193" w:right="0" w:firstLine="0"/>
        <w:jc w:val="left"/>
        <w:rPr>
          <w:sz w:val="13"/>
        </w:rPr>
      </w:pPr>
      <w:r>
        <w:rPr>
          <w:sz w:val="13"/>
        </w:rPr>
        <w:t>LB</w:t>
      </w:r>
    </w:p>
    <w:p>
      <w:pPr>
        <w:spacing w:after="0" w:line="113" w:lineRule="exact"/>
        <w:jc w:val="left"/>
        <w:rPr>
          <w:sz w:val="13"/>
        </w:rPr>
        <w:sectPr>
          <w:pgSz w:w="11900" w:h="16840"/>
          <w:pgMar w:header="230" w:footer="408" w:top="560" w:bottom="600" w:left="1200" w:right="1140"/>
        </w:sectPr>
      </w:pPr>
    </w:p>
    <w:p>
      <w:pPr>
        <w:pStyle w:val="BodyText"/>
        <w:spacing w:before="121"/>
        <w:ind w:left="785"/>
      </w:pPr>
      <w:r>
        <w:rPr>
          <w:w w:val="95"/>
        </w:rPr>
        <w:t>∆C</w:t>
      </w:r>
      <w:r>
        <w:rPr>
          <w:w w:val="95"/>
          <w:vertAlign w:val="subscript"/>
        </w:rPr>
        <w:t>LF</w:t>
      </w:r>
    </w:p>
    <w:p>
      <w:pPr>
        <w:pStyle w:val="BodyText"/>
        <w:rPr>
          <w:sz w:val="14"/>
        </w:rPr>
      </w:pPr>
      <w:r>
        <w:rPr/>
        <w:br w:type="column"/>
      </w:r>
      <w:r>
        <w:rPr>
          <w:sz w:val="14"/>
        </w:rPr>
      </w:r>
    </w:p>
    <w:p>
      <w:pPr>
        <w:spacing w:before="116"/>
        <w:ind w:left="-38" w:right="0" w:firstLine="0"/>
        <w:jc w:val="left"/>
        <w:rPr>
          <w:sz w:val="13"/>
        </w:rPr>
      </w:pPr>
      <w:r>
        <w:rPr>
          <w:sz w:val="13"/>
        </w:rPr>
        <w:t>GROWTH</w:t>
      </w:r>
    </w:p>
    <w:p>
      <w:pPr>
        <w:pStyle w:val="BodyText"/>
        <w:spacing w:line="300" w:lineRule="auto" w:before="120"/>
        <w:ind w:left="288" w:right="295" w:hanging="250"/>
      </w:pPr>
      <w:r>
        <w:rPr/>
        <w:br w:type="column"/>
      </w:r>
      <w:r>
        <w:rPr>
          <w:rFonts w:ascii="Arial"/>
        </w:rPr>
        <w:t>= </w:t>
      </w:r>
      <w:r>
        <w:rPr/>
        <w:t>annual increase in carbon stocks in living biomass due to growth in land converted to forest land, tonnes C</w:t>
      </w:r>
      <w:r>
        <w:rPr>
          <w:spacing w:val="2"/>
        </w:rPr>
        <w:t> </w:t>
      </w:r>
      <w:r>
        <w:rPr/>
        <w:t>yr</w:t>
      </w:r>
      <w:r>
        <w:rPr>
          <w:vertAlign w:val="superscript"/>
        </w:rPr>
        <w:t>-1</w:t>
      </w:r>
    </w:p>
    <w:p>
      <w:pPr>
        <w:spacing w:after="0" w:line="300" w:lineRule="auto"/>
        <w:sectPr>
          <w:type w:val="continuous"/>
          <w:pgSz w:w="11900" w:h="16840"/>
          <w:pgMar w:top="1060" w:bottom="280" w:left="1200" w:right="1140"/>
          <w:cols w:num="3" w:equalWidth="0">
            <w:col w:w="1189" w:space="40"/>
            <w:col w:w="534" w:space="39"/>
            <w:col w:w="7758"/>
          </w:cols>
        </w:sectPr>
      </w:pPr>
    </w:p>
    <w:p>
      <w:pPr>
        <w:pStyle w:val="BodyText"/>
        <w:spacing w:line="228" w:lineRule="auto" w:before="69"/>
        <w:ind w:left="2316" w:right="354" w:hanging="1532"/>
      </w:pPr>
      <w:r>
        <w:rPr/>
        <w:t>∆C</w:t>
      </w:r>
      <w:r>
        <w:rPr>
          <w:vertAlign w:val="subscript"/>
        </w:rPr>
        <w:t>LF</w:t>
      </w:r>
      <w:r>
        <w:rPr>
          <w:position w:val="-8"/>
          <w:sz w:val="13"/>
          <w:vertAlign w:val="baseline"/>
        </w:rPr>
        <w:t>CONVERSION </w:t>
      </w:r>
      <w:r>
        <w:rPr>
          <w:vertAlign w:val="baseline"/>
        </w:rPr>
        <w:t>= annual change in carbon stocks in living biomass due to actual conversion to forest land, tonnes C yr</w:t>
      </w:r>
      <w:r>
        <w:rPr>
          <w:vertAlign w:val="superscript"/>
        </w:rPr>
        <w:t>-1</w:t>
      </w:r>
    </w:p>
    <w:p>
      <w:pPr>
        <w:pStyle w:val="BodyText"/>
        <w:spacing w:line="228" w:lineRule="auto" w:before="126"/>
        <w:ind w:left="1750" w:hanging="965"/>
      </w:pPr>
      <w:r>
        <w:rPr/>
        <w:t>∆C</w:t>
      </w:r>
      <w:r>
        <w:rPr>
          <w:vertAlign w:val="subscript"/>
        </w:rPr>
        <w:t>LF</w:t>
      </w:r>
      <w:r>
        <w:rPr>
          <w:position w:val="-8"/>
          <w:sz w:val="13"/>
          <w:vertAlign w:val="baseline"/>
        </w:rPr>
        <w:t>LOSS </w:t>
      </w:r>
      <w:r>
        <w:rPr>
          <w:vertAlign w:val="baseline"/>
        </w:rPr>
        <w:t>= annual decrease in carbon stocks in living biomass due to losses from harvesting, fuel wood gathering and disturbances in land converted to forest land, tonnes C yr</w:t>
      </w:r>
      <w:r>
        <w:rPr>
          <w:vertAlign w:val="superscript"/>
        </w:rPr>
        <w:t>-1</w:t>
      </w:r>
    </w:p>
    <w:p>
      <w:pPr>
        <w:pStyle w:val="BodyText"/>
        <w:spacing w:before="9"/>
        <w:rPr>
          <w:sz w:val="30"/>
        </w:rPr>
      </w:pPr>
    </w:p>
    <w:p>
      <w:pPr>
        <w:pStyle w:val="BodyText"/>
        <w:ind w:left="219" w:right="264"/>
        <w:jc w:val="both"/>
      </w:pPr>
      <w:r>
        <w:rPr/>
        <w:t>In addition to default values, the Tier-2 approach requires national data on: i) area converted to forest; ii) average annual increase per ha in merchantable volume on land converted to forests, obtained e.g. from forest inventories (no default values can be provided); iii) change of carbon in biomass when non-forest land becomes forest (e.g. by artificial regeneration) and iv) emissions due to loss of biomass on converted land. The approach may imply the knowledge of the land-use change matrix, and hence the distribution of previous land uses.</w:t>
      </w:r>
    </w:p>
    <w:p>
      <w:pPr>
        <w:spacing w:after="0"/>
        <w:jc w:val="both"/>
        <w:sectPr>
          <w:type w:val="continuous"/>
          <w:pgSz w:w="11900" w:h="16840"/>
          <w:pgMar w:top="1060" w:bottom="280" w:left="1200" w:right="1140"/>
        </w:sectPr>
      </w:pPr>
    </w:p>
    <w:p>
      <w:pPr>
        <w:spacing w:before="125"/>
        <w:ind w:left="219" w:right="0" w:firstLine="0"/>
        <w:jc w:val="left"/>
        <w:rPr>
          <w:b/>
          <w:sz w:val="20"/>
        </w:rPr>
      </w:pPr>
      <w:r>
        <w:rPr>
          <w:b/>
          <w:sz w:val="20"/>
        </w:rPr>
        <w:t>Step 1: Annual Increase in Carbon Stocks in Living Biomass, ∆C</w:t>
      </w:r>
      <w:r>
        <w:rPr>
          <w:b/>
          <w:sz w:val="20"/>
          <w:vertAlign w:val="subscript"/>
        </w:rPr>
        <w:t>LF</w:t>
      </w:r>
    </w:p>
    <w:p>
      <w:pPr>
        <w:pStyle w:val="BodyText"/>
        <w:spacing w:line="193" w:lineRule="exact" w:before="125"/>
        <w:ind w:left="572"/>
      </w:pPr>
      <w:r>
        <w:rPr/>
        <w:br w:type="column"/>
      </w:r>
      <w:r>
        <w:rPr>
          <w:b/>
        </w:rPr>
        <w:t>. </w:t>
      </w:r>
      <w:r>
        <w:rPr/>
        <w:t>The method follows the Tier 1</w:t>
      </w:r>
    </w:p>
    <w:p>
      <w:pPr>
        <w:spacing w:line="102" w:lineRule="exact" w:before="0"/>
        <w:ind w:left="-38" w:right="0" w:firstLine="0"/>
        <w:jc w:val="left"/>
        <w:rPr>
          <w:b/>
          <w:sz w:val="13"/>
        </w:rPr>
      </w:pPr>
      <w:r>
        <w:rPr>
          <w:b/>
          <w:sz w:val="13"/>
        </w:rPr>
        <w:t>GROWTH</w:t>
      </w:r>
    </w:p>
    <w:p>
      <w:pPr>
        <w:spacing w:after="0" w:line="102" w:lineRule="exact"/>
        <w:jc w:val="left"/>
        <w:rPr>
          <w:sz w:val="13"/>
        </w:rPr>
        <w:sectPr>
          <w:type w:val="continuous"/>
          <w:pgSz w:w="11900" w:h="16840"/>
          <w:pgMar w:top="1060" w:bottom="280" w:left="1200" w:right="1140"/>
          <w:cols w:num="2" w:equalWidth="0">
            <w:col w:w="6071" w:space="40"/>
            <w:col w:w="3449"/>
          </w:cols>
        </w:sectPr>
      </w:pPr>
    </w:p>
    <w:p>
      <w:pPr>
        <w:pStyle w:val="BodyText"/>
        <w:spacing w:line="237" w:lineRule="auto"/>
        <w:ind w:left="219" w:right="263"/>
        <w:jc w:val="both"/>
      </w:pPr>
      <w:r>
        <w:rPr/>
        <w:t>approach using Equation 3.2.23 above. The average annual increment in biomass of both intensively (G</w:t>
      </w:r>
      <w:r>
        <w:rPr>
          <w:vertAlign w:val="subscript"/>
        </w:rPr>
        <w:t>Total</w:t>
      </w:r>
      <w:r>
        <w:rPr>
          <w:vertAlign w:val="baseline"/>
        </w:rPr>
        <w:t> </w:t>
      </w:r>
      <w:r>
        <w:rPr>
          <w:position w:val="-2"/>
          <w:sz w:val="13"/>
          <w:vertAlign w:val="baseline"/>
        </w:rPr>
        <w:t>INT_MAN</w:t>
      </w:r>
      <w:r>
        <w:rPr>
          <w:vertAlign w:val="baseline"/>
        </w:rPr>
        <w:t>) and extensively (G</w:t>
      </w:r>
      <w:r>
        <w:rPr>
          <w:vertAlign w:val="subscript"/>
        </w:rPr>
        <w:t>Total</w:t>
      </w:r>
      <w:r>
        <w:rPr>
          <w:vertAlign w:val="baseline"/>
        </w:rPr>
        <w:t> </w:t>
      </w:r>
      <w:r>
        <w:rPr>
          <w:vertAlign w:val="subscript"/>
        </w:rPr>
        <w:t>EXT_MAN</w:t>
      </w:r>
      <w:r>
        <w:rPr>
          <w:vertAlign w:val="baseline"/>
        </w:rPr>
        <w:t>) managed forests is calculated in accordance with Tier 2 </w:t>
      </w:r>
      <w:r>
        <w:rPr>
          <w:i/>
          <w:vertAlign w:val="baseline"/>
        </w:rPr>
        <w:t>good practice </w:t>
      </w:r>
      <w:r>
        <w:rPr>
          <w:vertAlign w:val="baseline"/>
        </w:rPr>
        <w:t>approach, Section 3.2.1 Forest land Remaining Forest land and with the use of country-specific data on average annual increase per ha in merchantable volume on land converted to forests (obtained e.g. from forest inventories) and default basic wood density, biomass expansion factors and the ratio of belowground biomass to aboveground biomass provided in Tables 3A.1.7, 3A.1.8, 3A.1.9, 3A.1.10 in Annex 3A.1.</w:t>
      </w:r>
    </w:p>
    <w:p>
      <w:pPr>
        <w:spacing w:line="232" w:lineRule="auto" w:before="118"/>
        <w:ind w:left="219" w:right="267" w:firstLine="0"/>
        <w:jc w:val="both"/>
        <w:rPr>
          <w:sz w:val="20"/>
        </w:rPr>
      </w:pPr>
      <w:r>
        <w:rPr>
          <w:b/>
          <w:sz w:val="20"/>
        </w:rPr>
        <w:t>Step 2: Change in Carbon Stocks in Living Biomass Due to Conversion, ∆C</w:t>
      </w:r>
      <w:r>
        <w:rPr>
          <w:b/>
          <w:sz w:val="20"/>
          <w:vertAlign w:val="subscript"/>
        </w:rPr>
        <w:t>LF</w:t>
      </w:r>
      <w:r>
        <w:rPr>
          <w:b/>
          <w:position w:val="-8"/>
          <w:sz w:val="13"/>
          <w:vertAlign w:val="baseline"/>
        </w:rPr>
        <w:t>CONVERSION</w:t>
      </w:r>
      <w:r>
        <w:rPr>
          <w:b/>
          <w:sz w:val="20"/>
          <w:vertAlign w:val="baseline"/>
        </w:rPr>
        <w:t>. </w:t>
      </w:r>
      <w:r>
        <w:rPr>
          <w:sz w:val="20"/>
          <w:vertAlign w:val="baseline"/>
        </w:rPr>
        <w:t>The change of non-forest land to forest land (e.g. by artificial regeneration that includes clearing the vegetation on non-forest land) may cause change in the biomass stock in the conversion. The changes in carbon stocks in living biomass due to land-use change are calculated with the use of Equation 3.2.26:</w:t>
      </w:r>
    </w:p>
    <w:p>
      <w:pPr>
        <w:pStyle w:val="BodyText"/>
        <w:spacing w:before="2"/>
        <w:rPr>
          <w:sz w:val="10"/>
        </w:rPr>
      </w:pPr>
      <w:r>
        <w:rPr/>
        <w:pict>
          <v:group style="position:absolute;margin-left:91.240997pt;margin-top:8.574783pt;width:412.95pt;height:66.6pt;mso-position-horizontal-relative:page;mso-position-vertical-relative:paragraph;z-index:5984;mso-wrap-distance-left:0;mso-wrap-distance-right:0" coordorigin="1825,171" coordsize="8259,1332">
            <v:line style="position:absolute" from="1854,186" to="10054,186" stroked="true" strokeweight="1.44pt" strokecolor="#000000">
              <v:stroke dashstyle="solid"/>
            </v:line>
            <v:line style="position:absolute" from="1854,1489" to="10054,1489" stroked="true" strokeweight="1.44pt" strokecolor="#000000">
              <v:stroke dashstyle="solid"/>
            </v:line>
            <v:line style="position:absolute" from="1839,171" to="1839,1503" stroked="true" strokeweight="1.44pt" strokecolor="#000000">
              <v:stroke dashstyle="solid"/>
            </v:line>
            <v:line style="position:absolute" from="10069,171" to="10069,1503" stroked="true" strokeweight="1.44pt" strokecolor="#000000">
              <v:stroke dashstyle="solid"/>
            </v:line>
            <v:shape style="position:absolute;left:8028;top:1090;width:436;height:221" type="#_x0000_t202" filled="false" stroked="false">
              <v:textbox inset="0,0,0,0">
                <w:txbxContent>
                  <w:p>
                    <w:pPr>
                      <w:numPr>
                        <w:ilvl w:val="0"/>
                        <w:numId w:val="50"/>
                      </w:numPr>
                      <w:tabs>
                        <w:tab w:pos="173" w:val="left" w:leader="none"/>
                      </w:tabs>
                      <w:spacing w:line="221" w:lineRule="exact" w:before="0"/>
                      <w:ind w:left="172" w:right="0" w:hanging="172"/>
                      <w:jc w:val="left"/>
                      <w:rPr>
                        <w:sz w:val="20"/>
                      </w:rPr>
                    </w:pPr>
                    <w:r>
                      <w:rPr>
                        <w:sz w:val="20"/>
                      </w:rPr>
                      <w:t>CF</w:t>
                    </w:r>
                  </w:p>
                </w:txbxContent>
              </v:textbox>
              <w10:wrap type="none"/>
            </v:shape>
            <v:shape style="position:absolute;left:7942;top:1244;width:56;height:144" type="#_x0000_t202" filled="false" stroked="false">
              <v:textbox inset="0,0,0,0">
                <w:txbxContent>
                  <w:p>
                    <w:pPr>
                      <w:spacing w:line="144" w:lineRule="exact" w:before="0"/>
                      <w:ind w:left="0" w:right="0" w:firstLine="0"/>
                      <w:jc w:val="left"/>
                      <w:rPr>
                        <w:i/>
                        <w:sz w:val="13"/>
                      </w:rPr>
                    </w:pPr>
                    <w:r>
                      <w:rPr>
                        <w:i/>
                        <w:w w:val="99"/>
                        <w:sz w:val="13"/>
                      </w:rPr>
                      <w:t>i</w:t>
                    </w:r>
                  </w:p>
                </w:txbxContent>
              </v:textbox>
              <w10:wrap type="none"/>
            </v:shape>
            <v:shape style="position:absolute;left:6668;top:1090;width:1295;height:237" type="#_x0000_t202" filled="false" stroked="false">
              <v:textbox inset="0,0,0,0">
                <w:txbxContent>
                  <w:p>
                    <w:pPr>
                      <w:spacing w:line="237" w:lineRule="exact" w:before="0"/>
                      <w:ind w:left="0" w:right="0" w:firstLine="0"/>
                      <w:jc w:val="left"/>
                      <w:rPr>
                        <w:sz w:val="13"/>
                      </w:rPr>
                    </w:pPr>
                    <w:r>
                      <w:rPr>
                        <w:position w:val="3"/>
                        <w:sz w:val="20"/>
                      </w:rPr>
                      <w:t>] ● ∆A</w:t>
                    </w:r>
                    <w:r>
                      <w:rPr>
                        <w:sz w:val="13"/>
                      </w:rPr>
                      <w:t>TO_FOREST</w:t>
                    </w:r>
                  </w:p>
                </w:txbxContent>
              </v:textbox>
              <w10:wrap type="none"/>
            </v:shape>
            <v:shape style="position:absolute;left:6632;top:1244;width:56;height:144" type="#_x0000_t202" filled="false" stroked="false">
              <v:textbox inset="0,0,0,0">
                <w:txbxContent>
                  <w:p>
                    <w:pPr>
                      <w:spacing w:line="144" w:lineRule="exact" w:before="0"/>
                      <w:ind w:left="0" w:right="0" w:firstLine="0"/>
                      <w:jc w:val="left"/>
                      <w:rPr>
                        <w:i/>
                        <w:sz w:val="13"/>
                      </w:rPr>
                    </w:pPr>
                    <w:r>
                      <w:rPr>
                        <w:i/>
                        <w:w w:val="99"/>
                        <w:sz w:val="13"/>
                      </w:rPr>
                      <w:t>i</w:t>
                    </w:r>
                  </w:p>
                </w:txbxContent>
              </v:textbox>
              <w10:wrap type="none"/>
            </v:shape>
            <v:shape style="position:absolute;left:5849;top:1090;width:305;height:221" type="#_x0000_t202" filled="false" stroked="false">
              <v:textbox inset="0,0,0,0">
                <w:txbxContent>
                  <w:p>
                    <w:pPr>
                      <w:spacing w:line="221" w:lineRule="exact" w:before="0"/>
                      <w:ind w:left="0" w:right="0" w:firstLine="0"/>
                      <w:jc w:val="left"/>
                      <w:rPr>
                        <w:sz w:val="20"/>
                      </w:rPr>
                    </w:pPr>
                    <w:r>
                      <w:rPr>
                        <w:sz w:val="20"/>
                      </w:rPr>
                      <w:t>– B</w:t>
                    </w:r>
                  </w:p>
                </w:txbxContent>
              </v:textbox>
              <w10:wrap type="none"/>
            </v:shape>
            <v:shape style="position:absolute;left:5760;top:1244;width:56;height:144" type="#_x0000_t202" filled="false" stroked="false">
              <v:textbox inset="0,0,0,0">
                <w:txbxContent>
                  <w:p>
                    <w:pPr>
                      <w:spacing w:line="144" w:lineRule="exact" w:before="0"/>
                      <w:ind w:left="0" w:right="0" w:firstLine="0"/>
                      <w:jc w:val="left"/>
                      <w:rPr>
                        <w:i/>
                        <w:sz w:val="13"/>
                      </w:rPr>
                    </w:pPr>
                    <w:r>
                      <w:rPr>
                        <w:i/>
                        <w:w w:val="99"/>
                        <w:sz w:val="13"/>
                      </w:rPr>
                      <w:t>i</w:t>
                    </w:r>
                  </w:p>
                </w:txbxContent>
              </v:textbox>
              <w10:wrap type="none"/>
            </v:shape>
            <v:shape style="position:absolute;left:5350;top:1184;width:1302;height:144" type="#_x0000_t202" filled="false" stroked="false">
              <v:textbox inset="0,0,0,0">
                <w:txbxContent>
                  <w:p>
                    <w:pPr>
                      <w:tabs>
                        <w:tab w:pos="784" w:val="left" w:leader="none"/>
                      </w:tabs>
                      <w:spacing w:line="144" w:lineRule="exact" w:before="0"/>
                      <w:ind w:left="0" w:right="0" w:firstLine="0"/>
                      <w:jc w:val="left"/>
                      <w:rPr>
                        <w:sz w:val="13"/>
                      </w:rPr>
                    </w:pPr>
                    <w:r>
                      <w:rPr>
                        <w:sz w:val="13"/>
                      </w:rPr>
                      <w:t>AFTER</w:t>
                      <w:tab/>
                      <w:t>BEFORE</w:t>
                    </w:r>
                  </w:p>
                </w:txbxContent>
              </v:textbox>
              <w10:wrap type="none"/>
            </v:shape>
            <v:shape style="position:absolute;left:4757;top:1090;width:612;height:221" type="#_x0000_t202" filled="false" stroked="false">
              <v:textbox inset="0,0,0,0">
                <w:txbxContent>
                  <w:p>
                    <w:pPr>
                      <w:spacing w:line="221" w:lineRule="exact" w:before="0"/>
                      <w:ind w:left="0" w:right="0" w:firstLine="0"/>
                      <w:jc w:val="left"/>
                      <w:rPr>
                        <w:sz w:val="20"/>
                      </w:rPr>
                    </w:pPr>
                    <w:r>
                      <w:rPr>
                        <w:sz w:val="20"/>
                      </w:rPr>
                      <w:t>= </w:t>
                    </w:r>
                    <w:r>
                      <w:rPr>
                        <w:rFonts w:ascii="Arial" w:hAnsi="Arial"/>
                        <w:sz w:val="20"/>
                      </w:rPr>
                      <w:t>∑ </w:t>
                    </w:r>
                    <w:r>
                      <w:rPr>
                        <w:sz w:val="20"/>
                      </w:rPr>
                      <w:t>[B</w:t>
                    </w:r>
                  </w:p>
                </w:txbxContent>
              </v:textbox>
              <w10:wrap type="none"/>
            </v:shape>
            <v:shape style="position:absolute;left:3869;top:1244;width:1249;height:144" type="#_x0000_t202" filled="false" stroked="false">
              <v:textbox inset="0,0,0,0">
                <w:txbxContent>
                  <w:p>
                    <w:pPr>
                      <w:tabs>
                        <w:tab w:pos="1192" w:val="left" w:leader="none"/>
                      </w:tabs>
                      <w:spacing w:line="144" w:lineRule="exact" w:before="0"/>
                      <w:ind w:left="0" w:right="0" w:firstLine="0"/>
                      <w:jc w:val="left"/>
                      <w:rPr>
                        <w:i/>
                        <w:sz w:val="13"/>
                      </w:rPr>
                    </w:pPr>
                    <w:r>
                      <w:rPr>
                        <w:sz w:val="13"/>
                      </w:rPr>
                      <w:t>CONVERSION</w:t>
                      <w:tab/>
                    </w:r>
                    <w:r>
                      <w:rPr>
                        <w:i/>
                        <w:sz w:val="13"/>
                      </w:rPr>
                      <w:t>i</w:t>
                    </w:r>
                  </w:p>
                </w:txbxContent>
              </v:textbox>
              <w10:wrap type="none"/>
            </v:shape>
            <v:shape style="position:absolute;left:3464;top:1090;width:424;height:237" type="#_x0000_t202" filled="false" stroked="false">
              <v:textbox inset="0,0,0,0">
                <w:txbxContent>
                  <w:p>
                    <w:pPr>
                      <w:spacing w:line="221" w:lineRule="exact" w:before="0"/>
                      <w:ind w:left="0" w:right="0" w:firstLine="0"/>
                      <w:jc w:val="left"/>
                      <w:rPr>
                        <w:sz w:val="20"/>
                      </w:rPr>
                    </w:pPr>
                    <w:r>
                      <w:rPr>
                        <w:sz w:val="20"/>
                      </w:rPr>
                      <w:t>∆C</w:t>
                    </w:r>
                    <w:r>
                      <w:rPr>
                        <w:sz w:val="20"/>
                        <w:vertAlign w:val="subscript"/>
                      </w:rPr>
                      <w:t>LF</w:t>
                    </w:r>
                  </w:p>
                </w:txbxContent>
              </v:textbox>
              <w10:wrap type="none"/>
            </v:shape>
            <v:shape style="position:absolute;left:3888;top:308;width:4148;height:674" type="#_x0000_t202" filled="false" stroked="false">
              <v:textbox inset="0,0,0,0">
                <w:txbxContent>
                  <w:p>
                    <w:pPr>
                      <w:spacing w:line="221" w:lineRule="exact" w:before="0"/>
                      <w:ind w:left="1343" w:right="0" w:firstLine="0"/>
                      <w:jc w:val="left"/>
                      <w:rPr>
                        <w:b/>
                        <w:sz w:val="20"/>
                      </w:rPr>
                    </w:pPr>
                    <w:r>
                      <w:rPr>
                        <w:b/>
                        <w:sz w:val="20"/>
                      </w:rPr>
                      <w:t>E</w:t>
                    </w:r>
                    <w:r>
                      <w:rPr>
                        <w:b/>
                        <w:sz w:val="16"/>
                      </w:rPr>
                      <w:t>QUATION </w:t>
                    </w:r>
                    <w:r>
                      <w:rPr>
                        <w:b/>
                        <w:sz w:val="20"/>
                      </w:rPr>
                      <w:t>3.2.26</w:t>
                    </w:r>
                  </w:p>
                  <w:p>
                    <w:pPr>
                      <w:spacing w:line="278" w:lineRule="auto" w:before="0"/>
                      <w:ind w:left="-1" w:right="18" w:firstLine="3"/>
                      <w:jc w:val="center"/>
                      <w:rPr>
                        <w:b/>
                        <w:sz w:val="16"/>
                      </w:rPr>
                    </w:pPr>
                    <w:r>
                      <w:rPr>
                        <w:b/>
                        <w:sz w:val="20"/>
                      </w:rPr>
                      <w:t>C</w:t>
                    </w:r>
                    <w:r>
                      <w:rPr>
                        <w:b/>
                        <w:sz w:val="16"/>
                      </w:rPr>
                      <w:t>HANGE IN CARBON STOCKS IN LIVING BIOMASS IN LAND ANNUALLY CONVERTED TO FOREST LAND</w:t>
                    </w:r>
                  </w:p>
                </w:txbxContent>
              </v:textbox>
              <w10:wrap type="none"/>
            </v:shape>
            <w10:wrap type="topAndBottom"/>
          </v:group>
        </w:pict>
      </w:r>
    </w:p>
    <w:p>
      <w:pPr>
        <w:pStyle w:val="BodyText"/>
        <w:spacing w:line="220" w:lineRule="exact"/>
        <w:ind w:left="219"/>
      </w:pPr>
      <w:r>
        <w:rPr/>
        <w:t>Where:</w:t>
      </w:r>
    </w:p>
    <w:p>
      <w:pPr>
        <w:pStyle w:val="BodyText"/>
        <w:spacing w:line="228" w:lineRule="auto" w:before="126"/>
        <w:ind w:left="2316" w:right="354" w:hanging="1532"/>
      </w:pPr>
      <w:r>
        <w:rPr/>
        <w:t>∆C</w:t>
      </w:r>
      <w:r>
        <w:rPr>
          <w:vertAlign w:val="subscript"/>
        </w:rPr>
        <w:t>LF</w:t>
      </w:r>
      <w:r>
        <w:rPr>
          <w:position w:val="-8"/>
          <w:sz w:val="13"/>
          <w:vertAlign w:val="baseline"/>
        </w:rPr>
        <w:t>CONVERSION </w:t>
      </w:r>
      <w:r>
        <w:rPr>
          <w:vertAlign w:val="baseline"/>
        </w:rPr>
        <w:t>= change in carbon stocks in living biomass in land annually converted to forest land, tonnes C yr</w:t>
      </w:r>
      <w:r>
        <w:rPr>
          <w:vertAlign w:val="superscript"/>
        </w:rPr>
        <w:t>-1</w:t>
      </w:r>
    </w:p>
    <w:p>
      <w:pPr>
        <w:spacing w:after="0" w:line="228" w:lineRule="auto"/>
        <w:sectPr>
          <w:type w:val="continuous"/>
          <w:pgSz w:w="11900" w:h="16840"/>
          <w:pgMar w:top="1060" w:bottom="280" w:left="1200" w:right="1140"/>
        </w:sectPr>
      </w:pPr>
    </w:p>
    <w:p>
      <w:pPr>
        <w:pStyle w:val="BodyText"/>
        <w:spacing w:before="8"/>
        <w:rPr>
          <w:sz w:val="27"/>
        </w:rPr>
      </w:pPr>
    </w:p>
    <w:p>
      <w:pPr>
        <w:pStyle w:val="BodyText"/>
        <w:spacing w:before="121"/>
        <w:ind w:left="785"/>
      </w:pPr>
      <w:r>
        <w:rPr/>
        <w:pict>
          <v:shape style="position:absolute;margin-left:130.840378pt;margin-top:14.171768pt;width:1.8pt;height:7.2pt;mso-position-horizontal-relative:page;mso-position-vertical-relative:paragraph;z-index:-2448088" type="#_x0000_t202" filled="false" stroked="false">
            <v:textbox inset="0,0,0,0">
              <w:txbxContent>
                <w:p>
                  <w:pPr>
                    <w:spacing w:line="144" w:lineRule="exact" w:before="0"/>
                    <w:ind w:left="0" w:right="0" w:firstLine="0"/>
                    <w:jc w:val="left"/>
                    <w:rPr>
                      <w:i/>
                      <w:sz w:val="13"/>
                    </w:rPr>
                  </w:pPr>
                  <w:r>
                    <w:rPr>
                      <w:i/>
                      <w:w w:val="99"/>
                      <w:sz w:val="13"/>
                    </w:rPr>
                    <w:t>i</w:t>
                  </w:r>
                </w:p>
              </w:txbxContent>
            </v:textbox>
            <w10:wrap type="none"/>
          </v:shape>
        </w:pict>
      </w:r>
      <w:r>
        <w:rPr/>
        <w:t>B</w:t>
      </w:r>
      <w:r>
        <w:rPr>
          <w:vertAlign w:val="subscript"/>
        </w:rPr>
        <w:t>BEFORE</w:t>
      </w:r>
      <w:r>
        <w:rPr>
          <w:vertAlign w:val="baseline"/>
        </w:rPr>
        <w:t> = biomass stocks on land type </w:t>
      </w:r>
      <w:r>
        <w:rPr>
          <w:i/>
          <w:vertAlign w:val="baseline"/>
        </w:rPr>
        <w:t>i </w:t>
      </w:r>
      <w:r>
        <w:rPr>
          <w:vertAlign w:val="baseline"/>
        </w:rPr>
        <w:t>immediately before conversion, tonnes d.m. ha</w:t>
      </w:r>
      <w:r>
        <w:rPr>
          <w:vertAlign w:val="superscript"/>
        </w:rPr>
        <w:t>-1</w:t>
      </w:r>
    </w:p>
    <w:p>
      <w:pPr>
        <w:pStyle w:val="BodyText"/>
        <w:spacing w:before="180"/>
        <w:ind w:left="785"/>
      </w:pPr>
      <w:r>
        <w:rPr/>
        <w:pict>
          <v:shape style="position:absolute;margin-left:126.400291pt;margin-top:17.122177pt;width:1.8pt;height:7.2pt;mso-position-horizontal-relative:page;mso-position-vertical-relative:paragraph;z-index:-2448064" type="#_x0000_t202" filled="false" stroked="false">
            <v:textbox inset="0,0,0,0">
              <w:txbxContent>
                <w:p>
                  <w:pPr>
                    <w:spacing w:line="144" w:lineRule="exact" w:before="0"/>
                    <w:ind w:left="0" w:right="0" w:firstLine="0"/>
                    <w:jc w:val="left"/>
                    <w:rPr>
                      <w:i/>
                      <w:sz w:val="13"/>
                    </w:rPr>
                  </w:pPr>
                  <w:r>
                    <w:rPr>
                      <w:i/>
                      <w:w w:val="99"/>
                      <w:sz w:val="13"/>
                    </w:rPr>
                    <w:t>i</w:t>
                  </w:r>
                </w:p>
              </w:txbxContent>
            </v:textbox>
            <w10:wrap type="none"/>
          </v:shape>
        </w:pict>
      </w:r>
      <w:r>
        <w:rPr/>
        <w:t>B</w:t>
      </w:r>
      <w:r>
        <w:rPr>
          <w:vertAlign w:val="subscript"/>
        </w:rPr>
        <w:t>AFTER</w:t>
      </w:r>
      <w:r>
        <w:rPr>
          <w:vertAlign w:val="baseline"/>
        </w:rPr>
        <w:t> = biomass stocks that are on land immediately after conversion of land type </w:t>
      </w:r>
      <w:r>
        <w:rPr>
          <w:i/>
          <w:vertAlign w:val="baseline"/>
        </w:rPr>
        <w:t>i</w:t>
      </w:r>
      <w:r>
        <w:rPr>
          <w:vertAlign w:val="baseline"/>
        </w:rPr>
        <w:t>, tonnes d.m. ha</w:t>
      </w:r>
      <w:r>
        <w:rPr>
          <w:vertAlign w:val="superscript"/>
        </w:rPr>
        <w:t>-1</w:t>
      </w:r>
      <w:r>
        <w:rPr>
          <w:vertAlign w:val="baseline"/>
        </w:rPr>
        <w:t> (in</w:t>
      </w:r>
    </w:p>
    <w:p>
      <w:pPr>
        <w:pStyle w:val="BodyText"/>
        <w:spacing w:before="60"/>
        <w:ind w:left="1580"/>
      </w:pPr>
      <w:r>
        <w:rPr/>
        <w:t>other words, the initial biomass stock after artificial or natural regeneration)</w:t>
      </w:r>
    </w:p>
    <w:p>
      <w:pPr>
        <w:pStyle w:val="BodyText"/>
        <w:spacing w:line="424" w:lineRule="auto" w:before="137"/>
        <w:ind w:left="785" w:right="2761" w:hanging="1"/>
      </w:pPr>
      <w:r>
        <w:rPr/>
        <w:pict>
          <v:shape style="position:absolute;margin-left:148.600769pt;margin-top:15.015751pt;width:1.8pt;height:7.2pt;mso-position-horizontal-relative:page;mso-position-vertical-relative:paragraph;z-index:-2448040" type="#_x0000_t202" filled="false" stroked="false">
            <v:textbox inset="0,0,0,0">
              <w:txbxContent>
                <w:p>
                  <w:pPr>
                    <w:spacing w:line="144" w:lineRule="exact" w:before="0"/>
                    <w:ind w:left="0" w:right="0" w:firstLine="0"/>
                    <w:jc w:val="left"/>
                    <w:rPr>
                      <w:i/>
                      <w:sz w:val="13"/>
                    </w:rPr>
                  </w:pPr>
                  <w:r>
                    <w:rPr>
                      <w:i/>
                      <w:w w:val="99"/>
                      <w:sz w:val="13"/>
                    </w:rPr>
                    <w:t>i</w:t>
                  </w:r>
                </w:p>
              </w:txbxContent>
            </v:textbox>
            <w10:wrap type="none"/>
          </v:shape>
        </w:pict>
      </w:r>
      <w:r>
        <w:rPr/>
        <w:t>∆A</w:t>
      </w:r>
      <w:r>
        <w:rPr>
          <w:vertAlign w:val="subscript"/>
        </w:rPr>
        <w:t>TO_FOREST</w:t>
      </w:r>
      <w:r>
        <w:rPr>
          <w:vertAlign w:val="baseline"/>
        </w:rPr>
        <w:t> </w:t>
      </w:r>
      <w:r>
        <w:rPr>
          <w:rFonts w:ascii="Arial" w:hAnsi="Arial"/>
          <w:vertAlign w:val="baseline"/>
        </w:rPr>
        <w:t>= </w:t>
      </w:r>
      <w:r>
        <w:rPr>
          <w:vertAlign w:val="baseline"/>
        </w:rPr>
        <w:t>area of land-use </w:t>
      </w:r>
      <w:r>
        <w:rPr>
          <w:i/>
          <w:vertAlign w:val="baseline"/>
        </w:rPr>
        <w:t>i </w:t>
      </w:r>
      <w:r>
        <w:rPr>
          <w:vertAlign w:val="baseline"/>
        </w:rPr>
        <w:t>annually converted to forest land, ha yr</w:t>
      </w:r>
      <w:r>
        <w:rPr>
          <w:vertAlign w:val="superscript"/>
        </w:rPr>
        <w:t>-1</w:t>
      </w:r>
      <w:r>
        <w:rPr>
          <w:vertAlign w:val="baseline"/>
        </w:rPr>
        <w:t> CF = carbon fraction of dry matter (default = 0.5), tonnes C (tonnes d.m.)</w:t>
      </w:r>
      <w:r>
        <w:rPr>
          <w:vertAlign w:val="superscript"/>
        </w:rPr>
        <w:t>-1</w:t>
      </w:r>
    </w:p>
    <w:p>
      <w:pPr>
        <w:pStyle w:val="BodyText"/>
        <w:tabs>
          <w:tab w:pos="1143" w:val="left" w:leader="none"/>
        </w:tabs>
        <w:spacing w:line="174" w:lineRule="exact"/>
        <w:ind w:left="785"/>
      </w:pPr>
      <w:r>
        <w:rPr>
          <w:i/>
        </w:rPr>
        <w:t>i</w:t>
        <w:tab/>
      </w:r>
      <w:r>
        <w:rPr/>
        <w:t>= represent different types of land converted to</w:t>
      </w:r>
      <w:r>
        <w:rPr>
          <w:spacing w:val="-2"/>
        </w:rPr>
        <w:t> </w:t>
      </w:r>
      <w:r>
        <w:rPr/>
        <w:t>forest</w:t>
      </w:r>
    </w:p>
    <w:p>
      <w:pPr>
        <w:pStyle w:val="BodyText"/>
        <w:spacing w:before="120"/>
        <w:ind w:left="785"/>
      </w:pPr>
      <w:r>
        <w:rPr/>
        <w:t>Note: The types of land should be stratified along biomass stocks before conversion</w:t>
      </w:r>
    </w:p>
    <w:p>
      <w:pPr>
        <w:pStyle w:val="BodyText"/>
        <w:spacing w:before="9"/>
        <w:rPr>
          <w:sz w:val="30"/>
        </w:rPr>
      </w:pPr>
    </w:p>
    <w:p>
      <w:pPr>
        <w:pStyle w:val="BodyText"/>
        <w:spacing w:line="228" w:lineRule="auto"/>
        <w:ind w:left="219" w:right="354"/>
      </w:pPr>
      <w:r>
        <w:rPr/>
        <w:t>The ∆C</w:t>
      </w:r>
      <w:r>
        <w:rPr>
          <w:vertAlign w:val="subscript"/>
        </w:rPr>
        <w:t>LF</w:t>
      </w:r>
      <w:r>
        <w:rPr>
          <w:position w:val="-8"/>
          <w:sz w:val="13"/>
          <w:vertAlign w:val="baseline"/>
        </w:rPr>
        <w:t>CONVERSION </w:t>
      </w:r>
      <w:r>
        <w:rPr>
          <w:vertAlign w:val="baseline"/>
        </w:rPr>
        <w:t>can be expanded to take account of different carbon contents before transition. Tier 2 may apply calculations on subdivisions of land area (regions, ecosystems, site types etc.).</w:t>
      </w:r>
    </w:p>
    <w:p>
      <w:pPr>
        <w:spacing w:after="0" w:line="228" w:lineRule="auto"/>
        <w:sectPr>
          <w:pgSz w:w="11900" w:h="16840"/>
          <w:pgMar w:header="230" w:footer="408" w:top="560" w:bottom="600" w:left="1200" w:right="1140"/>
        </w:sectPr>
      </w:pPr>
    </w:p>
    <w:p>
      <w:pPr>
        <w:spacing w:before="128"/>
        <w:ind w:left="219" w:right="0" w:firstLine="0"/>
        <w:jc w:val="left"/>
        <w:rPr>
          <w:b/>
          <w:sz w:val="20"/>
        </w:rPr>
      </w:pPr>
      <w:r>
        <w:rPr>
          <w:b/>
          <w:sz w:val="20"/>
        </w:rPr>
        <w:t>Step 3: Change in Carbon Stocks in Living Biomass Due to Losses, ∆C</w:t>
      </w:r>
      <w:r>
        <w:rPr>
          <w:b/>
          <w:sz w:val="20"/>
          <w:vertAlign w:val="subscript"/>
        </w:rPr>
        <w:t>LF</w:t>
      </w:r>
    </w:p>
    <w:p>
      <w:pPr>
        <w:pStyle w:val="BodyText"/>
        <w:spacing w:line="193" w:lineRule="exact" w:before="128"/>
        <w:ind w:left="291"/>
      </w:pPr>
      <w:r>
        <w:rPr/>
        <w:br w:type="column"/>
      </w:r>
      <w:r>
        <w:rPr>
          <w:b/>
        </w:rPr>
        <w:t>. </w:t>
      </w:r>
      <w:r>
        <w:rPr/>
        <w:t>The annual losses in biomass</w:t>
      </w:r>
    </w:p>
    <w:p>
      <w:pPr>
        <w:spacing w:line="102" w:lineRule="exact" w:before="0"/>
        <w:ind w:left="-40" w:right="0" w:firstLine="0"/>
        <w:jc w:val="left"/>
        <w:rPr>
          <w:b/>
          <w:sz w:val="13"/>
        </w:rPr>
      </w:pPr>
      <w:r>
        <w:rPr>
          <w:b/>
          <w:sz w:val="13"/>
        </w:rPr>
        <w:t>LOSS</w:t>
      </w:r>
    </w:p>
    <w:p>
      <w:pPr>
        <w:spacing w:after="0" w:line="102" w:lineRule="exact"/>
        <w:jc w:val="left"/>
        <w:rPr>
          <w:sz w:val="13"/>
        </w:rPr>
        <w:sectPr>
          <w:type w:val="continuous"/>
          <w:pgSz w:w="11900" w:h="16840"/>
          <w:pgMar w:top="1060" w:bottom="280" w:left="1200" w:right="1140"/>
          <w:cols w:num="2" w:equalWidth="0">
            <w:col w:w="6496" w:space="40"/>
            <w:col w:w="3024"/>
          </w:cols>
        </w:sectPr>
      </w:pPr>
    </w:p>
    <w:p>
      <w:pPr>
        <w:pStyle w:val="BodyText"/>
        <w:ind w:left="219" w:right="266"/>
        <w:jc w:val="both"/>
      </w:pPr>
      <w:r>
        <w:rPr/>
        <w:t>are estimated using Equation 3.2.24. This equation repeats </w:t>
      </w:r>
      <w:r>
        <w:rPr>
          <w:i/>
        </w:rPr>
        <w:t>good practice </w:t>
      </w:r>
      <w:r>
        <w:rPr/>
        <w:t>approach given in Equation 3.2.6, Section 3.2.1, Forest land Remaining Forest land.</w:t>
      </w:r>
    </w:p>
    <w:p>
      <w:pPr>
        <w:pStyle w:val="BodyText"/>
        <w:spacing w:line="237" w:lineRule="auto" w:before="112"/>
        <w:ind w:left="219" w:right="264" w:hanging="1"/>
        <w:jc w:val="both"/>
      </w:pPr>
      <w:r>
        <w:rPr/>
        <w:t>The biomass loss due to harvest (L</w:t>
      </w:r>
      <w:r>
        <w:rPr>
          <w:vertAlign w:val="subscript"/>
        </w:rPr>
        <w:t>fellings</w:t>
      </w:r>
      <w:r>
        <w:rPr>
          <w:vertAlign w:val="baseline"/>
        </w:rPr>
        <w:t>) is estimated with the use of Equation 3.2.7, Section 3.2.1, Forest land Remaining Forest land. Tables 3A.1.9 and 3A.1.10 in Annex 3A.1 provide default data on basic wood density and biomass expansion factors. For Tier 2 and higher tiers, inventory experts are encouraged to develop country- specific wood density and BEF values for growing stock increment and harvests. The </w:t>
      </w:r>
      <w:r>
        <w:rPr>
          <w:i/>
          <w:vertAlign w:val="baseline"/>
        </w:rPr>
        <w:t>good practice </w:t>
      </w:r>
      <w:r>
        <w:rPr>
          <w:vertAlign w:val="baseline"/>
        </w:rPr>
        <w:t>approaches for estimating biomass losses due to fuel wood gathering (L</w:t>
      </w:r>
      <w:r>
        <w:rPr>
          <w:vertAlign w:val="subscript"/>
        </w:rPr>
        <w:t>fuelwood</w:t>
      </w:r>
      <w:r>
        <w:rPr>
          <w:vertAlign w:val="baseline"/>
        </w:rPr>
        <w:t>), fires and other disturbances (L</w:t>
      </w:r>
      <w:r>
        <w:rPr>
          <w:vertAlign w:val="subscript"/>
        </w:rPr>
        <w:t>disturbance</w:t>
      </w:r>
      <w:r>
        <w:rPr>
          <w:vertAlign w:val="baseline"/>
        </w:rPr>
        <w:t>) are also described in Section 3.2.1, Forest land Remaining Forest land. If no data on losses on this land category are available, all loss terms should be set to value 0, thus also ∆C</w:t>
      </w:r>
      <w:r>
        <w:rPr>
          <w:vertAlign w:val="subscript"/>
        </w:rPr>
        <w:t>LF</w:t>
      </w:r>
      <w:r>
        <w:rPr>
          <w:position w:val="-8"/>
          <w:sz w:val="13"/>
          <w:vertAlign w:val="baseline"/>
        </w:rPr>
        <w:t>LOSS </w:t>
      </w:r>
      <w:r>
        <w:rPr>
          <w:vertAlign w:val="baseline"/>
        </w:rPr>
        <w:t>then equals 0. It is </w:t>
      </w:r>
      <w:r>
        <w:rPr>
          <w:i/>
          <w:vertAlign w:val="baseline"/>
        </w:rPr>
        <w:t>good practice </w:t>
      </w:r>
      <w:r>
        <w:rPr>
          <w:vertAlign w:val="baseline"/>
        </w:rPr>
        <w:t>to ensure consistent reporting on losses of biomass between this category and Section 3.2.1 Forest land Remaining Forest land to avoid over- and underestimates due to double accounting or omissions.</w:t>
      </w:r>
    </w:p>
    <w:p>
      <w:pPr>
        <w:pStyle w:val="BodyText"/>
        <w:spacing w:before="125"/>
        <w:ind w:left="219" w:right="264" w:hanging="1"/>
        <w:jc w:val="both"/>
      </w:pPr>
      <w:r>
        <w:rPr>
          <w:b/>
        </w:rPr>
        <w:t>Tier 3: </w:t>
      </w:r>
      <w:r>
        <w:rPr/>
        <w:t>The Tier 3 follows the same equations and steps as Tier 2, but should use substantial national methodology and solely country-specific data. Tier 3 should be used, when land conversion to forest represents a key category. In the inventory, Equations 3.2.25 and 3.2.26 are expanded on fine geographical scale and stratifications according to ecosystems, vegetation types, subdivision of biomass pools, and types of land before the conversions are made. Country-defined methodologies may be based on systematic forest inventory or use geo-referenced data, and/or models for accounting for changes in biomass. National activity data should have high resolution and be available on regular basis for all categories of converted lands and forest types established on them. The methodology should be described and documented as specified in Section 5.5.6 Documentation, Archiving and Reporting.</w:t>
      </w:r>
    </w:p>
    <w:p>
      <w:pPr>
        <w:pStyle w:val="BodyText"/>
        <w:spacing w:before="3"/>
        <w:rPr>
          <w:sz w:val="21"/>
        </w:rPr>
      </w:pPr>
    </w:p>
    <w:p>
      <w:pPr>
        <w:pStyle w:val="Heading6"/>
        <w:numPr>
          <w:ilvl w:val="5"/>
          <w:numId w:val="51"/>
        </w:numPr>
        <w:tabs>
          <w:tab w:pos="1662" w:val="left" w:leader="none"/>
        </w:tabs>
        <w:spacing w:line="240" w:lineRule="auto" w:before="0" w:after="0"/>
        <w:ind w:left="1661" w:right="0" w:hanging="1442"/>
        <w:jc w:val="both"/>
      </w:pPr>
      <w:r>
        <w:rPr/>
        <w:t>2 </w:t>
      </w:r>
      <w:r>
        <w:rPr>
          <w:spacing w:val="15"/>
        </w:rPr>
        <w:t>Choice </w:t>
      </w:r>
      <w:r>
        <w:rPr>
          <w:spacing w:val="9"/>
        </w:rPr>
        <w:t>of </w:t>
      </w:r>
      <w:r>
        <w:rPr>
          <w:spacing w:val="17"/>
        </w:rPr>
        <w:t>Emission/Removal</w:t>
      </w:r>
      <w:r>
        <w:rPr>
          <w:spacing w:val="11"/>
        </w:rPr>
        <w:t> </w:t>
      </w:r>
      <w:r>
        <w:rPr>
          <w:spacing w:val="19"/>
        </w:rPr>
        <w:t>Factors</w:t>
      </w:r>
    </w:p>
    <w:p>
      <w:pPr>
        <w:spacing w:line="216" w:lineRule="auto" w:before="191"/>
        <w:ind w:left="219" w:right="0" w:firstLine="0"/>
        <w:jc w:val="both"/>
        <w:rPr>
          <w:b/>
          <w:sz w:val="13"/>
        </w:rPr>
      </w:pPr>
      <w:r>
        <w:rPr>
          <w:b/>
          <w:sz w:val="20"/>
        </w:rPr>
        <w:t>INCREASE IN CARBON STOCKS IN LIVING BIOMASS, ∆ C</w:t>
      </w:r>
      <w:r>
        <w:rPr>
          <w:b/>
          <w:sz w:val="20"/>
          <w:vertAlign w:val="subscript"/>
        </w:rPr>
        <w:t>LF</w:t>
      </w:r>
      <w:r>
        <w:rPr>
          <w:b/>
          <w:sz w:val="20"/>
          <w:vertAlign w:val="baseline"/>
        </w:rPr>
        <w:t> </w:t>
      </w:r>
      <w:r>
        <w:rPr>
          <w:b/>
          <w:position w:val="-8"/>
          <w:sz w:val="13"/>
          <w:vertAlign w:val="baseline"/>
        </w:rPr>
        <w:t>G</w:t>
      </w:r>
    </w:p>
    <w:p>
      <w:pPr>
        <w:pStyle w:val="BodyText"/>
        <w:ind w:left="219" w:right="265"/>
        <w:jc w:val="both"/>
      </w:pPr>
      <w:r>
        <w:rPr/>
        <w:t>The calculations distinguish between two broad management practices: intensive (e.g. plantation forestry with intensive site preparation and fertilisation) and extensive (e.g. naturally regenerated forests with minimum human intervention) ones. These categories can also be refined according to national circumstances, for example based on stand origin e.g. natural or artificial regeneration.</w:t>
      </w:r>
    </w:p>
    <w:p>
      <w:pPr>
        <w:pStyle w:val="BodyText"/>
        <w:spacing w:before="110"/>
        <w:ind w:left="219" w:right="263"/>
        <w:jc w:val="both"/>
      </w:pPr>
      <w:r>
        <w:rPr>
          <w:b/>
        </w:rPr>
        <w:t>Tier 1: </w:t>
      </w:r>
      <w:r>
        <w:rPr/>
        <w:t>The </w:t>
      </w:r>
      <w:r>
        <w:rPr>
          <w:i/>
        </w:rPr>
        <w:t>IPCC Guidelines </w:t>
      </w:r>
      <w:r>
        <w:rPr/>
        <w:t>provide default methodology only for aboveground biomass calculations. The present GPG report provides </w:t>
      </w:r>
      <w:r>
        <w:rPr>
          <w:i/>
        </w:rPr>
        <w:t>good practice </w:t>
      </w:r>
      <w:r>
        <w:rPr/>
        <w:t>approach to estimate for living biomass obtained as a sum of above- and belowground biomass pools (for pool description refer to Section 3.1 Introduction). The Tables 3A.1.5 and 3A.1.6 in Annex 3A.1 represent default average annual increment values in aboveground biomass of intensively and extensively managed forests (referred as plantations and naturally regenerated forests). The ratios of belowground to aboveground biomass (root-to-shoot ratio) in Table 3A.1.8 should be used to account for belowground biomass in living biomass estimations. Basic wood density (Table 3A.1.9) and biomass expansion factors (Table 3A.1.10) allow for calculation of biomass as stipulated in Section 3.2.1 Forest land Remaining Forest land.</w:t>
      </w:r>
    </w:p>
    <w:p>
      <w:pPr>
        <w:pStyle w:val="BodyText"/>
        <w:spacing w:before="119"/>
        <w:ind w:left="219" w:right="265"/>
        <w:jc w:val="both"/>
      </w:pPr>
      <w:r>
        <w:rPr>
          <w:b/>
        </w:rPr>
        <w:t>Tier 2: </w:t>
      </w:r>
      <w:r>
        <w:rPr/>
        <w:t>It is </w:t>
      </w:r>
      <w:r>
        <w:rPr>
          <w:i/>
        </w:rPr>
        <w:t>good practice </w:t>
      </w:r>
      <w:r>
        <w:rPr/>
        <w:t>to determine wherever possible annual increment values, root-to-shoot ratios, basic wood density, and biomass expansion factors in accordance with national conditions and use them in  calculations under Tier 2 approach. The possible stratifications go along tree species composition, management regime, stand age or volume, climatic region and soil type. Countries are encouraged to obtain specific biomass sequestration and expansion factors through research efforts. Further guidance is given in Section 3.2.1 Forest land Remaining Forest</w:t>
      </w:r>
      <w:r>
        <w:rPr>
          <w:spacing w:val="-1"/>
        </w:rPr>
        <w:t> </w:t>
      </w:r>
      <w:r>
        <w:rPr/>
        <w:t>land.</w:t>
      </w:r>
    </w:p>
    <w:p>
      <w:pPr>
        <w:spacing w:after="0"/>
        <w:jc w:val="both"/>
        <w:sectPr>
          <w:type w:val="continuous"/>
          <w:pgSz w:w="11900" w:h="16840"/>
          <w:pgMar w:top="1060" w:bottom="280" w:left="1200" w:right="1140"/>
        </w:sectPr>
      </w:pPr>
    </w:p>
    <w:p>
      <w:pPr>
        <w:pStyle w:val="BodyText"/>
      </w:pPr>
    </w:p>
    <w:p>
      <w:pPr>
        <w:pStyle w:val="BodyText"/>
        <w:spacing w:before="2"/>
        <w:rPr>
          <w:sz w:val="18"/>
        </w:rPr>
      </w:pPr>
    </w:p>
    <w:p>
      <w:pPr>
        <w:pStyle w:val="BodyText"/>
        <w:ind w:left="219" w:right="266"/>
        <w:jc w:val="both"/>
      </w:pPr>
      <w:r>
        <w:rPr>
          <w:b/>
        </w:rPr>
        <w:t>Tier 3: </w:t>
      </w:r>
      <w:r>
        <w:rPr/>
        <w:t>The accounting for carbon removals in biomass should be implemented based on country-specific  annual growth rates and carbon fraction in biomass from dedicated forest inventories and/or models. The inventory experts should ensure that the models and forest inventory data have been described in line with the sampling and other procedures outlined in Chapter 5, Cross-cutting Issues, of this</w:t>
      </w:r>
      <w:r>
        <w:rPr>
          <w:spacing w:val="-14"/>
        </w:rPr>
        <w:t> </w:t>
      </w:r>
      <w:r>
        <w:rPr/>
        <w:t>report.</w:t>
      </w:r>
    </w:p>
    <w:p>
      <w:pPr>
        <w:pStyle w:val="BodyText"/>
        <w:spacing w:before="2"/>
        <w:rPr>
          <w:sz w:val="22"/>
        </w:rPr>
      </w:pPr>
    </w:p>
    <w:p>
      <w:pPr>
        <w:spacing w:line="218" w:lineRule="auto" w:before="1"/>
        <w:ind w:left="219" w:right="0" w:firstLine="0"/>
        <w:jc w:val="both"/>
        <w:rPr>
          <w:b/>
          <w:sz w:val="13"/>
        </w:rPr>
      </w:pPr>
      <w:r>
        <w:rPr>
          <w:b/>
          <w:sz w:val="20"/>
        </w:rPr>
        <w:t>CHANGE IN BIOMASS STOCKS ON LAND BEFORE AND AFTER CONVERSION, ∆C</w:t>
      </w:r>
      <w:r>
        <w:rPr>
          <w:b/>
          <w:sz w:val="20"/>
          <w:vertAlign w:val="subscript"/>
        </w:rPr>
        <w:t>LF</w:t>
      </w:r>
      <w:r>
        <w:rPr>
          <w:b/>
          <w:position w:val="-8"/>
          <w:sz w:val="13"/>
          <w:vertAlign w:val="baseline"/>
        </w:rPr>
        <w:t>CONVERSION</w:t>
      </w:r>
    </w:p>
    <w:p>
      <w:pPr>
        <w:pStyle w:val="BodyText"/>
        <w:ind w:left="219" w:right="267"/>
        <w:jc w:val="both"/>
      </w:pPr>
      <w:r>
        <w:rPr/>
        <w:t>It is </w:t>
      </w:r>
      <w:r>
        <w:rPr>
          <w:i/>
        </w:rPr>
        <w:t>good practice </w:t>
      </w:r>
      <w:r>
        <w:rPr/>
        <w:t>to use values of biomass stocks for pre-conversion land uses that are consistent with values used in calculations for other land categories. For example, if default carbon stock values were used to estimate changes in carbon stocks in grassland remaining grassland, then the same default values should be used to assess carbon stocks in grassland prior to their conversion to forest land.</w:t>
      </w:r>
    </w:p>
    <w:p>
      <w:pPr>
        <w:spacing w:before="109"/>
        <w:ind w:left="219" w:right="0" w:firstLine="0"/>
        <w:jc w:val="both"/>
        <w:rPr>
          <w:sz w:val="20"/>
        </w:rPr>
      </w:pPr>
      <w:r>
        <w:rPr>
          <w:b/>
          <w:sz w:val="20"/>
        </w:rPr>
        <w:t>Tier 1: </w:t>
      </w:r>
      <w:r>
        <w:rPr>
          <w:sz w:val="20"/>
        </w:rPr>
        <w:t>The </w:t>
      </w:r>
      <w:r>
        <w:rPr>
          <w:i/>
          <w:sz w:val="20"/>
        </w:rPr>
        <w:t>IPCC Guidelines </w:t>
      </w:r>
      <w:r>
        <w:rPr>
          <w:sz w:val="20"/>
        </w:rPr>
        <w:t>do not include estimation of biomass changes in conversion process.</w:t>
      </w:r>
    </w:p>
    <w:p>
      <w:pPr>
        <w:spacing w:before="0"/>
        <w:ind w:left="219" w:right="0" w:firstLine="0"/>
        <w:jc w:val="both"/>
        <w:rPr>
          <w:sz w:val="20"/>
        </w:rPr>
      </w:pPr>
      <w:r>
        <w:rPr>
          <w:sz w:val="20"/>
        </w:rPr>
        <w:t>∆C</w:t>
      </w:r>
      <w:r>
        <w:rPr>
          <w:sz w:val="20"/>
          <w:vertAlign w:val="subscript"/>
        </w:rPr>
        <w:t>LF</w:t>
      </w:r>
      <w:r>
        <w:rPr>
          <w:position w:val="-8"/>
          <w:sz w:val="13"/>
          <w:vertAlign w:val="baseline"/>
        </w:rPr>
        <w:t>CONVERSION </w:t>
      </w:r>
      <w:r>
        <w:rPr>
          <w:sz w:val="20"/>
          <w:vertAlign w:val="baseline"/>
        </w:rPr>
        <w:t>is not included in Tier 1 calculations.</w:t>
      </w:r>
    </w:p>
    <w:p>
      <w:pPr>
        <w:pStyle w:val="BodyText"/>
        <w:spacing w:before="104"/>
        <w:ind w:left="219" w:right="264"/>
        <w:jc w:val="both"/>
      </w:pPr>
      <w:r>
        <w:rPr>
          <w:b/>
        </w:rPr>
        <w:t>Tier 2: </w:t>
      </w:r>
      <w:r>
        <w:rPr/>
        <w:t>It is </w:t>
      </w:r>
      <w:r>
        <w:rPr>
          <w:i/>
        </w:rPr>
        <w:t>good practice </w:t>
      </w:r>
      <w:r>
        <w:rPr/>
        <w:t>to obtain and use wherever possible country-specific data on biomass stocks on land before and after conversion. The estimates should be consistent with those used in the calculations of carbon stock changes in grassland, cropland, wetlands, settlements and forest categories, and obtained from national agencies or sampling. A Tier 2 approach may use some combination of country-specific and default biomass stocks (given in Tables 3A.1.2 and 3A.1.3). For default values of biomass stocks for pre-conversion land uses refer to other land categories described in the present report.</w:t>
      </w:r>
    </w:p>
    <w:p>
      <w:pPr>
        <w:pStyle w:val="BodyText"/>
        <w:spacing w:before="120"/>
        <w:ind w:left="219" w:right="266"/>
        <w:jc w:val="both"/>
      </w:pPr>
      <w:r>
        <w:rPr>
          <w:b/>
        </w:rPr>
        <w:t>Tier 3: </w:t>
      </w:r>
      <w:r>
        <w:rPr/>
        <w:t>Estimates and calculations should be performed based on country-specific survey and model data. Surveys should be based on the principles outlined in Section 5.3, and models and data documented in line with procedures outlined in Chapter 5, Cross-cutting Issues, of this report.</w:t>
      </w:r>
    </w:p>
    <w:p>
      <w:pPr>
        <w:pStyle w:val="BodyText"/>
        <w:spacing w:before="2"/>
        <w:rPr>
          <w:sz w:val="22"/>
        </w:rPr>
      </w:pPr>
    </w:p>
    <w:p>
      <w:pPr>
        <w:spacing w:line="218" w:lineRule="auto" w:before="0"/>
        <w:ind w:left="219" w:right="0" w:firstLine="0"/>
        <w:jc w:val="both"/>
        <w:rPr>
          <w:b/>
          <w:sz w:val="13"/>
        </w:rPr>
      </w:pPr>
      <w:r>
        <w:rPr>
          <w:b/>
          <w:sz w:val="20"/>
        </w:rPr>
        <w:t>CHANGE IN CARBON STOCKS IN LIVING BIOMASS DUE TO LOSSES, ∆ C</w:t>
      </w:r>
      <w:r>
        <w:rPr>
          <w:b/>
          <w:sz w:val="20"/>
          <w:vertAlign w:val="subscript"/>
        </w:rPr>
        <w:t>LF</w:t>
      </w:r>
      <w:r>
        <w:rPr>
          <w:b/>
          <w:sz w:val="20"/>
          <w:vertAlign w:val="baseline"/>
        </w:rPr>
        <w:t> </w:t>
      </w:r>
      <w:r>
        <w:rPr>
          <w:b/>
          <w:position w:val="-8"/>
          <w:sz w:val="13"/>
          <w:vertAlign w:val="baseline"/>
        </w:rPr>
        <w:t>L</w:t>
      </w:r>
    </w:p>
    <w:p>
      <w:pPr>
        <w:pStyle w:val="BodyText"/>
        <w:ind w:left="219" w:right="264"/>
        <w:jc w:val="both"/>
      </w:pPr>
      <w:r>
        <w:rPr/>
        <w:t>Harvesting and natural disturbances such as windfall, fires and insect outbreaks can result in losses of carbon on lands converted to forests. It is </w:t>
      </w:r>
      <w:r>
        <w:rPr>
          <w:i/>
        </w:rPr>
        <w:t>good practice </w:t>
      </w:r>
      <w:r>
        <w:rPr/>
        <w:t>to report on them. Section 3.2.1 Forest land Remaining Forest land, of this report provides a </w:t>
      </w:r>
      <w:r>
        <w:rPr>
          <w:i/>
        </w:rPr>
        <w:t>good practice </w:t>
      </w:r>
      <w:r>
        <w:rPr/>
        <w:t>approach for estimating losses of carbon due to harvest and natural disturbance that is fully applicable and should be used for appropriate calculations under Section 3.2.2.1.1.1 above. If changes in C stocks are derived from repeated inventories, the losses from harvesting and disturbances will be covered without a need to report on them separately. It is </w:t>
      </w:r>
      <w:r>
        <w:rPr>
          <w:i/>
        </w:rPr>
        <w:t>good practice </w:t>
      </w:r>
      <w:r>
        <w:rPr/>
        <w:t>to ensure consistent reporting on losses of biomass between this category and Section 3.2.1 Forest land Remaining Forest land to prevent double accounting or omission part of biomass loss.</w:t>
      </w:r>
    </w:p>
    <w:p>
      <w:pPr>
        <w:pStyle w:val="BodyText"/>
        <w:spacing w:before="4"/>
      </w:pPr>
    </w:p>
    <w:p>
      <w:pPr>
        <w:pStyle w:val="Heading6"/>
        <w:numPr>
          <w:ilvl w:val="5"/>
          <w:numId w:val="51"/>
        </w:numPr>
        <w:tabs>
          <w:tab w:pos="1661" w:val="left" w:leader="none"/>
        </w:tabs>
        <w:spacing w:line="240" w:lineRule="auto" w:before="0"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spacing w:line="228" w:lineRule="exact" w:before="181"/>
        <w:ind w:left="219" w:right="0" w:firstLine="0"/>
        <w:jc w:val="both"/>
        <w:rPr>
          <w:b/>
          <w:sz w:val="20"/>
        </w:rPr>
      </w:pPr>
      <w:r>
        <w:rPr>
          <w:b/>
          <w:sz w:val="20"/>
        </w:rPr>
        <w:t>AREA OF LAND CONVERTED, A</w:t>
      </w:r>
      <w:r>
        <w:rPr>
          <w:b/>
          <w:sz w:val="20"/>
          <w:vertAlign w:val="subscript"/>
        </w:rPr>
        <w:t>IN</w:t>
      </w:r>
      <w:r>
        <w:rPr>
          <w:b/>
          <w:sz w:val="20"/>
          <w:vertAlign w:val="baseline"/>
        </w:rPr>
        <w:t> </w:t>
      </w:r>
      <w:r>
        <w:rPr>
          <w:b/>
          <w:sz w:val="20"/>
          <w:vertAlign w:val="subscript"/>
        </w:rPr>
        <w:t>T_M</w:t>
      </w:r>
      <w:r>
        <w:rPr>
          <w:b/>
          <w:sz w:val="20"/>
          <w:vertAlign w:val="baseline"/>
        </w:rPr>
        <w:t> </w:t>
      </w:r>
      <w:r>
        <w:rPr>
          <w:b/>
          <w:sz w:val="20"/>
          <w:vertAlign w:val="subscript"/>
        </w:rPr>
        <w:t>A</w:t>
      </w:r>
      <w:r>
        <w:rPr>
          <w:b/>
          <w:sz w:val="20"/>
          <w:vertAlign w:val="baseline"/>
        </w:rPr>
        <w:t> </w:t>
      </w:r>
      <w:r>
        <w:rPr>
          <w:b/>
          <w:sz w:val="20"/>
          <w:vertAlign w:val="subscript"/>
        </w:rPr>
        <w:t>N</w:t>
      </w:r>
      <w:r>
        <w:rPr>
          <w:b/>
          <w:sz w:val="20"/>
          <w:vertAlign w:val="baseline"/>
        </w:rPr>
        <w:t> , A</w:t>
      </w:r>
      <w:r>
        <w:rPr>
          <w:b/>
          <w:sz w:val="20"/>
          <w:vertAlign w:val="subscript"/>
        </w:rPr>
        <w:t>EX</w:t>
      </w:r>
      <w:r>
        <w:rPr>
          <w:b/>
          <w:sz w:val="20"/>
          <w:vertAlign w:val="baseline"/>
        </w:rPr>
        <w:t> </w:t>
      </w:r>
      <w:r>
        <w:rPr>
          <w:b/>
          <w:sz w:val="20"/>
          <w:vertAlign w:val="subscript"/>
        </w:rPr>
        <w:t>T</w:t>
      </w:r>
      <w:r>
        <w:rPr>
          <w:b/>
          <w:sz w:val="20"/>
          <w:vertAlign w:val="baseline"/>
        </w:rPr>
        <w:t> </w:t>
      </w:r>
      <w:r>
        <w:rPr>
          <w:b/>
          <w:sz w:val="20"/>
          <w:vertAlign w:val="subscript"/>
        </w:rPr>
        <w:t>_</w:t>
      </w:r>
      <w:r>
        <w:rPr>
          <w:b/>
          <w:sz w:val="20"/>
          <w:vertAlign w:val="baseline"/>
        </w:rPr>
        <w:t> </w:t>
      </w:r>
      <w:r>
        <w:rPr>
          <w:b/>
          <w:sz w:val="20"/>
          <w:vertAlign w:val="subscript"/>
        </w:rPr>
        <w:t>M</w:t>
      </w:r>
      <w:r>
        <w:rPr>
          <w:b/>
          <w:sz w:val="20"/>
          <w:vertAlign w:val="baseline"/>
        </w:rPr>
        <w:t> </w:t>
      </w:r>
      <w:r>
        <w:rPr>
          <w:b/>
          <w:sz w:val="20"/>
          <w:vertAlign w:val="subscript"/>
        </w:rPr>
        <w:t>A</w:t>
      </w:r>
      <w:r>
        <w:rPr>
          <w:b/>
          <w:sz w:val="20"/>
          <w:vertAlign w:val="baseline"/>
        </w:rPr>
        <w:t> </w:t>
      </w:r>
      <w:r>
        <w:rPr>
          <w:b/>
          <w:sz w:val="20"/>
          <w:vertAlign w:val="subscript"/>
        </w:rPr>
        <w:t>N</w:t>
      </w:r>
      <w:r>
        <w:rPr>
          <w:b/>
          <w:sz w:val="20"/>
          <w:vertAlign w:val="baseline"/>
        </w:rPr>
        <w:t> , ∆ A</w:t>
      </w:r>
      <w:r>
        <w:rPr>
          <w:b/>
          <w:sz w:val="20"/>
          <w:vertAlign w:val="subscript"/>
        </w:rPr>
        <w:t>TO</w:t>
      </w:r>
      <w:r>
        <w:rPr>
          <w:b/>
          <w:sz w:val="20"/>
          <w:vertAlign w:val="baseline"/>
        </w:rPr>
        <w:t> </w:t>
      </w:r>
      <w:r>
        <w:rPr>
          <w:b/>
          <w:sz w:val="20"/>
          <w:vertAlign w:val="subscript"/>
        </w:rPr>
        <w:t>_F</w:t>
      </w:r>
      <w:r>
        <w:rPr>
          <w:b/>
          <w:sz w:val="20"/>
          <w:vertAlign w:val="baseline"/>
        </w:rPr>
        <w:t> </w:t>
      </w:r>
      <w:r>
        <w:rPr>
          <w:b/>
          <w:sz w:val="20"/>
          <w:vertAlign w:val="subscript"/>
        </w:rPr>
        <w:t>OR</w:t>
      </w:r>
      <w:r>
        <w:rPr>
          <w:b/>
          <w:sz w:val="20"/>
          <w:vertAlign w:val="baseline"/>
        </w:rPr>
        <w:t> </w:t>
      </w:r>
      <w:r>
        <w:rPr>
          <w:b/>
          <w:sz w:val="20"/>
          <w:vertAlign w:val="subscript"/>
        </w:rPr>
        <w:t>ES</w:t>
      </w:r>
      <w:r>
        <w:rPr>
          <w:b/>
          <w:sz w:val="20"/>
          <w:vertAlign w:val="baseline"/>
        </w:rPr>
        <w:t> </w:t>
      </w:r>
      <w:r>
        <w:rPr>
          <w:b/>
          <w:sz w:val="20"/>
          <w:vertAlign w:val="subscript"/>
        </w:rPr>
        <w:t>T</w:t>
      </w:r>
    </w:p>
    <w:p>
      <w:pPr>
        <w:pStyle w:val="BodyText"/>
        <w:ind w:left="219" w:right="264"/>
        <w:jc w:val="both"/>
      </w:pPr>
      <w:r>
        <w:rPr/>
        <w:t>All tiers require information on areas converted to forest land for a period of 20 years. After 20 years the areas are accounted for under Section 3.2.1 Forest land Remaining Forest land. Lands that undergo a conversion in prevailing use are covered here. Thus regeneration on existing forest land that was recently cleared as a result, for example, of harvesting or natural disturbance, should be accounted for in Section 3.2.1 Forest land Remaining Forest land because no change in land use is involved. The same data on areas should be used for Section 3.2.2.2 Change in Carbon Stocks in Dead Organic Matter, Section 3.2.2.3 Change in Carbon Stocks in Soils, and Section 3.2.2.4 Non-CO</w:t>
      </w:r>
      <w:r>
        <w:rPr>
          <w:vertAlign w:val="subscript"/>
        </w:rPr>
        <w:t>2</w:t>
      </w:r>
      <w:r>
        <w:rPr>
          <w:vertAlign w:val="baseline"/>
        </w:rPr>
        <w:t> Greenhouse Gas Emissions. The stratification in area estimation should take into consideration, if possible, the major soil types and biomass densities on land before and after</w:t>
      </w:r>
      <w:r>
        <w:rPr>
          <w:spacing w:val="-20"/>
          <w:vertAlign w:val="baseline"/>
        </w:rPr>
        <w:t> </w:t>
      </w:r>
      <w:r>
        <w:rPr>
          <w:vertAlign w:val="baseline"/>
        </w:rPr>
        <w:t>conversion.</w:t>
      </w:r>
    </w:p>
    <w:p>
      <w:pPr>
        <w:pStyle w:val="BodyText"/>
        <w:spacing w:before="116"/>
        <w:ind w:left="219" w:right="263"/>
        <w:jc w:val="both"/>
      </w:pPr>
      <w:r>
        <w:rPr/>
        <w:t>In order to be consistent with the reporting categories of the </w:t>
      </w:r>
      <w:r>
        <w:rPr>
          <w:i/>
        </w:rPr>
        <w:t>IPCC Guidelines</w:t>
      </w:r>
      <w:r>
        <w:rPr/>
        <w:t>, the areas of forests re-growing naturally on abandoned lands should be distinguished from other land conversion to forest. The  inventory experts are encouraged to search for information on prior land use to make this distinction. When Approach 1 of Chapter 2 is used, additional data may be needed to distinguish between areas of natural and artificial regeneration.</w:t>
      </w:r>
    </w:p>
    <w:p>
      <w:pPr>
        <w:pStyle w:val="BodyText"/>
        <w:spacing w:before="120"/>
        <w:ind w:left="219" w:right="265"/>
        <w:jc w:val="both"/>
      </w:pPr>
      <w:r>
        <w:rPr>
          <w:b/>
        </w:rPr>
        <w:t>Tier 1: </w:t>
      </w:r>
      <w:r>
        <w:rPr/>
        <w:t>Activity data can be obtained through national statistics, from forest services (which may have information on areas of different management practices), conservation agencies (especially for areas managed for natural regeneration), municipalities, survey and mapping agencies. Cross-checks should be made to ensure complete and consistent representation for avoiding omissions or double counting as specified in Chapter 2. If no country data are available, aggregate information can be obtained from international data sources (FAO, 1995; FAO, 2001; TBFRA,</w:t>
      </w:r>
      <w:r>
        <w:rPr>
          <w:spacing w:val="-2"/>
        </w:rPr>
        <w:t> </w:t>
      </w:r>
      <w:r>
        <w:rPr/>
        <w:t>2000).</w:t>
      </w:r>
    </w:p>
    <w:p>
      <w:pPr>
        <w:pStyle w:val="BodyText"/>
        <w:spacing w:before="120"/>
        <w:ind w:left="219" w:right="266"/>
        <w:jc w:val="both"/>
      </w:pPr>
      <w:r>
        <w:rPr/>
        <w:t>Expert judgment can be used about whether the new forests are predominantly intensively or extensively managed. In that case A</w:t>
      </w:r>
      <w:r>
        <w:rPr>
          <w:vertAlign w:val="subscript"/>
        </w:rPr>
        <w:t>INT_MAN</w:t>
      </w:r>
      <w:r>
        <w:rPr>
          <w:vertAlign w:val="baseline"/>
        </w:rPr>
        <w:t> and A</w:t>
      </w:r>
      <w:r>
        <w:rPr>
          <w:vertAlign w:val="subscript"/>
        </w:rPr>
        <w:t>EXT_MAN</w:t>
      </w:r>
      <w:r>
        <w:rPr>
          <w:vertAlign w:val="baseline"/>
        </w:rPr>
        <w:t>, data can be obtained through multiplication of annual area changes in kha or by the period of conversion (the default period is 20 years). If the proportions of areas of</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7"/>
        <w:jc w:val="both"/>
      </w:pPr>
      <w:r>
        <w:rPr/>
        <w:t>intensively and extensively managed forests can be estimated, this information can be used for further partitioning the areas to obtain more accurate estimates.</w:t>
      </w:r>
    </w:p>
    <w:p>
      <w:pPr>
        <w:pStyle w:val="BodyText"/>
        <w:spacing w:before="121"/>
        <w:ind w:left="219" w:right="262"/>
        <w:jc w:val="both"/>
      </w:pPr>
      <w:r>
        <w:rPr>
          <w:b/>
        </w:rPr>
        <w:t>Tier 2: </w:t>
      </w:r>
      <w:r>
        <w:rPr/>
        <w:t>The areas under different land categories subjected to conversion during a given year or over a period of years should be available. They come from national data sources and a land-use change matrix or its equivalent that covers all possible transitions to forest land. Country-defined national data sets should have a resolution sufficient to ensure appropriate representation of land areas in line with provisions of Chapter 2 of this report.</w:t>
      </w:r>
    </w:p>
    <w:p>
      <w:pPr>
        <w:pStyle w:val="BodyText"/>
        <w:spacing w:before="119"/>
        <w:ind w:left="219" w:right="265"/>
        <w:jc w:val="both"/>
      </w:pPr>
      <w:r>
        <w:rPr>
          <w:b/>
        </w:rPr>
        <w:t>Tier 3: </w:t>
      </w:r>
      <w:r>
        <w:rPr/>
        <w:t>National activity data on conversion of land uses to forest through natural and artificial regeneration are available, possibly from different sources, notably national forest inventories, registers of land-use and land-use changes, and remote sensing, as described in Chapter 2 of this report. These data should give a full accounting of all land use transitions to forest land and disaggregate along climate, soil and vegetation types.</w:t>
      </w:r>
    </w:p>
    <w:p>
      <w:pPr>
        <w:pStyle w:val="BodyText"/>
        <w:spacing w:before="6"/>
        <w:rPr>
          <w:sz w:val="21"/>
        </w:rPr>
      </w:pPr>
    </w:p>
    <w:p>
      <w:pPr>
        <w:pStyle w:val="Heading6"/>
        <w:numPr>
          <w:ilvl w:val="5"/>
          <w:numId w:val="51"/>
        </w:numPr>
        <w:tabs>
          <w:tab w:pos="1662" w:val="left" w:leader="none"/>
        </w:tabs>
        <w:spacing w:line="240" w:lineRule="auto" w:before="0" w:after="0"/>
        <w:ind w:left="1661" w:right="0" w:hanging="1442"/>
        <w:jc w:val="both"/>
      </w:pPr>
      <w:r>
        <w:rPr/>
        <w:t>4 </w:t>
      </w:r>
      <w:r>
        <w:rPr>
          <w:spacing w:val="17"/>
        </w:rPr>
        <w:t>Uncertainty</w:t>
      </w:r>
      <w:r>
        <w:rPr>
          <w:spacing w:val="18"/>
        </w:rPr>
        <w:t> </w:t>
      </w:r>
      <w:r>
        <w:rPr>
          <w:spacing w:val="19"/>
        </w:rPr>
        <w:t>Assessment</w:t>
      </w:r>
    </w:p>
    <w:p>
      <w:pPr>
        <w:pStyle w:val="BodyText"/>
        <w:spacing w:before="53"/>
        <w:ind w:left="219" w:right="264"/>
        <w:jc w:val="both"/>
      </w:pPr>
      <w:r>
        <w:rPr>
          <w:b/>
        </w:rPr>
        <w:t>Emission and removal factors: </w:t>
      </w:r>
      <w:r>
        <w:rPr/>
        <w:t>Non-zero default values of wood density and expansion factors may have a factor of two uncertainty associated with them. The major sources of uncertainty of default and country-specific data are associated with averaging highly variable primary numbers and further extrapolation of average values over broad areas. The use of regional and country-specific inventory data and models under Tiers 2 and 3 enables for significant reduction of uncertainties. Thus, the uncertainty of nationally determined values may be within ±30% (Zagreev </w:t>
      </w:r>
      <w:r>
        <w:rPr>
          <w:i/>
        </w:rPr>
        <w:t>et al.</w:t>
      </w:r>
      <w:r>
        <w:rPr/>
        <w:t>, 1992; Filipchuk </w:t>
      </w:r>
      <w:r>
        <w:rPr>
          <w:i/>
        </w:rPr>
        <w:t>et al.</w:t>
      </w:r>
      <w:r>
        <w:rPr/>
        <w:t>, 2000). The measures to reduce uncertainties include: increase of the number of representative sample plots and measurements over them; further stratification </w:t>
      </w:r>
      <w:r>
        <w:rPr>
          <w:spacing w:val="3"/>
        </w:rPr>
        <w:t>of </w:t>
      </w:r>
      <w:r>
        <w:rPr/>
        <w:t>estimates on the basis of similarity in growth, microclimate and other environmental characteristics; and development of local and regional parameters on the basis of comprehensive surveys and information exchange. If complex models are applied, the inventory experts should ensure their appropriate verification and documentation in accordance with Chapter 5 of this</w:t>
      </w:r>
      <w:r>
        <w:rPr>
          <w:spacing w:val="-4"/>
        </w:rPr>
        <w:t> </w:t>
      </w:r>
      <w:r>
        <w:rPr/>
        <w:t>report.</w:t>
      </w:r>
    </w:p>
    <w:p>
      <w:pPr>
        <w:pStyle w:val="BodyText"/>
        <w:spacing w:before="120"/>
        <w:ind w:left="219" w:right="261"/>
        <w:jc w:val="both"/>
      </w:pPr>
      <w:r>
        <w:rPr>
          <w:b/>
        </w:rPr>
        <w:t>Activity data: </w:t>
      </w:r>
      <w:r>
        <w:rPr/>
        <w:t>Uncertainties associated with activity data will depend on sources of information used nationally and the approaches used for land area identification described in Chapter 2 of this report. The combination of remote sensing data with ground-based surveys is the most cost-efficient method of measurements of areas of land-use change. It provides for uncertainties as low as ±10-15% and should be applied under higher tier methods. The major way to reduce uncertainty of area change estimates attributes to broad application of advanced land survey techniques on regional and local scale. However, its application may be limited by capacities of particular countries. To reduce both uncertainties of area estimates and costs of use of precise methods, regional remote sensing data centers could be established by several countries for sharing and common use of the information obtained for the purposes of sustainable land management.</w:t>
      </w:r>
    </w:p>
    <w:p>
      <w:pPr>
        <w:pStyle w:val="BodyText"/>
        <w:rPr>
          <w:sz w:val="22"/>
        </w:rPr>
      </w:pPr>
    </w:p>
    <w:p>
      <w:pPr>
        <w:pStyle w:val="Heading6"/>
        <w:numPr>
          <w:ilvl w:val="3"/>
          <w:numId w:val="51"/>
        </w:numPr>
        <w:tabs>
          <w:tab w:pos="1667" w:val="left" w:leader="none"/>
        </w:tabs>
        <w:spacing w:line="240" w:lineRule="auto" w:before="149" w:after="0"/>
        <w:ind w:left="1666" w:right="0" w:hanging="1447"/>
        <w:jc w:val="both"/>
        <w:rPr>
          <w:sz w:val="28"/>
        </w:rPr>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4"/>
        </w:rPr>
        <w:t>DEAD </w:t>
      </w:r>
      <w:r>
        <w:rPr>
          <w:spacing w:val="16"/>
        </w:rPr>
        <w:t>ORGANIC</w:t>
      </w:r>
      <w:r>
        <w:rPr>
          <w:spacing w:val="76"/>
        </w:rPr>
        <w:t> </w:t>
      </w:r>
      <w:r>
        <w:rPr>
          <w:spacing w:val="16"/>
        </w:rPr>
        <w:t>MATTER</w:t>
      </w:r>
      <w:r>
        <w:rPr>
          <w:spacing w:val="-35"/>
        </w:rPr>
        <w:t> </w:t>
      </w:r>
    </w:p>
    <w:p>
      <w:pPr>
        <w:pStyle w:val="BodyText"/>
        <w:spacing w:before="1"/>
        <w:rPr>
          <w:b/>
          <w:sz w:val="29"/>
        </w:rPr>
      </w:pPr>
    </w:p>
    <w:p>
      <w:pPr>
        <w:pStyle w:val="ListParagraph"/>
        <w:numPr>
          <w:ilvl w:val="4"/>
          <w:numId w:val="51"/>
        </w:numPr>
        <w:tabs>
          <w:tab w:pos="1660" w:val="left" w:leader="none"/>
        </w:tabs>
        <w:spacing w:line="250" w:lineRule="exact" w:before="0" w:after="0"/>
        <w:ind w:left="1659" w:right="0" w:hanging="1440"/>
        <w:jc w:val="both"/>
        <w:rPr>
          <w:b/>
          <w:sz w:val="22"/>
        </w:rPr>
      </w:pPr>
      <w:r>
        <w:rPr>
          <w:b/>
          <w:sz w:val="22"/>
        </w:rPr>
        <w:t>1 </w:t>
      </w:r>
      <w:r>
        <w:rPr>
          <w:b/>
          <w:spacing w:val="17"/>
          <w:sz w:val="22"/>
        </w:rPr>
        <w:t>METHODOLOGICAL</w:t>
      </w:r>
      <w:r>
        <w:rPr>
          <w:b/>
          <w:spacing w:val="1"/>
          <w:sz w:val="22"/>
        </w:rPr>
        <w:t> </w:t>
      </w:r>
      <w:r>
        <w:rPr>
          <w:b/>
          <w:spacing w:val="16"/>
          <w:sz w:val="22"/>
        </w:rPr>
        <w:t>ISSUES</w:t>
      </w:r>
    </w:p>
    <w:p>
      <w:pPr>
        <w:pStyle w:val="BodyText"/>
        <w:ind w:left="219" w:right="263"/>
        <w:jc w:val="both"/>
      </w:pPr>
      <w:r>
        <w:rPr/>
        <w:t>Methods to quantify emissions and removals of carbon in dead organic matter pools following conversion of land to forest land require estimates of the carbon stocks just prior to and just following conversion, and the estimates of the areas of lands converted during the period. Most other land uses will not have a dead wood or a litter pool, so that corresponding carbon pools prior to conversion can be taken as zero as a default assumption. Unmanaged forest, where converted to managed forest, could have significant carbon in these pools, as well as rangelands and wetlands, and also forest areas around settlements that may have been defined as settlements based on nearby use rather than land cover. The zero default should therefore be checked at Tiers 2 and 3. Conversion of non-forest to forest may occur so slowly that it may be difficult to distinguish when the conversion truly occurs; however, in these areas, if they were managed, the areas would probably be counted as managed forest depending on crown cover and other</w:t>
      </w:r>
      <w:r>
        <w:rPr>
          <w:spacing w:val="-2"/>
        </w:rPr>
        <w:t> </w:t>
      </w:r>
      <w:r>
        <w:rPr/>
        <w:t>thresholds.</w:t>
      </w:r>
    </w:p>
    <w:p>
      <w:pPr>
        <w:pStyle w:val="BodyText"/>
        <w:spacing w:before="2"/>
        <w:rPr>
          <w:sz w:val="21"/>
        </w:rPr>
      </w:pPr>
    </w:p>
    <w:p>
      <w:pPr>
        <w:pStyle w:val="Heading6"/>
        <w:numPr>
          <w:ilvl w:val="5"/>
          <w:numId w:val="52"/>
        </w:numPr>
        <w:tabs>
          <w:tab w:pos="1660" w:val="left" w:leader="none"/>
        </w:tabs>
        <w:spacing w:line="240" w:lineRule="auto" w:before="0" w:after="0"/>
        <w:ind w:left="1659" w:right="0" w:hanging="1440"/>
        <w:jc w:val="both"/>
      </w:pPr>
      <w:r>
        <w:rPr/>
        <w:t>1 </w:t>
      </w:r>
      <w:r>
        <w:rPr>
          <w:spacing w:val="15"/>
        </w:rPr>
        <w:t>Choice </w:t>
      </w:r>
      <w:r>
        <w:rPr>
          <w:spacing w:val="9"/>
        </w:rPr>
        <w:t>of</w:t>
      </w:r>
      <w:r>
        <w:rPr>
          <w:spacing w:val="42"/>
        </w:rPr>
        <w:t> </w:t>
      </w:r>
      <w:r>
        <w:rPr>
          <w:spacing w:val="19"/>
        </w:rPr>
        <w:t>Method</w:t>
      </w:r>
    </w:p>
    <w:p>
      <w:pPr>
        <w:spacing w:line="228" w:lineRule="exact" w:before="179"/>
        <w:ind w:left="219" w:right="0" w:firstLine="0"/>
        <w:jc w:val="both"/>
        <w:rPr>
          <w:b/>
          <w:sz w:val="20"/>
        </w:rPr>
      </w:pPr>
      <w:r>
        <w:rPr>
          <w:b/>
          <w:sz w:val="20"/>
        </w:rPr>
        <w:t>Calculation procedure for change in carbon stock in dead wood</w:t>
      </w:r>
    </w:p>
    <w:p>
      <w:pPr>
        <w:pStyle w:val="BodyText"/>
        <w:ind w:left="219" w:right="266"/>
        <w:jc w:val="both"/>
      </w:pPr>
      <w:r>
        <w:rPr/>
        <w:t>Conceptually once the carbon stock has been initiated to the value just prior to the conversion to forest (often zero by default, as discussed in the previous paragraph), annual changes for areas converting by plantations and on sites managed for natural regeneration, categorized by previous land use and forest type, can be estimated using Equation</w:t>
      </w:r>
      <w:r>
        <w:rPr>
          <w:spacing w:val="-3"/>
        </w:rPr>
        <w:t> </w:t>
      </w:r>
      <w:r>
        <w:rPr/>
        <w:t>3.2.27:</w:t>
      </w:r>
    </w:p>
    <w:p>
      <w:pPr>
        <w:spacing w:after="0"/>
        <w:jc w:val="both"/>
        <w:sectPr>
          <w:pgSz w:w="11900" w:h="16840"/>
          <w:pgMar w:header="230" w:footer="408" w:top="560" w:bottom="600" w:left="1200" w:right="1140"/>
        </w:sectPr>
      </w:pPr>
    </w:p>
    <w:p>
      <w:pPr>
        <w:pStyle w:val="BodyText"/>
      </w:pPr>
    </w:p>
    <w:p>
      <w:pPr>
        <w:pStyle w:val="BodyText"/>
        <w:spacing w:before="8"/>
        <w:rPr>
          <w:sz w:val="17"/>
        </w:rPr>
      </w:pPr>
    </w:p>
    <w:p>
      <w:pPr>
        <w:pStyle w:val="BodyText"/>
        <w:ind w:left="624"/>
      </w:pPr>
      <w:r>
        <w:rPr/>
        <w:pict>
          <v:group style="width:412.95pt;height:88.45pt;mso-position-horizontal-relative:char;mso-position-vertical-relative:line" coordorigin="0,0" coordsize="8259,1769">
            <v:line style="position:absolute" from="29,14" to="8230,14" stroked="true" strokeweight="1.44pt" strokecolor="#000000">
              <v:stroke dashstyle="solid"/>
            </v:line>
            <v:line style="position:absolute" from="29,1754" to="8230,1754" stroked="true" strokeweight="1.44pt" strokecolor="#000000">
              <v:stroke dashstyle="solid"/>
            </v:line>
            <v:line style="position:absolute" from="14,0" to="14,1769" stroked="true" strokeweight="1.44pt" strokecolor="#000000">
              <v:stroke dashstyle="solid"/>
            </v:line>
            <v:line style="position:absolute" from="8244,0" to="8244,1769" stroked="true" strokeweight="1.44pt" strokecolor="#000000">
              <v:stroke dashstyle="solid"/>
            </v:line>
            <v:shape style="position:absolute;left:1564;top:1041;width:5147;height:609" type="#_x0000_t202" filled="false" stroked="false">
              <v:textbox inset="0,0,0,0">
                <w:txbxContent>
                  <w:p>
                    <w:pPr>
                      <w:spacing w:line="221" w:lineRule="exact" w:before="0"/>
                      <w:ind w:left="71" w:right="86" w:firstLine="0"/>
                      <w:jc w:val="center"/>
                      <w:rPr>
                        <w:sz w:val="20"/>
                      </w:rPr>
                    </w:pPr>
                    <w:r>
                      <w:rPr>
                        <w:sz w:val="20"/>
                      </w:rPr>
                      <w:t>where</w:t>
                    </w:r>
                  </w:p>
                  <w:p>
                    <w:pPr>
                      <w:spacing w:before="83"/>
                      <w:ind w:left="71" w:right="89" w:firstLine="0"/>
                      <w:jc w:val="center"/>
                      <w:rPr>
                        <w:sz w:val="13"/>
                      </w:rPr>
                    </w:pPr>
                    <w:r>
                      <w:rPr>
                        <w:position w:val="3"/>
                        <w:sz w:val="20"/>
                      </w:rPr>
                      <w:t>B</w:t>
                    </w:r>
                    <w:r>
                      <w:rPr>
                        <w:sz w:val="13"/>
                      </w:rPr>
                      <w:t>into</w:t>
                    </w:r>
                    <w:r>
                      <w:rPr>
                        <w:position w:val="-5"/>
                        <w:sz w:val="13"/>
                      </w:rPr>
                      <w:t>NatR </w:t>
                    </w:r>
                    <w:r>
                      <w:rPr>
                        <w:position w:val="3"/>
                        <w:sz w:val="20"/>
                      </w:rPr>
                      <w:t>= B</w:t>
                    </w:r>
                    <w:r>
                      <w:rPr>
                        <w:sz w:val="13"/>
                      </w:rPr>
                      <w:t>standing</w:t>
                    </w:r>
                    <w:r>
                      <w:rPr>
                        <w:position w:val="-5"/>
                        <w:sz w:val="13"/>
                      </w:rPr>
                      <w:t>NatR </w:t>
                    </w:r>
                    <w:r>
                      <w:rPr>
                        <w:position w:val="3"/>
                        <w:sz w:val="20"/>
                      </w:rPr>
                      <w:t>● M</w:t>
                    </w:r>
                    <w:r>
                      <w:rPr>
                        <w:position w:val="-5"/>
                        <w:sz w:val="13"/>
                      </w:rPr>
                      <w:t>NatR </w:t>
                    </w:r>
                    <w:r>
                      <w:rPr>
                        <w:position w:val="3"/>
                        <w:sz w:val="20"/>
                      </w:rPr>
                      <w:t>and B</w:t>
                    </w:r>
                    <w:r>
                      <w:rPr>
                        <w:sz w:val="13"/>
                      </w:rPr>
                      <w:t>into</w:t>
                    </w:r>
                    <w:r>
                      <w:rPr>
                        <w:position w:val="-5"/>
                        <w:sz w:val="13"/>
                      </w:rPr>
                      <w:t>ArtR </w:t>
                    </w:r>
                    <w:r>
                      <w:rPr>
                        <w:position w:val="3"/>
                        <w:sz w:val="20"/>
                      </w:rPr>
                      <w:t>= B</w:t>
                    </w:r>
                    <w:r>
                      <w:rPr>
                        <w:sz w:val="13"/>
                      </w:rPr>
                      <w:t>standing</w:t>
                    </w:r>
                    <w:r>
                      <w:rPr>
                        <w:position w:val="-5"/>
                        <w:sz w:val="13"/>
                      </w:rPr>
                      <w:t>ArtR </w:t>
                    </w:r>
                    <w:r>
                      <w:rPr>
                        <w:position w:val="3"/>
                        <w:sz w:val="20"/>
                      </w:rPr>
                      <w:t>● M</w:t>
                    </w:r>
                    <w:r>
                      <w:rPr>
                        <w:position w:val="-5"/>
                        <w:sz w:val="13"/>
                      </w:rPr>
                      <w:t>ArtR</w:t>
                    </w:r>
                  </w:p>
                </w:txbxContent>
              </v:textbox>
              <w10:wrap type="none"/>
            </v:shape>
            <v:shape style="position:absolute;left:6547;top:672;width:714;height:221" type="#_x0000_t202" filled="false" stroked="false">
              <v:textbox inset="0,0,0,0">
                <w:txbxContent>
                  <w:p>
                    <w:pPr>
                      <w:spacing w:line="221" w:lineRule="exact" w:before="0"/>
                      <w:ind w:left="0" w:right="0" w:firstLine="0"/>
                      <w:jc w:val="left"/>
                      <w:rPr>
                        <w:sz w:val="20"/>
                      </w:rPr>
                    </w:pPr>
                    <w:r>
                      <w:rPr>
                        <w:sz w:val="20"/>
                      </w:rPr>
                      <w:t>)]} ● CF</w:t>
                    </w:r>
                  </w:p>
                </w:txbxContent>
              </v:textbox>
              <w10:wrap type="none"/>
            </v:shape>
            <v:shape style="position:absolute;left:6290;top:825;width:277;height:144" type="#_x0000_t202" filled="false" stroked="false">
              <v:textbox inset="0,0,0,0">
                <w:txbxContent>
                  <w:p>
                    <w:pPr>
                      <w:spacing w:line="144" w:lineRule="exact" w:before="0"/>
                      <w:ind w:left="0" w:right="0" w:firstLine="0"/>
                      <w:jc w:val="left"/>
                      <w:rPr>
                        <w:sz w:val="13"/>
                      </w:rPr>
                    </w:pPr>
                    <w:r>
                      <w:rPr>
                        <w:sz w:val="13"/>
                      </w:rPr>
                      <w:t>ArtR</w:t>
                    </w:r>
                  </w:p>
                </w:txbxContent>
              </v:textbox>
              <w10:wrap type="none"/>
            </v:shape>
            <v:shape style="position:absolute;left:5839;top:672;width:472;height:237" type="#_x0000_t202" filled="false" stroked="false">
              <v:textbox inset="0,0,0,0">
                <w:txbxContent>
                  <w:p>
                    <w:pPr>
                      <w:spacing w:line="237" w:lineRule="exact" w:before="0"/>
                      <w:ind w:left="0" w:right="0" w:firstLine="0"/>
                      <w:jc w:val="left"/>
                      <w:rPr>
                        <w:sz w:val="13"/>
                      </w:rPr>
                    </w:pPr>
                    <w:r>
                      <w:rPr>
                        <w:position w:val="3"/>
                        <w:sz w:val="20"/>
                      </w:rPr>
                      <w:t>– B</w:t>
                    </w:r>
                    <w:r>
                      <w:rPr>
                        <w:sz w:val="13"/>
                      </w:rPr>
                      <w:t>out</w:t>
                    </w:r>
                  </w:p>
                </w:txbxContent>
              </v:textbox>
              <w10:wrap type="none"/>
            </v:shape>
            <v:shape style="position:absolute;left:5529;top:825;width:277;height:144" type="#_x0000_t202" filled="false" stroked="false">
              <v:textbox inset="0,0,0,0">
                <w:txbxContent>
                  <w:p>
                    <w:pPr>
                      <w:spacing w:line="144" w:lineRule="exact" w:before="0"/>
                      <w:ind w:left="0" w:right="0" w:firstLine="0"/>
                      <w:jc w:val="left"/>
                      <w:rPr>
                        <w:sz w:val="13"/>
                      </w:rPr>
                    </w:pPr>
                    <w:r>
                      <w:rPr>
                        <w:sz w:val="13"/>
                      </w:rPr>
                      <w:t>ArtR</w:t>
                    </w:r>
                  </w:p>
                </w:txbxContent>
              </v:textbox>
              <w10:wrap type="none"/>
            </v:shape>
            <v:shape style="position:absolute;left:4956;top:672;width:594;height:237" type="#_x0000_t202" filled="false" stroked="false">
              <v:textbox inset="0,0,0,0">
                <w:txbxContent>
                  <w:p>
                    <w:pPr>
                      <w:numPr>
                        <w:ilvl w:val="0"/>
                        <w:numId w:val="53"/>
                      </w:numPr>
                      <w:tabs>
                        <w:tab w:pos="171" w:val="left" w:leader="none"/>
                      </w:tabs>
                      <w:spacing w:line="237" w:lineRule="exact" w:before="0"/>
                      <w:ind w:left="170" w:right="0" w:hanging="170"/>
                      <w:jc w:val="left"/>
                      <w:rPr>
                        <w:sz w:val="13"/>
                      </w:rPr>
                    </w:pPr>
                    <w:r>
                      <w:rPr>
                        <w:position w:val="3"/>
                        <w:sz w:val="20"/>
                      </w:rPr>
                      <w:t>(B</w:t>
                    </w:r>
                    <w:r>
                      <w:rPr>
                        <w:sz w:val="13"/>
                      </w:rPr>
                      <w:t>into</w:t>
                    </w:r>
                  </w:p>
                </w:txbxContent>
              </v:textbox>
              <w10:wrap type="none"/>
            </v:shape>
            <v:shape style="position:absolute;left:4646;top:825;width:277;height:144" type="#_x0000_t202" filled="false" stroked="false">
              <v:textbox inset="0,0,0,0">
                <w:txbxContent>
                  <w:p>
                    <w:pPr>
                      <w:spacing w:line="144" w:lineRule="exact" w:before="0"/>
                      <w:ind w:left="0" w:right="0" w:firstLine="0"/>
                      <w:jc w:val="left"/>
                      <w:rPr>
                        <w:sz w:val="13"/>
                      </w:rPr>
                    </w:pPr>
                    <w:r>
                      <w:rPr>
                        <w:sz w:val="13"/>
                      </w:rPr>
                      <w:t>ArtR</w:t>
                    </w:r>
                  </w:p>
                </w:txbxContent>
              </v:textbox>
              <w10:wrap type="none"/>
            </v:shape>
            <v:shape style="position:absolute;left:4089;top:672;width:580;height:221" type="#_x0000_t202" filled="false" stroked="false">
              <v:textbox inset="0,0,0,0">
                <w:txbxContent>
                  <w:p>
                    <w:pPr>
                      <w:spacing w:line="221" w:lineRule="exact" w:before="0"/>
                      <w:ind w:left="0" w:right="0" w:firstLine="0"/>
                      <w:jc w:val="left"/>
                      <w:rPr>
                        <w:sz w:val="20"/>
                      </w:rPr>
                    </w:pPr>
                    <w:r>
                      <w:rPr>
                        <w:sz w:val="20"/>
                      </w:rPr>
                      <w:t>)] + [A</w:t>
                    </w:r>
                  </w:p>
                </w:txbxContent>
              </v:textbox>
              <w10:wrap type="none"/>
            </v:shape>
            <v:shape style="position:absolute;left:3816;top:825;width:294;height:144" type="#_x0000_t202" filled="false" stroked="false">
              <v:textbox inset="0,0,0,0">
                <w:txbxContent>
                  <w:p>
                    <w:pPr>
                      <w:spacing w:line="144" w:lineRule="exact" w:before="0"/>
                      <w:ind w:left="0" w:right="0" w:firstLine="0"/>
                      <w:jc w:val="left"/>
                      <w:rPr>
                        <w:sz w:val="13"/>
                      </w:rPr>
                    </w:pPr>
                    <w:r>
                      <w:rPr>
                        <w:sz w:val="13"/>
                      </w:rPr>
                      <w:t>NatR</w:t>
                    </w:r>
                  </w:p>
                </w:txbxContent>
              </v:textbox>
              <w10:wrap type="none"/>
            </v:shape>
            <v:shape style="position:absolute;left:3364;top:672;width:472;height:237" type="#_x0000_t202" filled="false" stroked="false">
              <v:textbox inset="0,0,0,0">
                <w:txbxContent>
                  <w:p>
                    <w:pPr>
                      <w:spacing w:line="237" w:lineRule="exact" w:before="0"/>
                      <w:ind w:left="0" w:right="0" w:firstLine="0"/>
                      <w:jc w:val="left"/>
                      <w:rPr>
                        <w:sz w:val="13"/>
                      </w:rPr>
                    </w:pPr>
                    <w:r>
                      <w:rPr>
                        <w:position w:val="3"/>
                        <w:sz w:val="20"/>
                      </w:rPr>
                      <w:t>– B</w:t>
                    </w:r>
                    <w:r>
                      <w:rPr>
                        <w:sz w:val="13"/>
                      </w:rPr>
                      <w:t>out</w:t>
                    </w:r>
                  </w:p>
                </w:txbxContent>
              </v:textbox>
              <w10:wrap type="none"/>
            </v:shape>
            <v:shape style="position:absolute;left:3040;top:825;width:294;height:144" type="#_x0000_t202" filled="false" stroked="false">
              <v:textbox inset="0,0,0,0">
                <w:txbxContent>
                  <w:p>
                    <w:pPr>
                      <w:spacing w:line="144" w:lineRule="exact" w:before="0"/>
                      <w:ind w:left="0" w:right="0" w:firstLine="0"/>
                      <w:jc w:val="left"/>
                      <w:rPr>
                        <w:sz w:val="13"/>
                      </w:rPr>
                    </w:pPr>
                    <w:r>
                      <w:rPr>
                        <w:sz w:val="13"/>
                      </w:rPr>
                      <w:t>NatR</w:t>
                    </w:r>
                  </w:p>
                </w:txbxContent>
              </v:textbox>
              <w10:wrap type="none"/>
            </v:shape>
            <v:shape style="position:absolute;left:2467;top:672;width:594;height:237" type="#_x0000_t202" filled="false" stroked="false">
              <v:textbox inset="0,0,0,0">
                <w:txbxContent>
                  <w:p>
                    <w:pPr>
                      <w:numPr>
                        <w:ilvl w:val="0"/>
                        <w:numId w:val="54"/>
                      </w:numPr>
                      <w:tabs>
                        <w:tab w:pos="171" w:val="left" w:leader="none"/>
                      </w:tabs>
                      <w:spacing w:line="237" w:lineRule="exact" w:before="0"/>
                      <w:ind w:left="170" w:right="0" w:hanging="170"/>
                      <w:jc w:val="left"/>
                      <w:rPr>
                        <w:sz w:val="13"/>
                      </w:rPr>
                    </w:pPr>
                    <w:r>
                      <w:rPr>
                        <w:position w:val="3"/>
                        <w:sz w:val="20"/>
                      </w:rPr>
                      <w:t>(B</w:t>
                    </w:r>
                    <w:r>
                      <w:rPr>
                        <w:sz w:val="13"/>
                      </w:rPr>
                      <w:t>into</w:t>
                    </w:r>
                  </w:p>
                </w:txbxContent>
              </v:textbox>
              <w10:wrap type="none"/>
            </v:shape>
            <v:shape style="position:absolute;left:2160;top:825;width:294;height:144" type="#_x0000_t202" filled="false" stroked="false">
              <v:textbox inset="0,0,0,0">
                <w:txbxContent>
                  <w:p>
                    <w:pPr>
                      <w:spacing w:line="144" w:lineRule="exact" w:before="0"/>
                      <w:ind w:left="0" w:right="0" w:firstLine="0"/>
                      <w:jc w:val="left"/>
                      <w:rPr>
                        <w:sz w:val="13"/>
                      </w:rPr>
                    </w:pPr>
                    <w:r>
                      <w:rPr>
                        <w:sz w:val="13"/>
                      </w:rPr>
                      <w:t>NatR</w:t>
                    </w:r>
                  </w:p>
                </w:txbxContent>
              </v:textbox>
              <w10:wrap type="none"/>
            </v:shape>
            <v:shape style="position:absolute;left:1017;top:672;width:1165;height:297" type="#_x0000_t202" filled="false" stroked="false">
              <v:textbox inset="0,0,0,0">
                <w:txbxContent>
                  <w:p>
                    <w:pPr>
                      <w:spacing w:line="228" w:lineRule="auto" w:before="0"/>
                      <w:ind w:left="0" w:right="0" w:firstLine="0"/>
                      <w:jc w:val="left"/>
                      <w:rPr>
                        <w:sz w:val="20"/>
                      </w:rPr>
                    </w:pPr>
                    <w:r>
                      <w:rPr>
                        <w:sz w:val="20"/>
                      </w:rPr>
                      <w:t>∆C</w:t>
                    </w:r>
                    <w:r>
                      <w:rPr>
                        <w:sz w:val="20"/>
                        <w:vertAlign w:val="subscript"/>
                      </w:rPr>
                      <w:t>LF</w:t>
                    </w:r>
                    <w:r>
                      <w:rPr>
                        <w:position w:val="-8"/>
                        <w:sz w:val="13"/>
                        <w:vertAlign w:val="baseline"/>
                      </w:rPr>
                      <w:t>DW </w:t>
                    </w:r>
                    <w:r>
                      <w:rPr>
                        <w:sz w:val="20"/>
                        <w:vertAlign w:val="baseline"/>
                      </w:rPr>
                      <w:t>= {[A</w:t>
                    </w:r>
                  </w:p>
                </w:txbxContent>
              </v:textbox>
              <w10:wrap type="none"/>
            </v:shape>
            <v:shape style="position:absolute;left:355;top:136;width:7609;height:449" type="#_x0000_t202" filled="false" stroked="false">
              <v:textbox inset="0,0,0,0">
                <w:txbxContent>
                  <w:p>
                    <w:pPr>
                      <w:spacing w:line="220" w:lineRule="exact" w:before="0"/>
                      <w:ind w:left="0" w:right="61" w:firstLine="0"/>
                      <w:jc w:val="center"/>
                      <w:rPr>
                        <w:b/>
                        <w:sz w:val="20"/>
                      </w:rPr>
                    </w:pPr>
                    <w:r>
                      <w:rPr>
                        <w:b/>
                        <w:sz w:val="20"/>
                      </w:rPr>
                      <w:t>E</w:t>
                    </w:r>
                    <w:r>
                      <w:rPr>
                        <w:b/>
                        <w:sz w:val="16"/>
                      </w:rPr>
                      <w:t>QUATION </w:t>
                    </w:r>
                    <w:r>
                      <w:rPr>
                        <w:b/>
                        <w:sz w:val="20"/>
                      </w:rPr>
                      <w:t>3.2.27</w:t>
                    </w:r>
                  </w:p>
                  <w:p>
                    <w:pPr>
                      <w:spacing w:line="229" w:lineRule="exact" w:before="0"/>
                      <w:ind w:left="-1" w:right="18" w:firstLine="0"/>
                      <w:jc w:val="center"/>
                      <w:rPr>
                        <w:b/>
                        <w:sz w:val="16"/>
                      </w:rPr>
                    </w:pPr>
                    <w:r>
                      <w:rPr>
                        <w:b/>
                        <w:sz w:val="20"/>
                      </w:rPr>
                      <w:t>A</w:t>
                    </w:r>
                    <w:r>
                      <w:rPr>
                        <w:b/>
                        <w:sz w:val="16"/>
                      </w:rPr>
                      <w:t>NNUAL CHANGE IN CARBON STOCKS IN DEAD WOOD IN LAND CONVERTED TO FOREST</w:t>
                    </w:r>
                    <w:r>
                      <w:rPr>
                        <w:b/>
                        <w:spacing w:val="-27"/>
                        <w:sz w:val="16"/>
                      </w:rPr>
                      <w:t> </w:t>
                    </w:r>
                    <w:r>
                      <w:rPr>
                        <w:b/>
                        <w:sz w:val="16"/>
                      </w:rPr>
                      <w:t>LAND</w:t>
                    </w:r>
                  </w:p>
                </w:txbxContent>
              </v:textbox>
              <w10:wrap type="none"/>
            </v:shape>
          </v:group>
        </w:pict>
      </w:r>
      <w:r>
        <w:rPr/>
      </w:r>
    </w:p>
    <w:p>
      <w:pPr>
        <w:pStyle w:val="BodyText"/>
        <w:spacing w:before="3"/>
        <w:ind w:left="219"/>
        <w:jc w:val="both"/>
      </w:pPr>
      <w:r>
        <w:rPr/>
        <w:t>Where:</w:t>
      </w:r>
    </w:p>
    <w:p>
      <w:pPr>
        <w:pStyle w:val="BodyText"/>
        <w:tabs>
          <w:tab w:pos="1440" w:val="left" w:leader="none"/>
        </w:tabs>
        <w:spacing w:line="193" w:lineRule="exact" w:before="118"/>
        <w:ind w:left="785"/>
      </w:pPr>
      <w:r>
        <w:rPr/>
        <w:pict>
          <v:shape style="position:absolute;margin-left:112.120598pt;margin-top:11.021406pt;width:7.35pt;height:7.2pt;mso-position-horizontal-relative:page;mso-position-vertical-relative:paragraph;z-index:-2447560" type="#_x0000_t202" filled="false" stroked="false">
            <v:textbox inset="0,0,0,0">
              <w:txbxContent>
                <w:p>
                  <w:pPr>
                    <w:spacing w:line="144" w:lineRule="exact" w:before="0"/>
                    <w:ind w:left="0" w:right="0" w:firstLine="0"/>
                    <w:jc w:val="left"/>
                    <w:rPr>
                      <w:sz w:val="13"/>
                    </w:rPr>
                  </w:pPr>
                  <w:r>
                    <w:rPr>
                      <w:spacing w:val="-3"/>
                      <w:sz w:val="13"/>
                    </w:rPr>
                    <w:t>LF</w:t>
                  </w:r>
                </w:p>
              </w:txbxContent>
            </v:textbox>
            <w10:wrap type="none"/>
          </v:shape>
        </w:pict>
      </w:r>
      <w:r>
        <w:rPr/>
        <w:t>∆C</w:t>
        <w:tab/>
        <w:t>= annual change in carbon stocks in dead wood in land converted to forest land, tonnes C</w:t>
      </w:r>
      <w:r>
        <w:rPr>
          <w:spacing w:val="-23"/>
        </w:rPr>
        <w:t> </w:t>
      </w:r>
      <w:r>
        <w:rPr/>
        <w:t>yr</w:t>
      </w:r>
      <w:r>
        <w:rPr>
          <w:vertAlign w:val="superscript"/>
        </w:rPr>
        <w:t>-1</w:t>
      </w:r>
    </w:p>
    <w:p>
      <w:pPr>
        <w:spacing w:line="113" w:lineRule="exact" w:before="0"/>
        <w:ind w:left="1191" w:right="0" w:firstLine="0"/>
        <w:jc w:val="left"/>
        <w:rPr>
          <w:sz w:val="13"/>
        </w:rPr>
      </w:pPr>
      <w:r>
        <w:rPr>
          <w:sz w:val="13"/>
        </w:rPr>
        <w:t>DW</w:t>
      </w:r>
    </w:p>
    <w:p>
      <w:pPr>
        <w:pStyle w:val="BodyText"/>
        <w:tabs>
          <w:tab w:pos="1253" w:val="left" w:leader="none"/>
        </w:tabs>
        <w:spacing w:line="193" w:lineRule="exact" w:before="104"/>
        <w:ind w:left="785"/>
      </w:pPr>
      <w:r>
        <w:rPr/>
        <w:t>A</w:t>
        <w:tab/>
        <w:t>= area of land converted to forest land through natural regeneration,</w:t>
      </w:r>
      <w:r>
        <w:rPr>
          <w:spacing w:val="2"/>
        </w:rPr>
        <w:t> </w:t>
      </w:r>
      <w:r>
        <w:rPr/>
        <w:t>ha</w:t>
      </w:r>
    </w:p>
    <w:p>
      <w:pPr>
        <w:spacing w:line="113" w:lineRule="exact" w:before="0"/>
        <w:ind w:left="927" w:right="0" w:firstLine="0"/>
        <w:jc w:val="left"/>
        <w:rPr>
          <w:sz w:val="13"/>
        </w:rPr>
      </w:pPr>
      <w:r>
        <w:rPr>
          <w:sz w:val="13"/>
        </w:rPr>
        <w:t>NatR</w:t>
      </w:r>
    </w:p>
    <w:p>
      <w:pPr>
        <w:pStyle w:val="BodyText"/>
        <w:tabs>
          <w:tab w:pos="1239" w:val="left" w:leader="none"/>
        </w:tabs>
        <w:spacing w:line="193" w:lineRule="exact" w:before="104"/>
        <w:ind w:left="785"/>
      </w:pPr>
      <w:r>
        <w:rPr/>
        <w:t>A</w:t>
        <w:tab/>
        <w:t>= area of land converted to forest land through establishment of plantations,</w:t>
      </w:r>
      <w:r>
        <w:rPr>
          <w:spacing w:val="-8"/>
        </w:rPr>
        <w:t> </w:t>
      </w:r>
      <w:r>
        <w:rPr/>
        <w:t>ha</w:t>
      </w:r>
    </w:p>
    <w:p>
      <w:pPr>
        <w:spacing w:line="113" w:lineRule="exact" w:before="0"/>
        <w:ind w:left="929" w:right="0" w:firstLine="0"/>
        <w:jc w:val="left"/>
        <w:rPr>
          <w:sz w:val="13"/>
        </w:rPr>
      </w:pPr>
      <w:r>
        <w:rPr>
          <w:sz w:val="13"/>
        </w:rPr>
        <w:t>ArtR</w:t>
      </w:r>
    </w:p>
    <w:p>
      <w:pPr>
        <w:pStyle w:val="BodyText"/>
        <w:spacing w:line="364" w:lineRule="auto" w:before="105"/>
        <w:ind w:left="785" w:right="354"/>
      </w:pPr>
      <w:r>
        <w:rPr/>
        <w:t>B</w:t>
      </w:r>
      <w:r>
        <w:rPr>
          <w:vertAlign w:val="subscript"/>
        </w:rPr>
        <w:t>into</w:t>
      </w:r>
      <w:r>
        <w:rPr>
          <w:spacing w:val="-10"/>
          <w:vertAlign w:val="baseline"/>
        </w:rPr>
        <w:t> </w:t>
      </w:r>
      <w:r>
        <w:rPr>
          <w:vertAlign w:val="baseline"/>
        </w:rPr>
        <w:t>=</w:t>
      </w:r>
      <w:r>
        <w:rPr>
          <w:spacing w:val="-9"/>
          <w:vertAlign w:val="baseline"/>
        </w:rPr>
        <w:t> </w:t>
      </w:r>
      <w:r>
        <w:rPr>
          <w:vertAlign w:val="baseline"/>
        </w:rPr>
        <w:t>average</w:t>
      </w:r>
      <w:r>
        <w:rPr>
          <w:spacing w:val="-9"/>
          <w:vertAlign w:val="baseline"/>
        </w:rPr>
        <w:t> </w:t>
      </w:r>
      <w:r>
        <w:rPr>
          <w:vertAlign w:val="baseline"/>
        </w:rPr>
        <w:t>annual</w:t>
      </w:r>
      <w:r>
        <w:rPr>
          <w:spacing w:val="-8"/>
          <w:vertAlign w:val="baseline"/>
        </w:rPr>
        <w:t> </w:t>
      </w:r>
      <w:r>
        <w:rPr>
          <w:spacing w:val="-3"/>
          <w:vertAlign w:val="baseline"/>
        </w:rPr>
        <w:t>transfer</w:t>
      </w:r>
      <w:r>
        <w:rPr>
          <w:spacing w:val="-7"/>
          <w:vertAlign w:val="baseline"/>
        </w:rPr>
        <w:t> </w:t>
      </w:r>
      <w:r>
        <w:rPr>
          <w:vertAlign w:val="baseline"/>
        </w:rPr>
        <w:t>of</w:t>
      </w:r>
      <w:r>
        <w:rPr>
          <w:spacing w:val="-10"/>
          <w:vertAlign w:val="baseline"/>
        </w:rPr>
        <w:t> </w:t>
      </w:r>
      <w:r>
        <w:rPr>
          <w:vertAlign w:val="baseline"/>
        </w:rPr>
        <w:t>biomass</w:t>
      </w:r>
      <w:r>
        <w:rPr>
          <w:spacing w:val="-11"/>
          <w:vertAlign w:val="baseline"/>
        </w:rPr>
        <w:t> </w:t>
      </w:r>
      <w:r>
        <w:rPr>
          <w:vertAlign w:val="baseline"/>
        </w:rPr>
        <w:t>into</w:t>
      </w:r>
      <w:r>
        <w:rPr>
          <w:spacing w:val="-9"/>
          <w:vertAlign w:val="baseline"/>
        </w:rPr>
        <w:t> </w:t>
      </w:r>
      <w:r>
        <w:rPr>
          <w:vertAlign w:val="baseline"/>
        </w:rPr>
        <w:t>dead</w:t>
      </w:r>
      <w:r>
        <w:rPr>
          <w:spacing w:val="-7"/>
          <w:vertAlign w:val="baseline"/>
        </w:rPr>
        <w:t> </w:t>
      </w:r>
      <w:r>
        <w:rPr>
          <w:spacing w:val="-3"/>
          <w:vertAlign w:val="baseline"/>
        </w:rPr>
        <w:t>wood</w:t>
      </w:r>
      <w:r>
        <w:rPr>
          <w:spacing w:val="-8"/>
          <w:vertAlign w:val="baseline"/>
        </w:rPr>
        <w:t> </w:t>
      </w:r>
      <w:r>
        <w:rPr>
          <w:spacing w:val="-2"/>
          <w:vertAlign w:val="baseline"/>
        </w:rPr>
        <w:t>for</w:t>
      </w:r>
      <w:r>
        <w:rPr>
          <w:spacing w:val="-7"/>
          <w:vertAlign w:val="baseline"/>
        </w:rPr>
        <w:t> </w:t>
      </w:r>
      <w:r>
        <w:rPr>
          <w:spacing w:val="-2"/>
          <w:vertAlign w:val="baseline"/>
        </w:rPr>
        <w:t>forest</w:t>
      </w:r>
      <w:r>
        <w:rPr>
          <w:spacing w:val="-10"/>
          <w:vertAlign w:val="baseline"/>
        </w:rPr>
        <w:t> </w:t>
      </w:r>
      <w:r>
        <w:rPr>
          <w:vertAlign w:val="baseline"/>
        </w:rPr>
        <w:t>area</w:t>
      </w:r>
      <w:r>
        <w:rPr>
          <w:spacing w:val="-9"/>
          <w:vertAlign w:val="baseline"/>
        </w:rPr>
        <w:t> </w:t>
      </w:r>
      <w:r>
        <w:rPr>
          <w:vertAlign w:val="baseline"/>
        </w:rPr>
        <w:t>NatR</w:t>
      </w:r>
      <w:r>
        <w:rPr>
          <w:spacing w:val="-10"/>
          <w:vertAlign w:val="baseline"/>
        </w:rPr>
        <w:t> </w:t>
      </w:r>
      <w:r>
        <w:rPr>
          <w:vertAlign w:val="baseline"/>
        </w:rPr>
        <w:t>or</w:t>
      </w:r>
      <w:r>
        <w:rPr>
          <w:spacing w:val="-7"/>
          <w:vertAlign w:val="baseline"/>
        </w:rPr>
        <w:t> </w:t>
      </w:r>
      <w:r>
        <w:rPr>
          <w:spacing w:val="-3"/>
          <w:vertAlign w:val="baseline"/>
        </w:rPr>
        <w:t>ArtR,</w:t>
      </w:r>
      <w:r>
        <w:rPr>
          <w:spacing w:val="-9"/>
          <w:vertAlign w:val="baseline"/>
        </w:rPr>
        <w:t> </w:t>
      </w:r>
      <w:r>
        <w:rPr>
          <w:vertAlign w:val="baseline"/>
        </w:rPr>
        <w:t>tonnes</w:t>
      </w:r>
      <w:r>
        <w:rPr>
          <w:spacing w:val="-11"/>
          <w:vertAlign w:val="baseline"/>
        </w:rPr>
        <w:t> </w:t>
      </w:r>
      <w:r>
        <w:rPr>
          <w:vertAlign w:val="baseline"/>
        </w:rPr>
        <w:t>d.m.</w:t>
      </w:r>
      <w:r>
        <w:rPr>
          <w:spacing w:val="-9"/>
          <w:vertAlign w:val="baseline"/>
        </w:rPr>
        <w:t> </w:t>
      </w:r>
      <w:r>
        <w:rPr>
          <w:spacing w:val="-3"/>
          <w:vertAlign w:val="baseline"/>
        </w:rPr>
        <w:t>ha</w:t>
      </w:r>
      <w:r>
        <w:rPr>
          <w:spacing w:val="-3"/>
          <w:vertAlign w:val="superscript"/>
        </w:rPr>
        <w:t>-1</w:t>
      </w:r>
      <w:r>
        <w:rPr>
          <w:spacing w:val="-7"/>
          <w:vertAlign w:val="baseline"/>
        </w:rPr>
        <w:t> </w:t>
      </w:r>
      <w:r>
        <w:rPr>
          <w:spacing w:val="-3"/>
          <w:vertAlign w:val="baseline"/>
        </w:rPr>
        <w:t>yr</w:t>
      </w:r>
      <w:r>
        <w:rPr>
          <w:spacing w:val="-3"/>
          <w:vertAlign w:val="superscript"/>
        </w:rPr>
        <w:t>-1</w:t>
      </w:r>
      <w:r>
        <w:rPr>
          <w:spacing w:val="-3"/>
          <w:vertAlign w:val="baseline"/>
        </w:rPr>
        <w:t> </w:t>
      </w:r>
      <w:r>
        <w:rPr>
          <w:spacing w:val="-4"/>
          <w:vertAlign w:val="baseline"/>
        </w:rPr>
        <w:t>B</w:t>
      </w:r>
      <w:r>
        <w:rPr>
          <w:spacing w:val="-4"/>
          <w:vertAlign w:val="subscript"/>
        </w:rPr>
        <w:t>out</w:t>
      </w:r>
      <w:r>
        <w:rPr>
          <w:spacing w:val="-4"/>
          <w:vertAlign w:val="baseline"/>
        </w:rPr>
        <w:t> </w:t>
      </w:r>
      <w:r>
        <w:rPr>
          <w:vertAlign w:val="baseline"/>
        </w:rPr>
        <w:t>= </w:t>
      </w:r>
      <w:r>
        <w:rPr>
          <w:spacing w:val="-4"/>
          <w:vertAlign w:val="baseline"/>
        </w:rPr>
        <w:t>average </w:t>
      </w:r>
      <w:r>
        <w:rPr>
          <w:spacing w:val="-3"/>
          <w:vertAlign w:val="baseline"/>
        </w:rPr>
        <w:t>annual </w:t>
      </w:r>
      <w:r>
        <w:rPr>
          <w:spacing w:val="-4"/>
          <w:vertAlign w:val="baseline"/>
        </w:rPr>
        <w:t>transfer </w:t>
      </w:r>
      <w:r>
        <w:rPr>
          <w:vertAlign w:val="baseline"/>
        </w:rPr>
        <w:t>of </w:t>
      </w:r>
      <w:r>
        <w:rPr>
          <w:spacing w:val="-4"/>
          <w:vertAlign w:val="baseline"/>
        </w:rPr>
        <w:t>biomass </w:t>
      </w:r>
      <w:r>
        <w:rPr>
          <w:spacing w:val="-3"/>
          <w:vertAlign w:val="baseline"/>
        </w:rPr>
        <w:t>out </w:t>
      </w:r>
      <w:r>
        <w:rPr>
          <w:vertAlign w:val="baseline"/>
        </w:rPr>
        <w:t>of </w:t>
      </w:r>
      <w:r>
        <w:rPr>
          <w:spacing w:val="-3"/>
          <w:vertAlign w:val="baseline"/>
        </w:rPr>
        <w:t>dead </w:t>
      </w:r>
      <w:r>
        <w:rPr>
          <w:spacing w:val="-4"/>
          <w:vertAlign w:val="baseline"/>
        </w:rPr>
        <w:t>wood for forest </w:t>
      </w:r>
      <w:r>
        <w:rPr>
          <w:spacing w:val="-3"/>
          <w:vertAlign w:val="baseline"/>
        </w:rPr>
        <w:t>area </w:t>
      </w:r>
      <w:r>
        <w:rPr>
          <w:spacing w:val="-4"/>
          <w:vertAlign w:val="baseline"/>
        </w:rPr>
        <w:t>NatR </w:t>
      </w:r>
      <w:r>
        <w:rPr>
          <w:vertAlign w:val="baseline"/>
        </w:rPr>
        <w:t>or </w:t>
      </w:r>
      <w:r>
        <w:rPr>
          <w:spacing w:val="-4"/>
          <w:vertAlign w:val="baseline"/>
        </w:rPr>
        <w:t>ArtR, tonnes d.m. ha</w:t>
      </w:r>
      <w:r>
        <w:rPr>
          <w:spacing w:val="-4"/>
          <w:vertAlign w:val="superscript"/>
        </w:rPr>
        <w:t>-1</w:t>
      </w:r>
      <w:r>
        <w:rPr>
          <w:spacing w:val="-4"/>
          <w:vertAlign w:val="baseline"/>
        </w:rPr>
        <w:t> yr</w:t>
      </w:r>
      <w:r>
        <w:rPr>
          <w:spacing w:val="-4"/>
          <w:vertAlign w:val="superscript"/>
        </w:rPr>
        <w:t>-1</w:t>
      </w:r>
      <w:r>
        <w:rPr>
          <w:spacing w:val="-4"/>
          <w:vertAlign w:val="baseline"/>
        </w:rPr>
        <w:t> </w:t>
      </w:r>
      <w:r>
        <w:rPr>
          <w:vertAlign w:val="baseline"/>
        </w:rPr>
        <w:t>B</w:t>
      </w:r>
      <w:r>
        <w:rPr>
          <w:vertAlign w:val="subscript"/>
        </w:rPr>
        <w:t>standing</w:t>
      </w:r>
      <w:r>
        <w:rPr>
          <w:vertAlign w:val="baseline"/>
        </w:rPr>
        <w:t> = standing biomass stocks, tonnes d.m.</w:t>
      </w:r>
      <w:r>
        <w:rPr>
          <w:spacing w:val="-20"/>
          <w:vertAlign w:val="baseline"/>
        </w:rPr>
        <w:t> </w:t>
      </w:r>
      <w:r>
        <w:rPr>
          <w:vertAlign w:val="baseline"/>
        </w:rPr>
        <w:t>ha</w:t>
      </w:r>
      <w:r>
        <w:rPr>
          <w:vertAlign w:val="superscript"/>
        </w:rPr>
        <w:t>-1</w:t>
      </w:r>
    </w:p>
    <w:p>
      <w:pPr>
        <w:pStyle w:val="BodyText"/>
        <w:spacing w:line="364" w:lineRule="auto"/>
        <w:ind w:left="785" w:right="531"/>
      </w:pPr>
      <w:r>
        <w:rPr/>
        <w:t>M = mortality rate, i.e. proportion of B</w:t>
      </w:r>
      <w:r>
        <w:rPr>
          <w:vertAlign w:val="subscript"/>
        </w:rPr>
        <w:t>standing</w:t>
      </w:r>
      <w:r>
        <w:rPr>
          <w:vertAlign w:val="baseline"/>
        </w:rPr>
        <w:t> transferred annually into dead wood pool, dimensionless CF = carbon fraction of dry matter (default = 0.5), tonnes C (tonne d.m.)</w:t>
      </w:r>
      <w:r>
        <w:rPr>
          <w:vertAlign w:val="superscript"/>
        </w:rPr>
        <w:t>-1</w:t>
      </w:r>
    </w:p>
    <w:p>
      <w:pPr>
        <w:pStyle w:val="BodyText"/>
        <w:spacing w:before="2"/>
      </w:pPr>
    </w:p>
    <w:p>
      <w:pPr>
        <w:pStyle w:val="BodyText"/>
        <w:ind w:left="219" w:right="265"/>
        <w:jc w:val="both"/>
      </w:pPr>
      <w:r>
        <w:rPr/>
        <w:t>Transfers into and out of a dead wood pool are difficult to measure and the stock change method described in Equation 3.2.28 may be easier to use than the previous equation if appropriate survey data are available, collected, for example, in conjunction with the National Forest Inventory:</w:t>
      </w:r>
    </w:p>
    <w:p>
      <w:pPr>
        <w:pStyle w:val="BodyText"/>
        <w:spacing w:before="9"/>
        <w:rPr>
          <w:sz w:val="9"/>
        </w:rPr>
      </w:pPr>
      <w:r>
        <w:rPr/>
        <w:pict>
          <v:group style="position:absolute;margin-left:91.240997pt;margin-top:8.325566pt;width:412.95pt;height:54.5pt;mso-position-horizontal-relative:page;mso-position-vertical-relative:paragraph;z-index:6536;mso-wrap-distance-left:0;mso-wrap-distance-right:0" coordorigin="1825,167" coordsize="8259,1090">
            <v:line style="position:absolute" from="1854,181" to="10054,181" stroked="true" strokeweight="1.44pt" strokecolor="#000000">
              <v:stroke dashstyle="solid"/>
            </v:line>
            <v:line style="position:absolute" from="1854,1242" to="10054,1242" stroked="true" strokeweight="1.44pt" strokecolor="#000000">
              <v:stroke dashstyle="solid"/>
            </v:line>
            <v:line style="position:absolute" from="1839,167" to="1839,1256" stroked="true" strokeweight="1.44pt" strokecolor="#000000">
              <v:stroke dashstyle="solid"/>
            </v:line>
            <v:line style="position:absolute" from="10069,167" to="10069,1256" stroked="true" strokeweight="1.44pt" strokecolor="#000000">
              <v:stroke dashstyle="solid"/>
            </v:line>
            <v:shape style="position:absolute;left:4695;top:841;width:1662;height:297" type="#_x0000_t202" filled="false" stroked="false">
              <v:textbox inset="0,0,0,0">
                <w:txbxContent>
                  <w:p>
                    <w:pPr>
                      <w:spacing w:line="228" w:lineRule="auto" w:before="0"/>
                      <w:ind w:left="0" w:right="0" w:firstLine="0"/>
                      <w:jc w:val="left"/>
                      <w:rPr>
                        <w:sz w:val="13"/>
                      </w:rPr>
                    </w:pPr>
                    <w:r>
                      <w:rPr>
                        <w:sz w:val="20"/>
                      </w:rPr>
                      <w:t>∆C</w:t>
                    </w:r>
                    <w:r>
                      <w:rPr>
                        <w:sz w:val="20"/>
                        <w:vertAlign w:val="subscript"/>
                      </w:rPr>
                      <w:t>LF</w:t>
                    </w:r>
                    <w:r>
                      <w:rPr>
                        <w:position w:val="-8"/>
                        <w:sz w:val="13"/>
                        <w:vertAlign w:val="baseline"/>
                      </w:rPr>
                      <w:t>DW </w:t>
                    </w:r>
                    <w:r>
                      <w:rPr>
                        <w:sz w:val="20"/>
                        <w:vertAlign w:val="baseline"/>
                      </w:rPr>
                      <w:t>= [(B</w:t>
                    </w:r>
                    <w:r>
                      <w:rPr>
                        <w:sz w:val="20"/>
                        <w:vertAlign w:val="subscript"/>
                      </w:rPr>
                      <w:t>t</w:t>
                    </w:r>
                    <w:r>
                      <w:rPr>
                        <w:position w:val="-8"/>
                        <w:sz w:val="13"/>
                        <w:vertAlign w:val="baseline"/>
                      </w:rPr>
                      <w:t>2 </w:t>
                    </w:r>
                    <w:r>
                      <w:rPr>
                        <w:sz w:val="20"/>
                        <w:vertAlign w:val="baseline"/>
                      </w:rPr>
                      <w:t>– B</w:t>
                    </w:r>
                    <w:r>
                      <w:rPr>
                        <w:sz w:val="20"/>
                        <w:vertAlign w:val="subscript"/>
                      </w:rPr>
                      <w:t>t</w:t>
                    </w:r>
                    <w:r>
                      <w:rPr>
                        <w:position w:val="-8"/>
                        <w:sz w:val="13"/>
                        <w:vertAlign w:val="baseline"/>
                      </w:rPr>
                      <w:t>1</w:t>
                    </w:r>
                  </w:p>
                </w:txbxContent>
              </v:textbox>
              <w10:wrap type="none"/>
            </v:shape>
            <v:shape style="position:absolute;left:2180;top:303;width:7609;height:759" type="#_x0000_t202" filled="false" stroked="false">
              <v:textbox inset="0,0,0,0">
                <w:txbxContent>
                  <w:p>
                    <w:pPr>
                      <w:spacing w:line="221" w:lineRule="exact" w:before="0"/>
                      <w:ind w:left="0" w:right="61" w:firstLine="0"/>
                      <w:jc w:val="center"/>
                      <w:rPr>
                        <w:b/>
                        <w:sz w:val="20"/>
                      </w:rPr>
                    </w:pPr>
                    <w:r>
                      <w:rPr>
                        <w:b/>
                        <w:sz w:val="20"/>
                      </w:rPr>
                      <w:t>E</w:t>
                    </w:r>
                    <w:r>
                      <w:rPr>
                        <w:b/>
                        <w:sz w:val="16"/>
                      </w:rPr>
                      <w:t>QUATION </w:t>
                    </w:r>
                    <w:r>
                      <w:rPr>
                        <w:b/>
                        <w:sz w:val="20"/>
                      </w:rPr>
                      <w:t>3.2.28</w:t>
                    </w:r>
                  </w:p>
                  <w:p>
                    <w:pPr>
                      <w:spacing w:before="0"/>
                      <w:ind w:left="0" w:right="18" w:firstLine="0"/>
                      <w:jc w:val="center"/>
                      <w:rPr>
                        <w:b/>
                        <w:sz w:val="16"/>
                      </w:rPr>
                    </w:pPr>
                    <w:r>
                      <w:rPr>
                        <w:b/>
                        <w:sz w:val="20"/>
                      </w:rPr>
                      <w:t>A</w:t>
                    </w:r>
                    <w:r>
                      <w:rPr>
                        <w:b/>
                        <w:sz w:val="16"/>
                      </w:rPr>
                      <w:t>NNUAL CHANGE IN CARBON STOCKS IN DEAD WOOD IN LAND CONVERTED TO FOREST LAND</w:t>
                    </w:r>
                  </w:p>
                  <w:p>
                    <w:pPr>
                      <w:spacing w:before="77"/>
                      <w:ind w:left="4135" w:right="2557" w:firstLine="0"/>
                      <w:jc w:val="center"/>
                      <w:rPr>
                        <w:sz w:val="20"/>
                      </w:rPr>
                    </w:pPr>
                    <w:r>
                      <w:rPr>
                        <w:sz w:val="20"/>
                      </w:rPr>
                      <w:t>) / T] ● CF</w:t>
                    </w:r>
                  </w:p>
                </w:txbxContent>
              </v:textbox>
              <w10:wrap type="none"/>
            </v:shape>
            <w10:wrap type="topAndBottom"/>
          </v:group>
        </w:pict>
      </w:r>
    </w:p>
    <w:p>
      <w:pPr>
        <w:pStyle w:val="BodyText"/>
        <w:spacing w:line="220" w:lineRule="exact"/>
        <w:ind w:left="219"/>
        <w:jc w:val="both"/>
      </w:pPr>
      <w:r>
        <w:rPr/>
        <w:t>Where:</w:t>
      </w:r>
    </w:p>
    <w:p>
      <w:pPr>
        <w:pStyle w:val="BodyText"/>
        <w:tabs>
          <w:tab w:pos="1457" w:val="left" w:leader="none"/>
        </w:tabs>
        <w:spacing w:line="193" w:lineRule="exact" w:before="120"/>
        <w:ind w:left="785"/>
      </w:pPr>
      <w:r>
        <w:rPr/>
        <w:pict>
          <v:shape style="position:absolute;margin-left:112.120598pt;margin-top:11.121878pt;width:7.35pt;height:7.2pt;mso-position-horizontal-relative:page;mso-position-vertical-relative:paragraph;z-index:-2447488" type="#_x0000_t202" filled="false" stroked="false">
            <v:textbox inset="0,0,0,0">
              <w:txbxContent>
                <w:p>
                  <w:pPr>
                    <w:spacing w:line="144" w:lineRule="exact" w:before="0"/>
                    <w:ind w:left="0" w:right="0" w:firstLine="0"/>
                    <w:jc w:val="left"/>
                    <w:rPr>
                      <w:sz w:val="13"/>
                    </w:rPr>
                  </w:pPr>
                  <w:r>
                    <w:rPr>
                      <w:spacing w:val="-3"/>
                      <w:sz w:val="13"/>
                    </w:rPr>
                    <w:t>LF</w:t>
                  </w:r>
                </w:p>
              </w:txbxContent>
            </v:textbox>
            <w10:wrap type="none"/>
          </v:shape>
        </w:pict>
      </w:r>
      <w:r>
        <w:rPr/>
        <w:t>∆C</w:t>
        <w:tab/>
        <w:t>= annual change in carbon stocks in dead wood in land converted to forest land, tonnes C ha</w:t>
      </w:r>
      <w:r>
        <w:rPr>
          <w:vertAlign w:val="superscript"/>
        </w:rPr>
        <w:t>-1</w:t>
      </w:r>
      <w:r>
        <w:rPr>
          <w:spacing w:val="-34"/>
          <w:vertAlign w:val="baseline"/>
        </w:rPr>
        <w:t> </w:t>
      </w:r>
      <w:r>
        <w:rPr>
          <w:vertAlign w:val="baseline"/>
        </w:rPr>
        <w:t>yr</w:t>
      </w:r>
      <w:r>
        <w:rPr>
          <w:vertAlign w:val="superscript"/>
        </w:rPr>
        <w:t>-1</w:t>
      </w:r>
    </w:p>
    <w:p>
      <w:pPr>
        <w:spacing w:line="113" w:lineRule="exact" w:before="0"/>
        <w:ind w:left="1191" w:right="0" w:firstLine="0"/>
        <w:jc w:val="left"/>
        <w:rPr>
          <w:sz w:val="13"/>
        </w:rPr>
      </w:pPr>
      <w:r>
        <w:rPr>
          <w:sz w:val="13"/>
        </w:rPr>
        <w:t>DW</w:t>
      </w:r>
    </w:p>
    <w:p>
      <w:pPr>
        <w:pStyle w:val="BodyText"/>
        <w:spacing w:before="102"/>
        <w:ind w:left="785"/>
      </w:pPr>
      <w:r>
        <w:rPr/>
        <w:pict>
          <v:shape style="position:absolute;margin-left:107.800743pt;margin-top:13.221697pt;width:3.25pt;height:7.2pt;mso-position-horizontal-relative:page;mso-position-vertical-relative:paragraph;z-index:-2447536" type="#_x0000_t202" filled="false" stroked="false">
            <v:textbox inset="0,0,0,0">
              <w:txbxContent>
                <w:p>
                  <w:pPr>
                    <w:spacing w:line="144" w:lineRule="exact" w:before="0"/>
                    <w:ind w:left="0" w:right="0" w:firstLine="0"/>
                    <w:jc w:val="left"/>
                    <w:rPr>
                      <w:sz w:val="13"/>
                    </w:rPr>
                  </w:pPr>
                  <w:r>
                    <w:rPr>
                      <w:w w:val="99"/>
                      <w:sz w:val="13"/>
                    </w:rPr>
                    <w:t>2</w:t>
                  </w:r>
                </w:p>
              </w:txbxContent>
            </v:textbox>
            <w10:wrap type="none"/>
          </v:shape>
        </w:pict>
      </w:r>
      <w:r>
        <w:rPr/>
        <w:t>B</w:t>
      </w:r>
      <w:r>
        <w:rPr>
          <w:vertAlign w:val="subscript"/>
        </w:rPr>
        <w:t>t</w:t>
      </w:r>
      <w:r>
        <w:rPr>
          <w:vertAlign w:val="baseline"/>
        </w:rPr>
        <w:t> = dead wood stock at time t</w:t>
      </w:r>
      <w:r>
        <w:rPr>
          <w:vertAlign w:val="subscript"/>
        </w:rPr>
        <w:t>2</w:t>
      </w:r>
      <w:r>
        <w:rPr>
          <w:vertAlign w:val="baseline"/>
        </w:rPr>
        <w:t>, tonnes d.m. ha</w:t>
      </w:r>
      <w:r>
        <w:rPr>
          <w:vertAlign w:val="superscript"/>
        </w:rPr>
        <w:t>-1</w:t>
      </w:r>
    </w:p>
    <w:p>
      <w:pPr>
        <w:pStyle w:val="BodyText"/>
        <w:spacing w:before="180"/>
        <w:ind w:left="785"/>
      </w:pPr>
      <w:r>
        <w:rPr/>
        <w:pict>
          <v:shape style="position:absolute;margin-left:107.800743pt;margin-top:17.122166pt;width:3.25pt;height:7.2pt;mso-position-horizontal-relative:page;mso-position-vertical-relative:paragraph;z-index:-2447512" type="#_x0000_t202" filled="false" stroked="false">
            <v:textbox inset="0,0,0,0">
              <w:txbxContent>
                <w:p>
                  <w:pPr>
                    <w:spacing w:line="144" w:lineRule="exact" w:before="0"/>
                    <w:ind w:left="0" w:right="0" w:firstLine="0"/>
                    <w:jc w:val="left"/>
                    <w:rPr>
                      <w:sz w:val="13"/>
                    </w:rPr>
                  </w:pPr>
                  <w:r>
                    <w:rPr>
                      <w:w w:val="99"/>
                      <w:sz w:val="13"/>
                    </w:rPr>
                    <w:t>1</w:t>
                  </w:r>
                </w:p>
              </w:txbxContent>
            </v:textbox>
            <w10:wrap type="none"/>
          </v:shape>
        </w:pict>
      </w:r>
      <w:r>
        <w:rPr/>
        <w:t>B</w:t>
      </w:r>
      <w:r>
        <w:rPr>
          <w:vertAlign w:val="subscript"/>
        </w:rPr>
        <w:t>t</w:t>
      </w:r>
      <w:r>
        <w:rPr>
          <w:vertAlign w:val="baseline"/>
        </w:rPr>
        <w:t> = dead wood stock at time t</w:t>
      </w:r>
      <w:r>
        <w:rPr>
          <w:vertAlign w:val="subscript"/>
        </w:rPr>
        <w:t>1</w:t>
      </w:r>
      <w:r>
        <w:rPr>
          <w:vertAlign w:val="baseline"/>
        </w:rPr>
        <w:t> (the previous time), tonnes d.m. ha</w:t>
      </w:r>
      <w:r>
        <w:rPr>
          <w:vertAlign w:val="superscript"/>
        </w:rPr>
        <w:t>-1</w:t>
      </w:r>
    </w:p>
    <w:p>
      <w:pPr>
        <w:pStyle w:val="BodyText"/>
        <w:spacing w:line="364" w:lineRule="auto" w:before="181"/>
        <w:ind w:left="785" w:right="673"/>
      </w:pPr>
      <w:r>
        <w:rPr/>
        <w:t>T = ( t</w:t>
      </w:r>
      <w:r>
        <w:rPr>
          <w:vertAlign w:val="subscript"/>
        </w:rPr>
        <w:t>2</w:t>
      </w:r>
      <w:r>
        <w:rPr>
          <w:vertAlign w:val="baseline"/>
        </w:rPr>
        <w:t> – t</w:t>
      </w:r>
      <w:r>
        <w:rPr>
          <w:vertAlign w:val="subscript"/>
        </w:rPr>
        <w:t>1</w:t>
      </w:r>
      <w:r>
        <w:rPr>
          <w:vertAlign w:val="baseline"/>
        </w:rPr>
        <w:t>) = time period between time of the second stock estimate and the first stock estimate, yr CF = carbon fraction of dry matter (default = 0.5), tonnes C (tonne d.m.)</w:t>
      </w:r>
      <w:r>
        <w:rPr>
          <w:vertAlign w:val="superscript"/>
        </w:rPr>
        <w:t>-1</w:t>
      </w:r>
    </w:p>
    <w:p>
      <w:pPr>
        <w:pStyle w:val="BodyText"/>
        <w:spacing w:before="11"/>
        <w:rPr>
          <w:sz w:val="19"/>
        </w:rPr>
      </w:pPr>
    </w:p>
    <w:p>
      <w:pPr>
        <w:pStyle w:val="BodyText"/>
        <w:ind w:left="219" w:right="262"/>
        <w:jc w:val="both"/>
      </w:pPr>
      <w:r>
        <w:rPr/>
        <w:t>The decision tree in Figure 3.1.2 (Section 3.1.6) provides assistance in the selection of the appropriate tier level for the implementation of estimation procedures. Dead wood carbon estimates often differ significantly by previous land use, forest type, and regeneration type. Theoretically, Equations 3.2.27 and 3.2.28 should give the same carbon estimates. In practical terms, data availability and desired accuracy determines choice of equation.</w:t>
      </w:r>
    </w:p>
    <w:p>
      <w:pPr>
        <w:pStyle w:val="BodyText"/>
        <w:spacing w:before="122"/>
        <w:ind w:left="219" w:right="262"/>
        <w:jc w:val="both"/>
      </w:pPr>
      <w:r>
        <w:rPr>
          <w:b/>
        </w:rPr>
        <w:t>Tier 1 (Default): </w:t>
      </w:r>
      <w:r>
        <w:rPr/>
        <w:t>The </w:t>
      </w:r>
      <w:r>
        <w:rPr>
          <w:i/>
        </w:rPr>
        <w:t>IPCC Guidelines</w:t>
      </w:r>
      <w:r>
        <w:rPr/>
        <w:t>, consistent with reporting under Tier 1, assume no change in dead wood carbon in land converting to forest. This is consistent with Equation 3.2.27 on the assumption that annual transfers into the dead wood pool are the same as transfer out, and with Equation 3.2.28 if inventory of carbon stocks have been performed at different times.</w:t>
      </w:r>
    </w:p>
    <w:p>
      <w:pPr>
        <w:pStyle w:val="BodyText"/>
        <w:spacing w:before="119"/>
        <w:ind w:left="219" w:right="265"/>
        <w:jc w:val="both"/>
      </w:pPr>
      <w:r>
        <w:rPr>
          <w:b/>
        </w:rPr>
        <w:t>Tier 2: </w:t>
      </w:r>
      <w:r>
        <w:rPr/>
        <w:t>Tier 2 uses Equation 3.2.27 when transfer rates into and out of the dead wood pool have been estimated using data from research plots sited nationally or in countries with similar conditions, and Equation 3.2.28 when carbon stocks are measured. For comparative purposes, new plots, where established, should be sited on the  basis</w:t>
      </w:r>
      <w:r>
        <w:rPr>
          <w:spacing w:val="-4"/>
        </w:rPr>
        <w:t> </w:t>
      </w:r>
      <w:r>
        <w:rPr/>
        <w:t>of</w:t>
      </w:r>
      <w:r>
        <w:rPr>
          <w:spacing w:val="-4"/>
        </w:rPr>
        <w:t> </w:t>
      </w:r>
      <w:r>
        <w:rPr/>
        <w:t>the</w:t>
      </w:r>
      <w:r>
        <w:rPr>
          <w:spacing w:val="-1"/>
        </w:rPr>
        <w:t> </w:t>
      </w:r>
      <w:r>
        <w:rPr/>
        <w:t>sampling</w:t>
      </w:r>
      <w:r>
        <w:rPr>
          <w:spacing w:val="-3"/>
        </w:rPr>
        <w:t> </w:t>
      </w:r>
      <w:r>
        <w:rPr/>
        <w:t>principles</w:t>
      </w:r>
      <w:r>
        <w:rPr>
          <w:spacing w:val="-3"/>
        </w:rPr>
        <w:t> </w:t>
      </w:r>
      <w:r>
        <w:rPr/>
        <w:t>set</w:t>
      </w:r>
      <w:r>
        <w:rPr>
          <w:spacing w:val="-3"/>
        </w:rPr>
        <w:t> </w:t>
      </w:r>
      <w:r>
        <w:rPr/>
        <w:t>out</w:t>
      </w:r>
      <w:r>
        <w:rPr>
          <w:spacing w:val="-2"/>
        </w:rPr>
        <w:t> </w:t>
      </w:r>
      <w:r>
        <w:rPr/>
        <w:t>in</w:t>
      </w:r>
      <w:r>
        <w:rPr>
          <w:spacing w:val="-3"/>
        </w:rPr>
        <w:t> </w:t>
      </w:r>
      <w:r>
        <w:rPr/>
        <w:t>Section</w:t>
      </w:r>
      <w:r>
        <w:rPr>
          <w:spacing w:val="-3"/>
        </w:rPr>
        <w:t> </w:t>
      </w:r>
      <w:r>
        <w:rPr/>
        <w:t>5.3</w:t>
      </w:r>
      <w:r>
        <w:rPr>
          <w:spacing w:val="1"/>
        </w:rPr>
        <w:t> </w:t>
      </w:r>
      <w:r>
        <w:rPr/>
        <w:t>with</w:t>
      </w:r>
      <w:r>
        <w:rPr>
          <w:spacing w:val="-4"/>
        </w:rPr>
        <w:t> </w:t>
      </w:r>
      <w:r>
        <w:rPr/>
        <w:t>stratification</w:t>
      </w:r>
      <w:r>
        <w:rPr>
          <w:spacing w:val="-3"/>
        </w:rPr>
        <w:t> </w:t>
      </w:r>
      <w:r>
        <w:rPr/>
        <w:t>by</w:t>
      </w:r>
      <w:r>
        <w:rPr>
          <w:spacing w:val="-6"/>
        </w:rPr>
        <w:t> </w:t>
      </w:r>
      <w:r>
        <w:rPr/>
        <w:t>forest</w:t>
      </w:r>
      <w:r>
        <w:rPr>
          <w:spacing w:val="-2"/>
        </w:rPr>
        <w:t> </w:t>
      </w:r>
      <w:r>
        <w:rPr/>
        <w:t>type</w:t>
      </w:r>
      <w:r>
        <w:rPr>
          <w:spacing w:val="-1"/>
        </w:rPr>
        <w:t> </w:t>
      </w:r>
      <w:r>
        <w:rPr/>
        <w:t>and conversion</w:t>
      </w:r>
      <w:r>
        <w:rPr>
          <w:spacing w:val="-3"/>
        </w:rPr>
        <w:t> </w:t>
      </w:r>
      <w:r>
        <w:rPr/>
        <w:t>regime.</w:t>
      </w:r>
    </w:p>
    <w:p>
      <w:pPr>
        <w:pStyle w:val="BodyText"/>
        <w:spacing w:before="119"/>
        <w:ind w:left="219" w:right="262"/>
        <w:jc w:val="both"/>
      </w:pPr>
      <w:r>
        <w:rPr>
          <w:b/>
        </w:rPr>
        <w:t>Tier 3: </w:t>
      </w:r>
      <w:r>
        <w:rPr/>
        <w:t>Tier 3 methods can be used where countries have detailed inventories based on sample plots in their managed forests, or detailed models validated against representative litter accumulation data. The statistical design of the inventory (or for sample collection for model validation) should follow the principles set out in Section 5.3, which will facilitate unbiased results and provide information on associated uncertainties.</w:t>
      </w:r>
    </w:p>
    <w:p>
      <w:pPr>
        <w:spacing w:after="0"/>
        <w:jc w:val="both"/>
        <w:sectPr>
          <w:pgSz w:w="11900" w:h="16840"/>
          <w:pgMar w:header="230" w:footer="408" w:top="560" w:bottom="600" w:left="1200" w:right="1140"/>
        </w:sectPr>
      </w:pPr>
    </w:p>
    <w:p>
      <w:pPr>
        <w:pStyle w:val="BodyText"/>
      </w:pPr>
    </w:p>
    <w:p>
      <w:pPr>
        <w:pStyle w:val="BodyText"/>
        <w:spacing w:before="7"/>
        <w:rPr>
          <w:sz w:val="18"/>
        </w:rPr>
      </w:pPr>
    </w:p>
    <w:p>
      <w:pPr>
        <w:spacing w:line="228" w:lineRule="exact" w:before="0"/>
        <w:ind w:left="219" w:right="0" w:firstLine="0"/>
        <w:jc w:val="left"/>
        <w:rPr>
          <w:b/>
          <w:sz w:val="20"/>
        </w:rPr>
      </w:pPr>
      <w:r>
        <w:rPr>
          <w:b/>
          <w:sz w:val="20"/>
        </w:rPr>
        <w:t>Calculation procedure for change in carbon stock in litter </w:t>
      </w:r>
    </w:p>
    <w:p>
      <w:pPr>
        <w:pStyle w:val="BodyText"/>
        <w:ind w:left="219" w:right="266"/>
        <w:jc w:val="both"/>
      </w:pPr>
      <w:r>
        <w:rPr/>
        <w:t>The approach to estimating change of carbon in litter reflects expected differences in patterns and duration of changes in litter carbon for intensively managed plantations and naturally regenerating forests on lands converting to forest.</w:t>
      </w:r>
    </w:p>
    <w:p>
      <w:pPr>
        <w:pStyle w:val="BodyText"/>
        <w:spacing w:before="119"/>
        <w:ind w:left="219" w:right="265"/>
        <w:jc w:val="both"/>
      </w:pPr>
      <w:r>
        <w:rPr/>
        <w:t>Conceptually once the carbon stock has been initialized to the value just prior to the conversion to forest (often zero by default, as just discussed), annual changes for areas converting by plantations and on sites managed for natural regeneration, categorized by previous land use and forest type, can be estimated using Equation 3.2.29:</w:t>
      </w:r>
    </w:p>
    <w:p>
      <w:pPr>
        <w:pStyle w:val="BodyText"/>
        <w:spacing w:before="2"/>
        <w:rPr>
          <w:sz w:val="13"/>
        </w:rPr>
      </w:pPr>
    </w:p>
    <w:p>
      <w:pPr>
        <w:pStyle w:val="BodyText"/>
        <w:ind w:left="624"/>
      </w:pPr>
      <w:r>
        <w:rPr/>
        <w:pict>
          <v:group style="width:412.95pt;height:54.5pt;mso-position-horizontal-relative:char;mso-position-vertical-relative:line" coordorigin="0,0" coordsize="8259,1090">
            <v:line style="position:absolute" from="29,14" to="8230,14" stroked="true" strokeweight="1.44pt" strokecolor="#000000">
              <v:stroke dashstyle="solid"/>
            </v:line>
            <v:line style="position:absolute" from="29,1075" to="8230,1075" stroked="true" strokeweight="1.44pt" strokecolor="#000000">
              <v:stroke dashstyle="solid"/>
            </v:line>
            <v:line style="position:absolute" from="14,0" to="14,1090" stroked="true" strokeweight="1.44pt" strokecolor="#000000">
              <v:stroke dashstyle="solid"/>
            </v:line>
            <v:line style="position:absolute" from="8244,0" to="8244,1090" stroked="true" strokeweight="1.44pt" strokecolor="#000000">
              <v:stroke dashstyle="solid"/>
            </v:line>
            <v:shape style="position:absolute;left:4358;top:674;width:1572;height:221" type="#_x0000_t202" filled="false" stroked="false">
              <v:textbox inset="0,0,0,0">
                <w:txbxContent>
                  <w:p>
                    <w:pPr>
                      <w:tabs>
                        <w:tab w:pos="801" w:val="left" w:leader="none"/>
                        <w:tab w:pos="1485" w:val="left" w:leader="none"/>
                      </w:tabs>
                      <w:spacing w:line="221" w:lineRule="exact" w:before="0"/>
                      <w:ind w:left="0" w:right="0" w:firstLine="0"/>
                      <w:jc w:val="left"/>
                      <w:rPr>
                        <w:sz w:val="20"/>
                      </w:rPr>
                    </w:pPr>
                    <w:r>
                      <w:rPr>
                        <w:sz w:val="20"/>
                      </w:rPr>
                      <w:t>] +</w:t>
                    </w:r>
                    <w:r>
                      <w:rPr>
                        <w:spacing w:val="1"/>
                        <w:sz w:val="20"/>
                      </w:rPr>
                      <w:t> </w:t>
                    </w:r>
                    <w:r>
                      <w:rPr>
                        <w:sz w:val="20"/>
                      </w:rPr>
                      <w:t>[A</w:t>
                      <w:tab/>
                      <w:t>●</w:t>
                    </w:r>
                    <w:r>
                      <w:rPr>
                        <w:spacing w:val="-1"/>
                        <w:sz w:val="20"/>
                      </w:rPr>
                      <w:t> </w:t>
                    </w:r>
                    <w:r>
                      <w:rPr>
                        <w:sz w:val="20"/>
                      </w:rPr>
                      <w:t>∆C</w:t>
                      <w:tab/>
                      <w:t>]</w:t>
                    </w:r>
                  </w:p>
                </w:txbxContent>
              </v:textbox>
              <w10:wrap type="none"/>
            </v:shape>
            <v:shape style="position:absolute;left:3657;top:674;width:449;height:221" type="#_x0000_t202" filled="false" stroked="false">
              <v:textbox inset="0,0,0,0">
                <w:txbxContent>
                  <w:p>
                    <w:pPr>
                      <w:numPr>
                        <w:ilvl w:val="0"/>
                        <w:numId w:val="55"/>
                      </w:numPr>
                      <w:tabs>
                        <w:tab w:pos="171" w:val="left" w:leader="none"/>
                      </w:tabs>
                      <w:spacing w:line="221" w:lineRule="exact" w:before="0"/>
                      <w:ind w:left="170" w:right="0" w:hanging="170"/>
                      <w:jc w:val="left"/>
                      <w:rPr>
                        <w:sz w:val="20"/>
                      </w:rPr>
                    </w:pPr>
                    <w:r>
                      <w:rPr>
                        <w:sz w:val="20"/>
                      </w:rPr>
                      <w:t>∆C</w:t>
                    </w:r>
                  </w:p>
                </w:txbxContent>
              </v:textbox>
              <w10:wrap type="none"/>
            </v:shape>
            <v:shape style="position:absolute;left:3333;top:827;width:2531;height:144" type="#_x0000_t202" filled="false" stroked="false">
              <v:textbox inset="0,0,0,0">
                <w:txbxContent>
                  <w:p>
                    <w:pPr>
                      <w:tabs>
                        <w:tab w:pos="751" w:val="left" w:leader="none"/>
                        <w:tab w:pos="1516" w:val="left" w:leader="none"/>
                        <w:tab w:pos="2253" w:val="left" w:leader="none"/>
                      </w:tabs>
                      <w:spacing w:line="144" w:lineRule="exact" w:before="0"/>
                      <w:ind w:left="0" w:right="0" w:firstLine="0"/>
                      <w:jc w:val="left"/>
                      <w:rPr>
                        <w:sz w:val="13"/>
                      </w:rPr>
                    </w:pPr>
                    <w:r>
                      <w:rPr>
                        <w:sz w:val="13"/>
                      </w:rPr>
                      <w:t>NatR</w:t>
                      <w:tab/>
                      <w:t>NatR</w:t>
                      <w:tab/>
                      <w:t>ArtR</w:t>
                      <w:tab/>
                      <w:t>ArtR</w:t>
                    </w:r>
                  </w:p>
                </w:txbxContent>
              </v:textbox>
              <w10:wrap type="none"/>
            </v:shape>
            <v:shape style="position:absolute;left:2344;top:674;width:1012;height:297" type="#_x0000_t202" filled="false" stroked="false">
              <v:textbox inset="0,0,0,0">
                <w:txbxContent>
                  <w:p>
                    <w:pPr>
                      <w:spacing w:line="228" w:lineRule="auto" w:before="0"/>
                      <w:ind w:left="0" w:right="0" w:firstLine="0"/>
                      <w:jc w:val="left"/>
                      <w:rPr>
                        <w:sz w:val="20"/>
                      </w:rPr>
                    </w:pPr>
                    <w:r>
                      <w:rPr>
                        <w:sz w:val="20"/>
                      </w:rPr>
                      <w:t>∆C</w:t>
                    </w:r>
                    <w:r>
                      <w:rPr>
                        <w:sz w:val="20"/>
                        <w:vertAlign w:val="subscript"/>
                      </w:rPr>
                      <w:t>LF</w:t>
                    </w:r>
                    <w:r>
                      <w:rPr>
                        <w:position w:val="-8"/>
                        <w:sz w:val="13"/>
                        <w:vertAlign w:val="baseline"/>
                      </w:rPr>
                      <w:t>LT </w:t>
                    </w:r>
                    <w:r>
                      <w:rPr>
                        <w:sz w:val="20"/>
                        <w:vertAlign w:val="baseline"/>
                      </w:rPr>
                      <w:t>= [A</w:t>
                    </w:r>
                  </w:p>
                </w:txbxContent>
              </v:textbox>
              <w10:wrap type="none"/>
            </v:shape>
            <v:shape style="position:absolute;left:559;top:136;width:7198;height:452" type="#_x0000_t202" filled="false" stroked="false">
              <v:textbox inset="0,0,0,0">
                <w:txbxContent>
                  <w:p>
                    <w:pPr>
                      <w:spacing w:line="221" w:lineRule="exact" w:before="0"/>
                      <w:ind w:left="0" w:right="58" w:firstLine="0"/>
                      <w:jc w:val="center"/>
                      <w:rPr>
                        <w:b/>
                        <w:sz w:val="20"/>
                      </w:rPr>
                    </w:pPr>
                    <w:r>
                      <w:rPr>
                        <w:b/>
                        <w:sz w:val="20"/>
                      </w:rPr>
                      <w:t>E</w:t>
                    </w:r>
                    <w:r>
                      <w:rPr>
                        <w:b/>
                        <w:sz w:val="16"/>
                      </w:rPr>
                      <w:t>QUATION </w:t>
                    </w:r>
                    <w:r>
                      <w:rPr>
                        <w:b/>
                        <w:sz w:val="20"/>
                      </w:rPr>
                      <w:t>3.2.29</w:t>
                    </w:r>
                  </w:p>
                  <w:p>
                    <w:pPr>
                      <w:spacing w:before="0"/>
                      <w:ind w:left="0" w:right="18" w:firstLine="0"/>
                      <w:jc w:val="center"/>
                      <w:rPr>
                        <w:b/>
                        <w:sz w:val="16"/>
                      </w:rPr>
                    </w:pPr>
                    <w:r>
                      <w:rPr>
                        <w:b/>
                        <w:sz w:val="20"/>
                      </w:rPr>
                      <w:t>A</w:t>
                    </w:r>
                    <w:r>
                      <w:rPr>
                        <w:b/>
                        <w:sz w:val="16"/>
                      </w:rPr>
                      <w:t>NNUAL CHANGE IN CARBON STOCKS IN LITTER IN LAND CONVERTED TO FOREST LAND</w:t>
                    </w:r>
                  </w:p>
                </w:txbxContent>
              </v:textbox>
              <w10:wrap type="none"/>
            </v:shape>
          </v:group>
        </w:pict>
      </w:r>
      <w:r>
        <w:rPr/>
      </w:r>
    </w:p>
    <w:p>
      <w:pPr>
        <w:spacing w:after="0"/>
        <w:sectPr>
          <w:pgSz w:w="11900" w:h="16840"/>
          <w:pgMar w:header="230" w:footer="408" w:top="560" w:bottom="600" w:left="1200" w:right="1140"/>
        </w:sectPr>
      </w:pPr>
    </w:p>
    <w:p>
      <w:pPr>
        <w:pStyle w:val="BodyText"/>
        <w:spacing w:line="228" w:lineRule="exact"/>
        <w:ind w:left="269"/>
      </w:pPr>
      <w:r>
        <w:rPr/>
        <w:t>Where:</w:t>
      </w:r>
    </w:p>
    <w:p>
      <w:pPr>
        <w:spacing w:line="237" w:lineRule="auto" w:before="0"/>
        <w:ind w:left="785" w:right="0" w:firstLine="0"/>
        <w:jc w:val="left"/>
        <w:rPr>
          <w:sz w:val="13"/>
        </w:rPr>
      </w:pPr>
      <w:r>
        <w:rPr>
          <w:sz w:val="20"/>
        </w:rPr>
        <w:t>∆C</w:t>
      </w:r>
      <w:r>
        <w:rPr>
          <w:sz w:val="20"/>
          <w:vertAlign w:val="subscript"/>
        </w:rPr>
        <w:t>LF</w:t>
      </w:r>
      <w:r>
        <w:rPr>
          <w:sz w:val="20"/>
          <w:vertAlign w:val="baseline"/>
        </w:rPr>
        <w:t> </w:t>
      </w:r>
      <w:r>
        <w:rPr>
          <w:spacing w:val="-9"/>
          <w:position w:val="-8"/>
          <w:sz w:val="13"/>
          <w:vertAlign w:val="baseline"/>
        </w:rPr>
        <w:t>LT</w:t>
      </w:r>
    </w:p>
    <w:p>
      <w:pPr>
        <w:pStyle w:val="BodyText"/>
        <w:spacing w:before="8"/>
        <w:rPr>
          <w:sz w:val="19"/>
        </w:rPr>
      </w:pPr>
      <w:r>
        <w:rPr/>
        <w:br w:type="column"/>
      </w:r>
      <w:r>
        <w:rPr>
          <w:sz w:val="19"/>
        </w:rPr>
      </w:r>
    </w:p>
    <w:p>
      <w:pPr>
        <w:pStyle w:val="BodyText"/>
        <w:ind w:left="10"/>
      </w:pPr>
      <w:r>
        <w:rPr/>
        <w:t>= annual change in carbon stocks in litter in land converted to forest land, tonnes C yr</w:t>
      </w:r>
      <w:r>
        <w:rPr>
          <w:vertAlign w:val="superscript"/>
        </w:rPr>
        <w:t>-1</w:t>
      </w:r>
    </w:p>
    <w:p>
      <w:pPr>
        <w:spacing w:after="0"/>
        <w:sectPr>
          <w:type w:val="continuous"/>
          <w:pgSz w:w="11900" w:h="16840"/>
          <w:pgMar w:top="1060" w:bottom="280" w:left="1200" w:right="1140"/>
          <w:cols w:num="2" w:equalWidth="0">
            <w:col w:w="1384" w:space="40"/>
            <w:col w:w="8136"/>
          </w:cols>
        </w:sectPr>
      </w:pPr>
    </w:p>
    <w:p>
      <w:pPr>
        <w:pStyle w:val="BodyText"/>
        <w:tabs>
          <w:tab w:pos="1253" w:val="left" w:leader="none"/>
        </w:tabs>
        <w:spacing w:line="193" w:lineRule="exact" w:before="107"/>
        <w:ind w:left="785"/>
      </w:pPr>
      <w:r>
        <w:rPr/>
        <w:t>A</w:t>
        <w:tab/>
        <w:t>= area of land converted into forest land through natural regeneration, ha</w:t>
      </w:r>
    </w:p>
    <w:p>
      <w:pPr>
        <w:spacing w:line="113" w:lineRule="exact" w:before="0"/>
        <w:ind w:left="927" w:right="0" w:firstLine="0"/>
        <w:jc w:val="left"/>
        <w:rPr>
          <w:sz w:val="13"/>
        </w:rPr>
      </w:pPr>
      <w:r>
        <w:rPr>
          <w:sz w:val="13"/>
        </w:rPr>
        <w:t>NatR</w:t>
      </w:r>
    </w:p>
    <w:p>
      <w:pPr>
        <w:pStyle w:val="BodyText"/>
        <w:tabs>
          <w:tab w:pos="1239" w:val="left" w:leader="none"/>
        </w:tabs>
        <w:spacing w:line="193" w:lineRule="exact" w:before="104"/>
        <w:ind w:left="785"/>
      </w:pPr>
      <w:r>
        <w:rPr/>
        <w:t>A</w:t>
        <w:tab/>
        <w:t>= area of land converted into forest land through establishment of plantations,</w:t>
      </w:r>
      <w:r>
        <w:rPr>
          <w:spacing w:val="-9"/>
        </w:rPr>
        <w:t> </w:t>
      </w:r>
      <w:r>
        <w:rPr/>
        <w:t>ha</w:t>
      </w:r>
    </w:p>
    <w:p>
      <w:pPr>
        <w:spacing w:line="113" w:lineRule="exact" w:before="0"/>
        <w:ind w:left="929" w:right="0" w:firstLine="0"/>
        <w:jc w:val="left"/>
        <w:rPr>
          <w:sz w:val="13"/>
        </w:rPr>
      </w:pPr>
      <w:r>
        <w:rPr>
          <w:sz w:val="13"/>
        </w:rPr>
        <w:t>ArtR</w:t>
      </w:r>
    </w:p>
    <w:p>
      <w:pPr>
        <w:pStyle w:val="BodyText"/>
        <w:tabs>
          <w:tab w:pos="1363" w:val="left" w:leader="none"/>
        </w:tabs>
        <w:spacing w:line="193" w:lineRule="exact" w:before="104"/>
        <w:ind w:left="785"/>
      </w:pPr>
      <w:r>
        <w:rPr/>
        <w:t>∆C</w:t>
        <w:tab/>
        <w:t>= average annual change in carbon stocks in litter for forest area NatR, tonnes C ha</w:t>
      </w:r>
      <w:r>
        <w:rPr>
          <w:vertAlign w:val="superscript"/>
        </w:rPr>
        <w:t>-1</w:t>
      </w:r>
      <w:r>
        <w:rPr>
          <w:spacing w:val="-10"/>
          <w:vertAlign w:val="baseline"/>
        </w:rPr>
        <w:t> </w:t>
      </w:r>
      <w:r>
        <w:rPr>
          <w:vertAlign w:val="baseline"/>
        </w:rPr>
        <w:t>yr</w:t>
      </w:r>
      <w:r>
        <w:rPr>
          <w:vertAlign w:val="superscript"/>
        </w:rPr>
        <w:t>-1</w:t>
      </w:r>
    </w:p>
    <w:p>
      <w:pPr>
        <w:spacing w:line="113" w:lineRule="exact" w:before="0"/>
        <w:ind w:left="1040" w:right="0" w:firstLine="0"/>
        <w:jc w:val="left"/>
        <w:rPr>
          <w:sz w:val="13"/>
        </w:rPr>
      </w:pPr>
      <w:r>
        <w:rPr>
          <w:sz w:val="13"/>
        </w:rPr>
        <w:t>NatR</w:t>
      </w:r>
    </w:p>
    <w:p>
      <w:pPr>
        <w:pStyle w:val="BodyText"/>
        <w:tabs>
          <w:tab w:pos="1349" w:val="left" w:leader="none"/>
        </w:tabs>
        <w:spacing w:line="193" w:lineRule="exact" w:before="105"/>
        <w:ind w:left="785"/>
      </w:pPr>
      <w:r>
        <w:rPr/>
        <w:t>∆C</w:t>
        <w:tab/>
        <w:t>= average annual change in carbon stocks in litter for forest area ArtR, tonnes C ha</w:t>
      </w:r>
      <w:r>
        <w:rPr>
          <w:vertAlign w:val="superscript"/>
        </w:rPr>
        <w:t>-1</w:t>
      </w:r>
      <w:r>
        <w:rPr>
          <w:spacing w:val="-11"/>
          <w:vertAlign w:val="baseline"/>
        </w:rPr>
        <w:t> </w:t>
      </w:r>
      <w:r>
        <w:rPr>
          <w:vertAlign w:val="baseline"/>
        </w:rPr>
        <w:t>yr</w:t>
      </w:r>
      <w:r>
        <w:rPr>
          <w:vertAlign w:val="superscript"/>
        </w:rPr>
        <w:t>-1</w:t>
      </w:r>
    </w:p>
    <w:p>
      <w:pPr>
        <w:spacing w:line="113" w:lineRule="exact" w:before="0"/>
        <w:ind w:left="1042" w:right="0" w:firstLine="0"/>
        <w:jc w:val="left"/>
        <w:rPr>
          <w:sz w:val="13"/>
        </w:rPr>
      </w:pPr>
      <w:r>
        <w:rPr>
          <w:sz w:val="13"/>
        </w:rPr>
        <w:t>ArtR</w:t>
      </w:r>
    </w:p>
    <w:p>
      <w:pPr>
        <w:pStyle w:val="BodyText"/>
        <w:rPr>
          <w:sz w:val="21"/>
        </w:rPr>
      </w:pPr>
    </w:p>
    <w:p>
      <w:pPr>
        <w:pStyle w:val="BodyText"/>
        <w:spacing w:before="90"/>
        <w:ind w:left="219"/>
      </w:pPr>
      <w:r>
        <w:rPr/>
        <w:t>Alternatively the stock change methods described in Equation 3.2.30 may be used if appropriate survey data are available:</w:t>
      </w:r>
    </w:p>
    <w:p>
      <w:pPr>
        <w:pStyle w:val="BodyText"/>
        <w:rPr>
          <w:sz w:val="10"/>
        </w:rPr>
      </w:pPr>
      <w:r>
        <w:rPr/>
        <w:pict>
          <v:group style="position:absolute;margin-left:91.240997pt;margin-top:8.458346pt;width:412.95pt;height:54.5pt;mso-position-horizontal-relative:page;mso-position-vertical-relative:paragraph;z-index:6848;mso-wrap-distance-left:0;mso-wrap-distance-right:0" coordorigin="1825,169" coordsize="8259,1090">
            <v:line style="position:absolute" from="1854,184" to="10054,184" stroked="true" strokeweight="1.44pt" strokecolor="#000000">
              <v:stroke dashstyle="solid"/>
            </v:line>
            <v:line style="position:absolute" from="1854,1244" to="10054,1244" stroked="true" strokeweight="1.44pt" strokecolor="#000000">
              <v:stroke dashstyle="solid"/>
            </v:line>
            <v:line style="position:absolute" from="1839,169" to="1839,1259" stroked="true" strokeweight="1.44pt" strokecolor="#000000">
              <v:stroke dashstyle="solid"/>
            </v:line>
            <v:line style="position:absolute" from="10069,169" to="10069,1259" stroked="true" strokeweight="1.44pt" strokecolor="#000000">
              <v:stroke dashstyle="solid"/>
            </v:line>
            <v:shape style="position:absolute;left:4836;top:843;width:1904;height:297" type="#_x0000_t202" filled="false" stroked="false">
              <v:textbox inset="0,0,0,0">
                <w:txbxContent>
                  <w:p>
                    <w:pPr>
                      <w:spacing w:line="228" w:lineRule="auto" w:before="0"/>
                      <w:ind w:left="0" w:right="0" w:firstLine="0"/>
                      <w:jc w:val="left"/>
                      <w:rPr>
                        <w:sz w:val="13"/>
                      </w:rPr>
                    </w:pPr>
                    <w:r>
                      <w:rPr>
                        <w:sz w:val="20"/>
                      </w:rPr>
                      <w:t>∆C</w:t>
                    </w:r>
                    <w:r>
                      <w:rPr>
                        <w:sz w:val="20"/>
                        <w:vertAlign w:val="subscript"/>
                      </w:rPr>
                      <w:t>LF</w:t>
                    </w:r>
                    <w:r>
                      <w:rPr>
                        <w:position w:val="-8"/>
                        <w:sz w:val="13"/>
                        <w:vertAlign w:val="baseline"/>
                      </w:rPr>
                      <w:t>LT </w:t>
                    </w:r>
                    <w:r>
                      <w:rPr>
                        <w:sz w:val="20"/>
                        <w:vertAlign w:val="baseline"/>
                      </w:rPr>
                      <w:t>= A ● (C</w:t>
                    </w:r>
                    <w:r>
                      <w:rPr>
                        <w:sz w:val="20"/>
                        <w:vertAlign w:val="subscript"/>
                      </w:rPr>
                      <w:t>t</w:t>
                    </w:r>
                    <w:r>
                      <w:rPr>
                        <w:position w:val="-8"/>
                        <w:sz w:val="13"/>
                        <w:vertAlign w:val="baseline"/>
                      </w:rPr>
                      <w:t>2 </w:t>
                    </w:r>
                    <w:r>
                      <w:rPr>
                        <w:sz w:val="20"/>
                        <w:vertAlign w:val="baseline"/>
                      </w:rPr>
                      <w:t>– C</w:t>
                    </w:r>
                    <w:r>
                      <w:rPr>
                        <w:sz w:val="20"/>
                        <w:vertAlign w:val="subscript"/>
                      </w:rPr>
                      <w:t>t</w:t>
                    </w:r>
                    <w:r>
                      <w:rPr>
                        <w:position w:val="-8"/>
                        <w:sz w:val="13"/>
                        <w:vertAlign w:val="baseline"/>
                      </w:rPr>
                      <w:t>1</w:t>
                    </w:r>
                  </w:p>
                </w:txbxContent>
              </v:textbox>
              <w10:wrap type="none"/>
            </v:shape>
            <v:shape style="position:absolute;left:2384;top:306;width:7198;height:759" type="#_x0000_t202" filled="false" stroked="false">
              <v:textbox inset="0,0,0,0">
                <w:txbxContent>
                  <w:p>
                    <w:pPr>
                      <w:spacing w:line="221" w:lineRule="exact" w:before="0"/>
                      <w:ind w:left="0" w:right="59" w:firstLine="0"/>
                      <w:jc w:val="center"/>
                      <w:rPr>
                        <w:b/>
                        <w:sz w:val="20"/>
                      </w:rPr>
                    </w:pPr>
                    <w:r>
                      <w:rPr>
                        <w:b/>
                        <w:sz w:val="20"/>
                      </w:rPr>
                      <w:t>E</w:t>
                    </w:r>
                    <w:r>
                      <w:rPr>
                        <w:b/>
                        <w:sz w:val="16"/>
                      </w:rPr>
                      <w:t>QUATION </w:t>
                    </w:r>
                    <w:r>
                      <w:rPr>
                        <w:b/>
                        <w:sz w:val="20"/>
                      </w:rPr>
                      <w:t>3.2.30</w:t>
                    </w:r>
                  </w:p>
                  <w:p>
                    <w:pPr>
                      <w:spacing w:before="0"/>
                      <w:ind w:left="-1" w:right="18" w:firstLine="0"/>
                      <w:jc w:val="center"/>
                      <w:rPr>
                        <w:b/>
                        <w:sz w:val="16"/>
                      </w:rPr>
                    </w:pPr>
                    <w:r>
                      <w:rPr>
                        <w:b/>
                        <w:sz w:val="20"/>
                      </w:rPr>
                      <w:t>A</w:t>
                    </w:r>
                    <w:r>
                      <w:rPr>
                        <w:b/>
                        <w:sz w:val="16"/>
                      </w:rPr>
                      <w:t>NNUAL CHANGE IN CARBON STOCKS IN LITTER IN LAND CONVERTED TO FOREST</w:t>
                    </w:r>
                    <w:r>
                      <w:rPr>
                        <w:b/>
                        <w:spacing w:val="-24"/>
                        <w:sz w:val="16"/>
                      </w:rPr>
                      <w:t> </w:t>
                    </w:r>
                    <w:r>
                      <w:rPr>
                        <w:b/>
                        <w:sz w:val="16"/>
                      </w:rPr>
                      <w:t>LAND</w:t>
                    </w:r>
                  </w:p>
                  <w:p>
                    <w:pPr>
                      <w:spacing w:before="77"/>
                      <w:ind w:left="4317" w:right="2496" w:firstLine="0"/>
                      <w:jc w:val="center"/>
                      <w:rPr>
                        <w:sz w:val="20"/>
                      </w:rPr>
                    </w:pPr>
                    <w:r>
                      <w:rPr>
                        <w:sz w:val="20"/>
                      </w:rPr>
                      <w:t>) / T</w:t>
                    </w:r>
                  </w:p>
                </w:txbxContent>
              </v:textbox>
              <w10:wrap type="none"/>
            </v:shape>
            <w10:wrap type="topAndBottom"/>
          </v:group>
        </w:pict>
      </w:r>
    </w:p>
    <w:p>
      <w:pPr>
        <w:pStyle w:val="BodyText"/>
        <w:spacing w:line="220" w:lineRule="exact"/>
        <w:ind w:left="219"/>
        <w:jc w:val="both"/>
      </w:pPr>
      <w:r>
        <w:rPr/>
        <w:t>Where:</w:t>
      </w:r>
    </w:p>
    <w:p>
      <w:pPr>
        <w:pStyle w:val="BodyText"/>
        <w:tabs>
          <w:tab w:pos="1438" w:val="left" w:leader="none"/>
        </w:tabs>
        <w:spacing w:line="193" w:lineRule="exact" w:before="118"/>
        <w:ind w:left="785"/>
      </w:pPr>
      <w:r>
        <w:rPr/>
        <w:pict>
          <v:shape style="position:absolute;margin-left:112.360603pt;margin-top:11.021396pt;width:7.35pt;height:7.2pt;mso-position-horizontal-relative:page;mso-position-vertical-relative:paragraph;z-index:-2447200" type="#_x0000_t202" filled="false" stroked="false">
            <v:textbox inset="0,0,0,0">
              <w:txbxContent>
                <w:p>
                  <w:pPr>
                    <w:spacing w:line="144" w:lineRule="exact" w:before="0"/>
                    <w:ind w:left="0" w:right="0" w:firstLine="0"/>
                    <w:jc w:val="left"/>
                    <w:rPr>
                      <w:sz w:val="13"/>
                    </w:rPr>
                  </w:pPr>
                  <w:r>
                    <w:rPr>
                      <w:spacing w:val="-3"/>
                      <w:sz w:val="13"/>
                    </w:rPr>
                    <w:t>LF</w:t>
                  </w:r>
                </w:p>
              </w:txbxContent>
            </v:textbox>
            <w10:wrap type="none"/>
          </v:shape>
        </w:pict>
      </w:r>
      <w:r>
        <w:rPr/>
        <w:t>∆C</w:t>
        <w:tab/>
        <w:t>= annual change in carbon stocks in litter in land converted to forest land, tonnes C</w:t>
      </w:r>
      <w:r>
        <w:rPr>
          <w:spacing w:val="-11"/>
        </w:rPr>
        <w:t> </w:t>
      </w:r>
      <w:r>
        <w:rPr/>
        <w:t>yr</w:t>
      </w:r>
      <w:r>
        <w:rPr>
          <w:vertAlign w:val="superscript"/>
        </w:rPr>
        <w:t>-1</w:t>
      </w:r>
    </w:p>
    <w:p>
      <w:pPr>
        <w:spacing w:line="113" w:lineRule="exact" w:before="0"/>
        <w:ind w:left="1232" w:right="0" w:firstLine="0"/>
        <w:jc w:val="left"/>
        <w:rPr>
          <w:sz w:val="13"/>
        </w:rPr>
      </w:pPr>
      <w:r>
        <w:rPr>
          <w:sz w:val="13"/>
        </w:rPr>
        <w:t>LT</w:t>
      </w:r>
    </w:p>
    <w:p>
      <w:pPr>
        <w:pStyle w:val="BodyText"/>
        <w:spacing w:before="104"/>
        <w:ind w:left="785"/>
      </w:pPr>
      <w:r>
        <w:rPr/>
        <w:t>A = area of land converted to forest land, ha</w:t>
      </w:r>
    </w:p>
    <w:p>
      <w:pPr>
        <w:pStyle w:val="BodyText"/>
        <w:spacing w:before="120"/>
        <w:ind w:left="785"/>
      </w:pPr>
      <w:r>
        <w:rPr/>
        <w:pict>
          <v:shape style="position:absolute;margin-left:107.68074pt;margin-top:14.122542pt;width:3.25pt;height:7.2pt;mso-position-horizontal-relative:page;mso-position-vertical-relative:paragraph;z-index:-2447248" type="#_x0000_t202" filled="false" stroked="false">
            <v:textbox inset="0,0,0,0">
              <w:txbxContent>
                <w:p>
                  <w:pPr>
                    <w:spacing w:line="144" w:lineRule="exact" w:before="0"/>
                    <w:ind w:left="0" w:right="0" w:firstLine="0"/>
                    <w:jc w:val="left"/>
                    <w:rPr>
                      <w:sz w:val="13"/>
                    </w:rPr>
                  </w:pPr>
                  <w:r>
                    <w:rPr>
                      <w:w w:val="99"/>
                      <w:sz w:val="13"/>
                    </w:rPr>
                    <w:t>2</w:t>
                  </w:r>
                </w:p>
              </w:txbxContent>
            </v:textbox>
            <w10:wrap type="none"/>
          </v:shape>
        </w:pict>
      </w:r>
      <w:r>
        <w:rPr/>
        <w:t>C</w:t>
      </w:r>
      <w:r>
        <w:rPr>
          <w:vertAlign w:val="subscript"/>
        </w:rPr>
        <w:t>t</w:t>
      </w:r>
      <w:r>
        <w:rPr>
          <w:vertAlign w:val="baseline"/>
        </w:rPr>
        <w:t> = litter carbon stock at time t</w:t>
      </w:r>
      <w:r>
        <w:rPr>
          <w:vertAlign w:val="subscript"/>
        </w:rPr>
        <w:t>2</w:t>
      </w:r>
      <w:r>
        <w:rPr>
          <w:vertAlign w:val="baseline"/>
        </w:rPr>
        <w:t>, tonnes C ha</w:t>
      </w:r>
      <w:r>
        <w:rPr>
          <w:vertAlign w:val="superscript"/>
        </w:rPr>
        <w:t>-1</w:t>
      </w:r>
    </w:p>
    <w:p>
      <w:pPr>
        <w:pStyle w:val="BodyText"/>
        <w:spacing w:before="181"/>
        <w:ind w:left="785"/>
      </w:pPr>
      <w:r>
        <w:rPr/>
        <w:pict>
          <v:shape style="position:absolute;margin-left:107.68074pt;margin-top:17.172157pt;width:3.25pt;height:7.2pt;mso-position-horizontal-relative:page;mso-position-vertical-relative:paragraph;z-index:-2447224" type="#_x0000_t202" filled="false" stroked="false">
            <v:textbox inset="0,0,0,0">
              <w:txbxContent>
                <w:p>
                  <w:pPr>
                    <w:spacing w:line="144" w:lineRule="exact" w:before="0"/>
                    <w:ind w:left="0" w:right="0" w:firstLine="0"/>
                    <w:jc w:val="left"/>
                    <w:rPr>
                      <w:sz w:val="13"/>
                    </w:rPr>
                  </w:pPr>
                  <w:r>
                    <w:rPr>
                      <w:w w:val="99"/>
                      <w:sz w:val="13"/>
                    </w:rPr>
                    <w:t>1</w:t>
                  </w:r>
                </w:p>
              </w:txbxContent>
            </v:textbox>
            <w10:wrap type="none"/>
          </v:shape>
        </w:pict>
      </w:r>
      <w:r>
        <w:rPr/>
        <w:t>C</w:t>
      </w:r>
      <w:r>
        <w:rPr>
          <w:vertAlign w:val="subscript"/>
        </w:rPr>
        <w:t>t</w:t>
      </w:r>
      <w:r>
        <w:rPr>
          <w:vertAlign w:val="baseline"/>
        </w:rPr>
        <w:t> = litter carbon stock at time t</w:t>
      </w:r>
      <w:r>
        <w:rPr>
          <w:vertAlign w:val="subscript"/>
        </w:rPr>
        <w:t>1</w:t>
      </w:r>
      <w:r>
        <w:rPr>
          <w:vertAlign w:val="baseline"/>
        </w:rPr>
        <w:t> (the previous time), tonnes C ha</w:t>
      </w:r>
      <w:r>
        <w:rPr>
          <w:vertAlign w:val="superscript"/>
        </w:rPr>
        <w:t>-1</w:t>
      </w:r>
    </w:p>
    <w:p>
      <w:pPr>
        <w:pStyle w:val="BodyText"/>
        <w:spacing w:before="180"/>
        <w:ind w:left="785"/>
      </w:pPr>
      <w:r>
        <w:rPr/>
        <w:t>T (= t</w:t>
      </w:r>
      <w:r>
        <w:rPr>
          <w:vertAlign w:val="subscript"/>
        </w:rPr>
        <w:t>2</w:t>
      </w:r>
      <w:r>
        <w:rPr>
          <w:vertAlign w:val="baseline"/>
        </w:rPr>
        <w:t> – t</w:t>
      </w:r>
      <w:r>
        <w:rPr>
          <w:vertAlign w:val="subscript"/>
        </w:rPr>
        <w:t>1</w:t>
      </w:r>
      <w:r>
        <w:rPr>
          <w:vertAlign w:val="baseline"/>
        </w:rPr>
        <w:t>) = time period between time of the second stock estimate and the first stock estimate, yr</w:t>
      </w:r>
    </w:p>
    <w:p>
      <w:pPr>
        <w:pStyle w:val="BodyText"/>
        <w:spacing w:before="4"/>
        <w:rPr>
          <w:sz w:val="30"/>
        </w:rPr>
      </w:pPr>
    </w:p>
    <w:p>
      <w:pPr>
        <w:pStyle w:val="BodyText"/>
        <w:ind w:left="219" w:right="266"/>
        <w:jc w:val="both"/>
      </w:pPr>
      <w:r>
        <w:rPr/>
        <w:t>Methodological choice for estimating this pool is made using the general decision tree for land converted to forest land in Figure 3.1.2. Litter carbon estimates often differ significantly by previous land use, forest type, and regeneration type. Theoretically, Equations 3.2.29 and 3.2.30 should give the same carbon estimates. In practical terms, data availability and desired accuracy determines choice of equation.</w:t>
      </w:r>
    </w:p>
    <w:p>
      <w:pPr>
        <w:pStyle w:val="BodyText"/>
        <w:spacing w:before="121"/>
        <w:ind w:left="219" w:right="263"/>
        <w:jc w:val="both"/>
      </w:pPr>
      <w:r>
        <w:rPr>
          <w:b/>
        </w:rPr>
        <w:t>Tier 1 (Default): </w:t>
      </w:r>
      <w:r>
        <w:rPr/>
        <w:t>The </w:t>
      </w:r>
      <w:r>
        <w:rPr>
          <w:i/>
        </w:rPr>
        <w:t>IPCC Guidelines</w:t>
      </w:r>
      <w:r>
        <w:rPr/>
        <w:t>, consistent with reporting under Tier 1, assume no change in carbon in the litter pools in lands converting to forest. This is consistent with Equation 3.2.29 on the assumption that annual transfers into the litter pool are the same as transfers out, and with Equation 3.2.30 when litter carbon stocks are assumed stable.</w:t>
      </w:r>
    </w:p>
    <w:p>
      <w:pPr>
        <w:pStyle w:val="BodyText"/>
        <w:spacing w:before="120"/>
        <w:ind w:left="219" w:right="264"/>
        <w:jc w:val="both"/>
      </w:pPr>
      <w:r>
        <w:rPr>
          <w:b/>
        </w:rPr>
        <w:t>Tier 2: </w:t>
      </w:r>
      <w:r>
        <w:rPr/>
        <w:t>Tier 2 uses Equation 3.2.29 when transfer rates into and out of the litter pool have been estimated using data from research plots sited nationally or in countries with similar conditions, and Equation 3.2.30 when carbon stocks are measured. For comparative purposes, new plots, where established, should be sited on the  basis</w:t>
      </w:r>
      <w:r>
        <w:rPr>
          <w:spacing w:val="-4"/>
        </w:rPr>
        <w:t> </w:t>
      </w:r>
      <w:r>
        <w:rPr/>
        <w:t>of</w:t>
      </w:r>
      <w:r>
        <w:rPr>
          <w:spacing w:val="-4"/>
        </w:rPr>
        <w:t> </w:t>
      </w:r>
      <w:r>
        <w:rPr/>
        <w:t>the</w:t>
      </w:r>
      <w:r>
        <w:rPr>
          <w:spacing w:val="-1"/>
        </w:rPr>
        <w:t> </w:t>
      </w:r>
      <w:r>
        <w:rPr/>
        <w:t>sampling</w:t>
      </w:r>
      <w:r>
        <w:rPr>
          <w:spacing w:val="-3"/>
        </w:rPr>
        <w:t> </w:t>
      </w:r>
      <w:r>
        <w:rPr/>
        <w:t>principles</w:t>
      </w:r>
      <w:r>
        <w:rPr>
          <w:spacing w:val="-3"/>
        </w:rPr>
        <w:t> </w:t>
      </w:r>
      <w:r>
        <w:rPr/>
        <w:t>set</w:t>
      </w:r>
      <w:r>
        <w:rPr>
          <w:spacing w:val="-3"/>
        </w:rPr>
        <w:t> </w:t>
      </w:r>
      <w:r>
        <w:rPr/>
        <w:t>out</w:t>
      </w:r>
      <w:r>
        <w:rPr>
          <w:spacing w:val="-2"/>
        </w:rPr>
        <w:t> </w:t>
      </w:r>
      <w:r>
        <w:rPr/>
        <w:t>in</w:t>
      </w:r>
      <w:r>
        <w:rPr>
          <w:spacing w:val="-3"/>
        </w:rPr>
        <w:t> </w:t>
      </w:r>
      <w:r>
        <w:rPr/>
        <w:t>Section</w:t>
      </w:r>
      <w:r>
        <w:rPr>
          <w:spacing w:val="-3"/>
        </w:rPr>
        <w:t> </w:t>
      </w:r>
      <w:r>
        <w:rPr/>
        <w:t>5.3</w:t>
      </w:r>
      <w:r>
        <w:rPr>
          <w:spacing w:val="1"/>
        </w:rPr>
        <w:t> </w:t>
      </w:r>
      <w:r>
        <w:rPr/>
        <w:t>with</w:t>
      </w:r>
      <w:r>
        <w:rPr>
          <w:spacing w:val="-4"/>
        </w:rPr>
        <w:t> </w:t>
      </w:r>
      <w:r>
        <w:rPr/>
        <w:t>stratification</w:t>
      </w:r>
      <w:r>
        <w:rPr>
          <w:spacing w:val="-3"/>
        </w:rPr>
        <w:t> </w:t>
      </w:r>
      <w:r>
        <w:rPr/>
        <w:t>by</w:t>
      </w:r>
      <w:r>
        <w:rPr>
          <w:spacing w:val="-6"/>
        </w:rPr>
        <w:t> </w:t>
      </w:r>
      <w:r>
        <w:rPr/>
        <w:t>forest</w:t>
      </w:r>
      <w:r>
        <w:rPr>
          <w:spacing w:val="-2"/>
        </w:rPr>
        <w:t> </w:t>
      </w:r>
      <w:r>
        <w:rPr/>
        <w:t>type</w:t>
      </w:r>
      <w:r>
        <w:rPr>
          <w:spacing w:val="-1"/>
        </w:rPr>
        <w:t> </w:t>
      </w:r>
      <w:r>
        <w:rPr/>
        <w:t>and conversion</w:t>
      </w:r>
      <w:r>
        <w:rPr>
          <w:spacing w:val="-3"/>
        </w:rPr>
        <w:t> </w:t>
      </w:r>
      <w:r>
        <w:rPr/>
        <w:t>regime.</w:t>
      </w:r>
    </w:p>
    <w:p>
      <w:pPr>
        <w:pStyle w:val="BodyText"/>
        <w:spacing w:before="119"/>
        <w:ind w:left="219" w:right="266"/>
        <w:jc w:val="both"/>
      </w:pPr>
      <w:r>
        <w:rPr>
          <w:b/>
        </w:rPr>
        <w:t>Tier 3: </w:t>
      </w:r>
      <w:r>
        <w:rPr/>
        <w:t>Tier 3 methods can be used where countries have detailed inventories based on sample plots in managed forests, or detailed models validated against representative litter accumulation data. The statistical design of the inventory (or for sample collection for model validation) should follow the principles set out in Section 5.3, which will facilitate unbiased results and provide information on associated uncertainties.</w:t>
      </w:r>
    </w:p>
    <w:p>
      <w:pPr>
        <w:spacing w:after="0"/>
        <w:jc w:val="both"/>
        <w:sectPr>
          <w:type w:val="continuous"/>
          <w:pgSz w:w="11900" w:h="16840"/>
          <w:pgMar w:top="1060" w:bottom="280" w:left="1200" w:right="1140"/>
        </w:sectPr>
      </w:pPr>
    </w:p>
    <w:p>
      <w:pPr>
        <w:pStyle w:val="BodyText"/>
      </w:pPr>
    </w:p>
    <w:p>
      <w:pPr>
        <w:pStyle w:val="Heading6"/>
        <w:numPr>
          <w:ilvl w:val="5"/>
          <w:numId w:val="52"/>
        </w:numPr>
        <w:tabs>
          <w:tab w:pos="1662" w:val="left" w:leader="none"/>
        </w:tabs>
        <w:spacing w:line="240" w:lineRule="auto" w:before="214" w:after="0"/>
        <w:ind w:left="1661" w:right="0" w:hanging="1442"/>
        <w:jc w:val="both"/>
      </w:pPr>
      <w:r>
        <w:rPr/>
        <w:t>2 </w:t>
      </w:r>
      <w:r>
        <w:rPr>
          <w:spacing w:val="15"/>
        </w:rPr>
        <w:t>Choice </w:t>
      </w:r>
      <w:r>
        <w:rPr>
          <w:spacing w:val="9"/>
        </w:rPr>
        <w:t>of </w:t>
      </w:r>
      <w:r>
        <w:rPr>
          <w:spacing w:val="17"/>
        </w:rPr>
        <w:t>Emission/Removal</w:t>
      </w:r>
      <w:r>
        <w:rPr>
          <w:spacing w:val="11"/>
        </w:rPr>
        <w:t> </w:t>
      </w:r>
      <w:r>
        <w:rPr>
          <w:spacing w:val="19"/>
        </w:rPr>
        <w:t>Factors</w:t>
      </w:r>
    </w:p>
    <w:p>
      <w:pPr>
        <w:spacing w:line="228" w:lineRule="exact" w:before="181"/>
        <w:ind w:left="219" w:right="0" w:firstLine="0"/>
        <w:jc w:val="both"/>
        <w:rPr>
          <w:b/>
          <w:sz w:val="20"/>
        </w:rPr>
      </w:pPr>
      <w:r>
        <w:rPr>
          <w:b/>
          <w:sz w:val="20"/>
        </w:rPr>
        <w:t>DEAD WOOD </w:t>
      </w:r>
    </w:p>
    <w:p>
      <w:pPr>
        <w:pStyle w:val="BodyText"/>
        <w:ind w:left="219" w:right="266"/>
        <w:jc w:val="both"/>
      </w:pPr>
      <w:r>
        <w:rPr>
          <w:b/>
        </w:rPr>
        <w:t>Tier 1: </w:t>
      </w:r>
      <w:r>
        <w:rPr/>
        <w:t>By default, consistent with reporting under Tier 1 in the </w:t>
      </w:r>
      <w:r>
        <w:rPr>
          <w:i/>
        </w:rPr>
        <w:t>IPCC Guidelines</w:t>
      </w:r>
      <w:r>
        <w:rPr/>
        <w:t>, it is assumed that the dead wood carbon stocks in non-forest lands converting to forests are stable. The net effect of emission and removal factors is therefore equal to zero.</w:t>
      </w:r>
    </w:p>
    <w:p>
      <w:pPr>
        <w:pStyle w:val="BodyText"/>
        <w:spacing w:before="117"/>
        <w:ind w:left="219" w:right="264"/>
        <w:jc w:val="both"/>
      </w:pPr>
      <w:r>
        <w:rPr>
          <w:b/>
        </w:rPr>
        <w:t>Tier 2: </w:t>
      </w:r>
      <w:r>
        <w:rPr/>
        <w:t>Country-specific values for mortality rates related to standing biomass stocks are derived from scientific studies, or taken from nearby regions with similar forests and climate. If country-specific input factors are derived, corresponding loss factors for harvest and disturbance regimes could also be derived from country- specific data. If only one of the pair of country-specific input and output factors are available, then the assumption should be made that the other one of the pair is equal to the known factor. Default factors in Table</w:t>
      </w:r>
    </w:p>
    <w:p>
      <w:pPr>
        <w:pStyle w:val="BodyText"/>
        <w:spacing w:line="230" w:lineRule="exact"/>
        <w:ind w:left="219"/>
        <w:jc w:val="both"/>
      </w:pPr>
      <w:r>
        <w:rPr/>
        <w:t>3.2.2 can be used for some forest categories if country or regional values are not available.</w:t>
      </w:r>
    </w:p>
    <w:p>
      <w:pPr>
        <w:pStyle w:val="BodyText"/>
        <w:spacing w:before="120"/>
        <w:ind w:left="219" w:right="263"/>
        <w:jc w:val="both"/>
      </w:pPr>
      <w:r>
        <w:rPr>
          <w:b/>
        </w:rPr>
        <w:t>Tier 3: </w:t>
      </w:r>
      <w:r>
        <w:rPr/>
        <w:t>Countries develop their own methodologies and parameters for estimating changes in dead wood. Such approaches are likely to involve permanent inventory measurement programs, related to fine-resolution activity data, perhaps coupled modeling studies to capture the dynamics of all forest-related pools. Some countries have developed disturbance matrices which for each type of disturbance provide a carbon reallocation pattern among different pools (Kurz and Apps, 1992). Decay rates of dead wood may vary with the species of wood and microclimatic conditions, and site preparation procedures (e.g. controlled broadcast burning, or burning of piles). Default factors in Table 3.2.2 can be used as a check on country-specific factors.</w:t>
      </w:r>
    </w:p>
    <w:p>
      <w:pPr>
        <w:pStyle w:val="BodyText"/>
        <w:spacing w:before="4"/>
        <w:rPr>
          <w:sz w:val="21"/>
        </w:rPr>
      </w:pPr>
    </w:p>
    <w:p>
      <w:pPr>
        <w:spacing w:line="228" w:lineRule="exact" w:before="0"/>
        <w:ind w:left="219" w:right="0" w:firstLine="0"/>
        <w:jc w:val="both"/>
        <w:rPr>
          <w:b/>
          <w:sz w:val="20"/>
        </w:rPr>
      </w:pPr>
      <w:r>
        <w:rPr>
          <w:b/>
          <w:sz w:val="20"/>
        </w:rPr>
        <w:t>LITTER </w:t>
      </w:r>
    </w:p>
    <w:p>
      <w:pPr>
        <w:pStyle w:val="BodyText"/>
        <w:ind w:left="219" w:right="264"/>
        <w:jc w:val="both"/>
      </w:pPr>
      <w:r>
        <w:rPr>
          <w:b/>
        </w:rPr>
        <w:t>Tier 1 (Default): </w:t>
      </w:r>
      <w:r>
        <w:rPr/>
        <w:t>By default, it is assumed that the litter carbon stocks in non-forest lands converting to forests are stable. The net effect of emission and removal factors is therefore equal to zero. Countries experiencing significant changes in forest types, or disturbance or management regimes in their forests are encouraged to develop domestic data to quantify this impact and report it under Tier 2 or 3 methodologies.</w:t>
      </w:r>
    </w:p>
    <w:p>
      <w:pPr>
        <w:pStyle w:val="BodyText"/>
        <w:spacing w:before="117"/>
        <w:ind w:left="219" w:right="265"/>
        <w:jc w:val="both"/>
      </w:pPr>
      <w:r>
        <w:rPr>
          <w:b/>
        </w:rPr>
        <w:t>Tier 2: </w:t>
      </w:r>
      <w:r>
        <w:rPr/>
        <w:t>Where these are available, it is </w:t>
      </w:r>
      <w:r>
        <w:rPr>
          <w:i/>
        </w:rPr>
        <w:t>good practice </w:t>
      </w:r>
      <w:r>
        <w:rPr/>
        <w:t>to use country level data for net litter accumulation rates for lands converting to forest by different forest types, in combination with default values in the final column of Table 3.2.1 if country or regional values are not available for some forest</w:t>
      </w:r>
      <w:r>
        <w:rPr>
          <w:spacing w:val="-14"/>
        </w:rPr>
        <w:t> </w:t>
      </w:r>
      <w:r>
        <w:rPr/>
        <w:t>categories.</w:t>
      </w:r>
    </w:p>
    <w:p>
      <w:pPr>
        <w:pStyle w:val="BodyText"/>
        <w:spacing w:before="119"/>
        <w:ind w:left="219" w:right="263"/>
        <w:jc w:val="both"/>
      </w:pPr>
      <w:r>
        <w:rPr>
          <w:b/>
        </w:rPr>
        <w:t>Tier 3: </w:t>
      </w:r>
      <w:r>
        <w:rPr/>
        <w:t>Countries develop their own methodologies and parameters for estimating changes in litter, using national level disaggregated litter carbon estimates for different forest types, disturbance or management regimes or both. These would be based on measurements from National forest inventories or other country-specific information, perhaps coupled with modeling studies to capture the dynamics of all forest-related pools. Updated default factors in Table 3.2.1 can be used as a check for country-specific</w:t>
      </w:r>
      <w:r>
        <w:rPr>
          <w:spacing w:val="-3"/>
        </w:rPr>
        <w:t> </w:t>
      </w:r>
      <w:r>
        <w:rPr/>
        <w:t>factors.</w:t>
      </w:r>
    </w:p>
    <w:p>
      <w:pPr>
        <w:pStyle w:val="BodyText"/>
        <w:spacing w:before="6"/>
        <w:rPr>
          <w:sz w:val="21"/>
        </w:rPr>
      </w:pPr>
    </w:p>
    <w:p>
      <w:pPr>
        <w:pStyle w:val="Heading6"/>
        <w:numPr>
          <w:ilvl w:val="5"/>
          <w:numId w:val="56"/>
        </w:numPr>
        <w:tabs>
          <w:tab w:pos="1661" w:val="left" w:leader="none"/>
        </w:tabs>
        <w:spacing w:line="240" w:lineRule="auto" w:before="0"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pStyle w:val="BodyText"/>
        <w:spacing w:before="54"/>
        <w:ind w:left="219" w:right="265"/>
        <w:jc w:val="both"/>
      </w:pPr>
      <w:r>
        <w:rPr/>
        <w:t>Activity data should be consistent with the activity data used for estimating changes in living biomass on land areas undergoing conversion to forest. This can be obtained, consistent with the general principles set out in Chapter 2 and as described in Section 3.2.2.1.1.3, through national statistics, from forest services, conservation agencies, municipalities, survey and mapping agencies. Cross-checks should be made to ensure complete and consistent representation of annually converted lands in order to avoid possible omissions or double counting. Data should be disaggregated according to the general climatic categories and forest types in Table 3.2.1. Tier 3 inventories will require more comprehensive information on the establishment of new forests, with refined soil classes, climates, and spatial and temporal resolution. All changes having occurred over the T years selected as the transition period should be included with transitions longer ago than the past 20 years reported as a subdivision of forest remaining forest.</w:t>
      </w:r>
    </w:p>
    <w:p>
      <w:pPr>
        <w:pStyle w:val="BodyText"/>
        <w:spacing w:before="3"/>
        <w:rPr>
          <w:sz w:val="21"/>
        </w:rPr>
      </w:pPr>
    </w:p>
    <w:p>
      <w:pPr>
        <w:pStyle w:val="Heading6"/>
        <w:numPr>
          <w:ilvl w:val="5"/>
          <w:numId w:val="56"/>
        </w:numPr>
        <w:tabs>
          <w:tab w:pos="1662" w:val="left" w:leader="none"/>
        </w:tabs>
        <w:spacing w:line="240" w:lineRule="auto" w:before="0" w:after="0"/>
        <w:ind w:left="1661" w:right="0" w:hanging="1442"/>
        <w:jc w:val="both"/>
      </w:pPr>
      <w:r>
        <w:rPr/>
        <w:t>4 </w:t>
      </w:r>
      <w:r>
        <w:rPr>
          <w:spacing w:val="17"/>
        </w:rPr>
        <w:t>Uncertainty</w:t>
      </w:r>
      <w:r>
        <w:rPr>
          <w:spacing w:val="18"/>
        </w:rPr>
        <w:t> </w:t>
      </w:r>
      <w:r>
        <w:rPr>
          <w:spacing w:val="19"/>
        </w:rPr>
        <w:t>Assessment</w:t>
      </w:r>
    </w:p>
    <w:p>
      <w:pPr>
        <w:pStyle w:val="BodyText"/>
        <w:spacing w:before="56"/>
        <w:ind w:left="219" w:right="263"/>
        <w:jc w:val="both"/>
      </w:pPr>
      <w:r>
        <w:rPr/>
        <w:t>Uncertainties for dead organic matter on land converted to forest land may be quite small in absolute terms in the first few years after conversion. Non-forest lands would have none to little dead organic matter. DOM can only occur once live vegetation is established, grows, and dies.</w:t>
      </w:r>
    </w:p>
    <w:p>
      <w:pPr>
        <w:pStyle w:val="BodyText"/>
        <w:spacing w:before="2"/>
        <w:rPr>
          <w:sz w:val="21"/>
        </w:rPr>
      </w:pPr>
    </w:p>
    <w:p>
      <w:pPr>
        <w:spacing w:line="228" w:lineRule="exact" w:before="0"/>
        <w:ind w:left="219" w:right="0" w:firstLine="0"/>
        <w:jc w:val="both"/>
        <w:rPr>
          <w:b/>
          <w:sz w:val="20"/>
        </w:rPr>
      </w:pPr>
      <w:r>
        <w:rPr>
          <w:b/>
          <w:sz w:val="20"/>
        </w:rPr>
        <w:t>DEAD WOOD </w:t>
      </w:r>
    </w:p>
    <w:p>
      <w:pPr>
        <w:pStyle w:val="BodyText"/>
        <w:ind w:left="219" w:right="263"/>
        <w:jc w:val="both"/>
      </w:pPr>
      <w:r>
        <w:rPr/>
        <w:t>The estimates for uncertainties of dead wood on land converted to forest land in the first few years after conversion may be close to zero percent. It is almost certain that there is zero dead wood on non-forest land prior to conversion to forest land. The longer the transition period chosen, the larger the uncertainties of dead wood on land converted to forest land. Uncertainties for dead wood on forest land remaining forest land are described in Section 3.2.1.2.1.4.</w:t>
      </w:r>
    </w:p>
    <w:p>
      <w:pPr>
        <w:spacing w:after="0"/>
        <w:jc w:val="both"/>
        <w:sectPr>
          <w:pgSz w:w="11900" w:h="16840"/>
          <w:pgMar w:header="230" w:footer="408" w:top="560" w:bottom="600" w:left="1200" w:right="1140"/>
        </w:sectPr>
      </w:pPr>
    </w:p>
    <w:p>
      <w:pPr>
        <w:pStyle w:val="BodyText"/>
      </w:pPr>
    </w:p>
    <w:p>
      <w:pPr>
        <w:pStyle w:val="BodyText"/>
        <w:spacing w:before="7"/>
        <w:rPr>
          <w:sz w:val="18"/>
        </w:rPr>
      </w:pPr>
    </w:p>
    <w:p>
      <w:pPr>
        <w:spacing w:line="228" w:lineRule="exact" w:before="0"/>
        <w:ind w:left="219" w:right="0" w:firstLine="0"/>
        <w:jc w:val="left"/>
        <w:rPr>
          <w:b/>
          <w:sz w:val="20"/>
        </w:rPr>
      </w:pPr>
      <w:r>
        <w:rPr>
          <w:b/>
          <w:sz w:val="20"/>
        </w:rPr>
        <w:t>LITTER </w:t>
      </w:r>
    </w:p>
    <w:p>
      <w:pPr>
        <w:pStyle w:val="BodyText"/>
        <w:ind w:left="219" w:right="264"/>
        <w:jc w:val="both"/>
      </w:pPr>
      <w:r>
        <w:rPr/>
        <w:t>The estimates for uncertainties of litter on land converted to forest land is very similar to estimates of uncertainties of litter on forest land remaining forest land, described in Section 3.2.1.2.1.4. Litter builds up relatively quickly. The shorter the transition period over which land stays in the category land converted to forest land, the less the litter uncertainty.</w:t>
      </w:r>
    </w:p>
    <w:p>
      <w:pPr>
        <w:pStyle w:val="BodyText"/>
        <w:spacing w:before="119"/>
        <w:ind w:left="219" w:right="271"/>
        <w:jc w:val="both"/>
      </w:pPr>
      <w:r>
        <w:rPr/>
        <w:t>Table 3.2.5 provides the sources of uncertainty in estimating CO</w:t>
      </w:r>
      <w:r>
        <w:rPr>
          <w:vertAlign w:val="subscript"/>
        </w:rPr>
        <w:t>2</w:t>
      </w:r>
      <w:r>
        <w:rPr>
          <w:vertAlign w:val="baseline"/>
        </w:rPr>
        <w:t> emissions and removals from forest soils and dead organic matter pools, and indicates ways to reduce them.</w:t>
      </w:r>
    </w:p>
    <w:p>
      <w:pPr>
        <w:pStyle w:val="BodyText"/>
        <w:spacing w:before="119"/>
        <w:ind w:left="219" w:right="267"/>
        <w:jc w:val="both"/>
      </w:pPr>
      <w:r>
        <w:rPr>
          <w:b/>
        </w:rPr>
        <w:t>Activity data: </w:t>
      </w:r>
      <w:r>
        <w:rPr/>
        <w:t>Uncertainties associated with activity data for dead organic matter should be consistent with the uncertainties for the activity data for estimating changes in living biomass on land area undergoing conversion to forest land, as described in Section 3.2.2.1.1.4.</w:t>
      </w:r>
    </w:p>
    <w:p>
      <w:pPr>
        <w:pStyle w:val="BodyText"/>
        <w:rPr>
          <w:sz w:val="22"/>
        </w:rPr>
      </w:pPr>
    </w:p>
    <w:p>
      <w:pPr>
        <w:pStyle w:val="Heading6"/>
        <w:numPr>
          <w:ilvl w:val="3"/>
          <w:numId w:val="56"/>
        </w:numPr>
        <w:tabs>
          <w:tab w:pos="1666" w:val="left" w:leader="none"/>
          <w:tab w:pos="1667" w:val="left" w:leader="none"/>
        </w:tabs>
        <w:spacing w:line="240" w:lineRule="auto" w:before="149" w:after="0"/>
        <w:ind w:left="1666" w:right="0" w:hanging="1447"/>
        <w:jc w:val="left"/>
        <w:rPr>
          <w:sz w:val="28"/>
        </w:rPr>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SOILS</w:t>
      </w:r>
    </w:p>
    <w:p>
      <w:pPr>
        <w:pStyle w:val="BodyText"/>
        <w:spacing w:before="208"/>
        <w:ind w:left="219" w:right="262"/>
        <w:jc w:val="both"/>
      </w:pPr>
      <w:r>
        <w:rPr/>
        <w:t>This section describes estimation procedures for carbon emissions and removals from the soils in land converted to forest land. Separate guidance is provided for two types of forest soil carbon pools: 1) the organic fraction of mineral forest soils, and 2) organic soils. The change in carbon stocks in soils in land converted to forest land</w:t>
      </w:r>
    </w:p>
    <w:p>
      <w:pPr>
        <w:spacing w:after="0"/>
        <w:jc w:val="both"/>
        <w:sectPr>
          <w:pgSz w:w="11900" w:h="16840"/>
          <w:pgMar w:header="230" w:footer="408" w:top="560" w:bottom="600" w:left="1200" w:right="1140"/>
        </w:sectPr>
      </w:pPr>
    </w:p>
    <w:p>
      <w:pPr>
        <w:pStyle w:val="BodyText"/>
        <w:spacing w:line="229" w:lineRule="exact"/>
        <w:ind w:left="219"/>
      </w:pPr>
      <w:r>
        <w:rPr/>
        <w:pict>
          <v:shape style="position:absolute;margin-left:418.960602pt;margin-top:5.096828pt;width:7.35pt;height:7.2pt;mso-position-horizontal-relative:page;mso-position-vertical-relative:paragraph;z-index:8992" type="#_x0000_t202" filled="false" stroked="false">
            <v:textbox inset="0,0,0,0">
              <w:txbxContent>
                <w:p>
                  <w:pPr>
                    <w:spacing w:line="144" w:lineRule="exact" w:before="0"/>
                    <w:ind w:left="0" w:right="0" w:firstLine="0"/>
                    <w:jc w:val="left"/>
                    <w:rPr>
                      <w:sz w:val="13"/>
                    </w:rPr>
                  </w:pPr>
                  <w:r>
                    <w:rPr>
                      <w:spacing w:val="-3"/>
                      <w:sz w:val="13"/>
                    </w:rPr>
                    <w:t>LF</w:t>
                  </w:r>
                </w:p>
              </w:txbxContent>
            </v:textbox>
            <w10:wrap type="none"/>
          </v:shape>
        </w:pict>
      </w:r>
      <w:r>
        <w:rPr>
          <w:w w:val="95"/>
        </w:rPr>
        <w:t>(∆C</w:t>
      </w:r>
      <w:r>
        <w:rPr>
          <w:w w:val="95"/>
          <w:vertAlign w:val="subscript"/>
        </w:rPr>
        <w:t>LF</w:t>
      </w:r>
    </w:p>
    <w:p>
      <w:pPr>
        <w:pStyle w:val="BodyText"/>
        <w:spacing w:line="193" w:lineRule="exact"/>
        <w:ind w:left="219"/>
      </w:pPr>
      <w:r>
        <w:rPr/>
        <w:br w:type="column"/>
      </w:r>
      <w:r>
        <w:rPr/>
        <w:t>) is equal to the sum of changes in carbon stocks in the mineral soils (∆C</w:t>
      </w:r>
    </w:p>
    <w:p>
      <w:pPr>
        <w:spacing w:line="106" w:lineRule="exact" w:before="0"/>
        <w:ind w:left="-38" w:right="0" w:firstLine="0"/>
        <w:jc w:val="left"/>
        <w:rPr>
          <w:sz w:val="13"/>
        </w:rPr>
      </w:pPr>
      <w:r>
        <w:rPr>
          <w:sz w:val="13"/>
        </w:rPr>
        <w:t>Soils</w:t>
      </w:r>
    </w:p>
    <w:p>
      <w:pPr>
        <w:pStyle w:val="BodyText"/>
        <w:spacing w:before="6"/>
        <w:rPr>
          <w:sz w:val="13"/>
        </w:rPr>
      </w:pPr>
      <w:r>
        <w:rPr/>
        <w:br w:type="column"/>
      </w:r>
      <w:r>
        <w:rPr>
          <w:sz w:val="13"/>
        </w:rPr>
      </w:r>
    </w:p>
    <w:p>
      <w:pPr>
        <w:spacing w:line="143" w:lineRule="exact" w:before="0"/>
        <w:ind w:left="112" w:right="0" w:firstLine="0"/>
        <w:jc w:val="left"/>
        <w:rPr>
          <w:sz w:val="13"/>
        </w:rPr>
      </w:pPr>
      <w:r>
        <w:rPr>
          <w:w w:val="95"/>
          <w:sz w:val="13"/>
        </w:rPr>
        <w:t>Mineral</w:t>
      </w:r>
    </w:p>
    <w:p>
      <w:pPr>
        <w:pStyle w:val="BodyText"/>
        <w:spacing w:line="229" w:lineRule="exact"/>
        <w:ind w:left="-40"/>
      </w:pPr>
      <w:r>
        <w:rPr/>
        <w:br w:type="column"/>
      </w:r>
      <w:r>
        <w:rPr/>
        <w:t>) and organic soils</w:t>
      </w:r>
    </w:p>
    <w:p>
      <w:pPr>
        <w:spacing w:after="0" w:line="229" w:lineRule="exact"/>
        <w:sectPr>
          <w:type w:val="continuous"/>
          <w:pgSz w:w="11900" w:h="16840"/>
          <w:pgMar w:top="1060" w:bottom="280" w:left="1200" w:right="1140"/>
          <w:cols w:num="4" w:equalWidth="0">
            <w:col w:w="693" w:space="40"/>
            <w:col w:w="6446" w:space="39"/>
            <w:col w:w="524" w:space="39"/>
            <w:col w:w="1779"/>
          </w:cols>
        </w:sectPr>
      </w:pPr>
    </w:p>
    <w:p>
      <w:pPr>
        <w:spacing w:line="297" w:lineRule="exact" w:before="0"/>
        <w:ind w:left="219" w:right="0" w:firstLine="0"/>
        <w:jc w:val="left"/>
        <w:rPr>
          <w:sz w:val="20"/>
        </w:rPr>
      </w:pPr>
      <w:r>
        <w:rPr>
          <w:position w:val="9"/>
          <w:sz w:val="20"/>
        </w:rPr>
        <w:t>(∆C</w:t>
      </w:r>
      <w:r>
        <w:rPr>
          <w:position w:val="6"/>
          <w:sz w:val="13"/>
        </w:rPr>
        <w:t>LF</w:t>
      </w:r>
      <w:r>
        <w:rPr>
          <w:sz w:val="13"/>
        </w:rPr>
        <w:t>Organic</w:t>
      </w:r>
      <w:r>
        <w:rPr>
          <w:position w:val="9"/>
          <w:sz w:val="20"/>
        </w:rPr>
        <w:t>).</w:t>
      </w:r>
    </w:p>
    <w:p>
      <w:pPr>
        <w:pStyle w:val="Heading6"/>
        <w:numPr>
          <w:ilvl w:val="4"/>
          <w:numId w:val="56"/>
        </w:numPr>
        <w:tabs>
          <w:tab w:pos="1659" w:val="left" w:leader="none"/>
          <w:tab w:pos="1660" w:val="left" w:leader="none"/>
        </w:tabs>
        <w:spacing w:line="240" w:lineRule="auto" w:before="229" w:after="0"/>
        <w:ind w:left="1659" w:right="0" w:hanging="1440"/>
        <w:jc w:val="left"/>
      </w:pPr>
      <w:r>
        <w:rPr/>
        <w:t>1</w:t>
        <w:tab/>
      </w:r>
      <w:r>
        <w:rPr>
          <w:spacing w:val="17"/>
        </w:rPr>
        <w:t>METHODOLOGICAL</w:t>
      </w:r>
      <w:r>
        <w:rPr>
          <w:spacing w:val="37"/>
        </w:rPr>
        <w:t> </w:t>
      </w:r>
      <w:r>
        <w:rPr>
          <w:spacing w:val="16"/>
        </w:rPr>
        <w:t>ISSUES</w:t>
      </w:r>
    </w:p>
    <w:p>
      <w:pPr>
        <w:spacing w:line="227" w:lineRule="exact" w:before="121"/>
        <w:ind w:left="219" w:right="0" w:firstLine="0"/>
        <w:jc w:val="left"/>
        <w:rPr>
          <w:b/>
          <w:sz w:val="20"/>
        </w:rPr>
      </w:pPr>
      <w:r>
        <w:rPr>
          <w:b/>
          <w:sz w:val="20"/>
        </w:rPr>
        <w:t>MINERAL SOILS</w:t>
      </w:r>
    </w:p>
    <w:p>
      <w:pPr>
        <w:pStyle w:val="BodyText"/>
        <w:ind w:left="219" w:right="261"/>
        <w:jc w:val="both"/>
      </w:pPr>
      <w:r>
        <w:rPr/>
        <w:t>Studies of soil carbon dynamics upon changes from non-forest to forest indicate a wide range of trends, rates and timing. This variability is commonly explained by diffferences in experimental design and sampling procedures, varying land-use histories, climates and forest types (Paul </w:t>
      </w:r>
      <w:r>
        <w:rPr>
          <w:i/>
        </w:rPr>
        <w:t>et al.</w:t>
      </w:r>
      <w:r>
        <w:rPr/>
        <w:t>, 2002; Post &amp; Kwon, 2000). Afforestation of improved grasslands has resulted in small decreases in mineral soil C in the upper soil horizon, which may or may not persist or be reversed over subsequent rotations (Paul </w:t>
      </w:r>
      <w:r>
        <w:rPr>
          <w:i/>
        </w:rPr>
        <w:t>et al.</w:t>
      </w:r>
      <w:r>
        <w:rPr/>
        <w:t>, 2002). Site characteristics were also found to be a strong determinant of C dynamics following afforestation on former pastures (Jackson </w:t>
      </w:r>
      <w:r>
        <w:rPr>
          <w:i/>
        </w:rPr>
        <w:t>et al.</w:t>
      </w:r>
      <w:r>
        <w:rPr/>
        <w:t>, 2002). Hence, there is no consistent pattern on the magnitude and direction of long-term soil C stock changes upon land-use changes from non-forest to managed forests (Post &amp; Kwon 2000; Polglase </w:t>
      </w:r>
      <w:r>
        <w:rPr>
          <w:i/>
        </w:rPr>
        <w:t>et al.</w:t>
      </w:r>
      <w:r>
        <w:rPr/>
        <w:t>,</w:t>
      </w:r>
      <w:r>
        <w:rPr>
          <w:spacing w:val="-10"/>
        </w:rPr>
        <w:t> </w:t>
      </w:r>
      <w:r>
        <w:rPr/>
        <w:t>2000).</w:t>
      </w:r>
    </w:p>
    <w:p>
      <w:pPr>
        <w:pStyle w:val="BodyText"/>
        <w:spacing w:before="118"/>
        <w:ind w:left="219" w:right="264"/>
        <w:jc w:val="both"/>
      </w:pPr>
      <w:r>
        <w:rPr/>
        <w:t>Generally, soil C is found to accumulate following afforestation on croplands (Polglase </w:t>
      </w:r>
      <w:r>
        <w:rPr>
          <w:i/>
        </w:rPr>
        <w:t>et al.</w:t>
      </w:r>
      <w:r>
        <w:rPr/>
        <w:t>, 2000). However, the rate of soil carbon accumulation can depend strongly on initial conditions, which relate to the intensity of the previous land-use and the remaining labile soil organic carbon prior to forest reestablishment (Post &amp; Kwon, 2000). In spite of higher carbon inputs from litter, soil characteristics may also limit the contribution of SOC accumulation to total carbon sequestration in the ecosystem upon forest regrowth (Richter </w:t>
      </w:r>
      <w:r>
        <w:rPr>
          <w:i/>
        </w:rPr>
        <w:t>et al.</w:t>
      </w:r>
      <w:r>
        <w:rPr/>
        <w:t>, 1999). Depending upon soil sampling depths, the redistribution of organic carbon along the soil may lead to incorrect conclusions on the net changes in soil carbon stocks.</w:t>
      </w:r>
    </w:p>
    <w:p>
      <w:pPr>
        <w:pStyle w:val="BodyText"/>
        <w:spacing w:before="120"/>
        <w:ind w:left="219" w:right="265"/>
        <w:jc w:val="both"/>
      </w:pPr>
      <w:r>
        <w:rPr/>
        <w:t>The proposed approach acknowledges the potential for sequestration or losses of SOC on lands converted to forest lands; it allows for the incorporation of the available scientific knowledge and data on the direction and rate of SOC changes in newly established forests.</w:t>
      </w:r>
    </w:p>
    <w:p>
      <w:pPr>
        <w:pStyle w:val="BodyText"/>
        <w:spacing w:before="119"/>
        <w:ind w:left="219" w:right="266"/>
        <w:jc w:val="both"/>
      </w:pPr>
      <w:r>
        <w:rPr/>
        <w:t>Conceptually, the methodology is consistent with the one developed in Section 3.2.1.3.1.1 (Choice of Methods), in that it assumes a stable, spatially-averaged carbon content of mineral soils under given forest types, management practices and disturbance regimes. It is based on the following assumptions:</w:t>
      </w:r>
    </w:p>
    <w:p>
      <w:pPr>
        <w:pStyle w:val="BodyText"/>
        <w:tabs>
          <w:tab w:pos="579" w:val="left" w:leader="none"/>
        </w:tabs>
        <w:spacing w:line="223" w:lineRule="auto" w:before="148"/>
        <w:ind w:left="576" w:right="354" w:hanging="358"/>
      </w:pPr>
      <w:r>
        <w:rPr>
          <w:rFonts w:ascii="Symbol" w:hAnsi="Symbol"/>
        </w:rPr>
        <w:t>•</w:t>
        <w:tab/>
        <w:tab/>
      </w:r>
      <w:r>
        <w:rPr/>
        <w:t>Change from non-forest to forest land is potentially associated with changes in SOC, eventually reaching a stable end-point;</w:t>
      </w:r>
      <w:r>
        <w:rPr>
          <w:spacing w:val="-1"/>
        </w:rPr>
        <w:t> </w:t>
      </w:r>
      <w:r>
        <w:rPr/>
        <w:t>and</w:t>
      </w:r>
    </w:p>
    <w:p>
      <w:pPr>
        <w:pStyle w:val="BodyText"/>
        <w:spacing w:before="136"/>
        <w:ind w:left="219"/>
        <w:jc w:val="both"/>
      </w:pPr>
      <w:r>
        <w:rPr>
          <w:rFonts w:ascii="Symbol" w:hAnsi="Symbol"/>
        </w:rPr>
        <w:t>• </w:t>
      </w:r>
      <w:r>
        <w:rPr/>
        <w:t>SOC sequestration/release during the transition to a new equilibrium SOC occurs in a linear fashion.</w:t>
      </w:r>
    </w:p>
    <w:p>
      <w:pPr>
        <w:spacing w:line="228" w:lineRule="exact" w:before="229"/>
        <w:ind w:left="219" w:right="0" w:firstLine="0"/>
        <w:jc w:val="left"/>
        <w:rPr>
          <w:b/>
          <w:sz w:val="20"/>
        </w:rPr>
      </w:pPr>
      <w:r>
        <w:rPr>
          <w:b/>
          <w:sz w:val="20"/>
        </w:rPr>
        <w:t>ORGANIC SOILS</w:t>
      </w:r>
    </w:p>
    <w:p>
      <w:pPr>
        <w:pStyle w:val="BodyText"/>
        <w:ind w:left="219" w:right="266"/>
        <w:jc w:val="both"/>
      </w:pPr>
      <w:r>
        <w:rPr/>
        <w:t>Afforestation activities or forest regrowth on organic soils may alter the moisture regime through changes in interception of rainfall and evapotranspiration, and through increased organic matter inputs. These changes can modify the carbon dynamics and balance between the release of CO</w:t>
      </w:r>
      <w:r>
        <w:rPr>
          <w:vertAlign w:val="subscript"/>
        </w:rPr>
        <w:t>2</w:t>
      </w:r>
      <w:r>
        <w:rPr>
          <w:vertAlign w:val="baseline"/>
        </w:rPr>
        <w:t> and CH</w:t>
      </w:r>
      <w:r>
        <w:rPr>
          <w:vertAlign w:val="subscript"/>
        </w:rPr>
        <w:t>4</w:t>
      </w:r>
      <w:r>
        <w:rPr>
          <w:vertAlign w:val="baseline"/>
        </w:rPr>
        <w:t> to the atmosphere, leading to the expectation that land conversion to forest on drained organic soils – whether drained for this purpose, or previously drained – will be an anthropogenic source of CO</w:t>
      </w:r>
      <w:r>
        <w:rPr>
          <w:vertAlign w:val="subscript"/>
        </w:rPr>
        <w:t>2</w:t>
      </w:r>
      <w:r>
        <w:rPr>
          <w:vertAlign w:val="baseline"/>
        </w:rPr>
        <w:t>. This is assumed not to be the case where conversion to forest occurs without drainage.</w:t>
      </w:r>
    </w:p>
    <w:p>
      <w:pPr>
        <w:spacing w:after="0"/>
        <w:jc w:val="both"/>
        <w:sectPr>
          <w:type w:val="continuous"/>
          <w:pgSz w:w="11900" w:h="16840"/>
          <w:pgMar w:top="1060" w:bottom="280" w:left="1200" w:right="1140"/>
        </w:sectPr>
      </w:pPr>
    </w:p>
    <w:p>
      <w:pPr>
        <w:pStyle w:val="BodyText"/>
      </w:pPr>
    </w:p>
    <w:p>
      <w:pPr>
        <w:pStyle w:val="BodyText"/>
        <w:spacing w:before="9"/>
        <w:rPr>
          <w:sz w:val="18"/>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5"/>
        <w:gridCol w:w="3247"/>
        <w:gridCol w:w="3612"/>
      </w:tblGrid>
      <w:tr>
        <w:trPr>
          <w:trHeight w:val="534" w:hRule="atLeast"/>
        </w:trPr>
        <w:tc>
          <w:tcPr>
            <w:tcW w:w="9014" w:type="dxa"/>
            <w:gridSpan w:val="3"/>
            <w:tcBorders>
              <w:bottom w:val="double" w:sz="1" w:space="0" w:color="000000"/>
            </w:tcBorders>
          </w:tcPr>
          <w:p>
            <w:pPr>
              <w:pStyle w:val="TableParagraph"/>
              <w:spacing w:before="59"/>
              <w:ind w:left="122" w:right="114"/>
              <w:jc w:val="center"/>
              <w:rPr>
                <w:b/>
                <w:sz w:val="18"/>
              </w:rPr>
            </w:pPr>
            <w:r>
              <w:rPr>
                <w:b/>
                <w:sz w:val="18"/>
              </w:rPr>
              <w:t>T</w:t>
            </w:r>
            <w:r>
              <w:rPr>
                <w:b/>
                <w:sz w:val="14"/>
              </w:rPr>
              <w:t>ABLE </w:t>
            </w:r>
            <w:r>
              <w:rPr>
                <w:b/>
                <w:sz w:val="18"/>
              </w:rPr>
              <w:t>3.2.5</w:t>
            </w:r>
          </w:p>
          <w:p>
            <w:pPr>
              <w:pStyle w:val="TableParagraph"/>
              <w:spacing w:before="2"/>
              <w:ind w:left="122" w:right="114"/>
              <w:jc w:val="center"/>
              <w:rPr>
                <w:b/>
                <w:sz w:val="14"/>
              </w:rPr>
            </w:pPr>
            <w:r>
              <w:rPr>
                <w:b/>
                <w:sz w:val="18"/>
              </w:rPr>
              <w:t>S</w:t>
            </w:r>
            <w:r>
              <w:rPr>
                <w:b/>
                <w:sz w:val="14"/>
              </w:rPr>
              <w:t>OURCES OF UNCERTAINTY IN ESTIMATING </w:t>
            </w:r>
            <w:r>
              <w:rPr>
                <w:b/>
                <w:sz w:val="18"/>
              </w:rPr>
              <w:t>CO</w:t>
            </w:r>
            <w:r>
              <w:rPr>
                <w:b/>
                <w:position w:val="-2"/>
                <w:sz w:val="12"/>
              </w:rPr>
              <w:t>2 </w:t>
            </w:r>
            <w:r>
              <w:rPr>
                <w:b/>
                <w:sz w:val="14"/>
              </w:rPr>
              <w:t>EMISSION</w:t>
            </w:r>
            <w:r>
              <w:rPr>
                <w:b/>
                <w:sz w:val="18"/>
              </w:rPr>
              <w:t>/</w:t>
            </w:r>
            <w:r>
              <w:rPr>
                <w:b/>
                <w:sz w:val="14"/>
              </w:rPr>
              <w:t>REMOVAL FROM FOREST SOIL AND </w:t>
            </w:r>
            <w:r>
              <w:rPr>
                <w:b/>
                <w:sz w:val="18"/>
              </w:rPr>
              <w:t>DOM </w:t>
            </w:r>
            <w:r>
              <w:rPr>
                <w:b/>
                <w:sz w:val="14"/>
              </w:rPr>
              <w:t>POOLS</w:t>
            </w:r>
          </w:p>
        </w:tc>
      </w:tr>
      <w:tr>
        <w:trPr>
          <w:trHeight w:val="303" w:hRule="atLeast"/>
        </w:trPr>
        <w:tc>
          <w:tcPr>
            <w:tcW w:w="2155" w:type="dxa"/>
            <w:tcBorders>
              <w:top w:val="double" w:sz="1" w:space="0" w:color="000000"/>
            </w:tcBorders>
          </w:tcPr>
          <w:p>
            <w:pPr>
              <w:pStyle w:val="TableParagraph"/>
              <w:spacing w:before="59"/>
              <w:ind w:left="306"/>
              <w:rPr>
                <w:b/>
                <w:sz w:val="16"/>
              </w:rPr>
            </w:pPr>
            <w:r>
              <w:rPr>
                <w:b/>
                <w:sz w:val="16"/>
              </w:rPr>
              <w:t>Sources of uncertainty</w:t>
            </w:r>
          </w:p>
        </w:tc>
        <w:tc>
          <w:tcPr>
            <w:tcW w:w="3247" w:type="dxa"/>
            <w:tcBorders>
              <w:top w:val="double" w:sz="1" w:space="0" w:color="000000"/>
            </w:tcBorders>
          </w:tcPr>
          <w:p>
            <w:pPr>
              <w:pStyle w:val="TableParagraph"/>
              <w:spacing w:before="59"/>
              <w:ind w:left="1082" w:right="1074"/>
              <w:jc w:val="center"/>
              <w:rPr>
                <w:b/>
                <w:sz w:val="16"/>
              </w:rPr>
            </w:pPr>
            <w:r>
              <w:rPr>
                <w:b/>
                <w:sz w:val="16"/>
              </w:rPr>
              <w:t>Characteristics</w:t>
            </w:r>
          </w:p>
        </w:tc>
        <w:tc>
          <w:tcPr>
            <w:tcW w:w="3612" w:type="dxa"/>
            <w:tcBorders>
              <w:top w:val="double" w:sz="1" w:space="0" w:color="000000"/>
            </w:tcBorders>
          </w:tcPr>
          <w:p>
            <w:pPr>
              <w:pStyle w:val="TableParagraph"/>
              <w:spacing w:before="59"/>
              <w:ind w:left="1421" w:right="1411"/>
              <w:jc w:val="center"/>
              <w:rPr>
                <w:b/>
                <w:sz w:val="16"/>
              </w:rPr>
            </w:pPr>
            <w:r>
              <w:rPr>
                <w:b/>
                <w:sz w:val="16"/>
              </w:rPr>
              <w:t>Treatment</w:t>
            </w:r>
          </w:p>
        </w:tc>
      </w:tr>
      <w:tr>
        <w:trPr>
          <w:trHeight w:val="304" w:hRule="atLeast"/>
        </w:trPr>
        <w:tc>
          <w:tcPr>
            <w:tcW w:w="9014" w:type="dxa"/>
            <w:gridSpan w:val="3"/>
          </w:tcPr>
          <w:p>
            <w:pPr>
              <w:pStyle w:val="TableParagraph"/>
              <w:spacing w:before="57"/>
              <w:ind w:left="120" w:right="114"/>
              <w:jc w:val="center"/>
              <w:rPr>
                <w:b/>
                <w:sz w:val="16"/>
              </w:rPr>
            </w:pPr>
            <w:r>
              <w:rPr>
                <w:b/>
                <w:sz w:val="16"/>
              </w:rPr>
              <w:t>Activity data</w:t>
            </w:r>
          </w:p>
        </w:tc>
      </w:tr>
      <w:tr>
        <w:trPr>
          <w:trHeight w:val="856" w:hRule="atLeast"/>
        </w:trPr>
        <w:tc>
          <w:tcPr>
            <w:tcW w:w="2155" w:type="dxa"/>
          </w:tcPr>
          <w:p>
            <w:pPr>
              <w:pStyle w:val="TableParagraph"/>
              <w:spacing w:before="54"/>
              <w:ind w:left="107" w:right="209"/>
              <w:rPr>
                <w:sz w:val="16"/>
              </w:rPr>
            </w:pPr>
            <w:r>
              <w:rPr>
                <w:sz w:val="16"/>
              </w:rPr>
              <w:t>Omission of managed forest areas</w:t>
            </w:r>
          </w:p>
        </w:tc>
        <w:tc>
          <w:tcPr>
            <w:tcW w:w="3247" w:type="dxa"/>
          </w:tcPr>
          <w:p>
            <w:pPr>
              <w:pStyle w:val="TableParagraph"/>
              <w:spacing w:before="54"/>
              <w:ind w:left="107" w:right="92"/>
              <w:rPr>
                <w:sz w:val="16"/>
              </w:rPr>
            </w:pPr>
            <w:r>
              <w:rPr>
                <w:sz w:val="16"/>
              </w:rPr>
              <w:t>Not all managed forest areas is characterized by type, management practices and disturbance regimes; changes in forest types, practices or events are not</w:t>
            </w:r>
            <w:r>
              <w:rPr>
                <w:spacing w:val="-6"/>
                <w:sz w:val="16"/>
              </w:rPr>
              <w:t> </w:t>
            </w:r>
            <w:r>
              <w:rPr>
                <w:sz w:val="16"/>
              </w:rPr>
              <w:t>documented</w:t>
            </w:r>
          </w:p>
        </w:tc>
        <w:tc>
          <w:tcPr>
            <w:tcW w:w="3612" w:type="dxa"/>
          </w:tcPr>
          <w:p>
            <w:pPr>
              <w:pStyle w:val="TableParagraph"/>
              <w:spacing w:before="54"/>
              <w:ind w:left="108" w:right="310"/>
              <w:rPr>
                <w:sz w:val="16"/>
              </w:rPr>
            </w:pPr>
            <w:r>
              <w:rPr>
                <w:sz w:val="16"/>
              </w:rPr>
              <w:t>Document and monitor forest types, management practices and disturbances.</w:t>
            </w:r>
          </w:p>
        </w:tc>
      </w:tr>
      <w:tr>
        <w:trPr>
          <w:trHeight w:val="671" w:hRule="atLeast"/>
        </w:trPr>
        <w:tc>
          <w:tcPr>
            <w:tcW w:w="2155" w:type="dxa"/>
          </w:tcPr>
          <w:p>
            <w:pPr>
              <w:pStyle w:val="TableParagraph"/>
              <w:spacing w:before="54"/>
              <w:ind w:left="107" w:right="120"/>
              <w:rPr>
                <w:sz w:val="16"/>
              </w:rPr>
            </w:pPr>
            <w:r>
              <w:rPr>
                <w:sz w:val="16"/>
              </w:rPr>
              <w:t>Omission of relevant changes in events or practices.</w:t>
            </w:r>
          </w:p>
        </w:tc>
        <w:tc>
          <w:tcPr>
            <w:tcW w:w="3247" w:type="dxa"/>
          </w:tcPr>
          <w:p>
            <w:pPr>
              <w:pStyle w:val="TableParagraph"/>
              <w:spacing w:before="54"/>
              <w:ind w:left="107" w:right="110"/>
              <w:rPr>
                <w:sz w:val="16"/>
              </w:rPr>
            </w:pPr>
            <w:r>
              <w:rPr>
                <w:sz w:val="16"/>
              </w:rPr>
              <w:t>Omission of some LU changes, practices or disturbances believed to cause GHG emissions or removals</w:t>
            </w:r>
          </w:p>
        </w:tc>
        <w:tc>
          <w:tcPr>
            <w:tcW w:w="3612" w:type="dxa"/>
          </w:tcPr>
          <w:p>
            <w:pPr>
              <w:pStyle w:val="TableParagraph"/>
              <w:spacing w:before="54"/>
              <w:ind w:left="108" w:right="83"/>
              <w:rPr>
                <w:sz w:val="16"/>
              </w:rPr>
            </w:pPr>
            <w:r>
              <w:rPr>
                <w:sz w:val="16"/>
              </w:rPr>
              <w:t>State and document; discuss likely effect on estimate validity</w:t>
            </w:r>
          </w:p>
        </w:tc>
      </w:tr>
      <w:tr>
        <w:trPr>
          <w:trHeight w:val="671" w:hRule="atLeast"/>
        </w:trPr>
        <w:tc>
          <w:tcPr>
            <w:tcW w:w="2155" w:type="dxa"/>
          </w:tcPr>
          <w:p>
            <w:pPr>
              <w:pStyle w:val="TableParagraph"/>
              <w:spacing w:before="54"/>
              <w:ind w:left="107" w:right="289"/>
              <w:rPr>
                <w:sz w:val="16"/>
              </w:rPr>
            </w:pPr>
            <w:r>
              <w:rPr>
                <w:sz w:val="16"/>
              </w:rPr>
              <w:t>Mapping of spatial activity data (e.g. organic soils).</w:t>
            </w:r>
          </w:p>
        </w:tc>
        <w:tc>
          <w:tcPr>
            <w:tcW w:w="3247" w:type="dxa"/>
          </w:tcPr>
          <w:p>
            <w:pPr>
              <w:pStyle w:val="TableParagraph"/>
              <w:spacing w:before="54"/>
              <w:ind w:left="107"/>
              <w:rPr>
                <w:sz w:val="16"/>
              </w:rPr>
            </w:pPr>
            <w:r>
              <w:rPr>
                <w:sz w:val="16"/>
              </w:rPr>
              <w:t>Areas or locations are not accurately mapped</w:t>
            </w:r>
          </w:p>
        </w:tc>
        <w:tc>
          <w:tcPr>
            <w:tcW w:w="3612" w:type="dxa"/>
          </w:tcPr>
          <w:p>
            <w:pPr>
              <w:pStyle w:val="TableParagraph"/>
              <w:spacing w:before="54"/>
              <w:ind w:left="108" w:right="252" w:hanging="1"/>
              <w:rPr>
                <w:sz w:val="16"/>
              </w:rPr>
            </w:pPr>
            <w:r>
              <w:rPr>
                <w:sz w:val="16"/>
              </w:rPr>
              <w:t>Follow recommendations under Chapter 2 and standard GIS texts for the treatment of uncertainty associated with the manipulation of spatial data</w:t>
            </w:r>
          </w:p>
        </w:tc>
      </w:tr>
      <w:tr>
        <w:trPr>
          <w:trHeight w:val="671" w:hRule="atLeast"/>
        </w:trPr>
        <w:tc>
          <w:tcPr>
            <w:tcW w:w="2155" w:type="dxa"/>
          </w:tcPr>
          <w:p>
            <w:pPr>
              <w:pStyle w:val="TableParagraph"/>
              <w:spacing w:before="54"/>
              <w:ind w:left="107"/>
              <w:rPr>
                <w:sz w:val="16"/>
              </w:rPr>
            </w:pPr>
            <w:r>
              <w:rPr>
                <w:sz w:val="16"/>
              </w:rPr>
              <w:t>Lack of proper stratification</w:t>
            </w:r>
          </w:p>
        </w:tc>
        <w:tc>
          <w:tcPr>
            <w:tcW w:w="3247" w:type="dxa"/>
          </w:tcPr>
          <w:p>
            <w:pPr>
              <w:pStyle w:val="TableParagraph"/>
              <w:spacing w:before="54"/>
              <w:ind w:left="107" w:right="120"/>
              <w:rPr>
                <w:sz w:val="16"/>
              </w:rPr>
            </w:pPr>
            <w:r>
              <w:rPr>
                <w:sz w:val="16"/>
              </w:rPr>
              <w:t>Activity data are not stratified according to the variables which most contribute to the overall variability</w:t>
            </w:r>
          </w:p>
        </w:tc>
        <w:tc>
          <w:tcPr>
            <w:tcW w:w="3612" w:type="dxa"/>
          </w:tcPr>
          <w:p>
            <w:pPr>
              <w:pStyle w:val="TableParagraph"/>
              <w:spacing w:before="54"/>
              <w:ind w:left="108" w:right="217"/>
              <w:rPr>
                <w:sz w:val="16"/>
              </w:rPr>
            </w:pPr>
            <w:r>
              <w:rPr>
                <w:sz w:val="16"/>
              </w:rPr>
              <w:t>Enhance the power of the sampling design through improved stratification</w:t>
            </w:r>
          </w:p>
        </w:tc>
      </w:tr>
      <w:tr>
        <w:trPr>
          <w:trHeight w:val="489" w:hRule="atLeast"/>
        </w:trPr>
        <w:tc>
          <w:tcPr>
            <w:tcW w:w="2155" w:type="dxa"/>
          </w:tcPr>
          <w:p>
            <w:pPr>
              <w:pStyle w:val="TableParagraph"/>
              <w:spacing w:before="54"/>
              <w:ind w:left="107"/>
              <w:rPr>
                <w:sz w:val="16"/>
              </w:rPr>
            </w:pPr>
            <w:r>
              <w:rPr>
                <w:sz w:val="16"/>
              </w:rPr>
              <w:t>Use of default classification</w:t>
            </w:r>
          </w:p>
        </w:tc>
        <w:tc>
          <w:tcPr>
            <w:tcW w:w="3247" w:type="dxa"/>
          </w:tcPr>
          <w:p>
            <w:pPr>
              <w:pStyle w:val="TableParagraph"/>
              <w:spacing w:before="54"/>
              <w:ind w:left="107" w:right="218" w:hanging="1"/>
              <w:rPr>
                <w:sz w:val="16"/>
              </w:rPr>
            </w:pPr>
            <w:r>
              <w:rPr>
                <w:sz w:val="16"/>
              </w:rPr>
              <w:t>National land-use classification incompatible with IPCC default</w:t>
            </w:r>
          </w:p>
        </w:tc>
        <w:tc>
          <w:tcPr>
            <w:tcW w:w="3612" w:type="dxa"/>
          </w:tcPr>
          <w:p>
            <w:pPr>
              <w:pStyle w:val="TableParagraph"/>
              <w:spacing w:before="54"/>
              <w:ind w:left="108"/>
              <w:rPr>
                <w:sz w:val="16"/>
              </w:rPr>
            </w:pPr>
            <w:r>
              <w:rPr>
                <w:sz w:val="16"/>
              </w:rPr>
              <w:t>Design cross-walk</w:t>
            </w:r>
          </w:p>
        </w:tc>
      </w:tr>
      <w:tr>
        <w:trPr>
          <w:trHeight w:val="304" w:hRule="atLeast"/>
        </w:trPr>
        <w:tc>
          <w:tcPr>
            <w:tcW w:w="9014" w:type="dxa"/>
            <w:gridSpan w:val="3"/>
          </w:tcPr>
          <w:p>
            <w:pPr>
              <w:pStyle w:val="TableParagraph"/>
              <w:spacing w:before="57"/>
              <w:ind w:left="123" w:right="113"/>
              <w:jc w:val="center"/>
              <w:rPr>
                <w:b/>
                <w:sz w:val="16"/>
              </w:rPr>
            </w:pPr>
            <w:r>
              <w:rPr>
                <w:b/>
                <w:sz w:val="16"/>
              </w:rPr>
              <w:t>Parameters, emission/removal factors</w:t>
            </w:r>
          </w:p>
        </w:tc>
      </w:tr>
      <w:tr>
        <w:trPr>
          <w:trHeight w:val="486" w:hRule="atLeast"/>
        </w:trPr>
        <w:tc>
          <w:tcPr>
            <w:tcW w:w="2155" w:type="dxa"/>
          </w:tcPr>
          <w:p>
            <w:pPr>
              <w:pStyle w:val="TableParagraph"/>
              <w:spacing w:before="54"/>
              <w:ind w:left="107" w:right="196"/>
              <w:rPr>
                <w:sz w:val="16"/>
              </w:rPr>
            </w:pPr>
            <w:r>
              <w:rPr>
                <w:sz w:val="16"/>
              </w:rPr>
              <w:t>Use of default parameters or emission/removal factors</w:t>
            </w:r>
          </w:p>
        </w:tc>
        <w:tc>
          <w:tcPr>
            <w:tcW w:w="3247" w:type="dxa"/>
          </w:tcPr>
          <w:p>
            <w:pPr>
              <w:pStyle w:val="TableParagraph"/>
              <w:spacing w:before="54"/>
              <w:ind w:left="107" w:right="555"/>
              <w:rPr>
                <w:sz w:val="16"/>
              </w:rPr>
            </w:pPr>
            <w:r>
              <w:rPr>
                <w:sz w:val="16"/>
              </w:rPr>
              <w:t>Default values do not represent national circumstances</w:t>
            </w:r>
          </w:p>
        </w:tc>
        <w:tc>
          <w:tcPr>
            <w:tcW w:w="3612" w:type="dxa"/>
          </w:tcPr>
          <w:p>
            <w:pPr>
              <w:pStyle w:val="TableParagraph"/>
              <w:spacing w:before="54"/>
              <w:ind w:left="108" w:right="88"/>
              <w:rPr>
                <w:sz w:val="16"/>
              </w:rPr>
            </w:pPr>
            <w:r>
              <w:rPr>
                <w:sz w:val="16"/>
              </w:rPr>
              <w:t>Use default uncertainties. Prioritize improvements to reduce highest uncertainty first.</w:t>
            </w:r>
          </w:p>
        </w:tc>
      </w:tr>
      <w:tr>
        <w:trPr>
          <w:trHeight w:val="489" w:hRule="atLeast"/>
        </w:trPr>
        <w:tc>
          <w:tcPr>
            <w:tcW w:w="2155" w:type="dxa"/>
          </w:tcPr>
          <w:p>
            <w:pPr>
              <w:pStyle w:val="TableParagraph"/>
              <w:spacing w:before="54"/>
              <w:ind w:left="107"/>
              <w:rPr>
                <w:sz w:val="16"/>
              </w:rPr>
            </w:pPr>
            <w:r>
              <w:rPr>
                <w:sz w:val="16"/>
              </w:rPr>
              <w:t>Sampling design</w:t>
            </w:r>
          </w:p>
        </w:tc>
        <w:tc>
          <w:tcPr>
            <w:tcW w:w="3247" w:type="dxa"/>
          </w:tcPr>
          <w:p>
            <w:pPr>
              <w:pStyle w:val="TableParagraph"/>
              <w:spacing w:before="54"/>
              <w:ind w:left="107" w:right="101"/>
              <w:rPr>
                <w:sz w:val="16"/>
              </w:rPr>
            </w:pPr>
            <w:r>
              <w:rPr>
                <w:sz w:val="16"/>
              </w:rPr>
              <w:t>Stratification, sampling intensity, incompletely capture spatial variability</w:t>
            </w:r>
          </w:p>
        </w:tc>
        <w:tc>
          <w:tcPr>
            <w:tcW w:w="3612" w:type="dxa"/>
          </w:tcPr>
          <w:p>
            <w:pPr>
              <w:pStyle w:val="TableParagraph"/>
              <w:spacing w:before="54"/>
              <w:ind w:left="108"/>
              <w:rPr>
                <w:sz w:val="16"/>
              </w:rPr>
            </w:pPr>
            <w:r>
              <w:rPr>
                <w:sz w:val="16"/>
              </w:rPr>
              <w:t>Quantify random uncertainty (see Chapter 5 or</w:t>
            </w:r>
          </w:p>
          <w:p>
            <w:pPr>
              <w:pStyle w:val="TableParagraph"/>
              <w:spacing w:before="1"/>
              <w:ind w:left="108"/>
              <w:rPr>
                <w:sz w:val="16"/>
              </w:rPr>
            </w:pPr>
            <w:r>
              <w:rPr>
                <w:i/>
                <w:sz w:val="16"/>
              </w:rPr>
              <w:t>GPG2000</w:t>
            </w:r>
            <w:r>
              <w:rPr>
                <w:sz w:val="16"/>
              </w:rPr>
              <w:t>)</w:t>
            </w:r>
          </w:p>
        </w:tc>
      </w:tr>
      <w:tr>
        <w:trPr>
          <w:trHeight w:val="853" w:hRule="atLeast"/>
        </w:trPr>
        <w:tc>
          <w:tcPr>
            <w:tcW w:w="2155" w:type="dxa"/>
          </w:tcPr>
          <w:p>
            <w:pPr>
              <w:pStyle w:val="TableParagraph"/>
              <w:spacing w:before="54"/>
              <w:ind w:left="107" w:right="618"/>
              <w:rPr>
                <w:sz w:val="16"/>
              </w:rPr>
            </w:pPr>
            <w:r>
              <w:rPr>
                <w:sz w:val="16"/>
              </w:rPr>
              <w:t>Inconsistent sampling protocol</w:t>
            </w:r>
          </w:p>
        </w:tc>
        <w:tc>
          <w:tcPr>
            <w:tcW w:w="3247" w:type="dxa"/>
          </w:tcPr>
          <w:p>
            <w:pPr>
              <w:pStyle w:val="TableParagraph"/>
              <w:spacing w:before="54"/>
              <w:ind w:left="107" w:right="168"/>
              <w:rPr>
                <w:sz w:val="16"/>
              </w:rPr>
            </w:pPr>
            <w:r>
              <w:rPr>
                <w:sz w:val="16"/>
              </w:rPr>
              <w:t>Horizon sampling, depth, replication, composite samples, handling of coarse fragments, bulk density measurements are not consistent</w:t>
            </w:r>
          </w:p>
        </w:tc>
        <w:tc>
          <w:tcPr>
            <w:tcW w:w="3612" w:type="dxa"/>
          </w:tcPr>
          <w:p>
            <w:pPr>
              <w:pStyle w:val="TableParagraph"/>
              <w:spacing w:before="54"/>
              <w:ind w:left="108" w:right="435"/>
              <w:rPr>
                <w:sz w:val="16"/>
              </w:rPr>
            </w:pPr>
            <w:r>
              <w:rPr>
                <w:sz w:val="16"/>
              </w:rPr>
              <w:t>Improve and/or standardize sampling protocol; develop cross-walk between different protocols</w:t>
            </w:r>
          </w:p>
        </w:tc>
      </w:tr>
      <w:tr>
        <w:trPr>
          <w:trHeight w:val="489" w:hRule="atLeast"/>
        </w:trPr>
        <w:tc>
          <w:tcPr>
            <w:tcW w:w="2155" w:type="dxa"/>
          </w:tcPr>
          <w:p>
            <w:pPr>
              <w:pStyle w:val="TableParagraph"/>
              <w:spacing w:before="54"/>
              <w:ind w:left="107"/>
              <w:rPr>
                <w:sz w:val="16"/>
              </w:rPr>
            </w:pPr>
            <w:r>
              <w:rPr>
                <w:sz w:val="16"/>
              </w:rPr>
              <w:t>Layer thickness</w:t>
            </w:r>
          </w:p>
        </w:tc>
        <w:tc>
          <w:tcPr>
            <w:tcW w:w="3247" w:type="dxa"/>
          </w:tcPr>
          <w:p>
            <w:pPr>
              <w:pStyle w:val="TableParagraph"/>
              <w:spacing w:before="54"/>
              <w:ind w:left="107" w:right="221"/>
              <w:rPr>
                <w:sz w:val="16"/>
              </w:rPr>
            </w:pPr>
            <w:r>
              <w:rPr>
                <w:sz w:val="16"/>
              </w:rPr>
              <w:t>Only superficial (0-30 cm) soil samples were collected</w:t>
            </w:r>
          </w:p>
        </w:tc>
        <w:tc>
          <w:tcPr>
            <w:tcW w:w="3612" w:type="dxa"/>
          </w:tcPr>
          <w:p>
            <w:pPr>
              <w:pStyle w:val="TableParagraph"/>
              <w:spacing w:before="54"/>
              <w:ind w:left="108" w:right="345"/>
              <w:rPr>
                <w:sz w:val="16"/>
              </w:rPr>
            </w:pPr>
            <w:r>
              <w:rPr>
                <w:sz w:val="16"/>
              </w:rPr>
              <w:t>Assume that 0-30 cm layer contains only 50% of forest soil C; estimate uncertainty accordingly</w:t>
            </w:r>
          </w:p>
        </w:tc>
      </w:tr>
      <w:tr>
        <w:trPr>
          <w:trHeight w:val="486" w:hRule="atLeast"/>
        </w:trPr>
        <w:tc>
          <w:tcPr>
            <w:tcW w:w="2155" w:type="dxa"/>
          </w:tcPr>
          <w:p>
            <w:pPr>
              <w:pStyle w:val="TableParagraph"/>
              <w:rPr>
                <w:sz w:val="16"/>
              </w:rPr>
            </w:pPr>
          </w:p>
        </w:tc>
        <w:tc>
          <w:tcPr>
            <w:tcW w:w="3247" w:type="dxa"/>
          </w:tcPr>
          <w:p>
            <w:pPr>
              <w:pStyle w:val="TableParagraph"/>
              <w:spacing w:before="54"/>
              <w:ind w:left="107" w:right="381"/>
              <w:rPr>
                <w:sz w:val="16"/>
              </w:rPr>
            </w:pPr>
            <w:r>
              <w:rPr>
                <w:sz w:val="16"/>
              </w:rPr>
              <w:t>Humus layer underneath boulders are not samples – overestimation of litter C stocks</w:t>
            </w:r>
          </w:p>
        </w:tc>
        <w:tc>
          <w:tcPr>
            <w:tcW w:w="3612" w:type="dxa"/>
          </w:tcPr>
          <w:p>
            <w:pPr>
              <w:pStyle w:val="TableParagraph"/>
              <w:spacing w:before="54"/>
              <w:ind w:left="108" w:right="221"/>
              <w:rPr>
                <w:sz w:val="16"/>
              </w:rPr>
            </w:pPr>
            <w:r>
              <w:rPr>
                <w:sz w:val="16"/>
              </w:rPr>
              <w:t>Evaluate and adjust the sampling design at the plot level according to microspatial variability</w:t>
            </w:r>
          </w:p>
        </w:tc>
      </w:tr>
      <w:tr>
        <w:trPr>
          <w:trHeight w:val="673" w:hRule="atLeast"/>
        </w:trPr>
        <w:tc>
          <w:tcPr>
            <w:tcW w:w="2155" w:type="dxa"/>
          </w:tcPr>
          <w:p>
            <w:pPr>
              <w:pStyle w:val="TableParagraph"/>
              <w:rPr>
                <w:sz w:val="16"/>
              </w:rPr>
            </w:pPr>
          </w:p>
        </w:tc>
        <w:tc>
          <w:tcPr>
            <w:tcW w:w="3247" w:type="dxa"/>
          </w:tcPr>
          <w:p>
            <w:pPr>
              <w:pStyle w:val="TableParagraph"/>
              <w:spacing w:before="54"/>
              <w:ind w:left="107" w:right="235"/>
              <w:rPr>
                <w:sz w:val="16"/>
              </w:rPr>
            </w:pPr>
            <w:r>
              <w:rPr>
                <w:sz w:val="16"/>
              </w:rPr>
              <w:t>Inconsistent identification of soil horizons or reference depths</w:t>
            </w:r>
          </w:p>
        </w:tc>
        <w:tc>
          <w:tcPr>
            <w:tcW w:w="3612" w:type="dxa"/>
          </w:tcPr>
          <w:p>
            <w:pPr>
              <w:pStyle w:val="TableParagraph"/>
              <w:spacing w:before="54"/>
              <w:ind w:left="108" w:right="199"/>
              <w:rPr>
                <w:sz w:val="16"/>
              </w:rPr>
            </w:pPr>
            <w:r>
              <w:rPr>
                <w:sz w:val="16"/>
              </w:rPr>
              <w:t>Vertical structure of soil profile should be assumed constant during repetitive sampling in forest sites without mechanical site preparation.</w:t>
            </w:r>
          </w:p>
        </w:tc>
      </w:tr>
      <w:tr>
        <w:trPr>
          <w:trHeight w:val="853" w:hRule="atLeast"/>
        </w:trPr>
        <w:tc>
          <w:tcPr>
            <w:tcW w:w="2155" w:type="dxa"/>
          </w:tcPr>
          <w:p>
            <w:pPr>
              <w:pStyle w:val="TableParagraph"/>
              <w:spacing w:before="54"/>
              <w:ind w:left="107"/>
              <w:rPr>
                <w:sz w:val="16"/>
              </w:rPr>
            </w:pPr>
            <w:r>
              <w:rPr>
                <w:sz w:val="16"/>
              </w:rPr>
              <w:t>Bulk density (BD)</w:t>
            </w:r>
          </w:p>
        </w:tc>
        <w:tc>
          <w:tcPr>
            <w:tcW w:w="3247" w:type="dxa"/>
          </w:tcPr>
          <w:p>
            <w:pPr>
              <w:pStyle w:val="TableParagraph"/>
              <w:spacing w:before="54"/>
              <w:ind w:left="107" w:right="103" w:hanging="1"/>
              <w:rPr>
                <w:sz w:val="16"/>
              </w:rPr>
            </w:pPr>
            <w:r>
              <w:rPr>
                <w:sz w:val="16"/>
              </w:rPr>
              <w:t>bulk density not measured at all sampling sites; inaccurate bulk density values, especially in compact or dense</w:t>
            </w:r>
            <w:r>
              <w:rPr>
                <w:spacing w:val="-3"/>
                <w:sz w:val="16"/>
              </w:rPr>
              <w:t> </w:t>
            </w:r>
            <w:r>
              <w:rPr>
                <w:sz w:val="16"/>
              </w:rPr>
              <w:t>subsoils;</w:t>
            </w:r>
          </w:p>
        </w:tc>
        <w:tc>
          <w:tcPr>
            <w:tcW w:w="3612" w:type="dxa"/>
          </w:tcPr>
          <w:p>
            <w:pPr>
              <w:pStyle w:val="TableParagraph"/>
              <w:spacing w:before="54"/>
              <w:ind w:left="108" w:right="279"/>
              <w:rPr>
                <w:sz w:val="16"/>
              </w:rPr>
            </w:pPr>
            <w:r>
              <w:rPr>
                <w:sz w:val="16"/>
              </w:rPr>
              <w:t>Use additional data from literature or databases to identify systematic error in BD and supplement missing data; request that representative measurements of BD be carried out</w:t>
            </w:r>
          </w:p>
        </w:tc>
      </w:tr>
      <w:tr>
        <w:trPr>
          <w:trHeight w:val="856" w:hRule="atLeast"/>
        </w:trPr>
        <w:tc>
          <w:tcPr>
            <w:tcW w:w="2155" w:type="dxa"/>
          </w:tcPr>
          <w:p>
            <w:pPr>
              <w:pStyle w:val="TableParagraph"/>
              <w:spacing w:before="54"/>
              <w:ind w:left="107"/>
              <w:rPr>
                <w:sz w:val="16"/>
              </w:rPr>
            </w:pPr>
            <w:r>
              <w:rPr>
                <w:sz w:val="16"/>
              </w:rPr>
              <w:t>Coarse fragments</w:t>
            </w:r>
          </w:p>
        </w:tc>
        <w:tc>
          <w:tcPr>
            <w:tcW w:w="3247" w:type="dxa"/>
          </w:tcPr>
          <w:p>
            <w:pPr>
              <w:pStyle w:val="TableParagraph"/>
              <w:spacing w:before="54"/>
              <w:ind w:left="107" w:right="78" w:firstLine="1"/>
              <w:rPr>
                <w:sz w:val="16"/>
              </w:rPr>
            </w:pPr>
            <w:r>
              <w:rPr>
                <w:sz w:val="16"/>
              </w:rPr>
              <w:t>No assessment of the volume or mass of coarse fragments</w:t>
            </w:r>
          </w:p>
        </w:tc>
        <w:tc>
          <w:tcPr>
            <w:tcW w:w="3612" w:type="dxa"/>
          </w:tcPr>
          <w:p>
            <w:pPr>
              <w:pStyle w:val="TableParagraph"/>
              <w:spacing w:before="54"/>
              <w:ind w:left="108" w:right="128"/>
              <w:rPr>
                <w:sz w:val="16"/>
              </w:rPr>
            </w:pPr>
            <w:r>
              <w:rPr>
                <w:sz w:val="16"/>
              </w:rPr>
              <w:t>Use additional data from literature or databases to identify systematic error in coarse fragment; calibrate and standardize the assessment of the coarse fragment content during sampling campaigns</w:t>
            </w:r>
          </w:p>
        </w:tc>
      </w:tr>
      <w:tr>
        <w:trPr>
          <w:trHeight w:val="671" w:hRule="atLeast"/>
        </w:trPr>
        <w:tc>
          <w:tcPr>
            <w:tcW w:w="2155" w:type="dxa"/>
          </w:tcPr>
          <w:p>
            <w:pPr>
              <w:pStyle w:val="TableParagraph"/>
              <w:spacing w:before="54"/>
              <w:ind w:left="107"/>
              <w:rPr>
                <w:sz w:val="16"/>
              </w:rPr>
            </w:pPr>
            <w:r>
              <w:rPr>
                <w:sz w:val="16"/>
              </w:rPr>
              <w:t>Carbon concentration</w:t>
            </w:r>
          </w:p>
        </w:tc>
        <w:tc>
          <w:tcPr>
            <w:tcW w:w="3247" w:type="dxa"/>
          </w:tcPr>
          <w:p>
            <w:pPr>
              <w:pStyle w:val="TableParagraph"/>
              <w:spacing w:before="54"/>
              <w:ind w:left="107" w:right="565" w:hanging="1"/>
              <w:rPr>
                <w:sz w:val="16"/>
              </w:rPr>
            </w:pPr>
            <w:r>
              <w:rPr>
                <w:sz w:val="16"/>
              </w:rPr>
              <w:t>Analytical methods for C analyses have changed</w:t>
            </w:r>
          </w:p>
        </w:tc>
        <w:tc>
          <w:tcPr>
            <w:tcW w:w="3612" w:type="dxa"/>
          </w:tcPr>
          <w:p>
            <w:pPr>
              <w:pStyle w:val="TableParagraph"/>
              <w:spacing w:before="54"/>
              <w:ind w:left="108" w:right="386"/>
              <w:rPr>
                <w:sz w:val="16"/>
              </w:rPr>
            </w:pPr>
            <w:r>
              <w:rPr>
                <w:sz w:val="16"/>
              </w:rPr>
              <w:t>Avoid changing analytical methods if possible; develop correction factors from comparative lab studies, or used published ones</w:t>
            </w:r>
          </w:p>
        </w:tc>
      </w:tr>
      <w:tr>
        <w:trPr>
          <w:trHeight w:val="856" w:hRule="atLeast"/>
        </w:trPr>
        <w:tc>
          <w:tcPr>
            <w:tcW w:w="2155" w:type="dxa"/>
          </w:tcPr>
          <w:p>
            <w:pPr>
              <w:pStyle w:val="TableParagraph"/>
              <w:spacing w:before="54"/>
              <w:ind w:left="107" w:right="209"/>
              <w:rPr>
                <w:sz w:val="16"/>
              </w:rPr>
            </w:pPr>
            <w:r>
              <w:rPr>
                <w:sz w:val="16"/>
              </w:rPr>
              <w:t>Scaling up of EF experimental values to large areas</w:t>
            </w:r>
          </w:p>
          <w:p>
            <w:pPr>
              <w:pStyle w:val="TableParagraph"/>
              <w:spacing w:line="190" w:lineRule="exact"/>
              <w:ind w:left="107"/>
              <w:rPr>
                <w:sz w:val="16"/>
              </w:rPr>
            </w:pPr>
            <w:r>
              <w:rPr>
                <w:position w:val="2"/>
                <w:sz w:val="16"/>
              </w:rPr>
              <w:t>(e.g EF</w:t>
            </w:r>
            <w:r>
              <w:rPr>
                <w:sz w:val="10"/>
              </w:rPr>
              <w:t>Drainage</w:t>
            </w:r>
            <w:r>
              <w:rPr>
                <w:position w:val="2"/>
                <w:sz w:val="16"/>
              </w:rPr>
              <w:t>)</w:t>
            </w:r>
          </w:p>
        </w:tc>
        <w:tc>
          <w:tcPr>
            <w:tcW w:w="3247" w:type="dxa"/>
          </w:tcPr>
          <w:p>
            <w:pPr>
              <w:pStyle w:val="TableParagraph"/>
              <w:spacing w:before="54"/>
              <w:ind w:left="107" w:right="115"/>
              <w:rPr>
                <w:sz w:val="16"/>
              </w:rPr>
            </w:pPr>
            <w:r>
              <w:rPr>
                <w:sz w:val="16"/>
              </w:rPr>
              <w:t>Experimental values derived from site-specific studies are applied to large areas.</w:t>
            </w:r>
          </w:p>
        </w:tc>
        <w:tc>
          <w:tcPr>
            <w:tcW w:w="3612" w:type="dxa"/>
          </w:tcPr>
          <w:p>
            <w:pPr>
              <w:pStyle w:val="TableParagraph"/>
              <w:spacing w:before="54"/>
              <w:ind w:left="108"/>
              <w:rPr>
                <w:sz w:val="16"/>
              </w:rPr>
            </w:pPr>
            <w:r>
              <w:rPr>
                <w:sz w:val="16"/>
              </w:rPr>
              <w:t>Follow guidance in Chapter 5 for scaling-up</w:t>
            </w:r>
          </w:p>
        </w:tc>
      </w:tr>
    </w:tbl>
    <w:p>
      <w:pPr>
        <w:pStyle w:val="BodyText"/>
        <w:spacing w:before="4"/>
        <w:rPr>
          <w:sz w:val="22"/>
        </w:rPr>
      </w:pPr>
    </w:p>
    <w:p>
      <w:pPr>
        <w:pStyle w:val="Heading6"/>
        <w:numPr>
          <w:ilvl w:val="5"/>
          <w:numId w:val="57"/>
        </w:numPr>
        <w:tabs>
          <w:tab w:pos="1659" w:val="left" w:leader="none"/>
          <w:tab w:pos="1660" w:val="left" w:leader="none"/>
        </w:tabs>
        <w:spacing w:line="240" w:lineRule="auto" w:before="92" w:after="0"/>
        <w:ind w:left="1659" w:right="0" w:hanging="1440"/>
        <w:jc w:val="left"/>
      </w:pPr>
      <w:r>
        <w:rPr/>
        <w:t>1</w:t>
        <w:tab/>
      </w:r>
      <w:r>
        <w:rPr>
          <w:spacing w:val="15"/>
        </w:rPr>
        <w:t>Choice </w:t>
      </w:r>
      <w:r>
        <w:rPr>
          <w:spacing w:val="9"/>
        </w:rPr>
        <w:t>of</w:t>
      </w:r>
      <w:r>
        <w:rPr>
          <w:spacing w:val="-6"/>
        </w:rPr>
        <w:t> </w:t>
      </w:r>
      <w:r>
        <w:rPr>
          <w:spacing w:val="19"/>
        </w:rPr>
        <w:t>Method</w:t>
      </w:r>
    </w:p>
    <w:p>
      <w:pPr>
        <w:spacing w:line="228" w:lineRule="exact" w:before="178"/>
        <w:ind w:left="219" w:right="0" w:firstLine="0"/>
        <w:jc w:val="left"/>
        <w:rPr>
          <w:b/>
          <w:sz w:val="20"/>
        </w:rPr>
      </w:pPr>
      <w:r>
        <w:rPr>
          <w:b/>
          <w:sz w:val="20"/>
        </w:rPr>
        <w:t>MINERAL SOILS</w:t>
      </w:r>
    </w:p>
    <w:p>
      <w:pPr>
        <w:pStyle w:val="BodyText"/>
        <w:ind w:left="219" w:right="265"/>
        <w:jc w:val="both"/>
      </w:pPr>
      <w:r>
        <w:rPr/>
        <w:t>Equation 3.2.31 indicates that the soil carbon stock change for any inventory year is equal to the sum of carbon stock changes in new, intensively and extensively managed forests established for less than T years. The equation reflects expected differences in patterns and duration of changes in SOC for intensively managed forest and extensively managed</w:t>
      </w:r>
      <w:r>
        <w:rPr>
          <w:spacing w:val="2"/>
        </w:rPr>
        <w:t> </w:t>
      </w:r>
      <w:r>
        <w:rPr/>
        <w:t>forest.</w:t>
      </w:r>
    </w:p>
    <w:p>
      <w:pPr>
        <w:spacing w:after="0"/>
        <w:jc w:val="both"/>
        <w:sectPr>
          <w:pgSz w:w="11900" w:h="16840"/>
          <w:pgMar w:header="230" w:footer="408" w:top="560" w:bottom="600" w:left="1200" w:right="1140"/>
        </w:sectPr>
      </w:pPr>
    </w:p>
    <w:p>
      <w:pPr>
        <w:pStyle w:val="BodyText"/>
      </w:pPr>
    </w:p>
    <w:p>
      <w:pPr>
        <w:pStyle w:val="BodyText"/>
        <w:spacing w:before="10" w:after="1"/>
        <w:rPr>
          <w:sz w:val="18"/>
        </w:rPr>
      </w:pPr>
    </w:p>
    <w:p>
      <w:pPr>
        <w:pStyle w:val="BodyText"/>
        <w:ind w:left="624"/>
      </w:pPr>
      <w:r>
        <w:rPr>
          <w:position w:val="0"/>
        </w:rPr>
        <w:pict>
          <v:shape style="width:411.5pt;height:134.4pt;mso-position-horizontal-relative:char;mso-position-vertical-relative:line" type="#_x0000_t202" filled="false" stroked="true" strokeweight="1.44pt" strokecolor="#000000">
            <w10:anchorlock/>
            <v:textbox inset="0,0,0,0">
              <w:txbxContent>
                <w:p>
                  <w:pPr>
                    <w:spacing w:line="217" w:lineRule="exact" w:before="99"/>
                    <w:ind w:left="67" w:right="68" w:firstLine="0"/>
                    <w:jc w:val="center"/>
                    <w:rPr>
                      <w:b/>
                      <w:sz w:val="20"/>
                    </w:rPr>
                  </w:pPr>
                  <w:r>
                    <w:rPr>
                      <w:b/>
                      <w:sz w:val="20"/>
                    </w:rPr>
                    <w:t>E</w:t>
                  </w:r>
                  <w:r>
                    <w:rPr>
                      <w:b/>
                      <w:sz w:val="16"/>
                    </w:rPr>
                    <w:t>QUATION </w:t>
                  </w:r>
                  <w:r>
                    <w:rPr>
                      <w:b/>
                      <w:sz w:val="20"/>
                    </w:rPr>
                    <w:t>3.2.31</w:t>
                  </w:r>
                </w:p>
                <w:p>
                  <w:pPr>
                    <w:spacing w:line="241" w:lineRule="exact" w:before="0"/>
                    <w:ind w:left="68" w:right="68" w:firstLine="0"/>
                    <w:jc w:val="center"/>
                    <w:rPr>
                      <w:b/>
                      <w:sz w:val="13"/>
                    </w:rPr>
                  </w:pPr>
                  <w:r>
                    <w:rPr>
                      <w:b/>
                      <w:sz w:val="20"/>
                    </w:rPr>
                    <w:t>A</w:t>
                  </w:r>
                  <w:r>
                    <w:rPr>
                      <w:b/>
                      <w:sz w:val="16"/>
                    </w:rPr>
                    <w:t>NNUAL CHANGE IN CARBON STOCKS IN MINERAL SOILS IN LAND CONVERTED TO FOREST LAND</w:t>
                  </w:r>
                  <w:r>
                    <w:rPr>
                      <w:b/>
                      <w:position w:val="9"/>
                      <w:sz w:val="13"/>
                    </w:rPr>
                    <w:t>1</w:t>
                  </w:r>
                </w:p>
                <w:p>
                  <w:pPr>
                    <w:spacing w:before="78"/>
                    <w:ind w:left="68" w:right="68" w:firstLine="0"/>
                    <w:jc w:val="center"/>
                    <w:rPr>
                      <w:sz w:val="13"/>
                    </w:rPr>
                  </w:pPr>
                  <w:r>
                    <w:rPr>
                      <w:position w:val="9"/>
                      <w:sz w:val="20"/>
                    </w:rPr>
                    <w:t>∆C</w:t>
                  </w:r>
                  <w:r>
                    <w:rPr>
                      <w:position w:val="6"/>
                      <w:sz w:val="13"/>
                    </w:rPr>
                    <w:t>LF</w:t>
                  </w:r>
                  <w:r>
                    <w:rPr>
                      <w:sz w:val="13"/>
                    </w:rPr>
                    <w:t>Mineral </w:t>
                  </w:r>
                  <w:r>
                    <w:rPr>
                      <w:position w:val="9"/>
                      <w:sz w:val="20"/>
                    </w:rPr>
                    <w:t>= ∆C</w:t>
                  </w:r>
                  <w:r>
                    <w:rPr>
                      <w:position w:val="6"/>
                      <w:sz w:val="13"/>
                    </w:rPr>
                    <w:t>LF</w:t>
                  </w:r>
                  <w:r>
                    <w:rPr>
                      <w:sz w:val="13"/>
                    </w:rPr>
                    <w:t>Ext Forest </w:t>
                  </w:r>
                  <w:r>
                    <w:rPr>
                      <w:position w:val="9"/>
                      <w:sz w:val="20"/>
                    </w:rPr>
                    <w:t>+ ∆C</w:t>
                  </w:r>
                  <w:r>
                    <w:rPr>
                      <w:position w:val="6"/>
                      <w:sz w:val="13"/>
                    </w:rPr>
                    <w:t>LF</w:t>
                  </w:r>
                  <w:r>
                    <w:rPr>
                      <w:sz w:val="13"/>
                    </w:rPr>
                    <w:t>Int Forest</w:t>
                  </w:r>
                </w:p>
                <w:p>
                  <w:pPr>
                    <w:pStyle w:val="BodyText"/>
                    <w:spacing w:before="64"/>
                    <w:ind w:left="68" w:right="68"/>
                    <w:jc w:val="center"/>
                  </w:pPr>
                  <w:r>
                    <w:rPr/>
                    <w:t>Where,</w:t>
                  </w:r>
                </w:p>
                <w:p>
                  <w:pPr>
                    <w:spacing w:before="78"/>
                    <w:ind w:left="111" w:right="64" w:firstLine="0"/>
                    <w:jc w:val="center"/>
                    <w:rPr>
                      <w:sz w:val="13"/>
                    </w:rPr>
                  </w:pPr>
                  <w:r>
                    <w:rPr>
                      <w:position w:val="3"/>
                      <w:sz w:val="20"/>
                    </w:rPr>
                    <w:t>∆C</w:t>
                  </w:r>
                  <w:r>
                    <w:rPr>
                      <w:sz w:val="13"/>
                    </w:rPr>
                    <w:t>LF</w:t>
                  </w:r>
                  <w:r>
                    <w:rPr>
                      <w:position w:val="-3"/>
                      <w:sz w:val="13"/>
                    </w:rPr>
                    <w:t>Ext Forest </w:t>
                  </w:r>
                  <w:r>
                    <w:rPr>
                      <w:position w:val="3"/>
                      <w:sz w:val="20"/>
                    </w:rPr>
                    <w:t>= [(SOC</w:t>
                  </w:r>
                  <w:r>
                    <w:rPr>
                      <w:sz w:val="13"/>
                    </w:rPr>
                    <w:t>Ext Forest </w:t>
                  </w:r>
                  <w:r>
                    <w:rPr>
                      <w:position w:val="3"/>
                      <w:sz w:val="20"/>
                    </w:rPr>
                    <w:t>– SOC</w:t>
                  </w:r>
                  <w:r>
                    <w:rPr>
                      <w:sz w:val="13"/>
                    </w:rPr>
                    <w:t>Non Forest Land</w:t>
                  </w:r>
                  <w:r>
                    <w:rPr>
                      <w:position w:val="3"/>
                      <w:sz w:val="20"/>
                    </w:rPr>
                    <w:t>) ● A</w:t>
                  </w:r>
                  <w:r>
                    <w:rPr>
                      <w:sz w:val="13"/>
                    </w:rPr>
                    <w:t>Ext Forest</w:t>
                  </w:r>
                  <w:r>
                    <w:rPr>
                      <w:position w:val="3"/>
                      <w:sz w:val="20"/>
                    </w:rPr>
                    <w:t>] / T</w:t>
                  </w:r>
                  <w:r>
                    <w:rPr>
                      <w:sz w:val="13"/>
                    </w:rPr>
                    <w:t>Ext Forest</w:t>
                  </w:r>
                </w:p>
                <w:p>
                  <w:pPr>
                    <w:spacing w:before="66"/>
                    <w:ind w:left="68" w:right="68" w:firstLine="0"/>
                    <w:jc w:val="center"/>
                    <w:rPr>
                      <w:sz w:val="13"/>
                    </w:rPr>
                  </w:pPr>
                  <w:r>
                    <w:rPr>
                      <w:position w:val="3"/>
                      <w:sz w:val="20"/>
                    </w:rPr>
                    <w:t>∆C</w:t>
                  </w:r>
                  <w:r>
                    <w:rPr>
                      <w:sz w:val="13"/>
                    </w:rPr>
                    <w:t>LF</w:t>
                  </w:r>
                  <w:r>
                    <w:rPr>
                      <w:position w:val="-3"/>
                      <w:sz w:val="13"/>
                    </w:rPr>
                    <w:t>Int Forest </w:t>
                  </w:r>
                  <w:r>
                    <w:rPr>
                      <w:position w:val="3"/>
                      <w:sz w:val="20"/>
                    </w:rPr>
                    <w:t>= [(SOC</w:t>
                  </w:r>
                  <w:r>
                    <w:rPr>
                      <w:sz w:val="13"/>
                    </w:rPr>
                    <w:t>Int Forest </w:t>
                  </w:r>
                  <w:r>
                    <w:rPr>
                      <w:position w:val="3"/>
                      <w:sz w:val="20"/>
                    </w:rPr>
                    <w:t>– SOC</w:t>
                  </w:r>
                  <w:r>
                    <w:rPr>
                      <w:sz w:val="13"/>
                    </w:rPr>
                    <w:t>Non Forest Land</w:t>
                  </w:r>
                  <w:r>
                    <w:rPr>
                      <w:position w:val="3"/>
                      <w:sz w:val="20"/>
                    </w:rPr>
                    <w:t>) ● A</w:t>
                  </w:r>
                  <w:r>
                    <w:rPr>
                      <w:sz w:val="13"/>
                    </w:rPr>
                    <w:t>Int Forest</w:t>
                  </w:r>
                  <w:r>
                    <w:rPr>
                      <w:position w:val="3"/>
                      <w:sz w:val="20"/>
                    </w:rPr>
                    <w:t>] / T</w:t>
                  </w:r>
                  <w:r>
                    <w:rPr>
                      <w:sz w:val="13"/>
                    </w:rPr>
                    <w:t>Int Forest</w:t>
                  </w:r>
                </w:p>
                <w:p>
                  <w:pPr>
                    <w:pStyle w:val="BodyText"/>
                    <w:spacing w:before="66"/>
                    <w:ind w:left="67" w:right="68"/>
                    <w:jc w:val="center"/>
                  </w:pPr>
                  <w:r>
                    <w:rPr/>
                    <w:t>and</w:t>
                  </w:r>
                </w:p>
                <w:p>
                  <w:pPr>
                    <w:spacing w:before="84"/>
                    <w:ind w:left="68" w:right="68" w:firstLine="0"/>
                    <w:jc w:val="center"/>
                    <w:rPr>
                      <w:sz w:val="13"/>
                    </w:rPr>
                  </w:pPr>
                  <w:r>
                    <w:rPr>
                      <w:position w:val="3"/>
                      <w:sz w:val="20"/>
                    </w:rPr>
                    <w:t>SOC</w:t>
                  </w:r>
                  <w:r>
                    <w:rPr>
                      <w:sz w:val="13"/>
                    </w:rPr>
                    <w:t>Int, Ext Forest </w:t>
                  </w:r>
                  <w:r>
                    <w:rPr>
                      <w:position w:val="3"/>
                      <w:sz w:val="20"/>
                    </w:rPr>
                    <w:t>= SOC</w:t>
                  </w:r>
                  <w:r>
                    <w:rPr>
                      <w:sz w:val="13"/>
                    </w:rPr>
                    <w:t>ref </w:t>
                  </w:r>
                  <w:r>
                    <w:rPr>
                      <w:position w:val="3"/>
                      <w:sz w:val="20"/>
                    </w:rPr>
                    <w:t>● f</w:t>
                  </w:r>
                  <w:r>
                    <w:rPr>
                      <w:sz w:val="13"/>
                    </w:rPr>
                    <w:t>forest type </w:t>
                  </w:r>
                  <w:r>
                    <w:rPr>
                      <w:position w:val="3"/>
                      <w:sz w:val="20"/>
                    </w:rPr>
                    <w:t>● f</w:t>
                  </w:r>
                  <w:r>
                    <w:rPr>
                      <w:sz w:val="13"/>
                    </w:rPr>
                    <w:t>man intensity </w:t>
                  </w:r>
                  <w:r>
                    <w:rPr>
                      <w:position w:val="3"/>
                      <w:sz w:val="20"/>
                    </w:rPr>
                    <w:t>● f</w:t>
                  </w:r>
                  <w:r>
                    <w:rPr>
                      <w:sz w:val="13"/>
                    </w:rPr>
                    <w:t>dist regime</w:t>
                  </w:r>
                </w:p>
              </w:txbxContent>
            </v:textbox>
            <v:stroke dashstyle="solid"/>
          </v:shape>
        </w:pict>
      </w:r>
      <w:r>
        <w:rPr>
          <w:position w:val="0"/>
        </w:rPr>
      </w:r>
    </w:p>
    <w:p>
      <w:pPr>
        <w:pStyle w:val="BodyText"/>
        <w:spacing w:before="6"/>
        <w:ind w:left="219"/>
      </w:pPr>
      <w:r>
        <w:rPr/>
        <w:t>Where:</w:t>
      </w:r>
    </w:p>
    <w:p>
      <w:pPr>
        <w:pStyle w:val="BodyText"/>
        <w:tabs>
          <w:tab w:pos="1659" w:val="left" w:leader="none"/>
        </w:tabs>
        <w:spacing w:line="193" w:lineRule="exact" w:before="121"/>
        <w:ind w:left="785"/>
      </w:pPr>
      <w:r>
        <w:rPr/>
        <w:pict>
          <v:shape style="position:absolute;margin-left:112.360603pt;margin-top:11.171875pt;width:7.35pt;height:7.2pt;mso-position-horizontal-relative:page;mso-position-vertical-relative:paragraph;z-index:-2447104" type="#_x0000_t202" filled="false" stroked="false">
            <v:textbox inset="0,0,0,0">
              <w:txbxContent>
                <w:p>
                  <w:pPr>
                    <w:spacing w:line="144" w:lineRule="exact" w:before="0"/>
                    <w:ind w:left="0" w:right="0" w:firstLine="0"/>
                    <w:jc w:val="left"/>
                    <w:rPr>
                      <w:sz w:val="13"/>
                    </w:rPr>
                  </w:pPr>
                  <w:r>
                    <w:rPr>
                      <w:spacing w:val="-3"/>
                      <w:sz w:val="13"/>
                    </w:rPr>
                    <w:t>LF</w:t>
                  </w:r>
                </w:p>
              </w:txbxContent>
            </v:textbox>
            <w10:wrap type="none"/>
          </v:shape>
        </w:pict>
      </w:r>
      <w:r>
        <w:rPr/>
        <w:t>∆C</w:t>
        <w:tab/>
        <w:t>= annual change in carbon stocks in mineral soils for inventory year, tonnes C</w:t>
      </w:r>
      <w:r>
        <w:rPr>
          <w:spacing w:val="-12"/>
        </w:rPr>
        <w:t> </w:t>
      </w:r>
      <w:r>
        <w:rPr/>
        <w:t>yr</w:t>
      </w:r>
      <w:r>
        <w:rPr>
          <w:vertAlign w:val="superscript"/>
        </w:rPr>
        <w:t>-1</w:t>
      </w:r>
    </w:p>
    <w:p>
      <w:pPr>
        <w:spacing w:line="113" w:lineRule="exact" w:before="0"/>
        <w:ind w:left="1198" w:right="0" w:firstLine="0"/>
        <w:jc w:val="left"/>
        <w:rPr>
          <w:sz w:val="13"/>
        </w:rPr>
      </w:pPr>
      <w:r>
        <w:rPr>
          <w:sz w:val="13"/>
        </w:rPr>
        <w:t>Mineral</w:t>
      </w:r>
    </w:p>
    <w:p>
      <w:pPr>
        <w:spacing w:after="0" w:line="113" w:lineRule="exact"/>
        <w:jc w:val="left"/>
        <w:rPr>
          <w:sz w:val="13"/>
        </w:rPr>
        <w:sectPr>
          <w:pgSz w:w="11900" w:h="16840"/>
          <w:pgMar w:header="230" w:footer="408" w:top="560" w:bottom="600" w:left="1200" w:right="1140"/>
        </w:sectPr>
      </w:pPr>
    </w:p>
    <w:p>
      <w:pPr>
        <w:pStyle w:val="BodyText"/>
        <w:spacing w:before="104"/>
        <w:ind w:left="785"/>
      </w:pPr>
      <w:r>
        <w:rPr/>
        <w:t>∆C</w:t>
      </w:r>
      <w:r>
        <w:rPr>
          <w:vertAlign w:val="subscript"/>
        </w:rPr>
        <w:t>LF</w:t>
      </w:r>
    </w:p>
    <w:p>
      <w:pPr>
        <w:pStyle w:val="BodyText"/>
        <w:spacing w:line="193" w:lineRule="exact" w:before="104"/>
        <w:ind w:left="507"/>
      </w:pPr>
      <w:r>
        <w:rPr/>
        <w:br w:type="column"/>
      </w:r>
      <w:r>
        <w:rPr>
          <w:i/>
        </w:rPr>
        <w:t>= </w:t>
      </w:r>
      <w:r>
        <w:rPr/>
        <w:t>annual change in carbon stocks in mineral soils in land converted to extensively managed</w:t>
      </w:r>
    </w:p>
    <w:p>
      <w:pPr>
        <w:spacing w:line="77" w:lineRule="exact" w:before="0"/>
        <w:ind w:left="-38" w:right="0" w:firstLine="0"/>
        <w:jc w:val="left"/>
        <w:rPr>
          <w:sz w:val="13"/>
        </w:rPr>
      </w:pPr>
      <w:r>
        <w:rPr>
          <w:sz w:val="13"/>
        </w:rPr>
        <w:t>Ext Forest</w:t>
      </w:r>
    </w:p>
    <w:p>
      <w:pPr>
        <w:spacing w:after="0" w:line="77" w:lineRule="exact"/>
        <w:jc w:val="left"/>
        <w:rPr>
          <w:sz w:val="13"/>
        </w:rPr>
        <w:sectPr>
          <w:type w:val="continuous"/>
          <w:pgSz w:w="11900" w:h="16840"/>
          <w:pgMar w:top="1060" w:bottom="280" w:left="1200" w:right="1140"/>
          <w:cols w:num="2" w:equalWidth="0">
            <w:col w:w="1194" w:space="40"/>
            <w:col w:w="8326"/>
          </w:cols>
        </w:sectPr>
      </w:pPr>
    </w:p>
    <w:p>
      <w:pPr>
        <w:pStyle w:val="BodyText"/>
        <w:spacing w:before="20"/>
        <w:ind w:left="1976"/>
      </w:pPr>
      <w:r>
        <w:rPr/>
        <w:t>forest land, tonnes C yr</w:t>
      </w:r>
      <w:r>
        <w:rPr>
          <w:vertAlign w:val="superscript"/>
        </w:rPr>
        <w:t>-1</w:t>
      </w:r>
    </w:p>
    <w:p>
      <w:pPr>
        <w:pStyle w:val="BodyText"/>
        <w:spacing w:line="225" w:lineRule="auto" w:before="128"/>
        <w:ind w:left="1976" w:right="354" w:hanging="1191"/>
      </w:pPr>
      <w:r>
        <w:rPr/>
        <w:t>∆C</w:t>
      </w:r>
      <w:r>
        <w:rPr>
          <w:vertAlign w:val="subscript"/>
        </w:rPr>
        <w:t>LF</w:t>
      </w:r>
      <w:r>
        <w:rPr>
          <w:position w:val="-6"/>
          <w:sz w:val="13"/>
          <w:vertAlign w:val="baseline"/>
        </w:rPr>
        <w:t>Int Forest </w:t>
      </w:r>
      <w:r>
        <w:rPr>
          <w:i/>
          <w:vertAlign w:val="baseline"/>
        </w:rPr>
        <w:t>= </w:t>
      </w:r>
      <w:r>
        <w:rPr>
          <w:vertAlign w:val="baseline"/>
        </w:rPr>
        <w:t>annual change in carbon stocks in mineral soils in land converted to intensively managed forest land , tonnes C yr</w:t>
      </w:r>
      <w:r>
        <w:rPr>
          <w:vertAlign w:val="superscript"/>
        </w:rPr>
        <w:t>-1</w:t>
      </w:r>
    </w:p>
    <w:p>
      <w:pPr>
        <w:pStyle w:val="BodyText"/>
        <w:spacing w:line="364" w:lineRule="auto" w:before="124"/>
        <w:ind w:left="785" w:right="413"/>
      </w:pPr>
      <w:r>
        <w:rPr/>
        <w:t>SOC</w:t>
      </w:r>
      <w:r>
        <w:rPr>
          <w:vertAlign w:val="subscript"/>
        </w:rPr>
        <w:t>Ext</w:t>
      </w:r>
      <w:r>
        <w:rPr>
          <w:vertAlign w:val="baseline"/>
        </w:rPr>
        <w:t> </w:t>
      </w:r>
      <w:r>
        <w:rPr>
          <w:vertAlign w:val="subscript"/>
        </w:rPr>
        <w:t>Forest</w:t>
      </w:r>
      <w:r>
        <w:rPr>
          <w:vertAlign w:val="baseline"/>
        </w:rPr>
        <w:t> = stable soil organic carbon stocks of the new, extensively managed forest, tonnes C ha</w:t>
      </w:r>
      <w:r>
        <w:rPr>
          <w:vertAlign w:val="superscript"/>
        </w:rPr>
        <w:t>-1</w:t>
      </w:r>
      <w:r>
        <w:rPr>
          <w:vertAlign w:val="baseline"/>
        </w:rPr>
        <w:t> SOC</w:t>
      </w:r>
      <w:r>
        <w:rPr>
          <w:vertAlign w:val="subscript"/>
        </w:rPr>
        <w:t>Int</w:t>
      </w:r>
      <w:r>
        <w:rPr>
          <w:vertAlign w:val="baseline"/>
        </w:rPr>
        <w:t> </w:t>
      </w:r>
      <w:r>
        <w:rPr>
          <w:vertAlign w:val="subscript"/>
        </w:rPr>
        <w:t>Forest</w:t>
      </w:r>
      <w:r>
        <w:rPr>
          <w:vertAlign w:val="baseline"/>
        </w:rPr>
        <w:t> = stable soil organic carbon stocks of the new, intensively managed forest, tonnes C ha</w:t>
      </w:r>
      <w:r>
        <w:rPr>
          <w:vertAlign w:val="superscript"/>
        </w:rPr>
        <w:t>-1</w:t>
      </w:r>
      <w:r>
        <w:rPr>
          <w:vertAlign w:val="baseline"/>
        </w:rPr>
        <w:t> SOC</w:t>
      </w:r>
      <w:r>
        <w:rPr>
          <w:vertAlign w:val="subscript"/>
        </w:rPr>
        <w:t>Non</w:t>
      </w:r>
      <w:r>
        <w:rPr>
          <w:vertAlign w:val="baseline"/>
        </w:rPr>
        <w:t> </w:t>
      </w:r>
      <w:r>
        <w:rPr>
          <w:vertAlign w:val="subscript"/>
        </w:rPr>
        <w:t>Forest</w:t>
      </w:r>
      <w:r>
        <w:rPr>
          <w:vertAlign w:val="baseline"/>
        </w:rPr>
        <w:t> </w:t>
      </w:r>
      <w:r>
        <w:rPr>
          <w:vertAlign w:val="subscript"/>
        </w:rPr>
        <w:t>Land</w:t>
      </w:r>
      <w:r>
        <w:rPr>
          <w:vertAlign w:val="baseline"/>
        </w:rPr>
        <w:t> = soil organic carbon stocks of the non-forest land prior to its conversion, tonnes C ha</w:t>
      </w:r>
      <w:r>
        <w:rPr>
          <w:vertAlign w:val="superscript"/>
        </w:rPr>
        <w:t>-1</w:t>
      </w:r>
      <w:r>
        <w:rPr>
          <w:vertAlign w:val="baseline"/>
        </w:rPr>
        <w:t> A</w:t>
      </w:r>
      <w:r>
        <w:rPr>
          <w:vertAlign w:val="subscript"/>
        </w:rPr>
        <w:t>Ext</w:t>
      </w:r>
      <w:r>
        <w:rPr>
          <w:vertAlign w:val="baseline"/>
        </w:rPr>
        <w:t> </w:t>
      </w:r>
      <w:r>
        <w:rPr>
          <w:vertAlign w:val="subscript"/>
        </w:rPr>
        <w:t>Forest</w:t>
      </w:r>
      <w:r>
        <w:rPr>
          <w:vertAlign w:val="baseline"/>
        </w:rPr>
        <w:t> = area of land converted to extensively managed forest, ha</w:t>
      </w:r>
    </w:p>
    <w:p>
      <w:pPr>
        <w:pStyle w:val="BodyText"/>
        <w:spacing w:before="1"/>
        <w:ind w:left="785"/>
      </w:pPr>
      <w:r>
        <w:rPr/>
        <w:t>A</w:t>
      </w:r>
      <w:r>
        <w:rPr>
          <w:vertAlign w:val="subscript"/>
        </w:rPr>
        <w:t>Int</w:t>
      </w:r>
      <w:r>
        <w:rPr>
          <w:vertAlign w:val="baseline"/>
        </w:rPr>
        <w:t> </w:t>
      </w:r>
      <w:r>
        <w:rPr>
          <w:vertAlign w:val="subscript"/>
        </w:rPr>
        <w:t>Forest</w:t>
      </w:r>
      <w:r>
        <w:rPr>
          <w:vertAlign w:val="baseline"/>
        </w:rPr>
        <w:t> = area of land converted to intensively managed forest, ha</w:t>
      </w:r>
    </w:p>
    <w:p>
      <w:pPr>
        <w:pStyle w:val="BodyText"/>
        <w:spacing w:line="364" w:lineRule="auto" w:before="121"/>
        <w:ind w:left="785" w:right="2626"/>
      </w:pPr>
      <w:r>
        <w:rPr/>
        <w:t>T</w:t>
      </w:r>
      <w:r>
        <w:rPr>
          <w:vertAlign w:val="subscript"/>
        </w:rPr>
        <w:t>Ext</w:t>
      </w:r>
      <w:r>
        <w:rPr>
          <w:spacing w:val="-19"/>
          <w:vertAlign w:val="baseline"/>
        </w:rPr>
        <w:t> </w:t>
      </w:r>
      <w:r>
        <w:rPr>
          <w:vertAlign w:val="subscript"/>
        </w:rPr>
        <w:t>Forest</w:t>
      </w:r>
      <w:r>
        <w:rPr>
          <w:spacing w:val="-3"/>
          <w:vertAlign w:val="baseline"/>
        </w:rPr>
        <w:t> </w:t>
      </w:r>
      <w:r>
        <w:rPr>
          <w:vertAlign w:val="baseline"/>
        </w:rPr>
        <w:t>=</w:t>
      </w:r>
      <w:r>
        <w:rPr>
          <w:spacing w:val="-5"/>
          <w:vertAlign w:val="baseline"/>
        </w:rPr>
        <w:t> </w:t>
      </w:r>
      <w:r>
        <w:rPr>
          <w:vertAlign w:val="baseline"/>
        </w:rPr>
        <w:t>duration</w:t>
      </w:r>
      <w:r>
        <w:rPr>
          <w:spacing w:val="-3"/>
          <w:vertAlign w:val="baseline"/>
        </w:rPr>
        <w:t> </w:t>
      </w:r>
      <w:r>
        <w:rPr>
          <w:vertAlign w:val="baseline"/>
        </w:rPr>
        <w:t>of</w:t>
      </w:r>
      <w:r>
        <w:rPr>
          <w:spacing w:val="-5"/>
          <w:vertAlign w:val="baseline"/>
        </w:rPr>
        <w:t> </w:t>
      </w:r>
      <w:r>
        <w:rPr>
          <w:vertAlign w:val="baseline"/>
        </w:rPr>
        <w:t>the</w:t>
      </w:r>
      <w:r>
        <w:rPr>
          <w:spacing w:val="-3"/>
          <w:vertAlign w:val="baseline"/>
        </w:rPr>
        <w:t> </w:t>
      </w:r>
      <w:r>
        <w:rPr>
          <w:vertAlign w:val="baseline"/>
        </w:rPr>
        <w:t>transition</w:t>
      </w:r>
      <w:r>
        <w:rPr>
          <w:spacing w:val="-2"/>
          <w:vertAlign w:val="baseline"/>
        </w:rPr>
        <w:t> </w:t>
      </w:r>
      <w:r>
        <w:rPr>
          <w:vertAlign w:val="baseline"/>
        </w:rPr>
        <w:t>from</w:t>
      </w:r>
      <w:r>
        <w:rPr>
          <w:spacing w:val="-6"/>
          <w:vertAlign w:val="baseline"/>
        </w:rPr>
        <w:t> </w:t>
      </w:r>
      <w:r>
        <w:rPr>
          <w:vertAlign w:val="baseline"/>
        </w:rPr>
        <w:t>SOC</w:t>
      </w:r>
      <w:r>
        <w:rPr>
          <w:vertAlign w:val="subscript"/>
        </w:rPr>
        <w:t>Non</w:t>
      </w:r>
      <w:r>
        <w:rPr>
          <w:spacing w:val="-19"/>
          <w:vertAlign w:val="baseline"/>
        </w:rPr>
        <w:t> </w:t>
      </w:r>
      <w:r>
        <w:rPr>
          <w:vertAlign w:val="subscript"/>
        </w:rPr>
        <w:t>Forest</w:t>
      </w:r>
      <w:r>
        <w:rPr>
          <w:spacing w:val="-17"/>
          <w:vertAlign w:val="baseline"/>
        </w:rPr>
        <w:t> </w:t>
      </w:r>
      <w:r>
        <w:rPr>
          <w:vertAlign w:val="subscript"/>
        </w:rPr>
        <w:t>Land</w:t>
      </w:r>
      <w:r>
        <w:rPr>
          <w:spacing w:val="-19"/>
          <w:vertAlign w:val="baseline"/>
        </w:rPr>
        <w:t> </w:t>
      </w:r>
      <w:r>
        <w:rPr>
          <w:vertAlign w:val="baseline"/>
        </w:rPr>
        <w:t>to</w:t>
      </w:r>
      <w:r>
        <w:rPr>
          <w:spacing w:val="-2"/>
          <w:vertAlign w:val="baseline"/>
        </w:rPr>
        <w:t> </w:t>
      </w:r>
      <w:r>
        <w:rPr>
          <w:vertAlign w:val="baseline"/>
        </w:rPr>
        <w:t>SOC</w:t>
      </w:r>
      <w:r>
        <w:rPr>
          <w:vertAlign w:val="subscript"/>
        </w:rPr>
        <w:t>Ext</w:t>
      </w:r>
      <w:r>
        <w:rPr>
          <w:spacing w:val="-18"/>
          <w:vertAlign w:val="baseline"/>
        </w:rPr>
        <w:t> </w:t>
      </w:r>
      <w:r>
        <w:rPr>
          <w:vertAlign w:val="subscript"/>
        </w:rPr>
        <w:t>Forest</w:t>
      </w:r>
      <w:r>
        <w:rPr>
          <w:vertAlign w:val="baseline"/>
        </w:rPr>
        <w:t>, yr T</w:t>
      </w:r>
      <w:r>
        <w:rPr>
          <w:vertAlign w:val="subscript"/>
        </w:rPr>
        <w:t>Int</w:t>
      </w:r>
      <w:r>
        <w:rPr>
          <w:spacing w:val="-19"/>
          <w:vertAlign w:val="baseline"/>
        </w:rPr>
        <w:t> </w:t>
      </w:r>
      <w:r>
        <w:rPr>
          <w:vertAlign w:val="subscript"/>
        </w:rPr>
        <w:t>Forest</w:t>
      </w:r>
      <w:r>
        <w:rPr>
          <w:spacing w:val="-2"/>
          <w:vertAlign w:val="baseline"/>
        </w:rPr>
        <w:t> </w:t>
      </w:r>
      <w:r>
        <w:rPr>
          <w:vertAlign w:val="baseline"/>
        </w:rPr>
        <w:t>=</w:t>
      </w:r>
      <w:r>
        <w:rPr>
          <w:spacing w:val="-2"/>
          <w:vertAlign w:val="baseline"/>
        </w:rPr>
        <w:t> </w:t>
      </w:r>
      <w:r>
        <w:rPr>
          <w:vertAlign w:val="baseline"/>
        </w:rPr>
        <w:t>duration</w:t>
      </w:r>
      <w:r>
        <w:rPr>
          <w:spacing w:val="-4"/>
          <w:vertAlign w:val="baseline"/>
        </w:rPr>
        <w:t> </w:t>
      </w:r>
      <w:r>
        <w:rPr>
          <w:vertAlign w:val="baseline"/>
        </w:rPr>
        <w:t>of</w:t>
      </w:r>
      <w:r>
        <w:rPr>
          <w:spacing w:val="-4"/>
          <w:vertAlign w:val="baseline"/>
        </w:rPr>
        <w:t> </w:t>
      </w:r>
      <w:r>
        <w:rPr>
          <w:vertAlign w:val="baseline"/>
        </w:rPr>
        <w:t>the</w:t>
      </w:r>
      <w:r>
        <w:rPr>
          <w:spacing w:val="-2"/>
          <w:vertAlign w:val="baseline"/>
        </w:rPr>
        <w:t> </w:t>
      </w:r>
      <w:r>
        <w:rPr>
          <w:vertAlign w:val="baseline"/>
        </w:rPr>
        <w:t>transition</w:t>
      </w:r>
      <w:r>
        <w:rPr>
          <w:spacing w:val="-3"/>
          <w:vertAlign w:val="baseline"/>
        </w:rPr>
        <w:t> </w:t>
      </w:r>
      <w:r>
        <w:rPr>
          <w:vertAlign w:val="baseline"/>
        </w:rPr>
        <w:t>from</w:t>
      </w:r>
      <w:r>
        <w:rPr>
          <w:spacing w:val="-3"/>
          <w:vertAlign w:val="baseline"/>
        </w:rPr>
        <w:t> </w:t>
      </w:r>
      <w:r>
        <w:rPr>
          <w:vertAlign w:val="baseline"/>
        </w:rPr>
        <w:t>SOC</w:t>
      </w:r>
      <w:r>
        <w:rPr>
          <w:vertAlign w:val="subscript"/>
        </w:rPr>
        <w:t>Non</w:t>
      </w:r>
      <w:r>
        <w:rPr>
          <w:spacing w:val="-19"/>
          <w:vertAlign w:val="baseline"/>
        </w:rPr>
        <w:t> </w:t>
      </w:r>
      <w:r>
        <w:rPr>
          <w:vertAlign w:val="subscript"/>
        </w:rPr>
        <w:t>Forest</w:t>
      </w:r>
      <w:r>
        <w:rPr>
          <w:spacing w:val="-18"/>
          <w:vertAlign w:val="baseline"/>
        </w:rPr>
        <w:t> </w:t>
      </w:r>
      <w:r>
        <w:rPr>
          <w:vertAlign w:val="subscript"/>
        </w:rPr>
        <w:t>Land</w:t>
      </w:r>
      <w:r>
        <w:rPr>
          <w:spacing w:val="-19"/>
          <w:vertAlign w:val="baseline"/>
        </w:rPr>
        <w:t> </w:t>
      </w:r>
      <w:r>
        <w:rPr>
          <w:vertAlign w:val="baseline"/>
        </w:rPr>
        <w:t>to</w:t>
      </w:r>
      <w:r>
        <w:rPr>
          <w:spacing w:val="-1"/>
          <w:vertAlign w:val="baseline"/>
        </w:rPr>
        <w:t> </w:t>
      </w:r>
      <w:r>
        <w:rPr>
          <w:vertAlign w:val="baseline"/>
        </w:rPr>
        <w:t>SOC</w:t>
      </w:r>
      <w:r>
        <w:rPr>
          <w:vertAlign w:val="subscript"/>
        </w:rPr>
        <w:t>Int</w:t>
      </w:r>
      <w:r>
        <w:rPr>
          <w:spacing w:val="-18"/>
          <w:vertAlign w:val="baseline"/>
        </w:rPr>
        <w:t> </w:t>
      </w:r>
      <w:r>
        <w:rPr>
          <w:vertAlign w:val="subscript"/>
        </w:rPr>
        <w:t>Forest</w:t>
      </w:r>
      <w:r>
        <w:rPr>
          <w:vertAlign w:val="baseline"/>
        </w:rPr>
        <w:t>, yr</w:t>
      </w:r>
    </w:p>
    <w:p>
      <w:pPr>
        <w:pStyle w:val="BodyText"/>
        <w:spacing w:before="1"/>
        <w:ind w:left="785"/>
      </w:pPr>
      <w:r>
        <w:rPr/>
        <w:t>SOC</w:t>
      </w:r>
      <w:r>
        <w:rPr>
          <w:vertAlign w:val="subscript"/>
        </w:rPr>
        <w:t>ref</w:t>
      </w:r>
      <w:r>
        <w:rPr>
          <w:vertAlign w:val="baseline"/>
        </w:rPr>
        <w:t> = reference carbon stock, under native, unmanaged forest on a given soil, tonnes C ha</w:t>
      </w:r>
      <w:r>
        <w:rPr>
          <w:vertAlign w:val="superscript"/>
        </w:rPr>
        <w:t>-1</w:t>
      </w:r>
    </w:p>
    <w:p>
      <w:pPr>
        <w:pStyle w:val="BodyText"/>
        <w:spacing w:line="362" w:lineRule="auto" w:before="121"/>
        <w:ind w:left="785" w:right="354"/>
      </w:pPr>
      <w:r>
        <w:rPr/>
        <w:t>f</w:t>
      </w:r>
      <w:r>
        <w:rPr>
          <w:vertAlign w:val="subscript"/>
        </w:rPr>
        <w:t>forest</w:t>
      </w:r>
      <w:r>
        <w:rPr>
          <w:vertAlign w:val="baseline"/>
        </w:rPr>
        <w:t> </w:t>
      </w:r>
      <w:r>
        <w:rPr>
          <w:vertAlign w:val="subscript"/>
        </w:rPr>
        <w:t>type</w:t>
      </w:r>
      <w:r>
        <w:rPr>
          <w:vertAlign w:val="baseline"/>
        </w:rPr>
        <w:t> = adjustment factor for a forest type different from the native forest vegetation, dimensionless f</w:t>
      </w:r>
      <w:r>
        <w:rPr>
          <w:vertAlign w:val="subscript"/>
        </w:rPr>
        <w:t>man</w:t>
      </w:r>
      <w:r>
        <w:rPr>
          <w:vertAlign w:val="baseline"/>
        </w:rPr>
        <w:t> </w:t>
      </w:r>
      <w:r>
        <w:rPr>
          <w:vertAlign w:val="subscript"/>
        </w:rPr>
        <w:t>intensity</w:t>
      </w:r>
      <w:r>
        <w:rPr>
          <w:vertAlign w:val="baseline"/>
        </w:rPr>
        <w:t> = adjustment factor for the effect of management intensity, dimensionless</w:t>
      </w:r>
    </w:p>
    <w:p>
      <w:pPr>
        <w:pStyle w:val="BodyText"/>
        <w:spacing w:before="4"/>
        <w:ind w:left="1750" w:right="354" w:hanging="965"/>
      </w:pPr>
      <w:r>
        <w:rPr/>
        <w:t>f</w:t>
      </w:r>
      <w:r>
        <w:rPr>
          <w:vertAlign w:val="subscript"/>
        </w:rPr>
        <w:t>dist</w:t>
      </w:r>
      <w:r>
        <w:rPr>
          <w:vertAlign w:val="baseline"/>
        </w:rPr>
        <w:t> </w:t>
      </w:r>
      <w:r>
        <w:rPr>
          <w:vertAlign w:val="subscript"/>
        </w:rPr>
        <w:t>regime</w:t>
      </w:r>
      <w:r>
        <w:rPr>
          <w:vertAlign w:val="baseline"/>
        </w:rPr>
        <w:t> = adjustment factor reflecting the effect on SOC of a disturbance regime different from the natural one, dimensionless</w:t>
      </w:r>
    </w:p>
    <w:p>
      <w:pPr>
        <w:pStyle w:val="BodyText"/>
        <w:spacing w:before="120"/>
        <w:ind w:left="792" w:right="265" w:hanging="8"/>
        <w:jc w:val="both"/>
      </w:pPr>
      <w:r>
        <w:rPr/>
        <w:t>Note 1: These changes in carbon stocks should be reported annually for T</w:t>
      </w:r>
      <w:r>
        <w:rPr>
          <w:vertAlign w:val="subscript"/>
        </w:rPr>
        <w:t>Ext</w:t>
      </w:r>
      <w:r>
        <w:rPr>
          <w:vertAlign w:val="baseline"/>
        </w:rPr>
        <w:t> </w:t>
      </w:r>
      <w:r>
        <w:rPr>
          <w:vertAlign w:val="subscript"/>
        </w:rPr>
        <w:t>Forest,</w:t>
      </w:r>
      <w:r>
        <w:rPr>
          <w:vertAlign w:val="baseline"/>
        </w:rPr>
        <w:t> and T</w:t>
      </w:r>
      <w:r>
        <w:rPr>
          <w:vertAlign w:val="subscript"/>
        </w:rPr>
        <w:t>Int</w:t>
      </w:r>
      <w:r>
        <w:rPr>
          <w:vertAlign w:val="baseline"/>
        </w:rPr>
        <w:t> </w:t>
      </w:r>
      <w:r>
        <w:rPr>
          <w:vertAlign w:val="subscript"/>
        </w:rPr>
        <w:t>Forest</w:t>
      </w:r>
      <w:r>
        <w:rPr>
          <w:vertAlign w:val="baseline"/>
        </w:rPr>
        <w:t> years, respectively. For example, if a land is converted to intensively managed forest land and T</w:t>
      </w:r>
      <w:r>
        <w:rPr>
          <w:vertAlign w:val="subscript"/>
        </w:rPr>
        <w:t>Int</w:t>
      </w:r>
      <w:r>
        <w:rPr>
          <w:vertAlign w:val="baseline"/>
        </w:rPr>
        <w:t> </w:t>
      </w:r>
      <w:r>
        <w:rPr>
          <w:vertAlign w:val="subscript"/>
        </w:rPr>
        <w:t>Forest</w:t>
      </w:r>
      <w:r>
        <w:rPr>
          <w:vertAlign w:val="baseline"/>
        </w:rPr>
        <w:t> = 20 years, then the annual changes in carbon stocks in mineral soils on the area A</w:t>
      </w:r>
      <w:r>
        <w:rPr>
          <w:vertAlign w:val="subscript"/>
        </w:rPr>
        <w:t>Int</w:t>
      </w:r>
      <w:r>
        <w:rPr>
          <w:vertAlign w:val="baseline"/>
        </w:rPr>
        <w:t> </w:t>
      </w:r>
      <w:r>
        <w:rPr>
          <w:vertAlign w:val="subscript"/>
        </w:rPr>
        <w:t>Forest</w:t>
      </w:r>
      <w:r>
        <w:rPr>
          <w:vertAlign w:val="baseline"/>
        </w:rPr>
        <w:t> as calculated with Equation 3.2.31 should be reported in the national inventory for 20 years following the conversion. The total change in carbon stocks in mineral soils is the sum of all types of conversions to forest land.</w:t>
      </w:r>
    </w:p>
    <w:p>
      <w:pPr>
        <w:pStyle w:val="BodyText"/>
        <w:spacing w:before="120"/>
        <w:ind w:left="219"/>
      </w:pPr>
      <w:r>
        <w:rPr/>
        <w:t>Where non-forest land is reverting to unmanaged, native forest vegetation:</w:t>
      </w:r>
    </w:p>
    <w:p>
      <w:pPr>
        <w:spacing w:line="350" w:lineRule="auto" w:before="122"/>
        <w:ind w:left="3180" w:right="3229" w:firstLine="0"/>
        <w:jc w:val="center"/>
        <w:rPr>
          <w:sz w:val="13"/>
        </w:rPr>
      </w:pPr>
      <w:r>
        <w:rPr>
          <w:position w:val="3"/>
          <w:sz w:val="20"/>
        </w:rPr>
        <w:t>f</w:t>
      </w:r>
      <w:r>
        <w:rPr>
          <w:sz w:val="13"/>
        </w:rPr>
        <w:t>forest type </w:t>
      </w:r>
      <w:r>
        <w:rPr>
          <w:position w:val="3"/>
          <w:sz w:val="20"/>
        </w:rPr>
        <w:t>= f</w:t>
      </w:r>
      <w:r>
        <w:rPr>
          <w:sz w:val="13"/>
        </w:rPr>
        <w:t>man intensity </w:t>
      </w:r>
      <w:r>
        <w:rPr>
          <w:position w:val="3"/>
          <w:sz w:val="20"/>
        </w:rPr>
        <w:t>= f</w:t>
      </w:r>
      <w:r>
        <w:rPr>
          <w:sz w:val="13"/>
        </w:rPr>
        <w:t>dist regime </w:t>
      </w:r>
      <w:r>
        <w:rPr>
          <w:position w:val="3"/>
          <w:sz w:val="20"/>
        </w:rPr>
        <w:t>= 1, and SOC</w:t>
      </w:r>
      <w:r>
        <w:rPr>
          <w:sz w:val="13"/>
        </w:rPr>
        <w:t>Int, Ext Forest </w:t>
      </w:r>
      <w:r>
        <w:rPr>
          <w:position w:val="3"/>
          <w:sz w:val="20"/>
        </w:rPr>
        <w:t>= SOC</w:t>
      </w:r>
      <w:r>
        <w:rPr>
          <w:sz w:val="13"/>
        </w:rPr>
        <w:t>ref</w:t>
      </w:r>
    </w:p>
    <w:p>
      <w:pPr>
        <w:pStyle w:val="BodyText"/>
        <w:spacing w:before="7"/>
        <w:rPr>
          <w:sz w:val="19"/>
        </w:rPr>
      </w:pPr>
    </w:p>
    <w:p>
      <w:pPr>
        <w:pStyle w:val="BodyText"/>
        <w:spacing w:before="1"/>
        <w:ind w:left="219" w:right="265"/>
        <w:jc w:val="both"/>
      </w:pPr>
      <w:r>
        <w:rPr/>
        <w:t>Annual changes in SOC occur as long as fewer than T years have elapsed since the non-forest to forest conversion.</w:t>
      </w:r>
    </w:p>
    <w:p>
      <w:pPr>
        <w:pStyle w:val="BodyText"/>
        <w:spacing w:before="120"/>
        <w:ind w:left="219" w:right="266"/>
        <w:jc w:val="both"/>
      </w:pPr>
      <w:r>
        <w:rPr/>
        <w:t>The decision tree in Figure 3.1.2 (Section 3.1.6) provides basic guidance for tier selection in the estimation methodology.</w:t>
      </w:r>
    </w:p>
    <w:p>
      <w:pPr>
        <w:pStyle w:val="BodyText"/>
        <w:spacing w:before="121"/>
        <w:ind w:left="219" w:right="264"/>
        <w:jc w:val="both"/>
      </w:pPr>
      <w:r>
        <w:rPr>
          <w:b/>
        </w:rPr>
        <w:t>Tier 1: </w:t>
      </w:r>
      <w:r>
        <w:rPr/>
        <w:t>Conversion of cropland and grassland to forest lands may optionally be considered at Tier 1, although the effects on soil carbon stock of conversions to forest land are not considered as part of the default methodology in the </w:t>
      </w:r>
      <w:r>
        <w:rPr>
          <w:i/>
        </w:rPr>
        <w:t>IPCC Guidelines</w:t>
      </w:r>
      <w:r>
        <w:rPr>
          <w:vertAlign w:val="superscript"/>
        </w:rPr>
        <w:t>7</w:t>
      </w:r>
      <w:r>
        <w:rPr>
          <w:vertAlign w:val="baseline"/>
        </w:rPr>
        <w:t>. There is no distinction between intensive and extensive management of new forests, hence SOC</w:t>
      </w:r>
      <w:r>
        <w:rPr>
          <w:vertAlign w:val="subscript"/>
        </w:rPr>
        <w:t>Ext</w:t>
      </w:r>
      <w:r>
        <w:rPr>
          <w:vertAlign w:val="baseline"/>
        </w:rPr>
        <w:t> </w:t>
      </w:r>
      <w:r>
        <w:rPr>
          <w:vertAlign w:val="subscript"/>
        </w:rPr>
        <w:t>Forest</w:t>
      </w:r>
      <w:r>
        <w:rPr>
          <w:vertAlign w:val="baseline"/>
        </w:rPr>
        <w:t> = SOC</w:t>
      </w:r>
      <w:r>
        <w:rPr>
          <w:vertAlign w:val="subscript"/>
        </w:rPr>
        <w:t>Int</w:t>
      </w:r>
      <w:r>
        <w:rPr>
          <w:vertAlign w:val="baseline"/>
        </w:rPr>
        <w:t> </w:t>
      </w:r>
      <w:r>
        <w:rPr>
          <w:vertAlign w:val="subscript"/>
        </w:rPr>
        <w:t>Forest</w:t>
      </w:r>
      <w:r>
        <w:rPr>
          <w:vertAlign w:val="baseline"/>
        </w:rPr>
        <w:t> = SOC</w:t>
      </w:r>
      <w:r>
        <w:rPr>
          <w:vertAlign w:val="subscript"/>
        </w:rPr>
        <w:t>ref</w:t>
      </w:r>
      <w:r>
        <w:rPr>
          <w:vertAlign w:val="baseline"/>
        </w:rPr>
        <w:t> and T</w:t>
      </w:r>
      <w:r>
        <w:rPr>
          <w:vertAlign w:val="subscript"/>
        </w:rPr>
        <w:t>Ext</w:t>
      </w:r>
      <w:r>
        <w:rPr>
          <w:vertAlign w:val="baseline"/>
        </w:rPr>
        <w:t> </w:t>
      </w:r>
      <w:r>
        <w:rPr>
          <w:vertAlign w:val="subscript"/>
        </w:rPr>
        <w:t>Forest</w:t>
      </w:r>
      <w:r>
        <w:rPr>
          <w:vertAlign w:val="baseline"/>
        </w:rPr>
        <w:t> = T</w:t>
      </w:r>
      <w:r>
        <w:rPr>
          <w:vertAlign w:val="subscript"/>
        </w:rPr>
        <w:t>Int</w:t>
      </w:r>
      <w:r>
        <w:rPr>
          <w:vertAlign w:val="baseline"/>
        </w:rPr>
        <w:t> </w:t>
      </w:r>
      <w:r>
        <w:rPr>
          <w:vertAlign w:val="subscript"/>
        </w:rPr>
        <w:t>Forest</w:t>
      </w:r>
      <w:r>
        <w:rPr>
          <w:vertAlign w:val="baseline"/>
        </w:rPr>
        <w:t> = T</w:t>
      </w:r>
      <w:r>
        <w:rPr>
          <w:vertAlign w:val="subscript"/>
        </w:rPr>
        <w:t>Aff</w:t>
      </w:r>
      <w:r>
        <w:rPr>
          <w:vertAlign w:val="baseline"/>
        </w:rPr>
        <w:t> . The default equation is therefore simplified</w:t>
      </w:r>
      <w:r>
        <w:rPr>
          <w:spacing w:val="-1"/>
          <w:vertAlign w:val="baseline"/>
        </w:rPr>
        <w:t> </w:t>
      </w:r>
      <w:r>
        <w:rPr>
          <w:vertAlign w:val="baseline"/>
        </w:rPr>
        <w:t>to:</w:t>
      </w:r>
    </w:p>
    <w:p>
      <w:pPr>
        <w:pStyle w:val="BodyText"/>
        <w:spacing w:before="8"/>
        <w:rPr>
          <w:sz w:val="29"/>
        </w:rPr>
      </w:pPr>
      <w:r>
        <w:rPr/>
        <w:pict>
          <v:line style="position:absolute;mso-position-horizontal-relative:page;mso-position-vertical-relative:paragraph;z-index:6992;mso-wrap-distance-left:0;mso-wrap-distance-right:0" from="70.960999pt,19.310118pt" to="214.960999pt,19.310118pt" stroked="true" strokeweight=".48pt" strokecolor="#000000">
            <v:stroke dashstyle="solid"/>
            <w10:wrap type="topAndBottom"/>
          </v:line>
        </w:pict>
      </w:r>
    </w:p>
    <w:p>
      <w:pPr>
        <w:spacing w:before="33"/>
        <w:ind w:left="219" w:right="0" w:firstLine="0"/>
        <w:jc w:val="left"/>
        <w:rPr>
          <w:sz w:val="18"/>
        </w:rPr>
      </w:pPr>
      <w:r>
        <w:rPr>
          <w:position w:val="8"/>
          <w:sz w:val="12"/>
        </w:rPr>
        <w:t>7 </w:t>
      </w:r>
      <w:r>
        <w:rPr>
          <w:sz w:val="18"/>
        </w:rPr>
        <w:t>Although losses of soil carbon from conversions from forest and grassland to other categories </w:t>
      </w:r>
      <w:r>
        <w:rPr>
          <w:i/>
          <w:sz w:val="18"/>
        </w:rPr>
        <w:t>are </w:t>
      </w:r>
      <w:r>
        <w:rPr>
          <w:sz w:val="18"/>
        </w:rPr>
        <w:t>considered.</w:t>
      </w:r>
    </w:p>
    <w:p>
      <w:pPr>
        <w:spacing w:after="0"/>
        <w:jc w:val="left"/>
        <w:rPr>
          <w:sz w:val="18"/>
        </w:rPr>
        <w:sectPr>
          <w:type w:val="continuous"/>
          <w:pgSz w:w="11900" w:h="16840"/>
          <w:pgMar w:top="1060" w:bottom="280" w:left="1200" w:right="1140"/>
        </w:sectPr>
      </w:pPr>
    </w:p>
    <w:p>
      <w:pPr>
        <w:pStyle w:val="BodyText"/>
      </w:pPr>
    </w:p>
    <w:p>
      <w:pPr>
        <w:pStyle w:val="BodyText"/>
        <w:spacing w:before="10" w:after="1"/>
        <w:rPr>
          <w:sz w:val="18"/>
        </w:rPr>
      </w:pPr>
    </w:p>
    <w:p>
      <w:pPr>
        <w:pStyle w:val="BodyText"/>
        <w:ind w:left="624"/>
      </w:pPr>
      <w:r>
        <w:rPr>
          <w:position w:val="0"/>
        </w:rPr>
        <w:pict>
          <v:shape style="width:411.5pt;height:52pt;mso-position-horizontal-relative:char;mso-position-vertical-relative:line" type="#_x0000_t202" filled="false" stroked="true" strokeweight="1.44pt" strokecolor="#000000">
            <w10:anchorlock/>
            <v:textbox inset="0,0,0,0">
              <w:txbxContent>
                <w:p>
                  <w:pPr>
                    <w:spacing w:line="217" w:lineRule="exact" w:before="99"/>
                    <w:ind w:left="67" w:right="68" w:firstLine="0"/>
                    <w:jc w:val="center"/>
                    <w:rPr>
                      <w:b/>
                      <w:sz w:val="20"/>
                    </w:rPr>
                  </w:pPr>
                  <w:r>
                    <w:rPr>
                      <w:b/>
                      <w:sz w:val="20"/>
                    </w:rPr>
                    <w:t>E</w:t>
                  </w:r>
                  <w:r>
                    <w:rPr>
                      <w:b/>
                      <w:sz w:val="16"/>
                    </w:rPr>
                    <w:t>QUATION </w:t>
                  </w:r>
                  <w:r>
                    <w:rPr>
                      <w:b/>
                      <w:sz w:val="20"/>
                    </w:rPr>
                    <w:t>3.2.32</w:t>
                  </w:r>
                </w:p>
                <w:p>
                  <w:pPr>
                    <w:spacing w:line="241" w:lineRule="exact" w:before="0"/>
                    <w:ind w:left="68" w:right="68" w:firstLine="0"/>
                    <w:jc w:val="center"/>
                    <w:rPr>
                      <w:b/>
                      <w:sz w:val="13"/>
                    </w:rPr>
                  </w:pPr>
                  <w:r>
                    <w:rPr>
                      <w:b/>
                      <w:sz w:val="20"/>
                    </w:rPr>
                    <w:t>A</w:t>
                  </w:r>
                  <w:r>
                    <w:rPr>
                      <w:b/>
                      <w:sz w:val="16"/>
                    </w:rPr>
                    <w:t>NNUAL CHANGE IN CARBON STOCKS IN MINERAL SOILS UPON AFFORESTATION</w:t>
                  </w:r>
                  <w:r>
                    <w:rPr>
                      <w:b/>
                      <w:position w:val="9"/>
                      <w:sz w:val="13"/>
                    </w:rPr>
                    <w:t>1</w:t>
                  </w:r>
                </w:p>
                <w:p>
                  <w:pPr>
                    <w:spacing w:before="78"/>
                    <w:ind w:left="68" w:right="68" w:firstLine="0"/>
                    <w:jc w:val="center"/>
                    <w:rPr>
                      <w:sz w:val="13"/>
                    </w:rPr>
                  </w:pPr>
                  <w:r>
                    <w:rPr>
                      <w:position w:val="3"/>
                      <w:sz w:val="20"/>
                    </w:rPr>
                    <w:t>∆C</w:t>
                  </w:r>
                  <w:r>
                    <w:rPr>
                      <w:sz w:val="13"/>
                    </w:rPr>
                    <w:t>LF</w:t>
                  </w:r>
                  <w:r>
                    <w:rPr>
                      <w:position w:val="-3"/>
                      <w:sz w:val="13"/>
                    </w:rPr>
                    <w:t>Mineral </w:t>
                  </w:r>
                  <w:r>
                    <w:rPr>
                      <w:position w:val="3"/>
                      <w:sz w:val="20"/>
                    </w:rPr>
                    <w:t>= [(SOC</w:t>
                  </w:r>
                  <w:r>
                    <w:rPr>
                      <w:sz w:val="13"/>
                    </w:rPr>
                    <w:t>ref </w:t>
                  </w:r>
                  <w:r>
                    <w:rPr>
                      <w:position w:val="3"/>
                      <w:sz w:val="20"/>
                    </w:rPr>
                    <w:t>– SOC</w:t>
                  </w:r>
                  <w:r>
                    <w:rPr>
                      <w:sz w:val="13"/>
                    </w:rPr>
                    <w:t>Non Forest Land</w:t>
                  </w:r>
                  <w:r>
                    <w:rPr>
                      <w:position w:val="3"/>
                      <w:sz w:val="20"/>
                    </w:rPr>
                    <w:t>) ● A</w:t>
                  </w:r>
                  <w:r>
                    <w:rPr>
                      <w:sz w:val="13"/>
                    </w:rPr>
                    <w:t>Aff</w:t>
                  </w:r>
                  <w:r>
                    <w:rPr>
                      <w:position w:val="3"/>
                      <w:sz w:val="20"/>
                    </w:rPr>
                    <w:t>] / T</w:t>
                  </w:r>
                  <w:r>
                    <w:rPr>
                      <w:sz w:val="13"/>
                    </w:rPr>
                    <w:t>Aff</w:t>
                  </w:r>
                </w:p>
              </w:txbxContent>
            </v:textbox>
            <v:stroke dashstyle="solid"/>
          </v:shape>
        </w:pict>
      </w:r>
      <w:r>
        <w:rPr>
          <w:position w:val="0"/>
        </w:rPr>
      </w:r>
    </w:p>
    <w:p>
      <w:pPr>
        <w:pStyle w:val="BodyText"/>
        <w:spacing w:before="7"/>
        <w:ind w:left="219"/>
        <w:jc w:val="both"/>
      </w:pPr>
      <w:r>
        <w:rPr/>
        <w:t>Where:</w:t>
      </w:r>
    </w:p>
    <w:p>
      <w:pPr>
        <w:pStyle w:val="BodyText"/>
        <w:tabs>
          <w:tab w:pos="1642" w:val="left" w:leader="none"/>
        </w:tabs>
        <w:spacing w:line="193" w:lineRule="exact" w:before="121"/>
        <w:ind w:left="785"/>
        <w:jc w:val="both"/>
      </w:pPr>
      <w:r>
        <w:rPr/>
        <w:pict>
          <v:shape style="position:absolute;margin-left:112.360603pt;margin-top:11.171878pt;width:7.35pt;height:7.2pt;mso-position-horizontal-relative:page;mso-position-vertical-relative:paragraph;z-index:-2447032" type="#_x0000_t202" filled="false" stroked="false">
            <v:textbox inset="0,0,0,0">
              <w:txbxContent>
                <w:p>
                  <w:pPr>
                    <w:spacing w:line="144" w:lineRule="exact" w:before="0"/>
                    <w:ind w:left="0" w:right="0" w:firstLine="0"/>
                    <w:jc w:val="left"/>
                    <w:rPr>
                      <w:sz w:val="13"/>
                    </w:rPr>
                  </w:pPr>
                  <w:r>
                    <w:rPr>
                      <w:spacing w:val="-3"/>
                      <w:sz w:val="13"/>
                    </w:rPr>
                    <w:t>LF</w:t>
                  </w:r>
                </w:p>
              </w:txbxContent>
            </v:textbox>
            <w10:wrap type="none"/>
          </v:shape>
        </w:pict>
      </w:r>
      <w:r>
        <w:rPr/>
        <w:t>∆C</w:t>
        <w:tab/>
        <w:t>= annual change in carbon stocks in mineral soils for inventory year, tonnes C</w:t>
      </w:r>
      <w:r>
        <w:rPr>
          <w:spacing w:val="-12"/>
        </w:rPr>
        <w:t> </w:t>
      </w:r>
      <w:r>
        <w:rPr/>
        <w:t>yr</w:t>
      </w:r>
      <w:r>
        <w:rPr>
          <w:vertAlign w:val="superscript"/>
        </w:rPr>
        <w:t>-1</w:t>
      </w:r>
    </w:p>
    <w:p>
      <w:pPr>
        <w:spacing w:line="113" w:lineRule="exact" w:before="0"/>
        <w:ind w:left="1198" w:right="0" w:firstLine="0"/>
        <w:jc w:val="left"/>
        <w:rPr>
          <w:sz w:val="13"/>
        </w:rPr>
      </w:pPr>
      <w:r>
        <w:rPr>
          <w:sz w:val="13"/>
        </w:rPr>
        <w:t>Mineral</w:t>
      </w:r>
    </w:p>
    <w:p>
      <w:pPr>
        <w:pStyle w:val="BodyText"/>
        <w:spacing w:before="104"/>
        <w:ind w:left="785"/>
        <w:jc w:val="both"/>
      </w:pPr>
      <w:r>
        <w:rPr/>
        <w:t>SOC</w:t>
      </w:r>
      <w:r>
        <w:rPr>
          <w:vertAlign w:val="subscript"/>
        </w:rPr>
        <w:t>ref</w:t>
      </w:r>
      <w:r>
        <w:rPr>
          <w:vertAlign w:val="baseline"/>
        </w:rPr>
        <w:t> = reference carbon stock, under native, unmanaged forest on a given soil, tonnes C ha</w:t>
      </w:r>
      <w:r>
        <w:rPr>
          <w:vertAlign w:val="superscript"/>
        </w:rPr>
        <w:t>-1</w:t>
      </w:r>
    </w:p>
    <w:p>
      <w:pPr>
        <w:pStyle w:val="BodyText"/>
        <w:spacing w:before="118"/>
        <w:ind w:left="2472" w:right="354" w:hanging="1688"/>
      </w:pPr>
      <w:r>
        <w:rPr/>
        <w:t>SOC</w:t>
      </w:r>
      <w:r>
        <w:rPr>
          <w:vertAlign w:val="subscript"/>
        </w:rPr>
        <w:t>Non-forest</w:t>
      </w:r>
      <w:r>
        <w:rPr>
          <w:vertAlign w:val="baseline"/>
        </w:rPr>
        <w:t> </w:t>
      </w:r>
      <w:r>
        <w:rPr>
          <w:vertAlign w:val="subscript"/>
        </w:rPr>
        <w:t>Land</w:t>
      </w:r>
      <w:r>
        <w:rPr>
          <w:vertAlign w:val="baseline"/>
        </w:rPr>
        <w:t> = stable soil organic carbon on previous land use,  either  cropland  or  grassland  ,  tonnes C</w:t>
      </w:r>
      <w:r>
        <w:rPr>
          <w:spacing w:val="-1"/>
          <w:vertAlign w:val="baseline"/>
        </w:rPr>
        <w:t> </w:t>
      </w:r>
      <w:r>
        <w:rPr>
          <w:vertAlign w:val="baseline"/>
        </w:rPr>
        <w:t>ha</w:t>
      </w:r>
      <w:r>
        <w:rPr>
          <w:vertAlign w:val="superscript"/>
        </w:rPr>
        <w:t>-1</w:t>
      </w:r>
    </w:p>
    <w:p>
      <w:pPr>
        <w:pStyle w:val="BodyText"/>
        <w:spacing w:line="364" w:lineRule="auto" w:before="121"/>
        <w:ind w:left="785" w:right="2580"/>
      </w:pPr>
      <w:r>
        <w:rPr/>
        <w:t>A</w:t>
      </w:r>
      <w:r>
        <w:rPr>
          <w:vertAlign w:val="subscript"/>
        </w:rPr>
        <w:t>Aff</w:t>
      </w:r>
      <w:r>
        <w:rPr>
          <w:vertAlign w:val="baseline"/>
        </w:rPr>
        <w:t> = the total afforested land derived from former cropland or grassland, ha T</w:t>
      </w:r>
      <w:r>
        <w:rPr>
          <w:vertAlign w:val="subscript"/>
        </w:rPr>
        <w:t>Aff</w:t>
      </w:r>
      <w:r>
        <w:rPr>
          <w:vertAlign w:val="baseline"/>
        </w:rPr>
        <w:t> = duration of the transition from SOC</w:t>
      </w:r>
      <w:r>
        <w:rPr>
          <w:vertAlign w:val="subscript"/>
        </w:rPr>
        <w:t>Non-forest</w:t>
      </w:r>
      <w:r>
        <w:rPr>
          <w:vertAlign w:val="baseline"/>
        </w:rPr>
        <w:t> </w:t>
      </w:r>
      <w:r>
        <w:rPr>
          <w:vertAlign w:val="subscript"/>
        </w:rPr>
        <w:t>Land</w:t>
      </w:r>
      <w:r>
        <w:rPr>
          <w:vertAlign w:val="baseline"/>
        </w:rPr>
        <w:t> to SOC</w:t>
      </w:r>
      <w:r>
        <w:rPr>
          <w:vertAlign w:val="subscript"/>
        </w:rPr>
        <w:t>ref</w:t>
      </w:r>
      <w:r>
        <w:rPr>
          <w:vertAlign w:val="baseline"/>
        </w:rPr>
        <w:t>, yr</w:t>
      </w:r>
    </w:p>
    <w:p>
      <w:pPr>
        <w:pStyle w:val="BodyText"/>
        <w:spacing w:before="2"/>
        <w:ind w:left="785" w:right="265"/>
        <w:jc w:val="both"/>
      </w:pPr>
      <w:r>
        <w:rPr/>
        <w:t>Note 1: These changes in carbon stocks should be reported annually for T</w:t>
      </w:r>
      <w:r>
        <w:rPr>
          <w:vertAlign w:val="subscript"/>
        </w:rPr>
        <w:t>Aff</w:t>
      </w:r>
      <w:r>
        <w:rPr>
          <w:vertAlign w:val="baseline"/>
        </w:rPr>
        <w:t> years. For example, if a land is afforested and T</w:t>
      </w:r>
      <w:r>
        <w:rPr>
          <w:vertAlign w:val="subscript"/>
        </w:rPr>
        <w:t>Aff</w:t>
      </w:r>
      <w:r>
        <w:rPr>
          <w:vertAlign w:val="baseline"/>
        </w:rPr>
        <w:t> = 20 years, then the annual changes in carbon stocks in mineral soils on the area  A</w:t>
      </w:r>
      <w:r>
        <w:rPr>
          <w:vertAlign w:val="subscript"/>
        </w:rPr>
        <w:t>Aff</w:t>
      </w:r>
      <w:r>
        <w:rPr>
          <w:vertAlign w:val="baseline"/>
        </w:rPr>
        <w:t> as calculated with Equation 3.2.32 should be reported in the national inventory for 20  years following the</w:t>
      </w:r>
      <w:r>
        <w:rPr>
          <w:spacing w:val="-1"/>
          <w:vertAlign w:val="baseline"/>
        </w:rPr>
        <w:t> </w:t>
      </w:r>
      <w:r>
        <w:rPr>
          <w:vertAlign w:val="baseline"/>
        </w:rPr>
        <w:t>conversion.</w:t>
      </w:r>
    </w:p>
    <w:p>
      <w:pPr>
        <w:pStyle w:val="BodyText"/>
        <w:spacing w:before="119"/>
        <w:ind w:left="219" w:right="269"/>
        <w:jc w:val="both"/>
      </w:pPr>
      <w:r>
        <w:rPr/>
        <w:t>Tier 1 calculations are very uncertain; countries for which land conversion to forests is a key category should report at Tier 2 or 3.</w:t>
      </w:r>
    </w:p>
    <w:p>
      <w:pPr>
        <w:pStyle w:val="BodyText"/>
        <w:spacing w:before="121"/>
        <w:ind w:left="219" w:right="263"/>
        <w:jc w:val="both"/>
      </w:pPr>
      <w:r>
        <w:rPr>
          <w:b/>
        </w:rPr>
        <w:t>Tier 2: </w:t>
      </w:r>
      <w:r>
        <w:rPr/>
        <w:t>For Tier 2 calculations, the new forest types can initially be distinguished using two broad management </w:t>
      </w:r>
      <w:r>
        <w:rPr>
          <w:spacing w:val="-3"/>
        </w:rPr>
        <w:t>categories:</w:t>
      </w:r>
      <w:r>
        <w:rPr>
          <w:spacing w:val="-9"/>
        </w:rPr>
        <w:t> </w:t>
      </w:r>
      <w:r>
        <w:rPr/>
        <w:t>intensive</w:t>
      </w:r>
      <w:r>
        <w:rPr>
          <w:spacing w:val="-6"/>
        </w:rPr>
        <w:t> </w:t>
      </w:r>
      <w:r>
        <w:rPr/>
        <w:t>management</w:t>
      </w:r>
      <w:r>
        <w:rPr>
          <w:spacing w:val="-7"/>
        </w:rPr>
        <w:t> </w:t>
      </w:r>
      <w:r>
        <w:rPr>
          <w:spacing w:val="-3"/>
        </w:rPr>
        <w:t>practices</w:t>
      </w:r>
      <w:r>
        <w:rPr>
          <w:spacing w:val="-7"/>
        </w:rPr>
        <w:t> </w:t>
      </w:r>
      <w:r>
        <w:rPr/>
        <w:t>(e.g.</w:t>
      </w:r>
      <w:r>
        <w:rPr>
          <w:spacing w:val="-8"/>
        </w:rPr>
        <w:t> </w:t>
      </w:r>
      <w:r>
        <w:rPr/>
        <w:t>plantation</w:t>
      </w:r>
      <w:r>
        <w:rPr>
          <w:spacing w:val="-7"/>
        </w:rPr>
        <w:t> </w:t>
      </w:r>
      <w:r>
        <w:rPr/>
        <w:t>forestry</w:t>
      </w:r>
      <w:r>
        <w:rPr>
          <w:spacing w:val="-8"/>
        </w:rPr>
        <w:t> </w:t>
      </w:r>
      <w:r>
        <w:rPr/>
        <w:t>with</w:t>
      </w:r>
      <w:r>
        <w:rPr>
          <w:spacing w:val="-7"/>
        </w:rPr>
        <w:t> </w:t>
      </w:r>
      <w:r>
        <w:rPr>
          <w:spacing w:val="-2"/>
        </w:rPr>
        <w:t>intensive</w:t>
      </w:r>
      <w:r>
        <w:rPr>
          <w:spacing w:val="-7"/>
        </w:rPr>
        <w:t> </w:t>
      </w:r>
      <w:r>
        <w:rPr>
          <w:spacing w:val="-3"/>
        </w:rPr>
        <w:t>site</w:t>
      </w:r>
      <w:r>
        <w:rPr>
          <w:spacing w:val="-5"/>
        </w:rPr>
        <w:t> </w:t>
      </w:r>
      <w:r>
        <w:rPr/>
        <w:t>preparation</w:t>
      </w:r>
      <w:r>
        <w:rPr>
          <w:spacing w:val="-8"/>
        </w:rPr>
        <w:t> </w:t>
      </w:r>
      <w:r>
        <w:rPr/>
        <w:t>and</w:t>
      </w:r>
      <w:r>
        <w:rPr>
          <w:spacing w:val="-5"/>
        </w:rPr>
        <w:t> </w:t>
      </w:r>
      <w:r>
        <w:rPr>
          <w:spacing w:val="-3"/>
        </w:rPr>
        <w:t>fertilisation) </w:t>
      </w:r>
      <w:r>
        <w:rPr/>
        <w:t>or </w:t>
      </w:r>
      <w:r>
        <w:rPr>
          <w:spacing w:val="-3"/>
        </w:rPr>
        <w:t>extensive </w:t>
      </w:r>
      <w:r>
        <w:rPr/>
        <w:t>ones (natural </w:t>
      </w:r>
      <w:r>
        <w:rPr>
          <w:spacing w:val="-3"/>
        </w:rPr>
        <w:t>forests </w:t>
      </w:r>
      <w:r>
        <w:rPr/>
        <w:t>with minimum intervention); these categories can also be </w:t>
      </w:r>
      <w:r>
        <w:rPr>
          <w:spacing w:val="-3"/>
        </w:rPr>
        <w:t>refined </w:t>
      </w:r>
      <w:r>
        <w:rPr/>
        <w:t>according to national circumstances, </w:t>
      </w:r>
      <w:r>
        <w:rPr>
          <w:spacing w:val="-2"/>
        </w:rPr>
        <w:t>for </w:t>
      </w:r>
      <w:r>
        <w:rPr/>
        <w:t>example based on stand origin such as </w:t>
      </w:r>
      <w:r>
        <w:rPr>
          <w:spacing w:val="-3"/>
        </w:rPr>
        <w:t>natural </w:t>
      </w:r>
      <w:r>
        <w:rPr/>
        <w:t>or artificial regeneration. New forests </w:t>
      </w:r>
      <w:r>
        <w:rPr>
          <w:spacing w:val="-3"/>
        </w:rPr>
        <w:t>established</w:t>
      </w:r>
      <w:r>
        <w:rPr>
          <w:spacing w:val="-8"/>
        </w:rPr>
        <w:t> </w:t>
      </w:r>
      <w:r>
        <w:rPr/>
        <w:t>on</w:t>
      </w:r>
      <w:r>
        <w:rPr>
          <w:spacing w:val="-9"/>
        </w:rPr>
        <w:t> </w:t>
      </w:r>
      <w:r>
        <w:rPr/>
        <w:t>lands</w:t>
      </w:r>
      <w:r>
        <w:rPr>
          <w:spacing w:val="-6"/>
        </w:rPr>
        <w:t> </w:t>
      </w:r>
      <w:r>
        <w:rPr>
          <w:spacing w:val="-3"/>
        </w:rPr>
        <w:t>whose</w:t>
      </w:r>
      <w:r>
        <w:rPr>
          <w:spacing w:val="-5"/>
        </w:rPr>
        <w:t> </w:t>
      </w:r>
      <w:r>
        <w:rPr/>
        <w:t>former</w:t>
      </w:r>
      <w:r>
        <w:rPr>
          <w:spacing w:val="-7"/>
        </w:rPr>
        <w:t> </w:t>
      </w:r>
      <w:r>
        <w:rPr/>
        <w:t>land-use</w:t>
      </w:r>
      <w:r>
        <w:rPr>
          <w:spacing w:val="-5"/>
        </w:rPr>
        <w:t> </w:t>
      </w:r>
      <w:r>
        <w:rPr/>
        <w:t>was</w:t>
      </w:r>
      <w:r>
        <w:rPr>
          <w:spacing w:val="-7"/>
        </w:rPr>
        <w:t> </w:t>
      </w:r>
      <w:r>
        <w:rPr>
          <w:spacing w:val="-2"/>
        </w:rPr>
        <w:t>not</w:t>
      </w:r>
      <w:r>
        <w:rPr>
          <w:spacing w:val="-8"/>
        </w:rPr>
        <w:t> </w:t>
      </w:r>
      <w:r>
        <w:rPr/>
        <w:t>cropland</w:t>
      </w:r>
      <w:r>
        <w:rPr>
          <w:spacing w:val="-5"/>
        </w:rPr>
        <w:t> </w:t>
      </w:r>
      <w:r>
        <w:rPr/>
        <w:t>or</w:t>
      </w:r>
      <w:r>
        <w:rPr>
          <w:spacing w:val="-7"/>
        </w:rPr>
        <w:t> </w:t>
      </w:r>
      <w:r>
        <w:rPr>
          <w:spacing w:val="-3"/>
        </w:rPr>
        <w:t>grassland</w:t>
      </w:r>
      <w:r>
        <w:rPr>
          <w:spacing w:val="-7"/>
        </w:rPr>
        <w:t> </w:t>
      </w:r>
      <w:r>
        <w:rPr/>
        <w:t>can</w:t>
      </w:r>
      <w:r>
        <w:rPr>
          <w:spacing w:val="-9"/>
        </w:rPr>
        <w:t> </w:t>
      </w:r>
      <w:r>
        <w:rPr/>
        <w:t>be</w:t>
      </w:r>
      <w:r>
        <w:rPr>
          <w:spacing w:val="-7"/>
        </w:rPr>
        <w:t> </w:t>
      </w:r>
      <w:r>
        <w:rPr/>
        <w:t>reported</w:t>
      </w:r>
      <w:r>
        <w:rPr>
          <w:spacing w:val="-5"/>
        </w:rPr>
        <w:t> </w:t>
      </w:r>
      <w:r>
        <w:rPr/>
        <w:t>under</w:t>
      </w:r>
      <w:r>
        <w:rPr>
          <w:spacing w:val="-8"/>
        </w:rPr>
        <w:t> </w:t>
      </w:r>
      <w:r>
        <w:rPr/>
        <w:t>this</w:t>
      </w:r>
      <w:r>
        <w:rPr>
          <w:spacing w:val="-9"/>
        </w:rPr>
        <w:t> </w:t>
      </w:r>
      <w:r>
        <w:rPr/>
        <w:t>tier.</w:t>
      </w:r>
    </w:p>
    <w:p>
      <w:pPr>
        <w:pStyle w:val="BodyText"/>
        <w:spacing w:before="119"/>
        <w:ind w:left="219" w:right="262"/>
        <w:jc w:val="both"/>
      </w:pPr>
      <w:r>
        <w:rPr>
          <w:b/>
        </w:rPr>
        <w:t>Tier 3: </w:t>
      </w:r>
      <w:r>
        <w:rPr/>
        <w:t>Tier 3 calculation procedures involve the development of a country-specific estimation methodology supported by disaggregated activity data and parameters, stratified by the ecological and anthropogenic factors which are nationally relevant. The methodology should be comprehensive, including all new managed forests, and all anthropogenic factors influencing the SOC balance of these lands. Section 3.2.1.3.1.1, Choice of Methods, provides a schematic outline of generic steps in the development of a domestic</w:t>
      </w:r>
      <w:r>
        <w:rPr>
          <w:spacing w:val="-21"/>
        </w:rPr>
        <w:t> </w:t>
      </w:r>
      <w:r>
        <w:rPr/>
        <w:t>methodology.</w:t>
      </w:r>
    </w:p>
    <w:p>
      <w:pPr>
        <w:pStyle w:val="BodyText"/>
        <w:spacing w:before="3"/>
        <w:rPr>
          <w:sz w:val="21"/>
        </w:rPr>
      </w:pPr>
    </w:p>
    <w:p>
      <w:pPr>
        <w:spacing w:line="228" w:lineRule="exact" w:before="0"/>
        <w:ind w:left="219" w:right="0" w:firstLine="0"/>
        <w:jc w:val="left"/>
        <w:rPr>
          <w:b/>
          <w:sz w:val="20"/>
        </w:rPr>
      </w:pPr>
      <w:r>
        <w:rPr>
          <w:b/>
          <w:sz w:val="20"/>
        </w:rPr>
        <w:t>ORGANIC SOILS</w:t>
      </w:r>
    </w:p>
    <w:p>
      <w:pPr>
        <w:pStyle w:val="BodyText"/>
        <w:ind w:left="219" w:right="264"/>
        <w:jc w:val="both"/>
      </w:pPr>
      <w:r>
        <w:rPr/>
        <w:t>Where conversion to </w:t>
      </w:r>
      <w:r>
        <w:rPr>
          <w:spacing w:val="-2"/>
        </w:rPr>
        <w:t>forest </w:t>
      </w:r>
      <w:r>
        <w:rPr/>
        <w:t>takes place on drained organic </w:t>
      </w:r>
      <w:r>
        <w:rPr>
          <w:spacing w:val="-3"/>
        </w:rPr>
        <w:t>soils, </w:t>
      </w:r>
      <w:r>
        <w:rPr/>
        <w:t>countries should at Tiers 1 </w:t>
      </w:r>
      <w:r>
        <w:rPr>
          <w:spacing w:val="-2"/>
        </w:rPr>
        <w:t>and </w:t>
      </w:r>
      <w:r>
        <w:rPr/>
        <w:t>2 apply the estimation methodology described under the heading “Organic Soils” of Section 3.2.1.3.1.1 </w:t>
      </w:r>
      <w:r>
        <w:rPr>
          <w:spacing w:val="-3"/>
        </w:rPr>
        <w:t>(Choice </w:t>
      </w:r>
      <w:r>
        <w:rPr/>
        <w:t>of Methods), using</w:t>
      </w:r>
      <w:r>
        <w:rPr>
          <w:spacing w:val="-12"/>
        </w:rPr>
        <w:t> </w:t>
      </w:r>
      <w:r>
        <w:rPr/>
        <w:t>Equation</w:t>
      </w:r>
      <w:r>
        <w:rPr>
          <w:spacing w:val="-13"/>
        </w:rPr>
        <w:t> </w:t>
      </w:r>
      <w:r>
        <w:rPr/>
        <w:t>3.2.33</w:t>
      </w:r>
      <w:r>
        <w:rPr>
          <w:spacing w:val="-11"/>
        </w:rPr>
        <w:t> </w:t>
      </w:r>
      <w:r>
        <w:rPr/>
        <w:t>below,</w:t>
      </w:r>
      <w:r>
        <w:rPr>
          <w:spacing w:val="-9"/>
        </w:rPr>
        <w:t> </w:t>
      </w:r>
      <w:r>
        <w:rPr/>
        <w:t>which</w:t>
      </w:r>
      <w:r>
        <w:rPr>
          <w:spacing w:val="-11"/>
        </w:rPr>
        <w:t> </w:t>
      </w:r>
      <w:r>
        <w:rPr/>
        <w:t>is</w:t>
      </w:r>
      <w:r>
        <w:rPr>
          <w:spacing w:val="-12"/>
        </w:rPr>
        <w:t> </w:t>
      </w:r>
      <w:r>
        <w:rPr/>
        <w:t>a</w:t>
      </w:r>
      <w:r>
        <w:rPr>
          <w:spacing w:val="-9"/>
        </w:rPr>
        <w:t> </w:t>
      </w:r>
      <w:r>
        <w:rPr/>
        <w:t>modified</w:t>
      </w:r>
      <w:r>
        <w:rPr>
          <w:spacing w:val="-11"/>
        </w:rPr>
        <w:t> </w:t>
      </w:r>
      <w:r>
        <w:rPr/>
        <w:t>version</w:t>
      </w:r>
      <w:r>
        <w:rPr>
          <w:spacing w:val="-13"/>
        </w:rPr>
        <w:t> </w:t>
      </w:r>
      <w:r>
        <w:rPr/>
        <w:t>of</w:t>
      </w:r>
      <w:r>
        <w:rPr>
          <w:spacing w:val="-11"/>
        </w:rPr>
        <w:t> </w:t>
      </w:r>
      <w:r>
        <w:rPr/>
        <w:t>Equation</w:t>
      </w:r>
      <w:r>
        <w:rPr>
          <w:spacing w:val="-13"/>
        </w:rPr>
        <w:t> </w:t>
      </w:r>
      <w:r>
        <w:rPr/>
        <w:t>3.2.15.</w:t>
      </w:r>
      <w:r>
        <w:rPr>
          <w:spacing w:val="-11"/>
        </w:rPr>
        <w:t> </w:t>
      </w:r>
      <w:r>
        <w:rPr/>
        <w:t>Tier</w:t>
      </w:r>
      <w:r>
        <w:rPr>
          <w:spacing w:val="-11"/>
        </w:rPr>
        <w:t> </w:t>
      </w:r>
      <w:r>
        <w:rPr/>
        <w:t>3</w:t>
      </w:r>
      <w:r>
        <w:rPr>
          <w:spacing w:val="-9"/>
        </w:rPr>
        <w:t> </w:t>
      </w:r>
      <w:r>
        <w:rPr/>
        <w:t>methods</w:t>
      </w:r>
      <w:r>
        <w:rPr>
          <w:spacing w:val="-12"/>
        </w:rPr>
        <w:t> </w:t>
      </w:r>
      <w:r>
        <w:rPr>
          <w:spacing w:val="-2"/>
        </w:rPr>
        <w:t>should</w:t>
      </w:r>
      <w:r>
        <w:rPr>
          <w:spacing w:val="-10"/>
        </w:rPr>
        <w:t> </w:t>
      </w:r>
      <w:r>
        <w:rPr/>
        <w:t>be</w:t>
      </w:r>
      <w:r>
        <w:rPr>
          <w:spacing w:val="-9"/>
        </w:rPr>
        <w:t> </w:t>
      </w:r>
      <w:r>
        <w:rPr/>
        <w:t>used</w:t>
      </w:r>
      <w:r>
        <w:rPr>
          <w:spacing w:val="-9"/>
        </w:rPr>
        <w:t> </w:t>
      </w:r>
      <w:r>
        <w:rPr/>
        <w:t>where </w:t>
      </w:r>
      <w:r>
        <w:rPr>
          <w:spacing w:val="-3"/>
        </w:rPr>
        <w:t>extensive </w:t>
      </w:r>
      <w:r>
        <w:rPr/>
        <w:t>areas of drained </w:t>
      </w:r>
      <w:r>
        <w:rPr>
          <w:spacing w:val="-3"/>
        </w:rPr>
        <w:t>organic </w:t>
      </w:r>
      <w:r>
        <w:rPr/>
        <w:t>soils have been converted to new </w:t>
      </w:r>
      <w:r>
        <w:rPr>
          <w:spacing w:val="-2"/>
        </w:rPr>
        <w:t>forest </w:t>
      </w:r>
      <w:r>
        <w:rPr/>
        <w:t>lands. </w:t>
      </w:r>
      <w:r>
        <w:rPr>
          <w:spacing w:val="-2"/>
        </w:rPr>
        <w:t>Emissions </w:t>
      </w:r>
      <w:r>
        <w:rPr/>
        <w:t>are </w:t>
      </w:r>
      <w:r>
        <w:rPr>
          <w:spacing w:val="-3"/>
        </w:rPr>
        <w:t>assumed </w:t>
      </w:r>
      <w:r>
        <w:rPr/>
        <w:t>to </w:t>
      </w:r>
      <w:r>
        <w:rPr>
          <w:spacing w:val="-3"/>
        </w:rPr>
        <w:t>continue</w:t>
      </w:r>
      <w:r>
        <w:rPr>
          <w:spacing w:val="-5"/>
        </w:rPr>
        <w:t> </w:t>
      </w:r>
      <w:r>
        <w:rPr>
          <w:spacing w:val="-2"/>
        </w:rPr>
        <w:t>for</w:t>
      </w:r>
      <w:r>
        <w:rPr>
          <w:spacing w:val="-7"/>
        </w:rPr>
        <w:t> </w:t>
      </w:r>
      <w:r>
        <w:rPr/>
        <w:t>as</w:t>
      </w:r>
      <w:r>
        <w:rPr>
          <w:spacing w:val="-8"/>
        </w:rPr>
        <w:t> </w:t>
      </w:r>
      <w:r>
        <w:rPr/>
        <w:t>long</w:t>
      </w:r>
      <w:r>
        <w:rPr>
          <w:spacing w:val="-8"/>
        </w:rPr>
        <w:t> </w:t>
      </w:r>
      <w:r>
        <w:rPr/>
        <w:t>as</w:t>
      </w:r>
      <w:r>
        <w:rPr>
          <w:spacing w:val="-6"/>
        </w:rPr>
        <w:t> </w:t>
      </w:r>
      <w:r>
        <w:rPr/>
        <w:t>the</w:t>
      </w:r>
      <w:r>
        <w:rPr>
          <w:spacing w:val="-6"/>
        </w:rPr>
        <w:t> </w:t>
      </w:r>
      <w:r>
        <w:rPr/>
        <w:t>aerobic</w:t>
      </w:r>
      <w:r>
        <w:rPr>
          <w:spacing w:val="-7"/>
        </w:rPr>
        <w:t> </w:t>
      </w:r>
      <w:r>
        <w:rPr>
          <w:spacing w:val="-3"/>
        </w:rPr>
        <w:t>organic</w:t>
      </w:r>
      <w:r>
        <w:rPr>
          <w:spacing w:val="-4"/>
        </w:rPr>
        <w:t> </w:t>
      </w:r>
      <w:r>
        <w:rPr/>
        <w:t>layer</w:t>
      </w:r>
      <w:r>
        <w:rPr>
          <w:spacing w:val="-7"/>
        </w:rPr>
        <w:t> </w:t>
      </w:r>
      <w:r>
        <w:rPr/>
        <w:t>remains</w:t>
      </w:r>
      <w:r>
        <w:rPr>
          <w:spacing w:val="-8"/>
        </w:rPr>
        <w:t> </w:t>
      </w:r>
      <w:r>
        <w:rPr/>
        <w:t>and</w:t>
      </w:r>
      <w:r>
        <w:rPr>
          <w:spacing w:val="-7"/>
        </w:rPr>
        <w:t> </w:t>
      </w:r>
      <w:r>
        <w:rPr/>
        <w:t>the</w:t>
      </w:r>
      <w:r>
        <w:rPr>
          <w:spacing w:val="-4"/>
        </w:rPr>
        <w:t> </w:t>
      </w:r>
      <w:r>
        <w:rPr/>
        <w:t>soil</w:t>
      </w:r>
      <w:r>
        <w:rPr>
          <w:spacing w:val="-7"/>
        </w:rPr>
        <w:t> </w:t>
      </w:r>
      <w:r>
        <w:rPr/>
        <w:t>is</w:t>
      </w:r>
      <w:r>
        <w:rPr>
          <w:spacing w:val="-8"/>
        </w:rPr>
        <w:t> </w:t>
      </w:r>
      <w:r>
        <w:rPr/>
        <w:t>considered</w:t>
      </w:r>
      <w:r>
        <w:rPr>
          <w:spacing w:val="-7"/>
        </w:rPr>
        <w:t> </w:t>
      </w:r>
      <w:r>
        <w:rPr/>
        <w:t>to</w:t>
      </w:r>
      <w:r>
        <w:rPr>
          <w:spacing w:val="-6"/>
        </w:rPr>
        <w:t> </w:t>
      </w:r>
      <w:r>
        <w:rPr/>
        <w:t>be</w:t>
      </w:r>
      <w:r>
        <w:rPr>
          <w:spacing w:val="-7"/>
        </w:rPr>
        <w:t> </w:t>
      </w:r>
      <w:r>
        <w:rPr/>
        <w:t>an</w:t>
      </w:r>
      <w:r>
        <w:rPr>
          <w:spacing w:val="-8"/>
        </w:rPr>
        <w:t> </w:t>
      </w:r>
      <w:r>
        <w:rPr/>
        <w:t>organic</w:t>
      </w:r>
      <w:r>
        <w:rPr>
          <w:spacing w:val="-5"/>
        </w:rPr>
        <w:t> </w:t>
      </w:r>
      <w:r>
        <w:rPr>
          <w:spacing w:val="-3"/>
        </w:rPr>
        <w:t>soil.</w:t>
      </w:r>
    </w:p>
    <w:p>
      <w:pPr>
        <w:pStyle w:val="BodyText"/>
        <w:spacing w:before="11"/>
        <w:rPr>
          <w:sz w:val="10"/>
        </w:rPr>
      </w:pPr>
      <w:r>
        <w:rPr/>
        <w:pict>
          <v:shape style="position:absolute;margin-left:91.960999pt;margin-top:9.011498pt;width:411.5pt;height:52.95pt;mso-position-horizontal-relative:page;mso-position-vertical-relative:paragraph;z-index:7064;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3.2.33</w:t>
                  </w:r>
                </w:p>
                <w:p>
                  <w:pPr>
                    <w:spacing w:line="229" w:lineRule="exact" w:before="0"/>
                    <w:ind w:left="67" w:right="68" w:firstLine="0"/>
                    <w:jc w:val="center"/>
                    <w:rPr>
                      <w:b/>
                      <w:sz w:val="16"/>
                    </w:rPr>
                  </w:pPr>
                  <w:r>
                    <w:rPr>
                      <w:b/>
                      <w:sz w:val="20"/>
                    </w:rPr>
                    <w:t>CO</w:t>
                  </w:r>
                  <w:r>
                    <w:rPr>
                      <w:b/>
                      <w:sz w:val="20"/>
                      <w:vertAlign w:val="subscript"/>
                    </w:rPr>
                    <w:t>2</w:t>
                  </w:r>
                  <w:r>
                    <w:rPr>
                      <w:b/>
                      <w:sz w:val="20"/>
                      <w:vertAlign w:val="baseline"/>
                    </w:rPr>
                    <w:t> </w:t>
                  </w:r>
                  <w:r>
                    <w:rPr>
                      <w:b/>
                      <w:sz w:val="16"/>
                      <w:vertAlign w:val="baseline"/>
                    </w:rPr>
                    <w:t>EMISSIONS FROM DRAINED ORGANIC SOILS IN LAND CONVERTED TO FOREST LAND</w:t>
                  </w:r>
                </w:p>
                <w:p>
                  <w:pPr>
                    <w:spacing w:before="80"/>
                    <w:ind w:left="68" w:right="68" w:firstLine="0"/>
                    <w:jc w:val="center"/>
                    <w:rPr>
                      <w:sz w:val="13"/>
                    </w:rPr>
                  </w:pPr>
                  <w:r>
                    <w:rPr>
                      <w:position w:val="3"/>
                      <w:sz w:val="20"/>
                    </w:rPr>
                    <w:t>∆C</w:t>
                  </w:r>
                  <w:r>
                    <w:rPr>
                      <w:sz w:val="13"/>
                    </w:rPr>
                    <w:t>LF</w:t>
                  </w:r>
                  <w:r>
                    <w:rPr>
                      <w:position w:val="-5"/>
                      <w:sz w:val="13"/>
                    </w:rPr>
                    <w:t>Organic</w:t>
                  </w:r>
                  <w:r>
                    <w:rPr>
                      <w:position w:val="3"/>
                      <w:sz w:val="20"/>
                    </w:rPr>
                    <w:t>= A</w:t>
                  </w:r>
                  <w:r>
                    <w:rPr>
                      <w:sz w:val="13"/>
                    </w:rPr>
                    <w:t>Drained Aff  </w:t>
                  </w:r>
                  <w:r>
                    <w:rPr>
                      <w:position w:val="3"/>
                      <w:sz w:val="20"/>
                    </w:rPr>
                    <w:t>● EF</w:t>
                  </w:r>
                  <w:r>
                    <w:rPr>
                      <w:sz w:val="13"/>
                    </w:rPr>
                    <w:t>Drainage</w:t>
                  </w:r>
                </w:p>
              </w:txbxContent>
            </v:textbox>
            <v:stroke dashstyle="solid"/>
            <w10:wrap type="topAndBottom"/>
          </v:shape>
        </w:pict>
      </w:r>
    </w:p>
    <w:p>
      <w:pPr>
        <w:pStyle w:val="BodyText"/>
        <w:spacing w:before="4"/>
        <w:ind w:left="219"/>
      </w:pPr>
      <w:r>
        <w:rPr/>
        <w:t>Where:</w:t>
      </w:r>
    </w:p>
    <w:p>
      <w:pPr>
        <w:pStyle w:val="BodyText"/>
        <w:spacing w:line="228" w:lineRule="auto" w:before="126"/>
        <w:ind w:left="1808" w:right="1774" w:hanging="1023"/>
      </w:pPr>
      <w:r>
        <w:rPr/>
        <w:t>∆C</w:t>
      </w:r>
      <w:r>
        <w:rPr>
          <w:vertAlign w:val="subscript"/>
        </w:rPr>
        <w:t>LF</w:t>
      </w:r>
      <w:r>
        <w:rPr>
          <w:position w:val="-8"/>
          <w:sz w:val="13"/>
          <w:vertAlign w:val="baseline"/>
        </w:rPr>
        <w:t>Organic</w:t>
      </w:r>
      <w:r>
        <w:rPr>
          <w:vertAlign w:val="baseline"/>
        </w:rPr>
        <w:t>= CO</w:t>
      </w:r>
      <w:r>
        <w:rPr>
          <w:vertAlign w:val="subscript"/>
        </w:rPr>
        <w:t>2</w:t>
      </w:r>
      <w:r>
        <w:rPr>
          <w:vertAlign w:val="baseline"/>
        </w:rPr>
        <w:t> emissions from drained organic forest soils in land converted to forest land, tonnes C yr</w:t>
      </w:r>
      <w:r>
        <w:rPr>
          <w:vertAlign w:val="superscript"/>
        </w:rPr>
        <w:t>-1</w:t>
      </w:r>
    </w:p>
    <w:p>
      <w:pPr>
        <w:pStyle w:val="BodyText"/>
        <w:spacing w:before="124"/>
        <w:ind w:left="785"/>
      </w:pPr>
      <w:r>
        <w:rPr/>
        <w:t>A</w:t>
      </w:r>
      <w:r>
        <w:rPr>
          <w:vertAlign w:val="subscript"/>
        </w:rPr>
        <w:t>Drained</w:t>
      </w:r>
      <w:r>
        <w:rPr>
          <w:vertAlign w:val="baseline"/>
        </w:rPr>
        <w:t> </w:t>
      </w:r>
      <w:r>
        <w:rPr>
          <w:vertAlign w:val="subscript"/>
        </w:rPr>
        <w:t>Aff</w:t>
      </w:r>
      <w:r>
        <w:rPr>
          <w:vertAlign w:val="baseline"/>
        </w:rPr>
        <w:t> = area of drained organic soils in land converted to forest land, ha</w:t>
      </w:r>
    </w:p>
    <w:p>
      <w:pPr>
        <w:pStyle w:val="BodyText"/>
        <w:spacing w:before="120"/>
        <w:ind w:left="785"/>
      </w:pPr>
      <w:r>
        <w:rPr/>
        <w:t>EF</w:t>
      </w:r>
      <w:r>
        <w:rPr>
          <w:vertAlign w:val="subscript"/>
        </w:rPr>
        <w:t>Drainage</w:t>
      </w:r>
      <w:r>
        <w:rPr>
          <w:vertAlign w:val="baseline"/>
        </w:rPr>
        <w:t> = emission factor for CO</w:t>
      </w:r>
      <w:r>
        <w:rPr>
          <w:vertAlign w:val="subscript"/>
        </w:rPr>
        <w:t>2</w:t>
      </w:r>
      <w:r>
        <w:rPr>
          <w:vertAlign w:val="baseline"/>
        </w:rPr>
        <w:t> from drained organic forest soils, tonnes C ha</w:t>
      </w:r>
      <w:r>
        <w:rPr>
          <w:vertAlign w:val="superscript"/>
        </w:rPr>
        <w:t>-1</w:t>
      </w:r>
      <w:r>
        <w:rPr>
          <w:vertAlign w:val="baseline"/>
        </w:rPr>
        <w:t> yr</w:t>
      </w:r>
      <w:r>
        <w:rPr>
          <w:vertAlign w:val="superscript"/>
        </w:rPr>
        <w:t>-1</w:t>
      </w:r>
    </w:p>
    <w:p>
      <w:pPr>
        <w:pStyle w:val="BodyText"/>
        <w:spacing w:before="2"/>
        <w:rPr>
          <w:sz w:val="21"/>
        </w:rPr>
      </w:pPr>
    </w:p>
    <w:p>
      <w:pPr>
        <w:pStyle w:val="Heading6"/>
        <w:numPr>
          <w:ilvl w:val="5"/>
          <w:numId w:val="57"/>
        </w:numPr>
        <w:tabs>
          <w:tab w:pos="1661" w:val="left" w:leader="none"/>
          <w:tab w:pos="1662" w:val="left" w:leader="none"/>
        </w:tabs>
        <w:spacing w:line="240" w:lineRule="auto" w:before="0" w:after="0"/>
        <w:ind w:left="1661" w:right="0" w:hanging="1442"/>
        <w:jc w:val="left"/>
      </w:pPr>
      <w:r>
        <w:rPr/>
        <w:t>2</w:t>
        <w:tab/>
      </w:r>
      <w:r>
        <w:rPr>
          <w:spacing w:val="15"/>
        </w:rPr>
        <w:t>Choice </w:t>
      </w:r>
      <w:r>
        <w:rPr>
          <w:spacing w:val="9"/>
        </w:rPr>
        <w:t>of </w:t>
      </w:r>
      <w:r>
        <w:rPr>
          <w:spacing w:val="17"/>
        </w:rPr>
        <w:t>Emission/Removal</w:t>
      </w:r>
      <w:r>
        <w:rPr>
          <w:spacing w:val="31"/>
        </w:rPr>
        <w:t> </w:t>
      </w:r>
      <w:r>
        <w:rPr>
          <w:spacing w:val="19"/>
        </w:rPr>
        <w:t>Factors</w:t>
      </w:r>
    </w:p>
    <w:p>
      <w:pPr>
        <w:spacing w:line="228" w:lineRule="exact" w:before="181"/>
        <w:ind w:left="219" w:right="0" w:firstLine="0"/>
        <w:jc w:val="left"/>
        <w:rPr>
          <w:b/>
          <w:sz w:val="20"/>
        </w:rPr>
      </w:pPr>
      <w:r>
        <w:rPr>
          <w:b/>
          <w:sz w:val="20"/>
        </w:rPr>
        <w:t>MINERAL SOILS</w:t>
      </w:r>
    </w:p>
    <w:p>
      <w:pPr>
        <w:spacing w:line="223" w:lineRule="auto" w:before="12"/>
        <w:ind w:left="219" w:right="266" w:firstLine="0"/>
        <w:jc w:val="left"/>
        <w:rPr>
          <w:sz w:val="20"/>
        </w:rPr>
      </w:pPr>
      <w:r>
        <w:rPr>
          <w:position w:val="3"/>
          <w:sz w:val="20"/>
        </w:rPr>
        <w:t>The parameters to be estimated are SOC</w:t>
      </w:r>
      <w:r>
        <w:rPr>
          <w:sz w:val="13"/>
        </w:rPr>
        <w:t>ref</w:t>
      </w:r>
      <w:r>
        <w:rPr>
          <w:position w:val="3"/>
          <w:sz w:val="20"/>
        </w:rPr>
        <w:t>, SOC</w:t>
      </w:r>
      <w:r>
        <w:rPr>
          <w:sz w:val="13"/>
        </w:rPr>
        <w:t>Ext Forest</w:t>
      </w:r>
      <w:r>
        <w:rPr>
          <w:position w:val="3"/>
          <w:sz w:val="20"/>
        </w:rPr>
        <w:t>, SOC</w:t>
      </w:r>
      <w:r>
        <w:rPr>
          <w:sz w:val="13"/>
        </w:rPr>
        <w:t>Int Forest</w:t>
      </w:r>
      <w:r>
        <w:rPr>
          <w:position w:val="3"/>
          <w:sz w:val="20"/>
        </w:rPr>
        <w:t>, T</w:t>
      </w:r>
      <w:r>
        <w:rPr>
          <w:sz w:val="13"/>
        </w:rPr>
        <w:t>Int Forest</w:t>
      </w:r>
      <w:r>
        <w:rPr>
          <w:position w:val="3"/>
          <w:sz w:val="20"/>
        </w:rPr>
        <w:t>,T</w:t>
      </w:r>
      <w:r>
        <w:rPr>
          <w:sz w:val="13"/>
        </w:rPr>
        <w:t>Ext Forest</w:t>
      </w:r>
      <w:r>
        <w:rPr>
          <w:position w:val="3"/>
          <w:sz w:val="20"/>
        </w:rPr>
        <w:t>, SOC</w:t>
      </w:r>
      <w:r>
        <w:rPr>
          <w:sz w:val="13"/>
        </w:rPr>
        <w:t>Non Forest Land</w:t>
      </w:r>
      <w:r>
        <w:rPr>
          <w:position w:val="3"/>
          <w:sz w:val="20"/>
        </w:rPr>
        <w:t>, f</w:t>
      </w:r>
      <w:r>
        <w:rPr>
          <w:sz w:val="13"/>
        </w:rPr>
        <w:t>forest type</w:t>
      </w:r>
      <w:r>
        <w:rPr>
          <w:position w:val="3"/>
          <w:sz w:val="20"/>
        </w:rPr>
        <w:t>, f</w:t>
      </w:r>
      <w:r>
        <w:rPr>
          <w:sz w:val="13"/>
        </w:rPr>
        <w:t>man intensity</w:t>
      </w:r>
      <w:r>
        <w:rPr>
          <w:position w:val="3"/>
          <w:sz w:val="20"/>
        </w:rPr>
        <w:t>, and f</w:t>
      </w:r>
      <w:r>
        <w:rPr>
          <w:sz w:val="13"/>
        </w:rPr>
        <w:t>dist regime</w:t>
      </w:r>
      <w:r>
        <w:rPr>
          <w:position w:val="3"/>
          <w:sz w:val="20"/>
        </w:rPr>
        <w:t>.</w:t>
      </w:r>
    </w:p>
    <w:p>
      <w:pPr>
        <w:pStyle w:val="BodyText"/>
        <w:spacing w:before="106"/>
        <w:ind w:left="219"/>
      </w:pPr>
      <w:r>
        <w:rPr>
          <w:b/>
        </w:rPr>
        <w:t>Tier 1: </w:t>
      </w:r>
      <w:r>
        <w:rPr/>
        <w:t>In Tier 1 calculations f</w:t>
      </w:r>
      <w:r>
        <w:rPr>
          <w:vertAlign w:val="subscript"/>
        </w:rPr>
        <w:t>forest</w:t>
      </w:r>
      <w:r>
        <w:rPr>
          <w:vertAlign w:val="baseline"/>
        </w:rPr>
        <w:t> </w:t>
      </w:r>
      <w:r>
        <w:rPr>
          <w:vertAlign w:val="subscript"/>
        </w:rPr>
        <w:t>type</w:t>
      </w:r>
      <w:r>
        <w:rPr>
          <w:vertAlign w:val="baseline"/>
        </w:rPr>
        <w:t> = f</w:t>
      </w:r>
      <w:r>
        <w:rPr>
          <w:vertAlign w:val="subscript"/>
        </w:rPr>
        <w:t>man</w:t>
      </w:r>
      <w:r>
        <w:rPr>
          <w:vertAlign w:val="baseline"/>
        </w:rPr>
        <w:t> </w:t>
      </w:r>
      <w:r>
        <w:rPr>
          <w:vertAlign w:val="subscript"/>
        </w:rPr>
        <w:t>intensity</w:t>
      </w:r>
      <w:r>
        <w:rPr>
          <w:vertAlign w:val="baseline"/>
        </w:rPr>
        <w:t> = f</w:t>
      </w:r>
      <w:r>
        <w:rPr>
          <w:vertAlign w:val="subscript"/>
        </w:rPr>
        <w:t>dist</w:t>
      </w:r>
      <w:r>
        <w:rPr>
          <w:vertAlign w:val="baseline"/>
        </w:rPr>
        <w:t> </w:t>
      </w:r>
      <w:r>
        <w:rPr>
          <w:vertAlign w:val="subscript"/>
        </w:rPr>
        <w:t>regime</w:t>
      </w:r>
      <w:r>
        <w:rPr>
          <w:vertAlign w:val="baseline"/>
        </w:rPr>
        <w:t> = 1, hence the new forest SOC = SOC</w:t>
      </w:r>
      <w:r>
        <w:rPr>
          <w:vertAlign w:val="subscript"/>
        </w:rPr>
        <w:t>Ref</w:t>
      </w:r>
      <w:r>
        <w:rPr>
          <w:vertAlign w:val="baseline"/>
        </w:rPr>
        <w:t>. Default SOC</w:t>
      </w:r>
      <w:r>
        <w:rPr>
          <w:vertAlign w:val="subscript"/>
        </w:rPr>
        <w:t>Ref</w:t>
      </w:r>
      <w:r>
        <w:rPr>
          <w:vertAlign w:val="baseline"/>
        </w:rPr>
        <w:t> values under native vegetation for broad soil and climate categories are provided in Table 3.2.4.</w:t>
      </w:r>
    </w:p>
    <w:p>
      <w:pPr>
        <w:spacing w:after="0"/>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6"/>
        <w:jc w:val="both"/>
      </w:pPr>
      <w:r>
        <w:rPr/>
        <w:t>Since only the conversion of cropland and grasslands are considered, values SOC</w:t>
      </w:r>
      <w:r>
        <w:rPr>
          <w:vertAlign w:val="subscript"/>
        </w:rPr>
        <w:t>Non</w:t>
      </w:r>
      <w:r>
        <w:rPr>
          <w:vertAlign w:val="baseline"/>
        </w:rPr>
        <w:t> </w:t>
      </w:r>
      <w:r>
        <w:rPr>
          <w:vertAlign w:val="subscript"/>
        </w:rPr>
        <w:t>Forest</w:t>
      </w:r>
      <w:r>
        <w:rPr>
          <w:vertAlign w:val="baseline"/>
        </w:rPr>
        <w:t> </w:t>
      </w:r>
      <w:r>
        <w:rPr>
          <w:vertAlign w:val="subscript"/>
        </w:rPr>
        <w:t>Land</w:t>
      </w:r>
      <w:r>
        <w:rPr>
          <w:vertAlign w:val="baseline"/>
        </w:rPr>
        <w:t> should be consistent with reported SOC values in croplands (see guidance in Section 3.3.1.2) or grasslands (see guidance in Section</w:t>
      </w:r>
      <w:r>
        <w:rPr>
          <w:spacing w:val="-2"/>
          <w:vertAlign w:val="baseline"/>
        </w:rPr>
        <w:t> </w:t>
      </w:r>
      <w:r>
        <w:rPr>
          <w:vertAlign w:val="baseline"/>
        </w:rPr>
        <w:t>3.4.1.2).</w:t>
      </w:r>
    </w:p>
    <w:p>
      <w:pPr>
        <w:pStyle w:val="BodyText"/>
        <w:spacing w:before="121"/>
        <w:ind w:left="219" w:right="264"/>
        <w:jc w:val="both"/>
      </w:pPr>
      <w:r>
        <w:rPr/>
        <w:t>T</w:t>
      </w:r>
      <w:r>
        <w:rPr>
          <w:vertAlign w:val="subscript"/>
        </w:rPr>
        <w:t>Nat</w:t>
      </w:r>
      <w:r>
        <w:rPr>
          <w:vertAlign w:val="baseline"/>
        </w:rPr>
        <w:t> </w:t>
      </w:r>
      <w:r>
        <w:rPr>
          <w:vertAlign w:val="subscript"/>
        </w:rPr>
        <w:t>Aff</w:t>
      </w:r>
      <w:r>
        <w:rPr>
          <w:vertAlign w:val="baseline"/>
        </w:rPr>
        <w:t> = T</w:t>
      </w:r>
      <w:r>
        <w:rPr>
          <w:vertAlign w:val="subscript"/>
        </w:rPr>
        <w:t>Int</w:t>
      </w:r>
      <w:r>
        <w:rPr>
          <w:vertAlign w:val="baseline"/>
        </w:rPr>
        <w:t> </w:t>
      </w:r>
      <w:r>
        <w:rPr>
          <w:vertAlign w:val="subscript"/>
        </w:rPr>
        <w:t>Aff</w:t>
      </w:r>
      <w:r>
        <w:rPr>
          <w:vertAlign w:val="baseline"/>
        </w:rPr>
        <w:t> = T</w:t>
      </w:r>
      <w:r>
        <w:rPr>
          <w:vertAlign w:val="subscript"/>
        </w:rPr>
        <w:t>Aff</w:t>
      </w:r>
      <w:r>
        <w:rPr>
          <w:vertAlign w:val="baseline"/>
        </w:rPr>
        <w:t> the years for abandoned agricultural lands to recover to the native forest biomass under </w:t>
      </w:r>
      <w:r>
        <w:rPr>
          <w:spacing w:val="-3"/>
          <w:vertAlign w:val="baseline"/>
        </w:rPr>
        <w:t>the </w:t>
      </w:r>
      <w:r>
        <w:rPr>
          <w:vertAlign w:val="baseline"/>
        </w:rPr>
        <w:t>native vegetation type and climate, which may be in the range 20 to 100 years, or longer for temperate and  boreal ecosystems. These long term dynamics would need following in the forest remaining forest category once the land had been transferred from the conversion</w:t>
      </w:r>
      <w:r>
        <w:rPr>
          <w:spacing w:val="-1"/>
          <w:vertAlign w:val="baseline"/>
        </w:rPr>
        <w:t> </w:t>
      </w:r>
      <w:r>
        <w:rPr>
          <w:vertAlign w:val="baseline"/>
        </w:rPr>
        <w:t>category.</w:t>
      </w:r>
    </w:p>
    <w:p>
      <w:pPr>
        <w:pStyle w:val="BodyText"/>
        <w:spacing w:before="120"/>
        <w:ind w:left="219"/>
        <w:jc w:val="both"/>
      </w:pPr>
      <w:r>
        <w:rPr>
          <w:b/>
        </w:rPr>
        <w:t>Tier 2: </w:t>
      </w:r>
      <w:r>
        <w:rPr/>
        <w:t>In Tier 2 calculation procedures, countries provide their own values for SOC</w:t>
      </w:r>
      <w:r>
        <w:rPr>
          <w:vertAlign w:val="subscript"/>
        </w:rPr>
        <w:t>Ref</w:t>
      </w:r>
      <w:r>
        <w:rPr>
          <w:vertAlign w:val="baseline"/>
        </w:rPr>
        <w:t>, SOC</w:t>
      </w:r>
      <w:r>
        <w:rPr>
          <w:vertAlign w:val="subscript"/>
        </w:rPr>
        <w:t>Ext</w:t>
      </w:r>
      <w:r>
        <w:rPr>
          <w:vertAlign w:val="baseline"/>
        </w:rPr>
        <w:t> </w:t>
      </w:r>
      <w:r>
        <w:rPr>
          <w:vertAlign w:val="subscript"/>
        </w:rPr>
        <w:t>Forest</w:t>
      </w:r>
      <w:r>
        <w:rPr>
          <w:vertAlign w:val="baseline"/>
        </w:rPr>
        <w:t>, SOC</w:t>
      </w:r>
      <w:r>
        <w:rPr>
          <w:vertAlign w:val="subscript"/>
        </w:rPr>
        <w:t>Int</w:t>
      </w:r>
    </w:p>
    <w:p>
      <w:pPr>
        <w:spacing w:before="1"/>
        <w:ind w:left="219" w:right="0" w:firstLine="0"/>
        <w:jc w:val="both"/>
        <w:rPr>
          <w:sz w:val="20"/>
        </w:rPr>
      </w:pPr>
      <w:r>
        <w:rPr>
          <w:sz w:val="13"/>
        </w:rPr>
        <w:t>Forest</w:t>
      </w:r>
      <w:r>
        <w:rPr>
          <w:position w:val="3"/>
          <w:sz w:val="20"/>
        </w:rPr>
        <w:t>, T</w:t>
      </w:r>
      <w:r>
        <w:rPr>
          <w:sz w:val="13"/>
        </w:rPr>
        <w:t>Int forest</w:t>
      </w:r>
      <w:r>
        <w:rPr>
          <w:position w:val="3"/>
          <w:sz w:val="20"/>
        </w:rPr>
        <w:t>, T</w:t>
      </w:r>
      <w:r>
        <w:rPr>
          <w:sz w:val="13"/>
        </w:rPr>
        <w:t>Ext Forest</w:t>
      </w:r>
      <w:r>
        <w:rPr>
          <w:position w:val="3"/>
          <w:sz w:val="20"/>
        </w:rPr>
        <w:t>, SOC</w:t>
      </w:r>
      <w:r>
        <w:rPr>
          <w:sz w:val="13"/>
        </w:rPr>
        <w:t>Non Forest Land</w:t>
      </w:r>
      <w:r>
        <w:rPr>
          <w:position w:val="3"/>
          <w:sz w:val="20"/>
        </w:rPr>
        <w:t>, f</w:t>
      </w:r>
      <w:r>
        <w:rPr>
          <w:sz w:val="13"/>
        </w:rPr>
        <w:t>forest type</w:t>
      </w:r>
      <w:r>
        <w:rPr>
          <w:position w:val="3"/>
          <w:sz w:val="20"/>
        </w:rPr>
        <w:t>, f</w:t>
      </w:r>
      <w:r>
        <w:rPr>
          <w:sz w:val="13"/>
        </w:rPr>
        <w:t>man intensity</w:t>
      </w:r>
      <w:r>
        <w:rPr>
          <w:position w:val="3"/>
          <w:sz w:val="20"/>
        </w:rPr>
        <w:t>, and f</w:t>
      </w:r>
      <w:r>
        <w:rPr>
          <w:sz w:val="13"/>
        </w:rPr>
        <w:t>dist regime</w:t>
      </w:r>
      <w:r>
        <w:rPr>
          <w:position w:val="3"/>
          <w:sz w:val="20"/>
        </w:rPr>
        <w:t>.</w:t>
      </w:r>
    </w:p>
    <w:p>
      <w:pPr>
        <w:pStyle w:val="BodyText"/>
        <w:spacing w:before="105"/>
        <w:ind w:left="219" w:right="264"/>
        <w:jc w:val="both"/>
      </w:pPr>
      <w:r>
        <w:rPr/>
        <w:t>The default values for SOC</w:t>
      </w:r>
      <w:r>
        <w:rPr>
          <w:vertAlign w:val="subscript"/>
        </w:rPr>
        <w:t>Ref</w:t>
      </w:r>
      <w:r>
        <w:rPr>
          <w:vertAlign w:val="baseline"/>
        </w:rPr>
        <w:t> should be replaced by data that better reflect national circumstances, based on relevant forest types, and natural disturbance regimes. Particular attention should be paid to SOC</w:t>
      </w:r>
      <w:r>
        <w:rPr>
          <w:vertAlign w:val="subscript"/>
        </w:rPr>
        <w:t>Ref</w:t>
      </w:r>
      <w:r>
        <w:rPr>
          <w:vertAlign w:val="baseline"/>
        </w:rPr>
        <w:t> for which defaults should only be used as the stable, end-point SOC upon afforestation where there is documented evidence that the new forests are ecologically similar to native vegetation and not managed. Where forests have been established on areas with no historical forest, SOC</w:t>
      </w:r>
      <w:r>
        <w:rPr>
          <w:vertAlign w:val="subscript"/>
        </w:rPr>
        <w:t>Ref</w:t>
      </w:r>
      <w:r>
        <w:rPr>
          <w:vertAlign w:val="baseline"/>
        </w:rPr>
        <w:t> may be derived from the most representative data available in the literature or from soil surveys of comparable forests and soil</w:t>
      </w:r>
      <w:r>
        <w:rPr>
          <w:spacing w:val="-5"/>
          <w:vertAlign w:val="baseline"/>
        </w:rPr>
        <w:t> </w:t>
      </w:r>
      <w:r>
        <w:rPr>
          <w:vertAlign w:val="baseline"/>
        </w:rPr>
        <w:t>types.</w:t>
      </w:r>
    </w:p>
    <w:p>
      <w:pPr>
        <w:pStyle w:val="BodyText"/>
        <w:spacing w:before="120"/>
        <w:ind w:left="219" w:right="267"/>
        <w:jc w:val="both"/>
      </w:pPr>
      <w:r>
        <w:rPr/>
        <w:t>National values for SOC</w:t>
      </w:r>
      <w:r>
        <w:rPr>
          <w:vertAlign w:val="subscript"/>
        </w:rPr>
        <w:t>Ext</w:t>
      </w:r>
      <w:r>
        <w:rPr>
          <w:vertAlign w:val="baseline"/>
        </w:rPr>
        <w:t> </w:t>
      </w:r>
      <w:r>
        <w:rPr>
          <w:vertAlign w:val="subscript"/>
        </w:rPr>
        <w:t>Forest</w:t>
      </w:r>
      <w:r>
        <w:rPr>
          <w:vertAlign w:val="baseline"/>
        </w:rPr>
        <w:t>, SOC</w:t>
      </w:r>
      <w:r>
        <w:rPr>
          <w:vertAlign w:val="subscript"/>
        </w:rPr>
        <w:t>Int</w:t>
      </w:r>
      <w:r>
        <w:rPr>
          <w:vertAlign w:val="baseline"/>
        </w:rPr>
        <w:t> </w:t>
      </w:r>
      <w:r>
        <w:rPr>
          <w:vertAlign w:val="subscript"/>
        </w:rPr>
        <w:t>Forest</w:t>
      </w:r>
      <w:r>
        <w:rPr>
          <w:vertAlign w:val="baseline"/>
        </w:rPr>
        <w:t> and f</w:t>
      </w:r>
      <w:r>
        <w:rPr>
          <w:vertAlign w:val="subscript"/>
        </w:rPr>
        <w:t>forest</w:t>
      </w:r>
      <w:r>
        <w:rPr>
          <w:vertAlign w:val="baseline"/>
        </w:rPr>
        <w:t> </w:t>
      </w:r>
      <w:r>
        <w:rPr>
          <w:vertAlign w:val="subscript"/>
        </w:rPr>
        <w:t>type</w:t>
      </w:r>
      <w:r>
        <w:rPr>
          <w:vertAlign w:val="baseline"/>
        </w:rPr>
        <w:t>, f</w:t>
      </w:r>
      <w:r>
        <w:rPr>
          <w:vertAlign w:val="subscript"/>
        </w:rPr>
        <w:t>man</w:t>
      </w:r>
      <w:r>
        <w:rPr>
          <w:vertAlign w:val="baseline"/>
        </w:rPr>
        <w:t> </w:t>
      </w:r>
      <w:r>
        <w:rPr>
          <w:vertAlign w:val="subscript"/>
        </w:rPr>
        <w:t>intensity</w:t>
      </w:r>
      <w:r>
        <w:rPr>
          <w:vertAlign w:val="baseline"/>
        </w:rPr>
        <w:t>, and f</w:t>
      </w:r>
      <w:r>
        <w:rPr>
          <w:vertAlign w:val="subscript"/>
        </w:rPr>
        <w:t>dist</w:t>
      </w:r>
      <w:r>
        <w:rPr>
          <w:vertAlign w:val="baseline"/>
        </w:rPr>
        <w:t> </w:t>
      </w:r>
      <w:r>
        <w:rPr>
          <w:vertAlign w:val="subscript"/>
        </w:rPr>
        <w:t>regime</w:t>
      </w:r>
      <w:r>
        <w:rPr>
          <w:vertAlign w:val="baseline"/>
        </w:rPr>
        <w:t> should be consistent with the forest types, management practices and disturbance regimes used in estimation procedures of the SOC in forests remaining forests (Section 3.2.1.3.1.2, Choice of Emission/Removal Factors). Derivation of these parameters should be carried out according to the guidance provided in the corresponding text of Section 3.2.1.3.1.2.</w:t>
      </w:r>
    </w:p>
    <w:p>
      <w:pPr>
        <w:pStyle w:val="BodyText"/>
        <w:spacing w:before="119"/>
        <w:ind w:left="219"/>
        <w:jc w:val="both"/>
      </w:pPr>
      <w:r>
        <w:rPr/>
        <w:t>Values of SOC</w:t>
      </w:r>
      <w:r>
        <w:rPr>
          <w:vertAlign w:val="subscript"/>
        </w:rPr>
        <w:t>Non</w:t>
      </w:r>
      <w:r>
        <w:rPr>
          <w:vertAlign w:val="baseline"/>
        </w:rPr>
        <w:t> </w:t>
      </w:r>
      <w:r>
        <w:rPr>
          <w:vertAlign w:val="subscript"/>
        </w:rPr>
        <w:t>Forest</w:t>
      </w:r>
      <w:r>
        <w:rPr>
          <w:vertAlign w:val="baseline"/>
        </w:rPr>
        <w:t> </w:t>
      </w:r>
      <w:r>
        <w:rPr>
          <w:vertAlign w:val="subscript"/>
        </w:rPr>
        <w:t>Land</w:t>
      </w:r>
      <w:r>
        <w:rPr>
          <w:vertAlign w:val="baseline"/>
        </w:rPr>
        <w:t> should be consistent with those reported in the other land categories.</w:t>
      </w:r>
    </w:p>
    <w:p>
      <w:pPr>
        <w:pStyle w:val="BodyText"/>
        <w:spacing w:before="120"/>
        <w:ind w:left="219" w:right="264"/>
        <w:jc w:val="both"/>
      </w:pPr>
      <w:r>
        <w:rPr/>
        <w:t>The time period required to reach stable forest SOC values should be estimated, taking into account that rates of soil C sequestration are slower than those in aboveground biomass, that superficial changes in SOC may only present a partial picture of the vertical redistribution of carbon along the soil profile, that the transition may be shorter for new forests that are intensively managed than for extensively managed ones, and that, everything else being equal, in the long-term SOC</w:t>
      </w:r>
      <w:r>
        <w:rPr>
          <w:vertAlign w:val="subscript"/>
        </w:rPr>
        <w:t>Int</w:t>
      </w:r>
      <w:r>
        <w:rPr>
          <w:vertAlign w:val="baseline"/>
        </w:rPr>
        <w:t> </w:t>
      </w:r>
      <w:r>
        <w:rPr>
          <w:vertAlign w:val="subscript"/>
        </w:rPr>
        <w:t>Forest</w:t>
      </w:r>
      <w:r>
        <w:rPr>
          <w:vertAlign w:val="baseline"/>
        </w:rPr>
        <w:t> is likely to be lower than SOC</w:t>
      </w:r>
      <w:r>
        <w:rPr>
          <w:vertAlign w:val="subscript"/>
        </w:rPr>
        <w:t>Ext</w:t>
      </w:r>
      <w:r>
        <w:rPr>
          <w:vertAlign w:val="baseline"/>
        </w:rPr>
        <w:t> </w:t>
      </w:r>
      <w:r>
        <w:rPr>
          <w:vertAlign w:val="subscript"/>
        </w:rPr>
        <w:t>Forest</w:t>
      </w:r>
      <w:r>
        <w:rPr>
          <w:vertAlign w:val="baseline"/>
        </w:rPr>
        <w:t> .</w:t>
      </w:r>
    </w:p>
    <w:p>
      <w:pPr>
        <w:pStyle w:val="BodyText"/>
        <w:spacing w:before="120"/>
        <w:ind w:left="219"/>
        <w:jc w:val="both"/>
      </w:pPr>
      <w:r>
        <w:rPr/>
        <w:t>Linear C sequestration may be replaced by sigmoidal or equivalent representations, where data are available.</w:t>
      </w:r>
    </w:p>
    <w:p>
      <w:pPr>
        <w:pStyle w:val="BodyText"/>
        <w:spacing w:before="121"/>
        <w:ind w:left="219" w:right="260"/>
        <w:jc w:val="both"/>
      </w:pPr>
      <w:r>
        <w:rPr>
          <w:b/>
        </w:rPr>
        <w:t>Tier 3: </w:t>
      </w:r>
      <w:r>
        <w:rPr/>
        <w:t>Countries develop their own methodologies and parameters for estimating changes in SOC associated with the creation of new forests. Such approaches will likely integrate rigorous, long-term monitoring programs, coupled with numerical and/or dynamic modelling studies, and will be consistent with the methods used to estimate emissions/removals for the SOC pools of forest land remaining forest land. Models should be selected based on their capacity to adequately represent the range of conditions and practices that occur over the area of interest, and their compatibility with available national data. Because of the complexity of these models, it may be difficult to quantify the uncertainty associated with the model outputs. The use of models should be supported by an independent validation of model assumptions, parameters, rules and outputs over the entire range of conditions and practices modelled.</w:t>
      </w:r>
    </w:p>
    <w:p>
      <w:pPr>
        <w:pStyle w:val="BodyText"/>
        <w:spacing w:before="2"/>
        <w:rPr>
          <w:sz w:val="21"/>
        </w:rPr>
      </w:pPr>
    </w:p>
    <w:p>
      <w:pPr>
        <w:spacing w:line="228" w:lineRule="exact" w:before="0"/>
        <w:ind w:left="219" w:right="0" w:firstLine="0"/>
        <w:jc w:val="both"/>
        <w:rPr>
          <w:b/>
          <w:sz w:val="20"/>
        </w:rPr>
      </w:pPr>
      <w:r>
        <w:rPr>
          <w:b/>
          <w:sz w:val="20"/>
        </w:rPr>
        <w:t>ORGANIC SOILS</w:t>
      </w:r>
    </w:p>
    <w:p>
      <w:pPr>
        <w:pStyle w:val="BodyText"/>
        <w:ind w:left="219" w:right="263"/>
        <w:jc w:val="both"/>
      </w:pPr>
      <w:r>
        <w:rPr/>
        <w:t>The emission factor to be estimated is EF</w:t>
      </w:r>
      <w:r>
        <w:rPr>
          <w:vertAlign w:val="subscript"/>
        </w:rPr>
        <w:t>Drainage</w:t>
      </w:r>
      <w:r>
        <w:rPr>
          <w:vertAlign w:val="baseline"/>
        </w:rPr>
        <w:t>, for the emissions of CO</w:t>
      </w:r>
      <w:r>
        <w:rPr>
          <w:vertAlign w:val="subscript"/>
        </w:rPr>
        <w:t>2</w:t>
      </w:r>
      <w:r>
        <w:rPr>
          <w:vertAlign w:val="baseline"/>
        </w:rPr>
        <w:t> from drained organic soils converted to forest land [tonnes C ha</w:t>
      </w:r>
      <w:r>
        <w:rPr>
          <w:vertAlign w:val="superscript"/>
        </w:rPr>
        <w:t>-1</w:t>
      </w:r>
      <w:r>
        <w:rPr>
          <w:vertAlign w:val="baseline"/>
        </w:rPr>
        <w:t> yr</w:t>
      </w:r>
      <w:r>
        <w:rPr>
          <w:vertAlign w:val="superscript"/>
        </w:rPr>
        <w:t>-1</w:t>
      </w:r>
      <w:r>
        <w:rPr>
          <w:vertAlign w:val="baseline"/>
        </w:rPr>
        <w:t>], as discussed under emission factors for organic soils in Section 3.2.1.3.1.2. Default values are provided in Table 3.2.3.</w:t>
      </w:r>
    </w:p>
    <w:p>
      <w:pPr>
        <w:pStyle w:val="BodyText"/>
        <w:spacing w:before="3"/>
        <w:rPr>
          <w:sz w:val="21"/>
        </w:rPr>
      </w:pPr>
    </w:p>
    <w:p>
      <w:pPr>
        <w:pStyle w:val="Heading6"/>
        <w:numPr>
          <w:ilvl w:val="5"/>
          <w:numId w:val="57"/>
        </w:numPr>
        <w:tabs>
          <w:tab w:pos="1661" w:val="left" w:leader="none"/>
        </w:tabs>
        <w:spacing w:line="240" w:lineRule="auto" w:before="0"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spacing w:line="228" w:lineRule="exact" w:before="178"/>
        <w:ind w:left="219" w:right="0" w:firstLine="0"/>
        <w:jc w:val="both"/>
        <w:rPr>
          <w:b/>
          <w:sz w:val="20"/>
        </w:rPr>
      </w:pPr>
      <w:r>
        <w:rPr>
          <w:b/>
          <w:sz w:val="20"/>
        </w:rPr>
        <w:t>MINERAL SOILS</w:t>
      </w:r>
    </w:p>
    <w:p>
      <w:pPr>
        <w:pStyle w:val="BodyText"/>
        <w:ind w:left="219" w:right="265"/>
        <w:jc w:val="both"/>
      </w:pPr>
      <w:r>
        <w:rPr/>
        <w:t>Activity data under Tier 1 consist of all croplands and grasslands converted to forests, either deliberately or as a result of abandonment, estimated consistent with the guidance in Chapter 2. Typical conversion patterns show plantation establishment on marginal agricultural lands, on abandoned degraded agricultural lands in marginally productive areas, or on agricultural land and abandoned lands for other reasons.</w:t>
      </w:r>
    </w:p>
    <w:p>
      <w:pPr>
        <w:pStyle w:val="BodyText"/>
        <w:spacing w:before="117"/>
        <w:ind w:left="219" w:right="263"/>
        <w:jc w:val="both"/>
      </w:pPr>
      <w:r>
        <w:rPr/>
        <w:t>Activity data under Tiers 2 and 3 consist of all lands converted to forest land, located according to the general climatic categories , and distinguished based on management intensity (extensive or intensive) and stand origin (natural or artificial forest establishment).</w:t>
      </w:r>
    </w:p>
    <w:p>
      <w:pPr>
        <w:pStyle w:val="BodyText"/>
        <w:spacing w:before="122"/>
        <w:ind w:left="219" w:right="264"/>
        <w:jc w:val="both"/>
      </w:pPr>
      <w:r>
        <w:rPr/>
        <w:t>Under all tiers, new forests should remain in the conversion category for the duration of the transition period (default = 20 years), and subsequently included in forest land remaining forest land. Assessment of changes in forest SOC is greatly facilitated if the land-use change information can be used in conjunction with national soil and climate data, vegetation inventories, and other geophysical data, and long term soil carbon dynamics may need tracking in the forest land remaining forest land category after transferred at the end of the transition period.</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2"/>
        <w:jc w:val="both"/>
      </w:pPr>
      <w:r>
        <w:rPr>
          <w:spacing w:val="-4"/>
        </w:rPr>
        <w:t>Data sources will vary according </w:t>
      </w:r>
      <w:r>
        <w:rPr>
          <w:spacing w:val="-3"/>
        </w:rPr>
        <w:t>to </w:t>
      </w:r>
      <w:r>
        <w:rPr/>
        <w:t>a </w:t>
      </w:r>
      <w:r>
        <w:rPr>
          <w:spacing w:val="-4"/>
        </w:rPr>
        <w:t>country’s land management systems, </w:t>
      </w:r>
      <w:r>
        <w:rPr>
          <w:spacing w:val="-3"/>
        </w:rPr>
        <w:t>from </w:t>
      </w:r>
      <w:r>
        <w:rPr>
          <w:spacing w:val="-4"/>
        </w:rPr>
        <w:t>individual contractors </w:t>
      </w:r>
      <w:r>
        <w:rPr/>
        <w:t>or </w:t>
      </w:r>
      <w:r>
        <w:rPr>
          <w:spacing w:val="-5"/>
        </w:rPr>
        <w:t>companies, </w:t>
      </w:r>
      <w:r>
        <w:rPr>
          <w:spacing w:val="-3"/>
        </w:rPr>
        <w:t>to </w:t>
      </w:r>
      <w:r>
        <w:rPr>
          <w:spacing w:val="-4"/>
        </w:rPr>
        <w:t>regulation bodies </w:t>
      </w:r>
      <w:r>
        <w:rPr>
          <w:spacing w:val="-3"/>
        </w:rPr>
        <w:t>and </w:t>
      </w:r>
      <w:r>
        <w:rPr>
          <w:spacing w:val="-4"/>
        </w:rPr>
        <w:t>government </w:t>
      </w:r>
      <w:r>
        <w:rPr>
          <w:spacing w:val="-3"/>
        </w:rPr>
        <w:t>agencies </w:t>
      </w:r>
      <w:r>
        <w:rPr>
          <w:spacing w:val="-4"/>
        </w:rPr>
        <w:t>responsible </w:t>
      </w:r>
      <w:r>
        <w:rPr>
          <w:spacing w:val="-3"/>
        </w:rPr>
        <w:t>for </w:t>
      </w:r>
      <w:r>
        <w:rPr>
          <w:spacing w:val="-4"/>
        </w:rPr>
        <w:t>land use planning, inventory and management, </w:t>
      </w:r>
      <w:r>
        <w:rPr>
          <w:spacing w:val="-3"/>
        </w:rPr>
        <w:t>and </w:t>
      </w:r>
      <w:r>
        <w:rPr>
          <w:spacing w:val="-4"/>
        </w:rPr>
        <w:t>research institutions. </w:t>
      </w:r>
      <w:r>
        <w:rPr>
          <w:spacing w:val="-3"/>
        </w:rPr>
        <w:t>Data </w:t>
      </w:r>
      <w:r>
        <w:rPr>
          <w:spacing w:val="-4"/>
        </w:rPr>
        <w:t>formats include, </w:t>
      </w:r>
      <w:r>
        <w:rPr>
          <w:spacing w:val="-3"/>
        </w:rPr>
        <w:t>among </w:t>
      </w:r>
      <w:r>
        <w:rPr>
          <w:spacing w:val="-4"/>
        </w:rPr>
        <w:t>others, activity reports submitted regularly within incentive programs </w:t>
      </w:r>
      <w:r>
        <w:rPr/>
        <w:t>or as </w:t>
      </w:r>
      <w:r>
        <w:rPr>
          <w:spacing w:val="-4"/>
        </w:rPr>
        <w:t>required </w:t>
      </w:r>
      <w:r>
        <w:rPr/>
        <w:t>by </w:t>
      </w:r>
      <w:r>
        <w:rPr>
          <w:spacing w:val="-4"/>
        </w:rPr>
        <w:t>regulations, forest management inventories </w:t>
      </w:r>
      <w:r>
        <w:rPr>
          <w:spacing w:val="-3"/>
        </w:rPr>
        <w:t>and </w:t>
      </w:r>
      <w:r>
        <w:rPr>
          <w:spacing w:val="-4"/>
        </w:rPr>
        <w:t>remotely sensed imagery.</w:t>
      </w:r>
    </w:p>
    <w:p>
      <w:pPr>
        <w:pStyle w:val="BodyText"/>
        <w:spacing w:before="5"/>
        <w:rPr>
          <w:sz w:val="21"/>
        </w:rPr>
      </w:pPr>
    </w:p>
    <w:p>
      <w:pPr>
        <w:spacing w:line="228" w:lineRule="exact" w:before="0"/>
        <w:ind w:left="219" w:right="0" w:firstLine="0"/>
        <w:jc w:val="both"/>
        <w:rPr>
          <w:b/>
          <w:sz w:val="20"/>
        </w:rPr>
      </w:pPr>
      <w:r>
        <w:rPr>
          <w:b/>
          <w:sz w:val="20"/>
        </w:rPr>
        <w:t>ORGANIC SOILS</w:t>
      </w:r>
    </w:p>
    <w:p>
      <w:pPr>
        <w:pStyle w:val="BodyText"/>
        <w:ind w:left="219" w:right="262"/>
        <w:jc w:val="both"/>
      </w:pPr>
      <w:r>
        <w:rPr/>
        <w:t>The activity data consists of A</w:t>
      </w:r>
      <w:r>
        <w:rPr>
          <w:vertAlign w:val="subscript"/>
        </w:rPr>
        <w:t>Drained</w:t>
      </w:r>
      <w:r>
        <w:rPr>
          <w:vertAlign w:val="baseline"/>
        </w:rPr>
        <w:t> </w:t>
      </w:r>
      <w:r>
        <w:rPr>
          <w:vertAlign w:val="subscript"/>
        </w:rPr>
        <w:t>Aff</w:t>
      </w:r>
      <w:r>
        <w:rPr>
          <w:vertAlign w:val="baseline"/>
        </w:rPr>
        <w:t> , the area of drained organic soils converted to new forests. When organic soils are drained for the purpose of afforesting the land, records will probably document the extent and location of drainage activities in preparation for forest establishment. This may not be the case for the conversion of previously drained soil, for which only the land conversion areas may be available. Additional surveys may be needed, using the advice in Chapter 2 taking into account any need to adjust areas ascribed to previous land uses to maintain consistent land area representation.</w:t>
      </w:r>
    </w:p>
    <w:p>
      <w:pPr>
        <w:pStyle w:val="BodyText"/>
        <w:spacing w:before="11"/>
      </w:pPr>
    </w:p>
    <w:p>
      <w:pPr>
        <w:pStyle w:val="Heading6"/>
        <w:numPr>
          <w:ilvl w:val="5"/>
          <w:numId w:val="57"/>
        </w:numPr>
        <w:tabs>
          <w:tab w:pos="1662" w:val="left" w:leader="none"/>
        </w:tabs>
        <w:spacing w:line="240" w:lineRule="auto" w:before="0" w:after="0"/>
        <w:ind w:left="1661" w:right="0" w:hanging="1442"/>
        <w:jc w:val="both"/>
      </w:pPr>
      <w:r>
        <w:rPr/>
        <w:t>4 </w:t>
      </w:r>
      <w:r>
        <w:rPr>
          <w:spacing w:val="17"/>
        </w:rPr>
        <w:t>Uncertainty</w:t>
      </w:r>
      <w:r>
        <w:rPr>
          <w:spacing w:val="18"/>
        </w:rPr>
        <w:t> </w:t>
      </w:r>
      <w:r>
        <w:rPr>
          <w:spacing w:val="19"/>
        </w:rPr>
        <w:t>Assessment</w:t>
      </w:r>
    </w:p>
    <w:p>
      <w:pPr>
        <w:pStyle w:val="BodyText"/>
        <w:spacing w:before="56"/>
        <w:ind w:left="219" w:right="263"/>
        <w:jc w:val="both"/>
      </w:pPr>
      <w:r>
        <w:rPr/>
        <w:t>Uncertainties in soil organic carbon data are basically the same in lands converted to forest land and in forest land remaining forest land (Section 3.2.1.3.1.4). An additional source of uncertainty is associated with the varying evidence on the effect of land conversion to forest land on the soil organic carbon (SOC): the direction and rate of changes in SOC depend on the initial soil conditions at the time of conversion, and the soil's potential for accumulating organic carbon. Unless there is contrary evidence, countries should assume a 30% uncertainty on soil initial</w:t>
      </w:r>
      <w:r>
        <w:rPr>
          <w:spacing w:val="-2"/>
        </w:rPr>
        <w:t> </w:t>
      </w:r>
      <w:r>
        <w:rPr/>
        <w:t>conditions.</w:t>
      </w:r>
    </w:p>
    <w:p>
      <w:pPr>
        <w:pStyle w:val="BodyText"/>
        <w:rPr>
          <w:sz w:val="22"/>
        </w:rPr>
      </w:pPr>
    </w:p>
    <w:p>
      <w:pPr>
        <w:pStyle w:val="Heading6"/>
        <w:numPr>
          <w:ilvl w:val="3"/>
          <w:numId w:val="57"/>
        </w:numPr>
        <w:tabs>
          <w:tab w:pos="1667" w:val="left" w:leader="none"/>
        </w:tabs>
        <w:spacing w:line="240" w:lineRule="auto" w:before="148" w:after="0"/>
        <w:ind w:left="1666" w:right="0" w:hanging="1447"/>
        <w:jc w:val="both"/>
        <w:rPr>
          <w:sz w:val="28"/>
        </w:rPr>
      </w:pPr>
      <w:r>
        <w:rPr>
          <w:spacing w:val="16"/>
          <w:sz w:val="28"/>
        </w:rPr>
        <w:t>N</w:t>
      </w:r>
      <w:r>
        <w:rPr>
          <w:spacing w:val="16"/>
        </w:rPr>
        <w:t>ON</w:t>
      </w:r>
      <w:r>
        <w:rPr>
          <w:spacing w:val="16"/>
          <w:sz w:val="28"/>
        </w:rPr>
        <w:t>-CO</w:t>
      </w:r>
      <w:r>
        <w:rPr>
          <w:spacing w:val="16"/>
          <w:sz w:val="28"/>
          <w:vertAlign w:val="subscript"/>
        </w:rPr>
        <w:t>2</w:t>
      </w:r>
      <w:r>
        <w:rPr>
          <w:spacing w:val="16"/>
          <w:sz w:val="28"/>
          <w:vertAlign w:val="baseline"/>
        </w:rPr>
        <w:t> </w:t>
      </w:r>
      <w:r>
        <w:rPr>
          <w:spacing w:val="17"/>
          <w:vertAlign w:val="baseline"/>
        </w:rPr>
        <w:t>GREENHOUSE </w:t>
      </w:r>
      <w:r>
        <w:rPr>
          <w:spacing w:val="12"/>
          <w:vertAlign w:val="baseline"/>
        </w:rPr>
        <w:t>GAS</w:t>
      </w:r>
      <w:r>
        <w:rPr>
          <w:spacing w:val="-1"/>
          <w:vertAlign w:val="baseline"/>
        </w:rPr>
        <w:t> </w:t>
      </w:r>
      <w:r>
        <w:rPr>
          <w:spacing w:val="16"/>
          <w:vertAlign w:val="baseline"/>
        </w:rPr>
        <w:t>EMISSIONS</w:t>
      </w:r>
    </w:p>
    <w:p>
      <w:pPr>
        <w:pStyle w:val="BodyText"/>
        <w:spacing w:before="208"/>
        <w:ind w:left="219" w:right="265"/>
        <w:jc w:val="both"/>
      </w:pPr>
      <w:r>
        <w:rPr/>
        <w:t>Non-CO</w:t>
      </w:r>
      <w:r>
        <w:rPr>
          <w:vertAlign w:val="subscript"/>
        </w:rPr>
        <w:t>2</w:t>
      </w:r>
      <w:r>
        <w:rPr>
          <w:vertAlign w:val="baseline"/>
        </w:rPr>
        <w:t> gases from biomass burning are addressed in Section 3.2.1.4 (Greenhouse gas emissions from biomass burning).</w:t>
      </w:r>
    </w:p>
    <w:p>
      <w:pPr>
        <w:pStyle w:val="BodyText"/>
        <w:spacing w:before="121"/>
        <w:ind w:left="219" w:right="266"/>
        <w:jc w:val="both"/>
      </w:pPr>
      <w:r>
        <w:rPr/>
        <w:t>In general, land conversion from cropland, grassland, settlements and other land to forest land tends not to alter sources and removals of non-CO</w:t>
      </w:r>
      <w:r>
        <w:rPr>
          <w:vertAlign w:val="subscript"/>
        </w:rPr>
        <w:t>2</w:t>
      </w:r>
      <w:r>
        <w:rPr>
          <w:vertAlign w:val="baseline"/>
        </w:rPr>
        <w:t> gases from soil as compared to the sources and removals occurring under the preceding (cropland, grassland, settlements, other land) or new land use (forest land). This assumption may not always hold true, for instance, if a grassland is ploughed for afforestation. However, insufficient data exist to provide a default methodology. N</w:t>
      </w:r>
      <w:r>
        <w:rPr>
          <w:vertAlign w:val="subscript"/>
        </w:rPr>
        <w:t>2</w:t>
      </w:r>
      <w:r>
        <w:rPr>
          <w:vertAlign w:val="baseline"/>
        </w:rPr>
        <w:t>O emissions from management including fertilisation and drainage are addressed in Section 3.2.1.4 and Appendix 3a.2.</w:t>
      </w:r>
    </w:p>
    <w:p>
      <w:pPr>
        <w:pStyle w:val="BodyText"/>
        <w:spacing w:before="4"/>
        <w:rPr>
          <w:sz w:val="21"/>
        </w:rPr>
      </w:pPr>
    </w:p>
    <w:p>
      <w:pPr>
        <w:spacing w:line="228" w:lineRule="exact" w:before="0"/>
        <w:ind w:left="219" w:right="0" w:firstLine="0"/>
        <w:jc w:val="both"/>
        <w:rPr>
          <w:b/>
          <w:sz w:val="20"/>
        </w:rPr>
      </w:pPr>
      <w:r>
        <w:rPr>
          <w:b/>
          <w:sz w:val="20"/>
        </w:rPr>
        <w:t>NITROUS OXIDE</w:t>
      </w:r>
    </w:p>
    <w:p>
      <w:pPr>
        <w:pStyle w:val="BodyText"/>
        <w:ind w:left="219" w:right="266"/>
        <w:jc w:val="both"/>
      </w:pPr>
      <w:r>
        <w:rPr/>
        <w:t>Figure 3.1.2 provides the decision tree to select the respective tier for N</w:t>
      </w:r>
      <w:r>
        <w:rPr>
          <w:vertAlign w:val="subscript"/>
        </w:rPr>
        <w:t>2</w:t>
      </w:r>
      <w:r>
        <w:rPr>
          <w:vertAlign w:val="baseline"/>
        </w:rPr>
        <w:t>O emissions from land converted to forest land. If data are available, the key category analysis should be performed separately for each land conversion type (cropland to forest land, grassland to forest land, wetlands to forest land, settlements to forest land, other land to forest land).</w:t>
      </w:r>
    </w:p>
    <w:p>
      <w:pPr>
        <w:pStyle w:val="BodyText"/>
        <w:spacing w:before="117"/>
        <w:ind w:left="219" w:right="263" w:hanging="1"/>
        <w:jc w:val="both"/>
      </w:pPr>
      <w:r>
        <w:rPr/>
        <w:t>For </w:t>
      </w:r>
      <w:r>
        <w:rPr>
          <w:b/>
        </w:rPr>
        <w:t>all Tiers </w:t>
      </w:r>
      <w:r>
        <w:rPr/>
        <w:t>it is </w:t>
      </w:r>
      <w:r>
        <w:rPr>
          <w:i/>
        </w:rPr>
        <w:t>good practice </w:t>
      </w:r>
      <w:r>
        <w:rPr/>
        <w:t>to estimate N</w:t>
      </w:r>
      <w:r>
        <w:rPr>
          <w:vertAlign w:val="subscript"/>
        </w:rPr>
        <w:t>2</w:t>
      </w:r>
      <w:r>
        <w:rPr>
          <w:vertAlign w:val="baseline"/>
        </w:rPr>
        <w:t>O emissions from direct application of nitrogen to lands in the conversion to forest land category using the same methods described in Section 3.2.1.4.1 for forest land remaining forest land, remembering to avoid double counting with forest land remaining forest land, or agriculture. If applications data cannot realistically be disaggregated below the forest land remaining forest land or even the agriculture level emissions should be lumped into the parent category, to avoid double counting. In addition the following points apply:</w:t>
      </w:r>
    </w:p>
    <w:p>
      <w:pPr>
        <w:pStyle w:val="BodyText"/>
        <w:spacing w:before="120"/>
        <w:ind w:left="219" w:right="266"/>
        <w:jc w:val="both"/>
      </w:pPr>
      <w:r>
        <w:rPr>
          <w:b/>
        </w:rPr>
        <w:t>Tier 1: </w:t>
      </w:r>
      <w:r>
        <w:rPr/>
        <w:t>It is assumed that the conversion to forest land does not lead to soil carbon losses. Based  on the argument set out in Section 3.3.2.3 (Non-CO</w:t>
      </w:r>
      <w:r>
        <w:rPr>
          <w:vertAlign w:val="subscript"/>
        </w:rPr>
        <w:t>2</w:t>
      </w:r>
      <w:r>
        <w:rPr>
          <w:vertAlign w:val="baseline"/>
        </w:rPr>
        <w:t> emissions from conversion to cropland), N</w:t>
      </w:r>
      <w:r>
        <w:rPr>
          <w:vertAlign w:val="subscript"/>
        </w:rPr>
        <w:t>2</w:t>
      </w:r>
      <w:r>
        <w:rPr>
          <w:vertAlign w:val="baseline"/>
        </w:rPr>
        <w:t>O emissions from soil carbon mineralisation are also assumed to be zero. Lagged N</w:t>
      </w:r>
      <w:r>
        <w:rPr>
          <w:vertAlign w:val="subscript"/>
        </w:rPr>
        <w:t>2</w:t>
      </w:r>
      <w:r>
        <w:rPr>
          <w:vertAlign w:val="baseline"/>
        </w:rPr>
        <w:t>O emissions from nitrogen application during the preceding land use and new land use (managed forest) are implicitly calculated in the inventory and do not need to be reported separately, avoiding double</w:t>
      </w:r>
      <w:r>
        <w:rPr>
          <w:spacing w:val="1"/>
          <w:vertAlign w:val="baseline"/>
        </w:rPr>
        <w:t> </w:t>
      </w:r>
      <w:r>
        <w:rPr>
          <w:vertAlign w:val="baseline"/>
        </w:rPr>
        <w:t>counting.</w:t>
      </w:r>
    </w:p>
    <w:p>
      <w:pPr>
        <w:pStyle w:val="BodyText"/>
        <w:spacing w:before="120"/>
        <w:ind w:left="219" w:right="265"/>
        <w:jc w:val="both"/>
      </w:pPr>
      <w:r>
        <w:rPr>
          <w:b/>
        </w:rPr>
        <w:t>Tier 2: </w:t>
      </w:r>
      <w:r>
        <w:rPr/>
        <w:t>Countries with repeated soil carbon inventories are encouraged to check the assumption that the conversion to forest land does not lead to soil carbon losses. If soil carbon losses can be documented, e.g. from the afforestation of grassland, then N</w:t>
      </w:r>
      <w:r>
        <w:rPr>
          <w:vertAlign w:val="subscript"/>
        </w:rPr>
        <w:t>2</w:t>
      </w:r>
      <w:r>
        <w:rPr>
          <w:vertAlign w:val="baseline"/>
        </w:rPr>
        <w:t>O emissions are reported using the same tiers and methodologies as for the conversion to cropland (Section 3.3.2.3, Non-CO</w:t>
      </w:r>
      <w:r>
        <w:rPr>
          <w:vertAlign w:val="subscript"/>
        </w:rPr>
        <w:t>2</w:t>
      </w:r>
      <w:r>
        <w:rPr>
          <w:vertAlign w:val="baseline"/>
        </w:rPr>
        <w:t> emissions from conversion to cropland). Lagged N</w:t>
      </w:r>
      <w:r>
        <w:rPr>
          <w:vertAlign w:val="subscript"/>
        </w:rPr>
        <w:t>2</w:t>
      </w:r>
      <w:r>
        <w:rPr>
          <w:vertAlign w:val="baseline"/>
        </w:rPr>
        <w:t>O emissions from nitrogen application during the preceding land use are implicitly calculated in the inventory and do not need to be reported separately, avoiding double counting. At present, there is no adequate information to estimate the effect of carbon accumulation in soil on N</w:t>
      </w:r>
      <w:r>
        <w:rPr>
          <w:vertAlign w:val="subscript"/>
        </w:rPr>
        <w:t>2</w:t>
      </w:r>
      <w:r>
        <w:rPr>
          <w:vertAlign w:val="baseline"/>
        </w:rPr>
        <w:t>O emissions.</w:t>
      </w:r>
    </w:p>
    <w:p>
      <w:pPr>
        <w:pStyle w:val="BodyText"/>
        <w:spacing w:before="120"/>
        <w:ind w:left="219" w:right="265"/>
        <w:jc w:val="both"/>
      </w:pPr>
      <w:r>
        <w:rPr>
          <w:b/>
        </w:rPr>
        <w:t>Tier 3: </w:t>
      </w:r>
      <w:r>
        <w:rPr/>
        <w:t>For countries reporting N</w:t>
      </w:r>
      <w:r>
        <w:rPr>
          <w:vertAlign w:val="subscript"/>
        </w:rPr>
        <w:t>2</w:t>
      </w:r>
      <w:r>
        <w:rPr>
          <w:vertAlign w:val="baseline"/>
        </w:rPr>
        <w:t>O emissions on a spatially explicit basis it is </w:t>
      </w:r>
      <w:r>
        <w:rPr>
          <w:i/>
          <w:vertAlign w:val="baseline"/>
        </w:rPr>
        <w:t>good practice </w:t>
      </w:r>
      <w:r>
        <w:rPr>
          <w:vertAlign w:val="baseline"/>
        </w:rPr>
        <w:t>to apply the same detailed models as for lands remaining forest land, taking account of the interactions identified for Tier 1 and Tier 2</w:t>
      </w:r>
      <w:r>
        <w:rPr>
          <w:spacing w:val="-2"/>
          <w:vertAlign w:val="baseline"/>
        </w:rPr>
        <w:t> </w:t>
      </w:r>
      <w:r>
        <w:rPr>
          <w:vertAlign w:val="baseline"/>
        </w:rPr>
        <w:t>above.</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7"/>
        <w:jc w:val="both"/>
      </w:pPr>
      <w:r>
        <w:rPr/>
        <w:t>The conversion of organic soils to forest land releases N</w:t>
      </w:r>
      <w:r>
        <w:rPr>
          <w:vertAlign w:val="subscript"/>
        </w:rPr>
        <w:t>2</w:t>
      </w:r>
      <w:r>
        <w:rPr>
          <w:vertAlign w:val="baseline"/>
        </w:rPr>
        <w:t>O in cases where the wetlands, especially organic soils, are drained. It is </w:t>
      </w:r>
      <w:r>
        <w:rPr>
          <w:i/>
          <w:vertAlign w:val="baseline"/>
        </w:rPr>
        <w:t>good practice </w:t>
      </w:r>
      <w:r>
        <w:rPr>
          <w:vertAlign w:val="baseline"/>
        </w:rPr>
        <w:t>to report N</w:t>
      </w:r>
      <w:r>
        <w:rPr>
          <w:vertAlign w:val="subscript"/>
        </w:rPr>
        <w:t>2</w:t>
      </w:r>
      <w:r>
        <w:rPr>
          <w:vertAlign w:val="baseline"/>
        </w:rPr>
        <w:t>O emissions from drainage of organic soils for conversion to forest land with the same tiers and methodology as N</w:t>
      </w:r>
      <w:r>
        <w:rPr>
          <w:vertAlign w:val="subscript"/>
        </w:rPr>
        <w:t>2</w:t>
      </w:r>
      <w:r>
        <w:rPr>
          <w:vertAlign w:val="baseline"/>
        </w:rPr>
        <w:t>O emissions from drained organic soils under forest land (Appendix 3a.2), assuring consistency.</w:t>
      </w:r>
    </w:p>
    <w:p>
      <w:pPr>
        <w:pStyle w:val="BodyText"/>
        <w:rPr>
          <w:sz w:val="22"/>
        </w:rPr>
      </w:pPr>
    </w:p>
    <w:p>
      <w:pPr>
        <w:pStyle w:val="BodyText"/>
        <w:spacing w:before="4"/>
      </w:pPr>
    </w:p>
    <w:p>
      <w:pPr>
        <w:pStyle w:val="Heading2"/>
        <w:numPr>
          <w:ilvl w:val="2"/>
          <w:numId w:val="58"/>
        </w:numPr>
        <w:tabs>
          <w:tab w:pos="1422" w:val="left" w:leader="none"/>
        </w:tabs>
        <w:spacing w:line="240" w:lineRule="auto" w:before="0" w:after="0"/>
        <w:ind w:left="1421" w:right="0" w:hanging="1202"/>
        <w:jc w:val="both"/>
      </w:pPr>
      <w:r>
        <w:rPr>
          <w:spacing w:val="9"/>
        </w:rPr>
        <w:t>Completeness</w:t>
      </w:r>
    </w:p>
    <w:p>
      <w:pPr>
        <w:pStyle w:val="BodyText"/>
        <w:spacing w:before="114"/>
        <w:ind w:left="219" w:right="268"/>
        <w:jc w:val="both"/>
        <w:rPr>
          <w:i/>
        </w:rPr>
      </w:pPr>
      <w:r>
        <w:rPr/>
        <w:t>Completeness is a requirement for inventory Quality Assurance and (QA) and Quality Control (QC), as outlined in Chapter 5.5, and is defined, in the way set out in Chapter 1, by the coverage of the </w:t>
      </w:r>
      <w:r>
        <w:rPr>
          <w:i/>
        </w:rPr>
        <w:t>IPCC Guidelines.</w:t>
      </w:r>
    </w:p>
    <w:p>
      <w:pPr>
        <w:pStyle w:val="BodyText"/>
        <w:spacing w:before="121"/>
        <w:ind w:left="219" w:right="262"/>
        <w:jc w:val="both"/>
      </w:pPr>
      <w:r>
        <w:rPr/>
        <w:t>This </w:t>
      </w:r>
      <w:r>
        <w:rPr>
          <w:i/>
        </w:rPr>
        <w:t>Guidance </w:t>
      </w:r>
      <w:r>
        <w:rPr/>
        <w:t>includes specific advice for all losses on managed forest areas (needed for the proper operation of the methodology), which, at higher tiers, extends to all pools, rather than just aboveground biomass. CO</w:t>
      </w:r>
      <w:r>
        <w:rPr>
          <w:vertAlign w:val="subscript"/>
        </w:rPr>
        <w:t>2</w:t>
      </w:r>
      <w:r>
        <w:rPr>
          <w:vertAlign w:val="baseline"/>
        </w:rPr>
        <w:t> and non-CO</w:t>
      </w:r>
      <w:r>
        <w:rPr>
          <w:vertAlign w:val="subscript"/>
        </w:rPr>
        <w:t>2</w:t>
      </w:r>
      <w:r>
        <w:rPr>
          <w:vertAlign w:val="baseline"/>
        </w:rPr>
        <w:t> emissions from fires and direct fertiliser application are included at all tiers and Appendix 3a.2  provides advice on nitrous oxide from drained organic soils. </w:t>
      </w:r>
      <w:r>
        <w:rPr>
          <w:i/>
          <w:vertAlign w:val="baseline"/>
        </w:rPr>
        <w:t>Good practice guidance </w:t>
      </w:r>
      <w:r>
        <w:rPr>
          <w:vertAlign w:val="baseline"/>
        </w:rPr>
        <w:t>on liming of forest soils is identical with the guidance in the </w:t>
      </w:r>
      <w:r>
        <w:rPr>
          <w:i/>
          <w:vertAlign w:val="baseline"/>
        </w:rPr>
        <w:t>IPCC Guidelines </w:t>
      </w:r>
      <w:r>
        <w:rPr>
          <w:vertAlign w:val="baseline"/>
        </w:rPr>
        <w:t>and has not been elaborated further, although more detailed methods are described in Chapter 4.</w:t>
      </w:r>
    </w:p>
    <w:p>
      <w:pPr>
        <w:pStyle w:val="BodyText"/>
        <w:rPr>
          <w:sz w:val="22"/>
        </w:rPr>
      </w:pPr>
    </w:p>
    <w:p>
      <w:pPr>
        <w:pStyle w:val="BodyText"/>
        <w:spacing w:before="2"/>
      </w:pPr>
    </w:p>
    <w:p>
      <w:pPr>
        <w:pStyle w:val="Heading2"/>
        <w:numPr>
          <w:ilvl w:val="2"/>
          <w:numId w:val="58"/>
        </w:numPr>
        <w:tabs>
          <w:tab w:pos="1422" w:val="left" w:leader="none"/>
        </w:tabs>
        <w:spacing w:line="240" w:lineRule="auto" w:before="1" w:after="0"/>
        <w:ind w:left="1421" w:right="0" w:hanging="1202"/>
        <w:jc w:val="both"/>
      </w:pPr>
      <w:r>
        <w:rPr>
          <w:spacing w:val="8"/>
        </w:rPr>
        <w:t>Developing </w:t>
      </w:r>
      <w:r>
        <w:rPr/>
        <w:t>a </w:t>
      </w:r>
      <w:r>
        <w:rPr>
          <w:spacing w:val="8"/>
        </w:rPr>
        <w:t>Consistent </w:t>
      </w:r>
      <w:r>
        <w:rPr>
          <w:spacing w:val="7"/>
        </w:rPr>
        <w:t>Time</w:t>
      </w:r>
      <w:r>
        <w:rPr>
          <w:spacing w:val="64"/>
        </w:rPr>
        <w:t> </w:t>
      </w:r>
      <w:r>
        <w:rPr>
          <w:spacing w:val="9"/>
        </w:rPr>
        <w:t>Series</w:t>
      </w:r>
    </w:p>
    <w:p>
      <w:pPr>
        <w:pStyle w:val="BodyText"/>
        <w:spacing w:before="113"/>
        <w:ind w:left="219" w:right="261"/>
        <w:jc w:val="both"/>
      </w:pPr>
      <w:r>
        <w:rPr/>
        <w:t>It is </w:t>
      </w:r>
      <w:r>
        <w:rPr>
          <w:i/>
        </w:rPr>
        <w:t>good practice </w:t>
      </w:r>
      <w:r>
        <w:rPr/>
        <w:t>to develop a consistent time series of inventories of anthropogenic emissions and removals of GHGs in all LULUCF categories, using the guidance in Section 5.6 (Time series consistency and recalculations). Because activity data may only be available every few years, achieving time series consistency may require interpolation or extrapolation from longer time series or trends, possibly using information on changes in forest policies and incentive schemes where drivers are needed.</w:t>
      </w:r>
    </w:p>
    <w:p>
      <w:pPr>
        <w:pStyle w:val="BodyText"/>
        <w:spacing w:before="120"/>
        <w:ind w:left="219" w:right="266"/>
        <w:jc w:val="both"/>
      </w:pPr>
      <w:r>
        <w:rPr/>
        <w:t>To estimate emissions and removals of GHGs, whether by Tier 1, 2 or 3, ideally the same protocol (sampling strategy, method, etc.) should be applied consistently to every year in the time series, at the same level of disaggregation, and, where country-specific data are used, it is </w:t>
      </w:r>
      <w:r>
        <w:rPr>
          <w:i/>
        </w:rPr>
        <w:t>good practice </w:t>
      </w:r>
      <w:r>
        <w:rPr/>
        <w:t>to use the same coefficients methods for equivalent calculations at all points in the time series.</w:t>
      </w:r>
    </w:p>
    <w:p>
      <w:pPr>
        <w:pStyle w:val="BodyText"/>
        <w:spacing w:before="119"/>
        <w:ind w:left="219" w:right="264"/>
        <w:jc w:val="both"/>
      </w:pPr>
      <w:r>
        <w:rPr/>
        <w:t>However, as inventory capacity and information and data sources availability improve over time, new sources and sinks categories are included, or moving to higher tier, the methods and data used to calculate estimates can be updated and refined. In these circumstances, consistent recalculation of historical emissions and removals is a </w:t>
      </w:r>
      <w:r>
        <w:rPr>
          <w:i/>
        </w:rPr>
        <w:t>good practice </w:t>
      </w:r>
      <w:r>
        <w:rPr/>
        <w:t>(see Section 5.6.3, Recalculation of periodic data). In some cases, if some historical data are missing, then they may need to be estimated from other data sources.</w:t>
      </w:r>
    </w:p>
    <w:p>
      <w:pPr>
        <w:pStyle w:val="BodyText"/>
        <w:spacing w:before="122"/>
        <w:ind w:left="219" w:right="266"/>
        <w:jc w:val="both"/>
      </w:pPr>
      <w:r>
        <w:rPr/>
        <w:t>Consistent accounting over time of land areas included in the soil C emissions/sinks inventory requires that activity data for all land-use categories be stratified by a common definition of climate and soil types. Thus areas subject to land-use change will be lost or double-counted due to accounting errors resulting from inconsistent definitions for climate and soil strata within other land-use categories. Consistent definition of each of the management systems included in the inventory is required.</w:t>
      </w:r>
    </w:p>
    <w:p>
      <w:pPr>
        <w:pStyle w:val="BodyText"/>
        <w:spacing w:before="120"/>
        <w:ind w:left="219" w:right="265"/>
        <w:jc w:val="both"/>
      </w:pPr>
      <w:r>
        <w:rPr/>
        <w:t>The level of knowledge and detail of emission estimates for soils will also improve over time, necessitating recalculation of historic inventories to take account of new data and/or methods, so that activity data are stratified by common definitions of new forest types, management practices and disturbance</w:t>
      </w:r>
      <w:r>
        <w:rPr>
          <w:spacing w:val="-13"/>
        </w:rPr>
        <w:t> </w:t>
      </w:r>
      <w:r>
        <w:rPr/>
        <w:t>regimes.</w:t>
      </w:r>
    </w:p>
    <w:p>
      <w:pPr>
        <w:pStyle w:val="BodyText"/>
        <w:spacing w:before="119"/>
        <w:ind w:left="219" w:right="269"/>
        <w:jc w:val="both"/>
      </w:pPr>
      <w:r>
        <w:rPr/>
        <w:t>Often, changes in forest soils cannot be detected at time scale finer than a decade; it will be necessary to interpolate between measurements in order to obtain annual estimates of emissions and removals.</w:t>
      </w:r>
    </w:p>
    <w:p>
      <w:pPr>
        <w:pStyle w:val="BodyText"/>
        <w:spacing w:before="121"/>
        <w:ind w:left="219" w:right="264"/>
        <w:jc w:val="both"/>
      </w:pPr>
      <w:r>
        <w:rPr/>
        <w:t>Changes</w:t>
      </w:r>
      <w:r>
        <w:rPr>
          <w:spacing w:val="-12"/>
        </w:rPr>
        <w:t> </w:t>
      </w:r>
      <w:r>
        <w:rPr/>
        <w:t>in</w:t>
      </w:r>
      <w:r>
        <w:rPr>
          <w:spacing w:val="-10"/>
        </w:rPr>
        <w:t> </w:t>
      </w:r>
      <w:r>
        <w:rPr>
          <w:spacing w:val="-3"/>
        </w:rPr>
        <w:t>forest</w:t>
      </w:r>
      <w:r>
        <w:rPr>
          <w:spacing w:val="-12"/>
        </w:rPr>
        <w:t> </w:t>
      </w:r>
      <w:r>
        <w:rPr/>
        <w:t>types,</w:t>
      </w:r>
      <w:r>
        <w:rPr>
          <w:spacing w:val="-11"/>
        </w:rPr>
        <w:t> </w:t>
      </w:r>
      <w:r>
        <w:rPr/>
        <w:t>practices</w:t>
      </w:r>
      <w:r>
        <w:rPr>
          <w:spacing w:val="-12"/>
        </w:rPr>
        <w:t> </w:t>
      </w:r>
      <w:r>
        <w:rPr/>
        <w:t>and</w:t>
      </w:r>
      <w:r>
        <w:rPr>
          <w:spacing w:val="-11"/>
        </w:rPr>
        <w:t> </w:t>
      </w:r>
      <w:r>
        <w:rPr/>
        <w:t>disturbances</w:t>
      </w:r>
      <w:r>
        <w:rPr>
          <w:spacing w:val="-12"/>
        </w:rPr>
        <w:t> </w:t>
      </w:r>
      <w:r>
        <w:rPr/>
        <w:t>need</w:t>
      </w:r>
      <w:r>
        <w:rPr>
          <w:spacing w:val="-11"/>
        </w:rPr>
        <w:t> </w:t>
      </w:r>
      <w:r>
        <w:rPr/>
        <w:t>to</w:t>
      </w:r>
      <w:r>
        <w:rPr>
          <w:spacing w:val="-10"/>
        </w:rPr>
        <w:t> </w:t>
      </w:r>
      <w:r>
        <w:rPr/>
        <w:t>be</w:t>
      </w:r>
      <w:r>
        <w:rPr>
          <w:spacing w:val="-11"/>
        </w:rPr>
        <w:t> </w:t>
      </w:r>
      <w:r>
        <w:rPr>
          <w:spacing w:val="-3"/>
        </w:rPr>
        <w:t>tracked</w:t>
      </w:r>
      <w:r>
        <w:rPr>
          <w:spacing w:val="-8"/>
        </w:rPr>
        <w:t> </w:t>
      </w:r>
      <w:r>
        <w:rPr>
          <w:spacing w:val="-2"/>
        </w:rPr>
        <w:t>for</w:t>
      </w:r>
      <w:r>
        <w:rPr>
          <w:spacing w:val="-11"/>
        </w:rPr>
        <w:t> </w:t>
      </w:r>
      <w:r>
        <w:rPr/>
        <w:t>long</w:t>
      </w:r>
      <w:r>
        <w:rPr>
          <w:spacing w:val="-13"/>
        </w:rPr>
        <w:t> </w:t>
      </w:r>
      <w:r>
        <w:rPr/>
        <w:t>time</w:t>
      </w:r>
      <w:r>
        <w:rPr>
          <w:spacing w:val="-11"/>
        </w:rPr>
        <w:t> </w:t>
      </w:r>
      <w:r>
        <w:rPr/>
        <w:t>periods</w:t>
      </w:r>
      <w:r>
        <w:rPr>
          <w:spacing w:val="-12"/>
        </w:rPr>
        <w:t> </w:t>
      </w:r>
      <w:r>
        <w:rPr/>
        <w:t>determined</w:t>
      </w:r>
      <w:r>
        <w:rPr>
          <w:spacing w:val="-11"/>
        </w:rPr>
        <w:t> </w:t>
      </w:r>
      <w:r>
        <w:rPr>
          <w:spacing w:val="-2"/>
        </w:rPr>
        <w:t>for</w:t>
      </w:r>
      <w:r>
        <w:rPr>
          <w:spacing w:val="-11"/>
        </w:rPr>
        <w:t> </w:t>
      </w:r>
      <w:r>
        <w:rPr/>
        <w:t>example by </w:t>
      </w:r>
      <w:r>
        <w:rPr>
          <w:spacing w:val="-3"/>
        </w:rPr>
        <w:t>soil </w:t>
      </w:r>
      <w:r>
        <w:rPr/>
        <w:t>carbon dynamics or </w:t>
      </w:r>
      <w:r>
        <w:rPr>
          <w:spacing w:val="-3"/>
        </w:rPr>
        <w:t>forest </w:t>
      </w:r>
      <w:r>
        <w:rPr/>
        <w:t>rotation periods where </w:t>
      </w:r>
      <w:r>
        <w:rPr>
          <w:spacing w:val="-3"/>
        </w:rPr>
        <w:t>these </w:t>
      </w:r>
      <w:r>
        <w:rPr/>
        <w:t>are specifically tracked in </w:t>
      </w:r>
      <w:r>
        <w:rPr>
          <w:spacing w:val="-3"/>
        </w:rPr>
        <w:t>detailed </w:t>
      </w:r>
      <w:r>
        <w:rPr/>
        <w:t>model </w:t>
      </w:r>
      <w:r>
        <w:rPr>
          <w:spacing w:val="-3"/>
        </w:rPr>
        <w:t>calculations. </w:t>
      </w:r>
      <w:r>
        <w:rPr/>
        <w:t>Difficulties may </w:t>
      </w:r>
      <w:r>
        <w:rPr>
          <w:spacing w:val="-3"/>
        </w:rPr>
        <w:t>arise </w:t>
      </w:r>
      <w:r>
        <w:rPr/>
        <w:t>from lack of </w:t>
      </w:r>
      <w:r>
        <w:rPr>
          <w:spacing w:val="-3"/>
        </w:rPr>
        <w:t>historical </w:t>
      </w:r>
      <w:r>
        <w:rPr/>
        <w:t>data on </w:t>
      </w:r>
      <w:r>
        <w:rPr>
          <w:spacing w:val="-3"/>
        </w:rPr>
        <w:t>these activities </w:t>
      </w:r>
      <w:r>
        <w:rPr/>
        <w:t>or </w:t>
      </w:r>
      <w:r>
        <w:rPr>
          <w:spacing w:val="-3"/>
        </w:rPr>
        <w:t>events. </w:t>
      </w:r>
      <w:r>
        <w:rPr/>
        <w:t>Historical data (including </w:t>
      </w:r>
      <w:r>
        <w:rPr>
          <w:spacing w:val="-2"/>
        </w:rPr>
        <w:t>for </w:t>
      </w:r>
      <w:r>
        <w:rPr/>
        <w:t>non-CO</w:t>
      </w:r>
      <w:r>
        <w:rPr>
          <w:vertAlign w:val="subscript"/>
        </w:rPr>
        <w:t>2</w:t>
      </w:r>
      <w:r>
        <w:rPr>
          <w:vertAlign w:val="baseline"/>
        </w:rPr>
        <w:t> </w:t>
      </w:r>
      <w:r>
        <w:rPr>
          <w:spacing w:val="-2"/>
          <w:vertAlign w:val="baseline"/>
        </w:rPr>
        <w:t>emissions </w:t>
      </w:r>
      <w:r>
        <w:rPr>
          <w:vertAlign w:val="baseline"/>
        </w:rPr>
        <w:t>drained </w:t>
      </w:r>
      <w:r>
        <w:rPr>
          <w:spacing w:val="-2"/>
          <w:vertAlign w:val="baseline"/>
        </w:rPr>
        <w:t>and </w:t>
      </w:r>
      <w:r>
        <w:rPr>
          <w:vertAlign w:val="baseline"/>
        </w:rPr>
        <w:t>rewetted areas) will inevitably be of coarser resolution than recent data; some may have to be reconstructed, based on expert knowledge, which </w:t>
      </w:r>
      <w:r>
        <w:rPr>
          <w:spacing w:val="-3"/>
          <w:vertAlign w:val="baseline"/>
        </w:rPr>
        <w:t>should </w:t>
      </w:r>
      <w:r>
        <w:rPr>
          <w:vertAlign w:val="baseline"/>
        </w:rPr>
        <w:t>be documented as set out in </w:t>
      </w:r>
      <w:r>
        <w:rPr>
          <w:spacing w:val="-3"/>
          <w:vertAlign w:val="baseline"/>
        </w:rPr>
        <w:t>Chapter</w:t>
      </w:r>
      <w:r>
        <w:rPr>
          <w:spacing w:val="-4"/>
          <w:vertAlign w:val="baseline"/>
        </w:rPr>
        <w:t> </w:t>
      </w:r>
      <w:r>
        <w:rPr>
          <w:vertAlign w:val="baseline"/>
        </w:rPr>
        <w:t>5.</w:t>
      </w:r>
    </w:p>
    <w:p>
      <w:pPr>
        <w:pStyle w:val="BodyText"/>
        <w:rPr>
          <w:sz w:val="22"/>
        </w:rPr>
      </w:pPr>
    </w:p>
    <w:p>
      <w:pPr>
        <w:pStyle w:val="BodyText"/>
        <w:spacing w:before="2"/>
      </w:pPr>
    </w:p>
    <w:p>
      <w:pPr>
        <w:pStyle w:val="Heading2"/>
        <w:numPr>
          <w:ilvl w:val="2"/>
          <w:numId w:val="58"/>
        </w:numPr>
        <w:tabs>
          <w:tab w:pos="1422" w:val="left" w:leader="none"/>
        </w:tabs>
        <w:spacing w:line="240" w:lineRule="auto" w:before="0" w:after="0"/>
        <w:ind w:left="1421" w:right="0" w:hanging="1202"/>
        <w:jc w:val="both"/>
      </w:pPr>
      <w:r>
        <w:rPr>
          <w:spacing w:val="8"/>
        </w:rPr>
        <w:t>Reporting </w:t>
      </w:r>
      <w:r>
        <w:rPr>
          <w:spacing w:val="6"/>
        </w:rPr>
        <w:t>and</w:t>
      </w:r>
      <w:r>
        <w:rPr>
          <w:spacing w:val="31"/>
        </w:rPr>
        <w:t> </w:t>
      </w:r>
      <w:r>
        <w:rPr>
          <w:spacing w:val="9"/>
        </w:rPr>
        <w:t>Documentation</w:t>
      </w:r>
    </w:p>
    <w:p>
      <w:pPr>
        <w:pStyle w:val="BodyText"/>
        <w:spacing w:before="114"/>
        <w:ind w:left="219" w:right="266"/>
        <w:jc w:val="both"/>
      </w:pPr>
      <w:r>
        <w:rPr/>
        <w:t>The categories described in Section 3.2 can be reported using the reporting tables in Annex 3A.2. The general requirements for reporting and documentation are set out in Chapter 5 of this report and in general it is a </w:t>
      </w:r>
      <w:r>
        <w:rPr>
          <w:i/>
        </w:rPr>
        <w:t>good practice </w:t>
      </w:r>
      <w:r>
        <w:rPr/>
        <w:t>to archive and document all data and information (such as figures, statistics, sources of assumptions, modeling approaches, uncertainty analyses validation studies, inventory methods, research experiments,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6"/>
        <w:jc w:val="both"/>
      </w:pPr>
      <w:r>
        <w:rPr/>
        <w:t>measurements arising from field site studies, associated protocols, and other basis of basic data) applied to produce the national emissions/removals inventory. Elaborations on pool definition should be reported, and definitions relevant to determining the extent of the managed land included in the inventory, together with evidence that these definitions have been applied consistently over time.</w:t>
      </w:r>
    </w:p>
    <w:p>
      <w:pPr>
        <w:pStyle w:val="BodyText"/>
        <w:spacing w:before="122"/>
        <w:ind w:left="219" w:right="267"/>
        <w:jc w:val="both"/>
      </w:pPr>
      <w:r>
        <w:rPr/>
        <w:t>Documentation is also needed for demonstrating completeness, consistency of time series data and methods for interpolating between samples and methods for interpolating between samples and years, and for recalculating, and avoidance of double counting as well as for performing QA/QC.</w:t>
      </w:r>
    </w:p>
    <w:p>
      <w:pPr>
        <w:pStyle w:val="BodyText"/>
        <w:spacing w:before="119"/>
        <w:ind w:left="219" w:right="266"/>
        <w:jc w:val="both"/>
      </w:pPr>
      <w:r>
        <w:rPr/>
        <w:t>As Parties decide to progress through higher tier levels, whose calculation methods and data are not described in the </w:t>
      </w:r>
      <w:r>
        <w:rPr>
          <w:i/>
        </w:rPr>
        <w:t>IPCC Guidelines </w:t>
      </w:r>
      <w:r>
        <w:rPr/>
        <w:t>or characterised by more disaggregated approaches, additional documentation is required to support the use of more advanced and accurate methodologies, country-defined parameters, and high resolution maps and data sets. However, at all tier levels, explanation is needed for decisions regarding choice of methodology, coefficients, and activity data. The aim is to facilitate reconstruction of the estimates by independent third parties, but it may prove impractical to include all documentation necessary in the national inventory report. The inventory should therefore include summaries of approaches and methods used, and references to source of data such that the reported emissions estimates are transparent and steps adopted in their calculation may be retraced.</w:t>
      </w:r>
    </w:p>
    <w:p>
      <w:pPr>
        <w:pStyle w:val="BodyText"/>
        <w:spacing w:before="121"/>
        <w:ind w:left="219" w:right="261"/>
        <w:jc w:val="both"/>
      </w:pPr>
      <w:r>
        <w:rPr/>
        <w:t>Documentation is particularly important where the approach, calculation methods and data are not described in the </w:t>
      </w:r>
      <w:r>
        <w:rPr>
          <w:i/>
        </w:rPr>
        <w:t>IPCC Guidelines</w:t>
      </w:r>
      <w:r>
        <w:rPr/>
        <w:t>, as in higher tier or more disaggregated approaches. In addition, it is a </w:t>
      </w:r>
      <w:r>
        <w:rPr>
          <w:i/>
        </w:rPr>
        <w:t>good practice </w:t>
      </w:r>
      <w:r>
        <w:rPr/>
        <w:t>to provide documentation on:</w:t>
      </w:r>
    </w:p>
    <w:p>
      <w:pPr>
        <w:pStyle w:val="BodyText"/>
        <w:spacing w:before="119"/>
        <w:ind w:left="219" w:right="264"/>
        <w:jc w:val="both"/>
      </w:pPr>
      <w:r>
        <w:rPr>
          <w:b/>
        </w:rPr>
        <w:t>Emission factors: </w:t>
      </w:r>
      <w:r>
        <w:rPr/>
        <w:t>Sources of the emission factors that were used (specific IPCC default values or otherwise) have to be quoted. If country- or region-specific emission factors were used, and if new methods (other than the default IPCC methods) were used, the scientific basis of these emission factors and methods should be completely described and documented. This includes defining the input parameters and describing the process by which these emission factors and methods are derived, as well as describing sources and magnitudes of uncertainties. Inventory agencies using country-specific emission factors should provide information of the basis for the selection of a different factor, describe how it was derived, compare it to other published emission factors, explain any significant differences, and attempt to place bounds on the</w:t>
      </w:r>
      <w:r>
        <w:rPr>
          <w:spacing w:val="-12"/>
        </w:rPr>
        <w:t> </w:t>
      </w:r>
      <w:r>
        <w:rPr/>
        <w:t>uncertainty.</w:t>
      </w:r>
    </w:p>
    <w:p>
      <w:pPr>
        <w:pStyle w:val="BodyText"/>
        <w:spacing w:before="121"/>
        <w:ind w:left="219" w:right="263"/>
        <w:jc w:val="both"/>
      </w:pPr>
      <w:r>
        <w:rPr>
          <w:b/>
        </w:rPr>
        <w:t>Activity data: </w:t>
      </w:r>
      <w:r>
        <w:rPr/>
        <w:t>Sources of all activity data, such as areas, soil types and characteristics and vegetation covers, used in the calculations should be provided (i.e. complete citations for the statistical databases from which data were drawn). Reference to the metadata for the databases are useful, including information on dates and frequency of data collection, sampling procedures, analytical procedures used to obtain soil characteristics and minimum detectable change in organic carbon, and estimates of accuracy and precision. When activity data were not obtained directly from databases, the information and assumptions that were used to derive the activity data should be provided, as well as estimates of the uncertainty associated to the derived activity data. This applies in particular when scaling up procedures were used to derive large-scale estimates; in these cases the statistical procedures should be described along with the associated uncertainty.</w:t>
      </w:r>
    </w:p>
    <w:p>
      <w:pPr>
        <w:pStyle w:val="BodyText"/>
        <w:spacing w:before="119"/>
        <w:ind w:left="219" w:right="265"/>
        <w:jc w:val="both"/>
      </w:pPr>
      <w:r>
        <w:rPr>
          <w:b/>
        </w:rPr>
        <w:t>Results of model simulations: </w:t>
      </w:r>
      <w:r>
        <w:rPr/>
        <w:t>If inventory agencies used data output from models in their estimation procedures, the rationale for model selection and use should be provided. It is a </w:t>
      </w:r>
      <w:r>
        <w:rPr>
          <w:i/>
        </w:rPr>
        <w:t>good practice </w:t>
      </w:r>
      <w:r>
        <w:rPr/>
        <w:t>to provide complete citations of peer-reviewed publications in which the model is described, and modelling results are interpreted and validated. Detailed information should be provided to enable reviewers to assess the model’s validity, including the general modelling approach, key model assumptions, input and output data, parameter values and parameterisation procedures, confidence intervals of model outputs, and the outcome of any sensitivity analysis conducted on the output.</w:t>
      </w:r>
    </w:p>
    <w:p>
      <w:pPr>
        <w:pStyle w:val="BodyText"/>
        <w:spacing w:before="120"/>
        <w:ind w:left="219" w:right="265"/>
        <w:jc w:val="both"/>
      </w:pPr>
      <w:r>
        <w:rPr>
          <w:b/>
        </w:rPr>
        <w:t>Analysis of emissions: </w:t>
      </w:r>
      <w:r>
        <w:rPr/>
        <w:t>Significant fluctuations in emissions between years should be explained. A distinction should be made between changes in activity levels and changes in emission coefficients from year to year, and the reasons for these changes documented. If different emission factors are used for different years, the reasons for this should be explained and documented.</w:t>
      </w:r>
    </w:p>
    <w:p>
      <w:pPr>
        <w:pStyle w:val="BodyText"/>
        <w:spacing w:before="119"/>
        <w:ind w:left="219" w:right="263"/>
        <w:jc w:val="both"/>
      </w:pPr>
      <w:r>
        <w:rPr>
          <w:b/>
        </w:rPr>
        <w:t>Non-CO</w:t>
      </w:r>
      <w:r>
        <w:rPr>
          <w:b/>
          <w:vertAlign w:val="subscript"/>
        </w:rPr>
        <w:t>2</w:t>
      </w:r>
      <w:r>
        <w:rPr>
          <w:b/>
          <w:vertAlign w:val="baseline"/>
        </w:rPr>
        <w:t> greenhouse gases: </w:t>
      </w:r>
      <w:r>
        <w:rPr>
          <w:vertAlign w:val="baseline"/>
        </w:rPr>
        <w:t>the requirements on reporting follow three same principles as for CO</w:t>
      </w:r>
      <w:r>
        <w:rPr>
          <w:vertAlign w:val="subscript"/>
        </w:rPr>
        <w:t>2</w:t>
      </w:r>
      <w:r>
        <w:rPr>
          <w:vertAlign w:val="baseline"/>
        </w:rPr>
        <w:t>, but particular attention needs to be given to methods for avoidance of omission or double counting with respect to agriculture and between forest land remaining forest land, and transitions to forest land. Clarity is also needed on coverage, between emissions estimated using the guidance in this chapter and any use made of the guidance in the Annex 3A.2 (Reporting Tables and Worksheets). In view of the uncertainties clarity in methods  and reporting may help advance scientific knowledge as well as serve the purposes of inventory</w:t>
      </w:r>
      <w:r>
        <w:rPr>
          <w:spacing w:val="-17"/>
          <w:vertAlign w:val="baseline"/>
        </w:rPr>
        <w:t> </w:t>
      </w:r>
      <w:r>
        <w:rPr>
          <w:vertAlign w:val="baseline"/>
        </w:rPr>
        <w:t>review.</w:t>
      </w:r>
    </w:p>
    <w:p>
      <w:pPr>
        <w:spacing w:after="0"/>
        <w:jc w:val="both"/>
        <w:sectPr>
          <w:pgSz w:w="11900" w:h="16840"/>
          <w:pgMar w:header="230" w:footer="408" w:top="560" w:bottom="600" w:left="1200" w:right="1140"/>
        </w:sectPr>
      </w:pPr>
    </w:p>
    <w:p>
      <w:pPr>
        <w:pStyle w:val="BodyText"/>
      </w:pPr>
    </w:p>
    <w:p>
      <w:pPr>
        <w:pStyle w:val="Heading2"/>
        <w:numPr>
          <w:ilvl w:val="2"/>
          <w:numId w:val="58"/>
        </w:numPr>
        <w:tabs>
          <w:tab w:pos="1421" w:val="left" w:leader="none"/>
          <w:tab w:pos="1422" w:val="left" w:leader="none"/>
        </w:tabs>
        <w:spacing w:line="240" w:lineRule="auto" w:before="215" w:after="0"/>
        <w:ind w:left="1421" w:right="1478" w:hanging="1202"/>
        <w:jc w:val="left"/>
      </w:pPr>
      <w:r>
        <w:rPr>
          <w:spacing w:val="8"/>
        </w:rPr>
        <w:t>Inventory </w:t>
      </w:r>
      <w:r>
        <w:rPr>
          <w:spacing w:val="7"/>
        </w:rPr>
        <w:t>Quality </w:t>
      </w:r>
      <w:r>
        <w:rPr>
          <w:spacing w:val="9"/>
        </w:rPr>
        <w:t>Assurance/Quality </w:t>
      </w:r>
      <w:r>
        <w:rPr>
          <w:spacing w:val="10"/>
        </w:rPr>
        <w:t>Control </w:t>
      </w:r>
      <w:r>
        <w:rPr>
          <w:spacing w:val="8"/>
        </w:rPr>
        <w:t>(QA/QC)</w:t>
      </w:r>
    </w:p>
    <w:p>
      <w:pPr>
        <w:pStyle w:val="BodyText"/>
        <w:spacing w:before="115"/>
        <w:ind w:left="219" w:right="262"/>
        <w:jc w:val="both"/>
      </w:pPr>
      <w:r>
        <w:rPr/>
        <w:t>The characteristics of the LULUCF sector mean that estimates of emissions and removals of GHGs to be reported by national inventories can have different level of precision, accuracy and levels of bias. Moreover, the estimates are influenced by the quality and consistency of data and information available in a country, as well as gaps in knowledge; in addition, depending on the tier level used by a Party, figures can be affected by different sources of errors, such as sampling errors, assessment errors, classification errors in remote sensing imagery, model errors, that can propagate to the total</w:t>
      </w:r>
      <w:r>
        <w:rPr>
          <w:spacing w:val="-2"/>
        </w:rPr>
        <w:t> </w:t>
      </w:r>
      <w:r>
        <w:rPr/>
        <w:t>estimation.</w:t>
      </w:r>
    </w:p>
    <w:p>
      <w:pPr>
        <w:pStyle w:val="BodyText"/>
        <w:spacing w:before="120"/>
        <w:ind w:left="219" w:right="262"/>
        <w:jc w:val="both"/>
      </w:pPr>
      <w:r>
        <w:rPr/>
        <w:t>It is </w:t>
      </w:r>
      <w:r>
        <w:rPr>
          <w:i/>
        </w:rPr>
        <w:t>good practice </w:t>
      </w:r>
      <w:r>
        <w:rPr/>
        <w:t>to execute quality control checks through Quality Assurance (QA) and Quality Control (QC) procedures, and expert review of the emission estimates. Additional quality control checks as outlined in Tier 2 procedures in Chapter 8, QA/QC, of </w:t>
      </w:r>
      <w:r>
        <w:rPr>
          <w:i/>
        </w:rPr>
        <w:t>GPG2000 </w:t>
      </w:r>
      <w:r>
        <w:rPr/>
        <w:t>and in Chapter 5.5 of this report, and quality assurance procedures may also be applicable, particularly if higher Tier methods are used to estimate emissions. It is </w:t>
      </w:r>
      <w:r>
        <w:rPr>
          <w:i/>
        </w:rPr>
        <w:t>good practice </w:t>
      </w:r>
      <w:r>
        <w:rPr/>
        <w:t>to supplement the general QA/QC related to data processing, handling, and reporting and documenting, with source-specific category procedures discussed</w:t>
      </w:r>
      <w:r>
        <w:rPr>
          <w:spacing w:val="-4"/>
        </w:rPr>
        <w:t> </w:t>
      </w:r>
      <w:r>
        <w:rPr/>
        <w:t>below.</w:t>
      </w:r>
    </w:p>
    <w:p>
      <w:pPr>
        <w:pStyle w:val="BodyText"/>
        <w:spacing w:before="120"/>
        <w:ind w:left="219" w:right="262"/>
        <w:jc w:val="both"/>
      </w:pPr>
      <w:r>
        <w:rPr/>
        <w:t>Agencies which collect data are responsible for reviewing the data collection methods, checking the data to ensure that they are collected and aggregated or disaggregated correctly, and cross-checking the data with other data sources and with previous years to ensure that the data are realistic, complete and consistent over time. The basis for the estimates, whether statistical surveys or ´desk estimates´, must be reviewed and described as part of the QC process. Documentation is a crucial component of the review process because it enables reviewers to identify inaccuracy, gaps and suggest improvements. Documentation and transparency in reporting is most important for highly uncertain source categories and to give reasons for divergences between country-specific factors and default or factors used by other countries. Countries with similar (ecological) conditions are encouraged to collaborate in the refinements of methods, emissions factors and uncertainty assessment.</w:t>
      </w:r>
    </w:p>
    <w:p>
      <w:pPr>
        <w:pStyle w:val="BodyText"/>
        <w:spacing w:before="2"/>
        <w:rPr>
          <w:sz w:val="21"/>
        </w:rPr>
      </w:pPr>
    </w:p>
    <w:p>
      <w:pPr>
        <w:spacing w:line="228" w:lineRule="exact" w:before="0"/>
        <w:ind w:left="219" w:right="0" w:firstLine="0"/>
        <w:jc w:val="both"/>
        <w:rPr>
          <w:b/>
          <w:sz w:val="20"/>
        </w:rPr>
      </w:pPr>
      <w:r>
        <w:rPr>
          <w:b/>
          <w:sz w:val="20"/>
        </w:rPr>
        <w:t>ACTIVITY DATA CHECK</w:t>
      </w:r>
    </w:p>
    <w:p>
      <w:pPr>
        <w:pStyle w:val="BodyText"/>
        <w:ind w:left="219" w:right="265"/>
        <w:jc w:val="both"/>
      </w:pPr>
      <w:r>
        <w:rPr/>
        <w:t>The inventory agency should, where possible, check data comprising of all managed land areas, using independent sources and compare them. Any differences in area records should be documented for the purposes of review. Activity data area totals should be summed across all land-use categories to insure that total area involved in the inventory and its stratification across climate and soil types, remains constant over time. This ensures that land areas are neither ‘created’ nor ‘lost’ over time, which would result in major errors in the inventory. When using country-specific data (such as data on standing biomass and biomass growth rates, carbon fraction in aboveground biomass and biomass expansion factors, synthetic fertiliser consumption and synthetic fertiliser consumption estimates) the inventory agency should compare them to the IPCC default values or internationally well-established values such as those provided by the FAO and the International Fertilizer Industry Association (IFA), and note the</w:t>
      </w:r>
      <w:r>
        <w:rPr>
          <w:spacing w:val="1"/>
        </w:rPr>
        <w:t> </w:t>
      </w:r>
      <w:r>
        <w:rPr/>
        <w:t>differences.</w:t>
      </w:r>
    </w:p>
    <w:p>
      <w:pPr>
        <w:pStyle w:val="BodyText"/>
        <w:spacing w:before="118"/>
        <w:ind w:left="219" w:right="267"/>
        <w:jc w:val="both"/>
      </w:pPr>
      <w:r>
        <w:rPr/>
        <w:t>The country-specific parameters should be of high quality, preferably peer-reviewed experimental data, adequately described and documented. The agencies performing the inventory are encouraged to ensure that </w:t>
      </w:r>
      <w:r>
        <w:rPr>
          <w:i/>
        </w:rPr>
        <w:t>good practice </w:t>
      </w:r>
      <w:r>
        <w:rPr/>
        <w:t>methods have been used and the results have been peer-reviewed. Assessments on test areas can be used to validate the reliability of figures</w:t>
      </w:r>
      <w:r>
        <w:rPr>
          <w:spacing w:val="-3"/>
        </w:rPr>
        <w:t> </w:t>
      </w:r>
      <w:r>
        <w:rPr/>
        <w:t>reported.</w:t>
      </w:r>
    </w:p>
    <w:p>
      <w:pPr>
        <w:pStyle w:val="BodyText"/>
        <w:spacing w:before="121"/>
        <w:ind w:left="219" w:right="265"/>
        <w:jc w:val="both"/>
      </w:pPr>
      <w:r>
        <w:rPr/>
        <w:t>The inventory agency should make sure that QA/QC in the Agriculture source category has been implemented and that nitrogen excretion, volatile losses and application rates to forest are consistent with the Agriculture source category and overall consumption of fertilisers and organic wastes, avoiding double counting.</w:t>
      </w:r>
    </w:p>
    <w:p>
      <w:pPr>
        <w:pStyle w:val="BodyText"/>
        <w:spacing w:before="119"/>
        <w:ind w:left="219" w:right="267"/>
        <w:jc w:val="both"/>
      </w:pPr>
      <w:r>
        <w:rPr/>
        <w:t>The inventory agency should make sure that the entire area of drained forest peatlands is considered, not only the recent drainage in the reporting year, and that repeated drainage of a given area is not counted as new area.</w:t>
      </w:r>
    </w:p>
    <w:p>
      <w:pPr>
        <w:pStyle w:val="BodyText"/>
        <w:spacing w:before="4"/>
        <w:rPr>
          <w:sz w:val="21"/>
        </w:rPr>
      </w:pPr>
    </w:p>
    <w:p>
      <w:pPr>
        <w:spacing w:line="228" w:lineRule="exact" w:before="0"/>
        <w:ind w:left="219" w:right="0" w:firstLine="0"/>
        <w:jc w:val="both"/>
        <w:rPr>
          <w:b/>
          <w:sz w:val="20"/>
        </w:rPr>
      </w:pPr>
      <w:r>
        <w:rPr>
          <w:b/>
          <w:sz w:val="20"/>
        </w:rPr>
        <w:t>INTERNAL AND EXTERNAL REVIEW</w:t>
      </w:r>
    </w:p>
    <w:p>
      <w:pPr>
        <w:pStyle w:val="BodyText"/>
        <w:ind w:left="219" w:right="263"/>
        <w:jc w:val="both"/>
      </w:pPr>
      <w:r>
        <w:rPr/>
        <w:t>The review processes as set out in Chapter 5 should be undertaken by experts preferably not directly involved in the inventory development. The inventory agency should utilize experts in GHG removals and emissions in LULUCF to conduct expert peer-review of the methods and data used. Given the complexity and uniqueness of the parameters used in calculating country-specific factors for some categories, selected specialists in the field should be involved in such reviews. If soil factors are based on direct measurements, the inventory agency should review the measurements to ensure that they are representative of the actual range of environmental and soil management conditions, and inter-annual climatic variability, and were developed according to recognised standards. The QA/QC protocol in effect at the sites should also be reviewed and the resulting estimates compared between sites and with default-based</w:t>
      </w:r>
      <w:r>
        <w:rPr>
          <w:spacing w:val="-1"/>
        </w:rPr>
        <w:t> </w:t>
      </w:r>
      <w:r>
        <w:rPr/>
        <w:t>estimates.</w:t>
      </w:r>
    </w:p>
    <w:p>
      <w:pPr>
        <w:spacing w:after="0"/>
        <w:jc w:val="both"/>
        <w:sectPr>
          <w:pgSz w:w="11900" w:h="16840"/>
          <w:pgMar w:header="230" w:footer="408" w:top="560" w:bottom="600" w:left="1200" w:right="1140"/>
        </w:sectPr>
      </w:pPr>
    </w:p>
    <w:p>
      <w:pPr>
        <w:pStyle w:val="BodyText"/>
      </w:pPr>
    </w:p>
    <w:p>
      <w:pPr>
        <w:pStyle w:val="BodyText"/>
      </w:pPr>
    </w:p>
    <w:p>
      <w:pPr>
        <w:pStyle w:val="Heading2"/>
        <w:spacing w:before="225"/>
        <w:ind w:left="219" w:firstLine="0"/>
        <w:jc w:val="both"/>
      </w:pPr>
      <w:r>
        <w:rPr/>
        <w:t>3.3 CROPLAND</w:t>
      </w:r>
    </w:p>
    <w:p>
      <w:pPr>
        <w:pStyle w:val="BodyText"/>
        <w:spacing w:before="176"/>
        <w:ind w:left="219" w:right="264"/>
        <w:jc w:val="both"/>
      </w:pPr>
      <w:r>
        <w:rPr/>
        <w:t>This section provides </w:t>
      </w:r>
      <w:r>
        <w:rPr>
          <w:i/>
        </w:rPr>
        <w:t>Good Practice Guidance </w:t>
      </w:r>
      <w:r>
        <w:rPr/>
        <w:t>on inventorying and reporting greenhouse gas emissions and removals in ‘cropland remaining cropland (CC)’ and ‘land converted to cropland’ (LC). Cropland includes all annual and perennial crops as well as temporary fallow land (i.e., land set at rest for one or several years before being cultivated again). Annual crops may include cereals, oils seeds, vegetables, root crops and forages. Perennial crops can include trees and shrubs, in combination with herbaceous crops (e.g. agroforestry) or as orchards, vineyards and plantations such as cocoa, coffee, tea, oil palm, coconut, rubber trees, and bananas, except where these lands meet the criteria for categorisation as forest land.</w:t>
      </w:r>
      <w:r>
        <w:rPr>
          <w:vertAlign w:val="superscript"/>
        </w:rPr>
        <w:t>1</w:t>
      </w:r>
      <w:r>
        <w:rPr>
          <w:vertAlign w:val="baseline"/>
        </w:rPr>
        <w:t> Arable land which is normally used for cultivation of annual crops but which is temporarily used for forage crops or grazing as part of an annual crop-pasture rotation is included under cropland.</w:t>
      </w:r>
    </w:p>
    <w:p>
      <w:pPr>
        <w:pStyle w:val="BodyText"/>
        <w:spacing w:before="116"/>
        <w:ind w:left="219" w:right="218"/>
        <w:jc w:val="both"/>
      </w:pPr>
      <w:r>
        <w:rPr/>
        <w:t>The amount of carbon stored in and emitted or removed from permanent cropland depends on crop type, management practices, and soil and climate variables. For example, annual crops (e.g. cereals, vegetables) are harvested each year, so there is no long-term storage of carbon in biomass. However, perennial woody  vegetation in orchards, vineyards, and agroforestry systems can store significant carbon in long-lived biomass, the amount depending on species type, density, growth rates, and harvesting and pruning practices.  Carbon stocks in soils can be significant and changes in stocks can occur in conjunction with most management practices, including crop type and rotation, tillage, drainage, residue management and organic</w:t>
      </w:r>
      <w:r>
        <w:rPr>
          <w:spacing w:val="-8"/>
        </w:rPr>
        <w:t> </w:t>
      </w:r>
      <w:r>
        <w:rPr/>
        <w:t>amendments.</w:t>
      </w:r>
    </w:p>
    <w:p>
      <w:pPr>
        <w:pStyle w:val="BodyText"/>
        <w:spacing w:before="121"/>
        <w:ind w:left="219" w:right="263"/>
        <w:jc w:val="both"/>
      </w:pPr>
      <w:r>
        <w:rPr/>
        <w:t>The conversion of other land uses into cropland can affect carbon stocks and other greenhouse gases in a variety of ways. Land-use conversions to cropland from forest land, grassland and wetlands usually result in a net loss of carbon from biomass and soils to the atmosphere. However, cropland established on previously sparsely vegetated or highly disturbed lands (e.g. mined lands) can result in a net gain in both biomass and soil carbon. The term land-use conversion refers only to lands coming from one type of use into another. In cases where existing perennial cropland is replanted to the same or different crops, the land use remains cropland; therefore, the carbon stock changes should be estimated using the methods for cropland remaining cropland, as described in Section 3.3.1</w:t>
      </w:r>
      <w:r>
        <w:rPr>
          <w:spacing w:val="-2"/>
        </w:rPr>
        <w:t> </w:t>
      </w:r>
      <w:r>
        <w:rPr/>
        <w:t>below.</w:t>
      </w:r>
    </w:p>
    <w:p>
      <w:pPr>
        <w:spacing w:before="118"/>
        <w:ind w:left="219" w:right="267" w:firstLine="0"/>
        <w:jc w:val="both"/>
        <w:rPr>
          <w:sz w:val="20"/>
        </w:rPr>
      </w:pPr>
      <w:r>
        <w:rPr>
          <w:sz w:val="20"/>
        </w:rPr>
        <w:t>For cropland remaining cropland, emissions of methane (CH</w:t>
      </w:r>
      <w:r>
        <w:rPr>
          <w:sz w:val="20"/>
          <w:vertAlign w:val="subscript"/>
        </w:rPr>
        <w:t>4</w:t>
      </w:r>
      <w:r>
        <w:rPr>
          <w:sz w:val="20"/>
          <w:vertAlign w:val="baseline"/>
        </w:rPr>
        <w:t>) and nitrous oxide (N</w:t>
      </w:r>
      <w:r>
        <w:rPr>
          <w:sz w:val="20"/>
          <w:vertAlign w:val="subscript"/>
        </w:rPr>
        <w:t>2</w:t>
      </w:r>
      <w:r>
        <w:rPr>
          <w:sz w:val="20"/>
          <w:vertAlign w:val="baseline"/>
        </w:rPr>
        <w:t>O) from the management of permanent agricultural lands are covered in Chapter 4 of the IPCC report on </w:t>
      </w:r>
      <w:r>
        <w:rPr>
          <w:i/>
          <w:sz w:val="20"/>
          <w:vertAlign w:val="baseline"/>
        </w:rPr>
        <w:t>Good Practice Guidance and Uncertainty Management in National Greenhouse Gas Inventories </w:t>
      </w:r>
      <w:r>
        <w:rPr>
          <w:sz w:val="20"/>
          <w:vertAlign w:val="baseline"/>
        </w:rPr>
        <w:t>(</w:t>
      </w:r>
      <w:r>
        <w:rPr>
          <w:i/>
          <w:sz w:val="20"/>
          <w:vertAlign w:val="baseline"/>
        </w:rPr>
        <w:t>GPG2000</w:t>
      </w:r>
      <w:r>
        <w:rPr>
          <w:sz w:val="20"/>
          <w:vertAlign w:val="baseline"/>
        </w:rPr>
        <w:t>). This report provides guidance on inventorying and reporting of N</w:t>
      </w:r>
      <w:r>
        <w:rPr>
          <w:sz w:val="20"/>
          <w:vertAlign w:val="subscript"/>
        </w:rPr>
        <w:t>2</w:t>
      </w:r>
      <w:r>
        <w:rPr>
          <w:sz w:val="20"/>
          <w:vertAlign w:val="baseline"/>
        </w:rPr>
        <w:t>O emissions from land-use conversions to cropland as a result of soil oxidation.</w:t>
      </w:r>
    </w:p>
    <w:p>
      <w:pPr>
        <w:pStyle w:val="BodyText"/>
        <w:spacing w:before="118"/>
        <w:ind w:left="219" w:right="215"/>
        <w:jc w:val="both"/>
      </w:pPr>
      <w:r>
        <w:rPr/>
        <w:t>In this section, guidance on the use of basic and advanced methodologies for inventorying and reporting emissions and removals for cropland remaining cropland and land converted to cropland is provided for biomass and soil carbon pools. Methodologies follow a hierarchical tier structure where Tier 1 methods use default values, typically with limited disaggregation of area data. Tier 2 corresponds to use of country-specific coefficients and typically finer scale area disaggregation, which will reduce uncertainty in emission/removal estimates. Tier 3 methods refer to the use of country-specific approaches, which may include process models and detailed inventory measurements. Where possible, default values from the </w:t>
      </w:r>
      <w:r>
        <w:rPr>
          <w:i/>
        </w:rPr>
        <w:t>IPCC Guidelines </w:t>
      </w:r>
      <w:r>
        <w:rPr/>
        <w:t>are updated and new default values are provided based on the most up-to-date research findings.</w:t>
      </w:r>
    </w:p>
    <w:p>
      <w:pPr>
        <w:pStyle w:val="BodyText"/>
        <w:rPr>
          <w:sz w:val="22"/>
        </w:rPr>
      </w:pPr>
    </w:p>
    <w:p>
      <w:pPr>
        <w:pStyle w:val="BodyText"/>
        <w:spacing w:before="3"/>
      </w:pPr>
    </w:p>
    <w:p>
      <w:pPr>
        <w:pStyle w:val="Heading2"/>
        <w:ind w:left="219" w:firstLine="0"/>
        <w:jc w:val="both"/>
      </w:pPr>
      <w:r>
        <w:rPr/>
        <w:t>3.3.1 Cropland Remaining Cropland</w:t>
      </w:r>
    </w:p>
    <w:p>
      <w:pPr>
        <w:pStyle w:val="BodyText"/>
        <w:spacing w:before="114"/>
        <w:ind w:left="219" w:right="264"/>
        <w:jc w:val="both"/>
      </w:pPr>
      <w:r>
        <w:rPr/>
        <w:t>Emissions and removals from cropland remaining cropland can include two subcategories of CO</w:t>
      </w:r>
      <w:r>
        <w:rPr>
          <w:vertAlign w:val="subscript"/>
        </w:rPr>
        <w:t>2</w:t>
      </w:r>
      <w:r>
        <w:rPr>
          <w:vertAlign w:val="baseline"/>
        </w:rPr>
        <w:t> emissions/removals. Equation 3.3.1 summarises net emissions or removals of carbon from cropland remaining cropland for these subcategories: changes in carbon stocks in living biomass (Section 3.3.1.1) and changes in carbon stocks in soils (3.3.1.2). As noted above, emissions of CH</w:t>
      </w:r>
      <w:r>
        <w:rPr>
          <w:vertAlign w:val="subscript"/>
        </w:rPr>
        <w:t>4</w:t>
      </w:r>
      <w:r>
        <w:rPr>
          <w:vertAlign w:val="baseline"/>
        </w:rPr>
        <w:t> and N</w:t>
      </w:r>
      <w:r>
        <w:rPr>
          <w:vertAlign w:val="subscript"/>
        </w:rPr>
        <w:t>2</w:t>
      </w:r>
      <w:r>
        <w:rPr>
          <w:vertAlign w:val="baseline"/>
        </w:rPr>
        <w:t>O are estimated as part of the Agriculture Chapter in the </w:t>
      </w:r>
      <w:r>
        <w:rPr>
          <w:i/>
          <w:vertAlign w:val="baseline"/>
        </w:rPr>
        <w:t>IPCC Guidelines </w:t>
      </w:r>
      <w:r>
        <w:rPr>
          <w:vertAlign w:val="baseline"/>
        </w:rPr>
        <w:t>and </w:t>
      </w:r>
      <w:r>
        <w:rPr>
          <w:i/>
          <w:vertAlign w:val="baseline"/>
        </w:rPr>
        <w:t>GPG2000</w:t>
      </w:r>
      <w:r>
        <w:rPr>
          <w:vertAlign w:val="baseline"/>
        </w:rPr>
        <w:t>. Table 3.3.1 summarises the methodological tiers for each of the two subcategories covered below.</w:t>
      </w:r>
    </w:p>
    <w:p>
      <w:pPr>
        <w:pStyle w:val="BodyText"/>
      </w:pPr>
    </w:p>
    <w:p>
      <w:pPr>
        <w:pStyle w:val="BodyText"/>
      </w:pPr>
    </w:p>
    <w:p>
      <w:pPr>
        <w:pStyle w:val="BodyText"/>
      </w:pPr>
    </w:p>
    <w:p>
      <w:pPr>
        <w:pStyle w:val="BodyText"/>
      </w:pPr>
    </w:p>
    <w:p>
      <w:pPr>
        <w:pStyle w:val="BodyText"/>
        <w:rPr>
          <w:sz w:val="14"/>
        </w:rPr>
      </w:pPr>
      <w:r>
        <w:rPr/>
        <w:pict>
          <v:line style="position:absolute;mso-position-horizontal-relative:page;mso-position-vertical-relative:paragraph;z-index:7112;mso-wrap-distance-left:0;mso-wrap-distance-right:0" from="70.960999pt,10.278028pt" to="214.960999pt,10.278028pt" stroked="true" strokeweight=".48pt" strokecolor="#000000">
            <v:stroke dashstyle="solid"/>
            <w10:wrap type="topAndBottom"/>
          </v:line>
        </w:pict>
      </w:r>
    </w:p>
    <w:p>
      <w:pPr>
        <w:spacing w:before="153"/>
        <w:ind w:left="360" w:right="261" w:hanging="142"/>
        <w:jc w:val="both"/>
        <w:rPr>
          <w:sz w:val="18"/>
        </w:rPr>
      </w:pPr>
      <w:r>
        <w:rPr>
          <w:position w:val="8"/>
          <w:sz w:val="12"/>
        </w:rPr>
        <w:t>1 </w:t>
      </w:r>
      <w:r>
        <w:rPr>
          <w:sz w:val="18"/>
        </w:rPr>
        <w:t>As described in Chapter 2, Section 2.2 (Land categories), the IPCC does not provide a single definition for forest or other land uses. Rather, countries should determine their own definition for the purposes of inventory reporting. It is </w:t>
      </w:r>
      <w:r>
        <w:rPr>
          <w:i/>
          <w:sz w:val="18"/>
        </w:rPr>
        <w:t>good practice </w:t>
      </w:r>
      <w:r>
        <w:rPr>
          <w:sz w:val="18"/>
        </w:rPr>
        <w:t>to use clear definitions in the inventory report (include threshold values, e.g. for tree cover, land area, and tree height) and to ensure that the categorisation is consistent across inventory reports and with other land use definitions.</w:t>
      </w:r>
    </w:p>
    <w:p>
      <w:pPr>
        <w:spacing w:after="0"/>
        <w:jc w:val="both"/>
        <w:rPr>
          <w:sz w:val="18"/>
        </w:rPr>
        <w:sectPr>
          <w:headerReference w:type="even" r:id="rId132"/>
          <w:headerReference w:type="default" r:id="rId133"/>
          <w:pgSz w:w="11900" w:h="16840"/>
          <w:pgMar w:header="230" w:footer="408" w:top="560" w:bottom="600" w:left="1200" w:right="1140"/>
        </w:sectPr>
      </w:pPr>
    </w:p>
    <w:p>
      <w:pPr>
        <w:pStyle w:val="BodyText"/>
      </w:pPr>
    </w:p>
    <w:p>
      <w:pPr>
        <w:pStyle w:val="BodyText"/>
        <w:spacing w:before="8"/>
        <w:rPr>
          <w:sz w:val="17"/>
        </w:rPr>
      </w:pPr>
    </w:p>
    <w:p>
      <w:pPr>
        <w:pStyle w:val="BodyText"/>
        <w:ind w:left="624"/>
      </w:pPr>
      <w:r>
        <w:rPr/>
        <w:pict>
          <v:group style="width:412.95pt;height:55.1pt;mso-position-horizontal-relative:char;mso-position-vertical-relative:line" coordorigin="0,0" coordsize="8259,1102">
            <v:line style="position:absolute" from="29,14" to="8230,14" stroked="true" strokeweight="1.44pt" strokecolor="#000000">
              <v:stroke dashstyle="solid"/>
            </v:line>
            <v:line style="position:absolute" from="29,1087" to="8230,1087" stroked="true" strokeweight="1.44pt" strokecolor="#000000">
              <v:stroke dashstyle="solid"/>
            </v:line>
            <v:line style="position:absolute" from="14,0" to="14,1102" stroked="true" strokeweight="1.44pt" strokecolor="#000000">
              <v:stroke dashstyle="solid"/>
            </v:line>
            <v:line style="position:absolute" from="8244,0" to="8244,1102" stroked="true" strokeweight="1.44pt" strokecolor="#000000">
              <v:stroke dashstyle="solid"/>
            </v:line>
            <v:shape style="position:absolute;left:4931;top:842;width:277;height:144" type="#_x0000_t202" filled="false" stroked="false">
              <v:textbox inset="0,0,0,0">
                <w:txbxContent>
                  <w:p>
                    <w:pPr>
                      <w:spacing w:line="144" w:lineRule="exact" w:before="0"/>
                      <w:ind w:left="0" w:right="0" w:firstLine="0"/>
                      <w:jc w:val="left"/>
                      <w:rPr>
                        <w:sz w:val="13"/>
                      </w:rPr>
                    </w:pPr>
                    <w:r>
                      <w:rPr>
                        <w:sz w:val="13"/>
                      </w:rPr>
                      <w:t>Soils</w:t>
                    </w:r>
                  </w:p>
                </w:txbxContent>
              </v:textbox>
              <w10:wrap type="none"/>
            </v:shape>
            <v:shape style="position:absolute;left:4123;top:842;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3069;top:665;width:1880;height:261" type="#_x0000_t202" filled="false" stroked="false">
              <v:textbox inset="0,0,0,0">
                <w:txbxContent>
                  <w:p>
                    <w:pPr>
                      <w:tabs>
                        <w:tab w:pos="1267" w:val="left" w:leader="none"/>
                      </w:tabs>
                      <w:spacing w:line="246" w:lineRule="exact" w:before="14"/>
                      <w:ind w:left="0" w:right="0" w:firstLine="0"/>
                      <w:jc w:val="left"/>
                      <w:rPr>
                        <w:sz w:val="20"/>
                      </w:rPr>
                    </w:pPr>
                    <w:r>
                      <w:rPr>
                        <w:rFonts w:ascii="Symbol" w:hAnsi="Symbol"/>
                        <w:sz w:val="20"/>
                      </w:rPr>
                      <w:t>∆</w:t>
                    </w:r>
                    <w:r>
                      <w:rPr>
                        <w:sz w:val="20"/>
                      </w:rPr>
                      <w:t>C</w:t>
                    </w:r>
                    <w:r>
                      <w:rPr>
                        <w:sz w:val="20"/>
                        <w:vertAlign w:val="subscript"/>
                      </w:rPr>
                      <w:t>CC</w:t>
                    </w:r>
                    <w:r>
                      <w:rPr>
                        <w:spacing w:val="-17"/>
                        <w:sz w:val="20"/>
                        <w:vertAlign w:val="baseline"/>
                      </w:rPr>
                      <w:t> </w:t>
                    </w:r>
                    <w:r>
                      <w:rPr>
                        <w:sz w:val="20"/>
                        <w:vertAlign w:val="baseline"/>
                      </w:rPr>
                      <w:t>= </w:t>
                    </w:r>
                    <w:r>
                      <w:rPr>
                        <w:rFonts w:ascii="Symbol" w:hAnsi="Symbol"/>
                        <w:sz w:val="20"/>
                        <w:vertAlign w:val="baseline"/>
                      </w:rPr>
                      <w:t>∆</w:t>
                    </w:r>
                    <w:r>
                      <w:rPr>
                        <w:sz w:val="20"/>
                        <w:vertAlign w:val="baseline"/>
                      </w:rPr>
                      <w:t>C</w:t>
                    </w:r>
                    <w:r>
                      <w:rPr>
                        <w:sz w:val="20"/>
                        <w:vertAlign w:val="subscript"/>
                      </w:rPr>
                      <w:t>CC</w:t>
                    </w:r>
                    <w:r>
                      <w:rPr>
                        <w:sz w:val="20"/>
                        <w:vertAlign w:val="baseline"/>
                      </w:rPr>
                      <w:tab/>
                      <w:t>+</w:t>
                    </w:r>
                    <w:r>
                      <w:rPr>
                        <w:spacing w:val="5"/>
                        <w:sz w:val="20"/>
                        <w:vertAlign w:val="baseline"/>
                      </w:rPr>
                      <w:t> </w:t>
                    </w:r>
                    <w:r>
                      <w:rPr>
                        <w:rFonts w:ascii="Symbol" w:hAnsi="Symbol"/>
                        <w:spacing w:val="-21"/>
                        <w:sz w:val="20"/>
                        <w:vertAlign w:val="baseline"/>
                      </w:rPr>
                      <w:t>∆</w:t>
                    </w:r>
                    <w:r>
                      <w:rPr>
                        <w:spacing w:val="-21"/>
                        <w:sz w:val="20"/>
                        <w:vertAlign w:val="baseline"/>
                      </w:rPr>
                      <w:t>C</w:t>
                    </w:r>
                    <w:r>
                      <w:rPr>
                        <w:spacing w:val="-21"/>
                        <w:sz w:val="20"/>
                        <w:vertAlign w:val="subscript"/>
                      </w:rPr>
                      <w:t>CC</w:t>
                    </w:r>
                  </w:p>
                </w:txbxContent>
              </v:textbox>
              <w10:wrap type="none"/>
            </v:shape>
            <v:shape style="position:absolute;left:1020;top:136;width:6238;height:449" type="#_x0000_t202" filled="false" stroked="false">
              <v:textbox inset="0,0,0,0">
                <w:txbxContent>
                  <w:p>
                    <w:pPr>
                      <w:spacing w:line="220" w:lineRule="exact" w:before="0"/>
                      <w:ind w:left="1" w:right="18" w:firstLine="0"/>
                      <w:jc w:val="center"/>
                      <w:rPr>
                        <w:b/>
                        <w:sz w:val="20"/>
                      </w:rPr>
                    </w:pPr>
                    <w:r>
                      <w:rPr>
                        <w:b/>
                        <w:sz w:val="20"/>
                      </w:rPr>
                      <w:t>E</w:t>
                    </w:r>
                    <w:r>
                      <w:rPr>
                        <w:b/>
                        <w:sz w:val="16"/>
                      </w:rPr>
                      <w:t>QUATION </w:t>
                    </w:r>
                    <w:r>
                      <w:rPr>
                        <w:b/>
                        <w:sz w:val="20"/>
                      </w:rPr>
                      <w:t>3.3.1</w:t>
                    </w:r>
                  </w:p>
                  <w:p>
                    <w:pPr>
                      <w:spacing w:line="229" w:lineRule="exact" w:before="0"/>
                      <w:ind w:left="-1" w:right="18" w:firstLine="0"/>
                      <w:jc w:val="center"/>
                      <w:rPr>
                        <w:b/>
                        <w:sz w:val="16"/>
                      </w:rPr>
                    </w:pPr>
                    <w:r>
                      <w:rPr>
                        <w:b/>
                        <w:sz w:val="20"/>
                      </w:rPr>
                      <w:t>A</w:t>
                    </w:r>
                    <w:r>
                      <w:rPr>
                        <w:b/>
                        <w:sz w:val="16"/>
                      </w:rPr>
                      <w:t>NNUAL CHANGE IN CARBON STOCKS IN CROPLAND REMAINING</w:t>
                    </w:r>
                    <w:r>
                      <w:rPr>
                        <w:b/>
                        <w:spacing w:val="-15"/>
                        <w:sz w:val="16"/>
                      </w:rPr>
                      <w:t> </w:t>
                    </w:r>
                    <w:r>
                      <w:rPr>
                        <w:b/>
                        <w:sz w:val="16"/>
                      </w:rPr>
                      <w:t>CROPLAND</w:t>
                    </w:r>
                  </w:p>
                </w:txbxContent>
              </v:textbox>
              <w10:wrap type="none"/>
            </v:shape>
          </v:group>
        </w:pict>
      </w:r>
      <w:r>
        <w:rPr/>
      </w:r>
    </w:p>
    <w:p>
      <w:pPr>
        <w:pStyle w:val="BodyText"/>
        <w:spacing w:line="226" w:lineRule="exact"/>
        <w:ind w:left="219"/>
        <w:jc w:val="both"/>
      </w:pPr>
      <w:r>
        <w:rPr/>
        <w:t>Where:</w:t>
      </w:r>
    </w:p>
    <w:p>
      <w:pPr>
        <w:pStyle w:val="BodyText"/>
        <w:spacing w:before="137"/>
        <w:ind w:left="785"/>
      </w:pPr>
      <w:r>
        <w:rPr>
          <w:rFonts w:ascii="Symbol" w:hAnsi="Symbol"/>
        </w:rPr>
        <w:t>∆</w:t>
      </w:r>
      <w:r>
        <w:rPr/>
        <w:t>C</w:t>
      </w:r>
      <w:r>
        <w:rPr>
          <w:vertAlign w:val="subscript"/>
        </w:rPr>
        <w:t>CC</w:t>
      </w:r>
      <w:r>
        <w:rPr>
          <w:vertAlign w:val="baseline"/>
        </w:rPr>
        <w:t> = annual change in carbon stocks in cropland remaining cropland, tonnes C yr</w:t>
      </w:r>
      <w:r>
        <w:rPr>
          <w:vertAlign w:val="superscript"/>
        </w:rPr>
        <w:t>-1</w:t>
      </w:r>
    </w:p>
    <w:p>
      <w:pPr>
        <w:pStyle w:val="BodyText"/>
        <w:tabs>
          <w:tab w:pos="1659" w:val="left" w:leader="none"/>
        </w:tabs>
        <w:spacing w:before="116"/>
        <w:ind w:left="785"/>
      </w:pPr>
      <w:r>
        <w:rPr/>
        <w:pict>
          <v:shape style="position:absolute;margin-left:120.76091pt;margin-top:13.921554pt;width:8.0500pt;height:7.2pt;mso-position-horizontal-relative:page;mso-position-vertical-relative:paragraph;z-index:-2446840"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CC</w:t>
      </w:r>
      <w:r>
        <w:rPr>
          <w:vertAlign w:val="baseline"/>
        </w:rPr>
        <w:tab/>
        <w:t>= annual change in carbon stocks in living biomass, tonnes C</w:t>
      </w:r>
      <w:r>
        <w:rPr>
          <w:spacing w:val="-6"/>
          <w:vertAlign w:val="baseline"/>
        </w:rPr>
        <w:t> </w:t>
      </w:r>
      <w:r>
        <w:rPr>
          <w:vertAlign w:val="baseline"/>
        </w:rPr>
        <w:t>yr</w:t>
      </w:r>
      <w:r>
        <w:rPr>
          <w:vertAlign w:val="superscript"/>
        </w:rPr>
        <w:t>-1</w:t>
      </w:r>
    </w:p>
    <w:p>
      <w:pPr>
        <w:pStyle w:val="BodyText"/>
        <w:tabs>
          <w:tab w:pos="1659" w:val="left" w:leader="none"/>
        </w:tabs>
        <w:spacing w:line="193" w:lineRule="exact" w:before="178"/>
        <w:ind w:left="908"/>
      </w:pPr>
      <w:r>
        <w:rPr/>
        <w:pict>
          <v:shape style="position:absolute;margin-left:99.280731pt;margin-top:8.176326pt;width:21.4pt;height:13.05pt;mso-position-horizontal-relative:page;mso-position-vertical-relative:paragraph;z-index:-2446816" type="#_x0000_t202" filled="false" stroked="false">
            <v:textbox inset="0,0,0,0">
              <w:txbxContent>
                <w:p>
                  <w:pPr>
                    <w:spacing w:line="223" w:lineRule="exact" w:before="37"/>
                    <w:ind w:left="0" w:right="0" w:firstLine="0"/>
                    <w:jc w:val="left"/>
                    <w:rPr>
                      <w:sz w:val="13"/>
                    </w:rPr>
                  </w:pPr>
                  <w:r>
                    <w:rPr>
                      <w:rFonts w:ascii="Symbol" w:hAnsi="Symbol"/>
                      <w:position w:val="3"/>
                      <w:sz w:val="20"/>
                    </w:rPr>
                    <w:t>∆ </w:t>
                  </w:r>
                  <w:r>
                    <w:rPr>
                      <w:spacing w:val="-51"/>
                      <w:sz w:val="13"/>
                    </w:rPr>
                    <w:t>CC</w:t>
                  </w:r>
                </w:p>
              </w:txbxContent>
            </v:textbox>
            <w10:wrap type="none"/>
          </v:shape>
        </w:pict>
      </w:r>
      <w:r>
        <w:rPr/>
        <w:t>C</w:t>
        <w:tab/>
        <w:t>= annual change in carbon stocks in soils, tonnes C</w:t>
      </w:r>
      <w:r>
        <w:rPr>
          <w:spacing w:val="-7"/>
        </w:rPr>
        <w:t> </w:t>
      </w:r>
      <w:r>
        <w:rPr/>
        <w:t>yr</w:t>
      </w:r>
      <w:r>
        <w:rPr>
          <w:vertAlign w:val="superscript"/>
        </w:rPr>
        <w:t>-1</w:t>
      </w:r>
    </w:p>
    <w:p>
      <w:pPr>
        <w:spacing w:line="113" w:lineRule="exact" w:before="0"/>
        <w:ind w:left="1215" w:right="0" w:firstLine="0"/>
        <w:jc w:val="left"/>
        <w:rPr>
          <w:sz w:val="13"/>
        </w:rPr>
      </w:pPr>
      <w:r>
        <w:rPr>
          <w:sz w:val="13"/>
        </w:rPr>
        <w:t>Soils</w:t>
      </w:r>
    </w:p>
    <w:p>
      <w:pPr>
        <w:pStyle w:val="BodyText"/>
        <w:spacing w:line="229" w:lineRule="exact" w:before="104"/>
        <w:ind w:left="219"/>
        <w:jc w:val="both"/>
      </w:pPr>
      <w:r>
        <w:rPr/>
        <w:t>To convert tonnes C to Gg CO</w:t>
      </w:r>
      <w:r>
        <w:rPr>
          <w:vertAlign w:val="subscript"/>
        </w:rPr>
        <w:t>2</w:t>
      </w:r>
      <w:r>
        <w:rPr>
          <w:vertAlign w:val="baseline"/>
        </w:rPr>
        <w:t>, multiply the value by 44/12 and 10</w:t>
      </w:r>
      <w:r>
        <w:rPr>
          <w:vertAlign w:val="superscript"/>
        </w:rPr>
        <w:t>-3</w:t>
      </w:r>
      <w:r>
        <w:rPr>
          <w:vertAlign w:val="baseline"/>
        </w:rPr>
        <w:t>. For the convention (signs), refer to Section</w:t>
      </w:r>
    </w:p>
    <w:p>
      <w:pPr>
        <w:pStyle w:val="BodyText"/>
        <w:spacing w:line="229" w:lineRule="exact"/>
        <w:ind w:left="219"/>
        <w:jc w:val="both"/>
      </w:pPr>
      <w:r>
        <w:rPr/>
        <w:pict>
          <v:line style="position:absolute;mso-position-horizontal-relative:page;mso-position-vertical-relative:paragraph;z-index:-2446864" from="65.801003pt,46.6068pt" to="134.081003pt,95.5668pt" stroked="true" strokeweight=".48pt" strokecolor="#000000">
            <v:stroke dashstyle="solid"/>
            <w10:wrap type="none"/>
          </v:line>
        </w:pict>
      </w:r>
      <w:r>
        <w:rPr/>
        <w:t>3.1.7 or Annex 3A.2 (Reporting Tables and Worksheets).</w:t>
      </w:r>
    </w:p>
    <w:p>
      <w:pPr>
        <w:pStyle w:val="BodyText"/>
        <w:spacing w:before="1"/>
        <w:rPr>
          <w:sz w:val="11"/>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5"/>
        <w:gridCol w:w="2448"/>
        <w:gridCol w:w="2897"/>
        <w:gridCol w:w="2448"/>
      </w:tblGrid>
      <w:tr>
        <w:trPr>
          <w:trHeight w:val="534" w:hRule="atLeast"/>
        </w:trPr>
        <w:tc>
          <w:tcPr>
            <w:tcW w:w="9168" w:type="dxa"/>
            <w:gridSpan w:val="4"/>
            <w:tcBorders>
              <w:bottom w:val="double" w:sz="1" w:space="0" w:color="000000"/>
            </w:tcBorders>
          </w:tcPr>
          <w:p>
            <w:pPr>
              <w:pStyle w:val="TableParagraph"/>
              <w:spacing w:line="207" w:lineRule="exact" w:before="59"/>
              <w:ind w:left="1512" w:right="1504"/>
              <w:jc w:val="center"/>
              <w:rPr>
                <w:b/>
                <w:sz w:val="18"/>
              </w:rPr>
            </w:pPr>
            <w:r>
              <w:rPr>
                <w:b/>
                <w:sz w:val="18"/>
              </w:rPr>
              <w:t>T</w:t>
            </w:r>
            <w:r>
              <w:rPr>
                <w:b/>
                <w:sz w:val="14"/>
              </w:rPr>
              <w:t>ABLE </w:t>
            </w:r>
            <w:r>
              <w:rPr>
                <w:b/>
                <w:sz w:val="18"/>
              </w:rPr>
              <w:t>3.3.1</w:t>
            </w:r>
          </w:p>
          <w:p>
            <w:pPr>
              <w:pStyle w:val="TableParagraph"/>
              <w:spacing w:line="207" w:lineRule="exact"/>
              <w:ind w:left="1512" w:right="1507"/>
              <w:jc w:val="center"/>
              <w:rPr>
                <w:b/>
                <w:sz w:val="14"/>
              </w:rPr>
            </w:pPr>
            <w:r>
              <w:rPr>
                <w:b/>
                <w:sz w:val="18"/>
              </w:rPr>
              <w:t>T</w:t>
            </w:r>
            <w:r>
              <w:rPr>
                <w:b/>
                <w:sz w:val="14"/>
              </w:rPr>
              <w:t>IER DESCRIPTIONS FOR SUBCATEGORIES UNDER CROPLAND REMAINING CROPLAND</w:t>
            </w:r>
          </w:p>
        </w:tc>
      </w:tr>
      <w:tr>
        <w:trPr>
          <w:trHeight w:val="980" w:hRule="atLeast"/>
        </w:trPr>
        <w:tc>
          <w:tcPr>
            <w:tcW w:w="1375" w:type="dxa"/>
            <w:tcBorders>
              <w:top w:val="double" w:sz="1" w:space="0" w:color="000000"/>
            </w:tcBorders>
          </w:tcPr>
          <w:p>
            <w:pPr>
              <w:pStyle w:val="TableParagraph"/>
              <w:spacing w:before="61"/>
              <w:ind w:left="522"/>
              <w:rPr>
                <w:b/>
                <w:sz w:val="18"/>
              </w:rPr>
            </w:pPr>
            <w:r>
              <w:rPr>
                <w:b/>
                <w:sz w:val="18"/>
              </w:rPr>
              <w:t>Tier</w:t>
            </w:r>
          </w:p>
          <w:p>
            <w:pPr>
              <w:pStyle w:val="TableParagraph"/>
              <w:spacing w:line="320" w:lineRule="atLeast" w:before="7"/>
              <w:ind w:left="107" w:right="478"/>
              <w:rPr>
                <w:b/>
                <w:sz w:val="18"/>
              </w:rPr>
            </w:pPr>
            <w:r>
              <w:rPr>
                <w:b/>
                <w:sz w:val="18"/>
              </w:rPr>
              <w:t>Sub- </w:t>
            </w:r>
            <w:r>
              <w:rPr>
                <w:b/>
                <w:spacing w:val="-1"/>
                <w:sz w:val="18"/>
              </w:rPr>
              <w:t>categories</w:t>
            </w:r>
          </w:p>
        </w:tc>
        <w:tc>
          <w:tcPr>
            <w:tcW w:w="2448" w:type="dxa"/>
            <w:tcBorders>
              <w:top w:val="double" w:sz="1" w:space="0" w:color="000000"/>
            </w:tcBorders>
          </w:tcPr>
          <w:p>
            <w:pPr>
              <w:pStyle w:val="TableParagraph"/>
              <w:spacing w:before="61"/>
              <w:ind w:left="971" w:right="962"/>
              <w:jc w:val="center"/>
              <w:rPr>
                <w:b/>
                <w:sz w:val="18"/>
              </w:rPr>
            </w:pPr>
            <w:r>
              <w:rPr>
                <w:b/>
                <w:sz w:val="18"/>
              </w:rPr>
              <w:t>Tier 1</w:t>
            </w:r>
          </w:p>
        </w:tc>
        <w:tc>
          <w:tcPr>
            <w:tcW w:w="2897" w:type="dxa"/>
            <w:tcBorders>
              <w:top w:val="double" w:sz="1" w:space="0" w:color="000000"/>
            </w:tcBorders>
          </w:tcPr>
          <w:p>
            <w:pPr>
              <w:pStyle w:val="TableParagraph"/>
              <w:spacing w:before="61"/>
              <w:ind w:left="1194" w:right="1188"/>
              <w:jc w:val="center"/>
              <w:rPr>
                <w:b/>
                <w:sz w:val="18"/>
              </w:rPr>
            </w:pPr>
            <w:r>
              <w:rPr>
                <w:b/>
                <w:sz w:val="18"/>
              </w:rPr>
              <w:t>Tier 2</w:t>
            </w:r>
          </w:p>
        </w:tc>
        <w:tc>
          <w:tcPr>
            <w:tcW w:w="2448" w:type="dxa"/>
            <w:tcBorders>
              <w:top w:val="double" w:sz="1" w:space="0" w:color="000000"/>
            </w:tcBorders>
          </w:tcPr>
          <w:p>
            <w:pPr>
              <w:pStyle w:val="TableParagraph"/>
              <w:spacing w:before="61"/>
              <w:ind w:left="971" w:right="962"/>
              <w:jc w:val="center"/>
              <w:rPr>
                <w:b/>
                <w:sz w:val="18"/>
              </w:rPr>
            </w:pPr>
            <w:r>
              <w:rPr>
                <w:b/>
                <w:sz w:val="18"/>
              </w:rPr>
              <w:t>Tier 3</w:t>
            </w:r>
          </w:p>
        </w:tc>
      </w:tr>
      <w:tr>
        <w:trPr>
          <w:trHeight w:val="3345" w:hRule="atLeast"/>
        </w:trPr>
        <w:tc>
          <w:tcPr>
            <w:tcW w:w="1375" w:type="dxa"/>
          </w:tcPr>
          <w:p>
            <w:pPr>
              <w:pStyle w:val="TableParagraph"/>
              <w:spacing w:before="55"/>
              <w:ind w:left="107" w:right="92"/>
              <w:rPr>
                <w:sz w:val="18"/>
              </w:rPr>
            </w:pPr>
            <w:r>
              <w:rPr>
                <w:sz w:val="18"/>
              </w:rPr>
              <w:t>Living Biomass (for perennial woody crops)</w:t>
            </w:r>
          </w:p>
        </w:tc>
        <w:tc>
          <w:tcPr>
            <w:tcW w:w="2448" w:type="dxa"/>
          </w:tcPr>
          <w:p>
            <w:pPr>
              <w:pStyle w:val="TableParagraph"/>
              <w:spacing w:before="55"/>
              <w:ind w:left="107" w:right="176"/>
              <w:rPr>
                <w:sz w:val="18"/>
              </w:rPr>
            </w:pPr>
            <w:r>
              <w:rPr>
                <w:sz w:val="18"/>
              </w:rPr>
              <w:t>Use default coefficients for carbon accumulation and loss rates. The average area of perennial woody crops is estimated by climate region.</w:t>
            </w:r>
          </w:p>
        </w:tc>
        <w:tc>
          <w:tcPr>
            <w:tcW w:w="2897" w:type="dxa"/>
          </w:tcPr>
          <w:p>
            <w:pPr>
              <w:pStyle w:val="TableParagraph"/>
              <w:spacing w:before="55"/>
              <w:ind w:left="107" w:right="136"/>
              <w:rPr>
                <w:sz w:val="18"/>
              </w:rPr>
            </w:pPr>
            <w:r>
              <w:rPr>
                <w:sz w:val="18"/>
              </w:rPr>
              <w:t>Use at least some country-specific values for carbon accumulation and loss rates. Use detailed annual or periodic surveys to estimate the area of land in perennial woody crops, disaggregated to scales that match the country-specific rates. Consider including belowground biomass in estimate, if data are available. May rely on alternate approach of measuring or estimating carbon stocks at two points in time, in lieu of developing rates of change in carbon stocks.</w:t>
            </w:r>
          </w:p>
        </w:tc>
        <w:tc>
          <w:tcPr>
            <w:tcW w:w="2448" w:type="dxa"/>
          </w:tcPr>
          <w:p>
            <w:pPr>
              <w:pStyle w:val="TableParagraph"/>
              <w:spacing w:before="55"/>
              <w:ind w:left="107" w:right="136"/>
              <w:rPr>
                <w:sz w:val="18"/>
              </w:rPr>
            </w:pPr>
            <w:r>
              <w:rPr>
                <w:sz w:val="18"/>
              </w:rPr>
              <w:t>Use highly disaggregated area estimates for detailed categories of perennial woody crops (e.g., coffee, orchards, intercropping systems).</w:t>
            </w:r>
          </w:p>
          <w:p>
            <w:pPr>
              <w:pStyle w:val="TableParagraph"/>
              <w:spacing w:before="119"/>
              <w:ind w:left="107" w:right="81"/>
              <w:rPr>
                <w:sz w:val="18"/>
              </w:rPr>
            </w:pPr>
            <w:r>
              <w:rPr>
                <w:sz w:val="18"/>
              </w:rPr>
              <w:t>Applies country-specific rates or estimates of carbon stock changes in the specific perennial woody crop systems. May use a country-specific approach at fine spatial scale (e.g., modeling, measurement) provided it yields a more accurate estimate of carbon stock changes.</w:t>
            </w:r>
          </w:p>
        </w:tc>
      </w:tr>
      <w:tr>
        <w:trPr>
          <w:trHeight w:val="2603" w:hRule="atLeast"/>
        </w:trPr>
        <w:tc>
          <w:tcPr>
            <w:tcW w:w="1375" w:type="dxa"/>
          </w:tcPr>
          <w:p>
            <w:pPr>
              <w:pStyle w:val="TableParagraph"/>
              <w:spacing w:before="55"/>
              <w:ind w:left="107"/>
              <w:rPr>
                <w:sz w:val="18"/>
              </w:rPr>
            </w:pPr>
            <w:r>
              <w:rPr>
                <w:sz w:val="18"/>
              </w:rPr>
              <w:t>Soils</w:t>
            </w:r>
          </w:p>
        </w:tc>
        <w:tc>
          <w:tcPr>
            <w:tcW w:w="2448" w:type="dxa"/>
          </w:tcPr>
          <w:p>
            <w:pPr>
              <w:pStyle w:val="TableParagraph"/>
              <w:spacing w:before="55"/>
              <w:ind w:left="107" w:right="161" w:hanging="1"/>
              <w:rPr>
                <w:sz w:val="18"/>
              </w:rPr>
            </w:pPr>
            <w:r>
              <w:rPr>
                <w:sz w:val="18"/>
              </w:rPr>
              <w:t>For changes in soil carbon from mineral soils use default coefficients. Areas should be stratified by climate and soil type. For changes in soil carbon from organic soils use default coefficients and stratify the areas by climatic region. For emissions from liming, use default emission factors as given in </w:t>
            </w:r>
            <w:r>
              <w:rPr>
                <w:i/>
                <w:sz w:val="18"/>
              </w:rPr>
              <w:t>IPCC Guidelines</w:t>
            </w:r>
            <w:r>
              <w:rPr>
                <w:sz w:val="18"/>
              </w:rPr>
              <w:t>.</w:t>
            </w:r>
          </w:p>
        </w:tc>
        <w:tc>
          <w:tcPr>
            <w:tcW w:w="2897" w:type="dxa"/>
          </w:tcPr>
          <w:p>
            <w:pPr>
              <w:pStyle w:val="TableParagraph"/>
              <w:spacing w:before="55"/>
              <w:ind w:left="107" w:right="125"/>
              <w:rPr>
                <w:sz w:val="18"/>
              </w:rPr>
            </w:pPr>
            <w:r>
              <w:rPr>
                <w:sz w:val="18"/>
              </w:rPr>
              <w:t>For both mineral and organic soils use some combination of default and/or country-specific coefficients and area estimates of increasingly finer spatial resolution. For emissions from liming, use emission factors differentiated by forms of lime.</w:t>
            </w:r>
          </w:p>
        </w:tc>
        <w:tc>
          <w:tcPr>
            <w:tcW w:w="2448" w:type="dxa"/>
          </w:tcPr>
          <w:p>
            <w:pPr>
              <w:pStyle w:val="TableParagraph"/>
              <w:spacing w:before="55"/>
              <w:ind w:left="107" w:right="111"/>
              <w:rPr>
                <w:sz w:val="18"/>
              </w:rPr>
            </w:pPr>
            <w:r>
              <w:rPr>
                <w:sz w:val="18"/>
              </w:rPr>
              <w:t>Use country-specific approach at fine spatial scale (e.g., modeling, measurement)</w:t>
            </w:r>
          </w:p>
        </w:tc>
      </w:tr>
    </w:tbl>
    <w:p>
      <w:pPr>
        <w:pStyle w:val="BodyText"/>
        <w:spacing w:before="9"/>
        <w:rPr>
          <w:sz w:val="23"/>
        </w:rPr>
      </w:pPr>
    </w:p>
    <w:p>
      <w:pPr>
        <w:pStyle w:val="Heading6"/>
        <w:numPr>
          <w:ilvl w:val="3"/>
          <w:numId w:val="59"/>
        </w:numPr>
        <w:tabs>
          <w:tab w:pos="1660" w:val="left" w:leader="none"/>
        </w:tabs>
        <w:spacing w:line="240" w:lineRule="auto" w:before="0" w:after="0"/>
        <w:ind w:left="1659" w:right="0" w:hanging="1440"/>
        <w:jc w:val="both"/>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LIVING</w:t>
      </w:r>
      <w:r>
        <w:rPr>
          <w:spacing w:val="42"/>
        </w:rPr>
        <w:t> </w:t>
      </w:r>
      <w:r>
        <w:rPr>
          <w:spacing w:val="17"/>
        </w:rPr>
        <w:t>BIOMASS</w:t>
      </w:r>
    </w:p>
    <w:p>
      <w:pPr>
        <w:pStyle w:val="BodyText"/>
        <w:spacing w:before="209"/>
        <w:ind w:left="219" w:right="263"/>
        <w:jc w:val="both"/>
      </w:pPr>
      <w:r>
        <w:rPr/>
        <w:t>Carbon can be stored in the biomass of croplands that contain perennial woody vegetation, including, but not limited to, monocultures such as coffee, oil palm, coconut, and rubber plantations, and fruit and nut orchards, and polycultures such as agroforestry systems. The basic methodology for estimating changes in woody biomass is provided in the </w:t>
      </w:r>
      <w:r>
        <w:rPr>
          <w:i/>
        </w:rPr>
        <w:t>IPCC Guidelines </w:t>
      </w:r>
      <w:r>
        <w:rPr/>
        <w:t>Section 5.2.2 (Changes in Forest and Other Woody Biomass Stocks) and in Section 3.2.1.1 (Changes in Carbon Stocks in Living Biomass) under Section 3.2.1 (Forest land Remaining Forest land) of this report. This section elaborates these methodologies with respect to estimating changes in carbon stocks in living biomass in cropland remaining</w:t>
      </w:r>
      <w:r>
        <w:rPr>
          <w:spacing w:val="-9"/>
        </w:rPr>
        <w:t> </w:t>
      </w:r>
      <w:r>
        <w:rPr/>
        <w:t>cropland.</w:t>
      </w:r>
    </w:p>
    <w:p>
      <w:pPr>
        <w:spacing w:after="0"/>
        <w:jc w:val="both"/>
        <w:sectPr>
          <w:pgSz w:w="11900" w:h="16840"/>
          <w:pgMar w:header="230" w:footer="408" w:top="560" w:bottom="600" w:left="1200" w:right="1140"/>
        </w:sectPr>
      </w:pPr>
    </w:p>
    <w:p>
      <w:pPr>
        <w:pStyle w:val="BodyText"/>
      </w:pPr>
    </w:p>
    <w:p>
      <w:pPr>
        <w:pStyle w:val="Heading6"/>
        <w:numPr>
          <w:ilvl w:val="4"/>
          <w:numId w:val="59"/>
        </w:numPr>
        <w:tabs>
          <w:tab w:pos="1243" w:val="left" w:leader="none"/>
        </w:tabs>
        <w:spacing w:line="240" w:lineRule="auto" w:before="214" w:after="0"/>
        <w:ind w:left="1242" w:right="0" w:hanging="1023"/>
        <w:jc w:val="left"/>
      </w:pPr>
      <w:r>
        <w:rPr/>
        <w:t>1 </w:t>
      </w:r>
      <w:r>
        <w:rPr>
          <w:spacing w:val="17"/>
        </w:rPr>
        <w:t>METHODOLOGICAL</w:t>
      </w:r>
      <w:r>
        <w:rPr>
          <w:spacing w:val="23"/>
        </w:rPr>
        <w:t> </w:t>
      </w:r>
      <w:r>
        <w:rPr>
          <w:spacing w:val="16"/>
        </w:rPr>
        <w:t>ISSUES</w:t>
      </w:r>
    </w:p>
    <w:p>
      <w:pPr>
        <w:pStyle w:val="BodyText"/>
        <w:spacing w:before="117"/>
        <w:ind w:left="219" w:right="266"/>
        <w:jc w:val="both"/>
      </w:pPr>
      <w:r>
        <w:rPr/>
        <w:t>The change in biomass is only estimated for perennial woody crops. For annual crops, increase in biomass stocks in a single year is assumed equal to biomass losses from harvest and mortality in that same year - thus there is no net accumulation of biomass carbon stocks.</w:t>
      </w:r>
    </w:p>
    <w:p>
      <w:pPr>
        <w:pStyle w:val="BodyText"/>
        <w:spacing w:before="118"/>
        <w:ind w:left="219"/>
        <w:jc w:val="both"/>
      </w:pPr>
      <w:r>
        <w:rPr/>
        <w:t>The principal equation for total change in carbon stocks of living biomass in perennial woody crops on cropland</w:t>
      </w:r>
    </w:p>
    <w:p>
      <w:pPr>
        <w:spacing w:after="0"/>
        <w:jc w:val="both"/>
        <w:sectPr>
          <w:pgSz w:w="11900" w:h="16840"/>
          <w:pgMar w:header="230" w:footer="408" w:top="560" w:bottom="600" w:left="1200" w:right="1140"/>
        </w:sectPr>
      </w:pPr>
    </w:p>
    <w:p>
      <w:pPr>
        <w:pStyle w:val="BodyText"/>
        <w:spacing w:before="15"/>
        <w:ind w:left="219"/>
      </w:pPr>
      <w:r>
        <w:rPr>
          <w:w w:val="99"/>
        </w:rPr>
        <w:t>(</w:t>
      </w:r>
      <w:r>
        <w:rPr>
          <w:rFonts w:ascii="Symbol" w:hAnsi="Symbol"/>
          <w:w w:val="101"/>
        </w:rPr>
        <w:t>∆</w:t>
      </w:r>
      <w:r>
        <w:rPr>
          <w:spacing w:val="-1"/>
          <w:w w:val="99"/>
        </w:rPr>
        <w:t>C</w:t>
      </w:r>
      <w:r>
        <w:rPr>
          <w:spacing w:val="-1"/>
          <w:w w:val="99"/>
          <w:vertAlign w:val="subscript"/>
        </w:rPr>
        <w:t>CC</w:t>
      </w:r>
    </w:p>
    <w:p>
      <w:pPr>
        <w:pStyle w:val="BodyText"/>
        <w:spacing w:line="193" w:lineRule="exact" w:before="15"/>
        <w:ind w:left="125"/>
      </w:pPr>
      <w:r>
        <w:rPr/>
        <w:br w:type="column"/>
      </w:r>
      <w:r>
        <w:rPr/>
        <w:t>) is the same as Equation 3.2.2 in Section 3.2.1 (Forest land Remaining Forest land), with the only</w:t>
      </w:r>
    </w:p>
    <w:p>
      <w:pPr>
        <w:spacing w:line="106" w:lineRule="exact" w:before="0"/>
        <w:ind w:left="-38" w:right="0" w:firstLine="0"/>
        <w:jc w:val="left"/>
        <w:rPr>
          <w:sz w:val="13"/>
        </w:rPr>
      </w:pPr>
      <w:r>
        <w:rPr>
          <w:sz w:val="13"/>
        </w:rPr>
        <w:t>LB</w:t>
      </w:r>
    </w:p>
    <w:p>
      <w:pPr>
        <w:spacing w:after="0" w:line="106" w:lineRule="exact"/>
        <w:jc w:val="left"/>
        <w:rPr>
          <w:sz w:val="13"/>
        </w:rPr>
        <w:sectPr>
          <w:type w:val="continuous"/>
          <w:pgSz w:w="11900" w:h="16840"/>
          <w:pgMar w:top="1060" w:bottom="280" w:left="1200" w:right="1140"/>
          <w:cols w:num="2" w:equalWidth="0">
            <w:col w:w="714" w:space="40"/>
            <w:col w:w="8806"/>
          </w:cols>
        </w:sectPr>
      </w:pPr>
    </w:p>
    <w:p>
      <w:pPr>
        <w:pStyle w:val="BodyText"/>
        <w:spacing w:line="237" w:lineRule="auto"/>
        <w:ind w:left="219" w:right="266"/>
      </w:pPr>
      <w:r>
        <w:rPr/>
        <w:t>difference being that estimates of carbon stock changes apply to aboveground biomass only because limited data are available on belowground biomass. Default growth and loss rates are given in Table 3.3.2.</w:t>
      </w:r>
    </w:p>
    <w:p>
      <w:pPr>
        <w:pStyle w:val="BodyText"/>
        <w:spacing w:before="6"/>
        <w:rPr>
          <w:sz w:val="1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8"/>
        <w:gridCol w:w="1448"/>
        <w:gridCol w:w="1117"/>
        <w:gridCol w:w="1782"/>
        <w:gridCol w:w="1811"/>
        <w:gridCol w:w="1269"/>
      </w:tblGrid>
      <w:tr>
        <w:trPr>
          <w:trHeight w:val="740" w:hRule="atLeast"/>
        </w:trPr>
        <w:tc>
          <w:tcPr>
            <w:tcW w:w="9165" w:type="dxa"/>
            <w:gridSpan w:val="6"/>
            <w:tcBorders>
              <w:bottom w:val="double" w:sz="1" w:space="0" w:color="000000"/>
            </w:tcBorders>
          </w:tcPr>
          <w:p>
            <w:pPr>
              <w:pStyle w:val="TableParagraph"/>
              <w:spacing w:line="207" w:lineRule="exact" w:before="59"/>
              <w:ind w:left="165" w:right="164"/>
              <w:jc w:val="center"/>
              <w:rPr>
                <w:b/>
                <w:sz w:val="18"/>
              </w:rPr>
            </w:pPr>
            <w:r>
              <w:rPr>
                <w:b/>
                <w:sz w:val="18"/>
              </w:rPr>
              <w:t>T</w:t>
            </w:r>
            <w:r>
              <w:rPr>
                <w:b/>
                <w:sz w:val="14"/>
              </w:rPr>
              <w:t>ABLE </w:t>
            </w:r>
            <w:r>
              <w:rPr>
                <w:b/>
                <w:sz w:val="18"/>
              </w:rPr>
              <w:t>3.3.2</w:t>
            </w:r>
          </w:p>
          <w:p>
            <w:pPr>
              <w:pStyle w:val="TableParagraph"/>
              <w:spacing w:line="285" w:lineRule="auto"/>
              <w:ind w:left="167" w:right="164"/>
              <w:jc w:val="center"/>
              <w:rPr>
                <w:b/>
                <w:sz w:val="14"/>
              </w:rPr>
            </w:pPr>
            <w:r>
              <w:rPr>
                <w:b/>
                <w:sz w:val="18"/>
              </w:rPr>
              <w:t>D</w:t>
            </w:r>
            <w:r>
              <w:rPr>
                <w:b/>
                <w:sz w:val="14"/>
              </w:rPr>
              <w:t>EFAULT COEFFICIENTS FOR ABOVEGROUND WOODY BIOMASS AND HARVEST CYCLES IN CROPPING SYSTEMS CONTAINING PERENNIAL SPECIES</w:t>
            </w:r>
          </w:p>
        </w:tc>
      </w:tr>
      <w:tr>
        <w:trPr>
          <w:trHeight w:val="1067" w:hRule="atLeast"/>
        </w:trPr>
        <w:tc>
          <w:tcPr>
            <w:tcW w:w="1738" w:type="dxa"/>
            <w:tcBorders>
              <w:top w:val="double" w:sz="1" w:space="0" w:color="000000"/>
            </w:tcBorders>
          </w:tcPr>
          <w:p>
            <w:pPr>
              <w:pStyle w:val="TableParagraph"/>
              <w:spacing w:before="61"/>
              <w:ind w:left="297"/>
              <w:rPr>
                <w:b/>
                <w:sz w:val="18"/>
              </w:rPr>
            </w:pPr>
            <w:r>
              <w:rPr>
                <w:b/>
                <w:sz w:val="18"/>
              </w:rPr>
              <w:t>Climate region</w:t>
            </w:r>
          </w:p>
        </w:tc>
        <w:tc>
          <w:tcPr>
            <w:tcW w:w="1448" w:type="dxa"/>
            <w:tcBorders>
              <w:top w:val="double" w:sz="1" w:space="0" w:color="000000"/>
            </w:tcBorders>
          </w:tcPr>
          <w:p>
            <w:pPr>
              <w:pStyle w:val="TableParagraph"/>
              <w:spacing w:before="61"/>
              <w:ind w:left="119" w:right="89" w:firstLine="79"/>
              <w:rPr>
                <w:b/>
                <w:sz w:val="18"/>
              </w:rPr>
            </w:pPr>
            <w:r>
              <w:rPr>
                <w:b/>
                <w:sz w:val="18"/>
              </w:rPr>
              <w:t>Aboveground biomass carbon stock at harvest</w:t>
            </w:r>
          </w:p>
          <w:p>
            <w:pPr>
              <w:pStyle w:val="TableParagraph"/>
              <w:spacing w:before="121"/>
              <w:ind w:left="157"/>
              <w:rPr>
                <w:b/>
                <w:sz w:val="18"/>
              </w:rPr>
            </w:pPr>
            <w:r>
              <w:rPr>
                <w:b/>
                <w:sz w:val="18"/>
              </w:rPr>
              <w:t>(tonnes C ha</w:t>
            </w:r>
            <w:r>
              <w:rPr>
                <w:b/>
                <w:sz w:val="18"/>
                <w:vertAlign w:val="superscript"/>
              </w:rPr>
              <w:t>-1</w:t>
            </w:r>
            <w:r>
              <w:rPr>
                <w:b/>
                <w:sz w:val="18"/>
                <w:vertAlign w:val="baseline"/>
              </w:rPr>
              <w:t>)</w:t>
            </w:r>
          </w:p>
        </w:tc>
        <w:tc>
          <w:tcPr>
            <w:tcW w:w="1117" w:type="dxa"/>
            <w:tcBorders>
              <w:top w:val="double" w:sz="1" w:space="0" w:color="000000"/>
            </w:tcBorders>
          </w:tcPr>
          <w:p>
            <w:pPr>
              <w:pStyle w:val="TableParagraph"/>
              <w:spacing w:line="207" w:lineRule="exact" w:before="61"/>
              <w:ind w:left="252"/>
              <w:rPr>
                <w:b/>
                <w:sz w:val="18"/>
              </w:rPr>
            </w:pPr>
            <w:r>
              <w:rPr>
                <w:b/>
                <w:sz w:val="18"/>
              </w:rPr>
              <w:t>Harvest</w:t>
            </w:r>
          </w:p>
          <w:p>
            <w:pPr>
              <w:pStyle w:val="TableParagraph"/>
              <w:ind w:left="180" w:right="172"/>
              <w:jc w:val="center"/>
              <w:rPr>
                <w:b/>
                <w:sz w:val="18"/>
              </w:rPr>
            </w:pPr>
            <w:r>
              <w:rPr>
                <w:b/>
                <w:sz w:val="18"/>
              </w:rPr>
              <w:t>/Maturity cycle</w:t>
            </w:r>
          </w:p>
          <w:p>
            <w:pPr>
              <w:pStyle w:val="TableParagraph"/>
              <w:spacing w:before="121"/>
              <w:ind w:left="178" w:right="172"/>
              <w:jc w:val="center"/>
              <w:rPr>
                <w:b/>
                <w:sz w:val="18"/>
              </w:rPr>
            </w:pPr>
            <w:r>
              <w:rPr>
                <w:b/>
                <w:sz w:val="18"/>
              </w:rPr>
              <w:t>(yr)</w:t>
            </w:r>
          </w:p>
        </w:tc>
        <w:tc>
          <w:tcPr>
            <w:tcW w:w="1782" w:type="dxa"/>
            <w:tcBorders>
              <w:top w:val="double" w:sz="1" w:space="0" w:color="000000"/>
            </w:tcBorders>
          </w:tcPr>
          <w:p>
            <w:pPr>
              <w:pStyle w:val="TableParagraph"/>
              <w:spacing w:before="61"/>
              <w:ind w:left="191" w:right="185" w:hanging="1"/>
              <w:jc w:val="center"/>
              <w:rPr>
                <w:b/>
                <w:sz w:val="18"/>
              </w:rPr>
            </w:pPr>
            <w:r>
              <w:rPr>
                <w:b/>
                <w:sz w:val="18"/>
              </w:rPr>
              <w:t>Biomass accumulation rate (G)</w:t>
            </w:r>
          </w:p>
          <w:p>
            <w:pPr>
              <w:pStyle w:val="TableParagraph"/>
              <w:spacing w:before="121"/>
              <w:ind w:left="147" w:right="144"/>
              <w:jc w:val="center"/>
              <w:rPr>
                <w:b/>
                <w:sz w:val="18"/>
              </w:rPr>
            </w:pPr>
            <w:r>
              <w:rPr>
                <w:b/>
                <w:sz w:val="18"/>
              </w:rPr>
              <w:t>(tonnes C ha</w:t>
            </w:r>
            <w:r>
              <w:rPr>
                <w:b/>
                <w:sz w:val="18"/>
                <w:vertAlign w:val="superscript"/>
              </w:rPr>
              <w:t>-1</w:t>
            </w:r>
            <w:r>
              <w:rPr>
                <w:b/>
                <w:sz w:val="18"/>
                <w:vertAlign w:val="baseline"/>
              </w:rPr>
              <w:t> yr</w:t>
            </w:r>
            <w:r>
              <w:rPr>
                <w:b/>
                <w:sz w:val="18"/>
                <w:vertAlign w:val="superscript"/>
              </w:rPr>
              <w:t>-1</w:t>
            </w:r>
            <w:r>
              <w:rPr>
                <w:b/>
                <w:sz w:val="18"/>
                <w:vertAlign w:val="baseline"/>
              </w:rPr>
              <w:t>)</w:t>
            </w:r>
          </w:p>
        </w:tc>
        <w:tc>
          <w:tcPr>
            <w:tcW w:w="1811" w:type="dxa"/>
            <w:tcBorders>
              <w:top w:val="double" w:sz="1" w:space="0" w:color="000000"/>
            </w:tcBorders>
          </w:tcPr>
          <w:p>
            <w:pPr>
              <w:pStyle w:val="TableParagraph"/>
              <w:spacing w:before="61"/>
              <w:ind w:left="125" w:right="124"/>
              <w:jc w:val="center"/>
              <w:rPr>
                <w:b/>
                <w:sz w:val="18"/>
              </w:rPr>
            </w:pPr>
            <w:r>
              <w:rPr>
                <w:b/>
                <w:sz w:val="18"/>
              </w:rPr>
              <w:t>Biomass carbon loss (L)</w:t>
            </w:r>
          </w:p>
          <w:p>
            <w:pPr>
              <w:pStyle w:val="TableParagraph"/>
              <w:spacing w:before="119"/>
              <w:ind w:left="125" w:right="124"/>
              <w:jc w:val="center"/>
              <w:rPr>
                <w:b/>
                <w:sz w:val="18"/>
              </w:rPr>
            </w:pPr>
            <w:r>
              <w:rPr>
                <w:b/>
                <w:sz w:val="18"/>
              </w:rPr>
              <w:t>(tonnes C ha</w:t>
            </w:r>
            <w:r>
              <w:rPr>
                <w:b/>
                <w:sz w:val="18"/>
                <w:vertAlign w:val="superscript"/>
              </w:rPr>
              <w:t>-1</w:t>
            </w:r>
            <w:r>
              <w:rPr>
                <w:b/>
                <w:sz w:val="18"/>
                <w:vertAlign w:val="baseline"/>
              </w:rPr>
              <w:t>)</w:t>
            </w:r>
          </w:p>
        </w:tc>
        <w:tc>
          <w:tcPr>
            <w:tcW w:w="1269" w:type="dxa"/>
            <w:tcBorders>
              <w:top w:val="double" w:sz="1" w:space="0" w:color="000000"/>
            </w:tcBorders>
          </w:tcPr>
          <w:p>
            <w:pPr>
              <w:pStyle w:val="TableParagraph"/>
              <w:spacing w:before="61"/>
              <w:ind w:left="112" w:right="113"/>
              <w:jc w:val="center"/>
              <w:rPr>
                <w:b/>
                <w:sz w:val="18"/>
              </w:rPr>
            </w:pPr>
            <w:r>
              <w:rPr>
                <w:b/>
                <w:sz w:val="18"/>
              </w:rPr>
              <w:t>Error range</w:t>
            </w:r>
            <w:r>
              <w:rPr>
                <w:b/>
                <w:sz w:val="18"/>
                <w:vertAlign w:val="superscript"/>
              </w:rPr>
              <w:t>1</w:t>
            </w:r>
          </w:p>
        </w:tc>
      </w:tr>
      <w:tr>
        <w:trPr>
          <w:trHeight w:val="534" w:hRule="atLeast"/>
        </w:trPr>
        <w:tc>
          <w:tcPr>
            <w:tcW w:w="1738" w:type="dxa"/>
          </w:tcPr>
          <w:p>
            <w:pPr>
              <w:pStyle w:val="TableParagraph"/>
              <w:spacing w:before="55"/>
              <w:ind w:left="107" w:right="296"/>
              <w:rPr>
                <w:sz w:val="18"/>
              </w:rPr>
            </w:pPr>
            <w:r>
              <w:rPr>
                <w:sz w:val="18"/>
              </w:rPr>
              <w:t>Temperate (all moisture regimes)</w:t>
            </w:r>
          </w:p>
        </w:tc>
        <w:tc>
          <w:tcPr>
            <w:tcW w:w="1448" w:type="dxa"/>
          </w:tcPr>
          <w:p>
            <w:pPr>
              <w:pStyle w:val="TableParagraph"/>
              <w:spacing w:before="55"/>
              <w:ind w:left="211" w:right="206"/>
              <w:jc w:val="center"/>
              <w:rPr>
                <w:sz w:val="18"/>
              </w:rPr>
            </w:pPr>
            <w:r>
              <w:rPr>
                <w:sz w:val="18"/>
              </w:rPr>
              <w:t>63</w:t>
            </w:r>
          </w:p>
        </w:tc>
        <w:tc>
          <w:tcPr>
            <w:tcW w:w="1117" w:type="dxa"/>
          </w:tcPr>
          <w:p>
            <w:pPr>
              <w:pStyle w:val="TableParagraph"/>
              <w:spacing w:before="55"/>
              <w:ind w:left="175" w:right="172"/>
              <w:jc w:val="center"/>
              <w:rPr>
                <w:sz w:val="18"/>
              </w:rPr>
            </w:pPr>
            <w:r>
              <w:rPr>
                <w:sz w:val="18"/>
              </w:rPr>
              <w:t>30</w:t>
            </w:r>
          </w:p>
        </w:tc>
        <w:tc>
          <w:tcPr>
            <w:tcW w:w="1782" w:type="dxa"/>
          </w:tcPr>
          <w:p>
            <w:pPr>
              <w:pStyle w:val="TableParagraph"/>
              <w:spacing w:before="55"/>
              <w:ind w:left="145" w:right="144"/>
              <w:jc w:val="center"/>
              <w:rPr>
                <w:sz w:val="18"/>
              </w:rPr>
            </w:pPr>
            <w:r>
              <w:rPr>
                <w:sz w:val="18"/>
              </w:rPr>
              <w:t>2.1</w:t>
            </w:r>
          </w:p>
        </w:tc>
        <w:tc>
          <w:tcPr>
            <w:tcW w:w="1811" w:type="dxa"/>
          </w:tcPr>
          <w:p>
            <w:pPr>
              <w:pStyle w:val="TableParagraph"/>
              <w:spacing w:before="55"/>
              <w:ind w:left="125" w:right="124"/>
              <w:jc w:val="center"/>
              <w:rPr>
                <w:sz w:val="18"/>
              </w:rPr>
            </w:pPr>
            <w:r>
              <w:rPr>
                <w:sz w:val="18"/>
              </w:rPr>
              <w:t>63</w:t>
            </w:r>
          </w:p>
        </w:tc>
        <w:tc>
          <w:tcPr>
            <w:tcW w:w="1269" w:type="dxa"/>
          </w:tcPr>
          <w:p>
            <w:pPr>
              <w:pStyle w:val="TableParagraph"/>
              <w:spacing w:before="55"/>
              <w:ind w:left="112" w:right="112"/>
              <w:jc w:val="center"/>
              <w:rPr>
                <w:sz w:val="18"/>
              </w:rPr>
            </w:pPr>
            <w:r>
              <w:rPr>
                <w:sz w:val="18"/>
                <w:u w:val="single"/>
              </w:rPr>
              <w:t>+</w:t>
            </w:r>
            <w:r>
              <w:rPr>
                <w:sz w:val="18"/>
              </w:rPr>
              <w:t> 75%</w:t>
            </w:r>
          </w:p>
        </w:tc>
      </w:tr>
      <w:tr>
        <w:trPr>
          <w:trHeight w:val="328" w:hRule="atLeast"/>
        </w:trPr>
        <w:tc>
          <w:tcPr>
            <w:tcW w:w="1738" w:type="dxa"/>
          </w:tcPr>
          <w:p>
            <w:pPr>
              <w:pStyle w:val="TableParagraph"/>
              <w:spacing w:before="55"/>
              <w:ind w:left="107"/>
              <w:rPr>
                <w:sz w:val="18"/>
              </w:rPr>
            </w:pPr>
            <w:r>
              <w:rPr>
                <w:sz w:val="18"/>
              </w:rPr>
              <w:t>Tropical, dry</w:t>
            </w:r>
          </w:p>
        </w:tc>
        <w:tc>
          <w:tcPr>
            <w:tcW w:w="1448" w:type="dxa"/>
          </w:tcPr>
          <w:p>
            <w:pPr>
              <w:pStyle w:val="TableParagraph"/>
              <w:spacing w:before="55"/>
              <w:ind w:left="5"/>
              <w:jc w:val="center"/>
              <w:rPr>
                <w:sz w:val="18"/>
              </w:rPr>
            </w:pPr>
            <w:r>
              <w:rPr>
                <w:sz w:val="18"/>
              </w:rPr>
              <w:t>9</w:t>
            </w:r>
          </w:p>
        </w:tc>
        <w:tc>
          <w:tcPr>
            <w:tcW w:w="1117" w:type="dxa"/>
          </w:tcPr>
          <w:p>
            <w:pPr>
              <w:pStyle w:val="TableParagraph"/>
              <w:spacing w:before="55"/>
              <w:ind w:left="3"/>
              <w:jc w:val="center"/>
              <w:rPr>
                <w:sz w:val="18"/>
              </w:rPr>
            </w:pPr>
            <w:r>
              <w:rPr>
                <w:sz w:val="18"/>
              </w:rPr>
              <w:t>5</w:t>
            </w:r>
          </w:p>
        </w:tc>
        <w:tc>
          <w:tcPr>
            <w:tcW w:w="1782" w:type="dxa"/>
          </w:tcPr>
          <w:p>
            <w:pPr>
              <w:pStyle w:val="TableParagraph"/>
              <w:spacing w:before="55"/>
              <w:ind w:left="146" w:right="144"/>
              <w:jc w:val="center"/>
              <w:rPr>
                <w:sz w:val="18"/>
              </w:rPr>
            </w:pPr>
            <w:r>
              <w:rPr>
                <w:sz w:val="18"/>
              </w:rPr>
              <w:t>1.8</w:t>
            </w:r>
          </w:p>
        </w:tc>
        <w:tc>
          <w:tcPr>
            <w:tcW w:w="1811" w:type="dxa"/>
          </w:tcPr>
          <w:p>
            <w:pPr>
              <w:pStyle w:val="TableParagraph"/>
              <w:spacing w:before="55"/>
              <w:ind w:left="1"/>
              <w:jc w:val="center"/>
              <w:rPr>
                <w:sz w:val="18"/>
              </w:rPr>
            </w:pPr>
            <w:r>
              <w:rPr>
                <w:sz w:val="18"/>
              </w:rPr>
              <w:t>9</w:t>
            </w:r>
          </w:p>
        </w:tc>
        <w:tc>
          <w:tcPr>
            <w:tcW w:w="1269" w:type="dxa"/>
          </w:tcPr>
          <w:p>
            <w:pPr>
              <w:pStyle w:val="TableParagraph"/>
              <w:spacing w:before="55"/>
              <w:ind w:left="112" w:right="113"/>
              <w:jc w:val="center"/>
              <w:rPr>
                <w:sz w:val="18"/>
              </w:rPr>
            </w:pPr>
            <w:r>
              <w:rPr>
                <w:sz w:val="18"/>
                <w:u w:val="single"/>
              </w:rPr>
              <w:t>+</w:t>
            </w:r>
            <w:r>
              <w:rPr>
                <w:sz w:val="18"/>
              </w:rPr>
              <w:t> 75%</w:t>
            </w:r>
          </w:p>
        </w:tc>
      </w:tr>
      <w:tr>
        <w:trPr>
          <w:trHeight w:val="326" w:hRule="atLeast"/>
        </w:trPr>
        <w:tc>
          <w:tcPr>
            <w:tcW w:w="1738" w:type="dxa"/>
          </w:tcPr>
          <w:p>
            <w:pPr>
              <w:pStyle w:val="TableParagraph"/>
              <w:spacing w:before="55"/>
              <w:ind w:left="107"/>
              <w:rPr>
                <w:sz w:val="18"/>
              </w:rPr>
            </w:pPr>
            <w:r>
              <w:rPr>
                <w:sz w:val="18"/>
              </w:rPr>
              <w:t>Tropical, moist</w:t>
            </w:r>
          </w:p>
        </w:tc>
        <w:tc>
          <w:tcPr>
            <w:tcW w:w="1448" w:type="dxa"/>
          </w:tcPr>
          <w:p>
            <w:pPr>
              <w:pStyle w:val="TableParagraph"/>
              <w:spacing w:before="55"/>
              <w:ind w:left="214" w:right="206"/>
              <w:jc w:val="center"/>
              <w:rPr>
                <w:sz w:val="18"/>
              </w:rPr>
            </w:pPr>
            <w:r>
              <w:rPr>
                <w:sz w:val="18"/>
              </w:rPr>
              <w:t>21</w:t>
            </w:r>
          </w:p>
        </w:tc>
        <w:tc>
          <w:tcPr>
            <w:tcW w:w="1117" w:type="dxa"/>
          </w:tcPr>
          <w:p>
            <w:pPr>
              <w:pStyle w:val="TableParagraph"/>
              <w:spacing w:before="55"/>
              <w:ind w:left="4"/>
              <w:jc w:val="center"/>
              <w:rPr>
                <w:sz w:val="18"/>
              </w:rPr>
            </w:pPr>
            <w:r>
              <w:rPr>
                <w:sz w:val="18"/>
              </w:rPr>
              <w:t>8</w:t>
            </w:r>
          </w:p>
        </w:tc>
        <w:tc>
          <w:tcPr>
            <w:tcW w:w="1782" w:type="dxa"/>
          </w:tcPr>
          <w:p>
            <w:pPr>
              <w:pStyle w:val="TableParagraph"/>
              <w:spacing w:before="55"/>
              <w:ind w:left="146" w:right="144"/>
              <w:jc w:val="center"/>
              <w:rPr>
                <w:sz w:val="18"/>
              </w:rPr>
            </w:pPr>
            <w:r>
              <w:rPr>
                <w:sz w:val="18"/>
              </w:rPr>
              <w:t>2.6</w:t>
            </w:r>
          </w:p>
        </w:tc>
        <w:tc>
          <w:tcPr>
            <w:tcW w:w="1811" w:type="dxa"/>
          </w:tcPr>
          <w:p>
            <w:pPr>
              <w:pStyle w:val="TableParagraph"/>
              <w:spacing w:before="55"/>
              <w:ind w:left="125" w:right="124"/>
              <w:jc w:val="center"/>
              <w:rPr>
                <w:sz w:val="18"/>
              </w:rPr>
            </w:pPr>
            <w:r>
              <w:rPr>
                <w:sz w:val="18"/>
              </w:rPr>
              <w:t>21</w:t>
            </w:r>
          </w:p>
        </w:tc>
        <w:tc>
          <w:tcPr>
            <w:tcW w:w="1269" w:type="dxa"/>
          </w:tcPr>
          <w:p>
            <w:pPr>
              <w:pStyle w:val="TableParagraph"/>
              <w:spacing w:before="55"/>
              <w:ind w:left="112" w:right="112"/>
              <w:jc w:val="center"/>
              <w:rPr>
                <w:sz w:val="18"/>
              </w:rPr>
            </w:pPr>
            <w:r>
              <w:rPr>
                <w:sz w:val="18"/>
                <w:u w:val="single"/>
              </w:rPr>
              <w:t>+</w:t>
            </w:r>
            <w:r>
              <w:rPr>
                <w:sz w:val="18"/>
              </w:rPr>
              <w:t> 75%</w:t>
            </w:r>
          </w:p>
        </w:tc>
      </w:tr>
      <w:tr>
        <w:trPr>
          <w:trHeight w:val="325" w:hRule="atLeast"/>
        </w:trPr>
        <w:tc>
          <w:tcPr>
            <w:tcW w:w="1738" w:type="dxa"/>
          </w:tcPr>
          <w:p>
            <w:pPr>
              <w:pStyle w:val="TableParagraph"/>
              <w:spacing w:before="55"/>
              <w:ind w:left="107"/>
              <w:rPr>
                <w:sz w:val="18"/>
              </w:rPr>
            </w:pPr>
            <w:r>
              <w:rPr>
                <w:sz w:val="18"/>
              </w:rPr>
              <w:t>Tropical, wet</w:t>
            </w:r>
          </w:p>
        </w:tc>
        <w:tc>
          <w:tcPr>
            <w:tcW w:w="1448" w:type="dxa"/>
          </w:tcPr>
          <w:p>
            <w:pPr>
              <w:pStyle w:val="TableParagraph"/>
              <w:spacing w:before="55"/>
              <w:ind w:left="214" w:right="206"/>
              <w:jc w:val="center"/>
              <w:rPr>
                <w:sz w:val="18"/>
              </w:rPr>
            </w:pPr>
            <w:r>
              <w:rPr>
                <w:sz w:val="18"/>
              </w:rPr>
              <w:t>50</w:t>
            </w:r>
          </w:p>
        </w:tc>
        <w:tc>
          <w:tcPr>
            <w:tcW w:w="1117" w:type="dxa"/>
          </w:tcPr>
          <w:p>
            <w:pPr>
              <w:pStyle w:val="TableParagraph"/>
              <w:spacing w:before="55"/>
              <w:ind w:left="4"/>
              <w:jc w:val="center"/>
              <w:rPr>
                <w:sz w:val="18"/>
              </w:rPr>
            </w:pPr>
            <w:r>
              <w:rPr>
                <w:sz w:val="18"/>
              </w:rPr>
              <w:t>5</w:t>
            </w:r>
          </w:p>
        </w:tc>
        <w:tc>
          <w:tcPr>
            <w:tcW w:w="1782" w:type="dxa"/>
          </w:tcPr>
          <w:p>
            <w:pPr>
              <w:pStyle w:val="TableParagraph"/>
              <w:spacing w:before="55"/>
              <w:ind w:left="147" w:right="143"/>
              <w:jc w:val="center"/>
              <w:rPr>
                <w:sz w:val="18"/>
              </w:rPr>
            </w:pPr>
            <w:r>
              <w:rPr>
                <w:sz w:val="18"/>
              </w:rPr>
              <w:t>10.0</w:t>
            </w:r>
          </w:p>
        </w:tc>
        <w:tc>
          <w:tcPr>
            <w:tcW w:w="1811" w:type="dxa"/>
          </w:tcPr>
          <w:p>
            <w:pPr>
              <w:pStyle w:val="TableParagraph"/>
              <w:spacing w:before="55"/>
              <w:ind w:left="125" w:right="123"/>
              <w:jc w:val="center"/>
              <w:rPr>
                <w:sz w:val="18"/>
              </w:rPr>
            </w:pPr>
            <w:r>
              <w:rPr>
                <w:sz w:val="18"/>
              </w:rPr>
              <w:t>50</w:t>
            </w:r>
          </w:p>
        </w:tc>
        <w:tc>
          <w:tcPr>
            <w:tcW w:w="1269" w:type="dxa"/>
          </w:tcPr>
          <w:p>
            <w:pPr>
              <w:pStyle w:val="TableParagraph"/>
              <w:spacing w:before="55"/>
              <w:ind w:left="112" w:right="112"/>
              <w:jc w:val="center"/>
              <w:rPr>
                <w:sz w:val="18"/>
              </w:rPr>
            </w:pPr>
            <w:r>
              <w:rPr>
                <w:sz w:val="18"/>
                <w:u w:val="single"/>
              </w:rPr>
              <w:t>+</w:t>
            </w:r>
            <w:r>
              <w:rPr>
                <w:sz w:val="18"/>
              </w:rPr>
              <w:t> 75%</w:t>
            </w:r>
          </w:p>
        </w:tc>
      </w:tr>
      <w:tr>
        <w:trPr>
          <w:trHeight w:val="568" w:hRule="atLeast"/>
        </w:trPr>
        <w:tc>
          <w:tcPr>
            <w:tcW w:w="9165" w:type="dxa"/>
            <w:gridSpan w:val="6"/>
          </w:tcPr>
          <w:p>
            <w:pPr>
              <w:pStyle w:val="TableParagraph"/>
              <w:spacing w:before="35"/>
              <w:ind w:left="107"/>
              <w:rPr>
                <w:sz w:val="16"/>
              </w:rPr>
            </w:pPr>
            <w:r>
              <w:rPr>
                <w:sz w:val="16"/>
              </w:rPr>
              <w:t>Note: Values are derived from the literature survey and synthesis published by Schroeder (1994).</w:t>
            </w:r>
          </w:p>
          <w:p>
            <w:pPr>
              <w:pStyle w:val="TableParagraph"/>
              <w:spacing w:before="88"/>
              <w:ind w:left="107"/>
              <w:rPr>
                <w:sz w:val="16"/>
              </w:rPr>
            </w:pPr>
            <w:r>
              <w:rPr>
                <w:position w:val="7"/>
                <w:sz w:val="10"/>
              </w:rPr>
              <w:t>1 </w:t>
            </w:r>
            <w:r>
              <w:rPr>
                <w:sz w:val="16"/>
              </w:rPr>
              <w:t>Represents a nominal estimate of error, equivalent to two times standard deviation, as a percentage of the mean.</w:t>
            </w:r>
          </w:p>
        </w:tc>
      </w:tr>
    </w:tbl>
    <w:p>
      <w:pPr>
        <w:pStyle w:val="BodyText"/>
        <w:spacing w:before="113"/>
        <w:ind w:left="219" w:right="354"/>
      </w:pPr>
      <w:r>
        <w:rPr/>
        <w:t>Currently, there is not sufficient information to provide a basic approach with default parameters to estimate carbon stock changes in dead organic matter pools in cropland remaining cropland.</w:t>
      </w:r>
    </w:p>
    <w:p>
      <w:pPr>
        <w:pStyle w:val="BodyText"/>
        <w:spacing w:before="5"/>
        <w:rPr>
          <w:sz w:val="13"/>
        </w:rPr>
      </w:pPr>
    </w:p>
    <w:p>
      <w:pPr>
        <w:spacing w:after="0"/>
        <w:rPr>
          <w:sz w:val="13"/>
        </w:rPr>
        <w:sectPr>
          <w:type w:val="continuous"/>
          <w:pgSz w:w="11900" w:h="16840"/>
          <w:pgMar w:top="1060" w:bottom="280" w:left="1200" w:right="1140"/>
        </w:sectPr>
      </w:pPr>
    </w:p>
    <w:p>
      <w:pPr>
        <w:pStyle w:val="Heading6"/>
        <w:numPr>
          <w:ilvl w:val="5"/>
          <w:numId w:val="59"/>
        </w:numPr>
        <w:tabs>
          <w:tab w:pos="1449" w:val="left" w:leader="none"/>
        </w:tabs>
        <w:spacing w:line="240" w:lineRule="auto" w:before="92" w:after="0"/>
        <w:ind w:left="1448" w:right="0" w:hanging="1229"/>
        <w:jc w:val="left"/>
      </w:pPr>
      <w:r>
        <w:rPr/>
        <w:t>1 </w:t>
      </w:r>
      <w:r>
        <w:rPr>
          <w:spacing w:val="16"/>
        </w:rPr>
        <w:t>Choice </w:t>
      </w:r>
      <w:r>
        <w:rPr>
          <w:spacing w:val="9"/>
        </w:rPr>
        <w:t>of</w:t>
      </w:r>
      <w:r>
        <w:rPr>
          <w:spacing w:val="-21"/>
        </w:rPr>
        <w:t> </w:t>
      </w:r>
      <w:r>
        <w:rPr>
          <w:spacing w:val="19"/>
        </w:rPr>
        <w:t>Method</w:t>
      </w:r>
    </w:p>
    <w:p>
      <w:pPr>
        <w:pStyle w:val="BodyText"/>
        <w:spacing w:before="68"/>
        <w:ind w:left="219"/>
      </w:pPr>
      <w:r>
        <w:rPr/>
        <w:pict>
          <v:shape style="position:absolute;margin-left:305.560272pt;margin-top:11.521759pt;width:8.0500pt;height:7.2pt;mso-position-horizontal-relative:page;mso-position-vertical-relative:paragraph;z-index:9376"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t>To estimate change in carbon in cropland biomass (</w:t>
      </w:r>
      <w:r>
        <w:rPr>
          <w:rFonts w:ascii="Symbol" w:hAnsi="Symbol"/>
        </w:rPr>
        <w:t>∆</w:t>
      </w:r>
      <w:r>
        <w:rPr/>
        <w:t>C</w:t>
      </w:r>
      <w:r>
        <w:rPr>
          <w:vertAlign w:val="subscript"/>
        </w:rPr>
        <w:t>CC</w:t>
      </w:r>
    </w:p>
    <w:p>
      <w:pPr>
        <w:pStyle w:val="BodyText"/>
        <w:rPr>
          <w:sz w:val="22"/>
        </w:rPr>
      </w:pPr>
      <w:r>
        <w:rPr/>
        <w:br w:type="column"/>
      </w:r>
      <w:r>
        <w:rPr>
          <w:sz w:val="22"/>
        </w:rPr>
      </w:r>
    </w:p>
    <w:p>
      <w:pPr>
        <w:pStyle w:val="BodyText"/>
        <w:spacing w:before="160"/>
        <w:ind w:left="-36"/>
      </w:pPr>
      <w:r>
        <w:rPr/>
        <w:t>), there are two alternative approaches: (a) estimate</w:t>
      </w:r>
    </w:p>
    <w:p>
      <w:pPr>
        <w:spacing w:after="0"/>
        <w:sectPr>
          <w:type w:val="continuous"/>
          <w:pgSz w:w="11900" w:h="16840"/>
          <w:pgMar w:top="1060" w:bottom="280" w:left="1200" w:right="1140"/>
          <w:cols w:num="2" w:equalWidth="0">
            <w:col w:w="5073" w:space="40"/>
            <w:col w:w="4447"/>
          </w:cols>
        </w:sectPr>
      </w:pPr>
    </w:p>
    <w:p>
      <w:pPr>
        <w:pStyle w:val="BodyText"/>
        <w:spacing w:before="44"/>
        <w:ind w:left="219" w:right="262"/>
        <w:jc w:val="both"/>
      </w:pPr>
      <w:r>
        <w:rPr/>
        <w:t>annual rates of growth and loss (Equation 3.2.2 in Forest land section) or (b) estimate carbon stocks at two points in time (Equation 3.2.3 also in Forest land section). The first approach is developed below as the basic Tier 1 method; it can also serve as a Tier 2 or 3 method with refinements described below. The second approach is developed as either a Tier 2 or Tier 3 method.</w:t>
      </w:r>
    </w:p>
    <w:p>
      <w:pPr>
        <w:pStyle w:val="BodyText"/>
        <w:spacing w:before="119"/>
        <w:ind w:left="219" w:right="263"/>
        <w:jc w:val="both"/>
      </w:pPr>
      <w:r>
        <w:rPr/>
        <w:t>As described in more detail below, Tier 1 is based on highly aggregated area estimates for generic perennial woody crops using default carbon accumulation rates and carbon losses. A Tier 2 estimate, in contrast, will generally develop estimates for the major woody crop types by climate zones, using country-specific carbon accumulation rates and stock losses where possible or country-specific estimates of carbon stocks at two points in time. A Tier 3 estimate will use a highly disaggregated Tier 2 approach or a country-specific  method involving process modeling and/or detailed measurement. All countries should strive for improving inventory and reporting approaches by advancing to the highest tier possible given national circumstances. It is </w:t>
      </w:r>
      <w:r>
        <w:rPr>
          <w:i/>
        </w:rPr>
        <w:t>good practice </w:t>
      </w:r>
      <w:r>
        <w:rPr/>
        <w:t>for countries to use a Tier 2 or Tier 3 approach if carbon emissions and removals in cropland remaining cropland is a key category and if the subcategory of living biomass is considered significant based on principles outlined</w:t>
      </w:r>
      <w:r>
        <w:rPr>
          <w:spacing w:val="-3"/>
        </w:rPr>
        <w:t> </w:t>
      </w:r>
      <w:r>
        <w:rPr/>
        <w:t>in</w:t>
      </w:r>
      <w:r>
        <w:rPr>
          <w:spacing w:val="-3"/>
        </w:rPr>
        <w:t> </w:t>
      </w:r>
      <w:r>
        <w:rPr/>
        <w:t>Chapter</w:t>
      </w:r>
      <w:r>
        <w:rPr>
          <w:spacing w:val="-1"/>
        </w:rPr>
        <w:t> </w:t>
      </w:r>
      <w:r>
        <w:rPr/>
        <w:t>5.</w:t>
      </w:r>
      <w:r>
        <w:rPr>
          <w:spacing w:val="-2"/>
        </w:rPr>
        <w:t> </w:t>
      </w:r>
      <w:r>
        <w:rPr/>
        <w:t>Countries</w:t>
      </w:r>
      <w:r>
        <w:rPr>
          <w:spacing w:val="-4"/>
        </w:rPr>
        <w:t> </w:t>
      </w:r>
      <w:r>
        <w:rPr/>
        <w:t>should</w:t>
      </w:r>
      <w:r>
        <w:rPr>
          <w:spacing w:val="-1"/>
        </w:rPr>
        <w:t> </w:t>
      </w:r>
      <w:r>
        <w:rPr/>
        <w:t>use</w:t>
      </w:r>
      <w:r>
        <w:rPr>
          <w:spacing w:val="-1"/>
        </w:rPr>
        <w:t> </w:t>
      </w:r>
      <w:r>
        <w:rPr/>
        <w:t>the</w:t>
      </w:r>
      <w:r>
        <w:rPr>
          <w:spacing w:val="-2"/>
        </w:rPr>
        <w:t> </w:t>
      </w:r>
      <w:r>
        <w:rPr/>
        <w:t>decision</w:t>
      </w:r>
      <w:r>
        <w:rPr>
          <w:spacing w:val="-3"/>
        </w:rPr>
        <w:t> </w:t>
      </w:r>
      <w:r>
        <w:rPr/>
        <w:t>tree</w:t>
      </w:r>
      <w:r>
        <w:rPr>
          <w:spacing w:val="-1"/>
        </w:rPr>
        <w:t> </w:t>
      </w:r>
      <w:r>
        <w:rPr/>
        <w:t>in</w:t>
      </w:r>
      <w:r>
        <w:rPr>
          <w:spacing w:val="-3"/>
        </w:rPr>
        <w:t> </w:t>
      </w:r>
      <w:r>
        <w:rPr/>
        <w:t>Figure</w:t>
      </w:r>
      <w:r>
        <w:rPr>
          <w:spacing w:val="-2"/>
        </w:rPr>
        <w:t> </w:t>
      </w:r>
      <w:r>
        <w:rPr/>
        <w:t>3.1.1</w:t>
      </w:r>
      <w:r>
        <w:rPr>
          <w:spacing w:val="-2"/>
        </w:rPr>
        <w:t> </w:t>
      </w:r>
      <w:r>
        <w:rPr/>
        <w:t>to</w:t>
      </w:r>
      <w:r>
        <w:rPr>
          <w:spacing w:val="-1"/>
        </w:rPr>
        <w:t> </w:t>
      </w:r>
      <w:r>
        <w:rPr/>
        <w:t>help with</w:t>
      </w:r>
      <w:r>
        <w:rPr>
          <w:spacing w:val="-3"/>
        </w:rPr>
        <w:t> </w:t>
      </w:r>
      <w:r>
        <w:rPr/>
        <w:t>the</w:t>
      </w:r>
      <w:r>
        <w:rPr>
          <w:spacing w:val="-1"/>
        </w:rPr>
        <w:t> </w:t>
      </w:r>
      <w:r>
        <w:rPr/>
        <w:t>choice</w:t>
      </w:r>
      <w:r>
        <w:rPr>
          <w:spacing w:val="-2"/>
        </w:rPr>
        <w:t> </w:t>
      </w:r>
      <w:r>
        <w:rPr/>
        <w:t>of</w:t>
      </w:r>
      <w:r>
        <w:rPr>
          <w:spacing w:val="-2"/>
        </w:rPr>
        <w:t> </w:t>
      </w:r>
      <w:r>
        <w:rPr/>
        <w:t>method.</w:t>
      </w:r>
    </w:p>
    <w:p>
      <w:pPr>
        <w:pStyle w:val="BodyText"/>
        <w:spacing w:before="117"/>
        <w:ind w:left="219" w:right="264"/>
        <w:jc w:val="both"/>
      </w:pPr>
      <w:r>
        <w:rPr>
          <w:b/>
        </w:rPr>
        <w:t>Tier 1: </w:t>
      </w:r>
      <w:r>
        <w:rPr/>
        <w:t>The basic method is to multiply the area of perennial woody cropland by a net estimate of biomass accumulation from growth and subtract losses associated with harvest or other removals (according to Equation</w:t>
      </w:r>
    </w:p>
    <w:p>
      <w:pPr>
        <w:pStyle w:val="BodyText"/>
        <w:spacing w:before="1"/>
        <w:ind w:left="219" w:right="264"/>
        <w:jc w:val="both"/>
      </w:pPr>
      <w:r>
        <w:rPr/>
        <w:t>3.2.2. in the Forest land section). Losses are estimated by multiplying a carbon stock value by the area of cropland on which perennial woody crops are harvested or removed.</w:t>
      </w:r>
    </w:p>
    <w:p>
      <w:pPr>
        <w:pStyle w:val="BodyText"/>
        <w:spacing w:before="121"/>
        <w:ind w:left="219" w:right="263"/>
        <w:jc w:val="both"/>
      </w:pPr>
      <w:r>
        <w:rPr/>
        <w:t>Default Tier 1 assumptions are: all carbon in perennial woody biomass removed (e.g., biomass cleared and replanted with a different crop) is emitted in the year of removal; and perennial woody crops accumulate carbon for an amount of time equal to a nominal harvest/maturity cycle. The latter assumption implies that perennial woody crops accumulate biomass for a finite period until they are removed through harvest or reach a steady state where there is no net accumulation of carbon in biomass because growth rates have slowed and incremental gains from growth are offset by losses from natural mortality, pruning or other</w:t>
      </w:r>
      <w:r>
        <w:rPr>
          <w:spacing w:val="-11"/>
        </w:rPr>
        <w:t> </w:t>
      </w:r>
      <w:r>
        <w:rPr/>
        <w:t>losses.</w:t>
      </w:r>
    </w:p>
    <w:p>
      <w:pPr>
        <w:pStyle w:val="BodyText"/>
        <w:spacing w:before="117"/>
        <w:ind w:left="219" w:right="264"/>
        <w:jc w:val="both"/>
      </w:pPr>
      <w:r>
        <w:rPr/>
        <w:t>At Tier 1, default factors, which are discussed in more detail in Section 3.3.1.1.1.2 and Table 3.3.2., are applied to nationally derived estimates of land areas (A in Equation 3.2.4. in Forest land section).</w:t>
      </w:r>
    </w:p>
    <w:p>
      <w:pPr>
        <w:spacing w:after="0"/>
        <w:jc w:val="both"/>
        <w:sectPr>
          <w:type w:val="continuous"/>
          <w:pgSz w:w="11900" w:h="16840"/>
          <w:pgMar w:top="1060" w:bottom="280" w:left="1200" w:right="1140"/>
        </w:sectPr>
      </w:pPr>
    </w:p>
    <w:p>
      <w:pPr>
        <w:pStyle w:val="BodyText"/>
      </w:pPr>
    </w:p>
    <w:p>
      <w:pPr>
        <w:pStyle w:val="BodyText"/>
        <w:spacing w:before="8"/>
        <w:rPr>
          <w:sz w:val="18"/>
        </w:rPr>
      </w:pPr>
    </w:p>
    <w:p>
      <w:pPr>
        <w:pStyle w:val="BodyText"/>
        <w:ind w:left="624"/>
      </w:pPr>
      <w:r>
        <w:rPr>
          <w:position w:val="0"/>
        </w:rPr>
        <w:pict>
          <v:shape style="width:411.5pt;height:92.2pt;mso-position-horizontal-relative:char;mso-position-vertical-relative:line" type="#_x0000_t202" filled="false" stroked="true" strokeweight="1.44pt" strokecolor="#000000">
            <w10:anchorlock/>
            <v:textbox inset="0,0,0,0">
              <w:txbxContent>
                <w:p>
                  <w:pPr>
                    <w:pStyle w:val="BodyText"/>
                    <w:spacing w:before="94"/>
                    <w:ind w:left="127" w:right="123"/>
                    <w:jc w:val="both"/>
                  </w:pPr>
                  <w:r>
                    <w:rPr>
                      <w:b/>
                    </w:rPr>
                    <w:t>Example 1</w:t>
                  </w:r>
                  <w:r>
                    <w:rPr/>
                    <w:t>: In the inventory year, 90,000 hectares of perennial woody crops are cultivated in a tropical moist environment, while 10,000 ha are removed. The immature perennial woody cropland area accumulates carbon at a rate of approximately 2.6 tonnes of C ha</w:t>
                  </w:r>
                  <w:r>
                    <w:rPr>
                      <w:vertAlign w:val="superscript"/>
                    </w:rPr>
                    <w:t>-1</w:t>
                  </w:r>
                  <w:r>
                    <w:rPr>
                      <w:vertAlign w:val="baseline"/>
                    </w:rPr>
                    <w:t> yr</w:t>
                  </w:r>
                  <w:r>
                    <w:rPr>
                      <w:vertAlign w:val="superscript"/>
                    </w:rPr>
                    <w:t>-1</w:t>
                  </w:r>
                  <w:r>
                    <w:rPr>
                      <w:vertAlign w:val="baseline"/>
                    </w:rPr>
                    <w:t>. The area harvested loses all carbon in biomass stocks in the year of removal. Default carbon stock losses for a tropical moist perennial woody cropland are 21 tonnes C ha</w:t>
                  </w:r>
                  <w:r>
                    <w:rPr>
                      <w:vertAlign w:val="superscript"/>
                    </w:rPr>
                    <w:t>-1</w:t>
                  </w:r>
                  <w:r>
                    <w:rPr>
                      <w:vertAlign w:val="baseline"/>
                    </w:rPr>
                    <w:t> yr</w:t>
                  </w:r>
                  <w:r>
                    <w:rPr>
                      <w:vertAlign w:val="superscript"/>
                    </w:rPr>
                    <w:t>-1</w:t>
                  </w:r>
                  <w:r>
                    <w:rPr>
                      <w:vertAlign w:val="baseline"/>
                    </w:rPr>
                    <w:t>. Using equation 3.2.2, an estimated 234,000 tonnes C accumulates per year and 210,000 tonnes C are lost. The net change in carbon stocks in the tropical moist environment are 24,000 tonnes C</w:t>
                  </w:r>
                  <w:r>
                    <w:rPr>
                      <w:spacing w:val="-12"/>
                      <w:vertAlign w:val="baseline"/>
                    </w:rPr>
                    <w:t> </w:t>
                  </w:r>
                  <w:r>
                    <w:rPr>
                      <w:vertAlign w:val="baseline"/>
                    </w:rPr>
                    <w:t>yr</w:t>
                  </w:r>
                  <w:r>
                    <w:rPr>
                      <w:vertAlign w:val="superscript"/>
                    </w:rPr>
                    <w:t>-1</w:t>
                  </w:r>
                  <w:r>
                    <w:rPr>
                      <w:vertAlign w:val="baseline"/>
                    </w:rPr>
                    <w:t>.</w:t>
                  </w:r>
                </w:p>
              </w:txbxContent>
            </v:textbox>
            <v:stroke dashstyle="solid"/>
          </v:shape>
        </w:pict>
      </w:r>
      <w:r>
        <w:rPr>
          <w:position w:val="0"/>
        </w:rPr>
      </w:r>
    </w:p>
    <w:p>
      <w:pPr>
        <w:pStyle w:val="BodyText"/>
        <w:spacing w:before="96"/>
        <w:ind w:left="219" w:right="267"/>
        <w:jc w:val="both"/>
      </w:pPr>
      <w:r>
        <w:rPr>
          <w:b/>
        </w:rPr>
        <w:t>Tier 2: </w:t>
      </w:r>
      <w:r>
        <w:rPr/>
        <w:t>One of two alternative approaches can be used at Tier 2. In principle, either approach should yield the same answer.</w:t>
      </w:r>
    </w:p>
    <w:p>
      <w:pPr>
        <w:pStyle w:val="BodyText"/>
        <w:spacing w:before="118"/>
        <w:ind w:left="219"/>
      </w:pPr>
      <w:r>
        <w:rPr/>
        <w:t>The approaches include:</w:t>
      </w:r>
    </w:p>
    <w:p>
      <w:pPr>
        <w:pStyle w:val="BodyText"/>
        <w:spacing w:line="237" w:lineRule="auto" w:before="137"/>
        <w:ind w:left="581" w:right="264" w:hanging="363"/>
        <w:jc w:val="both"/>
      </w:pPr>
      <w:r>
        <w:rPr>
          <w:rFonts w:ascii="Symbol" w:hAnsi="Symbol"/>
        </w:rPr>
        <w:t>• </w:t>
      </w:r>
      <w:r>
        <w:rPr/>
        <w:t>Extending Tier 1 by matching more disaggregated area estimates (e.g., by specific  perennial  woody crop types and detailed climate regions) with at least some country-specific carbon accumulation and harvest data applicable at the same scale. Countries should prioritize development of country-specific parameters </w:t>
      </w:r>
      <w:r>
        <w:rPr>
          <w:spacing w:val="3"/>
        </w:rPr>
        <w:t>by </w:t>
      </w:r>
      <w:r>
        <w:rPr/>
        <w:t>focusing on either the most common perennial woody crops or the systems with relatively high levels of perennial woody biomass per unit of land (i.e., high carbon stocks). Guidance on developing country- specific parameters is provided in Section 3.3.1.1.1.2;</w:t>
      </w:r>
      <w:r>
        <w:rPr>
          <w:spacing w:val="-5"/>
        </w:rPr>
        <w:t> </w:t>
      </w:r>
      <w:r>
        <w:rPr/>
        <w:t>or,</w:t>
      </w:r>
    </w:p>
    <w:p>
      <w:pPr>
        <w:pStyle w:val="BodyText"/>
        <w:tabs>
          <w:tab w:pos="579" w:val="left" w:leader="none"/>
        </w:tabs>
        <w:spacing w:line="223" w:lineRule="auto" w:before="139"/>
        <w:ind w:left="581" w:right="354" w:hanging="363"/>
      </w:pPr>
      <w:r>
        <w:rPr>
          <w:rFonts w:ascii="Symbol" w:hAnsi="Symbol"/>
        </w:rPr>
        <w:t>•</w:t>
        <w:tab/>
      </w:r>
      <w:r>
        <w:rPr/>
        <w:t>Estimating total carbon stocks in perennial woody crops at regular time intervals (following Equation 3.2.3 of the Forest land</w:t>
      </w:r>
      <w:r>
        <w:rPr>
          <w:spacing w:val="-2"/>
        </w:rPr>
        <w:t> </w:t>
      </w:r>
      <w:r>
        <w:rPr/>
        <w:t>section).</w:t>
      </w:r>
    </w:p>
    <w:p>
      <w:pPr>
        <w:pStyle w:val="BodyText"/>
        <w:spacing w:before="125"/>
        <w:ind w:left="219" w:right="262"/>
        <w:jc w:val="both"/>
      </w:pPr>
      <w:r>
        <w:rPr>
          <w:b/>
        </w:rPr>
        <w:t>Tier 3: </w:t>
      </w:r>
      <w:r>
        <w:rPr/>
        <w:t>Tier 3 approaches are either highly disaggregated Tier 2 approaches that are parameterized with country-specific carbon stock and carbon stock change values or they are country-specific methods such as use of models or repeated measurements of stocks such as those obtained using detailed forest inventories (see Section 3.2.1.1.1). For example, well validated and species-specific growth models and detailed information on harvest and pruning practices could be used to estimate annual growth rates, analogous to Equation 3.2.2. This would require information on the area of woody biomass crops by species and age class, as well as data on climate, soil and other growth limiting conditions for specific areas. Alternatively, periodic sampling-based stock estimates (and associated models), similar to those used in detailed forest inventories could be applied to estimate stock changes as in Equation</w:t>
      </w:r>
      <w:r>
        <w:rPr>
          <w:spacing w:val="-6"/>
        </w:rPr>
        <w:t> </w:t>
      </w:r>
      <w:r>
        <w:rPr/>
        <w:t>3.2.3.</w:t>
      </w:r>
    </w:p>
    <w:p>
      <w:pPr>
        <w:pStyle w:val="BodyText"/>
        <w:spacing w:before="2"/>
        <w:rPr>
          <w:sz w:val="21"/>
        </w:rPr>
      </w:pPr>
    </w:p>
    <w:p>
      <w:pPr>
        <w:pStyle w:val="Heading6"/>
        <w:numPr>
          <w:ilvl w:val="5"/>
          <w:numId w:val="59"/>
        </w:numPr>
        <w:tabs>
          <w:tab w:pos="1450" w:val="left" w:leader="none"/>
        </w:tabs>
        <w:spacing w:line="240" w:lineRule="auto" w:before="1" w:after="0"/>
        <w:ind w:left="1449" w:right="0" w:hanging="1230"/>
        <w:jc w:val="left"/>
      </w:pPr>
      <w:r>
        <w:rPr/>
        <w:t>2 </w:t>
      </w:r>
      <w:r>
        <w:rPr>
          <w:spacing w:val="16"/>
        </w:rPr>
        <w:t>Choice </w:t>
      </w:r>
      <w:r>
        <w:rPr>
          <w:spacing w:val="9"/>
        </w:rPr>
        <w:t>of </w:t>
      </w:r>
      <w:r>
        <w:rPr>
          <w:spacing w:val="17"/>
        </w:rPr>
        <w:t>Emission/Removal</w:t>
      </w:r>
      <w:r>
        <w:rPr>
          <w:spacing w:val="16"/>
        </w:rPr>
        <w:t> </w:t>
      </w:r>
      <w:r>
        <w:rPr>
          <w:spacing w:val="19"/>
        </w:rPr>
        <w:t>Factors</w:t>
      </w:r>
    </w:p>
    <w:p>
      <w:pPr>
        <w:pStyle w:val="BodyText"/>
        <w:spacing w:before="56"/>
        <w:ind w:left="219"/>
      </w:pPr>
      <w:r>
        <w:rPr/>
        <w:t>Emission/removal factors for this methodology include the biomass accumulation (G) and loss rates (L). Table</w:t>
      </w:r>
    </w:p>
    <w:p>
      <w:pPr>
        <w:pStyle w:val="BodyText"/>
        <w:ind w:left="219" w:right="263"/>
        <w:jc w:val="both"/>
      </w:pPr>
      <w:r>
        <w:rPr/>
        <w:t>3.3.2 provides default values for G and L across four general climate regions based on a published review of carbon stock research on agroforestry systems (Schroeder, 1994). Additional data in Table 3.3.2 highlight underlying assumptions of the default data (e.g., time to harvest/maturity) and demonstrate how the defaults  were derived. The default annual growth rate (G) is derived by dividing biomass stocks at maturity by the time from crop establishment to harvest/maturity. The default annual loss rate is equal to biomass stocks at harvest, which are assumed removed entirely in the year of removal. For an individual country, these defaults are highly uncertain as they represent generic perennial woody biomass crop systems for broad climatic regions. Woody crops vary greatly in their uses, growth and harvest rates, and degree of association with other non-woody crops and thus the application of simple default factors will only coarsely approximate carbon</w:t>
      </w:r>
      <w:r>
        <w:rPr>
          <w:spacing w:val="-11"/>
        </w:rPr>
        <w:t> </w:t>
      </w:r>
      <w:r>
        <w:rPr/>
        <w:t>changes.</w:t>
      </w:r>
    </w:p>
    <w:p>
      <w:pPr>
        <w:pStyle w:val="BodyText"/>
        <w:spacing w:before="117"/>
        <w:ind w:left="219" w:right="264"/>
        <w:jc w:val="both"/>
      </w:pPr>
      <w:r>
        <w:rPr/>
        <w:t>When using the Tier 2 approach, biomass stocks, harvest cycles and carbon accumulation rates can be estimated from country or region specific research results on perennial woody crop systems conducted by national experts. Woody crops vary greatly, from annually harvested species used for green manure and fuel wood to potentially long-lived woody crops such as fruit orchards. It is important in deriving estimates of biomass accumulation rates to recognize that net increases in biomass stocks will occur primarily during the first years following initial establishment or regrowth of the woody crops. While some longer-lived orchard crops may not be subject to a regular removal and replanting cycle, losses due to pruning and tree replacement are likely to largely offset new growth so that in mature crops net biomass stock increases will be near zero. Thus, at the country-level, net increases in biomass carbon stocks would occur primarily where the area of cropland with woody crops is increasing relative to other land uses having lower carbon stocks or where the proportion of land subject to removals is less than the average dictated by the normal harvest frequency (e.g. if the land area is dominated by young, recently established woody crops). Conversely, net biomass losses at the country-level would occur when woody crops are replaced by other annual cropland systems or when the harvest frequency of woody crops is increasing.</w:t>
      </w:r>
    </w:p>
    <w:p>
      <w:pPr>
        <w:pStyle w:val="BodyText"/>
        <w:spacing w:before="118"/>
        <w:ind w:left="219" w:right="263"/>
        <w:jc w:val="both"/>
      </w:pPr>
      <w:r>
        <w:rPr/>
        <w:t>To further improve estimates of carbon accumulation in perennial woody crop biomass, countries may conduct field research to measure carbon stock changes or accumulation rates. Research studies should be based on sound scientific principles and follow general approaches laid out by other similar studies (Dixon </w:t>
      </w:r>
      <w:r>
        <w:rPr>
          <w:i/>
        </w:rPr>
        <w:t>et al.</w:t>
      </w:r>
      <w:r>
        <w:rPr/>
        <w:t>, 1993; Schroeder,</w:t>
      </w:r>
      <w:r>
        <w:rPr>
          <w:spacing w:val="5"/>
        </w:rPr>
        <w:t> </w:t>
      </w:r>
      <w:r>
        <w:rPr/>
        <w:t>1994;</w:t>
      </w:r>
      <w:r>
        <w:rPr>
          <w:spacing w:val="4"/>
        </w:rPr>
        <w:t> </w:t>
      </w:r>
      <w:r>
        <w:rPr/>
        <w:t>Schroth</w:t>
      </w:r>
      <w:r>
        <w:rPr>
          <w:spacing w:val="2"/>
        </w:rPr>
        <w:t> </w:t>
      </w:r>
      <w:r>
        <w:rPr>
          <w:i/>
        </w:rPr>
        <w:t>et</w:t>
      </w:r>
      <w:r>
        <w:rPr>
          <w:i/>
          <w:spacing w:val="4"/>
        </w:rPr>
        <w:t> </w:t>
      </w:r>
      <w:r>
        <w:rPr>
          <w:i/>
        </w:rPr>
        <w:t>al.</w:t>
      </w:r>
      <w:r>
        <w:rPr/>
        <w:t>,</w:t>
      </w:r>
      <w:r>
        <w:rPr>
          <w:spacing w:val="5"/>
        </w:rPr>
        <w:t> </w:t>
      </w:r>
      <w:r>
        <w:rPr/>
        <w:t>2002;</w:t>
      </w:r>
      <w:r>
        <w:rPr>
          <w:spacing w:val="4"/>
        </w:rPr>
        <w:t> </w:t>
      </w:r>
      <w:r>
        <w:rPr/>
        <w:t>and</w:t>
      </w:r>
      <w:r>
        <w:rPr>
          <w:spacing w:val="5"/>
        </w:rPr>
        <w:t> </w:t>
      </w:r>
      <w:r>
        <w:rPr/>
        <w:t>Masera</w:t>
      </w:r>
      <w:r>
        <w:rPr>
          <w:spacing w:val="4"/>
        </w:rPr>
        <w:t> </w:t>
      </w:r>
      <w:r>
        <w:rPr>
          <w:i/>
        </w:rPr>
        <w:t>et</w:t>
      </w:r>
      <w:r>
        <w:rPr>
          <w:i/>
          <w:spacing w:val="2"/>
        </w:rPr>
        <w:t> </w:t>
      </w:r>
      <w:r>
        <w:rPr>
          <w:i/>
        </w:rPr>
        <w:t>al.</w:t>
      </w:r>
      <w:r>
        <w:rPr/>
        <w:t>,</w:t>
      </w:r>
      <w:r>
        <w:rPr>
          <w:spacing w:val="2"/>
        </w:rPr>
        <w:t> </w:t>
      </w:r>
      <w:r>
        <w:rPr/>
        <w:t>2003).</w:t>
      </w:r>
      <w:r>
        <w:rPr>
          <w:spacing w:val="3"/>
        </w:rPr>
        <w:t> </w:t>
      </w:r>
      <w:r>
        <w:rPr/>
        <w:t>Results</w:t>
      </w:r>
      <w:r>
        <w:rPr>
          <w:spacing w:val="3"/>
        </w:rPr>
        <w:t> </w:t>
      </w:r>
      <w:r>
        <w:rPr/>
        <w:t>from</w:t>
      </w:r>
      <w:r>
        <w:rPr>
          <w:spacing w:val="3"/>
        </w:rPr>
        <w:t> </w:t>
      </w:r>
      <w:r>
        <w:rPr/>
        <w:t>field</w:t>
      </w:r>
      <w:r>
        <w:rPr>
          <w:spacing w:val="5"/>
        </w:rPr>
        <w:t> </w:t>
      </w:r>
      <w:r>
        <w:rPr/>
        <w:t>research</w:t>
      </w:r>
      <w:r>
        <w:rPr>
          <w:spacing w:val="3"/>
        </w:rPr>
        <w:t> </w:t>
      </w:r>
      <w:r>
        <w:rPr/>
        <w:t>should</w:t>
      </w:r>
      <w:r>
        <w:rPr>
          <w:spacing w:val="5"/>
        </w:rPr>
        <w:t> </w:t>
      </w:r>
      <w:r>
        <w:rPr/>
        <w:t>be</w:t>
      </w:r>
      <w:r>
        <w:rPr>
          <w:spacing w:val="5"/>
        </w:rPr>
        <w:t> </w:t>
      </w:r>
      <w:r>
        <w:rPr/>
        <w:t>compared</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4"/>
        <w:jc w:val="both"/>
      </w:pPr>
      <w:r>
        <w:rPr/>
        <w:t>to estimates of carbon accumulation rates from other sources to verify that they are within documented ranges. Reported carbon accumulation rates may be modified based on additional data and expert opinion, provided  clear rationale and documentation are included in the inventory</w:t>
      </w:r>
      <w:r>
        <w:rPr>
          <w:spacing w:val="-7"/>
        </w:rPr>
        <w:t> </w:t>
      </w:r>
      <w:r>
        <w:rPr/>
        <w:t>report.</w:t>
      </w:r>
    </w:p>
    <w:p>
      <w:pPr>
        <w:pStyle w:val="BodyText"/>
        <w:spacing w:before="5"/>
        <w:rPr>
          <w:sz w:val="21"/>
        </w:rPr>
      </w:pPr>
    </w:p>
    <w:p>
      <w:pPr>
        <w:pStyle w:val="Heading6"/>
        <w:numPr>
          <w:ilvl w:val="5"/>
          <w:numId w:val="60"/>
        </w:numPr>
        <w:tabs>
          <w:tab w:pos="1449" w:val="left" w:leader="none"/>
        </w:tabs>
        <w:spacing w:line="240" w:lineRule="auto" w:before="0" w:after="0"/>
        <w:ind w:left="1448" w:right="0" w:hanging="1229"/>
        <w:jc w:val="both"/>
      </w:pPr>
      <w:r>
        <w:rPr/>
        <w:t>3 </w:t>
      </w:r>
      <w:r>
        <w:rPr>
          <w:spacing w:val="16"/>
        </w:rPr>
        <w:t>Choice </w:t>
      </w:r>
      <w:r>
        <w:rPr>
          <w:spacing w:val="9"/>
        </w:rPr>
        <w:t>of </w:t>
      </w:r>
      <w:r>
        <w:rPr>
          <w:spacing w:val="16"/>
        </w:rPr>
        <w:t>Activity</w:t>
      </w:r>
      <w:r>
        <w:rPr>
          <w:spacing w:val="15"/>
        </w:rPr>
        <w:t> </w:t>
      </w:r>
      <w:r>
        <w:rPr>
          <w:spacing w:val="19"/>
        </w:rPr>
        <w:t>Data</w:t>
      </w:r>
    </w:p>
    <w:p>
      <w:pPr>
        <w:pStyle w:val="BodyText"/>
        <w:spacing w:before="54"/>
        <w:ind w:left="219" w:right="266"/>
        <w:jc w:val="both"/>
      </w:pPr>
      <w:r>
        <w:rPr/>
        <w:t>Activity data in this section refer to estimates of land areas (A</w:t>
      </w:r>
      <w:r>
        <w:rPr>
          <w:vertAlign w:val="subscript"/>
        </w:rPr>
        <w:t>G</w:t>
      </w:r>
      <w:r>
        <w:rPr>
          <w:vertAlign w:val="baseline"/>
        </w:rPr>
        <w:t>, A</w:t>
      </w:r>
      <w:r>
        <w:rPr>
          <w:vertAlign w:val="subscript"/>
        </w:rPr>
        <w:t>L</w:t>
      </w:r>
      <w:r>
        <w:rPr>
          <w:vertAlign w:val="baseline"/>
        </w:rPr>
        <w:t>) of growing stock and harvested land in perennial woody crops. Chapter 2 provides general guidance on approaches for obtaining and categorising area by different land use classes. For estimating emissions and removals from this source, countries need to obtain area estimates for land in perennial woody crops, disaggregated as required to correspond to the available emission factors and other parameters.</w:t>
      </w:r>
    </w:p>
    <w:p>
      <w:pPr>
        <w:pStyle w:val="BodyText"/>
        <w:spacing w:before="120"/>
        <w:ind w:left="219" w:right="264"/>
        <w:jc w:val="both"/>
      </w:pPr>
      <w:r>
        <w:rPr>
          <w:b/>
        </w:rPr>
        <w:t>Tier 1: </w:t>
      </w:r>
      <w:r>
        <w:rPr/>
        <w:t>Under Tier 1, annual or periodic surveys are used in conjunction with the approaches outlined in  Chapter 2 to estimate the average annual area of established perennial woody crops and the average annual area of perennial woody crops that are harvested or removed. The area estimates are further subdivided into general climate regions to match the default G and L values. Under Tier 1 calculations, international statistics such as FAO databases, </w:t>
      </w:r>
      <w:r>
        <w:rPr>
          <w:i/>
        </w:rPr>
        <w:t>IPCC Guidelines </w:t>
      </w:r>
      <w:r>
        <w:rPr/>
        <w:t>and other sources can be used to estimate the area of land in perennial woody crops.</w:t>
      </w:r>
    </w:p>
    <w:p>
      <w:pPr>
        <w:pStyle w:val="BodyText"/>
        <w:spacing w:before="117"/>
        <w:ind w:left="219" w:right="264"/>
        <w:jc w:val="both"/>
      </w:pPr>
      <w:r>
        <w:rPr>
          <w:b/>
        </w:rPr>
        <w:t>Tier 2: </w:t>
      </w:r>
      <w:r>
        <w:rPr/>
        <w:t>For the Tier 2 method, more detailed annual or periodic surveys are used to estimate the areas of land in different classes of perennial woody biomass crops. Areas are further classified into relevant categories such that all major combinations of perennial woody crop types and climatic regions are represented with area estimates for each. These area estimates must match any country-specific carbon accumulation and loss values developed for the Tier 2 method. If country-specific finer resolution data are only partially available, countries are encouraged to extrapolate to the entire land base of perennial woody crops using sound assumptions from best available knowledge.</w:t>
      </w:r>
    </w:p>
    <w:p>
      <w:pPr>
        <w:pStyle w:val="BodyText"/>
        <w:spacing w:before="121"/>
        <w:ind w:left="219" w:right="264"/>
        <w:jc w:val="both"/>
      </w:pPr>
      <w:r>
        <w:rPr>
          <w:b/>
        </w:rPr>
        <w:t>Tier 3: </w:t>
      </w:r>
      <w:r>
        <w:rPr/>
        <w:t>Tier 3 requires high-resolution activity data disaggregated at sub-national to fine grid scales. Similar to Tier 2, land area is classified into specific types of perennial woody crops by major climate and soil categories and other potentially important regional variables (e.g., regional patterns of management practices). If possible, spatially explicit area estimates are used to facilitate complete coverage of the perennial woody cropland and ensure that areas are not over- or underestimated. Furthermore, spatially explicit area estimates can be related to locally relevant carbon accumulation and removal rates, and restocking and management impacts, improving the accuracy of estimates.</w:t>
      </w:r>
    </w:p>
    <w:p>
      <w:pPr>
        <w:pStyle w:val="BodyText"/>
        <w:spacing w:before="2"/>
        <w:rPr>
          <w:sz w:val="21"/>
        </w:rPr>
      </w:pPr>
    </w:p>
    <w:p>
      <w:pPr>
        <w:pStyle w:val="Heading6"/>
        <w:numPr>
          <w:ilvl w:val="5"/>
          <w:numId w:val="60"/>
        </w:numPr>
        <w:tabs>
          <w:tab w:pos="1451" w:val="left" w:leader="none"/>
        </w:tabs>
        <w:spacing w:line="240" w:lineRule="auto" w:before="0" w:after="0"/>
        <w:ind w:left="1450" w:right="0" w:hanging="1231"/>
        <w:jc w:val="both"/>
      </w:pPr>
      <w:r>
        <w:rPr/>
        <w:t>4 </w:t>
      </w:r>
      <w:r>
        <w:rPr>
          <w:spacing w:val="17"/>
        </w:rPr>
        <w:t>Uncertainty</w:t>
      </w:r>
      <w:r>
        <w:rPr>
          <w:spacing w:val="24"/>
        </w:rPr>
        <w:t> </w:t>
      </w:r>
      <w:r>
        <w:rPr>
          <w:spacing w:val="18"/>
        </w:rPr>
        <w:t>Assessment</w:t>
      </w:r>
    </w:p>
    <w:p>
      <w:pPr>
        <w:pStyle w:val="BodyText"/>
        <w:spacing w:before="54"/>
        <w:ind w:left="219" w:right="266"/>
        <w:jc w:val="both"/>
      </w:pPr>
      <w:r>
        <w:rPr/>
        <w:t>The following discussion provides guidance on approaches for assessing uncertainty associated with each tier method described in Section 3.3.1.1.1.1.</w:t>
      </w:r>
    </w:p>
    <w:p>
      <w:pPr>
        <w:pStyle w:val="BodyText"/>
        <w:spacing w:before="120"/>
        <w:ind w:left="219" w:right="262"/>
        <w:jc w:val="both"/>
      </w:pPr>
      <w:r>
        <w:rPr>
          <w:b/>
        </w:rPr>
        <w:t>Tier 1: </w:t>
      </w:r>
      <w:r>
        <w:rPr/>
        <w:t>The sources of uncertainty when using the Tier 1 method include the degree of accuracy in land area estimates and in the default carbon accumulation and loss rates. A published compilation of research on carbon stocks in agroforestry systems was used to derive the default data provided in Section 3.3.1.1.1.2 (Schroeder, 1994). While defaults were derived from multiple studies, their associated uncertainty ranges were not included in the publication. Therefore, a default uncertainty level of </w:t>
      </w:r>
      <w:r>
        <w:rPr>
          <w:u w:val="single"/>
        </w:rPr>
        <w:t>+</w:t>
      </w:r>
      <w:r>
        <w:rPr/>
        <w:t> 75% of the parameter value has been assigned based on expert judgement. This information can be used with a measure of uncertainty in area estimates from Chapter 2 of this Report to assess the uncertainty in estimates of carbon emissions and removals in cropland biomass using the Tier 1 methodology for uncertainty analysis in Chapter 5.2 (Identifying and quantifying uncertainties).</w:t>
      </w:r>
    </w:p>
    <w:p>
      <w:pPr>
        <w:pStyle w:val="BodyText"/>
        <w:spacing w:before="117"/>
        <w:ind w:left="219" w:right="265"/>
        <w:jc w:val="both"/>
      </w:pPr>
      <w:r>
        <w:rPr>
          <w:b/>
        </w:rPr>
        <w:t>Tier 2: </w:t>
      </w:r>
      <w:r>
        <w:rPr/>
        <w:t>The Tier 2 method will reduce overall uncertainty because country-defined rates should provide more accurate estimates of carbon accumulation and loss for crop systems and climatic regions within national boundaries. It is </w:t>
      </w:r>
      <w:r>
        <w:rPr>
          <w:i/>
        </w:rPr>
        <w:t>good practice </w:t>
      </w:r>
      <w:r>
        <w:rPr/>
        <w:t>to calculate error estimates (i.e., standard deviations, standard error, or ranges) for country-defined carbon accumulation rates and to use these variables in a basic uncertainty assessment. It is </w:t>
      </w:r>
      <w:r>
        <w:rPr>
          <w:i/>
        </w:rPr>
        <w:t>good practice </w:t>
      </w:r>
      <w:r>
        <w:rPr/>
        <w:t>for countries to assess error ranges in country-specific coefficients and compare them to those of default carbon accumulation coefficients. If country-defined rates have equal or greater error ranges than default coefficients, then it is </w:t>
      </w:r>
      <w:r>
        <w:rPr>
          <w:i/>
        </w:rPr>
        <w:t>good practice </w:t>
      </w:r>
      <w:r>
        <w:rPr/>
        <w:t>to use a Tier 1 approach and to further refine country-defined rates with more field measurements.</w:t>
      </w:r>
    </w:p>
    <w:p>
      <w:pPr>
        <w:pStyle w:val="BodyText"/>
        <w:spacing w:before="118"/>
        <w:ind w:left="219" w:right="260"/>
        <w:jc w:val="both"/>
      </w:pPr>
      <w:r>
        <w:rPr/>
        <w:t>Tier 2 approaches may also use finer resolution activity data, such as area estimates for different climatic regions or for specific cropping systems within national boundaries. The finer-resolution data will reduce uncertainty levels when associated with carbon accumulation factors defined for those finer-scale land bases (e.g., when area of coffee plantations is multiplied by a coffee plantation coefficient, rather than by a generic agroforestry default).</w:t>
      </w:r>
    </w:p>
    <w:p>
      <w:pPr>
        <w:pStyle w:val="BodyText"/>
        <w:spacing w:before="120"/>
        <w:ind w:left="219"/>
        <w:jc w:val="both"/>
      </w:pPr>
      <w:r>
        <w:rPr>
          <w:b/>
        </w:rPr>
        <w:t>Tier</w:t>
      </w:r>
      <w:r>
        <w:rPr>
          <w:b/>
          <w:spacing w:val="-1"/>
        </w:rPr>
        <w:t> </w:t>
      </w:r>
      <w:r>
        <w:rPr>
          <w:b/>
        </w:rPr>
        <w:t>3:</w:t>
      </w:r>
      <w:r>
        <w:rPr>
          <w:b/>
          <w:spacing w:val="43"/>
        </w:rPr>
        <w:t> </w:t>
      </w:r>
      <w:r>
        <w:rPr/>
        <w:t>Tier</w:t>
      </w:r>
      <w:r>
        <w:rPr>
          <w:spacing w:val="11"/>
        </w:rPr>
        <w:t> </w:t>
      </w:r>
      <w:r>
        <w:rPr/>
        <w:t>3</w:t>
      </w:r>
      <w:r>
        <w:rPr>
          <w:spacing w:val="17"/>
        </w:rPr>
        <w:t> </w:t>
      </w:r>
      <w:r>
        <w:rPr/>
        <w:t>approaches</w:t>
      </w:r>
      <w:r>
        <w:rPr>
          <w:spacing w:val="12"/>
        </w:rPr>
        <w:t> </w:t>
      </w:r>
      <w:r>
        <w:rPr/>
        <w:t>will</w:t>
      </w:r>
      <w:r>
        <w:rPr>
          <w:spacing w:val="12"/>
        </w:rPr>
        <w:t> </w:t>
      </w:r>
      <w:r>
        <w:rPr/>
        <w:t>provide</w:t>
      </w:r>
      <w:r>
        <w:rPr>
          <w:spacing w:val="12"/>
        </w:rPr>
        <w:t> </w:t>
      </w:r>
      <w:r>
        <w:rPr/>
        <w:t>the</w:t>
      </w:r>
      <w:r>
        <w:rPr>
          <w:spacing w:val="12"/>
        </w:rPr>
        <w:t> </w:t>
      </w:r>
      <w:r>
        <w:rPr/>
        <w:t>greatest</w:t>
      </w:r>
      <w:r>
        <w:rPr>
          <w:spacing w:val="12"/>
        </w:rPr>
        <w:t> </w:t>
      </w:r>
      <w:r>
        <w:rPr/>
        <w:t>level</w:t>
      </w:r>
      <w:r>
        <w:rPr>
          <w:spacing w:val="12"/>
        </w:rPr>
        <w:t> </w:t>
      </w:r>
      <w:r>
        <w:rPr/>
        <w:t>of</w:t>
      </w:r>
      <w:r>
        <w:rPr>
          <w:spacing w:val="11"/>
        </w:rPr>
        <w:t> </w:t>
      </w:r>
      <w:r>
        <w:rPr/>
        <w:t>certainty</w:t>
      </w:r>
      <w:r>
        <w:rPr>
          <w:spacing w:val="9"/>
        </w:rPr>
        <w:t> </w:t>
      </w:r>
      <w:r>
        <w:rPr/>
        <w:t>relative</w:t>
      </w:r>
      <w:r>
        <w:rPr>
          <w:spacing w:val="12"/>
        </w:rPr>
        <w:t> </w:t>
      </w:r>
      <w:r>
        <w:rPr/>
        <w:t>to</w:t>
      </w:r>
      <w:r>
        <w:rPr>
          <w:spacing w:val="14"/>
        </w:rPr>
        <w:t> </w:t>
      </w:r>
      <w:r>
        <w:rPr/>
        <w:t>Tiers</w:t>
      </w:r>
      <w:r>
        <w:rPr>
          <w:spacing w:val="12"/>
        </w:rPr>
        <w:t> </w:t>
      </w:r>
      <w:r>
        <w:rPr/>
        <w:t>1</w:t>
      </w:r>
      <w:r>
        <w:rPr>
          <w:spacing w:val="11"/>
        </w:rPr>
        <w:t> </w:t>
      </w:r>
      <w:r>
        <w:rPr/>
        <w:t>and</w:t>
      </w:r>
      <w:r>
        <w:rPr>
          <w:spacing w:val="14"/>
        </w:rPr>
        <w:t> </w:t>
      </w:r>
      <w:r>
        <w:rPr/>
        <w:t>2</w:t>
      </w:r>
      <w:r>
        <w:rPr>
          <w:spacing w:val="14"/>
        </w:rPr>
        <w:t> </w:t>
      </w:r>
      <w:r>
        <w:rPr/>
        <w:t>approaches.</w:t>
      </w:r>
      <w:r>
        <w:rPr>
          <w:spacing w:val="12"/>
        </w:rPr>
        <w:t> </w:t>
      </w:r>
      <w:r>
        <w:rPr/>
        <w:t>It</w:t>
      </w:r>
      <w:r>
        <w:rPr>
          <w:spacing w:val="11"/>
        </w:rPr>
        <w:t> </w:t>
      </w:r>
      <w:r>
        <w:rPr/>
        <w:t>is</w:t>
      </w:r>
    </w:p>
    <w:p>
      <w:pPr>
        <w:pStyle w:val="BodyText"/>
        <w:spacing w:before="1"/>
        <w:ind w:left="219"/>
        <w:jc w:val="both"/>
      </w:pPr>
      <w:r>
        <w:rPr>
          <w:i/>
        </w:rPr>
        <w:t>good practice </w:t>
      </w:r>
      <w:r>
        <w:rPr/>
        <w:t>to calculate standard deviations, standard errors, or ranges for all country-defined biomass</w:t>
      </w:r>
      <w:r>
        <w:rPr>
          <w:spacing w:val="27"/>
        </w:rPr>
        <w:t> </w:t>
      </w:r>
      <w:r>
        <w:rPr/>
        <w:t>growth</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6"/>
        <w:jc w:val="both"/>
      </w:pPr>
      <w:r>
        <w:rPr/>
        <w:t>and loss rates. It is also </w:t>
      </w:r>
      <w:r>
        <w:rPr>
          <w:i/>
        </w:rPr>
        <w:t>good practice </w:t>
      </w:r>
      <w:r>
        <w:rPr/>
        <w:t>to assess the measurement error in land area estimates for each land base category. Countries should consider developing probability density functions for model parameters to use in Monte Carlo simulations.</w:t>
      </w:r>
    </w:p>
    <w:p>
      <w:pPr>
        <w:pStyle w:val="BodyText"/>
        <w:rPr>
          <w:sz w:val="22"/>
        </w:rPr>
      </w:pPr>
    </w:p>
    <w:p>
      <w:pPr>
        <w:pStyle w:val="Heading6"/>
        <w:numPr>
          <w:ilvl w:val="3"/>
          <w:numId w:val="61"/>
        </w:numPr>
        <w:tabs>
          <w:tab w:pos="1659" w:val="left" w:leader="none"/>
          <w:tab w:pos="1660" w:val="left" w:leader="none"/>
        </w:tabs>
        <w:spacing w:line="240" w:lineRule="auto" w:before="149" w:after="0"/>
        <w:ind w:left="1659" w:right="0" w:hanging="1440"/>
        <w:jc w:val="left"/>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SOILS</w:t>
      </w:r>
    </w:p>
    <w:p>
      <w:pPr>
        <w:pStyle w:val="BodyText"/>
        <w:rPr>
          <w:b/>
          <w:sz w:val="29"/>
        </w:rPr>
      </w:pPr>
    </w:p>
    <w:p>
      <w:pPr>
        <w:pStyle w:val="ListParagraph"/>
        <w:numPr>
          <w:ilvl w:val="4"/>
          <w:numId w:val="61"/>
        </w:numPr>
        <w:tabs>
          <w:tab w:pos="1243" w:val="left" w:leader="none"/>
        </w:tabs>
        <w:spacing w:line="240" w:lineRule="auto" w:before="0" w:after="0"/>
        <w:ind w:left="1242" w:right="0" w:hanging="1023"/>
        <w:jc w:val="left"/>
        <w:rPr>
          <w:b/>
          <w:sz w:val="22"/>
        </w:rPr>
      </w:pPr>
      <w:r>
        <w:rPr>
          <w:b/>
          <w:sz w:val="22"/>
        </w:rPr>
        <w:t>1 </w:t>
      </w:r>
      <w:r>
        <w:rPr>
          <w:b/>
          <w:spacing w:val="17"/>
          <w:sz w:val="22"/>
        </w:rPr>
        <w:t>METHODOLOGICAL</w:t>
      </w:r>
      <w:r>
        <w:rPr>
          <w:b/>
          <w:spacing w:val="23"/>
          <w:sz w:val="22"/>
        </w:rPr>
        <w:t> </w:t>
      </w:r>
      <w:r>
        <w:rPr>
          <w:b/>
          <w:spacing w:val="16"/>
          <w:sz w:val="22"/>
        </w:rPr>
        <w:t>ISSUES</w:t>
      </w:r>
    </w:p>
    <w:p>
      <w:pPr>
        <w:pStyle w:val="BodyText"/>
        <w:spacing w:before="114"/>
        <w:ind w:left="219" w:right="265"/>
        <w:jc w:val="both"/>
      </w:pPr>
      <w:r>
        <w:rPr/>
        <w:t>The </w:t>
      </w:r>
      <w:r>
        <w:rPr>
          <w:i/>
        </w:rPr>
        <w:t>IPCC Guidelines </w:t>
      </w:r>
      <w:r>
        <w:rPr/>
        <w:t>provide methods for estimating CO</w:t>
      </w:r>
      <w:r>
        <w:rPr>
          <w:vertAlign w:val="subscript"/>
        </w:rPr>
        <w:t>2</w:t>
      </w:r>
      <w:r>
        <w:rPr>
          <w:vertAlign w:val="baseline"/>
        </w:rPr>
        <w:t> Emissions and Uptake by Soils from Land-Use and Management (Section 5.3) that can be applied to all land uses, including cropland. The methodology considers organic carbon stock changes (CO</w:t>
      </w:r>
      <w:r>
        <w:rPr>
          <w:vertAlign w:val="subscript"/>
        </w:rPr>
        <w:t>2</w:t>
      </w:r>
      <w:r>
        <w:rPr>
          <w:vertAlign w:val="baseline"/>
        </w:rPr>
        <w:t> emissions or removals) for mineral soils, CO</w:t>
      </w:r>
      <w:r>
        <w:rPr>
          <w:vertAlign w:val="subscript"/>
        </w:rPr>
        <w:t>2</w:t>
      </w:r>
      <w:r>
        <w:rPr>
          <w:vertAlign w:val="baseline"/>
        </w:rPr>
        <w:t> emissions from organic soils (i.e. peat soils) and emissions of CO</w:t>
      </w:r>
      <w:r>
        <w:rPr>
          <w:vertAlign w:val="subscript"/>
        </w:rPr>
        <w:t>2</w:t>
      </w:r>
      <w:r>
        <w:rPr>
          <w:vertAlign w:val="baseline"/>
        </w:rPr>
        <w:t> from liming of agricultural soils.</w:t>
      </w:r>
    </w:p>
    <w:p>
      <w:pPr>
        <w:pStyle w:val="BodyText"/>
        <w:spacing w:before="119"/>
        <w:ind w:left="219" w:right="218"/>
        <w:jc w:val="both"/>
      </w:pPr>
      <w:r>
        <w:rPr/>
        <w:t>In the </w:t>
      </w:r>
      <w:r>
        <w:rPr>
          <w:i/>
        </w:rPr>
        <w:t>IPCC Guidelines</w:t>
      </w:r>
      <w:r>
        <w:rPr/>
        <w:t>, carbon stocks are measured to a default depth of 30cm and do not include C in surface residue (i.e. dead organic matter) or changes in inorganic carbon (i.e. carbonate minerals). In most cropland soils, surface residue is either absent (due to incorporation with tillage) or represents a minor stock. Other depths may be used at higher tiers, but depth must in all cases be used consistently over time.</w:t>
      </w:r>
    </w:p>
    <w:p>
      <w:pPr>
        <w:pStyle w:val="BodyText"/>
        <w:spacing w:before="120"/>
        <w:ind w:left="219"/>
        <w:jc w:val="both"/>
      </w:pPr>
      <w:r>
        <w:rPr/>
        <w:t>The summary Equation 3.3.2 for estimating the change in organic carbon stocks in soils is shown below:</w:t>
      </w:r>
    </w:p>
    <w:p>
      <w:pPr>
        <w:pStyle w:val="BodyText"/>
        <w:spacing w:before="1"/>
        <w:rPr>
          <w:sz w:val="11"/>
        </w:rPr>
      </w:pPr>
      <w:r>
        <w:rPr/>
        <w:pict>
          <v:shape style="position:absolute;margin-left:91.960999pt;margin-top:9.118505pt;width:411.5pt;height:53.8pt;mso-position-horizontal-relative:page;mso-position-vertical-relative:paragraph;z-index:7376;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E</w:t>
                  </w:r>
                  <w:r>
                    <w:rPr>
                      <w:b/>
                      <w:sz w:val="16"/>
                    </w:rPr>
                    <w:t>QUATION </w:t>
                  </w:r>
                  <w:r>
                    <w:rPr>
                      <w:b/>
                      <w:sz w:val="20"/>
                    </w:rPr>
                    <w:t>3.3.2</w:t>
                  </w:r>
                </w:p>
                <w:p>
                  <w:pPr>
                    <w:spacing w:before="0"/>
                    <w:ind w:left="68" w:right="68" w:firstLine="0"/>
                    <w:jc w:val="center"/>
                    <w:rPr>
                      <w:b/>
                      <w:sz w:val="16"/>
                    </w:rPr>
                  </w:pPr>
                  <w:r>
                    <w:rPr>
                      <w:b/>
                      <w:sz w:val="20"/>
                    </w:rPr>
                    <w:t>A</w:t>
                  </w:r>
                  <w:r>
                    <w:rPr>
                      <w:b/>
                      <w:sz w:val="16"/>
                    </w:rPr>
                    <w:t>NNUAL CHANGE IN CARBON STOCKS IN SOILS IN CROPLAND REMAINING CROPLAND</w:t>
                  </w:r>
                </w:p>
                <w:p>
                  <w:pPr>
                    <w:spacing w:before="93"/>
                    <w:ind w:left="66" w:right="68" w:firstLine="0"/>
                    <w:jc w:val="center"/>
                    <w:rPr>
                      <w:sz w:val="13"/>
                    </w:rPr>
                  </w:pPr>
                  <w:r>
                    <w:rPr>
                      <w:position w:val="9"/>
                      <w:sz w:val="20"/>
                    </w:rPr>
                    <w:t>∆C</w:t>
                  </w:r>
                  <w:r>
                    <w:rPr>
                      <w:position w:val="6"/>
                      <w:sz w:val="13"/>
                    </w:rPr>
                    <w:t>CC</w:t>
                  </w:r>
                  <w:r>
                    <w:rPr>
                      <w:sz w:val="13"/>
                    </w:rPr>
                    <w:t>Soils </w:t>
                  </w:r>
                  <w:r>
                    <w:rPr>
                      <w:position w:val="9"/>
                      <w:sz w:val="20"/>
                    </w:rPr>
                    <w:t>= ∆C</w:t>
                  </w:r>
                  <w:r>
                    <w:rPr>
                      <w:position w:val="6"/>
                      <w:sz w:val="13"/>
                    </w:rPr>
                    <w:t>CC</w:t>
                  </w:r>
                  <w:r>
                    <w:rPr>
                      <w:sz w:val="13"/>
                    </w:rPr>
                    <w:t>Mineral </w:t>
                  </w:r>
                  <w:r>
                    <w:rPr>
                      <w:position w:val="9"/>
                      <w:sz w:val="20"/>
                    </w:rPr>
                    <w:t>– </w:t>
                  </w:r>
                  <w:r>
                    <w:rPr>
                      <w:rFonts w:ascii="Symbol" w:hAnsi="Symbol"/>
                      <w:position w:val="9"/>
                      <w:sz w:val="20"/>
                    </w:rPr>
                    <w:t>∆</w:t>
                  </w:r>
                  <w:r>
                    <w:rPr>
                      <w:position w:val="9"/>
                      <w:sz w:val="20"/>
                    </w:rPr>
                    <w:t>C</w:t>
                  </w:r>
                  <w:r>
                    <w:rPr>
                      <w:position w:val="6"/>
                      <w:sz w:val="13"/>
                    </w:rPr>
                    <w:t>CC</w:t>
                  </w:r>
                  <w:r>
                    <w:rPr>
                      <w:sz w:val="13"/>
                    </w:rPr>
                    <w:t>Organic </w:t>
                  </w:r>
                  <w:r>
                    <w:rPr>
                      <w:position w:val="9"/>
                      <w:sz w:val="20"/>
                    </w:rPr>
                    <w:t>– </w:t>
                  </w:r>
                  <w:r>
                    <w:rPr>
                      <w:rFonts w:ascii="Symbol" w:hAnsi="Symbol"/>
                      <w:position w:val="9"/>
                      <w:sz w:val="20"/>
                    </w:rPr>
                    <w:t>∆</w:t>
                  </w:r>
                  <w:r>
                    <w:rPr>
                      <w:position w:val="9"/>
                      <w:sz w:val="20"/>
                    </w:rPr>
                    <w:t>C</w:t>
                  </w:r>
                  <w:r>
                    <w:rPr>
                      <w:position w:val="6"/>
                      <w:sz w:val="13"/>
                    </w:rPr>
                    <w:t>CC</w:t>
                  </w:r>
                  <w:r>
                    <w:rPr>
                      <w:sz w:val="13"/>
                    </w:rPr>
                    <w:t>Lime</w:t>
                  </w:r>
                </w:p>
              </w:txbxContent>
            </v:textbox>
            <v:stroke dashstyle="solid"/>
            <w10:wrap type="topAndBottom"/>
          </v:shape>
        </w:pict>
      </w:r>
    </w:p>
    <w:p>
      <w:pPr>
        <w:pStyle w:val="BodyText"/>
        <w:spacing w:before="4"/>
        <w:ind w:left="269"/>
      </w:pPr>
      <w:r>
        <w:rPr/>
        <w:t>Where:</w:t>
      </w:r>
    </w:p>
    <w:p>
      <w:pPr>
        <w:pStyle w:val="BodyText"/>
        <w:tabs>
          <w:tab w:pos="1659" w:val="left" w:leader="none"/>
        </w:tabs>
        <w:spacing w:line="193" w:lineRule="exact" w:before="118"/>
        <w:ind w:left="785"/>
      </w:pPr>
      <w:r>
        <w:rPr/>
        <w:pict>
          <v:shape style="position:absolute;margin-left:112.000603pt;margin-top:11.02141pt;width:8.65pt;height:7.2pt;mso-position-horizontal-relative:page;mso-position-vertical-relative:paragraph;z-index:-2446720" type="#_x0000_t202" filled="false" stroked="false">
            <v:textbox inset="0,0,0,0">
              <w:txbxContent>
                <w:p>
                  <w:pPr>
                    <w:spacing w:line="144" w:lineRule="exact" w:before="0"/>
                    <w:ind w:left="0" w:right="0" w:firstLine="0"/>
                    <w:jc w:val="left"/>
                    <w:rPr>
                      <w:sz w:val="13"/>
                    </w:rPr>
                  </w:pPr>
                  <w:r>
                    <w:rPr>
                      <w:spacing w:val="-1"/>
                      <w:sz w:val="13"/>
                    </w:rPr>
                    <w:t>CC</w:t>
                  </w:r>
                </w:p>
              </w:txbxContent>
            </v:textbox>
            <w10:wrap type="none"/>
          </v:shape>
        </w:pict>
      </w:r>
      <w:r>
        <w:rPr/>
        <w:t>∆C</w:t>
        <w:tab/>
        <w:t>= annual change in carbon stocks in soils in cropland remaining cropland, tonnes C</w:t>
      </w:r>
      <w:r>
        <w:rPr>
          <w:spacing w:val="-18"/>
        </w:rPr>
        <w:t> </w:t>
      </w:r>
      <w:r>
        <w:rPr/>
        <w:t>yr</w:t>
      </w:r>
      <w:r>
        <w:rPr>
          <w:vertAlign w:val="superscript"/>
        </w:rPr>
        <w:t>-1</w:t>
      </w:r>
    </w:p>
    <w:p>
      <w:pPr>
        <w:spacing w:line="113" w:lineRule="exact" w:before="0"/>
        <w:ind w:left="1215" w:right="0" w:firstLine="0"/>
        <w:jc w:val="left"/>
        <w:rPr>
          <w:sz w:val="13"/>
        </w:rPr>
      </w:pPr>
      <w:r>
        <w:rPr>
          <w:sz w:val="13"/>
        </w:rPr>
        <w:t>Soils</w:t>
      </w:r>
    </w:p>
    <w:p>
      <w:pPr>
        <w:pStyle w:val="BodyText"/>
        <w:tabs>
          <w:tab w:pos="1659" w:val="left" w:leader="none"/>
        </w:tabs>
        <w:spacing w:line="193" w:lineRule="exact" w:before="105"/>
        <w:ind w:left="785"/>
      </w:pPr>
      <w:r>
        <w:rPr/>
        <w:pict>
          <v:shape style="position:absolute;margin-left:112.000603pt;margin-top:10.37194pt;width:8.65pt;height:7.2pt;mso-position-horizontal-relative:page;mso-position-vertical-relative:paragraph;z-index:-2446696" type="#_x0000_t202" filled="false" stroked="false">
            <v:textbox inset="0,0,0,0">
              <w:txbxContent>
                <w:p>
                  <w:pPr>
                    <w:spacing w:line="144" w:lineRule="exact" w:before="0"/>
                    <w:ind w:left="0" w:right="0" w:firstLine="0"/>
                    <w:jc w:val="left"/>
                    <w:rPr>
                      <w:sz w:val="13"/>
                    </w:rPr>
                  </w:pPr>
                  <w:r>
                    <w:rPr>
                      <w:spacing w:val="-1"/>
                      <w:sz w:val="13"/>
                    </w:rPr>
                    <w:t>CC</w:t>
                  </w:r>
                </w:p>
              </w:txbxContent>
            </v:textbox>
            <w10:wrap type="none"/>
          </v:shape>
        </w:pict>
      </w:r>
      <w:r>
        <w:rPr/>
        <w:t>∆C</w:t>
        <w:tab/>
        <w:t>= annual change in carbon stocks in mineral soils, tonnes C</w:t>
      </w:r>
      <w:r>
        <w:rPr>
          <w:spacing w:val="-5"/>
        </w:rPr>
        <w:t> </w:t>
      </w:r>
      <w:r>
        <w:rPr/>
        <w:t>yr</w:t>
      </w:r>
      <w:r>
        <w:rPr>
          <w:vertAlign w:val="superscript"/>
        </w:rPr>
        <w:t>-1</w:t>
      </w:r>
    </w:p>
    <w:p>
      <w:pPr>
        <w:spacing w:line="113" w:lineRule="exact" w:before="0"/>
        <w:ind w:left="1212" w:right="0" w:firstLine="0"/>
        <w:jc w:val="left"/>
        <w:rPr>
          <w:sz w:val="13"/>
        </w:rPr>
      </w:pPr>
      <w:r>
        <w:rPr>
          <w:sz w:val="13"/>
        </w:rPr>
        <w:t>Mineral</w:t>
      </w:r>
    </w:p>
    <w:p>
      <w:pPr>
        <w:spacing w:after="0" w:line="113" w:lineRule="exact"/>
        <w:jc w:val="left"/>
        <w:rPr>
          <w:sz w:val="13"/>
        </w:rPr>
        <w:sectPr>
          <w:pgSz w:w="11900" w:h="16840"/>
          <w:pgMar w:header="230" w:footer="408" w:top="560" w:bottom="600" w:left="1200" w:right="1140"/>
        </w:sectPr>
      </w:pPr>
    </w:p>
    <w:p>
      <w:pPr>
        <w:pStyle w:val="BodyText"/>
        <w:spacing w:before="118"/>
        <w:ind w:left="785"/>
      </w:pPr>
      <w:r>
        <w:rPr>
          <w:rFonts w:ascii="Symbol" w:hAnsi="Symbol"/>
          <w:spacing w:val="-5"/>
          <w:w w:val="101"/>
        </w:rPr>
        <w:t>∆</w:t>
      </w:r>
      <w:r>
        <w:rPr>
          <w:spacing w:val="-4"/>
          <w:w w:val="99"/>
        </w:rPr>
        <w:t>C</w:t>
      </w:r>
      <w:r>
        <w:rPr>
          <w:spacing w:val="-5"/>
          <w:w w:val="99"/>
          <w:vertAlign w:val="subscript"/>
        </w:rPr>
        <w:t>CC</w:t>
      </w:r>
    </w:p>
    <w:p>
      <w:pPr>
        <w:pStyle w:val="BodyText"/>
        <w:spacing w:line="193" w:lineRule="exact" w:before="118"/>
        <w:ind w:left="351"/>
      </w:pPr>
      <w:r>
        <w:rPr/>
        <w:br w:type="column"/>
      </w:r>
      <w:r>
        <w:rPr/>
        <w:t>= </w:t>
      </w:r>
      <w:r>
        <w:rPr>
          <w:spacing w:val="-3"/>
        </w:rPr>
        <w:t>annual carbon </w:t>
      </w:r>
      <w:r>
        <w:rPr>
          <w:spacing w:val="-4"/>
        </w:rPr>
        <w:t>emissions </w:t>
      </w:r>
      <w:r>
        <w:rPr>
          <w:spacing w:val="-3"/>
        </w:rPr>
        <w:t>from </w:t>
      </w:r>
      <w:r>
        <w:rPr>
          <w:spacing w:val="-4"/>
        </w:rPr>
        <w:t>cultivated organic soils (estimated </w:t>
      </w:r>
      <w:r>
        <w:rPr/>
        <w:t>as </w:t>
      </w:r>
      <w:r>
        <w:rPr>
          <w:spacing w:val="-3"/>
        </w:rPr>
        <w:t>net annual </w:t>
      </w:r>
      <w:r>
        <w:rPr>
          <w:spacing w:val="-4"/>
        </w:rPr>
        <w:t>flux), tonnes </w:t>
      </w:r>
      <w:r>
        <w:rPr/>
        <w:t>C </w:t>
      </w:r>
      <w:r>
        <w:rPr>
          <w:spacing w:val="-5"/>
        </w:rPr>
        <w:t>yr</w:t>
      </w:r>
      <w:r>
        <w:rPr>
          <w:spacing w:val="-5"/>
          <w:vertAlign w:val="superscript"/>
        </w:rPr>
        <w:t>-1</w:t>
      </w:r>
    </w:p>
    <w:p>
      <w:pPr>
        <w:spacing w:line="113" w:lineRule="exact" w:before="0"/>
        <w:ind w:left="-38" w:right="0" w:firstLine="0"/>
        <w:jc w:val="left"/>
        <w:rPr>
          <w:sz w:val="13"/>
        </w:rPr>
      </w:pPr>
      <w:r>
        <w:rPr>
          <w:sz w:val="13"/>
        </w:rPr>
        <w:t>Organic</w:t>
      </w:r>
    </w:p>
    <w:p>
      <w:pPr>
        <w:spacing w:after="0" w:line="113" w:lineRule="exact"/>
        <w:jc w:val="left"/>
        <w:rPr>
          <w:sz w:val="13"/>
        </w:rPr>
        <w:sectPr>
          <w:type w:val="continuous"/>
          <w:pgSz w:w="11900" w:h="16840"/>
          <w:pgMar w:top="1060" w:bottom="280" w:left="1200" w:right="1140"/>
          <w:cols w:num="2" w:equalWidth="0">
            <w:col w:w="1197" w:space="40"/>
            <w:col w:w="8323"/>
          </w:cols>
        </w:sectPr>
      </w:pPr>
    </w:p>
    <w:p>
      <w:pPr>
        <w:pStyle w:val="BodyText"/>
        <w:tabs>
          <w:tab w:pos="1536" w:val="left" w:leader="none"/>
        </w:tabs>
        <w:spacing w:line="193" w:lineRule="exact" w:before="119"/>
        <w:ind w:left="908"/>
      </w:pPr>
      <w:r>
        <w:rPr/>
        <w:pict>
          <v:shape style="position:absolute;margin-left:99.280617pt;margin-top:5.226351pt;width:21.4pt;height:13.05pt;mso-position-horizontal-relative:page;mso-position-vertical-relative:paragraph;z-index:-2446672" type="#_x0000_t202" filled="false" stroked="false">
            <v:textbox inset="0,0,0,0">
              <w:txbxContent>
                <w:p>
                  <w:pPr>
                    <w:spacing w:line="223" w:lineRule="exact" w:before="37"/>
                    <w:ind w:left="0" w:right="0" w:firstLine="0"/>
                    <w:jc w:val="left"/>
                    <w:rPr>
                      <w:sz w:val="13"/>
                    </w:rPr>
                  </w:pPr>
                  <w:r>
                    <w:rPr>
                      <w:rFonts w:ascii="Symbol" w:hAnsi="Symbol"/>
                      <w:position w:val="3"/>
                      <w:sz w:val="20"/>
                    </w:rPr>
                    <w:t>∆ </w:t>
                  </w:r>
                  <w:r>
                    <w:rPr>
                      <w:spacing w:val="-51"/>
                      <w:sz w:val="13"/>
                    </w:rPr>
                    <w:t>CC</w:t>
                  </w:r>
                </w:p>
              </w:txbxContent>
            </v:textbox>
            <w10:wrap type="none"/>
          </v:shape>
        </w:pict>
      </w:r>
      <w:r>
        <w:rPr/>
        <w:t>C</w:t>
        <w:tab/>
        <w:t>= annual C emissions from agricultural lime application, tonnes C</w:t>
      </w:r>
      <w:r>
        <w:rPr>
          <w:spacing w:val="-7"/>
        </w:rPr>
        <w:t> </w:t>
      </w:r>
      <w:r>
        <w:rPr/>
        <w:t>yr</w:t>
      </w:r>
      <w:r>
        <w:rPr>
          <w:vertAlign w:val="superscript"/>
        </w:rPr>
        <w:t>-1</w:t>
      </w:r>
    </w:p>
    <w:p>
      <w:pPr>
        <w:spacing w:line="113" w:lineRule="exact" w:before="0"/>
        <w:ind w:left="1215" w:right="0" w:firstLine="0"/>
        <w:jc w:val="left"/>
        <w:rPr>
          <w:sz w:val="13"/>
        </w:rPr>
      </w:pPr>
      <w:r>
        <w:rPr>
          <w:sz w:val="13"/>
        </w:rPr>
        <w:t>Lime</w:t>
      </w:r>
    </w:p>
    <w:p>
      <w:pPr>
        <w:pStyle w:val="BodyText"/>
        <w:spacing w:before="104"/>
        <w:ind w:left="219" w:right="262"/>
        <w:jc w:val="both"/>
      </w:pPr>
      <w:r>
        <w:rPr/>
        <w:t>For Tiers 1 and 2 methods, changes in dead organic matter and inorganic carbon should be assumed to be zero. If dead organic matter is included in a Tier 3 approach, measurements should be based on the lowest amounts present during an annual cycle to avoid including fresh post-harvest residues that represent a transient organic matter pool. Selection of the most suitable tier will depend on: 1) type and level of detail of activity data on agricultural management and changes in management over time, 2) availability of suitable information to estimate base C stocks and stock change and emission factors, 3) availability of dedicated national inventory systems designed for soils.</w:t>
      </w:r>
    </w:p>
    <w:p>
      <w:pPr>
        <w:pStyle w:val="BodyText"/>
        <w:spacing w:before="119"/>
        <w:ind w:left="219" w:right="266"/>
        <w:jc w:val="both"/>
      </w:pPr>
      <w:r>
        <w:rPr/>
        <w:t>All countries should strive for improving inventory and reporting approaches by advancing to the highest tier possible given national circumstances. It is </w:t>
      </w:r>
      <w:r>
        <w:rPr>
          <w:i/>
        </w:rPr>
        <w:t>good practice </w:t>
      </w:r>
      <w:r>
        <w:rPr/>
        <w:t>for countries to use a Tier 2 or Tier 3 approach if carbon emissions and removals in cropland remaining cropland is a key category and if the subcategory of soil organic matter is considered significant based on principles outlined in Chapter 5. Countries should use the decision tree in Figure 3.1.1 to help with the choice of method.</w:t>
      </w:r>
    </w:p>
    <w:p>
      <w:pPr>
        <w:pStyle w:val="BodyText"/>
        <w:spacing w:before="3"/>
        <w:rPr>
          <w:sz w:val="21"/>
        </w:rPr>
      </w:pPr>
    </w:p>
    <w:p>
      <w:pPr>
        <w:pStyle w:val="Heading6"/>
        <w:numPr>
          <w:ilvl w:val="5"/>
          <w:numId w:val="61"/>
        </w:numPr>
        <w:tabs>
          <w:tab w:pos="1449" w:val="left" w:leader="none"/>
        </w:tabs>
        <w:spacing w:line="240" w:lineRule="auto" w:before="0" w:after="0"/>
        <w:ind w:left="1448" w:right="0" w:hanging="1229"/>
        <w:jc w:val="both"/>
      </w:pPr>
      <w:r>
        <w:rPr/>
        <w:t>1 </w:t>
      </w:r>
      <w:r>
        <w:rPr>
          <w:spacing w:val="16"/>
        </w:rPr>
        <w:t>Choice </w:t>
      </w:r>
      <w:r>
        <w:rPr>
          <w:spacing w:val="9"/>
        </w:rPr>
        <w:t>of</w:t>
      </w:r>
      <w:r>
        <w:rPr>
          <w:spacing w:val="-22"/>
        </w:rPr>
        <w:t> </w:t>
      </w:r>
      <w:r>
        <w:rPr>
          <w:spacing w:val="19"/>
        </w:rPr>
        <w:t>Method</w:t>
      </w:r>
    </w:p>
    <w:p>
      <w:pPr>
        <w:pStyle w:val="BodyText"/>
        <w:spacing w:before="54"/>
        <w:ind w:left="219" w:right="267"/>
        <w:jc w:val="both"/>
      </w:pPr>
      <w:r>
        <w:rPr/>
        <w:t>The method used to estimate carbon stock changes in mineral soils is different from the method used for organic soils. It is also possible that countries will use different tiers to prepare estimates of the separate components on this subcategory, given availability of resources. Thus, mineral soils, organic soils, and emissions from liming are discussed separately below.</w:t>
      </w:r>
    </w:p>
    <w:p>
      <w:pPr>
        <w:pStyle w:val="BodyText"/>
        <w:spacing w:before="3"/>
        <w:rPr>
          <w:sz w:val="21"/>
        </w:rPr>
      </w:pPr>
    </w:p>
    <w:p>
      <w:pPr>
        <w:pStyle w:val="Heading7"/>
      </w:pPr>
      <w:r>
        <w:rPr/>
        <w:t>Mineral Soils </w:t>
      </w:r>
    </w:p>
    <w:p>
      <w:pPr>
        <w:pStyle w:val="BodyText"/>
        <w:ind w:left="219" w:right="262"/>
        <w:jc w:val="both"/>
      </w:pPr>
      <w:r>
        <w:rPr/>
        <w:t>For mineral soils, the estimation method is based on changes in soil C stocks over a finite period following changes in management that impact soil C, as shown in Equation 3.3.3. Previous soil C stocks (SOC</w:t>
      </w:r>
      <w:r>
        <w:rPr>
          <w:vertAlign w:val="subscript"/>
        </w:rPr>
        <w:t>(0-T)</w:t>
      </w:r>
      <w:r>
        <w:rPr>
          <w:vertAlign w:val="baseline"/>
        </w:rPr>
        <w:t>) and soil C stocks in the inventory year (SOC</w:t>
      </w:r>
      <w:r>
        <w:rPr>
          <w:vertAlign w:val="subscript"/>
        </w:rPr>
        <w:t>0</w:t>
      </w:r>
      <w:r>
        <w:rPr>
          <w:vertAlign w:val="baseline"/>
        </w:rPr>
        <w:t>) for the area of a cropland system in the inventory are estimated from reference carbon stocks (Table 3.3.3) and stock change factors (Table 3.3.4), applied for the respective time points. Here a cropland system refers to a specific climate, soil and management combination. Annual rates of emissions (source) or removals (sink) are calculated as the difference in stocks (over time) divided by the inventory time period. The default time period is 20 years.</w:t>
      </w:r>
    </w:p>
    <w:p>
      <w:pPr>
        <w:spacing w:after="0"/>
        <w:jc w:val="both"/>
        <w:sectPr>
          <w:type w:val="continuous"/>
          <w:pgSz w:w="11900" w:h="16840"/>
          <w:pgMar w:top="1060" w:bottom="280" w:left="1200" w:right="1140"/>
        </w:sectPr>
      </w:pPr>
    </w:p>
    <w:p>
      <w:pPr>
        <w:pStyle w:val="BodyText"/>
      </w:pPr>
    </w:p>
    <w:p>
      <w:pPr>
        <w:pStyle w:val="BodyText"/>
        <w:spacing w:before="10" w:after="1"/>
        <w:rPr>
          <w:sz w:val="18"/>
        </w:rPr>
      </w:pPr>
    </w:p>
    <w:p>
      <w:pPr>
        <w:pStyle w:val="BodyText"/>
        <w:ind w:left="624"/>
      </w:pPr>
      <w:r>
        <w:rPr>
          <w:position w:val="0"/>
        </w:rPr>
        <w:pict>
          <v:shape style="width:411.5pt;height:68.4pt;mso-position-horizontal-relative:char;mso-position-vertical-relative:line" type="#_x0000_t202" filled="false" stroked="true" strokeweight="1.44pt" strokecolor="#000000">
            <w10:anchorlock/>
            <v:textbox inset="0,0,0,0">
              <w:txbxContent>
                <w:p>
                  <w:pPr>
                    <w:spacing w:line="229" w:lineRule="exact" w:before="99"/>
                    <w:ind w:left="68" w:right="68" w:firstLine="0"/>
                    <w:jc w:val="center"/>
                    <w:rPr>
                      <w:b/>
                      <w:sz w:val="20"/>
                    </w:rPr>
                  </w:pPr>
                  <w:r>
                    <w:rPr>
                      <w:b/>
                      <w:sz w:val="20"/>
                    </w:rPr>
                    <w:t>E</w:t>
                  </w:r>
                  <w:r>
                    <w:rPr>
                      <w:b/>
                      <w:sz w:val="16"/>
                    </w:rPr>
                    <w:t>QUATION </w:t>
                  </w:r>
                  <w:r>
                    <w:rPr>
                      <w:b/>
                      <w:sz w:val="20"/>
                    </w:rPr>
                    <w:t>3.3.3</w:t>
                  </w:r>
                </w:p>
                <w:p>
                  <w:pPr>
                    <w:spacing w:line="229" w:lineRule="exact" w:before="0"/>
                    <w:ind w:left="369" w:right="0" w:firstLine="0"/>
                    <w:jc w:val="left"/>
                    <w:rPr>
                      <w:b/>
                      <w:sz w:val="16"/>
                    </w:rPr>
                  </w:pPr>
                  <w:r>
                    <w:rPr>
                      <w:b/>
                      <w:sz w:val="20"/>
                    </w:rPr>
                    <w:t>A</w:t>
                  </w:r>
                  <w:r>
                    <w:rPr>
                      <w:b/>
                      <w:sz w:val="16"/>
                    </w:rPr>
                    <w:t>NNUAL CHANGE IN CARBON STOCKS IN MINERAL SOILS FOR A SINGLE CROPLAND SYSTEM</w:t>
                  </w:r>
                </w:p>
                <w:p>
                  <w:pPr>
                    <w:pStyle w:val="BodyText"/>
                    <w:spacing w:line="309" w:lineRule="auto" w:before="77"/>
                    <w:ind w:left="2310" w:right="2311"/>
                    <w:jc w:val="center"/>
                  </w:pPr>
                  <w:r>
                    <w:rPr/>
                    <w:t>∆C</w:t>
                  </w:r>
                  <w:r>
                    <w:rPr>
                      <w:vertAlign w:val="subscript"/>
                    </w:rPr>
                    <w:t>CC</w:t>
                  </w:r>
                  <w:r>
                    <w:rPr>
                      <w:position w:val="-8"/>
                      <w:sz w:val="13"/>
                      <w:vertAlign w:val="baseline"/>
                    </w:rPr>
                    <w:t>Mineral </w:t>
                  </w:r>
                  <w:r>
                    <w:rPr>
                      <w:vertAlign w:val="baseline"/>
                    </w:rPr>
                    <w:t>= [(SOC</w:t>
                  </w:r>
                  <w:r>
                    <w:rPr>
                      <w:vertAlign w:val="subscript"/>
                    </w:rPr>
                    <w:t>0</w:t>
                  </w:r>
                  <w:r>
                    <w:rPr>
                      <w:vertAlign w:val="baseline"/>
                    </w:rPr>
                    <w:t> – SOC</w:t>
                  </w:r>
                  <w:r>
                    <w:rPr>
                      <w:vertAlign w:val="subscript"/>
                    </w:rPr>
                    <w:t>(0</w:t>
                  </w:r>
                  <w:r>
                    <w:rPr>
                      <w:vertAlign w:val="baseline"/>
                    </w:rPr>
                    <w:t> </w:t>
                  </w:r>
                  <w:r>
                    <w:rPr>
                      <w:vertAlign w:val="subscript"/>
                    </w:rPr>
                    <w:t>–T)</w:t>
                  </w:r>
                  <w:r>
                    <w:rPr>
                      <w:vertAlign w:val="baseline"/>
                    </w:rPr>
                    <w:t>) ● A] / T SOC = SOC</w:t>
                  </w:r>
                  <w:r>
                    <w:rPr>
                      <w:position w:val="-2"/>
                      <w:sz w:val="10"/>
                      <w:vertAlign w:val="baseline"/>
                    </w:rPr>
                    <w:t>REF </w:t>
                  </w:r>
                  <w:r>
                    <w:rPr>
                      <w:vertAlign w:val="baseline"/>
                    </w:rPr>
                    <w:t>● F</w:t>
                  </w:r>
                  <w:r>
                    <w:rPr>
                      <w:vertAlign w:val="subscript"/>
                    </w:rPr>
                    <w:t>LU</w:t>
                  </w:r>
                  <w:r>
                    <w:rPr>
                      <w:vertAlign w:val="baseline"/>
                    </w:rPr>
                    <w:t> ● F</w:t>
                  </w:r>
                  <w:r>
                    <w:rPr>
                      <w:vertAlign w:val="subscript"/>
                    </w:rPr>
                    <w:t>MG</w:t>
                  </w:r>
                  <w:r>
                    <w:rPr>
                      <w:vertAlign w:val="baseline"/>
                    </w:rPr>
                    <w:t> ● F</w:t>
                  </w:r>
                  <w:r>
                    <w:rPr>
                      <w:vertAlign w:val="subscript"/>
                    </w:rPr>
                    <w:t>I</w:t>
                  </w:r>
                </w:p>
              </w:txbxContent>
            </v:textbox>
            <v:stroke dashstyle="solid"/>
          </v:shape>
        </w:pict>
      </w:r>
      <w:r>
        <w:rPr>
          <w:position w:val="0"/>
        </w:rPr>
      </w:r>
    </w:p>
    <w:p>
      <w:pPr>
        <w:pStyle w:val="BodyText"/>
        <w:spacing w:before="6"/>
        <w:ind w:left="219"/>
      </w:pPr>
      <w:r>
        <w:rPr/>
        <w:t>Where:</w:t>
      </w:r>
    </w:p>
    <w:p>
      <w:pPr>
        <w:pStyle w:val="BodyText"/>
        <w:spacing w:line="350" w:lineRule="auto" w:before="121"/>
        <w:ind w:left="785" w:right="2806"/>
      </w:pPr>
      <w:r>
        <w:rPr/>
        <w:t>∆C</w:t>
      </w:r>
      <w:r>
        <w:rPr>
          <w:vertAlign w:val="subscript"/>
        </w:rPr>
        <w:t>CC</w:t>
      </w:r>
      <w:r>
        <w:rPr>
          <w:position w:val="-8"/>
          <w:sz w:val="13"/>
          <w:vertAlign w:val="baseline"/>
        </w:rPr>
        <w:t>Mineral </w:t>
      </w:r>
      <w:r>
        <w:rPr>
          <w:vertAlign w:val="baseline"/>
        </w:rPr>
        <w:t>= annual change in carbon stocks in mineral soils, tonnes C yr</w:t>
      </w:r>
      <w:r>
        <w:rPr>
          <w:vertAlign w:val="superscript"/>
        </w:rPr>
        <w:t>-1</w:t>
      </w:r>
      <w:r>
        <w:rPr>
          <w:vertAlign w:val="baseline"/>
        </w:rPr>
        <w:t> SOC</w:t>
      </w:r>
      <w:r>
        <w:rPr>
          <w:vertAlign w:val="subscript"/>
        </w:rPr>
        <w:t>0</w:t>
      </w:r>
      <w:r>
        <w:rPr>
          <w:vertAlign w:val="baseline"/>
        </w:rPr>
        <w:t> = soil organic carbon stock in the inventory year, tonnes C ha</w:t>
      </w:r>
      <w:r>
        <w:rPr>
          <w:vertAlign w:val="superscript"/>
        </w:rPr>
        <w:t>-1</w:t>
      </w:r>
    </w:p>
    <w:p>
      <w:pPr>
        <w:pStyle w:val="BodyText"/>
        <w:spacing w:line="364" w:lineRule="auto" w:before="14"/>
        <w:ind w:left="785" w:right="2322"/>
      </w:pPr>
      <w:r>
        <w:rPr/>
        <w:t>SOC</w:t>
      </w:r>
      <w:r>
        <w:rPr>
          <w:vertAlign w:val="subscript"/>
        </w:rPr>
        <w:t>(0-T)</w:t>
      </w:r>
      <w:r>
        <w:rPr>
          <w:vertAlign w:val="baseline"/>
        </w:rPr>
        <w:t> = soil organic carbon stock T years prior to the inventory, tonnes C ha</w:t>
      </w:r>
      <w:r>
        <w:rPr>
          <w:vertAlign w:val="superscript"/>
        </w:rPr>
        <w:t>-1</w:t>
      </w:r>
      <w:r>
        <w:rPr>
          <w:vertAlign w:val="baseline"/>
        </w:rPr>
        <w:t> T = inventory time period, yr (default is 20 yr)</w:t>
      </w:r>
    </w:p>
    <w:p>
      <w:pPr>
        <w:pStyle w:val="BodyText"/>
        <w:spacing w:line="229" w:lineRule="exact"/>
        <w:ind w:left="785"/>
      </w:pPr>
      <w:r>
        <w:rPr/>
        <w:t>A = land area of each parcel, ha</w:t>
      </w:r>
    </w:p>
    <w:p>
      <w:pPr>
        <w:pStyle w:val="BodyText"/>
        <w:spacing w:before="120"/>
        <w:ind w:left="785"/>
      </w:pPr>
      <w:r>
        <w:rPr/>
        <w:t>SOC</w:t>
      </w:r>
      <w:r>
        <w:rPr>
          <w:position w:val="-2"/>
          <w:sz w:val="10"/>
        </w:rPr>
        <w:t>REF </w:t>
      </w:r>
      <w:r>
        <w:rPr/>
        <w:t>= the reference carbon stock, tonnes C ha</w:t>
      </w:r>
      <w:r>
        <w:rPr>
          <w:vertAlign w:val="superscript"/>
        </w:rPr>
        <w:t>-1</w:t>
      </w:r>
      <w:r>
        <w:rPr>
          <w:vertAlign w:val="baseline"/>
        </w:rPr>
        <w:t>; see Table 3.3.3</w:t>
      </w:r>
    </w:p>
    <w:p>
      <w:pPr>
        <w:pStyle w:val="BodyText"/>
        <w:spacing w:line="364" w:lineRule="auto" w:before="112"/>
        <w:ind w:left="785" w:right="1204"/>
      </w:pPr>
      <w:r>
        <w:rPr/>
        <w:t>F</w:t>
      </w:r>
      <w:r>
        <w:rPr>
          <w:vertAlign w:val="subscript"/>
        </w:rPr>
        <w:t>LU</w:t>
      </w:r>
      <w:r>
        <w:rPr>
          <w:vertAlign w:val="baseline"/>
        </w:rPr>
        <w:t> = stock change factor for land use or land-use change type, dimensionless; see Table 3.3.4 F</w:t>
      </w:r>
      <w:r>
        <w:rPr>
          <w:vertAlign w:val="subscript"/>
        </w:rPr>
        <w:t>MG</w:t>
      </w:r>
      <w:r>
        <w:rPr>
          <w:vertAlign w:val="baseline"/>
        </w:rPr>
        <w:t> = stock change factor for management regime, dimensionless; see Table</w:t>
      </w:r>
      <w:r>
        <w:rPr>
          <w:spacing w:val="-9"/>
          <w:vertAlign w:val="baseline"/>
        </w:rPr>
        <w:t> </w:t>
      </w:r>
      <w:r>
        <w:rPr>
          <w:vertAlign w:val="baseline"/>
        </w:rPr>
        <w:t>3.3.4</w:t>
      </w:r>
    </w:p>
    <w:p>
      <w:pPr>
        <w:pStyle w:val="BodyText"/>
        <w:spacing w:before="2"/>
        <w:ind w:left="785"/>
      </w:pPr>
      <w:r>
        <w:rPr/>
        <w:t>F</w:t>
      </w:r>
      <w:r>
        <w:rPr>
          <w:vertAlign w:val="subscript"/>
        </w:rPr>
        <w:t>I</w:t>
      </w:r>
      <w:r>
        <w:rPr>
          <w:spacing w:val="-15"/>
          <w:vertAlign w:val="baseline"/>
        </w:rPr>
        <w:t> </w:t>
      </w:r>
      <w:r>
        <w:rPr>
          <w:vertAlign w:val="baseline"/>
        </w:rPr>
        <w:t>=</w:t>
      </w:r>
      <w:r>
        <w:rPr>
          <w:spacing w:val="-3"/>
          <w:vertAlign w:val="baseline"/>
        </w:rPr>
        <w:t> </w:t>
      </w:r>
      <w:r>
        <w:rPr>
          <w:vertAlign w:val="baseline"/>
        </w:rPr>
        <w:t>stock</w:t>
      </w:r>
      <w:r>
        <w:rPr>
          <w:spacing w:val="-4"/>
          <w:vertAlign w:val="baseline"/>
        </w:rPr>
        <w:t> </w:t>
      </w:r>
      <w:r>
        <w:rPr>
          <w:vertAlign w:val="baseline"/>
        </w:rPr>
        <w:t>change</w:t>
      </w:r>
      <w:r>
        <w:rPr>
          <w:spacing w:val="-4"/>
          <w:vertAlign w:val="baseline"/>
        </w:rPr>
        <w:t> </w:t>
      </w:r>
      <w:r>
        <w:rPr>
          <w:vertAlign w:val="baseline"/>
        </w:rPr>
        <w:t>factor</w:t>
      </w:r>
      <w:r>
        <w:rPr>
          <w:spacing w:val="-2"/>
          <w:vertAlign w:val="baseline"/>
        </w:rPr>
        <w:t> </w:t>
      </w:r>
      <w:r>
        <w:rPr>
          <w:vertAlign w:val="baseline"/>
        </w:rPr>
        <w:t>for</w:t>
      </w:r>
      <w:r>
        <w:rPr>
          <w:spacing w:val="-3"/>
          <w:vertAlign w:val="baseline"/>
        </w:rPr>
        <w:t> </w:t>
      </w:r>
      <w:r>
        <w:rPr>
          <w:vertAlign w:val="baseline"/>
        </w:rPr>
        <w:t>input</w:t>
      </w:r>
      <w:r>
        <w:rPr>
          <w:spacing w:val="-3"/>
          <w:vertAlign w:val="baseline"/>
        </w:rPr>
        <w:t> </w:t>
      </w:r>
      <w:r>
        <w:rPr>
          <w:vertAlign w:val="baseline"/>
        </w:rPr>
        <w:t>of</w:t>
      </w:r>
      <w:r>
        <w:rPr>
          <w:spacing w:val="-5"/>
          <w:vertAlign w:val="baseline"/>
        </w:rPr>
        <w:t> </w:t>
      </w:r>
      <w:r>
        <w:rPr>
          <w:vertAlign w:val="baseline"/>
        </w:rPr>
        <w:t>organic</w:t>
      </w:r>
      <w:r>
        <w:rPr>
          <w:spacing w:val="-1"/>
          <w:vertAlign w:val="baseline"/>
        </w:rPr>
        <w:t> </w:t>
      </w:r>
      <w:r>
        <w:rPr>
          <w:vertAlign w:val="baseline"/>
        </w:rPr>
        <w:t>matter,</w:t>
      </w:r>
      <w:r>
        <w:rPr>
          <w:spacing w:val="-3"/>
          <w:vertAlign w:val="baseline"/>
        </w:rPr>
        <w:t> </w:t>
      </w:r>
      <w:r>
        <w:rPr>
          <w:vertAlign w:val="baseline"/>
        </w:rPr>
        <w:t>dimensionless;</w:t>
      </w:r>
      <w:r>
        <w:rPr>
          <w:spacing w:val="-3"/>
          <w:vertAlign w:val="baseline"/>
        </w:rPr>
        <w:t> </w:t>
      </w:r>
      <w:r>
        <w:rPr>
          <w:vertAlign w:val="baseline"/>
        </w:rPr>
        <w:t>see</w:t>
      </w:r>
      <w:r>
        <w:rPr>
          <w:spacing w:val="-3"/>
          <w:vertAlign w:val="baseline"/>
        </w:rPr>
        <w:t> </w:t>
      </w:r>
      <w:r>
        <w:rPr>
          <w:vertAlign w:val="baseline"/>
        </w:rPr>
        <w:t>Table</w:t>
      </w:r>
      <w:r>
        <w:rPr>
          <w:spacing w:val="-2"/>
          <w:vertAlign w:val="baseline"/>
        </w:rPr>
        <w:t> </w:t>
      </w:r>
      <w:r>
        <w:rPr>
          <w:vertAlign w:val="baseline"/>
        </w:rPr>
        <w:t>3.3.4</w:t>
      </w:r>
    </w:p>
    <w:p>
      <w:pPr>
        <w:pStyle w:val="BodyText"/>
        <w:spacing w:before="121"/>
        <w:ind w:left="219" w:right="266"/>
        <w:jc w:val="both"/>
      </w:pPr>
      <w:r>
        <w:rPr/>
        <w:t>The types of land use and management factors supplied are very broadly defined and include: 1) a land use factor (F</w:t>
      </w:r>
      <w:r>
        <w:rPr>
          <w:vertAlign w:val="subscript"/>
        </w:rPr>
        <w:t>LU</w:t>
      </w:r>
      <w:r>
        <w:rPr>
          <w:vertAlign w:val="baseline"/>
        </w:rPr>
        <w:t>) that reflects C stock changes associated with type of land use, 2) a management factor (F</w:t>
      </w:r>
      <w:r>
        <w:rPr>
          <w:vertAlign w:val="subscript"/>
        </w:rPr>
        <w:t>MG</w:t>
      </w:r>
      <w:r>
        <w:rPr>
          <w:vertAlign w:val="baseline"/>
        </w:rPr>
        <w:t>) that for permanent cropland represents different types of tillage and 3) an input factor (F</w:t>
      </w:r>
      <w:r>
        <w:rPr>
          <w:vertAlign w:val="subscript"/>
        </w:rPr>
        <w:t>I</w:t>
      </w:r>
      <w:r>
        <w:rPr>
          <w:vertAlign w:val="baseline"/>
        </w:rPr>
        <w:t>) representing different levels of C inputs to soil. For cropland, F</w:t>
      </w:r>
      <w:r>
        <w:rPr>
          <w:vertAlign w:val="subscript"/>
        </w:rPr>
        <w:t>LU</w:t>
      </w:r>
      <w:r>
        <w:rPr>
          <w:vertAlign w:val="baseline"/>
        </w:rPr>
        <w:t> describes base C stocks for long-term cultivated soils, paddy rice cultivation and for temporary cropland set-asides, relative to native (uncultivated) soil C stocks. If the area was in other land use (e.g. forest land, grazing land) at the beginning of the inventory period, then guidance provided under Section 3.3.2, Land Converted to Cropland, should be</w:t>
      </w:r>
      <w:r>
        <w:rPr>
          <w:spacing w:val="2"/>
          <w:vertAlign w:val="baseline"/>
        </w:rPr>
        <w:t> </w:t>
      </w:r>
      <w:r>
        <w:rPr>
          <w:vertAlign w:val="baseline"/>
        </w:rPr>
        <w:t>followed.</w:t>
      </w:r>
    </w:p>
    <w:p>
      <w:pPr>
        <w:pStyle w:val="BodyText"/>
        <w:spacing w:before="118"/>
        <w:ind w:left="219" w:right="262"/>
        <w:jc w:val="both"/>
      </w:pPr>
      <w:r>
        <w:rPr/>
        <w:t>The calculation steps for determining SOC</w:t>
      </w:r>
      <w:r>
        <w:rPr>
          <w:vertAlign w:val="subscript"/>
        </w:rPr>
        <w:t>0</w:t>
      </w:r>
      <w:r>
        <w:rPr>
          <w:vertAlign w:val="baseline"/>
        </w:rPr>
        <w:t> and SOC</w:t>
      </w:r>
      <w:r>
        <w:rPr>
          <w:vertAlign w:val="subscript"/>
        </w:rPr>
        <w:t>(0-T)</w:t>
      </w:r>
      <w:r>
        <w:rPr>
          <w:vertAlign w:val="baseline"/>
        </w:rPr>
        <w:t> and net soil C stock change per ha of land area are as follows:</w:t>
      </w:r>
    </w:p>
    <w:p>
      <w:pPr>
        <w:pStyle w:val="BodyText"/>
        <w:spacing w:line="232" w:lineRule="auto" w:before="126"/>
        <w:ind w:left="944" w:right="269" w:hanging="725"/>
        <w:jc w:val="both"/>
      </w:pPr>
      <w:r>
        <w:rPr>
          <w:b/>
        </w:rPr>
        <w:t>Step 1: </w:t>
      </w:r>
      <w:r>
        <w:rPr/>
        <w:t>Select the reference carbon stock value (SOC</w:t>
      </w:r>
      <w:r>
        <w:rPr>
          <w:position w:val="-2"/>
          <w:sz w:val="10"/>
        </w:rPr>
        <w:t>REF</w:t>
      </w:r>
      <w:r>
        <w:rPr/>
        <w:t>), based on climate and soil type, for each area of land being inventoried.</w:t>
      </w:r>
    </w:p>
    <w:p>
      <w:pPr>
        <w:pStyle w:val="BodyText"/>
        <w:spacing w:before="118"/>
        <w:ind w:left="944" w:right="264" w:hanging="725"/>
        <w:jc w:val="both"/>
      </w:pPr>
      <w:r>
        <w:rPr>
          <w:b/>
        </w:rPr>
        <w:t>Step 2: </w:t>
      </w:r>
      <w:r>
        <w:rPr/>
        <w:t>Select the type of cropland use (long-term cultivated, paddy rice, set-aside) present at beginning of the inventory period (e.g. 20 years ago), together with tillage (F</w:t>
      </w:r>
      <w:r>
        <w:rPr>
          <w:vertAlign w:val="subscript"/>
        </w:rPr>
        <w:t>MG</w:t>
      </w:r>
      <w:r>
        <w:rPr>
          <w:vertAlign w:val="baseline"/>
        </w:rPr>
        <w:t>) and C input levels (F</w:t>
      </w:r>
      <w:r>
        <w:rPr>
          <w:vertAlign w:val="subscript"/>
        </w:rPr>
        <w:t>I</w:t>
      </w:r>
      <w:r>
        <w:rPr>
          <w:vertAlign w:val="baseline"/>
        </w:rPr>
        <w:t>). These factors, multiplied by the reference soil C stock, provide the estimate of ‘initial’ soil C stock (SOC</w:t>
      </w:r>
      <w:r>
        <w:rPr>
          <w:vertAlign w:val="subscript"/>
        </w:rPr>
        <w:t>(0-T)</w:t>
      </w:r>
      <w:r>
        <w:rPr>
          <w:vertAlign w:val="baseline"/>
        </w:rPr>
        <w:t>) for the inventory period.</w:t>
      </w:r>
    </w:p>
    <w:p>
      <w:pPr>
        <w:pStyle w:val="BodyText"/>
        <w:spacing w:line="232" w:lineRule="auto" w:before="125"/>
        <w:ind w:left="944" w:right="270" w:hanging="725"/>
        <w:jc w:val="both"/>
      </w:pPr>
      <w:r>
        <w:rPr>
          <w:b/>
        </w:rPr>
        <w:t>Step 3: </w:t>
      </w:r>
      <w:r>
        <w:rPr/>
        <w:t>Calculate SOC</w:t>
      </w:r>
      <w:r>
        <w:rPr>
          <w:vertAlign w:val="subscript"/>
        </w:rPr>
        <w:t>0</w:t>
      </w:r>
      <w:r>
        <w:rPr>
          <w:vertAlign w:val="baseline"/>
        </w:rPr>
        <w:t> by repeating step 2 using the same reference carbon stock (SOC</w:t>
      </w:r>
      <w:r>
        <w:rPr>
          <w:position w:val="-2"/>
          <w:sz w:val="10"/>
          <w:vertAlign w:val="baseline"/>
        </w:rPr>
        <w:t>REF</w:t>
      </w:r>
      <w:r>
        <w:rPr>
          <w:vertAlign w:val="baseline"/>
        </w:rPr>
        <w:t>), but with land use, tillage and input factors that represent conditions in the (current) inventory year.</w:t>
      </w:r>
    </w:p>
    <w:p>
      <w:pPr>
        <w:pStyle w:val="BodyText"/>
        <w:spacing w:before="121"/>
        <w:ind w:left="219"/>
      </w:pPr>
      <w:r>
        <w:rPr>
          <w:b/>
        </w:rPr>
        <w:t>Step 4: </w:t>
      </w:r>
      <w:r>
        <w:rPr/>
        <w:t>Calculate the average annual change in soil C stock for the area over the inventory period (∆C</w:t>
      </w:r>
      <w:r>
        <w:rPr>
          <w:vertAlign w:val="subscript"/>
        </w:rPr>
        <w:t>CC</w:t>
      </w:r>
      <w:r>
        <w:rPr>
          <w:position w:val="-8"/>
          <w:sz w:val="13"/>
          <w:vertAlign w:val="baseline"/>
        </w:rPr>
        <w:t>Mineral</w:t>
      </w:r>
      <w:r>
        <w:rPr>
          <w:vertAlign w:val="baseline"/>
        </w:rPr>
        <w:t>)</w:t>
      </w:r>
    </w:p>
    <w:p>
      <w:pPr>
        <w:spacing w:after="0"/>
        <w:sectPr>
          <w:pgSz w:w="11900" w:h="16840"/>
          <w:pgMar w:header="230" w:footer="408" w:top="560" w:bottom="600" w:left="1200" w:right="1140"/>
        </w:sectPr>
      </w:pPr>
    </w:p>
    <w:p>
      <w:pPr>
        <w:pStyle w:val="BodyText"/>
      </w:pPr>
    </w:p>
    <w:p>
      <w:pPr>
        <w:pStyle w:val="BodyText"/>
      </w:pPr>
    </w:p>
    <w:p>
      <w:pPr>
        <w:pStyle w:val="BodyText"/>
      </w:pPr>
    </w:p>
    <w:p>
      <w:pPr>
        <w:pStyle w:val="BodyText"/>
      </w:pPr>
    </w:p>
    <w:p>
      <w:pPr>
        <w:pStyle w:val="BodyText"/>
        <w:spacing w:before="5"/>
        <w:rPr>
          <w:sz w:val="18"/>
        </w:rPr>
      </w:pPr>
    </w:p>
    <w:p>
      <w:pPr>
        <w:pStyle w:val="BodyText"/>
        <w:ind w:left="624"/>
      </w:pPr>
      <w:r>
        <w:rPr/>
        <w:pict>
          <v:group style="width:412.95pt;height:105pt;mso-position-horizontal-relative:char;mso-position-vertical-relative:line" coordorigin="0,0" coordsize="8259,2100">
            <v:line style="position:absolute" from="29,14" to="8230,14" stroked="true" strokeweight="1.44pt" strokecolor="#000000">
              <v:stroke dashstyle="solid"/>
            </v:line>
            <v:line style="position:absolute" from="29,2086" to="8230,2086" stroked="true" strokeweight="1.44pt" strokecolor="#000000">
              <v:stroke dashstyle="solid"/>
            </v:line>
            <v:line style="position:absolute" from="14,0" to="14,2100" stroked="true" strokeweight="1.44pt" strokecolor="#000000">
              <v:stroke dashstyle="solid"/>
            </v:line>
            <v:line style="position:absolute" from="8244,0" to="8244,2100" stroked="true" strokeweight="1.44pt" strokecolor="#000000">
              <v:stroke dashstyle="solid"/>
            </v:line>
            <v:shape style="position:absolute;left:156;top:1051;width:7967;height:915" type="#_x0000_t202" filled="false" stroked="false">
              <v:textbox inset="0,0,0,0">
                <w:txbxContent>
                  <w:p>
                    <w:pPr>
                      <w:spacing w:line="240" w:lineRule="auto" w:before="0"/>
                      <w:ind w:left="0" w:right="18" w:firstLine="0"/>
                      <w:jc w:val="both"/>
                      <w:rPr>
                        <w:sz w:val="20"/>
                      </w:rPr>
                    </w:pPr>
                    <w:r>
                      <w:rPr>
                        <w:sz w:val="20"/>
                      </w:rPr>
                      <w:t>current management of annual cropping with no tillage and medium C input level the carbon stock is calculated as 88 tonnes C ha</w:t>
                    </w:r>
                    <w:r>
                      <w:rPr>
                        <w:sz w:val="20"/>
                        <w:vertAlign w:val="superscript"/>
                      </w:rPr>
                      <w:t>-1</w:t>
                    </w:r>
                    <w:r>
                      <w:rPr>
                        <w:sz w:val="20"/>
                        <w:vertAlign w:val="baseline"/>
                      </w:rPr>
                      <w:t> ● 0.71 ● 1.16 ● 1 = 72.5 tonnes C ha</w:t>
                    </w:r>
                    <w:r>
                      <w:rPr>
                        <w:sz w:val="20"/>
                        <w:vertAlign w:val="superscript"/>
                      </w:rPr>
                      <w:t>-1</w:t>
                    </w:r>
                    <w:r>
                      <w:rPr>
                        <w:sz w:val="20"/>
                        <w:vertAlign w:val="baseline"/>
                      </w:rPr>
                      <w:t>. Thus the average annual change in soil C stock for the area over the inventory period is calculated as (72.5 tonnes C ha</w:t>
                    </w:r>
                    <w:r>
                      <w:rPr>
                        <w:sz w:val="20"/>
                        <w:vertAlign w:val="superscript"/>
                      </w:rPr>
                      <w:t>-1</w:t>
                    </w:r>
                    <w:r>
                      <w:rPr>
                        <w:sz w:val="20"/>
                        <w:vertAlign w:val="baseline"/>
                      </w:rPr>
                      <w:t> –</w:t>
                    </w:r>
                  </w:p>
                  <w:p>
                    <w:pPr>
                      <w:spacing w:before="0"/>
                      <w:ind w:left="0" w:right="0" w:firstLine="0"/>
                      <w:jc w:val="both"/>
                      <w:rPr>
                        <w:sz w:val="20"/>
                      </w:rPr>
                    </w:pPr>
                    <w:r>
                      <w:rPr>
                        <w:sz w:val="20"/>
                      </w:rPr>
                      <w:t>56.9 tonnes C ha</w:t>
                    </w:r>
                    <w:r>
                      <w:rPr>
                        <w:sz w:val="20"/>
                        <w:vertAlign w:val="superscript"/>
                      </w:rPr>
                      <w:t>-1</w:t>
                    </w:r>
                    <w:r>
                      <w:rPr>
                        <w:sz w:val="20"/>
                        <w:vertAlign w:val="baseline"/>
                      </w:rPr>
                      <w:t>) / 20 yrs = 0.78 tonnes C ha</w:t>
                    </w:r>
                    <w:r>
                      <w:rPr>
                        <w:sz w:val="20"/>
                        <w:vertAlign w:val="superscript"/>
                      </w:rPr>
                      <w:t>-1</w:t>
                    </w:r>
                    <w:r>
                      <w:rPr>
                        <w:sz w:val="20"/>
                        <w:vertAlign w:val="baseline"/>
                      </w:rPr>
                      <w:t> yr</w:t>
                    </w:r>
                    <w:r>
                      <w:rPr>
                        <w:sz w:val="20"/>
                        <w:vertAlign w:val="superscript"/>
                      </w:rPr>
                      <w:t>-1</w:t>
                    </w:r>
                    <w:r>
                      <w:rPr>
                        <w:sz w:val="20"/>
                        <w:vertAlign w:val="baseline"/>
                      </w:rPr>
                      <w:t>.</w:t>
                    </w:r>
                  </w:p>
                </w:txbxContent>
              </v:textbox>
              <w10:wrap type="none"/>
            </v:shape>
            <v:shape style="position:absolute;left:856;top:794;width:7265;height:250" type="#_x0000_t202" filled="false" stroked="false">
              <v:textbox inset="0,0,0,0">
                <w:txbxContent>
                  <w:p>
                    <w:pPr>
                      <w:numPr>
                        <w:ilvl w:val="0"/>
                        <w:numId w:val="62"/>
                      </w:numPr>
                      <w:tabs>
                        <w:tab w:pos="183" w:val="left" w:leader="none"/>
                        <w:tab w:pos="525" w:val="left" w:leader="none"/>
                        <w:tab w:pos="1089" w:val="left" w:leader="none"/>
                      </w:tabs>
                      <w:spacing w:before="20"/>
                      <w:ind w:left="182" w:right="0" w:hanging="182"/>
                      <w:jc w:val="left"/>
                      <w:rPr>
                        <w:sz w:val="20"/>
                      </w:rPr>
                    </w:pPr>
                    <w:r>
                      <w:rPr>
                        <w:sz w:val="20"/>
                      </w:rPr>
                      <w:t>F</w:t>
                      <w:tab/>
                      <w:t>●</w:t>
                    </w:r>
                    <w:r>
                      <w:rPr>
                        <w:spacing w:val="11"/>
                        <w:sz w:val="20"/>
                      </w:rPr>
                      <w:t> </w:t>
                    </w:r>
                    <w:r>
                      <w:rPr>
                        <w:sz w:val="20"/>
                      </w:rPr>
                      <w:t>F</w:t>
                      <w:tab/>
                      <w:t>●</w:t>
                    </w:r>
                    <w:r>
                      <w:rPr>
                        <w:spacing w:val="11"/>
                        <w:sz w:val="20"/>
                      </w:rPr>
                      <w:t> </w:t>
                    </w:r>
                    <w:r>
                      <w:rPr>
                        <w:sz w:val="20"/>
                      </w:rPr>
                      <w:t>F</w:t>
                    </w:r>
                    <w:r>
                      <w:rPr>
                        <w:spacing w:val="-11"/>
                        <w:sz w:val="20"/>
                      </w:rPr>
                      <w:t> </w:t>
                    </w:r>
                    <w:r>
                      <w:rPr>
                        <w:sz w:val="20"/>
                      </w:rPr>
                      <w:t>,</w:t>
                    </w:r>
                    <w:r>
                      <w:rPr>
                        <w:spacing w:val="-6"/>
                        <w:sz w:val="20"/>
                      </w:rPr>
                      <w:t> </w:t>
                    </w:r>
                    <w:r>
                      <w:rPr>
                        <w:sz w:val="20"/>
                      </w:rPr>
                      <w:t>)</w:t>
                    </w:r>
                    <w:r>
                      <w:rPr>
                        <w:spacing w:val="-5"/>
                        <w:sz w:val="20"/>
                      </w:rPr>
                      <w:t> </w:t>
                    </w:r>
                    <w:r>
                      <w:rPr>
                        <w:sz w:val="20"/>
                      </w:rPr>
                      <w:t>=</w:t>
                    </w:r>
                    <w:r>
                      <w:rPr>
                        <w:spacing w:val="11"/>
                        <w:sz w:val="20"/>
                      </w:rPr>
                      <w:t> </w:t>
                    </w:r>
                    <w:r>
                      <w:rPr>
                        <w:sz w:val="20"/>
                      </w:rPr>
                      <w:t>88</w:t>
                    </w:r>
                    <w:r>
                      <w:rPr>
                        <w:spacing w:val="9"/>
                        <w:sz w:val="20"/>
                      </w:rPr>
                      <w:t> </w:t>
                    </w:r>
                    <w:r>
                      <w:rPr>
                        <w:sz w:val="20"/>
                      </w:rPr>
                      <w:t>tonnes</w:t>
                    </w:r>
                    <w:r>
                      <w:rPr>
                        <w:spacing w:val="10"/>
                        <w:sz w:val="20"/>
                      </w:rPr>
                      <w:t> </w:t>
                    </w:r>
                    <w:r>
                      <w:rPr>
                        <w:sz w:val="20"/>
                      </w:rPr>
                      <w:t>C</w:t>
                    </w:r>
                    <w:r>
                      <w:rPr>
                        <w:spacing w:val="9"/>
                        <w:sz w:val="20"/>
                      </w:rPr>
                      <w:t> </w:t>
                    </w:r>
                    <w:r>
                      <w:rPr>
                        <w:sz w:val="20"/>
                      </w:rPr>
                      <w:t>ha</w:t>
                    </w:r>
                    <w:r>
                      <w:rPr>
                        <w:sz w:val="20"/>
                        <w:vertAlign w:val="superscript"/>
                      </w:rPr>
                      <w:t>-1</w:t>
                    </w:r>
                    <w:r>
                      <w:rPr>
                        <w:sz w:val="20"/>
                        <w:vertAlign w:val="baseline"/>
                      </w:rPr>
                      <w:t>●</w:t>
                    </w:r>
                    <w:r>
                      <w:rPr>
                        <w:spacing w:val="10"/>
                        <w:sz w:val="20"/>
                        <w:vertAlign w:val="baseline"/>
                      </w:rPr>
                      <w:t> </w:t>
                    </w:r>
                    <w:r>
                      <w:rPr>
                        <w:sz w:val="20"/>
                        <w:vertAlign w:val="baseline"/>
                      </w:rPr>
                      <w:t>0.71</w:t>
                    </w:r>
                    <w:r>
                      <w:rPr>
                        <w:spacing w:val="12"/>
                        <w:sz w:val="20"/>
                        <w:vertAlign w:val="baseline"/>
                      </w:rPr>
                      <w:t> </w:t>
                    </w:r>
                    <w:r>
                      <w:rPr>
                        <w:sz w:val="20"/>
                        <w:vertAlign w:val="baseline"/>
                      </w:rPr>
                      <w:t>●</w:t>
                    </w:r>
                    <w:r>
                      <w:rPr>
                        <w:spacing w:val="7"/>
                        <w:sz w:val="20"/>
                        <w:vertAlign w:val="baseline"/>
                      </w:rPr>
                      <w:t> </w:t>
                    </w:r>
                    <w:r>
                      <w:rPr>
                        <w:sz w:val="20"/>
                        <w:vertAlign w:val="baseline"/>
                      </w:rPr>
                      <w:t>1</w:t>
                    </w:r>
                    <w:r>
                      <w:rPr>
                        <w:spacing w:val="12"/>
                        <w:sz w:val="20"/>
                        <w:vertAlign w:val="baseline"/>
                      </w:rPr>
                      <w:t> </w:t>
                    </w:r>
                    <w:r>
                      <w:rPr>
                        <w:sz w:val="20"/>
                        <w:vertAlign w:val="baseline"/>
                      </w:rPr>
                      <w:t>●</w:t>
                    </w:r>
                    <w:r>
                      <w:rPr>
                        <w:spacing w:val="7"/>
                        <w:sz w:val="20"/>
                        <w:vertAlign w:val="baseline"/>
                      </w:rPr>
                      <w:t> </w:t>
                    </w:r>
                    <w:r>
                      <w:rPr>
                        <w:sz w:val="20"/>
                        <w:vertAlign w:val="baseline"/>
                      </w:rPr>
                      <w:t>0.91</w:t>
                    </w:r>
                    <w:r>
                      <w:rPr>
                        <w:spacing w:val="12"/>
                        <w:sz w:val="20"/>
                        <w:vertAlign w:val="baseline"/>
                      </w:rPr>
                      <w:t> </w:t>
                    </w:r>
                    <w:r>
                      <w:rPr>
                        <w:sz w:val="20"/>
                        <w:vertAlign w:val="baseline"/>
                      </w:rPr>
                      <w:t>=</w:t>
                    </w:r>
                    <w:r>
                      <w:rPr>
                        <w:spacing w:val="9"/>
                        <w:sz w:val="20"/>
                        <w:vertAlign w:val="baseline"/>
                      </w:rPr>
                      <w:t> </w:t>
                    </w:r>
                    <w:r>
                      <w:rPr>
                        <w:sz w:val="20"/>
                        <w:vertAlign w:val="baseline"/>
                      </w:rPr>
                      <w:t>56.9</w:t>
                    </w:r>
                    <w:r>
                      <w:rPr>
                        <w:spacing w:val="9"/>
                        <w:sz w:val="20"/>
                        <w:vertAlign w:val="baseline"/>
                      </w:rPr>
                      <w:t> </w:t>
                    </w:r>
                    <w:r>
                      <w:rPr>
                        <w:sz w:val="20"/>
                        <w:vertAlign w:val="baseline"/>
                      </w:rPr>
                      <w:t>tonnes</w:t>
                    </w:r>
                    <w:r>
                      <w:rPr>
                        <w:spacing w:val="10"/>
                        <w:sz w:val="20"/>
                        <w:vertAlign w:val="baseline"/>
                      </w:rPr>
                      <w:t> </w:t>
                    </w:r>
                    <w:r>
                      <w:rPr>
                        <w:sz w:val="20"/>
                        <w:vertAlign w:val="baseline"/>
                      </w:rPr>
                      <w:t>C</w:t>
                    </w:r>
                    <w:r>
                      <w:rPr>
                        <w:spacing w:val="9"/>
                        <w:sz w:val="20"/>
                        <w:vertAlign w:val="baseline"/>
                      </w:rPr>
                      <w:t> </w:t>
                    </w:r>
                    <w:r>
                      <w:rPr>
                        <w:sz w:val="20"/>
                        <w:vertAlign w:val="baseline"/>
                      </w:rPr>
                      <w:t>ha</w:t>
                    </w:r>
                    <w:r>
                      <w:rPr>
                        <w:sz w:val="20"/>
                        <w:vertAlign w:val="superscript"/>
                      </w:rPr>
                      <w:t>-1</w:t>
                    </w:r>
                    <w:r>
                      <w:rPr>
                        <w:sz w:val="20"/>
                        <w:vertAlign w:val="baseline"/>
                      </w:rPr>
                      <w:t>.</w:t>
                    </w:r>
                    <w:r>
                      <w:rPr>
                        <w:spacing w:val="11"/>
                        <w:sz w:val="20"/>
                        <w:vertAlign w:val="baseline"/>
                      </w:rPr>
                      <w:t> </w:t>
                    </w:r>
                    <w:r>
                      <w:rPr>
                        <w:sz w:val="20"/>
                        <w:vertAlign w:val="baseline"/>
                      </w:rPr>
                      <w:t>Under</w:t>
                    </w:r>
                    <w:r>
                      <w:rPr>
                        <w:spacing w:val="10"/>
                        <w:sz w:val="20"/>
                        <w:vertAlign w:val="baseline"/>
                      </w:rPr>
                      <w:t> </w:t>
                    </w:r>
                    <w:r>
                      <w:rPr>
                        <w:sz w:val="20"/>
                        <w:vertAlign w:val="baseline"/>
                      </w:rPr>
                      <w:t>the</w:t>
                    </w:r>
                  </w:p>
                </w:txbxContent>
              </v:textbox>
              <w10:wrap type="none"/>
            </v:shape>
            <v:shape style="position:absolute;left:612;top:916;width:1691;height:144" type="#_x0000_t202" filled="false" stroked="false">
              <v:textbox inset="0,0,0,0">
                <w:txbxContent>
                  <w:p>
                    <w:pPr>
                      <w:tabs>
                        <w:tab w:pos="537" w:val="left" w:leader="none"/>
                        <w:tab w:pos="1063" w:val="left" w:leader="none"/>
                        <w:tab w:pos="1627" w:val="left" w:leader="none"/>
                      </w:tabs>
                      <w:spacing w:line="144" w:lineRule="exact" w:before="0"/>
                      <w:ind w:left="0" w:right="0" w:firstLine="0"/>
                      <w:jc w:val="left"/>
                      <w:rPr>
                        <w:sz w:val="13"/>
                      </w:rPr>
                    </w:pPr>
                    <w:r>
                      <w:rPr>
                        <w:sz w:val="10"/>
                      </w:rPr>
                      <w:t>REF</w:t>
                      <w:tab/>
                    </w:r>
                    <w:r>
                      <w:rPr>
                        <w:sz w:val="13"/>
                      </w:rPr>
                      <w:t>LU</w:t>
                      <w:tab/>
                      <w:t>MG</w:t>
                      <w:tab/>
                      <w:t>I</w:t>
                    </w:r>
                  </w:p>
                </w:txbxContent>
              </v:textbox>
              <w10:wrap type="none"/>
            </v:shape>
            <v:shape style="position:absolute;left:156;top:823;width:475;height:221" type="#_x0000_t202" filled="false" stroked="false">
              <v:textbox inset="0,0,0,0">
                <w:txbxContent>
                  <w:p>
                    <w:pPr>
                      <w:spacing w:line="221" w:lineRule="exact" w:before="0"/>
                      <w:ind w:left="0" w:right="0" w:firstLine="0"/>
                      <w:jc w:val="left"/>
                      <w:rPr>
                        <w:sz w:val="20"/>
                      </w:rPr>
                    </w:pPr>
                    <w:r>
                      <w:rPr>
                        <w:sz w:val="20"/>
                      </w:rPr>
                      <w:t>(SOC</w:t>
                    </w:r>
                  </w:p>
                </w:txbxContent>
              </v:textbox>
              <w10:wrap type="none"/>
            </v:shape>
            <v:shape style="position:absolute;left:156;top:362;width:7971;height:451" type="#_x0000_t202" filled="false" stroked="false">
              <v:textbox inset="0,0,0,0">
                <w:txbxContent>
                  <w:p>
                    <w:pPr>
                      <w:spacing w:line="240" w:lineRule="auto" w:before="0"/>
                      <w:ind w:left="0" w:right="18" w:firstLine="0"/>
                      <w:jc w:val="left"/>
                      <w:rPr>
                        <w:sz w:val="20"/>
                      </w:rPr>
                    </w:pPr>
                    <w:r>
                      <w:rPr>
                        <w:sz w:val="20"/>
                      </w:rPr>
                      <w:t>an area of land under long-term annual cropping, previously managed with intensive tillage and low C input level, the carbon stock at the beginning of the inventory period is calculated as</w:t>
                    </w:r>
                  </w:p>
                </w:txbxContent>
              </v:textbox>
              <w10:wrap type="none"/>
            </v:shape>
            <v:shape style="position:absolute;left:6204;top:132;width:1920;height:221" type="#_x0000_t202" filled="false" stroked="false">
              <v:textbox inset="0,0,0,0">
                <w:txbxContent>
                  <w:p>
                    <w:pPr>
                      <w:spacing w:line="221" w:lineRule="exact" w:before="0"/>
                      <w:ind w:left="0" w:right="0" w:firstLine="0"/>
                      <w:jc w:val="left"/>
                      <w:rPr>
                        <w:sz w:val="20"/>
                      </w:rPr>
                    </w:pPr>
                    <w:r>
                      <w:rPr>
                        <w:sz w:val="20"/>
                      </w:rPr>
                      <w:t>is 88 tonnes C ha . On</w:t>
                    </w:r>
                  </w:p>
                </w:txbxContent>
              </v:textbox>
              <w10:wrap type="none"/>
            </v:shape>
            <v:shape style="position:absolute;left:5956;top:250;width:204;height:112" type="#_x0000_t202" filled="false" stroked="false">
              <v:textbox inset="0,0,0,0">
                <w:txbxContent>
                  <w:p>
                    <w:pPr>
                      <w:spacing w:line="111" w:lineRule="exact" w:before="0"/>
                      <w:ind w:left="0" w:right="0" w:firstLine="0"/>
                      <w:jc w:val="left"/>
                      <w:rPr>
                        <w:sz w:val="10"/>
                      </w:rPr>
                    </w:pPr>
                    <w:r>
                      <w:rPr>
                        <w:sz w:val="10"/>
                      </w:rPr>
                      <w:t>REF</w:t>
                    </w:r>
                  </w:p>
                </w:txbxContent>
              </v:textbox>
              <w10:wrap type="none"/>
            </v:shape>
            <v:shape style="position:absolute;left:7636;top:102;width:129;height:144" type="#_x0000_t202" filled="false" stroked="false">
              <v:textbox inset="0,0,0,0">
                <w:txbxContent>
                  <w:p>
                    <w:pPr>
                      <w:spacing w:line="144" w:lineRule="exact" w:before="0"/>
                      <w:ind w:left="0" w:right="0" w:firstLine="0"/>
                      <w:jc w:val="left"/>
                      <w:rPr>
                        <w:sz w:val="13"/>
                      </w:rPr>
                    </w:pPr>
                    <w:r>
                      <w:rPr>
                        <w:sz w:val="13"/>
                      </w:rPr>
                      <w:t>-1</w:t>
                    </w:r>
                  </w:p>
                </w:txbxContent>
              </v:textbox>
              <w10:wrap type="none"/>
            </v:shape>
            <v:shape style="position:absolute;left:156;top:132;width:5824;height:221" type="#_x0000_t202" filled="false" stroked="false">
              <v:textbox inset="0,0,0,0">
                <w:txbxContent>
                  <w:p>
                    <w:pPr>
                      <w:spacing w:line="221" w:lineRule="exact" w:before="0"/>
                      <w:ind w:left="0" w:right="0" w:firstLine="0"/>
                      <w:jc w:val="left"/>
                      <w:rPr>
                        <w:sz w:val="20"/>
                      </w:rPr>
                    </w:pPr>
                    <w:r>
                      <w:rPr>
                        <w:b/>
                        <w:sz w:val="20"/>
                      </w:rPr>
                      <w:t>Example</w:t>
                    </w:r>
                    <w:r>
                      <w:rPr>
                        <w:sz w:val="20"/>
                      </w:rPr>
                      <w:t>: For a Mollisol soil in a warm temperate moist climate, SOC</w:t>
                    </w:r>
                  </w:p>
                </w:txbxContent>
              </v:textbox>
              <w10:wrap type="none"/>
            </v:shape>
          </v:group>
        </w:pict>
      </w:r>
      <w:r>
        <w:rPr/>
      </w:r>
    </w:p>
    <w:p>
      <w:pPr>
        <w:pStyle w:val="BodyText"/>
      </w:pPr>
    </w:p>
    <w:p>
      <w:pPr>
        <w:pStyle w:val="BodyText"/>
      </w:pPr>
    </w:p>
    <w:p>
      <w:pPr>
        <w:pStyle w:val="BodyText"/>
      </w:pPr>
    </w:p>
    <w:p>
      <w:pPr>
        <w:pStyle w:val="BodyText"/>
      </w:pPr>
    </w:p>
    <w:p>
      <w:pPr>
        <w:pStyle w:val="BodyText"/>
        <w:spacing w:before="1"/>
        <w:rPr>
          <w:sz w:val="17"/>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6"/>
        <w:gridCol w:w="1106"/>
        <w:gridCol w:w="1106"/>
        <w:gridCol w:w="1176"/>
        <w:gridCol w:w="1174"/>
        <w:gridCol w:w="1181"/>
        <w:gridCol w:w="1155"/>
      </w:tblGrid>
      <w:tr>
        <w:trPr>
          <w:trHeight w:val="860" w:hRule="atLeast"/>
        </w:trPr>
        <w:tc>
          <w:tcPr>
            <w:tcW w:w="8854" w:type="dxa"/>
            <w:gridSpan w:val="7"/>
            <w:tcBorders>
              <w:bottom w:val="double" w:sz="1" w:space="0" w:color="000000"/>
            </w:tcBorders>
          </w:tcPr>
          <w:p>
            <w:pPr>
              <w:pStyle w:val="TableParagraph"/>
              <w:spacing w:before="59"/>
              <w:ind w:left="1166" w:right="1161"/>
              <w:jc w:val="center"/>
              <w:rPr>
                <w:b/>
                <w:sz w:val="18"/>
              </w:rPr>
            </w:pPr>
            <w:r>
              <w:rPr>
                <w:b/>
                <w:sz w:val="18"/>
              </w:rPr>
              <w:t>T</w:t>
            </w:r>
            <w:r>
              <w:rPr>
                <w:b/>
                <w:sz w:val="14"/>
              </w:rPr>
              <w:t>ABLE </w:t>
            </w:r>
            <w:r>
              <w:rPr>
                <w:b/>
                <w:sz w:val="18"/>
              </w:rPr>
              <w:t>3.3.3</w:t>
            </w:r>
          </w:p>
          <w:p>
            <w:pPr>
              <w:pStyle w:val="TableParagraph"/>
              <w:spacing w:line="220" w:lineRule="auto" w:before="132"/>
              <w:ind w:left="1205" w:right="1161"/>
              <w:jc w:val="center"/>
              <w:rPr>
                <w:b/>
                <w:sz w:val="18"/>
              </w:rPr>
            </w:pPr>
            <w:r>
              <w:rPr>
                <w:b/>
                <w:sz w:val="18"/>
              </w:rPr>
              <w:t>D</w:t>
            </w:r>
            <w:r>
              <w:rPr>
                <w:b/>
                <w:sz w:val="14"/>
              </w:rPr>
              <w:t>EFAULT REFERENCE </w:t>
            </w:r>
            <w:r>
              <w:rPr>
                <w:b/>
                <w:sz w:val="18"/>
              </w:rPr>
              <w:t>(</w:t>
            </w:r>
            <w:r>
              <w:rPr>
                <w:b/>
                <w:sz w:val="14"/>
              </w:rPr>
              <w:t>UNDER NATIVE VEGETATION</w:t>
            </w:r>
            <w:r>
              <w:rPr>
                <w:b/>
                <w:sz w:val="18"/>
              </w:rPr>
              <w:t>) </w:t>
            </w:r>
            <w:r>
              <w:rPr>
                <w:b/>
                <w:sz w:val="14"/>
              </w:rPr>
              <w:t>SOIL ORGANIC </w:t>
            </w:r>
            <w:r>
              <w:rPr>
                <w:b/>
                <w:sz w:val="18"/>
              </w:rPr>
              <w:t>C </w:t>
            </w:r>
            <w:r>
              <w:rPr>
                <w:b/>
                <w:sz w:val="14"/>
              </w:rPr>
              <w:t>STOCKS </w:t>
            </w:r>
            <w:r>
              <w:rPr>
                <w:b/>
                <w:sz w:val="18"/>
              </w:rPr>
              <w:t>(SOC</w:t>
            </w:r>
            <w:r>
              <w:rPr>
                <w:b/>
                <w:position w:val="-2"/>
                <w:sz w:val="12"/>
              </w:rPr>
              <w:t>REF</w:t>
            </w:r>
            <w:r>
              <w:rPr>
                <w:b/>
                <w:sz w:val="18"/>
              </w:rPr>
              <w:t>) (</w:t>
            </w:r>
            <w:r>
              <w:rPr>
                <w:b/>
                <w:sz w:val="14"/>
              </w:rPr>
              <w:t>TONNES </w:t>
            </w:r>
            <w:r>
              <w:rPr>
                <w:b/>
                <w:sz w:val="18"/>
              </w:rPr>
              <w:t>C </w:t>
            </w:r>
            <w:r>
              <w:rPr>
                <w:b/>
                <w:sz w:val="14"/>
              </w:rPr>
              <w:t>PER HA FOR </w:t>
            </w:r>
            <w:r>
              <w:rPr>
                <w:b/>
                <w:sz w:val="18"/>
              </w:rPr>
              <w:t>0-30 </w:t>
            </w:r>
            <w:r>
              <w:rPr>
                <w:b/>
                <w:sz w:val="14"/>
              </w:rPr>
              <w:t>CM DEPTH</w:t>
            </w:r>
            <w:r>
              <w:rPr>
                <w:b/>
                <w:sz w:val="18"/>
              </w:rPr>
              <w:t>)</w:t>
            </w:r>
          </w:p>
        </w:tc>
      </w:tr>
      <w:tr>
        <w:trPr>
          <w:trHeight w:val="534" w:hRule="atLeast"/>
        </w:trPr>
        <w:tc>
          <w:tcPr>
            <w:tcW w:w="1956" w:type="dxa"/>
            <w:tcBorders>
              <w:top w:val="double" w:sz="1" w:space="0" w:color="000000"/>
            </w:tcBorders>
          </w:tcPr>
          <w:p>
            <w:pPr>
              <w:pStyle w:val="TableParagraph"/>
              <w:spacing w:before="165"/>
              <w:ind w:left="687" w:right="678"/>
              <w:jc w:val="center"/>
              <w:rPr>
                <w:b/>
                <w:sz w:val="18"/>
              </w:rPr>
            </w:pPr>
            <w:r>
              <w:rPr>
                <w:b/>
                <w:sz w:val="18"/>
              </w:rPr>
              <w:t>Region</w:t>
            </w:r>
          </w:p>
        </w:tc>
        <w:tc>
          <w:tcPr>
            <w:tcW w:w="1106" w:type="dxa"/>
            <w:tcBorders>
              <w:top w:val="double" w:sz="1" w:space="0" w:color="000000"/>
            </w:tcBorders>
          </w:tcPr>
          <w:p>
            <w:pPr>
              <w:pStyle w:val="TableParagraph"/>
              <w:spacing w:before="165"/>
              <w:ind w:left="50" w:right="40"/>
              <w:jc w:val="center"/>
              <w:rPr>
                <w:b/>
                <w:sz w:val="18"/>
              </w:rPr>
            </w:pPr>
            <w:r>
              <w:rPr>
                <w:b/>
                <w:sz w:val="18"/>
              </w:rPr>
              <w:t>HAC soils</w:t>
            </w:r>
            <w:r>
              <w:rPr>
                <w:b/>
                <w:sz w:val="18"/>
                <w:vertAlign w:val="superscript"/>
              </w:rPr>
              <w:t>1</w:t>
            </w:r>
          </w:p>
        </w:tc>
        <w:tc>
          <w:tcPr>
            <w:tcW w:w="1106" w:type="dxa"/>
            <w:tcBorders>
              <w:top w:val="double" w:sz="1" w:space="0" w:color="000000"/>
            </w:tcBorders>
          </w:tcPr>
          <w:p>
            <w:pPr>
              <w:pStyle w:val="TableParagraph"/>
              <w:spacing w:before="165"/>
              <w:ind w:left="50" w:right="40"/>
              <w:jc w:val="center"/>
              <w:rPr>
                <w:b/>
                <w:sz w:val="18"/>
              </w:rPr>
            </w:pPr>
            <w:r>
              <w:rPr>
                <w:b/>
                <w:sz w:val="18"/>
              </w:rPr>
              <w:t>LAC soils</w:t>
            </w:r>
            <w:r>
              <w:rPr>
                <w:b/>
                <w:sz w:val="18"/>
                <w:vertAlign w:val="superscript"/>
              </w:rPr>
              <w:t>2</w:t>
            </w:r>
          </w:p>
        </w:tc>
        <w:tc>
          <w:tcPr>
            <w:tcW w:w="1176" w:type="dxa"/>
            <w:tcBorders>
              <w:top w:val="double" w:sz="1" w:space="0" w:color="000000"/>
            </w:tcBorders>
          </w:tcPr>
          <w:p>
            <w:pPr>
              <w:pStyle w:val="TableParagraph"/>
              <w:spacing w:before="165"/>
              <w:ind w:left="87" w:right="79"/>
              <w:jc w:val="center"/>
              <w:rPr>
                <w:b/>
                <w:sz w:val="18"/>
              </w:rPr>
            </w:pPr>
            <w:r>
              <w:rPr>
                <w:b/>
                <w:sz w:val="18"/>
              </w:rPr>
              <w:t>Sandy soils</w:t>
            </w:r>
            <w:r>
              <w:rPr>
                <w:b/>
                <w:sz w:val="18"/>
                <w:vertAlign w:val="superscript"/>
              </w:rPr>
              <w:t>3</w:t>
            </w:r>
          </w:p>
        </w:tc>
        <w:tc>
          <w:tcPr>
            <w:tcW w:w="1174" w:type="dxa"/>
            <w:tcBorders>
              <w:top w:val="double" w:sz="1" w:space="0" w:color="000000"/>
            </w:tcBorders>
          </w:tcPr>
          <w:p>
            <w:pPr>
              <w:pStyle w:val="TableParagraph"/>
              <w:spacing w:before="165"/>
              <w:ind w:left="90" w:right="80"/>
              <w:jc w:val="center"/>
              <w:rPr>
                <w:b/>
                <w:sz w:val="18"/>
              </w:rPr>
            </w:pPr>
            <w:r>
              <w:rPr>
                <w:b/>
                <w:sz w:val="18"/>
              </w:rPr>
              <w:t>Spodic soils</w:t>
            </w:r>
            <w:r>
              <w:rPr>
                <w:b/>
                <w:sz w:val="18"/>
                <w:vertAlign w:val="superscript"/>
              </w:rPr>
              <w:t>4</w:t>
            </w:r>
          </w:p>
        </w:tc>
        <w:tc>
          <w:tcPr>
            <w:tcW w:w="1181" w:type="dxa"/>
            <w:tcBorders>
              <w:top w:val="double" w:sz="1" w:space="0" w:color="000000"/>
            </w:tcBorders>
          </w:tcPr>
          <w:p>
            <w:pPr>
              <w:pStyle w:val="TableParagraph"/>
              <w:spacing w:before="61"/>
              <w:ind w:left="393" w:right="228" w:hanging="140"/>
              <w:rPr>
                <w:b/>
                <w:sz w:val="18"/>
              </w:rPr>
            </w:pPr>
            <w:r>
              <w:rPr>
                <w:b/>
                <w:sz w:val="18"/>
              </w:rPr>
              <w:t>Volcanic soils</w:t>
            </w:r>
            <w:r>
              <w:rPr>
                <w:b/>
                <w:sz w:val="18"/>
                <w:vertAlign w:val="superscript"/>
              </w:rPr>
              <w:t>5</w:t>
            </w:r>
          </w:p>
        </w:tc>
        <w:tc>
          <w:tcPr>
            <w:tcW w:w="1155" w:type="dxa"/>
            <w:tcBorders>
              <w:top w:val="double" w:sz="1" w:space="0" w:color="000000"/>
            </w:tcBorders>
          </w:tcPr>
          <w:p>
            <w:pPr>
              <w:pStyle w:val="TableParagraph"/>
              <w:spacing w:before="61"/>
              <w:ind w:left="381" w:right="218" w:hanging="135"/>
              <w:rPr>
                <w:b/>
                <w:sz w:val="18"/>
              </w:rPr>
            </w:pPr>
            <w:r>
              <w:rPr>
                <w:b/>
                <w:sz w:val="18"/>
              </w:rPr>
              <w:t>Wetland soils</w:t>
            </w:r>
            <w:r>
              <w:rPr>
                <w:b/>
                <w:sz w:val="18"/>
                <w:vertAlign w:val="superscript"/>
              </w:rPr>
              <w:t>6</w:t>
            </w:r>
          </w:p>
        </w:tc>
      </w:tr>
      <w:tr>
        <w:trPr>
          <w:trHeight w:val="326" w:hRule="atLeast"/>
        </w:trPr>
        <w:tc>
          <w:tcPr>
            <w:tcW w:w="1956" w:type="dxa"/>
          </w:tcPr>
          <w:p>
            <w:pPr>
              <w:pStyle w:val="TableParagraph"/>
              <w:spacing w:before="55"/>
              <w:ind w:left="107"/>
              <w:rPr>
                <w:sz w:val="18"/>
              </w:rPr>
            </w:pPr>
            <w:r>
              <w:rPr>
                <w:sz w:val="18"/>
              </w:rPr>
              <w:t>Boreal</w:t>
            </w:r>
          </w:p>
        </w:tc>
        <w:tc>
          <w:tcPr>
            <w:tcW w:w="1106" w:type="dxa"/>
          </w:tcPr>
          <w:p>
            <w:pPr>
              <w:pStyle w:val="TableParagraph"/>
              <w:spacing w:before="55"/>
              <w:ind w:left="47" w:right="40"/>
              <w:jc w:val="center"/>
              <w:rPr>
                <w:sz w:val="18"/>
              </w:rPr>
            </w:pPr>
            <w:r>
              <w:rPr>
                <w:sz w:val="18"/>
              </w:rPr>
              <w:t>68</w:t>
            </w:r>
          </w:p>
        </w:tc>
        <w:tc>
          <w:tcPr>
            <w:tcW w:w="1106" w:type="dxa"/>
          </w:tcPr>
          <w:p>
            <w:pPr>
              <w:pStyle w:val="TableParagraph"/>
              <w:spacing w:before="55"/>
              <w:ind w:left="53" w:right="40"/>
              <w:jc w:val="center"/>
              <w:rPr>
                <w:sz w:val="18"/>
              </w:rPr>
            </w:pPr>
            <w:r>
              <w:rPr>
                <w:sz w:val="18"/>
              </w:rPr>
              <w:t>NA</w:t>
            </w:r>
          </w:p>
        </w:tc>
        <w:tc>
          <w:tcPr>
            <w:tcW w:w="1176" w:type="dxa"/>
          </w:tcPr>
          <w:p>
            <w:pPr>
              <w:pStyle w:val="TableParagraph"/>
              <w:spacing w:before="55"/>
              <w:ind w:left="87" w:right="79"/>
              <w:jc w:val="center"/>
              <w:rPr>
                <w:sz w:val="18"/>
              </w:rPr>
            </w:pPr>
            <w:r>
              <w:rPr>
                <w:sz w:val="18"/>
              </w:rPr>
              <w:t>10</w:t>
            </w:r>
            <w:r>
              <w:rPr>
                <w:sz w:val="18"/>
                <w:vertAlign w:val="superscript"/>
              </w:rPr>
              <w:t>#</w:t>
            </w:r>
          </w:p>
        </w:tc>
        <w:tc>
          <w:tcPr>
            <w:tcW w:w="1174" w:type="dxa"/>
          </w:tcPr>
          <w:p>
            <w:pPr>
              <w:pStyle w:val="TableParagraph"/>
              <w:spacing w:before="55"/>
              <w:ind w:left="90" w:right="77"/>
              <w:jc w:val="center"/>
              <w:rPr>
                <w:sz w:val="18"/>
              </w:rPr>
            </w:pPr>
            <w:r>
              <w:rPr>
                <w:sz w:val="18"/>
              </w:rPr>
              <w:t>117</w:t>
            </w:r>
          </w:p>
        </w:tc>
        <w:tc>
          <w:tcPr>
            <w:tcW w:w="1181" w:type="dxa"/>
          </w:tcPr>
          <w:p>
            <w:pPr>
              <w:pStyle w:val="TableParagraph"/>
              <w:spacing w:before="55"/>
              <w:ind w:right="458"/>
              <w:jc w:val="right"/>
              <w:rPr>
                <w:sz w:val="18"/>
              </w:rPr>
            </w:pPr>
            <w:r>
              <w:rPr>
                <w:sz w:val="18"/>
              </w:rPr>
              <w:t>20</w:t>
            </w:r>
            <w:r>
              <w:rPr>
                <w:sz w:val="18"/>
                <w:vertAlign w:val="superscript"/>
              </w:rPr>
              <w:t>#</w:t>
            </w:r>
          </w:p>
        </w:tc>
        <w:tc>
          <w:tcPr>
            <w:tcW w:w="1155" w:type="dxa"/>
          </w:tcPr>
          <w:p>
            <w:pPr>
              <w:pStyle w:val="TableParagraph"/>
              <w:spacing w:before="55"/>
              <w:ind w:left="420" w:right="414"/>
              <w:jc w:val="center"/>
              <w:rPr>
                <w:sz w:val="18"/>
              </w:rPr>
            </w:pPr>
            <w:r>
              <w:rPr>
                <w:sz w:val="18"/>
              </w:rPr>
              <w:t>146</w:t>
            </w:r>
          </w:p>
        </w:tc>
      </w:tr>
      <w:tr>
        <w:trPr>
          <w:trHeight w:val="326" w:hRule="atLeast"/>
        </w:trPr>
        <w:tc>
          <w:tcPr>
            <w:tcW w:w="1956" w:type="dxa"/>
          </w:tcPr>
          <w:p>
            <w:pPr>
              <w:pStyle w:val="TableParagraph"/>
              <w:spacing w:before="55"/>
              <w:ind w:left="107"/>
              <w:rPr>
                <w:sz w:val="18"/>
              </w:rPr>
            </w:pPr>
            <w:r>
              <w:rPr>
                <w:sz w:val="18"/>
              </w:rPr>
              <w:t>Cold temperate, dry</w:t>
            </w:r>
          </w:p>
        </w:tc>
        <w:tc>
          <w:tcPr>
            <w:tcW w:w="1106" w:type="dxa"/>
          </w:tcPr>
          <w:p>
            <w:pPr>
              <w:pStyle w:val="TableParagraph"/>
              <w:spacing w:before="55"/>
              <w:ind w:left="50" w:right="40"/>
              <w:jc w:val="center"/>
              <w:rPr>
                <w:sz w:val="18"/>
              </w:rPr>
            </w:pPr>
            <w:r>
              <w:rPr>
                <w:sz w:val="18"/>
              </w:rPr>
              <w:t>50</w:t>
            </w:r>
          </w:p>
        </w:tc>
        <w:tc>
          <w:tcPr>
            <w:tcW w:w="1106" w:type="dxa"/>
          </w:tcPr>
          <w:p>
            <w:pPr>
              <w:pStyle w:val="TableParagraph"/>
              <w:spacing w:before="55"/>
              <w:ind w:left="50" w:right="40"/>
              <w:jc w:val="center"/>
              <w:rPr>
                <w:sz w:val="18"/>
              </w:rPr>
            </w:pPr>
            <w:r>
              <w:rPr>
                <w:sz w:val="18"/>
              </w:rPr>
              <w:t>33</w:t>
            </w:r>
          </w:p>
        </w:tc>
        <w:tc>
          <w:tcPr>
            <w:tcW w:w="1176" w:type="dxa"/>
          </w:tcPr>
          <w:p>
            <w:pPr>
              <w:pStyle w:val="TableParagraph"/>
              <w:spacing w:before="55"/>
              <w:ind w:left="87" w:right="75"/>
              <w:jc w:val="center"/>
              <w:rPr>
                <w:sz w:val="18"/>
              </w:rPr>
            </w:pPr>
            <w:r>
              <w:rPr>
                <w:sz w:val="18"/>
              </w:rPr>
              <w:t>34</w:t>
            </w:r>
          </w:p>
        </w:tc>
        <w:tc>
          <w:tcPr>
            <w:tcW w:w="1174" w:type="dxa"/>
          </w:tcPr>
          <w:p>
            <w:pPr>
              <w:pStyle w:val="TableParagraph"/>
              <w:spacing w:before="55"/>
              <w:ind w:left="90" w:right="76"/>
              <w:jc w:val="center"/>
              <w:rPr>
                <w:sz w:val="18"/>
              </w:rPr>
            </w:pPr>
            <w:r>
              <w:rPr>
                <w:sz w:val="18"/>
              </w:rPr>
              <w:t>NA</w:t>
            </w:r>
          </w:p>
        </w:tc>
        <w:tc>
          <w:tcPr>
            <w:tcW w:w="1181" w:type="dxa"/>
          </w:tcPr>
          <w:p>
            <w:pPr>
              <w:pStyle w:val="TableParagraph"/>
              <w:spacing w:before="55"/>
              <w:ind w:right="458"/>
              <w:jc w:val="right"/>
              <w:rPr>
                <w:sz w:val="18"/>
              </w:rPr>
            </w:pPr>
            <w:r>
              <w:rPr>
                <w:w w:val="95"/>
                <w:sz w:val="18"/>
              </w:rPr>
              <w:t>20</w:t>
            </w:r>
            <w:r>
              <w:rPr>
                <w:w w:val="95"/>
                <w:sz w:val="18"/>
                <w:vertAlign w:val="superscript"/>
              </w:rPr>
              <w:t>#</w:t>
            </w:r>
          </w:p>
        </w:tc>
        <w:tc>
          <w:tcPr>
            <w:tcW w:w="1155" w:type="dxa"/>
            <w:vMerge w:val="restart"/>
          </w:tcPr>
          <w:p>
            <w:pPr>
              <w:pStyle w:val="TableParagraph"/>
              <w:spacing w:before="11"/>
              <w:rPr>
                <w:sz w:val="18"/>
              </w:rPr>
            </w:pPr>
          </w:p>
          <w:p>
            <w:pPr>
              <w:pStyle w:val="TableParagraph"/>
              <w:ind w:left="420" w:right="413"/>
              <w:jc w:val="center"/>
              <w:rPr>
                <w:sz w:val="18"/>
              </w:rPr>
            </w:pPr>
            <w:r>
              <w:rPr>
                <w:sz w:val="18"/>
              </w:rPr>
              <w:t>87</w:t>
            </w:r>
          </w:p>
        </w:tc>
      </w:tr>
      <w:tr>
        <w:trPr>
          <w:trHeight w:val="328" w:hRule="atLeast"/>
        </w:trPr>
        <w:tc>
          <w:tcPr>
            <w:tcW w:w="1956" w:type="dxa"/>
          </w:tcPr>
          <w:p>
            <w:pPr>
              <w:pStyle w:val="TableParagraph"/>
              <w:spacing w:before="55"/>
              <w:ind w:left="107"/>
              <w:rPr>
                <w:sz w:val="18"/>
              </w:rPr>
            </w:pPr>
            <w:r>
              <w:rPr>
                <w:sz w:val="18"/>
              </w:rPr>
              <w:t>Cold temperate, moist</w:t>
            </w:r>
          </w:p>
        </w:tc>
        <w:tc>
          <w:tcPr>
            <w:tcW w:w="1106" w:type="dxa"/>
          </w:tcPr>
          <w:p>
            <w:pPr>
              <w:pStyle w:val="TableParagraph"/>
              <w:spacing w:before="55"/>
              <w:ind w:left="52" w:right="40"/>
              <w:jc w:val="center"/>
              <w:rPr>
                <w:sz w:val="18"/>
              </w:rPr>
            </w:pPr>
            <w:r>
              <w:rPr>
                <w:sz w:val="18"/>
              </w:rPr>
              <w:t>95</w:t>
            </w:r>
          </w:p>
        </w:tc>
        <w:tc>
          <w:tcPr>
            <w:tcW w:w="1106" w:type="dxa"/>
          </w:tcPr>
          <w:p>
            <w:pPr>
              <w:pStyle w:val="TableParagraph"/>
              <w:spacing w:before="55"/>
              <w:ind w:left="52" w:right="40"/>
              <w:jc w:val="center"/>
              <w:rPr>
                <w:sz w:val="18"/>
              </w:rPr>
            </w:pPr>
            <w:r>
              <w:rPr>
                <w:sz w:val="18"/>
              </w:rPr>
              <w:t>85</w:t>
            </w:r>
          </w:p>
        </w:tc>
        <w:tc>
          <w:tcPr>
            <w:tcW w:w="1176" w:type="dxa"/>
          </w:tcPr>
          <w:p>
            <w:pPr>
              <w:pStyle w:val="TableParagraph"/>
              <w:spacing w:before="55"/>
              <w:ind w:left="87" w:right="73"/>
              <w:jc w:val="center"/>
              <w:rPr>
                <w:sz w:val="18"/>
              </w:rPr>
            </w:pPr>
            <w:r>
              <w:rPr>
                <w:sz w:val="18"/>
              </w:rPr>
              <w:t>71</w:t>
            </w:r>
          </w:p>
        </w:tc>
        <w:tc>
          <w:tcPr>
            <w:tcW w:w="1174" w:type="dxa"/>
          </w:tcPr>
          <w:p>
            <w:pPr>
              <w:pStyle w:val="TableParagraph"/>
              <w:spacing w:before="55"/>
              <w:ind w:left="90" w:right="75"/>
              <w:jc w:val="center"/>
              <w:rPr>
                <w:sz w:val="18"/>
              </w:rPr>
            </w:pPr>
            <w:r>
              <w:rPr>
                <w:sz w:val="18"/>
              </w:rPr>
              <w:t>115</w:t>
            </w:r>
          </w:p>
        </w:tc>
        <w:tc>
          <w:tcPr>
            <w:tcW w:w="1181" w:type="dxa"/>
          </w:tcPr>
          <w:p>
            <w:pPr>
              <w:pStyle w:val="TableParagraph"/>
              <w:spacing w:before="55"/>
              <w:ind w:right="444"/>
              <w:jc w:val="right"/>
              <w:rPr>
                <w:sz w:val="18"/>
              </w:rPr>
            </w:pPr>
            <w:r>
              <w:rPr>
                <w:sz w:val="18"/>
              </w:rPr>
              <w:t>130</w:t>
            </w:r>
          </w:p>
        </w:tc>
        <w:tc>
          <w:tcPr>
            <w:tcW w:w="1155" w:type="dxa"/>
            <w:vMerge/>
            <w:tcBorders>
              <w:top w:val="nil"/>
            </w:tcBorders>
          </w:tcPr>
          <w:p>
            <w:pPr>
              <w:rPr>
                <w:sz w:val="2"/>
                <w:szCs w:val="2"/>
              </w:rPr>
            </w:pPr>
          </w:p>
        </w:tc>
      </w:tr>
      <w:tr>
        <w:trPr>
          <w:trHeight w:val="326" w:hRule="atLeast"/>
        </w:trPr>
        <w:tc>
          <w:tcPr>
            <w:tcW w:w="1956" w:type="dxa"/>
          </w:tcPr>
          <w:p>
            <w:pPr>
              <w:pStyle w:val="TableParagraph"/>
              <w:spacing w:before="55"/>
              <w:ind w:left="107"/>
              <w:rPr>
                <w:sz w:val="18"/>
              </w:rPr>
            </w:pPr>
            <w:r>
              <w:rPr>
                <w:sz w:val="18"/>
              </w:rPr>
              <w:t>Warm temperate, dry</w:t>
            </w:r>
          </w:p>
        </w:tc>
        <w:tc>
          <w:tcPr>
            <w:tcW w:w="1106" w:type="dxa"/>
          </w:tcPr>
          <w:p>
            <w:pPr>
              <w:pStyle w:val="TableParagraph"/>
              <w:spacing w:before="55"/>
              <w:ind w:left="48" w:right="40"/>
              <w:jc w:val="center"/>
              <w:rPr>
                <w:sz w:val="18"/>
              </w:rPr>
            </w:pPr>
            <w:r>
              <w:rPr>
                <w:sz w:val="18"/>
              </w:rPr>
              <w:t>38</w:t>
            </w:r>
          </w:p>
        </w:tc>
        <w:tc>
          <w:tcPr>
            <w:tcW w:w="1106" w:type="dxa"/>
          </w:tcPr>
          <w:p>
            <w:pPr>
              <w:pStyle w:val="TableParagraph"/>
              <w:spacing w:before="55"/>
              <w:ind w:left="48" w:right="40"/>
              <w:jc w:val="center"/>
              <w:rPr>
                <w:sz w:val="18"/>
              </w:rPr>
            </w:pPr>
            <w:r>
              <w:rPr>
                <w:sz w:val="18"/>
              </w:rPr>
              <w:t>24</w:t>
            </w:r>
          </w:p>
        </w:tc>
        <w:tc>
          <w:tcPr>
            <w:tcW w:w="1176" w:type="dxa"/>
          </w:tcPr>
          <w:p>
            <w:pPr>
              <w:pStyle w:val="TableParagraph"/>
              <w:spacing w:before="55"/>
              <w:ind w:left="87" w:right="76"/>
              <w:jc w:val="center"/>
              <w:rPr>
                <w:sz w:val="18"/>
              </w:rPr>
            </w:pPr>
            <w:r>
              <w:rPr>
                <w:sz w:val="18"/>
              </w:rPr>
              <w:t>19</w:t>
            </w:r>
          </w:p>
        </w:tc>
        <w:tc>
          <w:tcPr>
            <w:tcW w:w="1174" w:type="dxa"/>
          </w:tcPr>
          <w:p>
            <w:pPr>
              <w:pStyle w:val="TableParagraph"/>
              <w:spacing w:before="55"/>
              <w:ind w:left="90" w:right="77"/>
              <w:jc w:val="center"/>
              <w:rPr>
                <w:sz w:val="18"/>
              </w:rPr>
            </w:pPr>
            <w:r>
              <w:rPr>
                <w:sz w:val="18"/>
              </w:rPr>
              <w:t>NA</w:t>
            </w:r>
          </w:p>
        </w:tc>
        <w:tc>
          <w:tcPr>
            <w:tcW w:w="1181" w:type="dxa"/>
          </w:tcPr>
          <w:p>
            <w:pPr>
              <w:pStyle w:val="TableParagraph"/>
              <w:spacing w:before="55"/>
              <w:ind w:right="458"/>
              <w:jc w:val="right"/>
              <w:rPr>
                <w:sz w:val="18"/>
              </w:rPr>
            </w:pPr>
            <w:r>
              <w:rPr>
                <w:sz w:val="18"/>
              </w:rPr>
              <w:t>70</w:t>
            </w:r>
            <w:r>
              <w:rPr>
                <w:sz w:val="18"/>
                <w:vertAlign w:val="superscript"/>
              </w:rPr>
              <w:t>#</w:t>
            </w:r>
          </w:p>
        </w:tc>
        <w:tc>
          <w:tcPr>
            <w:tcW w:w="1155" w:type="dxa"/>
            <w:vMerge w:val="restart"/>
          </w:tcPr>
          <w:p>
            <w:pPr>
              <w:pStyle w:val="TableParagraph"/>
              <w:spacing w:before="11"/>
              <w:rPr>
                <w:sz w:val="18"/>
              </w:rPr>
            </w:pPr>
          </w:p>
          <w:p>
            <w:pPr>
              <w:pStyle w:val="TableParagraph"/>
              <w:ind w:left="420" w:right="413"/>
              <w:jc w:val="center"/>
              <w:rPr>
                <w:sz w:val="18"/>
              </w:rPr>
            </w:pPr>
            <w:r>
              <w:rPr>
                <w:sz w:val="18"/>
              </w:rPr>
              <w:t>88</w:t>
            </w:r>
          </w:p>
        </w:tc>
      </w:tr>
      <w:tr>
        <w:trPr>
          <w:trHeight w:val="328" w:hRule="atLeast"/>
        </w:trPr>
        <w:tc>
          <w:tcPr>
            <w:tcW w:w="1956" w:type="dxa"/>
          </w:tcPr>
          <w:p>
            <w:pPr>
              <w:pStyle w:val="TableParagraph"/>
              <w:spacing w:before="55"/>
              <w:ind w:left="107"/>
              <w:rPr>
                <w:sz w:val="18"/>
              </w:rPr>
            </w:pPr>
            <w:r>
              <w:rPr>
                <w:sz w:val="18"/>
              </w:rPr>
              <w:t>Warm temperate, moist</w:t>
            </w:r>
          </w:p>
        </w:tc>
        <w:tc>
          <w:tcPr>
            <w:tcW w:w="1106" w:type="dxa"/>
          </w:tcPr>
          <w:p>
            <w:pPr>
              <w:pStyle w:val="TableParagraph"/>
              <w:spacing w:before="55"/>
              <w:ind w:left="50" w:right="40"/>
              <w:jc w:val="center"/>
              <w:rPr>
                <w:sz w:val="18"/>
              </w:rPr>
            </w:pPr>
            <w:r>
              <w:rPr>
                <w:sz w:val="18"/>
              </w:rPr>
              <w:t>88</w:t>
            </w:r>
          </w:p>
        </w:tc>
        <w:tc>
          <w:tcPr>
            <w:tcW w:w="1106" w:type="dxa"/>
          </w:tcPr>
          <w:p>
            <w:pPr>
              <w:pStyle w:val="TableParagraph"/>
              <w:spacing w:before="55"/>
              <w:ind w:left="50" w:right="40"/>
              <w:jc w:val="center"/>
              <w:rPr>
                <w:sz w:val="18"/>
              </w:rPr>
            </w:pPr>
            <w:r>
              <w:rPr>
                <w:sz w:val="18"/>
              </w:rPr>
              <w:t>63</w:t>
            </w:r>
          </w:p>
        </w:tc>
        <w:tc>
          <w:tcPr>
            <w:tcW w:w="1176" w:type="dxa"/>
          </w:tcPr>
          <w:p>
            <w:pPr>
              <w:pStyle w:val="TableParagraph"/>
              <w:spacing w:before="55"/>
              <w:ind w:left="87" w:right="75"/>
              <w:jc w:val="center"/>
              <w:rPr>
                <w:sz w:val="18"/>
              </w:rPr>
            </w:pPr>
            <w:r>
              <w:rPr>
                <w:sz w:val="18"/>
              </w:rPr>
              <w:t>34</w:t>
            </w:r>
          </w:p>
        </w:tc>
        <w:tc>
          <w:tcPr>
            <w:tcW w:w="1174" w:type="dxa"/>
          </w:tcPr>
          <w:p>
            <w:pPr>
              <w:pStyle w:val="TableParagraph"/>
              <w:spacing w:before="55"/>
              <w:ind w:left="90" w:right="76"/>
              <w:jc w:val="center"/>
              <w:rPr>
                <w:sz w:val="18"/>
              </w:rPr>
            </w:pPr>
            <w:r>
              <w:rPr>
                <w:sz w:val="18"/>
              </w:rPr>
              <w:t>NA</w:t>
            </w:r>
          </w:p>
        </w:tc>
        <w:tc>
          <w:tcPr>
            <w:tcW w:w="1181" w:type="dxa"/>
          </w:tcPr>
          <w:p>
            <w:pPr>
              <w:pStyle w:val="TableParagraph"/>
              <w:spacing w:before="55"/>
              <w:ind w:left="478" w:right="473"/>
              <w:jc w:val="center"/>
              <w:rPr>
                <w:sz w:val="18"/>
              </w:rPr>
            </w:pPr>
            <w:r>
              <w:rPr>
                <w:sz w:val="18"/>
              </w:rPr>
              <w:t>80</w:t>
            </w:r>
          </w:p>
        </w:tc>
        <w:tc>
          <w:tcPr>
            <w:tcW w:w="1155" w:type="dxa"/>
            <w:vMerge/>
            <w:tcBorders>
              <w:top w:val="nil"/>
            </w:tcBorders>
          </w:tcPr>
          <w:p>
            <w:pPr>
              <w:rPr>
                <w:sz w:val="2"/>
                <w:szCs w:val="2"/>
              </w:rPr>
            </w:pPr>
          </w:p>
        </w:tc>
      </w:tr>
      <w:tr>
        <w:trPr>
          <w:trHeight w:val="326" w:hRule="atLeast"/>
        </w:trPr>
        <w:tc>
          <w:tcPr>
            <w:tcW w:w="1956" w:type="dxa"/>
          </w:tcPr>
          <w:p>
            <w:pPr>
              <w:pStyle w:val="TableParagraph"/>
              <w:spacing w:before="55"/>
              <w:ind w:left="107"/>
              <w:rPr>
                <w:sz w:val="18"/>
              </w:rPr>
            </w:pPr>
            <w:r>
              <w:rPr>
                <w:sz w:val="18"/>
              </w:rPr>
              <w:t>Tropical, dry</w:t>
            </w:r>
          </w:p>
        </w:tc>
        <w:tc>
          <w:tcPr>
            <w:tcW w:w="1106" w:type="dxa"/>
          </w:tcPr>
          <w:p>
            <w:pPr>
              <w:pStyle w:val="TableParagraph"/>
              <w:spacing w:before="55"/>
              <w:ind w:left="49" w:right="40"/>
              <w:jc w:val="center"/>
              <w:rPr>
                <w:sz w:val="18"/>
              </w:rPr>
            </w:pPr>
            <w:r>
              <w:rPr>
                <w:sz w:val="18"/>
              </w:rPr>
              <w:t>38</w:t>
            </w:r>
          </w:p>
        </w:tc>
        <w:tc>
          <w:tcPr>
            <w:tcW w:w="1106" w:type="dxa"/>
          </w:tcPr>
          <w:p>
            <w:pPr>
              <w:pStyle w:val="TableParagraph"/>
              <w:spacing w:before="55"/>
              <w:ind w:left="49" w:right="40"/>
              <w:jc w:val="center"/>
              <w:rPr>
                <w:sz w:val="18"/>
              </w:rPr>
            </w:pPr>
            <w:r>
              <w:rPr>
                <w:sz w:val="18"/>
              </w:rPr>
              <w:t>35</w:t>
            </w:r>
          </w:p>
        </w:tc>
        <w:tc>
          <w:tcPr>
            <w:tcW w:w="1176" w:type="dxa"/>
          </w:tcPr>
          <w:p>
            <w:pPr>
              <w:pStyle w:val="TableParagraph"/>
              <w:spacing w:before="55"/>
              <w:ind w:left="87" w:right="75"/>
              <w:jc w:val="center"/>
              <w:rPr>
                <w:sz w:val="18"/>
              </w:rPr>
            </w:pPr>
            <w:r>
              <w:rPr>
                <w:sz w:val="18"/>
              </w:rPr>
              <w:t>31</w:t>
            </w:r>
          </w:p>
        </w:tc>
        <w:tc>
          <w:tcPr>
            <w:tcW w:w="1174" w:type="dxa"/>
          </w:tcPr>
          <w:p>
            <w:pPr>
              <w:pStyle w:val="TableParagraph"/>
              <w:spacing w:before="55"/>
              <w:ind w:left="90" w:right="76"/>
              <w:jc w:val="center"/>
              <w:rPr>
                <w:sz w:val="18"/>
              </w:rPr>
            </w:pPr>
            <w:r>
              <w:rPr>
                <w:sz w:val="18"/>
              </w:rPr>
              <w:t>NA</w:t>
            </w:r>
          </w:p>
        </w:tc>
        <w:tc>
          <w:tcPr>
            <w:tcW w:w="1181" w:type="dxa"/>
          </w:tcPr>
          <w:p>
            <w:pPr>
              <w:pStyle w:val="TableParagraph"/>
              <w:spacing w:before="55"/>
              <w:ind w:right="458"/>
              <w:jc w:val="right"/>
              <w:rPr>
                <w:sz w:val="18"/>
              </w:rPr>
            </w:pPr>
            <w:r>
              <w:rPr>
                <w:w w:val="95"/>
                <w:sz w:val="18"/>
              </w:rPr>
              <w:t>50</w:t>
            </w:r>
            <w:r>
              <w:rPr>
                <w:w w:val="95"/>
                <w:sz w:val="18"/>
                <w:vertAlign w:val="superscript"/>
              </w:rPr>
              <w:t>#</w:t>
            </w:r>
          </w:p>
        </w:tc>
        <w:tc>
          <w:tcPr>
            <w:tcW w:w="1155" w:type="dxa"/>
            <w:vMerge w:val="restart"/>
          </w:tcPr>
          <w:p>
            <w:pPr>
              <w:pStyle w:val="TableParagraph"/>
              <w:rPr>
                <w:sz w:val="20"/>
              </w:rPr>
            </w:pPr>
          </w:p>
          <w:p>
            <w:pPr>
              <w:pStyle w:val="TableParagraph"/>
              <w:spacing w:before="156"/>
              <w:ind w:left="420" w:right="414"/>
              <w:jc w:val="center"/>
              <w:rPr>
                <w:sz w:val="18"/>
              </w:rPr>
            </w:pPr>
            <w:r>
              <w:rPr>
                <w:sz w:val="18"/>
              </w:rPr>
              <w:t>86</w:t>
            </w:r>
          </w:p>
        </w:tc>
      </w:tr>
      <w:tr>
        <w:trPr>
          <w:trHeight w:val="326" w:hRule="atLeast"/>
        </w:trPr>
        <w:tc>
          <w:tcPr>
            <w:tcW w:w="1956" w:type="dxa"/>
          </w:tcPr>
          <w:p>
            <w:pPr>
              <w:pStyle w:val="TableParagraph"/>
              <w:spacing w:before="55"/>
              <w:ind w:left="107"/>
              <w:rPr>
                <w:sz w:val="18"/>
              </w:rPr>
            </w:pPr>
            <w:r>
              <w:rPr>
                <w:sz w:val="18"/>
              </w:rPr>
              <w:t>Tropical, moist</w:t>
            </w:r>
          </w:p>
        </w:tc>
        <w:tc>
          <w:tcPr>
            <w:tcW w:w="1106" w:type="dxa"/>
          </w:tcPr>
          <w:p>
            <w:pPr>
              <w:pStyle w:val="TableParagraph"/>
              <w:spacing w:before="55"/>
              <w:ind w:left="50" w:right="40"/>
              <w:jc w:val="center"/>
              <w:rPr>
                <w:sz w:val="18"/>
              </w:rPr>
            </w:pPr>
            <w:r>
              <w:rPr>
                <w:sz w:val="18"/>
              </w:rPr>
              <w:t>65</w:t>
            </w:r>
          </w:p>
        </w:tc>
        <w:tc>
          <w:tcPr>
            <w:tcW w:w="1106" w:type="dxa"/>
          </w:tcPr>
          <w:p>
            <w:pPr>
              <w:pStyle w:val="TableParagraph"/>
              <w:spacing w:before="55"/>
              <w:ind w:left="50" w:right="40"/>
              <w:jc w:val="center"/>
              <w:rPr>
                <w:sz w:val="18"/>
              </w:rPr>
            </w:pPr>
            <w:r>
              <w:rPr>
                <w:sz w:val="18"/>
              </w:rPr>
              <w:t>47</w:t>
            </w:r>
          </w:p>
        </w:tc>
        <w:tc>
          <w:tcPr>
            <w:tcW w:w="1176" w:type="dxa"/>
          </w:tcPr>
          <w:p>
            <w:pPr>
              <w:pStyle w:val="TableParagraph"/>
              <w:spacing w:before="55"/>
              <w:ind w:left="87" w:right="76"/>
              <w:jc w:val="center"/>
              <w:rPr>
                <w:sz w:val="18"/>
              </w:rPr>
            </w:pPr>
            <w:r>
              <w:rPr>
                <w:sz w:val="18"/>
              </w:rPr>
              <w:t>39</w:t>
            </w:r>
          </w:p>
        </w:tc>
        <w:tc>
          <w:tcPr>
            <w:tcW w:w="1174" w:type="dxa"/>
          </w:tcPr>
          <w:p>
            <w:pPr>
              <w:pStyle w:val="TableParagraph"/>
              <w:spacing w:before="55"/>
              <w:ind w:left="90" w:right="77"/>
              <w:jc w:val="center"/>
              <w:rPr>
                <w:sz w:val="18"/>
              </w:rPr>
            </w:pPr>
            <w:r>
              <w:rPr>
                <w:sz w:val="18"/>
              </w:rPr>
              <w:t>NA</w:t>
            </w:r>
          </w:p>
        </w:tc>
        <w:tc>
          <w:tcPr>
            <w:tcW w:w="1181" w:type="dxa"/>
          </w:tcPr>
          <w:p>
            <w:pPr>
              <w:pStyle w:val="TableParagraph"/>
              <w:spacing w:before="55"/>
              <w:ind w:right="458"/>
              <w:jc w:val="right"/>
              <w:rPr>
                <w:sz w:val="18"/>
              </w:rPr>
            </w:pPr>
            <w:r>
              <w:rPr>
                <w:w w:val="95"/>
                <w:sz w:val="18"/>
              </w:rPr>
              <w:t>70</w:t>
            </w:r>
            <w:r>
              <w:rPr>
                <w:w w:val="95"/>
                <w:sz w:val="18"/>
                <w:vertAlign w:val="superscript"/>
              </w:rPr>
              <w:t>#</w:t>
            </w:r>
          </w:p>
        </w:tc>
        <w:tc>
          <w:tcPr>
            <w:tcW w:w="1155" w:type="dxa"/>
            <w:vMerge/>
            <w:tcBorders>
              <w:top w:val="nil"/>
            </w:tcBorders>
          </w:tcPr>
          <w:p>
            <w:pPr>
              <w:rPr>
                <w:sz w:val="2"/>
                <w:szCs w:val="2"/>
              </w:rPr>
            </w:pPr>
          </w:p>
        </w:tc>
      </w:tr>
      <w:tr>
        <w:trPr>
          <w:trHeight w:val="328" w:hRule="atLeast"/>
        </w:trPr>
        <w:tc>
          <w:tcPr>
            <w:tcW w:w="1956" w:type="dxa"/>
          </w:tcPr>
          <w:p>
            <w:pPr>
              <w:pStyle w:val="TableParagraph"/>
              <w:spacing w:before="55"/>
              <w:ind w:left="107"/>
              <w:rPr>
                <w:sz w:val="18"/>
              </w:rPr>
            </w:pPr>
            <w:r>
              <w:rPr>
                <w:sz w:val="18"/>
              </w:rPr>
              <w:t>Tropical, wet</w:t>
            </w:r>
          </w:p>
        </w:tc>
        <w:tc>
          <w:tcPr>
            <w:tcW w:w="1106" w:type="dxa"/>
          </w:tcPr>
          <w:p>
            <w:pPr>
              <w:pStyle w:val="TableParagraph"/>
              <w:spacing w:before="55"/>
              <w:ind w:left="50" w:right="40"/>
              <w:jc w:val="center"/>
              <w:rPr>
                <w:sz w:val="18"/>
              </w:rPr>
            </w:pPr>
            <w:r>
              <w:rPr>
                <w:sz w:val="18"/>
              </w:rPr>
              <w:t>44</w:t>
            </w:r>
          </w:p>
        </w:tc>
        <w:tc>
          <w:tcPr>
            <w:tcW w:w="1106" w:type="dxa"/>
          </w:tcPr>
          <w:p>
            <w:pPr>
              <w:pStyle w:val="TableParagraph"/>
              <w:spacing w:before="55"/>
              <w:ind w:left="50" w:right="40"/>
              <w:jc w:val="center"/>
              <w:rPr>
                <w:sz w:val="18"/>
              </w:rPr>
            </w:pPr>
            <w:r>
              <w:rPr>
                <w:sz w:val="18"/>
              </w:rPr>
              <w:t>60</w:t>
            </w:r>
          </w:p>
        </w:tc>
        <w:tc>
          <w:tcPr>
            <w:tcW w:w="1176" w:type="dxa"/>
          </w:tcPr>
          <w:p>
            <w:pPr>
              <w:pStyle w:val="TableParagraph"/>
              <w:spacing w:before="55"/>
              <w:ind w:left="87" w:right="75"/>
              <w:jc w:val="center"/>
              <w:rPr>
                <w:sz w:val="18"/>
              </w:rPr>
            </w:pPr>
            <w:r>
              <w:rPr>
                <w:sz w:val="18"/>
              </w:rPr>
              <w:t>66</w:t>
            </w:r>
          </w:p>
        </w:tc>
        <w:tc>
          <w:tcPr>
            <w:tcW w:w="1174" w:type="dxa"/>
          </w:tcPr>
          <w:p>
            <w:pPr>
              <w:pStyle w:val="TableParagraph"/>
              <w:spacing w:before="55"/>
              <w:ind w:left="90" w:right="76"/>
              <w:jc w:val="center"/>
              <w:rPr>
                <w:sz w:val="18"/>
              </w:rPr>
            </w:pPr>
            <w:r>
              <w:rPr>
                <w:sz w:val="18"/>
              </w:rPr>
              <w:t>NA</w:t>
            </w:r>
          </w:p>
        </w:tc>
        <w:tc>
          <w:tcPr>
            <w:tcW w:w="1181" w:type="dxa"/>
          </w:tcPr>
          <w:p>
            <w:pPr>
              <w:pStyle w:val="TableParagraph"/>
              <w:spacing w:before="55"/>
              <w:ind w:right="412"/>
              <w:jc w:val="right"/>
              <w:rPr>
                <w:sz w:val="18"/>
              </w:rPr>
            </w:pPr>
            <w:r>
              <w:rPr>
                <w:sz w:val="18"/>
              </w:rPr>
              <w:t>130</w:t>
            </w:r>
            <w:r>
              <w:rPr>
                <w:sz w:val="18"/>
                <w:vertAlign w:val="superscript"/>
              </w:rPr>
              <w:t>#</w:t>
            </w:r>
          </w:p>
        </w:tc>
        <w:tc>
          <w:tcPr>
            <w:tcW w:w="1155" w:type="dxa"/>
            <w:vMerge/>
            <w:tcBorders>
              <w:top w:val="nil"/>
            </w:tcBorders>
          </w:tcPr>
          <w:p>
            <w:pPr>
              <w:rPr>
                <w:sz w:val="2"/>
                <w:szCs w:val="2"/>
              </w:rPr>
            </w:pPr>
          </w:p>
        </w:tc>
      </w:tr>
      <w:tr>
        <w:trPr>
          <w:trHeight w:val="3988" w:hRule="atLeast"/>
        </w:trPr>
        <w:tc>
          <w:tcPr>
            <w:tcW w:w="8854" w:type="dxa"/>
            <w:gridSpan w:val="7"/>
          </w:tcPr>
          <w:p>
            <w:pPr>
              <w:pStyle w:val="TableParagraph"/>
              <w:spacing w:before="35"/>
              <w:ind w:left="107" w:right="395" w:hanging="1"/>
              <w:rPr>
                <w:sz w:val="16"/>
              </w:rPr>
            </w:pPr>
            <w:r>
              <w:rPr>
                <w:sz w:val="16"/>
              </w:rPr>
              <w:t>Note: Data are derived from soil databases described by Jobbagy and Jackson (2000) and Bernoux </w:t>
            </w:r>
            <w:r>
              <w:rPr>
                <w:i/>
                <w:sz w:val="16"/>
              </w:rPr>
              <w:t>et al. </w:t>
            </w:r>
            <w:r>
              <w:rPr>
                <w:sz w:val="16"/>
              </w:rPr>
              <w:t>(2002). Mean stocks are shown. A default error estimate of 95% (expressed as 2X standard deviations as percent of the mean) are assumed for soil-climate types. NA denotes ‘not applicable’ because these soils do not normally occur in some climate zones.</w:t>
            </w:r>
          </w:p>
          <w:p>
            <w:pPr>
              <w:pStyle w:val="TableParagraph"/>
              <w:spacing w:before="98"/>
              <w:ind w:left="107"/>
              <w:rPr>
                <w:sz w:val="16"/>
              </w:rPr>
            </w:pPr>
            <w:r>
              <w:rPr>
                <w:sz w:val="16"/>
              </w:rPr>
              <w:t># indicates where no data were available and default values from </w:t>
            </w:r>
            <w:r>
              <w:rPr>
                <w:i/>
                <w:sz w:val="16"/>
              </w:rPr>
              <w:t>IPCC Guidelines </w:t>
            </w:r>
            <w:r>
              <w:rPr>
                <w:sz w:val="16"/>
              </w:rPr>
              <w:t>were retained.</w:t>
            </w:r>
          </w:p>
          <w:p>
            <w:pPr>
              <w:pStyle w:val="TableParagraph"/>
              <w:spacing w:before="88"/>
              <w:ind w:left="107" w:right="192"/>
              <w:rPr>
                <w:sz w:val="16"/>
              </w:rPr>
            </w:pPr>
            <w:r>
              <w:rPr>
                <w:position w:val="7"/>
                <w:sz w:val="10"/>
              </w:rPr>
              <w:t>1 </w:t>
            </w:r>
            <w:r>
              <w:rPr>
                <w:sz w:val="16"/>
              </w:rPr>
              <w:t>Soils with high activity clay (HAC) minerals are lightly to moderately weathered soils, which are dominated by 2:1 silicate clay minerals (in the World Reference Base for Soil Resources (WRB) classification these include Leptosols, Vertisols, Kastanozems, Chernozems, Phaeozems, Luvisols, Alisols, Albeluvisols, Solonetz, Calcisols, Gypsisols, Umbrisols, Cambisols, Regosols; in USDA classification includes Mollisols, Vertisols, high-base status Alfisols, Aridisols, Inceptisols).</w:t>
            </w:r>
          </w:p>
          <w:p>
            <w:pPr>
              <w:pStyle w:val="TableParagraph"/>
              <w:spacing w:before="44"/>
              <w:ind w:left="107" w:right="93"/>
              <w:jc w:val="both"/>
              <w:rPr>
                <w:sz w:val="16"/>
              </w:rPr>
            </w:pPr>
            <w:r>
              <w:rPr>
                <w:position w:val="7"/>
                <w:sz w:val="10"/>
              </w:rPr>
              <w:t>2 </w:t>
            </w:r>
            <w:r>
              <w:rPr>
                <w:sz w:val="16"/>
              </w:rPr>
              <w:t>Soils with low activity clay (LAC) minerals are highly weathered soils, dominated by 1:1 clay minerals and amorphous iron and aluminium oxides (in WRB classification includes Acrisols, Lixisols, Nitisols, Ferralsols, Durisols; in USDA classification includes Ultisols, Oxisols, acidic Alfisols).</w:t>
            </w:r>
          </w:p>
          <w:p>
            <w:pPr>
              <w:pStyle w:val="TableParagraph"/>
              <w:spacing w:before="107"/>
              <w:ind w:left="107"/>
              <w:rPr>
                <w:sz w:val="16"/>
              </w:rPr>
            </w:pPr>
            <w:r>
              <w:rPr>
                <w:position w:val="7"/>
                <w:sz w:val="10"/>
              </w:rPr>
              <w:t>3 </w:t>
            </w:r>
            <w:r>
              <w:rPr>
                <w:sz w:val="16"/>
              </w:rPr>
              <w:t>Includes all soils (regardless of taxonomic classification) having &gt; 70% sand and &lt; 8% clay, based on standard textural analyses (in WRB classification includes Arenosols,; in USDA classification includes Psamments).</w:t>
            </w:r>
          </w:p>
          <w:p>
            <w:pPr>
              <w:pStyle w:val="TableParagraph"/>
              <w:spacing w:before="146"/>
              <w:ind w:left="107"/>
              <w:rPr>
                <w:sz w:val="16"/>
              </w:rPr>
            </w:pPr>
            <w:r>
              <w:rPr>
                <w:position w:val="7"/>
                <w:sz w:val="10"/>
              </w:rPr>
              <w:t>4 </w:t>
            </w:r>
            <w:r>
              <w:rPr>
                <w:sz w:val="16"/>
              </w:rPr>
              <w:t>Soils exhibiting strong podzolization (in WRB classification includes Podzols; in USDA classification Spodosols)</w:t>
            </w:r>
          </w:p>
          <w:p>
            <w:pPr>
              <w:pStyle w:val="TableParagraph"/>
              <w:spacing w:before="87"/>
              <w:ind w:left="107"/>
              <w:rPr>
                <w:sz w:val="16"/>
              </w:rPr>
            </w:pPr>
            <w:r>
              <w:rPr>
                <w:position w:val="7"/>
                <w:sz w:val="10"/>
              </w:rPr>
              <w:t>5 </w:t>
            </w:r>
            <w:r>
              <w:rPr>
                <w:sz w:val="16"/>
              </w:rPr>
              <w:t>Soils derived from volcanic ash with allophanic mineralogy (in WRB classification Andosols; in USDA classification Andisols)</w:t>
            </w:r>
          </w:p>
          <w:p>
            <w:pPr>
              <w:pStyle w:val="TableParagraph"/>
              <w:spacing w:before="45"/>
              <w:ind w:left="107" w:right="519"/>
              <w:rPr>
                <w:sz w:val="16"/>
              </w:rPr>
            </w:pPr>
            <w:r>
              <w:rPr>
                <w:position w:val="7"/>
                <w:sz w:val="10"/>
              </w:rPr>
              <w:t>6 </w:t>
            </w:r>
            <w:r>
              <w:rPr>
                <w:sz w:val="16"/>
              </w:rPr>
              <w:t>Soils with restricted drainage leading to periodic flooding and anaerobic conditions (in WRB classification Gleysols; in USDA classification Aquic suborders).</w:t>
            </w:r>
          </w:p>
        </w:tc>
      </w:tr>
    </w:tbl>
    <w:p>
      <w:pPr>
        <w:spacing w:after="0"/>
        <w:rPr>
          <w:sz w:val="16"/>
        </w:rPr>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66"/>
        <w:gridCol w:w="888"/>
        <w:gridCol w:w="948"/>
        <w:gridCol w:w="739"/>
        <w:gridCol w:w="905"/>
        <w:gridCol w:w="972"/>
        <w:gridCol w:w="823"/>
        <w:gridCol w:w="2973"/>
      </w:tblGrid>
      <w:tr>
        <w:trPr>
          <w:trHeight w:val="740" w:hRule="atLeast"/>
        </w:trPr>
        <w:tc>
          <w:tcPr>
            <w:tcW w:w="9014" w:type="dxa"/>
            <w:gridSpan w:val="8"/>
            <w:tcBorders>
              <w:bottom w:val="double" w:sz="1" w:space="0" w:color="000000"/>
            </w:tcBorders>
          </w:tcPr>
          <w:p>
            <w:pPr>
              <w:pStyle w:val="TableParagraph"/>
              <w:spacing w:before="59"/>
              <w:ind w:left="122" w:right="114"/>
              <w:jc w:val="center"/>
              <w:rPr>
                <w:b/>
                <w:sz w:val="18"/>
              </w:rPr>
            </w:pPr>
            <w:r>
              <w:rPr>
                <w:b/>
                <w:sz w:val="18"/>
              </w:rPr>
              <w:t>T</w:t>
            </w:r>
            <w:r>
              <w:rPr>
                <w:b/>
                <w:sz w:val="14"/>
              </w:rPr>
              <w:t>ABLE </w:t>
            </w:r>
            <w:r>
              <w:rPr>
                <w:b/>
                <w:sz w:val="18"/>
              </w:rPr>
              <w:t>3.3.4</w:t>
            </w:r>
          </w:p>
          <w:p>
            <w:pPr>
              <w:pStyle w:val="TableParagraph"/>
              <w:spacing w:line="220" w:lineRule="auto" w:before="14"/>
              <w:ind w:left="123" w:right="114"/>
              <w:jc w:val="center"/>
              <w:rPr>
                <w:b/>
                <w:sz w:val="18"/>
              </w:rPr>
            </w:pPr>
            <w:r>
              <w:rPr>
                <w:b/>
                <w:sz w:val="18"/>
              </w:rPr>
              <w:t>R</w:t>
            </w:r>
            <w:r>
              <w:rPr>
                <w:b/>
                <w:sz w:val="14"/>
              </w:rPr>
              <w:t>ELATIVE STOCK CHANGE FACTORS </w:t>
            </w:r>
            <w:r>
              <w:rPr>
                <w:b/>
                <w:sz w:val="18"/>
              </w:rPr>
              <w:t>(F</w:t>
            </w:r>
            <w:r>
              <w:rPr>
                <w:b/>
                <w:position w:val="-2"/>
                <w:sz w:val="12"/>
              </w:rPr>
              <w:t>LU</w:t>
            </w:r>
            <w:r>
              <w:rPr>
                <w:b/>
                <w:sz w:val="18"/>
              </w:rPr>
              <w:t>, F</w:t>
            </w:r>
            <w:r>
              <w:rPr>
                <w:b/>
                <w:position w:val="-2"/>
                <w:sz w:val="12"/>
              </w:rPr>
              <w:t>MG</w:t>
            </w:r>
            <w:r>
              <w:rPr>
                <w:b/>
                <w:sz w:val="18"/>
              </w:rPr>
              <w:t>, </w:t>
            </w:r>
            <w:r>
              <w:rPr>
                <w:b/>
                <w:sz w:val="14"/>
              </w:rPr>
              <w:t>AND </w:t>
            </w:r>
            <w:r>
              <w:rPr>
                <w:b/>
                <w:sz w:val="18"/>
              </w:rPr>
              <w:t>F</w:t>
            </w:r>
            <w:r>
              <w:rPr>
                <w:b/>
                <w:position w:val="-2"/>
                <w:sz w:val="12"/>
              </w:rPr>
              <w:t>I</w:t>
            </w:r>
            <w:r>
              <w:rPr>
                <w:b/>
                <w:sz w:val="18"/>
              </w:rPr>
              <w:t>) (</w:t>
            </w:r>
            <w:r>
              <w:rPr>
                <w:b/>
                <w:sz w:val="14"/>
              </w:rPr>
              <w:t>OVER </w:t>
            </w:r>
            <w:r>
              <w:rPr>
                <w:b/>
                <w:sz w:val="18"/>
              </w:rPr>
              <w:t>20 </w:t>
            </w:r>
            <w:r>
              <w:rPr>
                <w:b/>
                <w:sz w:val="14"/>
              </w:rPr>
              <w:t>YEARS</w:t>
            </w:r>
            <w:r>
              <w:rPr>
                <w:b/>
                <w:sz w:val="18"/>
              </w:rPr>
              <w:t>) </w:t>
            </w:r>
            <w:r>
              <w:rPr>
                <w:b/>
                <w:sz w:val="14"/>
              </w:rPr>
              <w:t>FOR DIFFERENT MANAGEMENT ACTIVITIES ON CROPLAND </w:t>
            </w:r>
            <w:r>
              <w:rPr>
                <w:b/>
                <w:sz w:val="18"/>
              </w:rPr>
              <w:t>[S</w:t>
            </w:r>
            <w:r>
              <w:rPr>
                <w:b/>
                <w:sz w:val="14"/>
              </w:rPr>
              <w:t>EE </w:t>
            </w:r>
            <w:r>
              <w:rPr>
                <w:b/>
                <w:sz w:val="18"/>
              </w:rPr>
              <w:t>S</w:t>
            </w:r>
            <w:r>
              <w:rPr>
                <w:b/>
                <w:sz w:val="14"/>
              </w:rPr>
              <w:t>ECTION </w:t>
            </w:r>
            <w:r>
              <w:rPr>
                <w:b/>
                <w:sz w:val="18"/>
              </w:rPr>
              <w:t>3.3.7 </w:t>
            </w:r>
            <w:r>
              <w:rPr>
                <w:b/>
                <w:sz w:val="14"/>
              </w:rPr>
              <w:t>FOR METHODS AND DATA SOURCES USED IN FACTOR DERIVATION</w:t>
            </w:r>
            <w:r>
              <w:rPr>
                <w:b/>
                <w:sz w:val="18"/>
              </w:rPr>
              <w:t>]</w:t>
            </w:r>
          </w:p>
        </w:tc>
      </w:tr>
      <w:tr>
        <w:trPr>
          <w:trHeight w:val="594" w:hRule="atLeast"/>
        </w:trPr>
        <w:tc>
          <w:tcPr>
            <w:tcW w:w="766" w:type="dxa"/>
            <w:tcBorders>
              <w:top w:val="double" w:sz="1" w:space="0" w:color="000000"/>
            </w:tcBorders>
          </w:tcPr>
          <w:p>
            <w:pPr>
              <w:pStyle w:val="TableParagraph"/>
              <w:spacing w:before="18"/>
              <w:ind w:left="198" w:right="142" w:hanging="44"/>
              <w:jc w:val="both"/>
              <w:rPr>
                <w:b/>
                <w:sz w:val="16"/>
              </w:rPr>
            </w:pPr>
            <w:r>
              <w:rPr>
                <w:b/>
                <w:sz w:val="16"/>
              </w:rPr>
              <w:t>Factor value type</w:t>
            </w:r>
          </w:p>
        </w:tc>
        <w:tc>
          <w:tcPr>
            <w:tcW w:w="888" w:type="dxa"/>
            <w:tcBorders>
              <w:top w:val="double" w:sz="1" w:space="0" w:color="000000"/>
            </w:tcBorders>
          </w:tcPr>
          <w:p>
            <w:pPr>
              <w:pStyle w:val="TableParagraph"/>
              <w:spacing w:before="7"/>
              <w:rPr>
                <w:sz w:val="17"/>
              </w:rPr>
            </w:pPr>
          </w:p>
          <w:p>
            <w:pPr>
              <w:pStyle w:val="TableParagraph"/>
              <w:ind w:left="253"/>
              <w:rPr>
                <w:b/>
                <w:sz w:val="16"/>
              </w:rPr>
            </w:pPr>
            <w:r>
              <w:rPr>
                <w:b/>
                <w:sz w:val="16"/>
              </w:rPr>
              <w:t>Level</w:t>
            </w:r>
          </w:p>
        </w:tc>
        <w:tc>
          <w:tcPr>
            <w:tcW w:w="948" w:type="dxa"/>
            <w:tcBorders>
              <w:top w:val="double" w:sz="1" w:space="0" w:color="000000"/>
            </w:tcBorders>
          </w:tcPr>
          <w:p>
            <w:pPr>
              <w:pStyle w:val="TableParagraph"/>
              <w:spacing w:before="18"/>
              <w:ind w:left="130" w:right="120"/>
              <w:jc w:val="center"/>
              <w:rPr>
                <w:b/>
                <w:sz w:val="16"/>
              </w:rPr>
            </w:pPr>
            <w:r>
              <w:rPr>
                <w:b/>
                <w:sz w:val="16"/>
              </w:rPr>
              <w:t>Temper- ature regime</w:t>
            </w:r>
          </w:p>
        </w:tc>
        <w:tc>
          <w:tcPr>
            <w:tcW w:w="739" w:type="dxa"/>
            <w:tcBorders>
              <w:top w:val="double" w:sz="1" w:space="0" w:color="000000"/>
            </w:tcBorders>
          </w:tcPr>
          <w:p>
            <w:pPr>
              <w:pStyle w:val="TableParagraph"/>
              <w:spacing w:before="18"/>
              <w:ind w:left="108" w:right="99"/>
              <w:jc w:val="center"/>
              <w:rPr>
                <w:b/>
                <w:sz w:val="16"/>
              </w:rPr>
            </w:pPr>
            <w:r>
              <w:rPr>
                <w:b/>
                <w:sz w:val="16"/>
              </w:rPr>
              <w:t>’96</w:t>
            </w:r>
          </w:p>
          <w:p>
            <w:pPr>
              <w:pStyle w:val="TableParagraph"/>
              <w:spacing w:before="1"/>
              <w:ind w:left="110" w:right="99"/>
              <w:jc w:val="center"/>
              <w:rPr>
                <w:b/>
                <w:sz w:val="16"/>
              </w:rPr>
            </w:pPr>
            <w:r>
              <w:rPr>
                <w:b/>
                <w:sz w:val="16"/>
              </w:rPr>
              <w:t>IPCC</w:t>
            </w:r>
          </w:p>
          <w:p>
            <w:pPr>
              <w:pStyle w:val="TableParagraph"/>
              <w:ind w:left="110" w:right="99"/>
              <w:jc w:val="center"/>
              <w:rPr>
                <w:b/>
                <w:sz w:val="16"/>
              </w:rPr>
            </w:pPr>
            <w:r>
              <w:rPr>
                <w:b/>
                <w:sz w:val="16"/>
              </w:rPr>
              <w:t>default</w:t>
            </w:r>
          </w:p>
        </w:tc>
        <w:tc>
          <w:tcPr>
            <w:tcW w:w="905" w:type="dxa"/>
            <w:tcBorders>
              <w:top w:val="double" w:sz="1" w:space="0" w:color="000000"/>
            </w:tcBorders>
          </w:tcPr>
          <w:p>
            <w:pPr>
              <w:pStyle w:val="TableParagraph"/>
              <w:spacing w:before="111"/>
              <w:ind w:left="167" w:right="114" w:hanging="29"/>
              <w:rPr>
                <w:b/>
                <w:sz w:val="16"/>
              </w:rPr>
            </w:pPr>
            <w:r>
              <w:rPr>
                <w:b/>
                <w:sz w:val="16"/>
              </w:rPr>
              <w:t>Moisture Regime</w:t>
            </w:r>
            <w:r>
              <w:rPr>
                <w:b/>
                <w:sz w:val="16"/>
                <w:vertAlign w:val="superscript"/>
              </w:rPr>
              <w:t>1</w:t>
            </w:r>
          </w:p>
        </w:tc>
        <w:tc>
          <w:tcPr>
            <w:tcW w:w="972" w:type="dxa"/>
            <w:tcBorders>
              <w:top w:val="double" w:sz="1" w:space="0" w:color="000000"/>
            </w:tcBorders>
          </w:tcPr>
          <w:p>
            <w:pPr>
              <w:pStyle w:val="TableParagraph"/>
              <w:spacing w:before="18"/>
              <w:ind w:left="311"/>
              <w:rPr>
                <w:b/>
                <w:sz w:val="16"/>
              </w:rPr>
            </w:pPr>
            <w:r>
              <w:rPr>
                <w:b/>
                <w:sz w:val="16"/>
              </w:rPr>
              <w:t>GPG</w:t>
            </w:r>
          </w:p>
          <w:p>
            <w:pPr>
              <w:pStyle w:val="TableParagraph"/>
              <w:spacing w:before="1"/>
              <w:ind w:left="244" w:right="214" w:hanging="5"/>
              <w:rPr>
                <w:b/>
                <w:sz w:val="16"/>
              </w:rPr>
            </w:pPr>
            <w:r>
              <w:rPr>
                <w:b/>
                <w:sz w:val="16"/>
              </w:rPr>
              <w:t>revised default</w:t>
            </w:r>
          </w:p>
        </w:tc>
        <w:tc>
          <w:tcPr>
            <w:tcW w:w="823" w:type="dxa"/>
            <w:tcBorders>
              <w:top w:val="double" w:sz="1" w:space="0" w:color="000000"/>
            </w:tcBorders>
          </w:tcPr>
          <w:p>
            <w:pPr>
              <w:pStyle w:val="TableParagraph"/>
              <w:spacing w:before="7"/>
              <w:rPr>
                <w:sz w:val="17"/>
              </w:rPr>
            </w:pPr>
          </w:p>
          <w:p>
            <w:pPr>
              <w:pStyle w:val="TableParagraph"/>
              <w:ind w:left="124" w:right="118"/>
              <w:jc w:val="center"/>
              <w:rPr>
                <w:b/>
                <w:sz w:val="16"/>
              </w:rPr>
            </w:pPr>
            <w:r>
              <w:rPr>
                <w:b/>
                <w:sz w:val="16"/>
              </w:rPr>
              <w:t>Error</w:t>
            </w:r>
            <w:r>
              <w:rPr>
                <w:b/>
                <w:sz w:val="16"/>
                <w:vertAlign w:val="superscript"/>
              </w:rPr>
              <w:t>2,3</w:t>
            </w:r>
          </w:p>
        </w:tc>
        <w:tc>
          <w:tcPr>
            <w:tcW w:w="2973" w:type="dxa"/>
            <w:tcBorders>
              <w:top w:val="double" w:sz="1" w:space="0" w:color="000000"/>
            </w:tcBorders>
          </w:tcPr>
          <w:p>
            <w:pPr>
              <w:pStyle w:val="TableParagraph"/>
              <w:spacing w:before="7"/>
              <w:rPr>
                <w:sz w:val="17"/>
              </w:rPr>
            </w:pPr>
          </w:p>
          <w:p>
            <w:pPr>
              <w:pStyle w:val="TableParagraph"/>
              <w:ind w:left="1071" w:right="1061"/>
              <w:jc w:val="center"/>
              <w:rPr>
                <w:b/>
                <w:sz w:val="16"/>
              </w:rPr>
            </w:pPr>
            <w:r>
              <w:rPr>
                <w:b/>
                <w:sz w:val="16"/>
              </w:rPr>
              <w:t>Description</w:t>
            </w:r>
          </w:p>
        </w:tc>
      </w:tr>
      <w:tr>
        <w:trPr>
          <w:trHeight w:val="330" w:hRule="atLeast"/>
        </w:trPr>
        <w:tc>
          <w:tcPr>
            <w:tcW w:w="766" w:type="dxa"/>
            <w:vMerge w:val="restart"/>
          </w:tcPr>
          <w:p>
            <w:pPr>
              <w:pStyle w:val="TableParagraph"/>
              <w:rPr>
                <w:sz w:val="18"/>
              </w:rPr>
            </w:pPr>
          </w:p>
          <w:p>
            <w:pPr>
              <w:pStyle w:val="TableParagraph"/>
              <w:spacing w:before="121"/>
              <w:ind w:left="275" w:right="190" w:hanging="58"/>
              <w:rPr>
                <w:sz w:val="16"/>
              </w:rPr>
            </w:pPr>
            <w:r>
              <w:rPr>
                <w:sz w:val="16"/>
              </w:rPr>
              <w:t>Land use</w:t>
            </w:r>
          </w:p>
          <w:p>
            <w:pPr>
              <w:pStyle w:val="TableParagraph"/>
              <w:spacing w:before="121"/>
              <w:ind w:left="220"/>
              <w:rPr>
                <w:sz w:val="16"/>
              </w:rPr>
            </w:pPr>
            <w:r>
              <w:rPr>
                <w:position w:val="2"/>
                <w:sz w:val="16"/>
              </w:rPr>
              <w:t>(F</w:t>
            </w:r>
            <w:r>
              <w:rPr>
                <w:sz w:val="10"/>
              </w:rPr>
              <w:t>LU</w:t>
            </w:r>
            <w:r>
              <w:rPr>
                <w:position w:val="2"/>
                <w:sz w:val="16"/>
              </w:rPr>
              <w:t>)</w:t>
            </w:r>
          </w:p>
        </w:tc>
        <w:tc>
          <w:tcPr>
            <w:tcW w:w="888" w:type="dxa"/>
            <w:vMerge w:val="restart"/>
          </w:tcPr>
          <w:p>
            <w:pPr>
              <w:pStyle w:val="TableParagraph"/>
              <w:rPr>
                <w:sz w:val="18"/>
              </w:rPr>
            </w:pPr>
          </w:p>
          <w:p>
            <w:pPr>
              <w:pStyle w:val="TableParagraph"/>
              <w:spacing w:before="8"/>
              <w:rPr>
                <w:sz w:val="15"/>
              </w:rPr>
            </w:pPr>
          </w:p>
          <w:p>
            <w:pPr>
              <w:pStyle w:val="TableParagraph"/>
              <w:ind w:left="126" w:right="116" w:hanging="4"/>
              <w:jc w:val="center"/>
              <w:rPr>
                <w:sz w:val="16"/>
              </w:rPr>
            </w:pPr>
            <w:r>
              <w:rPr>
                <w:sz w:val="16"/>
              </w:rPr>
              <w:t>Long- term cultivated</w:t>
            </w:r>
          </w:p>
        </w:tc>
        <w:tc>
          <w:tcPr>
            <w:tcW w:w="948" w:type="dxa"/>
            <w:vMerge w:val="restart"/>
          </w:tcPr>
          <w:p>
            <w:pPr>
              <w:pStyle w:val="TableParagraph"/>
              <w:spacing w:before="2"/>
              <w:rPr>
                <w:sz w:val="20"/>
              </w:rPr>
            </w:pPr>
          </w:p>
          <w:p>
            <w:pPr>
              <w:pStyle w:val="TableParagraph"/>
              <w:ind w:left="131"/>
              <w:rPr>
                <w:sz w:val="16"/>
              </w:rPr>
            </w:pPr>
            <w:r>
              <w:rPr>
                <w:sz w:val="16"/>
              </w:rPr>
              <w:t>Temperate</w:t>
            </w:r>
          </w:p>
        </w:tc>
        <w:tc>
          <w:tcPr>
            <w:tcW w:w="739" w:type="dxa"/>
            <w:vMerge w:val="restart"/>
          </w:tcPr>
          <w:p>
            <w:pPr>
              <w:pStyle w:val="TableParagraph"/>
              <w:spacing w:before="2"/>
              <w:rPr>
                <w:sz w:val="20"/>
              </w:rPr>
            </w:pPr>
          </w:p>
          <w:p>
            <w:pPr>
              <w:pStyle w:val="TableParagraph"/>
              <w:ind w:left="124"/>
              <w:rPr>
                <w:b/>
                <w:sz w:val="16"/>
              </w:rPr>
            </w:pPr>
            <w:r>
              <w:rPr>
                <w:sz w:val="16"/>
              </w:rPr>
              <w:t>0.7,0.6</w:t>
            </w:r>
            <w:r>
              <w:rPr>
                <w:b/>
                <w:sz w:val="16"/>
                <w:vertAlign w:val="superscript"/>
              </w:rPr>
              <w:t>4</w:t>
            </w:r>
          </w:p>
        </w:tc>
        <w:tc>
          <w:tcPr>
            <w:tcW w:w="905" w:type="dxa"/>
          </w:tcPr>
          <w:p>
            <w:pPr>
              <w:pStyle w:val="TableParagraph"/>
              <w:spacing w:before="66"/>
              <w:ind w:left="30" w:right="18"/>
              <w:jc w:val="center"/>
              <w:rPr>
                <w:sz w:val="16"/>
              </w:rPr>
            </w:pPr>
            <w:r>
              <w:rPr>
                <w:sz w:val="16"/>
              </w:rPr>
              <w:t>Dry</w:t>
            </w:r>
          </w:p>
        </w:tc>
        <w:tc>
          <w:tcPr>
            <w:tcW w:w="972" w:type="dxa"/>
          </w:tcPr>
          <w:p>
            <w:pPr>
              <w:pStyle w:val="TableParagraph"/>
              <w:spacing w:before="66"/>
              <w:ind w:left="342"/>
              <w:rPr>
                <w:sz w:val="16"/>
              </w:rPr>
            </w:pPr>
            <w:r>
              <w:rPr>
                <w:sz w:val="16"/>
              </w:rPr>
              <w:t>0.82</w:t>
            </w:r>
          </w:p>
        </w:tc>
        <w:tc>
          <w:tcPr>
            <w:tcW w:w="823" w:type="dxa"/>
          </w:tcPr>
          <w:p>
            <w:pPr>
              <w:pStyle w:val="TableParagraph"/>
              <w:spacing w:before="66"/>
              <w:ind w:left="120" w:right="118"/>
              <w:jc w:val="center"/>
              <w:rPr>
                <w:sz w:val="16"/>
              </w:rPr>
            </w:pPr>
            <w:r>
              <w:rPr>
                <w:sz w:val="16"/>
                <w:u w:val="single"/>
              </w:rPr>
              <w:t>+</w:t>
            </w:r>
            <w:r>
              <w:rPr>
                <w:sz w:val="16"/>
              </w:rPr>
              <w:t> 10%</w:t>
            </w:r>
          </w:p>
        </w:tc>
        <w:tc>
          <w:tcPr>
            <w:tcW w:w="2973" w:type="dxa"/>
            <w:vMerge w:val="restart"/>
          </w:tcPr>
          <w:p>
            <w:pPr>
              <w:pStyle w:val="TableParagraph"/>
              <w:spacing w:before="54"/>
              <w:ind w:left="107" w:right="85"/>
              <w:rPr>
                <w:sz w:val="16"/>
              </w:rPr>
            </w:pPr>
            <w:r>
              <w:rPr>
                <w:sz w:val="16"/>
              </w:rPr>
              <w:t>Represents area that has been continuously managed for &gt;20 yrs, to predominantly annual crops. Input and tillage factors are also applied to estimate carbon stock changes. Land use factor was estimated</w:t>
            </w:r>
          </w:p>
          <w:p>
            <w:pPr>
              <w:pStyle w:val="TableParagraph"/>
              <w:spacing w:line="182" w:lineRule="exact" w:before="6"/>
              <w:ind w:left="107" w:right="227"/>
              <w:rPr>
                <w:sz w:val="16"/>
              </w:rPr>
            </w:pPr>
            <w:r>
              <w:rPr>
                <w:sz w:val="16"/>
              </w:rPr>
              <w:t>relative to use of full tillage and nominal (‘medium”) carbon input levels.</w:t>
            </w:r>
          </w:p>
        </w:tc>
      </w:tr>
      <w:tr>
        <w:trPr>
          <w:trHeight w:val="330"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66"/>
              <w:ind w:left="26" w:right="18"/>
              <w:jc w:val="center"/>
              <w:rPr>
                <w:sz w:val="16"/>
              </w:rPr>
            </w:pPr>
            <w:r>
              <w:rPr>
                <w:sz w:val="16"/>
              </w:rPr>
              <w:t>Wet</w:t>
            </w:r>
          </w:p>
        </w:tc>
        <w:tc>
          <w:tcPr>
            <w:tcW w:w="972" w:type="dxa"/>
          </w:tcPr>
          <w:p>
            <w:pPr>
              <w:pStyle w:val="TableParagraph"/>
              <w:spacing w:before="66"/>
              <w:ind w:left="342"/>
              <w:rPr>
                <w:sz w:val="16"/>
              </w:rPr>
            </w:pPr>
            <w:r>
              <w:rPr>
                <w:sz w:val="16"/>
              </w:rPr>
              <w:t>0.71</w:t>
            </w:r>
          </w:p>
        </w:tc>
        <w:tc>
          <w:tcPr>
            <w:tcW w:w="823" w:type="dxa"/>
          </w:tcPr>
          <w:p>
            <w:pPr>
              <w:pStyle w:val="TableParagraph"/>
              <w:spacing w:before="66"/>
              <w:ind w:left="120" w:right="118"/>
              <w:jc w:val="center"/>
              <w:rPr>
                <w:sz w:val="16"/>
              </w:rPr>
            </w:pPr>
            <w:r>
              <w:rPr>
                <w:sz w:val="16"/>
                <w:u w:val="single"/>
              </w:rPr>
              <w:t>+</w:t>
            </w:r>
            <w:r>
              <w:rPr>
                <w:sz w:val="16"/>
              </w:rPr>
              <w:t> 12%</w:t>
            </w:r>
          </w:p>
        </w:tc>
        <w:tc>
          <w:tcPr>
            <w:tcW w:w="2973" w:type="dxa"/>
            <w:vMerge/>
            <w:tcBorders>
              <w:top w:val="nil"/>
            </w:tcBorders>
          </w:tcPr>
          <w:p>
            <w:pPr>
              <w:rPr>
                <w:sz w:val="2"/>
                <w:szCs w:val="2"/>
              </w:rPr>
            </w:pPr>
          </w:p>
        </w:tc>
      </w:tr>
      <w:tr>
        <w:trPr>
          <w:trHeight w:val="328"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val="restart"/>
          </w:tcPr>
          <w:p>
            <w:pPr>
              <w:pStyle w:val="TableParagraph"/>
              <w:spacing w:before="2"/>
              <w:rPr>
                <w:sz w:val="20"/>
              </w:rPr>
            </w:pPr>
          </w:p>
          <w:p>
            <w:pPr>
              <w:pStyle w:val="TableParagraph"/>
              <w:ind w:left="200"/>
              <w:rPr>
                <w:sz w:val="16"/>
              </w:rPr>
            </w:pPr>
            <w:r>
              <w:rPr>
                <w:sz w:val="16"/>
              </w:rPr>
              <w:t>Tropical</w:t>
            </w:r>
          </w:p>
        </w:tc>
        <w:tc>
          <w:tcPr>
            <w:tcW w:w="739" w:type="dxa"/>
            <w:vMerge w:val="restart"/>
          </w:tcPr>
          <w:p>
            <w:pPr>
              <w:pStyle w:val="TableParagraph"/>
              <w:spacing w:before="2"/>
              <w:rPr>
                <w:sz w:val="20"/>
              </w:rPr>
            </w:pPr>
          </w:p>
          <w:p>
            <w:pPr>
              <w:pStyle w:val="TableParagraph"/>
              <w:ind w:left="128"/>
              <w:rPr>
                <w:sz w:val="16"/>
              </w:rPr>
            </w:pPr>
            <w:r>
              <w:rPr>
                <w:sz w:val="16"/>
              </w:rPr>
              <w:t>0.6, 0.5</w:t>
            </w:r>
          </w:p>
        </w:tc>
        <w:tc>
          <w:tcPr>
            <w:tcW w:w="905" w:type="dxa"/>
          </w:tcPr>
          <w:p>
            <w:pPr>
              <w:pStyle w:val="TableParagraph"/>
              <w:spacing w:before="66"/>
              <w:ind w:left="30" w:right="18"/>
              <w:jc w:val="center"/>
              <w:rPr>
                <w:sz w:val="16"/>
              </w:rPr>
            </w:pPr>
            <w:r>
              <w:rPr>
                <w:sz w:val="16"/>
              </w:rPr>
              <w:t>Dry</w:t>
            </w:r>
          </w:p>
        </w:tc>
        <w:tc>
          <w:tcPr>
            <w:tcW w:w="972" w:type="dxa"/>
          </w:tcPr>
          <w:p>
            <w:pPr>
              <w:pStyle w:val="TableParagraph"/>
              <w:spacing w:before="66"/>
              <w:ind w:left="342"/>
              <w:rPr>
                <w:sz w:val="16"/>
              </w:rPr>
            </w:pPr>
            <w:r>
              <w:rPr>
                <w:sz w:val="16"/>
              </w:rPr>
              <w:t>0.69</w:t>
            </w:r>
          </w:p>
        </w:tc>
        <w:tc>
          <w:tcPr>
            <w:tcW w:w="823" w:type="dxa"/>
          </w:tcPr>
          <w:p>
            <w:pPr>
              <w:pStyle w:val="TableParagraph"/>
              <w:spacing w:before="66"/>
              <w:ind w:left="120" w:right="118"/>
              <w:jc w:val="center"/>
              <w:rPr>
                <w:sz w:val="16"/>
              </w:rPr>
            </w:pPr>
            <w:r>
              <w:rPr>
                <w:sz w:val="16"/>
                <w:u w:val="single"/>
              </w:rPr>
              <w:t>+</w:t>
            </w:r>
            <w:r>
              <w:rPr>
                <w:sz w:val="16"/>
              </w:rPr>
              <w:t> 38%</w:t>
            </w:r>
          </w:p>
        </w:tc>
        <w:tc>
          <w:tcPr>
            <w:tcW w:w="2973" w:type="dxa"/>
            <w:vMerge/>
            <w:tcBorders>
              <w:top w:val="nil"/>
            </w:tcBorders>
          </w:tcPr>
          <w:p>
            <w:pPr>
              <w:rPr>
                <w:sz w:val="2"/>
                <w:szCs w:val="2"/>
              </w:rPr>
            </w:pPr>
          </w:p>
        </w:tc>
      </w:tr>
      <w:tr>
        <w:trPr>
          <w:trHeight w:val="330"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66"/>
              <w:ind w:left="26" w:right="18"/>
              <w:jc w:val="center"/>
              <w:rPr>
                <w:sz w:val="16"/>
              </w:rPr>
            </w:pPr>
            <w:r>
              <w:rPr>
                <w:sz w:val="16"/>
              </w:rPr>
              <w:t>Wet</w:t>
            </w:r>
          </w:p>
        </w:tc>
        <w:tc>
          <w:tcPr>
            <w:tcW w:w="972" w:type="dxa"/>
          </w:tcPr>
          <w:p>
            <w:pPr>
              <w:pStyle w:val="TableParagraph"/>
              <w:spacing w:before="66"/>
              <w:ind w:left="342"/>
              <w:rPr>
                <w:sz w:val="16"/>
              </w:rPr>
            </w:pPr>
            <w:r>
              <w:rPr>
                <w:sz w:val="16"/>
              </w:rPr>
              <w:t>0.58</w:t>
            </w:r>
          </w:p>
        </w:tc>
        <w:tc>
          <w:tcPr>
            <w:tcW w:w="823" w:type="dxa"/>
          </w:tcPr>
          <w:p>
            <w:pPr>
              <w:pStyle w:val="TableParagraph"/>
              <w:spacing w:before="66"/>
              <w:ind w:left="120" w:right="118"/>
              <w:jc w:val="center"/>
              <w:rPr>
                <w:sz w:val="16"/>
              </w:rPr>
            </w:pPr>
            <w:r>
              <w:rPr>
                <w:sz w:val="16"/>
                <w:u w:val="single"/>
              </w:rPr>
              <w:t>+</w:t>
            </w:r>
            <w:r>
              <w:rPr>
                <w:sz w:val="16"/>
              </w:rPr>
              <w:t> 42%</w:t>
            </w:r>
          </w:p>
        </w:tc>
        <w:tc>
          <w:tcPr>
            <w:tcW w:w="2973" w:type="dxa"/>
            <w:vMerge/>
            <w:tcBorders>
              <w:top w:val="nil"/>
            </w:tcBorders>
          </w:tcPr>
          <w:p>
            <w:pPr>
              <w:rPr>
                <w:sz w:val="2"/>
                <w:szCs w:val="2"/>
              </w:rPr>
            </w:pPr>
          </w:p>
        </w:tc>
      </w:tr>
      <w:tr>
        <w:trPr>
          <w:trHeight w:val="954" w:hRule="atLeast"/>
        </w:trPr>
        <w:tc>
          <w:tcPr>
            <w:tcW w:w="766" w:type="dxa"/>
          </w:tcPr>
          <w:p>
            <w:pPr>
              <w:pStyle w:val="TableParagraph"/>
              <w:spacing w:before="136"/>
              <w:ind w:left="275" w:right="190" w:hanging="58"/>
              <w:rPr>
                <w:sz w:val="16"/>
              </w:rPr>
            </w:pPr>
            <w:r>
              <w:rPr>
                <w:sz w:val="16"/>
              </w:rPr>
              <w:t>Land use</w:t>
            </w:r>
          </w:p>
          <w:p>
            <w:pPr>
              <w:pStyle w:val="TableParagraph"/>
              <w:spacing w:before="118"/>
              <w:ind w:left="220"/>
              <w:rPr>
                <w:sz w:val="16"/>
              </w:rPr>
            </w:pPr>
            <w:r>
              <w:rPr>
                <w:position w:val="2"/>
                <w:sz w:val="16"/>
              </w:rPr>
              <w:t>(F</w:t>
            </w:r>
            <w:r>
              <w:rPr>
                <w:sz w:val="10"/>
              </w:rPr>
              <w:t>LU</w:t>
            </w:r>
            <w:r>
              <w:rPr>
                <w:position w:val="2"/>
                <w:sz w:val="16"/>
              </w:rPr>
              <w:t>)</w:t>
            </w:r>
          </w:p>
        </w:tc>
        <w:tc>
          <w:tcPr>
            <w:tcW w:w="888" w:type="dxa"/>
          </w:tcPr>
          <w:p>
            <w:pPr>
              <w:pStyle w:val="TableParagraph"/>
              <w:spacing w:before="11"/>
              <w:rPr>
                <w:sz w:val="24"/>
              </w:rPr>
            </w:pPr>
          </w:p>
          <w:p>
            <w:pPr>
              <w:pStyle w:val="TableParagraph"/>
              <w:ind w:left="323" w:right="215" w:hanging="80"/>
              <w:rPr>
                <w:sz w:val="16"/>
              </w:rPr>
            </w:pPr>
            <w:r>
              <w:rPr>
                <w:sz w:val="16"/>
              </w:rPr>
              <w:t>Paddy rice</w:t>
            </w:r>
          </w:p>
        </w:tc>
        <w:tc>
          <w:tcPr>
            <w:tcW w:w="948" w:type="dxa"/>
          </w:tcPr>
          <w:p>
            <w:pPr>
              <w:pStyle w:val="TableParagraph"/>
              <w:rPr>
                <w:sz w:val="17"/>
              </w:rPr>
            </w:pPr>
          </w:p>
          <w:p>
            <w:pPr>
              <w:pStyle w:val="TableParagraph"/>
              <w:ind w:left="131" w:right="120"/>
              <w:jc w:val="center"/>
              <w:rPr>
                <w:sz w:val="16"/>
              </w:rPr>
            </w:pPr>
            <w:r>
              <w:rPr>
                <w:sz w:val="16"/>
              </w:rPr>
              <w:t>Temperate and Tropical</w:t>
            </w:r>
          </w:p>
        </w:tc>
        <w:tc>
          <w:tcPr>
            <w:tcW w:w="739" w:type="dxa"/>
          </w:tcPr>
          <w:p>
            <w:pPr>
              <w:pStyle w:val="TableParagraph"/>
              <w:rPr>
                <w:sz w:val="18"/>
              </w:rPr>
            </w:pPr>
          </w:p>
          <w:p>
            <w:pPr>
              <w:pStyle w:val="TableParagraph"/>
              <w:spacing w:before="10"/>
              <w:rPr>
                <w:sz w:val="14"/>
              </w:rPr>
            </w:pPr>
          </w:p>
          <w:p>
            <w:pPr>
              <w:pStyle w:val="TableParagraph"/>
              <w:ind w:left="106" w:right="99"/>
              <w:jc w:val="center"/>
              <w:rPr>
                <w:sz w:val="16"/>
              </w:rPr>
            </w:pPr>
            <w:r>
              <w:rPr>
                <w:sz w:val="16"/>
              </w:rPr>
              <w:t>1.1</w:t>
            </w:r>
          </w:p>
        </w:tc>
        <w:tc>
          <w:tcPr>
            <w:tcW w:w="905" w:type="dxa"/>
          </w:tcPr>
          <w:p>
            <w:pPr>
              <w:pStyle w:val="TableParagraph"/>
              <w:spacing w:before="11"/>
              <w:rPr>
                <w:sz w:val="24"/>
              </w:rPr>
            </w:pPr>
          </w:p>
          <w:p>
            <w:pPr>
              <w:pStyle w:val="TableParagraph"/>
              <w:ind w:left="318" w:right="165" w:hanging="128"/>
              <w:rPr>
                <w:sz w:val="16"/>
              </w:rPr>
            </w:pPr>
            <w:r>
              <w:rPr>
                <w:sz w:val="16"/>
              </w:rPr>
              <w:t>Dry and Wet</w:t>
            </w:r>
          </w:p>
        </w:tc>
        <w:tc>
          <w:tcPr>
            <w:tcW w:w="972" w:type="dxa"/>
          </w:tcPr>
          <w:p>
            <w:pPr>
              <w:pStyle w:val="TableParagraph"/>
              <w:rPr>
                <w:sz w:val="18"/>
              </w:rPr>
            </w:pPr>
          </w:p>
          <w:p>
            <w:pPr>
              <w:pStyle w:val="TableParagraph"/>
              <w:spacing w:before="10"/>
              <w:rPr>
                <w:sz w:val="14"/>
              </w:rPr>
            </w:pPr>
          </w:p>
          <w:p>
            <w:pPr>
              <w:pStyle w:val="TableParagraph"/>
              <w:ind w:left="383"/>
              <w:rPr>
                <w:sz w:val="16"/>
              </w:rPr>
            </w:pPr>
            <w:r>
              <w:rPr>
                <w:sz w:val="16"/>
              </w:rPr>
              <w:t>1.1</w:t>
            </w:r>
          </w:p>
        </w:tc>
        <w:tc>
          <w:tcPr>
            <w:tcW w:w="823" w:type="dxa"/>
          </w:tcPr>
          <w:p>
            <w:pPr>
              <w:pStyle w:val="TableParagraph"/>
              <w:rPr>
                <w:sz w:val="18"/>
              </w:rPr>
            </w:pPr>
          </w:p>
          <w:p>
            <w:pPr>
              <w:pStyle w:val="TableParagraph"/>
              <w:spacing w:before="10"/>
              <w:rPr>
                <w:sz w:val="14"/>
              </w:rPr>
            </w:pPr>
          </w:p>
          <w:p>
            <w:pPr>
              <w:pStyle w:val="TableParagraph"/>
              <w:ind w:left="120" w:right="118"/>
              <w:jc w:val="center"/>
              <w:rPr>
                <w:sz w:val="16"/>
              </w:rPr>
            </w:pPr>
            <w:r>
              <w:rPr>
                <w:sz w:val="16"/>
                <w:u w:val="single"/>
              </w:rPr>
              <w:t>+</w:t>
            </w:r>
            <w:r>
              <w:rPr>
                <w:sz w:val="16"/>
              </w:rPr>
              <w:t> 90%</w:t>
            </w:r>
          </w:p>
        </w:tc>
        <w:tc>
          <w:tcPr>
            <w:tcW w:w="2973" w:type="dxa"/>
          </w:tcPr>
          <w:p>
            <w:pPr>
              <w:pStyle w:val="TableParagraph"/>
              <w:spacing w:before="54"/>
              <w:ind w:left="107" w:right="106"/>
              <w:jc w:val="both"/>
              <w:rPr>
                <w:sz w:val="16"/>
              </w:rPr>
            </w:pPr>
            <w:r>
              <w:rPr>
                <w:sz w:val="16"/>
              </w:rPr>
              <w:t>Long-term (&gt; 20 year) annual cropping of wetland (paddy rice). Can include double- cropping with non-flooded crops. For</w:t>
            </w:r>
          </w:p>
          <w:p>
            <w:pPr>
              <w:pStyle w:val="TableParagraph"/>
              <w:spacing w:line="184" w:lineRule="exact" w:before="2"/>
              <w:ind w:left="107" w:right="106"/>
              <w:jc w:val="both"/>
              <w:rPr>
                <w:sz w:val="16"/>
              </w:rPr>
            </w:pPr>
            <w:r>
              <w:rPr>
                <w:sz w:val="16"/>
              </w:rPr>
              <w:t>paddy rice, tillage and input factors are not used.</w:t>
            </w:r>
          </w:p>
        </w:tc>
      </w:tr>
      <w:tr>
        <w:trPr>
          <w:trHeight w:val="365" w:hRule="atLeast"/>
        </w:trPr>
        <w:tc>
          <w:tcPr>
            <w:tcW w:w="766" w:type="dxa"/>
            <w:vMerge w:val="restart"/>
          </w:tcPr>
          <w:p>
            <w:pPr>
              <w:pStyle w:val="TableParagraph"/>
              <w:spacing w:before="33"/>
              <w:ind w:left="275" w:right="190" w:hanging="58"/>
              <w:rPr>
                <w:sz w:val="16"/>
              </w:rPr>
            </w:pPr>
            <w:r>
              <w:rPr>
                <w:sz w:val="16"/>
              </w:rPr>
              <w:t>Land use</w:t>
            </w:r>
          </w:p>
          <w:p>
            <w:pPr>
              <w:pStyle w:val="TableParagraph"/>
              <w:spacing w:before="118"/>
              <w:ind w:left="220"/>
              <w:rPr>
                <w:sz w:val="16"/>
              </w:rPr>
            </w:pPr>
            <w:r>
              <w:rPr>
                <w:position w:val="2"/>
                <w:sz w:val="16"/>
              </w:rPr>
              <w:t>(F</w:t>
            </w:r>
            <w:r>
              <w:rPr>
                <w:sz w:val="10"/>
              </w:rPr>
              <w:t>LU</w:t>
            </w:r>
            <w:r>
              <w:rPr>
                <w:position w:val="2"/>
                <w:sz w:val="16"/>
              </w:rPr>
              <w:t>)</w:t>
            </w:r>
          </w:p>
        </w:tc>
        <w:tc>
          <w:tcPr>
            <w:tcW w:w="888" w:type="dxa"/>
            <w:vMerge w:val="restart"/>
          </w:tcPr>
          <w:p>
            <w:pPr>
              <w:pStyle w:val="TableParagraph"/>
              <w:spacing w:before="4"/>
              <w:rPr>
                <w:sz w:val="15"/>
              </w:rPr>
            </w:pPr>
          </w:p>
          <w:p>
            <w:pPr>
              <w:pStyle w:val="TableParagraph"/>
              <w:ind w:left="126" w:right="99" w:firstLine="28"/>
              <w:rPr>
                <w:sz w:val="16"/>
              </w:rPr>
            </w:pPr>
            <w:r>
              <w:rPr>
                <w:sz w:val="16"/>
              </w:rPr>
              <w:t>Set aside (&lt; 20 yrs)</w:t>
            </w:r>
          </w:p>
        </w:tc>
        <w:tc>
          <w:tcPr>
            <w:tcW w:w="948" w:type="dxa"/>
            <w:vMerge w:val="restart"/>
          </w:tcPr>
          <w:p>
            <w:pPr>
              <w:pStyle w:val="TableParagraph"/>
              <w:spacing w:before="83"/>
              <w:ind w:left="131" w:right="120"/>
              <w:jc w:val="center"/>
              <w:rPr>
                <w:sz w:val="16"/>
              </w:rPr>
            </w:pPr>
            <w:r>
              <w:rPr>
                <w:sz w:val="16"/>
              </w:rPr>
              <w:t>Temperate and Tropical</w:t>
            </w:r>
          </w:p>
        </w:tc>
        <w:tc>
          <w:tcPr>
            <w:tcW w:w="739" w:type="dxa"/>
            <w:vMerge w:val="restart"/>
          </w:tcPr>
          <w:p>
            <w:pPr>
              <w:pStyle w:val="TableParagraph"/>
              <w:spacing w:before="3"/>
              <w:rPr>
                <w:sz w:val="23"/>
              </w:rPr>
            </w:pPr>
          </w:p>
          <w:p>
            <w:pPr>
              <w:pStyle w:val="TableParagraph"/>
              <w:spacing w:before="1"/>
              <w:ind w:left="106" w:right="99"/>
              <w:jc w:val="center"/>
              <w:rPr>
                <w:sz w:val="16"/>
              </w:rPr>
            </w:pPr>
            <w:r>
              <w:rPr>
                <w:sz w:val="16"/>
              </w:rPr>
              <w:t>0.8</w:t>
            </w:r>
          </w:p>
        </w:tc>
        <w:tc>
          <w:tcPr>
            <w:tcW w:w="905" w:type="dxa"/>
          </w:tcPr>
          <w:p>
            <w:pPr>
              <w:pStyle w:val="TableParagraph"/>
              <w:spacing w:before="74"/>
              <w:ind w:left="30" w:right="18"/>
              <w:jc w:val="center"/>
              <w:rPr>
                <w:sz w:val="16"/>
              </w:rPr>
            </w:pPr>
            <w:r>
              <w:rPr>
                <w:sz w:val="16"/>
              </w:rPr>
              <w:t>Dry</w:t>
            </w:r>
          </w:p>
        </w:tc>
        <w:tc>
          <w:tcPr>
            <w:tcW w:w="972" w:type="dxa"/>
          </w:tcPr>
          <w:p>
            <w:pPr>
              <w:pStyle w:val="TableParagraph"/>
              <w:spacing w:before="74"/>
              <w:ind w:left="342"/>
              <w:rPr>
                <w:sz w:val="16"/>
              </w:rPr>
            </w:pPr>
            <w:r>
              <w:rPr>
                <w:sz w:val="16"/>
              </w:rPr>
              <w:t>0.93</w:t>
            </w:r>
          </w:p>
        </w:tc>
        <w:tc>
          <w:tcPr>
            <w:tcW w:w="823" w:type="dxa"/>
          </w:tcPr>
          <w:p>
            <w:pPr>
              <w:pStyle w:val="TableParagraph"/>
              <w:spacing w:before="74"/>
              <w:ind w:left="120" w:right="118"/>
              <w:jc w:val="center"/>
              <w:rPr>
                <w:sz w:val="16"/>
              </w:rPr>
            </w:pPr>
            <w:r>
              <w:rPr>
                <w:sz w:val="16"/>
                <w:u w:val="single"/>
              </w:rPr>
              <w:t>+</w:t>
            </w:r>
            <w:r>
              <w:rPr>
                <w:sz w:val="16"/>
              </w:rPr>
              <w:t> 10%</w:t>
            </w:r>
          </w:p>
        </w:tc>
        <w:tc>
          <w:tcPr>
            <w:tcW w:w="2973" w:type="dxa"/>
            <w:vMerge w:val="restart"/>
          </w:tcPr>
          <w:p>
            <w:pPr>
              <w:pStyle w:val="TableParagraph"/>
              <w:spacing w:before="33"/>
              <w:ind w:left="107" w:right="85"/>
              <w:rPr>
                <w:sz w:val="16"/>
              </w:rPr>
            </w:pPr>
            <w:r>
              <w:rPr>
                <w:sz w:val="16"/>
              </w:rPr>
              <w:t>Represents temporary set aside of annually cropland (e.g. conservation reserves) or other idle cropland that has been</w:t>
            </w:r>
          </w:p>
          <w:p>
            <w:pPr>
              <w:pStyle w:val="TableParagraph"/>
              <w:spacing w:line="156" w:lineRule="exact"/>
              <w:ind w:left="107"/>
              <w:rPr>
                <w:sz w:val="16"/>
              </w:rPr>
            </w:pPr>
            <w:r>
              <w:rPr>
                <w:sz w:val="16"/>
              </w:rPr>
              <w:t>revegetated with perennial grasses.</w:t>
            </w:r>
          </w:p>
        </w:tc>
      </w:tr>
      <w:tr>
        <w:trPr>
          <w:trHeight w:val="385"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95"/>
              <w:ind w:left="26" w:right="18"/>
              <w:jc w:val="center"/>
              <w:rPr>
                <w:sz w:val="16"/>
              </w:rPr>
            </w:pPr>
            <w:r>
              <w:rPr>
                <w:sz w:val="16"/>
              </w:rPr>
              <w:t>Wet</w:t>
            </w:r>
          </w:p>
        </w:tc>
        <w:tc>
          <w:tcPr>
            <w:tcW w:w="972" w:type="dxa"/>
          </w:tcPr>
          <w:p>
            <w:pPr>
              <w:pStyle w:val="TableParagraph"/>
              <w:spacing w:before="95"/>
              <w:ind w:left="342"/>
              <w:rPr>
                <w:sz w:val="16"/>
              </w:rPr>
            </w:pPr>
            <w:r>
              <w:rPr>
                <w:sz w:val="16"/>
              </w:rPr>
              <w:t>0.82</w:t>
            </w:r>
          </w:p>
        </w:tc>
        <w:tc>
          <w:tcPr>
            <w:tcW w:w="823" w:type="dxa"/>
          </w:tcPr>
          <w:p>
            <w:pPr>
              <w:pStyle w:val="TableParagraph"/>
              <w:spacing w:before="95"/>
              <w:ind w:left="120" w:right="118"/>
              <w:jc w:val="center"/>
              <w:rPr>
                <w:sz w:val="16"/>
              </w:rPr>
            </w:pPr>
            <w:r>
              <w:rPr>
                <w:sz w:val="16"/>
                <w:u w:val="single"/>
              </w:rPr>
              <w:t>+</w:t>
            </w:r>
            <w:r>
              <w:rPr>
                <w:sz w:val="16"/>
              </w:rPr>
              <w:t> 18%</w:t>
            </w:r>
          </w:p>
        </w:tc>
        <w:tc>
          <w:tcPr>
            <w:tcW w:w="2973" w:type="dxa"/>
            <w:vMerge/>
            <w:tcBorders>
              <w:top w:val="nil"/>
            </w:tcBorders>
          </w:tcPr>
          <w:p>
            <w:pPr>
              <w:rPr>
                <w:sz w:val="2"/>
                <w:szCs w:val="2"/>
              </w:rPr>
            </w:pPr>
          </w:p>
        </w:tc>
      </w:tr>
      <w:tr>
        <w:trPr>
          <w:trHeight w:val="501" w:hRule="atLeast"/>
        </w:trPr>
        <w:tc>
          <w:tcPr>
            <w:tcW w:w="766" w:type="dxa"/>
            <w:vMerge w:val="restart"/>
          </w:tcPr>
          <w:p>
            <w:pPr>
              <w:pStyle w:val="TableParagraph"/>
              <w:spacing w:before="9"/>
              <w:rPr>
                <w:sz w:val="21"/>
              </w:rPr>
            </w:pPr>
          </w:p>
          <w:p>
            <w:pPr>
              <w:pStyle w:val="TableParagraph"/>
              <w:spacing w:line="396" w:lineRule="auto"/>
              <w:ind w:left="206" w:right="124" w:hanging="48"/>
              <w:rPr>
                <w:sz w:val="16"/>
              </w:rPr>
            </w:pPr>
            <w:r>
              <w:rPr>
                <w:sz w:val="16"/>
              </w:rPr>
              <w:t>Tillage </w:t>
            </w:r>
            <w:r>
              <w:rPr>
                <w:position w:val="2"/>
                <w:sz w:val="16"/>
              </w:rPr>
              <w:t>(F</w:t>
            </w:r>
            <w:r>
              <w:rPr>
                <w:sz w:val="10"/>
              </w:rPr>
              <w:t>MG</w:t>
            </w:r>
            <w:r>
              <w:rPr>
                <w:position w:val="2"/>
                <w:sz w:val="16"/>
              </w:rPr>
              <w:t>)</w:t>
            </w:r>
          </w:p>
        </w:tc>
        <w:tc>
          <w:tcPr>
            <w:tcW w:w="888" w:type="dxa"/>
            <w:vMerge w:val="restart"/>
          </w:tcPr>
          <w:p>
            <w:pPr>
              <w:pStyle w:val="TableParagraph"/>
              <w:rPr>
                <w:sz w:val="18"/>
              </w:rPr>
            </w:pPr>
          </w:p>
          <w:p>
            <w:pPr>
              <w:pStyle w:val="TableParagraph"/>
              <w:spacing w:before="11"/>
              <w:rPr>
                <w:sz w:val="16"/>
              </w:rPr>
            </w:pPr>
          </w:p>
          <w:p>
            <w:pPr>
              <w:pStyle w:val="TableParagraph"/>
              <w:ind w:left="294" w:right="286"/>
              <w:jc w:val="center"/>
              <w:rPr>
                <w:sz w:val="16"/>
              </w:rPr>
            </w:pPr>
            <w:r>
              <w:rPr>
                <w:sz w:val="16"/>
              </w:rPr>
              <w:t>Full</w:t>
            </w:r>
          </w:p>
        </w:tc>
        <w:tc>
          <w:tcPr>
            <w:tcW w:w="948" w:type="dxa"/>
          </w:tcPr>
          <w:p>
            <w:pPr>
              <w:pStyle w:val="TableParagraph"/>
              <w:spacing w:before="153"/>
              <w:ind w:right="120"/>
              <w:jc w:val="right"/>
              <w:rPr>
                <w:sz w:val="16"/>
              </w:rPr>
            </w:pPr>
            <w:r>
              <w:rPr>
                <w:sz w:val="16"/>
              </w:rPr>
              <w:t>Temperate</w:t>
            </w:r>
          </w:p>
        </w:tc>
        <w:tc>
          <w:tcPr>
            <w:tcW w:w="739" w:type="dxa"/>
          </w:tcPr>
          <w:p>
            <w:pPr>
              <w:pStyle w:val="TableParagraph"/>
              <w:spacing w:before="153"/>
              <w:ind w:left="107" w:right="99"/>
              <w:jc w:val="center"/>
              <w:rPr>
                <w:sz w:val="16"/>
              </w:rPr>
            </w:pPr>
            <w:r>
              <w:rPr>
                <w:sz w:val="16"/>
              </w:rPr>
              <w:t>1.0</w:t>
            </w:r>
          </w:p>
        </w:tc>
        <w:tc>
          <w:tcPr>
            <w:tcW w:w="905" w:type="dxa"/>
          </w:tcPr>
          <w:p>
            <w:pPr>
              <w:pStyle w:val="TableParagraph"/>
              <w:spacing w:before="61"/>
              <w:ind w:left="318" w:right="165" w:hanging="128"/>
              <w:rPr>
                <w:sz w:val="16"/>
              </w:rPr>
            </w:pPr>
            <w:r>
              <w:rPr>
                <w:sz w:val="16"/>
              </w:rPr>
              <w:t>Dry and Wet</w:t>
            </w:r>
          </w:p>
        </w:tc>
        <w:tc>
          <w:tcPr>
            <w:tcW w:w="972" w:type="dxa"/>
          </w:tcPr>
          <w:p>
            <w:pPr>
              <w:pStyle w:val="TableParagraph"/>
              <w:spacing w:before="153"/>
              <w:ind w:left="383"/>
              <w:rPr>
                <w:sz w:val="16"/>
              </w:rPr>
            </w:pPr>
            <w:r>
              <w:rPr>
                <w:sz w:val="16"/>
              </w:rPr>
              <w:t>1.0</w:t>
            </w:r>
          </w:p>
        </w:tc>
        <w:tc>
          <w:tcPr>
            <w:tcW w:w="823" w:type="dxa"/>
          </w:tcPr>
          <w:p>
            <w:pPr>
              <w:pStyle w:val="TableParagraph"/>
              <w:spacing w:before="153"/>
              <w:ind w:left="124" w:right="117"/>
              <w:jc w:val="center"/>
              <w:rPr>
                <w:sz w:val="16"/>
              </w:rPr>
            </w:pPr>
            <w:r>
              <w:rPr>
                <w:sz w:val="16"/>
              </w:rPr>
              <w:t>NA</w:t>
            </w:r>
          </w:p>
        </w:tc>
        <w:tc>
          <w:tcPr>
            <w:tcW w:w="2973" w:type="dxa"/>
            <w:vMerge w:val="restart"/>
          </w:tcPr>
          <w:p>
            <w:pPr>
              <w:pStyle w:val="TableParagraph"/>
              <w:spacing w:before="54"/>
              <w:ind w:left="107" w:right="227"/>
              <w:rPr>
                <w:sz w:val="16"/>
              </w:rPr>
            </w:pPr>
            <w:r>
              <w:rPr>
                <w:sz w:val="16"/>
              </w:rPr>
              <w:t>Substantial soil disturbance with full inversion and/or frequent (within year) tillage operations. At planting time, little (e.g. &lt;30%) of the surface is covered by residues.</w:t>
            </w:r>
          </w:p>
        </w:tc>
      </w:tr>
      <w:tr>
        <w:trPr>
          <w:trHeight w:val="498"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tcPr>
          <w:p>
            <w:pPr>
              <w:pStyle w:val="TableParagraph"/>
              <w:spacing w:before="153"/>
              <w:ind w:right="189"/>
              <w:jc w:val="right"/>
              <w:rPr>
                <w:sz w:val="16"/>
              </w:rPr>
            </w:pPr>
            <w:r>
              <w:rPr>
                <w:sz w:val="16"/>
              </w:rPr>
              <w:t>Tropical</w:t>
            </w:r>
          </w:p>
        </w:tc>
        <w:tc>
          <w:tcPr>
            <w:tcW w:w="739" w:type="dxa"/>
          </w:tcPr>
          <w:p>
            <w:pPr>
              <w:pStyle w:val="TableParagraph"/>
              <w:spacing w:before="153"/>
              <w:ind w:left="110" w:right="99"/>
              <w:jc w:val="center"/>
              <w:rPr>
                <w:sz w:val="16"/>
              </w:rPr>
            </w:pPr>
            <w:r>
              <w:rPr>
                <w:sz w:val="16"/>
              </w:rPr>
              <w:t>0.9, 0.8</w:t>
            </w:r>
          </w:p>
        </w:tc>
        <w:tc>
          <w:tcPr>
            <w:tcW w:w="905" w:type="dxa"/>
          </w:tcPr>
          <w:p>
            <w:pPr>
              <w:pStyle w:val="TableParagraph"/>
              <w:spacing w:before="61"/>
              <w:ind w:left="318" w:right="165" w:hanging="128"/>
              <w:rPr>
                <w:sz w:val="16"/>
              </w:rPr>
            </w:pPr>
            <w:r>
              <w:rPr>
                <w:sz w:val="16"/>
              </w:rPr>
              <w:t>Dry and Wet</w:t>
            </w:r>
          </w:p>
        </w:tc>
        <w:tc>
          <w:tcPr>
            <w:tcW w:w="972" w:type="dxa"/>
          </w:tcPr>
          <w:p>
            <w:pPr>
              <w:pStyle w:val="TableParagraph"/>
              <w:spacing w:before="153"/>
              <w:ind w:left="383"/>
              <w:rPr>
                <w:sz w:val="16"/>
              </w:rPr>
            </w:pPr>
            <w:r>
              <w:rPr>
                <w:sz w:val="16"/>
              </w:rPr>
              <w:t>1.0</w:t>
            </w:r>
          </w:p>
        </w:tc>
        <w:tc>
          <w:tcPr>
            <w:tcW w:w="823" w:type="dxa"/>
          </w:tcPr>
          <w:p>
            <w:pPr>
              <w:pStyle w:val="TableParagraph"/>
              <w:spacing w:before="153"/>
              <w:ind w:left="124" w:right="117"/>
              <w:jc w:val="center"/>
              <w:rPr>
                <w:sz w:val="16"/>
              </w:rPr>
            </w:pPr>
            <w:r>
              <w:rPr>
                <w:sz w:val="16"/>
              </w:rPr>
              <w:t>NA</w:t>
            </w:r>
          </w:p>
        </w:tc>
        <w:tc>
          <w:tcPr>
            <w:tcW w:w="2973" w:type="dxa"/>
            <w:vMerge/>
            <w:tcBorders>
              <w:top w:val="nil"/>
            </w:tcBorders>
          </w:tcPr>
          <w:p>
            <w:pPr>
              <w:rPr>
                <w:sz w:val="2"/>
                <w:szCs w:val="2"/>
              </w:rPr>
            </w:pPr>
          </w:p>
        </w:tc>
      </w:tr>
      <w:tr>
        <w:trPr>
          <w:trHeight w:val="246" w:hRule="atLeast"/>
        </w:trPr>
        <w:tc>
          <w:tcPr>
            <w:tcW w:w="766" w:type="dxa"/>
            <w:vMerge w:val="restart"/>
          </w:tcPr>
          <w:p>
            <w:pPr>
              <w:pStyle w:val="TableParagraph"/>
              <w:spacing w:before="9"/>
              <w:rPr>
                <w:sz w:val="21"/>
              </w:rPr>
            </w:pPr>
          </w:p>
          <w:p>
            <w:pPr>
              <w:pStyle w:val="TableParagraph"/>
              <w:spacing w:line="396" w:lineRule="auto"/>
              <w:ind w:left="206" w:right="124" w:hanging="48"/>
              <w:rPr>
                <w:sz w:val="16"/>
              </w:rPr>
            </w:pPr>
            <w:r>
              <w:rPr>
                <w:sz w:val="16"/>
              </w:rPr>
              <w:t>Tillage </w:t>
            </w:r>
            <w:r>
              <w:rPr>
                <w:position w:val="2"/>
                <w:sz w:val="16"/>
              </w:rPr>
              <w:t>(F</w:t>
            </w:r>
            <w:r>
              <w:rPr>
                <w:sz w:val="10"/>
              </w:rPr>
              <w:t>MG</w:t>
            </w:r>
            <w:r>
              <w:rPr>
                <w:position w:val="2"/>
                <w:sz w:val="16"/>
              </w:rPr>
              <w:t>)</w:t>
            </w:r>
          </w:p>
        </w:tc>
        <w:tc>
          <w:tcPr>
            <w:tcW w:w="888" w:type="dxa"/>
            <w:vMerge w:val="restart"/>
          </w:tcPr>
          <w:p>
            <w:pPr>
              <w:pStyle w:val="TableParagraph"/>
              <w:rPr>
                <w:sz w:val="18"/>
              </w:rPr>
            </w:pPr>
          </w:p>
          <w:p>
            <w:pPr>
              <w:pStyle w:val="TableParagraph"/>
              <w:spacing w:before="11"/>
              <w:rPr>
                <w:sz w:val="16"/>
              </w:rPr>
            </w:pPr>
          </w:p>
          <w:p>
            <w:pPr>
              <w:pStyle w:val="TableParagraph"/>
              <w:ind w:left="162"/>
              <w:rPr>
                <w:sz w:val="16"/>
              </w:rPr>
            </w:pPr>
            <w:r>
              <w:rPr>
                <w:sz w:val="16"/>
              </w:rPr>
              <w:t>Reduced</w:t>
            </w:r>
          </w:p>
        </w:tc>
        <w:tc>
          <w:tcPr>
            <w:tcW w:w="948" w:type="dxa"/>
            <w:vMerge w:val="restart"/>
          </w:tcPr>
          <w:p>
            <w:pPr>
              <w:pStyle w:val="TableParagraph"/>
              <w:spacing w:before="145"/>
              <w:ind w:left="131"/>
              <w:rPr>
                <w:sz w:val="16"/>
              </w:rPr>
            </w:pPr>
            <w:r>
              <w:rPr>
                <w:sz w:val="16"/>
              </w:rPr>
              <w:t>Temperate</w:t>
            </w:r>
          </w:p>
        </w:tc>
        <w:tc>
          <w:tcPr>
            <w:tcW w:w="739" w:type="dxa"/>
            <w:vMerge w:val="restart"/>
          </w:tcPr>
          <w:p>
            <w:pPr>
              <w:pStyle w:val="TableParagraph"/>
              <w:spacing w:before="145"/>
              <w:ind w:left="228"/>
              <w:rPr>
                <w:sz w:val="16"/>
              </w:rPr>
            </w:pPr>
            <w:r>
              <w:rPr>
                <w:sz w:val="16"/>
              </w:rPr>
              <w:t>1.05</w:t>
            </w:r>
          </w:p>
        </w:tc>
        <w:tc>
          <w:tcPr>
            <w:tcW w:w="905" w:type="dxa"/>
          </w:tcPr>
          <w:p>
            <w:pPr>
              <w:pStyle w:val="TableParagraph"/>
              <w:spacing w:before="23"/>
              <w:ind w:left="30" w:right="18"/>
              <w:jc w:val="center"/>
              <w:rPr>
                <w:sz w:val="16"/>
              </w:rPr>
            </w:pPr>
            <w:r>
              <w:rPr>
                <w:sz w:val="16"/>
              </w:rPr>
              <w:t>Dry</w:t>
            </w:r>
          </w:p>
        </w:tc>
        <w:tc>
          <w:tcPr>
            <w:tcW w:w="972" w:type="dxa"/>
          </w:tcPr>
          <w:p>
            <w:pPr>
              <w:pStyle w:val="TableParagraph"/>
              <w:spacing w:before="23"/>
              <w:ind w:left="342"/>
              <w:rPr>
                <w:sz w:val="16"/>
              </w:rPr>
            </w:pPr>
            <w:r>
              <w:rPr>
                <w:sz w:val="16"/>
              </w:rPr>
              <w:t>1.03</w:t>
            </w:r>
          </w:p>
        </w:tc>
        <w:tc>
          <w:tcPr>
            <w:tcW w:w="823" w:type="dxa"/>
          </w:tcPr>
          <w:p>
            <w:pPr>
              <w:pStyle w:val="TableParagraph"/>
              <w:spacing w:before="23"/>
              <w:ind w:left="122" w:right="118"/>
              <w:jc w:val="center"/>
              <w:rPr>
                <w:sz w:val="16"/>
              </w:rPr>
            </w:pPr>
            <w:r>
              <w:rPr>
                <w:sz w:val="16"/>
                <w:u w:val="single"/>
              </w:rPr>
              <w:t>+</w:t>
            </w:r>
            <w:r>
              <w:rPr>
                <w:sz w:val="16"/>
              </w:rPr>
              <w:t> 6%</w:t>
            </w:r>
          </w:p>
        </w:tc>
        <w:tc>
          <w:tcPr>
            <w:tcW w:w="2973" w:type="dxa"/>
            <w:vMerge w:val="restart"/>
          </w:tcPr>
          <w:p>
            <w:pPr>
              <w:pStyle w:val="TableParagraph"/>
              <w:spacing w:before="54"/>
              <w:ind w:left="107" w:right="160"/>
              <w:rPr>
                <w:sz w:val="16"/>
              </w:rPr>
            </w:pPr>
            <w:r>
              <w:rPr>
                <w:sz w:val="16"/>
              </w:rPr>
              <w:t>Primary and/or secondary tillage but with reduced soil disturbance (usually shallow and without full soil inversion). Normally leaves surface with &gt;30% coverage by residues at planting.</w:t>
            </w:r>
          </w:p>
        </w:tc>
      </w:tr>
      <w:tr>
        <w:trPr>
          <w:trHeight w:val="244"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23"/>
              <w:ind w:left="26" w:right="18"/>
              <w:jc w:val="center"/>
              <w:rPr>
                <w:sz w:val="16"/>
              </w:rPr>
            </w:pPr>
            <w:r>
              <w:rPr>
                <w:sz w:val="16"/>
              </w:rPr>
              <w:t>Wet</w:t>
            </w:r>
          </w:p>
        </w:tc>
        <w:tc>
          <w:tcPr>
            <w:tcW w:w="972" w:type="dxa"/>
          </w:tcPr>
          <w:p>
            <w:pPr>
              <w:pStyle w:val="TableParagraph"/>
              <w:spacing w:before="23"/>
              <w:ind w:left="342"/>
              <w:rPr>
                <w:sz w:val="16"/>
              </w:rPr>
            </w:pPr>
            <w:r>
              <w:rPr>
                <w:sz w:val="16"/>
              </w:rPr>
              <w:t>1.09</w:t>
            </w:r>
          </w:p>
        </w:tc>
        <w:tc>
          <w:tcPr>
            <w:tcW w:w="823" w:type="dxa"/>
          </w:tcPr>
          <w:p>
            <w:pPr>
              <w:pStyle w:val="TableParagraph"/>
              <w:spacing w:before="23"/>
              <w:ind w:left="123" w:right="118"/>
              <w:jc w:val="center"/>
              <w:rPr>
                <w:sz w:val="16"/>
              </w:rPr>
            </w:pPr>
            <w:r>
              <w:rPr>
                <w:sz w:val="16"/>
                <w:u w:val="single"/>
              </w:rPr>
              <w:t>+</w:t>
            </w:r>
            <w:r>
              <w:rPr>
                <w:sz w:val="16"/>
              </w:rPr>
              <w:t> 6%</w:t>
            </w:r>
          </w:p>
        </w:tc>
        <w:tc>
          <w:tcPr>
            <w:tcW w:w="2973" w:type="dxa"/>
            <w:vMerge/>
            <w:tcBorders>
              <w:top w:val="nil"/>
            </w:tcBorders>
          </w:tcPr>
          <w:p>
            <w:pPr>
              <w:rPr>
                <w:sz w:val="2"/>
                <w:szCs w:val="2"/>
              </w:rPr>
            </w:pPr>
          </w:p>
        </w:tc>
      </w:tr>
      <w:tr>
        <w:trPr>
          <w:trHeight w:val="244"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val="restart"/>
          </w:tcPr>
          <w:p>
            <w:pPr>
              <w:pStyle w:val="TableParagraph"/>
              <w:spacing w:before="145"/>
              <w:ind w:left="200"/>
              <w:rPr>
                <w:sz w:val="16"/>
              </w:rPr>
            </w:pPr>
            <w:r>
              <w:rPr>
                <w:sz w:val="16"/>
              </w:rPr>
              <w:t>Tropical</w:t>
            </w:r>
          </w:p>
        </w:tc>
        <w:tc>
          <w:tcPr>
            <w:tcW w:w="739" w:type="dxa"/>
            <w:vMerge w:val="restart"/>
          </w:tcPr>
          <w:p>
            <w:pPr>
              <w:pStyle w:val="TableParagraph"/>
              <w:spacing w:before="145"/>
              <w:ind w:left="108" w:right="99"/>
              <w:jc w:val="center"/>
              <w:rPr>
                <w:sz w:val="16"/>
              </w:rPr>
            </w:pPr>
            <w:r>
              <w:rPr>
                <w:sz w:val="16"/>
              </w:rPr>
              <w:t>1.0</w:t>
            </w:r>
          </w:p>
        </w:tc>
        <w:tc>
          <w:tcPr>
            <w:tcW w:w="905" w:type="dxa"/>
          </w:tcPr>
          <w:p>
            <w:pPr>
              <w:pStyle w:val="TableParagraph"/>
              <w:spacing w:before="23"/>
              <w:ind w:left="30" w:right="18"/>
              <w:jc w:val="center"/>
              <w:rPr>
                <w:sz w:val="16"/>
              </w:rPr>
            </w:pPr>
            <w:r>
              <w:rPr>
                <w:sz w:val="16"/>
              </w:rPr>
              <w:t>Dry</w:t>
            </w:r>
          </w:p>
        </w:tc>
        <w:tc>
          <w:tcPr>
            <w:tcW w:w="972" w:type="dxa"/>
          </w:tcPr>
          <w:p>
            <w:pPr>
              <w:pStyle w:val="TableParagraph"/>
              <w:spacing w:before="23"/>
              <w:ind w:left="342"/>
              <w:rPr>
                <w:sz w:val="16"/>
              </w:rPr>
            </w:pPr>
            <w:r>
              <w:rPr>
                <w:sz w:val="16"/>
              </w:rPr>
              <w:t>1.10</w:t>
            </w:r>
          </w:p>
        </w:tc>
        <w:tc>
          <w:tcPr>
            <w:tcW w:w="823" w:type="dxa"/>
          </w:tcPr>
          <w:p>
            <w:pPr>
              <w:pStyle w:val="TableParagraph"/>
              <w:spacing w:before="23"/>
              <w:ind w:left="120" w:right="118"/>
              <w:jc w:val="center"/>
              <w:rPr>
                <w:sz w:val="16"/>
              </w:rPr>
            </w:pPr>
            <w:r>
              <w:rPr>
                <w:sz w:val="16"/>
                <w:u w:val="single"/>
              </w:rPr>
              <w:t>+</w:t>
            </w:r>
            <w:r>
              <w:rPr>
                <w:sz w:val="16"/>
              </w:rPr>
              <w:t> 10%</w:t>
            </w:r>
          </w:p>
        </w:tc>
        <w:tc>
          <w:tcPr>
            <w:tcW w:w="2973" w:type="dxa"/>
            <w:vMerge/>
            <w:tcBorders>
              <w:top w:val="nil"/>
            </w:tcBorders>
          </w:tcPr>
          <w:p>
            <w:pPr>
              <w:rPr>
                <w:sz w:val="2"/>
                <w:szCs w:val="2"/>
              </w:rPr>
            </w:pPr>
          </w:p>
        </w:tc>
      </w:tr>
      <w:tr>
        <w:trPr>
          <w:trHeight w:val="244"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23"/>
              <w:ind w:left="26" w:right="18"/>
              <w:jc w:val="center"/>
              <w:rPr>
                <w:sz w:val="16"/>
              </w:rPr>
            </w:pPr>
            <w:r>
              <w:rPr>
                <w:sz w:val="16"/>
              </w:rPr>
              <w:t>Wet</w:t>
            </w:r>
          </w:p>
        </w:tc>
        <w:tc>
          <w:tcPr>
            <w:tcW w:w="972" w:type="dxa"/>
          </w:tcPr>
          <w:p>
            <w:pPr>
              <w:pStyle w:val="TableParagraph"/>
              <w:spacing w:before="23"/>
              <w:ind w:left="342"/>
              <w:rPr>
                <w:sz w:val="16"/>
              </w:rPr>
            </w:pPr>
            <w:r>
              <w:rPr>
                <w:sz w:val="16"/>
              </w:rPr>
              <w:t>1.16</w:t>
            </w:r>
          </w:p>
        </w:tc>
        <w:tc>
          <w:tcPr>
            <w:tcW w:w="823" w:type="dxa"/>
          </w:tcPr>
          <w:p>
            <w:pPr>
              <w:pStyle w:val="TableParagraph"/>
              <w:spacing w:before="23"/>
              <w:ind w:left="123" w:right="118"/>
              <w:jc w:val="center"/>
              <w:rPr>
                <w:sz w:val="16"/>
              </w:rPr>
            </w:pPr>
            <w:r>
              <w:rPr>
                <w:sz w:val="16"/>
                <w:u w:val="single"/>
              </w:rPr>
              <w:t>+</w:t>
            </w:r>
            <w:r>
              <w:rPr>
                <w:sz w:val="16"/>
              </w:rPr>
              <w:t> 8%</w:t>
            </w:r>
          </w:p>
        </w:tc>
        <w:tc>
          <w:tcPr>
            <w:tcW w:w="2973" w:type="dxa"/>
            <w:vMerge/>
            <w:tcBorders>
              <w:top w:val="nil"/>
            </w:tcBorders>
          </w:tcPr>
          <w:p>
            <w:pPr>
              <w:rPr>
                <w:sz w:val="2"/>
                <w:szCs w:val="2"/>
              </w:rPr>
            </w:pPr>
          </w:p>
        </w:tc>
      </w:tr>
      <w:tr>
        <w:trPr>
          <w:trHeight w:val="246" w:hRule="atLeast"/>
        </w:trPr>
        <w:tc>
          <w:tcPr>
            <w:tcW w:w="766" w:type="dxa"/>
            <w:vMerge w:val="restart"/>
          </w:tcPr>
          <w:p>
            <w:pPr>
              <w:pStyle w:val="TableParagraph"/>
              <w:spacing w:before="9"/>
              <w:rPr>
                <w:sz w:val="21"/>
              </w:rPr>
            </w:pPr>
          </w:p>
          <w:p>
            <w:pPr>
              <w:pStyle w:val="TableParagraph"/>
              <w:spacing w:line="396" w:lineRule="auto"/>
              <w:ind w:left="206" w:right="124" w:hanging="48"/>
              <w:rPr>
                <w:sz w:val="16"/>
              </w:rPr>
            </w:pPr>
            <w:r>
              <w:rPr>
                <w:sz w:val="16"/>
              </w:rPr>
              <w:t>Tillage </w:t>
            </w:r>
            <w:r>
              <w:rPr>
                <w:position w:val="2"/>
                <w:sz w:val="16"/>
              </w:rPr>
              <w:t>(F</w:t>
            </w:r>
            <w:r>
              <w:rPr>
                <w:sz w:val="10"/>
              </w:rPr>
              <w:t>MG</w:t>
            </w:r>
            <w:r>
              <w:rPr>
                <w:position w:val="2"/>
                <w:sz w:val="16"/>
              </w:rPr>
              <w:t>)</w:t>
            </w:r>
          </w:p>
        </w:tc>
        <w:tc>
          <w:tcPr>
            <w:tcW w:w="888" w:type="dxa"/>
            <w:vMerge w:val="restart"/>
          </w:tcPr>
          <w:p>
            <w:pPr>
              <w:pStyle w:val="TableParagraph"/>
              <w:rPr>
                <w:sz w:val="18"/>
              </w:rPr>
            </w:pPr>
          </w:p>
          <w:p>
            <w:pPr>
              <w:pStyle w:val="TableParagraph"/>
              <w:spacing w:before="11"/>
              <w:rPr>
                <w:sz w:val="16"/>
              </w:rPr>
            </w:pPr>
          </w:p>
          <w:p>
            <w:pPr>
              <w:pStyle w:val="TableParagraph"/>
              <w:ind w:left="229"/>
              <w:rPr>
                <w:sz w:val="16"/>
              </w:rPr>
            </w:pPr>
            <w:r>
              <w:rPr>
                <w:sz w:val="16"/>
              </w:rPr>
              <w:t>No-till</w:t>
            </w:r>
          </w:p>
        </w:tc>
        <w:tc>
          <w:tcPr>
            <w:tcW w:w="948" w:type="dxa"/>
            <w:vMerge w:val="restart"/>
          </w:tcPr>
          <w:p>
            <w:pPr>
              <w:pStyle w:val="TableParagraph"/>
              <w:spacing w:before="145"/>
              <w:ind w:left="131"/>
              <w:rPr>
                <w:sz w:val="16"/>
              </w:rPr>
            </w:pPr>
            <w:r>
              <w:rPr>
                <w:sz w:val="16"/>
              </w:rPr>
              <w:t>Temperate</w:t>
            </w:r>
          </w:p>
        </w:tc>
        <w:tc>
          <w:tcPr>
            <w:tcW w:w="739" w:type="dxa"/>
            <w:vMerge w:val="restart"/>
          </w:tcPr>
          <w:p>
            <w:pPr>
              <w:pStyle w:val="TableParagraph"/>
              <w:spacing w:before="145"/>
              <w:ind w:left="107" w:right="99"/>
              <w:jc w:val="center"/>
              <w:rPr>
                <w:sz w:val="16"/>
              </w:rPr>
            </w:pPr>
            <w:r>
              <w:rPr>
                <w:sz w:val="16"/>
              </w:rPr>
              <w:t>1.1</w:t>
            </w:r>
          </w:p>
        </w:tc>
        <w:tc>
          <w:tcPr>
            <w:tcW w:w="905" w:type="dxa"/>
          </w:tcPr>
          <w:p>
            <w:pPr>
              <w:pStyle w:val="TableParagraph"/>
              <w:spacing w:before="23"/>
              <w:ind w:left="30" w:right="18"/>
              <w:jc w:val="center"/>
              <w:rPr>
                <w:sz w:val="16"/>
              </w:rPr>
            </w:pPr>
            <w:r>
              <w:rPr>
                <w:sz w:val="16"/>
              </w:rPr>
              <w:t>Dry</w:t>
            </w:r>
          </w:p>
        </w:tc>
        <w:tc>
          <w:tcPr>
            <w:tcW w:w="972" w:type="dxa"/>
          </w:tcPr>
          <w:p>
            <w:pPr>
              <w:pStyle w:val="TableParagraph"/>
              <w:spacing w:before="23"/>
              <w:ind w:left="342"/>
              <w:rPr>
                <w:sz w:val="16"/>
              </w:rPr>
            </w:pPr>
            <w:r>
              <w:rPr>
                <w:sz w:val="16"/>
              </w:rPr>
              <w:t>1.10</w:t>
            </w:r>
          </w:p>
        </w:tc>
        <w:tc>
          <w:tcPr>
            <w:tcW w:w="823" w:type="dxa"/>
          </w:tcPr>
          <w:p>
            <w:pPr>
              <w:pStyle w:val="TableParagraph"/>
              <w:spacing w:before="23"/>
              <w:ind w:left="122" w:right="118"/>
              <w:jc w:val="center"/>
              <w:rPr>
                <w:sz w:val="16"/>
              </w:rPr>
            </w:pPr>
            <w:r>
              <w:rPr>
                <w:sz w:val="16"/>
                <w:u w:val="single"/>
              </w:rPr>
              <w:t>+</w:t>
            </w:r>
            <w:r>
              <w:rPr>
                <w:sz w:val="16"/>
              </w:rPr>
              <w:t> 6%</w:t>
            </w:r>
          </w:p>
        </w:tc>
        <w:tc>
          <w:tcPr>
            <w:tcW w:w="2973" w:type="dxa"/>
            <w:vMerge w:val="restart"/>
          </w:tcPr>
          <w:p>
            <w:pPr>
              <w:pStyle w:val="TableParagraph"/>
              <w:spacing w:before="126"/>
              <w:ind w:left="107" w:right="205"/>
              <w:rPr>
                <w:sz w:val="16"/>
              </w:rPr>
            </w:pPr>
            <w:r>
              <w:rPr>
                <w:sz w:val="16"/>
              </w:rPr>
              <w:t>Direct seeding without primary tillage, with only minimal soil disturbance in the seeding zone. Herbicides are typically used for weed control.</w:t>
            </w:r>
          </w:p>
        </w:tc>
      </w:tr>
      <w:tr>
        <w:trPr>
          <w:trHeight w:val="244"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23"/>
              <w:ind w:left="26" w:right="18"/>
              <w:jc w:val="center"/>
              <w:rPr>
                <w:sz w:val="16"/>
              </w:rPr>
            </w:pPr>
            <w:r>
              <w:rPr>
                <w:sz w:val="16"/>
              </w:rPr>
              <w:t>Wet</w:t>
            </w:r>
          </w:p>
        </w:tc>
        <w:tc>
          <w:tcPr>
            <w:tcW w:w="972" w:type="dxa"/>
          </w:tcPr>
          <w:p>
            <w:pPr>
              <w:pStyle w:val="TableParagraph"/>
              <w:spacing w:before="23"/>
              <w:ind w:left="342"/>
              <w:rPr>
                <w:sz w:val="16"/>
              </w:rPr>
            </w:pPr>
            <w:r>
              <w:rPr>
                <w:sz w:val="16"/>
              </w:rPr>
              <w:t>1.16</w:t>
            </w:r>
          </w:p>
        </w:tc>
        <w:tc>
          <w:tcPr>
            <w:tcW w:w="823" w:type="dxa"/>
          </w:tcPr>
          <w:p>
            <w:pPr>
              <w:pStyle w:val="TableParagraph"/>
              <w:spacing w:before="23"/>
              <w:ind w:left="123" w:right="118"/>
              <w:jc w:val="center"/>
              <w:rPr>
                <w:sz w:val="16"/>
              </w:rPr>
            </w:pPr>
            <w:r>
              <w:rPr>
                <w:sz w:val="16"/>
                <w:u w:val="single"/>
              </w:rPr>
              <w:t>+</w:t>
            </w:r>
            <w:r>
              <w:rPr>
                <w:sz w:val="16"/>
              </w:rPr>
              <w:t> 4%</w:t>
            </w:r>
          </w:p>
        </w:tc>
        <w:tc>
          <w:tcPr>
            <w:tcW w:w="2973" w:type="dxa"/>
            <w:vMerge/>
            <w:tcBorders>
              <w:top w:val="nil"/>
            </w:tcBorders>
          </w:tcPr>
          <w:p>
            <w:pPr>
              <w:rPr>
                <w:sz w:val="2"/>
                <w:szCs w:val="2"/>
              </w:rPr>
            </w:pPr>
          </w:p>
        </w:tc>
      </w:tr>
      <w:tr>
        <w:trPr>
          <w:trHeight w:val="244"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val="restart"/>
          </w:tcPr>
          <w:p>
            <w:pPr>
              <w:pStyle w:val="TableParagraph"/>
              <w:spacing w:before="145"/>
              <w:ind w:left="201"/>
              <w:rPr>
                <w:sz w:val="16"/>
              </w:rPr>
            </w:pPr>
            <w:r>
              <w:rPr>
                <w:sz w:val="16"/>
              </w:rPr>
              <w:t>Tropical</w:t>
            </w:r>
          </w:p>
        </w:tc>
        <w:tc>
          <w:tcPr>
            <w:tcW w:w="739" w:type="dxa"/>
            <w:vMerge w:val="restart"/>
          </w:tcPr>
          <w:p>
            <w:pPr>
              <w:pStyle w:val="TableParagraph"/>
              <w:spacing w:before="145"/>
              <w:ind w:left="108" w:right="99"/>
              <w:jc w:val="center"/>
              <w:rPr>
                <w:sz w:val="16"/>
              </w:rPr>
            </w:pPr>
            <w:r>
              <w:rPr>
                <w:sz w:val="16"/>
              </w:rPr>
              <w:t>1.1</w:t>
            </w:r>
          </w:p>
        </w:tc>
        <w:tc>
          <w:tcPr>
            <w:tcW w:w="905" w:type="dxa"/>
          </w:tcPr>
          <w:p>
            <w:pPr>
              <w:pStyle w:val="TableParagraph"/>
              <w:spacing w:before="23"/>
              <w:ind w:left="30" w:right="18"/>
              <w:jc w:val="center"/>
              <w:rPr>
                <w:sz w:val="16"/>
              </w:rPr>
            </w:pPr>
            <w:r>
              <w:rPr>
                <w:sz w:val="16"/>
              </w:rPr>
              <w:t>Dry</w:t>
            </w:r>
          </w:p>
        </w:tc>
        <w:tc>
          <w:tcPr>
            <w:tcW w:w="972" w:type="dxa"/>
          </w:tcPr>
          <w:p>
            <w:pPr>
              <w:pStyle w:val="TableParagraph"/>
              <w:spacing w:before="23"/>
              <w:ind w:left="342"/>
              <w:rPr>
                <w:sz w:val="16"/>
              </w:rPr>
            </w:pPr>
            <w:r>
              <w:rPr>
                <w:sz w:val="16"/>
              </w:rPr>
              <w:t>1.17</w:t>
            </w:r>
          </w:p>
        </w:tc>
        <w:tc>
          <w:tcPr>
            <w:tcW w:w="823" w:type="dxa"/>
          </w:tcPr>
          <w:p>
            <w:pPr>
              <w:pStyle w:val="TableParagraph"/>
              <w:spacing w:before="23"/>
              <w:ind w:left="122" w:right="118"/>
              <w:jc w:val="center"/>
              <w:rPr>
                <w:sz w:val="16"/>
              </w:rPr>
            </w:pPr>
            <w:r>
              <w:rPr>
                <w:sz w:val="16"/>
                <w:u w:val="single"/>
              </w:rPr>
              <w:t>+</w:t>
            </w:r>
            <w:r>
              <w:rPr>
                <w:sz w:val="16"/>
              </w:rPr>
              <w:t> 8%</w:t>
            </w:r>
          </w:p>
        </w:tc>
        <w:tc>
          <w:tcPr>
            <w:tcW w:w="2973" w:type="dxa"/>
            <w:vMerge/>
            <w:tcBorders>
              <w:top w:val="nil"/>
            </w:tcBorders>
          </w:tcPr>
          <w:p>
            <w:pPr>
              <w:rPr>
                <w:sz w:val="2"/>
                <w:szCs w:val="2"/>
              </w:rPr>
            </w:pPr>
          </w:p>
        </w:tc>
      </w:tr>
      <w:tr>
        <w:trPr>
          <w:trHeight w:val="244"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23"/>
              <w:ind w:left="26" w:right="18"/>
              <w:jc w:val="center"/>
              <w:rPr>
                <w:sz w:val="16"/>
              </w:rPr>
            </w:pPr>
            <w:r>
              <w:rPr>
                <w:sz w:val="16"/>
              </w:rPr>
              <w:t>Wet</w:t>
            </w:r>
          </w:p>
        </w:tc>
        <w:tc>
          <w:tcPr>
            <w:tcW w:w="972" w:type="dxa"/>
          </w:tcPr>
          <w:p>
            <w:pPr>
              <w:pStyle w:val="TableParagraph"/>
              <w:spacing w:before="23"/>
              <w:ind w:left="342"/>
              <w:rPr>
                <w:sz w:val="16"/>
              </w:rPr>
            </w:pPr>
            <w:r>
              <w:rPr>
                <w:sz w:val="16"/>
              </w:rPr>
              <w:t>1.23</w:t>
            </w:r>
          </w:p>
        </w:tc>
        <w:tc>
          <w:tcPr>
            <w:tcW w:w="823" w:type="dxa"/>
          </w:tcPr>
          <w:p>
            <w:pPr>
              <w:pStyle w:val="TableParagraph"/>
              <w:spacing w:before="23"/>
              <w:ind w:left="123" w:right="118"/>
              <w:jc w:val="center"/>
              <w:rPr>
                <w:sz w:val="16"/>
              </w:rPr>
            </w:pPr>
            <w:r>
              <w:rPr>
                <w:sz w:val="16"/>
                <w:u w:val="single"/>
              </w:rPr>
              <w:t>+</w:t>
            </w:r>
            <w:r>
              <w:rPr>
                <w:sz w:val="16"/>
              </w:rPr>
              <w:t> 8%</w:t>
            </w:r>
          </w:p>
        </w:tc>
        <w:tc>
          <w:tcPr>
            <w:tcW w:w="2973" w:type="dxa"/>
            <w:vMerge/>
            <w:tcBorders>
              <w:top w:val="nil"/>
            </w:tcBorders>
          </w:tcPr>
          <w:p>
            <w:pPr>
              <w:rPr>
                <w:sz w:val="2"/>
                <w:szCs w:val="2"/>
              </w:rPr>
            </w:pPr>
          </w:p>
        </w:tc>
      </w:tr>
      <w:tr>
        <w:trPr>
          <w:trHeight w:val="246" w:hRule="atLeast"/>
        </w:trPr>
        <w:tc>
          <w:tcPr>
            <w:tcW w:w="766" w:type="dxa"/>
            <w:vMerge w:val="restart"/>
          </w:tcPr>
          <w:p>
            <w:pPr>
              <w:pStyle w:val="TableParagraph"/>
              <w:spacing w:before="9"/>
              <w:rPr>
                <w:sz w:val="21"/>
              </w:rPr>
            </w:pPr>
          </w:p>
          <w:p>
            <w:pPr>
              <w:pStyle w:val="TableParagraph"/>
              <w:spacing w:line="396" w:lineRule="auto"/>
              <w:ind w:left="270" w:right="186" w:hanging="58"/>
              <w:rPr>
                <w:sz w:val="16"/>
              </w:rPr>
            </w:pPr>
            <w:r>
              <w:rPr>
                <w:sz w:val="16"/>
              </w:rPr>
              <w:t>Input </w:t>
            </w:r>
            <w:r>
              <w:rPr>
                <w:position w:val="2"/>
                <w:sz w:val="16"/>
              </w:rPr>
              <w:t>(F</w:t>
            </w:r>
            <w:r>
              <w:rPr>
                <w:sz w:val="10"/>
              </w:rPr>
              <w:t>I</w:t>
            </w:r>
            <w:r>
              <w:rPr>
                <w:position w:val="2"/>
                <w:sz w:val="16"/>
              </w:rPr>
              <w:t>)</w:t>
            </w:r>
          </w:p>
        </w:tc>
        <w:tc>
          <w:tcPr>
            <w:tcW w:w="888" w:type="dxa"/>
            <w:vMerge w:val="restart"/>
          </w:tcPr>
          <w:p>
            <w:pPr>
              <w:pStyle w:val="TableParagraph"/>
              <w:rPr>
                <w:sz w:val="18"/>
              </w:rPr>
            </w:pPr>
          </w:p>
          <w:p>
            <w:pPr>
              <w:pStyle w:val="TableParagraph"/>
              <w:spacing w:before="11"/>
              <w:rPr>
                <w:sz w:val="16"/>
              </w:rPr>
            </w:pPr>
          </w:p>
          <w:p>
            <w:pPr>
              <w:pStyle w:val="TableParagraph"/>
              <w:ind w:left="296"/>
              <w:rPr>
                <w:sz w:val="16"/>
              </w:rPr>
            </w:pPr>
            <w:r>
              <w:rPr>
                <w:sz w:val="16"/>
              </w:rPr>
              <w:t>Low</w:t>
            </w:r>
          </w:p>
        </w:tc>
        <w:tc>
          <w:tcPr>
            <w:tcW w:w="948" w:type="dxa"/>
            <w:vMerge w:val="restart"/>
          </w:tcPr>
          <w:p>
            <w:pPr>
              <w:pStyle w:val="TableParagraph"/>
              <w:spacing w:before="145"/>
              <w:ind w:left="131"/>
              <w:rPr>
                <w:sz w:val="16"/>
              </w:rPr>
            </w:pPr>
            <w:r>
              <w:rPr>
                <w:sz w:val="16"/>
              </w:rPr>
              <w:t>Temperate</w:t>
            </w:r>
          </w:p>
        </w:tc>
        <w:tc>
          <w:tcPr>
            <w:tcW w:w="739" w:type="dxa"/>
            <w:vMerge w:val="restart"/>
          </w:tcPr>
          <w:p>
            <w:pPr>
              <w:pStyle w:val="TableParagraph"/>
              <w:spacing w:before="145"/>
              <w:ind w:left="106" w:right="99"/>
              <w:jc w:val="center"/>
              <w:rPr>
                <w:sz w:val="16"/>
              </w:rPr>
            </w:pPr>
            <w:r>
              <w:rPr>
                <w:sz w:val="16"/>
              </w:rPr>
              <w:t>0.9</w:t>
            </w:r>
          </w:p>
        </w:tc>
        <w:tc>
          <w:tcPr>
            <w:tcW w:w="905" w:type="dxa"/>
          </w:tcPr>
          <w:p>
            <w:pPr>
              <w:pStyle w:val="TableParagraph"/>
              <w:spacing w:before="23"/>
              <w:ind w:left="30" w:right="18"/>
              <w:jc w:val="center"/>
              <w:rPr>
                <w:sz w:val="16"/>
              </w:rPr>
            </w:pPr>
            <w:r>
              <w:rPr>
                <w:sz w:val="16"/>
              </w:rPr>
              <w:t>Dry</w:t>
            </w:r>
          </w:p>
        </w:tc>
        <w:tc>
          <w:tcPr>
            <w:tcW w:w="972" w:type="dxa"/>
          </w:tcPr>
          <w:p>
            <w:pPr>
              <w:pStyle w:val="TableParagraph"/>
              <w:spacing w:before="23"/>
              <w:ind w:left="342"/>
              <w:rPr>
                <w:sz w:val="16"/>
              </w:rPr>
            </w:pPr>
            <w:r>
              <w:rPr>
                <w:sz w:val="16"/>
              </w:rPr>
              <w:t>0.92</w:t>
            </w:r>
          </w:p>
        </w:tc>
        <w:tc>
          <w:tcPr>
            <w:tcW w:w="823" w:type="dxa"/>
          </w:tcPr>
          <w:p>
            <w:pPr>
              <w:pStyle w:val="TableParagraph"/>
              <w:spacing w:before="23"/>
              <w:ind w:left="122" w:right="118"/>
              <w:jc w:val="center"/>
              <w:rPr>
                <w:sz w:val="16"/>
              </w:rPr>
            </w:pPr>
            <w:r>
              <w:rPr>
                <w:sz w:val="16"/>
                <w:u w:val="single"/>
              </w:rPr>
              <w:t>+</w:t>
            </w:r>
            <w:r>
              <w:rPr>
                <w:sz w:val="16"/>
              </w:rPr>
              <w:t> 4%</w:t>
            </w:r>
          </w:p>
        </w:tc>
        <w:tc>
          <w:tcPr>
            <w:tcW w:w="2973" w:type="dxa"/>
            <w:vMerge w:val="restart"/>
          </w:tcPr>
          <w:p>
            <w:pPr>
              <w:pStyle w:val="TableParagraph"/>
              <w:spacing w:before="54"/>
              <w:ind w:left="107" w:right="241"/>
              <w:rPr>
                <w:sz w:val="16"/>
              </w:rPr>
            </w:pPr>
            <w:r>
              <w:rPr>
                <w:sz w:val="16"/>
              </w:rPr>
              <w:t>Low residue return due to removal of residues (via collection or burning), frequent bare-fallowing or production of crops yielding low residues (e.g. vegetables, tobacco, cotton)</w:t>
            </w:r>
          </w:p>
        </w:tc>
      </w:tr>
      <w:tr>
        <w:trPr>
          <w:trHeight w:val="244"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23"/>
              <w:ind w:left="26" w:right="18"/>
              <w:jc w:val="center"/>
              <w:rPr>
                <w:sz w:val="16"/>
              </w:rPr>
            </w:pPr>
            <w:r>
              <w:rPr>
                <w:sz w:val="16"/>
              </w:rPr>
              <w:t>Wet</w:t>
            </w:r>
          </w:p>
        </w:tc>
        <w:tc>
          <w:tcPr>
            <w:tcW w:w="972" w:type="dxa"/>
          </w:tcPr>
          <w:p>
            <w:pPr>
              <w:pStyle w:val="TableParagraph"/>
              <w:spacing w:before="23"/>
              <w:ind w:left="342"/>
              <w:rPr>
                <w:sz w:val="16"/>
              </w:rPr>
            </w:pPr>
            <w:r>
              <w:rPr>
                <w:sz w:val="16"/>
              </w:rPr>
              <w:t>0.91</w:t>
            </w:r>
          </w:p>
        </w:tc>
        <w:tc>
          <w:tcPr>
            <w:tcW w:w="823" w:type="dxa"/>
          </w:tcPr>
          <w:p>
            <w:pPr>
              <w:pStyle w:val="TableParagraph"/>
              <w:spacing w:before="23"/>
              <w:ind w:left="122" w:right="118"/>
              <w:jc w:val="center"/>
              <w:rPr>
                <w:sz w:val="16"/>
              </w:rPr>
            </w:pPr>
            <w:r>
              <w:rPr>
                <w:sz w:val="16"/>
                <w:u w:val="single"/>
              </w:rPr>
              <w:t>+</w:t>
            </w:r>
            <w:r>
              <w:rPr>
                <w:sz w:val="16"/>
              </w:rPr>
              <w:t> 8%</w:t>
            </w:r>
          </w:p>
        </w:tc>
        <w:tc>
          <w:tcPr>
            <w:tcW w:w="2973" w:type="dxa"/>
            <w:vMerge/>
            <w:tcBorders>
              <w:top w:val="nil"/>
            </w:tcBorders>
          </w:tcPr>
          <w:p>
            <w:pPr>
              <w:rPr>
                <w:sz w:val="2"/>
                <w:szCs w:val="2"/>
              </w:rPr>
            </w:pPr>
          </w:p>
        </w:tc>
      </w:tr>
      <w:tr>
        <w:trPr>
          <w:trHeight w:val="244"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val="restart"/>
          </w:tcPr>
          <w:p>
            <w:pPr>
              <w:pStyle w:val="TableParagraph"/>
              <w:spacing w:before="145"/>
              <w:ind w:left="200"/>
              <w:rPr>
                <w:sz w:val="16"/>
              </w:rPr>
            </w:pPr>
            <w:r>
              <w:rPr>
                <w:sz w:val="16"/>
              </w:rPr>
              <w:t>Tropical</w:t>
            </w:r>
          </w:p>
        </w:tc>
        <w:tc>
          <w:tcPr>
            <w:tcW w:w="739" w:type="dxa"/>
            <w:vMerge w:val="restart"/>
          </w:tcPr>
          <w:p>
            <w:pPr>
              <w:pStyle w:val="TableParagraph"/>
              <w:spacing w:before="145"/>
              <w:ind w:left="106" w:right="99"/>
              <w:jc w:val="center"/>
              <w:rPr>
                <w:sz w:val="16"/>
              </w:rPr>
            </w:pPr>
            <w:r>
              <w:rPr>
                <w:sz w:val="16"/>
              </w:rPr>
              <w:t>0.8</w:t>
            </w:r>
          </w:p>
        </w:tc>
        <w:tc>
          <w:tcPr>
            <w:tcW w:w="905" w:type="dxa"/>
          </w:tcPr>
          <w:p>
            <w:pPr>
              <w:pStyle w:val="TableParagraph"/>
              <w:spacing w:before="23"/>
              <w:ind w:left="30" w:right="18"/>
              <w:jc w:val="center"/>
              <w:rPr>
                <w:sz w:val="16"/>
              </w:rPr>
            </w:pPr>
            <w:r>
              <w:rPr>
                <w:sz w:val="16"/>
              </w:rPr>
              <w:t>Dry</w:t>
            </w:r>
          </w:p>
        </w:tc>
        <w:tc>
          <w:tcPr>
            <w:tcW w:w="972" w:type="dxa"/>
          </w:tcPr>
          <w:p>
            <w:pPr>
              <w:pStyle w:val="TableParagraph"/>
              <w:spacing w:before="23"/>
              <w:ind w:left="342"/>
              <w:rPr>
                <w:sz w:val="16"/>
              </w:rPr>
            </w:pPr>
            <w:r>
              <w:rPr>
                <w:sz w:val="16"/>
              </w:rPr>
              <w:t>0.92</w:t>
            </w:r>
          </w:p>
        </w:tc>
        <w:tc>
          <w:tcPr>
            <w:tcW w:w="823" w:type="dxa"/>
          </w:tcPr>
          <w:p>
            <w:pPr>
              <w:pStyle w:val="TableParagraph"/>
              <w:spacing w:before="23"/>
              <w:ind w:left="122" w:right="118"/>
              <w:jc w:val="center"/>
              <w:rPr>
                <w:sz w:val="16"/>
              </w:rPr>
            </w:pPr>
            <w:r>
              <w:rPr>
                <w:sz w:val="16"/>
                <w:u w:val="single"/>
              </w:rPr>
              <w:t>+</w:t>
            </w:r>
            <w:r>
              <w:rPr>
                <w:sz w:val="16"/>
              </w:rPr>
              <w:t> 4%</w:t>
            </w:r>
          </w:p>
        </w:tc>
        <w:tc>
          <w:tcPr>
            <w:tcW w:w="2973" w:type="dxa"/>
            <w:vMerge/>
            <w:tcBorders>
              <w:top w:val="nil"/>
            </w:tcBorders>
          </w:tcPr>
          <w:p>
            <w:pPr>
              <w:rPr>
                <w:sz w:val="2"/>
                <w:szCs w:val="2"/>
              </w:rPr>
            </w:pPr>
          </w:p>
        </w:tc>
      </w:tr>
      <w:tr>
        <w:trPr>
          <w:trHeight w:val="244"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23"/>
              <w:ind w:left="26" w:right="18"/>
              <w:jc w:val="center"/>
              <w:rPr>
                <w:sz w:val="16"/>
              </w:rPr>
            </w:pPr>
            <w:r>
              <w:rPr>
                <w:sz w:val="16"/>
              </w:rPr>
              <w:t>Wet</w:t>
            </w:r>
          </w:p>
        </w:tc>
        <w:tc>
          <w:tcPr>
            <w:tcW w:w="972" w:type="dxa"/>
          </w:tcPr>
          <w:p>
            <w:pPr>
              <w:pStyle w:val="TableParagraph"/>
              <w:spacing w:before="23"/>
              <w:ind w:left="342"/>
              <w:rPr>
                <w:sz w:val="16"/>
              </w:rPr>
            </w:pPr>
            <w:r>
              <w:rPr>
                <w:sz w:val="16"/>
              </w:rPr>
              <w:t>0.91</w:t>
            </w:r>
          </w:p>
        </w:tc>
        <w:tc>
          <w:tcPr>
            <w:tcW w:w="823" w:type="dxa"/>
          </w:tcPr>
          <w:p>
            <w:pPr>
              <w:pStyle w:val="TableParagraph"/>
              <w:spacing w:before="23"/>
              <w:ind w:left="122" w:right="118"/>
              <w:jc w:val="center"/>
              <w:rPr>
                <w:sz w:val="16"/>
              </w:rPr>
            </w:pPr>
            <w:r>
              <w:rPr>
                <w:sz w:val="16"/>
                <w:u w:val="single"/>
              </w:rPr>
              <w:t>+</w:t>
            </w:r>
            <w:r>
              <w:rPr>
                <w:sz w:val="16"/>
              </w:rPr>
              <w:t> 4%</w:t>
            </w:r>
          </w:p>
        </w:tc>
        <w:tc>
          <w:tcPr>
            <w:tcW w:w="2973" w:type="dxa"/>
            <w:vMerge/>
            <w:tcBorders>
              <w:top w:val="nil"/>
            </w:tcBorders>
          </w:tcPr>
          <w:p>
            <w:pPr>
              <w:rPr>
                <w:sz w:val="2"/>
                <w:szCs w:val="2"/>
              </w:rPr>
            </w:pPr>
          </w:p>
        </w:tc>
      </w:tr>
      <w:tr>
        <w:trPr>
          <w:trHeight w:val="501" w:hRule="atLeast"/>
        </w:trPr>
        <w:tc>
          <w:tcPr>
            <w:tcW w:w="766" w:type="dxa"/>
            <w:vMerge w:val="restart"/>
          </w:tcPr>
          <w:p>
            <w:pPr>
              <w:pStyle w:val="TableParagraph"/>
              <w:spacing w:before="9"/>
              <w:rPr>
                <w:sz w:val="21"/>
              </w:rPr>
            </w:pPr>
          </w:p>
          <w:p>
            <w:pPr>
              <w:pStyle w:val="TableParagraph"/>
              <w:spacing w:line="396" w:lineRule="auto"/>
              <w:ind w:left="270" w:right="186" w:hanging="58"/>
              <w:rPr>
                <w:sz w:val="16"/>
              </w:rPr>
            </w:pPr>
            <w:r>
              <w:rPr>
                <w:sz w:val="16"/>
              </w:rPr>
              <w:t>Input </w:t>
            </w:r>
            <w:r>
              <w:rPr>
                <w:position w:val="2"/>
                <w:sz w:val="16"/>
              </w:rPr>
              <w:t>(F</w:t>
            </w:r>
            <w:r>
              <w:rPr>
                <w:sz w:val="10"/>
              </w:rPr>
              <w:t>I</w:t>
            </w:r>
            <w:r>
              <w:rPr>
                <w:position w:val="2"/>
                <w:sz w:val="16"/>
              </w:rPr>
              <w:t>)</w:t>
            </w:r>
          </w:p>
        </w:tc>
        <w:tc>
          <w:tcPr>
            <w:tcW w:w="888" w:type="dxa"/>
            <w:vMerge w:val="restart"/>
          </w:tcPr>
          <w:p>
            <w:pPr>
              <w:pStyle w:val="TableParagraph"/>
              <w:rPr>
                <w:sz w:val="18"/>
              </w:rPr>
            </w:pPr>
          </w:p>
          <w:p>
            <w:pPr>
              <w:pStyle w:val="TableParagraph"/>
              <w:spacing w:before="11"/>
              <w:rPr>
                <w:sz w:val="16"/>
              </w:rPr>
            </w:pPr>
          </w:p>
          <w:p>
            <w:pPr>
              <w:pStyle w:val="TableParagraph"/>
              <w:ind w:left="169"/>
              <w:rPr>
                <w:sz w:val="16"/>
              </w:rPr>
            </w:pPr>
            <w:r>
              <w:rPr>
                <w:sz w:val="16"/>
              </w:rPr>
              <w:t>Medium</w:t>
            </w:r>
          </w:p>
        </w:tc>
        <w:tc>
          <w:tcPr>
            <w:tcW w:w="948" w:type="dxa"/>
          </w:tcPr>
          <w:p>
            <w:pPr>
              <w:pStyle w:val="TableParagraph"/>
              <w:spacing w:before="153"/>
              <w:ind w:right="120"/>
              <w:jc w:val="right"/>
              <w:rPr>
                <w:sz w:val="16"/>
              </w:rPr>
            </w:pPr>
            <w:r>
              <w:rPr>
                <w:sz w:val="16"/>
              </w:rPr>
              <w:t>Temperate</w:t>
            </w:r>
          </w:p>
        </w:tc>
        <w:tc>
          <w:tcPr>
            <w:tcW w:w="739" w:type="dxa"/>
          </w:tcPr>
          <w:p>
            <w:pPr>
              <w:pStyle w:val="TableParagraph"/>
              <w:spacing w:before="153"/>
              <w:ind w:left="107" w:right="99"/>
              <w:jc w:val="center"/>
              <w:rPr>
                <w:sz w:val="16"/>
              </w:rPr>
            </w:pPr>
            <w:r>
              <w:rPr>
                <w:sz w:val="16"/>
              </w:rPr>
              <w:t>1.0</w:t>
            </w:r>
          </w:p>
        </w:tc>
        <w:tc>
          <w:tcPr>
            <w:tcW w:w="905" w:type="dxa"/>
          </w:tcPr>
          <w:p>
            <w:pPr>
              <w:pStyle w:val="TableParagraph"/>
              <w:spacing w:before="61"/>
              <w:ind w:left="318" w:right="165" w:hanging="128"/>
              <w:rPr>
                <w:sz w:val="16"/>
              </w:rPr>
            </w:pPr>
            <w:r>
              <w:rPr>
                <w:sz w:val="16"/>
              </w:rPr>
              <w:t>Dry and Wet</w:t>
            </w:r>
          </w:p>
        </w:tc>
        <w:tc>
          <w:tcPr>
            <w:tcW w:w="972" w:type="dxa"/>
          </w:tcPr>
          <w:p>
            <w:pPr>
              <w:pStyle w:val="TableParagraph"/>
              <w:spacing w:before="153"/>
              <w:ind w:left="383"/>
              <w:rPr>
                <w:sz w:val="16"/>
              </w:rPr>
            </w:pPr>
            <w:r>
              <w:rPr>
                <w:sz w:val="16"/>
              </w:rPr>
              <w:t>1.0</w:t>
            </w:r>
          </w:p>
        </w:tc>
        <w:tc>
          <w:tcPr>
            <w:tcW w:w="823" w:type="dxa"/>
          </w:tcPr>
          <w:p>
            <w:pPr>
              <w:pStyle w:val="TableParagraph"/>
              <w:spacing w:before="153"/>
              <w:ind w:left="124" w:right="117"/>
              <w:jc w:val="center"/>
              <w:rPr>
                <w:sz w:val="16"/>
              </w:rPr>
            </w:pPr>
            <w:r>
              <w:rPr>
                <w:sz w:val="16"/>
              </w:rPr>
              <w:t>NA</w:t>
            </w:r>
          </w:p>
        </w:tc>
        <w:tc>
          <w:tcPr>
            <w:tcW w:w="2973" w:type="dxa"/>
            <w:vMerge w:val="restart"/>
          </w:tcPr>
          <w:p>
            <w:pPr>
              <w:pStyle w:val="TableParagraph"/>
              <w:spacing w:before="54"/>
              <w:ind w:left="107" w:right="114"/>
              <w:rPr>
                <w:sz w:val="16"/>
              </w:rPr>
            </w:pPr>
            <w:r>
              <w:rPr>
                <w:sz w:val="16"/>
              </w:rPr>
              <w:t>Representative for annual cropping with cereals where all crop residues are returned to the field. </w:t>
            </w:r>
            <w:r>
              <w:rPr>
                <w:spacing w:val="-3"/>
                <w:sz w:val="16"/>
              </w:rPr>
              <w:t>If </w:t>
            </w:r>
            <w:r>
              <w:rPr>
                <w:sz w:val="16"/>
              </w:rPr>
              <w:t>residues are removed then supplemental organic matter (e.g. manure) is added.</w:t>
            </w:r>
          </w:p>
        </w:tc>
      </w:tr>
      <w:tr>
        <w:trPr>
          <w:trHeight w:val="498"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tcPr>
          <w:p>
            <w:pPr>
              <w:pStyle w:val="TableParagraph"/>
              <w:spacing w:before="153"/>
              <w:ind w:right="189"/>
              <w:jc w:val="right"/>
              <w:rPr>
                <w:sz w:val="16"/>
              </w:rPr>
            </w:pPr>
            <w:r>
              <w:rPr>
                <w:sz w:val="16"/>
              </w:rPr>
              <w:t>Tropical</w:t>
            </w:r>
          </w:p>
        </w:tc>
        <w:tc>
          <w:tcPr>
            <w:tcW w:w="739" w:type="dxa"/>
          </w:tcPr>
          <w:p>
            <w:pPr>
              <w:pStyle w:val="TableParagraph"/>
              <w:spacing w:before="153"/>
              <w:ind w:left="108" w:right="99"/>
              <w:jc w:val="center"/>
              <w:rPr>
                <w:sz w:val="16"/>
              </w:rPr>
            </w:pPr>
            <w:r>
              <w:rPr>
                <w:sz w:val="16"/>
              </w:rPr>
              <w:t>0.9</w:t>
            </w:r>
          </w:p>
        </w:tc>
        <w:tc>
          <w:tcPr>
            <w:tcW w:w="905" w:type="dxa"/>
          </w:tcPr>
          <w:p>
            <w:pPr>
              <w:pStyle w:val="TableParagraph"/>
              <w:spacing w:before="61"/>
              <w:ind w:left="318" w:right="165" w:hanging="128"/>
              <w:rPr>
                <w:sz w:val="16"/>
              </w:rPr>
            </w:pPr>
            <w:r>
              <w:rPr>
                <w:sz w:val="16"/>
              </w:rPr>
              <w:t>Dry and Wet</w:t>
            </w:r>
          </w:p>
        </w:tc>
        <w:tc>
          <w:tcPr>
            <w:tcW w:w="972" w:type="dxa"/>
          </w:tcPr>
          <w:p>
            <w:pPr>
              <w:pStyle w:val="TableParagraph"/>
              <w:spacing w:before="153"/>
              <w:ind w:left="383"/>
              <w:rPr>
                <w:sz w:val="16"/>
              </w:rPr>
            </w:pPr>
            <w:r>
              <w:rPr>
                <w:sz w:val="16"/>
              </w:rPr>
              <w:t>1.0</w:t>
            </w:r>
          </w:p>
        </w:tc>
        <w:tc>
          <w:tcPr>
            <w:tcW w:w="823" w:type="dxa"/>
          </w:tcPr>
          <w:p>
            <w:pPr>
              <w:pStyle w:val="TableParagraph"/>
              <w:spacing w:before="153"/>
              <w:ind w:left="124" w:right="117"/>
              <w:jc w:val="center"/>
              <w:rPr>
                <w:sz w:val="16"/>
              </w:rPr>
            </w:pPr>
            <w:r>
              <w:rPr>
                <w:sz w:val="16"/>
              </w:rPr>
              <w:t>NA</w:t>
            </w:r>
          </w:p>
        </w:tc>
        <w:tc>
          <w:tcPr>
            <w:tcW w:w="2973" w:type="dxa"/>
            <w:vMerge/>
            <w:tcBorders>
              <w:top w:val="nil"/>
            </w:tcBorders>
          </w:tcPr>
          <w:p>
            <w:pPr>
              <w:rPr>
                <w:sz w:val="2"/>
                <w:szCs w:val="2"/>
              </w:rPr>
            </w:pPr>
          </w:p>
        </w:tc>
      </w:tr>
      <w:tr>
        <w:trPr>
          <w:trHeight w:val="671" w:hRule="atLeast"/>
        </w:trPr>
        <w:tc>
          <w:tcPr>
            <w:tcW w:w="766" w:type="dxa"/>
            <w:vMerge w:val="restart"/>
          </w:tcPr>
          <w:p>
            <w:pPr>
              <w:pStyle w:val="TableParagraph"/>
              <w:rPr>
                <w:sz w:val="18"/>
              </w:rPr>
            </w:pPr>
          </w:p>
          <w:p>
            <w:pPr>
              <w:pStyle w:val="TableParagraph"/>
              <w:spacing w:before="7"/>
              <w:rPr>
                <w:sz w:val="18"/>
              </w:rPr>
            </w:pPr>
          </w:p>
          <w:p>
            <w:pPr>
              <w:pStyle w:val="TableParagraph"/>
              <w:spacing w:line="396" w:lineRule="auto"/>
              <w:ind w:left="270" w:right="186" w:hanging="58"/>
              <w:rPr>
                <w:sz w:val="16"/>
              </w:rPr>
            </w:pPr>
            <w:r>
              <w:rPr>
                <w:sz w:val="16"/>
              </w:rPr>
              <w:t>Input </w:t>
            </w:r>
            <w:r>
              <w:rPr>
                <w:position w:val="2"/>
                <w:sz w:val="16"/>
              </w:rPr>
              <w:t>(F</w:t>
            </w:r>
            <w:r>
              <w:rPr>
                <w:sz w:val="10"/>
              </w:rPr>
              <w:t>I</w:t>
            </w:r>
            <w:r>
              <w:rPr>
                <w:position w:val="2"/>
                <w:sz w:val="16"/>
              </w:rPr>
              <w:t>)</w:t>
            </w:r>
          </w:p>
        </w:tc>
        <w:tc>
          <w:tcPr>
            <w:tcW w:w="888" w:type="dxa"/>
            <w:vMerge w:val="restart"/>
          </w:tcPr>
          <w:p>
            <w:pPr>
              <w:pStyle w:val="TableParagraph"/>
              <w:rPr>
                <w:sz w:val="18"/>
              </w:rPr>
            </w:pPr>
          </w:p>
          <w:p>
            <w:pPr>
              <w:pStyle w:val="TableParagraph"/>
              <w:spacing w:before="8"/>
              <w:rPr>
                <w:sz w:val="15"/>
              </w:rPr>
            </w:pPr>
          </w:p>
          <w:p>
            <w:pPr>
              <w:pStyle w:val="TableParagraph"/>
              <w:ind w:left="203" w:right="169" w:firstLine="19"/>
              <w:jc w:val="both"/>
              <w:rPr>
                <w:sz w:val="16"/>
              </w:rPr>
            </w:pPr>
            <w:r>
              <w:rPr>
                <w:sz w:val="16"/>
              </w:rPr>
              <w:t>High – without manure</w:t>
            </w:r>
          </w:p>
        </w:tc>
        <w:tc>
          <w:tcPr>
            <w:tcW w:w="948" w:type="dxa"/>
            <w:vMerge w:val="restart"/>
          </w:tcPr>
          <w:p>
            <w:pPr>
              <w:pStyle w:val="TableParagraph"/>
              <w:rPr>
                <w:sz w:val="18"/>
              </w:rPr>
            </w:pPr>
          </w:p>
          <w:p>
            <w:pPr>
              <w:pStyle w:val="TableParagraph"/>
              <w:spacing w:before="8"/>
              <w:rPr>
                <w:sz w:val="15"/>
              </w:rPr>
            </w:pPr>
          </w:p>
          <w:p>
            <w:pPr>
              <w:pStyle w:val="TableParagraph"/>
              <w:ind w:left="131" w:right="120"/>
              <w:jc w:val="center"/>
              <w:rPr>
                <w:sz w:val="16"/>
              </w:rPr>
            </w:pPr>
            <w:r>
              <w:rPr>
                <w:sz w:val="16"/>
              </w:rPr>
              <w:t>Temperate and Tropical</w:t>
            </w:r>
          </w:p>
        </w:tc>
        <w:tc>
          <w:tcPr>
            <w:tcW w:w="739" w:type="dxa"/>
            <w:vMerge w:val="restart"/>
          </w:tcPr>
          <w:p>
            <w:pPr>
              <w:pStyle w:val="TableParagraph"/>
              <w:rPr>
                <w:sz w:val="18"/>
              </w:rPr>
            </w:pPr>
          </w:p>
          <w:p>
            <w:pPr>
              <w:pStyle w:val="TableParagraph"/>
              <w:rPr>
                <w:sz w:val="18"/>
              </w:rPr>
            </w:pPr>
          </w:p>
          <w:p>
            <w:pPr>
              <w:pStyle w:val="TableParagraph"/>
              <w:spacing w:before="159"/>
              <w:ind w:left="106" w:right="99"/>
              <w:jc w:val="center"/>
              <w:rPr>
                <w:sz w:val="16"/>
              </w:rPr>
            </w:pPr>
            <w:r>
              <w:rPr>
                <w:sz w:val="16"/>
              </w:rPr>
              <w:t>1.1</w:t>
            </w:r>
          </w:p>
        </w:tc>
        <w:tc>
          <w:tcPr>
            <w:tcW w:w="905" w:type="dxa"/>
          </w:tcPr>
          <w:p>
            <w:pPr>
              <w:pStyle w:val="TableParagraph"/>
              <w:spacing w:before="6"/>
              <w:rPr>
                <w:sz w:val="20"/>
              </w:rPr>
            </w:pPr>
          </w:p>
          <w:p>
            <w:pPr>
              <w:pStyle w:val="TableParagraph"/>
              <w:spacing w:before="1"/>
              <w:ind w:left="30" w:right="18"/>
              <w:jc w:val="center"/>
              <w:rPr>
                <w:sz w:val="16"/>
              </w:rPr>
            </w:pPr>
            <w:r>
              <w:rPr>
                <w:sz w:val="16"/>
              </w:rPr>
              <w:t>Dry</w:t>
            </w:r>
          </w:p>
        </w:tc>
        <w:tc>
          <w:tcPr>
            <w:tcW w:w="972" w:type="dxa"/>
          </w:tcPr>
          <w:p>
            <w:pPr>
              <w:pStyle w:val="TableParagraph"/>
              <w:spacing w:before="6"/>
              <w:rPr>
                <w:sz w:val="20"/>
              </w:rPr>
            </w:pPr>
          </w:p>
          <w:p>
            <w:pPr>
              <w:pStyle w:val="TableParagraph"/>
              <w:spacing w:before="1"/>
              <w:ind w:left="344"/>
              <w:rPr>
                <w:sz w:val="16"/>
              </w:rPr>
            </w:pPr>
            <w:r>
              <w:rPr>
                <w:sz w:val="16"/>
              </w:rPr>
              <w:t>1.07</w:t>
            </w:r>
          </w:p>
        </w:tc>
        <w:tc>
          <w:tcPr>
            <w:tcW w:w="823" w:type="dxa"/>
          </w:tcPr>
          <w:p>
            <w:pPr>
              <w:pStyle w:val="TableParagraph"/>
              <w:spacing w:before="6"/>
              <w:rPr>
                <w:sz w:val="20"/>
              </w:rPr>
            </w:pPr>
          </w:p>
          <w:p>
            <w:pPr>
              <w:pStyle w:val="TableParagraph"/>
              <w:spacing w:before="1"/>
              <w:ind w:left="120" w:right="118"/>
              <w:jc w:val="center"/>
              <w:rPr>
                <w:sz w:val="16"/>
              </w:rPr>
            </w:pPr>
            <w:r>
              <w:rPr>
                <w:sz w:val="16"/>
                <w:u w:val="single"/>
              </w:rPr>
              <w:t>+</w:t>
            </w:r>
            <w:r>
              <w:rPr>
                <w:sz w:val="16"/>
              </w:rPr>
              <w:t> 10%</w:t>
            </w:r>
          </w:p>
        </w:tc>
        <w:tc>
          <w:tcPr>
            <w:tcW w:w="2973" w:type="dxa"/>
            <w:vMerge w:val="restart"/>
          </w:tcPr>
          <w:p>
            <w:pPr>
              <w:pStyle w:val="TableParagraph"/>
              <w:spacing w:before="54"/>
              <w:ind w:left="107" w:right="125"/>
              <w:rPr>
                <w:sz w:val="16"/>
              </w:rPr>
            </w:pPr>
            <w:r>
              <w:rPr>
                <w:sz w:val="16"/>
              </w:rPr>
              <w:t>Represents significantly greater crop residue inputs due to production of high residue yielding crops, use of green manures, cover crops, improved vegetated fallows, frequent use of perennial grasses</w:t>
            </w:r>
          </w:p>
          <w:p>
            <w:pPr>
              <w:pStyle w:val="TableParagraph"/>
              <w:spacing w:line="182" w:lineRule="exact" w:before="6"/>
              <w:ind w:left="107" w:right="507"/>
              <w:rPr>
                <w:sz w:val="16"/>
              </w:rPr>
            </w:pPr>
            <w:r>
              <w:rPr>
                <w:sz w:val="16"/>
              </w:rPr>
              <w:t>in annual crop rotations, but without manure applied (see row below)</w:t>
            </w:r>
          </w:p>
        </w:tc>
      </w:tr>
      <w:tr>
        <w:trPr>
          <w:trHeight w:val="669"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6"/>
              <w:rPr>
                <w:sz w:val="20"/>
              </w:rPr>
            </w:pPr>
          </w:p>
          <w:p>
            <w:pPr>
              <w:pStyle w:val="TableParagraph"/>
              <w:spacing w:before="1"/>
              <w:ind w:left="26" w:right="18"/>
              <w:jc w:val="center"/>
              <w:rPr>
                <w:sz w:val="16"/>
              </w:rPr>
            </w:pPr>
            <w:r>
              <w:rPr>
                <w:sz w:val="16"/>
              </w:rPr>
              <w:t>Wet</w:t>
            </w:r>
          </w:p>
        </w:tc>
        <w:tc>
          <w:tcPr>
            <w:tcW w:w="972" w:type="dxa"/>
          </w:tcPr>
          <w:p>
            <w:pPr>
              <w:pStyle w:val="TableParagraph"/>
              <w:spacing w:before="6"/>
              <w:rPr>
                <w:sz w:val="20"/>
              </w:rPr>
            </w:pPr>
          </w:p>
          <w:p>
            <w:pPr>
              <w:pStyle w:val="TableParagraph"/>
              <w:spacing w:before="1"/>
              <w:ind w:left="345"/>
              <w:rPr>
                <w:sz w:val="16"/>
              </w:rPr>
            </w:pPr>
            <w:r>
              <w:rPr>
                <w:sz w:val="16"/>
              </w:rPr>
              <w:t>1.11</w:t>
            </w:r>
          </w:p>
        </w:tc>
        <w:tc>
          <w:tcPr>
            <w:tcW w:w="823" w:type="dxa"/>
          </w:tcPr>
          <w:p>
            <w:pPr>
              <w:pStyle w:val="TableParagraph"/>
              <w:spacing w:before="6"/>
              <w:rPr>
                <w:sz w:val="20"/>
              </w:rPr>
            </w:pPr>
          </w:p>
          <w:p>
            <w:pPr>
              <w:pStyle w:val="TableParagraph"/>
              <w:spacing w:before="1"/>
              <w:ind w:left="120" w:right="118"/>
              <w:jc w:val="center"/>
              <w:rPr>
                <w:sz w:val="16"/>
              </w:rPr>
            </w:pPr>
            <w:r>
              <w:rPr>
                <w:sz w:val="16"/>
                <w:u w:val="single"/>
              </w:rPr>
              <w:t>+</w:t>
            </w:r>
            <w:r>
              <w:rPr>
                <w:sz w:val="16"/>
              </w:rPr>
              <w:t> 10%</w:t>
            </w:r>
          </w:p>
        </w:tc>
        <w:tc>
          <w:tcPr>
            <w:tcW w:w="2973" w:type="dxa"/>
            <w:vMerge/>
            <w:tcBorders>
              <w:top w:val="nil"/>
            </w:tcBorders>
          </w:tcPr>
          <w:p>
            <w:pPr>
              <w:rPr>
                <w:sz w:val="2"/>
                <w:szCs w:val="2"/>
              </w:rPr>
            </w:pPr>
          </w:p>
        </w:tc>
      </w:tr>
      <w:tr>
        <w:trPr>
          <w:trHeight w:val="330" w:hRule="atLeast"/>
        </w:trPr>
        <w:tc>
          <w:tcPr>
            <w:tcW w:w="766" w:type="dxa"/>
            <w:vMerge w:val="restart"/>
          </w:tcPr>
          <w:p>
            <w:pPr>
              <w:pStyle w:val="TableParagraph"/>
              <w:spacing w:before="81"/>
              <w:ind w:left="194" w:right="183"/>
              <w:jc w:val="center"/>
              <w:rPr>
                <w:sz w:val="16"/>
              </w:rPr>
            </w:pPr>
            <w:r>
              <w:rPr>
                <w:sz w:val="16"/>
              </w:rPr>
              <w:t>Input</w:t>
            </w:r>
          </w:p>
          <w:p>
            <w:pPr>
              <w:pStyle w:val="TableParagraph"/>
              <w:spacing w:before="120"/>
              <w:ind w:left="194" w:right="182"/>
              <w:jc w:val="center"/>
              <w:rPr>
                <w:sz w:val="16"/>
              </w:rPr>
            </w:pPr>
            <w:r>
              <w:rPr>
                <w:position w:val="2"/>
                <w:sz w:val="16"/>
              </w:rPr>
              <w:t>(F</w:t>
            </w:r>
            <w:r>
              <w:rPr>
                <w:sz w:val="10"/>
              </w:rPr>
              <w:t>I</w:t>
            </w:r>
            <w:r>
              <w:rPr>
                <w:position w:val="2"/>
                <w:sz w:val="16"/>
              </w:rPr>
              <w:t>)</w:t>
            </w:r>
          </w:p>
        </w:tc>
        <w:tc>
          <w:tcPr>
            <w:tcW w:w="888" w:type="dxa"/>
            <w:vMerge w:val="restart"/>
          </w:tcPr>
          <w:p>
            <w:pPr>
              <w:pStyle w:val="TableParagraph"/>
              <w:spacing w:before="54"/>
              <w:ind w:left="203" w:right="191" w:hanging="3"/>
              <w:jc w:val="center"/>
              <w:rPr>
                <w:sz w:val="16"/>
              </w:rPr>
            </w:pPr>
            <w:r>
              <w:rPr>
                <w:sz w:val="16"/>
              </w:rPr>
              <w:t>High – with manure</w:t>
            </w:r>
          </w:p>
        </w:tc>
        <w:tc>
          <w:tcPr>
            <w:tcW w:w="948" w:type="dxa"/>
            <w:vMerge w:val="restart"/>
          </w:tcPr>
          <w:p>
            <w:pPr>
              <w:pStyle w:val="TableParagraph"/>
              <w:spacing w:before="54"/>
              <w:ind w:left="131" w:right="120"/>
              <w:jc w:val="center"/>
              <w:rPr>
                <w:sz w:val="16"/>
              </w:rPr>
            </w:pPr>
            <w:r>
              <w:rPr>
                <w:sz w:val="16"/>
              </w:rPr>
              <w:t>Temperate and Tropical</w:t>
            </w:r>
          </w:p>
        </w:tc>
        <w:tc>
          <w:tcPr>
            <w:tcW w:w="739" w:type="dxa"/>
            <w:vMerge w:val="restart"/>
          </w:tcPr>
          <w:p>
            <w:pPr>
              <w:pStyle w:val="TableParagraph"/>
              <w:spacing w:before="2"/>
              <w:rPr>
                <w:sz w:val="20"/>
              </w:rPr>
            </w:pPr>
          </w:p>
          <w:p>
            <w:pPr>
              <w:pStyle w:val="TableParagraph"/>
              <w:ind w:left="106" w:right="99"/>
              <w:jc w:val="center"/>
              <w:rPr>
                <w:sz w:val="16"/>
              </w:rPr>
            </w:pPr>
            <w:r>
              <w:rPr>
                <w:sz w:val="16"/>
              </w:rPr>
              <w:t>1.2</w:t>
            </w:r>
          </w:p>
        </w:tc>
        <w:tc>
          <w:tcPr>
            <w:tcW w:w="905" w:type="dxa"/>
          </w:tcPr>
          <w:p>
            <w:pPr>
              <w:pStyle w:val="TableParagraph"/>
              <w:spacing w:before="66"/>
              <w:ind w:left="30" w:right="18"/>
              <w:jc w:val="center"/>
              <w:rPr>
                <w:sz w:val="16"/>
              </w:rPr>
            </w:pPr>
            <w:r>
              <w:rPr>
                <w:sz w:val="16"/>
              </w:rPr>
              <w:t>Dry</w:t>
            </w:r>
          </w:p>
        </w:tc>
        <w:tc>
          <w:tcPr>
            <w:tcW w:w="972" w:type="dxa"/>
          </w:tcPr>
          <w:p>
            <w:pPr>
              <w:pStyle w:val="TableParagraph"/>
              <w:spacing w:before="66"/>
              <w:ind w:left="344"/>
              <w:rPr>
                <w:sz w:val="16"/>
              </w:rPr>
            </w:pPr>
            <w:r>
              <w:rPr>
                <w:sz w:val="16"/>
              </w:rPr>
              <w:t>1.34</w:t>
            </w:r>
          </w:p>
        </w:tc>
        <w:tc>
          <w:tcPr>
            <w:tcW w:w="823" w:type="dxa"/>
          </w:tcPr>
          <w:p>
            <w:pPr>
              <w:pStyle w:val="TableParagraph"/>
              <w:spacing w:before="66"/>
              <w:ind w:left="120" w:right="118"/>
              <w:jc w:val="center"/>
              <w:rPr>
                <w:sz w:val="16"/>
              </w:rPr>
            </w:pPr>
            <w:r>
              <w:rPr>
                <w:sz w:val="16"/>
                <w:u w:val="single"/>
              </w:rPr>
              <w:t>+</w:t>
            </w:r>
            <w:r>
              <w:rPr>
                <w:sz w:val="16"/>
              </w:rPr>
              <w:t> 12%</w:t>
            </w:r>
          </w:p>
        </w:tc>
        <w:tc>
          <w:tcPr>
            <w:tcW w:w="2973" w:type="dxa"/>
            <w:vMerge w:val="restart"/>
          </w:tcPr>
          <w:p>
            <w:pPr>
              <w:pStyle w:val="TableParagraph"/>
              <w:spacing w:before="54"/>
              <w:ind w:left="107" w:right="281"/>
              <w:rPr>
                <w:sz w:val="16"/>
              </w:rPr>
            </w:pPr>
            <w:r>
              <w:rPr>
                <w:sz w:val="16"/>
              </w:rPr>
              <w:t>Represents high input of crop residues together with regular addition of animal manure (see row above).</w:t>
            </w:r>
          </w:p>
        </w:tc>
      </w:tr>
      <w:tr>
        <w:trPr>
          <w:trHeight w:val="328" w:hRule="atLeast"/>
        </w:trPr>
        <w:tc>
          <w:tcPr>
            <w:tcW w:w="766" w:type="dxa"/>
            <w:vMerge/>
            <w:tcBorders>
              <w:top w:val="nil"/>
            </w:tcBorders>
          </w:tcPr>
          <w:p>
            <w:pPr>
              <w:rPr>
                <w:sz w:val="2"/>
                <w:szCs w:val="2"/>
              </w:rPr>
            </w:pPr>
          </w:p>
        </w:tc>
        <w:tc>
          <w:tcPr>
            <w:tcW w:w="888" w:type="dxa"/>
            <w:vMerge/>
            <w:tcBorders>
              <w:top w:val="nil"/>
            </w:tcBorders>
          </w:tcPr>
          <w:p>
            <w:pPr>
              <w:rPr>
                <w:sz w:val="2"/>
                <w:szCs w:val="2"/>
              </w:rPr>
            </w:pPr>
          </w:p>
        </w:tc>
        <w:tc>
          <w:tcPr>
            <w:tcW w:w="948" w:type="dxa"/>
            <w:vMerge/>
            <w:tcBorders>
              <w:top w:val="nil"/>
            </w:tcBorders>
          </w:tcPr>
          <w:p>
            <w:pPr>
              <w:rPr>
                <w:sz w:val="2"/>
                <w:szCs w:val="2"/>
              </w:rPr>
            </w:pPr>
          </w:p>
        </w:tc>
        <w:tc>
          <w:tcPr>
            <w:tcW w:w="739" w:type="dxa"/>
            <w:vMerge/>
            <w:tcBorders>
              <w:top w:val="nil"/>
            </w:tcBorders>
          </w:tcPr>
          <w:p>
            <w:pPr>
              <w:rPr>
                <w:sz w:val="2"/>
                <w:szCs w:val="2"/>
              </w:rPr>
            </w:pPr>
          </w:p>
        </w:tc>
        <w:tc>
          <w:tcPr>
            <w:tcW w:w="905" w:type="dxa"/>
          </w:tcPr>
          <w:p>
            <w:pPr>
              <w:pStyle w:val="TableParagraph"/>
              <w:spacing w:before="66"/>
              <w:ind w:left="26" w:right="18"/>
              <w:jc w:val="center"/>
              <w:rPr>
                <w:sz w:val="16"/>
              </w:rPr>
            </w:pPr>
            <w:r>
              <w:rPr>
                <w:sz w:val="16"/>
              </w:rPr>
              <w:t>Wet</w:t>
            </w:r>
          </w:p>
        </w:tc>
        <w:tc>
          <w:tcPr>
            <w:tcW w:w="972" w:type="dxa"/>
          </w:tcPr>
          <w:p>
            <w:pPr>
              <w:pStyle w:val="TableParagraph"/>
              <w:spacing w:before="66"/>
              <w:ind w:left="345"/>
              <w:rPr>
                <w:sz w:val="16"/>
              </w:rPr>
            </w:pPr>
            <w:r>
              <w:rPr>
                <w:sz w:val="16"/>
              </w:rPr>
              <w:t>1.38</w:t>
            </w:r>
          </w:p>
        </w:tc>
        <w:tc>
          <w:tcPr>
            <w:tcW w:w="823" w:type="dxa"/>
          </w:tcPr>
          <w:p>
            <w:pPr>
              <w:pStyle w:val="TableParagraph"/>
              <w:spacing w:before="66"/>
              <w:ind w:left="122" w:right="118"/>
              <w:jc w:val="center"/>
              <w:rPr>
                <w:sz w:val="16"/>
              </w:rPr>
            </w:pPr>
            <w:r>
              <w:rPr>
                <w:sz w:val="16"/>
                <w:u w:val="single"/>
              </w:rPr>
              <w:t>+</w:t>
            </w:r>
            <w:r>
              <w:rPr>
                <w:sz w:val="16"/>
              </w:rPr>
              <w:t> 8%</w:t>
            </w:r>
          </w:p>
        </w:tc>
        <w:tc>
          <w:tcPr>
            <w:tcW w:w="2973" w:type="dxa"/>
            <w:vMerge/>
            <w:tcBorders>
              <w:top w:val="nil"/>
            </w:tcBorders>
          </w:tcPr>
          <w:p>
            <w:pPr>
              <w:rPr>
                <w:sz w:val="2"/>
                <w:szCs w:val="2"/>
              </w:rPr>
            </w:pPr>
          </w:p>
        </w:tc>
      </w:tr>
      <w:tr>
        <w:trPr>
          <w:trHeight w:val="2469" w:hRule="atLeast"/>
        </w:trPr>
        <w:tc>
          <w:tcPr>
            <w:tcW w:w="9014" w:type="dxa"/>
            <w:gridSpan w:val="8"/>
          </w:tcPr>
          <w:p>
            <w:pPr>
              <w:pStyle w:val="TableParagraph"/>
              <w:spacing w:before="21"/>
              <w:ind w:left="210" w:right="149" w:hanging="104"/>
              <w:rPr>
                <w:sz w:val="16"/>
              </w:rPr>
            </w:pPr>
            <w:r>
              <w:rPr>
                <w:position w:val="7"/>
                <w:sz w:val="10"/>
              </w:rPr>
              <w:t>1 </w:t>
            </w:r>
            <w:r>
              <w:rPr>
                <w:sz w:val="16"/>
              </w:rPr>
              <w:t>Where data were sufficient, separate values were determined for temperate and tropical temperature regimes and dry and wet moisture regimes. Temperate and tropical zones correspond to those defined in the Chapter 3 introduction (3.1); wet moisture regime corresponds to the combined moist and wet zones in the tropics and wet zone temperate region (see Figure 3.1.3); dry zone is the same as defined Figure 3.1.3.</w:t>
            </w:r>
          </w:p>
          <w:p>
            <w:pPr>
              <w:pStyle w:val="TableParagraph"/>
              <w:spacing w:before="88"/>
              <w:ind w:left="210" w:right="255" w:hanging="104"/>
              <w:rPr>
                <w:sz w:val="16"/>
              </w:rPr>
            </w:pPr>
            <w:r>
              <w:rPr>
                <w:position w:val="7"/>
                <w:sz w:val="10"/>
              </w:rPr>
              <w:t>2 </w:t>
            </w:r>
            <w:r>
              <w:rPr>
                <w:sz w:val="16"/>
                <w:u w:val="single"/>
              </w:rPr>
              <w:t>+</w:t>
            </w:r>
            <w:r>
              <w:rPr>
                <w:sz w:val="16"/>
              </w:rPr>
              <w:t> two standard deviations, expressed as a percent of the mean; where sufficient studies were not available for a statistical analysis a default, based on expert judgement, of </w:t>
            </w:r>
            <w:r>
              <w:rPr>
                <w:sz w:val="16"/>
                <w:u w:val="single"/>
              </w:rPr>
              <w:t>+</w:t>
            </w:r>
            <w:r>
              <w:rPr>
                <w:sz w:val="16"/>
              </w:rPr>
              <w:t> 50% is used. NA denotes ‘Not Applicable’, where factor values constitute defined reference values.</w:t>
            </w:r>
          </w:p>
          <w:p>
            <w:pPr>
              <w:pStyle w:val="TableParagraph"/>
              <w:spacing w:before="84"/>
              <w:ind w:left="210" w:right="210" w:hanging="104"/>
              <w:rPr>
                <w:sz w:val="16"/>
              </w:rPr>
            </w:pPr>
            <w:r>
              <w:rPr>
                <w:position w:val="7"/>
                <w:sz w:val="10"/>
              </w:rPr>
              <w:t>3 </w:t>
            </w:r>
            <w:r>
              <w:rPr>
                <w:sz w:val="16"/>
              </w:rPr>
              <w:t>This error range does not include potential systematic error due to small sample sizes that may not be representative of the true impact for all regions of the world.</w:t>
            </w:r>
          </w:p>
          <w:p>
            <w:pPr>
              <w:pStyle w:val="TableParagraph"/>
              <w:spacing w:line="247" w:lineRule="auto" w:before="96"/>
              <w:ind w:left="210" w:right="133" w:hanging="104"/>
              <w:rPr>
                <w:sz w:val="16"/>
              </w:rPr>
            </w:pPr>
            <w:r>
              <w:rPr>
                <w:position w:val="8"/>
                <w:sz w:val="12"/>
              </w:rPr>
              <w:t>4 </w:t>
            </w:r>
            <w:r>
              <w:rPr>
                <w:sz w:val="16"/>
              </w:rPr>
              <w:t>The second value applies to the Aquic soil class as defined in the </w:t>
            </w:r>
            <w:r>
              <w:rPr>
                <w:i/>
                <w:sz w:val="16"/>
              </w:rPr>
              <w:t>IPCC Guidelines</w:t>
            </w:r>
            <w:r>
              <w:rPr>
                <w:sz w:val="16"/>
              </w:rPr>
              <w:t>. No significant differences were found for different soil types in the updated estimates produced here for the </w:t>
            </w:r>
            <w:r>
              <w:rPr>
                <w:i/>
                <w:sz w:val="16"/>
              </w:rPr>
              <w:t>Good Practice Guidance</w:t>
            </w:r>
            <w:r>
              <w:rPr>
                <w:sz w:val="16"/>
              </w:rPr>
              <w:t>.</w:t>
            </w:r>
          </w:p>
        </w:tc>
      </w:tr>
    </w:tbl>
    <w:p>
      <w:pPr>
        <w:spacing w:after="0" w:line="247" w:lineRule="auto"/>
        <w:rPr>
          <w:sz w:val="16"/>
        </w:rPr>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1"/>
        <w:jc w:val="both"/>
      </w:pPr>
      <w:r>
        <w:rPr>
          <w:b/>
        </w:rPr>
        <w:t>Tier 1: </w:t>
      </w:r>
      <w:r>
        <w:rPr/>
        <w:t>For Tier 1, default reference carbon stocks and stock change factors are used (as shown in Equation 3.3.3) for major cropland systems in a country, stratified by the default climate and soil types (Equation 3.3.4). For the aggregate area of cropland remaining cropland, stock changes can be calculated either by tracking management changes and calculating stock changes on individual parcels of land (Equation 3.3.4B) or by calculating aggregate soil carbon stocks at the start and end of the inventory period from more general data on the area distribution of cropland systems (Equation 3.3.4A). Aggregate results will be the same with either approach, the main difference being that attribution of the effects of specific changes in management require activity data that tracks management changes on specific areas of land. Default values for this calculation are described in Section</w:t>
      </w:r>
      <w:r>
        <w:rPr>
          <w:spacing w:val="-2"/>
        </w:rPr>
        <w:t> </w:t>
      </w:r>
      <w:r>
        <w:rPr/>
        <w:t>3.3.1.2.1.2.</w:t>
      </w:r>
    </w:p>
    <w:p>
      <w:pPr>
        <w:pStyle w:val="BodyText"/>
        <w:rPr>
          <w:sz w:val="11"/>
        </w:rPr>
      </w:pPr>
      <w:r>
        <w:rPr/>
        <w:pict>
          <v:shape style="position:absolute;margin-left:91.960999pt;margin-top:9.065644pt;width:411.5pt;height:73pt;mso-position-horizontal-relative:page;mso-position-vertical-relative:paragraph;z-index:7736;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E</w:t>
                  </w:r>
                  <w:r>
                    <w:rPr>
                      <w:b/>
                      <w:sz w:val="16"/>
                    </w:rPr>
                    <w:t>QUATION </w:t>
                  </w:r>
                  <w:r>
                    <w:rPr>
                      <w:b/>
                      <w:sz w:val="20"/>
                    </w:rPr>
                    <w:t>3.3.4</w:t>
                  </w:r>
                </w:p>
                <w:p>
                  <w:pPr>
                    <w:spacing w:before="0"/>
                    <w:ind w:left="68" w:right="68" w:firstLine="0"/>
                    <w:jc w:val="center"/>
                    <w:rPr>
                      <w:b/>
                      <w:sz w:val="16"/>
                    </w:rPr>
                  </w:pPr>
                  <w:r>
                    <w:rPr>
                      <w:b/>
                      <w:sz w:val="20"/>
                    </w:rPr>
                    <w:t>A</w:t>
                  </w:r>
                  <w:r>
                    <w:rPr>
                      <w:b/>
                      <w:sz w:val="16"/>
                    </w:rPr>
                    <w:t>NNUAL CHANGE IN CARBON STOCKS IN MINERAL SOILS IN CROPLAND REMAINING CROPLAND</w:t>
                  </w:r>
                </w:p>
                <w:p>
                  <w:pPr>
                    <w:tabs>
                      <w:tab w:pos="6639" w:val="left" w:leader="none"/>
                    </w:tabs>
                    <w:spacing w:before="88"/>
                    <w:ind w:left="0" w:right="0" w:firstLine="0"/>
                    <w:jc w:val="center"/>
                    <w:rPr>
                      <w:sz w:val="20"/>
                    </w:rPr>
                  </w:pPr>
                  <w:r>
                    <w:rPr>
                      <w:sz w:val="20"/>
                    </w:rPr>
                    <w:t>∆C</w:t>
                  </w:r>
                  <w:r>
                    <w:rPr>
                      <w:sz w:val="20"/>
                      <w:vertAlign w:val="subscript"/>
                    </w:rPr>
                    <w:t>CC</w:t>
                  </w:r>
                  <w:r>
                    <w:rPr>
                      <w:position w:val="-8"/>
                      <w:sz w:val="13"/>
                      <w:vertAlign w:val="baseline"/>
                    </w:rPr>
                    <w:t>Mineral </w:t>
                  </w:r>
                  <w:r>
                    <w:rPr>
                      <w:sz w:val="20"/>
                      <w:vertAlign w:val="baseline"/>
                    </w:rPr>
                    <w:t>= </w:t>
                  </w:r>
                  <w:r>
                    <w:rPr>
                      <w:rFonts w:ascii="Arial" w:hAnsi="Arial"/>
                      <w:sz w:val="20"/>
                      <w:vertAlign w:val="baseline"/>
                    </w:rPr>
                    <w:t>∑</w:t>
                  </w:r>
                  <w:r>
                    <w:rPr>
                      <w:i/>
                      <w:sz w:val="20"/>
                      <w:vertAlign w:val="subscript"/>
                    </w:rPr>
                    <w:t>c</w:t>
                  </w:r>
                  <w:r>
                    <w:rPr>
                      <w:rFonts w:ascii="Arial" w:hAnsi="Arial"/>
                      <w:sz w:val="20"/>
                      <w:vertAlign w:val="baseline"/>
                    </w:rPr>
                    <w:t>∑</w:t>
                  </w:r>
                  <w:r>
                    <w:rPr>
                      <w:i/>
                      <w:sz w:val="20"/>
                      <w:vertAlign w:val="subscript"/>
                    </w:rPr>
                    <w:t>s</w:t>
                  </w:r>
                  <w:r>
                    <w:rPr>
                      <w:rFonts w:ascii="Arial" w:hAnsi="Arial"/>
                      <w:sz w:val="20"/>
                      <w:vertAlign w:val="baseline"/>
                    </w:rPr>
                    <w:t>∑</w:t>
                  </w:r>
                  <w:r>
                    <w:rPr>
                      <w:i/>
                      <w:sz w:val="20"/>
                      <w:vertAlign w:val="subscript"/>
                    </w:rPr>
                    <w:t>i</w:t>
                  </w:r>
                  <w:r>
                    <w:rPr>
                      <w:i/>
                      <w:sz w:val="20"/>
                      <w:vertAlign w:val="baseline"/>
                    </w:rPr>
                    <w:t> </w:t>
                  </w:r>
                  <w:r>
                    <w:rPr>
                      <w:sz w:val="20"/>
                      <w:vertAlign w:val="baseline"/>
                    </w:rPr>
                    <w:t>[(SOC</w:t>
                  </w:r>
                  <w:r>
                    <w:rPr>
                      <w:sz w:val="20"/>
                      <w:vertAlign w:val="subscript"/>
                    </w:rPr>
                    <w:t>0</w:t>
                  </w:r>
                  <w:r>
                    <w:rPr>
                      <w:sz w:val="20"/>
                      <w:vertAlign w:val="baseline"/>
                    </w:rPr>
                    <w:t> – SOC</w:t>
                  </w:r>
                  <w:r>
                    <w:rPr>
                      <w:sz w:val="20"/>
                      <w:vertAlign w:val="subscript"/>
                    </w:rPr>
                    <w:t>(0-T)</w:t>
                  </w:r>
                  <w:r>
                    <w:rPr>
                      <w:sz w:val="20"/>
                      <w:vertAlign w:val="baseline"/>
                    </w:rPr>
                    <w:t>) ● A ] </w:t>
                  </w:r>
                  <w:r>
                    <w:rPr>
                      <w:i/>
                      <w:sz w:val="20"/>
                      <w:vertAlign w:val="subscript"/>
                    </w:rPr>
                    <w:t>c,s,i</w:t>
                  </w:r>
                  <w:r>
                    <w:rPr>
                      <w:i/>
                      <w:spacing w:val="-16"/>
                      <w:sz w:val="20"/>
                      <w:vertAlign w:val="baseline"/>
                    </w:rPr>
                    <w:t> </w:t>
                  </w:r>
                  <w:r>
                    <w:rPr>
                      <w:sz w:val="20"/>
                      <w:vertAlign w:val="baseline"/>
                    </w:rPr>
                    <w:t>/ T</w:t>
                    <w:tab/>
                    <w:t>(A)</w:t>
                  </w:r>
                </w:p>
                <w:p>
                  <w:pPr>
                    <w:tabs>
                      <w:tab w:pos="6639" w:val="left" w:leader="none"/>
                    </w:tabs>
                    <w:spacing w:before="81"/>
                    <w:ind w:left="0" w:right="0" w:firstLine="0"/>
                    <w:jc w:val="center"/>
                    <w:rPr>
                      <w:sz w:val="20"/>
                    </w:rPr>
                  </w:pPr>
                  <w:r>
                    <w:rPr>
                      <w:sz w:val="20"/>
                    </w:rPr>
                    <w:t>∆C</w:t>
                  </w:r>
                  <w:r>
                    <w:rPr>
                      <w:sz w:val="20"/>
                      <w:vertAlign w:val="subscript"/>
                    </w:rPr>
                    <w:t>CC</w:t>
                  </w:r>
                  <w:r>
                    <w:rPr>
                      <w:position w:val="-8"/>
                      <w:sz w:val="13"/>
                      <w:vertAlign w:val="baseline"/>
                    </w:rPr>
                    <w:t>Mineral </w:t>
                  </w:r>
                  <w:r>
                    <w:rPr>
                      <w:sz w:val="20"/>
                      <w:vertAlign w:val="baseline"/>
                    </w:rPr>
                    <w:t>= [</w:t>
                  </w:r>
                  <w:r>
                    <w:rPr>
                      <w:rFonts w:ascii="Arial" w:hAnsi="Arial"/>
                      <w:sz w:val="20"/>
                      <w:vertAlign w:val="baseline"/>
                    </w:rPr>
                    <w:t>∑</w:t>
                  </w:r>
                  <w:r>
                    <w:rPr>
                      <w:i/>
                      <w:sz w:val="20"/>
                      <w:vertAlign w:val="subscript"/>
                    </w:rPr>
                    <w:t>c</w:t>
                  </w:r>
                  <w:r>
                    <w:rPr>
                      <w:rFonts w:ascii="Arial" w:hAnsi="Arial"/>
                      <w:sz w:val="20"/>
                      <w:vertAlign w:val="baseline"/>
                    </w:rPr>
                    <w:t>∑</w:t>
                  </w:r>
                  <w:r>
                    <w:rPr>
                      <w:i/>
                      <w:sz w:val="20"/>
                      <w:vertAlign w:val="subscript"/>
                    </w:rPr>
                    <w:t>s</w:t>
                  </w:r>
                  <w:r>
                    <w:rPr>
                      <w:rFonts w:ascii="Arial" w:hAnsi="Arial"/>
                      <w:sz w:val="20"/>
                      <w:vertAlign w:val="baseline"/>
                    </w:rPr>
                    <w:t>∑</w:t>
                  </w:r>
                  <w:r>
                    <w:rPr>
                      <w:i/>
                      <w:sz w:val="20"/>
                      <w:vertAlign w:val="subscript"/>
                    </w:rPr>
                    <w:t>i</w:t>
                  </w:r>
                  <w:r>
                    <w:rPr>
                      <w:i/>
                      <w:spacing w:val="-17"/>
                      <w:sz w:val="20"/>
                      <w:vertAlign w:val="baseline"/>
                    </w:rPr>
                    <w:t> </w:t>
                  </w:r>
                  <w:r>
                    <w:rPr>
                      <w:sz w:val="20"/>
                      <w:vertAlign w:val="baseline"/>
                    </w:rPr>
                    <w:t>(SOC</w:t>
                  </w:r>
                  <w:r>
                    <w:rPr>
                      <w:sz w:val="20"/>
                      <w:vertAlign w:val="subscript"/>
                    </w:rPr>
                    <w:t>0</w:t>
                  </w:r>
                  <w:r>
                    <w:rPr>
                      <w:spacing w:val="1"/>
                      <w:sz w:val="20"/>
                      <w:vertAlign w:val="baseline"/>
                    </w:rPr>
                    <w:t> </w:t>
                  </w:r>
                  <w:r>
                    <w:rPr>
                      <w:sz w:val="20"/>
                      <w:vertAlign w:val="baseline"/>
                    </w:rPr>
                    <w:t>● A)</w:t>
                  </w:r>
                  <w:r>
                    <w:rPr>
                      <w:spacing w:val="-16"/>
                      <w:sz w:val="20"/>
                      <w:vertAlign w:val="baseline"/>
                    </w:rPr>
                    <w:t> </w:t>
                  </w:r>
                  <w:r>
                    <w:rPr>
                      <w:i/>
                      <w:sz w:val="20"/>
                      <w:vertAlign w:val="subscript"/>
                    </w:rPr>
                    <w:t>c,s,i</w:t>
                  </w:r>
                  <w:r>
                    <w:rPr>
                      <w:i/>
                      <w:sz w:val="20"/>
                      <w:vertAlign w:val="baseline"/>
                    </w:rPr>
                    <w:t> </w:t>
                  </w:r>
                  <w:r>
                    <w:rPr>
                      <w:sz w:val="20"/>
                      <w:vertAlign w:val="baseline"/>
                    </w:rPr>
                    <w:t>– </w:t>
                  </w:r>
                  <w:r>
                    <w:rPr>
                      <w:rFonts w:ascii="Arial" w:hAnsi="Arial"/>
                      <w:sz w:val="20"/>
                      <w:vertAlign w:val="baseline"/>
                    </w:rPr>
                    <w:t>∑</w:t>
                  </w:r>
                  <w:r>
                    <w:rPr>
                      <w:i/>
                      <w:sz w:val="20"/>
                      <w:vertAlign w:val="subscript"/>
                    </w:rPr>
                    <w:t>c</w:t>
                  </w:r>
                  <w:r>
                    <w:rPr>
                      <w:rFonts w:ascii="Arial" w:hAnsi="Arial"/>
                      <w:sz w:val="20"/>
                      <w:vertAlign w:val="baseline"/>
                    </w:rPr>
                    <w:t>∑</w:t>
                  </w:r>
                  <w:r>
                    <w:rPr>
                      <w:i/>
                      <w:sz w:val="20"/>
                      <w:vertAlign w:val="subscript"/>
                    </w:rPr>
                    <w:t>s</w:t>
                  </w:r>
                  <w:r>
                    <w:rPr>
                      <w:rFonts w:ascii="Arial" w:hAnsi="Arial"/>
                      <w:sz w:val="20"/>
                      <w:vertAlign w:val="baseline"/>
                    </w:rPr>
                    <w:t>∑</w:t>
                  </w:r>
                  <w:r>
                    <w:rPr>
                      <w:i/>
                      <w:sz w:val="20"/>
                      <w:vertAlign w:val="subscript"/>
                    </w:rPr>
                    <w:t>i</w:t>
                  </w:r>
                  <w:r>
                    <w:rPr>
                      <w:i/>
                      <w:spacing w:val="-17"/>
                      <w:sz w:val="20"/>
                      <w:vertAlign w:val="baseline"/>
                    </w:rPr>
                    <w:t> </w:t>
                  </w:r>
                  <w:r>
                    <w:rPr>
                      <w:sz w:val="20"/>
                      <w:vertAlign w:val="baseline"/>
                    </w:rPr>
                    <w:t>(SOC</w:t>
                  </w:r>
                  <w:r>
                    <w:rPr>
                      <w:sz w:val="20"/>
                      <w:vertAlign w:val="subscript"/>
                    </w:rPr>
                    <w:t>(0-T)</w:t>
                  </w:r>
                  <w:r>
                    <w:rPr>
                      <w:sz w:val="20"/>
                      <w:vertAlign w:val="baseline"/>
                    </w:rPr>
                    <w:t> ●</w:t>
                  </w:r>
                  <w:r>
                    <w:rPr>
                      <w:spacing w:val="1"/>
                      <w:sz w:val="20"/>
                      <w:vertAlign w:val="baseline"/>
                    </w:rPr>
                    <w:t> </w:t>
                  </w:r>
                  <w:r>
                    <w:rPr>
                      <w:sz w:val="20"/>
                      <w:vertAlign w:val="baseline"/>
                    </w:rPr>
                    <w:t>A)</w:t>
                  </w:r>
                  <w:r>
                    <w:rPr>
                      <w:spacing w:val="-14"/>
                      <w:sz w:val="20"/>
                      <w:vertAlign w:val="baseline"/>
                    </w:rPr>
                    <w:t> </w:t>
                  </w:r>
                  <w:r>
                    <w:rPr>
                      <w:i/>
                      <w:sz w:val="20"/>
                      <w:vertAlign w:val="subscript"/>
                    </w:rPr>
                    <w:t>c,s,i</w:t>
                  </w:r>
                  <w:r>
                    <w:rPr>
                      <w:i/>
                      <w:sz w:val="20"/>
                      <w:vertAlign w:val="baseline"/>
                    </w:rPr>
                    <w:t> </w:t>
                  </w:r>
                  <w:r>
                    <w:rPr>
                      <w:sz w:val="20"/>
                      <w:vertAlign w:val="baseline"/>
                    </w:rPr>
                    <w:t>] /</w:t>
                  </w:r>
                  <w:r>
                    <w:rPr>
                      <w:spacing w:val="-2"/>
                      <w:sz w:val="20"/>
                      <w:vertAlign w:val="baseline"/>
                    </w:rPr>
                    <w:t> </w:t>
                  </w:r>
                  <w:r>
                    <w:rPr>
                      <w:sz w:val="20"/>
                      <w:vertAlign w:val="baseline"/>
                    </w:rPr>
                    <w:t>T</w:t>
                    <w:tab/>
                    <w:t>(B)</w:t>
                  </w:r>
                </w:p>
              </w:txbxContent>
            </v:textbox>
            <v:stroke dashstyle="solid"/>
            <w10:wrap type="topAndBottom"/>
          </v:shape>
        </w:pict>
      </w:r>
    </w:p>
    <w:p>
      <w:pPr>
        <w:pStyle w:val="BodyText"/>
        <w:spacing w:before="4"/>
        <w:ind w:left="219"/>
      </w:pPr>
      <w:r>
        <w:rPr/>
        <w:t>Where:</w:t>
      </w:r>
    </w:p>
    <w:p>
      <w:pPr>
        <w:pStyle w:val="BodyText"/>
        <w:tabs>
          <w:tab w:pos="1656" w:val="left" w:leader="none"/>
        </w:tabs>
        <w:spacing w:line="193" w:lineRule="exact" w:before="121"/>
        <w:ind w:left="785"/>
      </w:pPr>
      <w:r>
        <w:rPr/>
        <w:pict>
          <v:shape style="position:absolute;margin-left:112.000603pt;margin-top:11.171892pt;width:8.65pt;height:7.2pt;mso-position-horizontal-relative:page;mso-position-vertical-relative:paragraph;z-index:-2446336" type="#_x0000_t202" filled="false" stroked="false">
            <v:textbox inset="0,0,0,0">
              <w:txbxContent>
                <w:p>
                  <w:pPr>
                    <w:spacing w:line="144" w:lineRule="exact" w:before="0"/>
                    <w:ind w:left="0" w:right="0" w:firstLine="0"/>
                    <w:jc w:val="left"/>
                    <w:rPr>
                      <w:sz w:val="13"/>
                    </w:rPr>
                  </w:pPr>
                  <w:r>
                    <w:rPr>
                      <w:spacing w:val="-1"/>
                      <w:sz w:val="13"/>
                    </w:rPr>
                    <w:t>CC</w:t>
                  </w:r>
                </w:p>
              </w:txbxContent>
            </v:textbox>
            <w10:wrap type="none"/>
          </v:shape>
        </w:pict>
      </w:r>
      <w:r>
        <w:rPr/>
        <w:t>∆C</w:t>
        <w:tab/>
        <w:t>= annual change in carbon stocks in mineral soils, tonnes C yr</w:t>
      </w:r>
      <w:r>
        <w:rPr>
          <w:vertAlign w:val="superscript"/>
        </w:rPr>
        <w:t>-1</w:t>
      </w:r>
    </w:p>
    <w:p>
      <w:pPr>
        <w:spacing w:line="113" w:lineRule="exact" w:before="0"/>
        <w:ind w:left="1212" w:right="0" w:firstLine="0"/>
        <w:jc w:val="left"/>
        <w:rPr>
          <w:sz w:val="13"/>
        </w:rPr>
      </w:pPr>
      <w:r>
        <w:rPr>
          <w:sz w:val="13"/>
        </w:rPr>
        <w:t>Mineral</w:t>
      </w:r>
    </w:p>
    <w:p>
      <w:pPr>
        <w:pStyle w:val="BodyText"/>
        <w:spacing w:before="102"/>
        <w:ind w:left="785"/>
      </w:pPr>
      <w:r>
        <w:rPr/>
        <w:t>SOC</w:t>
      </w:r>
      <w:r>
        <w:rPr>
          <w:vertAlign w:val="subscript"/>
        </w:rPr>
        <w:t>0</w:t>
      </w:r>
      <w:r>
        <w:rPr>
          <w:vertAlign w:val="baseline"/>
        </w:rPr>
        <w:t> = soil organic carbon stock in the inventory year, tonnes C ha</w:t>
      </w:r>
      <w:r>
        <w:rPr>
          <w:vertAlign w:val="superscript"/>
        </w:rPr>
        <w:t>-1</w:t>
      </w:r>
    </w:p>
    <w:p>
      <w:pPr>
        <w:pStyle w:val="BodyText"/>
        <w:spacing w:line="364" w:lineRule="auto" w:before="120"/>
        <w:ind w:left="785" w:right="2322"/>
      </w:pPr>
      <w:r>
        <w:rPr/>
        <w:t>SOC</w:t>
      </w:r>
      <w:r>
        <w:rPr>
          <w:vertAlign w:val="subscript"/>
        </w:rPr>
        <w:t>(0-T)</w:t>
      </w:r>
      <w:r>
        <w:rPr>
          <w:vertAlign w:val="baseline"/>
        </w:rPr>
        <w:t> = soil organic carbon stock T years prior to the inventory, tonnes C ha</w:t>
      </w:r>
      <w:r>
        <w:rPr>
          <w:vertAlign w:val="superscript"/>
        </w:rPr>
        <w:t>-1</w:t>
      </w:r>
      <w:r>
        <w:rPr>
          <w:vertAlign w:val="baseline"/>
        </w:rPr>
        <w:t> T = inventory time period, yr (default is 20 yr)</w:t>
      </w:r>
    </w:p>
    <w:p>
      <w:pPr>
        <w:pStyle w:val="BodyText"/>
        <w:spacing w:before="2"/>
        <w:ind w:left="785"/>
      </w:pPr>
      <w:r>
        <w:rPr/>
        <w:t>A = land area of each parcel, ha</w:t>
      </w:r>
    </w:p>
    <w:p>
      <w:pPr>
        <w:pStyle w:val="BodyText"/>
        <w:spacing w:before="120"/>
        <w:ind w:left="1306" w:right="264" w:hanging="545"/>
      </w:pPr>
      <w:r>
        <w:rPr/>
        <w:pict>
          <v:shape style="position:absolute;margin-left:91.960999pt;margin-top:35.977329pt;width:411.5pt;height:184.1pt;mso-position-horizontal-relative:page;mso-position-vertical-relative:paragraph;z-index:7760;mso-wrap-distance-left:0;mso-wrap-distance-right:0" type="#_x0000_t202" filled="false" stroked="true" strokeweight="1.44pt" strokecolor="#000000">
            <v:textbox inset="0,0,0,0">
              <w:txbxContent>
                <w:p>
                  <w:pPr>
                    <w:pStyle w:val="BodyText"/>
                    <w:spacing w:before="94"/>
                    <w:ind w:left="127" w:right="120"/>
                    <w:jc w:val="both"/>
                  </w:pPr>
                  <w:r>
                    <w:rPr>
                      <w:b/>
                    </w:rPr>
                    <w:t>Example</w:t>
                  </w:r>
                  <w:r>
                    <w:rPr/>
                    <w:t>: The following example shows calculations for aggregate areas of cropland soil carbon stock change using Equation 3.3.4B. In a warm temperate moist climate on Mollisol soils, there  are 1Mha of permanent annual cropland. The native reference carbon stock (SOC</w:t>
                  </w:r>
                  <w:r>
                    <w:rPr>
                      <w:position w:val="-2"/>
                      <w:sz w:val="10"/>
                    </w:rPr>
                    <w:t>REF</w:t>
                  </w:r>
                  <w:r>
                    <w:rPr/>
                    <w:t>) for the region is 88 tonnes C ha</w:t>
                  </w:r>
                  <w:r>
                    <w:rPr>
                      <w:vertAlign w:val="superscript"/>
                    </w:rPr>
                    <w:t>-1</w:t>
                  </w:r>
                  <w:r>
                    <w:rPr>
                      <w:vertAlign w:val="baseline"/>
                    </w:rPr>
                    <w:t>. At the beginning of the inventory calculation period (i.e. 20 yrs earlier) the distribution of cropland systems were 400,000 ha of annual cropland with low carbon input levels and full tillage and 600,000 ha of annual cropland with medium input levels and full tillage. Thus initial soil carbon stocks for the area were: 400,000 ha ● (88 tonnes C ha</w:t>
                  </w:r>
                  <w:r>
                    <w:rPr>
                      <w:vertAlign w:val="superscript"/>
                    </w:rPr>
                    <w:t>-1</w:t>
                  </w:r>
                  <w:r>
                    <w:rPr>
                      <w:vertAlign w:val="baseline"/>
                    </w:rPr>
                    <w:t> ● 0.71 ● 1 ● 0.91) + 600,000 ha ● (88 tonnes C ha</w:t>
                  </w:r>
                  <w:r>
                    <w:rPr>
                      <w:vertAlign w:val="superscript"/>
                    </w:rPr>
                    <w:t>-1</w:t>
                  </w:r>
                  <w:r>
                    <w:rPr>
                      <w:vertAlign w:val="baseline"/>
                    </w:rPr>
                    <w:t> ● 0.71 ● 1 ● 1) = 60.231 million tonnes C. In the (current) inventory year, there are: 200,000 ha of annual cropping with full tillage and low C input, 700,000 ha of annual cropping with reduced tillage and medium C input, and 100,000 ha of annual cropping with no-till and medium C input. Thus total soil carbon stocks in the inventory year are: 200,000</w:t>
                  </w:r>
                  <w:r>
                    <w:rPr>
                      <w:spacing w:val="4"/>
                      <w:vertAlign w:val="baseline"/>
                    </w:rPr>
                    <w:t> </w:t>
                  </w:r>
                  <w:r>
                    <w:rPr>
                      <w:vertAlign w:val="baseline"/>
                    </w:rPr>
                    <w:t>ha</w:t>
                  </w:r>
                  <w:r>
                    <w:rPr>
                      <w:spacing w:val="3"/>
                      <w:vertAlign w:val="baseline"/>
                    </w:rPr>
                    <w:t> </w:t>
                  </w:r>
                  <w:r>
                    <w:rPr>
                      <w:vertAlign w:val="baseline"/>
                    </w:rPr>
                    <w:t>●</w:t>
                  </w:r>
                  <w:r>
                    <w:rPr>
                      <w:spacing w:val="2"/>
                      <w:vertAlign w:val="baseline"/>
                    </w:rPr>
                    <w:t> </w:t>
                  </w:r>
                  <w:r>
                    <w:rPr>
                      <w:vertAlign w:val="baseline"/>
                    </w:rPr>
                    <w:t>(88</w:t>
                  </w:r>
                  <w:r>
                    <w:rPr>
                      <w:spacing w:val="5"/>
                      <w:vertAlign w:val="baseline"/>
                    </w:rPr>
                    <w:t> </w:t>
                  </w:r>
                  <w:r>
                    <w:rPr>
                      <w:vertAlign w:val="baseline"/>
                    </w:rPr>
                    <w:t>tonnes</w:t>
                  </w:r>
                  <w:r>
                    <w:rPr>
                      <w:spacing w:val="2"/>
                      <w:vertAlign w:val="baseline"/>
                    </w:rPr>
                    <w:t> </w:t>
                  </w:r>
                  <w:r>
                    <w:rPr>
                      <w:vertAlign w:val="baseline"/>
                    </w:rPr>
                    <w:t>C</w:t>
                  </w:r>
                  <w:r>
                    <w:rPr>
                      <w:spacing w:val="4"/>
                      <w:vertAlign w:val="baseline"/>
                    </w:rPr>
                    <w:t> </w:t>
                  </w:r>
                  <w:r>
                    <w:rPr>
                      <w:vertAlign w:val="baseline"/>
                    </w:rPr>
                    <w:t>ha</w:t>
                  </w:r>
                  <w:r>
                    <w:rPr>
                      <w:vertAlign w:val="superscript"/>
                    </w:rPr>
                    <w:t>-1</w:t>
                  </w:r>
                  <w:r>
                    <w:rPr>
                      <w:spacing w:val="3"/>
                      <w:vertAlign w:val="baseline"/>
                    </w:rPr>
                    <w:t> </w:t>
                  </w:r>
                  <w:r>
                    <w:rPr>
                      <w:vertAlign w:val="baseline"/>
                    </w:rPr>
                    <w:t>●</w:t>
                  </w:r>
                  <w:r>
                    <w:rPr>
                      <w:spacing w:val="3"/>
                      <w:vertAlign w:val="baseline"/>
                    </w:rPr>
                    <w:t> </w:t>
                  </w:r>
                  <w:r>
                    <w:rPr>
                      <w:vertAlign w:val="baseline"/>
                    </w:rPr>
                    <w:t>0.71</w:t>
                  </w:r>
                  <w:r>
                    <w:rPr>
                      <w:spacing w:val="1"/>
                      <w:vertAlign w:val="baseline"/>
                    </w:rPr>
                    <w:t> </w:t>
                  </w:r>
                  <w:r>
                    <w:rPr>
                      <w:vertAlign w:val="baseline"/>
                    </w:rPr>
                    <w:t>●</w:t>
                  </w:r>
                  <w:r>
                    <w:rPr>
                      <w:spacing w:val="2"/>
                      <w:vertAlign w:val="baseline"/>
                    </w:rPr>
                    <w:t> </w:t>
                  </w:r>
                  <w:r>
                    <w:rPr>
                      <w:vertAlign w:val="baseline"/>
                    </w:rPr>
                    <w:t>1</w:t>
                  </w:r>
                  <w:r>
                    <w:rPr>
                      <w:spacing w:val="5"/>
                      <w:vertAlign w:val="baseline"/>
                    </w:rPr>
                    <w:t> </w:t>
                  </w:r>
                  <w:r>
                    <w:rPr>
                      <w:vertAlign w:val="baseline"/>
                    </w:rPr>
                    <w:t>● 0.91)</w:t>
                  </w:r>
                  <w:r>
                    <w:rPr>
                      <w:spacing w:val="4"/>
                      <w:vertAlign w:val="baseline"/>
                    </w:rPr>
                    <w:t> </w:t>
                  </w:r>
                  <w:r>
                    <w:rPr>
                      <w:vertAlign w:val="baseline"/>
                    </w:rPr>
                    <w:t>+</w:t>
                  </w:r>
                  <w:r>
                    <w:rPr>
                      <w:spacing w:val="1"/>
                      <w:vertAlign w:val="baseline"/>
                    </w:rPr>
                    <w:t> </w:t>
                  </w:r>
                  <w:r>
                    <w:rPr>
                      <w:vertAlign w:val="baseline"/>
                    </w:rPr>
                    <w:t>700,000</w:t>
                  </w:r>
                  <w:r>
                    <w:rPr>
                      <w:spacing w:val="5"/>
                      <w:vertAlign w:val="baseline"/>
                    </w:rPr>
                    <w:t> </w:t>
                  </w:r>
                  <w:r>
                    <w:rPr>
                      <w:vertAlign w:val="baseline"/>
                    </w:rPr>
                    <w:t>ha</w:t>
                  </w:r>
                  <w:r>
                    <w:rPr>
                      <w:spacing w:val="3"/>
                      <w:vertAlign w:val="baseline"/>
                    </w:rPr>
                    <w:t> </w:t>
                  </w:r>
                  <w:r>
                    <w:rPr>
                      <w:vertAlign w:val="baseline"/>
                    </w:rPr>
                    <w:t>●</w:t>
                  </w:r>
                  <w:r>
                    <w:rPr>
                      <w:spacing w:val="2"/>
                      <w:vertAlign w:val="baseline"/>
                    </w:rPr>
                    <w:t> </w:t>
                  </w:r>
                  <w:r>
                    <w:rPr>
                      <w:vertAlign w:val="baseline"/>
                    </w:rPr>
                    <w:t>(88</w:t>
                  </w:r>
                  <w:r>
                    <w:rPr>
                      <w:spacing w:val="3"/>
                      <w:vertAlign w:val="baseline"/>
                    </w:rPr>
                    <w:t> </w:t>
                  </w:r>
                  <w:r>
                    <w:rPr>
                      <w:vertAlign w:val="baseline"/>
                    </w:rPr>
                    <w:t>tonnes</w:t>
                  </w:r>
                  <w:r>
                    <w:rPr>
                      <w:spacing w:val="2"/>
                      <w:vertAlign w:val="baseline"/>
                    </w:rPr>
                    <w:t> </w:t>
                  </w:r>
                  <w:r>
                    <w:rPr>
                      <w:vertAlign w:val="baseline"/>
                    </w:rPr>
                    <w:t>C</w:t>
                  </w:r>
                  <w:r>
                    <w:rPr>
                      <w:spacing w:val="4"/>
                      <w:vertAlign w:val="baseline"/>
                    </w:rPr>
                    <w:t> </w:t>
                  </w:r>
                  <w:r>
                    <w:rPr>
                      <w:vertAlign w:val="baseline"/>
                    </w:rPr>
                    <w:t>ha</w:t>
                  </w:r>
                  <w:r>
                    <w:rPr>
                      <w:vertAlign w:val="superscript"/>
                    </w:rPr>
                    <w:t>-1</w:t>
                  </w:r>
                  <w:r>
                    <w:rPr>
                      <w:spacing w:val="3"/>
                      <w:vertAlign w:val="baseline"/>
                    </w:rPr>
                    <w:t> </w:t>
                  </w:r>
                  <w:r>
                    <w:rPr>
                      <w:vertAlign w:val="baseline"/>
                    </w:rPr>
                    <w:t>●</w:t>
                  </w:r>
                  <w:r>
                    <w:rPr>
                      <w:spacing w:val="3"/>
                      <w:vertAlign w:val="baseline"/>
                    </w:rPr>
                    <w:t> </w:t>
                  </w:r>
                  <w:r>
                    <w:rPr>
                      <w:vertAlign w:val="baseline"/>
                    </w:rPr>
                    <w:t>0.71</w:t>
                  </w:r>
                  <w:r>
                    <w:rPr>
                      <w:spacing w:val="4"/>
                      <w:vertAlign w:val="baseline"/>
                    </w:rPr>
                    <w:t> </w:t>
                  </w:r>
                  <w:r>
                    <w:rPr>
                      <w:vertAlign w:val="baseline"/>
                    </w:rPr>
                    <w:t>●</w:t>
                  </w:r>
                  <w:r>
                    <w:rPr>
                      <w:spacing w:val="2"/>
                      <w:vertAlign w:val="baseline"/>
                    </w:rPr>
                    <w:t> </w:t>
                  </w:r>
                  <w:r>
                    <w:rPr>
                      <w:vertAlign w:val="baseline"/>
                    </w:rPr>
                    <w:t>1.09</w:t>
                  </w:r>
                </w:p>
                <w:p>
                  <w:pPr>
                    <w:pStyle w:val="BodyText"/>
                    <w:spacing w:line="242" w:lineRule="auto"/>
                    <w:ind w:left="127" w:right="124"/>
                    <w:jc w:val="both"/>
                  </w:pPr>
                  <w:r>
                    <w:rPr/>
                    <w:t>● 1) + 100,000 ha ● (88 tonnes C ha</w:t>
                  </w:r>
                  <w:r>
                    <w:rPr>
                      <w:vertAlign w:val="superscript"/>
                    </w:rPr>
                    <w:t>-1</w:t>
                  </w:r>
                  <w:r>
                    <w:rPr>
                      <w:vertAlign w:val="baseline"/>
                    </w:rPr>
                    <w:t> ● 0.71 ● 1.16 ● 1) = 66.291 million tonnes C. Thus the average annual stock change over the period for the entire area is: (66.291 – 60.231) million tonnes C / 20 yr = 6.060 million tonnes / 20 yr = 303,028 tonnes per year soil C stock increase.</w:t>
                  </w:r>
                </w:p>
              </w:txbxContent>
            </v:textbox>
            <v:stroke dashstyle="solid"/>
            <w10:wrap type="topAndBottom"/>
          </v:shape>
        </w:pict>
      </w:r>
      <w:r>
        <w:rPr>
          <w:i/>
        </w:rPr>
        <w:t>c </w:t>
      </w:r>
      <w:r>
        <w:rPr/>
        <w:t>represents the climate zones, </w:t>
      </w:r>
      <w:r>
        <w:rPr>
          <w:i/>
        </w:rPr>
        <w:t>s </w:t>
      </w:r>
      <w:r>
        <w:rPr/>
        <w:t>the soil types, and </w:t>
      </w:r>
      <w:r>
        <w:rPr>
          <w:i/>
        </w:rPr>
        <w:t>i </w:t>
      </w:r>
      <w:r>
        <w:rPr/>
        <w:t>the set of major cropland systems that are present in a country.</w:t>
      </w:r>
    </w:p>
    <w:p>
      <w:pPr>
        <w:pStyle w:val="BodyText"/>
        <w:spacing w:before="83"/>
        <w:ind w:left="219" w:right="265"/>
        <w:jc w:val="both"/>
      </w:pPr>
      <w:r>
        <w:rPr>
          <w:b/>
        </w:rPr>
        <w:t>Tier 2: </w:t>
      </w:r>
      <w:r>
        <w:rPr/>
        <w:t>For Tier 2, the same basic equations as in Tier 1 are used but country-specific values for reference carbon stocks and/or stock change factors are used. In addition, Tier 2 approaches will likely involve a more detailed stratification of management systems if sufficient data are</w:t>
      </w:r>
      <w:r>
        <w:rPr>
          <w:spacing w:val="-3"/>
        </w:rPr>
        <w:t> </w:t>
      </w:r>
      <w:r>
        <w:rPr/>
        <w:t>available.</w:t>
      </w:r>
    </w:p>
    <w:p>
      <w:pPr>
        <w:pStyle w:val="BodyText"/>
        <w:spacing w:before="119"/>
        <w:ind w:left="219" w:right="265"/>
        <w:jc w:val="both"/>
      </w:pPr>
      <w:r>
        <w:rPr>
          <w:b/>
        </w:rPr>
        <w:t>Tier 3: </w:t>
      </w:r>
      <w:r>
        <w:rPr/>
        <w:t>Tier 3 approaches, using a combination of dynamic models along with detailed soil C emission/stock change inventory measurements, will likely not employ simple stock change or emission factors </w:t>
      </w:r>
      <w:r>
        <w:rPr>
          <w:i/>
        </w:rPr>
        <w:t>per se</w:t>
      </w:r>
      <w:r>
        <w:rPr/>
        <w:t>. Estimates of emissions using model-based approaches derive from the interaction of multiple equations that estimate the net change of soil C stocks within the models. A variety of models designed to simulate soil carbon dynamics exist (for example, see reviews by McGill </w:t>
      </w:r>
      <w:r>
        <w:rPr>
          <w:i/>
        </w:rPr>
        <w:t>et al.</w:t>
      </w:r>
      <w:r>
        <w:rPr/>
        <w:t>, 1996; Smith </w:t>
      </w:r>
      <w:r>
        <w:rPr>
          <w:i/>
        </w:rPr>
        <w:t>et al.</w:t>
      </w:r>
      <w:r>
        <w:rPr/>
        <w:t>,</w:t>
      </w:r>
      <w:r>
        <w:rPr>
          <w:spacing w:val="-13"/>
        </w:rPr>
        <w:t> </w:t>
      </w:r>
      <w:r>
        <w:rPr/>
        <w:t>1997).</w:t>
      </w:r>
    </w:p>
    <w:p>
      <w:pPr>
        <w:pStyle w:val="BodyText"/>
        <w:spacing w:before="120"/>
        <w:ind w:left="219" w:right="264"/>
        <w:jc w:val="both"/>
      </w:pPr>
      <w:r>
        <w:rPr/>
        <w:t>Key criteria in selecting an appropriate model are that the model is capable of representing all of the management practices that are represented and that model inputs (i.e. driving variables) are compatible with the availability of country-wide input data. It is critical that the model be validated with independent observations from country or region-specific field locations that are representatives of the variability of climate, soil and management systems in the country. Examples of appropriate validation data sets include long-term replicated field experiments (e.g. SOMNET, 1996; Paul </w:t>
      </w:r>
      <w:r>
        <w:rPr>
          <w:i/>
        </w:rPr>
        <w:t>et al.</w:t>
      </w:r>
      <w:r>
        <w:rPr/>
        <w:t>, 1997) or long-term measurements of ecosystem carbon flux for agricultural systems, using techniques such as eddy covariance (Baldocchi </w:t>
      </w:r>
      <w:r>
        <w:rPr>
          <w:i/>
        </w:rPr>
        <w:t>et al.</w:t>
      </w:r>
      <w:r>
        <w:rPr/>
        <w:t>, 2001). Ideally, an inventory system</w:t>
      </w:r>
      <w:r>
        <w:rPr>
          <w:spacing w:val="3"/>
        </w:rPr>
        <w:t> </w:t>
      </w:r>
      <w:r>
        <w:rPr/>
        <w:t>of</w:t>
      </w:r>
      <w:r>
        <w:rPr>
          <w:spacing w:val="5"/>
        </w:rPr>
        <w:t> </w:t>
      </w:r>
      <w:r>
        <w:rPr/>
        <w:t>permanent,</w:t>
      </w:r>
      <w:r>
        <w:rPr>
          <w:spacing w:val="7"/>
        </w:rPr>
        <w:t> </w:t>
      </w:r>
      <w:r>
        <w:rPr/>
        <w:t>statistically</w:t>
      </w:r>
      <w:r>
        <w:rPr>
          <w:spacing w:val="3"/>
        </w:rPr>
        <w:t> </w:t>
      </w:r>
      <w:r>
        <w:rPr/>
        <w:t>representative</w:t>
      </w:r>
      <w:r>
        <w:rPr>
          <w:spacing w:val="7"/>
        </w:rPr>
        <w:t> </w:t>
      </w:r>
      <w:r>
        <w:rPr/>
        <w:t>“on-farm”</w:t>
      </w:r>
      <w:r>
        <w:rPr>
          <w:spacing w:val="7"/>
        </w:rPr>
        <w:t> </w:t>
      </w:r>
      <w:r>
        <w:rPr/>
        <w:t>plots,</w:t>
      </w:r>
      <w:r>
        <w:rPr>
          <w:spacing w:val="7"/>
        </w:rPr>
        <w:t> </w:t>
      </w:r>
      <w:r>
        <w:rPr/>
        <w:t>that</w:t>
      </w:r>
      <w:r>
        <w:rPr>
          <w:spacing w:val="7"/>
        </w:rPr>
        <w:t> </w:t>
      </w:r>
      <w:r>
        <w:rPr/>
        <w:t>include</w:t>
      </w:r>
      <w:r>
        <w:rPr>
          <w:spacing w:val="9"/>
        </w:rPr>
        <w:t> </w:t>
      </w:r>
      <w:r>
        <w:rPr/>
        <w:t>major</w:t>
      </w:r>
      <w:r>
        <w:rPr>
          <w:spacing w:val="7"/>
        </w:rPr>
        <w:t> </w:t>
      </w:r>
      <w:r>
        <w:rPr/>
        <w:t>climatic</w:t>
      </w:r>
      <w:r>
        <w:rPr>
          <w:spacing w:val="7"/>
        </w:rPr>
        <w:t> </w:t>
      </w:r>
      <w:r>
        <w:rPr/>
        <w:t>regions,</w:t>
      </w:r>
      <w:r>
        <w:rPr>
          <w:spacing w:val="7"/>
        </w:rPr>
        <w:t> </w:t>
      </w:r>
      <w:r>
        <w:rPr/>
        <w:t>soil</w:t>
      </w:r>
      <w:r>
        <w:rPr>
          <w:spacing w:val="7"/>
        </w:rPr>
        <w:t> </w:t>
      </w:r>
      <w:r>
        <w:rPr/>
        <w:t>types,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5"/>
        <w:jc w:val="both"/>
      </w:pPr>
      <w:r>
        <w:rPr/>
        <w:t>and management systems and system changes, would be established where repeated measures of soil carbon stocks could be made over time. Recommended re-sampling frequencies in most cases should not be less than 3 to 5 years (IPCC, 2000b). Where possible, measurements of soil carbon stocks should be made on an equivalent mass basis (e.g. Ellert </w:t>
      </w:r>
      <w:r>
        <w:rPr>
          <w:i/>
        </w:rPr>
        <w:t>et al.</w:t>
      </w:r>
      <w:r>
        <w:rPr/>
        <w:t>, 2001). Procedures should be implemented to minimize the influence of spatial variability with repeated sampling over time (e.g. Conant and Paustian 2002). Such inventory measurements could be integrated with a model-based methodology.</w:t>
      </w:r>
    </w:p>
    <w:p>
      <w:pPr>
        <w:pStyle w:val="BodyText"/>
        <w:spacing w:before="4"/>
        <w:rPr>
          <w:sz w:val="21"/>
        </w:rPr>
      </w:pPr>
    </w:p>
    <w:p>
      <w:pPr>
        <w:pStyle w:val="Heading7"/>
        <w:jc w:val="left"/>
      </w:pPr>
      <w:r>
        <w:rPr/>
        <w:t>Organic Soils </w:t>
      </w:r>
    </w:p>
    <w:p>
      <w:pPr>
        <w:pStyle w:val="BodyText"/>
        <w:ind w:left="219" w:right="263"/>
        <w:jc w:val="both"/>
      </w:pPr>
      <w:r>
        <w:rPr/>
        <w:t>The basic methodology for estimating carbon stock change in organic (e.g. peat-derived) soils is to assign an annual loss rate of C due to the drainage and other perturbations such as tillage of the land for agricultural production. Drainage and tillage stimulate the oxidation of organic matter previously built up under a largely anoxic environment. The area of cropland organic soils under each climate type is multiplied by the emission factor to derive an estimate of annual C emissions, as shown in Equation 3.3.5 below:</w:t>
      </w:r>
    </w:p>
    <w:p>
      <w:pPr>
        <w:pStyle w:val="BodyText"/>
        <w:spacing w:before="11"/>
        <w:rPr>
          <w:sz w:val="12"/>
        </w:rPr>
      </w:pPr>
    </w:p>
    <w:p>
      <w:pPr>
        <w:pStyle w:val="BodyText"/>
        <w:ind w:left="624"/>
      </w:pPr>
      <w:r>
        <w:rPr/>
        <w:pict>
          <v:group style="width:412.95pt;height:55.2pt;mso-position-horizontal-relative:char;mso-position-vertical-relative:line" coordorigin="0,0" coordsize="8259,1104">
            <v:line style="position:absolute" from="29,14" to="8230,14" stroked="true" strokeweight="1.44pt" strokecolor="#000000">
              <v:stroke dashstyle="solid"/>
            </v:line>
            <v:line style="position:absolute" from="29,1090" to="8230,1090" stroked="true" strokeweight="1.44pt" strokecolor="#000000">
              <v:stroke dashstyle="solid"/>
            </v:line>
            <v:line style="position:absolute" from="14,0" to="14,1104" stroked="true" strokeweight="1.44pt" strokecolor="#000000">
              <v:stroke dashstyle="solid"/>
            </v:line>
            <v:line style="position:absolute" from="8244,0" to="8244,1104" stroked="true" strokeweight="1.44pt" strokecolor="#000000">
              <v:stroke dashstyle="solid"/>
            </v:line>
            <v:shape style="position:absolute;left:3931;top:688;width:1259;height:237" type="#_x0000_t202" filled="false" stroked="false">
              <v:textbox inset="0,0,0,0">
                <w:txbxContent>
                  <w:p>
                    <w:pPr>
                      <w:spacing w:line="221" w:lineRule="exact" w:before="0"/>
                      <w:ind w:left="0" w:right="0" w:firstLine="0"/>
                      <w:jc w:val="left"/>
                      <w:rPr>
                        <w:i/>
                        <w:sz w:val="20"/>
                      </w:rPr>
                    </w:pPr>
                    <w:r>
                      <w:rPr>
                        <w:sz w:val="20"/>
                      </w:rPr>
                      <w:t>= </w:t>
                    </w:r>
                    <w:r>
                      <w:rPr>
                        <w:rFonts w:ascii="Arial" w:hAnsi="Arial"/>
                        <w:sz w:val="20"/>
                      </w:rPr>
                      <w:t>∑</w:t>
                    </w:r>
                    <w:r>
                      <w:rPr>
                        <w:i/>
                        <w:sz w:val="20"/>
                        <w:vertAlign w:val="subscript"/>
                      </w:rPr>
                      <w:t>c</w:t>
                    </w:r>
                    <w:r>
                      <w:rPr>
                        <w:i/>
                        <w:sz w:val="20"/>
                        <w:vertAlign w:val="baseline"/>
                      </w:rPr>
                      <w:t> </w:t>
                    </w:r>
                    <w:r>
                      <w:rPr>
                        <w:sz w:val="20"/>
                        <w:vertAlign w:val="baseline"/>
                      </w:rPr>
                      <w:t>(A ● EF) </w:t>
                    </w:r>
                    <w:r>
                      <w:rPr>
                        <w:i/>
                        <w:sz w:val="20"/>
                        <w:vertAlign w:val="subscript"/>
                      </w:rPr>
                      <w:t>c</w:t>
                    </w:r>
                  </w:p>
                </w:txbxContent>
              </v:textbox>
              <w10:wrap type="none"/>
            </v:shape>
            <v:shape style="position:absolute;left:3513;top:842;width:438;height:144" type="#_x0000_t202" filled="false" stroked="false">
              <v:textbox inset="0,0,0,0">
                <w:txbxContent>
                  <w:p>
                    <w:pPr>
                      <w:spacing w:line="144" w:lineRule="exact" w:before="0"/>
                      <w:ind w:left="0" w:right="0" w:firstLine="0"/>
                      <w:jc w:val="left"/>
                      <w:rPr>
                        <w:sz w:val="13"/>
                      </w:rPr>
                    </w:pPr>
                    <w:r>
                      <w:rPr>
                        <w:sz w:val="13"/>
                      </w:rPr>
                      <w:t>Organic</w:t>
                    </w:r>
                  </w:p>
                </w:txbxContent>
              </v:textbox>
              <w10:wrap type="none"/>
            </v:shape>
            <v:shape style="position:absolute;left:3086;top:665;width:448;height:261" type="#_x0000_t202" filled="false" stroked="false">
              <v:textbox inset="0,0,0,0">
                <w:txbxContent>
                  <w:p>
                    <w:pPr>
                      <w:spacing w:line="246" w:lineRule="exact" w:before="14"/>
                      <w:ind w:left="0" w:right="0" w:firstLine="0"/>
                      <w:jc w:val="left"/>
                      <w:rPr>
                        <w:sz w:val="20"/>
                      </w:rPr>
                    </w:pPr>
                    <w:r>
                      <w:rPr>
                        <w:rFonts w:ascii="Symbol" w:hAnsi="Symbol"/>
                        <w:w w:val="101"/>
                        <w:sz w:val="20"/>
                      </w:rPr>
                      <w:t>∆</w:t>
                    </w:r>
                    <w:r>
                      <w:rPr>
                        <w:spacing w:val="-1"/>
                        <w:w w:val="99"/>
                        <w:sz w:val="20"/>
                      </w:rPr>
                      <w:t>C</w:t>
                    </w:r>
                    <w:r>
                      <w:rPr>
                        <w:spacing w:val="-1"/>
                        <w:w w:val="99"/>
                        <w:sz w:val="20"/>
                        <w:vertAlign w:val="subscript"/>
                      </w:rPr>
                      <w:t>CC</w:t>
                    </w:r>
                  </w:p>
                </w:txbxContent>
              </v:textbox>
              <w10:wrap type="none"/>
            </v:shape>
            <v:shape style="position:absolute;left:441;top:136;width:7394;height:468" type="#_x0000_t202" filled="false" stroked="false">
              <v:textbox inset="0,0,0,0">
                <w:txbxContent>
                  <w:p>
                    <w:pPr>
                      <w:spacing w:line="221" w:lineRule="exact" w:before="0"/>
                      <w:ind w:left="0" w:right="16" w:firstLine="0"/>
                      <w:jc w:val="center"/>
                      <w:rPr>
                        <w:b/>
                        <w:sz w:val="20"/>
                      </w:rPr>
                    </w:pPr>
                    <w:r>
                      <w:rPr>
                        <w:b/>
                        <w:sz w:val="20"/>
                      </w:rPr>
                      <w:t>E</w:t>
                    </w:r>
                    <w:r>
                      <w:rPr>
                        <w:b/>
                        <w:sz w:val="16"/>
                      </w:rPr>
                      <w:t>QUATION </w:t>
                    </w:r>
                    <w:r>
                      <w:rPr>
                        <w:b/>
                        <w:sz w:val="20"/>
                      </w:rPr>
                      <w:t>3.3.5</w:t>
                    </w:r>
                  </w:p>
                  <w:p>
                    <w:pPr>
                      <w:spacing w:before="0"/>
                      <w:ind w:left="0" w:right="18" w:firstLine="0"/>
                      <w:jc w:val="center"/>
                      <w:rPr>
                        <w:b/>
                        <w:sz w:val="16"/>
                      </w:rPr>
                    </w:pPr>
                    <w:r>
                      <w:rPr>
                        <w:b/>
                        <w:sz w:val="20"/>
                      </w:rPr>
                      <w:t>CO</w:t>
                    </w:r>
                    <w:r>
                      <w:rPr>
                        <w:b/>
                        <w:sz w:val="20"/>
                        <w:vertAlign w:val="subscript"/>
                      </w:rPr>
                      <w:t>2</w:t>
                    </w:r>
                    <w:r>
                      <w:rPr>
                        <w:b/>
                        <w:spacing w:val="-36"/>
                        <w:sz w:val="20"/>
                        <w:vertAlign w:val="baseline"/>
                      </w:rPr>
                      <w:t> </w:t>
                    </w:r>
                    <w:r>
                      <w:rPr>
                        <w:b/>
                        <w:sz w:val="16"/>
                        <w:vertAlign w:val="baseline"/>
                      </w:rPr>
                      <w:t>EMISSIONS FROM CULTIVATED ORGANIC SOILS IN CROPLAND REMAINING CROPLAND</w:t>
                    </w:r>
                  </w:p>
                </w:txbxContent>
              </v:textbox>
              <w10:wrap type="none"/>
            </v:shape>
          </v:group>
        </w:pict>
      </w:r>
      <w:r>
        <w:rPr/>
      </w:r>
    </w:p>
    <w:p>
      <w:pPr>
        <w:spacing w:after="0"/>
        <w:sectPr>
          <w:pgSz w:w="11900" w:h="16840"/>
          <w:pgMar w:header="230" w:footer="408" w:top="560" w:bottom="600" w:left="1200" w:right="1140"/>
        </w:sectPr>
      </w:pPr>
    </w:p>
    <w:p>
      <w:pPr>
        <w:pStyle w:val="BodyText"/>
        <w:spacing w:line="228" w:lineRule="exact"/>
        <w:ind w:left="219"/>
      </w:pPr>
      <w:r>
        <w:rPr/>
        <w:pict>
          <v:shape style="position:absolute;margin-left:99.280861pt;margin-top:11.300424pt;width:21.4pt;height:13.05pt;mso-position-horizontal-relative:page;mso-position-vertical-relative:paragraph;z-index:-2446192" type="#_x0000_t202" filled="false" stroked="false">
            <v:textbox inset="0,0,0,0">
              <w:txbxContent>
                <w:p>
                  <w:pPr>
                    <w:spacing w:line="223" w:lineRule="exact" w:before="37"/>
                    <w:ind w:left="0" w:right="0" w:firstLine="0"/>
                    <w:jc w:val="left"/>
                    <w:rPr>
                      <w:sz w:val="13"/>
                    </w:rPr>
                  </w:pPr>
                  <w:r>
                    <w:rPr>
                      <w:rFonts w:ascii="Symbol" w:hAnsi="Symbol"/>
                      <w:position w:val="3"/>
                      <w:sz w:val="20"/>
                    </w:rPr>
                    <w:t>∆ </w:t>
                  </w:r>
                  <w:r>
                    <w:rPr>
                      <w:spacing w:val="-51"/>
                      <w:sz w:val="13"/>
                    </w:rPr>
                    <w:t>CC</w:t>
                  </w:r>
                </w:p>
              </w:txbxContent>
            </v:textbox>
            <w10:wrap type="none"/>
          </v:shape>
        </w:pict>
      </w:r>
      <w:r>
        <w:rPr/>
        <w:t>Where:</w:t>
      </w:r>
    </w:p>
    <w:p>
      <w:pPr>
        <w:pStyle w:val="BodyText"/>
        <w:spacing w:line="193" w:lineRule="exact" w:before="12"/>
        <w:ind w:left="318"/>
        <w:jc w:val="center"/>
      </w:pPr>
      <w:r>
        <w:rPr>
          <w:w w:val="99"/>
        </w:rPr>
        <w:t>C</w:t>
      </w:r>
    </w:p>
    <w:p>
      <w:pPr>
        <w:spacing w:line="113" w:lineRule="exact" w:before="0"/>
        <w:ind w:left="0" w:right="0" w:firstLine="0"/>
        <w:jc w:val="right"/>
        <w:rPr>
          <w:sz w:val="13"/>
        </w:rPr>
      </w:pPr>
      <w:r>
        <w:rPr>
          <w:sz w:val="13"/>
        </w:rPr>
        <w:t>Organic</w:t>
      </w:r>
    </w:p>
    <w:p>
      <w:pPr>
        <w:pStyle w:val="BodyText"/>
        <w:spacing w:before="10"/>
      </w:pPr>
      <w:r>
        <w:rPr/>
        <w:br w:type="column"/>
      </w:r>
      <w:r>
        <w:rPr/>
      </w:r>
    </w:p>
    <w:p>
      <w:pPr>
        <w:pStyle w:val="BodyText"/>
        <w:ind w:left="10"/>
      </w:pPr>
      <w:r>
        <w:rPr/>
        <w:t>= CO</w:t>
      </w:r>
      <w:r>
        <w:rPr>
          <w:vertAlign w:val="subscript"/>
        </w:rPr>
        <w:t>2</w:t>
      </w:r>
      <w:r>
        <w:rPr>
          <w:vertAlign w:val="baseline"/>
        </w:rPr>
        <w:t> emissions from cultivated organic soils in cropland remaining cropland, tonnes C yr</w:t>
      </w:r>
      <w:r>
        <w:rPr>
          <w:vertAlign w:val="superscript"/>
        </w:rPr>
        <w:t>-1</w:t>
      </w:r>
    </w:p>
    <w:p>
      <w:pPr>
        <w:spacing w:after="0"/>
        <w:sectPr>
          <w:type w:val="continuous"/>
          <w:pgSz w:w="11900" w:h="16840"/>
          <w:pgMar w:top="1060" w:bottom="280" w:left="1200" w:right="1140"/>
          <w:cols w:num="2" w:equalWidth="0">
            <w:col w:w="1631" w:space="40"/>
            <w:col w:w="7889"/>
          </w:cols>
        </w:sectPr>
      </w:pPr>
    </w:p>
    <w:p>
      <w:pPr>
        <w:pStyle w:val="BodyText"/>
        <w:spacing w:before="104"/>
        <w:ind w:left="785"/>
      </w:pPr>
      <w:r>
        <w:rPr/>
        <w:t>A = land area of organic soils in climate type </w:t>
      </w:r>
      <w:r>
        <w:rPr>
          <w:i/>
        </w:rPr>
        <w:t>c, </w:t>
      </w:r>
      <w:r>
        <w:rPr/>
        <w:t>ha</w:t>
      </w:r>
    </w:p>
    <w:p>
      <w:pPr>
        <w:pStyle w:val="BodyText"/>
        <w:spacing w:before="121"/>
        <w:ind w:left="785"/>
      </w:pPr>
      <w:r>
        <w:rPr/>
        <w:t>EF = emission factor for climate type </w:t>
      </w:r>
      <w:r>
        <w:rPr>
          <w:i/>
        </w:rPr>
        <w:t>c </w:t>
      </w:r>
      <w:r>
        <w:rPr/>
        <w:t>(see Table 3.3.5), tonnes C ha</w:t>
      </w:r>
      <w:r>
        <w:rPr>
          <w:vertAlign w:val="superscript"/>
        </w:rPr>
        <w:t>-1</w:t>
      </w:r>
      <w:r>
        <w:rPr>
          <w:vertAlign w:val="baseline"/>
        </w:rPr>
        <w:t> yr</w:t>
      </w:r>
      <w:r>
        <w:rPr>
          <w:vertAlign w:val="superscript"/>
        </w:rPr>
        <w:t>-1</w:t>
      </w:r>
    </w:p>
    <w:p>
      <w:pPr>
        <w:pStyle w:val="BodyText"/>
        <w:spacing w:before="120"/>
        <w:ind w:left="219" w:right="265"/>
        <w:jc w:val="both"/>
      </w:pPr>
      <w:r>
        <w:rPr>
          <w:b/>
        </w:rPr>
        <w:t>Tier 1: </w:t>
      </w:r>
      <w:r>
        <w:rPr/>
        <w:t>For Tier 1, default emission factors (Table 3.3.5) are used along with area estimates for cultivated organic soils within each climate region present in the country (Equation 3.3.5). Area estimates can be developed using the guidance in Chapter 2.</w:t>
      </w:r>
    </w:p>
    <w:p>
      <w:pPr>
        <w:pStyle w:val="BodyText"/>
        <w:spacing w:before="119"/>
        <w:ind w:left="219" w:right="265"/>
        <w:jc w:val="both"/>
      </w:pPr>
      <w:r>
        <w:rPr>
          <w:b/>
        </w:rPr>
        <w:t>Tier 2: </w:t>
      </w:r>
      <w:r>
        <w:rPr/>
        <w:t>The Tier 2 approach uses Equation 3.3.5 where emission factors are estimated from country-specific data, stratified by climate region, as described in Section 3.3.2.1.3. Area estimates should be developed following the guidance of Chapter</w:t>
      </w:r>
      <w:r>
        <w:rPr>
          <w:spacing w:val="-1"/>
        </w:rPr>
        <w:t> </w:t>
      </w:r>
      <w:r>
        <w:rPr/>
        <w:t>2.</w:t>
      </w:r>
    </w:p>
    <w:p>
      <w:pPr>
        <w:pStyle w:val="BodyText"/>
        <w:spacing w:before="119"/>
        <w:ind w:left="219" w:right="269"/>
        <w:jc w:val="both"/>
      </w:pPr>
      <w:r>
        <w:rPr>
          <w:b/>
        </w:rPr>
        <w:t>Tier 3: </w:t>
      </w:r>
      <w:r>
        <w:rPr/>
        <w:t>Tier 3 approaches for organic soils will include more detailed systems integrating dynamic models and measurement networks as described above for mineral soils.</w:t>
      </w:r>
    </w:p>
    <w:p>
      <w:pPr>
        <w:pStyle w:val="BodyText"/>
      </w:pPr>
    </w:p>
    <w:p>
      <w:pPr>
        <w:pStyle w:val="BodyText"/>
        <w:spacing w:before="6" w:after="1"/>
        <w:rPr>
          <w:sz w:val="21"/>
        </w:rPr>
      </w:pPr>
    </w:p>
    <w:tbl>
      <w:tblPr>
        <w:tblW w:w="0" w:type="auto"/>
        <w:jc w:val="left"/>
        <w:tblInd w:w="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78"/>
        <w:gridCol w:w="2736"/>
        <w:gridCol w:w="2736"/>
      </w:tblGrid>
      <w:tr>
        <w:trPr>
          <w:trHeight w:val="532" w:hRule="atLeast"/>
        </w:trPr>
        <w:tc>
          <w:tcPr>
            <w:tcW w:w="8150" w:type="dxa"/>
            <w:gridSpan w:val="3"/>
            <w:tcBorders>
              <w:bottom w:val="double" w:sz="1" w:space="0" w:color="000000"/>
            </w:tcBorders>
          </w:tcPr>
          <w:p>
            <w:pPr>
              <w:pStyle w:val="TableParagraph"/>
              <w:spacing w:line="207" w:lineRule="exact" w:before="59"/>
              <w:ind w:left="1592" w:right="1584"/>
              <w:jc w:val="center"/>
              <w:rPr>
                <w:b/>
                <w:sz w:val="18"/>
              </w:rPr>
            </w:pPr>
            <w:r>
              <w:rPr>
                <w:b/>
                <w:sz w:val="18"/>
              </w:rPr>
              <w:t>T</w:t>
            </w:r>
            <w:r>
              <w:rPr>
                <w:b/>
                <w:sz w:val="14"/>
              </w:rPr>
              <w:t>ABLE </w:t>
            </w:r>
            <w:r>
              <w:rPr>
                <w:b/>
                <w:sz w:val="18"/>
              </w:rPr>
              <w:t>3.3.5</w:t>
            </w:r>
          </w:p>
          <w:p>
            <w:pPr>
              <w:pStyle w:val="TableParagraph"/>
              <w:spacing w:line="207" w:lineRule="exact"/>
              <w:ind w:left="1594" w:right="1584"/>
              <w:jc w:val="center"/>
              <w:rPr>
                <w:b/>
                <w:sz w:val="14"/>
              </w:rPr>
            </w:pPr>
            <w:r>
              <w:rPr>
                <w:b/>
                <w:sz w:val="18"/>
              </w:rPr>
              <w:t>A</w:t>
            </w:r>
            <w:r>
              <w:rPr>
                <w:b/>
                <w:sz w:val="14"/>
              </w:rPr>
              <w:t>NNUAL EMISSION FACTORS </w:t>
            </w:r>
            <w:r>
              <w:rPr>
                <w:b/>
                <w:sz w:val="18"/>
              </w:rPr>
              <w:t>(EF) </w:t>
            </w:r>
            <w:r>
              <w:rPr>
                <w:b/>
                <w:sz w:val="14"/>
              </w:rPr>
              <w:t>FOR CULTIVATED ORGANIC SOILS</w:t>
            </w:r>
          </w:p>
        </w:tc>
      </w:tr>
      <w:tr>
        <w:trPr>
          <w:trHeight w:val="654" w:hRule="atLeast"/>
        </w:trPr>
        <w:tc>
          <w:tcPr>
            <w:tcW w:w="2678" w:type="dxa"/>
            <w:tcBorders>
              <w:top w:val="double" w:sz="1" w:space="0" w:color="000000"/>
            </w:tcBorders>
          </w:tcPr>
          <w:p>
            <w:pPr>
              <w:pStyle w:val="TableParagraph"/>
              <w:spacing w:before="61"/>
              <w:ind w:left="199" w:right="189"/>
              <w:jc w:val="center"/>
              <w:rPr>
                <w:b/>
                <w:sz w:val="18"/>
              </w:rPr>
            </w:pPr>
            <w:r>
              <w:rPr>
                <w:b/>
                <w:sz w:val="18"/>
              </w:rPr>
              <w:t>Climatic temperature regime</w:t>
            </w:r>
          </w:p>
        </w:tc>
        <w:tc>
          <w:tcPr>
            <w:tcW w:w="2736" w:type="dxa"/>
            <w:tcBorders>
              <w:top w:val="double" w:sz="1" w:space="0" w:color="000000"/>
            </w:tcBorders>
          </w:tcPr>
          <w:p>
            <w:pPr>
              <w:pStyle w:val="TableParagraph"/>
              <w:spacing w:before="61"/>
              <w:ind w:left="422" w:right="412"/>
              <w:jc w:val="center"/>
              <w:rPr>
                <w:b/>
                <w:sz w:val="18"/>
              </w:rPr>
            </w:pPr>
            <w:r>
              <w:rPr>
                <w:rFonts w:ascii="TimesNewRomanPS-BoldItalicMT"/>
                <w:b/>
                <w:i/>
                <w:sz w:val="18"/>
              </w:rPr>
              <w:t>IPCC Guidelines </w:t>
            </w:r>
            <w:r>
              <w:rPr>
                <w:b/>
                <w:sz w:val="18"/>
              </w:rPr>
              <w:t>default</w:t>
            </w:r>
          </w:p>
          <w:p>
            <w:pPr>
              <w:pStyle w:val="TableParagraph"/>
              <w:spacing w:before="120"/>
              <w:ind w:left="422" w:right="412"/>
              <w:jc w:val="center"/>
              <w:rPr>
                <w:b/>
                <w:sz w:val="18"/>
              </w:rPr>
            </w:pPr>
            <w:r>
              <w:rPr>
                <w:b/>
                <w:sz w:val="18"/>
              </w:rPr>
              <w:t>(tonnes C ha</w:t>
            </w:r>
            <w:r>
              <w:rPr>
                <w:b/>
                <w:sz w:val="18"/>
                <w:vertAlign w:val="superscript"/>
              </w:rPr>
              <w:t>-1</w:t>
            </w:r>
            <w:r>
              <w:rPr>
                <w:b/>
                <w:sz w:val="18"/>
                <w:vertAlign w:val="baseline"/>
              </w:rPr>
              <w:t> yr</w:t>
            </w:r>
            <w:r>
              <w:rPr>
                <w:b/>
                <w:sz w:val="18"/>
                <w:vertAlign w:val="superscript"/>
              </w:rPr>
              <w:t>-1</w:t>
            </w:r>
            <w:r>
              <w:rPr>
                <w:b/>
                <w:sz w:val="18"/>
                <w:vertAlign w:val="baseline"/>
              </w:rPr>
              <w:t>)</w:t>
            </w:r>
          </w:p>
        </w:tc>
        <w:tc>
          <w:tcPr>
            <w:tcW w:w="2736" w:type="dxa"/>
            <w:tcBorders>
              <w:top w:val="double" w:sz="1" w:space="0" w:color="000000"/>
            </w:tcBorders>
          </w:tcPr>
          <w:p>
            <w:pPr>
              <w:pStyle w:val="TableParagraph"/>
              <w:spacing w:before="61"/>
              <w:ind w:left="422" w:right="412"/>
              <w:jc w:val="center"/>
              <w:rPr>
                <w:b/>
                <w:sz w:val="18"/>
              </w:rPr>
            </w:pPr>
            <w:r>
              <w:rPr>
                <w:b/>
                <w:sz w:val="18"/>
              </w:rPr>
              <w:t>Error </w:t>
            </w:r>
            <w:r>
              <w:rPr>
                <w:b/>
                <w:sz w:val="18"/>
                <w:vertAlign w:val="superscript"/>
              </w:rPr>
              <w:t>#</w:t>
            </w:r>
          </w:p>
        </w:tc>
      </w:tr>
      <w:tr>
        <w:trPr>
          <w:trHeight w:val="328" w:hRule="atLeast"/>
        </w:trPr>
        <w:tc>
          <w:tcPr>
            <w:tcW w:w="2678" w:type="dxa"/>
          </w:tcPr>
          <w:p>
            <w:pPr>
              <w:pStyle w:val="TableParagraph"/>
              <w:spacing w:before="55"/>
              <w:ind w:left="199" w:right="189"/>
              <w:jc w:val="center"/>
              <w:rPr>
                <w:sz w:val="18"/>
              </w:rPr>
            </w:pPr>
            <w:r>
              <w:rPr>
                <w:sz w:val="18"/>
              </w:rPr>
              <w:t>Cold Temperate</w:t>
            </w:r>
          </w:p>
        </w:tc>
        <w:tc>
          <w:tcPr>
            <w:tcW w:w="2736" w:type="dxa"/>
          </w:tcPr>
          <w:p>
            <w:pPr>
              <w:pStyle w:val="TableParagraph"/>
              <w:spacing w:before="55"/>
              <w:ind w:left="419" w:right="412"/>
              <w:jc w:val="center"/>
              <w:rPr>
                <w:sz w:val="18"/>
              </w:rPr>
            </w:pPr>
            <w:r>
              <w:rPr>
                <w:sz w:val="18"/>
              </w:rPr>
              <w:t>1.0</w:t>
            </w:r>
          </w:p>
        </w:tc>
        <w:tc>
          <w:tcPr>
            <w:tcW w:w="2736" w:type="dxa"/>
          </w:tcPr>
          <w:p>
            <w:pPr>
              <w:pStyle w:val="TableParagraph"/>
              <w:spacing w:before="55"/>
              <w:ind w:left="422" w:right="412"/>
              <w:jc w:val="center"/>
              <w:rPr>
                <w:sz w:val="18"/>
              </w:rPr>
            </w:pPr>
            <w:r>
              <w:rPr>
                <w:sz w:val="18"/>
                <w:u w:val="single"/>
              </w:rPr>
              <w:t>+</w:t>
            </w:r>
            <w:r>
              <w:rPr>
                <w:sz w:val="18"/>
              </w:rPr>
              <w:t> 90%</w:t>
            </w:r>
          </w:p>
        </w:tc>
      </w:tr>
      <w:tr>
        <w:trPr>
          <w:trHeight w:val="325" w:hRule="atLeast"/>
        </w:trPr>
        <w:tc>
          <w:tcPr>
            <w:tcW w:w="2678" w:type="dxa"/>
          </w:tcPr>
          <w:p>
            <w:pPr>
              <w:pStyle w:val="TableParagraph"/>
              <w:spacing w:before="55"/>
              <w:ind w:left="199" w:right="188"/>
              <w:jc w:val="center"/>
              <w:rPr>
                <w:sz w:val="18"/>
              </w:rPr>
            </w:pPr>
            <w:r>
              <w:rPr>
                <w:sz w:val="18"/>
              </w:rPr>
              <w:t>Warm Temperate</w:t>
            </w:r>
          </w:p>
        </w:tc>
        <w:tc>
          <w:tcPr>
            <w:tcW w:w="2736" w:type="dxa"/>
          </w:tcPr>
          <w:p>
            <w:pPr>
              <w:pStyle w:val="TableParagraph"/>
              <w:spacing w:before="55"/>
              <w:ind w:left="422" w:right="412"/>
              <w:jc w:val="center"/>
              <w:rPr>
                <w:sz w:val="18"/>
              </w:rPr>
            </w:pPr>
            <w:r>
              <w:rPr>
                <w:sz w:val="18"/>
              </w:rPr>
              <w:t>10.0</w:t>
            </w:r>
          </w:p>
        </w:tc>
        <w:tc>
          <w:tcPr>
            <w:tcW w:w="2736" w:type="dxa"/>
          </w:tcPr>
          <w:p>
            <w:pPr>
              <w:pStyle w:val="TableParagraph"/>
              <w:spacing w:before="55"/>
              <w:ind w:left="422" w:right="412"/>
              <w:jc w:val="center"/>
              <w:rPr>
                <w:sz w:val="18"/>
              </w:rPr>
            </w:pPr>
            <w:r>
              <w:rPr>
                <w:sz w:val="18"/>
                <w:u w:val="single"/>
              </w:rPr>
              <w:t>+</w:t>
            </w:r>
            <w:r>
              <w:rPr>
                <w:sz w:val="18"/>
              </w:rPr>
              <w:t> 90%</w:t>
            </w:r>
          </w:p>
        </w:tc>
      </w:tr>
      <w:tr>
        <w:trPr>
          <w:trHeight w:val="326" w:hRule="atLeast"/>
        </w:trPr>
        <w:tc>
          <w:tcPr>
            <w:tcW w:w="2678" w:type="dxa"/>
          </w:tcPr>
          <w:p>
            <w:pPr>
              <w:pStyle w:val="TableParagraph"/>
              <w:spacing w:before="55"/>
              <w:ind w:left="199" w:right="189"/>
              <w:jc w:val="center"/>
              <w:rPr>
                <w:sz w:val="18"/>
              </w:rPr>
            </w:pPr>
            <w:r>
              <w:rPr>
                <w:sz w:val="18"/>
              </w:rPr>
              <w:t>Tropical/sub-tropical</w:t>
            </w:r>
          </w:p>
        </w:tc>
        <w:tc>
          <w:tcPr>
            <w:tcW w:w="2736" w:type="dxa"/>
          </w:tcPr>
          <w:p>
            <w:pPr>
              <w:pStyle w:val="TableParagraph"/>
              <w:spacing w:before="55"/>
              <w:ind w:left="422" w:right="412"/>
              <w:jc w:val="center"/>
              <w:rPr>
                <w:sz w:val="18"/>
              </w:rPr>
            </w:pPr>
            <w:r>
              <w:rPr>
                <w:sz w:val="18"/>
              </w:rPr>
              <w:t>20.0</w:t>
            </w:r>
          </w:p>
        </w:tc>
        <w:tc>
          <w:tcPr>
            <w:tcW w:w="2736" w:type="dxa"/>
          </w:tcPr>
          <w:p>
            <w:pPr>
              <w:pStyle w:val="TableParagraph"/>
              <w:spacing w:before="55"/>
              <w:ind w:left="422" w:right="412"/>
              <w:jc w:val="center"/>
              <w:rPr>
                <w:sz w:val="18"/>
              </w:rPr>
            </w:pPr>
            <w:r>
              <w:rPr>
                <w:sz w:val="18"/>
                <w:u w:val="single"/>
              </w:rPr>
              <w:t>+</w:t>
            </w:r>
            <w:r>
              <w:rPr>
                <w:sz w:val="18"/>
              </w:rPr>
              <w:t> 90%</w:t>
            </w:r>
          </w:p>
        </w:tc>
      </w:tr>
      <w:tr>
        <w:trPr>
          <w:trHeight w:val="304" w:hRule="atLeast"/>
        </w:trPr>
        <w:tc>
          <w:tcPr>
            <w:tcW w:w="8150" w:type="dxa"/>
            <w:gridSpan w:val="3"/>
          </w:tcPr>
          <w:p>
            <w:pPr>
              <w:pStyle w:val="TableParagraph"/>
              <w:spacing w:before="40"/>
              <w:ind w:left="107"/>
              <w:rPr>
                <w:sz w:val="16"/>
              </w:rPr>
            </w:pPr>
            <w:r>
              <w:rPr>
                <w:position w:val="7"/>
                <w:sz w:val="10"/>
              </w:rPr>
              <w:t># </w:t>
            </w:r>
            <w:r>
              <w:rPr>
                <w:sz w:val="16"/>
              </w:rPr>
              <w:t>Represents a nominal estimate of error, equivalent to two times standard deviation, as a percentage of the mean.</w:t>
            </w:r>
          </w:p>
        </w:tc>
      </w:tr>
    </w:tbl>
    <w:p>
      <w:pPr>
        <w:pStyle w:val="BodyText"/>
      </w:pPr>
    </w:p>
    <w:p>
      <w:pPr>
        <w:pStyle w:val="BodyText"/>
        <w:spacing w:before="9"/>
      </w:pPr>
    </w:p>
    <w:p>
      <w:pPr>
        <w:pStyle w:val="Heading7"/>
        <w:spacing w:line="251" w:lineRule="exact"/>
        <w:jc w:val="left"/>
      </w:pPr>
      <w:r>
        <w:rPr/>
        <w:t>Liming</w:t>
      </w:r>
    </w:p>
    <w:p>
      <w:pPr>
        <w:pStyle w:val="BodyText"/>
        <w:ind w:left="219" w:right="264"/>
        <w:jc w:val="both"/>
      </w:pPr>
      <w:r>
        <w:rPr/>
        <w:t>The </w:t>
      </w:r>
      <w:r>
        <w:rPr>
          <w:i/>
        </w:rPr>
        <w:t>IPCC Guidelines </w:t>
      </w:r>
      <w:r>
        <w:rPr/>
        <w:t>include application of carbonate containing lime (e.g. calcic limestone (CaCO</w:t>
      </w:r>
      <w:r>
        <w:rPr>
          <w:vertAlign w:val="subscript"/>
        </w:rPr>
        <w:t>3</w:t>
      </w:r>
      <w:r>
        <w:rPr>
          <w:vertAlign w:val="baseline"/>
        </w:rPr>
        <w:t>), or dolomite (CaMg(CO</w:t>
      </w:r>
      <w:r>
        <w:rPr>
          <w:vertAlign w:val="subscript"/>
        </w:rPr>
        <w:t>3</w:t>
      </w:r>
      <w:r>
        <w:rPr>
          <w:vertAlign w:val="baseline"/>
        </w:rPr>
        <w:t>)</w:t>
      </w:r>
      <w:r>
        <w:rPr>
          <w:vertAlign w:val="subscript"/>
        </w:rPr>
        <w:t>2</w:t>
      </w:r>
      <w:r>
        <w:rPr>
          <w:vertAlign w:val="baseline"/>
        </w:rPr>
        <w:t>) to agricultural soils as a source of CO</w:t>
      </w:r>
      <w:r>
        <w:rPr>
          <w:vertAlign w:val="subscript"/>
        </w:rPr>
        <w:t>2</w:t>
      </w:r>
      <w:r>
        <w:rPr>
          <w:vertAlign w:val="baseline"/>
        </w:rPr>
        <w:t> emissions. A simplified explanation of the process is that when carbonate lime is dissolved in soil, the base cations (Ca</w:t>
      </w:r>
      <w:r>
        <w:rPr>
          <w:vertAlign w:val="superscript"/>
        </w:rPr>
        <w:t>++</w:t>
      </w:r>
      <w:r>
        <w:rPr>
          <w:vertAlign w:val="baseline"/>
        </w:rPr>
        <w:t>, Mg</w:t>
      </w:r>
      <w:r>
        <w:rPr>
          <w:vertAlign w:val="superscript"/>
        </w:rPr>
        <w:t>++</w:t>
      </w:r>
      <w:r>
        <w:rPr>
          <w:vertAlign w:val="baseline"/>
        </w:rPr>
        <w:t>) exchange with hydrogen ions (H</w:t>
      </w:r>
      <w:r>
        <w:rPr>
          <w:vertAlign w:val="superscript"/>
        </w:rPr>
        <w:t>+</w:t>
      </w:r>
      <w:r>
        <w:rPr>
          <w:vertAlign w:val="baseline"/>
        </w:rPr>
        <w:t>) on soil colloids (thereby reducing soil acidity) and the bicarbonate formed (2HCO</w:t>
      </w:r>
      <w:r>
        <w:rPr>
          <w:vertAlign w:val="subscript"/>
        </w:rPr>
        <w:t>3</w:t>
      </w:r>
      <w:r>
        <w:rPr>
          <w:vertAlign w:val="baseline"/>
        </w:rPr>
        <w:t>) can react further to evolve CO</w:t>
      </w:r>
      <w:r>
        <w:rPr>
          <w:vertAlign w:val="subscript"/>
        </w:rPr>
        <w:t>2</w:t>
      </w:r>
      <w:r>
        <w:rPr>
          <w:vertAlign w:val="baseline"/>
        </w:rPr>
        <w:t> and water (H</w:t>
      </w:r>
      <w:r>
        <w:rPr>
          <w:vertAlign w:val="subscript"/>
        </w:rPr>
        <w:t>2</w:t>
      </w:r>
      <w:r>
        <w:rPr>
          <w:vertAlign w:val="baseline"/>
        </w:rPr>
        <w:t>O). Although the liming effect generally has a duration of a few years (after which lime is again added), depending on climate, soil and cropping practices, the </w:t>
      </w:r>
      <w:r>
        <w:rPr>
          <w:i/>
          <w:vertAlign w:val="baseline"/>
        </w:rPr>
        <w:t>IPCC Guidelines </w:t>
      </w:r>
      <w:r>
        <w:rPr>
          <w:vertAlign w:val="baseline"/>
        </w:rPr>
        <w:t>account for emission as CO</w:t>
      </w:r>
      <w:r>
        <w:rPr>
          <w:vertAlign w:val="subscript"/>
        </w:rPr>
        <w:t>2</w:t>
      </w:r>
      <w:r>
        <w:rPr>
          <w:vertAlign w:val="baseline"/>
        </w:rPr>
        <w:t> of all the added carbonate carbon in the year of application. Thus the basic methodology is simply the amount of agricultural lime applied times an emission factor that varies slightly depending on the composition of the material</w:t>
      </w:r>
      <w:r>
        <w:rPr>
          <w:spacing w:val="-1"/>
          <w:vertAlign w:val="baseline"/>
        </w:rPr>
        <w:t> </w:t>
      </w:r>
      <w:r>
        <w:rPr>
          <w:vertAlign w:val="baseline"/>
        </w:rPr>
        <w:t>added.</w:t>
      </w:r>
    </w:p>
    <w:p>
      <w:pPr>
        <w:spacing w:after="0"/>
        <w:jc w:val="both"/>
        <w:sectPr>
          <w:type w:val="continuous"/>
          <w:pgSz w:w="11900" w:h="16840"/>
          <w:pgMar w:top="1060" w:bottom="280" w:left="1200" w:right="1140"/>
        </w:sectPr>
      </w:pPr>
    </w:p>
    <w:p>
      <w:pPr>
        <w:pStyle w:val="BodyText"/>
      </w:pPr>
    </w:p>
    <w:p>
      <w:pPr>
        <w:pStyle w:val="BodyText"/>
        <w:spacing w:before="10" w:after="1"/>
        <w:rPr>
          <w:sz w:val="18"/>
        </w:rPr>
      </w:pPr>
    </w:p>
    <w:p>
      <w:pPr>
        <w:pStyle w:val="BodyText"/>
        <w:ind w:left="624"/>
      </w:pPr>
      <w:r>
        <w:rPr>
          <w:position w:val="0"/>
        </w:rPr>
        <w:pict>
          <v:shape style="width:411.5pt;height:52.95pt;mso-position-horizontal-relative:char;mso-position-vertical-relative:line" type="#_x0000_t202" filled="false" stroked="true" strokeweight="1.44pt" strokecolor="#000000">
            <w10:anchorlock/>
            <v:textbox inset="0,0,0,0">
              <w:txbxContent>
                <w:p>
                  <w:pPr>
                    <w:spacing w:line="229" w:lineRule="exact" w:before="99"/>
                    <w:ind w:left="68" w:right="68" w:firstLine="0"/>
                    <w:jc w:val="center"/>
                    <w:rPr>
                      <w:b/>
                      <w:sz w:val="20"/>
                    </w:rPr>
                  </w:pPr>
                  <w:r>
                    <w:rPr>
                      <w:b/>
                      <w:sz w:val="20"/>
                    </w:rPr>
                    <w:t>E</w:t>
                  </w:r>
                  <w:r>
                    <w:rPr>
                      <w:b/>
                      <w:sz w:val="16"/>
                    </w:rPr>
                    <w:t>QUATION </w:t>
                  </w:r>
                  <w:r>
                    <w:rPr>
                      <w:b/>
                      <w:sz w:val="20"/>
                    </w:rPr>
                    <w:t>3.3.6</w:t>
                  </w:r>
                </w:p>
                <w:p>
                  <w:pPr>
                    <w:spacing w:line="229" w:lineRule="exact" w:before="0"/>
                    <w:ind w:left="67" w:right="68" w:firstLine="0"/>
                    <w:jc w:val="center"/>
                    <w:rPr>
                      <w:b/>
                      <w:sz w:val="16"/>
                    </w:rPr>
                  </w:pPr>
                  <w:r>
                    <w:rPr>
                      <w:b/>
                      <w:sz w:val="20"/>
                    </w:rPr>
                    <w:t>A</w:t>
                  </w:r>
                  <w:r>
                    <w:rPr>
                      <w:b/>
                      <w:sz w:val="16"/>
                    </w:rPr>
                    <w:t>NNUAL CARBON EMISSIONS FROM AGRICULTURAL LIME APPLICATION</w:t>
                  </w:r>
                </w:p>
                <w:p>
                  <w:pPr>
                    <w:spacing w:before="80"/>
                    <w:ind w:left="68" w:right="68" w:firstLine="0"/>
                    <w:jc w:val="center"/>
                    <w:rPr>
                      <w:sz w:val="13"/>
                    </w:rPr>
                  </w:pPr>
                  <w:r>
                    <w:rPr>
                      <w:position w:val="3"/>
                      <w:sz w:val="20"/>
                    </w:rPr>
                    <w:t>∆C</w:t>
                  </w:r>
                  <w:r>
                    <w:rPr>
                      <w:sz w:val="13"/>
                    </w:rPr>
                    <w:t>CC</w:t>
                  </w:r>
                  <w:r>
                    <w:rPr>
                      <w:position w:val="-5"/>
                      <w:sz w:val="13"/>
                    </w:rPr>
                    <w:t>Lime </w:t>
                  </w:r>
                  <w:r>
                    <w:rPr>
                      <w:position w:val="3"/>
                      <w:sz w:val="20"/>
                    </w:rPr>
                    <w:t>= M</w:t>
                  </w:r>
                  <w:r>
                    <w:rPr>
                      <w:sz w:val="13"/>
                    </w:rPr>
                    <w:t>Limestone </w:t>
                  </w:r>
                  <w:r>
                    <w:rPr>
                      <w:position w:val="3"/>
                      <w:sz w:val="20"/>
                    </w:rPr>
                    <w:t>● EF</w:t>
                  </w:r>
                  <w:r>
                    <w:rPr>
                      <w:sz w:val="13"/>
                    </w:rPr>
                    <w:t>Limestone </w:t>
                  </w:r>
                  <w:r>
                    <w:rPr>
                      <w:position w:val="3"/>
                      <w:sz w:val="20"/>
                    </w:rPr>
                    <w:t>+ M</w:t>
                  </w:r>
                  <w:r>
                    <w:rPr>
                      <w:sz w:val="13"/>
                    </w:rPr>
                    <w:t>Dolomite </w:t>
                  </w:r>
                  <w:r>
                    <w:rPr>
                      <w:position w:val="3"/>
                      <w:sz w:val="20"/>
                    </w:rPr>
                    <w:t>● EF</w:t>
                  </w:r>
                  <w:r>
                    <w:rPr>
                      <w:sz w:val="13"/>
                    </w:rPr>
                    <w:t>Dolomite</w:t>
                  </w:r>
                </w:p>
              </w:txbxContent>
            </v:textbox>
            <v:stroke dashstyle="solid"/>
          </v:shape>
        </w:pict>
      </w:r>
      <w:r>
        <w:rPr>
          <w:position w:val="0"/>
        </w:rPr>
      </w:r>
    </w:p>
    <w:p>
      <w:pPr>
        <w:pStyle w:val="BodyText"/>
        <w:spacing w:before="12"/>
        <w:ind w:left="219"/>
        <w:jc w:val="both"/>
      </w:pPr>
      <w:r>
        <w:rPr/>
        <w:t>Where:</w:t>
      </w:r>
    </w:p>
    <w:p>
      <w:pPr>
        <w:pStyle w:val="BodyText"/>
        <w:tabs>
          <w:tab w:pos="1536" w:val="left" w:leader="none"/>
        </w:tabs>
        <w:spacing w:line="193" w:lineRule="exact" w:before="120"/>
        <w:ind w:left="785"/>
      </w:pPr>
      <w:r>
        <w:rPr/>
        <w:pict>
          <v:shape style="position:absolute;margin-left:112.000603pt;margin-top:11.121856pt;width:8.65pt;height:7.2pt;mso-position-horizontal-relative:page;mso-position-vertical-relative:paragraph;z-index:-2446144" type="#_x0000_t202" filled="false" stroked="false">
            <v:textbox inset="0,0,0,0">
              <w:txbxContent>
                <w:p>
                  <w:pPr>
                    <w:spacing w:line="144" w:lineRule="exact" w:before="0"/>
                    <w:ind w:left="0" w:right="0" w:firstLine="0"/>
                    <w:jc w:val="left"/>
                    <w:rPr>
                      <w:sz w:val="13"/>
                    </w:rPr>
                  </w:pPr>
                  <w:r>
                    <w:rPr>
                      <w:spacing w:val="-1"/>
                      <w:sz w:val="13"/>
                    </w:rPr>
                    <w:t>CC</w:t>
                  </w:r>
                </w:p>
              </w:txbxContent>
            </v:textbox>
            <w10:wrap type="none"/>
          </v:shape>
        </w:pict>
      </w:r>
      <w:r>
        <w:rPr/>
        <w:t>∆C</w:t>
        <w:tab/>
        <w:t>= annual C emissions from agricultural lime application, tonnes C</w:t>
      </w:r>
      <w:r>
        <w:rPr>
          <w:spacing w:val="-7"/>
        </w:rPr>
        <w:t> </w:t>
      </w:r>
      <w:r>
        <w:rPr/>
        <w:t>yr</w:t>
      </w:r>
      <w:r>
        <w:rPr>
          <w:vertAlign w:val="superscript"/>
        </w:rPr>
        <w:t>-1</w:t>
      </w:r>
    </w:p>
    <w:p>
      <w:pPr>
        <w:spacing w:line="113" w:lineRule="exact" w:before="0"/>
        <w:ind w:left="1215" w:right="0" w:firstLine="0"/>
        <w:jc w:val="left"/>
        <w:rPr>
          <w:sz w:val="13"/>
        </w:rPr>
      </w:pPr>
      <w:r>
        <w:rPr>
          <w:sz w:val="13"/>
        </w:rPr>
        <w:t>Lime</w:t>
      </w:r>
    </w:p>
    <w:p>
      <w:pPr>
        <w:pStyle w:val="BodyText"/>
        <w:spacing w:before="104"/>
        <w:ind w:left="785"/>
      </w:pPr>
      <w:r>
        <w:rPr/>
        <w:t>M = annual amount of calcic limestone (CaCO</w:t>
      </w:r>
      <w:r>
        <w:rPr>
          <w:vertAlign w:val="subscript"/>
        </w:rPr>
        <w:t>3</w:t>
      </w:r>
      <w:r>
        <w:rPr>
          <w:vertAlign w:val="baseline"/>
        </w:rPr>
        <w:t>) or dolomite (CaMg(CO</w:t>
      </w:r>
      <w:r>
        <w:rPr>
          <w:vertAlign w:val="subscript"/>
        </w:rPr>
        <w:t>3</w:t>
      </w:r>
      <w:r>
        <w:rPr>
          <w:vertAlign w:val="baseline"/>
        </w:rPr>
        <w:t>)</w:t>
      </w:r>
      <w:r>
        <w:rPr>
          <w:vertAlign w:val="subscript"/>
        </w:rPr>
        <w:t>2</w:t>
      </w:r>
      <w:r>
        <w:rPr>
          <w:vertAlign w:val="baseline"/>
        </w:rPr>
        <w:t>), tonnes yr</w:t>
      </w:r>
      <w:r>
        <w:rPr>
          <w:vertAlign w:val="superscript"/>
        </w:rPr>
        <w:t>-1</w:t>
      </w:r>
    </w:p>
    <w:p>
      <w:pPr>
        <w:pStyle w:val="BodyText"/>
        <w:spacing w:before="121"/>
        <w:ind w:left="1239" w:hanging="454"/>
      </w:pPr>
      <w:r>
        <w:rPr/>
        <w:t>EF = emission factor, tonnes C (tonne limestone or dolomite)</w:t>
      </w:r>
      <w:r>
        <w:rPr>
          <w:vertAlign w:val="superscript"/>
        </w:rPr>
        <w:t>-1</w:t>
      </w:r>
      <w:r>
        <w:rPr>
          <w:vertAlign w:val="baseline"/>
        </w:rPr>
        <w:t> (These are equivalent to carbonate carbon contents of the materials (12% for CaCO</w:t>
      </w:r>
      <w:r>
        <w:rPr>
          <w:vertAlign w:val="subscript"/>
        </w:rPr>
        <w:t>3</w:t>
      </w:r>
      <w:r>
        <w:rPr>
          <w:vertAlign w:val="baseline"/>
        </w:rPr>
        <w:t>, 12.2% for CaMg(CO</w:t>
      </w:r>
      <w:r>
        <w:rPr>
          <w:vertAlign w:val="subscript"/>
        </w:rPr>
        <w:t>3</w:t>
      </w:r>
      <w:r>
        <w:rPr>
          <w:vertAlign w:val="baseline"/>
        </w:rPr>
        <w:t>)</w:t>
      </w:r>
      <w:r>
        <w:rPr>
          <w:vertAlign w:val="subscript"/>
        </w:rPr>
        <w:t>2</w:t>
      </w:r>
      <w:r>
        <w:rPr>
          <w:vertAlign w:val="baseline"/>
        </w:rPr>
        <w:t> )).</w:t>
      </w:r>
    </w:p>
    <w:p>
      <w:pPr>
        <w:pStyle w:val="BodyText"/>
        <w:spacing w:before="118"/>
        <w:ind w:left="219" w:right="263"/>
        <w:jc w:val="both"/>
      </w:pPr>
      <w:r>
        <w:rPr>
          <w:b/>
        </w:rPr>
        <w:t>Tier 1: </w:t>
      </w:r>
      <w:r>
        <w:rPr/>
        <w:t>For Tier 1, the total amount of carbonate containing lime applied annually to cropland soil and an  overall emission factor of 0.12 can be used to estimate CO</w:t>
      </w:r>
      <w:r>
        <w:rPr>
          <w:vertAlign w:val="subscript"/>
        </w:rPr>
        <w:t>2</w:t>
      </w:r>
      <w:r>
        <w:rPr>
          <w:vertAlign w:val="baseline"/>
        </w:rPr>
        <w:t> emissions, without differentiating between variable compositions of lime material. Note that while carbonate limes are the dominant liming material used, oxides and hydroxides of lime, which do not contain inorganic carbon, are used to a limited extent for agricultural liming</w:t>
      </w:r>
      <w:r>
        <w:rPr>
          <w:spacing w:val="-4"/>
          <w:vertAlign w:val="baseline"/>
        </w:rPr>
        <w:t> </w:t>
      </w:r>
      <w:r>
        <w:rPr>
          <w:vertAlign w:val="baseline"/>
        </w:rPr>
        <w:t>and</w:t>
      </w:r>
      <w:r>
        <w:rPr>
          <w:spacing w:val="-2"/>
          <w:vertAlign w:val="baseline"/>
        </w:rPr>
        <w:t> </w:t>
      </w:r>
      <w:r>
        <w:rPr>
          <w:vertAlign w:val="baseline"/>
        </w:rPr>
        <w:t>should</w:t>
      </w:r>
      <w:r>
        <w:rPr>
          <w:spacing w:val="-2"/>
          <w:vertAlign w:val="baseline"/>
        </w:rPr>
        <w:t> </w:t>
      </w:r>
      <w:r>
        <w:rPr>
          <w:vertAlign w:val="baseline"/>
        </w:rPr>
        <w:t>not</w:t>
      </w:r>
      <w:r>
        <w:rPr>
          <w:spacing w:val="-3"/>
          <w:vertAlign w:val="baseline"/>
        </w:rPr>
        <w:t> </w:t>
      </w:r>
      <w:r>
        <w:rPr>
          <w:vertAlign w:val="baseline"/>
        </w:rPr>
        <w:t>be</w:t>
      </w:r>
      <w:r>
        <w:rPr>
          <w:spacing w:val="-2"/>
          <w:vertAlign w:val="baseline"/>
        </w:rPr>
        <w:t> </w:t>
      </w:r>
      <w:r>
        <w:rPr>
          <w:vertAlign w:val="baseline"/>
        </w:rPr>
        <w:t>included</w:t>
      </w:r>
      <w:r>
        <w:rPr>
          <w:spacing w:val="-2"/>
          <w:vertAlign w:val="baseline"/>
        </w:rPr>
        <w:t> </w:t>
      </w:r>
      <w:r>
        <w:rPr>
          <w:vertAlign w:val="baseline"/>
        </w:rPr>
        <w:t>here</w:t>
      </w:r>
      <w:r>
        <w:rPr>
          <w:spacing w:val="-1"/>
          <w:vertAlign w:val="baseline"/>
        </w:rPr>
        <w:t> </w:t>
      </w:r>
      <w:r>
        <w:rPr>
          <w:vertAlign w:val="baseline"/>
        </w:rPr>
        <w:t>(CO</w:t>
      </w:r>
      <w:r>
        <w:rPr>
          <w:vertAlign w:val="subscript"/>
        </w:rPr>
        <w:t>2</w:t>
      </w:r>
      <w:r>
        <w:rPr>
          <w:spacing w:val="-3"/>
          <w:vertAlign w:val="baseline"/>
        </w:rPr>
        <w:t> </w:t>
      </w:r>
      <w:r>
        <w:rPr>
          <w:vertAlign w:val="baseline"/>
        </w:rPr>
        <w:t>is</w:t>
      </w:r>
      <w:r>
        <w:rPr>
          <w:spacing w:val="-3"/>
          <w:vertAlign w:val="baseline"/>
        </w:rPr>
        <w:t> </w:t>
      </w:r>
      <w:r>
        <w:rPr>
          <w:vertAlign w:val="baseline"/>
        </w:rPr>
        <w:t>produced</w:t>
      </w:r>
      <w:r>
        <w:rPr>
          <w:spacing w:val="-2"/>
          <w:vertAlign w:val="baseline"/>
        </w:rPr>
        <w:t> </w:t>
      </w:r>
      <w:r>
        <w:rPr>
          <w:vertAlign w:val="baseline"/>
        </w:rPr>
        <w:t>in</w:t>
      </w:r>
      <w:r>
        <w:rPr>
          <w:spacing w:val="-4"/>
          <w:vertAlign w:val="baseline"/>
        </w:rPr>
        <w:t> </w:t>
      </w:r>
      <w:r>
        <w:rPr>
          <w:vertAlign w:val="baseline"/>
        </w:rPr>
        <w:t>their</w:t>
      </w:r>
      <w:r>
        <w:rPr>
          <w:spacing w:val="-1"/>
          <w:vertAlign w:val="baseline"/>
        </w:rPr>
        <w:t> </w:t>
      </w:r>
      <w:r>
        <w:rPr>
          <w:vertAlign w:val="baseline"/>
        </w:rPr>
        <w:t>manufacture</w:t>
      </w:r>
      <w:r>
        <w:rPr>
          <w:spacing w:val="-2"/>
          <w:vertAlign w:val="baseline"/>
        </w:rPr>
        <w:t> </w:t>
      </w:r>
      <w:r>
        <w:rPr>
          <w:vertAlign w:val="baseline"/>
        </w:rPr>
        <w:t>but</w:t>
      </w:r>
      <w:r>
        <w:rPr>
          <w:spacing w:val="-1"/>
          <w:vertAlign w:val="baseline"/>
        </w:rPr>
        <w:t> </w:t>
      </w:r>
      <w:r>
        <w:rPr>
          <w:vertAlign w:val="baseline"/>
        </w:rPr>
        <w:t>not</w:t>
      </w:r>
      <w:r>
        <w:rPr>
          <w:spacing w:val="-3"/>
          <w:vertAlign w:val="baseline"/>
        </w:rPr>
        <w:t> </w:t>
      </w:r>
      <w:r>
        <w:rPr>
          <w:vertAlign w:val="baseline"/>
        </w:rPr>
        <w:t>following</w:t>
      </w:r>
      <w:r>
        <w:rPr>
          <w:spacing w:val="-4"/>
          <w:vertAlign w:val="baseline"/>
        </w:rPr>
        <w:t> </w:t>
      </w:r>
      <w:r>
        <w:rPr>
          <w:vertAlign w:val="baseline"/>
        </w:rPr>
        <w:t>soil</w:t>
      </w:r>
      <w:r>
        <w:rPr>
          <w:spacing w:val="-3"/>
          <w:vertAlign w:val="baseline"/>
        </w:rPr>
        <w:t> </w:t>
      </w:r>
      <w:r>
        <w:rPr>
          <w:vertAlign w:val="baseline"/>
        </w:rPr>
        <w:t>application).</w:t>
      </w:r>
    </w:p>
    <w:p>
      <w:pPr>
        <w:pStyle w:val="BodyText"/>
        <w:spacing w:before="120"/>
        <w:ind w:left="219" w:right="263"/>
        <w:jc w:val="both"/>
      </w:pPr>
      <w:r>
        <w:rPr>
          <w:b/>
        </w:rPr>
        <w:t>Tier 2: </w:t>
      </w:r>
      <w:r>
        <w:rPr/>
        <w:t>A Tier 2 approach could entail differentiation of different forms of lime and specific emission factors if data are available, since different carbonate liming materials (limestone as well as other sources such as marl and shell deposits) can vary somewhat in their carbon content and overall purity.</w:t>
      </w:r>
    </w:p>
    <w:p>
      <w:pPr>
        <w:pStyle w:val="BodyText"/>
        <w:spacing w:before="119"/>
        <w:ind w:left="219" w:right="265"/>
        <w:jc w:val="both"/>
      </w:pPr>
      <w:r>
        <w:rPr>
          <w:b/>
        </w:rPr>
        <w:t>Tier 3: </w:t>
      </w:r>
      <w:r>
        <w:rPr/>
        <w:t>A Tier 3 approach could entail a more detailed accounting of emissions stemming from  lime applications than is assumed under Tiers 1 and 2. Depending on climate and soil conditions, biocarbonate derived from lime application may not all be released as CO</w:t>
      </w:r>
      <w:r>
        <w:rPr>
          <w:vertAlign w:val="subscript"/>
        </w:rPr>
        <w:t>2</w:t>
      </w:r>
      <w:r>
        <w:rPr>
          <w:vertAlign w:val="baseline"/>
        </w:rPr>
        <w:t> in the soil or from drainage water – some can be leached and precipitated deeper in the soil profile or be transported to deep groundwater, lakes and oceans and sequestered. If sufficient data and understanding of inorganic carbon transformation for specific climate-soil conditions are available, specific emission factors could be derived. However, such an analysis would likely necessitate including carbon fluxes associated with primary and secondary carbonate minerals in soil and their response to agricultural management</w:t>
      </w:r>
      <w:r>
        <w:rPr>
          <w:spacing w:val="3"/>
          <w:vertAlign w:val="baseline"/>
        </w:rPr>
        <w:t> </w:t>
      </w:r>
      <w:r>
        <w:rPr>
          <w:vertAlign w:val="baseline"/>
        </w:rPr>
        <w:t>practices.</w:t>
      </w:r>
    </w:p>
    <w:p>
      <w:pPr>
        <w:pStyle w:val="BodyText"/>
        <w:spacing w:before="2"/>
        <w:rPr>
          <w:sz w:val="21"/>
        </w:rPr>
      </w:pPr>
    </w:p>
    <w:p>
      <w:pPr>
        <w:pStyle w:val="Heading6"/>
        <w:numPr>
          <w:ilvl w:val="5"/>
          <w:numId w:val="61"/>
        </w:numPr>
        <w:tabs>
          <w:tab w:pos="1450" w:val="left" w:leader="none"/>
        </w:tabs>
        <w:spacing w:line="240" w:lineRule="auto" w:before="0" w:after="0"/>
        <w:ind w:left="1449" w:right="0" w:hanging="1230"/>
        <w:jc w:val="both"/>
      </w:pPr>
      <w:r>
        <w:rPr/>
        <w:t>2 </w:t>
      </w:r>
      <w:r>
        <w:rPr>
          <w:spacing w:val="16"/>
        </w:rPr>
        <w:t>Choice </w:t>
      </w:r>
      <w:r>
        <w:rPr>
          <w:spacing w:val="9"/>
        </w:rPr>
        <w:t>of </w:t>
      </w:r>
      <w:r>
        <w:rPr>
          <w:spacing w:val="17"/>
        </w:rPr>
        <w:t>Emission/Removal</w:t>
      </w:r>
      <w:r>
        <w:rPr>
          <w:spacing w:val="16"/>
        </w:rPr>
        <w:t> </w:t>
      </w:r>
      <w:r>
        <w:rPr>
          <w:spacing w:val="19"/>
        </w:rPr>
        <w:t>Factors</w:t>
      </w:r>
    </w:p>
    <w:p>
      <w:pPr>
        <w:pStyle w:val="Heading7"/>
        <w:spacing w:before="182"/>
      </w:pPr>
      <w:r>
        <w:rPr/>
        <w:t>Mineral soils </w:t>
      </w:r>
    </w:p>
    <w:p>
      <w:pPr>
        <w:pStyle w:val="BodyText"/>
        <w:spacing w:line="235" w:lineRule="auto"/>
        <w:ind w:left="219" w:right="267"/>
        <w:jc w:val="both"/>
      </w:pPr>
      <w:r>
        <w:rPr/>
        <w:t>When using either the Tier 1 or Tier 2 method, the following emission/removal factors are needed for mineral soils: reference carbon stock (SOC</w:t>
      </w:r>
      <w:r>
        <w:rPr>
          <w:position w:val="-2"/>
          <w:sz w:val="10"/>
        </w:rPr>
        <w:t>REF</w:t>
      </w:r>
      <w:r>
        <w:rPr/>
        <w:t>); stock change factor for land-use change (F</w:t>
      </w:r>
      <w:r>
        <w:rPr>
          <w:vertAlign w:val="subscript"/>
        </w:rPr>
        <w:t>LU</w:t>
      </w:r>
      <w:r>
        <w:rPr>
          <w:vertAlign w:val="baseline"/>
        </w:rPr>
        <w:t>); stock change factor for management regime (F</w:t>
      </w:r>
      <w:r>
        <w:rPr>
          <w:vertAlign w:val="subscript"/>
        </w:rPr>
        <w:t>MG</w:t>
      </w:r>
      <w:r>
        <w:rPr>
          <w:vertAlign w:val="baseline"/>
        </w:rPr>
        <w:t>); stock change factor for input of organic matter (F</w:t>
      </w:r>
      <w:r>
        <w:rPr>
          <w:vertAlign w:val="subscript"/>
        </w:rPr>
        <w:t>I</w:t>
      </w:r>
      <w:r>
        <w:rPr>
          <w:vertAlign w:val="baseline"/>
        </w:rPr>
        <w:t>).</w:t>
      </w:r>
    </w:p>
    <w:p>
      <w:pPr>
        <w:spacing w:before="126"/>
        <w:ind w:left="219" w:right="0" w:firstLine="0"/>
        <w:jc w:val="both"/>
        <w:rPr>
          <w:b/>
          <w:sz w:val="20"/>
        </w:rPr>
      </w:pPr>
      <w:r>
        <w:rPr>
          <w:b/>
          <w:sz w:val="20"/>
        </w:rPr>
        <w:t>Reference carbon stocks (SOC</w:t>
      </w:r>
      <w:r>
        <w:rPr>
          <w:b/>
          <w:position w:val="-2"/>
          <w:sz w:val="10"/>
        </w:rPr>
        <w:t>REF</w:t>
      </w:r>
      <w:r>
        <w:rPr>
          <w:b/>
          <w:sz w:val="20"/>
        </w:rPr>
        <w:t>)</w:t>
      </w:r>
    </w:p>
    <w:p>
      <w:pPr>
        <w:pStyle w:val="BodyText"/>
        <w:spacing w:before="107"/>
        <w:ind w:left="219" w:right="269"/>
        <w:jc w:val="both"/>
      </w:pPr>
      <w:r>
        <w:rPr/>
        <w:t>Soils under native vegetation that have not been subject to significant land use and management impacts are used as a baseline or reference to which management-induced changes in soil carbon can be related.</w:t>
      </w:r>
    </w:p>
    <w:p>
      <w:pPr>
        <w:spacing w:line="233" w:lineRule="exact" w:before="121"/>
        <w:ind w:left="219" w:right="0" w:firstLine="0"/>
        <w:jc w:val="both"/>
        <w:rPr>
          <w:sz w:val="20"/>
        </w:rPr>
      </w:pPr>
      <w:r>
        <w:rPr>
          <w:b/>
          <w:sz w:val="20"/>
        </w:rPr>
        <w:t>Tier 1: </w:t>
      </w:r>
      <w:r>
        <w:rPr>
          <w:sz w:val="20"/>
        </w:rPr>
        <w:t>Under Tier 1, it is </w:t>
      </w:r>
      <w:r>
        <w:rPr>
          <w:i/>
          <w:sz w:val="20"/>
        </w:rPr>
        <w:t>good practice </w:t>
      </w:r>
      <w:r>
        <w:rPr>
          <w:sz w:val="20"/>
        </w:rPr>
        <w:t>to use the default reference carbon stocks (SOC</w:t>
      </w:r>
      <w:r>
        <w:rPr>
          <w:position w:val="-2"/>
          <w:sz w:val="10"/>
        </w:rPr>
        <w:t>REF</w:t>
      </w:r>
      <w:r>
        <w:rPr>
          <w:sz w:val="20"/>
        </w:rPr>
        <w:t>) provided in Table</w:t>
      </w:r>
    </w:p>
    <w:p>
      <w:pPr>
        <w:pStyle w:val="ListParagraph"/>
        <w:numPr>
          <w:ilvl w:val="2"/>
          <w:numId w:val="63"/>
        </w:numPr>
        <w:tabs>
          <w:tab w:pos="756" w:val="left" w:leader="none"/>
        </w:tabs>
        <w:spacing w:line="240" w:lineRule="auto" w:before="0" w:after="0"/>
        <w:ind w:left="219" w:right="265" w:firstLine="0"/>
        <w:jc w:val="both"/>
        <w:rPr>
          <w:sz w:val="20"/>
        </w:rPr>
      </w:pPr>
      <w:r>
        <w:rPr>
          <w:sz w:val="20"/>
        </w:rPr>
        <w:t>These are updated from those provided in the </w:t>
      </w:r>
      <w:r>
        <w:rPr>
          <w:i/>
          <w:sz w:val="20"/>
        </w:rPr>
        <w:t>IPCC Guidelines </w:t>
      </w:r>
      <w:r>
        <w:rPr>
          <w:sz w:val="20"/>
        </w:rPr>
        <w:t>with the following improvements: i) estimates are statistically-derived from recent compilations of soil profiles under native vegetation, ii) ‘Spodic’ soils (defined as boreal and temperate zone podzols in WRB classification, Spodosols in USDA classification) are included as a separate category, iii) soils within the boreal climate region have been</w:t>
      </w:r>
      <w:r>
        <w:rPr>
          <w:spacing w:val="-7"/>
          <w:sz w:val="20"/>
        </w:rPr>
        <w:t> </w:t>
      </w:r>
      <w:r>
        <w:rPr>
          <w:sz w:val="20"/>
        </w:rPr>
        <w:t>included.</w:t>
      </w:r>
    </w:p>
    <w:p>
      <w:pPr>
        <w:pStyle w:val="BodyText"/>
        <w:spacing w:before="114"/>
        <w:ind w:left="219" w:right="264"/>
        <w:jc w:val="both"/>
      </w:pPr>
      <w:r>
        <w:rPr>
          <w:b/>
        </w:rPr>
        <w:t>Tier 2: </w:t>
      </w:r>
      <w:r>
        <w:rPr/>
        <w:t>For Tier 2, reference soil C stocks can be determined from measurements of soils, for example, as part  of a country’s soil survey and mapping activities. Advantages include more representative values for an individual country and the ability to better estimate probability distribution functions that can be used in a formal uncertainty analysis. Accepted standards for sampling and analysis of soil organic carbon and bulk density should be used and</w:t>
      </w:r>
      <w:r>
        <w:rPr>
          <w:spacing w:val="3"/>
        </w:rPr>
        <w:t> </w:t>
      </w:r>
      <w:r>
        <w:rPr/>
        <w:t>documented.</w:t>
      </w:r>
    </w:p>
    <w:p>
      <w:pPr>
        <w:spacing w:before="124"/>
        <w:ind w:left="219" w:right="0" w:firstLine="0"/>
        <w:jc w:val="both"/>
        <w:rPr>
          <w:b/>
          <w:sz w:val="20"/>
        </w:rPr>
      </w:pPr>
      <w:r>
        <w:rPr>
          <w:b/>
          <w:sz w:val="20"/>
        </w:rPr>
        <w:t>Stock change factors (F</w:t>
      </w:r>
      <w:r>
        <w:rPr>
          <w:b/>
          <w:sz w:val="20"/>
          <w:vertAlign w:val="subscript"/>
        </w:rPr>
        <w:t>LU</w:t>
      </w:r>
      <w:r>
        <w:rPr>
          <w:b/>
          <w:sz w:val="20"/>
          <w:vertAlign w:val="baseline"/>
        </w:rPr>
        <w:t>, F</w:t>
      </w:r>
      <w:r>
        <w:rPr>
          <w:b/>
          <w:sz w:val="20"/>
          <w:vertAlign w:val="subscript"/>
        </w:rPr>
        <w:t>MG</w:t>
      </w:r>
      <w:r>
        <w:rPr>
          <w:b/>
          <w:sz w:val="20"/>
          <w:vertAlign w:val="baseline"/>
        </w:rPr>
        <w:t>, F</w:t>
      </w:r>
      <w:r>
        <w:rPr>
          <w:b/>
          <w:sz w:val="20"/>
          <w:vertAlign w:val="subscript"/>
        </w:rPr>
        <w:t>I</w:t>
      </w:r>
      <w:r>
        <w:rPr>
          <w:b/>
          <w:sz w:val="20"/>
          <w:vertAlign w:val="baseline"/>
        </w:rPr>
        <w:t>)</w:t>
      </w:r>
    </w:p>
    <w:p>
      <w:pPr>
        <w:spacing w:before="116"/>
        <w:ind w:left="219" w:right="0" w:firstLine="0"/>
        <w:jc w:val="both"/>
        <w:rPr>
          <w:sz w:val="20"/>
        </w:rPr>
      </w:pPr>
      <w:r>
        <w:rPr>
          <w:b/>
          <w:sz w:val="20"/>
        </w:rPr>
        <w:t>Tier 1: </w:t>
      </w:r>
      <w:r>
        <w:rPr>
          <w:sz w:val="20"/>
        </w:rPr>
        <w:t>Under Tier 1, it is </w:t>
      </w:r>
      <w:r>
        <w:rPr>
          <w:i/>
          <w:sz w:val="20"/>
        </w:rPr>
        <w:t>good practice </w:t>
      </w:r>
      <w:r>
        <w:rPr>
          <w:sz w:val="20"/>
        </w:rPr>
        <w:t>to use default stock change factors </w:t>
      </w:r>
      <w:r>
        <w:rPr>
          <w:b/>
          <w:sz w:val="20"/>
        </w:rPr>
        <w:t>(F</w:t>
      </w:r>
      <w:r>
        <w:rPr>
          <w:b/>
          <w:sz w:val="20"/>
          <w:vertAlign w:val="subscript"/>
        </w:rPr>
        <w:t>LU</w:t>
      </w:r>
      <w:r>
        <w:rPr>
          <w:b/>
          <w:sz w:val="20"/>
          <w:vertAlign w:val="baseline"/>
        </w:rPr>
        <w:t>, F</w:t>
      </w:r>
      <w:r>
        <w:rPr>
          <w:b/>
          <w:sz w:val="20"/>
          <w:vertAlign w:val="subscript"/>
        </w:rPr>
        <w:t>MG</w:t>
      </w:r>
      <w:r>
        <w:rPr>
          <w:b/>
          <w:sz w:val="20"/>
          <w:vertAlign w:val="baseline"/>
        </w:rPr>
        <w:t>, F</w:t>
      </w:r>
      <w:r>
        <w:rPr>
          <w:b/>
          <w:sz w:val="20"/>
          <w:vertAlign w:val="subscript"/>
        </w:rPr>
        <w:t>I</w:t>
      </w:r>
      <w:r>
        <w:rPr>
          <w:b/>
          <w:sz w:val="20"/>
          <w:vertAlign w:val="baseline"/>
        </w:rPr>
        <w:t>) </w:t>
      </w:r>
      <w:r>
        <w:rPr>
          <w:sz w:val="20"/>
          <w:vertAlign w:val="baseline"/>
        </w:rPr>
        <w:t>provided in Table</w:t>
      </w:r>
    </w:p>
    <w:p>
      <w:pPr>
        <w:pStyle w:val="ListParagraph"/>
        <w:numPr>
          <w:ilvl w:val="2"/>
          <w:numId w:val="63"/>
        </w:numPr>
        <w:tabs>
          <w:tab w:pos="766" w:val="left" w:leader="none"/>
        </w:tabs>
        <w:spacing w:line="240" w:lineRule="auto" w:before="0" w:after="0"/>
        <w:ind w:left="219" w:right="268" w:firstLine="0"/>
        <w:jc w:val="both"/>
        <w:rPr>
          <w:sz w:val="20"/>
        </w:rPr>
      </w:pPr>
      <w:r>
        <w:rPr>
          <w:sz w:val="20"/>
        </w:rPr>
        <w:t>These are updated from the </w:t>
      </w:r>
      <w:r>
        <w:rPr>
          <w:i/>
          <w:sz w:val="20"/>
        </w:rPr>
        <w:t>IPCC Guidelines</w:t>
      </w:r>
      <w:r>
        <w:rPr>
          <w:sz w:val="20"/>
        </w:rPr>
        <w:t>, based on a statistical analysis of published research. Definitions guiding the selection of appropriate factor values are provided in the</w:t>
      </w:r>
      <w:r>
        <w:rPr>
          <w:spacing w:val="-5"/>
          <w:sz w:val="20"/>
        </w:rPr>
        <w:t> </w:t>
      </w:r>
      <w:r>
        <w:rPr>
          <w:sz w:val="20"/>
        </w:rPr>
        <w:t>table.</w:t>
      </w:r>
    </w:p>
    <w:p>
      <w:pPr>
        <w:spacing w:after="0" w:line="240" w:lineRule="auto"/>
        <w:jc w:val="both"/>
        <w:rPr>
          <w:sz w:val="20"/>
        </w:rPr>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4"/>
        <w:jc w:val="both"/>
      </w:pPr>
      <w:r>
        <w:rPr>
          <w:b/>
        </w:rPr>
        <w:t>Tier 2: </w:t>
      </w:r>
      <w:r>
        <w:rPr/>
        <w:t>For the Tier 2 method, stock change factors can be estimated from long-term experiments (e.g. Smith </w:t>
      </w:r>
      <w:r>
        <w:rPr>
          <w:i/>
        </w:rPr>
        <w:t>et al.</w:t>
      </w:r>
      <w:r>
        <w:rPr/>
        <w:t>, 1996; Paul </w:t>
      </w:r>
      <w:r>
        <w:rPr>
          <w:i/>
        </w:rPr>
        <w:t>et al.</w:t>
      </w:r>
      <w:r>
        <w:rPr/>
        <w:t>, 1997) or other field measurements (e.g. field chronosequences</w:t>
      </w:r>
      <w:r>
        <w:rPr>
          <w:vertAlign w:val="superscript"/>
        </w:rPr>
        <w:t>2</w:t>
      </w:r>
      <w:r>
        <w:rPr>
          <w:vertAlign w:val="baseline"/>
        </w:rPr>
        <w:t>) for a particular country or region. To estimate stock change factors, information compiled from published studies and other sources should include organic C stock (i.e. mass per unit area to a specified depth) or all information needed to calculate SOC stocks, i.e. percent organic matter together with bulk density. If the percent organic matter and not the percent organic carbon are reported, a conversion factor of 0.58 for the carbon content of soil organic matter can be used. Other information that must be included is depth of measurement and time frame over which the management difference has been expressed. In the absence of specific information upon which to select an alternative depth interval, it is </w:t>
      </w:r>
      <w:r>
        <w:rPr>
          <w:i/>
          <w:vertAlign w:val="baseline"/>
        </w:rPr>
        <w:t>good practice </w:t>
      </w:r>
      <w:r>
        <w:rPr>
          <w:vertAlign w:val="baseline"/>
        </w:rPr>
        <w:t>to compare stock change factors at a depth of at least 30 cm (i.e. the depth used for Tier 1 calculations). Stock changes over a deeper depth may be desirable if a sufficient number of studies are available and if statistically significant differences in stocks due to land management are demonstrated at deeper depths. However, it is critical that the reference soil carbon stocks (SOC</w:t>
      </w:r>
      <w:r>
        <w:rPr>
          <w:vertAlign w:val="subscript"/>
        </w:rPr>
        <w:t>Ref</w:t>
      </w:r>
      <w:r>
        <w:rPr>
          <w:vertAlign w:val="baseline"/>
        </w:rPr>
        <w:t>) and stock change factors be determined to a common depth. Factor values should be compiled for major climate and/or soils types, at least to the level of detail used in the Tier 1 method.</w:t>
      </w:r>
    </w:p>
    <w:p>
      <w:pPr>
        <w:pStyle w:val="BodyText"/>
        <w:spacing w:before="2"/>
        <w:rPr>
          <w:sz w:val="21"/>
        </w:rPr>
      </w:pPr>
    </w:p>
    <w:p>
      <w:pPr>
        <w:pStyle w:val="Heading7"/>
        <w:spacing w:before="1"/>
      </w:pPr>
      <w:r>
        <w:rPr/>
        <w:t>Organic soils</w:t>
      </w:r>
    </w:p>
    <w:p>
      <w:pPr>
        <w:pStyle w:val="BodyText"/>
        <w:ind w:left="219" w:right="267"/>
        <w:jc w:val="both"/>
      </w:pPr>
      <w:r>
        <w:rPr/>
        <w:t>When estimating emissions from organic soils, an emission factor (EF) is required for different climatic regimes where organic soils have been drained for cropland use.</w:t>
      </w:r>
    </w:p>
    <w:p>
      <w:pPr>
        <w:pStyle w:val="BodyText"/>
        <w:spacing w:before="117"/>
        <w:ind w:left="219" w:right="265"/>
        <w:jc w:val="both"/>
      </w:pPr>
      <w:r>
        <w:rPr>
          <w:b/>
        </w:rPr>
        <w:t>Tier 1: </w:t>
      </w:r>
      <w:r>
        <w:rPr/>
        <w:t>For Tier 1, default emission factors, unchanged from the </w:t>
      </w:r>
      <w:r>
        <w:rPr>
          <w:i/>
        </w:rPr>
        <w:t>IPCC Guidelines</w:t>
      </w:r>
      <w:r>
        <w:rPr/>
        <w:t>, are provided in Table 3.3.5. These factors are differentiated by major climate (temperature) regimes and assume that soils have been drained prior to use as cropland. Organic soils used for paddy rice or minor crops grown under flooded conditions (e.g. cranberry bogs, wild rice) are excluded.</w:t>
      </w:r>
    </w:p>
    <w:p>
      <w:pPr>
        <w:pStyle w:val="BodyText"/>
        <w:spacing w:before="120"/>
        <w:ind w:left="219" w:right="263"/>
        <w:jc w:val="both"/>
      </w:pPr>
      <w:r>
        <w:rPr>
          <w:b/>
        </w:rPr>
        <w:t>Tier 2: </w:t>
      </w:r>
      <w:r>
        <w:rPr/>
        <w:t>For Tier 2, it is possible to derive emission factors from literature data on carbon losses from organic soils. Estimates of carbon losses from cultivated organic soils are usually based on measurements of subsidence with fewer studies based on direct measurements of CO</w:t>
      </w:r>
      <w:r>
        <w:rPr>
          <w:vertAlign w:val="subscript"/>
        </w:rPr>
        <w:t>2</w:t>
      </w:r>
      <w:r>
        <w:rPr>
          <w:vertAlign w:val="baseline"/>
        </w:rPr>
        <w:t> fluxes (Klemedtsson </w:t>
      </w:r>
      <w:r>
        <w:rPr>
          <w:i/>
          <w:vertAlign w:val="baseline"/>
        </w:rPr>
        <w:t>et al.</w:t>
      </w:r>
      <w:r>
        <w:rPr>
          <w:vertAlign w:val="baseline"/>
        </w:rPr>
        <w:t>, 1997; Ogle </w:t>
      </w:r>
      <w:r>
        <w:rPr>
          <w:i/>
          <w:vertAlign w:val="baseline"/>
        </w:rPr>
        <w:t>et al.</w:t>
      </w:r>
      <w:r>
        <w:rPr>
          <w:vertAlign w:val="baseline"/>
        </w:rPr>
        <w:t>, 2003). Processes that contribute to subsidence include erosion, compaction, burning, and decomposition. Only decomposition losses should be included in the emission factor estimate. If using subsidence data, appropriate regional conversion factors to determine the proportion of subsidence attributable to oxidation should be used, based on studies measuring both subsidence and CO</w:t>
      </w:r>
      <w:r>
        <w:rPr>
          <w:vertAlign w:val="subscript"/>
        </w:rPr>
        <w:t>2</w:t>
      </w:r>
      <w:r>
        <w:rPr>
          <w:vertAlign w:val="baseline"/>
        </w:rPr>
        <w:t> flux. In the absence of such information, a default factor of</w:t>
      </w:r>
    </w:p>
    <w:p>
      <w:pPr>
        <w:pStyle w:val="BodyText"/>
        <w:ind w:left="219" w:right="259"/>
        <w:jc w:val="both"/>
      </w:pPr>
      <w:r>
        <w:rPr/>
        <w:t>0.5 for oxidation-to-subsidence, on a gram-per-gram equivalent basis, is recommended based on a review by Armentano and Menges (1986). If available, direct measurements of carbon fluxes are recommended as providing the best means of estimating emission rates from organic</w:t>
      </w:r>
      <w:r>
        <w:rPr>
          <w:spacing w:val="-8"/>
        </w:rPr>
        <w:t> </w:t>
      </w:r>
      <w:r>
        <w:rPr/>
        <w:t>soils.</w:t>
      </w:r>
    </w:p>
    <w:p>
      <w:pPr>
        <w:pStyle w:val="BodyText"/>
        <w:rPr>
          <w:sz w:val="21"/>
        </w:rPr>
      </w:pPr>
    </w:p>
    <w:p>
      <w:pPr>
        <w:pStyle w:val="Heading7"/>
        <w:spacing w:line="251" w:lineRule="exact"/>
      </w:pPr>
      <w:r>
        <w:rPr/>
        <w:t>Liming</w:t>
      </w:r>
    </w:p>
    <w:p>
      <w:pPr>
        <w:pStyle w:val="BodyText"/>
        <w:spacing w:line="228" w:lineRule="exact"/>
        <w:ind w:left="219"/>
        <w:jc w:val="both"/>
      </w:pPr>
      <w:r>
        <w:rPr/>
        <w:t>See Section 3.3.1.2.1.1.</w:t>
      </w:r>
    </w:p>
    <w:p>
      <w:pPr>
        <w:pStyle w:val="BodyText"/>
        <w:spacing w:before="5"/>
        <w:rPr>
          <w:sz w:val="21"/>
        </w:rPr>
      </w:pPr>
    </w:p>
    <w:p>
      <w:pPr>
        <w:pStyle w:val="Heading6"/>
        <w:numPr>
          <w:ilvl w:val="5"/>
          <w:numId w:val="64"/>
        </w:numPr>
        <w:tabs>
          <w:tab w:pos="1449" w:val="left" w:leader="none"/>
        </w:tabs>
        <w:spacing w:line="240" w:lineRule="auto" w:before="0" w:after="0"/>
        <w:ind w:left="1448" w:right="0" w:hanging="1229"/>
        <w:jc w:val="both"/>
      </w:pPr>
      <w:r>
        <w:rPr/>
        <w:t>3 </w:t>
      </w:r>
      <w:r>
        <w:rPr>
          <w:spacing w:val="16"/>
        </w:rPr>
        <w:t>Choice </w:t>
      </w:r>
      <w:r>
        <w:rPr>
          <w:spacing w:val="9"/>
        </w:rPr>
        <w:t>of </w:t>
      </w:r>
      <w:r>
        <w:rPr>
          <w:spacing w:val="16"/>
        </w:rPr>
        <w:t>Activity</w:t>
      </w:r>
      <w:r>
        <w:rPr>
          <w:spacing w:val="15"/>
        </w:rPr>
        <w:t> </w:t>
      </w:r>
      <w:r>
        <w:rPr>
          <w:spacing w:val="19"/>
        </w:rPr>
        <w:t>Data</w:t>
      </w:r>
    </w:p>
    <w:p>
      <w:pPr>
        <w:pStyle w:val="Heading7"/>
        <w:spacing w:before="179"/>
      </w:pPr>
      <w:r>
        <w:rPr/>
        <w:t>Mineral Soils </w:t>
      </w:r>
    </w:p>
    <w:p>
      <w:pPr>
        <w:pStyle w:val="BodyText"/>
        <w:ind w:left="219" w:right="266"/>
        <w:jc w:val="both"/>
      </w:pPr>
      <w:r>
        <w:rPr/>
        <w:t>The area of cropland under different management practices (A) is required for estimating mineral soil emissions/removals.</w:t>
      </w:r>
    </w:p>
    <w:p>
      <w:pPr>
        <w:pStyle w:val="BodyText"/>
        <w:spacing w:before="117"/>
        <w:ind w:left="219" w:right="263"/>
        <w:jc w:val="both"/>
      </w:pPr>
      <w:r>
        <w:rPr/>
        <w:t>For existing cropland, activity data should record changes or trends in management practices that affect soil carbon storage, such as crop types and crop rotations, tillage practices, irrigation, manure application, residue management, </w:t>
      </w:r>
      <w:r>
        <w:rPr>
          <w:i/>
        </w:rPr>
        <w:t>etc</w:t>
      </w:r>
      <w:r>
        <w:rPr/>
        <w:t>. Two main types of management activity data exist: 1) aggregate statistics compiled by country or for administrative areas within countries (e.g. provinces, counties) or 2) point-based land use and management inventories making up a statistically-based sample of a country’s land area. Either type of activity data could be used for any of the three tiers, depending on their spatial and temporal resolution. For Tier 1 and Tier 2 inventories, activity data should be stratified by major climatic regions and soil types, since reference soil C stocks vary significantly according to these factors. For the broadly defined soil categories used in Tier 1, national or even global soil maps can be used to delineate soil divisions within the cropland land area. For application of dynamic models and/or a direct measurement-based inventory in Tier 3, similar or more detailed knowledge of the combinations of climate, soil, topographic and management data are needed, but the exact requirements will be in part dependent on the model used.</w:t>
      </w:r>
    </w:p>
    <w:p>
      <w:pPr>
        <w:pStyle w:val="BodyText"/>
        <w:spacing w:before="4"/>
      </w:pPr>
      <w:r>
        <w:rPr/>
        <w:pict>
          <v:line style="position:absolute;mso-position-horizontal-relative:page;mso-position-vertical-relative:paragraph;z-index:8000;mso-wrap-distance-left:0;mso-wrap-distance-right:0" from="70.960999pt,13.943687pt" to="214.960999pt,13.943687pt" stroked="true" strokeweight=".48pt" strokecolor="#000000">
            <v:stroke dashstyle="solid"/>
            <w10:wrap type="topAndBottom"/>
          </v:line>
        </w:pict>
      </w:r>
    </w:p>
    <w:p>
      <w:pPr>
        <w:spacing w:before="153"/>
        <w:ind w:left="360" w:right="263" w:hanging="142"/>
        <w:jc w:val="both"/>
        <w:rPr>
          <w:sz w:val="18"/>
        </w:rPr>
      </w:pPr>
      <w:r>
        <w:rPr>
          <w:position w:val="8"/>
          <w:sz w:val="12"/>
        </w:rPr>
        <w:t>2 </w:t>
      </w:r>
      <w:r>
        <w:rPr>
          <w:sz w:val="18"/>
        </w:rPr>
        <w:t>Chronosequences consist of measurements taken from similar but separate locations that represent a temporal sequence in land use or management, for example, years since deforestation. Efforts are made to control all other between-site differences (e.g. by selecting areas with similar soil type, topography, previous vegetation). Chronosequences are often used as a surrogate for experimental studies or measurements repeated over time at the same</w:t>
      </w:r>
      <w:r>
        <w:rPr>
          <w:spacing w:val="-11"/>
          <w:sz w:val="18"/>
        </w:rPr>
        <w:t> </w:t>
      </w:r>
      <w:r>
        <w:rPr>
          <w:sz w:val="18"/>
        </w:rPr>
        <w:t>location.</w:t>
      </w:r>
    </w:p>
    <w:p>
      <w:pPr>
        <w:spacing w:after="0"/>
        <w:jc w:val="both"/>
        <w:rPr>
          <w:sz w:val="18"/>
        </w:rPr>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2"/>
        <w:jc w:val="both"/>
      </w:pPr>
      <w:r>
        <w:rPr/>
        <w:t>Globally available land use and crop production statistics such as FAO databases (http://apps.fao.org) provide annual compilations of total land area by major land-use types, with some differentiation of management systems, (e.g., irrigated vs. non-irrigated cropland), area in ‘permanent’ crops (i.e. vineyards, orchards), and land area and production for major crops (e.g. wheat, rice, maize, sorghum, etc.). Thus FAO or similar country-total data would require additional in-country information to stratify areas by climate and soil types. If such information has not already been compiled, an initial approach would be to overlay available land cover/land use maps (of national origin or from global datasets such as IGBP_DIS) with soil maps of national origin or global sources such as the FAO Soils Map of the World. Where possible, land areas associated with cropping systems (e.g. rotations and tillage practice), rather than simply area by crop, should be delineated and associated with the appropriate management factor values. [Note: This is applicable to the cropland biomass section as well since the methodology uses area-based estimates for specific crop types such as FAO classified “permanent crops”.] Refer to Chapter 2 of this</w:t>
      </w:r>
      <w:r>
        <w:rPr>
          <w:spacing w:val="-2"/>
        </w:rPr>
        <w:t> </w:t>
      </w:r>
      <w:r>
        <w:rPr/>
        <w:t>report.</w:t>
      </w:r>
    </w:p>
    <w:p>
      <w:pPr>
        <w:pStyle w:val="BodyText"/>
        <w:spacing w:before="118"/>
        <w:ind w:left="219" w:right="262"/>
        <w:jc w:val="both"/>
      </w:pPr>
      <w:r>
        <w:rPr/>
        <w:t>National land-use and resource inventories, comprised of a collection of permanent sample points where data are collected at regular intervals, have some advantages over aggregate agricultural and land-use statistics. Inventory points can more readily be associated with a particular cropping system and the soil type associated with the particular location can be determined by sampling or by referencing the location to a suitable soil map. Inventory points selected based on an appropriate statistical design also enable estimates of the variability associated with activity data, which can be used as part of a formal uncertainty analysis. An example of a point-based resource inventory that includes cropland is the National Resource Inventory in the U.S. (Nusser and Goebel, 1997).</w:t>
      </w:r>
    </w:p>
    <w:p>
      <w:pPr>
        <w:pStyle w:val="BodyText"/>
        <w:spacing w:before="4"/>
        <w:rPr>
          <w:sz w:val="21"/>
        </w:rPr>
      </w:pPr>
    </w:p>
    <w:p>
      <w:pPr>
        <w:pStyle w:val="Heading7"/>
        <w:jc w:val="left"/>
      </w:pPr>
      <w:r>
        <w:rPr/>
        <w:t>Organic Soils </w:t>
      </w:r>
    </w:p>
    <w:p>
      <w:pPr>
        <w:pStyle w:val="BodyText"/>
        <w:ind w:left="219" w:right="263"/>
        <w:jc w:val="both"/>
      </w:pPr>
      <w:r>
        <w:rPr/>
        <w:t>The area of cultivated organic soils by climate regime (A) is required to estimate organic soil emissions. Similar databases and approaches as those outlined above can be used for deriving area estimates. An overlay of soils maps showing the spatial distribution of histosols (i.e. organic soils) with land use maps showing cropland area can provide initial information on areas with organic soils under agricultural use. In addition, because organic soils usually require extensive artificial drainage to be used for agricultural purposes, country-specific data on drainage projects combined with soil maps and surveys can be used to get a more refined estimate of relevant areas.</w:t>
      </w:r>
    </w:p>
    <w:p>
      <w:pPr>
        <w:pStyle w:val="BodyText"/>
        <w:spacing w:before="10"/>
      </w:pPr>
    </w:p>
    <w:p>
      <w:pPr>
        <w:pStyle w:val="Heading6"/>
        <w:numPr>
          <w:ilvl w:val="5"/>
          <w:numId w:val="64"/>
        </w:numPr>
        <w:tabs>
          <w:tab w:pos="1451" w:val="left" w:leader="none"/>
        </w:tabs>
        <w:spacing w:line="240" w:lineRule="auto" w:before="1" w:after="0"/>
        <w:ind w:left="1450" w:right="0" w:hanging="1231"/>
        <w:jc w:val="left"/>
      </w:pPr>
      <w:r>
        <w:rPr/>
        <w:t>4 </w:t>
      </w:r>
      <w:r>
        <w:rPr>
          <w:spacing w:val="17"/>
        </w:rPr>
        <w:t>Uncertainty</w:t>
      </w:r>
      <w:r>
        <w:rPr>
          <w:spacing w:val="24"/>
        </w:rPr>
        <w:t> </w:t>
      </w:r>
      <w:r>
        <w:rPr>
          <w:spacing w:val="18"/>
        </w:rPr>
        <w:t>Assessment</w:t>
      </w:r>
    </w:p>
    <w:p>
      <w:pPr>
        <w:pStyle w:val="BodyText"/>
        <w:spacing w:before="56"/>
        <w:ind w:left="219" w:right="218"/>
        <w:jc w:val="both"/>
      </w:pPr>
      <w:r>
        <w:rPr/>
        <w:t>A formal assessment of uncertainty requires that uncertainty in per area emission/sequestration rates as well as uncertainty in the activity data (i.e. the land areas involved in land-use and management changes), and their interaction be estimated. Where available, estimates of the uncertainty of the revised global default values developed in this report are provided in the tables; these can be used with the appropriate estimates of variability in activity data to estimate uncertainty, using the guidance provided in Chapter 5 of this report. Inventory agencies should be aware that simple global defaults have a relatively high level of uncertainty associated with them when applied to specific countries. In addition, because the field studies available to derive the global defaults are not evenly distributed across climate regions, soil types and management systems, some areas – particularly in tropical regions – are underrepresented. For the Tier 2 methods, probability density functions (i.e. providing mean and variance estimates) can be derived for stock change factors, organic soil emission factors  and reference C stocks as part of the process of deriving region- or country-specific data. For example, Ogle </w:t>
      </w:r>
      <w:r>
        <w:rPr>
          <w:i/>
        </w:rPr>
        <w:t>et al. </w:t>
      </w:r>
      <w:r>
        <w:rPr/>
        <w:t>(2003) applied linear mixed-effect models to derive probability density functions for US specific factor values and reference carbon stocks for agricultural soils. Activity data from a statistically-derived land use and management inventory system should provide a basis to assign estimates of uncertainty to areas associated with land-use and management changes. Combining emission and activity data and their associated uncertainties can be done using Monte-Carlo procedures to estimate means and confidence intervals for the overall inventory  (Ogle </w:t>
      </w:r>
      <w:r>
        <w:rPr>
          <w:i/>
        </w:rPr>
        <w:t>et al.</w:t>
      </w:r>
      <w:r>
        <w:rPr/>
        <w:t>, 2003; Smith and Heath, 2001) – see Chapter 5 of this</w:t>
      </w:r>
      <w:r>
        <w:rPr>
          <w:spacing w:val="-3"/>
        </w:rPr>
        <w:t> </w:t>
      </w:r>
      <w:r>
        <w:rPr/>
        <w:t>report.</w:t>
      </w:r>
    </w:p>
    <w:p>
      <w:pPr>
        <w:tabs>
          <w:tab w:pos="1659" w:val="left" w:leader="none"/>
        </w:tabs>
        <w:spacing w:line="580" w:lineRule="atLeast" w:before="140"/>
        <w:ind w:left="219" w:right="2761" w:firstLine="0"/>
        <w:jc w:val="left"/>
        <w:rPr>
          <w:b/>
          <w:sz w:val="22"/>
        </w:rPr>
      </w:pPr>
      <w:r>
        <w:rPr>
          <w:b/>
          <w:spacing w:val="16"/>
          <w:sz w:val="28"/>
        </w:rPr>
        <w:t>3.3.1.3</w:t>
        <w:tab/>
        <w:t>N</w:t>
      </w:r>
      <w:r>
        <w:rPr>
          <w:b/>
          <w:spacing w:val="16"/>
          <w:sz w:val="22"/>
        </w:rPr>
        <w:t>ON</w:t>
      </w:r>
      <w:r>
        <w:rPr>
          <w:b/>
          <w:spacing w:val="16"/>
          <w:sz w:val="28"/>
        </w:rPr>
        <w:t>-CO</w:t>
      </w:r>
      <w:r>
        <w:rPr>
          <w:b/>
          <w:spacing w:val="16"/>
          <w:sz w:val="28"/>
          <w:vertAlign w:val="subscript"/>
        </w:rPr>
        <w:t>2</w:t>
      </w:r>
      <w:r>
        <w:rPr>
          <w:b/>
          <w:spacing w:val="16"/>
          <w:sz w:val="28"/>
          <w:vertAlign w:val="baseline"/>
        </w:rPr>
        <w:t> </w:t>
      </w:r>
      <w:r>
        <w:rPr>
          <w:b/>
          <w:spacing w:val="17"/>
          <w:sz w:val="22"/>
          <w:vertAlign w:val="baseline"/>
        </w:rPr>
        <w:t>GREENHOUSE </w:t>
      </w:r>
      <w:r>
        <w:rPr>
          <w:b/>
          <w:spacing w:val="12"/>
          <w:sz w:val="22"/>
          <w:vertAlign w:val="baseline"/>
        </w:rPr>
        <w:t>GAS </w:t>
      </w:r>
      <w:r>
        <w:rPr>
          <w:b/>
          <w:spacing w:val="16"/>
          <w:sz w:val="22"/>
          <w:vertAlign w:val="baseline"/>
        </w:rPr>
        <w:t>EMISSIONS NITROUS</w:t>
      </w:r>
      <w:r>
        <w:rPr>
          <w:b/>
          <w:spacing w:val="38"/>
          <w:sz w:val="22"/>
          <w:vertAlign w:val="baseline"/>
        </w:rPr>
        <w:t> </w:t>
      </w:r>
      <w:r>
        <w:rPr>
          <w:b/>
          <w:spacing w:val="16"/>
          <w:sz w:val="22"/>
          <w:vertAlign w:val="baseline"/>
        </w:rPr>
        <w:t>OXIDE</w:t>
      </w:r>
      <w:r>
        <w:rPr>
          <w:b/>
          <w:spacing w:val="-35"/>
          <w:sz w:val="22"/>
          <w:vertAlign w:val="baseline"/>
        </w:rPr>
        <w:t> </w:t>
      </w:r>
    </w:p>
    <w:p>
      <w:pPr>
        <w:spacing w:before="123"/>
        <w:ind w:left="219" w:right="0" w:firstLine="0"/>
        <w:jc w:val="left"/>
        <w:rPr>
          <w:sz w:val="20"/>
        </w:rPr>
      </w:pPr>
      <w:r>
        <w:rPr>
          <w:sz w:val="20"/>
        </w:rPr>
        <w:t>The </w:t>
      </w:r>
      <w:r>
        <w:rPr>
          <w:i/>
          <w:sz w:val="20"/>
        </w:rPr>
        <w:t>IPCC Guidelines </w:t>
      </w:r>
      <w:r>
        <w:rPr>
          <w:sz w:val="20"/>
        </w:rPr>
        <w:t>and </w:t>
      </w:r>
      <w:r>
        <w:rPr>
          <w:i/>
          <w:sz w:val="20"/>
        </w:rPr>
        <w:t>GPG2000 </w:t>
      </w:r>
      <w:r>
        <w:rPr>
          <w:sz w:val="20"/>
        </w:rPr>
        <w:t>already address the following non-CO</w:t>
      </w:r>
      <w:r>
        <w:rPr>
          <w:sz w:val="20"/>
          <w:vertAlign w:val="subscript"/>
        </w:rPr>
        <w:t>2</w:t>
      </w:r>
      <w:r>
        <w:rPr>
          <w:sz w:val="20"/>
          <w:vertAlign w:val="baseline"/>
        </w:rPr>
        <w:t> emission sources:</w:t>
      </w:r>
    </w:p>
    <w:p>
      <w:pPr>
        <w:pStyle w:val="BodyText"/>
        <w:tabs>
          <w:tab w:pos="579" w:val="left" w:leader="none"/>
        </w:tabs>
        <w:spacing w:line="223" w:lineRule="auto" w:before="144"/>
        <w:ind w:left="581" w:right="354" w:hanging="363"/>
      </w:pPr>
      <w:r>
        <w:rPr>
          <w:rFonts w:ascii="Symbol" w:hAnsi="Symbol"/>
        </w:rPr>
        <w:t>•</w:t>
        <w:tab/>
      </w:r>
      <w:r>
        <w:rPr/>
        <w:t>N</w:t>
      </w:r>
      <w:r>
        <w:rPr>
          <w:vertAlign w:val="subscript"/>
        </w:rPr>
        <w:t>2</w:t>
      </w:r>
      <w:r>
        <w:rPr>
          <w:vertAlign w:val="baseline"/>
        </w:rPr>
        <w:t>O emissions from application of mineral and organic fertilisers, organic residues and biological nitrogen fixation (</w:t>
      </w:r>
      <w:r>
        <w:rPr>
          <w:i/>
          <w:vertAlign w:val="baseline"/>
        </w:rPr>
        <w:t>IPCC Guidelines</w:t>
      </w:r>
      <w:r>
        <w:rPr>
          <w:vertAlign w:val="baseline"/>
        </w:rPr>
        <w:t>, Chapter 4</w:t>
      </w:r>
      <w:r>
        <w:rPr>
          <w:spacing w:val="-1"/>
          <w:vertAlign w:val="baseline"/>
        </w:rPr>
        <w:t> </w:t>
      </w:r>
      <w:r>
        <w:rPr>
          <w:vertAlign w:val="baseline"/>
        </w:rPr>
        <w:t>Agriculture);</w:t>
      </w:r>
    </w:p>
    <w:p>
      <w:pPr>
        <w:pStyle w:val="BodyText"/>
        <w:tabs>
          <w:tab w:pos="579" w:val="left" w:leader="none"/>
        </w:tabs>
        <w:spacing w:line="223" w:lineRule="auto" w:before="151"/>
        <w:ind w:left="581" w:right="354" w:hanging="363"/>
      </w:pPr>
      <w:r>
        <w:rPr>
          <w:rFonts w:ascii="Symbol" w:hAnsi="Symbol"/>
        </w:rPr>
        <w:t>•</w:t>
        <w:tab/>
      </w:r>
      <w:r>
        <w:rPr/>
        <w:t>N</w:t>
      </w:r>
      <w:r>
        <w:rPr>
          <w:vertAlign w:val="subscript"/>
        </w:rPr>
        <w:t>2</w:t>
      </w:r>
      <w:r>
        <w:rPr>
          <w:vertAlign w:val="baseline"/>
        </w:rPr>
        <w:t>O, NO</w:t>
      </w:r>
      <w:r>
        <w:rPr>
          <w:vertAlign w:val="subscript"/>
        </w:rPr>
        <w:t>x</w:t>
      </w:r>
      <w:r>
        <w:rPr>
          <w:vertAlign w:val="baseline"/>
        </w:rPr>
        <w:t>, CH</w:t>
      </w:r>
      <w:r>
        <w:rPr>
          <w:vertAlign w:val="subscript"/>
        </w:rPr>
        <w:t>4</w:t>
      </w:r>
      <w:r>
        <w:rPr>
          <w:vertAlign w:val="baseline"/>
        </w:rPr>
        <w:t> and CO emissions from on-site and off-site biomass burning (</w:t>
      </w:r>
      <w:r>
        <w:rPr>
          <w:i/>
          <w:vertAlign w:val="baseline"/>
        </w:rPr>
        <w:t>IPCC Guidelines</w:t>
      </w:r>
      <w:r>
        <w:rPr>
          <w:vertAlign w:val="baseline"/>
        </w:rPr>
        <w:t>, Chapter 4 Agriculture);</w:t>
      </w:r>
      <w:r>
        <w:rPr>
          <w:spacing w:val="-1"/>
          <w:vertAlign w:val="baseline"/>
        </w:rPr>
        <w:t> </w:t>
      </w:r>
      <w:r>
        <w:rPr>
          <w:vertAlign w:val="baseline"/>
        </w:rPr>
        <w:t>and</w:t>
      </w:r>
    </w:p>
    <w:p>
      <w:pPr>
        <w:pStyle w:val="BodyText"/>
        <w:spacing w:before="137"/>
        <w:ind w:left="219"/>
        <w:jc w:val="both"/>
      </w:pPr>
      <w:r>
        <w:rPr>
          <w:rFonts w:ascii="Symbol" w:hAnsi="Symbol"/>
        </w:rPr>
        <w:t>• </w:t>
      </w:r>
      <w:r>
        <w:rPr/>
        <w:t>N</w:t>
      </w:r>
      <w:r>
        <w:rPr>
          <w:vertAlign w:val="subscript"/>
        </w:rPr>
        <w:t>2</w:t>
      </w:r>
      <w:r>
        <w:rPr>
          <w:vertAlign w:val="baseline"/>
        </w:rPr>
        <w:t>O emissions from cultivation of organic soils.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spacing w:before="0"/>
        <w:ind w:left="219" w:right="267" w:firstLine="0"/>
        <w:jc w:val="both"/>
        <w:rPr>
          <w:sz w:val="20"/>
        </w:rPr>
      </w:pPr>
      <w:r>
        <w:rPr>
          <w:sz w:val="20"/>
        </w:rPr>
        <w:t>It is </w:t>
      </w:r>
      <w:r>
        <w:rPr>
          <w:i/>
          <w:sz w:val="20"/>
        </w:rPr>
        <w:t>good practice </w:t>
      </w:r>
      <w:r>
        <w:rPr>
          <w:sz w:val="20"/>
        </w:rPr>
        <w:t>to follow the existing </w:t>
      </w:r>
      <w:r>
        <w:rPr>
          <w:i/>
          <w:sz w:val="20"/>
        </w:rPr>
        <w:t>IPCC Guidelines </w:t>
      </w:r>
      <w:r>
        <w:rPr>
          <w:sz w:val="20"/>
        </w:rPr>
        <w:t>and </w:t>
      </w:r>
      <w:r>
        <w:rPr>
          <w:i/>
          <w:sz w:val="20"/>
        </w:rPr>
        <w:t>GPG2000 </w:t>
      </w:r>
      <w:r>
        <w:rPr>
          <w:sz w:val="20"/>
        </w:rPr>
        <w:t>and continue to report these emissions under the Agriculture sector.</w:t>
      </w:r>
    </w:p>
    <w:p>
      <w:pPr>
        <w:pStyle w:val="BodyText"/>
        <w:spacing w:before="5"/>
        <w:rPr>
          <w:sz w:val="21"/>
        </w:rPr>
      </w:pPr>
    </w:p>
    <w:p>
      <w:pPr>
        <w:pStyle w:val="Heading6"/>
        <w:ind w:left="219"/>
      </w:pPr>
      <w:r>
        <w:rPr/>
        <w:t>METHANE</w:t>
      </w:r>
    </w:p>
    <w:p>
      <w:pPr>
        <w:pStyle w:val="BodyText"/>
        <w:spacing w:before="113"/>
        <w:ind w:left="219" w:right="263"/>
        <w:jc w:val="both"/>
      </w:pPr>
      <w:r>
        <w:rPr/>
        <w:t>Methane emissions from rice paddies are addressed in the </w:t>
      </w:r>
      <w:r>
        <w:rPr>
          <w:i/>
        </w:rPr>
        <w:t>IPCC Guidelines </w:t>
      </w:r>
      <w:r>
        <w:rPr/>
        <w:t>and </w:t>
      </w:r>
      <w:r>
        <w:rPr>
          <w:i/>
        </w:rPr>
        <w:t>GPG2000 </w:t>
      </w:r>
      <w:r>
        <w:rPr/>
        <w:t>and should be reported under the Agriculture</w:t>
      </w:r>
      <w:r>
        <w:rPr>
          <w:spacing w:val="4"/>
        </w:rPr>
        <w:t> </w:t>
      </w:r>
      <w:r>
        <w:rPr/>
        <w:t>sector.</w:t>
      </w:r>
    </w:p>
    <w:p>
      <w:pPr>
        <w:pStyle w:val="BodyText"/>
        <w:spacing w:before="121"/>
        <w:ind w:left="219" w:right="265"/>
        <w:jc w:val="both"/>
      </w:pPr>
      <w:r>
        <w:rPr/>
        <w:t>Changes in the rate of methane oxidation in aerobic soils are not addressed at this time. The limited current information indicates that the CH</w:t>
      </w:r>
      <w:r>
        <w:rPr>
          <w:vertAlign w:val="subscript"/>
        </w:rPr>
        <w:t>4</w:t>
      </w:r>
      <w:r>
        <w:rPr>
          <w:vertAlign w:val="baseline"/>
        </w:rPr>
        <w:t> sink is small as compared to the CH</w:t>
      </w:r>
      <w:r>
        <w:rPr>
          <w:vertAlign w:val="subscript"/>
        </w:rPr>
        <w:t>4</w:t>
      </w:r>
      <w:r>
        <w:rPr>
          <w:vertAlign w:val="baseline"/>
        </w:rPr>
        <w:t> sources from flooded soils such as rice paddies. As more research is done and additional information becomes available, a fuller consideration of the impact of various activities on methane oxidation should be possible.</w:t>
      </w:r>
    </w:p>
    <w:p>
      <w:pPr>
        <w:pStyle w:val="BodyText"/>
        <w:rPr>
          <w:sz w:val="22"/>
        </w:rPr>
      </w:pPr>
    </w:p>
    <w:p>
      <w:pPr>
        <w:pStyle w:val="BodyText"/>
        <w:spacing w:before="2"/>
      </w:pPr>
    </w:p>
    <w:p>
      <w:pPr>
        <w:pStyle w:val="Heading2"/>
        <w:ind w:left="219" w:firstLine="0"/>
        <w:jc w:val="both"/>
      </w:pPr>
      <w:r>
        <w:rPr/>
        <w:t>3.3.2 Land Converted to Cropland</w:t>
      </w:r>
    </w:p>
    <w:p>
      <w:pPr>
        <w:pStyle w:val="BodyText"/>
        <w:spacing w:before="116"/>
        <w:ind w:left="219" w:right="263"/>
        <w:jc w:val="both"/>
      </w:pPr>
      <w:r>
        <w:rPr/>
        <w:t>The conversion of land from other uses and from natural states to cropland will, in most cases, result in emissions of CO</w:t>
      </w:r>
      <w:r>
        <w:rPr>
          <w:vertAlign w:val="subscript"/>
        </w:rPr>
        <w:t>2</w:t>
      </w:r>
      <w:r>
        <w:rPr>
          <w:vertAlign w:val="baseline"/>
        </w:rPr>
        <w:t> from both biomass and soils, at least for some years following conversion, as well as N</w:t>
      </w:r>
      <w:r>
        <w:rPr>
          <w:vertAlign w:val="subscript"/>
        </w:rPr>
        <w:t>2</w:t>
      </w:r>
      <w:r>
        <w:rPr>
          <w:vertAlign w:val="baseline"/>
        </w:rPr>
        <w:t>O and CH</w:t>
      </w:r>
      <w:r>
        <w:rPr>
          <w:vertAlign w:val="subscript"/>
        </w:rPr>
        <w:t>4</w:t>
      </w:r>
      <w:r>
        <w:rPr>
          <w:vertAlign w:val="baseline"/>
        </w:rPr>
        <w:t> emissions from the soil. Possible exceptions are the irrigation of formerly arid lands, which can result in net carbon gains in soils and biomass, and conversion of degraded lands to cropland. The calculation of carbon emissions</w:t>
      </w:r>
      <w:r>
        <w:rPr>
          <w:spacing w:val="11"/>
          <w:vertAlign w:val="baseline"/>
        </w:rPr>
        <w:t> </w:t>
      </w:r>
      <w:r>
        <w:rPr>
          <w:vertAlign w:val="baseline"/>
        </w:rPr>
        <w:t>from</w:t>
      </w:r>
      <w:r>
        <w:rPr>
          <w:spacing w:val="6"/>
          <w:vertAlign w:val="baseline"/>
        </w:rPr>
        <w:t> </w:t>
      </w:r>
      <w:r>
        <w:rPr>
          <w:vertAlign w:val="baseline"/>
        </w:rPr>
        <w:t>conversion</w:t>
      </w:r>
      <w:r>
        <w:rPr>
          <w:spacing w:val="9"/>
          <w:vertAlign w:val="baseline"/>
        </w:rPr>
        <w:t> </w:t>
      </w:r>
      <w:r>
        <w:rPr>
          <w:vertAlign w:val="baseline"/>
        </w:rPr>
        <w:t>of</w:t>
      </w:r>
      <w:r>
        <w:rPr>
          <w:spacing w:val="11"/>
          <w:vertAlign w:val="baseline"/>
        </w:rPr>
        <w:t> </w:t>
      </w:r>
      <w:r>
        <w:rPr>
          <w:vertAlign w:val="baseline"/>
        </w:rPr>
        <w:t>forest</w:t>
      </w:r>
      <w:r>
        <w:rPr>
          <w:spacing w:val="10"/>
          <w:vertAlign w:val="baseline"/>
        </w:rPr>
        <w:t> </w:t>
      </w:r>
      <w:r>
        <w:rPr>
          <w:vertAlign w:val="baseline"/>
        </w:rPr>
        <w:t>land</w:t>
      </w:r>
      <w:r>
        <w:rPr>
          <w:spacing w:val="11"/>
          <w:vertAlign w:val="baseline"/>
        </w:rPr>
        <w:t> </w:t>
      </w:r>
      <w:r>
        <w:rPr>
          <w:vertAlign w:val="baseline"/>
        </w:rPr>
        <w:t>and</w:t>
      </w:r>
      <w:r>
        <w:rPr>
          <w:spacing w:val="11"/>
          <w:vertAlign w:val="baseline"/>
        </w:rPr>
        <w:t> </w:t>
      </w:r>
      <w:r>
        <w:rPr>
          <w:vertAlign w:val="baseline"/>
        </w:rPr>
        <w:t>grassland</w:t>
      </w:r>
      <w:r>
        <w:rPr>
          <w:spacing w:val="11"/>
          <w:vertAlign w:val="baseline"/>
        </w:rPr>
        <w:t> </w:t>
      </w:r>
      <w:r>
        <w:rPr>
          <w:vertAlign w:val="baseline"/>
        </w:rPr>
        <w:t>to</w:t>
      </w:r>
      <w:r>
        <w:rPr>
          <w:spacing w:val="13"/>
          <w:vertAlign w:val="baseline"/>
        </w:rPr>
        <w:t> </w:t>
      </w:r>
      <w:r>
        <w:rPr>
          <w:vertAlign w:val="baseline"/>
        </w:rPr>
        <w:t>cropland</w:t>
      </w:r>
      <w:r>
        <w:rPr>
          <w:spacing w:val="11"/>
          <w:vertAlign w:val="baseline"/>
        </w:rPr>
        <w:t> </w:t>
      </w:r>
      <w:r>
        <w:rPr>
          <w:vertAlign w:val="baseline"/>
        </w:rPr>
        <w:t>is</w:t>
      </w:r>
      <w:r>
        <w:rPr>
          <w:spacing w:val="10"/>
          <w:vertAlign w:val="baseline"/>
        </w:rPr>
        <w:t> </w:t>
      </w:r>
      <w:r>
        <w:rPr>
          <w:vertAlign w:val="baseline"/>
        </w:rPr>
        <w:t>found</w:t>
      </w:r>
      <w:r>
        <w:rPr>
          <w:spacing w:val="14"/>
          <w:vertAlign w:val="baseline"/>
        </w:rPr>
        <w:t> </w:t>
      </w:r>
      <w:r>
        <w:rPr>
          <w:vertAlign w:val="baseline"/>
        </w:rPr>
        <w:t>in</w:t>
      </w:r>
      <w:r>
        <w:rPr>
          <w:spacing w:val="11"/>
          <w:vertAlign w:val="baseline"/>
        </w:rPr>
        <w:t> </w:t>
      </w:r>
      <w:r>
        <w:rPr>
          <w:vertAlign w:val="baseline"/>
        </w:rPr>
        <w:t>the</w:t>
      </w:r>
      <w:r>
        <w:rPr>
          <w:spacing w:val="11"/>
          <w:vertAlign w:val="baseline"/>
        </w:rPr>
        <w:t> </w:t>
      </w:r>
      <w:r>
        <w:rPr>
          <w:i/>
          <w:vertAlign w:val="baseline"/>
        </w:rPr>
        <w:t>IPCC</w:t>
      </w:r>
      <w:r>
        <w:rPr>
          <w:i/>
          <w:spacing w:val="10"/>
          <w:vertAlign w:val="baseline"/>
        </w:rPr>
        <w:t> </w:t>
      </w:r>
      <w:r>
        <w:rPr>
          <w:i/>
          <w:vertAlign w:val="baseline"/>
        </w:rPr>
        <w:t>Guidelines</w:t>
      </w:r>
      <w:r>
        <w:rPr>
          <w:i/>
          <w:spacing w:val="10"/>
          <w:vertAlign w:val="baseline"/>
        </w:rPr>
        <w:t> </w:t>
      </w:r>
      <w:r>
        <w:rPr>
          <w:vertAlign w:val="baseline"/>
        </w:rPr>
        <w:t>in</w:t>
      </w:r>
      <w:r>
        <w:rPr>
          <w:spacing w:val="11"/>
          <w:vertAlign w:val="baseline"/>
        </w:rPr>
        <w:t> </w:t>
      </w:r>
      <w:r>
        <w:rPr>
          <w:vertAlign w:val="baseline"/>
        </w:rPr>
        <w:t>Section</w:t>
      </w:r>
    </w:p>
    <w:p>
      <w:pPr>
        <w:pStyle w:val="BodyText"/>
        <w:ind w:left="219" w:right="264"/>
        <w:jc w:val="both"/>
      </w:pPr>
      <w:r>
        <w:rPr/>
        <w:t>5.2.3 (Forest and Grassland Conversion) and Section 5.3 (CO</w:t>
      </w:r>
      <w:r>
        <w:rPr>
          <w:vertAlign w:val="subscript"/>
        </w:rPr>
        <w:t>2</w:t>
      </w:r>
      <w:r>
        <w:rPr>
          <w:vertAlign w:val="baseline"/>
        </w:rPr>
        <w:t> Emissions and Uptake from Soils). When estimating emissions and removals from land-use conversions to cropland, it is </w:t>
      </w:r>
      <w:r>
        <w:rPr>
          <w:i/>
          <w:vertAlign w:val="baseline"/>
        </w:rPr>
        <w:t>good practice </w:t>
      </w:r>
      <w:r>
        <w:rPr>
          <w:vertAlign w:val="baseline"/>
        </w:rPr>
        <w:t>to consider three subcategories: change in carbon stocks in biomass (Section 3.3.2.1), change in carbon stocks in soil (Section 3.3.2.2), and emissions of nitrous oxide (Section 3.3.2.3). Methodological guidance is provided below for each of these</w:t>
      </w:r>
      <w:r>
        <w:rPr>
          <w:spacing w:val="-3"/>
          <w:vertAlign w:val="baseline"/>
        </w:rPr>
        <w:t> </w:t>
      </w:r>
      <w:r>
        <w:rPr>
          <w:vertAlign w:val="baseline"/>
        </w:rPr>
        <w:t>subcategories.</w:t>
      </w:r>
    </w:p>
    <w:p>
      <w:pPr>
        <w:pStyle w:val="BodyText"/>
        <w:spacing w:before="117"/>
        <w:ind w:left="219" w:right="263"/>
        <w:jc w:val="both"/>
      </w:pPr>
      <w:r>
        <w:rPr/>
        <w:t>It is </w:t>
      </w:r>
      <w:r>
        <w:rPr>
          <w:i/>
        </w:rPr>
        <w:t>good practice </w:t>
      </w:r>
      <w:r>
        <w:rPr/>
        <w:t>to estimate emissions/removals from ‘land converted to cropland’ using the methods described in this subsection for a period sufficient for the carbon stock changes to occur following land-use conversion. However, biomass and soil pools respond differently to land-use conversions and therefore, time periods are different for equilibrium carbon stocks to be reached. Changes in carbon in biomass pools are estimated using the method in Section 3.3.2.1 below for the first time period following the land-use conversion to cropland.</w:t>
      </w:r>
      <w:r>
        <w:rPr>
          <w:vertAlign w:val="superscript"/>
        </w:rPr>
        <w:t>3</w:t>
      </w:r>
      <w:r>
        <w:rPr>
          <w:vertAlign w:val="baseline"/>
        </w:rPr>
        <w:t> After this time period, countries should estimate carbon stock changes in biomass using methods described under Section 3.3.1.1 Cropland Remaining Cropland, Change in carbon stocks in biomass. Since the default inventory period for changes in soil carbon is 20 years, this period of time should be used in area accounting for conversions to</w:t>
      </w:r>
      <w:r>
        <w:rPr>
          <w:spacing w:val="-1"/>
          <w:vertAlign w:val="baseline"/>
        </w:rPr>
        <w:t> </w:t>
      </w:r>
      <w:r>
        <w:rPr>
          <w:vertAlign w:val="baseline"/>
        </w:rPr>
        <w:t>cropland.</w:t>
      </w:r>
    </w:p>
    <w:p>
      <w:pPr>
        <w:pStyle w:val="BodyText"/>
        <w:spacing w:before="119"/>
        <w:ind w:left="219"/>
        <w:jc w:val="both"/>
      </w:pPr>
      <w:r>
        <w:rPr/>
        <w:t>The summary equation for carbon stock change in Land Converted to Cropland is shown below in Equation</w:t>
      </w:r>
    </w:p>
    <w:p>
      <w:pPr>
        <w:pStyle w:val="BodyText"/>
        <w:spacing w:before="1"/>
        <w:ind w:left="219" w:right="267"/>
        <w:jc w:val="both"/>
      </w:pPr>
      <w:r>
        <w:rPr/>
        <w:t>3.3.7. In addition, methodologies based on emissions coefficients are discussed for N</w:t>
      </w:r>
      <w:r>
        <w:rPr>
          <w:vertAlign w:val="subscript"/>
        </w:rPr>
        <w:t>2</w:t>
      </w:r>
      <w:r>
        <w:rPr>
          <w:vertAlign w:val="baseline"/>
        </w:rPr>
        <w:t>O. Table 3.3.6 summarises the tiers for each of the carbon subcategories, as well as for the N</w:t>
      </w:r>
      <w:r>
        <w:rPr>
          <w:vertAlign w:val="subscript"/>
        </w:rPr>
        <w:t>2</w:t>
      </w:r>
      <w:r>
        <w:rPr>
          <w:vertAlign w:val="baseline"/>
        </w:rPr>
        <w:t>O subcategory.</w:t>
      </w:r>
    </w:p>
    <w:p>
      <w:pPr>
        <w:pStyle w:val="BodyText"/>
        <w:spacing w:before="8"/>
        <w:rPr>
          <w:sz w:val="9"/>
        </w:rPr>
      </w:pPr>
      <w:r>
        <w:rPr/>
        <w:pict>
          <v:group style="position:absolute;margin-left:91.240997pt;margin-top:8.296865pt;width:412.95pt;height:55.2pt;mso-position-horizontal-relative:page;mso-position-vertical-relative:paragraph;z-index:8120;mso-wrap-distance-left:0;mso-wrap-distance-right:0" coordorigin="1825,166" coordsize="8259,1104">
            <v:line style="position:absolute" from="1854,180" to="10054,180" stroked="true" strokeweight="1.44pt" strokecolor="#000000">
              <v:stroke dashstyle="solid"/>
            </v:line>
            <v:line style="position:absolute" from="1854,1256" to="10054,1256" stroked="true" strokeweight="1.44pt" strokecolor="#000000">
              <v:stroke dashstyle="solid"/>
            </v:line>
            <v:line style="position:absolute" from="1839,166" to="1839,1270" stroked="true" strokeweight="1.44pt" strokecolor="#000000">
              <v:stroke dashstyle="solid"/>
            </v:line>
            <v:line style="position:absolute" from="10069,166" to="10069,1270" stroked="true" strokeweight="1.44pt" strokecolor="#000000">
              <v:stroke dashstyle="solid"/>
            </v:line>
            <v:shape style="position:absolute;left:6754;top:1008;width:277;height:144" type="#_x0000_t202" filled="false" stroked="false">
              <v:textbox inset="0,0,0,0">
                <w:txbxContent>
                  <w:p>
                    <w:pPr>
                      <w:spacing w:line="144" w:lineRule="exact" w:before="0"/>
                      <w:ind w:left="0" w:right="0" w:firstLine="0"/>
                      <w:jc w:val="left"/>
                      <w:rPr>
                        <w:sz w:val="13"/>
                      </w:rPr>
                    </w:pPr>
                    <w:r>
                      <w:rPr>
                        <w:sz w:val="13"/>
                      </w:rPr>
                      <w:t>Soils</w:t>
                    </w:r>
                  </w:p>
                </w:txbxContent>
              </v:textbox>
              <w10:wrap type="none"/>
            </v:shape>
            <v:shape style="position:absolute;left:5952;top:1008;width:186;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4896;top:831;width:1873;height:261" type="#_x0000_t202" filled="false" stroked="false">
              <v:textbox inset="0,0,0,0">
                <w:txbxContent>
                  <w:p>
                    <w:pPr>
                      <w:tabs>
                        <w:tab w:pos="1271" w:val="left" w:leader="none"/>
                      </w:tabs>
                      <w:spacing w:line="246" w:lineRule="exact" w:before="14"/>
                      <w:ind w:left="0" w:right="0" w:firstLine="0"/>
                      <w:jc w:val="left"/>
                      <w:rPr>
                        <w:sz w:val="20"/>
                      </w:rPr>
                    </w:pPr>
                    <w:r>
                      <w:rPr>
                        <w:rFonts w:ascii="Symbol" w:hAnsi="Symbol"/>
                        <w:sz w:val="20"/>
                      </w:rPr>
                      <w:t>∆</w:t>
                    </w:r>
                    <w:r>
                      <w:rPr>
                        <w:sz w:val="20"/>
                      </w:rPr>
                      <w:t>C</w:t>
                    </w:r>
                    <w:r>
                      <w:rPr>
                        <w:sz w:val="20"/>
                        <w:vertAlign w:val="subscript"/>
                      </w:rPr>
                      <w:t>LC</w:t>
                    </w:r>
                    <w:r>
                      <w:rPr>
                        <w:sz w:val="20"/>
                        <w:vertAlign w:val="baseline"/>
                      </w:rPr>
                      <w:t> = </w:t>
                    </w:r>
                    <w:r>
                      <w:rPr>
                        <w:rFonts w:ascii="Symbol" w:hAnsi="Symbol"/>
                        <w:sz w:val="20"/>
                        <w:vertAlign w:val="baseline"/>
                      </w:rPr>
                      <w:t>∆</w:t>
                    </w:r>
                    <w:r>
                      <w:rPr>
                        <w:sz w:val="20"/>
                        <w:vertAlign w:val="baseline"/>
                      </w:rPr>
                      <w:t>C</w:t>
                    </w:r>
                    <w:r>
                      <w:rPr>
                        <w:sz w:val="20"/>
                        <w:vertAlign w:val="subscript"/>
                      </w:rPr>
                      <w:t>LC</w:t>
                    </w:r>
                    <w:r>
                      <w:rPr>
                        <w:sz w:val="20"/>
                        <w:vertAlign w:val="baseline"/>
                      </w:rPr>
                      <w:tab/>
                      <w:t>+</w:t>
                    </w:r>
                    <w:r>
                      <w:rPr>
                        <w:spacing w:val="5"/>
                        <w:sz w:val="20"/>
                        <w:vertAlign w:val="baseline"/>
                      </w:rPr>
                      <w:t> </w:t>
                    </w:r>
                    <w:r>
                      <w:rPr>
                        <w:rFonts w:ascii="Symbol" w:hAnsi="Symbol"/>
                        <w:spacing w:val="-22"/>
                        <w:sz w:val="20"/>
                        <w:vertAlign w:val="baseline"/>
                      </w:rPr>
                      <w:t>∆</w:t>
                    </w:r>
                    <w:r>
                      <w:rPr>
                        <w:spacing w:val="-22"/>
                        <w:sz w:val="20"/>
                        <w:vertAlign w:val="baseline"/>
                      </w:rPr>
                      <w:t>C</w:t>
                    </w:r>
                    <w:r>
                      <w:rPr>
                        <w:spacing w:val="-22"/>
                        <w:sz w:val="20"/>
                        <w:vertAlign w:val="subscript"/>
                      </w:rPr>
                      <w:t>LC</w:t>
                    </w:r>
                  </w:p>
                </w:txbxContent>
              </v:textbox>
              <w10:wrap type="none"/>
            </v:shape>
            <v:shape style="position:absolute;left:2972;top:302;width:5980;height:451" type="#_x0000_t202" filled="false" stroked="false">
              <v:textbox inset="0,0,0,0">
                <w:txbxContent>
                  <w:p>
                    <w:pPr>
                      <w:spacing w:line="221" w:lineRule="exact" w:before="0"/>
                      <w:ind w:left="5" w:right="18" w:firstLine="0"/>
                      <w:jc w:val="center"/>
                      <w:rPr>
                        <w:b/>
                        <w:sz w:val="20"/>
                      </w:rPr>
                    </w:pPr>
                    <w:r>
                      <w:rPr>
                        <w:b/>
                        <w:sz w:val="20"/>
                      </w:rPr>
                      <w:t>E</w:t>
                    </w:r>
                    <w:r>
                      <w:rPr>
                        <w:b/>
                        <w:sz w:val="16"/>
                      </w:rPr>
                      <w:t>QUATION </w:t>
                    </w:r>
                    <w:r>
                      <w:rPr>
                        <w:b/>
                        <w:sz w:val="20"/>
                      </w:rPr>
                      <w:t>3.3.7</w:t>
                    </w:r>
                  </w:p>
                  <w:p>
                    <w:pPr>
                      <w:spacing w:before="0"/>
                      <w:ind w:left="-1" w:right="18" w:firstLine="0"/>
                      <w:jc w:val="center"/>
                      <w:rPr>
                        <w:b/>
                        <w:sz w:val="16"/>
                      </w:rPr>
                    </w:pPr>
                    <w:r>
                      <w:rPr>
                        <w:b/>
                        <w:sz w:val="20"/>
                      </w:rPr>
                      <w:t>T</w:t>
                    </w:r>
                    <w:r>
                      <w:rPr>
                        <w:b/>
                        <w:sz w:val="16"/>
                      </w:rPr>
                      <w:t>OTAL CHANGE IN CARBON STOCKS IN LAND CONVERTED TO</w:t>
                    </w:r>
                    <w:r>
                      <w:rPr>
                        <w:b/>
                        <w:spacing w:val="-20"/>
                        <w:sz w:val="16"/>
                      </w:rPr>
                      <w:t> </w:t>
                    </w:r>
                    <w:r>
                      <w:rPr>
                        <w:b/>
                        <w:sz w:val="16"/>
                      </w:rPr>
                      <w:t>CROPLAND</w:t>
                    </w:r>
                  </w:p>
                </w:txbxContent>
              </v:textbox>
              <w10:wrap type="none"/>
            </v:shape>
            <w10:wrap type="topAndBottom"/>
          </v:group>
        </w:pict>
      </w:r>
    </w:p>
    <w:p>
      <w:pPr>
        <w:pStyle w:val="BodyText"/>
        <w:spacing w:line="220" w:lineRule="exact"/>
        <w:ind w:left="219"/>
      </w:pPr>
      <w:r>
        <w:rPr/>
        <w:t>Where:</w:t>
      </w:r>
    </w:p>
    <w:p>
      <w:pPr>
        <w:pStyle w:val="BodyText"/>
        <w:spacing w:before="135"/>
        <w:ind w:left="579"/>
      </w:pPr>
      <w:r>
        <w:rPr>
          <w:rFonts w:ascii="Symbol" w:hAnsi="Symbol"/>
        </w:rPr>
        <w:t>∆</w:t>
      </w:r>
      <w:r>
        <w:rPr/>
        <w:t>C</w:t>
      </w:r>
      <w:r>
        <w:rPr>
          <w:vertAlign w:val="subscript"/>
        </w:rPr>
        <w:t>LC</w:t>
      </w:r>
      <w:r>
        <w:rPr>
          <w:vertAlign w:val="baseline"/>
        </w:rPr>
        <w:t> = total change in carbon stocks in land converted to cropland, tonnes C yr</w:t>
      </w:r>
      <w:r>
        <w:rPr>
          <w:vertAlign w:val="superscript"/>
        </w:rPr>
        <w:t>-1</w:t>
      </w:r>
    </w:p>
    <w:p>
      <w:pPr>
        <w:pStyle w:val="BodyText"/>
        <w:tabs>
          <w:tab w:pos="1215" w:val="left" w:leader="none"/>
        </w:tabs>
        <w:spacing w:before="118"/>
        <w:ind w:left="579"/>
      </w:pPr>
      <w:r>
        <w:rPr/>
        <w:pict>
          <v:shape style="position:absolute;margin-left:110.080742pt;margin-top:14.022022pt;width:8.0500pt;height:7.2pt;mso-position-horizontal-relative:page;mso-position-vertical-relative:paragraph;z-index:-2445952"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LC</w:t>
      </w:r>
      <w:r>
        <w:rPr>
          <w:vertAlign w:val="baseline"/>
        </w:rPr>
        <w:tab/>
        <w:t>= change in carbon stocks in living biomass in land converted to cropland, tonnes C</w:t>
      </w:r>
      <w:r>
        <w:rPr>
          <w:spacing w:val="-12"/>
          <w:vertAlign w:val="baseline"/>
        </w:rPr>
        <w:t> </w:t>
      </w:r>
      <w:r>
        <w:rPr>
          <w:vertAlign w:val="baseline"/>
        </w:rPr>
        <w:t>yr</w:t>
      </w:r>
      <w:r>
        <w:rPr>
          <w:vertAlign w:val="superscript"/>
        </w:rPr>
        <w:t>-1</w:t>
      </w:r>
    </w:p>
    <w:p>
      <w:pPr>
        <w:pStyle w:val="BodyText"/>
        <w:tabs>
          <w:tab w:pos="1291" w:val="left" w:leader="none"/>
        </w:tabs>
        <w:spacing w:line="193" w:lineRule="exact" w:before="176"/>
        <w:ind w:left="701"/>
      </w:pPr>
      <w:r>
        <w:rPr/>
        <w:pict>
          <v:shape style="position:absolute;margin-left:88.960358pt;margin-top:8.076339pt;width:20.9pt;height:13.05pt;mso-position-horizontal-relative:page;mso-position-vertical-relative:paragraph;z-index:-2445928" type="#_x0000_t202" filled="false" stroked="false">
            <v:textbox inset="0,0,0,0">
              <w:txbxContent>
                <w:p>
                  <w:pPr>
                    <w:spacing w:line="223" w:lineRule="exact" w:before="37"/>
                    <w:ind w:left="0" w:right="0" w:firstLine="0"/>
                    <w:jc w:val="left"/>
                    <w:rPr>
                      <w:sz w:val="13"/>
                    </w:rPr>
                  </w:pPr>
                  <w:r>
                    <w:rPr>
                      <w:rFonts w:ascii="Symbol" w:hAnsi="Symbol"/>
                      <w:position w:val="3"/>
                      <w:sz w:val="20"/>
                    </w:rPr>
                    <w:t>∆ </w:t>
                  </w:r>
                  <w:r>
                    <w:rPr>
                      <w:spacing w:val="-53"/>
                      <w:sz w:val="13"/>
                    </w:rPr>
                    <w:t>LC</w:t>
                  </w:r>
                </w:p>
              </w:txbxContent>
            </v:textbox>
            <w10:wrap type="none"/>
          </v:shape>
        </w:pict>
      </w:r>
      <w:r>
        <w:rPr/>
        <w:t>C</w:t>
        <w:tab/>
        <w:t>= change in carbon stocks in soil in land converted to cropland, tonnes C</w:t>
      </w:r>
      <w:r>
        <w:rPr>
          <w:spacing w:val="-10"/>
        </w:rPr>
        <w:t> </w:t>
      </w:r>
      <w:r>
        <w:rPr/>
        <w:t>yr</w:t>
      </w:r>
      <w:r>
        <w:rPr>
          <w:vertAlign w:val="superscript"/>
        </w:rPr>
        <w:t>-1</w:t>
      </w:r>
    </w:p>
    <w:p>
      <w:pPr>
        <w:spacing w:line="113" w:lineRule="exact" w:before="0"/>
        <w:ind w:left="1001" w:right="0" w:firstLine="0"/>
        <w:jc w:val="left"/>
        <w:rPr>
          <w:sz w:val="13"/>
        </w:rPr>
      </w:pPr>
      <w:r>
        <w:rPr>
          <w:sz w:val="13"/>
        </w:rPr>
        <w:t>Soils</w:t>
      </w:r>
    </w:p>
    <w:p>
      <w:pPr>
        <w:pStyle w:val="BodyText"/>
      </w:pPr>
    </w:p>
    <w:p>
      <w:pPr>
        <w:pStyle w:val="BodyText"/>
      </w:pPr>
    </w:p>
    <w:p>
      <w:pPr>
        <w:pStyle w:val="BodyText"/>
      </w:pPr>
    </w:p>
    <w:p>
      <w:pPr>
        <w:pStyle w:val="BodyText"/>
      </w:pPr>
    </w:p>
    <w:p>
      <w:pPr>
        <w:pStyle w:val="BodyText"/>
      </w:pPr>
    </w:p>
    <w:p>
      <w:pPr>
        <w:pStyle w:val="BodyText"/>
        <w:spacing w:before="9"/>
        <w:rPr>
          <w:sz w:val="10"/>
        </w:rPr>
      </w:pPr>
      <w:r>
        <w:rPr/>
        <w:pict>
          <v:line style="position:absolute;mso-position-horizontal-relative:page;mso-position-vertical-relative:paragraph;z-index:8144;mso-wrap-distance-left:0;mso-wrap-distance-right:0" from="70.960999pt,8.421667pt" to="214.960999pt,8.421667pt" stroked="true" strokeweight=".48pt" strokecolor="#000000">
            <v:stroke dashstyle="solid"/>
            <w10:wrap type="topAndBottom"/>
          </v:line>
        </w:pict>
      </w:r>
    </w:p>
    <w:p>
      <w:pPr>
        <w:spacing w:before="153"/>
        <w:ind w:left="360" w:right="264" w:hanging="142"/>
        <w:jc w:val="both"/>
        <w:rPr>
          <w:sz w:val="18"/>
        </w:rPr>
      </w:pPr>
      <w:r>
        <w:rPr>
          <w:position w:val="8"/>
          <w:sz w:val="12"/>
        </w:rPr>
        <w:t>3 </w:t>
      </w:r>
      <w:r>
        <w:rPr>
          <w:sz w:val="18"/>
        </w:rPr>
        <w:t>The time period will depend on the frequency with which countries collect data. For example, if land use surveys are collected on a five-year cycle, e.g., 1990, 1995, 2000, then a land conversion that takes place in 1992 will be captured by the 1995 data collection and thus recorded using the methods below in the inventory report that employs survey data for 1995.</w:t>
      </w:r>
    </w:p>
    <w:p>
      <w:pPr>
        <w:spacing w:after="0"/>
        <w:jc w:val="both"/>
        <w:rPr>
          <w:sz w:val="18"/>
        </w:rPr>
        <w:sectPr>
          <w:pgSz w:w="11900" w:h="16840"/>
          <w:pgMar w:header="230" w:footer="408" w:top="560" w:bottom="600" w:left="1200" w:right="1140"/>
        </w:sectPr>
      </w:pPr>
    </w:p>
    <w:p>
      <w:pPr>
        <w:pStyle w:val="BodyText"/>
      </w:pPr>
    </w:p>
    <w:p>
      <w:pPr>
        <w:pStyle w:val="BodyText"/>
        <w:spacing w:before="2"/>
        <w:rPr>
          <w:sz w:val="19"/>
        </w:rPr>
      </w:pPr>
    </w:p>
    <w:p>
      <w:pPr>
        <w:pStyle w:val="Heading6"/>
        <w:tabs>
          <w:tab w:pos="1659" w:val="left" w:leader="none"/>
        </w:tabs>
        <w:spacing w:before="89"/>
        <w:ind w:left="219"/>
      </w:pPr>
      <w:r>
        <w:rPr>
          <w:spacing w:val="16"/>
          <w:sz w:val="28"/>
        </w:rPr>
        <w:t>3.3.2.1</w:t>
        <w:tab/>
      </w:r>
      <w:r>
        <w:rPr>
          <w:spacing w:val="15"/>
          <w:sz w:val="28"/>
        </w:rPr>
        <w:t>C</w:t>
      </w:r>
      <w:r>
        <w:rPr>
          <w:spacing w:val="15"/>
        </w:rPr>
        <w:t>HANGE </w:t>
      </w:r>
      <w:r>
        <w:rPr>
          <w:spacing w:val="10"/>
        </w:rPr>
        <w:t>IN </w:t>
      </w:r>
      <w:r>
        <w:rPr>
          <w:spacing w:val="16"/>
        </w:rPr>
        <w:t>CARBON </w:t>
      </w:r>
      <w:r>
        <w:rPr>
          <w:spacing w:val="15"/>
        </w:rPr>
        <w:t>STOCKS </w:t>
      </w:r>
      <w:r>
        <w:rPr>
          <w:spacing w:val="16"/>
        </w:rPr>
        <w:t>LIVING</w:t>
      </w:r>
      <w:r>
        <w:rPr>
          <w:spacing w:val="76"/>
        </w:rPr>
        <w:t> </w:t>
      </w:r>
      <w:r>
        <w:rPr>
          <w:spacing w:val="16"/>
        </w:rPr>
        <w:t>BIOMASS</w:t>
      </w:r>
    </w:p>
    <w:p>
      <w:pPr>
        <w:pStyle w:val="BodyText"/>
        <w:spacing w:before="211"/>
        <w:ind w:left="219" w:right="264"/>
        <w:jc w:val="both"/>
      </w:pPr>
      <w:r>
        <w:rPr/>
        <w:t>This section provides </w:t>
      </w:r>
      <w:r>
        <w:rPr>
          <w:i/>
        </w:rPr>
        <w:t>good practice guidance </w:t>
      </w:r>
      <w:r>
        <w:rPr/>
        <w:t>for calculating carbon stock change in biomass due to the conversion of land from natural conditions and other uses to cropland, including deforestation and conversion of pasture and grazing lands to cropland. The methods require estimates of carbon in living biomass stocks prior to and following conversion, based on estimates of the areas of lands converted during the period between land use surveys. As a result of conversion to cropland, it is assumed (in Tier 1) that the dominant vegetation is removed entirely, resulting in near zero amounts of carbon remaining in biomass. Some type of cropping system is  planted soon thereafter, increasing the amount of carbon stored in biomass. The difference between initial and final biomass carbon pools is used to calculate carbon stock change from land-use conversion and in subsequent years</w:t>
      </w:r>
      <w:r>
        <w:rPr>
          <w:spacing w:val="17"/>
        </w:rPr>
        <w:t> </w:t>
      </w:r>
      <w:r>
        <w:rPr/>
        <w:t>accumulations</w:t>
      </w:r>
      <w:r>
        <w:rPr>
          <w:spacing w:val="17"/>
        </w:rPr>
        <w:t> </w:t>
      </w:r>
      <w:r>
        <w:rPr/>
        <w:t>and</w:t>
      </w:r>
      <w:r>
        <w:rPr>
          <w:spacing w:val="19"/>
        </w:rPr>
        <w:t> </w:t>
      </w:r>
      <w:r>
        <w:rPr/>
        <w:t>losses</w:t>
      </w:r>
      <w:r>
        <w:rPr>
          <w:spacing w:val="17"/>
        </w:rPr>
        <w:t> </w:t>
      </w:r>
      <w:r>
        <w:rPr/>
        <w:t>in</w:t>
      </w:r>
      <w:r>
        <w:rPr>
          <w:spacing w:val="17"/>
        </w:rPr>
        <w:t> </w:t>
      </w:r>
      <w:r>
        <w:rPr/>
        <w:t>perennial</w:t>
      </w:r>
      <w:r>
        <w:rPr>
          <w:spacing w:val="21"/>
        </w:rPr>
        <w:t> </w:t>
      </w:r>
      <w:r>
        <w:rPr/>
        <w:t>woody</w:t>
      </w:r>
      <w:r>
        <w:rPr>
          <w:spacing w:val="14"/>
        </w:rPr>
        <w:t> </w:t>
      </w:r>
      <w:r>
        <w:rPr/>
        <w:t>biomass</w:t>
      </w:r>
      <w:r>
        <w:rPr>
          <w:spacing w:val="18"/>
        </w:rPr>
        <w:t> </w:t>
      </w:r>
      <w:r>
        <w:rPr/>
        <w:t>in</w:t>
      </w:r>
      <w:r>
        <w:rPr>
          <w:spacing w:val="16"/>
        </w:rPr>
        <w:t> </w:t>
      </w:r>
      <w:r>
        <w:rPr/>
        <w:t>cropland</w:t>
      </w:r>
      <w:r>
        <w:rPr>
          <w:spacing w:val="18"/>
        </w:rPr>
        <w:t> </w:t>
      </w:r>
      <w:r>
        <w:rPr/>
        <w:t>are</w:t>
      </w:r>
      <w:r>
        <w:rPr>
          <w:spacing w:val="19"/>
        </w:rPr>
        <w:t> </w:t>
      </w:r>
      <w:r>
        <w:rPr/>
        <w:t>counted</w:t>
      </w:r>
      <w:r>
        <w:rPr>
          <w:spacing w:val="18"/>
        </w:rPr>
        <w:t> </w:t>
      </w:r>
      <w:r>
        <w:rPr/>
        <w:t>using</w:t>
      </w:r>
      <w:r>
        <w:rPr>
          <w:spacing w:val="19"/>
        </w:rPr>
        <w:t> </w:t>
      </w:r>
      <w:r>
        <w:rPr/>
        <w:t>methods</w:t>
      </w:r>
      <w:r>
        <w:rPr>
          <w:spacing w:val="18"/>
        </w:rPr>
        <w:t> </w:t>
      </w:r>
      <w:r>
        <w:rPr/>
        <w:t>in</w:t>
      </w:r>
      <w:r>
        <w:rPr>
          <w:spacing w:val="16"/>
        </w:rPr>
        <w:t> </w:t>
      </w:r>
      <w:r>
        <w:rPr/>
        <w:t>section</w:t>
      </w:r>
    </w:p>
    <w:p>
      <w:pPr>
        <w:pStyle w:val="BodyText"/>
        <w:spacing w:line="229" w:lineRule="exact"/>
        <w:ind w:left="219"/>
      </w:pPr>
      <w:r>
        <w:rPr/>
        <w:t>3.3.1 Croplands remaining Croplands.</w:t>
      </w:r>
    </w:p>
    <w:p>
      <w:pPr>
        <w:pStyle w:val="BodyText"/>
        <w:spacing w:before="4"/>
        <w:rPr>
          <w:sz w:val="21"/>
        </w:rPr>
      </w:pPr>
    </w:p>
    <w:p>
      <w:pPr>
        <w:pStyle w:val="Heading6"/>
        <w:numPr>
          <w:ilvl w:val="4"/>
          <w:numId w:val="65"/>
        </w:numPr>
        <w:tabs>
          <w:tab w:pos="1243" w:val="left" w:leader="none"/>
        </w:tabs>
        <w:spacing w:line="240" w:lineRule="auto" w:before="1" w:after="0"/>
        <w:ind w:left="1242" w:right="0" w:hanging="1023"/>
        <w:jc w:val="left"/>
      </w:pPr>
      <w:r>
        <w:rPr/>
        <w:t>1 </w:t>
      </w:r>
      <w:r>
        <w:rPr>
          <w:spacing w:val="17"/>
        </w:rPr>
        <w:t>METHODOLOGICAL</w:t>
      </w:r>
      <w:r>
        <w:rPr>
          <w:spacing w:val="23"/>
        </w:rPr>
        <w:t> </w:t>
      </w:r>
      <w:r>
        <w:rPr>
          <w:spacing w:val="16"/>
        </w:rPr>
        <w:t>ISSUES</w:t>
      </w:r>
    </w:p>
    <w:p>
      <w:pPr>
        <w:pStyle w:val="BodyText"/>
        <w:spacing w:before="113"/>
        <w:ind w:left="219" w:right="252"/>
      </w:pPr>
      <w:r>
        <w:rPr/>
        <w:pict>
          <v:line style="position:absolute;mso-position-horizontal-relative:page;mso-position-vertical-relative:paragraph;z-index:-2445880" from="72.521004pt,96.58625pt" to="138.401004pt,131.986250pt" stroked="true" strokeweight=".48pt" strokecolor="#000000">
            <v:stroke dashstyle="solid"/>
            <w10:wrap type="none"/>
          </v:line>
        </w:pict>
      </w:r>
      <w:r>
        <w:rPr/>
        <w:t>The methodology estimates carbon stock change in living biomass. Currently, there is not sufficient information to provide a basic approach with default parameters to estimate carbon stock change in dead organic matter pools in land converted to cropland</w:t>
      </w:r>
      <w:r>
        <w:rPr>
          <w:vertAlign w:val="superscript"/>
        </w:rPr>
        <w:t>4</w:t>
      </w:r>
      <w:r>
        <w:rPr>
          <w:vertAlign w:val="baseline"/>
        </w:rPr>
        <w:t>. In addition, the methodology below considers carbon stock change in aboveground biomass only because limited data are available on belowground carbon stocks in perennial cropland.</w:t>
      </w:r>
    </w:p>
    <w:p>
      <w:pPr>
        <w:pStyle w:val="BodyText"/>
        <w:spacing w:before="2" w:after="1"/>
        <w:rPr>
          <w:sz w:val="11"/>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27"/>
        <w:gridCol w:w="2841"/>
        <w:gridCol w:w="3127"/>
        <w:gridCol w:w="1721"/>
      </w:tblGrid>
      <w:tr>
        <w:trPr>
          <w:trHeight w:val="498" w:hRule="atLeast"/>
        </w:trPr>
        <w:tc>
          <w:tcPr>
            <w:tcW w:w="9016" w:type="dxa"/>
            <w:gridSpan w:val="4"/>
            <w:tcBorders>
              <w:bottom w:val="double" w:sz="1" w:space="0" w:color="000000"/>
            </w:tcBorders>
          </w:tcPr>
          <w:p>
            <w:pPr>
              <w:pStyle w:val="TableParagraph"/>
              <w:spacing w:line="207" w:lineRule="exact" w:before="59"/>
              <w:ind w:left="408" w:right="402"/>
              <w:jc w:val="center"/>
              <w:rPr>
                <w:b/>
                <w:sz w:val="18"/>
              </w:rPr>
            </w:pPr>
            <w:r>
              <w:rPr>
                <w:b/>
                <w:sz w:val="18"/>
              </w:rPr>
              <w:t>T</w:t>
            </w:r>
            <w:r>
              <w:rPr>
                <w:b/>
                <w:sz w:val="14"/>
              </w:rPr>
              <w:t>ABLE </w:t>
            </w:r>
            <w:r>
              <w:rPr>
                <w:b/>
                <w:sz w:val="18"/>
              </w:rPr>
              <w:t>3.3.6</w:t>
            </w:r>
          </w:p>
          <w:p>
            <w:pPr>
              <w:pStyle w:val="TableParagraph"/>
              <w:spacing w:line="207" w:lineRule="exact"/>
              <w:ind w:left="412" w:right="402"/>
              <w:jc w:val="center"/>
              <w:rPr>
                <w:b/>
                <w:sz w:val="18"/>
              </w:rPr>
            </w:pPr>
            <w:r>
              <w:rPr>
                <w:b/>
                <w:sz w:val="18"/>
              </w:rPr>
              <w:t>T</w:t>
            </w:r>
            <w:r>
              <w:rPr>
                <w:b/>
                <w:sz w:val="14"/>
              </w:rPr>
              <w:t>IER DESCRIPTIONS FOR SUBCATEGORIES UNDER LAND CONVERTED TO CROPLAND </w:t>
            </w:r>
            <w:r>
              <w:rPr>
                <w:b/>
                <w:sz w:val="18"/>
              </w:rPr>
              <w:t>(LC)</w:t>
            </w:r>
          </w:p>
        </w:tc>
      </w:tr>
      <w:tr>
        <w:trPr>
          <w:trHeight w:val="707" w:hRule="atLeast"/>
        </w:trPr>
        <w:tc>
          <w:tcPr>
            <w:tcW w:w="1327" w:type="dxa"/>
            <w:tcBorders>
              <w:top w:val="double" w:sz="1" w:space="0" w:color="000000"/>
            </w:tcBorders>
          </w:tcPr>
          <w:p>
            <w:pPr>
              <w:pStyle w:val="TableParagraph"/>
              <w:spacing w:line="207" w:lineRule="exact" w:before="42"/>
              <w:ind w:left="446" w:right="500"/>
              <w:jc w:val="center"/>
              <w:rPr>
                <w:b/>
                <w:sz w:val="18"/>
              </w:rPr>
            </w:pPr>
            <w:r>
              <w:rPr>
                <w:b/>
                <w:sz w:val="18"/>
              </w:rPr>
              <w:t>Tier</w:t>
            </w:r>
          </w:p>
          <w:p>
            <w:pPr>
              <w:pStyle w:val="TableParagraph"/>
              <w:spacing w:line="207" w:lineRule="exact"/>
              <w:ind w:left="57"/>
              <w:rPr>
                <w:b/>
                <w:sz w:val="18"/>
              </w:rPr>
            </w:pPr>
            <w:r>
              <w:rPr>
                <w:b/>
                <w:sz w:val="18"/>
              </w:rPr>
              <w:t>Sub</w:t>
            </w:r>
          </w:p>
          <w:p>
            <w:pPr>
              <w:pStyle w:val="TableParagraph"/>
              <w:spacing w:before="2"/>
              <w:ind w:left="57"/>
              <w:rPr>
                <w:b/>
                <w:sz w:val="18"/>
              </w:rPr>
            </w:pPr>
            <w:r>
              <w:rPr>
                <w:b/>
                <w:sz w:val="18"/>
              </w:rPr>
              <w:t>-categories</w:t>
            </w:r>
          </w:p>
        </w:tc>
        <w:tc>
          <w:tcPr>
            <w:tcW w:w="2841" w:type="dxa"/>
            <w:tcBorders>
              <w:top w:val="double" w:sz="1" w:space="0" w:color="000000"/>
            </w:tcBorders>
          </w:tcPr>
          <w:p>
            <w:pPr>
              <w:pStyle w:val="TableParagraph"/>
              <w:spacing w:before="9"/>
              <w:rPr>
                <w:sz w:val="21"/>
              </w:rPr>
            </w:pPr>
          </w:p>
          <w:p>
            <w:pPr>
              <w:pStyle w:val="TableParagraph"/>
              <w:spacing w:before="1"/>
              <w:ind w:left="1167" w:right="1158"/>
              <w:jc w:val="center"/>
              <w:rPr>
                <w:b/>
                <w:sz w:val="18"/>
              </w:rPr>
            </w:pPr>
            <w:r>
              <w:rPr>
                <w:b/>
                <w:sz w:val="18"/>
              </w:rPr>
              <w:t>Tier 1</w:t>
            </w:r>
          </w:p>
        </w:tc>
        <w:tc>
          <w:tcPr>
            <w:tcW w:w="3127" w:type="dxa"/>
            <w:tcBorders>
              <w:top w:val="double" w:sz="1" w:space="0" w:color="000000"/>
            </w:tcBorders>
          </w:tcPr>
          <w:p>
            <w:pPr>
              <w:pStyle w:val="TableParagraph"/>
              <w:spacing w:before="9"/>
              <w:rPr>
                <w:sz w:val="21"/>
              </w:rPr>
            </w:pPr>
          </w:p>
          <w:p>
            <w:pPr>
              <w:pStyle w:val="TableParagraph"/>
              <w:spacing w:before="1"/>
              <w:ind w:left="1310" w:right="1302"/>
              <w:jc w:val="center"/>
              <w:rPr>
                <w:b/>
                <w:sz w:val="18"/>
              </w:rPr>
            </w:pPr>
            <w:r>
              <w:rPr>
                <w:b/>
                <w:sz w:val="18"/>
              </w:rPr>
              <w:t>Tier 2</w:t>
            </w:r>
          </w:p>
        </w:tc>
        <w:tc>
          <w:tcPr>
            <w:tcW w:w="1721" w:type="dxa"/>
            <w:tcBorders>
              <w:top w:val="double" w:sz="1" w:space="0" w:color="000000"/>
            </w:tcBorders>
          </w:tcPr>
          <w:p>
            <w:pPr>
              <w:pStyle w:val="TableParagraph"/>
              <w:spacing w:before="9"/>
              <w:rPr>
                <w:sz w:val="21"/>
              </w:rPr>
            </w:pPr>
          </w:p>
          <w:p>
            <w:pPr>
              <w:pStyle w:val="TableParagraph"/>
              <w:spacing w:before="1"/>
              <w:ind w:left="607" w:right="598"/>
              <w:jc w:val="center"/>
              <w:rPr>
                <w:b/>
                <w:sz w:val="18"/>
              </w:rPr>
            </w:pPr>
            <w:r>
              <w:rPr>
                <w:b/>
                <w:sz w:val="18"/>
              </w:rPr>
              <w:t>Tier 3</w:t>
            </w:r>
          </w:p>
        </w:tc>
      </w:tr>
      <w:tr>
        <w:trPr>
          <w:trHeight w:val="3018" w:hRule="atLeast"/>
        </w:trPr>
        <w:tc>
          <w:tcPr>
            <w:tcW w:w="1327" w:type="dxa"/>
          </w:tcPr>
          <w:p>
            <w:pPr>
              <w:pStyle w:val="TableParagraph"/>
              <w:spacing w:before="55"/>
              <w:ind w:left="107"/>
              <w:rPr>
                <w:sz w:val="18"/>
              </w:rPr>
            </w:pPr>
            <w:r>
              <w:rPr>
                <w:sz w:val="18"/>
              </w:rPr>
              <w:t>Biomass</w:t>
            </w:r>
          </w:p>
        </w:tc>
        <w:tc>
          <w:tcPr>
            <w:tcW w:w="2841" w:type="dxa"/>
          </w:tcPr>
          <w:p>
            <w:pPr>
              <w:pStyle w:val="TableParagraph"/>
              <w:spacing w:before="55"/>
              <w:ind w:left="107" w:right="134" w:hanging="1"/>
              <w:rPr>
                <w:sz w:val="18"/>
              </w:rPr>
            </w:pPr>
            <w:r>
              <w:rPr>
                <w:sz w:val="18"/>
              </w:rPr>
              <w:t>Use default coefficients to estimate carbon stock change in biomass resulting from land use conversions and for carbon in biomass that replaces cleared vegetation during the year of land use transition.</w:t>
            </w:r>
          </w:p>
        </w:tc>
        <w:tc>
          <w:tcPr>
            <w:tcW w:w="3127" w:type="dxa"/>
          </w:tcPr>
          <w:p>
            <w:pPr>
              <w:pStyle w:val="TableParagraph"/>
              <w:spacing w:before="55"/>
              <w:ind w:left="108" w:right="389"/>
              <w:rPr>
                <w:sz w:val="18"/>
              </w:rPr>
            </w:pPr>
            <w:r>
              <w:rPr>
                <w:sz w:val="18"/>
              </w:rPr>
              <w:t>Use at least some country-specific carbon stock parameters to estimate carbon stock changes from land use conversion to cropland. Apportion carbon from biomass removal to burning, decay, and other nationally important conversion processes.</w:t>
            </w:r>
          </w:p>
          <w:p>
            <w:pPr>
              <w:pStyle w:val="TableParagraph"/>
              <w:ind w:left="108" w:right="241"/>
              <w:rPr>
                <w:sz w:val="18"/>
              </w:rPr>
            </w:pPr>
            <w:r>
              <w:rPr>
                <w:sz w:val="18"/>
              </w:rPr>
              <w:t>Estimate non-CO</w:t>
            </w:r>
            <w:r>
              <w:rPr>
                <w:sz w:val="18"/>
                <w:vertAlign w:val="subscript"/>
              </w:rPr>
              <w:t>2</w:t>
            </w:r>
            <w:r>
              <w:rPr>
                <w:sz w:val="18"/>
                <w:vertAlign w:val="baseline"/>
              </w:rPr>
              <w:t> trace gas emissions from the portion of biomass burned both on-site and off-site. Use area estimates that are disaggregated to nationally relevant climate zones and other boundaries to match country- specific carbon stock parameters.</w:t>
            </w:r>
          </w:p>
        </w:tc>
        <w:tc>
          <w:tcPr>
            <w:tcW w:w="1721" w:type="dxa"/>
          </w:tcPr>
          <w:p>
            <w:pPr>
              <w:pStyle w:val="TableParagraph"/>
              <w:spacing w:before="55"/>
              <w:ind w:left="108" w:right="88"/>
              <w:rPr>
                <w:sz w:val="18"/>
              </w:rPr>
            </w:pPr>
            <w:r>
              <w:rPr>
                <w:sz w:val="18"/>
              </w:rPr>
              <w:t>Use country-specific approach at fine spatial scale (e.g., modeling, measurement).</w:t>
            </w:r>
          </w:p>
        </w:tc>
      </w:tr>
      <w:tr>
        <w:trPr>
          <w:trHeight w:val="1981" w:hRule="atLeast"/>
        </w:trPr>
        <w:tc>
          <w:tcPr>
            <w:tcW w:w="1327" w:type="dxa"/>
          </w:tcPr>
          <w:p>
            <w:pPr>
              <w:pStyle w:val="TableParagraph"/>
              <w:spacing w:before="55"/>
              <w:ind w:left="107" w:right="165"/>
              <w:rPr>
                <w:sz w:val="18"/>
              </w:rPr>
            </w:pPr>
            <w:r>
              <w:rPr>
                <w:sz w:val="18"/>
              </w:rPr>
              <w:t>Carbon stocks in Soil</w:t>
            </w:r>
          </w:p>
        </w:tc>
        <w:tc>
          <w:tcPr>
            <w:tcW w:w="2841" w:type="dxa"/>
          </w:tcPr>
          <w:p>
            <w:pPr>
              <w:pStyle w:val="TableParagraph"/>
              <w:spacing w:before="55"/>
              <w:ind w:left="107" w:right="111"/>
              <w:rPr>
                <w:sz w:val="18"/>
              </w:rPr>
            </w:pPr>
            <w:r>
              <w:rPr>
                <w:sz w:val="18"/>
              </w:rPr>
              <w:t>For change in soil carbon from mineral soils use default coefficients. The areas must be stratified by climate and soil type. For change in soil carbon from organic soils use default coefficients and stratify the areas by climatic region. For emissions from liming, use default emission</w:t>
            </w:r>
            <w:r>
              <w:rPr>
                <w:spacing w:val="-20"/>
                <w:sz w:val="18"/>
              </w:rPr>
              <w:t> </w:t>
            </w:r>
            <w:r>
              <w:rPr>
                <w:sz w:val="18"/>
              </w:rPr>
              <w:t>factors.</w:t>
            </w:r>
          </w:p>
        </w:tc>
        <w:tc>
          <w:tcPr>
            <w:tcW w:w="3127" w:type="dxa"/>
          </w:tcPr>
          <w:p>
            <w:pPr>
              <w:pStyle w:val="TableParagraph"/>
              <w:spacing w:before="55"/>
              <w:ind w:left="108" w:right="239"/>
              <w:rPr>
                <w:sz w:val="18"/>
              </w:rPr>
            </w:pPr>
            <w:r>
              <w:rPr>
                <w:sz w:val="18"/>
              </w:rPr>
              <w:t>For both mineral and organic soils use some combination of default and or country-specific coefficients and area estimates of increasingly finer spatial resolution. For emissions from liming, use emission factors differentiated by forms of lime.</w:t>
            </w:r>
          </w:p>
        </w:tc>
        <w:tc>
          <w:tcPr>
            <w:tcW w:w="1721" w:type="dxa"/>
          </w:tcPr>
          <w:p>
            <w:pPr>
              <w:pStyle w:val="TableParagraph"/>
              <w:spacing w:before="55"/>
              <w:ind w:left="108" w:right="88"/>
              <w:rPr>
                <w:sz w:val="18"/>
              </w:rPr>
            </w:pPr>
            <w:r>
              <w:rPr>
                <w:sz w:val="18"/>
              </w:rPr>
              <w:t>Use country-specific approach at fine spatial scale (e.g., modeling, measurement)</w:t>
            </w:r>
          </w:p>
        </w:tc>
      </w:tr>
      <w:tr>
        <w:trPr>
          <w:trHeight w:val="1775" w:hRule="atLeast"/>
        </w:trPr>
        <w:tc>
          <w:tcPr>
            <w:tcW w:w="1327" w:type="dxa"/>
          </w:tcPr>
          <w:p>
            <w:pPr>
              <w:pStyle w:val="TableParagraph"/>
              <w:spacing w:before="55"/>
              <w:ind w:left="107" w:right="165"/>
              <w:rPr>
                <w:sz w:val="18"/>
              </w:rPr>
            </w:pPr>
            <w:r>
              <w:rPr>
                <w:sz w:val="18"/>
              </w:rPr>
              <w:t>Nitrous Oxide from soil oxidation during conversion</w:t>
            </w:r>
          </w:p>
        </w:tc>
        <w:tc>
          <w:tcPr>
            <w:tcW w:w="2841" w:type="dxa"/>
          </w:tcPr>
          <w:p>
            <w:pPr>
              <w:pStyle w:val="TableParagraph"/>
              <w:spacing w:before="55"/>
              <w:ind w:left="107" w:right="235"/>
              <w:rPr>
                <w:sz w:val="18"/>
              </w:rPr>
            </w:pPr>
            <w:r>
              <w:rPr>
                <w:sz w:val="18"/>
              </w:rPr>
              <w:t>Use default parameters and coarse spatial disaggregation</w:t>
            </w:r>
          </w:p>
        </w:tc>
        <w:tc>
          <w:tcPr>
            <w:tcW w:w="3127" w:type="dxa"/>
          </w:tcPr>
          <w:p>
            <w:pPr>
              <w:pStyle w:val="TableParagraph"/>
              <w:spacing w:before="55"/>
              <w:ind w:left="108" w:right="160"/>
              <w:rPr>
                <w:sz w:val="18"/>
              </w:rPr>
            </w:pPr>
            <w:r>
              <w:rPr>
                <w:sz w:val="18"/>
              </w:rPr>
              <w:t>Use of country-specific parameters and increased spatial disaggregation</w:t>
            </w:r>
          </w:p>
        </w:tc>
        <w:tc>
          <w:tcPr>
            <w:tcW w:w="1721" w:type="dxa"/>
          </w:tcPr>
          <w:p>
            <w:pPr>
              <w:pStyle w:val="TableParagraph"/>
              <w:spacing w:before="55"/>
              <w:ind w:left="108" w:right="88"/>
              <w:rPr>
                <w:sz w:val="18"/>
              </w:rPr>
            </w:pPr>
            <w:r>
              <w:rPr>
                <w:sz w:val="18"/>
              </w:rPr>
              <w:t>Use country-specific approach at fine spatial scale (e.g., modeling, measurement) and report under LULUCF cropland remaining cropland</w:t>
            </w:r>
          </w:p>
        </w:tc>
      </w:tr>
    </w:tbl>
    <w:p>
      <w:pPr>
        <w:pStyle w:val="BodyText"/>
      </w:pPr>
    </w:p>
    <w:p>
      <w:pPr>
        <w:pStyle w:val="BodyText"/>
      </w:pPr>
    </w:p>
    <w:p>
      <w:pPr>
        <w:pStyle w:val="BodyText"/>
        <w:spacing w:before="6"/>
        <w:rPr>
          <w:sz w:val="23"/>
        </w:rPr>
      </w:pPr>
      <w:r>
        <w:rPr/>
        <w:pict>
          <v:line style="position:absolute;mso-position-horizontal-relative:page;mso-position-vertical-relative:paragraph;z-index:8216;mso-wrap-distance-left:0;mso-wrap-distance-right:0" from="70.960999pt,15.761953pt" to="214.960999pt,15.761953pt" stroked="true" strokeweight=".48pt" strokecolor="#000000">
            <v:stroke dashstyle="solid"/>
            <w10:wrap type="topAndBottom"/>
          </v:line>
        </w:pict>
      </w:r>
    </w:p>
    <w:p>
      <w:pPr>
        <w:spacing w:before="150"/>
        <w:ind w:left="360" w:right="0" w:hanging="142"/>
        <w:jc w:val="left"/>
        <w:rPr>
          <w:sz w:val="18"/>
        </w:rPr>
      </w:pPr>
      <w:r>
        <w:rPr>
          <w:position w:val="8"/>
          <w:sz w:val="12"/>
        </w:rPr>
        <w:t>4 </w:t>
      </w:r>
      <w:r>
        <w:rPr>
          <w:sz w:val="18"/>
        </w:rPr>
        <w:t>Any litter and dead wood pools (estimated using the methods described in Section 3.2.2.2) should be assumed oxidized following land conversion.</w:t>
      </w:r>
    </w:p>
    <w:p>
      <w:pPr>
        <w:spacing w:after="0"/>
        <w:jc w:val="left"/>
        <w:rPr>
          <w:sz w:val="18"/>
        </w:rPr>
        <w:sectPr>
          <w:pgSz w:w="11900" w:h="16840"/>
          <w:pgMar w:header="230" w:footer="408" w:top="560" w:bottom="600" w:left="1200" w:right="1140"/>
        </w:sectPr>
      </w:pPr>
    </w:p>
    <w:p>
      <w:pPr>
        <w:pStyle w:val="BodyText"/>
      </w:pPr>
    </w:p>
    <w:p>
      <w:pPr>
        <w:pStyle w:val="Heading6"/>
        <w:numPr>
          <w:ilvl w:val="5"/>
          <w:numId w:val="65"/>
        </w:numPr>
        <w:tabs>
          <w:tab w:pos="1449" w:val="left" w:leader="none"/>
        </w:tabs>
        <w:spacing w:line="240" w:lineRule="auto" w:before="214" w:after="0"/>
        <w:ind w:left="1448" w:right="0" w:hanging="1229"/>
        <w:jc w:val="both"/>
      </w:pPr>
      <w:r>
        <w:rPr/>
        <w:t>1 </w:t>
      </w:r>
      <w:r>
        <w:rPr>
          <w:spacing w:val="16"/>
        </w:rPr>
        <w:t>Choice </w:t>
      </w:r>
      <w:r>
        <w:rPr>
          <w:spacing w:val="9"/>
        </w:rPr>
        <w:t>of</w:t>
      </w:r>
      <w:r>
        <w:rPr>
          <w:spacing w:val="-22"/>
        </w:rPr>
        <w:t> </w:t>
      </w:r>
      <w:r>
        <w:rPr>
          <w:spacing w:val="19"/>
        </w:rPr>
        <w:t>Method</w:t>
      </w:r>
    </w:p>
    <w:p>
      <w:pPr>
        <w:pStyle w:val="BodyText"/>
        <w:spacing w:before="57"/>
        <w:ind w:left="219" w:right="261"/>
        <w:jc w:val="both"/>
      </w:pPr>
      <w:r>
        <w:rPr/>
        <w:t>The </w:t>
      </w:r>
      <w:r>
        <w:rPr>
          <w:i/>
        </w:rPr>
        <w:t>IPCC Guidelines </w:t>
      </w:r>
      <w:r>
        <w:rPr/>
        <w:t>describe increasingly sophisticated alternatives that incorporate greater detail on the areas of land converted, carbon stocks on lands, and removal of carbon resulting from land conversions. </w:t>
      </w:r>
      <w:r>
        <w:rPr>
          <w:i/>
        </w:rPr>
        <w:t>Good practice guidance </w:t>
      </w:r>
      <w:r>
        <w:rPr/>
        <w:t>reflects this in a tiered methodology with the choice of tier depending on data availability and national circumstances. All countries should strive for improving inventory and reporting approaches by advancing to the highest tier possible given national circumstances. It is </w:t>
      </w:r>
      <w:r>
        <w:rPr>
          <w:i/>
        </w:rPr>
        <w:t>good practice </w:t>
      </w:r>
      <w:r>
        <w:rPr/>
        <w:t>for countries to use a Tier 2 or Tier 3 approach if carbon emissions and removals in land converted to cropland is a key category and if the  subcategory of living biomass is considered significant based on principles outlined in Chapter 5. Countries should use the decision tree in Figure 3.1.2 to help with the choice of method.</w:t>
      </w:r>
    </w:p>
    <w:p>
      <w:pPr>
        <w:pStyle w:val="BodyText"/>
        <w:spacing w:before="118"/>
        <w:ind w:left="219" w:right="266"/>
        <w:jc w:val="both"/>
      </w:pPr>
      <w:r>
        <w:rPr>
          <w:b/>
        </w:rPr>
        <w:t>Tier 1: </w:t>
      </w:r>
      <w:r>
        <w:rPr/>
        <w:t>The Tier 1 method follows the approach in </w:t>
      </w:r>
      <w:r>
        <w:rPr>
          <w:i/>
        </w:rPr>
        <w:t>IPCC Guidelines </w:t>
      </w:r>
      <w:r>
        <w:rPr/>
        <w:t>Section 5.2.3. Forest and Grassland Conversion where the amount of biomass that is cleared for cropland is estimated by multiplying the forest area converted in one year by the average carbon stock in biomass in the forest prior to conversion. It is </w:t>
      </w:r>
      <w:r>
        <w:rPr>
          <w:i/>
        </w:rPr>
        <w:t>good practice </w:t>
      </w:r>
      <w:r>
        <w:rPr/>
        <w:t>to account completely for all land conversions to cropland. Thus, this section elaborates on the method such that it includes each initial land use, including but not limited to forests.</w:t>
      </w:r>
    </w:p>
    <w:p>
      <w:pPr>
        <w:pStyle w:val="BodyText"/>
        <w:spacing w:before="120"/>
        <w:ind w:left="219" w:right="263"/>
        <w:jc w:val="both"/>
      </w:pPr>
      <w:r>
        <w:rPr/>
        <w:t>Equation 3.3.8 summarises the major elements of a first order approximation of carbon stock change from land- use conversion to cropland. Average carbon stock change on a per area basis is estimated for each type of conversion. The average carbon stock change is equal to the carbon stock change due to the removal of biomass from the initial land use (i.e., carbon in biomass immediately after conversion minus the carbon in biomass prior to conversion), plus carbon stocks from one year of growth in cropland following conversion. As stated in the </w:t>
      </w:r>
      <w:r>
        <w:rPr>
          <w:i/>
        </w:rPr>
        <w:t>IPCC Guidelines</w:t>
      </w:r>
      <w:r>
        <w:rPr/>
        <w:t>, it is necessary to account for any vegetation that replaces the vegetation that was cleared during land use conversion. The </w:t>
      </w:r>
      <w:r>
        <w:rPr>
          <w:i/>
        </w:rPr>
        <w:t>IPCC Guidelines </w:t>
      </w:r>
      <w:r>
        <w:rPr/>
        <w:t>combine carbon in biomass after conversion and carbon in biomass that grows on the land following conversion into a single term. In this method, they are separated into two terms, C</w:t>
      </w:r>
      <w:r>
        <w:rPr>
          <w:vertAlign w:val="subscript"/>
        </w:rPr>
        <w:t>After</w:t>
      </w:r>
      <w:r>
        <w:rPr>
          <w:vertAlign w:val="baseline"/>
        </w:rPr>
        <w:t> and </w:t>
      </w:r>
      <w:r>
        <w:rPr>
          <w:rFonts w:ascii="Symbol" w:hAnsi="Symbol"/>
          <w:vertAlign w:val="baseline"/>
        </w:rPr>
        <w:t>∆</w:t>
      </w:r>
      <w:r>
        <w:rPr>
          <w:vertAlign w:val="baseline"/>
        </w:rPr>
        <w:t>C</w:t>
      </w:r>
      <w:r>
        <w:rPr>
          <w:vertAlign w:val="subscript"/>
        </w:rPr>
        <w:t>Growth</w:t>
      </w:r>
      <w:r>
        <w:rPr>
          <w:vertAlign w:val="baseline"/>
        </w:rPr>
        <w:t> to increase transparency. At Tier 1, carbon stocks in biomass immediately </w:t>
      </w:r>
      <w:r>
        <w:rPr>
          <w:spacing w:val="-11"/>
          <w:vertAlign w:val="baseline"/>
        </w:rPr>
        <w:t>after </w:t>
      </w:r>
      <w:r>
        <w:rPr>
          <w:vertAlign w:val="baseline"/>
        </w:rPr>
        <w:t>conversion (C</w:t>
      </w:r>
      <w:r>
        <w:rPr>
          <w:vertAlign w:val="subscript"/>
        </w:rPr>
        <w:t>After</w:t>
      </w:r>
      <w:r>
        <w:rPr>
          <w:vertAlign w:val="baseline"/>
        </w:rPr>
        <w:t>) are assumed to be zero, i.e., the land is cleared of all vegetation before planting crops. Average carbon stock change per area for a given land use conversion is multiplied by the estimated area of lands undergoing such a conversion in a given year. In subsequent years, change in biomass of annual crops is considered zero because carbon gains in biomass from annual growth are offset by losses from harvesting and change in biomass of perennial woody crops are counted following the methodology in Section 3.3.1.1 (Change in carbon stocks in biomass, in: Cropland Remaining</w:t>
      </w:r>
      <w:r>
        <w:rPr>
          <w:spacing w:val="-5"/>
          <w:vertAlign w:val="baseline"/>
        </w:rPr>
        <w:t> </w:t>
      </w:r>
      <w:r>
        <w:rPr>
          <w:vertAlign w:val="baseline"/>
        </w:rPr>
        <w:t>Cropland).</w:t>
      </w:r>
    </w:p>
    <w:p>
      <w:pPr>
        <w:pStyle w:val="BodyText"/>
        <w:spacing w:before="114"/>
        <w:ind w:left="219"/>
        <w:jc w:val="both"/>
      </w:pPr>
      <w:r>
        <w:rPr/>
        <w:t>The basic steps in estimating carbon stock change in biomass from land conversion to cropland are as follows:</w:t>
      </w:r>
    </w:p>
    <w:p>
      <w:pPr>
        <w:pStyle w:val="ListParagraph"/>
        <w:numPr>
          <w:ilvl w:val="6"/>
          <w:numId w:val="65"/>
        </w:numPr>
        <w:tabs>
          <w:tab w:pos="1297" w:val="left" w:leader="none"/>
        </w:tabs>
        <w:spacing w:line="240" w:lineRule="auto" w:before="121" w:after="0"/>
        <w:ind w:left="1296" w:right="265" w:hanging="571"/>
        <w:jc w:val="both"/>
        <w:rPr>
          <w:sz w:val="20"/>
        </w:rPr>
      </w:pPr>
      <w:r>
        <w:rPr>
          <w:sz w:val="20"/>
        </w:rPr>
        <w:t>Estimate the average area of land undergoing a transition from non-cropland to cropland during a year (A</w:t>
      </w:r>
      <w:r>
        <w:rPr>
          <w:sz w:val="20"/>
          <w:vertAlign w:val="subscript"/>
        </w:rPr>
        <w:t>conversion</w:t>
      </w:r>
      <w:r>
        <w:rPr>
          <w:sz w:val="20"/>
          <w:vertAlign w:val="baseline"/>
        </w:rPr>
        <w:t>), separately for each initial land use (i.e., forest land, grasslands, etc.) and final crop type (i.e., annual or perennial</w:t>
      </w:r>
      <w:r>
        <w:rPr>
          <w:spacing w:val="3"/>
          <w:sz w:val="20"/>
          <w:vertAlign w:val="baseline"/>
        </w:rPr>
        <w:t> </w:t>
      </w:r>
      <w:r>
        <w:rPr>
          <w:sz w:val="20"/>
          <w:vertAlign w:val="baseline"/>
        </w:rPr>
        <w:t>woody).</w:t>
      </w:r>
    </w:p>
    <w:p>
      <w:pPr>
        <w:pStyle w:val="ListParagraph"/>
        <w:numPr>
          <w:ilvl w:val="6"/>
          <w:numId w:val="65"/>
        </w:numPr>
        <w:tabs>
          <w:tab w:pos="1297" w:val="left" w:leader="none"/>
        </w:tabs>
        <w:spacing w:line="240" w:lineRule="auto" w:before="119" w:after="0"/>
        <w:ind w:left="1296" w:right="260" w:hanging="597"/>
        <w:jc w:val="both"/>
        <w:rPr>
          <w:sz w:val="20"/>
        </w:rPr>
      </w:pPr>
      <w:r>
        <w:rPr>
          <w:sz w:val="20"/>
        </w:rPr>
        <w:t>For each type of land use transition to cropland, use Equation 3.3.8 to estimate the resulting change in carbon stocks. Default data in Section 3.3.2.1.1.2 for C</w:t>
      </w:r>
      <w:r>
        <w:rPr>
          <w:sz w:val="20"/>
          <w:vertAlign w:val="subscript"/>
        </w:rPr>
        <w:t>After</w:t>
      </w:r>
      <w:r>
        <w:rPr>
          <w:sz w:val="20"/>
          <w:vertAlign w:val="baseline"/>
        </w:rPr>
        <w:t>, C</w:t>
      </w:r>
      <w:r>
        <w:rPr>
          <w:sz w:val="20"/>
          <w:vertAlign w:val="subscript"/>
        </w:rPr>
        <w:t>Before</w:t>
      </w:r>
      <w:r>
        <w:rPr>
          <w:sz w:val="20"/>
          <w:vertAlign w:val="baseline"/>
        </w:rPr>
        <w:t>, and </w:t>
      </w:r>
      <w:r>
        <w:rPr>
          <w:rFonts w:ascii="Symbol" w:hAnsi="Symbol"/>
          <w:sz w:val="20"/>
          <w:vertAlign w:val="baseline"/>
        </w:rPr>
        <w:t>∆</w:t>
      </w:r>
      <w:r>
        <w:rPr>
          <w:sz w:val="20"/>
          <w:vertAlign w:val="baseline"/>
        </w:rPr>
        <w:t>C</w:t>
      </w:r>
      <w:r>
        <w:rPr>
          <w:sz w:val="20"/>
          <w:vertAlign w:val="subscript"/>
        </w:rPr>
        <w:t>Growth</w:t>
      </w:r>
      <w:r>
        <w:rPr>
          <w:sz w:val="20"/>
          <w:vertAlign w:val="baseline"/>
        </w:rPr>
        <w:t> can be used </w:t>
      </w:r>
      <w:r>
        <w:rPr>
          <w:spacing w:val="-33"/>
          <w:sz w:val="20"/>
          <w:vertAlign w:val="baseline"/>
        </w:rPr>
        <w:t>to </w:t>
      </w:r>
      <w:r>
        <w:rPr>
          <w:sz w:val="20"/>
          <w:vertAlign w:val="baseline"/>
        </w:rPr>
        <w:t>estimate the total stock change on a per area basis for each type of land use transition. The estimate for stock change on a per area basis can then be multiplied by the appropriate area estimates from step 1.</w:t>
      </w:r>
    </w:p>
    <w:p>
      <w:pPr>
        <w:pStyle w:val="ListParagraph"/>
        <w:numPr>
          <w:ilvl w:val="6"/>
          <w:numId w:val="65"/>
        </w:numPr>
        <w:tabs>
          <w:tab w:pos="1297" w:val="left" w:leader="none"/>
        </w:tabs>
        <w:spacing w:line="240" w:lineRule="auto" w:before="117" w:after="0"/>
        <w:ind w:left="1296" w:right="268" w:hanging="626"/>
        <w:jc w:val="both"/>
        <w:rPr>
          <w:sz w:val="20"/>
        </w:rPr>
      </w:pPr>
      <w:r>
        <w:rPr>
          <w:sz w:val="20"/>
        </w:rPr>
        <w:t>Estimate the total carbon stock change from all land-use conversions to cropland by summing the individual estimates for each</w:t>
      </w:r>
      <w:r>
        <w:rPr>
          <w:spacing w:val="1"/>
          <w:sz w:val="20"/>
        </w:rPr>
        <w:t> </w:t>
      </w:r>
      <w:r>
        <w:rPr>
          <w:sz w:val="20"/>
        </w:rPr>
        <w:t>transition.</w:t>
      </w:r>
    </w:p>
    <w:p>
      <w:pPr>
        <w:pStyle w:val="BodyText"/>
        <w:spacing w:before="121"/>
        <w:ind w:left="219" w:right="268"/>
        <w:jc w:val="both"/>
      </w:pPr>
      <w:r>
        <w:rPr/>
        <w:t>The default assumption for Tier 1 is that all carbon in biomass is lost to the atmosphere through decay processes either on- or off-site. As such, Tier 1 calculations do not differentiate immediate emissions from burning and other conversion activities.</w:t>
      </w:r>
    </w:p>
    <w:p>
      <w:pPr>
        <w:pStyle w:val="BodyText"/>
        <w:spacing w:before="9"/>
        <w:rPr>
          <w:sz w:val="9"/>
        </w:rPr>
      </w:pPr>
      <w:r>
        <w:rPr/>
        <w:pict>
          <v:group style="position:absolute;margin-left:91.240997pt;margin-top:8.337676pt;width:412.95pt;height:82.1pt;mso-position-horizontal-relative:page;mso-position-vertical-relative:paragraph;z-index:8360;mso-wrap-distance-left:0;mso-wrap-distance-right:0" coordorigin="1825,167" coordsize="8259,1642">
            <v:line style="position:absolute" from="1854,181" to="10054,181" stroked="true" strokeweight="1.44pt" strokecolor="#000000">
              <v:stroke dashstyle="solid"/>
            </v:line>
            <v:line style="position:absolute" from="1854,1794" to="10054,1794" stroked="true" strokeweight="1.44pt" strokecolor="#000000">
              <v:stroke dashstyle="solid"/>
            </v:line>
            <v:line style="position:absolute" from="1839,167" to="1839,1808" stroked="true" strokeweight="1.44pt" strokecolor="#000000">
              <v:stroke dashstyle="solid"/>
            </v:line>
            <v:line style="position:absolute" from="10069,167" to="10069,1808" stroked="true" strokeweight="1.44pt" strokecolor="#000000">
              <v:stroke dashstyle="solid"/>
            </v:line>
            <v:shape style="position:absolute;left:4846;top:1059;width:2868;height:633" type="#_x0000_t202" filled="false" stroked="false">
              <v:textbox inset="0,0,0,0">
                <w:txbxContent>
                  <w:p>
                    <w:pPr>
                      <w:spacing w:before="15"/>
                      <w:ind w:left="0" w:right="0" w:firstLine="0"/>
                      <w:jc w:val="left"/>
                      <w:rPr>
                        <w:sz w:val="20"/>
                      </w:rPr>
                    </w:pPr>
                    <w:r>
                      <w:rPr>
                        <w:position w:val="3"/>
                        <w:sz w:val="20"/>
                      </w:rPr>
                      <w:t>= A</w:t>
                    </w:r>
                    <w:r>
                      <w:rPr>
                        <w:sz w:val="13"/>
                      </w:rPr>
                      <w:t>Conversion </w:t>
                    </w:r>
                    <w:r>
                      <w:rPr>
                        <w:position w:val="3"/>
                        <w:sz w:val="20"/>
                      </w:rPr>
                      <w:t>● (L</w:t>
                    </w:r>
                    <w:r>
                      <w:rPr>
                        <w:sz w:val="13"/>
                      </w:rPr>
                      <w:t>Conversion </w:t>
                    </w:r>
                    <w:r>
                      <w:rPr>
                        <w:position w:val="3"/>
                        <w:sz w:val="20"/>
                      </w:rPr>
                      <w:t>+ </w:t>
                    </w:r>
                    <w:r>
                      <w:rPr>
                        <w:rFonts w:ascii="Symbol" w:hAnsi="Symbol"/>
                        <w:spacing w:val="-10"/>
                        <w:position w:val="3"/>
                        <w:sz w:val="20"/>
                      </w:rPr>
                      <w:t>∆</w:t>
                    </w:r>
                    <w:r>
                      <w:rPr>
                        <w:spacing w:val="-10"/>
                        <w:position w:val="3"/>
                        <w:sz w:val="20"/>
                      </w:rPr>
                      <w:t>C</w:t>
                    </w:r>
                    <w:r>
                      <w:rPr>
                        <w:spacing w:val="-10"/>
                        <w:sz w:val="13"/>
                      </w:rPr>
                      <w:t>Growth</w:t>
                    </w:r>
                    <w:r>
                      <w:rPr>
                        <w:spacing w:val="-10"/>
                        <w:position w:val="3"/>
                        <w:sz w:val="20"/>
                      </w:rPr>
                      <w:t>)</w:t>
                    </w:r>
                  </w:p>
                  <w:p>
                    <w:pPr>
                      <w:spacing w:before="126"/>
                      <w:ind w:left="93" w:right="0" w:firstLine="0"/>
                      <w:jc w:val="left"/>
                      <w:rPr>
                        <w:sz w:val="13"/>
                      </w:rPr>
                    </w:pPr>
                    <w:r>
                      <w:rPr>
                        <w:position w:val="3"/>
                        <w:sz w:val="20"/>
                      </w:rPr>
                      <w:t>L</w:t>
                    </w:r>
                    <w:r>
                      <w:rPr>
                        <w:sz w:val="13"/>
                      </w:rPr>
                      <w:t>Conversion </w:t>
                    </w:r>
                    <w:r>
                      <w:rPr>
                        <w:position w:val="3"/>
                        <w:sz w:val="20"/>
                      </w:rPr>
                      <w:t>= C</w:t>
                    </w:r>
                    <w:r>
                      <w:rPr>
                        <w:sz w:val="13"/>
                      </w:rPr>
                      <w:t>After </w:t>
                    </w:r>
                    <w:r>
                      <w:rPr>
                        <w:position w:val="3"/>
                        <w:sz w:val="20"/>
                      </w:rPr>
                      <w:t>– C</w:t>
                    </w:r>
                    <w:r>
                      <w:rPr>
                        <w:sz w:val="13"/>
                      </w:rPr>
                      <w:t>Before</w:t>
                    </w:r>
                  </w:p>
                </w:txbxContent>
              </v:textbox>
              <w10:wrap type="none"/>
            </v:shape>
            <v:shape style="position:absolute;left:4632;top:1236;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4210;top:1059;width:438;height:261" type="#_x0000_t202" filled="false" stroked="false">
              <v:textbox inset="0,0,0,0">
                <w:txbxContent>
                  <w:p>
                    <w:pPr>
                      <w:spacing w:line="246" w:lineRule="exact" w:before="14"/>
                      <w:ind w:left="0" w:right="0" w:firstLine="0"/>
                      <w:jc w:val="left"/>
                      <w:rPr>
                        <w:sz w:val="20"/>
                      </w:rPr>
                    </w:pPr>
                    <w:r>
                      <w:rPr>
                        <w:rFonts w:ascii="Symbol" w:hAnsi="Symbol"/>
                        <w:w w:val="101"/>
                        <w:sz w:val="20"/>
                      </w:rPr>
                      <w:t>∆</w:t>
                    </w:r>
                    <w:r>
                      <w:rPr>
                        <w:spacing w:val="1"/>
                        <w:w w:val="99"/>
                        <w:sz w:val="20"/>
                      </w:rPr>
                      <w:t>C</w:t>
                    </w:r>
                    <w:r>
                      <w:rPr>
                        <w:spacing w:val="-3"/>
                        <w:w w:val="99"/>
                        <w:sz w:val="20"/>
                        <w:vertAlign w:val="subscript"/>
                      </w:rPr>
                      <w:t>LC</w:t>
                    </w:r>
                  </w:p>
                </w:txbxContent>
              </v:textbox>
              <w10:wrap type="none"/>
            </v:shape>
            <v:shape style="position:absolute;left:3593;top:303;width:4741;height:671" type="#_x0000_t202" filled="false" stroked="false">
              <v:textbox inset="0,0,0,0">
                <w:txbxContent>
                  <w:p>
                    <w:pPr>
                      <w:spacing w:line="221" w:lineRule="exact" w:before="0"/>
                      <w:ind w:left="0" w:right="17" w:firstLine="0"/>
                      <w:jc w:val="center"/>
                      <w:rPr>
                        <w:b/>
                        <w:sz w:val="20"/>
                      </w:rPr>
                    </w:pPr>
                    <w:r>
                      <w:rPr>
                        <w:b/>
                        <w:sz w:val="20"/>
                      </w:rPr>
                      <w:t>E</w:t>
                    </w:r>
                    <w:r>
                      <w:rPr>
                        <w:b/>
                        <w:sz w:val="16"/>
                      </w:rPr>
                      <w:t>QUATION </w:t>
                    </w:r>
                    <w:r>
                      <w:rPr>
                        <w:b/>
                        <w:sz w:val="20"/>
                      </w:rPr>
                      <w:t>3.3.8</w:t>
                    </w:r>
                  </w:p>
                  <w:p>
                    <w:pPr>
                      <w:spacing w:line="276" w:lineRule="auto" w:before="0"/>
                      <w:ind w:left="-1" w:right="18" w:firstLine="0"/>
                      <w:jc w:val="center"/>
                      <w:rPr>
                        <w:b/>
                        <w:sz w:val="16"/>
                      </w:rPr>
                    </w:pPr>
                    <w:r>
                      <w:rPr>
                        <w:b/>
                        <w:sz w:val="20"/>
                      </w:rPr>
                      <w:t>A</w:t>
                    </w:r>
                    <w:r>
                      <w:rPr>
                        <w:b/>
                        <w:sz w:val="16"/>
                      </w:rPr>
                      <w:t>NNUAL CHANGE IN CARBON STOCKS IN LIVING</w:t>
                    </w:r>
                    <w:r>
                      <w:rPr>
                        <w:b/>
                        <w:spacing w:val="-13"/>
                        <w:sz w:val="16"/>
                      </w:rPr>
                      <w:t> </w:t>
                    </w:r>
                    <w:r>
                      <w:rPr>
                        <w:b/>
                        <w:sz w:val="16"/>
                      </w:rPr>
                      <w:t>BIOMASS IN LAND CONVERTED TO</w:t>
                    </w:r>
                    <w:r>
                      <w:rPr>
                        <w:b/>
                        <w:spacing w:val="-6"/>
                        <w:sz w:val="16"/>
                      </w:rPr>
                      <w:t> </w:t>
                    </w:r>
                    <w:r>
                      <w:rPr>
                        <w:b/>
                        <w:sz w:val="16"/>
                      </w:rPr>
                      <w:t>CROPLAND</w:t>
                    </w:r>
                  </w:p>
                </w:txbxContent>
              </v:textbox>
              <w10:wrap type="none"/>
            </v:shape>
            <w10:wrap type="topAndBottom"/>
          </v:group>
        </w:pict>
      </w:r>
    </w:p>
    <w:p>
      <w:pPr>
        <w:pStyle w:val="BodyText"/>
        <w:spacing w:line="220" w:lineRule="exact"/>
        <w:ind w:left="219"/>
      </w:pPr>
      <w:r>
        <w:rPr/>
        <w:t>Where:</w:t>
      </w:r>
    </w:p>
    <w:p>
      <w:pPr>
        <w:pStyle w:val="BodyText"/>
        <w:spacing w:line="343" w:lineRule="auto" w:before="135"/>
        <w:ind w:left="785" w:right="443"/>
      </w:pPr>
      <w:r>
        <w:rPr>
          <w:rFonts w:ascii="Symbol" w:hAnsi="Symbol"/>
        </w:rPr>
        <w:t>∆</w:t>
      </w:r>
      <w:r>
        <w:rPr/>
        <w:t>C</w:t>
      </w:r>
      <w:r>
        <w:rPr>
          <w:vertAlign w:val="subscript"/>
        </w:rPr>
        <w:t>LC</w:t>
      </w:r>
      <w:r>
        <w:rPr>
          <w:position w:val="-8"/>
          <w:sz w:val="13"/>
          <w:vertAlign w:val="baseline"/>
        </w:rPr>
        <w:t>LB </w:t>
      </w:r>
      <w:r>
        <w:rPr>
          <w:vertAlign w:val="baseline"/>
        </w:rPr>
        <w:t>= annual change in carbon stocks in living biomass in land converted to cropland, tonnes C yr</w:t>
      </w:r>
      <w:r>
        <w:rPr>
          <w:vertAlign w:val="superscript"/>
        </w:rPr>
        <w:t>-1</w:t>
      </w:r>
      <w:r>
        <w:rPr>
          <w:vertAlign w:val="baseline"/>
        </w:rPr>
        <w:t> A</w:t>
      </w:r>
      <w:r>
        <w:rPr>
          <w:vertAlign w:val="subscript"/>
        </w:rPr>
        <w:t>Conversion</w:t>
      </w:r>
      <w:r>
        <w:rPr>
          <w:vertAlign w:val="baseline"/>
        </w:rPr>
        <w:t> = annual area of land converted to cropland, ha yr</w:t>
      </w:r>
      <w:r>
        <w:rPr>
          <w:vertAlign w:val="superscript"/>
        </w:rPr>
        <w:t>-1</w:t>
      </w:r>
    </w:p>
    <w:p>
      <w:pPr>
        <w:pStyle w:val="BodyText"/>
        <w:spacing w:before="28"/>
        <w:ind w:left="1750" w:hanging="965"/>
      </w:pPr>
      <w:r>
        <w:rPr/>
        <w:t>L</w:t>
      </w:r>
      <w:r>
        <w:rPr>
          <w:vertAlign w:val="subscript"/>
        </w:rPr>
        <w:t>Conversion</w:t>
      </w:r>
      <w:r>
        <w:rPr>
          <w:vertAlign w:val="baseline"/>
        </w:rPr>
        <w:t> = carbon stock change per area for that type of conversion when land is converted to cropland, tonnes C ha</w:t>
      </w:r>
      <w:r>
        <w:rPr>
          <w:vertAlign w:val="superscript"/>
        </w:rPr>
        <w:t>-1</w:t>
      </w:r>
    </w:p>
    <w:p>
      <w:pPr>
        <w:spacing w:after="0"/>
        <w:sectPr>
          <w:pgSz w:w="11900" w:h="16840"/>
          <w:pgMar w:header="230" w:footer="408" w:top="560" w:bottom="600" w:left="1200" w:right="1140"/>
        </w:sectPr>
      </w:pPr>
    </w:p>
    <w:p>
      <w:pPr>
        <w:pStyle w:val="BodyText"/>
        <w:spacing w:before="2"/>
        <w:rPr>
          <w:sz w:val="29"/>
        </w:rPr>
      </w:pPr>
    </w:p>
    <w:p>
      <w:pPr>
        <w:pStyle w:val="BodyText"/>
        <w:spacing w:line="352" w:lineRule="auto" w:before="120"/>
        <w:ind w:left="785" w:right="1454"/>
      </w:pPr>
      <w:r>
        <w:rPr>
          <w:rFonts w:ascii="Symbol" w:hAnsi="Symbol"/>
        </w:rPr>
        <w:t>∆</w:t>
      </w:r>
      <w:r>
        <w:rPr/>
        <w:t>C</w:t>
      </w:r>
      <w:r>
        <w:rPr>
          <w:vertAlign w:val="subscript"/>
        </w:rPr>
        <w:t>Growth</w:t>
      </w:r>
      <w:r>
        <w:rPr>
          <w:vertAlign w:val="baseline"/>
        </w:rPr>
        <w:t> = changes in carbon stocks from one year of cropland growth, tonnes C ha</w:t>
      </w:r>
      <w:r>
        <w:rPr>
          <w:vertAlign w:val="superscript"/>
        </w:rPr>
        <w:t>-1</w:t>
      </w:r>
      <w:r>
        <w:rPr>
          <w:vertAlign w:val="baseline"/>
        </w:rPr>
        <w:t> C</w:t>
      </w:r>
      <w:r>
        <w:rPr>
          <w:vertAlign w:val="subscript"/>
        </w:rPr>
        <w:t>After</w:t>
      </w:r>
      <w:r>
        <w:rPr>
          <w:vertAlign w:val="baseline"/>
        </w:rPr>
        <w:t>= carbon stocks in biomass immediately after conversion to cropland, tonnes C ha</w:t>
      </w:r>
      <w:r>
        <w:rPr>
          <w:vertAlign w:val="superscript"/>
        </w:rPr>
        <w:t>-1</w:t>
      </w:r>
      <w:r>
        <w:rPr>
          <w:vertAlign w:val="baseline"/>
        </w:rPr>
        <w:t> C</w:t>
      </w:r>
      <w:r>
        <w:rPr>
          <w:vertAlign w:val="subscript"/>
        </w:rPr>
        <w:t>Before</w:t>
      </w:r>
      <w:r>
        <w:rPr>
          <w:vertAlign w:val="baseline"/>
        </w:rPr>
        <w:t>= carbon stocks in biomass immediately before conversion to cropland, tonnes C ha</w:t>
      </w:r>
      <w:r>
        <w:rPr>
          <w:vertAlign w:val="superscript"/>
        </w:rPr>
        <w:t>-1</w:t>
      </w:r>
    </w:p>
    <w:p>
      <w:pPr>
        <w:pStyle w:val="BodyText"/>
        <w:spacing w:before="1"/>
        <w:rPr>
          <w:sz w:val="32"/>
        </w:rPr>
      </w:pPr>
    </w:p>
    <w:p>
      <w:pPr>
        <w:pStyle w:val="BodyText"/>
        <w:ind w:left="219" w:right="261"/>
        <w:jc w:val="both"/>
      </w:pPr>
      <w:r>
        <w:rPr>
          <w:b/>
        </w:rPr>
        <w:t>Tier 2: </w:t>
      </w:r>
      <w:r>
        <w:rPr/>
        <w:t>The Tier 2 calculations are structurally similar to Tier 1, with these distinctions. First, Tier 2 relies on at least some country-specific estimates of the carbon stocks in initial and final land uses rather than the defaults provided in Section 3.3.2.1.1.2. Area estimates for land converted to cropland are disaggregated at finer spatial scales to capture regional and crop systems variations in country-specific carbon stocks values.</w:t>
      </w:r>
    </w:p>
    <w:p>
      <w:pPr>
        <w:pStyle w:val="BodyText"/>
        <w:spacing w:before="119"/>
        <w:ind w:left="219" w:right="266"/>
        <w:jc w:val="both"/>
      </w:pPr>
      <w:r>
        <w:rPr/>
        <w:t>Second, Tier 2 may modify the assumption that carbon stocks immediately following conversion are zero. This enables countries to take into account land use transitions where some, but not all, vegetation from the original land use is removed.</w:t>
      </w:r>
    </w:p>
    <w:p>
      <w:pPr>
        <w:pStyle w:val="BodyText"/>
        <w:spacing w:before="119"/>
        <w:ind w:left="219" w:right="263"/>
        <w:jc w:val="both"/>
      </w:pPr>
      <w:r>
        <w:rPr/>
        <w:t>Third, under Tier 2, it is </w:t>
      </w:r>
      <w:r>
        <w:rPr>
          <w:i/>
        </w:rPr>
        <w:t>good practice </w:t>
      </w:r>
      <w:r>
        <w:rPr/>
        <w:t>to apportion carbon losses to burning and decay processes if applicable. Emissions of carbon dioxide occur as a result of burning and decay in land-use conversions. In addition, non- CO</w:t>
      </w:r>
      <w:r>
        <w:rPr>
          <w:vertAlign w:val="subscript"/>
        </w:rPr>
        <w:t>2</w:t>
      </w:r>
      <w:r>
        <w:rPr>
          <w:vertAlign w:val="baseline"/>
        </w:rPr>
        <w:t> trace gas emissions occur as a result of burning. By partitioning losses to burning and decay, countries can also calculate non-CO</w:t>
      </w:r>
      <w:r>
        <w:rPr>
          <w:vertAlign w:val="subscript"/>
        </w:rPr>
        <w:t>2</w:t>
      </w:r>
      <w:r>
        <w:rPr>
          <w:vertAlign w:val="baseline"/>
        </w:rPr>
        <w:t> trace gas emissions from burning. The </w:t>
      </w:r>
      <w:r>
        <w:rPr>
          <w:i/>
          <w:vertAlign w:val="baseline"/>
        </w:rPr>
        <w:t>IPCC Guidelines </w:t>
      </w:r>
      <w:r>
        <w:rPr>
          <w:vertAlign w:val="baseline"/>
        </w:rPr>
        <w:t>Workbook provides step-by-step instructions for estimating carbon removals from burning and decay of biomass on-site and off-site and for estimating non-CO</w:t>
      </w:r>
      <w:r>
        <w:rPr>
          <w:vertAlign w:val="subscript"/>
        </w:rPr>
        <w:t>2</w:t>
      </w:r>
      <w:r>
        <w:rPr>
          <w:vertAlign w:val="baseline"/>
        </w:rPr>
        <w:t> trace gas emissions from burning (pages 5.7-5.17). Below is guidance on estimating carbon removals from burning and decay and Section 3.2.1.4 of this chapter provides further guidance on estimating non-CO</w:t>
      </w:r>
      <w:r>
        <w:rPr>
          <w:vertAlign w:val="subscript"/>
        </w:rPr>
        <w:t>2</w:t>
      </w:r>
      <w:r>
        <w:rPr>
          <w:vertAlign w:val="baseline"/>
        </w:rPr>
        <w:t> trace gas emissions from burning.</w:t>
      </w:r>
    </w:p>
    <w:p>
      <w:pPr>
        <w:pStyle w:val="BodyText"/>
        <w:spacing w:before="119"/>
        <w:ind w:left="219" w:right="263"/>
        <w:jc w:val="both"/>
      </w:pPr>
      <w:r>
        <w:rPr/>
        <w:t>The basic equations for estimating the amount of carbon burned or left to decay are provided in Equations 3.3.10 and 3.3.11 below. This methodology addresses burning for the purposes of land clearing. Non-CO</w:t>
      </w:r>
      <w:r>
        <w:rPr>
          <w:vertAlign w:val="subscript"/>
        </w:rPr>
        <w:t>2</w:t>
      </w:r>
      <w:r>
        <w:rPr>
          <w:vertAlign w:val="baseline"/>
        </w:rPr>
        <w:t> emissions from burning for management of cropland remaining cropland are covered in the Agriculture chapter of </w:t>
      </w:r>
      <w:r>
        <w:rPr>
          <w:i/>
          <w:vertAlign w:val="baseline"/>
        </w:rPr>
        <w:t>GPG2000</w:t>
      </w:r>
      <w:r>
        <w:rPr>
          <w:vertAlign w:val="baseline"/>
        </w:rPr>
        <w:t>. The default assumption in Equations 3.3.10 and 3.3.11 is that only aboveground biomass, is burned  or decays. Countries are encouraged to use additional information to assess this assumption, particularly for decaying belowground biomass. Equations 3.3.10 and 3.3.11 estimate the amount of carbon in biomass removed during a land use conversion to cropland that is burned (on-site and off-site) or that decays, respectively. The basic approach can be modified to address other conversion activities as well to meet the needs of national circumstances. Both equations use as an input the total amount of carbon in biomass removed during land clearing (</w:t>
      </w:r>
      <w:r>
        <w:rPr>
          <w:rFonts w:ascii="Symbol" w:hAnsi="Symbol"/>
          <w:vertAlign w:val="baseline"/>
        </w:rPr>
        <w:t>∆</w:t>
      </w:r>
      <w:r>
        <w:rPr>
          <w:vertAlign w:val="baseline"/>
        </w:rPr>
        <w:t>C</w:t>
      </w:r>
      <w:r>
        <w:rPr>
          <w:vertAlign w:val="subscript"/>
        </w:rPr>
        <w:t>conversion</w:t>
      </w:r>
      <w:r>
        <w:rPr>
          <w:vertAlign w:val="baseline"/>
        </w:rPr>
        <w:t>) (Equation 3.3.9), which is equivalent to area of land converted (A</w:t>
      </w:r>
      <w:r>
        <w:rPr>
          <w:vertAlign w:val="subscript"/>
        </w:rPr>
        <w:t>Conversion</w:t>
      </w:r>
      <w:r>
        <w:rPr>
          <w:vertAlign w:val="baseline"/>
        </w:rPr>
        <w:t>) multiplied by </w:t>
      </w:r>
      <w:r>
        <w:rPr>
          <w:spacing w:val="-23"/>
          <w:vertAlign w:val="baseline"/>
        </w:rPr>
        <w:t>the </w:t>
      </w:r>
      <w:r>
        <w:rPr>
          <w:vertAlign w:val="baseline"/>
        </w:rPr>
        <w:t>carbon stock change per area for that type of conversion (L</w:t>
      </w:r>
      <w:r>
        <w:rPr>
          <w:vertAlign w:val="subscript"/>
        </w:rPr>
        <w:t>Conversion</w:t>
      </w:r>
      <w:r>
        <w:rPr>
          <w:vertAlign w:val="baseline"/>
        </w:rPr>
        <w:t> in Equation</w:t>
      </w:r>
      <w:r>
        <w:rPr>
          <w:spacing w:val="-12"/>
          <w:vertAlign w:val="baseline"/>
        </w:rPr>
        <w:t> </w:t>
      </w:r>
      <w:r>
        <w:rPr>
          <w:vertAlign w:val="baseline"/>
        </w:rPr>
        <w:t>3.3.8).</w:t>
      </w:r>
    </w:p>
    <w:p>
      <w:pPr>
        <w:pStyle w:val="BodyText"/>
        <w:spacing w:before="117"/>
        <w:ind w:left="219" w:right="266"/>
        <w:jc w:val="both"/>
      </w:pPr>
      <w:r>
        <w:rPr/>
        <w:t>The portion of biomass removed is sometimes used as wood products. In the case of wood products, countries may use the default assumption that carbon in wood products is oxidized in the year of removal. Alternatively, countries may refer to Appendix 3a.1 for estimation techniques for carbon storage in harvested wood products, which may be accounted for provided carbon in the product pool is increasing.</w:t>
      </w:r>
    </w:p>
    <w:p>
      <w:pPr>
        <w:pStyle w:val="BodyText"/>
        <w:spacing w:before="1"/>
        <w:rPr>
          <w:sz w:val="11"/>
        </w:rPr>
      </w:pPr>
      <w:r>
        <w:rPr/>
        <w:pict>
          <v:shape style="position:absolute;margin-left:91.960999pt;margin-top:9.091191pt;width:411.5pt;height:50.8pt;mso-position-horizontal-relative:page;mso-position-vertical-relative:paragraph;z-index:8384;mso-wrap-distance-left:0;mso-wrap-distance-right:0" type="#_x0000_t202" filled="false" stroked="true" strokeweight="1.44pt" strokecolor="#000000">
            <v:textbox inset="0,0,0,0">
              <w:txbxContent>
                <w:p>
                  <w:pPr>
                    <w:spacing w:before="99"/>
                    <w:ind w:left="107" w:right="68" w:firstLine="0"/>
                    <w:jc w:val="center"/>
                    <w:rPr>
                      <w:b/>
                      <w:sz w:val="20"/>
                    </w:rPr>
                  </w:pPr>
                  <w:r>
                    <w:rPr>
                      <w:b/>
                      <w:sz w:val="20"/>
                    </w:rPr>
                    <w:t>E</w:t>
                  </w:r>
                  <w:r>
                    <w:rPr>
                      <w:b/>
                      <w:sz w:val="16"/>
                    </w:rPr>
                    <w:t>QUATION </w:t>
                  </w:r>
                  <w:r>
                    <w:rPr>
                      <w:b/>
                      <w:sz w:val="20"/>
                    </w:rPr>
                    <w:t>3.3.9</w:t>
                  </w:r>
                </w:p>
                <w:p>
                  <w:pPr>
                    <w:spacing w:before="0"/>
                    <w:ind w:left="65" w:right="68" w:firstLine="0"/>
                    <w:jc w:val="center"/>
                    <w:rPr>
                      <w:b/>
                      <w:sz w:val="16"/>
                    </w:rPr>
                  </w:pPr>
                  <w:r>
                    <w:rPr>
                      <w:b/>
                      <w:sz w:val="20"/>
                    </w:rPr>
                    <w:t>C</w:t>
                  </w:r>
                  <w:r>
                    <w:rPr>
                      <w:b/>
                      <w:sz w:val="16"/>
                    </w:rPr>
                    <w:t>HANGE IN CARBON STOCKS AS A RESULT OF CLEARING BIOMASS IN A LAND USE CONVERSION</w:t>
                  </w:r>
                </w:p>
                <w:p>
                  <w:pPr>
                    <w:spacing w:before="93"/>
                    <w:ind w:left="68" w:right="68" w:firstLine="0"/>
                    <w:jc w:val="center"/>
                    <w:rPr>
                      <w:sz w:val="13"/>
                    </w:rPr>
                  </w:pPr>
                  <w:r>
                    <w:rPr>
                      <w:rFonts w:ascii="Symbol" w:hAnsi="Symbol"/>
                      <w:position w:val="3"/>
                      <w:sz w:val="20"/>
                    </w:rPr>
                    <w:t>∆</w:t>
                  </w:r>
                  <w:r>
                    <w:rPr>
                      <w:position w:val="3"/>
                      <w:sz w:val="20"/>
                    </w:rPr>
                    <w:t>C</w:t>
                  </w:r>
                  <w:r>
                    <w:rPr>
                      <w:sz w:val="13"/>
                    </w:rPr>
                    <w:t>conversion  </w:t>
                  </w:r>
                  <w:r>
                    <w:rPr>
                      <w:position w:val="3"/>
                      <w:sz w:val="20"/>
                    </w:rPr>
                    <w:t>= A</w:t>
                  </w:r>
                  <w:r>
                    <w:rPr>
                      <w:sz w:val="13"/>
                    </w:rPr>
                    <w:t>conversion  </w:t>
                  </w:r>
                  <w:r>
                    <w:rPr>
                      <w:position w:val="3"/>
                      <w:sz w:val="20"/>
                    </w:rPr>
                    <w:t>● L</w:t>
                  </w:r>
                  <w:r>
                    <w:rPr>
                      <w:sz w:val="13"/>
                    </w:rPr>
                    <w:t>conversion</w:t>
                  </w:r>
                </w:p>
              </w:txbxContent>
            </v:textbox>
            <v:stroke dashstyle="solid"/>
            <w10:wrap type="topAndBottom"/>
          </v:shape>
        </w:pict>
      </w:r>
    </w:p>
    <w:p>
      <w:pPr>
        <w:pStyle w:val="BodyText"/>
        <w:spacing w:before="4"/>
        <w:ind w:left="219"/>
      </w:pPr>
      <w:r>
        <w:rPr/>
        <w:t>Where:</w:t>
      </w:r>
    </w:p>
    <w:p>
      <w:pPr>
        <w:pStyle w:val="BodyText"/>
        <w:spacing w:line="338" w:lineRule="auto" w:before="137"/>
        <w:ind w:left="785"/>
      </w:pPr>
      <w:r>
        <w:rPr>
          <w:rFonts w:ascii="Symbol" w:hAnsi="Symbol"/>
        </w:rPr>
        <w:t>∆</w:t>
      </w:r>
      <w:r>
        <w:rPr/>
        <w:t>C</w:t>
      </w:r>
      <w:r>
        <w:rPr>
          <w:vertAlign w:val="subscript"/>
        </w:rPr>
        <w:t>conversion</w:t>
      </w:r>
      <w:r>
        <w:rPr>
          <w:vertAlign w:val="baseline"/>
        </w:rPr>
        <w:t> = change in carbon stocks as a result of clearing biomass in a land use conversion, tonnes </w:t>
      </w:r>
      <w:r>
        <w:rPr>
          <w:spacing w:val="-56"/>
          <w:vertAlign w:val="baseline"/>
        </w:rPr>
        <w:t>C</w:t>
      </w:r>
      <w:r>
        <w:rPr>
          <w:spacing w:val="-48"/>
          <w:vertAlign w:val="baseline"/>
        </w:rPr>
        <w:t> </w:t>
      </w:r>
      <w:r>
        <w:rPr>
          <w:vertAlign w:val="baseline"/>
        </w:rPr>
        <w:t>A</w:t>
      </w:r>
      <w:r>
        <w:rPr>
          <w:vertAlign w:val="subscript"/>
        </w:rPr>
        <w:t>Conversion</w:t>
      </w:r>
      <w:r>
        <w:rPr>
          <w:vertAlign w:val="baseline"/>
        </w:rPr>
        <w:t> = area of land converted to croplands from some initial use, ha</w:t>
      </w:r>
    </w:p>
    <w:p>
      <w:pPr>
        <w:pStyle w:val="BodyText"/>
        <w:spacing w:before="34"/>
        <w:ind w:left="1750" w:hanging="965"/>
      </w:pPr>
      <w:r>
        <w:rPr/>
        <w:t>L</w:t>
      </w:r>
      <w:r>
        <w:rPr>
          <w:vertAlign w:val="subscript"/>
        </w:rPr>
        <w:t>Conversion</w:t>
      </w:r>
      <w:r>
        <w:rPr>
          <w:vertAlign w:val="baseline"/>
        </w:rPr>
        <w:t> = carbon stocks removed when land is converted from some initial use to cropland, tonnes C ha</w:t>
      </w:r>
      <w:r>
        <w:rPr>
          <w:vertAlign w:val="superscript"/>
        </w:rPr>
        <w:t>-1</w:t>
      </w:r>
      <w:r>
        <w:rPr>
          <w:vertAlign w:val="baseline"/>
        </w:rPr>
        <w:t> (from Equation 3.3.8)</w:t>
      </w:r>
    </w:p>
    <w:p>
      <w:pPr>
        <w:pStyle w:val="BodyText"/>
        <w:spacing w:before="11"/>
        <w:rPr>
          <w:sz w:val="10"/>
        </w:rPr>
      </w:pPr>
      <w:r>
        <w:rPr/>
        <w:pict>
          <v:shape style="position:absolute;margin-left:91.960999pt;margin-top:9.020489pt;width:411.5pt;height:62.05pt;mso-position-horizontal-relative:page;mso-position-vertical-relative:paragraph;z-index:8408;mso-wrap-distance-left:0;mso-wrap-distance-right:0" type="#_x0000_t202" filled="false" stroked="true" strokeweight="1.44pt" strokecolor="#000000">
            <v:textbox inset="0,0,0,0">
              <w:txbxContent>
                <w:p>
                  <w:pPr>
                    <w:spacing w:line="228" w:lineRule="exact" w:before="0"/>
                    <w:ind w:left="67" w:right="68" w:firstLine="0"/>
                    <w:jc w:val="center"/>
                    <w:rPr>
                      <w:b/>
                      <w:sz w:val="20"/>
                    </w:rPr>
                  </w:pPr>
                  <w:r>
                    <w:rPr>
                      <w:b/>
                      <w:sz w:val="20"/>
                    </w:rPr>
                    <w:t>E</w:t>
                  </w:r>
                  <w:r>
                    <w:rPr>
                      <w:b/>
                      <w:sz w:val="16"/>
                    </w:rPr>
                    <w:t>QUATION </w:t>
                  </w:r>
                  <w:r>
                    <w:rPr>
                      <w:b/>
                      <w:sz w:val="20"/>
                    </w:rPr>
                    <w:t>3.3.10</w:t>
                  </w:r>
                </w:p>
                <w:p>
                  <w:pPr>
                    <w:spacing w:before="0"/>
                    <w:ind w:left="68" w:right="68" w:firstLine="0"/>
                    <w:jc w:val="center"/>
                    <w:rPr>
                      <w:b/>
                      <w:sz w:val="16"/>
                    </w:rPr>
                  </w:pPr>
                  <w:r>
                    <w:rPr>
                      <w:b/>
                      <w:sz w:val="20"/>
                    </w:rPr>
                    <w:t>C</w:t>
                  </w:r>
                  <w:r>
                    <w:rPr>
                      <w:b/>
                      <w:sz w:val="16"/>
                    </w:rPr>
                    <w:t>ARBON LOSSES FROM BIOMASS BURNING</w:t>
                  </w:r>
                  <w:r>
                    <w:rPr>
                      <w:b/>
                      <w:sz w:val="20"/>
                    </w:rPr>
                    <w:t>, </w:t>
                  </w:r>
                  <w:r>
                    <w:rPr>
                      <w:b/>
                      <w:sz w:val="16"/>
                    </w:rPr>
                    <w:t>ON</w:t>
                  </w:r>
                  <w:r>
                    <w:rPr>
                      <w:b/>
                      <w:sz w:val="20"/>
                    </w:rPr>
                    <w:t>-</w:t>
                  </w:r>
                  <w:r>
                    <w:rPr>
                      <w:b/>
                      <w:sz w:val="16"/>
                    </w:rPr>
                    <w:t>SITE AND OFF</w:t>
                  </w:r>
                  <w:r>
                    <w:rPr>
                      <w:b/>
                      <w:sz w:val="20"/>
                    </w:rPr>
                    <w:t>-</w:t>
                  </w:r>
                  <w:r>
                    <w:rPr>
                      <w:b/>
                      <w:sz w:val="16"/>
                    </w:rPr>
                    <w:t>SITE</w:t>
                  </w:r>
                </w:p>
                <w:p>
                  <w:pPr>
                    <w:spacing w:before="93"/>
                    <w:ind w:left="68" w:right="68" w:firstLine="0"/>
                    <w:jc w:val="center"/>
                    <w:rPr>
                      <w:sz w:val="13"/>
                    </w:rPr>
                  </w:pPr>
                  <w:r>
                    <w:rPr>
                      <w:position w:val="3"/>
                      <w:sz w:val="20"/>
                    </w:rPr>
                    <w:t>L</w:t>
                  </w:r>
                  <w:r>
                    <w:rPr>
                      <w:sz w:val="13"/>
                    </w:rPr>
                    <w:t>burn onsite </w:t>
                  </w:r>
                  <w:r>
                    <w:rPr>
                      <w:position w:val="3"/>
                      <w:sz w:val="20"/>
                    </w:rPr>
                    <w:t>= </w:t>
                  </w:r>
                  <w:r>
                    <w:rPr>
                      <w:rFonts w:ascii="Symbol" w:hAnsi="Symbol"/>
                      <w:position w:val="3"/>
                      <w:sz w:val="20"/>
                    </w:rPr>
                    <w:t>∆</w:t>
                  </w:r>
                  <w:r>
                    <w:rPr>
                      <w:position w:val="3"/>
                      <w:sz w:val="20"/>
                    </w:rPr>
                    <w:t>C</w:t>
                  </w:r>
                  <w:r>
                    <w:rPr>
                      <w:sz w:val="13"/>
                    </w:rPr>
                    <w:t>conversion </w:t>
                  </w:r>
                  <w:r>
                    <w:rPr>
                      <w:position w:val="3"/>
                      <w:sz w:val="20"/>
                    </w:rPr>
                    <w:t>● </w:t>
                  </w:r>
                  <w:r>
                    <w:rPr>
                      <w:rFonts w:ascii="Symbol" w:hAnsi="Symbol"/>
                      <w:position w:val="3"/>
                      <w:sz w:val="21"/>
                    </w:rPr>
                    <w:t>ρ</w:t>
                  </w:r>
                  <w:r>
                    <w:rPr>
                      <w:sz w:val="13"/>
                    </w:rPr>
                    <w:t>burned on site </w:t>
                  </w:r>
                  <w:r>
                    <w:rPr>
                      <w:position w:val="3"/>
                      <w:sz w:val="20"/>
                    </w:rPr>
                    <w:t>●</w:t>
                  </w:r>
                  <w:r>
                    <w:rPr>
                      <w:spacing w:val="16"/>
                      <w:position w:val="3"/>
                      <w:sz w:val="20"/>
                    </w:rPr>
                    <w:t> </w:t>
                  </w:r>
                  <w:r>
                    <w:rPr>
                      <w:rFonts w:ascii="Symbol" w:hAnsi="Symbol"/>
                      <w:position w:val="3"/>
                      <w:sz w:val="21"/>
                    </w:rPr>
                    <w:t>ρ</w:t>
                  </w:r>
                  <w:r>
                    <w:rPr>
                      <w:sz w:val="13"/>
                    </w:rPr>
                    <w:t>oxid</w:t>
                  </w:r>
                </w:p>
                <w:p>
                  <w:pPr>
                    <w:spacing w:before="77"/>
                    <w:ind w:left="68" w:right="68" w:firstLine="0"/>
                    <w:jc w:val="center"/>
                    <w:rPr>
                      <w:sz w:val="13"/>
                    </w:rPr>
                  </w:pPr>
                  <w:r>
                    <w:rPr>
                      <w:position w:val="3"/>
                      <w:sz w:val="20"/>
                    </w:rPr>
                    <w:t>L</w:t>
                  </w:r>
                  <w:r>
                    <w:rPr>
                      <w:sz w:val="13"/>
                    </w:rPr>
                    <w:t>burn offsite </w:t>
                  </w:r>
                  <w:r>
                    <w:rPr>
                      <w:position w:val="3"/>
                      <w:sz w:val="20"/>
                    </w:rPr>
                    <w:t>= </w:t>
                  </w:r>
                  <w:r>
                    <w:rPr>
                      <w:rFonts w:ascii="Symbol" w:hAnsi="Symbol"/>
                      <w:position w:val="3"/>
                      <w:sz w:val="20"/>
                    </w:rPr>
                    <w:t>∆</w:t>
                  </w:r>
                  <w:r>
                    <w:rPr>
                      <w:position w:val="3"/>
                      <w:sz w:val="20"/>
                    </w:rPr>
                    <w:t>C</w:t>
                  </w:r>
                  <w:r>
                    <w:rPr>
                      <w:sz w:val="13"/>
                    </w:rPr>
                    <w:t>conversion </w:t>
                  </w:r>
                  <w:r>
                    <w:rPr>
                      <w:position w:val="3"/>
                      <w:sz w:val="20"/>
                    </w:rPr>
                    <w:t>● </w:t>
                  </w:r>
                  <w:r>
                    <w:rPr>
                      <w:rFonts w:ascii="Symbol" w:hAnsi="Symbol"/>
                      <w:position w:val="3"/>
                      <w:sz w:val="21"/>
                    </w:rPr>
                    <w:t>ρ</w:t>
                  </w:r>
                  <w:r>
                    <w:rPr>
                      <w:sz w:val="13"/>
                    </w:rPr>
                    <w:t>burned off site </w:t>
                  </w:r>
                  <w:r>
                    <w:rPr>
                      <w:position w:val="3"/>
                      <w:sz w:val="20"/>
                    </w:rPr>
                    <w:t>●</w:t>
                  </w:r>
                  <w:r>
                    <w:rPr>
                      <w:spacing w:val="19"/>
                      <w:position w:val="3"/>
                      <w:sz w:val="20"/>
                    </w:rPr>
                    <w:t> </w:t>
                  </w:r>
                  <w:r>
                    <w:rPr>
                      <w:rFonts w:ascii="Symbol" w:hAnsi="Symbol"/>
                      <w:position w:val="3"/>
                      <w:sz w:val="21"/>
                    </w:rPr>
                    <w:t>ρ</w:t>
                  </w:r>
                  <w:r>
                    <w:rPr>
                      <w:sz w:val="13"/>
                    </w:rPr>
                    <w:t>oxid</w:t>
                  </w:r>
                </w:p>
              </w:txbxContent>
            </v:textbox>
            <v:stroke dashstyle="solid"/>
            <w10:wrap type="topAndBottom"/>
          </v:shape>
        </w:pict>
      </w:r>
    </w:p>
    <w:p>
      <w:pPr>
        <w:pStyle w:val="BodyText"/>
        <w:spacing w:before="4"/>
        <w:ind w:left="219"/>
      </w:pPr>
      <w:r>
        <w:rPr/>
        <w:t>Where:</w:t>
      </w:r>
    </w:p>
    <w:p>
      <w:pPr>
        <w:pStyle w:val="BodyText"/>
        <w:spacing w:before="118"/>
        <w:ind w:left="785"/>
      </w:pPr>
      <w:r>
        <w:rPr/>
        <w:t>L</w:t>
      </w:r>
      <w:r>
        <w:rPr>
          <w:vertAlign w:val="subscript"/>
        </w:rPr>
        <w:t>burn</w:t>
      </w:r>
      <w:r>
        <w:rPr>
          <w:vertAlign w:val="baseline"/>
        </w:rPr>
        <w:t> = carbon losses from biomass burned, tonnes C</w:t>
      </w:r>
    </w:p>
    <w:p>
      <w:pPr>
        <w:pStyle w:val="BodyText"/>
        <w:spacing w:before="137"/>
        <w:ind w:left="785"/>
      </w:pPr>
      <w:r>
        <w:rPr>
          <w:rFonts w:ascii="Symbol" w:hAnsi="Symbol"/>
        </w:rPr>
        <w:t>∆</w:t>
      </w:r>
      <w:r>
        <w:rPr/>
        <w:t>C</w:t>
      </w:r>
      <w:r>
        <w:rPr>
          <w:vertAlign w:val="subscript"/>
        </w:rPr>
        <w:t>conversion</w:t>
      </w:r>
      <w:r>
        <w:rPr>
          <w:vertAlign w:val="baseline"/>
        </w:rPr>
        <w:t> = change in carbon stocks as a result of a clearing biomass in a land use conversion, tonnes C</w:t>
      </w:r>
    </w:p>
    <w:p>
      <w:pPr>
        <w:spacing w:before="109"/>
        <w:ind w:left="785" w:right="0" w:firstLine="0"/>
        <w:jc w:val="left"/>
        <w:rPr>
          <w:sz w:val="20"/>
        </w:rPr>
      </w:pPr>
      <w:r>
        <w:rPr>
          <w:rFonts w:ascii="Symbol" w:hAnsi="Symbol"/>
          <w:sz w:val="21"/>
        </w:rPr>
        <w:t>ρ</w:t>
      </w:r>
      <w:r>
        <w:rPr>
          <w:sz w:val="21"/>
          <w:vertAlign w:val="subscript"/>
        </w:rPr>
        <w:t>burned</w:t>
      </w:r>
      <w:r>
        <w:rPr>
          <w:sz w:val="21"/>
          <w:vertAlign w:val="baseline"/>
        </w:rPr>
        <w:t> </w:t>
      </w:r>
      <w:r>
        <w:rPr>
          <w:sz w:val="21"/>
          <w:vertAlign w:val="subscript"/>
        </w:rPr>
        <w:t>on</w:t>
      </w:r>
      <w:r>
        <w:rPr>
          <w:sz w:val="21"/>
          <w:vertAlign w:val="baseline"/>
        </w:rPr>
        <w:t> </w:t>
      </w:r>
      <w:r>
        <w:rPr>
          <w:sz w:val="21"/>
          <w:vertAlign w:val="subscript"/>
        </w:rPr>
        <w:t>site</w:t>
      </w:r>
      <w:r>
        <w:rPr>
          <w:sz w:val="21"/>
          <w:vertAlign w:val="baseline"/>
        </w:rPr>
        <w:t> </w:t>
      </w:r>
      <w:r>
        <w:rPr>
          <w:sz w:val="20"/>
          <w:vertAlign w:val="baseline"/>
        </w:rPr>
        <w:t>= fraction of biomass that is burned on-site, dimensionless</w:t>
      </w:r>
    </w:p>
    <w:p>
      <w:pPr>
        <w:spacing w:after="0"/>
        <w:jc w:val="left"/>
        <w:rPr>
          <w:sz w:val="20"/>
        </w:rPr>
        <w:sectPr>
          <w:pgSz w:w="11900" w:h="16840"/>
          <w:pgMar w:header="230" w:footer="408" w:top="560" w:bottom="600" w:left="1200" w:right="1140"/>
        </w:sectPr>
      </w:pPr>
    </w:p>
    <w:p>
      <w:pPr>
        <w:pStyle w:val="BodyText"/>
        <w:spacing w:before="10"/>
        <w:rPr>
          <w:sz w:val="28"/>
        </w:rPr>
      </w:pPr>
    </w:p>
    <w:p>
      <w:pPr>
        <w:pStyle w:val="BodyText"/>
        <w:spacing w:before="115"/>
        <w:ind w:left="780"/>
      </w:pPr>
      <w:r>
        <w:rPr>
          <w:rFonts w:ascii="Symbol" w:hAnsi="Symbol"/>
          <w:sz w:val="21"/>
        </w:rPr>
        <w:t>ρ</w:t>
      </w:r>
      <w:r>
        <w:rPr>
          <w:sz w:val="21"/>
          <w:vertAlign w:val="subscript"/>
        </w:rPr>
        <w:t>oxid</w:t>
      </w:r>
      <w:r>
        <w:rPr>
          <w:sz w:val="21"/>
          <w:vertAlign w:val="baseline"/>
        </w:rPr>
        <w:t> </w:t>
      </w:r>
      <w:r>
        <w:rPr>
          <w:vertAlign w:val="baseline"/>
        </w:rPr>
        <w:t>= fraction of biomass that oxidizes when burned, dimensionless</w:t>
      </w:r>
    </w:p>
    <w:p>
      <w:pPr>
        <w:spacing w:before="108"/>
        <w:ind w:left="785" w:right="0" w:firstLine="0"/>
        <w:jc w:val="left"/>
        <w:rPr>
          <w:sz w:val="20"/>
        </w:rPr>
      </w:pPr>
      <w:r>
        <w:rPr>
          <w:rFonts w:ascii="Symbol" w:hAnsi="Symbol"/>
          <w:sz w:val="21"/>
        </w:rPr>
        <w:t>ρ</w:t>
      </w:r>
      <w:r>
        <w:rPr>
          <w:sz w:val="21"/>
          <w:vertAlign w:val="subscript"/>
        </w:rPr>
        <w:t>burned</w:t>
      </w:r>
      <w:r>
        <w:rPr>
          <w:sz w:val="21"/>
          <w:vertAlign w:val="baseline"/>
        </w:rPr>
        <w:t> </w:t>
      </w:r>
      <w:r>
        <w:rPr>
          <w:sz w:val="21"/>
          <w:vertAlign w:val="subscript"/>
        </w:rPr>
        <w:t>off</w:t>
      </w:r>
      <w:r>
        <w:rPr>
          <w:sz w:val="21"/>
          <w:vertAlign w:val="baseline"/>
        </w:rPr>
        <w:t> </w:t>
      </w:r>
      <w:r>
        <w:rPr>
          <w:sz w:val="21"/>
          <w:vertAlign w:val="subscript"/>
        </w:rPr>
        <w:t>site</w:t>
      </w:r>
      <w:r>
        <w:rPr>
          <w:sz w:val="21"/>
          <w:vertAlign w:val="baseline"/>
        </w:rPr>
        <w:t> </w:t>
      </w:r>
      <w:r>
        <w:rPr>
          <w:sz w:val="20"/>
          <w:vertAlign w:val="baseline"/>
        </w:rPr>
        <w:t>= fraction of biomass that is burned off-site, dimensionless</w:t>
      </w:r>
    </w:p>
    <w:p>
      <w:pPr>
        <w:pStyle w:val="BodyText"/>
      </w:pPr>
    </w:p>
    <w:p>
      <w:pPr>
        <w:pStyle w:val="BodyText"/>
        <w:spacing w:before="6"/>
        <w:rPr>
          <w:sz w:val="19"/>
        </w:rPr>
      </w:pPr>
      <w:r>
        <w:rPr/>
        <w:pict>
          <v:shape style="position:absolute;margin-left:91.960999pt;margin-top:13.936484pt;width:411.5pt;height:67.1pt;mso-position-horizontal-relative:page;mso-position-vertical-relative:paragraph;z-index:8432;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3.3.11</w:t>
                  </w:r>
                </w:p>
                <w:p>
                  <w:pPr>
                    <w:spacing w:before="0"/>
                    <w:ind w:left="68" w:right="68" w:firstLine="0"/>
                    <w:jc w:val="center"/>
                    <w:rPr>
                      <w:b/>
                      <w:sz w:val="16"/>
                    </w:rPr>
                  </w:pPr>
                  <w:r>
                    <w:rPr>
                      <w:b/>
                      <w:sz w:val="20"/>
                    </w:rPr>
                    <w:t>C</w:t>
                  </w:r>
                  <w:r>
                    <w:rPr>
                      <w:b/>
                      <w:sz w:val="16"/>
                    </w:rPr>
                    <w:t>ARBON LOSSES FROM BIOMASS DECAY</w:t>
                  </w:r>
                </w:p>
                <w:p>
                  <w:pPr>
                    <w:spacing w:before="93"/>
                    <w:ind w:left="67" w:right="68" w:firstLine="0"/>
                    <w:jc w:val="center"/>
                    <w:rPr>
                      <w:sz w:val="13"/>
                    </w:rPr>
                  </w:pPr>
                  <w:r>
                    <w:rPr>
                      <w:position w:val="3"/>
                      <w:sz w:val="20"/>
                    </w:rPr>
                    <w:t>L</w:t>
                  </w:r>
                  <w:r>
                    <w:rPr>
                      <w:sz w:val="13"/>
                    </w:rPr>
                    <w:t>decay </w:t>
                  </w:r>
                  <w:r>
                    <w:rPr>
                      <w:position w:val="3"/>
                      <w:sz w:val="20"/>
                    </w:rPr>
                    <w:t>= </w:t>
                  </w:r>
                  <w:r>
                    <w:rPr>
                      <w:rFonts w:ascii="Symbol" w:hAnsi="Symbol"/>
                      <w:position w:val="3"/>
                      <w:sz w:val="20"/>
                    </w:rPr>
                    <w:t>∆</w:t>
                  </w:r>
                  <w:r>
                    <w:rPr>
                      <w:position w:val="3"/>
                      <w:sz w:val="20"/>
                    </w:rPr>
                    <w:t>C</w:t>
                  </w:r>
                  <w:r>
                    <w:rPr>
                      <w:sz w:val="13"/>
                    </w:rPr>
                    <w:t>conversion  </w:t>
                  </w:r>
                  <w:r>
                    <w:rPr>
                      <w:position w:val="3"/>
                      <w:sz w:val="20"/>
                    </w:rPr>
                    <w:t>●</w:t>
                  </w:r>
                  <w:r>
                    <w:rPr>
                      <w:spacing w:val="-13"/>
                      <w:position w:val="3"/>
                      <w:sz w:val="20"/>
                    </w:rPr>
                    <w:t> </w:t>
                  </w:r>
                  <w:r>
                    <w:rPr>
                      <w:rFonts w:ascii="Symbol" w:hAnsi="Symbol"/>
                      <w:position w:val="3"/>
                      <w:sz w:val="21"/>
                    </w:rPr>
                    <w:t>ρ</w:t>
                  </w:r>
                  <w:r>
                    <w:rPr>
                      <w:sz w:val="13"/>
                    </w:rPr>
                    <w:t>decay</w:t>
                  </w:r>
                </w:p>
                <w:p>
                  <w:pPr>
                    <w:spacing w:before="77"/>
                    <w:ind w:left="111" w:right="64" w:firstLine="0"/>
                    <w:jc w:val="center"/>
                    <w:rPr>
                      <w:sz w:val="20"/>
                    </w:rPr>
                  </w:pPr>
                  <w:r>
                    <w:rPr>
                      <w:rFonts w:ascii="Symbol" w:hAnsi="Symbol"/>
                      <w:position w:val="3"/>
                      <w:sz w:val="21"/>
                    </w:rPr>
                    <w:t>ρ</w:t>
                  </w:r>
                  <w:r>
                    <w:rPr>
                      <w:sz w:val="13"/>
                    </w:rPr>
                    <w:t>decay </w:t>
                  </w:r>
                  <w:r>
                    <w:rPr>
                      <w:position w:val="3"/>
                      <w:sz w:val="20"/>
                    </w:rPr>
                    <w:t>= 1 – (</w:t>
                  </w:r>
                  <w:r>
                    <w:rPr>
                      <w:rFonts w:ascii="Symbol" w:hAnsi="Symbol"/>
                      <w:position w:val="3"/>
                      <w:sz w:val="21"/>
                    </w:rPr>
                    <w:t>ρ</w:t>
                  </w:r>
                  <w:r>
                    <w:rPr>
                      <w:sz w:val="13"/>
                    </w:rPr>
                    <w:t>burned on site </w:t>
                  </w:r>
                  <w:r>
                    <w:rPr>
                      <w:position w:val="3"/>
                      <w:sz w:val="20"/>
                    </w:rPr>
                    <w:t>+ </w:t>
                  </w:r>
                  <w:r>
                    <w:rPr>
                      <w:rFonts w:ascii="Symbol" w:hAnsi="Symbol"/>
                      <w:position w:val="3"/>
                      <w:sz w:val="21"/>
                    </w:rPr>
                    <w:t>ρ</w:t>
                  </w:r>
                  <w:r>
                    <w:rPr>
                      <w:sz w:val="13"/>
                    </w:rPr>
                    <w:t>burned off site </w:t>
                  </w:r>
                  <w:r>
                    <w:rPr>
                      <w:position w:val="3"/>
                      <w:sz w:val="20"/>
                    </w:rPr>
                    <w:t>)</w:t>
                  </w:r>
                </w:p>
              </w:txbxContent>
            </v:textbox>
            <v:stroke dashstyle="solid"/>
            <w10:wrap type="topAndBottom"/>
          </v:shape>
        </w:pict>
      </w:r>
    </w:p>
    <w:p>
      <w:pPr>
        <w:pStyle w:val="BodyText"/>
        <w:spacing w:before="4"/>
        <w:ind w:left="219"/>
      </w:pPr>
      <w:r>
        <w:rPr/>
        <w:t>Where:</w:t>
      </w:r>
    </w:p>
    <w:p>
      <w:pPr>
        <w:pStyle w:val="BodyText"/>
        <w:spacing w:before="118"/>
        <w:ind w:left="785"/>
      </w:pPr>
      <w:r>
        <w:rPr/>
        <w:t>L</w:t>
      </w:r>
      <w:r>
        <w:rPr>
          <w:vertAlign w:val="subscript"/>
        </w:rPr>
        <w:t>decay</w:t>
      </w:r>
      <w:r>
        <w:rPr>
          <w:vertAlign w:val="baseline"/>
        </w:rPr>
        <w:t> = carbon losses from biomass decay, tonnes C</w:t>
      </w:r>
    </w:p>
    <w:p>
      <w:pPr>
        <w:pStyle w:val="BodyText"/>
        <w:spacing w:before="137"/>
        <w:ind w:left="785"/>
      </w:pPr>
      <w:r>
        <w:rPr>
          <w:rFonts w:ascii="Symbol" w:hAnsi="Symbol"/>
        </w:rPr>
        <w:t>∆</w:t>
      </w:r>
      <w:r>
        <w:rPr/>
        <w:t>C</w:t>
      </w:r>
      <w:r>
        <w:rPr>
          <w:vertAlign w:val="subscript"/>
        </w:rPr>
        <w:t>conversion</w:t>
      </w:r>
      <w:r>
        <w:rPr>
          <w:vertAlign w:val="baseline"/>
        </w:rPr>
        <w:t> = change in carbon stocks as a result of a clearing biomass in a land use conversion, tonnes C</w:t>
      </w:r>
    </w:p>
    <w:p>
      <w:pPr>
        <w:pStyle w:val="BodyText"/>
        <w:spacing w:line="338" w:lineRule="auto" w:before="109"/>
        <w:ind w:left="785" w:right="3163"/>
        <w:jc w:val="both"/>
      </w:pPr>
      <w:r>
        <w:rPr>
          <w:rFonts w:ascii="Symbol" w:hAnsi="Symbol"/>
          <w:sz w:val="21"/>
        </w:rPr>
        <w:t>ρ</w:t>
      </w:r>
      <w:r>
        <w:rPr>
          <w:sz w:val="21"/>
          <w:vertAlign w:val="subscript"/>
        </w:rPr>
        <w:t>decay</w:t>
      </w:r>
      <w:r>
        <w:rPr>
          <w:sz w:val="21"/>
          <w:vertAlign w:val="baseline"/>
        </w:rPr>
        <w:t> </w:t>
      </w:r>
      <w:r>
        <w:rPr>
          <w:vertAlign w:val="baseline"/>
        </w:rPr>
        <w:t>= fraction of biomass that is left on-site to decay, dimensionless </w:t>
      </w:r>
      <w:r>
        <w:rPr>
          <w:rFonts w:ascii="Symbol" w:hAnsi="Symbol"/>
          <w:sz w:val="21"/>
          <w:vertAlign w:val="baseline"/>
        </w:rPr>
        <w:t>ρ</w:t>
      </w:r>
      <w:r>
        <w:rPr>
          <w:sz w:val="21"/>
          <w:vertAlign w:val="subscript"/>
        </w:rPr>
        <w:t>burned</w:t>
      </w:r>
      <w:r>
        <w:rPr>
          <w:spacing w:val="-20"/>
          <w:sz w:val="21"/>
          <w:vertAlign w:val="baseline"/>
        </w:rPr>
        <w:t> </w:t>
      </w:r>
      <w:r>
        <w:rPr>
          <w:sz w:val="21"/>
          <w:vertAlign w:val="subscript"/>
        </w:rPr>
        <w:t>on</w:t>
      </w:r>
      <w:r>
        <w:rPr>
          <w:spacing w:val="-19"/>
          <w:sz w:val="21"/>
          <w:vertAlign w:val="baseline"/>
        </w:rPr>
        <w:t> </w:t>
      </w:r>
      <w:r>
        <w:rPr>
          <w:sz w:val="21"/>
          <w:vertAlign w:val="subscript"/>
        </w:rPr>
        <w:t>site</w:t>
      </w:r>
      <w:r>
        <w:rPr>
          <w:spacing w:val="-20"/>
          <w:sz w:val="21"/>
          <w:vertAlign w:val="baseline"/>
        </w:rPr>
        <w:t> </w:t>
      </w:r>
      <w:r>
        <w:rPr>
          <w:vertAlign w:val="baseline"/>
        </w:rPr>
        <w:t>=</w:t>
      </w:r>
      <w:r>
        <w:rPr>
          <w:spacing w:val="1"/>
          <w:vertAlign w:val="baseline"/>
        </w:rPr>
        <w:t> </w:t>
      </w:r>
      <w:r>
        <w:rPr>
          <w:vertAlign w:val="baseline"/>
        </w:rPr>
        <w:t>fraction</w:t>
      </w:r>
      <w:r>
        <w:rPr>
          <w:spacing w:val="-2"/>
          <w:vertAlign w:val="baseline"/>
        </w:rPr>
        <w:t> </w:t>
      </w:r>
      <w:r>
        <w:rPr>
          <w:vertAlign w:val="baseline"/>
        </w:rPr>
        <w:t>of</w:t>
      </w:r>
      <w:r>
        <w:rPr>
          <w:spacing w:val="-2"/>
          <w:vertAlign w:val="baseline"/>
        </w:rPr>
        <w:t> </w:t>
      </w:r>
      <w:r>
        <w:rPr>
          <w:vertAlign w:val="baseline"/>
        </w:rPr>
        <w:t>biomass</w:t>
      </w:r>
      <w:r>
        <w:rPr>
          <w:spacing w:val="-2"/>
          <w:vertAlign w:val="baseline"/>
        </w:rPr>
        <w:t> </w:t>
      </w:r>
      <w:r>
        <w:rPr>
          <w:vertAlign w:val="baseline"/>
        </w:rPr>
        <w:t>that is</w:t>
      </w:r>
      <w:r>
        <w:rPr>
          <w:spacing w:val="-2"/>
          <w:vertAlign w:val="baseline"/>
        </w:rPr>
        <w:t> </w:t>
      </w:r>
      <w:r>
        <w:rPr>
          <w:vertAlign w:val="baseline"/>
        </w:rPr>
        <w:t>burned</w:t>
      </w:r>
      <w:r>
        <w:rPr>
          <w:spacing w:val="1"/>
          <w:vertAlign w:val="baseline"/>
        </w:rPr>
        <w:t> </w:t>
      </w:r>
      <w:r>
        <w:rPr>
          <w:vertAlign w:val="baseline"/>
        </w:rPr>
        <w:t>on-site, dimensionless </w:t>
      </w:r>
      <w:r>
        <w:rPr>
          <w:rFonts w:ascii="Symbol" w:hAnsi="Symbol"/>
          <w:sz w:val="21"/>
          <w:vertAlign w:val="baseline"/>
        </w:rPr>
        <w:t>ρ</w:t>
      </w:r>
      <w:r>
        <w:rPr>
          <w:sz w:val="21"/>
          <w:vertAlign w:val="subscript"/>
        </w:rPr>
        <w:t>burned</w:t>
      </w:r>
      <w:r>
        <w:rPr>
          <w:spacing w:val="-19"/>
          <w:sz w:val="21"/>
          <w:vertAlign w:val="baseline"/>
        </w:rPr>
        <w:t> </w:t>
      </w:r>
      <w:r>
        <w:rPr>
          <w:sz w:val="21"/>
          <w:vertAlign w:val="subscript"/>
        </w:rPr>
        <w:t>off</w:t>
      </w:r>
      <w:r>
        <w:rPr>
          <w:spacing w:val="-18"/>
          <w:sz w:val="21"/>
          <w:vertAlign w:val="baseline"/>
        </w:rPr>
        <w:t> </w:t>
      </w:r>
      <w:r>
        <w:rPr>
          <w:sz w:val="21"/>
          <w:vertAlign w:val="subscript"/>
        </w:rPr>
        <w:t>site</w:t>
      </w:r>
      <w:r>
        <w:rPr>
          <w:spacing w:val="-19"/>
          <w:sz w:val="21"/>
          <w:vertAlign w:val="baseline"/>
        </w:rPr>
        <w:t> </w:t>
      </w:r>
      <w:r>
        <w:rPr>
          <w:vertAlign w:val="baseline"/>
        </w:rPr>
        <w:t>=</w:t>
      </w:r>
      <w:r>
        <w:rPr>
          <w:spacing w:val="2"/>
          <w:vertAlign w:val="baseline"/>
        </w:rPr>
        <w:t> </w:t>
      </w:r>
      <w:r>
        <w:rPr>
          <w:vertAlign w:val="baseline"/>
        </w:rPr>
        <w:t>fraction of</w:t>
      </w:r>
      <w:r>
        <w:rPr>
          <w:spacing w:val="-1"/>
          <w:vertAlign w:val="baseline"/>
        </w:rPr>
        <w:t> </w:t>
      </w:r>
      <w:r>
        <w:rPr>
          <w:vertAlign w:val="baseline"/>
        </w:rPr>
        <w:t>biomass that</w:t>
      </w:r>
      <w:r>
        <w:rPr>
          <w:spacing w:val="1"/>
          <w:vertAlign w:val="baseline"/>
        </w:rPr>
        <w:t> </w:t>
      </w:r>
      <w:r>
        <w:rPr>
          <w:vertAlign w:val="baseline"/>
        </w:rPr>
        <w:t>is burned</w:t>
      </w:r>
      <w:r>
        <w:rPr>
          <w:spacing w:val="1"/>
          <w:vertAlign w:val="baseline"/>
        </w:rPr>
        <w:t> </w:t>
      </w:r>
      <w:r>
        <w:rPr>
          <w:vertAlign w:val="baseline"/>
        </w:rPr>
        <w:t>off-site,</w:t>
      </w:r>
      <w:r>
        <w:rPr>
          <w:spacing w:val="2"/>
          <w:vertAlign w:val="baseline"/>
        </w:rPr>
        <w:t> </w:t>
      </w:r>
      <w:r>
        <w:rPr>
          <w:spacing w:val="-5"/>
          <w:vertAlign w:val="baseline"/>
        </w:rPr>
        <w:t>dimensionless</w:t>
      </w:r>
    </w:p>
    <w:p>
      <w:pPr>
        <w:pStyle w:val="BodyText"/>
        <w:spacing w:before="16"/>
        <w:ind w:left="219" w:right="263"/>
        <w:jc w:val="both"/>
      </w:pPr>
      <w:r>
        <w:rPr/>
        <w:t>It is </w:t>
      </w:r>
      <w:r>
        <w:rPr>
          <w:i/>
        </w:rPr>
        <w:t>good practice </w:t>
      </w:r>
      <w:r>
        <w:rPr/>
        <w:t>for countries to use the terms L</w:t>
      </w:r>
      <w:r>
        <w:rPr>
          <w:vertAlign w:val="subscript"/>
        </w:rPr>
        <w:t>burn</w:t>
      </w:r>
      <w:r>
        <w:rPr>
          <w:vertAlign w:val="baseline"/>
        </w:rPr>
        <w:t> </w:t>
      </w:r>
      <w:r>
        <w:rPr>
          <w:vertAlign w:val="subscript"/>
        </w:rPr>
        <w:t>on</w:t>
      </w:r>
      <w:r>
        <w:rPr>
          <w:vertAlign w:val="baseline"/>
        </w:rPr>
        <w:t> </w:t>
      </w:r>
      <w:r>
        <w:rPr>
          <w:vertAlign w:val="subscript"/>
        </w:rPr>
        <w:t>site</w:t>
      </w:r>
      <w:r>
        <w:rPr>
          <w:vertAlign w:val="baseline"/>
        </w:rPr>
        <w:t> and L</w:t>
      </w:r>
      <w:r>
        <w:rPr>
          <w:vertAlign w:val="subscript"/>
        </w:rPr>
        <w:t>burn</w:t>
      </w:r>
      <w:r>
        <w:rPr>
          <w:vertAlign w:val="baseline"/>
        </w:rPr>
        <w:t> </w:t>
      </w:r>
      <w:r>
        <w:rPr>
          <w:vertAlign w:val="subscript"/>
        </w:rPr>
        <w:t>off</w:t>
      </w:r>
      <w:r>
        <w:rPr>
          <w:vertAlign w:val="baseline"/>
        </w:rPr>
        <w:t> </w:t>
      </w:r>
      <w:r>
        <w:rPr>
          <w:vertAlign w:val="subscript"/>
        </w:rPr>
        <w:t>site</w:t>
      </w:r>
      <w:r>
        <w:rPr>
          <w:vertAlign w:val="baseline"/>
        </w:rPr>
        <w:t> as inputs to estimate non-CO</w:t>
      </w:r>
      <w:r>
        <w:rPr>
          <w:vertAlign w:val="subscript"/>
        </w:rPr>
        <w:t>2</w:t>
      </w:r>
      <w:r>
        <w:rPr>
          <w:vertAlign w:val="baseline"/>
        </w:rPr>
        <w:t> trace gas emissions from burning following guidance provided in Section 3.2.1.4.</w:t>
      </w:r>
    </w:p>
    <w:p>
      <w:pPr>
        <w:pStyle w:val="BodyText"/>
        <w:spacing w:before="119"/>
        <w:ind w:left="219" w:right="262"/>
        <w:jc w:val="both"/>
      </w:pPr>
      <w:r>
        <w:rPr>
          <w:b/>
        </w:rPr>
        <w:t>Tier 3: </w:t>
      </w:r>
      <w:r>
        <w:rPr/>
        <w:t>The Tier 3 method is similar to Tier 2, with the following distinctions: rather than relying on average annual rates of conversion, countries can use direct estimates of spatially disaggregated areas converted annually for each initial and final land use; carbon densities and soil carbon stock change are based on locally specific information, which makes possible a dynamic link between biomass and soil; and biomass volumes are based on actual inventories.</w:t>
      </w:r>
    </w:p>
    <w:p>
      <w:pPr>
        <w:pStyle w:val="BodyText"/>
        <w:spacing w:before="3"/>
        <w:rPr>
          <w:sz w:val="21"/>
        </w:rPr>
      </w:pPr>
    </w:p>
    <w:p>
      <w:pPr>
        <w:pStyle w:val="Heading6"/>
        <w:numPr>
          <w:ilvl w:val="5"/>
          <w:numId w:val="65"/>
        </w:numPr>
        <w:tabs>
          <w:tab w:pos="1450" w:val="left" w:leader="none"/>
        </w:tabs>
        <w:spacing w:line="240" w:lineRule="auto" w:before="0" w:after="0"/>
        <w:ind w:left="1449" w:right="0" w:hanging="1230"/>
        <w:jc w:val="left"/>
      </w:pPr>
      <w:r>
        <w:rPr/>
        <w:t>2 </w:t>
      </w:r>
      <w:r>
        <w:rPr>
          <w:spacing w:val="16"/>
        </w:rPr>
        <w:t>Choice </w:t>
      </w:r>
      <w:r>
        <w:rPr>
          <w:spacing w:val="9"/>
        </w:rPr>
        <w:t>of </w:t>
      </w:r>
      <w:r>
        <w:rPr>
          <w:spacing w:val="17"/>
        </w:rPr>
        <w:t>Emission/Removal</w:t>
      </w:r>
      <w:r>
        <w:rPr>
          <w:spacing w:val="16"/>
        </w:rPr>
        <w:t> </w:t>
      </w:r>
      <w:r>
        <w:rPr>
          <w:spacing w:val="19"/>
        </w:rPr>
        <w:t>Factors</w:t>
      </w:r>
    </w:p>
    <w:p>
      <w:pPr>
        <w:pStyle w:val="BodyText"/>
        <w:spacing w:before="54"/>
        <w:ind w:left="219" w:right="260"/>
        <w:jc w:val="both"/>
      </w:pPr>
      <w:r>
        <w:rPr>
          <w:b/>
        </w:rPr>
        <w:t>Tier 1: </w:t>
      </w:r>
      <w:r>
        <w:rPr/>
        <w:t>Default parameters are provided in both the </w:t>
      </w:r>
      <w:r>
        <w:rPr>
          <w:i/>
        </w:rPr>
        <w:t>IPCC Guidelines </w:t>
      </w:r>
      <w:r>
        <w:rPr/>
        <w:t>and in this report to enable countries with limited data resources to estimate emissions and removals from this source. The first step in this methodology requires parameters for carbon stocks before conversion for each initial land use (C</w:t>
      </w:r>
      <w:r>
        <w:rPr>
          <w:vertAlign w:val="subscript"/>
        </w:rPr>
        <w:t>Before</w:t>
      </w:r>
      <w:r>
        <w:rPr>
          <w:vertAlign w:val="baseline"/>
        </w:rPr>
        <w:t>) and after conversion (C</w:t>
      </w:r>
      <w:r>
        <w:rPr>
          <w:vertAlign w:val="subscript"/>
        </w:rPr>
        <w:t>After</w:t>
      </w:r>
      <w:r>
        <w:rPr>
          <w:vertAlign w:val="baseline"/>
        </w:rPr>
        <w:t>). It is assumed that all biomass is cleared when preparing a site for cropland use, thus, the default for C</w:t>
      </w:r>
      <w:r>
        <w:rPr>
          <w:vertAlign w:val="subscript"/>
        </w:rPr>
        <w:t>After</w:t>
      </w:r>
      <w:r>
        <w:rPr>
          <w:vertAlign w:val="baseline"/>
        </w:rPr>
        <w:t> is 0 tonnes C ha</w:t>
      </w:r>
      <w:r>
        <w:rPr>
          <w:vertAlign w:val="superscript"/>
        </w:rPr>
        <w:t>-1</w:t>
      </w:r>
      <w:r>
        <w:rPr>
          <w:vertAlign w:val="baseline"/>
        </w:rPr>
        <w:t>. Table 3.3.7 provides default carbon stock values for C</w:t>
      </w:r>
      <w:r>
        <w:rPr>
          <w:vertAlign w:val="subscript"/>
        </w:rPr>
        <w:t>Before</w:t>
      </w:r>
      <w:r>
        <w:rPr>
          <w:vertAlign w:val="baseline"/>
        </w:rPr>
        <w:t> in either forest or grassland land uses prior to clearing.</w:t>
      </w:r>
    </w:p>
    <w:p>
      <w:pPr>
        <w:pStyle w:val="BodyText"/>
        <w:spacing w:before="120"/>
        <w:ind w:left="219" w:right="263"/>
        <w:jc w:val="both"/>
      </w:pPr>
      <w:r>
        <w:rPr/>
        <w:t>In addition, a value is needed for carbon stocks after one year of growth in crops planted after conversion (</w:t>
      </w:r>
      <w:r>
        <w:rPr>
          <w:rFonts w:ascii="Symbol" w:hAnsi="Symbol"/>
        </w:rPr>
        <w:t>∆</w:t>
      </w:r>
      <w:r>
        <w:rPr/>
        <w:t>C</w:t>
      </w:r>
      <w:r>
        <w:rPr>
          <w:vertAlign w:val="subscript"/>
        </w:rPr>
        <w:t>Growth</w:t>
      </w:r>
      <w:r>
        <w:rPr>
          <w:vertAlign w:val="baseline"/>
        </w:rPr>
        <w:t>). Table 3.3.8 provides defaults for </w:t>
      </w:r>
      <w:r>
        <w:rPr>
          <w:rFonts w:ascii="Symbol" w:hAnsi="Symbol"/>
          <w:vertAlign w:val="baseline"/>
        </w:rPr>
        <w:t>∆</w:t>
      </w:r>
      <w:r>
        <w:rPr>
          <w:vertAlign w:val="baseline"/>
        </w:rPr>
        <w:t>C</w:t>
      </w:r>
      <w:r>
        <w:rPr>
          <w:vertAlign w:val="subscript"/>
        </w:rPr>
        <w:t>Growth</w:t>
      </w:r>
      <w:r>
        <w:rPr>
          <w:vertAlign w:val="baseline"/>
        </w:rPr>
        <w:t>. Separate defaults are provided for annual non-woody </w:t>
      </w:r>
      <w:r>
        <w:rPr>
          <w:spacing w:val="-25"/>
          <w:vertAlign w:val="baseline"/>
        </w:rPr>
        <w:t>crops </w:t>
      </w:r>
      <w:r>
        <w:rPr>
          <w:vertAlign w:val="baseline"/>
        </w:rPr>
        <w:t>and perennial woody crops. For lands planted in annual crops, the default value of </w:t>
      </w:r>
      <w:r>
        <w:rPr>
          <w:rFonts w:ascii="Symbol" w:hAnsi="Symbol"/>
          <w:vertAlign w:val="baseline"/>
        </w:rPr>
        <w:t>∆</w:t>
      </w:r>
      <w:r>
        <w:rPr>
          <w:vertAlign w:val="baseline"/>
        </w:rPr>
        <w:t>C</w:t>
      </w:r>
      <w:r>
        <w:rPr>
          <w:vertAlign w:val="subscript"/>
        </w:rPr>
        <w:t>Growth</w:t>
      </w:r>
      <w:r>
        <w:rPr>
          <w:vertAlign w:val="baseline"/>
        </w:rPr>
        <w:t> is 5 tonnes of C </w:t>
      </w:r>
      <w:r>
        <w:rPr>
          <w:spacing w:val="-13"/>
          <w:vertAlign w:val="baseline"/>
        </w:rPr>
        <w:t>per </w:t>
      </w:r>
      <w:r>
        <w:rPr>
          <w:vertAlign w:val="baseline"/>
        </w:rPr>
        <w:t>hectare, based on the original </w:t>
      </w:r>
      <w:r>
        <w:rPr>
          <w:i/>
          <w:vertAlign w:val="baseline"/>
        </w:rPr>
        <w:t>IPCC Guidelines </w:t>
      </w:r>
      <w:r>
        <w:rPr>
          <w:vertAlign w:val="baseline"/>
        </w:rPr>
        <w:t>recommendation of 10 tonnes of dry biomass per hectare (dry biomass has been converted to tonnes carbon in Table 3.3.8). Default carbon stocks from one year of growth in perennial woody crops the same as those in Table 3.3.2. The total accumulation of carbon in perennial woody biomass will, over time, exceed that of the default carbon stock for annual cropland. However, default values provide in this section are for one year of growth immediately following conversion, which usually give lower carbon stocks for perennial woody crops compared to annual crops.</w:t>
      </w:r>
    </w:p>
    <w:p>
      <w:pPr>
        <w:pStyle w:val="BodyText"/>
        <w:spacing w:before="6" w:after="1"/>
        <w:rPr>
          <w:sz w:val="10"/>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8"/>
        <w:gridCol w:w="5794"/>
        <w:gridCol w:w="1628"/>
      </w:tblGrid>
      <w:tr>
        <w:trPr>
          <w:trHeight w:val="534" w:hRule="atLeast"/>
        </w:trPr>
        <w:tc>
          <w:tcPr>
            <w:tcW w:w="9340" w:type="dxa"/>
            <w:gridSpan w:val="3"/>
            <w:tcBorders>
              <w:bottom w:val="double" w:sz="1" w:space="0" w:color="000000"/>
            </w:tcBorders>
          </w:tcPr>
          <w:p>
            <w:pPr>
              <w:pStyle w:val="TableParagraph"/>
              <w:spacing w:line="207" w:lineRule="exact" w:before="59"/>
              <w:ind w:left="1412" w:right="1408"/>
              <w:jc w:val="center"/>
              <w:rPr>
                <w:b/>
                <w:sz w:val="18"/>
              </w:rPr>
            </w:pPr>
            <w:r>
              <w:rPr>
                <w:b/>
                <w:sz w:val="18"/>
              </w:rPr>
              <w:t>T</w:t>
            </w:r>
            <w:r>
              <w:rPr>
                <w:b/>
                <w:sz w:val="14"/>
              </w:rPr>
              <w:t>ABLE </w:t>
            </w:r>
            <w:r>
              <w:rPr>
                <w:b/>
                <w:sz w:val="18"/>
              </w:rPr>
              <w:t>3.3.7</w:t>
            </w:r>
          </w:p>
          <w:p>
            <w:pPr>
              <w:pStyle w:val="TableParagraph"/>
              <w:spacing w:line="207" w:lineRule="exact"/>
              <w:ind w:left="1413" w:right="1408"/>
              <w:jc w:val="center"/>
              <w:rPr>
                <w:b/>
                <w:sz w:val="14"/>
              </w:rPr>
            </w:pPr>
            <w:r>
              <w:rPr>
                <w:b/>
                <w:sz w:val="18"/>
              </w:rPr>
              <w:t>D</w:t>
            </w:r>
            <w:r>
              <w:rPr>
                <w:b/>
                <w:sz w:val="14"/>
              </w:rPr>
              <w:t>EFAULT BIOMASS CARBON STOCKS REMOVED DUE TO LAND CONVERSION TO </w:t>
            </w:r>
            <w:r>
              <w:rPr>
                <w:b/>
                <w:sz w:val="18"/>
              </w:rPr>
              <w:t>C</w:t>
            </w:r>
            <w:r>
              <w:rPr>
                <w:b/>
                <w:sz w:val="14"/>
              </w:rPr>
              <w:t>ROPLAND</w:t>
            </w:r>
          </w:p>
        </w:tc>
      </w:tr>
      <w:tr>
        <w:trPr>
          <w:trHeight w:val="479" w:hRule="atLeast"/>
        </w:trPr>
        <w:tc>
          <w:tcPr>
            <w:tcW w:w="1918" w:type="dxa"/>
            <w:tcBorders>
              <w:top w:val="double" w:sz="1" w:space="0" w:color="000000"/>
            </w:tcBorders>
          </w:tcPr>
          <w:p>
            <w:pPr>
              <w:pStyle w:val="TableParagraph"/>
              <w:spacing w:before="138"/>
              <w:ind w:left="246"/>
              <w:rPr>
                <w:b/>
                <w:sz w:val="18"/>
              </w:rPr>
            </w:pPr>
            <w:r>
              <w:rPr>
                <w:b/>
                <w:sz w:val="18"/>
              </w:rPr>
              <w:t>Land-use category</w:t>
            </w:r>
          </w:p>
        </w:tc>
        <w:tc>
          <w:tcPr>
            <w:tcW w:w="5794" w:type="dxa"/>
            <w:tcBorders>
              <w:top w:val="double" w:sz="1" w:space="0" w:color="000000"/>
            </w:tcBorders>
          </w:tcPr>
          <w:p>
            <w:pPr>
              <w:pStyle w:val="TableParagraph"/>
              <w:spacing w:before="35"/>
              <w:ind w:left="2329" w:right="907" w:hanging="1404"/>
              <w:rPr>
                <w:b/>
                <w:sz w:val="18"/>
              </w:rPr>
            </w:pPr>
            <w:r>
              <w:rPr>
                <w:b/>
                <w:sz w:val="18"/>
              </w:rPr>
              <w:t>Carbon stock in biomass before conversion (C</w:t>
            </w:r>
            <w:r>
              <w:rPr>
                <w:b/>
                <w:sz w:val="18"/>
                <w:vertAlign w:val="subscript"/>
              </w:rPr>
              <w:t>Before</w:t>
            </w:r>
            <w:r>
              <w:rPr>
                <w:b/>
                <w:sz w:val="18"/>
                <w:vertAlign w:val="baseline"/>
              </w:rPr>
              <w:t>) (tonnes C ha</w:t>
            </w:r>
            <w:r>
              <w:rPr>
                <w:b/>
                <w:sz w:val="18"/>
                <w:vertAlign w:val="superscript"/>
              </w:rPr>
              <w:t>-1</w:t>
            </w:r>
            <w:r>
              <w:rPr>
                <w:b/>
                <w:sz w:val="18"/>
                <w:vertAlign w:val="baseline"/>
              </w:rPr>
              <w:t>)</w:t>
            </w:r>
          </w:p>
        </w:tc>
        <w:tc>
          <w:tcPr>
            <w:tcW w:w="1628" w:type="dxa"/>
            <w:tcBorders>
              <w:top w:val="double" w:sz="1" w:space="0" w:color="000000"/>
            </w:tcBorders>
          </w:tcPr>
          <w:p>
            <w:pPr>
              <w:pStyle w:val="TableParagraph"/>
              <w:spacing w:before="138"/>
              <w:ind w:left="225" w:right="216"/>
              <w:jc w:val="center"/>
              <w:rPr>
                <w:b/>
                <w:sz w:val="18"/>
              </w:rPr>
            </w:pPr>
            <w:r>
              <w:rPr>
                <w:b/>
                <w:sz w:val="18"/>
              </w:rPr>
              <w:t>Error range </w:t>
            </w:r>
            <w:r>
              <w:rPr>
                <w:b/>
                <w:sz w:val="18"/>
                <w:vertAlign w:val="superscript"/>
              </w:rPr>
              <w:t>#</w:t>
            </w:r>
          </w:p>
        </w:tc>
      </w:tr>
      <w:tr>
        <w:trPr>
          <w:trHeight w:val="741" w:hRule="atLeast"/>
        </w:trPr>
        <w:tc>
          <w:tcPr>
            <w:tcW w:w="1918" w:type="dxa"/>
          </w:tcPr>
          <w:p>
            <w:pPr>
              <w:pStyle w:val="TableParagraph"/>
              <w:spacing w:before="55"/>
              <w:ind w:left="107"/>
              <w:rPr>
                <w:sz w:val="18"/>
              </w:rPr>
            </w:pPr>
            <w:r>
              <w:rPr>
                <w:sz w:val="18"/>
              </w:rPr>
              <w:t>Forest land</w:t>
            </w:r>
          </w:p>
        </w:tc>
        <w:tc>
          <w:tcPr>
            <w:tcW w:w="5794" w:type="dxa"/>
          </w:tcPr>
          <w:p>
            <w:pPr>
              <w:pStyle w:val="TableParagraph"/>
              <w:spacing w:before="55"/>
              <w:ind w:left="107" w:right="298"/>
              <w:rPr>
                <w:i/>
                <w:sz w:val="18"/>
              </w:rPr>
            </w:pPr>
            <w:r>
              <w:rPr>
                <w:sz w:val="18"/>
              </w:rPr>
              <w:t>See Tables 3A.2 and 3A.3 in Annex 3A.1 for carbon stocks in a range of forest types by climate regions. Stocks are in terms of dry matter. </w:t>
            </w:r>
            <w:r>
              <w:rPr>
                <w:i/>
                <w:sz w:val="18"/>
              </w:rPr>
              <w:t>Multiply values by a carbon fraction (CF) 0.5 to convert dry matter to carbon.</w:t>
            </w:r>
          </w:p>
        </w:tc>
        <w:tc>
          <w:tcPr>
            <w:tcW w:w="1628" w:type="dxa"/>
          </w:tcPr>
          <w:p>
            <w:pPr>
              <w:pStyle w:val="TableParagraph"/>
              <w:spacing w:before="55"/>
              <w:ind w:left="106" w:right="82"/>
              <w:rPr>
                <w:sz w:val="18"/>
              </w:rPr>
            </w:pPr>
            <w:r>
              <w:rPr>
                <w:sz w:val="18"/>
              </w:rPr>
              <w:t>See Section 3.2.2 (Land Converted to Forest land)</w:t>
            </w:r>
          </w:p>
        </w:tc>
      </w:tr>
      <w:tr>
        <w:trPr>
          <w:trHeight w:val="534" w:hRule="atLeast"/>
        </w:trPr>
        <w:tc>
          <w:tcPr>
            <w:tcW w:w="1918" w:type="dxa"/>
          </w:tcPr>
          <w:p>
            <w:pPr>
              <w:pStyle w:val="TableParagraph"/>
              <w:spacing w:before="55"/>
              <w:ind w:left="107"/>
              <w:rPr>
                <w:sz w:val="18"/>
              </w:rPr>
            </w:pPr>
            <w:r>
              <w:rPr>
                <w:sz w:val="18"/>
              </w:rPr>
              <w:t>Grassland</w:t>
            </w:r>
          </w:p>
        </w:tc>
        <w:tc>
          <w:tcPr>
            <w:tcW w:w="5794" w:type="dxa"/>
          </w:tcPr>
          <w:p>
            <w:pPr>
              <w:pStyle w:val="TableParagraph"/>
              <w:spacing w:before="55"/>
              <w:ind w:left="107" w:right="355" w:hanging="2"/>
              <w:rPr>
                <w:sz w:val="18"/>
              </w:rPr>
            </w:pPr>
            <w:r>
              <w:rPr>
                <w:sz w:val="18"/>
              </w:rPr>
              <w:t>See Table 3.4.2 for carbon stocks in a range of grassland types by climate regions.</w:t>
            </w:r>
          </w:p>
        </w:tc>
        <w:tc>
          <w:tcPr>
            <w:tcW w:w="1628" w:type="dxa"/>
          </w:tcPr>
          <w:p>
            <w:pPr>
              <w:pStyle w:val="TableParagraph"/>
              <w:spacing w:before="55"/>
              <w:ind w:left="227" w:right="216"/>
              <w:jc w:val="center"/>
              <w:rPr>
                <w:sz w:val="18"/>
              </w:rPr>
            </w:pPr>
            <w:r>
              <w:rPr>
                <w:sz w:val="18"/>
                <w:u w:val="single"/>
              </w:rPr>
              <w:t>+</w:t>
            </w:r>
            <w:r>
              <w:rPr>
                <w:sz w:val="18"/>
              </w:rPr>
              <w:t> 75%</w:t>
            </w:r>
          </w:p>
        </w:tc>
      </w:tr>
      <w:tr>
        <w:trPr>
          <w:trHeight w:val="282" w:hRule="atLeast"/>
        </w:trPr>
        <w:tc>
          <w:tcPr>
            <w:tcW w:w="9340" w:type="dxa"/>
            <w:gridSpan w:val="3"/>
          </w:tcPr>
          <w:p>
            <w:pPr>
              <w:pStyle w:val="TableParagraph"/>
              <w:spacing w:before="21"/>
              <w:ind w:left="107"/>
              <w:rPr>
                <w:sz w:val="16"/>
              </w:rPr>
            </w:pPr>
            <w:r>
              <w:rPr>
                <w:position w:val="7"/>
                <w:sz w:val="10"/>
              </w:rPr>
              <w:t># </w:t>
            </w:r>
            <w:r>
              <w:rPr>
                <w:sz w:val="16"/>
              </w:rPr>
              <w:t>Represents a nominal estimate of error, equivalent to two times standard deviation, as a percentage of the mean.</w:t>
            </w:r>
          </w:p>
        </w:tc>
      </w:tr>
    </w:tbl>
    <w:p>
      <w:pPr>
        <w:spacing w:after="0"/>
        <w:rPr>
          <w:sz w:val="16"/>
        </w:rPr>
        <w:sectPr>
          <w:pgSz w:w="11900" w:h="16840"/>
          <w:pgMar w:header="230" w:footer="408" w:top="560" w:bottom="600" w:left="1200" w:right="1140"/>
        </w:sectPr>
      </w:pPr>
    </w:p>
    <w:p>
      <w:pPr>
        <w:pStyle w:val="BodyText"/>
      </w:pPr>
    </w:p>
    <w:p>
      <w:pPr>
        <w:pStyle w:val="BodyText"/>
      </w:pPr>
    </w:p>
    <w:p>
      <w:pPr>
        <w:pStyle w:val="BodyText"/>
        <w:spacing w:before="3"/>
        <w:rPr>
          <w:sz w:val="29"/>
        </w:rPr>
      </w:pPr>
    </w:p>
    <w:tbl>
      <w:tblPr>
        <w:tblW w:w="0" w:type="auto"/>
        <w:jc w:val="left"/>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85"/>
        <w:gridCol w:w="3077"/>
        <w:gridCol w:w="2535"/>
      </w:tblGrid>
      <w:tr>
        <w:trPr>
          <w:trHeight w:val="740" w:hRule="atLeast"/>
        </w:trPr>
        <w:tc>
          <w:tcPr>
            <w:tcW w:w="8797" w:type="dxa"/>
            <w:gridSpan w:val="3"/>
            <w:tcBorders>
              <w:bottom w:val="double" w:sz="1" w:space="0" w:color="000000"/>
            </w:tcBorders>
          </w:tcPr>
          <w:p>
            <w:pPr>
              <w:pStyle w:val="TableParagraph"/>
              <w:spacing w:line="207" w:lineRule="exact" w:before="59"/>
              <w:ind w:left="1404" w:right="1400"/>
              <w:jc w:val="center"/>
              <w:rPr>
                <w:b/>
                <w:sz w:val="18"/>
              </w:rPr>
            </w:pPr>
            <w:r>
              <w:rPr>
                <w:b/>
                <w:sz w:val="18"/>
              </w:rPr>
              <w:t>T</w:t>
            </w:r>
            <w:r>
              <w:rPr>
                <w:b/>
                <w:sz w:val="14"/>
              </w:rPr>
              <w:t>ABLE </w:t>
            </w:r>
            <w:r>
              <w:rPr>
                <w:b/>
                <w:sz w:val="18"/>
              </w:rPr>
              <w:t>3.3.8</w:t>
            </w:r>
          </w:p>
          <w:p>
            <w:pPr>
              <w:pStyle w:val="TableParagraph"/>
              <w:spacing w:line="285" w:lineRule="auto"/>
              <w:ind w:left="1408" w:right="1400"/>
              <w:jc w:val="center"/>
              <w:rPr>
                <w:b/>
                <w:sz w:val="14"/>
              </w:rPr>
            </w:pPr>
            <w:r>
              <w:rPr>
                <w:b/>
                <w:sz w:val="18"/>
              </w:rPr>
              <w:t>D</w:t>
            </w:r>
            <w:r>
              <w:rPr>
                <w:b/>
                <w:sz w:val="14"/>
              </w:rPr>
              <w:t>EFAULT BIOMASS CARBON STOCKS PRESENT ON LAND CONVERTED TO CROPLAND IN THE YEAR FOLLOWING CONVERSION</w:t>
            </w:r>
          </w:p>
        </w:tc>
      </w:tr>
      <w:tr>
        <w:trPr>
          <w:trHeight w:val="704" w:hRule="atLeast"/>
        </w:trPr>
        <w:tc>
          <w:tcPr>
            <w:tcW w:w="3185" w:type="dxa"/>
            <w:tcBorders>
              <w:top w:val="double" w:sz="1" w:space="0" w:color="000000"/>
            </w:tcBorders>
          </w:tcPr>
          <w:p>
            <w:pPr>
              <w:pStyle w:val="TableParagraph"/>
              <w:spacing w:before="175"/>
              <w:ind w:right="387"/>
              <w:jc w:val="right"/>
              <w:rPr>
                <w:b/>
                <w:sz w:val="20"/>
              </w:rPr>
            </w:pPr>
            <w:r>
              <w:rPr>
                <w:b/>
                <w:sz w:val="20"/>
              </w:rPr>
              <w:t>Crop type by climate region</w:t>
            </w:r>
          </w:p>
        </w:tc>
        <w:tc>
          <w:tcPr>
            <w:tcW w:w="3077" w:type="dxa"/>
            <w:tcBorders>
              <w:top w:val="double" w:sz="1" w:space="0" w:color="000000"/>
            </w:tcBorders>
          </w:tcPr>
          <w:p>
            <w:pPr>
              <w:pStyle w:val="TableParagraph"/>
              <w:spacing w:line="256" w:lineRule="auto"/>
              <w:ind w:left="161" w:right="151"/>
              <w:jc w:val="center"/>
              <w:rPr>
                <w:b/>
                <w:sz w:val="20"/>
              </w:rPr>
            </w:pPr>
            <w:r>
              <w:rPr>
                <w:b/>
                <w:sz w:val="20"/>
              </w:rPr>
              <w:t>Carbon stock in biomass after one year (</w:t>
            </w:r>
            <w:r>
              <w:rPr>
                <w:rFonts w:ascii="Symbol" w:hAnsi="Symbol"/>
                <w:sz w:val="20"/>
              </w:rPr>
              <w:t>∆</w:t>
            </w:r>
            <w:r>
              <w:rPr>
                <w:b/>
                <w:sz w:val="20"/>
              </w:rPr>
              <w:t>C</w:t>
            </w:r>
            <w:r>
              <w:rPr>
                <w:b/>
                <w:sz w:val="20"/>
                <w:vertAlign w:val="subscript"/>
              </w:rPr>
              <w:t>Growth</w:t>
            </w:r>
            <w:r>
              <w:rPr>
                <w:b/>
                <w:sz w:val="20"/>
                <w:vertAlign w:val="baseline"/>
              </w:rPr>
              <w:t>)</w:t>
            </w:r>
          </w:p>
          <w:p>
            <w:pPr>
              <w:pStyle w:val="TableParagraph"/>
              <w:spacing w:line="176" w:lineRule="exact"/>
              <w:ind w:left="159" w:right="151"/>
              <w:jc w:val="center"/>
              <w:rPr>
                <w:b/>
                <w:sz w:val="20"/>
              </w:rPr>
            </w:pPr>
            <w:r>
              <w:rPr>
                <w:b/>
                <w:sz w:val="20"/>
              </w:rPr>
              <w:t>(tonnes C ha</w:t>
            </w:r>
            <w:r>
              <w:rPr>
                <w:b/>
                <w:sz w:val="20"/>
                <w:vertAlign w:val="superscript"/>
              </w:rPr>
              <w:t>-1</w:t>
            </w:r>
            <w:r>
              <w:rPr>
                <w:b/>
                <w:sz w:val="20"/>
                <w:vertAlign w:val="baseline"/>
              </w:rPr>
              <w:t>)</w:t>
            </w:r>
          </w:p>
        </w:tc>
        <w:tc>
          <w:tcPr>
            <w:tcW w:w="2535" w:type="dxa"/>
            <w:tcBorders>
              <w:top w:val="double" w:sz="1" w:space="0" w:color="000000"/>
            </w:tcBorders>
          </w:tcPr>
          <w:p>
            <w:pPr>
              <w:pStyle w:val="TableParagraph"/>
              <w:ind w:left="694" w:right="686"/>
              <w:jc w:val="center"/>
              <w:rPr>
                <w:b/>
                <w:sz w:val="20"/>
              </w:rPr>
            </w:pPr>
            <w:r>
              <w:rPr>
                <w:b/>
                <w:sz w:val="20"/>
              </w:rPr>
              <w:t>Error range</w:t>
            </w:r>
            <w:r>
              <w:rPr>
                <w:b/>
                <w:sz w:val="20"/>
                <w:vertAlign w:val="superscript"/>
              </w:rPr>
              <w:t>#</w:t>
            </w:r>
          </w:p>
        </w:tc>
      </w:tr>
      <w:tr>
        <w:trPr>
          <w:trHeight w:val="275" w:hRule="atLeast"/>
        </w:trPr>
        <w:tc>
          <w:tcPr>
            <w:tcW w:w="3185" w:type="dxa"/>
          </w:tcPr>
          <w:p>
            <w:pPr>
              <w:pStyle w:val="TableParagraph"/>
              <w:spacing w:before="28"/>
              <w:ind w:left="107"/>
              <w:rPr>
                <w:sz w:val="18"/>
              </w:rPr>
            </w:pPr>
            <w:r>
              <w:rPr>
                <w:sz w:val="18"/>
              </w:rPr>
              <w:t>Annual cropland</w:t>
            </w:r>
          </w:p>
        </w:tc>
        <w:tc>
          <w:tcPr>
            <w:tcW w:w="3077" w:type="dxa"/>
          </w:tcPr>
          <w:p>
            <w:pPr>
              <w:pStyle w:val="TableParagraph"/>
              <w:spacing w:before="28"/>
              <w:ind w:left="8"/>
              <w:jc w:val="center"/>
              <w:rPr>
                <w:sz w:val="18"/>
              </w:rPr>
            </w:pPr>
            <w:r>
              <w:rPr>
                <w:sz w:val="18"/>
              </w:rPr>
              <w:t>5</w:t>
            </w:r>
          </w:p>
        </w:tc>
        <w:tc>
          <w:tcPr>
            <w:tcW w:w="2535" w:type="dxa"/>
          </w:tcPr>
          <w:p>
            <w:pPr>
              <w:pStyle w:val="TableParagraph"/>
              <w:spacing w:before="28"/>
              <w:ind w:left="693" w:right="686"/>
              <w:jc w:val="center"/>
              <w:rPr>
                <w:sz w:val="18"/>
              </w:rPr>
            </w:pPr>
            <w:r>
              <w:rPr>
                <w:sz w:val="18"/>
                <w:u w:val="single"/>
              </w:rPr>
              <w:t>+</w:t>
            </w:r>
            <w:r>
              <w:rPr>
                <w:sz w:val="18"/>
              </w:rPr>
              <w:t> 75%</w:t>
            </w:r>
          </w:p>
        </w:tc>
      </w:tr>
      <w:tr>
        <w:trPr>
          <w:trHeight w:val="273" w:hRule="atLeast"/>
        </w:trPr>
        <w:tc>
          <w:tcPr>
            <w:tcW w:w="3185" w:type="dxa"/>
          </w:tcPr>
          <w:p>
            <w:pPr>
              <w:pStyle w:val="TableParagraph"/>
              <w:spacing w:before="28"/>
              <w:ind w:left="107"/>
              <w:rPr>
                <w:sz w:val="18"/>
              </w:rPr>
            </w:pPr>
            <w:r>
              <w:rPr>
                <w:sz w:val="18"/>
              </w:rPr>
              <w:t>Perennial cropland</w:t>
            </w:r>
          </w:p>
        </w:tc>
        <w:tc>
          <w:tcPr>
            <w:tcW w:w="3077" w:type="dxa"/>
          </w:tcPr>
          <w:p>
            <w:pPr>
              <w:pStyle w:val="TableParagraph"/>
              <w:rPr>
                <w:sz w:val="18"/>
              </w:rPr>
            </w:pPr>
          </w:p>
        </w:tc>
        <w:tc>
          <w:tcPr>
            <w:tcW w:w="2535" w:type="dxa"/>
          </w:tcPr>
          <w:p>
            <w:pPr>
              <w:pStyle w:val="TableParagraph"/>
              <w:rPr>
                <w:sz w:val="18"/>
              </w:rPr>
            </w:pPr>
          </w:p>
        </w:tc>
      </w:tr>
      <w:tr>
        <w:trPr>
          <w:trHeight w:val="273" w:hRule="atLeast"/>
        </w:trPr>
        <w:tc>
          <w:tcPr>
            <w:tcW w:w="3185" w:type="dxa"/>
          </w:tcPr>
          <w:p>
            <w:pPr>
              <w:pStyle w:val="TableParagraph"/>
              <w:spacing w:before="28"/>
              <w:ind w:right="432"/>
              <w:jc w:val="right"/>
              <w:rPr>
                <w:sz w:val="18"/>
              </w:rPr>
            </w:pPr>
            <w:r>
              <w:rPr>
                <w:sz w:val="18"/>
              </w:rPr>
              <w:t>Temperate (all moisture regimes)</w:t>
            </w:r>
          </w:p>
        </w:tc>
        <w:tc>
          <w:tcPr>
            <w:tcW w:w="3077" w:type="dxa"/>
          </w:tcPr>
          <w:p>
            <w:pPr>
              <w:pStyle w:val="TableParagraph"/>
              <w:spacing w:before="28"/>
              <w:ind w:right="1414"/>
              <w:jc w:val="right"/>
              <w:rPr>
                <w:sz w:val="18"/>
              </w:rPr>
            </w:pPr>
            <w:r>
              <w:rPr>
                <w:sz w:val="18"/>
              </w:rPr>
              <w:t>2.1</w:t>
            </w:r>
          </w:p>
        </w:tc>
        <w:tc>
          <w:tcPr>
            <w:tcW w:w="2535" w:type="dxa"/>
          </w:tcPr>
          <w:p>
            <w:pPr>
              <w:pStyle w:val="TableParagraph"/>
              <w:spacing w:before="28"/>
              <w:ind w:left="693" w:right="686"/>
              <w:jc w:val="center"/>
              <w:rPr>
                <w:sz w:val="18"/>
              </w:rPr>
            </w:pPr>
            <w:r>
              <w:rPr>
                <w:sz w:val="18"/>
                <w:u w:val="single"/>
              </w:rPr>
              <w:t>+</w:t>
            </w:r>
            <w:r>
              <w:rPr>
                <w:sz w:val="18"/>
              </w:rPr>
              <w:t> 75%</w:t>
            </w:r>
          </w:p>
        </w:tc>
      </w:tr>
      <w:tr>
        <w:trPr>
          <w:trHeight w:val="275" w:hRule="atLeast"/>
        </w:trPr>
        <w:tc>
          <w:tcPr>
            <w:tcW w:w="3185" w:type="dxa"/>
          </w:tcPr>
          <w:p>
            <w:pPr>
              <w:pStyle w:val="TableParagraph"/>
              <w:spacing w:before="28"/>
              <w:ind w:left="335"/>
              <w:rPr>
                <w:sz w:val="18"/>
              </w:rPr>
            </w:pPr>
            <w:r>
              <w:rPr>
                <w:sz w:val="18"/>
              </w:rPr>
              <w:t>Tropical, dry</w:t>
            </w:r>
          </w:p>
        </w:tc>
        <w:tc>
          <w:tcPr>
            <w:tcW w:w="3077" w:type="dxa"/>
          </w:tcPr>
          <w:p>
            <w:pPr>
              <w:pStyle w:val="TableParagraph"/>
              <w:spacing w:before="28"/>
              <w:ind w:right="1413"/>
              <w:jc w:val="right"/>
              <w:rPr>
                <w:sz w:val="18"/>
              </w:rPr>
            </w:pPr>
            <w:r>
              <w:rPr>
                <w:sz w:val="18"/>
              </w:rPr>
              <w:t>1.8</w:t>
            </w:r>
          </w:p>
        </w:tc>
        <w:tc>
          <w:tcPr>
            <w:tcW w:w="2535" w:type="dxa"/>
          </w:tcPr>
          <w:p>
            <w:pPr>
              <w:pStyle w:val="TableParagraph"/>
              <w:spacing w:before="28"/>
              <w:ind w:left="693" w:right="686"/>
              <w:jc w:val="center"/>
              <w:rPr>
                <w:sz w:val="18"/>
              </w:rPr>
            </w:pPr>
            <w:r>
              <w:rPr>
                <w:sz w:val="18"/>
                <w:u w:val="single"/>
              </w:rPr>
              <w:t>+</w:t>
            </w:r>
            <w:r>
              <w:rPr>
                <w:sz w:val="18"/>
              </w:rPr>
              <w:t> 75%</w:t>
            </w:r>
          </w:p>
        </w:tc>
      </w:tr>
      <w:tr>
        <w:trPr>
          <w:trHeight w:val="273" w:hRule="atLeast"/>
        </w:trPr>
        <w:tc>
          <w:tcPr>
            <w:tcW w:w="3185" w:type="dxa"/>
          </w:tcPr>
          <w:p>
            <w:pPr>
              <w:pStyle w:val="TableParagraph"/>
              <w:spacing w:before="28"/>
              <w:ind w:left="335"/>
              <w:rPr>
                <w:sz w:val="18"/>
              </w:rPr>
            </w:pPr>
            <w:r>
              <w:rPr>
                <w:sz w:val="18"/>
              </w:rPr>
              <w:t>Tropical, moist</w:t>
            </w:r>
          </w:p>
        </w:tc>
        <w:tc>
          <w:tcPr>
            <w:tcW w:w="3077" w:type="dxa"/>
          </w:tcPr>
          <w:p>
            <w:pPr>
              <w:pStyle w:val="TableParagraph"/>
              <w:spacing w:before="28"/>
              <w:ind w:right="1414"/>
              <w:jc w:val="right"/>
              <w:rPr>
                <w:sz w:val="18"/>
              </w:rPr>
            </w:pPr>
            <w:r>
              <w:rPr>
                <w:sz w:val="18"/>
              </w:rPr>
              <w:t>2.6</w:t>
            </w:r>
          </w:p>
        </w:tc>
        <w:tc>
          <w:tcPr>
            <w:tcW w:w="2535" w:type="dxa"/>
          </w:tcPr>
          <w:p>
            <w:pPr>
              <w:pStyle w:val="TableParagraph"/>
              <w:spacing w:before="28"/>
              <w:ind w:left="693" w:right="686"/>
              <w:jc w:val="center"/>
              <w:rPr>
                <w:sz w:val="18"/>
              </w:rPr>
            </w:pPr>
            <w:r>
              <w:rPr>
                <w:sz w:val="18"/>
                <w:u w:val="single"/>
              </w:rPr>
              <w:t>+</w:t>
            </w:r>
            <w:r>
              <w:rPr>
                <w:sz w:val="18"/>
              </w:rPr>
              <w:t> 75%</w:t>
            </w:r>
          </w:p>
        </w:tc>
      </w:tr>
      <w:tr>
        <w:trPr>
          <w:trHeight w:val="273" w:hRule="atLeast"/>
        </w:trPr>
        <w:tc>
          <w:tcPr>
            <w:tcW w:w="3185" w:type="dxa"/>
          </w:tcPr>
          <w:p>
            <w:pPr>
              <w:pStyle w:val="TableParagraph"/>
              <w:spacing w:before="28"/>
              <w:ind w:left="335"/>
              <w:rPr>
                <w:sz w:val="18"/>
              </w:rPr>
            </w:pPr>
            <w:r>
              <w:rPr>
                <w:sz w:val="18"/>
              </w:rPr>
              <w:t>Tropical, wet</w:t>
            </w:r>
          </w:p>
        </w:tc>
        <w:tc>
          <w:tcPr>
            <w:tcW w:w="3077" w:type="dxa"/>
          </w:tcPr>
          <w:p>
            <w:pPr>
              <w:pStyle w:val="TableParagraph"/>
              <w:spacing w:before="28"/>
              <w:ind w:right="1369"/>
              <w:jc w:val="right"/>
              <w:rPr>
                <w:sz w:val="18"/>
              </w:rPr>
            </w:pPr>
            <w:r>
              <w:rPr>
                <w:sz w:val="18"/>
              </w:rPr>
              <w:t>10.0</w:t>
            </w:r>
          </w:p>
        </w:tc>
        <w:tc>
          <w:tcPr>
            <w:tcW w:w="2535" w:type="dxa"/>
          </w:tcPr>
          <w:p>
            <w:pPr>
              <w:pStyle w:val="TableParagraph"/>
              <w:spacing w:before="28"/>
              <w:ind w:left="693" w:right="686"/>
              <w:jc w:val="center"/>
              <w:rPr>
                <w:sz w:val="18"/>
              </w:rPr>
            </w:pPr>
            <w:r>
              <w:rPr>
                <w:sz w:val="18"/>
                <w:u w:val="single"/>
              </w:rPr>
              <w:t>+</w:t>
            </w:r>
            <w:r>
              <w:rPr>
                <w:sz w:val="18"/>
              </w:rPr>
              <w:t> 75%</w:t>
            </w:r>
          </w:p>
        </w:tc>
      </w:tr>
      <w:tr>
        <w:trPr>
          <w:trHeight w:val="285" w:hRule="atLeast"/>
        </w:trPr>
        <w:tc>
          <w:tcPr>
            <w:tcW w:w="8797" w:type="dxa"/>
            <w:gridSpan w:val="3"/>
          </w:tcPr>
          <w:p>
            <w:pPr>
              <w:pStyle w:val="TableParagraph"/>
              <w:spacing w:before="21"/>
              <w:ind w:left="107"/>
              <w:rPr>
                <w:sz w:val="16"/>
              </w:rPr>
            </w:pPr>
            <w:r>
              <w:rPr>
                <w:position w:val="7"/>
                <w:sz w:val="10"/>
              </w:rPr>
              <w:t># </w:t>
            </w:r>
            <w:r>
              <w:rPr>
                <w:sz w:val="16"/>
              </w:rPr>
              <w:t>Represents a nominal estimate of error, equivalent to two times standard deviation, as a percentage of the mean.</w:t>
            </w:r>
          </w:p>
        </w:tc>
      </w:tr>
    </w:tbl>
    <w:p>
      <w:pPr>
        <w:pStyle w:val="BodyText"/>
        <w:spacing w:before="11"/>
        <w:rPr>
          <w:sz w:val="21"/>
        </w:rPr>
      </w:pPr>
    </w:p>
    <w:p>
      <w:pPr>
        <w:pStyle w:val="BodyText"/>
        <w:spacing w:before="91"/>
        <w:ind w:left="219" w:right="264"/>
        <w:jc w:val="both"/>
      </w:pPr>
      <w:r>
        <w:rPr>
          <w:b/>
        </w:rPr>
        <w:t>Tier 2: </w:t>
      </w:r>
      <w:r>
        <w:rPr/>
        <w:t>Tier 2 methods should include some country-specific estimates for biomass stocks and removals due to land conversion, and also include estimates of on- and off-site losses due to burning and decay following land conversion to cropland. These improvements can take the form of systematic studies of carbon content and emissions and removals associated with land uses and land-use conversions within the country and a re- examination of default assumptions in light of country-specific conditions.</w:t>
      </w:r>
    </w:p>
    <w:p>
      <w:pPr>
        <w:pStyle w:val="BodyText"/>
        <w:spacing w:before="120"/>
        <w:ind w:left="219" w:right="211"/>
        <w:jc w:val="both"/>
        <w:rPr>
          <w:i/>
        </w:rPr>
      </w:pPr>
      <w:r>
        <w:rPr/>
        <w:t>Default parameters for emissions from burning and decay are provided, however countries are encouraged to develop country-specific coefficients to improve the accuracy of estimates. The </w:t>
      </w:r>
      <w:r>
        <w:rPr>
          <w:i/>
        </w:rPr>
        <w:t>IPCC Guidelines </w:t>
      </w:r>
      <w:r>
        <w:rPr/>
        <w:t>use a general default of 0.5 for the proportion of biomass burned on-site for both forest and grassland conversions. Research studies suggest that the fraction is highly variable and could be as low as 0.2 (Fearnside 2000, Barbosa and Fearnside, 1996, and Fearnside, 1990). Updated default proportions of biomass burned on site are provided in Table 3A.13 for a range of forest vegetation classes. These defaults should be used for transitions from forest  land to cropland. For non-forest initial land uses, the default proportion of biomass left on-site and burned is 0.35. This default takes into consideration research, which suggests the fraction should fall within the range 0.2 to 0.5 (e.g. Fearnside, 2000; Barbosa and Fearnside, 1996; and Fearnside, 1990). It is </w:t>
      </w:r>
      <w:r>
        <w:rPr>
          <w:i/>
        </w:rPr>
        <w:t>good practice </w:t>
      </w:r>
      <w:r>
        <w:rPr/>
        <w:t>for countries to use 0.35, or another value within this range provided the rationale for the choice is documented. There is no default value for the amount of biomass taken off-site and burned; countries will need to develop a proportion based on national data sources. In Equation 3.3.10., the default proportion of biomass oxidized as a result of burning is 0.9, as originally stated in the </w:t>
      </w:r>
      <w:r>
        <w:rPr>
          <w:i/>
        </w:rPr>
        <w:t>IPCC</w:t>
      </w:r>
      <w:r>
        <w:rPr>
          <w:i/>
          <w:spacing w:val="-5"/>
        </w:rPr>
        <w:t> </w:t>
      </w:r>
      <w:r>
        <w:rPr>
          <w:i/>
        </w:rPr>
        <w:t>Guidelines.</w:t>
      </w:r>
    </w:p>
    <w:p>
      <w:pPr>
        <w:pStyle w:val="BodyText"/>
        <w:spacing w:before="115"/>
        <w:ind w:left="219" w:right="264"/>
        <w:jc w:val="both"/>
      </w:pPr>
      <w:r>
        <w:rPr/>
        <w:t>The method for estimating emissions from decay assumes that all biomass decays over a period of 10 years. For reporting purposes countries have two options: to report all emissions from decay in one year, recognizing that in reality they occur over a 10 year period, or report all emission from decay on an annual basis, estimating the rate as one tenth of the totals in Equation 3.3.11. If countries choose the latter option, they should add a multiplication factor of 0.10 to Equations</w:t>
      </w:r>
      <w:r>
        <w:rPr>
          <w:spacing w:val="-2"/>
        </w:rPr>
        <w:t> </w:t>
      </w:r>
      <w:r>
        <w:rPr/>
        <w:t>3.3.11.</w:t>
      </w:r>
    </w:p>
    <w:p>
      <w:pPr>
        <w:pStyle w:val="BodyText"/>
        <w:spacing w:before="120"/>
        <w:ind w:left="219" w:right="268"/>
        <w:jc w:val="both"/>
      </w:pPr>
      <w:r>
        <w:rPr>
          <w:b/>
        </w:rPr>
        <w:t>Tier 3: </w:t>
      </w:r>
      <w:r>
        <w:rPr/>
        <w:t>Under Tier 3, all parameters should be country-defined using more accurate values rather than the defaults.</w:t>
      </w:r>
    </w:p>
    <w:p>
      <w:pPr>
        <w:pStyle w:val="BodyText"/>
        <w:spacing w:before="5"/>
        <w:rPr>
          <w:sz w:val="21"/>
        </w:rPr>
      </w:pPr>
    </w:p>
    <w:p>
      <w:pPr>
        <w:pStyle w:val="Heading6"/>
        <w:numPr>
          <w:ilvl w:val="5"/>
          <w:numId w:val="65"/>
        </w:numPr>
        <w:tabs>
          <w:tab w:pos="1449" w:val="left" w:leader="none"/>
        </w:tabs>
        <w:spacing w:line="240" w:lineRule="auto" w:before="0" w:after="0"/>
        <w:ind w:left="1448" w:right="0" w:hanging="1229"/>
        <w:jc w:val="both"/>
      </w:pPr>
      <w:r>
        <w:rPr/>
        <w:t>3 </w:t>
      </w:r>
      <w:r>
        <w:rPr>
          <w:spacing w:val="16"/>
        </w:rPr>
        <w:t>Choice </w:t>
      </w:r>
      <w:r>
        <w:rPr>
          <w:spacing w:val="9"/>
        </w:rPr>
        <w:t>of </w:t>
      </w:r>
      <w:r>
        <w:rPr>
          <w:spacing w:val="16"/>
        </w:rPr>
        <w:t>Activity</w:t>
      </w:r>
      <w:r>
        <w:rPr>
          <w:spacing w:val="15"/>
        </w:rPr>
        <w:t> </w:t>
      </w:r>
      <w:r>
        <w:rPr>
          <w:spacing w:val="19"/>
        </w:rPr>
        <w:t>Data</w:t>
      </w:r>
    </w:p>
    <w:p>
      <w:pPr>
        <w:pStyle w:val="BodyText"/>
        <w:spacing w:before="54"/>
        <w:ind w:left="219" w:right="260"/>
        <w:jc w:val="both"/>
      </w:pPr>
      <w:r>
        <w:rPr/>
        <w:t>All tiers require estimates of land areas converted to cropland. The same area estimates should be used for both biomass and soil calculations on land converted to cropland. Higher tiers require greater specificity of areas. To be consistent with </w:t>
      </w:r>
      <w:r>
        <w:rPr>
          <w:i/>
        </w:rPr>
        <w:t>IPCC Guidelines</w:t>
      </w:r>
      <w:r>
        <w:rPr/>
        <w:t>, at a minimum, the area of forest and natural grassland converted to cropland should be identified separately for all tiers. This implies at least some knowledge of the land uses prior to conversion; this may require expert judgment if Approach 1 in Chapter 2 is used for land area identification.</w:t>
      </w:r>
    </w:p>
    <w:p>
      <w:pPr>
        <w:pStyle w:val="BodyText"/>
        <w:spacing w:before="119"/>
        <w:ind w:left="219" w:right="265"/>
        <w:jc w:val="both"/>
      </w:pPr>
      <w:r>
        <w:rPr>
          <w:b/>
        </w:rPr>
        <w:t>Tier 1: </w:t>
      </w:r>
      <w:r>
        <w:rPr/>
        <w:t>One type of activity data is needed for a Tier 1 approach: separate estimates of areas converted to cropland from initial land uses (i.e., forest land, grassland, settlement, etc.) to final crop type (i.e., annual or perennial) (A</w:t>
      </w:r>
      <w:r>
        <w:rPr>
          <w:vertAlign w:val="subscript"/>
        </w:rPr>
        <w:t>conversion</w:t>
      </w:r>
      <w:r>
        <w:rPr>
          <w:vertAlign w:val="baseline"/>
        </w:rPr>
        <w:t>). For example, countries should estimate separately the area of tropical moist forest converted to annual cropland, tropical moist forest converted to perennial cropland, tropical moist grassland converted to perennial cropland, etc. The methodology assumes that area estimates are based on a one-year time frame. If area estimates are assessed over longer time frames, they should be converted to average annual areas to match the default carbon stock values provided above. If countries do not have these data, partial samples may be extrapolated to the entire land base or historic estimates of conversions may be extrapolated over time based on</w:t>
      </w:r>
      <w:r>
        <w:rPr>
          <w:spacing w:val="13"/>
          <w:vertAlign w:val="baseline"/>
        </w:rPr>
        <w:t> </w:t>
      </w:r>
      <w:r>
        <w:rPr>
          <w:vertAlign w:val="baseline"/>
        </w:rPr>
        <w:t>the</w:t>
      </w:r>
      <w:r>
        <w:rPr>
          <w:spacing w:val="15"/>
          <w:vertAlign w:val="baseline"/>
        </w:rPr>
        <w:t> </w:t>
      </w:r>
      <w:r>
        <w:rPr>
          <w:vertAlign w:val="baseline"/>
        </w:rPr>
        <w:t>judgement</w:t>
      </w:r>
      <w:r>
        <w:rPr>
          <w:spacing w:val="15"/>
          <w:vertAlign w:val="baseline"/>
        </w:rPr>
        <w:t> </w:t>
      </w:r>
      <w:r>
        <w:rPr>
          <w:vertAlign w:val="baseline"/>
        </w:rPr>
        <w:t>of</w:t>
      </w:r>
      <w:r>
        <w:rPr>
          <w:spacing w:val="12"/>
          <w:vertAlign w:val="baseline"/>
        </w:rPr>
        <w:t> </w:t>
      </w:r>
      <w:r>
        <w:rPr>
          <w:vertAlign w:val="baseline"/>
        </w:rPr>
        <w:t>country</w:t>
      </w:r>
      <w:r>
        <w:rPr>
          <w:spacing w:val="11"/>
          <w:vertAlign w:val="baseline"/>
        </w:rPr>
        <w:t> </w:t>
      </w:r>
      <w:r>
        <w:rPr>
          <w:vertAlign w:val="baseline"/>
        </w:rPr>
        <w:t>experts.</w:t>
      </w:r>
      <w:r>
        <w:rPr>
          <w:spacing w:val="15"/>
          <w:vertAlign w:val="baseline"/>
        </w:rPr>
        <w:t> </w:t>
      </w:r>
      <w:r>
        <w:rPr>
          <w:vertAlign w:val="baseline"/>
        </w:rPr>
        <w:t>Under</w:t>
      </w:r>
      <w:r>
        <w:rPr>
          <w:spacing w:val="15"/>
          <w:vertAlign w:val="baseline"/>
        </w:rPr>
        <w:t> </w:t>
      </w:r>
      <w:r>
        <w:rPr>
          <w:vertAlign w:val="baseline"/>
        </w:rPr>
        <w:t>Tier</w:t>
      </w:r>
      <w:r>
        <w:rPr>
          <w:spacing w:val="12"/>
          <w:vertAlign w:val="baseline"/>
        </w:rPr>
        <w:t> </w:t>
      </w:r>
      <w:r>
        <w:rPr>
          <w:vertAlign w:val="baseline"/>
        </w:rPr>
        <w:t>1</w:t>
      </w:r>
      <w:r>
        <w:rPr>
          <w:spacing w:val="14"/>
          <w:vertAlign w:val="baseline"/>
        </w:rPr>
        <w:t> </w:t>
      </w:r>
      <w:r>
        <w:rPr>
          <w:vertAlign w:val="baseline"/>
        </w:rPr>
        <w:t>calculations,</w:t>
      </w:r>
      <w:r>
        <w:rPr>
          <w:spacing w:val="15"/>
          <w:vertAlign w:val="baseline"/>
        </w:rPr>
        <w:t> </w:t>
      </w:r>
      <w:r>
        <w:rPr>
          <w:vertAlign w:val="baseline"/>
        </w:rPr>
        <w:t>international</w:t>
      </w:r>
      <w:r>
        <w:rPr>
          <w:spacing w:val="15"/>
          <w:vertAlign w:val="baseline"/>
        </w:rPr>
        <w:t> </w:t>
      </w:r>
      <w:r>
        <w:rPr>
          <w:vertAlign w:val="baseline"/>
        </w:rPr>
        <w:t>statistics</w:t>
      </w:r>
      <w:r>
        <w:rPr>
          <w:spacing w:val="14"/>
          <w:vertAlign w:val="baseline"/>
        </w:rPr>
        <w:t> </w:t>
      </w:r>
      <w:r>
        <w:rPr>
          <w:vertAlign w:val="baseline"/>
        </w:rPr>
        <w:t>such</w:t>
      </w:r>
      <w:r>
        <w:rPr>
          <w:spacing w:val="14"/>
          <w:vertAlign w:val="baseline"/>
        </w:rPr>
        <w:t> </w:t>
      </w:r>
      <w:r>
        <w:rPr>
          <w:vertAlign w:val="baseline"/>
        </w:rPr>
        <w:t>as</w:t>
      </w:r>
      <w:r>
        <w:rPr>
          <w:spacing w:val="15"/>
          <w:vertAlign w:val="baseline"/>
        </w:rPr>
        <w:t> </w:t>
      </w:r>
      <w:r>
        <w:rPr>
          <w:vertAlign w:val="baseline"/>
        </w:rPr>
        <w:t>FAO</w:t>
      </w:r>
      <w:r>
        <w:rPr>
          <w:spacing w:val="14"/>
          <w:vertAlign w:val="baseline"/>
        </w:rPr>
        <w:t> </w:t>
      </w:r>
      <w:r>
        <w:rPr>
          <w:vertAlign w:val="baseline"/>
        </w:rPr>
        <w:t>databases,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3"/>
        <w:jc w:val="both"/>
      </w:pPr>
      <w:r>
        <w:rPr>
          <w:i/>
        </w:rPr>
        <w:t>IPCC Guidelines </w:t>
      </w:r>
      <w:r>
        <w:rPr/>
        <w:t>and other sources, supplemented with sound assumptions, can be used to estimate the area of land converted to cropland from each initial land use. For higher tier calculations, country-specific data sources are used to estimate all possible transitions from initial land use to final crop type.</w:t>
      </w:r>
    </w:p>
    <w:p>
      <w:pPr>
        <w:pStyle w:val="BodyText"/>
        <w:spacing w:before="121"/>
        <w:ind w:left="219" w:right="264"/>
        <w:jc w:val="both"/>
      </w:pPr>
      <w:r>
        <w:rPr>
          <w:b/>
        </w:rPr>
        <w:t>Tier 2: </w:t>
      </w:r>
      <w:r>
        <w:rPr/>
        <w:t>Countries should strive to use actual area estimates for all possible transitions from initial land use to final crop type. Full coverage of land areas can be accomplished either though analysis of periodic remotely sensed images of land use and land cover patterns, through periodic ground-based sampling of land use patterns, or hybrid inventory systems. If finer resolution country-specific data are partially available, countries are encouraged to use sound assumptions from best available knowledge to extrapolate to the entire land base. Historic estimates of conversions may be extrapolated over time based on the judgment of country</w:t>
      </w:r>
      <w:r>
        <w:rPr>
          <w:spacing w:val="-34"/>
        </w:rPr>
        <w:t> </w:t>
      </w:r>
      <w:r>
        <w:rPr/>
        <w:t>experts.</w:t>
      </w:r>
    </w:p>
    <w:p>
      <w:pPr>
        <w:pStyle w:val="BodyText"/>
        <w:spacing w:before="118"/>
        <w:ind w:left="219" w:right="263"/>
        <w:jc w:val="both"/>
      </w:pPr>
      <w:r>
        <w:rPr>
          <w:b/>
        </w:rPr>
        <w:t>Tier 3: </w:t>
      </w:r>
      <w:r>
        <w:rPr/>
        <w:t>Activity data used in Tier 3 calculations should be a full accounting of all land use transitions to  cropland and be disaggregated to account for different conditions within a country. Disaggregation can occur along political (county, province, etc.), biome, climate, or on a combination of these parameters. In many cases countries may have information on multi-year trends in land conversion (from periodic sample-based or  remotely sensed inventories of land use and land cover).</w:t>
      </w:r>
    </w:p>
    <w:p>
      <w:pPr>
        <w:pStyle w:val="BodyText"/>
        <w:spacing w:before="3"/>
        <w:rPr>
          <w:sz w:val="21"/>
        </w:rPr>
      </w:pPr>
    </w:p>
    <w:p>
      <w:pPr>
        <w:pStyle w:val="Heading6"/>
        <w:spacing w:before="1"/>
        <w:ind w:left="219"/>
        <w:jc w:val="both"/>
      </w:pPr>
      <w:r>
        <w:rPr/>
        <w:t>3.3.2.1 .1.4 . Uncertainty Assessment</w:t>
      </w:r>
    </w:p>
    <w:p>
      <w:pPr>
        <w:pStyle w:val="BodyText"/>
        <w:spacing w:before="53"/>
        <w:ind w:left="219" w:right="263"/>
        <w:jc w:val="both"/>
      </w:pPr>
      <w:r>
        <w:rPr>
          <w:b/>
        </w:rPr>
        <w:t>Tier 1: </w:t>
      </w:r>
      <w:r>
        <w:rPr/>
        <w:t>The sources of uncertainty in this method are from the use of global or national average rates of conversion and coarse estimates of land areas converted to cropland. In addition, reliance on default parameters for carbon stocks in initial and final conditions contributes to relatively high degrees of uncertainty. The default values in this method have corresponding error ranges associated with them. A published compilation  of research on carbon stocks in agroforestry systems was used to derive the default data provided in Section 3.3.2.1.1.2 (Schroeder, 1994). While defaults were derived from multiple studies, their associated uncertainty ranges were not included in the publication. Therefore, a default uncertainty level of +/- 75% of the carbon stock has been assumed based on expert</w:t>
      </w:r>
      <w:r>
        <w:rPr>
          <w:spacing w:val="-3"/>
        </w:rPr>
        <w:t> </w:t>
      </w:r>
      <w:r>
        <w:rPr/>
        <w:t>judgement.</w:t>
      </w:r>
    </w:p>
    <w:p>
      <w:pPr>
        <w:pStyle w:val="BodyText"/>
        <w:spacing w:before="119"/>
        <w:ind w:left="219" w:right="266"/>
        <w:jc w:val="both"/>
      </w:pPr>
      <w:r>
        <w:rPr>
          <w:b/>
        </w:rPr>
        <w:t>Tier 2: </w:t>
      </w:r>
      <w:r>
        <w:rPr/>
        <w:t>Actual area estimates for different land use transitions will enable more transparent accounting and  allow experts to identify gaps and double counting of land areas. The Tier 2 method uses at least some country- defined defaults, which will improve the accuracy of estimates, because they better represent conditions relevant to the country. Use of country-specific values should entail sufficient sample sizes and or use of expert judgment to estimate uncertainties, which, together with uncertainty estimates on activity data derived using the advice in Chapter 2 should be used in the approaches to uncertainty analysis described in Chapter 5 of this</w:t>
      </w:r>
      <w:r>
        <w:rPr>
          <w:spacing w:val="-25"/>
        </w:rPr>
        <w:t> </w:t>
      </w:r>
      <w:r>
        <w:rPr/>
        <w:t>report.</w:t>
      </w:r>
    </w:p>
    <w:p>
      <w:pPr>
        <w:pStyle w:val="BodyText"/>
        <w:spacing w:before="120"/>
        <w:ind w:left="219" w:right="264"/>
        <w:jc w:val="both"/>
      </w:pPr>
      <w:r>
        <w:rPr>
          <w:b/>
        </w:rPr>
        <w:t>Tier 3: </w:t>
      </w:r>
      <w:r>
        <w:rPr/>
        <w:t>Activity data from a land use and management inventory system should provide a basis to assign estimates of uncertainty to areas associated with land-use changes. Combining emission and activity data and their associated uncertainties can be done using Monte-Carlo procedures to estimate means and confidence intervals for the overall inventory.</w:t>
      </w:r>
    </w:p>
    <w:p>
      <w:pPr>
        <w:pStyle w:val="BodyText"/>
        <w:spacing w:before="1"/>
        <w:rPr>
          <w:sz w:val="19"/>
        </w:rPr>
      </w:pPr>
    </w:p>
    <w:p>
      <w:pPr>
        <w:pStyle w:val="Heading6"/>
        <w:numPr>
          <w:ilvl w:val="3"/>
          <w:numId w:val="66"/>
        </w:numPr>
        <w:tabs>
          <w:tab w:pos="1660" w:val="left" w:leader="none"/>
        </w:tabs>
        <w:spacing w:line="240" w:lineRule="auto" w:before="0" w:after="0"/>
        <w:ind w:left="1659" w:right="0" w:hanging="1440"/>
        <w:jc w:val="both"/>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SOILS</w:t>
      </w:r>
    </w:p>
    <w:p>
      <w:pPr>
        <w:pStyle w:val="ListParagraph"/>
        <w:numPr>
          <w:ilvl w:val="4"/>
          <w:numId w:val="66"/>
        </w:numPr>
        <w:tabs>
          <w:tab w:pos="1243" w:val="left" w:leader="none"/>
        </w:tabs>
        <w:spacing w:line="240" w:lineRule="auto" w:before="214" w:after="0"/>
        <w:ind w:left="1242" w:right="0" w:hanging="1023"/>
        <w:jc w:val="both"/>
        <w:rPr>
          <w:b/>
          <w:sz w:val="22"/>
        </w:rPr>
      </w:pPr>
      <w:r>
        <w:rPr>
          <w:b/>
          <w:sz w:val="22"/>
        </w:rPr>
        <w:t>1 </w:t>
      </w:r>
      <w:r>
        <w:rPr>
          <w:b/>
          <w:spacing w:val="17"/>
          <w:sz w:val="22"/>
        </w:rPr>
        <w:t>METHODOLOGICAL</w:t>
      </w:r>
      <w:r>
        <w:rPr>
          <w:b/>
          <w:spacing w:val="23"/>
          <w:sz w:val="22"/>
        </w:rPr>
        <w:t> </w:t>
      </w:r>
      <w:r>
        <w:rPr>
          <w:b/>
          <w:spacing w:val="16"/>
          <w:sz w:val="22"/>
        </w:rPr>
        <w:t>ISSUES</w:t>
      </w:r>
    </w:p>
    <w:p>
      <w:pPr>
        <w:pStyle w:val="BodyText"/>
        <w:spacing w:before="116"/>
        <w:ind w:left="219" w:right="264"/>
        <w:jc w:val="both"/>
      </w:pPr>
      <w:r>
        <w:rPr/>
        <w:t>Land conversion to cropland can occur from unmanaged land, including native, relatively undisturbed ecosystems (e.g. forest land, grassland, savanna, wetland) and from land managed for other uses (e.g. managed forest, managed grazing land). The more intensive management entailed in cropland use (i.e. high removal of harvested biomass, often frequent soil disturbance by tillage) will usually result in losses of C in soil organic matter and dead organic matter (surface litter and coarse woody debris). Any litter and dead wood pools (estimated using the methods described in Section 3.2.2.2) should be assumed oxidized following land conversion and changes in soil organic matter C stocks should be estimated as described</w:t>
      </w:r>
      <w:r>
        <w:rPr>
          <w:spacing w:val="-14"/>
        </w:rPr>
        <w:t> </w:t>
      </w:r>
      <w:r>
        <w:rPr/>
        <w:t>below.</w:t>
      </w:r>
    </w:p>
    <w:p>
      <w:pPr>
        <w:pStyle w:val="BodyText"/>
        <w:spacing w:before="119"/>
        <w:ind w:left="219"/>
        <w:jc w:val="both"/>
      </w:pPr>
      <w:r>
        <w:rPr/>
        <w:t>The total change in carbon stocks in soils on Lands Converted to Cropland is shown in Equation 3.3.12 below:</w:t>
      </w:r>
    </w:p>
    <w:p>
      <w:pPr>
        <w:pStyle w:val="BodyText"/>
        <w:spacing w:before="1"/>
        <w:rPr>
          <w:sz w:val="11"/>
        </w:rPr>
      </w:pPr>
      <w:r>
        <w:rPr/>
        <w:pict>
          <v:shape style="position:absolute;margin-left:91.960999pt;margin-top:9.111386pt;width:411.5pt;height:52.95pt;mso-position-horizontal-relative:page;mso-position-vertical-relative:paragraph;z-index:8456;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3.3.12</w:t>
                  </w:r>
                </w:p>
                <w:p>
                  <w:pPr>
                    <w:spacing w:line="229" w:lineRule="exact" w:before="0"/>
                    <w:ind w:left="68" w:right="68" w:firstLine="0"/>
                    <w:jc w:val="center"/>
                    <w:rPr>
                      <w:b/>
                      <w:sz w:val="16"/>
                    </w:rPr>
                  </w:pPr>
                  <w:r>
                    <w:rPr>
                      <w:b/>
                      <w:sz w:val="20"/>
                    </w:rPr>
                    <w:t>A</w:t>
                  </w:r>
                  <w:r>
                    <w:rPr>
                      <w:b/>
                      <w:sz w:val="16"/>
                    </w:rPr>
                    <w:t>NNUAL CHANGE IN CARBON STOCKS IN SOILS IN LAND CONVERTED TO CROPLAND</w:t>
                  </w:r>
                </w:p>
                <w:p>
                  <w:pPr>
                    <w:spacing w:before="80"/>
                    <w:ind w:left="68" w:right="68" w:firstLine="0"/>
                    <w:jc w:val="center"/>
                    <w:rPr>
                      <w:sz w:val="13"/>
                    </w:rPr>
                  </w:pPr>
                  <w:r>
                    <w:rPr>
                      <w:position w:val="9"/>
                      <w:sz w:val="20"/>
                    </w:rPr>
                    <w:t>∆C</w:t>
                  </w:r>
                  <w:r>
                    <w:rPr>
                      <w:position w:val="6"/>
                      <w:sz w:val="13"/>
                    </w:rPr>
                    <w:t>LC</w:t>
                  </w:r>
                  <w:r>
                    <w:rPr>
                      <w:sz w:val="13"/>
                    </w:rPr>
                    <w:t>Soils </w:t>
                  </w:r>
                  <w:r>
                    <w:rPr>
                      <w:position w:val="9"/>
                      <w:sz w:val="20"/>
                    </w:rPr>
                    <w:t>= ∆C</w:t>
                  </w:r>
                  <w:r>
                    <w:rPr>
                      <w:position w:val="6"/>
                      <w:sz w:val="13"/>
                    </w:rPr>
                    <w:t>LC</w:t>
                  </w:r>
                  <w:r>
                    <w:rPr>
                      <w:sz w:val="13"/>
                    </w:rPr>
                    <w:t>Mineral </w:t>
                  </w:r>
                  <w:r>
                    <w:rPr>
                      <w:position w:val="9"/>
                      <w:sz w:val="20"/>
                    </w:rPr>
                    <w:t>– ∆C</w:t>
                  </w:r>
                  <w:r>
                    <w:rPr>
                      <w:position w:val="6"/>
                      <w:sz w:val="13"/>
                    </w:rPr>
                    <w:t>LC</w:t>
                  </w:r>
                  <w:r>
                    <w:rPr>
                      <w:sz w:val="13"/>
                    </w:rPr>
                    <w:t>Organic </w:t>
                  </w:r>
                  <w:r>
                    <w:rPr>
                      <w:position w:val="9"/>
                      <w:sz w:val="20"/>
                    </w:rPr>
                    <w:t>– ∆C</w:t>
                  </w:r>
                  <w:r>
                    <w:rPr>
                      <w:position w:val="6"/>
                      <w:sz w:val="13"/>
                    </w:rPr>
                    <w:t>LC</w:t>
                  </w:r>
                  <w:r>
                    <w:rPr>
                      <w:sz w:val="13"/>
                    </w:rPr>
                    <w:t>Liming</w:t>
                  </w:r>
                </w:p>
              </w:txbxContent>
            </v:textbox>
            <v:stroke dashstyle="solid"/>
            <w10:wrap type="topAndBottom"/>
          </v:shape>
        </w:pict>
      </w:r>
    </w:p>
    <w:p>
      <w:pPr>
        <w:pStyle w:val="BodyText"/>
        <w:spacing w:before="4"/>
        <w:ind w:left="219"/>
      </w:pPr>
      <w:r>
        <w:rPr/>
        <w:t>Where:</w:t>
      </w:r>
    </w:p>
    <w:p>
      <w:pPr>
        <w:pStyle w:val="BodyText"/>
        <w:spacing w:before="121"/>
        <w:ind w:left="785"/>
      </w:pPr>
      <w:r>
        <w:rPr/>
        <w:t>∆C</w:t>
      </w:r>
      <w:r>
        <w:rPr>
          <w:vertAlign w:val="subscript"/>
        </w:rPr>
        <w:t>LC</w:t>
      </w:r>
      <w:r>
        <w:rPr>
          <w:position w:val="-8"/>
          <w:sz w:val="13"/>
          <w:vertAlign w:val="baseline"/>
        </w:rPr>
        <w:t>Soils </w:t>
      </w:r>
      <w:r>
        <w:rPr>
          <w:vertAlign w:val="baseline"/>
        </w:rPr>
        <w:t>= annual change in carbon stocks in soils in land converted to cropland, tonnes C yr</w:t>
      </w:r>
      <w:r>
        <w:rPr>
          <w:vertAlign w:val="superscript"/>
        </w:rPr>
        <w:t>-1</w:t>
      </w:r>
    </w:p>
    <w:p>
      <w:pPr>
        <w:pStyle w:val="BodyText"/>
        <w:spacing w:before="80"/>
        <w:ind w:left="785"/>
      </w:pPr>
      <w:r>
        <w:rPr/>
        <w:t>∆C</w:t>
      </w:r>
      <w:r>
        <w:rPr>
          <w:vertAlign w:val="subscript"/>
        </w:rPr>
        <w:t>LC</w:t>
      </w:r>
      <w:r>
        <w:rPr>
          <w:position w:val="-8"/>
          <w:sz w:val="13"/>
          <w:vertAlign w:val="baseline"/>
        </w:rPr>
        <w:t>Mineral </w:t>
      </w:r>
      <w:r>
        <w:rPr>
          <w:position w:val="9"/>
          <w:sz w:val="13"/>
          <w:vertAlign w:val="baseline"/>
        </w:rPr>
        <w:t>= </w:t>
      </w:r>
      <w:r>
        <w:rPr>
          <w:vertAlign w:val="baseline"/>
        </w:rPr>
        <w:t>change in carbon stocks in mineral soils in land converted to cropland, tonnes C yr</w:t>
      </w:r>
      <w:r>
        <w:rPr>
          <w:vertAlign w:val="superscript"/>
        </w:rPr>
        <w:t>-1</w:t>
      </w:r>
    </w:p>
    <w:p>
      <w:pPr>
        <w:spacing w:after="0"/>
        <w:sectPr>
          <w:pgSz w:w="11900" w:h="16840"/>
          <w:pgMar w:header="230" w:footer="408" w:top="560" w:bottom="600" w:left="1200" w:right="1140"/>
        </w:sectPr>
      </w:pPr>
    </w:p>
    <w:p>
      <w:pPr>
        <w:pStyle w:val="BodyText"/>
      </w:pPr>
    </w:p>
    <w:p>
      <w:pPr>
        <w:pStyle w:val="BodyText"/>
        <w:spacing w:line="228" w:lineRule="auto" w:before="215"/>
        <w:ind w:left="1920" w:right="354" w:hanging="1136"/>
      </w:pPr>
      <w:r>
        <w:rPr/>
        <w:t>∆C</w:t>
      </w:r>
      <w:r>
        <w:rPr>
          <w:vertAlign w:val="subscript"/>
        </w:rPr>
        <w:t>LC</w:t>
      </w:r>
      <w:r>
        <w:rPr>
          <w:position w:val="-8"/>
          <w:sz w:val="13"/>
          <w:vertAlign w:val="baseline"/>
        </w:rPr>
        <w:t>Organic </w:t>
      </w:r>
      <w:r>
        <w:rPr>
          <w:vertAlign w:val="baseline"/>
        </w:rPr>
        <w:t>= annual C emissions from cultivated organic soils converted to cropland (estimated as net annual flux), tonnes C yr</w:t>
      </w:r>
      <w:r>
        <w:rPr>
          <w:vertAlign w:val="superscript"/>
        </w:rPr>
        <w:t>-1</w:t>
      </w:r>
    </w:p>
    <w:p>
      <w:pPr>
        <w:pStyle w:val="BodyText"/>
        <w:spacing w:line="228" w:lineRule="auto" w:before="129"/>
        <w:ind w:left="1863" w:right="354" w:hanging="1078"/>
      </w:pPr>
      <w:r>
        <w:rPr/>
        <w:t>∆C</w:t>
      </w:r>
      <w:r>
        <w:rPr>
          <w:vertAlign w:val="subscript"/>
        </w:rPr>
        <w:t>LC</w:t>
      </w:r>
      <w:r>
        <w:rPr>
          <w:position w:val="-8"/>
          <w:sz w:val="13"/>
          <w:vertAlign w:val="baseline"/>
        </w:rPr>
        <w:t>Liming </w:t>
      </w:r>
      <w:r>
        <w:rPr>
          <w:vertAlign w:val="baseline"/>
        </w:rPr>
        <w:t>= annual C emissions from agricultural lime application on land converted to cropland, tonnes C yr</w:t>
      </w:r>
      <w:r>
        <w:rPr>
          <w:vertAlign w:val="superscript"/>
        </w:rPr>
        <w:t>-1</w:t>
      </w:r>
    </w:p>
    <w:p>
      <w:pPr>
        <w:pStyle w:val="BodyText"/>
        <w:spacing w:before="123"/>
        <w:ind w:left="219" w:right="265"/>
        <w:jc w:val="both"/>
      </w:pPr>
      <w:r>
        <w:rPr/>
        <w:t>Criteria for selecting the most suitable estimation method are similar to that outlined for permanent cropland soils. Key factors include type of land conversion and the longevity of the conversion, and availability of suitable country-specific information to estimate reference soil C stocks and stock change and emission factors.</w:t>
      </w:r>
    </w:p>
    <w:p>
      <w:pPr>
        <w:pStyle w:val="BodyText"/>
        <w:spacing w:before="119"/>
        <w:ind w:left="219" w:right="266"/>
        <w:jc w:val="both"/>
      </w:pPr>
      <w:r>
        <w:rPr/>
        <w:t>All countries should strive for improving inventory and reporting approaches by advancing to the highest tier possible given national circumstances. It is </w:t>
      </w:r>
      <w:r>
        <w:rPr>
          <w:i/>
        </w:rPr>
        <w:t>good practice </w:t>
      </w:r>
      <w:r>
        <w:rPr/>
        <w:t>for countries to use a Tier 2 or Tier 3 approach if carbon emissions and removals in land converted to cropland is a key category and if the subcategory of soil organic matter is considered significant based on principles outlined in Chapter 5. Countries should use the decision tree in Figure 3.1.2 to help with the choice of method.</w:t>
      </w:r>
    </w:p>
    <w:p>
      <w:pPr>
        <w:pStyle w:val="BodyText"/>
        <w:spacing w:before="3"/>
        <w:rPr>
          <w:sz w:val="21"/>
        </w:rPr>
      </w:pPr>
    </w:p>
    <w:p>
      <w:pPr>
        <w:pStyle w:val="Heading6"/>
        <w:numPr>
          <w:ilvl w:val="5"/>
          <w:numId w:val="66"/>
        </w:numPr>
        <w:tabs>
          <w:tab w:pos="1449" w:val="left" w:leader="none"/>
        </w:tabs>
        <w:spacing w:line="240" w:lineRule="auto" w:before="0" w:after="0"/>
        <w:ind w:left="1448" w:right="0" w:hanging="1229"/>
        <w:jc w:val="left"/>
      </w:pPr>
      <w:r>
        <w:rPr/>
        <w:t>1 </w:t>
      </w:r>
      <w:r>
        <w:rPr>
          <w:spacing w:val="16"/>
        </w:rPr>
        <w:t>Choice </w:t>
      </w:r>
      <w:r>
        <w:rPr>
          <w:spacing w:val="9"/>
        </w:rPr>
        <w:t>of</w:t>
      </w:r>
      <w:r>
        <w:rPr>
          <w:spacing w:val="-22"/>
        </w:rPr>
        <w:t> </w:t>
      </w:r>
      <w:r>
        <w:rPr>
          <w:spacing w:val="19"/>
        </w:rPr>
        <w:t>Method</w:t>
      </w:r>
    </w:p>
    <w:p>
      <w:pPr>
        <w:pStyle w:val="Heading7"/>
        <w:spacing w:line="251" w:lineRule="exact" w:before="179"/>
        <w:jc w:val="left"/>
      </w:pPr>
      <w:r>
        <w:rPr/>
        <w:t>Mineral Soils </w:t>
      </w:r>
    </w:p>
    <w:p>
      <w:pPr>
        <w:pStyle w:val="BodyText"/>
        <w:ind w:left="219" w:right="264"/>
        <w:jc w:val="both"/>
      </w:pPr>
      <w:r>
        <w:rPr/>
        <w:t>The Tier 1 method is based on the </w:t>
      </w:r>
      <w:r>
        <w:rPr>
          <w:i/>
        </w:rPr>
        <w:t>IPCC Guidelines </w:t>
      </w:r>
      <w:r>
        <w:rPr/>
        <w:t>(CO</w:t>
      </w:r>
      <w:r>
        <w:rPr>
          <w:vertAlign w:val="subscript"/>
        </w:rPr>
        <w:t>2</w:t>
      </w:r>
      <w:r>
        <w:rPr>
          <w:vertAlign w:val="baseline"/>
        </w:rPr>
        <w:t> Emissions and Uptake by Soils from Land-Use and Management, Section 5.3), using Equation 3.3.3, following land conversion. Tier 1 methods rely on default values for reference C stocks and stock change factors and relatively aggregated data on the location and rates of land-use conversion.</w:t>
      </w:r>
    </w:p>
    <w:p>
      <w:pPr>
        <w:pStyle w:val="BodyText"/>
        <w:spacing w:line="237" w:lineRule="auto" w:before="120"/>
        <w:ind w:left="219" w:right="264"/>
        <w:jc w:val="both"/>
      </w:pPr>
      <w:r>
        <w:rPr/>
        <w:t>For Tier 1, the initial (pre-conversion) soil C stock (SOC</w:t>
      </w:r>
      <w:r>
        <w:rPr>
          <w:vertAlign w:val="subscript"/>
        </w:rPr>
        <w:t>(0-T)</w:t>
      </w:r>
      <w:r>
        <w:rPr>
          <w:vertAlign w:val="baseline"/>
        </w:rPr>
        <w:t>) is determined from the same reference soil C stocks (SOC</w:t>
      </w:r>
      <w:r>
        <w:rPr>
          <w:vertAlign w:val="subscript"/>
        </w:rPr>
        <w:t>R</w:t>
      </w:r>
      <w:r>
        <w:rPr>
          <w:position w:val="-2"/>
          <w:sz w:val="10"/>
          <w:vertAlign w:val="baseline"/>
        </w:rPr>
        <w:t>EF</w:t>
      </w:r>
      <w:r>
        <w:rPr>
          <w:vertAlign w:val="baseline"/>
        </w:rPr>
        <w:t>) used for all land uses (Table 3.3.3), together with stock change factors (F</w:t>
      </w:r>
      <w:r>
        <w:rPr>
          <w:vertAlign w:val="subscript"/>
        </w:rPr>
        <w:t>LU</w:t>
      </w:r>
      <w:r>
        <w:rPr>
          <w:vertAlign w:val="baseline"/>
        </w:rPr>
        <w:t>, F</w:t>
      </w:r>
      <w:r>
        <w:rPr>
          <w:vertAlign w:val="subscript"/>
        </w:rPr>
        <w:t>MG</w:t>
      </w:r>
      <w:r>
        <w:rPr>
          <w:vertAlign w:val="baseline"/>
        </w:rPr>
        <w:t>, F</w:t>
      </w:r>
      <w:r>
        <w:rPr>
          <w:vertAlign w:val="subscript"/>
        </w:rPr>
        <w:t>I</w:t>
      </w:r>
      <w:r>
        <w:rPr>
          <w:vertAlign w:val="baseline"/>
        </w:rPr>
        <w:t>) appropriate for the previous land use as shown in Table 3.3.9 (also see Sections 3.2.1.3 (Forest soils) and 3.4.1.2 (Grassland soils)). For unmanaged land, as well as for managed forest and grazing land with low disturbance regimes, soil C stocks are assumed equal to the reference values (i.e. land use, management and input factors equal 1). Current (SOC</w:t>
      </w:r>
      <w:r>
        <w:rPr>
          <w:vertAlign w:val="subscript"/>
        </w:rPr>
        <w:t>0</w:t>
      </w:r>
      <w:r>
        <w:rPr>
          <w:vertAlign w:val="baseline"/>
        </w:rPr>
        <w:t>) soil C stocks on land converted to cropland are estimated exactly as for permanent cropland, i.e., using the reference carbon stocks (Table 3.3.3) and stock change factors (Table 3.3.9). Thus, annual rates of emissions (source) or removals (sink) are calculated as the difference in stocks (over time) divided by the inventory time period (default is 20</w:t>
      </w:r>
      <w:r>
        <w:rPr>
          <w:spacing w:val="2"/>
          <w:vertAlign w:val="baseline"/>
        </w:rPr>
        <w:t> </w:t>
      </w:r>
      <w:r>
        <w:rPr>
          <w:vertAlign w:val="baseline"/>
        </w:rPr>
        <w:t>years).</w:t>
      </w:r>
    </w:p>
    <w:p>
      <w:pPr>
        <w:pStyle w:val="BodyText"/>
        <w:spacing w:before="127"/>
        <w:ind w:left="219" w:right="262"/>
        <w:jc w:val="both"/>
      </w:pPr>
      <w:r>
        <w:rPr/>
        <w:t>The calculation steps for determining SOC</w:t>
      </w:r>
      <w:r>
        <w:rPr>
          <w:vertAlign w:val="subscript"/>
        </w:rPr>
        <w:t>0</w:t>
      </w:r>
      <w:r>
        <w:rPr>
          <w:vertAlign w:val="baseline"/>
        </w:rPr>
        <w:t> and SOC</w:t>
      </w:r>
      <w:r>
        <w:rPr>
          <w:vertAlign w:val="subscript"/>
        </w:rPr>
        <w:t>(0-T)</w:t>
      </w:r>
      <w:r>
        <w:rPr>
          <w:vertAlign w:val="baseline"/>
        </w:rPr>
        <w:t> and net soil C stock change per ha of land area are as follows:</w:t>
      </w:r>
    </w:p>
    <w:p>
      <w:pPr>
        <w:pStyle w:val="BodyText"/>
        <w:spacing w:line="232" w:lineRule="auto" w:before="126"/>
        <w:ind w:left="898" w:right="354" w:hanging="680"/>
      </w:pPr>
      <w:r>
        <w:rPr>
          <w:b/>
        </w:rPr>
        <w:t>Step 1: </w:t>
      </w:r>
      <w:r>
        <w:rPr/>
        <w:t>Select the reference carbon stock value (SOC</w:t>
      </w:r>
      <w:r>
        <w:rPr>
          <w:position w:val="-2"/>
          <w:sz w:val="10"/>
        </w:rPr>
        <w:t>REF</w:t>
      </w:r>
      <w:r>
        <w:rPr/>
        <w:t>), based on climate and soil type, for each area of land being inventoried.</w:t>
      </w:r>
    </w:p>
    <w:p>
      <w:pPr>
        <w:pStyle w:val="BodyText"/>
        <w:spacing w:before="118"/>
        <w:ind w:left="898" w:right="491" w:hanging="680"/>
      </w:pPr>
      <w:r>
        <w:rPr>
          <w:b/>
        </w:rPr>
        <w:t>Step 2: </w:t>
      </w:r>
      <w:r>
        <w:rPr/>
        <w:t>Calculate the pre-conversion C stock (SOC</w:t>
      </w:r>
      <w:r>
        <w:rPr>
          <w:vertAlign w:val="subscript"/>
        </w:rPr>
        <w:t>(0-T)</w:t>
      </w:r>
      <w:r>
        <w:rPr>
          <w:vertAlign w:val="baseline"/>
        </w:rPr>
        <w:t>) of land being converted into cropland, based on the reference carbon stock and previous land use and management, which determine land use (F</w:t>
      </w:r>
      <w:r>
        <w:rPr>
          <w:vertAlign w:val="subscript"/>
        </w:rPr>
        <w:t>LU</w:t>
      </w:r>
      <w:r>
        <w:rPr>
          <w:vertAlign w:val="baseline"/>
        </w:rPr>
        <w:t>), management (F</w:t>
      </w:r>
      <w:r>
        <w:rPr>
          <w:vertAlign w:val="subscript"/>
        </w:rPr>
        <w:t>MG</w:t>
      </w:r>
      <w:r>
        <w:rPr>
          <w:vertAlign w:val="baseline"/>
        </w:rPr>
        <w:t>) and input (F</w:t>
      </w:r>
      <w:r>
        <w:rPr>
          <w:vertAlign w:val="subscript"/>
        </w:rPr>
        <w:t>I</w:t>
      </w:r>
      <w:r>
        <w:rPr>
          <w:vertAlign w:val="baseline"/>
        </w:rPr>
        <w:t> ) factors. Note that where the land being converted is forest or native grassland, the pre-conversion stocks will be equal to the native soil carbon reference stocks.</w:t>
      </w:r>
    </w:p>
    <w:p>
      <w:pPr>
        <w:pStyle w:val="BodyText"/>
        <w:spacing w:line="232" w:lineRule="auto" w:before="127"/>
        <w:ind w:left="898" w:right="354" w:hanging="680"/>
      </w:pPr>
      <w:r>
        <w:rPr>
          <w:b/>
        </w:rPr>
        <w:t>Step 3: </w:t>
      </w:r>
      <w:r>
        <w:rPr/>
        <w:t>Calculate SOC</w:t>
      </w:r>
      <w:r>
        <w:rPr>
          <w:vertAlign w:val="subscript"/>
        </w:rPr>
        <w:t>0</w:t>
      </w:r>
      <w:r>
        <w:rPr>
          <w:vertAlign w:val="baseline"/>
        </w:rPr>
        <w:t> by repeating step 2 using the same reference carbon stock (SOC</w:t>
      </w:r>
      <w:r>
        <w:rPr>
          <w:position w:val="-2"/>
          <w:sz w:val="10"/>
          <w:vertAlign w:val="baseline"/>
        </w:rPr>
        <w:t>REF</w:t>
      </w:r>
      <w:r>
        <w:rPr>
          <w:vertAlign w:val="baseline"/>
        </w:rPr>
        <w:t>), but with land use, tillage and input factors that represent conditions in the land converted to cropland.</w:t>
      </w:r>
    </w:p>
    <w:p>
      <w:pPr>
        <w:pStyle w:val="BodyText"/>
        <w:spacing w:before="119"/>
        <w:ind w:left="219"/>
        <w:jc w:val="both"/>
      </w:pPr>
      <w:r>
        <w:rPr/>
        <w:pict>
          <v:shape style="position:absolute;margin-left:91.960999pt;margin-top:27.526489pt;width:411.5pt;height:80.55pt;mso-position-horizontal-relative:page;mso-position-vertical-relative:paragraph;z-index:8480;mso-wrap-distance-left:0;mso-wrap-distance-right:0" type="#_x0000_t202" filled="false" stroked="true" strokeweight="1.44pt" strokecolor="#000000">
            <v:textbox inset="0,0,0,0">
              <w:txbxContent>
                <w:p>
                  <w:pPr>
                    <w:pStyle w:val="BodyText"/>
                    <w:spacing w:before="94"/>
                    <w:ind w:left="127" w:right="120"/>
                    <w:jc w:val="both"/>
                  </w:pPr>
                  <w:r>
                    <w:rPr>
                      <w:b/>
                    </w:rPr>
                    <w:t>Example</w:t>
                  </w:r>
                  <w:r>
                    <w:rPr/>
                    <w:t>: For a forest on volcanic soil in a tropical moist environment: SOC</w:t>
                  </w:r>
                  <w:r>
                    <w:rPr>
                      <w:vertAlign w:val="subscript"/>
                    </w:rPr>
                    <w:t>Ref</w:t>
                  </w:r>
                  <w:r>
                    <w:rPr>
                      <w:vertAlign w:val="baseline"/>
                    </w:rPr>
                    <w:t> = 70 tonnes C ha</w:t>
                  </w:r>
                  <w:r>
                    <w:rPr>
                      <w:vertAlign w:val="superscript"/>
                    </w:rPr>
                    <w:t>-1</w:t>
                  </w:r>
                  <w:r>
                    <w:rPr>
                      <w:vertAlign w:val="baseline"/>
                    </w:rPr>
                    <w:t>. For all forest soils (and for native grasslands) default values for stock change factors (F</w:t>
                  </w:r>
                  <w:r>
                    <w:rPr>
                      <w:vertAlign w:val="subscript"/>
                    </w:rPr>
                    <w:t>LU</w:t>
                  </w:r>
                  <w:r>
                    <w:rPr>
                      <w:vertAlign w:val="baseline"/>
                    </w:rPr>
                    <w:t> , F</w:t>
                  </w:r>
                  <w:r>
                    <w:rPr>
                      <w:vertAlign w:val="subscript"/>
                    </w:rPr>
                    <w:t>MG</w:t>
                  </w:r>
                  <w:r>
                    <w:rPr>
                      <w:vertAlign w:val="baseline"/>
                    </w:rPr>
                    <w:t> , F</w:t>
                  </w:r>
                  <w:r>
                    <w:rPr>
                      <w:vertAlign w:val="subscript"/>
                    </w:rPr>
                    <w:t>I</w:t>
                  </w:r>
                  <w:r>
                    <w:rPr>
                      <w:vertAlign w:val="baseline"/>
                    </w:rPr>
                    <w:t>) are all 1; thus SOC</w:t>
                  </w:r>
                  <w:r>
                    <w:rPr>
                      <w:vertAlign w:val="subscript"/>
                    </w:rPr>
                    <w:t>(0-T)</w:t>
                  </w:r>
                  <w:r>
                    <w:rPr>
                      <w:vertAlign w:val="baseline"/>
                    </w:rPr>
                    <w:t> is 70 tonnes C ha</w:t>
                  </w:r>
                  <w:r>
                    <w:rPr>
                      <w:vertAlign w:val="superscript"/>
                    </w:rPr>
                    <w:t>-1</w:t>
                  </w:r>
                  <w:r>
                    <w:rPr>
                      <w:vertAlign w:val="baseline"/>
                    </w:rPr>
                    <w:t>. If the land is converted into annual cropland, with intensive tillage and low residue C inputs then SOC</w:t>
                  </w:r>
                  <w:r>
                    <w:rPr>
                      <w:vertAlign w:val="subscript"/>
                    </w:rPr>
                    <w:t>0</w:t>
                  </w:r>
                  <w:r>
                    <w:rPr>
                      <w:vertAlign w:val="baseline"/>
                    </w:rPr>
                    <w:t> = 70 tonnes C ha</w:t>
                  </w:r>
                  <w:r>
                    <w:rPr>
                      <w:vertAlign w:val="superscript"/>
                    </w:rPr>
                    <w:t>-1</w:t>
                  </w:r>
                  <w:r>
                    <w:rPr>
                      <w:vertAlign w:val="baseline"/>
                    </w:rPr>
                    <w:t> ● 0.58 ● 1 ● 0.91 = 36.9 tonnes C ha</w:t>
                  </w:r>
                  <w:r>
                    <w:rPr>
                      <w:vertAlign w:val="superscript"/>
                    </w:rPr>
                    <w:t>-1</w:t>
                  </w:r>
                  <w:r>
                    <w:rPr>
                      <w:vertAlign w:val="baseline"/>
                    </w:rPr>
                    <w:t>. Thus the average annual change in soil C stock for the area over the inventory  period</w:t>
                  </w:r>
                  <w:r>
                    <w:rPr>
                      <w:spacing w:val="-1"/>
                      <w:vertAlign w:val="baseline"/>
                    </w:rPr>
                    <w:t> </w:t>
                  </w:r>
                  <w:r>
                    <w:rPr>
                      <w:vertAlign w:val="baseline"/>
                    </w:rPr>
                    <w:t>is</w:t>
                  </w:r>
                  <w:r>
                    <w:rPr>
                      <w:spacing w:val="-3"/>
                      <w:vertAlign w:val="baseline"/>
                    </w:rPr>
                    <w:t> </w:t>
                  </w:r>
                  <w:r>
                    <w:rPr>
                      <w:vertAlign w:val="baseline"/>
                    </w:rPr>
                    <w:t>calculated</w:t>
                  </w:r>
                  <w:r>
                    <w:rPr>
                      <w:spacing w:val="-1"/>
                      <w:vertAlign w:val="baseline"/>
                    </w:rPr>
                    <w:t> </w:t>
                  </w:r>
                  <w:r>
                    <w:rPr>
                      <w:vertAlign w:val="baseline"/>
                    </w:rPr>
                    <w:t>as</w:t>
                  </w:r>
                  <w:r>
                    <w:rPr>
                      <w:spacing w:val="-2"/>
                      <w:vertAlign w:val="baseline"/>
                    </w:rPr>
                    <w:t> </w:t>
                  </w:r>
                  <w:r>
                    <w:rPr>
                      <w:vertAlign w:val="baseline"/>
                    </w:rPr>
                    <w:t>(36.9</w:t>
                  </w:r>
                  <w:r>
                    <w:rPr>
                      <w:spacing w:val="-3"/>
                      <w:vertAlign w:val="baseline"/>
                    </w:rPr>
                    <w:t> </w:t>
                  </w:r>
                  <w:r>
                    <w:rPr>
                      <w:vertAlign w:val="baseline"/>
                    </w:rPr>
                    <w:t>tonnes</w:t>
                  </w:r>
                  <w:r>
                    <w:rPr>
                      <w:spacing w:val="-3"/>
                      <w:vertAlign w:val="baseline"/>
                    </w:rPr>
                    <w:t> </w:t>
                  </w:r>
                  <w:r>
                    <w:rPr>
                      <w:vertAlign w:val="baseline"/>
                    </w:rPr>
                    <w:t>C ha</w:t>
                  </w:r>
                  <w:r>
                    <w:rPr>
                      <w:vertAlign w:val="superscript"/>
                    </w:rPr>
                    <w:t>-1</w:t>
                  </w:r>
                  <w:r>
                    <w:rPr>
                      <w:spacing w:val="-18"/>
                      <w:vertAlign w:val="baseline"/>
                    </w:rPr>
                    <w:t> </w:t>
                  </w:r>
                  <w:r>
                    <w:rPr>
                      <w:vertAlign w:val="baseline"/>
                    </w:rPr>
                    <w:t>–</w:t>
                  </w:r>
                  <w:r>
                    <w:rPr>
                      <w:spacing w:val="-1"/>
                      <w:vertAlign w:val="baseline"/>
                    </w:rPr>
                    <w:t> </w:t>
                  </w:r>
                  <w:r>
                    <w:rPr>
                      <w:vertAlign w:val="baseline"/>
                    </w:rPr>
                    <w:t>70</w:t>
                  </w:r>
                  <w:r>
                    <w:rPr>
                      <w:spacing w:val="-1"/>
                      <w:vertAlign w:val="baseline"/>
                    </w:rPr>
                    <w:t> </w:t>
                  </w:r>
                  <w:r>
                    <w:rPr>
                      <w:vertAlign w:val="baseline"/>
                    </w:rPr>
                    <w:t>tonnes</w:t>
                  </w:r>
                  <w:r>
                    <w:rPr>
                      <w:spacing w:val="-3"/>
                      <w:vertAlign w:val="baseline"/>
                    </w:rPr>
                    <w:t> </w:t>
                  </w:r>
                  <w:r>
                    <w:rPr>
                      <w:vertAlign w:val="baseline"/>
                    </w:rPr>
                    <w:t>C ha</w:t>
                  </w:r>
                  <w:r>
                    <w:rPr>
                      <w:vertAlign w:val="superscript"/>
                    </w:rPr>
                    <w:t>-1</w:t>
                  </w:r>
                  <w:r>
                    <w:rPr>
                      <w:vertAlign w:val="baseline"/>
                    </w:rPr>
                    <w:t>)</w:t>
                  </w:r>
                  <w:r>
                    <w:rPr>
                      <w:spacing w:val="-1"/>
                      <w:vertAlign w:val="baseline"/>
                    </w:rPr>
                    <w:t> </w:t>
                  </w:r>
                  <w:r>
                    <w:rPr>
                      <w:vertAlign w:val="baseline"/>
                    </w:rPr>
                    <w:t>/</w:t>
                  </w:r>
                  <w:r>
                    <w:rPr>
                      <w:spacing w:val="-2"/>
                      <w:vertAlign w:val="baseline"/>
                    </w:rPr>
                    <w:t> </w:t>
                  </w:r>
                  <w:r>
                    <w:rPr>
                      <w:vertAlign w:val="baseline"/>
                    </w:rPr>
                    <w:t>20 yrs</w:t>
                  </w:r>
                  <w:r>
                    <w:rPr>
                      <w:spacing w:val="-3"/>
                      <w:vertAlign w:val="baseline"/>
                    </w:rPr>
                    <w:t> </w:t>
                  </w:r>
                  <w:r>
                    <w:rPr>
                      <w:vertAlign w:val="baseline"/>
                    </w:rPr>
                    <w:t>=</w:t>
                  </w:r>
                  <w:r>
                    <w:rPr>
                      <w:spacing w:val="-2"/>
                      <w:vertAlign w:val="baseline"/>
                    </w:rPr>
                    <w:t> </w:t>
                  </w:r>
                  <w:r>
                    <w:rPr>
                      <w:vertAlign w:val="baseline"/>
                    </w:rPr>
                    <w:t>-1.7</w:t>
                  </w:r>
                  <w:r>
                    <w:rPr>
                      <w:spacing w:val="-1"/>
                      <w:vertAlign w:val="baseline"/>
                    </w:rPr>
                    <w:t> </w:t>
                  </w:r>
                  <w:r>
                    <w:rPr>
                      <w:vertAlign w:val="baseline"/>
                    </w:rPr>
                    <w:t>tonnes</w:t>
                  </w:r>
                  <w:r>
                    <w:rPr>
                      <w:spacing w:val="-2"/>
                      <w:vertAlign w:val="baseline"/>
                    </w:rPr>
                    <w:t> </w:t>
                  </w:r>
                  <w:r>
                    <w:rPr>
                      <w:vertAlign w:val="baseline"/>
                    </w:rPr>
                    <w:t>C</w:t>
                  </w:r>
                  <w:r>
                    <w:rPr>
                      <w:spacing w:val="-1"/>
                      <w:vertAlign w:val="baseline"/>
                    </w:rPr>
                    <w:t> </w:t>
                  </w:r>
                  <w:r>
                    <w:rPr>
                      <w:vertAlign w:val="baseline"/>
                    </w:rPr>
                    <w:t>ha</w:t>
                  </w:r>
                  <w:r>
                    <w:rPr>
                      <w:vertAlign w:val="superscript"/>
                    </w:rPr>
                    <w:t>-1</w:t>
                  </w:r>
                  <w:r>
                    <w:rPr>
                      <w:vertAlign w:val="baseline"/>
                    </w:rPr>
                    <w:t> yr</w:t>
                  </w:r>
                  <w:r>
                    <w:rPr>
                      <w:vertAlign w:val="superscript"/>
                    </w:rPr>
                    <w:t>-1</w:t>
                  </w:r>
                  <w:r>
                    <w:rPr>
                      <w:vertAlign w:val="baseline"/>
                    </w:rPr>
                    <w:t>.</w:t>
                  </w:r>
                </w:p>
              </w:txbxContent>
            </v:textbox>
            <v:stroke dashstyle="solid"/>
            <w10:wrap type="topAndBottom"/>
          </v:shape>
        </w:pict>
      </w:r>
      <w:r>
        <w:rPr>
          <w:b/>
        </w:rPr>
        <w:t>Step 4: </w:t>
      </w:r>
      <w:r>
        <w:rPr/>
        <w:t>Calculate the average annual change in soil C stock for the area over the inventory period (∆C</w:t>
      </w:r>
      <w:r>
        <w:rPr>
          <w:vertAlign w:val="subscript"/>
        </w:rPr>
        <w:t>CC</w:t>
      </w:r>
      <w:r>
        <w:rPr>
          <w:position w:val="-8"/>
          <w:sz w:val="13"/>
          <w:vertAlign w:val="baseline"/>
        </w:rPr>
        <w:t>Mineral </w:t>
      </w:r>
      <w:r>
        <w:rPr>
          <w:vertAlign w:val="baseline"/>
        </w:rPr>
        <w:t>).</w:t>
      </w:r>
    </w:p>
    <w:p>
      <w:pPr>
        <w:pStyle w:val="BodyText"/>
        <w:spacing w:before="83"/>
        <w:ind w:left="219" w:right="260"/>
        <w:jc w:val="both"/>
      </w:pPr>
      <w:r>
        <w:rPr/>
        <w:t>The </w:t>
      </w:r>
      <w:r>
        <w:rPr>
          <w:i/>
        </w:rPr>
        <w:t>IPCC Guidelines </w:t>
      </w:r>
      <w:r>
        <w:rPr/>
        <w:t>also provide estimates for C stock change associated with the transient land-use  conversion to cropland represented by shifting cultivation. In this case, the stock change factors are different from those used if the conversion is to permanent cropland, and change in soil C stocks will depend on the  length of the fallow (vegetation recovery) cycle. The soil carbon stocks calculated for shifting cultivation represent an average over the crop-fallow cycle. Mature fallow denotes situations where the non-cropland vegetation (e.g. forest, savanna) recovers to a mature or near mature state prior to being cleared again for cropland use, whereas in shortened fallow vegetation recovery is not attained prior to re-clearing. If land</w:t>
      </w:r>
      <w:r>
        <w:rPr>
          <w:spacing w:val="26"/>
        </w:rPr>
        <w:t> </w:t>
      </w:r>
      <w:r>
        <w:rPr/>
        <w:t>already</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5"/>
        <w:jc w:val="both"/>
      </w:pPr>
      <w:r>
        <w:rPr/>
        <w:t>in shifting-cultivation is converted to permanent cropland (or other land uses) the stock factors representing shifting cultivation would provide the ‘initial’ C stocks in the calculations of changes following conversion.</w:t>
      </w:r>
    </w:p>
    <w:p>
      <w:pPr>
        <w:pStyle w:val="BodyText"/>
        <w:spacing w:before="121"/>
        <w:ind w:left="219" w:right="267"/>
        <w:jc w:val="both"/>
      </w:pPr>
      <w:r>
        <w:rPr/>
        <w:t>The Tier 2 method for mineral soils also uses Equation 3.3.3, but involves country or region-specific reference C stocks and/or stock change factors and more disaggregated land use activity data.</w:t>
      </w:r>
    </w:p>
    <w:p>
      <w:pPr>
        <w:pStyle w:val="BodyText"/>
        <w:spacing w:before="2"/>
        <w:rPr>
          <w:sz w:val="21"/>
        </w:rPr>
      </w:pPr>
    </w:p>
    <w:p>
      <w:pPr>
        <w:pStyle w:val="Heading7"/>
        <w:spacing w:line="251" w:lineRule="exact"/>
      </w:pPr>
      <w:r>
        <w:rPr/>
        <w:t>Organic Soils </w:t>
      </w:r>
    </w:p>
    <w:p>
      <w:pPr>
        <w:pStyle w:val="BodyText"/>
        <w:ind w:left="219" w:right="264"/>
        <w:jc w:val="both"/>
      </w:pPr>
      <w:r>
        <w:rPr/>
        <w:t>Tier 1 and Tier 2 approaches for organic soils that are converted from other land uses to cropland within the inventory period are treated the same as long-term cropped organic soils, i.e., they have a constant emission factor applied to them, based on climate regime (see Equation 3.3.5 and Table 3.3.5). In Tier 2, emission factors are derived from country or region-specific data.</w:t>
      </w:r>
    </w:p>
    <w:p>
      <w:pPr>
        <w:pStyle w:val="BodyText"/>
        <w:spacing w:before="1"/>
        <w:rPr>
          <w:sz w:val="21"/>
        </w:rPr>
      </w:pPr>
    </w:p>
    <w:p>
      <w:pPr>
        <w:pStyle w:val="Heading7"/>
      </w:pPr>
      <w:r>
        <w:rPr/>
        <w:t>Mineral and organic soils </w:t>
      </w:r>
    </w:p>
    <w:p>
      <w:pPr>
        <w:pStyle w:val="BodyText"/>
        <w:ind w:left="219" w:right="261"/>
        <w:jc w:val="both"/>
      </w:pPr>
      <w:r>
        <w:rPr/>
        <w:t>For both mineral and organic soils, Tier 3 methods will involve more detailed and country-specific models and/or measurement-based approaches along with highly disaggregated land use and management data. Tier 3 approaches for estimating soil C change from land-use conversions to cropland should employ models and data sets that are capable of representing transitions over time between different land use and vegetation types, including forest, savanna, grasslands, cropland. The Tier 3 method needs to be integrated with estimates of biomass removal and the post-clearance treatment of plant residues (including woody debris and litter), as variation in the removal and treatment of residues (e.g. burning, site preparation) will affect C inputs to soil organic matter formation and C losses through decomposition and combustion. It is critical that models be validated with independent observations from country or region-specific field locations that are representative of the interactions of climate, soil and vegetation type on post-conversion change in soil C</w:t>
      </w:r>
      <w:r>
        <w:rPr>
          <w:spacing w:val="-12"/>
        </w:rPr>
        <w:t> </w:t>
      </w:r>
      <w:r>
        <w:rPr/>
        <w:t>stocks.</w:t>
      </w:r>
    </w:p>
    <w:p>
      <w:pPr>
        <w:pStyle w:val="BodyText"/>
        <w:rPr>
          <w:sz w:val="21"/>
        </w:rPr>
      </w:pPr>
    </w:p>
    <w:p>
      <w:pPr>
        <w:pStyle w:val="Heading7"/>
        <w:spacing w:line="251" w:lineRule="exact" w:before="1"/>
      </w:pPr>
      <w:r>
        <w:rPr/>
        <w:t>Liming</w:t>
      </w:r>
    </w:p>
    <w:p>
      <w:pPr>
        <w:pStyle w:val="BodyText"/>
        <w:ind w:left="219" w:right="269"/>
        <w:jc w:val="both"/>
      </w:pPr>
      <w:r>
        <w:rPr/>
        <w:t>If agricultural lime is applied to cropland converted from other land uses then the methods for estimating CO</w:t>
      </w:r>
      <w:r>
        <w:rPr>
          <w:vertAlign w:val="subscript"/>
        </w:rPr>
        <w:t>2</w:t>
      </w:r>
      <w:r>
        <w:rPr>
          <w:vertAlign w:val="baseline"/>
        </w:rPr>
        <w:t> emissions from liming are the same as described for </w:t>
      </w:r>
      <w:r>
        <w:rPr>
          <w:i/>
          <w:vertAlign w:val="baseline"/>
        </w:rPr>
        <w:t>Cropland Remaining Cropland</w:t>
      </w:r>
      <w:r>
        <w:rPr>
          <w:vertAlign w:val="baseline"/>
        </w:rPr>
        <w:t>, in Section 3.3.1.2.1.1.</w:t>
      </w:r>
    </w:p>
    <w:p>
      <w:pPr>
        <w:pStyle w:val="BodyText"/>
        <w:rPr>
          <w:sz w:val="21"/>
        </w:rPr>
      </w:pPr>
    </w:p>
    <w:p>
      <w:pPr>
        <w:pStyle w:val="Heading6"/>
        <w:numPr>
          <w:ilvl w:val="5"/>
          <w:numId w:val="66"/>
        </w:numPr>
        <w:tabs>
          <w:tab w:pos="1525" w:val="left" w:leader="none"/>
        </w:tabs>
        <w:spacing w:line="240" w:lineRule="auto" w:before="0" w:after="0"/>
        <w:ind w:left="1524" w:right="0" w:hanging="1231"/>
        <w:jc w:val="both"/>
      </w:pPr>
      <w:r>
        <w:rPr/>
        <w:t>2 </w:t>
      </w:r>
      <w:r>
        <w:rPr>
          <w:spacing w:val="15"/>
        </w:rPr>
        <w:t>Choice </w:t>
      </w:r>
      <w:r>
        <w:rPr>
          <w:spacing w:val="9"/>
        </w:rPr>
        <w:t>of </w:t>
      </w:r>
      <w:r>
        <w:rPr>
          <w:spacing w:val="17"/>
        </w:rPr>
        <w:t>Emission/Removal</w:t>
      </w:r>
      <w:r>
        <w:rPr>
          <w:spacing w:val="15"/>
        </w:rPr>
        <w:t> </w:t>
      </w:r>
      <w:r>
        <w:rPr>
          <w:spacing w:val="19"/>
        </w:rPr>
        <w:t>Factors</w:t>
      </w:r>
    </w:p>
    <w:p>
      <w:pPr>
        <w:pStyle w:val="Heading7"/>
        <w:spacing w:line="251" w:lineRule="exact" w:before="179"/>
      </w:pPr>
      <w:r>
        <w:rPr/>
        <w:t>Mineral soils </w:t>
      </w:r>
    </w:p>
    <w:p>
      <w:pPr>
        <w:pStyle w:val="BodyText"/>
        <w:spacing w:line="228" w:lineRule="exact"/>
        <w:ind w:left="219"/>
        <w:jc w:val="both"/>
      </w:pPr>
      <w:r>
        <w:rPr/>
        <w:t>The following variables are needed when using either the Tier 1 or Tier 2 method:</w:t>
      </w:r>
    </w:p>
    <w:p>
      <w:pPr>
        <w:spacing w:before="125"/>
        <w:ind w:left="219" w:right="0" w:firstLine="0"/>
        <w:jc w:val="both"/>
        <w:rPr>
          <w:b/>
          <w:sz w:val="20"/>
        </w:rPr>
      </w:pPr>
      <w:r>
        <w:rPr>
          <w:b/>
          <w:sz w:val="20"/>
        </w:rPr>
        <w:t>Reference carbon stocks (SOC</w:t>
      </w:r>
      <w:r>
        <w:rPr>
          <w:b/>
          <w:position w:val="-2"/>
          <w:sz w:val="10"/>
        </w:rPr>
        <w:t>REF</w:t>
      </w:r>
      <w:r>
        <w:rPr>
          <w:b/>
          <w:sz w:val="20"/>
        </w:rPr>
        <w:t>)</w:t>
      </w:r>
    </w:p>
    <w:p>
      <w:pPr>
        <w:spacing w:line="234" w:lineRule="exact" w:before="105"/>
        <w:ind w:left="219" w:right="0" w:firstLine="0"/>
        <w:jc w:val="both"/>
        <w:rPr>
          <w:sz w:val="20"/>
        </w:rPr>
      </w:pPr>
      <w:r>
        <w:rPr>
          <w:b/>
          <w:sz w:val="20"/>
        </w:rPr>
        <w:t>Tier 1: </w:t>
      </w:r>
      <w:r>
        <w:rPr>
          <w:sz w:val="20"/>
        </w:rPr>
        <w:t>Under Tier 1, it is </w:t>
      </w:r>
      <w:r>
        <w:rPr>
          <w:i/>
          <w:sz w:val="20"/>
        </w:rPr>
        <w:t>good practice </w:t>
      </w:r>
      <w:r>
        <w:rPr>
          <w:sz w:val="20"/>
        </w:rPr>
        <w:t>to use the default reference carbon stocks (SOC</w:t>
      </w:r>
      <w:r>
        <w:rPr>
          <w:position w:val="-2"/>
          <w:sz w:val="10"/>
        </w:rPr>
        <w:t>REF</w:t>
      </w:r>
      <w:r>
        <w:rPr>
          <w:sz w:val="20"/>
        </w:rPr>
        <w:t>) provided in Table</w:t>
      </w:r>
    </w:p>
    <w:p>
      <w:pPr>
        <w:pStyle w:val="BodyText"/>
        <w:ind w:left="219" w:right="265"/>
        <w:jc w:val="both"/>
      </w:pPr>
      <w:r>
        <w:rPr/>
        <w:t>3.3.3. These are updated from those provided in the </w:t>
      </w:r>
      <w:r>
        <w:rPr>
          <w:i/>
        </w:rPr>
        <w:t>IPCC Guidelines </w:t>
      </w:r>
      <w:r>
        <w:rPr/>
        <w:t>with the following improvements: i) estimates are statistically-derived from recent compilations of soil profiles under native vegetation, ii) ‘Spodic’ soils (defined as boreal and temperate zone podzols in WRB classification, Spodosols in USDA classification) are included as a separate category, iii) soils within the boreal climate region have been included.</w:t>
      </w:r>
    </w:p>
    <w:p>
      <w:pPr>
        <w:pStyle w:val="BodyText"/>
        <w:spacing w:before="115"/>
        <w:ind w:left="219" w:right="260"/>
        <w:jc w:val="both"/>
      </w:pPr>
      <w:r>
        <w:rPr>
          <w:b/>
        </w:rPr>
        <w:t>Tier 2: </w:t>
      </w:r>
      <w:r>
        <w:rPr/>
        <w:t>For the Tier 2 method, reference soil C stocks can be determined from measurements of soils, for example, as part of a country’s soil survey and mapping activities. It is important that reliable taxonomic descriptions of measured soils be used to group soils into the classes defined in Table 3.3.3 or if a finer subdivision of reference soil C stocks is used definitions of soil groupings need to be consistently and well documented. Advantages to using country-specific data for estimating reference soil C stocks include more accurate and representative values for an individual country and the ability to better estimate probability distribution functions that can be used in a formal uncertainty analysis.</w:t>
      </w:r>
    </w:p>
    <w:p>
      <w:pPr>
        <w:spacing w:before="123"/>
        <w:ind w:left="219" w:right="0" w:firstLine="0"/>
        <w:jc w:val="both"/>
        <w:rPr>
          <w:b/>
          <w:sz w:val="20"/>
        </w:rPr>
      </w:pPr>
      <w:r>
        <w:rPr>
          <w:b/>
          <w:sz w:val="20"/>
        </w:rPr>
        <w:t>Stock change factors (F</w:t>
      </w:r>
      <w:r>
        <w:rPr>
          <w:b/>
          <w:sz w:val="20"/>
          <w:vertAlign w:val="subscript"/>
        </w:rPr>
        <w:t>LU</w:t>
      </w:r>
      <w:r>
        <w:rPr>
          <w:b/>
          <w:sz w:val="20"/>
          <w:vertAlign w:val="baseline"/>
        </w:rPr>
        <w:t>, F</w:t>
      </w:r>
      <w:r>
        <w:rPr>
          <w:b/>
          <w:sz w:val="20"/>
          <w:vertAlign w:val="subscript"/>
        </w:rPr>
        <w:t>MG</w:t>
      </w:r>
      <w:r>
        <w:rPr>
          <w:b/>
          <w:sz w:val="20"/>
          <w:vertAlign w:val="baseline"/>
        </w:rPr>
        <w:t>, F</w:t>
      </w:r>
      <w:r>
        <w:rPr>
          <w:b/>
          <w:sz w:val="20"/>
          <w:vertAlign w:val="subscript"/>
        </w:rPr>
        <w:t>I</w:t>
      </w:r>
      <w:r>
        <w:rPr>
          <w:b/>
          <w:sz w:val="20"/>
          <w:vertAlign w:val="baseline"/>
        </w:rPr>
        <w:t>)</w:t>
      </w:r>
    </w:p>
    <w:p>
      <w:pPr>
        <w:pStyle w:val="BodyText"/>
        <w:spacing w:before="116"/>
        <w:ind w:left="219"/>
        <w:jc w:val="both"/>
      </w:pPr>
      <w:r>
        <w:rPr>
          <w:b/>
        </w:rPr>
        <w:t>Tier 1: </w:t>
      </w:r>
      <w:r>
        <w:rPr/>
        <w:t>Under Tier 1, it is </w:t>
      </w:r>
      <w:r>
        <w:rPr>
          <w:i/>
        </w:rPr>
        <w:t>good practice </w:t>
      </w:r>
      <w:r>
        <w:rPr/>
        <w:t>to use default stock change factors (F</w:t>
      </w:r>
      <w:r>
        <w:rPr>
          <w:vertAlign w:val="subscript"/>
        </w:rPr>
        <w:t>LU</w:t>
      </w:r>
      <w:r>
        <w:rPr>
          <w:vertAlign w:val="baseline"/>
        </w:rPr>
        <w:t>, F</w:t>
      </w:r>
      <w:r>
        <w:rPr>
          <w:vertAlign w:val="subscript"/>
        </w:rPr>
        <w:t>MG</w:t>
      </w:r>
      <w:r>
        <w:rPr>
          <w:vertAlign w:val="baseline"/>
        </w:rPr>
        <w:t>, F</w:t>
      </w:r>
      <w:r>
        <w:rPr>
          <w:vertAlign w:val="subscript"/>
        </w:rPr>
        <w:t>I</w:t>
      </w:r>
      <w:r>
        <w:rPr>
          <w:vertAlign w:val="baseline"/>
        </w:rPr>
        <w:t>) provided in Table</w:t>
      </w:r>
    </w:p>
    <w:p>
      <w:pPr>
        <w:pStyle w:val="BodyText"/>
        <w:ind w:left="219" w:right="265"/>
        <w:jc w:val="both"/>
      </w:pPr>
      <w:r>
        <w:rPr/>
        <w:t>3.3.9. These are updated from the </w:t>
      </w:r>
      <w:r>
        <w:rPr>
          <w:i/>
        </w:rPr>
        <w:t>IPCC Guidelines</w:t>
      </w:r>
      <w:r>
        <w:rPr/>
        <w:t>, based on a statistical analysis of published research. Definitions guiding the selection of appropriate factor values are provided in the table. Stock change factors are used in estimating both post- (SOC</w:t>
      </w:r>
      <w:r>
        <w:rPr>
          <w:vertAlign w:val="subscript"/>
        </w:rPr>
        <w:t>0</w:t>
      </w:r>
      <w:r>
        <w:rPr>
          <w:vertAlign w:val="baseline"/>
        </w:rPr>
        <w:t>) and pre-conversion (SOC</w:t>
      </w:r>
      <w:r>
        <w:rPr>
          <w:vertAlign w:val="subscript"/>
        </w:rPr>
        <w:t>(0-T)</w:t>
      </w:r>
      <w:r>
        <w:rPr>
          <w:vertAlign w:val="baseline"/>
        </w:rPr>
        <w:t>) stocks; values will vary according to land  use and management conditions before and after the conversion. Note that where forest land or native grasslands are converted to cropland use, the stock change factors all have the value of one, such that the pre-conversion soil carbon stocks are equal to the native vegetation reference values</w:t>
      </w:r>
      <w:r>
        <w:rPr>
          <w:spacing w:val="-5"/>
          <w:vertAlign w:val="baseline"/>
        </w:rPr>
        <w:t> </w:t>
      </w:r>
      <w:r>
        <w:rPr>
          <w:vertAlign w:val="baseline"/>
        </w:rPr>
        <w:t>(SOC</w:t>
      </w:r>
      <w:r>
        <w:rPr>
          <w:position w:val="-2"/>
          <w:sz w:val="10"/>
          <w:vertAlign w:val="baseline"/>
        </w:rPr>
        <w:t>REF</w:t>
      </w:r>
      <w:r>
        <w:rPr>
          <w:vertAlign w:val="baseline"/>
        </w:rPr>
        <w:t>).</w:t>
      </w:r>
    </w:p>
    <w:p>
      <w:pPr>
        <w:pStyle w:val="BodyText"/>
        <w:spacing w:before="110"/>
        <w:ind w:left="219" w:right="266"/>
        <w:jc w:val="both"/>
      </w:pPr>
      <w:r>
        <w:rPr>
          <w:b/>
        </w:rPr>
        <w:t>Tier 2: </w:t>
      </w:r>
      <w:r>
        <w:rPr/>
        <w:t>For the Tier 2 method, estimation of country-specific stock change factors for land-use conversion to cropland will typically be based on paired-plot comparisons representing converted and unconverted lands, where all factors other than land-use history are as similar as possible (e.g. Davidson and Ackermann, 1993). Ideally</w:t>
      </w:r>
      <w:r>
        <w:rPr>
          <w:spacing w:val="2"/>
        </w:rPr>
        <w:t> </w:t>
      </w:r>
      <w:r>
        <w:rPr/>
        <w:t>several</w:t>
      </w:r>
      <w:r>
        <w:rPr>
          <w:spacing w:val="6"/>
        </w:rPr>
        <w:t> </w:t>
      </w:r>
      <w:r>
        <w:rPr/>
        <w:t>sample</w:t>
      </w:r>
      <w:r>
        <w:rPr>
          <w:spacing w:val="7"/>
        </w:rPr>
        <w:t> </w:t>
      </w:r>
      <w:r>
        <w:rPr/>
        <w:t>locations</w:t>
      </w:r>
      <w:r>
        <w:rPr>
          <w:spacing w:val="5"/>
        </w:rPr>
        <w:t> </w:t>
      </w:r>
      <w:r>
        <w:rPr/>
        <w:t>can</w:t>
      </w:r>
      <w:r>
        <w:rPr>
          <w:spacing w:val="5"/>
        </w:rPr>
        <w:t> </w:t>
      </w:r>
      <w:r>
        <w:rPr/>
        <w:t>be</w:t>
      </w:r>
      <w:r>
        <w:rPr>
          <w:spacing w:val="6"/>
        </w:rPr>
        <w:t> </w:t>
      </w:r>
      <w:r>
        <w:rPr/>
        <w:t>found</w:t>
      </w:r>
      <w:r>
        <w:rPr>
          <w:spacing w:val="7"/>
        </w:rPr>
        <w:t> </w:t>
      </w:r>
      <w:r>
        <w:rPr/>
        <w:t>that</w:t>
      </w:r>
      <w:r>
        <w:rPr>
          <w:spacing w:val="7"/>
        </w:rPr>
        <w:t> </w:t>
      </w:r>
      <w:r>
        <w:rPr/>
        <w:t>represent</w:t>
      </w:r>
      <w:r>
        <w:rPr>
          <w:spacing w:val="8"/>
        </w:rPr>
        <w:t> </w:t>
      </w:r>
      <w:r>
        <w:rPr/>
        <w:t>a</w:t>
      </w:r>
      <w:r>
        <w:rPr>
          <w:spacing w:val="6"/>
        </w:rPr>
        <w:t> </w:t>
      </w:r>
      <w:r>
        <w:rPr/>
        <w:t>given</w:t>
      </w:r>
      <w:r>
        <w:rPr>
          <w:spacing w:val="5"/>
        </w:rPr>
        <w:t> </w:t>
      </w:r>
      <w:r>
        <w:rPr/>
        <w:t>land</w:t>
      </w:r>
      <w:r>
        <w:rPr>
          <w:spacing w:val="7"/>
        </w:rPr>
        <w:t> </w:t>
      </w:r>
      <w:r>
        <w:rPr/>
        <w:t>use</w:t>
      </w:r>
      <w:r>
        <w:rPr>
          <w:spacing w:val="7"/>
        </w:rPr>
        <w:t> </w:t>
      </w:r>
      <w:r>
        <w:rPr/>
        <w:t>at</w:t>
      </w:r>
      <w:r>
        <w:rPr>
          <w:spacing w:val="6"/>
        </w:rPr>
        <w:t> </w:t>
      </w:r>
      <w:r>
        <w:rPr/>
        <w:t>different</w:t>
      </w:r>
      <w:r>
        <w:rPr>
          <w:spacing w:val="6"/>
        </w:rPr>
        <w:t> </w:t>
      </w:r>
      <w:r>
        <w:rPr/>
        <w:t>times</w:t>
      </w:r>
      <w:r>
        <w:rPr>
          <w:spacing w:val="6"/>
        </w:rPr>
        <w:t> </w:t>
      </w:r>
      <w:r>
        <w:rPr/>
        <w:t>since</w:t>
      </w:r>
      <w:r>
        <w:rPr>
          <w:spacing w:val="6"/>
        </w:rPr>
        <w:t> </w:t>
      </w:r>
      <w:r>
        <w:rPr/>
        <w:t>conversion</w:t>
      </w:r>
    </w:p>
    <w:p>
      <w:pPr>
        <w:pStyle w:val="BodyText"/>
        <w:ind w:left="219" w:right="268"/>
        <w:jc w:val="both"/>
      </w:pPr>
      <w:r>
        <w:rPr/>
        <w:t>– referred to as a chronosequence (e.g. Neill </w:t>
      </w:r>
      <w:r>
        <w:rPr>
          <w:i/>
        </w:rPr>
        <w:t>et al.</w:t>
      </w:r>
      <w:r>
        <w:rPr/>
        <w:t>, 1997). There are few replicated long-term experiments of land-  use conversions and  thus stock change factors and  emission  factors  for  land-use  conversions  will</w:t>
      </w:r>
      <w:r>
        <w:rPr>
          <w:spacing w:val="-25"/>
        </w:rPr>
        <w:t> </w:t>
      </w:r>
      <w:r>
        <w:rPr/>
        <w:t>have</w:t>
      </w:r>
    </w:p>
    <w:p>
      <w:pPr>
        <w:spacing w:after="0"/>
        <w:jc w:val="both"/>
        <w:sectPr>
          <w:pgSz w:w="11900" w:h="16840"/>
          <w:pgMar w:header="230" w:footer="408" w:top="560" w:bottom="600" w:left="1200" w:right="1140"/>
        </w:sectPr>
      </w:pPr>
    </w:p>
    <w:p>
      <w:pPr>
        <w:pStyle w:val="BodyText"/>
      </w:pPr>
    </w:p>
    <w:p>
      <w:pPr>
        <w:pStyle w:val="BodyText"/>
        <w:spacing w:before="209"/>
        <w:ind w:left="219" w:right="264"/>
        <w:jc w:val="both"/>
      </w:pPr>
      <w:r>
        <w:rPr/>
        <w:t>greater uncertainty than for permanent cropland. In evaluating existing studies or conducting new measurements it is critical that the plots being compared have similar pre-conversion histories and management as well as similar topographic position, soil physical properties and be located in close proximity. As for permanent cropland, required information includes C stock (i.e. mass per unit area to a specified depth) for each land use (and time point if a chronosequence). As previously described under </w:t>
      </w:r>
      <w:r>
        <w:rPr>
          <w:i/>
        </w:rPr>
        <w:t>Cropland Remaining Cropland</w:t>
      </w:r>
      <w:r>
        <w:rPr/>
        <w:t>, in the absence of specific information upon which to select an alternative depth interval, it is </w:t>
      </w:r>
      <w:r>
        <w:rPr>
          <w:i/>
        </w:rPr>
        <w:t>good practice </w:t>
      </w:r>
      <w:r>
        <w:rPr/>
        <w:t>to compare stock change factors at a depth of at least 30 cm (i.e. the depth used for Tier 1 calculations). Stock changes over a deeper depth may be desirable if a sufficient number of studies are available and if statistically significant differences in stocks due to land management are demonstrated at deeper depths. However, it is critical that the reference</w:t>
      </w:r>
      <w:r>
        <w:rPr>
          <w:spacing w:val="-2"/>
        </w:rPr>
        <w:t> </w:t>
      </w:r>
      <w:r>
        <w:rPr/>
        <w:t>soil</w:t>
      </w:r>
      <w:r>
        <w:rPr>
          <w:spacing w:val="-2"/>
        </w:rPr>
        <w:t> </w:t>
      </w:r>
      <w:r>
        <w:rPr/>
        <w:t>carbon</w:t>
      </w:r>
      <w:r>
        <w:rPr>
          <w:spacing w:val="-4"/>
        </w:rPr>
        <w:t> </w:t>
      </w:r>
      <w:r>
        <w:rPr/>
        <w:t>stocks</w:t>
      </w:r>
      <w:r>
        <w:rPr>
          <w:spacing w:val="-3"/>
        </w:rPr>
        <w:t> </w:t>
      </w:r>
      <w:r>
        <w:rPr/>
        <w:t>(SOC</w:t>
      </w:r>
      <w:r>
        <w:rPr>
          <w:vertAlign w:val="subscript"/>
        </w:rPr>
        <w:t>Ref</w:t>
      </w:r>
      <w:r>
        <w:rPr>
          <w:vertAlign w:val="baseline"/>
        </w:rPr>
        <w:t>)</w:t>
      </w:r>
      <w:r>
        <w:rPr>
          <w:spacing w:val="-2"/>
          <w:vertAlign w:val="baseline"/>
        </w:rPr>
        <w:t> </w:t>
      </w:r>
      <w:r>
        <w:rPr>
          <w:vertAlign w:val="baseline"/>
        </w:rPr>
        <w:t>and</w:t>
      </w:r>
      <w:r>
        <w:rPr>
          <w:spacing w:val="-2"/>
          <w:vertAlign w:val="baseline"/>
        </w:rPr>
        <w:t> </w:t>
      </w:r>
      <w:r>
        <w:rPr>
          <w:vertAlign w:val="baseline"/>
        </w:rPr>
        <w:t>stock</w:t>
      </w:r>
      <w:r>
        <w:rPr>
          <w:spacing w:val="-3"/>
          <w:vertAlign w:val="baseline"/>
        </w:rPr>
        <w:t> </w:t>
      </w:r>
      <w:r>
        <w:rPr>
          <w:vertAlign w:val="baseline"/>
        </w:rPr>
        <w:t>change</w:t>
      </w:r>
      <w:r>
        <w:rPr>
          <w:spacing w:val="-3"/>
          <w:vertAlign w:val="baseline"/>
        </w:rPr>
        <w:t> </w:t>
      </w:r>
      <w:r>
        <w:rPr>
          <w:vertAlign w:val="baseline"/>
        </w:rPr>
        <w:t>factors</w:t>
      </w:r>
      <w:r>
        <w:rPr>
          <w:spacing w:val="-4"/>
          <w:vertAlign w:val="baseline"/>
        </w:rPr>
        <w:t> </w:t>
      </w:r>
      <w:r>
        <w:rPr>
          <w:vertAlign w:val="baseline"/>
        </w:rPr>
        <w:t>(F</w:t>
      </w:r>
      <w:r>
        <w:rPr>
          <w:vertAlign w:val="subscript"/>
        </w:rPr>
        <w:t>LU</w:t>
      </w:r>
      <w:r>
        <w:rPr>
          <w:vertAlign w:val="baseline"/>
        </w:rPr>
        <w:t>,</w:t>
      </w:r>
      <w:r>
        <w:rPr>
          <w:spacing w:val="-2"/>
          <w:vertAlign w:val="baseline"/>
        </w:rPr>
        <w:t> </w:t>
      </w:r>
      <w:r>
        <w:rPr>
          <w:vertAlign w:val="baseline"/>
        </w:rPr>
        <w:t>F</w:t>
      </w:r>
      <w:r>
        <w:rPr>
          <w:vertAlign w:val="subscript"/>
        </w:rPr>
        <w:t>MG</w:t>
      </w:r>
      <w:r>
        <w:rPr>
          <w:vertAlign w:val="baseline"/>
        </w:rPr>
        <w:t>,</w:t>
      </w:r>
      <w:r>
        <w:rPr>
          <w:spacing w:val="-1"/>
          <w:vertAlign w:val="baseline"/>
        </w:rPr>
        <w:t> </w:t>
      </w:r>
      <w:r>
        <w:rPr>
          <w:vertAlign w:val="baseline"/>
        </w:rPr>
        <w:t>F</w:t>
      </w:r>
      <w:r>
        <w:rPr>
          <w:vertAlign w:val="subscript"/>
        </w:rPr>
        <w:t>I</w:t>
      </w:r>
      <w:r>
        <w:rPr>
          <w:vertAlign w:val="baseline"/>
        </w:rPr>
        <w:t>)</w:t>
      </w:r>
      <w:r>
        <w:rPr>
          <w:spacing w:val="-2"/>
          <w:vertAlign w:val="baseline"/>
        </w:rPr>
        <w:t> </w:t>
      </w:r>
      <w:r>
        <w:rPr>
          <w:vertAlign w:val="baseline"/>
        </w:rPr>
        <w:t>be</w:t>
      </w:r>
      <w:r>
        <w:rPr>
          <w:spacing w:val="-2"/>
          <w:vertAlign w:val="baseline"/>
        </w:rPr>
        <w:t> </w:t>
      </w:r>
      <w:r>
        <w:rPr>
          <w:vertAlign w:val="baseline"/>
        </w:rPr>
        <w:t>determined</w:t>
      </w:r>
      <w:r>
        <w:rPr>
          <w:spacing w:val="-2"/>
          <w:vertAlign w:val="baseline"/>
        </w:rPr>
        <w:t> </w:t>
      </w:r>
      <w:r>
        <w:rPr>
          <w:vertAlign w:val="baseline"/>
        </w:rPr>
        <w:t>to</w:t>
      </w:r>
      <w:r>
        <w:rPr>
          <w:spacing w:val="-1"/>
          <w:vertAlign w:val="baseline"/>
        </w:rPr>
        <w:t> </w:t>
      </w:r>
      <w:r>
        <w:rPr>
          <w:vertAlign w:val="baseline"/>
        </w:rPr>
        <w:t>a</w:t>
      </w:r>
      <w:r>
        <w:rPr>
          <w:spacing w:val="-2"/>
          <w:vertAlign w:val="baseline"/>
        </w:rPr>
        <w:t> </w:t>
      </w:r>
      <w:r>
        <w:rPr>
          <w:vertAlign w:val="baseline"/>
        </w:rPr>
        <w:t>common</w:t>
      </w:r>
      <w:r>
        <w:rPr>
          <w:spacing w:val="-4"/>
          <w:vertAlign w:val="baseline"/>
        </w:rPr>
        <w:t> </w:t>
      </w:r>
      <w:r>
        <w:rPr>
          <w:vertAlign w:val="baseline"/>
        </w:rPr>
        <w:t>depth.</w:t>
      </w:r>
    </w:p>
    <w:p>
      <w:pPr>
        <w:pStyle w:val="BodyText"/>
        <w:spacing w:before="3"/>
        <w:rPr>
          <w:sz w:val="21"/>
        </w:rPr>
      </w:pPr>
    </w:p>
    <w:p>
      <w:pPr>
        <w:pStyle w:val="Heading7"/>
        <w:jc w:val="left"/>
      </w:pPr>
      <w:r>
        <w:rPr/>
        <w:t>Organic soils</w:t>
      </w:r>
    </w:p>
    <w:p>
      <w:pPr>
        <w:pStyle w:val="BodyText"/>
        <w:ind w:left="219" w:right="265" w:hanging="1"/>
        <w:jc w:val="both"/>
      </w:pPr>
      <w:r>
        <w:rPr>
          <w:b/>
        </w:rPr>
        <w:t>Tier 1 </w:t>
      </w:r>
      <w:r>
        <w:rPr/>
        <w:t>and </w:t>
      </w:r>
      <w:r>
        <w:rPr>
          <w:b/>
        </w:rPr>
        <w:t>Tier 2 </w:t>
      </w:r>
      <w:r>
        <w:rPr/>
        <w:t>choice of C emission factors from organic soils recently converted to cropland should observe the same procedures for deriving emission factors as described earlier under the </w:t>
      </w:r>
      <w:r>
        <w:rPr>
          <w:i/>
        </w:rPr>
        <w:t>Cropland Remaining Cropland </w:t>
      </w:r>
      <w:r>
        <w:rPr/>
        <w:t>section.</w:t>
      </w:r>
    </w:p>
    <w:p>
      <w:pPr>
        <w:pStyle w:val="BodyText"/>
        <w:spacing w:before="10"/>
        <w:rPr>
          <w:sz w:val="10"/>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2"/>
        <w:gridCol w:w="1728"/>
        <w:gridCol w:w="1078"/>
        <w:gridCol w:w="1037"/>
        <w:gridCol w:w="747"/>
        <w:gridCol w:w="3274"/>
      </w:tblGrid>
      <w:tr>
        <w:trPr>
          <w:trHeight w:val="532" w:hRule="atLeast"/>
        </w:trPr>
        <w:tc>
          <w:tcPr>
            <w:tcW w:w="9016" w:type="dxa"/>
            <w:gridSpan w:val="6"/>
            <w:tcBorders>
              <w:bottom w:val="double" w:sz="1" w:space="0" w:color="000000"/>
            </w:tcBorders>
          </w:tcPr>
          <w:p>
            <w:pPr>
              <w:pStyle w:val="TableParagraph"/>
              <w:spacing w:line="207" w:lineRule="exact" w:before="59"/>
              <w:ind w:left="408" w:right="402"/>
              <w:jc w:val="center"/>
              <w:rPr>
                <w:b/>
                <w:sz w:val="18"/>
              </w:rPr>
            </w:pPr>
            <w:r>
              <w:rPr>
                <w:b/>
                <w:sz w:val="18"/>
              </w:rPr>
              <w:t>T</w:t>
            </w:r>
            <w:r>
              <w:rPr>
                <w:b/>
                <w:sz w:val="14"/>
              </w:rPr>
              <w:t>ABLE </w:t>
            </w:r>
            <w:r>
              <w:rPr>
                <w:b/>
                <w:sz w:val="18"/>
              </w:rPr>
              <w:t>3.3.9</w:t>
            </w:r>
          </w:p>
          <w:p>
            <w:pPr>
              <w:pStyle w:val="TableParagraph"/>
              <w:spacing w:line="224" w:lineRule="exact"/>
              <w:ind w:left="407" w:right="402"/>
              <w:jc w:val="center"/>
              <w:rPr>
                <w:b/>
                <w:sz w:val="14"/>
              </w:rPr>
            </w:pPr>
            <w:r>
              <w:rPr>
                <w:b/>
                <w:sz w:val="18"/>
              </w:rPr>
              <w:t>R</w:t>
            </w:r>
            <w:r>
              <w:rPr>
                <w:b/>
                <w:sz w:val="14"/>
              </w:rPr>
              <w:t>ELATIVE SOIL STOCK CHANGE FACTORS </w:t>
            </w:r>
            <w:r>
              <w:rPr>
                <w:b/>
                <w:sz w:val="18"/>
              </w:rPr>
              <w:t>(F</w:t>
            </w:r>
            <w:r>
              <w:rPr>
                <w:b/>
                <w:position w:val="-2"/>
                <w:sz w:val="12"/>
              </w:rPr>
              <w:t>LU</w:t>
            </w:r>
            <w:r>
              <w:rPr>
                <w:b/>
                <w:sz w:val="18"/>
              </w:rPr>
              <w:t>, F</w:t>
            </w:r>
            <w:r>
              <w:rPr>
                <w:b/>
                <w:position w:val="-2"/>
                <w:sz w:val="12"/>
              </w:rPr>
              <w:t>MG</w:t>
            </w:r>
            <w:r>
              <w:rPr>
                <w:b/>
                <w:sz w:val="18"/>
              </w:rPr>
              <w:t>, F</w:t>
            </w:r>
            <w:r>
              <w:rPr>
                <w:b/>
                <w:position w:val="-2"/>
                <w:sz w:val="12"/>
              </w:rPr>
              <w:t>I</w:t>
            </w:r>
            <w:r>
              <w:rPr>
                <w:b/>
                <w:sz w:val="18"/>
              </w:rPr>
              <w:t>) </w:t>
            </w:r>
            <w:r>
              <w:rPr>
                <w:b/>
                <w:sz w:val="14"/>
              </w:rPr>
              <w:t>FOR LAND</w:t>
            </w:r>
            <w:r>
              <w:rPr>
                <w:b/>
                <w:sz w:val="18"/>
              </w:rPr>
              <w:t>-</w:t>
            </w:r>
            <w:r>
              <w:rPr>
                <w:b/>
                <w:sz w:val="14"/>
              </w:rPr>
              <w:t>USE CONVERSIONS TO CROPLAND</w:t>
            </w:r>
          </w:p>
        </w:tc>
      </w:tr>
      <w:tr>
        <w:trPr>
          <w:trHeight w:val="726" w:hRule="atLeast"/>
        </w:trPr>
        <w:tc>
          <w:tcPr>
            <w:tcW w:w="1152" w:type="dxa"/>
            <w:tcBorders>
              <w:top w:val="double" w:sz="1" w:space="0" w:color="000000"/>
            </w:tcBorders>
          </w:tcPr>
          <w:p>
            <w:pPr>
              <w:pStyle w:val="TableParagraph"/>
              <w:spacing w:before="157"/>
              <w:ind w:left="184" w:firstLine="136"/>
              <w:rPr>
                <w:b/>
                <w:sz w:val="18"/>
              </w:rPr>
            </w:pPr>
            <w:r>
              <w:rPr>
                <w:b/>
                <w:sz w:val="18"/>
              </w:rPr>
              <w:t>Factor value type</w:t>
            </w:r>
          </w:p>
        </w:tc>
        <w:tc>
          <w:tcPr>
            <w:tcW w:w="1728" w:type="dxa"/>
            <w:tcBorders>
              <w:top w:val="double" w:sz="1" w:space="0" w:color="000000"/>
            </w:tcBorders>
          </w:tcPr>
          <w:p>
            <w:pPr>
              <w:pStyle w:val="TableParagraph"/>
              <w:spacing w:before="7"/>
              <w:rPr>
                <w:sz w:val="22"/>
              </w:rPr>
            </w:pPr>
          </w:p>
          <w:p>
            <w:pPr>
              <w:pStyle w:val="TableParagraph"/>
              <w:spacing w:before="1"/>
              <w:ind w:left="133" w:right="119"/>
              <w:jc w:val="center"/>
              <w:rPr>
                <w:b/>
                <w:sz w:val="18"/>
              </w:rPr>
            </w:pPr>
            <w:r>
              <w:rPr>
                <w:b/>
                <w:sz w:val="18"/>
              </w:rPr>
              <w:t>Level</w:t>
            </w:r>
          </w:p>
        </w:tc>
        <w:tc>
          <w:tcPr>
            <w:tcW w:w="1078" w:type="dxa"/>
            <w:tcBorders>
              <w:top w:val="double" w:sz="1" w:space="0" w:color="000000"/>
            </w:tcBorders>
          </w:tcPr>
          <w:p>
            <w:pPr>
              <w:pStyle w:val="TableParagraph"/>
              <w:spacing w:before="157"/>
              <w:ind w:left="273" w:right="204" w:hanging="39"/>
              <w:rPr>
                <w:b/>
                <w:sz w:val="18"/>
              </w:rPr>
            </w:pPr>
            <w:r>
              <w:rPr>
                <w:b/>
                <w:sz w:val="18"/>
              </w:rPr>
              <w:t>Climate regime</w:t>
            </w:r>
          </w:p>
        </w:tc>
        <w:tc>
          <w:tcPr>
            <w:tcW w:w="1037" w:type="dxa"/>
            <w:tcBorders>
              <w:top w:val="double" w:sz="1" w:space="0" w:color="000000"/>
            </w:tcBorders>
          </w:tcPr>
          <w:p>
            <w:pPr>
              <w:pStyle w:val="TableParagraph"/>
              <w:spacing w:before="52"/>
              <w:ind w:left="93" w:right="88"/>
              <w:jc w:val="center"/>
              <w:rPr>
                <w:rFonts w:ascii="TimesNewRomanPS-BoldItalicMT"/>
                <w:b/>
                <w:i/>
                <w:sz w:val="18"/>
              </w:rPr>
            </w:pPr>
            <w:r>
              <w:rPr>
                <w:rFonts w:ascii="TimesNewRomanPS-BoldItalicMT"/>
                <w:b/>
                <w:i/>
                <w:sz w:val="18"/>
              </w:rPr>
              <w:t>IPCC</w:t>
            </w:r>
          </w:p>
          <w:p>
            <w:pPr>
              <w:pStyle w:val="TableParagraph"/>
              <w:spacing w:line="207" w:lineRule="exact" w:before="2"/>
              <w:ind w:left="97" w:right="88"/>
              <w:jc w:val="center"/>
              <w:rPr>
                <w:rFonts w:ascii="TimesNewRomanPS-BoldItalicMT"/>
                <w:b/>
                <w:i/>
                <w:sz w:val="18"/>
              </w:rPr>
            </w:pPr>
            <w:r>
              <w:rPr>
                <w:rFonts w:ascii="TimesNewRomanPS-BoldItalicMT"/>
                <w:b/>
                <w:i/>
                <w:sz w:val="18"/>
              </w:rPr>
              <w:t>Guidelines</w:t>
            </w:r>
          </w:p>
          <w:p>
            <w:pPr>
              <w:pStyle w:val="TableParagraph"/>
              <w:spacing w:line="207" w:lineRule="exact"/>
              <w:ind w:left="96" w:right="88"/>
              <w:jc w:val="center"/>
              <w:rPr>
                <w:b/>
                <w:sz w:val="18"/>
              </w:rPr>
            </w:pPr>
            <w:r>
              <w:rPr>
                <w:b/>
                <w:sz w:val="18"/>
              </w:rPr>
              <w:t>default</w:t>
            </w:r>
          </w:p>
        </w:tc>
        <w:tc>
          <w:tcPr>
            <w:tcW w:w="747" w:type="dxa"/>
            <w:tcBorders>
              <w:top w:val="double" w:sz="1" w:space="0" w:color="000000"/>
            </w:tcBorders>
          </w:tcPr>
          <w:p>
            <w:pPr>
              <w:pStyle w:val="TableParagraph"/>
              <w:spacing w:before="3"/>
              <w:rPr>
                <w:sz w:val="22"/>
              </w:rPr>
            </w:pPr>
          </w:p>
          <w:p>
            <w:pPr>
              <w:pStyle w:val="TableParagraph"/>
              <w:ind w:left="95" w:right="93"/>
              <w:jc w:val="center"/>
              <w:rPr>
                <w:sz w:val="18"/>
              </w:rPr>
            </w:pPr>
            <w:r>
              <w:rPr>
                <w:b/>
                <w:sz w:val="18"/>
              </w:rPr>
              <w:t>Error</w:t>
            </w:r>
            <w:r>
              <w:rPr>
                <w:sz w:val="18"/>
                <w:vertAlign w:val="superscript"/>
              </w:rPr>
              <w:t>#</w:t>
            </w:r>
          </w:p>
        </w:tc>
        <w:tc>
          <w:tcPr>
            <w:tcW w:w="3274" w:type="dxa"/>
            <w:tcBorders>
              <w:top w:val="double" w:sz="1" w:space="0" w:color="000000"/>
            </w:tcBorders>
          </w:tcPr>
          <w:p>
            <w:pPr>
              <w:pStyle w:val="TableParagraph"/>
              <w:spacing w:before="7"/>
              <w:rPr>
                <w:sz w:val="22"/>
              </w:rPr>
            </w:pPr>
          </w:p>
          <w:p>
            <w:pPr>
              <w:pStyle w:val="TableParagraph"/>
              <w:spacing w:before="1"/>
              <w:ind w:left="1233" w:right="1220"/>
              <w:jc w:val="center"/>
              <w:rPr>
                <w:b/>
                <w:sz w:val="18"/>
              </w:rPr>
            </w:pPr>
            <w:r>
              <w:rPr>
                <w:b/>
                <w:sz w:val="18"/>
              </w:rPr>
              <w:t>Definition</w:t>
            </w:r>
          </w:p>
        </w:tc>
      </w:tr>
      <w:tr>
        <w:trPr>
          <w:trHeight w:val="330" w:hRule="atLeast"/>
        </w:trPr>
        <w:tc>
          <w:tcPr>
            <w:tcW w:w="1152" w:type="dxa"/>
            <w:vMerge w:val="restart"/>
          </w:tcPr>
          <w:p>
            <w:pPr>
              <w:pStyle w:val="TableParagraph"/>
              <w:spacing w:before="2"/>
              <w:rPr>
                <w:sz w:val="19"/>
              </w:rPr>
            </w:pPr>
          </w:p>
          <w:p>
            <w:pPr>
              <w:pStyle w:val="TableParagraph"/>
              <w:ind w:left="246"/>
              <w:rPr>
                <w:sz w:val="18"/>
              </w:rPr>
            </w:pPr>
            <w:r>
              <w:rPr>
                <w:sz w:val="18"/>
              </w:rPr>
              <w:t>Land use</w:t>
            </w:r>
          </w:p>
        </w:tc>
        <w:tc>
          <w:tcPr>
            <w:tcW w:w="1728" w:type="dxa"/>
            <w:vMerge w:val="restart"/>
          </w:tcPr>
          <w:p>
            <w:pPr>
              <w:pStyle w:val="TableParagraph"/>
              <w:spacing w:before="14"/>
              <w:ind w:left="525" w:right="269" w:hanging="226"/>
              <w:rPr>
                <w:sz w:val="18"/>
              </w:rPr>
            </w:pPr>
            <w:r>
              <w:rPr>
                <w:sz w:val="18"/>
              </w:rPr>
              <w:t>Native forest or grassland</w:t>
            </w:r>
          </w:p>
          <w:p>
            <w:pPr>
              <w:pStyle w:val="TableParagraph"/>
              <w:spacing w:before="1"/>
              <w:ind w:left="333"/>
              <w:rPr>
                <w:sz w:val="18"/>
              </w:rPr>
            </w:pPr>
            <w:r>
              <w:rPr>
                <w:sz w:val="18"/>
              </w:rPr>
              <w:t>(non-degraded)</w:t>
            </w:r>
          </w:p>
        </w:tc>
        <w:tc>
          <w:tcPr>
            <w:tcW w:w="1078" w:type="dxa"/>
          </w:tcPr>
          <w:p>
            <w:pPr>
              <w:pStyle w:val="TableParagraph"/>
              <w:spacing w:before="57"/>
              <w:ind w:left="31" w:right="24"/>
              <w:jc w:val="center"/>
              <w:rPr>
                <w:sz w:val="18"/>
              </w:rPr>
            </w:pPr>
            <w:r>
              <w:rPr>
                <w:sz w:val="18"/>
              </w:rPr>
              <w:t>Temperate</w:t>
            </w:r>
          </w:p>
        </w:tc>
        <w:tc>
          <w:tcPr>
            <w:tcW w:w="1037" w:type="dxa"/>
          </w:tcPr>
          <w:p>
            <w:pPr>
              <w:pStyle w:val="TableParagraph"/>
              <w:spacing w:before="57"/>
              <w:ind w:right="462"/>
              <w:jc w:val="right"/>
              <w:rPr>
                <w:sz w:val="18"/>
              </w:rPr>
            </w:pPr>
            <w:r>
              <w:rPr>
                <w:sz w:val="18"/>
              </w:rPr>
              <w:t>1</w:t>
            </w:r>
          </w:p>
        </w:tc>
        <w:tc>
          <w:tcPr>
            <w:tcW w:w="747" w:type="dxa"/>
          </w:tcPr>
          <w:p>
            <w:pPr>
              <w:pStyle w:val="TableParagraph"/>
              <w:spacing w:before="57"/>
              <w:ind w:left="95" w:right="90"/>
              <w:jc w:val="center"/>
              <w:rPr>
                <w:sz w:val="18"/>
              </w:rPr>
            </w:pPr>
            <w:r>
              <w:rPr>
                <w:sz w:val="18"/>
              </w:rPr>
              <w:t>NA</w:t>
            </w:r>
          </w:p>
        </w:tc>
        <w:tc>
          <w:tcPr>
            <w:tcW w:w="3274" w:type="dxa"/>
            <w:vMerge w:val="restart"/>
          </w:tcPr>
          <w:p>
            <w:pPr>
              <w:pStyle w:val="TableParagraph"/>
              <w:spacing w:before="55"/>
              <w:ind w:left="108"/>
              <w:rPr>
                <w:sz w:val="18"/>
              </w:rPr>
            </w:pPr>
            <w:r>
              <w:rPr>
                <w:sz w:val="18"/>
              </w:rPr>
              <w:t>Represents native or long-term, non-</w:t>
            </w:r>
          </w:p>
          <w:p>
            <w:pPr>
              <w:pStyle w:val="TableParagraph"/>
              <w:spacing w:line="206" w:lineRule="exact" w:before="5"/>
              <w:ind w:left="108" w:right="167"/>
              <w:rPr>
                <w:sz w:val="18"/>
              </w:rPr>
            </w:pPr>
            <w:r>
              <w:rPr>
                <w:sz w:val="18"/>
              </w:rPr>
              <w:t>degraded and sustainably managed forest and grasslands.</w:t>
            </w:r>
          </w:p>
        </w:tc>
      </w:tr>
      <w:tr>
        <w:trPr>
          <w:trHeight w:val="330" w:hRule="atLeast"/>
        </w:trPr>
        <w:tc>
          <w:tcPr>
            <w:tcW w:w="1152" w:type="dxa"/>
            <w:vMerge/>
            <w:tcBorders>
              <w:top w:val="nil"/>
            </w:tcBorders>
          </w:tcPr>
          <w:p>
            <w:pPr>
              <w:rPr>
                <w:sz w:val="2"/>
                <w:szCs w:val="2"/>
              </w:rPr>
            </w:pPr>
          </w:p>
        </w:tc>
        <w:tc>
          <w:tcPr>
            <w:tcW w:w="1728" w:type="dxa"/>
            <w:vMerge/>
            <w:tcBorders>
              <w:top w:val="nil"/>
            </w:tcBorders>
          </w:tcPr>
          <w:p>
            <w:pPr>
              <w:rPr>
                <w:sz w:val="2"/>
                <w:szCs w:val="2"/>
              </w:rPr>
            </w:pPr>
          </w:p>
        </w:tc>
        <w:tc>
          <w:tcPr>
            <w:tcW w:w="1078" w:type="dxa"/>
          </w:tcPr>
          <w:p>
            <w:pPr>
              <w:pStyle w:val="TableParagraph"/>
              <w:spacing w:before="57"/>
              <w:ind w:left="30" w:right="24"/>
              <w:jc w:val="center"/>
              <w:rPr>
                <w:sz w:val="18"/>
              </w:rPr>
            </w:pPr>
            <w:r>
              <w:rPr>
                <w:sz w:val="18"/>
              </w:rPr>
              <w:t>Tropical</w:t>
            </w:r>
          </w:p>
        </w:tc>
        <w:tc>
          <w:tcPr>
            <w:tcW w:w="1037" w:type="dxa"/>
          </w:tcPr>
          <w:p>
            <w:pPr>
              <w:pStyle w:val="TableParagraph"/>
              <w:spacing w:before="57"/>
              <w:ind w:right="462"/>
              <w:jc w:val="right"/>
              <w:rPr>
                <w:sz w:val="18"/>
              </w:rPr>
            </w:pPr>
            <w:r>
              <w:rPr>
                <w:sz w:val="18"/>
              </w:rPr>
              <w:t>1</w:t>
            </w:r>
          </w:p>
        </w:tc>
        <w:tc>
          <w:tcPr>
            <w:tcW w:w="747" w:type="dxa"/>
          </w:tcPr>
          <w:p>
            <w:pPr>
              <w:pStyle w:val="TableParagraph"/>
              <w:spacing w:before="57"/>
              <w:ind w:left="95" w:right="89"/>
              <w:jc w:val="center"/>
              <w:rPr>
                <w:sz w:val="18"/>
              </w:rPr>
            </w:pPr>
            <w:r>
              <w:rPr>
                <w:sz w:val="18"/>
              </w:rPr>
              <w:t>NA</w:t>
            </w:r>
          </w:p>
        </w:tc>
        <w:tc>
          <w:tcPr>
            <w:tcW w:w="3274" w:type="dxa"/>
            <w:vMerge/>
            <w:tcBorders>
              <w:top w:val="nil"/>
            </w:tcBorders>
          </w:tcPr>
          <w:p>
            <w:pPr>
              <w:rPr>
                <w:sz w:val="2"/>
                <w:szCs w:val="2"/>
              </w:rPr>
            </w:pPr>
          </w:p>
        </w:tc>
      </w:tr>
      <w:tr>
        <w:trPr>
          <w:trHeight w:val="436" w:hRule="atLeast"/>
        </w:trPr>
        <w:tc>
          <w:tcPr>
            <w:tcW w:w="1152" w:type="dxa"/>
            <w:vMerge w:val="restart"/>
          </w:tcPr>
          <w:p>
            <w:pPr>
              <w:pStyle w:val="TableParagraph"/>
              <w:spacing w:before="6"/>
              <w:rPr>
                <w:sz w:val="28"/>
              </w:rPr>
            </w:pPr>
          </w:p>
          <w:p>
            <w:pPr>
              <w:pStyle w:val="TableParagraph"/>
              <w:ind w:left="246"/>
              <w:rPr>
                <w:sz w:val="18"/>
              </w:rPr>
            </w:pPr>
            <w:r>
              <w:rPr>
                <w:sz w:val="18"/>
              </w:rPr>
              <w:t>Land use</w:t>
            </w:r>
          </w:p>
        </w:tc>
        <w:tc>
          <w:tcPr>
            <w:tcW w:w="1728" w:type="dxa"/>
          </w:tcPr>
          <w:p>
            <w:pPr>
              <w:pStyle w:val="TableParagraph"/>
              <w:spacing w:line="207" w:lineRule="exact" w:before="2"/>
              <w:ind w:left="167"/>
              <w:rPr>
                <w:sz w:val="18"/>
              </w:rPr>
            </w:pPr>
            <w:r>
              <w:rPr>
                <w:sz w:val="18"/>
              </w:rPr>
              <w:t>Shifting</w:t>
            </w:r>
            <w:r>
              <w:rPr>
                <w:spacing w:val="-9"/>
                <w:sz w:val="18"/>
              </w:rPr>
              <w:t> </w:t>
            </w:r>
            <w:r>
              <w:rPr>
                <w:sz w:val="18"/>
              </w:rPr>
              <w:t>cultivation</w:t>
            </w:r>
          </w:p>
          <w:p>
            <w:pPr>
              <w:pStyle w:val="TableParagraph"/>
              <w:spacing w:line="207" w:lineRule="exact"/>
              <w:ind w:left="182"/>
              <w:rPr>
                <w:sz w:val="18"/>
              </w:rPr>
            </w:pPr>
            <w:r>
              <w:rPr>
                <w:sz w:val="18"/>
              </w:rPr>
              <w:t>– Shortened</w:t>
            </w:r>
            <w:r>
              <w:rPr>
                <w:spacing w:val="-4"/>
                <w:sz w:val="18"/>
              </w:rPr>
              <w:t> </w:t>
            </w:r>
            <w:r>
              <w:rPr>
                <w:sz w:val="18"/>
              </w:rPr>
              <w:t>fallow</w:t>
            </w:r>
          </w:p>
        </w:tc>
        <w:tc>
          <w:tcPr>
            <w:tcW w:w="1078" w:type="dxa"/>
          </w:tcPr>
          <w:p>
            <w:pPr>
              <w:pStyle w:val="TableParagraph"/>
              <w:spacing w:before="105"/>
              <w:ind w:left="30" w:right="24"/>
              <w:jc w:val="center"/>
              <w:rPr>
                <w:sz w:val="18"/>
              </w:rPr>
            </w:pPr>
            <w:r>
              <w:rPr>
                <w:sz w:val="18"/>
              </w:rPr>
              <w:t>Tropical</w:t>
            </w:r>
          </w:p>
        </w:tc>
        <w:tc>
          <w:tcPr>
            <w:tcW w:w="1037" w:type="dxa"/>
          </w:tcPr>
          <w:p>
            <w:pPr>
              <w:pStyle w:val="TableParagraph"/>
              <w:spacing w:before="105"/>
              <w:ind w:right="349"/>
              <w:jc w:val="right"/>
              <w:rPr>
                <w:sz w:val="18"/>
              </w:rPr>
            </w:pPr>
            <w:r>
              <w:rPr>
                <w:sz w:val="18"/>
              </w:rPr>
              <w:t>0.64</w:t>
            </w:r>
          </w:p>
        </w:tc>
        <w:tc>
          <w:tcPr>
            <w:tcW w:w="747" w:type="dxa"/>
          </w:tcPr>
          <w:p>
            <w:pPr>
              <w:pStyle w:val="TableParagraph"/>
              <w:spacing w:before="105"/>
              <w:ind w:left="95" w:right="90"/>
              <w:jc w:val="center"/>
              <w:rPr>
                <w:sz w:val="18"/>
              </w:rPr>
            </w:pPr>
            <w:r>
              <w:rPr>
                <w:sz w:val="18"/>
                <w:u w:val="single"/>
              </w:rPr>
              <w:t>+</w:t>
            </w:r>
            <w:r>
              <w:rPr>
                <w:sz w:val="18"/>
              </w:rPr>
              <w:t> 50%</w:t>
            </w:r>
          </w:p>
        </w:tc>
        <w:tc>
          <w:tcPr>
            <w:tcW w:w="3274" w:type="dxa"/>
            <w:vMerge w:val="restart"/>
          </w:tcPr>
          <w:p>
            <w:pPr>
              <w:pStyle w:val="TableParagraph"/>
              <w:spacing w:before="47"/>
              <w:ind w:left="108" w:right="197"/>
              <w:rPr>
                <w:sz w:val="18"/>
              </w:rPr>
            </w:pPr>
            <w:r>
              <w:rPr>
                <w:sz w:val="18"/>
              </w:rPr>
              <w:t>Permanent shifting cultivation, where tropical forest or woodland is cleared for planting of annual crops for a short time</w:t>
            </w:r>
          </w:p>
          <w:p>
            <w:pPr>
              <w:pStyle w:val="TableParagraph"/>
              <w:spacing w:line="201" w:lineRule="exact" w:before="1"/>
              <w:ind w:left="108"/>
              <w:rPr>
                <w:sz w:val="18"/>
              </w:rPr>
            </w:pPr>
            <w:r>
              <w:rPr>
                <w:sz w:val="18"/>
              </w:rPr>
              <w:t>(e.g. 3-5 yr) period and then abandoned to</w:t>
            </w:r>
          </w:p>
        </w:tc>
      </w:tr>
      <w:tr>
        <w:trPr>
          <w:trHeight w:val="443" w:hRule="atLeast"/>
        </w:trPr>
        <w:tc>
          <w:tcPr>
            <w:tcW w:w="1152" w:type="dxa"/>
            <w:vMerge/>
            <w:tcBorders>
              <w:top w:val="nil"/>
            </w:tcBorders>
          </w:tcPr>
          <w:p>
            <w:pPr>
              <w:rPr>
                <w:sz w:val="2"/>
                <w:szCs w:val="2"/>
              </w:rPr>
            </w:pPr>
          </w:p>
        </w:tc>
        <w:tc>
          <w:tcPr>
            <w:tcW w:w="1728" w:type="dxa"/>
          </w:tcPr>
          <w:p>
            <w:pPr>
              <w:pStyle w:val="TableParagraph"/>
              <w:spacing w:line="207" w:lineRule="exact" w:before="9"/>
              <w:ind w:left="133" w:right="120"/>
              <w:jc w:val="center"/>
              <w:rPr>
                <w:sz w:val="18"/>
              </w:rPr>
            </w:pPr>
            <w:r>
              <w:rPr>
                <w:sz w:val="18"/>
              </w:rPr>
              <w:t>Shifting cultivation</w:t>
            </w:r>
          </w:p>
          <w:p>
            <w:pPr>
              <w:pStyle w:val="TableParagraph"/>
              <w:spacing w:line="207" w:lineRule="exact"/>
              <w:ind w:left="133" w:right="118"/>
              <w:jc w:val="center"/>
              <w:rPr>
                <w:sz w:val="18"/>
              </w:rPr>
            </w:pPr>
            <w:r>
              <w:rPr>
                <w:sz w:val="18"/>
              </w:rPr>
              <w:t>– Mature fallow</w:t>
            </w:r>
          </w:p>
        </w:tc>
        <w:tc>
          <w:tcPr>
            <w:tcW w:w="1078" w:type="dxa"/>
          </w:tcPr>
          <w:p>
            <w:pPr>
              <w:pStyle w:val="TableParagraph"/>
              <w:spacing w:before="112"/>
              <w:ind w:left="30" w:right="24"/>
              <w:jc w:val="center"/>
              <w:rPr>
                <w:sz w:val="18"/>
              </w:rPr>
            </w:pPr>
            <w:r>
              <w:rPr>
                <w:sz w:val="18"/>
              </w:rPr>
              <w:t>Tropical</w:t>
            </w:r>
          </w:p>
        </w:tc>
        <w:tc>
          <w:tcPr>
            <w:tcW w:w="1037" w:type="dxa"/>
          </w:tcPr>
          <w:p>
            <w:pPr>
              <w:pStyle w:val="TableParagraph"/>
              <w:spacing w:before="112"/>
              <w:ind w:right="394"/>
              <w:jc w:val="right"/>
              <w:rPr>
                <w:sz w:val="18"/>
              </w:rPr>
            </w:pPr>
            <w:r>
              <w:rPr>
                <w:sz w:val="18"/>
              </w:rPr>
              <w:t>0.8</w:t>
            </w:r>
          </w:p>
        </w:tc>
        <w:tc>
          <w:tcPr>
            <w:tcW w:w="747" w:type="dxa"/>
          </w:tcPr>
          <w:p>
            <w:pPr>
              <w:pStyle w:val="TableParagraph"/>
              <w:spacing w:before="112"/>
              <w:ind w:left="95" w:right="90"/>
              <w:jc w:val="center"/>
              <w:rPr>
                <w:sz w:val="18"/>
              </w:rPr>
            </w:pPr>
            <w:r>
              <w:rPr>
                <w:sz w:val="18"/>
                <w:u w:val="single"/>
              </w:rPr>
              <w:t>+</w:t>
            </w:r>
            <w:r>
              <w:rPr>
                <w:sz w:val="18"/>
              </w:rPr>
              <w:t> 50%</w:t>
            </w:r>
          </w:p>
        </w:tc>
        <w:tc>
          <w:tcPr>
            <w:tcW w:w="3274" w:type="dxa"/>
            <w:vMerge/>
            <w:tcBorders>
              <w:top w:val="nil"/>
            </w:tcBorders>
          </w:tcPr>
          <w:p>
            <w:pPr>
              <w:rPr>
                <w:sz w:val="2"/>
                <w:szCs w:val="2"/>
              </w:rPr>
            </w:pPr>
          </w:p>
        </w:tc>
      </w:tr>
      <w:tr>
        <w:trPr>
          <w:trHeight w:val="669" w:hRule="atLeast"/>
        </w:trPr>
        <w:tc>
          <w:tcPr>
            <w:tcW w:w="1152" w:type="dxa"/>
          </w:tcPr>
          <w:p>
            <w:pPr>
              <w:pStyle w:val="TableParagraph"/>
              <w:spacing w:before="19"/>
              <w:ind w:left="83" w:right="72" w:hanging="1"/>
              <w:jc w:val="center"/>
              <w:rPr>
                <w:sz w:val="18"/>
              </w:rPr>
            </w:pPr>
            <w:r>
              <w:rPr>
                <w:sz w:val="18"/>
              </w:rPr>
              <w:t>Land use, Management, &amp; Input</w:t>
            </w:r>
          </w:p>
        </w:tc>
        <w:tc>
          <w:tcPr>
            <w:tcW w:w="1728" w:type="dxa"/>
          </w:tcPr>
          <w:p>
            <w:pPr>
              <w:pStyle w:val="TableParagraph"/>
              <w:spacing w:before="6"/>
              <w:rPr>
                <w:sz w:val="19"/>
              </w:rPr>
            </w:pPr>
          </w:p>
          <w:p>
            <w:pPr>
              <w:pStyle w:val="TableParagraph"/>
              <w:spacing w:before="1"/>
              <w:ind w:left="133" w:right="121"/>
              <w:jc w:val="center"/>
              <w:rPr>
                <w:sz w:val="18"/>
              </w:rPr>
            </w:pPr>
            <w:r>
              <w:rPr>
                <w:sz w:val="18"/>
              </w:rPr>
              <w:t>Managed forest</w:t>
            </w:r>
          </w:p>
        </w:tc>
        <w:tc>
          <w:tcPr>
            <w:tcW w:w="6136" w:type="dxa"/>
            <w:gridSpan w:val="4"/>
          </w:tcPr>
          <w:p>
            <w:pPr>
              <w:pStyle w:val="TableParagraph"/>
              <w:spacing w:before="6"/>
              <w:rPr>
                <w:sz w:val="19"/>
              </w:rPr>
            </w:pPr>
          </w:p>
          <w:p>
            <w:pPr>
              <w:pStyle w:val="TableParagraph"/>
              <w:spacing w:before="1"/>
              <w:ind w:left="1484"/>
              <w:rPr>
                <w:sz w:val="18"/>
              </w:rPr>
            </w:pPr>
            <w:r>
              <w:rPr>
                <w:sz w:val="18"/>
              </w:rPr>
              <w:t>See Equation 3.2.14 and accompanying text</w:t>
            </w:r>
          </w:p>
        </w:tc>
      </w:tr>
      <w:tr>
        <w:trPr>
          <w:trHeight w:val="671" w:hRule="atLeast"/>
        </w:trPr>
        <w:tc>
          <w:tcPr>
            <w:tcW w:w="1152" w:type="dxa"/>
          </w:tcPr>
          <w:p>
            <w:pPr>
              <w:pStyle w:val="TableParagraph"/>
              <w:spacing w:before="19"/>
              <w:ind w:left="83" w:right="72" w:hanging="1"/>
              <w:jc w:val="center"/>
              <w:rPr>
                <w:sz w:val="18"/>
              </w:rPr>
            </w:pPr>
            <w:r>
              <w:rPr>
                <w:sz w:val="18"/>
              </w:rPr>
              <w:t>Land use, Management, &amp; Input</w:t>
            </w:r>
          </w:p>
        </w:tc>
        <w:tc>
          <w:tcPr>
            <w:tcW w:w="1728" w:type="dxa"/>
          </w:tcPr>
          <w:p>
            <w:pPr>
              <w:pStyle w:val="TableParagraph"/>
              <w:spacing w:before="6"/>
              <w:rPr>
                <w:sz w:val="19"/>
              </w:rPr>
            </w:pPr>
          </w:p>
          <w:p>
            <w:pPr>
              <w:pStyle w:val="TableParagraph"/>
              <w:spacing w:before="1"/>
              <w:ind w:left="132" w:right="121"/>
              <w:jc w:val="center"/>
              <w:rPr>
                <w:sz w:val="18"/>
              </w:rPr>
            </w:pPr>
            <w:r>
              <w:rPr>
                <w:sz w:val="18"/>
              </w:rPr>
              <w:t>Managed grassland</w:t>
            </w:r>
          </w:p>
        </w:tc>
        <w:tc>
          <w:tcPr>
            <w:tcW w:w="6136" w:type="dxa"/>
            <w:gridSpan w:val="4"/>
          </w:tcPr>
          <w:p>
            <w:pPr>
              <w:pStyle w:val="TableParagraph"/>
              <w:spacing w:before="6"/>
              <w:rPr>
                <w:sz w:val="19"/>
              </w:rPr>
            </w:pPr>
          </w:p>
          <w:p>
            <w:pPr>
              <w:pStyle w:val="TableParagraph"/>
              <w:spacing w:before="1"/>
              <w:ind w:left="1887"/>
              <w:rPr>
                <w:sz w:val="18"/>
              </w:rPr>
            </w:pPr>
            <w:r>
              <w:rPr>
                <w:sz w:val="18"/>
              </w:rPr>
              <w:t>See default values in Table 3.4.5</w:t>
            </w:r>
          </w:p>
        </w:tc>
      </w:tr>
      <w:tr>
        <w:trPr>
          <w:trHeight w:val="669" w:hRule="atLeast"/>
        </w:trPr>
        <w:tc>
          <w:tcPr>
            <w:tcW w:w="1152" w:type="dxa"/>
          </w:tcPr>
          <w:p>
            <w:pPr>
              <w:pStyle w:val="TableParagraph"/>
              <w:spacing w:before="19"/>
              <w:ind w:left="83" w:right="72" w:hanging="1"/>
              <w:jc w:val="center"/>
              <w:rPr>
                <w:sz w:val="18"/>
              </w:rPr>
            </w:pPr>
            <w:r>
              <w:rPr>
                <w:sz w:val="18"/>
              </w:rPr>
              <w:t>Land use, Management, &amp; Input</w:t>
            </w:r>
          </w:p>
        </w:tc>
        <w:tc>
          <w:tcPr>
            <w:tcW w:w="1728" w:type="dxa"/>
          </w:tcPr>
          <w:p>
            <w:pPr>
              <w:pStyle w:val="TableParagraph"/>
              <w:spacing w:before="6"/>
              <w:rPr>
                <w:sz w:val="19"/>
              </w:rPr>
            </w:pPr>
          </w:p>
          <w:p>
            <w:pPr>
              <w:pStyle w:val="TableParagraph"/>
              <w:spacing w:before="1"/>
              <w:ind w:left="133" w:right="121"/>
              <w:jc w:val="center"/>
              <w:rPr>
                <w:sz w:val="18"/>
              </w:rPr>
            </w:pPr>
            <w:r>
              <w:rPr>
                <w:sz w:val="18"/>
              </w:rPr>
              <w:t>Cropland</w:t>
            </w:r>
          </w:p>
        </w:tc>
        <w:tc>
          <w:tcPr>
            <w:tcW w:w="6136" w:type="dxa"/>
            <w:gridSpan w:val="4"/>
          </w:tcPr>
          <w:p>
            <w:pPr>
              <w:pStyle w:val="TableParagraph"/>
              <w:spacing w:before="6"/>
              <w:rPr>
                <w:sz w:val="19"/>
              </w:rPr>
            </w:pPr>
          </w:p>
          <w:p>
            <w:pPr>
              <w:pStyle w:val="TableParagraph"/>
              <w:spacing w:before="1"/>
              <w:ind w:left="1888"/>
              <w:rPr>
                <w:sz w:val="18"/>
              </w:rPr>
            </w:pPr>
            <w:r>
              <w:rPr>
                <w:sz w:val="18"/>
              </w:rPr>
              <w:t>See default values in Table 3.3.4</w:t>
            </w:r>
          </w:p>
        </w:tc>
      </w:tr>
      <w:tr>
        <w:trPr>
          <w:trHeight w:val="443" w:hRule="atLeast"/>
        </w:trPr>
        <w:tc>
          <w:tcPr>
            <w:tcW w:w="9016" w:type="dxa"/>
            <w:gridSpan w:val="6"/>
          </w:tcPr>
          <w:p>
            <w:pPr>
              <w:pStyle w:val="TableParagraph"/>
              <w:spacing w:before="19"/>
              <w:ind w:left="249" w:right="508" w:hanging="142"/>
              <w:rPr>
                <w:sz w:val="16"/>
              </w:rPr>
            </w:pPr>
            <w:r>
              <w:rPr>
                <w:position w:val="7"/>
                <w:sz w:val="10"/>
              </w:rPr>
              <w:t># </w:t>
            </w:r>
            <w:r>
              <w:rPr>
                <w:sz w:val="16"/>
              </w:rPr>
              <w:t>Represents a nominal estimate of error, equivalent to two times standard deviation, as a percentage of the mean. NA denotes ‘Not Applicable’, where factor values constitute defined reference values.</w:t>
            </w:r>
          </w:p>
        </w:tc>
      </w:tr>
    </w:tbl>
    <w:p>
      <w:pPr>
        <w:pStyle w:val="BodyText"/>
        <w:rPr>
          <w:sz w:val="22"/>
        </w:rPr>
      </w:pPr>
    </w:p>
    <w:p>
      <w:pPr>
        <w:pStyle w:val="Heading6"/>
        <w:numPr>
          <w:ilvl w:val="5"/>
          <w:numId w:val="66"/>
        </w:numPr>
        <w:tabs>
          <w:tab w:pos="1449" w:val="left" w:leader="none"/>
        </w:tabs>
        <w:spacing w:line="240" w:lineRule="auto" w:before="194" w:after="0"/>
        <w:ind w:left="1448" w:right="0" w:hanging="1229"/>
        <w:jc w:val="left"/>
      </w:pPr>
      <w:r>
        <w:rPr/>
        <w:t>3 </w:t>
      </w:r>
      <w:r>
        <w:rPr>
          <w:spacing w:val="16"/>
        </w:rPr>
        <w:t>Choice </w:t>
      </w:r>
      <w:r>
        <w:rPr>
          <w:spacing w:val="9"/>
        </w:rPr>
        <w:t>of </w:t>
      </w:r>
      <w:r>
        <w:rPr>
          <w:spacing w:val="16"/>
        </w:rPr>
        <w:t>Activity</w:t>
      </w:r>
      <w:r>
        <w:rPr>
          <w:spacing w:val="15"/>
        </w:rPr>
        <w:t> </w:t>
      </w:r>
      <w:r>
        <w:rPr>
          <w:spacing w:val="19"/>
        </w:rPr>
        <w:t>Data</w:t>
      </w:r>
    </w:p>
    <w:p>
      <w:pPr>
        <w:pStyle w:val="Heading7"/>
        <w:spacing w:line="251" w:lineRule="exact" w:before="179"/>
        <w:jc w:val="left"/>
      </w:pPr>
      <w:r>
        <w:rPr/>
        <w:t>Mineral and Organic Soils</w:t>
      </w:r>
    </w:p>
    <w:p>
      <w:pPr>
        <w:pStyle w:val="BodyText"/>
        <w:ind w:left="219" w:right="261"/>
        <w:jc w:val="both"/>
      </w:pPr>
      <w:r>
        <w:rPr/>
        <w:t>At a minimum, countries should have estimates of the areas of land converted to cropland during the inventory period. If land use and management data are limited, aggregate data, such as FAO statistics on land conversions, can be used as a starting point, along with knowledge of country experts of the approximate distribution of land use types (e.g. forest land and grassland areas and their respective soil types) being converted and knowledge of the types of cropland practices being used on land converted to cropland. More detailed accounting can be accomplished either through analysis of periodic remotely sensed images of land use and land cover patterns, through periodic ground-based sampling of land use patterns, and/or hybrid inventory systems. Estimates of land-use conversions to cropland should be stratified according to major soil types, as defined for Tier 1, or based on country-specific stratifications if employed in Tier 2 or 3 approaches. This can be based on overlays with suitable soil maps and spatially-explicit data of the location of land</w:t>
      </w:r>
      <w:r>
        <w:rPr>
          <w:spacing w:val="-7"/>
        </w:rPr>
        <w:t> </w:t>
      </w:r>
      <w:r>
        <w:rPr/>
        <w:t>conversions.</w:t>
      </w:r>
    </w:p>
    <w:p>
      <w:pPr>
        <w:pStyle w:val="BodyText"/>
        <w:spacing w:before="10"/>
      </w:pPr>
    </w:p>
    <w:p>
      <w:pPr>
        <w:pStyle w:val="Heading6"/>
        <w:numPr>
          <w:ilvl w:val="5"/>
          <w:numId w:val="66"/>
        </w:numPr>
        <w:tabs>
          <w:tab w:pos="1451" w:val="left" w:leader="none"/>
        </w:tabs>
        <w:spacing w:line="240" w:lineRule="auto" w:before="1" w:after="0"/>
        <w:ind w:left="1450" w:right="0" w:hanging="1231"/>
        <w:jc w:val="left"/>
      </w:pPr>
      <w:r>
        <w:rPr/>
        <w:t>4 </w:t>
      </w:r>
      <w:r>
        <w:rPr>
          <w:spacing w:val="17"/>
        </w:rPr>
        <w:t>Uncertainty</w:t>
      </w:r>
      <w:r>
        <w:rPr>
          <w:spacing w:val="24"/>
        </w:rPr>
        <w:t> </w:t>
      </w:r>
      <w:r>
        <w:rPr>
          <w:spacing w:val="18"/>
        </w:rPr>
        <w:t>Assessment</w:t>
      </w:r>
    </w:p>
    <w:p>
      <w:pPr>
        <w:pStyle w:val="BodyText"/>
        <w:spacing w:before="53"/>
        <w:ind w:left="219" w:right="265"/>
        <w:jc w:val="both"/>
      </w:pPr>
      <w:r>
        <w:rPr/>
        <w:t>Because most conversions to cropland uses entail losses from soil carbon stocks, the most critical data from the standpoint of reducing overall uncertainty is accurate estimates of the land area being converted to cropland. Due to their high native soil carbon stocks and potential for large losses, conversions to cropland  occurring on organic soils, as well as wetland mineral soils and volcanic soils, are of particular importance. Reducing uncertainty in the estimates of stock change and emission factors for lands recently (&lt;20 yrs) converted to cropland</w:t>
      </w:r>
      <w:r>
        <w:rPr>
          <w:spacing w:val="17"/>
        </w:rPr>
        <w:t> </w:t>
      </w:r>
      <w:r>
        <w:rPr/>
        <w:t>can</w:t>
      </w:r>
      <w:r>
        <w:rPr>
          <w:spacing w:val="15"/>
        </w:rPr>
        <w:t> </w:t>
      </w:r>
      <w:r>
        <w:rPr/>
        <w:t>best</w:t>
      </w:r>
      <w:r>
        <w:rPr>
          <w:spacing w:val="16"/>
        </w:rPr>
        <w:t> </w:t>
      </w:r>
      <w:r>
        <w:rPr/>
        <w:t>be</w:t>
      </w:r>
      <w:r>
        <w:rPr>
          <w:spacing w:val="17"/>
        </w:rPr>
        <w:t> </w:t>
      </w:r>
      <w:r>
        <w:rPr/>
        <w:t>accomplished</w:t>
      </w:r>
      <w:r>
        <w:rPr>
          <w:spacing w:val="19"/>
        </w:rPr>
        <w:t> </w:t>
      </w:r>
      <w:r>
        <w:rPr/>
        <w:t>from</w:t>
      </w:r>
      <w:r>
        <w:rPr>
          <w:spacing w:val="12"/>
        </w:rPr>
        <w:t> </w:t>
      </w:r>
      <w:r>
        <w:rPr/>
        <w:t>direct</w:t>
      </w:r>
      <w:r>
        <w:rPr>
          <w:spacing w:val="19"/>
        </w:rPr>
        <w:t> </w:t>
      </w:r>
      <w:r>
        <w:rPr/>
        <w:t>monitoring</w:t>
      </w:r>
      <w:r>
        <w:rPr>
          <w:spacing w:val="17"/>
        </w:rPr>
        <w:t> </w:t>
      </w:r>
      <w:r>
        <w:rPr/>
        <w:t>of</w:t>
      </w:r>
      <w:r>
        <w:rPr>
          <w:spacing w:val="16"/>
        </w:rPr>
        <w:t> </w:t>
      </w:r>
      <w:r>
        <w:rPr/>
        <w:t>C</w:t>
      </w:r>
      <w:r>
        <w:rPr>
          <w:spacing w:val="15"/>
        </w:rPr>
        <w:t> </w:t>
      </w:r>
      <w:r>
        <w:rPr/>
        <w:t>stocks</w:t>
      </w:r>
      <w:r>
        <w:rPr>
          <w:spacing w:val="15"/>
        </w:rPr>
        <w:t> </w:t>
      </w:r>
      <w:r>
        <w:rPr/>
        <w:t>(and</w:t>
      </w:r>
      <w:r>
        <w:rPr>
          <w:spacing w:val="17"/>
        </w:rPr>
        <w:t> </w:t>
      </w:r>
      <w:r>
        <w:rPr/>
        <w:t>emissions)</w:t>
      </w:r>
      <w:r>
        <w:rPr>
          <w:spacing w:val="19"/>
        </w:rPr>
        <w:t> </w:t>
      </w:r>
      <w:r>
        <w:rPr/>
        <w:t>before</w:t>
      </w:r>
      <w:r>
        <w:rPr>
          <w:spacing w:val="17"/>
        </w:rPr>
        <w:t> </w:t>
      </w:r>
      <w:r>
        <w:rPr/>
        <w:t>and</w:t>
      </w:r>
      <w:r>
        <w:rPr>
          <w:spacing w:val="17"/>
        </w:rPr>
        <w:t> </w:t>
      </w:r>
      <w:r>
        <w:rPr/>
        <w:t>after</w:t>
      </w:r>
      <w:r>
        <w:rPr>
          <w:spacing w:val="17"/>
        </w:rPr>
        <w:t> </w:t>
      </w:r>
      <w:r>
        <w:rPr/>
        <w:t>(for</w:t>
      </w:r>
      <w:r>
        <w:rPr>
          <w:spacing w:val="17"/>
        </w:rPr>
        <w:t> </w:t>
      </w:r>
      <w:r>
        <w:rPr/>
        <w:t>a</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3"/>
        <w:jc w:val="both"/>
      </w:pPr>
      <w:r>
        <w:rPr/>
        <w:t>period of several year) conversion to cropland, at the same location. However, data based on indirect estimates, so-called chronosequences, in which land converted to cropland at different times in the past and at different locations, are more common. Use of estimates based on chronosequences will have a higher uncertainty than direct monitoring over time. In constructing and evaluating chronosequences it is important to select areas which are as similar as possible with respect to original vegetation, soil type and landscape position – i.e. the main difference being time since conversion. Estimates should be based on more than one chronosequence. Overall uncertainty assessment will require combining uncertainties associated with stock change and emission factors and activity data concerning land areas converted to cropland.</w:t>
      </w:r>
    </w:p>
    <w:p>
      <w:pPr>
        <w:pStyle w:val="BodyText"/>
        <w:rPr>
          <w:sz w:val="22"/>
        </w:rPr>
      </w:pPr>
    </w:p>
    <w:p>
      <w:pPr>
        <w:pStyle w:val="Heading6"/>
        <w:numPr>
          <w:ilvl w:val="3"/>
          <w:numId w:val="67"/>
        </w:numPr>
        <w:tabs>
          <w:tab w:pos="1660" w:val="left" w:leader="none"/>
        </w:tabs>
        <w:spacing w:line="240" w:lineRule="auto" w:before="146" w:after="0"/>
        <w:ind w:left="1659" w:right="0" w:hanging="1440"/>
        <w:jc w:val="both"/>
      </w:pPr>
      <w:r>
        <w:rPr>
          <w:spacing w:val="16"/>
          <w:sz w:val="28"/>
        </w:rPr>
        <w:t>N</w:t>
      </w:r>
      <w:r>
        <w:rPr>
          <w:spacing w:val="16"/>
        </w:rPr>
        <w:t>ON</w:t>
      </w:r>
      <w:r>
        <w:rPr>
          <w:spacing w:val="16"/>
          <w:sz w:val="28"/>
        </w:rPr>
        <w:t>-CO</w:t>
      </w:r>
      <w:r>
        <w:rPr>
          <w:spacing w:val="16"/>
          <w:sz w:val="28"/>
          <w:vertAlign w:val="subscript"/>
        </w:rPr>
        <w:t>2</w:t>
      </w:r>
      <w:r>
        <w:rPr>
          <w:spacing w:val="16"/>
          <w:sz w:val="28"/>
          <w:vertAlign w:val="baseline"/>
        </w:rPr>
        <w:t> </w:t>
      </w:r>
      <w:r>
        <w:rPr>
          <w:spacing w:val="17"/>
          <w:vertAlign w:val="baseline"/>
        </w:rPr>
        <w:t>GREENHOUSE </w:t>
      </w:r>
      <w:r>
        <w:rPr>
          <w:spacing w:val="12"/>
          <w:vertAlign w:val="baseline"/>
        </w:rPr>
        <w:t>GAS</w:t>
      </w:r>
      <w:r>
        <w:rPr>
          <w:spacing w:val="-1"/>
          <w:vertAlign w:val="baseline"/>
        </w:rPr>
        <w:t> </w:t>
      </w:r>
      <w:r>
        <w:rPr>
          <w:spacing w:val="16"/>
          <w:vertAlign w:val="baseline"/>
        </w:rPr>
        <w:t>EMISSIONS</w:t>
      </w:r>
    </w:p>
    <w:p>
      <w:pPr>
        <w:pStyle w:val="BodyText"/>
        <w:spacing w:before="211"/>
        <w:ind w:left="219" w:right="264"/>
        <w:jc w:val="both"/>
      </w:pPr>
      <w:r>
        <w:rPr/>
        <w:t>This section deals with the increase in N</w:t>
      </w:r>
      <w:r>
        <w:rPr>
          <w:vertAlign w:val="subscript"/>
        </w:rPr>
        <w:t>2</w:t>
      </w:r>
      <w:r>
        <w:rPr>
          <w:vertAlign w:val="baseline"/>
        </w:rPr>
        <w:t>O emissions arising from the conversion of forest land, grassland, and other land to cropland. An increase in N</w:t>
      </w:r>
      <w:r>
        <w:rPr>
          <w:vertAlign w:val="subscript"/>
        </w:rPr>
        <w:t>2</w:t>
      </w:r>
      <w:r>
        <w:rPr>
          <w:vertAlign w:val="baseline"/>
        </w:rPr>
        <w:t>O emissions can be expected following the conversion of forest land, grassland and other land to cropland. This is a consequence of the enhanced mineralisation (conversion to inorganic form) of soil organic matter (SOM) that normally takes place as a result of that conversion. The mineralisation results not only in a net loss of soil C and hence a net CO</w:t>
      </w:r>
      <w:r>
        <w:rPr>
          <w:vertAlign w:val="subscript"/>
        </w:rPr>
        <w:t>2</w:t>
      </w:r>
      <w:r>
        <w:rPr>
          <w:vertAlign w:val="baseline"/>
        </w:rPr>
        <w:t> emission (Section 3.3.2.2.1.2) but also in associated conversion of nitrogen previously in the SOM to ammonium and nitrate. Microbial activity in the soil converts some of the ammonium and nitrate present to N</w:t>
      </w:r>
      <w:r>
        <w:rPr>
          <w:vertAlign w:val="subscript"/>
        </w:rPr>
        <w:t>2</w:t>
      </w:r>
      <w:r>
        <w:rPr>
          <w:vertAlign w:val="baseline"/>
        </w:rPr>
        <w:t>O. Thus an increase in this microbial substrate caused by a net decrease in SOM can be expected to give an increase in net N</w:t>
      </w:r>
      <w:r>
        <w:rPr>
          <w:vertAlign w:val="subscript"/>
        </w:rPr>
        <w:t>2</w:t>
      </w:r>
      <w:r>
        <w:rPr>
          <w:vertAlign w:val="baseline"/>
        </w:rPr>
        <w:t>O emissions. The approach here is to use the same emission factor (EF</w:t>
      </w:r>
      <w:r>
        <w:rPr>
          <w:vertAlign w:val="subscript"/>
        </w:rPr>
        <w:t>1</w:t>
      </w:r>
      <w:r>
        <w:rPr>
          <w:vertAlign w:val="baseline"/>
        </w:rPr>
        <w:t>) as that used for direct emissions from agricultural land which has been in cultivation for a long time (see Agriculture, </w:t>
      </w:r>
      <w:r>
        <w:rPr>
          <w:i/>
          <w:vertAlign w:val="baseline"/>
        </w:rPr>
        <w:t>GPG2000</w:t>
      </w:r>
      <w:r>
        <w:rPr>
          <w:vertAlign w:val="baseline"/>
        </w:rPr>
        <w:t>), and has the same logical basis, i.e. that N converted into inorganic form in the soil, as a result of mineralisation, is all of equal value as a substrate for the organisms producing N</w:t>
      </w:r>
      <w:r>
        <w:rPr>
          <w:vertAlign w:val="subscript"/>
        </w:rPr>
        <w:t>2</w:t>
      </w:r>
      <w:r>
        <w:rPr>
          <w:vertAlign w:val="baseline"/>
        </w:rPr>
        <w:t>O by nitrification and denitrification, no matter what the organic source is, soil organic matter in this case of land-use conversion to cropland, or plant roots and crop residues from cultivation after harvest, or added organic manures as in the case of the N</w:t>
      </w:r>
      <w:r>
        <w:rPr>
          <w:vertAlign w:val="subscript"/>
        </w:rPr>
        <w:t>2</w:t>
      </w:r>
      <w:r>
        <w:rPr>
          <w:vertAlign w:val="baseline"/>
        </w:rPr>
        <w:t>O emissions addressed in the </w:t>
      </w:r>
      <w:r>
        <w:rPr>
          <w:i/>
          <w:vertAlign w:val="baseline"/>
        </w:rPr>
        <w:t>IPCC Guidelines</w:t>
      </w:r>
      <w:r>
        <w:rPr>
          <w:vertAlign w:val="baseline"/>
        </w:rPr>
        <w:t>, Chapter 4 Agriculture and</w:t>
      </w:r>
      <w:r>
        <w:rPr>
          <w:spacing w:val="-1"/>
          <w:vertAlign w:val="baseline"/>
        </w:rPr>
        <w:t> </w:t>
      </w:r>
      <w:r>
        <w:rPr>
          <w:i/>
          <w:vertAlign w:val="baseline"/>
        </w:rPr>
        <w:t>GPG2000</w:t>
      </w:r>
      <w:r>
        <w:rPr>
          <w:vertAlign w:val="baseline"/>
        </w:rPr>
        <w:t>.</w:t>
      </w:r>
    </w:p>
    <w:p>
      <w:pPr>
        <w:pStyle w:val="BodyText"/>
        <w:spacing w:before="117"/>
        <w:ind w:left="219" w:right="265" w:hanging="1"/>
        <w:jc w:val="both"/>
      </w:pPr>
      <w:r>
        <w:rPr/>
        <w:t>Guidance on estimating trace gas emissions (N</w:t>
      </w:r>
      <w:r>
        <w:rPr>
          <w:vertAlign w:val="subscript"/>
        </w:rPr>
        <w:t>2</w:t>
      </w:r>
      <w:r>
        <w:rPr>
          <w:vertAlign w:val="baseline"/>
        </w:rPr>
        <w:t>O, NO</w:t>
      </w:r>
      <w:r>
        <w:rPr>
          <w:vertAlign w:val="subscript"/>
        </w:rPr>
        <w:t>x</w:t>
      </w:r>
      <w:r>
        <w:rPr>
          <w:vertAlign w:val="baseline"/>
        </w:rPr>
        <w:t>, CH</w:t>
      </w:r>
      <w:r>
        <w:rPr>
          <w:vertAlign w:val="subscript"/>
        </w:rPr>
        <w:t>4</w:t>
      </w:r>
      <w:r>
        <w:rPr>
          <w:vertAlign w:val="baseline"/>
        </w:rPr>
        <w:t> and CO) from on-site and off-site biomass burning is provided in Section 3.2.1.4.</w:t>
      </w:r>
    </w:p>
    <w:p>
      <w:pPr>
        <w:pStyle w:val="BodyText"/>
        <w:spacing w:before="118"/>
        <w:ind w:left="219" w:right="265"/>
        <w:jc w:val="both"/>
      </w:pPr>
      <w:r>
        <w:rPr/>
        <w:t>The rate of methane oxidation in aerated topsoils can change due to conversion to cropland. The reduction in oxidation is not addressed in this report, however, due to limited information. In the future, as more data become available, it may be possible to provide a fuller consideration of the impact of various activities on methane oxidation rates.</w:t>
      </w:r>
    </w:p>
    <w:p>
      <w:pPr>
        <w:pStyle w:val="BodyText"/>
        <w:spacing w:before="3"/>
        <w:rPr>
          <w:sz w:val="21"/>
        </w:rPr>
      </w:pPr>
    </w:p>
    <w:p>
      <w:pPr>
        <w:pStyle w:val="Heading6"/>
        <w:numPr>
          <w:ilvl w:val="4"/>
          <w:numId w:val="67"/>
        </w:numPr>
        <w:tabs>
          <w:tab w:pos="1243" w:val="left" w:leader="none"/>
        </w:tabs>
        <w:spacing w:line="240" w:lineRule="auto" w:before="1" w:after="0"/>
        <w:ind w:left="1242" w:right="0" w:hanging="1023"/>
        <w:jc w:val="both"/>
      </w:pPr>
      <w:r>
        <w:rPr/>
        <w:t>1 </w:t>
      </w:r>
      <w:r>
        <w:rPr>
          <w:spacing w:val="17"/>
        </w:rPr>
        <w:t>METHODOLOGICAL</w:t>
      </w:r>
      <w:r>
        <w:rPr>
          <w:spacing w:val="23"/>
        </w:rPr>
        <w:t> </w:t>
      </w:r>
      <w:r>
        <w:rPr>
          <w:spacing w:val="16"/>
        </w:rPr>
        <w:t>ISSUES</w:t>
      </w:r>
    </w:p>
    <w:p>
      <w:pPr>
        <w:pStyle w:val="BodyText"/>
        <w:spacing w:before="11"/>
        <w:rPr>
          <w:b/>
        </w:rPr>
      </w:pPr>
    </w:p>
    <w:p>
      <w:pPr>
        <w:spacing w:before="0"/>
        <w:ind w:left="219" w:right="0" w:firstLine="0"/>
        <w:jc w:val="left"/>
        <w:rPr>
          <w:b/>
          <w:sz w:val="22"/>
        </w:rPr>
      </w:pPr>
      <w:r>
        <w:rPr>
          <w:b/>
          <w:sz w:val="22"/>
        </w:rPr>
        <w:t>NITROUS OXIDE FROM MINERAL SOILS </w:t>
      </w:r>
    </w:p>
    <w:p>
      <w:pPr>
        <w:pStyle w:val="BodyText"/>
        <w:spacing w:before="9"/>
        <w:rPr>
          <w:b/>
        </w:rPr>
      </w:pPr>
    </w:p>
    <w:p>
      <w:pPr>
        <w:pStyle w:val="ListParagraph"/>
        <w:numPr>
          <w:ilvl w:val="5"/>
          <w:numId w:val="67"/>
        </w:numPr>
        <w:tabs>
          <w:tab w:pos="1449" w:val="left" w:leader="none"/>
        </w:tabs>
        <w:spacing w:line="240" w:lineRule="auto" w:before="0" w:after="0"/>
        <w:ind w:left="1448" w:right="0" w:hanging="1229"/>
        <w:jc w:val="left"/>
        <w:rPr>
          <w:b/>
          <w:sz w:val="22"/>
        </w:rPr>
      </w:pPr>
      <w:r>
        <w:rPr>
          <w:b/>
          <w:sz w:val="22"/>
        </w:rPr>
        <w:t>1 </w:t>
      </w:r>
      <w:r>
        <w:rPr>
          <w:b/>
          <w:spacing w:val="16"/>
          <w:sz w:val="22"/>
        </w:rPr>
        <w:t>Choice </w:t>
      </w:r>
      <w:r>
        <w:rPr>
          <w:b/>
          <w:spacing w:val="9"/>
          <w:sz w:val="22"/>
        </w:rPr>
        <w:t>of</w:t>
      </w:r>
      <w:r>
        <w:rPr>
          <w:b/>
          <w:spacing w:val="-22"/>
          <w:sz w:val="22"/>
        </w:rPr>
        <w:t> </w:t>
      </w:r>
      <w:r>
        <w:rPr>
          <w:b/>
          <w:spacing w:val="19"/>
          <w:sz w:val="22"/>
        </w:rPr>
        <w:t>Method</w:t>
      </w:r>
    </w:p>
    <w:p>
      <w:pPr>
        <w:pStyle w:val="BodyText"/>
        <w:spacing w:before="56"/>
        <w:ind w:left="219" w:right="261"/>
        <w:jc w:val="both"/>
      </w:pPr>
      <w:r>
        <w:rPr/>
        <w:t>The total emissions of N</w:t>
      </w:r>
      <w:r>
        <w:rPr>
          <w:vertAlign w:val="subscript"/>
        </w:rPr>
        <w:t>2</w:t>
      </w:r>
      <w:r>
        <w:rPr>
          <w:vertAlign w:val="baseline"/>
        </w:rPr>
        <w:t>O are equivalent to the sum of all N</w:t>
      </w:r>
      <w:r>
        <w:rPr>
          <w:vertAlign w:val="subscript"/>
        </w:rPr>
        <w:t>2</w:t>
      </w:r>
      <w:r>
        <w:rPr>
          <w:vertAlign w:val="baseline"/>
        </w:rPr>
        <w:t>O emissions from land use conversions as shown in Equation 3.3.13 and 3.3.14. These are emissions from mineralisation of soil organic matter resulting from conversion of forest land, grassland, settlements or other land to</w:t>
      </w:r>
      <w:r>
        <w:rPr>
          <w:spacing w:val="-1"/>
          <w:vertAlign w:val="baseline"/>
        </w:rPr>
        <w:t> </w:t>
      </w:r>
      <w:r>
        <w:rPr>
          <w:vertAlign w:val="baseline"/>
        </w:rPr>
        <w:t>cropland.</w:t>
      </w:r>
    </w:p>
    <w:p>
      <w:pPr>
        <w:pStyle w:val="BodyText"/>
        <w:rPr>
          <w:sz w:val="11"/>
        </w:rPr>
      </w:pPr>
      <w:r>
        <w:rPr/>
        <w:pict>
          <v:shape style="position:absolute;margin-left:91.960999pt;margin-top:9.061749pt;width:411.5pt;height:50.8pt;mso-position-horizontal-relative:page;mso-position-vertical-relative:paragraph;z-index:8504;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3.3.13</w:t>
                  </w:r>
                </w:p>
                <w:p>
                  <w:pPr>
                    <w:spacing w:before="0"/>
                    <w:ind w:left="68" w:right="68" w:firstLine="0"/>
                    <w:jc w:val="center"/>
                    <w:rPr>
                      <w:b/>
                      <w:sz w:val="16"/>
                    </w:rPr>
                  </w:pPr>
                  <w:r>
                    <w:rPr>
                      <w:b/>
                      <w:sz w:val="20"/>
                    </w:rPr>
                    <w:t>T</w:t>
                  </w:r>
                  <w:r>
                    <w:rPr>
                      <w:b/>
                      <w:sz w:val="16"/>
                    </w:rPr>
                    <w:t>OTAL ANNUAL EMISSIONS OF </w:t>
                  </w:r>
                  <w:r>
                    <w:rPr>
                      <w:b/>
                      <w:sz w:val="20"/>
                    </w:rPr>
                    <w:t>N</w:t>
                  </w:r>
                  <w:r>
                    <w:rPr>
                      <w:b/>
                      <w:sz w:val="20"/>
                      <w:vertAlign w:val="subscript"/>
                    </w:rPr>
                    <w:t>2</w:t>
                  </w:r>
                  <w:r>
                    <w:rPr>
                      <w:b/>
                      <w:sz w:val="20"/>
                      <w:vertAlign w:val="baseline"/>
                    </w:rPr>
                    <w:t>O </w:t>
                  </w:r>
                  <w:r>
                    <w:rPr>
                      <w:b/>
                      <w:sz w:val="16"/>
                      <w:vertAlign w:val="baseline"/>
                    </w:rPr>
                    <w:t>FROM MINERAL SOILS IN LAND CONVERTED TO CROPLAND</w:t>
                  </w:r>
                </w:p>
                <w:p>
                  <w:pPr>
                    <w:pStyle w:val="BodyText"/>
                    <w:spacing w:before="91"/>
                    <w:ind w:left="67" w:right="68"/>
                    <w:jc w:val="center"/>
                    <w:rPr>
                      <w:i/>
                    </w:rPr>
                  </w:pPr>
                  <w:r>
                    <w:rPr/>
                    <w:t>Total N</w:t>
                  </w:r>
                  <w:r>
                    <w:rPr>
                      <w:vertAlign w:val="subscript"/>
                    </w:rPr>
                    <w:t>2</w:t>
                  </w:r>
                  <w:r>
                    <w:rPr>
                      <w:vertAlign w:val="baseline"/>
                    </w:rPr>
                    <w:t>O-N</w:t>
                  </w:r>
                  <w:r>
                    <w:rPr>
                      <w:vertAlign w:val="subscript"/>
                    </w:rPr>
                    <w:t>conv</w:t>
                  </w:r>
                  <w:r>
                    <w:rPr>
                      <w:vertAlign w:val="baseline"/>
                    </w:rPr>
                    <w:t> = </w:t>
                  </w:r>
                  <w:r>
                    <w:rPr>
                      <w:rFonts w:ascii="Arial" w:hAnsi="Arial"/>
                      <w:vertAlign w:val="baseline"/>
                    </w:rPr>
                    <w:t>∑</w:t>
                  </w:r>
                  <w:r>
                    <w:rPr>
                      <w:i/>
                      <w:vertAlign w:val="subscript"/>
                    </w:rPr>
                    <w:t>i</w:t>
                  </w:r>
                  <w:r>
                    <w:rPr>
                      <w:i/>
                      <w:spacing w:val="-4"/>
                      <w:vertAlign w:val="baseline"/>
                    </w:rPr>
                    <w:t> </w:t>
                  </w:r>
                  <w:r>
                    <w:rPr>
                      <w:vertAlign w:val="baseline"/>
                    </w:rPr>
                    <w:t>N</w:t>
                  </w:r>
                  <w:r>
                    <w:rPr>
                      <w:vertAlign w:val="subscript"/>
                    </w:rPr>
                    <w:t>2</w:t>
                  </w:r>
                  <w:r>
                    <w:rPr>
                      <w:vertAlign w:val="baseline"/>
                    </w:rPr>
                    <w:t>O-N</w:t>
                  </w:r>
                  <w:r>
                    <w:rPr>
                      <w:vertAlign w:val="subscript"/>
                    </w:rPr>
                    <w:t>conv,</w:t>
                  </w:r>
                  <w:r>
                    <w:rPr>
                      <w:i/>
                      <w:vertAlign w:val="subscript"/>
                    </w:rPr>
                    <w:t>i</w:t>
                  </w:r>
                </w:p>
              </w:txbxContent>
            </v:textbox>
            <v:stroke dashstyle="solid"/>
            <w10:wrap type="topAndBottom"/>
          </v:shape>
        </w:pict>
      </w:r>
    </w:p>
    <w:p>
      <w:pPr>
        <w:pStyle w:val="BodyText"/>
        <w:spacing w:before="4"/>
        <w:ind w:left="219"/>
      </w:pPr>
      <w:r>
        <w:rPr/>
        <w:t>Where:</w:t>
      </w:r>
    </w:p>
    <w:p>
      <w:pPr>
        <w:pStyle w:val="BodyText"/>
        <w:spacing w:before="121"/>
        <w:ind w:left="2391" w:right="268" w:hanging="1606"/>
      </w:pPr>
      <w:r>
        <w:rPr/>
        <w:t>Total N</w:t>
      </w:r>
      <w:r>
        <w:rPr>
          <w:vertAlign w:val="subscript"/>
        </w:rPr>
        <w:t>2</w:t>
      </w:r>
      <w:r>
        <w:rPr>
          <w:vertAlign w:val="baseline"/>
        </w:rPr>
        <w:t>O-N</w:t>
      </w:r>
      <w:r>
        <w:rPr>
          <w:vertAlign w:val="subscript"/>
        </w:rPr>
        <w:t>conv</w:t>
      </w:r>
      <w:r>
        <w:rPr>
          <w:vertAlign w:val="baseline"/>
        </w:rPr>
        <w:t> = total annual emissions of N</w:t>
      </w:r>
      <w:r>
        <w:rPr>
          <w:vertAlign w:val="subscript"/>
        </w:rPr>
        <w:t>2</w:t>
      </w:r>
      <w:r>
        <w:rPr>
          <w:vertAlign w:val="baseline"/>
        </w:rPr>
        <w:t>O from mineral soils in land converted to cropland, kg N</w:t>
      </w:r>
      <w:r>
        <w:rPr>
          <w:vertAlign w:val="subscript"/>
        </w:rPr>
        <w:t>2</w:t>
      </w:r>
      <w:r>
        <w:rPr>
          <w:vertAlign w:val="baseline"/>
        </w:rPr>
        <w:t>O-N yr</w:t>
      </w:r>
      <w:r>
        <w:rPr>
          <w:vertAlign w:val="superscript"/>
        </w:rPr>
        <w:t>-1</w:t>
      </w:r>
    </w:p>
    <w:p>
      <w:pPr>
        <w:pStyle w:val="BodyText"/>
        <w:spacing w:before="118"/>
        <w:ind w:left="785"/>
      </w:pPr>
      <w:r>
        <w:rPr/>
        <w:t>N</w:t>
      </w:r>
      <w:r>
        <w:rPr>
          <w:vertAlign w:val="subscript"/>
        </w:rPr>
        <w:t>2</w:t>
      </w:r>
      <w:r>
        <w:rPr>
          <w:vertAlign w:val="baseline"/>
        </w:rPr>
        <w:t>O-N</w:t>
      </w:r>
      <w:r>
        <w:rPr>
          <w:vertAlign w:val="subscript"/>
        </w:rPr>
        <w:t>conv,</w:t>
      </w:r>
      <w:r>
        <w:rPr>
          <w:i/>
          <w:vertAlign w:val="subscript"/>
        </w:rPr>
        <w:t>i</w:t>
      </w:r>
      <w:r>
        <w:rPr>
          <w:i/>
          <w:vertAlign w:val="baseline"/>
        </w:rPr>
        <w:t> </w:t>
      </w:r>
      <w:r>
        <w:rPr>
          <w:vertAlign w:val="baseline"/>
        </w:rPr>
        <w:t>= N</w:t>
      </w:r>
      <w:r>
        <w:rPr>
          <w:vertAlign w:val="subscript"/>
        </w:rPr>
        <w:t>2</w:t>
      </w:r>
      <w:r>
        <w:rPr>
          <w:vertAlign w:val="baseline"/>
        </w:rPr>
        <w:t>O emissions from land conversion type </w:t>
      </w:r>
      <w:r>
        <w:rPr>
          <w:i/>
          <w:vertAlign w:val="baseline"/>
        </w:rPr>
        <w:t>i</w:t>
      </w:r>
      <w:r>
        <w:rPr>
          <w:vertAlign w:val="baseline"/>
        </w:rPr>
        <w:t>, kg N</w:t>
      </w:r>
      <w:r>
        <w:rPr>
          <w:vertAlign w:val="subscript"/>
        </w:rPr>
        <w:t>2</w:t>
      </w:r>
      <w:r>
        <w:rPr>
          <w:vertAlign w:val="baseline"/>
        </w:rPr>
        <w:t>O-N yr</w:t>
      </w:r>
      <w:r>
        <w:rPr>
          <w:vertAlign w:val="superscript"/>
        </w:rPr>
        <w:t>-1</w:t>
      </w:r>
    </w:p>
    <w:p>
      <w:pPr>
        <w:pStyle w:val="BodyText"/>
        <w:spacing w:before="120"/>
        <w:ind w:left="219" w:right="268"/>
        <w:jc w:val="both"/>
      </w:pPr>
      <w:r>
        <w:rPr/>
        <w:t>Emissions from fertilisation: N</w:t>
      </w:r>
      <w:r>
        <w:rPr>
          <w:vertAlign w:val="subscript"/>
        </w:rPr>
        <w:t>2</w:t>
      </w:r>
      <w:r>
        <w:rPr>
          <w:vertAlign w:val="baseline"/>
        </w:rPr>
        <w:t>O emissions from nitrogen application in the preceding land use (managed forest or grassland) and new land use (cropland) are calculated elsewhere in the inventory (GPG 2000) and should not be reported here, to avoid double counting.</w:t>
      </w:r>
    </w:p>
    <w:p>
      <w:pPr>
        <w:spacing w:after="0"/>
        <w:jc w:val="both"/>
        <w:sectPr>
          <w:pgSz w:w="11900" w:h="16840"/>
          <w:pgMar w:header="230" w:footer="408" w:top="560" w:bottom="600" w:left="1200" w:right="1140"/>
        </w:sectPr>
      </w:pPr>
    </w:p>
    <w:p>
      <w:pPr>
        <w:pStyle w:val="BodyText"/>
      </w:pPr>
    </w:p>
    <w:p>
      <w:pPr>
        <w:pStyle w:val="BodyText"/>
        <w:spacing w:before="10" w:after="1"/>
        <w:rPr>
          <w:sz w:val="18"/>
        </w:rPr>
      </w:pPr>
    </w:p>
    <w:p>
      <w:pPr>
        <w:pStyle w:val="BodyText"/>
        <w:ind w:left="624"/>
      </w:pPr>
      <w:r>
        <w:rPr>
          <w:position w:val="0"/>
        </w:rPr>
        <w:pict>
          <v:shape style="width:411.5pt;height:76.95pt;mso-position-horizontal-relative:char;mso-position-vertical-relative:line" type="#_x0000_t202" filled="false" stroked="true" strokeweight="1.44pt" strokecolor="#000000">
            <w10:anchorlock/>
            <v:textbox inset="0,0,0,0">
              <w:txbxContent>
                <w:p>
                  <w:pPr>
                    <w:spacing w:line="229" w:lineRule="exact" w:before="99"/>
                    <w:ind w:left="67" w:right="68" w:firstLine="0"/>
                    <w:jc w:val="center"/>
                    <w:rPr>
                      <w:b/>
                      <w:sz w:val="20"/>
                    </w:rPr>
                  </w:pPr>
                  <w:r>
                    <w:rPr>
                      <w:b/>
                      <w:sz w:val="20"/>
                    </w:rPr>
                    <w:t>E</w:t>
                  </w:r>
                  <w:r>
                    <w:rPr>
                      <w:b/>
                      <w:sz w:val="16"/>
                    </w:rPr>
                    <w:t>QUATION </w:t>
                  </w:r>
                  <w:r>
                    <w:rPr>
                      <w:b/>
                      <w:sz w:val="20"/>
                    </w:rPr>
                    <w:t>3.3.14</w:t>
                  </w:r>
                </w:p>
                <w:p>
                  <w:pPr>
                    <w:spacing w:before="0"/>
                    <w:ind w:left="111" w:right="110" w:firstLine="0"/>
                    <w:jc w:val="center"/>
                    <w:rPr>
                      <w:b/>
                      <w:sz w:val="16"/>
                    </w:rPr>
                  </w:pPr>
                  <w:r>
                    <w:rPr>
                      <w:b/>
                      <w:sz w:val="20"/>
                    </w:rPr>
                    <w:t>N</w:t>
                  </w:r>
                  <w:r>
                    <w:rPr>
                      <w:b/>
                      <w:sz w:val="20"/>
                      <w:vertAlign w:val="subscript"/>
                    </w:rPr>
                    <w:t>2</w:t>
                  </w:r>
                  <w:r>
                    <w:rPr>
                      <w:b/>
                      <w:sz w:val="20"/>
                      <w:vertAlign w:val="baseline"/>
                    </w:rPr>
                    <w:t>O </w:t>
                  </w:r>
                  <w:r>
                    <w:rPr>
                      <w:b/>
                      <w:sz w:val="16"/>
                      <w:vertAlign w:val="baseline"/>
                    </w:rPr>
                    <w:t>EMISSIONS AS A RESULT OF THE DISTURBANCE ASSOCIATED WITH LAND</w:t>
                  </w:r>
                  <w:r>
                    <w:rPr>
                      <w:b/>
                      <w:sz w:val="20"/>
                      <w:vertAlign w:val="baseline"/>
                    </w:rPr>
                    <w:t>-</w:t>
                  </w:r>
                  <w:r>
                    <w:rPr>
                      <w:b/>
                      <w:sz w:val="16"/>
                      <w:vertAlign w:val="baseline"/>
                    </w:rPr>
                    <w:t>USE CONVERSION OF FOREST LAND</w:t>
                  </w:r>
                  <w:r>
                    <w:rPr>
                      <w:b/>
                      <w:sz w:val="20"/>
                      <w:vertAlign w:val="baseline"/>
                    </w:rPr>
                    <w:t>, </w:t>
                  </w:r>
                  <w:r>
                    <w:rPr>
                      <w:b/>
                      <w:sz w:val="16"/>
                      <w:vertAlign w:val="baseline"/>
                    </w:rPr>
                    <w:t>GRASSLAND</w:t>
                  </w:r>
                  <w:r>
                    <w:rPr>
                      <w:b/>
                      <w:sz w:val="20"/>
                      <w:vertAlign w:val="baseline"/>
                    </w:rPr>
                    <w:t>, </w:t>
                  </w:r>
                  <w:r>
                    <w:rPr>
                      <w:b/>
                      <w:sz w:val="16"/>
                      <w:vertAlign w:val="baseline"/>
                    </w:rPr>
                    <w:t>OR OTHER LAND TO CROPLAND</w:t>
                  </w:r>
                </w:p>
                <w:p>
                  <w:pPr>
                    <w:spacing w:line="309" w:lineRule="auto" w:before="77"/>
                    <w:ind w:left="2975" w:right="2974" w:hanging="5"/>
                    <w:jc w:val="center"/>
                    <w:rPr>
                      <w:sz w:val="13"/>
                    </w:rPr>
                  </w:pPr>
                  <w:r>
                    <w:rPr>
                      <w:position w:val="3"/>
                      <w:sz w:val="20"/>
                    </w:rPr>
                    <w:t>N</w:t>
                  </w:r>
                  <w:r>
                    <w:rPr>
                      <w:sz w:val="13"/>
                    </w:rPr>
                    <w:t>2</w:t>
                  </w:r>
                  <w:r>
                    <w:rPr>
                      <w:position w:val="3"/>
                      <w:sz w:val="20"/>
                    </w:rPr>
                    <w:t>O-N</w:t>
                  </w:r>
                  <w:r>
                    <w:rPr>
                      <w:sz w:val="13"/>
                    </w:rPr>
                    <w:t>conv </w:t>
                  </w:r>
                  <w:r>
                    <w:rPr>
                      <w:position w:val="3"/>
                      <w:sz w:val="20"/>
                    </w:rPr>
                    <w:t>= N</w:t>
                  </w:r>
                  <w:r>
                    <w:rPr>
                      <w:sz w:val="13"/>
                    </w:rPr>
                    <w:t>2</w:t>
                  </w:r>
                  <w:r>
                    <w:rPr>
                      <w:position w:val="3"/>
                      <w:sz w:val="20"/>
                    </w:rPr>
                    <w:t>O</w:t>
                  </w:r>
                  <w:r>
                    <w:rPr>
                      <w:sz w:val="13"/>
                    </w:rPr>
                    <w:t>net-min</w:t>
                  </w:r>
                  <w:r>
                    <w:rPr>
                      <w:position w:val="3"/>
                      <w:sz w:val="20"/>
                    </w:rPr>
                    <w:t>-N N</w:t>
                  </w:r>
                  <w:r>
                    <w:rPr>
                      <w:sz w:val="13"/>
                    </w:rPr>
                    <w:t>2</w:t>
                  </w:r>
                  <w:r>
                    <w:rPr>
                      <w:position w:val="3"/>
                      <w:sz w:val="20"/>
                    </w:rPr>
                    <w:t>O</w:t>
                  </w:r>
                  <w:r>
                    <w:rPr>
                      <w:sz w:val="13"/>
                    </w:rPr>
                    <w:t>net-min</w:t>
                  </w:r>
                  <w:r>
                    <w:rPr>
                      <w:position w:val="3"/>
                      <w:sz w:val="20"/>
                    </w:rPr>
                    <w:t>-N = EF</w:t>
                  </w:r>
                  <w:r>
                    <w:rPr>
                      <w:sz w:val="13"/>
                    </w:rPr>
                    <w:t>1 </w:t>
                  </w:r>
                  <w:r>
                    <w:rPr>
                      <w:position w:val="3"/>
                      <w:sz w:val="20"/>
                    </w:rPr>
                    <w:t>● N</w:t>
                  </w:r>
                  <w:r>
                    <w:rPr>
                      <w:sz w:val="13"/>
                    </w:rPr>
                    <w:t>net-min</w:t>
                  </w:r>
                </w:p>
              </w:txbxContent>
            </v:textbox>
            <v:stroke dashstyle="solid"/>
          </v:shape>
        </w:pict>
      </w:r>
      <w:r>
        <w:rPr>
          <w:position w:val="0"/>
        </w:rPr>
      </w:r>
    </w:p>
    <w:p>
      <w:pPr>
        <w:pStyle w:val="BodyText"/>
        <w:spacing w:before="12"/>
        <w:ind w:left="219"/>
      </w:pPr>
      <w:r>
        <w:rPr/>
        <w:t>Where:</w:t>
      </w:r>
    </w:p>
    <w:p>
      <w:pPr>
        <w:pStyle w:val="BodyText"/>
        <w:spacing w:before="120"/>
        <w:ind w:left="1848" w:right="354" w:hanging="1064"/>
      </w:pPr>
      <w:r>
        <w:rPr/>
        <w:t>N</w:t>
      </w:r>
      <w:r>
        <w:rPr>
          <w:vertAlign w:val="subscript"/>
        </w:rPr>
        <w:t>2</w:t>
      </w:r>
      <w:r>
        <w:rPr>
          <w:vertAlign w:val="baseline"/>
        </w:rPr>
        <w:t>O-N</w:t>
      </w:r>
      <w:r>
        <w:rPr>
          <w:vertAlign w:val="subscript"/>
        </w:rPr>
        <w:t>conv</w:t>
      </w:r>
      <w:r>
        <w:rPr>
          <w:vertAlign w:val="baseline"/>
        </w:rPr>
        <w:t> = N</w:t>
      </w:r>
      <w:r>
        <w:rPr>
          <w:vertAlign w:val="subscript"/>
        </w:rPr>
        <w:t>2</w:t>
      </w:r>
      <w:r>
        <w:rPr>
          <w:vertAlign w:val="baseline"/>
        </w:rPr>
        <w:t>O emissions as a result of the disturbance associated with land-use conversion of forest land, grassland, or other land to cropland, kg N</w:t>
      </w:r>
      <w:r>
        <w:rPr>
          <w:vertAlign w:val="subscript"/>
        </w:rPr>
        <w:t>2</w:t>
      </w:r>
      <w:r>
        <w:rPr>
          <w:vertAlign w:val="baseline"/>
        </w:rPr>
        <w:t>O-N yr</w:t>
      </w:r>
      <w:r>
        <w:rPr>
          <w:vertAlign w:val="superscript"/>
        </w:rPr>
        <w:t>-1</w:t>
      </w:r>
    </w:p>
    <w:p>
      <w:pPr>
        <w:pStyle w:val="BodyText"/>
        <w:spacing w:before="121"/>
        <w:ind w:left="785"/>
      </w:pPr>
      <w:r>
        <w:rPr/>
        <w:t>N</w:t>
      </w:r>
      <w:r>
        <w:rPr>
          <w:vertAlign w:val="subscript"/>
        </w:rPr>
        <w:t>2</w:t>
      </w:r>
      <w:r>
        <w:rPr>
          <w:vertAlign w:val="baseline"/>
        </w:rPr>
        <w:t>O</w:t>
      </w:r>
      <w:r>
        <w:rPr>
          <w:vertAlign w:val="subscript"/>
        </w:rPr>
        <w:t>net-min</w:t>
      </w:r>
      <w:r>
        <w:rPr>
          <w:vertAlign w:val="baseline"/>
        </w:rPr>
        <w:t>-N = additional emissions arising from the land-use change, kg N</w:t>
      </w:r>
      <w:r>
        <w:rPr>
          <w:vertAlign w:val="subscript"/>
        </w:rPr>
        <w:t>2</w:t>
      </w:r>
      <w:r>
        <w:rPr>
          <w:vertAlign w:val="baseline"/>
        </w:rPr>
        <w:t>O-N yr</w:t>
      </w:r>
      <w:r>
        <w:rPr>
          <w:vertAlign w:val="superscript"/>
        </w:rPr>
        <w:t>-1</w:t>
      </w:r>
    </w:p>
    <w:p>
      <w:pPr>
        <w:pStyle w:val="BodyText"/>
        <w:spacing w:line="350" w:lineRule="atLeast"/>
        <w:ind w:left="761" w:right="297" w:firstLine="24"/>
      </w:pPr>
      <w:r>
        <w:rPr>
          <w:spacing w:val="-4"/>
        </w:rPr>
        <w:t>N</w:t>
      </w:r>
      <w:r>
        <w:rPr>
          <w:spacing w:val="-4"/>
          <w:vertAlign w:val="subscript"/>
        </w:rPr>
        <w:t>net-min</w:t>
      </w:r>
      <w:r>
        <w:rPr>
          <w:spacing w:val="-4"/>
          <w:vertAlign w:val="baseline"/>
        </w:rPr>
        <w:t> </w:t>
      </w:r>
      <w:r>
        <w:rPr>
          <w:vertAlign w:val="baseline"/>
        </w:rPr>
        <w:t>= N </w:t>
      </w:r>
      <w:r>
        <w:rPr>
          <w:spacing w:val="-4"/>
          <w:vertAlign w:val="baseline"/>
        </w:rPr>
        <w:t>released annually </w:t>
      </w:r>
      <w:r>
        <w:rPr>
          <w:vertAlign w:val="baseline"/>
        </w:rPr>
        <w:t>by </w:t>
      </w:r>
      <w:r>
        <w:rPr>
          <w:spacing w:val="-3"/>
          <w:vertAlign w:val="baseline"/>
        </w:rPr>
        <w:t>net </w:t>
      </w:r>
      <w:r>
        <w:rPr>
          <w:spacing w:val="-4"/>
          <w:vertAlign w:val="baseline"/>
        </w:rPr>
        <w:t>soil organic </w:t>
      </w:r>
      <w:r>
        <w:rPr>
          <w:spacing w:val="-5"/>
          <w:vertAlign w:val="baseline"/>
        </w:rPr>
        <w:t>matter </w:t>
      </w:r>
      <w:r>
        <w:rPr>
          <w:spacing w:val="-4"/>
          <w:vertAlign w:val="baseline"/>
        </w:rPr>
        <w:t>mineralisation </w:t>
      </w:r>
      <w:r>
        <w:rPr>
          <w:spacing w:val="-3"/>
          <w:vertAlign w:val="baseline"/>
        </w:rPr>
        <w:t>as </w:t>
      </w:r>
      <w:r>
        <w:rPr>
          <w:vertAlign w:val="baseline"/>
        </w:rPr>
        <w:t>a </w:t>
      </w:r>
      <w:r>
        <w:rPr>
          <w:spacing w:val="-4"/>
          <w:vertAlign w:val="baseline"/>
        </w:rPr>
        <w:t>result </w:t>
      </w:r>
      <w:r>
        <w:rPr>
          <w:vertAlign w:val="baseline"/>
        </w:rPr>
        <w:t>of </w:t>
      </w:r>
      <w:r>
        <w:rPr>
          <w:spacing w:val="-3"/>
          <w:vertAlign w:val="baseline"/>
        </w:rPr>
        <w:t>the </w:t>
      </w:r>
      <w:r>
        <w:rPr>
          <w:spacing w:val="-5"/>
          <w:vertAlign w:val="baseline"/>
        </w:rPr>
        <w:t>disturbance, </w:t>
      </w:r>
      <w:r>
        <w:rPr>
          <w:spacing w:val="-3"/>
          <w:vertAlign w:val="baseline"/>
        </w:rPr>
        <w:t>kg </w:t>
      </w:r>
      <w:r>
        <w:rPr>
          <w:vertAlign w:val="baseline"/>
        </w:rPr>
        <w:t>N </w:t>
      </w:r>
      <w:r>
        <w:rPr>
          <w:spacing w:val="-5"/>
          <w:vertAlign w:val="baseline"/>
        </w:rPr>
        <w:t>yr</w:t>
      </w:r>
      <w:r>
        <w:rPr>
          <w:spacing w:val="-5"/>
          <w:vertAlign w:val="superscript"/>
        </w:rPr>
        <w:t>-1</w:t>
      </w:r>
      <w:r>
        <w:rPr>
          <w:spacing w:val="-5"/>
          <w:vertAlign w:val="baseline"/>
        </w:rPr>
        <w:t> </w:t>
      </w:r>
      <w:r>
        <w:rPr>
          <w:vertAlign w:val="baseline"/>
        </w:rPr>
        <w:t>EF</w:t>
      </w:r>
      <w:r>
        <w:rPr>
          <w:vertAlign w:val="subscript"/>
        </w:rPr>
        <w:t>1</w:t>
      </w:r>
      <w:r>
        <w:rPr>
          <w:vertAlign w:val="baseline"/>
        </w:rPr>
        <w:t> = IPCC default emission factor used to calculate emissions from agricultural land caused by added N,</w:t>
      </w:r>
    </w:p>
    <w:p>
      <w:pPr>
        <w:pStyle w:val="BodyText"/>
        <w:ind w:left="1306"/>
      </w:pPr>
      <w:r>
        <w:rPr/>
        <w:t>whether in the form of mineral fertilisers, manures, or crop residues, kg N</w:t>
      </w:r>
      <w:r>
        <w:rPr>
          <w:vertAlign w:val="subscript"/>
        </w:rPr>
        <w:t>2</w:t>
      </w:r>
      <w:r>
        <w:rPr>
          <w:vertAlign w:val="baseline"/>
        </w:rPr>
        <w:t>O-N/kg N. (The default value is 0.0125 kg N</w:t>
      </w:r>
      <w:r>
        <w:rPr>
          <w:vertAlign w:val="subscript"/>
        </w:rPr>
        <w:t>2</w:t>
      </w:r>
      <w:r>
        <w:rPr>
          <w:vertAlign w:val="baseline"/>
        </w:rPr>
        <w:t>O-N/kg N)</w:t>
      </w:r>
    </w:p>
    <w:p>
      <w:pPr>
        <w:pStyle w:val="BodyText"/>
        <w:spacing w:before="119"/>
        <w:ind w:left="785"/>
      </w:pPr>
      <w:r>
        <w:rPr/>
        <w:t>Note: Multiply N</w:t>
      </w:r>
      <w:r>
        <w:rPr>
          <w:vertAlign w:val="subscript"/>
        </w:rPr>
        <w:t>2</w:t>
      </w:r>
      <w:r>
        <w:rPr>
          <w:vertAlign w:val="baseline"/>
        </w:rPr>
        <w:t>O-N</w:t>
      </w:r>
      <w:r>
        <w:rPr>
          <w:vertAlign w:val="subscript"/>
        </w:rPr>
        <w:t>conv</w:t>
      </w:r>
      <w:r>
        <w:rPr>
          <w:vertAlign w:val="baseline"/>
        </w:rPr>
        <w:t> by 44/28 and10</w:t>
      </w:r>
      <w:r>
        <w:rPr>
          <w:vertAlign w:val="superscript"/>
        </w:rPr>
        <w:t>-6</w:t>
      </w:r>
      <w:r>
        <w:rPr>
          <w:vertAlign w:val="baseline"/>
        </w:rPr>
        <w:t> to obtain N</w:t>
      </w:r>
      <w:r>
        <w:rPr>
          <w:vertAlign w:val="subscript"/>
        </w:rPr>
        <w:t>2</w:t>
      </w:r>
      <w:r>
        <w:rPr>
          <w:vertAlign w:val="baseline"/>
        </w:rPr>
        <w:t>O emissions in Gg N</w:t>
      </w:r>
      <w:r>
        <w:rPr>
          <w:vertAlign w:val="subscript"/>
        </w:rPr>
        <w:t>2</w:t>
      </w:r>
      <w:r>
        <w:rPr>
          <w:vertAlign w:val="baseline"/>
        </w:rPr>
        <w:t>O yr</w:t>
      </w:r>
      <w:r>
        <w:rPr>
          <w:vertAlign w:val="superscript"/>
        </w:rPr>
        <w:t>-1</w:t>
      </w:r>
    </w:p>
    <w:p>
      <w:pPr>
        <w:pStyle w:val="BodyText"/>
        <w:rPr>
          <w:sz w:val="26"/>
        </w:rPr>
      </w:pPr>
    </w:p>
    <w:p>
      <w:pPr>
        <w:pStyle w:val="BodyText"/>
        <w:spacing w:before="170"/>
        <w:ind w:left="219" w:right="267"/>
        <w:jc w:val="both"/>
      </w:pPr>
      <w:r>
        <w:rPr/>
        <w:t>The N released by net mineralisation, N</w:t>
      </w:r>
      <w:r>
        <w:rPr>
          <w:vertAlign w:val="subscript"/>
        </w:rPr>
        <w:t>net-min</w:t>
      </w:r>
      <w:r>
        <w:rPr>
          <w:vertAlign w:val="baseline"/>
        </w:rPr>
        <w:t>, can be calculated following the calculation of the soil C mineralised over the same period (20 years). The default method assumes a constant C:N ratio in the soil organic matter over the period, thus:</w:t>
      </w:r>
    </w:p>
    <w:p>
      <w:pPr>
        <w:pStyle w:val="BodyText"/>
        <w:spacing w:before="2"/>
        <w:rPr>
          <w:sz w:val="11"/>
        </w:rPr>
      </w:pPr>
      <w:r>
        <w:rPr/>
        <w:pict>
          <v:shape style="position:absolute;margin-left:91.960999pt;margin-top:9.171035pt;width:411.5pt;height:64.45pt;mso-position-horizontal-relative:page;mso-position-vertical-relative:paragraph;z-index:8552;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3.3.15</w:t>
                  </w:r>
                </w:p>
                <w:p>
                  <w:pPr>
                    <w:spacing w:before="0"/>
                    <w:ind w:left="67" w:right="68" w:firstLine="0"/>
                    <w:jc w:val="center"/>
                    <w:rPr>
                      <w:b/>
                      <w:sz w:val="20"/>
                    </w:rPr>
                  </w:pPr>
                  <w:r>
                    <w:rPr>
                      <w:b/>
                      <w:sz w:val="20"/>
                    </w:rPr>
                    <w:t>A</w:t>
                  </w:r>
                  <w:r>
                    <w:rPr>
                      <w:b/>
                      <w:sz w:val="16"/>
                    </w:rPr>
                    <w:t>NNUAL NITROGEN RELEASED BY NET SOIL ORGANIC MINERALISATION AS A RESULT OF THE DISTURBANCE </w:t>
                  </w:r>
                  <w:r>
                    <w:rPr>
                      <w:b/>
                      <w:sz w:val="20"/>
                    </w:rPr>
                    <w:t>(</w:t>
                  </w:r>
                  <w:r>
                    <w:rPr>
                      <w:b/>
                      <w:sz w:val="16"/>
                    </w:rPr>
                    <w:t>BASED ON SOIL </w:t>
                  </w:r>
                  <w:r>
                    <w:rPr>
                      <w:b/>
                      <w:sz w:val="20"/>
                    </w:rPr>
                    <w:t>C </w:t>
                  </w:r>
                  <w:r>
                    <w:rPr>
                      <w:b/>
                      <w:sz w:val="16"/>
                    </w:rPr>
                    <w:t>MINERALISED</w:t>
                  </w:r>
                  <w:r>
                    <w:rPr>
                      <w:b/>
                      <w:sz w:val="20"/>
                    </w:rPr>
                    <w:t>)</w:t>
                  </w:r>
                </w:p>
                <w:p>
                  <w:pPr>
                    <w:spacing w:before="79"/>
                    <w:ind w:left="67" w:right="68" w:firstLine="0"/>
                    <w:jc w:val="center"/>
                    <w:rPr>
                      <w:sz w:val="20"/>
                    </w:rPr>
                  </w:pPr>
                  <w:r>
                    <w:rPr>
                      <w:sz w:val="20"/>
                    </w:rPr>
                    <w:t>N</w:t>
                  </w:r>
                  <w:r>
                    <w:rPr>
                      <w:sz w:val="20"/>
                      <w:vertAlign w:val="subscript"/>
                    </w:rPr>
                    <w:t>net-min</w:t>
                  </w:r>
                  <w:r>
                    <w:rPr>
                      <w:sz w:val="20"/>
                      <w:vertAlign w:val="baseline"/>
                    </w:rPr>
                    <w:t> = ∆C</w:t>
                  </w:r>
                  <w:r>
                    <w:rPr>
                      <w:sz w:val="20"/>
                      <w:vertAlign w:val="subscript"/>
                    </w:rPr>
                    <w:t>LC</w:t>
                  </w:r>
                  <w:r>
                    <w:rPr>
                      <w:position w:val="-8"/>
                      <w:sz w:val="13"/>
                      <w:vertAlign w:val="baseline"/>
                    </w:rPr>
                    <w:t>Mineral </w:t>
                  </w:r>
                  <w:r>
                    <w:rPr>
                      <w:sz w:val="20"/>
                      <w:vertAlign w:val="baseline"/>
                    </w:rPr>
                    <w:t>● 1 / C:N ratio</w:t>
                  </w:r>
                </w:p>
              </w:txbxContent>
            </v:textbox>
            <v:stroke dashstyle="solid"/>
            <w10:wrap type="topAndBottom"/>
          </v:shape>
        </w:pict>
      </w:r>
    </w:p>
    <w:p>
      <w:pPr>
        <w:pStyle w:val="BodyText"/>
        <w:spacing w:before="4"/>
        <w:ind w:left="219"/>
      </w:pPr>
      <w:r>
        <w:rPr/>
        <w:t>Where:</w:t>
      </w:r>
    </w:p>
    <w:p>
      <w:pPr>
        <w:pStyle w:val="BodyText"/>
        <w:spacing w:before="121"/>
        <w:ind w:left="785"/>
      </w:pPr>
      <w:r>
        <w:rPr/>
        <w:t>N</w:t>
      </w:r>
      <w:r>
        <w:rPr>
          <w:vertAlign w:val="subscript"/>
        </w:rPr>
        <w:t>net-min</w:t>
      </w:r>
      <w:r>
        <w:rPr>
          <w:vertAlign w:val="baseline"/>
        </w:rPr>
        <w:t> = annual N released by net soil organic matter mineralisation as a result of the disturbance, kg N yr</w:t>
      </w:r>
      <w:r>
        <w:rPr>
          <w:vertAlign w:val="superscript"/>
        </w:rPr>
        <w:t>-1</w:t>
      </w:r>
    </w:p>
    <w:p>
      <w:pPr>
        <w:pStyle w:val="BodyText"/>
        <w:spacing w:line="228" w:lineRule="auto" w:before="123"/>
        <w:ind w:left="1920" w:right="354" w:hanging="1136"/>
      </w:pPr>
      <w:r>
        <w:rPr/>
        <w:t>∆C</w:t>
      </w:r>
      <w:r>
        <w:rPr>
          <w:vertAlign w:val="subscript"/>
        </w:rPr>
        <w:t>LC</w:t>
      </w:r>
      <w:r>
        <w:rPr>
          <w:position w:val="-8"/>
          <w:sz w:val="13"/>
          <w:vertAlign w:val="baseline"/>
        </w:rPr>
        <w:t>Mineral </w:t>
      </w:r>
      <w:r>
        <w:rPr>
          <w:vertAlign w:val="baseline"/>
        </w:rPr>
        <w:t>= values obtained from Equation 3.3.12 (see also Section 3.3.2.2.1.1)), where applied to an area of land converted to cropland (see Section 3.3.2.2.1.), kg C</w:t>
      </w:r>
      <w:r>
        <w:rPr>
          <w:spacing w:val="-5"/>
          <w:vertAlign w:val="baseline"/>
        </w:rPr>
        <w:t> </w:t>
      </w:r>
      <w:r>
        <w:rPr>
          <w:vertAlign w:val="baseline"/>
        </w:rPr>
        <w:t>yr</w:t>
      </w:r>
      <w:r>
        <w:rPr>
          <w:vertAlign w:val="superscript"/>
        </w:rPr>
        <w:t>-1</w:t>
      </w:r>
    </w:p>
    <w:p>
      <w:pPr>
        <w:pStyle w:val="BodyText"/>
        <w:spacing w:before="124"/>
        <w:ind w:left="836"/>
      </w:pPr>
      <w:r>
        <w:rPr/>
        <w:t>C:N ratio = the ratio by mass of C to N in the soil organic matter (SOM), kg C (kg N)</w:t>
      </w:r>
      <w:r>
        <w:rPr>
          <w:vertAlign w:val="superscript"/>
        </w:rPr>
        <w:t>-1</w:t>
      </w:r>
    </w:p>
    <w:p>
      <w:pPr>
        <w:pStyle w:val="BodyText"/>
        <w:rPr>
          <w:sz w:val="24"/>
        </w:rPr>
      </w:pPr>
    </w:p>
    <w:p>
      <w:pPr>
        <w:pStyle w:val="BodyText"/>
        <w:spacing w:before="194"/>
        <w:ind w:left="219"/>
      </w:pPr>
      <w:r>
        <w:rPr>
          <w:b/>
        </w:rPr>
        <w:t>Tier 1: </w:t>
      </w:r>
      <w:r>
        <w:rPr/>
        <w:t>Use default values and minimal spatial disaggregation with Equations 3.3.13 and 3.3.14</w:t>
      </w:r>
    </w:p>
    <w:p>
      <w:pPr>
        <w:pStyle w:val="BodyText"/>
        <w:spacing w:before="118"/>
        <w:ind w:left="219" w:right="354"/>
      </w:pPr>
      <w:r>
        <w:rPr>
          <w:b/>
        </w:rPr>
        <w:t>Tier 2: </w:t>
      </w:r>
      <w:r>
        <w:rPr/>
        <w:t>Actual measurements of locally specific C:N ratios in SOM will improve the calculations of N</w:t>
      </w:r>
      <w:r>
        <w:rPr>
          <w:vertAlign w:val="subscript"/>
        </w:rPr>
        <w:t>2</w:t>
      </w:r>
      <w:r>
        <w:rPr>
          <w:vertAlign w:val="baseline"/>
        </w:rPr>
        <w:t>O emissions after conversion.</w:t>
      </w:r>
    </w:p>
    <w:p>
      <w:pPr>
        <w:pStyle w:val="BodyText"/>
        <w:spacing w:before="121"/>
        <w:ind w:left="219" w:right="263"/>
        <w:jc w:val="both"/>
      </w:pPr>
      <w:r>
        <w:rPr>
          <w:b/>
        </w:rPr>
        <w:t>Tier 3: </w:t>
      </w:r>
      <w:r>
        <w:rPr/>
        <w:t>Tier 3 comprises a more dynamic way of simulating emissions using process models, based on locally specific data, possibly spatially explicit, taking into account local characteristics of the land use conversion to cropland.</w:t>
      </w:r>
    </w:p>
    <w:p>
      <w:pPr>
        <w:pStyle w:val="BodyText"/>
        <w:spacing w:before="3"/>
        <w:rPr>
          <w:sz w:val="21"/>
        </w:rPr>
      </w:pPr>
    </w:p>
    <w:p>
      <w:pPr>
        <w:pStyle w:val="Heading6"/>
        <w:numPr>
          <w:ilvl w:val="5"/>
          <w:numId w:val="67"/>
        </w:numPr>
        <w:tabs>
          <w:tab w:pos="1450" w:val="left" w:leader="none"/>
        </w:tabs>
        <w:spacing w:line="240" w:lineRule="auto" w:before="0" w:after="0"/>
        <w:ind w:left="1449" w:right="0" w:hanging="1230"/>
        <w:jc w:val="left"/>
      </w:pPr>
      <w:r>
        <w:rPr/>
        <w:t>2 </w:t>
      </w:r>
      <w:r>
        <w:rPr>
          <w:spacing w:val="16"/>
        </w:rPr>
        <w:t>Choice </w:t>
      </w:r>
      <w:r>
        <w:rPr>
          <w:spacing w:val="9"/>
        </w:rPr>
        <w:t>of </w:t>
      </w:r>
      <w:r>
        <w:rPr>
          <w:spacing w:val="16"/>
        </w:rPr>
        <w:t>Emission</w:t>
      </w:r>
      <w:r>
        <w:rPr>
          <w:spacing w:val="15"/>
        </w:rPr>
        <w:t> </w:t>
      </w:r>
      <w:r>
        <w:rPr>
          <w:spacing w:val="19"/>
        </w:rPr>
        <w:t>Factor</w:t>
      </w:r>
    </w:p>
    <w:p>
      <w:pPr>
        <w:pStyle w:val="BodyText"/>
        <w:spacing w:before="56"/>
        <w:ind w:left="219"/>
      </w:pPr>
      <w:r>
        <w:rPr/>
        <w:t>The following factors are needed:</w:t>
      </w:r>
    </w:p>
    <w:p>
      <w:pPr>
        <w:pStyle w:val="BodyText"/>
        <w:spacing w:line="230" w:lineRule="auto" w:before="142"/>
        <w:ind w:left="581" w:right="265" w:hanging="363"/>
        <w:jc w:val="both"/>
      </w:pPr>
      <w:r>
        <w:rPr>
          <w:rFonts w:ascii="Symbol" w:hAnsi="Symbol"/>
        </w:rPr>
        <w:t>• </w:t>
      </w:r>
      <w:r>
        <w:rPr>
          <w:b/>
        </w:rPr>
        <w:t>EF</w:t>
      </w:r>
      <w:r>
        <w:rPr>
          <w:b/>
          <w:vertAlign w:val="subscript"/>
        </w:rPr>
        <w:t>1</w:t>
      </w:r>
      <w:r>
        <w:rPr>
          <w:b/>
          <w:vertAlign w:val="baseline"/>
        </w:rPr>
        <w:t>: </w:t>
      </w:r>
      <w:r>
        <w:rPr>
          <w:vertAlign w:val="baseline"/>
        </w:rPr>
        <w:t>The emission factor for calculating emissions of N</w:t>
      </w:r>
      <w:r>
        <w:rPr>
          <w:vertAlign w:val="subscript"/>
        </w:rPr>
        <w:t>2</w:t>
      </w:r>
      <w:r>
        <w:rPr>
          <w:vertAlign w:val="baseline"/>
        </w:rPr>
        <w:t>O from N in the soil. The global default value is 0.0125 kg N</w:t>
      </w:r>
      <w:r>
        <w:rPr>
          <w:vertAlign w:val="subscript"/>
        </w:rPr>
        <w:t>2</w:t>
      </w:r>
      <w:r>
        <w:rPr>
          <w:vertAlign w:val="baseline"/>
        </w:rPr>
        <w:t>O-N/kg N, based on the general default emission factor used for N</w:t>
      </w:r>
      <w:r>
        <w:rPr>
          <w:vertAlign w:val="subscript"/>
        </w:rPr>
        <w:t>2</w:t>
      </w:r>
      <w:r>
        <w:rPr>
          <w:vertAlign w:val="baseline"/>
        </w:rPr>
        <w:t>O emissions in Chapter 4 (Agriculture) of the </w:t>
      </w:r>
      <w:r>
        <w:rPr>
          <w:i/>
          <w:vertAlign w:val="baseline"/>
        </w:rPr>
        <w:t>IPCC Guidelines</w:t>
      </w:r>
      <w:r>
        <w:rPr>
          <w:vertAlign w:val="baseline"/>
        </w:rPr>
        <w:t>.</w:t>
      </w:r>
    </w:p>
    <w:p>
      <w:pPr>
        <w:tabs>
          <w:tab w:pos="579" w:val="left" w:leader="none"/>
        </w:tabs>
        <w:spacing w:before="137"/>
        <w:ind w:left="219" w:right="0" w:firstLine="0"/>
        <w:jc w:val="left"/>
        <w:rPr>
          <w:sz w:val="20"/>
        </w:rPr>
      </w:pPr>
      <w:r>
        <w:rPr>
          <w:rFonts w:ascii="Symbol" w:hAnsi="Symbol"/>
          <w:sz w:val="20"/>
        </w:rPr>
        <w:t>•</w:t>
        <w:tab/>
      </w:r>
      <w:r>
        <w:rPr>
          <w:b/>
          <w:sz w:val="20"/>
        </w:rPr>
        <w:t>C released </w:t>
      </w:r>
      <w:r>
        <w:rPr>
          <w:sz w:val="20"/>
        </w:rPr>
        <w:t>is calculated using Equation</w:t>
      </w:r>
      <w:r>
        <w:rPr>
          <w:spacing w:val="-2"/>
          <w:sz w:val="20"/>
        </w:rPr>
        <w:t> </w:t>
      </w:r>
      <w:r>
        <w:rPr>
          <w:sz w:val="20"/>
        </w:rPr>
        <w:t>3.3.3.</w:t>
      </w:r>
    </w:p>
    <w:p>
      <w:pPr>
        <w:pStyle w:val="BodyText"/>
        <w:spacing w:line="230" w:lineRule="auto" w:before="125"/>
        <w:ind w:left="581" w:right="265" w:hanging="363"/>
        <w:jc w:val="both"/>
      </w:pPr>
      <w:r>
        <w:rPr>
          <w:rFonts w:ascii="Symbol" w:hAnsi="Symbol"/>
        </w:rPr>
        <w:t>•  </w:t>
      </w:r>
      <w:r>
        <w:rPr>
          <w:b/>
        </w:rPr>
        <w:t>C:N  ratio: </w:t>
      </w:r>
      <w:r>
        <w:rPr/>
        <w:t>The ratio of C to  N in soil organic matter is by default 15. This reflects the somewhat greater  C:N ratio found in forest or grassland soils compared to most cropland soils where C:N ratios typically around 8-12.</w:t>
      </w:r>
    </w:p>
    <w:p>
      <w:pPr>
        <w:pStyle w:val="BodyText"/>
        <w:spacing w:before="124"/>
        <w:ind w:left="219" w:right="354"/>
      </w:pPr>
      <w:r>
        <w:rPr/>
        <w:t>The box below highlights ways in which further refinement of emissions estimates may be made, by analogy with the equivalent text in</w:t>
      </w:r>
      <w:r>
        <w:rPr>
          <w:spacing w:val="-4"/>
        </w:rPr>
        <w:t> </w:t>
      </w:r>
      <w:r>
        <w:rPr>
          <w:i/>
        </w:rPr>
        <w:t>GPG2000</w:t>
      </w:r>
      <w:r>
        <w:rPr/>
        <w:t>.</w:t>
      </w:r>
    </w:p>
    <w:p>
      <w:pPr>
        <w:spacing w:after="0"/>
        <w:sectPr>
          <w:pgSz w:w="11900" w:h="16840"/>
          <w:pgMar w:header="230" w:footer="408" w:top="560" w:bottom="600" w:left="1200" w:right="1140"/>
        </w:sectPr>
      </w:pPr>
    </w:p>
    <w:p>
      <w:pPr>
        <w:pStyle w:val="BodyText"/>
      </w:pPr>
    </w:p>
    <w:p>
      <w:pPr>
        <w:pStyle w:val="BodyText"/>
        <w:spacing w:before="8"/>
        <w:rPr>
          <w:sz w:val="18"/>
        </w:rPr>
      </w:pPr>
    </w:p>
    <w:p>
      <w:pPr>
        <w:pStyle w:val="BodyText"/>
        <w:ind w:left="624"/>
      </w:pPr>
      <w:r>
        <w:rPr>
          <w:position w:val="0"/>
        </w:rPr>
        <w:pict>
          <v:shape style="width:411.5pt;height:234.85pt;mso-position-horizontal-relative:char;mso-position-vertical-relative:line" type="#_x0000_t202" filled="false" stroked="true" strokeweight="1.44pt" strokecolor="#000000">
            <w10:anchorlock/>
            <v:textbox inset="0,0,0,0">
              <w:txbxContent>
                <w:p>
                  <w:pPr>
                    <w:spacing w:before="100"/>
                    <w:ind w:left="67" w:right="68" w:firstLine="0"/>
                    <w:jc w:val="center"/>
                    <w:rPr>
                      <w:b/>
                      <w:sz w:val="18"/>
                    </w:rPr>
                  </w:pPr>
                  <w:r>
                    <w:rPr>
                      <w:b/>
                      <w:sz w:val="18"/>
                    </w:rPr>
                    <w:t>B</w:t>
                  </w:r>
                  <w:r>
                    <w:rPr>
                      <w:b/>
                      <w:sz w:val="14"/>
                    </w:rPr>
                    <w:t>OX </w:t>
                  </w:r>
                  <w:r>
                    <w:rPr>
                      <w:b/>
                      <w:sz w:val="18"/>
                    </w:rPr>
                    <w:t>3.3.1</w:t>
                  </w:r>
                </w:p>
                <w:p>
                  <w:pPr>
                    <w:spacing w:before="2"/>
                    <w:ind w:left="1389" w:right="0" w:firstLine="0"/>
                    <w:jc w:val="left"/>
                    <w:rPr>
                      <w:b/>
                      <w:sz w:val="14"/>
                    </w:rPr>
                  </w:pPr>
                  <w:r>
                    <w:rPr>
                      <w:rFonts w:ascii="TimesNewRomanPS-BoldItalicMT"/>
                      <w:b/>
                      <w:i/>
                      <w:sz w:val="18"/>
                    </w:rPr>
                    <w:t>G</w:t>
                  </w:r>
                  <w:r>
                    <w:rPr>
                      <w:rFonts w:ascii="TimesNewRomanPS-BoldItalicMT"/>
                      <w:b/>
                      <w:i/>
                      <w:sz w:val="14"/>
                    </w:rPr>
                    <w:t>OOD PRACTICE </w:t>
                  </w:r>
                  <w:r>
                    <w:rPr>
                      <w:b/>
                      <w:sz w:val="14"/>
                    </w:rPr>
                    <w:t>IN DERIVATION OF COUNTRY</w:t>
                  </w:r>
                  <w:r>
                    <w:rPr>
                      <w:b/>
                      <w:sz w:val="18"/>
                    </w:rPr>
                    <w:t>-</w:t>
                  </w:r>
                  <w:r>
                    <w:rPr>
                      <w:b/>
                      <w:sz w:val="14"/>
                    </w:rPr>
                    <w:t>SPECIFIC EMISSION</w:t>
                  </w:r>
                  <w:r>
                    <w:rPr>
                      <w:b/>
                      <w:spacing w:val="-19"/>
                      <w:sz w:val="14"/>
                    </w:rPr>
                    <w:t> </w:t>
                  </w:r>
                  <w:r>
                    <w:rPr>
                      <w:b/>
                      <w:sz w:val="14"/>
                    </w:rPr>
                    <w:t>FACTORS</w:t>
                  </w:r>
                </w:p>
                <w:p>
                  <w:pPr>
                    <w:pStyle w:val="BodyText"/>
                    <w:spacing w:before="113"/>
                    <w:ind w:left="127"/>
                  </w:pPr>
                  <w:r>
                    <w:rPr/>
                    <w:t>In</w:t>
                  </w:r>
                  <w:r>
                    <w:rPr>
                      <w:spacing w:val="-7"/>
                    </w:rPr>
                    <w:t> </w:t>
                  </w:r>
                  <w:r>
                    <w:rPr/>
                    <w:t>situations</w:t>
                  </w:r>
                  <w:r>
                    <w:rPr>
                      <w:spacing w:val="-3"/>
                    </w:rPr>
                    <w:t> </w:t>
                  </w:r>
                  <w:r>
                    <w:rPr/>
                    <w:t>where</w:t>
                  </w:r>
                  <w:r>
                    <w:rPr>
                      <w:spacing w:val="-3"/>
                    </w:rPr>
                    <w:t> </w:t>
                  </w:r>
                  <w:r>
                    <w:rPr/>
                    <w:t>higher-tier</w:t>
                  </w:r>
                  <w:r>
                    <w:rPr>
                      <w:spacing w:val="1"/>
                    </w:rPr>
                    <w:t> </w:t>
                  </w:r>
                  <w:r>
                    <w:rPr/>
                    <w:t>methods</w:t>
                  </w:r>
                  <w:r>
                    <w:rPr>
                      <w:spacing w:val="-4"/>
                    </w:rPr>
                    <w:t> </w:t>
                  </w:r>
                  <w:r>
                    <w:rPr/>
                    <w:t>may</w:t>
                  </w:r>
                  <w:r>
                    <w:rPr>
                      <w:spacing w:val="-9"/>
                    </w:rPr>
                    <w:t> </w:t>
                  </w:r>
                  <w:r>
                    <w:rPr/>
                    <w:t>be</w:t>
                  </w:r>
                  <w:r>
                    <w:rPr>
                      <w:spacing w:val="-4"/>
                    </w:rPr>
                    <w:t> </w:t>
                  </w:r>
                  <w:r>
                    <w:rPr/>
                    <w:t>possible,</w:t>
                  </w:r>
                  <w:r>
                    <w:rPr>
                      <w:spacing w:val="-4"/>
                    </w:rPr>
                    <w:t> </w:t>
                  </w:r>
                  <w:r>
                    <w:rPr/>
                    <w:t>the</w:t>
                  </w:r>
                  <w:r>
                    <w:rPr>
                      <w:spacing w:val="-3"/>
                    </w:rPr>
                    <w:t> </w:t>
                  </w:r>
                  <w:r>
                    <w:rPr/>
                    <w:t>following</w:t>
                  </w:r>
                  <w:r>
                    <w:rPr>
                      <w:spacing w:val="-6"/>
                    </w:rPr>
                    <w:t> </w:t>
                  </w:r>
                  <w:r>
                    <w:rPr/>
                    <w:t>points</w:t>
                  </w:r>
                  <w:r>
                    <w:rPr>
                      <w:spacing w:val="-6"/>
                    </w:rPr>
                    <w:t> </w:t>
                  </w:r>
                  <w:r>
                    <w:rPr/>
                    <w:t>apply:</w:t>
                  </w:r>
                </w:p>
                <w:p>
                  <w:pPr>
                    <w:pStyle w:val="BodyText"/>
                    <w:spacing w:before="120"/>
                    <w:ind w:left="127" w:right="127"/>
                    <w:jc w:val="both"/>
                  </w:pPr>
                  <w:r>
                    <w:rPr>
                      <w:i/>
                    </w:rPr>
                    <w:t>Good practice </w:t>
                  </w:r>
                  <w:r>
                    <w:rPr/>
                    <w:t>requires the measurement of N</w:t>
                  </w:r>
                  <w:r>
                    <w:rPr>
                      <w:vertAlign w:val="subscript"/>
                    </w:rPr>
                    <w:t>2</w:t>
                  </w:r>
                  <w:r>
                    <w:rPr>
                      <w:vertAlign w:val="baseline"/>
                    </w:rPr>
                    <w:t>O emissions by individual sub-source category (e.g. synthetic fertiliser (F</w:t>
                  </w:r>
                  <w:r>
                    <w:rPr>
                      <w:vertAlign w:val="subscript"/>
                    </w:rPr>
                    <w:t>SN</w:t>
                  </w:r>
                  <w:r>
                    <w:rPr>
                      <w:vertAlign w:val="baseline"/>
                    </w:rPr>
                    <w:t>), animal manure (F</w:t>
                  </w:r>
                  <w:r>
                    <w:rPr>
                      <w:vertAlign w:val="subscript"/>
                    </w:rPr>
                    <w:t>AM</w:t>
                  </w:r>
                  <w:r>
                    <w:rPr>
                      <w:vertAlign w:val="baseline"/>
                    </w:rPr>
                    <w:t>), crop residue mineralisation (F</w:t>
                  </w:r>
                  <w:r>
                    <w:rPr>
                      <w:vertAlign w:val="subscript"/>
                    </w:rPr>
                    <w:t>CR</w:t>
                  </w:r>
                  <w:r>
                    <w:rPr>
                      <w:vertAlign w:val="baseline"/>
                    </w:rPr>
                    <w:t>) and (in the present context of land-use conversion to cropland), mineralisation of soil organic N</w:t>
                  </w:r>
                  <w:r>
                    <w:rPr>
                      <w:spacing w:val="-28"/>
                      <w:vertAlign w:val="baseline"/>
                    </w:rPr>
                    <w:t> </w:t>
                  </w:r>
                  <w:r>
                    <w:rPr>
                      <w:vertAlign w:val="baseline"/>
                    </w:rPr>
                    <w:t>(F</w:t>
                  </w:r>
                  <w:r>
                    <w:rPr>
                      <w:vertAlign w:val="subscript"/>
                    </w:rPr>
                    <w:t>OM-min</w:t>
                  </w:r>
                  <w:r>
                    <w:rPr>
                      <w:vertAlign w:val="baseline"/>
                    </w:rPr>
                    <w:t>).</w:t>
                  </w:r>
                </w:p>
                <w:p>
                  <w:pPr>
                    <w:pStyle w:val="BodyText"/>
                    <w:spacing w:before="119"/>
                    <w:ind w:left="127" w:right="122"/>
                    <w:jc w:val="both"/>
                  </w:pPr>
                  <w:r>
                    <w:rPr/>
                    <w:t>For N</w:t>
                  </w:r>
                  <w:r>
                    <w:rPr>
                      <w:vertAlign w:val="subscript"/>
                    </w:rPr>
                    <w:t>2</w:t>
                  </w:r>
                  <w:r>
                    <w:rPr>
                      <w:vertAlign w:val="baseline"/>
                    </w:rPr>
                    <w:t>O emission factors to be representative of environmental and management conditions within the country, measurements should be made in the major crop growing regions within a country, in all seasons, and if relevant, in different geographic and soil regions and under different management regimes. Soil factors such as texture and drainage condition, temperature and moisture will affect EFs (Firestone and Davidson, 1989; Dobbie </w:t>
                  </w:r>
                  <w:r>
                    <w:rPr>
                      <w:i/>
                      <w:vertAlign w:val="baseline"/>
                    </w:rPr>
                    <w:t>et al.</w:t>
                  </w:r>
                  <w:r>
                    <w:rPr>
                      <w:vertAlign w:val="baseline"/>
                    </w:rPr>
                    <w:t>,</w:t>
                  </w:r>
                  <w:r>
                    <w:rPr>
                      <w:spacing w:val="-8"/>
                      <w:vertAlign w:val="baseline"/>
                    </w:rPr>
                    <w:t> </w:t>
                  </w:r>
                  <w:r>
                    <w:rPr>
                      <w:vertAlign w:val="baseline"/>
                    </w:rPr>
                    <w:t>1999).</w:t>
                  </w:r>
                </w:p>
                <w:p>
                  <w:pPr>
                    <w:pStyle w:val="BodyText"/>
                    <w:spacing w:before="120"/>
                    <w:ind w:left="127" w:right="122"/>
                    <w:jc w:val="both"/>
                  </w:pPr>
                  <w:r>
                    <w:rPr/>
                    <w:t>Validated, calibrated, and well-documented simulation models may be a useful tool to develop area-average N</w:t>
                  </w:r>
                  <w:r>
                    <w:rPr>
                      <w:vertAlign w:val="subscript"/>
                    </w:rPr>
                    <w:t>2</w:t>
                  </w:r>
                  <w:r>
                    <w:rPr>
                      <w:vertAlign w:val="baseline"/>
                    </w:rPr>
                    <w:t>O emission factors on the basis of measurement data.</w:t>
                  </w:r>
                </w:p>
                <w:p>
                  <w:pPr>
                    <w:pStyle w:val="BodyText"/>
                    <w:spacing w:line="242" w:lineRule="auto" w:before="121"/>
                    <w:ind w:left="127" w:right="123"/>
                    <w:jc w:val="both"/>
                  </w:pPr>
                  <w:r>
                    <w:rPr/>
                    <w:t>Regarding measurement period and frequency, N</w:t>
                  </w:r>
                  <w:r>
                    <w:rPr>
                      <w:vertAlign w:val="subscript"/>
                    </w:rPr>
                    <w:t>2</w:t>
                  </w:r>
                  <w:r>
                    <w:rPr>
                      <w:vertAlign w:val="baseline"/>
                    </w:rPr>
                    <w:t>O emission measurements should be taken over an entire year (including fallow periods), and preferably over a series of years, in order to reflect differences in weather conditions and inter-annual climatic variability. Measurements should be frequent during the initial period after land conversion.</w:t>
                  </w:r>
                </w:p>
              </w:txbxContent>
            </v:textbox>
            <v:stroke dashstyle="solid"/>
          </v:shape>
        </w:pict>
      </w:r>
      <w:r>
        <w:rPr>
          <w:position w:val="0"/>
        </w:rPr>
      </w:r>
    </w:p>
    <w:p>
      <w:pPr>
        <w:pStyle w:val="BodyText"/>
        <w:spacing w:before="3"/>
        <w:rPr>
          <w:sz w:val="10"/>
        </w:rPr>
      </w:pPr>
    </w:p>
    <w:p>
      <w:pPr>
        <w:pStyle w:val="Heading6"/>
        <w:numPr>
          <w:ilvl w:val="5"/>
          <w:numId w:val="67"/>
        </w:numPr>
        <w:tabs>
          <w:tab w:pos="1449" w:val="left" w:leader="none"/>
        </w:tabs>
        <w:spacing w:line="240" w:lineRule="auto" w:before="92" w:after="0"/>
        <w:ind w:left="1448" w:right="0" w:hanging="1229"/>
        <w:jc w:val="left"/>
      </w:pPr>
      <w:r>
        <w:rPr/>
        <w:t>3 </w:t>
      </w:r>
      <w:r>
        <w:rPr>
          <w:spacing w:val="16"/>
        </w:rPr>
        <w:t>Choice </w:t>
      </w:r>
      <w:r>
        <w:rPr>
          <w:spacing w:val="9"/>
        </w:rPr>
        <w:t>of </w:t>
      </w:r>
      <w:r>
        <w:rPr>
          <w:spacing w:val="16"/>
        </w:rPr>
        <w:t>Activity</w:t>
      </w:r>
      <w:r>
        <w:rPr>
          <w:spacing w:val="15"/>
        </w:rPr>
        <w:t> </w:t>
      </w:r>
      <w:r>
        <w:rPr>
          <w:spacing w:val="19"/>
        </w:rPr>
        <w:t>Data</w:t>
      </w:r>
    </w:p>
    <w:p>
      <w:pPr>
        <w:pStyle w:val="BodyText"/>
        <w:spacing w:before="53"/>
        <w:ind w:left="219" w:right="267"/>
        <w:jc w:val="both"/>
      </w:pPr>
      <w:r>
        <w:rPr>
          <w:b/>
        </w:rPr>
        <w:t>A</w:t>
      </w:r>
      <w:r>
        <w:rPr>
          <w:b/>
          <w:vertAlign w:val="subscript"/>
        </w:rPr>
        <w:t>conv</w:t>
      </w:r>
      <w:r>
        <w:rPr>
          <w:vertAlign w:val="baseline"/>
        </w:rPr>
        <w:t>: The area of land being converted is required. For Tier 1 the A</w:t>
      </w:r>
      <w:r>
        <w:rPr>
          <w:vertAlign w:val="subscript"/>
        </w:rPr>
        <w:t>conv</w:t>
      </w:r>
      <w:r>
        <w:rPr>
          <w:vertAlign w:val="baseline"/>
        </w:rPr>
        <w:t> is a single value, but for Tier 2 it is disaggregated by the types of conversions.</w:t>
      </w:r>
    </w:p>
    <w:p>
      <w:pPr>
        <w:pStyle w:val="BodyText"/>
        <w:rPr>
          <w:sz w:val="22"/>
        </w:rPr>
      </w:pPr>
    </w:p>
    <w:p>
      <w:pPr>
        <w:pStyle w:val="BodyText"/>
        <w:spacing w:before="3"/>
      </w:pPr>
    </w:p>
    <w:p>
      <w:pPr>
        <w:pStyle w:val="Heading2"/>
        <w:numPr>
          <w:ilvl w:val="2"/>
          <w:numId w:val="68"/>
        </w:numPr>
        <w:tabs>
          <w:tab w:pos="1421" w:val="left" w:leader="none"/>
          <w:tab w:pos="1422" w:val="left" w:leader="none"/>
        </w:tabs>
        <w:spacing w:line="240" w:lineRule="auto" w:before="1" w:after="0"/>
        <w:ind w:left="1421" w:right="0" w:hanging="1202"/>
        <w:jc w:val="left"/>
      </w:pPr>
      <w:r>
        <w:rPr>
          <w:spacing w:val="9"/>
        </w:rPr>
        <w:t>Completeness</w:t>
      </w:r>
    </w:p>
    <w:p>
      <w:pPr>
        <w:pStyle w:val="BodyText"/>
        <w:spacing w:before="113"/>
        <w:ind w:left="219" w:right="263"/>
        <w:jc w:val="both"/>
      </w:pPr>
      <w:r>
        <w:rPr/>
        <w:t>A complete data series for land area estimates contains, at a minimum, the area of land within country boundaries that is considered cropland during the time period covered by land use surveys or other data sources and for which greenhouse gas emission and removals are estimated in the LULUCF sector. The total area covered by the cropland inventory methodology is the sum of land remaining in cropland and land converted to cropland during the time period. This inventory methodology may not include some cropland areas where greenhouse gas emissions and removals are believed to be insignificant or constant through time, such as non- woody cropland where there are no management or land-use changes. Therefore, it is possible for the total cropland area for which estimates are prepared to be less than the total area of cropland within country boundaries. In this case, it is </w:t>
      </w:r>
      <w:r>
        <w:rPr>
          <w:i/>
        </w:rPr>
        <w:t>good practice </w:t>
      </w:r>
      <w:r>
        <w:rPr/>
        <w:t>for countries to document and explain the difference in cropland area in the inventory and total cropland within their boundaries. Countries are encouraged to track through time the total area of land in cropland within country boundaries, keeping transparent records on which portions are used to estimate carbon dioxide emissions and removals. As addressed in Chapter 2, all cropland areas, including those not covered by the emissions inventory, should be part of the consistency checks to help avoid double counting or omission. When summed with area estimates for other land uses, the cropland area data series will enable a complete assessment of the land base included in a countries’ LULUCF sector inventory</w:t>
      </w:r>
      <w:r>
        <w:rPr>
          <w:spacing w:val="-23"/>
        </w:rPr>
        <w:t> </w:t>
      </w:r>
      <w:r>
        <w:rPr/>
        <w:t>report.</w:t>
      </w:r>
    </w:p>
    <w:p>
      <w:pPr>
        <w:pStyle w:val="BodyText"/>
        <w:spacing w:before="117"/>
        <w:ind w:left="219" w:right="261"/>
        <w:jc w:val="both"/>
      </w:pPr>
      <w:r>
        <w:rPr/>
        <w:t>Countries that use Tier 2 or 3 methods for cropland biomass and soil pools should include more detail in their inventory on the cropland area data series. For example, countries may need to stratify the cropland area by major climate and soil types, including both the inventoried and non-inventoried cropland areas. When stratified land areas are used in the inventory, it is </w:t>
      </w:r>
      <w:r>
        <w:rPr>
          <w:i/>
        </w:rPr>
        <w:t>good practice </w:t>
      </w:r>
      <w:r>
        <w:rPr/>
        <w:t>for countries to use the same area classifications for both the biomass and soils pools. This will ensure consistency and transparency, allow for efficient use of land surveys and other data collection tools, and enable the explicit linking between carbon dioxide emissions and removals in biomass and soil</w:t>
      </w:r>
      <w:r>
        <w:rPr>
          <w:spacing w:val="-3"/>
        </w:rPr>
        <w:t> </w:t>
      </w:r>
      <w:r>
        <w:rPr/>
        <w:t>pools.</w:t>
      </w:r>
    </w:p>
    <w:p>
      <w:pPr>
        <w:pStyle w:val="BodyText"/>
        <w:rPr>
          <w:sz w:val="22"/>
        </w:rPr>
      </w:pPr>
    </w:p>
    <w:p>
      <w:pPr>
        <w:pStyle w:val="BodyText"/>
        <w:spacing w:before="1"/>
      </w:pPr>
    </w:p>
    <w:p>
      <w:pPr>
        <w:pStyle w:val="Heading2"/>
        <w:numPr>
          <w:ilvl w:val="2"/>
          <w:numId w:val="68"/>
        </w:numPr>
        <w:tabs>
          <w:tab w:pos="1421" w:val="left" w:leader="none"/>
          <w:tab w:pos="1422" w:val="left" w:leader="none"/>
        </w:tabs>
        <w:spacing w:line="240" w:lineRule="auto" w:before="0" w:after="0"/>
        <w:ind w:left="1421" w:right="0" w:hanging="1202"/>
        <w:jc w:val="left"/>
      </w:pPr>
      <w:r>
        <w:rPr>
          <w:spacing w:val="8"/>
        </w:rPr>
        <w:t>Developing </w:t>
      </w:r>
      <w:r>
        <w:rPr/>
        <w:t>a </w:t>
      </w:r>
      <w:r>
        <w:rPr>
          <w:spacing w:val="8"/>
        </w:rPr>
        <w:t>Consistent </w:t>
      </w:r>
      <w:r>
        <w:rPr>
          <w:spacing w:val="7"/>
        </w:rPr>
        <w:t>Time</w:t>
      </w:r>
      <w:r>
        <w:rPr>
          <w:spacing w:val="64"/>
        </w:rPr>
        <w:t> </w:t>
      </w:r>
      <w:r>
        <w:rPr>
          <w:spacing w:val="9"/>
        </w:rPr>
        <w:t>Series</w:t>
      </w:r>
    </w:p>
    <w:p>
      <w:pPr>
        <w:pStyle w:val="BodyText"/>
        <w:spacing w:before="116"/>
        <w:ind w:left="219" w:right="265"/>
        <w:jc w:val="both"/>
      </w:pPr>
      <w:r>
        <w:rPr/>
        <w:t>To maintain a consistent time series, it is </w:t>
      </w:r>
      <w:r>
        <w:rPr>
          <w:i/>
        </w:rPr>
        <w:t>good practice </w:t>
      </w:r>
      <w:r>
        <w:rPr/>
        <w:t>for countries to maintain records on the cropland areas used in inventory reports over time. These records should track the total cropland area included in the inventory, subdivided by land remaining in cropland and land converted to cropland. Countries are encouraged to include an estimate of the total cropland area within country boundaries. To ensure that area estimates are treated consistently through time, land use definitions should be clearly defined and kept constant. If changes are made to</w:t>
      </w:r>
      <w:r>
        <w:rPr>
          <w:spacing w:val="7"/>
        </w:rPr>
        <w:t> </w:t>
      </w:r>
      <w:r>
        <w:rPr/>
        <w:t>land</w:t>
      </w:r>
      <w:r>
        <w:rPr>
          <w:spacing w:val="8"/>
        </w:rPr>
        <w:t> </w:t>
      </w:r>
      <w:r>
        <w:rPr/>
        <w:t>use</w:t>
      </w:r>
      <w:r>
        <w:rPr>
          <w:spacing w:val="7"/>
        </w:rPr>
        <w:t> </w:t>
      </w:r>
      <w:r>
        <w:rPr/>
        <w:t>definitions,</w:t>
      </w:r>
      <w:r>
        <w:rPr>
          <w:spacing w:val="7"/>
        </w:rPr>
        <w:t> </w:t>
      </w:r>
      <w:r>
        <w:rPr/>
        <w:t>it</w:t>
      </w:r>
      <w:r>
        <w:rPr>
          <w:spacing w:val="7"/>
        </w:rPr>
        <w:t> </w:t>
      </w:r>
      <w:r>
        <w:rPr/>
        <w:t>is</w:t>
      </w:r>
      <w:r>
        <w:rPr>
          <w:spacing w:val="5"/>
        </w:rPr>
        <w:t> </w:t>
      </w:r>
      <w:r>
        <w:rPr>
          <w:i/>
        </w:rPr>
        <w:t>good</w:t>
      </w:r>
      <w:r>
        <w:rPr>
          <w:i/>
          <w:spacing w:val="5"/>
        </w:rPr>
        <w:t> </w:t>
      </w:r>
      <w:r>
        <w:rPr>
          <w:i/>
        </w:rPr>
        <w:t>practice</w:t>
      </w:r>
      <w:r>
        <w:rPr>
          <w:i/>
          <w:spacing w:val="6"/>
        </w:rPr>
        <w:t> </w:t>
      </w:r>
      <w:r>
        <w:rPr/>
        <w:t>to</w:t>
      </w:r>
      <w:r>
        <w:rPr>
          <w:spacing w:val="5"/>
        </w:rPr>
        <w:t> </w:t>
      </w:r>
      <w:r>
        <w:rPr/>
        <w:t>keep</w:t>
      </w:r>
      <w:r>
        <w:rPr>
          <w:spacing w:val="7"/>
        </w:rPr>
        <w:t> </w:t>
      </w:r>
      <w:r>
        <w:rPr/>
        <w:t>transparent</w:t>
      </w:r>
      <w:r>
        <w:rPr>
          <w:spacing w:val="7"/>
        </w:rPr>
        <w:t> </w:t>
      </w:r>
      <w:r>
        <w:rPr/>
        <w:t>records</w:t>
      </w:r>
      <w:r>
        <w:rPr>
          <w:spacing w:val="6"/>
        </w:rPr>
        <w:t> </w:t>
      </w:r>
      <w:r>
        <w:rPr/>
        <w:t>of</w:t>
      </w:r>
      <w:r>
        <w:rPr>
          <w:spacing w:val="5"/>
        </w:rPr>
        <w:t> </w:t>
      </w:r>
      <w:r>
        <w:rPr/>
        <w:t>how</w:t>
      </w:r>
      <w:r>
        <w:rPr>
          <w:spacing w:val="2"/>
        </w:rPr>
        <w:t> </w:t>
      </w:r>
      <w:r>
        <w:rPr/>
        <w:t>the</w:t>
      </w:r>
      <w:r>
        <w:rPr>
          <w:spacing w:val="7"/>
        </w:rPr>
        <w:t> </w:t>
      </w:r>
      <w:r>
        <w:rPr/>
        <w:t>definition</w:t>
      </w:r>
      <w:r>
        <w:rPr>
          <w:spacing w:val="5"/>
        </w:rPr>
        <w:t> </w:t>
      </w:r>
      <w:r>
        <w:rPr/>
        <w:t>changed.</w:t>
      </w:r>
      <w:r>
        <w:rPr>
          <w:spacing w:val="7"/>
        </w:rPr>
        <w:t> </w:t>
      </w:r>
      <w:r>
        <w:rPr/>
        <w:t>Consistent</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17"/>
        <w:jc w:val="both"/>
      </w:pPr>
      <w:r>
        <w:rPr/>
        <w:t>definitions should also be used for each of the cropland types and management systems included in the inventory. In addition, to facilitate the proper accounting of carbon emissions and removals over several periods, information on historic land conversions can be utilized. Even if a country cannot rely on historic data for current inventories, improvements to current inventory practices to provide the ability to track land conversions across time will have benefits in future</w:t>
      </w:r>
      <w:r>
        <w:rPr>
          <w:spacing w:val="1"/>
        </w:rPr>
        <w:t> </w:t>
      </w:r>
      <w:r>
        <w:rPr/>
        <w:t>inventories.</w:t>
      </w:r>
    </w:p>
    <w:p>
      <w:pPr>
        <w:pStyle w:val="BodyText"/>
        <w:rPr>
          <w:sz w:val="22"/>
        </w:rPr>
      </w:pPr>
    </w:p>
    <w:p>
      <w:pPr>
        <w:pStyle w:val="BodyText"/>
        <w:spacing w:before="2"/>
      </w:pPr>
    </w:p>
    <w:p>
      <w:pPr>
        <w:pStyle w:val="Heading2"/>
        <w:numPr>
          <w:ilvl w:val="2"/>
          <w:numId w:val="68"/>
        </w:numPr>
        <w:tabs>
          <w:tab w:pos="1422" w:val="left" w:leader="none"/>
        </w:tabs>
        <w:spacing w:line="240" w:lineRule="auto" w:before="0" w:after="0"/>
        <w:ind w:left="1421" w:right="0" w:hanging="1202"/>
        <w:jc w:val="both"/>
      </w:pPr>
      <w:r>
        <w:rPr>
          <w:spacing w:val="8"/>
        </w:rPr>
        <w:t>Reporting </w:t>
      </w:r>
      <w:r>
        <w:rPr>
          <w:spacing w:val="6"/>
        </w:rPr>
        <w:t>and</w:t>
      </w:r>
      <w:r>
        <w:rPr>
          <w:spacing w:val="31"/>
        </w:rPr>
        <w:t> </w:t>
      </w:r>
      <w:r>
        <w:rPr>
          <w:spacing w:val="9"/>
        </w:rPr>
        <w:t>Documentation</w:t>
      </w:r>
    </w:p>
    <w:p>
      <w:pPr>
        <w:pStyle w:val="BodyText"/>
        <w:spacing w:before="116"/>
        <w:ind w:left="219" w:right="267"/>
        <w:jc w:val="both"/>
      </w:pPr>
      <w:r>
        <w:rPr/>
        <w:t>The categories described in Section 3.3 can be reported using the reporting tables in Annex 3A.2. The estimates under the cropland category can be compared with the reporting categories in the </w:t>
      </w:r>
      <w:r>
        <w:rPr>
          <w:i/>
        </w:rPr>
        <w:t>IPCC Guidelines </w:t>
      </w:r>
      <w:r>
        <w:rPr/>
        <w:t>as follows:</w:t>
      </w:r>
    </w:p>
    <w:p>
      <w:pPr>
        <w:pStyle w:val="BodyText"/>
        <w:tabs>
          <w:tab w:pos="761" w:val="left" w:leader="none"/>
        </w:tabs>
        <w:spacing w:line="223" w:lineRule="auto" w:before="145"/>
        <w:ind w:left="761" w:right="354" w:hanging="543"/>
      </w:pPr>
      <w:r>
        <w:rPr>
          <w:rFonts w:ascii="Symbol" w:hAnsi="Symbol"/>
        </w:rPr>
        <w:t>•</w:t>
        <w:tab/>
      </w:r>
      <w:r>
        <w:rPr/>
        <w:t>Carbon dioxide emissions and removals in biomass in cropland remaining cropland to IPCC Reporting Category 5A, Changes in woody</w:t>
      </w:r>
      <w:r>
        <w:rPr>
          <w:spacing w:val="-8"/>
        </w:rPr>
        <w:t> </w:t>
      </w:r>
      <w:r>
        <w:rPr/>
        <w:t>biomass;</w:t>
      </w:r>
    </w:p>
    <w:p>
      <w:pPr>
        <w:pStyle w:val="BodyText"/>
        <w:tabs>
          <w:tab w:pos="761" w:val="left" w:leader="none"/>
        </w:tabs>
        <w:spacing w:line="223" w:lineRule="auto" w:before="151"/>
        <w:ind w:left="761" w:right="354" w:hanging="543"/>
      </w:pPr>
      <w:r>
        <w:rPr>
          <w:rFonts w:ascii="Symbol" w:hAnsi="Symbol"/>
        </w:rPr>
        <w:t>•</w:t>
        <w:tab/>
      </w:r>
      <w:r>
        <w:rPr/>
        <w:t>Carbon dioxide emissions and removals in soils in cropland remaining cropland to IPCC Reporting Category 5D, Changes in soil carbon;</w:t>
      </w:r>
      <w:r>
        <w:rPr>
          <w:spacing w:val="-4"/>
        </w:rPr>
        <w:t> </w:t>
      </w:r>
      <w:r>
        <w:rPr/>
        <w:t>and</w:t>
      </w:r>
    </w:p>
    <w:p>
      <w:pPr>
        <w:pStyle w:val="BodyText"/>
        <w:spacing w:line="232" w:lineRule="auto" w:before="142"/>
        <w:ind w:left="761" w:right="265" w:hanging="543"/>
        <w:jc w:val="both"/>
      </w:pPr>
      <w:r>
        <w:rPr>
          <w:rFonts w:ascii="Symbol" w:hAnsi="Symbol"/>
        </w:rPr>
        <w:t>• </w:t>
      </w:r>
      <w:r>
        <w:rPr/>
        <w:t>Carbon dioxide emissions and removals resulting from  land-use  conversions  to  cropland  to  IPCC  Reporting Category 5B for biomass, IPCC Reporting category 5D for soils, and IPCC Reporting Category 5E for non-CO</w:t>
      </w:r>
      <w:r>
        <w:rPr>
          <w:vertAlign w:val="subscript"/>
        </w:rPr>
        <w:t>2</w:t>
      </w:r>
      <w:r>
        <w:rPr>
          <w:spacing w:val="3"/>
          <w:vertAlign w:val="baseline"/>
        </w:rPr>
        <w:t> </w:t>
      </w:r>
      <w:r>
        <w:rPr>
          <w:vertAlign w:val="baseline"/>
        </w:rPr>
        <w:t>gases.</w:t>
      </w:r>
    </w:p>
    <w:p>
      <w:pPr>
        <w:pStyle w:val="BodyText"/>
        <w:spacing w:before="118"/>
        <w:ind w:left="219" w:right="263" w:hanging="1"/>
        <w:jc w:val="both"/>
      </w:pPr>
      <w:r>
        <w:rPr/>
        <w:t>It is </w:t>
      </w:r>
      <w:r>
        <w:rPr>
          <w:i/>
        </w:rPr>
        <w:t>good practice </w:t>
      </w:r>
      <w:r>
        <w:rPr/>
        <w:t>to maintain and archive all information used to produce national inventory estimates. Metadata and data sources for information used to estimate country-specific factors should be documented and both mean and variance estimates provided. Actual databases and procedures used to process the data (e.g. statistical programs) to estimate country-specific factors should be archived. Activity data and definitions used to categorise or aggregate the activity data must be documented and archived. Procedures used to categorise activity data by climate and soil types (for Tier 1 and Tier 2) must be clearly documented. For Tier 3 approaches that use modelling, model version and identification must be documented. Use of dynamic models requires that copies of all model input files as well as copies of model source code and executable programs be permanently archived.</w:t>
      </w:r>
    </w:p>
    <w:p>
      <w:pPr>
        <w:pStyle w:val="BodyText"/>
        <w:rPr>
          <w:sz w:val="22"/>
        </w:rPr>
      </w:pPr>
    </w:p>
    <w:p>
      <w:pPr>
        <w:pStyle w:val="BodyText"/>
        <w:spacing w:before="4"/>
      </w:pPr>
    </w:p>
    <w:p>
      <w:pPr>
        <w:pStyle w:val="Heading2"/>
        <w:numPr>
          <w:ilvl w:val="2"/>
          <w:numId w:val="68"/>
        </w:numPr>
        <w:tabs>
          <w:tab w:pos="1421" w:val="left" w:leader="none"/>
          <w:tab w:pos="1422" w:val="left" w:leader="none"/>
        </w:tabs>
        <w:spacing w:line="240" w:lineRule="auto" w:before="0" w:after="0"/>
        <w:ind w:left="1421" w:right="1478" w:hanging="1202"/>
        <w:jc w:val="left"/>
      </w:pPr>
      <w:r>
        <w:rPr>
          <w:spacing w:val="8"/>
        </w:rPr>
        <w:t>Inventory </w:t>
      </w:r>
      <w:r>
        <w:rPr>
          <w:spacing w:val="7"/>
        </w:rPr>
        <w:t>Quality </w:t>
      </w:r>
      <w:r>
        <w:rPr>
          <w:spacing w:val="9"/>
        </w:rPr>
        <w:t>Assurance/Quality </w:t>
      </w:r>
      <w:r>
        <w:rPr>
          <w:spacing w:val="10"/>
        </w:rPr>
        <w:t>Control </w:t>
      </w:r>
      <w:r>
        <w:rPr>
          <w:spacing w:val="8"/>
        </w:rPr>
        <w:t>(QA/QC)</w:t>
      </w:r>
    </w:p>
    <w:p>
      <w:pPr>
        <w:pStyle w:val="BodyText"/>
        <w:spacing w:before="113"/>
        <w:ind w:left="219" w:right="266"/>
        <w:jc w:val="both"/>
      </w:pPr>
      <w:r>
        <w:rPr/>
        <w:t>It is </w:t>
      </w:r>
      <w:r>
        <w:rPr>
          <w:i/>
        </w:rPr>
        <w:t>good practice </w:t>
      </w:r>
      <w:r>
        <w:rPr/>
        <w:t>to implement quality control checks and external expert review of inventory estimates and data. Specific attention should be paid to country-specific estimates of stock change and emission factors to ensure that they are based on high quality data and verifiable expert opinion.</w:t>
      </w:r>
    </w:p>
    <w:p>
      <w:pPr>
        <w:pStyle w:val="BodyText"/>
        <w:spacing w:before="119"/>
        <w:ind w:left="219"/>
        <w:jc w:val="both"/>
      </w:pPr>
      <w:r>
        <w:rPr/>
        <w:t>Specific QA/QC checks across the cropland methodology include:</w:t>
      </w:r>
    </w:p>
    <w:p>
      <w:pPr>
        <w:pStyle w:val="BodyText"/>
        <w:spacing w:before="120"/>
        <w:ind w:left="219" w:right="263"/>
        <w:jc w:val="both"/>
      </w:pPr>
      <w:r>
        <w:rPr/>
        <w:t>Cropland remaining cropland: Cropland soil estimates may be based on area data that includes both perennial woody crops and annual crops, while biomass estimates are based on area data for perennial woody crops only. Therefore, the area estimates underlying biomass and soils estimates in cropland remaining cropland may differ, with biomass estimates based on a smaller land area than soil estimates. This will be true in most cases, except in countries where cropland is comprised entirely of perennial woody crops or management and land use is  constant on annual</w:t>
      </w:r>
      <w:r>
        <w:rPr>
          <w:spacing w:val="-2"/>
        </w:rPr>
        <w:t> </w:t>
      </w:r>
      <w:r>
        <w:rPr/>
        <w:t>crops.</w:t>
      </w:r>
    </w:p>
    <w:p>
      <w:pPr>
        <w:pStyle w:val="BodyText"/>
        <w:spacing w:before="120"/>
        <w:ind w:left="219" w:right="267"/>
        <w:jc w:val="both"/>
      </w:pPr>
      <w:r>
        <w:rPr/>
        <w:t>Lands converted to cropland: Aggregate area totals for land converted to cropland should be the same in the biomass and soils estimations. While biomass and soil pools may be disaggregated to different levels of detail, the same general categories should be used to disaggregate the area data.</w:t>
      </w:r>
    </w:p>
    <w:p>
      <w:pPr>
        <w:pStyle w:val="BodyText"/>
        <w:spacing w:before="119"/>
        <w:ind w:left="219" w:right="447"/>
        <w:jc w:val="both"/>
      </w:pPr>
      <w:r>
        <w:rPr/>
        <w:t>For all soil carbon stock change estimates using Tier 1 or Tier 2 methods, total areas for each climate-soil type combination must be the same for the start (year</w:t>
      </w:r>
      <w:r>
        <w:rPr>
          <w:vertAlign w:val="subscript"/>
        </w:rPr>
        <w:t>(0-T)</w:t>
      </w:r>
      <w:r>
        <w:rPr>
          <w:vertAlign w:val="baseline"/>
        </w:rPr>
        <w:t>) and the end (year</w:t>
      </w:r>
      <w:r>
        <w:rPr>
          <w:vertAlign w:val="subscript"/>
        </w:rPr>
        <w:t>(0)</w:t>
      </w:r>
      <w:r>
        <w:rPr>
          <w:vertAlign w:val="baseline"/>
        </w:rPr>
        <w:t>) of the inventory period (see Equation 3.3.4).</w:t>
      </w:r>
    </w:p>
    <w:p>
      <w:pPr>
        <w:spacing w:after="0"/>
        <w:jc w:val="both"/>
        <w:sectPr>
          <w:pgSz w:w="11900" w:h="16840"/>
          <w:pgMar w:header="230" w:footer="408" w:top="560" w:bottom="600" w:left="1200" w:right="1140"/>
        </w:sectPr>
      </w:pPr>
    </w:p>
    <w:p>
      <w:pPr>
        <w:pStyle w:val="BodyText"/>
      </w:pPr>
    </w:p>
    <w:p>
      <w:pPr>
        <w:pStyle w:val="BodyText"/>
      </w:pPr>
    </w:p>
    <w:p>
      <w:pPr>
        <w:pStyle w:val="BodyText"/>
        <w:spacing w:before="6"/>
        <w:rPr>
          <w:sz w:val="22"/>
        </w:rPr>
      </w:pPr>
    </w:p>
    <w:p>
      <w:pPr>
        <w:pStyle w:val="Heading2"/>
        <w:numPr>
          <w:ilvl w:val="2"/>
          <w:numId w:val="68"/>
        </w:numPr>
        <w:tabs>
          <w:tab w:pos="1421" w:val="left" w:leader="none"/>
          <w:tab w:pos="1422" w:val="left" w:leader="none"/>
        </w:tabs>
        <w:spacing w:line="240" w:lineRule="auto" w:before="86" w:after="0"/>
        <w:ind w:left="1421" w:right="0" w:hanging="1202"/>
        <w:jc w:val="left"/>
      </w:pPr>
      <w:r>
        <w:rPr>
          <w:spacing w:val="8"/>
        </w:rPr>
        <w:t>Estimation </w:t>
      </w:r>
      <w:r>
        <w:rPr>
          <w:spacing w:val="6"/>
        </w:rPr>
        <w:t>of </w:t>
      </w:r>
      <w:r>
        <w:rPr>
          <w:spacing w:val="8"/>
        </w:rPr>
        <w:t>Revised </w:t>
      </w:r>
      <w:r>
        <w:rPr>
          <w:spacing w:val="7"/>
        </w:rPr>
        <w:t>GPG Tier </w:t>
      </w:r>
      <w:r>
        <w:rPr/>
        <w:t>1 </w:t>
      </w:r>
      <w:r>
        <w:rPr>
          <w:spacing w:val="8"/>
        </w:rPr>
        <w:t>Defaults</w:t>
      </w:r>
      <w:r>
        <w:rPr>
          <w:spacing w:val="15"/>
        </w:rPr>
        <w:t> </w:t>
      </w:r>
      <w:r>
        <w:rPr>
          <w:spacing w:val="6"/>
        </w:rPr>
        <w:t>for</w:t>
      </w:r>
    </w:p>
    <w:p>
      <w:pPr>
        <w:spacing w:before="1"/>
        <w:ind w:left="1421" w:right="1333" w:firstLine="0"/>
        <w:jc w:val="left"/>
        <w:rPr>
          <w:b/>
          <w:sz w:val="32"/>
        </w:rPr>
      </w:pPr>
      <w:r>
        <w:rPr>
          <w:b/>
          <w:sz w:val="32"/>
        </w:rPr>
        <w:t>Mineral Soil C Emissions/Removals for Cropland (see Table 3.3.4)</w:t>
      </w:r>
    </w:p>
    <w:p>
      <w:pPr>
        <w:pStyle w:val="BodyText"/>
        <w:spacing w:before="113"/>
        <w:ind w:left="219" w:right="262"/>
        <w:jc w:val="both"/>
      </w:pPr>
      <w:r>
        <w:rPr/>
        <w:t>Cropland management factors were computed for tillage, input, set-aside, and land use conversion from grassland or forest land. The land use conversion factor represents the loss of carbon that occurs after 20 years of continuous cultivation. Tillage factors represent the impact of changing management from a conventional tillage system, in which the soil is completely inverted, to conservation practices, including no-till and reduced till. No- tillage is direct seeding without tillage of the soil. Reduced tillage involves some tillage, but does not involve full inversion of the soil and typically leaves more than 60% of the soil surface covered by residue, including practices such as chisel, mulch, and ridge tillage. The input factors represent the effect changing carbon input to the soil by planting more productive crops, cropping intensification, or applying amendments; input factors include cropping systems categorised as low, medium, high, and high w/manure amendments. Low input factors represent low residue crops, rotations with bare-fallow, or cropping systems in which the residue is burned or removed from the field. Medium input cropping systems represent cereals in which the residue is returned to the field or rotations receiving organic amendments that otherwise would be considered low input due to residue removal. High input rotations have high residue-yielding crops, cover crops, improved vegetated fallow, or years with grass cover, such as hay or pasture in the rotation. Tillage and input factors represent the effect on C stocks after 20 years since the management change. Set-aside factors represent the effect of temporary removal of cropland</w:t>
      </w:r>
      <w:r>
        <w:rPr>
          <w:spacing w:val="-2"/>
        </w:rPr>
        <w:t> </w:t>
      </w:r>
      <w:r>
        <w:rPr/>
        <w:t>from</w:t>
      </w:r>
      <w:r>
        <w:rPr>
          <w:spacing w:val="-7"/>
        </w:rPr>
        <w:t> </w:t>
      </w:r>
      <w:r>
        <w:rPr/>
        <w:t>production</w:t>
      </w:r>
      <w:r>
        <w:rPr>
          <w:spacing w:val="-3"/>
        </w:rPr>
        <w:t> </w:t>
      </w:r>
      <w:r>
        <w:rPr/>
        <w:t>and</w:t>
      </w:r>
      <w:r>
        <w:rPr>
          <w:spacing w:val="-2"/>
        </w:rPr>
        <w:t> </w:t>
      </w:r>
      <w:r>
        <w:rPr/>
        <w:t>placing</w:t>
      </w:r>
      <w:r>
        <w:rPr>
          <w:spacing w:val="-4"/>
        </w:rPr>
        <w:t> </w:t>
      </w:r>
      <w:r>
        <w:rPr/>
        <w:t>it</w:t>
      </w:r>
      <w:r>
        <w:rPr>
          <w:spacing w:val="-2"/>
        </w:rPr>
        <w:t> </w:t>
      </w:r>
      <w:r>
        <w:rPr/>
        <w:t>into</w:t>
      </w:r>
      <w:r>
        <w:rPr>
          <w:spacing w:val="1"/>
        </w:rPr>
        <w:t> </w:t>
      </w:r>
      <w:r>
        <w:rPr/>
        <w:t>grass</w:t>
      </w:r>
      <w:r>
        <w:rPr>
          <w:spacing w:val="-1"/>
        </w:rPr>
        <w:t> </w:t>
      </w:r>
      <w:r>
        <w:rPr/>
        <w:t>vegetation</w:t>
      </w:r>
      <w:r>
        <w:rPr>
          <w:spacing w:val="-2"/>
        </w:rPr>
        <w:t> </w:t>
      </w:r>
      <w:r>
        <w:rPr/>
        <w:t>for</w:t>
      </w:r>
      <w:r>
        <w:rPr>
          <w:spacing w:val="-2"/>
        </w:rPr>
        <w:t> </w:t>
      </w:r>
      <w:r>
        <w:rPr/>
        <w:t>a</w:t>
      </w:r>
      <w:r>
        <w:rPr>
          <w:spacing w:val="-1"/>
        </w:rPr>
        <w:t> </w:t>
      </w:r>
      <w:r>
        <w:rPr/>
        <w:t>period</w:t>
      </w:r>
      <w:r>
        <w:rPr>
          <w:spacing w:val="-4"/>
        </w:rPr>
        <w:t> </w:t>
      </w:r>
      <w:r>
        <w:rPr/>
        <w:t>of</w:t>
      </w:r>
      <w:r>
        <w:rPr>
          <w:spacing w:val="-5"/>
        </w:rPr>
        <w:t> </w:t>
      </w:r>
      <w:r>
        <w:rPr/>
        <w:t>time</w:t>
      </w:r>
      <w:r>
        <w:rPr>
          <w:spacing w:val="-2"/>
        </w:rPr>
        <w:t> </w:t>
      </w:r>
      <w:r>
        <w:rPr/>
        <w:t>that</w:t>
      </w:r>
      <w:r>
        <w:rPr>
          <w:spacing w:val="-1"/>
        </w:rPr>
        <w:t> </w:t>
      </w:r>
      <w:r>
        <w:rPr/>
        <w:t>may</w:t>
      </w:r>
      <w:r>
        <w:rPr>
          <w:spacing w:val="-2"/>
        </w:rPr>
        <w:t> </w:t>
      </w:r>
      <w:r>
        <w:rPr/>
        <w:t>extend</w:t>
      </w:r>
      <w:r>
        <w:rPr>
          <w:spacing w:val="-2"/>
        </w:rPr>
        <w:t> </w:t>
      </w:r>
      <w:r>
        <w:rPr/>
        <w:t>to</w:t>
      </w:r>
      <w:r>
        <w:rPr>
          <w:spacing w:val="-1"/>
        </w:rPr>
        <w:t> </w:t>
      </w:r>
      <w:r>
        <w:rPr/>
        <w:t>20</w:t>
      </w:r>
      <w:r>
        <w:rPr>
          <w:spacing w:val="-2"/>
        </w:rPr>
        <w:t> </w:t>
      </w:r>
      <w:r>
        <w:rPr/>
        <w:t>years.</w:t>
      </w:r>
    </w:p>
    <w:p>
      <w:pPr>
        <w:pStyle w:val="BodyText"/>
        <w:spacing w:before="117"/>
        <w:ind w:left="219" w:right="264"/>
        <w:jc w:val="both"/>
      </w:pPr>
      <w:r>
        <w:rPr/>
        <w:t>The data were synthesized in linear mixed-effects models, accounting for both fixed and random effects. Fixed effects included depth, number of years since the management change, and the type of management change (e.g., reduced tillage vs. no-till). For depth, data were not aggregated but included C stocks measured for each depth increment (e.g., 0-5 cm, 5-10 cm, and 10-30 cm) as a separate point in the dataset. Similarly, time series data were not aggregated, even though those measurements were conducted on the same plots. Consequently, random effects were used to account for the interdependence in times series data and the interdependence among data points representing different depths from the same study. Data were transformed with a natural log transformation if model assumptions were not met for normality and homogeneity of variance (back-transformed values are given in the tables). Factors represent the effect of the management practice at 20 years for the top 30 cm of the soil, with the exception of the land use conversion factor, which represents the average loss of carbon at 20 years or longer time period following cultivation. Users of this carbon accounting method can approximate the annual change in carbon storage by the dividing the inventory estimate by 20. Variance was calculated for each of the factor values, and can be used to construct probability distribution functions with a normal</w:t>
      </w:r>
      <w:r>
        <w:rPr>
          <w:spacing w:val="-31"/>
        </w:rPr>
        <w:t> </w:t>
      </w:r>
      <w:r>
        <w:rPr/>
        <w:t>density.</w:t>
      </w:r>
    </w:p>
    <w:p>
      <w:pPr>
        <w:spacing w:after="0"/>
        <w:jc w:val="both"/>
        <w:sectPr>
          <w:pgSz w:w="11900" w:h="16840"/>
          <w:pgMar w:header="230" w:footer="408" w:top="560" w:bottom="600" w:left="1200" w:right="1140"/>
        </w:sectPr>
      </w:pPr>
    </w:p>
    <w:p>
      <w:pPr>
        <w:pStyle w:val="BodyText"/>
      </w:pPr>
      <w:r>
        <w:rPr/>
        <w:pict>
          <v:group style="position:absolute;margin-left:91.240997pt;margin-top:51pt;width:412.95pt;height:694.8pt;mso-position-horizontal-relative:page;mso-position-vertical-relative:page;z-index:-2445520" coordorigin="1825,1020" coordsize="8259,13896">
            <v:line style="position:absolute" from="1854,1034" to="10054,1034" stroked="true" strokeweight="1.44pt" strokecolor="#000000">
              <v:stroke dashstyle="solid"/>
            </v:line>
            <v:shape style="position:absolute;left:1839;top:1020;width:8216;height:13896" coordorigin="1839,1020" coordsize="8216,13896" path="m1854,14902l10054,14902m1839,1020l1839,14916e" filled="false" stroked="true" strokeweight="1.44pt" strokecolor="#000000">
              <v:path arrowok="t"/>
              <v:stroke dashstyle="solid"/>
            </v:shape>
            <v:line style="position:absolute" from="10069,1020" to="10069,14916" stroked="true" strokeweight="1.44pt" strokecolor="#000000">
              <v:stroke dashstyle="solid"/>
            </v:line>
            <w10:wrap type="none"/>
          </v:group>
        </w:pict>
      </w:r>
    </w:p>
    <w:p>
      <w:pPr>
        <w:pStyle w:val="BodyText"/>
        <w:rPr>
          <w:sz w:val="22"/>
        </w:rPr>
      </w:pPr>
    </w:p>
    <w:p>
      <w:pPr>
        <w:spacing w:before="92"/>
        <w:ind w:left="2724" w:right="0" w:firstLine="0"/>
        <w:jc w:val="left"/>
        <w:rPr>
          <w:b/>
          <w:sz w:val="18"/>
        </w:rPr>
      </w:pPr>
      <w:r>
        <w:rPr>
          <w:b/>
          <w:sz w:val="18"/>
        </w:rPr>
        <w:t>R</w:t>
      </w:r>
      <w:r>
        <w:rPr>
          <w:b/>
          <w:sz w:val="14"/>
        </w:rPr>
        <w:t>EFERENCES USED FOR THE ANALYSIS IN </w:t>
      </w:r>
      <w:r>
        <w:rPr>
          <w:b/>
          <w:sz w:val="18"/>
        </w:rPr>
        <w:t>S</w:t>
      </w:r>
      <w:r>
        <w:rPr>
          <w:b/>
          <w:sz w:val="14"/>
        </w:rPr>
        <w:t>ECTION </w:t>
      </w:r>
      <w:r>
        <w:rPr>
          <w:b/>
          <w:sz w:val="18"/>
        </w:rPr>
        <w:t>3.3.7</w:t>
      </w:r>
    </w:p>
    <w:p>
      <w:pPr>
        <w:spacing w:before="117"/>
        <w:ind w:left="1124" w:right="830" w:hanging="344"/>
        <w:jc w:val="both"/>
        <w:rPr>
          <w:sz w:val="17"/>
        </w:rPr>
      </w:pPr>
      <w:r>
        <w:rPr>
          <w:sz w:val="17"/>
        </w:rPr>
        <w:t>Agbenin, J.O., and J.T. Goladi. (1997). Carbon, nitrogen and phosphorus dynamics under continuous cultivation as influenced by farmyard manure and inorganic fertilizers in the savanna of northern Nigeria. Agriculture, Ecosystems and Environment </w:t>
      </w:r>
      <w:r>
        <w:rPr>
          <w:b/>
          <w:sz w:val="17"/>
        </w:rPr>
        <w:t>63</w:t>
      </w:r>
      <w:r>
        <w:rPr>
          <w:sz w:val="17"/>
        </w:rPr>
        <w:t>:17-24.</w:t>
      </w:r>
    </w:p>
    <w:p>
      <w:pPr>
        <w:spacing w:before="119"/>
        <w:ind w:left="1124" w:right="830" w:hanging="344"/>
        <w:jc w:val="both"/>
        <w:rPr>
          <w:sz w:val="17"/>
        </w:rPr>
      </w:pPr>
      <w:r>
        <w:rPr>
          <w:sz w:val="17"/>
        </w:rPr>
        <w:t>Ahl, C., R.G. Joergensen, E. Kandeler, B. Meyer, and V. Woehler. (1998). Microbial biomass and activity in silt and sand loams after long-term shallow tillage in central Germany. Soil and Tillage Research </w:t>
      </w:r>
      <w:r>
        <w:rPr>
          <w:b/>
          <w:sz w:val="17"/>
        </w:rPr>
        <w:t>49</w:t>
      </w:r>
      <w:r>
        <w:rPr>
          <w:sz w:val="17"/>
        </w:rPr>
        <w:t>:93-104.</w:t>
      </w:r>
    </w:p>
    <w:p>
      <w:pPr>
        <w:spacing w:before="121"/>
        <w:ind w:left="1124" w:right="828" w:hanging="344"/>
        <w:jc w:val="both"/>
        <w:rPr>
          <w:sz w:val="17"/>
        </w:rPr>
      </w:pPr>
      <w:r>
        <w:rPr>
          <w:sz w:val="17"/>
        </w:rPr>
        <w:t>Alvarez R., Russo M.E., Prystupa P., Scheiner J.D., Blotta L. (1998). Soil carbon pools under conventional and no- tillage systems in the Argentine Rolling Pampa. Agronomy Journal </w:t>
      </w:r>
      <w:r>
        <w:rPr>
          <w:b/>
          <w:sz w:val="17"/>
        </w:rPr>
        <w:t>90:</w:t>
      </w:r>
      <w:r>
        <w:rPr>
          <w:sz w:val="17"/>
        </w:rPr>
        <w:t>138-143.</w:t>
      </w:r>
    </w:p>
    <w:p>
      <w:pPr>
        <w:spacing w:line="195" w:lineRule="exact" w:before="120"/>
        <w:ind w:left="780" w:right="0" w:firstLine="0"/>
        <w:jc w:val="left"/>
        <w:rPr>
          <w:sz w:val="17"/>
        </w:rPr>
      </w:pPr>
      <w:r>
        <w:rPr>
          <w:sz w:val="17"/>
        </w:rPr>
        <w:t>Angers, D.A., M.A. Bolinder, M.R. Carter, E.G. Gregorich, C.F. Drury, B.C. Liang, R.P. Voroney, R.R. Simard,</w:t>
      </w:r>
    </w:p>
    <w:p>
      <w:pPr>
        <w:spacing w:before="0"/>
        <w:ind w:left="1124" w:right="867" w:firstLine="0"/>
        <w:jc w:val="left"/>
        <w:rPr>
          <w:sz w:val="17"/>
        </w:rPr>
      </w:pPr>
      <w:r>
        <w:rPr>
          <w:sz w:val="17"/>
        </w:rPr>
        <w:t>R.G. Donald, R.P. Beyaert, and J. Martel. (1997). Impact of tillage practices on organic carbon and nitrogen storage in cool, humid soils of eastern Canada. Soil and Tillage Research </w:t>
      </w:r>
      <w:r>
        <w:rPr>
          <w:b/>
          <w:sz w:val="17"/>
        </w:rPr>
        <w:t>41</w:t>
      </w:r>
      <w:r>
        <w:rPr>
          <w:sz w:val="17"/>
        </w:rPr>
        <w:t>:191-201.</w:t>
      </w:r>
    </w:p>
    <w:p>
      <w:pPr>
        <w:spacing w:before="119"/>
        <w:ind w:left="1124" w:right="827" w:hanging="344"/>
        <w:jc w:val="both"/>
        <w:rPr>
          <w:sz w:val="17"/>
        </w:rPr>
      </w:pPr>
      <w:r>
        <w:rPr>
          <w:sz w:val="17"/>
        </w:rPr>
        <w:t>Angers, D.A., R.P. Voroney, and D. Cote. (1995). Dynamics of soil organic matter and corn residues affected by tillage practices. Soil Science Society of America Journal </w:t>
      </w:r>
      <w:r>
        <w:rPr>
          <w:b/>
          <w:sz w:val="17"/>
        </w:rPr>
        <w:t>59</w:t>
      </w:r>
      <w:r>
        <w:rPr>
          <w:sz w:val="17"/>
        </w:rPr>
        <w:t>:1311-1315.</w:t>
      </w:r>
    </w:p>
    <w:p>
      <w:pPr>
        <w:spacing w:before="121"/>
        <w:ind w:left="1124" w:right="827" w:hanging="344"/>
        <w:jc w:val="both"/>
        <w:rPr>
          <w:sz w:val="17"/>
        </w:rPr>
      </w:pPr>
      <w:r>
        <w:rPr>
          <w:sz w:val="17"/>
        </w:rPr>
        <w:t>Baer, S.G., C.W. Rice, and J.M. Blair. (2000). Assessment of soil quality in fields with short and long term enrollment in the CRP. Journal of Soil and Water Convservation </w:t>
      </w:r>
      <w:r>
        <w:rPr>
          <w:b/>
          <w:sz w:val="17"/>
        </w:rPr>
        <w:t>55</w:t>
      </w:r>
      <w:r>
        <w:rPr>
          <w:sz w:val="17"/>
        </w:rPr>
        <w:t>:142-146.</w:t>
      </w:r>
    </w:p>
    <w:p>
      <w:pPr>
        <w:spacing w:before="118"/>
        <w:ind w:left="1124" w:right="825" w:hanging="344"/>
        <w:jc w:val="both"/>
        <w:rPr>
          <w:sz w:val="17"/>
        </w:rPr>
      </w:pPr>
      <w:r>
        <w:rPr>
          <w:sz w:val="17"/>
        </w:rPr>
        <w:t>Balesdent, J., A. Mariotti, and D. Boisgontier. (1990). Effect of tillage on soil organic carbon mineralization estimated from 13C abundance in maize fields. Journal of Soil Science </w:t>
      </w:r>
      <w:r>
        <w:rPr>
          <w:b/>
          <w:sz w:val="17"/>
        </w:rPr>
        <w:t>41</w:t>
      </w:r>
      <w:r>
        <w:rPr>
          <w:sz w:val="17"/>
        </w:rPr>
        <w:t>:587-596.</w:t>
      </w:r>
    </w:p>
    <w:p>
      <w:pPr>
        <w:spacing w:before="120"/>
        <w:ind w:left="1124" w:right="826" w:hanging="344"/>
        <w:jc w:val="both"/>
        <w:rPr>
          <w:sz w:val="17"/>
        </w:rPr>
      </w:pPr>
      <w:r>
        <w:rPr>
          <w:sz w:val="17"/>
        </w:rPr>
        <w:t>Barber, R.G., M. Orellana, F. Navarro, O. Diaz, and M.A. Soruco. (1996). Effects of conservation and conventional tillage systems after land clearing on soil properties and crop yield in Santa Cruz, Bolivia. Soil and Tillage Research </w:t>
      </w:r>
      <w:r>
        <w:rPr>
          <w:b/>
          <w:sz w:val="17"/>
        </w:rPr>
        <w:t>38</w:t>
      </w:r>
      <w:r>
        <w:rPr>
          <w:sz w:val="17"/>
        </w:rPr>
        <w:t>:133-152.</w:t>
      </w:r>
    </w:p>
    <w:p>
      <w:pPr>
        <w:spacing w:before="119"/>
        <w:ind w:left="1124" w:right="828" w:hanging="344"/>
        <w:jc w:val="both"/>
        <w:rPr>
          <w:sz w:val="17"/>
        </w:rPr>
      </w:pPr>
      <w:r>
        <w:rPr>
          <w:sz w:val="17"/>
        </w:rPr>
        <w:t>Bauer, A., and A.L. Black. (1981). Soil carbon, nitrogen, and bulk density comparisons in two cropland tillage systems after 25 years and in virgin grassland. Soil Science Society of America Journal </w:t>
      </w:r>
      <w:r>
        <w:rPr>
          <w:b/>
          <w:sz w:val="17"/>
        </w:rPr>
        <w:t>45</w:t>
      </w:r>
      <w:r>
        <w:rPr>
          <w:sz w:val="17"/>
        </w:rPr>
        <w:t>:166-1170.</w:t>
      </w:r>
    </w:p>
    <w:p>
      <w:pPr>
        <w:spacing w:before="120"/>
        <w:ind w:left="1124" w:right="826" w:hanging="344"/>
        <w:jc w:val="both"/>
        <w:rPr>
          <w:sz w:val="17"/>
        </w:rPr>
      </w:pPr>
      <w:r>
        <w:rPr>
          <w:sz w:val="17"/>
        </w:rPr>
        <w:t>Bayer, C., J. Mielniczuk, T.J.C. Amado, L. Martin-Neto, and S.V. Fernandes. (2000). Organic matter storage in a sandy clay loam Acrisol affected by tillage and cropping systems in southern Brazil. Soil and Tillage Research </w:t>
      </w:r>
      <w:r>
        <w:rPr>
          <w:b/>
          <w:sz w:val="17"/>
        </w:rPr>
        <w:t>54</w:t>
      </w:r>
      <w:r>
        <w:rPr>
          <w:sz w:val="17"/>
        </w:rPr>
        <w:t>:101-109.</w:t>
      </w:r>
    </w:p>
    <w:p>
      <w:pPr>
        <w:spacing w:before="119"/>
        <w:ind w:left="1124" w:right="827" w:hanging="344"/>
        <w:jc w:val="both"/>
        <w:rPr>
          <w:sz w:val="17"/>
        </w:rPr>
      </w:pPr>
      <w:r>
        <w:rPr>
          <w:sz w:val="17"/>
        </w:rPr>
        <w:t>Bayer, C., J. Mielniczuk, L. Martin-Neto, and P.R. Ernani. (2002). Stocks and humification degree of organic matter fractions as affected by no-tillage on a subtropical soil. Plant and Soil </w:t>
      </w:r>
      <w:r>
        <w:rPr>
          <w:b/>
          <w:sz w:val="17"/>
        </w:rPr>
        <w:t>238</w:t>
      </w:r>
      <w:r>
        <w:rPr>
          <w:sz w:val="17"/>
        </w:rPr>
        <w:t>:133-140.</w:t>
      </w:r>
    </w:p>
    <w:p>
      <w:pPr>
        <w:spacing w:before="121"/>
        <w:ind w:left="1124" w:right="831" w:hanging="344"/>
        <w:jc w:val="both"/>
        <w:rPr>
          <w:sz w:val="17"/>
        </w:rPr>
      </w:pPr>
      <w:r>
        <w:rPr>
          <w:sz w:val="17"/>
        </w:rPr>
        <w:t>Beare MH, Hendrix PF, Coleman DC. (1994). Water-stable aggregates and organic matter fractions in conventional- and no-tillage soils. Soil Science Society of America Journal </w:t>
      </w:r>
      <w:r>
        <w:rPr>
          <w:b/>
          <w:sz w:val="17"/>
        </w:rPr>
        <w:t>58</w:t>
      </w:r>
      <w:r>
        <w:rPr>
          <w:sz w:val="17"/>
        </w:rPr>
        <w:t>: 777-786.</w:t>
      </w:r>
    </w:p>
    <w:p>
      <w:pPr>
        <w:spacing w:before="120"/>
        <w:ind w:left="1124" w:right="830" w:hanging="344"/>
        <w:jc w:val="both"/>
        <w:rPr>
          <w:sz w:val="17"/>
        </w:rPr>
      </w:pPr>
      <w:r>
        <w:rPr>
          <w:sz w:val="17"/>
        </w:rPr>
        <w:t>Beyer, L. (1994). Effect of cultivation on physico-chemical, humus-chemical and biotic properties and fertility of two forest soils. Agriculture, Ecosystems and Environment </w:t>
      </w:r>
      <w:r>
        <w:rPr>
          <w:b/>
          <w:sz w:val="17"/>
        </w:rPr>
        <w:t>48</w:t>
      </w:r>
      <w:r>
        <w:rPr>
          <w:sz w:val="17"/>
        </w:rPr>
        <w:t>:179-188.</w:t>
      </w:r>
    </w:p>
    <w:p>
      <w:pPr>
        <w:spacing w:before="120"/>
        <w:ind w:left="1124" w:right="829" w:hanging="344"/>
        <w:jc w:val="both"/>
        <w:rPr>
          <w:sz w:val="17"/>
        </w:rPr>
      </w:pPr>
      <w:r>
        <w:rPr>
          <w:sz w:val="17"/>
        </w:rPr>
        <w:t>Black, A.L., and D.L. Tanaka. (1997). A conservation tillage-cropping systems study in the Northern Great Plains of the United States. Pages 335-342 i</w:t>
      </w:r>
      <w:r>
        <w:rPr>
          <w:i/>
          <w:sz w:val="17"/>
        </w:rPr>
        <w:t>n </w:t>
      </w:r>
      <w:r>
        <w:rPr>
          <w:sz w:val="17"/>
        </w:rPr>
        <w:t>Paul, E.A., K. Paustian, E.T. Elliott, and C.V. Cole, editors. Soil Organic Matter in Temperate Agroecosystems: Long-term Experiments in North America. CRC Press. Boca Raton, FL.</w:t>
      </w:r>
    </w:p>
    <w:p>
      <w:pPr>
        <w:spacing w:before="119"/>
        <w:ind w:left="1124" w:right="830" w:hanging="344"/>
        <w:jc w:val="both"/>
        <w:rPr>
          <w:sz w:val="17"/>
        </w:rPr>
      </w:pPr>
      <w:r>
        <w:rPr>
          <w:sz w:val="17"/>
        </w:rPr>
        <w:t>Bordovsky, D.G., M. Choudhary, and C.J. Gerard. (1999). Effect of tillage, cropping, and residue management on soil properties in the Texas rolling plains. Soil Science </w:t>
      </w:r>
      <w:r>
        <w:rPr>
          <w:b/>
          <w:sz w:val="17"/>
        </w:rPr>
        <w:t>164</w:t>
      </w:r>
      <w:r>
        <w:rPr>
          <w:sz w:val="17"/>
        </w:rPr>
        <w:t>:331-340.</w:t>
      </w:r>
    </w:p>
    <w:p>
      <w:pPr>
        <w:spacing w:before="120"/>
        <w:ind w:left="1124" w:right="828" w:hanging="344"/>
        <w:jc w:val="both"/>
        <w:rPr>
          <w:sz w:val="17"/>
        </w:rPr>
      </w:pPr>
      <w:r>
        <w:rPr>
          <w:sz w:val="17"/>
        </w:rPr>
        <w:t>Borin, M., C. Menini, and L. Sartori. (1997). Effects of tillage systems on energy and carbon balance in north- eastern Italy. Soil and Tillage Research </w:t>
      </w:r>
      <w:r>
        <w:rPr>
          <w:b/>
          <w:sz w:val="17"/>
        </w:rPr>
        <w:t>40</w:t>
      </w:r>
      <w:r>
        <w:rPr>
          <w:sz w:val="17"/>
        </w:rPr>
        <w:t>:209-226.</w:t>
      </w:r>
    </w:p>
    <w:p>
      <w:pPr>
        <w:spacing w:before="118"/>
        <w:ind w:left="1124" w:right="832" w:hanging="344"/>
        <w:jc w:val="both"/>
        <w:rPr>
          <w:sz w:val="17"/>
        </w:rPr>
      </w:pPr>
      <w:r>
        <w:rPr>
          <w:sz w:val="17"/>
        </w:rPr>
        <w:t>Borresen, T., and A. Njos. (1993). Ploughing and rotary cultivation for cereal production in a long-term experiment on a clay soil in southeastern Norway. 1. Soil properties. Soil and Tillage Research </w:t>
      </w:r>
      <w:r>
        <w:rPr>
          <w:b/>
          <w:sz w:val="17"/>
        </w:rPr>
        <w:t>28</w:t>
      </w:r>
      <w:r>
        <w:rPr>
          <w:sz w:val="17"/>
        </w:rPr>
        <w:t>:97-108.</w:t>
      </w:r>
    </w:p>
    <w:p>
      <w:pPr>
        <w:spacing w:before="120"/>
        <w:ind w:left="1124" w:right="829" w:hanging="344"/>
        <w:jc w:val="both"/>
        <w:rPr>
          <w:sz w:val="17"/>
        </w:rPr>
      </w:pPr>
      <w:r>
        <w:rPr>
          <w:sz w:val="17"/>
        </w:rPr>
        <w:t>Bowman, R.A., and R.L. Anderson. (2002). Conservation Reserve Program: Effects on soil organic carbon and preservation when converting back to cropland in northeastern Colorado. Journal of Soil and Water Conservation </w:t>
      </w:r>
      <w:r>
        <w:rPr>
          <w:b/>
          <w:sz w:val="17"/>
        </w:rPr>
        <w:t>57</w:t>
      </w:r>
      <w:r>
        <w:rPr>
          <w:sz w:val="17"/>
        </w:rPr>
        <w:t>:121-126.</w:t>
      </w:r>
    </w:p>
    <w:p>
      <w:pPr>
        <w:spacing w:before="120"/>
        <w:ind w:left="1124" w:right="828" w:hanging="344"/>
        <w:jc w:val="both"/>
        <w:rPr>
          <w:sz w:val="17"/>
        </w:rPr>
      </w:pPr>
      <w:r>
        <w:rPr>
          <w:sz w:val="17"/>
        </w:rPr>
        <w:t>Bremer, E., H.H. Janzen, and A.M. Johnston. (1994). Sensitivity of total, light fraction and mineralizable organic matter to management practices in a Lethbridge soil. Canadian Journal of Soil Science </w:t>
      </w:r>
      <w:r>
        <w:rPr>
          <w:b/>
          <w:sz w:val="17"/>
        </w:rPr>
        <w:t>74</w:t>
      </w:r>
      <w:r>
        <w:rPr>
          <w:sz w:val="17"/>
        </w:rPr>
        <w:t>:131-138.</w:t>
      </w:r>
    </w:p>
    <w:p>
      <w:pPr>
        <w:spacing w:before="120"/>
        <w:ind w:left="1124" w:right="830" w:hanging="344"/>
        <w:jc w:val="both"/>
        <w:rPr>
          <w:sz w:val="17"/>
        </w:rPr>
      </w:pPr>
      <w:r>
        <w:rPr>
          <w:sz w:val="17"/>
        </w:rPr>
        <w:t>Burke, I.C., W.K. Lauenroth, and D.P. Coffin. (1995). Soil organic matter recovery in semiarid grasslands: implications for the Conservation Reserve Program. Ecological Applications</w:t>
      </w:r>
      <w:r>
        <w:rPr>
          <w:spacing w:val="-10"/>
          <w:sz w:val="17"/>
        </w:rPr>
        <w:t> </w:t>
      </w:r>
      <w:r>
        <w:rPr>
          <w:b/>
          <w:sz w:val="17"/>
        </w:rPr>
        <w:t>5</w:t>
      </w:r>
      <w:r>
        <w:rPr>
          <w:sz w:val="17"/>
        </w:rPr>
        <w:t>:793-801.</w:t>
      </w:r>
    </w:p>
    <w:p>
      <w:pPr>
        <w:spacing w:before="120"/>
        <w:ind w:left="1124" w:right="828" w:hanging="344"/>
        <w:jc w:val="both"/>
        <w:rPr>
          <w:sz w:val="17"/>
        </w:rPr>
      </w:pPr>
      <w:r>
        <w:rPr>
          <w:sz w:val="17"/>
        </w:rPr>
        <w:t>Buschiazzo, D.E., J.L. Panigatti, and P.W. Unger. (1998). Tillage effects on soil properties and crop production in the subhumid and semiarid Argentinean Pampas. Soil and Tillage Research</w:t>
      </w:r>
      <w:r>
        <w:rPr>
          <w:spacing w:val="-17"/>
          <w:sz w:val="17"/>
        </w:rPr>
        <w:t> </w:t>
      </w:r>
      <w:r>
        <w:rPr>
          <w:b/>
          <w:sz w:val="17"/>
        </w:rPr>
        <w:t>49</w:t>
      </w:r>
      <w:r>
        <w:rPr>
          <w:sz w:val="17"/>
        </w:rPr>
        <w:t>:105-116.</w:t>
      </w:r>
    </w:p>
    <w:p>
      <w:pPr>
        <w:spacing w:before="120"/>
        <w:ind w:left="1124" w:right="830" w:hanging="344"/>
        <w:jc w:val="both"/>
        <w:rPr>
          <w:sz w:val="17"/>
        </w:rPr>
      </w:pPr>
      <w:r>
        <w:rPr>
          <w:sz w:val="17"/>
        </w:rPr>
        <w:t>Buyanovsky, G.A., C.L. Kucera, and G.H. Wagner. (1987). Comparative analysis of carbon dynamics in native and cultivated ecosystems. Ecology </w:t>
      </w:r>
      <w:r>
        <w:rPr>
          <w:b/>
          <w:sz w:val="17"/>
        </w:rPr>
        <w:t>68</w:t>
      </w:r>
      <w:r>
        <w:rPr>
          <w:sz w:val="17"/>
        </w:rPr>
        <w:t>:2023-2031.</w:t>
      </w:r>
    </w:p>
    <w:p>
      <w:pPr>
        <w:spacing w:before="118"/>
        <w:ind w:left="1124" w:right="825" w:hanging="344"/>
        <w:jc w:val="both"/>
        <w:rPr>
          <w:sz w:val="17"/>
        </w:rPr>
      </w:pPr>
      <w:r>
        <w:rPr>
          <w:sz w:val="17"/>
        </w:rPr>
        <w:t>Buyanovsky, G.A., and G.H. Wagner. (1998). Carbon cycling in cultivated land and its global significance. Global Change Biology </w:t>
      </w:r>
      <w:r>
        <w:rPr>
          <w:b/>
          <w:sz w:val="17"/>
        </w:rPr>
        <w:t>4</w:t>
      </w:r>
      <w:r>
        <w:rPr>
          <w:sz w:val="17"/>
        </w:rPr>
        <w:t>:131-141</w:t>
      </w:r>
    </w:p>
    <w:p>
      <w:pPr>
        <w:spacing w:line="244" w:lineRule="auto" w:before="120"/>
        <w:ind w:left="1124" w:right="827" w:hanging="344"/>
        <w:jc w:val="both"/>
        <w:rPr>
          <w:sz w:val="17"/>
        </w:rPr>
      </w:pPr>
      <w:r>
        <w:rPr>
          <w:sz w:val="17"/>
        </w:rPr>
        <w:t>Cambardella, C.A., and E.T. Elliott. (1992). Particulate soil organic-matter changes across a grassland cultivation sequence. Soil Science Society of America Journal </w:t>
      </w:r>
      <w:r>
        <w:rPr>
          <w:b/>
          <w:sz w:val="17"/>
        </w:rPr>
        <w:t>56</w:t>
      </w:r>
      <w:r>
        <w:rPr>
          <w:sz w:val="17"/>
        </w:rPr>
        <w:t>:777-783.</w:t>
      </w:r>
    </w:p>
    <w:p>
      <w:pPr>
        <w:spacing w:after="0" w:line="244" w:lineRule="auto"/>
        <w:jc w:val="both"/>
        <w:rPr>
          <w:sz w:val="17"/>
        </w:rPr>
        <w:sectPr>
          <w:pgSz w:w="11900" w:h="16840"/>
          <w:pgMar w:header="230" w:footer="408" w:top="560" w:bottom="600" w:left="1200" w:right="1140"/>
        </w:sectPr>
      </w:pPr>
    </w:p>
    <w:p>
      <w:pPr>
        <w:pStyle w:val="BodyText"/>
      </w:pPr>
    </w:p>
    <w:p>
      <w:pPr>
        <w:pStyle w:val="BodyText"/>
        <w:rPr>
          <w:sz w:val="22"/>
        </w:rPr>
      </w:pPr>
    </w:p>
    <w:p>
      <w:pPr>
        <w:spacing w:before="92"/>
        <w:ind w:left="2206" w:right="0" w:firstLine="0"/>
        <w:jc w:val="left"/>
        <w:rPr>
          <w:b/>
          <w:sz w:val="18"/>
        </w:rPr>
      </w:pPr>
      <w:r>
        <w:rPr/>
        <w:pict>
          <v:group style="position:absolute;margin-left:91.240997pt;margin-top:-1.877356pt;width:412.95pt;height:661.2pt;mso-position-horizontal-relative:page;mso-position-vertical-relative:paragraph;z-index:-2445496" coordorigin="1825,-38" coordsize="8259,13224">
            <v:line style="position:absolute" from="1854,-23" to="10054,-23" stroked="true" strokeweight="1.44pt" strokecolor="#000000">
              <v:stroke dashstyle="solid"/>
            </v:line>
            <v:shape style="position:absolute;left:1839;top:-38;width:8216;height:13224" coordorigin="1839,-38" coordsize="8216,13224" path="m1854,13172l10054,13172m1839,-38l1839,13186e" filled="false" stroked="true" strokeweight="1.44pt" strokecolor="#000000">
              <v:path arrowok="t"/>
              <v:stroke dashstyle="solid"/>
            </v:shape>
            <v:line style="position:absolute" from="10069,-38" to="10069,13186" stroked="true" strokeweight="1.44pt" strokecolor="#000000">
              <v:stroke dashstyle="solid"/>
            </v:line>
            <w10:wrap type="none"/>
          </v:group>
        </w:pict>
      </w:r>
      <w:r>
        <w:rPr>
          <w:b/>
          <w:sz w:val="18"/>
        </w:rPr>
        <w:t>R</w:t>
      </w:r>
      <w:r>
        <w:rPr>
          <w:b/>
          <w:sz w:val="14"/>
        </w:rPr>
        <w:t>EFERENCES USED FOR THE ANALYSIS IN </w:t>
      </w:r>
      <w:r>
        <w:rPr>
          <w:b/>
          <w:sz w:val="18"/>
        </w:rPr>
        <w:t>S</w:t>
      </w:r>
      <w:r>
        <w:rPr>
          <w:b/>
          <w:sz w:val="14"/>
        </w:rPr>
        <w:t>ECTION </w:t>
      </w:r>
      <w:r>
        <w:rPr>
          <w:b/>
          <w:sz w:val="18"/>
        </w:rPr>
        <w:t>3.3.7 (C</w:t>
      </w:r>
      <w:r>
        <w:rPr>
          <w:b/>
          <w:sz w:val="14"/>
        </w:rPr>
        <w:t>ONTINUED</w:t>
      </w:r>
      <w:r>
        <w:rPr>
          <w:b/>
          <w:sz w:val="18"/>
        </w:rPr>
        <w:t>)</w:t>
      </w:r>
    </w:p>
    <w:p>
      <w:pPr>
        <w:spacing w:before="117"/>
        <w:ind w:left="1124" w:right="827" w:hanging="344"/>
        <w:jc w:val="both"/>
        <w:rPr>
          <w:sz w:val="17"/>
        </w:rPr>
      </w:pPr>
      <w:r>
        <w:rPr>
          <w:sz w:val="17"/>
        </w:rPr>
        <w:t>Campbell CA, Zentner RP. (1997). Crop production and soil organic matter in long-term crop rotations in the semi- arid northern Great Plains of Canada. Pages 317-334 </w:t>
      </w:r>
      <w:r>
        <w:rPr>
          <w:i/>
          <w:sz w:val="17"/>
        </w:rPr>
        <w:t>in</w:t>
      </w:r>
      <w:r>
        <w:rPr>
          <w:sz w:val="17"/>
        </w:rPr>
        <w:t>: E.A. Paul, E.T. Elliott, K. Paustian, and C.V. Cole. Soil organic matter in temperate agroecosystems: Long-term experiments in North America. CRC Press, Boca Raton, </w:t>
      </w:r>
      <w:r>
        <w:rPr>
          <w:spacing w:val="-2"/>
          <w:sz w:val="17"/>
        </w:rPr>
        <w:t>FL.</w:t>
      </w:r>
    </w:p>
    <w:p>
      <w:pPr>
        <w:spacing w:before="121"/>
        <w:ind w:left="1124" w:right="827" w:hanging="300"/>
        <w:jc w:val="both"/>
        <w:rPr>
          <w:sz w:val="17"/>
        </w:rPr>
      </w:pPr>
      <w:r>
        <w:rPr>
          <w:sz w:val="17"/>
        </w:rPr>
        <w:t>Campbell, C.A., V.O. Biederbeck, G. Wen, R.P. Zentner, J. Schoenau, and D. Hahn. (1999). Seasonal trends in selected soil biochemical attributes: Effects of crop rotation in the semiarid prairie. Canadian Journal of Soil Science </w:t>
      </w:r>
      <w:r>
        <w:rPr>
          <w:b/>
          <w:sz w:val="17"/>
        </w:rPr>
        <w:t>79</w:t>
      </w:r>
      <w:r>
        <w:rPr>
          <w:sz w:val="17"/>
        </w:rPr>
        <w:t>:73-84.</w:t>
      </w:r>
    </w:p>
    <w:p>
      <w:pPr>
        <w:spacing w:before="119"/>
        <w:ind w:left="1124" w:right="825" w:hanging="344"/>
        <w:jc w:val="both"/>
        <w:rPr>
          <w:sz w:val="17"/>
        </w:rPr>
      </w:pPr>
      <w:r>
        <w:rPr>
          <w:sz w:val="17"/>
        </w:rPr>
        <w:t>Campbell CA, Bowren KE, Schnitzer M, Zentner RP, Townley-Smith L (1991) Effect of crop rotations and fertilization on soil organic matter and some biochemical properties of a thick black Chernozem. Canadian Journal of Soil Science </w:t>
      </w:r>
      <w:r>
        <w:rPr>
          <w:b/>
          <w:sz w:val="17"/>
        </w:rPr>
        <w:t>71</w:t>
      </w:r>
      <w:r>
        <w:rPr>
          <w:sz w:val="17"/>
        </w:rPr>
        <w:t>: 377-387.</w:t>
      </w:r>
    </w:p>
    <w:p>
      <w:pPr>
        <w:spacing w:before="119"/>
        <w:ind w:left="1124" w:right="828" w:hanging="344"/>
        <w:jc w:val="both"/>
        <w:rPr>
          <w:sz w:val="17"/>
        </w:rPr>
      </w:pPr>
      <w:r>
        <w:rPr>
          <w:sz w:val="17"/>
        </w:rPr>
        <w:t>Campbell, C.A., B.G. McConkey, R.P. Zentner, F. Selles, and D. Curtin. (1996). Long-term effects of tillage and crop rotations on soil organic C and total N in a clay soil in southwestern Saskatchewan. Canadian Journal of Soil Science </w:t>
      </w:r>
      <w:r>
        <w:rPr>
          <w:b/>
          <w:sz w:val="17"/>
        </w:rPr>
        <w:t>76</w:t>
      </w:r>
      <w:r>
        <w:rPr>
          <w:sz w:val="17"/>
        </w:rPr>
        <w:t>:395-401.</w:t>
      </w:r>
    </w:p>
    <w:p>
      <w:pPr>
        <w:spacing w:before="119"/>
        <w:ind w:left="1124" w:right="826" w:hanging="344"/>
        <w:jc w:val="both"/>
        <w:rPr>
          <w:sz w:val="17"/>
        </w:rPr>
      </w:pPr>
      <w:r>
        <w:rPr>
          <w:sz w:val="17"/>
        </w:rPr>
        <w:t>Campbell CA, Lafond GP, Moulin AP, Townley-Smith L, Zentner RP. (1997). Crop production and soil organic matter in long-term crop rotations in the sub-humid northern Great Plains of Canada. Pages 297-315 </w:t>
      </w:r>
      <w:r>
        <w:rPr>
          <w:i/>
          <w:sz w:val="17"/>
        </w:rPr>
        <w:t>in</w:t>
      </w:r>
      <w:r>
        <w:rPr>
          <w:sz w:val="17"/>
        </w:rPr>
        <w:t>: E.A. Paul, E.T. Elliott, K. Paustian, and C.V. Cole. Soil organic matter in temperate agroecosystems: Long-term experiments in North America. CRC Press, Boca Raton, FL.</w:t>
      </w:r>
    </w:p>
    <w:p>
      <w:pPr>
        <w:spacing w:before="121"/>
        <w:ind w:left="1124" w:right="825" w:hanging="344"/>
        <w:jc w:val="both"/>
        <w:rPr>
          <w:sz w:val="17"/>
        </w:rPr>
      </w:pPr>
      <w:r>
        <w:rPr>
          <w:sz w:val="17"/>
        </w:rPr>
        <w:t>Campbell, C.A., V.O. Biederbeck, B.G. McConkey, D. Curtin, and R.P. Zentner. (1999). Soil quality - effect of tillage and fallow frequency. Soil organic matter quality as influenced by tillage and fallow frequency in a silt loam in southwestern Saskatchewan. Soil Biology and Biochemistry </w:t>
      </w:r>
      <w:r>
        <w:rPr>
          <w:b/>
          <w:sz w:val="17"/>
        </w:rPr>
        <w:t>31</w:t>
      </w:r>
      <w:r>
        <w:rPr>
          <w:sz w:val="17"/>
        </w:rPr>
        <w:t>:1-7.</w:t>
      </w:r>
    </w:p>
    <w:p>
      <w:pPr>
        <w:spacing w:before="119"/>
        <w:ind w:left="1124" w:right="828" w:hanging="344"/>
        <w:jc w:val="both"/>
        <w:rPr>
          <w:sz w:val="17"/>
        </w:rPr>
      </w:pPr>
      <w:r>
        <w:rPr>
          <w:sz w:val="17"/>
        </w:rPr>
        <w:t>Campbell, C.A., R.P. Zentner, F. Selles, V.O. Biederbeck, B.G. McConkey, B. Blomert, and P.G. Jefferson. (2000). Quantifying short-term effects of crop rotations on soil organic carbon in southwestern Saskatchewan. Canadian Journal of Soil Science</w:t>
      </w:r>
      <w:r>
        <w:rPr>
          <w:spacing w:val="-2"/>
          <w:sz w:val="17"/>
        </w:rPr>
        <w:t> </w:t>
      </w:r>
      <w:r>
        <w:rPr>
          <w:b/>
          <w:sz w:val="17"/>
        </w:rPr>
        <w:t>80</w:t>
      </w:r>
      <w:r>
        <w:rPr>
          <w:sz w:val="17"/>
        </w:rPr>
        <w:t>:193-202.</w:t>
      </w:r>
    </w:p>
    <w:p>
      <w:pPr>
        <w:spacing w:before="119"/>
        <w:ind w:left="1124" w:right="829" w:hanging="344"/>
        <w:jc w:val="both"/>
        <w:rPr>
          <w:sz w:val="17"/>
        </w:rPr>
      </w:pPr>
      <w:r>
        <w:rPr>
          <w:sz w:val="17"/>
        </w:rPr>
        <w:t>Carter, M.R., H.W. Johnston, and J. Kimpinski. (1988). Direct drilling and soil loosening for spring cereals on a fine sandy loam in Atlantic Canada. Soil and Tillage Research </w:t>
      </w:r>
      <w:r>
        <w:rPr>
          <w:b/>
          <w:sz w:val="17"/>
        </w:rPr>
        <w:t>12</w:t>
      </w:r>
      <w:r>
        <w:rPr>
          <w:sz w:val="17"/>
        </w:rPr>
        <w:t>:365-384.</w:t>
      </w:r>
    </w:p>
    <w:p>
      <w:pPr>
        <w:spacing w:before="120"/>
        <w:ind w:left="1124" w:right="828" w:hanging="344"/>
        <w:jc w:val="both"/>
        <w:rPr>
          <w:sz w:val="17"/>
        </w:rPr>
      </w:pPr>
      <w:r>
        <w:rPr>
          <w:sz w:val="17"/>
        </w:rPr>
        <w:t>Carter, M.R., J.B. Sanderson, J.A. Ivany, and R.P. White. (2002). Influence of rotation and tillage on forage maize productivity, weed species, and soil quality of a fine sandy loam in the cool-humid climate of Atlantic Canada </w:t>
      </w:r>
      <w:r>
        <w:rPr>
          <w:b/>
          <w:sz w:val="17"/>
        </w:rPr>
        <w:t>67</w:t>
      </w:r>
      <w:r>
        <w:rPr>
          <w:sz w:val="17"/>
        </w:rPr>
        <w:t>:85-98.</w:t>
      </w:r>
    </w:p>
    <w:p>
      <w:pPr>
        <w:spacing w:before="119"/>
        <w:ind w:left="1124" w:right="830" w:hanging="344"/>
        <w:jc w:val="both"/>
        <w:rPr>
          <w:sz w:val="17"/>
        </w:rPr>
      </w:pPr>
      <w:r>
        <w:rPr>
          <w:sz w:val="17"/>
        </w:rPr>
        <w:t>Carter, M.R.. (1991). Evaluation of shallow tillage for spring cereals on a fine sandy loam. 2. Soil physical, chemical and biological properties. Soil and Tillage Research</w:t>
      </w:r>
      <w:r>
        <w:rPr>
          <w:spacing w:val="-11"/>
          <w:sz w:val="17"/>
        </w:rPr>
        <w:t> </w:t>
      </w:r>
      <w:r>
        <w:rPr>
          <w:b/>
          <w:sz w:val="17"/>
        </w:rPr>
        <w:t>21</w:t>
      </w:r>
      <w:r>
        <w:rPr>
          <w:sz w:val="17"/>
        </w:rPr>
        <w:t>:37-52.</w:t>
      </w:r>
    </w:p>
    <w:p>
      <w:pPr>
        <w:spacing w:before="120"/>
        <w:ind w:left="780" w:right="0" w:firstLine="0"/>
        <w:jc w:val="left"/>
        <w:rPr>
          <w:sz w:val="17"/>
        </w:rPr>
      </w:pPr>
      <w:r>
        <w:rPr>
          <w:sz w:val="17"/>
        </w:rPr>
        <w:t>Chan, K.Y, and J.A. Mead. (1988). Surface physical properties of a sandy loam soil under different tillage practices.</w:t>
      </w:r>
    </w:p>
    <w:p>
      <w:pPr>
        <w:spacing w:before="2"/>
        <w:ind w:left="1124" w:right="0" w:firstLine="0"/>
        <w:jc w:val="left"/>
        <w:rPr>
          <w:sz w:val="17"/>
        </w:rPr>
      </w:pPr>
      <w:r>
        <w:rPr>
          <w:sz w:val="17"/>
        </w:rPr>
        <w:t>Australian Journal of Soil Research </w:t>
      </w:r>
      <w:r>
        <w:rPr>
          <w:b/>
          <w:sz w:val="17"/>
        </w:rPr>
        <w:t>26</w:t>
      </w:r>
      <w:r>
        <w:rPr>
          <w:sz w:val="17"/>
        </w:rPr>
        <w:t>:549-559.</w:t>
      </w:r>
    </w:p>
    <w:p>
      <w:pPr>
        <w:spacing w:before="119"/>
        <w:ind w:left="1124" w:right="826" w:hanging="344"/>
        <w:jc w:val="both"/>
        <w:rPr>
          <w:sz w:val="17"/>
        </w:rPr>
      </w:pPr>
      <w:r>
        <w:rPr>
          <w:sz w:val="17"/>
        </w:rPr>
        <w:t>Chan K.Y., Roberts W.P., Heenan D.P. (1992). Organic carbon and associated soil properties of a red Earth after 10 years of rotation under different stubble and tillage practices. Australian Journal of Soil Research </w:t>
      </w:r>
      <w:r>
        <w:rPr>
          <w:b/>
          <w:sz w:val="17"/>
        </w:rPr>
        <w:t>30</w:t>
      </w:r>
      <w:r>
        <w:rPr>
          <w:sz w:val="17"/>
        </w:rPr>
        <w:t>: 71-83.</w:t>
      </w:r>
    </w:p>
    <w:p>
      <w:pPr>
        <w:spacing w:before="120"/>
        <w:ind w:left="1124" w:right="833" w:hanging="344"/>
        <w:jc w:val="both"/>
        <w:rPr>
          <w:sz w:val="17"/>
        </w:rPr>
      </w:pPr>
      <w:r>
        <w:rPr>
          <w:sz w:val="17"/>
        </w:rPr>
        <w:t>Chaney B.K., D.R.Hodson, M.A.Braim. (1985). The effects of direct drilling, shallow cultivation and ploughing on some soil physical properties in a long-term experiment on spring barley. J. Agric. Sci., Camb. </w:t>
      </w:r>
      <w:r>
        <w:rPr>
          <w:b/>
          <w:sz w:val="17"/>
        </w:rPr>
        <w:t>104:</w:t>
      </w:r>
      <w:r>
        <w:rPr>
          <w:sz w:val="17"/>
        </w:rPr>
        <w:t>125-133.</w:t>
      </w:r>
    </w:p>
    <w:p>
      <w:pPr>
        <w:spacing w:before="120"/>
        <w:ind w:left="1124" w:right="826" w:hanging="344"/>
        <w:jc w:val="both"/>
        <w:rPr>
          <w:sz w:val="17"/>
        </w:rPr>
      </w:pPr>
      <w:r>
        <w:rPr>
          <w:sz w:val="17"/>
        </w:rPr>
        <w:t>Clapp, C.E., R.R. Allmaras, M.F. Layese, D.R. Linden, and R.H. Dowdy. (2000). Soil organic carbon and 13C abundance as related to tillage, crop residue, and nitrogen fertilization under continuous corn management in Minnesota. Soil and Tillage Research </w:t>
      </w:r>
      <w:r>
        <w:rPr>
          <w:b/>
          <w:sz w:val="17"/>
        </w:rPr>
        <w:t>55</w:t>
      </w:r>
      <w:r>
        <w:rPr>
          <w:sz w:val="17"/>
        </w:rPr>
        <w:t>:127-142.</w:t>
      </w:r>
    </w:p>
    <w:p>
      <w:pPr>
        <w:spacing w:before="119"/>
        <w:ind w:left="1124" w:right="828" w:hanging="344"/>
        <w:jc w:val="both"/>
        <w:rPr>
          <w:sz w:val="17"/>
        </w:rPr>
      </w:pPr>
      <w:r>
        <w:rPr>
          <w:sz w:val="17"/>
        </w:rPr>
        <w:t>Collins, H.P., R.L. Blevins, L.G. Bundy, D.R. Christenson, W.A. Dick, D.R. Huggins, and E.A. Paul. (1999). Soil carbon dynamics in corn-based agroecosystems: results from carbon-13 natural abundance. Soil Science Society of America Journal</w:t>
      </w:r>
      <w:r>
        <w:rPr>
          <w:spacing w:val="-5"/>
          <w:sz w:val="17"/>
        </w:rPr>
        <w:t> </w:t>
      </w:r>
      <w:r>
        <w:rPr>
          <w:b/>
          <w:sz w:val="17"/>
        </w:rPr>
        <w:t>63</w:t>
      </w:r>
      <w:r>
        <w:rPr>
          <w:sz w:val="17"/>
        </w:rPr>
        <w:t>:584-591.</w:t>
      </w:r>
    </w:p>
    <w:p>
      <w:pPr>
        <w:spacing w:before="119"/>
        <w:ind w:left="1124" w:right="828" w:hanging="344"/>
        <w:jc w:val="both"/>
        <w:rPr>
          <w:sz w:val="17"/>
        </w:rPr>
      </w:pPr>
      <w:r>
        <w:rPr>
          <w:sz w:val="17"/>
        </w:rPr>
        <w:t>Corazza E.J. </w:t>
      </w:r>
      <w:r>
        <w:rPr>
          <w:i/>
          <w:sz w:val="17"/>
        </w:rPr>
        <w:t>et al. </w:t>
      </w:r>
      <w:r>
        <w:rPr>
          <w:sz w:val="17"/>
        </w:rPr>
        <w:t>(1999). Behavior of different management systems as a source or sink of C-CO2 in relation to cerrado type vegetation. R.Bras Ci.Solo </w:t>
      </w:r>
      <w:r>
        <w:rPr>
          <w:b/>
          <w:sz w:val="17"/>
        </w:rPr>
        <w:t>23:</w:t>
      </w:r>
      <w:r>
        <w:rPr>
          <w:sz w:val="17"/>
        </w:rPr>
        <w:t>425-432.</w:t>
      </w:r>
    </w:p>
    <w:p>
      <w:pPr>
        <w:spacing w:before="121"/>
        <w:ind w:left="1124" w:right="827" w:hanging="344"/>
        <w:jc w:val="both"/>
        <w:rPr>
          <w:sz w:val="17"/>
        </w:rPr>
      </w:pPr>
      <w:r>
        <w:rPr>
          <w:sz w:val="17"/>
        </w:rPr>
        <w:t>Costantini, A., D. Cosentino, and A. Segat. (1996). Influence of tillage systems on biological properties of a Typic Argiudoll soil under continuous maize in central Argentina. Soil and Tillage Research </w:t>
      </w:r>
      <w:r>
        <w:rPr>
          <w:b/>
          <w:sz w:val="17"/>
        </w:rPr>
        <w:t>38</w:t>
      </w:r>
      <w:r>
        <w:rPr>
          <w:sz w:val="17"/>
        </w:rPr>
        <w:t>:265-271.</w:t>
      </w:r>
    </w:p>
    <w:p>
      <w:pPr>
        <w:spacing w:before="120"/>
        <w:ind w:left="1124" w:right="830" w:hanging="344"/>
        <w:jc w:val="both"/>
        <w:rPr>
          <w:sz w:val="17"/>
        </w:rPr>
      </w:pPr>
      <w:r>
        <w:rPr>
          <w:sz w:val="17"/>
        </w:rPr>
        <w:t>Dalal, R.C., P.A. Henderson, and J.M. Glasby. (1991). Organic matter and microbial biomass in a vertisol after 20 yr of zero tillage. Soil biology and biochemistry</w:t>
      </w:r>
      <w:r>
        <w:rPr>
          <w:spacing w:val="-5"/>
          <w:sz w:val="17"/>
        </w:rPr>
        <w:t> </w:t>
      </w:r>
      <w:r>
        <w:rPr>
          <w:b/>
          <w:sz w:val="17"/>
        </w:rPr>
        <w:t>23</w:t>
      </w:r>
      <w:r>
        <w:rPr>
          <w:sz w:val="17"/>
        </w:rPr>
        <w:t>:435-441.</w:t>
      </w:r>
    </w:p>
    <w:p>
      <w:pPr>
        <w:spacing w:before="118"/>
        <w:ind w:left="1124" w:right="828" w:hanging="344"/>
        <w:jc w:val="both"/>
        <w:rPr>
          <w:sz w:val="17"/>
        </w:rPr>
      </w:pPr>
      <w:r>
        <w:rPr>
          <w:sz w:val="17"/>
        </w:rPr>
        <w:t>Dalal, R.C., and R.J. Mayer. (1986). Long-term trends in fertility of soils under continuous cultivation and cereal cropping in Southern Queensland. I. Overall changes in soil properties and trends in winter cereal yields. Australian Journal of Soil Research </w:t>
      </w:r>
      <w:r>
        <w:rPr>
          <w:b/>
          <w:sz w:val="17"/>
        </w:rPr>
        <w:t>24</w:t>
      </w:r>
      <w:r>
        <w:rPr>
          <w:sz w:val="17"/>
        </w:rPr>
        <w:t>:265-279.</w:t>
      </w:r>
    </w:p>
    <w:p>
      <w:pPr>
        <w:spacing w:before="121"/>
        <w:ind w:left="1124" w:right="826" w:hanging="344"/>
        <w:jc w:val="both"/>
        <w:rPr>
          <w:sz w:val="17"/>
        </w:rPr>
      </w:pPr>
      <w:r>
        <w:rPr>
          <w:sz w:val="17"/>
        </w:rPr>
        <w:t>Dalal, R.C. (1989). Long-term effects of no-tillage, crop residue, and nitrogen application on properties of a Vertisol. Soil Science Society of America Journal</w:t>
      </w:r>
      <w:r>
        <w:rPr>
          <w:spacing w:val="-6"/>
          <w:sz w:val="17"/>
        </w:rPr>
        <w:t> </w:t>
      </w:r>
      <w:r>
        <w:rPr>
          <w:b/>
          <w:sz w:val="17"/>
        </w:rPr>
        <w:t>53</w:t>
      </w:r>
      <w:r>
        <w:rPr>
          <w:sz w:val="17"/>
        </w:rPr>
        <w:t>:1511-1515.</w:t>
      </w:r>
    </w:p>
    <w:p>
      <w:pPr>
        <w:spacing w:after="0"/>
        <w:jc w:val="both"/>
        <w:rPr>
          <w:sz w:val="17"/>
        </w:rPr>
        <w:sectPr>
          <w:pgSz w:w="11900" w:h="16840"/>
          <w:pgMar w:header="230" w:footer="408" w:top="560" w:bottom="600" w:left="1200" w:right="1140"/>
        </w:sectPr>
      </w:pPr>
    </w:p>
    <w:p>
      <w:pPr>
        <w:pStyle w:val="BodyText"/>
      </w:pPr>
      <w:r>
        <w:rPr/>
        <w:pict>
          <v:group style="position:absolute;margin-left:91.240997pt;margin-top:51pt;width:412.95pt;height:682.95pt;mso-position-horizontal-relative:page;mso-position-vertical-relative:page;z-index:-2445472" coordorigin="1825,1020" coordsize="8259,13659">
            <v:line style="position:absolute" from="1854,1034" to="10054,1034" stroked="true" strokeweight="1.44pt" strokecolor="#000000">
              <v:stroke dashstyle="solid"/>
            </v:line>
            <v:rect style="position:absolute;left:1824;top:14649;width:29;height:29" filled="true" fillcolor="#000000" stroked="false">
              <v:fill type="solid"/>
            </v:rect>
            <v:line style="position:absolute" from="1854,14664" to="10054,14664" stroked="true" strokeweight="1.44pt" strokecolor="#000000">
              <v:stroke dashstyle="solid"/>
            </v:line>
            <v:rect style="position:absolute;left:10054;top:14649;width:29;height:29" filled="true" fillcolor="#000000" stroked="false">
              <v:fill type="solid"/>
            </v:rect>
            <v:line style="position:absolute" from="1839,1020" to="1839,14650" stroked="true" strokeweight="1.44pt" strokecolor="#000000">
              <v:stroke dashstyle="solid"/>
            </v:line>
            <v:line style="position:absolute" from="10069,1020" to="10069,14650" stroked="true" strokeweight="1.44pt" strokecolor="#000000">
              <v:stroke dashstyle="solid"/>
            </v:line>
            <w10:wrap type="none"/>
          </v:group>
        </w:pict>
      </w:r>
    </w:p>
    <w:p>
      <w:pPr>
        <w:pStyle w:val="BodyText"/>
        <w:rPr>
          <w:sz w:val="22"/>
        </w:rPr>
      </w:pPr>
    </w:p>
    <w:p>
      <w:pPr>
        <w:spacing w:before="92"/>
        <w:ind w:left="2206" w:right="0" w:firstLine="0"/>
        <w:jc w:val="left"/>
        <w:rPr>
          <w:b/>
          <w:sz w:val="18"/>
        </w:rPr>
      </w:pPr>
      <w:r>
        <w:rPr>
          <w:b/>
          <w:sz w:val="18"/>
        </w:rPr>
        <w:t>R</w:t>
      </w:r>
      <w:r>
        <w:rPr>
          <w:b/>
          <w:sz w:val="14"/>
        </w:rPr>
        <w:t>EFERENCES USED FOR THE ANALYSIS IN </w:t>
      </w:r>
      <w:r>
        <w:rPr>
          <w:b/>
          <w:sz w:val="18"/>
        </w:rPr>
        <w:t>S</w:t>
      </w:r>
      <w:r>
        <w:rPr>
          <w:b/>
          <w:sz w:val="14"/>
        </w:rPr>
        <w:t>ECTION </w:t>
      </w:r>
      <w:r>
        <w:rPr>
          <w:b/>
          <w:sz w:val="18"/>
        </w:rPr>
        <w:t>3.3.7 (C</w:t>
      </w:r>
      <w:r>
        <w:rPr>
          <w:b/>
          <w:sz w:val="14"/>
        </w:rPr>
        <w:t>ONTINUED</w:t>
      </w:r>
      <w:r>
        <w:rPr>
          <w:b/>
          <w:sz w:val="18"/>
        </w:rPr>
        <w:t>)</w:t>
      </w:r>
    </w:p>
    <w:p>
      <w:pPr>
        <w:spacing w:before="117"/>
        <w:ind w:left="1124" w:right="829" w:hanging="344"/>
        <w:jc w:val="both"/>
        <w:rPr>
          <w:sz w:val="17"/>
        </w:rPr>
      </w:pPr>
      <w:r>
        <w:rPr>
          <w:sz w:val="17"/>
        </w:rPr>
        <w:t>Dick WA, Edwards WM, McCoy EL. (1997). Continuous application of no-tillage to Ohio soils: Changes in crop yields and organic matter-related soil properties. Pages 171-182 </w:t>
      </w:r>
      <w:r>
        <w:rPr>
          <w:i/>
          <w:sz w:val="17"/>
        </w:rPr>
        <w:t>in</w:t>
      </w:r>
      <w:r>
        <w:rPr>
          <w:sz w:val="17"/>
        </w:rPr>
        <w:t>: E.A. Paul, E.T. Elliott, K. Paustian, and</w:t>
      </w:r>
    </w:p>
    <w:p>
      <w:pPr>
        <w:spacing w:before="0"/>
        <w:ind w:left="1124" w:right="867" w:firstLine="0"/>
        <w:jc w:val="left"/>
        <w:rPr>
          <w:sz w:val="17"/>
        </w:rPr>
      </w:pPr>
      <w:r>
        <w:rPr>
          <w:sz w:val="17"/>
        </w:rPr>
        <w:t>C.V. Cole. Soil organic matter in temperate agroecosystems: Long-term experiments in North America. CRC Press, Boca Raton, FL.</w:t>
      </w:r>
    </w:p>
    <w:p>
      <w:pPr>
        <w:spacing w:before="121"/>
        <w:ind w:left="1124" w:right="828" w:hanging="344"/>
        <w:jc w:val="both"/>
        <w:rPr>
          <w:sz w:val="17"/>
        </w:rPr>
      </w:pPr>
      <w:r>
        <w:rPr>
          <w:sz w:val="17"/>
        </w:rPr>
        <w:t>Dick, W.A., and J.T. Durkalski. (1997). No-tillage production agriculture and carbon sequestration in a Typic Fragiudalf soil of Northeastern Ohio. Pages 59-71 </w:t>
      </w:r>
      <w:r>
        <w:rPr>
          <w:i/>
          <w:sz w:val="17"/>
        </w:rPr>
        <w:t>in </w:t>
      </w:r>
      <w:r>
        <w:rPr>
          <w:sz w:val="17"/>
        </w:rPr>
        <w:t>Lal, R., J.M. Kimble, R.F. Follett, and B.A. Stewart, editors. Advances in Soil Science: Management of Carbon Sequestration in Soil. CRC Press Inc. Boca Raton, FL.</w:t>
      </w:r>
    </w:p>
    <w:p>
      <w:pPr>
        <w:spacing w:before="118"/>
        <w:ind w:left="1124" w:right="828" w:hanging="344"/>
        <w:jc w:val="both"/>
        <w:rPr>
          <w:sz w:val="17"/>
        </w:rPr>
      </w:pPr>
      <w:r>
        <w:rPr>
          <w:sz w:val="17"/>
        </w:rPr>
        <w:t>Doran, J.W., E.T. Elliott, and K. Paustian. (1998). Soil microbial activity, nitrogen cycling, and long-term changes in organic carbon pools as related to fallow tillage management. Soil and Tillage Research</w:t>
      </w:r>
      <w:r>
        <w:rPr>
          <w:spacing w:val="-28"/>
          <w:sz w:val="17"/>
        </w:rPr>
        <w:t> </w:t>
      </w:r>
      <w:r>
        <w:rPr>
          <w:b/>
          <w:sz w:val="17"/>
        </w:rPr>
        <w:t>49</w:t>
      </w:r>
      <w:r>
        <w:rPr>
          <w:sz w:val="17"/>
        </w:rPr>
        <w:t>:3-18.</w:t>
      </w:r>
    </w:p>
    <w:p>
      <w:pPr>
        <w:spacing w:before="120"/>
        <w:ind w:left="1124" w:right="831" w:hanging="344"/>
        <w:jc w:val="both"/>
        <w:rPr>
          <w:sz w:val="17"/>
        </w:rPr>
      </w:pPr>
      <w:r>
        <w:rPr>
          <w:sz w:val="17"/>
        </w:rPr>
        <w:t>Duiker, S.W, and R. Lal. (1999). Crop residue and tillage effects on carbon sequestration in a luvisol in central Ohio. Soil and Tillage Research</w:t>
      </w:r>
      <w:r>
        <w:rPr>
          <w:spacing w:val="-5"/>
          <w:sz w:val="17"/>
        </w:rPr>
        <w:t> </w:t>
      </w:r>
      <w:r>
        <w:rPr>
          <w:b/>
          <w:sz w:val="17"/>
        </w:rPr>
        <w:t>52</w:t>
      </w:r>
      <w:r>
        <w:rPr>
          <w:sz w:val="17"/>
        </w:rPr>
        <w:t>:73-81.</w:t>
      </w:r>
    </w:p>
    <w:p>
      <w:pPr>
        <w:spacing w:before="120"/>
        <w:ind w:left="1124" w:right="829" w:hanging="344"/>
        <w:jc w:val="both"/>
        <w:rPr>
          <w:sz w:val="17"/>
        </w:rPr>
      </w:pPr>
      <w:r>
        <w:rPr>
          <w:sz w:val="17"/>
        </w:rPr>
        <w:t>Edwards, J.H., C.W. Wood, D.L. Thurlow, and M.E. Ruf. (1992). Tillage and crop rotation effects on fertility status of a Hapludult soil. Soil Science Society of America Journal </w:t>
      </w:r>
      <w:r>
        <w:rPr>
          <w:b/>
          <w:sz w:val="17"/>
        </w:rPr>
        <w:t>56</w:t>
      </w:r>
      <w:r>
        <w:rPr>
          <w:sz w:val="17"/>
        </w:rPr>
        <w:t>:1577-1582.</w:t>
      </w:r>
    </w:p>
    <w:p>
      <w:pPr>
        <w:spacing w:before="118"/>
        <w:ind w:left="1124" w:right="830" w:hanging="344"/>
        <w:jc w:val="both"/>
        <w:rPr>
          <w:sz w:val="17"/>
        </w:rPr>
      </w:pPr>
      <w:r>
        <w:rPr>
          <w:spacing w:val="-3"/>
          <w:sz w:val="17"/>
        </w:rPr>
        <w:t>Eghball </w:t>
      </w:r>
      <w:r>
        <w:rPr>
          <w:sz w:val="17"/>
        </w:rPr>
        <w:t>B., </w:t>
      </w:r>
      <w:r>
        <w:rPr>
          <w:spacing w:val="-3"/>
          <w:sz w:val="17"/>
        </w:rPr>
        <w:t>L.N. Mielke, D.L. McCallister, </w:t>
      </w:r>
      <w:r>
        <w:rPr>
          <w:spacing w:val="-2"/>
          <w:sz w:val="17"/>
        </w:rPr>
        <w:t>and </w:t>
      </w:r>
      <w:r>
        <w:rPr>
          <w:sz w:val="17"/>
        </w:rPr>
        <w:t>J.W. </w:t>
      </w:r>
      <w:r>
        <w:rPr>
          <w:spacing w:val="-3"/>
          <w:sz w:val="17"/>
        </w:rPr>
        <w:t>Doran. </w:t>
      </w:r>
      <w:r>
        <w:rPr>
          <w:sz w:val="17"/>
        </w:rPr>
        <w:t>(1994). </w:t>
      </w:r>
      <w:r>
        <w:rPr>
          <w:spacing w:val="-3"/>
          <w:sz w:val="17"/>
        </w:rPr>
        <w:t>Distribution </w:t>
      </w:r>
      <w:r>
        <w:rPr>
          <w:sz w:val="17"/>
        </w:rPr>
        <w:t>of </w:t>
      </w:r>
      <w:r>
        <w:rPr>
          <w:spacing w:val="-3"/>
          <w:sz w:val="17"/>
        </w:rPr>
        <w:t>organic </w:t>
      </w:r>
      <w:r>
        <w:rPr>
          <w:spacing w:val="-2"/>
          <w:sz w:val="17"/>
        </w:rPr>
        <w:t>carbon and </w:t>
      </w:r>
      <w:r>
        <w:rPr>
          <w:spacing w:val="-3"/>
          <w:sz w:val="17"/>
        </w:rPr>
        <w:t>inorganic nitrogen </w:t>
      </w:r>
      <w:r>
        <w:rPr>
          <w:sz w:val="17"/>
        </w:rPr>
        <w:t>in a soil </w:t>
      </w:r>
      <w:r>
        <w:rPr>
          <w:spacing w:val="-3"/>
          <w:sz w:val="17"/>
        </w:rPr>
        <w:t>under various </w:t>
      </w:r>
      <w:r>
        <w:rPr>
          <w:sz w:val="17"/>
        </w:rPr>
        <w:t>tillage </w:t>
      </w:r>
      <w:r>
        <w:rPr>
          <w:spacing w:val="-2"/>
          <w:sz w:val="17"/>
        </w:rPr>
        <w:t>and </w:t>
      </w:r>
      <w:r>
        <w:rPr>
          <w:sz w:val="17"/>
        </w:rPr>
        <w:t>crop</w:t>
      </w:r>
      <w:r>
        <w:rPr>
          <w:spacing w:val="-3"/>
          <w:sz w:val="17"/>
        </w:rPr>
        <w:t> sequences. Journal </w:t>
      </w:r>
      <w:r>
        <w:rPr>
          <w:sz w:val="17"/>
        </w:rPr>
        <w:t>of Soil</w:t>
      </w:r>
      <w:r>
        <w:rPr>
          <w:spacing w:val="-2"/>
          <w:sz w:val="17"/>
        </w:rPr>
        <w:t> and </w:t>
      </w:r>
      <w:r>
        <w:rPr>
          <w:sz w:val="17"/>
        </w:rPr>
        <w:t>Water </w:t>
      </w:r>
      <w:r>
        <w:rPr>
          <w:spacing w:val="-3"/>
          <w:sz w:val="17"/>
        </w:rPr>
        <w:t>Conservation </w:t>
      </w:r>
      <w:r>
        <w:rPr>
          <w:b/>
          <w:sz w:val="17"/>
        </w:rPr>
        <w:t>49</w:t>
      </w:r>
      <w:r>
        <w:rPr>
          <w:sz w:val="17"/>
        </w:rPr>
        <w:t>: </w:t>
      </w:r>
      <w:r>
        <w:rPr>
          <w:spacing w:val="-3"/>
          <w:sz w:val="17"/>
        </w:rPr>
        <w:t>201-205.</w:t>
      </w:r>
    </w:p>
    <w:p>
      <w:pPr>
        <w:spacing w:before="120"/>
        <w:ind w:left="1124" w:right="830" w:hanging="344"/>
        <w:jc w:val="both"/>
        <w:rPr>
          <w:sz w:val="17"/>
        </w:rPr>
      </w:pPr>
      <w:r>
        <w:rPr>
          <w:sz w:val="17"/>
        </w:rPr>
        <w:t>Fleige H., K. Baeumer. (1974). Effect of zero-tillage on organic carbon and total nitrogen content, and their distribution in different N-fractions in loessial soils. Agro-Ecosystems </w:t>
      </w:r>
      <w:r>
        <w:rPr>
          <w:b/>
          <w:sz w:val="17"/>
        </w:rPr>
        <w:t>1:</w:t>
      </w:r>
      <w:r>
        <w:rPr>
          <w:sz w:val="17"/>
        </w:rPr>
        <w:t>19-29.</w:t>
      </w:r>
    </w:p>
    <w:p>
      <w:pPr>
        <w:spacing w:before="120"/>
        <w:ind w:left="1124" w:right="828" w:hanging="344"/>
        <w:jc w:val="both"/>
        <w:rPr>
          <w:sz w:val="17"/>
        </w:rPr>
      </w:pPr>
      <w:r>
        <w:rPr>
          <w:sz w:val="17"/>
        </w:rPr>
        <w:t>Follett, R.F., E.A. Paul, S.W. Leavitt, A.D. Halvorson, D. Lyon, and G.A. Peterson. (1997). Carbon isotope ratios of Great Plains soils and in wheat-fallow systems. Soil Science Society of America Journal </w:t>
      </w:r>
      <w:r>
        <w:rPr>
          <w:b/>
          <w:sz w:val="17"/>
        </w:rPr>
        <w:t>61</w:t>
      </w:r>
      <w:r>
        <w:rPr>
          <w:sz w:val="17"/>
        </w:rPr>
        <w:t>:1068-1077.</w:t>
      </w:r>
    </w:p>
    <w:p>
      <w:pPr>
        <w:spacing w:before="121"/>
        <w:ind w:left="1124" w:right="824" w:hanging="344"/>
        <w:jc w:val="both"/>
        <w:rPr>
          <w:sz w:val="17"/>
        </w:rPr>
      </w:pPr>
      <w:r>
        <w:rPr>
          <w:sz w:val="17"/>
        </w:rPr>
        <w:t>Follett, R.F., and G.A. Peterson. (1988). Surface soil nutrient distribution as affected by wheat-fallow tillage systems. Soil Science Society of America Journal</w:t>
      </w:r>
      <w:r>
        <w:rPr>
          <w:spacing w:val="-6"/>
          <w:sz w:val="17"/>
        </w:rPr>
        <w:t> </w:t>
      </w:r>
      <w:r>
        <w:rPr>
          <w:b/>
          <w:sz w:val="17"/>
        </w:rPr>
        <w:t>52</w:t>
      </w:r>
      <w:r>
        <w:rPr>
          <w:sz w:val="17"/>
        </w:rPr>
        <w:t>:141-147.</w:t>
      </w:r>
    </w:p>
    <w:p>
      <w:pPr>
        <w:spacing w:before="120"/>
        <w:ind w:left="1124" w:right="826" w:hanging="344"/>
        <w:jc w:val="both"/>
        <w:rPr>
          <w:sz w:val="17"/>
        </w:rPr>
      </w:pPr>
      <w:r>
        <w:rPr>
          <w:sz w:val="17"/>
        </w:rPr>
        <w:t>Follett, R.F., E.G. Pruessner, S.E. Samson-Liebig, J.M. Kimble, and S.W. Waltman. (2001). Carbon sequestration under the Conservation Reserve Program in the historic grassland soils of the United States of America. Pages 1-14 </w:t>
      </w:r>
      <w:r>
        <w:rPr>
          <w:i/>
          <w:sz w:val="17"/>
        </w:rPr>
        <w:t>in </w:t>
      </w:r>
      <w:r>
        <w:rPr>
          <w:sz w:val="17"/>
        </w:rPr>
        <w:t>Lal, R., and K. McSweeney, editors. Soil Management for Enhancing Carbon Sequestration. SSSA Special Publication. Madison, WI.</w:t>
      </w:r>
    </w:p>
    <w:p>
      <w:pPr>
        <w:spacing w:before="118"/>
        <w:ind w:left="1124" w:right="830" w:hanging="344"/>
        <w:jc w:val="both"/>
        <w:rPr>
          <w:sz w:val="17"/>
        </w:rPr>
      </w:pPr>
      <w:r>
        <w:rPr>
          <w:sz w:val="17"/>
        </w:rPr>
        <w:t>Franzluebbers, A.J., and M.A. Arshad. (1996). Water-stable aggregation and organic matter in four soils under conventional and zero tillage. Canadian Journal of Soil Science </w:t>
      </w:r>
      <w:r>
        <w:rPr>
          <w:b/>
          <w:sz w:val="17"/>
        </w:rPr>
        <w:t>76</w:t>
      </w:r>
      <w:r>
        <w:rPr>
          <w:sz w:val="17"/>
        </w:rPr>
        <w:t>:387-393.</w:t>
      </w:r>
    </w:p>
    <w:p>
      <w:pPr>
        <w:spacing w:before="120"/>
        <w:ind w:left="1124" w:right="828" w:hanging="344"/>
        <w:jc w:val="both"/>
        <w:rPr>
          <w:sz w:val="17"/>
        </w:rPr>
      </w:pPr>
      <w:r>
        <w:rPr>
          <w:sz w:val="17"/>
        </w:rPr>
        <w:t>Franzluebbers, A.J., G.W. Langdale, and H.H. Schomberg. (1999). Soil carbon, nitrogen, and aggregation in response to type and frequency of tillage. Soil Science Society of Amercia Journal </w:t>
      </w:r>
      <w:r>
        <w:rPr>
          <w:b/>
          <w:sz w:val="17"/>
        </w:rPr>
        <w:t>63</w:t>
      </w:r>
      <w:r>
        <w:rPr>
          <w:sz w:val="17"/>
        </w:rPr>
        <w:t>:349-355.</w:t>
      </w:r>
    </w:p>
    <w:p>
      <w:pPr>
        <w:spacing w:before="120"/>
        <w:ind w:left="1124" w:right="831" w:hanging="344"/>
        <w:jc w:val="both"/>
        <w:rPr>
          <w:sz w:val="17"/>
        </w:rPr>
      </w:pPr>
      <w:r>
        <w:rPr>
          <w:sz w:val="17"/>
        </w:rPr>
        <w:t>Franzluebbers, A.J., F.M. Hons, and D.A. Zuberer. (1995). Soil organic carbon, microbial biomass, and mineralizable carbon and nitrogen in sorghum. Soil Science Society of America </w:t>
      </w:r>
      <w:r>
        <w:rPr>
          <w:b/>
          <w:sz w:val="17"/>
        </w:rPr>
        <w:t>59</w:t>
      </w:r>
      <w:r>
        <w:rPr>
          <w:sz w:val="17"/>
        </w:rPr>
        <w:t>:460-466.</w:t>
      </w:r>
    </w:p>
    <w:p>
      <w:pPr>
        <w:spacing w:before="121"/>
        <w:ind w:left="1124" w:right="826" w:hanging="344"/>
        <w:jc w:val="both"/>
        <w:rPr>
          <w:sz w:val="17"/>
        </w:rPr>
      </w:pPr>
      <w:r>
        <w:rPr>
          <w:sz w:val="17"/>
        </w:rPr>
        <w:t>Freixo, A.A., P. Machado, H.P. dos Santos, C.A. Silva, and F. Fadigas. (2002). Soil organic carbon and fractions of a Rhodic Ferralsol under the influence of tillage and crop rotation systems in southern Brazil. Soil and Tillage Research</w:t>
      </w:r>
      <w:r>
        <w:rPr>
          <w:spacing w:val="-2"/>
          <w:sz w:val="17"/>
        </w:rPr>
        <w:t> </w:t>
      </w:r>
      <w:r>
        <w:rPr>
          <w:b/>
          <w:sz w:val="17"/>
        </w:rPr>
        <w:t>64</w:t>
      </w:r>
      <w:r>
        <w:rPr>
          <w:sz w:val="17"/>
        </w:rPr>
        <w:t>:221-230.</w:t>
      </w:r>
    </w:p>
    <w:p>
      <w:pPr>
        <w:spacing w:before="119"/>
        <w:ind w:left="1124" w:right="829" w:hanging="344"/>
        <w:jc w:val="both"/>
        <w:rPr>
          <w:sz w:val="17"/>
        </w:rPr>
      </w:pPr>
      <w:r>
        <w:rPr>
          <w:sz w:val="17"/>
        </w:rPr>
        <w:t>Freitas P.L., Blancaneaux P., Gavinelly E., Larre-Larrouy M.-C., Feller C. (2000). Nivel e natureza do estoque organico de latossols sob diferentes sistemas de uso e manejo, Pesq.agropec.bras. Brasilia </w:t>
      </w:r>
      <w:r>
        <w:rPr>
          <w:b/>
          <w:sz w:val="17"/>
        </w:rPr>
        <w:t>35: </w:t>
      </w:r>
      <w:r>
        <w:rPr>
          <w:sz w:val="17"/>
        </w:rPr>
        <w:t>157-170.</w:t>
      </w:r>
    </w:p>
    <w:p>
      <w:pPr>
        <w:spacing w:line="195" w:lineRule="exact" w:before="120"/>
        <w:ind w:left="780" w:right="0" w:firstLine="0"/>
        <w:jc w:val="left"/>
        <w:rPr>
          <w:sz w:val="17"/>
        </w:rPr>
      </w:pPr>
      <w:r>
        <w:rPr>
          <w:sz w:val="17"/>
        </w:rPr>
        <w:t>Gebhart, D.L., H.B. Johnson, H.S. Mayeux, and H.W. Polley. (1994). The CRP increases soil organic carbon.</w:t>
      </w:r>
    </w:p>
    <w:p>
      <w:pPr>
        <w:spacing w:line="195" w:lineRule="exact" w:before="0"/>
        <w:ind w:left="1124" w:right="0" w:firstLine="0"/>
        <w:jc w:val="left"/>
        <w:rPr>
          <w:sz w:val="17"/>
        </w:rPr>
      </w:pPr>
      <w:r>
        <w:rPr>
          <w:sz w:val="17"/>
        </w:rPr>
        <w:t>Journal of Soil and Water Conservation </w:t>
      </w:r>
      <w:r>
        <w:rPr>
          <w:b/>
          <w:sz w:val="17"/>
        </w:rPr>
        <w:t>49</w:t>
      </w:r>
      <w:r>
        <w:rPr>
          <w:sz w:val="17"/>
        </w:rPr>
        <w:t>:488-492.</w:t>
      </w:r>
    </w:p>
    <w:p>
      <w:pPr>
        <w:spacing w:before="119"/>
        <w:ind w:left="1124" w:right="826" w:hanging="344"/>
        <w:jc w:val="both"/>
        <w:rPr>
          <w:sz w:val="17"/>
        </w:rPr>
      </w:pPr>
      <w:r>
        <w:rPr>
          <w:sz w:val="17"/>
        </w:rPr>
        <w:t>Ghuman, B.S., and H.S. Sur. (2001). Tillage and residue management effects on soil properties and yields of rainfed maize and wheat in a subhumid subtropical climate. Soil and Tillage Research </w:t>
      </w:r>
      <w:r>
        <w:rPr>
          <w:b/>
          <w:sz w:val="17"/>
        </w:rPr>
        <w:t>58</w:t>
      </w:r>
      <w:r>
        <w:rPr>
          <w:sz w:val="17"/>
        </w:rPr>
        <w:t>:1-10.</w:t>
      </w:r>
    </w:p>
    <w:p>
      <w:pPr>
        <w:spacing w:before="120"/>
        <w:ind w:left="1124" w:right="830" w:hanging="344"/>
        <w:jc w:val="both"/>
        <w:rPr>
          <w:sz w:val="17"/>
        </w:rPr>
      </w:pPr>
      <w:r>
        <w:rPr>
          <w:sz w:val="17"/>
        </w:rPr>
        <w:t>Girma, T. (1998). Effect of cultivation on physical and chemical properties of a Vertisol in Middle Awash Valley, Ethiopia. Communications in Soil Science and Plant Analysis </w:t>
      </w:r>
      <w:r>
        <w:rPr>
          <w:b/>
          <w:sz w:val="17"/>
        </w:rPr>
        <w:t>29</w:t>
      </w:r>
      <w:r>
        <w:rPr>
          <w:sz w:val="17"/>
        </w:rPr>
        <w:t>:587-598.</w:t>
      </w:r>
    </w:p>
    <w:p>
      <w:pPr>
        <w:spacing w:before="120"/>
        <w:ind w:left="1124" w:right="826" w:hanging="344"/>
        <w:jc w:val="both"/>
        <w:rPr>
          <w:sz w:val="17"/>
        </w:rPr>
      </w:pPr>
      <w:r>
        <w:rPr>
          <w:sz w:val="17"/>
        </w:rPr>
        <w:t>Graham, M.H., R.J. Haynes, and J.H. Meyer. (2002). Soil organic matter content and quality: effects of fertilizer applications, burning and trash retention on a long-term sugarcane experiment in South Africa. Soil Biology and Biochemistry</w:t>
      </w:r>
      <w:r>
        <w:rPr>
          <w:spacing w:val="-5"/>
          <w:sz w:val="17"/>
        </w:rPr>
        <w:t> </w:t>
      </w:r>
      <w:r>
        <w:rPr>
          <w:b/>
          <w:sz w:val="17"/>
        </w:rPr>
        <w:t>34</w:t>
      </w:r>
      <w:r>
        <w:rPr>
          <w:sz w:val="17"/>
        </w:rPr>
        <w:t>:93-102.</w:t>
      </w:r>
    </w:p>
    <w:p>
      <w:pPr>
        <w:spacing w:before="120"/>
        <w:ind w:left="1124" w:right="828" w:hanging="344"/>
        <w:jc w:val="both"/>
        <w:rPr>
          <w:sz w:val="17"/>
        </w:rPr>
      </w:pPr>
      <w:r>
        <w:rPr>
          <w:sz w:val="17"/>
        </w:rPr>
        <w:t>Grandy, A.S., G.A. Porter, and M.S. Erich. (2002). Organic amendment and rotation crop effects on the recovery of soil organic matter and aggregation in potato cropping systems. Soil Science Society of America Journal </w:t>
      </w:r>
      <w:r>
        <w:rPr>
          <w:b/>
          <w:sz w:val="17"/>
        </w:rPr>
        <w:t>66</w:t>
      </w:r>
      <w:r>
        <w:rPr>
          <w:sz w:val="17"/>
        </w:rPr>
        <w:t>:1311-1319.</w:t>
      </w:r>
    </w:p>
    <w:p>
      <w:pPr>
        <w:spacing w:before="119"/>
        <w:ind w:left="1124" w:right="825" w:hanging="344"/>
        <w:jc w:val="both"/>
        <w:rPr>
          <w:sz w:val="17"/>
        </w:rPr>
      </w:pPr>
      <w:r>
        <w:rPr>
          <w:sz w:val="17"/>
        </w:rPr>
        <w:t>Gregorich, E.G., B.H. Ellert, C.F. Drury, and B.C. Liang. (1996). Fertilization effects on soil organic matter turnover and corn residue C storage. Soil Science Society of America Journal</w:t>
      </w:r>
      <w:r>
        <w:rPr>
          <w:spacing w:val="-15"/>
          <w:sz w:val="17"/>
        </w:rPr>
        <w:t> </w:t>
      </w:r>
      <w:r>
        <w:rPr>
          <w:b/>
          <w:sz w:val="17"/>
        </w:rPr>
        <w:t>60</w:t>
      </w:r>
      <w:r>
        <w:rPr>
          <w:sz w:val="17"/>
        </w:rPr>
        <w:t>:472-476.</w:t>
      </w:r>
    </w:p>
    <w:p>
      <w:pPr>
        <w:spacing w:before="120"/>
        <w:ind w:left="1124" w:right="826" w:hanging="344"/>
        <w:jc w:val="both"/>
        <w:rPr>
          <w:sz w:val="17"/>
        </w:rPr>
      </w:pPr>
      <w:r>
        <w:rPr>
          <w:sz w:val="17"/>
        </w:rPr>
        <w:t>Halvorson AD, Vigil MF, Peterson GA, Elliott ET (1997) Long-term tillage and crop residue management study at Akron, Colorado. Pages 361-370 </w:t>
      </w:r>
      <w:r>
        <w:rPr>
          <w:i/>
          <w:sz w:val="17"/>
        </w:rPr>
        <w:t>in</w:t>
      </w:r>
      <w:r>
        <w:rPr>
          <w:sz w:val="17"/>
        </w:rPr>
        <w:t>: E.A. Paul, E.T. Elliott, K. Paustian, and C.V. Cole. Soil organic matter in temperate agroecosystems: Long-term experiments in North America. CRC Press, Boca Raton, FL.</w:t>
      </w:r>
    </w:p>
    <w:p>
      <w:pPr>
        <w:spacing w:after="0"/>
        <w:jc w:val="both"/>
        <w:rPr>
          <w:sz w:val="17"/>
        </w:rPr>
        <w:sectPr>
          <w:pgSz w:w="11900" w:h="16840"/>
          <w:pgMar w:header="230" w:footer="408" w:top="560" w:bottom="600" w:left="1200" w:right="1140"/>
        </w:sectPr>
      </w:pPr>
    </w:p>
    <w:p>
      <w:pPr>
        <w:pStyle w:val="BodyText"/>
      </w:pPr>
    </w:p>
    <w:p>
      <w:pPr>
        <w:pStyle w:val="BodyText"/>
        <w:rPr>
          <w:sz w:val="22"/>
        </w:rPr>
      </w:pPr>
    </w:p>
    <w:p>
      <w:pPr>
        <w:spacing w:before="92"/>
        <w:ind w:left="2206" w:right="0" w:firstLine="0"/>
        <w:jc w:val="left"/>
        <w:rPr>
          <w:b/>
          <w:sz w:val="18"/>
        </w:rPr>
      </w:pPr>
      <w:r>
        <w:rPr/>
        <w:pict>
          <v:group style="position:absolute;margin-left:91.240997pt;margin-top:-1.877356pt;width:412.95pt;height:673.1pt;mso-position-horizontal-relative:page;mso-position-vertical-relative:paragraph;z-index:-2445448" coordorigin="1825,-38" coordsize="8259,13462">
            <v:line style="position:absolute" from="1854,-23" to="10054,-23" stroked="true" strokeweight="1.44pt" strokecolor="#000000">
              <v:stroke dashstyle="solid"/>
            </v:line>
            <v:rect style="position:absolute;left:1824;top:13395;width:29;height:29" filled="true" fillcolor="#000000" stroked="false">
              <v:fill type="solid"/>
            </v:rect>
            <v:line style="position:absolute" from="1854,13410" to="10054,13410" stroked="true" strokeweight="1.44pt" strokecolor="#000000">
              <v:stroke dashstyle="solid"/>
            </v:line>
            <v:rect style="position:absolute;left:10054;top:13395;width:29;height:29" filled="true" fillcolor="#000000" stroked="false">
              <v:fill type="solid"/>
            </v:rect>
            <v:line style="position:absolute" from="1839,-38" to="1839,13395" stroked="true" strokeweight="1.44pt" strokecolor="#000000">
              <v:stroke dashstyle="solid"/>
            </v:line>
            <v:line style="position:absolute" from="10069,-38" to="10069,13395" stroked="true" strokeweight="1.44pt" strokecolor="#000000">
              <v:stroke dashstyle="solid"/>
            </v:line>
            <w10:wrap type="none"/>
          </v:group>
        </w:pict>
      </w:r>
      <w:r>
        <w:rPr>
          <w:b/>
          <w:sz w:val="18"/>
        </w:rPr>
        <w:t>R</w:t>
      </w:r>
      <w:r>
        <w:rPr>
          <w:b/>
          <w:sz w:val="14"/>
        </w:rPr>
        <w:t>EFERENCES USED FOR THE ANALYSIS IN </w:t>
      </w:r>
      <w:r>
        <w:rPr>
          <w:b/>
          <w:sz w:val="18"/>
        </w:rPr>
        <w:t>S</w:t>
      </w:r>
      <w:r>
        <w:rPr>
          <w:b/>
          <w:sz w:val="14"/>
        </w:rPr>
        <w:t>ECTION </w:t>
      </w:r>
      <w:r>
        <w:rPr>
          <w:b/>
          <w:sz w:val="18"/>
        </w:rPr>
        <w:t>3.3.7 (C</w:t>
      </w:r>
      <w:r>
        <w:rPr>
          <w:b/>
          <w:sz w:val="14"/>
        </w:rPr>
        <w:t>ONTINUED</w:t>
      </w:r>
      <w:r>
        <w:rPr>
          <w:b/>
          <w:sz w:val="18"/>
        </w:rPr>
        <w:t>)</w:t>
      </w:r>
    </w:p>
    <w:p>
      <w:pPr>
        <w:spacing w:before="117"/>
        <w:ind w:left="1124" w:right="826" w:hanging="344"/>
        <w:jc w:val="both"/>
        <w:rPr>
          <w:sz w:val="17"/>
        </w:rPr>
      </w:pPr>
      <w:r>
        <w:rPr>
          <w:sz w:val="17"/>
        </w:rPr>
        <w:t>Halvorson, A.D., B.J. Wienhold, and A.L. Black. (2002). Tillage, nitrogen, and cropping system effects on soil carbon sequestration. Soil Science Society of America Journal </w:t>
      </w:r>
      <w:r>
        <w:rPr>
          <w:b/>
          <w:sz w:val="17"/>
        </w:rPr>
        <w:t>66</w:t>
      </w:r>
      <w:r>
        <w:rPr>
          <w:sz w:val="17"/>
        </w:rPr>
        <w:t>:906-912.</w:t>
      </w:r>
    </w:p>
    <w:p>
      <w:pPr>
        <w:spacing w:before="120"/>
        <w:ind w:left="1124" w:right="825" w:hanging="344"/>
        <w:jc w:val="both"/>
        <w:rPr>
          <w:sz w:val="17"/>
        </w:rPr>
      </w:pPr>
      <w:r>
        <w:rPr>
          <w:sz w:val="17"/>
        </w:rPr>
        <w:t>Hansmeyer, T.L., D.R. Linden, D.L. Allan, and D.R. Huggins. (1998). Determining carbon dynamics under no-till, ridge-till, chisel, and moldboard tillage systems within a corn and soybean cropping sequence. Pages 93-97 </w:t>
      </w:r>
      <w:r>
        <w:rPr>
          <w:i/>
          <w:sz w:val="17"/>
        </w:rPr>
        <w:t>in </w:t>
      </w:r>
      <w:r>
        <w:rPr>
          <w:sz w:val="17"/>
        </w:rPr>
        <w:t>Lal R., J.M. Kimble, R.F. Follett, and B.A. Stewart, editors. Advances in Soil Science: Management of Carbon Sequestration in Soil. CRC Press. Boca Raton, FL.</w:t>
      </w:r>
    </w:p>
    <w:p>
      <w:pPr>
        <w:spacing w:before="118"/>
        <w:ind w:left="1124" w:right="829" w:hanging="344"/>
        <w:jc w:val="both"/>
        <w:rPr>
          <w:sz w:val="17"/>
        </w:rPr>
      </w:pPr>
      <w:r>
        <w:rPr>
          <w:sz w:val="17"/>
        </w:rPr>
        <w:t>Hao, X., C. Chang, and C.W. Lindwall. (2001). Tillage and crop sequence effects on organic carbon and total nitrogen content in an irrigated Alberta soil. Soil and Tillage Research </w:t>
      </w:r>
      <w:r>
        <w:rPr>
          <w:b/>
          <w:sz w:val="17"/>
        </w:rPr>
        <w:t>62</w:t>
      </w:r>
      <w:r>
        <w:rPr>
          <w:sz w:val="17"/>
        </w:rPr>
        <w:t>:167-169.</w:t>
      </w:r>
    </w:p>
    <w:p>
      <w:pPr>
        <w:spacing w:before="121"/>
        <w:ind w:left="1124" w:right="829" w:hanging="344"/>
        <w:jc w:val="both"/>
        <w:rPr>
          <w:sz w:val="17"/>
        </w:rPr>
      </w:pPr>
      <w:r>
        <w:rPr>
          <w:sz w:val="17"/>
        </w:rPr>
        <w:t>Harden, J.W., J.M. Sharpe, W.J. Parton, D.S. Ojima, T.L. Fries, T.G. Huntington, and S.M. Dabney. (1999). Dynamic replacement and loss of soil carbon on eroding cropland. Global Biogeochemical Cycles </w:t>
      </w:r>
      <w:r>
        <w:rPr>
          <w:b/>
          <w:sz w:val="17"/>
        </w:rPr>
        <w:t>14</w:t>
      </w:r>
      <w:r>
        <w:rPr>
          <w:sz w:val="17"/>
        </w:rPr>
        <w:t>:885-901.</w:t>
      </w:r>
    </w:p>
    <w:p>
      <w:pPr>
        <w:spacing w:before="120"/>
        <w:ind w:left="1124" w:right="828" w:hanging="344"/>
        <w:jc w:val="both"/>
        <w:rPr>
          <w:sz w:val="17"/>
        </w:rPr>
      </w:pPr>
      <w:r>
        <w:rPr>
          <w:sz w:val="17"/>
        </w:rPr>
        <w:t>Havlin, J.L., and D.E. Kissel. (1997). Management effects on soil organic carbon and nitrogen in the East-Central Great Plains of Kansas. Pages 381-386 </w:t>
      </w:r>
      <w:r>
        <w:rPr>
          <w:i/>
          <w:sz w:val="17"/>
        </w:rPr>
        <w:t>in </w:t>
      </w:r>
      <w:r>
        <w:rPr>
          <w:sz w:val="17"/>
        </w:rPr>
        <w:t>Paul, E.A., K. Paustian, E.T. Elliott, and C.V. Cole, editors. Soil Organic Matter in Temperate Agroecosystems: Long-term Experiments in North America. CRC Press. Boca Raton, FL.</w:t>
      </w:r>
    </w:p>
    <w:p>
      <w:pPr>
        <w:spacing w:before="118"/>
        <w:ind w:left="1124" w:right="828" w:hanging="344"/>
        <w:jc w:val="both"/>
        <w:rPr>
          <w:sz w:val="17"/>
        </w:rPr>
      </w:pPr>
      <w:r>
        <w:rPr>
          <w:sz w:val="17"/>
        </w:rPr>
        <w:t>Hendrix PF (1997) Long-term patterns of plant production and soil carbon dynamics in a Georgia piedmont agroecosystem. Pages 235-245 </w:t>
      </w:r>
      <w:r>
        <w:rPr>
          <w:i/>
          <w:sz w:val="17"/>
        </w:rPr>
        <w:t>in</w:t>
      </w:r>
      <w:r>
        <w:rPr>
          <w:sz w:val="17"/>
        </w:rPr>
        <w:t>: E.A. Paul, E.T. Elliott, K. Paustian, and C.V. Cole. Soil organic matter in temperate agroecosystems: Long-term experiments in North America. CRC Press, Boca Raton, FL.</w:t>
      </w:r>
    </w:p>
    <w:p>
      <w:pPr>
        <w:spacing w:before="122"/>
        <w:ind w:left="1124" w:right="828" w:hanging="344"/>
        <w:jc w:val="both"/>
        <w:rPr>
          <w:sz w:val="17"/>
        </w:rPr>
      </w:pPr>
      <w:r>
        <w:rPr>
          <w:sz w:val="17"/>
        </w:rPr>
        <w:t>Hernanz, J.L., R. Lopez, L. Navarrete, and V. Sanchez-Giron. (2002). Long-term effects of tillage systems and rotations on soil structural stability and organic carbon stratification in semiarid central Spain. Soil and Tillage Research </w:t>
      </w:r>
      <w:r>
        <w:rPr>
          <w:b/>
          <w:sz w:val="17"/>
        </w:rPr>
        <w:t>66</w:t>
      </w:r>
      <w:r>
        <w:rPr>
          <w:sz w:val="17"/>
        </w:rPr>
        <w:t>:129-141.</w:t>
      </w:r>
    </w:p>
    <w:p>
      <w:pPr>
        <w:spacing w:line="195" w:lineRule="exact" w:before="119"/>
        <w:ind w:left="780" w:right="0" w:firstLine="0"/>
        <w:jc w:val="left"/>
        <w:rPr>
          <w:sz w:val="17"/>
        </w:rPr>
      </w:pPr>
      <w:r>
        <w:rPr>
          <w:sz w:val="17"/>
        </w:rPr>
        <w:t>Hulugalle, N.R. (2000). Carbon sequestration in irrigated vertisols under cotton-based farming systems.</w:t>
      </w:r>
    </w:p>
    <w:p>
      <w:pPr>
        <w:spacing w:line="195" w:lineRule="exact" w:before="0"/>
        <w:ind w:left="1124" w:right="0" w:firstLine="0"/>
        <w:jc w:val="left"/>
        <w:rPr>
          <w:sz w:val="17"/>
        </w:rPr>
      </w:pPr>
      <w:r>
        <w:rPr>
          <w:sz w:val="17"/>
        </w:rPr>
        <w:t>Communications in Soil Science and Plant Analysis </w:t>
      </w:r>
      <w:r>
        <w:rPr>
          <w:b/>
          <w:sz w:val="17"/>
        </w:rPr>
        <w:t>31</w:t>
      </w:r>
      <w:r>
        <w:rPr>
          <w:sz w:val="17"/>
        </w:rPr>
        <w:t>:645-654.</w:t>
      </w:r>
    </w:p>
    <w:p>
      <w:pPr>
        <w:spacing w:before="121"/>
        <w:ind w:left="1124" w:right="827" w:hanging="344"/>
        <w:jc w:val="both"/>
        <w:rPr>
          <w:sz w:val="17"/>
        </w:rPr>
      </w:pPr>
      <w:r>
        <w:rPr>
          <w:sz w:val="17"/>
        </w:rPr>
        <w:t>Hussain, I., K.R. Olson, M.M. Wander, and D.L. Karlen. (1999). Adaption of soil quality indices and application to three tillage systems in southern Illinois. Soil and Tillage Research </w:t>
      </w:r>
      <w:r>
        <w:rPr>
          <w:b/>
          <w:sz w:val="17"/>
        </w:rPr>
        <w:t>50</w:t>
      </w:r>
      <w:r>
        <w:rPr>
          <w:sz w:val="17"/>
        </w:rPr>
        <w:t>:237-249.</w:t>
      </w:r>
    </w:p>
    <w:p>
      <w:pPr>
        <w:spacing w:before="118"/>
        <w:ind w:left="1124" w:right="828" w:hanging="344"/>
        <w:jc w:val="both"/>
        <w:rPr>
          <w:sz w:val="17"/>
        </w:rPr>
      </w:pPr>
      <w:r>
        <w:rPr>
          <w:sz w:val="17"/>
        </w:rPr>
        <w:t>Ihori, T., I.C. Burke, W.K. Lauenroth, and D.P. Coffin. (1995). Effects of cultivation and abandonment on soil organic matter in Northeastern Colorado. Soil Science Society of America Journal </w:t>
      </w:r>
      <w:r>
        <w:rPr>
          <w:b/>
          <w:sz w:val="17"/>
        </w:rPr>
        <w:t>59</w:t>
      </w:r>
      <w:r>
        <w:rPr>
          <w:sz w:val="17"/>
        </w:rPr>
        <w:t>:1112-1119.</w:t>
      </w:r>
    </w:p>
    <w:p>
      <w:pPr>
        <w:spacing w:line="195" w:lineRule="exact" w:before="120"/>
        <w:ind w:left="780" w:right="0" w:firstLine="0"/>
        <w:jc w:val="left"/>
        <w:rPr>
          <w:sz w:val="17"/>
        </w:rPr>
      </w:pPr>
      <w:r>
        <w:rPr>
          <w:sz w:val="17"/>
        </w:rPr>
        <w:t>Janzen, H.H. (1987). Soil organic matter characteristics after long-term cropping to various spring wheat rotations.</w:t>
      </w:r>
    </w:p>
    <w:p>
      <w:pPr>
        <w:spacing w:line="195" w:lineRule="exact" w:before="0"/>
        <w:ind w:left="1124" w:right="0" w:firstLine="0"/>
        <w:jc w:val="left"/>
        <w:rPr>
          <w:sz w:val="17"/>
        </w:rPr>
      </w:pPr>
      <w:r>
        <w:rPr>
          <w:sz w:val="17"/>
        </w:rPr>
        <w:t>Canadian Journal of Soil Science </w:t>
      </w:r>
      <w:r>
        <w:rPr>
          <w:b/>
          <w:sz w:val="17"/>
        </w:rPr>
        <w:t>67</w:t>
      </w:r>
      <w:r>
        <w:rPr>
          <w:sz w:val="17"/>
        </w:rPr>
        <w:t>:845-856.</w:t>
      </w:r>
    </w:p>
    <w:p>
      <w:pPr>
        <w:spacing w:before="121"/>
        <w:ind w:left="1124" w:right="827" w:hanging="344"/>
        <w:jc w:val="both"/>
        <w:rPr>
          <w:sz w:val="17"/>
        </w:rPr>
      </w:pPr>
      <w:r>
        <w:rPr>
          <w:sz w:val="17"/>
        </w:rPr>
        <w:t>Jastrow, J.D., R.M. Miller, and J. Lussenhop. (1998). Contributions of interacting biological mechanisms to soil aggregate stabilization in restored prairie. Soil Biology and Biochemistry </w:t>
      </w:r>
      <w:r>
        <w:rPr>
          <w:b/>
          <w:sz w:val="17"/>
        </w:rPr>
        <w:t>30</w:t>
      </w:r>
      <w:r>
        <w:rPr>
          <w:sz w:val="17"/>
        </w:rPr>
        <w:t>:905-916.</w:t>
      </w:r>
    </w:p>
    <w:p>
      <w:pPr>
        <w:spacing w:before="121"/>
        <w:ind w:left="1124" w:right="825" w:hanging="344"/>
        <w:jc w:val="both"/>
        <w:rPr>
          <w:sz w:val="17"/>
        </w:rPr>
      </w:pPr>
      <w:r>
        <w:rPr>
          <w:sz w:val="17"/>
        </w:rPr>
        <w:t>Karlen, D.L., A. Kumar, R.S. Kanwar, C.A. Cambardella, and T.S. Colvin. (1998). Tillage system effects on 15- year</w:t>
      </w:r>
      <w:r>
        <w:rPr>
          <w:spacing w:val="-2"/>
          <w:sz w:val="17"/>
        </w:rPr>
        <w:t> </w:t>
      </w:r>
      <w:r>
        <w:rPr>
          <w:sz w:val="17"/>
        </w:rPr>
        <w:t>carbon-based</w:t>
      </w:r>
      <w:r>
        <w:rPr>
          <w:spacing w:val="-4"/>
          <w:sz w:val="17"/>
        </w:rPr>
        <w:t> </w:t>
      </w:r>
      <w:r>
        <w:rPr>
          <w:sz w:val="17"/>
        </w:rPr>
        <w:t>and</w:t>
      </w:r>
      <w:r>
        <w:rPr>
          <w:spacing w:val="-4"/>
          <w:sz w:val="17"/>
        </w:rPr>
        <w:t> </w:t>
      </w:r>
      <w:r>
        <w:rPr>
          <w:sz w:val="17"/>
        </w:rPr>
        <w:t>simulated</w:t>
      </w:r>
      <w:r>
        <w:rPr>
          <w:spacing w:val="-4"/>
          <w:sz w:val="17"/>
        </w:rPr>
        <w:t> </w:t>
      </w:r>
      <w:r>
        <w:rPr>
          <w:sz w:val="17"/>
        </w:rPr>
        <w:t>N</w:t>
      </w:r>
      <w:r>
        <w:rPr>
          <w:spacing w:val="-4"/>
          <w:sz w:val="17"/>
        </w:rPr>
        <w:t> </w:t>
      </w:r>
      <w:r>
        <w:rPr>
          <w:sz w:val="17"/>
        </w:rPr>
        <w:t>budgets</w:t>
      </w:r>
      <w:r>
        <w:rPr>
          <w:spacing w:val="-2"/>
          <w:sz w:val="17"/>
        </w:rPr>
        <w:t> </w:t>
      </w:r>
      <w:r>
        <w:rPr>
          <w:sz w:val="17"/>
        </w:rPr>
        <w:t>in</w:t>
      </w:r>
      <w:r>
        <w:rPr>
          <w:spacing w:val="-4"/>
          <w:sz w:val="17"/>
        </w:rPr>
        <w:t> </w:t>
      </w:r>
      <w:r>
        <w:rPr>
          <w:sz w:val="17"/>
        </w:rPr>
        <w:t>a</w:t>
      </w:r>
      <w:r>
        <w:rPr>
          <w:spacing w:val="-2"/>
          <w:sz w:val="17"/>
        </w:rPr>
        <w:t> </w:t>
      </w:r>
      <w:r>
        <w:rPr>
          <w:sz w:val="17"/>
        </w:rPr>
        <w:t>tile-drained</w:t>
      </w:r>
      <w:r>
        <w:rPr>
          <w:spacing w:val="-3"/>
          <w:sz w:val="17"/>
        </w:rPr>
        <w:t> </w:t>
      </w:r>
      <w:r>
        <w:rPr>
          <w:sz w:val="17"/>
        </w:rPr>
        <w:t>Iowa</w:t>
      </w:r>
      <w:r>
        <w:rPr>
          <w:spacing w:val="-2"/>
          <w:sz w:val="17"/>
        </w:rPr>
        <w:t> </w:t>
      </w:r>
      <w:r>
        <w:rPr>
          <w:sz w:val="17"/>
        </w:rPr>
        <w:t>field.</w:t>
      </w:r>
      <w:r>
        <w:rPr>
          <w:spacing w:val="-2"/>
          <w:sz w:val="17"/>
        </w:rPr>
        <w:t> </w:t>
      </w:r>
      <w:r>
        <w:rPr>
          <w:sz w:val="17"/>
        </w:rPr>
        <w:t>Soil</w:t>
      </w:r>
      <w:r>
        <w:rPr>
          <w:spacing w:val="-2"/>
          <w:sz w:val="17"/>
        </w:rPr>
        <w:t> </w:t>
      </w:r>
      <w:r>
        <w:rPr>
          <w:sz w:val="17"/>
        </w:rPr>
        <w:t>and</w:t>
      </w:r>
      <w:r>
        <w:rPr>
          <w:spacing w:val="-4"/>
          <w:sz w:val="17"/>
        </w:rPr>
        <w:t> </w:t>
      </w:r>
      <w:r>
        <w:rPr>
          <w:sz w:val="17"/>
        </w:rPr>
        <w:t>Tillage</w:t>
      </w:r>
      <w:r>
        <w:rPr>
          <w:spacing w:val="-4"/>
          <w:sz w:val="17"/>
        </w:rPr>
        <w:t> </w:t>
      </w:r>
      <w:r>
        <w:rPr>
          <w:sz w:val="17"/>
        </w:rPr>
        <w:t>Research</w:t>
      </w:r>
      <w:r>
        <w:rPr>
          <w:spacing w:val="-6"/>
          <w:sz w:val="17"/>
        </w:rPr>
        <w:t> </w:t>
      </w:r>
      <w:r>
        <w:rPr>
          <w:b/>
          <w:sz w:val="17"/>
        </w:rPr>
        <w:t>48</w:t>
      </w:r>
      <w:r>
        <w:rPr>
          <w:sz w:val="17"/>
        </w:rPr>
        <w:t>:155-165.</w:t>
      </w:r>
    </w:p>
    <w:p>
      <w:pPr>
        <w:spacing w:before="117"/>
        <w:ind w:left="1124" w:right="828" w:hanging="344"/>
        <w:jc w:val="both"/>
        <w:rPr>
          <w:sz w:val="17"/>
        </w:rPr>
      </w:pPr>
      <w:r>
        <w:rPr>
          <w:sz w:val="17"/>
        </w:rPr>
        <w:t>Karlen, D.L., M.J. Rosek, J.C. Gardner, D.L. Allan, M.J. Alms, D.F. Bezdicek, M. Flock, D.R. Huggins, B.S. Miller, and M.L. Staben. (1999). Conservation Reserve Program effects on soil quality indicators. Journal of Soil and Water Conservation</w:t>
      </w:r>
      <w:r>
        <w:rPr>
          <w:spacing w:val="-1"/>
          <w:sz w:val="17"/>
        </w:rPr>
        <w:t> </w:t>
      </w:r>
      <w:r>
        <w:rPr>
          <w:b/>
          <w:sz w:val="17"/>
        </w:rPr>
        <w:t>54</w:t>
      </w:r>
      <w:r>
        <w:rPr>
          <w:sz w:val="17"/>
        </w:rPr>
        <w:t>:439-444.</w:t>
      </w:r>
    </w:p>
    <w:p>
      <w:pPr>
        <w:spacing w:before="122"/>
        <w:ind w:left="1124" w:right="829" w:hanging="344"/>
        <w:jc w:val="both"/>
        <w:rPr>
          <w:sz w:val="17"/>
        </w:rPr>
      </w:pPr>
      <w:r>
        <w:rPr>
          <w:sz w:val="17"/>
        </w:rPr>
        <w:t>Karlen, D.L., N.C. Wollenhaupt, D.C. Erbach, E.C. Berry, J.B. Swan, N.S. Eash, and J.L. Jordahl. (1994). Long- term tillage effects on soil quality. Soil and Tillage Research </w:t>
      </w:r>
      <w:r>
        <w:rPr>
          <w:b/>
          <w:sz w:val="17"/>
        </w:rPr>
        <w:t>32</w:t>
      </w:r>
      <w:r>
        <w:rPr>
          <w:sz w:val="17"/>
        </w:rPr>
        <w:t>:313-327.</w:t>
      </w:r>
    </w:p>
    <w:p>
      <w:pPr>
        <w:spacing w:before="118"/>
        <w:ind w:left="1124" w:right="831" w:hanging="344"/>
        <w:jc w:val="both"/>
        <w:rPr>
          <w:sz w:val="17"/>
        </w:rPr>
      </w:pPr>
      <w:r>
        <w:rPr>
          <w:sz w:val="17"/>
        </w:rPr>
        <w:t>Kushwaha, C.P., S.K. Tripathi, and K.P. Singh. (2000). Variations in soil microbial biomass and n availability due to</w:t>
      </w:r>
      <w:r>
        <w:rPr>
          <w:spacing w:val="-3"/>
          <w:sz w:val="17"/>
        </w:rPr>
        <w:t> </w:t>
      </w:r>
      <w:r>
        <w:rPr>
          <w:sz w:val="17"/>
        </w:rPr>
        <w:t>residue</w:t>
      </w:r>
      <w:r>
        <w:rPr>
          <w:spacing w:val="-3"/>
          <w:sz w:val="17"/>
        </w:rPr>
        <w:t> </w:t>
      </w:r>
      <w:r>
        <w:rPr>
          <w:sz w:val="17"/>
        </w:rPr>
        <w:t>and</w:t>
      </w:r>
      <w:r>
        <w:rPr>
          <w:spacing w:val="-3"/>
          <w:sz w:val="17"/>
        </w:rPr>
        <w:t> </w:t>
      </w:r>
      <w:r>
        <w:rPr>
          <w:sz w:val="17"/>
        </w:rPr>
        <w:t>tillage</w:t>
      </w:r>
      <w:r>
        <w:rPr>
          <w:spacing w:val="-3"/>
          <w:sz w:val="17"/>
        </w:rPr>
        <w:t> </w:t>
      </w:r>
      <w:r>
        <w:rPr>
          <w:sz w:val="17"/>
        </w:rPr>
        <w:t>management</w:t>
      </w:r>
      <w:r>
        <w:rPr>
          <w:spacing w:val="-1"/>
          <w:sz w:val="17"/>
        </w:rPr>
        <w:t> </w:t>
      </w:r>
      <w:r>
        <w:rPr>
          <w:sz w:val="17"/>
        </w:rPr>
        <w:t>in</w:t>
      </w:r>
      <w:r>
        <w:rPr>
          <w:spacing w:val="-3"/>
          <w:sz w:val="17"/>
        </w:rPr>
        <w:t> </w:t>
      </w:r>
      <w:r>
        <w:rPr>
          <w:sz w:val="17"/>
        </w:rPr>
        <w:t>a</w:t>
      </w:r>
      <w:r>
        <w:rPr>
          <w:spacing w:val="-1"/>
          <w:sz w:val="17"/>
        </w:rPr>
        <w:t> </w:t>
      </w:r>
      <w:r>
        <w:rPr>
          <w:sz w:val="17"/>
        </w:rPr>
        <w:t>dryland</w:t>
      </w:r>
      <w:r>
        <w:rPr>
          <w:spacing w:val="-3"/>
          <w:sz w:val="17"/>
        </w:rPr>
        <w:t> </w:t>
      </w:r>
      <w:r>
        <w:rPr>
          <w:sz w:val="17"/>
        </w:rPr>
        <w:t>rice</w:t>
      </w:r>
      <w:r>
        <w:rPr>
          <w:spacing w:val="-3"/>
          <w:sz w:val="17"/>
        </w:rPr>
        <w:t> </w:t>
      </w:r>
      <w:r>
        <w:rPr>
          <w:sz w:val="17"/>
        </w:rPr>
        <w:t>agroecosystem.</w:t>
      </w:r>
      <w:r>
        <w:rPr>
          <w:spacing w:val="-1"/>
          <w:sz w:val="17"/>
        </w:rPr>
        <w:t> </w:t>
      </w:r>
      <w:r>
        <w:rPr>
          <w:sz w:val="17"/>
        </w:rPr>
        <w:t>Soil</w:t>
      </w:r>
      <w:r>
        <w:rPr>
          <w:spacing w:val="-1"/>
          <w:sz w:val="17"/>
        </w:rPr>
        <w:t> </w:t>
      </w:r>
      <w:r>
        <w:rPr>
          <w:sz w:val="17"/>
        </w:rPr>
        <w:t>and</w:t>
      </w:r>
      <w:r>
        <w:rPr>
          <w:spacing w:val="-3"/>
          <w:sz w:val="17"/>
        </w:rPr>
        <w:t> </w:t>
      </w:r>
      <w:r>
        <w:rPr>
          <w:sz w:val="17"/>
        </w:rPr>
        <w:t>tillage</w:t>
      </w:r>
      <w:r>
        <w:rPr>
          <w:spacing w:val="-3"/>
          <w:sz w:val="17"/>
        </w:rPr>
        <w:t> </w:t>
      </w:r>
      <w:r>
        <w:rPr>
          <w:sz w:val="17"/>
        </w:rPr>
        <w:t>Research</w:t>
      </w:r>
      <w:r>
        <w:rPr>
          <w:spacing w:val="-4"/>
          <w:sz w:val="17"/>
        </w:rPr>
        <w:t> </w:t>
      </w:r>
      <w:r>
        <w:rPr>
          <w:b/>
          <w:sz w:val="17"/>
        </w:rPr>
        <w:t>56</w:t>
      </w:r>
      <w:r>
        <w:rPr>
          <w:sz w:val="17"/>
        </w:rPr>
        <w:t>:153-166.</w:t>
      </w:r>
    </w:p>
    <w:p>
      <w:pPr>
        <w:spacing w:before="120"/>
        <w:ind w:left="1124" w:right="824" w:hanging="344"/>
        <w:jc w:val="both"/>
        <w:rPr>
          <w:sz w:val="17"/>
        </w:rPr>
      </w:pPr>
      <w:r>
        <w:rPr>
          <w:sz w:val="17"/>
        </w:rPr>
        <w:t>Lal, R., A.A. Mahboubi, and N.R. Fausey. (1994). Long-term tillage and rotation effects on properties of a central Ohio soil. Soil Science Society of America Journal </w:t>
      </w:r>
      <w:r>
        <w:rPr>
          <w:b/>
          <w:sz w:val="17"/>
        </w:rPr>
        <w:t>58</w:t>
      </w:r>
      <w:r>
        <w:rPr>
          <w:sz w:val="17"/>
        </w:rPr>
        <w:t>:517-522.</w:t>
      </w:r>
    </w:p>
    <w:p>
      <w:pPr>
        <w:spacing w:before="120"/>
        <w:ind w:left="1124" w:right="826" w:hanging="344"/>
        <w:jc w:val="both"/>
        <w:rPr>
          <w:sz w:val="17"/>
        </w:rPr>
      </w:pPr>
      <w:r>
        <w:rPr>
          <w:sz w:val="17"/>
        </w:rPr>
        <w:t>Lal, R. (1998). Soil quality changes under continuous cropping for seventeen seasons of an alfisol in western nigeria. Land Degradation and Development</w:t>
      </w:r>
      <w:r>
        <w:rPr>
          <w:spacing w:val="-3"/>
          <w:sz w:val="17"/>
        </w:rPr>
        <w:t> </w:t>
      </w:r>
      <w:r>
        <w:rPr>
          <w:b/>
          <w:sz w:val="17"/>
        </w:rPr>
        <w:t>9</w:t>
      </w:r>
      <w:r>
        <w:rPr>
          <w:sz w:val="17"/>
        </w:rPr>
        <w:t>:259-274.</w:t>
      </w:r>
    </w:p>
    <w:p>
      <w:pPr>
        <w:spacing w:before="121"/>
        <w:ind w:left="1124" w:right="827" w:hanging="344"/>
        <w:jc w:val="both"/>
        <w:rPr>
          <w:sz w:val="17"/>
        </w:rPr>
      </w:pPr>
      <w:r>
        <w:rPr>
          <w:sz w:val="17"/>
        </w:rPr>
        <w:t>Larney, F.J., E. Bremer, H.H. Janzen, A.M. Johnston, and C.W. Lindwall. (1997). Changes in total, mineralizable and light fraction soil organic matter with cropping and tillage intensities in semiarid southern Alberta, Canada. Soil and Tillage Research </w:t>
      </w:r>
      <w:r>
        <w:rPr>
          <w:b/>
          <w:sz w:val="17"/>
        </w:rPr>
        <w:t>42</w:t>
      </w:r>
      <w:r>
        <w:rPr>
          <w:sz w:val="17"/>
        </w:rPr>
        <w:t>:229-240.</w:t>
      </w:r>
    </w:p>
    <w:p>
      <w:pPr>
        <w:spacing w:before="119"/>
        <w:ind w:left="1124" w:right="824" w:hanging="344"/>
        <w:jc w:val="both"/>
        <w:rPr>
          <w:sz w:val="17"/>
        </w:rPr>
      </w:pPr>
      <w:r>
        <w:rPr>
          <w:sz w:val="17"/>
        </w:rPr>
        <w:t>Lilienfein J., Wilcke W., Vilela L., do Carmo Lima S., Thomas R., Zech W. (2000). Effect of no-tillage and conventional tillage systems on the chemical composition of soil solid phase and soil solution of brazilian savanna. J. Plant Nutr. Soil Sci. </w:t>
      </w:r>
      <w:r>
        <w:rPr>
          <w:b/>
          <w:sz w:val="17"/>
        </w:rPr>
        <w:t>163</w:t>
      </w:r>
      <w:r>
        <w:rPr>
          <w:sz w:val="17"/>
        </w:rPr>
        <w:t>: 411-419.</w:t>
      </w:r>
    </w:p>
    <w:p>
      <w:pPr>
        <w:spacing w:before="119"/>
        <w:ind w:left="1124" w:right="829" w:hanging="344"/>
        <w:jc w:val="both"/>
        <w:rPr>
          <w:sz w:val="17"/>
        </w:rPr>
      </w:pPr>
      <w:r>
        <w:rPr>
          <w:sz w:val="17"/>
        </w:rPr>
        <w:t>McCarty, G.W., N.N. Lyssenko, and J.L. Starr. (1998). Short-term changes in soil carbon and nitrogen pools during tillage management transition. Soil Science Society of America Journal </w:t>
      </w:r>
      <w:r>
        <w:rPr>
          <w:b/>
          <w:sz w:val="17"/>
        </w:rPr>
        <w:t>62</w:t>
      </w:r>
      <w:r>
        <w:rPr>
          <w:sz w:val="17"/>
        </w:rPr>
        <w:t>:1564-1571.</w:t>
      </w:r>
    </w:p>
    <w:p>
      <w:pPr>
        <w:spacing w:before="120"/>
        <w:ind w:left="1124" w:right="828" w:hanging="344"/>
        <w:jc w:val="both"/>
        <w:rPr>
          <w:sz w:val="17"/>
        </w:rPr>
      </w:pPr>
      <w:r>
        <w:rPr>
          <w:sz w:val="17"/>
        </w:rPr>
        <w:t>Mielke, L.N., J.W. Doran, and K.A. Richards. (1986). Physical environment near the surface of plowed and no-tilled soils. Soil and Tillage Research </w:t>
      </w:r>
      <w:r>
        <w:rPr>
          <w:b/>
          <w:sz w:val="17"/>
        </w:rPr>
        <w:t>7</w:t>
      </w:r>
      <w:r>
        <w:rPr>
          <w:sz w:val="17"/>
        </w:rPr>
        <w:t>:355-366.</w:t>
      </w:r>
    </w:p>
    <w:p>
      <w:pPr>
        <w:spacing w:after="0"/>
        <w:jc w:val="both"/>
        <w:rPr>
          <w:sz w:val="17"/>
        </w:rPr>
        <w:sectPr>
          <w:pgSz w:w="11900" w:h="16840"/>
          <w:pgMar w:header="230" w:footer="408" w:top="560" w:bottom="600" w:left="1200" w:right="1140"/>
        </w:sectPr>
      </w:pPr>
    </w:p>
    <w:p>
      <w:pPr>
        <w:pStyle w:val="BodyText"/>
      </w:pPr>
      <w:r>
        <w:rPr/>
        <w:pict>
          <v:group style="position:absolute;margin-left:91.240997pt;margin-top:51pt;width:412.95pt;height:682.95pt;mso-position-horizontal-relative:page;mso-position-vertical-relative:page;z-index:-2445424" coordorigin="1825,1020" coordsize="8259,13659">
            <v:line style="position:absolute" from="1854,1034" to="10054,1034" stroked="true" strokeweight="1.44pt" strokecolor="#000000">
              <v:stroke dashstyle="solid"/>
            </v:line>
            <v:rect style="position:absolute;left:1824;top:14649;width:29;height:29" filled="true" fillcolor="#000000" stroked="false">
              <v:fill type="solid"/>
            </v:rect>
            <v:line style="position:absolute" from="1854,14664" to="10054,14664" stroked="true" strokeweight="1.44pt" strokecolor="#000000">
              <v:stroke dashstyle="solid"/>
            </v:line>
            <v:rect style="position:absolute;left:10054;top:14649;width:29;height:29" filled="true" fillcolor="#000000" stroked="false">
              <v:fill type="solid"/>
            </v:rect>
            <v:line style="position:absolute" from="1839,1020" to="1839,14650" stroked="true" strokeweight="1.44pt" strokecolor="#000000">
              <v:stroke dashstyle="solid"/>
            </v:line>
            <v:line style="position:absolute" from="10069,1020" to="10069,14650" stroked="true" strokeweight="1.44pt" strokecolor="#000000">
              <v:stroke dashstyle="solid"/>
            </v:line>
            <w10:wrap type="none"/>
          </v:group>
        </w:pict>
      </w:r>
    </w:p>
    <w:p>
      <w:pPr>
        <w:pStyle w:val="BodyText"/>
        <w:rPr>
          <w:sz w:val="22"/>
        </w:rPr>
      </w:pPr>
    </w:p>
    <w:p>
      <w:pPr>
        <w:spacing w:before="92"/>
        <w:ind w:left="2206" w:right="0" w:firstLine="0"/>
        <w:jc w:val="left"/>
        <w:rPr>
          <w:b/>
          <w:sz w:val="18"/>
        </w:rPr>
      </w:pPr>
      <w:r>
        <w:rPr>
          <w:b/>
          <w:sz w:val="18"/>
        </w:rPr>
        <w:t>R</w:t>
      </w:r>
      <w:r>
        <w:rPr>
          <w:b/>
          <w:sz w:val="14"/>
        </w:rPr>
        <w:t>EFERENCES USED FOR THE ANALYSIS IN </w:t>
      </w:r>
      <w:r>
        <w:rPr>
          <w:b/>
          <w:sz w:val="18"/>
        </w:rPr>
        <w:t>S</w:t>
      </w:r>
      <w:r>
        <w:rPr>
          <w:b/>
          <w:sz w:val="14"/>
        </w:rPr>
        <w:t>ECTION </w:t>
      </w:r>
      <w:r>
        <w:rPr>
          <w:b/>
          <w:sz w:val="18"/>
        </w:rPr>
        <w:t>3.3.7 (C</w:t>
      </w:r>
      <w:r>
        <w:rPr>
          <w:b/>
          <w:sz w:val="14"/>
        </w:rPr>
        <w:t>ONTINUED</w:t>
      </w:r>
      <w:r>
        <w:rPr>
          <w:b/>
          <w:sz w:val="18"/>
        </w:rPr>
        <w:t>)</w:t>
      </w:r>
    </w:p>
    <w:p>
      <w:pPr>
        <w:spacing w:before="117"/>
        <w:ind w:left="1124" w:right="827" w:hanging="344"/>
        <w:jc w:val="both"/>
        <w:rPr>
          <w:sz w:val="17"/>
        </w:rPr>
      </w:pPr>
      <w:r>
        <w:rPr>
          <w:sz w:val="17"/>
        </w:rPr>
        <w:t>Mikhailova, E.A., R.B. Bryant, I.I. Vassenev, S.J. Schwager, and C.J. Post. (2000). Cultivation effects on soil carbon and nitrogen contents at depth in the Russian Chernozem. Soil Science Society of America Journal </w:t>
      </w:r>
      <w:r>
        <w:rPr>
          <w:b/>
          <w:sz w:val="17"/>
        </w:rPr>
        <w:t>64</w:t>
      </w:r>
      <w:r>
        <w:rPr>
          <w:sz w:val="17"/>
        </w:rPr>
        <w:t>:738-745.</w:t>
      </w:r>
    </w:p>
    <w:p>
      <w:pPr>
        <w:spacing w:before="119"/>
        <w:ind w:left="1124" w:right="825" w:hanging="344"/>
        <w:jc w:val="both"/>
        <w:rPr>
          <w:sz w:val="17"/>
        </w:rPr>
      </w:pPr>
      <w:r>
        <w:rPr>
          <w:sz w:val="17"/>
        </w:rPr>
        <w:t>Mrabet R., N. Saber, A. El-brahli, S. Lahlou, F. Bessam. (2001). Total, particulate organic matter and structural stability of a Calcixeroll soil under different wheat rotations and tillage systems in a semiarid area of Morocco. Soil &amp; Tillage Research </w:t>
      </w:r>
      <w:r>
        <w:rPr>
          <w:b/>
          <w:sz w:val="17"/>
        </w:rPr>
        <w:t>57: </w:t>
      </w:r>
      <w:r>
        <w:rPr>
          <w:sz w:val="17"/>
        </w:rPr>
        <w:t>225-235.</w:t>
      </w:r>
    </w:p>
    <w:p>
      <w:pPr>
        <w:spacing w:before="119"/>
        <w:ind w:left="1124" w:right="826" w:hanging="344"/>
        <w:jc w:val="both"/>
        <w:rPr>
          <w:sz w:val="17"/>
        </w:rPr>
      </w:pPr>
      <w:r>
        <w:rPr>
          <w:sz w:val="17"/>
        </w:rPr>
        <w:t>Nyborg, M., E.D. Solberg, S.S. Malhi, and R.C. Izaurralde. (1995). Fertilizer N, crop residue, and tillage alter soil C and N content in a decade. Pages 93-99 </w:t>
      </w:r>
      <w:r>
        <w:rPr>
          <w:i/>
          <w:sz w:val="17"/>
        </w:rPr>
        <w:t>in </w:t>
      </w:r>
      <w:r>
        <w:rPr>
          <w:sz w:val="17"/>
        </w:rPr>
        <w:t>Lal, R., J. Kimble, E. Levine, and B.A. Stewart, editors. Advances in Soil Science: Soil Management and Greenhouse effect. CRC Press. Boca Raton, FL.</w:t>
      </w:r>
    </w:p>
    <w:p>
      <w:pPr>
        <w:spacing w:before="120"/>
        <w:ind w:left="1124" w:right="830" w:hanging="344"/>
        <w:jc w:val="both"/>
        <w:rPr>
          <w:sz w:val="17"/>
        </w:rPr>
      </w:pPr>
      <w:r>
        <w:rPr>
          <w:sz w:val="17"/>
        </w:rPr>
        <w:t>Parfitt, R.L., B.K.G. Theng, J.S. Whitton, and T.G. Shepherd. (1997). Effects of clay minerals and land use on organic matter pools. Geoderma </w:t>
      </w:r>
      <w:r>
        <w:rPr>
          <w:b/>
          <w:sz w:val="17"/>
        </w:rPr>
        <w:t>75</w:t>
      </w:r>
      <w:r>
        <w:rPr>
          <w:sz w:val="17"/>
        </w:rPr>
        <w:t>:1-12.</w:t>
      </w:r>
    </w:p>
    <w:p>
      <w:pPr>
        <w:spacing w:before="120"/>
        <w:ind w:left="1124" w:right="829" w:hanging="344"/>
        <w:jc w:val="both"/>
        <w:rPr>
          <w:sz w:val="17"/>
        </w:rPr>
      </w:pPr>
      <w:r>
        <w:rPr>
          <w:sz w:val="17"/>
        </w:rPr>
        <w:t>Paustian, K. and E.T. Elliott. Unpublished data. Field sampling of long-term experiments in U.S. and Canada for EPA carbon sequestration project.</w:t>
      </w:r>
    </w:p>
    <w:p>
      <w:pPr>
        <w:spacing w:before="120"/>
        <w:ind w:left="1124" w:right="830" w:hanging="344"/>
        <w:jc w:val="both"/>
        <w:rPr>
          <w:sz w:val="17"/>
        </w:rPr>
      </w:pPr>
      <w:r>
        <w:rPr>
          <w:sz w:val="17"/>
        </w:rPr>
        <w:t>Pennock, D.J., and C. van Kessel. (1997). Effect of agriculture and of clear-cut forest harvest on landscape-scale soil organic carbon storage in Saskatchewan. Canadian Journal of Soil Science </w:t>
      </w:r>
      <w:r>
        <w:rPr>
          <w:b/>
          <w:sz w:val="17"/>
        </w:rPr>
        <w:t>77</w:t>
      </w:r>
      <w:r>
        <w:rPr>
          <w:sz w:val="17"/>
        </w:rPr>
        <w:t>:211-218.</w:t>
      </w:r>
    </w:p>
    <w:p>
      <w:pPr>
        <w:spacing w:before="120"/>
        <w:ind w:left="1124" w:right="825" w:hanging="344"/>
        <w:jc w:val="both"/>
        <w:rPr>
          <w:sz w:val="17"/>
        </w:rPr>
      </w:pPr>
      <w:r>
        <w:rPr>
          <w:spacing w:val="-3"/>
          <w:sz w:val="17"/>
        </w:rPr>
        <w:t>Rhoton FE, </w:t>
      </w:r>
      <w:r>
        <w:rPr>
          <w:sz w:val="17"/>
        </w:rPr>
        <w:t>Bruce </w:t>
      </w:r>
      <w:r>
        <w:rPr>
          <w:spacing w:val="-3"/>
          <w:sz w:val="17"/>
        </w:rPr>
        <w:t>RR, Buehring NW, Elkins GB, Langdale CW, Tyler DD. </w:t>
      </w:r>
      <w:r>
        <w:rPr>
          <w:sz w:val="17"/>
        </w:rPr>
        <w:t>(1993). </w:t>
      </w:r>
      <w:r>
        <w:rPr>
          <w:spacing w:val="-3"/>
          <w:sz w:val="17"/>
        </w:rPr>
        <w:t>Chemical </w:t>
      </w:r>
      <w:r>
        <w:rPr>
          <w:spacing w:val="-2"/>
          <w:sz w:val="17"/>
        </w:rPr>
        <w:t>and </w:t>
      </w:r>
      <w:r>
        <w:rPr>
          <w:spacing w:val="-3"/>
          <w:sz w:val="17"/>
        </w:rPr>
        <w:t>physical characteristics </w:t>
      </w:r>
      <w:r>
        <w:rPr>
          <w:sz w:val="17"/>
        </w:rPr>
        <w:t>of </w:t>
      </w:r>
      <w:r>
        <w:rPr>
          <w:spacing w:val="-3"/>
          <w:sz w:val="17"/>
        </w:rPr>
        <w:t>four </w:t>
      </w:r>
      <w:r>
        <w:rPr>
          <w:sz w:val="17"/>
        </w:rPr>
        <w:t>soil </w:t>
      </w:r>
      <w:r>
        <w:rPr>
          <w:spacing w:val="-3"/>
          <w:sz w:val="17"/>
        </w:rPr>
        <w:t>types under conventional </w:t>
      </w:r>
      <w:r>
        <w:rPr>
          <w:spacing w:val="-2"/>
          <w:sz w:val="17"/>
        </w:rPr>
        <w:t>and </w:t>
      </w:r>
      <w:r>
        <w:rPr>
          <w:spacing w:val="-3"/>
          <w:sz w:val="17"/>
        </w:rPr>
        <w:t>no-tillage systems. </w:t>
      </w:r>
      <w:r>
        <w:rPr>
          <w:sz w:val="17"/>
        </w:rPr>
        <w:t>Soil </w:t>
      </w:r>
      <w:r>
        <w:rPr>
          <w:spacing w:val="-2"/>
          <w:sz w:val="17"/>
        </w:rPr>
        <w:t>and </w:t>
      </w:r>
      <w:r>
        <w:rPr>
          <w:spacing w:val="-3"/>
          <w:sz w:val="17"/>
        </w:rPr>
        <w:t>Tillage Research </w:t>
      </w:r>
      <w:r>
        <w:rPr>
          <w:b/>
          <w:sz w:val="17"/>
        </w:rPr>
        <w:t>28</w:t>
      </w:r>
      <w:r>
        <w:rPr>
          <w:sz w:val="17"/>
        </w:rPr>
        <w:t>: </w:t>
      </w:r>
      <w:r>
        <w:rPr>
          <w:spacing w:val="-3"/>
          <w:sz w:val="17"/>
        </w:rPr>
        <w:t>51-61.</w:t>
      </w:r>
    </w:p>
    <w:p>
      <w:pPr>
        <w:spacing w:before="121"/>
        <w:ind w:left="1124" w:right="829" w:hanging="344"/>
        <w:jc w:val="both"/>
        <w:rPr>
          <w:sz w:val="17"/>
        </w:rPr>
      </w:pPr>
      <w:r>
        <w:rPr>
          <w:sz w:val="17"/>
        </w:rPr>
        <w:t>Sherrod, L.A., G.A. Peterson, D.G. Westfall, and L.R. Ahuja. In press. Cropping intensification enhances soil organic carbon and nitrogen in a no-till agroecosystem. Soil Science Society of America Journal.</w:t>
      </w:r>
    </w:p>
    <w:p>
      <w:pPr>
        <w:spacing w:before="117"/>
        <w:ind w:left="1124" w:right="827" w:hanging="344"/>
        <w:jc w:val="both"/>
        <w:rPr>
          <w:sz w:val="17"/>
        </w:rPr>
      </w:pPr>
      <w:r>
        <w:rPr>
          <w:sz w:val="17"/>
        </w:rPr>
        <w:t>Pierce, F.J. and M.-C. Fortin. (1997). Long-term tillage and periodic plowing of a no-tilled soil in Michigan: Impacts, yield, and soil organic matter. Pages 141-149 </w:t>
      </w:r>
      <w:r>
        <w:rPr>
          <w:i/>
          <w:sz w:val="17"/>
        </w:rPr>
        <w:t>in</w:t>
      </w:r>
      <w:r>
        <w:rPr>
          <w:sz w:val="17"/>
        </w:rPr>
        <w:t>: E.A. Paul, E.T. Elliott, K. Paustian, and C.V. Cole. Soil organic matter in temperate agroecosystems: Long-term experiments in North America. CRC Press, Boca Raton, FL.</w:t>
      </w:r>
    </w:p>
    <w:p>
      <w:pPr>
        <w:spacing w:before="121"/>
        <w:ind w:left="1124" w:right="825" w:hanging="344"/>
        <w:jc w:val="both"/>
        <w:rPr>
          <w:sz w:val="17"/>
        </w:rPr>
      </w:pPr>
      <w:r>
        <w:rPr>
          <w:sz w:val="17"/>
        </w:rPr>
        <w:t>Potter, K.N., O.R. Jones, H.A. Torbert, and P.W. Unger. (1997). Crop rotation and tillage effects on organic carbon sequestration in the semiarid southern Great Plains. Soil Science </w:t>
      </w:r>
      <w:r>
        <w:rPr>
          <w:b/>
          <w:sz w:val="17"/>
        </w:rPr>
        <w:t>162</w:t>
      </w:r>
      <w:r>
        <w:rPr>
          <w:sz w:val="17"/>
        </w:rPr>
        <w:t>:140-147.</w:t>
      </w:r>
    </w:p>
    <w:p>
      <w:pPr>
        <w:spacing w:before="120"/>
        <w:ind w:left="1124" w:right="828" w:hanging="344"/>
        <w:jc w:val="both"/>
        <w:rPr>
          <w:sz w:val="17"/>
        </w:rPr>
      </w:pPr>
      <w:r>
        <w:rPr>
          <w:sz w:val="17"/>
        </w:rPr>
        <w:t>Potter, K.N., H.A. Torbert, H.B. Johnson, and C.R. Tischler. (1999). Carbon storage after long-term grass establishment on degraded soils. Soil Science </w:t>
      </w:r>
      <w:r>
        <w:rPr>
          <w:b/>
          <w:sz w:val="17"/>
        </w:rPr>
        <w:t>164</w:t>
      </w:r>
      <w:r>
        <w:rPr>
          <w:sz w:val="17"/>
        </w:rPr>
        <w:t>:718-723.</w:t>
      </w:r>
    </w:p>
    <w:p>
      <w:pPr>
        <w:spacing w:before="120"/>
        <w:ind w:left="1124" w:right="829" w:hanging="344"/>
        <w:jc w:val="both"/>
        <w:rPr>
          <w:sz w:val="17"/>
        </w:rPr>
      </w:pPr>
      <w:r>
        <w:rPr>
          <w:sz w:val="17"/>
        </w:rPr>
        <w:t>Powlson D.S. and D.S.Jenkinson. (1982). A comparison of the organic matter, biomass, adenosine triphosphate and mineralizable nitrogen contents of ploughed and direct-drilled soils, J. Agric. Sci. Camb. </w:t>
      </w:r>
      <w:r>
        <w:rPr>
          <w:b/>
          <w:sz w:val="17"/>
        </w:rPr>
        <w:t>97:</w:t>
      </w:r>
      <w:r>
        <w:rPr>
          <w:sz w:val="17"/>
        </w:rPr>
        <w:t>713-721.</w:t>
      </w:r>
    </w:p>
    <w:p>
      <w:pPr>
        <w:spacing w:before="121"/>
        <w:ind w:left="1124" w:right="826" w:hanging="344"/>
        <w:jc w:val="both"/>
        <w:rPr>
          <w:sz w:val="17"/>
        </w:rPr>
      </w:pPr>
      <w:r>
        <w:rPr>
          <w:sz w:val="17"/>
        </w:rPr>
        <w:t>Rasmussen, P.E, and S.L. Albrecht. (1998). Crop management effects on organic carbon in semi-arid Pacific Northwest soils. Pages 209-219 </w:t>
      </w:r>
      <w:r>
        <w:rPr>
          <w:i/>
          <w:sz w:val="17"/>
        </w:rPr>
        <w:t>in </w:t>
      </w:r>
      <w:r>
        <w:rPr>
          <w:sz w:val="17"/>
        </w:rPr>
        <w:t>Lal R., J.M. Kimble, R.F. Follett, and B.A. Stewart, editors. Advances in Soil Science: Management of Carbon Sequestration in Soil. CRC Press. Boca Raton,</w:t>
      </w:r>
      <w:r>
        <w:rPr>
          <w:spacing w:val="-7"/>
          <w:sz w:val="17"/>
        </w:rPr>
        <w:t> </w:t>
      </w:r>
      <w:r>
        <w:rPr>
          <w:spacing w:val="-2"/>
          <w:sz w:val="17"/>
        </w:rPr>
        <w:t>FL.</w:t>
      </w:r>
    </w:p>
    <w:p>
      <w:pPr>
        <w:spacing w:before="119"/>
        <w:ind w:left="1124" w:right="829" w:hanging="344"/>
        <w:jc w:val="both"/>
        <w:rPr>
          <w:sz w:val="17"/>
        </w:rPr>
      </w:pPr>
      <w:r>
        <w:rPr>
          <w:sz w:val="17"/>
        </w:rPr>
        <w:t>Reeder, J.D., G.E. Schuman, and R.A. Bowman. (1998). Soil C and N changes on Conservation Reserve Program lands in the Central Great Plains. Soil and Tillage Research </w:t>
      </w:r>
      <w:r>
        <w:rPr>
          <w:b/>
          <w:sz w:val="17"/>
        </w:rPr>
        <w:t>47</w:t>
      </w:r>
      <w:r>
        <w:rPr>
          <w:sz w:val="17"/>
        </w:rPr>
        <w:t>:339-349.</w:t>
      </w:r>
    </w:p>
    <w:p>
      <w:pPr>
        <w:spacing w:before="120"/>
        <w:ind w:left="1124" w:right="827" w:hanging="344"/>
        <w:jc w:val="both"/>
        <w:rPr>
          <w:sz w:val="17"/>
        </w:rPr>
      </w:pPr>
      <w:r>
        <w:rPr>
          <w:sz w:val="17"/>
        </w:rPr>
        <w:t>Robles, M.D., and I.C. Burke. (1997). Legume, grass, and conservation reserve program effects on soil organic matter recovery. Ecological Applications </w:t>
      </w:r>
      <w:r>
        <w:rPr>
          <w:b/>
          <w:sz w:val="17"/>
        </w:rPr>
        <w:t>7</w:t>
      </w:r>
      <w:r>
        <w:rPr>
          <w:sz w:val="17"/>
        </w:rPr>
        <w:t>:345-357.</w:t>
      </w:r>
    </w:p>
    <w:p>
      <w:pPr>
        <w:spacing w:before="118"/>
        <w:ind w:left="1124" w:right="827" w:hanging="344"/>
        <w:jc w:val="both"/>
        <w:rPr>
          <w:sz w:val="17"/>
        </w:rPr>
      </w:pPr>
      <w:r>
        <w:rPr>
          <w:sz w:val="17"/>
        </w:rPr>
        <w:t>Ross, C.W., and K.A. Hughes. (1985). Maize/oats forage rotation under 3 cultivation systems, 1978-83 2. Soil properties. New Zealand Journal of Agricultural Research </w:t>
      </w:r>
      <w:r>
        <w:rPr>
          <w:b/>
          <w:sz w:val="17"/>
        </w:rPr>
        <w:t>28</w:t>
      </w:r>
      <w:r>
        <w:rPr>
          <w:sz w:val="17"/>
        </w:rPr>
        <w:t>:209-219.</w:t>
      </w:r>
    </w:p>
    <w:p>
      <w:pPr>
        <w:spacing w:before="120"/>
        <w:ind w:left="1124" w:right="829" w:hanging="344"/>
        <w:jc w:val="both"/>
        <w:rPr>
          <w:sz w:val="17"/>
        </w:rPr>
      </w:pPr>
      <w:r>
        <w:rPr>
          <w:sz w:val="17"/>
        </w:rPr>
        <w:t>Sa, J.C.M., C.C. Cerri, W.A. Dick, R. Lal, S.P.V. Filho, M.C. Piccolo, and B.E. Feigl. (2001). Organic matter dynamics and carbon sequestration rates for a tillage chronosequence in a Brazilian Oxisol. Soil Science Society of America Journal</w:t>
      </w:r>
      <w:r>
        <w:rPr>
          <w:spacing w:val="-5"/>
          <w:sz w:val="17"/>
        </w:rPr>
        <w:t> </w:t>
      </w:r>
      <w:r>
        <w:rPr>
          <w:b/>
          <w:sz w:val="17"/>
        </w:rPr>
        <w:t>65</w:t>
      </w:r>
      <w:r>
        <w:rPr>
          <w:sz w:val="17"/>
        </w:rPr>
        <w:t>:1486-1499.</w:t>
      </w:r>
    </w:p>
    <w:p>
      <w:pPr>
        <w:spacing w:before="119"/>
        <w:ind w:left="1124" w:right="829" w:hanging="344"/>
        <w:jc w:val="both"/>
        <w:rPr>
          <w:sz w:val="17"/>
        </w:rPr>
      </w:pPr>
      <w:r>
        <w:rPr>
          <w:sz w:val="17"/>
        </w:rPr>
        <w:t>Saffigna, P.G., D.S. Powlson, P.C. Brookes, and G.A. Thomas. (1989). Influence of sorghum residues and tillage on soil organic matter and soil microbial biomass in an Australian vertisol. Soil Biology and Biochemistry </w:t>
      </w:r>
      <w:r>
        <w:rPr>
          <w:b/>
          <w:sz w:val="17"/>
        </w:rPr>
        <w:t>21</w:t>
      </w:r>
      <w:r>
        <w:rPr>
          <w:sz w:val="17"/>
        </w:rPr>
        <w:t>: 759-765.</w:t>
      </w:r>
    </w:p>
    <w:p>
      <w:pPr>
        <w:spacing w:before="119"/>
        <w:ind w:left="1124" w:right="826" w:hanging="344"/>
        <w:jc w:val="both"/>
        <w:rPr>
          <w:sz w:val="17"/>
        </w:rPr>
      </w:pPr>
      <w:r>
        <w:rPr>
          <w:sz w:val="17"/>
        </w:rPr>
        <w:t>Saggar, S., G.W. Yeates, and T.G. Shepherd. (2001). Cultivation effects on soil biological properties, microfauna and organic matter dynamics in Eutric Gleysol and Gleyic Luvisol soils in New Zealand. Soil and Tillage Research </w:t>
      </w:r>
      <w:r>
        <w:rPr>
          <w:b/>
          <w:sz w:val="17"/>
        </w:rPr>
        <w:t>58</w:t>
      </w:r>
      <w:r>
        <w:rPr>
          <w:sz w:val="17"/>
        </w:rPr>
        <w:t>:55-68.</w:t>
      </w:r>
    </w:p>
    <w:p>
      <w:pPr>
        <w:spacing w:before="122"/>
        <w:ind w:left="1124" w:right="826" w:hanging="344"/>
        <w:jc w:val="both"/>
        <w:rPr>
          <w:sz w:val="17"/>
        </w:rPr>
      </w:pPr>
      <w:r>
        <w:rPr>
          <w:sz w:val="17"/>
        </w:rPr>
        <w:t>Sainju, U.M., B.P. Singh, and W.F. Whitehead. (2002). Long-term effects of tillage, cover crops, and nitrogen fertilization on organic carbon and nitrogen concentrations in sandy loam soils in Georgia, USA. Soil and Tillage Research </w:t>
      </w:r>
      <w:r>
        <w:rPr>
          <w:b/>
          <w:sz w:val="17"/>
        </w:rPr>
        <w:t>63</w:t>
      </w:r>
      <w:r>
        <w:rPr>
          <w:sz w:val="17"/>
        </w:rPr>
        <w:t>:167-179.</w:t>
      </w:r>
    </w:p>
    <w:p>
      <w:pPr>
        <w:spacing w:before="119"/>
        <w:ind w:left="1124" w:right="827" w:hanging="344"/>
        <w:jc w:val="both"/>
        <w:rPr>
          <w:sz w:val="17"/>
        </w:rPr>
      </w:pPr>
      <w:r>
        <w:rPr>
          <w:sz w:val="17"/>
        </w:rPr>
        <w:t>Salinas-Garcia, J.R., F.M. Hons, and J.E. Matocha. (1997). Long-term effects of tillage and fertilization on soil organic matter dynamics. Soil Science Society of America Journal </w:t>
      </w:r>
      <w:r>
        <w:rPr>
          <w:b/>
          <w:sz w:val="17"/>
        </w:rPr>
        <w:t>61</w:t>
      </w:r>
      <w:r>
        <w:rPr>
          <w:sz w:val="17"/>
        </w:rPr>
        <w:t>:152-159.</w:t>
      </w:r>
    </w:p>
    <w:p>
      <w:pPr>
        <w:spacing w:before="120"/>
        <w:ind w:left="1124" w:right="829" w:hanging="344"/>
        <w:jc w:val="both"/>
        <w:rPr>
          <w:sz w:val="17"/>
        </w:rPr>
      </w:pPr>
      <w:r>
        <w:rPr>
          <w:sz w:val="17"/>
        </w:rPr>
        <w:t>Schiffman, P.M., and W.C. Johnson. (1989). Phytomass and detrital carbon storage during forest regrowth in the southeastern United States Piedmont. Canadian Journal of Forest Research </w:t>
      </w:r>
      <w:r>
        <w:rPr>
          <w:b/>
          <w:sz w:val="17"/>
        </w:rPr>
        <w:t>19</w:t>
      </w:r>
      <w:r>
        <w:rPr>
          <w:sz w:val="17"/>
        </w:rPr>
        <w:t>:69-78.</w:t>
      </w:r>
    </w:p>
    <w:p>
      <w:pPr>
        <w:spacing w:after="0"/>
        <w:jc w:val="both"/>
        <w:rPr>
          <w:sz w:val="17"/>
        </w:rPr>
        <w:sectPr>
          <w:pgSz w:w="11900" w:h="16840"/>
          <w:pgMar w:header="230" w:footer="408" w:top="560" w:bottom="600" w:left="1200" w:right="1140"/>
        </w:sectPr>
      </w:pPr>
    </w:p>
    <w:p>
      <w:pPr>
        <w:pStyle w:val="BodyText"/>
      </w:pPr>
    </w:p>
    <w:p>
      <w:pPr>
        <w:pStyle w:val="BodyText"/>
        <w:rPr>
          <w:sz w:val="22"/>
        </w:rPr>
      </w:pPr>
    </w:p>
    <w:p>
      <w:pPr>
        <w:spacing w:before="92"/>
        <w:ind w:left="2206" w:right="0" w:firstLine="0"/>
        <w:jc w:val="left"/>
        <w:rPr>
          <w:b/>
          <w:sz w:val="18"/>
        </w:rPr>
      </w:pPr>
      <w:r>
        <w:rPr/>
        <w:pict>
          <v:group style="position:absolute;margin-left:91.240997pt;margin-top:-1.877356pt;width:412.95pt;height:506.3pt;mso-position-horizontal-relative:page;mso-position-vertical-relative:paragraph;z-index:-2445400" coordorigin="1825,-38" coordsize="8259,10126">
            <v:line style="position:absolute" from="1854,-23" to="10054,-23" stroked="true" strokeweight="1.44pt" strokecolor="#000000">
              <v:stroke dashstyle="solid"/>
            </v:line>
            <v:shape style="position:absolute;left:1839;top:-38;width:8216;height:10126" coordorigin="1839,-38" coordsize="8216,10126" path="m1854,10074l10054,10074m1839,-38l1839,10088e" filled="false" stroked="true" strokeweight="1.44pt" strokecolor="#000000">
              <v:path arrowok="t"/>
              <v:stroke dashstyle="solid"/>
            </v:shape>
            <v:line style="position:absolute" from="10069,-38" to="10069,10088" stroked="true" strokeweight="1.44pt" strokecolor="#000000">
              <v:stroke dashstyle="solid"/>
            </v:line>
            <w10:wrap type="none"/>
          </v:group>
        </w:pict>
      </w:r>
      <w:r>
        <w:rPr>
          <w:b/>
          <w:sz w:val="18"/>
        </w:rPr>
        <w:t>R</w:t>
      </w:r>
      <w:r>
        <w:rPr>
          <w:b/>
          <w:sz w:val="14"/>
        </w:rPr>
        <w:t>EFERENCES USED FOR THE ANALYSIS IN </w:t>
      </w:r>
      <w:r>
        <w:rPr>
          <w:b/>
          <w:sz w:val="18"/>
        </w:rPr>
        <w:t>S</w:t>
      </w:r>
      <w:r>
        <w:rPr>
          <w:b/>
          <w:sz w:val="14"/>
        </w:rPr>
        <w:t>ECTION </w:t>
      </w:r>
      <w:r>
        <w:rPr>
          <w:b/>
          <w:sz w:val="18"/>
        </w:rPr>
        <w:t>3.3.7 (C</w:t>
      </w:r>
      <w:r>
        <w:rPr>
          <w:b/>
          <w:sz w:val="14"/>
        </w:rPr>
        <w:t>ONTINUED</w:t>
      </w:r>
      <w:r>
        <w:rPr>
          <w:b/>
          <w:sz w:val="18"/>
        </w:rPr>
        <w:t>)</w:t>
      </w:r>
    </w:p>
    <w:p>
      <w:pPr>
        <w:spacing w:before="117"/>
        <w:ind w:left="1124" w:right="829" w:hanging="344"/>
        <w:jc w:val="both"/>
        <w:rPr>
          <w:sz w:val="17"/>
        </w:rPr>
      </w:pPr>
      <w:r>
        <w:rPr>
          <w:sz w:val="17"/>
        </w:rPr>
        <w:t>Sidhu, A.S., and H.S. Sur. (1993). Effect of incorporation of legume straw on soil properties and crop yield in a maize-wheat sequence. Tropical Agriculture (Trinidad) </w:t>
      </w:r>
      <w:r>
        <w:rPr>
          <w:b/>
          <w:sz w:val="17"/>
        </w:rPr>
        <w:t>70</w:t>
      </w:r>
      <w:r>
        <w:rPr>
          <w:sz w:val="17"/>
        </w:rPr>
        <w:t>:226-229.</w:t>
      </w:r>
    </w:p>
    <w:p>
      <w:pPr>
        <w:spacing w:before="120"/>
        <w:ind w:left="1124" w:right="826" w:hanging="344"/>
        <w:jc w:val="both"/>
        <w:rPr>
          <w:sz w:val="17"/>
        </w:rPr>
      </w:pPr>
      <w:r>
        <w:rPr>
          <w:sz w:val="17"/>
        </w:rPr>
        <w:t>Six, J., E.T. Elliot, K. Paustian, and J.W. Doran. (1998). Aggregation and soil organic matter accumulation in cultivated and native grassland soils. Soil Science Society of America Journal </w:t>
      </w:r>
      <w:r>
        <w:rPr>
          <w:b/>
          <w:sz w:val="17"/>
        </w:rPr>
        <w:t>62</w:t>
      </w:r>
      <w:r>
        <w:rPr>
          <w:sz w:val="17"/>
        </w:rPr>
        <w:t>:1367-1377.</w:t>
      </w:r>
    </w:p>
    <w:p>
      <w:pPr>
        <w:spacing w:before="118"/>
        <w:ind w:left="1124" w:right="830" w:hanging="344"/>
        <w:jc w:val="both"/>
        <w:rPr>
          <w:sz w:val="17"/>
        </w:rPr>
      </w:pPr>
      <w:r>
        <w:rPr>
          <w:sz w:val="17"/>
        </w:rPr>
        <w:t>Six, J., K. Paustian, E.T. Elliott, and C. Combrink. (2000). Soil structure and organic matter: I. Distribution of aggregate-size classes and aggregate-associated carbon. Soil Science Society of America Journal </w:t>
      </w:r>
      <w:r>
        <w:rPr>
          <w:b/>
          <w:sz w:val="17"/>
        </w:rPr>
        <w:t>64</w:t>
      </w:r>
      <w:r>
        <w:rPr>
          <w:sz w:val="17"/>
        </w:rPr>
        <w:t>:681-689</w:t>
      </w:r>
    </w:p>
    <w:p>
      <w:pPr>
        <w:spacing w:before="120"/>
        <w:ind w:left="1124" w:right="830" w:hanging="344"/>
        <w:jc w:val="both"/>
        <w:rPr>
          <w:sz w:val="17"/>
        </w:rPr>
      </w:pPr>
      <w:r>
        <w:rPr>
          <w:sz w:val="17"/>
        </w:rPr>
        <w:t>Slobodian, N., K. Van Rees, and D. Pennock. (2002). Cultivation-induced effects on belowground biomass and organic carbon. Soil Science Society of America Journal </w:t>
      </w:r>
      <w:r>
        <w:rPr>
          <w:b/>
          <w:sz w:val="17"/>
        </w:rPr>
        <w:t>66</w:t>
      </w:r>
      <w:r>
        <w:rPr>
          <w:sz w:val="17"/>
        </w:rPr>
        <w:t>:924-930.</w:t>
      </w:r>
    </w:p>
    <w:p>
      <w:pPr>
        <w:spacing w:before="121"/>
        <w:ind w:left="1124" w:right="825" w:hanging="344"/>
        <w:jc w:val="both"/>
        <w:rPr>
          <w:sz w:val="17"/>
        </w:rPr>
      </w:pPr>
      <w:r>
        <w:rPr>
          <w:sz w:val="17"/>
        </w:rPr>
        <w:t>Solomon, D., F. Fritzsche, J. Lehmann, M. Tekalign, and W. Zech. (2002). Soil organic matter dynamics in the subhumid agroecosystems of the Ethiopian Highlands: evidence from natural 13C abundance and particle-size fractionation. Soil Science Society of America Journal </w:t>
      </w:r>
      <w:r>
        <w:rPr>
          <w:b/>
          <w:sz w:val="17"/>
        </w:rPr>
        <w:t>66</w:t>
      </w:r>
      <w:r>
        <w:rPr>
          <w:sz w:val="17"/>
        </w:rPr>
        <w:t>: 969-978.</w:t>
      </w:r>
    </w:p>
    <w:p>
      <w:pPr>
        <w:spacing w:before="119"/>
        <w:ind w:left="1124" w:right="830" w:hanging="344"/>
        <w:jc w:val="both"/>
        <w:rPr>
          <w:sz w:val="17"/>
        </w:rPr>
      </w:pPr>
      <w:r>
        <w:rPr>
          <w:sz w:val="17"/>
        </w:rPr>
        <w:t>Sparling, G.P., L.A. Schipper, A.E. Hewitt, and B.P. Degens. (2000). Resistance to cropping pressure of two New Zealand soils with contrasting mineralogy. Australian Journal of Soil Research </w:t>
      </w:r>
      <w:r>
        <w:rPr>
          <w:b/>
          <w:sz w:val="17"/>
        </w:rPr>
        <w:t>38</w:t>
      </w:r>
      <w:r>
        <w:rPr>
          <w:sz w:val="17"/>
        </w:rPr>
        <w:t>:85-100.</w:t>
      </w:r>
    </w:p>
    <w:p>
      <w:pPr>
        <w:spacing w:before="120"/>
        <w:ind w:left="1124" w:right="830" w:hanging="344"/>
        <w:jc w:val="both"/>
        <w:rPr>
          <w:sz w:val="17"/>
        </w:rPr>
      </w:pPr>
      <w:r>
        <w:rPr>
          <w:sz w:val="17"/>
        </w:rPr>
        <w:t>Stenberg, M., B. Stenberg, and T. Rydberg. (2000). Effects of reduced tillage and liming on microbial activity and soil properties in a weakly-structured soil. Applied Soil Ecology </w:t>
      </w:r>
      <w:r>
        <w:rPr>
          <w:b/>
          <w:sz w:val="17"/>
        </w:rPr>
        <w:t>14</w:t>
      </w:r>
      <w:r>
        <w:rPr>
          <w:sz w:val="17"/>
        </w:rPr>
        <w:t>:135-145.</w:t>
      </w:r>
    </w:p>
    <w:p>
      <w:pPr>
        <w:spacing w:before="120"/>
        <w:ind w:left="1124" w:right="827" w:hanging="344"/>
        <w:jc w:val="both"/>
        <w:rPr>
          <w:sz w:val="17"/>
        </w:rPr>
      </w:pPr>
      <w:r>
        <w:rPr>
          <w:spacing w:val="-3"/>
          <w:sz w:val="17"/>
        </w:rPr>
        <w:t>Taboada, M.A., F.G. Micucci, </w:t>
      </w:r>
      <w:r>
        <w:rPr>
          <w:spacing w:val="-4"/>
          <w:sz w:val="17"/>
        </w:rPr>
        <w:t>D.J. </w:t>
      </w:r>
      <w:r>
        <w:rPr>
          <w:spacing w:val="-3"/>
          <w:sz w:val="17"/>
        </w:rPr>
        <w:t>Cosentino, </w:t>
      </w:r>
      <w:r>
        <w:rPr>
          <w:sz w:val="17"/>
        </w:rPr>
        <w:t>and </w:t>
      </w:r>
      <w:r>
        <w:rPr>
          <w:spacing w:val="-3"/>
          <w:sz w:val="17"/>
        </w:rPr>
        <w:t>R.S. Lavado. </w:t>
      </w:r>
      <w:r>
        <w:rPr>
          <w:sz w:val="17"/>
        </w:rPr>
        <w:t>(1998). </w:t>
      </w:r>
      <w:r>
        <w:rPr>
          <w:spacing w:val="-3"/>
          <w:sz w:val="17"/>
        </w:rPr>
        <w:t>Comparison </w:t>
      </w:r>
      <w:r>
        <w:rPr>
          <w:sz w:val="17"/>
        </w:rPr>
        <w:t>of </w:t>
      </w:r>
      <w:r>
        <w:rPr>
          <w:spacing w:val="-3"/>
          <w:sz w:val="17"/>
        </w:rPr>
        <w:t>compaction induced </w:t>
      </w:r>
      <w:r>
        <w:rPr>
          <w:sz w:val="17"/>
        </w:rPr>
        <w:t>by </w:t>
      </w:r>
      <w:r>
        <w:rPr>
          <w:spacing w:val="-3"/>
          <w:sz w:val="17"/>
        </w:rPr>
        <w:t>conventional </w:t>
      </w:r>
      <w:r>
        <w:rPr>
          <w:sz w:val="17"/>
        </w:rPr>
        <w:t>and zero tillage in two soils of </w:t>
      </w:r>
      <w:r>
        <w:rPr>
          <w:spacing w:val="-2"/>
          <w:sz w:val="17"/>
        </w:rPr>
        <w:t>the </w:t>
      </w:r>
      <w:r>
        <w:rPr>
          <w:sz w:val="17"/>
        </w:rPr>
        <w:t>Rolling </w:t>
      </w:r>
      <w:r>
        <w:rPr>
          <w:spacing w:val="-3"/>
          <w:sz w:val="17"/>
        </w:rPr>
        <w:t>Pampa </w:t>
      </w:r>
      <w:r>
        <w:rPr>
          <w:sz w:val="17"/>
        </w:rPr>
        <w:t>of </w:t>
      </w:r>
      <w:r>
        <w:rPr>
          <w:spacing w:val="-3"/>
          <w:sz w:val="17"/>
        </w:rPr>
        <w:t>Argentina. Soil </w:t>
      </w:r>
      <w:r>
        <w:rPr>
          <w:spacing w:val="-2"/>
          <w:sz w:val="17"/>
        </w:rPr>
        <w:t>and</w:t>
      </w:r>
      <w:r>
        <w:rPr>
          <w:spacing w:val="-3"/>
          <w:sz w:val="17"/>
        </w:rPr>
        <w:t> Tillage Research </w:t>
      </w:r>
      <w:r>
        <w:rPr>
          <w:b/>
          <w:spacing w:val="-3"/>
          <w:sz w:val="17"/>
        </w:rPr>
        <w:t>49</w:t>
      </w:r>
      <w:r>
        <w:rPr>
          <w:spacing w:val="-3"/>
          <w:sz w:val="17"/>
        </w:rPr>
        <w:t>:57-63.</w:t>
      </w:r>
    </w:p>
    <w:p>
      <w:pPr>
        <w:spacing w:before="118"/>
        <w:ind w:left="1124" w:right="827" w:hanging="344"/>
        <w:jc w:val="both"/>
        <w:rPr>
          <w:sz w:val="17"/>
        </w:rPr>
      </w:pPr>
      <w:r>
        <w:rPr>
          <w:sz w:val="17"/>
        </w:rPr>
        <w:t>Tiessen, H., J.W.B. Stewart, and J.R. Bettany. (1982). Cultivation effects on the amounts and concentration of carbon, nitrogen, and phosphorus in grassland soils. Agronomy Journal </w:t>
      </w:r>
      <w:r>
        <w:rPr>
          <w:b/>
          <w:sz w:val="17"/>
        </w:rPr>
        <w:t>74</w:t>
      </w:r>
      <w:r>
        <w:rPr>
          <w:sz w:val="17"/>
        </w:rPr>
        <w:t>:831-835.</w:t>
      </w:r>
    </w:p>
    <w:p>
      <w:pPr>
        <w:spacing w:before="120"/>
        <w:ind w:left="1124" w:right="825" w:hanging="344"/>
        <w:jc w:val="both"/>
        <w:rPr>
          <w:sz w:val="17"/>
        </w:rPr>
      </w:pPr>
      <w:r>
        <w:rPr>
          <w:sz w:val="17"/>
        </w:rPr>
        <w:t>Unger PW. (2001). Total carbon, aggregation, bulk density, and penetration resistance of cropland and nearby grassland soils. Pages 77-92 </w:t>
      </w:r>
      <w:r>
        <w:rPr>
          <w:i/>
          <w:sz w:val="17"/>
        </w:rPr>
        <w:t>in</w:t>
      </w:r>
      <w:r>
        <w:rPr>
          <w:sz w:val="17"/>
        </w:rPr>
        <w:t>: R. Lal (ed.). Soil carbon sequestration and the greenhouse effect. SSSA Special Publication No. 57, Madison, WI.</w:t>
      </w:r>
    </w:p>
    <w:p>
      <w:pPr>
        <w:spacing w:before="122"/>
        <w:ind w:left="1124" w:right="828" w:hanging="344"/>
        <w:jc w:val="both"/>
        <w:rPr>
          <w:sz w:val="17"/>
        </w:rPr>
      </w:pPr>
      <w:r>
        <w:rPr>
          <w:sz w:val="17"/>
        </w:rPr>
        <w:t>Voroney, R.P., J.A. Van Veen, and E.A. Paul. (1981). Organic C dynamics in grassland soils. 2. Model validation and simulation of the long-term effects of cultivation and rainfall erosion. Canadian Journal of Soil Science </w:t>
      </w:r>
      <w:r>
        <w:rPr>
          <w:b/>
          <w:sz w:val="17"/>
        </w:rPr>
        <w:t>61</w:t>
      </w:r>
      <w:r>
        <w:rPr>
          <w:sz w:val="17"/>
        </w:rPr>
        <w:t>:211-224.</w:t>
      </w:r>
    </w:p>
    <w:p>
      <w:pPr>
        <w:spacing w:before="119"/>
        <w:ind w:left="1124" w:right="826" w:hanging="344"/>
        <w:jc w:val="both"/>
        <w:rPr>
          <w:sz w:val="17"/>
        </w:rPr>
      </w:pPr>
      <w:r>
        <w:rPr>
          <w:sz w:val="17"/>
        </w:rPr>
        <w:t>Wander, M.M., M.G. Bidart, and S. Aref. (1998). Tillage impacts on depth distribution of total and particulate organic matter in three Illinois soils. Soil Science Society of America Journal </w:t>
      </w:r>
      <w:r>
        <w:rPr>
          <w:b/>
          <w:sz w:val="17"/>
        </w:rPr>
        <w:t>62</w:t>
      </w:r>
      <w:r>
        <w:rPr>
          <w:sz w:val="17"/>
        </w:rPr>
        <w:t>:1704-1711.</w:t>
      </w:r>
    </w:p>
    <w:p>
      <w:pPr>
        <w:spacing w:before="118"/>
        <w:ind w:left="1124" w:right="828" w:hanging="344"/>
        <w:jc w:val="both"/>
        <w:rPr>
          <w:sz w:val="17"/>
        </w:rPr>
      </w:pPr>
      <w:r>
        <w:rPr>
          <w:sz w:val="17"/>
        </w:rPr>
        <w:t>Wanniarachchi SD, Voroney RP, Vyn TJ, Beyaert RP, MacKenzie AF. (1999). Tillage effects on the dynamics of total and corn-residue-derived soil organic matter in two southern Ontario soils. Canadian Journal of Soil Science </w:t>
      </w:r>
      <w:r>
        <w:rPr>
          <w:b/>
          <w:sz w:val="17"/>
        </w:rPr>
        <w:t>79</w:t>
      </w:r>
      <w:r>
        <w:rPr>
          <w:sz w:val="17"/>
        </w:rPr>
        <w:t>: 473-480.</w:t>
      </w:r>
    </w:p>
    <w:p>
      <w:pPr>
        <w:spacing w:before="121"/>
        <w:ind w:left="1124" w:right="829" w:hanging="344"/>
        <w:jc w:val="both"/>
        <w:rPr>
          <w:sz w:val="17"/>
        </w:rPr>
      </w:pPr>
      <w:r>
        <w:rPr>
          <w:sz w:val="17"/>
        </w:rPr>
        <w:t>Westerhof, R., L. Vilela, M. Azarza, and W. Zech. (1998). Land use effects on labile N extracted with permanganate and</w:t>
      </w:r>
      <w:r>
        <w:rPr>
          <w:spacing w:val="-4"/>
          <w:sz w:val="17"/>
        </w:rPr>
        <w:t> </w:t>
      </w:r>
      <w:r>
        <w:rPr>
          <w:sz w:val="17"/>
        </w:rPr>
        <w:t>the</w:t>
      </w:r>
      <w:r>
        <w:rPr>
          <w:spacing w:val="-3"/>
          <w:sz w:val="17"/>
        </w:rPr>
        <w:t> </w:t>
      </w:r>
      <w:r>
        <w:rPr>
          <w:sz w:val="17"/>
        </w:rPr>
        <w:t>nitrogen</w:t>
      </w:r>
      <w:r>
        <w:rPr>
          <w:spacing w:val="-2"/>
          <w:sz w:val="17"/>
        </w:rPr>
        <w:t> </w:t>
      </w:r>
      <w:r>
        <w:rPr>
          <w:sz w:val="17"/>
        </w:rPr>
        <w:t>management</w:t>
      </w:r>
      <w:r>
        <w:rPr>
          <w:spacing w:val="-1"/>
          <w:sz w:val="17"/>
        </w:rPr>
        <w:t> </w:t>
      </w:r>
      <w:r>
        <w:rPr>
          <w:sz w:val="17"/>
        </w:rPr>
        <w:t>index</w:t>
      </w:r>
      <w:r>
        <w:rPr>
          <w:spacing w:val="-1"/>
          <w:sz w:val="17"/>
        </w:rPr>
        <w:t> </w:t>
      </w:r>
      <w:r>
        <w:rPr>
          <w:sz w:val="17"/>
        </w:rPr>
        <w:t>in</w:t>
      </w:r>
      <w:r>
        <w:rPr>
          <w:spacing w:val="-4"/>
          <w:sz w:val="17"/>
        </w:rPr>
        <w:t> </w:t>
      </w:r>
      <w:r>
        <w:rPr>
          <w:sz w:val="17"/>
        </w:rPr>
        <w:t>the</w:t>
      </w:r>
      <w:r>
        <w:rPr>
          <w:spacing w:val="-3"/>
          <w:sz w:val="17"/>
        </w:rPr>
        <w:t> </w:t>
      </w:r>
      <w:r>
        <w:rPr>
          <w:sz w:val="17"/>
        </w:rPr>
        <w:t>Cerrado</w:t>
      </w:r>
      <w:r>
        <w:rPr>
          <w:spacing w:val="-4"/>
          <w:sz w:val="17"/>
        </w:rPr>
        <w:t> </w:t>
      </w:r>
      <w:r>
        <w:rPr>
          <w:sz w:val="17"/>
        </w:rPr>
        <w:t>region</w:t>
      </w:r>
      <w:r>
        <w:rPr>
          <w:spacing w:val="-3"/>
          <w:sz w:val="17"/>
        </w:rPr>
        <w:t> </w:t>
      </w:r>
      <w:r>
        <w:rPr>
          <w:sz w:val="17"/>
        </w:rPr>
        <w:t>of</w:t>
      </w:r>
      <w:r>
        <w:rPr>
          <w:spacing w:val="-1"/>
          <w:sz w:val="17"/>
        </w:rPr>
        <w:t> </w:t>
      </w:r>
      <w:r>
        <w:rPr>
          <w:sz w:val="17"/>
        </w:rPr>
        <w:t>Brazil.</w:t>
      </w:r>
      <w:r>
        <w:rPr>
          <w:spacing w:val="-4"/>
          <w:sz w:val="17"/>
        </w:rPr>
        <w:t> </w:t>
      </w:r>
      <w:r>
        <w:rPr>
          <w:sz w:val="17"/>
        </w:rPr>
        <w:t>Biology</w:t>
      </w:r>
      <w:r>
        <w:rPr>
          <w:spacing w:val="-5"/>
          <w:sz w:val="17"/>
        </w:rPr>
        <w:t> </w:t>
      </w:r>
      <w:r>
        <w:rPr>
          <w:sz w:val="17"/>
        </w:rPr>
        <w:t>and</w:t>
      </w:r>
      <w:r>
        <w:rPr>
          <w:spacing w:val="-3"/>
          <w:sz w:val="17"/>
        </w:rPr>
        <w:t> </w:t>
      </w:r>
      <w:r>
        <w:rPr>
          <w:sz w:val="17"/>
        </w:rPr>
        <w:t>Fertility</w:t>
      </w:r>
      <w:r>
        <w:rPr>
          <w:spacing w:val="-5"/>
          <w:sz w:val="17"/>
        </w:rPr>
        <w:t> </w:t>
      </w:r>
      <w:r>
        <w:rPr>
          <w:sz w:val="17"/>
        </w:rPr>
        <w:t>of</w:t>
      </w:r>
      <w:r>
        <w:rPr>
          <w:spacing w:val="-2"/>
          <w:sz w:val="17"/>
        </w:rPr>
        <w:t> </w:t>
      </w:r>
      <w:r>
        <w:rPr>
          <w:sz w:val="17"/>
        </w:rPr>
        <w:t>Soils</w:t>
      </w:r>
      <w:r>
        <w:rPr>
          <w:spacing w:val="-2"/>
          <w:sz w:val="17"/>
        </w:rPr>
        <w:t> </w:t>
      </w:r>
      <w:r>
        <w:rPr>
          <w:b/>
          <w:sz w:val="17"/>
        </w:rPr>
        <w:t>27</w:t>
      </w:r>
      <w:r>
        <w:rPr>
          <w:sz w:val="17"/>
        </w:rPr>
        <w:t>:353-357.</w:t>
      </w:r>
    </w:p>
    <w:p>
      <w:pPr>
        <w:spacing w:before="121"/>
        <w:ind w:left="1124" w:right="828" w:hanging="344"/>
        <w:jc w:val="both"/>
        <w:rPr>
          <w:sz w:val="17"/>
        </w:rPr>
      </w:pPr>
      <w:r>
        <w:rPr>
          <w:spacing w:val="-3"/>
          <w:sz w:val="17"/>
        </w:rPr>
        <w:t>Yang, X.M., </w:t>
      </w:r>
      <w:r>
        <w:rPr>
          <w:spacing w:val="-2"/>
          <w:sz w:val="17"/>
        </w:rPr>
        <w:t>and </w:t>
      </w:r>
      <w:r>
        <w:rPr>
          <w:sz w:val="17"/>
        </w:rPr>
        <w:t>B.D. </w:t>
      </w:r>
      <w:r>
        <w:rPr>
          <w:spacing w:val="-3"/>
          <w:sz w:val="17"/>
        </w:rPr>
        <w:t>Kay. </w:t>
      </w:r>
      <w:r>
        <w:rPr>
          <w:sz w:val="17"/>
        </w:rPr>
        <w:t>(2001). </w:t>
      </w:r>
      <w:r>
        <w:rPr>
          <w:spacing w:val="-3"/>
          <w:sz w:val="17"/>
        </w:rPr>
        <w:t>Impacts </w:t>
      </w:r>
      <w:r>
        <w:rPr>
          <w:sz w:val="17"/>
        </w:rPr>
        <w:t>of tillage </w:t>
      </w:r>
      <w:r>
        <w:rPr>
          <w:spacing w:val="-2"/>
          <w:sz w:val="17"/>
        </w:rPr>
        <w:t>practices </w:t>
      </w:r>
      <w:r>
        <w:rPr>
          <w:sz w:val="17"/>
        </w:rPr>
        <w:t>on </w:t>
      </w:r>
      <w:r>
        <w:rPr>
          <w:spacing w:val="-2"/>
          <w:sz w:val="17"/>
        </w:rPr>
        <w:t>total, </w:t>
      </w:r>
      <w:r>
        <w:rPr>
          <w:spacing w:val="-3"/>
          <w:sz w:val="17"/>
        </w:rPr>
        <w:t>loose- </w:t>
      </w:r>
      <w:r>
        <w:rPr>
          <w:sz w:val="17"/>
        </w:rPr>
        <w:t>and </w:t>
      </w:r>
      <w:r>
        <w:rPr>
          <w:spacing w:val="-3"/>
          <w:sz w:val="17"/>
        </w:rPr>
        <w:t>occluded-particulate, </w:t>
      </w:r>
      <w:r>
        <w:rPr>
          <w:spacing w:val="-2"/>
          <w:sz w:val="17"/>
        </w:rPr>
        <w:t>and </w:t>
      </w:r>
      <w:r>
        <w:rPr>
          <w:spacing w:val="-3"/>
          <w:sz w:val="17"/>
        </w:rPr>
        <w:t>humified organic</w:t>
      </w:r>
      <w:r>
        <w:rPr>
          <w:spacing w:val="-2"/>
          <w:sz w:val="17"/>
        </w:rPr>
        <w:t> carbon</w:t>
      </w:r>
      <w:r>
        <w:rPr>
          <w:spacing w:val="-5"/>
          <w:sz w:val="17"/>
        </w:rPr>
        <w:t> </w:t>
      </w:r>
      <w:r>
        <w:rPr>
          <w:spacing w:val="-3"/>
          <w:sz w:val="17"/>
        </w:rPr>
        <w:t>fractions </w:t>
      </w:r>
      <w:r>
        <w:rPr>
          <w:sz w:val="17"/>
        </w:rPr>
        <w:t>in</w:t>
      </w:r>
      <w:r>
        <w:rPr>
          <w:spacing w:val="-5"/>
          <w:sz w:val="17"/>
        </w:rPr>
        <w:t> </w:t>
      </w:r>
      <w:r>
        <w:rPr>
          <w:sz w:val="17"/>
        </w:rPr>
        <w:t>soils</w:t>
      </w:r>
      <w:r>
        <w:rPr>
          <w:spacing w:val="-3"/>
          <w:sz w:val="17"/>
        </w:rPr>
        <w:t> within</w:t>
      </w:r>
      <w:r>
        <w:rPr>
          <w:spacing w:val="-5"/>
          <w:sz w:val="17"/>
        </w:rPr>
        <w:t> </w:t>
      </w:r>
      <w:r>
        <w:rPr>
          <w:sz w:val="17"/>
        </w:rPr>
        <w:t>a</w:t>
      </w:r>
      <w:r>
        <w:rPr>
          <w:spacing w:val="-2"/>
          <w:sz w:val="17"/>
        </w:rPr>
        <w:t> </w:t>
      </w:r>
      <w:r>
        <w:rPr>
          <w:sz w:val="17"/>
        </w:rPr>
        <w:t>field</w:t>
      </w:r>
      <w:r>
        <w:rPr>
          <w:spacing w:val="-5"/>
          <w:sz w:val="17"/>
        </w:rPr>
        <w:t> </w:t>
      </w:r>
      <w:r>
        <w:rPr>
          <w:sz w:val="17"/>
        </w:rPr>
        <w:t>in</w:t>
      </w:r>
      <w:r>
        <w:rPr>
          <w:spacing w:val="-5"/>
          <w:sz w:val="17"/>
        </w:rPr>
        <w:t> </w:t>
      </w:r>
      <w:r>
        <w:rPr>
          <w:spacing w:val="-3"/>
          <w:sz w:val="17"/>
        </w:rPr>
        <w:t>southern</w:t>
      </w:r>
      <w:r>
        <w:rPr>
          <w:spacing w:val="-5"/>
          <w:sz w:val="17"/>
        </w:rPr>
        <w:t> </w:t>
      </w:r>
      <w:r>
        <w:rPr>
          <w:spacing w:val="-3"/>
          <w:sz w:val="17"/>
        </w:rPr>
        <w:t>Ontario. Canadian</w:t>
      </w:r>
      <w:r>
        <w:rPr>
          <w:spacing w:val="-5"/>
          <w:sz w:val="17"/>
        </w:rPr>
        <w:t> </w:t>
      </w:r>
      <w:r>
        <w:rPr>
          <w:spacing w:val="-3"/>
          <w:sz w:val="17"/>
        </w:rPr>
        <w:t>Journal </w:t>
      </w:r>
      <w:r>
        <w:rPr>
          <w:sz w:val="17"/>
        </w:rPr>
        <w:t>of</w:t>
      </w:r>
      <w:r>
        <w:rPr>
          <w:spacing w:val="-3"/>
          <w:sz w:val="17"/>
        </w:rPr>
        <w:t> </w:t>
      </w:r>
      <w:r>
        <w:rPr>
          <w:sz w:val="17"/>
        </w:rPr>
        <w:t>Soil</w:t>
      </w:r>
      <w:r>
        <w:rPr>
          <w:spacing w:val="-3"/>
          <w:sz w:val="17"/>
        </w:rPr>
        <w:t> Science</w:t>
      </w:r>
      <w:r>
        <w:rPr>
          <w:spacing w:val="-5"/>
          <w:sz w:val="17"/>
        </w:rPr>
        <w:t> </w:t>
      </w:r>
      <w:r>
        <w:rPr>
          <w:b/>
          <w:sz w:val="17"/>
        </w:rPr>
        <w:t>81</w:t>
      </w:r>
      <w:r>
        <w:rPr>
          <w:sz w:val="17"/>
        </w:rPr>
        <w:t>:</w:t>
      </w:r>
      <w:r>
        <w:rPr>
          <w:spacing w:val="-3"/>
          <w:sz w:val="17"/>
        </w:rPr>
        <w:t> 149-156.</w:t>
      </w:r>
    </w:p>
    <w:p>
      <w:pPr>
        <w:spacing w:before="118"/>
        <w:ind w:left="1124" w:right="826" w:hanging="344"/>
        <w:jc w:val="both"/>
        <w:rPr>
          <w:sz w:val="17"/>
        </w:rPr>
      </w:pPr>
      <w:r>
        <w:rPr>
          <w:sz w:val="17"/>
        </w:rPr>
        <w:t>Yang, X.M., and M.M. Wander. (1999). Tillage effects on soil organic carbon distribution and storage in a silt loam soil in Illinois. Soil and Tillage Research </w:t>
      </w:r>
      <w:r>
        <w:rPr>
          <w:b/>
          <w:sz w:val="17"/>
        </w:rPr>
        <w:t>52</w:t>
      </w:r>
      <w:r>
        <w:rPr>
          <w:sz w:val="17"/>
        </w:rPr>
        <w:t>:1-9.</w:t>
      </w:r>
    </w:p>
    <w:p>
      <w:pPr>
        <w:spacing w:before="120"/>
        <w:ind w:left="1124" w:right="825" w:hanging="344"/>
        <w:jc w:val="both"/>
        <w:rPr>
          <w:sz w:val="17"/>
        </w:rPr>
      </w:pPr>
      <w:r>
        <w:rPr>
          <w:sz w:val="17"/>
        </w:rPr>
        <w:t>Zhang, H., M.L. Thompson, and J.A. Sandor. (1988). Compositional differences in organic matter among cultivated and uncultivated Argiudolls and Hapludalfs derived from loess. Soil Science Society of America Journal </w:t>
      </w:r>
      <w:r>
        <w:rPr>
          <w:b/>
          <w:sz w:val="17"/>
        </w:rPr>
        <w:t>52</w:t>
      </w:r>
      <w:r>
        <w:rPr>
          <w:sz w:val="17"/>
        </w:rPr>
        <w:t>:216-222.</w:t>
      </w:r>
    </w:p>
    <w:p>
      <w:pPr>
        <w:spacing w:after="0"/>
        <w:jc w:val="both"/>
        <w:rPr>
          <w:sz w:val="17"/>
        </w:rPr>
        <w:sectPr>
          <w:pgSz w:w="11900" w:h="16840"/>
          <w:pgMar w:header="230" w:footer="408" w:top="560" w:bottom="600" w:left="1200" w:right="1140"/>
        </w:sectPr>
      </w:pPr>
    </w:p>
    <w:p>
      <w:pPr>
        <w:pStyle w:val="BodyText"/>
        <w:spacing w:before="4"/>
        <w:rPr>
          <w:sz w:val="17"/>
        </w:rPr>
      </w:pPr>
    </w:p>
    <w:p>
      <w:pPr>
        <w:spacing w:after="0"/>
        <w:rPr>
          <w:sz w:val="17"/>
        </w:rPr>
        <w:sectPr>
          <w:headerReference w:type="default" r:id="rId134"/>
          <w:footerReference w:type="default" r:id="rId135"/>
          <w:pgSz w:w="11900" w:h="16840"/>
          <w:pgMar w:header="0" w:footer="0" w:top="1600" w:bottom="280" w:left="1200" w:right="1140"/>
        </w:sectPr>
      </w:pPr>
    </w:p>
    <w:p>
      <w:pPr>
        <w:pStyle w:val="BodyText"/>
      </w:pPr>
    </w:p>
    <w:p>
      <w:pPr>
        <w:pStyle w:val="BodyText"/>
      </w:pPr>
    </w:p>
    <w:p>
      <w:pPr>
        <w:pStyle w:val="Heading2"/>
        <w:numPr>
          <w:ilvl w:val="1"/>
          <w:numId w:val="68"/>
        </w:numPr>
        <w:tabs>
          <w:tab w:pos="1422" w:val="left" w:leader="none"/>
        </w:tabs>
        <w:spacing w:line="240" w:lineRule="auto" w:before="225" w:after="0"/>
        <w:ind w:left="1421" w:right="0" w:hanging="1202"/>
        <w:jc w:val="both"/>
      </w:pPr>
      <w:r>
        <w:rPr>
          <w:spacing w:val="18"/>
        </w:rPr>
        <w:t>GRASSLAND</w:t>
      </w:r>
    </w:p>
    <w:p>
      <w:pPr>
        <w:pStyle w:val="BodyText"/>
        <w:spacing w:before="176"/>
        <w:ind w:left="219" w:right="263"/>
        <w:jc w:val="both"/>
      </w:pPr>
      <w:r>
        <w:rPr/>
        <w:t>Grassland as defined in Chapter 2 covers about one-quarter of the earth’s land surface (Ojima </w:t>
      </w:r>
      <w:r>
        <w:rPr>
          <w:i/>
        </w:rPr>
        <w:t>et al.</w:t>
      </w:r>
      <w:r>
        <w:rPr/>
        <w:t>, 1993) and span a range of climate conditions from arid to humid. Grasslands can vary greatly in their degree and intensity of management, from extensively managed rangelands and savannahs – where animal stocking rates and fire regimes are the main management variables – to intensively managed (e.g. with fertilization, irrigation, species changes) continuous pasture and hay land. Grasslands generally have a vegetation dominated by perennial grasses, with grazing as the predominant land use, and are distinguished from “forest” by having a tree canopy cover of less than the threshold used in the forest</w:t>
      </w:r>
      <w:r>
        <w:rPr>
          <w:spacing w:val="-5"/>
        </w:rPr>
        <w:t> </w:t>
      </w:r>
      <w:r>
        <w:rPr/>
        <w:t>definition.</w:t>
      </w:r>
    </w:p>
    <w:p>
      <w:pPr>
        <w:pStyle w:val="BodyText"/>
        <w:spacing w:before="120"/>
        <w:ind w:left="219" w:right="263"/>
        <w:jc w:val="both"/>
      </w:pPr>
      <w:r>
        <w:rPr/>
        <w:t>Belowground carbon dominates in grassland, mainly in roots and soil organic matter. For a given climate regime, grassland often has higher soil carbon contents than other vegetation types. Grazing and fire are common perturbations that grassland has evolved with; consequently both the vegetation and soil carbon are relatively resistant to moderate disturbances from grazing and fire regimes (Milchunas and Lauenroth, 1993). In many grasslands, the presence of fire is a key factor in preventing the invasion of woody species which can significantly affect ecosystem carbon stores (Jackson </w:t>
      </w:r>
      <w:r>
        <w:rPr>
          <w:i/>
        </w:rPr>
        <w:t>et al.</w:t>
      </w:r>
      <w:r>
        <w:rPr/>
        <w:t>, 2002).</w:t>
      </w:r>
    </w:p>
    <w:p>
      <w:pPr>
        <w:pStyle w:val="BodyText"/>
        <w:spacing w:before="118"/>
        <w:ind w:left="219" w:right="267"/>
        <w:jc w:val="both"/>
      </w:pPr>
      <w:r>
        <w:rPr/>
        <w:t>The Revised 1996 IPCC Guidelines for National Greenhouse Gas Inventories (</w:t>
      </w:r>
      <w:r>
        <w:rPr>
          <w:i/>
        </w:rPr>
        <w:t>IPCC Guidelines</w:t>
      </w:r>
      <w:r>
        <w:rPr/>
        <w:t>) deal with biomass and soil carbon stock changes for land-use conversions between grassland and other land uses (e.g., cropland), soil carbon stock changes due to management changes between improved and unimproved pasture, and CO</w:t>
      </w:r>
      <w:r>
        <w:rPr>
          <w:vertAlign w:val="subscript"/>
        </w:rPr>
        <w:t>2</w:t>
      </w:r>
      <w:r>
        <w:rPr>
          <w:vertAlign w:val="baseline"/>
        </w:rPr>
        <w:t> emissions for wetlands that are drained and from liming of pasture.</w:t>
      </w:r>
    </w:p>
    <w:p>
      <w:pPr>
        <w:spacing w:before="122"/>
        <w:ind w:left="219" w:right="0" w:firstLine="0"/>
        <w:jc w:val="both"/>
        <w:rPr>
          <w:sz w:val="20"/>
        </w:rPr>
      </w:pPr>
      <w:r>
        <w:rPr>
          <w:sz w:val="20"/>
        </w:rPr>
        <w:t>This report complements the </w:t>
      </w:r>
      <w:r>
        <w:rPr>
          <w:i/>
          <w:sz w:val="20"/>
        </w:rPr>
        <w:t>IPCC Guidelines </w:t>
      </w:r>
      <w:r>
        <w:rPr>
          <w:sz w:val="20"/>
        </w:rPr>
        <w:t>by:</w:t>
      </w:r>
    </w:p>
    <w:p>
      <w:pPr>
        <w:pStyle w:val="BodyText"/>
        <w:tabs>
          <w:tab w:pos="579" w:val="left" w:leader="none"/>
        </w:tabs>
        <w:spacing w:line="223" w:lineRule="auto" w:before="146"/>
        <w:ind w:left="559" w:right="354" w:hanging="341"/>
      </w:pPr>
      <w:r>
        <w:rPr>
          <w:rFonts w:ascii="Symbol" w:hAnsi="Symbol"/>
        </w:rPr>
        <w:t>•</w:t>
        <w:tab/>
        <w:tab/>
      </w:r>
      <w:r>
        <w:rPr/>
        <w:t>Elaborating on the methodologies needed to address C stock changes in the two main pools in grassland: living biomass and</w:t>
      </w:r>
      <w:r>
        <w:rPr>
          <w:spacing w:val="-1"/>
        </w:rPr>
        <w:t> </w:t>
      </w:r>
      <w:r>
        <w:rPr/>
        <w:t>soils;</w:t>
      </w:r>
    </w:p>
    <w:p>
      <w:pPr>
        <w:pStyle w:val="BodyText"/>
        <w:spacing w:before="137"/>
        <w:ind w:left="219"/>
        <w:jc w:val="both"/>
      </w:pPr>
      <w:r>
        <w:rPr>
          <w:rFonts w:ascii="Symbol" w:hAnsi="Symbol"/>
        </w:rPr>
        <w:t>• </w:t>
      </w:r>
      <w:r>
        <w:rPr/>
        <w:t>Explicitly including impacts of natural disturbances and vegetation fires on managed grassland; and</w:t>
      </w:r>
    </w:p>
    <w:p>
      <w:pPr>
        <w:pStyle w:val="BodyText"/>
        <w:spacing w:before="118"/>
        <w:ind w:left="219"/>
        <w:jc w:val="both"/>
      </w:pPr>
      <w:r>
        <w:rPr>
          <w:rFonts w:ascii="Symbol" w:hAnsi="Symbol"/>
        </w:rPr>
        <w:t>• </w:t>
      </w:r>
      <w:r>
        <w:rPr/>
        <w:t>Covering comprehensively the estimation of land use conversion to grassland.</w:t>
      </w:r>
    </w:p>
    <w:p>
      <w:pPr>
        <w:pStyle w:val="BodyText"/>
        <w:spacing w:before="104"/>
        <w:ind w:left="219" w:right="262"/>
        <w:jc w:val="both"/>
      </w:pPr>
      <w:r>
        <w:rPr/>
        <w:t>In this section, guidance on the use of basic and advanced methodologies for inventorying and reporting emissions and removals for grassland remaining grassland and land converted to grassland is provided for biomass and soil carbon pools. Methods for non-CO</w:t>
      </w:r>
      <w:r>
        <w:rPr>
          <w:vertAlign w:val="subscript"/>
        </w:rPr>
        <w:t>2</w:t>
      </w:r>
      <w:r>
        <w:rPr>
          <w:vertAlign w:val="baseline"/>
        </w:rPr>
        <w:t> emissions are also covered. Methodologies follow a hierarchical tier structure where Tier 1 methods use default values, typically with limited disaggregation of area data. Tier 2 corresponds to use of country-specific coefficients and/or finer scale area disaggregation, which will reduce uncertainty in emission/removal estimates. Tier 3 methods refer to the use of more complex country- specific approaches. Where possible, default values from the </w:t>
      </w:r>
      <w:r>
        <w:rPr>
          <w:i/>
          <w:vertAlign w:val="baseline"/>
        </w:rPr>
        <w:t>IPCC Guidelines </w:t>
      </w:r>
      <w:r>
        <w:rPr>
          <w:vertAlign w:val="baseline"/>
        </w:rPr>
        <w:t>are updated and new default values are provided based on the most up-to-date research findings.</w:t>
      </w:r>
    </w:p>
    <w:p>
      <w:pPr>
        <w:pStyle w:val="BodyText"/>
        <w:rPr>
          <w:sz w:val="22"/>
        </w:rPr>
      </w:pPr>
    </w:p>
    <w:p>
      <w:pPr>
        <w:pStyle w:val="BodyText"/>
        <w:spacing w:before="1"/>
      </w:pPr>
    </w:p>
    <w:p>
      <w:pPr>
        <w:pStyle w:val="Heading2"/>
        <w:numPr>
          <w:ilvl w:val="2"/>
          <w:numId w:val="69"/>
        </w:numPr>
        <w:tabs>
          <w:tab w:pos="1422" w:val="left" w:leader="none"/>
        </w:tabs>
        <w:spacing w:line="240" w:lineRule="auto" w:before="0" w:after="0"/>
        <w:ind w:left="1421" w:right="0" w:hanging="1202"/>
        <w:jc w:val="both"/>
      </w:pPr>
      <w:r>
        <w:rPr>
          <w:spacing w:val="8"/>
        </w:rPr>
        <w:t>Grassland </w:t>
      </w:r>
      <w:r>
        <w:rPr>
          <w:spacing w:val="9"/>
        </w:rPr>
        <w:t>Remaining</w:t>
      </w:r>
      <w:r>
        <w:rPr>
          <w:spacing w:val="33"/>
        </w:rPr>
        <w:t> </w:t>
      </w:r>
      <w:r>
        <w:rPr>
          <w:spacing w:val="10"/>
        </w:rPr>
        <w:t>Grassland</w:t>
      </w:r>
    </w:p>
    <w:p>
      <w:pPr>
        <w:pStyle w:val="BodyText"/>
        <w:spacing w:before="116"/>
        <w:ind w:left="219" w:right="263"/>
        <w:jc w:val="both"/>
      </w:pPr>
      <w:r>
        <w:rPr>
          <w:spacing w:val="-2"/>
        </w:rPr>
        <w:t>Carbon </w:t>
      </w:r>
      <w:r>
        <w:rPr/>
        <w:t>stocks in permanent </w:t>
      </w:r>
      <w:r>
        <w:rPr>
          <w:spacing w:val="-3"/>
        </w:rPr>
        <w:t>grassland </w:t>
      </w:r>
      <w:r>
        <w:rPr/>
        <w:t>are influenced by human </w:t>
      </w:r>
      <w:r>
        <w:rPr>
          <w:spacing w:val="-3"/>
        </w:rPr>
        <w:t>activities </w:t>
      </w:r>
      <w:r>
        <w:rPr/>
        <w:t>and natural </w:t>
      </w:r>
      <w:r>
        <w:rPr>
          <w:spacing w:val="-3"/>
        </w:rPr>
        <w:t>disturbances, </w:t>
      </w:r>
      <w:r>
        <w:rPr/>
        <w:t>including </w:t>
      </w:r>
      <w:r>
        <w:rPr>
          <w:spacing w:val="-3"/>
        </w:rPr>
        <w:t>harvesting </w:t>
      </w:r>
      <w:r>
        <w:rPr/>
        <w:t>of woody biomass, rangeland </w:t>
      </w:r>
      <w:r>
        <w:rPr>
          <w:spacing w:val="-3"/>
        </w:rPr>
        <w:t>degradation, grazing, fires, rehabilitation, </w:t>
      </w:r>
      <w:r>
        <w:rPr/>
        <w:t>pasture </w:t>
      </w:r>
      <w:r>
        <w:rPr>
          <w:spacing w:val="-3"/>
        </w:rPr>
        <w:t>management, </w:t>
      </w:r>
      <w:r>
        <w:rPr/>
        <w:t>etc. </w:t>
      </w:r>
      <w:r>
        <w:rPr>
          <w:spacing w:val="-3"/>
        </w:rPr>
        <w:t>Annual </w:t>
      </w:r>
      <w:r>
        <w:rPr/>
        <w:t>production of biomass in </w:t>
      </w:r>
      <w:r>
        <w:rPr>
          <w:spacing w:val="-3"/>
        </w:rPr>
        <w:t>grassland </w:t>
      </w:r>
      <w:r>
        <w:rPr/>
        <w:t>can be large, but </w:t>
      </w:r>
      <w:r>
        <w:rPr>
          <w:spacing w:val="-2"/>
        </w:rPr>
        <w:t>due </w:t>
      </w:r>
      <w:r>
        <w:rPr/>
        <w:t>to rapid turnover and removals through </w:t>
      </w:r>
      <w:r>
        <w:rPr>
          <w:spacing w:val="-3"/>
        </w:rPr>
        <w:t>grazing </w:t>
      </w:r>
      <w:r>
        <w:rPr>
          <w:spacing w:val="-2"/>
        </w:rPr>
        <w:t>and </w:t>
      </w:r>
      <w:r>
        <w:rPr/>
        <w:t>fire, standing stock of </w:t>
      </w:r>
      <w:r>
        <w:rPr>
          <w:spacing w:val="-3"/>
        </w:rPr>
        <w:t>aboveground </w:t>
      </w:r>
      <w:r>
        <w:rPr/>
        <w:t>biomass rarely exceeds a few tonnes per hectare. </w:t>
      </w:r>
      <w:r>
        <w:rPr>
          <w:spacing w:val="-3"/>
        </w:rPr>
        <w:t>Larger </w:t>
      </w:r>
      <w:r>
        <w:rPr/>
        <w:t>amounts can accumulate</w:t>
      </w:r>
      <w:r>
        <w:rPr>
          <w:spacing w:val="-6"/>
        </w:rPr>
        <w:t> </w:t>
      </w:r>
      <w:r>
        <w:rPr/>
        <w:t>in</w:t>
      </w:r>
      <w:r>
        <w:rPr>
          <w:spacing w:val="-7"/>
        </w:rPr>
        <w:t> </w:t>
      </w:r>
      <w:r>
        <w:rPr/>
        <w:t>the</w:t>
      </w:r>
      <w:r>
        <w:rPr>
          <w:spacing w:val="-3"/>
        </w:rPr>
        <w:t> </w:t>
      </w:r>
      <w:r>
        <w:rPr/>
        <w:t>woody</w:t>
      </w:r>
      <w:r>
        <w:rPr>
          <w:spacing w:val="-9"/>
        </w:rPr>
        <w:t> </w:t>
      </w:r>
      <w:r>
        <w:rPr/>
        <w:t>component</w:t>
      </w:r>
      <w:r>
        <w:rPr>
          <w:spacing w:val="-5"/>
        </w:rPr>
        <w:t> </w:t>
      </w:r>
      <w:r>
        <w:rPr/>
        <w:t>of</w:t>
      </w:r>
      <w:r>
        <w:rPr>
          <w:spacing w:val="-5"/>
        </w:rPr>
        <w:t> </w:t>
      </w:r>
      <w:r>
        <w:rPr/>
        <w:t>vegetation,</w:t>
      </w:r>
      <w:r>
        <w:rPr>
          <w:spacing w:val="-5"/>
        </w:rPr>
        <w:t> </w:t>
      </w:r>
      <w:r>
        <w:rPr/>
        <w:t>in</w:t>
      </w:r>
      <w:r>
        <w:rPr>
          <w:spacing w:val="-7"/>
        </w:rPr>
        <w:t> </w:t>
      </w:r>
      <w:r>
        <w:rPr/>
        <w:t>root</w:t>
      </w:r>
      <w:r>
        <w:rPr>
          <w:spacing w:val="-5"/>
        </w:rPr>
        <w:t> </w:t>
      </w:r>
      <w:r>
        <w:rPr/>
        <w:t>biomass</w:t>
      </w:r>
      <w:r>
        <w:rPr>
          <w:spacing w:val="-7"/>
        </w:rPr>
        <w:t> </w:t>
      </w:r>
      <w:r>
        <w:rPr/>
        <w:t>and</w:t>
      </w:r>
      <w:r>
        <w:rPr>
          <w:spacing w:val="-5"/>
        </w:rPr>
        <w:t> </w:t>
      </w:r>
      <w:r>
        <w:rPr/>
        <w:t>in</w:t>
      </w:r>
      <w:r>
        <w:rPr>
          <w:spacing w:val="-7"/>
        </w:rPr>
        <w:t> </w:t>
      </w:r>
      <w:r>
        <w:rPr>
          <w:spacing w:val="-3"/>
        </w:rPr>
        <w:t>soils.</w:t>
      </w:r>
      <w:r>
        <w:rPr>
          <w:spacing w:val="-5"/>
        </w:rPr>
        <w:t> </w:t>
      </w:r>
      <w:r>
        <w:rPr/>
        <w:t>The</w:t>
      </w:r>
      <w:r>
        <w:rPr>
          <w:spacing w:val="-5"/>
        </w:rPr>
        <w:t> </w:t>
      </w:r>
      <w:r>
        <w:rPr/>
        <w:t>extent</w:t>
      </w:r>
      <w:r>
        <w:rPr>
          <w:spacing w:val="-4"/>
        </w:rPr>
        <w:t> </w:t>
      </w:r>
      <w:r>
        <w:rPr/>
        <w:t>to</w:t>
      </w:r>
      <w:r>
        <w:rPr>
          <w:spacing w:val="-3"/>
        </w:rPr>
        <w:t> which</w:t>
      </w:r>
      <w:r>
        <w:rPr>
          <w:spacing w:val="-7"/>
        </w:rPr>
        <w:t> </w:t>
      </w:r>
      <w:r>
        <w:rPr/>
        <w:t>carbon</w:t>
      </w:r>
      <w:r>
        <w:rPr>
          <w:spacing w:val="-7"/>
        </w:rPr>
        <w:t> </w:t>
      </w:r>
      <w:r>
        <w:rPr/>
        <w:t>stocks </w:t>
      </w:r>
      <w:r>
        <w:rPr>
          <w:spacing w:val="-3"/>
        </w:rPr>
        <w:t>increase</w:t>
      </w:r>
      <w:r>
        <w:rPr>
          <w:spacing w:val="-9"/>
        </w:rPr>
        <w:t> </w:t>
      </w:r>
      <w:r>
        <w:rPr/>
        <w:t>or</w:t>
      </w:r>
      <w:r>
        <w:rPr>
          <w:spacing w:val="-8"/>
        </w:rPr>
        <w:t> </w:t>
      </w:r>
      <w:r>
        <w:rPr/>
        <w:t>decrease</w:t>
      </w:r>
      <w:r>
        <w:rPr>
          <w:spacing w:val="-6"/>
        </w:rPr>
        <w:t> </w:t>
      </w:r>
      <w:r>
        <w:rPr/>
        <w:t>in</w:t>
      </w:r>
      <w:r>
        <w:rPr>
          <w:spacing w:val="-10"/>
        </w:rPr>
        <w:t> </w:t>
      </w:r>
      <w:r>
        <w:rPr/>
        <w:t>each</w:t>
      </w:r>
      <w:r>
        <w:rPr>
          <w:spacing w:val="-10"/>
        </w:rPr>
        <w:t> </w:t>
      </w:r>
      <w:r>
        <w:rPr/>
        <w:t>of</w:t>
      </w:r>
      <w:r>
        <w:rPr>
          <w:spacing w:val="-8"/>
        </w:rPr>
        <w:t> </w:t>
      </w:r>
      <w:r>
        <w:rPr>
          <w:spacing w:val="-3"/>
        </w:rPr>
        <w:t>these</w:t>
      </w:r>
      <w:r>
        <w:rPr>
          <w:spacing w:val="-8"/>
        </w:rPr>
        <w:t> </w:t>
      </w:r>
      <w:r>
        <w:rPr/>
        <w:t>pools</w:t>
      </w:r>
      <w:r>
        <w:rPr>
          <w:spacing w:val="-7"/>
        </w:rPr>
        <w:t> </w:t>
      </w:r>
      <w:r>
        <w:rPr/>
        <w:t>is</w:t>
      </w:r>
      <w:r>
        <w:rPr>
          <w:spacing w:val="-7"/>
        </w:rPr>
        <w:t> </w:t>
      </w:r>
      <w:r>
        <w:rPr/>
        <w:t>affected</w:t>
      </w:r>
      <w:r>
        <w:rPr>
          <w:spacing w:val="-8"/>
        </w:rPr>
        <w:t> </w:t>
      </w:r>
      <w:r>
        <w:rPr/>
        <w:t>by</w:t>
      </w:r>
      <w:r>
        <w:rPr>
          <w:spacing w:val="-8"/>
        </w:rPr>
        <w:t> </w:t>
      </w:r>
      <w:r>
        <w:rPr/>
        <w:t>management</w:t>
      </w:r>
      <w:r>
        <w:rPr>
          <w:spacing w:val="-9"/>
        </w:rPr>
        <w:t> </w:t>
      </w:r>
      <w:r>
        <w:rPr/>
        <w:t>practices</w:t>
      </w:r>
      <w:r>
        <w:rPr>
          <w:spacing w:val="-7"/>
        </w:rPr>
        <w:t> </w:t>
      </w:r>
      <w:r>
        <w:rPr/>
        <w:t>such</w:t>
      </w:r>
      <w:r>
        <w:rPr>
          <w:spacing w:val="-10"/>
        </w:rPr>
        <w:t> </w:t>
      </w:r>
      <w:r>
        <w:rPr/>
        <w:t>as</w:t>
      </w:r>
      <w:r>
        <w:rPr>
          <w:spacing w:val="-10"/>
        </w:rPr>
        <w:t> </w:t>
      </w:r>
      <w:r>
        <w:rPr/>
        <w:t>those</w:t>
      </w:r>
      <w:r>
        <w:rPr>
          <w:spacing w:val="-6"/>
        </w:rPr>
        <w:t> </w:t>
      </w:r>
      <w:r>
        <w:rPr>
          <w:spacing w:val="-3"/>
        </w:rPr>
        <w:t>described</w:t>
      </w:r>
      <w:r>
        <w:rPr>
          <w:spacing w:val="-8"/>
        </w:rPr>
        <w:t> </w:t>
      </w:r>
      <w:r>
        <w:rPr>
          <w:spacing w:val="-2"/>
        </w:rPr>
        <w:t>above.</w:t>
      </w:r>
    </w:p>
    <w:p>
      <w:pPr>
        <w:pStyle w:val="BodyText"/>
        <w:spacing w:before="118"/>
        <w:ind w:left="219" w:right="264"/>
        <w:jc w:val="both"/>
      </w:pPr>
      <w:r>
        <w:rPr/>
        <w:t>This section provides guidance on estimating carbon stock changes in grassland remaining grassland (GG) for two carbon pools: living biomass and soils. At this time, not enough information is available to develop default coefficients for estimating the dead organic matter pool. The total annual carbon stock change in grassland remaining grassland is therefore the sum of annual estimates of carbon stock changes in each carbon pool— living biomass and soils—as shown in Equation 3.4.1. Estimation techniques for each pool are described separately below.</w:t>
      </w:r>
    </w:p>
    <w:p>
      <w:pPr>
        <w:pStyle w:val="BodyText"/>
        <w:spacing w:before="2"/>
        <w:rPr>
          <w:sz w:val="11"/>
        </w:rPr>
      </w:pPr>
      <w:r>
        <w:rPr/>
        <w:pict>
          <v:group style="position:absolute;margin-left:91.240997pt;margin-top:8.407422pt;width:412.95pt;height:55.2pt;mso-position-horizontal-relative:page;mso-position-vertical-relative:paragraph;z-index:8840;mso-wrap-distance-left:0;mso-wrap-distance-right:0" coordorigin="1825,168" coordsize="8259,1104">
            <v:rect style="position:absolute;left:1824;top:168;width:29;height:29" filled="true" fillcolor="#000000" stroked="false">
              <v:fill type="solid"/>
            </v:rect>
            <v:rect style="position:absolute;left:1824;top:168;width:29;height:29" filled="true" fillcolor="#000000" stroked="false">
              <v:fill type="solid"/>
            </v:rect>
            <v:line style="position:absolute" from="1854,183" to="10054,183" stroked="true" strokeweight="1.44pt" strokecolor="#000000">
              <v:stroke dashstyle="solid"/>
            </v:line>
            <v:rect style="position:absolute;left:10054;top:168;width:29;height:29" filled="true" fillcolor="#000000" stroked="false">
              <v:fill type="solid"/>
            </v:rect>
            <v:rect style="position:absolute;left:10054;top:168;width:29;height:29" filled="true" fillcolor="#000000" stroked="false">
              <v:fill type="solid"/>
            </v:rect>
            <v:line style="position:absolute" from="1839,197" to="1839,528" stroked="true" strokeweight="1.44pt" strokecolor="#000000">
              <v:stroke dashstyle="solid"/>
            </v:line>
            <v:line style="position:absolute" from="10069,197" to="10069,528" stroked="true" strokeweight="1.44pt" strokecolor="#000000">
              <v:stroke dashstyle="solid"/>
            </v:line>
            <v:line style="position:absolute" from="1839,528" to="1839,799" stroked="true" strokeweight="1.44pt" strokecolor="#000000">
              <v:stroke dashstyle="solid"/>
            </v:line>
            <v:line style="position:absolute" from="10069,528" to="10069,799" stroked="true" strokeweight="1.44pt" strokecolor="#000000">
              <v:stroke dashstyle="solid"/>
            </v:line>
            <v:rect style="position:absolute;left:1824;top:1243;width:29;height:29" filled="true" fillcolor="#000000" stroked="false">
              <v:fill type="solid"/>
            </v:rect>
            <v:rect style="position:absolute;left:1824;top:1243;width:29;height:29" filled="true" fillcolor="#000000" stroked="false">
              <v:fill type="solid"/>
            </v:rect>
            <v:line style="position:absolute" from="1854,1258" to="10054,1258" stroked="true" strokeweight="1.44pt" strokecolor="#000000">
              <v:stroke dashstyle="solid"/>
            </v:line>
            <v:rect style="position:absolute;left:10054;top:1243;width:29;height:29" filled="true" fillcolor="#000000" stroked="false">
              <v:fill type="solid"/>
            </v:rect>
            <v:rect style="position:absolute;left:10054;top:1243;width:29;height:29" filled="true" fillcolor="#000000" stroked="false">
              <v:fill type="solid"/>
            </v:rect>
            <v:line style="position:absolute" from="1839,799" to="1839,1243" stroked="true" strokeweight="1.44pt" strokecolor="#000000">
              <v:stroke dashstyle="solid"/>
            </v:line>
            <v:line style="position:absolute" from="10069,799" to="10069,1243" stroked="true" strokeweight="1.44pt" strokecolor="#000000">
              <v:stroke dashstyle="solid"/>
            </v:line>
            <v:shape style="position:absolute;left:6778;top:1012;width:277;height:144" type="#_x0000_t202" filled="false" stroked="false">
              <v:textbox inset="0,0,0,0">
                <w:txbxContent>
                  <w:p>
                    <w:pPr>
                      <w:spacing w:line="144" w:lineRule="exact" w:before="0"/>
                      <w:ind w:left="0" w:right="0" w:firstLine="0"/>
                      <w:jc w:val="left"/>
                      <w:rPr>
                        <w:sz w:val="13"/>
                      </w:rPr>
                    </w:pPr>
                    <w:r>
                      <w:rPr>
                        <w:sz w:val="13"/>
                      </w:rPr>
                      <w:t>Soils</w:t>
                    </w:r>
                  </w:p>
                </w:txbxContent>
              </v:textbox>
              <w10:wrap type="none"/>
            </v:shape>
            <v:shape style="position:absolute;left:5955;top:1012;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4872;top:835;width:1924;height:261" type="#_x0000_t202" filled="false" stroked="false">
              <v:textbox inset="0,0,0,0">
                <w:txbxContent>
                  <w:p>
                    <w:pPr>
                      <w:tabs>
                        <w:tab w:pos="1295" w:val="left" w:leader="none"/>
                      </w:tabs>
                      <w:spacing w:line="246" w:lineRule="exact" w:before="14"/>
                      <w:ind w:left="0" w:right="0" w:firstLine="0"/>
                      <w:jc w:val="left"/>
                      <w:rPr>
                        <w:sz w:val="20"/>
                      </w:rPr>
                    </w:pPr>
                    <w:r>
                      <w:rPr>
                        <w:rFonts w:ascii="Symbol" w:hAnsi="Symbol"/>
                        <w:sz w:val="20"/>
                      </w:rPr>
                      <w:t>∆</w:t>
                    </w:r>
                    <w:r>
                      <w:rPr>
                        <w:sz w:val="20"/>
                      </w:rPr>
                      <w:t>C</w:t>
                    </w:r>
                    <w:r>
                      <w:rPr>
                        <w:sz w:val="20"/>
                        <w:vertAlign w:val="subscript"/>
                      </w:rPr>
                      <w:t>GG</w:t>
                    </w:r>
                    <w:r>
                      <w:rPr>
                        <w:spacing w:val="-17"/>
                        <w:sz w:val="20"/>
                        <w:vertAlign w:val="baseline"/>
                      </w:rPr>
                      <w:t> </w:t>
                    </w:r>
                    <w:r>
                      <w:rPr>
                        <w:sz w:val="20"/>
                        <w:vertAlign w:val="baseline"/>
                      </w:rPr>
                      <w:t>=</w:t>
                    </w:r>
                    <w:r>
                      <w:rPr>
                        <w:spacing w:val="1"/>
                        <w:sz w:val="20"/>
                        <w:vertAlign w:val="baseline"/>
                      </w:rPr>
                      <w:t> </w:t>
                    </w:r>
                    <w:r>
                      <w:rPr>
                        <w:rFonts w:ascii="Symbol" w:hAnsi="Symbol"/>
                        <w:sz w:val="20"/>
                        <w:vertAlign w:val="baseline"/>
                      </w:rPr>
                      <w:t>∆</w:t>
                    </w:r>
                    <w:r>
                      <w:rPr>
                        <w:sz w:val="20"/>
                        <w:vertAlign w:val="baseline"/>
                      </w:rPr>
                      <w:t>C</w:t>
                    </w:r>
                    <w:r>
                      <w:rPr>
                        <w:sz w:val="20"/>
                        <w:vertAlign w:val="subscript"/>
                      </w:rPr>
                      <w:t>GG</w:t>
                    </w:r>
                    <w:r>
                      <w:rPr>
                        <w:sz w:val="20"/>
                        <w:vertAlign w:val="baseline"/>
                      </w:rPr>
                      <w:tab/>
                      <w:t>+</w:t>
                    </w:r>
                    <w:r>
                      <w:rPr>
                        <w:spacing w:val="3"/>
                        <w:sz w:val="20"/>
                        <w:vertAlign w:val="baseline"/>
                      </w:rPr>
                      <w:t> </w:t>
                    </w:r>
                    <w:r>
                      <w:rPr>
                        <w:rFonts w:ascii="Symbol" w:hAnsi="Symbol"/>
                        <w:spacing w:val="-20"/>
                        <w:sz w:val="20"/>
                        <w:vertAlign w:val="baseline"/>
                      </w:rPr>
                      <w:t>∆</w:t>
                    </w:r>
                    <w:r>
                      <w:rPr>
                        <w:spacing w:val="-20"/>
                        <w:sz w:val="20"/>
                        <w:vertAlign w:val="baseline"/>
                      </w:rPr>
                      <w:t>C</w:t>
                    </w:r>
                    <w:r>
                      <w:rPr>
                        <w:spacing w:val="-20"/>
                        <w:sz w:val="20"/>
                        <w:vertAlign w:val="subscript"/>
                      </w:rPr>
                      <w:t>GG</w:t>
                    </w:r>
                  </w:p>
                </w:txbxContent>
              </v:textbox>
              <w10:wrap type="none"/>
            </v:shape>
            <v:shape style="position:absolute;left:2763;top:305;width:6400;height:452" type="#_x0000_t202" filled="false" stroked="false">
              <v:textbox inset="0,0,0,0">
                <w:txbxContent>
                  <w:p>
                    <w:pPr>
                      <w:spacing w:line="221" w:lineRule="exact" w:before="0"/>
                      <w:ind w:left="3" w:right="18" w:firstLine="0"/>
                      <w:jc w:val="center"/>
                      <w:rPr>
                        <w:b/>
                        <w:sz w:val="20"/>
                      </w:rPr>
                    </w:pPr>
                    <w:r>
                      <w:rPr>
                        <w:b/>
                        <w:sz w:val="20"/>
                      </w:rPr>
                      <w:t>E</w:t>
                    </w:r>
                    <w:r>
                      <w:rPr>
                        <w:b/>
                        <w:sz w:val="16"/>
                      </w:rPr>
                      <w:t>QUATION </w:t>
                    </w:r>
                    <w:r>
                      <w:rPr>
                        <w:b/>
                        <w:sz w:val="20"/>
                      </w:rPr>
                      <w:t>3.4.1</w:t>
                    </w:r>
                  </w:p>
                  <w:p>
                    <w:pPr>
                      <w:spacing w:before="0"/>
                      <w:ind w:left="-1" w:right="18" w:firstLine="0"/>
                      <w:jc w:val="center"/>
                      <w:rPr>
                        <w:b/>
                        <w:sz w:val="16"/>
                      </w:rPr>
                    </w:pPr>
                    <w:r>
                      <w:rPr>
                        <w:b/>
                        <w:sz w:val="20"/>
                      </w:rPr>
                      <w:t>A</w:t>
                    </w:r>
                    <w:r>
                      <w:rPr>
                        <w:b/>
                        <w:sz w:val="16"/>
                      </w:rPr>
                      <w:t>NNUAL CHANGE IN CARBON STOCKS IN GRASSLAND REMAINING</w:t>
                    </w:r>
                    <w:r>
                      <w:rPr>
                        <w:b/>
                        <w:spacing w:val="-16"/>
                        <w:sz w:val="16"/>
                      </w:rPr>
                      <w:t> </w:t>
                    </w:r>
                    <w:r>
                      <w:rPr>
                        <w:b/>
                        <w:sz w:val="16"/>
                      </w:rPr>
                      <w:t>GRASSLAND</w:t>
                    </w:r>
                  </w:p>
                </w:txbxContent>
              </v:textbox>
              <w10:wrap type="none"/>
            </v:shape>
            <w10:wrap type="topAndBottom"/>
          </v:group>
        </w:pict>
      </w:r>
    </w:p>
    <w:p>
      <w:pPr>
        <w:pStyle w:val="BodyText"/>
        <w:spacing w:before="4"/>
        <w:ind w:left="219"/>
      </w:pPr>
      <w:r>
        <w:rPr/>
        <w:t>Where:</w:t>
      </w:r>
    </w:p>
    <w:p>
      <w:pPr>
        <w:pStyle w:val="BodyText"/>
        <w:spacing w:before="137"/>
        <w:ind w:left="785"/>
      </w:pPr>
      <w:r>
        <w:rPr>
          <w:rFonts w:ascii="Symbol" w:hAnsi="Symbol"/>
        </w:rPr>
        <w:t>∆</w:t>
      </w:r>
      <w:r>
        <w:rPr/>
        <w:t>C</w:t>
      </w:r>
      <w:r>
        <w:rPr>
          <w:vertAlign w:val="subscript"/>
        </w:rPr>
        <w:t>GG</w:t>
      </w:r>
      <w:r>
        <w:rPr>
          <w:vertAlign w:val="baseline"/>
        </w:rPr>
        <w:t> = annual change in carbon stocks in grassland remaining grassland, tonnes C yr</w:t>
      </w:r>
      <w:r>
        <w:rPr>
          <w:vertAlign w:val="superscript"/>
        </w:rPr>
        <w:t>-1</w:t>
      </w:r>
    </w:p>
    <w:p>
      <w:pPr>
        <w:spacing w:after="0"/>
        <w:sectPr>
          <w:headerReference w:type="default" r:id="rId136"/>
          <w:headerReference w:type="even" r:id="rId137"/>
          <w:footerReference w:type="default" r:id="rId138"/>
          <w:footerReference w:type="even" r:id="rId139"/>
          <w:pgSz w:w="11900" w:h="16840"/>
          <w:pgMar w:header="230" w:footer="408" w:top="560" w:bottom="600" w:left="1200" w:right="1140"/>
          <w:pgNumType w:start="105"/>
        </w:sectPr>
      </w:pPr>
    </w:p>
    <w:p>
      <w:pPr>
        <w:pStyle w:val="BodyText"/>
        <w:rPr>
          <w:sz w:val="29"/>
        </w:rPr>
      </w:pPr>
    </w:p>
    <w:p>
      <w:pPr>
        <w:pStyle w:val="BodyText"/>
        <w:spacing w:before="120"/>
        <w:ind w:left="785"/>
      </w:pPr>
      <w:r>
        <w:rPr/>
        <w:pict>
          <v:shape style="position:absolute;margin-left:121.000435pt;margin-top:14.121737pt;width:8.0500pt;height:7.2pt;mso-position-horizontal-relative:page;mso-position-vertical-relative:paragraph;z-index:-2445088"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GG</w:t>
      </w:r>
      <w:r>
        <w:rPr>
          <w:vertAlign w:val="baseline"/>
        </w:rPr>
        <w:t> = annual change in carbon stocks in living biomass in grassland remaining grassland, tonnes C yr</w:t>
      </w:r>
      <w:r>
        <w:rPr>
          <w:vertAlign w:val="superscript"/>
        </w:rPr>
        <w:t>-1</w:t>
      </w:r>
    </w:p>
    <w:p>
      <w:pPr>
        <w:pStyle w:val="BodyText"/>
        <w:tabs>
          <w:tab w:pos="1536" w:val="left" w:leader="none"/>
        </w:tabs>
        <w:spacing w:line="193" w:lineRule="exact" w:before="178"/>
        <w:ind w:left="908"/>
      </w:pPr>
      <w:r>
        <w:rPr/>
        <w:pict>
          <v:shape style="position:absolute;margin-left:99.280785pt;margin-top:8.176326pt;width:22.1pt;height:13.05pt;mso-position-horizontal-relative:page;mso-position-vertical-relative:paragraph;z-index:-2445064" type="#_x0000_t202" filled="false" stroked="false">
            <v:textbox inset="0,0,0,0">
              <w:txbxContent>
                <w:p>
                  <w:pPr>
                    <w:spacing w:line="223" w:lineRule="exact" w:before="37"/>
                    <w:ind w:left="0" w:right="0" w:firstLine="0"/>
                    <w:jc w:val="left"/>
                    <w:rPr>
                      <w:sz w:val="13"/>
                    </w:rPr>
                  </w:pPr>
                  <w:r>
                    <w:rPr>
                      <w:rFonts w:ascii="Symbol" w:hAnsi="Symbol"/>
                      <w:position w:val="3"/>
                      <w:sz w:val="20"/>
                    </w:rPr>
                    <w:t>∆ </w:t>
                  </w:r>
                  <w:r>
                    <w:rPr>
                      <w:spacing w:val="-51"/>
                      <w:sz w:val="13"/>
                    </w:rPr>
                    <w:t>GG</w:t>
                  </w:r>
                </w:p>
              </w:txbxContent>
            </v:textbox>
            <w10:wrap type="none"/>
          </v:shape>
        </w:pict>
      </w:r>
      <w:r>
        <w:rPr/>
        <w:t>C</w:t>
        <w:tab/>
        <w:t>= annual change in carbon stocks in soils in grassland remaining grassland, tonnes C</w:t>
      </w:r>
      <w:r>
        <w:rPr>
          <w:spacing w:val="-17"/>
        </w:rPr>
        <w:t> </w:t>
      </w:r>
      <w:r>
        <w:rPr/>
        <w:t>yr</w:t>
      </w:r>
      <w:r>
        <w:rPr>
          <w:vertAlign w:val="superscript"/>
        </w:rPr>
        <w:t>-1</w:t>
      </w:r>
    </w:p>
    <w:p>
      <w:pPr>
        <w:spacing w:line="113" w:lineRule="exact" w:before="0"/>
        <w:ind w:left="1229" w:right="0" w:firstLine="0"/>
        <w:jc w:val="left"/>
        <w:rPr>
          <w:sz w:val="13"/>
        </w:rPr>
      </w:pPr>
      <w:r>
        <w:rPr>
          <w:sz w:val="13"/>
        </w:rPr>
        <w:t>Soils</w:t>
      </w:r>
    </w:p>
    <w:p>
      <w:pPr>
        <w:pStyle w:val="BodyText"/>
        <w:spacing w:before="105"/>
        <w:ind w:left="219" w:right="269"/>
        <w:jc w:val="both"/>
      </w:pPr>
      <w:r>
        <w:rPr/>
        <w:pict>
          <v:line style="position:absolute;mso-position-horizontal-relative:page;mso-position-vertical-relative:paragraph;z-index:-2445112" from="72.521004pt,61.626629pt" to="138.881004pt,97.026629pt" stroked="true" strokeweight=".48pt" strokecolor="#000000">
            <v:stroke dashstyle="solid"/>
            <w10:wrap type="none"/>
          </v:line>
        </w:pict>
      </w:r>
      <w:r>
        <w:rPr/>
        <w:t>To convert tonnes C to Gg CO</w:t>
      </w:r>
      <w:r>
        <w:rPr>
          <w:vertAlign w:val="subscript"/>
        </w:rPr>
        <w:t>2</w:t>
      </w:r>
      <w:r>
        <w:rPr>
          <w:vertAlign w:val="baseline"/>
        </w:rPr>
        <w:t>, multiply the value by 44/12 and by 10</w:t>
      </w:r>
      <w:r>
        <w:rPr>
          <w:vertAlign w:val="superscript"/>
        </w:rPr>
        <w:t>-3</w:t>
      </w:r>
      <w:r>
        <w:rPr>
          <w:vertAlign w:val="baseline"/>
        </w:rPr>
        <w:t>. For the convention (signs), refer to Section 3.1.7 or Annex 3A.2 (Reporting Tables and Worksheets).</w:t>
      </w:r>
    </w:p>
    <w:p>
      <w:pPr>
        <w:pStyle w:val="BodyText"/>
        <w:spacing w:before="1"/>
        <w:rPr>
          <w:sz w:val="11"/>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7"/>
        <w:gridCol w:w="2847"/>
        <w:gridCol w:w="3113"/>
        <w:gridCol w:w="1719"/>
      </w:tblGrid>
      <w:tr>
        <w:trPr>
          <w:trHeight w:val="498" w:hRule="atLeast"/>
        </w:trPr>
        <w:tc>
          <w:tcPr>
            <w:tcW w:w="9016" w:type="dxa"/>
            <w:gridSpan w:val="4"/>
            <w:tcBorders>
              <w:bottom w:val="double" w:sz="1" w:space="0" w:color="000000"/>
            </w:tcBorders>
          </w:tcPr>
          <w:p>
            <w:pPr>
              <w:pStyle w:val="TableParagraph"/>
              <w:spacing w:line="207" w:lineRule="exact" w:before="43"/>
              <w:ind w:left="408" w:right="402"/>
              <w:jc w:val="center"/>
              <w:rPr>
                <w:b/>
                <w:sz w:val="18"/>
              </w:rPr>
            </w:pPr>
            <w:r>
              <w:rPr>
                <w:b/>
                <w:sz w:val="18"/>
              </w:rPr>
              <w:t>T</w:t>
            </w:r>
            <w:r>
              <w:rPr>
                <w:b/>
                <w:sz w:val="14"/>
              </w:rPr>
              <w:t>ABLE </w:t>
            </w:r>
            <w:r>
              <w:rPr>
                <w:b/>
                <w:sz w:val="18"/>
              </w:rPr>
              <w:t>3.4.1</w:t>
            </w:r>
          </w:p>
          <w:p>
            <w:pPr>
              <w:pStyle w:val="TableParagraph"/>
              <w:spacing w:line="207" w:lineRule="exact"/>
              <w:ind w:left="406" w:right="402"/>
              <w:jc w:val="center"/>
              <w:rPr>
                <w:b/>
                <w:sz w:val="14"/>
              </w:rPr>
            </w:pPr>
            <w:r>
              <w:rPr>
                <w:b/>
                <w:sz w:val="18"/>
              </w:rPr>
              <w:t>T</w:t>
            </w:r>
            <w:r>
              <w:rPr>
                <w:b/>
                <w:sz w:val="14"/>
              </w:rPr>
              <w:t>IER DESCRIPTIONS FOR SUBCATEGORIES UNDER GRASSLAND REMAINING GRASSLAND</w:t>
            </w:r>
          </w:p>
        </w:tc>
      </w:tr>
      <w:tr>
        <w:trPr>
          <w:trHeight w:val="707" w:hRule="atLeast"/>
        </w:trPr>
        <w:tc>
          <w:tcPr>
            <w:tcW w:w="1337" w:type="dxa"/>
            <w:tcBorders>
              <w:top w:val="double" w:sz="1" w:space="0" w:color="000000"/>
            </w:tcBorders>
          </w:tcPr>
          <w:p>
            <w:pPr>
              <w:pStyle w:val="TableParagraph"/>
              <w:spacing w:before="42"/>
              <w:ind w:left="599"/>
              <w:rPr>
                <w:b/>
                <w:sz w:val="18"/>
              </w:rPr>
            </w:pPr>
            <w:r>
              <w:rPr>
                <w:b/>
                <w:sz w:val="18"/>
              </w:rPr>
              <w:t>Tier</w:t>
            </w:r>
          </w:p>
          <w:p>
            <w:pPr>
              <w:pStyle w:val="TableParagraph"/>
              <w:spacing w:line="207" w:lineRule="exact" w:before="2"/>
              <w:ind w:left="57"/>
              <w:rPr>
                <w:b/>
                <w:sz w:val="18"/>
              </w:rPr>
            </w:pPr>
            <w:r>
              <w:rPr>
                <w:b/>
                <w:sz w:val="18"/>
              </w:rPr>
              <w:t>Sub</w:t>
            </w:r>
          </w:p>
          <w:p>
            <w:pPr>
              <w:pStyle w:val="TableParagraph"/>
              <w:spacing w:line="207" w:lineRule="exact"/>
              <w:ind w:left="57"/>
              <w:rPr>
                <w:b/>
                <w:sz w:val="18"/>
              </w:rPr>
            </w:pPr>
            <w:r>
              <w:rPr>
                <w:b/>
                <w:sz w:val="18"/>
              </w:rPr>
              <w:t>-categories</w:t>
            </w:r>
          </w:p>
        </w:tc>
        <w:tc>
          <w:tcPr>
            <w:tcW w:w="2847" w:type="dxa"/>
            <w:tcBorders>
              <w:top w:val="double" w:sz="1" w:space="0" w:color="000000"/>
            </w:tcBorders>
          </w:tcPr>
          <w:p>
            <w:pPr>
              <w:pStyle w:val="TableParagraph"/>
              <w:spacing w:before="9"/>
              <w:rPr>
                <w:sz w:val="21"/>
              </w:rPr>
            </w:pPr>
          </w:p>
          <w:p>
            <w:pPr>
              <w:pStyle w:val="TableParagraph"/>
              <w:spacing w:before="1"/>
              <w:ind w:left="1169" w:right="1162"/>
              <w:jc w:val="center"/>
              <w:rPr>
                <w:b/>
                <w:sz w:val="18"/>
              </w:rPr>
            </w:pPr>
            <w:r>
              <w:rPr>
                <w:b/>
                <w:sz w:val="18"/>
              </w:rPr>
              <w:t>Tier 1</w:t>
            </w:r>
          </w:p>
        </w:tc>
        <w:tc>
          <w:tcPr>
            <w:tcW w:w="3113" w:type="dxa"/>
            <w:tcBorders>
              <w:top w:val="double" w:sz="1" w:space="0" w:color="000000"/>
            </w:tcBorders>
          </w:tcPr>
          <w:p>
            <w:pPr>
              <w:pStyle w:val="TableParagraph"/>
              <w:spacing w:before="9"/>
              <w:rPr>
                <w:sz w:val="21"/>
              </w:rPr>
            </w:pPr>
          </w:p>
          <w:p>
            <w:pPr>
              <w:pStyle w:val="TableParagraph"/>
              <w:spacing w:before="1"/>
              <w:ind w:left="1301" w:right="1297"/>
              <w:jc w:val="center"/>
              <w:rPr>
                <w:b/>
                <w:sz w:val="18"/>
              </w:rPr>
            </w:pPr>
            <w:r>
              <w:rPr>
                <w:b/>
                <w:sz w:val="18"/>
              </w:rPr>
              <w:t>Tier 2</w:t>
            </w:r>
          </w:p>
        </w:tc>
        <w:tc>
          <w:tcPr>
            <w:tcW w:w="1719" w:type="dxa"/>
            <w:tcBorders>
              <w:top w:val="double" w:sz="1" w:space="0" w:color="000000"/>
            </w:tcBorders>
          </w:tcPr>
          <w:p>
            <w:pPr>
              <w:pStyle w:val="TableParagraph"/>
              <w:spacing w:before="9"/>
              <w:rPr>
                <w:sz w:val="21"/>
              </w:rPr>
            </w:pPr>
          </w:p>
          <w:p>
            <w:pPr>
              <w:pStyle w:val="TableParagraph"/>
              <w:spacing w:before="1"/>
              <w:ind w:left="607" w:right="596"/>
              <w:jc w:val="center"/>
              <w:rPr>
                <w:b/>
                <w:sz w:val="18"/>
              </w:rPr>
            </w:pPr>
            <w:r>
              <w:rPr>
                <w:b/>
                <w:sz w:val="18"/>
              </w:rPr>
              <w:t>Tier 3</w:t>
            </w:r>
          </w:p>
        </w:tc>
      </w:tr>
      <w:tr>
        <w:trPr>
          <w:trHeight w:val="1156" w:hRule="atLeast"/>
        </w:trPr>
        <w:tc>
          <w:tcPr>
            <w:tcW w:w="1337" w:type="dxa"/>
          </w:tcPr>
          <w:p>
            <w:pPr>
              <w:pStyle w:val="TableParagraph"/>
              <w:spacing w:before="55"/>
              <w:ind w:left="107" w:right="498"/>
              <w:rPr>
                <w:sz w:val="18"/>
              </w:rPr>
            </w:pPr>
            <w:r>
              <w:rPr>
                <w:sz w:val="18"/>
              </w:rPr>
              <w:t>Living Biomass</w:t>
            </w:r>
          </w:p>
        </w:tc>
        <w:tc>
          <w:tcPr>
            <w:tcW w:w="2847" w:type="dxa"/>
          </w:tcPr>
          <w:p>
            <w:pPr>
              <w:pStyle w:val="TableParagraph"/>
              <w:spacing w:before="55"/>
              <w:ind w:left="109" w:right="593"/>
              <w:rPr>
                <w:sz w:val="18"/>
              </w:rPr>
            </w:pPr>
            <w:r>
              <w:rPr>
                <w:sz w:val="18"/>
              </w:rPr>
              <w:t>Assume there is no change in carbon stocks.</w:t>
            </w:r>
          </w:p>
        </w:tc>
        <w:tc>
          <w:tcPr>
            <w:tcW w:w="3113" w:type="dxa"/>
          </w:tcPr>
          <w:p>
            <w:pPr>
              <w:pStyle w:val="TableParagraph"/>
              <w:spacing w:before="55"/>
              <w:ind w:left="106" w:right="188"/>
              <w:rPr>
                <w:sz w:val="18"/>
              </w:rPr>
            </w:pPr>
            <w:r>
              <w:rPr>
                <w:sz w:val="18"/>
              </w:rPr>
              <w:t>Use country-specific values for carbon accumulation and removal rates and annual or periodic surveys to estimate the areas under different classes of grassland by climate region.</w:t>
            </w:r>
          </w:p>
        </w:tc>
        <w:tc>
          <w:tcPr>
            <w:tcW w:w="1719" w:type="dxa"/>
          </w:tcPr>
          <w:p>
            <w:pPr>
              <w:pStyle w:val="TableParagraph"/>
              <w:spacing w:before="55"/>
              <w:ind w:left="109" w:right="85"/>
              <w:rPr>
                <w:sz w:val="18"/>
              </w:rPr>
            </w:pPr>
            <w:r>
              <w:rPr>
                <w:sz w:val="18"/>
              </w:rPr>
              <w:t>Use country-specific approach at fine spatial scale (e.g., modeling, measurement)</w:t>
            </w:r>
          </w:p>
        </w:tc>
      </w:tr>
      <w:tr>
        <w:trPr>
          <w:trHeight w:val="1982" w:hRule="atLeast"/>
        </w:trPr>
        <w:tc>
          <w:tcPr>
            <w:tcW w:w="1337" w:type="dxa"/>
          </w:tcPr>
          <w:p>
            <w:pPr>
              <w:pStyle w:val="TableParagraph"/>
              <w:spacing w:before="55"/>
              <w:ind w:left="107"/>
              <w:rPr>
                <w:sz w:val="18"/>
              </w:rPr>
            </w:pPr>
            <w:r>
              <w:rPr>
                <w:sz w:val="18"/>
              </w:rPr>
              <w:t>Soils</w:t>
            </w:r>
          </w:p>
        </w:tc>
        <w:tc>
          <w:tcPr>
            <w:tcW w:w="2847" w:type="dxa"/>
          </w:tcPr>
          <w:p>
            <w:pPr>
              <w:pStyle w:val="TableParagraph"/>
              <w:spacing w:before="55"/>
              <w:ind w:left="109" w:right="115"/>
              <w:rPr>
                <w:sz w:val="18"/>
              </w:rPr>
            </w:pPr>
            <w:r>
              <w:rPr>
                <w:sz w:val="18"/>
              </w:rPr>
              <w:t>For changes in soil carbon from mineral soils use default coefficients. The areas must be stratified by climate and soil type. For changes in soil carbon from organic soils use default coefficients and stratify the areas by climatic region. For emissions from liming, use default emission</w:t>
            </w:r>
            <w:r>
              <w:rPr>
                <w:spacing w:val="-20"/>
                <w:sz w:val="18"/>
              </w:rPr>
              <w:t> </w:t>
            </w:r>
            <w:r>
              <w:rPr>
                <w:sz w:val="18"/>
              </w:rPr>
              <w:t>factors.</w:t>
            </w:r>
          </w:p>
        </w:tc>
        <w:tc>
          <w:tcPr>
            <w:tcW w:w="3113" w:type="dxa"/>
          </w:tcPr>
          <w:p>
            <w:pPr>
              <w:pStyle w:val="TableParagraph"/>
              <w:spacing w:before="55"/>
              <w:ind w:left="106" w:right="226"/>
              <w:rPr>
                <w:sz w:val="18"/>
              </w:rPr>
            </w:pPr>
            <w:r>
              <w:rPr>
                <w:sz w:val="18"/>
              </w:rPr>
              <w:t>For both mineral and organic soils use some combination of default and/or country-specific coefficients and area estimates of increasingly finer spatial resolution. For emissions from liming, use emission factors differentiated by forms of lime.</w:t>
            </w:r>
          </w:p>
        </w:tc>
        <w:tc>
          <w:tcPr>
            <w:tcW w:w="1719" w:type="dxa"/>
          </w:tcPr>
          <w:p>
            <w:pPr>
              <w:pStyle w:val="TableParagraph"/>
              <w:spacing w:before="55"/>
              <w:ind w:left="109" w:right="85"/>
              <w:rPr>
                <w:sz w:val="18"/>
              </w:rPr>
            </w:pPr>
            <w:r>
              <w:rPr>
                <w:sz w:val="18"/>
              </w:rPr>
              <w:t>Use country-specific approach at fine spatial scale (e.g., modeling, measurement)</w:t>
            </w:r>
          </w:p>
        </w:tc>
      </w:tr>
    </w:tbl>
    <w:p>
      <w:pPr>
        <w:pStyle w:val="BodyText"/>
        <w:spacing w:before="9"/>
        <w:rPr>
          <w:sz w:val="23"/>
        </w:rPr>
      </w:pPr>
    </w:p>
    <w:p>
      <w:pPr>
        <w:pStyle w:val="Heading6"/>
        <w:numPr>
          <w:ilvl w:val="3"/>
          <w:numId w:val="69"/>
        </w:numPr>
        <w:tabs>
          <w:tab w:pos="1659" w:val="left" w:leader="none"/>
          <w:tab w:pos="1660" w:val="left" w:leader="none"/>
        </w:tabs>
        <w:spacing w:line="240" w:lineRule="auto" w:before="0" w:after="0"/>
        <w:ind w:left="1659" w:right="0" w:hanging="1440"/>
        <w:jc w:val="left"/>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LIVING</w:t>
      </w:r>
      <w:r>
        <w:rPr>
          <w:spacing w:val="42"/>
        </w:rPr>
        <w:t> </w:t>
      </w:r>
      <w:r>
        <w:rPr>
          <w:spacing w:val="17"/>
        </w:rPr>
        <w:t>BIOMASS</w:t>
      </w:r>
    </w:p>
    <w:p>
      <w:pPr>
        <w:pStyle w:val="BodyText"/>
        <w:spacing w:before="211"/>
        <w:ind w:left="219" w:right="216"/>
        <w:jc w:val="both"/>
      </w:pPr>
      <w:r>
        <w:rPr/>
        <w:t>Although the methods used for estimating biomass changes are conceptually similar between grassland, cropland, and forest (described in detail in Section 3.2.1.1), grasslands are unique in a number of ways. Grasslands are subject to frequent vegetation fires that can influence savannah thickening</w:t>
      </w:r>
      <w:r>
        <w:rPr>
          <w:vertAlign w:val="superscript"/>
        </w:rPr>
        <w:t>1</w:t>
      </w:r>
      <w:r>
        <w:rPr>
          <w:vertAlign w:val="baseline"/>
        </w:rPr>
        <w:t>, mortality and regrowth, and root to shoot ratio. Other management activities, such as tree and brush removal, pasture improvement, tree planting (silvopastoralism), as well as overgrazing and degradation can influence biomass stocks. For woody species in savannahs (grassland with trees), the allometric relationships differ from those used in forests because of large numbers of multi-stem trees, large number of shrubs, hollow trees, high proportion of standing dead trees, high root-to-shoot ratios and coppicing regeneration.</w:t>
      </w:r>
    </w:p>
    <w:p>
      <w:pPr>
        <w:pStyle w:val="BodyText"/>
        <w:spacing w:before="2"/>
        <w:rPr>
          <w:sz w:val="21"/>
        </w:rPr>
      </w:pPr>
    </w:p>
    <w:p>
      <w:pPr>
        <w:pStyle w:val="Heading6"/>
        <w:numPr>
          <w:ilvl w:val="4"/>
          <w:numId w:val="69"/>
        </w:numPr>
        <w:tabs>
          <w:tab w:pos="1243" w:val="left" w:leader="none"/>
        </w:tabs>
        <w:spacing w:line="240" w:lineRule="auto" w:before="1" w:after="0"/>
        <w:ind w:left="1242" w:right="0" w:hanging="1023"/>
        <w:jc w:val="left"/>
      </w:pPr>
      <w:r>
        <w:rPr/>
        <w:t>1 </w:t>
      </w:r>
      <w:r>
        <w:rPr>
          <w:spacing w:val="17"/>
        </w:rPr>
        <w:t>METHODOLOGICAL</w:t>
      </w:r>
      <w:r>
        <w:rPr>
          <w:spacing w:val="23"/>
        </w:rPr>
        <w:t> </w:t>
      </w:r>
      <w:r>
        <w:rPr>
          <w:spacing w:val="16"/>
        </w:rPr>
        <w:t>ISSUES</w:t>
      </w:r>
    </w:p>
    <w:p>
      <w:pPr>
        <w:pStyle w:val="BodyText"/>
        <w:spacing w:before="116"/>
        <w:ind w:left="219" w:right="267"/>
        <w:jc w:val="both"/>
      </w:pPr>
      <w:r>
        <w:rPr/>
        <w:t>Equation 3.4.2 shows the summary equation for estimating changes in carbon stocks in living biomass in grassland remaining grassland. Depending on the methodological tier being used and data availability, grassland can be disaggregated by type, region or climate zone.</w:t>
      </w:r>
    </w:p>
    <w:p>
      <w:pPr>
        <w:pStyle w:val="BodyText"/>
        <w:spacing w:before="1" w:after="1"/>
        <w:rPr>
          <w:sz w:val="13"/>
        </w:rPr>
      </w:pPr>
    </w:p>
    <w:p>
      <w:pPr>
        <w:pStyle w:val="BodyText"/>
        <w:ind w:left="624"/>
      </w:pPr>
      <w:r>
        <w:rPr/>
        <w:pict>
          <v:group style="width:412.95pt;height:66.6pt;mso-position-horizontal-relative:char;mso-position-vertical-relative:line" coordorigin="0,0" coordsize="8259,1332">
            <v:line style="position:absolute" from="29,14" to="8230,14" stroked="true" strokeweight="1.44pt" strokecolor="#000000">
              <v:stroke dashstyle="solid"/>
            </v:line>
            <v:line style="position:absolute" from="29,1318" to="8230,1318" stroked="true" strokeweight="1.44pt" strokecolor="#000000">
              <v:stroke dashstyle="solid"/>
            </v:line>
            <v:line style="position:absolute" from="14,0" to="14,1332" stroked="true" strokeweight="1.44pt" strokecolor="#000000">
              <v:stroke dashstyle="solid"/>
            </v:line>
            <v:line style="position:absolute" from="8244,0" to="8244,1332" stroked="true" strokeweight="1.44pt" strokecolor="#000000">
              <v:stroke dashstyle="solid"/>
            </v:line>
            <v:shape style="position:absolute;left:4848;top:1072;width:525;height:144" type="#_x0000_t202" filled="false" stroked="false">
              <v:textbox inset="0,0,0,0">
                <w:txbxContent>
                  <w:p>
                    <w:pPr>
                      <w:spacing w:line="144" w:lineRule="exact" w:before="0"/>
                      <w:ind w:left="0" w:right="0" w:firstLine="0"/>
                      <w:jc w:val="left"/>
                      <w:rPr>
                        <w:i/>
                        <w:sz w:val="13"/>
                      </w:rPr>
                    </w:pPr>
                    <w:r>
                      <w:rPr>
                        <w:sz w:val="13"/>
                      </w:rPr>
                      <w:t>LB(</w:t>
                    </w:r>
                    <w:r>
                      <w:rPr>
                        <w:i/>
                        <w:sz w:val="13"/>
                      </w:rPr>
                      <w:t>c,i,m)</w:t>
                    </w:r>
                  </w:p>
                </w:txbxContent>
              </v:textbox>
              <w10:wrap type="none"/>
            </v:shape>
            <v:shape style="position:absolute;left:3345;top:1072;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2901;top:895;width:1964;height:261" type="#_x0000_t202" filled="false" stroked="false">
              <v:textbox inset="0,0,0,0">
                <w:txbxContent>
                  <w:p>
                    <w:pPr>
                      <w:tabs>
                        <w:tab w:pos="657" w:val="left" w:leader="none"/>
                      </w:tabs>
                      <w:spacing w:line="247" w:lineRule="exact" w:before="13"/>
                      <w:ind w:left="0" w:right="0" w:firstLine="0"/>
                      <w:jc w:val="left"/>
                      <w:rPr>
                        <w:sz w:val="20"/>
                      </w:rPr>
                    </w:pPr>
                    <w:r>
                      <w:rPr>
                        <w:rFonts w:ascii="Symbol" w:hAnsi="Symbol"/>
                        <w:sz w:val="20"/>
                      </w:rPr>
                      <w:t>∆</w:t>
                    </w:r>
                    <w:r>
                      <w:rPr>
                        <w:sz w:val="20"/>
                      </w:rPr>
                      <w:t>C</w:t>
                    </w:r>
                    <w:r>
                      <w:rPr>
                        <w:sz w:val="20"/>
                        <w:vertAlign w:val="subscript"/>
                      </w:rPr>
                      <w:t>GG</w:t>
                    </w:r>
                    <w:r>
                      <w:rPr>
                        <w:sz w:val="20"/>
                        <w:vertAlign w:val="baseline"/>
                      </w:rPr>
                      <w:tab/>
                      <w:t>= </w:t>
                    </w:r>
                    <w:r>
                      <w:rPr>
                        <w:rFonts w:ascii="Arial" w:hAnsi="Arial"/>
                        <w:sz w:val="20"/>
                        <w:vertAlign w:val="baseline"/>
                      </w:rPr>
                      <w:t>∑</w:t>
                    </w:r>
                    <w:r>
                      <w:rPr>
                        <w:i/>
                        <w:sz w:val="20"/>
                        <w:vertAlign w:val="subscript"/>
                      </w:rPr>
                      <w:t>c</w:t>
                    </w:r>
                    <w:r>
                      <w:rPr>
                        <w:rFonts w:ascii="Arial" w:hAnsi="Arial"/>
                        <w:sz w:val="20"/>
                        <w:vertAlign w:val="baseline"/>
                      </w:rPr>
                      <w:t>∑</w:t>
                    </w:r>
                    <w:r>
                      <w:rPr>
                        <w:i/>
                        <w:sz w:val="20"/>
                        <w:vertAlign w:val="subscript"/>
                      </w:rPr>
                      <w:t>i</w:t>
                    </w:r>
                    <w:r>
                      <w:rPr>
                        <w:i/>
                        <w:sz w:val="20"/>
                        <w:vertAlign w:val="baseline"/>
                      </w:rPr>
                      <w:t> </w:t>
                    </w:r>
                    <w:r>
                      <w:rPr>
                        <w:rFonts w:ascii="Arial" w:hAnsi="Arial"/>
                        <w:sz w:val="20"/>
                        <w:vertAlign w:val="baseline"/>
                      </w:rPr>
                      <w:t>∑</w:t>
                    </w:r>
                    <w:r>
                      <w:rPr>
                        <w:i/>
                        <w:sz w:val="20"/>
                        <w:vertAlign w:val="subscript"/>
                      </w:rPr>
                      <w:t>m</w:t>
                    </w:r>
                    <w:r>
                      <w:rPr>
                        <w:i/>
                        <w:spacing w:val="-25"/>
                        <w:sz w:val="20"/>
                        <w:vertAlign w:val="baseline"/>
                      </w:rPr>
                      <w:t> </w:t>
                    </w:r>
                    <w:r>
                      <w:rPr>
                        <w:rFonts w:ascii="Symbol" w:hAnsi="Symbol"/>
                        <w:spacing w:val="-24"/>
                        <w:sz w:val="20"/>
                        <w:vertAlign w:val="baseline"/>
                      </w:rPr>
                      <w:t>∆</w:t>
                    </w:r>
                    <w:r>
                      <w:rPr>
                        <w:spacing w:val="-24"/>
                        <w:sz w:val="20"/>
                        <w:vertAlign w:val="baseline"/>
                      </w:rPr>
                      <w:t>C</w:t>
                    </w:r>
                    <w:r>
                      <w:rPr>
                        <w:spacing w:val="-24"/>
                        <w:sz w:val="20"/>
                        <w:vertAlign w:val="subscript"/>
                      </w:rPr>
                      <w:t>GG</w:t>
                    </w:r>
                  </w:p>
                </w:txbxContent>
              </v:textbox>
              <w10:wrap type="none"/>
            </v:shape>
            <v:shape style="position:absolute;left:1768;top:136;width:4741;height:674" type="#_x0000_t202" filled="false" stroked="false">
              <v:textbox inset="0,0,0,0">
                <w:txbxContent>
                  <w:p>
                    <w:pPr>
                      <w:spacing w:line="221" w:lineRule="exact" w:before="0"/>
                      <w:ind w:left="0" w:right="17" w:firstLine="0"/>
                      <w:jc w:val="center"/>
                      <w:rPr>
                        <w:b/>
                        <w:sz w:val="20"/>
                      </w:rPr>
                    </w:pPr>
                    <w:r>
                      <w:rPr>
                        <w:b/>
                        <w:sz w:val="20"/>
                      </w:rPr>
                      <w:t>E</w:t>
                    </w:r>
                    <w:r>
                      <w:rPr>
                        <w:b/>
                        <w:sz w:val="16"/>
                      </w:rPr>
                      <w:t>QUATION </w:t>
                    </w:r>
                    <w:r>
                      <w:rPr>
                        <w:b/>
                        <w:sz w:val="20"/>
                      </w:rPr>
                      <w:t>3.4.2</w:t>
                    </w:r>
                  </w:p>
                  <w:p>
                    <w:pPr>
                      <w:spacing w:line="278" w:lineRule="auto" w:before="0"/>
                      <w:ind w:left="-1" w:right="18" w:firstLine="0"/>
                      <w:jc w:val="center"/>
                      <w:rPr>
                        <w:b/>
                        <w:sz w:val="16"/>
                      </w:rPr>
                    </w:pPr>
                    <w:r>
                      <w:rPr>
                        <w:b/>
                        <w:sz w:val="20"/>
                      </w:rPr>
                      <w:t>A</w:t>
                    </w:r>
                    <w:r>
                      <w:rPr>
                        <w:b/>
                        <w:sz w:val="16"/>
                      </w:rPr>
                      <w:t>NNUAL CHANGE IN CARBON STOCKS IN LIVING</w:t>
                    </w:r>
                    <w:r>
                      <w:rPr>
                        <w:b/>
                        <w:spacing w:val="-13"/>
                        <w:sz w:val="16"/>
                      </w:rPr>
                      <w:t> </w:t>
                    </w:r>
                    <w:r>
                      <w:rPr>
                        <w:b/>
                        <w:sz w:val="16"/>
                      </w:rPr>
                      <w:t>BIOMASS IN GRASSLAND REMAINING</w:t>
                    </w:r>
                    <w:r>
                      <w:rPr>
                        <w:b/>
                        <w:spacing w:val="-2"/>
                        <w:sz w:val="16"/>
                      </w:rPr>
                      <w:t> </w:t>
                    </w:r>
                    <w:r>
                      <w:rPr>
                        <w:b/>
                        <w:sz w:val="16"/>
                      </w:rPr>
                      <w:t>GRASSLAND</w:t>
                    </w:r>
                  </w:p>
                </w:txbxContent>
              </v:textbox>
              <w10:wrap type="none"/>
            </v:shape>
          </v:group>
        </w:pict>
      </w:r>
      <w:r>
        <w:rPr/>
      </w:r>
    </w:p>
    <w:p>
      <w:pPr>
        <w:spacing w:after="0"/>
        <w:sectPr>
          <w:pgSz w:w="11900" w:h="16840"/>
          <w:pgMar w:header="230" w:footer="408" w:top="560" w:bottom="600" w:left="1200" w:right="1140"/>
        </w:sectPr>
      </w:pPr>
    </w:p>
    <w:p>
      <w:pPr>
        <w:pStyle w:val="BodyText"/>
        <w:spacing w:before="1"/>
        <w:ind w:left="219"/>
      </w:pPr>
      <w:r>
        <w:rPr/>
        <w:t>Where:</w:t>
      </w:r>
    </w:p>
    <w:p>
      <w:pPr>
        <w:pStyle w:val="BodyText"/>
        <w:spacing w:before="135"/>
        <w:ind w:left="759"/>
      </w:pPr>
      <w:r>
        <w:rPr/>
        <w:pict>
          <v:shape style="position:absolute;margin-left:120.160843pt;margin-top:14.872008pt;width:8.0500pt;height:7.2pt;mso-position-horizontal-relative:page;mso-position-vertical-relative:paragraph;z-index:11128"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GG</w:t>
      </w:r>
    </w:p>
    <w:p>
      <w:pPr>
        <w:pStyle w:val="BodyText"/>
        <w:spacing w:before="6"/>
        <w:rPr>
          <w:sz w:val="35"/>
        </w:rPr>
      </w:pPr>
    </w:p>
    <w:p>
      <w:pPr>
        <w:pStyle w:val="BodyText"/>
        <w:spacing w:line="162" w:lineRule="exact"/>
        <w:ind w:left="759"/>
      </w:pPr>
      <w:r>
        <w:rPr>
          <w:rFonts w:ascii="Symbol" w:hAnsi="Symbol"/>
        </w:rPr>
        <w:t>∆</w:t>
      </w:r>
      <w:r>
        <w:rPr/>
        <w:t>C</w:t>
      </w:r>
      <w:r>
        <w:rPr>
          <w:vertAlign w:val="subscript"/>
        </w:rPr>
        <w:t>GG</w:t>
      </w:r>
    </w:p>
    <w:p>
      <w:pPr>
        <w:pStyle w:val="BodyText"/>
        <w:spacing w:before="9"/>
        <w:rPr>
          <w:sz w:val="31"/>
        </w:rPr>
      </w:pPr>
      <w:r>
        <w:rPr/>
        <w:br w:type="column"/>
      </w:r>
      <w:r>
        <w:rPr>
          <w:sz w:val="31"/>
        </w:rPr>
      </w:r>
    </w:p>
    <w:p>
      <w:pPr>
        <w:pStyle w:val="BodyText"/>
        <w:spacing w:line="302" w:lineRule="auto"/>
        <w:ind w:left="262" w:right="142" w:hanging="224"/>
      </w:pPr>
      <w:r>
        <w:rPr/>
        <w:t>= annual change in carbon stocks in living biomass in grassland remaining grassland summed across all grassland types </w:t>
      </w:r>
      <w:r>
        <w:rPr>
          <w:i/>
        </w:rPr>
        <w:t>i</w:t>
      </w:r>
      <w:r>
        <w:rPr/>
        <w:t>, climate zones </w:t>
      </w:r>
      <w:r>
        <w:rPr>
          <w:i/>
        </w:rPr>
        <w:t>c</w:t>
      </w:r>
      <w:r>
        <w:rPr/>
        <w:t>, and management regimes </w:t>
      </w:r>
      <w:r>
        <w:rPr>
          <w:i/>
        </w:rPr>
        <w:t>m</w:t>
      </w:r>
      <w:r>
        <w:rPr/>
        <w:t>, tonnes C yr</w:t>
      </w:r>
      <w:r>
        <w:rPr>
          <w:vertAlign w:val="superscript"/>
        </w:rPr>
        <w:t>-1</w:t>
      </w:r>
    </w:p>
    <w:p>
      <w:pPr>
        <w:pStyle w:val="BodyText"/>
        <w:spacing w:line="162" w:lineRule="exact" w:before="76"/>
        <w:ind w:left="355"/>
      </w:pPr>
      <w:r>
        <w:rPr/>
        <w:t>= change in carbon stocks in living biomass for a specific grassland type </w:t>
      </w:r>
      <w:r>
        <w:rPr>
          <w:i/>
        </w:rPr>
        <w:t>i</w:t>
      </w:r>
      <w:r>
        <w:rPr/>
        <w:t>, climate zone </w:t>
      </w:r>
      <w:r>
        <w:rPr>
          <w:i/>
        </w:rPr>
        <w:t>c </w:t>
      </w:r>
      <w:r>
        <w:rPr/>
        <w:t>and</w:t>
      </w:r>
    </w:p>
    <w:p>
      <w:pPr>
        <w:spacing w:after="0" w:line="162" w:lineRule="exact"/>
        <w:sectPr>
          <w:type w:val="continuous"/>
          <w:pgSz w:w="11900" w:h="16840"/>
          <w:pgMar w:top="1060" w:bottom="280" w:left="1200" w:right="1140"/>
          <w:cols w:num="2" w:equalWidth="0">
            <w:col w:w="1365" w:space="40"/>
            <w:col w:w="8155"/>
          </w:cols>
        </w:sectPr>
      </w:pPr>
    </w:p>
    <w:p>
      <w:pPr>
        <w:spacing w:line="144" w:lineRule="exact" w:before="0"/>
        <w:ind w:left="0" w:right="0" w:firstLine="0"/>
        <w:jc w:val="right"/>
        <w:rPr>
          <w:i/>
          <w:sz w:val="13"/>
        </w:rPr>
      </w:pPr>
      <w:r>
        <w:rPr>
          <w:sz w:val="13"/>
        </w:rPr>
        <w:t>LB(</w:t>
      </w:r>
      <w:r>
        <w:rPr>
          <w:i/>
          <w:sz w:val="13"/>
        </w:rPr>
        <w:t>c,i,m)</w:t>
      </w:r>
    </w:p>
    <w:p>
      <w:pPr>
        <w:pStyle w:val="BodyText"/>
        <w:spacing w:before="128"/>
        <w:ind w:left="202"/>
      </w:pPr>
      <w:r>
        <w:rPr/>
        <w:br w:type="column"/>
      </w:r>
      <w:r>
        <w:rPr/>
        <w:t>management regime </w:t>
      </w:r>
      <w:r>
        <w:rPr>
          <w:i/>
        </w:rPr>
        <w:t>m</w:t>
      </w:r>
      <w:r>
        <w:rPr/>
        <w:t>, tonnes C yr</w:t>
      </w:r>
      <w:r>
        <w:rPr>
          <w:vertAlign w:val="superscript"/>
        </w:rPr>
        <w:t>-1</w:t>
      </w:r>
    </w:p>
    <w:p>
      <w:pPr>
        <w:spacing w:after="0"/>
        <w:sectPr>
          <w:type w:val="continuous"/>
          <w:pgSz w:w="11900" w:h="16840"/>
          <w:pgMar w:top="1060" w:bottom="280" w:left="1200" w:right="1140"/>
          <w:cols w:num="2" w:equalWidth="0">
            <w:col w:w="1708" w:space="40"/>
            <w:col w:w="7812"/>
          </w:cols>
        </w:sectPr>
      </w:pPr>
    </w:p>
    <w:p>
      <w:pPr>
        <w:pStyle w:val="BodyText"/>
        <w:spacing w:before="10"/>
        <w:rPr>
          <w:sz w:val="11"/>
        </w:rPr>
      </w:pPr>
    </w:p>
    <w:p>
      <w:pPr>
        <w:pStyle w:val="BodyText"/>
        <w:spacing w:line="20" w:lineRule="exact"/>
        <w:ind w:left="214"/>
        <w:rPr>
          <w:sz w:val="2"/>
        </w:rPr>
      </w:pPr>
      <w:r>
        <w:rPr>
          <w:sz w:val="2"/>
        </w:rPr>
        <w:pict>
          <v:group style="width:144pt;height:.5pt;mso-position-horizontal-relative:char;mso-position-vertical-relative:line" coordorigin="0,0" coordsize="2880,10">
            <v:line style="position:absolute" from="0,5" to="2880,5" stroked="true" strokeweight=".48pt" strokecolor="#000000">
              <v:stroke dashstyle="solid"/>
            </v:line>
          </v:group>
        </w:pict>
      </w:r>
      <w:r>
        <w:rPr>
          <w:sz w:val="2"/>
        </w:rPr>
      </w:r>
    </w:p>
    <w:p>
      <w:pPr>
        <w:pStyle w:val="BodyText"/>
        <w:spacing w:before="9"/>
        <w:rPr>
          <w:sz w:val="6"/>
        </w:rPr>
      </w:pPr>
    </w:p>
    <w:p>
      <w:pPr>
        <w:spacing w:before="94"/>
        <w:ind w:left="360" w:right="265" w:hanging="142"/>
        <w:jc w:val="both"/>
        <w:rPr>
          <w:sz w:val="18"/>
        </w:rPr>
      </w:pPr>
      <w:r>
        <w:rPr>
          <w:position w:val="8"/>
          <w:sz w:val="12"/>
        </w:rPr>
        <w:t>1 </w:t>
      </w:r>
      <w:r>
        <w:rPr>
          <w:sz w:val="18"/>
        </w:rPr>
        <w:t>Savannah thickening is a general term referring to an increase in the density and biomass of woody species in grassland ecosystems over time due to changes in fire and/or grazing regimes as well as climate changes. For example, in the south- central US woody biomass encroachment/thickening on grasslands is estimated to have increased biomass stocks by around</w:t>
      </w:r>
    </w:p>
    <w:p>
      <w:pPr>
        <w:spacing w:before="1"/>
        <w:ind w:left="360" w:right="0" w:firstLine="0"/>
        <w:jc w:val="left"/>
        <w:rPr>
          <w:sz w:val="18"/>
        </w:rPr>
      </w:pPr>
      <w:r>
        <w:rPr>
          <w:sz w:val="18"/>
        </w:rPr>
        <w:t>0.7 tonnes d.m. ha</w:t>
      </w:r>
      <w:r>
        <w:rPr>
          <w:sz w:val="18"/>
          <w:vertAlign w:val="superscript"/>
        </w:rPr>
        <w:t>-1</w:t>
      </w:r>
      <w:r>
        <w:rPr>
          <w:sz w:val="18"/>
          <w:vertAlign w:val="baseline"/>
        </w:rPr>
        <w:t> yr</w:t>
      </w:r>
      <w:r>
        <w:rPr>
          <w:sz w:val="18"/>
          <w:vertAlign w:val="superscript"/>
        </w:rPr>
        <w:t>-1</w:t>
      </w:r>
      <w:r>
        <w:rPr>
          <w:sz w:val="18"/>
          <w:vertAlign w:val="baseline"/>
        </w:rPr>
        <w:t> over a several year period (Pacala </w:t>
      </w:r>
      <w:r>
        <w:rPr>
          <w:i/>
          <w:sz w:val="18"/>
          <w:vertAlign w:val="baseline"/>
        </w:rPr>
        <w:t>et. al</w:t>
      </w:r>
      <w:r>
        <w:rPr>
          <w:sz w:val="18"/>
          <w:vertAlign w:val="baseline"/>
        </w:rPr>
        <w:t>. 2001)</w:t>
      </w:r>
    </w:p>
    <w:p>
      <w:pPr>
        <w:spacing w:after="0"/>
        <w:jc w:val="left"/>
        <w:rPr>
          <w:sz w:val="18"/>
        </w:rPr>
        <w:sectPr>
          <w:type w:val="continuous"/>
          <w:pgSz w:w="11900" w:h="16840"/>
          <w:pgMar w:top="1060" w:bottom="280" w:left="1200" w:right="1140"/>
        </w:sectPr>
      </w:pPr>
    </w:p>
    <w:p>
      <w:pPr>
        <w:pStyle w:val="BodyText"/>
      </w:pPr>
    </w:p>
    <w:p>
      <w:pPr>
        <w:pStyle w:val="BodyText"/>
        <w:spacing w:before="2"/>
        <w:rPr>
          <w:sz w:val="18"/>
        </w:rPr>
      </w:pPr>
    </w:p>
    <w:p>
      <w:pPr>
        <w:pStyle w:val="BodyText"/>
        <w:ind w:left="219" w:right="264"/>
        <w:jc w:val="both"/>
      </w:pPr>
      <w:r>
        <w:rPr/>
        <w:t>The living biomass pool in grassland includes above- and belowground carbon stocks in woody and herbaceous (grasses and forbs) vegetation. However, carbon stocks in the aboveground herbaceous component are usually small and relatively insensitive to management; thus aboveground grass biomass is only considered for estimating non-CO</w:t>
      </w:r>
      <w:r>
        <w:rPr>
          <w:vertAlign w:val="subscript"/>
        </w:rPr>
        <w:t>2</w:t>
      </w:r>
      <w:r>
        <w:rPr>
          <w:vertAlign w:val="baseline"/>
        </w:rPr>
        <w:t> emissions from burning. Carbon stocks in belowground biomass of grasses are larger and more sensitive to management changes and are therefore included in estimates of carbon stock changes in living biomass of grassland.</w:t>
      </w:r>
    </w:p>
    <w:p>
      <w:pPr>
        <w:pStyle w:val="BodyText"/>
        <w:spacing w:before="4"/>
        <w:rPr>
          <w:sz w:val="21"/>
        </w:rPr>
      </w:pPr>
    </w:p>
    <w:p>
      <w:pPr>
        <w:pStyle w:val="Heading6"/>
        <w:numPr>
          <w:ilvl w:val="5"/>
          <w:numId w:val="69"/>
        </w:numPr>
        <w:tabs>
          <w:tab w:pos="1449" w:val="left" w:leader="none"/>
        </w:tabs>
        <w:spacing w:line="240" w:lineRule="auto" w:before="0" w:after="0"/>
        <w:ind w:left="1448" w:right="0" w:hanging="1229"/>
        <w:jc w:val="left"/>
      </w:pPr>
      <w:r>
        <w:rPr/>
        <w:t>1 </w:t>
      </w:r>
      <w:r>
        <w:rPr>
          <w:spacing w:val="16"/>
        </w:rPr>
        <w:t>Choice </w:t>
      </w:r>
      <w:r>
        <w:rPr>
          <w:spacing w:val="9"/>
        </w:rPr>
        <w:t>of</w:t>
      </w:r>
      <w:r>
        <w:rPr>
          <w:spacing w:val="-22"/>
        </w:rPr>
        <w:t> </w:t>
      </w:r>
      <w:r>
        <w:rPr>
          <w:spacing w:val="19"/>
        </w:rPr>
        <w:t>Method</w:t>
      </w:r>
    </w:p>
    <w:p>
      <w:pPr>
        <w:pStyle w:val="BodyText"/>
        <w:spacing w:before="56"/>
        <w:ind w:left="219" w:right="264"/>
        <w:jc w:val="both"/>
      </w:pPr>
      <w:r>
        <w:rPr/>
        <w:t>All countries should strive for improving inventory and reporting approaches by advancing to the highest tier possible given national circumstances. It is </w:t>
      </w:r>
      <w:r>
        <w:rPr>
          <w:i/>
        </w:rPr>
        <w:t>good practice </w:t>
      </w:r>
      <w:r>
        <w:rPr/>
        <w:t>for countries to use a Tier 2 or Tier 3 approach if carbon emissions and removals in grassland remaining grassland is a key category and if the sub-category of living biomass is considered significant based on principles outlined in Chapter 5. Countries should use the decision tree in Figure 3.1.1 to help with the choice of method.</w:t>
      </w:r>
    </w:p>
    <w:p>
      <w:pPr>
        <w:pStyle w:val="BodyText"/>
        <w:spacing w:before="120"/>
        <w:ind w:left="219" w:right="264"/>
        <w:jc w:val="both"/>
      </w:pPr>
      <w:r>
        <w:rPr>
          <w:b/>
        </w:rPr>
        <w:t>Tier 1: </w:t>
      </w:r>
      <w:r>
        <w:rPr/>
        <w:t>In grassland where management practices are static, biomass carbon stocks will be in an approximate steady-state (i.e. carbon accumulation through plant growth is roughly balanced by losses through decomposition and fire). In grassland where management changes are occurring over time (e.g. through savannah thickening, tree/brush removal for grazing management, improved pasture management or other practices), the stock changes can be significant. However, information is not available to develop broadly applicable default rates of change in living biomass carbon stocks in grassland for these different management regimes. Therefore, the Tier 1 assumption is no change in living biomass carbon</w:t>
      </w:r>
      <w:r>
        <w:rPr>
          <w:spacing w:val="-7"/>
        </w:rPr>
        <w:t> </w:t>
      </w:r>
      <w:r>
        <w:rPr/>
        <w:t>stocks.</w:t>
      </w:r>
    </w:p>
    <w:p>
      <w:pPr>
        <w:pStyle w:val="BodyText"/>
        <w:spacing w:before="120"/>
        <w:ind w:left="219" w:right="263"/>
        <w:jc w:val="both"/>
      </w:pPr>
      <w:r>
        <w:rPr>
          <w:b/>
        </w:rPr>
        <w:t>Tier 2: </w:t>
      </w:r>
      <w:r>
        <w:rPr/>
        <w:t>At Tier 2, carbon stock changes are estimated for above- and belowground biomass in perennial woody vegetation and for belowground biomass of grasses, as summarised in Equation 3.4.3.</w:t>
      </w:r>
    </w:p>
    <w:p>
      <w:pPr>
        <w:pStyle w:val="BodyText"/>
        <w:spacing w:before="2"/>
        <w:rPr>
          <w:sz w:val="13"/>
        </w:rPr>
      </w:pPr>
    </w:p>
    <w:p>
      <w:pPr>
        <w:pStyle w:val="BodyText"/>
        <w:ind w:left="624"/>
      </w:pPr>
      <w:r>
        <w:rPr/>
        <w:pict>
          <v:group style="width:412.95pt;height:66.75pt;mso-position-horizontal-relative:char;mso-position-vertical-relative:line" coordorigin="0,0" coordsize="8259,1335">
            <v:line style="position:absolute" from="29,14" to="8230,14" stroked="true" strokeweight="1.44pt" strokecolor="#000000">
              <v:stroke dashstyle="solid"/>
            </v:line>
            <v:line style="position:absolute" from="29,1320" to="8230,1320" stroked="true" strokeweight="1.44pt" strokecolor="#000000">
              <v:stroke dashstyle="solid"/>
            </v:line>
            <v:line style="position:absolute" from="14,0" to="14,1334" stroked="true" strokeweight="1.44pt" strokecolor="#000000">
              <v:stroke dashstyle="solid"/>
            </v:line>
            <v:line style="position:absolute" from="8244,0" to="8244,1334" stroked="true" strokeweight="1.44pt" strokecolor="#000000">
              <v:stroke dashstyle="solid"/>
            </v:line>
            <v:shape style="position:absolute;left:3455;top:895;width:2363;height:261" type="#_x0000_t202" filled="false" stroked="false">
              <v:textbox inset="0,0,0,0">
                <w:txbxContent>
                  <w:p>
                    <w:pPr>
                      <w:spacing w:line="245" w:lineRule="exact" w:before="15"/>
                      <w:ind w:left="0" w:right="0" w:firstLine="0"/>
                      <w:jc w:val="left"/>
                      <w:rPr>
                        <w:sz w:val="20"/>
                      </w:rPr>
                    </w:pPr>
                    <w:r>
                      <w:rPr>
                        <w:position w:val="3"/>
                        <w:sz w:val="20"/>
                      </w:rPr>
                      <w:t>= (</w:t>
                    </w:r>
                    <w:r>
                      <w:rPr>
                        <w:rFonts w:ascii="Symbol" w:hAnsi="Symbol"/>
                        <w:position w:val="3"/>
                        <w:sz w:val="20"/>
                      </w:rPr>
                      <w:t>∆</w:t>
                    </w:r>
                    <w:r>
                      <w:rPr>
                        <w:position w:val="3"/>
                        <w:sz w:val="20"/>
                      </w:rPr>
                      <w:t>B</w:t>
                    </w:r>
                    <w:r>
                      <w:rPr>
                        <w:sz w:val="13"/>
                      </w:rPr>
                      <w:t>perennial </w:t>
                    </w:r>
                    <w:r>
                      <w:rPr>
                        <w:position w:val="3"/>
                        <w:sz w:val="20"/>
                      </w:rPr>
                      <w:t>+ </w:t>
                    </w:r>
                    <w:r>
                      <w:rPr>
                        <w:rFonts w:ascii="Symbol" w:hAnsi="Symbol"/>
                        <w:position w:val="3"/>
                        <w:sz w:val="20"/>
                      </w:rPr>
                      <w:t>∆</w:t>
                    </w:r>
                    <w:r>
                      <w:rPr>
                        <w:position w:val="3"/>
                        <w:sz w:val="20"/>
                      </w:rPr>
                      <w:t>B</w:t>
                    </w:r>
                    <w:r>
                      <w:rPr>
                        <w:sz w:val="13"/>
                      </w:rPr>
                      <w:t>grasses</w:t>
                    </w:r>
                    <w:r>
                      <w:rPr>
                        <w:position w:val="3"/>
                        <w:sz w:val="20"/>
                      </w:rPr>
                      <w:t>) ● </w:t>
                    </w:r>
                    <w:r>
                      <w:rPr>
                        <w:spacing w:val="-79"/>
                        <w:position w:val="3"/>
                        <w:sz w:val="20"/>
                      </w:rPr>
                      <w:t>CF</w:t>
                    </w:r>
                  </w:p>
                </w:txbxContent>
              </v:textbox>
              <w10:wrap type="none"/>
            </v:shape>
            <v:shape style="position:absolute;left:2901;top:1072;width:524;height:144" type="#_x0000_t202" filled="false" stroked="false">
              <v:textbox inset="0,0,0,0">
                <w:txbxContent>
                  <w:p>
                    <w:pPr>
                      <w:spacing w:line="144" w:lineRule="exact" w:before="0"/>
                      <w:ind w:left="0" w:right="0" w:firstLine="0"/>
                      <w:jc w:val="left"/>
                      <w:rPr>
                        <w:sz w:val="13"/>
                      </w:rPr>
                    </w:pPr>
                    <w:r>
                      <w:rPr>
                        <w:sz w:val="13"/>
                      </w:rPr>
                      <w:t>LB(</w:t>
                    </w:r>
                    <w:r>
                      <w:rPr>
                        <w:i/>
                        <w:sz w:val="13"/>
                      </w:rPr>
                      <w:t>c,i,m</w:t>
                    </w:r>
                    <w:r>
                      <w:rPr>
                        <w:sz w:val="13"/>
                      </w:rPr>
                      <w:t>)</w:t>
                    </w:r>
                  </w:p>
                </w:txbxContent>
              </v:textbox>
              <w10:wrap type="none"/>
            </v:shape>
            <v:shape style="position:absolute;left:2457;top:895;width:462;height:261" type="#_x0000_t202" filled="false" stroked="false">
              <v:textbox inset="0,0,0,0">
                <w:txbxContent>
                  <w:p>
                    <w:pPr>
                      <w:spacing w:line="246" w:lineRule="exact" w:before="14"/>
                      <w:ind w:left="0" w:right="0" w:firstLine="0"/>
                      <w:jc w:val="left"/>
                      <w:rPr>
                        <w:sz w:val="20"/>
                      </w:rPr>
                    </w:pPr>
                    <w:r>
                      <w:rPr>
                        <w:rFonts w:ascii="Symbol" w:hAnsi="Symbol"/>
                        <w:w w:val="101"/>
                        <w:sz w:val="20"/>
                      </w:rPr>
                      <w:t>∆</w:t>
                    </w:r>
                    <w:r>
                      <w:rPr>
                        <w:spacing w:val="-1"/>
                        <w:w w:val="99"/>
                        <w:sz w:val="20"/>
                      </w:rPr>
                      <w:t>C</w:t>
                    </w:r>
                    <w:r>
                      <w:rPr>
                        <w:w w:val="99"/>
                        <w:sz w:val="20"/>
                        <w:vertAlign w:val="subscript"/>
                      </w:rPr>
                      <w:t>GG</w:t>
                    </w:r>
                  </w:p>
                </w:txbxContent>
              </v:textbox>
              <w10:wrap type="none"/>
            </v:shape>
            <v:shape style="position:absolute;left:1768;top:136;width:4741;height:674" type="#_x0000_t202" filled="false" stroked="false">
              <v:textbox inset="0,0,0,0">
                <w:txbxContent>
                  <w:p>
                    <w:pPr>
                      <w:spacing w:line="221" w:lineRule="exact" w:before="0"/>
                      <w:ind w:left="0" w:right="17" w:firstLine="0"/>
                      <w:jc w:val="center"/>
                      <w:rPr>
                        <w:b/>
                        <w:sz w:val="20"/>
                      </w:rPr>
                    </w:pPr>
                    <w:r>
                      <w:rPr>
                        <w:b/>
                        <w:sz w:val="20"/>
                      </w:rPr>
                      <w:t>E</w:t>
                    </w:r>
                    <w:r>
                      <w:rPr>
                        <w:b/>
                        <w:sz w:val="16"/>
                      </w:rPr>
                      <w:t>QUATION </w:t>
                    </w:r>
                    <w:r>
                      <w:rPr>
                        <w:b/>
                        <w:sz w:val="20"/>
                      </w:rPr>
                      <w:t>3.4.3</w:t>
                    </w:r>
                  </w:p>
                  <w:p>
                    <w:pPr>
                      <w:spacing w:line="278" w:lineRule="auto" w:before="0"/>
                      <w:ind w:left="0" w:right="18" w:firstLine="0"/>
                      <w:jc w:val="center"/>
                      <w:rPr>
                        <w:b/>
                        <w:sz w:val="16"/>
                      </w:rPr>
                    </w:pPr>
                    <w:r>
                      <w:rPr>
                        <w:b/>
                        <w:sz w:val="20"/>
                      </w:rPr>
                      <w:t>A</w:t>
                    </w:r>
                    <w:r>
                      <w:rPr>
                        <w:b/>
                        <w:sz w:val="16"/>
                      </w:rPr>
                      <w:t>NNUAL CHANGE IN CARBON STOCKS IN LIVING BIOMASS IN GRASSLAND REMAINING GRASSLAND</w:t>
                    </w:r>
                  </w:p>
                </w:txbxContent>
              </v:textbox>
              <w10:wrap type="none"/>
            </v:shape>
          </v:group>
        </w:pict>
      </w:r>
      <w:r>
        <w:rPr/>
      </w:r>
    </w:p>
    <w:p>
      <w:pPr>
        <w:spacing w:after="0"/>
        <w:sectPr>
          <w:pgSz w:w="11900" w:h="16840"/>
          <w:pgMar w:header="230" w:footer="408" w:top="560" w:bottom="600" w:left="1200" w:right="1140"/>
        </w:sectPr>
      </w:pPr>
    </w:p>
    <w:p>
      <w:pPr>
        <w:pStyle w:val="BodyText"/>
        <w:spacing w:before="3"/>
        <w:ind w:left="219"/>
      </w:pPr>
      <w:r>
        <w:rPr/>
        <w:t>Where:</w:t>
      </w:r>
    </w:p>
    <w:p>
      <w:pPr>
        <w:pStyle w:val="BodyText"/>
        <w:spacing w:before="133"/>
        <w:ind w:left="759"/>
      </w:pPr>
      <w:r>
        <w:rPr>
          <w:rFonts w:ascii="Symbol" w:hAnsi="Symbol"/>
          <w:w w:val="101"/>
        </w:rPr>
        <w:t>∆</w:t>
      </w:r>
      <w:r>
        <w:rPr>
          <w:spacing w:val="-1"/>
          <w:w w:val="99"/>
        </w:rPr>
        <w:t>C</w:t>
      </w:r>
      <w:r>
        <w:rPr>
          <w:w w:val="99"/>
          <w:vertAlign w:val="subscript"/>
        </w:rPr>
        <w:t>GG</w:t>
      </w:r>
    </w:p>
    <w:p>
      <w:pPr>
        <w:pStyle w:val="BodyText"/>
        <w:rPr>
          <w:sz w:val="14"/>
        </w:rPr>
      </w:pPr>
      <w:r>
        <w:rPr/>
        <w:br w:type="column"/>
      </w:r>
      <w:r>
        <w:rPr>
          <w:sz w:val="14"/>
        </w:rPr>
      </w:r>
    </w:p>
    <w:p>
      <w:pPr>
        <w:pStyle w:val="BodyText"/>
        <w:rPr>
          <w:sz w:val="14"/>
        </w:rPr>
      </w:pPr>
    </w:p>
    <w:p>
      <w:pPr>
        <w:pStyle w:val="BodyText"/>
        <w:spacing w:before="4"/>
        <w:rPr>
          <w:sz w:val="17"/>
        </w:rPr>
      </w:pPr>
    </w:p>
    <w:p>
      <w:pPr>
        <w:spacing w:before="1"/>
        <w:ind w:left="-38" w:right="0" w:firstLine="0"/>
        <w:jc w:val="left"/>
        <w:rPr>
          <w:sz w:val="13"/>
        </w:rPr>
      </w:pPr>
      <w:r>
        <w:rPr>
          <w:spacing w:val="-1"/>
          <w:sz w:val="13"/>
        </w:rPr>
        <w:t>LB(</w:t>
      </w:r>
      <w:r>
        <w:rPr>
          <w:i/>
          <w:spacing w:val="-1"/>
          <w:sz w:val="13"/>
        </w:rPr>
        <w:t>c,i,m</w:t>
      </w:r>
      <w:r>
        <w:rPr>
          <w:spacing w:val="-1"/>
          <w:sz w:val="13"/>
        </w:rPr>
        <w:t>)</w:t>
      </w:r>
    </w:p>
    <w:p>
      <w:pPr>
        <w:pStyle w:val="BodyText"/>
        <w:spacing w:before="9"/>
        <w:rPr>
          <w:sz w:val="31"/>
        </w:rPr>
      </w:pPr>
      <w:r>
        <w:rPr/>
        <w:br w:type="column"/>
      </w:r>
      <w:r>
        <w:rPr>
          <w:sz w:val="31"/>
        </w:rPr>
      </w:r>
    </w:p>
    <w:p>
      <w:pPr>
        <w:pStyle w:val="BodyText"/>
        <w:spacing w:line="302" w:lineRule="auto"/>
        <w:ind w:left="202" w:hanging="190"/>
      </w:pPr>
      <w:r>
        <w:rPr/>
        <w:t>= change in carbon stocks in living biomass for a specific grassland type </w:t>
      </w:r>
      <w:r>
        <w:rPr>
          <w:i/>
        </w:rPr>
        <w:t>i</w:t>
      </w:r>
      <w:r>
        <w:rPr/>
        <w:t>, climate zone </w:t>
      </w:r>
      <w:r>
        <w:rPr>
          <w:i/>
        </w:rPr>
        <w:t>c </w:t>
      </w:r>
      <w:r>
        <w:rPr/>
        <w:t>and management regime </w:t>
      </w:r>
      <w:r>
        <w:rPr>
          <w:i/>
        </w:rPr>
        <w:t>m </w:t>
      </w:r>
      <w:r>
        <w:rPr/>
        <w:t>tonnes C yr</w:t>
      </w:r>
      <w:r>
        <w:rPr>
          <w:vertAlign w:val="superscript"/>
        </w:rPr>
        <w:t>-1</w:t>
      </w:r>
    </w:p>
    <w:p>
      <w:pPr>
        <w:spacing w:after="0" w:line="302" w:lineRule="auto"/>
        <w:sectPr>
          <w:type w:val="continuous"/>
          <w:pgSz w:w="11900" w:h="16840"/>
          <w:pgMar w:top="1060" w:bottom="280" w:left="1200" w:right="1140"/>
          <w:cols w:num="3" w:equalWidth="0">
            <w:col w:w="1201" w:space="40"/>
            <w:col w:w="467" w:space="39"/>
            <w:col w:w="7813"/>
          </w:cols>
        </w:sectPr>
      </w:pPr>
    </w:p>
    <w:p>
      <w:pPr>
        <w:pStyle w:val="BodyText"/>
        <w:spacing w:before="78"/>
        <w:ind w:left="785"/>
      </w:pPr>
      <w:r>
        <w:rPr>
          <w:rFonts w:ascii="Symbol" w:hAnsi="Symbol"/>
        </w:rPr>
        <w:t>∆</w:t>
      </w:r>
      <w:r>
        <w:rPr/>
        <w:t>B</w:t>
      </w:r>
      <w:r>
        <w:rPr>
          <w:vertAlign w:val="subscript"/>
        </w:rPr>
        <w:t>perennial</w:t>
      </w:r>
      <w:r>
        <w:rPr>
          <w:vertAlign w:val="baseline"/>
        </w:rPr>
        <w:t> = change in above- and belowground perennial woody biomass, tonnes d. m. yr</w:t>
      </w:r>
      <w:r>
        <w:rPr>
          <w:vertAlign w:val="superscript"/>
        </w:rPr>
        <w:t>-1</w:t>
      </w:r>
    </w:p>
    <w:p>
      <w:pPr>
        <w:pStyle w:val="BodyText"/>
        <w:spacing w:before="118"/>
        <w:ind w:left="785"/>
      </w:pPr>
      <w:r>
        <w:rPr>
          <w:rFonts w:ascii="Symbol" w:hAnsi="Symbol"/>
        </w:rPr>
        <w:t>∆</w:t>
      </w:r>
      <w:r>
        <w:rPr/>
        <w:t>B</w:t>
      </w:r>
      <w:r>
        <w:rPr>
          <w:vertAlign w:val="subscript"/>
        </w:rPr>
        <w:t>grasses</w:t>
      </w:r>
      <w:r>
        <w:rPr>
          <w:vertAlign w:val="baseline"/>
        </w:rPr>
        <w:t> = change in belowground biomass of grasses, tonnes d. m. yr</w:t>
      </w:r>
      <w:r>
        <w:rPr>
          <w:vertAlign w:val="superscript"/>
        </w:rPr>
        <w:t>-1</w:t>
      </w:r>
    </w:p>
    <w:p>
      <w:pPr>
        <w:pStyle w:val="BodyText"/>
        <w:spacing w:before="102"/>
        <w:ind w:left="785"/>
      </w:pPr>
      <w:r>
        <w:rPr/>
        <w:t>CF</w:t>
      </w:r>
      <w:r>
        <w:rPr>
          <w:spacing w:val="-4"/>
        </w:rPr>
        <w:t> </w:t>
      </w:r>
      <w:r>
        <w:rPr/>
        <w:t>=</w:t>
      </w:r>
      <w:r>
        <w:rPr>
          <w:spacing w:val="-2"/>
        </w:rPr>
        <w:t> </w:t>
      </w:r>
      <w:r>
        <w:rPr/>
        <w:t>carbon</w:t>
      </w:r>
      <w:r>
        <w:rPr>
          <w:spacing w:val="-4"/>
        </w:rPr>
        <w:t> </w:t>
      </w:r>
      <w:r>
        <w:rPr/>
        <w:t>fraction</w:t>
      </w:r>
      <w:r>
        <w:rPr>
          <w:spacing w:val="-4"/>
        </w:rPr>
        <w:t> </w:t>
      </w:r>
      <w:r>
        <w:rPr/>
        <w:t>of</w:t>
      </w:r>
      <w:r>
        <w:rPr>
          <w:spacing w:val="-5"/>
        </w:rPr>
        <w:t> </w:t>
      </w:r>
      <w:r>
        <w:rPr/>
        <w:t>dry</w:t>
      </w:r>
      <w:r>
        <w:rPr>
          <w:spacing w:val="-3"/>
        </w:rPr>
        <w:t> </w:t>
      </w:r>
      <w:r>
        <w:rPr/>
        <w:t>matter</w:t>
      </w:r>
      <w:r>
        <w:rPr>
          <w:spacing w:val="-2"/>
        </w:rPr>
        <w:t> </w:t>
      </w:r>
      <w:r>
        <w:rPr/>
        <w:t>(default</w:t>
      </w:r>
      <w:r>
        <w:rPr>
          <w:spacing w:val="-3"/>
        </w:rPr>
        <w:t> </w:t>
      </w:r>
      <w:r>
        <w:rPr/>
        <w:t>=</w:t>
      </w:r>
      <w:r>
        <w:rPr>
          <w:spacing w:val="-2"/>
        </w:rPr>
        <w:t> </w:t>
      </w:r>
      <w:r>
        <w:rPr/>
        <w:t>0.5),</w:t>
      </w:r>
      <w:r>
        <w:rPr>
          <w:spacing w:val="-2"/>
        </w:rPr>
        <w:t> </w:t>
      </w:r>
      <w:r>
        <w:rPr/>
        <w:t>tonnes</w:t>
      </w:r>
      <w:r>
        <w:rPr>
          <w:spacing w:val="-4"/>
        </w:rPr>
        <w:t> </w:t>
      </w:r>
      <w:r>
        <w:rPr/>
        <w:t>C</w:t>
      </w:r>
      <w:r>
        <w:rPr>
          <w:spacing w:val="-2"/>
        </w:rPr>
        <w:t> </w:t>
      </w:r>
      <w:r>
        <w:rPr/>
        <w:t>(tonnes</w:t>
      </w:r>
      <w:r>
        <w:rPr>
          <w:spacing w:val="-3"/>
        </w:rPr>
        <w:t> </w:t>
      </w:r>
      <w:r>
        <w:rPr/>
        <w:t>d.m.)</w:t>
      </w:r>
      <w:r>
        <w:rPr>
          <w:vertAlign w:val="superscript"/>
        </w:rPr>
        <w:t>-1</w:t>
      </w:r>
    </w:p>
    <w:p>
      <w:pPr>
        <w:pStyle w:val="BodyText"/>
        <w:spacing w:line="223" w:lineRule="auto" w:before="149"/>
        <w:ind w:left="219"/>
      </w:pPr>
      <w:r>
        <w:rPr/>
        <w:t>Changes in living biomass (</w:t>
      </w:r>
      <w:r>
        <w:rPr>
          <w:rFonts w:ascii="Symbol" w:hAnsi="Symbol"/>
        </w:rPr>
        <w:t>∆</w:t>
      </w:r>
      <w:r>
        <w:rPr/>
        <w:t>B) can be estimated in one of two ways: using annual rates of growth and </w:t>
      </w:r>
      <w:r>
        <w:rPr>
          <w:spacing w:val="-16"/>
        </w:rPr>
        <w:t>loss  </w:t>
      </w:r>
      <w:r>
        <w:rPr/>
        <w:t>(Equation 3.4.4) or (b) with biomass stocks at two points in time (Equation</w:t>
      </w:r>
      <w:r>
        <w:rPr>
          <w:spacing w:val="-11"/>
        </w:rPr>
        <w:t> </w:t>
      </w:r>
      <w:r>
        <w:rPr/>
        <w:t>3.4.5).</w:t>
      </w:r>
    </w:p>
    <w:p>
      <w:pPr>
        <w:pStyle w:val="BodyText"/>
        <w:spacing w:before="4"/>
        <w:rPr>
          <w:sz w:val="11"/>
        </w:rPr>
      </w:pPr>
      <w:r>
        <w:rPr/>
        <w:pict>
          <v:shape style="position:absolute;margin-left:91.960999pt;margin-top:9.228135pt;width:411.5pt;height:50.8pt;mso-position-horizontal-relative:page;mso-position-vertical-relative:paragraph;z-index:9224;mso-wrap-distance-left:0;mso-wrap-distance-right:0" type="#_x0000_t202" filled="false" stroked="true" strokeweight="1.44pt" strokecolor="#000000">
            <v:textbox inset="0,0,0,0">
              <w:txbxContent>
                <w:p>
                  <w:pPr>
                    <w:spacing w:line="229" w:lineRule="exact" w:before="99"/>
                    <w:ind w:left="68" w:right="68" w:firstLine="0"/>
                    <w:jc w:val="center"/>
                    <w:rPr>
                      <w:b/>
                      <w:sz w:val="20"/>
                    </w:rPr>
                  </w:pPr>
                  <w:r>
                    <w:rPr>
                      <w:b/>
                      <w:sz w:val="20"/>
                    </w:rPr>
                    <w:t>E</w:t>
                  </w:r>
                  <w:r>
                    <w:rPr>
                      <w:b/>
                      <w:sz w:val="16"/>
                    </w:rPr>
                    <w:t>QUATION </w:t>
                  </w:r>
                  <w:r>
                    <w:rPr>
                      <w:b/>
                      <w:sz w:val="20"/>
                    </w:rPr>
                    <w:t>3.4.4</w:t>
                  </w:r>
                </w:p>
                <w:p>
                  <w:pPr>
                    <w:spacing w:line="229" w:lineRule="exact" w:before="0"/>
                    <w:ind w:left="68" w:right="68" w:firstLine="0"/>
                    <w:jc w:val="center"/>
                    <w:rPr>
                      <w:b/>
                      <w:sz w:val="20"/>
                    </w:rPr>
                  </w:pPr>
                  <w:r>
                    <w:rPr>
                      <w:b/>
                      <w:sz w:val="20"/>
                    </w:rPr>
                    <w:t>A</w:t>
                  </w:r>
                  <w:r>
                    <w:rPr>
                      <w:b/>
                      <w:sz w:val="16"/>
                    </w:rPr>
                    <w:t>NNUAL CHANGE IN LIVING BIOMASS </w:t>
                  </w:r>
                  <w:r>
                    <w:rPr>
                      <w:b/>
                      <w:sz w:val="20"/>
                    </w:rPr>
                    <w:t>( </w:t>
                  </w:r>
                  <w:r>
                    <w:rPr>
                      <w:b/>
                      <w:sz w:val="16"/>
                    </w:rPr>
                    <w:t>RATE APPROACH</w:t>
                  </w:r>
                  <w:r>
                    <w:rPr>
                      <w:b/>
                      <w:sz w:val="20"/>
                    </w:rPr>
                    <w:t>)</w:t>
                  </w:r>
                </w:p>
                <w:p>
                  <w:pPr>
                    <w:spacing w:before="94"/>
                    <w:ind w:left="68" w:right="68" w:firstLine="0"/>
                    <w:jc w:val="center"/>
                    <w:rPr>
                      <w:sz w:val="20"/>
                    </w:rPr>
                  </w:pPr>
                  <w:r>
                    <w:rPr>
                      <w:rFonts w:ascii="Symbol" w:hAnsi="Symbol"/>
                      <w:sz w:val="20"/>
                    </w:rPr>
                    <w:t>∆</w:t>
                  </w:r>
                  <w:r>
                    <w:rPr>
                      <w:sz w:val="20"/>
                    </w:rPr>
                    <w:t>B</w:t>
                  </w:r>
                  <w:r>
                    <w:rPr>
                      <w:i/>
                      <w:sz w:val="20"/>
                      <w:vertAlign w:val="subscript"/>
                    </w:rPr>
                    <w:t>i</w:t>
                  </w:r>
                  <w:r>
                    <w:rPr>
                      <w:i/>
                      <w:sz w:val="20"/>
                      <w:vertAlign w:val="baseline"/>
                    </w:rPr>
                    <w:t> </w:t>
                  </w:r>
                  <w:r>
                    <w:rPr>
                      <w:sz w:val="20"/>
                      <w:vertAlign w:val="baseline"/>
                    </w:rPr>
                    <w:t>= A</w:t>
                  </w:r>
                  <w:r>
                    <w:rPr>
                      <w:i/>
                      <w:sz w:val="20"/>
                      <w:vertAlign w:val="subscript"/>
                    </w:rPr>
                    <w:t>i</w:t>
                  </w:r>
                  <w:r>
                    <w:rPr>
                      <w:i/>
                      <w:sz w:val="20"/>
                      <w:vertAlign w:val="baseline"/>
                    </w:rPr>
                    <w:t> </w:t>
                  </w:r>
                  <w:r>
                    <w:rPr>
                      <w:sz w:val="20"/>
                      <w:vertAlign w:val="baseline"/>
                    </w:rPr>
                    <w:t>● (G – L)</w:t>
                  </w:r>
                </w:p>
              </w:txbxContent>
            </v:textbox>
            <v:stroke dashstyle="solid"/>
            <w10:wrap type="topAndBottom"/>
          </v:shape>
        </w:pict>
      </w:r>
    </w:p>
    <w:p>
      <w:pPr>
        <w:pStyle w:val="BodyText"/>
        <w:spacing w:before="4"/>
        <w:ind w:left="219"/>
      </w:pPr>
      <w:r>
        <w:rPr/>
        <w:t>Where:</w:t>
      </w:r>
    </w:p>
    <w:p>
      <w:pPr>
        <w:pStyle w:val="BodyText"/>
        <w:spacing w:line="338" w:lineRule="auto" w:before="135"/>
        <w:ind w:left="785" w:right="2464"/>
      </w:pPr>
      <w:r>
        <w:rPr>
          <w:rFonts w:ascii="Symbol" w:hAnsi="Symbol"/>
        </w:rPr>
        <w:t>∆</w:t>
      </w:r>
      <w:r>
        <w:rPr/>
        <w:t>B</w:t>
      </w:r>
      <w:r>
        <w:rPr>
          <w:i/>
          <w:vertAlign w:val="subscript"/>
        </w:rPr>
        <w:t>i</w:t>
      </w:r>
      <w:r>
        <w:rPr>
          <w:i/>
          <w:vertAlign w:val="baseline"/>
        </w:rPr>
        <w:t> </w:t>
      </w:r>
      <w:r>
        <w:rPr>
          <w:vertAlign w:val="baseline"/>
        </w:rPr>
        <w:t>= annual change in living biomass in grassland of type </w:t>
      </w:r>
      <w:r>
        <w:rPr>
          <w:i/>
          <w:vertAlign w:val="baseline"/>
        </w:rPr>
        <w:t>i</w:t>
      </w:r>
      <w:r>
        <w:rPr>
          <w:vertAlign w:val="baseline"/>
        </w:rPr>
        <w:t>, tonnes d. m. yr</w:t>
      </w:r>
      <w:r>
        <w:rPr>
          <w:vertAlign w:val="superscript"/>
        </w:rPr>
        <w:t>-1</w:t>
      </w:r>
      <w:r>
        <w:rPr>
          <w:vertAlign w:val="baseline"/>
        </w:rPr>
        <w:t> A</w:t>
      </w:r>
      <w:r>
        <w:rPr>
          <w:i/>
          <w:vertAlign w:val="subscript"/>
        </w:rPr>
        <w:t>i</w:t>
      </w:r>
      <w:r>
        <w:rPr>
          <w:i/>
          <w:vertAlign w:val="baseline"/>
        </w:rPr>
        <w:t> </w:t>
      </w:r>
      <w:r>
        <w:rPr>
          <w:vertAlign w:val="baseline"/>
        </w:rPr>
        <w:t>= area of grassland of type </w:t>
      </w:r>
      <w:r>
        <w:rPr>
          <w:i/>
          <w:vertAlign w:val="baseline"/>
        </w:rPr>
        <w:t>i</w:t>
      </w:r>
      <w:r>
        <w:rPr>
          <w:vertAlign w:val="baseline"/>
        </w:rPr>
        <w:t>, ha</w:t>
      </w:r>
    </w:p>
    <w:p>
      <w:pPr>
        <w:pStyle w:val="BodyText"/>
        <w:spacing w:line="364" w:lineRule="auto" w:before="33"/>
        <w:ind w:left="785" w:right="4099"/>
      </w:pPr>
      <w:r>
        <w:rPr/>
        <w:t>G </w:t>
      </w:r>
      <w:r>
        <w:rPr>
          <w:i/>
        </w:rPr>
        <w:t>= </w:t>
      </w:r>
      <w:r>
        <w:rPr/>
        <w:t>average annual biomass growth, tonnes d. m. ha</w:t>
      </w:r>
      <w:r>
        <w:rPr>
          <w:vertAlign w:val="superscript"/>
        </w:rPr>
        <w:t>-1</w:t>
      </w:r>
      <w:r>
        <w:rPr>
          <w:vertAlign w:val="baseline"/>
        </w:rPr>
        <w:t> yr</w:t>
      </w:r>
      <w:r>
        <w:rPr>
          <w:vertAlign w:val="superscript"/>
        </w:rPr>
        <w:t>-1</w:t>
      </w:r>
      <w:r>
        <w:rPr>
          <w:vertAlign w:val="baseline"/>
        </w:rPr>
        <w:t> L </w:t>
      </w:r>
      <w:r>
        <w:rPr>
          <w:i/>
          <w:vertAlign w:val="baseline"/>
        </w:rPr>
        <w:t>= </w:t>
      </w:r>
      <w:r>
        <w:rPr>
          <w:vertAlign w:val="baseline"/>
        </w:rPr>
        <w:t>average annual biomass loss, tonnes d. m. ha</w:t>
      </w:r>
      <w:r>
        <w:rPr>
          <w:vertAlign w:val="superscript"/>
        </w:rPr>
        <w:t>-1</w:t>
      </w:r>
      <w:r>
        <w:rPr>
          <w:vertAlign w:val="baseline"/>
        </w:rPr>
        <w:t> yr</w:t>
      </w:r>
      <w:r>
        <w:rPr>
          <w:vertAlign w:val="superscript"/>
        </w:rPr>
        <w:t>-1</w:t>
      </w:r>
    </w:p>
    <w:p>
      <w:pPr>
        <w:pStyle w:val="BodyText"/>
        <w:spacing w:before="2"/>
        <w:ind w:left="219" w:right="265"/>
        <w:jc w:val="both"/>
      </w:pPr>
      <w:r>
        <w:rPr/>
        <w:t>The biomass difference approach (Equation 3.4.5) can be applied where data on biomass stocks are estimated at regular time intervals through some types of national inventory system. The difference between total biomass stocks at two points in time is calculated. This value is divided by the number of years between measurements to generate an annual rate of change in biomass stocks.</w:t>
      </w:r>
    </w:p>
    <w:p>
      <w:pPr>
        <w:spacing w:after="0"/>
        <w:jc w:val="both"/>
        <w:sectPr>
          <w:type w:val="continuous"/>
          <w:pgSz w:w="11900" w:h="16840"/>
          <w:pgMar w:top="1060" w:bottom="280" w:left="1200" w:right="1140"/>
        </w:sectPr>
      </w:pPr>
    </w:p>
    <w:p>
      <w:pPr>
        <w:pStyle w:val="BodyText"/>
      </w:pPr>
    </w:p>
    <w:p>
      <w:pPr>
        <w:pStyle w:val="BodyText"/>
        <w:spacing w:before="8"/>
        <w:rPr>
          <w:sz w:val="17"/>
        </w:rPr>
      </w:pPr>
    </w:p>
    <w:p>
      <w:pPr>
        <w:pStyle w:val="BodyText"/>
        <w:ind w:left="624"/>
      </w:pPr>
      <w:r>
        <w:rPr/>
        <w:pict>
          <v:group style="width:412.95pt;height:55.1pt;mso-position-horizontal-relative:char;mso-position-vertical-relative:line" coordorigin="0,0" coordsize="8259,1102">
            <v:line style="position:absolute" from="29,14" to="8230,14" stroked="true" strokeweight="1.44pt" strokecolor="#000000">
              <v:stroke dashstyle="solid"/>
            </v:line>
            <v:line style="position:absolute" from="29,1087" to="8230,1087" stroked="true" strokeweight="1.44pt" strokecolor="#000000">
              <v:stroke dashstyle="solid"/>
            </v:line>
            <v:line style="position:absolute" from="14,0" to="14,1102" stroked="true" strokeweight="1.44pt" strokecolor="#000000">
              <v:stroke dashstyle="solid"/>
            </v:line>
            <v:line style="position:absolute" from="8244,0" to="8244,1102" stroked="true" strokeweight="1.44pt" strokecolor="#000000">
              <v:stroke dashstyle="solid"/>
            </v:line>
            <v:shape style="position:absolute;left:3842;top:842;width:1266;height:144" type="#_x0000_t202" filled="false" stroked="false">
              <v:textbox inset="0,0,0,0">
                <w:txbxContent>
                  <w:p>
                    <w:pPr>
                      <w:tabs>
                        <w:tab w:pos="448" w:val="left" w:leader="none"/>
                        <w:tab w:pos="859" w:val="left" w:leader="none"/>
                        <w:tab w:pos="1180" w:val="left" w:leader="none"/>
                      </w:tabs>
                      <w:spacing w:line="144" w:lineRule="exact" w:before="0"/>
                      <w:ind w:left="0" w:right="0" w:firstLine="0"/>
                      <w:jc w:val="left"/>
                      <w:rPr>
                        <w:sz w:val="13"/>
                      </w:rPr>
                    </w:pPr>
                    <w:r>
                      <w:rPr>
                        <w:sz w:val="13"/>
                      </w:rPr>
                      <w:t>2</w:t>
                      <w:tab/>
                      <w:t>1</w:t>
                      <w:tab/>
                      <w:t>2</w:t>
                      <w:tab/>
                      <w:t>1</w:t>
                    </w:r>
                  </w:p>
                </w:txbxContent>
              </v:textbox>
              <w10:wrap type="none"/>
            </v:shape>
            <v:shape style="position:absolute;left:3103;top:665;width:2069;height:261" type="#_x0000_t202" filled="false" stroked="false">
              <v:textbox inset="0,0,0,0">
                <w:txbxContent>
                  <w:p>
                    <w:pPr>
                      <w:spacing w:line="246" w:lineRule="exact" w:before="14"/>
                      <w:ind w:left="0" w:right="0" w:firstLine="0"/>
                      <w:jc w:val="left"/>
                      <w:rPr>
                        <w:sz w:val="20"/>
                      </w:rPr>
                    </w:pPr>
                    <w:r>
                      <w:rPr>
                        <w:rFonts w:ascii="Symbol" w:hAnsi="Symbol"/>
                        <w:sz w:val="20"/>
                      </w:rPr>
                      <w:t>∆</w:t>
                    </w:r>
                    <w:r>
                      <w:rPr>
                        <w:sz w:val="20"/>
                      </w:rPr>
                      <w:t>B = (B </w:t>
                    </w:r>
                    <w:r>
                      <w:rPr>
                        <w:sz w:val="20"/>
                        <w:vertAlign w:val="subscript"/>
                      </w:rPr>
                      <w:t>t</w:t>
                    </w:r>
                    <w:r>
                      <w:rPr>
                        <w:sz w:val="20"/>
                        <w:vertAlign w:val="baseline"/>
                      </w:rPr>
                      <w:t> – B </w:t>
                    </w:r>
                    <w:r>
                      <w:rPr>
                        <w:sz w:val="20"/>
                        <w:vertAlign w:val="subscript"/>
                      </w:rPr>
                      <w:t>t</w:t>
                    </w:r>
                    <w:r>
                      <w:rPr>
                        <w:sz w:val="20"/>
                        <w:vertAlign w:val="baseline"/>
                      </w:rPr>
                      <w:t> ) / (t – t </w:t>
                    </w:r>
                    <w:r>
                      <w:rPr>
                        <w:spacing w:val="-67"/>
                        <w:sz w:val="20"/>
                        <w:vertAlign w:val="baseline"/>
                      </w:rPr>
                      <w:t>)</w:t>
                    </w:r>
                  </w:p>
                </w:txbxContent>
              </v:textbox>
              <w10:wrap type="none"/>
            </v:shape>
            <v:shape style="position:absolute;left:1509;top:136;width:5259;height:449" type="#_x0000_t202" filled="false" stroked="false">
              <v:textbox inset="0,0,0,0">
                <w:txbxContent>
                  <w:p>
                    <w:pPr>
                      <w:spacing w:line="220" w:lineRule="exact" w:before="0"/>
                      <w:ind w:left="0" w:right="16" w:firstLine="0"/>
                      <w:jc w:val="center"/>
                      <w:rPr>
                        <w:b/>
                        <w:sz w:val="20"/>
                      </w:rPr>
                    </w:pPr>
                    <w:r>
                      <w:rPr>
                        <w:b/>
                        <w:sz w:val="20"/>
                      </w:rPr>
                      <w:t>E</w:t>
                    </w:r>
                    <w:r>
                      <w:rPr>
                        <w:b/>
                        <w:sz w:val="16"/>
                      </w:rPr>
                      <w:t>QUATION </w:t>
                    </w:r>
                    <w:r>
                      <w:rPr>
                        <w:b/>
                        <w:sz w:val="20"/>
                      </w:rPr>
                      <w:t>3.4.5</w:t>
                    </w:r>
                  </w:p>
                  <w:p>
                    <w:pPr>
                      <w:spacing w:line="229" w:lineRule="exact" w:before="0"/>
                      <w:ind w:left="0" w:right="18" w:firstLine="0"/>
                      <w:jc w:val="center"/>
                      <w:rPr>
                        <w:b/>
                        <w:sz w:val="20"/>
                      </w:rPr>
                    </w:pPr>
                    <w:r>
                      <w:rPr>
                        <w:b/>
                        <w:sz w:val="20"/>
                      </w:rPr>
                      <w:t>A</w:t>
                    </w:r>
                    <w:r>
                      <w:rPr>
                        <w:b/>
                        <w:sz w:val="16"/>
                      </w:rPr>
                      <w:t>NNUAL CHANGE IN LIVING BIOMASS </w:t>
                    </w:r>
                    <w:r>
                      <w:rPr>
                        <w:b/>
                        <w:sz w:val="20"/>
                      </w:rPr>
                      <w:t>(</w:t>
                    </w:r>
                    <w:r>
                      <w:rPr>
                        <w:b/>
                        <w:sz w:val="16"/>
                      </w:rPr>
                      <w:t>DIFFERENCE APPROACH</w:t>
                    </w:r>
                    <w:r>
                      <w:rPr>
                        <w:b/>
                        <w:sz w:val="20"/>
                      </w:rPr>
                      <w:t>)</w:t>
                    </w:r>
                  </w:p>
                </w:txbxContent>
              </v:textbox>
              <w10:wrap type="none"/>
            </v:shape>
          </v:group>
        </w:pict>
      </w:r>
      <w:r>
        <w:rPr/>
      </w:r>
    </w:p>
    <w:p>
      <w:pPr>
        <w:pStyle w:val="BodyText"/>
        <w:spacing w:line="226" w:lineRule="exact"/>
        <w:ind w:left="219"/>
      </w:pPr>
      <w:r>
        <w:rPr/>
        <w:t>Where:</w:t>
      </w:r>
    </w:p>
    <w:p>
      <w:pPr>
        <w:pStyle w:val="BodyText"/>
        <w:spacing w:line="338" w:lineRule="auto" w:before="137"/>
        <w:ind w:left="670" w:right="4423"/>
      </w:pPr>
      <w:r>
        <w:rPr/>
        <w:pict>
          <v:shape style="position:absolute;margin-left:185.440598pt;margin-top:32.371246pt;width:3.25pt;height:7.2pt;mso-position-horizontal-relative:page;mso-position-vertical-relative:paragraph;z-index:-2444752" type="#_x0000_t202" filled="false" stroked="false">
            <v:textbox inset="0,0,0,0">
              <w:txbxContent>
                <w:p>
                  <w:pPr>
                    <w:spacing w:line="144" w:lineRule="exact" w:before="0"/>
                    <w:ind w:left="0" w:right="0" w:firstLine="0"/>
                    <w:jc w:val="left"/>
                    <w:rPr>
                      <w:sz w:val="13"/>
                    </w:rPr>
                  </w:pPr>
                  <w:r>
                    <w:rPr>
                      <w:w w:val="99"/>
                      <w:sz w:val="13"/>
                    </w:rPr>
                    <w:t>2</w:t>
                  </w:r>
                </w:p>
              </w:txbxContent>
            </v:textbox>
            <w10:wrap type="none"/>
          </v:shape>
        </w:pict>
      </w:r>
      <w:r>
        <w:rPr>
          <w:rFonts w:ascii="Symbol" w:hAnsi="Symbol"/>
        </w:rPr>
        <w:t>∆</w:t>
      </w:r>
      <w:r>
        <w:rPr/>
        <w:t>B = annual change in living biomass, tonnes d. m. </w:t>
      </w:r>
      <w:r>
        <w:rPr>
          <w:spacing w:val="-20"/>
        </w:rPr>
        <w:t>yr</w:t>
      </w:r>
      <w:r>
        <w:rPr>
          <w:spacing w:val="-20"/>
          <w:vertAlign w:val="superscript"/>
        </w:rPr>
        <w:t>-1</w:t>
      </w:r>
      <w:r>
        <w:rPr>
          <w:spacing w:val="-20"/>
          <w:vertAlign w:val="baseline"/>
        </w:rPr>
        <w:t> </w:t>
      </w:r>
      <w:r>
        <w:rPr>
          <w:vertAlign w:val="baseline"/>
        </w:rPr>
        <w:t>B </w:t>
      </w:r>
      <w:r>
        <w:rPr>
          <w:vertAlign w:val="subscript"/>
        </w:rPr>
        <w:t>t</w:t>
      </w:r>
      <w:r>
        <w:rPr>
          <w:position w:val="-8"/>
          <w:sz w:val="13"/>
          <w:vertAlign w:val="baseline"/>
        </w:rPr>
        <w:t>2 </w:t>
      </w:r>
      <w:r>
        <w:rPr>
          <w:vertAlign w:val="baseline"/>
        </w:rPr>
        <w:t>= biomass at time t , tonnes d.</w:t>
      </w:r>
      <w:r>
        <w:rPr>
          <w:spacing w:val="-21"/>
          <w:vertAlign w:val="baseline"/>
        </w:rPr>
        <w:t> </w:t>
      </w:r>
      <w:r>
        <w:rPr>
          <w:vertAlign w:val="baseline"/>
        </w:rPr>
        <w:t>m.</w:t>
      </w:r>
    </w:p>
    <w:p>
      <w:pPr>
        <w:pStyle w:val="BodyText"/>
        <w:spacing w:before="18"/>
        <w:ind w:left="670"/>
      </w:pPr>
      <w:r>
        <w:rPr/>
        <w:pict>
          <v:shape style="position:absolute;margin-left:185.440598pt;margin-top:9.021936pt;width:3.25pt;height:7.2pt;mso-position-horizontal-relative:page;mso-position-vertical-relative:paragraph;z-index:-2444728" type="#_x0000_t202" filled="false" stroked="false">
            <v:textbox inset="0,0,0,0">
              <w:txbxContent>
                <w:p>
                  <w:pPr>
                    <w:spacing w:line="144" w:lineRule="exact" w:before="0"/>
                    <w:ind w:left="0" w:right="0" w:firstLine="0"/>
                    <w:jc w:val="left"/>
                    <w:rPr>
                      <w:sz w:val="13"/>
                    </w:rPr>
                  </w:pPr>
                  <w:r>
                    <w:rPr>
                      <w:w w:val="99"/>
                      <w:sz w:val="13"/>
                    </w:rPr>
                    <w:t>1</w:t>
                  </w:r>
                </w:p>
              </w:txbxContent>
            </v:textbox>
            <w10:wrap type="none"/>
          </v:shape>
        </w:pict>
      </w:r>
      <w:r>
        <w:rPr/>
        <w:t>B </w:t>
      </w:r>
      <w:r>
        <w:rPr>
          <w:vertAlign w:val="subscript"/>
        </w:rPr>
        <w:t>t</w:t>
      </w:r>
      <w:r>
        <w:rPr>
          <w:position w:val="-8"/>
          <w:sz w:val="13"/>
          <w:vertAlign w:val="baseline"/>
        </w:rPr>
        <w:t>1 </w:t>
      </w:r>
      <w:r>
        <w:rPr>
          <w:vertAlign w:val="baseline"/>
        </w:rPr>
        <w:t>= biomass at time t , tonnes d.</w:t>
      </w:r>
      <w:r>
        <w:rPr>
          <w:spacing w:val="-6"/>
          <w:vertAlign w:val="baseline"/>
        </w:rPr>
        <w:t> </w:t>
      </w:r>
      <w:r>
        <w:rPr>
          <w:vertAlign w:val="baseline"/>
        </w:rPr>
        <w:t>m.</w:t>
      </w:r>
    </w:p>
    <w:p>
      <w:pPr>
        <w:pStyle w:val="BodyText"/>
        <w:spacing w:before="106"/>
        <w:ind w:left="219" w:right="268"/>
        <w:jc w:val="both"/>
      </w:pPr>
      <w:r>
        <w:rPr/>
        <w:t>Tier 2 methods involve country- or region-specific estimates of biomass stocks by major grassland types and management activity and estimates of stock change as a function of major management activity (i.e. grazing and fire regimes, productivity management).</w:t>
      </w:r>
    </w:p>
    <w:p>
      <w:pPr>
        <w:pStyle w:val="BodyText"/>
        <w:spacing w:before="119"/>
        <w:ind w:left="219" w:right="264"/>
        <w:jc w:val="both"/>
      </w:pPr>
      <w:r>
        <w:rPr/>
        <w:t>Either of the approaches described above can be used to estimate changes in above- and belowground biomass. In long-established grassland, changes in biomass are likely only in response to relatively recent changes (e.g. within the past 20 yrs) in management practices. Therefore, it is </w:t>
      </w:r>
      <w:r>
        <w:rPr>
          <w:i/>
        </w:rPr>
        <w:t>good practice </w:t>
      </w:r>
      <w:r>
        <w:rPr/>
        <w:t>to associate estimates of biomass change with specific management conditions, categorized if possible by climate and grassland type. For example, when using the rate approach, the area of semi-arid grassland under intensive grazing should be multiplied by coefficients (G and L) that are specific to semi-arid intensively grazed grassland. If the difference approach is used, then biomass stocks should be measured or estimated separately for different grassland types under specific management regimes. A stratification of management regimes/grassland conditions could include categories such as: native, extensively managed grassland, grassland subject to woody encroachment, moderately and severely degrading grassland, intensively managed, improved pastures (see broadly defined management conditions in Section 3.4.1.2. on Changes in Carbon Stocks in</w:t>
      </w:r>
      <w:r>
        <w:rPr>
          <w:spacing w:val="-11"/>
        </w:rPr>
        <w:t> </w:t>
      </w:r>
      <w:r>
        <w:rPr/>
        <w:t>Soils).</w:t>
      </w:r>
    </w:p>
    <w:p>
      <w:pPr>
        <w:pStyle w:val="BodyText"/>
        <w:spacing w:before="120"/>
        <w:ind w:left="219" w:right="264"/>
        <w:jc w:val="both"/>
      </w:pPr>
      <w:r>
        <w:rPr/>
        <w:t>While Equations 3.4.4 and 3.4.5 can be used to estimate changes in belowground biomass stocks directly, belowground biomass stocks are often approximated using expansion factors applied to aboveground biomass stocks. Such expansion factors are ratios of belowground to aboveground biomass, otherwise known as root to shoot ratios. The ratios may vary by grassland type, climate region, and management activity. Equation 3.4.6 demonstrates how to estimate total (above- and belowground) biomass stocks. Note that aboveground biomass (B</w:t>
      </w:r>
      <w:r>
        <w:rPr>
          <w:vertAlign w:val="subscript"/>
        </w:rPr>
        <w:t>AG</w:t>
      </w:r>
      <w:r>
        <w:rPr>
          <w:vertAlign w:val="baseline"/>
        </w:rPr>
        <w:t>) must be estimated first and then applied in Equation 3.4.6. Total biomass stock (B</w:t>
      </w:r>
      <w:r>
        <w:rPr>
          <w:vertAlign w:val="subscript"/>
        </w:rPr>
        <w:t>Total</w:t>
      </w:r>
      <w:r>
        <w:rPr>
          <w:vertAlign w:val="baseline"/>
        </w:rPr>
        <w:t>), belowground biomass stock (B</w:t>
      </w:r>
      <w:r>
        <w:rPr>
          <w:vertAlign w:val="subscript"/>
        </w:rPr>
        <w:t>BG</w:t>
      </w:r>
      <w:r>
        <w:rPr>
          <w:vertAlign w:val="baseline"/>
        </w:rPr>
        <w:t>), or aboveground biomass stock (B</w:t>
      </w:r>
      <w:r>
        <w:rPr>
          <w:vertAlign w:val="subscript"/>
        </w:rPr>
        <w:t>AG</w:t>
      </w:r>
      <w:r>
        <w:rPr>
          <w:vertAlign w:val="baseline"/>
        </w:rPr>
        <w:t>) from Equation 3.4.6 can be used in Equations 3.4.5 to estimate changes in biomass stocks over time.</w:t>
      </w:r>
    </w:p>
    <w:p>
      <w:pPr>
        <w:pStyle w:val="BodyText"/>
        <w:spacing w:before="2"/>
        <w:rPr>
          <w:sz w:val="11"/>
        </w:rPr>
      </w:pPr>
      <w:r>
        <w:rPr/>
        <w:pict>
          <v:shape style="position:absolute;margin-left:91.960999pt;margin-top:9.141409pt;width:411.5pt;height:81pt;mso-position-horizontal-relative:page;mso-position-vertical-relative:paragraph;z-index:9344;mso-wrap-distance-left:0;mso-wrap-distance-right:0" type="#_x0000_t202" filled="false" stroked="true" strokeweight="1.44pt" strokecolor="#000000">
            <v:textbox inset="0,0,0,0">
              <w:txbxContent>
                <w:p>
                  <w:pPr>
                    <w:spacing w:before="99"/>
                    <w:ind w:left="3417" w:right="3415" w:hanging="1"/>
                    <w:jc w:val="center"/>
                    <w:rPr>
                      <w:b/>
                      <w:sz w:val="16"/>
                    </w:rPr>
                  </w:pPr>
                  <w:r>
                    <w:rPr>
                      <w:b/>
                      <w:sz w:val="20"/>
                    </w:rPr>
                    <w:t>E</w:t>
                  </w:r>
                  <w:r>
                    <w:rPr>
                      <w:b/>
                      <w:sz w:val="16"/>
                    </w:rPr>
                    <w:t>QUATION </w:t>
                  </w:r>
                  <w:r>
                    <w:rPr>
                      <w:b/>
                      <w:sz w:val="20"/>
                    </w:rPr>
                    <w:t>3.4.6 T</w:t>
                  </w:r>
                  <w:r>
                    <w:rPr>
                      <w:b/>
                      <w:sz w:val="16"/>
                    </w:rPr>
                    <w:t>OTAL</w:t>
                  </w:r>
                  <w:r>
                    <w:rPr>
                      <w:b/>
                      <w:spacing w:val="11"/>
                      <w:sz w:val="16"/>
                    </w:rPr>
                    <w:t> </w:t>
                  </w:r>
                  <w:r>
                    <w:rPr>
                      <w:b/>
                      <w:spacing w:val="-4"/>
                      <w:sz w:val="16"/>
                    </w:rPr>
                    <w:t>BIOMASS</w:t>
                  </w:r>
                </w:p>
                <w:p>
                  <w:pPr>
                    <w:spacing w:before="76"/>
                    <w:ind w:left="68" w:right="68" w:firstLine="0"/>
                    <w:jc w:val="center"/>
                    <w:rPr>
                      <w:sz w:val="13"/>
                    </w:rPr>
                  </w:pPr>
                  <w:r>
                    <w:rPr>
                      <w:position w:val="3"/>
                      <w:sz w:val="20"/>
                    </w:rPr>
                    <w:t>B</w:t>
                  </w:r>
                  <w:r>
                    <w:rPr>
                      <w:sz w:val="13"/>
                    </w:rPr>
                    <w:t>Total </w:t>
                  </w:r>
                  <w:r>
                    <w:rPr>
                      <w:position w:val="3"/>
                      <w:sz w:val="20"/>
                    </w:rPr>
                    <w:t>= B</w:t>
                  </w:r>
                  <w:r>
                    <w:rPr>
                      <w:sz w:val="13"/>
                    </w:rPr>
                    <w:t>AG </w:t>
                  </w:r>
                  <w:r>
                    <w:rPr>
                      <w:position w:val="3"/>
                      <w:sz w:val="20"/>
                    </w:rPr>
                    <w:t>+</w:t>
                  </w:r>
                  <w:r>
                    <w:rPr>
                      <w:spacing w:val="28"/>
                      <w:position w:val="3"/>
                      <w:sz w:val="20"/>
                    </w:rPr>
                    <w:t> </w:t>
                  </w:r>
                  <w:r>
                    <w:rPr>
                      <w:position w:val="3"/>
                      <w:sz w:val="20"/>
                    </w:rPr>
                    <w:t>B</w:t>
                  </w:r>
                  <w:r>
                    <w:rPr>
                      <w:sz w:val="13"/>
                    </w:rPr>
                    <w:t>BG</w:t>
                  </w:r>
                </w:p>
                <w:p>
                  <w:pPr>
                    <w:pStyle w:val="BodyText"/>
                    <w:spacing w:before="64"/>
                    <w:ind w:left="111" w:right="62"/>
                    <w:jc w:val="center"/>
                  </w:pPr>
                  <w:r>
                    <w:rPr/>
                    <w:t>and</w:t>
                  </w:r>
                </w:p>
                <w:p>
                  <w:pPr>
                    <w:pStyle w:val="BodyText"/>
                    <w:spacing w:before="82"/>
                    <w:ind w:left="67" w:right="68"/>
                    <w:jc w:val="center"/>
                  </w:pPr>
                  <w:r>
                    <w:rPr/>
                    <w:t>B</w:t>
                  </w:r>
                  <w:r>
                    <w:rPr>
                      <w:vertAlign w:val="subscript"/>
                    </w:rPr>
                    <w:t>BG</w:t>
                  </w:r>
                  <w:r>
                    <w:rPr>
                      <w:vertAlign w:val="baseline"/>
                    </w:rPr>
                    <w:t> = B</w:t>
                  </w:r>
                  <w:r>
                    <w:rPr>
                      <w:vertAlign w:val="subscript"/>
                    </w:rPr>
                    <w:t>AG</w:t>
                  </w:r>
                  <w:r>
                    <w:rPr>
                      <w:vertAlign w:val="baseline"/>
                    </w:rPr>
                    <w:t> ● R</w:t>
                  </w:r>
                </w:p>
              </w:txbxContent>
            </v:textbox>
            <v:stroke dashstyle="solid"/>
            <w10:wrap type="topAndBottom"/>
          </v:shape>
        </w:pict>
      </w:r>
    </w:p>
    <w:p>
      <w:pPr>
        <w:pStyle w:val="BodyText"/>
        <w:spacing w:before="4"/>
        <w:ind w:left="219"/>
      </w:pPr>
      <w:r>
        <w:rPr/>
        <w:t>Where:</w:t>
      </w:r>
    </w:p>
    <w:p>
      <w:pPr>
        <w:pStyle w:val="BodyText"/>
        <w:spacing w:line="364" w:lineRule="auto" w:before="118"/>
        <w:ind w:left="785" w:right="3101"/>
      </w:pPr>
      <w:r>
        <w:rPr/>
        <w:t>B</w:t>
      </w:r>
      <w:r>
        <w:rPr>
          <w:vertAlign w:val="subscript"/>
        </w:rPr>
        <w:t>Total</w:t>
      </w:r>
      <w:r>
        <w:rPr>
          <w:vertAlign w:val="baseline"/>
        </w:rPr>
        <w:t> = total biomass, including above- and belowground, tonnes d. m. B</w:t>
      </w:r>
      <w:r>
        <w:rPr>
          <w:vertAlign w:val="subscript"/>
        </w:rPr>
        <w:t>AG</w:t>
      </w:r>
      <w:r>
        <w:rPr>
          <w:vertAlign w:val="baseline"/>
        </w:rPr>
        <w:t> = aboveground biomass, tonnes d. m.</w:t>
      </w:r>
    </w:p>
    <w:p>
      <w:pPr>
        <w:pStyle w:val="BodyText"/>
        <w:spacing w:line="364" w:lineRule="auto" w:before="2"/>
        <w:ind w:left="785" w:right="5296"/>
      </w:pPr>
      <w:r>
        <w:rPr/>
        <w:t>B</w:t>
      </w:r>
      <w:r>
        <w:rPr>
          <w:vertAlign w:val="subscript"/>
        </w:rPr>
        <w:t>BG</w:t>
      </w:r>
      <w:r>
        <w:rPr>
          <w:vertAlign w:val="baseline"/>
        </w:rPr>
        <w:t> = belowground biomass, tonnes d. m. R = root-to-shoot ratio, dimensionless</w:t>
      </w:r>
    </w:p>
    <w:p>
      <w:pPr>
        <w:pStyle w:val="BodyText"/>
        <w:spacing w:before="1"/>
        <w:ind w:left="219" w:right="262"/>
        <w:jc w:val="both"/>
      </w:pPr>
      <w:r>
        <w:rPr>
          <w:b/>
        </w:rPr>
        <w:t>Tier 3: </w:t>
      </w:r>
      <w:r>
        <w:rPr/>
        <w:t>Tier 3 involves inventory systems using statistically-based sampling of carbon stocks over time and/or process models, stratified by climate, grassland type and management regime. For example, validated species- specific growth models that incorporate management effects such as grazing intensity, fire, and fertilization, with corresponding data on management activities, could be used to estimate net changes in grassland biomass carbon stocks over time. Models can be used together with periodic sampling-based stock estimates similar to those used in detailed forest inventories could be applied to estimate stock changes as in Equation 3.4.5 to make spatial extrapolations for grassland</w:t>
      </w:r>
      <w:r>
        <w:rPr>
          <w:spacing w:val="1"/>
        </w:rPr>
        <w:t> </w:t>
      </w:r>
      <w:r>
        <w:rPr/>
        <w:t>areas</w:t>
      </w:r>
    </w:p>
    <w:p>
      <w:pPr>
        <w:pStyle w:val="BodyText"/>
        <w:spacing w:before="5"/>
        <w:rPr>
          <w:sz w:val="21"/>
        </w:rPr>
      </w:pPr>
    </w:p>
    <w:p>
      <w:pPr>
        <w:pStyle w:val="Heading6"/>
        <w:numPr>
          <w:ilvl w:val="5"/>
          <w:numId w:val="69"/>
        </w:numPr>
        <w:tabs>
          <w:tab w:pos="1450" w:val="left" w:leader="none"/>
        </w:tabs>
        <w:spacing w:line="240" w:lineRule="auto" w:before="0" w:after="0"/>
        <w:ind w:left="1449" w:right="0" w:hanging="1230"/>
        <w:jc w:val="left"/>
      </w:pPr>
      <w:r>
        <w:rPr/>
        <w:t>2 </w:t>
      </w:r>
      <w:r>
        <w:rPr>
          <w:spacing w:val="16"/>
        </w:rPr>
        <w:t>Choice </w:t>
      </w:r>
      <w:r>
        <w:rPr>
          <w:spacing w:val="9"/>
        </w:rPr>
        <w:t>of </w:t>
      </w:r>
      <w:r>
        <w:rPr>
          <w:spacing w:val="17"/>
        </w:rPr>
        <w:t>Emission/Removal</w:t>
      </w:r>
      <w:r>
        <w:rPr>
          <w:spacing w:val="16"/>
        </w:rPr>
        <w:t> </w:t>
      </w:r>
      <w:r>
        <w:rPr>
          <w:spacing w:val="19"/>
        </w:rPr>
        <w:t>Factors</w:t>
      </w:r>
    </w:p>
    <w:p>
      <w:pPr>
        <w:pStyle w:val="BodyText"/>
        <w:spacing w:before="54"/>
        <w:ind w:left="219" w:right="354"/>
      </w:pPr>
      <w:r>
        <w:rPr>
          <w:b/>
        </w:rPr>
        <w:t>Tier 1: </w:t>
      </w:r>
      <w:r>
        <w:rPr/>
        <w:t>At Tier 1, the default assumption is no change in biomass stocks. Therefore, no  default emission/removal factors are</w:t>
      </w:r>
      <w:r>
        <w:rPr>
          <w:spacing w:val="1"/>
        </w:rPr>
        <w:t> </w:t>
      </w:r>
      <w:r>
        <w:rPr/>
        <w:t>provided.</w:t>
      </w:r>
    </w:p>
    <w:p>
      <w:pPr>
        <w:spacing w:after="0"/>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7"/>
        <w:jc w:val="both"/>
      </w:pPr>
      <w:r>
        <w:rPr>
          <w:b/>
        </w:rPr>
        <w:t>Tier 2: </w:t>
      </w:r>
      <w:r>
        <w:rPr/>
        <w:t>Some data are available to assist in making estimates at Tier 2. The factors needed for a Tier 2 estimate are: biomass growth (G) and loss (L) or biomass stocks at multiple points in time (B</w:t>
      </w:r>
      <w:r>
        <w:rPr>
          <w:vertAlign w:val="subscript"/>
        </w:rPr>
        <w:t>t</w:t>
      </w:r>
      <w:r>
        <w:rPr>
          <w:vertAlign w:val="baseline"/>
        </w:rPr>
        <w:t>, B</w:t>
      </w:r>
      <w:r>
        <w:rPr>
          <w:vertAlign w:val="subscript"/>
        </w:rPr>
        <w:t>t-1</w:t>
      </w:r>
      <w:r>
        <w:rPr>
          <w:vertAlign w:val="baseline"/>
        </w:rPr>
        <w:t>), and expansion factors for belowground biomass.</w:t>
      </w:r>
    </w:p>
    <w:p>
      <w:pPr>
        <w:pStyle w:val="BodyText"/>
        <w:spacing w:before="121"/>
        <w:ind w:left="219" w:right="263"/>
        <w:jc w:val="both"/>
      </w:pPr>
      <w:r>
        <w:rPr/>
        <w:t>The rate-based approach (Equation 3.4.4) requires derivation of loss rates (i.e. L in Equation 3.4.4), for woody biomass (e.g. losses from harvest or bush removal) and belowground biomass of herbaceous species (e.g. due to pasture degradation) , and net growth rates (e.g. from savannah thickening or pasture improvements) of woody and belowground biomass (G in Equation 3.4.4). To develop carbon growth and loss coefficients from reported carbon stock values, estimates for at least two points in time are needed. The change in carbon stocks between two time periods are then calculated and this amount is divided by the number of years during the time period to develop an annual rate. Rates of change should be estimated in response to changes in specific management/land use activities (e.g. pasture fertilization, shrub removal, savannah thickening). Results from field research should be compared to estimates of carbon growth and losses from other sources to verify that they are within documented ranges. Reported carbon growth and loss rates may be modified based on additional data and expert opinion, provided clear rationale and documentation are included in the inventory report. (Note: It is important, in deriving estimates of biomass accumulation rates, to recognize that </w:t>
      </w:r>
      <w:r>
        <w:rPr>
          <w:i/>
        </w:rPr>
        <w:t>net </w:t>
      </w:r>
      <w:r>
        <w:rPr/>
        <w:t>changes in biomass stocks will occur primarily during the first years (e.g. 20 years) following changes in management. After which time biomass stocks will tend towards a new steady-state level with little or no change in biomass stocks occurring unless further changes in management conditions</w:t>
      </w:r>
      <w:r>
        <w:rPr>
          <w:spacing w:val="-2"/>
        </w:rPr>
        <w:t> </w:t>
      </w:r>
      <w:r>
        <w:rPr/>
        <w:t>occur).</w:t>
      </w:r>
    </w:p>
    <w:p>
      <w:pPr>
        <w:pStyle w:val="BodyText"/>
        <w:spacing w:before="119"/>
        <w:ind w:left="219" w:right="263"/>
        <w:jc w:val="both"/>
      </w:pPr>
      <w:r>
        <w:rPr/>
        <w:t>Region- or country-specific data on biomass stocks over time are needed for use in Equation 3.4.5. These can be obtained through a variety of methods, including estimating density (crown coverage) of woody vegetation from air photos (or high resolution satellite imagery) and ground-based measurement plots. Species composition, density and above- vs. below-ground biomass can vary widely for different grassland types and conditions and thus it may be most efficient to stratify sampling and survey activities by grassland types. General guidance on survey and sampling techniques for biomass inventories is given in Chapter 5 (Section 5.3).</w:t>
      </w:r>
    </w:p>
    <w:p>
      <w:pPr>
        <w:pStyle w:val="BodyText"/>
        <w:spacing w:before="120"/>
        <w:ind w:left="219"/>
        <w:jc w:val="both"/>
      </w:pPr>
      <w:r>
        <w:rPr/>
        <w:t>Default estimates of above-ground biomass stocks and annual above-ground productivity are provided in Table</w:t>
      </w:r>
    </w:p>
    <w:p>
      <w:pPr>
        <w:pStyle w:val="BodyText"/>
        <w:spacing w:before="1"/>
        <w:ind w:left="219" w:right="265"/>
        <w:jc w:val="both"/>
      </w:pPr>
      <w:r>
        <w:rPr/>
        <w:t>3.4.2. These are globally-averaged valued, by major climate zones, and are not intended as a basis for Tier 2 estimates of biomass stock change but can serve as defaults for estimating non-CO</w:t>
      </w:r>
      <w:r>
        <w:rPr>
          <w:vertAlign w:val="subscript"/>
        </w:rPr>
        <w:t>2</w:t>
      </w:r>
      <w:r>
        <w:rPr>
          <w:vertAlign w:val="baseline"/>
        </w:rPr>
        <w:t> emissions from burning (see Section 3.4.1.3) and for a first-order comparison with country-derived biomass stock estimates.</w:t>
      </w:r>
    </w:p>
    <w:p>
      <w:pPr>
        <w:pStyle w:val="BodyText"/>
        <w:spacing w:before="1"/>
        <w:rPr>
          <w:sz w:val="11"/>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7"/>
        <w:gridCol w:w="979"/>
        <w:gridCol w:w="1413"/>
        <w:gridCol w:w="993"/>
        <w:gridCol w:w="979"/>
        <w:gridCol w:w="1413"/>
        <w:gridCol w:w="998"/>
      </w:tblGrid>
      <w:tr>
        <w:trPr>
          <w:trHeight w:val="740" w:hRule="atLeast"/>
        </w:trPr>
        <w:tc>
          <w:tcPr>
            <w:tcW w:w="9012" w:type="dxa"/>
            <w:gridSpan w:val="7"/>
            <w:tcBorders>
              <w:bottom w:val="double" w:sz="1" w:space="0" w:color="000000"/>
            </w:tcBorders>
          </w:tcPr>
          <w:p>
            <w:pPr>
              <w:pStyle w:val="TableParagraph"/>
              <w:spacing w:line="207" w:lineRule="exact" w:before="59"/>
              <w:ind w:left="1300" w:right="1290"/>
              <w:jc w:val="center"/>
              <w:rPr>
                <w:b/>
                <w:sz w:val="18"/>
              </w:rPr>
            </w:pPr>
            <w:r>
              <w:rPr>
                <w:b/>
                <w:sz w:val="18"/>
              </w:rPr>
              <w:t>T</w:t>
            </w:r>
            <w:r>
              <w:rPr>
                <w:b/>
                <w:sz w:val="14"/>
              </w:rPr>
              <w:t>ABLE </w:t>
            </w:r>
            <w:r>
              <w:rPr>
                <w:b/>
                <w:sz w:val="18"/>
              </w:rPr>
              <w:t>3.4.2</w:t>
            </w:r>
          </w:p>
          <w:p>
            <w:pPr>
              <w:pStyle w:val="TableParagraph"/>
              <w:spacing w:line="206" w:lineRule="exact"/>
              <w:ind w:left="1300" w:right="1253"/>
              <w:jc w:val="center"/>
              <w:rPr>
                <w:b/>
                <w:sz w:val="18"/>
              </w:rPr>
            </w:pPr>
            <w:r>
              <w:rPr>
                <w:b/>
                <w:sz w:val="18"/>
              </w:rPr>
              <w:t>D</w:t>
            </w:r>
            <w:r>
              <w:rPr>
                <w:b/>
                <w:sz w:val="14"/>
              </w:rPr>
              <w:t>EFAULT ESTIMATES FOR STANDING BIOMASS GRASSLAND </w:t>
            </w:r>
            <w:r>
              <w:rPr>
                <w:b/>
                <w:sz w:val="18"/>
              </w:rPr>
              <w:t>(</w:t>
            </w:r>
            <w:r>
              <w:rPr>
                <w:b/>
                <w:sz w:val="14"/>
              </w:rPr>
              <w:t>AS DRY MATTER</w:t>
            </w:r>
            <w:r>
              <w:rPr>
                <w:b/>
                <w:sz w:val="18"/>
              </w:rPr>
              <w:t>)</w:t>
            </w:r>
          </w:p>
          <w:p>
            <w:pPr>
              <w:pStyle w:val="TableParagraph"/>
              <w:spacing w:line="207" w:lineRule="exact"/>
              <w:ind w:left="1300" w:right="1288"/>
              <w:jc w:val="center"/>
              <w:rPr>
                <w:b/>
                <w:sz w:val="14"/>
              </w:rPr>
            </w:pPr>
            <w:r>
              <w:rPr>
                <w:b/>
                <w:sz w:val="14"/>
              </w:rPr>
              <w:t>AND ABOVEGROUND NET PRIMARY PRODUCTION</w:t>
            </w:r>
            <w:r>
              <w:rPr>
                <w:b/>
                <w:sz w:val="18"/>
              </w:rPr>
              <w:t>, </w:t>
            </w:r>
            <w:r>
              <w:rPr>
                <w:b/>
                <w:sz w:val="14"/>
              </w:rPr>
              <w:t>CLASSIFIED BY </w:t>
            </w:r>
            <w:r>
              <w:rPr>
                <w:b/>
                <w:sz w:val="18"/>
              </w:rPr>
              <w:t>IPCC </w:t>
            </w:r>
            <w:r>
              <w:rPr>
                <w:b/>
                <w:sz w:val="14"/>
              </w:rPr>
              <w:t>CLIMATE ZONES</w:t>
            </w:r>
          </w:p>
        </w:tc>
      </w:tr>
      <w:tr>
        <w:trPr>
          <w:trHeight w:val="649" w:hRule="atLeast"/>
        </w:trPr>
        <w:tc>
          <w:tcPr>
            <w:tcW w:w="2237" w:type="dxa"/>
            <w:vMerge w:val="restart"/>
            <w:tcBorders>
              <w:top w:val="double" w:sz="1" w:space="0" w:color="000000"/>
            </w:tcBorders>
          </w:tcPr>
          <w:p>
            <w:pPr>
              <w:pStyle w:val="TableParagraph"/>
              <w:rPr>
                <w:sz w:val="20"/>
              </w:rPr>
            </w:pPr>
          </w:p>
          <w:p>
            <w:pPr>
              <w:pStyle w:val="TableParagraph"/>
              <w:spacing w:before="148"/>
              <w:ind w:left="374"/>
              <w:rPr>
                <w:b/>
                <w:sz w:val="18"/>
              </w:rPr>
            </w:pPr>
            <w:r>
              <w:rPr>
                <w:b/>
                <w:sz w:val="18"/>
              </w:rPr>
              <w:t>IPCC Climate zone</w:t>
            </w:r>
          </w:p>
        </w:tc>
        <w:tc>
          <w:tcPr>
            <w:tcW w:w="3385" w:type="dxa"/>
            <w:gridSpan w:val="3"/>
            <w:tcBorders>
              <w:top w:val="double" w:sz="1" w:space="0" w:color="000000"/>
            </w:tcBorders>
          </w:tcPr>
          <w:p>
            <w:pPr>
              <w:pStyle w:val="TableParagraph"/>
              <w:spacing w:before="119"/>
              <w:ind w:left="1026" w:hanging="538"/>
              <w:rPr>
                <w:b/>
                <w:sz w:val="18"/>
              </w:rPr>
            </w:pPr>
            <w:r>
              <w:rPr>
                <w:b/>
                <w:sz w:val="18"/>
              </w:rPr>
              <w:t>Peak aboveground live biomass (tonnes d.m. ha</w:t>
            </w:r>
            <w:r>
              <w:rPr>
                <w:b/>
                <w:sz w:val="18"/>
                <w:vertAlign w:val="superscript"/>
              </w:rPr>
              <w:t>-1</w:t>
            </w:r>
            <w:r>
              <w:rPr>
                <w:b/>
                <w:sz w:val="18"/>
                <w:vertAlign w:val="baseline"/>
              </w:rPr>
              <w:t>)</w:t>
            </w:r>
          </w:p>
        </w:tc>
        <w:tc>
          <w:tcPr>
            <w:tcW w:w="3390" w:type="dxa"/>
            <w:gridSpan w:val="3"/>
            <w:tcBorders>
              <w:top w:val="double" w:sz="1" w:space="0" w:color="000000"/>
            </w:tcBorders>
          </w:tcPr>
          <w:p>
            <w:pPr>
              <w:pStyle w:val="TableParagraph"/>
              <w:spacing w:before="13"/>
              <w:ind w:left="238" w:right="223"/>
              <w:jc w:val="center"/>
              <w:rPr>
                <w:b/>
                <w:sz w:val="18"/>
              </w:rPr>
            </w:pPr>
            <w:r>
              <w:rPr>
                <w:b/>
                <w:sz w:val="18"/>
              </w:rPr>
              <w:t>Aboveground net primary production (ANPP)</w:t>
            </w:r>
          </w:p>
          <w:p>
            <w:pPr>
              <w:pStyle w:val="TableParagraph"/>
              <w:spacing w:line="202" w:lineRule="exact"/>
              <w:ind w:left="233" w:right="223"/>
              <w:jc w:val="center"/>
              <w:rPr>
                <w:b/>
                <w:sz w:val="18"/>
              </w:rPr>
            </w:pPr>
            <w:r>
              <w:rPr>
                <w:b/>
                <w:sz w:val="18"/>
              </w:rPr>
              <w:t>(tonnes d.m. ha</w:t>
            </w:r>
            <w:r>
              <w:rPr>
                <w:b/>
                <w:sz w:val="18"/>
                <w:vertAlign w:val="superscript"/>
              </w:rPr>
              <w:t>-1</w:t>
            </w:r>
            <w:r>
              <w:rPr>
                <w:b/>
                <w:sz w:val="18"/>
                <w:vertAlign w:val="baseline"/>
              </w:rPr>
              <w:t> yr</w:t>
            </w:r>
            <w:r>
              <w:rPr>
                <w:b/>
                <w:sz w:val="18"/>
                <w:vertAlign w:val="superscript"/>
              </w:rPr>
              <w:t>-1</w:t>
            </w:r>
            <w:r>
              <w:rPr>
                <w:b/>
                <w:sz w:val="18"/>
                <w:vertAlign w:val="baseline"/>
              </w:rPr>
              <w:t>)</w:t>
            </w:r>
          </w:p>
        </w:tc>
      </w:tr>
      <w:tr>
        <w:trPr>
          <w:trHeight w:val="330" w:hRule="atLeast"/>
        </w:trPr>
        <w:tc>
          <w:tcPr>
            <w:tcW w:w="2237" w:type="dxa"/>
            <w:vMerge/>
            <w:tcBorders>
              <w:top w:val="nil"/>
            </w:tcBorders>
          </w:tcPr>
          <w:p>
            <w:pPr>
              <w:rPr>
                <w:sz w:val="2"/>
                <w:szCs w:val="2"/>
              </w:rPr>
            </w:pPr>
          </w:p>
        </w:tc>
        <w:tc>
          <w:tcPr>
            <w:tcW w:w="979" w:type="dxa"/>
          </w:tcPr>
          <w:p>
            <w:pPr>
              <w:pStyle w:val="TableParagraph"/>
              <w:spacing w:before="62"/>
              <w:ind w:left="79" w:right="64"/>
              <w:jc w:val="center"/>
              <w:rPr>
                <w:b/>
                <w:sz w:val="18"/>
              </w:rPr>
            </w:pPr>
            <w:r>
              <w:rPr>
                <w:b/>
                <w:sz w:val="18"/>
              </w:rPr>
              <w:t>Average</w:t>
            </w:r>
          </w:p>
        </w:tc>
        <w:tc>
          <w:tcPr>
            <w:tcW w:w="1413" w:type="dxa"/>
          </w:tcPr>
          <w:p>
            <w:pPr>
              <w:pStyle w:val="TableParagraph"/>
              <w:spacing w:before="62"/>
              <w:ind w:left="168" w:right="155"/>
              <w:jc w:val="center"/>
              <w:rPr>
                <w:b/>
                <w:sz w:val="18"/>
              </w:rPr>
            </w:pPr>
            <w:r>
              <w:rPr>
                <w:b/>
                <w:sz w:val="18"/>
              </w:rPr>
              <w:t>No. of studies</w:t>
            </w:r>
          </w:p>
        </w:tc>
        <w:tc>
          <w:tcPr>
            <w:tcW w:w="993" w:type="dxa"/>
          </w:tcPr>
          <w:p>
            <w:pPr>
              <w:pStyle w:val="TableParagraph"/>
              <w:spacing w:before="62"/>
              <w:ind w:left="221" w:right="213"/>
              <w:jc w:val="center"/>
              <w:rPr>
                <w:b/>
                <w:sz w:val="18"/>
              </w:rPr>
            </w:pPr>
            <w:r>
              <w:rPr>
                <w:b/>
                <w:sz w:val="18"/>
              </w:rPr>
              <w:t>Error</w:t>
            </w:r>
            <w:r>
              <w:rPr>
                <w:b/>
                <w:sz w:val="18"/>
                <w:vertAlign w:val="superscript"/>
              </w:rPr>
              <w:t>1</w:t>
            </w:r>
          </w:p>
        </w:tc>
        <w:tc>
          <w:tcPr>
            <w:tcW w:w="979" w:type="dxa"/>
          </w:tcPr>
          <w:p>
            <w:pPr>
              <w:pStyle w:val="TableParagraph"/>
              <w:spacing w:before="62"/>
              <w:ind w:left="78" w:right="65"/>
              <w:jc w:val="center"/>
              <w:rPr>
                <w:b/>
                <w:sz w:val="18"/>
              </w:rPr>
            </w:pPr>
            <w:r>
              <w:rPr>
                <w:b/>
                <w:sz w:val="18"/>
              </w:rPr>
              <w:t>Average</w:t>
            </w:r>
          </w:p>
        </w:tc>
        <w:tc>
          <w:tcPr>
            <w:tcW w:w="1413" w:type="dxa"/>
          </w:tcPr>
          <w:p>
            <w:pPr>
              <w:pStyle w:val="TableParagraph"/>
              <w:spacing w:before="62"/>
              <w:ind w:left="170" w:right="154"/>
              <w:jc w:val="center"/>
              <w:rPr>
                <w:b/>
                <w:sz w:val="18"/>
              </w:rPr>
            </w:pPr>
            <w:r>
              <w:rPr>
                <w:b/>
                <w:sz w:val="18"/>
              </w:rPr>
              <w:t>No. of studies</w:t>
            </w:r>
          </w:p>
        </w:tc>
        <w:tc>
          <w:tcPr>
            <w:tcW w:w="998" w:type="dxa"/>
          </w:tcPr>
          <w:p>
            <w:pPr>
              <w:pStyle w:val="TableParagraph"/>
              <w:spacing w:before="62"/>
              <w:ind w:left="227" w:right="212"/>
              <w:jc w:val="center"/>
              <w:rPr>
                <w:b/>
                <w:sz w:val="18"/>
              </w:rPr>
            </w:pPr>
            <w:r>
              <w:rPr>
                <w:b/>
                <w:sz w:val="18"/>
              </w:rPr>
              <w:t>Error</w:t>
            </w:r>
            <w:r>
              <w:rPr>
                <w:b/>
                <w:sz w:val="18"/>
                <w:vertAlign w:val="superscript"/>
              </w:rPr>
              <w:t>1</w:t>
            </w:r>
          </w:p>
        </w:tc>
      </w:tr>
      <w:tr>
        <w:trPr>
          <w:trHeight w:val="273" w:hRule="atLeast"/>
        </w:trPr>
        <w:tc>
          <w:tcPr>
            <w:tcW w:w="2237" w:type="dxa"/>
          </w:tcPr>
          <w:p>
            <w:pPr>
              <w:pStyle w:val="TableParagraph"/>
              <w:spacing w:before="28"/>
              <w:ind w:right="336"/>
              <w:jc w:val="right"/>
              <w:rPr>
                <w:sz w:val="18"/>
              </w:rPr>
            </w:pPr>
            <w:r>
              <w:rPr>
                <w:sz w:val="18"/>
              </w:rPr>
              <w:t>Boreal - Dry &amp; Wet </w:t>
            </w:r>
            <w:r>
              <w:rPr>
                <w:sz w:val="18"/>
                <w:vertAlign w:val="superscript"/>
              </w:rPr>
              <w:t>2</w:t>
            </w:r>
          </w:p>
        </w:tc>
        <w:tc>
          <w:tcPr>
            <w:tcW w:w="979" w:type="dxa"/>
          </w:tcPr>
          <w:p>
            <w:pPr>
              <w:pStyle w:val="TableParagraph"/>
              <w:spacing w:before="28"/>
              <w:ind w:left="77" w:right="65"/>
              <w:jc w:val="center"/>
              <w:rPr>
                <w:sz w:val="18"/>
              </w:rPr>
            </w:pPr>
            <w:r>
              <w:rPr>
                <w:sz w:val="18"/>
              </w:rPr>
              <w:t>1.7</w:t>
            </w:r>
          </w:p>
        </w:tc>
        <w:tc>
          <w:tcPr>
            <w:tcW w:w="1413" w:type="dxa"/>
          </w:tcPr>
          <w:p>
            <w:pPr>
              <w:pStyle w:val="TableParagraph"/>
              <w:spacing w:before="28"/>
              <w:ind w:left="11"/>
              <w:jc w:val="center"/>
              <w:rPr>
                <w:sz w:val="18"/>
              </w:rPr>
            </w:pPr>
            <w:r>
              <w:rPr>
                <w:sz w:val="18"/>
              </w:rPr>
              <w:t>3</w:t>
            </w:r>
          </w:p>
        </w:tc>
        <w:tc>
          <w:tcPr>
            <w:tcW w:w="993" w:type="dxa"/>
          </w:tcPr>
          <w:p>
            <w:pPr>
              <w:pStyle w:val="TableParagraph"/>
              <w:spacing w:before="28"/>
              <w:ind w:left="221" w:right="210"/>
              <w:jc w:val="center"/>
              <w:rPr>
                <w:sz w:val="18"/>
              </w:rPr>
            </w:pPr>
            <w:r>
              <w:rPr>
                <w:sz w:val="18"/>
                <w:u w:val="single"/>
              </w:rPr>
              <w:t>+</w:t>
            </w:r>
            <w:r>
              <w:rPr>
                <w:sz w:val="18"/>
              </w:rPr>
              <w:t> 75%</w:t>
            </w:r>
          </w:p>
        </w:tc>
        <w:tc>
          <w:tcPr>
            <w:tcW w:w="979" w:type="dxa"/>
          </w:tcPr>
          <w:p>
            <w:pPr>
              <w:pStyle w:val="TableParagraph"/>
              <w:spacing w:before="28"/>
              <w:ind w:left="74" w:right="65"/>
              <w:jc w:val="center"/>
              <w:rPr>
                <w:sz w:val="18"/>
              </w:rPr>
            </w:pPr>
            <w:r>
              <w:rPr>
                <w:sz w:val="18"/>
              </w:rPr>
              <w:t>1.8</w:t>
            </w:r>
          </w:p>
        </w:tc>
        <w:tc>
          <w:tcPr>
            <w:tcW w:w="1413" w:type="dxa"/>
          </w:tcPr>
          <w:p>
            <w:pPr>
              <w:pStyle w:val="TableParagraph"/>
              <w:spacing w:before="28"/>
              <w:ind w:left="14"/>
              <w:jc w:val="center"/>
              <w:rPr>
                <w:sz w:val="18"/>
              </w:rPr>
            </w:pPr>
            <w:r>
              <w:rPr>
                <w:sz w:val="18"/>
              </w:rPr>
              <w:t>5</w:t>
            </w:r>
          </w:p>
        </w:tc>
        <w:tc>
          <w:tcPr>
            <w:tcW w:w="998" w:type="dxa"/>
          </w:tcPr>
          <w:p>
            <w:pPr>
              <w:pStyle w:val="TableParagraph"/>
              <w:spacing w:before="28"/>
              <w:ind w:left="227" w:right="209"/>
              <w:jc w:val="center"/>
              <w:rPr>
                <w:sz w:val="18"/>
              </w:rPr>
            </w:pPr>
            <w:r>
              <w:rPr>
                <w:sz w:val="18"/>
                <w:u w:val="single"/>
              </w:rPr>
              <w:t>+</w:t>
            </w:r>
            <w:r>
              <w:rPr>
                <w:sz w:val="18"/>
              </w:rPr>
              <w:t> 75%</w:t>
            </w:r>
          </w:p>
        </w:tc>
      </w:tr>
      <w:tr>
        <w:trPr>
          <w:trHeight w:val="273" w:hRule="atLeast"/>
        </w:trPr>
        <w:tc>
          <w:tcPr>
            <w:tcW w:w="2237" w:type="dxa"/>
          </w:tcPr>
          <w:p>
            <w:pPr>
              <w:pStyle w:val="TableParagraph"/>
              <w:spacing w:before="28"/>
              <w:ind w:right="308"/>
              <w:jc w:val="right"/>
              <w:rPr>
                <w:sz w:val="18"/>
              </w:rPr>
            </w:pPr>
            <w:r>
              <w:rPr>
                <w:sz w:val="18"/>
              </w:rPr>
              <w:t>Cold Temperate - Dry</w:t>
            </w:r>
          </w:p>
        </w:tc>
        <w:tc>
          <w:tcPr>
            <w:tcW w:w="979" w:type="dxa"/>
          </w:tcPr>
          <w:p>
            <w:pPr>
              <w:pStyle w:val="TableParagraph"/>
              <w:spacing w:before="28"/>
              <w:ind w:left="78" w:right="65"/>
              <w:jc w:val="center"/>
              <w:rPr>
                <w:sz w:val="18"/>
              </w:rPr>
            </w:pPr>
            <w:r>
              <w:rPr>
                <w:sz w:val="18"/>
              </w:rPr>
              <w:t>1.7</w:t>
            </w:r>
          </w:p>
        </w:tc>
        <w:tc>
          <w:tcPr>
            <w:tcW w:w="1413" w:type="dxa"/>
          </w:tcPr>
          <w:p>
            <w:pPr>
              <w:pStyle w:val="TableParagraph"/>
              <w:spacing w:before="28"/>
              <w:ind w:left="168" w:right="155"/>
              <w:jc w:val="center"/>
              <w:rPr>
                <w:sz w:val="18"/>
              </w:rPr>
            </w:pPr>
            <w:r>
              <w:rPr>
                <w:sz w:val="18"/>
              </w:rPr>
              <w:t>10</w:t>
            </w:r>
          </w:p>
        </w:tc>
        <w:tc>
          <w:tcPr>
            <w:tcW w:w="993" w:type="dxa"/>
          </w:tcPr>
          <w:p>
            <w:pPr>
              <w:pStyle w:val="TableParagraph"/>
              <w:spacing w:before="28"/>
              <w:ind w:left="221" w:right="210"/>
              <w:jc w:val="center"/>
              <w:rPr>
                <w:sz w:val="18"/>
              </w:rPr>
            </w:pPr>
            <w:r>
              <w:rPr>
                <w:sz w:val="18"/>
                <w:u w:val="single"/>
              </w:rPr>
              <w:t>+</w:t>
            </w:r>
            <w:r>
              <w:rPr>
                <w:sz w:val="18"/>
              </w:rPr>
              <w:t> 75%</w:t>
            </w:r>
          </w:p>
        </w:tc>
        <w:tc>
          <w:tcPr>
            <w:tcW w:w="979" w:type="dxa"/>
          </w:tcPr>
          <w:p>
            <w:pPr>
              <w:pStyle w:val="TableParagraph"/>
              <w:spacing w:before="28"/>
              <w:ind w:left="74" w:right="65"/>
              <w:jc w:val="center"/>
              <w:rPr>
                <w:sz w:val="18"/>
              </w:rPr>
            </w:pPr>
            <w:r>
              <w:rPr>
                <w:sz w:val="18"/>
              </w:rPr>
              <w:t>2.2</w:t>
            </w:r>
          </w:p>
        </w:tc>
        <w:tc>
          <w:tcPr>
            <w:tcW w:w="1413" w:type="dxa"/>
          </w:tcPr>
          <w:p>
            <w:pPr>
              <w:pStyle w:val="TableParagraph"/>
              <w:spacing w:before="28"/>
              <w:ind w:left="170" w:right="155"/>
              <w:jc w:val="center"/>
              <w:rPr>
                <w:sz w:val="18"/>
              </w:rPr>
            </w:pPr>
            <w:r>
              <w:rPr>
                <w:sz w:val="18"/>
              </w:rPr>
              <w:t>18</w:t>
            </w:r>
          </w:p>
        </w:tc>
        <w:tc>
          <w:tcPr>
            <w:tcW w:w="998" w:type="dxa"/>
          </w:tcPr>
          <w:p>
            <w:pPr>
              <w:pStyle w:val="TableParagraph"/>
              <w:spacing w:before="28"/>
              <w:ind w:left="227" w:right="209"/>
              <w:jc w:val="center"/>
              <w:rPr>
                <w:sz w:val="18"/>
              </w:rPr>
            </w:pPr>
            <w:r>
              <w:rPr>
                <w:sz w:val="18"/>
                <w:u w:val="single"/>
              </w:rPr>
              <w:t>+</w:t>
            </w:r>
            <w:r>
              <w:rPr>
                <w:sz w:val="18"/>
              </w:rPr>
              <w:t> 75%</w:t>
            </w:r>
          </w:p>
        </w:tc>
      </w:tr>
      <w:tr>
        <w:trPr>
          <w:trHeight w:val="275" w:hRule="atLeast"/>
        </w:trPr>
        <w:tc>
          <w:tcPr>
            <w:tcW w:w="2237" w:type="dxa"/>
          </w:tcPr>
          <w:p>
            <w:pPr>
              <w:pStyle w:val="TableParagraph"/>
              <w:spacing w:before="28"/>
              <w:ind w:right="325"/>
              <w:jc w:val="right"/>
              <w:rPr>
                <w:sz w:val="18"/>
              </w:rPr>
            </w:pPr>
            <w:r>
              <w:rPr>
                <w:sz w:val="18"/>
              </w:rPr>
              <w:t>Cold Temperate -Wet</w:t>
            </w:r>
          </w:p>
        </w:tc>
        <w:tc>
          <w:tcPr>
            <w:tcW w:w="979" w:type="dxa"/>
          </w:tcPr>
          <w:p>
            <w:pPr>
              <w:pStyle w:val="TableParagraph"/>
              <w:spacing w:before="28"/>
              <w:ind w:left="76" w:right="65"/>
              <w:jc w:val="center"/>
              <w:rPr>
                <w:sz w:val="18"/>
              </w:rPr>
            </w:pPr>
            <w:r>
              <w:rPr>
                <w:sz w:val="18"/>
              </w:rPr>
              <w:t>2.4</w:t>
            </w:r>
          </w:p>
        </w:tc>
        <w:tc>
          <w:tcPr>
            <w:tcW w:w="1413" w:type="dxa"/>
          </w:tcPr>
          <w:p>
            <w:pPr>
              <w:pStyle w:val="TableParagraph"/>
              <w:spacing w:before="28"/>
              <w:ind w:left="11"/>
              <w:jc w:val="center"/>
              <w:rPr>
                <w:sz w:val="18"/>
              </w:rPr>
            </w:pPr>
            <w:r>
              <w:rPr>
                <w:sz w:val="18"/>
              </w:rPr>
              <w:t>6</w:t>
            </w:r>
          </w:p>
        </w:tc>
        <w:tc>
          <w:tcPr>
            <w:tcW w:w="993" w:type="dxa"/>
          </w:tcPr>
          <w:p>
            <w:pPr>
              <w:pStyle w:val="TableParagraph"/>
              <w:spacing w:before="28"/>
              <w:ind w:left="221" w:right="210"/>
              <w:jc w:val="center"/>
              <w:rPr>
                <w:sz w:val="18"/>
              </w:rPr>
            </w:pPr>
            <w:r>
              <w:rPr>
                <w:sz w:val="18"/>
                <w:u w:val="single"/>
              </w:rPr>
              <w:t>+</w:t>
            </w:r>
            <w:r>
              <w:rPr>
                <w:sz w:val="18"/>
              </w:rPr>
              <w:t> 75%</w:t>
            </w:r>
          </w:p>
        </w:tc>
        <w:tc>
          <w:tcPr>
            <w:tcW w:w="979" w:type="dxa"/>
          </w:tcPr>
          <w:p>
            <w:pPr>
              <w:pStyle w:val="TableParagraph"/>
              <w:spacing w:before="28"/>
              <w:ind w:left="74" w:right="65"/>
              <w:jc w:val="center"/>
              <w:rPr>
                <w:sz w:val="18"/>
              </w:rPr>
            </w:pPr>
            <w:r>
              <w:rPr>
                <w:sz w:val="18"/>
              </w:rPr>
              <w:t>5.6</w:t>
            </w:r>
          </w:p>
        </w:tc>
        <w:tc>
          <w:tcPr>
            <w:tcW w:w="1413" w:type="dxa"/>
          </w:tcPr>
          <w:p>
            <w:pPr>
              <w:pStyle w:val="TableParagraph"/>
              <w:spacing w:before="28"/>
              <w:ind w:left="170" w:right="155"/>
              <w:jc w:val="center"/>
              <w:rPr>
                <w:sz w:val="18"/>
              </w:rPr>
            </w:pPr>
            <w:r>
              <w:rPr>
                <w:sz w:val="18"/>
              </w:rPr>
              <w:t>17</w:t>
            </w:r>
          </w:p>
        </w:tc>
        <w:tc>
          <w:tcPr>
            <w:tcW w:w="998" w:type="dxa"/>
          </w:tcPr>
          <w:p>
            <w:pPr>
              <w:pStyle w:val="TableParagraph"/>
              <w:spacing w:before="28"/>
              <w:ind w:left="227" w:right="209"/>
              <w:jc w:val="center"/>
              <w:rPr>
                <w:sz w:val="18"/>
              </w:rPr>
            </w:pPr>
            <w:r>
              <w:rPr>
                <w:sz w:val="18"/>
                <w:u w:val="single"/>
              </w:rPr>
              <w:t>+</w:t>
            </w:r>
            <w:r>
              <w:rPr>
                <w:sz w:val="18"/>
              </w:rPr>
              <w:t> 75%</w:t>
            </w:r>
          </w:p>
        </w:tc>
      </w:tr>
      <w:tr>
        <w:trPr>
          <w:trHeight w:val="273" w:hRule="atLeast"/>
        </w:trPr>
        <w:tc>
          <w:tcPr>
            <w:tcW w:w="2237" w:type="dxa"/>
          </w:tcPr>
          <w:p>
            <w:pPr>
              <w:pStyle w:val="TableParagraph"/>
              <w:spacing w:before="28"/>
              <w:ind w:right="243"/>
              <w:jc w:val="right"/>
              <w:rPr>
                <w:sz w:val="18"/>
              </w:rPr>
            </w:pPr>
            <w:r>
              <w:rPr>
                <w:sz w:val="18"/>
              </w:rPr>
              <w:t>Warm Temperate – Dry</w:t>
            </w:r>
          </w:p>
        </w:tc>
        <w:tc>
          <w:tcPr>
            <w:tcW w:w="979" w:type="dxa"/>
          </w:tcPr>
          <w:p>
            <w:pPr>
              <w:pStyle w:val="TableParagraph"/>
              <w:spacing w:before="28"/>
              <w:ind w:left="77" w:right="65"/>
              <w:jc w:val="center"/>
              <w:rPr>
                <w:sz w:val="18"/>
              </w:rPr>
            </w:pPr>
            <w:r>
              <w:rPr>
                <w:sz w:val="18"/>
              </w:rPr>
              <w:t>1.6</w:t>
            </w:r>
          </w:p>
        </w:tc>
        <w:tc>
          <w:tcPr>
            <w:tcW w:w="1413" w:type="dxa"/>
          </w:tcPr>
          <w:p>
            <w:pPr>
              <w:pStyle w:val="TableParagraph"/>
              <w:spacing w:before="28"/>
              <w:ind w:left="12"/>
              <w:jc w:val="center"/>
              <w:rPr>
                <w:sz w:val="18"/>
              </w:rPr>
            </w:pPr>
            <w:r>
              <w:rPr>
                <w:sz w:val="18"/>
              </w:rPr>
              <w:t>8</w:t>
            </w:r>
          </w:p>
        </w:tc>
        <w:tc>
          <w:tcPr>
            <w:tcW w:w="993" w:type="dxa"/>
          </w:tcPr>
          <w:p>
            <w:pPr>
              <w:pStyle w:val="TableParagraph"/>
              <w:spacing w:before="28"/>
              <w:ind w:left="221" w:right="210"/>
              <w:jc w:val="center"/>
              <w:rPr>
                <w:sz w:val="18"/>
              </w:rPr>
            </w:pPr>
            <w:r>
              <w:rPr>
                <w:sz w:val="18"/>
                <w:u w:val="single"/>
              </w:rPr>
              <w:t>+</w:t>
            </w:r>
            <w:r>
              <w:rPr>
                <w:sz w:val="18"/>
              </w:rPr>
              <w:t> 75%</w:t>
            </w:r>
          </w:p>
        </w:tc>
        <w:tc>
          <w:tcPr>
            <w:tcW w:w="979" w:type="dxa"/>
          </w:tcPr>
          <w:p>
            <w:pPr>
              <w:pStyle w:val="TableParagraph"/>
              <w:spacing w:before="28"/>
              <w:ind w:left="74" w:right="65"/>
              <w:jc w:val="center"/>
              <w:rPr>
                <w:sz w:val="18"/>
              </w:rPr>
            </w:pPr>
            <w:r>
              <w:rPr>
                <w:sz w:val="18"/>
              </w:rPr>
              <w:t>2.4</w:t>
            </w:r>
          </w:p>
        </w:tc>
        <w:tc>
          <w:tcPr>
            <w:tcW w:w="1413" w:type="dxa"/>
          </w:tcPr>
          <w:p>
            <w:pPr>
              <w:pStyle w:val="TableParagraph"/>
              <w:spacing w:before="28"/>
              <w:ind w:left="170" w:right="155"/>
              <w:jc w:val="center"/>
              <w:rPr>
                <w:sz w:val="18"/>
              </w:rPr>
            </w:pPr>
            <w:r>
              <w:rPr>
                <w:sz w:val="18"/>
              </w:rPr>
              <w:t>21</w:t>
            </w:r>
          </w:p>
        </w:tc>
        <w:tc>
          <w:tcPr>
            <w:tcW w:w="998" w:type="dxa"/>
          </w:tcPr>
          <w:p>
            <w:pPr>
              <w:pStyle w:val="TableParagraph"/>
              <w:spacing w:before="28"/>
              <w:ind w:left="227" w:right="209"/>
              <w:jc w:val="center"/>
              <w:rPr>
                <w:sz w:val="18"/>
              </w:rPr>
            </w:pPr>
            <w:r>
              <w:rPr>
                <w:sz w:val="18"/>
                <w:u w:val="single"/>
              </w:rPr>
              <w:t>+</w:t>
            </w:r>
            <w:r>
              <w:rPr>
                <w:sz w:val="18"/>
              </w:rPr>
              <w:t> 75%</w:t>
            </w:r>
          </w:p>
        </w:tc>
      </w:tr>
      <w:tr>
        <w:trPr>
          <w:trHeight w:val="273" w:hRule="atLeast"/>
        </w:trPr>
        <w:tc>
          <w:tcPr>
            <w:tcW w:w="2237" w:type="dxa"/>
          </w:tcPr>
          <w:p>
            <w:pPr>
              <w:pStyle w:val="TableParagraph"/>
              <w:spacing w:before="28"/>
              <w:ind w:right="260"/>
              <w:jc w:val="right"/>
              <w:rPr>
                <w:sz w:val="18"/>
              </w:rPr>
            </w:pPr>
            <w:r>
              <w:rPr>
                <w:sz w:val="18"/>
              </w:rPr>
              <w:t>Warm Temperate –Wet</w:t>
            </w:r>
          </w:p>
        </w:tc>
        <w:tc>
          <w:tcPr>
            <w:tcW w:w="979" w:type="dxa"/>
          </w:tcPr>
          <w:p>
            <w:pPr>
              <w:pStyle w:val="TableParagraph"/>
              <w:spacing w:before="28"/>
              <w:ind w:left="76" w:right="65"/>
              <w:jc w:val="center"/>
              <w:rPr>
                <w:sz w:val="18"/>
              </w:rPr>
            </w:pPr>
            <w:r>
              <w:rPr>
                <w:sz w:val="18"/>
              </w:rPr>
              <w:t>2.7</w:t>
            </w:r>
          </w:p>
        </w:tc>
        <w:tc>
          <w:tcPr>
            <w:tcW w:w="1413" w:type="dxa"/>
          </w:tcPr>
          <w:p>
            <w:pPr>
              <w:pStyle w:val="TableParagraph"/>
              <w:spacing w:before="28"/>
              <w:ind w:left="12"/>
              <w:jc w:val="center"/>
              <w:rPr>
                <w:sz w:val="18"/>
              </w:rPr>
            </w:pPr>
            <w:r>
              <w:rPr>
                <w:sz w:val="18"/>
              </w:rPr>
              <w:t>5</w:t>
            </w:r>
          </w:p>
        </w:tc>
        <w:tc>
          <w:tcPr>
            <w:tcW w:w="993" w:type="dxa"/>
          </w:tcPr>
          <w:p>
            <w:pPr>
              <w:pStyle w:val="TableParagraph"/>
              <w:spacing w:before="28"/>
              <w:ind w:left="221" w:right="210"/>
              <w:jc w:val="center"/>
              <w:rPr>
                <w:sz w:val="18"/>
              </w:rPr>
            </w:pPr>
            <w:r>
              <w:rPr>
                <w:sz w:val="18"/>
                <w:u w:val="single"/>
              </w:rPr>
              <w:t>+</w:t>
            </w:r>
            <w:r>
              <w:rPr>
                <w:sz w:val="18"/>
              </w:rPr>
              <w:t> 75%</w:t>
            </w:r>
          </w:p>
        </w:tc>
        <w:tc>
          <w:tcPr>
            <w:tcW w:w="979" w:type="dxa"/>
          </w:tcPr>
          <w:p>
            <w:pPr>
              <w:pStyle w:val="TableParagraph"/>
              <w:spacing w:before="28"/>
              <w:ind w:left="74" w:right="65"/>
              <w:jc w:val="center"/>
              <w:rPr>
                <w:sz w:val="18"/>
              </w:rPr>
            </w:pPr>
            <w:r>
              <w:rPr>
                <w:sz w:val="18"/>
              </w:rPr>
              <w:t>5.8</w:t>
            </w:r>
          </w:p>
        </w:tc>
        <w:tc>
          <w:tcPr>
            <w:tcW w:w="1413" w:type="dxa"/>
          </w:tcPr>
          <w:p>
            <w:pPr>
              <w:pStyle w:val="TableParagraph"/>
              <w:spacing w:before="28"/>
              <w:ind w:left="170" w:right="155"/>
              <w:jc w:val="center"/>
              <w:rPr>
                <w:sz w:val="18"/>
              </w:rPr>
            </w:pPr>
            <w:r>
              <w:rPr>
                <w:sz w:val="18"/>
              </w:rPr>
              <w:t>13</w:t>
            </w:r>
          </w:p>
        </w:tc>
        <w:tc>
          <w:tcPr>
            <w:tcW w:w="998" w:type="dxa"/>
          </w:tcPr>
          <w:p>
            <w:pPr>
              <w:pStyle w:val="TableParagraph"/>
              <w:spacing w:before="28"/>
              <w:ind w:left="227" w:right="209"/>
              <w:jc w:val="center"/>
              <w:rPr>
                <w:sz w:val="18"/>
              </w:rPr>
            </w:pPr>
            <w:r>
              <w:rPr>
                <w:sz w:val="18"/>
                <w:u w:val="single"/>
              </w:rPr>
              <w:t>+</w:t>
            </w:r>
            <w:r>
              <w:rPr>
                <w:sz w:val="18"/>
              </w:rPr>
              <w:t> 75%</w:t>
            </w:r>
          </w:p>
        </w:tc>
      </w:tr>
      <w:tr>
        <w:trPr>
          <w:trHeight w:val="275" w:hRule="atLeast"/>
        </w:trPr>
        <w:tc>
          <w:tcPr>
            <w:tcW w:w="2237" w:type="dxa"/>
          </w:tcPr>
          <w:p>
            <w:pPr>
              <w:pStyle w:val="TableParagraph"/>
              <w:spacing w:before="28"/>
              <w:ind w:left="599"/>
              <w:rPr>
                <w:sz w:val="18"/>
              </w:rPr>
            </w:pPr>
            <w:r>
              <w:rPr>
                <w:sz w:val="18"/>
              </w:rPr>
              <w:t>Tropical - Dry</w:t>
            </w:r>
          </w:p>
        </w:tc>
        <w:tc>
          <w:tcPr>
            <w:tcW w:w="979" w:type="dxa"/>
          </w:tcPr>
          <w:p>
            <w:pPr>
              <w:pStyle w:val="TableParagraph"/>
              <w:spacing w:before="28"/>
              <w:ind w:left="77" w:right="65"/>
              <w:jc w:val="center"/>
              <w:rPr>
                <w:sz w:val="18"/>
              </w:rPr>
            </w:pPr>
            <w:r>
              <w:rPr>
                <w:sz w:val="18"/>
              </w:rPr>
              <w:t>2.3</w:t>
            </w:r>
          </w:p>
        </w:tc>
        <w:tc>
          <w:tcPr>
            <w:tcW w:w="1413" w:type="dxa"/>
          </w:tcPr>
          <w:p>
            <w:pPr>
              <w:pStyle w:val="TableParagraph"/>
              <w:spacing w:before="28"/>
              <w:ind w:left="12"/>
              <w:jc w:val="center"/>
              <w:rPr>
                <w:sz w:val="18"/>
              </w:rPr>
            </w:pPr>
            <w:r>
              <w:rPr>
                <w:sz w:val="18"/>
              </w:rPr>
              <w:t>3</w:t>
            </w:r>
          </w:p>
        </w:tc>
        <w:tc>
          <w:tcPr>
            <w:tcW w:w="993" w:type="dxa"/>
          </w:tcPr>
          <w:p>
            <w:pPr>
              <w:pStyle w:val="TableParagraph"/>
              <w:spacing w:before="28"/>
              <w:ind w:left="221" w:right="210"/>
              <w:jc w:val="center"/>
              <w:rPr>
                <w:sz w:val="18"/>
              </w:rPr>
            </w:pPr>
            <w:r>
              <w:rPr>
                <w:sz w:val="18"/>
                <w:u w:val="single"/>
              </w:rPr>
              <w:t>+</w:t>
            </w:r>
            <w:r>
              <w:rPr>
                <w:sz w:val="18"/>
              </w:rPr>
              <w:t> 75%</w:t>
            </w:r>
          </w:p>
        </w:tc>
        <w:tc>
          <w:tcPr>
            <w:tcW w:w="979" w:type="dxa"/>
          </w:tcPr>
          <w:p>
            <w:pPr>
              <w:pStyle w:val="TableParagraph"/>
              <w:spacing w:before="28"/>
              <w:ind w:left="74" w:right="65"/>
              <w:jc w:val="center"/>
              <w:rPr>
                <w:sz w:val="18"/>
              </w:rPr>
            </w:pPr>
            <w:r>
              <w:rPr>
                <w:sz w:val="18"/>
              </w:rPr>
              <w:t>3.8</w:t>
            </w:r>
          </w:p>
        </w:tc>
        <w:tc>
          <w:tcPr>
            <w:tcW w:w="1413" w:type="dxa"/>
          </w:tcPr>
          <w:p>
            <w:pPr>
              <w:pStyle w:val="TableParagraph"/>
              <w:spacing w:before="28"/>
              <w:ind w:left="170" w:right="155"/>
              <w:jc w:val="center"/>
              <w:rPr>
                <w:sz w:val="18"/>
              </w:rPr>
            </w:pPr>
            <w:r>
              <w:rPr>
                <w:sz w:val="18"/>
              </w:rPr>
              <w:t>13</w:t>
            </w:r>
          </w:p>
        </w:tc>
        <w:tc>
          <w:tcPr>
            <w:tcW w:w="998" w:type="dxa"/>
          </w:tcPr>
          <w:p>
            <w:pPr>
              <w:pStyle w:val="TableParagraph"/>
              <w:spacing w:before="28"/>
              <w:ind w:left="227" w:right="209"/>
              <w:jc w:val="center"/>
              <w:rPr>
                <w:sz w:val="18"/>
              </w:rPr>
            </w:pPr>
            <w:r>
              <w:rPr>
                <w:sz w:val="18"/>
                <w:u w:val="single"/>
              </w:rPr>
              <w:t>+</w:t>
            </w:r>
            <w:r>
              <w:rPr>
                <w:sz w:val="18"/>
              </w:rPr>
              <w:t> 75%</w:t>
            </w:r>
          </w:p>
        </w:tc>
      </w:tr>
      <w:tr>
        <w:trPr>
          <w:trHeight w:val="273" w:hRule="atLeast"/>
        </w:trPr>
        <w:tc>
          <w:tcPr>
            <w:tcW w:w="2237" w:type="dxa"/>
          </w:tcPr>
          <w:p>
            <w:pPr>
              <w:pStyle w:val="TableParagraph"/>
              <w:spacing w:before="28"/>
              <w:ind w:right="252"/>
              <w:jc w:val="right"/>
              <w:rPr>
                <w:sz w:val="18"/>
              </w:rPr>
            </w:pPr>
            <w:r>
              <w:rPr>
                <w:sz w:val="18"/>
              </w:rPr>
              <w:t>Tropical - Moist &amp; Wet</w:t>
            </w:r>
          </w:p>
        </w:tc>
        <w:tc>
          <w:tcPr>
            <w:tcW w:w="979" w:type="dxa"/>
          </w:tcPr>
          <w:p>
            <w:pPr>
              <w:pStyle w:val="TableParagraph"/>
              <w:spacing w:before="28"/>
              <w:ind w:left="77" w:right="65"/>
              <w:jc w:val="center"/>
              <w:rPr>
                <w:sz w:val="18"/>
              </w:rPr>
            </w:pPr>
            <w:r>
              <w:rPr>
                <w:sz w:val="18"/>
              </w:rPr>
              <w:t>6.2</w:t>
            </w:r>
          </w:p>
        </w:tc>
        <w:tc>
          <w:tcPr>
            <w:tcW w:w="1413" w:type="dxa"/>
          </w:tcPr>
          <w:p>
            <w:pPr>
              <w:pStyle w:val="TableParagraph"/>
              <w:spacing w:before="28"/>
              <w:ind w:left="11"/>
              <w:jc w:val="center"/>
              <w:rPr>
                <w:sz w:val="18"/>
              </w:rPr>
            </w:pPr>
            <w:r>
              <w:rPr>
                <w:sz w:val="18"/>
              </w:rPr>
              <w:t>4</w:t>
            </w:r>
          </w:p>
        </w:tc>
        <w:tc>
          <w:tcPr>
            <w:tcW w:w="993" w:type="dxa"/>
          </w:tcPr>
          <w:p>
            <w:pPr>
              <w:pStyle w:val="TableParagraph"/>
              <w:spacing w:before="28"/>
              <w:ind w:left="221" w:right="211"/>
              <w:jc w:val="center"/>
              <w:rPr>
                <w:sz w:val="18"/>
              </w:rPr>
            </w:pPr>
            <w:r>
              <w:rPr>
                <w:sz w:val="18"/>
                <w:u w:val="single"/>
              </w:rPr>
              <w:t>+</w:t>
            </w:r>
            <w:r>
              <w:rPr>
                <w:sz w:val="18"/>
              </w:rPr>
              <w:t> 75%</w:t>
            </w:r>
          </w:p>
        </w:tc>
        <w:tc>
          <w:tcPr>
            <w:tcW w:w="979" w:type="dxa"/>
          </w:tcPr>
          <w:p>
            <w:pPr>
              <w:pStyle w:val="TableParagraph"/>
              <w:spacing w:before="28"/>
              <w:ind w:left="74" w:right="65"/>
              <w:jc w:val="center"/>
              <w:rPr>
                <w:sz w:val="18"/>
              </w:rPr>
            </w:pPr>
            <w:r>
              <w:rPr>
                <w:sz w:val="18"/>
              </w:rPr>
              <w:t>8.2</w:t>
            </w:r>
          </w:p>
        </w:tc>
        <w:tc>
          <w:tcPr>
            <w:tcW w:w="1413" w:type="dxa"/>
          </w:tcPr>
          <w:p>
            <w:pPr>
              <w:pStyle w:val="TableParagraph"/>
              <w:spacing w:before="28"/>
              <w:ind w:left="170" w:right="155"/>
              <w:jc w:val="center"/>
              <w:rPr>
                <w:sz w:val="18"/>
              </w:rPr>
            </w:pPr>
            <w:r>
              <w:rPr>
                <w:sz w:val="18"/>
              </w:rPr>
              <w:t>10</w:t>
            </w:r>
          </w:p>
        </w:tc>
        <w:tc>
          <w:tcPr>
            <w:tcW w:w="998" w:type="dxa"/>
          </w:tcPr>
          <w:p>
            <w:pPr>
              <w:pStyle w:val="TableParagraph"/>
              <w:spacing w:before="28"/>
              <w:ind w:left="227" w:right="209"/>
              <w:jc w:val="center"/>
              <w:rPr>
                <w:sz w:val="18"/>
              </w:rPr>
            </w:pPr>
            <w:r>
              <w:rPr>
                <w:sz w:val="18"/>
                <w:u w:val="single"/>
              </w:rPr>
              <w:t>+</w:t>
            </w:r>
            <w:r>
              <w:rPr>
                <w:sz w:val="18"/>
              </w:rPr>
              <w:t> 75%</w:t>
            </w:r>
          </w:p>
        </w:tc>
      </w:tr>
      <w:tr>
        <w:trPr>
          <w:trHeight w:val="1588" w:hRule="atLeast"/>
        </w:trPr>
        <w:tc>
          <w:tcPr>
            <w:tcW w:w="9012" w:type="dxa"/>
            <w:gridSpan w:val="7"/>
          </w:tcPr>
          <w:p>
            <w:pPr>
              <w:pStyle w:val="TableParagraph"/>
              <w:spacing w:before="35"/>
              <w:ind w:left="107" w:right="151"/>
              <w:rPr>
                <w:sz w:val="16"/>
              </w:rPr>
            </w:pPr>
            <w:r>
              <w:rPr>
                <w:sz w:val="16"/>
              </w:rPr>
              <w:t>Data for standing live biomass are compiled from multi-year averages reported at grassland sites registered in the ORNL DAAC NPP database [</w:t>
            </w:r>
            <w:hyperlink r:id="rId140">
              <w:r>
                <w:rPr>
                  <w:sz w:val="16"/>
                </w:rPr>
                <w:t>http://www.daac.ornl.gov/NPP/html_docs/npp_site.html]</w:t>
              </w:r>
            </w:hyperlink>
            <w:r>
              <w:rPr>
                <w:sz w:val="16"/>
              </w:rPr>
              <w:t>. Estimates for above-ground primary production are from: Olson, R. J., J. M. O. Scurlock, S. D. Prince, D. L. Zheng, and K. R. Johnson (eds.). 2001. NPP Multi-Biome: NPP and Driver Data for Ecosystem Model-Data Intercomparison. Sources available on-line at [</w:t>
            </w:r>
            <w:hyperlink r:id="rId141">
              <w:r>
                <w:rPr>
                  <w:sz w:val="16"/>
                </w:rPr>
                <w:t>http://www.daac.ornl.gov/NPP/html_docs/EMDI_des.html</w:t>
              </w:r>
            </w:hyperlink>
            <w:r>
              <w:rPr>
                <w:sz w:val="16"/>
              </w:rPr>
              <w:t>]).</w:t>
            </w:r>
          </w:p>
          <w:p>
            <w:pPr>
              <w:pStyle w:val="TableParagraph"/>
              <w:spacing w:before="85"/>
              <w:ind w:left="107"/>
              <w:rPr>
                <w:sz w:val="16"/>
              </w:rPr>
            </w:pPr>
            <w:r>
              <w:rPr>
                <w:position w:val="7"/>
                <w:sz w:val="10"/>
              </w:rPr>
              <w:t>1 </w:t>
            </w:r>
            <w:r>
              <w:rPr>
                <w:sz w:val="16"/>
              </w:rPr>
              <w:t>Represents a nominal estimate of error, equivalent to two times standard deviation, as a percentage of the mean.</w:t>
            </w:r>
          </w:p>
          <w:p>
            <w:pPr>
              <w:pStyle w:val="TableParagraph"/>
              <w:spacing w:before="88"/>
              <w:ind w:left="210" w:right="124" w:hanging="104"/>
              <w:rPr>
                <w:sz w:val="16"/>
              </w:rPr>
            </w:pPr>
            <w:r>
              <w:rPr>
                <w:position w:val="7"/>
                <w:sz w:val="10"/>
              </w:rPr>
              <w:t>2 </w:t>
            </w:r>
            <w:r>
              <w:rPr>
                <w:sz w:val="16"/>
              </w:rPr>
              <w:t>Due to limited data, dry and moist zones for the boreal temperature regime and moist and wet zones for the tropical temperature regime were combined.</w:t>
            </w:r>
          </w:p>
        </w:tc>
      </w:tr>
    </w:tbl>
    <w:p>
      <w:pPr>
        <w:pStyle w:val="BodyText"/>
        <w:spacing w:before="10"/>
        <w:rPr>
          <w:sz w:val="29"/>
        </w:rPr>
      </w:pPr>
    </w:p>
    <w:p>
      <w:pPr>
        <w:pStyle w:val="BodyText"/>
        <w:ind w:left="219" w:right="261"/>
        <w:jc w:val="both"/>
      </w:pPr>
      <w:r>
        <w:rPr/>
        <w:t>Estimating below-ground biomass can be an important component of biomass surveys of grassland but field measurements are laborious and difficult and thus expansion factors to estimate below-ground biomass from above-ground biomass are often used. Adaptations to fire and grazing have led to higher root-to-shoot ratios compared to many other ecosystems; thus forest-based biomass expansion factors cannot be applied without modification. Root-to-shoot ratios show wide ranges in values at both individual species (e.g. Anderson </w:t>
      </w:r>
      <w:r>
        <w:rPr>
          <w:i/>
        </w:rPr>
        <w:t>et al.</w:t>
      </w:r>
      <w:r>
        <w:rPr/>
        <w:t>, 1972</w:t>
      </w:r>
      <w:r>
        <w:rPr>
          <w:i/>
        </w:rPr>
        <w:t>) </w:t>
      </w:r>
      <w:r>
        <w:rPr/>
        <w:t>and community scales (e.g. Jackson </w:t>
      </w:r>
      <w:r>
        <w:rPr>
          <w:i/>
        </w:rPr>
        <w:t>et al.</w:t>
      </w:r>
      <w:r>
        <w:rPr/>
        <w:t>, 1996; Cairns </w:t>
      </w:r>
      <w:r>
        <w:rPr>
          <w:i/>
        </w:rPr>
        <w:t>et al.</w:t>
      </w:r>
      <w:r>
        <w:rPr/>
        <w:t>, 1997</w:t>
      </w:r>
      <w:r>
        <w:rPr>
          <w:i/>
        </w:rPr>
        <w:t>). </w:t>
      </w:r>
      <w:r>
        <w:rPr/>
        <w:t>Thus it is recommended to use, as far as possible, empirically-derived root-to-shoot ratios specific to a region or vegetation type. Table 3.4.3 provides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6"/>
        <w:jc w:val="both"/>
      </w:pPr>
      <w:r>
        <w:rPr/>
        <w:t>default root-to-shoot ratios for major grassland ecosystems of the world; these data can be used as defaults when countries do not have more regionally specific information to develop country-specific ratios. Ratios for woodland/savannah and shrublands are also included for use by countries that include these lands in the grassland section of their</w:t>
      </w:r>
      <w:r>
        <w:rPr>
          <w:spacing w:val="-2"/>
        </w:rPr>
        <w:t> </w:t>
      </w:r>
      <w:r>
        <w:rPr/>
        <w:t>inventory.</w:t>
      </w:r>
    </w:p>
    <w:p>
      <w:pPr>
        <w:pStyle w:val="BodyText"/>
        <w:spacing w:before="122"/>
        <w:ind w:left="219" w:right="265"/>
        <w:jc w:val="both"/>
      </w:pPr>
      <w:r>
        <w:rPr>
          <w:b/>
        </w:rPr>
        <w:t>Tier 3: </w:t>
      </w:r>
      <w:r>
        <w:rPr/>
        <w:t>Tier 3 approaches, e.g. using a combination of dynamic models along with inventory measurements of biomass stock changes, do not employ simple stock change or emission factors </w:t>
      </w:r>
      <w:r>
        <w:rPr>
          <w:i/>
        </w:rPr>
        <w:t>per se</w:t>
      </w:r>
      <w:r>
        <w:rPr/>
        <w:t>. Estimates of emissions/removals using model-based approaches derive from the interaction of multiple equations that estimate the net change of biomass stocks within the models. Key criteria in selecting appropriate models are  that they are capable of representing all of the management practices that are represented in the activity data. It is critical that the model be validated with independent observations from country or region-specific field locations that are representatives of the variability of climate, soil and grassland management systems in the</w:t>
      </w:r>
      <w:r>
        <w:rPr>
          <w:spacing w:val="-19"/>
        </w:rPr>
        <w:t> </w:t>
      </w:r>
      <w:r>
        <w:rPr/>
        <w:t>country.</w:t>
      </w:r>
    </w:p>
    <w:p>
      <w:pPr>
        <w:pStyle w:val="BodyText"/>
        <w:spacing w:after="1"/>
        <w:rPr>
          <w:sz w:val="11"/>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7"/>
        <w:gridCol w:w="2667"/>
        <w:gridCol w:w="3046"/>
        <w:gridCol w:w="872"/>
        <w:gridCol w:w="704"/>
        <w:gridCol w:w="872"/>
      </w:tblGrid>
      <w:tr>
        <w:trPr>
          <w:trHeight w:val="740" w:hRule="atLeast"/>
        </w:trPr>
        <w:tc>
          <w:tcPr>
            <w:tcW w:w="9018" w:type="dxa"/>
            <w:gridSpan w:val="6"/>
            <w:tcBorders>
              <w:bottom w:val="double" w:sz="1" w:space="0" w:color="000000"/>
            </w:tcBorders>
          </w:tcPr>
          <w:p>
            <w:pPr>
              <w:pStyle w:val="TableParagraph"/>
              <w:spacing w:line="207" w:lineRule="exact" w:before="59"/>
              <w:ind w:left="4058"/>
              <w:rPr>
                <w:b/>
                <w:sz w:val="18"/>
              </w:rPr>
            </w:pPr>
            <w:r>
              <w:rPr>
                <w:b/>
                <w:sz w:val="18"/>
              </w:rPr>
              <w:t>T</w:t>
            </w:r>
            <w:r>
              <w:rPr>
                <w:b/>
                <w:sz w:val="14"/>
              </w:rPr>
              <w:t>ABLE </w:t>
            </w:r>
            <w:r>
              <w:rPr>
                <w:b/>
                <w:sz w:val="18"/>
              </w:rPr>
              <w:t>3.4.3</w:t>
            </w:r>
          </w:p>
          <w:p>
            <w:pPr>
              <w:pStyle w:val="TableParagraph"/>
              <w:ind w:left="1962" w:right="1939" w:firstLine="211"/>
              <w:rPr>
                <w:b/>
                <w:sz w:val="14"/>
              </w:rPr>
            </w:pPr>
            <w:r>
              <w:rPr>
                <w:b/>
                <w:sz w:val="18"/>
              </w:rPr>
              <w:t>D</w:t>
            </w:r>
            <w:r>
              <w:rPr>
                <w:b/>
                <w:sz w:val="14"/>
              </w:rPr>
              <w:t>EFAULT EXPANSION FACTORS </w:t>
            </w:r>
            <w:r>
              <w:rPr>
                <w:b/>
                <w:sz w:val="18"/>
              </w:rPr>
              <w:t>(</w:t>
            </w:r>
            <w:r>
              <w:rPr>
                <w:b/>
                <w:sz w:val="14"/>
              </w:rPr>
              <w:t>ROOT</w:t>
            </w:r>
            <w:r>
              <w:rPr>
                <w:b/>
                <w:sz w:val="18"/>
              </w:rPr>
              <w:t>-</w:t>
            </w:r>
            <w:r>
              <w:rPr>
                <w:b/>
                <w:sz w:val="14"/>
              </w:rPr>
              <w:t>TO</w:t>
            </w:r>
            <w:r>
              <w:rPr>
                <w:b/>
                <w:sz w:val="18"/>
              </w:rPr>
              <w:t>-</w:t>
            </w:r>
            <w:r>
              <w:rPr>
                <w:b/>
                <w:sz w:val="14"/>
              </w:rPr>
              <w:t>SHOOT </w:t>
            </w:r>
            <w:r>
              <w:rPr>
                <w:b/>
                <w:sz w:val="18"/>
              </w:rPr>
              <w:t>[R:S] </w:t>
            </w:r>
            <w:r>
              <w:rPr>
                <w:b/>
                <w:sz w:val="14"/>
              </w:rPr>
              <w:t>RATIOS</w:t>
            </w:r>
            <w:r>
              <w:rPr>
                <w:b/>
                <w:sz w:val="18"/>
              </w:rPr>
              <w:t>) </w:t>
            </w:r>
            <w:r>
              <w:rPr>
                <w:b/>
                <w:sz w:val="14"/>
              </w:rPr>
              <w:t>FOR THE MAJOR SAVANNAH</w:t>
            </w:r>
            <w:r>
              <w:rPr>
                <w:b/>
                <w:sz w:val="18"/>
              </w:rPr>
              <w:t>/</w:t>
            </w:r>
            <w:r>
              <w:rPr>
                <w:b/>
                <w:sz w:val="14"/>
              </w:rPr>
              <w:t>RANGELAND ECOSYSTEMS OF THE WORLD</w:t>
            </w:r>
          </w:p>
        </w:tc>
      </w:tr>
      <w:tr>
        <w:trPr>
          <w:trHeight w:val="479" w:hRule="atLeast"/>
        </w:trPr>
        <w:tc>
          <w:tcPr>
            <w:tcW w:w="857" w:type="dxa"/>
            <w:tcBorders>
              <w:top w:val="double" w:sz="1" w:space="0" w:color="000000"/>
            </w:tcBorders>
          </w:tcPr>
          <w:p>
            <w:pPr>
              <w:pStyle w:val="TableParagraph"/>
              <w:rPr>
                <w:sz w:val="18"/>
              </w:rPr>
            </w:pPr>
          </w:p>
        </w:tc>
        <w:tc>
          <w:tcPr>
            <w:tcW w:w="2667" w:type="dxa"/>
            <w:tcBorders>
              <w:top w:val="double" w:sz="1" w:space="0" w:color="000000"/>
            </w:tcBorders>
          </w:tcPr>
          <w:p>
            <w:pPr>
              <w:pStyle w:val="TableParagraph"/>
              <w:spacing w:before="138"/>
              <w:ind w:left="733"/>
              <w:rPr>
                <w:b/>
                <w:sz w:val="18"/>
              </w:rPr>
            </w:pPr>
            <w:r>
              <w:rPr>
                <w:b/>
                <w:sz w:val="18"/>
              </w:rPr>
              <w:t>Vegetation type</w:t>
            </w:r>
          </w:p>
        </w:tc>
        <w:tc>
          <w:tcPr>
            <w:tcW w:w="3046" w:type="dxa"/>
            <w:tcBorders>
              <w:top w:val="double" w:sz="1" w:space="0" w:color="000000"/>
            </w:tcBorders>
          </w:tcPr>
          <w:p>
            <w:pPr>
              <w:pStyle w:val="TableParagraph"/>
              <w:spacing w:before="138"/>
              <w:ind w:left="238"/>
              <w:rPr>
                <w:b/>
                <w:sz w:val="18"/>
              </w:rPr>
            </w:pPr>
            <w:r>
              <w:rPr>
                <w:b/>
                <w:sz w:val="18"/>
              </w:rPr>
              <w:t>Approximate IPCC climate zone</w:t>
            </w:r>
            <w:r>
              <w:rPr>
                <w:b/>
                <w:sz w:val="18"/>
                <w:vertAlign w:val="superscript"/>
              </w:rPr>
              <w:t>1</w:t>
            </w:r>
          </w:p>
        </w:tc>
        <w:tc>
          <w:tcPr>
            <w:tcW w:w="872" w:type="dxa"/>
            <w:tcBorders>
              <w:top w:val="double" w:sz="1" w:space="0" w:color="000000"/>
            </w:tcBorders>
          </w:tcPr>
          <w:p>
            <w:pPr>
              <w:pStyle w:val="TableParagraph"/>
              <w:spacing w:line="207" w:lineRule="exact" w:before="35"/>
              <w:ind w:left="288"/>
              <w:rPr>
                <w:b/>
                <w:sz w:val="18"/>
              </w:rPr>
            </w:pPr>
            <w:r>
              <w:rPr>
                <w:b/>
                <w:sz w:val="18"/>
              </w:rPr>
              <w:t>R:S</w:t>
            </w:r>
          </w:p>
          <w:p>
            <w:pPr>
              <w:pStyle w:val="TableParagraph"/>
              <w:spacing w:line="207" w:lineRule="exact"/>
              <w:ind w:left="250"/>
              <w:rPr>
                <w:b/>
                <w:sz w:val="18"/>
              </w:rPr>
            </w:pPr>
            <w:r>
              <w:rPr>
                <w:b/>
                <w:sz w:val="18"/>
              </w:rPr>
              <w:t>ratio</w:t>
            </w:r>
          </w:p>
        </w:tc>
        <w:tc>
          <w:tcPr>
            <w:tcW w:w="704" w:type="dxa"/>
            <w:tcBorders>
              <w:top w:val="double" w:sz="1" w:space="0" w:color="000000"/>
            </w:tcBorders>
          </w:tcPr>
          <w:p>
            <w:pPr>
              <w:pStyle w:val="TableParagraph"/>
              <w:spacing w:before="138"/>
              <w:ind w:left="297"/>
              <w:rPr>
                <w:b/>
                <w:sz w:val="18"/>
              </w:rPr>
            </w:pPr>
            <w:r>
              <w:rPr>
                <w:b/>
                <w:sz w:val="18"/>
              </w:rPr>
              <w:t>n</w:t>
            </w:r>
          </w:p>
        </w:tc>
        <w:tc>
          <w:tcPr>
            <w:tcW w:w="872" w:type="dxa"/>
            <w:tcBorders>
              <w:top w:val="double" w:sz="1" w:space="0" w:color="000000"/>
            </w:tcBorders>
          </w:tcPr>
          <w:p>
            <w:pPr>
              <w:pStyle w:val="TableParagraph"/>
              <w:spacing w:before="138"/>
              <w:ind w:left="179"/>
              <w:rPr>
                <w:b/>
                <w:sz w:val="18"/>
              </w:rPr>
            </w:pPr>
            <w:r>
              <w:rPr>
                <w:b/>
                <w:sz w:val="18"/>
              </w:rPr>
              <w:t>Error</w:t>
            </w:r>
            <w:r>
              <w:rPr>
                <w:b/>
                <w:sz w:val="18"/>
                <w:vertAlign w:val="superscript"/>
              </w:rPr>
              <w:t>2</w:t>
            </w:r>
          </w:p>
        </w:tc>
      </w:tr>
      <w:tr>
        <w:trPr>
          <w:trHeight w:val="501" w:hRule="atLeast"/>
        </w:trPr>
        <w:tc>
          <w:tcPr>
            <w:tcW w:w="857" w:type="dxa"/>
            <w:vMerge w:val="restart"/>
            <w:textDirection w:val="btLr"/>
          </w:tcPr>
          <w:p>
            <w:pPr>
              <w:pStyle w:val="TableParagraph"/>
              <w:spacing w:before="1"/>
              <w:rPr>
                <w:sz w:val="28"/>
              </w:rPr>
            </w:pPr>
          </w:p>
          <w:p>
            <w:pPr>
              <w:pStyle w:val="TableParagraph"/>
              <w:ind w:left="254"/>
              <w:rPr>
                <w:b/>
                <w:sz w:val="18"/>
              </w:rPr>
            </w:pPr>
            <w:r>
              <w:rPr>
                <w:b/>
                <w:sz w:val="18"/>
              </w:rPr>
              <w:t>Grassland</w:t>
            </w:r>
          </w:p>
        </w:tc>
        <w:tc>
          <w:tcPr>
            <w:tcW w:w="2667" w:type="dxa"/>
          </w:tcPr>
          <w:p>
            <w:pPr>
              <w:pStyle w:val="TableParagraph"/>
              <w:spacing w:before="141"/>
              <w:ind w:left="109"/>
              <w:rPr>
                <w:sz w:val="18"/>
              </w:rPr>
            </w:pPr>
            <w:r>
              <w:rPr>
                <w:sz w:val="18"/>
              </w:rPr>
              <w:t>Steppe/tundra/prairie grassland</w:t>
            </w:r>
          </w:p>
        </w:tc>
        <w:tc>
          <w:tcPr>
            <w:tcW w:w="3046" w:type="dxa"/>
          </w:tcPr>
          <w:p>
            <w:pPr>
              <w:pStyle w:val="TableParagraph"/>
              <w:spacing w:line="242" w:lineRule="auto"/>
              <w:ind w:left="106" w:right="201"/>
              <w:rPr>
                <w:sz w:val="18"/>
              </w:rPr>
            </w:pPr>
            <w:r>
              <w:rPr>
                <w:sz w:val="18"/>
              </w:rPr>
              <w:t>Boreal (Dry &amp; Wet), Cold Temperate Wet, Warm Temperate Wet</w:t>
            </w:r>
          </w:p>
        </w:tc>
        <w:tc>
          <w:tcPr>
            <w:tcW w:w="872" w:type="dxa"/>
          </w:tcPr>
          <w:p>
            <w:pPr>
              <w:pStyle w:val="TableParagraph"/>
              <w:spacing w:before="141"/>
              <w:ind w:left="301" w:right="295"/>
              <w:jc w:val="center"/>
              <w:rPr>
                <w:sz w:val="18"/>
              </w:rPr>
            </w:pPr>
            <w:r>
              <w:rPr>
                <w:sz w:val="18"/>
              </w:rPr>
              <w:t>4.0</w:t>
            </w:r>
          </w:p>
        </w:tc>
        <w:tc>
          <w:tcPr>
            <w:tcW w:w="704" w:type="dxa"/>
          </w:tcPr>
          <w:p>
            <w:pPr>
              <w:pStyle w:val="TableParagraph"/>
              <w:spacing w:before="141"/>
              <w:ind w:left="302"/>
              <w:rPr>
                <w:sz w:val="18"/>
              </w:rPr>
            </w:pPr>
            <w:r>
              <w:rPr>
                <w:sz w:val="18"/>
              </w:rPr>
              <w:t>7</w:t>
            </w:r>
          </w:p>
        </w:tc>
        <w:tc>
          <w:tcPr>
            <w:tcW w:w="872" w:type="dxa"/>
          </w:tcPr>
          <w:p>
            <w:pPr>
              <w:pStyle w:val="TableParagraph"/>
              <w:spacing w:before="127"/>
              <w:ind w:left="140"/>
              <w:rPr>
                <w:sz w:val="18"/>
              </w:rPr>
            </w:pPr>
            <w:r>
              <w:rPr>
                <w:sz w:val="20"/>
                <w:u w:val="single"/>
              </w:rPr>
              <w:t>+</w:t>
            </w:r>
            <w:r>
              <w:rPr>
                <w:sz w:val="20"/>
              </w:rPr>
              <w:t> </w:t>
            </w:r>
            <w:r>
              <w:rPr>
                <w:sz w:val="18"/>
              </w:rPr>
              <w:t>150%</w:t>
            </w:r>
          </w:p>
        </w:tc>
      </w:tr>
      <w:tr>
        <w:trPr>
          <w:trHeight w:val="498" w:hRule="atLeast"/>
        </w:trPr>
        <w:tc>
          <w:tcPr>
            <w:tcW w:w="857" w:type="dxa"/>
            <w:vMerge/>
            <w:tcBorders>
              <w:top w:val="nil"/>
            </w:tcBorders>
            <w:textDirection w:val="btLr"/>
          </w:tcPr>
          <w:p>
            <w:pPr>
              <w:rPr>
                <w:sz w:val="2"/>
                <w:szCs w:val="2"/>
              </w:rPr>
            </w:pPr>
          </w:p>
        </w:tc>
        <w:tc>
          <w:tcPr>
            <w:tcW w:w="2667" w:type="dxa"/>
          </w:tcPr>
          <w:p>
            <w:pPr>
              <w:pStyle w:val="TableParagraph"/>
              <w:spacing w:before="141"/>
              <w:ind w:left="109"/>
              <w:rPr>
                <w:sz w:val="18"/>
              </w:rPr>
            </w:pPr>
            <w:r>
              <w:rPr>
                <w:sz w:val="18"/>
              </w:rPr>
              <w:t>Semi-arid grassland</w:t>
            </w:r>
          </w:p>
        </w:tc>
        <w:tc>
          <w:tcPr>
            <w:tcW w:w="3046" w:type="dxa"/>
          </w:tcPr>
          <w:p>
            <w:pPr>
              <w:pStyle w:val="TableParagraph"/>
              <w:ind w:left="106" w:right="820"/>
              <w:rPr>
                <w:sz w:val="18"/>
              </w:rPr>
            </w:pPr>
            <w:r>
              <w:rPr>
                <w:sz w:val="18"/>
              </w:rPr>
              <w:t>Dry (Cold Temperate, Warm Temperate and Tropical)</w:t>
            </w:r>
          </w:p>
        </w:tc>
        <w:tc>
          <w:tcPr>
            <w:tcW w:w="872" w:type="dxa"/>
          </w:tcPr>
          <w:p>
            <w:pPr>
              <w:pStyle w:val="TableParagraph"/>
              <w:spacing w:before="141"/>
              <w:ind w:left="301" w:right="295"/>
              <w:jc w:val="center"/>
              <w:rPr>
                <w:sz w:val="18"/>
              </w:rPr>
            </w:pPr>
            <w:r>
              <w:rPr>
                <w:sz w:val="18"/>
              </w:rPr>
              <w:t>2.8</w:t>
            </w:r>
          </w:p>
        </w:tc>
        <w:tc>
          <w:tcPr>
            <w:tcW w:w="704" w:type="dxa"/>
          </w:tcPr>
          <w:p>
            <w:pPr>
              <w:pStyle w:val="TableParagraph"/>
              <w:spacing w:before="141"/>
              <w:ind w:left="302"/>
              <w:rPr>
                <w:sz w:val="18"/>
              </w:rPr>
            </w:pPr>
            <w:r>
              <w:rPr>
                <w:sz w:val="18"/>
              </w:rPr>
              <w:t>9</w:t>
            </w:r>
          </w:p>
        </w:tc>
        <w:tc>
          <w:tcPr>
            <w:tcW w:w="872" w:type="dxa"/>
          </w:tcPr>
          <w:p>
            <w:pPr>
              <w:pStyle w:val="TableParagraph"/>
              <w:spacing w:before="127"/>
              <w:ind w:left="160"/>
              <w:rPr>
                <w:sz w:val="18"/>
              </w:rPr>
            </w:pPr>
            <w:r>
              <w:rPr>
                <w:sz w:val="20"/>
                <w:u w:val="single"/>
              </w:rPr>
              <w:t>+</w:t>
            </w:r>
            <w:r>
              <w:rPr>
                <w:sz w:val="20"/>
              </w:rPr>
              <w:t> </w:t>
            </w:r>
            <w:r>
              <w:rPr>
                <w:sz w:val="18"/>
              </w:rPr>
              <w:t>95%</w:t>
            </w:r>
          </w:p>
        </w:tc>
      </w:tr>
      <w:tr>
        <w:trPr>
          <w:trHeight w:val="275" w:hRule="atLeast"/>
        </w:trPr>
        <w:tc>
          <w:tcPr>
            <w:tcW w:w="857" w:type="dxa"/>
            <w:vMerge/>
            <w:tcBorders>
              <w:top w:val="nil"/>
            </w:tcBorders>
            <w:textDirection w:val="btLr"/>
          </w:tcPr>
          <w:p>
            <w:pPr>
              <w:rPr>
                <w:sz w:val="2"/>
                <w:szCs w:val="2"/>
              </w:rPr>
            </w:pPr>
          </w:p>
        </w:tc>
        <w:tc>
          <w:tcPr>
            <w:tcW w:w="2667" w:type="dxa"/>
          </w:tcPr>
          <w:p>
            <w:pPr>
              <w:pStyle w:val="TableParagraph"/>
              <w:spacing w:before="28"/>
              <w:ind w:left="109"/>
              <w:rPr>
                <w:sz w:val="18"/>
              </w:rPr>
            </w:pPr>
            <w:r>
              <w:rPr>
                <w:sz w:val="18"/>
              </w:rPr>
              <w:t>Sub-tropical/ tropical grassland</w:t>
            </w:r>
          </w:p>
        </w:tc>
        <w:tc>
          <w:tcPr>
            <w:tcW w:w="3046" w:type="dxa"/>
          </w:tcPr>
          <w:p>
            <w:pPr>
              <w:pStyle w:val="TableParagraph"/>
              <w:spacing w:before="28"/>
              <w:ind w:left="107"/>
              <w:rPr>
                <w:sz w:val="18"/>
              </w:rPr>
            </w:pPr>
            <w:r>
              <w:rPr>
                <w:sz w:val="18"/>
              </w:rPr>
              <w:t>Tropical Moist &amp; Wet</w:t>
            </w:r>
          </w:p>
        </w:tc>
        <w:tc>
          <w:tcPr>
            <w:tcW w:w="872" w:type="dxa"/>
          </w:tcPr>
          <w:p>
            <w:pPr>
              <w:pStyle w:val="TableParagraph"/>
              <w:spacing w:before="28"/>
              <w:ind w:left="301" w:right="294"/>
              <w:jc w:val="center"/>
              <w:rPr>
                <w:sz w:val="18"/>
              </w:rPr>
            </w:pPr>
            <w:r>
              <w:rPr>
                <w:sz w:val="18"/>
              </w:rPr>
              <w:t>1.6</w:t>
            </w:r>
          </w:p>
        </w:tc>
        <w:tc>
          <w:tcPr>
            <w:tcW w:w="704" w:type="dxa"/>
          </w:tcPr>
          <w:p>
            <w:pPr>
              <w:pStyle w:val="TableParagraph"/>
              <w:spacing w:before="28"/>
              <w:ind w:left="303"/>
              <w:rPr>
                <w:sz w:val="18"/>
              </w:rPr>
            </w:pPr>
            <w:r>
              <w:rPr>
                <w:sz w:val="18"/>
              </w:rPr>
              <w:t>7</w:t>
            </w:r>
          </w:p>
        </w:tc>
        <w:tc>
          <w:tcPr>
            <w:tcW w:w="872" w:type="dxa"/>
          </w:tcPr>
          <w:p>
            <w:pPr>
              <w:pStyle w:val="TableParagraph"/>
              <w:spacing w:before="14"/>
              <w:ind w:left="140"/>
              <w:rPr>
                <w:sz w:val="18"/>
              </w:rPr>
            </w:pPr>
            <w:r>
              <w:rPr>
                <w:sz w:val="20"/>
                <w:u w:val="single"/>
              </w:rPr>
              <w:t>+</w:t>
            </w:r>
            <w:r>
              <w:rPr>
                <w:sz w:val="20"/>
              </w:rPr>
              <w:t> </w:t>
            </w:r>
            <w:r>
              <w:rPr>
                <w:sz w:val="18"/>
              </w:rPr>
              <w:t>130%</w:t>
            </w:r>
          </w:p>
        </w:tc>
      </w:tr>
      <w:tr>
        <w:trPr>
          <w:trHeight w:val="273" w:hRule="atLeast"/>
        </w:trPr>
        <w:tc>
          <w:tcPr>
            <w:tcW w:w="857" w:type="dxa"/>
            <w:vMerge w:val="restart"/>
          </w:tcPr>
          <w:p>
            <w:pPr>
              <w:pStyle w:val="TableParagraph"/>
              <w:spacing w:before="170"/>
              <w:ind w:left="107"/>
              <w:rPr>
                <w:b/>
                <w:sz w:val="18"/>
              </w:rPr>
            </w:pPr>
            <w:r>
              <w:rPr>
                <w:b/>
                <w:sz w:val="18"/>
              </w:rPr>
              <w:t>Other</w:t>
            </w:r>
          </w:p>
        </w:tc>
        <w:tc>
          <w:tcPr>
            <w:tcW w:w="2667" w:type="dxa"/>
          </w:tcPr>
          <w:p>
            <w:pPr>
              <w:pStyle w:val="TableParagraph"/>
              <w:spacing w:before="28"/>
              <w:ind w:left="109"/>
              <w:rPr>
                <w:sz w:val="18"/>
              </w:rPr>
            </w:pPr>
            <w:r>
              <w:rPr>
                <w:sz w:val="18"/>
              </w:rPr>
              <w:t>Woodland/savanna</w:t>
            </w:r>
          </w:p>
        </w:tc>
        <w:tc>
          <w:tcPr>
            <w:tcW w:w="3046" w:type="dxa"/>
          </w:tcPr>
          <w:p>
            <w:pPr>
              <w:pStyle w:val="TableParagraph"/>
              <w:rPr>
                <w:sz w:val="18"/>
              </w:rPr>
            </w:pPr>
          </w:p>
        </w:tc>
        <w:tc>
          <w:tcPr>
            <w:tcW w:w="872" w:type="dxa"/>
          </w:tcPr>
          <w:p>
            <w:pPr>
              <w:pStyle w:val="TableParagraph"/>
              <w:spacing w:before="28"/>
              <w:ind w:left="301" w:right="294"/>
              <w:jc w:val="center"/>
              <w:rPr>
                <w:sz w:val="18"/>
              </w:rPr>
            </w:pPr>
            <w:r>
              <w:rPr>
                <w:sz w:val="18"/>
              </w:rPr>
              <w:t>0.5</w:t>
            </w:r>
          </w:p>
        </w:tc>
        <w:tc>
          <w:tcPr>
            <w:tcW w:w="704" w:type="dxa"/>
          </w:tcPr>
          <w:p>
            <w:pPr>
              <w:pStyle w:val="TableParagraph"/>
              <w:spacing w:before="28"/>
              <w:ind w:left="257"/>
              <w:rPr>
                <w:sz w:val="18"/>
              </w:rPr>
            </w:pPr>
            <w:r>
              <w:rPr>
                <w:sz w:val="18"/>
              </w:rPr>
              <w:t>19</w:t>
            </w:r>
          </w:p>
        </w:tc>
        <w:tc>
          <w:tcPr>
            <w:tcW w:w="872" w:type="dxa"/>
          </w:tcPr>
          <w:p>
            <w:pPr>
              <w:pStyle w:val="TableParagraph"/>
              <w:spacing w:before="14"/>
              <w:ind w:left="160"/>
              <w:rPr>
                <w:sz w:val="18"/>
              </w:rPr>
            </w:pPr>
            <w:r>
              <w:rPr>
                <w:sz w:val="20"/>
                <w:u w:val="single"/>
              </w:rPr>
              <w:t>+</w:t>
            </w:r>
            <w:r>
              <w:rPr>
                <w:sz w:val="20"/>
              </w:rPr>
              <w:t> </w:t>
            </w:r>
            <w:r>
              <w:rPr>
                <w:sz w:val="18"/>
              </w:rPr>
              <w:t>80%</w:t>
            </w:r>
          </w:p>
        </w:tc>
      </w:tr>
      <w:tr>
        <w:trPr>
          <w:trHeight w:val="273" w:hRule="atLeast"/>
        </w:trPr>
        <w:tc>
          <w:tcPr>
            <w:tcW w:w="857" w:type="dxa"/>
            <w:vMerge/>
            <w:tcBorders>
              <w:top w:val="nil"/>
            </w:tcBorders>
          </w:tcPr>
          <w:p>
            <w:pPr>
              <w:rPr>
                <w:sz w:val="2"/>
                <w:szCs w:val="2"/>
              </w:rPr>
            </w:pPr>
          </w:p>
        </w:tc>
        <w:tc>
          <w:tcPr>
            <w:tcW w:w="2667" w:type="dxa"/>
          </w:tcPr>
          <w:p>
            <w:pPr>
              <w:pStyle w:val="TableParagraph"/>
              <w:spacing w:before="28"/>
              <w:ind w:left="109"/>
              <w:rPr>
                <w:sz w:val="18"/>
              </w:rPr>
            </w:pPr>
            <w:r>
              <w:rPr>
                <w:sz w:val="18"/>
              </w:rPr>
              <w:t>Shrubland</w:t>
            </w:r>
          </w:p>
        </w:tc>
        <w:tc>
          <w:tcPr>
            <w:tcW w:w="3046" w:type="dxa"/>
          </w:tcPr>
          <w:p>
            <w:pPr>
              <w:pStyle w:val="TableParagraph"/>
              <w:rPr>
                <w:sz w:val="18"/>
              </w:rPr>
            </w:pPr>
          </w:p>
        </w:tc>
        <w:tc>
          <w:tcPr>
            <w:tcW w:w="872" w:type="dxa"/>
          </w:tcPr>
          <w:p>
            <w:pPr>
              <w:pStyle w:val="TableParagraph"/>
              <w:spacing w:before="28"/>
              <w:ind w:left="301" w:right="294"/>
              <w:jc w:val="center"/>
              <w:rPr>
                <w:sz w:val="18"/>
              </w:rPr>
            </w:pPr>
            <w:r>
              <w:rPr>
                <w:sz w:val="18"/>
              </w:rPr>
              <w:t>2.8</w:t>
            </w:r>
          </w:p>
        </w:tc>
        <w:tc>
          <w:tcPr>
            <w:tcW w:w="704" w:type="dxa"/>
          </w:tcPr>
          <w:p>
            <w:pPr>
              <w:pStyle w:val="TableParagraph"/>
              <w:spacing w:before="28"/>
              <w:ind w:left="303"/>
              <w:rPr>
                <w:sz w:val="18"/>
              </w:rPr>
            </w:pPr>
            <w:r>
              <w:rPr>
                <w:sz w:val="18"/>
              </w:rPr>
              <w:t>9</w:t>
            </w:r>
          </w:p>
        </w:tc>
        <w:tc>
          <w:tcPr>
            <w:tcW w:w="872" w:type="dxa"/>
          </w:tcPr>
          <w:p>
            <w:pPr>
              <w:pStyle w:val="TableParagraph"/>
              <w:spacing w:before="14"/>
              <w:ind w:left="140"/>
              <w:rPr>
                <w:sz w:val="18"/>
              </w:rPr>
            </w:pPr>
            <w:r>
              <w:rPr>
                <w:sz w:val="20"/>
                <w:u w:val="single"/>
              </w:rPr>
              <w:t>+</w:t>
            </w:r>
            <w:r>
              <w:rPr>
                <w:sz w:val="20"/>
              </w:rPr>
              <w:t> </w:t>
            </w:r>
            <w:r>
              <w:rPr>
                <w:sz w:val="18"/>
              </w:rPr>
              <w:t>144%</w:t>
            </w:r>
          </w:p>
        </w:tc>
      </w:tr>
      <w:tr>
        <w:trPr>
          <w:trHeight w:val="597" w:hRule="atLeast"/>
        </w:trPr>
        <w:tc>
          <w:tcPr>
            <w:tcW w:w="9018" w:type="dxa"/>
            <w:gridSpan w:val="6"/>
          </w:tcPr>
          <w:p>
            <w:pPr>
              <w:pStyle w:val="TableParagraph"/>
              <w:spacing w:before="50"/>
              <w:ind w:left="107"/>
              <w:rPr>
                <w:sz w:val="16"/>
              </w:rPr>
            </w:pPr>
            <w:r>
              <w:rPr>
                <w:position w:val="7"/>
                <w:sz w:val="10"/>
              </w:rPr>
              <w:t>1 </w:t>
            </w:r>
            <w:r>
              <w:rPr>
                <w:sz w:val="16"/>
              </w:rPr>
              <w:t>Classification of the source data was by grassland biome types and thus correspondence to the IPCC climate zones are approximations.</w:t>
            </w:r>
          </w:p>
          <w:p>
            <w:pPr>
              <w:pStyle w:val="TableParagraph"/>
              <w:spacing w:before="87"/>
              <w:ind w:left="107"/>
              <w:rPr>
                <w:sz w:val="16"/>
              </w:rPr>
            </w:pPr>
            <w:r>
              <w:rPr>
                <w:position w:val="7"/>
                <w:sz w:val="10"/>
              </w:rPr>
              <w:t>2 </w:t>
            </w:r>
            <w:r>
              <w:rPr>
                <w:sz w:val="16"/>
              </w:rPr>
              <w:t>Error estimates are given as two times standard deviation, as a percentage of the mean.</w:t>
            </w:r>
          </w:p>
        </w:tc>
      </w:tr>
    </w:tbl>
    <w:p>
      <w:pPr>
        <w:pStyle w:val="BodyText"/>
        <w:rPr>
          <w:sz w:val="22"/>
        </w:rPr>
      </w:pPr>
    </w:p>
    <w:p>
      <w:pPr>
        <w:pStyle w:val="BodyText"/>
        <w:spacing w:before="9"/>
        <w:rPr>
          <w:sz w:val="18"/>
        </w:rPr>
      </w:pPr>
    </w:p>
    <w:p>
      <w:pPr>
        <w:pStyle w:val="Heading6"/>
        <w:numPr>
          <w:ilvl w:val="5"/>
          <w:numId w:val="69"/>
        </w:numPr>
        <w:tabs>
          <w:tab w:pos="1449" w:val="left" w:leader="none"/>
        </w:tabs>
        <w:spacing w:line="240" w:lineRule="auto" w:before="0" w:after="0"/>
        <w:ind w:left="1448" w:right="0" w:hanging="1229"/>
        <w:jc w:val="both"/>
      </w:pPr>
      <w:r>
        <w:rPr/>
        <w:t>3 </w:t>
      </w:r>
      <w:r>
        <w:rPr>
          <w:spacing w:val="16"/>
        </w:rPr>
        <w:t>Choice </w:t>
      </w:r>
      <w:r>
        <w:rPr>
          <w:spacing w:val="9"/>
        </w:rPr>
        <w:t>of </w:t>
      </w:r>
      <w:r>
        <w:rPr>
          <w:spacing w:val="16"/>
        </w:rPr>
        <w:t>Activity</w:t>
      </w:r>
      <w:r>
        <w:rPr>
          <w:spacing w:val="15"/>
        </w:rPr>
        <w:t> </w:t>
      </w:r>
      <w:r>
        <w:rPr>
          <w:spacing w:val="19"/>
        </w:rPr>
        <w:t>Data</w:t>
      </w:r>
    </w:p>
    <w:p>
      <w:pPr>
        <w:pStyle w:val="BodyText"/>
        <w:spacing w:before="53"/>
        <w:ind w:left="219" w:right="262"/>
        <w:jc w:val="both"/>
      </w:pPr>
      <w:r>
        <w:rPr/>
        <w:t>Activity data in this section refer to estimates of land areas (A</w:t>
      </w:r>
      <w:r>
        <w:rPr>
          <w:i/>
          <w:vertAlign w:val="subscript"/>
        </w:rPr>
        <w:t>i</w:t>
      </w:r>
      <w:r>
        <w:rPr>
          <w:vertAlign w:val="baseline"/>
        </w:rPr>
        <w:t>) of long-term grassland (i.e. not recently converted from other land uses). In addition, countries will need to estimate area burned each year to estimate non-CO</w:t>
      </w:r>
      <w:r>
        <w:rPr>
          <w:vertAlign w:val="subscript"/>
        </w:rPr>
        <w:t>2</w:t>
      </w:r>
      <w:r>
        <w:rPr>
          <w:vertAlign w:val="baseline"/>
        </w:rPr>
        <w:t> emissions. Chapter 2 provides general guidance on approaches for obtaining and categorizing area by different land use classes. For estimating emissions and removals from this source, countries need to obtain area estimates for grassland, disaggregated as required to correspond to the available emission factors and other parameters. Because Tier 1 assumes no net change in grassland biomass through growth and losses, there is no need to develop activity data at Tier 1, except to estimate non-CO</w:t>
      </w:r>
      <w:r>
        <w:rPr>
          <w:vertAlign w:val="subscript"/>
        </w:rPr>
        <w:t>2</w:t>
      </w:r>
      <w:r>
        <w:rPr>
          <w:vertAlign w:val="baseline"/>
        </w:rPr>
        <w:t> emissions associated with burning (Section 3.4.1.3). Guidance below is for developing activity data for Tiers 2 and 3</w:t>
      </w:r>
      <w:r>
        <w:rPr>
          <w:spacing w:val="-14"/>
          <w:vertAlign w:val="baseline"/>
        </w:rPr>
        <w:t> </w:t>
      </w:r>
      <w:r>
        <w:rPr>
          <w:vertAlign w:val="baseline"/>
        </w:rPr>
        <w:t>methods.</w:t>
      </w:r>
    </w:p>
    <w:p>
      <w:pPr>
        <w:pStyle w:val="BodyText"/>
        <w:spacing w:before="121"/>
        <w:ind w:left="219" w:right="264"/>
        <w:jc w:val="both"/>
      </w:pPr>
      <w:r>
        <w:rPr/>
        <w:t>Annual or periodic surveys are used in conjunction with the approaches outlined in Chapter 2 to estimate the average annual area of land in grassland. The area estimates are further sub-divided into general climate regions and management practices to match the G and L values. International statistics such as FAO databases, </w:t>
      </w:r>
      <w:r>
        <w:rPr>
          <w:i/>
        </w:rPr>
        <w:t>IPCC Guidelines</w:t>
      </w:r>
      <w:r>
        <w:rPr/>
        <w:t>, and other sources can be used to estimate the area of land in grassland. Area of grassland burning can be estimated from knowledge of the average fire frequency for different grassland types or from more accurate assessments, such as use of remote sensing to inventory burned</w:t>
      </w:r>
      <w:r>
        <w:rPr>
          <w:spacing w:val="-6"/>
        </w:rPr>
        <w:t> </w:t>
      </w:r>
      <w:r>
        <w:rPr/>
        <w:t>areas.</w:t>
      </w:r>
    </w:p>
    <w:p>
      <w:pPr>
        <w:pStyle w:val="BodyText"/>
        <w:spacing w:before="120"/>
        <w:ind w:left="219" w:right="263"/>
        <w:jc w:val="both"/>
      </w:pPr>
      <w:r>
        <w:rPr/>
        <w:t>To improve estimates, more detailed annual or periodic surveys are used to estimate the areas of grassland stratified by grassland types, climatic regions and management regimes. If finer resolution country-specific data are only partially available, countries are encouraged to extrapolate to the entire land base of grassland using sound assumptions from best available knowledge.</w:t>
      </w:r>
    </w:p>
    <w:p>
      <w:pPr>
        <w:pStyle w:val="BodyText"/>
        <w:spacing w:before="120"/>
        <w:ind w:left="219" w:right="262"/>
        <w:jc w:val="both"/>
      </w:pPr>
      <w:r>
        <w:rPr/>
        <w:t>Tier</w:t>
      </w:r>
      <w:r>
        <w:rPr>
          <w:spacing w:val="-6"/>
        </w:rPr>
        <w:t> </w:t>
      </w:r>
      <w:r>
        <w:rPr/>
        <w:t>3</w:t>
      </w:r>
      <w:r>
        <w:rPr>
          <w:spacing w:val="-6"/>
        </w:rPr>
        <w:t> </w:t>
      </w:r>
      <w:r>
        <w:rPr/>
        <w:t>requires</w:t>
      </w:r>
      <w:r>
        <w:rPr>
          <w:spacing w:val="-5"/>
        </w:rPr>
        <w:t> </w:t>
      </w:r>
      <w:r>
        <w:rPr/>
        <w:t>high-resolution</w:t>
      </w:r>
      <w:r>
        <w:rPr>
          <w:spacing w:val="-6"/>
        </w:rPr>
        <w:t> </w:t>
      </w:r>
      <w:r>
        <w:rPr/>
        <w:t>activity</w:t>
      </w:r>
      <w:r>
        <w:rPr>
          <w:spacing w:val="-7"/>
        </w:rPr>
        <w:t> </w:t>
      </w:r>
      <w:r>
        <w:rPr/>
        <w:t>data</w:t>
      </w:r>
      <w:r>
        <w:rPr>
          <w:spacing w:val="-7"/>
        </w:rPr>
        <w:t> </w:t>
      </w:r>
      <w:r>
        <w:rPr>
          <w:spacing w:val="-3"/>
        </w:rPr>
        <w:t>disaggregated</w:t>
      </w:r>
      <w:r>
        <w:rPr>
          <w:spacing w:val="-6"/>
        </w:rPr>
        <w:t> </w:t>
      </w:r>
      <w:r>
        <w:rPr/>
        <w:t>at</w:t>
      </w:r>
      <w:r>
        <w:rPr>
          <w:spacing w:val="-5"/>
        </w:rPr>
        <w:t> </w:t>
      </w:r>
      <w:r>
        <w:rPr>
          <w:spacing w:val="-2"/>
        </w:rPr>
        <w:t>sub-national</w:t>
      </w:r>
      <w:r>
        <w:rPr>
          <w:spacing w:val="-5"/>
        </w:rPr>
        <w:t> </w:t>
      </w:r>
      <w:r>
        <w:rPr/>
        <w:t>to</w:t>
      </w:r>
      <w:r>
        <w:rPr>
          <w:spacing w:val="-3"/>
        </w:rPr>
        <w:t> fine</w:t>
      </w:r>
      <w:r>
        <w:rPr>
          <w:spacing w:val="-4"/>
        </w:rPr>
        <w:t> </w:t>
      </w:r>
      <w:r>
        <w:rPr/>
        <w:t>grid</w:t>
      </w:r>
      <w:r>
        <w:rPr>
          <w:spacing w:val="-6"/>
        </w:rPr>
        <w:t> </w:t>
      </w:r>
      <w:r>
        <w:rPr/>
        <w:t>scales.</w:t>
      </w:r>
      <w:r>
        <w:rPr>
          <w:spacing w:val="-6"/>
        </w:rPr>
        <w:t> </w:t>
      </w:r>
      <w:r>
        <w:rPr>
          <w:spacing w:val="-3"/>
        </w:rPr>
        <w:t>Similar</w:t>
      </w:r>
      <w:r>
        <w:rPr>
          <w:spacing w:val="-4"/>
        </w:rPr>
        <w:t> </w:t>
      </w:r>
      <w:r>
        <w:rPr/>
        <w:t>to</w:t>
      </w:r>
      <w:r>
        <w:rPr>
          <w:spacing w:val="-6"/>
        </w:rPr>
        <w:t> </w:t>
      </w:r>
      <w:r>
        <w:rPr/>
        <w:t>Tier</w:t>
      </w:r>
      <w:r>
        <w:rPr>
          <w:spacing w:val="-6"/>
        </w:rPr>
        <w:t> </w:t>
      </w:r>
      <w:r>
        <w:rPr/>
        <w:t>2,</w:t>
      </w:r>
      <w:r>
        <w:rPr>
          <w:spacing w:val="-6"/>
        </w:rPr>
        <w:t> </w:t>
      </w:r>
      <w:r>
        <w:rPr/>
        <w:t>land area is classified into specific </w:t>
      </w:r>
      <w:r>
        <w:rPr>
          <w:spacing w:val="-3"/>
        </w:rPr>
        <w:t>grassland </w:t>
      </w:r>
      <w:r>
        <w:rPr/>
        <w:t>types by major climate, and management categories. If possible, spatially explicit area estimates are used to facilitate complete coverage of the </w:t>
      </w:r>
      <w:r>
        <w:rPr>
          <w:spacing w:val="-3"/>
        </w:rPr>
        <w:t>grassland </w:t>
      </w:r>
      <w:r>
        <w:rPr/>
        <w:t>and ensure that areas are </w:t>
      </w:r>
      <w:r>
        <w:rPr>
          <w:spacing w:val="-2"/>
        </w:rPr>
        <w:t>not </w:t>
      </w:r>
      <w:r>
        <w:rPr/>
        <w:t>over- or </w:t>
      </w:r>
      <w:r>
        <w:rPr>
          <w:spacing w:val="-3"/>
        </w:rPr>
        <w:t>underestimated. </w:t>
      </w:r>
      <w:r>
        <w:rPr/>
        <w:t>Furthermore, </w:t>
      </w:r>
      <w:r>
        <w:rPr>
          <w:spacing w:val="-3"/>
        </w:rPr>
        <w:t>spatially </w:t>
      </w:r>
      <w:r>
        <w:rPr/>
        <w:t>explicit area estimates can be related to </w:t>
      </w:r>
      <w:r>
        <w:rPr>
          <w:spacing w:val="-3"/>
        </w:rPr>
        <w:t>locally </w:t>
      </w:r>
      <w:r>
        <w:rPr/>
        <w:t>relevant carbon accumulation</w:t>
      </w:r>
      <w:r>
        <w:rPr>
          <w:spacing w:val="-14"/>
        </w:rPr>
        <w:t> </w:t>
      </w:r>
      <w:r>
        <w:rPr/>
        <w:t>and</w:t>
      </w:r>
      <w:r>
        <w:rPr>
          <w:spacing w:val="-13"/>
        </w:rPr>
        <w:t> </w:t>
      </w:r>
      <w:r>
        <w:rPr/>
        <w:t>removal</w:t>
      </w:r>
      <w:r>
        <w:rPr>
          <w:spacing w:val="-12"/>
        </w:rPr>
        <w:t> </w:t>
      </w:r>
      <w:r>
        <w:rPr/>
        <w:t>rates,</w:t>
      </w:r>
      <w:r>
        <w:rPr>
          <w:spacing w:val="-12"/>
        </w:rPr>
        <w:t> </w:t>
      </w:r>
      <w:r>
        <w:rPr/>
        <w:t>and</w:t>
      </w:r>
      <w:r>
        <w:rPr>
          <w:spacing w:val="-12"/>
        </w:rPr>
        <w:t> </w:t>
      </w:r>
      <w:r>
        <w:rPr/>
        <w:t>restocking</w:t>
      </w:r>
      <w:r>
        <w:rPr>
          <w:spacing w:val="-14"/>
        </w:rPr>
        <w:t> </w:t>
      </w:r>
      <w:r>
        <w:rPr/>
        <w:t>and</w:t>
      </w:r>
      <w:r>
        <w:rPr>
          <w:spacing w:val="-11"/>
        </w:rPr>
        <w:t> </w:t>
      </w:r>
      <w:r>
        <w:rPr/>
        <w:t>management</w:t>
      </w:r>
      <w:r>
        <w:rPr>
          <w:spacing w:val="-11"/>
        </w:rPr>
        <w:t> </w:t>
      </w:r>
      <w:r>
        <w:rPr/>
        <w:t>impacts,</w:t>
      </w:r>
      <w:r>
        <w:rPr>
          <w:spacing w:val="-13"/>
        </w:rPr>
        <w:t> </w:t>
      </w:r>
      <w:r>
        <w:rPr>
          <w:spacing w:val="-2"/>
        </w:rPr>
        <w:t>improving</w:t>
      </w:r>
      <w:r>
        <w:rPr>
          <w:spacing w:val="-12"/>
        </w:rPr>
        <w:t> </w:t>
      </w:r>
      <w:r>
        <w:rPr/>
        <w:t>the</w:t>
      </w:r>
      <w:r>
        <w:rPr>
          <w:spacing w:val="-12"/>
        </w:rPr>
        <w:t> </w:t>
      </w:r>
      <w:r>
        <w:rPr/>
        <w:t>accuracy</w:t>
      </w:r>
      <w:r>
        <w:rPr>
          <w:spacing w:val="-14"/>
        </w:rPr>
        <w:t> </w:t>
      </w:r>
      <w:r>
        <w:rPr/>
        <w:t>of</w:t>
      </w:r>
      <w:r>
        <w:rPr>
          <w:spacing w:val="-14"/>
        </w:rPr>
        <w:t> </w:t>
      </w:r>
      <w:r>
        <w:rPr/>
        <w:t>estimates.</w:t>
      </w:r>
    </w:p>
    <w:p>
      <w:pPr>
        <w:pStyle w:val="BodyText"/>
        <w:spacing w:before="3"/>
        <w:rPr>
          <w:sz w:val="21"/>
        </w:rPr>
      </w:pPr>
    </w:p>
    <w:p>
      <w:pPr>
        <w:pStyle w:val="Heading6"/>
        <w:numPr>
          <w:ilvl w:val="5"/>
          <w:numId w:val="69"/>
        </w:numPr>
        <w:tabs>
          <w:tab w:pos="1540" w:val="left" w:leader="none"/>
        </w:tabs>
        <w:spacing w:line="240" w:lineRule="auto" w:before="0" w:after="0"/>
        <w:ind w:left="1539" w:right="0" w:hanging="1320"/>
        <w:jc w:val="both"/>
      </w:pPr>
      <w:r>
        <w:rPr/>
        <w:t>4 </w:t>
      </w:r>
      <w:r>
        <w:rPr>
          <w:spacing w:val="17"/>
        </w:rPr>
        <w:t>Uncertainty</w:t>
      </w:r>
      <w:r>
        <w:rPr>
          <w:spacing w:val="8"/>
        </w:rPr>
        <w:t> </w:t>
      </w:r>
      <w:r>
        <w:rPr>
          <w:spacing w:val="17"/>
        </w:rPr>
        <w:t>Assessment</w:t>
      </w:r>
      <w:r>
        <w:rPr>
          <w:spacing w:val="-36"/>
        </w:rPr>
        <w:t> </w:t>
      </w:r>
    </w:p>
    <w:p>
      <w:pPr>
        <w:pStyle w:val="BodyText"/>
        <w:spacing w:before="56"/>
        <w:ind w:left="219" w:right="264"/>
        <w:jc w:val="both"/>
      </w:pPr>
      <w:r>
        <w:rPr/>
        <w:t>Because Tier 1 assumes no change in grassland biomass, it is not relevant to develop uncertainty estimates for Tier 1. Guidance below is for developing uncertainty estimates for Tiers 2 and 3 methods.</w:t>
      </w:r>
    </w:p>
    <w:p>
      <w:pPr>
        <w:spacing w:after="0"/>
        <w:jc w:val="both"/>
        <w:sectPr>
          <w:footerReference w:type="default" r:id="rId142"/>
          <w:footerReference w:type="even" r:id="rId143"/>
          <w:pgSz w:w="11900" w:h="16840"/>
          <w:pgMar w:footer="408" w:header="230" w:top="560" w:bottom="600" w:left="1200" w:right="1140"/>
        </w:sectPr>
      </w:pPr>
    </w:p>
    <w:p>
      <w:pPr>
        <w:pStyle w:val="BodyText"/>
      </w:pPr>
    </w:p>
    <w:p>
      <w:pPr>
        <w:pStyle w:val="BodyText"/>
        <w:spacing w:before="2"/>
        <w:rPr>
          <w:sz w:val="18"/>
        </w:rPr>
      </w:pPr>
    </w:p>
    <w:p>
      <w:pPr>
        <w:pStyle w:val="BodyText"/>
        <w:ind w:left="219" w:right="264"/>
        <w:jc w:val="both"/>
      </w:pPr>
      <w:r>
        <w:rPr/>
        <w:t>Sources of uncertainty include the degree of accuracy in land area estimates (A</w:t>
      </w:r>
      <w:r>
        <w:rPr>
          <w:i/>
          <w:vertAlign w:val="subscript"/>
        </w:rPr>
        <w:t>i</w:t>
      </w:r>
      <w:r>
        <w:rPr>
          <w:vertAlign w:val="baseline"/>
        </w:rPr>
        <w:t>), fraction of land area burned (f</w:t>
      </w:r>
      <w:r>
        <w:rPr>
          <w:vertAlign w:val="subscript"/>
        </w:rPr>
        <w:t>burned,</w:t>
      </w:r>
      <w:r>
        <w:rPr>
          <w:i/>
          <w:vertAlign w:val="subscript"/>
        </w:rPr>
        <w:t>i</w:t>
      </w:r>
      <w:r>
        <w:rPr>
          <w:vertAlign w:val="baseline"/>
        </w:rPr>
        <w:t>), carbon increase and loss (G and L), carbon stock (B), and expansion factor (EF) terms. It is </w:t>
      </w:r>
      <w:r>
        <w:rPr>
          <w:i/>
          <w:vertAlign w:val="baseline"/>
        </w:rPr>
        <w:t>good practice </w:t>
      </w:r>
      <w:r>
        <w:rPr>
          <w:vertAlign w:val="baseline"/>
        </w:rPr>
        <w:t>to calculate error estimates (i.e., standard deviations, standard error, or ranges) for each of these country-defined terms and to use these estimates in a basic uncertainty assessment. Default uncertainty estimates provided in Table 3.4.3 can be used for the biomass expansion factors.</w:t>
      </w:r>
    </w:p>
    <w:p>
      <w:pPr>
        <w:pStyle w:val="BodyText"/>
        <w:spacing w:before="122"/>
        <w:ind w:left="219" w:right="266"/>
        <w:jc w:val="both"/>
      </w:pPr>
      <w:r>
        <w:rPr/>
        <w:t>Tier 2 approaches may also use finer resolution activity data, such as area estimates for different climatic regions or for grassland management systems within national boundaries. The finer-resolution data will reduce uncertainty levels when associated with carbon accumulation factors defined for those finer-scale land bases.</w:t>
      </w:r>
    </w:p>
    <w:p>
      <w:pPr>
        <w:pStyle w:val="BodyText"/>
        <w:spacing w:before="119"/>
        <w:ind w:left="219" w:right="264"/>
        <w:jc w:val="both"/>
      </w:pPr>
      <w:r>
        <w:rPr/>
        <w:t>This information can be used with a measure of uncertainty in area estimates from Chapter 2 to assess the uncertainty in estimates of carbon emissions and removals in grassland biomass using the Tier 1 methodology for uncertainty analysis in Chapter 5.2 (Identifying and quantifying</w:t>
      </w:r>
      <w:r>
        <w:rPr>
          <w:spacing w:val="-7"/>
        </w:rPr>
        <w:t> </w:t>
      </w:r>
      <w:r>
        <w:rPr/>
        <w:t>uncertainties).</w:t>
      </w:r>
    </w:p>
    <w:p>
      <w:pPr>
        <w:pStyle w:val="BodyText"/>
        <w:rPr>
          <w:sz w:val="22"/>
        </w:rPr>
      </w:pPr>
    </w:p>
    <w:p>
      <w:pPr>
        <w:spacing w:before="146"/>
        <w:ind w:left="219" w:right="0" w:firstLine="0"/>
        <w:jc w:val="both"/>
        <w:rPr>
          <w:b/>
          <w:sz w:val="22"/>
        </w:rPr>
      </w:pPr>
      <w:r>
        <w:rPr>
          <w:b/>
          <w:sz w:val="28"/>
        </w:rPr>
        <w:t>3.4.1.2 C</w:t>
      </w:r>
      <w:r>
        <w:rPr>
          <w:b/>
          <w:sz w:val="22"/>
        </w:rPr>
        <w:t>HANGE IN CARBON STOCKS IN SOILS</w:t>
      </w:r>
    </w:p>
    <w:p>
      <w:pPr>
        <w:pStyle w:val="BodyText"/>
        <w:spacing w:before="3"/>
        <w:rPr>
          <w:b/>
          <w:sz w:val="29"/>
        </w:rPr>
      </w:pPr>
    </w:p>
    <w:p>
      <w:pPr>
        <w:pStyle w:val="Heading6"/>
        <w:ind w:left="219"/>
        <w:jc w:val="both"/>
      </w:pPr>
      <w:r>
        <w:rPr/>
        <w:t>3.4.1.2 .1 METHODOLOGICAL ISSUES</w:t>
      </w:r>
    </w:p>
    <w:p>
      <w:pPr>
        <w:pStyle w:val="BodyText"/>
        <w:spacing w:before="114"/>
        <w:ind w:left="219" w:right="264"/>
        <w:jc w:val="both"/>
      </w:pPr>
      <w:r>
        <w:rPr/>
        <w:t>The </w:t>
      </w:r>
      <w:r>
        <w:rPr>
          <w:i/>
        </w:rPr>
        <w:t>IPCC Guidelines </w:t>
      </w:r>
      <w:r>
        <w:rPr/>
        <w:t>provide methods for estimating CO</w:t>
      </w:r>
      <w:r>
        <w:rPr>
          <w:vertAlign w:val="subscript"/>
        </w:rPr>
        <w:t>2</w:t>
      </w:r>
      <w:r>
        <w:rPr>
          <w:vertAlign w:val="baseline"/>
        </w:rPr>
        <w:t> Emissions and Uptake by Soils from Land-Use and Management (Section 5.3) that can be applied to all land uses, including grassland. The methodology considers organic carbon stock changes (CO</w:t>
      </w:r>
      <w:r>
        <w:rPr>
          <w:vertAlign w:val="subscript"/>
        </w:rPr>
        <w:t>2</w:t>
      </w:r>
      <w:r>
        <w:rPr>
          <w:vertAlign w:val="baseline"/>
        </w:rPr>
        <w:t> emissions or removals) for mineral soils, CO</w:t>
      </w:r>
      <w:r>
        <w:rPr>
          <w:vertAlign w:val="subscript"/>
        </w:rPr>
        <w:t>2</w:t>
      </w:r>
      <w:r>
        <w:rPr>
          <w:vertAlign w:val="baseline"/>
        </w:rPr>
        <w:t> emissions from organic soils (i.e. peat or muck soils) converted to pastures and emissions of CO</w:t>
      </w:r>
      <w:r>
        <w:rPr>
          <w:vertAlign w:val="subscript"/>
        </w:rPr>
        <w:t>2</w:t>
      </w:r>
      <w:r>
        <w:rPr>
          <w:vertAlign w:val="baseline"/>
        </w:rPr>
        <w:t> from liming of grassland soils.</w:t>
      </w:r>
    </w:p>
    <w:p>
      <w:pPr>
        <w:pStyle w:val="BodyText"/>
        <w:spacing w:before="122"/>
        <w:ind w:left="219" w:right="263"/>
        <w:jc w:val="both"/>
      </w:pPr>
      <w:r>
        <w:rPr/>
        <w:t>For carbon stock changes in mineral soils, the </w:t>
      </w:r>
      <w:r>
        <w:rPr>
          <w:i/>
        </w:rPr>
        <w:t>IPCC Guidelines </w:t>
      </w:r>
      <w:r>
        <w:rPr/>
        <w:t>define soil carbon stocks as organic carbon incorporated into mineral soil horizons to a depth of 30cm and do not include C in surface residue (i.e. dead organic matter) or changes in inorganic carbon (i.e. carbonate minerals). In most grassland soils, surface residue represents a minor stock compared with carbon within the soil.</w:t>
      </w:r>
    </w:p>
    <w:p>
      <w:pPr>
        <w:pStyle w:val="BodyText"/>
        <w:spacing w:before="119"/>
        <w:ind w:left="219"/>
        <w:jc w:val="both"/>
      </w:pPr>
      <w:r>
        <w:rPr/>
        <w:t>The summary Equation 3.4.7 for estimating the change in carbon stocks in soils is shown below:</w:t>
      </w:r>
    </w:p>
    <w:p>
      <w:pPr>
        <w:pStyle w:val="BodyText"/>
        <w:spacing w:before="2"/>
        <w:rPr>
          <w:sz w:val="11"/>
        </w:rPr>
      </w:pPr>
      <w:r>
        <w:rPr/>
        <w:pict>
          <v:shape style="position:absolute;margin-left:91.960999pt;margin-top:9.136318pt;width:411.5pt;height:53.65pt;mso-position-horizontal-relative:page;mso-position-vertical-relative:paragraph;z-index:9416;mso-wrap-distance-left:0;mso-wrap-distance-right:0" type="#_x0000_t202" filled="false" stroked="true" strokeweight="1.44pt" strokecolor="#000000">
            <v:textbox inset="0,0,0,0">
              <w:txbxContent>
                <w:p>
                  <w:pPr>
                    <w:spacing w:line="229" w:lineRule="exact" w:before="99"/>
                    <w:ind w:left="68" w:right="68" w:firstLine="0"/>
                    <w:jc w:val="center"/>
                    <w:rPr>
                      <w:b/>
                      <w:sz w:val="20"/>
                    </w:rPr>
                  </w:pPr>
                  <w:r>
                    <w:rPr>
                      <w:b/>
                      <w:sz w:val="20"/>
                    </w:rPr>
                    <w:t>E</w:t>
                  </w:r>
                  <w:r>
                    <w:rPr>
                      <w:b/>
                      <w:sz w:val="16"/>
                    </w:rPr>
                    <w:t>QUATION </w:t>
                  </w:r>
                  <w:r>
                    <w:rPr>
                      <w:b/>
                      <w:sz w:val="20"/>
                    </w:rPr>
                    <w:t>3.4.7</w:t>
                  </w:r>
                </w:p>
                <w:p>
                  <w:pPr>
                    <w:spacing w:line="229" w:lineRule="exact" w:before="0"/>
                    <w:ind w:left="68" w:right="68" w:firstLine="0"/>
                    <w:jc w:val="center"/>
                    <w:rPr>
                      <w:b/>
                      <w:sz w:val="16"/>
                    </w:rPr>
                  </w:pPr>
                  <w:r>
                    <w:rPr>
                      <w:b/>
                      <w:sz w:val="20"/>
                    </w:rPr>
                    <w:t>A</w:t>
                  </w:r>
                  <w:r>
                    <w:rPr>
                      <w:b/>
                      <w:sz w:val="16"/>
                    </w:rPr>
                    <w:t>NNUAL CHANGE IN CARBON STOCKS IN SOILS IN GRASSLAND REMAINING GRASSLAND</w:t>
                  </w:r>
                </w:p>
                <w:p>
                  <w:pPr>
                    <w:spacing w:before="95"/>
                    <w:ind w:left="68" w:right="68" w:firstLine="0"/>
                    <w:jc w:val="center"/>
                    <w:rPr>
                      <w:sz w:val="13"/>
                    </w:rPr>
                  </w:pPr>
                  <w:r>
                    <w:rPr>
                      <w:position w:val="9"/>
                      <w:sz w:val="20"/>
                    </w:rPr>
                    <w:t>∆C</w:t>
                  </w:r>
                  <w:r>
                    <w:rPr>
                      <w:position w:val="6"/>
                      <w:sz w:val="13"/>
                    </w:rPr>
                    <w:t>GG</w:t>
                  </w:r>
                  <w:r>
                    <w:rPr>
                      <w:sz w:val="13"/>
                    </w:rPr>
                    <w:t>Soils </w:t>
                  </w:r>
                  <w:r>
                    <w:rPr>
                      <w:position w:val="9"/>
                      <w:sz w:val="20"/>
                    </w:rPr>
                    <w:t>= ∆C</w:t>
                  </w:r>
                  <w:r>
                    <w:rPr>
                      <w:position w:val="6"/>
                      <w:sz w:val="13"/>
                    </w:rPr>
                    <w:t>GG</w:t>
                  </w:r>
                  <w:r>
                    <w:rPr>
                      <w:sz w:val="13"/>
                    </w:rPr>
                    <w:t>Mineral </w:t>
                  </w:r>
                  <w:r>
                    <w:rPr>
                      <w:position w:val="9"/>
                      <w:sz w:val="20"/>
                    </w:rPr>
                    <w:t>– </w:t>
                  </w:r>
                  <w:r>
                    <w:rPr>
                      <w:rFonts w:ascii="Symbol" w:hAnsi="Symbol"/>
                      <w:position w:val="9"/>
                      <w:sz w:val="20"/>
                    </w:rPr>
                    <w:t>∆</w:t>
                  </w:r>
                  <w:r>
                    <w:rPr>
                      <w:position w:val="9"/>
                      <w:sz w:val="20"/>
                    </w:rPr>
                    <w:t>C</w:t>
                  </w:r>
                  <w:r>
                    <w:rPr>
                      <w:position w:val="6"/>
                      <w:sz w:val="13"/>
                    </w:rPr>
                    <w:t>GG</w:t>
                  </w:r>
                  <w:r>
                    <w:rPr>
                      <w:sz w:val="13"/>
                    </w:rPr>
                    <w:t>Organic </w:t>
                  </w:r>
                  <w:r>
                    <w:rPr>
                      <w:position w:val="9"/>
                      <w:sz w:val="20"/>
                    </w:rPr>
                    <w:t>– </w:t>
                  </w:r>
                  <w:r>
                    <w:rPr>
                      <w:rFonts w:ascii="Symbol" w:hAnsi="Symbol"/>
                      <w:position w:val="9"/>
                      <w:sz w:val="20"/>
                    </w:rPr>
                    <w:t>∆</w:t>
                  </w:r>
                  <w:r>
                    <w:rPr>
                      <w:position w:val="9"/>
                      <w:sz w:val="20"/>
                    </w:rPr>
                    <w:t>C</w:t>
                  </w:r>
                  <w:r>
                    <w:rPr>
                      <w:position w:val="6"/>
                      <w:sz w:val="13"/>
                    </w:rPr>
                    <w:t>GG</w:t>
                  </w:r>
                  <w:r>
                    <w:rPr>
                      <w:sz w:val="13"/>
                    </w:rPr>
                    <w:t>Liming</w:t>
                  </w:r>
                </w:p>
              </w:txbxContent>
            </v:textbox>
            <v:stroke dashstyle="solid"/>
            <w10:wrap type="topAndBottom"/>
          </v:shape>
        </w:pict>
      </w:r>
    </w:p>
    <w:p>
      <w:pPr>
        <w:pStyle w:val="BodyText"/>
        <w:spacing w:before="4"/>
        <w:ind w:left="219"/>
      </w:pPr>
      <w:r>
        <w:rPr/>
        <w:t>Where:</w:t>
      </w:r>
    </w:p>
    <w:p>
      <w:pPr>
        <w:pStyle w:val="BodyText"/>
        <w:tabs>
          <w:tab w:pos="1519" w:val="left" w:leader="none"/>
        </w:tabs>
        <w:spacing w:line="193" w:lineRule="exact" w:before="121"/>
        <w:ind w:left="785"/>
      </w:pPr>
      <w:r>
        <w:rPr/>
        <w:pict>
          <v:shape style="position:absolute;margin-left:112.000603pt;margin-top:11.171895pt;width:9.4pt;height:7.2pt;mso-position-horizontal-relative:page;mso-position-vertical-relative:paragraph;z-index:-2444680" type="#_x0000_t202" filled="false" stroked="false">
            <v:textbox inset="0,0,0,0">
              <w:txbxContent>
                <w:p>
                  <w:pPr>
                    <w:spacing w:line="144" w:lineRule="exact" w:before="0"/>
                    <w:ind w:left="0" w:right="0" w:firstLine="0"/>
                    <w:jc w:val="left"/>
                    <w:rPr>
                      <w:sz w:val="13"/>
                    </w:rPr>
                  </w:pPr>
                  <w:r>
                    <w:rPr>
                      <w:w w:val="95"/>
                      <w:sz w:val="13"/>
                    </w:rPr>
                    <w:t>GG</w:t>
                  </w:r>
                </w:p>
              </w:txbxContent>
            </v:textbox>
            <w10:wrap type="none"/>
          </v:shape>
        </w:pict>
      </w:r>
      <w:r>
        <w:rPr/>
        <w:t>∆C</w:t>
        <w:tab/>
        <w:t>= annual change in carbon stocks in soils in grassland remaining grassland, tonnes C</w:t>
      </w:r>
      <w:r>
        <w:rPr>
          <w:spacing w:val="-20"/>
        </w:rPr>
        <w:t> </w:t>
      </w:r>
      <w:r>
        <w:rPr/>
        <w:t>yr</w:t>
      </w:r>
      <w:r>
        <w:rPr>
          <w:vertAlign w:val="superscript"/>
        </w:rPr>
        <w:t>-1</w:t>
      </w:r>
    </w:p>
    <w:p>
      <w:pPr>
        <w:spacing w:line="113" w:lineRule="exact" w:before="0"/>
        <w:ind w:left="1229" w:right="0" w:firstLine="0"/>
        <w:jc w:val="left"/>
        <w:rPr>
          <w:sz w:val="13"/>
        </w:rPr>
      </w:pPr>
      <w:r>
        <w:rPr>
          <w:sz w:val="13"/>
        </w:rPr>
        <w:t>Soils</w:t>
      </w:r>
    </w:p>
    <w:p>
      <w:pPr>
        <w:pStyle w:val="BodyText"/>
        <w:tabs>
          <w:tab w:pos="1647" w:val="left" w:leader="none"/>
        </w:tabs>
        <w:spacing w:line="193" w:lineRule="exact" w:before="104"/>
        <w:ind w:left="785"/>
      </w:pPr>
      <w:r>
        <w:rPr/>
        <w:pict>
          <v:shape style="position:absolute;margin-left:111.760597pt;margin-top:10.321937pt;width:9.15pt;height:7.2pt;mso-position-horizontal-relative:page;mso-position-vertical-relative:paragraph;z-index:-2444656" type="#_x0000_t202" filled="false" stroked="false">
            <v:textbox inset="0,0,0,0">
              <w:txbxContent>
                <w:p>
                  <w:pPr>
                    <w:spacing w:line="144" w:lineRule="exact" w:before="0"/>
                    <w:ind w:left="0" w:right="0" w:firstLine="0"/>
                    <w:jc w:val="left"/>
                    <w:rPr>
                      <w:sz w:val="13"/>
                    </w:rPr>
                  </w:pPr>
                  <w:r>
                    <w:rPr>
                      <w:spacing w:val="-3"/>
                      <w:sz w:val="13"/>
                    </w:rPr>
                    <w:t>GG</w:t>
                  </w:r>
                </w:p>
              </w:txbxContent>
            </v:textbox>
            <w10:wrap type="none"/>
          </v:shape>
        </w:pict>
      </w:r>
      <w:r>
        <w:rPr/>
        <w:t>∆C</w:t>
        <w:tab/>
        <w:t>=</w:t>
      </w:r>
      <w:r>
        <w:rPr>
          <w:spacing w:val="-9"/>
        </w:rPr>
        <w:t> </w:t>
      </w:r>
      <w:r>
        <w:rPr/>
        <w:t>annual</w:t>
      </w:r>
      <w:r>
        <w:rPr>
          <w:spacing w:val="-9"/>
        </w:rPr>
        <w:t> </w:t>
      </w:r>
      <w:r>
        <w:rPr/>
        <w:t>change</w:t>
      </w:r>
      <w:r>
        <w:rPr>
          <w:spacing w:val="-7"/>
        </w:rPr>
        <w:t> </w:t>
      </w:r>
      <w:r>
        <w:rPr/>
        <w:t>in</w:t>
      </w:r>
      <w:r>
        <w:rPr>
          <w:spacing w:val="-8"/>
        </w:rPr>
        <w:t> </w:t>
      </w:r>
      <w:r>
        <w:rPr/>
        <w:t>carbon</w:t>
      </w:r>
      <w:r>
        <w:rPr>
          <w:spacing w:val="-11"/>
        </w:rPr>
        <w:t> </w:t>
      </w:r>
      <w:r>
        <w:rPr/>
        <w:t>stocks</w:t>
      </w:r>
      <w:r>
        <w:rPr>
          <w:spacing w:val="-10"/>
        </w:rPr>
        <w:t> </w:t>
      </w:r>
      <w:r>
        <w:rPr/>
        <w:t>in</w:t>
      </w:r>
      <w:r>
        <w:rPr>
          <w:spacing w:val="-8"/>
        </w:rPr>
        <w:t> </w:t>
      </w:r>
      <w:r>
        <w:rPr/>
        <w:t>mineral</w:t>
      </w:r>
      <w:r>
        <w:rPr>
          <w:spacing w:val="-8"/>
        </w:rPr>
        <w:t> </w:t>
      </w:r>
      <w:r>
        <w:rPr>
          <w:spacing w:val="-2"/>
        </w:rPr>
        <w:t>soils</w:t>
      </w:r>
      <w:r>
        <w:rPr>
          <w:spacing w:val="-10"/>
        </w:rPr>
        <w:t> </w:t>
      </w:r>
      <w:r>
        <w:rPr/>
        <w:t>in</w:t>
      </w:r>
      <w:r>
        <w:rPr>
          <w:spacing w:val="-8"/>
        </w:rPr>
        <w:t> </w:t>
      </w:r>
      <w:r>
        <w:rPr>
          <w:spacing w:val="-3"/>
        </w:rPr>
        <w:t>grassland</w:t>
      </w:r>
      <w:r>
        <w:rPr>
          <w:spacing w:val="-9"/>
        </w:rPr>
        <w:t> </w:t>
      </w:r>
      <w:r>
        <w:rPr/>
        <w:t>remaining</w:t>
      </w:r>
      <w:r>
        <w:rPr>
          <w:spacing w:val="-10"/>
        </w:rPr>
        <w:t> </w:t>
      </w:r>
      <w:r>
        <w:rPr/>
        <w:t>grassland,</w:t>
      </w:r>
      <w:r>
        <w:rPr>
          <w:spacing w:val="-9"/>
        </w:rPr>
        <w:t> </w:t>
      </w:r>
      <w:r>
        <w:rPr>
          <w:spacing w:val="-3"/>
        </w:rPr>
        <w:t>tonnes</w:t>
      </w:r>
      <w:r>
        <w:rPr>
          <w:spacing w:val="-7"/>
        </w:rPr>
        <w:t> </w:t>
      </w:r>
      <w:r>
        <w:rPr/>
        <w:t>C</w:t>
      </w:r>
      <w:r>
        <w:rPr>
          <w:spacing w:val="-8"/>
        </w:rPr>
        <w:t> </w:t>
      </w:r>
      <w:r>
        <w:rPr>
          <w:spacing w:val="-4"/>
        </w:rPr>
        <w:t>yr</w:t>
      </w:r>
      <w:r>
        <w:rPr>
          <w:spacing w:val="-4"/>
          <w:vertAlign w:val="superscript"/>
        </w:rPr>
        <w:t>-1</w:t>
      </w:r>
    </w:p>
    <w:p>
      <w:pPr>
        <w:spacing w:line="113" w:lineRule="exact" w:before="0"/>
        <w:ind w:left="1220" w:right="0" w:firstLine="0"/>
        <w:jc w:val="left"/>
        <w:rPr>
          <w:sz w:val="13"/>
        </w:rPr>
      </w:pPr>
      <w:r>
        <w:rPr>
          <w:sz w:val="13"/>
        </w:rPr>
        <w:t>Mineral</w:t>
      </w:r>
    </w:p>
    <w:p>
      <w:pPr>
        <w:spacing w:after="0" w:line="113" w:lineRule="exact"/>
        <w:jc w:val="left"/>
        <w:rPr>
          <w:sz w:val="13"/>
        </w:rPr>
        <w:sectPr>
          <w:pgSz w:w="11900" w:h="16840"/>
          <w:pgMar w:header="230" w:footer="408" w:top="560" w:bottom="600" w:left="1200" w:right="1140"/>
        </w:sectPr>
      </w:pPr>
    </w:p>
    <w:p>
      <w:pPr>
        <w:pStyle w:val="BodyText"/>
        <w:spacing w:before="119"/>
        <w:ind w:left="785"/>
      </w:pPr>
      <w:r>
        <w:rPr>
          <w:rFonts w:ascii="Symbol" w:hAnsi="Symbol"/>
          <w:w w:val="101"/>
        </w:rPr>
        <w:t>∆</w:t>
      </w:r>
      <w:r>
        <w:rPr>
          <w:spacing w:val="-1"/>
          <w:w w:val="99"/>
        </w:rPr>
        <w:t>C</w:t>
      </w:r>
      <w:r>
        <w:rPr>
          <w:w w:val="99"/>
          <w:vertAlign w:val="subscript"/>
        </w:rPr>
        <w:t>GG</w:t>
      </w:r>
    </w:p>
    <w:p>
      <w:pPr>
        <w:pStyle w:val="BodyText"/>
        <w:rPr>
          <w:sz w:val="14"/>
        </w:rPr>
      </w:pPr>
      <w:r>
        <w:rPr/>
        <w:br w:type="column"/>
      </w:r>
      <w:r>
        <w:rPr>
          <w:sz w:val="14"/>
        </w:rPr>
      </w:r>
    </w:p>
    <w:p>
      <w:pPr>
        <w:spacing w:before="114"/>
        <w:ind w:left="-40" w:right="0" w:firstLine="0"/>
        <w:jc w:val="left"/>
        <w:rPr>
          <w:sz w:val="13"/>
        </w:rPr>
      </w:pPr>
      <w:r>
        <w:rPr>
          <w:spacing w:val="-1"/>
          <w:sz w:val="13"/>
        </w:rPr>
        <w:t>Organic</w:t>
      </w:r>
    </w:p>
    <w:p>
      <w:pPr>
        <w:pStyle w:val="BodyText"/>
        <w:spacing w:line="300" w:lineRule="auto" w:before="119"/>
        <w:ind w:left="164" w:right="217" w:hanging="147"/>
      </w:pPr>
      <w:r>
        <w:rPr/>
        <w:br w:type="column"/>
      </w:r>
      <w:r>
        <w:rPr/>
        <w:t>= annual change in carbon stocks in organic soils in grassland remaining grassland (estimated as net annual flux), tonnes C yr</w:t>
      </w:r>
      <w:r>
        <w:rPr>
          <w:vertAlign w:val="superscript"/>
        </w:rPr>
        <w:t>-1</w:t>
      </w:r>
    </w:p>
    <w:p>
      <w:pPr>
        <w:spacing w:after="0" w:line="300" w:lineRule="auto"/>
        <w:sectPr>
          <w:type w:val="continuous"/>
          <w:pgSz w:w="11900" w:h="16840"/>
          <w:pgMar w:top="1060" w:bottom="280" w:left="1200" w:right="1140"/>
          <w:cols w:num="3" w:equalWidth="0">
            <w:col w:w="1228" w:space="40"/>
            <w:col w:w="378" w:space="39"/>
            <w:col w:w="7875"/>
          </w:cols>
        </w:sectPr>
      </w:pPr>
    </w:p>
    <w:p>
      <w:pPr>
        <w:pStyle w:val="BodyText"/>
        <w:tabs>
          <w:tab w:pos="1659" w:val="left" w:leader="none"/>
        </w:tabs>
        <w:spacing w:line="193" w:lineRule="exact" w:before="78"/>
        <w:ind w:left="908"/>
      </w:pPr>
      <w:r>
        <w:rPr/>
        <w:pict>
          <v:shape style="position:absolute;margin-left:99.280914pt;margin-top:3.176341pt;width:22.1pt;height:13.05pt;mso-position-horizontal-relative:page;mso-position-vertical-relative:paragraph;z-index:-2444632" type="#_x0000_t202" filled="false" stroked="false">
            <v:textbox inset="0,0,0,0">
              <w:txbxContent>
                <w:p>
                  <w:pPr>
                    <w:spacing w:line="223" w:lineRule="exact" w:before="37"/>
                    <w:ind w:left="0" w:right="0" w:firstLine="0"/>
                    <w:jc w:val="left"/>
                    <w:rPr>
                      <w:sz w:val="13"/>
                    </w:rPr>
                  </w:pPr>
                  <w:r>
                    <w:rPr>
                      <w:rFonts w:ascii="Symbol" w:hAnsi="Symbol"/>
                      <w:position w:val="3"/>
                      <w:sz w:val="20"/>
                    </w:rPr>
                    <w:t>∆ </w:t>
                  </w:r>
                  <w:r>
                    <w:rPr>
                      <w:spacing w:val="-51"/>
                      <w:sz w:val="13"/>
                    </w:rPr>
                    <w:t>GG</w:t>
                  </w:r>
                </w:p>
              </w:txbxContent>
            </v:textbox>
            <w10:wrap type="none"/>
          </v:shape>
        </w:pict>
      </w:r>
      <w:r>
        <w:rPr/>
        <w:t>C</w:t>
        <w:tab/>
        <w:t>= annual C emissions from lime application to grassland, tonnes C</w:t>
      </w:r>
      <w:r>
        <w:rPr>
          <w:spacing w:val="-5"/>
        </w:rPr>
        <w:t> </w:t>
      </w:r>
      <w:r>
        <w:rPr/>
        <w:t>yr</w:t>
      </w:r>
      <w:r>
        <w:rPr>
          <w:vertAlign w:val="superscript"/>
        </w:rPr>
        <w:t>-1</w:t>
      </w:r>
    </w:p>
    <w:p>
      <w:pPr>
        <w:spacing w:line="113" w:lineRule="exact" w:before="0"/>
        <w:ind w:left="1229" w:right="0" w:firstLine="0"/>
        <w:jc w:val="left"/>
        <w:rPr>
          <w:sz w:val="13"/>
        </w:rPr>
      </w:pPr>
      <w:r>
        <w:rPr>
          <w:sz w:val="13"/>
        </w:rPr>
        <w:t>Liming</w:t>
      </w:r>
    </w:p>
    <w:p>
      <w:pPr>
        <w:pStyle w:val="BodyText"/>
        <w:spacing w:before="104"/>
        <w:ind w:left="219" w:right="259"/>
        <w:jc w:val="both"/>
      </w:pPr>
      <w:r>
        <w:rPr/>
        <w:t>For Tier 1 and 2 methods, changes in dead organic matter and inorganic carbon stocks should be assumed to be zero. If dead organic matter is included in a Tier 3 approach, measurements should be based on the lowest amounts present during an annual cycle to avoid including newly senesced plant material that represents a transient organic matter pool. Selection of the most suitable tier will depend on: (i) availability and detail of activity data on grassland management and changes in management over time, (ii) availability of suitable information to estimate base C stocks and stock change and emission factors, and (iii) availability of dedicated national inventory systems designed for soils.</w:t>
      </w:r>
    </w:p>
    <w:p>
      <w:pPr>
        <w:pStyle w:val="BodyText"/>
        <w:spacing w:before="120"/>
        <w:ind w:left="219" w:right="266"/>
        <w:jc w:val="both"/>
      </w:pPr>
      <w:r>
        <w:rPr/>
        <w:t>All countries should strive for improving inventory and reporting approaches by advancing to the highest tier possible given national circumstances. It is </w:t>
      </w:r>
      <w:r>
        <w:rPr>
          <w:i/>
        </w:rPr>
        <w:t>good practice </w:t>
      </w:r>
      <w:r>
        <w:rPr/>
        <w:t>for countries to use a Tier 2 or Tier 3 approach if carbon emissions and removals in grassland remaining grassland is a key category and if the sub-category of soil organic matter is considered significant based on principles outlined in Chapter 5. Countries should use the decision tree in Figure 3.1.1 to help with the choice of method.</w:t>
      </w:r>
    </w:p>
    <w:p>
      <w:pPr>
        <w:pStyle w:val="BodyText"/>
        <w:spacing w:before="4"/>
        <w:rPr>
          <w:sz w:val="21"/>
        </w:rPr>
      </w:pPr>
    </w:p>
    <w:p>
      <w:pPr>
        <w:pStyle w:val="Heading6"/>
        <w:ind w:left="219"/>
      </w:pPr>
      <w:r>
        <w:rPr/>
        <w:t>3.4.1.2 .1.1 Choice of Method</w:t>
      </w:r>
    </w:p>
    <w:p>
      <w:pPr>
        <w:pStyle w:val="BodyText"/>
        <w:spacing w:before="54"/>
        <w:ind w:left="219" w:right="266"/>
        <w:jc w:val="both"/>
      </w:pPr>
      <w:r>
        <w:rPr/>
        <w:t>The method used to estimate carbon stock changes in mineral soils is different from the method used for organic soils. It is also possible that countries will use different Tiers to prepare estimates of the separate components on</w:t>
      </w:r>
    </w:p>
    <w:p>
      <w:pPr>
        <w:spacing w:after="0"/>
        <w:jc w:val="both"/>
        <w:sectPr>
          <w:type w:val="continuous"/>
          <w:pgSz w:w="11900" w:h="16840"/>
          <w:pgMar w:top="1060" w:bottom="280" w:left="1200" w:right="1140"/>
        </w:sectPr>
      </w:pPr>
    </w:p>
    <w:p>
      <w:pPr>
        <w:pStyle w:val="BodyText"/>
      </w:pPr>
    </w:p>
    <w:p>
      <w:pPr>
        <w:pStyle w:val="BodyText"/>
        <w:spacing w:before="2"/>
        <w:rPr>
          <w:sz w:val="18"/>
        </w:rPr>
      </w:pPr>
    </w:p>
    <w:p>
      <w:pPr>
        <w:pStyle w:val="BodyText"/>
        <w:ind w:left="219" w:right="267"/>
        <w:jc w:val="both"/>
      </w:pPr>
      <w:r>
        <w:rPr/>
        <w:t>this subcategory, given availability of resources. Thus, mineral soils, organic soils, and emissions from liming are discussed separately</w:t>
      </w:r>
      <w:r>
        <w:rPr>
          <w:spacing w:val="-3"/>
        </w:rPr>
        <w:t> </w:t>
      </w:r>
      <w:r>
        <w:rPr/>
        <w:t>below.</w:t>
      </w:r>
    </w:p>
    <w:p>
      <w:pPr>
        <w:pStyle w:val="BodyText"/>
        <w:spacing w:before="5"/>
        <w:rPr>
          <w:sz w:val="21"/>
        </w:rPr>
      </w:pPr>
    </w:p>
    <w:p>
      <w:pPr>
        <w:pStyle w:val="Heading7"/>
        <w:jc w:val="left"/>
      </w:pPr>
      <w:r>
        <w:rPr/>
        <w:t>Mineral Soils </w:t>
      </w:r>
    </w:p>
    <w:p>
      <w:pPr>
        <w:pStyle w:val="BodyText"/>
        <w:ind w:left="219" w:right="264"/>
        <w:jc w:val="both"/>
      </w:pPr>
      <w:r>
        <w:rPr/>
        <w:t>For mineral soils, the estimation method is based on changes in soil C stocks over a finite period following changes in management that impact soil C, as shown in Equation 3.4.8. Previous soil C stocks (SOC</w:t>
      </w:r>
      <w:r>
        <w:rPr>
          <w:vertAlign w:val="subscript"/>
        </w:rPr>
        <w:t>(0-T)</w:t>
      </w:r>
      <w:r>
        <w:rPr>
          <w:vertAlign w:val="baseline"/>
        </w:rPr>
        <w:t> ) and soil C stocks in the inventory year (SOC</w:t>
      </w:r>
      <w:r>
        <w:rPr>
          <w:vertAlign w:val="subscript"/>
        </w:rPr>
        <w:t>0</w:t>
      </w:r>
      <w:r>
        <w:rPr>
          <w:vertAlign w:val="baseline"/>
        </w:rPr>
        <w:t>) for the area of a grassland system in the inventory are estimated from reference carbon stocks (Table 3.4.4) and stock change factors (Table 3.4.5), applied for the respective time points. Here a grassland system refers to a specific climate, soil and management combination. Annual rates of emissions (source) or removals (sink) are calculated as the difference in stocks (over time) divided by the inventory time period. The default time period is 20</w:t>
      </w:r>
      <w:r>
        <w:rPr>
          <w:spacing w:val="-4"/>
          <w:vertAlign w:val="baseline"/>
        </w:rPr>
        <w:t> </w:t>
      </w:r>
      <w:r>
        <w:rPr>
          <w:vertAlign w:val="baseline"/>
        </w:rPr>
        <w:t>years.</w:t>
      </w:r>
    </w:p>
    <w:p>
      <w:pPr>
        <w:pStyle w:val="BodyText"/>
        <w:spacing w:before="10"/>
        <w:rPr>
          <w:sz w:val="10"/>
        </w:rPr>
      </w:pPr>
      <w:r>
        <w:rPr/>
        <w:pict>
          <v:shape style="position:absolute;margin-left:91.960999pt;margin-top:8.970398pt;width:411.5pt;height:68.55pt;mso-position-horizontal-relative:page;mso-position-vertical-relative:paragraph;z-index:9512;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E</w:t>
                  </w:r>
                  <w:r>
                    <w:rPr>
                      <w:b/>
                      <w:sz w:val="16"/>
                    </w:rPr>
                    <w:t>QUATION </w:t>
                  </w:r>
                  <w:r>
                    <w:rPr>
                      <w:b/>
                      <w:sz w:val="20"/>
                    </w:rPr>
                    <w:t>3.4.8</w:t>
                  </w:r>
                </w:p>
                <w:p>
                  <w:pPr>
                    <w:spacing w:before="0"/>
                    <w:ind w:left="328" w:right="0" w:firstLine="0"/>
                    <w:jc w:val="left"/>
                    <w:rPr>
                      <w:b/>
                      <w:sz w:val="16"/>
                    </w:rPr>
                  </w:pPr>
                  <w:r>
                    <w:rPr>
                      <w:b/>
                      <w:sz w:val="20"/>
                    </w:rPr>
                    <w:t>A</w:t>
                  </w:r>
                  <w:r>
                    <w:rPr>
                      <w:b/>
                      <w:sz w:val="16"/>
                    </w:rPr>
                    <w:t>NNUAL CHANGE IN CARBON STOCKS IN MINERAL SOILS FOR A SINGLE GRASSLAND SYSTEM</w:t>
                  </w:r>
                </w:p>
                <w:p>
                  <w:pPr>
                    <w:pStyle w:val="BodyText"/>
                    <w:spacing w:line="312" w:lineRule="auto" w:before="75"/>
                    <w:ind w:left="2308" w:right="2311"/>
                    <w:jc w:val="center"/>
                  </w:pPr>
                  <w:r>
                    <w:rPr/>
                    <w:t>∆C</w:t>
                  </w:r>
                  <w:r>
                    <w:rPr>
                      <w:vertAlign w:val="subscript"/>
                    </w:rPr>
                    <w:t>GG</w:t>
                  </w:r>
                  <w:r>
                    <w:rPr>
                      <w:position w:val="-8"/>
                      <w:sz w:val="13"/>
                      <w:vertAlign w:val="baseline"/>
                    </w:rPr>
                    <w:t>Mineral </w:t>
                  </w:r>
                  <w:r>
                    <w:rPr>
                      <w:vertAlign w:val="baseline"/>
                    </w:rPr>
                    <w:t>= [(SOC</w:t>
                  </w:r>
                  <w:r>
                    <w:rPr>
                      <w:vertAlign w:val="subscript"/>
                    </w:rPr>
                    <w:t>0</w:t>
                  </w:r>
                  <w:r>
                    <w:rPr>
                      <w:vertAlign w:val="baseline"/>
                    </w:rPr>
                    <w:t> – SOC</w:t>
                  </w:r>
                  <w:r>
                    <w:rPr>
                      <w:vertAlign w:val="subscript"/>
                    </w:rPr>
                    <w:t>(0</w:t>
                  </w:r>
                  <w:r>
                    <w:rPr>
                      <w:vertAlign w:val="baseline"/>
                    </w:rPr>
                    <w:t> </w:t>
                  </w:r>
                  <w:r>
                    <w:rPr>
                      <w:vertAlign w:val="subscript"/>
                    </w:rPr>
                    <w:t>–T)</w:t>
                  </w:r>
                  <w:r>
                    <w:rPr>
                      <w:vertAlign w:val="baseline"/>
                    </w:rPr>
                    <w:t>) ● A ] / T SOC = SOC</w:t>
                  </w:r>
                  <w:r>
                    <w:rPr>
                      <w:position w:val="-2"/>
                      <w:sz w:val="10"/>
                      <w:vertAlign w:val="baseline"/>
                    </w:rPr>
                    <w:t>REF </w:t>
                  </w:r>
                  <w:r>
                    <w:rPr>
                      <w:vertAlign w:val="baseline"/>
                    </w:rPr>
                    <w:t>● F</w:t>
                  </w:r>
                  <w:r>
                    <w:rPr>
                      <w:vertAlign w:val="subscript"/>
                    </w:rPr>
                    <w:t>LU</w:t>
                  </w:r>
                  <w:r>
                    <w:rPr>
                      <w:vertAlign w:val="baseline"/>
                    </w:rPr>
                    <w:t> ● F</w:t>
                  </w:r>
                  <w:r>
                    <w:rPr>
                      <w:vertAlign w:val="subscript"/>
                    </w:rPr>
                    <w:t>MG</w:t>
                  </w:r>
                  <w:r>
                    <w:rPr>
                      <w:vertAlign w:val="baseline"/>
                    </w:rPr>
                    <w:t> ● F</w:t>
                  </w:r>
                  <w:r>
                    <w:rPr>
                      <w:vertAlign w:val="subscript"/>
                    </w:rPr>
                    <w:t>I</w:t>
                  </w:r>
                </w:p>
              </w:txbxContent>
            </v:textbox>
            <v:stroke dashstyle="solid"/>
            <w10:wrap type="topAndBottom"/>
          </v:shape>
        </w:pict>
      </w:r>
    </w:p>
    <w:p>
      <w:pPr>
        <w:pStyle w:val="BodyText"/>
        <w:spacing w:before="4"/>
        <w:ind w:left="219"/>
      </w:pPr>
      <w:r>
        <w:rPr/>
        <w:t>Where:</w:t>
      </w:r>
    </w:p>
    <w:p>
      <w:pPr>
        <w:pStyle w:val="BodyText"/>
        <w:spacing w:line="350" w:lineRule="auto" w:before="121"/>
        <w:ind w:left="785" w:right="2626"/>
      </w:pPr>
      <w:r>
        <w:rPr/>
        <w:t>∆C</w:t>
      </w:r>
      <w:r>
        <w:rPr>
          <w:vertAlign w:val="subscript"/>
        </w:rPr>
        <w:t>GG</w:t>
      </w:r>
      <w:r>
        <w:rPr>
          <w:position w:val="-8"/>
          <w:sz w:val="13"/>
          <w:vertAlign w:val="baseline"/>
        </w:rPr>
        <w:t>Mineral </w:t>
      </w:r>
      <w:r>
        <w:rPr>
          <w:vertAlign w:val="baseline"/>
        </w:rPr>
        <w:t>= annual change in carbon stocks in mineral soils, tonnes C yr</w:t>
      </w:r>
      <w:r>
        <w:rPr>
          <w:vertAlign w:val="superscript"/>
        </w:rPr>
        <w:t>-1</w:t>
      </w:r>
      <w:r>
        <w:rPr>
          <w:vertAlign w:val="baseline"/>
        </w:rPr>
        <w:t> SOC</w:t>
      </w:r>
      <w:r>
        <w:rPr>
          <w:vertAlign w:val="subscript"/>
        </w:rPr>
        <w:t>0</w:t>
      </w:r>
      <w:r>
        <w:rPr>
          <w:vertAlign w:val="baseline"/>
        </w:rPr>
        <w:t> = soil organic carbon stock in the inventory year, tonnes C ha</w:t>
      </w:r>
      <w:r>
        <w:rPr>
          <w:vertAlign w:val="superscript"/>
        </w:rPr>
        <w:t>-1</w:t>
      </w:r>
    </w:p>
    <w:p>
      <w:pPr>
        <w:pStyle w:val="BodyText"/>
        <w:spacing w:line="364" w:lineRule="auto" w:before="12"/>
        <w:ind w:left="785" w:right="2322"/>
      </w:pPr>
      <w:r>
        <w:rPr/>
        <w:t>SOC</w:t>
      </w:r>
      <w:r>
        <w:rPr>
          <w:vertAlign w:val="subscript"/>
        </w:rPr>
        <w:t>(0-T)</w:t>
      </w:r>
      <w:r>
        <w:rPr>
          <w:vertAlign w:val="baseline"/>
        </w:rPr>
        <w:t> = soil organic carbon stock T years prior to the inventory, tonnes C ha</w:t>
      </w:r>
      <w:r>
        <w:rPr>
          <w:vertAlign w:val="superscript"/>
        </w:rPr>
        <w:t>-1</w:t>
      </w:r>
      <w:r>
        <w:rPr>
          <w:vertAlign w:val="baseline"/>
        </w:rPr>
        <w:t> T = inventory time period, yr (default is 20 yr)</w:t>
      </w:r>
    </w:p>
    <w:p>
      <w:pPr>
        <w:pStyle w:val="BodyText"/>
        <w:spacing w:before="1"/>
        <w:ind w:left="785"/>
      </w:pPr>
      <w:r>
        <w:rPr/>
        <w:t>A = land area of each parcel, ha</w:t>
      </w:r>
    </w:p>
    <w:p>
      <w:pPr>
        <w:pStyle w:val="BodyText"/>
        <w:spacing w:before="121"/>
        <w:ind w:left="785"/>
      </w:pPr>
      <w:r>
        <w:rPr/>
        <w:t>SOC</w:t>
      </w:r>
      <w:r>
        <w:rPr>
          <w:position w:val="-2"/>
          <w:sz w:val="10"/>
        </w:rPr>
        <w:t>REF </w:t>
      </w:r>
      <w:r>
        <w:rPr/>
        <w:t>= the reference carbon stock, tonnes C ha</w:t>
      </w:r>
      <w:r>
        <w:rPr>
          <w:vertAlign w:val="superscript"/>
        </w:rPr>
        <w:t>-1</w:t>
      </w:r>
      <w:r>
        <w:rPr>
          <w:vertAlign w:val="baseline"/>
        </w:rPr>
        <w:t>; see Table 3.4.4</w:t>
      </w:r>
    </w:p>
    <w:p>
      <w:pPr>
        <w:pStyle w:val="BodyText"/>
        <w:spacing w:line="362" w:lineRule="auto" w:before="112"/>
        <w:ind w:left="785" w:right="1204"/>
      </w:pPr>
      <w:r>
        <w:rPr/>
        <w:t>F</w:t>
      </w:r>
      <w:r>
        <w:rPr>
          <w:vertAlign w:val="subscript"/>
        </w:rPr>
        <w:t>LU</w:t>
      </w:r>
      <w:r>
        <w:rPr>
          <w:vertAlign w:val="baseline"/>
        </w:rPr>
        <w:t> = stock change factor for land use or land-use change type, dimensionless; see Table 3.4.5 F</w:t>
      </w:r>
      <w:r>
        <w:rPr>
          <w:vertAlign w:val="subscript"/>
        </w:rPr>
        <w:t>MG</w:t>
      </w:r>
      <w:r>
        <w:rPr>
          <w:vertAlign w:val="baseline"/>
        </w:rPr>
        <w:t> = stock change factor for management regime, dimensionless; see Table</w:t>
      </w:r>
      <w:r>
        <w:rPr>
          <w:spacing w:val="-9"/>
          <w:vertAlign w:val="baseline"/>
        </w:rPr>
        <w:t> </w:t>
      </w:r>
      <w:r>
        <w:rPr>
          <w:vertAlign w:val="baseline"/>
        </w:rPr>
        <w:t>3.4.5</w:t>
      </w:r>
    </w:p>
    <w:p>
      <w:pPr>
        <w:pStyle w:val="BodyText"/>
        <w:spacing w:before="4"/>
        <w:ind w:left="785"/>
      </w:pPr>
      <w:r>
        <w:rPr/>
        <w:t>F</w:t>
      </w:r>
      <w:r>
        <w:rPr>
          <w:vertAlign w:val="subscript"/>
        </w:rPr>
        <w:t>I</w:t>
      </w:r>
      <w:r>
        <w:rPr>
          <w:spacing w:val="-15"/>
          <w:vertAlign w:val="baseline"/>
        </w:rPr>
        <w:t> </w:t>
      </w:r>
      <w:r>
        <w:rPr>
          <w:vertAlign w:val="baseline"/>
        </w:rPr>
        <w:t>=</w:t>
      </w:r>
      <w:r>
        <w:rPr>
          <w:spacing w:val="-3"/>
          <w:vertAlign w:val="baseline"/>
        </w:rPr>
        <w:t> </w:t>
      </w:r>
      <w:r>
        <w:rPr>
          <w:vertAlign w:val="baseline"/>
        </w:rPr>
        <w:t>stock</w:t>
      </w:r>
      <w:r>
        <w:rPr>
          <w:spacing w:val="-4"/>
          <w:vertAlign w:val="baseline"/>
        </w:rPr>
        <w:t> </w:t>
      </w:r>
      <w:r>
        <w:rPr>
          <w:vertAlign w:val="baseline"/>
        </w:rPr>
        <w:t>change</w:t>
      </w:r>
      <w:r>
        <w:rPr>
          <w:spacing w:val="-4"/>
          <w:vertAlign w:val="baseline"/>
        </w:rPr>
        <w:t> </w:t>
      </w:r>
      <w:r>
        <w:rPr>
          <w:vertAlign w:val="baseline"/>
        </w:rPr>
        <w:t>factor</w:t>
      </w:r>
      <w:r>
        <w:rPr>
          <w:spacing w:val="-2"/>
          <w:vertAlign w:val="baseline"/>
        </w:rPr>
        <w:t> </w:t>
      </w:r>
      <w:r>
        <w:rPr>
          <w:vertAlign w:val="baseline"/>
        </w:rPr>
        <w:t>for</w:t>
      </w:r>
      <w:r>
        <w:rPr>
          <w:spacing w:val="-3"/>
          <w:vertAlign w:val="baseline"/>
        </w:rPr>
        <w:t> </w:t>
      </w:r>
      <w:r>
        <w:rPr>
          <w:vertAlign w:val="baseline"/>
        </w:rPr>
        <w:t>input</w:t>
      </w:r>
      <w:r>
        <w:rPr>
          <w:spacing w:val="-3"/>
          <w:vertAlign w:val="baseline"/>
        </w:rPr>
        <w:t> </w:t>
      </w:r>
      <w:r>
        <w:rPr>
          <w:vertAlign w:val="baseline"/>
        </w:rPr>
        <w:t>of</w:t>
      </w:r>
      <w:r>
        <w:rPr>
          <w:spacing w:val="-5"/>
          <w:vertAlign w:val="baseline"/>
        </w:rPr>
        <w:t> </w:t>
      </w:r>
      <w:r>
        <w:rPr>
          <w:vertAlign w:val="baseline"/>
        </w:rPr>
        <w:t>organic</w:t>
      </w:r>
      <w:r>
        <w:rPr>
          <w:spacing w:val="-1"/>
          <w:vertAlign w:val="baseline"/>
        </w:rPr>
        <w:t> </w:t>
      </w:r>
      <w:r>
        <w:rPr>
          <w:vertAlign w:val="baseline"/>
        </w:rPr>
        <w:t>matter,</w:t>
      </w:r>
      <w:r>
        <w:rPr>
          <w:spacing w:val="-3"/>
          <w:vertAlign w:val="baseline"/>
        </w:rPr>
        <w:t> </w:t>
      </w:r>
      <w:r>
        <w:rPr>
          <w:vertAlign w:val="baseline"/>
        </w:rPr>
        <w:t>dimensionless;</w:t>
      </w:r>
      <w:r>
        <w:rPr>
          <w:spacing w:val="-3"/>
          <w:vertAlign w:val="baseline"/>
        </w:rPr>
        <w:t> </w:t>
      </w:r>
      <w:r>
        <w:rPr>
          <w:vertAlign w:val="baseline"/>
        </w:rPr>
        <w:t>see</w:t>
      </w:r>
      <w:r>
        <w:rPr>
          <w:spacing w:val="-3"/>
          <w:vertAlign w:val="baseline"/>
        </w:rPr>
        <w:t> </w:t>
      </w:r>
      <w:r>
        <w:rPr>
          <w:vertAlign w:val="baseline"/>
        </w:rPr>
        <w:t>Table</w:t>
      </w:r>
      <w:r>
        <w:rPr>
          <w:spacing w:val="-2"/>
          <w:vertAlign w:val="baseline"/>
        </w:rPr>
        <w:t> </w:t>
      </w:r>
      <w:r>
        <w:rPr>
          <w:vertAlign w:val="baseline"/>
        </w:rPr>
        <w:t>3.4.5</w:t>
      </w:r>
    </w:p>
    <w:p>
      <w:pPr>
        <w:pStyle w:val="BodyText"/>
        <w:spacing w:before="120"/>
        <w:ind w:left="219" w:right="202"/>
      </w:pPr>
      <w:r>
        <w:rPr/>
        <w:t>The types of land use and management factors supplied are broadly defined and include: 1) a land use factor (F</w:t>
      </w:r>
      <w:r>
        <w:rPr>
          <w:vertAlign w:val="subscript"/>
        </w:rPr>
        <w:t>LU</w:t>
      </w:r>
      <w:r>
        <w:rPr>
          <w:vertAlign w:val="baseline"/>
        </w:rPr>
        <w:t>) that reflects C stock levels relative to native ecosystems, 2) a management factor (F</w:t>
      </w:r>
      <w:r>
        <w:rPr>
          <w:vertAlign w:val="subscript"/>
        </w:rPr>
        <w:t>MG</w:t>
      </w:r>
      <w:r>
        <w:rPr>
          <w:vertAlign w:val="baseline"/>
        </w:rPr>
        <w:t>) that represents broad categories of improved and degraded grassland and 3) an input factor (F</w:t>
      </w:r>
      <w:r>
        <w:rPr>
          <w:vertAlign w:val="subscript"/>
        </w:rPr>
        <w:t>I</w:t>
      </w:r>
      <w:r>
        <w:rPr>
          <w:vertAlign w:val="baseline"/>
        </w:rPr>
        <w:t>) representing different levels of C  inputs to soil, which is implemented for improved grassland only. If the area was in other land use (e.g. forest land, cropland) at the beginning of the inventory period, then guidance provided under Section 3.4.2, Land Converted to Grassland, should be</w:t>
      </w:r>
      <w:r>
        <w:rPr>
          <w:spacing w:val="3"/>
          <w:vertAlign w:val="baseline"/>
        </w:rPr>
        <w:t> </w:t>
      </w:r>
      <w:r>
        <w:rPr>
          <w:vertAlign w:val="baseline"/>
        </w:rPr>
        <w:t>followed.</w:t>
      </w:r>
    </w:p>
    <w:p>
      <w:pPr>
        <w:pStyle w:val="BodyText"/>
        <w:spacing w:before="120"/>
        <w:ind w:left="219"/>
      </w:pPr>
      <w:r>
        <w:rPr/>
        <w:t>The calculation steps for determining SOC</w:t>
      </w:r>
      <w:r>
        <w:rPr>
          <w:vertAlign w:val="subscript"/>
        </w:rPr>
        <w:t>0</w:t>
      </w:r>
      <w:r>
        <w:rPr>
          <w:vertAlign w:val="baseline"/>
        </w:rPr>
        <w:t> and SOC</w:t>
      </w:r>
      <w:r>
        <w:rPr>
          <w:vertAlign w:val="subscript"/>
        </w:rPr>
        <w:t>(0-T)</w:t>
      </w:r>
      <w:r>
        <w:rPr>
          <w:vertAlign w:val="baseline"/>
        </w:rPr>
        <w:t> and net soil C stock change per ha of land area are as follows:</w:t>
      </w:r>
    </w:p>
    <w:p>
      <w:pPr>
        <w:pStyle w:val="BodyText"/>
        <w:spacing w:line="232" w:lineRule="auto" w:before="126"/>
        <w:ind w:left="898" w:right="263" w:hanging="680"/>
        <w:jc w:val="both"/>
      </w:pPr>
      <w:r>
        <w:rPr>
          <w:b/>
        </w:rPr>
        <w:t>Step 1: </w:t>
      </w:r>
      <w:r>
        <w:rPr/>
        <w:t>Select the reference carbon stock value (SOC</w:t>
      </w:r>
      <w:r>
        <w:rPr>
          <w:position w:val="-2"/>
          <w:sz w:val="10"/>
        </w:rPr>
        <w:t>REF</w:t>
      </w:r>
      <w:r>
        <w:rPr/>
        <w:t>), based on climate and soil type, for each area of grassland being inventoried.</w:t>
      </w:r>
    </w:p>
    <w:p>
      <w:pPr>
        <w:pStyle w:val="BodyText"/>
        <w:spacing w:before="119"/>
        <w:ind w:left="898" w:right="267" w:hanging="680"/>
        <w:jc w:val="both"/>
      </w:pPr>
      <w:r>
        <w:rPr>
          <w:b/>
        </w:rPr>
        <w:t>Step 2: </w:t>
      </w:r>
      <w:r>
        <w:rPr/>
        <w:t>Select the management condition of the grassland (F</w:t>
      </w:r>
      <w:r>
        <w:rPr>
          <w:vertAlign w:val="subscript"/>
        </w:rPr>
        <w:t>MG</w:t>
      </w:r>
      <w:r>
        <w:rPr>
          <w:vertAlign w:val="baseline"/>
        </w:rPr>
        <w:t>) present at beginning of the inventory period (e.g. 20 years ago) and the C input level (F</w:t>
      </w:r>
      <w:r>
        <w:rPr>
          <w:vertAlign w:val="subscript"/>
        </w:rPr>
        <w:t>I</w:t>
      </w:r>
      <w:r>
        <w:rPr>
          <w:vertAlign w:val="baseline"/>
        </w:rPr>
        <w:t>). These factors, multiplied by the reference soil C stock, provide the estimate of ‘initial’ soil C stock (SOC</w:t>
      </w:r>
      <w:r>
        <w:rPr>
          <w:vertAlign w:val="subscript"/>
        </w:rPr>
        <w:t>(0-T)</w:t>
      </w:r>
      <w:r>
        <w:rPr>
          <w:vertAlign w:val="baseline"/>
        </w:rPr>
        <w:t>) for the inventory period. Note for Grassland Remaining Grassland the land use factor (F</w:t>
      </w:r>
      <w:r>
        <w:rPr>
          <w:vertAlign w:val="subscript"/>
        </w:rPr>
        <w:t>LU</w:t>
      </w:r>
      <w:r>
        <w:rPr>
          <w:vertAlign w:val="baseline"/>
        </w:rPr>
        <w:t>) always equals</w:t>
      </w:r>
      <w:r>
        <w:rPr>
          <w:spacing w:val="1"/>
          <w:vertAlign w:val="baseline"/>
        </w:rPr>
        <w:t> </w:t>
      </w:r>
      <w:r>
        <w:rPr>
          <w:vertAlign w:val="baseline"/>
        </w:rPr>
        <w:t>1.</w:t>
      </w:r>
    </w:p>
    <w:p>
      <w:pPr>
        <w:pStyle w:val="BodyText"/>
        <w:spacing w:line="232" w:lineRule="auto" w:before="127"/>
        <w:ind w:left="898" w:right="267" w:hanging="680"/>
        <w:jc w:val="both"/>
      </w:pPr>
      <w:r>
        <w:rPr>
          <w:b/>
        </w:rPr>
        <w:t>Step 3: </w:t>
      </w:r>
      <w:r>
        <w:rPr/>
        <w:t>Calculate SOC</w:t>
      </w:r>
      <w:r>
        <w:rPr>
          <w:vertAlign w:val="subscript"/>
        </w:rPr>
        <w:t>0</w:t>
      </w:r>
      <w:r>
        <w:rPr>
          <w:vertAlign w:val="baseline"/>
        </w:rPr>
        <w:t> by repeating step 2 using the same reference carbon stock (SOC</w:t>
      </w:r>
      <w:r>
        <w:rPr>
          <w:position w:val="-2"/>
          <w:sz w:val="10"/>
          <w:vertAlign w:val="baseline"/>
        </w:rPr>
        <w:t>REF</w:t>
      </w:r>
      <w:r>
        <w:rPr>
          <w:vertAlign w:val="baseline"/>
        </w:rPr>
        <w:t>) and F</w:t>
      </w:r>
      <w:r>
        <w:rPr>
          <w:vertAlign w:val="subscript"/>
        </w:rPr>
        <w:t>LU</w:t>
      </w:r>
      <w:r>
        <w:rPr>
          <w:vertAlign w:val="baseline"/>
        </w:rPr>
        <w:t>=1, but with management and input factors that represent conditions in (current) inventory year.</w:t>
      </w:r>
    </w:p>
    <w:p>
      <w:pPr>
        <w:pStyle w:val="BodyText"/>
        <w:spacing w:before="118"/>
        <w:ind w:left="219"/>
      </w:pPr>
      <w:r>
        <w:rPr>
          <w:b/>
        </w:rPr>
        <w:t>Step 4: </w:t>
      </w:r>
      <w:r>
        <w:rPr/>
        <w:t>Calculate the average annual change in soil C stock for the area over the inventory period (∆C</w:t>
      </w:r>
      <w:r>
        <w:rPr>
          <w:vertAlign w:val="subscript"/>
        </w:rPr>
        <w:t>GG</w:t>
      </w:r>
      <w:r>
        <w:rPr>
          <w:position w:val="-8"/>
          <w:sz w:val="13"/>
          <w:vertAlign w:val="baseline"/>
        </w:rPr>
        <w:t>Mineral</w:t>
      </w:r>
      <w:r>
        <w:rPr>
          <w:vertAlign w:val="baseline"/>
        </w:rPr>
        <w:t>)</w:t>
      </w:r>
    </w:p>
    <w:p>
      <w:pPr>
        <w:spacing w:after="0"/>
        <w:sectPr>
          <w:footerReference w:type="even" r:id="rId144"/>
          <w:footerReference w:type="default" r:id="rId145"/>
          <w:pgSz w:w="11900" w:h="16840"/>
          <w:pgMar w:footer="408" w:header="230" w:top="560" w:bottom="600" w:left="1200" w:right="1140"/>
          <w:pgNumType w:start="112"/>
        </w:sectPr>
      </w:pPr>
    </w:p>
    <w:p>
      <w:pPr>
        <w:pStyle w:val="BodyText"/>
      </w:pPr>
    </w:p>
    <w:p>
      <w:pPr>
        <w:pStyle w:val="BodyText"/>
        <w:spacing w:before="8"/>
        <w:rPr>
          <w:sz w:val="18"/>
        </w:rPr>
      </w:pPr>
    </w:p>
    <w:p>
      <w:pPr>
        <w:pStyle w:val="BodyText"/>
        <w:ind w:left="624"/>
      </w:pPr>
      <w:r>
        <w:rPr>
          <w:position w:val="0"/>
        </w:rPr>
        <w:pict>
          <v:shape style="width:411.5pt;height:103.6pt;mso-position-horizontal-relative:char;mso-position-vertical-relative:line" type="#_x0000_t202" filled="false" stroked="true" strokeweight="1.44pt" strokecolor="#000000">
            <w10:anchorlock/>
            <v:textbox inset="0,0,0,0">
              <w:txbxContent>
                <w:p>
                  <w:pPr>
                    <w:pStyle w:val="BodyText"/>
                    <w:spacing w:before="94"/>
                    <w:ind w:left="127" w:right="122"/>
                    <w:jc w:val="both"/>
                  </w:pPr>
                  <w:r>
                    <w:rPr>
                      <w:b/>
                    </w:rPr>
                    <w:t>Example</w:t>
                  </w:r>
                  <w:r>
                    <w:rPr/>
                    <w:t>: For an Ultisol soil in a tropical moist climate, SOC</w:t>
                  </w:r>
                  <w:r>
                    <w:rPr>
                      <w:vertAlign w:val="subscript"/>
                    </w:rPr>
                    <w:t>Ref</w:t>
                  </w:r>
                  <w:r>
                    <w:rPr>
                      <w:vertAlign w:val="baseline"/>
                    </w:rPr>
                    <w:t> (0-30 cm) is 47 tonnes C ha</w:t>
                  </w:r>
                  <w:r>
                    <w:rPr>
                      <w:vertAlign w:val="superscript"/>
                    </w:rPr>
                    <w:t>-1</w:t>
                  </w:r>
                  <w:r>
                    <w:rPr>
                      <w:vertAlign w:val="baseline"/>
                    </w:rPr>
                    <w:t>. Under management resulting in an unimproved, moderately overgrazed pasture, the soil carbon stock at the beginning of the inventory period (default is 20 yr previous) is (SOC</w:t>
                  </w:r>
                  <w:r>
                    <w:rPr>
                      <w:vertAlign w:val="subscript"/>
                    </w:rPr>
                    <w:t>Ref</w:t>
                  </w:r>
                  <w:r>
                    <w:rPr>
                      <w:vertAlign w:val="baseline"/>
                    </w:rPr>
                    <w:t> ● F</w:t>
                  </w:r>
                  <w:r>
                    <w:rPr>
                      <w:vertAlign w:val="subscript"/>
                    </w:rPr>
                    <w:t>LU</w:t>
                  </w:r>
                  <w:r>
                    <w:rPr>
                      <w:vertAlign w:val="baseline"/>
                    </w:rPr>
                    <w:t> ● F</w:t>
                  </w:r>
                  <w:r>
                    <w:rPr>
                      <w:vertAlign w:val="subscript"/>
                    </w:rPr>
                    <w:t>MG</w:t>
                  </w:r>
                  <w:r>
                    <w:rPr>
                      <w:vertAlign w:val="baseline"/>
                    </w:rPr>
                    <w:t> ● F</w:t>
                  </w:r>
                  <w:r>
                    <w:rPr>
                      <w:vertAlign w:val="subscript"/>
                    </w:rPr>
                    <w:t>I</w:t>
                  </w:r>
                  <w:r>
                    <w:rPr>
                      <w:vertAlign w:val="baseline"/>
                    </w:rPr>
                    <w:t>) = 47 tonnes C ha</w:t>
                  </w:r>
                  <w:r>
                    <w:rPr>
                      <w:vertAlign w:val="superscript"/>
                    </w:rPr>
                    <w:t>-1</w:t>
                  </w:r>
                  <w:r>
                    <w:rPr>
                      <w:vertAlign w:val="baseline"/>
                    </w:rPr>
                    <w:t> ● 1 ● 0.97 ● 1 = 45.6 tonnes C ha</w:t>
                  </w:r>
                  <w:r>
                    <w:rPr>
                      <w:vertAlign w:val="superscript"/>
                    </w:rPr>
                    <w:t>-1</w:t>
                  </w:r>
                  <w:r>
                    <w:rPr>
                      <w:vertAlign w:val="baseline"/>
                    </w:rPr>
                    <w:t>. Improved pasture with fertiliser addition (F</w:t>
                  </w:r>
                  <w:r>
                    <w:rPr>
                      <w:vertAlign w:val="subscript"/>
                    </w:rPr>
                    <w:t>MG</w:t>
                  </w:r>
                  <w:r>
                    <w:rPr>
                      <w:vertAlign w:val="baseline"/>
                    </w:rPr>
                    <w:t> = 1.17) is the management condition in the (current) inventory year, yielding a soil carbon stock estimate of 47 tonnes C ha</w:t>
                  </w:r>
                  <w:r>
                    <w:rPr>
                      <w:vertAlign w:val="superscript"/>
                    </w:rPr>
                    <w:t>-1</w:t>
                  </w:r>
                  <w:r>
                    <w:rPr>
                      <w:vertAlign w:val="baseline"/>
                    </w:rPr>
                    <w:t> ● 1 ● 1.17 ● 1 = 55 tonnes C ha</w:t>
                  </w:r>
                  <w:r>
                    <w:rPr>
                      <w:vertAlign w:val="superscript"/>
                    </w:rPr>
                    <w:t>-1</w:t>
                  </w:r>
                  <w:r>
                    <w:rPr>
                      <w:vertAlign w:val="baseline"/>
                    </w:rPr>
                    <w:t>. Thus the average annual change in soil C stock for the area over the inventory period is calculated as (55 tonnes C ha</w:t>
                  </w:r>
                  <w:r>
                    <w:rPr>
                      <w:vertAlign w:val="superscript"/>
                    </w:rPr>
                    <w:t>-1</w:t>
                  </w:r>
                  <w:r>
                    <w:rPr>
                      <w:vertAlign w:val="baseline"/>
                    </w:rPr>
                    <w:t> – 45.6 tonnes C ha</w:t>
                  </w:r>
                  <w:r>
                    <w:rPr>
                      <w:vertAlign w:val="superscript"/>
                    </w:rPr>
                    <w:t>-1</w:t>
                  </w:r>
                  <w:r>
                    <w:rPr>
                      <w:vertAlign w:val="baseline"/>
                    </w:rPr>
                    <w:t>) / 20 yrs = 0.47 tonnes C ha</w:t>
                  </w:r>
                  <w:r>
                    <w:rPr>
                      <w:vertAlign w:val="superscript"/>
                    </w:rPr>
                    <w:t>-1</w:t>
                  </w:r>
                  <w:r>
                    <w:rPr>
                      <w:spacing w:val="-1"/>
                      <w:vertAlign w:val="baseline"/>
                    </w:rPr>
                    <w:t> </w:t>
                  </w:r>
                  <w:r>
                    <w:rPr>
                      <w:vertAlign w:val="baseline"/>
                    </w:rPr>
                    <w:t>yr</w:t>
                  </w:r>
                  <w:r>
                    <w:rPr>
                      <w:vertAlign w:val="superscript"/>
                    </w:rPr>
                    <w:t>-1</w:t>
                  </w:r>
                  <w:r>
                    <w:rPr>
                      <w:vertAlign w:val="baseline"/>
                    </w:rPr>
                    <w:t>.</w:t>
                  </w:r>
                </w:p>
              </w:txbxContent>
            </v:textbox>
            <v:stroke dashstyle="solid"/>
          </v:shape>
        </w:pict>
      </w:r>
      <w:r>
        <w:rPr>
          <w:position w:val="0"/>
        </w:rPr>
      </w:r>
    </w:p>
    <w:p>
      <w:pPr>
        <w:pStyle w:val="BodyText"/>
        <w:spacing w:before="84"/>
        <w:ind w:left="219" w:right="262"/>
        <w:jc w:val="both"/>
      </w:pPr>
      <w:r>
        <w:rPr>
          <w:b/>
          <w:spacing w:val="-3"/>
        </w:rPr>
        <w:t>Tier </w:t>
      </w:r>
      <w:r>
        <w:rPr>
          <w:b/>
        </w:rPr>
        <w:t>1: </w:t>
      </w:r>
      <w:r>
        <w:rPr/>
        <w:t>For Tier 1, </w:t>
      </w:r>
      <w:r>
        <w:rPr>
          <w:spacing w:val="-3"/>
        </w:rPr>
        <w:t>default </w:t>
      </w:r>
      <w:r>
        <w:rPr/>
        <w:t>reference carbon stocks and stock </w:t>
      </w:r>
      <w:r>
        <w:rPr>
          <w:spacing w:val="-2"/>
        </w:rPr>
        <w:t>change </w:t>
      </w:r>
      <w:r>
        <w:rPr/>
        <w:t>factors are used (as shown in Equation </w:t>
      </w:r>
      <w:r>
        <w:rPr>
          <w:spacing w:val="-2"/>
        </w:rPr>
        <w:t>3.4.8) for </w:t>
      </w:r>
      <w:r>
        <w:rPr>
          <w:spacing w:val="-3"/>
        </w:rPr>
        <w:t>major grassland </w:t>
      </w:r>
      <w:r>
        <w:rPr/>
        <w:t>systems in a </w:t>
      </w:r>
      <w:r>
        <w:rPr>
          <w:spacing w:val="-3"/>
        </w:rPr>
        <w:t>country, </w:t>
      </w:r>
      <w:r>
        <w:rPr/>
        <w:t>stratified by the default climate </w:t>
      </w:r>
      <w:r>
        <w:rPr>
          <w:spacing w:val="-2"/>
        </w:rPr>
        <w:t>and </w:t>
      </w:r>
      <w:r>
        <w:rPr/>
        <w:t>soil types (Equation 3.4.9). For </w:t>
      </w:r>
      <w:r>
        <w:rPr>
          <w:spacing w:val="-2"/>
        </w:rPr>
        <w:t>the </w:t>
      </w:r>
      <w:r>
        <w:rPr/>
        <w:t>aggregate area of </w:t>
      </w:r>
      <w:r>
        <w:rPr>
          <w:spacing w:val="-2"/>
        </w:rPr>
        <w:t>grassland </w:t>
      </w:r>
      <w:r>
        <w:rPr/>
        <w:t>remaining </w:t>
      </w:r>
      <w:r>
        <w:rPr>
          <w:spacing w:val="-2"/>
        </w:rPr>
        <w:t>grassland, </w:t>
      </w:r>
      <w:r>
        <w:rPr/>
        <w:t>stock changes can be calculated either by tracking management changes</w:t>
      </w:r>
      <w:r>
        <w:rPr>
          <w:spacing w:val="-8"/>
        </w:rPr>
        <w:t> </w:t>
      </w:r>
      <w:r>
        <w:rPr/>
        <w:t>and</w:t>
      </w:r>
      <w:r>
        <w:rPr>
          <w:spacing w:val="-5"/>
        </w:rPr>
        <w:t> </w:t>
      </w:r>
      <w:r>
        <w:rPr/>
        <w:t>calculating</w:t>
      </w:r>
      <w:r>
        <w:rPr>
          <w:spacing w:val="-6"/>
        </w:rPr>
        <w:t> </w:t>
      </w:r>
      <w:r>
        <w:rPr/>
        <w:t>stock</w:t>
      </w:r>
      <w:r>
        <w:rPr>
          <w:spacing w:val="-6"/>
        </w:rPr>
        <w:t> </w:t>
      </w:r>
      <w:r>
        <w:rPr/>
        <w:t>changes</w:t>
      </w:r>
      <w:r>
        <w:rPr>
          <w:spacing w:val="-7"/>
        </w:rPr>
        <w:t> </w:t>
      </w:r>
      <w:r>
        <w:rPr/>
        <w:t>on</w:t>
      </w:r>
      <w:r>
        <w:rPr>
          <w:spacing w:val="-6"/>
        </w:rPr>
        <w:t> </w:t>
      </w:r>
      <w:r>
        <w:rPr/>
        <w:t>individual</w:t>
      </w:r>
      <w:r>
        <w:rPr>
          <w:spacing w:val="-7"/>
        </w:rPr>
        <w:t> </w:t>
      </w:r>
      <w:r>
        <w:rPr/>
        <w:t>parcels</w:t>
      </w:r>
      <w:r>
        <w:rPr>
          <w:spacing w:val="-4"/>
        </w:rPr>
        <w:t> </w:t>
      </w:r>
      <w:r>
        <w:rPr/>
        <w:t>of</w:t>
      </w:r>
      <w:r>
        <w:rPr>
          <w:spacing w:val="-6"/>
        </w:rPr>
        <w:t> </w:t>
      </w:r>
      <w:r>
        <w:rPr/>
        <w:t>land</w:t>
      </w:r>
      <w:r>
        <w:rPr>
          <w:spacing w:val="-7"/>
        </w:rPr>
        <w:t> </w:t>
      </w:r>
      <w:r>
        <w:rPr/>
        <w:t>(Equation</w:t>
      </w:r>
      <w:r>
        <w:rPr>
          <w:spacing w:val="-7"/>
        </w:rPr>
        <w:t> </w:t>
      </w:r>
      <w:r>
        <w:rPr/>
        <w:t>3.4.9A)</w:t>
      </w:r>
      <w:r>
        <w:rPr>
          <w:spacing w:val="-5"/>
        </w:rPr>
        <w:t> </w:t>
      </w:r>
      <w:r>
        <w:rPr/>
        <w:t>or</w:t>
      </w:r>
      <w:r>
        <w:rPr>
          <w:spacing w:val="-6"/>
        </w:rPr>
        <w:t> </w:t>
      </w:r>
      <w:r>
        <w:rPr/>
        <w:t>by</w:t>
      </w:r>
      <w:r>
        <w:rPr>
          <w:spacing w:val="-7"/>
        </w:rPr>
        <w:t> </w:t>
      </w:r>
      <w:r>
        <w:rPr/>
        <w:t>calculating</w:t>
      </w:r>
      <w:r>
        <w:rPr>
          <w:spacing w:val="-8"/>
        </w:rPr>
        <w:t> </w:t>
      </w:r>
      <w:r>
        <w:rPr/>
        <w:t>aggregate </w:t>
      </w:r>
      <w:r>
        <w:rPr>
          <w:spacing w:val="-3"/>
        </w:rPr>
        <w:t>soil </w:t>
      </w:r>
      <w:r>
        <w:rPr/>
        <w:t>carbon stocks at the start </w:t>
      </w:r>
      <w:r>
        <w:rPr>
          <w:spacing w:val="-2"/>
        </w:rPr>
        <w:t>and </w:t>
      </w:r>
      <w:r>
        <w:rPr/>
        <w:t>end of the inventory period from more general data on the area distribution of </w:t>
      </w:r>
      <w:r>
        <w:rPr>
          <w:spacing w:val="-3"/>
        </w:rPr>
        <w:t>grassland </w:t>
      </w:r>
      <w:r>
        <w:rPr/>
        <w:t>systems (Equation 3.4.9B). Aggregate results will be the same with either approach, the main </w:t>
      </w:r>
      <w:r>
        <w:rPr>
          <w:spacing w:val="-3"/>
        </w:rPr>
        <w:t>difference </w:t>
      </w:r>
      <w:r>
        <w:rPr/>
        <w:t>being that attribution of the effects of </w:t>
      </w:r>
      <w:r>
        <w:rPr>
          <w:spacing w:val="-3"/>
        </w:rPr>
        <w:t>specific </w:t>
      </w:r>
      <w:r>
        <w:rPr/>
        <w:t>changes in management requires activity data that tracks management changes on specific areas of land. Default values </w:t>
      </w:r>
      <w:r>
        <w:rPr>
          <w:spacing w:val="-2"/>
        </w:rPr>
        <w:t>for </w:t>
      </w:r>
      <w:r>
        <w:rPr/>
        <w:t>this calculation are </w:t>
      </w:r>
      <w:r>
        <w:rPr>
          <w:spacing w:val="-3"/>
        </w:rPr>
        <w:t>described </w:t>
      </w:r>
      <w:r>
        <w:rPr/>
        <w:t>in Section </w:t>
      </w:r>
      <w:r>
        <w:rPr>
          <w:spacing w:val="-2"/>
        </w:rPr>
        <w:t>3.4.1.2.1.2.</w:t>
      </w:r>
    </w:p>
    <w:p>
      <w:pPr>
        <w:pStyle w:val="BodyText"/>
        <w:spacing w:before="11"/>
        <w:rPr>
          <w:sz w:val="9"/>
        </w:rPr>
      </w:pPr>
      <w:r>
        <w:rPr/>
        <w:pict>
          <v:group style="position:absolute;margin-left:91.240997pt;margin-top:8.438789pt;width:412.95pt;height:85.8pt;mso-position-horizontal-relative:page;mso-position-vertical-relative:paragraph;z-index:9800;mso-wrap-distance-left:0;mso-wrap-distance-right:0" coordorigin="1825,169" coordsize="8259,1716">
            <v:line style="position:absolute" from="1854,183" to="10054,183" stroked="true" strokeweight="1.44pt" strokecolor="#000000">
              <v:stroke dashstyle="solid"/>
            </v:line>
            <v:line style="position:absolute" from="1854,1870" to="10054,1870" stroked="true" strokeweight="1.44pt" strokecolor="#000000">
              <v:stroke dashstyle="solid"/>
            </v:line>
            <v:line style="position:absolute" from="1839,169" to="1839,1885" stroked="true" strokeweight="1.44pt" strokecolor="#000000">
              <v:stroke dashstyle="solid"/>
            </v:line>
            <v:line style="position:absolute" from="10069,169" to="10069,1885" stroked="true" strokeweight="1.44pt" strokecolor="#000000">
              <v:stroke dashstyle="solid"/>
            </v:line>
            <v:shape style="position:absolute;left:8775;top:1085;width:295;height:607" type="#_x0000_t202" filled="false" stroked="false">
              <v:textbox inset="0,0,0,0">
                <w:txbxContent>
                  <w:p>
                    <w:pPr>
                      <w:spacing w:line="221" w:lineRule="exact" w:before="0"/>
                      <w:ind w:left="0" w:right="0" w:firstLine="0"/>
                      <w:jc w:val="left"/>
                      <w:rPr>
                        <w:sz w:val="20"/>
                      </w:rPr>
                    </w:pPr>
                    <w:r>
                      <w:rPr>
                        <w:sz w:val="20"/>
                      </w:rPr>
                      <w:t>(A)</w:t>
                    </w:r>
                  </w:p>
                  <w:p>
                    <w:pPr>
                      <w:spacing w:before="156"/>
                      <w:ind w:left="2" w:right="0" w:firstLine="0"/>
                      <w:jc w:val="left"/>
                      <w:rPr>
                        <w:sz w:val="20"/>
                      </w:rPr>
                    </w:pPr>
                    <w:r>
                      <w:rPr>
                        <w:sz w:val="20"/>
                      </w:rPr>
                      <w:t>(B)</w:t>
                    </w:r>
                  </w:p>
                </w:txbxContent>
              </v:textbox>
              <w10:wrap type="none"/>
            </v:shape>
            <v:shape style="position:absolute;left:2859;top:1472;width:5682;height:297" type="#_x0000_t202" filled="false" stroked="false">
              <v:textbox inset="0,0,0,0">
                <w:txbxContent>
                  <w:p>
                    <w:pPr>
                      <w:spacing w:line="225" w:lineRule="auto" w:before="0"/>
                      <w:ind w:left="0" w:right="0" w:firstLine="0"/>
                      <w:jc w:val="left"/>
                      <w:rPr>
                        <w:sz w:val="20"/>
                      </w:rPr>
                    </w:pPr>
                    <w:r>
                      <w:rPr>
                        <w:sz w:val="20"/>
                      </w:rPr>
                      <w:t>∆C</w:t>
                    </w:r>
                    <w:r>
                      <w:rPr>
                        <w:position w:val="-2"/>
                        <w:sz w:val="13"/>
                      </w:rPr>
                      <w:t>GG</w:t>
                    </w:r>
                    <w:r>
                      <w:rPr>
                        <w:position w:val="-8"/>
                        <w:sz w:val="13"/>
                      </w:rPr>
                      <w:t>Mineral </w:t>
                    </w:r>
                    <w:r>
                      <w:rPr>
                        <w:sz w:val="20"/>
                      </w:rPr>
                      <w:t>=</w:t>
                    </w:r>
                    <w:r>
                      <w:rPr>
                        <w:spacing w:val="-2"/>
                        <w:sz w:val="20"/>
                      </w:rPr>
                      <w:t> </w:t>
                    </w:r>
                    <w:r>
                      <w:rPr>
                        <w:rFonts w:ascii="Arial" w:hAnsi="Arial"/>
                        <w:sz w:val="20"/>
                      </w:rPr>
                      <w:t>∑</w:t>
                    </w:r>
                    <w:r>
                      <w:rPr>
                        <w:rFonts w:ascii="Arial" w:hAnsi="Arial"/>
                        <w:spacing w:val="-23"/>
                        <w:sz w:val="20"/>
                      </w:rPr>
                      <w:t> </w:t>
                    </w:r>
                    <w:r>
                      <w:rPr>
                        <w:i/>
                        <w:position w:val="-8"/>
                        <w:sz w:val="13"/>
                      </w:rPr>
                      <w:t>c</w:t>
                    </w:r>
                    <w:r>
                      <w:rPr>
                        <w:i/>
                        <w:spacing w:val="-7"/>
                        <w:position w:val="-8"/>
                        <w:sz w:val="13"/>
                      </w:rPr>
                      <w:t> </w:t>
                    </w:r>
                    <w:r>
                      <w:rPr>
                        <w:rFonts w:ascii="Arial" w:hAnsi="Arial"/>
                        <w:sz w:val="20"/>
                      </w:rPr>
                      <w:t>∑</w:t>
                    </w:r>
                    <w:r>
                      <w:rPr>
                        <w:rFonts w:ascii="Arial" w:hAnsi="Arial"/>
                        <w:spacing w:val="-23"/>
                        <w:sz w:val="20"/>
                      </w:rPr>
                      <w:t> </w:t>
                    </w:r>
                    <w:r>
                      <w:rPr>
                        <w:i/>
                        <w:position w:val="-8"/>
                        <w:sz w:val="13"/>
                      </w:rPr>
                      <w:t>s</w:t>
                    </w:r>
                    <w:r>
                      <w:rPr>
                        <w:i/>
                        <w:spacing w:val="-8"/>
                        <w:position w:val="-8"/>
                        <w:sz w:val="13"/>
                      </w:rPr>
                      <w:t> </w:t>
                    </w:r>
                    <w:r>
                      <w:rPr>
                        <w:rFonts w:ascii="Arial" w:hAnsi="Arial"/>
                        <w:sz w:val="20"/>
                      </w:rPr>
                      <w:t>∑</w:t>
                    </w:r>
                    <w:r>
                      <w:rPr>
                        <w:rFonts w:ascii="Arial" w:hAnsi="Arial"/>
                        <w:spacing w:val="-23"/>
                        <w:sz w:val="20"/>
                      </w:rPr>
                      <w:t> </w:t>
                    </w:r>
                    <w:r>
                      <w:rPr>
                        <w:i/>
                        <w:position w:val="-8"/>
                        <w:sz w:val="13"/>
                      </w:rPr>
                      <w:t>i </w:t>
                    </w:r>
                    <w:r>
                      <w:rPr>
                        <w:sz w:val="20"/>
                      </w:rPr>
                      <w:t>(SOC</w:t>
                    </w:r>
                    <w:r>
                      <w:rPr>
                        <w:position w:val="-2"/>
                        <w:sz w:val="13"/>
                      </w:rPr>
                      <w:t>0</w:t>
                    </w:r>
                    <w:r>
                      <w:rPr>
                        <w:spacing w:val="16"/>
                        <w:position w:val="-2"/>
                        <w:sz w:val="13"/>
                      </w:rPr>
                      <w:t> </w:t>
                    </w:r>
                    <w:r>
                      <w:rPr>
                        <w:sz w:val="20"/>
                      </w:rPr>
                      <w:t>●</w:t>
                    </w:r>
                    <w:r>
                      <w:rPr>
                        <w:spacing w:val="-1"/>
                        <w:sz w:val="20"/>
                      </w:rPr>
                      <w:t> </w:t>
                    </w:r>
                    <w:r>
                      <w:rPr>
                        <w:sz w:val="20"/>
                      </w:rPr>
                      <w:t>A)</w:t>
                    </w:r>
                    <w:r>
                      <w:rPr>
                        <w:spacing w:val="-17"/>
                        <w:sz w:val="20"/>
                      </w:rPr>
                      <w:t> </w:t>
                    </w:r>
                    <w:r>
                      <w:rPr>
                        <w:i/>
                        <w:position w:val="-8"/>
                        <w:sz w:val="13"/>
                      </w:rPr>
                      <w:t>c,s,i</w:t>
                    </w:r>
                    <w:r>
                      <w:rPr>
                        <w:i/>
                        <w:spacing w:val="-8"/>
                        <w:position w:val="-8"/>
                        <w:sz w:val="13"/>
                      </w:rPr>
                      <w:t> </w:t>
                    </w:r>
                    <w:r>
                      <w:rPr>
                        <w:sz w:val="20"/>
                      </w:rPr>
                      <w:t>– </w:t>
                    </w:r>
                    <w:r>
                      <w:rPr>
                        <w:rFonts w:ascii="Arial" w:hAnsi="Arial"/>
                        <w:sz w:val="20"/>
                      </w:rPr>
                      <w:t>∑</w:t>
                    </w:r>
                    <w:r>
                      <w:rPr>
                        <w:rFonts w:ascii="Arial" w:hAnsi="Arial"/>
                        <w:spacing w:val="-23"/>
                        <w:sz w:val="20"/>
                      </w:rPr>
                      <w:t> </w:t>
                    </w:r>
                    <w:r>
                      <w:rPr>
                        <w:i/>
                        <w:position w:val="-8"/>
                        <w:sz w:val="13"/>
                      </w:rPr>
                      <w:t>c</w:t>
                    </w:r>
                    <w:r>
                      <w:rPr>
                        <w:i/>
                        <w:spacing w:val="-10"/>
                        <w:position w:val="-8"/>
                        <w:sz w:val="13"/>
                      </w:rPr>
                      <w:t> </w:t>
                    </w:r>
                    <w:r>
                      <w:rPr>
                        <w:rFonts w:ascii="Arial" w:hAnsi="Arial"/>
                        <w:sz w:val="20"/>
                      </w:rPr>
                      <w:t>∑</w:t>
                    </w:r>
                    <w:r>
                      <w:rPr>
                        <w:rFonts w:ascii="Arial" w:hAnsi="Arial"/>
                        <w:spacing w:val="-23"/>
                        <w:sz w:val="20"/>
                      </w:rPr>
                      <w:t> </w:t>
                    </w:r>
                    <w:r>
                      <w:rPr>
                        <w:i/>
                        <w:position w:val="-8"/>
                        <w:sz w:val="13"/>
                      </w:rPr>
                      <w:t>s</w:t>
                    </w:r>
                    <w:r>
                      <w:rPr>
                        <w:i/>
                        <w:spacing w:val="-8"/>
                        <w:position w:val="-8"/>
                        <w:sz w:val="13"/>
                      </w:rPr>
                      <w:t> </w:t>
                    </w:r>
                    <w:r>
                      <w:rPr>
                        <w:rFonts w:ascii="Arial" w:hAnsi="Arial"/>
                        <w:sz w:val="20"/>
                      </w:rPr>
                      <w:t>∑</w:t>
                    </w:r>
                    <w:r>
                      <w:rPr>
                        <w:rFonts w:ascii="Arial" w:hAnsi="Arial"/>
                        <w:spacing w:val="-22"/>
                        <w:sz w:val="20"/>
                      </w:rPr>
                      <w:t> </w:t>
                    </w:r>
                    <w:r>
                      <w:rPr>
                        <w:i/>
                        <w:position w:val="-8"/>
                        <w:sz w:val="13"/>
                      </w:rPr>
                      <w:t>i</w:t>
                    </w:r>
                    <w:r>
                      <w:rPr>
                        <w:i/>
                        <w:spacing w:val="-3"/>
                        <w:position w:val="-8"/>
                        <w:sz w:val="13"/>
                      </w:rPr>
                      <w:t> </w:t>
                    </w:r>
                    <w:r>
                      <w:rPr>
                        <w:sz w:val="20"/>
                      </w:rPr>
                      <w:t>(SOC</w:t>
                    </w:r>
                    <w:r>
                      <w:rPr>
                        <w:position w:val="-2"/>
                        <w:sz w:val="13"/>
                      </w:rPr>
                      <w:t>(0 –T)</w:t>
                    </w:r>
                    <w:r>
                      <w:rPr>
                        <w:spacing w:val="16"/>
                        <w:position w:val="-2"/>
                        <w:sz w:val="13"/>
                      </w:rPr>
                      <w:t> </w:t>
                    </w:r>
                    <w:r>
                      <w:rPr>
                        <w:sz w:val="20"/>
                      </w:rPr>
                      <w:t>●</w:t>
                    </w:r>
                    <w:r>
                      <w:rPr>
                        <w:spacing w:val="-2"/>
                        <w:sz w:val="20"/>
                      </w:rPr>
                      <w:t> </w:t>
                    </w:r>
                    <w:r>
                      <w:rPr>
                        <w:sz w:val="20"/>
                      </w:rPr>
                      <w:t>A)</w:t>
                    </w:r>
                    <w:r>
                      <w:rPr>
                        <w:spacing w:val="-16"/>
                        <w:sz w:val="20"/>
                      </w:rPr>
                      <w:t> </w:t>
                    </w:r>
                    <w:r>
                      <w:rPr>
                        <w:i/>
                        <w:position w:val="-8"/>
                        <w:sz w:val="13"/>
                      </w:rPr>
                      <w:t>c,s,i</w:t>
                    </w:r>
                    <w:r>
                      <w:rPr>
                        <w:i/>
                        <w:spacing w:val="16"/>
                        <w:position w:val="-8"/>
                        <w:sz w:val="13"/>
                      </w:rPr>
                      <w:t> </w:t>
                    </w:r>
                    <w:r>
                      <w:rPr>
                        <w:sz w:val="20"/>
                      </w:rPr>
                      <w:t>/</w:t>
                    </w:r>
                    <w:r>
                      <w:rPr>
                        <w:spacing w:val="-1"/>
                        <w:sz w:val="20"/>
                      </w:rPr>
                      <w:t> </w:t>
                    </w:r>
                    <w:r>
                      <w:rPr>
                        <w:sz w:val="20"/>
                      </w:rPr>
                      <w:t>T</w:t>
                    </w:r>
                  </w:p>
                </w:txbxContent>
              </v:textbox>
              <w10:wrap type="none"/>
            </v:shape>
            <v:shape style="position:absolute;left:6876;top:1085;width:246;height:221" type="#_x0000_t202" filled="false" stroked="false">
              <v:textbox inset="0,0,0,0">
                <w:txbxContent>
                  <w:p>
                    <w:pPr>
                      <w:spacing w:line="221" w:lineRule="exact" w:before="0"/>
                      <w:ind w:left="0" w:right="0" w:firstLine="0"/>
                      <w:jc w:val="left"/>
                      <w:rPr>
                        <w:sz w:val="20"/>
                      </w:rPr>
                    </w:pPr>
                    <w:r>
                      <w:rPr>
                        <w:sz w:val="20"/>
                      </w:rPr>
                      <w:t>/ T</w:t>
                    </w:r>
                  </w:p>
                </w:txbxContent>
              </v:textbox>
              <w10:wrap type="none"/>
            </v:shape>
            <v:shape style="position:absolute;left:6615;top:1238;width:232;height:144" type="#_x0000_t202" filled="false" stroked="false">
              <v:textbox inset="0,0,0,0">
                <w:txbxContent>
                  <w:p>
                    <w:pPr>
                      <w:spacing w:line="144" w:lineRule="exact" w:before="0"/>
                      <w:ind w:left="0" w:right="0" w:firstLine="0"/>
                      <w:jc w:val="left"/>
                      <w:rPr>
                        <w:i/>
                        <w:sz w:val="13"/>
                      </w:rPr>
                    </w:pPr>
                    <w:r>
                      <w:rPr>
                        <w:i/>
                        <w:sz w:val="13"/>
                      </w:rPr>
                      <w:t>c,s,i</w:t>
                    </w:r>
                  </w:p>
                </w:txbxContent>
              </v:textbox>
              <w10:wrap type="none"/>
            </v:shape>
            <v:shape style="position:absolute;left:5686;top:1178;width:349;height:144" type="#_x0000_t202" filled="false" stroked="false">
              <v:textbox inset="0,0,0,0">
                <w:txbxContent>
                  <w:p>
                    <w:pPr>
                      <w:spacing w:line="144" w:lineRule="exact" w:before="0"/>
                      <w:ind w:left="0" w:right="0" w:firstLine="0"/>
                      <w:jc w:val="left"/>
                      <w:rPr>
                        <w:sz w:val="13"/>
                      </w:rPr>
                    </w:pPr>
                    <w:r>
                      <w:rPr>
                        <w:sz w:val="13"/>
                      </w:rPr>
                      <w:t>(0 –T)</w:t>
                    </w:r>
                  </w:p>
                </w:txbxContent>
              </v:textbox>
              <w10:wrap type="none"/>
            </v:shape>
            <v:shape style="position:absolute;left:5031;top:1178;width:85;height:144" type="#_x0000_t202" filled="false" stroked="false">
              <v:textbox inset="0,0,0,0">
                <w:txbxContent>
                  <w:p>
                    <w:pPr>
                      <w:spacing w:line="144" w:lineRule="exact" w:before="0"/>
                      <w:ind w:left="0" w:right="0" w:firstLine="0"/>
                      <w:jc w:val="left"/>
                      <w:rPr>
                        <w:sz w:val="13"/>
                      </w:rPr>
                    </w:pPr>
                    <w:r>
                      <w:rPr>
                        <w:w w:val="99"/>
                        <w:sz w:val="13"/>
                      </w:rPr>
                      <w:t>0</w:t>
                    </w:r>
                  </w:p>
                </w:txbxContent>
              </v:textbox>
              <w10:wrap type="none"/>
            </v:shape>
            <v:shape style="position:absolute;left:3742;top:1085;width:2842;height:221" type="#_x0000_t202" filled="false" stroked="false">
              <v:textbox inset="0,0,0,0">
                <w:txbxContent>
                  <w:p>
                    <w:pPr>
                      <w:tabs>
                        <w:tab w:pos="2272" w:val="left" w:leader="none"/>
                      </w:tabs>
                      <w:spacing w:line="221" w:lineRule="exact" w:before="0"/>
                      <w:ind w:left="0" w:right="0" w:firstLine="0"/>
                      <w:jc w:val="left"/>
                      <w:rPr>
                        <w:sz w:val="20"/>
                      </w:rPr>
                    </w:pPr>
                    <w:r>
                      <w:rPr>
                        <w:sz w:val="20"/>
                      </w:rPr>
                      <w:t>= </w:t>
                    </w:r>
                    <w:r>
                      <w:rPr>
                        <w:rFonts w:ascii="Arial" w:hAnsi="Arial"/>
                        <w:sz w:val="20"/>
                      </w:rPr>
                      <w:t>∑ ∑ ∑ </w:t>
                    </w:r>
                    <w:r>
                      <w:rPr>
                        <w:sz w:val="20"/>
                      </w:rPr>
                      <w:t>[(SOC </w:t>
                    </w:r>
                    <w:r>
                      <w:rPr>
                        <w:spacing w:val="19"/>
                        <w:sz w:val="20"/>
                      </w:rPr>
                      <w:t> </w:t>
                    </w:r>
                    <w:r>
                      <w:rPr>
                        <w:sz w:val="20"/>
                      </w:rPr>
                      <w:t>–</w:t>
                    </w:r>
                    <w:r>
                      <w:rPr>
                        <w:spacing w:val="2"/>
                        <w:sz w:val="20"/>
                      </w:rPr>
                      <w:t> </w:t>
                    </w:r>
                    <w:r>
                      <w:rPr>
                        <w:sz w:val="20"/>
                      </w:rPr>
                      <w:t>SOC</w:t>
                      <w:tab/>
                      <w:t>) ● A ]</w:t>
                    </w:r>
                  </w:p>
                </w:txbxContent>
              </v:textbox>
              <w10:wrap type="none"/>
            </v:shape>
            <v:shape style="position:absolute;left:3298;top:1238;width:1199;height:144" type="#_x0000_t202" filled="false" stroked="false">
              <v:textbox inset="0,0,0,0">
                <w:txbxContent>
                  <w:p>
                    <w:pPr>
                      <w:tabs>
                        <w:tab w:pos="748" w:val="left" w:leader="none"/>
                      </w:tabs>
                      <w:spacing w:line="144" w:lineRule="exact" w:before="0"/>
                      <w:ind w:left="0" w:right="0" w:firstLine="0"/>
                      <w:jc w:val="left"/>
                      <w:rPr>
                        <w:i/>
                        <w:sz w:val="13"/>
                      </w:rPr>
                    </w:pPr>
                    <w:r>
                      <w:rPr>
                        <w:sz w:val="13"/>
                      </w:rPr>
                      <w:t>Mineral</w:t>
                      <w:tab/>
                    </w:r>
                    <w:r>
                      <w:rPr>
                        <w:i/>
                        <w:sz w:val="13"/>
                      </w:rPr>
                      <w:t>c s</w:t>
                    </w:r>
                    <w:r>
                      <w:rPr>
                        <w:i/>
                        <w:spacing w:val="24"/>
                        <w:sz w:val="13"/>
                      </w:rPr>
                      <w:t> </w:t>
                    </w:r>
                    <w:r>
                      <w:rPr>
                        <w:i/>
                        <w:sz w:val="13"/>
                      </w:rPr>
                      <w:t>i</w:t>
                    </w:r>
                  </w:p>
                </w:txbxContent>
              </v:textbox>
              <w10:wrap type="none"/>
            </v:shape>
            <v:shape style="position:absolute;left:2856;top:1085;width:462;height:237" type="#_x0000_t202" filled="false" stroked="false">
              <v:textbox inset="0,0,0,0">
                <w:txbxContent>
                  <w:p>
                    <w:pPr>
                      <w:spacing w:line="221" w:lineRule="exact" w:before="0"/>
                      <w:ind w:left="0" w:right="0" w:firstLine="0"/>
                      <w:jc w:val="left"/>
                      <w:rPr>
                        <w:sz w:val="20"/>
                      </w:rPr>
                    </w:pPr>
                    <w:r>
                      <w:rPr>
                        <w:sz w:val="20"/>
                      </w:rPr>
                      <w:t>∆C</w:t>
                    </w:r>
                    <w:r>
                      <w:rPr>
                        <w:sz w:val="20"/>
                        <w:vertAlign w:val="subscript"/>
                      </w:rPr>
                      <w:t>GG</w:t>
                    </w:r>
                  </w:p>
                </w:txbxContent>
              </v:textbox>
              <w10:wrap type="none"/>
            </v:shape>
            <v:shape style="position:absolute;left:3634;top:305;width:4660;height:671" type="#_x0000_t202" filled="false" stroked="false">
              <v:textbox inset="0,0,0,0">
                <w:txbxContent>
                  <w:p>
                    <w:pPr>
                      <w:spacing w:line="220" w:lineRule="exact" w:before="0"/>
                      <w:ind w:left="0" w:right="18" w:firstLine="0"/>
                      <w:jc w:val="center"/>
                      <w:rPr>
                        <w:b/>
                        <w:sz w:val="20"/>
                      </w:rPr>
                    </w:pPr>
                    <w:r>
                      <w:rPr>
                        <w:b/>
                        <w:sz w:val="20"/>
                      </w:rPr>
                      <w:t>E</w:t>
                    </w:r>
                    <w:r>
                      <w:rPr>
                        <w:b/>
                        <w:sz w:val="16"/>
                      </w:rPr>
                      <w:t>QUATION </w:t>
                    </w:r>
                    <w:r>
                      <w:rPr>
                        <w:b/>
                        <w:sz w:val="20"/>
                      </w:rPr>
                      <w:t>3.4.9</w:t>
                    </w:r>
                  </w:p>
                  <w:p>
                    <w:pPr>
                      <w:spacing w:line="278" w:lineRule="auto" w:before="0"/>
                      <w:ind w:left="0" w:right="18" w:firstLine="0"/>
                      <w:jc w:val="center"/>
                      <w:rPr>
                        <w:b/>
                        <w:sz w:val="16"/>
                      </w:rPr>
                    </w:pPr>
                    <w:r>
                      <w:rPr>
                        <w:b/>
                        <w:sz w:val="20"/>
                      </w:rPr>
                      <w:t>A</w:t>
                    </w:r>
                    <w:r>
                      <w:rPr>
                        <w:b/>
                        <w:sz w:val="16"/>
                      </w:rPr>
                      <w:t>NNUAL CHANGE IN CARBON STOCKS IN MINERAL SOILS IN TOTAL GRASSLAND REMAINING GRASSLAND</w:t>
                    </w:r>
                  </w:p>
                </w:txbxContent>
              </v:textbox>
              <w10:wrap type="none"/>
            </v:shape>
            <w10:wrap type="topAndBottom"/>
          </v:group>
        </w:pict>
      </w:r>
    </w:p>
    <w:p>
      <w:pPr>
        <w:pStyle w:val="BodyText"/>
        <w:spacing w:line="220" w:lineRule="exact"/>
        <w:ind w:left="219"/>
      </w:pPr>
      <w:r>
        <w:rPr/>
        <w:t>Where:</w:t>
      </w:r>
    </w:p>
    <w:p>
      <w:pPr>
        <w:pStyle w:val="BodyText"/>
        <w:tabs>
          <w:tab w:pos="1671" w:val="left" w:leader="none"/>
        </w:tabs>
        <w:spacing w:line="193" w:lineRule="exact" w:before="120"/>
        <w:ind w:left="785"/>
      </w:pPr>
      <w:r>
        <w:rPr/>
        <w:pict>
          <v:shape style="position:absolute;margin-left:112.000603pt;margin-top:11.121873pt;width:9.4pt;height:7.2pt;mso-position-horizontal-relative:page;mso-position-vertical-relative:paragraph;z-index:-2444272" type="#_x0000_t202" filled="false" stroked="false">
            <v:textbox inset="0,0,0,0">
              <w:txbxContent>
                <w:p>
                  <w:pPr>
                    <w:spacing w:line="144" w:lineRule="exact" w:before="0"/>
                    <w:ind w:left="0" w:right="0" w:firstLine="0"/>
                    <w:jc w:val="left"/>
                    <w:rPr>
                      <w:sz w:val="13"/>
                    </w:rPr>
                  </w:pPr>
                  <w:r>
                    <w:rPr>
                      <w:w w:val="95"/>
                      <w:sz w:val="13"/>
                    </w:rPr>
                    <w:t>GG</w:t>
                  </w:r>
                </w:p>
              </w:txbxContent>
            </v:textbox>
            <w10:wrap type="none"/>
          </v:shape>
        </w:pict>
      </w:r>
      <w:r>
        <w:rPr/>
        <w:t>∆C</w:t>
        <w:tab/>
        <w:t>= annual change in carbon stocks in mineral soils, tonnes C yr</w:t>
      </w:r>
      <w:r>
        <w:rPr>
          <w:vertAlign w:val="superscript"/>
        </w:rPr>
        <w:t>-1</w:t>
      </w:r>
    </w:p>
    <w:p>
      <w:pPr>
        <w:spacing w:line="113" w:lineRule="exact" w:before="0"/>
        <w:ind w:left="1227" w:right="0" w:firstLine="0"/>
        <w:jc w:val="left"/>
        <w:rPr>
          <w:sz w:val="13"/>
        </w:rPr>
      </w:pPr>
      <w:r>
        <w:rPr>
          <w:sz w:val="13"/>
        </w:rPr>
        <w:t>Mineral</w:t>
      </w:r>
    </w:p>
    <w:p>
      <w:pPr>
        <w:pStyle w:val="BodyText"/>
        <w:spacing w:before="104"/>
        <w:ind w:left="785"/>
      </w:pPr>
      <w:r>
        <w:rPr/>
        <w:t>SOC</w:t>
      </w:r>
      <w:r>
        <w:rPr>
          <w:vertAlign w:val="subscript"/>
        </w:rPr>
        <w:t>0</w:t>
      </w:r>
      <w:r>
        <w:rPr>
          <w:vertAlign w:val="baseline"/>
        </w:rPr>
        <w:t> = soil organic carbon stock in the inventory year, tonnes C ha</w:t>
      </w:r>
      <w:r>
        <w:rPr>
          <w:vertAlign w:val="superscript"/>
        </w:rPr>
        <w:t>-1</w:t>
      </w:r>
    </w:p>
    <w:p>
      <w:pPr>
        <w:pStyle w:val="BodyText"/>
        <w:spacing w:line="362" w:lineRule="auto" w:before="121"/>
        <w:ind w:left="785" w:right="2118"/>
      </w:pPr>
      <w:r>
        <w:rPr/>
        <w:t>SOC</w:t>
      </w:r>
      <w:r>
        <w:rPr>
          <w:vertAlign w:val="subscript"/>
        </w:rPr>
        <w:t>(0</w:t>
      </w:r>
      <w:r>
        <w:rPr>
          <w:vertAlign w:val="baseline"/>
        </w:rPr>
        <w:t> </w:t>
      </w:r>
      <w:r>
        <w:rPr>
          <w:vertAlign w:val="subscript"/>
        </w:rPr>
        <w:t>–</w:t>
      </w:r>
      <w:r>
        <w:rPr>
          <w:vertAlign w:val="baseline"/>
        </w:rPr>
        <w:t> </w:t>
      </w:r>
      <w:r>
        <w:rPr>
          <w:vertAlign w:val="subscript"/>
        </w:rPr>
        <w:t>T)</w:t>
      </w:r>
      <w:r>
        <w:rPr>
          <w:vertAlign w:val="baseline"/>
        </w:rPr>
        <w:t> = soil organic carbon stock T years prior to the inventory, tonnes C ha</w:t>
      </w:r>
      <w:r>
        <w:rPr>
          <w:vertAlign w:val="superscript"/>
        </w:rPr>
        <w:t>-1</w:t>
      </w:r>
      <w:r>
        <w:rPr>
          <w:vertAlign w:val="baseline"/>
        </w:rPr>
        <w:t> T = inventory time period, yr (default is 20 yr)</w:t>
      </w:r>
    </w:p>
    <w:p>
      <w:pPr>
        <w:pStyle w:val="BodyText"/>
        <w:spacing w:before="4"/>
        <w:ind w:left="785"/>
      </w:pPr>
      <w:r>
        <w:rPr/>
        <w:t>A = land area of each parcel, ha</w:t>
      </w:r>
    </w:p>
    <w:p>
      <w:pPr>
        <w:pStyle w:val="BodyText"/>
        <w:spacing w:before="120"/>
        <w:ind w:left="1306" w:hanging="545"/>
      </w:pPr>
      <w:r>
        <w:rPr/>
        <w:pict>
          <v:shape style="position:absolute;margin-left:91.960999pt;margin-top:36.096851pt;width:411.6pt;height:207pt;mso-position-horizontal-relative:page;mso-position-vertical-relative:paragraph;z-index:9824;mso-wrap-distance-left:0;mso-wrap-distance-right:0" type="#_x0000_t202" filled="false" stroked="true" strokeweight="1.44pt" strokecolor="#000000">
            <v:textbox inset="0,0,0,0">
              <w:txbxContent>
                <w:p>
                  <w:pPr>
                    <w:pStyle w:val="BodyText"/>
                    <w:spacing w:before="94"/>
                    <w:ind w:left="127" w:right="119"/>
                    <w:jc w:val="both"/>
                  </w:pPr>
                  <w:r>
                    <w:rPr>
                      <w:b/>
                    </w:rPr>
                    <w:t>Example</w:t>
                  </w:r>
                  <w:r>
                    <w:rPr/>
                    <w:t>: The following example shows calculations for aggregate areas of grassland soil carbon stock change using Equation 3.4.9B. In a tropical moist climate on Ultisol soils, there are 1Mha of permanent grassland. The native reference carbon stock (SOC</w:t>
                  </w:r>
                  <w:r>
                    <w:rPr>
                      <w:vertAlign w:val="subscript"/>
                    </w:rPr>
                    <w:t>Ref</w:t>
                  </w:r>
                  <w:r>
                    <w:rPr>
                      <w:vertAlign w:val="baseline"/>
                    </w:rPr>
                    <w:t>) for the climate/soil type is 47 tonnes C ha</w:t>
                  </w:r>
                  <w:r>
                    <w:rPr>
                      <w:vertAlign w:val="superscript"/>
                    </w:rPr>
                    <w:t>-1</w:t>
                  </w:r>
                  <w:r>
                    <w:rPr>
                      <w:vertAlign w:val="baseline"/>
                    </w:rPr>
                    <w:t>. At the beginning of the inventory calculation period (i.e. 20 yrs earlier) the distribution of grassland systems was 500,000 ha of unmanaged native grassland, 400,000 ha of unimproved, moderately degraded grazing land and 100,000 ha of heavily degraded grassland. Thus initial soil carbon stocks for the area were: 500,000 ha ● (47 tonnes C ha</w:t>
                  </w:r>
                  <w:r>
                    <w:rPr>
                      <w:vertAlign w:val="superscript"/>
                    </w:rPr>
                    <w:t>-1</w:t>
                  </w:r>
                  <w:r>
                    <w:rPr>
                      <w:vertAlign w:val="baseline"/>
                    </w:rPr>
                    <w:t> ● 1 ● 1 ● 1) + 400,000 ha ● (47 tonnes C ha</w:t>
                  </w:r>
                  <w:r>
                    <w:rPr>
                      <w:vertAlign w:val="superscript"/>
                    </w:rPr>
                    <w:t>-1</w:t>
                  </w:r>
                  <w:r>
                    <w:rPr>
                      <w:vertAlign w:val="baseline"/>
                    </w:rPr>
                    <w:t> ● 1 ● 0.97 ● 1) + 100,000 ha ● (47 tonnes C ha</w:t>
                  </w:r>
                  <w:r>
                    <w:rPr>
                      <w:vertAlign w:val="superscript"/>
                    </w:rPr>
                    <w:t>-1</w:t>
                  </w:r>
                  <w:r>
                    <w:rPr>
                      <w:vertAlign w:val="baseline"/>
                    </w:rPr>
                    <w:t> ● 1 ● 0.7 ● 1) =</w:t>
                  </w:r>
                </w:p>
                <w:p>
                  <w:pPr>
                    <w:pStyle w:val="BodyText"/>
                    <w:spacing w:before="1"/>
                    <w:ind w:left="127" w:right="119"/>
                    <w:jc w:val="both"/>
                  </w:pPr>
                  <w:r>
                    <w:rPr/>
                    <w:t>45.026 million tonnes C. In the (current) inventory year, there are: 300,000 ha of unmanaged native grassland, 300,000 ha of unimproved, moderately degraded grazing land, 200,000 ha of heavily degraded grassland, 100,000 ha of improved pasture receiving fertiliser, and 100,000 ha of highly improved pasture receiving fertiliser together with irrigation. Thus total soil carbon stocks in the inventory year are: 300,000 ha ● (47 tonnes C ha</w:t>
                  </w:r>
                  <w:r>
                    <w:rPr>
                      <w:vertAlign w:val="superscript"/>
                    </w:rPr>
                    <w:t>-1</w:t>
                  </w:r>
                  <w:r>
                    <w:rPr>
                      <w:vertAlign w:val="baseline"/>
                    </w:rPr>
                    <w:t> ● 1 ● 1 ● 1) + 300,000 ha ● (47 tonnes C ha</w:t>
                  </w:r>
                  <w:r>
                    <w:rPr>
                      <w:vertAlign w:val="superscript"/>
                    </w:rPr>
                    <w:t>-1</w:t>
                  </w:r>
                  <w:r>
                    <w:rPr>
                      <w:vertAlign w:val="baseline"/>
                    </w:rPr>
                    <w:t> ● 1 ● 0.97 ● 1) + 200,000 ha ● (47 tonnes C ha</w:t>
                  </w:r>
                  <w:r>
                    <w:rPr>
                      <w:vertAlign w:val="superscript"/>
                    </w:rPr>
                    <w:t>-1</w:t>
                  </w:r>
                  <w:r>
                    <w:rPr>
                      <w:vertAlign w:val="baseline"/>
                    </w:rPr>
                    <w:t> ● 1 ● 0.7 ● 1) + 100,000 ha ● (47 tonnes C ha</w:t>
                  </w:r>
                  <w:r>
                    <w:rPr>
                      <w:vertAlign w:val="superscript"/>
                    </w:rPr>
                    <w:t>-1</w:t>
                  </w:r>
                  <w:r>
                    <w:rPr>
                      <w:vertAlign w:val="baseline"/>
                    </w:rPr>
                    <w:t> ● 1 ● 1.17 ● 1) + 100,000 ha ● (47 tonnes C ha</w:t>
                  </w:r>
                  <w:r>
                    <w:rPr>
                      <w:vertAlign w:val="superscript"/>
                    </w:rPr>
                    <w:t>-1</w:t>
                  </w:r>
                  <w:r>
                    <w:rPr>
                      <w:vertAlign w:val="baseline"/>
                    </w:rPr>
                    <w:t> ● 1 ● </w:t>
                  </w:r>
                  <w:r>
                    <w:rPr>
                      <w:spacing w:val="-6"/>
                      <w:vertAlign w:val="baseline"/>
                    </w:rPr>
                    <w:t>1.17 </w:t>
                  </w:r>
                  <w:r>
                    <w:rPr>
                      <w:vertAlign w:val="baseline"/>
                    </w:rPr>
                    <w:t>● </w:t>
                  </w:r>
                  <w:r>
                    <w:rPr>
                      <w:spacing w:val="-5"/>
                      <w:vertAlign w:val="baseline"/>
                    </w:rPr>
                    <w:t>1.11) </w:t>
                  </w:r>
                  <w:r>
                    <w:rPr>
                      <w:vertAlign w:val="baseline"/>
                    </w:rPr>
                    <w:t>= 45.960 million tonnes C. The average annual stock change over the period for the entire area is: (45.960 – 45.026) million tonnes C/20 yr = 0.934 million tonnes/20 yr = 46,695 tonnes per year soil C stock</w:t>
                  </w:r>
                  <w:r>
                    <w:rPr>
                      <w:spacing w:val="-16"/>
                      <w:vertAlign w:val="baseline"/>
                    </w:rPr>
                    <w:t> </w:t>
                  </w:r>
                  <w:r>
                    <w:rPr>
                      <w:vertAlign w:val="baseline"/>
                    </w:rPr>
                    <w:t>increase.</w:t>
                  </w:r>
                </w:p>
              </w:txbxContent>
            </v:textbox>
            <v:stroke dashstyle="solid"/>
            <w10:wrap type="topAndBottom"/>
          </v:shape>
        </w:pict>
      </w:r>
      <w:r>
        <w:rPr>
          <w:i/>
        </w:rPr>
        <w:t>c </w:t>
      </w:r>
      <w:r>
        <w:rPr/>
        <w:t>represents the climate zones, </w:t>
      </w:r>
      <w:r>
        <w:rPr>
          <w:i/>
        </w:rPr>
        <w:t>s </w:t>
      </w:r>
      <w:r>
        <w:rPr/>
        <w:t>the soil types, and </w:t>
      </w:r>
      <w:r>
        <w:rPr>
          <w:i/>
        </w:rPr>
        <w:t>i </w:t>
      </w:r>
      <w:r>
        <w:rPr/>
        <w:t>the set of major grassland types that are present in a country.</w:t>
      </w:r>
    </w:p>
    <w:p>
      <w:pPr>
        <w:pStyle w:val="BodyText"/>
        <w:spacing w:before="83"/>
        <w:ind w:left="219" w:right="265"/>
        <w:jc w:val="both"/>
      </w:pPr>
      <w:r>
        <w:rPr>
          <w:b/>
        </w:rPr>
        <w:t>Tier 2: </w:t>
      </w:r>
      <w:r>
        <w:rPr/>
        <w:t>For Tier 2, the same basic equations as in Tier 1 are used but country-specific values for reference carbon stocks and/or stock change factors are used. In addition, Tier 2 approaches will likely involve a more detailed stratification of management systems if sufficient data are</w:t>
      </w:r>
      <w:r>
        <w:rPr>
          <w:spacing w:val="-3"/>
        </w:rPr>
        <w:t> </w:t>
      </w:r>
      <w:r>
        <w:rPr/>
        <w:t>available.</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5"/>
        <w:jc w:val="both"/>
      </w:pPr>
      <w:r>
        <w:rPr>
          <w:b/>
        </w:rPr>
        <w:t>Tier 3: </w:t>
      </w:r>
      <w:r>
        <w:rPr/>
        <w:t>Tier 3 approaches, using a combination of dynamic models along with detailed soil C emission/stock change inventory measurements, will likely not employ simple stock change or emission factors </w:t>
      </w:r>
      <w:r>
        <w:rPr>
          <w:i/>
        </w:rPr>
        <w:t>per se</w:t>
      </w:r>
      <w:r>
        <w:rPr/>
        <w:t>. Estimates of emissions using model-based approaches derive from the interaction of multiple equations that estimate the net change of soil C stocks within the models. A variety of models designed to simulate soil carbon dynamics exist (for example, see reviews by McGill </w:t>
      </w:r>
      <w:r>
        <w:rPr>
          <w:i/>
        </w:rPr>
        <w:t>et al.</w:t>
      </w:r>
      <w:r>
        <w:rPr/>
        <w:t>, 1996; Smith </w:t>
      </w:r>
      <w:r>
        <w:rPr>
          <w:i/>
        </w:rPr>
        <w:t>et al.</w:t>
      </w:r>
      <w:r>
        <w:rPr/>
        <w:t>,</w:t>
      </w:r>
      <w:r>
        <w:rPr>
          <w:spacing w:val="-13"/>
        </w:rPr>
        <w:t> </w:t>
      </w:r>
      <w:r>
        <w:rPr/>
        <w:t>1997).</w:t>
      </w:r>
    </w:p>
    <w:p>
      <w:pPr>
        <w:pStyle w:val="BodyText"/>
        <w:spacing w:before="122"/>
        <w:ind w:left="219" w:right="264"/>
        <w:jc w:val="both"/>
      </w:pPr>
      <w:r>
        <w:rPr/>
        <w:t>Key criteria in selecting an appropriate model are that the model is capable of representing all of the management practices that are represented and that model inputs (i.e. driving variables) are compatible with the availability of country-wide input data. It is critical that the model be validated with independent observations from country or region-specific field locations that are representatives of the variability of climate, soil and management systems in the country. Examples of appropriate validation data sets include long-term grassland experiments (e.g. Conant </w:t>
      </w:r>
      <w:r>
        <w:rPr>
          <w:i/>
        </w:rPr>
        <w:t>et al.</w:t>
      </w:r>
      <w:r>
        <w:rPr/>
        <w:t>, 2001) or long-term measurements of ecosystem carbon flux for grassland systems, using techniques such as eddy covariance (Baldocchi </w:t>
      </w:r>
      <w:r>
        <w:rPr>
          <w:i/>
        </w:rPr>
        <w:t>et al.</w:t>
      </w:r>
      <w:r>
        <w:rPr/>
        <w:t>, 2001). Ideally, an inventory system of permanent, statistically representative grassland plots, that include major climatic regions, soil types, and management systems and system changes, would be established where repeated measures of soil carbon stocks could be made over time. Recommended re-sampling frequencies in most cases should not be less than 3 to 5 years (IPCC, 2000b). Where possible, measurements of soil carbon stocks should be made on an equivalent mass basis (e.g. Ellert </w:t>
      </w:r>
      <w:r>
        <w:rPr>
          <w:i/>
        </w:rPr>
        <w:t>et al.</w:t>
      </w:r>
      <w:r>
        <w:rPr/>
        <w:t>, 2001). Procedures should be implemented to minimize the influence of spatial variability with repeated sampling over time (e.g. Conant and Paustian, 2002a). Such inventory measurements could be integrated with a process model-based</w:t>
      </w:r>
      <w:r>
        <w:rPr>
          <w:spacing w:val="6"/>
        </w:rPr>
        <w:t> </w:t>
      </w:r>
      <w:r>
        <w:rPr/>
        <w:t>methodology.</w:t>
      </w:r>
    </w:p>
    <w:p>
      <w:pPr>
        <w:spacing w:before="124"/>
        <w:ind w:left="219" w:right="0" w:firstLine="0"/>
        <w:jc w:val="left"/>
        <w:rPr>
          <w:rFonts w:ascii="TimesNewRomanPS-BoldItalicMT"/>
          <w:b/>
          <w:i/>
          <w:sz w:val="20"/>
        </w:rPr>
      </w:pPr>
      <w:r>
        <w:rPr>
          <w:rFonts w:ascii="TimesNewRomanPS-BoldItalicMT"/>
          <w:b/>
          <w:i/>
          <w:sz w:val="20"/>
        </w:rPr>
        <w:t>Organic Soils</w:t>
      </w:r>
    </w:p>
    <w:p>
      <w:pPr>
        <w:pStyle w:val="BodyText"/>
        <w:spacing w:before="115"/>
        <w:ind w:left="219" w:right="263"/>
        <w:jc w:val="both"/>
      </w:pPr>
      <w:r>
        <w:rPr/>
        <w:t>The methodology for estimating carbon stock change in organic soils used for managed grassland is to assign an annual loss rate of C due to the drainage and other management perturbations in adapting these soils to managed grassland </w:t>
      </w:r>
      <w:r>
        <w:rPr>
          <w:vertAlign w:val="superscript"/>
        </w:rPr>
        <w:t>2</w:t>
      </w:r>
      <w:r>
        <w:rPr>
          <w:vertAlign w:val="baseline"/>
        </w:rPr>
        <w:t>. Drainage and pasture management practices stimulate the oxidation of organic matter previously built up under a largely anoxic environment (although emission rates are lower than under annual cropland use where repeated tillage further stimulates decomposition). The area of grassland organic soils under each climate type</w:t>
      </w:r>
      <w:r>
        <w:rPr>
          <w:spacing w:val="26"/>
          <w:vertAlign w:val="baseline"/>
        </w:rPr>
        <w:t> </w:t>
      </w:r>
      <w:r>
        <w:rPr>
          <w:vertAlign w:val="baseline"/>
        </w:rPr>
        <w:t>is</w:t>
      </w:r>
      <w:r>
        <w:rPr>
          <w:spacing w:val="29"/>
          <w:vertAlign w:val="baseline"/>
        </w:rPr>
        <w:t> </w:t>
      </w:r>
      <w:r>
        <w:rPr>
          <w:vertAlign w:val="baseline"/>
        </w:rPr>
        <w:t>multiplied</w:t>
      </w:r>
      <w:r>
        <w:rPr>
          <w:spacing w:val="27"/>
          <w:vertAlign w:val="baseline"/>
        </w:rPr>
        <w:t> </w:t>
      </w:r>
      <w:r>
        <w:rPr>
          <w:vertAlign w:val="baseline"/>
        </w:rPr>
        <w:t>by</w:t>
      </w:r>
      <w:r>
        <w:rPr>
          <w:spacing w:val="23"/>
          <w:vertAlign w:val="baseline"/>
        </w:rPr>
        <w:t> </w:t>
      </w:r>
      <w:r>
        <w:rPr>
          <w:vertAlign w:val="baseline"/>
        </w:rPr>
        <w:t>the</w:t>
      </w:r>
      <w:r>
        <w:rPr>
          <w:spacing w:val="27"/>
          <w:vertAlign w:val="baseline"/>
        </w:rPr>
        <w:t> </w:t>
      </w:r>
      <w:r>
        <w:rPr>
          <w:vertAlign w:val="baseline"/>
        </w:rPr>
        <w:t>emission</w:t>
      </w:r>
      <w:r>
        <w:rPr>
          <w:spacing w:val="27"/>
          <w:vertAlign w:val="baseline"/>
        </w:rPr>
        <w:t> </w:t>
      </w:r>
      <w:r>
        <w:rPr>
          <w:vertAlign w:val="baseline"/>
        </w:rPr>
        <w:t>factor</w:t>
      </w:r>
      <w:r>
        <w:rPr>
          <w:spacing w:val="28"/>
          <w:vertAlign w:val="baseline"/>
        </w:rPr>
        <w:t> </w:t>
      </w:r>
      <w:r>
        <w:rPr>
          <w:vertAlign w:val="baseline"/>
        </w:rPr>
        <w:t>to</w:t>
      </w:r>
      <w:r>
        <w:rPr>
          <w:spacing w:val="25"/>
          <w:vertAlign w:val="baseline"/>
        </w:rPr>
        <w:t> </w:t>
      </w:r>
      <w:r>
        <w:rPr>
          <w:vertAlign w:val="baseline"/>
        </w:rPr>
        <w:t>derive</w:t>
      </w:r>
      <w:r>
        <w:rPr>
          <w:spacing w:val="27"/>
          <w:vertAlign w:val="baseline"/>
        </w:rPr>
        <w:t> </w:t>
      </w:r>
      <w:r>
        <w:rPr>
          <w:vertAlign w:val="baseline"/>
        </w:rPr>
        <w:t>an</w:t>
      </w:r>
      <w:r>
        <w:rPr>
          <w:spacing w:val="26"/>
          <w:vertAlign w:val="baseline"/>
        </w:rPr>
        <w:t> </w:t>
      </w:r>
      <w:r>
        <w:rPr>
          <w:vertAlign w:val="baseline"/>
        </w:rPr>
        <w:t>estimate</w:t>
      </w:r>
      <w:r>
        <w:rPr>
          <w:spacing w:val="26"/>
          <w:vertAlign w:val="baseline"/>
        </w:rPr>
        <w:t> </w:t>
      </w:r>
      <w:r>
        <w:rPr>
          <w:vertAlign w:val="baseline"/>
        </w:rPr>
        <w:t>of</w:t>
      </w:r>
      <w:r>
        <w:rPr>
          <w:spacing w:val="25"/>
          <w:vertAlign w:val="baseline"/>
        </w:rPr>
        <w:t> </w:t>
      </w:r>
      <w:r>
        <w:rPr>
          <w:vertAlign w:val="baseline"/>
        </w:rPr>
        <w:t>annual</w:t>
      </w:r>
      <w:r>
        <w:rPr>
          <w:spacing w:val="27"/>
          <w:vertAlign w:val="baseline"/>
        </w:rPr>
        <w:t> </w:t>
      </w:r>
      <w:r>
        <w:rPr>
          <w:vertAlign w:val="baseline"/>
        </w:rPr>
        <w:t>C</w:t>
      </w:r>
      <w:r>
        <w:rPr>
          <w:spacing w:val="26"/>
          <w:vertAlign w:val="baseline"/>
        </w:rPr>
        <w:t> </w:t>
      </w:r>
      <w:r>
        <w:rPr>
          <w:vertAlign w:val="baseline"/>
        </w:rPr>
        <w:t>emissions,</w:t>
      </w:r>
      <w:r>
        <w:rPr>
          <w:spacing w:val="27"/>
          <w:vertAlign w:val="baseline"/>
        </w:rPr>
        <w:t> </w:t>
      </w:r>
      <w:r>
        <w:rPr>
          <w:vertAlign w:val="baseline"/>
        </w:rPr>
        <w:t>as</w:t>
      </w:r>
      <w:r>
        <w:rPr>
          <w:spacing w:val="27"/>
          <w:vertAlign w:val="baseline"/>
        </w:rPr>
        <w:t> </w:t>
      </w:r>
      <w:r>
        <w:rPr>
          <w:vertAlign w:val="baseline"/>
        </w:rPr>
        <w:t>shown</w:t>
      </w:r>
      <w:r>
        <w:rPr>
          <w:spacing w:val="25"/>
          <w:vertAlign w:val="baseline"/>
        </w:rPr>
        <w:t> </w:t>
      </w:r>
      <w:r>
        <w:rPr>
          <w:vertAlign w:val="baseline"/>
        </w:rPr>
        <w:t>in</w:t>
      </w:r>
      <w:r>
        <w:rPr>
          <w:spacing w:val="26"/>
          <w:vertAlign w:val="baseline"/>
        </w:rPr>
        <w:t> </w:t>
      </w:r>
      <w:r>
        <w:rPr>
          <w:vertAlign w:val="baseline"/>
        </w:rPr>
        <w:t>Equation</w:t>
      </w:r>
    </w:p>
    <w:p>
      <w:pPr>
        <w:pStyle w:val="BodyText"/>
        <w:ind w:left="219"/>
        <w:jc w:val="both"/>
      </w:pPr>
      <w:r>
        <w:rPr/>
        <w:t>3.4.10 below:</w:t>
      </w:r>
    </w:p>
    <w:p>
      <w:pPr>
        <w:pStyle w:val="BodyText"/>
        <w:spacing w:before="11"/>
        <w:rPr>
          <w:sz w:val="9"/>
        </w:rPr>
      </w:pPr>
      <w:r>
        <w:rPr/>
        <w:pict>
          <v:group style="position:absolute;margin-left:91.240997pt;margin-top:8.433223pt;width:412.95pt;height:55.1pt;mso-position-horizontal-relative:page;mso-position-vertical-relative:paragraph;z-index:9968;mso-wrap-distance-left:0;mso-wrap-distance-right:0" coordorigin="1825,169" coordsize="8259,1102">
            <v:line style="position:absolute" from="1854,183" to="10054,183" stroked="true" strokeweight="1.44pt" strokecolor="#000000">
              <v:stroke dashstyle="solid"/>
            </v:line>
            <v:line style="position:absolute" from="1854,1256" to="10054,1256" stroked="true" strokeweight="1.44pt" strokecolor="#000000">
              <v:stroke dashstyle="solid"/>
            </v:line>
            <v:line style="position:absolute" from="1839,169" to="1839,1270" stroked="true" strokeweight="1.44pt" strokecolor="#000000">
              <v:stroke dashstyle="solid"/>
            </v:line>
            <v:line style="position:absolute" from="10069,169" to="10069,1270" stroked="true" strokeweight="1.44pt" strokecolor="#000000">
              <v:stroke dashstyle="solid"/>
            </v:line>
            <v:shape style="position:absolute;left:5763;top:857;width:1259;height:237" type="#_x0000_t202" filled="false" stroked="false">
              <v:textbox inset="0,0,0,0">
                <w:txbxContent>
                  <w:p>
                    <w:pPr>
                      <w:spacing w:line="221" w:lineRule="exact" w:before="0"/>
                      <w:ind w:left="0" w:right="0" w:firstLine="0"/>
                      <w:jc w:val="left"/>
                      <w:rPr>
                        <w:i/>
                        <w:sz w:val="20"/>
                      </w:rPr>
                    </w:pPr>
                    <w:r>
                      <w:rPr>
                        <w:sz w:val="20"/>
                      </w:rPr>
                      <w:t>= </w:t>
                    </w:r>
                    <w:r>
                      <w:rPr>
                        <w:rFonts w:ascii="Arial" w:hAnsi="Arial"/>
                        <w:sz w:val="20"/>
                      </w:rPr>
                      <w:t>∑</w:t>
                    </w:r>
                    <w:r>
                      <w:rPr>
                        <w:i/>
                        <w:sz w:val="20"/>
                        <w:vertAlign w:val="subscript"/>
                      </w:rPr>
                      <w:t>c</w:t>
                    </w:r>
                    <w:r>
                      <w:rPr>
                        <w:i/>
                        <w:sz w:val="20"/>
                        <w:vertAlign w:val="baseline"/>
                      </w:rPr>
                      <w:t> </w:t>
                    </w:r>
                    <w:r>
                      <w:rPr>
                        <w:sz w:val="20"/>
                        <w:vertAlign w:val="baseline"/>
                      </w:rPr>
                      <w:t>(A ● EF) </w:t>
                    </w:r>
                    <w:r>
                      <w:rPr>
                        <w:i/>
                        <w:sz w:val="20"/>
                        <w:vertAlign w:val="subscript"/>
                      </w:rPr>
                      <w:t>c</w:t>
                    </w:r>
                  </w:p>
                </w:txbxContent>
              </v:textbox>
              <w10:wrap type="none"/>
            </v:shape>
            <v:shape style="position:absolute;left:5345;top:1010;width:438;height:144" type="#_x0000_t202" filled="false" stroked="false">
              <v:textbox inset="0,0,0,0">
                <w:txbxContent>
                  <w:p>
                    <w:pPr>
                      <w:spacing w:line="144" w:lineRule="exact" w:before="0"/>
                      <w:ind w:left="0" w:right="0" w:firstLine="0"/>
                      <w:jc w:val="left"/>
                      <w:rPr>
                        <w:sz w:val="13"/>
                      </w:rPr>
                    </w:pPr>
                    <w:r>
                      <w:rPr>
                        <w:sz w:val="13"/>
                      </w:rPr>
                      <w:t>Organic</w:t>
                    </w:r>
                  </w:p>
                </w:txbxContent>
              </v:textbox>
              <w10:wrap type="none"/>
            </v:shape>
            <v:shape style="position:absolute;left:4904;top:833;width:462;height:261" type="#_x0000_t202" filled="false" stroked="false">
              <v:textbox inset="0,0,0,0">
                <w:txbxContent>
                  <w:p>
                    <w:pPr>
                      <w:spacing w:line="246" w:lineRule="exact" w:before="14"/>
                      <w:ind w:left="0" w:right="0" w:firstLine="0"/>
                      <w:jc w:val="left"/>
                      <w:rPr>
                        <w:sz w:val="20"/>
                      </w:rPr>
                    </w:pPr>
                    <w:r>
                      <w:rPr>
                        <w:rFonts w:ascii="Symbol" w:hAnsi="Symbol"/>
                        <w:w w:val="101"/>
                        <w:sz w:val="20"/>
                      </w:rPr>
                      <w:t>∆</w:t>
                    </w:r>
                    <w:r>
                      <w:rPr>
                        <w:spacing w:val="-1"/>
                        <w:w w:val="99"/>
                        <w:sz w:val="20"/>
                      </w:rPr>
                      <w:t>C</w:t>
                    </w:r>
                    <w:r>
                      <w:rPr>
                        <w:w w:val="99"/>
                        <w:sz w:val="20"/>
                        <w:vertAlign w:val="subscript"/>
                      </w:rPr>
                      <w:t>GG</w:t>
                    </w:r>
                  </w:p>
                </w:txbxContent>
              </v:textbox>
              <w10:wrap type="none"/>
            </v:shape>
            <v:shape style="position:absolute;left:2187;top:305;width:7554;height:465" type="#_x0000_t202" filled="false" stroked="false">
              <v:textbox inset="0,0,0,0">
                <w:txbxContent>
                  <w:p>
                    <w:pPr>
                      <w:spacing w:line="220" w:lineRule="exact" w:before="0"/>
                      <w:ind w:left="3027" w:right="3048" w:firstLine="0"/>
                      <w:jc w:val="center"/>
                      <w:rPr>
                        <w:b/>
                        <w:sz w:val="20"/>
                      </w:rPr>
                    </w:pPr>
                    <w:r>
                      <w:rPr>
                        <w:b/>
                        <w:sz w:val="20"/>
                      </w:rPr>
                      <w:t>E</w:t>
                    </w:r>
                    <w:r>
                      <w:rPr>
                        <w:b/>
                        <w:sz w:val="16"/>
                      </w:rPr>
                      <w:t>QUATION </w:t>
                    </w:r>
                    <w:r>
                      <w:rPr>
                        <w:b/>
                        <w:sz w:val="20"/>
                      </w:rPr>
                      <w:t>3.4.10</w:t>
                    </w:r>
                  </w:p>
                  <w:p>
                    <w:pPr>
                      <w:spacing w:line="229" w:lineRule="exact" w:before="0"/>
                      <w:ind w:left="-1" w:right="18" w:firstLine="0"/>
                      <w:jc w:val="center"/>
                      <w:rPr>
                        <w:b/>
                        <w:sz w:val="16"/>
                      </w:rPr>
                    </w:pPr>
                    <w:r>
                      <w:rPr>
                        <w:b/>
                        <w:sz w:val="20"/>
                      </w:rPr>
                      <w:t>CO</w:t>
                    </w:r>
                    <w:r>
                      <w:rPr>
                        <w:b/>
                        <w:sz w:val="20"/>
                        <w:vertAlign w:val="subscript"/>
                      </w:rPr>
                      <w:t>2</w:t>
                    </w:r>
                    <w:r>
                      <w:rPr>
                        <w:b/>
                        <w:spacing w:val="-38"/>
                        <w:sz w:val="20"/>
                        <w:vertAlign w:val="baseline"/>
                      </w:rPr>
                      <w:t> </w:t>
                    </w:r>
                    <w:r>
                      <w:rPr>
                        <w:b/>
                        <w:sz w:val="16"/>
                        <w:vertAlign w:val="baseline"/>
                      </w:rPr>
                      <w:t>EMISSIONS FROM CULTIVATED ORGANIC SOILS IN GRASSLAND REMAINING GRASSLAND</w:t>
                    </w:r>
                  </w:p>
                </w:txbxContent>
              </v:textbox>
              <w10:wrap type="none"/>
            </v:shape>
            <w10:wrap type="topAndBottom"/>
          </v:group>
        </w:pict>
      </w:r>
    </w:p>
    <w:p>
      <w:pPr>
        <w:pStyle w:val="BodyText"/>
        <w:spacing w:line="220" w:lineRule="exact"/>
        <w:ind w:left="219"/>
        <w:jc w:val="both"/>
      </w:pPr>
      <w:r>
        <w:rPr/>
        <w:t>Where:</w:t>
      </w:r>
    </w:p>
    <w:p>
      <w:pPr>
        <w:pStyle w:val="BodyText"/>
        <w:tabs>
          <w:tab w:pos="1644" w:val="left" w:leader="none"/>
        </w:tabs>
        <w:spacing w:line="193" w:lineRule="exact" w:before="135"/>
        <w:ind w:left="908"/>
      </w:pPr>
      <w:r>
        <w:rPr/>
        <w:pict>
          <v:shape style="position:absolute;margin-left:99.280861pt;margin-top:6.026343pt;width:68.3pt;height:13.05pt;mso-position-horizontal-relative:page;mso-position-vertical-relative:paragraph;z-index:-2444104" type="#_x0000_t202" filled="false" stroked="false">
            <v:textbox inset="0,0,0,0">
              <w:txbxContent>
                <w:p>
                  <w:pPr>
                    <w:tabs>
                      <w:tab w:pos="1300" w:val="left" w:leader="none"/>
                    </w:tabs>
                    <w:spacing w:line="223" w:lineRule="exact" w:before="37"/>
                    <w:ind w:left="0" w:right="0" w:firstLine="0"/>
                    <w:jc w:val="left"/>
                    <w:rPr>
                      <w:sz w:val="13"/>
                    </w:rPr>
                  </w:pPr>
                  <w:r>
                    <w:rPr>
                      <w:rFonts w:ascii="Symbol" w:hAnsi="Symbol"/>
                      <w:position w:val="3"/>
                      <w:sz w:val="20"/>
                    </w:rPr>
                    <w:t>∆ </w:t>
                  </w:r>
                  <w:r>
                    <w:rPr>
                      <w:rFonts w:ascii="Symbol" w:hAnsi="Symbol"/>
                      <w:spacing w:val="33"/>
                      <w:position w:val="3"/>
                      <w:sz w:val="20"/>
                    </w:rPr>
                    <w:t> </w:t>
                  </w:r>
                  <w:r>
                    <w:rPr>
                      <w:sz w:val="13"/>
                    </w:rPr>
                    <w:t>GG</w:t>
                    <w:tab/>
                  </w:r>
                  <w:r>
                    <w:rPr>
                      <w:spacing w:val="-20"/>
                      <w:sz w:val="13"/>
                    </w:rPr>
                    <w:t>2</w:t>
                  </w:r>
                </w:p>
              </w:txbxContent>
            </v:textbox>
            <w10:wrap type="none"/>
          </v:shape>
        </w:pict>
      </w:r>
      <w:r>
        <w:rPr/>
        <w:t>C</w:t>
        <w:tab/>
        <w:t>= CO emissions from cultivated organic soils in grassland remaining grassland, tonnes C</w:t>
      </w:r>
      <w:r>
        <w:rPr>
          <w:spacing w:val="-29"/>
        </w:rPr>
        <w:t> </w:t>
      </w:r>
      <w:r>
        <w:rPr/>
        <w:t>yr</w:t>
      </w:r>
      <w:r>
        <w:rPr>
          <w:vertAlign w:val="superscript"/>
        </w:rPr>
        <w:t>-1</w:t>
      </w:r>
    </w:p>
    <w:p>
      <w:pPr>
        <w:spacing w:line="113" w:lineRule="exact" w:before="0"/>
        <w:ind w:left="1227" w:right="0" w:firstLine="0"/>
        <w:jc w:val="left"/>
        <w:rPr>
          <w:sz w:val="13"/>
        </w:rPr>
      </w:pPr>
      <w:r>
        <w:rPr>
          <w:sz w:val="13"/>
        </w:rPr>
        <w:t>Organic</w:t>
      </w:r>
    </w:p>
    <w:p>
      <w:pPr>
        <w:pStyle w:val="BodyText"/>
        <w:spacing w:before="104"/>
        <w:ind w:left="785"/>
      </w:pPr>
      <w:r>
        <w:rPr/>
        <w:t>A = land area of organic soils in climate type </w:t>
      </w:r>
      <w:r>
        <w:rPr>
          <w:i/>
        </w:rPr>
        <w:t>c</w:t>
      </w:r>
      <w:r>
        <w:rPr/>
        <w:t>, ha</w:t>
      </w:r>
    </w:p>
    <w:p>
      <w:pPr>
        <w:pStyle w:val="BodyText"/>
        <w:spacing w:before="120"/>
        <w:ind w:left="785"/>
      </w:pPr>
      <w:r>
        <w:rPr/>
        <w:t>EF = emission factor for climate type </w:t>
      </w:r>
      <w:r>
        <w:rPr>
          <w:i/>
        </w:rPr>
        <w:t>c </w:t>
      </w:r>
      <w:r>
        <w:rPr/>
        <w:t>(see Table 3.4.6), tonnes C ha</w:t>
      </w:r>
      <w:r>
        <w:rPr>
          <w:vertAlign w:val="superscript"/>
        </w:rPr>
        <w:t>-1</w:t>
      </w:r>
      <w:r>
        <w:rPr>
          <w:vertAlign w:val="baseline"/>
        </w:rPr>
        <w:t> yr</w:t>
      </w:r>
      <w:r>
        <w:rPr>
          <w:vertAlign w:val="superscript"/>
        </w:rPr>
        <w:t>-1</w:t>
      </w:r>
    </w:p>
    <w:p>
      <w:pPr>
        <w:pStyle w:val="BodyText"/>
        <w:rPr>
          <w:sz w:val="24"/>
        </w:rPr>
      </w:pPr>
    </w:p>
    <w:p>
      <w:pPr>
        <w:pStyle w:val="BodyText"/>
        <w:spacing w:before="193"/>
        <w:ind w:left="219" w:right="267"/>
        <w:jc w:val="both"/>
      </w:pPr>
      <w:r>
        <w:rPr>
          <w:b/>
        </w:rPr>
        <w:t>Tier 1: </w:t>
      </w:r>
      <w:r>
        <w:rPr/>
        <w:t>For Tier 1, default emission factors (Table 3.4.6) are used along with area estimates for organic soils under grassland management within each climate region present in the country (Equation 3.4.10). Area estimates can be developed using the guidance in Chapter 2.</w:t>
      </w:r>
    </w:p>
    <w:p>
      <w:pPr>
        <w:pStyle w:val="BodyText"/>
        <w:spacing w:before="121"/>
        <w:ind w:left="219" w:right="265"/>
        <w:jc w:val="both"/>
      </w:pPr>
      <w:r>
        <w:rPr>
          <w:b/>
        </w:rPr>
        <w:t>Tier 2: </w:t>
      </w:r>
      <w:r>
        <w:rPr/>
        <w:t>The Tier 2 approach uses Equation 3.4.10 where emission factors are estimated from country-specific data, stratified by climate region, as described in Section 3.4.1.2.1.2. Area estimates should be developed following the guidance Chapter 2.</w:t>
      </w:r>
    </w:p>
    <w:p>
      <w:pPr>
        <w:pStyle w:val="BodyText"/>
        <w:spacing w:before="119"/>
        <w:ind w:left="219" w:right="269"/>
        <w:jc w:val="both"/>
      </w:pPr>
      <w:r>
        <w:rPr>
          <w:b/>
        </w:rPr>
        <w:t>Tier 3: </w:t>
      </w:r>
      <w:r>
        <w:rPr/>
        <w:t>Tier 3 approaches for organic soils will include more detailed systems integrating dynamic models and measurement networks as described above for mineral soils.</w:t>
      </w:r>
    </w:p>
    <w:p>
      <w:pPr>
        <w:pStyle w:val="BodyText"/>
        <w:spacing w:before="4"/>
        <w:rPr>
          <w:sz w:val="21"/>
        </w:rPr>
      </w:pPr>
    </w:p>
    <w:p>
      <w:pPr>
        <w:pStyle w:val="Heading7"/>
        <w:spacing w:before="1"/>
        <w:jc w:val="left"/>
      </w:pPr>
      <w:r>
        <w:rPr/>
        <w:t>Liming</w:t>
      </w:r>
    </w:p>
    <w:p>
      <w:pPr>
        <w:pStyle w:val="BodyText"/>
        <w:ind w:left="219" w:right="266"/>
        <w:jc w:val="both"/>
      </w:pPr>
      <w:r>
        <w:rPr/>
        <w:t>The </w:t>
      </w:r>
      <w:r>
        <w:rPr>
          <w:i/>
        </w:rPr>
        <w:t>IPCC Guidelines </w:t>
      </w:r>
      <w:r>
        <w:rPr/>
        <w:t>include application of carbonate containing lime (e.g. calcic limestone (CaCO</w:t>
      </w:r>
      <w:r>
        <w:rPr>
          <w:vertAlign w:val="subscript"/>
        </w:rPr>
        <w:t>3</w:t>
      </w:r>
      <w:r>
        <w:rPr>
          <w:vertAlign w:val="baseline"/>
        </w:rPr>
        <w:t>) or dolomite CaMg(CO</w:t>
      </w:r>
      <w:r>
        <w:rPr>
          <w:vertAlign w:val="subscript"/>
        </w:rPr>
        <w:t>3</w:t>
      </w:r>
      <w:r>
        <w:rPr>
          <w:vertAlign w:val="baseline"/>
        </w:rPr>
        <w:t>)</w:t>
      </w:r>
      <w:r>
        <w:rPr>
          <w:vertAlign w:val="subscript"/>
        </w:rPr>
        <w:t>2</w:t>
      </w:r>
      <w:r>
        <w:rPr>
          <w:vertAlign w:val="baseline"/>
        </w:rPr>
        <w:t>) to soils as a source of CO</w:t>
      </w:r>
      <w:r>
        <w:rPr>
          <w:vertAlign w:val="subscript"/>
        </w:rPr>
        <w:t>2</w:t>
      </w:r>
      <w:r>
        <w:rPr>
          <w:vertAlign w:val="baseline"/>
        </w:rPr>
        <w:t> emissions. In humid regions, intensively managed pastures may be periodically limed to reduce soil acidity. A simplified explanation of the process is that when carbonate lime is dissolved in soil, the base cations (Ca</w:t>
      </w:r>
      <w:r>
        <w:rPr>
          <w:vertAlign w:val="superscript"/>
        </w:rPr>
        <w:t>++</w:t>
      </w:r>
      <w:r>
        <w:rPr>
          <w:vertAlign w:val="baseline"/>
        </w:rPr>
        <w:t>, Mg</w:t>
      </w:r>
      <w:r>
        <w:rPr>
          <w:vertAlign w:val="superscript"/>
        </w:rPr>
        <w:t>++</w:t>
      </w:r>
      <w:r>
        <w:rPr>
          <w:vertAlign w:val="baseline"/>
        </w:rPr>
        <w:t>) exchange with hydrogen ions (H</w:t>
      </w:r>
      <w:r>
        <w:rPr>
          <w:vertAlign w:val="superscript"/>
        </w:rPr>
        <w:t>+</w:t>
      </w:r>
      <w:r>
        <w:rPr>
          <w:vertAlign w:val="baseline"/>
        </w:rPr>
        <w:t>) on soil colloids (thereby</w:t>
      </w:r>
      <w:r>
        <w:rPr>
          <w:spacing w:val="9"/>
          <w:vertAlign w:val="baseline"/>
        </w:rPr>
        <w:t> </w:t>
      </w:r>
      <w:r>
        <w:rPr>
          <w:vertAlign w:val="baseline"/>
        </w:rPr>
        <w:t>reducing</w:t>
      </w:r>
      <w:r>
        <w:rPr>
          <w:spacing w:val="13"/>
          <w:vertAlign w:val="baseline"/>
        </w:rPr>
        <w:t> </w:t>
      </w:r>
      <w:r>
        <w:rPr>
          <w:vertAlign w:val="baseline"/>
        </w:rPr>
        <w:t>soil</w:t>
      </w:r>
      <w:r>
        <w:rPr>
          <w:spacing w:val="14"/>
          <w:vertAlign w:val="baseline"/>
        </w:rPr>
        <w:t> </w:t>
      </w:r>
      <w:r>
        <w:rPr>
          <w:vertAlign w:val="baseline"/>
        </w:rPr>
        <w:t>acidity)</w:t>
      </w:r>
      <w:r>
        <w:rPr>
          <w:spacing w:val="14"/>
          <w:vertAlign w:val="baseline"/>
        </w:rPr>
        <w:t> </w:t>
      </w:r>
      <w:r>
        <w:rPr>
          <w:vertAlign w:val="baseline"/>
        </w:rPr>
        <w:t>and</w:t>
      </w:r>
      <w:r>
        <w:rPr>
          <w:spacing w:val="13"/>
          <w:vertAlign w:val="baseline"/>
        </w:rPr>
        <w:t> </w:t>
      </w:r>
      <w:r>
        <w:rPr>
          <w:vertAlign w:val="baseline"/>
        </w:rPr>
        <w:t>the</w:t>
      </w:r>
      <w:r>
        <w:rPr>
          <w:spacing w:val="14"/>
          <w:vertAlign w:val="baseline"/>
        </w:rPr>
        <w:t> </w:t>
      </w:r>
      <w:r>
        <w:rPr>
          <w:vertAlign w:val="baseline"/>
        </w:rPr>
        <w:t>bicarbonate</w:t>
      </w:r>
      <w:r>
        <w:rPr>
          <w:spacing w:val="14"/>
          <w:vertAlign w:val="baseline"/>
        </w:rPr>
        <w:t> </w:t>
      </w:r>
      <w:r>
        <w:rPr>
          <w:vertAlign w:val="baseline"/>
        </w:rPr>
        <w:t>formed</w:t>
      </w:r>
      <w:r>
        <w:rPr>
          <w:spacing w:val="13"/>
          <w:vertAlign w:val="baseline"/>
        </w:rPr>
        <w:t> </w:t>
      </w:r>
      <w:r>
        <w:rPr>
          <w:vertAlign w:val="baseline"/>
        </w:rPr>
        <w:t>(2HCO</w:t>
      </w:r>
      <w:r>
        <w:rPr>
          <w:vertAlign w:val="subscript"/>
        </w:rPr>
        <w:t>3</w:t>
      </w:r>
      <w:r>
        <w:rPr>
          <w:vertAlign w:val="baseline"/>
        </w:rPr>
        <w:t>)</w:t>
      </w:r>
      <w:r>
        <w:rPr>
          <w:spacing w:val="14"/>
          <w:vertAlign w:val="baseline"/>
        </w:rPr>
        <w:t> </w:t>
      </w:r>
      <w:r>
        <w:rPr>
          <w:vertAlign w:val="baseline"/>
        </w:rPr>
        <w:t>can</w:t>
      </w:r>
      <w:r>
        <w:rPr>
          <w:spacing w:val="13"/>
          <w:vertAlign w:val="baseline"/>
        </w:rPr>
        <w:t> </w:t>
      </w:r>
      <w:r>
        <w:rPr>
          <w:vertAlign w:val="baseline"/>
        </w:rPr>
        <w:t>react</w:t>
      </w:r>
      <w:r>
        <w:rPr>
          <w:spacing w:val="13"/>
          <w:vertAlign w:val="baseline"/>
        </w:rPr>
        <w:t> </w:t>
      </w:r>
      <w:r>
        <w:rPr>
          <w:vertAlign w:val="baseline"/>
        </w:rPr>
        <w:t>further</w:t>
      </w:r>
      <w:r>
        <w:rPr>
          <w:spacing w:val="14"/>
          <w:vertAlign w:val="baseline"/>
        </w:rPr>
        <w:t> </w:t>
      </w:r>
      <w:r>
        <w:rPr>
          <w:vertAlign w:val="baseline"/>
        </w:rPr>
        <w:t>to</w:t>
      </w:r>
      <w:r>
        <w:rPr>
          <w:spacing w:val="14"/>
          <w:vertAlign w:val="baseline"/>
        </w:rPr>
        <w:t> </w:t>
      </w:r>
      <w:r>
        <w:rPr>
          <w:vertAlign w:val="baseline"/>
        </w:rPr>
        <w:t>evolve</w:t>
      </w:r>
      <w:r>
        <w:rPr>
          <w:spacing w:val="16"/>
          <w:vertAlign w:val="baseline"/>
        </w:rPr>
        <w:t> </w:t>
      </w:r>
      <w:r>
        <w:rPr>
          <w:vertAlign w:val="baseline"/>
        </w:rPr>
        <w:t>CO</w:t>
      </w:r>
      <w:r>
        <w:rPr>
          <w:vertAlign w:val="subscript"/>
        </w:rPr>
        <w:t>2</w:t>
      </w:r>
      <w:r>
        <w:rPr>
          <w:spacing w:val="14"/>
          <w:vertAlign w:val="baseline"/>
        </w:rPr>
        <w:t> </w:t>
      </w:r>
      <w:r>
        <w:rPr>
          <w:vertAlign w:val="baseline"/>
        </w:rPr>
        <w:t>and</w:t>
      </w:r>
      <w:r>
        <w:rPr>
          <w:spacing w:val="17"/>
          <w:vertAlign w:val="baseline"/>
        </w:rPr>
        <w:t> </w:t>
      </w:r>
      <w:r>
        <w:rPr>
          <w:vertAlign w:val="baseline"/>
        </w:rPr>
        <w:t>water</w:t>
      </w:r>
    </w:p>
    <w:p>
      <w:pPr>
        <w:pStyle w:val="BodyText"/>
        <w:spacing w:before="1"/>
        <w:rPr>
          <w:sz w:val="27"/>
        </w:rPr>
      </w:pPr>
      <w:r>
        <w:rPr/>
        <w:pict>
          <v:line style="position:absolute;mso-position-horizontal-relative:page;mso-position-vertical-relative:paragraph;z-index:9992;mso-wrap-distance-left:0;mso-wrap-distance-right:0" from="70.960999pt,17.795378pt" to="214.960999pt,17.795378pt" stroked="true" strokeweight=".48pt" strokecolor="#000000">
            <v:stroke dashstyle="solid"/>
            <w10:wrap type="topAndBottom"/>
          </v:line>
        </w:pict>
      </w:r>
    </w:p>
    <w:p>
      <w:pPr>
        <w:spacing w:before="150"/>
        <w:ind w:left="360" w:right="354" w:hanging="142"/>
        <w:jc w:val="left"/>
        <w:rPr>
          <w:sz w:val="18"/>
        </w:rPr>
      </w:pPr>
      <w:r>
        <w:rPr>
          <w:position w:val="8"/>
          <w:sz w:val="12"/>
        </w:rPr>
        <w:t>2 </w:t>
      </w:r>
      <w:r>
        <w:rPr>
          <w:sz w:val="18"/>
        </w:rPr>
        <w:t>Natural, ‘wetland’ grasslands that may be used for seasonal grazing but have not been artificially drained should not be included in this category.</w:t>
      </w:r>
    </w:p>
    <w:p>
      <w:pPr>
        <w:spacing w:after="0"/>
        <w:jc w:val="left"/>
        <w:rPr>
          <w:sz w:val="18"/>
        </w:rPr>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4"/>
        <w:jc w:val="both"/>
      </w:pPr>
      <w:r>
        <w:rPr/>
        <w:t>(H</w:t>
      </w:r>
      <w:r>
        <w:rPr>
          <w:vertAlign w:val="subscript"/>
        </w:rPr>
        <w:t>2</w:t>
      </w:r>
      <w:r>
        <w:rPr>
          <w:vertAlign w:val="baseline"/>
        </w:rPr>
        <w:t>O). Although the liming effect generally has a duration of a few years (after which lime is again added), depending on climate, soil and management practices, the </w:t>
      </w:r>
      <w:r>
        <w:rPr>
          <w:i/>
          <w:vertAlign w:val="baseline"/>
        </w:rPr>
        <w:t>IPCC Guidelines </w:t>
      </w:r>
      <w:r>
        <w:rPr>
          <w:vertAlign w:val="baseline"/>
        </w:rPr>
        <w:t>account for emission as CO</w:t>
      </w:r>
      <w:r>
        <w:rPr>
          <w:vertAlign w:val="subscript"/>
        </w:rPr>
        <w:t>2</w:t>
      </w:r>
      <w:r>
        <w:rPr>
          <w:vertAlign w:val="baseline"/>
        </w:rPr>
        <w:t> of all the added carbonate carbon in the year of application. Thus the basic methodology is simply the amount of lime applied times an emission factor that varies slightly depending on the composition of the material added.</w:t>
      </w:r>
    </w:p>
    <w:p>
      <w:pPr>
        <w:pStyle w:val="BodyText"/>
        <w:spacing w:before="3"/>
        <w:rPr>
          <w:sz w:val="11"/>
        </w:rPr>
      </w:pPr>
      <w:r>
        <w:rPr/>
        <w:pict>
          <v:shape style="position:absolute;margin-left:91.960999pt;margin-top:9.200762pt;width:411.5pt;height:52.95pt;mso-position-horizontal-relative:page;mso-position-vertical-relative:paragraph;z-index:10040;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3.4.11</w:t>
                  </w:r>
                </w:p>
                <w:p>
                  <w:pPr>
                    <w:spacing w:line="229" w:lineRule="exact" w:before="0"/>
                    <w:ind w:left="67" w:right="68" w:firstLine="0"/>
                    <w:jc w:val="center"/>
                    <w:rPr>
                      <w:b/>
                      <w:sz w:val="16"/>
                    </w:rPr>
                  </w:pPr>
                  <w:r>
                    <w:rPr>
                      <w:b/>
                      <w:sz w:val="20"/>
                    </w:rPr>
                    <w:t>A</w:t>
                  </w:r>
                  <w:r>
                    <w:rPr>
                      <w:b/>
                      <w:sz w:val="16"/>
                    </w:rPr>
                    <w:t>NNUAL CARBON EMISSIONS FROM AGRICULTURAL LIME APPLICATION</w:t>
                  </w:r>
                </w:p>
                <w:p>
                  <w:pPr>
                    <w:spacing w:before="80"/>
                    <w:ind w:left="68" w:right="68" w:firstLine="0"/>
                    <w:jc w:val="center"/>
                    <w:rPr>
                      <w:sz w:val="13"/>
                    </w:rPr>
                  </w:pPr>
                  <w:r>
                    <w:rPr>
                      <w:position w:val="3"/>
                      <w:sz w:val="20"/>
                    </w:rPr>
                    <w:t>∆C</w:t>
                  </w:r>
                  <w:r>
                    <w:rPr>
                      <w:sz w:val="13"/>
                    </w:rPr>
                    <w:t>GG</w:t>
                  </w:r>
                  <w:r>
                    <w:rPr>
                      <w:position w:val="-5"/>
                      <w:sz w:val="13"/>
                    </w:rPr>
                    <w:t>Liming </w:t>
                  </w:r>
                  <w:r>
                    <w:rPr>
                      <w:position w:val="3"/>
                      <w:sz w:val="20"/>
                    </w:rPr>
                    <w:t>= M</w:t>
                  </w:r>
                  <w:r>
                    <w:rPr>
                      <w:sz w:val="13"/>
                    </w:rPr>
                    <w:t>Limestone </w:t>
                  </w:r>
                  <w:r>
                    <w:rPr>
                      <w:position w:val="3"/>
                      <w:sz w:val="20"/>
                    </w:rPr>
                    <w:t>● EF</w:t>
                  </w:r>
                  <w:r>
                    <w:rPr>
                      <w:sz w:val="13"/>
                    </w:rPr>
                    <w:t>Limestone </w:t>
                  </w:r>
                  <w:r>
                    <w:rPr>
                      <w:position w:val="3"/>
                      <w:sz w:val="20"/>
                    </w:rPr>
                    <w:t>+ M</w:t>
                  </w:r>
                  <w:r>
                    <w:rPr>
                      <w:sz w:val="13"/>
                    </w:rPr>
                    <w:t>Dolomite </w:t>
                  </w:r>
                  <w:r>
                    <w:rPr>
                      <w:position w:val="3"/>
                      <w:sz w:val="20"/>
                    </w:rPr>
                    <w:t>● EF</w:t>
                  </w:r>
                  <w:r>
                    <w:rPr>
                      <w:sz w:val="13"/>
                    </w:rPr>
                    <w:t>Dolomite</w:t>
                  </w:r>
                </w:p>
              </w:txbxContent>
            </v:textbox>
            <v:stroke dashstyle="solid"/>
            <w10:wrap type="topAndBottom"/>
          </v:shape>
        </w:pict>
      </w:r>
    </w:p>
    <w:p>
      <w:pPr>
        <w:pStyle w:val="BodyText"/>
        <w:spacing w:before="4"/>
        <w:ind w:left="219"/>
        <w:jc w:val="both"/>
      </w:pPr>
      <w:r>
        <w:rPr/>
        <w:t>Where:</w:t>
      </w:r>
    </w:p>
    <w:p>
      <w:pPr>
        <w:pStyle w:val="BodyText"/>
        <w:tabs>
          <w:tab w:pos="1659" w:val="left" w:leader="none"/>
        </w:tabs>
        <w:spacing w:line="193" w:lineRule="exact" w:before="121"/>
        <w:ind w:left="785"/>
      </w:pPr>
      <w:r>
        <w:rPr/>
        <w:pict>
          <v:shape style="position:absolute;margin-left:112.000603pt;margin-top:11.171856pt;width:9.4pt;height:7.2pt;mso-position-horizontal-relative:page;mso-position-vertical-relative:paragraph;z-index:-2444056" type="#_x0000_t202" filled="false" stroked="false">
            <v:textbox inset="0,0,0,0">
              <w:txbxContent>
                <w:p>
                  <w:pPr>
                    <w:spacing w:line="144" w:lineRule="exact" w:before="0"/>
                    <w:ind w:left="0" w:right="0" w:firstLine="0"/>
                    <w:jc w:val="left"/>
                    <w:rPr>
                      <w:sz w:val="13"/>
                    </w:rPr>
                  </w:pPr>
                  <w:r>
                    <w:rPr>
                      <w:w w:val="95"/>
                      <w:sz w:val="13"/>
                    </w:rPr>
                    <w:t>GG</w:t>
                  </w:r>
                </w:p>
              </w:txbxContent>
            </v:textbox>
            <w10:wrap type="none"/>
          </v:shape>
        </w:pict>
      </w:r>
      <w:r>
        <w:rPr/>
        <w:t>∆C</w:t>
        <w:tab/>
        <w:t>= annual C emissions from agricultural lime application, tonnes C</w:t>
      </w:r>
      <w:r>
        <w:rPr>
          <w:spacing w:val="-5"/>
        </w:rPr>
        <w:t> </w:t>
      </w:r>
      <w:r>
        <w:rPr/>
        <w:t>yr</w:t>
      </w:r>
      <w:r>
        <w:rPr>
          <w:vertAlign w:val="superscript"/>
        </w:rPr>
        <w:t>-1</w:t>
      </w:r>
    </w:p>
    <w:p>
      <w:pPr>
        <w:spacing w:line="113" w:lineRule="exact" w:before="0"/>
        <w:ind w:left="1229" w:right="0" w:firstLine="0"/>
        <w:jc w:val="left"/>
        <w:rPr>
          <w:sz w:val="13"/>
        </w:rPr>
      </w:pPr>
      <w:r>
        <w:rPr>
          <w:sz w:val="13"/>
        </w:rPr>
        <w:t>Liming</w:t>
      </w:r>
    </w:p>
    <w:p>
      <w:pPr>
        <w:pStyle w:val="BodyText"/>
        <w:spacing w:before="104"/>
        <w:ind w:left="785"/>
      </w:pPr>
      <w:r>
        <w:rPr/>
        <w:t>M = annual amount of calcic limestone (CaCO</w:t>
      </w:r>
      <w:r>
        <w:rPr>
          <w:vertAlign w:val="subscript"/>
        </w:rPr>
        <w:t>3</w:t>
      </w:r>
      <w:r>
        <w:rPr>
          <w:vertAlign w:val="baseline"/>
        </w:rPr>
        <w:t>) or dolomite (CaMg(CO</w:t>
      </w:r>
      <w:r>
        <w:rPr>
          <w:vertAlign w:val="subscript"/>
        </w:rPr>
        <w:t>3</w:t>
      </w:r>
      <w:r>
        <w:rPr>
          <w:vertAlign w:val="baseline"/>
        </w:rPr>
        <w:t>)</w:t>
      </w:r>
      <w:r>
        <w:rPr>
          <w:vertAlign w:val="subscript"/>
        </w:rPr>
        <w:t>2</w:t>
      </w:r>
      <w:r>
        <w:rPr>
          <w:vertAlign w:val="baseline"/>
        </w:rPr>
        <w:t>), tonnes yr</w:t>
      </w:r>
      <w:r>
        <w:rPr>
          <w:vertAlign w:val="superscript"/>
        </w:rPr>
        <w:t>-1</w:t>
      </w:r>
    </w:p>
    <w:p>
      <w:pPr>
        <w:pStyle w:val="BodyText"/>
        <w:spacing w:before="120"/>
        <w:ind w:left="1239" w:hanging="454"/>
      </w:pPr>
      <w:r>
        <w:rPr/>
        <w:t>EF = emission factor, tonnes C (tonne limestone or dolomite)</w:t>
      </w:r>
      <w:r>
        <w:rPr>
          <w:vertAlign w:val="superscript"/>
        </w:rPr>
        <w:t>-1</w:t>
      </w:r>
      <w:r>
        <w:rPr>
          <w:vertAlign w:val="baseline"/>
        </w:rPr>
        <w:t> (These are equivalent to carbonate carbon contents of the materials (12% for CaCO</w:t>
      </w:r>
      <w:r>
        <w:rPr>
          <w:vertAlign w:val="subscript"/>
        </w:rPr>
        <w:t>3</w:t>
      </w:r>
      <w:r>
        <w:rPr>
          <w:vertAlign w:val="baseline"/>
        </w:rPr>
        <w:t>, 12.2% for CaMg(CO</w:t>
      </w:r>
      <w:r>
        <w:rPr>
          <w:vertAlign w:val="subscript"/>
        </w:rPr>
        <w:t>3</w:t>
      </w:r>
      <w:r>
        <w:rPr>
          <w:vertAlign w:val="baseline"/>
        </w:rPr>
        <w:t>)</w:t>
      </w:r>
      <w:r>
        <w:rPr>
          <w:vertAlign w:val="subscript"/>
        </w:rPr>
        <w:t>2</w:t>
      </w:r>
      <w:r>
        <w:rPr>
          <w:vertAlign w:val="baseline"/>
        </w:rPr>
        <w:t> ))</w:t>
      </w:r>
    </w:p>
    <w:p>
      <w:pPr>
        <w:pStyle w:val="BodyText"/>
        <w:spacing w:before="119"/>
        <w:ind w:left="219" w:right="264"/>
        <w:jc w:val="both"/>
      </w:pPr>
      <w:r>
        <w:rPr>
          <w:b/>
        </w:rPr>
        <w:t>Tier 1: </w:t>
      </w:r>
      <w:r>
        <w:rPr/>
        <w:t>For Tier 1, the total amount of carbonate containing lime applied annually to grassland soil and an overall emission factor of 0.12 can be used to estimate CO</w:t>
      </w:r>
      <w:r>
        <w:rPr>
          <w:vertAlign w:val="subscript"/>
        </w:rPr>
        <w:t>2</w:t>
      </w:r>
      <w:r>
        <w:rPr>
          <w:vertAlign w:val="baseline"/>
        </w:rPr>
        <w:t> emissions, without differentiating between variable compositions of lime material. Note that while carbonate limes are the dominant liming material used, oxides and hydroxides of lime, which do not contain inorganic carbon, are used to a limited extent for agricultural liming</w:t>
      </w:r>
      <w:r>
        <w:rPr>
          <w:spacing w:val="-4"/>
          <w:vertAlign w:val="baseline"/>
        </w:rPr>
        <w:t> </w:t>
      </w:r>
      <w:r>
        <w:rPr>
          <w:vertAlign w:val="baseline"/>
        </w:rPr>
        <w:t>and</w:t>
      </w:r>
      <w:r>
        <w:rPr>
          <w:spacing w:val="-2"/>
          <w:vertAlign w:val="baseline"/>
        </w:rPr>
        <w:t> </w:t>
      </w:r>
      <w:r>
        <w:rPr>
          <w:vertAlign w:val="baseline"/>
        </w:rPr>
        <w:t>should</w:t>
      </w:r>
      <w:r>
        <w:rPr>
          <w:spacing w:val="-2"/>
          <w:vertAlign w:val="baseline"/>
        </w:rPr>
        <w:t> </w:t>
      </w:r>
      <w:r>
        <w:rPr>
          <w:vertAlign w:val="baseline"/>
        </w:rPr>
        <w:t>not</w:t>
      </w:r>
      <w:r>
        <w:rPr>
          <w:spacing w:val="-3"/>
          <w:vertAlign w:val="baseline"/>
        </w:rPr>
        <w:t> </w:t>
      </w:r>
      <w:r>
        <w:rPr>
          <w:vertAlign w:val="baseline"/>
        </w:rPr>
        <w:t>be</w:t>
      </w:r>
      <w:r>
        <w:rPr>
          <w:spacing w:val="-1"/>
          <w:vertAlign w:val="baseline"/>
        </w:rPr>
        <w:t> </w:t>
      </w:r>
      <w:r>
        <w:rPr>
          <w:vertAlign w:val="baseline"/>
        </w:rPr>
        <w:t>included</w:t>
      </w:r>
      <w:r>
        <w:rPr>
          <w:spacing w:val="-2"/>
          <w:vertAlign w:val="baseline"/>
        </w:rPr>
        <w:t> </w:t>
      </w:r>
      <w:r>
        <w:rPr>
          <w:vertAlign w:val="baseline"/>
        </w:rPr>
        <w:t>here</w:t>
      </w:r>
      <w:r>
        <w:rPr>
          <w:spacing w:val="-2"/>
          <w:vertAlign w:val="baseline"/>
        </w:rPr>
        <w:t> </w:t>
      </w:r>
      <w:r>
        <w:rPr>
          <w:vertAlign w:val="baseline"/>
        </w:rPr>
        <w:t>(CO</w:t>
      </w:r>
      <w:r>
        <w:rPr>
          <w:vertAlign w:val="subscript"/>
        </w:rPr>
        <w:t>2</w:t>
      </w:r>
      <w:r>
        <w:rPr>
          <w:spacing w:val="-3"/>
          <w:vertAlign w:val="baseline"/>
        </w:rPr>
        <w:t> </w:t>
      </w:r>
      <w:r>
        <w:rPr>
          <w:vertAlign w:val="baseline"/>
        </w:rPr>
        <w:t>is</w:t>
      </w:r>
      <w:r>
        <w:rPr>
          <w:spacing w:val="-3"/>
          <w:vertAlign w:val="baseline"/>
        </w:rPr>
        <w:t> </w:t>
      </w:r>
      <w:r>
        <w:rPr>
          <w:vertAlign w:val="baseline"/>
        </w:rPr>
        <w:t>produced</w:t>
      </w:r>
      <w:r>
        <w:rPr>
          <w:spacing w:val="-1"/>
          <w:vertAlign w:val="baseline"/>
        </w:rPr>
        <w:t> </w:t>
      </w:r>
      <w:r>
        <w:rPr>
          <w:vertAlign w:val="baseline"/>
        </w:rPr>
        <w:t>in</w:t>
      </w:r>
      <w:r>
        <w:rPr>
          <w:spacing w:val="-4"/>
          <w:vertAlign w:val="baseline"/>
        </w:rPr>
        <w:t> </w:t>
      </w:r>
      <w:r>
        <w:rPr>
          <w:vertAlign w:val="baseline"/>
        </w:rPr>
        <w:t>their</w:t>
      </w:r>
      <w:r>
        <w:rPr>
          <w:spacing w:val="-1"/>
          <w:vertAlign w:val="baseline"/>
        </w:rPr>
        <w:t> </w:t>
      </w:r>
      <w:r>
        <w:rPr>
          <w:vertAlign w:val="baseline"/>
        </w:rPr>
        <w:t>manufacture</w:t>
      </w:r>
      <w:r>
        <w:rPr>
          <w:spacing w:val="-3"/>
          <w:vertAlign w:val="baseline"/>
        </w:rPr>
        <w:t> </w:t>
      </w:r>
      <w:r>
        <w:rPr>
          <w:vertAlign w:val="baseline"/>
        </w:rPr>
        <w:t>but not</w:t>
      </w:r>
      <w:r>
        <w:rPr>
          <w:spacing w:val="-2"/>
          <w:vertAlign w:val="baseline"/>
        </w:rPr>
        <w:t> </w:t>
      </w:r>
      <w:r>
        <w:rPr>
          <w:vertAlign w:val="baseline"/>
        </w:rPr>
        <w:t>following</w:t>
      </w:r>
      <w:r>
        <w:rPr>
          <w:spacing w:val="-4"/>
          <w:vertAlign w:val="baseline"/>
        </w:rPr>
        <w:t> </w:t>
      </w:r>
      <w:r>
        <w:rPr>
          <w:vertAlign w:val="baseline"/>
        </w:rPr>
        <w:t>soil</w:t>
      </w:r>
      <w:r>
        <w:rPr>
          <w:spacing w:val="-3"/>
          <w:vertAlign w:val="baseline"/>
        </w:rPr>
        <w:t> </w:t>
      </w:r>
      <w:r>
        <w:rPr>
          <w:vertAlign w:val="baseline"/>
        </w:rPr>
        <w:t>application).</w:t>
      </w:r>
    </w:p>
    <w:p>
      <w:pPr>
        <w:pStyle w:val="BodyText"/>
        <w:spacing w:before="120"/>
        <w:ind w:left="219" w:right="263"/>
        <w:jc w:val="both"/>
      </w:pPr>
      <w:r>
        <w:rPr>
          <w:b/>
        </w:rPr>
        <w:t>Tier 2: </w:t>
      </w:r>
      <w:r>
        <w:rPr/>
        <w:t>A Tier 2 approach could entail differentiation of different forms of lime and specific emission factors if data are available, since different carbonate liming materials (limestone as well as other sources such as marl and shell deposits) can vary somewhat in their carbon content and overall purity.</w:t>
      </w:r>
    </w:p>
    <w:p>
      <w:pPr>
        <w:pStyle w:val="BodyText"/>
        <w:spacing w:before="121"/>
        <w:ind w:left="219" w:right="265"/>
        <w:jc w:val="both"/>
      </w:pPr>
      <w:r>
        <w:rPr>
          <w:b/>
        </w:rPr>
        <w:t>Tier 3: </w:t>
      </w:r>
      <w:r>
        <w:rPr/>
        <w:t>A Tier 3 approach could entail a more detailed accounting of emissions stemming from  lime applications than is assumed under Tiers 1 and 2. Depending on climate and soil conditions, biocarbonate derived from lime application may not all be released as CO</w:t>
      </w:r>
      <w:r>
        <w:rPr>
          <w:vertAlign w:val="subscript"/>
        </w:rPr>
        <w:t>2</w:t>
      </w:r>
      <w:r>
        <w:rPr>
          <w:vertAlign w:val="baseline"/>
        </w:rPr>
        <w:t> in the soil or from drainage water – some can be leached and precipitated deeper in the soil profile or be transported to deep groundwater, lakes and oceans and sequestered. If sufficient data and understanding of inorganic carbon transformation for specific climate-soil conditions are available, specific emission factors could be derived. However, such an analysis would likely necessitate including carbon fluxes associated with primary and secondary carbonate minerals in soil and their response to grassland management</w:t>
      </w:r>
      <w:r>
        <w:rPr>
          <w:spacing w:val="2"/>
          <w:vertAlign w:val="baseline"/>
        </w:rPr>
        <w:t> </w:t>
      </w:r>
      <w:r>
        <w:rPr>
          <w:vertAlign w:val="baseline"/>
        </w:rPr>
        <w:t>practices.</w:t>
      </w:r>
    </w:p>
    <w:p>
      <w:pPr>
        <w:pStyle w:val="BodyText"/>
        <w:spacing w:before="4"/>
        <w:rPr>
          <w:sz w:val="21"/>
        </w:rPr>
      </w:pPr>
    </w:p>
    <w:p>
      <w:pPr>
        <w:pStyle w:val="Heading6"/>
        <w:spacing w:before="1"/>
        <w:ind w:left="219"/>
        <w:jc w:val="both"/>
      </w:pPr>
      <w:r>
        <w:rPr/>
        <w:t>3.4.1.2 .1.2 Choice of Emission/Removal Factors</w:t>
      </w:r>
    </w:p>
    <w:p>
      <w:pPr>
        <w:pStyle w:val="Heading7"/>
        <w:spacing w:before="179"/>
      </w:pPr>
      <w:r>
        <w:rPr/>
        <w:t>Mineral soils </w:t>
      </w:r>
    </w:p>
    <w:p>
      <w:pPr>
        <w:pStyle w:val="BodyText"/>
        <w:spacing w:line="235" w:lineRule="auto"/>
        <w:ind w:left="219" w:right="267"/>
        <w:jc w:val="both"/>
      </w:pPr>
      <w:r>
        <w:rPr/>
        <w:t>When using either the Tier 1 or Tier 2 method, the following emission/removal factors are needed for mineral soils: reference carbon stock (SOC</w:t>
      </w:r>
      <w:r>
        <w:rPr>
          <w:position w:val="-2"/>
          <w:sz w:val="10"/>
        </w:rPr>
        <w:t>REF</w:t>
      </w:r>
      <w:r>
        <w:rPr/>
        <w:t>); stock change factor for land-use change (F</w:t>
      </w:r>
      <w:r>
        <w:rPr>
          <w:vertAlign w:val="subscript"/>
        </w:rPr>
        <w:t>LU</w:t>
      </w:r>
      <w:r>
        <w:rPr>
          <w:vertAlign w:val="baseline"/>
        </w:rPr>
        <w:t>); stock change factor for management regime (F</w:t>
      </w:r>
      <w:r>
        <w:rPr>
          <w:vertAlign w:val="subscript"/>
        </w:rPr>
        <w:t>MG</w:t>
      </w:r>
      <w:r>
        <w:rPr>
          <w:vertAlign w:val="baseline"/>
        </w:rPr>
        <w:t>); and factor for input of organic matter (F</w:t>
      </w:r>
      <w:r>
        <w:rPr>
          <w:vertAlign w:val="subscript"/>
        </w:rPr>
        <w:t>I</w:t>
      </w:r>
      <w:r>
        <w:rPr>
          <w:vertAlign w:val="baseline"/>
        </w:rPr>
        <w:t>).</w:t>
      </w:r>
    </w:p>
    <w:p>
      <w:pPr>
        <w:spacing w:before="128"/>
        <w:ind w:left="219" w:right="0" w:firstLine="0"/>
        <w:jc w:val="both"/>
        <w:rPr>
          <w:b/>
          <w:sz w:val="20"/>
        </w:rPr>
      </w:pPr>
      <w:r>
        <w:rPr>
          <w:b/>
          <w:sz w:val="20"/>
        </w:rPr>
        <w:t>Reference carbon stocks (SOC</w:t>
      </w:r>
      <w:r>
        <w:rPr>
          <w:b/>
          <w:position w:val="-2"/>
          <w:sz w:val="10"/>
        </w:rPr>
        <w:t>REF</w:t>
      </w:r>
      <w:r>
        <w:rPr>
          <w:b/>
          <w:sz w:val="20"/>
        </w:rPr>
        <w:t>)</w:t>
      </w:r>
    </w:p>
    <w:p>
      <w:pPr>
        <w:pStyle w:val="BodyText"/>
        <w:spacing w:before="107"/>
        <w:ind w:left="219" w:right="269"/>
        <w:jc w:val="both"/>
      </w:pPr>
      <w:r>
        <w:rPr/>
        <w:t>Soils under native vegetation that have not been subject to significant land use and management impacts are used as a baseline or reference to which management-induced changes in soil carbon can be related.</w:t>
      </w:r>
    </w:p>
    <w:p>
      <w:pPr>
        <w:spacing w:line="234" w:lineRule="exact" w:before="119"/>
        <w:ind w:left="219" w:right="0" w:firstLine="0"/>
        <w:jc w:val="both"/>
        <w:rPr>
          <w:sz w:val="20"/>
        </w:rPr>
      </w:pPr>
      <w:r>
        <w:rPr>
          <w:b/>
          <w:sz w:val="20"/>
        </w:rPr>
        <w:t>Tier 1: </w:t>
      </w:r>
      <w:r>
        <w:rPr>
          <w:sz w:val="20"/>
        </w:rPr>
        <w:t>Under Tier 1, it is </w:t>
      </w:r>
      <w:r>
        <w:rPr>
          <w:i/>
          <w:sz w:val="20"/>
        </w:rPr>
        <w:t>good practice </w:t>
      </w:r>
      <w:r>
        <w:rPr>
          <w:sz w:val="20"/>
        </w:rPr>
        <w:t>to use the default reference carbon stocks (SOC</w:t>
      </w:r>
      <w:r>
        <w:rPr>
          <w:position w:val="-2"/>
          <w:sz w:val="10"/>
        </w:rPr>
        <w:t>REF</w:t>
      </w:r>
      <w:r>
        <w:rPr>
          <w:sz w:val="20"/>
        </w:rPr>
        <w:t>) provided in Table</w:t>
      </w:r>
    </w:p>
    <w:p>
      <w:pPr>
        <w:pStyle w:val="BodyText"/>
        <w:ind w:left="219" w:right="265"/>
        <w:jc w:val="both"/>
      </w:pPr>
      <w:r>
        <w:rPr/>
        <w:t>3.4.4. These are updated from those provided in the </w:t>
      </w:r>
      <w:r>
        <w:rPr>
          <w:i/>
        </w:rPr>
        <w:t>IPCC Guidelines </w:t>
      </w:r>
      <w:r>
        <w:rPr/>
        <w:t>with the following improvements: i) estimates are statistically-derived from recent compilations of soil profiles under native vegetation, ii) ‘Spodic’ soils (defined as boreal and temperate zone podzols in WRB classification, Spodosols in USDA classification) are included as a separate category, iii) soils within the boreal climate region have been included.</w:t>
      </w:r>
    </w:p>
    <w:p>
      <w:pPr>
        <w:pStyle w:val="BodyText"/>
        <w:spacing w:before="115"/>
        <w:ind w:left="219" w:right="260"/>
        <w:jc w:val="both"/>
      </w:pPr>
      <w:r>
        <w:rPr>
          <w:b/>
          <w:spacing w:val="-3"/>
        </w:rPr>
        <w:t>Tier</w:t>
      </w:r>
      <w:r>
        <w:rPr>
          <w:b/>
          <w:spacing w:val="-11"/>
        </w:rPr>
        <w:t> </w:t>
      </w:r>
      <w:r>
        <w:rPr>
          <w:b/>
        </w:rPr>
        <w:t>2:</w:t>
      </w:r>
      <w:r>
        <w:rPr>
          <w:b/>
          <w:spacing w:val="45"/>
        </w:rPr>
        <w:t> </w:t>
      </w:r>
      <w:r>
        <w:rPr/>
        <w:t>For</w:t>
      </w:r>
      <w:r>
        <w:rPr>
          <w:spacing w:val="-8"/>
        </w:rPr>
        <w:t> </w:t>
      </w:r>
      <w:r>
        <w:rPr/>
        <w:t>Tier</w:t>
      </w:r>
      <w:r>
        <w:rPr>
          <w:spacing w:val="-9"/>
        </w:rPr>
        <w:t> </w:t>
      </w:r>
      <w:r>
        <w:rPr/>
        <w:t>2,</w:t>
      </w:r>
      <w:r>
        <w:rPr>
          <w:spacing w:val="-9"/>
        </w:rPr>
        <w:t> </w:t>
      </w:r>
      <w:r>
        <w:rPr/>
        <w:t>reference</w:t>
      </w:r>
      <w:r>
        <w:rPr>
          <w:spacing w:val="-6"/>
        </w:rPr>
        <w:t> </w:t>
      </w:r>
      <w:r>
        <w:rPr/>
        <w:t>soil</w:t>
      </w:r>
      <w:r>
        <w:rPr>
          <w:spacing w:val="-7"/>
        </w:rPr>
        <w:t> </w:t>
      </w:r>
      <w:r>
        <w:rPr/>
        <w:t>C</w:t>
      </w:r>
      <w:r>
        <w:rPr>
          <w:spacing w:val="-10"/>
        </w:rPr>
        <w:t> </w:t>
      </w:r>
      <w:r>
        <w:rPr/>
        <w:t>stocks</w:t>
      </w:r>
      <w:r>
        <w:rPr>
          <w:spacing w:val="-9"/>
        </w:rPr>
        <w:t> </w:t>
      </w:r>
      <w:r>
        <w:rPr/>
        <w:t>can</w:t>
      </w:r>
      <w:r>
        <w:rPr>
          <w:spacing w:val="-10"/>
        </w:rPr>
        <w:t> </w:t>
      </w:r>
      <w:r>
        <w:rPr/>
        <w:t>be</w:t>
      </w:r>
      <w:r>
        <w:rPr>
          <w:spacing w:val="-9"/>
        </w:rPr>
        <w:t> </w:t>
      </w:r>
      <w:r>
        <w:rPr/>
        <w:t>determined</w:t>
      </w:r>
      <w:r>
        <w:rPr>
          <w:spacing w:val="-6"/>
        </w:rPr>
        <w:t> </w:t>
      </w:r>
      <w:r>
        <w:rPr/>
        <w:t>from</w:t>
      </w:r>
      <w:r>
        <w:rPr>
          <w:spacing w:val="-8"/>
        </w:rPr>
        <w:t> </w:t>
      </w:r>
      <w:r>
        <w:rPr/>
        <w:t>measurements</w:t>
      </w:r>
      <w:r>
        <w:rPr>
          <w:spacing w:val="-9"/>
        </w:rPr>
        <w:t> </w:t>
      </w:r>
      <w:r>
        <w:rPr/>
        <w:t>of</w:t>
      </w:r>
      <w:r>
        <w:rPr>
          <w:spacing w:val="-10"/>
        </w:rPr>
        <w:t> </w:t>
      </w:r>
      <w:r>
        <w:rPr/>
        <w:t>soils,</w:t>
      </w:r>
      <w:r>
        <w:rPr>
          <w:spacing w:val="-5"/>
        </w:rPr>
        <w:t> </w:t>
      </w:r>
      <w:r>
        <w:rPr>
          <w:spacing w:val="-2"/>
        </w:rPr>
        <w:t>for</w:t>
      </w:r>
      <w:r>
        <w:rPr>
          <w:spacing w:val="-8"/>
        </w:rPr>
        <w:t> </w:t>
      </w:r>
      <w:r>
        <w:rPr/>
        <w:t>example,</w:t>
      </w:r>
      <w:r>
        <w:rPr>
          <w:spacing w:val="-9"/>
        </w:rPr>
        <w:t> </w:t>
      </w:r>
      <w:r>
        <w:rPr/>
        <w:t>as</w:t>
      </w:r>
      <w:r>
        <w:rPr>
          <w:spacing w:val="-9"/>
        </w:rPr>
        <w:t> </w:t>
      </w:r>
      <w:r>
        <w:rPr/>
        <w:t>part</w:t>
      </w:r>
      <w:r>
        <w:rPr>
          <w:spacing w:val="-9"/>
        </w:rPr>
        <w:t> </w:t>
      </w:r>
      <w:r>
        <w:rPr/>
        <w:t>of</w:t>
      </w:r>
      <w:r>
        <w:rPr>
          <w:spacing w:val="-11"/>
        </w:rPr>
        <w:t> </w:t>
      </w:r>
      <w:r>
        <w:rPr/>
        <w:t>a </w:t>
      </w:r>
      <w:r>
        <w:rPr>
          <w:spacing w:val="-3"/>
        </w:rPr>
        <w:t>country’s </w:t>
      </w:r>
      <w:r>
        <w:rPr/>
        <w:t>soil survey and mapping </w:t>
      </w:r>
      <w:r>
        <w:rPr>
          <w:spacing w:val="-3"/>
        </w:rPr>
        <w:t>activities. </w:t>
      </w:r>
      <w:r>
        <w:rPr/>
        <w:t>Advantages </w:t>
      </w:r>
      <w:r>
        <w:rPr>
          <w:spacing w:val="-3"/>
        </w:rPr>
        <w:t>include </w:t>
      </w:r>
      <w:r>
        <w:rPr/>
        <w:t>more </w:t>
      </w:r>
      <w:r>
        <w:rPr>
          <w:spacing w:val="-3"/>
        </w:rPr>
        <w:t>representative </w:t>
      </w:r>
      <w:r>
        <w:rPr/>
        <w:t>values </w:t>
      </w:r>
      <w:r>
        <w:rPr>
          <w:spacing w:val="-2"/>
        </w:rPr>
        <w:t>for </w:t>
      </w:r>
      <w:r>
        <w:rPr/>
        <w:t>an individual country</w:t>
      </w:r>
      <w:r>
        <w:rPr>
          <w:spacing w:val="-7"/>
        </w:rPr>
        <w:t> </w:t>
      </w:r>
      <w:r>
        <w:rPr/>
        <w:t>and</w:t>
      </w:r>
      <w:r>
        <w:rPr>
          <w:spacing w:val="-5"/>
        </w:rPr>
        <w:t> </w:t>
      </w:r>
      <w:r>
        <w:rPr/>
        <w:t>the</w:t>
      </w:r>
      <w:r>
        <w:rPr>
          <w:spacing w:val="-3"/>
        </w:rPr>
        <w:t> </w:t>
      </w:r>
      <w:r>
        <w:rPr/>
        <w:t>ability</w:t>
      </w:r>
      <w:r>
        <w:rPr>
          <w:spacing w:val="-6"/>
        </w:rPr>
        <w:t> </w:t>
      </w:r>
      <w:r>
        <w:rPr/>
        <w:t>to</w:t>
      </w:r>
      <w:r>
        <w:rPr>
          <w:spacing w:val="-5"/>
        </w:rPr>
        <w:t> </w:t>
      </w:r>
      <w:r>
        <w:rPr/>
        <w:t>better</w:t>
      </w:r>
      <w:r>
        <w:rPr>
          <w:spacing w:val="-5"/>
        </w:rPr>
        <w:t> </w:t>
      </w:r>
      <w:r>
        <w:rPr/>
        <w:t>estimate</w:t>
      </w:r>
      <w:r>
        <w:rPr>
          <w:spacing w:val="-6"/>
        </w:rPr>
        <w:t> </w:t>
      </w:r>
      <w:r>
        <w:rPr/>
        <w:t>probability</w:t>
      </w:r>
      <w:r>
        <w:rPr>
          <w:spacing w:val="-6"/>
        </w:rPr>
        <w:t> </w:t>
      </w:r>
      <w:r>
        <w:rPr/>
        <w:t>distribution</w:t>
      </w:r>
      <w:r>
        <w:rPr>
          <w:spacing w:val="-5"/>
        </w:rPr>
        <w:t> </w:t>
      </w:r>
      <w:r>
        <w:rPr/>
        <w:t>functions</w:t>
      </w:r>
      <w:r>
        <w:rPr>
          <w:spacing w:val="-6"/>
        </w:rPr>
        <w:t> </w:t>
      </w:r>
      <w:r>
        <w:rPr/>
        <w:t>that</w:t>
      </w:r>
      <w:r>
        <w:rPr>
          <w:spacing w:val="-4"/>
        </w:rPr>
        <w:t> </w:t>
      </w:r>
      <w:r>
        <w:rPr/>
        <w:t>can</w:t>
      </w:r>
      <w:r>
        <w:rPr>
          <w:spacing w:val="-7"/>
        </w:rPr>
        <w:t> </w:t>
      </w:r>
      <w:r>
        <w:rPr/>
        <w:t>be</w:t>
      </w:r>
      <w:r>
        <w:rPr>
          <w:spacing w:val="-3"/>
        </w:rPr>
        <w:t> </w:t>
      </w:r>
      <w:r>
        <w:rPr/>
        <w:t>used</w:t>
      </w:r>
      <w:r>
        <w:rPr>
          <w:spacing w:val="-5"/>
        </w:rPr>
        <w:t> </w:t>
      </w:r>
      <w:r>
        <w:rPr/>
        <w:t>in</w:t>
      </w:r>
      <w:r>
        <w:rPr>
          <w:spacing w:val="-6"/>
        </w:rPr>
        <w:t> </w:t>
      </w:r>
      <w:r>
        <w:rPr/>
        <w:t>a</w:t>
      </w:r>
      <w:r>
        <w:rPr>
          <w:spacing w:val="-3"/>
        </w:rPr>
        <w:t> </w:t>
      </w:r>
      <w:r>
        <w:rPr/>
        <w:t>formal</w:t>
      </w:r>
      <w:r>
        <w:rPr>
          <w:spacing w:val="-4"/>
        </w:rPr>
        <w:t> </w:t>
      </w:r>
      <w:r>
        <w:rPr/>
        <w:t>uncertainty </w:t>
      </w:r>
      <w:r>
        <w:rPr>
          <w:spacing w:val="-3"/>
        </w:rPr>
        <w:t>analysis.</w:t>
      </w:r>
      <w:r>
        <w:rPr>
          <w:spacing w:val="-7"/>
        </w:rPr>
        <w:t> </w:t>
      </w:r>
      <w:r>
        <w:rPr/>
        <w:t>Accepted</w:t>
      </w:r>
      <w:r>
        <w:rPr>
          <w:spacing w:val="-9"/>
        </w:rPr>
        <w:t> </w:t>
      </w:r>
      <w:r>
        <w:rPr/>
        <w:t>standards</w:t>
      </w:r>
      <w:r>
        <w:rPr>
          <w:spacing w:val="-7"/>
        </w:rPr>
        <w:t> </w:t>
      </w:r>
      <w:r>
        <w:rPr/>
        <w:t>for</w:t>
      </w:r>
      <w:r>
        <w:rPr>
          <w:spacing w:val="-9"/>
        </w:rPr>
        <w:t> </w:t>
      </w:r>
      <w:r>
        <w:rPr/>
        <w:t>sampling</w:t>
      </w:r>
      <w:r>
        <w:rPr>
          <w:spacing w:val="-10"/>
        </w:rPr>
        <w:t> </w:t>
      </w:r>
      <w:r>
        <w:rPr/>
        <w:t>and</w:t>
      </w:r>
      <w:r>
        <w:rPr>
          <w:spacing w:val="-8"/>
        </w:rPr>
        <w:t> </w:t>
      </w:r>
      <w:r>
        <w:rPr/>
        <w:t>analysis</w:t>
      </w:r>
      <w:r>
        <w:rPr>
          <w:spacing w:val="-10"/>
        </w:rPr>
        <w:t> </w:t>
      </w:r>
      <w:r>
        <w:rPr/>
        <w:t>of</w:t>
      </w:r>
      <w:r>
        <w:rPr>
          <w:spacing w:val="-9"/>
        </w:rPr>
        <w:t> </w:t>
      </w:r>
      <w:r>
        <w:rPr/>
        <w:t>soil</w:t>
      </w:r>
      <w:r>
        <w:rPr>
          <w:spacing w:val="-9"/>
        </w:rPr>
        <w:t> </w:t>
      </w:r>
      <w:r>
        <w:rPr>
          <w:spacing w:val="-3"/>
        </w:rPr>
        <w:t>organic</w:t>
      </w:r>
      <w:r>
        <w:rPr>
          <w:spacing w:val="-7"/>
        </w:rPr>
        <w:t> </w:t>
      </w:r>
      <w:r>
        <w:rPr/>
        <w:t>carbon</w:t>
      </w:r>
      <w:r>
        <w:rPr>
          <w:spacing w:val="-10"/>
        </w:rPr>
        <w:t> </w:t>
      </w:r>
      <w:r>
        <w:rPr/>
        <w:t>and</w:t>
      </w:r>
      <w:r>
        <w:rPr>
          <w:spacing w:val="-9"/>
        </w:rPr>
        <w:t> </w:t>
      </w:r>
      <w:r>
        <w:rPr/>
        <w:t>bulk</w:t>
      </w:r>
      <w:r>
        <w:rPr>
          <w:spacing w:val="-10"/>
        </w:rPr>
        <w:t> </w:t>
      </w:r>
      <w:r>
        <w:rPr/>
        <w:t>density</w:t>
      </w:r>
      <w:r>
        <w:rPr>
          <w:spacing w:val="-10"/>
        </w:rPr>
        <w:t> </w:t>
      </w:r>
      <w:r>
        <w:rPr>
          <w:spacing w:val="-3"/>
        </w:rPr>
        <w:t>should</w:t>
      </w:r>
      <w:r>
        <w:rPr>
          <w:spacing w:val="-9"/>
        </w:rPr>
        <w:t> </w:t>
      </w:r>
      <w:r>
        <w:rPr/>
        <w:t>be</w:t>
      </w:r>
      <w:r>
        <w:rPr>
          <w:spacing w:val="-8"/>
        </w:rPr>
        <w:t> </w:t>
      </w:r>
      <w:r>
        <w:rPr>
          <w:spacing w:val="-3"/>
        </w:rPr>
        <w:t>used.</w:t>
      </w:r>
    </w:p>
    <w:p>
      <w:pPr>
        <w:spacing w:before="126"/>
        <w:ind w:left="219" w:right="0" w:firstLine="0"/>
        <w:jc w:val="both"/>
        <w:rPr>
          <w:b/>
          <w:sz w:val="20"/>
        </w:rPr>
      </w:pPr>
      <w:r>
        <w:rPr>
          <w:b/>
          <w:sz w:val="20"/>
        </w:rPr>
        <w:t>Stock change factors (F</w:t>
      </w:r>
      <w:r>
        <w:rPr>
          <w:b/>
          <w:sz w:val="20"/>
          <w:vertAlign w:val="subscript"/>
        </w:rPr>
        <w:t>LU</w:t>
      </w:r>
      <w:r>
        <w:rPr>
          <w:b/>
          <w:sz w:val="20"/>
          <w:vertAlign w:val="baseline"/>
        </w:rPr>
        <w:t>, F</w:t>
      </w:r>
      <w:r>
        <w:rPr>
          <w:b/>
          <w:sz w:val="20"/>
          <w:vertAlign w:val="subscript"/>
        </w:rPr>
        <w:t>MG</w:t>
      </w:r>
      <w:r>
        <w:rPr>
          <w:b/>
          <w:sz w:val="20"/>
          <w:vertAlign w:val="baseline"/>
        </w:rPr>
        <w:t>, F</w:t>
      </w:r>
      <w:r>
        <w:rPr>
          <w:b/>
          <w:sz w:val="20"/>
          <w:vertAlign w:val="subscript"/>
        </w:rPr>
        <w:t>I</w:t>
      </w:r>
      <w:r>
        <w:rPr>
          <w:b/>
          <w:sz w:val="20"/>
          <w:vertAlign w:val="baseline"/>
        </w:rPr>
        <w:t>)</w:t>
      </w:r>
    </w:p>
    <w:p>
      <w:pPr>
        <w:spacing w:before="116"/>
        <w:ind w:left="219" w:right="264" w:firstLine="0"/>
        <w:jc w:val="both"/>
        <w:rPr>
          <w:sz w:val="20"/>
        </w:rPr>
      </w:pPr>
      <w:r>
        <w:rPr>
          <w:b/>
          <w:sz w:val="20"/>
        </w:rPr>
        <w:t>Tier 1: </w:t>
      </w:r>
      <w:r>
        <w:rPr>
          <w:sz w:val="20"/>
        </w:rPr>
        <w:t>Under Tier 1, it is </w:t>
      </w:r>
      <w:r>
        <w:rPr>
          <w:i/>
          <w:sz w:val="20"/>
        </w:rPr>
        <w:t>good practice </w:t>
      </w:r>
      <w:r>
        <w:rPr>
          <w:sz w:val="20"/>
        </w:rPr>
        <w:t>to use default stock change factors </w:t>
      </w:r>
      <w:r>
        <w:rPr>
          <w:b/>
          <w:sz w:val="20"/>
        </w:rPr>
        <w:t>(F</w:t>
      </w:r>
      <w:r>
        <w:rPr>
          <w:b/>
          <w:sz w:val="20"/>
          <w:vertAlign w:val="subscript"/>
        </w:rPr>
        <w:t>LU</w:t>
      </w:r>
      <w:r>
        <w:rPr>
          <w:b/>
          <w:sz w:val="20"/>
          <w:vertAlign w:val="baseline"/>
        </w:rPr>
        <w:t>, F</w:t>
      </w:r>
      <w:r>
        <w:rPr>
          <w:b/>
          <w:sz w:val="20"/>
          <w:vertAlign w:val="subscript"/>
        </w:rPr>
        <w:t>MG</w:t>
      </w:r>
      <w:r>
        <w:rPr>
          <w:b/>
          <w:sz w:val="20"/>
          <w:vertAlign w:val="baseline"/>
        </w:rPr>
        <w:t>, F</w:t>
      </w:r>
      <w:r>
        <w:rPr>
          <w:b/>
          <w:sz w:val="20"/>
          <w:vertAlign w:val="subscript"/>
        </w:rPr>
        <w:t>I</w:t>
      </w:r>
      <w:r>
        <w:rPr>
          <w:b/>
          <w:sz w:val="20"/>
          <w:vertAlign w:val="baseline"/>
        </w:rPr>
        <w:t>) </w:t>
      </w:r>
      <w:r>
        <w:rPr>
          <w:sz w:val="20"/>
          <w:vertAlign w:val="baseline"/>
        </w:rPr>
        <w:t>provided in Table 3.4.5.</w:t>
      </w:r>
    </w:p>
    <w:p>
      <w:pPr>
        <w:pStyle w:val="BodyText"/>
        <w:spacing w:before="118"/>
        <w:ind w:left="219" w:right="266"/>
        <w:jc w:val="both"/>
      </w:pPr>
      <w:r>
        <w:rPr/>
        <w:t>These are updated from the </w:t>
      </w:r>
      <w:r>
        <w:rPr>
          <w:i/>
        </w:rPr>
        <w:t>IPCC Guidelines</w:t>
      </w:r>
      <w:r>
        <w:rPr/>
        <w:t>, based on statistical analysis of published research. Where sufficient data exists, separate values were computed for temperate and tropical grassland. All</w:t>
      </w:r>
      <w:r>
        <w:rPr>
          <w:spacing w:val="21"/>
        </w:rPr>
        <w:t> </w:t>
      </w:r>
      <w:r>
        <w:rPr/>
        <w:t>grasslands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2"/>
        <w:jc w:val="both"/>
      </w:pPr>
      <w:r>
        <w:rPr/>
        <w:t>(excluding those on organic soils) are assigned a base or (land use) factor of 1. Four categories of grassland management condition are defined (unimproved/non-degraded, moderately degraded, severely degraded and improved – see definitions in Table 3.4.5). Improved grasslands are defined as sustainably (non-degraded) managed grassland that receive at least one type of external input (e.g. improved species, fertilization, or irrigation) to increase productivity. For improved grasslands there are two levels for the input factor value, ‘nominal’ (which denotes the base case (F</w:t>
      </w:r>
      <w:r>
        <w:rPr>
          <w:vertAlign w:val="subscript"/>
        </w:rPr>
        <w:t>I</w:t>
      </w:r>
      <w:r>
        <w:rPr>
          <w:vertAlign w:val="baseline"/>
        </w:rPr>
        <w:t>=1) where there is no </w:t>
      </w:r>
      <w:r>
        <w:rPr>
          <w:i/>
          <w:vertAlign w:val="baseline"/>
        </w:rPr>
        <w:t>additional </w:t>
      </w:r>
      <w:r>
        <w:rPr>
          <w:vertAlign w:val="baseline"/>
        </w:rPr>
        <w:t>management improvement, beyond that required for classification as improved grassland) and ‘high’, in which at least one addition improvement has been implemented (e.g. fertilization plus irrigation), representing highly intensive grassland management. Values for the moderately degraded grassland category were based on studies reporting conditions or treatments representative of overgrazing and/or degradation. However, in many cases, particularly in the tropics, pasture degradation is associated with a loss of more palatable grass species and replacement by ‘weedy’ species (often woody plants). Although this constitutes degradation from the standpoint of use for grazing, negative impacts on soil C may be less severe (as indicated by the small reduction in F</w:t>
      </w:r>
      <w:r>
        <w:rPr>
          <w:vertAlign w:val="subscript"/>
        </w:rPr>
        <w:t>LU</w:t>
      </w:r>
      <w:r>
        <w:rPr>
          <w:vertAlign w:val="baseline"/>
        </w:rPr>
        <w:t> for moderately degraded grassland, relative to the native condition). In the </w:t>
      </w:r>
      <w:r>
        <w:rPr>
          <w:i/>
          <w:vertAlign w:val="baseline"/>
        </w:rPr>
        <w:t>IPCC Guidelines </w:t>
      </w:r>
      <w:r>
        <w:rPr>
          <w:vertAlign w:val="baseline"/>
        </w:rPr>
        <w:t>there was only one category specified for degraded grassland with a much lower value for F</w:t>
      </w:r>
      <w:r>
        <w:rPr>
          <w:vertAlign w:val="subscript"/>
        </w:rPr>
        <w:t>MG</w:t>
      </w:r>
      <w:r>
        <w:rPr>
          <w:vertAlign w:val="baseline"/>
        </w:rPr>
        <w:t> (0.7), implying severe degradation and high soil C loss. There are insufficient studies in the literature to re-estimate a factor value for this condition and thus the previous value has been retained to represent this severely degraded condition.</w:t>
      </w:r>
    </w:p>
    <w:p>
      <w:pPr>
        <w:pStyle w:val="BodyText"/>
        <w:spacing w:before="120"/>
        <w:ind w:left="219" w:right="263"/>
        <w:jc w:val="both"/>
      </w:pPr>
      <w:r>
        <w:rPr>
          <w:b/>
        </w:rPr>
        <w:t>Tier 2: </w:t>
      </w:r>
      <w:r>
        <w:rPr/>
        <w:t>For Tier 2 applications, stock change factor values can be estimated  from long-term experiments or other field measurements (e.g., field chronosequences) for a particular country or region. Advantages include more accurate and representative values for the country of interest and the ability to estimate probability distribution functions for factor values that can be used in a scientific uncertainty analysis. There are few replicated long-term experiments investigating the impacts of grassland management on soil C stocks, and thus uncertainties of emission factors for grassland management are greater than those for permanent cropland. Many studies evaluate stock differences in paired plots and it is important that the plots being compared have similar land use/management histories prior to implementation of experimental management treatments. If sufficient sequestration rate and land management data are available, factor values may be calculated for specific grassland management</w:t>
      </w:r>
      <w:r>
        <w:rPr>
          <w:spacing w:val="-4"/>
        </w:rPr>
        <w:t> </w:t>
      </w:r>
      <w:r>
        <w:rPr/>
        <w:t>practices</w:t>
      </w:r>
      <w:r>
        <w:rPr>
          <w:spacing w:val="-4"/>
        </w:rPr>
        <w:t> </w:t>
      </w:r>
      <w:r>
        <w:rPr/>
        <w:t>(e.g.,</w:t>
      </w:r>
      <w:r>
        <w:rPr>
          <w:spacing w:val="-4"/>
        </w:rPr>
        <w:t> </w:t>
      </w:r>
      <w:r>
        <w:rPr/>
        <w:t>fertilisation,</w:t>
      </w:r>
      <w:r>
        <w:rPr>
          <w:spacing w:val="-2"/>
        </w:rPr>
        <w:t> </w:t>
      </w:r>
      <w:r>
        <w:rPr/>
        <w:t>sowing</w:t>
      </w:r>
      <w:r>
        <w:rPr>
          <w:spacing w:val="-5"/>
        </w:rPr>
        <w:t> </w:t>
      </w:r>
      <w:r>
        <w:rPr/>
        <w:t>improved grass</w:t>
      </w:r>
      <w:r>
        <w:rPr>
          <w:spacing w:val="-4"/>
        </w:rPr>
        <w:t> </w:t>
      </w:r>
      <w:r>
        <w:rPr/>
        <w:t>and</w:t>
      </w:r>
      <w:r>
        <w:rPr>
          <w:spacing w:val="-3"/>
        </w:rPr>
        <w:t> </w:t>
      </w:r>
      <w:r>
        <w:rPr/>
        <w:t>legume</w:t>
      </w:r>
      <w:r>
        <w:rPr>
          <w:spacing w:val="-4"/>
        </w:rPr>
        <w:t> </w:t>
      </w:r>
      <w:r>
        <w:rPr/>
        <w:t>species,</w:t>
      </w:r>
      <w:r>
        <w:rPr>
          <w:spacing w:val="-1"/>
        </w:rPr>
        <w:t> </w:t>
      </w:r>
      <w:r>
        <w:rPr/>
        <w:t>grazing</w:t>
      </w:r>
      <w:r>
        <w:rPr>
          <w:spacing w:val="-3"/>
        </w:rPr>
        <w:t> </w:t>
      </w:r>
      <w:r>
        <w:rPr/>
        <w:t>management,</w:t>
      </w:r>
      <w:r>
        <w:rPr>
          <w:spacing w:val="-4"/>
        </w:rPr>
        <w:t> </w:t>
      </w:r>
      <w:r>
        <w:rPr/>
        <w:t>etc.).</w:t>
      </w:r>
    </w:p>
    <w:p>
      <w:pPr>
        <w:pStyle w:val="BodyText"/>
        <w:spacing w:before="122"/>
        <w:ind w:left="219" w:right="265"/>
        <w:jc w:val="both"/>
      </w:pPr>
      <w:r>
        <w:rPr/>
        <w:t>Information compiled from published studies and other sources should include C stock (i.e., mass per unit area to a specified depth) or all information needed to calculate SOC stocks, i.e., percent organic matter together with bulk density. If the percent organic matter and not the percent organic carbon are reported, a conversion factor</w:t>
      </w:r>
      <w:r>
        <w:rPr>
          <w:spacing w:val="-23"/>
        </w:rPr>
        <w:t> </w:t>
      </w:r>
      <w:r>
        <w:rPr/>
        <w:t>of</w:t>
      </w:r>
    </w:p>
    <w:p>
      <w:pPr>
        <w:pStyle w:val="BodyText"/>
        <w:ind w:left="219" w:right="265"/>
        <w:jc w:val="both"/>
      </w:pPr>
      <w:r>
        <w:rPr/>
        <w:t>0.58 for the carbon content of soil organic matter can be used. Other information that must be included in the analysis is the soil type (e.g., WRB or USDA Soil Taxonomy Reference), depth of measurement, and time frame over which the management difference has been expressed. Stock change factors should encompass sufficient depth to include the full influence of management changes on soil C stocks and correcting for possible changes in bulk density (Ellert </w:t>
      </w:r>
      <w:r>
        <w:rPr>
          <w:i/>
        </w:rPr>
        <w:t>et al.</w:t>
      </w:r>
      <w:r>
        <w:rPr/>
        <w:t>, 2001). It is </w:t>
      </w:r>
      <w:r>
        <w:rPr>
          <w:i/>
        </w:rPr>
        <w:t>good practice </w:t>
      </w:r>
      <w:r>
        <w:rPr/>
        <w:t>to include a minimum depth of at least 30 cm (i.e., the depth used for Tier 1 calculations); stock changes over deeper depths may be desirable if a sufficient number of studies are available and if statistically significant differences in stocks due to land management are demonstrated at those</w:t>
      </w:r>
      <w:r>
        <w:rPr>
          <w:spacing w:val="2"/>
        </w:rPr>
        <w:t> </w:t>
      </w:r>
      <w:r>
        <w:rPr/>
        <w:t>depths.</w:t>
      </w:r>
    </w:p>
    <w:p>
      <w:pPr>
        <w:pStyle w:val="BodyText"/>
        <w:spacing w:before="3"/>
        <w:rPr>
          <w:sz w:val="21"/>
        </w:rPr>
      </w:pPr>
    </w:p>
    <w:p>
      <w:pPr>
        <w:pStyle w:val="Heading7"/>
        <w:spacing w:before="1"/>
      </w:pPr>
      <w:r>
        <w:rPr/>
        <w:t>Organic soils</w:t>
      </w:r>
    </w:p>
    <w:p>
      <w:pPr>
        <w:pStyle w:val="BodyText"/>
        <w:ind w:left="219" w:right="267"/>
        <w:jc w:val="both"/>
      </w:pPr>
      <w:r>
        <w:rPr/>
        <w:t>When estimating emissions from organic soils that have been modified through artificial drainage and other practices for use as managed grassland, an emission factor (EF) is required for different climatic regimes.</w:t>
      </w:r>
    </w:p>
    <w:p>
      <w:pPr>
        <w:pStyle w:val="BodyText"/>
        <w:spacing w:before="117"/>
        <w:ind w:left="219" w:right="263"/>
        <w:jc w:val="both"/>
      </w:pPr>
      <w:r>
        <w:rPr>
          <w:b/>
        </w:rPr>
        <w:t>Tier 1: </w:t>
      </w:r>
      <w:r>
        <w:rPr/>
        <w:t>For Tier 1, default emission factors, unchanged from the </w:t>
      </w:r>
      <w:r>
        <w:rPr>
          <w:i/>
        </w:rPr>
        <w:t>IPCC Guidelines</w:t>
      </w:r>
      <w:r>
        <w:rPr/>
        <w:t>, are provided in Table 3.4.6. Natural, ‘wetland’ grasslands that may be used for seasonal grazing but have not been artificially drained are excluded.</w:t>
      </w:r>
    </w:p>
    <w:p>
      <w:pPr>
        <w:pStyle w:val="BodyText"/>
        <w:spacing w:before="119"/>
        <w:ind w:left="219" w:right="263"/>
        <w:jc w:val="both"/>
      </w:pPr>
      <w:r>
        <w:rPr>
          <w:b/>
        </w:rPr>
        <w:t>Tier 2: </w:t>
      </w:r>
      <w:r>
        <w:rPr/>
        <w:t>For Tier 2, there are limited literature data on emissions from organic soils used for managed grassland; published studies usually make estimates based on subsidence, with a limited number of direct measurements of CO</w:t>
      </w:r>
      <w:r>
        <w:rPr>
          <w:vertAlign w:val="subscript"/>
        </w:rPr>
        <w:t>2</w:t>
      </w:r>
      <w:r>
        <w:rPr>
          <w:vertAlign w:val="baseline"/>
        </w:rPr>
        <w:t> fluxes from grassland organic soils (Ogle </w:t>
      </w:r>
      <w:r>
        <w:rPr>
          <w:i/>
          <w:vertAlign w:val="baseline"/>
        </w:rPr>
        <w:t>et al.</w:t>
      </w:r>
      <w:r>
        <w:rPr>
          <w:vertAlign w:val="baseline"/>
        </w:rPr>
        <w:t>, 2003). Processes that contribute to subsidence include erosion, compaction, burning, and decomposition, only the latter of which should be included in the emission factor estimate. If using subsidence data, appropriate regional conversion factors to determine the proportion of subsidence attributable to oxidation should be used, based on studies measuring both subsidence and CO</w:t>
      </w:r>
      <w:r>
        <w:rPr>
          <w:vertAlign w:val="subscript"/>
        </w:rPr>
        <w:t>2</w:t>
      </w:r>
      <w:r>
        <w:rPr>
          <w:vertAlign w:val="baseline"/>
        </w:rPr>
        <w:t> flux. In the absence of such information, a default factor of 0.5 for oxidation-to-subsidence, on a gram-per-gram equivalent basis, is recommended based on reviews by Armentano and Menges (1986). If available, direct measurements of carbon fluxes are recommended as providing the best means of estimating emission rates from organic</w:t>
      </w:r>
      <w:r>
        <w:rPr>
          <w:spacing w:val="-1"/>
          <w:vertAlign w:val="baseline"/>
        </w:rPr>
        <w:t> </w:t>
      </w:r>
      <w:r>
        <w:rPr>
          <w:vertAlign w:val="baseline"/>
        </w:rPr>
        <w:t>soils.</w:t>
      </w:r>
    </w:p>
    <w:p>
      <w:pPr>
        <w:spacing w:after="0"/>
        <w:jc w:val="both"/>
        <w:sectPr>
          <w:pgSz w:w="11900" w:h="16840"/>
          <w:pgMar w:header="230" w:footer="408" w:top="560" w:bottom="600" w:left="1200" w:right="1140"/>
        </w:sectPr>
      </w:pPr>
    </w:p>
    <w:p>
      <w:pPr>
        <w:pStyle w:val="BodyText"/>
      </w:pPr>
    </w:p>
    <w:p>
      <w:pPr>
        <w:pStyle w:val="BodyText"/>
        <w:rPr>
          <w:sz w:val="19"/>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9"/>
        <w:gridCol w:w="1087"/>
        <w:gridCol w:w="1176"/>
        <w:gridCol w:w="1176"/>
        <w:gridCol w:w="1176"/>
        <w:gridCol w:w="1344"/>
        <w:gridCol w:w="1176"/>
      </w:tblGrid>
      <w:tr>
        <w:trPr>
          <w:trHeight w:val="740" w:hRule="atLeast"/>
        </w:trPr>
        <w:tc>
          <w:tcPr>
            <w:tcW w:w="9014" w:type="dxa"/>
            <w:gridSpan w:val="7"/>
            <w:tcBorders>
              <w:bottom w:val="double" w:sz="1" w:space="0" w:color="000000"/>
            </w:tcBorders>
          </w:tcPr>
          <w:p>
            <w:pPr>
              <w:pStyle w:val="TableParagraph"/>
              <w:spacing w:line="207" w:lineRule="exact" w:before="59"/>
              <w:ind w:left="122" w:right="114"/>
              <w:jc w:val="center"/>
              <w:rPr>
                <w:b/>
                <w:sz w:val="18"/>
              </w:rPr>
            </w:pPr>
            <w:r>
              <w:rPr>
                <w:b/>
                <w:sz w:val="18"/>
              </w:rPr>
              <w:t>T</w:t>
            </w:r>
            <w:r>
              <w:rPr>
                <w:b/>
                <w:sz w:val="14"/>
              </w:rPr>
              <w:t>ABLE </w:t>
            </w:r>
            <w:r>
              <w:rPr>
                <w:b/>
                <w:sz w:val="18"/>
              </w:rPr>
              <w:t>3.4.4</w:t>
            </w:r>
          </w:p>
          <w:p>
            <w:pPr>
              <w:pStyle w:val="TableParagraph"/>
              <w:spacing w:line="220" w:lineRule="auto" w:before="12"/>
              <w:ind w:left="1237" w:right="1225"/>
              <w:jc w:val="center"/>
              <w:rPr>
                <w:b/>
                <w:sz w:val="18"/>
              </w:rPr>
            </w:pPr>
            <w:r>
              <w:rPr>
                <w:b/>
                <w:sz w:val="18"/>
              </w:rPr>
              <w:t>D</w:t>
            </w:r>
            <w:r>
              <w:rPr>
                <w:b/>
                <w:sz w:val="14"/>
              </w:rPr>
              <w:t>EFAULT REFERENCE </w:t>
            </w:r>
            <w:r>
              <w:rPr>
                <w:b/>
                <w:sz w:val="18"/>
              </w:rPr>
              <w:t>(</w:t>
            </w:r>
            <w:r>
              <w:rPr>
                <w:b/>
                <w:sz w:val="14"/>
              </w:rPr>
              <w:t>UNDER NATIVE VEGETATION</w:t>
            </w:r>
            <w:r>
              <w:rPr>
                <w:b/>
                <w:sz w:val="18"/>
              </w:rPr>
              <w:t>) </w:t>
            </w:r>
            <w:r>
              <w:rPr>
                <w:b/>
                <w:sz w:val="14"/>
              </w:rPr>
              <w:t>SOIL ORGANIC C STOCKS </w:t>
            </w:r>
            <w:r>
              <w:rPr>
                <w:b/>
                <w:sz w:val="18"/>
              </w:rPr>
              <w:t>(SOC</w:t>
            </w:r>
            <w:r>
              <w:rPr>
                <w:b/>
                <w:position w:val="-2"/>
                <w:sz w:val="12"/>
              </w:rPr>
              <w:t>R</w:t>
            </w:r>
            <w:r>
              <w:rPr>
                <w:b/>
                <w:position w:val="-2"/>
                <w:sz w:val="10"/>
              </w:rPr>
              <w:t>EF</w:t>
            </w:r>
            <w:r>
              <w:rPr>
                <w:b/>
                <w:sz w:val="18"/>
              </w:rPr>
              <w:t>) (</w:t>
            </w:r>
            <w:r>
              <w:rPr>
                <w:b/>
                <w:sz w:val="14"/>
              </w:rPr>
              <w:t>TONNES C PER HA FOR </w:t>
            </w:r>
            <w:r>
              <w:rPr>
                <w:b/>
                <w:sz w:val="18"/>
              </w:rPr>
              <w:t>0-30 </w:t>
            </w:r>
            <w:r>
              <w:rPr>
                <w:b/>
                <w:sz w:val="14"/>
              </w:rPr>
              <w:t>CM DEPTH</w:t>
            </w:r>
            <w:r>
              <w:rPr>
                <w:b/>
                <w:sz w:val="18"/>
              </w:rPr>
              <w:t>)</w:t>
            </w:r>
          </w:p>
        </w:tc>
      </w:tr>
      <w:tr>
        <w:trPr>
          <w:trHeight w:val="424" w:hRule="atLeast"/>
        </w:trPr>
        <w:tc>
          <w:tcPr>
            <w:tcW w:w="1879" w:type="dxa"/>
            <w:tcBorders>
              <w:top w:val="double" w:sz="1" w:space="0" w:color="000000"/>
            </w:tcBorders>
          </w:tcPr>
          <w:p>
            <w:pPr>
              <w:pStyle w:val="TableParagraph"/>
              <w:spacing w:before="109"/>
              <w:ind w:left="107"/>
              <w:rPr>
                <w:b/>
                <w:sz w:val="18"/>
              </w:rPr>
            </w:pPr>
            <w:r>
              <w:rPr>
                <w:b/>
                <w:sz w:val="18"/>
              </w:rPr>
              <w:t>Region</w:t>
            </w:r>
          </w:p>
        </w:tc>
        <w:tc>
          <w:tcPr>
            <w:tcW w:w="1087" w:type="dxa"/>
            <w:tcBorders>
              <w:top w:val="double" w:sz="1" w:space="0" w:color="000000"/>
            </w:tcBorders>
          </w:tcPr>
          <w:p>
            <w:pPr>
              <w:pStyle w:val="TableParagraph"/>
              <w:spacing w:before="109"/>
              <w:ind w:left="62" w:right="87"/>
              <w:jc w:val="center"/>
              <w:rPr>
                <w:b/>
                <w:sz w:val="18"/>
              </w:rPr>
            </w:pPr>
            <w:r>
              <w:rPr>
                <w:b/>
                <w:sz w:val="18"/>
              </w:rPr>
              <w:t>HAC soils</w:t>
            </w:r>
            <w:r>
              <w:rPr>
                <w:b/>
                <w:sz w:val="18"/>
                <w:vertAlign w:val="superscript"/>
              </w:rPr>
              <w:t>1</w:t>
            </w:r>
          </w:p>
        </w:tc>
        <w:tc>
          <w:tcPr>
            <w:tcW w:w="1176" w:type="dxa"/>
            <w:tcBorders>
              <w:top w:val="double" w:sz="1" w:space="0" w:color="000000"/>
            </w:tcBorders>
          </w:tcPr>
          <w:p>
            <w:pPr>
              <w:pStyle w:val="TableParagraph"/>
              <w:spacing w:before="109"/>
              <w:ind w:left="110"/>
              <w:rPr>
                <w:b/>
                <w:sz w:val="18"/>
              </w:rPr>
            </w:pPr>
            <w:r>
              <w:rPr>
                <w:b/>
                <w:sz w:val="18"/>
              </w:rPr>
              <w:t>LAC soils</w:t>
            </w:r>
            <w:r>
              <w:rPr>
                <w:b/>
                <w:sz w:val="18"/>
                <w:vertAlign w:val="superscript"/>
              </w:rPr>
              <w:t>2</w:t>
            </w:r>
          </w:p>
        </w:tc>
        <w:tc>
          <w:tcPr>
            <w:tcW w:w="1176" w:type="dxa"/>
            <w:tcBorders>
              <w:top w:val="double" w:sz="1" w:space="0" w:color="000000"/>
            </w:tcBorders>
          </w:tcPr>
          <w:p>
            <w:pPr>
              <w:pStyle w:val="TableParagraph"/>
              <w:spacing w:before="109"/>
              <w:ind w:left="54" w:right="82"/>
              <w:jc w:val="center"/>
              <w:rPr>
                <w:b/>
                <w:sz w:val="18"/>
              </w:rPr>
            </w:pPr>
            <w:r>
              <w:rPr>
                <w:b/>
                <w:sz w:val="18"/>
              </w:rPr>
              <w:t>Sandy soils</w:t>
            </w:r>
            <w:r>
              <w:rPr>
                <w:b/>
                <w:sz w:val="18"/>
                <w:vertAlign w:val="superscript"/>
              </w:rPr>
              <w:t>3</w:t>
            </w:r>
          </w:p>
        </w:tc>
        <w:tc>
          <w:tcPr>
            <w:tcW w:w="1176" w:type="dxa"/>
            <w:tcBorders>
              <w:top w:val="double" w:sz="1" w:space="0" w:color="000000"/>
            </w:tcBorders>
          </w:tcPr>
          <w:p>
            <w:pPr>
              <w:pStyle w:val="TableParagraph"/>
              <w:spacing w:before="109"/>
              <w:ind w:left="87" w:right="80"/>
              <w:jc w:val="center"/>
              <w:rPr>
                <w:b/>
                <w:sz w:val="18"/>
              </w:rPr>
            </w:pPr>
            <w:r>
              <w:rPr>
                <w:b/>
                <w:sz w:val="18"/>
              </w:rPr>
              <w:t>Spodic soils</w:t>
            </w:r>
            <w:r>
              <w:rPr>
                <w:b/>
                <w:sz w:val="18"/>
                <w:vertAlign w:val="superscript"/>
              </w:rPr>
              <w:t>4</w:t>
            </w:r>
          </w:p>
        </w:tc>
        <w:tc>
          <w:tcPr>
            <w:tcW w:w="1344" w:type="dxa"/>
            <w:tcBorders>
              <w:top w:val="double" w:sz="1" w:space="0" w:color="000000"/>
            </w:tcBorders>
          </w:tcPr>
          <w:p>
            <w:pPr>
              <w:pStyle w:val="TableParagraph"/>
              <w:spacing w:before="109"/>
              <w:ind w:left="89" w:right="79"/>
              <w:jc w:val="center"/>
              <w:rPr>
                <w:b/>
                <w:sz w:val="18"/>
              </w:rPr>
            </w:pPr>
            <w:r>
              <w:rPr>
                <w:b/>
                <w:sz w:val="18"/>
              </w:rPr>
              <w:t>Volcanic soils</w:t>
            </w:r>
            <w:r>
              <w:rPr>
                <w:b/>
                <w:sz w:val="18"/>
                <w:vertAlign w:val="superscript"/>
              </w:rPr>
              <w:t>5</w:t>
            </w:r>
          </w:p>
        </w:tc>
        <w:tc>
          <w:tcPr>
            <w:tcW w:w="1176" w:type="dxa"/>
            <w:tcBorders>
              <w:top w:val="double" w:sz="1" w:space="0" w:color="000000"/>
            </w:tcBorders>
          </w:tcPr>
          <w:p>
            <w:pPr>
              <w:pStyle w:val="TableParagraph"/>
              <w:spacing w:line="206" w:lineRule="exact" w:before="10"/>
              <w:ind w:left="393" w:right="227" w:hanging="135"/>
              <w:rPr>
                <w:b/>
                <w:sz w:val="18"/>
              </w:rPr>
            </w:pPr>
            <w:r>
              <w:rPr>
                <w:b/>
                <w:sz w:val="18"/>
              </w:rPr>
              <w:t>Wetland soils</w:t>
            </w:r>
            <w:r>
              <w:rPr>
                <w:b/>
                <w:sz w:val="18"/>
                <w:vertAlign w:val="superscript"/>
              </w:rPr>
              <w:t>6</w:t>
            </w:r>
          </w:p>
        </w:tc>
      </w:tr>
      <w:tr>
        <w:trPr>
          <w:trHeight w:val="273" w:hRule="atLeast"/>
        </w:trPr>
        <w:tc>
          <w:tcPr>
            <w:tcW w:w="1879" w:type="dxa"/>
          </w:tcPr>
          <w:p>
            <w:pPr>
              <w:pStyle w:val="TableParagraph"/>
              <w:spacing w:before="28"/>
              <w:ind w:left="107"/>
              <w:rPr>
                <w:sz w:val="18"/>
              </w:rPr>
            </w:pPr>
            <w:r>
              <w:rPr>
                <w:sz w:val="18"/>
              </w:rPr>
              <w:t>Boreal</w:t>
            </w:r>
          </w:p>
        </w:tc>
        <w:tc>
          <w:tcPr>
            <w:tcW w:w="1087" w:type="dxa"/>
          </w:tcPr>
          <w:p>
            <w:pPr>
              <w:pStyle w:val="TableParagraph"/>
              <w:spacing w:before="28"/>
              <w:ind w:left="89" w:right="81"/>
              <w:jc w:val="center"/>
              <w:rPr>
                <w:sz w:val="18"/>
              </w:rPr>
            </w:pPr>
            <w:r>
              <w:rPr>
                <w:sz w:val="18"/>
              </w:rPr>
              <w:t>68</w:t>
            </w:r>
          </w:p>
        </w:tc>
        <w:tc>
          <w:tcPr>
            <w:tcW w:w="1176" w:type="dxa"/>
          </w:tcPr>
          <w:p>
            <w:pPr>
              <w:pStyle w:val="TableParagraph"/>
              <w:spacing w:before="28"/>
              <w:ind w:left="87" w:right="72"/>
              <w:jc w:val="center"/>
              <w:rPr>
                <w:sz w:val="18"/>
              </w:rPr>
            </w:pPr>
            <w:r>
              <w:rPr>
                <w:sz w:val="18"/>
              </w:rPr>
              <w:t>NA</w:t>
            </w:r>
          </w:p>
        </w:tc>
        <w:tc>
          <w:tcPr>
            <w:tcW w:w="1176" w:type="dxa"/>
          </w:tcPr>
          <w:p>
            <w:pPr>
              <w:pStyle w:val="TableParagraph"/>
              <w:spacing w:before="28"/>
              <w:ind w:left="87" w:right="75"/>
              <w:jc w:val="center"/>
              <w:rPr>
                <w:sz w:val="18"/>
              </w:rPr>
            </w:pPr>
            <w:r>
              <w:rPr>
                <w:sz w:val="18"/>
              </w:rPr>
              <w:t>10</w:t>
            </w:r>
            <w:r>
              <w:rPr>
                <w:sz w:val="18"/>
                <w:vertAlign w:val="superscript"/>
              </w:rPr>
              <w:t>#</w:t>
            </w:r>
          </w:p>
        </w:tc>
        <w:tc>
          <w:tcPr>
            <w:tcW w:w="1176" w:type="dxa"/>
          </w:tcPr>
          <w:p>
            <w:pPr>
              <w:pStyle w:val="TableParagraph"/>
              <w:spacing w:before="28"/>
              <w:ind w:left="87" w:right="77"/>
              <w:jc w:val="center"/>
              <w:rPr>
                <w:sz w:val="18"/>
              </w:rPr>
            </w:pPr>
            <w:r>
              <w:rPr>
                <w:sz w:val="18"/>
              </w:rPr>
              <w:t>117</w:t>
            </w:r>
          </w:p>
        </w:tc>
        <w:tc>
          <w:tcPr>
            <w:tcW w:w="1344" w:type="dxa"/>
          </w:tcPr>
          <w:p>
            <w:pPr>
              <w:pStyle w:val="TableParagraph"/>
              <w:spacing w:before="28"/>
              <w:ind w:left="89" w:right="82"/>
              <w:jc w:val="center"/>
              <w:rPr>
                <w:sz w:val="18"/>
              </w:rPr>
            </w:pPr>
            <w:r>
              <w:rPr>
                <w:sz w:val="18"/>
              </w:rPr>
              <w:t>20</w:t>
            </w:r>
            <w:r>
              <w:rPr>
                <w:sz w:val="18"/>
                <w:vertAlign w:val="superscript"/>
              </w:rPr>
              <w:t>#</w:t>
            </w:r>
          </w:p>
        </w:tc>
        <w:tc>
          <w:tcPr>
            <w:tcW w:w="1176" w:type="dxa"/>
          </w:tcPr>
          <w:p>
            <w:pPr>
              <w:pStyle w:val="TableParagraph"/>
              <w:spacing w:line="198" w:lineRule="exact" w:before="55"/>
              <w:ind w:left="87" w:right="77"/>
              <w:jc w:val="center"/>
              <w:rPr>
                <w:sz w:val="18"/>
              </w:rPr>
            </w:pPr>
            <w:r>
              <w:rPr>
                <w:sz w:val="18"/>
              </w:rPr>
              <w:t>146</w:t>
            </w:r>
          </w:p>
        </w:tc>
      </w:tr>
      <w:tr>
        <w:trPr>
          <w:trHeight w:val="275" w:hRule="atLeast"/>
        </w:trPr>
        <w:tc>
          <w:tcPr>
            <w:tcW w:w="1879" w:type="dxa"/>
          </w:tcPr>
          <w:p>
            <w:pPr>
              <w:pStyle w:val="TableParagraph"/>
              <w:spacing w:before="28"/>
              <w:ind w:left="107"/>
              <w:rPr>
                <w:sz w:val="18"/>
              </w:rPr>
            </w:pPr>
            <w:r>
              <w:rPr>
                <w:sz w:val="18"/>
              </w:rPr>
              <w:t>Cold temperate, dry</w:t>
            </w:r>
          </w:p>
        </w:tc>
        <w:tc>
          <w:tcPr>
            <w:tcW w:w="1087" w:type="dxa"/>
          </w:tcPr>
          <w:p>
            <w:pPr>
              <w:pStyle w:val="TableParagraph"/>
              <w:spacing w:before="28"/>
              <w:ind w:left="89" w:right="79"/>
              <w:jc w:val="center"/>
              <w:rPr>
                <w:sz w:val="18"/>
              </w:rPr>
            </w:pPr>
            <w:r>
              <w:rPr>
                <w:sz w:val="18"/>
              </w:rPr>
              <w:t>50</w:t>
            </w:r>
          </w:p>
        </w:tc>
        <w:tc>
          <w:tcPr>
            <w:tcW w:w="1176" w:type="dxa"/>
          </w:tcPr>
          <w:p>
            <w:pPr>
              <w:pStyle w:val="TableParagraph"/>
              <w:spacing w:before="28"/>
              <w:ind w:left="87" w:right="71"/>
              <w:jc w:val="center"/>
              <w:rPr>
                <w:sz w:val="18"/>
              </w:rPr>
            </w:pPr>
            <w:r>
              <w:rPr>
                <w:sz w:val="18"/>
              </w:rPr>
              <w:t>33</w:t>
            </w:r>
          </w:p>
        </w:tc>
        <w:tc>
          <w:tcPr>
            <w:tcW w:w="1176" w:type="dxa"/>
          </w:tcPr>
          <w:p>
            <w:pPr>
              <w:pStyle w:val="TableParagraph"/>
              <w:spacing w:before="28"/>
              <w:ind w:left="87" w:right="71"/>
              <w:jc w:val="center"/>
              <w:rPr>
                <w:sz w:val="18"/>
              </w:rPr>
            </w:pPr>
            <w:r>
              <w:rPr>
                <w:sz w:val="18"/>
              </w:rPr>
              <w:t>34</w:t>
            </w:r>
          </w:p>
        </w:tc>
        <w:tc>
          <w:tcPr>
            <w:tcW w:w="1176" w:type="dxa"/>
          </w:tcPr>
          <w:p>
            <w:pPr>
              <w:pStyle w:val="TableParagraph"/>
              <w:spacing w:before="28"/>
              <w:ind w:left="87" w:right="76"/>
              <w:jc w:val="center"/>
              <w:rPr>
                <w:sz w:val="18"/>
              </w:rPr>
            </w:pPr>
            <w:r>
              <w:rPr>
                <w:sz w:val="18"/>
              </w:rPr>
              <w:t>NA</w:t>
            </w:r>
          </w:p>
        </w:tc>
        <w:tc>
          <w:tcPr>
            <w:tcW w:w="1344" w:type="dxa"/>
          </w:tcPr>
          <w:p>
            <w:pPr>
              <w:pStyle w:val="TableParagraph"/>
              <w:spacing w:before="28"/>
              <w:ind w:left="89" w:right="81"/>
              <w:jc w:val="center"/>
              <w:rPr>
                <w:sz w:val="18"/>
              </w:rPr>
            </w:pPr>
            <w:r>
              <w:rPr>
                <w:sz w:val="18"/>
              </w:rPr>
              <w:t>20</w:t>
            </w:r>
            <w:r>
              <w:rPr>
                <w:sz w:val="18"/>
                <w:vertAlign w:val="superscript"/>
              </w:rPr>
              <w:t>#</w:t>
            </w:r>
          </w:p>
        </w:tc>
        <w:tc>
          <w:tcPr>
            <w:tcW w:w="1176" w:type="dxa"/>
            <w:vMerge w:val="restart"/>
          </w:tcPr>
          <w:p>
            <w:pPr>
              <w:pStyle w:val="TableParagraph"/>
              <w:spacing w:before="165"/>
              <w:ind w:left="87" w:right="77"/>
              <w:jc w:val="center"/>
              <w:rPr>
                <w:sz w:val="18"/>
              </w:rPr>
            </w:pPr>
            <w:r>
              <w:rPr>
                <w:sz w:val="18"/>
              </w:rPr>
              <w:t>87</w:t>
            </w:r>
          </w:p>
        </w:tc>
      </w:tr>
      <w:tr>
        <w:trPr>
          <w:trHeight w:val="273" w:hRule="atLeast"/>
        </w:trPr>
        <w:tc>
          <w:tcPr>
            <w:tcW w:w="1879" w:type="dxa"/>
          </w:tcPr>
          <w:p>
            <w:pPr>
              <w:pStyle w:val="TableParagraph"/>
              <w:spacing w:before="28"/>
              <w:ind w:left="107"/>
              <w:rPr>
                <w:sz w:val="18"/>
              </w:rPr>
            </w:pPr>
            <w:r>
              <w:rPr>
                <w:sz w:val="18"/>
              </w:rPr>
              <w:t>Cold temperate, moist</w:t>
            </w:r>
          </w:p>
        </w:tc>
        <w:tc>
          <w:tcPr>
            <w:tcW w:w="1087" w:type="dxa"/>
          </w:tcPr>
          <w:p>
            <w:pPr>
              <w:pStyle w:val="TableParagraph"/>
              <w:spacing w:before="28"/>
              <w:ind w:left="89" w:right="77"/>
              <w:jc w:val="center"/>
              <w:rPr>
                <w:sz w:val="18"/>
              </w:rPr>
            </w:pPr>
            <w:r>
              <w:rPr>
                <w:sz w:val="18"/>
              </w:rPr>
              <w:t>95</w:t>
            </w:r>
          </w:p>
        </w:tc>
        <w:tc>
          <w:tcPr>
            <w:tcW w:w="1176" w:type="dxa"/>
          </w:tcPr>
          <w:p>
            <w:pPr>
              <w:pStyle w:val="TableParagraph"/>
              <w:spacing w:before="28"/>
              <w:ind w:left="87" w:right="68"/>
              <w:jc w:val="center"/>
              <w:rPr>
                <w:sz w:val="18"/>
              </w:rPr>
            </w:pPr>
            <w:r>
              <w:rPr>
                <w:sz w:val="18"/>
              </w:rPr>
              <w:t>85</w:t>
            </w:r>
          </w:p>
        </w:tc>
        <w:tc>
          <w:tcPr>
            <w:tcW w:w="1176" w:type="dxa"/>
          </w:tcPr>
          <w:p>
            <w:pPr>
              <w:pStyle w:val="TableParagraph"/>
              <w:spacing w:before="28"/>
              <w:ind w:left="87" w:right="69"/>
              <w:jc w:val="center"/>
              <w:rPr>
                <w:sz w:val="18"/>
              </w:rPr>
            </w:pPr>
            <w:r>
              <w:rPr>
                <w:sz w:val="18"/>
              </w:rPr>
              <w:t>71</w:t>
            </w:r>
          </w:p>
        </w:tc>
        <w:tc>
          <w:tcPr>
            <w:tcW w:w="1176" w:type="dxa"/>
          </w:tcPr>
          <w:p>
            <w:pPr>
              <w:pStyle w:val="TableParagraph"/>
              <w:spacing w:before="28"/>
              <w:ind w:left="87" w:right="75"/>
              <w:jc w:val="center"/>
              <w:rPr>
                <w:sz w:val="18"/>
              </w:rPr>
            </w:pPr>
            <w:r>
              <w:rPr>
                <w:sz w:val="18"/>
              </w:rPr>
              <w:t>115</w:t>
            </w:r>
          </w:p>
        </w:tc>
        <w:tc>
          <w:tcPr>
            <w:tcW w:w="1344" w:type="dxa"/>
          </w:tcPr>
          <w:p>
            <w:pPr>
              <w:pStyle w:val="TableParagraph"/>
              <w:spacing w:before="28"/>
              <w:ind w:left="89" w:right="79"/>
              <w:jc w:val="center"/>
              <w:rPr>
                <w:sz w:val="18"/>
              </w:rPr>
            </w:pPr>
            <w:r>
              <w:rPr>
                <w:sz w:val="18"/>
              </w:rPr>
              <w:t>130</w:t>
            </w:r>
          </w:p>
        </w:tc>
        <w:tc>
          <w:tcPr>
            <w:tcW w:w="1176" w:type="dxa"/>
            <w:vMerge/>
            <w:tcBorders>
              <w:top w:val="nil"/>
            </w:tcBorders>
          </w:tcPr>
          <w:p>
            <w:pPr>
              <w:rPr>
                <w:sz w:val="2"/>
                <w:szCs w:val="2"/>
              </w:rPr>
            </w:pPr>
          </w:p>
        </w:tc>
      </w:tr>
      <w:tr>
        <w:trPr>
          <w:trHeight w:val="273" w:hRule="atLeast"/>
        </w:trPr>
        <w:tc>
          <w:tcPr>
            <w:tcW w:w="1879" w:type="dxa"/>
          </w:tcPr>
          <w:p>
            <w:pPr>
              <w:pStyle w:val="TableParagraph"/>
              <w:spacing w:before="28"/>
              <w:ind w:left="107"/>
              <w:rPr>
                <w:sz w:val="18"/>
              </w:rPr>
            </w:pPr>
            <w:r>
              <w:rPr>
                <w:sz w:val="18"/>
              </w:rPr>
              <w:t>Warm temperate, dry</w:t>
            </w:r>
          </w:p>
        </w:tc>
        <w:tc>
          <w:tcPr>
            <w:tcW w:w="1087" w:type="dxa"/>
          </w:tcPr>
          <w:p>
            <w:pPr>
              <w:pStyle w:val="TableParagraph"/>
              <w:spacing w:before="28"/>
              <w:ind w:left="89" w:right="81"/>
              <w:jc w:val="center"/>
              <w:rPr>
                <w:sz w:val="18"/>
              </w:rPr>
            </w:pPr>
            <w:r>
              <w:rPr>
                <w:sz w:val="18"/>
              </w:rPr>
              <w:t>38</w:t>
            </w:r>
          </w:p>
        </w:tc>
        <w:tc>
          <w:tcPr>
            <w:tcW w:w="1176" w:type="dxa"/>
          </w:tcPr>
          <w:p>
            <w:pPr>
              <w:pStyle w:val="TableParagraph"/>
              <w:spacing w:before="28"/>
              <w:ind w:left="87" w:right="72"/>
              <w:jc w:val="center"/>
              <w:rPr>
                <w:sz w:val="18"/>
              </w:rPr>
            </w:pPr>
            <w:r>
              <w:rPr>
                <w:sz w:val="18"/>
              </w:rPr>
              <w:t>24</w:t>
            </w:r>
          </w:p>
        </w:tc>
        <w:tc>
          <w:tcPr>
            <w:tcW w:w="1176" w:type="dxa"/>
          </w:tcPr>
          <w:p>
            <w:pPr>
              <w:pStyle w:val="TableParagraph"/>
              <w:spacing w:before="28"/>
              <w:ind w:left="87" w:right="72"/>
              <w:jc w:val="center"/>
              <w:rPr>
                <w:sz w:val="18"/>
              </w:rPr>
            </w:pPr>
            <w:r>
              <w:rPr>
                <w:sz w:val="18"/>
              </w:rPr>
              <w:t>19</w:t>
            </w:r>
          </w:p>
        </w:tc>
        <w:tc>
          <w:tcPr>
            <w:tcW w:w="1176" w:type="dxa"/>
          </w:tcPr>
          <w:p>
            <w:pPr>
              <w:pStyle w:val="TableParagraph"/>
              <w:spacing w:before="28"/>
              <w:ind w:left="87" w:right="77"/>
              <w:jc w:val="center"/>
              <w:rPr>
                <w:sz w:val="18"/>
              </w:rPr>
            </w:pPr>
            <w:r>
              <w:rPr>
                <w:sz w:val="18"/>
              </w:rPr>
              <w:t>NA</w:t>
            </w:r>
          </w:p>
        </w:tc>
        <w:tc>
          <w:tcPr>
            <w:tcW w:w="1344" w:type="dxa"/>
          </w:tcPr>
          <w:p>
            <w:pPr>
              <w:pStyle w:val="TableParagraph"/>
              <w:spacing w:before="28"/>
              <w:ind w:left="89" w:right="82"/>
              <w:jc w:val="center"/>
              <w:rPr>
                <w:sz w:val="18"/>
              </w:rPr>
            </w:pPr>
            <w:r>
              <w:rPr>
                <w:sz w:val="18"/>
              </w:rPr>
              <w:t>70</w:t>
            </w:r>
            <w:r>
              <w:rPr>
                <w:sz w:val="18"/>
                <w:vertAlign w:val="superscript"/>
              </w:rPr>
              <w:t>#</w:t>
            </w:r>
          </w:p>
        </w:tc>
        <w:tc>
          <w:tcPr>
            <w:tcW w:w="1176" w:type="dxa"/>
            <w:vMerge w:val="restart"/>
          </w:tcPr>
          <w:p>
            <w:pPr>
              <w:pStyle w:val="TableParagraph"/>
              <w:spacing w:before="7"/>
              <w:rPr>
                <w:sz w:val="21"/>
              </w:rPr>
            </w:pPr>
          </w:p>
          <w:p>
            <w:pPr>
              <w:pStyle w:val="TableParagraph"/>
              <w:spacing w:before="1"/>
              <w:ind w:left="87" w:right="77"/>
              <w:jc w:val="center"/>
              <w:rPr>
                <w:sz w:val="18"/>
              </w:rPr>
            </w:pPr>
            <w:r>
              <w:rPr>
                <w:sz w:val="18"/>
              </w:rPr>
              <w:t>88</w:t>
            </w:r>
          </w:p>
        </w:tc>
      </w:tr>
      <w:tr>
        <w:trPr>
          <w:trHeight w:val="443" w:hRule="atLeast"/>
        </w:trPr>
        <w:tc>
          <w:tcPr>
            <w:tcW w:w="1879" w:type="dxa"/>
          </w:tcPr>
          <w:p>
            <w:pPr>
              <w:pStyle w:val="TableParagraph"/>
              <w:spacing w:before="9"/>
              <w:ind w:left="107" w:right="492"/>
              <w:rPr>
                <w:sz w:val="18"/>
              </w:rPr>
            </w:pPr>
            <w:r>
              <w:rPr>
                <w:sz w:val="18"/>
              </w:rPr>
              <w:t>Warm temperate, moist</w:t>
            </w:r>
          </w:p>
        </w:tc>
        <w:tc>
          <w:tcPr>
            <w:tcW w:w="1087" w:type="dxa"/>
          </w:tcPr>
          <w:p>
            <w:pPr>
              <w:pStyle w:val="TableParagraph"/>
              <w:spacing w:before="112"/>
              <w:ind w:left="89" w:right="82"/>
              <w:jc w:val="center"/>
              <w:rPr>
                <w:sz w:val="18"/>
              </w:rPr>
            </w:pPr>
            <w:r>
              <w:rPr>
                <w:sz w:val="18"/>
              </w:rPr>
              <w:t>88</w:t>
            </w:r>
          </w:p>
        </w:tc>
        <w:tc>
          <w:tcPr>
            <w:tcW w:w="1176" w:type="dxa"/>
          </w:tcPr>
          <w:p>
            <w:pPr>
              <w:pStyle w:val="TableParagraph"/>
              <w:spacing w:before="112"/>
              <w:ind w:left="87" w:right="72"/>
              <w:jc w:val="center"/>
              <w:rPr>
                <w:sz w:val="18"/>
              </w:rPr>
            </w:pPr>
            <w:r>
              <w:rPr>
                <w:sz w:val="18"/>
              </w:rPr>
              <w:t>63</w:t>
            </w:r>
          </w:p>
        </w:tc>
        <w:tc>
          <w:tcPr>
            <w:tcW w:w="1176" w:type="dxa"/>
          </w:tcPr>
          <w:p>
            <w:pPr>
              <w:pStyle w:val="TableParagraph"/>
              <w:spacing w:before="112"/>
              <w:ind w:left="87" w:right="72"/>
              <w:jc w:val="center"/>
              <w:rPr>
                <w:sz w:val="18"/>
              </w:rPr>
            </w:pPr>
            <w:r>
              <w:rPr>
                <w:sz w:val="18"/>
              </w:rPr>
              <w:t>34</w:t>
            </w:r>
          </w:p>
        </w:tc>
        <w:tc>
          <w:tcPr>
            <w:tcW w:w="1176" w:type="dxa"/>
          </w:tcPr>
          <w:p>
            <w:pPr>
              <w:pStyle w:val="TableParagraph"/>
              <w:spacing w:before="112"/>
              <w:ind w:left="87" w:right="77"/>
              <w:jc w:val="center"/>
              <w:rPr>
                <w:sz w:val="18"/>
              </w:rPr>
            </w:pPr>
            <w:r>
              <w:rPr>
                <w:sz w:val="18"/>
              </w:rPr>
              <w:t>NA</w:t>
            </w:r>
          </w:p>
        </w:tc>
        <w:tc>
          <w:tcPr>
            <w:tcW w:w="1344" w:type="dxa"/>
          </w:tcPr>
          <w:p>
            <w:pPr>
              <w:pStyle w:val="TableParagraph"/>
              <w:spacing w:before="112"/>
              <w:ind w:left="89" w:right="79"/>
              <w:jc w:val="center"/>
              <w:rPr>
                <w:sz w:val="18"/>
              </w:rPr>
            </w:pPr>
            <w:r>
              <w:rPr>
                <w:sz w:val="18"/>
              </w:rPr>
              <w:t>80</w:t>
            </w:r>
          </w:p>
        </w:tc>
        <w:tc>
          <w:tcPr>
            <w:tcW w:w="1176" w:type="dxa"/>
            <w:vMerge/>
            <w:tcBorders>
              <w:top w:val="nil"/>
            </w:tcBorders>
          </w:tcPr>
          <w:p>
            <w:pPr>
              <w:rPr>
                <w:sz w:val="2"/>
                <w:szCs w:val="2"/>
              </w:rPr>
            </w:pPr>
          </w:p>
        </w:tc>
      </w:tr>
      <w:tr>
        <w:trPr>
          <w:trHeight w:val="275" w:hRule="atLeast"/>
        </w:trPr>
        <w:tc>
          <w:tcPr>
            <w:tcW w:w="1879" w:type="dxa"/>
          </w:tcPr>
          <w:p>
            <w:pPr>
              <w:pStyle w:val="TableParagraph"/>
              <w:spacing w:before="28"/>
              <w:ind w:left="107"/>
              <w:rPr>
                <w:sz w:val="18"/>
              </w:rPr>
            </w:pPr>
            <w:r>
              <w:rPr>
                <w:sz w:val="18"/>
              </w:rPr>
              <w:t>Tropical, dry</w:t>
            </w:r>
          </w:p>
        </w:tc>
        <w:tc>
          <w:tcPr>
            <w:tcW w:w="1087" w:type="dxa"/>
          </w:tcPr>
          <w:p>
            <w:pPr>
              <w:pStyle w:val="TableParagraph"/>
              <w:spacing w:before="28"/>
              <w:ind w:left="89" w:right="80"/>
              <w:jc w:val="center"/>
              <w:rPr>
                <w:sz w:val="18"/>
              </w:rPr>
            </w:pPr>
            <w:r>
              <w:rPr>
                <w:sz w:val="18"/>
              </w:rPr>
              <w:t>38</w:t>
            </w:r>
          </w:p>
        </w:tc>
        <w:tc>
          <w:tcPr>
            <w:tcW w:w="1176" w:type="dxa"/>
          </w:tcPr>
          <w:p>
            <w:pPr>
              <w:pStyle w:val="TableParagraph"/>
              <w:spacing w:before="28"/>
              <w:ind w:left="87" w:right="71"/>
              <w:jc w:val="center"/>
              <w:rPr>
                <w:sz w:val="18"/>
              </w:rPr>
            </w:pPr>
            <w:r>
              <w:rPr>
                <w:sz w:val="18"/>
              </w:rPr>
              <w:t>35</w:t>
            </w:r>
          </w:p>
        </w:tc>
        <w:tc>
          <w:tcPr>
            <w:tcW w:w="1176" w:type="dxa"/>
          </w:tcPr>
          <w:p>
            <w:pPr>
              <w:pStyle w:val="TableParagraph"/>
              <w:spacing w:before="28"/>
              <w:ind w:left="87" w:right="71"/>
              <w:jc w:val="center"/>
              <w:rPr>
                <w:sz w:val="18"/>
              </w:rPr>
            </w:pPr>
            <w:r>
              <w:rPr>
                <w:sz w:val="18"/>
              </w:rPr>
              <w:t>31</w:t>
            </w:r>
          </w:p>
        </w:tc>
        <w:tc>
          <w:tcPr>
            <w:tcW w:w="1176" w:type="dxa"/>
          </w:tcPr>
          <w:p>
            <w:pPr>
              <w:pStyle w:val="TableParagraph"/>
              <w:spacing w:before="28"/>
              <w:ind w:left="87" w:right="76"/>
              <w:jc w:val="center"/>
              <w:rPr>
                <w:sz w:val="18"/>
              </w:rPr>
            </w:pPr>
            <w:r>
              <w:rPr>
                <w:sz w:val="18"/>
              </w:rPr>
              <w:t>NA</w:t>
            </w:r>
          </w:p>
        </w:tc>
        <w:tc>
          <w:tcPr>
            <w:tcW w:w="1344" w:type="dxa"/>
          </w:tcPr>
          <w:p>
            <w:pPr>
              <w:pStyle w:val="TableParagraph"/>
              <w:spacing w:before="28"/>
              <w:ind w:left="89" w:right="81"/>
              <w:jc w:val="center"/>
              <w:rPr>
                <w:sz w:val="18"/>
              </w:rPr>
            </w:pPr>
            <w:r>
              <w:rPr>
                <w:sz w:val="18"/>
              </w:rPr>
              <w:t>50</w:t>
            </w:r>
            <w:r>
              <w:rPr>
                <w:sz w:val="18"/>
                <w:vertAlign w:val="superscript"/>
              </w:rPr>
              <w:t>#</w:t>
            </w:r>
          </w:p>
        </w:tc>
        <w:tc>
          <w:tcPr>
            <w:tcW w:w="1176" w:type="dxa"/>
            <w:vMerge w:val="restart"/>
          </w:tcPr>
          <w:p>
            <w:pPr>
              <w:pStyle w:val="TableParagraph"/>
              <w:spacing w:before="7"/>
              <w:rPr>
                <w:sz w:val="26"/>
              </w:rPr>
            </w:pPr>
          </w:p>
          <w:p>
            <w:pPr>
              <w:pStyle w:val="TableParagraph"/>
              <w:spacing w:before="1"/>
              <w:ind w:left="87" w:right="77"/>
              <w:jc w:val="center"/>
              <w:rPr>
                <w:sz w:val="18"/>
              </w:rPr>
            </w:pPr>
            <w:r>
              <w:rPr>
                <w:sz w:val="18"/>
              </w:rPr>
              <w:t>86</w:t>
            </w:r>
          </w:p>
        </w:tc>
      </w:tr>
      <w:tr>
        <w:trPr>
          <w:trHeight w:val="273" w:hRule="atLeast"/>
        </w:trPr>
        <w:tc>
          <w:tcPr>
            <w:tcW w:w="1879" w:type="dxa"/>
          </w:tcPr>
          <w:p>
            <w:pPr>
              <w:pStyle w:val="TableParagraph"/>
              <w:spacing w:before="28"/>
              <w:ind w:left="107"/>
              <w:rPr>
                <w:sz w:val="18"/>
              </w:rPr>
            </w:pPr>
            <w:r>
              <w:rPr>
                <w:sz w:val="18"/>
              </w:rPr>
              <w:t>Tropical, moist</w:t>
            </w:r>
          </w:p>
        </w:tc>
        <w:tc>
          <w:tcPr>
            <w:tcW w:w="1087" w:type="dxa"/>
          </w:tcPr>
          <w:p>
            <w:pPr>
              <w:pStyle w:val="TableParagraph"/>
              <w:spacing w:before="28"/>
              <w:ind w:left="89" w:right="79"/>
              <w:jc w:val="center"/>
              <w:rPr>
                <w:sz w:val="18"/>
              </w:rPr>
            </w:pPr>
            <w:r>
              <w:rPr>
                <w:sz w:val="18"/>
              </w:rPr>
              <w:t>65</w:t>
            </w:r>
          </w:p>
        </w:tc>
        <w:tc>
          <w:tcPr>
            <w:tcW w:w="1176" w:type="dxa"/>
          </w:tcPr>
          <w:p>
            <w:pPr>
              <w:pStyle w:val="TableParagraph"/>
              <w:spacing w:before="28"/>
              <w:ind w:left="87" w:right="70"/>
              <w:jc w:val="center"/>
              <w:rPr>
                <w:sz w:val="18"/>
              </w:rPr>
            </w:pPr>
            <w:r>
              <w:rPr>
                <w:sz w:val="18"/>
              </w:rPr>
              <w:t>47</w:t>
            </w:r>
          </w:p>
        </w:tc>
        <w:tc>
          <w:tcPr>
            <w:tcW w:w="1176" w:type="dxa"/>
          </w:tcPr>
          <w:p>
            <w:pPr>
              <w:pStyle w:val="TableParagraph"/>
              <w:spacing w:before="28"/>
              <w:ind w:left="87" w:right="72"/>
              <w:jc w:val="center"/>
              <w:rPr>
                <w:sz w:val="18"/>
              </w:rPr>
            </w:pPr>
            <w:r>
              <w:rPr>
                <w:sz w:val="18"/>
              </w:rPr>
              <w:t>39</w:t>
            </w:r>
          </w:p>
        </w:tc>
        <w:tc>
          <w:tcPr>
            <w:tcW w:w="1176" w:type="dxa"/>
          </w:tcPr>
          <w:p>
            <w:pPr>
              <w:pStyle w:val="TableParagraph"/>
              <w:spacing w:before="28"/>
              <w:ind w:left="87" w:right="77"/>
              <w:jc w:val="center"/>
              <w:rPr>
                <w:sz w:val="18"/>
              </w:rPr>
            </w:pPr>
            <w:r>
              <w:rPr>
                <w:sz w:val="18"/>
              </w:rPr>
              <w:t>NA</w:t>
            </w:r>
          </w:p>
        </w:tc>
        <w:tc>
          <w:tcPr>
            <w:tcW w:w="1344" w:type="dxa"/>
          </w:tcPr>
          <w:p>
            <w:pPr>
              <w:pStyle w:val="TableParagraph"/>
              <w:spacing w:before="28"/>
              <w:ind w:left="89" w:right="81"/>
              <w:jc w:val="center"/>
              <w:rPr>
                <w:sz w:val="18"/>
              </w:rPr>
            </w:pPr>
            <w:r>
              <w:rPr>
                <w:sz w:val="18"/>
              </w:rPr>
              <w:t>70</w:t>
            </w:r>
            <w:r>
              <w:rPr>
                <w:sz w:val="18"/>
                <w:vertAlign w:val="superscript"/>
              </w:rPr>
              <w:t>#</w:t>
            </w:r>
          </w:p>
        </w:tc>
        <w:tc>
          <w:tcPr>
            <w:tcW w:w="1176" w:type="dxa"/>
            <w:vMerge/>
            <w:tcBorders>
              <w:top w:val="nil"/>
            </w:tcBorders>
          </w:tcPr>
          <w:p>
            <w:pPr>
              <w:rPr>
                <w:sz w:val="2"/>
                <w:szCs w:val="2"/>
              </w:rPr>
            </w:pPr>
          </w:p>
        </w:tc>
      </w:tr>
      <w:tr>
        <w:trPr>
          <w:trHeight w:val="273" w:hRule="atLeast"/>
        </w:trPr>
        <w:tc>
          <w:tcPr>
            <w:tcW w:w="1879" w:type="dxa"/>
          </w:tcPr>
          <w:p>
            <w:pPr>
              <w:pStyle w:val="TableParagraph"/>
              <w:spacing w:before="28"/>
              <w:ind w:left="107"/>
              <w:rPr>
                <w:sz w:val="18"/>
              </w:rPr>
            </w:pPr>
            <w:r>
              <w:rPr>
                <w:sz w:val="18"/>
              </w:rPr>
              <w:t>Tropical, wet</w:t>
            </w:r>
          </w:p>
        </w:tc>
        <w:tc>
          <w:tcPr>
            <w:tcW w:w="1087" w:type="dxa"/>
          </w:tcPr>
          <w:p>
            <w:pPr>
              <w:pStyle w:val="TableParagraph"/>
              <w:spacing w:before="28"/>
              <w:ind w:left="89" w:right="79"/>
              <w:jc w:val="center"/>
              <w:rPr>
                <w:sz w:val="18"/>
              </w:rPr>
            </w:pPr>
            <w:r>
              <w:rPr>
                <w:sz w:val="18"/>
              </w:rPr>
              <w:t>44</w:t>
            </w:r>
          </w:p>
        </w:tc>
        <w:tc>
          <w:tcPr>
            <w:tcW w:w="1176" w:type="dxa"/>
          </w:tcPr>
          <w:p>
            <w:pPr>
              <w:pStyle w:val="TableParagraph"/>
              <w:spacing w:before="28"/>
              <w:ind w:left="87" w:right="71"/>
              <w:jc w:val="center"/>
              <w:rPr>
                <w:sz w:val="18"/>
              </w:rPr>
            </w:pPr>
            <w:r>
              <w:rPr>
                <w:sz w:val="18"/>
              </w:rPr>
              <w:t>60</w:t>
            </w:r>
          </w:p>
        </w:tc>
        <w:tc>
          <w:tcPr>
            <w:tcW w:w="1176" w:type="dxa"/>
          </w:tcPr>
          <w:p>
            <w:pPr>
              <w:pStyle w:val="TableParagraph"/>
              <w:spacing w:before="28"/>
              <w:ind w:left="87" w:right="71"/>
              <w:jc w:val="center"/>
              <w:rPr>
                <w:sz w:val="18"/>
              </w:rPr>
            </w:pPr>
            <w:r>
              <w:rPr>
                <w:sz w:val="18"/>
              </w:rPr>
              <w:t>66</w:t>
            </w:r>
          </w:p>
        </w:tc>
        <w:tc>
          <w:tcPr>
            <w:tcW w:w="1176" w:type="dxa"/>
          </w:tcPr>
          <w:p>
            <w:pPr>
              <w:pStyle w:val="TableParagraph"/>
              <w:spacing w:before="28"/>
              <w:ind w:left="87" w:right="76"/>
              <w:jc w:val="center"/>
              <w:rPr>
                <w:sz w:val="18"/>
              </w:rPr>
            </w:pPr>
            <w:r>
              <w:rPr>
                <w:sz w:val="18"/>
              </w:rPr>
              <w:t>NA</w:t>
            </w:r>
          </w:p>
        </w:tc>
        <w:tc>
          <w:tcPr>
            <w:tcW w:w="1344" w:type="dxa"/>
          </w:tcPr>
          <w:p>
            <w:pPr>
              <w:pStyle w:val="TableParagraph"/>
              <w:spacing w:before="28"/>
              <w:ind w:left="89" w:right="81"/>
              <w:jc w:val="center"/>
              <w:rPr>
                <w:sz w:val="18"/>
              </w:rPr>
            </w:pPr>
            <w:r>
              <w:rPr>
                <w:sz w:val="18"/>
              </w:rPr>
              <w:t>130</w:t>
            </w:r>
            <w:r>
              <w:rPr>
                <w:sz w:val="18"/>
                <w:vertAlign w:val="superscript"/>
              </w:rPr>
              <w:t>#</w:t>
            </w:r>
          </w:p>
        </w:tc>
        <w:tc>
          <w:tcPr>
            <w:tcW w:w="1176" w:type="dxa"/>
            <w:vMerge/>
            <w:tcBorders>
              <w:top w:val="nil"/>
            </w:tcBorders>
          </w:tcPr>
          <w:p>
            <w:pPr>
              <w:rPr>
                <w:sz w:val="2"/>
                <w:szCs w:val="2"/>
              </w:rPr>
            </w:pPr>
          </w:p>
        </w:tc>
      </w:tr>
      <w:tr>
        <w:trPr>
          <w:trHeight w:val="3928" w:hRule="atLeast"/>
        </w:trPr>
        <w:tc>
          <w:tcPr>
            <w:tcW w:w="9014" w:type="dxa"/>
            <w:gridSpan w:val="7"/>
          </w:tcPr>
          <w:p>
            <w:pPr>
              <w:pStyle w:val="TableParagraph"/>
              <w:spacing w:before="35"/>
              <w:ind w:left="107" w:right="133" w:hanging="1"/>
              <w:rPr>
                <w:sz w:val="16"/>
              </w:rPr>
            </w:pPr>
            <w:r>
              <w:rPr>
                <w:sz w:val="16"/>
              </w:rPr>
              <w:t>Note: Data are derived from soil databases described by Jobbagy and Jackson (2000) and Bernoux </w:t>
            </w:r>
            <w:r>
              <w:rPr>
                <w:i/>
                <w:sz w:val="16"/>
              </w:rPr>
              <w:t>et al. </w:t>
            </w:r>
            <w:r>
              <w:rPr>
                <w:sz w:val="16"/>
              </w:rPr>
              <w:t>(2002). Mean stocks are shown. A default error estimate of 95% (expressed as 2X standard deviations as percent of the mean) are assumed for soil-climate types. NA denotes ‘not applicable’ because these soils do not normally occur in some climate zones.</w:t>
            </w:r>
          </w:p>
          <w:p>
            <w:pPr>
              <w:pStyle w:val="TableParagraph"/>
              <w:spacing w:before="101"/>
              <w:ind w:left="107"/>
              <w:rPr>
                <w:sz w:val="16"/>
              </w:rPr>
            </w:pPr>
            <w:r>
              <w:rPr>
                <w:sz w:val="16"/>
              </w:rPr>
              <w:t># indicates where no data were available and default values from </w:t>
            </w:r>
            <w:r>
              <w:rPr>
                <w:i/>
                <w:sz w:val="16"/>
              </w:rPr>
              <w:t>IPCC Guidelines </w:t>
            </w:r>
            <w:r>
              <w:rPr>
                <w:sz w:val="16"/>
              </w:rPr>
              <w:t>were retained.</w:t>
            </w:r>
          </w:p>
          <w:p>
            <w:pPr>
              <w:pStyle w:val="TableParagraph"/>
              <w:spacing w:before="85"/>
              <w:ind w:left="210" w:right="249" w:hanging="104"/>
              <w:rPr>
                <w:sz w:val="16"/>
              </w:rPr>
            </w:pPr>
            <w:r>
              <w:rPr>
                <w:position w:val="7"/>
                <w:sz w:val="10"/>
              </w:rPr>
              <w:t>1 </w:t>
            </w:r>
            <w:r>
              <w:rPr>
                <w:sz w:val="16"/>
              </w:rPr>
              <w:t>Soils with high activity clay (HAC) minerals are lightly to moderately weathered soils, which are dominated by 2:1 silicate clay minerals (in the World Reference Base for Soil Resources (WRB) classification these include Leptosols, Vertisols, Kastanozems, Chernozems, Phaeozems, Luvisols, Alisols, Albeluvisols, Solonetz, Calcisols, Gypsisols, Umbrisols, Cambisols, Regosols; in USDA classification includes Mollisols, Vertisols, high-base status Alfisols, Aridisols, Inceptisols).</w:t>
            </w:r>
          </w:p>
          <w:p>
            <w:pPr>
              <w:pStyle w:val="TableParagraph"/>
              <w:spacing w:before="88"/>
              <w:ind w:left="210" w:right="321" w:hanging="104"/>
              <w:rPr>
                <w:sz w:val="16"/>
              </w:rPr>
            </w:pPr>
            <w:r>
              <w:rPr>
                <w:position w:val="7"/>
                <w:sz w:val="10"/>
              </w:rPr>
              <w:t>2 </w:t>
            </w:r>
            <w:r>
              <w:rPr>
                <w:sz w:val="16"/>
              </w:rPr>
              <w:t>Soils with low activity clay (LAC) minerals are highly weathered soils, dominated by 1:1 clay minerals and amorphous iron and aluminium oxides (in WRB classification includes Acrisols, Lixisols, Nitisols, Ferralsols, Durisols; in USDA classification includes Ultisols, Oxisols, acidic Alfisols).</w:t>
            </w:r>
          </w:p>
          <w:p>
            <w:pPr>
              <w:pStyle w:val="TableParagraph"/>
              <w:spacing w:before="84"/>
              <w:ind w:left="210" w:right="371" w:hanging="104"/>
              <w:rPr>
                <w:sz w:val="16"/>
              </w:rPr>
            </w:pPr>
            <w:r>
              <w:rPr>
                <w:position w:val="7"/>
                <w:sz w:val="10"/>
              </w:rPr>
              <w:t>3 </w:t>
            </w:r>
            <w:r>
              <w:rPr>
                <w:sz w:val="16"/>
              </w:rPr>
              <w:t>Includes all soils (regardless of taxonomic classification) having &gt; 70% sand and &lt; 8% clay, based on standard textural analyses (in WRB classification includes Arenosols,; in USDA classification includes Psamments).</w:t>
            </w:r>
          </w:p>
          <w:p>
            <w:pPr>
              <w:pStyle w:val="TableParagraph"/>
              <w:spacing w:before="86"/>
              <w:ind w:left="107"/>
              <w:rPr>
                <w:sz w:val="16"/>
              </w:rPr>
            </w:pPr>
            <w:r>
              <w:rPr>
                <w:position w:val="7"/>
                <w:sz w:val="10"/>
              </w:rPr>
              <w:t>4 </w:t>
            </w:r>
            <w:r>
              <w:rPr>
                <w:sz w:val="16"/>
              </w:rPr>
              <w:t>Soils exhibiting strong podzolization (in WRB classification includes Podzols; in USDA classification Spodosols)</w:t>
            </w:r>
          </w:p>
          <w:p>
            <w:pPr>
              <w:pStyle w:val="TableParagraph"/>
              <w:spacing w:before="88"/>
              <w:ind w:left="107"/>
              <w:rPr>
                <w:sz w:val="16"/>
              </w:rPr>
            </w:pPr>
            <w:r>
              <w:rPr>
                <w:position w:val="7"/>
                <w:sz w:val="10"/>
              </w:rPr>
              <w:t>5 </w:t>
            </w:r>
            <w:r>
              <w:rPr>
                <w:sz w:val="16"/>
              </w:rPr>
              <w:t>Soils derived from volcanic ash with allophanic mineralogy (in WRB classification Andosols; in USDA classification Andisols)</w:t>
            </w:r>
          </w:p>
          <w:p>
            <w:pPr>
              <w:pStyle w:val="TableParagraph"/>
              <w:spacing w:before="85"/>
              <w:ind w:left="210" w:right="483" w:hanging="104"/>
              <w:rPr>
                <w:sz w:val="16"/>
              </w:rPr>
            </w:pPr>
            <w:r>
              <w:rPr>
                <w:position w:val="7"/>
                <w:sz w:val="10"/>
              </w:rPr>
              <w:t>6 </w:t>
            </w:r>
            <w:r>
              <w:rPr>
                <w:sz w:val="16"/>
              </w:rPr>
              <w:t>Soils with restricted drainage leading to periodic flooding and anaerobic conditions (in WRB classification Gleysols; in USDA classification Aquic suborders).</w:t>
            </w:r>
          </w:p>
        </w:tc>
      </w:tr>
    </w:tbl>
    <w:p>
      <w:pPr>
        <w:spacing w:after="0"/>
        <w:rPr>
          <w:sz w:val="16"/>
        </w:rPr>
        <w:sectPr>
          <w:pgSz w:w="11900" w:h="16840"/>
          <w:pgMar w:header="230" w:footer="408" w:top="560" w:bottom="600" w:left="1200" w:right="1140"/>
        </w:sectPr>
      </w:pPr>
    </w:p>
    <w:p>
      <w:pPr>
        <w:pStyle w:val="BodyText"/>
      </w:pPr>
    </w:p>
    <w:p>
      <w:pPr>
        <w:pStyle w:val="BodyText"/>
        <w:rPr>
          <w:sz w:val="19"/>
        </w:rPr>
      </w:pPr>
    </w:p>
    <w:tbl>
      <w:tblPr>
        <w:tblW w:w="0" w:type="auto"/>
        <w:jc w:val="left"/>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3"/>
        <w:gridCol w:w="1164"/>
        <w:gridCol w:w="895"/>
        <w:gridCol w:w="909"/>
        <w:gridCol w:w="839"/>
        <w:gridCol w:w="767"/>
        <w:gridCol w:w="3013"/>
      </w:tblGrid>
      <w:tr>
        <w:trPr>
          <w:trHeight w:val="740" w:hRule="atLeast"/>
        </w:trPr>
        <w:tc>
          <w:tcPr>
            <w:tcW w:w="9010" w:type="dxa"/>
            <w:gridSpan w:val="7"/>
            <w:tcBorders>
              <w:bottom w:val="double" w:sz="1" w:space="0" w:color="000000"/>
            </w:tcBorders>
          </w:tcPr>
          <w:p>
            <w:pPr>
              <w:pStyle w:val="TableParagraph"/>
              <w:spacing w:line="207" w:lineRule="exact" w:before="59"/>
              <w:ind w:left="1218" w:right="1206"/>
              <w:jc w:val="center"/>
              <w:rPr>
                <w:b/>
                <w:sz w:val="18"/>
              </w:rPr>
            </w:pPr>
            <w:r>
              <w:rPr>
                <w:b/>
                <w:sz w:val="18"/>
              </w:rPr>
              <w:t>T</w:t>
            </w:r>
            <w:r>
              <w:rPr>
                <w:b/>
                <w:sz w:val="14"/>
              </w:rPr>
              <w:t>ABLE </w:t>
            </w:r>
            <w:r>
              <w:rPr>
                <w:b/>
                <w:sz w:val="18"/>
              </w:rPr>
              <w:t>3.4.5</w:t>
            </w:r>
          </w:p>
          <w:p>
            <w:pPr>
              <w:pStyle w:val="TableParagraph"/>
              <w:spacing w:line="206" w:lineRule="exact"/>
              <w:ind w:left="1217" w:right="1206"/>
              <w:jc w:val="center"/>
              <w:rPr>
                <w:b/>
                <w:sz w:val="14"/>
              </w:rPr>
            </w:pPr>
            <w:r>
              <w:rPr>
                <w:b/>
                <w:sz w:val="18"/>
              </w:rPr>
              <w:t>R</w:t>
            </w:r>
            <w:r>
              <w:rPr>
                <w:b/>
                <w:sz w:val="14"/>
              </w:rPr>
              <w:t>ELATIVE STOCK CHANGE FACTORS FOR GRASSLAND MANAGEMENT</w:t>
            </w:r>
          </w:p>
          <w:p>
            <w:pPr>
              <w:pStyle w:val="TableParagraph"/>
              <w:spacing w:line="207" w:lineRule="exact"/>
              <w:ind w:left="1219" w:right="1206"/>
              <w:jc w:val="center"/>
              <w:rPr>
                <w:b/>
                <w:sz w:val="18"/>
              </w:rPr>
            </w:pPr>
            <w:r>
              <w:rPr>
                <w:b/>
                <w:sz w:val="18"/>
              </w:rPr>
              <w:t>[S</w:t>
            </w:r>
            <w:r>
              <w:rPr>
                <w:b/>
                <w:sz w:val="14"/>
              </w:rPr>
              <w:t>EE </w:t>
            </w:r>
            <w:r>
              <w:rPr>
                <w:b/>
                <w:sz w:val="18"/>
              </w:rPr>
              <w:t>S</w:t>
            </w:r>
            <w:r>
              <w:rPr>
                <w:b/>
                <w:sz w:val="14"/>
              </w:rPr>
              <w:t>ECTION </w:t>
            </w:r>
            <w:r>
              <w:rPr>
                <w:b/>
                <w:sz w:val="18"/>
              </w:rPr>
              <w:t>3.4.7 </w:t>
            </w:r>
            <w:r>
              <w:rPr>
                <w:b/>
                <w:sz w:val="14"/>
              </w:rPr>
              <w:t>FOR METHODS USED TO ESTIMATE THE STOCK CHANGE FACTORS</w:t>
            </w:r>
            <w:r>
              <w:rPr>
                <w:b/>
                <w:sz w:val="18"/>
              </w:rPr>
              <w:t>]</w:t>
            </w:r>
          </w:p>
        </w:tc>
      </w:tr>
      <w:tr>
        <w:trPr>
          <w:trHeight w:val="649" w:hRule="atLeast"/>
        </w:trPr>
        <w:tc>
          <w:tcPr>
            <w:tcW w:w="1423" w:type="dxa"/>
            <w:tcBorders>
              <w:top w:val="double" w:sz="1" w:space="0" w:color="000000"/>
            </w:tcBorders>
          </w:tcPr>
          <w:p>
            <w:pPr>
              <w:pStyle w:val="TableParagraph"/>
              <w:spacing w:before="4"/>
              <w:rPr>
                <w:sz w:val="19"/>
              </w:rPr>
            </w:pPr>
          </w:p>
          <w:p>
            <w:pPr>
              <w:pStyle w:val="TableParagraph"/>
              <w:ind w:left="458"/>
              <w:rPr>
                <w:b/>
                <w:sz w:val="18"/>
              </w:rPr>
            </w:pPr>
            <w:r>
              <w:rPr>
                <w:b/>
                <w:sz w:val="18"/>
              </w:rPr>
              <w:t>Factor</w:t>
            </w:r>
          </w:p>
        </w:tc>
        <w:tc>
          <w:tcPr>
            <w:tcW w:w="1164" w:type="dxa"/>
            <w:tcBorders>
              <w:top w:val="double" w:sz="1" w:space="0" w:color="000000"/>
            </w:tcBorders>
          </w:tcPr>
          <w:p>
            <w:pPr>
              <w:pStyle w:val="TableParagraph"/>
              <w:spacing w:before="4"/>
              <w:rPr>
                <w:sz w:val="19"/>
              </w:rPr>
            </w:pPr>
          </w:p>
          <w:p>
            <w:pPr>
              <w:pStyle w:val="TableParagraph"/>
              <w:ind w:left="372"/>
              <w:rPr>
                <w:b/>
                <w:sz w:val="18"/>
              </w:rPr>
            </w:pPr>
            <w:r>
              <w:rPr>
                <w:b/>
                <w:sz w:val="18"/>
              </w:rPr>
              <w:t>Level</w:t>
            </w:r>
          </w:p>
        </w:tc>
        <w:tc>
          <w:tcPr>
            <w:tcW w:w="895" w:type="dxa"/>
            <w:tcBorders>
              <w:top w:val="double" w:sz="1" w:space="0" w:color="000000"/>
            </w:tcBorders>
          </w:tcPr>
          <w:p>
            <w:pPr>
              <w:pStyle w:val="TableParagraph"/>
              <w:spacing w:before="119"/>
              <w:ind w:left="182" w:right="114" w:hanging="41"/>
              <w:rPr>
                <w:b/>
                <w:sz w:val="18"/>
              </w:rPr>
            </w:pPr>
            <w:r>
              <w:rPr>
                <w:b/>
                <w:sz w:val="18"/>
              </w:rPr>
              <w:t>Climate regime</w:t>
            </w:r>
          </w:p>
        </w:tc>
        <w:tc>
          <w:tcPr>
            <w:tcW w:w="909" w:type="dxa"/>
            <w:tcBorders>
              <w:top w:val="double" w:sz="1" w:space="0" w:color="000000"/>
            </w:tcBorders>
          </w:tcPr>
          <w:p>
            <w:pPr>
              <w:pStyle w:val="TableParagraph"/>
              <w:spacing w:line="207" w:lineRule="exact" w:before="13"/>
              <w:ind w:left="32" w:right="22"/>
              <w:jc w:val="center"/>
              <w:rPr>
                <w:rFonts w:ascii="TimesNewRomanPS-BoldItalicMT"/>
                <w:b/>
                <w:i/>
                <w:sz w:val="18"/>
              </w:rPr>
            </w:pPr>
            <w:r>
              <w:rPr>
                <w:rFonts w:ascii="TimesNewRomanPS-BoldItalicMT"/>
                <w:b/>
                <w:i/>
                <w:sz w:val="18"/>
              </w:rPr>
              <w:t>IPCC</w:t>
            </w:r>
          </w:p>
          <w:p>
            <w:pPr>
              <w:pStyle w:val="TableParagraph"/>
              <w:spacing w:line="206" w:lineRule="exact"/>
              <w:ind w:left="35" w:right="22"/>
              <w:jc w:val="center"/>
              <w:rPr>
                <w:rFonts w:ascii="TimesNewRomanPS-BoldItalicMT"/>
                <w:b/>
                <w:i/>
                <w:sz w:val="18"/>
              </w:rPr>
            </w:pPr>
            <w:r>
              <w:rPr>
                <w:rFonts w:ascii="TimesNewRomanPS-BoldItalicMT"/>
                <w:b/>
                <w:i/>
                <w:sz w:val="18"/>
              </w:rPr>
              <w:t>Guidelines</w:t>
            </w:r>
          </w:p>
          <w:p>
            <w:pPr>
              <w:pStyle w:val="TableParagraph"/>
              <w:spacing w:line="203" w:lineRule="exact"/>
              <w:ind w:left="35" w:right="22"/>
              <w:jc w:val="center"/>
              <w:rPr>
                <w:b/>
                <w:sz w:val="18"/>
              </w:rPr>
            </w:pPr>
            <w:r>
              <w:rPr>
                <w:b/>
                <w:sz w:val="18"/>
              </w:rPr>
              <w:t>default</w:t>
            </w:r>
          </w:p>
        </w:tc>
        <w:tc>
          <w:tcPr>
            <w:tcW w:w="839" w:type="dxa"/>
            <w:tcBorders>
              <w:top w:val="double" w:sz="1" w:space="0" w:color="000000"/>
            </w:tcBorders>
          </w:tcPr>
          <w:p>
            <w:pPr>
              <w:pStyle w:val="TableParagraph"/>
              <w:spacing w:line="207" w:lineRule="exact" w:before="13"/>
              <w:ind w:left="226"/>
              <w:rPr>
                <w:b/>
                <w:sz w:val="18"/>
              </w:rPr>
            </w:pPr>
            <w:r>
              <w:rPr>
                <w:b/>
                <w:sz w:val="18"/>
              </w:rPr>
              <w:t>GPG</w:t>
            </w:r>
          </w:p>
          <w:p>
            <w:pPr>
              <w:pStyle w:val="TableParagraph"/>
              <w:spacing w:line="206" w:lineRule="exact" w:before="3"/>
              <w:ind w:left="152" w:right="112" w:hanging="5"/>
              <w:rPr>
                <w:b/>
                <w:sz w:val="18"/>
              </w:rPr>
            </w:pPr>
            <w:r>
              <w:rPr>
                <w:b/>
                <w:sz w:val="18"/>
              </w:rPr>
              <w:t>revised default</w:t>
            </w:r>
          </w:p>
        </w:tc>
        <w:tc>
          <w:tcPr>
            <w:tcW w:w="767" w:type="dxa"/>
            <w:tcBorders>
              <w:top w:val="double" w:sz="1" w:space="0" w:color="000000"/>
            </w:tcBorders>
          </w:tcPr>
          <w:p>
            <w:pPr>
              <w:pStyle w:val="TableParagraph"/>
              <w:spacing w:before="4"/>
              <w:rPr>
                <w:sz w:val="19"/>
              </w:rPr>
            </w:pPr>
          </w:p>
          <w:p>
            <w:pPr>
              <w:pStyle w:val="TableParagraph"/>
              <w:ind w:left="45" w:right="31"/>
              <w:jc w:val="center"/>
              <w:rPr>
                <w:b/>
                <w:sz w:val="18"/>
              </w:rPr>
            </w:pPr>
            <w:r>
              <w:rPr>
                <w:b/>
                <w:sz w:val="18"/>
              </w:rPr>
              <w:t>Error </w:t>
            </w:r>
            <w:r>
              <w:rPr>
                <w:b/>
                <w:sz w:val="18"/>
                <w:vertAlign w:val="superscript"/>
              </w:rPr>
              <w:t>1,2</w:t>
            </w:r>
          </w:p>
        </w:tc>
        <w:tc>
          <w:tcPr>
            <w:tcW w:w="3013" w:type="dxa"/>
            <w:tcBorders>
              <w:top w:val="double" w:sz="1" w:space="0" w:color="000000"/>
            </w:tcBorders>
          </w:tcPr>
          <w:p>
            <w:pPr>
              <w:pStyle w:val="TableParagraph"/>
              <w:spacing w:before="4"/>
              <w:rPr>
                <w:sz w:val="19"/>
              </w:rPr>
            </w:pPr>
          </w:p>
          <w:p>
            <w:pPr>
              <w:pStyle w:val="TableParagraph"/>
              <w:ind w:left="1105" w:right="1087"/>
              <w:jc w:val="center"/>
              <w:rPr>
                <w:b/>
                <w:sz w:val="18"/>
              </w:rPr>
            </w:pPr>
            <w:r>
              <w:rPr>
                <w:b/>
                <w:sz w:val="18"/>
              </w:rPr>
              <w:t>Definition</w:t>
            </w:r>
          </w:p>
        </w:tc>
      </w:tr>
      <w:tr>
        <w:trPr>
          <w:trHeight w:val="501" w:hRule="atLeast"/>
        </w:trPr>
        <w:tc>
          <w:tcPr>
            <w:tcW w:w="1423" w:type="dxa"/>
          </w:tcPr>
          <w:p>
            <w:pPr>
              <w:pStyle w:val="TableParagraph"/>
              <w:spacing w:before="38"/>
              <w:ind w:left="57" w:right="681"/>
              <w:rPr>
                <w:sz w:val="18"/>
              </w:rPr>
            </w:pPr>
            <w:r>
              <w:rPr>
                <w:sz w:val="18"/>
              </w:rPr>
              <w:t>Land use (F</w:t>
            </w:r>
            <w:r>
              <w:rPr>
                <w:sz w:val="18"/>
                <w:vertAlign w:val="subscript"/>
              </w:rPr>
              <w:t>LU</w:t>
            </w:r>
            <w:r>
              <w:rPr>
                <w:sz w:val="18"/>
                <w:vertAlign w:val="baseline"/>
              </w:rPr>
              <w:t>)</w:t>
            </w:r>
          </w:p>
        </w:tc>
        <w:tc>
          <w:tcPr>
            <w:tcW w:w="1164" w:type="dxa"/>
          </w:tcPr>
          <w:p>
            <w:pPr>
              <w:pStyle w:val="TableParagraph"/>
              <w:spacing w:before="141"/>
              <w:ind w:left="57"/>
              <w:rPr>
                <w:sz w:val="18"/>
              </w:rPr>
            </w:pPr>
            <w:r>
              <w:rPr>
                <w:sz w:val="18"/>
              </w:rPr>
              <w:t>All</w:t>
            </w:r>
          </w:p>
        </w:tc>
        <w:tc>
          <w:tcPr>
            <w:tcW w:w="895" w:type="dxa"/>
          </w:tcPr>
          <w:p>
            <w:pPr>
              <w:pStyle w:val="TableParagraph"/>
              <w:spacing w:before="141"/>
              <w:ind w:left="108"/>
              <w:rPr>
                <w:sz w:val="18"/>
              </w:rPr>
            </w:pPr>
            <w:r>
              <w:rPr>
                <w:sz w:val="18"/>
              </w:rPr>
              <w:t>All</w:t>
            </w:r>
          </w:p>
        </w:tc>
        <w:tc>
          <w:tcPr>
            <w:tcW w:w="909" w:type="dxa"/>
          </w:tcPr>
          <w:p>
            <w:pPr>
              <w:pStyle w:val="TableParagraph"/>
              <w:spacing w:before="141"/>
              <w:ind w:left="342"/>
              <w:rPr>
                <w:sz w:val="18"/>
              </w:rPr>
            </w:pPr>
            <w:r>
              <w:rPr>
                <w:sz w:val="18"/>
              </w:rPr>
              <w:t>1.0</w:t>
            </w:r>
          </w:p>
        </w:tc>
        <w:tc>
          <w:tcPr>
            <w:tcW w:w="839" w:type="dxa"/>
          </w:tcPr>
          <w:p>
            <w:pPr>
              <w:pStyle w:val="TableParagraph"/>
              <w:spacing w:before="141"/>
              <w:ind w:right="290"/>
              <w:jc w:val="right"/>
              <w:rPr>
                <w:sz w:val="18"/>
              </w:rPr>
            </w:pPr>
            <w:r>
              <w:rPr>
                <w:sz w:val="18"/>
              </w:rPr>
              <w:t>1.0</w:t>
            </w:r>
          </w:p>
        </w:tc>
        <w:tc>
          <w:tcPr>
            <w:tcW w:w="767" w:type="dxa"/>
          </w:tcPr>
          <w:p>
            <w:pPr>
              <w:pStyle w:val="TableParagraph"/>
              <w:spacing w:before="141"/>
              <w:ind w:left="45" w:right="25"/>
              <w:jc w:val="center"/>
              <w:rPr>
                <w:sz w:val="18"/>
              </w:rPr>
            </w:pPr>
            <w:r>
              <w:rPr>
                <w:sz w:val="18"/>
              </w:rPr>
              <w:t>NA</w:t>
            </w:r>
          </w:p>
        </w:tc>
        <w:tc>
          <w:tcPr>
            <w:tcW w:w="3013" w:type="dxa"/>
          </w:tcPr>
          <w:p>
            <w:pPr>
              <w:pStyle w:val="TableParagraph"/>
              <w:spacing w:before="38"/>
              <w:ind w:left="60" w:right="208"/>
              <w:rPr>
                <w:sz w:val="18"/>
              </w:rPr>
            </w:pPr>
            <w:r>
              <w:rPr>
                <w:sz w:val="18"/>
              </w:rPr>
              <w:t>All permanent grassland is assigned a land use factor of 1.</w:t>
            </w:r>
          </w:p>
        </w:tc>
      </w:tr>
      <w:tr>
        <w:trPr>
          <w:trHeight w:val="839" w:hRule="atLeast"/>
        </w:trPr>
        <w:tc>
          <w:tcPr>
            <w:tcW w:w="1423" w:type="dxa"/>
          </w:tcPr>
          <w:p>
            <w:pPr>
              <w:pStyle w:val="TableParagraph"/>
              <w:spacing w:before="1"/>
              <w:rPr>
                <w:sz w:val="18"/>
              </w:rPr>
            </w:pPr>
          </w:p>
          <w:p>
            <w:pPr>
              <w:pStyle w:val="TableParagraph"/>
              <w:ind w:left="57" w:right="396"/>
              <w:rPr>
                <w:sz w:val="18"/>
              </w:rPr>
            </w:pPr>
            <w:r>
              <w:rPr>
                <w:sz w:val="18"/>
              </w:rPr>
              <w:t>Management (F</w:t>
            </w:r>
            <w:r>
              <w:rPr>
                <w:sz w:val="18"/>
                <w:vertAlign w:val="subscript"/>
              </w:rPr>
              <w:t>MG</w:t>
            </w:r>
            <w:r>
              <w:rPr>
                <w:sz w:val="18"/>
                <w:vertAlign w:val="baseline"/>
              </w:rPr>
              <w:t>)</w:t>
            </w:r>
          </w:p>
        </w:tc>
        <w:tc>
          <w:tcPr>
            <w:tcW w:w="1164" w:type="dxa"/>
          </w:tcPr>
          <w:p>
            <w:pPr>
              <w:pStyle w:val="TableParagraph"/>
              <w:spacing w:before="105"/>
              <w:ind w:left="57" w:right="52"/>
              <w:rPr>
                <w:sz w:val="18"/>
              </w:rPr>
            </w:pPr>
            <w:r>
              <w:rPr>
                <w:sz w:val="18"/>
              </w:rPr>
              <w:t>Nominally managed (non</w:t>
            </w:r>
          </w:p>
          <w:p>
            <w:pPr>
              <w:pStyle w:val="TableParagraph"/>
              <w:spacing w:line="206" w:lineRule="exact"/>
              <w:ind w:left="57"/>
              <w:rPr>
                <w:sz w:val="18"/>
              </w:rPr>
            </w:pPr>
            <w:r>
              <w:rPr>
                <w:sz w:val="18"/>
              </w:rPr>
              <w:t>–degraded)</w:t>
            </w:r>
          </w:p>
        </w:tc>
        <w:tc>
          <w:tcPr>
            <w:tcW w:w="895" w:type="dxa"/>
          </w:tcPr>
          <w:p>
            <w:pPr>
              <w:pStyle w:val="TableParagraph"/>
              <w:spacing w:before="1"/>
              <w:rPr>
                <w:sz w:val="27"/>
              </w:rPr>
            </w:pPr>
          </w:p>
          <w:p>
            <w:pPr>
              <w:pStyle w:val="TableParagraph"/>
              <w:ind w:left="55"/>
              <w:rPr>
                <w:sz w:val="18"/>
              </w:rPr>
            </w:pPr>
            <w:r>
              <w:rPr>
                <w:sz w:val="18"/>
              </w:rPr>
              <w:t>All</w:t>
            </w:r>
          </w:p>
        </w:tc>
        <w:tc>
          <w:tcPr>
            <w:tcW w:w="909" w:type="dxa"/>
          </w:tcPr>
          <w:p>
            <w:pPr>
              <w:pStyle w:val="TableParagraph"/>
              <w:spacing w:before="1"/>
              <w:rPr>
                <w:sz w:val="27"/>
              </w:rPr>
            </w:pPr>
          </w:p>
          <w:p>
            <w:pPr>
              <w:pStyle w:val="TableParagraph"/>
              <w:ind w:left="342"/>
              <w:rPr>
                <w:sz w:val="18"/>
              </w:rPr>
            </w:pPr>
            <w:r>
              <w:rPr>
                <w:sz w:val="18"/>
              </w:rPr>
              <w:t>1.0</w:t>
            </w:r>
          </w:p>
        </w:tc>
        <w:tc>
          <w:tcPr>
            <w:tcW w:w="839" w:type="dxa"/>
          </w:tcPr>
          <w:p>
            <w:pPr>
              <w:pStyle w:val="TableParagraph"/>
              <w:spacing w:before="1"/>
              <w:rPr>
                <w:sz w:val="27"/>
              </w:rPr>
            </w:pPr>
          </w:p>
          <w:p>
            <w:pPr>
              <w:pStyle w:val="TableParagraph"/>
              <w:ind w:right="290"/>
              <w:jc w:val="right"/>
              <w:rPr>
                <w:sz w:val="18"/>
              </w:rPr>
            </w:pPr>
            <w:r>
              <w:rPr>
                <w:sz w:val="18"/>
              </w:rPr>
              <w:t>1.0</w:t>
            </w:r>
          </w:p>
        </w:tc>
        <w:tc>
          <w:tcPr>
            <w:tcW w:w="767" w:type="dxa"/>
          </w:tcPr>
          <w:p>
            <w:pPr>
              <w:pStyle w:val="TableParagraph"/>
              <w:spacing w:before="1"/>
              <w:rPr>
                <w:sz w:val="27"/>
              </w:rPr>
            </w:pPr>
          </w:p>
          <w:p>
            <w:pPr>
              <w:pStyle w:val="TableParagraph"/>
              <w:ind w:left="45" w:right="25"/>
              <w:jc w:val="center"/>
              <w:rPr>
                <w:sz w:val="18"/>
              </w:rPr>
            </w:pPr>
            <w:r>
              <w:rPr>
                <w:sz w:val="18"/>
              </w:rPr>
              <w:t>NA</w:t>
            </w:r>
          </w:p>
        </w:tc>
        <w:tc>
          <w:tcPr>
            <w:tcW w:w="3013" w:type="dxa"/>
          </w:tcPr>
          <w:p>
            <w:pPr>
              <w:pStyle w:val="TableParagraph"/>
              <w:spacing w:line="206" w:lineRule="exact" w:before="5"/>
              <w:ind w:left="60" w:right="373"/>
              <w:rPr>
                <w:sz w:val="18"/>
              </w:rPr>
            </w:pPr>
            <w:r>
              <w:rPr>
                <w:sz w:val="18"/>
              </w:rPr>
              <w:t>Represents, non-degraded and sustainably managed grassland, but without significant management improvements.</w:t>
            </w:r>
          </w:p>
        </w:tc>
      </w:tr>
      <w:tr>
        <w:trPr>
          <w:trHeight w:val="556" w:hRule="atLeast"/>
        </w:trPr>
        <w:tc>
          <w:tcPr>
            <w:tcW w:w="1423" w:type="dxa"/>
            <w:vMerge w:val="restart"/>
          </w:tcPr>
          <w:p>
            <w:pPr>
              <w:pStyle w:val="TableParagraph"/>
              <w:rPr>
                <w:sz w:val="25"/>
              </w:rPr>
            </w:pPr>
          </w:p>
          <w:p>
            <w:pPr>
              <w:pStyle w:val="TableParagraph"/>
              <w:ind w:left="57" w:right="396"/>
              <w:rPr>
                <w:sz w:val="18"/>
              </w:rPr>
            </w:pPr>
            <w:r>
              <w:rPr>
                <w:sz w:val="18"/>
              </w:rPr>
              <w:t>Management (F</w:t>
            </w:r>
            <w:r>
              <w:rPr>
                <w:sz w:val="18"/>
                <w:vertAlign w:val="subscript"/>
              </w:rPr>
              <w:t>MG</w:t>
            </w:r>
            <w:r>
              <w:rPr>
                <w:sz w:val="18"/>
                <w:vertAlign w:val="baseline"/>
              </w:rPr>
              <w:t>)</w:t>
            </w:r>
          </w:p>
        </w:tc>
        <w:tc>
          <w:tcPr>
            <w:tcW w:w="1164" w:type="dxa"/>
            <w:vMerge w:val="restart"/>
          </w:tcPr>
          <w:p>
            <w:pPr>
              <w:pStyle w:val="TableParagraph"/>
              <w:rPr>
                <w:sz w:val="16"/>
              </w:rPr>
            </w:pPr>
          </w:p>
          <w:p>
            <w:pPr>
              <w:pStyle w:val="TableParagraph"/>
              <w:ind w:left="57" w:right="247"/>
              <w:rPr>
                <w:sz w:val="18"/>
              </w:rPr>
            </w:pPr>
            <w:r>
              <w:rPr>
                <w:sz w:val="18"/>
              </w:rPr>
              <w:t>Moderately degraded grassland</w:t>
            </w:r>
          </w:p>
        </w:tc>
        <w:tc>
          <w:tcPr>
            <w:tcW w:w="895" w:type="dxa"/>
          </w:tcPr>
          <w:p>
            <w:pPr>
              <w:pStyle w:val="TableParagraph"/>
              <w:spacing w:line="207" w:lineRule="exact" w:before="67"/>
              <w:ind w:left="55"/>
              <w:rPr>
                <w:sz w:val="18"/>
              </w:rPr>
            </w:pPr>
            <w:r>
              <w:rPr>
                <w:sz w:val="18"/>
              </w:rPr>
              <w:t>Temperate</w:t>
            </w:r>
          </w:p>
          <w:p>
            <w:pPr>
              <w:pStyle w:val="TableParagraph"/>
              <w:spacing w:line="207" w:lineRule="exact"/>
              <w:ind w:left="55"/>
              <w:rPr>
                <w:sz w:val="18"/>
              </w:rPr>
            </w:pPr>
            <w:r>
              <w:rPr>
                <w:sz w:val="18"/>
              </w:rPr>
              <w:t>/Boreal</w:t>
            </w:r>
          </w:p>
        </w:tc>
        <w:tc>
          <w:tcPr>
            <w:tcW w:w="909" w:type="dxa"/>
          </w:tcPr>
          <w:p>
            <w:pPr>
              <w:pStyle w:val="TableParagraph"/>
              <w:spacing w:before="170"/>
              <w:ind w:left="326"/>
              <w:rPr>
                <w:sz w:val="18"/>
              </w:rPr>
            </w:pPr>
            <w:r>
              <w:rPr>
                <w:sz w:val="18"/>
              </w:rPr>
              <w:t>NA</w:t>
            </w:r>
          </w:p>
        </w:tc>
        <w:tc>
          <w:tcPr>
            <w:tcW w:w="839" w:type="dxa"/>
          </w:tcPr>
          <w:p>
            <w:pPr>
              <w:pStyle w:val="TableParagraph"/>
              <w:spacing w:before="170"/>
              <w:ind w:right="249"/>
              <w:jc w:val="right"/>
              <w:rPr>
                <w:sz w:val="18"/>
              </w:rPr>
            </w:pPr>
            <w:r>
              <w:rPr>
                <w:sz w:val="18"/>
              </w:rPr>
              <w:t>0.95</w:t>
            </w:r>
          </w:p>
        </w:tc>
        <w:tc>
          <w:tcPr>
            <w:tcW w:w="767" w:type="dxa"/>
          </w:tcPr>
          <w:p>
            <w:pPr>
              <w:pStyle w:val="TableParagraph"/>
              <w:spacing w:before="170"/>
              <w:ind w:left="45" w:right="27"/>
              <w:jc w:val="center"/>
              <w:rPr>
                <w:sz w:val="18"/>
              </w:rPr>
            </w:pPr>
            <w:r>
              <w:rPr>
                <w:sz w:val="18"/>
                <w:u w:val="single"/>
              </w:rPr>
              <w:t>+</w:t>
            </w:r>
            <w:r>
              <w:rPr>
                <w:sz w:val="18"/>
              </w:rPr>
              <w:t> 12%</w:t>
            </w:r>
          </w:p>
        </w:tc>
        <w:tc>
          <w:tcPr>
            <w:tcW w:w="3013" w:type="dxa"/>
            <w:vMerge w:val="restart"/>
          </w:tcPr>
          <w:p>
            <w:pPr>
              <w:pStyle w:val="TableParagraph"/>
              <w:ind w:left="60" w:right="208"/>
              <w:rPr>
                <w:sz w:val="18"/>
              </w:rPr>
            </w:pPr>
            <w:r>
              <w:rPr>
                <w:sz w:val="18"/>
              </w:rPr>
              <w:t>Represents overgrazed or moderately degraded grassland, with somewhat reduced productivity (relative to the</w:t>
            </w:r>
          </w:p>
          <w:p>
            <w:pPr>
              <w:pStyle w:val="TableParagraph"/>
              <w:spacing w:line="206" w:lineRule="exact"/>
              <w:ind w:left="60" w:right="33"/>
              <w:rPr>
                <w:sz w:val="18"/>
              </w:rPr>
            </w:pPr>
            <w:r>
              <w:rPr>
                <w:sz w:val="18"/>
              </w:rPr>
              <w:t>native or nominally managed grassland) and receiving no management inputs.</w:t>
            </w:r>
          </w:p>
        </w:tc>
      </w:tr>
      <w:tr>
        <w:trPr>
          <w:trHeight w:val="445" w:hRule="atLeast"/>
        </w:trPr>
        <w:tc>
          <w:tcPr>
            <w:tcW w:w="1423" w:type="dxa"/>
            <w:vMerge/>
            <w:tcBorders>
              <w:top w:val="nil"/>
            </w:tcBorders>
          </w:tcPr>
          <w:p>
            <w:pPr>
              <w:rPr>
                <w:sz w:val="2"/>
                <w:szCs w:val="2"/>
              </w:rPr>
            </w:pPr>
          </w:p>
        </w:tc>
        <w:tc>
          <w:tcPr>
            <w:tcW w:w="1164" w:type="dxa"/>
            <w:vMerge/>
            <w:tcBorders>
              <w:top w:val="nil"/>
            </w:tcBorders>
          </w:tcPr>
          <w:p>
            <w:pPr>
              <w:rPr>
                <w:sz w:val="2"/>
                <w:szCs w:val="2"/>
              </w:rPr>
            </w:pPr>
          </w:p>
        </w:tc>
        <w:tc>
          <w:tcPr>
            <w:tcW w:w="895" w:type="dxa"/>
          </w:tcPr>
          <w:p>
            <w:pPr>
              <w:pStyle w:val="TableParagraph"/>
              <w:spacing w:before="112"/>
              <w:ind w:left="55"/>
              <w:rPr>
                <w:sz w:val="18"/>
              </w:rPr>
            </w:pPr>
            <w:r>
              <w:rPr>
                <w:sz w:val="18"/>
              </w:rPr>
              <w:t>Tropical</w:t>
            </w:r>
          </w:p>
        </w:tc>
        <w:tc>
          <w:tcPr>
            <w:tcW w:w="909" w:type="dxa"/>
          </w:tcPr>
          <w:p>
            <w:pPr>
              <w:pStyle w:val="TableParagraph"/>
              <w:spacing w:before="112"/>
              <w:ind w:left="326"/>
              <w:rPr>
                <w:sz w:val="18"/>
              </w:rPr>
            </w:pPr>
            <w:r>
              <w:rPr>
                <w:sz w:val="18"/>
              </w:rPr>
              <w:t>NA</w:t>
            </w:r>
          </w:p>
        </w:tc>
        <w:tc>
          <w:tcPr>
            <w:tcW w:w="839" w:type="dxa"/>
          </w:tcPr>
          <w:p>
            <w:pPr>
              <w:pStyle w:val="TableParagraph"/>
              <w:spacing w:before="112"/>
              <w:ind w:right="248"/>
              <w:jc w:val="right"/>
              <w:rPr>
                <w:sz w:val="18"/>
              </w:rPr>
            </w:pPr>
            <w:r>
              <w:rPr>
                <w:sz w:val="18"/>
              </w:rPr>
              <w:t>0.97</w:t>
            </w:r>
          </w:p>
        </w:tc>
        <w:tc>
          <w:tcPr>
            <w:tcW w:w="767" w:type="dxa"/>
          </w:tcPr>
          <w:p>
            <w:pPr>
              <w:pStyle w:val="TableParagraph"/>
              <w:spacing w:before="112"/>
              <w:ind w:left="45" w:right="27"/>
              <w:jc w:val="center"/>
              <w:rPr>
                <w:sz w:val="18"/>
              </w:rPr>
            </w:pPr>
            <w:r>
              <w:rPr>
                <w:sz w:val="18"/>
                <w:u w:val="single"/>
              </w:rPr>
              <w:t>+</w:t>
            </w:r>
            <w:r>
              <w:rPr>
                <w:sz w:val="18"/>
              </w:rPr>
              <w:t> 10%</w:t>
            </w:r>
          </w:p>
        </w:tc>
        <w:tc>
          <w:tcPr>
            <w:tcW w:w="3013" w:type="dxa"/>
            <w:vMerge/>
            <w:tcBorders>
              <w:top w:val="nil"/>
            </w:tcBorders>
          </w:tcPr>
          <w:p>
            <w:pPr>
              <w:rPr>
                <w:sz w:val="2"/>
                <w:szCs w:val="2"/>
              </w:rPr>
            </w:pPr>
          </w:p>
        </w:tc>
      </w:tr>
      <w:tr>
        <w:trPr>
          <w:trHeight w:val="806" w:hRule="atLeast"/>
        </w:trPr>
        <w:tc>
          <w:tcPr>
            <w:tcW w:w="1423" w:type="dxa"/>
          </w:tcPr>
          <w:p>
            <w:pPr>
              <w:pStyle w:val="TableParagraph"/>
              <w:spacing w:before="180"/>
              <w:ind w:left="57" w:right="396"/>
              <w:rPr>
                <w:sz w:val="18"/>
              </w:rPr>
            </w:pPr>
            <w:r>
              <w:rPr>
                <w:sz w:val="18"/>
              </w:rPr>
              <w:t>Management (F</w:t>
            </w:r>
            <w:r>
              <w:rPr>
                <w:sz w:val="18"/>
                <w:vertAlign w:val="subscript"/>
              </w:rPr>
              <w:t>MG</w:t>
            </w:r>
            <w:r>
              <w:rPr>
                <w:sz w:val="18"/>
                <w:vertAlign w:val="baseline"/>
              </w:rPr>
              <w:t>)</w:t>
            </w:r>
          </w:p>
        </w:tc>
        <w:tc>
          <w:tcPr>
            <w:tcW w:w="1164" w:type="dxa"/>
          </w:tcPr>
          <w:p>
            <w:pPr>
              <w:pStyle w:val="TableParagraph"/>
              <w:spacing w:before="8"/>
              <w:rPr>
                <w:sz w:val="15"/>
              </w:rPr>
            </w:pPr>
          </w:p>
          <w:p>
            <w:pPr>
              <w:pStyle w:val="TableParagraph"/>
              <w:ind w:left="57" w:right="417"/>
              <w:rPr>
                <w:sz w:val="18"/>
              </w:rPr>
            </w:pPr>
            <w:r>
              <w:rPr>
                <w:sz w:val="18"/>
              </w:rPr>
              <w:t>Severely degraded</w:t>
            </w:r>
          </w:p>
        </w:tc>
        <w:tc>
          <w:tcPr>
            <w:tcW w:w="895" w:type="dxa"/>
          </w:tcPr>
          <w:p>
            <w:pPr>
              <w:pStyle w:val="TableParagraph"/>
              <w:spacing w:before="8"/>
              <w:rPr>
                <w:sz w:val="24"/>
              </w:rPr>
            </w:pPr>
          </w:p>
          <w:p>
            <w:pPr>
              <w:pStyle w:val="TableParagraph"/>
              <w:ind w:left="55"/>
              <w:rPr>
                <w:sz w:val="18"/>
              </w:rPr>
            </w:pPr>
            <w:r>
              <w:rPr>
                <w:sz w:val="18"/>
              </w:rPr>
              <w:t>All</w:t>
            </w:r>
          </w:p>
        </w:tc>
        <w:tc>
          <w:tcPr>
            <w:tcW w:w="909" w:type="dxa"/>
          </w:tcPr>
          <w:p>
            <w:pPr>
              <w:pStyle w:val="TableParagraph"/>
              <w:spacing w:before="8"/>
              <w:rPr>
                <w:sz w:val="24"/>
              </w:rPr>
            </w:pPr>
          </w:p>
          <w:p>
            <w:pPr>
              <w:pStyle w:val="TableParagraph"/>
              <w:ind w:left="342"/>
              <w:rPr>
                <w:sz w:val="18"/>
              </w:rPr>
            </w:pPr>
            <w:r>
              <w:rPr>
                <w:sz w:val="18"/>
              </w:rPr>
              <w:t>0.7</w:t>
            </w:r>
          </w:p>
        </w:tc>
        <w:tc>
          <w:tcPr>
            <w:tcW w:w="839" w:type="dxa"/>
          </w:tcPr>
          <w:p>
            <w:pPr>
              <w:pStyle w:val="TableParagraph"/>
              <w:spacing w:before="8"/>
              <w:rPr>
                <w:sz w:val="24"/>
              </w:rPr>
            </w:pPr>
          </w:p>
          <w:p>
            <w:pPr>
              <w:pStyle w:val="TableParagraph"/>
              <w:ind w:right="290"/>
              <w:jc w:val="right"/>
              <w:rPr>
                <w:sz w:val="18"/>
              </w:rPr>
            </w:pPr>
            <w:r>
              <w:rPr>
                <w:sz w:val="18"/>
              </w:rPr>
              <w:t>0.7</w:t>
            </w:r>
          </w:p>
        </w:tc>
        <w:tc>
          <w:tcPr>
            <w:tcW w:w="767" w:type="dxa"/>
          </w:tcPr>
          <w:p>
            <w:pPr>
              <w:pStyle w:val="TableParagraph"/>
              <w:spacing w:before="8"/>
              <w:rPr>
                <w:sz w:val="24"/>
              </w:rPr>
            </w:pPr>
          </w:p>
          <w:p>
            <w:pPr>
              <w:pStyle w:val="TableParagraph"/>
              <w:ind w:left="45" w:right="26"/>
              <w:jc w:val="center"/>
              <w:rPr>
                <w:sz w:val="18"/>
              </w:rPr>
            </w:pPr>
            <w:r>
              <w:rPr>
                <w:sz w:val="18"/>
                <w:u w:val="single"/>
              </w:rPr>
              <w:t>+</w:t>
            </w:r>
            <w:r>
              <w:rPr>
                <w:sz w:val="18"/>
              </w:rPr>
              <w:t> 50%</w:t>
            </w:r>
          </w:p>
        </w:tc>
        <w:tc>
          <w:tcPr>
            <w:tcW w:w="3013" w:type="dxa"/>
          </w:tcPr>
          <w:p>
            <w:pPr>
              <w:pStyle w:val="TableParagraph"/>
              <w:spacing w:line="181" w:lineRule="exact"/>
              <w:ind w:left="60"/>
              <w:rPr>
                <w:sz w:val="18"/>
              </w:rPr>
            </w:pPr>
            <w:r>
              <w:rPr>
                <w:sz w:val="18"/>
              </w:rPr>
              <w:t>Implies major long-term loss of</w:t>
            </w:r>
          </w:p>
          <w:p>
            <w:pPr>
              <w:pStyle w:val="TableParagraph"/>
              <w:spacing w:line="206" w:lineRule="exact" w:before="3"/>
              <w:ind w:left="60" w:right="148"/>
              <w:rPr>
                <w:sz w:val="18"/>
              </w:rPr>
            </w:pPr>
            <w:r>
              <w:rPr>
                <w:sz w:val="18"/>
              </w:rPr>
              <w:t>productivity and vegetation cover, due to severe mechanical damage to the vegetation and/or severe soil erosion.</w:t>
            </w:r>
          </w:p>
        </w:tc>
      </w:tr>
      <w:tr>
        <w:trPr>
          <w:trHeight w:val="614" w:hRule="atLeast"/>
        </w:trPr>
        <w:tc>
          <w:tcPr>
            <w:tcW w:w="1423" w:type="dxa"/>
            <w:vMerge w:val="restart"/>
          </w:tcPr>
          <w:p>
            <w:pPr>
              <w:pStyle w:val="TableParagraph"/>
              <w:rPr>
                <w:sz w:val="22"/>
              </w:rPr>
            </w:pPr>
          </w:p>
          <w:p>
            <w:pPr>
              <w:pStyle w:val="TableParagraph"/>
              <w:spacing w:before="150"/>
              <w:ind w:left="57" w:right="396"/>
              <w:rPr>
                <w:sz w:val="18"/>
              </w:rPr>
            </w:pPr>
            <w:r>
              <w:rPr>
                <w:sz w:val="18"/>
              </w:rPr>
              <w:t>Management (F</w:t>
            </w:r>
            <w:r>
              <w:rPr>
                <w:sz w:val="18"/>
                <w:vertAlign w:val="subscript"/>
              </w:rPr>
              <w:t>MG</w:t>
            </w:r>
            <w:r>
              <w:rPr>
                <w:sz w:val="18"/>
                <w:vertAlign w:val="baseline"/>
              </w:rPr>
              <w:t>)</w:t>
            </w:r>
          </w:p>
        </w:tc>
        <w:tc>
          <w:tcPr>
            <w:tcW w:w="1164" w:type="dxa"/>
            <w:vMerge w:val="restart"/>
          </w:tcPr>
          <w:p>
            <w:pPr>
              <w:pStyle w:val="TableParagraph"/>
              <w:rPr>
                <w:sz w:val="20"/>
              </w:rPr>
            </w:pPr>
          </w:p>
          <w:p>
            <w:pPr>
              <w:pStyle w:val="TableParagraph"/>
              <w:spacing w:before="173"/>
              <w:ind w:left="57" w:right="377"/>
              <w:rPr>
                <w:sz w:val="18"/>
              </w:rPr>
            </w:pPr>
            <w:r>
              <w:rPr>
                <w:sz w:val="18"/>
              </w:rPr>
              <w:t>Improved grassland</w:t>
            </w:r>
          </w:p>
        </w:tc>
        <w:tc>
          <w:tcPr>
            <w:tcW w:w="895" w:type="dxa"/>
          </w:tcPr>
          <w:p>
            <w:pPr>
              <w:pStyle w:val="TableParagraph"/>
              <w:spacing w:line="207" w:lineRule="exact" w:before="95"/>
              <w:ind w:left="55"/>
              <w:rPr>
                <w:sz w:val="18"/>
              </w:rPr>
            </w:pPr>
            <w:r>
              <w:rPr>
                <w:sz w:val="18"/>
              </w:rPr>
              <w:t>Temperate</w:t>
            </w:r>
          </w:p>
          <w:p>
            <w:pPr>
              <w:pStyle w:val="TableParagraph"/>
              <w:spacing w:line="207" w:lineRule="exact"/>
              <w:ind w:left="55"/>
              <w:rPr>
                <w:sz w:val="18"/>
              </w:rPr>
            </w:pPr>
            <w:r>
              <w:rPr>
                <w:sz w:val="18"/>
              </w:rPr>
              <w:t>/Boreal</w:t>
            </w:r>
          </w:p>
        </w:tc>
        <w:tc>
          <w:tcPr>
            <w:tcW w:w="909" w:type="dxa"/>
          </w:tcPr>
          <w:p>
            <w:pPr>
              <w:pStyle w:val="TableParagraph"/>
              <w:spacing w:before="3"/>
              <w:rPr>
                <w:sz w:val="17"/>
              </w:rPr>
            </w:pPr>
          </w:p>
          <w:p>
            <w:pPr>
              <w:pStyle w:val="TableParagraph"/>
              <w:ind w:left="340"/>
              <w:rPr>
                <w:sz w:val="18"/>
              </w:rPr>
            </w:pPr>
            <w:r>
              <w:rPr>
                <w:sz w:val="18"/>
              </w:rPr>
              <w:t>1.1</w:t>
            </w:r>
          </w:p>
        </w:tc>
        <w:tc>
          <w:tcPr>
            <w:tcW w:w="839" w:type="dxa"/>
          </w:tcPr>
          <w:p>
            <w:pPr>
              <w:pStyle w:val="TableParagraph"/>
              <w:spacing w:before="3"/>
              <w:rPr>
                <w:sz w:val="17"/>
              </w:rPr>
            </w:pPr>
          </w:p>
          <w:p>
            <w:pPr>
              <w:pStyle w:val="TableParagraph"/>
              <w:ind w:right="248"/>
              <w:jc w:val="right"/>
              <w:rPr>
                <w:sz w:val="18"/>
              </w:rPr>
            </w:pPr>
            <w:r>
              <w:rPr>
                <w:sz w:val="18"/>
              </w:rPr>
              <w:t>1.14</w:t>
            </w:r>
          </w:p>
        </w:tc>
        <w:tc>
          <w:tcPr>
            <w:tcW w:w="767" w:type="dxa"/>
          </w:tcPr>
          <w:p>
            <w:pPr>
              <w:pStyle w:val="TableParagraph"/>
              <w:spacing w:before="3"/>
              <w:rPr>
                <w:sz w:val="17"/>
              </w:rPr>
            </w:pPr>
          </w:p>
          <w:p>
            <w:pPr>
              <w:pStyle w:val="TableParagraph"/>
              <w:ind w:left="45" w:right="26"/>
              <w:jc w:val="center"/>
              <w:rPr>
                <w:sz w:val="18"/>
              </w:rPr>
            </w:pPr>
            <w:r>
              <w:rPr>
                <w:sz w:val="18"/>
                <w:u w:val="single"/>
              </w:rPr>
              <w:t>+</w:t>
            </w:r>
            <w:r>
              <w:rPr>
                <w:sz w:val="18"/>
              </w:rPr>
              <w:t> 10%</w:t>
            </w:r>
          </w:p>
        </w:tc>
        <w:tc>
          <w:tcPr>
            <w:tcW w:w="3013" w:type="dxa"/>
            <w:vMerge w:val="restart"/>
          </w:tcPr>
          <w:p>
            <w:pPr>
              <w:pStyle w:val="TableParagraph"/>
              <w:ind w:left="60" w:right="338"/>
              <w:rPr>
                <w:sz w:val="18"/>
              </w:rPr>
            </w:pPr>
            <w:r>
              <w:rPr>
                <w:sz w:val="18"/>
              </w:rPr>
              <w:t>Represents grassland which is sustainably managed with moderate grazing pressure and that receive at least one improvement (e.g. fertilization, species improvement,</w:t>
            </w:r>
          </w:p>
          <w:p>
            <w:pPr>
              <w:pStyle w:val="TableParagraph"/>
              <w:spacing w:line="181" w:lineRule="exact"/>
              <w:ind w:left="60"/>
              <w:rPr>
                <w:sz w:val="18"/>
              </w:rPr>
            </w:pPr>
            <w:r>
              <w:rPr>
                <w:sz w:val="18"/>
              </w:rPr>
              <w:t>irrigation).</w:t>
            </w:r>
          </w:p>
        </w:tc>
      </w:tr>
      <w:tr>
        <w:trPr>
          <w:trHeight w:val="606" w:hRule="atLeast"/>
        </w:trPr>
        <w:tc>
          <w:tcPr>
            <w:tcW w:w="1423" w:type="dxa"/>
            <w:vMerge/>
            <w:tcBorders>
              <w:top w:val="nil"/>
            </w:tcBorders>
          </w:tcPr>
          <w:p>
            <w:pPr>
              <w:rPr>
                <w:sz w:val="2"/>
                <w:szCs w:val="2"/>
              </w:rPr>
            </w:pPr>
          </w:p>
        </w:tc>
        <w:tc>
          <w:tcPr>
            <w:tcW w:w="1164" w:type="dxa"/>
            <w:vMerge/>
            <w:tcBorders>
              <w:top w:val="nil"/>
            </w:tcBorders>
          </w:tcPr>
          <w:p>
            <w:pPr>
              <w:rPr>
                <w:sz w:val="2"/>
                <w:szCs w:val="2"/>
              </w:rPr>
            </w:pPr>
          </w:p>
        </w:tc>
        <w:tc>
          <w:tcPr>
            <w:tcW w:w="895" w:type="dxa"/>
          </w:tcPr>
          <w:p>
            <w:pPr>
              <w:pStyle w:val="TableParagraph"/>
              <w:spacing w:before="5"/>
              <w:rPr>
                <w:sz w:val="17"/>
              </w:rPr>
            </w:pPr>
          </w:p>
          <w:p>
            <w:pPr>
              <w:pStyle w:val="TableParagraph"/>
              <w:spacing w:before="1"/>
              <w:ind w:left="55"/>
              <w:rPr>
                <w:sz w:val="18"/>
              </w:rPr>
            </w:pPr>
            <w:r>
              <w:rPr>
                <w:sz w:val="18"/>
              </w:rPr>
              <w:t>Tropical</w:t>
            </w:r>
          </w:p>
        </w:tc>
        <w:tc>
          <w:tcPr>
            <w:tcW w:w="909" w:type="dxa"/>
          </w:tcPr>
          <w:p>
            <w:pPr>
              <w:pStyle w:val="TableParagraph"/>
              <w:spacing w:before="5"/>
              <w:rPr>
                <w:sz w:val="17"/>
              </w:rPr>
            </w:pPr>
          </w:p>
          <w:p>
            <w:pPr>
              <w:pStyle w:val="TableParagraph"/>
              <w:spacing w:before="1"/>
              <w:ind w:left="341"/>
              <w:rPr>
                <w:sz w:val="18"/>
              </w:rPr>
            </w:pPr>
            <w:r>
              <w:rPr>
                <w:sz w:val="18"/>
              </w:rPr>
              <w:t>1.1</w:t>
            </w:r>
          </w:p>
        </w:tc>
        <w:tc>
          <w:tcPr>
            <w:tcW w:w="839" w:type="dxa"/>
          </w:tcPr>
          <w:p>
            <w:pPr>
              <w:pStyle w:val="TableParagraph"/>
              <w:spacing w:before="5"/>
              <w:rPr>
                <w:sz w:val="17"/>
              </w:rPr>
            </w:pPr>
          </w:p>
          <w:p>
            <w:pPr>
              <w:pStyle w:val="TableParagraph"/>
              <w:spacing w:before="1"/>
              <w:ind w:right="248"/>
              <w:jc w:val="right"/>
              <w:rPr>
                <w:sz w:val="18"/>
              </w:rPr>
            </w:pPr>
            <w:r>
              <w:rPr>
                <w:sz w:val="18"/>
              </w:rPr>
              <w:t>1.17</w:t>
            </w:r>
          </w:p>
        </w:tc>
        <w:tc>
          <w:tcPr>
            <w:tcW w:w="767" w:type="dxa"/>
          </w:tcPr>
          <w:p>
            <w:pPr>
              <w:pStyle w:val="TableParagraph"/>
              <w:spacing w:before="5"/>
              <w:rPr>
                <w:sz w:val="17"/>
              </w:rPr>
            </w:pPr>
          </w:p>
          <w:p>
            <w:pPr>
              <w:pStyle w:val="TableParagraph"/>
              <w:spacing w:before="1"/>
              <w:ind w:left="45" w:right="26"/>
              <w:jc w:val="center"/>
              <w:rPr>
                <w:sz w:val="18"/>
              </w:rPr>
            </w:pPr>
            <w:r>
              <w:rPr>
                <w:sz w:val="18"/>
                <w:u w:val="single"/>
              </w:rPr>
              <w:t>+</w:t>
            </w:r>
            <w:r>
              <w:rPr>
                <w:sz w:val="18"/>
              </w:rPr>
              <w:t> 10%</w:t>
            </w:r>
          </w:p>
        </w:tc>
        <w:tc>
          <w:tcPr>
            <w:tcW w:w="3013" w:type="dxa"/>
            <w:vMerge/>
            <w:tcBorders>
              <w:top w:val="nil"/>
            </w:tcBorders>
          </w:tcPr>
          <w:p>
            <w:pPr>
              <w:rPr>
                <w:sz w:val="2"/>
                <w:szCs w:val="2"/>
              </w:rPr>
            </w:pPr>
          </w:p>
        </w:tc>
      </w:tr>
      <w:tr>
        <w:trPr>
          <w:trHeight w:val="671" w:hRule="atLeast"/>
        </w:trPr>
        <w:tc>
          <w:tcPr>
            <w:tcW w:w="1423" w:type="dxa"/>
          </w:tcPr>
          <w:p>
            <w:pPr>
              <w:pStyle w:val="TableParagraph"/>
              <w:spacing w:before="19"/>
              <w:ind w:left="57" w:right="96"/>
              <w:rPr>
                <w:sz w:val="18"/>
              </w:rPr>
            </w:pPr>
            <w:r>
              <w:rPr>
                <w:sz w:val="18"/>
              </w:rPr>
              <w:t>Input (applied only to improved grassland) (F</w:t>
            </w:r>
            <w:r>
              <w:rPr>
                <w:sz w:val="18"/>
                <w:vertAlign w:val="subscript"/>
              </w:rPr>
              <w:t>I</w:t>
            </w:r>
            <w:r>
              <w:rPr>
                <w:sz w:val="18"/>
                <w:vertAlign w:val="baseline"/>
              </w:rPr>
              <w:t> )</w:t>
            </w:r>
          </w:p>
        </w:tc>
        <w:tc>
          <w:tcPr>
            <w:tcW w:w="1164" w:type="dxa"/>
          </w:tcPr>
          <w:p>
            <w:pPr>
              <w:pStyle w:val="TableParagraph"/>
              <w:spacing w:before="6"/>
              <w:rPr>
                <w:sz w:val="19"/>
              </w:rPr>
            </w:pPr>
          </w:p>
          <w:p>
            <w:pPr>
              <w:pStyle w:val="TableParagraph"/>
              <w:spacing w:before="1"/>
              <w:ind w:left="107"/>
              <w:rPr>
                <w:sz w:val="18"/>
              </w:rPr>
            </w:pPr>
            <w:r>
              <w:rPr>
                <w:sz w:val="18"/>
              </w:rPr>
              <w:t>Nominal</w:t>
            </w:r>
          </w:p>
        </w:tc>
        <w:tc>
          <w:tcPr>
            <w:tcW w:w="895" w:type="dxa"/>
          </w:tcPr>
          <w:p>
            <w:pPr>
              <w:pStyle w:val="TableParagraph"/>
              <w:spacing w:before="6"/>
              <w:rPr>
                <w:sz w:val="19"/>
              </w:rPr>
            </w:pPr>
          </w:p>
          <w:p>
            <w:pPr>
              <w:pStyle w:val="TableParagraph"/>
              <w:spacing w:before="1"/>
              <w:ind w:left="55"/>
              <w:rPr>
                <w:sz w:val="18"/>
              </w:rPr>
            </w:pPr>
            <w:r>
              <w:rPr>
                <w:sz w:val="18"/>
              </w:rPr>
              <w:t>All</w:t>
            </w:r>
          </w:p>
        </w:tc>
        <w:tc>
          <w:tcPr>
            <w:tcW w:w="909" w:type="dxa"/>
          </w:tcPr>
          <w:p>
            <w:pPr>
              <w:pStyle w:val="TableParagraph"/>
              <w:spacing w:before="6"/>
              <w:rPr>
                <w:sz w:val="19"/>
              </w:rPr>
            </w:pPr>
          </w:p>
          <w:p>
            <w:pPr>
              <w:pStyle w:val="TableParagraph"/>
              <w:spacing w:before="1"/>
              <w:ind w:left="327"/>
              <w:rPr>
                <w:sz w:val="18"/>
              </w:rPr>
            </w:pPr>
            <w:r>
              <w:rPr>
                <w:sz w:val="18"/>
              </w:rPr>
              <w:t>NA</w:t>
            </w:r>
          </w:p>
        </w:tc>
        <w:tc>
          <w:tcPr>
            <w:tcW w:w="839" w:type="dxa"/>
          </w:tcPr>
          <w:p>
            <w:pPr>
              <w:pStyle w:val="TableParagraph"/>
              <w:spacing w:before="6"/>
              <w:rPr>
                <w:sz w:val="19"/>
              </w:rPr>
            </w:pPr>
          </w:p>
          <w:p>
            <w:pPr>
              <w:pStyle w:val="TableParagraph"/>
              <w:spacing w:before="1"/>
              <w:ind w:right="290"/>
              <w:jc w:val="right"/>
              <w:rPr>
                <w:sz w:val="18"/>
              </w:rPr>
            </w:pPr>
            <w:r>
              <w:rPr>
                <w:sz w:val="18"/>
              </w:rPr>
              <w:t>1.0</w:t>
            </w:r>
          </w:p>
        </w:tc>
        <w:tc>
          <w:tcPr>
            <w:tcW w:w="767" w:type="dxa"/>
          </w:tcPr>
          <w:p>
            <w:pPr>
              <w:pStyle w:val="TableParagraph"/>
              <w:spacing w:before="6"/>
              <w:rPr>
                <w:sz w:val="19"/>
              </w:rPr>
            </w:pPr>
          </w:p>
          <w:p>
            <w:pPr>
              <w:pStyle w:val="TableParagraph"/>
              <w:spacing w:before="1"/>
              <w:ind w:left="45" w:right="25"/>
              <w:jc w:val="center"/>
              <w:rPr>
                <w:sz w:val="18"/>
              </w:rPr>
            </w:pPr>
            <w:r>
              <w:rPr>
                <w:sz w:val="18"/>
              </w:rPr>
              <w:t>NA</w:t>
            </w:r>
          </w:p>
        </w:tc>
        <w:tc>
          <w:tcPr>
            <w:tcW w:w="3013" w:type="dxa"/>
          </w:tcPr>
          <w:p>
            <w:pPr>
              <w:pStyle w:val="TableParagraph"/>
              <w:spacing w:before="19"/>
              <w:ind w:left="60" w:right="143"/>
              <w:rPr>
                <w:sz w:val="18"/>
              </w:rPr>
            </w:pPr>
            <w:r>
              <w:rPr>
                <w:sz w:val="18"/>
              </w:rPr>
              <w:t>Applies to improved grassland where no additional management inputs have been used.</w:t>
            </w:r>
          </w:p>
        </w:tc>
      </w:tr>
      <w:tr>
        <w:trPr>
          <w:trHeight w:val="556" w:hRule="atLeast"/>
        </w:trPr>
        <w:tc>
          <w:tcPr>
            <w:tcW w:w="1423" w:type="dxa"/>
            <w:vMerge w:val="restart"/>
          </w:tcPr>
          <w:p>
            <w:pPr>
              <w:pStyle w:val="TableParagraph"/>
              <w:spacing w:before="11"/>
              <w:rPr>
                <w:sz w:val="18"/>
              </w:rPr>
            </w:pPr>
          </w:p>
          <w:p>
            <w:pPr>
              <w:pStyle w:val="TableParagraph"/>
              <w:ind w:left="57" w:right="96"/>
              <w:rPr>
                <w:sz w:val="18"/>
              </w:rPr>
            </w:pPr>
            <w:r>
              <w:rPr>
                <w:sz w:val="18"/>
              </w:rPr>
              <w:t>Input (applied only to improved grassland) (F</w:t>
            </w:r>
            <w:r>
              <w:rPr>
                <w:sz w:val="18"/>
                <w:vertAlign w:val="subscript"/>
              </w:rPr>
              <w:t>I</w:t>
            </w:r>
            <w:r>
              <w:rPr>
                <w:sz w:val="18"/>
                <w:vertAlign w:val="baseline"/>
              </w:rPr>
              <w:t> )</w:t>
            </w:r>
          </w:p>
        </w:tc>
        <w:tc>
          <w:tcPr>
            <w:tcW w:w="1164" w:type="dxa"/>
            <w:vMerge w:val="restart"/>
          </w:tcPr>
          <w:p>
            <w:pPr>
              <w:pStyle w:val="TableParagraph"/>
              <w:rPr>
                <w:sz w:val="20"/>
              </w:rPr>
            </w:pPr>
          </w:p>
          <w:p>
            <w:pPr>
              <w:pStyle w:val="TableParagraph"/>
              <w:spacing w:before="10"/>
              <w:rPr>
                <w:sz w:val="16"/>
              </w:rPr>
            </w:pPr>
          </w:p>
          <w:p>
            <w:pPr>
              <w:pStyle w:val="TableParagraph"/>
              <w:ind w:left="107"/>
              <w:rPr>
                <w:sz w:val="18"/>
              </w:rPr>
            </w:pPr>
            <w:r>
              <w:rPr>
                <w:sz w:val="18"/>
              </w:rPr>
              <w:t>High</w:t>
            </w:r>
          </w:p>
        </w:tc>
        <w:tc>
          <w:tcPr>
            <w:tcW w:w="895" w:type="dxa"/>
          </w:tcPr>
          <w:p>
            <w:pPr>
              <w:pStyle w:val="TableParagraph"/>
              <w:spacing w:line="207" w:lineRule="exact" w:before="67"/>
              <w:ind w:left="55"/>
              <w:rPr>
                <w:sz w:val="18"/>
              </w:rPr>
            </w:pPr>
            <w:r>
              <w:rPr>
                <w:sz w:val="18"/>
              </w:rPr>
              <w:t>Temperate</w:t>
            </w:r>
          </w:p>
          <w:p>
            <w:pPr>
              <w:pStyle w:val="TableParagraph"/>
              <w:spacing w:line="207" w:lineRule="exact"/>
              <w:ind w:left="55"/>
              <w:rPr>
                <w:sz w:val="18"/>
              </w:rPr>
            </w:pPr>
            <w:r>
              <w:rPr>
                <w:sz w:val="18"/>
              </w:rPr>
              <w:t>/Boreal</w:t>
            </w:r>
          </w:p>
        </w:tc>
        <w:tc>
          <w:tcPr>
            <w:tcW w:w="909" w:type="dxa"/>
          </w:tcPr>
          <w:p>
            <w:pPr>
              <w:pStyle w:val="TableParagraph"/>
              <w:spacing w:before="170"/>
              <w:ind w:left="326"/>
              <w:rPr>
                <w:sz w:val="18"/>
              </w:rPr>
            </w:pPr>
            <w:r>
              <w:rPr>
                <w:sz w:val="18"/>
              </w:rPr>
              <w:t>NA</w:t>
            </w:r>
          </w:p>
        </w:tc>
        <w:tc>
          <w:tcPr>
            <w:tcW w:w="839" w:type="dxa"/>
          </w:tcPr>
          <w:p>
            <w:pPr>
              <w:pStyle w:val="TableParagraph"/>
              <w:spacing w:before="170"/>
              <w:ind w:right="249"/>
              <w:jc w:val="right"/>
              <w:rPr>
                <w:sz w:val="18"/>
              </w:rPr>
            </w:pPr>
            <w:r>
              <w:rPr>
                <w:sz w:val="18"/>
              </w:rPr>
              <w:t>1.11</w:t>
            </w:r>
          </w:p>
        </w:tc>
        <w:tc>
          <w:tcPr>
            <w:tcW w:w="767" w:type="dxa"/>
          </w:tcPr>
          <w:p>
            <w:pPr>
              <w:pStyle w:val="TableParagraph"/>
              <w:spacing w:before="170"/>
              <w:ind w:left="45" w:right="27"/>
              <w:jc w:val="center"/>
              <w:rPr>
                <w:sz w:val="18"/>
              </w:rPr>
            </w:pPr>
            <w:r>
              <w:rPr>
                <w:sz w:val="18"/>
                <w:u w:val="single"/>
              </w:rPr>
              <w:t>+</w:t>
            </w:r>
            <w:r>
              <w:rPr>
                <w:sz w:val="18"/>
              </w:rPr>
              <w:t> 8%</w:t>
            </w:r>
          </w:p>
        </w:tc>
        <w:tc>
          <w:tcPr>
            <w:tcW w:w="3013" w:type="dxa"/>
            <w:vMerge w:val="restart"/>
          </w:tcPr>
          <w:p>
            <w:pPr>
              <w:pStyle w:val="TableParagraph"/>
              <w:spacing w:before="11"/>
              <w:ind w:left="60" w:right="53"/>
              <w:rPr>
                <w:sz w:val="18"/>
              </w:rPr>
            </w:pPr>
            <w:r>
              <w:rPr>
                <w:sz w:val="18"/>
              </w:rPr>
              <w:t>Applies to improved grassland where one or more additional management inputs/improvements have been used (beyond that required to be classified as improved grassland).</w:t>
            </w:r>
          </w:p>
        </w:tc>
      </w:tr>
      <w:tr>
        <w:trPr>
          <w:trHeight w:val="508" w:hRule="atLeast"/>
        </w:trPr>
        <w:tc>
          <w:tcPr>
            <w:tcW w:w="1423" w:type="dxa"/>
            <w:vMerge/>
            <w:tcBorders>
              <w:top w:val="nil"/>
            </w:tcBorders>
          </w:tcPr>
          <w:p>
            <w:pPr>
              <w:rPr>
                <w:sz w:val="2"/>
                <w:szCs w:val="2"/>
              </w:rPr>
            </w:pPr>
          </w:p>
        </w:tc>
        <w:tc>
          <w:tcPr>
            <w:tcW w:w="1164" w:type="dxa"/>
            <w:vMerge/>
            <w:tcBorders>
              <w:top w:val="nil"/>
            </w:tcBorders>
          </w:tcPr>
          <w:p>
            <w:pPr>
              <w:rPr>
                <w:sz w:val="2"/>
                <w:szCs w:val="2"/>
              </w:rPr>
            </w:pPr>
          </w:p>
        </w:tc>
        <w:tc>
          <w:tcPr>
            <w:tcW w:w="895" w:type="dxa"/>
          </w:tcPr>
          <w:p>
            <w:pPr>
              <w:pStyle w:val="TableParagraph"/>
              <w:spacing w:before="146"/>
              <w:ind w:left="108"/>
              <w:rPr>
                <w:sz w:val="18"/>
              </w:rPr>
            </w:pPr>
            <w:r>
              <w:rPr>
                <w:sz w:val="18"/>
              </w:rPr>
              <w:t>Tropical</w:t>
            </w:r>
          </w:p>
        </w:tc>
        <w:tc>
          <w:tcPr>
            <w:tcW w:w="909" w:type="dxa"/>
          </w:tcPr>
          <w:p>
            <w:pPr>
              <w:pStyle w:val="TableParagraph"/>
              <w:spacing w:before="146"/>
              <w:ind w:left="326"/>
              <w:rPr>
                <w:sz w:val="18"/>
              </w:rPr>
            </w:pPr>
            <w:r>
              <w:rPr>
                <w:sz w:val="18"/>
              </w:rPr>
              <w:t>NA</w:t>
            </w:r>
          </w:p>
        </w:tc>
        <w:tc>
          <w:tcPr>
            <w:tcW w:w="839" w:type="dxa"/>
          </w:tcPr>
          <w:p>
            <w:pPr>
              <w:pStyle w:val="TableParagraph"/>
              <w:spacing w:before="146"/>
              <w:ind w:right="248"/>
              <w:jc w:val="right"/>
              <w:rPr>
                <w:sz w:val="18"/>
              </w:rPr>
            </w:pPr>
            <w:r>
              <w:rPr>
                <w:sz w:val="18"/>
              </w:rPr>
              <w:t>1.11</w:t>
            </w:r>
          </w:p>
        </w:tc>
        <w:tc>
          <w:tcPr>
            <w:tcW w:w="767" w:type="dxa"/>
          </w:tcPr>
          <w:p>
            <w:pPr>
              <w:pStyle w:val="TableParagraph"/>
              <w:spacing w:before="146"/>
              <w:ind w:left="45" w:right="31"/>
              <w:jc w:val="center"/>
              <w:rPr>
                <w:sz w:val="18"/>
              </w:rPr>
            </w:pPr>
            <w:r>
              <w:rPr>
                <w:sz w:val="18"/>
                <w:u w:val="single"/>
              </w:rPr>
              <w:t>+</w:t>
            </w:r>
            <w:r>
              <w:rPr>
                <w:sz w:val="18"/>
              </w:rPr>
              <w:t> 8%</w:t>
            </w:r>
          </w:p>
        </w:tc>
        <w:tc>
          <w:tcPr>
            <w:tcW w:w="3013" w:type="dxa"/>
            <w:vMerge/>
            <w:tcBorders>
              <w:top w:val="nil"/>
            </w:tcBorders>
          </w:tcPr>
          <w:p>
            <w:pPr>
              <w:rPr>
                <w:sz w:val="2"/>
                <w:szCs w:val="2"/>
              </w:rPr>
            </w:pPr>
          </w:p>
        </w:tc>
      </w:tr>
      <w:tr>
        <w:trPr>
          <w:trHeight w:val="1120" w:hRule="atLeast"/>
        </w:trPr>
        <w:tc>
          <w:tcPr>
            <w:tcW w:w="9010" w:type="dxa"/>
            <w:gridSpan w:val="7"/>
          </w:tcPr>
          <w:p>
            <w:pPr>
              <w:pStyle w:val="TableParagraph"/>
              <w:spacing w:before="21"/>
              <w:ind w:left="210" w:right="73" w:hanging="104"/>
              <w:rPr>
                <w:sz w:val="16"/>
              </w:rPr>
            </w:pPr>
            <w:r>
              <w:rPr>
                <w:position w:val="7"/>
                <w:sz w:val="10"/>
              </w:rPr>
              <w:t>1 </w:t>
            </w:r>
            <w:r>
              <w:rPr>
                <w:sz w:val="16"/>
                <w:u w:val="single"/>
              </w:rPr>
              <w:t>+</w:t>
            </w:r>
            <w:r>
              <w:rPr>
                <w:sz w:val="16"/>
              </w:rPr>
              <w:t> two standard deviations, expressed as a percent of the mean; where sufficient studies were not available for a statistical analysis a default, based on expert judgement, of </w:t>
            </w:r>
            <w:r>
              <w:rPr>
                <w:sz w:val="16"/>
                <w:u w:val="single"/>
              </w:rPr>
              <w:t>+</w:t>
            </w:r>
            <w:r>
              <w:rPr>
                <w:sz w:val="16"/>
              </w:rPr>
              <w:t> 50% is used. NA denotes ‘Not Applicable’, for factor values that constitute reference values or where factor values were not previously estimated for the </w:t>
            </w:r>
            <w:r>
              <w:rPr>
                <w:i/>
                <w:sz w:val="16"/>
              </w:rPr>
              <w:t>IPCC Guidelines</w:t>
            </w:r>
            <w:r>
              <w:rPr>
                <w:sz w:val="16"/>
              </w:rPr>
              <w:t>.</w:t>
            </w:r>
          </w:p>
          <w:p>
            <w:pPr>
              <w:pStyle w:val="TableParagraph"/>
              <w:spacing w:before="87"/>
              <w:ind w:left="210" w:right="206" w:hanging="104"/>
              <w:rPr>
                <w:sz w:val="16"/>
              </w:rPr>
            </w:pPr>
            <w:r>
              <w:rPr>
                <w:position w:val="7"/>
                <w:sz w:val="10"/>
              </w:rPr>
              <w:t>2 </w:t>
            </w:r>
            <w:r>
              <w:rPr>
                <w:sz w:val="16"/>
              </w:rPr>
              <w:t>This error range does not include potential systematic error due to small sample sizes that may not be representative of the true impact for all regions of the world.</w:t>
            </w:r>
          </w:p>
        </w:tc>
      </w:tr>
    </w:tbl>
    <w:p>
      <w:pPr>
        <w:pStyle w:val="BodyText"/>
      </w:pPr>
    </w:p>
    <w:p>
      <w:pPr>
        <w:pStyle w:val="BodyText"/>
      </w:pPr>
    </w:p>
    <w:p>
      <w:pPr>
        <w:pStyle w:val="BodyText"/>
        <w:spacing w:before="8" w:after="1"/>
        <w:rPr>
          <w:sz w:val="21"/>
        </w:rPr>
      </w:pPr>
    </w:p>
    <w:tbl>
      <w:tblPr>
        <w:tblW w:w="0" w:type="auto"/>
        <w:jc w:val="left"/>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09"/>
        <w:gridCol w:w="2664"/>
        <w:gridCol w:w="2664"/>
      </w:tblGrid>
      <w:tr>
        <w:trPr>
          <w:trHeight w:val="500" w:hRule="atLeast"/>
        </w:trPr>
        <w:tc>
          <w:tcPr>
            <w:tcW w:w="7937" w:type="dxa"/>
            <w:gridSpan w:val="3"/>
            <w:tcBorders>
              <w:bottom w:val="double" w:sz="1" w:space="0" w:color="000000"/>
            </w:tcBorders>
          </w:tcPr>
          <w:p>
            <w:pPr>
              <w:pStyle w:val="TableParagraph"/>
              <w:spacing w:line="207" w:lineRule="exact" w:before="59"/>
              <w:ind w:left="1136" w:right="1126"/>
              <w:jc w:val="center"/>
              <w:rPr>
                <w:b/>
                <w:sz w:val="18"/>
              </w:rPr>
            </w:pPr>
            <w:r>
              <w:rPr>
                <w:b/>
                <w:sz w:val="18"/>
              </w:rPr>
              <w:t>T</w:t>
            </w:r>
            <w:r>
              <w:rPr>
                <w:b/>
                <w:sz w:val="14"/>
              </w:rPr>
              <w:t>ABLE </w:t>
            </w:r>
            <w:r>
              <w:rPr>
                <w:b/>
                <w:sz w:val="18"/>
              </w:rPr>
              <w:t>3.4.6</w:t>
            </w:r>
          </w:p>
          <w:p>
            <w:pPr>
              <w:pStyle w:val="TableParagraph"/>
              <w:spacing w:line="207" w:lineRule="exact"/>
              <w:ind w:left="1136" w:right="1127"/>
              <w:jc w:val="center"/>
              <w:rPr>
                <w:b/>
                <w:sz w:val="14"/>
              </w:rPr>
            </w:pPr>
            <w:r>
              <w:rPr>
                <w:b/>
                <w:sz w:val="18"/>
              </w:rPr>
              <w:t>A</w:t>
            </w:r>
            <w:r>
              <w:rPr>
                <w:b/>
                <w:sz w:val="14"/>
              </w:rPr>
              <w:t>NNUAL EMISSION FACTORS </w:t>
            </w:r>
            <w:r>
              <w:rPr>
                <w:b/>
                <w:sz w:val="18"/>
              </w:rPr>
              <w:t>(EF) </w:t>
            </w:r>
            <w:r>
              <w:rPr>
                <w:b/>
                <w:sz w:val="14"/>
              </w:rPr>
              <w:t>FOR MANAGED GRASSLAND ORGANIC SOILS</w:t>
            </w:r>
          </w:p>
        </w:tc>
      </w:tr>
      <w:tr>
        <w:trPr>
          <w:trHeight w:val="423" w:hRule="atLeast"/>
        </w:trPr>
        <w:tc>
          <w:tcPr>
            <w:tcW w:w="2609" w:type="dxa"/>
            <w:tcBorders>
              <w:top w:val="double" w:sz="1" w:space="0" w:color="000000"/>
            </w:tcBorders>
          </w:tcPr>
          <w:p>
            <w:pPr>
              <w:pStyle w:val="TableParagraph"/>
              <w:spacing w:before="109"/>
              <w:ind w:left="163" w:right="156"/>
              <w:jc w:val="center"/>
              <w:rPr>
                <w:b/>
                <w:sz w:val="18"/>
              </w:rPr>
            </w:pPr>
            <w:r>
              <w:rPr>
                <w:b/>
                <w:sz w:val="18"/>
              </w:rPr>
              <w:t>Climatic temperature regime</w:t>
            </w:r>
          </w:p>
        </w:tc>
        <w:tc>
          <w:tcPr>
            <w:tcW w:w="2664" w:type="dxa"/>
            <w:tcBorders>
              <w:top w:val="double" w:sz="1" w:space="0" w:color="000000"/>
            </w:tcBorders>
          </w:tcPr>
          <w:p>
            <w:pPr>
              <w:pStyle w:val="TableParagraph"/>
              <w:spacing w:line="206" w:lineRule="exact" w:before="10"/>
              <w:ind w:left="609" w:right="376" w:hanging="202"/>
              <w:rPr>
                <w:b/>
                <w:sz w:val="18"/>
              </w:rPr>
            </w:pPr>
            <w:r>
              <w:rPr>
                <w:rFonts w:ascii="TimesNewRomanPS-BoldItalicMT"/>
                <w:b/>
                <w:i/>
                <w:sz w:val="18"/>
              </w:rPr>
              <w:t>IPCC Guidelines </w:t>
            </w:r>
            <w:r>
              <w:rPr>
                <w:b/>
                <w:sz w:val="18"/>
              </w:rPr>
              <w:t>default (tonnes C ha</w:t>
            </w:r>
            <w:r>
              <w:rPr>
                <w:b/>
                <w:sz w:val="18"/>
                <w:vertAlign w:val="superscript"/>
              </w:rPr>
              <w:t>-1</w:t>
            </w:r>
            <w:r>
              <w:rPr>
                <w:b/>
                <w:sz w:val="18"/>
                <w:vertAlign w:val="baseline"/>
              </w:rPr>
              <w:t> yr</w:t>
            </w:r>
            <w:r>
              <w:rPr>
                <w:b/>
                <w:sz w:val="18"/>
                <w:vertAlign w:val="superscript"/>
              </w:rPr>
              <w:t>-1</w:t>
            </w:r>
            <w:r>
              <w:rPr>
                <w:b/>
                <w:sz w:val="18"/>
                <w:vertAlign w:val="baseline"/>
              </w:rPr>
              <w:t>)</w:t>
            </w:r>
          </w:p>
        </w:tc>
        <w:tc>
          <w:tcPr>
            <w:tcW w:w="2664" w:type="dxa"/>
            <w:tcBorders>
              <w:top w:val="double" w:sz="1" w:space="0" w:color="000000"/>
            </w:tcBorders>
          </w:tcPr>
          <w:p>
            <w:pPr>
              <w:pStyle w:val="TableParagraph"/>
              <w:spacing w:before="109"/>
              <w:ind w:left="1055"/>
              <w:rPr>
                <w:b/>
                <w:sz w:val="18"/>
              </w:rPr>
            </w:pPr>
            <w:r>
              <w:rPr>
                <w:b/>
                <w:sz w:val="18"/>
              </w:rPr>
              <w:t>Error </w:t>
            </w:r>
            <w:r>
              <w:rPr>
                <w:b/>
                <w:sz w:val="18"/>
                <w:vertAlign w:val="superscript"/>
              </w:rPr>
              <w:t>#</w:t>
            </w:r>
          </w:p>
        </w:tc>
      </w:tr>
      <w:tr>
        <w:trPr>
          <w:trHeight w:val="273" w:hRule="atLeast"/>
        </w:trPr>
        <w:tc>
          <w:tcPr>
            <w:tcW w:w="2609" w:type="dxa"/>
          </w:tcPr>
          <w:p>
            <w:pPr>
              <w:pStyle w:val="TableParagraph"/>
              <w:spacing w:before="28"/>
              <w:ind w:left="162" w:right="156"/>
              <w:jc w:val="center"/>
              <w:rPr>
                <w:sz w:val="18"/>
              </w:rPr>
            </w:pPr>
            <w:r>
              <w:rPr>
                <w:sz w:val="18"/>
              </w:rPr>
              <w:t>Cold Temperate</w:t>
            </w:r>
          </w:p>
        </w:tc>
        <w:tc>
          <w:tcPr>
            <w:tcW w:w="2664" w:type="dxa"/>
          </w:tcPr>
          <w:p>
            <w:pPr>
              <w:pStyle w:val="TableParagraph"/>
              <w:spacing w:before="28"/>
              <w:ind w:left="780" w:right="774"/>
              <w:jc w:val="center"/>
              <w:rPr>
                <w:sz w:val="18"/>
              </w:rPr>
            </w:pPr>
            <w:r>
              <w:rPr>
                <w:sz w:val="18"/>
              </w:rPr>
              <w:t>0.25</w:t>
            </w:r>
          </w:p>
        </w:tc>
        <w:tc>
          <w:tcPr>
            <w:tcW w:w="2664" w:type="dxa"/>
          </w:tcPr>
          <w:p>
            <w:pPr>
              <w:pStyle w:val="TableParagraph"/>
              <w:spacing w:before="28"/>
              <w:ind w:left="1091"/>
              <w:rPr>
                <w:sz w:val="18"/>
              </w:rPr>
            </w:pPr>
            <w:r>
              <w:rPr>
                <w:sz w:val="18"/>
                <w:u w:val="single"/>
              </w:rPr>
              <w:t>+</w:t>
            </w:r>
            <w:r>
              <w:rPr>
                <w:sz w:val="18"/>
              </w:rPr>
              <w:t> 90%</w:t>
            </w:r>
          </w:p>
        </w:tc>
      </w:tr>
      <w:tr>
        <w:trPr>
          <w:trHeight w:val="275" w:hRule="atLeast"/>
        </w:trPr>
        <w:tc>
          <w:tcPr>
            <w:tcW w:w="2609" w:type="dxa"/>
          </w:tcPr>
          <w:p>
            <w:pPr>
              <w:pStyle w:val="TableParagraph"/>
              <w:spacing w:before="28"/>
              <w:ind w:left="163" w:right="155"/>
              <w:jc w:val="center"/>
              <w:rPr>
                <w:sz w:val="18"/>
              </w:rPr>
            </w:pPr>
            <w:r>
              <w:rPr>
                <w:sz w:val="18"/>
              </w:rPr>
              <w:t>Warm Temperate</w:t>
            </w:r>
          </w:p>
        </w:tc>
        <w:tc>
          <w:tcPr>
            <w:tcW w:w="2664" w:type="dxa"/>
          </w:tcPr>
          <w:p>
            <w:pPr>
              <w:pStyle w:val="TableParagraph"/>
              <w:spacing w:before="28"/>
              <w:ind w:left="780" w:right="774"/>
              <w:jc w:val="center"/>
              <w:rPr>
                <w:sz w:val="18"/>
              </w:rPr>
            </w:pPr>
            <w:r>
              <w:rPr>
                <w:sz w:val="18"/>
              </w:rPr>
              <w:t>2.5</w:t>
            </w:r>
          </w:p>
        </w:tc>
        <w:tc>
          <w:tcPr>
            <w:tcW w:w="2664" w:type="dxa"/>
          </w:tcPr>
          <w:p>
            <w:pPr>
              <w:pStyle w:val="TableParagraph"/>
              <w:spacing w:before="28"/>
              <w:ind w:left="1092"/>
              <w:rPr>
                <w:sz w:val="18"/>
              </w:rPr>
            </w:pPr>
            <w:r>
              <w:rPr>
                <w:sz w:val="18"/>
                <w:u w:val="single"/>
              </w:rPr>
              <w:t>+</w:t>
            </w:r>
            <w:r>
              <w:rPr>
                <w:sz w:val="18"/>
              </w:rPr>
              <w:t> 90%</w:t>
            </w:r>
          </w:p>
        </w:tc>
      </w:tr>
      <w:tr>
        <w:trPr>
          <w:trHeight w:val="273" w:hRule="atLeast"/>
        </w:trPr>
        <w:tc>
          <w:tcPr>
            <w:tcW w:w="2609" w:type="dxa"/>
          </w:tcPr>
          <w:p>
            <w:pPr>
              <w:pStyle w:val="TableParagraph"/>
              <w:spacing w:before="28"/>
              <w:ind w:left="163" w:right="156"/>
              <w:jc w:val="center"/>
              <w:rPr>
                <w:sz w:val="18"/>
              </w:rPr>
            </w:pPr>
            <w:r>
              <w:rPr>
                <w:sz w:val="18"/>
              </w:rPr>
              <w:t>Tropical/sub-tropical</w:t>
            </w:r>
          </w:p>
        </w:tc>
        <w:tc>
          <w:tcPr>
            <w:tcW w:w="2664" w:type="dxa"/>
          </w:tcPr>
          <w:p>
            <w:pPr>
              <w:pStyle w:val="TableParagraph"/>
              <w:spacing w:before="28"/>
              <w:ind w:left="781" w:right="774"/>
              <w:jc w:val="center"/>
              <w:rPr>
                <w:sz w:val="18"/>
              </w:rPr>
            </w:pPr>
            <w:r>
              <w:rPr>
                <w:sz w:val="18"/>
              </w:rPr>
              <w:t>5.0</w:t>
            </w:r>
          </w:p>
        </w:tc>
        <w:tc>
          <w:tcPr>
            <w:tcW w:w="2664" w:type="dxa"/>
          </w:tcPr>
          <w:p>
            <w:pPr>
              <w:pStyle w:val="TableParagraph"/>
              <w:spacing w:before="28"/>
              <w:ind w:left="1091"/>
              <w:rPr>
                <w:sz w:val="18"/>
              </w:rPr>
            </w:pPr>
            <w:r>
              <w:rPr>
                <w:sz w:val="18"/>
                <w:u w:val="single"/>
              </w:rPr>
              <w:t>+</w:t>
            </w:r>
            <w:r>
              <w:rPr>
                <w:sz w:val="18"/>
              </w:rPr>
              <w:t> 90%</w:t>
            </w:r>
          </w:p>
        </w:tc>
      </w:tr>
      <w:tr>
        <w:trPr>
          <w:trHeight w:val="285" w:hRule="atLeast"/>
        </w:trPr>
        <w:tc>
          <w:tcPr>
            <w:tcW w:w="7937" w:type="dxa"/>
            <w:gridSpan w:val="3"/>
          </w:tcPr>
          <w:p>
            <w:pPr>
              <w:pStyle w:val="TableParagraph"/>
              <w:spacing w:before="21"/>
              <w:ind w:left="107"/>
              <w:rPr>
                <w:sz w:val="16"/>
              </w:rPr>
            </w:pPr>
            <w:r>
              <w:rPr>
                <w:position w:val="7"/>
                <w:sz w:val="10"/>
              </w:rPr>
              <w:t># </w:t>
            </w:r>
            <w:r>
              <w:rPr>
                <w:sz w:val="16"/>
              </w:rPr>
              <w:t>Represents a nominal estimate of error, equivalent to two times standard deviation, as a percentage of the mean</w:t>
            </w:r>
          </w:p>
        </w:tc>
      </w:tr>
    </w:tbl>
    <w:p>
      <w:pPr>
        <w:pStyle w:val="BodyText"/>
      </w:pPr>
    </w:p>
    <w:p>
      <w:pPr>
        <w:pStyle w:val="BodyText"/>
        <w:spacing w:before="6"/>
      </w:pPr>
    </w:p>
    <w:p>
      <w:pPr>
        <w:pStyle w:val="Heading7"/>
        <w:spacing w:line="251" w:lineRule="exact"/>
        <w:jc w:val="left"/>
      </w:pPr>
      <w:r>
        <w:rPr/>
        <w:t>Liming</w:t>
      </w:r>
    </w:p>
    <w:p>
      <w:pPr>
        <w:pStyle w:val="BodyText"/>
        <w:spacing w:line="228" w:lineRule="exact"/>
        <w:ind w:left="219"/>
      </w:pPr>
      <w:r>
        <w:rPr/>
        <w:t>See discussion under Section 3.4.1.2.1.1.</w:t>
      </w:r>
    </w:p>
    <w:p>
      <w:pPr>
        <w:pStyle w:val="BodyText"/>
        <w:spacing w:before="4"/>
        <w:rPr>
          <w:sz w:val="21"/>
        </w:rPr>
      </w:pPr>
    </w:p>
    <w:p>
      <w:pPr>
        <w:pStyle w:val="Heading6"/>
        <w:numPr>
          <w:ilvl w:val="5"/>
          <w:numId w:val="70"/>
        </w:numPr>
        <w:tabs>
          <w:tab w:pos="1449" w:val="left" w:leader="none"/>
        </w:tabs>
        <w:spacing w:line="240" w:lineRule="auto" w:before="1" w:after="0"/>
        <w:ind w:left="1448" w:right="0" w:hanging="1229"/>
        <w:jc w:val="left"/>
      </w:pPr>
      <w:r>
        <w:rPr/>
        <w:t>3 </w:t>
      </w:r>
      <w:r>
        <w:rPr>
          <w:spacing w:val="16"/>
        </w:rPr>
        <w:t>Choice </w:t>
      </w:r>
      <w:r>
        <w:rPr>
          <w:spacing w:val="9"/>
        </w:rPr>
        <w:t>of </w:t>
      </w:r>
      <w:r>
        <w:rPr>
          <w:spacing w:val="16"/>
        </w:rPr>
        <w:t>Activity</w:t>
      </w:r>
      <w:r>
        <w:rPr>
          <w:spacing w:val="15"/>
        </w:rPr>
        <w:t> </w:t>
      </w:r>
      <w:r>
        <w:rPr>
          <w:spacing w:val="19"/>
        </w:rPr>
        <w:t>Data</w:t>
      </w:r>
    </w:p>
    <w:p>
      <w:pPr>
        <w:pStyle w:val="Heading7"/>
        <w:spacing w:before="179"/>
        <w:jc w:val="left"/>
      </w:pPr>
      <w:r>
        <w:rPr/>
        <w:t>Mineral Soils </w:t>
      </w:r>
    </w:p>
    <w:p>
      <w:pPr>
        <w:pStyle w:val="BodyText"/>
        <w:ind w:left="219"/>
      </w:pPr>
      <w:r>
        <w:rPr/>
        <w:t>The area of grassland under different management practices (A) is required for estimating mineral soil emissions/removals.</w:t>
      </w:r>
    </w:p>
    <w:p>
      <w:pPr>
        <w:spacing w:after="0"/>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4"/>
        <w:jc w:val="both"/>
      </w:pPr>
      <w:r>
        <w:rPr/>
        <w:t>For existing grassland, activity data should record changes or trends in management practices or utilization of the grassland that affect soil carbon storage by impacting production. Two main types of activity data exist: (i) aggregate statistics compiled at a national level or for administrative areas within countries (e.g., provinces, counties, districts), or (ii) point-based land use and management inventories making up a statistically-based sample of a country’s land area. The use of both sorts of activity data is described in Chapter 2, and the use of the methods set out there with the three tiers described here will depend on the spatial and temporal resolution required. For Tier 1 and Tier 2 inventories, activity data need to be stratified by major climatic differences and soil types, since reference soil C stocks vary significantly according to these factors. For application of dynamic models and/or a direct measurement-based inventory in Tier 3, similar or more detailed knowledge of the combinations of climate, soil, topographic and management data are needed, but the exact requirements will be in part dependent on the model</w:t>
      </w:r>
      <w:r>
        <w:rPr>
          <w:spacing w:val="-1"/>
        </w:rPr>
        <w:t> </w:t>
      </w:r>
      <w:r>
        <w:rPr/>
        <w:t>used.</w:t>
      </w:r>
    </w:p>
    <w:p>
      <w:pPr>
        <w:pStyle w:val="BodyText"/>
        <w:spacing w:before="120"/>
        <w:ind w:left="219" w:right="262"/>
        <w:jc w:val="both"/>
      </w:pPr>
      <w:r>
        <w:rPr/>
        <w:t>Globally available land use statistics such as FAO’s databases </w:t>
      </w:r>
      <w:r>
        <w:rPr>
          <w:spacing w:val="-4"/>
        </w:rPr>
        <w:t>(</w:t>
      </w:r>
      <w:hyperlink r:id="rId146">
        <w:r>
          <w:rPr>
            <w:spacing w:val="-4"/>
          </w:rPr>
          <w:t>http://www.fao.org/waicent/portal/glossary_en.asp)</w:t>
        </w:r>
      </w:hyperlink>
      <w:r>
        <w:rPr>
          <w:spacing w:val="-4"/>
        </w:rPr>
        <w:t> </w:t>
      </w:r>
      <w:r>
        <w:rPr/>
        <w:t>provide annual compilations of total land area by major land use types, without any additional details for grassland management, climate, or soil. Thus FAO or similar country-total data would require additional in- country information to stratify areas by management, climate, and soil types. If such information has not already been compiled, an initial approach would be to overlay available land cover/land use maps (of national origin or from global datasets such as IGBP_DIS) with soil maps of national origin or global sources such as the FAO Soils Map of the World. Where possible land areas associated with a characteristic grassland management  should be delineated and associated with the appropriate general (i.e., degraded, native, or improved) or specific (e.g., fertilization or grazing intensity) management factor values. Soil degradation maps may be a useful source of information for stratifying grassland according to management (e.g. Conant and Paustian,</w:t>
      </w:r>
      <w:r>
        <w:rPr>
          <w:spacing w:val="-13"/>
        </w:rPr>
        <w:t> </w:t>
      </w:r>
      <w:r>
        <w:rPr/>
        <w:t>2002b).</w:t>
      </w:r>
    </w:p>
    <w:p>
      <w:pPr>
        <w:pStyle w:val="BodyText"/>
        <w:spacing w:before="122"/>
        <w:ind w:left="219" w:right="259"/>
        <w:jc w:val="both"/>
      </w:pPr>
      <w:r>
        <w:rPr/>
        <w:t>National land use and resource inventories, comprised of a collection of permanent sample points where data is collected at regular intervals, have some advantages over aggregate pastoral and land use statistics. Inventory points can more readily be associated with a particular grassland management system and the soil type  associated with the particular location can be determined by sampling or by referencing the location to a suitable soil map. Inventory points selected based on an appropriate statistical design also enable estimates of the variability associated with activity data, which can be used as part of a formal uncertainty analysis. The principles of sampling are described in Chapter 2 and an example of a point-based resource inventory is the National Resource Inventory in the U.S. (Nusser and Goebel,</w:t>
      </w:r>
      <w:r>
        <w:rPr>
          <w:spacing w:val="-5"/>
        </w:rPr>
        <w:t> </w:t>
      </w:r>
      <w:r>
        <w:rPr/>
        <w:t>1997).</w:t>
      </w:r>
    </w:p>
    <w:p>
      <w:pPr>
        <w:pStyle w:val="BodyText"/>
        <w:spacing w:before="2"/>
        <w:rPr>
          <w:sz w:val="21"/>
        </w:rPr>
      </w:pPr>
    </w:p>
    <w:p>
      <w:pPr>
        <w:pStyle w:val="Heading7"/>
        <w:spacing w:line="251" w:lineRule="exact"/>
      </w:pPr>
      <w:r>
        <w:rPr/>
        <w:t>Organic Soils </w:t>
      </w:r>
    </w:p>
    <w:p>
      <w:pPr>
        <w:pStyle w:val="BodyText"/>
        <w:ind w:left="219" w:right="263"/>
        <w:jc w:val="both"/>
      </w:pPr>
      <w:r>
        <w:rPr/>
        <w:t>The area of cultivated organic soils by climate regime (A) is required to estimate organic soil emissions. Similar databases and approaches as those outlined above can be used for deriving area estimates. An overlay of soils maps showing the spatial distribution of histosols (i.e. organic soils) with land cover maps showing grassland area can provide initial information on areas with organic soils under grassland. Country-specific data on drainage projects combined with soil maps and surveys can be used to get a more refined estimate of relevant areas of managed grassland on organic soils.</w:t>
      </w:r>
    </w:p>
    <w:p>
      <w:pPr>
        <w:pStyle w:val="BodyText"/>
        <w:spacing w:before="2"/>
        <w:rPr>
          <w:sz w:val="21"/>
        </w:rPr>
      </w:pPr>
    </w:p>
    <w:p>
      <w:pPr>
        <w:pStyle w:val="Heading6"/>
        <w:numPr>
          <w:ilvl w:val="5"/>
          <w:numId w:val="70"/>
        </w:numPr>
        <w:tabs>
          <w:tab w:pos="1451" w:val="left" w:leader="none"/>
        </w:tabs>
        <w:spacing w:line="240" w:lineRule="auto" w:before="0" w:after="0"/>
        <w:ind w:left="1450" w:right="0" w:hanging="1231"/>
        <w:jc w:val="both"/>
      </w:pPr>
      <w:r>
        <w:rPr/>
        <w:t>4 </w:t>
      </w:r>
      <w:r>
        <w:rPr>
          <w:spacing w:val="17"/>
        </w:rPr>
        <w:t>Uncertainty</w:t>
      </w:r>
      <w:r>
        <w:rPr>
          <w:spacing w:val="23"/>
        </w:rPr>
        <w:t> </w:t>
      </w:r>
      <w:r>
        <w:rPr>
          <w:spacing w:val="18"/>
        </w:rPr>
        <w:t>Assessment</w:t>
      </w:r>
    </w:p>
    <w:p>
      <w:pPr>
        <w:pStyle w:val="BodyText"/>
        <w:spacing w:before="54"/>
        <w:ind w:left="219" w:right="264"/>
        <w:jc w:val="both"/>
      </w:pPr>
      <w:r>
        <w:rPr/>
        <w:t>An assessment of uncertainty requires that uncertainty in per area emission/removal rates as well as uncertainty in the activity data (i.e. the land areas involved in land-use and management changes), and their interaction be estimated.</w:t>
      </w:r>
    </w:p>
    <w:p>
      <w:pPr>
        <w:pStyle w:val="BodyText"/>
        <w:spacing w:before="121"/>
        <w:ind w:left="219" w:right="263"/>
        <w:jc w:val="both"/>
      </w:pPr>
      <w:r>
        <w:rPr/>
        <w:t>Where available, estimates of the standard deviation (and sample size) for the revised global default values developed in this report are provided in the tables; these can be used with the appropriate estimates of variability in activity data to estimate uncertainty, using the guidance provided in Chapter 5 of this report. Inventory agencies should be aware that simple global defaults have a relatively high level of uncertainty associated with them when applied to specific countries. In addition, because the field studies available to derive the global defaults are not evenly distributed across climate regions, soil types and management systems, some areas – particularly in tropical regions – are underrepresented. For the Tier 2 methods, probability density functions (i.e. providing mean and variance estimates) can be derived for stock change factors, organic soil emission factors and reference C stocks as part of the process of deriving region- or country-specific data. Uncertainty in soil emission and removal rates can be reduced by field studies of management influences on soil C stocks for major grassland types and management regimes. Where chronosequence data are used, uncertainty in the carbon stock changes estimates can be relatively high and thus it is desirable to use the mean of several ‘replicate’ studies to derive more representative</w:t>
      </w:r>
      <w:r>
        <w:rPr>
          <w:spacing w:val="2"/>
        </w:rPr>
        <w:t> </w:t>
      </w:r>
      <w:r>
        <w:rPr/>
        <w:t>values.</w:t>
      </w:r>
    </w:p>
    <w:p>
      <w:pPr>
        <w:spacing w:after="0"/>
        <w:jc w:val="both"/>
        <w:sectPr>
          <w:pgSz w:w="11900" w:h="16840"/>
          <w:pgMar w:header="230" w:footer="408" w:top="560" w:bottom="600" w:left="1200" w:right="1140"/>
        </w:sectPr>
      </w:pPr>
    </w:p>
    <w:p>
      <w:pPr>
        <w:pStyle w:val="BodyText"/>
      </w:pPr>
    </w:p>
    <w:p>
      <w:pPr>
        <w:pStyle w:val="BodyText"/>
        <w:spacing w:before="2"/>
        <w:rPr>
          <w:sz w:val="19"/>
        </w:rPr>
      </w:pPr>
    </w:p>
    <w:p>
      <w:pPr>
        <w:tabs>
          <w:tab w:pos="1659" w:val="left" w:leader="none"/>
        </w:tabs>
        <w:spacing w:before="89"/>
        <w:ind w:left="219" w:right="0" w:firstLine="0"/>
        <w:jc w:val="left"/>
        <w:rPr>
          <w:b/>
          <w:sz w:val="22"/>
        </w:rPr>
      </w:pPr>
      <w:r>
        <w:rPr>
          <w:b/>
          <w:spacing w:val="16"/>
          <w:sz w:val="28"/>
        </w:rPr>
        <w:t>3.4.1.3</w:t>
        <w:tab/>
        <w:t>N</w:t>
      </w:r>
      <w:r>
        <w:rPr>
          <w:b/>
          <w:spacing w:val="16"/>
          <w:sz w:val="22"/>
        </w:rPr>
        <w:t>ON</w:t>
      </w:r>
      <w:r>
        <w:rPr>
          <w:b/>
          <w:spacing w:val="16"/>
          <w:sz w:val="28"/>
        </w:rPr>
        <w:t>-CO</w:t>
      </w:r>
      <w:r>
        <w:rPr>
          <w:b/>
          <w:spacing w:val="16"/>
          <w:sz w:val="28"/>
          <w:vertAlign w:val="subscript"/>
        </w:rPr>
        <w:t>2</w:t>
      </w:r>
      <w:r>
        <w:rPr>
          <w:b/>
          <w:spacing w:val="16"/>
          <w:sz w:val="28"/>
          <w:vertAlign w:val="baseline"/>
        </w:rPr>
        <w:t> </w:t>
      </w:r>
      <w:r>
        <w:rPr>
          <w:b/>
          <w:spacing w:val="17"/>
          <w:sz w:val="22"/>
          <w:vertAlign w:val="baseline"/>
        </w:rPr>
        <w:t>GREENHOUSE </w:t>
      </w:r>
      <w:r>
        <w:rPr>
          <w:b/>
          <w:spacing w:val="12"/>
          <w:sz w:val="22"/>
          <w:vertAlign w:val="baseline"/>
        </w:rPr>
        <w:t>GAS</w:t>
      </w:r>
      <w:r>
        <w:rPr>
          <w:b/>
          <w:spacing w:val="-1"/>
          <w:sz w:val="22"/>
          <w:vertAlign w:val="baseline"/>
        </w:rPr>
        <w:t> </w:t>
      </w:r>
      <w:r>
        <w:rPr>
          <w:b/>
          <w:spacing w:val="16"/>
          <w:sz w:val="22"/>
          <w:vertAlign w:val="baseline"/>
        </w:rPr>
        <w:t>EMISSIONS</w:t>
      </w:r>
    </w:p>
    <w:p>
      <w:pPr>
        <w:pStyle w:val="BodyText"/>
        <w:spacing w:before="3"/>
        <w:rPr>
          <w:b/>
          <w:sz w:val="29"/>
        </w:rPr>
      </w:pPr>
    </w:p>
    <w:p>
      <w:pPr>
        <w:spacing w:before="0"/>
        <w:ind w:left="219" w:right="0" w:firstLine="0"/>
        <w:jc w:val="left"/>
        <w:rPr>
          <w:rFonts w:ascii="TimesNewRomanPS-BoldItalicMT"/>
          <w:b/>
          <w:i/>
          <w:sz w:val="22"/>
        </w:rPr>
      </w:pPr>
      <w:r>
        <w:rPr>
          <w:b/>
          <w:sz w:val="22"/>
        </w:rPr>
        <w:t>Coverage of Non-CO </w:t>
      </w:r>
      <w:r>
        <w:rPr>
          <w:b/>
          <w:sz w:val="22"/>
          <w:vertAlign w:val="subscript"/>
        </w:rPr>
        <w:t>2</w:t>
      </w:r>
      <w:r>
        <w:rPr>
          <w:b/>
          <w:sz w:val="22"/>
          <w:vertAlign w:val="baseline"/>
        </w:rPr>
        <w:t> gases in </w:t>
      </w:r>
      <w:r>
        <w:rPr>
          <w:rFonts w:ascii="TimesNewRomanPS-BoldItalicMT"/>
          <w:b/>
          <w:i/>
          <w:sz w:val="22"/>
          <w:vertAlign w:val="baseline"/>
        </w:rPr>
        <w:t>IPCC Guidelines </w:t>
      </w:r>
    </w:p>
    <w:p>
      <w:pPr>
        <w:spacing w:before="54"/>
        <w:ind w:left="219" w:right="0" w:firstLine="0"/>
        <w:jc w:val="left"/>
        <w:rPr>
          <w:sz w:val="20"/>
        </w:rPr>
      </w:pPr>
      <w:r>
        <w:rPr>
          <w:sz w:val="20"/>
        </w:rPr>
        <w:t>The </w:t>
      </w:r>
      <w:r>
        <w:rPr>
          <w:i/>
          <w:sz w:val="20"/>
        </w:rPr>
        <w:t>IPCC Guidelines </w:t>
      </w:r>
      <w:r>
        <w:rPr>
          <w:sz w:val="20"/>
        </w:rPr>
        <w:t>and </w:t>
      </w:r>
      <w:r>
        <w:rPr>
          <w:i/>
          <w:sz w:val="20"/>
        </w:rPr>
        <w:t>GPG2000 </w:t>
      </w:r>
      <w:r>
        <w:rPr>
          <w:sz w:val="20"/>
        </w:rPr>
        <w:t>(Chapter 4, Agriculture) already address the following emissions:</w:t>
      </w:r>
    </w:p>
    <w:p>
      <w:pPr>
        <w:pStyle w:val="BodyText"/>
        <w:tabs>
          <w:tab w:pos="579" w:val="left" w:leader="none"/>
        </w:tabs>
        <w:spacing w:line="223" w:lineRule="auto" w:before="147"/>
        <w:ind w:left="560" w:right="354" w:hanging="341"/>
      </w:pPr>
      <w:r>
        <w:rPr>
          <w:rFonts w:ascii="Symbol" w:hAnsi="Symbol"/>
        </w:rPr>
        <w:t>•</w:t>
        <w:tab/>
        <w:tab/>
      </w:r>
      <w:r>
        <w:rPr/>
        <w:t>N</w:t>
      </w:r>
      <w:r>
        <w:rPr>
          <w:vertAlign w:val="subscript"/>
        </w:rPr>
        <w:t>2</w:t>
      </w:r>
      <w:r>
        <w:rPr>
          <w:vertAlign w:val="baseline"/>
        </w:rPr>
        <w:t>O emissions from application of mineral and organic fertilisers, organic residues and biological nitrogen fixation in managed grassland;</w:t>
      </w:r>
    </w:p>
    <w:p>
      <w:pPr>
        <w:pStyle w:val="BodyText"/>
        <w:tabs>
          <w:tab w:pos="579" w:val="left" w:leader="none"/>
        </w:tabs>
        <w:spacing w:before="136"/>
        <w:ind w:left="219"/>
      </w:pPr>
      <w:r>
        <w:rPr>
          <w:rFonts w:ascii="Symbol" w:hAnsi="Symbol"/>
        </w:rPr>
        <w:t>•</w:t>
        <w:tab/>
      </w:r>
      <w:r>
        <w:rPr/>
        <w:t>N</w:t>
      </w:r>
      <w:r>
        <w:rPr>
          <w:vertAlign w:val="subscript"/>
        </w:rPr>
        <w:t>2</w:t>
      </w:r>
      <w:r>
        <w:rPr>
          <w:vertAlign w:val="baseline"/>
        </w:rPr>
        <w:t>O, NOx, CH</w:t>
      </w:r>
      <w:r>
        <w:rPr>
          <w:vertAlign w:val="subscript"/>
        </w:rPr>
        <w:t>4</w:t>
      </w:r>
      <w:r>
        <w:rPr>
          <w:vertAlign w:val="baseline"/>
        </w:rPr>
        <w:t> and CO emissions from grassland (savanna) burning in the tropics;</w:t>
      </w:r>
      <w:r>
        <w:rPr>
          <w:spacing w:val="-8"/>
          <w:vertAlign w:val="baseline"/>
        </w:rPr>
        <w:t> </w:t>
      </w:r>
      <w:r>
        <w:rPr>
          <w:vertAlign w:val="baseline"/>
        </w:rPr>
        <w:t>and</w:t>
      </w:r>
    </w:p>
    <w:p>
      <w:pPr>
        <w:pStyle w:val="BodyText"/>
        <w:tabs>
          <w:tab w:pos="579" w:val="left" w:leader="none"/>
        </w:tabs>
        <w:spacing w:before="118"/>
        <w:ind w:left="219"/>
      </w:pPr>
      <w:r>
        <w:rPr>
          <w:rFonts w:ascii="Symbol" w:hAnsi="Symbol"/>
        </w:rPr>
        <w:t>•</w:t>
        <w:tab/>
      </w:r>
      <w:r>
        <w:rPr/>
        <w:t>CH</w:t>
      </w:r>
      <w:r>
        <w:rPr>
          <w:vertAlign w:val="subscript"/>
        </w:rPr>
        <w:t>4</w:t>
      </w:r>
      <w:r>
        <w:rPr>
          <w:vertAlign w:val="baseline"/>
        </w:rPr>
        <w:t> emissions from grazing</w:t>
      </w:r>
      <w:r>
        <w:rPr>
          <w:spacing w:val="-2"/>
          <w:vertAlign w:val="baseline"/>
        </w:rPr>
        <w:t> </w:t>
      </w:r>
      <w:r>
        <w:rPr>
          <w:vertAlign w:val="baseline"/>
        </w:rPr>
        <w:t>livestock.</w:t>
      </w:r>
    </w:p>
    <w:p>
      <w:pPr>
        <w:spacing w:before="104"/>
        <w:ind w:left="219" w:right="354" w:hanging="1"/>
        <w:jc w:val="left"/>
        <w:rPr>
          <w:sz w:val="20"/>
        </w:rPr>
      </w:pPr>
      <w:r>
        <w:rPr>
          <w:sz w:val="20"/>
        </w:rPr>
        <w:t>It is </w:t>
      </w:r>
      <w:r>
        <w:rPr>
          <w:i/>
          <w:sz w:val="20"/>
        </w:rPr>
        <w:t>good practice </w:t>
      </w:r>
      <w:r>
        <w:rPr>
          <w:sz w:val="20"/>
        </w:rPr>
        <w:t>to follow the existing </w:t>
      </w:r>
      <w:r>
        <w:rPr>
          <w:i/>
          <w:sz w:val="20"/>
        </w:rPr>
        <w:t>IPCC Guidelines (Chapter 4, Agriculture) and GPG2000 </w:t>
      </w:r>
      <w:r>
        <w:rPr>
          <w:sz w:val="20"/>
        </w:rPr>
        <w:t>to estimate and report these fluxes in the </w:t>
      </w:r>
      <w:r>
        <w:rPr>
          <w:i/>
          <w:sz w:val="20"/>
        </w:rPr>
        <w:t>Agriculture</w:t>
      </w:r>
      <w:r>
        <w:rPr>
          <w:i/>
          <w:spacing w:val="-1"/>
          <w:sz w:val="20"/>
        </w:rPr>
        <w:t> </w:t>
      </w:r>
      <w:r>
        <w:rPr>
          <w:sz w:val="20"/>
        </w:rPr>
        <w:t>section.</w:t>
      </w:r>
    </w:p>
    <w:p>
      <w:pPr>
        <w:pStyle w:val="BodyText"/>
        <w:spacing w:before="121"/>
        <w:ind w:left="219" w:right="266"/>
        <w:jc w:val="both"/>
      </w:pPr>
      <w:r>
        <w:rPr/>
        <w:t>Additional sources of emissions and removals, not included in </w:t>
      </w:r>
      <w:r>
        <w:rPr>
          <w:i/>
        </w:rPr>
        <w:t>IPCC Guidelines (Chapter 4, Agriculture) and GPG2000</w:t>
      </w:r>
      <w:r>
        <w:rPr/>
        <w:t>, include N</w:t>
      </w:r>
      <w:r>
        <w:rPr>
          <w:vertAlign w:val="subscript"/>
        </w:rPr>
        <w:t>2</w:t>
      </w:r>
      <w:r>
        <w:rPr>
          <w:vertAlign w:val="baseline"/>
        </w:rPr>
        <w:t>O emissions from organic nitrogen mineralization in drained, organic grassland soils</w:t>
      </w:r>
      <w:r>
        <w:rPr>
          <w:vertAlign w:val="superscript"/>
        </w:rPr>
        <w:t>3</w:t>
      </w:r>
      <w:r>
        <w:rPr>
          <w:vertAlign w:val="baseline"/>
        </w:rPr>
        <w:t>, changes reduced uptake of CH</w:t>
      </w:r>
      <w:r>
        <w:rPr>
          <w:vertAlign w:val="subscript"/>
        </w:rPr>
        <w:t>4</w:t>
      </w:r>
      <w:r>
        <w:rPr>
          <w:vertAlign w:val="baseline"/>
        </w:rPr>
        <w:t> in managed grassland soils and emissions from burning in temperate grassland. Insufficient data on N</w:t>
      </w:r>
      <w:r>
        <w:rPr>
          <w:vertAlign w:val="subscript"/>
        </w:rPr>
        <w:t>2</w:t>
      </w:r>
      <w:r>
        <w:rPr>
          <w:vertAlign w:val="baseline"/>
        </w:rPr>
        <w:t>O emissions from enhanced mineralization of organic nitrogen on organic grassland soils and management-induced reductions in CH</w:t>
      </w:r>
      <w:r>
        <w:rPr>
          <w:vertAlign w:val="subscript"/>
        </w:rPr>
        <w:t>4</w:t>
      </w:r>
      <w:r>
        <w:rPr>
          <w:vertAlign w:val="baseline"/>
        </w:rPr>
        <w:t> sinks in grassland soils preclude recommending specific methodologies at this time. In most circumstances they are likely to represent minor fluxes and as more research is done and additional information becomes available, a fuller consideration of these sources may be possible.</w:t>
      </w:r>
    </w:p>
    <w:p>
      <w:pPr>
        <w:pStyle w:val="BodyText"/>
        <w:spacing w:before="118"/>
        <w:ind w:left="219" w:right="266"/>
        <w:jc w:val="both"/>
      </w:pPr>
      <w:r>
        <w:rPr/>
        <w:t>For grassland burning occurring in grassland outside the tropics (and hence not included in </w:t>
      </w:r>
      <w:r>
        <w:rPr>
          <w:i/>
        </w:rPr>
        <w:t>IPCC Guidelines (Chapter 4, Agriculture) and GPG2000</w:t>
      </w:r>
      <w:r>
        <w:rPr/>
        <w:t>), methods to estimate N</w:t>
      </w:r>
      <w:r>
        <w:rPr>
          <w:vertAlign w:val="subscript"/>
        </w:rPr>
        <w:t>2</w:t>
      </w:r>
      <w:r>
        <w:rPr>
          <w:vertAlign w:val="baseline"/>
        </w:rPr>
        <w:t>O, NO</w:t>
      </w:r>
      <w:r>
        <w:rPr>
          <w:vertAlign w:val="subscript"/>
        </w:rPr>
        <w:t>x</w:t>
      </w:r>
      <w:r>
        <w:rPr>
          <w:vertAlign w:val="baseline"/>
        </w:rPr>
        <w:t>, CH</w:t>
      </w:r>
      <w:r>
        <w:rPr>
          <w:vertAlign w:val="subscript"/>
        </w:rPr>
        <w:t>4</w:t>
      </w:r>
      <w:r>
        <w:rPr>
          <w:vertAlign w:val="baseline"/>
        </w:rPr>
        <w:t> and CO released from grassland burning are described in Section 3.2.1.4. Default estimates for standing biomass, used to estimate the quantity of fuel consumed, can be obtained from Table 3.4.2. Note that the amount of biomass that can serve as fuel can vary considerably according to the time of year and grazing regime and thus country-specific biomass estimates that correspond to when and where grassland burning occurs are</w:t>
      </w:r>
      <w:r>
        <w:rPr>
          <w:spacing w:val="-2"/>
          <w:vertAlign w:val="baseline"/>
        </w:rPr>
        <w:t> </w:t>
      </w:r>
      <w:r>
        <w:rPr>
          <w:vertAlign w:val="baseline"/>
        </w:rPr>
        <w:t>recommended.</w:t>
      </w:r>
    </w:p>
    <w:p>
      <w:pPr>
        <w:pStyle w:val="BodyText"/>
        <w:rPr>
          <w:sz w:val="22"/>
        </w:rPr>
      </w:pPr>
    </w:p>
    <w:p>
      <w:pPr>
        <w:pStyle w:val="BodyText"/>
        <w:spacing w:before="3"/>
      </w:pPr>
    </w:p>
    <w:p>
      <w:pPr>
        <w:pStyle w:val="Heading2"/>
        <w:tabs>
          <w:tab w:pos="1421" w:val="left" w:leader="none"/>
        </w:tabs>
        <w:ind w:left="219" w:firstLine="0"/>
      </w:pPr>
      <w:r>
        <w:rPr>
          <w:spacing w:val="7"/>
        </w:rPr>
        <w:t>3.4.2</w:t>
        <w:tab/>
      </w:r>
      <w:r>
        <w:rPr>
          <w:spacing w:val="6"/>
        </w:rPr>
        <w:t>Land </w:t>
      </w:r>
      <w:r>
        <w:rPr>
          <w:spacing w:val="8"/>
        </w:rPr>
        <w:t>Converted </w:t>
      </w:r>
      <w:r>
        <w:rPr>
          <w:spacing w:val="4"/>
        </w:rPr>
        <w:t>to</w:t>
      </w:r>
      <w:r>
        <w:rPr>
          <w:spacing w:val="47"/>
        </w:rPr>
        <w:t> </w:t>
      </w:r>
      <w:r>
        <w:rPr>
          <w:spacing w:val="10"/>
        </w:rPr>
        <w:t>Grassland</w:t>
      </w:r>
    </w:p>
    <w:p>
      <w:pPr>
        <w:pStyle w:val="BodyText"/>
        <w:spacing w:before="116"/>
        <w:ind w:left="219" w:right="263"/>
        <w:jc w:val="both"/>
      </w:pPr>
      <w:r>
        <w:rPr/>
        <w:t>The carbon implications of the conversion from other land uses (mostly forest land, cropland, and to lesser degree wetlands and seldom settlements) to grassland is less clearcut than the case of conversion to cropland. Literature on the main conversion type (from forest land to grassland in the tropics) provides evidence for net gains as well as net losses in soil carbon, and the effect of management on the soil carbon changes of grassland after conversion is critical (see for example Veldkamp, 2001). Conversion of land from other uses and from natural states to grassland can result in net emissions (or net uptake) of CO</w:t>
      </w:r>
      <w:r>
        <w:rPr>
          <w:vertAlign w:val="subscript"/>
        </w:rPr>
        <w:t>2</w:t>
      </w:r>
      <w:r>
        <w:rPr>
          <w:vertAlign w:val="baseline"/>
        </w:rPr>
        <w:t> from both, biomass and soil. Emissions from biomass are addressed in Section 3.4.2.1 and those from soil in Section 3.4.2.2. The calculation of carbon stock changes in biomass as a result of land use conversions to grassland is found in the </w:t>
      </w:r>
      <w:r>
        <w:rPr>
          <w:i/>
          <w:vertAlign w:val="baseline"/>
        </w:rPr>
        <w:t>IPCC Guidelines </w:t>
      </w:r>
      <w:r>
        <w:rPr>
          <w:vertAlign w:val="baseline"/>
        </w:rPr>
        <w:t>in Section 5.2.3. (Forest and Grassland</w:t>
      </w:r>
      <w:r>
        <w:rPr>
          <w:spacing w:val="-6"/>
          <w:vertAlign w:val="baseline"/>
        </w:rPr>
        <w:t> </w:t>
      </w:r>
      <w:r>
        <w:rPr>
          <w:vertAlign w:val="baseline"/>
        </w:rPr>
        <w:t>Conversion).</w:t>
      </w:r>
    </w:p>
    <w:p>
      <w:pPr>
        <w:pStyle w:val="BodyText"/>
        <w:spacing w:before="119"/>
        <w:ind w:left="219" w:right="267"/>
        <w:jc w:val="both"/>
      </w:pPr>
      <w:r>
        <w:rPr/>
        <w:t>Methods described in this section are designed to account for changes in biomass and soils stocks associated with the land use conversion and the establishment of new grassland. Subsequent stock changes should be estimated under </w:t>
      </w:r>
      <w:r>
        <w:rPr>
          <w:i/>
        </w:rPr>
        <w:t>Grassland Remaining</w:t>
      </w:r>
      <w:r>
        <w:rPr>
          <w:i/>
          <w:spacing w:val="2"/>
        </w:rPr>
        <w:t> </w:t>
      </w:r>
      <w:r>
        <w:rPr>
          <w:i/>
        </w:rPr>
        <w:t>Grassland</w:t>
      </w:r>
      <w:r>
        <w:rPr/>
        <w:t>.</w:t>
      </w:r>
    </w:p>
    <w:p>
      <w:pPr>
        <w:pStyle w:val="BodyText"/>
        <w:spacing w:line="229" w:lineRule="exact" w:before="121"/>
        <w:ind w:left="219"/>
      </w:pPr>
      <w:r>
        <w:rPr/>
        <w:t>The summary equation for carbon stock changes in Lands Converted to Grassland is shown below in Equation</w:t>
      </w:r>
    </w:p>
    <w:p>
      <w:pPr>
        <w:pStyle w:val="BodyText"/>
        <w:ind w:left="219" w:right="266"/>
      </w:pPr>
      <w:r>
        <w:rPr/>
        <w:t>3.4.12. Two sub-categories are estimated for the category of </w:t>
      </w:r>
      <w:r>
        <w:rPr>
          <w:i/>
        </w:rPr>
        <w:t>Lands Converted to Grasslands</w:t>
      </w:r>
      <w:r>
        <w:rPr/>
        <w:t>: living biomass and soil organic matter. Table 3.4.7 summarises the tiers for each of the carbon subcategories.</w:t>
      </w:r>
    </w:p>
    <w:p>
      <w:pPr>
        <w:pStyle w:val="BodyText"/>
        <w:spacing w:before="10"/>
        <w:rPr>
          <w:sz w:val="9"/>
        </w:rPr>
      </w:pPr>
      <w:r>
        <w:rPr/>
        <w:pict>
          <v:group style="position:absolute;margin-left:91.240997pt;margin-top:8.402232pt;width:412.95pt;height:55.1pt;mso-position-horizontal-relative:page;mso-position-vertical-relative:paragraph;z-index:10184;mso-wrap-distance-left:0;mso-wrap-distance-right:0" coordorigin="1825,168" coordsize="8259,1102">
            <v:line style="position:absolute" from="1854,182" to="10054,182" stroked="true" strokeweight="1.44pt" strokecolor="#000000">
              <v:stroke dashstyle="solid"/>
            </v:line>
            <v:rect style="position:absolute;left:1824;top:1240;width:29;height:29" filled="true" fillcolor="#000000" stroked="false">
              <v:fill type="solid"/>
            </v:rect>
            <v:rect style="position:absolute;left:1824;top:1240;width:29;height:29" filled="true" fillcolor="#000000" stroked="false">
              <v:fill type="solid"/>
            </v:rect>
            <v:line style="position:absolute" from="1854,1255" to="10054,1255" stroked="true" strokeweight="1.44pt" strokecolor="#000000">
              <v:stroke dashstyle="solid"/>
            </v:line>
            <v:rect style="position:absolute;left:10054;top:1240;width:29;height:29" filled="true" fillcolor="#000000" stroked="false">
              <v:fill type="solid"/>
            </v:rect>
            <v:rect style="position:absolute;left:10054;top:1240;width:29;height:29" filled="true" fillcolor="#000000" stroked="false">
              <v:fill type="solid"/>
            </v:rect>
            <v:line style="position:absolute" from="1839,168" to="1839,1241" stroked="true" strokeweight="1.44pt" strokecolor="#000000">
              <v:stroke dashstyle="solid"/>
            </v:line>
            <v:line style="position:absolute" from="10069,168" to="10069,1241" stroked="true" strokeweight="1.44pt" strokecolor="#000000">
              <v:stroke dashstyle="solid"/>
            </v:line>
            <v:shape style="position:absolute;left:6764;top:1010;width:277;height:144" type="#_x0000_t202" filled="false" stroked="false">
              <v:textbox inset="0,0,0,0">
                <w:txbxContent>
                  <w:p>
                    <w:pPr>
                      <w:spacing w:line="144" w:lineRule="exact" w:before="0"/>
                      <w:ind w:left="0" w:right="0" w:firstLine="0"/>
                      <w:jc w:val="left"/>
                      <w:rPr>
                        <w:sz w:val="13"/>
                      </w:rPr>
                    </w:pPr>
                    <w:r>
                      <w:rPr>
                        <w:sz w:val="13"/>
                      </w:rPr>
                      <w:t>Soils</w:t>
                    </w:r>
                  </w:p>
                </w:txbxContent>
              </v:textbox>
              <w10:wrap type="none"/>
            </v:shape>
            <v:shape style="position:absolute;left:5955;top:1010;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4884;top:833;width:1895;height:261" type="#_x0000_t202" filled="false" stroked="false">
              <v:textbox inset="0,0,0,0">
                <w:txbxContent>
                  <w:p>
                    <w:pPr>
                      <w:tabs>
                        <w:tab w:pos="1283" w:val="left" w:leader="none"/>
                      </w:tabs>
                      <w:spacing w:line="246" w:lineRule="exact" w:before="14"/>
                      <w:ind w:left="0" w:right="0" w:firstLine="0"/>
                      <w:jc w:val="left"/>
                      <w:rPr>
                        <w:sz w:val="20"/>
                      </w:rPr>
                    </w:pPr>
                    <w:r>
                      <w:rPr>
                        <w:rFonts w:ascii="Symbol" w:hAnsi="Symbol"/>
                        <w:sz w:val="20"/>
                      </w:rPr>
                      <w:t>∆</w:t>
                    </w:r>
                    <w:r>
                      <w:rPr>
                        <w:sz w:val="20"/>
                      </w:rPr>
                      <w:t>C</w:t>
                    </w:r>
                    <w:r>
                      <w:rPr>
                        <w:sz w:val="20"/>
                        <w:vertAlign w:val="subscript"/>
                      </w:rPr>
                      <w:t>LG</w:t>
                    </w:r>
                    <w:r>
                      <w:rPr>
                        <w:sz w:val="20"/>
                        <w:vertAlign w:val="baseline"/>
                      </w:rPr>
                      <w:t> = </w:t>
                    </w:r>
                    <w:r>
                      <w:rPr>
                        <w:rFonts w:ascii="Symbol" w:hAnsi="Symbol"/>
                        <w:sz w:val="20"/>
                        <w:vertAlign w:val="baseline"/>
                      </w:rPr>
                      <w:t>∆</w:t>
                    </w:r>
                    <w:r>
                      <w:rPr>
                        <w:sz w:val="20"/>
                        <w:vertAlign w:val="baseline"/>
                      </w:rPr>
                      <w:t>C</w:t>
                    </w:r>
                    <w:r>
                      <w:rPr>
                        <w:sz w:val="20"/>
                        <w:vertAlign w:val="subscript"/>
                      </w:rPr>
                      <w:t>LG</w:t>
                    </w:r>
                    <w:r>
                      <w:rPr>
                        <w:sz w:val="20"/>
                        <w:vertAlign w:val="baseline"/>
                      </w:rPr>
                      <w:tab/>
                      <w:t>+</w:t>
                    </w:r>
                    <w:r>
                      <w:rPr>
                        <w:spacing w:val="4"/>
                        <w:sz w:val="20"/>
                        <w:vertAlign w:val="baseline"/>
                      </w:rPr>
                      <w:t> </w:t>
                    </w:r>
                    <w:r>
                      <w:rPr>
                        <w:rFonts w:ascii="Symbol" w:hAnsi="Symbol"/>
                        <w:spacing w:val="-21"/>
                        <w:sz w:val="20"/>
                        <w:vertAlign w:val="baseline"/>
                      </w:rPr>
                      <w:t>∆</w:t>
                    </w:r>
                    <w:r>
                      <w:rPr>
                        <w:spacing w:val="-21"/>
                        <w:sz w:val="20"/>
                        <w:vertAlign w:val="baseline"/>
                      </w:rPr>
                      <w:t>C</w:t>
                    </w:r>
                    <w:r>
                      <w:rPr>
                        <w:spacing w:val="-21"/>
                        <w:sz w:val="20"/>
                        <w:vertAlign w:val="subscript"/>
                      </w:rPr>
                      <w:t>LG</w:t>
                    </w:r>
                  </w:p>
                </w:txbxContent>
              </v:textbox>
              <w10:wrap type="none"/>
            </v:shape>
            <v:shape style="position:absolute;left:2931;top:304;width:6063;height:452" type="#_x0000_t202" filled="false" stroked="false">
              <v:textbox inset="0,0,0,0">
                <w:txbxContent>
                  <w:p>
                    <w:pPr>
                      <w:spacing w:line="221" w:lineRule="exact" w:before="0"/>
                      <w:ind w:left="0" w:right="18" w:firstLine="0"/>
                      <w:jc w:val="center"/>
                      <w:rPr>
                        <w:b/>
                        <w:sz w:val="20"/>
                      </w:rPr>
                    </w:pPr>
                    <w:r>
                      <w:rPr>
                        <w:b/>
                        <w:sz w:val="20"/>
                      </w:rPr>
                      <w:t>E</w:t>
                    </w:r>
                    <w:r>
                      <w:rPr>
                        <w:b/>
                        <w:sz w:val="16"/>
                      </w:rPr>
                      <w:t>QUATION </w:t>
                    </w:r>
                    <w:r>
                      <w:rPr>
                        <w:b/>
                        <w:sz w:val="20"/>
                      </w:rPr>
                      <w:t>3.4.12</w:t>
                    </w:r>
                  </w:p>
                  <w:p>
                    <w:pPr>
                      <w:spacing w:before="0"/>
                      <w:ind w:left="0" w:right="18" w:firstLine="0"/>
                      <w:jc w:val="center"/>
                      <w:rPr>
                        <w:b/>
                        <w:sz w:val="16"/>
                      </w:rPr>
                    </w:pPr>
                    <w:r>
                      <w:rPr>
                        <w:b/>
                        <w:sz w:val="20"/>
                      </w:rPr>
                      <w:t>T</w:t>
                    </w:r>
                    <w:r>
                      <w:rPr>
                        <w:b/>
                        <w:sz w:val="16"/>
                      </w:rPr>
                      <w:t>OTAL CHANGE IN CARBON STOCKS IN LAND CONVERTED TO GRASSLAND</w:t>
                    </w:r>
                  </w:p>
                </w:txbxContent>
              </v:textbox>
              <w10:wrap type="none"/>
            </v:shape>
            <w10:wrap type="topAndBottom"/>
          </v:group>
        </w:pict>
      </w:r>
    </w:p>
    <w:p>
      <w:pPr>
        <w:pStyle w:val="BodyText"/>
        <w:spacing w:before="4"/>
        <w:ind w:left="219"/>
      </w:pPr>
      <w:r>
        <w:rPr/>
        <w:t>Where:</w:t>
      </w:r>
    </w:p>
    <w:p>
      <w:pPr>
        <w:pStyle w:val="BodyText"/>
        <w:spacing w:before="137"/>
        <w:ind w:left="579"/>
      </w:pPr>
      <w:r>
        <w:rPr>
          <w:rFonts w:ascii="Symbol" w:hAnsi="Symbol"/>
        </w:rPr>
        <w:t>∆</w:t>
      </w:r>
      <w:r>
        <w:rPr/>
        <w:t>C</w:t>
      </w:r>
      <w:r>
        <w:rPr>
          <w:vertAlign w:val="subscript"/>
        </w:rPr>
        <w:t>LG</w:t>
      </w:r>
      <w:r>
        <w:rPr>
          <w:vertAlign w:val="baseline"/>
        </w:rPr>
        <w:t> = total change in carbon stocks in land converted to grassland, tonnes C yr</w:t>
      </w:r>
      <w:r>
        <w:rPr>
          <w:vertAlign w:val="superscript"/>
        </w:rPr>
        <w:t>-1</w:t>
      </w:r>
    </w:p>
    <w:p>
      <w:pPr>
        <w:pStyle w:val="BodyText"/>
        <w:tabs>
          <w:tab w:pos="1222" w:val="left" w:leader="none"/>
        </w:tabs>
        <w:spacing w:before="116"/>
        <w:ind w:left="579"/>
      </w:pPr>
      <w:r>
        <w:rPr/>
        <w:pict>
          <v:shape style="position:absolute;margin-left:110.440384pt;margin-top:13.921534pt;width:8.0500pt;height:7.2pt;mso-position-horizontal-relative:page;mso-position-vertical-relative:paragraph;z-index:-2443888"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LG</w:t>
      </w:r>
      <w:r>
        <w:rPr>
          <w:vertAlign w:val="baseline"/>
        </w:rPr>
        <w:tab/>
        <w:t>= change in carbon stocks in living biomass in land converted to grassland, tonnes C</w:t>
      </w:r>
      <w:r>
        <w:rPr>
          <w:spacing w:val="-15"/>
          <w:vertAlign w:val="baseline"/>
        </w:rPr>
        <w:t> </w:t>
      </w:r>
      <w:r>
        <w:rPr>
          <w:vertAlign w:val="baseline"/>
        </w:rPr>
        <w:t>yr</w:t>
      </w:r>
      <w:r>
        <w:rPr>
          <w:vertAlign w:val="superscript"/>
        </w:rPr>
        <w:t>-1</w:t>
      </w:r>
    </w:p>
    <w:p>
      <w:pPr>
        <w:pStyle w:val="BodyText"/>
      </w:pPr>
    </w:p>
    <w:p>
      <w:pPr>
        <w:pStyle w:val="BodyText"/>
        <w:spacing w:before="4"/>
        <w:rPr>
          <w:sz w:val="12"/>
        </w:rPr>
      </w:pPr>
      <w:r>
        <w:rPr/>
        <w:pict>
          <v:line style="position:absolute;mso-position-horizontal-relative:page;mso-position-vertical-relative:paragraph;z-index:10208;mso-wrap-distance-left:0;mso-wrap-distance-right:0" from="70.960999pt,9.303515pt" to="214.960999pt,9.303515pt" stroked="true" strokeweight=".48pt" strokecolor="#000000">
            <v:stroke dashstyle="solid"/>
            <w10:wrap type="topAndBottom"/>
          </v:line>
        </w:pict>
      </w:r>
    </w:p>
    <w:p>
      <w:pPr>
        <w:spacing w:before="150"/>
        <w:ind w:left="360" w:right="513" w:hanging="142"/>
        <w:jc w:val="left"/>
        <w:rPr>
          <w:i/>
          <w:sz w:val="18"/>
        </w:rPr>
      </w:pPr>
      <w:r>
        <w:rPr>
          <w:position w:val="8"/>
          <w:sz w:val="12"/>
        </w:rPr>
        <w:t>3 </w:t>
      </w:r>
      <w:r>
        <w:rPr>
          <w:sz w:val="18"/>
        </w:rPr>
        <w:t>Emissions from fertilization and manuring on these grasslands </w:t>
      </w:r>
      <w:r>
        <w:rPr>
          <w:i/>
          <w:sz w:val="18"/>
        </w:rPr>
        <w:t>are </w:t>
      </w:r>
      <w:r>
        <w:rPr>
          <w:sz w:val="18"/>
        </w:rPr>
        <w:t>included in </w:t>
      </w:r>
      <w:r>
        <w:rPr>
          <w:i/>
          <w:sz w:val="18"/>
        </w:rPr>
        <w:t>IPCC Guidelines (Chapter 4, Agriculture) and GPG2000.</w:t>
      </w:r>
    </w:p>
    <w:p>
      <w:pPr>
        <w:spacing w:after="0"/>
        <w:jc w:val="left"/>
        <w:rPr>
          <w:sz w:val="18"/>
        </w:rPr>
        <w:sectPr>
          <w:footerReference w:type="default" r:id="rId147"/>
          <w:footerReference w:type="even" r:id="rId148"/>
          <w:pgSz w:w="11900" w:h="16840"/>
          <w:pgMar w:footer="408" w:header="230" w:top="560" w:bottom="600" w:left="1200" w:right="1140"/>
        </w:sectPr>
      </w:pPr>
    </w:p>
    <w:p>
      <w:pPr>
        <w:pStyle w:val="BodyText"/>
        <w:rPr>
          <w:i/>
          <w:sz w:val="29"/>
        </w:rPr>
      </w:pPr>
    </w:p>
    <w:p>
      <w:pPr>
        <w:pStyle w:val="BodyText"/>
        <w:tabs>
          <w:tab w:pos="1299" w:val="left" w:leader="none"/>
        </w:tabs>
        <w:spacing w:line="193" w:lineRule="exact" w:before="120"/>
        <w:ind w:left="701"/>
      </w:pPr>
      <w:r>
        <w:rPr/>
        <w:pict>
          <v:shape style="position:absolute;margin-left:88.960602pt;margin-top:5.276311pt;width:21.25pt;height:13.05pt;mso-position-horizontal-relative:page;mso-position-vertical-relative:paragraph;z-index:-2443864" type="#_x0000_t202" filled="false" stroked="false">
            <v:textbox inset="0,0,0,0">
              <w:txbxContent>
                <w:p>
                  <w:pPr>
                    <w:spacing w:line="223" w:lineRule="exact" w:before="37"/>
                    <w:ind w:left="0" w:right="0" w:firstLine="0"/>
                    <w:jc w:val="left"/>
                    <w:rPr>
                      <w:sz w:val="13"/>
                    </w:rPr>
                  </w:pPr>
                  <w:r>
                    <w:rPr>
                      <w:rFonts w:ascii="Symbol" w:hAnsi="Symbol"/>
                      <w:position w:val="3"/>
                      <w:sz w:val="20"/>
                    </w:rPr>
                    <w:t>∆ </w:t>
                  </w:r>
                  <w:r>
                    <w:rPr>
                      <w:spacing w:val="-53"/>
                      <w:sz w:val="13"/>
                    </w:rPr>
                    <w:t>LG</w:t>
                  </w:r>
                </w:p>
              </w:txbxContent>
            </v:textbox>
            <w10:wrap type="none"/>
          </v:shape>
        </w:pict>
      </w:r>
      <w:r>
        <w:rPr/>
        <w:t>C</w:t>
        <w:tab/>
        <w:t>= change in carbon stocks in soils in land converted to grassland, tonnes C</w:t>
      </w:r>
      <w:r>
        <w:rPr>
          <w:spacing w:val="-5"/>
        </w:rPr>
        <w:t> </w:t>
      </w:r>
      <w:r>
        <w:rPr/>
        <w:t>yr</w:t>
      </w:r>
      <w:r>
        <w:rPr>
          <w:vertAlign w:val="superscript"/>
        </w:rPr>
        <w:t>-1</w:t>
      </w:r>
    </w:p>
    <w:p>
      <w:pPr>
        <w:spacing w:line="113" w:lineRule="exact" w:before="0"/>
        <w:ind w:left="1008" w:right="0" w:firstLine="0"/>
        <w:jc w:val="left"/>
        <w:rPr>
          <w:sz w:val="13"/>
        </w:rPr>
      </w:pPr>
      <w:r>
        <w:rPr>
          <w:sz w:val="13"/>
        </w:rPr>
        <w:t>Soils</w:t>
      </w:r>
    </w:p>
    <w:p>
      <w:pPr>
        <w:pStyle w:val="BodyText"/>
        <w:spacing w:before="8"/>
        <w:rPr>
          <w:sz w:val="25"/>
        </w:rPr>
      </w:pPr>
    </w:p>
    <w:p>
      <w:pPr>
        <w:spacing w:before="89"/>
        <w:ind w:left="219" w:right="0" w:firstLine="0"/>
        <w:jc w:val="both"/>
        <w:rPr>
          <w:b/>
          <w:sz w:val="22"/>
        </w:rPr>
      </w:pPr>
      <w:r>
        <w:rPr>
          <w:b/>
          <w:sz w:val="28"/>
        </w:rPr>
        <w:t>3.4.2.1 C</w:t>
      </w:r>
      <w:r>
        <w:rPr>
          <w:b/>
          <w:sz w:val="22"/>
        </w:rPr>
        <w:t>HANGE IN CARBON STOCKS IN BIOMASS</w:t>
      </w:r>
    </w:p>
    <w:p>
      <w:pPr>
        <w:pStyle w:val="BodyText"/>
        <w:spacing w:before="3"/>
        <w:rPr>
          <w:b/>
          <w:sz w:val="29"/>
        </w:rPr>
      </w:pPr>
    </w:p>
    <w:p>
      <w:pPr>
        <w:pStyle w:val="Heading6"/>
        <w:ind w:left="219"/>
        <w:jc w:val="both"/>
      </w:pPr>
      <w:r>
        <w:rPr/>
        <w:t>3.4.2.1 .1 METHODOLOGICAL ISSUES</w:t>
      </w:r>
    </w:p>
    <w:p>
      <w:pPr>
        <w:pStyle w:val="BodyText"/>
        <w:spacing w:before="114"/>
        <w:ind w:left="219" w:right="264"/>
        <w:jc w:val="both"/>
      </w:pPr>
      <w:r>
        <w:rPr/>
        <w:t>This section provides </w:t>
      </w:r>
      <w:r>
        <w:rPr>
          <w:i/>
        </w:rPr>
        <w:t>good practice </w:t>
      </w:r>
      <w:r>
        <w:rPr/>
        <w:t>guidance for calculating CO</w:t>
      </w:r>
      <w:r>
        <w:rPr>
          <w:vertAlign w:val="subscript"/>
        </w:rPr>
        <w:t>2</w:t>
      </w:r>
      <w:r>
        <w:rPr>
          <w:vertAlign w:val="baseline"/>
        </w:rPr>
        <w:t> emissions and removals in biomass due to the conversion of land from natural conditions and other uses to grassland, including deforestation and conversion of cropland to pasture and grazing lands. The carbon emissions and removals in biomass in land use conversion to grassland result from the removal of existing and replacement with different vegetation. This process may result in increases or decreases in carbon stocks in biomass depending on the type of land use conversion. This is different from the concepts underlying carbon stock changes in biomass of grassland remaining grassland where changes are tied to management practices.</w:t>
      </w:r>
    </w:p>
    <w:p>
      <w:pPr>
        <w:pStyle w:val="BodyText"/>
        <w:spacing w:before="121"/>
        <w:ind w:left="219" w:right="265"/>
        <w:jc w:val="both"/>
      </w:pPr>
      <w:r>
        <w:rPr/>
        <w:t>Generically, the methods to quantify emissions and removals of carbon due to conversion of other land uses to grassland require estimates of the carbon stocks prior to and following conversion (depending on whether previous land use was forest land, cropland, wetlands) and the estimates of the areas of land converted during the period over which conversion has an effect. As a result of conversion to grassland, it is assumed that the dominant vegetation is removed entirely, after which some type of grass is planted or otherwise established (e.g. in establishment of pasture). Alternatively, grassland can result from the abandonment of the preceding land use</w:t>
      </w:r>
    </w:p>
    <w:p>
      <w:pPr>
        <w:pStyle w:val="BodyText"/>
        <w:ind w:left="219" w:right="266"/>
        <w:jc w:val="both"/>
      </w:pPr>
      <w:r>
        <w:rPr/>
        <w:t>e.g. cropland, and the area is taken over by grassland. Vegetation that replaces that which was cleared during conversion should be accounted for using this methodology in conjunction with the methods in Section 3.4.1.</w:t>
      </w:r>
    </w:p>
    <w:p>
      <w:pPr>
        <w:pStyle w:val="BodyText"/>
        <w:spacing w:before="2"/>
        <w:rPr>
          <w:sz w:val="21"/>
        </w:rPr>
      </w:pPr>
    </w:p>
    <w:p>
      <w:pPr>
        <w:pStyle w:val="Heading6"/>
        <w:numPr>
          <w:ilvl w:val="5"/>
          <w:numId w:val="71"/>
        </w:numPr>
        <w:tabs>
          <w:tab w:pos="1449" w:val="left" w:leader="none"/>
        </w:tabs>
        <w:spacing w:line="240" w:lineRule="auto" w:before="0" w:after="0"/>
        <w:ind w:left="1448" w:right="0" w:hanging="1229"/>
        <w:jc w:val="left"/>
      </w:pPr>
      <w:r>
        <w:rPr/>
        <w:t>1 </w:t>
      </w:r>
      <w:r>
        <w:rPr>
          <w:spacing w:val="16"/>
        </w:rPr>
        <w:t>Choice </w:t>
      </w:r>
      <w:r>
        <w:rPr>
          <w:spacing w:val="9"/>
        </w:rPr>
        <w:t>of</w:t>
      </w:r>
      <w:r>
        <w:rPr>
          <w:spacing w:val="-22"/>
        </w:rPr>
        <w:t> </w:t>
      </w:r>
      <w:r>
        <w:rPr>
          <w:spacing w:val="19"/>
        </w:rPr>
        <w:t>Method</w:t>
      </w:r>
    </w:p>
    <w:p>
      <w:pPr>
        <w:pStyle w:val="BodyText"/>
        <w:spacing w:before="56"/>
        <w:ind w:left="219" w:right="263"/>
        <w:jc w:val="both"/>
      </w:pPr>
      <w:r>
        <w:rPr>
          <w:b/>
        </w:rPr>
        <w:t>Tier 1: </w:t>
      </w:r>
      <w:r>
        <w:rPr/>
        <w:t>The Tier 1 method follows the approach in </w:t>
      </w:r>
      <w:r>
        <w:rPr>
          <w:i/>
        </w:rPr>
        <w:t>IPCC Guidelines </w:t>
      </w:r>
      <w:r>
        <w:rPr/>
        <w:t>Section 5.2.3. Forest and Grassland Conversion where the amount of carbon removed is estimated by multiplying the area converted annually by the difference between average carbon stocks in biomass prior to and following conversion, accounting for carbon in biomass that replaces cleared vegetation. It is </w:t>
      </w:r>
      <w:r>
        <w:rPr>
          <w:i/>
        </w:rPr>
        <w:t>good practice </w:t>
      </w:r>
      <w:r>
        <w:rPr/>
        <w:t>to account completely for all land conversions to grassland. Thus, this section elaborates on the method such that it includes each initial land use, including but not limited to forests. All countries should strive for improving inventory and reporting approaches by advancing to the highest tier possible given national circumstances. It is </w:t>
      </w:r>
      <w:r>
        <w:rPr>
          <w:i/>
        </w:rPr>
        <w:t>good practice </w:t>
      </w:r>
      <w:r>
        <w:rPr/>
        <w:t>for countries to use a Tier 2 or Tier 3 approach if carbon emissions and removals in land converted to grassland is a key category and if the sub- category of living biomass is considered significant based on principles outlined in Chapter 5. Countries should use the decision tree in Figure 3.1.2 to help with the choice of method.</w:t>
      </w:r>
    </w:p>
    <w:p>
      <w:pPr>
        <w:pStyle w:val="BodyText"/>
        <w:spacing w:before="119"/>
        <w:ind w:left="219" w:right="262"/>
        <w:jc w:val="both"/>
      </w:pPr>
      <w:r>
        <w:rPr/>
        <w:t>Equation 3.4.13 summarises the major elements of a first order approximation of carbon stock changes from land use conversion to grassland. Average carbon stock change on a per area basis is estimated for each type of conversion. The average carbon stock change is equal to the carbon stock change due to the removal of biomass from the initial land use (i.e., carbon in biomass immediately after conversion minus the carbon in biomass prior to conversion), plus carbon stocks from biomass growth following conversion. As stated in the </w:t>
      </w:r>
      <w:r>
        <w:rPr>
          <w:i/>
        </w:rPr>
        <w:t>IPCC Guidelines</w:t>
      </w:r>
      <w:r>
        <w:rPr/>
        <w:t>, it is necessary to account for any vegetation that replaces the vegetation that was cleared during land use conversion. The </w:t>
      </w:r>
      <w:r>
        <w:rPr>
          <w:i/>
        </w:rPr>
        <w:t>IPCC Guidelines </w:t>
      </w:r>
      <w:r>
        <w:rPr/>
        <w:t>combine carbon in biomass after conversion and carbon in biomass that grows on the land following conversion into a single term. In this method, they are separated into two terms, C</w:t>
      </w:r>
      <w:r>
        <w:rPr>
          <w:vertAlign w:val="subscript"/>
        </w:rPr>
        <w:t>After</w:t>
      </w:r>
      <w:r>
        <w:rPr>
          <w:vertAlign w:val="baseline"/>
        </w:rPr>
        <w:t> and C</w:t>
      </w:r>
      <w:r>
        <w:rPr>
          <w:vertAlign w:val="subscript"/>
        </w:rPr>
        <w:t>Growth</w:t>
      </w:r>
      <w:r>
        <w:rPr>
          <w:vertAlign w:val="baseline"/>
        </w:rPr>
        <w:t> to increase transparency. At Tier 1, carbon stocks in biomass immediately after conversion (C</w:t>
      </w:r>
      <w:r>
        <w:rPr>
          <w:vertAlign w:val="subscript"/>
        </w:rPr>
        <w:t>After</w:t>
      </w:r>
      <w:r>
        <w:rPr>
          <w:vertAlign w:val="baseline"/>
        </w:rPr>
        <w:t>) are assumed to be zero, i.e., the land is cleared of all vegetation before grass or woody vegetation is seeded, planted or naturally regenerated. Average carbon stock change per area for a given land use conversion is multiplied by the estimated area of lands undergoing such a conversion in a given year. In subsequent years, carbon stock changes in living biomass of grassland, resulting from management changes, are counted following the methodology in Section 3.4.1.1 (Change in Biomass in: Grassland Remaining Grassland).</w:t>
      </w:r>
    </w:p>
    <w:p>
      <w:pPr>
        <w:spacing w:after="0"/>
        <w:jc w:val="both"/>
        <w:sectPr>
          <w:pgSz w:w="11900" w:h="16840"/>
          <w:pgMar w:header="230" w:footer="408" w:top="560" w:bottom="600" w:left="1200" w:right="1140"/>
        </w:sectPr>
      </w:pPr>
    </w:p>
    <w:p>
      <w:pPr>
        <w:pStyle w:val="BodyText"/>
      </w:pPr>
      <w:r>
        <w:rPr/>
        <w:pict>
          <v:line style="position:absolute;mso-position-horizontal-relative:page;mso-position-vertical-relative:page;z-index:-2443720" from="72.521004pt,91.32pt" to="138.881004pt,126.72pt" stroked="true" strokeweight=".48pt" strokecolor="#000000">
            <v:stroke dashstyle="solid"/>
            <w10:wrap type="none"/>
          </v:line>
        </w:pict>
      </w:r>
    </w:p>
    <w:p>
      <w:pPr>
        <w:pStyle w:val="BodyText"/>
      </w:pPr>
    </w:p>
    <w:p>
      <w:pPr>
        <w:pStyle w:val="BodyText"/>
        <w:rPr>
          <w:sz w:val="19"/>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37"/>
        <w:gridCol w:w="2489"/>
        <w:gridCol w:w="3471"/>
        <w:gridCol w:w="1719"/>
      </w:tblGrid>
      <w:tr>
        <w:trPr>
          <w:trHeight w:val="532" w:hRule="atLeast"/>
        </w:trPr>
        <w:tc>
          <w:tcPr>
            <w:tcW w:w="9016" w:type="dxa"/>
            <w:gridSpan w:val="4"/>
            <w:tcBorders>
              <w:bottom w:val="double" w:sz="1" w:space="0" w:color="000000"/>
            </w:tcBorders>
          </w:tcPr>
          <w:p>
            <w:pPr>
              <w:pStyle w:val="TableParagraph"/>
              <w:spacing w:line="207" w:lineRule="exact" w:before="59"/>
              <w:ind w:left="408" w:right="402"/>
              <w:jc w:val="center"/>
              <w:rPr>
                <w:b/>
                <w:sz w:val="18"/>
              </w:rPr>
            </w:pPr>
            <w:r>
              <w:rPr>
                <w:b/>
                <w:sz w:val="18"/>
              </w:rPr>
              <w:t>T</w:t>
            </w:r>
            <w:r>
              <w:rPr>
                <w:b/>
                <w:sz w:val="14"/>
              </w:rPr>
              <w:t>ABLE </w:t>
            </w:r>
            <w:r>
              <w:rPr>
                <w:b/>
                <w:sz w:val="18"/>
              </w:rPr>
              <w:t>3.4.7</w:t>
            </w:r>
          </w:p>
          <w:p>
            <w:pPr>
              <w:pStyle w:val="TableParagraph"/>
              <w:spacing w:line="207" w:lineRule="exact"/>
              <w:ind w:left="408" w:right="402"/>
              <w:jc w:val="center"/>
              <w:rPr>
                <w:b/>
                <w:sz w:val="14"/>
              </w:rPr>
            </w:pPr>
            <w:r>
              <w:rPr>
                <w:b/>
                <w:sz w:val="18"/>
              </w:rPr>
              <w:t>T</w:t>
            </w:r>
            <w:r>
              <w:rPr>
                <w:b/>
                <w:sz w:val="14"/>
              </w:rPr>
              <w:t>IER DESCRIPTIONS FOR SUBCATEGORIES UNDER LAND CONVERTED TO GRASSLAND</w:t>
            </w:r>
          </w:p>
        </w:tc>
      </w:tr>
      <w:tr>
        <w:trPr>
          <w:trHeight w:val="707" w:hRule="atLeast"/>
        </w:trPr>
        <w:tc>
          <w:tcPr>
            <w:tcW w:w="1337" w:type="dxa"/>
            <w:tcBorders>
              <w:top w:val="double" w:sz="1" w:space="0" w:color="000000"/>
            </w:tcBorders>
          </w:tcPr>
          <w:p>
            <w:pPr>
              <w:pStyle w:val="TableParagraph"/>
              <w:spacing w:before="42"/>
              <w:ind w:left="57" w:right="498" w:firstLine="407"/>
              <w:rPr>
                <w:b/>
                <w:sz w:val="18"/>
              </w:rPr>
            </w:pPr>
            <w:r>
              <w:rPr>
                <w:b/>
                <w:sz w:val="18"/>
              </w:rPr>
              <w:t>Tier Sub- categories</w:t>
            </w:r>
          </w:p>
        </w:tc>
        <w:tc>
          <w:tcPr>
            <w:tcW w:w="2489" w:type="dxa"/>
            <w:tcBorders>
              <w:top w:val="double" w:sz="1" w:space="0" w:color="000000"/>
            </w:tcBorders>
          </w:tcPr>
          <w:p>
            <w:pPr>
              <w:pStyle w:val="TableParagraph"/>
              <w:spacing w:before="9"/>
              <w:rPr>
                <w:sz w:val="21"/>
              </w:rPr>
            </w:pPr>
          </w:p>
          <w:p>
            <w:pPr>
              <w:pStyle w:val="TableParagraph"/>
              <w:spacing w:before="1"/>
              <w:ind w:left="992" w:right="982"/>
              <w:jc w:val="center"/>
              <w:rPr>
                <w:b/>
                <w:sz w:val="18"/>
              </w:rPr>
            </w:pPr>
            <w:r>
              <w:rPr>
                <w:b/>
                <w:sz w:val="18"/>
              </w:rPr>
              <w:t>Tier 1</w:t>
            </w:r>
          </w:p>
        </w:tc>
        <w:tc>
          <w:tcPr>
            <w:tcW w:w="3471" w:type="dxa"/>
            <w:tcBorders>
              <w:top w:val="double" w:sz="1" w:space="0" w:color="000000"/>
            </w:tcBorders>
          </w:tcPr>
          <w:p>
            <w:pPr>
              <w:pStyle w:val="TableParagraph"/>
              <w:spacing w:before="9"/>
              <w:rPr>
                <w:sz w:val="21"/>
              </w:rPr>
            </w:pPr>
          </w:p>
          <w:p>
            <w:pPr>
              <w:pStyle w:val="TableParagraph"/>
              <w:spacing w:before="1"/>
              <w:ind w:left="1484" w:right="1472"/>
              <w:jc w:val="center"/>
              <w:rPr>
                <w:b/>
                <w:sz w:val="18"/>
              </w:rPr>
            </w:pPr>
            <w:r>
              <w:rPr>
                <w:b/>
                <w:sz w:val="18"/>
              </w:rPr>
              <w:t>Tier 2</w:t>
            </w:r>
          </w:p>
        </w:tc>
        <w:tc>
          <w:tcPr>
            <w:tcW w:w="1719" w:type="dxa"/>
            <w:tcBorders>
              <w:top w:val="double" w:sz="1" w:space="0" w:color="000000"/>
            </w:tcBorders>
          </w:tcPr>
          <w:p>
            <w:pPr>
              <w:pStyle w:val="TableParagraph"/>
              <w:spacing w:before="9"/>
              <w:rPr>
                <w:sz w:val="21"/>
              </w:rPr>
            </w:pPr>
          </w:p>
          <w:p>
            <w:pPr>
              <w:pStyle w:val="TableParagraph"/>
              <w:spacing w:before="1"/>
              <w:ind w:left="607" w:right="596"/>
              <w:jc w:val="center"/>
              <w:rPr>
                <w:b/>
                <w:sz w:val="18"/>
              </w:rPr>
            </w:pPr>
            <w:r>
              <w:rPr>
                <w:b/>
                <w:sz w:val="18"/>
              </w:rPr>
              <w:t>Tier 3</w:t>
            </w:r>
          </w:p>
        </w:tc>
      </w:tr>
      <w:tr>
        <w:trPr>
          <w:trHeight w:val="2603" w:hRule="atLeast"/>
        </w:trPr>
        <w:tc>
          <w:tcPr>
            <w:tcW w:w="1337" w:type="dxa"/>
          </w:tcPr>
          <w:p>
            <w:pPr>
              <w:pStyle w:val="TableParagraph"/>
              <w:spacing w:before="55"/>
              <w:ind w:left="107"/>
              <w:rPr>
                <w:sz w:val="18"/>
              </w:rPr>
            </w:pPr>
            <w:r>
              <w:rPr>
                <w:sz w:val="18"/>
              </w:rPr>
              <w:t>Living biomass</w:t>
            </w:r>
          </w:p>
        </w:tc>
        <w:tc>
          <w:tcPr>
            <w:tcW w:w="2489" w:type="dxa"/>
          </w:tcPr>
          <w:p>
            <w:pPr>
              <w:pStyle w:val="TableParagraph"/>
              <w:spacing w:before="55"/>
              <w:ind w:left="109" w:right="125"/>
              <w:rPr>
                <w:sz w:val="18"/>
              </w:rPr>
            </w:pPr>
            <w:r>
              <w:rPr>
                <w:sz w:val="18"/>
              </w:rPr>
              <w:t>Use default coefficients to estimate carbon stock change in biomass resulting from land use conversions and for carbon in biomass that replaces cleared vegetation.</w:t>
            </w:r>
          </w:p>
        </w:tc>
        <w:tc>
          <w:tcPr>
            <w:tcW w:w="3471" w:type="dxa"/>
          </w:tcPr>
          <w:p>
            <w:pPr>
              <w:pStyle w:val="TableParagraph"/>
              <w:spacing w:before="55"/>
              <w:ind w:left="109" w:right="201"/>
              <w:rPr>
                <w:sz w:val="18"/>
              </w:rPr>
            </w:pPr>
            <w:r>
              <w:rPr>
                <w:sz w:val="18"/>
              </w:rPr>
              <w:t>Use at least some country-specific carbon stock parameters to estimate carbon stock changes from land use conversion to grassland. Apportion carbon from biomass removal to burning, decay, and other nationally important conversion processes. Estimate non-CO</w:t>
            </w:r>
            <w:r>
              <w:rPr>
                <w:sz w:val="18"/>
                <w:vertAlign w:val="subscript"/>
              </w:rPr>
              <w:t>2</w:t>
            </w:r>
            <w:r>
              <w:rPr>
                <w:sz w:val="18"/>
                <w:vertAlign w:val="baseline"/>
              </w:rPr>
              <w:t> trace gas emissions from the portion of biomass burned both on-site and off-site. Use area estimates that are disaggregated to nationally relevant climate zones and other boundaries to match country-specific carbon stock parameters.</w:t>
            </w:r>
          </w:p>
        </w:tc>
        <w:tc>
          <w:tcPr>
            <w:tcW w:w="1719" w:type="dxa"/>
          </w:tcPr>
          <w:p>
            <w:pPr>
              <w:pStyle w:val="TableParagraph"/>
              <w:spacing w:before="55"/>
              <w:ind w:left="109" w:right="85"/>
              <w:rPr>
                <w:sz w:val="18"/>
              </w:rPr>
            </w:pPr>
            <w:r>
              <w:rPr>
                <w:sz w:val="18"/>
              </w:rPr>
              <w:t>Use country-specific approach at fine spatial scale (e.g., modeling, measurement).</w:t>
            </w:r>
          </w:p>
        </w:tc>
      </w:tr>
      <w:tr>
        <w:trPr>
          <w:trHeight w:val="2190" w:hRule="atLeast"/>
        </w:trPr>
        <w:tc>
          <w:tcPr>
            <w:tcW w:w="1337" w:type="dxa"/>
          </w:tcPr>
          <w:p>
            <w:pPr>
              <w:pStyle w:val="TableParagraph"/>
              <w:spacing w:before="55"/>
              <w:ind w:left="107" w:right="175"/>
              <w:rPr>
                <w:sz w:val="18"/>
              </w:rPr>
            </w:pPr>
            <w:r>
              <w:rPr>
                <w:sz w:val="18"/>
              </w:rPr>
              <w:t>Carbon stocks in soil</w:t>
            </w:r>
          </w:p>
        </w:tc>
        <w:tc>
          <w:tcPr>
            <w:tcW w:w="2489" w:type="dxa"/>
          </w:tcPr>
          <w:p>
            <w:pPr>
              <w:pStyle w:val="TableParagraph"/>
              <w:spacing w:before="55"/>
              <w:ind w:left="109" w:right="120"/>
              <w:rPr>
                <w:sz w:val="18"/>
              </w:rPr>
            </w:pPr>
            <w:r>
              <w:rPr>
                <w:sz w:val="18"/>
              </w:rPr>
              <w:t>For changes in soil carbon from mineral soils use default coefficients. The areas must be stratified by climate and soil type. For changes in soil carbon from organic soils use default coefficients and stratify the areas by climatic region.</w:t>
            </w:r>
          </w:p>
          <w:p>
            <w:pPr>
              <w:pStyle w:val="TableParagraph"/>
              <w:ind w:left="109" w:right="105"/>
              <w:rPr>
                <w:sz w:val="18"/>
              </w:rPr>
            </w:pPr>
            <w:r>
              <w:rPr>
                <w:sz w:val="18"/>
              </w:rPr>
              <w:t>For emissions from liming, use default emission factors.</w:t>
            </w:r>
          </w:p>
        </w:tc>
        <w:tc>
          <w:tcPr>
            <w:tcW w:w="3471" w:type="dxa"/>
          </w:tcPr>
          <w:p>
            <w:pPr>
              <w:pStyle w:val="TableParagraph"/>
              <w:spacing w:before="55"/>
              <w:ind w:left="109" w:right="147"/>
              <w:rPr>
                <w:sz w:val="18"/>
              </w:rPr>
            </w:pPr>
            <w:r>
              <w:rPr>
                <w:sz w:val="18"/>
              </w:rPr>
              <w:t>For both mineral and organic soils use some combination of default and/or country- specific coefficients and area estimates of increasingly finer spatial resolution. For emissions from liming, use emission factors differentiated by forms of lime.</w:t>
            </w:r>
          </w:p>
        </w:tc>
        <w:tc>
          <w:tcPr>
            <w:tcW w:w="1719" w:type="dxa"/>
          </w:tcPr>
          <w:p>
            <w:pPr>
              <w:pStyle w:val="TableParagraph"/>
              <w:spacing w:before="55"/>
              <w:ind w:left="109" w:right="85"/>
              <w:rPr>
                <w:sz w:val="18"/>
              </w:rPr>
            </w:pPr>
            <w:r>
              <w:rPr>
                <w:sz w:val="18"/>
              </w:rPr>
              <w:t>Use country-specific approach at fine spatial scale (e.g., modeling, measurement).</w:t>
            </w:r>
          </w:p>
        </w:tc>
      </w:tr>
    </w:tbl>
    <w:p>
      <w:pPr>
        <w:pStyle w:val="BodyText"/>
        <w:spacing w:before="11"/>
        <w:rPr>
          <w:sz w:val="21"/>
        </w:rPr>
      </w:pPr>
    </w:p>
    <w:p>
      <w:pPr>
        <w:pStyle w:val="BodyText"/>
        <w:spacing w:before="91"/>
        <w:ind w:left="219"/>
      </w:pPr>
      <w:r>
        <w:rPr/>
        <w:t>The basic steps in estimating carbon stock changes in biomass from land conversion to grassland are as follows:</w:t>
      </w:r>
    </w:p>
    <w:p>
      <w:pPr>
        <w:pStyle w:val="ListParagraph"/>
        <w:numPr>
          <w:ilvl w:val="0"/>
          <w:numId w:val="72"/>
        </w:numPr>
        <w:tabs>
          <w:tab w:pos="580" w:val="left" w:leader="none"/>
        </w:tabs>
        <w:spacing w:line="240" w:lineRule="auto" w:before="120" w:after="0"/>
        <w:ind w:left="579" w:right="267" w:hanging="360"/>
        <w:jc w:val="both"/>
        <w:rPr>
          <w:sz w:val="20"/>
        </w:rPr>
      </w:pPr>
      <w:r>
        <w:rPr>
          <w:sz w:val="20"/>
        </w:rPr>
        <w:t>Estimate the average area of land undergoing a transition from non-grassland to grassland during a year (A</w:t>
      </w:r>
      <w:r>
        <w:rPr>
          <w:sz w:val="20"/>
          <w:vertAlign w:val="subscript"/>
        </w:rPr>
        <w:t>conversion</w:t>
      </w:r>
      <w:r>
        <w:rPr>
          <w:sz w:val="20"/>
          <w:vertAlign w:val="baseline"/>
        </w:rPr>
        <w:t>), separately for each initial land use (i.e., forest land, cropland, etc.) and final grassland</w:t>
      </w:r>
      <w:r>
        <w:rPr>
          <w:spacing w:val="-23"/>
          <w:sz w:val="20"/>
          <w:vertAlign w:val="baseline"/>
        </w:rPr>
        <w:t> </w:t>
      </w:r>
      <w:r>
        <w:rPr>
          <w:sz w:val="20"/>
          <w:vertAlign w:val="baseline"/>
        </w:rPr>
        <w:t>type.</w:t>
      </w:r>
    </w:p>
    <w:p>
      <w:pPr>
        <w:pStyle w:val="ListParagraph"/>
        <w:numPr>
          <w:ilvl w:val="0"/>
          <w:numId w:val="72"/>
        </w:numPr>
        <w:tabs>
          <w:tab w:pos="580" w:val="left" w:leader="none"/>
        </w:tabs>
        <w:spacing w:line="240" w:lineRule="auto" w:before="119" w:after="0"/>
        <w:ind w:left="579" w:right="264" w:hanging="360"/>
        <w:jc w:val="both"/>
        <w:rPr>
          <w:sz w:val="20"/>
        </w:rPr>
      </w:pPr>
      <w:r>
        <w:rPr>
          <w:sz w:val="20"/>
        </w:rPr>
        <w:t>For each type of land use transition to grassland, use Equation 3.4.13 to estimate the resulting change in carbon stocks. Default data in Section 3.4.2.1.1.2 for C</w:t>
      </w:r>
      <w:r>
        <w:rPr>
          <w:sz w:val="20"/>
          <w:vertAlign w:val="subscript"/>
        </w:rPr>
        <w:t>After</w:t>
      </w:r>
      <w:r>
        <w:rPr>
          <w:sz w:val="20"/>
          <w:vertAlign w:val="baseline"/>
        </w:rPr>
        <w:t>, C</w:t>
      </w:r>
      <w:r>
        <w:rPr>
          <w:sz w:val="20"/>
          <w:vertAlign w:val="subscript"/>
        </w:rPr>
        <w:t>Before</w:t>
      </w:r>
      <w:r>
        <w:rPr>
          <w:sz w:val="20"/>
          <w:vertAlign w:val="baseline"/>
        </w:rPr>
        <w:t>, and C</w:t>
      </w:r>
      <w:r>
        <w:rPr>
          <w:sz w:val="20"/>
          <w:vertAlign w:val="subscript"/>
        </w:rPr>
        <w:t>Growth</w:t>
      </w:r>
      <w:r>
        <w:rPr>
          <w:sz w:val="20"/>
          <w:vertAlign w:val="baseline"/>
        </w:rPr>
        <w:t> can be used to estimate the total stock change on a per area basis for each type of land use transition. The estimate for stock change on a per area basis can then be multiplied by the appropriate area estimates from step</w:t>
      </w:r>
      <w:r>
        <w:rPr>
          <w:spacing w:val="-11"/>
          <w:sz w:val="20"/>
          <w:vertAlign w:val="baseline"/>
        </w:rPr>
        <w:t> </w:t>
      </w:r>
      <w:r>
        <w:rPr>
          <w:sz w:val="20"/>
          <w:vertAlign w:val="baseline"/>
        </w:rPr>
        <w:t>1.</w:t>
      </w:r>
    </w:p>
    <w:p>
      <w:pPr>
        <w:pStyle w:val="ListParagraph"/>
        <w:numPr>
          <w:ilvl w:val="0"/>
          <w:numId w:val="72"/>
        </w:numPr>
        <w:tabs>
          <w:tab w:pos="580" w:val="left" w:leader="none"/>
        </w:tabs>
        <w:spacing w:line="240" w:lineRule="auto" w:before="119" w:after="0"/>
        <w:ind w:left="579" w:right="265" w:hanging="360"/>
        <w:jc w:val="both"/>
        <w:rPr>
          <w:sz w:val="20"/>
        </w:rPr>
      </w:pPr>
      <w:r>
        <w:rPr>
          <w:sz w:val="20"/>
        </w:rPr>
        <w:t>Estimate the total carbon stock change from all land use conversions to grassland by summing the individual estimates for each</w:t>
      </w:r>
      <w:r>
        <w:rPr>
          <w:spacing w:val="1"/>
          <w:sz w:val="20"/>
        </w:rPr>
        <w:t> </w:t>
      </w:r>
      <w:r>
        <w:rPr>
          <w:sz w:val="20"/>
        </w:rPr>
        <w:t>transition.</w:t>
      </w:r>
    </w:p>
    <w:p>
      <w:pPr>
        <w:pStyle w:val="BodyText"/>
        <w:spacing w:before="121"/>
        <w:ind w:left="219" w:right="268"/>
        <w:jc w:val="both"/>
      </w:pPr>
      <w:r>
        <w:rPr/>
        <w:t>The default assumption for Tier 1 is that all carbon in biomass is lost to the atmosphere through decay processes either on- or off-site. As such, Tier 1 calculations do not differentiate immediate emissions from burning and other conversion activities.</w:t>
      </w:r>
    </w:p>
    <w:p>
      <w:pPr>
        <w:pStyle w:val="BodyText"/>
        <w:spacing w:before="9"/>
        <w:rPr>
          <w:sz w:val="9"/>
        </w:rPr>
      </w:pPr>
      <w:r>
        <w:rPr/>
        <w:pict>
          <v:group style="position:absolute;margin-left:91.240997pt;margin-top:8.327744pt;width:412.95pt;height:70.7pt;mso-position-horizontal-relative:page;mso-position-vertical-relative:paragraph;z-index:10376;mso-wrap-distance-left:0;mso-wrap-distance-right:0" coordorigin="1825,167" coordsize="8259,1414">
            <v:line style="position:absolute" from="1854,181" to="10054,181" stroked="true" strokeweight="1.44pt" strokecolor="#000000">
              <v:stroke dashstyle="solid"/>
            </v:line>
            <v:line style="position:absolute" from="1854,1566" to="10054,1566" stroked="true" strokeweight="1.44pt" strokecolor="#000000">
              <v:stroke dashstyle="solid"/>
            </v:line>
            <v:line style="position:absolute" from="1839,167" to="1839,1580" stroked="true" strokeweight="1.44pt" strokecolor="#000000">
              <v:stroke dashstyle="solid"/>
            </v:line>
            <v:line style="position:absolute" from="10069,167" to="10069,1580" stroked="true" strokeweight="1.44pt" strokecolor="#000000">
              <v:stroke dashstyle="solid"/>
            </v:line>
            <v:shape style="position:absolute;left:4851;top:831;width:2868;height:633" type="#_x0000_t202" filled="false" stroked="false">
              <v:textbox inset="0,0,0,0">
                <w:txbxContent>
                  <w:p>
                    <w:pPr>
                      <w:spacing w:before="15"/>
                      <w:ind w:left="0" w:right="0" w:firstLine="0"/>
                      <w:jc w:val="left"/>
                      <w:rPr>
                        <w:sz w:val="20"/>
                      </w:rPr>
                    </w:pPr>
                    <w:r>
                      <w:rPr>
                        <w:position w:val="3"/>
                        <w:sz w:val="20"/>
                      </w:rPr>
                      <w:t>= A</w:t>
                    </w:r>
                    <w:r>
                      <w:rPr>
                        <w:sz w:val="13"/>
                      </w:rPr>
                      <w:t>Conversion </w:t>
                    </w:r>
                    <w:r>
                      <w:rPr>
                        <w:position w:val="3"/>
                        <w:sz w:val="20"/>
                      </w:rPr>
                      <w:t>● (L</w:t>
                    </w:r>
                    <w:r>
                      <w:rPr>
                        <w:sz w:val="13"/>
                      </w:rPr>
                      <w:t>Conversion </w:t>
                    </w:r>
                    <w:r>
                      <w:rPr>
                        <w:position w:val="3"/>
                        <w:sz w:val="20"/>
                      </w:rPr>
                      <w:t>+ </w:t>
                    </w:r>
                    <w:r>
                      <w:rPr>
                        <w:rFonts w:ascii="Symbol" w:hAnsi="Symbol"/>
                        <w:spacing w:val="-10"/>
                        <w:position w:val="3"/>
                        <w:sz w:val="20"/>
                      </w:rPr>
                      <w:t>∆</w:t>
                    </w:r>
                    <w:r>
                      <w:rPr>
                        <w:spacing w:val="-10"/>
                        <w:position w:val="3"/>
                        <w:sz w:val="20"/>
                      </w:rPr>
                      <w:t>C</w:t>
                    </w:r>
                    <w:r>
                      <w:rPr>
                        <w:spacing w:val="-10"/>
                        <w:sz w:val="13"/>
                      </w:rPr>
                      <w:t>Growth</w:t>
                    </w:r>
                    <w:r>
                      <w:rPr>
                        <w:spacing w:val="-10"/>
                        <w:position w:val="3"/>
                        <w:sz w:val="20"/>
                      </w:rPr>
                      <w:t>)</w:t>
                    </w:r>
                  </w:p>
                  <w:p>
                    <w:pPr>
                      <w:spacing w:before="126"/>
                      <w:ind w:left="98" w:right="0" w:firstLine="0"/>
                      <w:jc w:val="left"/>
                      <w:rPr>
                        <w:sz w:val="13"/>
                      </w:rPr>
                    </w:pPr>
                    <w:r>
                      <w:rPr>
                        <w:position w:val="3"/>
                        <w:sz w:val="20"/>
                      </w:rPr>
                      <w:t>L</w:t>
                    </w:r>
                    <w:r>
                      <w:rPr>
                        <w:sz w:val="13"/>
                      </w:rPr>
                      <w:t>Conversion </w:t>
                    </w:r>
                    <w:r>
                      <w:rPr>
                        <w:position w:val="3"/>
                        <w:sz w:val="20"/>
                      </w:rPr>
                      <w:t>= C</w:t>
                    </w:r>
                    <w:r>
                      <w:rPr>
                        <w:sz w:val="13"/>
                      </w:rPr>
                      <w:t>After </w:t>
                    </w:r>
                    <w:r>
                      <w:rPr>
                        <w:position w:val="3"/>
                        <w:sz w:val="20"/>
                      </w:rPr>
                      <w:t>– C</w:t>
                    </w:r>
                    <w:r>
                      <w:rPr>
                        <w:sz w:val="13"/>
                      </w:rPr>
                      <w:t>Before</w:t>
                    </w:r>
                  </w:p>
                </w:txbxContent>
              </v:textbox>
              <w10:wrap type="none"/>
            </v:shape>
            <v:shape style="position:absolute;left:4637;top:1008;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4208;top:831;width:445;height:261" type="#_x0000_t202" filled="false" stroked="false">
              <v:textbox inset="0,0,0,0">
                <w:txbxContent>
                  <w:p>
                    <w:pPr>
                      <w:spacing w:line="246" w:lineRule="exact" w:before="14"/>
                      <w:ind w:left="0" w:right="0" w:firstLine="0"/>
                      <w:jc w:val="left"/>
                      <w:rPr>
                        <w:sz w:val="20"/>
                      </w:rPr>
                    </w:pPr>
                    <w:r>
                      <w:rPr>
                        <w:rFonts w:ascii="Symbol" w:hAnsi="Symbol"/>
                        <w:w w:val="101"/>
                        <w:sz w:val="20"/>
                      </w:rPr>
                      <w:t>∆</w:t>
                    </w:r>
                    <w:r>
                      <w:rPr>
                        <w:spacing w:val="1"/>
                        <w:w w:val="99"/>
                        <w:sz w:val="20"/>
                      </w:rPr>
                      <w:t>C</w:t>
                    </w:r>
                    <w:r>
                      <w:rPr>
                        <w:spacing w:val="-3"/>
                        <w:w w:val="99"/>
                        <w:sz w:val="20"/>
                        <w:vertAlign w:val="subscript"/>
                      </w:rPr>
                      <w:t>LG</w:t>
                    </w:r>
                  </w:p>
                </w:txbxContent>
              </v:textbox>
              <w10:wrap type="none"/>
            </v:shape>
            <v:shape style="position:absolute;left:2057;top:303;width:7809;height:452" type="#_x0000_t202" filled="false" stroked="false">
              <v:textbox inset="0,0,0,0">
                <w:txbxContent>
                  <w:p>
                    <w:pPr>
                      <w:spacing w:line="221" w:lineRule="exact" w:before="0"/>
                      <w:ind w:left="0" w:right="16" w:firstLine="0"/>
                      <w:jc w:val="center"/>
                      <w:rPr>
                        <w:b/>
                        <w:sz w:val="20"/>
                      </w:rPr>
                    </w:pPr>
                    <w:r>
                      <w:rPr>
                        <w:b/>
                        <w:sz w:val="20"/>
                      </w:rPr>
                      <w:t>E</w:t>
                    </w:r>
                    <w:r>
                      <w:rPr>
                        <w:b/>
                        <w:sz w:val="16"/>
                      </w:rPr>
                      <w:t>QUATION </w:t>
                    </w:r>
                    <w:r>
                      <w:rPr>
                        <w:b/>
                        <w:sz w:val="20"/>
                      </w:rPr>
                      <w:t>3.4.13</w:t>
                    </w:r>
                  </w:p>
                  <w:p>
                    <w:pPr>
                      <w:spacing w:before="0"/>
                      <w:ind w:left="0" w:right="18" w:firstLine="0"/>
                      <w:jc w:val="center"/>
                      <w:rPr>
                        <w:b/>
                        <w:sz w:val="16"/>
                      </w:rPr>
                    </w:pPr>
                    <w:r>
                      <w:rPr>
                        <w:b/>
                        <w:sz w:val="20"/>
                      </w:rPr>
                      <w:t>A</w:t>
                    </w:r>
                    <w:r>
                      <w:rPr>
                        <w:b/>
                        <w:sz w:val="16"/>
                      </w:rPr>
                      <w:t>NNUAL CHANGE IN CARBON STOCKS IN LIVING BIOMASS IN LAND CONVERTED TO GRASSLAND</w:t>
                    </w:r>
                  </w:p>
                </w:txbxContent>
              </v:textbox>
              <w10:wrap type="none"/>
            </v:shape>
            <w10:wrap type="topAndBottom"/>
          </v:group>
        </w:pict>
      </w:r>
    </w:p>
    <w:p>
      <w:pPr>
        <w:pStyle w:val="BodyText"/>
        <w:spacing w:line="220" w:lineRule="exact"/>
        <w:ind w:left="219"/>
      </w:pPr>
      <w:r>
        <w:rPr/>
        <w:t>Where:</w:t>
      </w:r>
    </w:p>
    <w:p>
      <w:pPr>
        <w:pStyle w:val="BodyText"/>
        <w:spacing w:line="343" w:lineRule="auto" w:before="135"/>
        <w:ind w:left="785" w:right="380"/>
      </w:pPr>
      <w:r>
        <w:rPr>
          <w:rFonts w:ascii="Symbol" w:hAnsi="Symbol"/>
        </w:rPr>
        <w:t>∆</w:t>
      </w:r>
      <w:r>
        <w:rPr/>
        <w:t>C</w:t>
      </w:r>
      <w:r>
        <w:rPr>
          <w:vertAlign w:val="subscript"/>
        </w:rPr>
        <w:t>LG</w:t>
      </w:r>
      <w:r>
        <w:rPr>
          <w:position w:val="-8"/>
          <w:sz w:val="13"/>
          <w:vertAlign w:val="baseline"/>
        </w:rPr>
        <w:t>LB </w:t>
      </w:r>
      <w:r>
        <w:rPr>
          <w:vertAlign w:val="baseline"/>
        </w:rPr>
        <w:t>= annual change in carbon stocks in living biomass in land converted to grassland, tonnes C yr</w:t>
      </w:r>
      <w:r>
        <w:rPr>
          <w:vertAlign w:val="superscript"/>
        </w:rPr>
        <w:t>-1</w:t>
      </w:r>
      <w:r>
        <w:rPr>
          <w:vertAlign w:val="baseline"/>
        </w:rPr>
        <w:t> A</w:t>
      </w:r>
      <w:r>
        <w:rPr>
          <w:vertAlign w:val="subscript"/>
        </w:rPr>
        <w:t>Conversion</w:t>
      </w:r>
      <w:r>
        <w:rPr>
          <w:vertAlign w:val="baseline"/>
        </w:rPr>
        <w:t> = annual area of land converted to grassland from some initial use, ha yr</w:t>
      </w:r>
      <w:r>
        <w:rPr>
          <w:vertAlign w:val="superscript"/>
        </w:rPr>
        <w:t>-1</w:t>
      </w:r>
    </w:p>
    <w:p>
      <w:pPr>
        <w:pStyle w:val="BodyText"/>
        <w:spacing w:before="25"/>
        <w:ind w:left="1750" w:hanging="965"/>
      </w:pPr>
      <w:r>
        <w:rPr/>
        <w:t>L</w:t>
      </w:r>
      <w:r>
        <w:rPr>
          <w:vertAlign w:val="subscript"/>
        </w:rPr>
        <w:t>Conversion</w:t>
      </w:r>
      <w:r>
        <w:rPr>
          <w:vertAlign w:val="baseline"/>
        </w:rPr>
        <w:t> = carbon stock change per area for that type of conversion when land is converted to grassland, tonnes C ha</w:t>
      </w:r>
      <w:r>
        <w:rPr>
          <w:vertAlign w:val="superscript"/>
        </w:rPr>
        <w:t>-1</w:t>
      </w:r>
    </w:p>
    <w:p>
      <w:pPr>
        <w:pStyle w:val="BodyText"/>
        <w:spacing w:line="338" w:lineRule="auto" w:before="138"/>
        <w:ind w:left="785" w:right="311"/>
      </w:pPr>
      <w:r>
        <w:rPr>
          <w:rFonts w:ascii="Symbol" w:hAnsi="Symbol"/>
        </w:rPr>
        <w:t>∆</w:t>
      </w:r>
      <w:r>
        <w:rPr/>
        <w:t>C</w:t>
      </w:r>
      <w:r>
        <w:rPr>
          <w:vertAlign w:val="subscript"/>
        </w:rPr>
        <w:t>Growth</w:t>
      </w:r>
      <w:r>
        <w:rPr>
          <w:vertAlign w:val="baseline"/>
        </w:rPr>
        <w:t> = carbon stocks from one year of growth of grassland vegetation after conversion, tonnes C ha</w:t>
      </w:r>
      <w:r>
        <w:rPr>
          <w:vertAlign w:val="superscript"/>
        </w:rPr>
        <w:t>-1</w:t>
      </w:r>
      <w:r>
        <w:rPr>
          <w:vertAlign w:val="baseline"/>
        </w:rPr>
        <w:t> C</w:t>
      </w:r>
      <w:r>
        <w:rPr>
          <w:vertAlign w:val="subscript"/>
        </w:rPr>
        <w:t>After</w:t>
      </w:r>
      <w:r>
        <w:rPr>
          <w:vertAlign w:val="baseline"/>
        </w:rPr>
        <w:t>= carbon stocks in biomass immediately after conversion to grassland, tonnes C ha</w:t>
      </w:r>
      <w:r>
        <w:rPr>
          <w:vertAlign w:val="superscript"/>
        </w:rPr>
        <w:t>-1</w:t>
      </w:r>
    </w:p>
    <w:p>
      <w:pPr>
        <w:pStyle w:val="BodyText"/>
        <w:spacing w:before="33"/>
        <w:ind w:left="785"/>
      </w:pPr>
      <w:r>
        <w:rPr/>
        <w:t>C</w:t>
      </w:r>
      <w:r>
        <w:rPr>
          <w:vertAlign w:val="subscript"/>
        </w:rPr>
        <w:t>Before</w:t>
      </w:r>
      <w:r>
        <w:rPr>
          <w:vertAlign w:val="baseline"/>
        </w:rPr>
        <w:t>= carbon stocks in biomass immediately before conversion to grassland, tonnes C ha</w:t>
      </w:r>
      <w:r>
        <w:rPr>
          <w:vertAlign w:val="superscript"/>
        </w:rPr>
        <w:t>-1</w:t>
      </w:r>
    </w:p>
    <w:p>
      <w:pPr>
        <w:spacing w:after="0"/>
        <w:sectPr>
          <w:footerReference w:type="even" r:id="rId149"/>
          <w:footerReference w:type="default" r:id="rId150"/>
          <w:pgSz w:w="11900" w:h="16840"/>
          <w:pgMar w:footer="408" w:header="230" w:top="560" w:bottom="600" w:left="1200" w:right="1140"/>
          <w:pgNumType w:start="122"/>
        </w:sectPr>
      </w:pPr>
    </w:p>
    <w:p>
      <w:pPr>
        <w:pStyle w:val="BodyText"/>
      </w:pPr>
    </w:p>
    <w:p>
      <w:pPr>
        <w:pStyle w:val="BodyText"/>
        <w:spacing w:before="2"/>
        <w:rPr>
          <w:sz w:val="18"/>
        </w:rPr>
      </w:pPr>
    </w:p>
    <w:p>
      <w:pPr>
        <w:pStyle w:val="BodyText"/>
        <w:ind w:left="219" w:right="263"/>
        <w:jc w:val="both"/>
      </w:pPr>
      <w:r>
        <w:rPr/>
        <w:t>Biomass stocks in newly established grassland tend to level out within a few years following conversion (e.g. 1-2 years for above-ground herbaceous biomass, 3-5 years for below-ground biomass), varying depending on the type of land conversion (for example, sown pastures can become quickly established whereas natural regeneration on abandoned cropland may take several years), climate and management conditions. Since under Tier 1 </w:t>
      </w:r>
      <w:r>
        <w:rPr>
          <w:i/>
        </w:rPr>
        <w:t>Grassland Remaining Grassland </w:t>
      </w:r>
      <w:r>
        <w:rPr/>
        <w:t>the default biomass stock change is zero, changes in biomass carbon stocks for grassland established following land use conversion are accounted for in the year of the</w:t>
      </w:r>
      <w:r>
        <w:rPr>
          <w:spacing w:val="-34"/>
        </w:rPr>
        <w:t> </w:t>
      </w:r>
      <w:r>
        <w:rPr/>
        <w:t>conversion.</w:t>
      </w:r>
    </w:p>
    <w:p>
      <w:pPr>
        <w:pStyle w:val="BodyText"/>
        <w:spacing w:before="120"/>
        <w:ind w:left="219" w:right="261"/>
        <w:jc w:val="both"/>
      </w:pPr>
      <w:r>
        <w:rPr>
          <w:b/>
        </w:rPr>
        <w:t>Tier 2: </w:t>
      </w:r>
      <w:r>
        <w:rPr/>
        <w:t>The Tier 2 calculations are structurally similar to Tier 1, with these distinctions. First, Tier 2 relies on at least some country-specific estimates of the carbon stocks in initial and final land uses rather than the defaults provided in Section 3.4.2.1.1.2. Area estimates for land converted to grassland are disaggregated at finer spatial scales to capture regional variations in country-specific carbon stocks values.</w:t>
      </w:r>
    </w:p>
    <w:p>
      <w:pPr>
        <w:pStyle w:val="BodyText"/>
        <w:spacing w:before="122"/>
        <w:ind w:left="219" w:right="265"/>
        <w:jc w:val="both"/>
      </w:pPr>
      <w:r>
        <w:rPr/>
        <w:t>Second, Tier 2 may modify the assumption that carbon stocks immediately following conversion are zero. This enables countries to take into account land use transitions where some, but not all, vegetation from the original land use is removed. In addition, under Tier 2 it is possible to account for biomass accumulation following grassland establishment over a several year period (rather than accounting all biomass stock change in the year of conversion) if data are available to estimate the time to full biomass establishment and the annual stock changes.</w:t>
      </w:r>
    </w:p>
    <w:p>
      <w:pPr>
        <w:pStyle w:val="BodyText"/>
        <w:spacing w:before="120"/>
        <w:ind w:left="219" w:right="263"/>
        <w:jc w:val="both"/>
      </w:pPr>
      <w:r>
        <w:rPr/>
        <w:t>Third, under Tier 2, it is </w:t>
      </w:r>
      <w:r>
        <w:rPr>
          <w:i/>
        </w:rPr>
        <w:t>good practice </w:t>
      </w:r>
      <w:r>
        <w:rPr/>
        <w:t>to apportion carbon losses to burning and decay processes if applicable. Emissions of carbon dioxide occur as a result of burning and decay in land-use conversions. In addition, non- CO</w:t>
      </w:r>
      <w:r>
        <w:rPr>
          <w:vertAlign w:val="subscript"/>
        </w:rPr>
        <w:t>2</w:t>
      </w:r>
      <w:r>
        <w:rPr>
          <w:vertAlign w:val="baseline"/>
        </w:rPr>
        <w:t> trace gas emissions occur as a result of burning. By partitioning losses to burning and decay, countries can calculate non-CO</w:t>
      </w:r>
      <w:r>
        <w:rPr>
          <w:vertAlign w:val="subscript"/>
        </w:rPr>
        <w:t>2</w:t>
      </w:r>
      <w:r>
        <w:rPr>
          <w:vertAlign w:val="baseline"/>
        </w:rPr>
        <w:t> trace gas emissions from burning. The </w:t>
      </w:r>
      <w:r>
        <w:rPr>
          <w:i/>
          <w:vertAlign w:val="baseline"/>
        </w:rPr>
        <w:t>IPCC Guidelines </w:t>
      </w:r>
      <w:r>
        <w:rPr>
          <w:vertAlign w:val="baseline"/>
        </w:rPr>
        <w:t>Workbook provides step-by-step instructions for estimating carbon removals from burning and decay of biomass on-site and off-site and for estimating non-CO</w:t>
      </w:r>
      <w:r>
        <w:rPr>
          <w:vertAlign w:val="subscript"/>
        </w:rPr>
        <w:t>2</w:t>
      </w:r>
      <w:r>
        <w:rPr>
          <w:vertAlign w:val="baseline"/>
        </w:rPr>
        <w:t> trace gas emissions from burning (pages 5.7-5.17). Below is guidance on estimating carbon removals from burning and decay and Section 3.2.1.4 of this chapter provides further guidance on estimating non-CO</w:t>
      </w:r>
      <w:r>
        <w:rPr>
          <w:vertAlign w:val="subscript"/>
        </w:rPr>
        <w:t>2</w:t>
      </w:r>
      <w:r>
        <w:rPr>
          <w:vertAlign w:val="baseline"/>
        </w:rPr>
        <w:t> trace gas emissions from burning.</w:t>
      </w:r>
    </w:p>
    <w:p>
      <w:pPr>
        <w:pStyle w:val="BodyText"/>
        <w:spacing w:before="119"/>
        <w:ind w:left="219" w:right="263"/>
        <w:jc w:val="both"/>
      </w:pPr>
      <w:r>
        <w:rPr/>
        <w:t>The basic equations for estimating the amount of carbon burned or left to decay are provided in Equations 3.4.15 and 3.4.16 below, respectively. This methodology addresses burning for the purposes of land clearing. Non-CO</w:t>
      </w:r>
      <w:r>
        <w:rPr>
          <w:vertAlign w:val="subscript"/>
        </w:rPr>
        <w:t>2</w:t>
      </w:r>
      <w:r>
        <w:rPr>
          <w:vertAlign w:val="baseline"/>
        </w:rPr>
        <w:t> emissions from burning in Grassland Remaining Grassland are covered in Section 3.4.3 of this report. The default assumption in Equations 3.4.15 and 3.4.16 is that only aboveground biomass is burned or decays. Countries are encouraged to use additional information to assess this assumption, particularly for decaying belowground biomass. The basic approach can be modified to address other conversion activities as well as to meet the needs of national circumstances. Both equations use as an input the total amount of carbon in biomass removed during land clearing (</w:t>
      </w:r>
      <w:r>
        <w:rPr>
          <w:rFonts w:ascii="Symbol" w:hAnsi="Symbol"/>
          <w:vertAlign w:val="baseline"/>
        </w:rPr>
        <w:t>∆</w:t>
      </w:r>
      <w:r>
        <w:rPr>
          <w:vertAlign w:val="baseline"/>
        </w:rPr>
        <w:t>C</w:t>
      </w:r>
      <w:r>
        <w:rPr>
          <w:vertAlign w:val="subscript"/>
        </w:rPr>
        <w:t>conversion</w:t>
      </w:r>
      <w:r>
        <w:rPr>
          <w:vertAlign w:val="baseline"/>
        </w:rPr>
        <w:t>) (Equation 3.4.14), which is equivalent to area of land </w:t>
      </w:r>
      <w:r>
        <w:rPr>
          <w:spacing w:val="-6"/>
          <w:vertAlign w:val="baseline"/>
        </w:rPr>
        <w:t>converted </w:t>
      </w:r>
      <w:r>
        <w:rPr>
          <w:vertAlign w:val="baseline"/>
        </w:rPr>
        <w:t>(A</w:t>
      </w:r>
      <w:r>
        <w:rPr>
          <w:vertAlign w:val="subscript"/>
        </w:rPr>
        <w:t>Conversion</w:t>
      </w:r>
      <w:r>
        <w:rPr>
          <w:vertAlign w:val="baseline"/>
        </w:rPr>
        <w:t>) multiplied by the carbon stock change per area for that type of conversion (L</w:t>
      </w:r>
      <w:r>
        <w:rPr>
          <w:vertAlign w:val="subscript"/>
        </w:rPr>
        <w:t>Conversion</w:t>
      </w:r>
      <w:r>
        <w:rPr>
          <w:vertAlign w:val="baseline"/>
        </w:rPr>
        <w:t>) in Equation 3.4.13).</w:t>
      </w:r>
    </w:p>
    <w:p>
      <w:pPr>
        <w:pStyle w:val="BodyText"/>
        <w:spacing w:before="119"/>
        <w:ind w:left="219" w:right="268"/>
        <w:jc w:val="both"/>
      </w:pPr>
      <w:r>
        <w:rPr/>
        <w:t>The portion of woody biomass removed is sometimes used as wood products. In the case of wood products, countries may use the default assumption that carbon in wood products is oxidized in the year of removal. Alternatively, countries may refer to Appendix 3a.1 for estimation techniques for carbon storage in harvested wood products, which may be accounted provided carbon in the product pool is increasing.</w:t>
      </w:r>
    </w:p>
    <w:p>
      <w:pPr>
        <w:pStyle w:val="BodyText"/>
        <w:spacing w:before="1"/>
        <w:rPr>
          <w:sz w:val="11"/>
        </w:rPr>
      </w:pPr>
      <w:r>
        <w:rPr/>
        <w:pict>
          <v:shape style="position:absolute;margin-left:91.960999pt;margin-top:9.08877pt;width:411.5pt;height:62.3pt;mso-position-horizontal-relative:page;mso-position-vertical-relative:paragraph;z-index:10424;mso-wrap-distance-left:0;mso-wrap-distance-right:0" type="#_x0000_t202" filled="false" stroked="true" strokeweight="1.44pt" strokecolor="#000000">
            <v:textbox inset="0,0,0,0">
              <w:txbxContent>
                <w:p>
                  <w:pPr>
                    <w:spacing w:before="99"/>
                    <w:ind w:left="108" w:right="68" w:firstLine="0"/>
                    <w:jc w:val="center"/>
                    <w:rPr>
                      <w:b/>
                      <w:sz w:val="20"/>
                    </w:rPr>
                  </w:pPr>
                  <w:r>
                    <w:rPr>
                      <w:b/>
                      <w:sz w:val="20"/>
                    </w:rPr>
                    <w:t>E</w:t>
                  </w:r>
                  <w:r>
                    <w:rPr>
                      <w:b/>
                      <w:sz w:val="16"/>
                    </w:rPr>
                    <w:t>QUATION </w:t>
                  </w:r>
                  <w:r>
                    <w:rPr>
                      <w:b/>
                      <w:sz w:val="20"/>
                    </w:rPr>
                    <w:t>3.4.14</w:t>
                  </w:r>
                </w:p>
                <w:p>
                  <w:pPr>
                    <w:spacing w:line="278" w:lineRule="auto" w:before="0"/>
                    <w:ind w:left="179" w:right="182" w:firstLine="0"/>
                    <w:jc w:val="center"/>
                    <w:rPr>
                      <w:b/>
                      <w:sz w:val="16"/>
                    </w:rPr>
                  </w:pPr>
                  <w:r>
                    <w:rPr>
                      <w:b/>
                      <w:sz w:val="20"/>
                    </w:rPr>
                    <w:t>C</w:t>
                  </w:r>
                  <w:r>
                    <w:rPr>
                      <w:b/>
                      <w:sz w:val="16"/>
                    </w:rPr>
                    <w:t>HANGE IN CARBON STOCKS AS A RESULT OF BIOMASS CLEARING DURING LAND USE CONVERSION</w:t>
                  </w:r>
                </w:p>
                <w:p>
                  <w:pPr>
                    <w:spacing w:before="73"/>
                    <w:ind w:left="67" w:right="68" w:firstLine="0"/>
                    <w:jc w:val="center"/>
                    <w:rPr>
                      <w:sz w:val="20"/>
                    </w:rPr>
                  </w:pPr>
                  <w:r>
                    <w:rPr>
                      <w:rFonts w:ascii="Symbol" w:hAnsi="Symbol"/>
                      <w:position w:val="3"/>
                      <w:sz w:val="20"/>
                    </w:rPr>
                    <w:t>∆</w:t>
                  </w:r>
                  <w:r>
                    <w:rPr>
                      <w:position w:val="3"/>
                      <w:sz w:val="20"/>
                    </w:rPr>
                    <w:t>C</w:t>
                  </w:r>
                  <w:r>
                    <w:rPr>
                      <w:sz w:val="13"/>
                    </w:rPr>
                    <w:t>conversion </w:t>
                  </w:r>
                  <w:r>
                    <w:rPr>
                      <w:position w:val="3"/>
                      <w:sz w:val="20"/>
                    </w:rPr>
                    <w:t>= A</w:t>
                  </w:r>
                  <w:r>
                    <w:rPr>
                      <w:sz w:val="13"/>
                    </w:rPr>
                    <w:t>conversion </w:t>
                  </w:r>
                  <w:r>
                    <w:rPr>
                      <w:position w:val="3"/>
                      <w:sz w:val="20"/>
                    </w:rPr>
                    <w:t>●</w:t>
                  </w:r>
                  <w:r>
                    <w:rPr>
                      <w:spacing w:val="-28"/>
                      <w:position w:val="3"/>
                      <w:sz w:val="20"/>
                    </w:rPr>
                    <w:t> </w:t>
                  </w:r>
                  <w:r>
                    <w:rPr>
                      <w:position w:val="3"/>
                      <w:sz w:val="20"/>
                    </w:rPr>
                    <w:t>(L</w:t>
                  </w:r>
                  <w:r>
                    <w:rPr>
                      <w:sz w:val="13"/>
                    </w:rPr>
                    <w:t>conversion</w:t>
                  </w:r>
                  <w:r>
                    <w:rPr>
                      <w:position w:val="3"/>
                      <w:sz w:val="20"/>
                    </w:rPr>
                    <w:t>)</w:t>
                  </w:r>
                </w:p>
              </w:txbxContent>
            </v:textbox>
            <v:stroke dashstyle="solid"/>
            <w10:wrap type="topAndBottom"/>
          </v:shape>
        </w:pict>
      </w:r>
    </w:p>
    <w:p>
      <w:pPr>
        <w:pStyle w:val="BodyText"/>
        <w:spacing w:before="4"/>
        <w:ind w:left="219"/>
      </w:pPr>
      <w:r>
        <w:rPr/>
        <w:t>Where:</w:t>
      </w:r>
    </w:p>
    <w:p>
      <w:pPr>
        <w:pStyle w:val="BodyText"/>
        <w:spacing w:line="340" w:lineRule="auto" w:before="135"/>
        <w:ind w:left="785" w:right="329"/>
      </w:pPr>
      <w:r>
        <w:rPr>
          <w:rFonts w:ascii="Symbol" w:hAnsi="Symbol"/>
        </w:rPr>
        <w:t>∆</w:t>
      </w:r>
      <w:r>
        <w:rPr/>
        <w:t>C</w:t>
      </w:r>
      <w:r>
        <w:rPr>
          <w:vertAlign w:val="subscript"/>
        </w:rPr>
        <w:t>conversion</w:t>
      </w:r>
      <w:r>
        <w:rPr>
          <w:vertAlign w:val="baseline"/>
        </w:rPr>
        <w:t> = change in carbon stocks as a result of a clearing biomass in a land use conversion, tonnes C A</w:t>
      </w:r>
      <w:r>
        <w:rPr>
          <w:vertAlign w:val="subscript"/>
        </w:rPr>
        <w:t>Conversion</w:t>
      </w:r>
      <w:r>
        <w:rPr>
          <w:vertAlign w:val="baseline"/>
        </w:rPr>
        <w:t> = area of land converted to grassland, ha</w:t>
      </w:r>
    </w:p>
    <w:p>
      <w:pPr>
        <w:pStyle w:val="BodyText"/>
        <w:spacing w:before="29"/>
        <w:ind w:left="785"/>
      </w:pPr>
      <w:r>
        <w:rPr/>
        <w:t>L</w:t>
      </w:r>
      <w:r>
        <w:rPr>
          <w:vertAlign w:val="subscript"/>
        </w:rPr>
        <w:t>Conversion</w:t>
      </w:r>
      <w:r>
        <w:rPr>
          <w:vertAlign w:val="baseline"/>
        </w:rPr>
        <w:t> = carbon stock change per area for that type of conversion, tonnes C ha</w:t>
      </w:r>
      <w:r>
        <w:rPr>
          <w:vertAlign w:val="superscript"/>
        </w:rPr>
        <w:t>-1</w:t>
      </w:r>
      <w:r>
        <w:rPr>
          <w:vertAlign w:val="baseline"/>
        </w:rPr>
        <w:t> (from Equation 3.4.13)</w:t>
      </w:r>
    </w:p>
    <w:p>
      <w:pPr>
        <w:pStyle w:val="BodyText"/>
      </w:pPr>
    </w:p>
    <w:p>
      <w:pPr>
        <w:pStyle w:val="BodyText"/>
        <w:spacing w:before="7"/>
        <w:rPr>
          <w:sz w:val="21"/>
        </w:rPr>
      </w:pPr>
      <w:r>
        <w:rPr/>
        <w:pict>
          <v:shape style="position:absolute;margin-left:91.960999pt;margin-top:15.140508pt;width:411.5pt;height:67pt;mso-position-horizontal-relative:page;mso-position-vertical-relative:paragraph;z-index:10448;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3.4.15</w:t>
                  </w:r>
                </w:p>
                <w:p>
                  <w:pPr>
                    <w:spacing w:before="0"/>
                    <w:ind w:left="68" w:right="68" w:firstLine="0"/>
                    <w:jc w:val="center"/>
                    <w:rPr>
                      <w:b/>
                      <w:sz w:val="16"/>
                    </w:rPr>
                  </w:pPr>
                  <w:r>
                    <w:rPr>
                      <w:b/>
                      <w:sz w:val="20"/>
                    </w:rPr>
                    <w:t>C</w:t>
                  </w:r>
                  <w:r>
                    <w:rPr>
                      <w:b/>
                      <w:sz w:val="16"/>
                    </w:rPr>
                    <w:t>ARBON LOSSES FROM BIOMASS BURNING</w:t>
                  </w:r>
                  <w:r>
                    <w:rPr>
                      <w:b/>
                      <w:sz w:val="20"/>
                    </w:rPr>
                    <w:t>, </w:t>
                  </w:r>
                  <w:r>
                    <w:rPr>
                      <w:b/>
                      <w:sz w:val="16"/>
                    </w:rPr>
                    <w:t>ON</w:t>
                  </w:r>
                  <w:r>
                    <w:rPr>
                      <w:b/>
                      <w:sz w:val="20"/>
                    </w:rPr>
                    <w:t>-</w:t>
                  </w:r>
                  <w:r>
                    <w:rPr>
                      <w:b/>
                      <w:sz w:val="16"/>
                    </w:rPr>
                    <w:t>SITE AND OFF</w:t>
                  </w:r>
                  <w:r>
                    <w:rPr>
                      <w:b/>
                      <w:sz w:val="20"/>
                    </w:rPr>
                    <w:t>-</w:t>
                  </w:r>
                  <w:r>
                    <w:rPr>
                      <w:b/>
                      <w:sz w:val="16"/>
                    </w:rPr>
                    <w:t>SITE</w:t>
                  </w:r>
                </w:p>
                <w:p>
                  <w:pPr>
                    <w:spacing w:before="90"/>
                    <w:ind w:left="68" w:right="68" w:firstLine="0"/>
                    <w:jc w:val="center"/>
                    <w:rPr>
                      <w:sz w:val="13"/>
                    </w:rPr>
                  </w:pPr>
                  <w:r>
                    <w:rPr>
                      <w:position w:val="3"/>
                      <w:sz w:val="20"/>
                    </w:rPr>
                    <w:t>L</w:t>
                  </w:r>
                  <w:r>
                    <w:rPr>
                      <w:sz w:val="13"/>
                    </w:rPr>
                    <w:t>burn onsite </w:t>
                  </w:r>
                  <w:r>
                    <w:rPr>
                      <w:position w:val="3"/>
                      <w:sz w:val="20"/>
                    </w:rPr>
                    <w:t>= </w:t>
                  </w:r>
                  <w:r>
                    <w:rPr>
                      <w:rFonts w:ascii="Symbol" w:hAnsi="Symbol"/>
                      <w:position w:val="3"/>
                      <w:sz w:val="20"/>
                    </w:rPr>
                    <w:t>∆</w:t>
                  </w:r>
                  <w:r>
                    <w:rPr>
                      <w:position w:val="3"/>
                      <w:sz w:val="20"/>
                    </w:rPr>
                    <w:t>C</w:t>
                  </w:r>
                  <w:r>
                    <w:rPr>
                      <w:sz w:val="13"/>
                    </w:rPr>
                    <w:t>conversion </w:t>
                  </w:r>
                  <w:r>
                    <w:rPr>
                      <w:position w:val="3"/>
                      <w:sz w:val="20"/>
                    </w:rPr>
                    <w:t>● </w:t>
                  </w:r>
                  <w:r>
                    <w:rPr>
                      <w:rFonts w:ascii="Symbol" w:hAnsi="Symbol"/>
                      <w:position w:val="3"/>
                      <w:sz w:val="21"/>
                    </w:rPr>
                    <w:t>ρ</w:t>
                  </w:r>
                  <w:r>
                    <w:rPr>
                      <w:sz w:val="13"/>
                    </w:rPr>
                    <w:t>burned on site </w:t>
                  </w:r>
                  <w:r>
                    <w:rPr>
                      <w:position w:val="3"/>
                      <w:sz w:val="20"/>
                    </w:rPr>
                    <w:t>●</w:t>
                  </w:r>
                  <w:r>
                    <w:rPr>
                      <w:spacing w:val="16"/>
                      <w:position w:val="3"/>
                      <w:sz w:val="20"/>
                    </w:rPr>
                    <w:t> </w:t>
                  </w:r>
                  <w:r>
                    <w:rPr>
                      <w:rFonts w:ascii="Symbol" w:hAnsi="Symbol"/>
                      <w:position w:val="3"/>
                      <w:sz w:val="21"/>
                    </w:rPr>
                    <w:t>ρ</w:t>
                  </w:r>
                  <w:r>
                    <w:rPr>
                      <w:sz w:val="13"/>
                    </w:rPr>
                    <w:t>oxid</w:t>
                  </w:r>
                </w:p>
                <w:p>
                  <w:pPr>
                    <w:spacing w:before="80"/>
                    <w:ind w:left="68" w:right="68" w:firstLine="0"/>
                    <w:jc w:val="center"/>
                    <w:rPr>
                      <w:sz w:val="13"/>
                    </w:rPr>
                  </w:pPr>
                  <w:r>
                    <w:rPr>
                      <w:position w:val="3"/>
                      <w:sz w:val="20"/>
                    </w:rPr>
                    <w:t>L</w:t>
                  </w:r>
                  <w:r>
                    <w:rPr>
                      <w:sz w:val="13"/>
                    </w:rPr>
                    <w:t>burn offsite </w:t>
                  </w:r>
                  <w:r>
                    <w:rPr>
                      <w:position w:val="3"/>
                      <w:sz w:val="20"/>
                    </w:rPr>
                    <w:t>= </w:t>
                  </w:r>
                  <w:r>
                    <w:rPr>
                      <w:rFonts w:ascii="Symbol" w:hAnsi="Symbol"/>
                      <w:position w:val="3"/>
                      <w:sz w:val="20"/>
                    </w:rPr>
                    <w:t>∆</w:t>
                  </w:r>
                  <w:r>
                    <w:rPr>
                      <w:position w:val="3"/>
                      <w:sz w:val="20"/>
                    </w:rPr>
                    <w:t>C</w:t>
                  </w:r>
                  <w:r>
                    <w:rPr>
                      <w:sz w:val="13"/>
                    </w:rPr>
                    <w:t>conversion </w:t>
                  </w:r>
                  <w:r>
                    <w:rPr>
                      <w:position w:val="3"/>
                      <w:sz w:val="20"/>
                    </w:rPr>
                    <w:t>● </w:t>
                  </w:r>
                  <w:r>
                    <w:rPr>
                      <w:rFonts w:ascii="Symbol" w:hAnsi="Symbol"/>
                      <w:position w:val="3"/>
                      <w:sz w:val="21"/>
                    </w:rPr>
                    <w:t>ρ</w:t>
                  </w:r>
                  <w:r>
                    <w:rPr>
                      <w:sz w:val="13"/>
                    </w:rPr>
                    <w:t>burned off site </w:t>
                  </w:r>
                  <w:r>
                    <w:rPr>
                      <w:position w:val="3"/>
                      <w:sz w:val="20"/>
                    </w:rPr>
                    <w:t>●</w:t>
                  </w:r>
                  <w:r>
                    <w:rPr>
                      <w:spacing w:val="19"/>
                      <w:position w:val="3"/>
                      <w:sz w:val="20"/>
                    </w:rPr>
                    <w:t> </w:t>
                  </w:r>
                  <w:r>
                    <w:rPr>
                      <w:rFonts w:ascii="Symbol" w:hAnsi="Symbol"/>
                      <w:position w:val="3"/>
                      <w:sz w:val="21"/>
                    </w:rPr>
                    <w:t>ρ</w:t>
                  </w:r>
                  <w:r>
                    <w:rPr>
                      <w:sz w:val="13"/>
                    </w:rPr>
                    <w:t>oxid</w:t>
                  </w:r>
                </w:p>
              </w:txbxContent>
            </v:textbox>
            <v:stroke dashstyle="solid"/>
            <w10:wrap type="topAndBottom"/>
          </v:shape>
        </w:pict>
      </w:r>
    </w:p>
    <w:p>
      <w:pPr>
        <w:pStyle w:val="BodyText"/>
        <w:spacing w:before="4"/>
        <w:ind w:left="219"/>
      </w:pPr>
      <w:r>
        <w:rPr/>
        <w:t>Where:</w:t>
      </w:r>
    </w:p>
    <w:p>
      <w:pPr>
        <w:spacing w:after="0"/>
        <w:sectPr>
          <w:pgSz w:w="11900" w:h="16840"/>
          <w:pgMar w:header="230" w:footer="408" w:top="560" w:bottom="600" w:left="1200" w:right="1140"/>
        </w:sectPr>
      </w:pPr>
    </w:p>
    <w:p>
      <w:pPr>
        <w:pStyle w:val="BodyText"/>
      </w:pPr>
    </w:p>
    <w:p>
      <w:pPr>
        <w:pStyle w:val="BodyText"/>
        <w:spacing w:before="209"/>
        <w:ind w:left="785"/>
      </w:pPr>
      <w:r>
        <w:rPr/>
        <w:t>L</w:t>
      </w:r>
      <w:r>
        <w:rPr>
          <w:vertAlign w:val="subscript"/>
        </w:rPr>
        <w:t>burn</w:t>
      </w:r>
      <w:r>
        <w:rPr>
          <w:vertAlign w:val="baseline"/>
        </w:rPr>
        <w:t> = carbon losses from biomass burned, tonnes C</w:t>
      </w:r>
    </w:p>
    <w:p>
      <w:pPr>
        <w:pStyle w:val="BodyText"/>
        <w:spacing w:before="137"/>
        <w:ind w:left="785"/>
      </w:pPr>
      <w:r>
        <w:rPr>
          <w:rFonts w:ascii="Symbol" w:hAnsi="Symbol"/>
        </w:rPr>
        <w:t>∆</w:t>
      </w:r>
      <w:r>
        <w:rPr/>
        <w:t>C</w:t>
      </w:r>
      <w:r>
        <w:rPr>
          <w:vertAlign w:val="subscript"/>
        </w:rPr>
        <w:t>conversion</w:t>
      </w:r>
      <w:r>
        <w:rPr>
          <w:vertAlign w:val="baseline"/>
        </w:rPr>
        <w:t> = change in carbon stocks as a result of a clearing biomass in a land use conversion, tonnes C</w:t>
      </w:r>
    </w:p>
    <w:p>
      <w:pPr>
        <w:pStyle w:val="BodyText"/>
        <w:spacing w:line="338" w:lineRule="auto" w:before="109"/>
        <w:ind w:left="780" w:right="2882" w:firstLine="4"/>
      </w:pPr>
      <w:r>
        <w:rPr/>
        <w:pict>
          <v:shape style="position:absolute;margin-left:91.960999pt;margin-top:63.013065pt;width:411.5pt;height:67pt;mso-position-horizontal-relative:page;mso-position-vertical-relative:paragraph;z-index:10472;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3.4.16</w:t>
                  </w:r>
                </w:p>
                <w:p>
                  <w:pPr>
                    <w:spacing w:line="229" w:lineRule="exact" w:before="0"/>
                    <w:ind w:left="68" w:right="68" w:firstLine="0"/>
                    <w:jc w:val="center"/>
                    <w:rPr>
                      <w:b/>
                      <w:sz w:val="16"/>
                    </w:rPr>
                  </w:pPr>
                  <w:r>
                    <w:rPr>
                      <w:b/>
                      <w:sz w:val="20"/>
                    </w:rPr>
                    <w:t>C</w:t>
                  </w:r>
                  <w:r>
                    <w:rPr>
                      <w:b/>
                      <w:sz w:val="16"/>
                    </w:rPr>
                    <w:t>ARBON LOSSES FROM BIOMASS DECAY</w:t>
                  </w:r>
                </w:p>
                <w:p>
                  <w:pPr>
                    <w:spacing w:before="92"/>
                    <w:ind w:left="67" w:right="68" w:firstLine="0"/>
                    <w:jc w:val="center"/>
                    <w:rPr>
                      <w:sz w:val="13"/>
                    </w:rPr>
                  </w:pPr>
                  <w:r>
                    <w:rPr>
                      <w:position w:val="3"/>
                      <w:sz w:val="20"/>
                    </w:rPr>
                    <w:t>L</w:t>
                  </w:r>
                  <w:r>
                    <w:rPr>
                      <w:sz w:val="13"/>
                    </w:rPr>
                    <w:t>decay </w:t>
                  </w:r>
                  <w:r>
                    <w:rPr>
                      <w:position w:val="3"/>
                      <w:sz w:val="20"/>
                    </w:rPr>
                    <w:t>= </w:t>
                  </w:r>
                  <w:r>
                    <w:rPr>
                      <w:rFonts w:ascii="Symbol" w:hAnsi="Symbol"/>
                      <w:position w:val="3"/>
                      <w:sz w:val="20"/>
                    </w:rPr>
                    <w:t>∆</w:t>
                  </w:r>
                  <w:r>
                    <w:rPr>
                      <w:position w:val="3"/>
                      <w:sz w:val="20"/>
                    </w:rPr>
                    <w:t>C</w:t>
                  </w:r>
                  <w:r>
                    <w:rPr>
                      <w:sz w:val="13"/>
                    </w:rPr>
                    <w:t>conversion  </w:t>
                  </w:r>
                  <w:r>
                    <w:rPr>
                      <w:position w:val="3"/>
                      <w:sz w:val="20"/>
                    </w:rPr>
                    <w:t>●</w:t>
                  </w:r>
                  <w:r>
                    <w:rPr>
                      <w:spacing w:val="-13"/>
                      <w:position w:val="3"/>
                      <w:sz w:val="20"/>
                    </w:rPr>
                    <w:t> </w:t>
                  </w:r>
                  <w:r>
                    <w:rPr>
                      <w:rFonts w:ascii="Symbol" w:hAnsi="Symbol"/>
                      <w:position w:val="3"/>
                      <w:sz w:val="21"/>
                    </w:rPr>
                    <w:t>ρ</w:t>
                  </w:r>
                  <w:r>
                    <w:rPr>
                      <w:sz w:val="13"/>
                    </w:rPr>
                    <w:t>decay</w:t>
                  </w:r>
                </w:p>
                <w:p>
                  <w:pPr>
                    <w:spacing w:before="77"/>
                    <w:ind w:left="111" w:right="64" w:firstLine="0"/>
                    <w:jc w:val="center"/>
                    <w:rPr>
                      <w:sz w:val="20"/>
                    </w:rPr>
                  </w:pPr>
                  <w:r>
                    <w:rPr>
                      <w:rFonts w:ascii="Symbol" w:hAnsi="Symbol"/>
                      <w:position w:val="3"/>
                      <w:sz w:val="21"/>
                    </w:rPr>
                    <w:t>ρ</w:t>
                  </w:r>
                  <w:r>
                    <w:rPr>
                      <w:sz w:val="13"/>
                    </w:rPr>
                    <w:t>decay </w:t>
                  </w:r>
                  <w:r>
                    <w:rPr>
                      <w:position w:val="3"/>
                      <w:sz w:val="20"/>
                    </w:rPr>
                    <w:t>= 1 – (</w:t>
                  </w:r>
                  <w:r>
                    <w:rPr>
                      <w:rFonts w:ascii="Symbol" w:hAnsi="Symbol"/>
                      <w:position w:val="3"/>
                      <w:sz w:val="21"/>
                    </w:rPr>
                    <w:t>ρ</w:t>
                  </w:r>
                  <w:r>
                    <w:rPr>
                      <w:sz w:val="13"/>
                    </w:rPr>
                    <w:t>burned on site </w:t>
                  </w:r>
                  <w:r>
                    <w:rPr>
                      <w:position w:val="3"/>
                      <w:sz w:val="20"/>
                    </w:rPr>
                    <w:t>+ </w:t>
                  </w:r>
                  <w:r>
                    <w:rPr>
                      <w:rFonts w:ascii="Symbol" w:hAnsi="Symbol"/>
                      <w:position w:val="3"/>
                      <w:sz w:val="21"/>
                    </w:rPr>
                    <w:t>ρ</w:t>
                  </w:r>
                  <w:r>
                    <w:rPr>
                      <w:sz w:val="13"/>
                    </w:rPr>
                    <w:t>burned off site </w:t>
                  </w:r>
                  <w:r>
                    <w:rPr>
                      <w:position w:val="3"/>
                      <w:sz w:val="20"/>
                    </w:rPr>
                    <w:t>)</w:t>
                  </w:r>
                </w:p>
              </w:txbxContent>
            </v:textbox>
            <v:stroke dashstyle="solid"/>
            <w10:wrap type="topAndBottom"/>
          </v:shape>
        </w:pict>
      </w:r>
      <w:r>
        <w:rPr>
          <w:rFonts w:ascii="Symbol" w:hAnsi="Symbol"/>
          <w:sz w:val="21"/>
        </w:rPr>
        <w:t>ρ</w:t>
      </w:r>
      <w:r>
        <w:rPr>
          <w:sz w:val="21"/>
          <w:vertAlign w:val="subscript"/>
        </w:rPr>
        <w:t>burned</w:t>
      </w:r>
      <w:r>
        <w:rPr>
          <w:sz w:val="21"/>
          <w:vertAlign w:val="baseline"/>
        </w:rPr>
        <w:t> </w:t>
      </w:r>
      <w:r>
        <w:rPr>
          <w:sz w:val="21"/>
          <w:vertAlign w:val="subscript"/>
        </w:rPr>
        <w:t>on</w:t>
      </w:r>
      <w:r>
        <w:rPr>
          <w:sz w:val="21"/>
          <w:vertAlign w:val="baseline"/>
        </w:rPr>
        <w:t> </w:t>
      </w:r>
      <w:r>
        <w:rPr>
          <w:sz w:val="21"/>
          <w:vertAlign w:val="subscript"/>
        </w:rPr>
        <w:t>site</w:t>
      </w:r>
      <w:r>
        <w:rPr>
          <w:sz w:val="21"/>
          <w:vertAlign w:val="baseline"/>
        </w:rPr>
        <w:t> </w:t>
      </w:r>
      <w:r>
        <w:rPr>
          <w:vertAlign w:val="baseline"/>
        </w:rPr>
        <w:t>= proportion of biomass that is burned on-site, dimensionless </w:t>
      </w:r>
      <w:r>
        <w:rPr>
          <w:rFonts w:ascii="Symbol" w:hAnsi="Symbol"/>
          <w:sz w:val="21"/>
          <w:vertAlign w:val="baseline"/>
        </w:rPr>
        <w:t>ρ</w:t>
      </w:r>
      <w:r>
        <w:rPr>
          <w:sz w:val="21"/>
          <w:vertAlign w:val="subscript"/>
        </w:rPr>
        <w:t>oxid</w:t>
      </w:r>
      <w:r>
        <w:rPr>
          <w:sz w:val="21"/>
          <w:vertAlign w:val="baseline"/>
        </w:rPr>
        <w:t> </w:t>
      </w:r>
      <w:r>
        <w:rPr>
          <w:vertAlign w:val="baseline"/>
        </w:rPr>
        <w:t>= proportion of biomass that oxidizes when burned, dimensionless </w:t>
      </w:r>
      <w:r>
        <w:rPr>
          <w:rFonts w:ascii="Symbol" w:hAnsi="Symbol"/>
          <w:sz w:val="21"/>
          <w:vertAlign w:val="baseline"/>
        </w:rPr>
        <w:t>ρ</w:t>
      </w:r>
      <w:r>
        <w:rPr>
          <w:sz w:val="21"/>
          <w:vertAlign w:val="subscript"/>
        </w:rPr>
        <w:t>burned</w:t>
      </w:r>
      <w:r>
        <w:rPr>
          <w:sz w:val="21"/>
          <w:vertAlign w:val="baseline"/>
        </w:rPr>
        <w:t> </w:t>
      </w:r>
      <w:r>
        <w:rPr>
          <w:sz w:val="21"/>
          <w:vertAlign w:val="subscript"/>
        </w:rPr>
        <w:t>off</w:t>
      </w:r>
      <w:r>
        <w:rPr>
          <w:sz w:val="21"/>
          <w:vertAlign w:val="baseline"/>
        </w:rPr>
        <w:t> </w:t>
      </w:r>
      <w:r>
        <w:rPr>
          <w:sz w:val="21"/>
          <w:vertAlign w:val="subscript"/>
        </w:rPr>
        <w:t>site</w:t>
      </w:r>
      <w:r>
        <w:rPr>
          <w:sz w:val="21"/>
          <w:vertAlign w:val="baseline"/>
        </w:rPr>
        <w:t> </w:t>
      </w:r>
      <w:r>
        <w:rPr>
          <w:vertAlign w:val="baseline"/>
        </w:rPr>
        <w:t>= proportion of biomass that is burned off-site, </w:t>
      </w:r>
      <w:r>
        <w:rPr>
          <w:spacing w:val="-5"/>
          <w:vertAlign w:val="baseline"/>
        </w:rPr>
        <w:t>dimensionless</w:t>
      </w:r>
    </w:p>
    <w:p>
      <w:pPr>
        <w:pStyle w:val="BodyText"/>
        <w:spacing w:before="4"/>
        <w:ind w:left="219"/>
      </w:pPr>
      <w:r>
        <w:rPr/>
        <w:t>Where:</w:t>
      </w:r>
    </w:p>
    <w:p>
      <w:pPr>
        <w:pStyle w:val="BodyText"/>
        <w:spacing w:before="121"/>
        <w:ind w:left="785"/>
      </w:pPr>
      <w:r>
        <w:rPr/>
        <w:t>L</w:t>
      </w:r>
      <w:r>
        <w:rPr>
          <w:vertAlign w:val="subscript"/>
        </w:rPr>
        <w:t>decay</w:t>
      </w:r>
      <w:r>
        <w:rPr>
          <w:vertAlign w:val="baseline"/>
        </w:rPr>
        <w:t> = carbon losses from biomass decay, tonnes C</w:t>
      </w:r>
    </w:p>
    <w:p>
      <w:pPr>
        <w:pStyle w:val="BodyText"/>
        <w:spacing w:before="134"/>
        <w:ind w:left="785"/>
      </w:pPr>
      <w:r>
        <w:rPr>
          <w:rFonts w:ascii="Symbol" w:hAnsi="Symbol"/>
        </w:rPr>
        <w:t>∆</w:t>
      </w:r>
      <w:r>
        <w:rPr/>
        <w:t>C</w:t>
      </w:r>
      <w:r>
        <w:rPr>
          <w:vertAlign w:val="subscript"/>
        </w:rPr>
        <w:t>conversion</w:t>
      </w:r>
      <w:r>
        <w:rPr>
          <w:vertAlign w:val="baseline"/>
        </w:rPr>
        <w:t> = change in carbon stocks as a result of a clearing biomass in a land use conversion, tonnes C</w:t>
      </w:r>
    </w:p>
    <w:p>
      <w:pPr>
        <w:pStyle w:val="BodyText"/>
        <w:spacing w:line="338" w:lineRule="auto" w:before="109"/>
        <w:ind w:left="785" w:right="2947"/>
        <w:jc w:val="both"/>
      </w:pPr>
      <w:r>
        <w:rPr>
          <w:rFonts w:ascii="Symbol" w:hAnsi="Symbol"/>
          <w:sz w:val="21"/>
        </w:rPr>
        <w:t>ρ</w:t>
      </w:r>
      <w:r>
        <w:rPr>
          <w:sz w:val="21"/>
          <w:vertAlign w:val="subscript"/>
        </w:rPr>
        <w:t>decay</w:t>
      </w:r>
      <w:r>
        <w:rPr>
          <w:sz w:val="21"/>
          <w:vertAlign w:val="baseline"/>
        </w:rPr>
        <w:t> </w:t>
      </w:r>
      <w:r>
        <w:rPr>
          <w:vertAlign w:val="baseline"/>
        </w:rPr>
        <w:t>= proportion of biomass that is left on-site to decay, dimensionless </w:t>
      </w:r>
      <w:r>
        <w:rPr>
          <w:rFonts w:ascii="Symbol" w:hAnsi="Symbol"/>
          <w:sz w:val="21"/>
          <w:vertAlign w:val="baseline"/>
        </w:rPr>
        <w:t>ρ</w:t>
      </w:r>
      <w:r>
        <w:rPr>
          <w:sz w:val="21"/>
          <w:vertAlign w:val="subscript"/>
        </w:rPr>
        <w:t>burned</w:t>
      </w:r>
      <w:r>
        <w:rPr>
          <w:spacing w:val="-20"/>
          <w:sz w:val="21"/>
          <w:vertAlign w:val="baseline"/>
        </w:rPr>
        <w:t> </w:t>
      </w:r>
      <w:r>
        <w:rPr>
          <w:sz w:val="21"/>
          <w:vertAlign w:val="subscript"/>
        </w:rPr>
        <w:t>on</w:t>
      </w:r>
      <w:r>
        <w:rPr>
          <w:spacing w:val="-20"/>
          <w:sz w:val="21"/>
          <w:vertAlign w:val="baseline"/>
        </w:rPr>
        <w:t> </w:t>
      </w:r>
      <w:r>
        <w:rPr>
          <w:sz w:val="21"/>
          <w:vertAlign w:val="subscript"/>
        </w:rPr>
        <w:t>site</w:t>
      </w:r>
      <w:r>
        <w:rPr>
          <w:spacing w:val="-20"/>
          <w:sz w:val="21"/>
          <w:vertAlign w:val="baseline"/>
        </w:rPr>
        <w:t> </w:t>
      </w:r>
      <w:r>
        <w:rPr>
          <w:vertAlign w:val="baseline"/>
        </w:rPr>
        <w:t>=</w:t>
      </w:r>
      <w:r>
        <w:rPr>
          <w:spacing w:val="-1"/>
          <w:vertAlign w:val="baseline"/>
        </w:rPr>
        <w:t> </w:t>
      </w:r>
      <w:r>
        <w:rPr>
          <w:vertAlign w:val="baseline"/>
        </w:rPr>
        <w:t>proportion</w:t>
      </w:r>
      <w:r>
        <w:rPr>
          <w:spacing w:val="-2"/>
          <w:vertAlign w:val="baseline"/>
        </w:rPr>
        <w:t> </w:t>
      </w:r>
      <w:r>
        <w:rPr>
          <w:vertAlign w:val="baseline"/>
        </w:rPr>
        <w:t>of</w:t>
      </w:r>
      <w:r>
        <w:rPr>
          <w:spacing w:val="-4"/>
          <w:vertAlign w:val="baseline"/>
        </w:rPr>
        <w:t> </w:t>
      </w:r>
      <w:r>
        <w:rPr>
          <w:vertAlign w:val="baseline"/>
        </w:rPr>
        <w:t>biomass</w:t>
      </w:r>
      <w:r>
        <w:rPr>
          <w:spacing w:val="-2"/>
          <w:vertAlign w:val="baseline"/>
        </w:rPr>
        <w:t> </w:t>
      </w:r>
      <w:r>
        <w:rPr>
          <w:vertAlign w:val="baseline"/>
        </w:rPr>
        <w:t>that</w:t>
      </w:r>
      <w:r>
        <w:rPr>
          <w:spacing w:val="-2"/>
          <w:vertAlign w:val="baseline"/>
        </w:rPr>
        <w:t> </w:t>
      </w:r>
      <w:r>
        <w:rPr>
          <w:vertAlign w:val="baseline"/>
        </w:rPr>
        <w:t>is</w:t>
      </w:r>
      <w:r>
        <w:rPr>
          <w:spacing w:val="-2"/>
          <w:vertAlign w:val="baseline"/>
        </w:rPr>
        <w:t> </w:t>
      </w:r>
      <w:r>
        <w:rPr>
          <w:vertAlign w:val="baseline"/>
        </w:rPr>
        <w:t>burned</w:t>
      </w:r>
      <w:r>
        <w:rPr>
          <w:spacing w:val="-1"/>
          <w:vertAlign w:val="baseline"/>
        </w:rPr>
        <w:t> </w:t>
      </w:r>
      <w:r>
        <w:rPr>
          <w:vertAlign w:val="baseline"/>
        </w:rPr>
        <w:t>on-site, dimensionless </w:t>
      </w:r>
      <w:r>
        <w:rPr>
          <w:rFonts w:ascii="Symbol" w:hAnsi="Symbol"/>
          <w:sz w:val="21"/>
          <w:vertAlign w:val="baseline"/>
        </w:rPr>
        <w:t>ρ</w:t>
      </w:r>
      <w:r>
        <w:rPr>
          <w:sz w:val="21"/>
          <w:vertAlign w:val="subscript"/>
        </w:rPr>
        <w:t>burned</w:t>
      </w:r>
      <w:r>
        <w:rPr>
          <w:spacing w:val="-20"/>
          <w:sz w:val="21"/>
          <w:vertAlign w:val="baseline"/>
        </w:rPr>
        <w:t> </w:t>
      </w:r>
      <w:r>
        <w:rPr>
          <w:sz w:val="21"/>
          <w:vertAlign w:val="subscript"/>
        </w:rPr>
        <w:t>off</w:t>
      </w:r>
      <w:r>
        <w:rPr>
          <w:spacing w:val="-19"/>
          <w:sz w:val="21"/>
          <w:vertAlign w:val="baseline"/>
        </w:rPr>
        <w:t> </w:t>
      </w:r>
      <w:r>
        <w:rPr>
          <w:sz w:val="21"/>
          <w:vertAlign w:val="subscript"/>
        </w:rPr>
        <w:t>site</w:t>
      </w:r>
      <w:r>
        <w:rPr>
          <w:spacing w:val="-19"/>
          <w:sz w:val="21"/>
          <w:vertAlign w:val="baseline"/>
        </w:rPr>
        <w:t> </w:t>
      </w:r>
      <w:r>
        <w:rPr>
          <w:vertAlign w:val="baseline"/>
        </w:rPr>
        <w:t>=</w:t>
      </w:r>
      <w:r>
        <w:rPr>
          <w:spacing w:val="1"/>
          <w:vertAlign w:val="baseline"/>
        </w:rPr>
        <w:t> </w:t>
      </w:r>
      <w:r>
        <w:rPr>
          <w:vertAlign w:val="baseline"/>
        </w:rPr>
        <w:t>proportion</w:t>
      </w:r>
      <w:r>
        <w:rPr>
          <w:spacing w:val="-1"/>
          <w:vertAlign w:val="baseline"/>
        </w:rPr>
        <w:t> </w:t>
      </w:r>
      <w:r>
        <w:rPr>
          <w:vertAlign w:val="baseline"/>
        </w:rPr>
        <w:t>of</w:t>
      </w:r>
      <w:r>
        <w:rPr>
          <w:spacing w:val="-2"/>
          <w:vertAlign w:val="baseline"/>
        </w:rPr>
        <w:t> </w:t>
      </w:r>
      <w:r>
        <w:rPr>
          <w:vertAlign w:val="baseline"/>
        </w:rPr>
        <w:t>biomass</w:t>
      </w:r>
      <w:r>
        <w:rPr>
          <w:spacing w:val="-1"/>
          <w:vertAlign w:val="baseline"/>
        </w:rPr>
        <w:t> </w:t>
      </w:r>
      <w:r>
        <w:rPr>
          <w:vertAlign w:val="baseline"/>
        </w:rPr>
        <w:t>that is</w:t>
      </w:r>
      <w:r>
        <w:rPr>
          <w:spacing w:val="-1"/>
          <w:vertAlign w:val="baseline"/>
        </w:rPr>
        <w:t> </w:t>
      </w:r>
      <w:r>
        <w:rPr>
          <w:vertAlign w:val="baseline"/>
        </w:rPr>
        <w:t>burned</w:t>
      </w:r>
      <w:r>
        <w:rPr>
          <w:spacing w:val="1"/>
          <w:vertAlign w:val="baseline"/>
        </w:rPr>
        <w:t> </w:t>
      </w:r>
      <w:r>
        <w:rPr>
          <w:vertAlign w:val="baseline"/>
        </w:rPr>
        <w:t>off-site,</w:t>
      </w:r>
      <w:r>
        <w:rPr>
          <w:spacing w:val="1"/>
          <w:vertAlign w:val="baseline"/>
        </w:rPr>
        <w:t> </w:t>
      </w:r>
      <w:r>
        <w:rPr>
          <w:spacing w:val="-5"/>
          <w:vertAlign w:val="baseline"/>
        </w:rPr>
        <w:t>dimensionless</w:t>
      </w:r>
    </w:p>
    <w:p>
      <w:pPr>
        <w:pStyle w:val="BodyText"/>
        <w:spacing w:before="16"/>
        <w:ind w:left="219" w:right="263"/>
        <w:jc w:val="both"/>
      </w:pPr>
      <w:r>
        <w:rPr/>
        <w:t>It is </w:t>
      </w:r>
      <w:r>
        <w:rPr>
          <w:i/>
        </w:rPr>
        <w:t>good practice </w:t>
      </w:r>
      <w:r>
        <w:rPr/>
        <w:t>for countries to use the terms L</w:t>
      </w:r>
      <w:r>
        <w:rPr>
          <w:vertAlign w:val="subscript"/>
        </w:rPr>
        <w:t>burn</w:t>
      </w:r>
      <w:r>
        <w:rPr>
          <w:vertAlign w:val="baseline"/>
        </w:rPr>
        <w:t> </w:t>
      </w:r>
      <w:r>
        <w:rPr>
          <w:vertAlign w:val="subscript"/>
        </w:rPr>
        <w:t>on</w:t>
      </w:r>
      <w:r>
        <w:rPr>
          <w:vertAlign w:val="baseline"/>
        </w:rPr>
        <w:t> </w:t>
      </w:r>
      <w:r>
        <w:rPr>
          <w:vertAlign w:val="subscript"/>
        </w:rPr>
        <w:t>site</w:t>
      </w:r>
      <w:r>
        <w:rPr>
          <w:vertAlign w:val="baseline"/>
        </w:rPr>
        <w:t> and L</w:t>
      </w:r>
      <w:r>
        <w:rPr>
          <w:vertAlign w:val="subscript"/>
        </w:rPr>
        <w:t>burn</w:t>
      </w:r>
      <w:r>
        <w:rPr>
          <w:vertAlign w:val="baseline"/>
        </w:rPr>
        <w:t> </w:t>
      </w:r>
      <w:r>
        <w:rPr>
          <w:vertAlign w:val="subscript"/>
        </w:rPr>
        <w:t>off</w:t>
      </w:r>
      <w:r>
        <w:rPr>
          <w:vertAlign w:val="baseline"/>
        </w:rPr>
        <w:t> </w:t>
      </w:r>
      <w:r>
        <w:rPr>
          <w:vertAlign w:val="subscript"/>
        </w:rPr>
        <w:t>site</w:t>
      </w:r>
      <w:r>
        <w:rPr>
          <w:vertAlign w:val="baseline"/>
        </w:rPr>
        <w:t> as inputs to estimate non-CO</w:t>
      </w:r>
      <w:r>
        <w:rPr>
          <w:vertAlign w:val="subscript"/>
        </w:rPr>
        <w:t>2</w:t>
      </w:r>
      <w:r>
        <w:rPr>
          <w:vertAlign w:val="baseline"/>
        </w:rPr>
        <w:t> trace gas emissions from burning following guidance provided in Section 3.2.1.4.</w:t>
      </w:r>
    </w:p>
    <w:p>
      <w:pPr>
        <w:pStyle w:val="BodyText"/>
        <w:spacing w:before="119"/>
        <w:ind w:left="219" w:right="266"/>
        <w:jc w:val="both"/>
      </w:pPr>
      <w:r>
        <w:rPr>
          <w:b/>
        </w:rPr>
        <w:t>Tier 3: </w:t>
      </w:r>
      <w:r>
        <w:rPr/>
        <w:t>Tier 3 is similar to Tier 2, with the following distinctions: rather than relying on average annual rates of conversion, countries use direct estimates of spatially disaggregated areas converted annually for each initial and final land use; carbon stock changes are based on locally specific information. In addition, countries may use dynamic models, making it possible to spatially and temporally link biomass and soil carbon stock change estimates.</w:t>
      </w:r>
    </w:p>
    <w:p>
      <w:pPr>
        <w:pStyle w:val="BodyText"/>
        <w:spacing w:before="3"/>
        <w:rPr>
          <w:sz w:val="21"/>
        </w:rPr>
      </w:pPr>
    </w:p>
    <w:p>
      <w:pPr>
        <w:pStyle w:val="Heading6"/>
        <w:numPr>
          <w:ilvl w:val="5"/>
          <w:numId w:val="71"/>
        </w:numPr>
        <w:tabs>
          <w:tab w:pos="1450" w:val="left" w:leader="none"/>
        </w:tabs>
        <w:spacing w:line="240" w:lineRule="auto" w:before="0" w:after="0"/>
        <w:ind w:left="1449" w:right="0" w:hanging="1230"/>
        <w:jc w:val="left"/>
      </w:pPr>
      <w:r>
        <w:rPr/>
        <w:t>2 </w:t>
      </w:r>
      <w:r>
        <w:rPr>
          <w:spacing w:val="16"/>
        </w:rPr>
        <w:t>Choice </w:t>
      </w:r>
      <w:r>
        <w:rPr>
          <w:spacing w:val="9"/>
        </w:rPr>
        <w:t>of </w:t>
      </w:r>
      <w:r>
        <w:rPr>
          <w:spacing w:val="17"/>
        </w:rPr>
        <w:t>Emission/Removal</w:t>
      </w:r>
      <w:r>
        <w:rPr>
          <w:spacing w:val="16"/>
        </w:rPr>
        <w:t> </w:t>
      </w:r>
      <w:r>
        <w:rPr>
          <w:spacing w:val="19"/>
        </w:rPr>
        <w:t>Factors</w:t>
      </w:r>
    </w:p>
    <w:p>
      <w:pPr>
        <w:pStyle w:val="BodyText"/>
        <w:spacing w:before="56"/>
        <w:ind w:left="219" w:right="262"/>
        <w:jc w:val="both"/>
      </w:pPr>
      <w:r>
        <w:rPr>
          <w:b/>
        </w:rPr>
        <w:t>Tier 1: </w:t>
      </w:r>
      <w:r>
        <w:rPr/>
        <w:t>The first step in this methodology requires parameters for carbon stocks before conversion for each initial land use (C</w:t>
      </w:r>
      <w:r>
        <w:rPr>
          <w:vertAlign w:val="subscript"/>
        </w:rPr>
        <w:t>Before</w:t>
      </w:r>
      <w:r>
        <w:rPr>
          <w:vertAlign w:val="baseline"/>
        </w:rPr>
        <w:t>) and after conversion (C</w:t>
      </w:r>
      <w:r>
        <w:rPr>
          <w:vertAlign w:val="subscript"/>
        </w:rPr>
        <w:t>After</w:t>
      </w:r>
      <w:r>
        <w:rPr>
          <w:vertAlign w:val="baseline"/>
        </w:rPr>
        <w:t>). It is assumed that all biomass is cleared when preparing a site for grassland use, thus, the default for C</w:t>
      </w:r>
      <w:r>
        <w:rPr>
          <w:vertAlign w:val="subscript"/>
        </w:rPr>
        <w:t>After</w:t>
      </w:r>
      <w:r>
        <w:rPr>
          <w:vertAlign w:val="baseline"/>
        </w:rPr>
        <w:t> is 0 tonnes C ha</w:t>
      </w:r>
      <w:r>
        <w:rPr>
          <w:vertAlign w:val="superscript"/>
        </w:rPr>
        <w:t>-1</w:t>
      </w:r>
      <w:r>
        <w:rPr>
          <w:vertAlign w:val="baseline"/>
        </w:rPr>
        <w:t>. Table 3.4.8 provides users with directions on where to find carbon stock values for C</w:t>
      </w:r>
      <w:r>
        <w:rPr>
          <w:vertAlign w:val="subscript"/>
        </w:rPr>
        <w:t>Before</w:t>
      </w:r>
      <w:r>
        <w:rPr>
          <w:vertAlign w:val="baseline"/>
        </w:rPr>
        <w:t> in land uses prior to clearing. Table 3.4.9 provides default values for carbon stocks in grassland after conversion (∆C</w:t>
      </w:r>
      <w:r>
        <w:rPr>
          <w:vertAlign w:val="subscript"/>
        </w:rPr>
        <w:t>Growth</w:t>
      </w:r>
      <w:r>
        <w:rPr>
          <w:vertAlign w:val="baseline"/>
        </w:rPr>
        <w:t>). These values are based on the defaults aboveground biomass stocks (Table 3.4.2) and the root:shoot ratios (Table 3.4.3), provided in Section 3.4.1.1.1.2 under Grassland Remaining Grassland, and apply to herbaceous (i.e. non-woody) biomass</w:t>
      </w:r>
      <w:r>
        <w:rPr>
          <w:spacing w:val="-12"/>
          <w:vertAlign w:val="baseline"/>
        </w:rPr>
        <w:t> </w:t>
      </w:r>
      <w:r>
        <w:rPr>
          <w:vertAlign w:val="baseline"/>
        </w:rPr>
        <w:t>only.</w:t>
      </w:r>
    </w:p>
    <w:p>
      <w:pPr>
        <w:pStyle w:val="BodyText"/>
        <w:spacing w:before="1"/>
        <w:rPr>
          <w:sz w:val="11"/>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09"/>
        <w:gridCol w:w="5775"/>
        <w:gridCol w:w="1232"/>
      </w:tblGrid>
      <w:tr>
        <w:trPr>
          <w:trHeight w:val="534" w:hRule="atLeast"/>
        </w:trPr>
        <w:tc>
          <w:tcPr>
            <w:tcW w:w="9016" w:type="dxa"/>
            <w:gridSpan w:val="3"/>
            <w:tcBorders>
              <w:bottom w:val="double" w:sz="1" w:space="0" w:color="000000"/>
            </w:tcBorders>
          </w:tcPr>
          <w:p>
            <w:pPr>
              <w:pStyle w:val="TableParagraph"/>
              <w:spacing w:line="207" w:lineRule="exact" w:before="59"/>
              <w:ind w:left="408" w:right="402"/>
              <w:jc w:val="center"/>
              <w:rPr>
                <w:b/>
                <w:sz w:val="18"/>
              </w:rPr>
            </w:pPr>
            <w:r>
              <w:rPr>
                <w:b/>
                <w:sz w:val="18"/>
              </w:rPr>
              <w:t>T</w:t>
            </w:r>
            <w:r>
              <w:rPr>
                <w:b/>
                <w:sz w:val="14"/>
              </w:rPr>
              <w:t>ABLE </w:t>
            </w:r>
            <w:r>
              <w:rPr>
                <w:b/>
                <w:sz w:val="18"/>
              </w:rPr>
              <w:t>3.4.8</w:t>
            </w:r>
          </w:p>
          <w:p>
            <w:pPr>
              <w:pStyle w:val="TableParagraph"/>
              <w:spacing w:line="207" w:lineRule="exact"/>
              <w:ind w:left="406" w:right="402"/>
              <w:jc w:val="center"/>
              <w:rPr>
                <w:b/>
                <w:sz w:val="14"/>
              </w:rPr>
            </w:pPr>
            <w:r>
              <w:rPr>
                <w:b/>
                <w:sz w:val="18"/>
              </w:rPr>
              <w:t>D</w:t>
            </w:r>
            <w:r>
              <w:rPr>
                <w:b/>
                <w:sz w:val="14"/>
              </w:rPr>
              <w:t>EFAULT BIOMASS CARBON STOCKS REMOVED DUE TO LAND CONVERSION TO GRASSLAND</w:t>
            </w:r>
          </w:p>
        </w:tc>
      </w:tr>
      <w:tr>
        <w:trPr>
          <w:trHeight w:val="479" w:hRule="atLeast"/>
        </w:trPr>
        <w:tc>
          <w:tcPr>
            <w:tcW w:w="2009" w:type="dxa"/>
            <w:tcBorders>
              <w:top w:val="double" w:sz="1" w:space="0" w:color="000000"/>
            </w:tcBorders>
          </w:tcPr>
          <w:p>
            <w:pPr>
              <w:pStyle w:val="TableParagraph"/>
              <w:spacing w:before="138"/>
              <w:ind w:left="292"/>
              <w:rPr>
                <w:b/>
                <w:sz w:val="18"/>
              </w:rPr>
            </w:pPr>
            <w:r>
              <w:rPr>
                <w:b/>
                <w:sz w:val="18"/>
              </w:rPr>
              <w:t>Land-use category</w:t>
            </w:r>
          </w:p>
        </w:tc>
        <w:tc>
          <w:tcPr>
            <w:tcW w:w="5775" w:type="dxa"/>
            <w:tcBorders>
              <w:top w:val="double" w:sz="1" w:space="0" w:color="000000"/>
            </w:tcBorders>
          </w:tcPr>
          <w:p>
            <w:pPr>
              <w:pStyle w:val="TableParagraph"/>
              <w:spacing w:before="35"/>
              <w:ind w:left="2322" w:right="895" w:hanging="1404"/>
              <w:rPr>
                <w:b/>
                <w:sz w:val="18"/>
              </w:rPr>
            </w:pPr>
            <w:r>
              <w:rPr>
                <w:b/>
                <w:sz w:val="18"/>
              </w:rPr>
              <w:t>Carbon stock in biomass before conversion (C</w:t>
            </w:r>
            <w:r>
              <w:rPr>
                <w:b/>
                <w:sz w:val="18"/>
                <w:vertAlign w:val="subscript"/>
              </w:rPr>
              <w:t>Before</w:t>
            </w:r>
            <w:r>
              <w:rPr>
                <w:b/>
                <w:sz w:val="18"/>
                <w:vertAlign w:val="baseline"/>
              </w:rPr>
              <w:t>) (tonnes C ha</w:t>
            </w:r>
            <w:r>
              <w:rPr>
                <w:b/>
                <w:sz w:val="18"/>
                <w:vertAlign w:val="superscript"/>
              </w:rPr>
              <w:t>-1</w:t>
            </w:r>
            <w:r>
              <w:rPr>
                <w:b/>
                <w:sz w:val="18"/>
                <w:vertAlign w:val="baseline"/>
              </w:rPr>
              <w:t>)</w:t>
            </w:r>
          </w:p>
        </w:tc>
        <w:tc>
          <w:tcPr>
            <w:tcW w:w="1232" w:type="dxa"/>
            <w:tcBorders>
              <w:top w:val="double" w:sz="1" w:space="0" w:color="000000"/>
            </w:tcBorders>
          </w:tcPr>
          <w:p>
            <w:pPr>
              <w:pStyle w:val="TableParagraph"/>
              <w:spacing w:before="35"/>
              <w:ind w:left="318" w:right="290" w:firstLine="72"/>
              <w:rPr>
                <w:b/>
                <w:sz w:val="18"/>
              </w:rPr>
            </w:pPr>
            <w:r>
              <w:rPr>
                <w:b/>
                <w:sz w:val="18"/>
              </w:rPr>
              <w:t>Error Range </w:t>
            </w:r>
            <w:r>
              <w:rPr>
                <w:b/>
                <w:sz w:val="18"/>
                <w:vertAlign w:val="superscript"/>
              </w:rPr>
              <w:t>1</w:t>
            </w:r>
          </w:p>
        </w:tc>
      </w:tr>
      <w:tr>
        <w:trPr>
          <w:trHeight w:val="671" w:hRule="atLeast"/>
        </w:trPr>
        <w:tc>
          <w:tcPr>
            <w:tcW w:w="2009" w:type="dxa"/>
          </w:tcPr>
          <w:p>
            <w:pPr>
              <w:pStyle w:val="TableParagraph"/>
              <w:spacing w:line="202" w:lineRule="exact"/>
              <w:ind w:left="107"/>
              <w:rPr>
                <w:sz w:val="18"/>
              </w:rPr>
            </w:pPr>
            <w:r>
              <w:rPr>
                <w:sz w:val="18"/>
              </w:rPr>
              <w:t>Forest land</w:t>
            </w:r>
          </w:p>
        </w:tc>
        <w:tc>
          <w:tcPr>
            <w:tcW w:w="5775" w:type="dxa"/>
          </w:tcPr>
          <w:p>
            <w:pPr>
              <w:pStyle w:val="TableParagraph"/>
              <w:ind w:left="107" w:right="374"/>
              <w:rPr>
                <w:i/>
                <w:sz w:val="18"/>
              </w:rPr>
            </w:pPr>
            <w:r>
              <w:rPr>
                <w:sz w:val="18"/>
              </w:rPr>
              <w:t>See Table 3A.1.2 for carbon stocks in a range of forest types by climate regions. Stocks are in terms of dry matter of carbon. </w:t>
            </w:r>
            <w:r>
              <w:rPr>
                <w:i/>
                <w:sz w:val="18"/>
              </w:rPr>
              <w:t>Multiply values by a carbon fraction (CF) 0.5 to convert dry matter to carbon.</w:t>
            </w:r>
          </w:p>
        </w:tc>
        <w:tc>
          <w:tcPr>
            <w:tcW w:w="1232" w:type="dxa"/>
          </w:tcPr>
          <w:p>
            <w:pPr>
              <w:pStyle w:val="TableParagraph"/>
              <w:rPr>
                <w:sz w:val="18"/>
              </w:rPr>
            </w:pPr>
          </w:p>
        </w:tc>
      </w:tr>
      <w:tr>
        <w:trPr>
          <w:trHeight w:val="669" w:hRule="atLeast"/>
        </w:trPr>
        <w:tc>
          <w:tcPr>
            <w:tcW w:w="2009" w:type="dxa"/>
          </w:tcPr>
          <w:p>
            <w:pPr>
              <w:pStyle w:val="TableParagraph"/>
              <w:spacing w:line="202" w:lineRule="exact"/>
              <w:ind w:left="107"/>
              <w:rPr>
                <w:sz w:val="18"/>
              </w:rPr>
            </w:pPr>
            <w:r>
              <w:rPr>
                <w:sz w:val="18"/>
              </w:rPr>
              <w:t>Cropland:</w:t>
            </w:r>
          </w:p>
          <w:p>
            <w:pPr>
              <w:pStyle w:val="TableParagraph"/>
              <w:spacing w:line="207" w:lineRule="exact"/>
              <w:ind w:left="107"/>
              <w:rPr>
                <w:sz w:val="18"/>
              </w:rPr>
            </w:pPr>
            <w:r>
              <w:rPr>
                <w:sz w:val="18"/>
              </w:rPr>
              <w:t>Perennial Woody Crops</w:t>
            </w:r>
          </w:p>
        </w:tc>
        <w:tc>
          <w:tcPr>
            <w:tcW w:w="5775" w:type="dxa"/>
          </w:tcPr>
          <w:p>
            <w:pPr>
              <w:pStyle w:val="TableParagraph"/>
              <w:ind w:left="107" w:right="321"/>
              <w:jc w:val="both"/>
              <w:rPr>
                <w:sz w:val="18"/>
              </w:rPr>
            </w:pPr>
            <w:r>
              <w:rPr>
                <w:sz w:val="18"/>
              </w:rPr>
              <w:t>See Table 3.3.2 for carbon stocks in a range of climate regions for generic perennial woody cropland. Use the term for aboveground biomass carbon stocks at harvest. Values are in units of tonnes C ha</w:t>
            </w:r>
            <w:r>
              <w:rPr>
                <w:sz w:val="18"/>
                <w:vertAlign w:val="superscript"/>
              </w:rPr>
              <w:t>-1</w:t>
            </w:r>
            <w:r>
              <w:rPr>
                <w:sz w:val="18"/>
                <w:vertAlign w:val="baseline"/>
              </w:rPr>
              <w:t>.</w:t>
            </w:r>
          </w:p>
        </w:tc>
        <w:tc>
          <w:tcPr>
            <w:tcW w:w="1232" w:type="dxa"/>
          </w:tcPr>
          <w:p>
            <w:pPr>
              <w:pStyle w:val="TableParagraph"/>
              <w:spacing w:before="6"/>
              <w:rPr>
                <w:sz w:val="19"/>
              </w:rPr>
            </w:pPr>
          </w:p>
          <w:p>
            <w:pPr>
              <w:pStyle w:val="TableParagraph"/>
              <w:spacing w:before="1"/>
              <w:ind w:left="357" w:right="348"/>
              <w:jc w:val="center"/>
              <w:rPr>
                <w:sz w:val="18"/>
              </w:rPr>
            </w:pPr>
            <w:r>
              <w:rPr>
                <w:sz w:val="18"/>
                <w:u w:val="single"/>
              </w:rPr>
              <w:t>+</w:t>
            </w:r>
            <w:r>
              <w:rPr>
                <w:sz w:val="18"/>
              </w:rPr>
              <w:t> 75%</w:t>
            </w:r>
          </w:p>
        </w:tc>
      </w:tr>
      <w:tr>
        <w:trPr>
          <w:trHeight w:val="443" w:hRule="atLeast"/>
        </w:trPr>
        <w:tc>
          <w:tcPr>
            <w:tcW w:w="2009" w:type="dxa"/>
          </w:tcPr>
          <w:p>
            <w:pPr>
              <w:pStyle w:val="TableParagraph"/>
              <w:spacing w:before="9"/>
              <w:ind w:left="107" w:right="867"/>
              <w:rPr>
                <w:sz w:val="18"/>
              </w:rPr>
            </w:pPr>
            <w:r>
              <w:rPr>
                <w:sz w:val="18"/>
              </w:rPr>
              <w:t>Cropland: Annual Crops</w:t>
            </w:r>
          </w:p>
        </w:tc>
        <w:tc>
          <w:tcPr>
            <w:tcW w:w="5775" w:type="dxa"/>
          </w:tcPr>
          <w:p>
            <w:pPr>
              <w:pStyle w:val="TableParagraph"/>
              <w:spacing w:before="9"/>
              <w:ind w:left="107" w:right="561"/>
              <w:rPr>
                <w:sz w:val="18"/>
              </w:rPr>
            </w:pPr>
            <w:r>
              <w:rPr>
                <w:sz w:val="18"/>
              </w:rPr>
              <w:t>Use </w:t>
            </w:r>
            <w:r>
              <w:rPr>
                <w:i/>
                <w:sz w:val="18"/>
              </w:rPr>
              <w:t>IPCC Guidelines </w:t>
            </w:r>
            <w:r>
              <w:rPr>
                <w:sz w:val="18"/>
              </w:rPr>
              <w:t>default of 5 tonnes carbon ha</w:t>
            </w:r>
            <w:r>
              <w:rPr>
                <w:sz w:val="18"/>
                <w:vertAlign w:val="superscript"/>
              </w:rPr>
              <w:t>-1</w:t>
            </w:r>
            <w:r>
              <w:rPr>
                <w:sz w:val="18"/>
                <w:vertAlign w:val="baseline"/>
              </w:rPr>
              <w:t> (or 10 tonnes dry matter ha</w:t>
            </w:r>
            <w:r>
              <w:rPr>
                <w:sz w:val="18"/>
                <w:vertAlign w:val="superscript"/>
              </w:rPr>
              <w:t>-1</w:t>
            </w:r>
            <w:r>
              <w:rPr>
                <w:sz w:val="18"/>
                <w:vertAlign w:val="baseline"/>
              </w:rPr>
              <w:t>)</w:t>
            </w:r>
          </w:p>
        </w:tc>
        <w:tc>
          <w:tcPr>
            <w:tcW w:w="1232" w:type="dxa"/>
          </w:tcPr>
          <w:p>
            <w:pPr>
              <w:pStyle w:val="TableParagraph"/>
              <w:spacing w:before="112"/>
              <w:ind w:left="357" w:right="348"/>
              <w:jc w:val="center"/>
              <w:rPr>
                <w:sz w:val="18"/>
              </w:rPr>
            </w:pPr>
            <w:r>
              <w:rPr>
                <w:sz w:val="18"/>
                <w:u w:val="single"/>
              </w:rPr>
              <w:t>+</w:t>
            </w:r>
            <w:r>
              <w:rPr>
                <w:sz w:val="18"/>
              </w:rPr>
              <w:t> 75%</w:t>
            </w:r>
          </w:p>
        </w:tc>
      </w:tr>
      <w:tr>
        <w:trPr>
          <w:trHeight w:val="273" w:hRule="atLeast"/>
        </w:trPr>
        <w:tc>
          <w:tcPr>
            <w:tcW w:w="9016" w:type="dxa"/>
            <w:gridSpan w:val="3"/>
          </w:tcPr>
          <w:p>
            <w:pPr>
              <w:pStyle w:val="TableParagraph"/>
              <w:spacing w:before="21"/>
              <w:ind w:left="107"/>
              <w:rPr>
                <w:sz w:val="16"/>
              </w:rPr>
            </w:pPr>
            <w:r>
              <w:rPr>
                <w:position w:val="7"/>
                <w:sz w:val="10"/>
              </w:rPr>
              <w:t>1 </w:t>
            </w:r>
            <w:r>
              <w:rPr>
                <w:sz w:val="16"/>
              </w:rPr>
              <w:t>Represents a nominal estimate of error, equivalent to two times standard deviation, as a percentage of the mean.</w:t>
            </w:r>
          </w:p>
        </w:tc>
      </w:tr>
    </w:tbl>
    <w:p>
      <w:pPr>
        <w:pStyle w:val="BodyText"/>
        <w:rPr>
          <w:sz w:val="28"/>
        </w:rPr>
      </w:pPr>
    </w:p>
    <w:p>
      <w:pPr>
        <w:pStyle w:val="BodyText"/>
        <w:ind w:left="219" w:right="262"/>
        <w:jc w:val="both"/>
      </w:pPr>
      <w:r>
        <w:rPr>
          <w:b/>
        </w:rPr>
        <w:t>Tier 2: </w:t>
      </w:r>
      <w:r>
        <w:rPr/>
        <w:t>Tier 2 methods should include some country-specific estimates for biomass stocks and removals due to land conversion, and also include estimates of on- and off-site losses due to burning and decay following land conversion to grassland. These improvements can take the form of systematic studies of carbon content and emissions and removals associated with land uses and land-use conversions within the country and a re- examination of default assumptions in light of country-specific conditions.</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10"/>
        <w:rPr>
          <w:i/>
        </w:rPr>
      </w:pPr>
      <w:r>
        <w:rPr/>
        <w:t>Default parameters for emissions from burning and decay are provided, however countries are encouraged to develop country-specific coefficients to improve the accuracy of estimates. The </w:t>
      </w:r>
      <w:r>
        <w:rPr>
          <w:i/>
        </w:rPr>
        <w:t>IPCC Guidelines </w:t>
      </w:r>
      <w:r>
        <w:rPr/>
        <w:t>use a general default of 0.5 for the proportion of biomass burned on-site for forest conversions. Research studies suggests that the fraction is highly variable and could be as low as 0.2 (e.g. Fearnside, 2000; Barbosa and Fearnside, 1996; and Fearnside, 1990). Updated default proportions of biomass burned on site are provided here. Table 3A.1.12 provides defaults for proportion of biomass consumed in on-site burning by a range of forest vegetation classes. These defaults should be used for transitions from forest land to grassland. For non-forest initial land uses, the default proportion of biomass left on-site and burned is 0.35. This default takes into consideration research,  which suggests the fraction should fall within the range 0.2 to 0.5 (Fearnside, 2000; Barbosa and Fearnside, 1996; and Fearnside, 1990). It is </w:t>
      </w:r>
      <w:r>
        <w:rPr>
          <w:i/>
        </w:rPr>
        <w:t>good practice </w:t>
      </w:r>
      <w:r>
        <w:rPr/>
        <w:t>for countries to use 0.35, or another value  within this range provided  the rationale for the choice is documented. There is no default value for the amount of biomass taken off-site and burned; countries will need to develop a proportion based on national data sources. In Equation 3.4.15., the default</w:t>
      </w:r>
      <w:r>
        <w:rPr>
          <w:spacing w:val="-3"/>
        </w:rPr>
        <w:t> </w:t>
      </w:r>
      <w:r>
        <w:rPr/>
        <w:t>proportion</w:t>
      </w:r>
      <w:r>
        <w:rPr>
          <w:spacing w:val="-4"/>
        </w:rPr>
        <w:t> </w:t>
      </w:r>
      <w:r>
        <w:rPr/>
        <w:t>of</w:t>
      </w:r>
      <w:r>
        <w:rPr>
          <w:spacing w:val="-5"/>
        </w:rPr>
        <w:t> </w:t>
      </w:r>
      <w:r>
        <w:rPr/>
        <w:t>biomass</w:t>
      </w:r>
      <w:r>
        <w:rPr>
          <w:spacing w:val="-1"/>
        </w:rPr>
        <w:t> </w:t>
      </w:r>
      <w:r>
        <w:rPr/>
        <w:t>oxidized</w:t>
      </w:r>
      <w:r>
        <w:rPr>
          <w:spacing w:val="-2"/>
        </w:rPr>
        <w:t> </w:t>
      </w:r>
      <w:r>
        <w:rPr/>
        <w:t>as</w:t>
      </w:r>
      <w:r>
        <w:rPr>
          <w:spacing w:val="-4"/>
        </w:rPr>
        <w:t> </w:t>
      </w:r>
      <w:r>
        <w:rPr/>
        <w:t>a</w:t>
      </w:r>
      <w:r>
        <w:rPr>
          <w:spacing w:val="-2"/>
        </w:rPr>
        <w:t> </w:t>
      </w:r>
      <w:r>
        <w:rPr/>
        <w:t>result</w:t>
      </w:r>
      <w:r>
        <w:rPr>
          <w:spacing w:val="-2"/>
        </w:rPr>
        <w:t> </w:t>
      </w:r>
      <w:r>
        <w:rPr/>
        <w:t>of</w:t>
      </w:r>
      <w:r>
        <w:rPr>
          <w:spacing w:val="-5"/>
        </w:rPr>
        <w:t> </w:t>
      </w:r>
      <w:r>
        <w:rPr/>
        <w:t>burning</w:t>
      </w:r>
      <w:r>
        <w:rPr>
          <w:spacing w:val="-2"/>
        </w:rPr>
        <w:t> </w:t>
      </w:r>
      <w:r>
        <w:rPr/>
        <w:t>is</w:t>
      </w:r>
      <w:r>
        <w:rPr>
          <w:spacing w:val="-4"/>
        </w:rPr>
        <w:t> </w:t>
      </w:r>
      <w:r>
        <w:rPr/>
        <w:t>0.9,</w:t>
      </w:r>
      <w:r>
        <w:rPr>
          <w:spacing w:val="-2"/>
        </w:rPr>
        <w:t> </w:t>
      </w:r>
      <w:r>
        <w:rPr/>
        <w:t>as</w:t>
      </w:r>
      <w:r>
        <w:rPr>
          <w:spacing w:val="-4"/>
        </w:rPr>
        <w:t> </w:t>
      </w:r>
      <w:r>
        <w:rPr/>
        <w:t>originally</w:t>
      </w:r>
      <w:r>
        <w:rPr>
          <w:spacing w:val="-4"/>
        </w:rPr>
        <w:t> </w:t>
      </w:r>
      <w:r>
        <w:rPr/>
        <w:t>stated</w:t>
      </w:r>
      <w:r>
        <w:rPr>
          <w:spacing w:val="-1"/>
        </w:rPr>
        <w:t> </w:t>
      </w:r>
      <w:r>
        <w:rPr/>
        <w:t>in</w:t>
      </w:r>
      <w:r>
        <w:rPr>
          <w:spacing w:val="-4"/>
        </w:rPr>
        <w:t> </w:t>
      </w:r>
      <w:r>
        <w:rPr/>
        <w:t>the</w:t>
      </w:r>
      <w:r>
        <w:rPr>
          <w:spacing w:val="-1"/>
        </w:rPr>
        <w:t> </w:t>
      </w:r>
      <w:r>
        <w:rPr>
          <w:i/>
        </w:rPr>
        <w:t>IPCC</w:t>
      </w:r>
      <w:r>
        <w:rPr>
          <w:i/>
          <w:spacing w:val="-3"/>
        </w:rPr>
        <w:t> </w:t>
      </w:r>
      <w:r>
        <w:rPr>
          <w:i/>
        </w:rPr>
        <w:t>Guidelines.</w:t>
      </w:r>
    </w:p>
    <w:p>
      <w:pPr>
        <w:pStyle w:val="BodyText"/>
        <w:spacing w:before="121"/>
        <w:ind w:left="219" w:right="262"/>
        <w:jc w:val="both"/>
      </w:pPr>
      <w:r>
        <w:rPr/>
        <w:t>The method for estimating emissions from decay assumes that all biomass decays over a period of 10 years. For reporting purposes countries have two options: to report all emissions from decay in one year, recognizing that in reality they occur over a 10 year period, or report all emission from decay on an annual basis, estimating the rate as one tenth of the totals in Equation 3.4.16. If countries choose the latter option, they should add a multiplication factor of 0.10 to Equations</w:t>
      </w:r>
      <w:r>
        <w:rPr>
          <w:spacing w:val="-2"/>
        </w:rPr>
        <w:t> </w:t>
      </w:r>
      <w:r>
        <w:rPr/>
        <w:t>3.4.16.</w:t>
      </w:r>
    </w:p>
    <w:p>
      <w:pPr>
        <w:pStyle w:val="BodyText"/>
        <w:spacing w:before="119"/>
        <w:ind w:left="219" w:right="268"/>
        <w:jc w:val="both"/>
      </w:pPr>
      <w:r>
        <w:rPr>
          <w:b/>
        </w:rPr>
        <w:t>Tier 3: </w:t>
      </w:r>
      <w:r>
        <w:rPr/>
        <w:t>Under Tier 3, all parameters should be country-defined using more accurate values rather than the defaults.</w:t>
      </w:r>
    </w:p>
    <w:p>
      <w:pPr>
        <w:pStyle w:val="BodyText"/>
        <w:spacing w:before="1" w:after="1"/>
        <w:rPr>
          <w:sz w:val="11"/>
        </w:rPr>
      </w:pPr>
    </w:p>
    <w:tbl>
      <w:tblPr>
        <w:tblW w:w="0" w:type="auto"/>
        <w:jc w:val="left"/>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42"/>
        <w:gridCol w:w="3259"/>
        <w:gridCol w:w="2352"/>
      </w:tblGrid>
      <w:tr>
        <w:trPr>
          <w:trHeight w:val="534" w:hRule="atLeast"/>
        </w:trPr>
        <w:tc>
          <w:tcPr>
            <w:tcW w:w="8253" w:type="dxa"/>
            <w:gridSpan w:val="3"/>
            <w:tcBorders>
              <w:bottom w:val="double" w:sz="1" w:space="0" w:color="000000"/>
            </w:tcBorders>
          </w:tcPr>
          <w:p>
            <w:pPr>
              <w:pStyle w:val="TableParagraph"/>
              <w:spacing w:line="207" w:lineRule="exact" w:before="59"/>
              <w:ind w:left="1080" w:right="1074"/>
              <w:jc w:val="center"/>
              <w:rPr>
                <w:b/>
                <w:sz w:val="18"/>
              </w:rPr>
            </w:pPr>
            <w:r>
              <w:rPr>
                <w:b/>
                <w:sz w:val="18"/>
              </w:rPr>
              <w:t>T</w:t>
            </w:r>
            <w:r>
              <w:rPr>
                <w:b/>
                <w:sz w:val="14"/>
              </w:rPr>
              <w:t>ABLE </w:t>
            </w:r>
            <w:r>
              <w:rPr>
                <w:b/>
                <w:sz w:val="18"/>
              </w:rPr>
              <w:t>3.4.9</w:t>
            </w:r>
          </w:p>
          <w:p>
            <w:pPr>
              <w:pStyle w:val="TableParagraph"/>
              <w:spacing w:line="207" w:lineRule="exact"/>
              <w:ind w:left="1082" w:right="1074"/>
              <w:jc w:val="center"/>
              <w:rPr>
                <w:b/>
                <w:sz w:val="14"/>
              </w:rPr>
            </w:pPr>
            <w:r>
              <w:rPr>
                <w:b/>
                <w:sz w:val="18"/>
              </w:rPr>
              <w:t>D</w:t>
            </w:r>
            <w:r>
              <w:rPr>
                <w:b/>
                <w:sz w:val="14"/>
              </w:rPr>
              <w:t>EFAULT BIOMASS CARBON STOCKS PRESENT ON LAND CONVERTED TO GRASSLAND</w:t>
            </w:r>
          </w:p>
        </w:tc>
      </w:tr>
      <w:tr>
        <w:trPr>
          <w:trHeight w:val="649" w:hRule="atLeast"/>
        </w:trPr>
        <w:tc>
          <w:tcPr>
            <w:tcW w:w="2642" w:type="dxa"/>
            <w:tcBorders>
              <w:top w:val="double" w:sz="1" w:space="0" w:color="000000"/>
              <w:right w:val="single" w:sz="6" w:space="0" w:color="000000"/>
            </w:tcBorders>
          </w:tcPr>
          <w:p>
            <w:pPr>
              <w:pStyle w:val="TableParagraph"/>
              <w:spacing w:before="4"/>
              <w:rPr>
                <w:sz w:val="19"/>
              </w:rPr>
            </w:pPr>
          </w:p>
          <w:p>
            <w:pPr>
              <w:pStyle w:val="TableParagraph"/>
              <w:ind w:left="434" w:right="425"/>
              <w:jc w:val="center"/>
              <w:rPr>
                <w:b/>
                <w:sz w:val="18"/>
              </w:rPr>
            </w:pPr>
            <w:r>
              <w:rPr>
                <w:b/>
                <w:sz w:val="18"/>
              </w:rPr>
              <w:t>IPCC Climate zone</w:t>
            </w:r>
          </w:p>
        </w:tc>
        <w:tc>
          <w:tcPr>
            <w:tcW w:w="3259" w:type="dxa"/>
            <w:tcBorders>
              <w:top w:val="double" w:sz="1" w:space="0" w:color="000000"/>
              <w:left w:val="single" w:sz="6" w:space="0" w:color="000000"/>
              <w:right w:val="single" w:sz="6" w:space="0" w:color="000000"/>
            </w:tcBorders>
          </w:tcPr>
          <w:p>
            <w:pPr>
              <w:pStyle w:val="TableParagraph"/>
              <w:spacing w:before="1"/>
              <w:ind w:left="171" w:right="162"/>
              <w:jc w:val="center"/>
              <w:rPr>
                <w:b/>
                <w:sz w:val="18"/>
              </w:rPr>
            </w:pPr>
            <w:r>
              <w:rPr>
                <w:b/>
                <w:sz w:val="18"/>
              </w:rPr>
              <w:t>Total (above- and belowground) non- woody biomass</w:t>
            </w:r>
          </w:p>
          <w:p>
            <w:pPr>
              <w:pStyle w:val="TableParagraph"/>
              <w:spacing w:line="206" w:lineRule="exact"/>
              <w:ind w:left="171" w:right="161"/>
              <w:jc w:val="center"/>
              <w:rPr>
                <w:b/>
                <w:sz w:val="18"/>
              </w:rPr>
            </w:pPr>
            <w:r>
              <w:rPr>
                <w:b/>
                <w:sz w:val="18"/>
              </w:rPr>
              <w:t>(tonnes d.m. ha</w:t>
            </w:r>
            <w:r>
              <w:rPr>
                <w:b/>
                <w:sz w:val="18"/>
                <w:vertAlign w:val="superscript"/>
              </w:rPr>
              <w:t>-1</w:t>
            </w:r>
            <w:r>
              <w:rPr>
                <w:b/>
                <w:sz w:val="18"/>
                <w:vertAlign w:val="baseline"/>
              </w:rPr>
              <w:t>)</w:t>
            </w:r>
          </w:p>
        </w:tc>
        <w:tc>
          <w:tcPr>
            <w:tcW w:w="2352" w:type="dxa"/>
            <w:tcBorders>
              <w:top w:val="double" w:sz="1" w:space="0" w:color="000000"/>
              <w:left w:val="single" w:sz="6" w:space="0" w:color="000000"/>
            </w:tcBorders>
          </w:tcPr>
          <w:p>
            <w:pPr>
              <w:pStyle w:val="TableParagraph"/>
              <w:spacing w:before="61"/>
              <w:ind w:left="897"/>
              <w:rPr>
                <w:b/>
                <w:sz w:val="18"/>
              </w:rPr>
            </w:pPr>
            <w:r>
              <w:rPr>
                <w:b/>
                <w:sz w:val="18"/>
              </w:rPr>
              <w:t>Error </w:t>
            </w:r>
            <w:r>
              <w:rPr>
                <w:b/>
                <w:sz w:val="18"/>
                <w:vertAlign w:val="superscript"/>
              </w:rPr>
              <w:t>1</w:t>
            </w:r>
          </w:p>
        </w:tc>
      </w:tr>
      <w:tr>
        <w:trPr>
          <w:trHeight w:val="330" w:hRule="atLeast"/>
        </w:trPr>
        <w:tc>
          <w:tcPr>
            <w:tcW w:w="2642" w:type="dxa"/>
            <w:tcBorders>
              <w:right w:val="single" w:sz="6" w:space="0" w:color="000000"/>
            </w:tcBorders>
          </w:tcPr>
          <w:p>
            <w:pPr>
              <w:pStyle w:val="TableParagraph"/>
              <w:spacing w:before="57"/>
              <w:ind w:left="437" w:right="425"/>
              <w:jc w:val="center"/>
              <w:rPr>
                <w:sz w:val="18"/>
              </w:rPr>
            </w:pPr>
            <w:r>
              <w:rPr>
                <w:sz w:val="18"/>
              </w:rPr>
              <w:t>Boreal - Dry &amp; Wet </w:t>
            </w:r>
            <w:r>
              <w:rPr>
                <w:sz w:val="18"/>
                <w:vertAlign w:val="superscript"/>
              </w:rPr>
              <w:t>2</w:t>
            </w:r>
          </w:p>
        </w:tc>
        <w:tc>
          <w:tcPr>
            <w:tcW w:w="3259" w:type="dxa"/>
            <w:tcBorders>
              <w:left w:val="single" w:sz="6" w:space="0" w:color="000000"/>
              <w:right w:val="single" w:sz="6" w:space="0" w:color="000000"/>
            </w:tcBorders>
          </w:tcPr>
          <w:p>
            <w:pPr>
              <w:pStyle w:val="TableParagraph"/>
              <w:spacing w:before="57"/>
              <w:ind w:left="1512"/>
              <w:rPr>
                <w:sz w:val="18"/>
              </w:rPr>
            </w:pPr>
            <w:r>
              <w:rPr>
                <w:sz w:val="18"/>
              </w:rPr>
              <w:t>8.5</w:t>
            </w:r>
          </w:p>
        </w:tc>
        <w:tc>
          <w:tcPr>
            <w:tcW w:w="2352" w:type="dxa"/>
            <w:tcBorders>
              <w:left w:val="single" w:sz="6" w:space="0" w:color="000000"/>
            </w:tcBorders>
          </w:tcPr>
          <w:p>
            <w:pPr>
              <w:pStyle w:val="TableParagraph"/>
              <w:spacing w:before="57"/>
              <w:ind w:left="934"/>
              <w:rPr>
                <w:sz w:val="18"/>
              </w:rPr>
            </w:pPr>
            <w:r>
              <w:rPr>
                <w:sz w:val="18"/>
                <w:u w:val="single"/>
              </w:rPr>
              <w:t>+</w:t>
            </w:r>
            <w:r>
              <w:rPr>
                <w:sz w:val="18"/>
              </w:rPr>
              <w:t> 75%</w:t>
            </w:r>
          </w:p>
        </w:tc>
      </w:tr>
      <w:tr>
        <w:trPr>
          <w:trHeight w:val="328" w:hRule="atLeast"/>
        </w:trPr>
        <w:tc>
          <w:tcPr>
            <w:tcW w:w="2642" w:type="dxa"/>
            <w:tcBorders>
              <w:right w:val="single" w:sz="6" w:space="0" w:color="000000"/>
            </w:tcBorders>
          </w:tcPr>
          <w:p>
            <w:pPr>
              <w:pStyle w:val="TableParagraph"/>
              <w:spacing w:before="57"/>
              <w:ind w:left="440" w:right="424"/>
              <w:jc w:val="center"/>
              <w:rPr>
                <w:sz w:val="18"/>
              </w:rPr>
            </w:pPr>
            <w:r>
              <w:rPr>
                <w:sz w:val="18"/>
              </w:rPr>
              <w:t>Cold Temperate - Dry</w:t>
            </w:r>
          </w:p>
        </w:tc>
        <w:tc>
          <w:tcPr>
            <w:tcW w:w="3259" w:type="dxa"/>
            <w:tcBorders>
              <w:left w:val="single" w:sz="6" w:space="0" w:color="000000"/>
              <w:right w:val="single" w:sz="6" w:space="0" w:color="000000"/>
            </w:tcBorders>
          </w:tcPr>
          <w:p>
            <w:pPr>
              <w:pStyle w:val="TableParagraph"/>
              <w:spacing w:before="57"/>
              <w:ind w:left="1512"/>
              <w:rPr>
                <w:sz w:val="18"/>
              </w:rPr>
            </w:pPr>
            <w:r>
              <w:rPr>
                <w:sz w:val="18"/>
              </w:rPr>
              <w:t>6.5</w:t>
            </w:r>
          </w:p>
        </w:tc>
        <w:tc>
          <w:tcPr>
            <w:tcW w:w="2352" w:type="dxa"/>
            <w:tcBorders>
              <w:left w:val="single" w:sz="6" w:space="0" w:color="000000"/>
            </w:tcBorders>
          </w:tcPr>
          <w:p>
            <w:pPr>
              <w:pStyle w:val="TableParagraph"/>
              <w:spacing w:before="57"/>
              <w:ind w:left="934"/>
              <w:rPr>
                <w:sz w:val="18"/>
              </w:rPr>
            </w:pPr>
            <w:r>
              <w:rPr>
                <w:sz w:val="18"/>
                <w:u w:val="single"/>
              </w:rPr>
              <w:t>+</w:t>
            </w:r>
            <w:r>
              <w:rPr>
                <w:sz w:val="18"/>
              </w:rPr>
              <w:t> 75%</w:t>
            </w:r>
          </w:p>
        </w:tc>
      </w:tr>
      <w:tr>
        <w:trPr>
          <w:trHeight w:val="330" w:hRule="atLeast"/>
        </w:trPr>
        <w:tc>
          <w:tcPr>
            <w:tcW w:w="2642" w:type="dxa"/>
            <w:tcBorders>
              <w:right w:val="single" w:sz="6" w:space="0" w:color="000000"/>
            </w:tcBorders>
          </w:tcPr>
          <w:p>
            <w:pPr>
              <w:pStyle w:val="TableParagraph"/>
              <w:spacing w:before="57"/>
              <w:ind w:left="436" w:right="425"/>
              <w:jc w:val="center"/>
              <w:rPr>
                <w:sz w:val="18"/>
              </w:rPr>
            </w:pPr>
            <w:r>
              <w:rPr>
                <w:sz w:val="18"/>
              </w:rPr>
              <w:t>Cold Temperate -Wet</w:t>
            </w:r>
          </w:p>
        </w:tc>
        <w:tc>
          <w:tcPr>
            <w:tcW w:w="3259" w:type="dxa"/>
            <w:tcBorders>
              <w:left w:val="single" w:sz="6" w:space="0" w:color="000000"/>
              <w:right w:val="single" w:sz="6" w:space="0" w:color="000000"/>
            </w:tcBorders>
          </w:tcPr>
          <w:p>
            <w:pPr>
              <w:pStyle w:val="TableParagraph"/>
              <w:spacing w:before="57"/>
              <w:ind w:left="1469"/>
              <w:rPr>
                <w:sz w:val="18"/>
              </w:rPr>
            </w:pPr>
            <w:r>
              <w:rPr>
                <w:sz w:val="18"/>
              </w:rPr>
              <w:t>13.6</w:t>
            </w:r>
          </w:p>
        </w:tc>
        <w:tc>
          <w:tcPr>
            <w:tcW w:w="2352" w:type="dxa"/>
            <w:tcBorders>
              <w:left w:val="single" w:sz="6" w:space="0" w:color="000000"/>
            </w:tcBorders>
          </w:tcPr>
          <w:p>
            <w:pPr>
              <w:pStyle w:val="TableParagraph"/>
              <w:spacing w:before="57"/>
              <w:ind w:left="934"/>
              <w:rPr>
                <w:sz w:val="18"/>
              </w:rPr>
            </w:pPr>
            <w:r>
              <w:rPr>
                <w:sz w:val="18"/>
                <w:u w:val="single"/>
              </w:rPr>
              <w:t>+</w:t>
            </w:r>
            <w:r>
              <w:rPr>
                <w:sz w:val="18"/>
              </w:rPr>
              <w:t> 75%</w:t>
            </w:r>
          </w:p>
        </w:tc>
      </w:tr>
      <w:tr>
        <w:trPr>
          <w:trHeight w:val="330" w:hRule="atLeast"/>
        </w:trPr>
        <w:tc>
          <w:tcPr>
            <w:tcW w:w="2642" w:type="dxa"/>
            <w:tcBorders>
              <w:right w:val="single" w:sz="6" w:space="0" w:color="000000"/>
            </w:tcBorders>
          </w:tcPr>
          <w:p>
            <w:pPr>
              <w:pStyle w:val="TableParagraph"/>
              <w:spacing w:before="57"/>
              <w:ind w:left="440" w:right="425"/>
              <w:jc w:val="center"/>
              <w:rPr>
                <w:sz w:val="18"/>
              </w:rPr>
            </w:pPr>
            <w:r>
              <w:rPr>
                <w:sz w:val="18"/>
              </w:rPr>
              <w:t>Warm Temperate – Dry</w:t>
            </w:r>
          </w:p>
        </w:tc>
        <w:tc>
          <w:tcPr>
            <w:tcW w:w="3259" w:type="dxa"/>
            <w:tcBorders>
              <w:left w:val="single" w:sz="6" w:space="0" w:color="000000"/>
              <w:right w:val="single" w:sz="6" w:space="0" w:color="000000"/>
            </w:tcBorders>
          </w:tcPr>
          <w:p>
            <w:pPr>
              <w:pStyle w:val="TableParagraph"/>
              <w:spacing w:before="57"/>
              <w:ind w:left="1512"/>
              <w:rPr>
                <w:sz w:val="18"/>
              </w:rPr>
            </w:pPr>
            <w:r>
              <w:rPr>
                <w:sz w:val="18"/>
              </w:rPr>
              <w:t>6.1</w:t>
            </w:r>
          </w:p>
        </w:tc>
        <w:tc>
          <w:tcPr>
            <w:tcW w:w="2352" w:type="dxa"/>
            <w:tcBorders>
              <w:left w:val="single" w:sz="6" w:space="0" w:color="000000"/>
            </w:tcBorders>
          </w:tcPr>
          <w:p>
            <w:pPr>
              <w:pStyle w:val="TableParagraph"/>
              <w:spacing w:before="57"/>
              <w:ind w:left="933"/>
              <w:rPr>
                <w:sz w:val="18"/>
              </w:rPr>
            </w:pPr>
            <w:r>
              <w:rPr>
                <w:sz w:val="18"/>
                <w:u w:val="single"/>
              </w:rPr>
              <w:t>+</w:t>
            </w:r>
            <w:r>
              <w:rPr>
                <w:sz w:val="18"/>
              </w:rPr>
              <w:t> 75%</w:t>
            </w:r>
          </w:p>
        </w:tc>
      </w:tr>
      <w:tr>
        <w:trPr>
          <w:trHeight w:val="328" w:hRule="atLeast"/>
        </w:trPr>
        <w:tc>
          <w:tcPr>
            <w:tcW w:w="2642" w:type="dxa"/>
            <w:tcBorders>
              <w:right w:val="single" w:sz="6" w:space="0" w:color="000000"/>
            </w:tcBorders>
          </w:tcPr>
          <w:p>
            <w:pPr>
              <w:pStyle w:val="TableParagraph"/>
              <w:spacing w:before="57"/>
              <w:ind w:left="436" w:right="425"/>
              <w:jc w:val="center"/>
              <w:rPr>
                <w:sz w:val="18"/>
              </w:rPr>
            </w:pPr>
            <w:r>
              <w:rPr>
                <w:sz w:val="18"/>
              </w:rPr>
              <w:t>Warm Temperate –Wet</w:t>
            </w:r>
          </w:p>
        </w:tc>
        <w:tc>
          <w:tcPr>
            <w:tcW w:w="3259" w:type="dxa"/>
            <w:tcBorders>
              <w:left w:val="single" w:sz="6" w:space="0" w:color="000000"/>
              <w:right w:val="single" w:sz="6" w:space="0" w:color="000000"/>
            </w:tcBorders>
          </w:tcPr>
          <w:p>
            <w:pPr>
              <w:pStyle w:val="TableParagraph"/>
              <w:spacing w:before="57"/>
              <w:ind w:left="1469"/>
              <w:rPr>
                <w:sz w:val="18"/>
              </w:rPr>
            </w:pPr>
            <w:r>
              <w:rPr>
                <w:sz w:val="18"/>
              </w:rPr>
              <w:t>13.5</w:t>
            </w:r>
          </w:p>
        </w:tc>
        <w:tc>
          <w:tcPr>
            <w:tcW w:w="2352" w:type="dxa"/>
            <w:tcBorders>
              <w:left w:val="single" w:sz="6" w:space="0" w:color="000000"/>
            </w:tcBorders>
          </w:tcPr>
          <w:p>
            <w:pPr>
              <w:pStyle w:val="TableParagraph"/>
              <w:spacing w:before="57"/>
              <w:ind w:left="934"/>
              <w:rPr>
                <w:sz w:val="18"/>
              </w:rPr>
            </w:pPr>
            <w:r>
              <w:rPr>
                <w:sz w:val="18"/>
                <w:u w:val="single"/>
              </w:rPr>
              <w:t>+</w:t>
            </w:r>
            <w:r>
              <w:rPr>
                <w:sz w:val="18"/>
              </w:rPr>
              <w:t> 75%</w:t>
            </w:r>
          </w:p>
        </w:tc>
      </w:tr>
      <w:tr>
        <w:trPr>
          <w:trHeight w:val="330" w:hRule="atLeast"/>
        </w:trPr>
        <w:tc>
          <w:tcPr>
            <w:tcW w:w="2642" w:type="dxa"/>
            <w:tcBorders>
              <w:right w:val="single" w:sz="6" w:space="0" w:color="000000"/>
            </w:tcBorders>
          </w:tcPr>
          <w:p>
            <w:pPr>
              <w:pStyle w:val="TableParagraph"/>
              <w:spacing w:before="57"/>
              <w:ind w:left="438" w:right="425"/>
              <w:jc w:val="center"/>
              <w:rPr>
                <w:sz w:val="18"/>
              </w:rPr>
            </w:pPr>
            <w:r>
              <w:rPr>
                <w:sz w:val="18"/>
              </w:rPr>
              <w:t>Tropical - Dry</w:t>
            </w:r>
          </w:p>
        </w:tc>
        <w:tc>
          <w:tcPr>
            <w:tcW w:w="3259" w:type="dxa"/>
            <w:tcBorders>
              <w:left w:val="single" w:sz="6" w:space="0" w:color="000000"/>
              <w:right w:val="single" w:sz="6" w:space="0" w:color="000000"/>
            </w:tcBorders>
          </w:tcPr>
          <w:p>
            <w:pPr>
              <w:pStyle w:val="TableParagraph"/>
              <w:spacing w:before="57"/>
              <w:ind w:left="1512"/>
              <w:rPr>
                <w:sz w:val="18"/>
              </w:rPr>
            </w:pPr>
            <w:r>
              <w:rPr>
                <w:sz w:val="18"/>
              </w:rPr>
              <w:t>8.7</w:t>
            </w:r>
          </w:p>
        </w:tc>
        <w:tc>
          <w:tcPr>
            <w:tcW w:w="2352" w:type="dxa"/>
            <w:tcBorders>
              <w:left w:val="single" w:sz="6" w:space="0" w:color="000000"/>
            </w:tcBorders>
          </w:tcPr>
          <w:p>
            <w:pPr>
              <w:pStyle w:val="TableParagraph"/>
              <w:spacing w:before="57"/>
              <w:ind w:left="933"/>
              <w:rPr>
                <w:sz w:val="18"/>
              </w:rPr>
            </w:pPr>
            <w:r>
              <w:rPr>
                <w:sz w:val="18"/>
                <w:u w:val="single"/>
              </w:rPr>
              <w:t>+</w:t>
            </w:r>
            <w:r>
              <w:rPr>
                <w:sz w:val="18"/>
              </w:rPr>
              <w:t> 75%</w:t>
            </w:r>
          </w:p>
        </w:tc>
      </w:tr>
      <w:tr>
        <w:trPr>
          <w:trHeight w:val="330" w:hRule="atLeast"/>
        </w:trPr>
        <w:tc>
          <w:tcPr>
            <w:tcW w:w="2642" w:type="dxa"/>
            <w:tcBorders>
              <w:right w:val="single" w:sz="6" w:space="0" w:color="000000"/>
            </w:tcBorders>
          </w:tcPr>
          <w:p>
            <w:pPr>
              <w:pStyle w:val="TableParagraph"/>
              <w:spacing w:before="57"/>
              <w:ind w:left="434" w:right="425"/>
              <w:jc w:val="center"/>
              <w:rPr>
                <w:sz w:val="18"/>
              </w:rPr>
            </w:pPr>
            <w:r>
              <w:rPr>
                <w:sz w:val="18"/>
              </w:rPr>
              <w:t>Tropical - Moist &amp; Wet</w:t>
            </w:r>
          </w:p>
        </w:tc>
        <w:tc>
          <w:tcPr>
            <w:tcW w:w="3259" w:type="dxa"/>
            <w:tcBorders>
              <w:left w:val="single" w:sz="6" w:space="0" w:color="000000"/>
              <w:right w:val="single" w:sz="6" w:space="0" w:color="000000"/>
            </w:tcBorders>
          </w:tcPr>
          <w:p>
            <w:pPr>
              <w:pStyle w:val="TableParagraph"/>
              <w:spacing w:before="57"/>
              <w:ind w:left="1469"/>
              <w:rPr>
                <w:sz w:val="18"/>
              </w:rPr>
            </w:pPr>
            <w:r>
              <w:rPr>
                <w:sz w:val="18"/>
              </w:rPr>
              <w:t>16.1</w:t>
            </w:r>
          </w:p>
        </w:tc>
        <w:tc>
          <w:tcPr>
            <w:tcW w:w="2352" w:type="dxa"/>
            <w:tcBorders>
              <w:left w:val="single" w:sz="6" w:space="0" w:color="000000"/>
            </w:tcBorders>
          </w:tcPr>
          <w:p>
            <w:pPr>
              <w:pStyle w:val="TableParagraph"/>
              <w:spacing w:before="57"/>
              <w:ind w:left="933"/>
              <w:rPr>
                <w:sz w:val="18"/>
              </w:rPr>
            </w:pPr>
            <w:r>
              <w:rPr>
                <w:sz w:val="18"/>
                <w:u w:val="single"/>
              </w:rPr>
              <w:t>+</w:t>
            </w:r>
            <w:r>
              <w:rPr>
                <w:sz w:val="18"/>
              </w:rPr>
              <w:t> 75%</w:t>
            </w:r>
          </w:p>
        </w:tc>
      </w:tr>
      <w:tr>
        <w:trPr>
          <w:trHeight w:val="750" w:hRule="atLeast"/>
        </w:trPr>
        <w:tc>
          <w:tcPr>
            <w:tcW w:w="8253" w:type="dxa"/>
            <w:gridSpan w:val="3"/>
          </w:tcPr>
          <w:p>
            <w:pPr>
              <w:pStyle w:val="TableParagraph"/>
              <w:spacing w:before="21"/>
              <w:ind w:left="107"/>
              <w:rPr>
                <w:sz w:val="16"/>
              </w:rPr>
            </w:pPr>
            <w:r>
              <w:rPr>
                <w:position w:val="7"/>
                <w:sz w:val="10"/>
              </w:rPr>
              <w:t>1 </w:t>
            </w:r>
            <w:r>
              <w:rPr>
                <w:sz w:val="16"/>
              </w:rPr>
              <w:t>Represents a nominal estimate of error, equivalent to two times standard deviation, as a percentage of the mean.</w:t>
            </w:r>
          </w:p>
          <w:p>
            <w:pPr>
              <w:pStyle w:val="TableParagraph"/>
              <w:spacing w:before="85"/>
              <w:ind w:left="210" w:right="653" w:hanging="104"/>
              <w:rPr>
                <w:sz w:val="16"/>
              </w:rPr>
            </w:pPr>
            <w:r>
              <w:rPr>
                <w:position w:val="7"/>
                <w:sz w:val="10"/>
              </w:rPr>
              <w:t>2 </w:t>
            </w:r>
            <w:r>
              <w:rPr>
                <w:sz w:val="16"/>
              </w:rPr>
              <w:t>Due to limited data, dry and moist zones for the boreal temperature regime and moist and wet zones for the tropical temperature regime were combined.</w:t>
            </w:r>
          </w:p>
        </w:tc>
      </w:tr>
    </w:tbl>
    <w:p>
      <w:pPr>
        <w:pStyle w:val="BodyText"/>
        <w:rPr>
          <w:sz w:val="22"/>
        </w:rPr>
      </w:pPr>
    </w:p>
    <w:p>
      <w:pPr>
        <w:pStyle w:val="Heading6"/>
        <w:numPr>
          <w:ilvl w:val="5"/>
          <w:numId w:val="71"/>
        </w:numPr>
        <w:tabs>
          <w:tab w:pos="1449" w:val="left" w:leader="none"/>
        </w:tabs>
        <w:spacing w:line="240" w:lineRule="auto" w:before="192" w:after="0"/>
        <w:ind w:left="1448" w:right="0" w:hanging="1229"/>
        <w:jc w:val="left"/>
      </w:pPr>
      <w:r>
        <w:rPr/>
        <w:t>3 </w:t>
      </w:r>
      <w:r>
        <w:rPr>
          <w:spacing w:val="16"/>
        </w:rPr>
        <w:t>Choice </w:t>
      </w:r>
      <w:r>
        <w:rPr>
          <w:spacing w:val="9"/>
        </w:rPr>
        <w:t>of </w:t>
      </w:r>
      <w:r>
        <w:rPr>
          <w:spacing w:val="16"/>
        </w:rPr>
        <w:t>Activity</w:t>
      </w:r>
      <w:r>
        <w:rPr>
          <w:spacing w:val="15"/>
        </w:rPr>
        <w:t> </w:t>
      </w:r>
      <w:r>
        <w:rPr>
          <w:spacing w:val="19"/>
        </w:rPr>
        <w:t>Data</w:t>
      </w:r>
    </w:p>
    <w:p>
      <w:pPr>
        <w:pStyle w:val="BodyText"/>
        <w:spacing w:before="56"/>
        <w:ind w:left="219" w:right="262"/>
        <w:jc w:val="both"/>
      </w:pPr>
      <w:r>
        <w:rPr/>
        <w:t>All tiers require estimates of land areas converted to grassland. The same area data should be used for biomass calculations and the soil estimates described in Section 3.4.2.2. If necessary, area data used in the soils analysis can be aggregated to match the spatial scale required for lower order estimates of biomass; however, at higher tiers, stratification should take account of major soil types. Area data should be obtained using the methods described in Chapter 2. Higher tiers require greater detail but the minimum requirement for inventories to be consistent with the </w:t>
      </w:r>
      <w:r>
        <w:rPr>
          <w:i/>
        </w:rPr>
        <w:t>IPCC Guidelines </w:t>
      </w:r>
      <w:r>
        <w:rPr/>
        <w:t>is that the areas of forest conversion can be identified separately. This is because forest will usually have higher carbon density before conversion. This implies that at least partial knowledge of the land-use change matrix and therefore, where Chapter 2 Approaches 1 and 2 are being used, supplementary surveys may be needed to identify how much of the land being converted to grassland came from forest. As pointed out in Chapter 2, where surveys are being set up, it will often be more accurate to seek to establish directly areas under conversion, than to estimate these from the differences in total land areas under particular uses at different times.</w:t>
      </w:r>
    </w:p>
    <w:p>
      <w:pPr>
        <w:pStyle w:val="BodyText"/>
        <w:spacing w:before="120"/>
        <w:ind w:left="219" w:right="264"/>
        <w:jc w:val="both"/>
      </w:pPr>
      <w:r>
        <w:rPr>
          <w:b/>
        </w:rPr>
        <w:t>Tier 1: </w:t>
      </w:r>
      <w:r>
        <w:rPr/>
        <w:t>At this level, one type of activity data is needed: estimates of areas converted to grassland from initial land uses (i.e., forest land, cropland, settlements, etc.) to final grassland type (A</w:t>
      </w:r>
      <w:r>
        <w:rPr>
          <w:vertAlign w:val="subscript"/>
        </w:rPr>
        <w:t>conversion</w:t>
      </w:r>
      <w:r>
        <w:rPr>
          <w:vertAlign w:val="baseline"/>
        </w:rPr>
        <w:t>). The methodology assumes that area estimates are based on a one-year time frame. If area estimates are assessed over longer time frames, they should be converted to average annual areas to match the default carbon stock values provided. If countries do not have these data, partial samples may be extrapolated to the entire land base or historic estimates of conversions may be extrapolated over time based on the judgement of country experts. At a minimum,</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3"/>
        <w:jc w:val="both"/>
      </w:pPr>
      <w:r>
        <w:rPr/>
        <w:t>countries can rely on information on average deforestation rates and land-use conversions to grassland from international sources, including the FAO. Tier 1 approaches may use average annual rates of conversion and estimated areas in place of direct estimates.</w:t>
      </w:r>
    </w:p>
    <w:p>
      <w:pPr>
        <w:pStyle w:val="BodyText"/>
        <w:spacing w:before="121"/>
        <w:ind w:left="219" w:right="264"/>
        <w:jc w:val="both"/>
      </w:pPr>
      <w:r>
        <w:rPr>
          <w:b/>
        </w:rPr>
        <w:t>Tier 2: </w:t>
      </w:r>
      <w:r>
        <w:rPr/>
        <w:t>Countries should strive to use actual area estimates for all possible transitions from initial land use to final grassland type. Complete reporting can be accomplished either through analysis of periodic remotely sensed images of land use and land cover patterns, and/or periodic ground-based sampling of land use patterns, or hybrid inventory</w:t>
      </w:r>
      <w:r>
        <w:rPr>
          <w:spacing w:val="-3"/>
        </w:rPr>
        <w:t> </w:t>
      </w:r>
      <w:r>
        <w:rPr/>
        <w:t>systems.</w:t>
      </w:r>
    </w:p>
    <w:p>
      <w:pPr>
        <w:pStyle w:val="BodyText"/>
        <w:spacing w:before="120"/>
        <w:ind w:left="219" w:right="265"/>
        <w:jc w:val="both"/>
      </w:pPr>
      <w:r>
        <w:rPr>
          <w:b/>
        </w:rPr>
        <w:t>Tier 3: </w:t>
      </w:r>
      <w:r>
        <w:rPr/>
        <w:t>Activity data used in Tier 3 calculations should be a full accounting of all land use transitions to grassland and be disaggregate to account for different conditions within a country. Disaggregation can occur along political (county, province, etc.), biome, climate, or on a combination of these parameters. In many cases countries may have information on multi-year trends in land conversion (from periodic sample-based or  remotely sensed inventories of land use and land</w:t>
      </w:r>
      <w:r>
        <w:rPr>
          <w:spacing w:val="-3"/>
        </w:rPr>
        <w:t> </w:t>
      </w:r>
      <w:r>
        <w:rPr/>
        <w:t>cover).</w:t>
      </w:r>
    </w:p>
    <w:p>
      <w:pPr>
        <w:pStyle w:val="BodyText"/>
        <w:spacing w:before="3"/>
        <w:rPr>
          <w:sz w:val="21"/>
        </w:rPr>
      </w:pPr>
    </w:p>
    <w:p>
      <w:pPr>
        <w:pStyle w:val="Heading6"/>
        <w:numPr>
          <w:ilvl w:val="5"/>
          <w:numId w:val="71"/>
        </w:numPr>
        <w:tabs>
          <w:tab w:pos="1451" w:val="left" w:leader="none"/>
        </w:tabs>
        <w:spacing w:line="240" w:lineRule="auto" w:before="0" w:after="0"/>
        <w:ind w:left="1450" w:right="0" w:hanging="1231"/>
        <w:jc w:val="both"/>
      </w:pPr>
      <w:r>
        <w:rPr/>
        <w:t>4 </w:t>
      </w:r>
      <w:r>
        <w:rPr>
          <w:spacing w:val="17"/>
        </w:rPr>
        <w:t>Uncertainty</w:t>
      </w:r>
      <w:r>
        <w:rPr>
          <w:spacing w:val="24"/>
        </w:rPr>
        <w:t> </w:t>
      </w:r>
      <w:r>
        <w:rPr>
          <w:spacing w:val="18"/>
        </w:rPr>
        <w:t>Assessment</w:t>
      </w:r>
    </w:p>
    <w:p>
      <w:pPr>
        <w:pStyle w:val="BodyText"/>
        <w:spacing w:before="56"/>
        <w:ind w:left="219" w:right="266"/>
        <w:jc w:val="both"/>
      </w:pPr>
      <w:r>
        <w:rPr>
          <w:b/>
        </w:rPr>
        <w:t>Tier 1: </w:t>
      </w:r>
      <w:r>
        <w:rPr/>
        <w:t>The sources of uncertainty in this method are from the use of global or national average rates of conversion and course estimates of land areas converted to grassland. In addition, reliance on default parameters for carbon stocks in initial and final conditions contributes to relatively high degrees of uncertainty. The default values in this method have corresponding error ranges associated with them and the values are included in default</w:t>
      </w:r>
      <w:r>
        <w:rPr>
          <w:spacing w:val="-1"/>
        </w:rPr>
        <w:t> </w:t>
      </w:r>
      <w:r>
        <w:rPr/>
        <w:t>tables.</w:t>
      </w:r>
    </w:p>
    <w:p>
      <w:pPr>
        <w:pStyle w:val="BodyText"/>
        <w:spacing w:before="120"/>
        <w:ind w:left="219" w:right="264" w:firstLine="50"/>
        <w:jc w:val="both"/>
      </w:pPr>
      <w:r>
        <w:rPr>
          <w:b/>
        </w:rPr>
        <w:t>Tier 2: </w:t>
      </w:r>
      <w:r>
        <w:rPr/>
        <w:t>The use of actual area estimates rather than average rates of conversion will improve the accuracy of estimates. In addition, the tracking of each land area for all possible land-use transitions will enable more transparent accounting and allow experts to identify gaps and areas where land areas are accounted for multiple times. Finally, a Tier 2 method uses at least some country-defined defaults, which will improve the accuracy of estimates, provided they better represent conditions relevant to the country. Probability density functions (i.e. providing mean and variance estimates) can be derived for all country-defined parameters. Such data can be used in advanced uncertainty analyses such as Monte Carlo simulations. Refer to Chapter 5 (Section 5.2) of this report for guidance on developing estimates of sample-based uncertainties. At a minimum, Tier 2 methods should provide error ranges in the form of percent standard deviations for each country-defined parameter.</w:t>
      </w:r>
    </w:p>
    <w:p>
      <w:pPr>
        <w:pStyle w:val="BodyText"/>
        <w:spacing w:before="119"/>
        <w:ind w:left="219" w:right="265"/>
        <w:jc w:val="both"/>
      </w:pPr>
      <w:r>
        <w:rPr>
          <w:b/>
        </w:rPr>
        <w:t>Tier 3: </w:t>
      </w:r>
      <w:r>
        <w:rPr/>
        <w:t>Activity data from a land use and management inventory system should provide a basis to assign estimates of uncertainty to areas associated with land-use changes by use of various methods, including Monte Carlo simulations.</w:t>
      </w:r>
    </w:p>
    <w:p>
      <w:pPr>
        <w:pStyle w:val="BodyText"/>
        <w:rPr>
          <w:sz w:val="22"/>
        </w:rPr>
      </w:pPr>
    </w:p>
    <w:p>
      <w:pPr>
        <w:pStyle w:val="Heading6"/>
        <w:numPr>
          <w:ilvl w:val="3"/>
          <w:numId w:val="73"/>
        </w:numPr>
        <w:tabs>
          <w:tab w:pos="1660" w:val="left" w:leader="none"/>
        </w:tabs>
        <w:spacing w:line="240" w:lineRule="auto" w:before="149" w:after="0"/>
        <w:ind w:left="1659" w:right="0" w:hanging="1440"/>
        <w:jc w:val="both"/>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SOILS</w:t>
      </w:r>
    </w:p>
    <w:p>
      <w:pPr>
        <w:pStyle w:val="BodyText"/>
        <w:rPr>
          <w:b/>
          <w:sz w:val="29"/>
        </w:rPr>
      </w:pPr>
    </w:p>
    <w:p>
      <w:pPr>
        <w:pStyle w:val="ListParagraph"/>
        <w:numPr>
          <w:ilvl w:val="4"/>
          <w:numId w:val="73"/>
        </w:numPr>
        <w:tabs>
          <w:tab w:pos="1243" w:val="left" w:leader="none"/>
        </w:tabs>
        <w:spacing w:line="240" w:lineRule="auto" w:before="0" w:after="0"/>
        <w:ind w:left="1242" w:right="0" w:hanging="1023"/>
        <w:jc w:val="both"/>
        <w:rPr>
          <w:b/>
          <w:sz w:val="22"/>
        </w:rPr>
      </w:pPr>
      <w:r>
        <w:rPr>
          <w:b/>
          <w:sz w:val="22"/>
        </w:rPr>
        <w:t>1 </w:t>
      </w:r>
      <w:r>
        <w:rPr>
          <w:b/>
          <w:spacing w:val="17"/>
          <w:sz w:val="22"/>
        </w:rPr>
        <w:t>METHODOLOGICAL</w:t>
      </w:r>
      <w:r>
        <w:rPr>
          <w:b/>
          <w:spacing w:val="23"/>
          <w:sz w:val="22"/>
        </w:rPr>
        <w:t> </w:t>
      </w:r>
      <w:r>
        <w:rPr>
          <w:b/>
          <w:spacing w:val="16"/>
          <w:sz w:val="22"/>
        </w:rPr>
        <w:t>ISSUES</w:t>
      </w:r>
    </w:p>
    <w:p>
      <w:pPr>
        <w:pStyle w:val="BodyText"/>
        <w:spacing w:before="114"/>
        <w:ind w:left="219" w:right="263"/>
        <w:jc w:val="both"/>
      </w:pPr>
      <w:r>
        <w:rPr/>
        <w:t>Land conversion to grassland can occur from unmanaged land, including native, relatively undisturbed ecosystems (e.g. forest land, wetlands) and from intensively managed cropland. With conversion from forest land, disturbance associated with land clearing will usually result in losses of C in dead organic matter (surface litter and coarse woody debris). Any litter and coarse woody debris pools (estimated using the methods described in Section 3.2.2.2) should be assumed oxidized following land conversion and changes in soil organic matter C stocks should be estimated as described below.</w:t>
      </w:r>
    </w:p>
    <w:p>
      <w:pPr>
        <w:pStyle w:val="BodyText"/>
        <w:spacing w:before="120"/>
        <w:ind w:left="219"/>
        <w:jc w:val="both"/>
      </w:pPr>
      <w:r>
        <w:rPr/>
        <w:t>The total change in carbon stocks in soils on Lands Converted to Grassland is shown in Equation 3.4.17 below:</w:t>
      </w:r>
    </w:p>
    <w:p>
      <w:pPr>
        <w:pStyle w:val="BodyText"/>
        <w:spacing w:before="2"/>
        <w:rPr>
          <w:sz w:val="11"/>
        </w:rPr>
      </w:pPr>
      <w:r>
        <w:rPr/>
        <w:pict>
          <v:shape style="position:absolute;margin-left:91.960999pt;margin-top:9.139043pt;width:411.5pt;height:53.05pt;mso-position-horizontal-relative:page;mso-position-vertical-relative:paragraph;z-index:10496;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3.4.17</w:t>
                  </w:r>
                </w:p>
                <w:p>
                  <w:pPr>
                    <w:spacing w:before="0"/>
                    <w:ind w:left="67" w:right="68" w:firstLine="0"/>
                    <w:jc w:val="center"/>
                    <w:rPr>
                      <w:b/>
                      <w:sz w:val="20"/>
                    </w:rPr>
                  </w:pPr>
                  <w:r>
                    <w:rPr>
                      <w:b/>
                      <w:sz w:val="20"/>
                    </w:rPr>
                    <w:t>A</w:t>
                  </w:r>
                  <w:r>
                    <w:rPr>
                      <w:b/>
                      <w:sz w:val="16"/>
                    </w:rPr>
                    <w:t>NNUAL CHANGE IN CARBON STOCKS IN SOILS IN LAND CONVERTED TO GRASSLAND </w:t>
                  </w:r>
                  <w:r>
                    <w:rPr>
                      <w:b/>
                      <w:sz w:val="20"/>
                    </w:rPr>
                    <w:t>(LG)</w:t>
                  </w:r>
                </w:p>
                <w:p>
                  <w:pPr>
                    <w:spacing w:before="78"/>
                    <w:ind w:left="68" w:right="68" w:firstLine="0"/>
                    <w:jc w:val="center"/>
                    <w:rPr>
                      <w:sz w:val="13"/>
                    </w:rPr>
                  </w:pPr>
                  <w:r>
                    <w:rPr>
                      <w:position w:val="9"/>
                      <w:sz w:val="20"/>
                    </w:rPr>
                    <w:t>∆C</w:t>
                  </w:r>
                  <w:r>
                    <w:rPr>
                      <w:position w:val="6"/>
                      <w:sz w:val="13"/>
                    </w:rPr>
                    <w:t>LG</w:t>
                  </w:r>
                  <w:r>
                    <w:rPr>
                      <w:sz w:val="13"/>
                    </w:rPr>
                    <w:t>Soils </w:t>
                  </w:r>
                  <w:r>
                    <w:rPr>
                      <w:position w:val="9"/>
                      <w:sz w:val="20"/>
                    </w:rPr>
                    <w:t>= ∆C</w:t>
                  </w:r>
                  <w:r>
                    <w:rPr>
                      <w:position w:val="6"/>
                      <w:sz w:val="13"/>
                    </w:rPr>
                    <w:t>LG</w:t>
                  </w:r>
                  <w:r>
                    <w:rPr>
                      <w:sz w:val="13"/>
                    </w:rPr>
                    <w:t>Mineral </w:t>
                  </w:r>
                  <w:r>
                    <w:rPr>
                      <w:position w:val="9"/>
                      <w:sz w:val="20"/>
                    </w:rPr>
                    <w:t>– ∆C</w:t>
                  </w:r>
                  <w:r>
                    <w:rPr>
                      <w:position w:val="6"/>
                      <w:sz w:val="13"/>
                    </w:rPr>
                    <w:t>LG</w:t>
                  </w:r>
                  <w:r>
                    <w:rPr>
                      <w:sz w:val="13"/>
                    </w:rPr>
                    <w:t>Organic </w:t>
                  </w:r>
                  <w:r>
                    <w:rPr>
                      <w:position w:val="9"/>
                      <w:sz w:val="20"/>
                    </w:rPr>
                    <w:t>– ∆C</w:t>
                  </w:r>
                  <w:r>
                    <w:rPr>
                      <w:position w:val="6"/>
                      <w:sz w:val="13"/>
                    </w:rPr>
                    <w:t>LG</w:t>
                  </w:r>
                  <w:r>
                    <w:rPr>
                      <w:sz w:val="13"/>
                    </w:rPr>
                    <w:t>Lime</w:t>
                  </w:r>
                </w:p>
              </w:txbxContent>
            </v:textbox>
            <v:stroke dashstyle="solid"/>
            <w10:wrap type="topAndBottom"/>
          </v:shape>
        </w:pict>
      </w:r>
    </w:p>
    <w:p>
      <w:pPr>
        <w:pStyle w:val="BodyText"/>
        <w:spacing w:before="4"/>
        <w:ind w:left="219"/>
      </w:pPr>
      <w:r>
        <w:rPr/>
        <w:t>Where:</w:t>
      </w:r>
    </w:p>
    <w:p>
      <w:pPr>
        <w:pStyle w:val="BodyText"/>
        <w:spacing w:before="121"/>
        <w:ind w:left="785"/>
      </w:pPr>
      <w:r>
        <w:rPr/>
        <w:t>∆C</w:t>
      </w:r>
      <w:r>
        <w:rPr>
          <w:vertAlign w:val="subscript"/>
        </w:rPr>
        <w:t>LG</w:t>
      </w:r>
      <w:r>
        <w:rPr>
          <w:position w:val="-8"/>
          <w:sz w:val="13"/>
          <w:vertAlign w:val="baseline"/>
        </w:rPr>
        <w:t>Soils </w:t>
      </w:r>
      <w:r>
        <w:rPr>
          <w:vertAlign w:val="baseline"/>
        </w:rPr>
        <w:t>= annual change in stocks in soils in land converted to grassland, tonnes C yr</w:t>
      </w:r>
      <w:r>
        <w:rPr>
          <w:vertAlign w:val="superscript"/>
        </w:rPr>
        <w:t>-1</w:t>
      </w:r>
    </w:p>
    <w:p>
      <w:pPr>
        <w:pStyle w:val="BodyText"/>
        <w:spacing w:before="103"/>
        <w:ind w:left="785"/>
      </w:pPr>
      <w:r>
        <w:rPr/>
        <w:t>∆C</w:t>
      </w:r>
      <w:r>
        <w:rPr>
          <w:vertAlign w:val="subscript"/>
        </w:rPr>
        <w:t>LG</w:t>
      </w:r>
      <w:r>
        <w:rPr>
          <w:position w:val="-8"/>
          <w:sz w:val="13"/>
          <w:vertAlign w:val="baseline"/>
        </w:rPr>
        <w:t>Mineral </w:t>
      </w:r>
      <w:r>
        <w:rPr>
          <w:vertAlign w:val="baseline"/>
        </w:rPr>
        <w:t>= change in carbon stocks in mineral soils in land converted to grassland, tonnes C yr</w:t>
      </w:r>
      <w:r>
        <w:rPr>
          <w:vertAlign w:val="superscript"/>
        </w:rPr>
        <w:t>-1</w:t>
      </w:r>
    </w:p>
    <w:p>
      <w:pPr>
        <w:pStyle w:val="BodyText"/>
        <w:spacing w:line="228" w:lineRule="auto" w:before="111"/>
        <w:ind w:left="1863" w:hanging="1078"/>
      </w:pPr>
      <w:r>
        <w:rPr/>
        <w:t>∆C</w:t>
      </w:r>
      <w:r>
        <w:rPr>
          <w:vertAlign w:val="subscript"/>
        </w:rPr>
        <w:t>LG</w:t>
      </w:r>
      <w:r>
        <w:rPr>
          <w:position w:val="-8"/>
          <w:sz w:val="13"/>
          <w:vertAlign w:val="baseline"/>
        </w:rPr>
        <w:t>Organic </w:t>
      </w:r>
      <w:r>
        <w:rPr>
          <w:vertAlign w:val="baseline"/>
        </w:rPr>
        <w:t>= annual C emissions from organic soils converted to grassland (estimated as net annual flux), tonnes C yr</w:t>
      </w:r>
      <w:r>
        <w:rPr>
          <w:vertAlign w:val="superscript"/>
        </w:rPr>
        <w:t>-1</w:t>
      </w:r>
    </w:p>
    <w:p>
      <w:pPr>
        <w:spacing w:after="0" w:line="228" w:lineRule="auto"/>
        <w:sectPr>
          <w:pgSz w:w="11900" w:h="16840"/>
          <w:pgMar w:header="230" w:footer="408" w:top="560" w:bottom="600" w:left="1200" w:right="1140"/>
        </w:sectPr>
      </w:pPr>
    </w:p>
    <w:p>
      <w:pPr>
        <w:pStyle w:val="BodyText"/>
      </w:pPr>
    </w:p>
    <w:p>
      <w:pPr>
        <w:pStyle w:val="BodyText"/>
        <w:spacing w:line="228" w:lineRule="auto" w:before="215"/>
        <w:ind w:left="1750" w:right="354" w:hanging="965"/>
      </w:pPr>
      <w:r>
        <w:rPr/>
        <w:t>∆C</w:t>
      </w:r>
      <w:r>
        <w:rPr>
          <w:vertAlign w:val="subscript"/>
        </w:rPr>
        <w:t>LG</w:t>
      </w:r>
      <w:r>
        <w:rPr>
          <w:position w:val="-8"/>
          <w:sz w:val="13"/>
          <w:vertAlign w:val="baseline"/>
        </w:rPr>
        <w:t>Lime </w:t>
      </w:r>
      <w:r>
        <w:rPr>
          <w:vertAlign w:val="baseline"/>
        </w:rPr>
        <w:t>= annual C emissions from agricultural lime application on land converted to grassland, tonnes  C yr</w:t>
      </w:r>
      <w:r>
        <w:rPr>
          <w:vertAlign w:val="superscript"/>
        </w:rPr>
        <w:t>-1</w:t>
      </w:r>
    </w:p>
    <w:p>
      <w:pPr>
        <w:pStyle w:val="BodyText"/>
        <w:spacing w:before="123"/>
        <w:ind w:left="219" w:right="264"/>
        <w:jc w:val="both"/>
      </w:pPr>
      <w:r>
        <w:rPr/>
        <w:t>Criteria for selecting the most suitable estimation method depend on the type of land conversion and the longevity of the conversion, and availability of suitable country-specific information to estimate reference soil C stocks and stock change and emission factors. All countries should strive for improving inventory and reporting approaches by advancing to the highest tier possible given national circumstances. It is </w:t>
      </w:r>
      <w:r>
        <w:rPr>
          <w:i/>
        </w:rPr>
        <w:t>good practice </w:t>
      </w:r>
      <w:r>
        <w:rPr/>
        <w:t>for countries to use a Tier 2 or Tier 3 approach if carbon emissions and removals in land converted to grassland is a key category and if the sub-category of soil organic matter is considered significant based on principles outlined in Chapter 5. Countries should use the decision tree in Figure 3.1.2 to help with the choice of method.</w:t>
      </w:r>
    </w:p>
    <w:p>
      <w:pPr>
        <w:pStyle w:val="BodyText"/>
        <w:spacing w:before="4"/>
        <w:rPr>
          <w:sz w:val="21"/>
        </w:rPr>
      </w:pPr>
    </w:p>
    <w:p>
      <w:pPr>
        <w:pStyle w:val="Heading6"/>
        <w:numPr>
          <w:ilvl w:val="5"/>
          <w:numId w:val="73"/>
        </w:numPr>
        <w:tabs>
          <w:tab w:pos="1449" w:val="left" w:leader="none"/>
        </w:tabs>
        <w:spacing w:line="240" w:lineRule="auto" w:before="0" w:after="0"/>
        <w:ind w:left="1448" w:right="0" w:hanging="1229"/>
        <w:jc w:val="left"/>
      </w:pPr>
      <w:r>
        <w:rPr/>
        <w:t>1 </w:t>
      </w:r>
      <w:r>
        <w:rPr>
          <w:spacing w:val="16"/>
        </w:rPr>
        <w:t>Choice </w:t>
      </w:r>
      <w:r>
        <w:rPr>
          <w:spacing w:val="9"/>
        </w:rPr>
        <w:t>of</w:t>
      </w:r>
      <w:r>
        <w:rPr>
          <w:spacing w:val="-22"/>
        </w:rPr>
        <w:t> </w:t>
      </w:r>
      <w:r>
        <w:rPr>
          <w:spacing w:val="19"/>
        </w:rPr>
        <w:t>Method</w:t>
      </w:r>
    </w:p>
    <w:p>
      <w:pPr>
        <w:pStyle w:val="Heading7"/>
        <w:spacing w:line="251" w:lineRule="exact" w:before="179"/>
        <w:jc w:val="left"/>
      </w:pPr>
      <w:r>
        <w:rPr/>
        <w:t>Mineral Soils </w:t>
      </w:r>
    </w:p>
    <w:p>
      <w:pPr>
        <w:pStyle w:val="BodyText"/>
        <w:ind w:left="219" w:right="263"/>
        <w:jc w:val="both"/>
      </w:pPr>
      <w:r>
        <w:rPr>
          <w:b/>
        </w:rPr>
        <w:t>Tier 1: </w:t>
      </w:r>
      <w:r>
        <w:rPr/>
        <w:t>The Tier 1 method is fundamentally similar as for Grasslands Remaining Grasslands (Equation 3.4.8 in Section 3.4.1.2.1.1) except pre-conversion carbon stocks are dependent of parameters for other land use. Tier 1 methods rely on default values for reference C stocks and stock change factors and relatively aggregated data on the location and rates of land-use conversion.</w:t>
      </w:r>
    </w:p>
    <w:p>
      <w:pPr>
        <w:pStyle w:val="BodyText"/>
        <w:spacing w:before="118"/>
        <w:ind w:left="219" w:right="263"/>
        <w:jc w:val="both"/>
      </w:pPr>
      <w:r>
        <w:rPr/>
        <w:t>For Tier 1, the initial (pre-conversion) soil C stock (SOC</w:t>
      </w:r>
      <w:r>
        <w:rPr>
          <w:vertAlign w:val="subscript"/>
        </w:rPr>
        <w:t>(0-T)</w:t>
      </w:r>
      <w:r>
        <w:rPr>
          <w:vertAlign w:val="baseline"/>
        </w:rPr>
        <w:t>) is determined from the same reference soil C stocks (SOC</w:t>
      </w:r>
      <w:r>
        <w:rPr>
          <w:vertAlign w:val="subscript"/>
        </w:rPr>
        <w:t>R</w:t>
      </w:r>
      <w:r>
        <w:rPr>
          <w:position w:val="-2"/>
          <w:sz w:val="10"/>
          <w:vertAlign w:val="baseline"/>
        </w:rPr>
        <w:t>EF</w:t>
      </w:r>
      <w:r>
        <w:rPr>
          <w:vertAlign w:val="baseline"/>
        </w:rPr>
        <w:t>) used for all land uses (Table 3.4.4), together with stock change factors (F</w:t>
      </w:r>
      <w:r>
        <w:rPr>
          <w:vertAlign w:val="subscript"/>
        </w:rPr>
        <w:t>LU</w:t>
      </w:r>
      <w:r>
        <w:rPr>
          <w:vertAlign w:val="baseline"/>
        </w:rPr>
        <w:t>, F</w:t>
      </w:r>
      <w:r>
        <w:rPr>
          <w:vertAlign w:val="subscript"/>
        </w:rPr>
        <w:t>MG</w:t>
      </w:r>
      <w:r>
        <w:rPr>
          <w:vertAlign w:val="baseline"/>
        </w:rPr>
        <w:t>, F</w:t>
      </w:r>
      <w:r>
        <w:rPr>
          <w:vertAlign w:val="subscript"/>
        </w:rPr>
        <w:t>I</w:t>
      </w:r>
      <w:r>
        <w:rPr>
          <w:vertAlign w:val="baseline"/>
        </w:rPr>
        <w:t>) appropriate for the previous land use as well as for grassland use. For native unmanaged land, as well as for managed forest, soil C stocks are assumed equal to the reference values (i.e. land use, management and input factors equal 1). Current (SOC</w:t>
      </w:r>
      <w:r>
        <w:rPr>
          <w:vertAlign w:val="subscript"/>
        </w:rPr>
        <w:t>0</w:t>
      </w:r>
      <w:r>
        <w:rPr>
          <w:vertAlign w:val="baseline"/>
        </w:rPr>
        <w:t>) soil C stocks on land converted to grassland are estimated exactly as for permanent grassland, i.e., using the reference carbon stocks (Table 3.4.4) and stock change factors (Table 3.4.5). Thus, annual rates of emissions (source) or removals (sink) are calculated as the difference in stocks (over time) divided by the inventory time period (default is 20</w:t>
      </w:r>
      <w:r>
        <w:rPr>
          <w:spacing w:val="-2"/>
          <w:vertAlign w:val="baseline"/>
        </w:rPr>
        <w:t> </w:t>
      </w:r>
      <w:r>
        <w:rPr>
          <w:vertAlign w:val="baseline"/>
        </w:rPr>
        <w:t>years).</w:t>
      </w:r>
    </w:p>
    <w:p>
      <w:pPr>
        <w:pStyle w:val="BodyText"/>
        <w:spacing w:before="112"/>
        <w:ind w:left="219" w:right="262"/>
        <w:jc w:val="both"/>
      </w:pPr>
      <w:r>
        <w:rPr/>
        <w:t>The calculation steps for determining SOC</w:t>
      </w:r>
      <w:r>
        <w:rPr>
          <w:vertAlign w:val="subscript"/>
        </w:rPr>
        <w:t>0</w:t>
      </w:r>
      <w:r>
        <w:rPr>
          <w:vertAlign w:val="baseline"/>
        </w:rPr>
        <w:t> and SOC</w:t>
      </w:r>
      <w:r>
        <w:rPr>
          <w:vertAlign w:val="subscript"/>
        </w:rPr>
        <w:t>(0-T)</w:t>
      </w:r>
      <w:r>
        <w:rPr>
          <w:vertAlign w:val="baseline"/>
        </w:rPr>
        <w:t> and net soil C stock change per ha of land area are as follows:</w:t>
      </w:r>
    </w:p>
    <w:p>
      <w:pPr>
        <w:pStyle w:val="BodyText"/>
        <w:spacing w:line="232" w:lineRule="auto" w:before="124"/>
        <w:ind w:left="898" w:right="354" w:hanging="680"/>
      </w:pPr>
      <w:r>
        <w:rPr>
          <w:b/>
        </w:rPr>
        <w:t>Step 1: </w:t>
      </w:r>
      <w:r>
        <w:rPr/>
        <w:t>Select the reference carbon stock value (SOC</w:t>
      </w:r>
      <w:r>
        <w:rPr>
          <w:position w:val="-2"/>
          <w:sz w:val="10"/>
        </w:rPr>
        <w:t>REF</w:t>
      </w:r>
      <w:r>
        <w:rPr/>
        <w:t>), based on climate and soil type, for each area of land being inventoried.</w:t>
      </w:r>
    </w:p>
    <w:p>
      <w:pPr>
        <w:pStyle w:val="BodyText"/>
        <w:spacing w:before="121"/>
        <w:ind w:left="898" w:right="265" w:hanging="680"/>
        <w:jc w:val="both"/>
      </w:pPr>
      <w:r>
        <w:rPr>
          <w:b/>
        </w:rPr>
        <w:t>Step 2: </w:t>
      </w:r>
      <w:r>
        <w:rPr/>
        <w:t>Calculate the pre-conversion C stock (SOC</w:t>
      </w:r>
      <w:r>
        <w:rPr>
          <w:vertAlign w:val="subscript"/>
        </w:rPr>
        <w:t>(0-T)</w:t>
      </w:r>
      <w:r>
        <w:rPr>
          <w:vertAlign w:val="baseline"/>
        </w:rPr>
        <w:t>) of land being converted into grassland, based on the reference carbon stock and previous land use and management, which determine land use (F</w:t>
      </w:r>
      <w:r>
        <w:rPr>
          <w:vertAlign w:val="subscript"/>
        </w:rPr>
        <w:t>LU</w:t>
      </w:r>
      <w:r>
        <w:rPr>
          <w:vertAlign w:val="baseline"/>
        </w:rPr>
        <w:t>), management (F</w:t>
      </w:r>
      <w:r>
        <w:rPr>
          <w:vertAlign w:val="subscript"/>
        </w:rPr>
        <w:t>MG</w:t>
      </w:r>
      <w:r>
        <w:rPr>
          <w:vertAlign w:val="baseline"/>
        </w:rPr>
        <w:t>) and input (F</w:t>
      </w:r>
      <w:r>
        <w:rPr>
          <w:vertAlign w:val="subscript"/>
        </w:rPr>
        <w:t>I</w:t>
      </w:r>
      <w:r>
        <w:rPr>
          <w:vertAlign w:val="baseline"/>
        </w:rPr>
        <w:t> ) factors. Note that where the land being converted is forest the pre- conversion stocks will be equal to the native soil carbon reference stocks.</w:t>
      </w:r>
    </w:p>
    <w:p>
      <w:pPr>
        <w:pStyle w:val="BodyText"/>
        <w:spacing w:line="232" w:lineRule="auto" w:before="125"/>
        <w:ind w:left="898" w:right="354" w:hanging="680"/>
      </w:pPr>
      <w:r>
        <w:rPr>
          <w:b/>
        </w:rPr>
        <w:t>Step 3: </w:t>
      </w:r>
      <w:r>
        <w:rPr/>
        <w:t>Calculate SOC</w:t>
      </w:r>
      <w:r>
        <w:rPr>
          <w:vertAlign w:val="subscript"/>
        </w:rPr>
        <w:t>0</w:t>
      </w:r>
      <w:r>
        <w:rPr>
          <w:vertAlign w:val="baseline"/>
        </w:rPr>
        <w:t> by repeating step 2 using the same reference carbon stock (SOC</w:t>
      </w:r>
      <w:r>
        <w:rPr>
          <w:position w:val="-2"/>
          <w:sz w:val="10"/>
          <w:vertAlign w:val="baseline"/>
        </w:rPr>
        <w:t>REF</w:t>
      </w:r>
      <w:r>
        <w:rPr>
          <w:vertAlign w:val="baseline"/>
        </w:rPr>
        <w:t>)), but management and input factors that represent conditions in the land converted to grassland.</w:t>
      </w:r>
    </w:p>
    <w:p>
      <w:pPr>
        <w:pStyle w:val="BodyText"/>
        <w:spacing w:before="121"/>
        <w:ind w:left="219"/>
        <w:jc w:val="both"/>
      </w:pPr>
      <w:r>
        <w:rPr/>
        <w:pict>
          <v:group style="position:absolute;margin-left:91.240997pt;margin-top:26.906857pt;width:412.95pt;height:168.5pt;mso-position-horizontal-relative:page;mso-position-vertical-relative:paragraph;z-index:10592;mso-wrap-distance-left:0;mso-wrap-distance-right:0" coordorigin="1825,538" coordsize="8259,3370">
            <v:line style="position:absolute" from="1854,553" to="10054,553" stroked="true" strokeweight="1.44pt" strokecolor="#000000">
              <v:stroke dashstyle="solid"/>
            </v:line>
            <v:line style="position:absolute" from="1854,3893" to="10054,3893" stroked="true" strokeweight="1.44pt" strokecolor="#000000">
              <v:stroke dashstyle="solid"/>
            </v:line>
            <v:line style="position:absolute" from="1839,538" to="1839,3908" stroked="true" strokeweight="1.44pt" strokecolor="#000000">
              <v:stroke dashstyle="solid"/>
            </v:line>
            <v:line style="position:absolute" from="10069,538" to="10069,3908" stroked="true" strokeweight="1.44pt" strokecolor="#000000">
              <v:stroke dashstyle="solid"/>
            </v:line>
            <v:shape style="position:absolute;left:1980;top:789;width:7970;height:2985" type="#_x0000_t202" filled="false" stroked="false">
              <v:textbox inset="0,0,0,0">
                <w:txbxContent>
                  <w:p>
                    <w:pPr>
                      <w:spacing w:line="107" w:lineRule="exact" w:before="0"/>
                      <w:ind w:left="6213" w:right="0" w:firstLine="0"/>
                      <w:jc w:val="left"/>
                      <w:rPr>
                        <w:sz w:val="10"/>
                      </w:rPr>
                    </w:pPr>
                    <w:r>
                      <w:rPr>
                        <w:sz w:val="10"/>
                      </w:rPr>
                      <w:t>REF</w:t>
                    </w:r>
                  </w:p>
                  <w:p>
                    <w:pPr>
                      <w:spacing w:line="240" w:lineRule="auto" w:before="0"/>
                      <w:ind w:left="0" w:right="18" w:firstLine="0"/>
                      <w:jc w:val="both"/>
                      <w:rPr>
                        <w:sz w:val="20"/>
                      </w:rPr>
                    </w:pPr>
                    <w:r>
                      <w:rPr>
                        <w:sz w:val="20"/>
                      </w:rPr>
                      <w:t>For all forest soils default values for stock change factors (F</w:t>
                    </w:r>
                    <w:r>
                      <w:rPr>
                        <w:sz w:val="20"/>
                        <w:vertAlign w:val="subscript"/>
                      </w:rPr>
                      <w:t>LU</w:t>
                    </w:r>
                    <w:r>
                      <w:rPr>
                        <w:sz w:val="20"/>
                        <w:vertAlign w:val="baseline"/>
                      </w:rPr>
                      <w:t> , F</w:t>
                    </w:r>
                    <w:r>
                      <w:rPr>
                        <w:sz w:val="20"/>
                        <w:vertAlign w:val="subscript"/>
                      </w:rPr>
                      <w:t>MG</w:t>
                    </w:r>
                    <w:r>
                      <w:rPr>
                        <w:sz w:val="20"/>
                        <w:vertAlign w:val="baseline"/>
                      </w:rPr>
                      <w:t> , F</w:t>
                    </w:r>
                    <w:r>
                      <w:rPr>
                        <w:sz w:val="20"/>
                        <w:vertAlign w:val="subscript"/>
                      </w:rPr>
                      <w:t>I</w:t>
                    </w:r>
                    <w:r>
                      <w:rPr>
                        <w:sz w:val="20"/>
                        <w:vertAlign w:val="baseline"/>
                      </w:rPr>
                      <w:t>) are all 1; thus SOC</w:t>
                    </w:r>
                    <w:r>
                      <w:rPr>
                        <w:sz w:val="20"/>
                        <w:vertAlign w:val="subscript"/>
                      </w:rPr>
                      <w:t>(0-T)</w:t>
                    </w:r>
                    <w:r>
                      <w:rPr>
                        <w:sz w:val="20"/>
                        <w:vertAlign w:val="baseline"/>
                      </w:rPr>
                      <w:t> is 70 tonnes C ha</w:t>
                    </w:r>
                    <w:r>
                      <w:rPr>
                        <w:sz w:val="20"/>
                        <w:vertAlign w:val="superscript"/>
                      </w:rPr>
                      <w:t>-1</w:t>
                    </w:r>
                    <w:r>
                      <w:rPr>
                        <w:sz w:val="20"/>
                        <w:vertAlign w:val="baseline"/>
                      </w:rPr>
                      <w:t>. If the land is converted into pasture that is moderately degraded/overgrazed then SOC</w:t>
                    </w:r>
                    <w:r>
                      <w:rPr>
                        <w:sz w:val="20"/>
                        <w:vertAlign w:val="subscript"/>
                      </w:rPr>
                      <w:t>0</w:t>
                    </w:r>
                    <w:r>
                      <w:rPr>
                        <w:sz w:val="20"/>
                        <w:vertAlign w:val="baseline"/>
                      </w:rPr>
                      <w:t> = 70 tonnes C ha</w:t>
                    </w:r>
                    <w:r>
                      <w:rPr>
                        <w:sz w:val="20"/>
                        <w:vertAlign w:val="superscript"/>
                      </w:rPr>
                      <w:t>-1</w:t>
                    </w:r>
                    <w:r>
                      <w:rPr>
                        <w:sz w:val="20"/>
                        <w:vertAlign w:val="baseline"/>
                      </w:rPr>
                      <w:t> ● 1 ● 0.97 ● 1 = 67.9 tonnes C ha</w:t>
                    </w:r>
                    <w:r>
                      <w:rPr>
                        <w:sz w:val="20"/>
                        <w:vertAlign w:val="superscript"/>
                      </w:rPr>
                      <w:t>-1</w:t>
                    </w:r>
                    <w:r>
                      <w:rPr>
                        <w:sz w:val="20"/>
                        <w:vertAlign w:val="baseline"/>
                      </w:rPr>
                      <w:t>. Thus the average annual change in soil C stock for the area over the inventory period is calculated as (67.9 tonnes C ha</w:t>
                    </w:r>
                    <w:r>
                      <w:rPr>
                        <w:sz w:val="20"/>
                        <w:vertAlign w:val="superscript"/>
                      </w:rPr>
                      <w:t>-1</w:t>
                    </w:r>
                    <w:r>
                      <w:rPr>
                        <w:sz w:val="20"/>
                        <w:vertAlign w:val="baseline"/>
                      </w:rPr>
                      <w:t> – 70 tonnes C ha</w:t>
                    </w:r>
                    <w:r>
                      <w:rPr>
                        <w:sz w:val="20"/>
                        <w:vertAlign w:val="superscript"/>
                      </w:rPr>
                      <w:t>-1</w:t>
                    </w:r>
                    <w:r>
                      <w:rPr>
                        <w:sz w:val="20"/>
                        <w:vertAlign w:val="baseline"/>
                      </w:rPr>
                      <w:t>) / 20 yrs = -0.01 tonnes C ha</w:t>
                    </w:r>
                    <w:r>
                      <w:rPr>
                        <w:sz w:val="20"/>
                        <w:vertAlign w:val="superscript"/>
                      </w:rPr>
                      <w:t>-1</w:t>
                    </w:r>
                    <w:r>
                      <w:rPr>
                        <w:spacing w:val="1"/>
                        <w:sz w:val="20"/>
                        <w:vertAlign w:val="baseline"/>
                      </w:rPr>
                      <w:t> </w:t>
                    </w:r>
                    <w:r>
                      <w:rPr>
                        <w:sz w:val="20"/>
                        <w:vertAlign w:val="baseline"/>
                      </w:rPr>
                      <w:t>yr</w:t>
                    </w:r>
                    <w:r>
                      <w:rPr>
                        <w:sz w:val="20"/>
                        <w:vertAlign w:val="superscript"/>
                      </w:rPr>
                      <w:t>-1</w:t>
                    </w:r>
                    <w:r>
                      <w:rPr>
                        <w:sz w:val="20"/>
                        <w:vertAlign w:val="baseline"/>
                      </w:rPr>
                      <w:t>.</w:t>
                    </w:r>
                  </w:p>
                  <w:p>
                    <w:pPr>
                      <w:spacing w:line="240" w:lineRule="auto" w:before="115"/>
                      <w:ind w:left="0" w:right="18" w:firstLine="0"/>
                      <w:jc w:val="both"/>
                      <w:rPr>
                        <w:sz w:val="20"/>
                      </w:rPr>
                    </w:pPr>
                    <w:r>
                      <w:rPr>
                        <w:b/>
                        <w:sz w:val="20"/>
                      </w:rPr>
                      <w:t>Example 2: </w:t>
                    </w:r>
                    <w:r>
                      <w:rPr>
                        <w:sz w:val="20"/>
                      </w:rPr>
                      <w:t>For tropical moist, volcanic soil that has been under long-term annual cropland, with intensive tillage and where crop residues are removed from the field, carbon stocks at the beginning of the inventory period SOC</w:t>
                    </w:r>
                    <w:r>
                      <w:rPr>
                        <w:sz w:val="20"/>
                        <w:vertAlign w:val="subscript"/>
                      </w:rPr>
                      <w:t>(0-T)</w:t>
                    </w:r>
                    <w:r>
                      <w:rPr>
                        <w:sz w:val="20"/>
                        <w:vertAlign w:val="baseline"/>
                      </w:rPr>
                      <w:t> are 70 tonnes C ha</w:t>
                    </w:r>
                    <w:r>
                      <w:rPr>
                        <w:sz w:val="20"/>
                        <w:vertAlign w:val="superscript"/>
                      </w:rPr>
                      <w:t>-1</w:t>
                    </w:r>
                    <w:r>
                      <w:rPr>
                        <w:sz w:val="20"/>
                        <w:vertAlign w:val="baseline"/>
                      </w:rPr>
                      <w:t> ● 0.58 ● 1 ● 0.91 = 36.9 tonnes C ha</w:t>
                    </w:r>
                    <w:r>
                      <w:rPr>
                        <w:sz w:val="20"/>
                        <w:vertAlign w:val="superscript"/>
                      </w:rPr>
                      <w:t>-1</w:t>
                    </w:r>
                    <w:r>
                      <w:rPr>
                        <w:sz w:val="20"/>
                        <w:vertAlign w:val="baseline"/>
                      </w:rPr>
                      <w:t>. Following conversion to improved (e.g. fertilised) pasture, carbon stocks (SOC</w:t>
                    </w:r>
                    <w:r>
                      <w:rPr>
                        <w:sz w:val="20"/>
                        <w:vertAlign w:val="subscript"/>
                      </w:rPr>
                      <w:t>0</w:t>
                    </w:r>
                    <w:r>
                      <w:rPr>
                        <w:sz w:val="20"/>
                        <w:vertAlign w:val="baseline"/>
                      </w:rPr>
                      <w:t>) are 70 tonnes C ha</w:t>
                    </w:r>
                    <w:r>
                      <w:rPr>
                        <w:sz w:val="20"/>
                        <w:vertAlign w:val="superscript"/>
                      </w:rPr>
                      <w:t>-1</w:t>
                    </w:r>
                    <w:r>
                      <w:rPr>
                        <w:sz w:val="20"/>
                        <w:vertAlign w:val="baseline"/>
                      </w:rPr>
                      <w:t> ● 1● 1.17 ● 1 = 81.9 tonnes C ha</w:t>
                    </w:r>
                    <w:r>
                      <w:rPr>
                        <w:sz w:val="20"/>
                        <w:vertAlign w:val="superscript"/>
                      </w:rPr>
                      <w:t>-1</w:t>
                    </w:r>
                    <w:r>
                      <w:rPr>
                        <w:sz w:val="20"/>
                        <w:vertAlign w:val="baseline"/>
                      </w:rPr>
                      <w:t>. Thus the average annual change in soil C stock for the area over the inventory period is calculated as (81.9 tonnes C ha</w:t>
                    </w:r>
                    <w:r>
                      <w:rPr>
                        <w:sz w:val="20"/>
                        <w:vertAlign w:val="superscript"/>
                      </w:rPr>
                      <w:t>-1</w:t>
                    </w:r>
                    <w:r>
                      <w:rPr>
                        <w:sz w:val="20"/>
                        <w:vertAlign w:val="baseline"/>
                      </w:rPr>
                      <w:t> – 36.9 tonnes C ha</w:t>
                    </w:r>
                    <w:r>
                      <w:rPr>
                        <w:sz w:val="20"/>
                        <w:vertAlign w:val="superscript"/>
                      </w:rPr>
                      <w:t>-1</w:t>
                    </w:r>
                    <w:r>
                      <w:rPr>
                        <w:sz w:val="20"/>
                        <w:vertAlign w:val="baseline"/>
                      </w:rPr>
                      <w:t>) / 20 yrs =2.25 tonnes C ha</w:t>
                    </w:r>
                    <w:r>
                      <w:rPr>
                        <w:sz w:val="20"/>
                        <w:vertAlign w:val="superscript"/>
                      </w:rPr>
                      <w:t>-1</w:t>
                    </w:r>
                    <w:r>
                      <w:rPr>
                        <w:spacing w:val="1"/>
                        <w:sz w:val="20"/>
                        <w:vertAlign w:val="baseline"/>
                      </w:rPr>
                      <w:t> </w:t>
                    </w:r>
                    <w:r>
                      <w:rPr>
                        <w:sz w:val="20"/>
                        <w:vertAlign w:val="baseline"/>
                      </w:rPr>
                      <w:t>yr</w:t>
                    </w:r>
                    <w:r>
                      <w:rPr>
                        <w:sz w:val="20"/>
                        <w:vertAlign w:val="superscript"/>
                      </w:rPr>
                      <w:t>-1</w:t>
                    </w:r>
                    <w:r>
                      <w:rPr>
                        <w:sz w:val="20"/>
                        <w:vertAlign w:val="baseline"/>
                      </w:rPr>
                      <w:t>.</w:t>
                    </w:r>
                  </w:p>
                </w:txbxContent>
              </v:textbox>
              <w10:wrap type="none"/>
            </v:shape>
            <v:shape style="position:absolute;left:9780;top:641;width:119;height:144" type="#_x0000_t202" filled="false" stroked="false">
              <v:textbox inset="0,0,0,0">
                <w:txbxContent>
                  <w:p>
                    <w:pPr>
                      <w:spacing w:line="144" w:lineRule="exact" w:before="0"/>
                      <w:ind w:left="0" w:right="0" w:firstLine="0"/>
                      <w:jc w:val="left"/>
                      <w:rPr>
                        <w:sz w:val="13"/>
                      </w:rPr>
                    </w:pPr>
                    <w:r>
                      <w:rPr>
                        <w:sz w:val="13"/>
                      </w:rPr>
                      <w:t>-1</w:t>
                    </w:r>
                  </w:p>
                </w:txbxContent>
              </v:textbox>
              <w10:wrap type="none"/>
            </v:shape>
            <v:shape style="position:absolute;left:1980;top:670;width:7969;height:221" type="#_x0000_t202" filled="false" stroked="false">
              <v:textbox inset="0,0,0,0">
                <w:txbxContent>
                  <w:p>
                    <w:pPr>
                      <w:tabs>
                        <w:tab w:pos="6443" w:val="left" w:leader="none"/>
                      </w:tabs>
                      <w:spacing w:line="221" w:lineRule="exact" w:before="0"/>
                      <w:ind w:left="0" w:right="0" w:firstLine="0"/>
                      <w:jc w:val="left"/>
                      <w:rPr>
                        <w:sz w:val="20"/>
                      </w:rPr>
                    </w:pPr>
                    <w:r>
                      <w:rPr>
                        <w:b/>
                        <w:spacing w:val="-4"/>
                        <w:sz w:val="20"/>
                      </w:rPr>
                      <w:t>Example  </w:t>
                    </w:r>
                    <w:r>
                      <w:rPr>
                        <w:b/>
                        <w:sz w:val="20"/>
                      </w:rPr>
                      <w:t>1: </w:t>
                    </w:r>
                    <w:r>
                      <w:rPr>
                        <w:spacing w:val="-3"/>
                        <w:sz w:val="20"/>
                      </w:rPr>
                      <w:t>For </w:t>
                    </w:r>
                    <w:r>
                      <w:rPr>
                        <w:sz w:val="20"/>
                      </w:rPr>
                      <w:t>a </w:t>
                    </w:r>
                    <w:r>
                      <w:rPr>
                        <w:spacing w:val="-4"/>
                        <w:sz w:val="20"/>
                      </w:rPr>
                      <w:t>forest </w:t>
                    </w:r>
                    <w:r>
                      <w:rPr>
                        <w:sz w:val="20"/>
                      </w:rPr>
                      <w:t>on </w:t>
                    </w:r>
                    <w:r>
                      <w:rPr>
                        <w:spacing w:val="-4"/>
                        <w:sz w:val="20"/>
                      </w:rPr>
                      <w:t>volcanic </w:t>
                    </w:r>
                    <w:r>
                      <w:rPr>
                        <w:spacing w:val="-3"/>
                        <w:sz w:val="20"/>
                      </w:rPr>
                      <w:t>soil </w:t>
                    </w:r>
                    <w:r>
                      <w:rPr>
                        <w:sz w:val="20"/>
                      </w:rPr>
                      <w:t>in a </w:t>
                    </w:r>
                    <w:r>
                      <w:rPr>
                        <w:spacing w:val="-4"/>
                        <w:sz w:val="20"/>
                      </w:rPr>
                      <w:t>tropical moist </w:t>
                    </w:r>
                    <w:r>
                      <w:rPr>
                        <w:spacing w:val="6"/>
                        <w:sz w:val="20"/>
                      </w:rPr>
                      <w:t> </w:t>
                    </w:r>
                    <w:r>
                      <w:rPr>
                        <w:spacing w:val="-4"/>
                        <w:sz w:val="20"/>
                      </w:rPr>
                      <w:t>environment:</w:t>
                    </w:r>
                    <w:r>
                      <w:rPr>
                        <w:spacing w:val="6"/>
                        <w:sz w:val="20"/>
                      </w:rPr>
                      <w:t> </w:t>
                    </w:r>
                    <w:r>
                      <w:rPr>
                        <w:sz w:val="20"/>
                      </w:rPr>
                      <w:t>SOC</w:t>
                      <w:tab/>
                      <w:t>= 70 </w:t>
                    </w:r>
                    <w:r>
                      <w:rPr>
                        <w:spacing w:val="-4"/>
                        <w:sz w:val="20"/>
                      </w:rPr>
                      <w:t>tonnes </w:t>
                    </w:r>
                    <w:r>
                      <w:rPr>
                        <w:sz w:val="20"/>
                      </w:rPr>
                      <w:t>C </w:t>
                    </w:r>
                    <w:r>
                      <w:rPr>
                        <w:spacing w:val="-3"/>
                        <w:sz w:val="20"/>
                      </w:rPr>
                      <w:t>ha</w:t>
                    </w:r>
                    <w:r>
                      <w:rPr>
                        <w:spacing w:val="29"/>
                        <w:sz w:val="20"/>
                      </w:rPr>
                      <w:t> </w:t>
                    </w:r>
                    <w:r>
                      <w:rPr>
                        <w:sz w:val="20"/>
                      </w:rPr>
                      <w:t>.</w:t>
                    </w:r>
                  </w:p>
                </w:txbxContent>
              </v:textbox>
              <w10:wrap type="none"/>
            </v:shape>
            <w10:wrap type="topAndBottom"/>
          </v:group>
        </w:pict>
      </w:r>
      <w:r>
        <w:rPr>
          <w:b/>
        </w:rPr>
        <w:t>Step 4: </w:t>
      </w:r>
      <w:r>
        <w:rPr/>
        <w:t>Calculate the average annual change in soil C stock for the area over the inventory period (∆C</w:t>
      </w:r>
      <w:r>
        <w:rPr>
          <w:vertAlign w:val="subscript"/>
        </w:rPr>
        <w:t>LG</w:t>
      </w:r>
      <w:r>
        <w:rPr>
          <w:position w:val="-8"/>
          <w:sz w:val="13"/>
          <w:vertAlign w:val="baseline"/>
        </w:rPr>
        <w:t>Mineral </w:t>
      </w:r>
      <w:r>
        <w:rPr>
          <w:vertAlign w:val="baseline"/>
        </w:rPr>
        <w:t>).</w:t>
      </w:r>
    </w:p>
    <w:p>
      <w:pPr>
        <w:pStyle w:val="BodyText"/>
        <w:spacing w:before="69"/>
        <w:ind w:left="219"/>
      </w:pPr>
      <w:r>
        <w:rPr>
          <w:b/>
        </w:rPr>
        <w:t>Tier 2: </w:t>
      </w:r>
      <w:r>
        <w:rPr/>
        <w:t>The Tier 2 method for mineral soils also uses Equation 3.4.8, but involves country or region-specific reference C stocks and/or stock change factors and more disaggregated land use activity data.</w:t>
      </w:r>
    </w:p>
    <w:p>
      <w:pPr>
        <w:pStyle w:val="BodyText"/>
        <w:spacing w:before="2"/>
        <w:rPr>
          <w:sz w:val="21"/>
        </w:rPr>
      </w:pPr>
    </w:p>
    <w:p>
      <w:pPr>
        <w:pStyle w:val="Heading7"/>
        <w:spacing w:line="251" w:lineRule="exact"/>
        <w:jc w:val="left"/>
      </w:pPr>
      <w:r>
        <w:rPr/>
        <w:t>Organic Soils </w:t>
      </w:r>
    </w:p>
    <w:p>
      <w:pPr>
        <w:pStyle w:val="BodyText"/>
        <w:ind w:left="219"/>
      </w:pPr>
      <w:r>
        <w:rPr/>
        <w:t>Tier 1 and Tier 2 approaches for organic soils that are converted from other land uses to grassland within the inventory period are treated the same as long-term grassland on organic soils, i.e., they have a constant emission</w:t>
      </w:r>
    </w:p>
    <w:p>
      <w:pPr>
        <w:spacing w:after="0"/>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6"/>
        <w:jc w:val="both"/>
      </w:pPr>
      <w:r>
        <w:rPr/>
        <w:t>factor applied to them, based on climate regime (see Equation 3.4.10 and Table 3.4.6). In Tier 2, emission factors are derived from country or region-specific data.</w:t>
      </w:r>
    </w:p>
    <w:p>
      <w:pPr>
        <w:pStyle w:val="BodyText"/>
        <w:spacing w:before="5"/>
        <w:rPr>
          <w:sz w:val="21"/>
        </w:rPr>
      </w:pPr>
    </w:p>
    <w:p>
      <w:pPr>
        <w:pStyle w:val="Heading7"/>
      </w:pPr>
      <w:r>
        <w:rPr/>
        <w:t>Mineral and Organic soils</w:t>
      </w:r>
    </w:p>
    <w:p>
      <w:pPr>
        <w:pStyle w:val="BodyText"/>
        <w:ind w:left="219" w:right="260"/>
        <w:jc w:val="both"/>
      </w:pPr>
      <w:r>
        <w:rPr/>
        <w:t>For both mineral and organic soils, Tier 3 methods will involve more detailed and country-specific models and/or measurement-based approaches along with highly disaggregated land use and management data. Tier 3 approaches for estimating soil C changes from land-use conversions to grassland should employ models and data sets that are capable of representing transitions over time between different land use and vegetation types, including forest, savanna, grassland and cropland. The Tier 3 method needs to be integrated with estimates of biomass removal and the post-clearance treatment of plant residues (including woody debris and litter), as variation in the removal and treatment of residues (e.g. burning, site preparation) will affect C inputs to soil organic matter formation and C losses through decomposition and combustion. It is critical that models be validated with independent observations from country or region-specific field locations that are representative of the interactions of climate, soil and vegetation type on post-conversion changes in soil C</w:t>
      </w:r>
      <w:r>
        <w:rPr>
          <w:spacing w:val="-13"/>
        </w:rPr>
        <w:t> </w:t>
      </w:r>
      <w:r>
        <w:rPr/>
        <w:t>stocks.</w:t>
      </w:r>
    </w:p>
    <w:p>
      <w:pPr>
        <w:pStyle w:val="BodyText"/>
        <w:spacing w:before="2"/>
        <w:rPr>
          <w:sz w:val="21"/>
        </w:rPr>
      </w:pPr>
    </w:p>
    <w:p>
      <w:pPr>
        <w:pStyle w:val="Heading7"/>
      </w:pPr>
      <w:r>
        <w:rPr/>
        <w:t>Liming</w:t>
      </w:r>
    </w:p>
    <w:p>
      <w:pPr>
        <w:pStyle w:val="BodyText"/>
        <w:ind w:left="219" w:right="266"/>
        <w:jc w:val="both"/>
      </w:pPr>
      <w:r>
        <w:rPr/>
        <w:t>If lime is applied to grassland converted from other land uses then the methods for estimating CO</w:t>
      </w:r>
      <w:r>
        <w:rPr>
          <w:vertAlign w:val="subscript"/>
        </w:rPr>
        <w:t>2</w:t>
      </w:r>
      <w:r>
        <w:rPr>
          <w:vertAlign w:val="baseline"/>
        </w:rPr>
        <w:t> emissions from liming are the same as described for </w:t>
      </w:r>
      <w:r>
        <w:rPr>
          <w:i/>
          <w:vertAlign w:val="baseline"/>
        </w:rPr>
        <w:t>Grassland Remaining Grassland</w:t>
      </w:r>
      <w:r>
        <w:rPr>
          <w:vertAlign w:val="baseline"/>
        </w:rPr>
        <w:t>, in Section 3.4.1.2.1.1.</w:t>
      </w:r>
    </w:p>
    <w:p>
      <w:pPr>
        <w:pStyle w:val="BodyText"/>
        <w:spacing w:before="2"/>
        <w:rPr>
          <w:sz w:val="21"/>
        </w:rPr>
      </w:pPr>
    </w:p>
    <w:p>
      <w:pPr>
        <w:pStyle w:val="Heading6"/>
        <w:numPr>
          <w:ilvl w:val="5"/>
          <w:numId w:val="73"/>
        </w:numPr>
        <w:tabs>
          <w:tab w:pos="1450" w:val="left" w:leader="none"/>
        </w:tabs>
        <w:spacing w:line="240" w:lineRule="auto" w:before="0" w:after="0"/>
        <w:ind w:left="1449" w:right="0" w:hanging="1230"/>
        <w:jc w:val="both"/>
      </w:pPr>
      <w:r>
        <w:rPr/>
        <w:t>2 </w:t>
      </w:r>
      <w:r>
        <w:rPr>
          <w:spacing w:val="16"/>
        </w:rPr>
        <w:t>Choice </w:t>
      </w:r>
      <w:r>
        <w:rPr>
          <w:spacing w:val="9"/>
        </w:rPr>
        <w:t>of </w:t>
      </w:r>
      <w:r>
        <w:rPr>
          <w:spacing w:val="17"/>
        </w:rPr>
        <w:t>Emission/Removal</w:t>
      </w:r>
      <w:r>
        <w:rPr>
          <w:spacing w:val="16"/>
        </w:rPr>
        <w:t> </w:t>
      </w:r>
      <w:r>
        <w:rPr>
          <w:spacing w:val="19"/>
        </w:rPr>
        <w:t>Factors</w:t>
      </w:r>
    </w:p>
    <w:p>
      <w:pPr>
        <w:pStyle w:val="Heading7"/>
        <w:spacing w:line="251" w:lineRule="exact" w:before="179"/>
      </w:pPr>
      <w:r>
        <w:rPr/>
        <w:t>Mineral soils </w:t>
      </w:r>
    </w:p>
    <w:p>
      <w:pPr>
        <w:pStyle w:val="BodyText"/>
        <w:spacing w:line="228" w:lineRule="exact"/>
        <w:ind w:left="219"/>
        <w:jc w:val="both"/>
      </w:pPr>
      <w:r>
        <w:rPr/>
        <w:t>The following variables are needed when using either the Tier 1 or Tier 2 method:</w:t>
      </w:r>
    </w:p>
    <w:p>
      <w:pPr>
        <w:spacing w:before="123"/>
        <w:ind w:left="219" w:right="0" w:firstLine="0"/>
        <w:jc w:val="both"/>
        <w:rPr>
          <w:b/>
          <w:sz w:val="20"/>
        </w:rPr>
      </w:pPr>
      <w:r>
        <w:rPr>
          <w:b/>
          <w:sz w:val="20"/>
        </w:rPr>
        <w:t>Reference carbon stocks (SOC</w:t>
      </w:r>
      <w:r>
        <w:rPr>
          <w:b/>
          <w:position w:val="-2"/>
          <w:sz w:val="10"/>
        </w:rPr>
        <w:t>REF</w:t>
      </w:r>
      <w:r>
        <w:rPr>
          <w:b/>
          <w:sz w:val="20"/>
        </w:rPr>
        <w:t>)</w:t>
      </w:r>
    </w:p>
    <w:p>
      <w:pPr>
        <w:spacing w:line="234" w:lineRule="exact" w:before="107"/>
        <w:ind w:left="219" w:right="0" w:firstLine="0"/>
        <w:jc w:val="both"/>
        <w:rPr>
          <w:sz w:val="20"/>
        </w:rPr>
      </w:pPr>
      <w:r>
        <w:rPr>
          <w:b/>
          <w:sz w:val="20"/>
        </w:rPr>
        <w:t>Tier 1: </w:t>
      </w:r>
      <w:r>
        <w:rPr>
          <w:sz w:val="20"/>
        </w:rPr>
        <w:t>Under Tier 1, it is </w:t>
      </w:r>
      <w:r>
        <w:rPr>
          <w:i/>
          <w:sz w:val="20"/>
        </w:rPr>
        <w:t>good practice </w:t>
      </w:r>
      <w:r>
        <w:rPr>
          <w:sz w:val="20"/>
        </w:rPr>
        <w:t>to use the default reference carbon stocks (SOC</w:t>
      </w:r>
      <w:r>
        <w:rPr>
          <w:position w:val="-2"/>
          <w:sz w:val="10"/>
        </w:rPr>
        <w:t>REF</w:t>
      </w:r>
      <w:r>
        <w:rPr>
          <w:sz w:val="20"/>
        </w:rPr>
        <w:t>) provided in Table</w:t>
      </w:r>
    </w:p>
    <w:p>
      <w:pPr>
        <w:pStyle w:val="BodyText"/>
        <w:ind w:left="219" w:right="265"/>
        <w:jc w:val="both"/>
      </w:pPr>
      <w:r>
        <w:rPr/>
        <w:t>3.4.4. These are updated from those provided in the </w:t>
      </w:r>
      <w:r>
        <w:rPr>
          <w:i/>
        </w:rPr>
        <w:t>IPCC Guidelines </w:t>
      </w:r>
      <w:r>
        <w:rPr/>
        <w:t>with the following improvements: i) estimates are statistically-derived from recent compilations of soil profiles under native vegetation, ii) ‘Spodic’ soils (defined as boreal and temperate zone podzols in WRB classification, Spodosols in USDA classification) are included as a separate category, iii) soils within the boreal climate region have been included.</w:t>
      </w:r>
    </w:p>
    <w:p>
      <w:pPr>
        <w:pStyle w:val="BodyText"/>
        <w:spacing w:before="115"/>
        <w:ind w:left="219" w:right="261"/>
        <w:jc w:val="both"/>
      </w:pPr>
      <w:r>
        <w:rPr>
          <w:b/>
        </w:rPr>
        <w:t>Tier 2: </w:t>
      </w:r>
      <w:r>
        <w:rPr/>
        <w:t>For the Tier 2 method, reference soil C stocks can be determined from measurements of soils, for example, as part of a country’s soil survey and mapping activities. It is important that reliable taxonomic descriptions of measured soils be used to group soils into the classes defined in Table 3.4.4 or if a finer subdivision of reference soil C stocks is used definitions of soil groupings need to be consistently and well documented. Advantages to using country-specific data for estimating reference soil C stocks include more accurate and representative values for an individual country and the ability to better estimate probability distribution functions that can be used in a formal uncertainty analysis.</w:t>
      </w:r>
    </w:p>
    <w:p>
      <w:pPr>
        <w:spacing w:before="126"/>
        <w:ind w:left="219" w:right="0" w:firstLine="0"/>
        <w:jc w:val="both"/>
        <w:rPr>
          <w:b/>
          <w:sz w:val="20"/>
        </w:rPr>
      </w:pPr>
      <w:r>
        <w:rPr>
          <w:b/>
          <w:sz w:val="20"/>
        </w:rPr>
        <w:t>Stock change factors (F</w:t>
      </w:r>
      <w:r>
        <w:rPr>
          <w:b/>
          <w:sz w:val="20"/>
          <w:vertAlign w:val="subscript"/>
        </w:rPr>
        <w:t>LU</w:t>
      </w:r>
      <w:r>
        <w:rPr>
          <w:b/>
          <w:sz w:val="20"/>
          <w:vertAlign w:val="baseline"/>
        </w:rPr>
        <w:t>, F</w:t>
      </w:r>
      <w:r>
        <w:rPr>
          <w:b/>
          <w:sz w:val="20"/>
          <w:vertAlign w:val="subscript"/>
        </w:rPr>
        <w:t>MG</w:t>
      </w:r>
      <w:r>
        <w:rPr>
          <w:b/>
          <w:sz w:val="20"/>
          <w:vertAlign w:val="baseline"/>
        </w:rPr>
        <w:t>, F</w:t>
      </w:r>
      <w:r>
        <w:rPr>
          <w:b/>
          <w:sz w:val="20"/>
          <w:vertAlign w:val="subscript"/>
        </w:rPr>
        <w:t>I</w:t>
      </w:r>
      <w:r>
        <w:rPr>
          <w:b/>
          <w:sz w:val="20"/>
          <w:vertAlign w:val="baseline"/>
        </w:rPr>
        <w:t>)</w:t>
      </w:r>
    </w:p>
    <w:p>
      <w:pPr>
        <w:pStyle w:val="BodyText"/>
        <w:spacing w:before="115"/>
        <w:ind w:left="219"/>
        <w:jc w:val="both"/>
      </w:pPr>
      <w:r>
        <w:rPr>
          <w:b/>
        </w:rPr>
        <w:t>Tier 1: </w:t>
      </w:r>
      <w:r>
        <w:rPr/>
        <w:t>Under Tier 1, it is </w:t>
      </w:r>
      <w:r>
        <w:rPr>
          <w:i/>
        </w:rPr>
        <w:t>good practice </w:t>
      </w:r>
      <w:r>
        <w:rPr/>
        <w:t>to use default stock change factors (F</w:t>
      </w:r>
      <w:r>
        <w:rPr>
          <w:vertAlign w:val="subscript"/>
        </w:rPr>
        <w:t>LU</w:t>
      </w:r>
      <w:r>
        <w:rPr>
          <w:vertAlign w:val="baseline"/>
        </w:rPr>
        <w:t>, F</w:t>
      </w:r>
      <w:r>
        <w:rPr>
          <w:vertAlign w:val="subscript"/>
        </w:rPr>
        <w:t>MG</w:t>
      </w:r>
      <w:r>
        <w:rPr>
          <w:vertAlign w:val="baseline"/>
        </w:rPr>
        <w:t>, F</w:t>
      </w:r>
      <w:r>
        <w:rPr>
          <w:vertAlign w:val="subscript"/>
        </w:rPr>
        <w:t>I</w:t>
      </w:r>
      <w:r>
        <w:rPr>
          <w:vertAlign w:val="baseline"/>
        </w:rPr>
        <w:t>) as referred to in Table</w:t>
      </w:r>
    </w:p>
    <w:p>
      <w:pPr>
        <w:pStyle w:val="BodyText"/>
        <w:spacing w:before="1"/>
        <w:ind w:left="219" w:right="266"/>
        <w:jc w:val="both"/>
      </w:pPr>
      <w:r>
        <w:rPr/>
        <w:t>3.4.10. These are updated from the </w:t>
      </w:r>
      <w:r>
        <w:rPr>
          <w:i/>
        </w:rPr>
        <w:t>IPCC Guidelines</w:t>
      </w:r>
      <w:r>
        <w:rPr/>
        <w:t>, based on a statistical analysis of published research. Definitions guiding the selection of appropriate factor values are provided in the table. Stock change factors are used in estimating both post- (SOC</w:t>
      </w:r>
      <w:r>
        <w:rPr>
          <w:vertAlign w:val="subscript"/>
        </w:rPr>
        <w:t>0</w:t>
      </w:r>
      <w:r>
        <w:rPr>
          <w:vertAlign w:val="baseline"/>
        </w:rPr>
        <w:t>) and pre-conversion (SOC</w:t>
      </w:r>
      <w:r>
        <w:rPr>
          <w:vertAlign w:val="subscript"/>
        </w:rPr>
        <w:t>(0-T)</w:t>
      </w:r>
      <w:r>
        <w:rPr>
          <w:vertAlign w:val="baseline"/>
        </w:rPr>
        <w:t>) stocks; values will vary according to land  use and management conditions before and after the conversion. Note that where forest is converted to grassland use, the stock change factors all have the value of one, such that the pre-conversion soil carbon stocks are equal to the native vegetation reference values</w:t>
      </w:r>
      <w:r>
        <w:rPr>
          <w:spacing w:val="-3"/>
          <w:vertAlign w:val="baseline"/>
        </w:rPr>
        <w:t> </w:t>
      </w:r>
      <w:r>
        <w:rPr>
          <w:vertAlign w:val="baseline"/>
        </w:rPr>
        <w:t>(SOC</w:t>
      </w:r>
      <w:r>
        <w:rPr>
          <w:position w:val="-2"/>
          <w:sz w:val="10"/>
          <w:vertAlign w:val="baseline"/>
        </w:rPr>
        <w:t>REF</w:t>
      </w:r>
      <w:r>
        <w:rPr>
          <w:vertAlign w:val="baseline"/>
        </w:rPr>
        <w:t>).</w:t>
      </w:r>
    </w:p>
    <w:p>
      <w:pPr>
        <w:pStyle w:val="BodyText"/>
        <w:spacing w:before="3"/>
        <w:rPr>
          <w:sz w:val="10"/>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55"/>
        <w:gridCol w:w="2505"/>
        <w:gridCol w:w="3753"/>
      </w:tblGrid>
      <w:tr>
        <w:trPr>
          <w:trHeight w:val="534" w:hRule="atLeast"/>
        </w:trPr>
        <w:tc>
          <w:tcPr>
            <w:tcW w:w="9013" w:type="dxa"/>
            <w:gridSpan w:val="3"/>
            <w:tcBorders>
              <w:bottom w:val="double" w:sz="1" w:space="0" w:color="000000"/>
            </w:tcBorders>
          </w:tcPr>
          <w:p>
            <w:pPr>
              <w:pStyle w:val="TableParagraph"/>
              <w:spacing w:line="207" w:lineRule="exact" w:before="59"/>
              <w:ind w:left="781" w:right="770"/>
              <w:jc w:val="center"/>
              <w:rPr>
                <w:b/>
                <w:sz w:val="18"/>
              </w:rPr>
            </w:pPr>
            <w:r>
              <w:rPr>
                <w:b/>
                <w:sz w:val="18"/>
              </w:rPr>
              <w:t>T</w:t>
            </w:r>
            <w:r>
              <w:rPr>
                <w:b/>
                <w:sz w:val="14"/>
              </w:rPr>
              <w:t>ABLE </w:t>
            </w:r>
            <w:r>
              <w:rPr>
                <w:b/>
                <w:sz w:val="18"/>
              </w:rPr>
              <w:t>3.4.10</w:t>
            </w:r>
          </w:p>
          <w:p>
            <w:pPr>
              <w:pStyle w:val="TableParagraph"/>
              <w:spacing w:line="207" w:lineRule="exact"/>
              <w:ind w:left="781" w:right="734"/>
              <w:jc w:val="center"/>
              <w:rPr>
                <w:b/>
                <w:sz w:val="14"/>
              </w:rPr>
            </w:pPr>
            <w:r>
              <w:rPr>
                <w:b/>
                <w:sz w:val="18"/>
              </w:rPr>
              <w:t>R</w:t>
            </w:r>
            <w:r>
              <w:rPr>
                <w:b/>
                <w:sz w:val="14"/>
              </w:rPr>
              <w:t>ELATIVE SOIL STOCK CHANGE FACTORS FOR LAND</w:t>
            </w:r>
            <w:r>
              <w:rPr>
                <w:b/>
                <w:sz w:val="18"/>
              </w:rPr>
              <w:t>-</w:t>
            </w:r>
            <w:r>
              <w:rPr>
                <w:b/>
                <w:sz w:val="14"/>
              </w:rPr>
              <w:t>USE CONVERSIONS TO GRASSLAND</w:t>
            </w:r>
          </w:p>
        </w:tc>
      </w:tr>
      <w:tr>
        <w:trPr>
          <w:trHeight w:val="308" w:hRule="atLeast"/>
        </w:trPr>
        <w:tc>
          <w:tcPr>
            <w:tcW w:w="2755" w:type="dxa"/>
            <w:tcBorders>
              <w:top w:val="double" w:sz="1" w:space="0" w:color="000000"/>
            </w:tcBorders>
          </w:tcPr>
          <w:p>
            <w:pPr>
              <w:pStyle w:val="TableParagraph"/>
              <w:spacing w:before="52"/>
              <w:ind w:left="184" w:right="177"/>
              <w:jc w:val="center"/>
              <w:rPr>
                <w:b/>
                <w:sz w:val="18"/>
              </w:rPr>
            </w:pPr>
            <w:r>
              <w:rPr>
                <w:b/>
                <w:sz w:val="18"/>
              </w:rPr>
              <w:t>Factor value type</w:t>
            </w:r>
          </w:p>
        </w:tc>
        <w:tc>
          <w:tcPr>
            <w:tcW w:w="2505" w:type="dxa"/>
            <w:tcBorders>
              <w:top w:val="double" w:sz="1" w:space="0" w:color="000000"/>
            </w:tcBorders>
          </w:tcPr>
          <w:p>
            <w:pPr>
              <w:pStyle w:val="TableParagraph"/>
              <w:spacing w:before="52"/>
              <w:ind w:left="535" w:right="521"/>
              <w:jc w:val="center"/>
              <w:rPr>
                <w:b/>
                <w:sz w:val="18"/>
              </w:rPr>
            </w:pPr>
            <w:r>
              <w:rPr>
                <w:b/>
                <w:sz w:val="18"/>
              </w:rPr>
              <w:t>Level</w:t>
            </w:r>
          </w:p>
        </w:tc>
        <w:tc>
          <w:tcPr>
            <w:tcW w:w="3753" w:type="dxa"/>
            <w:tcBorders>
              <w:top w:val="double" w:sz="1" w:space="0" w:color="000000"/>
            </w:tcBorders>
          </w:tcPr>
          <w:p>
            <w:pPr>
              <w:pStyle w:val="TableParagraph"/>
              <w:spacing w:before="52"/>
              <w:ind w:left="1383" w:right="1365"/>
              <w:jc w:val="center"/>
              <w:rPr>
                <w:b/>
                <w:sz w:val="18"/>
              </w:rPr>
            </w:pPr>
            <w:r>
              <w:rPr>
                <w:rFonts w:ascii="TimesNewRomanPS-BoldItalicMT"/>
                <w:b/>
                <w:i/>
                <w:sz w:val="18"/>
              </w:rPr>
              <w:t>GPG </w:t>
            </w:r>
            <w:r>
              <w:rPr>
                <w:b/>
                <w:sz w:val="18"/>
              </w:rPr>
              <w:t>default</w:t>
            </w:r>
          </w:p>
        </w:tc>
      </w:tr>
      <w:tr>
        <w:trPr>
          <w:trHeight w:val="330" w:hRule="atLeast"/>
        </w:trPr>
        <w:tc>
          <w:tcPr>
            <w:tcW w:w="2755" w:type="dxa"/>
          </w:tcPr>
          <w:p>
            <w:pPr>
              <w:pStyle w:val="TableParagraph"/>
              <w:spacing w:before="57"/>
              <w:ind w:left="184" w:right="180"/>
              <w:jc w:val="center"/>
              <w:rPr>
                <w:sz w:val="18"/>
              </w:rPr>
            </w:pPr>
            <w:r>
              <w:rPr>
                <w:sz w:val="18"/>
              </w:rPr>
              <w:t>Land use, Management, &amp; Input</w:t>
            </w:r>
          </w:p>
        </w:tc>
        <w:tc>
          <w:tcPr>
            <w:tcW w:w="2505" w:type="dxa"/>
          </w:tcPr>
          <w:p>
            <w:pPr>
              <w:pStyle w:val="TableParagraph"/>
              <w:spacing w:before="57"/>
              <w:ind w:left="535" w:right="524"/>
              <w:jc w:val="center"/>
              <w:rPr>
                <w:sz w:val="18"/>
              </w:rPr>
            </w:pPr>
            <w:r>
              <w:rPr>
                <w:sz w:val="18"/>
              </w:rPr>
              <w:t>Managed grassland</w:t>
            </w:r>
          </w:p>
        </w:tc>
        <w:tc>
          <w:tcPr>
            <w:tcW w:w="3753" w:type="dxa"/>
          </w:tcPr>
          <w:p>
            <w:pPr>
              <w:pStyle w:val="TableParagraph"/>
              <w:spacing w:before="57"/>
              <w:ind w:right="683"/>
              <w:jc w:val="right"/>
              <w:rPr>
                <w:sz w:val="18"/>
              </w:rPr>
            </w:pPr>
            <w:r>
              <w:rPr>
                <w:sz w:val="18"/>
              </w:rPr>
              <w:t>See default values in Table 3.4.5</w:t>
            </w:r>
          </w:p>
        </w:tc>
      </w:tr>
      <w:tr>
        <w:trPr>
          <w:trHeight w:val="330" w:hRule="atLeast"/>
        </w:trPr>
        <w:tc>
          <w:tcPr>
            <w:tcW w:w="2755" w:type="dxa"/>
          </w:tcPr>
          <w:p>
            <w:pPr>
              <w:pStyle w:val="TableParagraph"/>
              <w:spacing w:before="57"/>
              <w:ind w:left="184" w:right="179"/>
              <w:jc w:val="center"/>
              <w:rPr>
                <w:sz w:val="18"/>
              </w:rPr>
            </w:pPr>
            <w:r>
              <w:rPr>
                <w:sz w:val="18"/>
              </w:rPr>
              <w:t>Land use, Management, &amp; Input</w:t>
            </w:r>
          </w:p>
        </w:tc>
        <w:tc>
          <w:tcPr>
            <w:tcW w:w="2505" w:type="dxa"/>
          </w:tcPr>
          <w:p>
            <w:pPr>
              <w:pStyle w:val="TableParagraph"/>
              <w:spacing w:before="57"/>
              <w:ind w:left="535" w:right="521"/>
              <w:jc w:val="center"/>
              <w:rPr>
                <w:sz w:val="18"/>
              </w:rPr>
            </w:pPr>
            <w:r>
              <w:rPr>
                <w:sz w:val="18"/>
              </w:rPr>
              <w:t>Cropland</w:t>
            </w:r>
          </w:p>
        </w:tc>
        <w:tc>
          <w:tcPr>
            <w:tcW w:w="3753" w:type="dxa"/>
          </w:tcPr>
          <w:p>
            <w:pPr>
              <w:pStyle w:val="TableParagraph"/>
              <w:spacing w:before="57"/>
              <w:ind w:right="681"/>
              <w:jc w:val="right"/>
              <w:rPr>
                <w:sz w:val="18"/>
              </w:rPr>
            </w:pPr>
            <w:r>
              <w:rPr>
                <w:sz w:val="18"/>
              </w:rPr>
              <w:t>See default values in Table 3.3.4</w:t>
            </w:r>
          </w:p>
        </w:tc>
      </w:tr>
      <w:tr>
        <w:trPr>
          <w:trHeight w:val="328" w:hRule="atLeast"/>
        </w:trPr>
        <w:tc>
          <w:tcPr>
            <w:tcW w:w="2755" w:type="dxa"/>
          </w:tcPr>
          <w:p>
            <w:pPr>
              <w:pStyle w:val="TableParagraph"/>
              <w:spacing w:before="57"/>
              <w:ind w:left="183" w:right="180"/>
              <w:jc w:val="center"/>
              <w:rPr>
                <w:sz w:val="18"/>
              </w:rPr>
            </w:pPr>
            <w:r>
              <w:rPr>
                <w:sz w:val="18"/>
              </w:rPr>
              <w:t>Land use, Management, &amp; Input</w:t>
            </w:r>
          </w:p>
        </w:tc>
        <w:tc>
          <w:tcPr>
            <w:tcW w:w="2505" w:type="dxa"/>
          </w:tcPr>
          <w:p>
            <w:pPr>
              <w:pStyle w:val="TableParagraph"/>
              <w:spacing w:before="57"/>
              <w:ind w:left="535" w:right="524"/>
              <w:jc w:val="center"/>
              <w:rPr>
                <w:sz w:val="18"/>
              </w:rPr>
            </w:pPr>
            <w:r>
              <w:rPr>
                <w:sz w:val="18"/>
              </w:rPr>
              <w:t>Forest land</w:t>
            </w:r>
          </w:p>
        </w:tc>
        <w:tc>
          <w:tcPr>
            <w:tcW w:w="3753" w:type="dxa"/>
          </w:tcPr>
          <w:p>
            <w:pPr>
              <w:pStyle w:val="TableParagraph"/>
              <w:spacing w:before="57"/>
              <w:ind w:right="612"/>
              <w:jc w:val="right"/>
              <w:rPr>
                <w:sz w:val="18"/>
              </w:rPr>
            </w:pPr>
            <w:r>
              <w:rPr>
                <w:sz w:val="18"/>
              </w:rPr>
              <w:t>Default values for F</w:t>
            </w:r>
            <w:r>
              <w:rPr>
                <w:sz w:val="18"/>
                <w:vertAlign w:val="subscript"/>
              </w:rPr>
              <w:t>LU</w:t>
            </w:r>
            <w:r>
              <w:rPr>
                <w:sz w:val="18"/>
                <w:vertAlign w:val="baseline"/>
              </w:rPr>
              <w:t>, F</w:t>
            </w:r>
            <w:r>
              <w:rPr>
                <w:sz w:val="18"/>
                <w:vertAlign w:val="subscript"/>
              </w:rPr>
              <w:t>MG</w:t>
            </w:r>
            <w:r>
              <w:rPr>
                <w:sz w:val="18"/>
                <w:vertAlign w:val="baseline"/>
              </w:rPr>
              <w:t>, F</w:t>
            </w:r>
            <w:r>
              <w:rPr>
                <w:sz w:val="18"/>
                <w:vertAlign w:val="subscript"/>
              </w:rPr>
              <w:t>I</w:t>
            </w:r>
            <w:r>
              <w:rPr>
                <w:sz w:val="18"/>
                <w:vertAlign w:val="baseline"/>
              </w:rPr>
              <w:t> = 1</w:t>
            </w:r>
          </w:p>
        </w:tc>
      </w:tr>
    </w:tbl>
    <w:p>
      <w:pPr>
        <w:pStyle w:val="BodyText"/>
        <w:spacing w:before="10"/>
        <w:rPr>
          <w:sz w:val="29"/>
        </w:rPr>
      </w:pPr>
    </w:p>
    <w:p>
      <w:pPr>
        <w:pStyle w:val="BodyText"/>
        <w:ind w:left="219" w:right="264"/>
        <w:jc w:val="both"/>
      </w:pPr>
      <w:r>
        <w:rPr>
          <w:b/>
        </w:rPr>
        <w:t>Tier 2: </w:t>
      </w:r>
      <w:r>
        <w:rPr/>
        <w:t>For the Tier 2 method, estimation of country-specific stock change factors for land-use conversion to grassland will typically be based on paired-plot comparisons representing converted and unconverted lands, where all factors other than land-use history are as similar as possible (e.g. Davidson and Ackermann, 1993). Ideally</w:t>
      </w:r>
      <w:r>
        <w:rPr>
          <w:spacing w:val="2"/>
        </w:rPr>
        <w:t> </w:t>
      </w:r>
      <w:r>
        <w:rPr/>
        <w:t>several</w:t>
      </w:r>
      <w:r>
        <w:rPr>
          <w:spacing w:val="7"/>
        </w:rPr>
        <w:t> </w:t>
      </w:r>
      <w:r>
        <w:rPr/>
        <w:t>sample</w:t>
      </w:r>
      <w:r>
        <w:rPr>
          <w:spacing w:val="6"/>
        </w:rPr>
        <w:t> </w:t>
      </w:r>
      <w:r>
        <w:rPr/>
        <w:t>locations</w:t>
      </w:r>
      <w:r>
        <w:rPr>
          <w:spacing w:val="6"/>
        </w:rPr>
        <w:t> </w:t>
      </w:r>
      <w:r>
        <w:rPr/>
        <w:t>can</w:t>
      </w:r>
      <w:r>
        <w:rPr>
          <w:spacing w:val="4"/>
        </w:rPr>
        <w:t> </w:t>
      </w:r>
      <w:r>
        <w:rPr/>
        <w:t>be</w:t>
      </w:r>
      <w:r>
        <w:rPr>
          <w:spacing w:val="7"/>
        </w:rPr>
        <w:t> </w:t>
      </w:r>
      <w:r>
        <w:rPr/>
        <w:t>found</w:t>
      </w:r>
      <w:r>
        <w:rPr>
          <w:spacing w:val="7"/>
        </w:rPr>
        <w:t> </w:t>
      </w:r>
      <w:r>
        <w:rPr/>
        <w:t>that</w:t>
      </w:r>
      <w:r>
        <w:rPr>
          <w:spacing w:val="6"/>
        </w:rPr>
        <w:t> </w:t>
      </w:r>
      <w:r>
        <w:rPr/>
        <w:t>represent</w:t>
      </w:r>
      <w:r>
        <w:rPr>
          <w:spacing w:val="6"/>
        </w:rPr>
        <w:t> </w:t>
      </w:r>
      <w:r>
        <w:rPr/>
        <w:t>a</w:t>
      </w:r>
      <w:r>
        <w:rPr>
          <w:spacing w:val="7"/>
        </w:rPr>
        <w:t> </w:t>
      </w:r>
      <w:r>
        <w:rPr/>
        <w:t>given</w:t>
      </w:r>
      <w:r>
        <w:rPr>
          <w:spacing w:val="4"/>
        </w:rPr>
        <w:t> </w:t>
      </w:r>
      <w:r>
        <w:rPr/>
        <w:t>land</w:t>
      </w:r>
      <w:r>
        <w:rPr>
          <w:spacing w:val="8"/>
        </w:rPr>
        <w:t> </w:t>
      </w:r>
      <w:r>
        <w:rPr/>
        <w:t>use</w:t>
      </w:r>
      <w:r>
        <w:rPr>
          <w:spacing w:val="6"/>
        </w:rPr>
        <w:t> </w:t>
      </w:r>
      <w:r>
        <w:rPr/>
        <w:t>at</w:t>
      </w:r>
      <w:r>
        <w:rPr>
          <w:spacing w:val="7"/>
        </w:rPr>
        <w:t> </w:t>
      </w:r>
      <w:r>
        <w:rPr/>
        <w:t>different</w:t>
      </w:r>
      <w:r>
        <w:rPr>
          <w:spacing w:val="6"/>
        </w:rPr>
        <w:t> </w:t>
      </w:r>
      <w:r>
        <w:rPr/>
        <w:t>times</w:t>
      </w:r>
      <w:r>
        <w:rPr>
          <w:spacing w:val="6"/>
        </w:rPr>
        <w:t> </w:t>
      </w:r>
      <w:r>
        <w:rPr/>
        <w:t>since</w:t>
      </w:r>
      <w:r>
        <w:rPr>
          <w:spacing w:val="6"/>
        </w:rPr>
        <w:t> </w:t>
      </w:r>
      <w:r>
        <w:rPr/>
        <w:t>conversion</w:t>
      </w:r>
    </w:p>
    <w:p>
      <w:pPr>
        <w:pStyle w:val="BodyText"/>
        <w:spacing w:before="2"/>
        <w:ind w:left="219"/>
        <w:jc w:val="both"/>
      </w:pPr>
      <w:r>
        <w:rPr/>
        <w:t>–</w:t>
      </w:r>
      <w:r>
        <w:rPr>
          <w:spacing w:val="21"/>
        </w:rPr>
        <w:t> </w:t>
      </w:r>
      <w:r>
        <w:rPr/>
        <w:t>referred</w:t>
      </w:r>
      <w:r>
        <w:rPr>
          <w:spacing w:val="21"/>
        </w:rPr>
        <w:t> </w:t>
      </w:r>
      <w:r>
        <w:rPr/>
        <w:t>to</w:t>
      </w:r>
      <w:r>
        <w:rPr>
          <w:spacing w:val="21"/>
        </w:rPr>
        <w:t> </w:t>
      </w:r>
      <w:r>
        <w:rPr/>
        <w:t>as</w:t>
      </w:r>
      <w:r>
        <w:rPr>
          <w:spacing w:val="20"/>
        </w:rPr>
        <w:t> </w:t>
      </w:r>
      <w:r>
        <w:rPr/>
        <w:t>a</w:t>
      </w:r>
      <w:r>
        <w:rPr>
          <w:spacing w:val="20"/>
        </w:rPr>
        <w:t> </w:t>
      </w:r>
      <w:r>
        <w:rPr/>
        <w:t>chronosequence</w:t>
      </w:r>
      <w:r>
        <w:rPr>
          <w:spacing w:val="20"/>
        </w:rPr>
        <w:t> </w:t>
      </w:r>
      <w:r>
        <w:rPr/>
        <w:t>(e.g.</w:t>
      </w:r>
      <w:r>
        <w:rPr>
          <w:spacing w:val="20"/>
        </w:rPr>
        <w:t> </w:t>
      </w:r>
      <w:r>
        <w:rPr/>
        <w:t>Neill</w:t>
      </w:r>
      <w:r>
        <w:rPr>
          <w:spacing w:val="19"/>
        </w:rPr>
        <w:t> </w:t>
      </w:r>
      <w:r>
        <w:rPr>
          <w:i/>
        </w:rPr>
        <w:t>et</w:t>
      </w:r>
      <w:r>
        <w:rPr>
          <w:i/>
          <w:spacing w:val="22"/>
        </w:rPr>
        <w:t> </w:t>
      </w:r>
      <w:r>
        <w:rPr>
          <w:i/>
        </w:rPr>
        <w:t>al.</w:t>
      </w:r>
      <w:r>
        <w:rPr/>
        <w:t>,</w:t>
      </w:r>
      <w:r>
        <w:rPr>
          <w:spacing w:val="20"/>
        </w:rPr>
        <w:t> </w:t>
      </w:r>
      <w:r>
        <w:rPr/>
        <w:t>1997).</w:t>
      </w:r>
      <w:r>
        <w:rPr>
          <w:spacing w:val="18"/>
        </w:rPr>
        <w:t> </w:t>
      </w:r>
      <w:r>
        <w:rPr/>
        <w:t>There</w:t>
      </w:r>
      <w:r>
        <w:rPr>
          <w:spacing w:val="20"/>
        </w:rPr>
        <w:t> </w:t>
      </w:r>
      <w:r>
        <w:rPr/>
        <w:t>are</w:t>
      </w:r>
      <w:r>
        <w:rPr>
          <w:spacing w:val="20"/>
        </w:rPr>
        <w:t> </w:t>
      </w:r>
      <w:r>
        <w:rPr/>
        <w:t>few</w:t>
      </w:r>
      <w:r>
        <w:rPr>
          <w:spacing w:val="17"/>
        </w:rPr>
        <w:t> </w:t>
      </w:r>
      <w:r>
        <w:rPr/>
        <w:t>replicated</w:t>
      </w:r>
      <w:r>
        <w:rPr>
          <w:spacing w:val="20"/>
        </w:rPr>
        <w:t> </w:t>
      </w:r>
      <w:r>
        <w:rPr/>
        <w:t>long-term</w:t>
      </w:r>
      <w:r>
        <w:rPr>
          <w:spacing w:val="16"/>
        </w:rPr>
        <w:t> </w:t>
      </w:r>
      <w:r>
        <w:rPr/>
        <w:t>experiments</w:t>
      </w:r>
      <w:r>
        <w:rPr>
          <w:spacing w:val="19"/>
        </w:rPr>
        <w:t> </w:t>
      </w:r>
      <w:r>
        <w:rPr/>
        <w:t>of</w:t>
      </w:r>
    </w:p>
    <w:p>
      <w:pPr>
        <w:spacing w:after="0"/>
        <w:jc w:val="both"/>
        <w:sectPr>
          <w:pgSz w:w="11900" w:h="16840"/>
          <w:pgMar w:header="230" w:footer="408" w:top="560" w:bottom="600" w:left="1200" w:right="1140"/>
        </w:sectPr>
      </w:pPr>
    </w:p>
    <w:p>
      <w:pPr>
        <w:pStyle w:val="BodyText"/>
      </w:pPr>
    </w:p>
    <w:p>
      <w:pPr>
        <w:pStyle w:val="BodyText"/>
        <w:spacing w:before="209"/>
        <w:ind w:left="219" w:right="261"/>
        <w:jc w:val="both"/>
      </w:pPr>
      <w:r>
        <w:rPr/>
        <w:t>land- use conversions and thus stock change factors and emission factors for land-use conversions will have a relatively high uncertainty. In evaluating existing studies or conducting new measurements it is critical that the plots being compared have similar pre-conversion histories and management as well as similar topographic position, soil physical properties, and be located in close proximity. As for permanent grassland, required information includes C stock (i.e. mass per unit area to a specified depth) for each land use (and time point if a chronosequence). As previously described under Grassland Remaining Grassland, in the absence of specific information upon which to select an alternative depth interval, it is </w:t>
      </w:r>
      <w:r>
        <w:rPr>
          <w:i/>
        </w:rPr>
        <w:t>good practice </w:t>
      </w:r>
      <w:r>
        <w:rPr/>
        <w:t>to compare stock change factors at a depth of at least 30 cm (i.e. the depth used for Tier 1 calculations). Stock changes over a deeper depth may be desirable if a sufficient number of studies are available and if statistically significant differences in  stocks due to land management are demonstrated at deeper depths. However, it is critical that the reference soil carbon stocks (SOC</w:t>
      </w:r>
      <w:r>
        <w:rPr>
          <w:vertAlign w:val="subscript"/>
        </w:rPr>
        <w:t>Ref</w:t>
      </w:r>
      <w:r>
        <w:rPr>
          <w:vertAlign w:val="baseline"/>
        </w:rPr>
        <w:t>) and stock change factors (F</w:t>
      </w:r>
      <w:r>
        <w:rPr>
          <w:vertAlign w:val="subscript"/>
        </w:rPr>
        <w:t>LU</w:t>
      </w:r>
      <w:r>
        <w:rPr>
          <w:vertAlign w:val="baseline"/>
        </w:rPr>
        <w:t>, F</w:t>
      </w:r>
      <w:r>
        <w:rPr>
          <w:vertAlign w:val="subscript"/>
        </w:rPr>
        <w:t>MG</w:t>
      </w:r>
      <w:r>
        <w:rPr>
          <w:vertAlign w:val="baseline"/>
        </w:rPr>
        <w:t>, F</w:t>
      </w:r>
      <w:r>
        <w:rPr>
          <w:vertAlign w:val="subscript"/>
        </w:rPr>
        <w:t>I</w:t>
      </w:r>
      <w:r>
        <w:rPr>
          <w:vertAlign w:val="baseline"/>
        </w:rPr>
        <w:t>) be determined to a common</w:t>
      </w:r>
      <w:r>
        <w:rPr>
          <w:spacing w:val="-12"/>
          <w:vertAlign w:val="baseline"/>
        </w:rPr>
        <w:t> </w:t>
      </w:r>
      <w:r>
        <w:rPr>
          <w:vertAlign w:val="baseline"/>
        </w:rPr>
        <w:t>depth.</w:t>
      </w:r>
    </w:p>
    <w:p>
      <w:pPr>
        <w:pStyle w:val="BodyText"/>
        <w:spacing w:before="4"/>
        <w:rPr>
          <w:sz w:val="21"/>
        </w:rPr>
      </w:pPr>
    </w:p>
    <w:p>
      <w:pPr>
        <w:pStyle w:val="Heading7"/>
        <w:spacing w:line="251" w:lineRule="exact"/>
      </w:pPr>
      <w:r>
        <w:rPr/>
        <w:t>Organic soils</w:t>
      </w:r>
    </w:p>
    <w:p>
      <w:pPr>
        <w:pStyle w:val="BodyText"/>
        <w:ind w:left="219" w:right="264"/>
        <w:jc w:val="both"/>
      </w:pPr>
      <w:r>
        <w:rPr/>
        <w:t>Tier 1 and Tier 2 choice of C emission factors from organic soils recently converted to managed grassland should observe the same procedures for deriving emission factors as described earlier under the Grassland Remaining Grassland</w:t>
      </w:r>
      <w:r>
        <w:rPr>
          <w:spacing w:val="-1"/>
        </w:rPr>
        <w:t> </w:t>
      </w:r>
      <w:r>
        <w:rPr/>
        <w:t>section.</w:t>
      </w:r>
    </w:p>
    <w:p>
      <w:pPr>
        <w:pStyle w:val="BodyText"/>
        <w:rPr>
          <w:sz w:val="21"/>
        </w:rPr>
      </w:pPr>
    </w:p>
    <w:p>
      <w:pPr>
        <w:pStyle w:val="Heading6"/>
        <w:numPr>
          <w:ilvl w:val="5"/>
          <w:numId w:val="73"/>
        </w:numPr>
        <w:tabs>
          <w:tab w:pos="1449" w:val="left" w:leader="none"/>
        </w:tabs>
        <w:spacing w:line="240" w:lineRule="auto" w:before="1" w:after="0"/>
        <w:ind w:left="1448" w:right="0" w:hanging="1229"/>
        <w:jc w:val="both"/>
      </w:pPr>
      <w:r>
        <w:rPr/>
        <w:t>3 </w:t>
      </w:r>
      <w:r>
        <w:rPr>
          <w:spacing w:val="16"/>
        </w:rPr>
        <w:t>Choice </w:t>
      </w:r>
      <w:r>
        <w:rPr>
          <w:spacing w:val="9"/>
        </w:rPr>
        <w:t>of </w:t>
      </w:r>
      <w:r>
        <w:rPr>
          <w:spacing w:val="16"/>
        </w:rPr>
        <w:t>Activity</w:t>
      </w:r>
      <w:r>
        <w:rPr>
          <w:spacing w:val="15"/>
        </w:rPr>
        <w:t> </w:t>
      </w:r>
      <w:r>
        <w:rPr>
          <w:spacing w:val="19"/>
        </w:rPr>
        <w:t>Data</w:t>
      </w:r>
    </w:p>
    <w:p>
      <w:pPr>
        <w:pStyle w:val="BodyText"/>
        <w:spacing w:before="56"/>
        <w:ind w:left="219" w:right="260" w:firstLine="50"/>
        <w:jc w:val="both"/>
      </w:pPr>
      <w:r>
        <w:rPr/>
        <w:t>All tiers require estimates of land areas converted to grassland. The same area estimates should be used for both biomass and soil calculations on land converted to grassland. Higher tiers require greater specificity of areas. To be consistent with </w:t>
      </w:r>
      <w:r>
        <w:rPr>
          <w:i/>
        </w:rPr>
        <w:t>IPCC Guidelines</w:t>
      </w:r>
      <w:r>
        <w:rPr/>
        <w:t>, at a minimum, the area of land converted to grassland should be identified separately for all tiers. This implies at least some knowledge of the land uses prior to conversion; this may require expert judgment if Approach 1 in Chapter 2 is used for land area</w:t>
      </w:r>
      <w:r>
        <w:rPr>
          <w:spacing w:val="-3"/>
        </w:rPr>
        <w:t> </w:t>
      </w:r>
      <w:r>
        <w:rPr/>
        <w:t>identification.</w:t>
      </w:r>
    </w:p>
    <w:p>
      <w:pPr>
        <w:pStyle w:val="BodyText"/>
        <w:spacing w:before="119"/>
        <w:ind w:left="219" w:right="263"/>
        <w:jc w:val="both"/>
      </w:pPr>
      <w:r>
        <w:rPr>
          <w:b/>
        </w:rPr>
        <w:t>Tier 1: </w:t>
      </w:r>
      <w:r>
        <w:rPr/>
        <w:t>One type of activity data is needed for a Tier 1 approach: separate estimates of areas converted to grassland from initial land uses (i.e., forest land, cropland), by climate region. Distribution of land use conversion by soil type (i.e. within a climate region) needs to be estimated, either by spatially explicit methods (e.g. overlays between maps of land use conversion and soils maps) or by knowledge of the distribution of major soil types within areas subject to land use conversion by country experts. The determination of the area of land converted to grassland needs to be consistent with the time period (T in Equation 3.4.8) used in the stock change calculations. If countries do not have these data, partial samples may be extrapolated to the entire land base or historic estimates of conversions may be extrapolated in time based on the judgement of country experts. Under Tier 1 calculations, international statistics such as FAO databases, </w:t>
      </w:r>
      <w:r>
        <w:rPr>
          <w:i/>
        </w:rPr>
        <w:t>IPCC Guidelines</w:t>
      </w:r>
      <w:r>
        <w:rPr/>
        <w:t>, and other sources, supplemented with sound assumptions by country experts, can be used to estimate the area of land converted to grassland from each initial land use. For higher tier calculations, country-specific data sources are used to estimate all transitions from initial land use to</w:t>
      </w:r>
      <w:r>
        <w:rPr>
          <w:spacing w:val="-2"/>
        </w:rPr>
        <w:t> </w:t>
      </w:r>
      <w:r>
        <w:rPr/>
        <w:t>grassland.</w:t>
      </w:r>
    </w:p>
    <w:p>
      <w:pPr>
        <w:pStyle w:val="BodyText"/>
        <w:spacing w:before="120"/>
        <w:ind w:left="219" w:right="263"/>
        <w:jc w:val="both"/>
      </w:pPr>
      <w:r>
        <w:rPr>
          <w:b/>
        </w:rPr>
        <w:t>Tier 2: </w:t>
      </w:r>
      <w:r>
        <w:rPr/>
        <w:t>Countries should strive to use actual area estimates for all possible transitions from initial land use to grassland, stratified by management condition. Full coverage of land areas can be accomplished through analysis of periodic remotely sensed images of land use and land cover patterns, through periodic ground-based sampling of land use patterns, or hybrid inventory systems. If such finer resolution country-specific data are partially available, countries are encouraged to use sound assumptions from best available knowledge to extrapolate to the entire land base. Historical estimates of conversions may be extrapolated in time based on the judgment of country experts.</w:t>
      </w:r>
    </w:p>
    <w:p>
      <w:pPr>
        <w:pStyle w:val="BodyText"/>
        <w:spacing w:before="121"/>
        <w:ind w:left="219" w:right="265"/>
        <w:jc w:val="both"/>
      </w:pPr>
      <w:r>
        <w:rPr>
          <w:b/>
        </w:rPr>
        <w:t>Tier 3: </w:t>
      </w:r>
      <w:r>
        <w:rPr/>
        <w:t>Activity data used in Tier 3 calculations should be a full accounting of all land use transitions to grassland and be disaggregated to account for different conditions within a country. Disaggregation can occur along political (county, province, etc.), biome, climate, or on a combination of these parameters. In many cases countries may have information on multi-year trends in land conversion (from periodic sample-based or  remotely sensed inventories of land use and land</w:t>
      </w:r>
      <w:r>
        <w:rPr>
          <w:spacing w:val="-3"/>
        </w:rPr>
        <w:t> </w:t>
      </w:r>
      <w:r>
        <w:rPr/>
        <w:t>cover).</w:t>
      </w:r>
    </w:p>
    <w:p>
      <w:pPr>
        <w:pStyle w:val="BodyText"/>
        <w:spacing w:before="3"/>
        <w:rPr>
          <w:sz w:val="21"/>
        </w:rPr>
      </w:pPr>
    </w:p>
    <w:p>
      <w:pPr>
        <w:pStyle w:val="Heading6"/>
        <w:numPr>
          <w:ilvl w:val="5"/>
          <w:numId w:val="73"/>
        </w:numPr>
        <w:tabs>
          <w:tab w:pos="1451" w:val="left" w:leader="none"/>
        </w:tabs>
        <w:spacing w:line="240" w:lineRule="auto" w:before="1" w:after="0"/>
        <w:ind w:left="1450" w:right="0" w:hanging="1231"/>
        <w:jc w:val="both"/>
      </w:pPr>
      <w:r>
        <w:rPr/>
        <w:t>4 </w:t>
      </w:r>
      <w:r>
        <w:rPr>
          <w:spacing w:val="17"/>
        </w:rPr>
        <w:t>Uncertainty</w:t>
      </w:r>
      <w:r>
        <w:rPr>
          <w:spacing w:val="24"/>
        </w:rPr>
        <w:t> </w:t>
      </w:r>
      <w:r>
        <w:rPr>
          <w:spacing w:val="18"/>
        </w:rPr>
        <w:t>Assessment</w:t>
      </w:r>
    </w:p>
    <w:p>
      <w:pPr>
        <w:pStyle w:val="BodyText"/>
        <w:spacing w:before="53"/>
        <w:ind w:left="219" w:right="266"/>
        <w:jc w:val="both"/>
      </w:pPr>
      <w:r>
        <w:rPr>
          <w:b/>
        </w:rPr>
        <w:t>Tier 1: </w:t>
      </w:r>
      <w:r>
        <w:rPr/>
        <w:t>The sources of uncertainty in this method are from the use of global or national average rates of conversion and course estimates of land areas converted to grassland. In addition, reliance on default parameters for carbon stocks in initial and final conditions contributes to relatively high degrees of uncertainty. The default values in this method have corresponding error ranges associated with them.</w:t>
      </w:r>
    </w:p>
    <w:p>
      <w:pPr>
        <w:pStyle w:val="BodyText"/>
        <w:spacing w:before="120"/>
        <w:ind w:left="219" w:right="266"/>
        <w:jc w:val="both"/>
      </w:pPr>
      <w:r>
        <w:rPr>
          <w:b/>
        </w:rPr>
        <w:t>Tier 2: </w:t>
      </w:r>
      <w:r>
        <w:rPr/>
        <w:t>Actual area estimates for different land use transitions will enable more transparent accounting and  allow experts to identify gaps and double counting of land areas. The Tier 2 method uses at least some country- defined defaults, which will improve the accuracy of estimates, because they better represent conditions relevant to the country. Use of country-specific values should entail sufficient sample sizes and or use of expert judgment to estimate uncertainties, which, together with uncertainty estimates on activity data derived using the advice in Chapter 2 should be used in the approaches to uncertainty analysis described in Chapter 5 of this</w:t>
      </w:r>
      <w:r>
        <w:rPr>
          <w:spacing w:val="-25"/>
        </w:rPr>
        <w:t> </w:t>
      </w:r>
      <w:r>
        <w:rPr/>
        <w:t>report.</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4"/>
        <w:jc w:val="both"/>
      </w:pPr>
      <w:r>
        <w:rPr>
          <w:b/>
        </w:rPr>
        <w:t>Tier 3: </w:t>
      </w:r>
      <w:r>
        <w:rPr/>
        <w:t>Activity data from a land use and management inventory system should provide a basis to assign estimates of uncertainty to areas associated with land-use changes. Combining emission and activity data and their associated uncertainties can be done using Monte-Carlo procedures to estimate means and confidence intervals for the overall inventory.</w:t>
      </w:r>
    </w:p>
    <w:p>
      <w:pPr>
        <w:pStyle w:val="BodyText"/>
        <w:rPr>
          <w:sz w:val="22"/>
        </w:rPr>
      </w:pPr>
    </w:p>
    <w:p>
      <w:pPr>
        <w:spacing w:before="149"/>
        <w:ind w:left="219" w:right="0" w:firstLine="0"/>
        <w:jc w:val="both"/>
        <w:rPr>
          <w:b/>
          <w:sz w:val="22"/>
        </w:rPr>
      </w:pPr>
      <w:r>
        <w:rPr>
          <w:b/>
          <w:sz w:val="28"/>
        </w:rPr>
        <w:t>3.4.2.3 N</w:t>
      </w:r>
      <w:r>
        <w:rPr>
          <w:b/>
          <w:sz w:val="22"/>
        </w:rPr>
        <w:t>ON</w:t>
      </w:r>
      <w:r>
        <w:rPr>
          <w:b/>
          <w:sz w:val="28"/>
        </w:rPr>
        <w:t>-CO</w:t>
      </w:r>
      <w:r>
        <w:rPr>
          <w:b/>
          <w:sz w:val="28"/>
          <w:vertAlign w:val="subscript"/>
        </w:rPr>
        <w:t>2</w:t>
      </w:r>
      <w:r>
        <w:rPr>
          <w:b/>
          <w:sz w:val="28"/>
          <w:vertAlign w:val="baseline"/>
        </w:rPr>
        <w:t> </w:t>
      </w:r>
      <w:r>
        <w:rPr>
          <w:b/>
          <w:sz w:val="22"/>
          <w:vertAlign w:val="baseline"/>
        </w:rPr>
        <w:t>GREENHOUSE GASES</w:t>
      </w:r>
    </w:p>
    <w:p>
      <w:pPr>
        <w:pStyle w:val="BodyText"/>
        <w:spacing w:before="209"/>
        <w:ind w:left="219" w:right="267"/>
        <w:jc w:val="both"/>
      </w:pPr>
      <w:r>
        <w:rPr/>
        <w:t>As for all grasslands, sources of CH</w:t>
      </w:r>
      <w:r>
        <w:rPr>
          <w:vertAlign w:val="subscript"/>
        </w:rPr>
        <w:t>4</w:t>
      </w:r>
      <w:r>
        <w:rPr>
          <w:vertAlign w:val="baseline"/>
        </w:rPr>
        <w:t> and N</w:t>
      </w:r>
      <w:r>
        <w:rPr>
          <w:vertAlign w:val="subscript"/>
        </w:rPr>
        <w:t>2</w:t>
      </w:r>
      <w:r>
        <w:rPr>
          <w:vertAlign w:val="baseline"/>
        </w:rPr>
        <w:t>O emissions associated with grassland that have recently undergone a change in land use are likely to</w:t>
      </w:r>
      <w:r>
        <w:rPr>
          <w:spacing w:val="-1"/>
          <w:vertAlign w:val="baseline"/>
        </w:rPr>
        <w:t> </w:t>
      </w:r>
      <w:r>
        <w:rPr>
          <w:vertAlign w:val="baseline"/>
        </w:rPr>
        <w:t>be:</w:t>
      </w:r>
    </w:p>
    <w:p>
      <w:pPr>
        <w:pStyle w:val="BodyText"/>
        <w:spacing w:before="135"/>
        <w:ind w:left="219"/>
        <w:jc w:val="both"/>
      </w:pPr>
      <w:r>
        <w:rPr>
          <w:rFonts w:ascii="Symbol" w:hAnsi="Symbol"/>
        </w:rPr>
        <w:t>• </w:t>
      </w:r>
      <w:r>
        <w:rPr/>
        <w:t>Emissions from vegetation fires;</w:t>
      </w:r>
    </w:p>
    <w:p>
      <w:pPr>
        <w:pStyle w:val="BodyText"/>
        <w:spacing w:before="116"/>
        <w:ind w:left="219"/>
        <w:jc w:val="both"/>
      </w:pPr>
      <w:r>
        <w:rPr>
          <w:rFonts w:ascii="Symbol" w:hAnsi="Symbol"/>
        </w:rPr>
        <w:t>• </w:t>
      </w:r>
      <w:r>
        <w:rPr/>
        <w:t>N</w:t>
      </w:r>
      <w:r>
        <w:rPr>
          <w:vertAlign w:val="subscript"/>
        </w:rPr>
        <w:t>2</w:t>
      </w:r>
      <w:r>
        <w:rPr>
          <w:vertAlign w:val="baseline"/>
        </w:rPr>
        <w:t>O emissions from mineralisation of soil organic matter;</w:t>
      </w:r>
    </w:p>
    <w:p>
      <w:pPr>
        <w:pStyle w:val="BodyText"/>
        <w:spacing w:before="119"/>
        <w:ind w:left="219"/>
        <w:jc w:val="both"/>
      </w:pPr>
      <w:r>
        <w:rPr>
          <w:rFonts w:ascii="Symbol" w:hAnsi="Symbol"/>
        </w:rPr>
        <w:t>• </w:t>
      </w:r>
      <w:r>
        <w:rPr/>
        <w:t>N</w:t>
      </w:r>
      <w:r>
        <w:rPr>
          <w:vertAlign w:val="subscript"/>
        </w:rPr>
        <w:t>2</w:t>
      </w:r>
      <w:r>
        <w:rPr>
          <w:vertAlign w:val="baseline"/>
        </w:rPr>
        <w:t>O from fertiliser use;</w:t>
      </w:r>
    </w:p>
    <w:p>
      <w:pPr>
        <w:pStyle w:val="BodyText"/>
        <w:spacing w:before="118"/>
        <w:ind w:left="219"/>
        <w:jc w:val="both"/>
      </w:pPr>
      <w:r>
        <w:rPr>
          <w:rFonts w:ascii="Symbol" w:hAnsi="Symbol"/>
        </w:rPr>
        <w:t>• </w:t>
      </w:r>
      <w:r>
        <w:rPr/>
        <w:t>Increase in N</w:t>
      </w:r>
      <w:r>
        <w:rPr>
          <w:vertAlign w:val="subscript"/>
        </w:rPr>
        <w:t>2</w:t>
      </w:r>
      <w:r>
        <w:rPr>
          <w:vertAlign w:val="baseline"/>
        </w:rPr>
        <w:t>O emissions and reduction in CH</w:t>
      </w:r>
      <w:r>
        <w:rPr>
          <w:vertAlign w:val="subscript"/>
        </w:rPr>
        <w:t>4</w:t>
      </w:r>
      <w:r>
        <w:rPr>
          <w:vertAlign w:val="baseline"/>
        </w:rPr>
        <w:t> emissions from drainage of organic soils; and</w:t>
      </w:r>
    </w:p>
    <w:p>
      <w:pPr>
        <w:pStyle w:val="BodyText"/>
        <w:spacing w:before="118"/>
        <w:ind w:left="219"/>
        <w:jc w:val="both"/>
      </w:pPr>
      <w:r>
        <w:rPr>
          <w:rFonts w:ascii="Symbol" w:hAnsi="Symbol"/>
        </w:rPr>
        <w:t>• </w:t>
      </w:r>
      <w:r>
        <w:rPr/>
        <w:t>Reduced CH</w:t>
      </w:r>
      <w:r>
        <w:rPr>
          <w:vertAlign w:val="subscript"/>
        </w:rPr>
        <w:t>4</w:t>
      </w:r>
      <w:r>
        <w:rPr>
          <w:vertAlign w:val="baseline"/>
        </w:rPr>
        <w:t> sink in aerobic soils due to fertiliser use.</w:t>
      </w:r>
    </w:p>
    <w:p>
      <w:pPr>
        <w:pStyle w:val="BodyText"/>
        <w:spacing w:before="102"/>
        <w:ind w:left="219" w:right="263"/>
        <w:jc w:val="both"/>
      </w:pPr>
      <w:r>
        <w:rPr/>
        <w:t>Emissions of methane from grazing livestock (enteric fermentation) and nitrous oxide from fertiliser use and animal waste should be calculated and reported using the methods set out in Chapter 4 (the Agriculture chapter) of the </w:t>
      </w:r>
      <w:r>
        <w:rPr>
          <w:i/>
        </w:rPr>
        <w:t>IPCC Guidelines </w:t>
      </w:r>
      <w:r>
        <w:rPr/>
        <w:t>and the corresponding parts (Section 4.2 and 4.7) of </w:t>
      </w:r>
      <w:r>
        <w:rPr>
          <w:i/>
        </w:rPr>
        <w:t>GPG2000</w:t>
      </w:r>
      <w:r>
        <w:rPr/>
        <w:t>.</w:t>
      </w:r>
    </w:p>
    <w:p>
      <w:pPr>
        <w:pStyle w:val="BodyText"/>
        <w:spacing w:before="121"/>
        <w:ind w:left="219" w:right="264"/>
        <w:jc w:val="both"/>
      </w:pPr>
      <w:r>
        <w:rPr/>
        <w:t>Fire related emissions should be calculated using the methods set out in Section 3.2.1.4, taking account, where data are available to do so, of the fact that the fuel load will often be higher during the transition period if the previous land use was forest.</w:t>
      </w:r>
    </w:p>
    <w:p>
      <w:pPr>
        <w:pStyle w:val="BodyText"/>
        <w:spacing w:before="119"/>
        <w:ind w:left="219" w:right="266" w:hanging="1"/>
        <w:jc w:val="both"/>
      </w:pPr>
      <w:r>
        <w:rPr/>
        <w:t>Land-use conversion may lead to mineralisation of soil organic matter nitrogen, which can increase N</w:t>
      </w:r>
      <w:r>
        <w:rPr>
          <w:vertAlign w:val="subscript"/>
        </w:rPr>
        <w:t>2</w:t>
      </w:r>
      <w:r>
        <w:rPr>
          <w:vertAlign w:val="baseline"/>
        </w:rPr>
        <w:t>O emissions. However, depending on the previous land use, climate and soil type, land-use conversion to grassland can also increase soil organic matter (Guo and Gifford, 2002).</w:t>
      </w:r>
    </w:p>
    <w:p>
      <w:pPr>
        <w:pStyle w:val="BodyText"/>
        <w:spacing w:before="121"/>
        <w:ind w:left="219" w:right="265"/>
        <w:jc w:val="both"/>
      </w:pPr>
      <w:r>
        <w:rPr/>
        <w:t>Fertilization of grassland will tend to reduce the soil methane uptake, and, where wetland soils have been drained nitrous oxide emissions may increase and countries reporting Agricultural emissions at Tier 3 may wish to take these effects into account as described in Section 3.4.1.3. Additional effects of the transition to grassland that may influence non-CO</w:t>
      </w:r>
      <w:r>
        <w:rPr>
          <w:vertAlign w:val="subscript"/>
        </w:rPr>
        <w:t>2</w:t>
      </w:r>
      <w:r>
        <w:rPr>
          <w:vertAlign w:val="baseline"/>
        </w:rPr>
        <w:t> emissions, for example soil disturbance due to ploughing, or compaction where mechanical equipment is used for clearance, but the effects are unlikely to be large, and no default methods exist to account for them. Changes in the rate of removal CH</w:t>
      </w:r>
      <w:r>
        <w:rPr>
          <w:vertAlign w:val="subscript"/>
        </w:rPr>
        <w:t>4</w:t>
      </w:r>
      <w:r>
        <w:rPr>
          <w:vertAlign w:val="baseline"/>
        </w:rPr>
        <w:t> from the atmosphere by aerated topsoil arising from the conversion is not addressed in this guidance, though a fuller consideration of various activities on methane oxidation may be possible in future.</w:t>
      </w:r>
    </w:p>
    <w:p>
      <w:pPr>
        <w:pStyle w:val="BodyText"/>
        <w:rPr>
          <w:sz w:val="22"/>
        </w:rPr>
      </w:pPr>
    </w:p>
    <w:p>
      <w:pPr>
        <w:pStyle w:val="BodyText"/>
        <w:spacing w:before="1"/>
      </w:pPr>
    </w:p>
    <w:p>
      <w:pPr>
        <w:pStyle w:val="Heading2"/>
        <w:numPr>
          <w:ilvl w:val="2"/>
          <w:numId w:val="74"/>
        </w:numPr>
        <w:tabs>
          <w:tab w:pos="1422" w:val="left" w:leader="none"/>
        </w:tabs>
        <w:spacing w:line="240" w:lineRule="auto" w:before="0" w:after="0"/>
        <w:ind w:left="1421" w:right="0" w:hanging="1202"/>
        <w:jc w:val="both"/>
      </w:pPr>
      <w:r>
        <w:rPr>
          <w:spacing w:val="9"/>
        </w:rPr>
        <w:t>Completeness</w:t>
      </w:r>
    </w:p>
    <w:p>
      <w:pPr>
        <w:pStyle w:val="BodyText"/>
        <w:spacing w:before="116"/>
        <w:ind w:left="219" w:right="263"/>
        <w:jc w:val="both"/>
      </w:pPr>
      <w:r>
        <w:rPr/>
        <w:t>A complete data series for land area estimates contains, at a minimum, the area of land within country boundaries that is considered grassland during the time period covered by land use surveys or other data sources and for which greenhouse gas emission and removals are estimated in the LULUCF sector. The total area covered by the grassland inventory methodology is the sum of land remaining in grassland and land converted to grassland during the time period. This inventory methodology may not include some grassland areas where greenhouse gas emissions and removals are believed to be insignificant or constant through time, such as native grassland with moderate grazing and no significant management inputs. Therefore, it is possible for the total grassland area for which estimates are prepared to be less than the total area of grassland within country boundaries. In this case, it is </w:t>
      </w:r>
      <w:r>
        <w:rPr>
          <w:i/>
        </w:rPr>
        <w:t>good practice </w:t>
      </w:r>
      <w:r>
        <w:rPr/>
        <w:t>for countries to document and explain the difference in grassland area in the inventory and total grassland within their boundaries. Countries are encouraged to track through time the total area of land in grassland within country boundaries, keeping transparent records on which portions are used to estimate carbon dioxide emissions and removals. As addressed in Chapter 2, all grassland areas, including those not covered by the emissions inventory, should be part of the consistency checks to help avoid double counting or omission. When summed with area estimates for other land uses, the grassland area data series will enable a complete assessment of the land base included in a countries’ LULUCF sector inventory</w:t>
      </w:r>
      <w:r>
        <w:rPr>
          <w:spacing w:val="-27"/>
        </w:rPr>
        <w:t> </w:t>
      </w:r>
      <w:r>
        <w:rPr/>
        <w:t>report.</w:t>
      </w:r>
    </w:p>
    <w:p>
      <w:pPr>
        <w:pStyle w:val="BodyText"/>
        <w:spacing w:before="119"/>
        <w:ind w:left="219" w:right="262"/>
        <w:jc w:val="both"/>
      </w:pPr>
      <w:r>
        <w:rPr/>
        <w:t>Countries that use Tier 2 or 3 methods for grassland biomass and soil pools should include more detail in their inventory on the grassland area data series. For example, countries may need to stratify the grassland area by major climate and soil types, including both the inventoried and non-inventoried grassland areas. When stratified land areas are used in the inventory, it is </w:t>
      </w:r>
      <w:r>
        <w:rPr>
          <w:i/>
        </w:rPr>
        <w:t>good practice </w:t>
      </w:r>
      <w:r>
        <w:rPr/>
        <w:t>for countries to use the same area classifications for both the biomass and soils pools. This will ensure consistency and transparency, allow for efficient use of land</w:t>
      </w:r>
    </w:p>
    <w:p>
      <w:pPr>
        <w:spacing w:after="0"/>
        <w:jc w:val="both"/>
        <w:sectPr>
          <w:footerReference w:type="default" r:id="rId151"/>
          <w:footerReference w:type="even" r:id="rId152"/>
          <w:pgSz w:w="11900" w:h="16840"/>
          <w:pgMar w:footer="408" w:header="230" w:top="560" w:bottom="600" w:left="1200" w:right="1140"/>
        </w:sectPr>
      </w:pPr>
    </w:p>
    <w:p>
      <w:pPr>
        <w:pStyle w:val="BodyText"/>
      </w:pPr>
    </w:p>
    <w:p>
      <w:pPr>
        <w:pStyle w:val="BodyText"/>
        <w:spacing w:before="2"/>
        <w:rPr>
          <w:sz w:val="18"/>
        </w:rPr>
      </w:pPr>
    </w:p>
    <w:p>
      <w:pPr>
        <w:pStyle w:val="BodyText"/>
        <w:ind w:left="219" w:right="268"/>
        <w:jc w:val="both"/>
      </w:pPr>
      <w:r>
        <w:rPr/>
        <w:t>surveys and other data collection tools, and enable the explicit linking between carbon dioxide emissions and removals in biomass and soil pools.</w:t>
      </w:r>
    </w:p>
    <w:p>
      <w:pPr>
        <w:pStyle w:val="BodyText"/>
        <w:rPr>
          <w:sz w:val="22"/>
        </w:rPr>
      </w:pPr>
    </w:p>
    <w:p>
      <w:pPr>
        <w:pStyle w:val="BodyText"/>
        <w:spacing w:before="3"/>
      </w:pPr>
    </w:p>
    <w:p>
      <w:pPr>
        <w:pStyle w:val="Heading2"/>
        <w:numPr>
          <w:ilvl w:val="2"/>
          <w:numId w:val="74"/>
        </w:numPr>
        <w:tabs>
          <w:tab w:pos="1421" w:val="left" w:leader="none"/>
          <w:tab w:pos="1422" w:val="left" w:leader="none"/>
        </w:tabs>
        <w:spacing w:line="240" w:lineRule="auto" w:before="1" w:after="0"/>
        <w:ind w:left="1421" w:right="0" w:hanging="1202"/>
        <w:jc w:val="left"/>
      </w:pPr>
      <w:r>
        <w:rPr>
          <w:spacing w:val="8"/>
        </w:rPr>
        <w:t>Developing </w:t>
      </w:r>
      <w:r>
        <w:rPr/>
        <w:t>a </w:t>
      </w:r>
      <w:r>
        <w:rPr>
          <w:spacing w:val="8"/>
        </w:rPr>
        <w:t>Consistent </w:t>
      </w:r>
      <w:r>
        <w:rPr>
          <w:spacing w:val="7"/>
        </w:rPr>
        <w:t>Time</w:t>
      </w:r>
      <w:r>
        <w:rPr>
          <w:spacing w:val="64"/>
        </w:rPr>
        <w:t> </w:t>
      </w:r>
      <w:r>
        <w:rPr>
          <w:spacing w:val="9"/>
        </w:rPr>
        <w:t>Series</w:t>
      </w:r>
    </w:p>
    <w:p>
      <w:pPr>
        <w:pStyle w:val="BodyText"/>
        <w:spacing w:before="113"/>
        <w:ind w:left="219" w:right="262"/>
        <w:jc w:val="both"/>
      </w:pPr>
      <w:r>
        <w:rPr/>
        <w:t>To maintain a consistent time series, it is </w:t>
      </w:r>
      <w:r>
        <w:rPr>
          <w:i/>
        </w:rPr>
        <w:t>good practice </w:t>
      </w:r>
      <w:r>
        <w:rPr/>
        <w:t>for countries to maintain records on the grassland areas used in inventory reports over time. These records should track the total grassland area included in the inventory, subdivided by lands remaining in grassland and land converted to grassland. Countries are encouraged to include an estimate of the total grassland area within country boundaries. To ensure that area estimates are treated consistently through time, land use definitions should be clearly defined and kept constant. If changes are made to land use definitions, it is </w:t>
      </w:r>
      <w:r>
        <w:rPr>
          <w:i/>
        </w:rPr>
        <w:t>good practice </w:t>
      </w:r>
      <w:r>
        <w:rPr/>
        <w:t>to keep transparent records of how the definition changed. Consistent definitions should also be used for each of the grassland types and management systems included in the inventory. In addition, to facilitate the proper accounting of carbon emissions and removals over several periods, information on historic land conversions can be utilized. Even if a country cannot rely on historic data for current inventories, improvements to current inventory practices to provide the ability to track land conversions across time will have benefits in future</w:t>
      </w:r>
      <w:r>
        <w:rPr>
          <w:spacing w:val="1"/>
        </w:rPr>
        <w:t> </w:t>
      </w:r>
      <w:r>
        <w:rPr/>
        <w:t>inventories.</w:t>
      </w:r>
    </w:p>
    <w:p>
      <w:pPr>
        <w:pStyle w:val="BodyText"/>
        <w:spacing w:before="120"/>
        <w:ind w:left="219" w:right="269"/>
        <w:jc w:val="both"/>
      </w:pPr>
      <w:r>
        <w:rPr/>
        <w:t>Consistent estimation and reporting requires common definitions of activities, climate and soil types during the period of the inventory, which may require work to relate definitions used by national agencies involved in data collection, as set out in Chapter 2.</w:t>
      </w:r>
    </w:p>
    <w:p>
      <w:pPr>
        <w:pStyle w:val="BodyText"/>
        <w:rPr>
          <w:sz w:val="22"/>
        </w:rPr>
      </w:pPr>
    </w:p>
    <w:p>
      <w:pPr>
        <w:pStyle w:val="BodyText"/>
        <w:spacing w:before="4"/>
      </w:pPr>
    </w:p>
    <w:p>
      <w:pPr>
        <w:pStyle w:val="Heading2"/>
        <w:numPr>
          <w:ilvl w:val="2"/>
          <w:numId w:val="74"/>
        </w:numPr>
        <w:tabs>
          <w:tab w:pos="1421" w:val="left" w:leader="none"/>
          <w:tab w:pos="1422" w:val="left" w:leader="none"/>
        </w:tabs>
        <w:spacing w:line="240" w:lineRule="auto" w:before="0" w:after="0"/>
        <w:ind w:left="1421" w:right="0" w:hanging="1202"/>
        <w:jc w:val="left"/>
      </w:pPr>
      <w:r>
        <w:rPr>
          <w:spacing w:val="8"/>
        </w:rPr>
        <w:t>Reporting </w:t>
      </w:r>
      <w:r>
        <w:rPr>
          <w:spacing w:val="6"/>
        </w:rPr>
        <w:t>and</w:t>
      </w:r>
      <w:r>
        <w:rPr>
          <w:spacing w:val="31"/>
        </w:rPr>
        <w:t> </w:t>
      </w:r>
      <w:r>
        <w:rPr>
          <w:spacing w:val="9"/>
        </w:rPr>
        <w:t>Documentation</w:t>
      </w:r>
    </w:p>
    <w:p>
      <w:pPr>
        <w:pStyle w:val="BodyText"/>
        <w:spacing w:before="114"/>
        <w:ind w:left="219" w:right="267"/>
        <w:jc w:val="both"/>
      </w:pPr>
      <w:r>
        <w:rPr/>
        <w:t>The categories described in Section 3.4 can be reported using the reporting tables in Annex 3A.2. The estimates under the grassland category can be compared with the reporting categories in the </w:t>
      </w:r>
      <w:r>
        <w:rPr>
          <w:i/>
        </w:rPr>
        <w:t>IPCC Guidelines </w:t>
      </w:r>
      <w:r>
        <w:rPr/>
        <w:t>as follows:</w:t>
      </w:r>
    </w:p>
    <w:p>
      <w:pPr>
        <w:pStyle w:val="BodyText"/>
        <w:rPr>
          <w:sz w:val="18"/>
        </w:rPr>
      </w:pPr>
    </w:p>
    <w:p>
      <w:pPr>
        <w:pStyle w:val="BodyText"/>
        <w:tabs>
          <w:tab w:pos="579" w:val="left" w:leader="none"/>
        </w:tabs>
        <w:spacing w:line="223" w:lineRule="auto"/>
        <w:ind w:left="579" w:right="354" w:hanging="360"/>
      </w:pPr>
      <w:r>
        <w:rPr>
          <w:rFonts w:ascii="Symbol" w:hAnsi="Symbol"/>
        </w:rPr>
        <w:t>•</w:t>
        <w:tab/>
      </w:r>
      <w:r>
        <w:rPr/>
        <w:t>Carbon dioxide emissions and removals in woody biomass in grassland remaining grassland to IPCC Reporting Category 5A, Changes in woody</w:t>
      </w:r>
      <w:r>
        <w:rPr>
          <w:spacing w:val="-5"/>
        </w:rPr>
        <w:t> </w:t>
      </w:r>
      <w:r>
        <w:rPr/>
        <w:t>biomass;</w:t>
      </w:r>
    </w:p>
    <w:p>
      <w:pPr>
        <w:pStyle w:val="BodyText"/>
        <w:tabs>
          <w:tab w:pos="579" w:val="left" w:leader="none"/>
        </w:tabs>
        <w:spacing w:line="223" w:lineRule="auto" w:before="148"/>
        <w:ind w:left="579" w:right="354" w:hanging="360"/>
      </w:pPr>
      <w:r>
        <w:rPr>
          <w:rFonts w:ascii="Symbol" w:hAnsi="Symbol"/>
        </w:rPr>
        <w:t>•</w:t>
        <w:tab/>
      </w:r>
      <w:r>
        <w:rPr/>
        <w:t>Carbon dioxide emissions and removals in soils in grassland remaining grassland to IPCC Reporting Category 5D, Changes in soil carbon;</w:t>
      </w:r>
      <w:r>
        <w:rPr>
          <w:spacing w:val="-4"/>
        </w:rPr>
        <w:t> </w:t>
      </w:r>
      <w:r>
        <w:rPr/>
        <w:t>and</w:t>
      </w:r>
    </w:p>
    <w:p>
      <w:pPr>
        <w:pStyle w:val="BodyText"/>
        <w:spacing w:line="230" w:lineRule="auto" w:before="146"/>
        <w:ind w:left="579" w:right="266" w:hanging="360"/>
        <w:jc w:val="both"/>
      </w:pPr>
      <w:r>
        <w:rPr>
          <w:rFonts w:ascii="Symbol" w:hAnsi="Symbol"/>
        </w:rPr>
        <w:t>• </w:t>
      </w:r>
      <w:r>
        <w:rPr/>
        <w:t>Carbon dioxide emissions and removals resulting from land-use conversions to grassland to IPCC Reporting Category 5B for biomass, IPCC Reporting category 5D for soils, and IPCC Reporting Category 5E for non- CO</w:t>
      </w:r>
      <w:r>
        <w:rPr>
          <w:vertAlign w:val="subscript"/>
        </w:rPr>
        <w:t>2</w:t>
      </w:r>
      <w:r>
        <w:rPr>
          <w:vertAlign w:val="baseline"/>
        </w:rPr>
        <w:t> gases.</w:t>
      </w:r>
    </w:p>
    <w:p>
      <w:pPr>
        <w:pStyle w:val="BodyText"/>
        <w:spacing w:before="63"/>
        <w:ind w:left="219" w:right="263" w:hanging="1"/>
        <w:jc w:val="both"/>
      </w:pPr>
      <w:r>
        <w:rPr/>
        <w:t>It is </w:t>
      </w:r>
      <w:r>
        <w:rPr>
          <w:i/>
        </w:rPr>
        <w:t>good practice </w:t>
      </w:r>
      <w:r>
        <w:rPr/>
        <w:t>to maintain and archive all information used to produce national inventory estimates. Metadata and data sources for information used to estimate country-specific factors should be documented and both mean and variance estimates provided. Actual databases and procedures used to process the data (e.g. statistical programs) to estimate country-specific factors should be archived. Activity data and definitions used to categorize or aggregate the activity data must be documented and archived. Procedures used to categorize activity data by climate and soil types (for Tier 1 and Tier 2) must be clearly documented. For Tier 3 approaches that use modelling, the model version and identification must be documented. Use of dynamic models requires that copies of all model input files as well as copies of model source code and executable programs be permanently</w:t>
      </w:r>
      <w:r>
        <w:rPr>
          <w:spacing w:val="-5"/>
        </w:rPr>
        <w:t> </w:t>
      </w:r>
      <w:r>
        <w:rPr/>
        <w:t>archived.</w:t>
      </w:r>
    </w:p>
    <w:p>
      <w:pPr>
        <w:pStyle w:val="BodyText"/>
        <w:rPr>
          <w:sz w:val="22"/>
        </w:rPr>
      </w:pPr>
    </w:p>
    <w:p>
      <w:pPr>
        <w:pStyle w:val="BodyText"/>
        <w:spacing w:before="4"/>
      </w:pPr>
    </w:p>
    <w:p>
      <w:pPr>
        <w:pStyle w:val="Heading2"/>
        <w:numPr>
          <w:ilvl w:val="2"/>
          <w:numId w:val="74"/>
        </w:numPr>
        <w:tabs>
          <w:tab w:pos="1421" w:val="left" w:leader="none"/>
          <w:tab w:pos="1422" w:val="left" w:leader="none"/>
        </w:tabs>
        <w:spacing w:line="240" w:lineRule="auto" w:before="0" w:after="0"/>
        <w:ind w:left="1409" w:right="1478" w:hanging="1190"/>
        <w:jc w:val="left"/>
      </w:pPr>
      <w:r>
        <w:rPr>
          <w:spacing w:val="8"/>
        </w:rPr>
        <w:t>Inventory </w:t>
      </w:r>
      <w:r>
        <w:rPr>
          <w:spacing w:val="7"/>
        </w:rPr>
        <w:t>Quality </w:t>
      </w:r>
      <w:r>
        <w:rPr>
          <w:spacing w:val="9"/>
        </w:rPr>
        <w:t>Assurance/Quality </w:t>
      </w:r>
      <w:r>
        <w:rPr>
          <w:spacing w:val="10"/>
        </w:rPr>
        <w:t>Control </w:t>
      </w:r>
      <w:r>
        <w:rPr>
          <w:spacing w:val="8"/>
        </w:rPr>
        <w:t>(QA/QC)</w:t>
      </w:r>
    </w:p>
    <w:p>
      <w:pPr>
        <w:pStyle w:val="BodyText"/>
        <w:spacing w:before="113"/>
        <w:ind w:left="219" w:right="267"/>
        <w:jc w:val="both"/>
      </w:pPr>
      <w:r>
        <w:rPr/>
        <w:t>It is </w:t>
      </w:r>
      <w:r>
        <w:rPr>
          <w:i/>
        </w:rPr>
        <w:t>good practice </w:t>
      </w:r>
      <w:r>
        <w:rPr/>
        <w:t>to implement quality control checks and external expert review of inventory estimates and data. Specific attention should be paid to country-specific estimates of stock change and emission factors to ensure that they are based on high quality data and verifiable expert opinion.</w:t>
      </w:r>
    </w:p>
    <w:p>
      <w:pPr>
        <w:pStyle w:val="BodyText"/>
        <w:spacing w:before="121"/>
        <w:ind w:left="219"/>
      </w:pPr>
      <w:r>
        <w:rPr/>
        <w:t>Specific QA/QC checks across the grassland methodology include:</w:t>
      </w:r>
    </w:p>
    <w:p>
      <w:pPr>
        <w:pStyle w:val="BodyText"/>
        <w:spacing w:before="121"/>
        <w:ind w:left="219" w:right="264"/>
        <w:jc w:val="both"/>
      </w:pPr>
      <w:r>
        <w:rPr>
          <w:i/>
        </w:rPr>
        <w:t>Grassland remaining grassland</w:t>
      </w:r>
      <w:r>
        <w:rPr/>
        <w:t>: Areas reporting of grassland biomass stock changes and grassland soil stock changes should be the same. Grassland may include areas where soil stock changes are accounted for but biomass changes are assumed to be zero (e.g. where non-woody biomass is largely absent), areas where both biomass and soil stocks are changing (e.g. areas with woody biomass encroachment), and areas where neither biomass nor soil stocks are changing (e.g. extensively managed native grassland). To increase transparency and eliminate</w:t>
      </w:r>
      <w:r>
        <w:rPr>
          <w:spacing w:val="12"/>
        </w:rPr>
        <w:t> </w:t>
      </w:r>
      <w:r>
        <w:rPr/>
        <w:t>errors,</w:t>
      </w:r>
      <w:r>
        <w:rPr>
          <w:spacing w:val="13"/>
        </w:rPr>
        <w:t> </w:t>
      </w:r>
      <w:r>
        <w:rPr/>
        <w:t>the</w:t>
      </w:r>
      <w:r>
        <w:rPr>
          <w:spacing w:val="13"/>
        </w:rPr>
        <w:t> </w:t>
      </w:r>
      <w:r>
        <w:rPr/>
        <w:t>total</w:t>
      </w:r>
      <w:r>
        <w:rPr>
          <w:spacing w:val="13"/>
        </w:rPr>
        <w:t> </w:t>
      </w:r>
      <w:r>
        <w:rPr/>
        <w:t>grassland</w:t>
      </w:r>
      <w:r>
        <w:rPr>
          <w:spacing w:val="13"/>
        </w:rPr>
        <w:t> </w:t>
      </w:r>
      <w:r>
        <w:rPr/>
        <w:t>area</w:t>
      </w:r>
      <w:r>
        <w:rPr>
          <w:spacing w:val="13"/>
        </w:rPr>
        <w:t> </w:t>
      </w:r>
      <w:r>
        <w:rPr/>
        <w:t>where</w:t>
      </w:r>
      <w:r>
        <w:rPr>
          <w:spacing w:val="13"/>
        </w:rPr>
        <w:t> </w:t>
      </w:r>
      <w:r>
        <w:rPr/>
        <w:t>any</w:t>
      </w:r>
      <w:r>
        <w:rPr>
          <w:spacing w:val="9"/>
        </w:rPr>
        <w:t> </w:t>
      </w:r>
      <w:r>
        <w:rPr/>
        <w:t>stock</w:t>
      </w:r>
      <w:r>
        <w:rPr>
          <w:spacing w:val="12"/>
        </w:rPr>
        <w:t> </w:t>
      </w:r>
      <w:r>
        <w:rPr/>
        <w:t>changes</w:t>
      </w:r>
      <w:r>
        <w:rPr>
          <w:spacing w:val="12"/>
        </w:rPr>
        <w:t> </w:t>
      </w:r>
      <w:r>
        <w:rPr/>
        <w:t>are</w:t>
      </w:r>
      <w:r>
        <w:rPr>
          <w:spacing w:val="13"/>
        </w:rPr>
        <w:t> </w:t>
      </w:r>
      <w:r>
        <w:rPr/>
        <w:t>estimated</w:t>
      </w:r>
      <w:r>
        <w:rPr>
          <w:spacing w:val="13"/>
        </w:rPr>
        <w:t> </w:t>
      </w:r>
      <w:r>
        <w:rPr/>
        <w:t>should</w:t>
      </w:r>
      <w:r>
        <w:rPr>
          <w:spacing w:val="13"/>
        </w:rPr>
        <w:t> </w:t>
      </w:r>
      <w:r>
        <w:rPr/>
        <w:t>be</w:t>
      </w:r>
      <w:r>
        <w:rPr>
          <w:spacing w:val="12"/>
        </w:rPr>
        <w:t> </w:t>
      </w:r>
      <w:r>
        <w:rPr/>
        <w:t>reported,</w:t>
      </w:r>
      <w:r>
        <w:rPr>
          <w:spacing w:val="11"/>
        </w:rPr>
        <w:t> </w:t>
      </w:r>
      <w:r>
        <w:rPr/>
        <w:t>and</w:t>
      </w:r>
      <w:r>
        <w:rPr>
          <w:spacing w:val="13"/>
        </w:rPr>
        <w:t> </w:t>
      </w:r>
      <w:r>
        <w:rPr/>
        <w:t>where</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6"/>
        <w:jc w:val="both"/>
      </w:pPr>
      <w:r>
        <w:rPr/>
        <w:t>biomass stock changes equal zero these should still be reported if soil carbon stock changes are reported for the same area.</w:t>
      </w:r>
    </w:p>
    <w:p>
      <w:pPr>
        <w:pStyle w:val="BodyText"/>
        <w:spacing w:before="121"/>
        <w:ind w:left="219" w:right="267"/>
        <w:jc w:val="both"/>
      </w:pPr>
      <w:r>
        <w:rPr>
          <w:i/>
        </w:rPr>
        <w:t>Lands converted to grassland</w:t>
      </w:r>
      <w:r>
        <w:rPr/>
        <w:t>: Aggregate area totals for land converted to grassland should be the same in the biomass and soils estimations. While biomass and soil pools may be disaggregated to different levels of detail, the same general categories should be used to disaggregate the area data.</w:t>
      </w:r>
    </w:p>
    <w:p>
      <w:pPr>
        <w:pStyle w:val="BodyText"/>
        <w:spacing w:before="121"/>
        <w:ind w:left="219" w:right="265"/>
        <w:jc w:val="both"/>
      </w:pPr>
      <w:r>
        <w:rPr/>
        <w:t>For all soil carbon stock change estimates using Tier 1 or Tier 2 methods, total areas for each climate-soil type combination must be the same for the start (year</w:t>
      </w:r>
      <w:r>
        <w:rPr>
          <w:vertAlign w:val="subscript"/>
        </w:rPr>
        <w:t>(0-T)</w:t>
      </w:r>
      <w:r>
        <w:rPr>
          <w:vertAlign w:val="baseline"/>
        </w:rPr>
        <w:t>) and the end (year</w:t>
      </w:r>
      <w:r>
        <w:rPr>
          <w:vertAlign w:val="subscript"/>
        </w:rPr>
        <w:t>(0)</w:t>
      </w:r>
      <w:r>
        <w:rPr>
          <w:vertAlign w:val="baseline"/>
        </w:rPr>
        <w:t>) of the inventory period (see Equation 3.4.9).</w:t>
      </w:r>
    </w:p>
    <w:p>
      <w:pPr>
        <w:pStyle w:val="BodyText"/>
        <w:rPr>
          <w:sz w:val="22"/>
        </w:rPr>
      </w:pPr>
    </w:p>
    <w:p>
      <w:pPr>
        <w:pStyle w:val="BodyText"/>
        <w:spacing w:before="1"/>
      </w:pPr>
    </w:p>
    <w:p>
      <w:pPr>
        <w:pStyle w:val="Heading2"/>
        <w:numPr>
          <w:ilvl w:val="2"/>
          <w:numId w:val="74"/>
        </w:numPr>
        <w:tabs>
          <w:tab w:pos="1421" w:val="left" w:leader="none"/>
          <w:tab w:pos="1422" w:val="left" w:leader="none"/>
        </w:tabs>
        <w:spacing w:line="240" w:lineRule="auto" w:before="1" w:after="0"/>
        <w:ind w:left="1409" w:right="1327" w:hanging="1190"/>
        <w:jc w:val="left"/>
      </w:pPr>
      <w:r>
        <w:rPr>
          <w:spacing w:val="8"/>
        </w:rPr>
        <w:t>Estimation </w:t>
      </w:r>
      <w:r>
        <w:rPr>
          <w:spacing w:val="6"/>
        </w:rPr>
        <w:t>of </w:t>
      </w:r>
      <w:r>
        <w:rPr>
          <w:spacing w:val="8"/>
        </w:rPr>
        <w:t>Revised </w:t>
      </w:r>
      <w:r>
        <w:rPr>
          <w:spacing w:val="7"/>
        </w:rPr>
        <w:t>GPG Tier </w:t>
      </w:r>
      <w:r>
        <w:rPr/>
        <w:t>1 </w:t>
      </w:r>
      <w:r>
        <w:rPr>
          <w:spacing w:val="8"/>
        </w:rPr>
        <w:t>Defaults </w:t>
      </w:r>
      <w:r>
        <w:rPr>
          <w:spacing w:val="6"/>
        </w:rPr>
        <w:t>for </w:t>
      </w:r>
      <w:r>
        <w:rPr>
          <w:spacing w:val="8"/>
        </w:rPr>
        <w:t>Grassland Management </w:t>
      </w:r>
      <w:r>
        <w:rPr>
          <w:spacing w:val="7"/>
        </w:rPr>
        <w:t>(see </w:t>
      </w:r>
      <w:r>
        <w:rPr>
          <w:spacing w:val="8"/>
        </w:rPr>
        <w:t>Table</w:t>
      </w:r>
      <w:r>
        <w:rPr>
          <w:spacing w:val="55"/>
        </w:rPr>
        <w:t> </w:t>
      </w:r>
      <w:r>
        <w:rPr>
          <w:spacing w:val="10"/>
        </w:rPr>
        <w:t>3.4.5)</w:t>
      </w:r>
    </w:p>
    <w:p>
      <w:pPr>
        <w:pStyle w:val="BodyText"/>
        <w:spacing w:before="115"/>
        <w:ind w:left="219" w:right="213"/>
        <w:jc w:val="both"/>
      </w:pPr>
      <w:r>
        <w:rPr/>
        <w:t>Grassland C stock change factors were calculated for three general types of grassland condition: degraded, nominally managed, and improved grassland. An additional input factor was included for application to  improved grassland. The management improvements considered here were limited to fertilization (organic or inorganic), sowing legumes or more grass species, and irrigation. Overgrazed grassland and poorly managed (i.e., none of the management improvements were applied) tropical pastures were classified as degraded grassland. Native or introduced grasslands that were unimproved were grouped into the nominal grassland classification. Grasslands with any single type of management improvement were classified as improved grassland with medium C input rates. For improved grassland in which multiple management improvements were implemented, C input rates were considered high. The data were synthesized in linear mixed-effects models, accounting for both fixed and random effects. Fixed effects included depth, number of years since the management change, and the type of management change (e.g., reduced tillage vs. no-till). For depth, we did not aggregate data but included C stocks measured for each depth increment (e.g., 0-5 cm, 5-10 cm, and 10-30 cm) as a separate point  in the dataset. Similarly, we did not aggregate data collected at different points in time from the same study. Consequently, random effects were used to account for the interdependence in times series data and the interdependence among data points representing different depths from the same study. We estimated factors for the effect of the management practice at 20 years for the top 30 cm of the soil. Variance was calculated for each of the factor values, and used to construct probability distribution functions with a normal</w:t>
      </w:r>
      <w:r>
        <w:rPr>
          <w:spacing w:val="-6"/>
        </w:rPr>
        <w:t> </w:t>
      </w:r>
      <w:r>
        <w:rPr/>
        <w:t>density.</w:t>
      </w:r>
    </w:p>
    <w:p>
      <w:pPr>
        <w:spacing w:after="0"/>
        <w:jc w:val="both"/>
        <w:sectPr>
          <w:footerReference w:type="even" r:id="rId153"/>
          <w:footerReference w:type="default" r:id="rId154"/>
          <w:pgSz w:w="11900" w:h="16840"/>
          <w:pgMar w:footer="408" w:header="230" w:top="560" w:bottom="600" w:left="1200" w:right="1140"/>
          <w:pgNumType w:start="132"/>
        </w:sectPr>
      </w:pPr>
    </w:p>
    <w:p>
      <w:pPr>
        <w:pStyle w:val="BodyText"/>
      </w:pPr>
      <w:r>
        <w:rPr/>
        <w:pict>
          <v:group style="position:absolute;margin-left:91.240997pt;margin-top:68.519997pt;width:413.05pt;height:692.3pt;mso-position-horizontal-relative:page;mso-position-vertical-relative:page;z-index:-2443504" coordorigin="1825,1370" coordsize="8261,13846">
            <v:line style="position:absolute" from="1854,1385" to="10057,1385" stroked="true" strokeweight="1.44pt" strokecolor="#000000">
              <v:stroke dashstyle="solid"/>
            </v:line>
            <v:shape style="position:absolute;left:1839;top:1370;width:8218;height:13846" coordorigin="1839,1370" coordsize="8218,13846" path="m1854,15202l10057,15202m1839,1370l1839,15216e" filled="false" stroked="true" strokeweight="1.44pt" strokecolor="#000000">
              <v:path arrowok="t"/>
              <v:stroke dashstyle="solid"/>
            </v:shape>
            <v:line style="position:absolute" from="10071,1370" to="10071,15216" stroked="true" strokeweight="1.44pt" strokecolor="#000000">
              <v:stroke dashstyle="solid"/>
            </v:line>
            <w10:wrap type="none"/>
          </v:group>
        </w:pict>
      </w:r>
    </w:p>
    <w:p>
      <w:pPr>
        <w:pStyle w:val="BodyText"/>
      </w:pPr>
    </w:p>
    <w:p>
      <w:pPr>
        <w:pStyle w:val="BodyText"/>
      </w:pPr>
    </w:p>
    <w:p>
      <w:pPr>
        <w:pStyle w:val="BodyText"/>
        <w:spacing w:before="6"/>
      </w:pPr>
    </w:p>
    <w:p>
      <w:pPr>
        <w:spacing w:before="0"/>
        <w:ind w:left="2890" w:right="0" w:firstLine="0"/>
        <w:jc w:val="left"/>
        <w:rPr>
          <w:b/>
          <w:sz w:val="18"/>
        </w:rPr>
      </w:pPr>
      <w:r>
        <w:rPr>
          <w:b/>
          <w:sz w:val="18"/>
        </w:rPr>
        <w:t>R</w:t>
      </w:r>
      <w:r>
        <w:rPr>
          <w:b/>
          <w:sz w:val="14"/>
        </w:rPr>
        <w:t>EFERENCES USED FOR ANALYSIS IN </w:t>
      </w:r>
      <w:r>
        <w:rPr>
          <w:b/>
          <w:sz w:val="18"/>
        </w:rPr>
        <w:t>S</w:t>
      </w:r>
      <w:r>
        <w:rPr>
          <w:b/>
          <w:sz w:val="14"/>
        </w:rPr>
        <w:t>ECTION </w:t>
      </w:r>
      <w:r>
        <w:rPr>
          <w:b/>
          <w:sz w:val="18"/>
        </w:rPr>
        <w:t>3.4.7</w:t>
      </w:r>
    </w:p>
    <w:p>
      <w:pPr>
        <w:spacing w:before="117"/>
        <w:ind w:left="1119" w:right="826" w:hanging="339"/>
        <w:jc w:val="both"/>
        <w:rPr>
          <w:sz w:val="17"/>
        </w:rPr>
      </w:pPr>
      <w:r>
        <w:rPr>
          <w:sz w:val="17"/>
        </w:rPr>
        <w:t>Abril, A., and E. H. Bucher. (1999). The effects of overgrazing on soil microbial community and fertility in the Chaco dry savannas of Argentina. Applied Soil Ecology </w:t>
      </w:r>
      <w:r>
        <w:rPr>
          <w:b/>
          <w:sz w:val="17"/>
        </w:rPr>
        <w:t>12</w:t>
      </w:r>
      <w:r>
        <w:rPr>
          <w:sz w:val="17"/>
        </w:rPr>
        <w:t>:159-167.</w:t>
      </w:r>
    </w:p>
    <w:p>
      <w:pPr>
        <w:spacing w:before="79"/>
        <w:ind w:left="1119" w:right="823" w:hanging="339"/>
        <w:jc w:val="both"/>
        <w:rPr>
          <w:sz w:val="17"/>
        </w:rPr>
      </w:pPr>
      <w:r>
        <w:rPr>
          <w:sz w:val="17"/>
        </w:rPr>
        <w:t>Aina, P. O. (1979). Soil changes resulting from long-term management practices in Western Nigeria. Soil Science Society of America Journal </w:t>
      </w:r>
      <w:r>
        <w:rPr>
          <w:b/>
          <w:sz w:val="17"/>
        </w:rPr>
        <w:t>43</w:t>
      </w:r>
      <w:r>
        <w:rPr>
          <w:sz w:val="17"/>
        </w:rPr>
        <w:t>:173-177.</w:t>
      </w:r>
    </w:p>
    <w:p>
      <w:pPr>
        <w:spacing w:before="79"/>
        <w:ind w:left="780" w:right="0" w:firstLine="0"/>
        <w:jc w:val="left"/>
        <w:rPr>
          <w:sz w:val="17"/>
        </w:rPr>
      </w:pPr>
      <w:r>
        <w:rPr>
          <w:sz w:val="17"/>
        </w:rPr>
        <w:t>Arnold, P. W., F. Hunter, and P. Gonzalez Fernandez. (1976). Long-term grassland experiments at Cockle Park.</w:t>
      </w:r>
    </w:p>
    <w:p>
      <w:pPr>
        <w:spacing w:before="2"/>
        <w:ind w:left="1119" w:right="0" w:firstLine="0"/>
        <w:jc w:val="left"/>
        <w:rPr>
          <w:sz w:val="17"/>
        </w:rPr>
      </w:pPr>
      <w:r>
        <w:rPr>
          <w:sz w:val="17"/>
        </w:rPr>
        <w:t>Annales Agronomiques </w:t>
      </w:r>
      <w:r>
        <w:rPr>
          <w:b/>
          <w:sz w:val="17"/>
        </w:rPr>
        <w:t>27</w:t>
      </w:r>
      <w:r>
        <w:rPr>
          <w:sz w:val="17"/>
        </w:rPr>
        <w:t>:1027-1042.</w:t>
      </w:r>
    </w:p>
    <w:p>
      <w:pPr>
        <w:spacing w:before="78"/>
        <w:ind w:left="1119" w:right="828" w:hanging="339"/>
        <w:jc w:val="both"/>
        <w:rPr>
          <w:sz w:val="17"/>
        </w:rPr>
      </w:pPr>
      <w:r>
        <w:rPr>
          <w:sz w:val="17"/>
        </w:rPr>
        <w:t>Banerjee, M. R., D. L. Burton, W. P. McCaughey, and C. A. Grant. (2000). Influence of pasture management on soil biological quality. Journal of Range Management </w:t>
      </w:r>
      <w:r>
        <w:rPr>
          <w:b/>
          <w:sz w:val="17"/>
        </w:rPr>
        <w:t>53</w:t>
      </w:r>
      <w:r>
        <w:rPr>
          <w:sz w:val="17"/>
        </w:rPr>
        <w:t>:127-133.</w:t>
      </w:r>
    </w:p>
    <w:p>
      <w:pPr>
        <w:spacing w:before="82"/>
        <w:ind w:left="1119" w:right="824" w:hanging="339"/>
        <w:jc w:val="both"/>
        <w:rPr>
          <w:sz w:val="17"/>
        </w:rPr>
      </w:pPr>
      <w:r>
        <w:rPr>
          <w:sz w:val="17"/>
        </w:rPr>
        <w:t>Bardgett, R. D., C. Frankland Juliet, and J. B. Whittaker. (1993). The effects of agricultural practices on the soil biota of some upland grasslands. Agriculture, Ecosystems and Environment</w:t>
      </w:r>
      <w:r>
        <w:rPr>
          <w:spacing w:val="-9"/>
          <w:sz w:val="17"/>
        </w:rPr>
        <w:t> </w:t>
      </w:r>
      <w:r>
        <w:rPr>
          <w:b/>
          <w:sz w:val="17"/>
        </w:rPr>
        <w:t>45</w:t>
      </w:r>
      <w:r>
        <w:rPr>
          <w:sz w:val="17"/>
        </w:rPr>
        <w:t>:25-45.</w:t>
      </w:r>
    </w:p>
    <w:p>
      <w:pPr>
        <w:spacing w:line="195" w:lineRule="exact" w:before="79"/>
        <w:ind w:left="780" w:right="0" w:firstLine="0"/>
        <w:jc w:val="left"/>
        <w:rPr>
          <w:sz w:val="17"/>
        </w:rPr>
      </w:pPr>
      <w:r>
        <w:rPr>
          <w:sz w:val="17"/>
        </w:rPr>
        <w:t>Barrow, N. J. (1969). The accumulation of soil organic matter under pasture and its effect on soil properties.</w:t>
      </w:r>
    </w:p>
    <w:p>
      <w:pPr>
        <w:spacing w:line="195" w:lineRule="exact" w:before="0"/>
        <w:ind w:left="1119" w:right="0" w:firstLine="0"/>
        <w:jc w:val="left"/>
        <w:rPr>
          <w:sz w:val="17"/>
        </w:rPr>
      </w:pPr>
      <w:r>
        <w:rPr>
          <w:sz w:val="17"/>
        </w:rPr>
        <w:t>Australian Journal of Experimental Agriculture and Animal Husbandry </w:t>
      </w:r>
      <w:r>
        <w:rPr>
          <w:b/>
          <w:sz w:val="17"/>
        </w:rPr>
        <w:t>9</w:t>
      </w:r>
      <w:r>
        <w:rPr>
          <w:sz w:val="17"/>
        </w:rPr>
        <w:t>:437-445.</w:t>
      </w:r>
    </w:p>
    <w:p>
      <w:pPr>
        <w:spacing w:before="81"/>
        <w:ind w:left="1119" w:right="828" w:hanging="339"/>
        <w:jc w:val="both"/>
        <w:rPr>
          <w:sz w:val="17"/>
        </w:rPr>
      </w:pPr>
      <w:r>
        <w:rPr>
          <w:sz w:val="17"/>
        </w:rPr>
        <w:t>Biondini, M. E., B. D. Patton, and P. E. Nyren. (1998). Grazing intensity and ecosystem processes in a northern mixed-grass prairie, USA. Ecological Applications </w:t>
      </w:r>
      <w:r>
        <w:rPr>
          <w:b/>
          <w:sz w:val="17"/>
        </w:rPr>
        <w:t>8</w:t>
      </w:r>
      <w:r>
        <w:rPr>
          <w:sz w:val="17"/>
        </w:rPr>
        <w:t>:469-479.</w:t>
      </w:r>
    </w:p>
    <w:p>
      <w:pPr>
        <w:spacing w:before="79"/>
        <w:ind w:left="1119" w:right="826" w:hanging="339"/>
        <w:jc w:val="both"/>
        <w:rPr>
          <w:sz w:val="17"/>
        </w:rPr>
      </w:pPr>
      <w:r>
        <w:rPr>
          <w:sz w:val="17"/>
        </w:rPr>
        <w:t>Cantarutti, R. B., J. M. Brage, R. M. Boddey, and S. d. P. Resende. (1995). Caracterizacao do status de nitrogenio em solosob pastagm de Brachiaria humidicola pura e consorciada com Desmodium ovalifolium cv. Itabela. Pages 733-735 </w:t>
      </w:r>
      <w:r>
        <w:rPr>
          <w:i/>
          <w:sz w:val="17"/>
        </w:rPr>
        <w:t>in </w:t>
      </w:r>
      <w:r>
        <w:rPr>
          <w:sz w:val="17"/>
        </w:rPr>
        <w:t>Proceedings of the XXV Congresso Brasileiro do Ciencia do Solo, Micosa, </w:t>
      </w:r>
      <w:r>
        <w:rPr>
          <w:spacing w:val="-2"/>
          <w:sz w:val="17"/>
        </w:rPr>
        <w:t>MG,</w:t>
      </w:r>
      <w:r>
        <w:rPr>
          <w:spacing w:val="-30"/>
          <w:sz w:val="17"/>
        </w:rPr>
        <w:t> </w:t>
      </w:r>
      <w:r>
        <w:rPr>
          <w:sz w:val="17"/>
        </w:rPr>
        <w:t>Brazil.</w:t>
      </w:r>
    </w:p>
    <w:p>
      <w:pPr>
        <w:spacing w:line="195" w:lineRule="exact" w:before="81"/>
        <w:ind w:left="780" w:right="0" w:firstLine="0"/>
        <w:jc w:val="left"/>
        <w:rPr>
          <w:sz w:val="17"/>
        </w:rPr>
      </w:pPr>
      <w:r>
        <w:rPr>
          <w:sz w:val="17"/>
        </w:rPr>
        <w:t>Carr, S. C. M., and J. S. Turner. (1959). The ecology of the Bogong high plains II. Fencing experiments in grassland</w:t>
      </w:r>
    </w:p>
    <w:p>
      <w:pPr>
        <w:spacing w:line="195" w:lineRule="exact" w:before="0"/>
        <w:ind w:left="1119" w:right="0" w:firstLine="0"/>
        <w:jc w:val="left"/>
        <w:rPr>
          <w:sz w:val="17"/>
        </w:rPr>
      </w:pPr>
      <w:r>
        <w:rPr>
          <w:sz w:val="17"/>
        </w:rPr>
        <w:t>C. Australian Journal of Botany </w:t>
      </w:r>
      <w:r>
        <w:rPr>
          <w:b/>
          <w:sz w:val="17"/>
        </w:rPr>
        <w:t>7</w:t>
      </w:r>
      <w:r>
        <w:rPr>
          <w:sz w:val="17"/>
        </w:rPr>
        <w:t>:34-83.</w:t>
      </w:r>
    </w:p>
    <w:p>
      <w:pPr>
        <w:spacing w:before="80"/>
        <w:ind w:left="1119" w:right="832" w:hanging="339"/>
        <w:jc w:val="both"/>
        <w:rPr>
          <w:sz w:val="17"/>
        </w:rPr>
      </w:pPr>
      <w:r>
        <w:rPr>
          <w:sz w:val="17"/>
        </w:rPr>
        <w:t>Carter, M. R., D. A. Angers, and H. T. Kunelius. (1994). Soil structural for and stability, and organic matter under cool-season perennial grasses. Soil Science Society of America Journal </w:t>
      </w:r>
      <w:r>
        <w:rPr>
          <w:b/>
          <w:sz w:val="17"/>
        </w:rPr>
        <w:t>58</w:t>
      </w:r>
      <w:r>
        <w:rPr>
          <w:sz w:val="17"/>
        </w:rPr>
        <w:t>:1194-1199.</w:t>
      </w:r>
    </w:p>
    <w:p>
      <w:pPr>
        <w:spacing w:before="80"/>
        <w:ind w:left="1119" w:right="827" w:hanging="339"/>
        <w:jc w:val="both"/>
        <w:rPr>
          <w:sz w:val="17"/>
        </w:rPr>
      </w:pPr>
      <w:r>
        <w:rPr>
          <w:sz w:val="17"/>
        </w:rPr>
        <w:t>Cerri, C. C., B. Volkoff, and F. Andreaux. (1991). Nature and behavior of organic matter in soils under natural forest, and after deforestation, burning and cultivation, near Manaus. Forest Ecology and Management </w:t>
      </w:r>
      <w:r>
        <w:rPr>
          <w:b/>
          <w:sz w:val="17"/>
        </w:rPr>
        <w:t>38</w:t>
      </w:r>
      <w:r>
        <w:rPr>
          <w:sz w:val="17"/>
        </w:rPr>
        <w:t>:247- 257.</w:t>
      </w:r>
    </w:p>
    <w:p>
      <w:pPr>
        <w:spacing w:before="81"/>
        <w:ind w:left="1119" w:right="829" w:hanging="339"/>
        <w:jc w:val="both"/>
        <w:rPr>
          <w:sz w:val="17"/>
        </w:rPr>
      </w:pPr>
      <w:r>
        <w:rPr>
          <w:sz w:val="17"/>
        </w:rPr>
        <w:t>Chone, T., F. Andreuz, J. C. Correa, B. Volkhoff, and C. C. Cerri. (1991). Changes in organic matter in an Oxisol from the central Amazonian forest during eight years as pasture determined by 13C isotopic composition. Pages 397-405 </w:t>
      </w:r>
      <w:r>
        <w:rPr>
          <w:i/>
          <w:sz w:val="17"/>
        </w:rPr>
        <w:t>in </w:t>
      </w:r>
      <w:r>
        <w:rPr>
          <w:sz w:val="17"/>
        </w:rPr>
        <w:t>J. Berthelin, editor. Diversity of Environmental Biogeochemistry. Elsiver,</w:t>
      </w:r>
      <w:r>
        <w:rPr>
          <w:spacing w:val="-28"/>
          <w:sz w:val="17"/>
        </w:rPr>
        <w:t> </w:t>
      </w:r>
      <w:r>
        <w:rPr>
          <w:sz w:val="17"/>
        </w:rPr>
        <w:t>Amsterdam.</w:t>
      </w:r>
    </w:p>
    <w:p>
      <w:pPr>
        <w:spacing w:before="80"/>
        <w:ind w:left="1119" w:right="821" w:hanging="339"/>
        <w:jc w:val="both"/>
        <w:rPr>
          <w:sz w:val="17"/>
        </w:rPr>
      </w:pPr>
      <w:r>
        <w:rPr>
          <w:sz w:val="17"/>
        </w:rPr>
        <w:t>Chuluun, T., L. L. Tieszen, and D. Ojima. (1999). Land use impact on C4 plant cover of temperate east Asian grasslands. Pages 103-109 </w:t>
      </w:r>
      <w:r>
        <w:rPr>
          <w:i/>
          <w:sz w:val="17"/>
        </w:rPr>
        <w:t>in </w:t>
      </w:r>
      <w:r>
        <w:rPr>
          <w:sz w:val="17"/>
        </w:rPr>
        <w:t>K. Otsubo, editor. NIES Workshop on Information Bases and Modeling for Land- use and Land-cover Changes Studies in East Asia. Center for Global Environmental Research.</w:t>
      </w:r>
    </w:p>
    <w:p>
      <w:pPr>
        <w:spacing w:before="81"/>
        <w:ind w:left="1119" w:right="826" w:hanging="339"/>
        <w:jc w:val="both"/>
        <w:rPr>
          <w:sz w:val="17"/>
        </w:rPr>
      </w:pPr>
      <w:r>
        <w:rPr>
          <w:sz w:val="17"/>
        </w:rPr>
        <w:t>Desjardins, T., F. Andreauz, B. Volkoff, and C. C. Cerri. (1994). Organic carbon and 13C content in soils and soil size-fractions, and their changes due to deforestation and pasture installation in eastern Amazonia. Geoderma </w:t>
      </w:r>
      <w:r>
        <w:rPr>
          <w:b/>
          <w:sz w:val="17"/>
        </w:rPr>
        <w:t>61</w:t>
      </w:r>
      <w:r>
        <w:rPr>
          <w:sz w:val="17"/>
        </w:rPr>
        <w:t>:103-118.</w:t>
      </w:r>
    </w:p>
    <w:p>
      <w:pPr>
        <w:spacing w:before="78"/>
        <w:ind w:left="1119" w:right="826" w:hanging="339"/>
        <w:jc w:val="both"/>
        <w:rPr>
          <w:sz w:val="17"/>
        </w:rPr>
      </w:pPr>
      <w:r>
        <w:rPr>
          <w:sz w:val="17"/>
        </w:rPr>
        <w:t>Eden, M. J., D. F. M. McGregor, and N. A. Q. Viera. (1990). Pasture development on cleared forest land in northern Amazonia. The Geographical Journal </w:t>
      </w:r>
      <w:r>
        <w:rPr>
          <w:b/>
          <w:sz w:val="17"/>
        </w:rPr>
        <w:t>156</w:t>
      </w:r>
      <w:r>
        <w:rPr>
          <w:sz w:val="17"/>
        </w:rPr>
        <w:t>:283-296.</w:t>
      </w:r>
    </w:p>
    <w:p>
      <w:pPr>
        <w:spacing w:before="80"/>
        <w:ind w:left="1119" w:right="828" w:hanging="339"/>
        <w:jc w:val="both"/>
        <w:rPr>
          <w:sz w:val="17"/>
        </w:rPr>
      </w:pPr>
      <w:r>
        <w:rPr>
          <w:sz w:val="17"/>
        </w:rPr>
        <w:t>Escobar, C. J., and J. L. Toriatti Dematte. (1991). Distribution of organic matter and natural carbon-13 in an Ultisol in the Amazon piedmont. Pasturas Tropicales </w:t>
      </w:r>
      <w:r>
        <w:rPr>
          <w:b/>
          <w:sz w:val="17"/>
        </w:rPr>
        <w:t>13</w:t>
      </w:r>
      <w:r>
        <w:rPr>
          <w:sz w:val="17"/>
        </w:rPr>
        <w:t>:27-30.</w:t>
      </w:r>
    </w:p>
    <w:p>
      <w:pPr>
        <w:spacing w:before="82"/>
        <w:ind w:left="1119" w:right="823" w:hanging="339"/>
        <w:jc w:val="both"/>
        <w:rPr>
          <w:sz w:val="17"/>
        </w:rPr>
      </w:pPr>
      <w:r>
        <w:rPr>
          <w:sz w:val="17"/>
        </w:rPr>
        <w:t>Feigl, B. J., J. Melillo, and C. C. Cerri. (1995). Changes in the origin and quality of soil organic matter after pasture introduction in Rondonia (Brazil). Plant and Soil </w:t>
      </w:r>
      <w:r>
        <w:rPr>
          <w:b/>
          <w:sz w:val="17"/>
        </w:rPr>
        <w:t>175</w:t>
      </w:r>
      <w:r>
        <w:rPr>
          <w:sz w:val="17"/>
        </w:rPr>
        <w:t>:21-29.</w:t>
      </w:r>
    </w:p>
    <w:p>
      <w:pPr>
        <w:spacing w:before="79"/>
        <w:ind w:left="1119" w:right="828" w:hanging="339"/>
        <w:jc w:val="both"/>
        <w:rPr>
          <w:sz w:val="17"/>
        </w:rPr>
      </w:pPr>
      <w:r>
        <w:rPr>
          <w:sz w:val="17"/>
        </w:rPr>
        <w:t>Fisher, M. J., I. M. Tao, M. A. Ayarza, C. E. Lascano, J. I. Sanz, R. J. Thomas, and R. R. Vera. (1994). Carbon storage by introduced deep-rooted grasses in the South American savannas. Nature</w:t>
      </w:r>
      <w:r>
        <w:rPr>
          <w:spacing w:val="-22"/>
          <w:sz w:val="17"/>
        </w:rPr>
        <w:t> </w:t>
      </w:r>
      <w:r>
        <w:rPr>
          <w:b/>
          <w:sz w:val="17"/>
        </w:rPr>
        <w:t>371</w:t>
      </w:r>
      <w:r>
        <w:rPr>
          <w:sz w:val="17"/>
        </w:rPr>
        <w:t>:236-238.</w:t>
      </w:r>
    </w:p>
    <w:p>
      <w:pPr>
        <w:spacing w:before="80"/>
        <w:ind w:left="1119" w:right="827" w:hanging="339"/>
        <w:jc w:val="both"/>
        <w:rPr>
          <w:sz w:val="17"/>
        </w:rPr>
      </w:pPr>
      <w:r>
        <w:rPr>
          <w:sz w:val="17"/>
        </w:rPr>
        <w:t>Frank, A. B., D. L. Tanaka, L. Hofmann, and R. F. Follett. (1995). Soil carbon and nitrogen of Northern Great Plains grasslands as influenced by long-term grazing. Journal of Range Management</w:t>
      </w:r>
      <w:r>
        <w:rPr>
          <w:spacing w:val="-21"/>
          <w:sz w:val="17"/>
        </w:rPr>
        <w:t> </w:t>
      </w:r>
      <w:r>
        <w:rPr>
          <w:b/>
          <w:sz w:val="17"/>
        </w:rPr>
        <w:t>48</w:t>
      </w:r>
      <w:r>
        <w:rPr>
          <w:sz w:val="17"/>
        </w:rPr>
        <w:t>:470-474.</w:t>
      </w:r>
    </w:p>
    <w:p>
      <w:pPr>
        <w:spacing w:before="79"/>
        <w:ind w:left="1119" w:right="828" w:hanging="339"/>
        <w:jc w:val="both"/>
        <w:rPr>
          <w:sz w:val="17"/>
        </w:rPr>
      </w:pPr>
      <w:r>
        <w:rPr>
          <w:sz w:val="17"/>
        </w:rPr>
        <w:t>Franzluebbers, A. J., N. Nazih, J. A. Stuedmann, J. J. Fuhrmann, H. H. Schomberg, and P. G. Hartel. (1999). Soil carbon and nitrogen pools under low- and high-endophyte-infected tall fescue. Soil Science Society of America Journal </w:t>
      </w:r>
      <w:r>
        <w:rPr>
          <w:b/>
          <w:sz w:val="17"/>
        </w:rPr>
        <w:t>63</w:t>
      </w:r>
      <w:r>
        <w:rPr>
          <w:sz w:val="17"/>
        </w:rPr>
        <w:t>:1687-1694.</w:t>
      </w:r>
    </w:p>
    <w:p>
      <w:pPr>
        <w:spacing w:before="81"/>
        <w:ind w:left="1119" w:right="826" w:hanging="339"/>
        <w:jc w:val="both"/>
        <w:rPr>
          <w:sz w:val="17"/>
        </w:rPr>
      </w:pPr>
      <w:r>
        <w:rPr>
          <w:sz w:val="17"/>
        </w:rPr>
        <w:t>Franzluebbers, A. J., J. A. </w:t>
      </w:r>
      <w:r>
        <w:rPr>
          <w:spacing w:val="-3"/>
          <w:sz w:val="17"/>
        </w:rPr>
        <w:t>Stuedmann, </w:t>
      </w:r>
      <w:r>
        <w:rPr>
          <w:sz w:val="17"/>
        </w:rPr>
        <w:t>H. H. </w:t>
      </w:r>
      <w:r>
        <w:rPr>
          <w:spacing w:val="-3"/>
          <w:sz w:val="17"/>
        </w:rPr>
        <w:t>Schomberg, </w:t>
      </w:r>
      <w:r>
        <w:rPr>
          <w:spacing w:val="-2"/>
          <w:sz w:val="17"/>
        </w:rPr>
        <w:t>and </w:t>
      </w:r>
      <w:r>
        <w:rPr>
          <w:sz w:val="17"/>
        </w:rPr>
        <w:t>S. R. </w:t>
      </w:r>
      <w:r>
        <w:rPr>
          <w:spacing w:val="-3"/>
          <w:sz w:val="17"/>
        </w:rPr>
        <w:t>Wilkinson. </w:t>
      </w:r>
      <w:r>
        <w:rPr>
          <w:sz w:val="17"/>
        </w:rPr>
        <w:t>(2000). </w:t>
      </w:r>
      <w:r>
        <w:rPr>
          <w:spacing w:val="-3"/>
          <w:sz w:val="17"/>
        </w:rPr>
        <w:t>Soil organic </w:t>
      </w:r>
      <w:r>
        <w:rPr>
          <w:sz w:val="17"/>
        </w:rPr>
        <w:t>C </w:t>
      </w:r>
      <w:r>
        <w:rPr>
          <w:spacing w:val="-3"/>
          <w:sz w:val="17"/>
        </w:rPr>
        <w:t>and </w:t>
      </w:r>
      <w:r>
        <w:rPr>
          <w:sz w:val="17"/>
        </w:rPr>
        <w:t>N </w:t>
      </w:r>
      <w:r>
        <w:rPr>
          <w:spacing w:val="-3"/>
          <w:sz w:val="17"/>
        </w:rPr>
        <w:t>pools under </w:t>
      </w:r>
      <w:r>
        <w:rPr>
          <w:sz w:val="17"/>
        </w:rPr>
        <w:t>long-term pasture </w:t>
      </w:r>
      <w:r>
        <w:rPr>
          <w:spacing w:val="-3"/>
          <w:sz w:val="17"/>
        </w:rPr>
        <w:t>management </w:t>
      </w:r>
      <w:r>
        <w:rPr>
          <w:sz w:val="17"/>
        </w:rPr>
        <w:t>in </w:t>
      </w:r>
      <w:r>
        <w:rPr>
          <w:spacing w:val="-2"/>
          <w:sz w:val="17"/>
        </w:rPr>
        <w:t>the </w:t>
      </w:r>
      <w:r>
        <w:rPr>
          <w:spacing w:val="-3"/>
          <w:sz w:val="17"/>
        </w:rPr>
        <w:t>Southern Piedmont USA. </w:t>
      </w:r>
      <w:r>
        <w:rPr>
          <w:sz w:val="17"/>
        </w:rPr>
        <w:t>Soil</w:t>
      </w:r>
      <w:r>
        <w:rPr>
          <w:spacing w:val="-3"/>
          <w:sz w:val="17"/>
        </w:rPr>
        <w:t> Biology </w:t>
      </w:r>
      <w:r>
        <w:rPr>
          <w:sz w:val="17"/>
        </w:rPr>
        <w:t>and </w:t>
      </w:r>
      <w:r>
        <w:rPr>
          <w:spacing w:val="-3"/>
          <w:sz w:val="17"/>
        </w:rPr>
        <w:t>Biochemistry </w:t>
      </w:r>
      <w:r>
        <w:rPr>
          <w:b/>
          <w:spacing w:val="-3"/>
          <w:sz w:val="17"/>
        </w:rPr>
        <w:t>32</w:t>
      </w:r>
      <w:r>
        <w:rPr>
          <w:spacing w:val="-3"/>
          <w:sz w:val="17"/>
        </w:rPr>
        <w:t>:469-478.</w:t>
      </w:r>
    </w:p>
    <w:p>
      <w:pPr>
        <w:spacing w:before="79"/>
        <w:ind w:left="1119" w:right="828" w:hanging="339"/>
        <w:jc w:val="both"/>
        <w:rPr>
          <w:sz w:val="17"/>
        </w:rPr>
      </w:pPr>
      <w:r>
        <w:rPr>
          <w:sz w:val="17"/>
        </w:rPr>
        <w:t>Garcia-Oliva, F., I. Casar, P. Morales, and J. M. Maass. (1994). Forest-to-pasture conversion influences on soil organic carbon dynamics in a tropical deciduous forest. Oecologia </w:t>
      </w:r>
      <w:r>
        <w:rPr>
          <w:b/>
          <w:sz w:val="17"/>
        </w:rPr>
        <w:t>99</w:t>
      </w:r>
      <w:r>
        <w:rPr>
          <w:sz w:val="17"/>
        </w:rPr>
        <w:t>:392-396.</w:t>
      </w:r>
    </w:p>
    <w:p>
      <w:pPr>
        <w:spacing w:before="82"/>
        <w:ind w:left="1119" w:right="830" w:hanging="339"/>
        <w:jc w:val="both"/>
        <w:rPr>
          <w:sz w:val="17"/>
        </w:rPr>
      </w:pPr>
      <w:r>
        <w:rPr>
          <w:sz w:val="17"/>
        </w:rPr>
        <w:t>Goh, K. M., J. D. Stout, and T. A. Rafter. (1977). Radiocarbon enrichment of soil organic matter fractions in New Zealand soils. Soil Science </w:t>
      </w:r>
      <w:r>
        <w:rPr>
          <w:b/>
          <w:sz w:val="17"/>
        </w:rPr>
        <w:t>123</w:t>
      </w:r>
      <w:r>
        <w:rPr>
          <w:sz w:val="17"/>
        </w:rPr>
        <w:t>:385-391.</w:t>
      </w:r>
    </w:p>
    <w:p>
      <w:pPr>
        <w:spacing w:before="79"/>
        <w:ind w:left="1119" w:right="826" w:hanging="339"/>
        <w:jc w:val="both"/>
        <w:rPr>
          <w:sz w:val="17"/>
        </w:rPr>
      </w:pPr>
      <w:r>
        <w:rPr>
          <w:sz w:val="17"/>
        </w:rPr>
        <w:t>Jackman, R. H. (1964). Accumulation of organic matter in some New Zealand soils under permanent pasture I. Patterns of change of organic carbon, nitrogen, sulphur, and phosphorous. New Zealand Journal of Agricultural Research </w:t>
      </w:r>
      <w:r>
        <w:rPr>
          <w:b/>
          <w:sz w:val="17"/>
        </w:rPr>
        <w:t>7</w:t>
      </w:r>
      <w:r>
        <w:rPr>
          <w:sz w:val="17"/>
        </w:rPr>
        <w:t>:445-471.</w:t>
      </w:r>
    </w:p>
    <w:p>
      <w:pPr>
        <w:spacing w:before="79"/>
        <w:ind w:left="1119" w:right="826" w:hanging="339"/>
        <w:jc w:val="both"/>
        <w:rPr>
          <w:sz w:val="17"/>
        </w:rPr>
      </w:pPr>
      <w:r>
        <w:rPr>
          <w:sz w:val="17"/>
        </w:rPr>
        <w:t>Kohn, G. D., G. J. Osborne, G. D. Batten, A. N. Smith, and W. J. Lill. (1977). The effect of topdresed superphosphate on changes in Nitrogen : Carbon : Sulphur : Phosphorous and pH on a red earth soil during a long term grazing experiment. Australian Journal of Soil Research </w:t>
      </w:r>
      <w:r>
        <w:rPr>
          <w:b/>
          <w:sz w:val="17"/>
        </w:rPr>
        <w:t>15</w:t>
      </w:r>
      <w:r>
        <w:rPr>
          <w:sz w:val="17"/>
        </w:rPr>
        <w:t>:147-158.</w:t>
      </w:r>
    </w:p>
    <w:p>
      <w:pPr>
        <w:spacing w:after="0"/>
        <w:jc w:val="both"/>
        <w:rPr>
          <w:sz w:val="17"/>
        </w:rPr>
        <w:sectPr>
          <w:pgSz w:w="11900" w:h="16840"/>
          <w:pgMar w:header="230" w:footer="408" w:top="560" w:bottom="600" w:left="1200" w:right="1140"/>
        </w:sectPr>
      </w:pPr>
    </w:p>
    <w:p>
      <w:pPr>
        <w:pStyle w:val="BodyText"/>
      </w:pPr>
      <w:r>
        <w:rPr/>
        <w:pict>
          <v:group style="position:absolute;margin-left:91.240997pt;margin-top:51pt;width:413.05pt;height:716.3pt;mso-position-horizontal-relative:page;mso-position-vertical-relative:page;z-index:-2443480" coordorigin="1825,1020" coordsize="8261,14326">
            <v:line style="position:absolute" from="1854,1034" to="10057,1034" stroked="true" strokeweight="1.44pt" strokecolor="#000000">
              <v:stroke dashstyle="solid"/>
            </v:line>
            <v:shape style="position:absolute;left:1839;top:1020;width:8218;height:14326" coordorigin="1839,1020" coordsize="8218,14326" path="m1854,15331l10057,15331m1839,1020l1839,15346e" filled="false" stroked="true" strokeweight="1.44pt" strokecolor="#000000">
              <v:path arrowok="t"/>
              <v:stroke dashstyle="solid"/>
            </v:shape>
            <v:line style="position:absolute" from="10071,1020" to="10071,15346" stroked="true" strokeweight="1.44pt" strokecolor="#000000">
              <v:stroke dashstyle="solid"/>
            </v:line>
            <w10:wrap type="none"/>
          </v:group>
        </w:pict>
      </w:r>
    </w:p>
    <w:p>
      <w:pPr>
        <w:pStyle w:val="BodyText"/>
        <w:rPr>
          <w:sz w:val="22"/>
        </w:rPr>
      </w:pPr>
    </w:p>
    <w:p>
      <w:pPr>
        <w:spacing w:before="92"/>
        <w:ind w:left="2372" w:right="0" w:firstLine="0"/>
        <w:jc w:val="left"/>
        <w:rPr>
          <w:b/>
          <w:sz w:val="18"/>
        </w:rPr>
      </w:pPr>
      <w:r>
        <w:rPr>
          <w:b/>
          <w:sz w:val="18"/>
        </w:rPr>
        <w:t>R</w:t>
      </w:r>
      <w:r>
        <w:rPr>
          <w:b/>
          <w:sz w:val="14"/>
        </w:rPr>
        <w:t>EFERENCES USED FOR ANALYSIS IN </w:t>
      </w:r>
      <w:r>
        <w:rPr>
          <w:b/>
          <w:sz w:val="18"/>
        </w:rPr>
        <w:t>S</w:t>
      </w:r>
      <w:r>
        <w:rPr>
          <w:b/>
          <w:sz w:val="14"/>
        </w:rPr>
        <w:t>ECTION </w:t>
      </w:r>
      <w:r>
        <w:rPr>
          <w:b/>
          <w:sz w:val="18"/>
        </w:rPr>
        <w:t>3.4.7 (C</w:t>
      </w:r>
      <w:r>
        <w:rPr>
          <w:b/>
          <w:sz w:val="14"/>
        </w:rPr>
        <w:t>ONTINUED</w:t>
      </w:r>
      <w:r>
        <w:rPr>
          <w:b/>
          <w:sz w:val="18"/>
        </w:rPr>
        <w:t>)</w:t>
      </w:r>
    </w:p>
    <w:p>
      <w:pPr>
        <w:spacing w:before="117"/>
        <w:ind w:left="1119" w:right="826" w:hanging="339"/>
        <w:jc w:val="both"/>
        <w:rPr>
          <w:sz w:val="17"/>
        </w:rPr>
      </w:pPr>
      <w:r>
        <w:rPr>
          <w:sz w:val="17"/>
        </w:rPr>
        <w:t>Koutika, L. S., F. Bartoli, F. Andreux, C. C. Cerri, G. Burtin, T. Chone, and R. Philippy. (1997). Organic matter dynamics and aggregation in soils under rain forest and pastures of increasing age in the eastern Amazon  Basin. Geoderma</w:t>
      </w:r>
      <w:r>
        <w:rPr>
          <w:spacing w:val="2"/>
          <w:sz w:val="17"/>
        </w:rPr>
        <w:t> </w:t>
      </w:r>
      <w:r>
        <w:rPr>
          <w:b/>
          <w:sz w:val="17"/>
        </w:rPr>
        <w:t>76</w:t>
      </w:r>
      <w:r>
        <w:rPr>
          <w:sz w:val="17"/>
        </w:rPr>
        <w:t>.</w:t>
      </w:r>
    </w:p>
    <w:p>
      <w:pPr>
        <w:spacing w:before="100"/>
        <w:ind w:left="1119" w:right="825" w:hanging="339"/>
        <w:jc w:val="both"/>
        <w:rPr>
          <w:sz w:val="17"/>
        </w:rPr>
      </w:pPr>
      <w:r>
        <w:rPr>
          <w:sz w:val="17"/>
        </w:rPr>
        <w:t>Loiseau, P., and C. Grignani. (1991). Status of organic nitrogen and fate of mineral nitrogen in mid-mountain pastures. Agronomie </w:t>
      </w:r>
      <w:r>
        <w:rPr>
          <w:b/>
          <w:sz w:val="17"/>
        </w:rPr>
        <w:t>11</w:t>
      </w:r>
      <w:r>
        <w:rPr>
          <w:sz w:val="17"/>
        </w:rPr>
        <w:t>:143-150.</w:t>
      </w:r>
    </w:p>
    <w:p>
      <w:pPr>
        <w:spacing w:before="99"/>
        <w:ind w:left="1119" w:right="826" w:hanging="339"/>
        <w:jc w:val="both"/>
        <w:rPr>
          <w:sz w:val="17"/>
        </w:rPr>
      </w:pPr>
      <w:r>
        <w:rPr>
          <w:sz w:val="17"/>
        </w:rPr>
        <w:t>Lovell, R. D., S. C. Jarvis, and R. D. Bardgett. (1995). Soil microbial biomass and activity in long-term grassland: effects of management changes. Soil Biology and Biochemistry </w:t>
      </w:r>
      <w:r>
        <w:rPr>
          <w:b/>
          <w:sz w:val="17"/>
        </w:rPr>
        <w:t>27</w:t>
      </w:r>
      <w:r>
        <w:rPr>
          <w:sz w:val="17"/>
        </w:rPr>
        <w:t>:969-975.</w:t>
      </w:r>
    </w:p>
    <w:p>
      <w:pPr>
        <w:spacing w:before="101"/>
        <w:ind w:left="1119" w:right="827" w:hanging="339"/>
        <w:jc w:val="both"/>
        <w:rPr>
          <w:sz w:val="17"/>
        </w:rPr>
      </w:pPr>
      <w:r>
        <w:rPr>
          <w:sz w:val="17"/>
        </w:rPr>
        <w:t>Lytton Hitchins, J. A., A. J. Koppi, and A. B. McBratney. (1994). The soil condition of adjacent bio-dynamic and conventionally managed dairy pasture in Victoria, Australia. Soil Use and Management </w:t>
      </w:r>
      <w:r>
        <w:rPr>
          <w:b/>
          <w:sz w:val="17"/>
        </w:rPr>
        <w:t>10</w:t>
      </w:r>
      <w:r>
        <w:rPr>
          <w:sz w:val="17"/>
        </w:rPr>
        <w:t>:79-87.</w:t>
      </w:r>
    </w:p>
    <w:p>
      <w:pPr>
        <w:spacing w:before="101"/>
        <w:ind w:left="1119" w:right="826" w:hanging="339"/>
        <w:jc w:val="both"/>
        <w:rPr>
          <w:sz w:val="17"/>
        </w:rPr>
      </w:pPr>
      <w:r>
        <w:rPr>
          <w:sz w:val="17"/>
        </w:rPr>
        <w:t>Malhi, S. S., J. T. Harapiak, M. Nyborg, K. S. Gill, and N. A. Flore. (2002). Autumn and spring applications of ammonium nitrate and urea to bromegrass influence total and light fraction organic C and N in a thin Black Chernozem. Canadian Journal of Soil Science </w:t>
      </w:r>
      <w:r>
        <w:rPr>
          <w:b/>
          <w:sz w:val="17"/>
        </w:rPr>
        <w:t>82</w:t>
      </w:r>
      <w:r>
        <w:rPr>
          <w:sz w:val="17"/>
        </w:rPr>
        <w:t>:211-217.</w:t>
      </w:r>
    </w:p>
    <w:p>
      <w:pPr>
        <w:spacing w:before="100"/>
        <w:ind w:left="1119" w:right="829" w:hanging="339"/>
        <w:jc w:val="both"/>
        <w:rPr>
          <w:sz w:val="17"/>
        </w:rPr>
      </w:pPr>
      <w:r>
        <w:rPr>
          <w:sz w:val="17"/>
        </w:rPr>
        <w:t>Malhi, S. S., M. Nyborg, J. T. Harapiak, K. Heier, and N. A. Flore. (1997). Increasing organic C and N in soil under bromegrass with long-term N fertilization. Nutrient Cycling in Agroecosystems </w:t>
      </w:r>
      <w:r>
        <w:rPr>
          <w:b/>
          <w:sz w:val="17"/>
        </w:rPr>
        <w:t>49</w:t>
      </w:r>
      <w:r>
        <w:rPr>
          <w:sz w:val="17"/>
        </w:rPr>
        <w:t>:255-260.</w:t>
      </w:r>
    </w:p>
    <w:p>
      <w:pPr>
        <w:spacing w:before="98"/>
        <w:ind w:left="1119" w:right="824" w:hanging="339"/>
        <w:jc w:val="both"/>
        <w:rPr>
          <w:sz w:val="17"/>
        </w:rPr>
      </w:pPr>
      <w:r>
        <w:rPr>
          <w:sz w:val="17"/>
        </w:rPr>
        <w:t>Manley, J. T., G. E. Schuman, J. D. Reeder, and R. H. Hart. (1995). Rangeland soil carbon and nitrogen responses to grazing. Journal of Soil and Water Conservation </w:t>
      </w:r>
      <w:r>
        <w:rPr>
          <w:b/>
          <w:sz w:val="17"/>
        </w:rPr>
        <w:t>50</w:t>
      </w:r>
      <w:r>
        <w:rPr>
          <w:sz w:val="17"/>
        </w:rPr>
        <w:t>:294-298.</w:t>
      </w:r>
    </w:p>
    <w:p>
      <w:pPr>
        <w:spacing w:before="101"/>
        <w:ind w:left="1119" w:right="826" w:hanging="339"/>
        <w:jc w:val="both"/>
        <w:rPr>
          <w:sz w:val="17"/>
        </w:rPr>
      </w:pPr>
      <w:r>
        <w:rPr>
          <w:sz w:val="17"/>
        </w:rPr>
        <w:t>Moulin, A. P., D. H. McCartney, S. Bittman, and W. F. Nuttall. Long-term effects of fertilizer on soil carbon in a pasture soil.</w:t>
      </w:r>
    </w:p>
    <w:p>
      <w:pPr>
        <w:spacing w:before="99"/>
        <w:ind w:left="1119" w:right="828" w:hanging="339"/>
        <w:jc w:val="both"/>
        <w:rPr>
          <w:sz w:val="17"/>
        </w:rPr>
      </w:pPr>
      <w:r>
        <w:rPr>
          <w:sz w:val="17"/>
        </w:rPr>
        <w:t>Naeth, M. A., A. W. Bailey, D. J. Pluth, D. S. Chanasyk, and R. T. Hardin. (1991). Grazing impacts on litter and soil organic matter in mixed prairie and fescue grassland ecosystems of Alberta. Journal of Range Management </w:t>
      </w:r>
      <w:r>
        <w:rPr>
          <w:b/>
          <w:sz w:val="17"/>
        </w:rPr>
        <w:t>44</w:t>
      </w:r>
      <w:r>
        <w:rPr>
          <w:sz w:val="17"/>
        </w:rPr>
        <w:t>:7-12.</w:t>
      </w:r>
    </w:p>
    <w:p>
      <w:pPr>
        <w:spacing w:before="100"/>
        <w:ind w:left="1119" w:right="827" w:hanging="339"/>
        <w:jc w:val="both"/>
        <w:rPr>
          <w:sz w:val="17"/>
        </w:rPr>
      </w:pPr>
      <w:r>
        <w:rPr>
          <w:sz w:val="17"/>
        </w:rPr>
        <w:t>Neill, C., J. M. Melillo, P. A. Steudler, C. C. Cerri, J. F. L. d. Moraes, M. C. Piccolo, and M. Brito. (1997). Soil carbon and nitrogen stocks following forest clearing for pasture in the Southwestern Brazilian Amazon. Ecological Applications </w:t>
      </w:r>
      <w:r>
        <w:rPr>
          <w:b/>
          <w:sz w:val="17"/>
        </w:rPr>
        <w:t>7</w:t>
      </w:r>
      <w:r>
        <w:rPr>
          <w:sz w:val="17"/>
        </w:rPr>
        <w:t>:1216-1225.</w:t>
      </w:r>
    </w:p>
    <w:p>
      <w:pPr>
        <w:spacing w:before="100"/>
        <w:ind w:left="1119" w:right="826" w:hanging="339"/>
        <w:jc w:val="both"/>
        <w:rPr>
          <w:sz w:val="17"/>
        </w:rPr>
      </w:pPr>
      <w:r>
        <w:rPr>
          <w:sz w:val="17"/>
        </w:rPr>
        <w:t>Nyborg, M., S. S. Malhi, E. D. Solberg, and R. C. Izaurralde. (1999). Carbon storage and light fraction C in a grassland dark gray chernozem soil as influenced by N and S fertilization. Canadian Journal of Soil Science </w:t>
      </w:r>
      <w:r>
        <w:rPr>
          <w:b/>
          <w:sz w:val="17"/>
        </w:rPr>
        <w:t>79</w:t>
      </w:r>
      <w:r>
        <w:rPr>
          <w:sz w:val="17"/>
        </w:rPr>
        <w:t>:317-320.</w:t>
      </w:r>
    </w:p>
    <w:p>
      <w:pPr>
        <w:spacing w:before="100"/>
        <w:ind w:left="1119" w:right="823" w:hanging="339"/>
        <w:jc w:val="both"/>
        <w:rPr>
          <w:sz w:val="17"/>
        </w:rPr>
      </w:pPr>
      <w:r>
        <w:rPr>
          <w:sz w:val="17"/>
        </w:rPr>
        <w:t>Oberson, A., D. K. Friesen, H. Tiessen, C. Morel, and W. Stahel. (1999). Phosphorus status and cycling in native savanna and improved pastures on an acid low-P Colombian oxisol. Nutrient Cycling in Agroecosystems </w:t>
      </w:r>
      <w:r>
        <w:rPr>
          <w:b/>
          <w:sz w:val="17"/>
        </w:rPr>
        <w:t>55</w:t>
      </w:r>
      <w:r>
        <w:rPr>
          <w:sz w:val="17"/>
        </w:rPr>
        <w:t>:77-88.</w:t>
      </w:r>
    </w:p>
    <w:p>
      <w:pPr>
        <w:spacing w:before="100"/>
        <w:ind w:left="1119" w:right="825" w:hanging="339"/>
        <w:jc w:val="both"/>
        <w:rPr>
          <w:sz w:val="17"/>
        </w:rPr>
      </w:pPr>
      <w:r>
        <w:rPr>
          <w:sz w:val="17"/>
        </w:rPr>
        <w:t>Reiners, W. A., A. F. Bouwman, W. F. J. Parsons, and M. Keller. (1994). Tropical rain forest conversion to pasture: Changes in vegetation and soil properties. Ecological Applications </w:t>
      </w:r>
      <w:r>
        <w:rPr>
          <w:b/>
          <w:sz w:val="17"/>
        </w:rPr>
        <w:t>4</w:t>
      </w:r>
      <w:r>
        <w:rPr>
          <w:sz w:val="17"/>
        </w:rPr>
        <w:t>:363-377.</w:t>
      </w:r>
    </w:p>
    <w:p>
      <w:pPr>
        <w:spacing w:before="101"/>
        <w:ind w:left="1119" w:right="824" w:hanging="339"/>
        <w:jc w:val="both"/>
        <w:rPr>
          <w:sz w:val="17"/>
        </w:rPr>
      </w:pPr>
      <w:r>
        <w:rPr>
          <w:sz w:val="17"/>
        </w:rPr>
        <w:t>Ridley, A. M., W. J. Slattery, K. R. Halyar, and A. Cowling. (1990). The importance of the carbon cycle to acidification of grazed animal pasture. Australian Journal of Experimental Agriculture </w:t>
      </w:r>
      <w:r>
        <w:rPr>
          <w:b/>
          <w:sz w:val="17"/>
        </w:rPr>
        <w:t>30</w:t>
      </w:r>
      <w:r>
        <w:rPr>
          <w:sz w:val="17"/>
        </w:rPr>
        <w:t>:529-537.</w:t>
      </w:r>
    </w:p>
    <w:p>
      <w:pPr>
        <w:spacing w:before="101"/>
        <w:ind w:left="1119" w:right="828" w:hanging="339"/>
        <w:jc w:val="both"/>
        <w:rPr>
          <w:sz w:val="17"/>
        </w:rPr>
      </w:pPr>
      <w:r>
        <w:rPr>
          <w:sz w:val="17"/>
        </w:rPr>
        <w:t>Rixon, A. J. (1966). Soil fertility changes in a redbrown earth under irrigated pastures. Australian Journal of Agricultural Research </w:t>
      </w:r>
      <w:r>
        <w:rPr>
          <w:b/>
          <w:sz w:val="17"/>
        </w:rPr>
        <w:t>17</w:t>
      </w:r>
      <w:r>
        <w:rPr>
          <w:sz w:val="17"/>
        </w:rPr>
        <w:t>:303-316.</w:t>
      </w:r>
    </w:p>
    <w:p>
      <w:pPr>
        <w:spacing w:before="99"/>
        <w:ind w:left="1119" w:right="826" w:hanging="339"/>
        <w:jc w:val="both"/>
        <w:rPr>
          <w:sz w:val="17"/>
        </w:rPr>
      </w:pPr>
      <w:r>
        <w:rPr>
          <w:sz w:val="17"/>
        </w:rPr>
        <w:t>Russell, J. S. (1960). Soil fertility changes in the long term experimental plots at Kybybolite, South Australia. I. Changes in pH, total nitrogen, organic carbon and bulk density. Australian Journal of Agricultural Research </w:t>
      </w:r>
      <w:r>
        <w:rPr>
          <w:b/>
          <w:sz w:val="17"/>
        </w:rPr>
        <w:t>11</w:t>
      </w:r>
      <w:r>
        <w:rPr>
          <w:sz w:val="17"/>
        </w:rPr>
        <w:t>:902-926.</w:t>
      </w:r>
    </w:p>
    <w:p>
      <w:pPr>
        <w:spacing w:before="99"/>
        <w:ind w:left="1119" w:right="830" w:hanging="339"/>
        <w:jc w:val="both"/>
        <w:rPr>
          <w:sz w:val="17"/>
        </w:rPr>
      </w:pPr>
      <w:r>
        <w:rPr>
          <w:sz w:val="17"/>
        </w:rPr>
        <w:t>Schuman, G. E., J. D. Reeder, J. T. Manley, R. H. Hart, and W. A. Manley. (1999). Impact of grazing management on the carbon and nitrogen balance of a mixed-grass rangeland. Ecological Applications </w:t>
      </w:r>
      <w:r>
        <w:rPr>
          <w:b/>
          <w:sz w:val="17"/>
        </w:rPr>
        <w:t>9</w:t>
      </w:r>
      <w:r>
        <w:rPr>
          <w:sz w:val="17"/>
        </w:rPr>
        <w:t>:65-71.</w:t>
      </w:r>
    </w:p>
    <w:p>
      <w:pPr>
        <w:spacing w:before="102"/>
        <w:ind w:left="1119" w:right="826" w:hanging="339"/>
        <w:jc w:val="both"/>
        <w:rPr>
          <w:sz w:val="17"/>
        </w:rPr>
      </w:pPr>
      <w:r>
        <w:rPr>
          <w:sz w:val="17"/>
        </w:rPr>
        <w:t>Shiel, R. S. (1986). Variation in amounts of carbon and nitrogen associated with particle size fractions of soils from the Palace Leas meadow hay plots. Journal of Soil Science </w:t>
      </w:r>
      <w:r>
        <w:rPr>
          <w:b/>
          <w:sz w:val="17"/>
        </w:rPr>
        <w:t>37</w:t>
      </w:r>
      <w:r>
        <w:rPr>
          <w:sz w:val="17"/>
        </w:rPr>
        <w:t>:249-257.</w:t>
      </w:r>
    </w:p>
    <w:p>
      <w:pPr>
        <w:spacing w:before="98"/>
        <w:ind w:left="1119" w:right="826" w:hanging="339"/>
        <w:jc w:val="both"/>
        <w:rPr>
          <w:sz w:val="17"/>
        </w:rPr>
      </w:pPr>
      <w:r>
        <w:rPr>
          <w:sz w:val="17"/>
        </w:rPr>
        <w:t>Skjemstad, J. O., V. R. Catchpoole, R. P. l. Feuvre, and R. P. Le Feuvre. (1994). Carbon dynamics in Vertisols under</w:t>
      </w:r>
      <w:r>
        <w:rPr>
          <w:spacing w:val="-2"/>
          <w:sz w:val="17"/>
        </w:rPr>
        <w:t> </w:t>
      </w:r>
      <w:r>
        <w:rPr>
          <w:sz w:val="17"/>
        </w:rPr>
        <w:t>several</w:t>
      </w:r>
      <w:r>
        <w:rPr>
          <w:spacing w:val="-1"/>
          <w:sz w:val="17"/>
        </w:rPr>
        <w:t> </w:t>
      </w:r>
      <w:r>
        <w:rPr>
          <w:sz w:val="17"/>
        </w:rPr>
        <w:t>crops</w:t>
      </w:r>
      <w:r>
        <w:rPr>
          <w:spacing w:val="-3"/>
          <w:sz w:val="17"/>
        </w:rPr>
        <w:t> </w:t>
      </w:r>
      <w:r>
        <w:rPr>
          <w:sz w:val="17"/>
        </w:rPr>
        <w:t>as</w:t>
      </w:r>
      <w:r>
        <w:rPr>
          <w:spacing w:val="-1"/>
          <w:sz w:val="17"/>
        </w:rPr>
        <w:t> </w:t>
      </w:r>
      <w:r>
        <w:rPr>
          <w:sz w:val="17"/>
        </w:rPr>
        <w:t>assessed</w:t>
      </w:r>
      <w:r>
        <w:rPr>
          <w:spacing w:val="-3"/>
          <w:sz w:val="17"/>
        </w:rPr>
        <w:t> </w:t>
      </w:r>
      <w:r>
        <w:rPr>
          <w:sz w:val="17"/>
        </w:rPr>
        <w:t>by</w:t>
      </w:r>
      <w:r>
        <w:rPr>
          <w:spacing w:val="-5"/>
          <w:sz w:val="17"/>
        </w:rPr>
        <w:t> </w:t>
      </w:r>
      <w:r>
        <w:rPr>
          <w:sz w:val="17"/>
        </w:rPr>
        <w:t>natural</w:t>
      </w:r>
      <w:r>
        <w:rPr>
          <w:spacing w:val="-3"/>
          <w:sz w:val="17"/>
        </w:rPr>
        <w:t> </w:t>
      </w:r>
      <w:r>
        <w:rPr>
          <w:sz w:val="17"/>
        </w:rPr>
        <w:t>abundance</w:t>
      </w:r>
      <w:r>
        <w:rPr>
          <w:spacing w:val="-3"/>
          <w:sz w:val="17"/>
        </w:rPr>
        <w:t> </w:t>
      </w:r>
      <w:r>
        <w:rPr>
          <w:sz w:val="17"/>
        </w:rPr>
        <w:t>13C.</w:t>
      </w:r>
      <w:r>
        <w:rPr>
          <w:spacing w:val="-3"/>
          <w:sz w:val="17"/>
        </w:rPr>
        <w:t> </w:t>
      </w:r>
      <w:r>
        <w:rPr>
          <w:sz w:val="17"/>
        </w:rPr>
        <w:t>Australian</w:t>
      </w:r>
      <w:r>
        <w:rPr>
          <w:spacing w:val="-5"/>
          <w:sz w:val="17"/>
        </w:rPr>
        <w:t> </w:t>
      </w:r>
      <w:r>
        <w:rPr>
          <w:sz w:val="17"/>
        </w:rPr>
        <w:t>Journal</w:t>
      </w:r>
      <w:r>
        <w:rPr>
          <w:spacing w:val="-1"/>
          <w:sz w:val="17"/>
        </w:rPr>
        <w:t> </w:t>
      </w:r>
      <w:r>
        <w:rPr>
          <w:sz w:val="17"/>
        </w:rPr>
        <w:t>of</w:t>
      </w:r>
      <w:r>
        <w:rPr>
          <w:spacing w:val="-1"/>
          <w:sz w:val="17"/>
        </w:rPr>
        <w:t> </w:t>
      </w:r>
      <w:r>
        <w:rPr>
          <w:sz w:val="17"/>
        </w:rPr>
        <w:t>Soil</w:t>
      </w:r>
      <w:r>
        <w:rPr>
          <w:spacing w:val="-1"/>
          <w:sz w:val="17"/>
        </w:rPr>
        <w:t> </w:t>
      </w:r>
      <w:r>
        <w:rPr>
          <w:sz w:val="17"/>
        </w:rPr>
        <w:t>Research</w:t>
      </w:r>
      <w:r>
        <w:rPr>
          <w:spacing w:val="-2"/>
          <w:sz w:val="17"/>
        </w:rPr>
        <w:t> </w:t>
      </w:r>
      <w:r>
        <w:rPr>
          <w:b/>
          <w:sz w:val="17"/>
        </w:rPr>
        <w:t>32</w:t>
      </w:r>
      <w:r>
        <w:rPr>
          <w:sz w:val="17"/>
        </w:rPr>
        <w:t>:311-321.</w:t>
      </w:r>
    </w:p>
    <w:p>
      <w:pPr>
        <w:spacing w:line="195" w:lineRule="exact" w:before="101"/>
        <w:ind w:left="780" w:right="0" w:firstLine="0"/>
        <w:jc w:val="left"/>
        <w:rPr>
          <w:sz w:val="17"/>
        </w:rPr>
      </w:pPr>
      <w:r>
        <w:rPr>
          <w:sz w:val="17"/>
        </w:rPr>
        <w:t>Smoliak, S., J. F. Dormaar, and A. Johnston. (1972). Long-term grazing effects on Stipa-Bouteloua prairie soils.</w:t>
      </w:r>
    </w:p>
    <w:p>
      <w:pPr>
        <w:spacing w:line="195" w:lineRule="exact" w:before="0"/>
        <w:ind w:left="1119" w:right="0" w:firstLine="0"/>
        <w:jc w:val="left"/>
        <w:rPr>
          <w:sz w:val="17"/>
        </w:rPr>
      </w:pPr>
      <w:r>
        <w:rPr>
          <w:sz w:val="17"/>
        </w:rPr>
        <w:t>Journal of Range Management </w:t>
      </w:r>
      <w:r>
        <w:rPr>
          <w:b/>
          <w:sz w:val="17"/>
        </w:rPr>
        <w:t>25</w:t>
      </w:r>
      <w:r>
        <w:rPr>
          <w:sz w:val="17"/>
        </w:rPr>
        <w:t>:246-250.</w:t>
      </w:r>
    </w:p>
    <w:p>
      <w:pPr>
        <w:spacing w:before="100"/>
        <w:ind w:left="1119" w:right="825" w:hanging="339"/>
        <w:jc w:val="both"/>
        <w:rPr>
          <w:sz w:val="17"/>
        </w:rPr>
      </w:pPr>
      <w:r>
        <w:rPr>
          <w:sz w:val="17"/>
        </w:rPr>
        <w:t>Trumbore, S. E., E. A. Davidson, P. Barbosa De Camargo, D. C. Nepstad, and L. A. Martinelli. (1995). Belowground cycling of carbon in forests and pastures of Eastern Amazonia. Global Biogeochemical Cycles </w:t>
      </w:r>
      <w:r>
        <w:rPr>
          <w:b/>
          <w:sz w:val="17"/>
        </w:rPr>
        <w:t>9</w:t>
      </w:r>
      <w:r>
        <w:rPr>
          <w:sz w:val="17"/>
        </w:rPr>
        <w:t>:515-528.</w:t>
      </w:r>
    </w:p>
    <w:p>
      <w:pPr>
        <w:spacing w:before="100"/>
        <w:ind w:left="1119" w:right="826" w:hanging="339"/>
        <w:jc w:val="both"/>
        <w:rPr>
          <w:sz w:val="17"/>
        </w:rPr>
      </w:pPr>
      <w:r>
        <w:rPr>
          <w:sz w:val="17"/>
        </w:rPr>
        <w:t>Veldkamp, E. (1994). Organic carbon turnover in three tropical soils under pasture after deforestation. Soil Science Society of America Journal </w:t>
      </w:r>
      <w:r>
        <w:rPr>
          <w:b/>
          <w:sz w:val="17"/>
        </w:rPr>
        <w:t>58</w:t>
      </w:r>
      <w:r>
        <w:rPr>
          <w:sz w:val="17"/>
        </w:rPr>
        <w:t>:175-180.</w:t>
      </w:r>
    </w:p>
    <w:p>
      <w:pPr>
        <w:spacing w:before="101"/>
        <w:ind w:left="1119" w:right="828" w:hanging="339"/>
        <w:jc w:val="both"/>
        <w:rPr>
          <w:sz w:val="17"/>
        </w:rPr>
      </w:pPr>
      <w:r>
        <w:rPr>
          <w:sz w:val="17"/>
        </w:rPr>
        <w:t>Walker, T. W., B. K. Thapa, and A. F. R. Adams. (1959). Studies on soil organic matter. 3. Accumulation of carbon, nitrogen, sulphur, organic and total phosphorous in improved grassland soils. Soil Science </w:t>
      </w:r>
      <w:r>
        <w:rPr>
          <w:b/>
          <w:sz w:val="17"/>
        </w:rPr>
        <w:t>87</w:t>
      </w:r>
      <w:r>
        <w:rPr>
          <w:sz w:val="17"/>
        </w:rPr>
        <w:t>:135-140.</w:t>
      </w:r>
    </w:p>
    <w:p>
      <w:pPr>
        <w:spacing w:before="101"/>
        <w:ind w:left="1119" w:right="829" w:hanging="339"/>
        <w:jc w:val="both"/>
        <w:rPr>
          <w:sz w:val="17"/>
        </w:rPr>
      </w:pPr>
      <w:r>
        <w:rPr>
          <w:sz w:val="17"/>
        </w:rPr>
        <w:t>Wang, Y., and Z. Chen. (1998). Distribution of soil organic carbon in the major grasslands of Xilinguole, Inner Mongolia, China. Acta Phytoecologica Sinica </w:t>
      </w:r>
      <w:r>
        <w:rPr>
          <w:b/>
          <w:sz w:val="17"/>
        </w:rPr>
        <w:t>22</w:t>
      </w:r>
      <w:r>
        <w:rPr>
          <w:sz w:val="17"/>
        </w:rPr>
        <w:t>:545-551.</w:t>
      </w:r>
    </w:p>
    <w:p>
      <w:pPr>
        <w:spacing w:line="244" w:lineRule="auto" w:before="99"/>
        <w:ind w:left="1119" w:right="826" w:hanging="339"/>
        <w:jc w:val="both"/>
        <w:rPr>
          <w:sz w:val="17"/>
        </w:rPr>
      </w:pPr>
      <w:r>
        <w:rPr>
          <w:sz w:val="17"/>
        </w:rPr>
        <w:t>Wood, K. M., and W. H. Blackburn. (1984). Vegetation and soil responses to cattle grazing systems in the Texas rolling plains. Journal of Range Management</w:t>
      </w:r>
    </w:p>
    <w:p>
      <w:pPr>
        <w:spacing w:after="0" w:line="244" w:lineRule="auto"/>
        <w:jc w:val="both"/>
        <w:rPr>
          <w:sz w:val="17"/>
        </w:rPr>
        <w:sectPr>
          <w:pgSz w:w="11900" w:h="16840"/>
          <w:pgMar w:header="230" w:footer="408" w:top="560" w:bottom="600" w:left="1200" w:right="1140"/>
        </w:sectPr>
      </w:pPr>
    </w:p>
    <w:p>
      <w:pPr>
        <w:pStyle w:val="BodyText"/>
      </w:pPr>
    </w:p>
    <w:p>
      <w:pPr>
        <w:pStyle w:val="BodyText"/>
      </w:pPr>
    </w:p>
    <w:p>
      <w:pPr>
        <w:pStyle w:val="Heading2"/>
        <w:numPr>
          <w:ilvl w:val="1"/>
          <w:numId w:val="75"/>
        </w:numPr>
        <w:tabs>
          <w:tab w:pos="1421" w:val="left" w:leader="none"/>
          <w:tab w:pos="1422" w:val="left" w:leader="none"/>
        </w:tabs>
        <w:spacing w:line="240" w:lineRule="auto" w:before="225" w:after="0"/>
        <w:ind w:left="1421" w:right="0" w:hanging="1202"/>
        <w:jc w:val="left"/>
      </w:pPr>
      <w:r>
        <w:rPr>
          <w:spacing w:val="20"/>
        </w:rPr>
        <w:t>WETLANDS</w:t>
      </w:r>
    </w:p>
    <w:p>
      <w:pPr>
        <w:pStyle w:val="BodyText"/>
        <w:spacing w:before="176"/>
        <w:ind w:left="219" w:right="264"/>
        <w:jc w:val="both"/>
      </w:pPr>
      <w:r>
        <w:rPr/>
        <w:t>Wetlands include land that is covered or saturated by water for all or part of the year (e.g. peatland) and that does not fall into the forest land, cropland, grassland or settlements categories defined in Chapter 2 of this report (Section 2.2, Land Categories)</w:t>
      </w:r>
      <w:r>
        <w:rPr>
          <w:vertAlign w:val="superscript"/>
        </w:rPr>
        <w:t>1</w:t>
      </w:r>
      <w:r>
        <w:rPr>
          <w:vertAlign w:val="baseline"/>
        </w:rPr>
        <w:t>. This category can be subdivided into managed and unmanaged according to national definitions. It includes reservoirs as a managed subdivision and natural rivers and lakes as unmanaged subdivisions. Forest land, cropland, and grassland that are established on peaty or wet soils are addressed in Sections 3.2, 3.3, and 3.4, respectively, of this chapter. Rice paddies are addressed in the Agriculture chapter of the </w:t>
      </w:r>
      <w:r>
        <w:rPr>
          <w:i/>
          <w:vertAlign w:val="baseline"/>
        </w:rPr>
        <w:t>IPCC Guidelines </w:t>
      </w:r>
      <w:r>
        <w:rPr>
          <w:vertAlign w:val="baseline"/>
        </w:rPr>
        <w:t>and </w:t>
      </w:r>
      <w:r>
        <w:rPr>
          <w:i/>
          <w:vertAlign w:val="baseline"/>
        </w:rPr>
        <w:t>GPG2000</w:t>
      </w:r>
      <w:r>
        <w:rPr>
          <w:vertAlign w:val="baseline"/>
        </w:rPr>
        <w:t>. Flooding and wetland drainage are included in the </w:t>
      </w:r>
      <w:r>
        <w:rPr>
          <w:i/>
          <w:vertAlign w:val="baseline"/>
        </w:rPr>
        <w:t>IPCC Guidelines </w:t>
      </w:r>
      <w:r>
        <w:rPr>
          <w:vertAlign w:val="baseline"/>
        </w:rPr>
        <w:t>in Section 5.4.3 Other Possible Categories of Activity.</w:t>
      </w:r>
    </w:p>
    <w:p>
      <w:pPr>
        <w:pStyle w:val="BodyText"/>
        <w:spacing w:before="118"/>
        <w:ind w:left="219" w:right="264"/>
        <w:jc w:val="both"/>
      </w:pPr>
      <w:r>
        <w:rPr/>
        <w:t>For purposes of estimating greenhouse gas emissions, it is necessary to distinguish between managed and unmanaged wetlands. In this report, managed wetlands are those in which the water table is artificially changed (e.g. drained peatlands) or those that are created through human activity (e.g., damming a river). Major greenhouse gas emissions from managed wetlands, and the sections of this report in which they are estimated, are summarised in Table</w:t>
      </w:r>
      <w:r>
        <w:rPr>
          <w:spacing w:val="1"/>
        </w:rPr>
        <w:t> </w:t>
      </w:r>
      <w:r>
        <w:rPr/>
        <w:t>3.5.1.</w:t>
      </w:r>
    </w:p>
    <w:p>
      <w:pPr>
        <w:pStyle w:val="BodyText"/>
        <w:rPr>
          <w:sz w:val="11"/>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5"/>
      </w:tblGrid>
      <w:tr>
        <w:trPr>
          <w:trHeight w:val="738" w:hRule="atLeast"/>
        </w:trPr>
        <w:tc>
          <w:tcPr>
            <w:tcW w:w="9015" w:type="dxa"/>
            <w:gridSpan w:val="3"/>
            <w:tcBorders>
              <w:bottom w:val="double" w:sz="1" w:space="0" w:color="000000"/>
            </w:tcBorders>
          </w:tcPr>
          <w:p>
            <w:pPr>
              <w:pStyle w:val="TableParagraph"/>
              <w:spacing w:before="59"/>
              <w:ind w:left="3506" w:right="3480" w:firstLine="552"/>
              <w:rPr>
                <w:b/>
                <w:sz w:val="14"/>
              </w:rPr>
            </w:pPr>
            <w:r>
              <w:rPr>
                <w:b/>
                <w:sz w:val="18"/>
              </w:rPr>
              <w:t>T</w:t>
            </w:r>
            <w:r>
              <w:rPr>
                <w:b/>
                <w:sz w:val="14"/>
              </w:rPr>
              <w:t>ABLE </w:t>
            </w:r>
            <w:r>
              <w:rPr>
                <w:b/>
                <w:sz w:val="18"/>
              </w:rPr>
              <w:t>3.5.1 S</w:t>
            </w:r>
            <w:r>
              <w:rPr>
                <w:b/>
                <w:sz w:val="14"/>
              </w:rPr>
              <w:t>ECTIONS AND APPENDICES</w:t>
            </w:r>
          </w:p>
          <w:p>
            <w:pPr>
              <w:pStyle w:val="TableParagraph"/>
              <w:spacing w:before="37"/>
              <w:ind w:left="1067"/>
              <w:rPr>
                <w:b/>
                <w:sz w:val="14"/>
              </w:rPr>
            </w:pPr>
            <w:r>
              <w:rPr>
                <w:b/>
                <w:sz w:val="14"/>
              </w:rPr>
              <w:t>ADDRESSING MAJOR GREENHOUSE GAS EMISSIONS FROM MANAGED WETLANDS IN THIS REPORT</w:t>
            </w:r>
          </w:p>
        </w:tc>
      </w:tr>
      <w:tr>
        <w:trPr>
          <w:trHeight w:val="311" w:hRule="atLeast"/>
        </w:trPr>
        <w:tc>
          <w:tcPr>
            <w:tcW w:w="3005" w:type="dxa"/>
            <w:tcBorders>
              <w:top w:val="double" w:sz="1" w:space="0" w:color="000000"/>
            </w:tcBorders>
          </w:tcPr>
          <w:p>
            <w:pPr>
              <w:pStyle w:val="TableParagraph"/>
              <w:rPr>
                <w:sz w:val="18"/>
              </w:rPr>
            </w:pPr>
          </w:p>
        </w:tc>
        <w:tc>
          <w:tcPr>
            <w:tcW w:w="3005" w:type="dxa"/>
            <w:tcBorders>
              <w:top w:val="double" w:sz="1" w:space="0" w:color="000000"/>
            </w:tcBorders>
          </w:tcPr>
          <w:p>
            <w:pPr>
              <w:pStyle w:val="TableParagraph"/>
              <w:spacing w:before="52"/>
              <w:ind w:left="131" w:right="122"/>
              <w:jc w:val="center"/>
              <w:rPr>
                <w:b/>
                <w:sz w:val="18"/>
              </w:rPr>
            </w:pPr>
            <w:r>
              <w:rPr>
                <w:b/>
                <w:sz w:val="18"/>
              </w:rPr>
              <w:t>Peatland</w:t>
            </w:r>
          </w:p>
        </w:tc>
        <w:tc>
          <w:tcPr>
            <w:tcW w:w="3005" w:type="dxa"/>
            <w:tcBorders>
              <w:top w:val="double" w:sz="1" w:space="0" w:color="000000"/>
            </w:tcBorders>
          </w:tcPr>
          <w:p>
            <w:pPr>
              <w:pStyle w:val="TableParagraph"/>
              <w:spacing w:before="52"/>
              <w:ind w:left="128" w:right="122"/>
              <w:jc w:val="center"/>
              <w:rPr>
                <w:b/>
                <w:sz w:val="18"/>
              </w:rPr>
            </w:pPr>
            <w:r>
              <w:rPr>
                <w:b/>
                <w:sz w:val="18"/>
              </w:rPr>
              <w:t>Flooded Land</w:t>
            </w:r>
            <w:r>
              <w:rPr>
                <w:b/>
                <w:sz w:val="18"/>
                <w:vertAlign w:val="superscript"/>
              </w:rPr>
              <w:t>2</w:t>
            </w:r>
          </w:p>
        </w:tc>
      </w:tr>
      <w:tr>
        <w:trPr>
          <w:trHeight w:val="330" w:hRule="atLeast"/>
        </w:trPr>
        <w:tc>
          <w:tcPr>
            <w:tcW w:w="9015" w:type="dxa"/>
            <w:gridSpan w:val="3"/>
          </w:tcPr>
          <w:p>
            <w:pPr>
              <w:pStyle w:val="TableParagraph"/>
              <w:spacing w:before="62"/>
              <w:ind w:left="107"/>
              <w:rPr>
                <w:b/>
                <w:sz w:val="18"/>
              </w:rPr>
            </w:pPr>
            <w:r>
              <w:rPr>
                <w:b/>
                <w:sz w:val="18"/>
              </w:rPr>
              <w:t>Wetlands Remaining Wetlands</w:t>
            </w:r>
          </w:p>
        </w:tc>
      </w:tr>
      <w:tr>
        <w:trPr>
          <w:trHeight w:val="328" w:hRule="atLeast"/>
        </w:trPr>
        <w:tc>
          <w:tcPr>
            <w:tcW w:w="3005" w:type="dxa"/>
          </w:tcPr>
          <w:p>
            <w:pPr>
              <w:pStyle w:val="TableParagraph"/>
              <w:spacing w:before="57"/>
              <w:ind w:left="128" w:right="122"/>
              <w:jc w:val="center"/>
              <w:rPr>
                <w:sz w:val="18"/>
              </w:rPr>
            </w:pPr>
            <w:r>
              <w:rPr>
                <w:sz w:val="18"/>
              </w:rPr>
              <w:t>CO</w:t>
            </w:r>
            <w:r>
              <w:rPr>
                <w:sz w:val="18"/>
                <w:vertAlign w:val="subscript"/>
              </w:rPr>
              <w:t>2</w:t>
            </w:r>
          </w:p>
        </w:tc>
        <w:tc>
          <w:tcPr>
            <w:tcW w:w="3005" w:type="dxa"/>
          </w:tcPr>
          <w:p>
            <w:pPr>
              <w:pStyle w:val="TableParagraph"/>
              <w:spacing w:before="57"/>
              <w:ind w:left="128" w:right="122"/>
              <w:jc w:val="center"/>
              <w:rPr>
                <w:sz w:val="18"/>
              </w:rPr>
            </w:pPr>
            <w:r>
              <w:rPr>
                <w:sz w:val="18"/>
              </w:rPr>
              <w:t>Appendix 3a.3</w:t>
            </w:r>
          </w:p>
        </w:tc>
        <w:tc>
          <w:tcPr>
            <w:tcW w:w="3005" w:type="dxa"/>
          </w:tcPr>
          <w:p>
            <w:pPr>
              <w:pStyle w:val="TableParagraph"/>
              <w:spacing w:before="57"/>
              <w:ind w:left="132" w:right="122"/>
              <w:jc w:val="center"/>
              <w:rPr>
                <w:sz w:val="18"/>
              </w:rPr>
            </w:pPr>
            <w:r>
              <w:rPr>
                <w:sz w:val="18"/>
              </w:rPr>
              <w:t>Appendix 3a.3</w:t>
            </w:r>
          </w:p>
        </w:tc>
      </w:tr>
      <w:tr>
        <w:trPr>
          <w:trHeight w:val="330" w:hRule="atLeast"/>
        </w:trPr>
        <w:tc>
          <w:tcPr>
            <w:tcW w:w="3005" w:type="dxa"/>
          </w:tcPr>
          <w:p>
            <w:pPr>
              <w:pStyle w:val="TableParagraph"/>
              <w:spacing w:before="57"/>
              <w:ind w:left="128" w:right="122"/>
              <w:jc w:val="center"/>
              <w:rPr>
                <w:sz w:val="18"/>
              </w:rPr>
            </w:pPr>
            <w:r>
              <w:rPr>
                <w:sz w:val="18"/>
              </w:rPr>
              <w:t>CH</w:t>
            </w:r>
            <w:r>
              <w:rPr>
                <w:sz w:val="18"/>
                <w:vertAlign w:val="subscript"/>
              </w:rPr>
              <w:t>4</w:t>
            </w:r>
          </w:p>
        </w:tc>
        <w:tc>
          <w:tcPr>
            <w:tcW w:w="3005" w:type="dxa"/>
          </w:tcPr>
          <w:p>
            <w:pPr>
              <w:pStyle w:val="TableParagraph"/>
              <w:spacing w:before="57"/>
              <w:ind w:left="130" w:right="122"/>
              <w:jc w:val="center"/>
              <w:rPr>
                <w:sz w:val="18"/>
              </w:rPr>
            </w:pPr>
            <w:r>
              <w:rPr>
                <w:sz w:val="18"/>
              </w:rPr>
              <w:t>Not addressed</w:t>
            </w:r>
          </w:p>
        </w:tc>
        <w:tc>
          <w:tcPr>
            <w:tcW w:w="3005" w:type="dxa"/>
          </w:tcPr>
          <w:p>
            <w:pPr>
              <w:pStyle w:val="TableParagraph"/>
              <w:spacing w:before="57"/>
              <w:ind w:left="128" w:right="122"/>
              <w:jc w:val="center"/>
              <w:rPr>
                <w:sz w:val="18"/>
              </w:rPr>
            </w:pPr>
            <w:r>
              <w:rPr>
                <w:sz w:val="18"/>
              </w:rPr>
              <w:t>Appendix 3a.3</w:t>
            </w:r>
          </w:p>
        </w:tc>
      </w:tr>
      <w:tr>
        <w:trPr>
          <w:trHeight w:val="330" w:hRule="atLeast"/>
        </w:trPr>
        <w:tc>
          <w:tcPr>
            <w:tcW w:w="3005" w:type="dxa"/>
          </w:tcPr>
          <w:p>
            <w:pPr>
              <w:pStyle w:val="TableParagraph"/>
              <w:spacing w:before="57"/>
              <w:ind w:left="129" w:right="122"/>
              <w:jc w:val="center"/>
              <w:rPr>
                <w:sz w:val="18"/>
              </w:rPr>
            </w:pPr>
            <w:r>
              <w:rPr>
                <w:sz w:val="18"/>
              </w:rPr>
              <w:t>N</w:t>
            </w:r>
            <w:r>
              <w:rPr>
                <w:sz w:val="18"/>
                <w:vertAlign w:val="subscript"/>
              </w:rPr>
              <w:t>2</w:t>
            </w:r>
            <w:r>
              <w:rPr>
                <w:sz w:val="18"/>
                <w:vertAlign w:val="baseline"/>
              </w:rPr>
              <w:t>O</w:t>
            </w:r>
          </w:p>
        </w:tc>
        <w:tc>
          <w:tcPr>
            <w:tcW w:w="3005" w:type="dxa"/>
          </w:tcPr>
          <w:p>
            <w:pPr>
              <w:pStyle w:val="TableParagraph"/>
              <w:spacing w:before="57"/>
              <w:ind w:left="128" w:right="122"/>
              <w:jc w:val="center"/>
              <w:rPr>
                <w:sz w:val="18"/>
              </w:rPr>
            </w:pPr>
            <w:r>
              <w:rPr>
                <w:sz w:val="18"/>
              </w:rPr>
              <w:t>Appendix 3a.3</w:t>
            </w:r>
          </w:p>
        </w:tc>
        <w:tc>
          <w:tcPr>
            <w:tcW w:w="3005" w:type="dxa"/>
          </w:tcPr>
          <w:p>
            <w:pPr>
              <w:pStyle w:val="TableParagraph"/>
              <w:spacing w:before="57"/>
              <w:ind w:left="128" w:right="122"/>
              <w:jc w:val="center"/>
              <w:rPr>
                <w:sz w:val="18"/>
              </w:rPr>
            </w:pPr>
            <w:r>
              <w:rPr>
                <w:sz w:val="18"/>
              </w:rPr>
              <w:t>Appendix 3a.3</w:t>
            </w:r>
          </w:p>
        </w:tc>
      </w:tr>
      <w:tr>
        <w:trPr>
          <w:trHeight w:val="328" w:hRule="atLeast"/>
        </w:trPr>
        <w:tc>
          <w:tcPr>
            <w:tcW w:w="9015" w:type="dxa"/>
            <w:gridSpan w:val="3"/>
          </w:tcPr>
          <w:p>
            <w:pPr>
              <w:pStyle w:val="TableParagraph"/>
              <w:spacing w:before="62"/>
              <w:ind w:left="107"/>
              <w:rPr>
                <w:b/>
                <w:sz w:val="18"/>
              </w:rPr>
            </w:pPr>
            <w:r>
              <w:rPr>
                <w:b/>
                <w:sz w:val="18"/>
              </w:rPr>
              <w:t>Land Converted to Wetlands</w:t>
            </w:r>
          </w:p>
        </w:tc>
      </w:tr>
      <w:tr>
        <w:trPr>
          <w:trHeight w:val="330" w:hRule="atLeast"/>
        </w:trPr>
        <w:tc>
          <w:tcPr>
            <w:tcW w:w="3005" w:type="dxa"/>
          </w:tcPr>
          <w:p>
            <w:pPr>
              <w:pStyle w:val="TableParagraph"/>
              <w:spacing w:before="57"/>
              <w:ind w:left="128" w:right="122"/>
              <w:jc w:val="center"/>
              <w:rPr>
                <w:sz w:val="18"/>
              </w:rPr>
            </w:pPr>
            <w:r>
              <w:rPr>
                <w:sz w:val="18"/>
              </w:rPr>
              <w:t>CO</w:t>
            </w:r>
            <w:r>
              <w:rPr>
                <w:sz w:val="18"/>
                <w:vertAlign w:val="subscript"/>
              </w:rPr>
              <w:t>2</w:t>
            </w:r>
          </w:p>
        </w:tc>
        <w:tc>
          <w:tcPr>
            <w:tcW w:w="3005" w:type="dxa"/>
          </w:tcPr>
          <w:p>
            <w:pPr>
              <w:pStyle w:val="TableParagraph"/>
              <w:spacing w:before="57"/>
              <w:ind w:left="129" w:right="122"/>
              <w:jc w:val="center"/>
              <w:rPr>
                <w:sz w:val="18"/>
              </w:rPr>
            </w:pPr>
            <w:r>
              <w:rPr>
                <w:sz w:val="18"/>
              </w:rPr>
              <w:t>Section 3.5</w:t>
            </w:r>
          </w:p>
        </w:tc>
        <w:tc>
          <w:tcPr>
            <w:tcW w:w="3005" w:type="dxa"/>
          </w:tcPr>
          <w:p>
            <w:pPr>
              <w:pStyle w:val="TableParagraph"/>
              <w:spacing w:before="57"/>
              <w:ind w:left="130" w:right="122"/>
              <w:jc w:val="center"/>
              <w:rPr>
                <w:sz w:val="18"/>
              </w:rPr>
            </w:pPr>
            <w:r>
              <w:rPr>
                <w:sz w:val="18"/>
              </w:rPr>
              <w:t>Section 3.5</w:t>
            </w:r>
          </w:p>
        </w:tc>
      </w:tr>
      <w:tr>
        <w:trPr>
          <w:trHeight w:val="669" w:hRule="atLeast"/>
        </w:trPr>
        <w:tc>
          <w:tcPr>
            <w:tcW w:w="3005" w:type="dxa"/>
          </w:tcPr>
          <w:p>
            <w:pPr>
              <w:pStyle w:val="TableParagraph"/>
              <w:spacing w:before="6"/>
              <w:rPr>
                <w:sz w:val="19"/>
              </w:rPr>
            </w:pPr>
          </w:p>
          <w:p>
            <w:pPr>
              <w:pStyle w:val="TableParagraph"/>
              <w:spacing w:before="1"/>
              <w:ind w:left="128" w:right="122"/>
              <w:jc w:val="center"/>
              <w:rPr>
                <w:sz w:val="18"/>
              </w:rPr>
            </w:pPr>
            <w:r>
              <w:rPr>
                <w:sz w:val="18"/>
              </w:rPr>
              <w:t>CH</w:t>
            </w:r>
            <w:r>
              <w:rPr>
                <w:sz w:val="18"/>
                <w:vertAlign w:val="subscript"/>
              </w:rPr>
              <w:t>4</w:t>
            </w:r>
          </w:p>
        </w:tc>
        <w:tc>
          <w:tcPr>
            <w:tcW w:w="3005" w:type="dxa"/>
          </w:tcPr>
          <w:p>
            <w:pPr>
              <w:pStyle w:val="TableParagraph"/>
              <w:spacing w:line="207" w:lineRule="exact" w:before="19"/>
              <w:ind w:left="988"/>
              <w:rPr>
                <w:sz w:val="18"/>
              </w:rPr>
            </w:pPr>
            <w:r>
              <w:rPr>
                <w:sz w:val="18"/>
              </w:rPr>
              <w:t>Not addressed</w:t>
            </w:r>
          </w:p>
          <w:p>
            <w:pPr>
              <w:pStyle w:val="TableParagraph"/>
              <w:ind w:left="133" w:right="122"/>
              <w:jc w:val="center"/>
              <w:rPr>
                <w:sz w:val="18"/>
              </w:rPr>
            </w:pPr>
            <w:r>
              <w:rPr>
                <w:sz w:val="18"/>
              </w:rPr>
              <w:t>(drainage and rewetting of forest soils is discussed in Appendix 3a.2)</w:t>
            </w:r>
          </w:p>
        </w:tc>
        <w:tc>
          <w:tcPr>
            <w:tcW w:w="3005" w:type="dxa"/>
          </w:tcPr>
          <w:p>
            <w:pPr>
              <w:pStyle w:val="TableParagraph"/>
              <w:spacing w:line="207" w:lineRule="exact" w:before="19"/>
              <w:ind w:left="548"/>
              <w:rPr>
                <w:sz w:val="18"/>
              </w:rPr>
            </w:pPr>
            <w:r>
              <w:rPr>
                <w:sz w:val="18"/>
              </w:rPr>
              <w:t>Covered in Appendix 3a.3</w:t>
            </w:r>
          </w:p>
          <w:p>
            <w:pPr>
              <w:pStyle w:val="TableParagraph"/>
              <w:ind w:left="130" w:right="122"/>
              <w:jc w:val="center"/>
              <w:rPr>
                <w:sz w:val="18"/>
              </w:rPr>
            </w:pPr>
            <w:r>
              <w:rPr>
                <w:sz w:val="18"/>
              </w:rPr>
              <w:t>(no distinction is made based on the age of the reservoir)</w:t>
            </w:r>
          </w:p>
        </w:tc>
      </w:tr>
      <w:tr>
        <w:trPr>
          <w:trHeight w:val="671" w:hRule="atLeast"/>
        </w:trPr>
        <w:tc>
          <w:tcPr>
            <w:tcW w:w="3005" w:type="dxa"/>
          </w:tcPr>
          <w:p>
            <w:pPr>
              <w:pStyle w:val="TableParagraph"/>
              <w:spacing w:before="6"/>
              <w:rPr>
                <w:sz w:val="19"/>
              </w:rPr>
            </w:pPr>
          </w:p>
          <w:p>
            <w:pPr>
              <w:pStyle w:val="TableParagraph"/>
              <w:spacing w:before="1"/>
              <w:ind w:left="129" w:right="122"/>
              <w:jc w:val="center"/>
              <w:rPr>
                <w:sz w:val="18"/>
              </w:rPr>
            </w:pPr>
            <w:r>
              <w:rPr>
                <w:sz w:val="18"/>
              </w:rPr>
              <w:t>N</w:t>
            </w:r>
            <w:r>
              <w:rPr>
                <w:sz w:val="18"/>
                <w:vertAlign w:val="subscript"/>
              </w:rPr>
              <w:t>2</w:t>
            </w:r>
            <w:r>
              <w:rPr>
                <w:sz w:val="18"/>
                <w:vertAlign w:val="baseline"/>
              </w:rPr>
              <w:t>O</w:t>
            </w:r>
          </w:p>
        </w:tc>
        <w:tc>
          <w:tcPr>
            <w:tcW w:w="3005" w:type="dxa"/>
          </w:tcPr>
          <w:p>
            <w:pPr>
              <w:pStyle w:val="TableParagraph"/>
              <w:spacing w:before="19"/>
              <w:ind w:left="969"/>
              <w:rPr>
                <w:sz w:val="18"/>
              </w:rPr>
            </w:pPr>
            <w:r>
              <w:rPr>
                <w:sz w:val="18"/>
              </w:rPr>
              <w:t>Appendix 3a.3</w:t>
            </w:r>
          </w:p>
          <w:p>
            <w:pPr>
              <w:pStyle w:val="TableParagraph"/>
              <w:spacing w:before="1"/>
              <w:ind w:left="133" w:right="122"/>
              <w:jc w:val="center"/>
              <w:rPr>
                <w:sz w:val="18"/>
              </w:rPr>
            </w:pPr>
            <w:r>
              <w:rPr>
                <w:sz w:val="18"/>
              </w:rPr>
              <w:t>(drainage and rewetting of forest soils is discussed in Appendix 3a.2)</w:t>
            </w:r>
          </w:p>
        </w:tc>
        <w:tc>
          <w:tcPr>
            <w:tcW w:w="3005" w:type="dxa"/>
          </w:tcPr>
          <w:p>
            <w:pPr>
              <w:pStyle w:val="TableParagraph"/>
              <w:spacing w:before="19"/>
              <w:ind w:left="548"/>
              <w:rPr>
                <w:sz w:val="18"/>
              </w:rPr>
            </w:pPr>
            <w:r>
              <w:rPr>
                <w:sz w:val="18"/>
              </w:rPr>
              <w:t>Covered in Appendix 3a.3</w:t>
            </w:r>
          </w:p>
          <w:p>
            <w:pPr>
              <w:pStyle w:val="TableParagraph"/>
              <w:spacing w:before="1"/>
              <w:ind w:left="130" w:right="122"/>
              <w:jc w:val="center"/>
              <w:rPr>
                <w:sz w:val="18"/>
              </w:rPr>
            </w:pPr>
            <w:r>
              <w:rPr>
                <w:sz w:val="18"/>
              </w:rPr>
              <w:t>(no distinction is made based on the age of the reservoir)</w:t>
            </w:r>
          </w:p>
        </w:tc>
      </w:tr>
    </w:tbl>
    <w:p>
      <w:pPr>
        <w:pStyle w:val="BodyText"/>
        <w:spacing w:before="2"/>
        <w:rPr>
          <w:sz w:val="31"/>
        </w:rPr>
      </w:pPr>
    </w:p>
    <w:p>
      <w:pPr>
        <w:pStyle w:val="Heading2"/>
        <w:numPr>
          <w:ilvl w:val="2"/>
          <w:numId w:val="75"/>
        </w:numPr>
        <w:tabs>
          <w:tab w:pos="1421" w:val="left" w:leader="none"/>
          <w:tab w:pos="1422" w:val="left" w:leader="none"/>
        </w:tabs>
        <w:spacing w:line="240" w:lineRule="auto" w:before="0" w:after="0"/>
        <w:ind w:left="1421" w:right="0" w:hanging="1202"/>
        <w:jc w:val="left"/>
      </w:pPr>
      <w:r>
        <w:rPr>
          <w:spacing w:val="8"/>
        </w:rPr>
        <w:t>Wetlands Remaining</w:t>
      </w:r>
      <w:r>
        <w:rPr>
          <w:spacing w:val="33"/>
        </w:rPr>
        <w:t> </w:t>
      </w:r>
      <w:r>
        <w:rPr>
          <w:spacing w:val="9"/>
        </w:rPr>
        <w:t>Wetlands</w:t>
      </w:r>
    </w:p>
    <w:p>
      <w:pPr>
        <w:pStyle w:val="BodyText"/>
        <w:spacing w:before="114"/>
        <w:ind w:left="219" w:right="589"/>
      </w:pPr>
      <w:r>
        <w:rPr/>
        <w:t>This category is addressed in Appendix 3a.3 Wetlands Remaining Wetlands: Basis for future methodological development.</w:t>
      </w:r>
    </w:p>
    <w:p>
      <w:pPr>
        <w:pStyle w:val="BodyText"/>
        <w:rPr>
          <w:sz w:val="22"/>
        </w:rPr>
      </w:pPr>
    </w:p>
    <w:p>
      <w:pPr>
        <w:pStyle w:val="BodyText"/>
        <w:spacing w:before="3"/>
      </w:pPr>
    </w:p>
    <w:p>
      <w:pPr>
        <w:pStyle w:val="Heading2"/>
        <w:numPr>
          <w:ilvl w:val="2"/>
          <w:numId w:val="75"/>
        </w:numPr>
        <w:tabs>
          <w:tab w:pos="1421" w:val="left" w:leader="none"/>
          <w:tab w:pos="1422" w:val="left" w:leader="none"/>
        </w:tabs>
        <w:spacing w:line="240" w:lineRule="auto" w:before="0" w:after="0"/>
        <w:ind w:left="1421" w:right="0" w:hanging="1202"/>
        <w:jc w:val="left"/>
      </w:pPr>
      <w:r>
        <w:rPr>
          <w:spacing w:val="6"/>
        </w:rPr>
        <w:t>Land </w:t>
      </w:r>
      <w:r>
        <w:rPr>
          <w:spacing w:val="8"/>
        </w:rPr>
        <w:t>Converted </w:t>
      </w:r>
      <w:r>
        <w:rPr>
          <w:spacing w:val="4"/>
        </w:rPr>
        <w:t>to</w:t>
      </w:r>
      <w:r>
        <w:rPr>
          <w:spacing w:val="45"/>
        </w:rPr>
        <w:t> </w:t>
      </w:r>
      <w:r>
        <w:rPr>
          <w:spacing w:val="9"/>
        </w:rPr>
        <w:t>Wetlands</w:t>
      </w:r>
    </w:p>
    <w:p>
      <w:pPr>
        <w:pStyle w:val="BodyText"/>
        <w:spacing w:before="114"/>
        <w:ind w:left="219" w:right="264"/>
        <w:jc w:val="both"/>
      </w:pPr>
      <w:r>
        <w:rPr/>
        <w:t>In this section, CO</w:t>
      </w:r>
      <w:r>
        <w:rPr>
          <w:vertAlign w:val="subscript"/>
        </w:rPr>
        <w:t>2</w:t>
      </w:r>
      <w:r>
        <w:rPr>
          <w:vertAlign w:val="baseline"/>
        </w:rPr>
        <w:t> emissions associated with either peat extraction or flooding are addressed. The conversion of lands to wetlands may be an important component of national estimates of deforestation (or other nationally important land use conversions). For conversions related to peat extraction, carbon stock changes associated with living biomass and soil are addressed below. For conversions related to flooding, only the carbon stock change associated with the loss of living biomass is addressed.</w:t>
      </w:r>
    </w:p>
    <w:p>
      <w:pPr>
        <w:pStyle w:val="BodyText"/>
        <w:spacing w:before="120"/>
        <w:ind w:left="219" w:right="265"/>
        <w:jc w:val="both"/>
      </w:pPr>
      <w:r>
        <w:rPr/>
        <w:t>Lands converted to wetlands include conversions from forest land, cropland, grassland and settlements to this category. The most likely conversions are conversions from forest land to wetlands (e.g. rewetting of peatlands</w:t>
      </w:r>
    </w:p>
    <w:p>
      <w:pPr>
        <w:pStyle w:val="BodyText"/>
        <w:rPr>
          <w:sz w:val="21"/>
        </w:rPr>
      </w:pPr>
      <w:r>
        <w:rPr/>
        <w:pict>
          <v:line style="position:absolute;mso-position-horizontal-relative:page;mso-position-vertical-relative:paragraph;z-index:10664;mso-wrap-distance-left:0;mso-wrap-distance-right:0" from="70.960999pt,14.290479pt" to="214.960999pt,14.290479pt" stroked="true" strokeweight=".48pt" strokecolor="#000000">
            <v:stroke dashstyle="solid"/>
            <w10:wrap type="topAndBottom"/>
          </v:line>
        </w:pict>
      </w:r>
    </w:p>
    <w:p>
      <w:pPr>
        <w:spacing w:before="153"/>
        <w:ind w:left="360" w:right="260" w:hanging="159"/>
        <w:jc w:val="both"/>
        <w:rPr>
          <w:sz w:val="18"/>
        </w:rPr>
      </w:pPr>
      <w:r>
        <w:rPr>
          <w:position w:val="8"/>
          <w:sz w:val="12"/>
        </w:rPr>
        <w:t>1 </w:t>
      </w:r>
      <w:r>
        <w:rPr>
          <w:sz w:val="18"/>
        </w:rPr>
        <w:t>The definition used in this report agrees with common definitions used in the Ramsar Convention on Wetlands and the Convention on Biological Diversity (CBD).</w:t>
      </w:r>
    </w:p>
    <w:p>
      <w:pPr>
        <w:spacing w:line="242" w:lineRule="auto" w:before="92"/>
        <w:ind w:left="399" w:right="264" w:hanging="180"/>
        <w:jc w:val="both"/>
        <w:rPr>
          <w:sz w:val="18"/>
        </w:rPr>
      </w:pPr>
      <w:r>
        <w:rPr>
          <w:position w:val="9"/>
          <w:sz w:val="13"/>
        </w:rPr>
        <w:t>2 </w:t>
      </w:r>
      <w:r>
        <w:rPr>
          <w:sz w:val="18"/>
        </w:rPr>
        <w:t>Flooded lands are defined as water bodies regulated by human activities for energy production, irrigation, navigation, recreation, etc. and where substantial changes in water area due to water regulation occur. Regulated lakes and rivers, where the main pre-flooded ecosystem was a natural lake or river, are not considered as flooded lands. Rice paddies are addressed in the Agriculture Chapter of the </w:t>
      </w:r>
      <w:r>
        <w:rPr>
          <w:i/>
          <w:sz w:val="18"/>
        </w:rPr>
        <w:t>IPCC Guidelines </w:t>
      </w:r>
      <w:r>
        <w:rPr>
          <w:sz w:val="18"/>
        </w:rPr>
        <w:t>and </w:t>
      </w:r>
      <w:r>
        <w:rPr>
          <w:i/>
          <w:sz w:val="18"/>
        </w:rPr>
        <w:t>GPG2000</w:t>
      </w:r>
      <w:r>
        <w:rPr>
          <w:sz w:val="18"/>
        </w:rPr>
        <w:t>.</w:t>
      </w:r>
    </w:p>
    <w:p>
      <w:pPr>
        <w:spacing w:after="0" w:line="242" w:lineRule="auto"/>
        <w:jc w:val="both"/>
        <w:rPr>
          <w:sz w:val="18"/>
        </w:rPr>
        <w:sectPr>
          <w:headerReference w:type="even" r:id="rId155"/>
          <w:headerReference w:type="default" r:id="rId156"/>
          <w:pgSz w:w="11900" w:h="16840"/>
          <w:pgMar w:header="230" w:footer="408" w:top="560" w:bottom="600" w:left="1200" w:right="1140"/>
        </w:sectPr>
      </w:pPr>
    </w:p>
    <w:p>
      <w:pPr>
        <w:pStyle w:val="BodyText"/>
      </w:pPr>
    </w:p>
    <w:p>
      <w:pPr>
        <w:pStyle w:val="BodyText"/>
        <w:spacing w:before="2"/>
        <w:rPr>
          <w:sz w:val="18"/>
        </w:rPr>
      </w:pPr>
    </w:p>
    <w:p>
      <w:pPr>
        <w:pStyle w:val="BodyText"/>
        <w:ind w:left="219" w:right="265"/>
        <w:jc w:val="both"/>
      </w:pPr>
      <w:r>
        <w:rPr/>
        <w:t>drained for forestry purposes), conversions related to peat extraction (conversion of natural peatlands to managed lands), or conversions to flooded land (for hydroelectric or other purposes). Methodologies for rewetting are not included due to the scarcity of available data (Appendix 3a.2 addresses emissions of non-CO</w:t>
      </w:r>
      <w:r>
        <w:rPr>
          <w:vertAlign w:val="subscript"/>
        </w:rPr>
        <w:t>2</w:t>
      </w:r>
      <w:r>
        <w:rPr>
          <w:vertAlign w:val="baseline"/>
        </w:rPr>
        <w:t> greenhouse gases from drainage and rewetting, with emphasis on drainage). As shown in Equation 3.5.1, guidance on estimating carbon stock change in land converted to wetlands covers conversion to two possible land uses: peat extraction and flooding.</w:t>
      </w:r>
    </w:p>
    <w:p>
      <w:pPr>
        <w:pStyle w:val="BodyText"/>
        <w:spacing w:before="1"/>
        <w:rPr>
          <w:sz w:val="11"/>
        </w:rPr>
      </w:pPr>
      <w:r>
        <w:rPr/>
        <w:pict>
          <v:shape style="position:absolute;margin-left:91.960999pt;margin-top:9.122715pt;width:411.5pt;height:49.95pt;mso-position-horizontal-relative:page;mso-position-vertical-relative:paragraph;z-index:10688;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3.5.1</w:t>
                  </w:r>
                </w:p>
                <w:p>
                  <w:pPr>
                    <w:spacing w:line="229" w:lineRule="exact" w:before="0"/>
                    <w:ind w:left="67" w:right="68" w:firstLine="0"/>
                    <w:jc w:val="center"/>
                    <w:rPr>
                      <w:b/>
                      <w:sz w:val="16"/>
                    </w:rPr>
                  </w:pPr>
                  <w:r>
                    <w:rPr>
                      <w:b/>
                      <w:sz w:val="20"/>
                    </w:rPr>
                    <w:t>C</w:t>
                  </w:r>
                  <w:r>
                    <w:rPr>
                      <w:b/>
                      <w:sz w:val="16"/>
                    </w:rPr>
                    <w:t>HANGE IN CARBON STOCKS IN LAND CONVERTED TO WETLANDS</w:t>
                  </w:r>
                </w:p>
                <w:p>
                  <w:pPr>
                    <w:spacing w:before="80"/>
                    <w:ind w:left="111" w:right="61" w:firstLine="0"/>
                    <w:jc w:val="center"/>
                    <w:rPr>
                      <w:sz w:val="13"/>
                    </w:rPr>
                  </w:pPr>
                  <w:r>
                    <w:rPr>
                      <w:position w:val="3"/>
                      <w:sz w:val="20"/>
                    </w:rPr>
                    <w:t>∆C</w:t>
                  </w:r>
                  <w:r>
                    <w:rPr>
                      <w:sz w:val="13"/>
                    </w:rPr>
                    <w:t>LW  </w:t>
                  </w:r>
                  <w:r>
                    <w:rPr>
                      <w:position w:val="3"/>
                      <w:sz w:val="20"/>
                    </w:rPr>
                    <w:t>= ∆C</w:t>
                  </w:r>
                  <w:r>
                    <w:rPr>
                      <w:sz w:val="13"/>
                    </w:rPr>
                    <w:t>LW peat  </w:t>
                  </w:r>
                  <w:r>
                    <w:rPr>
                      <w:position w:val="3"/>
                      <w:sz w:val="20"/>
                    </w:rPr>
                    <w:t>+ ∆C</w:t>
                  </w:r>
                  <w:r>
                    <w:rPr>
                      <w:sz w:val="13"/>
                    </w:rPr>
                    <w:t>LW flood</w:t>
                  </w:r>
                </w:p>
              </w:txbxContent>
            </v:textbox>
            <v:stroke dashstyle="solid"/>
            <w10:wrap type="topAndBottom"/>
          </v:shape>
        </w:pict>
      </w:r>
    </w:p>
    <w:p>
      <w:pPr>
        <w:pStyle w:val="BodyText"/>
        <w:spacing w:before="4"/>
        <w:ind w:left="219"/>
        <w:jc w:val="both"/>
      </w:pPr>
      <w:r>
        <w:rPr/>
        <w:t>Where:</w:t>
      </w:r>
    </w:p>
    <w:p>
      <w:pPr>
        <w:pStyle w:val="BodyText"/>
        <w:spacing w:before="121"/>
        <w:ind w:left="785"/>
      </w:pPr>
      <w:r>
        <w:rPr/>
        <w:t>∆C</w:t>
      </w:r>
      <w:r>
        <w:rPr>
          <w:vertAlign w:val="subscript"/>
        </w:rPr>
        <w:t>LW</w:t>
      </w:r>
      <w:r>
        <w:rPr>
          <w:vertAlign w:val="baseline"/>
        </w:rPr>
        <w:t> = change in carbon stocks in land converted to wetlands, tonnes C yr</w:t>
      </w:r>
      <w:r>
        <w:rPr>
          <w:vertAlign w:val="superscript"/>
        </w:rPr>
        <w:t>-1</w:t>
      </w:r>
    </w:p>
    <w:p>
      <w:pPr>
        <w:pStyle w:val="BodyText"/>
        <w:spacing w:before="120"/>
        <w:ind w:left="785"/>
      </w:pPr>
      <w:r>
        <w:rPr/>
        <w:t>∆C</w:t>
      </w:r>
      <w:r>
        <w:rPr>
          <w:vertAlign w:val="subscript"/>
        </w:rPr>
        <w:t>LW</w:t>
      </w:r>
      <w:r>
        <w:rPr>
          <w:vertAlign w:val="baseline"/>
        </w:rPr>
        <w:t> </w:t>
      </w:r>
      <w:r>
        <w:rPr>
          <w:vertAlign w:val="subscript"/>
        </w:rPr>
        <w:t>peat</w:t>
      </w:r>
      <w:r>
        <w:rPr>
          <w:vertAlign w:val="baseline"/>
        </w:rPr>
        <w:t> = change in carbon stocks in land converted to peat extraction (Section 3.5.1), tonnes C yr</w:t>
      </w:r>
      <w:r>
        <w:rPr>
          <w:vertAlign w:val="superscript"/>
        </w:rPr>
        <w:t>-1</w:t>
      </w:r>
    </w:p>
    <w:p>
      <w:pPr>
        <w:pStyle w:val="BodyText"/>
        <w:spacing w:before="118"/>
        <w:ind w:left="785"/>
      </w:pPr>
      <w:r>
        <w:rPr/>
        <w:t>∆C</w:t>
      </w:r>
      <w:r>
        <w:rPr>
          <w:vertAlign w:val="subscript"/>
        </w:rPr>
        <w:t>LW</w:t>
      </w:r>
      <w:r>
        <w:rPr>
          <w:vertAlign w:val="baseline"/>
        </w:rPr>
        <w:t> </w:t>
      </w:r>
      <w:r>
        <w:rPr>
          <w:vertAlign w:val="subscript"/>
        </w:rPr>
        <w:t>flood</w:t>
      </w:r>
      <w:r>
        <w:rPr>
          <w:vertAlign w:val="baseline"/>
        </w:rPr>
        <w:t> = change in carbon stocks in land converted to flooded land (Section 3.5.2), tonnes C yr</w:t>
      </w:r>
      <w:r>
        <w:rPr>
          <w:vertAlign w:val="superscript"/>
        </w:rPr>
        <w:t>-1</w:t>
      </w:r>
    </w:p>
    <w:p>
      <w:pPr>
        <w:pStyle w:val="BodyText"/>
        <w:spacing w:before="120"/>
        <w:ind w:left="219" w:right="265"/>
        <w:jc w:val="both"/>
      </w:pPr>
      <w:r>
        <w:rPr/>
        <w:t>The carbon stock change in tonnes C is converted to Gg CO</w:t>
      </w:r>
      <w:r>
        <w:rPr>
          <w:vertAlign w:val="subscript"/>
        </w:rPr>
        <w:t>2</w:t>
      </w:r>
      <w:r>
        <w:rPr>
          <w:vertAlign w:val="baseline"/>
        </w:rPr>
        <w:t> emissions by multiplying the value with 44/12 and 10</w:t>
      </w:r>
      <w:r>
        <w:rPr>
          <w:vertAlign w:val="superscript"/>
        </w:rPr>
        <w:t>-3</w:t>
      </w:r>
      <w:r>
        <w:rPr>
          <w:vertAlign w:val="baseline"/>
        </w:rPr>
        <w:t> to correspond to the reporting requirements. Emissions are reported as positive values and removals as negative values (Equation 3.5.1 is expected to result in a loss of carbon). For more details on reporting and the rule on the signs, see Section 3.1.7 and Annex 3A.2 (Reporting Tables and Worksheets).</w:t>
      </w:r>
    </w:p>
    <w:p>
      <w:pPr>
        <w:pStyle w:val="BodyText"/>
        <w:spacing w:before="120"/>
        <w:ind w:left="219" w:right="265"/>
        <w:jc w:val="both"/>
      </w:pPr>
      <w:r>
        <w:rPr/>
        <w:t>Figure</w:t>
      </w:r>
      <w:r>
        <w:rPr>
          <w:spacing w:val="-5"/>
        </w:rPr>
        <w:t> </w:t>
      </w:r>
      <w:r>
        <w:rPr/>
        <w:t>3.1.2</w:t>
      </w:r>
      <w:r>
        <w:rPr>
          <w:spacing w:val="-4"/>
        </w:rPr>
        <w:t> </w:t>
      </w:r>
      <w:r>
        <w:rPr/>
        <w:t>provides</w:t>
      </w:r>
      <w:r>
        <w:rPr>
          <w:spacing w:val="-4"/>
        </w:rPr>
        <w:t> </w:t>
      </w:r>
      <w:r>
        <w:rPr/>
        <w:t>a</w:t>
      </w:r>
      <w:r>
        <w:rPr>
          <w:spacing w:val="-3"/>
        </w:rPr>
        <w:t> </w:t>
      </w:r>
      <w:r>
        <w:rPr/>
        <w:t>general</w:t>
      </w:r>
      <w:r>
        <w:rPr>
          <w:spacing w:val="-5"/>
        </w:rPr>
        <w:t> </w:t>
      </w:r>
      <w:r>
        <w:rPr/>
        <w:t>decision</w:t>
      </w:r>
      <w:r>
        <w:rPr>
          <w:spacing w:val="-5"/>
        </w:rPr>
        <w:t> </w:t>
      </w:r>
      <w:r>
        <w:rPr/>
        <w:t>tree</w:t>
      </w:r>
      <w:r>
        <w:rPr>
          <w:spacing w:val="-5"/>
        </w:rPr>
        <w:t> </w:t>
      </w:r>
      <w:r>
        <w:rPr/>
        <w:t>to</w:t>
      </w:r>
      <w:r>
        <w:rPr>
          <w:spacing w:val="-3"/>
        </w:rPr>
        <w:t> </w:t>
      </w:r>
      <w:r>
        <w:rPr/>
        <w:t>select</w:t>
      </w:r>
      <w:r>
        <w:rPr>
          <w:spacing w:val="-3"/>
        </w:rPr>
        <w:t> </w:t>
      </w:r>
      <w:r>
        <w:rPr/>
        <w:t>the</w:t>
      </w:r>
      <w:r>
        <w:rPr>
          <w:spacing w:val="-4"/>
        </w:rPr>
        <w:t> </w:t>
      </w:r>
      <w:r>
        <w:rPr/>
        <w:t>appropriate</w:t>
      </w:r>
      <w:r>
        <w:rPr>
          <w:spacing w:val="-5"/>
        </w:rPr>
        <w:t> </w:t>
      </w:r>
      <w:r>
        <w:rPr/>
        <w:t>tier</w:t>
      </w:r>
      <w:r>
        <w:rPr>
          <w:spacing w:val="-1"/>
        </w:rPr>
        <w:t> </w:t>
      </w:r>
      <w:r>
        <w:rPr>
          <w:spacing w:val="-2"/>
        </w:rPr>
        <w:t>for</w:t>
      </w:r>
      <w:r>
        <w:rPr>
          <w:spacing w:val="-4"/>
        </w:rPr>
        <w:t> </w:t>
      </w:r>
      <w:r>
        <w:rPr/>
        <w:t>land</w:t>
      </w:r>
      <w:r>
        <w:rPr>
          <w:spacing w:val="-5"/>
        </w:rPr>
        <w:t> </w:t>
      </w:r>
      <w:r>
        <w:rPr/>
        <w:t>conversion</w:t>
      </w:r>
      <w:r>
        <w:rPr>
          <w:spacing w:val="-5"/>
        </w:rPr>
        <w:t> </w:t>
      </w:r>
      <w:r>
        <w:rPr/>
        <w:t>and</w:t>
      </w:r>
      <w:r>
        <w:rPr>
          <w:spacing w:val="-3"/>
        </w:rPr>
        <w:t> </w:t>
      </w:r>
      <w:r>
        <w:rPr/>
        <w:t>is</w:t>
      </w:r>
      <w:r>
        <w:rPr>
          <w:spacing w:val="-4"/>
        </w:rPr>
        <w:t> </w:t>
      </w:r>
      <w:r>
        <w:rPr/>
        <w:t>applicable</w:t>
      </w:r>
      <w:r>
        <w:rPr>
          <w:spacing w:val="-3"/>
        </w:rPr>
        <w:t> </w:t>
      </w:r>
      <w:r>
        <w:rPr>
          <w:spacing w:val="-2"/>
        </w:rPr>
        <w:t>for </w:t>
      </w:r>
      <w:r>
        <w:rPr>
          <w:spacing w:val="-3"/>
        </w:rPr>
        <w:t>land </w:t>
      </w:r>
      <w:r>
        <w:rPr/>
        <w:t>converted to </w:t>
      </w:r>
      <w:r>
        <w:rPr>
          <w:spacing w:val="-3"/>
        </w:rPr>
        <w:t>wetlands. </w:t>
      </w:r>
      <w:r>
        <w:rPr/>
        <w:t>If data are available, </w:t>
      </w:r>
      <w:r>
        <w:rPr>
          <w:spacing w:val="-3"/>
        </w:rPr>
        <w:t>the </w:t>
      </w:r>
      <w:r>
        <w:rPr/>
        <w:t>choice of tier </w:t>
      </w:r>
      <w:r>
        <w:rPr>
          <w:spacing w:val="-3"/>
        </w:rPr>
        <w:t>should </w:t>
      </w:r>
      <w:r>
        <w:rPr/>
        <w:t>be performed separately </w:t>
      </w:r>
      <w:r>
        <w:rPr>
          <w:spacing w:val="-2"/>
        </w:rPr>
        <w:t>for </w:t>
      </w:r>
      <w:r>
        <w:rPr/>
        <w:t>each land </w:t>
      </w:r>
      <w:r>
        <w:rPr>
          <w:spacing w:val="-3"/>
        </w:rPr>
        <w:t>conversion</w:t>
      </w:r>
      <w:r>
        <w:rPr>
          <w:spacing w:val="-9"/>
        </w:rPr>
        <w:t> </w:t>
      </w:r>
      <w:r>
        <w:rPr>
          <w:spacing w:val="-3"/>
        </w:rPr>
        <w:t>type</w:t>
      </w:r>
      <w:r>
        <w:rPr>
          <w:spacing w:val="-9"/>
        </w:rPr>
        <w:t> </w:t>
      </w:r>
      <w:r>
        <w:rPr/>
        <w:t>(forest</w:t>
      </w:r>
      <w:r>
        <w:rPr>
          <w:spacing w:val="-10"/>
        </w:rPr>
        <w:t> </w:t>
      </w:r>
      <w:r>
        <w:rPr/>
        <w:t>land</w:t>
      </w:r>
      <w:r>
        <w:rPr>
          <w:spacing w:val="-6"/>
        </w:rPr>
        <w:t> </w:t>
      </w:r>
      <w:r>
        <w:rPr/>
        <w:t>to</w:t>
      </w:r>
      <w:r>
        <w:rPr>
          <w:spacing w:val="-9"/>
        </w:rPr>
        <w:t> </w:t>
      </w:r>
      <w:r>
        <w:rPr/>
        <w:t>wetlands,</w:t>
      </w:r>
      <w:r>
        <w:rPr>
          <w:spacing w:val="-9"/>
        </w:rPr>
        <w:t> </w:t>
      </w:r>
      <w:r>
        <w:rPr>
          <w:spacing w:val="-2"/>
        </w:rPr>
        <w:t>grassland</w:t>
      </w:r>
      <w:r>
        <w:rPr>
          <w:spacing w:val="-8"/>
        </w:rPr>
        <w:t> </w:t>
      </w:r>
      <w:r>
        <w:rPr/>
        <w:t>to</w:t>
      </w:r>
      <w:r>
        <w:rPr>
          <w:spacing w:val="-6"/>
        </w:rPr>
        <w:t> </w:t>
      </w:r>
      <w:r>
        <w:rPr/>
        <w:t>wetlands,</w:t>
      </w:r>
      <w:r>
        <w:rPr>
          <w:spacing w:val="-9"/>
        </w:rPr>
        <w:t> </w:t>
      </w:r>
      <w:r>
        <w:rPr/>
        <w:t>cropland</w:t>
      </w:r>
      <w:r>
        <w:rPr>
          <w:spacing w:val="-9"/>
        </w:rPr>
        <w:t> </w:t>
      </w:r>
      <w:r>
        <w:rPr/>
        <w:t>to</w:t>
      </w:r>
      <w:r>
        <w:rPr>
          <w:spacing w:val="-6"/>
        </w:rPr>
        <w:t> </w:t>
      </w:r>
      <w:r>
        <w:rPr>
          <w:spacing w:val="-3"/>
        </w:rPr>
        <w:t>wetlands,</w:t>
      </w:r>
      <w:r>
        <w:rPr>
          <w:spacing w:val="-9"/>
        </w:rPr>
        <w:t> </w:t>
      </w:r>
      <w:r>
        <w:rPr/>
        <w:t>other</w:t>
      </w:r>
      <w:r>
        <w:rPr>
          <w:spacing w:val="-7"/>
        </w:rPr>
        <w:t> </w:t>
      </w:r>
      <w:r>
        <w:rPr/>
        <w:t>land</w:t>
      </w:r>
      <w:r>
        <w:rPr>
          <w:spacing w:val="-9"/>
        </w:rPr>
        <w:t> </w:t>
      </w:r>
      <w:r>
        <w:rPr/>
        <w:t>to</w:t>
      </w:r>
      <w:r>
        <w:rPr>
          <w:spacing w:val="-6"/>
        </w:rPr>
        <w:t> </w:t>
      </w:r>
      <w:r>
        <w:rPr/>
        <w:t>wetlands).</w:t>
      </w:r>
    </w:p>
    <w:p>
      <w:pPr>
        <w:pStyle w:val="BodyText"/>
        <w:rPr>
          <w:sz w:val="22"/>
        </w:rPr>
      </w:pPr>
    </w:p>
    <w:p>
      <w:pPr>
        <w:pStyle w:val="Heading6"/>
        <w:numPr>
          <w:ilvl w:val="3"/>
          <w:numId w:val="75"/>
        </w:numPr>
        <w:tabs>
          <w:tab w:pos="2211" w:val="left" w:leader="none"/>
          <w:tab w:pos="2212" w:val="left" w:leader="none"/>
        </w:tabs>
        <w:spacing w:line="280" w:lineRule="auto" w:before="146" w:after="0"/>
        <w:ind w:left="2211" w:right="416" w:hanging="1992"/>
        <w:jc w:val="left"/>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4"/>
        </w:rPr>
        <w:t>LAND </w:t>
      </w:r>
      <w:r>
        <w:rPr>
          <w:spacing w:val="16"/>
        </w:rPr>
        <w:t>CONVERTED </w:t>
      </w:r>
      <w:r>
        <w:rPr>
          <w:spacing w:val="9"/>
        </w:rPr>
        <w:t>TO </w:t>
      </w:r>
      <w:r>
        <w:rPr>
          <w:spacing w:val="14"/>
        </w:rPr>
        <w:t>PEAT</w:t>
      </w:r>
      <w:r>
        <w:rPr>
          <w:spacing w:val="40"/>
        </w:rPr>
        <w:t> </w:t>
      </w:r>
      <w:r>
        <w:rPr>
          <w:spacing w:val="17"/>
        </w:rPr>
        <w:t>EXTRACTION</w:t>
      </w:r>
    </w:p>
    <w:p>
      <w:pPr>
        <w:pStyle w:val="ListParagraph"/>
        <w:numPr>
          <w:ilvl w:val="4"/>
          <w:numId w:val="75"/>
        </w:numPr>
        <w:tabs>
          <w:tab w:pos="1242" w:val="left" w:leader="none"/>
        </w:tabs>
        <w:spacing w:line="240" w:lineRule="auto" w:before="187" w:after="0"/>
        <w:ind w:left="1241" w:right="0" w:hanging="1022"/>
        <w:jc w:val="left"/>
        <w:rPr>
          <w:b/>
          <w:sz w:val="22"/>
        </w:rPr>
      </w:pPr>
      <w:r>
        <w:rPr>
          <w:b/>
          <w:sz w:val="22"/>
        </w:rPr>
        <w:t>1 </w:t>
      </w:r>
      <w:r>
        <w:rPr>
          <w:b/>
          <w:spacing w:val="17"/>
          <w:sz w:val="22"/>
        </w:rPr>
        <w:t>METHODOLOGICAL</w:t>
      </w:r>
      <w:r>
        <w:rPr>
          <w:b/>
          <w:spacing w:val="23"/>
          <w:sz w:val="22"/>
        </w:rPr>
        <w:t> </w:t>
      </w:r>
      <w:r>
        <w:rPr>
          <w:b/>
          <w:spacing w:val="19"/>
          <w:sz w:val="22"/>
        </w:rPr>
        <w:t>ISSUES</w:t>
      </w:r>
    </w:p>
    <w:p>
      <w:pPr>
        <w:pStyle w:val="BodyText"/>
        <w:spacing w:before="114"/>
        <w:ind w:left="219" w:right="264"/>
        <w:jc w:val="both"/>
      </w:pPr>
      <w:r>
        <w:rPr/>
        <w:t>A method to estimate emissions from land converted to peat extraction is given below. Neither emissions from organic soils managed for peat extraction nor land-use changes associated with organic soils managed for peat extraction are dealt with explicitly in the </w:t>
      </w:r>
      <w:r>
        <w:rPr>
          <w:i/>
        </w:rPr>
        <w:t>IPCC Guidelines</w:t>
      </w:r>
      <w:r>
        <w:rPr/>
        <w:t>. Emissions from peat combustion are dealt with in the Energy section of the </w:t>
      </w:r>
      <w:r>
        <w:rPr>
          <w:i/>
        </w:rPr>
        <w:t>IPCC Guidelines</w:t>
      </w:r>
      <w:r>
        <w:rPr/>
        <w:t>. Therefore, the method below addresses only emissions from removal of vegetation from land prepared for peat extraction and changes in soil organic matter due to oxidation of peat in the aerobic layer on the land during the extraction. The removal of peat is covered by the estimates from peat combustion in the energy section and is not considered in this section. This method, and the associated default values used for Tier 1 estimates, can be applied for both lands with ongoing peat extraction (to be reported under Wetlands remaining wetlands subcategory) and land converted to peat extraction.</w:t>
      </w:r>
    </w:p>
    <w:p>
      <w:pPr>
        <w:pStyle w:val="BodyText"/>
        <w:spacing w:before="3"/>
        <w:rPr>
          <w:sz w:val="21"/>
        </w:rPr>
      </w:pPr>
    </w:p>
    <w:p>
      <w:pPr>
        <w:pStyle w:val="Heading6"/>
        <w:numPr>
          <w:ilvl w:val="5"/>
          <w:numId w:val="75"/>
        </w:numPr>
        <w:tabs>
          <w:tab w:pos="1659" w:val="left" w:leader="none"/>
          <w:tab w:pos="1660" w:val="left" w:leader="none"/>
        </w:tabs>
        <w:spacing w:line="240" w:lineRule="auto" w:before="0" w:after="0"/>
        <w:ind w:left="1659" w:right="0" w:hanging="1440"/>
        <w:jc w:val="left"/>
      </w:pPr>
      <w:r>
        <w:rPr/>
        <w:t>1</w:t>
        <w:tab/>
      </w:r>
      <w:r>
        <w:rPr>
          <w:spacing w:val="15"/>
        </w:rPr>
        <w:t>Choice </w:t>
      </w:r>
      <w:r>
        <w:rPr>
          <w:spacing w:val="9"/>
        </w:rPr>
        <w:t>of</w:t>
      </w:r>
      <w:r>
        <w:rPr>
          <w:spacing w:val="-6"/>
        </w:rPr>
        <w:t> </w:t>
      </w:r>
      <w:r>
        <w:rPr>
          <w:spacing w:val="19"/>
        </w:rPr>
        <w:t>Method</w:t>
      </w:r>
    </w:p>
    <w:p>
      <w:pPr>
        <w:pStyle w:val="BodyText"/>
        <w:spacing w:before="54"/>
        <w:ind w:left="219" w:right="265"/>
        <w:jc w:val="both"/>
      </w:pPr>
      <w:r>
        <w:rPr/>
        <w:t>The estimate of carbon stock changes from land converted to peat extraction has two basic elements, as shown in Equation 3.5.2. Equation 3.5.2 calculates a loss of carbon.</w:t>
      </w:r>
    </w:p>
    <w:p>
      <w:pPr>
        <w:pStyle w:val="BodyText"/>
        <w:spacing w:before="2"/>
        <w:rPr>
          <w:sz w:val="11"/>
        </w:rPr>
      </w:pPr>
      <w:r>
        <w:rPr/>
        <w:pict>
          <v:shape style="position:absolute;margin-left:91.960999pt;margin-top:9.136089pt;width:411.5pt;height:52.95pt;mso-position-horizontal-relative:page;mso-position-vertical-relative:paragraph;z-index:10712;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3.5.2</w:t>
                  </w:r>
                </w:p>
                <w:p>
                  <w:pPr>
                    <w:spacing w:line="229" w:lineRule="exact" w:before="0"/>
                    <w:ind w:left="67" w:right="68" w:firstLine="0"/>
                    <w:jc w:val="center"/>
                    <w:rPr>
                      <w:b/>
                      <w:sz w:val="16"/>
                    </w:rPr>
                  </w:pPr>
                  <w:r>
                    <w:rPr>
                      <w:b/>
                      <w:sz w:val="20"/>
                    </w:rPr>
                    <w:t>A</w:t>
                  </w:r>
                  <w:r>
                    <w:rPr>
                      <w:b/>
                      <w:sz w:val="16"/>
                    </w:rPr>
                    <w:t>NNUAL CHANGE IN CARBON STOCKS IN LAND CONVERTED TO PEAT EXTRACTION</w:t>
                  </w:r>
                </w:p>
                <w:p>
                  <w:pPr>
                    <w:spacing w:before="80"/>
                    <w:ind w:left="111" w:right="63" w:firstLine="0"/>
                    <w:jc w:val="center"/>
                    <w:rPr>
                      <w:sz w:val="13"/>
                    </w:rPr>
                  </w:pPr>
                  <w:r>
                    <w:rPr>
                      <w:position w:val="3"/>
                      <w:sz w:val="20"/>
                    </w:rPr>
                    <w:t>∆C</w:t>
                  </w:r>
                  <w:r>
                    <w:rPr>
                      <w:sz w:val="13"/>
                    </w:rPr>
                    <w:t>LW peat </w:t>
                  </w:r>
                  <w:r>
                    <w:rPr>
                      <w:position w:val="3"/>
                      <w:sz w:val="20"/>
                    </w:rPr>
                    <w:t>= ∆C</w:t>
                  </w:r>
                  <w:r>
                    <w:rPr>
                      <w:sz w:val="13"/>
                    </w:rPr>
                    <w:t>LW peat</w:t>
                  </w:r>
                  <w:r>
                    <w:rPr>
                      <w:position w:val="-5"/>
                      <w:sz w:val="13"/>
                    </w:rPr>
                    <w:t>LB </w:t>
                  </w:r>
                  <w:r>
                    <w:rPr>
                      <w:position w:val="3"/>
                      <w:sz w:val="20"/>
                    </w:rPr>
                    <w:t>+ ∆C</w:t>
                  </w:r>
                  <w:r>
                    <w:rPr>
                      <w:sz w:val="13"/>
                    </w:rPr>
                    <w:t>LW peat</w:t>
                  </w:r>
                  <w:r>
                    <w:rPr>
                      <w:position w:val="-5"/>
                      <w:sz w:val="13"/>
                    </w:rPr>
                    <w:t>Soils</w:t>
                  </w:r>
                </w:p>
              </w:txbxContent>
            </v:textbox>
            <v:stroke dashstyle="solid"/>
            <w10:wrap type="topAndBottom"/>
          </v:shape>
        </w:pict>
      </w:r>
    </w:p>
    <w:p>
      <w:pPr>
        <w:pStyle w:val="BodyText"/>
        <w:spacing w:before="4"/>
        <w:ind w:left="219"/>
      </w:pPr>
      <w:r>
        <w:rPr/>
        <w:t>Where:</w:t>
      </w:r>
    </w:p>
    <w:p>
      <w:pPr>
        <w:pStyle w:val="BodyText"/>
        <w:spacing w:before="121"/>
        <w:ind w:left="785"/>
      </w:pPr>
      <w:r>
        <w:rPr/>
        <w:t>∆C</w:t>
      </w:r>
      <w:r>
        <w:rPr>
          <w:vertAlign w:val="subscript"/>
        </w:rPr>
        <w:t>LW</w:t>
      </w:r>
      <w:r>
        <w:rPr>
          <w:vertAlign w:val="baseline"/>
        </w:rPr>
        <w:t> </w:t>
      </w:r>
      <w:r>
        <w:rPr>
          <w:vertAlign w:val="subscript"/>
        </w:rPr>
        <w:t>peat</w:t>
      </w:r>
      <w:r>
        <w:rPr>
          <w:vertAlign w:val="baseline"/>
        </w:rPr>
        <w:t> = annual change in carbon stocks in land converted to peat extraction, tonnes C yr</w:t>
      </w:r>
      <w:r>
        <w:rPr>
          <w:vertAlign w:val="superscript"/>
        </w:rPr>
        <w:t>-1</w:t>
      </w:r>
    </w:p>
    <w:p>
      <w:pPr>
        <w:pStyle w:val="BodyText"/>
        <w:spacing w:before="120"/>
        <w:ind w:left="785"/>
      </w:pPr>
      <w:r>
        <w:rPr/>
        <w:t>∆C</w:t>
      </w:r>
      <w:r>
        <w:rPr>
          <w:vertAlign w:val="subscript"/>
        </w:rPr>
        <w:t>LW</w:t>
      </w:r>
      <w:r>
        <w:rPr>
          <w:vertAlign w:val="baseline"/>
        </w:rPr>
        <w:t> </w:t>
      </w:r>
      <w:r>
        <w:rPr>
          <w:vertAlign w:val="subscript"/>
        </w:rPr>
        <w:t>peat</w:t>
      </w:r>
      <w:r>
        <w:rPr>
          <w:position w:val="-8"/>
          <w:sz w:val="13"/>
          <w:vertAlign w:val="baseline"/>
        </w:rPr>
        <w:t>LB </w:t>
      </w:r>
      <w:r>
        <w:rPr>
          <w:vertAlign w:val="baseline"/>
        </w:rPr>
        <w:t>= annual change in carbon stocks in living biomass, tonnes C yr</w:t>
      </w:r>
      <w:r>
        <w:rPr>
          <w:vertAlign w:val="superscript"/>
        </w:rPr>
        <w:t>-1</w:t>
      </w:r>
    </w:p>
    <w:p>
      <w:pPr>
        <w:pStyle w:val="BodyText"/>
        <w:spacing w:before="103"/>
        <w:ind w:left="785"/>
      </w:pPr>
      <w:r>
        <w:rPr/>
        <w:t>∆C</w:t>
      </w:r>
      <w:r>
        <w:rPr>
          <w:vertAlign w:val="subscript"/>
        </w:rPr>
        <w:t>LW</w:t>
      </w:r>
      <w:r>
        <w:rPr>
          <w:vertAlign w:val="baseline"/>
        </w:rPr>
        <w:t> </w:t>
      </w:r>
      <w:r>
        <w:rPr>
          <w:vertAlign w:val="subscript"/>
        </w:rPr>
        <w:t>peat</w:t>
      </w:r>
      <w:r>
        <w:rPr>
          <w:position w:val="-8"/>
          <w:sz w:val="13"/>
          <w:vertAlign w:val="baseline"/>
        </w:rPr>
        <w:t>Soils </w:t>
      </w:r>
      <w:r>
        <w:rPr>
          <w:vertAlign w:val="baseline"/>
        </w:rPr>
        <w:t>= annual change in carbon stocks in soils, tonnes C yr</w:t>
      </w:r>
      <w:r>
        <w:rPr>
          <w:vertAlign w:val="superscript"/>
        </w:rPr>
        <w:t>-1</w:t>
      </w:r>
    </w:p>
    <w:p>
      <w:pPr>
        <w:pStyle w:val="BodyText"/>
        <w:spacing w:before="106"/>
        <w:ind w:left="219" w:right="266"/>
      </w:pPr>
      <w:r>
        <w:rPr/>
        <w:t>It is assumed that the dead organic matter pool is not significant. If a country has data on dead organic matter, it can be included in the estimate under Tier 2 or 3 methods.</w:t>
      </w:r>
    </w:p>
    <w:p>
      <w:pPr>
        <w:pStyle w:val="BodyText"/>
        <w:spacing w:before="121"/>
        <w:ind w:left="219" w:right="354"/>
      </w:pPr>
      <w:r>
        <w:rPr/>
        <w:t>Carbon stock changes in living biomass associated with the conversion of land to peat extraction are estimated by Equation</w:t>
      </w:r>
      <w:r>
        <w:rPr>
          <w:spacing w:val="-6"/>
        </w:rPr>
        <w:t> </w:t>
      </w:r>
      <w:r>
        <w:rPr/>
        <w:t>3.5.3.</w:t>
      </w:r>
    </w:p>
    <w:p>
      <w:pPr>
        <w:spacing w:after="0"/>
        <w:sectPr>
          <w:pgSz w:w="11900" w:h="16840"/>
          <w:pgMar w:header="230" w:footer="408" w:top="560" w:bottom="600" w:left="1200" w:right="1140"/>
        </w:sectPr>
      </w:pPr>
    </w:p>
    <w:p>
      <w:pPr>
        <w:pStyle w:val="BodyText"/>
      </w:pPr>
    </w:p>
    <w:p>
      <w:pPr>
        <w:pStyle w:val="BodyText"/>
        <w:spacing w:before="10" w:after="1"/>
        <w:rPr>
          <w:sz w:val="18"/>
        </w:rPr>
      </w:pPr>
    </w:p>
    <w:p>
      <w:pPr>
        <w:pStyle w:val="BodyText"/>
        <w:ind w:left="624"/>
      </w:pPr>
      <w:r>
        <w:rPr>
          <w:position w:val="0"/>
        </w:rPr>
        <w:pict>
          <v:shape style="width:411.5pt;height:65.2pt;mso-position-horizontal-relative:char;mso-position-vertical-relative:line" type="#_x0000_t202" filled="false" stroked="true" strokeweight="1.44pt" strokecolor="#000000">
            <w10:anchorlock/>
            <v:textbox inset="0,0,0,0">
              <w:txbxContent>
                <w:p>
                  <w:pPr>
                    <w:spacing w:line="229" w:lineRule="exact" w:before="99"/>
                    <w:ind w:left="67" w:right="68" w:firstLine="0"/>
                    <w:jc w:val="center"/>
                    <w:rPr>
                      <w:b/>
                      <w:sz w:val="20"/>
                    </w:rPr>
                  </w:pPr>
                  <w:r>
                    <w:rPr>
                      <w:b/>
                      <w:sz w:val="20"/>
                    </w:rPr>
                    <w:t>E</w:t>
                  </w:r>
                  <w:r>
                    <w:rPr>
                      <w:b/>
                      <w:sz w:val="16"/>
                    </w:rPr>
                    <w:t>QUATION </w:t>
                  </w:r>
                  <w:r>
                    <w:rPr>
                      <w:b/>
                      <w:sz w:val="20"/>
                    </w:rPr>
                    <w:t>3.5.3</w:t>
                  </w:r>
                </w:p>
                <w:p>
                  <w:pPr>
                    <w:spacing w:line="278" w:lineRule="auto" w:before="0"/>
                    <w:ind w:left="1739" w:right="1740" w:firstLine="0"/>
                    <w:jc w:val="center"/>
                    <w:rPr>
                      <w:b/>
                      <w:sz w:val="16"/>
                    </w:rPr>
                  </w:pPr>
                  <w:r>
                    <w:rPr>
                      <w:b/>
                      <w:sz w:val="20"/>
                    </w:rPr>
                    <w:t>A</w:t>
                  </w:r>
                  <w:r>
                    <w:rPr>
                      <w:b/>
                      <w:sz w:val="16"/>
                    </w:rPr>
                    <w:t>NNUAL CHANGE IN CARBON STOCKS IN LIVING BIOMASS IN LAND CONVERTED TO PEAT EXTRACTION</w:t>
                  </w:r>
                </w:p>
                <w:p>
                  <w:pPr>
                    <w:spacing w:before="74"/>
                    <w:ind w:left="68" w:right="68" w:firstLine="0"/>
                    <w:jc w:val="center"/>
                    <w:rPr>
                      <w:sz w:val="20"/>
                    </w:rPr>
                  </w:pPr>
                  <w:r>
                    <w:rPr>
                      <w:position w:val="3"/>
                      <w:sz w:val="20"/>
                    </w:rPr>
                    <w:t>∆C</w:t>
                  </w:r>
                  <w:r>
                    <w:rPr>
                      <w:sz w:val="13"/>
                    </w:rPr>
                    <w:t>LW peat</w:t>
                  </w:r>
                  <w:r>
                    <w:rPr>
                      <w:position w:val="-5"/>
                      <w:sz w:val="13"/>
                    </w:rPr>
                    <w:t>LB </w:t>
                  </w:r>
                  <w:r>
                    <w:rPr>
                      <w:position w:val="3"/>
                      <w:sz w:val="20"/>
                    </w:rPr>
                    <w:t>= </w:t>
                  </w:r>
                  <w:r>
                    <w:rPr>
                      <w:rFonts w:ascii="Symbol" w:hAnsi="Symbol"/>
                      <w:position w:val="3"/>
                      <w:sz w:val="20"/>
                    </w:rPr>
                    <w:t>Σ </w:t>
                  </w:r>
                  <w:r>
                    <w:rPr>
                      <w:position w:val="3"/>
                      <w:sz w:val="20"/>
                    </w:rPr>
                    <w:t>A</w:t>
                  </w:r>
                  <w:r>
                    <w:rPr>
                      <w:i/>
                      <w:sz w:val="13"/>
                    </w:rPr>
                    <w:t>i </w:t>
                  </w:r>
                  <w:r>
                    <w:rPr>
                      <w:position w:val="3"/>
                      <w:sz w:val="20"/>
                    </w:rPr>
                    <w:t>● (B</w:t>
                  </w:r>
                  <w:r>
                    <w:rPr>
                      <w:sz w:val="13"/>
                    </w:rPr>
                    <w:t>After </w:t>
                  </w:r>
                  <w:r>
                    <w:rPr>
                      <w:position w:val="3"/>
                      <w:sz w:val="20"/>
                    </w:rPr>
                    <w:t>– B</w:t>
                  </w:r>
                  <w:r>
                    <w:rPr>
                      <w:sz w:val="13"/>
                    </w:rPr>
                    <w:t>Before</w:t>
                  </w:r>
                  <w:r>
                    <w:rPr>
                      <w:position w:val="3"/>
                      <w:sz w:val="20"/>
                    </w:rPr>
                    <w:t>) </w:t>
                  </w:r>
                  <w:r>
                    <w:rPr>
                      <w:i/>
                      <w:sz w:val="13"/>
                    </w:rPr>
                    <w:t>i </w:t>
                  </w:r>
                  <w:r>
                    <w:rPr>
                      <w:position w:val="3"/>
                      <w:sz w:val="20"/>
                    </w:rPr>
                    <w:t>● CF</w:t>
                  </w:r>
                </w:p>
              </w:txbxContent>
            </v:textbox>
            <v:stroke dashstyle="solid"/>
          </v:shape>
        </w:pict>
      </w:r>
      <w:r>
        <w:rPr>
          <w:position w:val="0"/>
        </w:rPr>
      </w:r>
    </w:p>
    <w:p>
      <w:pPr>
        <w:pStyle w:val="BodyText"/>
        <w:spacing w:before="16"/>
        <w:ind w:left="219"/>
      </w:pPr>
      <w:r>
        <w:rPr/>
        <w:t>Where:</w:t>
      </w:r>
    </w:p>
    <w:p>
      <w:pPr>
        <w:pStyle w:val="BodyText"/>
        <w:spacing w:line="228" w:lineRule="auto" w:before="124"/>
        <w:ind w:left="2028" w:right="354" w:hanging="1244"/>
      </w:pPr>
      <w:r>
        <w:rPr/>
        <w:t>∆C</w:t>
      </w:r>
      <w:r>
        <w:rPr>
          <w:vertAlign w:val="subscript"/>
        </w:rPr>
        <w:t>LW</w:t>
      </w:r>
      <w:r>
        <w:rPr>
          <w:vertAlign w:val="baseline"/>
        </w:rPr>
        <w:t> </w:t>
      </w:r>
      <w:r>
        <w:rPr>
          <w:vertAlign w:val="subscript"/>
        </w:rPr>
        <w:t>peat</w:t>
      </w:r>
      <w:r>
        <w:rPr>
          <w:position w:val="-8"/>
          <w:sz w:val="13"/>
          <w:vertAlign w:val="baseline"/>
        </w:rPr>
        <w:t>LB </w:t>
      </w:r>
      <w:r>
        <w:rPr>
          <w:vertAlign w:val="baseline"/>
        </w:rPr>
        <w:t>= annual change in carbon stocks in living biomass in land converted to peat extraction, tonnes C</w:t>
      </w:r>
      <w:r>
        <w:rPr>
          <w:spacing w:val="-1"/>
          <w:vertAlign w:val="baseline"/>
        </w:rPr>
        <w:t> </w:t>
      </w:r>
      <w:r>
        <w:rPr>
          <w:vertAlign w:val="baseline"/>
        </w:rPr>
        <w:t>yr</w:t>
      </w:r>
      <w:r>
        <w:rPr>
          <w:vertAlign w:val="superscript"/>
        </w:rPr>
        <w:t>-1</w:t>
      </w:r>
    </w:p>
    <w:p>
      <w:pPr>
        <w:pStyle w:val="BodyText"/>
        <w:spacing w:before="123"/>
        <w:ind w:left="785"/>
      </w:pPr>
      <w:r>
        <w:rPr/>
        <w:t>A</w:t>
      </w:r>
      <w:r>
        <w:rPr>
          <w:i/>
          <w:vertAlign w:val="subscript"/>
        </w:rPr>
        <w:t>i</w:t>
      </w:r>
      <w:r>
        <w:rPr>
          <w:i/>
          <w:vertAlign w:val="baseline"/>
        </w:rPr>
        <w:t> </w:t>
      </w:r>
      <w:r>
        <w:rPr>
          <w:vertAlign w:val="baseline"/>
        </w:rPr>
        <w:t>= area of land converted annually to peat extraction from original land use </w:t>
      </w:r>
      <w:r>
        <w:rPr>
          <w:i/>
          <w:vertAlign w:val="baseline"/>
        </w:rPr>
        <w:t>i</w:t>
      </w:r>
      <w:r>
        <w:rPr>
          <w:vertAlign w:val="baseline"/>
        </w:rPr>
        <w:t>, ha yr</w:t>
      </w:r>
      <w:r>
        <w:rPr>
          <w:vertAlign w:val="superscript"/>
        </w:rPr>
        <w:t>-1</w:t>
      </w:r>
    </w:p>
    <w:p>
      <w:pPr>
        <w:pStyle w:val="BodyText"/>
        <w:spacing w:before="121"/>
        <w:ind w:left="785"/>
      </w:pPr>
      <w:r>
        <w:rPr/>
        <w:t>B</w:t>
      </w:r>
      <w:r>
        <w:rPr>
          <w:vertAlign w:val="subscript"/>
        </w:rPr>
        <w:t>Before</w:t>
      </w:r>
      <w:r>
        <w:rPr>
          <w:vertAlign w:val="baseline"/>
        </w:rPr>
        <w:t> = aboveground biomass immediately before conversion to peat extraction, tonnes d.m. ha</w:t>
      </w:r>
      <w:r>
        <w:rPr>
          <w:vertAlign w:val="superscript"/>
        </w:rPr>
        <w:t>-1</w:t>
      </w:r>
    </w:p>
    <w:p>
      <w:pPr>
        <w:pStyle w:val="BodyText"/>
        <w:spacing w:before="118"/>
        <w:ind w:left="1486" w:right="354" w:hanging="701"/>
      </w:pPr>
      <w:r>
        <w:rPr/>
        <w:t>B</w:t>
      </w:r>
      <w:r>
        <w:rPr>
          <w:vertAlign w:val="subscript"/>
        </w:rPr>
        <w:t>After</w:t>
      </w:r>
      <w:r>
        <w:rPr>
          <w:vertAlign w:val="baseline"/>
        </w:rPr>
        <w:t> = aboveground biomass immediately following conversion to peat extraction, tonnes d.m. ha</w:t>
      </w:r>
      <w:r>
        <w:rPr>
          <w:vertAlign w:val="superscript"/>
        </w:rPr>
        <w:t>-1</w:t>
      </w:r>
      <w:r>
        <w:rPr>
          <w:vertAlign w:val="baseline"/>
        </w:rPr>
        <w:t> (default = 0)</w:t>
      </w:r>
    </w:p>
    <w:p>
      <w:pPr>
        <w:pStyle w:val="BodyText"/>
        <w:spacing w:before="121"/>
        <w:ind w:left="785"/>
      </w:pPr>
      <w:r>
        <w:rPr/>
        <w:t>CF = carbon fraction of dry matter (default = 0.5), tonnes C (tonnes d.m.)</w:t>
      </w:r>
      <w:r>
        <w:rPr>
          <w:vertAlign w:val="superscript"/>
        </w:rPr>
        <w:t>-1</w:t>
      </w:r>
    </w:p>
    <w:p>
      <w:pPr>
        <w:pStyle w:val="BodyText"/>
        <w:spacing w:before="120"/>
        <w:ind w:left="219" w:right="261"/>
        <w:jc w:val="both"/>
      </w:pPr>
      <w:r>
        <w:rPr/>
        <w:t>The method follows the approach in </w:t>
      </w:r>
      <w:r>
        <w:rPr>
          <w:i/>
        </w:rPr>
        <w:t>IPCC Guidelines </w:t>
      </w:r>
      <w:r>
        <w:rPr/>
        <w:t>Section 5.2.3 (Forest and Grassland Conversion) and is consistent with the tiered approaches for estimating carbon stock changes in living biomass outlined in Sections 3.2.2, 3.3.2, and 3.4.2. As the equation shows, the amount of living aboveground biomass that is cleared for peat extraction is estimated by multiplying the land area converted annually to peat extraction by the difference in carbon stocks between biomass in the original land use prior to conversion and in the peatland after conversion. Where forests are converted to peatlands and the timber cleared is reflected in harvesting statistics, the latter should be adjusted by the amount of timber harvested from B</w:t>
      </w:r>
      <w:r>
        <w:rPr>
          <w:vertAlign w:val="subscript"/>
        </w:rPr>
        <w:t>Before</w:t>
      </w:r>
      <w:r>
        <w:rPr>
          <w:vertAlign w:val="baseline"/>
        </w:rPr>
        <w:t> to avoid double-counting.</w:t>
      </w:r>
    </w:p>
    <w:p>
      <w:pPr>
        <w:pStyle w:val="BodyText"/>
        <w:spacing w:before="121"/>
        <w:ind w:left="219" w:right="262"/>
        <w:jc w:val="both"/>
      </w:pPr>
      <w:r>
        <w:rPr/>
        <w:t>The default assumption for a Tier 1 estimate of carbon stock changes in living biomass on land converted to peat extraction are that all aboveground biomass present before conversion to peat extraction will be lost in the same year as the conversion takes place and that carbon stocks in living biomass following conversion (B</w:t>
      </w:r>
      <w:r>
        <w:rPr>
          <w:vertAlign w:val="subscript"/>
        </w:rPr>
        <w:t>After</w:t>
      </w:r>
      <w:r>
        <w:rPr>
          <w:vertAlign w:val="baseline"/>
        </w:rPr>
        <w:t>) are equal to zero. It is </w:t>
      </w:r>
      <w:r>
        <w:rPr>
          <w:i/>
          <w:vertAlign w:val="baseline"/>
        </w:rPr>
        <w:t>good practice </w:t>
      </w:r>
      <w:r>
        <w:rPr>
          <w:vertAlign w:val="baseline"/>
        </w:rPr>
        <w:t>for countries to estimate the area of land converted to peat extraction from forest, by major forest categories and to use default carbon stock values from Annex 3A.1, Tables of default values for Section 3.2 (Forest land), to develop estimates of B</w:t>
      </w:r>
      <w:r>
        <w:rPr>
          <w:vertAlign w:val="subscript"/>
        </w:rPr>
        <w:t>Before</w:t>
      </w:r>
      <w:r>
        <w:rPr>
          <w:vertAlign w:val="baseline"/>
        </w:rPr>
        <w:t> for each initial forest category, and each initial other land-use category including unmanaged peatland. Where grassland is the previous land use, default values for aboveground biomass should be taken from Table</w:t>
      </w:r>
      <w:r>
        <w:rPr>
          <w:spacing w:val="-6"/>
          <w:vertAlign w:val="baseline"/>
        </w:rPr>
        <w:t> </w:t>
      </w:r>
      <w:r>
        <w:rPr>
          <w:vertAlign w:val="baseline"/>
        </w:rPr>
        <w:t>3.4.2.</w:t>
      </w:r>
    </w:p>
    <w:p>
      <w:pPr>
        <w:pStyle w:val="BodyText"/>
        <w:spacing w:before="118"/>
        <w:ind w:left="219" w:right="266"/>
        <w:jc w:val="both"/>
      </w:pPr>
      <w:r>
        <w:rPr/>
        <w:t>In cases where fires are used to clear vegetation, emissions of non-CO</w:t>
      </w:r>
      <w:r>
        <w:rPr>
          <w:vertAlign w:val="subscript"/>
        </w:rPr>
        <w:t>2</w:t>
      </w:r>
      <w:r>
        <w:rPr>
          <w:vertAlign w:val="baseline"/>
        </w:rPr>
        <w:t> gases, i.e., CH</w:t>
      </w:r>
      <w:r>
        <w:rPr>
          <w:vertAlign w:val="subscript"/>
        </w:rPr>
        <w:t>4</w:t>
      </w:r>
      <w:r>
        <w:rPr>
          <w:vertAlign w:val="baseline"/>
        </w:rPr>
        <w:t> and N</w:t>
      </w:r>
      <w:r>
        <w:rPr>
          <w:vertAlign w:val="subscript"/>
        </w:rPr>
        <w:t>2</w:t>
      </w:r>
      <w:r>
        <w:rPr>
          <w:vertAlign w:val="baseline"/>
        </w:rPr>
        <w:t>O will also occur. These emissions can be estimated under Tiers 2 and 3 following guidance provided in Section 3.2.1.4. Drainage of peatland also increases N</w:t>
      </w:r>
      <w:r>
        <w:rPr>
          <w:vertAlign w:val="subscript"/>
        </w:rPr>
        <w:t>2</w:t>
      </w:r>
      <w:r>
        <w:rPr>
          <w:vertAlign w:val="baseline"/>
        </w:rPr>
        <w:t>O emissions. These emissions can be estimated following guidance provided in Appendix 3a.3, N</w:t>
      </w:r>
      <w:r>
        <w:rPr>
          <w:vertAlign w:val="subscript"/>
        </w:rPr>
        <w:t>2</w:t>
      </w:r>
      <w:r>
        <w:rPr>
          <w:vertAlign w:val="baseline"/>
        </w:rPr>
        <w:t>O emissions from organic soils managed for peat extraction.</w:t>
      </w:r>
    </w:p>
    <w:p>
      <w:pPr>
        <w:pStyle w:val="BodyText"/>
        <w:spacing w:before="119"/>
        <w:ind w:left="219"/>
        <w:jc w:val="both"/>
      </w:pPr>
      <w:r>
        <w:rPr/>
        <w:t>CO</w:t>
      </w:r>
      <w:r>
        <w:rPr>
          <w:vertAlign w:val="subscript"/>
        </w:rPr>
        <w:t>2</w:t>
      </w:r>
      <w:r>
        <w:rPr>
          <w:vertAlign w:val="baseline"/>
        </w:rPr>
        <w:t> emissions from soils occur at several stages in the peat process, as shown in Equation 3.5.4.</w:t>
      </w:r>
    </w:p>
    <w:p>
      <w:pPr>
        <w:pStyle w:val="BodyText"/>
        <w:spacing w:before="2"/>
        <w:rPr>
          <w:sz w:val="11"/>
        </w:rPr>
      </w:pPr>
      <w:r>
        <w:rPr/>
        <w:pict>
          <v:shape style="position:absolute;margin-left:91.960999pt;margin-top:9.154326pt;width:411.5pt;height:52.95pt;mso-position-horizontal-relative:page;mso-position-vertical-relative:paragraph;z-index:10760;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3.5.4</w:t>
                  </w:r>
                </w:p>
                <w:p>
                  <w:pPr>
                    <w:spacing w:before="0"/>
                    <w:ind w:left="68" w:right="68" w:firstLine="0"/>
                    <w:jc w:val="center"/>
                    <w:rPr>
                      <w:b/>
                      <w:sz w:val="16"/>
                    </w:rPr>
                  </w:pPr>
                  <w:r>
                    <w:rPr>
                      <w:b/>
                      <w:sz w:val="20"/>
                    </w:rPr>
                    <w:t>A</w:t>
                  </w:r>
                  <w:r>
                    <w:rPr>
                      <w:b/>
                      <w:sz w:val="16"/>
                    </w:rPr>
                    <w:t>NNUAL CHANGE IN CARBON STOCKS IN SOILS IN LAND CONVERTED TO PEAT EXTRACTION</w:t>
                  </w:r>
                </w:p>
                <w:p>
                  <w:pPr>
                    <w:spacing w:before="78"/>
                    <w:ind w:left="68" w:right="68" w:firstLine="0"/>
                    <w:jc w:val="center"/>
                    <w:rPr>
                      <w:sz w:val="13"/>
                    </w:rPr>
                  </w:pPr>
                  <w:r>
                    <w:rPr>
                      <w:position w:val="3"/>
                      <w:sz w:val="20"/>
                    </w:rPr>
                    <w:t>∆C</w:t>
                  </w:r>
                  <w:r>
                    <w:rPr>
                      <w:sz w:val="13"/>
                    </w:rPr>
                    <w:t>LW peat</w:t>
                  </w:r>
                  <w:r>
                    <w:rPr>
                      <w:position w:val="-5"/>
                      <w:sz w:val="13"/>
                    </w:rPr>
                    <w:t>Soils </w:t>
                  </w:r>
                  <w:r>
                    <w:rPr>
                      <w:position w:val="3"/>
                      <w:sz w:val="20"/>
                    </w:rPr>
                    <w:t>= ∆C </w:t>
                  </w:r>
                  <w:r>
                    <w:rPr>
                      <w:sz w:val="13"/>
                    </w:rPr>
                    <w:t>drainage </w:t>
                  </w:r>
                  <w:r>
                    <w:rPr>
                      <w:position w:val="3"/>
                      <w:sz w:val="20"/>
                    </w:rPr>
                    <w:t>+ ∆C </w:t>
                  </w:r>
                  <w:r>
                    <w:rPr>
                      <w:sz w:val="13"/>
                    </w:rPr>
                    <w:t>extraction </w:t>
                  </w:r>
                  <w:r>
                    <w:rPr>
                      <w:position w:val="3"/>
                      <w:sz w:val="20"/>
                    </w:rPr>
                    <w:t>+ ∆C </w:t>
                  </w:r>
                  <w:r>
                    <w:rPr>
                      <w:sz w:val="13"/>
                    </w:rPr>
                    <w:t>stockpiling </w:t>
                  </w:r>
                  <w:r>
                    <w:rPr>
                      <w:position w:val="3"/>
                      <w:sz w:val="20"/>
                    </w:rPr>
                    <w:t>+ ∆C </w:t>
                  </w:r>
                  <w:r>
                    <w:rPr>
                      <w:sz w:val="13"/>
                    </w:rPr>
                    <w:t>restoration</w:t>
                  </w:r>
                </w:p>
              </w:txbxContent>
            </v:textbox>
            <v:stroke dashstyle="solid"/>
            <w10:wrap type="topAndBottom"/>
          </v:shape>
        </w:pict>
      </w:r>
    </w:p>
    <w:p>
      <w:pPr>
        <w:pStyle w:val="BodyText"/>
        <w:spacing w:before="4"/>
        <w:ind w:left="219"/>
      </w:pPr>
      <w:r>
        <w:rPr/>
        <w:t>Where:</w:t>
      </w:r>
    </w:p>
    <w:p>
      <w:pPr>
        <w:pStyle w:val="BodyText"/>
        <w:tabs>
          <w:tab w:pos="1800" w:val="left" w:leader="none"/>
        </w:tabs>
        <w:spacing w:before="121"/>
        <w:ind w:left="785"/>
      </w:pPr>
      <w:r>
        <w:rPr/>
        <w:pict>
          <v:shape style="position:absolute;margin-left:134.680725pt;margin-top:14.172122pt;width:12.85pt;height:7.2pt;mso-position-horizontal-relative:page;mso-position-vertical-relative:paragraph;z-index:-2443336" type="#_x0000_t202" filled="false" stroked="false">
            <v:textbox inset="0,0,0,0">
              <w:txbxContent>
                <w:p>
                  <w:pPr>
                    <w:spacing w:line="144" w:lineRule="exact" w:before="0"/>
                    <w:ind w:left="0" w:right="0" w:firstLine="0"/>
                    <w:jc w:val="left"/>
                    <w:rPr>
                      <w:sz w:val="13"/>
                    </w:rPr>
                  </w:pPr>
                  <w:r>
                    <w:rPr>
                      <w:spacing w:val="-1"/>
                      <w:sz w:val="13"/>
                    </w:rPr>
                    <w:t>Soils</w:t>
                  </w:r>
                </w:p>
              </w:txbxContent>
            </v:textbox>
            <w10:wrap type="none"/>
          </v:shape>
        </w:pict>
      </w:r>
      <w:r>
        <w:rPr/>
        <w:t>∆C</w:t>
      </w:r>
      <w:r>
        <w:rPr>
          <w:vertAlign w:val="subscript"/>
        </w:rPr>
        <w:t>LW</w:t>
      </w:r>
      <w:r>
        <w:rPr>
          <w:spacing w:val="-18"/>
          <w:vertAlign w:val="baseline"/>
        </w:rPr>
        <w:t> </w:t>
      </w:r>
      <w:r>
        <w:rPr>
          <w:vertAlign w:val="subscript"/>
        </w:rPr>
        <w:t>peat</w:t>
      </w:r>
      <w:r>
        <w:rPr>
          <w:vertAlign w:val="baseline"/>
        </w:rPr>
        <w:tab/>
        <w:t>= annual change in carbon stocks in soils in land converted to peat extraction, tonnes C</w:t>
      </w:r>
      <w:r>
        <w:rPr>
          <w:spacing w:val="-26"/>
          <w:vertAlign w:val="baseline"/>
        </w:rPr>
        <w:t> </w:t>
      </w:r>
      <w:r>
        <w:rPr>
          <w:vertAlign w:val="baseline"/>
        </w:rPr>
        <w:t>yr</w:t>
      </w:r>
      <w:r>
        <w:rPr>
          <w:vertAlign w:val="superscript"/>
        </w:rPr>
        <w:t>-1</w:t>
      </w:r>
    </w:p>
    <w:p>
      <w:pPr>
        <w:pStyle w:val="BodyText"/>
        <w:spacing w:before="180"/>
        <w:ind w:left="785"/>
      </w:pPr>
      <w:r>
        <w:rPr/>
        <w:t>∆C </w:t>
      </w:r>
      <w:r>
        <w:rPr>
          <w:vertAlign w:val="subscript"/>
        </w:rPr>
        <w:t>drainage</w:t>
      </w:r>
      <w:r>
        <w:rPr>
          <w:vertAlign w:val="baseline"/>
        </w:rPr>
        <w:t> = annual change in carbon stocks in soils during drainage, tonnes C yr</w:t>
      </w:r>
      <w:r>
        <w:rPr>
          <w:vertAlign w:val="superscript"/>
        </w:rPr>
        <w:t>-1</w:t>
      </w:r>
    </w:p>
    <w:p>
      <w:pPr>
        <w:pStyle w:val="BodyText"/>
        <w:spacing w:before="120"/>
        <w:ind w:left="1920" w:right="354" w:hanging="1136"/>
      </w:pPr>
      <w:r>
        <w:rPr/>
        <w:t>∆C </w:t>
      </w:r>
      <w:r>
        <w:rPr>
          <w:vertAlign w:val="subscript"/>
        </w:rPr>
        <w:t>extraction</w:t>
      </w:r>
      <w:r>
        <w:rPr>
          <w:vertAlign w:val="baseline"/>
        </w:rPr>
        <w:t> = annual change in carbon stocks in soils during peat extraction (excluding the amount of carbon in the extracted peat), tonnes C yr</w:t>
      </w:r>
      <w:r>
        <w:rPr>
          <w:vertAlign w:val="superscript"/>
        </w:rPr>
        <w:t>-1</w:t>
      </w:r>
    </w:p>
    <w:p>
      <w:pPr>
        <w:pStyle w:val="BodyText"/>
        <w:spacing w:before="119"/>
        <w:ind w:left="1920" w:hanging="1136"/>
      </w:pPr>
      <w:r>
        <w:rPr/>
        <w:t>∆C </w:t>
      </w:r>
      <w:r>
        <w:rPr>
          <w:vertAlign w:val="subscript"/>
        </w:rPr>
        <w:t>stockpiling</w:t>
      </w:r>
      <w:r>
        <w:rPr>
          <w:vertAlign w:val="baseline"/>
        </w:rPr>
        <w:t> = annual change in carbon stocks in soils during stockpiling of peat prior to removal for combustion, tonnes C yr</w:t>
      </w:r>
      <w:r>
        <w:rPr>
          <w:vertAlign w:val="superscript"/>
        </w:rPr>
        <w:t>-1</w:t>
      </w:r>
    </w:p>
    <w:p>
      <w:pPr>
        <w:pStyle w:val="BodyText"/>
        <w:spacing w:before="121"/>
        <w:ind w:left="1920" w:hanging="1136"/>
      </w:pPr>
      <w:r>
        <w:rPr/>
        <w:t>∆C </w:t>
      </w:r>
      <w:r>
        <w:rPr>
          <w:vertAlign w:val="subscript"/>
        </w:rPr>
        <w:t>restoration</w:t>
      </w:r>
      <w:r>
        <w:rPr>
          <w:vertAlign w:val="baseline"/>
        </w:rPr>
        <w:t> = annual change in carbon stocks in soils due to practices undertaken to restore previously cultivated lands, tonnes C yr</w:t>
      </w:r>
      <w:r>
        <w:rPr>
          <w:vertAlign w:val="superscript"/>
        </w:rPr>
        <w:t>-1</w:t>
      </w:r>
    </w:p>
    <w:p>
      <w:pPr>
        <w:pStyle w:val="BodyText"/>
        <w:rPr>
          <w:sz w:val="24"/>
        </w:rPr>
      </w:pPr>
    </w:p>
    <w:p>
      <w:pPr>
        <w:pStyle w:val="BodyText"/>
        <w:spacing w:before="193"/>
        <w:ind w:left="219" w:right="264"/>
        <w:jc w:val="both"/>
      </w:pPr>
      <w:r>
        <w:rPr>
          <w:b/>
        </w:rPr>
        <w:t>Tier 1: </w:t>
      </w:r>
      <w:r>
        <w:rPr/>
        <w:t>In the case of land converted to peat extraction, only the effect of peat drainage (∆C </w:t>
      </w:r>
      <w:r>
        <w:rPr>
          <w:vertAlign w:val="subscript"/>
        </w:rPr>
        <w:t>drainage</w:t>
      </w:r>
      <w:r>
        <w:rPr>
          <w:vertAlign w:val="baseline"/>
        </w:rPr>
        <w:t>) is considered under Tier 1</w:t>
      </w:r>
      <w:r>
        <w:rPr>
          <w:b/>
          <w:vertAlign w:val="baseline"/>
        </w:rPr>
        <w:t>. </w:t>
      </w:r>
      <w:r>
        <w:rPr>
          <w:vertAlign w:val="baseline"/>
        </w:rPr>
        <w:t>The Tier 1 method relies on basic area identification and default emission factors and the basic method for estimating carbon emissions from organic soils converted to peat extraction is shown in Equation</w:t>
      </w:r>
    </w:p>
    <w:p>
      <w:pPr>
        <w:pStyle w:val="ListParagraph"/>
        <w:numPr>
          <w:ilvl w:val="2"/>
          <w:numId w:val="76"/>
        </w:numPr>
        <w:tabs>
          <w:tab w:pos="728" w:val="left" w:leader="none"/>
        </w:tabs>
        <w:spacing w:line="229" w:lineRule="exact" w:before="0" w:after="0"/>
        <w:ind w:left="727" w:right="0" w:hanging="508"/>
        <w:jc w:val="both"/>
        <w:rPr>
          <w:sz w:val="20"/>
        </w:rPr>
      </w:pPr>
      <w:r>
        <w:rPr>
          <w:sz w:val="20"/>
        </w:rPr>
        <w:t>This</w:t>
      </w:r>
      <w:r>
        <w:rPr>
          <w:spacing w:val="8"/>
          <w:sz w:val="20"/>
        </w:rPr>
        <w:t> </w:t>
      </w:r>
      <w:r>
        <w:rPr>
          <w:sz w:val="20"/>
        </w:rPr>
        <w:t>equation</w:t>
      </w:r>
      <w:r>
        <w:rPr>
          <w:spacing w:val="9"/>
          <w:sz w:val="20"/>
        </w:rPr>
        <w:t> </w:t>
      </w:r>
      <w:r>
        <w:rPr>
          <w:sz w:val="20"/>
        </w:rPr>
        <w:t>is</w:t>
      </w:r>
      <w:r>
        <w:rPr>
          <w:spacing w:val="8"/>
          <w:sz w:val="20"/>
        </w:rPr>
        <w:t> </w:t>
      </w:r>
      <w:r>
        <w:rPr>
          <w:sz w:val="20"/>
        </w:rPr>
        <w:t>applied</w:t>
      </w:r>
      <w:r>
        <w:rPr>
          <w:spacing w:val="10"/>
          <w:sz w:val="20"/>
        </w:rPr>
        <w:t> </w:t>
      </w:r>
      <w:r>
        <w:rPr>
          <w:sz w:val="20"/>
        </w:rPr>
        <w:t>at</w:t>
      </w:r>
      <w:r>
        <w:rPr>
          <w:spacing w:val="9"/>
          <w:sz w:val="20"/>
        </w:rPr>
        <w:t> </w:t>
      </w:r>
      <w:r>
        <w:rPr>
          <w:sz w:val="20"/>
        </w:rPr>
        <w:t>an</w:t>
      </w:r>
      <w:r>
        <w:rPr>
          <w:spacing w:val="9"/>
          <w:sz w:val="20"/>
        </w:rPr>
        <w:t> </w:t>
      </w:r>
      <w:r>
        <w:rPr>
          <w:sz w:val="20"/>
        </w:rPr>
        <w:t>aggregate</w:t>
      </w:r>
      <w:r>
        <w:rPr>
          <w:spacing w:val="9"/>
          <w:sz w:val="20"/>
        </w:rPr>
        <w:t> </w:t>
      </w:r>
      <w:r>
        <w:rPr>
          <w:sz w:val="20"/>
        </w:rPr>
        <w:t>level</w:t>
      </w:r>
      <w:r>
        <w:rPr>
          <w:spacing w:val="10"/>
          <w:sz w:val="20"/>
        </w:rPr>
        <w:t> </w:t>
      </w:r>
      <w:r>
        <w:rPr>
          <w:sz w:val="20"/>
        </w:rPr>
        <w:t>to</w:t>
      </w:r>
      <w:r>
        <w:rPr>
          <w:spacing w:val="9"/>
          <w:sz w:val="20"/>
        </w:rPr>
        <w:t> </w:t>
      </w:r>
      <w:r>
        <w:rPr>
          <w:sz w:val="20"/>
        </w:rPr>
        <w:t>a</w:t>
      </w:r>
      <w:r>
        <w:rPr>
          <w:spacing w:val="10"/>
          <w:sz w:val="20"/>
        </w:rPr>
        <w:t> </w:t>
      </w:r>
      <w:r>
        <w:rPr>
          <w:sz w:val="20"/>
        </w:rPr>
        <w:t>country’s</w:t>
      </w:r>
      <w:r>
        <w:rPr>
          <w:spacing w:val="9"/>
          <w:sz w:val="20"/>
        </w:rPr>
        <w:t> </w:t>
      </w:r>
      <w:r>
        <w:rPr>
          <w:sz w:val="20"/>
        </w:rPr>
        <w:t>entire</w:t>
      </w:r>
      <w:r>
        <w:rPr>
          <w:spacing w:val="9"/>
          <w:sz w:val="20"/>
        </w:rPr>
        <w:t> </w:t>
      </w:r>
      <w:r>
        <w:rPr>
          <w:sz w:val="20"/>
        </w:rPr>
        <w:t>area</w:t>
      </w:r>
      <w:r>
        <w:rPr>
          <w:spacing w:val="10"/>
          <w:sz w:val="20"/>
        </w:rPr>
        <w:t> </w:t>
      </w:r>
      <w:r>
        <w:rPr>
          <w:sz w:val="20"/>
        </w:rPr>
        <w:t>of</w:t>
      </w:r>
      <w:r>
        <w:rPr>
          <w:spacing w:val="7"/>
          <w:sz w:val="20"/>
        </w:rPr>
        <w:t> </w:t>
      </w:r>
      <w:r>
        <w:rPr>
          <w:sz w:val="20"/>
        </w:rPr>
        <w:t>organic</w:t>
      </w:r>
      <w:r>
        <w:rPr>
          <w:spacing w:val="10"/>
          <w:sz w:val="20"/>
        </w:rPr>
        <w:t> </w:t>
      </w:r>
      <w:r>
        <w:rPr>
          <w:sz w:val="20"/>
        </w:rPr>
        <w:t>soils</w:t>
      </w:r>
      <w:r>
        <w:rPr>
          <w:spacing w:val="8"/>
          <w:sz w:val="20"/>
        </w:rPr>
        <w:t> </w:t>
      </w:r>
      <w:r>
        <w:rPr>
          <w:sz w:val="20"/>
        </w:rPr>
        <w:t>converted</w:t>
      </w:r>
      <w:r>
        <w:rPr>
          <w:spacing w:val="10"/>
          <w:sz w:val="20"/>
        </w:rPr>
        <w:t> </w:t>
      </w:r>
      <w:r>
        <w:rPr>
          <w:sz w:val="20"/>
        </w:rPr>
        <w:t>to</w:t>
      </w:r>
      <w:r>
        <w:rPr>
          <w:spacing w:val="7"/>
          <w:sz w:val="20"/>
        </w:rPr>
        <w:t> </w:t>
      </w:r>
      <w:r>
        <w:rPr>
          <w:sz w:val="20"/>
        </w:rPr>
        <w:t>peat</w:t>
      </w:r>
    </w:p>
    <w:p>
      <w:pPr>
        <w:spacing w:after="0" w:line="229" w:lineRule="exact"/>
        <w:jc w:val="both"/>
        <w:rPr>
          <w:sz w:val="20"/>
        </w:rPr>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4"/>
        <w:jc w:val="both"/>
      </w:pPr>
      <w:r>
        <w:rPr/>
        <w:t>extraction, divided into nutrient-rich and nutrient-poor, using default emission factors. At this time, it is only possible to provide a method and data for estimating the average changes in carbon stocks associated with peat drainage over longer periods, although the emissions will be higher in the first year of drainage than in later years.</w:t>
      </w:r>
    </w:p>
    <w:p>
      <w:pPr>
        <w:pStyle w:val="BodyText"/>
        <w:spacing w:before="1"/>
        <w:rPr>
          <w:sz w:val="11"/>
        </w:rPr>
      </w:pPr>
      <w:r>
        <w:rPr/>
        <w:pict>
          <v:shape style="position:absolute;margin-left:91.960999pt;margin-top:9.080762pt;width:411.5pt;height:61.45pt;mso-position-horizontal-relative:page;mso-position-vertical-relative:paragraph;z-index:10808;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3.5.5</w:t>
                  </w:r>
                </w:p>
                <w:p>
                  <w:pPr>
                    <w:spacing w:before="0"/>
                    <w:ind w:left="67" w:right="68" w:firstLine="0"/>
                    <w:jc w:val="center"/>
                    <w:rPr>
                      <w:b/>
                      <w:sz w:val="16"/>
                    </w:rPr>
                  </w:pPr>
                  <w:r>
                    <w:rPr>
                      <w:b/>
                      <w:sz w:val="20"/>
                    </w:rPr>
                    <w:t>A</w:t>
                  </w:r>
                  <w:r>
                    <w:rPr>
                      <w:b/>
                      <w:sz w:val="16"/>
                    </w:rPr>
                    <w:t>NNUAL CHANGE IN CARBON STOCKS IN SOILS</w:t>
                  </w:r>
                </w:p>
                <w:p>
                  <w:pPr>
                    <w:spacing w:before="38"/>
                    <w:ind w:left="67" w:right="68" w:firstLine="0"/>
                    <w:jc w:val="center"/>
                    <w:rPr>
                      <w:b/>
                      <w:sz w:val="16"/>
                    </w:rPr>
                  </w:pPr>
                  <w:r>
                    <w:rPr>
                      <w:b/>
                      <w:sz w:val="16"/>
                    </w:rPr>
                    <w:t>DUE TO DRAINAGE OF ORGANIC SOILS CONVERTED TO PEAT EXTRACTION</w:t>
                  </w:r>
                </w:p>
                <w:p>
                  <w:pPr>
                    <w:spacing w:before="87"/>
                    <w:ind w:left="68" w:right="68" w:firstLine="0"/>
                    <w:jc w:val="center"/>
                    <w:rPr>
                      <w:sz w:val="13"/>
                    </w:rPr>
                  </w:pPr>
                  <w:r>
                    <w:rPr>
                      <w:position w:val="3"/>
                      <w:sz w:val="20"/>
                    </w:rPr>
                    <w:t>∆C </w:t>
                  </w:r>
                  <w:r>
                    <w:rPr>
                      <w:sz w:val="13"/>
                    </w:rPr>
                    <w:t>drainage </w:t>
                  </w:r>
                  <w:r>
                    <w:rPr>
                      <w:position w:val="3"/>
                      <w:sz w:val="20"/>
                    </w:rPr>
                    <w:t>= A</w:t>
                  </w:r>
                  <w:r>
                    <w:rPr>
                      <w:sz w:val="13"/>
                    </w:rPr>
                    <w:t>Nrich </w:t>
                  </w:r>
                  <w:r>
                    <w:rPr>
                      <w:position w:val="3"/>
                      <w:sz w:val="20"/>
                    </w:rPr>
                    <w:t>● EF</w:t>
                  </w:r>
                  <w:r>
                    <w:rPr>
                      <w:sz w:val="13"/>
                    </w:rPr>
                    <w:t>Nrich </w:t>
                  </w:r>
                  <w:r>
                    <w:rPr>
                      <w:position w:val="3"/>
                      <w:sz w:val="20"/>
                    </w:rPr>
                    <w:t>+ A</w:t>
                  </w:r>
                  <w:r>
                    <w:rPr>
                      <w:sz w:val="13"/>
                    </w:rPr>
                    <w:t>Npoor </w:t>
                  </w:r>
                  <w:r>
                    <w:rPr>
                      <w:position w:val="3"/>
                      <w:sz w:val="20"/>
                    </w:rPr>
                    <w:t>● EF</w:t>
                  </w:r>
                  <w:r>
                    <w:rPr>
                      <w:sz w:val="13"/>
                    </w:rPr>
                    <w:t>Npoor</w:t>
                  </w:r>
                </w:p>
              </w:txbxContent>
            </v:textbox>
            <v:stroke dashstyle="solid"/>
            <w10:wrap type="topAndBottom"/>
          </v:shape>
        </w:pict>
      </w:r>
    </w:p>
    <w:p>
      <w:pPr>
        <w:pStyle w:val="BodyText"/>
        <w:spacing w:before="4"/>
        <w:ind w:left="219"/>
      </w:pPr>
      <w:r>
        <w:rPr/>
        <w:t>Where:</w:t>
      </w:r>
    </w:p>
    <w:p>
      <w:pPr>
        <w:pStyle w:val="BodyText"/>
        <w:spacing w:before="121"/>
        <w:ind w:left="1848" w:hanging="1064"/>
      </w:pPr>
      <w:r>
        <w:rPr/>
        <w:t>∆C </w:t>
      </w:r>
      <w:r>
        <w:rPr>
          <w:vertAlign w:val="subscript"/>
        </w:rPr>
        <w:t>drainage</w:t>
      </w:r>
      <w:r>
        <w:rPr>
          <w:vertAlign w:val="baseline"/>
        </w:rPr>
        <w:t> = annual change in carbon stocks in soils due to drainage of organic soils converted to peat extraction, tonnes C yr</w:t>
      </w:r>
      <w:r>
        <w:rPr>
          <w:vertAlign w:val="superscript"/>
        </w:rPr>
        <w:t>-1</w:t>
      </w:r>
    </w:p>
    <w:p>
      <w:pPr>
        <w:pStyle w:val="BodyText"/>
        <w:spacing w:line="362" w:lineRule="auto" w:before="120"/>
        <w:ind w:left="785" w:right="2626"/>
      </w:pPr>
      <w:r>
        <w:rPr/>
        <w:t>A</w:t>
      </w:r>
      <w:r>
        <w:rPr>
          <w:vertAlign w:val="subscript"/>
        </w:rPr>
        <w:t>Nrich</w:t>
      </w:r>
      <w:r>
        <w:rPr>
          <w:vertAlign w:val="baseline"/>
        </w:rPr>
        <w:t> = area of nutrient rich organic soils converted to peat extraction, ha A</w:t>
      </w:r>
      <w:r>
        <w:rPr>
          <w:vertAlign w:val="subscript"/>
        </w:rPr>
        <w:t>Npoor</w:t>
      </w:r>
      <w:r>
        <w:rPr>
          <w:vertAlign w:val="baseline"/>
        </w:rPr>
        <w:t> = area of nutrient poor organic soils converted to peat extraction, ha</w:t>
      </w:r>
    </w:p>
    <w:p>
      <w:pPr>
        <w:pStyle w:val="BodyText"/>
        <w:spacing w:before="4"/>
        <w:ind w:left="1551" w:hanging="766"/>
      </w:pPr>
      <w:r>
        <w:rPr/>
        <w:t>EF</w:t>
      </w:r>
      <w:r>
        <w:rPr>
          <w:vertAlign w:val="subscript"/>
        </w:rPr>
        <w:t>Nrich</w:t>
      </w:r>
      <w:r>
        <w:rPr>
          <w:vertAlign w:val="baseline"/>
        </w:rPr>
        <w:t> = emission factor for changes in carbon stocks in nutrient rich organic soils converted to peat extraction, tonnes C ha</w:t>
      </w:r>
      <w:r>
        <w:rPr>
          <w:vertAlign w:val="superscript"/>
        </w:rPr>
        <w:t>-1</w:t>
      </w:r>
      <w:r>
        <w:rPr>
          <w:vertAlign w:val="baseline"/>
        </w:rPr>
        <w:t> yr</w:t>
      </w:r>
      <w:r>
        <w:rPr>
          <w:vertAlign w:val="superscript"/>
        </w:rPr>
        <w:t>-1</w:t>
      </w:r>
    </w:p>
    <w:p>
      <w:pPr>
        <w:pStyle w:val="BodyText"/>
        <w:spacing w:before="121"/>
        <w:ind w:left="1608" w:hanging="824"/>
      </w:pPr>
      <w:r>
        <w:rPr/>
        <w:t>EF</w:t>
      </w:r>
      <w:r>
        <w:rPr>
          <w:vertAlign w:val="subscript"/>
        </w:rPr>
        <w:t>Npoor</w:t>
      </w:r>
      <w:r>
        <w:rPr>
          <w:vertAlign w:val="baseline"/>
        </w:rPr>
        <w:t> = emission factor for changes in carbon stocks in nutrient poor organic soils converted to peat extraction, tonnes C ha</w:t>
      </w:r>
      <w:r>
        <w:rPr>
          <w:vertAlign w:val="superscript"/>
        </w:rPr>
        <w:t>-1</w:t>
      </w:r>
      <w:r>
        <w:rPr>
          <w:vertAlign w:val="baseline"/>
        </w:rPr>
        <w:t> yr</w:t>
      </w:r>
      <w:r>
        <w:rPr>
          <w:vertAlign w:val="superscript"/>
        </w:rPr>
        <w:t>-1</w:t>
      </w:r>
    </w:p>
    <w:p>
      <w:pPr>
        <w:pStyle w:val="BodyText"/>
        <w:spacing w:before="119"/>
        <w:ind w:left="219" w:right="263"/>
        <w:jc w:val="both"/>
      </w:pPr>
      <w:r>
        <w:rPr>
          <w:b/>
        </w:rPr>
        <w:t>Tier 2: </w:t>
      </w:r>
      <w:r>
        <w:rPr/>
        <w:t>The Tier 2 method can extend the Tier 1 method, if area data and country-specific emission factors are available. In this case, countries may be able to subdivide activity data and emission factors according to peat fertility, peat type and drainage intensity, and/or previous land use or land cover.</w:t>
      </w:r>
    </w:p>
    <w:p>
      <w:pPr>
        <w:pStyle w:val="BodyText"/>
        <w:spacing w:before="118"/>
        <w:ind w:left="219" w:right="263"/>
        <w:jc w:val="both"/>
      </w:pPr>
      <w:r>
        <w:rPr>
          <w:b/>
        </w:rPr>
        <w:t>Tier 3: </w:t>
      </w:r>
      <w:r>
        <w:rPr/>
        <w:t>Tier 3 methods require statistics on the area of organic soils managed for peat extraction according to  site type, fertility, time since drainage, and/or time since restoration, which could be combined with appropriate emission factors, and/or process-based models. Studies utilising information on changes in soil bulk density, carbon content and peat depth could also be used to detect changes in soil C stocks provided the sampling intensity was sufficient and covered the entire peat layer. Such data should be corrected for carbon losses due to dissolved organic carbon leaching, losses of dead organic matter through runoff, or as CH</w:t>
      </w:r>
      <w:r>
        <w:rPr>
          <w:vertAlign w:val="subscript"/>
        </w:rPr>
        <w:t>4</w:t>
      </w:r>
      <w:r>
        <w:rPr>
          <w:spacing w:val="-18"/>
          <w:vertAlign w:val="baseline"/>
        </w:rPr>
        <w:t> </w:t>
      </w:r>
      <w:r>
        <w:rPr>
          <w:vertAlign w:val="baseline"/>
        </w:rPr>
        <w:t>emissions.</w:t>
      </w:r>
    </w:p>
    <w:p>
      <w:pPr>
        <w:pStyle w:val="BodyText"/>
        <w:spacing w:before="4"/>
        <w:rPr>
          <w:sz w:val="21"/>
        </w:rPr>
      </w:pPr>
    </w:p>
    <w:p>
      <w:pPr>
        <w:pStyle w:val="Heading6"/>
        <w:numPr>
          <w:ilvl w:val="5"/>
          <w:numId w:val="75"/>
        </w:numPr>
        <w:tabs>
          <w:tab w:pos="1661" w:val="left" w:leader="none"/>
          <w:tab w:pos="1662" w:val="left" w:leader="none"/>
        </w:tabs>
        <w:spacing w:line="240" w:lineRule="auto" w:before="0" w:after="0"/>
        <w:ind w:left="1661" w:right="0" w:hanging="1442"/>
        <w:jc w:val="left"/>
      </w:pPr>
      <w:r>
        <w:rPr/>
        <w:t>2</w:t>
        <w:tab/>
      </w:r>
      <w:r>
        <w:rPr>
          <w:spacing w:val="15"/>
        </w:rPr>
        <w:t>Choice </w:t>
      </w:r>
      <w:r>
        <w:rPr>
          <w:spacing w:val="9"/>
        </w:rPr>
        <w:t>of </w:t>
      </w:r>
      <w:r>
        <w:rPr>
          <w:spacing w:val="17"/>
        </w:rPr>
        <w:t>Emission/Removal</w:t>
      </w:r>
      <w:r>
        <w:rPr>
          <w:spacing w:val="31"/>
        </w:rPr>
        <w:t> </w:t>
      </w:r>
      <w:r>
        <w:rPr>
          <w:spacing w:val="19"/>
        </w:rPr>
        <w:t>Factors</w:t>
      </w:r>
    </w:p>
    <w:p>
      <w:pPr>
        <w:pStyle w:val="BodyText"/>
        <w:spacing w:before="54"/>
        <w:ind w:left="219" w:right="263"/>
        <w:jc w:val="both"/>
      </w:pPr>
      <w:r>
        <w:rPr>
          <w:b/>
        </w:rPr>
        <w:t>Tier 1: </w:t>
      </w:r>
      <w:r>
        <w:rPr/>
        <w:t>When estimating the carbon stock change for organic soils converted to peat extraction under Tier 1, it  is </w:t>
      </w:r>
      <w:r>
        <w:rPr>
          <w:i/>
        </w:rPr>
        <w:t>good practice </w:t>
      </w:r>
      <w:r>
        <w:rPr/>
        <w:t>to use the default emission factors presented in Table</w:t>
      </w:r>
      <w:r>
        <w:rPr>
          <w:spacing w:val="-6"/>
        </w:rPr>
        <w:t> </w:t>
      </w:r>
      <w:r>
        <w:rPr/>
        <w:t>3.5.2.</w:t>
      </w:r>
    </w:p>
    <w:p>
      <w:pPr>
        <w:pStyle w:val="BodyText"/>
        <w:spacing w:before="1"/>
        <w:rPr>
          <w:sz w:val="11"/>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4"/>
        <w:gridCol w:w="1505"/>
        <w:gridCol w:w="1407"/>
        <w:gridCol w:w="3560"/>
      </w:tblGrid>
      <w:tr>
        <w:trPr>
          <w:trHeight w:val="534" w:hRule="atLeast"/>
        </w:trPr>
        <w:tc>
          <w:tcPr>
            <w:tcW w:w="9016" w:type="dxa"/>
            <w:gridSpan w:val="4"/>
            <w:tcBorders>
              <w:bottom w:val="double" w:sz="1" w:space="0" w:color="000000"/>
            </w:tcBorders>
          </w:tcPr>
          <w:p>
            <w:pPr>
              <w:pStyle w:val="TableParagraph"/>
              <w:spacing w:line="207" w:lineRule="exact" w:before="59"/>
              <w:ind w:left="408" w:right="402"/>
              <w:jc w:val="center"/>
              <w:rPr>
                <w:b/>
                <w:sz w:val="18"/>
              </w:rPr>
            </w:pPr>
            <w:r>
              <w:rPr>
                <w:b/>
                <w:sz w:val="18"/>
              </w:rPr>
              <w:t>T</w:t>
            </w:r>
            <w:r>
              <w:rPr>
                <w:b/>
                <w:sz w:val="14"/>
              </w:rPr>
              <w:t>ABLE </w:t>
            </w:r>
            <w:r>
              <w:rPr>
                <w:b/>
                <w:sz w:val="18"/>
              </w:rPr>
              <w:t>3.5.2</w:t>
            </w:r>
          </w:p>
          <w:p>
            <w:pPr>
              <w:pStyle w:val="TableParagraph"/>
              <w:spacing w:line="207" w:lineRule="exact"/>
              <w:ind w:left="405" w:right="402"/>
              <w:jc w:val="center"/>
              <w:rPr>
                <w:b/>
                <w:sz w:val="14"/>
              </w:rPr>
            </w:pPr>
            <w:r>
              <w:rPr>
                <w:b/>
                <w:sz w:val="18"/>
              </w:rPr>
              <w:t>E</w:t>
            </w:r>
            <w:r>
              <w:rPr>
                <w:b/>
                <w:sz w:val="14"/>
              </w:rPr>
              <w:t>MISSION FACTORS AND ASSOCIATED UNCERTAINTY FOR ORGANIC SOILS AFTER DRAINAGE</w:t>
            </w:r>
          </w:p>
        </w:tc>
      </w:tr>
      <w:tr>
        <w:trPr>
          <w:trHeight w:val="479" w:hRule="atLeast"/>
        </w:trPr>
        <w:tc>
          <w:tcPr>
            <w:tcW w:w="2544" w:type="dxa"/>
            <w:tcBorders>
              <w:top w:val="double" w:sz="1" w:space="0" w:color="000000"/>
            </w:tcBorders>
          </w:tcPr>
          <w:p>
            <w:pPr>
              <w:pStyle w:val="TableParagraph"/>
              <w:spacing w:before="138"/>
              <w:ind w:left="590"/>
              <w:rPr>
                <w:b/>
                <w:sz w:val="18"/>
              </w:rPr>
            </w:pPr>
            <w:r>
              <w:rPr>
                <w:b/>
                <w:sz w:val="18"/>
              </w:rPr>
              <w:t>Region/Peat Type</w:t>
            </w:r>
          </w:p>
        </w:tc>
        <w:tc>
          <w:tcPr>
            <w:tcW w:w="1505" w:type="dxa"/>
            <w:tcBorders>
              <w:top w:val="double" w:sz="1" w:space="0" w:color="000000"/>
            </w:tcBorders>
          </w:tcPr>
          <w:p>
            <w:pPr>
              <w:pStyle w:val="TableParagraph"/>
              <w:spacing w:before="35"/>
              <w:ind w:left="174" w:right="97" w:hanging="51"/>
              <w:rPr>
                <w:b/>
                <w:sz w:val="18"/>
              </w:rPr>
            </w:pPr>
            <w:r>
              <w:rPr>
                <w:b/>
                <w:sz w:val="18"/>
              </w:rPr>
              <w:t>Emission Factor tonne C ha yr</w:t>
            </w:r>
            <w:r>
              <w:rPr>
                <w:b/>
                <w:sz w:val="18"/>
                <w:vertAlign w:val="superscript"/>
              </w:rPr>
              <w:t>-1</w:t>
            </w:r>
          </w:p>
        </w:tc>
        <w:tc>
          <w:tcPr>
            <w:tcW w:w="1407" w:type="dxa"/>
            <w:tcBorders>
              <w:top w:val="double" w:sz="1" w:space="0" w:color="000000"/>
            </w:tcBorders>
          </w:tcPr>
          <w:p>
            <w:pPr>
              <w:pStyle w:val="TableParagraph"/>
              <w:spacing w:line="207" w:lineRule="exact" w:before="35"/>
              <w:ind w:left="196"/>
              <w:rPr>
                <w:b/>
                <w:sz w:val="18"/>
              </w:rPr>
            </w:pPr>
            <w:r>
              <w:rPr>
                <w:b/>
                <w:sz w:val="18"/>
              </w:rPr>
              <w:t>Uncertainty </w:t>
            </w:r>
            <w:r>
              <w:rPr>
                <w:b/>
                <w:sz w:val="18"/>
                <w:vertAlign w:val="superscript"/>
              </w:rPr>
              <w:t>a</w:t>
            </w:r>
          </w:p>
          <w:p>
            <w:pPr>
              <w:pStyle w:val="TableParagraph"/>
              <w:spacing w:line="207" w:lineRule="exact"/>
              <w:ind w:left="124"/>
              <w:rPr>
                <w:b/>
                <w:sz w:val="18"/>
              </w:rPr>
            </w:pPr>
            <w:r>
              <w:rPr>
                <w:b/>
                <w:sz w:val="18"/>
              </w:rPr>
              <w:t>tonne C ha yr</w:t>
            </w:r>
            <w:r>
              <w:rPr>
                <w:b/>
                <w:sz w:val="18"/>
                <w:vertAlign w:val="superscript"/>
              </w:rPr>
              <w:t>-1</w:t>
            </w:r>
          </w:p>
        </w:tc>
        <w:tc>
          <w:tcPr>
            <w:tcW w:w="3560" w:type="dxa"/>
            <w:tcBorders>
              <w:top w:val="double" w:sz="1" w:space="0" w:color="000000"/>
            </w:tcBorders>
          </w:tcPr>
          <w:p>
            <w:pPr>
              <w:pStyle w:val="TableParagraph"/>
              <w:spacing w:before="138"/>
              <w:ind w:left="937"/>
              <w:rPr>
                <w:b/>
                <w:sz w:val="18"/>
              </w:rPr>
            </w:pPr>
            <w:r>
              <w:rPr>
                <w:b/>
                <w:sz w:val="18"/>
              </w:rPr>
              <w:t>Reference/Comment </w:t>
            </w:r>
            <w:r>
              <w:rPr>
                <w:b/>
                <w:sz w:val="18"/>
                <w:vertAlign w:val="superscript"/>
              </w:rPr>
              <w:t>b</w:t>
            </w:r>
          </w:p>
        </w:tc>
      </w:tr>
      <w:tr>
        <w:trPr>
          <w:trHeight w:val="301" w:hRule="atLeast"/>
        </w:trPr>
        <w:tc>
          <w:tcPr>
            <w:tcW w:w="2544" w:type="dxa"/>
            <w:tcBorders>
              <w:bottom w:val="nil"/>
            </w:tcBorders>
          </w:tcPr>
          <w:p>
            <w:pPr>
              <w:pStyle w:val="TableParagraph"/>
              <w:spacing w:before="59"/>
              <w:ind w:left="107"/>
              <w:rPr>
                <w:b/>
                <w:sz w:val="18"/>
              </w:rPr>
            </w:pPr>
            <w:r>
              <w:rPr>
                <w:b/>
                <w:sz w:val="18"/>
              </w:rPr>
              <w:t>Boreal and Temperate</w:t>
            </w:r>
          </w:p>
        </w:tc>
        <w:tc>
          <w:tcPr>
            <w:tcW w:w="1505" w:type="dxa"/>
            <w:tcBorders>
              <w:bottom w:val="nil"/>
            </w:tcBorders>
          </w:tcPr>
          <w:p>
            <w:pPr>
              <w:pStyle w:val="TableParagraph"/>
              <w:rPr>
                <w:sz w:val="18"/>
              </w:rPr>
            </w:pPr>
          </w:p>
        </w:tc>
        <w:tc>
          <w:tcPr>
            <w:tcW w:w="1407" w:type="dxa"/>
            <w:tcBorders>
              <w:bottom w:val="nil"/>
            </w:tcBorders>
          </w:tcPr>
          <w:p>
            <w:pPr>
              <w:pStyle w:val="TableParagraph"/>
              <w:rPr>
                <w:sz w:val="18"/>
              </w:rPr>
            </w:pPr>
          </w:p>
        </w:tc>
        <w:tc>
          <w:tcPr>
            <w:tcW w:w="3560" w:type="dxa"/>
            <w:tcBorders>
              <w:bottom w:val="nil"/>
            </w:tcBorders>
          </w:tcPr>
          <w:p>
            <w:pPr>
              <w:pStyle w:val="TableParagraph"/>
              <w:rPr>
                <w:sz w:val="18"/>
              </w:rPr>
            </w:pPr>
          </w:p>
        </w:tc>
      </w:tr>
      <w:tr>
        <w:trPr>
          <w:trHeight w:val="494" w:hRule="atLeast"/>
        </w:trPr>
        <w:tc>
          <w:tcPr>
            <w:tcW w:w="2544" w:type="dxa"/>
            <w:tcBorders>
              <w:top w:val="nil"/>
              <w:bottom w:val="nil"/>
            </w:tcBorders>
          </w:tcPr>
          <w:p>
            <w:pPr>
              <w:pStyle w:val="TableParagraph"/>
              <w:spacing w:before="27"/>
              <w:ind w:right="362"/>
              <w:jc w:val="right"/>
              <w:rPr>
                <w:sz w:val="18"/>
              </w:rPr>
            </w:pPr>
            <w:r>
              <w:rPr>
                <w:sz w:val="18"/>
              </w:rPr>
              <w:t>Nutrient Poor (EF</w:t>
            </w:r>
            <w:r>
              <w:rPr>
                <w:sz w:val="18"/>
                <w:vertAlign w:val="subscript"/>
              </w:rPr>
              <w:t>Npoor</w:t>
            </w:r>
            <w:r>
              <w:rPr>
                <w:sz w:val="18"/>
                <w:vertAlign w:val="baseline"/>
              </w:rPr>
              <w:t> )</w:t>
            </w:r>
          </w:p>
        </w:tc>
        <w:tc>
          <w:tcPr>
            <w:tcW w:w="1505" w:type="dxa"/>
            <w:tcBorders>
              <w:top w:val="nil"/>
              <w:bottom w:val="nil"/>
            </w:tcBorders>
          </w:tcPr>
          <w:p>
            <w:pPr>
              <w:pStyle w:val="TableParagraph"/>
              <w:spacing w:before="27"/>
              <w:ind w:left="619" w:right="610"/>
              <w:jc w:val="center"/>
              <w:rPr>
                <w:sz w:val="18"/>
              </w:rPr>
            </w:pPr>
            <w:r>
              <w:rPr>
                <w:sz w:val="18"/>
              </w:rPr>
              <w:t>0.2</w:t>
            </w:r>
          </w:p>
        </w:tc>
        <w:tc>
          <w:tcPr>
            <w:tcW w:w="1407" w:type="dxa"/>
            <w:tcBorders>
              <w:top w:val="nil"/>
              <w:bottom w:val="nil"/>
            </w:tcBorders>
          </w:tcPr>
          <w:p>
            <w:pPr>
              <w:pStyle w:val="TableParagraph"/>
              <w:spacing w:before="27"/>
              <w:ind w:left="364" w:right="357"/>
              <w:jc w:val="center"/>
              <w:rPr>
                <w:sz w:val="18"/>
              </w:rPr>
            </w:pPr>
            <w:r>
              <w:rPr>
                <w:sz w:val="18"/>
              </w:rPr>
              <w:t>0 to 0.63</w:t>
            </w:r>
          </w:p>
        </w:tc>
        <w:tc>
          <w:tcPr>
            <w:tcW w:w="3560" w:type="dxa"/>
            <w:tcBorders>
              <w:top w:val="nil"/>
              <w:bottom w:val="nil"/>
            </w:tcBorders>
          </w:tcPr>
          <w:p>
            <w:pPr>
              <w:pStyle w:val="TableParagraph"/>
              <w:spacing w:before="27"/>
              <w:ind w:left="109" w:right="101"/>
              <w:rPr>
                <w:sz w:val="18"/>
              </w:rPr>
            </w:pPr>
            <w:r>
              <w:rPr>
                <w:sz w:val="18"/>
              </w:rPr>
              <w:t>Laine and Minkkinen, 1996; Alm </w:t>
            </w:r>
            <w:r>
              <w:rPr>
                <w:i/>
                <w:sz w:val="18"/>
              </w:rPr>
              <w:t>et al.</w:t>
            </w:r>
            <w:r>
              <w:rPr>
                <w:sz w:val="18"/>
              </w:rPr>
              <w:t>, 1999; Laine </w:t>
            </w:r>
            <w:r>
              <w:rPr>
                <w:i/>
                <w:sz w:val="18"/>
              </w:rPr>
              <w:t>et al.</w:t>
            </w:r>
            <w:r>
              <w:rPr>
                <w:sz w:val="18"/>
              </w:rPr>
              <w:t>, 1996; Minkkinen </w:t>
            </w:r>
            <w:r>
              <w:rPr>
                <w:i/>
                <w:sz w:val="18"/>
              </w:rPr>
              <w:t>et al.</w:t>
            </w:r>
            <w:r>
              <w:rPr>
                <w:sz w:val="18"/>
              </w:rPr>
              <w:t>, 2002</w:t>
            </w:r>
          </w:p>
        </w:tc>
      </w:tr>
      <w:tr>
        <w:trPr>
          <w:trHeight w:val="497" w:hRule="atLeast"/>
        </w:trPr>
        <w:tc>
          <w:tcPr>
            <w:tcW w:w="2544" w:type="dxa"/>
            <w:tcBorders>
              <w:top w:val="nil"/>
            </w:tcBorders>
          </w:tcPr>
          <w:p>
            <w:pPr>
              <w:pStyle w:val="TableParagraph"/>
              <w:spacing w:before="44"/>
              <w:ind w:right="398"/>
              <w:jc w:val="right"/>
              <w:rPr>
                <w:sz w:val="18"/>
              </w:rPr>
            </w:pPr>
            <w:r>
              <w:rPr>
                <w:sz w:val="18"/>
              </w:rPr>
              <w:t>Nutrient Rich (EF</w:t>
            </w:r>
            <w:r>
              <w:rPr>
                <w:sz w:val="18"/>
                <w:vertAlign w:val="subscript"/>
              </w:rPr>
              <w:t>Nrich</w:t>
            </w:r>
            <w:r>
              <w:rPr>
                <w:sz w:val="18"/>
                <w:vertAlign w:val="baseline"/>
              </w:rPr>
              <w:t> )</w:t>
            </w:r>
          </w:p>
        </w:tc>
        <w:tc>
          <w:tcPr>
            <w:tcW w:w="1505" w:type="dxa"/>
            <w:tcBorders>
              <w:top w:val="nil"/>
            </w:tcBorders>
          </w:tcPr>
          <w:p>
            <w:pPr>
              <w:pStyle w:val="TableParagraph"/>
              <w:spacing w:before="44"/>
              <w:ind w:left="619" w:right="610"/>
              <w:jc w:val="center"/>
              <w:rPr>
                <w:sz w:val="18"/>
              </w:rPr>
            </w:pPr>
            <w:r>
              <w:rPr>
                <w:sz w:val="18"/>
              </w:rPr>
              <w:t>1.1</w:t>
            </w:r>
          </w:p>
        </w:tc>
        <w:tc>
          <w:tcPr>
            <w:tcW w:w="1407" w:type="dxa"/>
            <w:tcBorders>
              <w:top w:val="nil"/>
            </w:tcBorders>
          </w:tcPr>
          <w:p>
            <w:pPr>
              <w:pStyle w:val="TableParagraph"/>
              <w:spacing w:before="44"/>
              <w:ind w:left="313"/>
              <w:rPr>
                <w:sz w:val="18"/>
              </w:rPr>
            </w:pPr>
            <w:r>
              <w:rPr>
                <w:sz w:val="18"/>
              </w:rPr>
              <w:t>0.03 to 2.9</w:t>
            </w:r>
          </w:p>
        </w:tc>
        <w:tc>
          <w:tcPr>
            <w:tcW w:w="3560" w:type="dxa"/>
            <w:tcBorders>
              <w:top w:val="nil"/>
            </w:tcBorders>
          </w:tcPr>
          <w:p>
            <w:pPr>
              <w:pStyle w:val="TableParagraph"/>
              <w:spacing w:line="207" w:lineRule="exact" w:before="44"/>
              <w:ind w:left="109"/>
              <w:rPr>
                <w:sz w:val="18"/>
              </w:rPr>
            </w:pPr>
            <w:r>
              <w:rPr>
                <w:sz w:val="18"/>
              </w:rPr>
              <w:t>Laine </w:t>
            </w:r>
            <w:r>
              <w:rPr>
                <w:i/>
                <w:sz w:val="18"/>
              </w:rPr>
              <w:t>et al.</w:t>
            </w:r>
            <w:r>
              <w:rPr>
                <w:sz w:val="18"/>
              </w:rPr>
              <w:t>, 1996; LUSTRA, 2002;</w:t>
            </w:r>
          </w:p>
          <w:p>
            <w:pPr>
              <w:pStyle w:val="TableParagraph"/>
              <w:spacing w:line="207" w:lineRule="exact"/>
              <w:ind w:left="109"/>
              <w:rPr>
                <w:sz w:val="18"/>
              </w:rPr>
            </w:pPr>
            <w:r>
              <w:rPr>
                <w:sz w:val="18"/>
              </w:rPr>
              <w:t>Minkkinen </w:t>
            </w:r>
            <w:r>
              <w:rPr>
                <w:i/>
                <w:sz w:val="18"/>
              </w:rPr>
              <w:t>et al.</w:t>
            </w:r>
            <w:r>
              <w:rPr>
                <w:sz w:val="18"/>
              </w:rPr>
              <w:t>, 2002; Sundh </w:t>
            </w:r>
            <w:r>
              <w:rPr>
                <w:i/>
                <w:sz w:val="18"/>
              </w:rPr>
              <w:t>et al.</w:t>
            </w:r>
            <w:r>
              <w:rPr>
                <w:sz w:val="18"/>
              </w:rPr>
              <w:t>, 2000</w:t>
            </w:r>
          </w:p>
        </w:tc>
      </w:tr>
      <w:tr>
        <w:trPr>
          <w:trHeight w:val="741" w:hRule="atLeast"/>
        </w:trPr>
        <w:tc>
          <w:tcPr>
            <w:tcW w:w="2544" w:type="dxa"/>
          </w:tcPr>
          <w:p>
            <w:pPr>
              <w:pStyle w:val="TableParagraph"/>
              <w:spacing w:before="59"/>
              <w:ind w:left="107"/>
              <w:rPr>
                <w:b/>
                <w:sz w:val="18"/>
              </w:rPr>
            </w:pPr>
            <w:r>
              <w:rPr>
                <w:b/>
                <w:sz w:val="18"/>
              </w:rPr>
              <w:t>Tropical</w:t>
            </w:r>
          </w:p>
        </w:tc>
        <w:tc>
          <w:tcPr>
            <w:tcW w:w="1505" w:type="dxa"/>
          </w:tcPr>
          <w:p>
            <w:pPr>
              <w:pStyle w:val="TableParagraph"/>
              <w:spacing w:before="55"/>
              <w:ind w:left="619" w:right="610"/>
              <w:jc w:val="center"/>
              <w:rPr>
                <w:sz w:val="18"/>
              </w:rPr>
            </w:pPr>
            <w:r>
              <w:rPr>
                <w:sz w:val="18"/>
              </w:rPr>
              <w:t>2.0</w:t>
            </w:r>
          </w:p>
        </w:tc>
        <w:tc>
          <w:tcPr>
            <w:tcW w:w="1407" w:type="dxa"/>
          </w:tcPr>
          <w:p>
            <w:pPr>
              <w:pStyle w:val="TableParagraph"/>
              <w:spacing w:before="55"/>
              <w:ind w:left="313"/>
              <w:rPr>
                <w:sz w:val="18"/>
              </w:rPr>
            </w:pPr>
            <w:r>
              <w:rPr>
                <w:sz w:val="18"/>
              </w:rPr>
              <w:t>0.06 to 6.0</w:t>
            </w:r>
          </w:p>
        </w:tc>
        <w:tc>
          <w:tcPr>
            <w:tcW w:w="3560" w:type="dxa"/>
          </w:tcPr>
          <w:p>
            <w:pPr>
              <w:pStyle w:val="TableParagraph"/>
              <w:spacing w:before="55"/>
              <w:ind w:left="109" w:right="649"/>
              <w:jc w:val="both"/>
              <w:rPr>
                <w:sz w:val="18"/>
              </w:rPr>
            </w:pPr>
            <w:r>
              <w:rPr>
                <w:sz w:val="18"/>
              </w:rPr>
              <w:t>Calculated from the relative difference between temperate (nutrient poor) and tropical in Table 3.3.5.</w:t>
            </w:r>
          </w:p>
        </w:tc>
      </w:tr>
      <w:tr>
        <w:trPr>
          <w:trHeight w:val="750" w:hRule="atLeast"/>
        </w:trPr>
        <w:tc>
          <w:tcPr>
            <w:tcW w:w="9016" w:type="dxa"/>
            <w:gridSpan w:val="4"/>
          </w:tcPr>
          <w:p>
            <w:pPr>
              <w:pStyle w:val="TableParagraph"/>
              <w:spacing w:before="21"/>
              <w:ind w:left="107"/>
              <w:rPr>
                <w:sz w:val="16"/>
              </w:rPr>
            </w:pPr>
            <w:r>
              <w:rPr>
                <w:position w:val="7"/>
                <w:sz w:val="10"/>
              </w:rPr>
              <w:t>a </w:t>
            </w:r>
            <w:r>
              <w:rPr>
                <w:sz w:val="16"/>
              </w:rPr>
              <w:t>Range of underlying data</w:t>
            </w:r>
          </w:p>
          <w:p>
            <w:pPr>
              <w:pStyle w:val="TableParagraph"/>
              <w:spacing w:before="85"/>
              <w:ind w:left="210" w:right="143" w:hanging="104"/>
              <w:rPr>
                <w:sz w:val="16"/>
              </w:rPr>
            </w:pPr>
            <w:r>
              <w:rPr>
                <w:position w:val="7"/>
                <w:sz w:val="10"/>
              </w:rPr>
              <w:t>b </w:t>
            </w:r>
            <w:r>
              <w:rPr>
                <w:sz w:val="16"/>
              </w:rPr>
              <w:t>The boreal and temperate values have been developed as the log-normal mean from a review of paired plot measurements, assuming that conditions on organic soils converted to peat extraction are lightly drained only. Most of the data are from Europe.</w:t>
            </w:r>
          </w:p>
        </w:tc>
      </w:tr>
    </w:tbl>
    <w:p>
      <w:pPr>
        <w:pStyle w:val="BodyText"/>
        <w:spacing w:before="2"/>
        <w:rPr>
          <w:sz w:val="24"/>
        </w:rPr>
      </w:pPr>
    </w:p>
    <w:p>
      <w:pPr>
        <w:pStyle w:val="BodyText"/>
        <w:spacing w:before="1"/>
        <w:ind w:left="219" w:right="264"/>
        <w:jc w:val="both"/>
      </w:pPr>
      <w:r>
        <w:rPr/>
        <w:t>Boreal countries that do not have information on areas of nutrient-rich and nutrient-poor peatland areas should use the emission factor for nutrient-poor peatlands. Temperate countries that do not have such data should use the emission factor for nutrient-rich peatland. For tropical countries, only a single default can be provided at this time.</w:t>
      </w:r>
    </w:p>
    <w:p>
      <w:pPr>
        <w:pStyle w:val="BodyText"/>
        <w:spacing w:before="119"/>
        <w:ind w:left="219" w:right="266"/>
        <w:jc w:val="both"/>
      </w:pPr>
      <w:r>
        <w:rPr>
          <w:b/>
        </w:rPr>
        <w:t>Tier 2: </w:t>
      </w:r>
      <w:r>
        <w:rPr/>
        <w:t>Tier 2 requires country-specific data that takes into account management practices such as drainage of different peat types, and drainage intensity.</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7"/>
        <w:jc w:val="both"/>
      </w:pPr>
      <w:r>
        <w:rPr>
          <w:b/>
        </w:rPr>
        <w:t>Tier 3: </w:t>
      </w:r>
      <w:r>
        <w:rPr/>
        <w:t>Under Tier 3, all parameters should be country-defined using more accurate values rather than the defaults. The literature is sparse and results are sometimes contradictory, so it is </w:t>
      </w:r>
      <w:r>
        <w:rPr>
          <w:i/>
        </w:rPr>
        <w:t>good practice </w:t>
      </w:r>
      <w:r>
        <w:rPr/>
        <w:t>to derive country- specific emission factors by measurements against appropriate reference virgin sites. Data should be shared between countries with similar environmental conditions.</w:t>
      </w:r>
    </w:p>
    <w:p>
      <w:pPr>
        <w:pStyle w:val="BodyText"/>
        <w:spacing w:before="3"/>
        <w:rPr>
          <w:sz w:val="21"/>
        </w:rPr>
      </w:pPr>
    </w:p>
    <w:p>
      <w:pPr>
        <w:pStyle w:val="Heading6"/>
        <w:numPr>
          <w:ilvl w:val="5"/>
          <w:numId w:val="75"/>
        </w:numPr>
        <w:tabs>
          <w:tab w:pos="1661" w:val="left" w:leader="none"/>
        </w:tabs>
        <w:spacing w:line="240" w:lineRule="auto" w:before="0"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pStyle w:val="BodyText"/>
        <w:spacing w:before="56"/>
        <w:ind w:left="219" w:right="262"/>
        <w:jc w:val="both"/>
      </w:pPr>
      <w:r>
        <w:rPr>
          <w:b/>
        </w:rPr>
        <w:t>Tier 1: </w:t>
      </w:r>
      <w:r>
        <w:rPr/>
        <w:t>The activity data required for all tiers is the area of organic soil converted to peat extraction. For the estimation of carbon stock change from living biomass, this overall area value is used, while for the estimate of carbon stock change from organic soil, a distinction between nutrient-rich and nutrient poor organic soils is needed. Ideally, under Tier 1, countries will obtain national data on the areas converted to peat extraction and their original land uses. Possible sources of such data are national statistics, peat mining companies and government ministries responsible for land use. It can be assumed that the proportion of nutrient-rich versus nutrient-poor soils is similar to the relative importance of these peatland types at national level.</w:t>
      </w:r>
    </w:p>
    <w:p>
      <w:pPr>
        <w:pStyle w:val="BodyText"/>
        <w:spacing w:before="118"/>
        <w:ind w:left="219" w:right="268"/>
        <w:jc w:val="both"/>
      </w:pPr>
      <w:r>
        <w:rPr>
          <w:b/>
        </w:rPr>
        <w:t>Tier 2: </w:t>
      </w:r>
      <w:r>
        <w:rPr/>
        <w:t>Under Tier 2, countries can incorporate information based on the original land use, peat type and fertility, and intensity of peat disturbance and drainage of the areas of organic soils converted to peat extraction. This information could be gathered from regular updates of the national peatland</w:t>
      </w:r>
      <w:r>
        <w:rPr>
          <w:spacing w:val="-9"/>
        </w:rPr>
        <w:t> </w:t>
      </w:r>
      <w:r>
        <w:rPr/>
        <w:t>inventory.</w:t>
      </w:r>
    </w:p>
    <w:p>
      <w:pPr>
        <w:pStyle w:val="BodyText"/>
        <w:spacing w:before="119"/>
        <w:ind w:left="219" w:right="263"/>
        <w:jc w:val="both"/>
      </w:pPr>
      <w:r>
        <w:rPr>
          <w:b/>
        </w:rPr>
        <w:t>Tier 3: </w:t>
      </w:r>
      <w:r>
        <w:rPr/>
        <w:t>Under Tier 3, detailed information on the original land use, peat type and fertility, and intensity of peat disturbance and drainage of the areas of organic soils converted to peat extraction may be needed. The modeling approach used will determine specific data needs and level of disaggregation.</w:t>
      </w:r>
    </w:p>
    <w:p>
      <w:pPr>
        <w:pStyle w:val="BodyText"/>
        <w:spacing w:before="3"/>
        <w:rPr>
          <w:sz w:val="21"/>
        </w:rPr>
      </w:pPr>
    </w:p>
    <w:p>
      <w:pPr>
        <w:pStyle w:val="Heading6"/>
        <w:numPr>
          <w:ilvl w:val="5"/>
          <w:numId w:val="75"/>
        </w:numPr>
        <w:tabs>
          <w:tab w:pos="1662" w:val="left" w:leader="none"/>
        </w:tabs>
        <w:spacing w:line="240" w:lineRule="auto" w:before="0" w:after="0"/>
        <w:ind w:left="1661" w:right="0" w:hanging="1442"/>
        <w:jc w:val="both"/>
      </w:pPr>
      <w:r>
        <w:rPr/>
        <w:t>4 </w:t>
      </w:r>
      <w:r>
        <w:rPr>
          <w:spacing w:val="17"/>
        </w:rPr>
        <w:t>Uncertainty</w:t>
      </w:r>
      <w:r>
        <w:rPr>
          <w:spacing w:val="18"/>
        </w:rPr>
        <w:t> </w:t>
      </w:r>
      <w:r>
        <w:rPr>
          <w:spacing w:val="19"/>
        </w:rPr>
        <w:t>Assessment</w:t>
      </w:r>
    </w:p>
    <w:p>
      <w:pPr>
        <w:pStyle w:val="BodyText"/>
        <w:spacing w:before="56"/>
        <w:ind w:left="219" w:right="268"/>
        <w:jc w:val="both"/>
      </w:pPr>
      <w:r>
        <w:rPr/>
        <w:t>For the estimation of emissions from land conversions to peat, the principal uncertainties are related to area estimates and emission factors.</w:t>
      </w:r>
    </w:p>
    <w:p>
      <w:pPr>
        <w:pStyle w:val="BodyText"/>
        <w:spacing w:before="119"/>
        <w:ind w:left="219" w:right="262"/>
        <w:jc w:val="both"/>
      </w:pPr>
      <w:r>
        <w:rPr>
          <w:b/>
        </w:rPr>
        <w:t>Tier 1: </w:t>
      </w:r>
      <w:r>
        <w:rPr/>
        <w:t>The sources of uncertainty in the Tier 1 method are from the use of global or national averages for carbon stocks in forests before conversion and coarse estimates of land areas and their original use converted to peat extraction, although most of the converted area is likely to be more or less densely treed peatland. Most default values in this method do not have corresponding error ranges associated with them. The default emission factors provided for Tier 1 have been developed from only a few (less than 10) data points only, which may not be representative for large areas or climate zones. Therefore, a default uncertainty level of +/- 75% of the estimated carbon emission or removal has been assumed based on expert judgement. The uncertainty probability distribution of the emissions is likely to be non-normal, so the 95% interval of a log-normal distribution is assumed here as default uncertainty (Table 3.5.2). It is </w:t>
      </w:r>
      <w:r>
        <w:rPr>
          <w:i/>
        </w:rPr>
        <w:t>good practice </w:t>
      </w:r>
      <w:r>
        <w:rPr/>
        <w:t>to use this range rather than a symmetrical standard deviation.</w:t>
      </w:r>
    </w:p>
    <w:p>
      <w:pPr>
        <w:pStyle w:val="BodyText"/>
        <w:spacing w:before="119"/>
        <w:ind w:left="219" w:right="265"/>
        <w:jc w:val="both"/>
      </w:pPr>
      <w:r>
        <w:rPr/>
        <w:t>The area of drained peatlands is estimated to have an uncertainty of 50% in Europe and North America, but may be a factor of 2 in the rest of the world. Uncertainty in Southeast Asia is extremely high since peatlands are  under particular pressure, mainly because of urbanisation and intensification of agriculture and forestry, and maybe also for peat extraction. It is assumed that the data of land conversion to peatland has the same uncertainty although countries with a predominance of commercial peat extraction will have better</w:t>
      </w:r>
      <w:r>
        <w:rPr>
          <w:spacing w:val="-15"/>
        </w:rPr>
        <w:t> </w:t>
      </w:r>
      <w:r>
        <w:rPr/>
        <w:t>data.</w:t>
      </w:r>
    </w:p>
    <w:p>
      <w:pPr>
        <w:pStyle w:val="BodyText"/>
        <w:spacing w:before="120"/>
        <w:ind w:left="219" w:right="263"/>
        <w:jc w:val="both"/>
      </w:pPr>
      <w:r>
        <w:rPr>
          <w:b/>
        </w:rPr>
        <w:t>Tier 2: </w:t>
      </w:r>
      <w:r>
        <w:rPr/>
        <w:t>Under Tier 2, actual area estimates for land conversion will enable more transparent accounting and allow experts to identify gaps and avoid double counting of land areas. The Tier 2 method uses at least some country-defined defaults, which will improve the accuracy of estimates, provided they better represent conditions relevant to the country. When country-specific defaults are developed, countries should use sufficient sample sizes and techniques to minimize standard errors. Probability density functions (i.e. providing mean and variance estimates) should be derived for all country-defined parameters. Such data can be used in advanced uncertainty analyses such as Monte Carlo simulations. Refer to Chapter 5 of this report for guidance on developing such analyses. At a minimum, Tier 2 approaches should provide error ranges for each country-defined</w:t>
      </w:r>
      <w:r>
        <w:rPr>
          <w:spacing w:val="-24"/>
        </w:rPr>
        <w:t> </w:t>
      </w:r>
      <w:r>
        <w:rPr/>
        <w:t>parameter.</w:t>
      </w:r>
    </w:p>
    <w:p>
      <w:pPr>
        <w:pStyle w:val="BodyText"/>
        <w:spacing w:before="118"/>
        <w:ind w:left="219" w:right="263"/>
        <w:jc w:val="both"/>
      </w:pPr>
      <w:r>
        <w:rPr>
          <w:b/>
        </w:rPr>
        <w:t>Tier 3: </w:t>
      </w:r>
      <w:r>
        <w:rPr/>
        <w:t>Under Tier 3, activity data from a land use and management inventory system should provide a basis to assign estimates of uncertainty to areas associated with land conversion. Combining emission and activity data and their associated uncertainties can be done using Monte-Carlo procedures to estimate means and confidence intervals for the overall inventory. Process-based models will probably provide more realistic estimates but need to be calibrated and validated against measurements. Generic guidance on uncertainty assessment for advanced methods is given in Chapter 5 (Section 5.2, Identifying and Quantifying Uncertainties) of this report. Since drainage of peatlands leads to peat compaction and oxidation and carbon losses other than as CO</w:t>
      </w:r>
      <w:r>
        <w:rPr>
          <w:vertAlign w:val="subscript"/>
        </w:rPr>
        <w:t>2</w:t>
      </w:r>
      <w:r>
        <w:rPr>
          <w:vertAlign w:val="baseline"/>
        </w:rPr>
        <w:t> the stock change approach to monitor CO</w:t>
      </w:r>
      <w:r>
        <w:rPr>
          <w:vertAlign w:val="subscript"/>
        </w:rPr>
        <w:t>2</w:t>
      </w:r>
      <w:r>
        <w:rPr>
          <w:vertAlign w:val="baseline"/>
        </w:rPr>
        <w:t> fluxes can be imprecise. If used, it should be calibrated with appropriate flux measurements.</w:t>
      </w:r>
    </w:p>
    <w:p>
      <w:pPr>
        <w:spacing w:after="0"/>
        <w:jc w:val="both"/>
        <w:sectPr>
          <w:pgSz w:w="11900" w:h="16840"/>
          <w:pgMar w:header="230" w:footer="408" w:top="560" w:bottom="600" w:left="1200" w:right="1140"/>
        </w:sectPr>
      </w:pPr>
    </w:p>
    <w:p>
      <w:pPr>
        <w:pStyle w:val="BodyText"/>
      </w:pPr>
    </w:p>
    <w:p>
      <w:pPr>
        <w:pStyle w:val="BodyText"/>
        <w:spacing w:before="7"/>
      </w:pPr>
    </w:p>
    <w:p>
      <w:pPr>
        <w:pStyle w:val="Heading6"/>
        <w:tabs>
          <w:tab w:pos="1659" w:val="left" w:leader="none"/>
        </w:tabs>
        <w:spacing w:line="242" w:lineRule="auto" w:before="89"/>
        <w:ind w:left="1666" w:right="1107" w:hanging="1448"/>
        <w:rPr>
          <w:sz w:val="28"/>
        </w:rPr>
      </w:pPr>
      <w:r>
        <w:rPr>
          <w:spacing w:val="16"/>
          <w:sz w:val="28"/>
        </w:rPr>
        <w:t>3.5.2.2</w:t>
        <w:tab/>
      </w: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4"/>
        </w:rPr>
        <w:t>LAND </w:t>
      </w:r>
      <w:r>
        <w:rPr>
          <w:spacing w:val="16"/>
        </w:rPr>
        <w:t>CONVERTED </w:t>
      </w:r>
      <w:r>
        <w:rPr>
          <w:spacing w:val="9"/>
        </w:rPr>
        <w:t>TO </w:t>
      </w:r>
      <w:r>
        <w:rPr>
          <w:spacing w:val="16"/>
        </w:rPr>
        <w:t>FLOODED </w:t>
      </w:r>
      <w:r>
        <w:rPr>
          <w:spacing w:val="14"/>
        </w:rPr>
        <w:t>LAND</w:t>
      </w:r>
      <w:r>
        <w:rPr>
          <w:spacing w:val="-12"/>
        </w:rPr>
        <w:t> </w:t>
      </w:r>
      <w:r>
        <w:rPr>
          <w:spacing w:val="17"/>
          <w:sz w:val="28"/>
        </w:rPr>
        <w:t>(R</w:t>
      </w:r>
      <w:r>
        <w:rPr>
          <w:spacing w:val="17"/>
        </w:rPr>
        <w:t>ESERVOIRS</w:t>
      </w:r>
      <w:r>
        <w:rPr>
          <w:spacing w:val="17"/>
          <w:sz w:val="28"/>
        </w:rPr>
        <w:t>)</w:t>
      </w:r>
    </w:p>
    <w:p>
      <w:pPr>
        <w:pStyle w:val="BodyText"/>
        <w:spacing w:before="87"/>
        <w:ind w:left="219"/>
      </w:pPr>
      <w:r>
        <w:rPr/>
        <w:t>The method for estimating carbon stock change due to land conversion to flooded land is shown in Equation</w:t>
      </w:r>
    </w:p>
    <w:p>
      <w:pPr>
        <w:pStyle w:val="ListParagraph"/>
        <w:numPr>
          <w:ilvl w:val="2"/>
          <w:numId w:val="76"/>
        </w:numPr>
        <w:tabs>
          <w:tab w:pos="740" w:val="left" w:leader="none"/>
        </w:tabs>
        <w:spacing w:line="240" w:lineRule="auto" w:before="1" w:after="0"/>
        <w:ind w:left="219" w:right="263" w:firstLine="0"/>
        <w:jc w:val="both"/>
        <w:rPr>
          <w:sz w:val="20"/>
        </w:rPr>
      </w:pPr>
      <w:r>
        <w:rPr>
          <w:sz w:val="20"/>
        </w:rPr>
        <w:t>As with the method described in the previous section for peatland, this method assumes that the carbon stock of land prior to conversion is lost in the first year following conversion. The carbon stock of the land prior to conversion can be estimated following the method for living biomass described for various land-use categories in other sections of this chapter. In Tier 1, it is assumed that the carbon stock after conversion is</w:t>
      </w:r>
      <w:r>
        <w:rPr>
          <w:spacing w:val="-29"/>
          <w:sz w:val="20"/>
        </w:rPr>
        <w:t> </w:t>
      </w:r>
      <w:r>
        <w:rPr>
          <w:sz w:val="20"/>
        </w:rPr>
        <w:t>zero.</w:t>
      </w:r>
    </w:p>
    <w:p>
      <w:pPr>
        <w:pStyle w:val="BodyText"/>
        <w:rPr>
          <w:sz w:val="11"/>
        </w:rPr>
      </w:pPr>
      <w:r>
        <w:rPr/>
        <w:pict>
          <v:shape style="position:absolute;margin-left:91.960999pt;margin-top:9.052598pt;width:411.5pt;height:65.2pt;mso-position-horizontal-relative:page;mso-position-vertical-relative:paragraph;z-index:10832;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3.5.6</w:t>
                  </w:r>
                </w:p>
                <w:p>
                  <w:pPr>
                    <w:spacing w:line="278" w:lineRule="auto" w:before="0"/>
                    <w:ind w:left="1739" w:right="1740" w:firstLine="0"/>
                    <w:jc w:val="center"/>
                    <w:rPr>
                      <w:b/>
                      <w:sz w:val="16"/>
                    </w:rPr>
                  </w:pPr>
                  <w:r>
                    <w:rPr>
                      <w:b/>
                      <w:sz w:val="20"/>
                    </w:rPr>
                    <w:t>A</w:t>
                  </w:r>
                  <w:r>
                    <w:rPr>
                      <w:b/>
                      <w:sz w:val="16"/>
                    </w:rPr>
                    <w:t>NNUAL CHANGE IN CARBON STOCKS IN LIVING BIOMASS IN LAND CONVERTED TO FLOODED LAND</w:t>
                  </w:r>
                </w:p>
                <w:p>
                  <w:pPr>
                    <w:spacing w:before="74"/>
                    <w:ind w:left="68" w:right="68" w:firstLine="0"/>
                    <w:jc w:val="center"/>
                    <w:rPr>
                      <w:sz w:val="20"/>
                    </w:rPr>
                  </w:pPr>
                  <w:r>
                    <w:rPr>
                      <w:position w:val="3"/>
                      <w:sz w:val="20"/>
                    </w:rPr>
                    <w:t>∆C</w:t>
                  </w:r>
                  <w:r>
                    <w:rPr>
                      <w:sz w:val="13"/>
                    </w:rPr>
                    <w:t>LW flood</w:t>
                  </w:r>
                  <w:r>
                    <w:rPr>
                      <w:position w:val="-5"/>
                      <w:sz w:val="13"/>
                    </w:rPr>
                    <w:t>LB </w:t>
                  </w:r>
                  <w:r>
                    <w:rPr>
                      <w:position w:val="3"/>
                      <w:sz w:val="20"/>
                    </w:rPr>
                    <w:t>= [</w:t>
                  </w:r>
                  <w:r>
                    <w:rPr>
                      <w:rFonts w:ascii="Symbol" w:hAnsi="Symbol"/>
                      <w:position w:val="3"/>
                      <w:sz w:val="20"/>
                    </w:rPr>
                    <w:t>Σ </w:t>
                  </w:r>
                  <w:r>
                    <w:rPr>
                      <w:position w:val="3"/>
                      <w:sz w:val="20"/>
                    </w:rPr>
                    <w:t>A</w:t>
                  </w:r>
                  <w:r>
                    <w:rPr>
                      <w:i/>
                      <w:sz w:val="13"/>
                    </w:rPr>
                    <w:t>i </w:t>
                  </w:r>
                  <w:r>
                    <w:rPr>
                      <w:position w:val="3"/>
                      <w:sz w:val="20"/>
                    </w:rPr>
                    <w:t>● (B</w:t>
                  </w:r>
                  <w:r>
                    <w:rPr>
                      <w:sz w:val="13"/>
                    </w:rPr>
                    <w:t>After </w:t>
                  </w:r>
                  <w:r>
                    <w:rPr>
                      <w:position w:val="3"/>
                      <w:sz w:val="20"/>
                    </w:rPr>
                    <w:t>– B</w:t>
                  </w:r>
                  <w:r>
                    <w:rPr>
                      <w:sz w:val="13"/>
                    </w:rPr>
                    <w:t>Before</w:t>
                  </w:r>
                  <w:r>
                    <w:rPr>
                      <w:position w:val="3"/>
                      <w:sz w:val="20"/>
                    </w:rPr>
                    <w:t>) </w:t>
                  </w:r>
                  <w:r>
                    <w:rPr>
                      <w:i/>
                      <w:sz w:val="13"/>
                    </w:rPr>
                    <w:t>i</w:t>
                  </w:r>
                  <w:r>
                    <w:rPr>
                      <w:position w:val="3"/>
                      <w:sz w:val="20"/>
                    </w:rPr>
                    <w:t>] ● CF</w:t>
                  </w:r>
                </w:p>
              </w:txbxContent>
            </v:textbox>
            <v:stroke dashstyle="solid"/>
            <w10:wrap type="topAndBottom"/>
          </v:shape>
        </w:pict>
      </w:r>
    </w:p>
    <w:p>
      <w:pPr>
        <w:pStyle w:val="BodyText"/>
        <w:spacing w:before="4"/>
        <w:ind w:left="219"/>
        <w:jc w:val="both"/>
      </w:pPr>
      <w:r>
        <w:rPr/>
        <w:t>Where:</w:t>
      </w:r>
    </w:p>
    <w:p>
      <w:pPr>
        <w:pStyle w:val="BodyText"/>
        <w:spacing w:line="225" w:lineRule="auto" w:before="127"/>
        <w:ind w:left="1976" w:right="354" w:hanging="1191"/>
      </w:pPr>
      <w:r>
        <w:rPr/>
        <w:t>∆C</w:t>
      </w:r>
      <w:r>
        <w:rPr>
          <w:vertAlign w:val="subscript"/>
        </w:rPr>
        <w:t>LWflood</w:t>
      </w:r>
      <w:r>
        <w:rPr>
          <w:position w:val="-8"/>
          <w:sz w:val="13"/>
          <w:vertAlign w:val="baseline"/>
        </w:rPr>
        <w:t>LB </w:t>
      </w:r>
      <w:r>
        <w:rPr>
          <w:vertAlign w:val="baseline"/>
        </w:rPr>
        <w:t>= annual change in carbon stocks in living biomass in land converted to flooded land, tonnes C yr</w:t>
      </w:r>
      <w:r>
        <w:rPr>
          <w:vertAlign w:val="superscript"/>
        </w:rPr>
        <w:t>-1</w:t>
      </w:r>
    </w:p>
    <w:p>
      <w:pPr>
        <w:pStyle w:val="BodyText"/>
        <w:spacing w:before="125"/>
        <w:ind w:left="785"/>
      </w:pPr>
      <w:r>
        <w:rPr/>
        <w:t>A</w:t>
      </w:r>
      <w:r>
        <w:rPr>
          <w:i/>
          <w:vertAlign w:val="subscript"/>
        </w:rPr>
        <w:t>i</w:t>
      </w:r>
      <w:r>
        <w:rPr>
          <w:i/>
          <w:vertAlign w:val="baseline"/>
        </w:rPr>
        <w:t> </w:t>
      </w:r>
      <w:r>
        <w:rPr>
          <w:vertAlign w:val="baseline"/>
        </w:rPr>
        <w:t>= area of land converted annually to flooded land from original land use </w:t>
      </w:r>
      <w:r>
        <w:rPr>
          <w:i/>
          <w:vertAlign w:val="baseline"/>
        </w:rPr>
        <w:t>i</w:t>
      </w:r>
      <w:r>
        <w:rPr>
          <w:vertAlign w:val="baseline"/>
        </w:rPr>
        <w:t>, ha yr</w:t>
      </w:r>
      <w:r>
        <w:rPr>
          <w:vertAlign w:val="superscript"/>
        </w:rPr>
        <w:t>-1</w:t>
      </w:r>
    </w:p>
    <w:p>
      <w:pPr>
        <w:pStyle w:val="BodyText"/>
        <w:spacing w:before="120"/>
        <w:ind w:left="785"/>
      </w:pPr>
      <w:r>
        <w:rPr/>
        <w:t>B</w:t>
      </w:r>
      <w:r>
        <w:rPr>
          <w:vertAlign w:val="subscript"/>
        </w:rPr>
        <w:t>Before</w:t>
      </w:r>
      <w:r>
        <w:rPr>
          <w:vertAlign w:val="baseline"/>
        </w:rPr>
        <w:t> = living biomass in land immediately before conversion to flooded land, tonnes d.m. ha</w:t>
      </w:r>
      <w:r>
        <w:rPr>
          <w:vertAlign w:val="superscript"/>
        </w:rPr>
        <w:t>-1</w:t>
      </w:r>
    </w:p>
    <w:p>
      <w:pPr>
        <w:pStyle w:val="BodyText"/>
        <w:spacing w:line="362" w:lineRule="auto" w:before="121"/>
        <w:ind w:left="785" w:right="470"/>
      </w:pPr>
      <w:r>
        <w:rPr/>
        <w:t>B</w:t>
      </w:r>
      <w:r>
        <w:rPr>
          <w:vertAlign w:val="subscript"/>
        </w:rPr>
        <w:t>After</w:t>
      </w:r>
      <w:r>
        <w:rPr>
          <w:vertAlign w:val="baseline"/>
        </w:rPr>
        <w:t> = living biomass immediately following conversion to flooded land, tonnes d.m. ha</w:t>
      </w:r>
      <w:r>
        <w:rPr>
          <w:vertAlign w:val="superscript"/>
        </w:rPr>
        <w:t>-1</w:t>
      </w:r>
      <w:r>
        <w:rPr>
          <w:vertAlign w:val="baseline"/>
        </w:rPr>
        <w:t> (default = 0) CF = carbon fraction of dry matter (default = 0.5), tonnes C (tonnes d.m.)</w:t>
      </w:r>
      <w:r>
        <w:rPr>
          <w:vertAlign w:val="superscript"/>
        </w:rPr>
        <w:t>-1</w:t>
      </w:r>
    </w:p>
    <w:p>
      <w:pPr>
        <w:pStyle w:val="BodyText"/>
        <w:spacing w:before="9"/>
        <w:rPr>
          <w:sz w:val="30"/>
        </w:rPr>
      </w:pPr>
    </w:p>
    <w:p>
      <w:pPr>
        <w:pStyle w:val="BodyText"/>
        <w:ind w:left="219" w:right="267"/>
        <w:jc w:val="both"/>
      </w:pPr>
      <w:r>
        <w:rPr/>
        <w:t>In actuality, it is possible that the carbon remaining on the converted land prior to flooding may be emitted over several years after flooding. Under Tier 2, this emission process can be modelled. Countries will need to develop country-specific emission factors and can refer to the discussion of ongoing emissions from flooded land remaining flooded land in Appendix 3a.3 for general guidance on how to implement such a method.</w:t>
      </w:r>
    </w:p>
    <w:p>
      <w:pPr>
        <w:pStyle w:val="BodyText"/>
        <w:spacing w:before="119"/>
        <w:ind w:left="219" w:right="268"/>
        <w:jc w:val="both"/>
      </w:pPr>
      <w:r>
        <w:rPr/>
        <w:t>No guidance is provided on carbon stock changes from soils due to land conversion to flooded land at this time. Emissions of non-CO</w:t>
      </w:r>
      <w:r>
        <w:rPr>
          <w:vertAlign w:val="subscript"/>
        </w:rPr>
        <w:t>2</w:t>
      </w:r>
      <w:r>
        <w:rPr>
          <w:vertAlign w:val="baseline"/>
        </w:rPr>
        <w:t> gases from land converted to flooded land are covered in Appendix 3a.3.</w:t>
      </w:r>
    </w:p>
    <w:p>
      <w:pPr>
        <w:pStyle w:val="BodyText"/>
        <w:rPr>
          <w:sz w:val="24"/>
        </w:rPr>
      </w:pPr>
    </w:p>
    <w:p>
      <w:pPr>
        <w:pStyle w:val="Heading2"/>
        <w:numPr>
          <w:ilvl w:val="2"/>
          <w:numId w:val="77"/>
        </w:numPr>
        <w:tabs>
          <w:tab w:pos="1422" w:val="left" w:leader="none"/>
        </w:tabs>
        <w:spacing w:line="240" w:lineRule="auto" w:before="208" w:after="0"/>
        <w:ind w:left="1421" w:right="0" w:hanging="1202"/>
        <w:jc w:val="both"/>
      </w:pPr>
      <w:r>
        <w:rPr>
          <w:spacing w:val="9"/>
        </w:rPr>
        <w:t>Completeness</w:t>
      </w:r>
    </w:p>
    <w:p>
      <w:pPr>
        <w:pStyle w:val="BodyText"/>
        <w:spacing w:before="114"/>
        <w:ind w:left="219" w:right="265"/>
        <w:jc w:val="both"/>
      </w:pPr>
      <w:r>
        <w:rPr/>
        <w:t>A complete estimate of emissions from land converted to wetlands should include all land converted to either peat extraction or flooded land. For organic soils managed for peat extraction, a complete inventory should cover all land converted to industrial peatlands. It should be consistent with a complete inventory of all industrial peatlands including abandoned peat mining areas in which drainage is still active, and areas drained for future peat extraction, but omitting areas reverting to wetland status.</w:t>
      </w:r>
    </w:p>
    <w:p>
      <w:pPr>
        <w:pStyle w:val="BodyText"/>
        <w:rPr>
          <w:sz w:val="22"/>
        </w:rPr>
      </w:pPr>
    </w:p>
    <w:p>
      <w:pPr>
        <w:pStyle w:val="BodyText"/>
        <w:spacing w:before="2"/>
      </w:pPr>
    </w:p>
    <w:p>
      <w:pPr>
        <w:pStyle w:val="Heading2"/>
        <w:numPr>
          <w:ilvl w:val="2"/>
          <w:numId w:val="77"/>
        </w:numPr>
        <w:tabs>
          <w:tab w:pos="1422" w:val="left" w:leader="none"/>
        </w:tabs>
        <w:spacing w:line="240" w:lineRule="auto" w:before="0" w:after="0"/>
        <w:ind w:left="1421" w:right="0" w:hanging="1202"/>
        <w:jc w:val="both"/>
      </w:pPr>
      <w:r>
        <w:rPr>
          <w:spacing w:val="8"/>
        </w:rPr>
        <w:t>Developing </w:t>
      </w:r>
      <w:r>
        <w:rPr/>
        <w:t>a </w:t>
      </w:r>
      <w:r>
        <w:rPr>
          <w:spacing w:val="8"/>
        </w:rPr>
        <w:t>Consistent </w:t>
      </w:r>
      <w:r>
        <w:rPr>
          <w:spacing w:val="7"/>
        </w:rPr>
        <w:t>Time</w:t>
      </w:r>
      <w:r>
        <w:rPr>
          <w:spacing w:val="64"/>
        </w:rPr>
        <w:t> </w:t>
      </w:r>
      <w:r>
        <w:rPr>
          <w:spacing w:val="9"/>
        </w:rPr>
        <w:t>Series</w:t>
      </w:r>
    </w:p>
    <w:p>
      <w:pPr>
        <w:pStyle w:val="BodyText"/>
        <w:spacing w:before="114"/>
        <w:ind w:left="219" w:right="263"/>
        <w:jc w:val="both"/>
      </w:pPr>
      <w:r>
        <w:rPr/>
        <w:t>General guidance on consistency in time series can be found in Section 5.6 (Time Series Consistency and Recalculation). The emission estimation method should be applied consistently to every year in the time series, at the same level of disaggregation. Moreover, when country-specific data are used, national inventories agency should use same measurements protocol (sampling strategy, method, etc.) over time, following the guidance in Section 5.3, Sampling. If it is not possible to use the same method or measurement protocol throughout the time series, the guidance on recalculation in Chapter 5 should be</w:t>
      </w:r>
      <w:r>
        <w:rPr>
          <w:spacing w:val="-4"/>
        </w:rPr>
        <w:t> </w:t>
      </w:r>
      <w:r>
        <w:rPr/>
        <w:t>followed.</w:t>
      </w:r>
    </w:p>
    <w:p>
      <w:pPr>
        <w:pStyle w:val="BodyText"/>
        <w:spacing w:before="120"/>
        <w:ind w:left="219" w:right="214"/>
        <w:jc w:val="both"/>
      </w:pPr>
      <w:r>
        <w:rPr/>
        <w:t>The area of organic soils converted to peat extraction may need to be interpolated for longer time series or trends. If this is required, consistency checks should be made (i.e., by contacting peat-mining companies), to gather temporal information about areas affected by former or future peat extraction. Differences in greenhouse gas emissions between inventory years should be explained, e.g. by demonstrating changes in areas of industrial peatlands or by updated emission factors.</w:t>
      </w:r>
    </w:p>
    <w:p>
      <w:pPr>
        <w:spacing w:after="0"/>
        <w:jc w:val="both"/>
        <w:sectPr>
          <w:footerReference w:type="default" r:id="rId157"/>
          <w:footerReference w:type="even" r:id="rId158"/>
          <w:pgSz w:w="11900" w:h="16840"/>
          <w:pgMar w:footer="408" w:header="230" w:top="560" w:bottom="600" w:left="1200" w:right="1140"/>
        </w:sectPr>
      </w:pPr>
    </w:p>
    <w:p>
      <w:pPr>
        <w:pStyle w:val="BodyText"/>
      </w:pPr>
    </w:p>
    <w:p>
      <w:pPr>
        <w:pStyle w:val="Heading2"/>
        <w:numPr>
          <w:ilvl w:val="2"/>
          <w:numId w:val="77"/>
        </w:numPr>
        <w:tabs>
          <w:tab w:pos="1422" w:val="left" w:leader="none"/>
        </w:tabs>
        <w:spacing w:line="240" w:lineRule="auto" w:before="215" w:after="0"/>
        <w:ind w:left="1421" w:right="0" w:hanging="1202"/>
        <w:jc w:val="both"/>
      </w:pPr>
      <w:r>
        <w:rPr>
          <w:spacing w:val="8"/>
        </w:rPr>
        <w:t>Reporting </w:t>
      </w:r>
      <w:r>
        <w:rPr>
          <w:spacing w:val="6"/>
        </w:rPr>
        <w:t>and</w:t>
      </w:r>
      <w:r>
        <w:rPr>
          <w:spacing w:val="31"/>
        </w:rPr>
        <w:t> </w:t>
      </w:r>
      <w:r>
        <w:rPr>
          <w:spacing w:val="9"/>
        </w:rPr>
        <w:t>Documentation</w:t>
      </w:r>
    </w:p>
    <w:p>
      <w:pPr>
        <w:pStyle w:val="BodyText"/>
        <w:spacing w:before="116"/>
        <w:ind w:left="219" w:right="265"/>
        <w:jc w:val="both"/>
      </w:pPr>
      <w:r>
        <w:rPr/>
        <w:t>It is appropriate to document and archive all information required to produce the national emissions / removals inventory estimates as outlined in Chapter 5 of this report subject to the following specific considerations. Emissions from land converted to peat extraction or flooding have not been explicitly mentioned in the </w:t>
      </w:r>
      <w:r>
        <w:rPr>
          <w:i/>
        </w:rPr>
        <w:t>IPCC Guidelines</w:t>
      </w:r>
      <w:r>
        <w:rPr/>
        <w:t>. They can be reported in using the reporting tables in Annex 3A.2.</w:t>
      </w:r>
    </w:p>
    <w:p>
      <w:pPr>
        <w:pStyle w:val="BodyText"/>
        <w:spacing w:before="119"/>
        <w:ind w:left="219" w:right="265"/>
        <w:jc w:val="both"/>
      </w:pPr>
      <w:r>
        <w:rPr>
          <w:b/>
        </w:rPr>
        <w:t>Emission factors: </w:t>
      </w:r>
      <w:r>
        <w:rPr/>
        <w:t>Since the literature data are so sparse, the scientific basis of new determinations of emission factors, parameters and models should be completely described and documented. This includes defining the  input parameters and describing the process by which the emission factors, parameters and models were derived, as well as describing sources of</w:t>
      </w:r>
      <w:r>
        <w:rPr>
          <w:spacing w:val="-2"/>
        </w:rPr>
        <w:t> </w:t>
      </w:r>
      <w:r>
        <w:rPr/>
        <w:t>uncertainties.</w:t>
      </w:r>
    </w:p>
    <w:p>
      <w:pPr>
        <w:pStyle w:val="BodyText"/>
        <w:spacing w:before="119"/>
        <w:ind w:left="219" w:right="265"/>
        <w:jc w:val="both"/>
      </w:pPr>
      <w:r>
        <w:rPr>
          <w:b/>
        </w:rPr>
        <w:t>Activity data: </w:t>
      </w:r>
      <w:r>
        <w:rPr/>
        <w:t>Sources of all activity data used in the calculations (data sources, databases and soil map references) should be recorded, plus (subject to any confidentiality considerations) the communication with companies dealing with peat extraction. This documentation should cover the frequency of data collection and estimation, and estimates of accuracy and precision, and reasons for significant changes in emission levels.</w:t>
      </w:r>
    </w:p>
    <w:p>
      <w:pPr>
        <w:pStyle w:val="BodyText"/>
        <w:spacing w:before="120"/>
        <w:ind w:left="219" w:right="265"/>
        <w:jc w:val="both"/>
      </w:pPr>
      <w:r>
        <w:rPr>
          <w:b/>
        </w:rPr>
        <w:t>Emission results: </w:t>
      </w:r>
      <w:r>
        <w:rPr/>
        <w:t>Significant fluctuations in emissions between years should be explained. A distinction should be made between changes in activity levels and changes in emission factors, parameters and methods from year to year, and the reasons for these changes documented. If different emission factors, parameters and methods are used for different years, the reasons for this should be explained and</w:t>
      </w:r>
      <w:r>
        <w:rPr>
          <w:spacing w:val="6"/>
        </w:rPr>
        <w:t> </w:t>
      </w:r>
      <w:r>
        <w:rPr/>
        <w:t>documented.</w:t>
      </w:r>
    </w:p>
    <w:p>
      <w:pPr>
        <w:pStyle w:val="BodyText"/>
        <w:rPr>
          <w:sz w:val="22"/>
        </w:rPr>
      </w:pPr>
    </w:p>
    <w:p>
      <w:pPr>
        <w:pStyle w:val="BodyText"/>
        <w:spacing w:before="1"/>
      </w:pPr>
    </w:p>
    <w:p>
      <w:pPr>
        <w:pStyle w:val="Heading2"/>
        <w:numPr>
          <w:ilvl w:val="2"/>
          <w:numId w:val="77"/>
        </w:numPr>
        <w:tabs>
          <w:tab w:pos="1421" w:val="left" w:leader="none"/>
          <w:tab w:pos="1422" w:val="left" w:leader="none"/>
        </w:tabs>
        <w:spacing w:line="240" w:lineRule="auto" w:before="0" w:after="0"/>
        <w:ind w:left="1421" w:right="1476" w:hanging="1202"/>
        <w:jc w:val="left"/>
      </w:pPr>
      <w:r>
        <w:rPr>
          <w:spacing w:val="8"/>
        </w:rPr>
        <w:t>Inventory </w:t>
      </w:r>
      <w:r>
        <w:rPr>
          <w:spacing w:val="7"/>
        </w:rPr>
        <w:t>Quality </w:t>
      </w:r>
      <w:r>
        <w:rPr>
          <w:spacing w:val="9"/>
        </w:rPr>
        <w:t>Assurance/Quality </w:t>
      </w:r>
      <w:r>
        <w:rPr>
          <w:spacing w:val="10"/>
        </w:rPr>
        <w:t>Control </w:t>
      </w:r>
      <w:r>
        <w:rPr>
          <w:spacing w:val="8"/>
        </w:rPr>
        <w:t>(QA/QC)</w:t>
      </w:r>
    </w:p>
    <w:p>
      <w:pPr>
        <w:pStyle w:val="BodyText"/>
        <w:spacing w:before="113"/>
        <w:ind w:left="219" w:right="266"/>
        <w:jc w:val="both"/>
      </w:pPr>
      <w:r>
        <w:rPr/>
        <w:t>It is appropriate to implement quality assurance/quality control (QA/QC) checks as outlined in Chapter 5 (Section 5.5) of this report, and to conduct expert review of the emission estimates. Given the shortage of data, these reviews should be conducted regularly to take account of new research findings. Additional quality control checks, as outlined in Tier 2 procedures in Chapter 8, QA/QC, of </w:t>
      </w:r>
      <w:r>
        <w:rPr>
          <w:i/>
        </w:rPr>
        <w:t>GPG2000</w:t>
      </w:r>
      <w:r>
        <w:rPr/>
        <w:t>, and quality assurance procedures may also be applicable, particularly if higher tier methods are used to quantify emissions from this source category. Where country-specific emission factors are used, they should be based on high quality experimental data, developed using a </w:t>
      </w:r>
      <w:r>
        <w:rPr>
          <w:i/>
        </w:rPr>
        <w:t>good practice </w:t>
      </w:r>
      <w:r>
        <w:rPr/>
        <w:t>measurement programme, and be adequately</w:t>
      </w:r>
      <w:r>
        <w:rPr>
          <w:spacing w:val="-10"/>
        </w:rPr>
        <w:t> </w:t>
      </w:r>
      <w:r>
        <w:rPr/>
        <w:t>documented.</w:t>
      </w:r>
    </w:p>
    <w:p>
      <w:pPr>
        <w:pStyle w:val="BodyText"/>
        <w:spacing w:before="118"/>
        <w:ind w:left="219" w:right="266"/>
        <w:jc w:val="both"/>
      </w:pPr>
      <w:r>
        <w:rPr/>
        <w:t>It is, at present, not possible to cross-check emissions estimates from organic soils managed for peat extraction with other measurement methods. However, the inventory agency should ensure that emission estimates undergo quality control</w:t>
      </w:r>
      <w:r>
        <w:rPr>
          <w:spacing w:val="-5"/>
        </w:rPr>
        <w:t> </w:t>
      </w:r>
      <w:r>
        <w:rPr/>
        <w:t>by:</w:t>
      </w:r>
    </w:p>
    <w:p>
      <w:pPr>
        <w:pStyle w:val="BodyText"/>
        <w:tabs>
          <w:tab w:pos="579" w:val="left" w:leader="none"/>
        </w:tabs>
        <w:spacing w:line="223" w:lineRule="auto" w:before="148"/>
        <w:ind w:left="576" w:right="354" w:hanging="358"/>
      </w:pPr>
      <w:r>
        <w:rPr>
          <w:rFonts w:ascii="Symbol" w:hAnsi="Symbol"/>
        </w:rPr>
        <w:t>•</w:t>
        <w:tab/>
        <w:tab/>
      </w:r>
      <w:r>
        <w:rPr/>
        <w:t>Cross-referencing reported country-specific emissions factors with default values and data from other countries;</w:t>
      </w:r>
      <w:r>
        <w:rPr>
          <w:spacing w:val="-1"/>
        </w:rPr>
        <w:t> </w:t>
      </w:r>
      <w:r>
        <w:rPr/>
        <w:t>and</w:t>
      </w:r>
    </w:p>
    <w:p>
      <w:pPr>
        <w:pStyle w:val="BodyText"/>
        <w:tabs>
          <w:tab w:pos="579" w:val="left" w:leader="none"/>
        </w:tabs>
        <w:spacing w:line="223" w:lineRule="auto" w:before="149"/>
        <w:ind w:left="576" w:right="354" w:hanging="358"/>
      </w:pPr>
      <w:r>
        <w:rPr>
          <w:rFonts w:ascii="Symbol" w:hAnsi="Symbol"/>
        </w:rPr>
        <w:t>•</w:t>
        <w:tab/>
        <w:tab/>
      </w:r>
      <w:r>
        <w:rPr/>
        <w:t>Check plausibility by cross-referencing areas of organic soils managed for peat extraction with data of peat industries and peat</w:t>
      </w:r>
      <w:r>
        <w:rPr>
          <w:spacing w:val="-1"/>
        </w:rPr>
        <w:t> </w:t>
      </w:r>
      <w:r>
        <w:rPr/>
        <w:t>production.</w:t>
      </w:r>
    </w:p>
    <w:p>
      <w:pPr>
        <w:spacing w:after="0" w:line="223" w:lineRule="auto"/>
        <w:sectPr>
          <w:pgSz w:w="11900" w:h="16840"/>
          <w:pgMar w:header="230" w:footer="408" w:top="560" w:bottom="600" w:left="1200" w:right="1140"/>
        </w:sectPr>
      </w:pPr>
    </w:p>
    <w:p>
      <w:pPr>
        <w:pStyle w:val="BodyText"/>
        <w:spacing w:before="4"/>
        <w:rPr>
          <w:sz w:val="17"/>
        </w:rPr>
      </w:pPr>
    </w:p>
    <w:p>
      <w:pPr>
        <w:spacing w:after="0"/>
        <w:rPr>
          <w:sz w:val="17"/>
        </w:rPr>
        <w:sectPr>
          <w:headerReference w:type="default" r:id="rId159"/>
          <w:footerReference w:type="default" r:id="rId160"/>
          <w:pgSz w:w="11900" w:h="16840"/>
          <w:pgMar w:header="0" w:footer="0" w:top="1600" w:bottom="280" w:left="1200" w:right="1140"/>
        </w:sectPr>
      </w:pPr>
    </w:p>
    <w:p>
      <w:pPr>
        <w:pStyle w:val="BodyText"/>
        <w:spacing w:before="61"/>
        <w:ind w:right="267"/>
        <w:jc w:val="right"/>
      </w:pPr>
      <w:r>
        <w:rPr/>
        <w:pict>
          <v:line style="position:absolute;mso-position-horizontal-relative:page;mso-position-vertical-relative:paragraph;z-index:10856;mso-wrap-distance-left:0;mso-wrap-distance-right:0" from="70.960999pt,20.306219pt" to="524.440999pt,20.306219pt" stroked="true" strokeweight=".75pt" strokecolor="#010101">
            <v:stroke dashstyle="solid"/>
            <w10:wrap type="topAndBottom"/>
          </v:line>
        </w:pict>
      </w:r>
      <w:r>
        <w:rPr/>
        <w:t>Settlements</w:t>
      </w:r>
    </w:p>
    <w:p>
      <w:pPr>
        <w:pStyle w:val="BodyText"/>
      </w:pPr>
    </w:p>
    <w:p>
      <w:pPr>
        <w:pStyle w:val="BodyText"/>
        <w:spacing w:before="6"/>
        <w:rPr>
          <w:sz w:val="29"/>
        </w:rPr>
      </w:pPr>
    </w:p>
    <w:p>
      <w:pPr>
        <w:pStyle w:val="Heading2"/>
        <w:numPr>
          <w:ilvl w:val="1"/>
          <w:numId w:val="78"/>
        </w:numPr>
        <w:tabs>
          <w:tab w:pos="1422" w:val="left" w:leader="none"/>
        </w:tabs>
        <w:spacing w:line="240" w:lineRule="auto" w:before="86" w:after="0"/>
        <w:ind w:left="1421" w:right="0" w:hanging="1202"/>
        <w:jc w:val="both"/>
      </w:pPr>
      <w:r>
        <w:rPr>
          <w:spacing w:val="18"/>
        </w:rPr>
        <w:t>SETTLEMENTS</w:t>
      </w:r>
    </w:p>
    <w:p>
      <w:pPr>
        <w:pStyle w:val="BodyText"/>
        <w:spacing w:before="176"/>
        <w:ind w:left="219" w:right="264"/>
        <w:jc w:val="both"/>
      </w:pPr>
      <w:r>
        <w:rPr/>
        <w:t>This land-use category is described in Chapter 2 as including all developed land, including transportation infrastructure and human settlements of any size, unless they are already included under other land-use categories. In this chapter, the focus of settlements is on the terrestrial components of developed land that are managed and may influence CO</w:t>
      </w:r>
      <w:r>
        <w:rPr>
          <w:vertAlign w:val="subscript"/>
        </w:rPr>
        <w:t>2</w:t>
      </w:r>
      <w:r>
        <w:rPr>
          <w:vertAlign w:val="baseline"/>
        </w:rPr>
        <w:t> fluxes between the atmosphere and terrestrial carbon pools. In this context, the land-use category “Settlements” includes all classes of urban tree formations, namely: trees grown along streets, in public and private gardens, and in different kinds of parks, provided such trees are functionally or administratively associated to cities, villages, etc. While dead organic matter and soil carbon pools may also be sources or sinks of CO</w:t>
      </w:r>
      <w:r>
        <w:rPr>
          <w:vertAlign w:val="subscript"/>
        </w:rPr>
        <w:t>2</w:t>
      </w:r>
      <w:r>
        <w:rPr>
          <w:vertAlign w:val="baseline"/>
        </w:rPr>
        <w:t> in settlements and CH</w:t>
      </w:r>
      <w:r>
        <w:rPr>
          <w:vertAlign w:val="subscript"/>
        </w:rPr>
        <w:t>4</w:t>
      </w:r>
      <w:r>
        <w:rPr>
          <w:vertAlign w:val="baseline"/>
        </w:rPr>
        <w:t> and N</w:t>
      </w:r>
      <w:r>
        <w:rPr>
          <w:vertAlign w:val="subscript"/>
        </w:rPr>
        <w:t>2</w:t>
      </w:r>
      <w:r>
        <w:rPr>
          <w:vertAlign w:val="baseline"/>
        </w:rPr>
        <w:t>O emissions may result from urban land management practices, little is known about the role and magnitude of these pools in overall greenhouse gas fluxes. Therefore, the focus of the methodological discussions is on the subcategory of change in carbon stocks in living biomass, where some research has been conducted (Nowak 1996, 2002).</w:t>
      </w:r>
    </w:p>
    <w:p>
      <w:pPr>
        <w:pStyle w:val="BodyText"/>
        <w:spacing w:before="120"/>
        <w:ind w:left="219" w:right="265"/>
        <w:jc w:val="both"/>
      </w:pPr>
      <w:r>
        <w:rPr/>
        <w:t>Change in carbon stocks in living biomass in “Settlements” can be estimated in two parts: “Settlements Remaining Settlements (SS)” and “Land Converted to Settlements (LS)”. The latter part may be an important component of national estimates of deforestation (or other nationally important land-use conversions). Therefore, brief guidance is provided below on estimating change in carbon stocks due to conversion of forest land to settlements. Only living biomass is addressed in this section.</w:t>
      </w:r>
    </w:p>
    <w:p>
      <w:pPr>
        <w:pStyle w:val="BodyText"/>
        <w:rPr>
          <w:sz w:val="22"/>
        </w:rPr>
      </w:pPr>
    </w:p>
    <w:p>
      <w:pPr>
        <w:pStyle w:val="BodyText"/>
        <w:spacing w:before="2"/>
      </w:pPr>
    </w:p>
    <w:p>
      <w:pPr>
        <w:pStyle w:val="Heading2"/>
        <w:numPr>
          <w:ilvl w:val="2"/>
          <w:numId w:val="78"/>
        </w:numPr>
        <w:tabs>
          <w:tab w:pos="1422" w:val="left" w:leader="none"/>
        </w:tabs>
        <w:spacing w:line="240" w:lineRule="auto" w:before="0" w:after="0"/>
        <w:ind w:left="1421" w:right="0" w:hanging="1202"/>
        <w:jc w:val="both"/>
      </w:pPr>
      <w:r>
        <w:rPr>
          <w:spacing w:val="8"/>
        </w:rPr>
        <w:t>Settlements Remaining</w:t>
      </w:r>
      <w:r>
        <w:rPr>
          <w:spacing w:val="32"/>
        </w:rPr>
        <w:t> </w:t>
      </w:r>
      <w:r>
        <w:rPr>
          <w:spacing w:val="9"/>
        </w:rPr>
        <w:t>Settlements</w:t>
      </w:r>
    </w:p>
    <w:p>
      <w:pPr>
        <w:pStyle w:val="BodyText"/>
        <w:spacing w:before="114"/>
        <w:ind w:left="219" w:right="268"/>
        <w:jc w:val="both"/>
      </w:pPr>
      <w:r>
        <w:rPr/>
        <w:t>A basic method for estimating CO</w:t>
      </w:r>
      <w:r>
        <w:rPr>
          <w:vertAlign w:val="subscript"/>
        </w:rPr>
        <w:t>2</w:t>
      </w:r>
      <w:r>
        <w:rPr>
          <w:vertAlign w:val="baseline"/>
        </w:rPr>
        <w:t> emissions and removals in settlements remaining settlements is provided in Appendix 3a.4 because the methods and available default data for this land-use conversion are preliminary. Countries with data on dead wood, soil carbon, and non-CO</w:t>
      </w:r>
      <w:r>
        <w:rPr>
          <w:vertAlign w:val="subscript"/>
        </w:rPr>
        <w:t>2</w:t>
      </w:r>
      <w:r>
        <w:rPr>
          <w:vertAlign w:val="baseline"/>
        </w:rPr>
        <w:t> gases in settlements are encouraged to report this information as well.</w:t>
      </w:r>
    </w:p>
    <w:p>
      <w:pPr>
        <w:pStyle w:val="BodyText"/>
        <w:rPr>
          <w:sz w:val="22"/>
        </w:rPr>
      </w:pPr>
    </w:p>
    <w:p>
      <w:pPr>
        <w:pStyle w:val="BodyText"/>
        <w:spacing w:before="1"/>
      </w:pPr>
    </w:p>
    <w:p>
      <w:pPr>
        <w:pStyle w:val="Heading2"/>
        <w:numPr>
          <w:ilvl w:val="2"/>
          <w:numId w:val="78"/>
        </w:numPr>
        <w:tabs>
          <w:tab w:pos="1422" w:val="left" w:leader="none"/>
        </w:tabs>
        <w:spacing w:line="240" w:lineRule="auto" w:before="0" w:after="0"/>
        <w:ind w:left="1421" w:right="0" w:hanging="1202"/>
        <w:jc w:val="both"/>
      </w:pPr>
      <w:r>
        <w:rPr>
          <w:spacing w:val="7"/>
        </w:rPr>
        <w:t>Land </w:t>
      </w:r>
      <w:r>
        <w:rPr>
          <w:spacing w:val="8"/>
        </w:rPr>
        <w:t>Converted </w:t>
      </w:r>
      <w:r>
        <w:rPr>
          <w:spacing w:val="4"/>
        </w:rPr>
        <w:t>to</w:t>
      </w:r>
      <w:r>
        <w:rPr>
          <w:spacing w:val="46"/>
        </w:rPr>
        <w:t> </w:t>
      </w:r>
      <w:r>
        <w:rPr>
          <w:spacing w:val="9"/>
        </w:rPr>
        <w:t>Settlements</w:t>
      </w:r>
    </w:p>
    <w:p>
      <w:pPr>
        <w:pStyle w:val="BodyText"/>
        <w:spacing w:before="116"/>
        <w:ind w:left="219" w:right="265"/>
        <w:jc w:val="both"/>
      </w:pPr>
      <w:r>
        <w:rPr/>
        <w:t>The fundamental equation for estimating change in carbon stocks associated with land-use conversions has been explained in other sections of this chapter, namely Sections 3.2.2, 3.3.2 and 3.4.2 with regard to land converted to forest land, cropland and grassland, respectively. The same decision tree (see Figure 3.1.2) and the same basic method can be applied to estimate change in carbon stocks in forest land converted to settlements, following Equation</w:t>
      </w:r>
      <w:r>
        <w:rPr>
          <w:spacing w:val="-2"/>
        </w:rPr>
        <w:t> </w:t>
      </w:r>
      <w:r>
        <w:rPr/>
        <w:t>3.6.1.</w:t>
      </w:r>
    </w:p>
    <w:p>
      <w:pPr>
        <w:pStyle w:val="BodyText"/>
        <w:spacing w:before="3"/>
        <w:rPr>
          <w:sz w:val="13"/>
        </w:rPr>
      </w:pPr>
    </w:p>
    <w:p>
      <w:pPr>
        <w:pStyle w:val="BodyText"/>
        <w:ind w:left="624"/>
      </w:pPr>
      <w:r>
        <w:rPr/>
        <w:pict>
          <v:group style="width:412.95pt;height:66.6pt;mso-position-horizontal-relative:char;mso-position-vertical-relative:line" coordorigin="0,0" coordsize="8259,1332">
            <v:line style="position:absolute" from="29,14" to="8230,14" stroked="true" strokeweight="1.44pt" strokecolor="#000000">
              <v:stroke dashstyle="solid"/>
            </v:line>
            <v:line style="position:absolute" from="29,1318" to="8230,1318" stroked="true" strokeweight="1.44pt" strokecolor="#000000">
              <v:stroke dashstyle="solid"/>
            </v:line>
            <v:line style="position:absolute" from="14,0" to="14,1332" stroked="true" strokeweight="1.44pt" strokecolor="#000000">
              <v:stroke dashstyle="solid"/>
            </v:line>
            <v:line style="position:absolute" from="8244,0" to="8244,1332" stroked="true" strokeweight="1.44pt" strokecolor="#000000">
              <v:stroke dashstyle="solid"/>
            </v:line>
            <v:shape style="position:absolute;left:3556;top:919;width:1776;height:237" type="#_x0000_t202" filled="false" stroked="false">
              <v:textbox inset="0,0,0,0">
                <w:txbxContent>
                  <w:p>
                    <w:pPr>
                      <w:spacing w:line="237" w:lineRule="exact" w:before="0"/>
                      <w:ind w:left="0" w:right="0" w:firstLine="0"/>
                      <w:jc w:val="left"/>
                      <w:rPr>
                        <w:sz w:val="20"/>
                      </w:rPr>
                    </w:pPr>
                    <w:r>
                      <w:rPr>
                        <w:position w:val="3"/>
                        <w:sz w:val="20"/>
                      </w:rPr>
                      <w:t>= A ● (C</w:t>
                    </w:r>
                    <w:r>
                      <w:rPr>
                        <w:sz w:val="13"/>
                      </w:rPr>
                      <w:t>After </w:t>
                    </w:r>
                    <w:r>
                      <w:rPr>
                        <w:position w:val="3"/>
                        <w:sz w:val="20"/>
                      </w:rPr>
                      <w:t>– C</w:t>
                    </w:r>
                    <w:r>
                      <w:rPr>
                        <w:sz w:val="13"/>
                      </w:rPr>
                      <w:t>Before</w:t>
                    </w:r>
                    <w:r>
                      <w:rPr>
                        <w:position w:val="3"/>
                        <w:sz w:val="20"/>
                      </w:rPr>
                      <w:t>)</w:t>
                    </w:r>
                  </w:p>
                </w:txbxContent>
              </v:textbox>
              <w10:wrap type="none"/>
            </v:shape>
            <v:shape style="position:absolute;left:3343;top:1072;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2942;top:895;width:424;height:261" type="#_x0000_t202" filled="false" stroked="false">
              <v:textbox inset="0,0,0,0">
                <w:txbxContent>
                  <w:p>
                    <w:pPr>
                      <w:spacing w:line="246" w:lineRule="exact" w:before="14"/>
                      <w:ind w:left="0" w:right="0" w:firstLine="0"/>
                      <w:jc w:val="left"/>
                      <w:rPr>
                        <w:sz w:val="20"/>
                      </w:rPr>
                    </w:pPr>
                    <w:r>
                      <w:rPr>
                        <w:rFonts w:ascii="Symbol" w:hAnsi="Symbol"/>
                        <w:w w:val="101"/>
                        <w:sz w:val="20"/>
                      </w:rPr>
                      <w:t>∆</w:t>
                    </w:r>
                    <w:r>
                      <w:rPr>
                        <w:spacing w:val="-1"/>
                        <w:w w:val="99"/>
                        <w:sz w:val="20"/>
                      </w:rPr>
                      <w:t>C</w:t>
                    </w:r>
                    <w:r>
                      <w:rPr>
                        <w:spacing w:val="2"/>
                        <w:w w:val="99"/>
                        <w:sz w:val="20"/>
                        <w:vertAlign w:val="subscript"/>
                      </w:rPr>
                      <w:t>FS</w:t>
                    </w:r>
                  </w:p>
                </w:txbxContent>
              </v:textbox>
              <w10:wrap type="none"/>
            </v:shape>
            <v:shape style="position:absolute;left:1768;top:136;width:4741;height:679" type="#_x0000_t202" filled="false" stroked="false">
              <v:textbox inset="0,0,0,0">
                <w:txbxContent>
                  <w:p>
                    <w:pPr>
                      <w:spacing w:line="221" w:lineRule="exact" w:before="0"/>
                      <w:ind w:left="0" w:right="17" w:firstLine="0"/>
                      <w:jc w:val="center"/>
                      <w:rPr>
                        <w:b/>
                        <w:sz w:val="20"/>
                      </w:rPr>
                    </w:pPr>
                    <w:r>
                      <w:rPr>
                        <w:b/>
                        <w:sz w:val="20"/>
                      </w:rPr>
                      <w:t>E</w:t>
                    </w:r>
                    <w:r>
                      <w:rPr>
                        <w:b/>
                        <w:sz w:val="16"/>
                      </w:rPr>
                      <w:t>QUATION </w:t>
                    </w:r>
                    <w:r>
                      <w:rPr>
                        <w:b/>
                        <w:sz w:val="20"/>
                      </w:rPr>
                      <w:t>3.6.1</w:t>
                    </w:r>
                  </w:p>
                  <w:p>
                    <w:pPr>
                      <w:spacing w:before="0"/>
                      <w:ind w:left="-1" w:right="18" w:firstLine="0"/>
                      <w:jc w:val="center"/>
                      <w:rPr>
                        <w:b/>
                        <w:sz w:val="20"/>
                      </w:rPr>
                    </w:pPr>
                    <w:r>
                      <w:rPr>
                        <w:b/>
                        <w:sz w:val="20"/>
                      </w:rPr>
                      <w:t>A</w:t>
                    </w:r>
                    <w:r>
                      <w:rPr>
                        <w:b/>
                        <w:sz w:val="16"/>
                      </w:rPr>
                      <w:t>NNUAL CHANGE IN CARBON STOCKS IN LIVING</w:t>
                    </w:r>
                    <w:r>
                      <w:rPr>
                        <w:b/>
                        <w:spacing w:val="-13"/>
                        <w:sz w:val="16"/>
                      </w:rPr>
                      <w:t> </w:t>
                    </w:r>
                    <w:r>
                      <w:rPr>
                        <w:b/>
                        <w:sz w:val="16"/>
                      </w:rPr>
                      <w:t>BIOMASS IN FOREST LAND CONVERTED TO SETTLEMENTS</w:t>
                    </w:r>
                    <w:r>
                      <w:rPr>
                        <w:b/>
                        <w:spacing w:val="-13"/>
                        <w:sz w:val="16"/>
                      </w:rPr>
                      <w:t> </w:t>
                    </w:r>
                    <w:r>
                      <w:rPr>
                        <w:b/>
                        <w:sz w:val="20"/>
                      </w:rPr>
                      <w:t>(FS)</w:t>
                    </w:r>
                  </w:p>
                </w:txbxContent>
              </v:textbox>
              <w10:wrap type="none"/>
            </v:shape>
          </v:group>
        </w:pict>
      </w:r>
      <w:r>
        <w:rPr/>
      </w:r>
    </w:p>
    <w:p>
      <w:pPr>
        <w:spacing w:after="0"/>
        <w:sectPr>
          <w:headerReference w:type="default" r:id="rId161"/>
          <w:footerReference w:type="default" r:id="rId162"/>
          <w:footerReference w:type="even" r:id="rId163"/>
          <w:pgSz w:w="11900" w:h="16840"/>
          <w:pgMar w:header="0" w:footer="408" w:top="160" w:bottom="600" w:left="1200" w:right="1140"/>
          <w:pgNumType w:start="143"/>
        </w:sectPr>
      </w:pPr>
    </w:p>
    <w:p>
      <w:pPr>
        <w:pStyle w:val="BodyText"/>
        <w:spacing w:before="1"/>
        <w:ind w:left="219"/>
      </w:pPr>
      <w:r>
        <w:rPr/>
        <w:t>Where:</w:t>
      </w:r>
    </w:p>
    <w:p>
      <w:pPr>
        <w:pStyle w:val="BodyText"/>
        <w:spacing w:before="135"/>
        <w:ind w:left="785"/>
      </w:pPr>
      <w:r>
        <w:rPr/>
        <w:pict>
          <v:shape style="position:absolute;margin-left:119.320412pt;margin-top:14.872028pt;width:8.0500pt;height:7.2pt;mso-position-horizontal-relative:page;mso-position-vertical-relative:paragraph;z-index:13048"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w w:val="101"/>
        </w:rPr>
        <w:t>∆</w:t>
      </w:r>
      <w:r>
        <w:rPr>
          <w:spacing w:val="-1"/>
          <w:w w:val="99"/>
        </w:rPr>
        <w:t>C</w:t>
      </w:r>
      <w:r>
        <w:rPr>
          <w:spacing w:val="2"/>
          <w:w w:val="99"/>
          <w:vertAlign w:val="subscript"/>
        </w:rPr>
        <w:t>FS</w:t>
      </w:r>
    </w:p>
    <w:p>
      <w:pPr>
        <w:pStyle w:val="BodyText"/>
        <w:spacing w:before="9"/>
        <w:rPr>
          <w:sz w:val="31"/>
        </w:rPr>
      </w:pPr>
      <w:r>
        <w:rPr/>
        <w:br w:type="column"/>
      </w:r>
      <w:r>
        <w:rPr>
          <w:sz w:val="31"/>
        </w:rPr>
      </w:r>
    </w:p>
    <w:p>
      <w:pPr>
        <w:pStyle w:val="BodyText"/>
        <w:spacing w:line="302" w:lineRule="auto"/>
        <w:ind w:left="351" w:right="256" w:hanging="180"/>
      </w:pPr>
      <w:r>
        <w:rPr/>
        <w:t>= annual change in carbon stocks in living biomass due to conversion of forest land to settlements, tonnes C yr</w:t>
      </w:r>
      <w:r>
        <w:rPr>
          <w:vertAlign w:val="superscript"/>
        </w:rPr>
        <w:t>-1</w:t>
      </w:r>
    </w:p>
    <w:p>
      <w:pPr>
        <w:spacing w:after="0" w:line="302" w:lineRule="auto"/>
        <w:sectPr>
          <w:type w:val="continuous"/>
          <w:pgSz w:w="11900" w:h="16840"/>
          <w:pgMar w:top="1060" w:bottom="280" w:left="1200" w:right="1140"/>
          <w:cols w:num="2" w:equalWidth="0">
            <w:col w:w="1189" w:space="40"/>
            <w:col w:w="8331"/>
          </w:cols>
        </w:sectPr>
      </w:pPr>
    </w:p>
    <w:p>
      <w:pPr>
        <w:pStyle w:val="BodyText"/>
        <w:spacing w:before="61"/>
        <w:ind w:left="785"/>
      </w:pPr>
      <w:r>
        <w:rPr/>
        <w:t>A = area of land converted annually from forest land to settlements, ha yr</w:t>
      </w:r>
      <w:r>
        <w:rPr>
          <w:vertAlign w:val="superscript"/>
        </w:rPr>
        <w:t>-1</w:t>
      </w:r>
    </w:p>
    <w:p>
      <w:pPr>
        <w:pStyle w:val="BodyText"/>
        <w:spacing w:line="350" w:lineRule="exact" w:before="25"/>
        <w:ind w:left="785" w:right="354"/>
      </w:pPr>
      <w:r>
        <w:rPr/>
        <w:t>C</w:t>
      </w:r>
      <w:r>
        <w:rPr>
          <w:vertAlign w:val="subscript"/>
        </w:rPr>
        <w:t>After</w:t>
      </w:r>
      <w:r>
        <w:rPr>
          <w:vertAlign w:val="baseline"/>
        </w:rPr>
        <w:t> = carbon stocks in living biomass immediately following conversion to settlements, tonnes C ha</w:t>
      </w:r>
      <w:r>
        <w:rPr>
          <w:vertAlign w:val="superscript"/>
        </w:rPr>
        <w:t>-1</w:t>
      </w:r>
      <w:r>
        <w:rPr>
          <w:vertAlign w:val="baseline"/>
        </w:rPr>
        <w:t> C</w:t>
      </w:r>
      <w:r>
        <w:rPr>
          <w:vertAlign w:val="subscript"/>
        </w:rPr>
        <w:t>Before</w:t>
      </w:r>
      <w:r>
        <w:rPr>
          <w:vertAlign w:val="baseline"/>
        </w:rPr>
        <w:t> = carbon stocks in living biomass in forest land immediately before conversion to settlements,</w:t>
      </w:r>
    </w:p>
    <w:p>
      <w:pPr>
        <w:pStyle w:val="BodyText"/>
        <w:spacing w:line="204" w:lineRule="exact"/>
        <w:ind w:left="1580"/>
      </w:pPr>
      <w:r>
        <w:rPr/>
        <w:t>tonnes C ha</w:t>
      </w:r>
      <w:r>
        <w:rPr>
          <w:vertAlign w:val="superscript"/>
        </w:rPr>
        <w:t>-1</w:t>
      </w:r>
    </w:p>
    <w:p>
      <w:pPr>
        <w:pStyle w:val="BodyText"/>
        <w:rPr>
          <w:sz w:val="24"/>
        </w:rPr>
      </w:pPr>
    </w:p>
    <w:p>
      <w:pPr>
        <w:pStyle w:val="BodyText"/>
        <w:spacing w:before="195"/>
        <w:ind w:left="219" w:right="261"/>
        <w:jc w:val="both"/>
      </w:pPr>
      <w:r>
        <w:rPr/>
        <w:t>This</w:t>
      </w:r>
      <w:r>
        <w:rPr>
          <w:spacing w:val="-4"/>
        </w:rPr>
        <w:t> </w:t>
      </w:r>
      <w:r>
        <w:rPr/>
        <w:t>method</w:t>
      </w:r>
      <w:r>
        <w:rPr>
          <w:spacing w:val="-4"/>
        </w:rPr>
        <w:t> </w:t>
      </w:r>
      <w:r>
        <w:rPr/>
        <w:t>follows</w:t>
      </w:r>
      <w:r>
        <w:rPr>
          <w:spacing w:val="-3"/>
        </w:rPr>
        <w:t> </w:t>
      </w:r>
      <w:r>
        <w:rPr/>
        <w:t>the</w:t>
      </w:r>
      <w:r>
        <w:rPr>
          <w:spacing w:val="-5"/>
        </w:rPr>
        <w:t> </w:t>
      </w:r>
      <w:r>
        <w:rPr/>
        <w:t>approach</w:t>
      </w:r>
      <w:r>
        <w:rPr>
          <w:spacing w:val="-6"/>
        </w:rPr>
        <w:t> </w:t>
      </w:r>
      <w:r>
        <w:rPr/>
        <w:t>in</w:t>
      </w:r>
      <w:r>
        <w:rPr>
          <w:spacing w:val="-6"/>
        </w:rPr>
        <w:t> </w:t>
      </w:r>
      <w:r>
        <w:rPr/>
        <w:t>the</w:t>
      </w:r>
      <w:r>
        <w:rPr>
          <w:spacing w:val="-6"/>
        </w:rPr>
        <w:t> </w:t>
      </w:r>
      <w:r>
        <w:rPr>
          <w:i/>
        </w:rPr>
        <w:t>IPCC</w:t>
      </w:r>
      <w:r>
        <w:rPr>
          <w:i/>
          <w:spacing w:val="-6"/>
        </w:rPr>
        <w:t> </w:t>
      </w:r>
      <w:r>
        <w:rPr>
          <w:i/>
          <w:spacing w:val="-3"/>
        </w:rPr>
        <w:t>Guidelines</w:t>
      </w:r>
      <w:r>
        <w:rPr>
          <w:i/>
          <w:spacing w:val="-6"/>
        </w:rPr>
        <w:t> </w:t>
      </w:r>
      <w:r>
        <w:rPr/>
        <w:t>(Section</w:t>
      </w:r>
      <w:r>
        <w:rPr>
          <w:spacing w:val="-7"/>
        </w:rPr>
        <w:t> </w:t>
      </w:r>
      <w:r>
        <w:rPr/>
        <w:t>5.2.3,</w:t>
      </w:r>
      <w:r>
        <w:rPr>
          <w:spacing w:val="-4"/>
        </w:rPr>
        <w:t> </w:t>
      </w:r>
      <w:r>
        <w:rPr>
          <w:spacing w:val="-3"/>
        </w:rPr>
        <w:t>Forest</w:t>
      </w:r>
      <w:r>
        <w:rPr>
          <w:spacing w:val="-5"/>
        </w:rPr>
        <w:t> </w:t>
      </w:r>
      <w:r>
        <w:rPr/>
        <w:t>and</w:t>
      </w:r>
      <w:r>
        <w:rPr>
          <w:spacing w:val="-5"/>
        </w:rPr>
        <w:t> </w:t>
      </w:r>
      <w:r>
        <w:rPr>
          <w:spacing w:val="-2"/>
        </w:rPr>
        <w:t>Grassland</w:t>
      </w:r>
      <w:r>
        <w:rPr>
          <w:spacing w:val="-5"/>
        </w:rPr>
        <w:t> </w:t>
      </w:r>
      <w:r>
        <w:rPr/>
        <w:t>Conversion)</w:t>
      </w:r>
      <w:r>
        <w:rPr>
          <w:spacing w:val="-1"/>
        </w:rPr>
        <w:t> </w:t>
      </w:r>
      <w:r>
        <w:rPr>
          <w:spacing w:val="-3"/>
        </w:rPr>
        <w:t>where the</w:t>
      </w:r>
      <w:r>
        <w:rPr>
          <w:spacing w:val="-6"/>
        </w:rPr>
        <w:t> </w:t>
      </w:r>
      <w:r>
        <w:rPr/>
        <w:t>amount</w:t>
      </w:r>
      <w:r>
        <w:rPr>
          <w:spacing w:val="-5"/>
        </w:rPr>
        <w:t> </w:t>
      </w:r>
      <w:r>
        <w:rPr/>
        <w:t>of</w:t>
      </w:r>
      <w:r>
        <w:rPr>
          <w:spacing w:val="-7"/>
        </w:rPr>
        <w:t> </w:t>
      </w:r>
      <w:r>
        <w:rPr/>
        <w:t>living</w:t>
      </w:r>
      <w:r>
        <w:rPr>
          <w:spacing w:val="-7"/>
        </w:rPr>
        <w:t> </w:t>
      </w:r>
      <w:r>
        <w:rPr/>
        <w:t>aboveground</w:t>
      </w:r>
      <w:r>
        <w:rPr>
          <w:spacing w:val="-4"/>
        </w:rPr>
        <w:t> </w:t>
      </w:r>
      <w:r>
        <w:rPr/>
        <w:t>biomass</w:t>
      </w:r>
      <w:r>
        <w:rPr>
          <w:spacing w:val="-5"/>
        </w:rPr>
        <w:t> </w:t>
      </w:r>
      <w:r>
        <w:rPr/>
        <w:t>that</w:t>
      </w:r>
      <w:r>
        <w:rPr>
          <w:spacing w:val="-6"/>
        </w:rPr>
        <w:t> </w:t>
      </w:r>
      <w:r>
        <w:rPr/>
        <w:t>is</w:t>
      </w:r>
      <w:r>
        <w:rPr>
          <w:spacing w:val="-6"/>
        </w:rPr>
        <w:t> </w:t>
      </w:r>
      <w:r>
        <w:rPr>
          <w:spacing w:val="-3"/>
        </w:rPr>
        <w:t>cleared</w:t>
      </w:r>
      <w:r>
        <w:rPr>
          <w:spacing w:val="-2"/>
        </w:rPr>
        <w:t> for</w:t>
      </w:r>
      <w:r>
        <w:rPr>
          <w:spacing w:val="-3"/>
        </w:rPr>
        <w:t> expanding</w:t>
      </w:r>
      <w:r>
        <w:rPr>
          <w:spacing w:val="-4"/>
        </w:rPr>
        <w:t> </w:t>
      </w:r>
      <w:r>
        <w:rPr/>
        <w:t>settlements</w:t>
      </w:r>
      <w:r>
        <w:rPr>
          <w:spacing w:val="-5"/>
        </w:rPr>
        <w:t> </w:t>
      </w:r>
      <w:r>
        <w:rPr/>
        <w:t>is</w:t>
      </w:r>
      <w:r>
        <w:rPr>
          <w:spacing w:val="-7"/>
        </w:rPr>
        <w:t> </w:t>
      </w:r>
      <w:r>
        <w:rPr>
          <w:spacing w:val="-3"/>
        </w:rPr>
        <w:t>estimated</w:t>
      </w:r>
      <w:r>
        <w:rPr>
          <w:spacing w:val="-4"/>
        </w:rPr>
        <w:t> </w:t>
      </w:r>
      <w:r>
        <w:rPr/>
        <w:t>by</w:t>
      </w:r>
      <w:r>
        <w:rPr>
          <w:spacing w:val="-6"/>
        </w:rPr>
        <w:t> </w:t>
      </w:r>
      <w:r>
        <w:rPr>
          <w:spacing w:val="-3"/>
        </w:rPr>
        <w:t>multiplying</w:t>
      </w:r>
      <w:r>
        <w:rPr>
          <w:spacing w:val="-5"/>
        </w:rPr>
        <w:t> </w:t>
      </w:r>
      <w:r>
        <w:rPr/>
        <w:t>the </w:t>
      </w:r>
      <w:r>
        <w:rPr>
          <w:spacing w:val="-2"/>
        </w:rPr>
        <w:t>forest</w:t>
      </w:r>
      <w:r>
        <w:rPr>
          <w:spacing w:val="-8"/>
        </w:rPr>
        <w:t> </w:t>
      </w:r>
      <w:r>
        <w:rPr/>
        <w:t>area</w:t>
      </w:r>
      <w:r>
        <w:rPr>
          <w:spacing w:val="-7"/>
        </w:rPr>
        <w:t> </w:t>
      </w:r>
      <w:r>
        <w:rPr/>
        <w:t>converted</w:t>
      </w:r>
      <w:r>
        <w:rPr>
          <w:spacing w:val="-7"/>
        </w:rPr>
        <w:t> </w:t>
      </w:r>
      <w:r>
        <w:rPr/>
        <w:t>annually</w:t>
      </w:r>
      <w:r>
        <w:rPr>
          <w:spacing w:val="-9"/>
        </w:rPr>
        <w:t> </w:t>
      </w:r>
      <w:r>
        <w:rPr/>
        <w:t>to</w:t>
      </w:r>
      <w:r>
        <w:rPr>
          <w:spacing w:val="-6"/>
        </w:rPr>
        <w:t> </w:t>
      </w:r>
      <w:r>
        <w:rPr/>
        <w:t>settlements</w:t>
      </w:r>
      <w:r>
        <w:rPr>
          <w:spacing w:val="-8"/>
        </w:rPr>
        <w:t> </w:t>
      </w:r>
      <w:r>
        <w:rPr/>
        <w:t>by</w:t>
      </w:r>
      <w:r>
        <w:rPr>
          <w:spacing w:val="-10"/>
        </w:rPr>
        <w:t> </w:t>
      </w:r>
      <w:r>
        <w:rPr/>
        <w:t>the</w:t>
      </w:r>
      <w:r>
        <w:rPr>
          <w:spacing w:val="-7"/>
        </w:rPr>
        <w:t> </w:t>
      </w:r>
      <w:r>
        <w:rPr/>
        <w:t>difference</w:t>
      </w:r>
      <w:r>
        <w:rPr>
          <w:spacing w:val="-7"/>
        </w:rPr>
        <w:t> </w:t>
      </w:r>
      <w:r>
        <w:rPr/>
        <w:t>in</w:t>
      </w:r>
      <w:r>
        <w:rPr>
          <w:spacing w:val="-8"/>
        </w:rPr>
        <w:t> </w:t>
      </w:r>
      <w:r>
        <w:rPr/>
        <w:t>carbon</w:t>
      </w:r>
      <w:r>
        <w:rPr>
          <w:spacing w:val="-9"/>
        </w:rPr>
        <w:t> </w:t>
      </w:r>
      <w:r>
        <w:rPr/>
        <w:t>stocks</w:t>
      </w:r>
      <w:r>
        <w:rPr>
          <w:spacing w:val="-8"/>
        </w:rPr>
        <w:t> </w:t>
      </w:r>
      <w:r>
        <w:rPr/>
        <w:t>between</w:t>
      </w:r>
      <w:r>
        <w:rPr>
          <w:spacing w:val="-8"/>
        </w:rPr>
        <w:t> </w:t>
      </w:r>
      <w:r>
        <w:rPr/>
        <w:t>biomass</w:t>
      </w:r>
      <w:r>
        <w:rPr>
          <w:spacing w:val="-8"/>
        </w:rPr>
        <w:t> </w:t>
      </w:r>
      <w:r>
        <w:rPr/>
        <w:t>in</w:t>
      </w:r>
      <w:r>
        <w:rPr>
          <w:spacing w:val="-9"/>
        </w:rPr>
        <w:t> </w:t>
      </w:r>
      <w:r>
        <w:rPr/>
        <w:t>the</w:t>
      </w:r>
      <w:r>
        <w:rPr>
          <w:spacing w:val="-4"/>
        </w:rPr>
        <w:t> </w:t>
      </w:r>
      <w:r>
        <w:rPr>
          <w:spacing w:val="-2"/>
        </w:rPr>
        <w:t>forest</w:t>
      </w:r>
      <w:r>
        <w:rPr>
          <w:spacing w:val="-8"/>
        </w:rPr>
        <w:t> </w:t>
      </w:r>
      <w:r>
        <w:rPr/>
        <w:t>prior to conversion </w:t>
      </w:r>
      <w:r>
        <w:rPr>
          <w:spacing w:val="-3"/>
        </w:rPr>
        <w:t>(C</w:t>
      </w:r>
      <w:r>
        <w:rPr>
          <w:spacing w:val="-3"/>
          <w:vertAlign w:val="subscript"/>
        </w:rPr>
        <w:t>Before</w:t>
      </w:r>
      <w:r>
        <w:rPr>
          <w:spacing w:val="-3"/>
          <w:vertAlign w:val="baseline"/>
        </w:rPr>
        <w:t>) </w:t>
      </w:r>
      <w:r>
        <w:rPr>
          <w:vertAlign w:val="baseline"/>
        </w:rPr>
        <w:t>and that in the settlements after conversion (C</w:t>
      </w:r>
      <w:r>
        <w:rPr>
          <w:vertAlign w:val="subscript"/>
        </w:rPr>
        <w:t>After</w:t>
      </w:r>
      <w:r>
        <w:rPr>
          <w:vertAlign w:val="baseline"/>
        </w:rPr>
        <w:t>). The </w:t>
      </w:r>
      <w:r>
        <w:rPr>
          <w:spacing w:val="-2"/>
          <w:vertAlign w:val="baseline"/>
        </w:rPr>
        <w:t>tiered </w:t>
      </w:r>
      <w:r>
        <w:rPr>
          <w:vertAlign w:val="baseline"/>
        </w:rPr>
        <w:t>approaches </w:t>
      </w:r>
      <w:r>
        <w:rPr>
          <w:spacing w:val="-2"/>
          <w:vertAlign w:val="baseline"/>
        </w:rPr>
        <w:t>for </w:t>
      </w:r>
      <w:r>
        <w:rPr>
          <w:vertAlign w:val="baseline"/>
        </w:rPr>
        <w:t>estimating </w:t>
      </w:r>
      <w:r>
        <w:rPr>
          <w:spacing w:val="-2"/>
          <w:vertAlign w:val="baseline"/>
        </w:rPr>
        <w:t>change </w:t>
      </w:r>
      <w:r>
        <w:rPr>
          <w:vertAlign w:val="baseline"/>
        </w:rPr>
        <w:t>in carbon stocks in living biomass </w:t>
      </w:r>
      <w:r>
        <w:rPr>
          <w:spacing w:val="-3"/>
          <w:vertAlign w:val="baseline"/>
        </w:rPr>
        <w:t>outlined </w:t>
      </w:r>
      <w:r>
        <w:rPr>
          <w:vertAlign w:val="baseline"/>
        </w:rPr>
        <w:t>in Sections 3.2.2, 3.3.2 </w:t>
      </w:r>
      <w:r>
        <w:rPr>
          <w:spacing w:val="-2"/>
          <w:vertAlign w:val="baseline"/>
        </w:rPr>
        <w:t>and </w:t>
      </w:r>
      <w:r>
        <w:rPr>
          <w:vertAlign w:val="baseline"/>
        </w:rPr>
        <w:t>3.4.2 apply here as </w:t>
      </w:r>
      <w:r>
        <w:rPr>
          <w:spacing w:val="-3"/>
          <w:vertAlign w:val="baseline"/>
        </w:rPr>
        <w:t>well. </w:t>
      </w:r>
      <w:r>
        <w:rPr>
          <w:vertAlign w:val="baseline"/>
        </w:rPr>
        <w:t>A Tier 1 </w:t>
      </w:r>
      <w:r>
        <w:rPr>
          <w:spacing w:val="-3"/>
          <w:vertAlign w:val="baseline"/>
        </w:rPr>
        <w:t>estimate</w:t>
      </w:r>
      <w:r>
        <w:rPr>
          <w:spacing w:val="10"/>
          <w:vertAlign w:val="baseline"/>
        </w:rPr>
        <w:t> </w:t>
      </w:r>
      <w:r>
        <w:rPr>
          <w:vertAlign w:val="baseline"/>
        </w:rPr>
        <w:t>is</w:t>
      </w:r>
      <w:r>
        <w:rPr>
          <w:spacing w:val="9"/>
          <w:vertAlign w:val="baseline"/>
        </w:rPr>
        <w:t> </w:t>
      </w:r>
      <w:r>
        <w:rPr>
          <w:vertAlign w:val="baseline"/>
        </w:rPr>
        <w:t>developed</w:t>
      </w:r>
      <w:r>
        <w:rPr>
          <w:spacing w:val="10"/>
          <w:vertAlign w:val="baseline"/>
        </w:rPr>
        <w:t> </w:t>
      </w:r>
      <w:r>
        <w:rPr>
          <w:vertAlign w:val="baseline"/>
        </w:rPr>
        <w:t>using</w:t>
      </w:r>
      <w:r>
        <w:rPr>
          <w:spacing w:val="8"/>
          <w:vertAlign w:val="baseline"/>
        </w:rPr>
        <w:t> </w:t>
      </w:r>
      <w:r>
        <w:rPr>
          <w:vertAlign w:val="baseline"/>
        </w:rPr>
        <w:t>default</w:t>
      </w:r>
      <w:r>
        <w:rPr>
          <w:spacing w:val="9"/>
          <w:vertAlign w:val="baseline"/>
        </w:rPr>
        <w:t> </w:t>
      </w:r>
      <w:r>
        <w:rPr>
          <w:spacing w:val="-3"/>
          <w:vertAlign w:val="baseline"/>
        </w:rPr>
        <w:t>assumptions</w:t>
      </w:r>
      <w:r>
        <w:rPr>
          <w:spacing w:val="11"/>
          <w:vertAlign w:val="baseline"/>
        </w:rPr>
        <w:t> </w:t>
      </w:r>
      <w:r>
        <w:rPr>
          <w:spacing w:val="-2"/>
          <w:vertAlign w:val="baseline"/>
        </w:rPr>
        <w:t>and</w:t>
      </w:r>
      <w:r>
        <w:rPr>
          <w:spacing w:val="10"/>
          <w:vertAlign w:val="baseline"/>
        </w:rPr>
        <w:t> </w:t>
      </w:r>
      <w:r>
        <w:rPr>
          <w:vertAlign w:val="baseline"/>
        </w:rPr>
        <w:t>default</w:t>
      </w:r>
      <w:r>
        <w:rPr>
          <w:spacing w:val="12"/>
          <w:vertAlign w:val="baseline"/>
        </w:rPr>
        <w:t> </w:t>
      </w:r>
      <w:r>
        <w:rPr>
          <w:vertAlign w:val="baseline"/>
        </w:rPr>
        <w:t>values</w:t>
      </w:r>
      <w:r>
        <w:rPr>
          <w:spacing w:val="11"/>
          <w:vertAlign w:val="baseline"/>
        </w:rPr>
        <w:t> </w:t>
      </w:r>
      <w:r>
        <w:rPr>
          <w:spacing w:val="-2"/>
          <w:vertAlign w:val="baseline"/>
        </w:rPr>
        <w:t>for</w:t>
      </w:r>
      <w:r>
        <w:rPr>
          <w:spacing w:val="10"/>
          <w:vertAlign w:val="baseline"/>
        </w:rPr>
        <w:t> </w:t>
      </w:r>
      <w:r>
        <w:rPr>
          <w:vertAlign w:val="baseline"/>
        </w:rPr>
        <w:t>carbon</w:t>
      </w:r>
      <w:r>
        <w:rPr>
          <w:spacing w:val="9"/>
          <w:vertAlign w:val="baseline"/>
        </w:rPr>
        <w:t> </w:t>
      </w:r>
      <w:r>
        <w:rPr>
          <w:spacing w:val="-3"/>
          <w:vertAlign w:val="baseline"/>
        </w:rPr>
        <w:t>stocks.</w:t>
      </w:r>
      <w:r>
        <w:rPr>
          <w:spacing w:val="12"/>
          <w:vertAlign w:val="baseline"/>
        </w:rPr>
        <w:t> </w:t>
      </w:r>
      <w:r>
        <w:rPr>
          <w:vertAlign w:val="baseline"/>
        </w:rPr>
        <w:t>At</w:t>
      </w:r>
      <w:r>
        <w:rPr>
          <w:spacing w:val="12"/>
          <w:vertAlign w:val="baseline"/>
        </w:rPr>
        <w:t> </w:t>
      </w:r>
      <w:r>
        <w:rPr>
          <w:vertAlign w:val="baseline"/>
        </w:rPr>
        <w:t>Tier</w:t>
      </w:r>
      <w:r>
        <w:rPr>
          <w:spacing w:val="10"/>
          <w:vertAlign w:val="baseline"/>
        </w:rPr>
        <w:t> </w:t>
      </w:r>
      <w:r>
        <w:rPr>
          <w:vertAlign w:val="baseline"/>
        </w:rPr>
        <w:t>2,</w:t>
      </w:r>
      <w:r>
        <w:rPr>
          <w:spacing w:val="11"/>
          <w:vertAlign w:val="baseline"/>
        </w:rPr>
        <w:t> </w:t>
      </w:r>
      <w:r>
        <w:rPr>
          <w:spacing w:val="-3"/>
          <w:vertAlign w:val="baseline"/>
        </w:rPr>
        <w:t>country-specific</w:t>
      </w:r>
    </w:p>
    <w:p>
      <w:pPr>
        <w:spacing w:after="0"/>
        <w:jc w:val="both"/>
        <w:sectPr>
          <w:type w:val="continuous"/>
          <w:pgSz w:w="11900" w:h="16840"/>
          <w:pgMar w:top="1060" w:bottom="280" w:left="1200" w:right="1140"/>
        </w:sectPr>
      </w:pPr>
    </w:p>
    <w:p>
      <w:pPr>
        <w:pStyle w:val="BodyText"/>
      </w:pPr>
    </w:p>
    <w:p>
      <w:pPr>
        <w:pStyle w:val="BodyText"/>
        <w:spacing w:before="2"/>
        <w:rPr>
          <w:sz w:val="18"/>
        </w:rPr>
      </w:pPr>
    </w:p>
    <w:p>
      <w:pPr>
        <w:pStyle w:val="BodyText"/>
        <w:ind w:left="219" w:right="267"/>
        <w:jc w:val="both"/>
      </w:pPr>
      <w:r>
        <w:rPr/>
        <w:t>carbon stocks are applied to activity data disaggregated to appropriate scales. At Tier 3, countries use advanced estimation methods that may involve complex models and highly disaggregated activity data.</w:t>
      </w:r>
    </w:p>
    <w:p>
      <w:pPr>
        <w:pStyle w:val="BodyText"/>
        <w:spacing w:before="121"/>
        <w:ind w:left="219" w:right="264"/>
        <w:jc w:val="both"/>
      </w:pPr>
      <w:r>
        <w:rPr/>
        <w:t>The default assumptions for a Tier 1 estimate of change in carbon stocks in living biomass in land converted to settlements are that all living biomass present before conversion to settlements will be lost in the same year as the conversion takes place, and that carbon stocks in living biomass following conversion (C</w:t>
      </w:r>
      <w:r>
        <w:rPr>
          <w:vertAlign w:val="subscript"/>
        </w:rPr>
        <w:t>After</w:t>
      </w:r>
      <w:r>
        <w:rPr>
          <w:vertAlign w:val="baseline"/>
        </w:rPr>
        <w:t>) are equal to zero. Countries should estimate the area of forest land converted to settlements, by major forest types, and use default carbon stock values in Tables 3A.1.2 and 3A.1.3 to develop estimates of carbon stocks in living biomass before conversion (C</w:t>
      </w:r>
      <w:r>
        <w:rPr>
          <w:vertAlign w:val="subscript"/>
        </w:rPr>
        <w:t>Before</w:t>
      </w:r>
      <w:r>
        <w:rPr>
          <w:vertAlign w:val="baseline"/>
        </w:rPr>
        <w:t>) for each initial forest</w:t>
      </w:r>
      <w:r>
        <w:rPr>
          <w:spacing w:val="-1"/>
          <w:vertAlign w:val="baseline"/>
        </w:rPr>
        <w:t> </w:t>
      </w:r>
      <w:r>
        <w:rPr>
          <w:vertAlign w:val="baseline"/>
        </w:rPr>
        <w:t>type.</w:t>
      </w:r>
    </w:p>
    <w:p>
      <w:pPr>
        <w:pStyle w:val="BodyText"/>
        <w:spacing w:before="120"/>
        <w:ind w:left="219" w:right="266"/>
        <w:jc w:val="both"/>
      </w:pPr>
      <w:r>
        <w:rPr/>
        <w:t>In cases where fires are used to clear vegetation, emissions of non-CO</w:t>
      </w:r>
      <w:r>
        <w:rPr>
          <w:vertAlign w:val="subscript"/>
        </w:rPr>
        <w:t>2</w:t>
      </w:r>
      <w:r>
        <w:rPr>
          <w:vertAlign w:val="baseline"/>
        </w:rPr>
        <w:t> gases, i.e. CH</w:t>
      </w:r>
      <w:r>
        <w:rPr>
          <w:vertAlign w:val="subscript"/>
        </w:rPr>
        <w:t>4</w:t>
      </w:r>
      <w:r>
        <w:rPr>
          <w:vertAlign w:val="baseline"/>
        </w:rPr>
        <w:t> and N</w:t>
      </w:r>
      <w:r>
        <w:rPr>
          <w:vertAlign w:val="subscript"/>
        </w:rPr>
        <w:t>2</w:t>
      </w:r>
      <w:r>
        <w:rPr>
          <w:vertAlign w:val="baseline"/>
        </w:rPr>
        <w:t>O, will also occur. Countries may choose to estimate non-CO</w:t>
      </w:r>
      <w:r>
        <w:rPr>
          <w:vertAlign w:val="subscript"/>
        </w:rPr>
        <w:t>2</w:t>
      </w:r>
      <w:r>
        <w:rPr>
          <w:vertAlign w:val="baseline"/>
        </w:rPr>
        <w:t> emissions from burning when fires are used to clear vegetation for development of settlements. The basic method for estimating non-CO</w:t>
      </w:r>
      <w:r>
        <w:rPr>
          <w:vertAlign w:val="subscript"/>
        </w:rPr>
        <w:t>2</w:t>
      </w:r>
      <w:r>
        <w:rPr>
          <w:vertAlign w:val="baseline"/>
        </w:rPr>
        <w:t> emissions from fires can be found in Section 3.2.1.4.</w:t>
      </w:r>
    </w:p>
    <w:p>
      <w:pPr>
        <w:spacing w:after="0"/>
        <w:jc w:val="both"/>
        <w:sectPr>
          <w:headerReference w:type="default" r:id="rId164"/>
          <w:headerReference w:type="even" r:id="rId165"/>
          <w:pgSz w:w="11900" w:h="16840"/>
          <w:pgMar w:header="230" w:footer="408" w:top="560" w:bottom="600" w:left="1200" w:right="1140"/>
        </w:sectPr>
      </w:pPr>
    </w:p>
    <w:p>
      <w:pPr>
        <w:pStyle w:val="BodyText"/>
      </w:pPr>
    </w:p>
    <w:p>
      <w:pPr>
        <w:pStyle w:val="BodyText"/>
      </w:pPr>
    </w:p>
    <w:p>
      <w:pPr>
        <w:pStyle w:val="Heading2"/>
        <w:numPr>
          <w:ilvl w:val="1"/>
          <w:numId w:val="78"/>
        </w:numPr>
        <w:tabs>
          <w:tab w:pos="1421" w:val="left" w:leader="none"/>
          <w:tab w:pos="1422" w:val="left" w:leader="none"/>
        </w:tabs>
        <w:spacing w:line="240" w:lineRule="auto" w:before="225" w:after="0"/>
        <w:ind w:left="1421" w:right="0" w:hanging="1202"/>
        <w:jc w:val="left"/>
      </w:pPr>
      <w:r>
        <w:rPr>
          <w:spacing w:val="16"/>
        </w:rPr>
        <w:t>OTHER</w:t>
      </w:r>
      <w:r>
        <w:rPr>
          <w:spacing w:val="38"/>
        </w:rPr>
        <w:t> </w:t>
      </w:r>
      <w:r>
        <w:rPr>
          <w:spacing w:val="20"/>
        </w:rPr>
        <w:t>LAND</w:t>
      </w:r>
    </w:p>
    <w:p>
      <w:pPr>
        <w:pStyle w:val="BodyText"/>
        <w:spacing w:before="176"/>
        <w:ind w:left="219" w:right="261"/>
        <w:jc w:val="both"/>
      </w:pPr>
      <w:r>
        <w:rPr/>
        <w:t>“Other Land” is defined in Chapter 2 of this report as including bare soil, rock, ice, and all unmanaged land areas that do not fall into any of the other five land-use categories treated in Sections 3.2 to 3.6. This land-use category is included to allow the total of identified land areas to match the national area, where data are available. Consistent with the </w:t>
      </w:r>
      <w:r>
        <w:rPr>
          <w:i/>
        </w:rPr>
        <w:t>IPCC Guidelines</w:t>
      </w:r>
      <w:r>
        <w:rPr/>
        <w:t>, change in carbon stocks and non-CO</w:t>
      </w:r>
      <w:r>
        <w:rPr>
          <w:vertAlign w:val="subscript"/>
        </w:rPr>
        <w:t>2</w:t>
      </w:r>
      <w:r>
        <w:rPr>
          <w:vertAlign w:val="baseline"/>
        </w:rPr>
        <w:t> emissions and removals would not need to be assessed for the category of “Other Land Remaining Other Land (OO)” assuming that it is typically unmanaged. At present, no guidance can be given for “Other Land” that is managed. “Other Land” is included, however, for checking overall consistency of land area and tracking conversions to and from other land since many methods require knowledge of associated carbon stocks. It is of particular importance to include complete information on forest land converted to other types of land uses, including “Other Land”, in order to ensure consistency with the requirements in Chapters 4 and 5.</w:t>
      </w:r>
    </w:p>
    <w:p>
      <w:pPr>
        <w:pStyle w:val="BodyText"/>
        <w:rPr>
          <w:sz w:val="22"/>
        </w:rPr>
      </w:pPr>
    </w:p>
    <w:p>
      <w:pPr>
        <w:pStyle w:val="BodyText"/>
        <w:spacing w:before="2"/>
      </w:pPr>
    </w:p>
    <w:p>
      <w:pPr>
        <w:pStyle w:val="Heading2"/>
        <w:numPr>
          <w:ilvl w:val="2"/>
          <w:numId w:val="78"/>
        </w:numPr>
        <w:tabs>
          <w:tab w:pos="1421" w:val="left" w:leader="none"/>
          <w:tab w:pos="1422" w:val="left" w:leader="none"/>
        </w:tabs>
        <w:spacing w:line="240" w:lineRule="auto" w:before="0" w:after="0"/>
        <w:ind w:left="1421" w:right="0" w:hanging="1202"/>
        <w:jc w:val="left"/>
      </w:pPr>
      <w:r>
        <w:rPr>
          <w:spacing w:val="7"/>
        </w:rPr>
        <w:t>Other Land </w:t>
      </w:r>
      <w:r>
        <w:rPr>
          <w:spacing w:val="8"/>
        </w:rPr>
        <w:t>Remaining </w:t>
      </w:r>
      <w:r>
        <w:rPr>
          <w:spacing w:val="7"/>
        </w:rPr>
        <w:t>Other</w:t>
      </w:r>
      <w:r>
        <w:rPr>
          <w:spacing w:val="61"/>
        </w:rPr>
        <w:t> </w:t>
      </w:r>
      <w:r>
        <w:rPr>
          <w:spacing w:val="9"/>
        </w:rPr>
        <w:t>Land</w:t>
      </w:r>
    </w:p>
    <w:p>
      <w:pPr>
        <w:pStyle w:val="BodyText"/>
        <w:spacing w:before="113"/>
        <w:ind w:left="219" w:right="269"/>
        <w:jc w:val="both"/>
      </w:pPr>
      <w:r>
        <w:rPr/>
        <w:t>Change in carbon stocks and non-CO</w:t>
      </w:r>
      <w:r>
        <w:rPr>
          <w:vertAlign w:val="subscript"/>
        </w:rPr>
        <w:t>2</w:t>
      </w:r>
      <w:r>
        <w:rPr>
          <w:vertAlign w:val="baseline"/>
        </w:rPr>
        <w:t> emissions and removals are not considered for this category as mentioned above.</w:t>
      </w:r>
    </w:p>
    <w:p>
      <w:pPr>
        <w:pStyle w:val="BodyText"/>
        <w:rPr>
          <w:sz w:val="22"/>
        </w:rPr>
      </w:pPr>
    </w:p>
    <w:p>
      <w:pPr>
        <w:pStyle w:val="BodyText"/>
        <w:spacing w:before="4"/>
      </w:pPr>
    </w:p>
    <w:p>
      <w:pPr>
        <w:pStyle w:val="Heading2"/>
        <w:numPr>
          <w:ilvl w:val="2"/>
          <w:numId w:val="78"/>
        </w:numPr>
        <w:tabs>
          <w:tab w:pos="1421" w:val="left" w:leader="none"/>
          <w:tab w:pos="1422" w:val="left" w:leader="none"/>
        </w:tabs>
        <w:spacing w:line="240" w:lineRule="auto" w:before="0" w:after="0"/>
        <w:ind w:left="1421" w:right="0" w:hanging="1202"/>
        <w:jc w:val="left"/>
      </w:pPr>
      <w:r>
        <w:rPr>
          <w:spacing w:val="6"/>
        </w:rPr>
        <w:t>Land </w:t>
      </w:r>
      <w:r>
        <w:rPr>
          <w:spacing w:val="8"/>
        </w:rPr>
        <w:t>Converted </w:t>
      </w:r>
      <w:r>
        <w:rPr>
          <w:spacing w:val="4"/>
        </w:rPr>
        <w:t>to </w:t>
      </w:r>
      <w:r>
        <w:rPr>
          <w:spacing w:val="7"/>
        </w:rPr>
        <w:t>Other</w:t>
      </w:r>
      <w:r>
        <w:rPr>
          <w:spacing w:val="65"/>
        </w:rPr>
        <w:t> </w:t>
      </w:r>
      <w:r>
        <w:rPr>
          <w:spacing w:val="9"/>
        </w:rPr>
        <w:t>Land</w:t>
      </w:r>
    </w:p>
    <w:p>
      <w:pPr>
        <w:pStyle w:val="BodyText"/>
        <w:spacing w:before="114"/>
        <w:ind w:left="219" w:right="264"/>
        <w:jc w:val="both"/>
      </w:pPr>
      <w:r>
        <w:rPr/>
        <w:t>Although unlikely, lands may be converted to “Other Land”, e.g. as a result of deforestation with subsequent degradation. This conversion of land use, either starting with a human activity or a natural driving force affecting managed land, requires the calculation of emissions of CO</w:t>
      </w:r>
      <w:r>
        <w:rPr>
          <w:vertAlign w:val="subscript"/>
        </w:rPr>
        <w:t>2</w:t>
      </w:r>
      <w:r>
        <w:rPr>
          <w:vertAlign w:val="baseline"/>
        </w:rPr>
        <w:t> because the act of conversion releases the carbon previously held on the land, and emissions and/or removals due to management activities cease. Emissions from land converted to bare soil as a result of development of settlements should be included in the “Settlements” land-use category (See Section 3.6.2, Land Converted to Settlements.).</w:t>
      </w:r>
    </w:p>
    <w:p>
      <w:pPr>
        <w:pStyle w:val="BodyText"/>
        <w:spacing w:before="120"/>
        <w:ind w:left="219" w:right="265"/>
        <w:jc w:val="both"/>
      </w:pPr>
      <w:r>
        <w:rPr/>
        <w:t>It is </w:t>
      </w:r>
      <w:r>
        <w:rPr>
          <w:i/>
        </w:rPr>
        <w:t>good practice </w:t>
      </w:r>
      <w:r>
        <w:rPr/>
        <w:t>to estimate the change in carbon stocks associated with the conversion of all types of managed land to other land. Figure 3.1.2 provides the decision tree which can be used to identify the appropriate tier-level for land converted to “Other Land”.</w:t>
      </w:r>
    </w:p>
    <w:p>
      <w:pPr>
        <w:pStyle w:val="BodyText"/>
        <w:spacing w:before="121"/>
        <w:ind w:left="219" w:right="267"/>
        <w:jc w:val="both"/>
      </w:pPr>
      <w:r>
        <w:rPr/>
        <w:t>The summary equation for change in carbon stocks in land converted to “Other Land” (LO) is shown in Equation 3.7.1.</w:t>
      </w:r>
    </w:p>
    <w:p>
      <w:pPr>
        <w:pStyle w:val="BodyText"/>
        <w:spacing w:before="8"/>
        <w:rPr>
          <w:sz w:val="9"/>
        </w:rPr>
      </w:pPr>
      <w:r>
        <w:rPr/>
        <w:pict>
          <v:group style="position:absolute;margin-left:91.240997pt;margin-top:8.308203pt;width:412.95pt;height:55.2pt;mso-position-horizontal-relative:page;mso-position-vertical-relative:paragraph;z-index:11120;mso-wrap-distance-left:0;mso-wrap-distance-right:0" coordorigin="1825,166" coordsize="8259,1104">
            <v:line style="position:absolute" from="1854,181" to="10054,181" stroked="true" strokeweight="1.44pt" strokecolor="#000000">
              <v:stroke dashstyle="solid"/>
            </v:line>
            <v:rect style="position:absolute;left:1824;top:1241;width:29;height:29" filled="true" fillcolor="#000000" stroked="false">
              <v:fill type="solid"/>
            </v:rect>
            <v:rect style="position:absolute;left:1824;top:1241;width:29;height:29" filled="true" fillcolor="#000000" stroked="false">
              <v:fill type="solid"/>
            </v:rect>
            <v:line style="position:absolute" from="1854,1256" to="10054,1256" stroked="true" strokeweight="1.44pt" strokecolor="#000000">
              <v:stroke dashstyle="solid"/>
            </v:line>
            <v:rect style="position:absolute;left:10054;top:1241;width:29;height:29" filled="true" fillcolor="#000000" stroked="false">
              <v:fill type="solid"/>
            </v:rect>
            <v:rect style="position:absolute;left:10054;top:1241;width:29;height:29" filled="true" fillcolor="#000000" stroked="false">
              <v:fill type="solid"/>
            </v:rect>
            <v:line style="position:absolute" from="1839,166" to="1839,1241" stroked="true" strokeweight="1.44pt" strokecolor="#000000">
              <v:stroke dashstyle="solid"/>
            </v:line>
            <v:line style="position:absolute" from="10069,166" to="10069,1241" stroked="true" strokeweight="1.44pt" strokecolor="#000000">
              <v:stroke dashstyle="solid"/>
            </v:line>
            <v:shape style="position:absolute;left:6764;top:1010;width:277;height:144" type="#_x0000_t202" filled="false" stroked="false">
              <v:textbox inset="0,0,0,0">
                <w:txbxContent>
                  <w:p>
                    <w:pPr>
                      <w:spacing w:line="144" w:lineRule="exact" w:before="0"/>
                      <w:ind w:left="0" w:right="0" w:firstLine="0"/>
                      <w:jc w:val="left"/>
                      <w:rPr>
                        <w:sz w:val="13"/>
                      </w:rPr>
                    </w:pPr>
                    <w:r>
                      <w:rPr>
                        <w:sz w:val="13"/>
                      </w:rPr>
                      <w:t>Soils</w:t>
                    </w:r>
                  </w:p>
                </w:txbxContent>
              </v:textbox>
              <w10:wrap type="none"/>
            </v:shape>
            <v:shape style="position:absolute;left:5955;top:1010;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4884;top:833;width:1895;height:261" type="#_x0000_t202" filled="false" stroked="false">
              <v:textbox inset="0,0,0,0">
                <w:txbxContent>
                  <w:p>
                    <w:pPr>
                      <w:tabs>
                        <w:tab w:pos="1283" w:val="left" w:leader="none"/>
                      </w:tabs>
                      <w:spacing w:line="246" w:lineRule="exact" w:before="14"/>
                      <w:ind w:left="0" w:right="0" w:firstLine="0"/>
                      <w:jc w:val="left"/>
                      <w:rPr>
                        <w:sz w:val="20"/>
                      </w:rPr>
                    </w:pPr>
                    <w:r>
                      <w:rPr>
                        <w:rFonts w:ascii="Symbol" w:hAnsi="Symbol"/>
                        <w:sz w:val="20"/>
                      </w:rPr>
                      <w:t>∆</w:t>
                    </w:r>
                    <w:r>
                      <w:rPr>
                        <w:sz w:val="20"/>
                      </w:rPr>
                      <w:t>C</w:t>
                    </w:r>
                    <w:r>
                      <w:rPr>
                        <w:sz w:val="20"/>
                        <w:vertAlign w:val="subscript"/>
                      </w:rPr>
                      <w:t>LO</w:t>
                    </w:r>
                    <w:r>
                      <w:rPr>
                        <w:sz w:val="20"/>
                        <w:vertAlign w:val="baseline"/>
                      </w:rPr>
                      <w:t> = </w:t>
                    </w:r>
                    <w:r>
                      <w:rPr>
                        <w:rFonts w:ascii="Symbol" w:hAnsi="Symbol"/>
                        <w:sz w:val="20"/>
                        <w:vertAlign w:val="baseline"/>
                      </w:rPr>
                      <w:t>∆</w:t>
                    </w:r>
                    <w:r>
                      <w:rPr>
                        <w:sz w:val="20"/>
                        <w:vertAlign w:val="baseline"/>
                      </w:rPr>
                      <w:t>C</w:t>
                    </w:r>
                    <w:r>
                      <w:rPr>
                        <w:sz w:val="20"/>
                        <w:vertAlign w:val="subscript"/>
                      </w:rPr>
                      <w:t>LO</w:t>
                    </w:r>
                    <w:r>
                      <w:rPr>
                        <w:sz w:val="20"/>
                        <w:vertAlign w:val="baseline"/>
                      </w:rPr>
                      <w:tab/>
                      <w:t>+</w:t>
                    </w:r>
                    <w:r>
                      <w:rPr>
                        <w:spacing w:val="4"/>
                        <w:sz w:val="20"/>
                        <w:vertAlign w:val="baseline"/>
                      </w:rPr>
                      <w:t> </w:t>
                    </w:r>
                    <w:r>
                      <w:rPr>
                        <w:rFonts w:ascii="Symbol" w:hAnsi="Symbol"/>
                        <w:spacing w:val="-21"/>
                        <w:sz w:val="20"/>
                        <w:vertAlign w:val="baseline"/>
                      </w:rPr>
                      <w:t>∆</w:t>
                    </w:r>
                    <w:r>
                      <w:rPr>
                        <w:spacing w:val="-21"/>
                        <w:sz w:val="20"/>
                        <w:vertAlign w:val="baseline"/>
                      </w:rPr>
                      <w:t>C</w:t>
                    </w:r>
                    <w:r>
                      <w:rPr>
                        <w:spacing w:val="-21"/>
                        <w:sz w:val="20"/>
                        <w:vertAlign w:val="subscript"/>
                      </w:rPr>
                      <w:t>LO</w:t>
                    </w:r>
                  </w:p>
                </w:txbxContent>
              </v:textbox>
              <w10:wrap type="none"/>
            </v:shape>
            <v:shape style="position:absolute;left:2698;top:303;width:6528;height:452" type="#_x0000_t202" filled="false" stroked="false">
              <v:textbox inset="0,0,0,0">
                <w:txbxContent>
                  <w:p>
                    <w:pPr>
                      <w:spacing w:line="221" w:lineRule="exact" w:before="0"/>
                      <w:ind w:left="4" w:right="18" w:firstLine="0"/>
                      <w:jc w:val="center"/>
                      <w:rPr>
                        <w:b/>
                        <w:sz w:val="20"/>
                      </w:rPr>
                    </w:pPr>
                    <w:r>
                      <w:rPr>
                        <w:b/>
                        <w:sz w:val="20"/>
                      </w:rPr>
                      <w:t>E</w:t>
                    </w:r>
                    <w:r>
                      <w:rPr>
                        <w:b/>
                        <w:sz w:val="16"/>
                      </w:rPr>
                      <w:t>QUATION </w:t>
                    </w:r>
                    <w:r>
                      <w:rPr>
                        <w:b/>
                        <w:sz w:val="20"/>
                      </w:rPr>
                      <w:t>3.7.1</w:t>
                    </w:r>
                  </w:p>
                  <w:p>
                    <w:pPr>
                      <w:spacing w:before="0"/>
                      <w:ind w:left="-1" w:right="18" w:firstLine="0"/>
                      <w:jc w:val="center"/>
                      <w:rPr>
                        <w:b/>
                        <w:sz w:val="20"/>
                      </w:rPr>
                    </w:pPr>
                    <w:r>
                      <w:rPr>
                        <w:b/>
                        <w:sz w:val="20"/>
                      </w:rPr>
                      <w:t>A</w:t>
                    </w:r>
                    <w:r>
                      <w:rPr>
                        <w:b/>
                        <w:sz w:val="16"/>
                      </w:rPr>
                      <w:t>NNUAL CHANGE IN CARBON STOCKS IN LAND CONVERTED TO </w:t>
                    </w:r>
                    <w:r>
                      <w:rPr>
                        <w:b/>
                        <w:sz w:val="20"/>
                      </w:rPr>
                      <w:t>“O</w:t>
                    </w:r>
                    <w:r>
                      <w:rPr>
                        <w:b/>
                        <w:sz w:val="16"/>
                      </w:rPr>
                      <w:t>THER</w:t>
                    </w:r>
                    <w:r>
                      <w:rPr>
                        <w:b/>
                        <w:spacing w:val="-19"/>
                        <w:sz w:val="16"/>
                      </w:rPr>
                      <w:t> </w:t>
                    </w:r>
                    <w:r>
                      <w:rPr>
                        <w:b/>
                        <w:sz w:val="20"/>
                      </w:rPr>
                      <w:t>L</w:t>
                    </w:r>
                    <w:r>
                      <w:rPr>
                        <w:b/>
                        <w:sz w:val="16"/>
                      </w:rPr>
                      <w:t>AND</w:t>
                    </w:r>
                    <w:r>
                      <w:rPr>
                        <w:b/>
                        <w:sz w:val="20"/>
                      </w:rPr>
                      <w:t>”</w:t>
                    </w:r>
                  </w:p>
                </w:txbxContent>
              </v:textbox>
              <w10:wrap type="none"/>
            </v:shape>
            <w10:wrap type="topAndBottom"/>
          </v:group>
        </w:pict>
      </w:r>
    </w:p>
    <w:p>
      <w:pPr>
        <w:pStyle w:val="BodyText"/>
        <w:spacing w:before="4"/>
        <w:ind w:left="219"/>
      </w:pPr>
      <w:r>
        <w:rPr/>
        <w:t>Where:</w:t>
      </w:r>
    </w:p>
    <w:p>
      <w:pPr>
        <w:pStyle w:val="BodyText"/>
        <w:spacing w:before="137"/>
        <w:ind w:left="785"/>
      </w:pPr>
      <w:r>
        <w:rPr>
          <w:rFonts w:ascii="Symbol" w:hAnsi="Symbol"/>
        </w:rPr>
        <w:t>∆</w:t>
      </w:r>
      <w:r>
        <w:rPr/>
        <w:t>C</w:t>
      </w:r>
      <w:r>
        <w:rPr>
          <w:vertAlign w:val="subscript"/>
        </w:rPr>
        <w:t>LO</w:t>
      </w:r>
      <w:r>
        <w:rPr>
          <w:vertAlign w:val="baseline"/>
        </w:rPr>
        <w:t> = annual change in carbon stocks in land converted to ”Other Land”, tonnes C yr</w:t>
      </w:r>
      <w:r>
        <w:rPr>
          <w:vertAlign w:val="superscript"/>
        </w:rPr>
        <w:t>-1</w:t>
      </w:r>
    </w:p>
    <w:p>
      <w:pPr>
        <w:pStyle w:val="BodyText"/>
        <w:tabs>
          <w:tab w:pos="1414" w:val="left" w:leader="none"/>
        </w:tabs>
        <w:spacing w:before="116"/>
        <w:ind w:left="785"/>
      </w:pPr>
      <w:r>
        <w:rPr/>
        <w:pict>
          <v:shape style="position:absolute;margin-left:120.280624pt;margin-top:13.921644pt;width:8.0500pt;height:7.2pt;mso-position-horizontal-relative:page;mso-position-vertical-relative:paragraph;z-index:-2442976"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LO</w:t>
      </w:r>
      <w:r>
        <w:rPr>
          <w:vertAlign w:val="baseline"/>
        </w:rPr>
        <w:tab/>
        <w:t>=</w:t>
      </w:r>
      <w:r>
        <w:rPr>
          <w:spacing w:val="-9"/>
          <w:vertAlign w:val="baseline"/>
        </w:rPr>
        <w:t> </w:t>
      </w:r>
      <w:r>
        <w:rPr>
          <w:vertAlign w:val="baseline"/>
        </w:rPr>
        <w:t>annual</w:t>
      </w:r>
      <w:r>
        <w:rPr>
          <w:spacing w:val="-8"/>
          <w:vertAlign w:val="baseline"/>
        </w:rPr>
        <w:t> </w:t>
      </w:r>
      <w:r>
        <w:rPr>
          <w:spacing w:val="-2"/>
          <w:vertAlign w:val="baseline"/>
        </w:rPr>
        <w:t>change</w:t>
      </w:r>
      <w:r>
        <w:rPr>
          <w:spacing w:val="-6"/>
          <w:vertAlign w:val="baseline"/>
        </w:rPr>
        <w:t> </w:t>
      </w:r>
      <w:r>
        <w:rPr>
          <w:vertAlign w:val="baseline"/>
        </w:rPr>
        <w:t>in</w:t>
      </w:r>
      <w:r>
        <w:rPr>
          <w:spacing w:val="-9"/>
          <w:vertAlign w:val="baseline"/>
        </w:rPr>
        <w:t> </w:t>
      </w:r>
      <w:r>
        <w:rPr>
          <w:vertAlign w:val="baseline"/>
        </w:rPr>
        <w:t>carbon</w:t>
      </w:r>
      <w:r>
        <w:rPr>
          <w:spacing w:val="-10"/>
          <w:vertAlign w:val="baseline"/>
        </w:rPr>
        <w:t> </w:t>
      </w:r>
      <w:r>
        <w:rPr>
          <w:vertAlign w:val="baseline"/>
        </w:rPr>
        <w:t>stocks</w:t>
      </w:r>
      <w:r>
        <w:rPr>
          <w:spacing w:val="-11"/>
          <w:vertAlign w:val="baseline"/>
        </w:rPr>
        <w:t> </w:t>
      </w:r>
      <w:r>
        <w:rPr>
          <w:vertAlign w:val="baseline"/>
        </w:rPr>
        <w:t>in</w:t>
      </w:r>
      <w:r>
        <w:rPr>
          <w:spacing w:val="-10"/>
          <w:vertAlign w:val="baseline"/>
        </w:rPr>
        <w:t> </w:t>
      </w:r>
      <w:r>
        <w:rPr>
          <w:vertAlign w:val="baseline"/>
        </w:rPr>
        <w:t>living</w:t>
      </w:r>
      <w:r>
        <w:rPr>
          <w:spacing w:val="-11"/>
          <w:vertAlign w:val="baseline"/>
        </w:rPr>
        <w:t> </w:t>
      </w:r>
      <w:r>
        <w:rPr>
          <w:vertAlign w:val="baseline"/>
        </w:rPr>
        <w:t>biomass</w:t>
      </w:r>
      <w:r>
        <w:rPr>
          <w:spacing w:val="-10"/>
          <w:vertAlign w:val="baseline"/>
        </w:rPr>
        <w:t> </w:t>
      </w:r>
      <w:r>
        <w:rPr>
          <w:vertAlign w:val="baseline"/>
        </w:rPr>
        <w:t>in</w:t>
      </w:r>
      <w:r>
        <w:rPr>
          <w:spacing w:val="-8"/>
          <w:vertAlign w:val="baseline"/>
        </w:rPr>
        <w:t> </w:t>
      </w:r>
      <w:r>
        <w:rPr>
          <w:spacing w:val="-3"/>
          <w:vertAlign w:val="baseline"/>
        </w:rPr>
        <w:t>land</w:t>
      </w:r>
      <w:r>
        <w:rPr>
          <w:spacing w:val="-9"/>
          <w:vertAlign w:val="baseline"/>
        </w:rPr>
        <w:t> </w:t>
      </w:r>
      <w:r>
        <w:rPr>
          <w:vertAlign w:val="baseline"/>
        </w:rPr>
        <w:t>converted</w:t>
      </w:r>
      <w:r>
        <w:rPr>
          <w:spacing w:val="-7"/>
          <w:vertAlign w:val="baseline"/>
        </w:rPr>
        <w:t> </w:t>
      </w:r>
      <w:r>
        <w:rPr>
          <w:vertAlign w:val="baseline"/>
        </w:rPr>
        <w:t>to</w:t>
      </w:r>
      <w:r>
        <w:rPr>
          <w:spacing w:val="-6"/>
          <w:vertAlign w:val="baseline"/>
        </w:rPr>
        <w:t> </w:t>
      </w:r>
      <w:r>
        <w:rPr>
          <w:spacing w:val="-3"/>
          <w:vertAlign w:val="baseline"/>
        </w:rPr>
        <w:t>“Other</w:t>
      </w:r>
      <w:r>
        <w:rPr>
          <w:spacing w:val="-8"/>
          <w:vertAlign w:val="baseline"/>
        </w:rPr>
        <w:t> </w:t>
      </w:r>
      <w:r>
        <w:rPr>
          <w:vertAlign w:val="baseline"/>
        </w:rPr>
        <w:t>land”,</w:t>
      </w:r>
      <w:r>
        <w:rPr>
          <w:spacing w:val="-9"/>
          <w:vertAlign w:val="baseline"/>
        </w:rPr>
        <w:t> </w:t>
      </w:r>
      <w:r>
        <w:rPr>
          <w:vertAlign w:val="baseline"/>
        </w:rPr>
        <w:t>tonnes</w:t>
      </w:r>
      <w:r>
        <w:rPr>
          <w:spacing w:val="-10"/>
          <w:vertAlign w:val="baseline"/>
        </w:rPr>
        <w:t> </w:t>
      </w:r>
      <w:r>
        <w:rPr>
          <w:vertAlign w:val="baseline"/>
        </w:rPr>
        <w:t>C</w:t>
      </w:r>
      <w:r>
        <w:rPr>
          <w:spacing w:val="-8"/>
          <w:vertAlign w:val="baseline"/>
        </w:rPr>
        <w:t> </w:t>
      </w:r>
      <w:r>
        <w:rPr>
          <w:vertAlign w:val="baseline"/>
        </w:rPr>
        <w:t>yr</w:t>
      </w:r>
      <w:r>
        <w:rPr>
          <w:vertAlign w:val="superscript"/>
        </w:rPr>
        <w:t>-1</w:t>
      </w:r>
    </w:p>
    <w:p>
      <w:pPr>
        <w:pStyle w:val="BodyText"/>
        <w:tabs>
          <w:tab w:pos="1505" w:val="left" w:leader="none"/>
        </w:tabs>
        <w:spacing w:line="193" w:lineRule="exact" w:before="176"/>
        <w:ind w:left="908"/>
      </w:pPr>
      <w:r>
        <w:rPr/>
        <w:pict>
          <v:shape style="position:absolute;margin-left:99.281044pt;margin-top:8.076334pt;width:21.25pt;height:13.05pt;mso-position-horizontal-relative:page;mso-position-vertical-relative:paragraph;z-index:-2442952" type="#_x0000_t202" filled="false" stroked="false">
            <v:textbox inset="0,0,0,0">
              <w:txbxContent>
                <w:p>
                  <w:pPr>
                    <w:spacing w:line="223" w:lineRule="exact" w:before="37"/>
                    <w:ind w:left="0" w:right="0" w:firstLine="0"/>
                    <w:jc w:val="left"/>
                    <w:rPr>
                      <w:sz w:val="13"/>
                    </w:rPr>
                  </w:pPr>
                  <w:r>
                    <w:rPr>
                      <w:rFonts w:ascii="Symbol" w:hAnsi="Symbol"/>
                      <w:position w:val="3"/>
                      <w:sz w:val="20"/>
                    </w:rPr>
                    <w:t>∆ </w:t>
                  </w:r>
                  <w:r>
                    <w:rPr>
                      <w:spacing w:val="-53"/>
                      <w:sz w:val="13"/>
                    </w:rPr>
                    <w:t>LO</w:t>
                  </w:r>
                </w:p>
              </w:txbxContent>
            </v:textbox>
            <w10:wrap type="none"/>
          </v:shape>
        </w:pict>
      </w:r>
      <w:r>
        <w:rPr/>
        <w:t>C</w:t>
        <w:tab/>
        <w:t>= annual change in carbon stocks in soils in land converted to “Other Land”, tonnes C</w:t>
      </w:r>
      <w:r>
        <w:rPr>
          <w:spacing w:val="-17"/>
        </w:rPr>
        <w:t> </w:t>
      </w:r>
      <w:r>
        <w:rPr/>
        <w:t>yr</w:t>
      </w:r>
      <w:r>
        <w:rPr>
          <w:vertAlign w:val="superscript"/>
        </w:rPr>
        <w:t>-1</w:t>
      </w:r>
    </w:p>
    <w:p>
      <w:pPr>
        <w:spacing w:line="113" w:lineRule="exact" w:before="0"/>
        <w:ind w:left="1215" w:right="0" w:firstLine="0"/>
        <w:jc w:val="left"/>
        <w:rPr>
          <w:sz w:val="13"/>
        </w:rPr>
      </w:pPr>
      <w:r>
        <w:rPr>
          <w:sz w:val="13"/>
        </w:rPr>
        <w:t>Soils</w:t>
      </w:r>
    </w:p>
    <w:p>
      <w:pPr>
        <w:pStyle w:val="BodyText"/>
        <w:spacing w:before="9"/>
        <w:rPr>
          <w:sz w:val="25"/>
        </w:rPr>
      </w:pPr>
    </w:p>
    <w:p>
      <w:pPr>
        <w:pStyle w:val="Heading6"/>
        <w:numPr>
          <w:ilvl w:val="3"/>
          <w:numId w:val="78"/>
        </w:numPr>
        <w:tabs>
          <w:tab w:pos="1659" w:val="left" w:leader="none"/>
          <w:tab w:pos="1660" w:val="left" w:leader="none"/>
        </w:tabs>
        <w:spacing w:line="240" w:lineRule="auto" w:before="89" w:after="0"/>
        <w:ind w:left="1659" w:right="0" w:hanging="1440"/>
        <w:jc w:val="left"/>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LIVING</w:t>
      </w:r>
      <w:r>
        <w:rPr>
          <w:spacing w:val="42"/>
        </w:rPr>
        <w:t> </w:t>
      </w:r>
      <w:r>
        <w:rPr>
          <w:spacing w:val="17"/>
        </w:rPr>
        <w:t>BIOMASS</w:t>
      </w:r>
    </w:p>
    <w:p>
      <w:pPr>
        <w:pStyle w:val="BodyText"/>
        <w:spacing w:before="211"/>
        <w:ind w:left="219" w:right="264"/>
        <w:jc w:val="both"/>
      </w:pPr>
      <w:r>
        <w:rPr/>
        <w:t>This section provides </w:t>
      </w:r>
      <w:r>
        <w:rPr>
          <w:i/>
        </w:rPr>
        <w:t>good practice guidance </w:t>
      </w:r>
      <w:r>
        <w:rPr/>
        <w:t>for calculating change in carbon stocks in living biomass due to the conversion of land from natural conditions and other uses to “Other Land”. The method requires estimates of carbon in living biomass stocks prior to conversion, based on estimates of the areas of land converted during the period between land-use surveys. As a result of conversion to “Other Land”, it is assumed that the dominant vegetation is removed entirely, resulting in no carbon remaining in living biomass after conversion. The difference between initial and final living biomass carbon pools is used to calculate change in carbon stocks due to land-use conversion. In subsequent years accumulations and losses in living biomass in “Other Land” are not considered (see Section 3.7.1).</w:t>
      </w:r>
    </w:p>
    <w:p>
      <w:pPr>
        <w:spacing w:after="0"/>
        <w:jc w:val="both"/>
        <w:sectPr>
          <w:pgSz w:w="11900" w:h="16840"/>
          <w:pgMar w:header="230" w:footer="408" w:top="560" w:bottom="600" w:left="1200" w:right="1140"/>
        </w:sectPr>
      </w:pPr>
    </w:p>
    <w:p>
      <w:pPr>
        <w:pStyle w:val="BodyText"/>
      </w:pPr>
    </w:p>
    <w:p>
      <w:pPr>
        <w:pStyle w:val="Heading6"/>
        <w:numPr>
          <w:ilvl w:val="4"/>
          <w:numId w:val="78"/>
        </w:numPr>
        <w:tabs>
          <w:tab w:pos="1659" w:val="left" w:leader="none"/>
          <w:tab w:pos="1660" w:val="left" w:leader="none"/>
        </w:tabs>
        <w:spacing w:line="370" w:lineRule="atLeast" w:before="97" w:after="0"/>
        <w:ind w:left="219" w:right="4472" w:firstLine="0"/>
        <w:jc w:val="left"/>
      </w:pPr>
      <w:r>
        <w:rPr/>
        <w:t>1</w:t>
        <w:tab/>
      </w:r>
      <w:r>
        <w:rPr>
          <w:spacing w:val="17"/>
        </w:rPr>
        <w:t>METHODOLOGICAL </w:t>
      </w:r>
      <w:r>
        <w:rPr>
          <w:spacing w:val="16"/>
        </w:rPr>
        <w:t>ISSUES 3.7.2.1</w:t>
      </w:r>
      <w:r>
        <w:rPr>
          <w:spacing w:val="-34"/>
        </w:rPr>
        <w:t> </w:t>
      </w:r>
      <w:r>
        <w:rPr>
          <w:spacing w:val="14"/>
        </w:rPr>
        <w:t>.1.1</w:t>
        <w:tab/>
      </w:r>
      <w:r>
        <w:rPr>
          <w:spacing w:val="15"/>
        </w:rPr>
        <w:t>Choice </w:t>
      </w:r>
      <w:r>
        <w:rPr>
          <w:spacing w:val="9"/>
        </w:rPr>
        <w:t>of</w:t>
      </w:r>
      <w:r>
        <w:rPr>
          <w:spacing w:val="-4"/>
        </w:rPr>
        <w:t> </w:t>
      </w:r>
      <w:r>
        <w:rPr>
          <w:spacing w:val="19"/>
        </w:rPr>
        <w:t>Method</w:t>
      </w:r>
    </w:p>
    <w:p>
      <w:pPr>
        <w:pStyle w:val="BodyText"/>
        <w:spacing w:before="58"/>
        <w:ind w:left="219" w:right="267"/>
        <w:jc w:val="both"/>
      </w:pPr>
      <w:r>
        <w:rPr/>
        <w:t>Equation 3.7.2 summarises how to estimate the change in carbon stocks in living biomass on land converted to “Other Land”. Average change in carbon stocks on a per area basis are estimated to be equal to the change in carbon stocks due to the removal of living biomass from the initial land uses. Given the definition of the “Other Land”, the default assumption is that carbon stock after conversion is zero.</w:t>
      </w:r>
    </w:p>
    <w:p>
      <w:pPr>
        <w:pStyle w:val="BodyText"/>
      </w:pPr>
    </w:p>
    <w:p>
      <w:pPr>
        <w:pStyle w:val="BodyText"/>
        <w:spacing w:before="3"/>
        <w:rPr>
          <w:sz w:val="13"/>
        </w:rPr>
      </w:pPr>
    </w:p>
    <w:p>
      <w:pPr>
        <w:pStyle w:val="BodyText"/>
        <w:ind w:left="624"/>
      </w:pPr>
      <w:r>
        <w:rPr/>
        <w:pict>
          <v:group style="width:412.95pt;height:66.75pt;mso-position-horizontal-relative:char;mso-position-vertical-relative:line" coordorigin="0,0" coordsize="8259,1335">
            <v:line style="position:absolute" from="29,14" to="8230,14" stroked="true" strokeweight="1.44pt" strokecolor="#000000">
              <v:stroke dashstyle="solid"/>
            </v:line>
            <v:line style="position:absolute" from="29,1320" to="8230,1320" stroked="true" strokeweight="1.44pt" strokecolor="#000000">
              <v:stroke dashstyle="solid"/>
            </v:line>
            <v:line style="position:absolute" from="14,0" to="14,1334" stroked="true" strokeweight="1.44pt" strokecolor="#000000">
              <v:stroke dashstyle="solid"/>
            </v:line>
            <v:line style="position:absolute" from="8244,0" to="8244,1334" stroked="true" strokeweight="1.44pt" strokecolor="#000000">
              <v:stroke dashstyle="solid"/>
            </v:line>
            <v:shape style="position:absolute;left:3038;top:919;width:2843;height:237" type="#_x0000_t202" filled="false" stroked="false">
              <v:textbox inset="0,0,0,0">
                <w:txbxContent>
                  <w:p>
                    <w:pPr>
                      <w:spacing w:line="237" w:lineRule="exact" w:before="0"/>
                      <w:ind w:left="0" w:right="0" w:firstLine="0"/>
                      <w:jc w:val="left"/>
                      <w:rPr>
                        <w:sz w:val="20"/>
                      </w:rPr>
                    </w:pPr>
                    <w:r>
                      <w:rPr>
                        <w:position w:val="3"/>
                        <w:sz w:val="20"/>
                      </w:rPr>
                      <w:t>= A</w:t>
                    </w:r>
                    <w:r>
                      <w:rPr>
                        <w:sz w:val="13"/>
                      </w:rPr>
                      <w:t>Conversion </w:t>
                    </w:r>
                    <w:r>
                      <w:rPr>
                        <w:position w:val="3"/>
                        <w:sz w:val="20"/>
                      </w:rPr>
                      <w:t>● (B</w:t>
                    </w:r>
                    <w:r>
                      <w:rPr>
                        <w:sz w:val="13"/>
                      </w:rPr>
                      <w:t>After </w:t>
                    </w:r>
                    <w:r>
                      <w:rPr>
                        <w:position w:val="3"/>
                        <w:sz w:val="20"/>
                      </w:rPr>
                      <w:t>– B</w:t>
                    </w:r>
                    <w:r>
                      <w:rPr>
                        <w:sz w:val="13"/>
                      </w:rPr>
                      <w:t>Before</w:t>
                    </w:r>
                    <w:r>
                      <w:rPr>
                        <w:position w:val="3"/>
                        <w:sz w:val="20"/>
                      </w:rPr>
                      <w:t>) ● CF</w:t>
                    </w:r>
                  </w:p>
                </w:txbxContent>
              </v:textbox>
              <w10:wrap type="none"/>
            </v:shape>
            <v:shape style="position:absolute;left:2824;top:1072;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2395;top:895;width:445;height:261" type="#_x0000_t202" filled="false" stroked="false">
              <v:textbox inset="0,0,0,0">
                <w:txbxContent>
                  <w:p>
                    <w:pPr>
                      <w:spacing w:line="246" w:lineRule="exact" w:before="14"/>
                      <w:ind w:left="0" w:right="0" w:firstLine="0"/>
                      <w:jc w:val="left"/>
                      <w:rPr>
                        <w:sz w:val="20"/>
                      </w:rPr>
                    </w:pPr>
                    <w:r>
                      <w:rPr>
                        <w:rFonts w:ascii="Symbol" w:hAnsi="Symbol"/>
                        <w:w w:val="101"/>
                        <w:sz w:val="20"/>
                      </w:rPr>
                      <w:t>∆</w:t>
                    </w:r>
                    <w:r>
                      <w:rPr>
                        <w:spacing w:val="1"/>
                        <w:w w:val="99"/>
                        <w:sz w:val="20"/>
                      </w:rPr>
                      <w:t>C</w:t>
                    </w:r>
                    <w:r>
                      <w:rPr>
                        <w:spacing w:val="-3"/>
                        <w:w w:val="99"/>
                        <w:sz w:val="20"/>
                        <w:vertAlign w:val="subscript"/>
                      </w:rPr>
                      <w:t>LO</w:t>
                    </w:r>
                  </w:p>
                </w:txbxContent>
              </v:textbox>
              <w10:wrap type="none"/>
            </v:shape>
            <v:shape style="position:absolute;left:1768;top:136;width:4739;height:682" type="#_x0000_t202" filled="false" stroked="false">
              <v:textbox inset="0,0,0,0">
                <w:txbxContent>
                  <w:p>
                    <w:pPr>
                      <w:spacing w:line="221" w:lineRule="exact" w:before="0"/>
                      <w:ind w:left="3" w:right="18" w:firstLine="0"/>
                      <w:jc w:val="center"/>
                      <w:rPr>
                        <w:b/>
                        <w:sz w:val="20"/>
                      </w:rPr>
                    </w:pPr>
                    <w:r>
                      <w:rPr>
                        <w:b/>
                        <w:sz w:val="20"/>
                      </w:rPr>
                      <w:t>E</w:t>
                    </w:r>
                    <w:r>
                      <w:rPr>
                        <w:b/>
                        <w:sz w:val="16"/>
                      </w:rPr>
                      <w:t>QUATION </w:t>
                    </w:r>
                    <w:r>
                      <w:rPr>
                        <w:b/>
                        <w:sz w:val="20"/>
                      </w:rPr>
                      <w:t>3.7.2</w:t>
                    </w:r>
                  </w:p>
                  <w:p>
                    <w:pPr>
                      <w:spacing w:before="0"/>
                      <w:ind w:left="-1" w:right="18" w:firstLine="0"/>
                      <w:jc w:val="center"/>
                      <w:rPr>
                        <w:b/>
                        <w:sz w:val="20"/>
                      </w:rPr>
                    </w:pPr>
                    <w:r>
                      <w:rPr>
                        <w:b/>
                        <w:sz w:val="20"/>
                      </w:rPr>
                      <w:t>A</w:t>
                    </w:r>
                    <w:r>
                      <w:rPr>
                        <w:b/>
                        <w:sz w:val="16"/>
                      </w:rPr>
                      <w:t>NNUAL CHANGE IN CARBON STOCKS IN LIVING</w:t>
                    </w:r>
                    <w:r>
                      <w:rPr>
                        <w:b/>
                        <w:spacing w:val="-15"/>
                        <w:sz w:val="16"/>
                      </w:rPr>
                      <w:t> </w:t>
                    </w:r>
                    <w:r>
                      <w:rPr>
                        <w:b/>
                        <w:sz w:val="16"/>
                      </w:rPr>
                      <w:t>BIOMASS IN LAND CONVERTED TO </w:t>
                    </w:r>
                    <w:r>
                      <w:rPr>
                        <w:b/>
                        <w:sz w:val="20"/>
                      </w:rPr>
                      <w:t>“O</w:t>
                    </w:r>
                    <w:r>
                      <w:rPr>
                        <w:b/>
                        <w:sz w:val="16"/>
                      </w:rPr>
                      <w:t>THER</w:t>
                    </w:r>
                    <w:r>
                      <w:rPr>
                        <w:b/>
                        <w:spacing w:val="-7"/>
                        <w:sz w:val="16"/>
                      </w:rPr>
                      <w:t> </w:t>
                    </w:r>
                    <w:r>
                      <w:rPr>
                        <w:b/>
                        <w:sz w:val="20"/>
                      </w:rPr>
                      <w:t>L</w:t>
                    </w:r>
                    <w:r>
                      <w:rPr>
                        <w:b/>
                        <w:sz w:val="16"/>
                      </w:rPr>
                      <w:t>AND</w:t>
                    </w:r>
                    <w:r>
                      <w:rPr>
                        <w:b/>
                        <w:sz w:val="20"/>
                      </w:rPr>
                      <w:t>”</w:t>
                    </w:r>
                  </w:p>
                </w:txbxContent>
              </v:textbox>
              <w10:wrap type="none"/>
            </v:shape>
          </v:group>
        </w:pict>
      </w:r>
      <w:r>
        <w:rPr/>
      </w:r>
    </w:p>
    <w:p>
      <w:pPr>
        <w:spacing w:after="0"/>
        <w:sectPr>
          <w:pgSz w:w="11900" w:h="16840"/>
          <w:pgMar w:header="230" w:footer="408" w:top="560" w:bottom="600" w:left="1200" w:right="1140"/>
        </w:sectPr>
      </w:pPr>
    </w:p>
    <w:p>
      <w:pPr>
        <w:pStyle w:val="BodyText"/>
        <w:spacing w:before="3"/>
        <w:ind w:left="219"/>
      </w:pPr>
      <w:r>
        <w:rPr/>
        <w:t>Where:</w:t>
      </w:r>
    </w:p>
    <w:p>
      <w:pPr>
        <w:pStyle w:val="BodyText"/>
        <w:spacing w:before="13"/>
        <w:ind w:left="785"/>
      </w:pPr>
      <w:r>
        <w:rPr/>
        <w:pict>
          <v:shape style="position:absolute;margin-left:120.760384pt;margin-top:8.771432pt;width:8.0500pt;height:7.2pt;mso-position-horizontal-relative:page;mso-position-vertical-relative:paragraph;z-index:13360"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LO</w:t>
      </w:r>
    </w:p>
    <w:p>
      <w:pPr>
        <w:pStyle w:val="BodyText"/>
        <w:spacing w:before="4"/>
        <w:rPr>
          <w:sz w:val="21"/>
        </w:rPr>
      </w:pPr>
      <w:r>
        <w:rPr/>
        <w:br w:type="column"/>
      </w:r>
      <w:r>
        <w:rPr>
          <w:sz w:val="21"/>
        </w:rPr>
      </w:r>
    </w:p>
    <w:p>
      <w:pPr>
        <w:pStyle w:val="BodyText"/>
        <w:spacing w:line="276" w:lineRule="auto"/>
        <w:ind w:left="250" w:right="268" w:hanging="228"/>
        <w:rPr>
          <w:sz w:val="13"/>
        </w:rPr>
      </w:pPr>
      <w:r>
        <w:rPr/>
        <w:t>= annual change in carbon stocks in living biomass in land converted to “Other Land”, tonnes C </w:t>
      </w:r>
      <w:r>
        <w:rPr>
          <w:position w:val="-8"/>
        </w:rPr>
        <w:t>yr</w:t>
      </w:r>
      <w:r>
        <w:rPr>
          <w:sz w:val="13"/>
        </w:rPr>
        <w:t>-1</w:t>
      </w:r>
    </w:p>
    <w:p>
      <w:pPr>
        <w:spacing w:after="0" w:line="276" w:lineRule="auto"/>
        <w:rPr>
          <w:sz w:val="13"/>
        </w:rPr>
        <w:sectPr>
          <w:type w:val="continuous"/>
          <w:pgSz w:w="11900" w:h="16840"/>
          <w:pgMar w:top="1060" w:bottom="280" w:left="1200" w:right="1140"/>
          <w:cols w:num="2" w:equalWidth="0">
            <w:col w:w="1377" w:space="40"/>
            <w:col w:w="8143"/>
          </w:cols>
        </w:sectPr>
      </w:pPr>
    </w:p>
    <w:p>
      <w:pPr>
        <w:pStyle w:val="BodyText"/>
        <w:spacing w:line="364" w:lineRule="auto" w:before="87"/>
        <w:ind w:left="785" w:right="804"/>
      </w:pPr>
      <w:r>
        <w:rPr/>
        <w:t>A</w:t>
      </w:r>
      <w:r>
        <w:rPr>
          <w:vertAlign w:val="subscript"/>
        </w:rPr>
        <w:t>Conversion</w:t>
      </w:r>
      <w:r>
        <w:rPr>
          <w:vertAlign w:val="baseline"/>
        </w:rPr>
        <w:t> = area of land converted annually to “Other Land” from some initial land uses, ha yr</w:t>
      </w:r>
      <w:r>
        <w:rPr>
          <w:vertAlign w:val="superscript"/>
        </w:rPr>
        <w:t>-1</w:t>
      </w:r>
      <w:r>
        <w:rPr>
          <w:vertAlign w:val="baseline"/>
        </w:rPr>
        <w:t> B</w:t>
      </w:r>
      <w:r>
        <w:rPr>
          <w:vertAlign w:val="subscript"/>
        </w:rPr>
        <w:t>After</w:t>
      </w:r>
      <w:r>
        <w:rPr>
          <w:vertAlign w:val="baseline"/>
        </w:rPr>
        <w:t>= amount of living biomass immediately after conversion to “Other Land”, tonnes d.m. ha</w:t>
      </w:r>
      <w:r>
        <w:rPr>
          <w:vertAlign w:val="superscript"/>
        </w:rPr>
        <w:t>-1</w:t>
      </w:r>
      <w:r>
        <w:rPr>
          <w:vertAlign w:val="baseline"/>
        </w:rPr>
        <w:t> B</w:t>
      </w:r>
      <w:r>
        <w:rPr>
          <w:vertAlign w:val="subscript"/>
        </w:rPr>
        <w:t>Before</w:t>
      </w:r>
      <w:r>
        <w:rPr>
          <w:vertAlign w:val="baseline"/>
        </w:rPr>
        <w:t>= amount of living biomass immediately before conversion to “Other Land”, tonnes d.m. ha</w:t>
      </w:r>
      <w:r>
        <w:rPr>
          <w:vertAlign w:val="superscript"/>
        </w:rPr>
        <w:t>-1</w:t>
      </w:r>
      <w:r>
        <w:rPr>
          <w:vertAlign w:val="baseline"/>
        </w:rPr>
        <w:t> CF = carbon fraction of dry matter (default = 0.5), tonnes C (tonnes d.m.)</w:t>
      </w:r>
      <w:r>
        <w:rPr>
          <w:vertAlign w:val="superscript"/>
        </w:rPr>
        <w:t>-1</w:t>
      </w:r>
    </w:p>
    <w:p>
      <w:pPr>
        <w:pStyle w:val="BodyText"/>
        <w:spacing w:before="6"/>
        <w:rPr>
          <w:sz w:val="30"/>
        </w:rPr>
      </w:pPr>
    </w:p>
    <w:p>
      <w:pPr>
        <w:pStyle w:val="BodyText"/>
        <w:spacing w:before="1"/>
        <w:ind w:left="219" w:right="265"/>
        <w:jc w:val="both"/>
      </w:pPr>
      <w:r>
        <w:rPr>
          <w:b/>
        </w:rPr>
        <w:t>Tier 1: </w:t>
      </w:r>
      <w:r>
        <w:rPr/>
        <w:t>A Tier 1 method follows the approach in the </w:t>
      </w:r>
      <w:r>
        <w:rPr>
          <w:i/>
        </w:rPr>
        <w:t>IPCC Guidelines</w:t>
      </w:r>
      <w:r>
        <w:rPr/>
        <w:t>, Section 5.2.3 (Forest and Grassland Conversion) where the amount of aboveground biomass that is removed is estimated by multiplying the forest area converted annually to other land by the average annual carbon content of biomass in the land prior to conversion. It is assumed that the entire biomass is removed in the year of conversion. The recommended default assumption for the Tier 1 calculation is that all carbon in biomass is released to the atmosphere through decay processes either on- or off-site.</w:t>
      </w:r>
    </w:p>
    <w:p>
      <w:pPr>
        <w:pStyle w:val="BodyText"/>
        <w:spacing w:before="120"/>
        <w:ind w:left="219" w:right="263"/>
        <w:jc w:val="both"/>
      </w:pPr>
      <w:r>
        <w:rPr>
          <w:b/>
        </w:rPr>
        <w:t>Tier 2: </w:t>
      </w:r>
      <w:r>
        <w:rPr/>
        <w:t>A Tier 2 method can be used if country-specific data on carbon stocks in initial land uses are obtainable. In addition, under Tier 2, carbon losses can be apportioned to specific conversion processes, such as burning or harvesting. This allows more accurate estimation of non-CO</w:t>
      </w:r>
      <w:r>
        <w:rPr>
          <w:vertAlign w:val="subscript"/>
        </w:rPr>
        <w:t>2</w:t>
      </w:r>
      <w:r>
        <w:rPr>
          <w:vertAlign w:val="baseline"/>
        </w:rPr>
        <w:t> greenhouse gas emissions. (See Section 3.2.1.4 for the basic method for estimating non-CO</w:t>
      </w:r>
      <w:r>
        <w:rPr>
          <w:vertAlign w:val="subscript"/>
        </w:rPr>
        <w:t>2</w:t>
      </w:r>
      <w:r>
        <w:rPr>
          <w:vertAlign w:val="baseline"/>
        </w:rPr>
        <w:t> greenhouse gas emissions from biomass burning.) The portion of biomass removed is sometimes used as wood products or as fuel wood. In the case of wood products, countries may use the default assumption that carbon in wood products is oxidized in the year of removal. Alternatively, countries may refer to Appendix 3a.1 for estimation techniques for carbon storage in harvested wood products.</w:t>
      </w:r>
    </w:p>
    <w:p>
      <w:pPr>
        <w:pStyle w:val="BodyText"/>
        <w:spacing w:before="120"/>
        <w:ind w:left="219" w:right="268"/>
        <w:jc w:val="both"/>
      </w:pPr>
      <w:r>
        <w:rPr>
          <w:b/>
        </w:rPr>
        <w:t>Tier 3: </w:t>
      </w:r>
      <w:r>
        <w:rPr/>
        <w:t>A Tier 3 method is similar to the Tier 2 method but requires more detailed data/information than the  Tier 2 approach,</w:t>
      </w:r>
      <w:r>
        <w:rPr>
          <w:spacing w:val="-1"/>
        </w:rPr>
        <w:t> </w:t>
      </w:r>
      <w:r>
        <w:rPr/>
        <w:t>e.g.:</w:t>
      </w:r>
    </w:p>
    <w:p>
      <w:pPr>
        <w:pStyle w:val="BodyText"/>
        <w:spacing w:line="246" w:lineRule="exact" w:before="133"/>
        <w:ind w:left="219"/>
        <w:jc w:val="both"/>
      </w:pPr>
      <w:r>
        <w:rPr>
          <w:rFonts w:ascii="Symbol" w:hAnsi="Symbol"/>
        </w:rPr>
        <w:t>• </w:t>
      </w:r>
      <w:r>
        <w:rPr/>
        <w:t>Actual areas converted annually are used for each forest land converted to “Other Land”;</w:t>
      </w:r>
    </w:p>
    <w:p>
      <w:pPr>
        <w:pStyle w:val="BodyText"/>
        <w:tabs>
          <w:tab w:pos="579" w:val="left" w:leader="none"/>
        </w:tabs>
        <w:spacing w:line="223" w:lineRule="auto" w:before="11"/>
        <w:ind w:left="576" w:right="267" w:hanging="358"/>
      </w:pPr>
      <w:r>
        <w:rPr>
          <w:rFonts w:ascii="Symbol" w:hAnsi="Symbol"/>
        </w:rPr>
        <w:t>•</w:t>
        <w:tab/>
        <w:tab/>
      </w:r>
      <w:r>
        <w:rPr/>
        <w:t>Carbon densities and change in soil carbon stocks are based on locally specific information, possibly with a dynamic link between biomass and soil;</w:t>
      </w:r>
      <w:r>
        <w:rPr>
          <w:spacing w:val="-3"/>
        </w:rPr>
        <w:t> </w:t>
      </w:r>
      <w:r>
        <w:rPr/>
        <w:t>and</w:t>
      </w:r>
    </w:p>
    <w:p>
      <w:pPr>
        <w:pStyle w:val="BodyText"/>
        <w:spacing w:before="19"/>
        <w:ind w:left="219"/>
        <w:jc w:val="both"/>
      </w:pPr>
      <w:r>
        <w:rPr>
          <w:rFonts w:ascii="Symbol" w:hAnsi="Symbol"/>
        </w:rPr>
        <w:t>• </w:t>
      </w:r>
      <w:r>
        <w:rPr/>
        <w:t>Biomass volumes removed are based on actual inventories and/or the model estimations.</w:t>
      </w:r>
    </w:p>
    <w:p>
      <w:pPr>
        <w:pStyle w:val="Heading6"/>
        <w:numPr>
          <w:ilvl w:val="5"/>
          <w:numId w:val="78"/>
        </w:numPr>
        <w:tabs>
          <w:tab w:pos="1661" w:val="left" w:leader="none"/>
          <w:tab w:pos="1662" w:val="left" w:leader="none"/>
        </w:tabs>
        <w:spacing w:line="240" w:lineRule="auto" w:before="229" w:after="0"/>
        <w:ind w:left="1661" w:right="0" w:hanging="1442"/>
        <w:jc w:val="left"/>
      </w:pPr>
      <w:r>
        <w:rPr/>
        <w:t>2</w:t>
        <w:tab/>
      </w:r>
      <w:r>
        <w:rPr>
          <w:spacing w:val="15"/>
        </w:rPr>
        <w:t>Choice </w:t>
      </w:r>
      <w:r>
        <w:rPr>
          <w:spacing w:val="9"/>
        </w:rPr>
        <w:t>of </w:t>
      </w:r>
      <w:r>
        <w:rPr>
          <w:spacing w:val="17"/>
        </w:rPr>
        <w:t>Emission/Removal</w:t>
      </w:r>
      <w:r>
        <w:rPr>
          <w:spacing w:val="31"/>
        </w:rPr>
        <w:t> </w:t>
      </w:r>
      <w:r>
        <w:rPr>
          <w:spacing w:val="19"/>
        </w:rPr>
        <w:t>Factors</w:t>
      </w:r>
    </w:p>
    <w:p>
      <w:pPr>
        <w:pStyle w:val="BodyText"/>
        <w:spacing w:before="54"/>
        <w:ind w:left="219" w:right="266"/>
        <w:jc w:val="both"/>
      </w:pPr>
      <w:r>
        <w:rPr>
          <w:b/>
        </w:rPr>
        <w:t>Tier 1: </w:t>
      </w:r>
      <w:r>
        <w:rPr/>
        <w:t>Default parameters are provided in both the </w:t>
      </w:r>
      <w:r>
        <w:rPr>
          <w:i/>
        </w:rPr>
        <w:t>IPCC Guidelines </w:t>
      </w:r>
      <w:r>
        <w:rPr/>
        <w:t>and in this report to enable countries with limited data resources to estimate emissions and removals from this source. The method requires the estimation of carbon stocks before conversion for the initial land use (C</w:t>
      </w:r>
      <w:r>
        <w:rPr>
          <w:vertAlign w:val="subscript"/>
        </w:rPr>
        <w:t>Before</w:t>
      </w:r>
      <w:r>
        <w:rPr>
          <w:vertAlign w:val="baseline"/>
        </w:rPr>
        <w:t>) and assumes that the carbon stock after conversion (C</w:t>
      </w:r>
      <w:r>
        <w:rPr>
          <w:vertAlign w:val="subscript"/>
        </w:rPr>
        <w:t>After</w:t>
      </w:r>
      <w:r>
        <w:rPr>
          <w:vertAlign w:val="baseline"/>
        </w:rPr>
        <w:t>) is zero. Tables 5-4 to 5-6 of the </w:t>
      </w:r>
      <w:r>
        <w:rPr>
          <w:i/>
          <w:vertAlign w:val="baseline"/>
        </w:rPr>
        <w:t>IPCC Guidelines</w:t>
      </w:r>
      <w:r>
        <w:rPr>
          <w:vertAlign w:val="baseline"/>
        </w:rPr>
        <w:t>, Table 3A.1.7 (Annual average  aboveground volume increment in plantation by species) and Table 3A.1.8 (Average belowground to aboveground biomass ratio in natural regeneration by broad category) of this report, can be used to estimate carbon stocks before conversion in case the initial land-use category was forest land. If the initial land-use category is cropland or grassland, guidance is given in Section 3.3.2 or 3.4.2,</w:t>
      </w:r>
      <w:r>
        <w:rPr>
          <w:spacing w:val="-15"/>
          <w:vertAlign w:val="baseline"/>
        </w:rPr>
        <w:t> </w:t>
      </w:r>
      <w:r>
        <w:rPr>
          <w:vertAlign w:val="baseline"/>
        </w:rPr>
        <w:t>respectively.</w:t>
      </w:r>
    </w:p>
    <w:p>
      <w:pPr>
        <w:pStyle w:val="BodyText"/>
        <w:spacing w:before="121"/>
        <w:ind w:left="219" w:right="265"/>
        <w:jc w:val="both"/>
      </w:pPr>
      <w:r>
        <w:rPr>
          <w:b/>
        </w:rPr>
        <w:t>Tier 2: </w:t>
      </w:r>
      <w:r>
        <w:rPr/>
        <w:t>The default carbon stock values provided above can be applied to some parameters in a Tier 2 approach. However, the Tier 2 method requires at least some country-specific information, which may be obtained, for example, through systematic studies of carbon stock of initial forests and other land-use categories. Default parameters for emissions from biomass burning are provided in Section 3.2.1.4. However, inventory compilers</w:t>
      </w:r>
    </w:p>
    <w:p>
      <w:pPr>
        <w:spacing w:after="0"/>
        <w:jc w:val="both"/>
        <w:sectPr>
          <w:type w:val="continuous"/>
          <w:pgSz w:w="11900" w:h="16840"/>
          <w:pgMar w:top="1060" w:bottom="280" w:left="1200" w:right="1140"/>
        </w:sectPr>
      </w:pPr>
    </w:p>
    <w:p>
      <w:pPr>
        <w:pStyle w:val="BodyText"/>
      </w:pPr>
    </w:p>
    <w:p>
      <w:pPr>
        <w:pStyle w:val="BodyText"/>
        <w:spacing w:before="2"/>
        <w:rPr>
          <w:sz w:val="18"/>
        </w:rPr>
      </w:pPr>
    </w:p>
    <w:p>
      <w:pPr>
        <w:pStyle w:val="BodyText"/>
        <w:ind w:left="219" w:right="268"/>
        <w:jc w:val="both"/>
      </w:pPr>
      <w:r>
        <w:rPr/>
        <w:t>are encouraged to develop country-specific coefficients to improve the accuracy of estimates. The default value for the proportion of biomass oxidized as a result of burning is 0.9, as originally stated in the </w:t>
      </w:r>
      <w:r>
        <w:rPr>
          <w:i/>
        </w:rPr>
        <w:t>IPCC Guidelines</w:t>
      </w:r>
      <w:r>
        <w:rPr/>
        <w:t>.</w:t>
      </w:r>
    </w:p>
    <w:p>
      <w:pPr>
        <w:pStyle w:val="BodyText"/>
        <w:spacing w:before="121"/>
        <w:ind w:left="219"/>
        <w:jc w:val="both"/>
      </w:pPr>
      <w:r>
        <w:rPr>
          <w:b/>
        </w:rPr>
        <w:t>Tier 3: </w:t>
      </w:r>
      <w:r>
        <w:rPr/>
        <w:t>Under Tier 3, all parameters should be country-specific and more accurate than the default values.</w:t>
      </w:r>
    </w:p>
    <w:p>
      <w:pPr>
        <w:pStyle w:val="BodyText"/>
        <w:spacing w:before="4"/>
        <w:rPr>
          <w:sz w:val="21"/>
        </w:rPr>
      </w:pPr>
    </w:p>
    <w:p>
      <w:pPr>
        <w:pStyle w:val="Heading6"/>
        <w:numPr>
          <w:ilvl w:val="5"/>
          <w:numId w:val="78"/>
        </w:numPr>
        <w:tabs>
          <w:tab w:pos="1661" w:val="left" w:leader="none"/>
        </w:tabs>
        <w:spacing w:line="240" w:lineRule="auto" w:before="0" w:after="0"/>
        <w:ind w:left="1660" w:right="0" w:hanging="1441"/>
        <w:jc w:val="both"/>
      </w:pPr>
      <w:r>
        <w:rPr/>
        <w:t>3 </w:t>
      </w:r>
      <w:r>
        <w:rPr>
          <w:spacing w:val="15"/>
        </w:rPr>
        <w:t>Choice </w:t>
      </w:r>
      <w:r>
        <w:rPr>
          <w:spacing w:val="9"/>
        </w:rPr>
        <w:t>of </w:t>
      </w:r>
      <w:r>
        <w:rPr>
          <w:spacing w:val="16"/>
        </w:rPr>
        <w:t>Activity</w:t>
      </w:r>
      <w:r>
        <w:rPr>
          <w:spacing w:val="8"/>
        </w:rPr>
        <w:t> </w:t>
      </w:r>
      <w:r>
        <w:rPr>
          <w:spacing w:val="19"/>
        </w:rPr>
        <w:t>Data</w:t>
      </w:r>
    </w:p>
    <w:p>
      <w:pPr>
        <w:pStyle w:val="BodyText"/>
        <w:spacing w:before="54"/>
        <w:ind w:left="219" w:right="263"/>
        <w:jc w:val="both"/>
      </w:pPr>
      <w:r>
        <w:rPr/>
        <w:t>All tiers require some estimate of the area of land converted to “Other land” over a time period that is consistent with land-use surveys. The same aggregate area estimates should be used for both biomass and soil in the calculations of change in carbon stocks on land converted to “Other Land”. As described below, higher tiers require greater specificity of areas.</w:t>
      </w:r>
    </w:p>
    <w:p>
      <w:pPr>
        <w:pStyle w:val="BodyText"/>
        <w:spacing w:before="122"/>
        <w:ind w:left="219" w:right="266"/>
        <w:jc w:val="both"/>
      </w:pPr>
      <w:r>
        <w:rPr>
          <w:b/>
        </w:rPr>
        <w:t>Tier 1: </w:t>
      </w:r>
      <w:r>
        <w:rPr/>
        <w:t>For a Tier 1 approach, activity data on areas of different land-use categories converted to”Other Land” are needed. If countries do not have these data, partial samples may be extrapolated to the entire land base or historic estimates of conversions may be extrapolated over time based on expert judgement.</w:t>
      </w:r>
    </w:p>
    <w:p>
      <w:pPr>
        <w:pStyle w:val="BodyText"/>
        <w:spacing w:before="118"/>
        <w:ind w:left="219" w:right="264"/>
        <w:jc w:val="both"/>
      </w:pPr>
      <w:r>
        <w:rPr>
          <w:b/>
        </w:rPr>
        <w:t>Tier 2: </w:t>
      </w:r>
      <w:r>
        <w:rPr/>
        <w:t>Under Tier 2, inventory compilers should strive to use actual area estimates for transitions from various land-use categories to “Other Land”. Full coverage of land areas can be accomplished either through analysis of periodic remotely sensed images of land-use and land cover patterns, through periodic ground-based sampling of land-use patterns, or hybrid inventory systems.</w:t>
      </w:r>
    </w:p>
    <w:p>
      <w:pPr>
        <w:pStyle w:val="BodyText"/>
        <w:spacing w:before="120"/>
        <w:ind w:left="219" w:right="264"/>
        <w:jc w:val="both"/>
      </w:pPr>
      <w:r>
        <w:rPr>
          <w:b/>
        </w:rPr>
        <w:t>Tier 3: </w:t>
      </w:r>
      <w:r>
        <w:rPr/>
        <w:t>The activity data used in Tier 3 calculations should be a full accounting of all land-use category transitions to other land and should be disaggregated to account for different conditions within a country. Disaggregation can occur along political (county, province, etc.), biome, climate, or on a combination of these parameters. In many cases, information on multi-year trends in land conversion may be available (from periodic sample-based or remotely sensed inventories of land use and land cover).</w:t>
      </w:r>
    </w:p>
    <w:p>
      <w:pPr>
        <w:pStyle w:val="BodyText"/>
        <w:spacing w:before="5"/>
        <w:rPr>
          <w:sz w:val="21"/>
        </w:rPr>
      </w:pPr>
    </w:p>
    <w:p>
      <w:pPr>
        <w:pStyle w:val="Heading6"/>
        <w:numPr>
          <w:ilvl w:val="5"/>
          <w:numId w:val="78"/>
        </w:numPr>
        <w:tabs>
          <w:tab w:pos="1662" w:val="left" w:leader="none"/>
        </w:tabs>
        <w:spacing w:line="240" w:lineRule="auto" w:before="1" w:after="0"/>
        <w:ind w:left="1661" w:right="0" w:hanging="1442"/>
        <w:jc w:val="both"/>
      </w:pPr>
      <w:r>
        <w:rPr/>
        <w:t>4 </w:t>
      </w:r>
      <w:r>
        <w:rPr>
          <w:spacing w:val="17"/>
        </w:rPr>
        <w:t>Uncertainty</w:t>
      </w:r>
      <w:r>
        <w:rPr>
          <w:spacing w:val="18"/>
        </w:rPr>
        <w:t> </w:t>
      </w:r>
      <w:r>
        <w:rPr>
          <w:spacing w:val="19"/>
        </w:rPr>
        <w:t>Assessment</w:t>
      </w:r>
    </w:p>
    <w:p>
      <w:pPr>
        <w:pStyle w:val="BodyText"/>
        <w:spacing w:before="53"/>
        <w:ind w:left="219" w:right="266"/>
        <w:jc w:val="both"/>
      </w:pPr>
      <w:r>
        <w:rPr>
          <w:b/>
        </w:rPr>
        <w:t>Tier 1: </w:t>
      </w:r>
      <w:r>
        <w:rPr/>
        <w:t>Under Tier 1, the sources of uncertainty are the use of global or national averages for carbon stocks in forest land or other land uses before conversion and coarse estimates of areas converted to “Other Land”. Most default values in this method do not have corresponding error ranges associated with them. Therefore, a default uncertainty level of +/- 75% of the estimated CO</w:t>
      </w:r>
      <w:r>
        <w:rPr>
          <w:vertAlign w:val="subscript"/>
        </w:rPr>
        <w:t>2</w:t>
      </w:r>
      <w:r>
        <w:rPr>
          <w:vertAlign w:val="baseline"/>
        </w:rPr>
        <w:t> emission or removal has been assumed based on expert judgement.</w:t>
      </w:r>
    </w:p>
    <w:p>
      <w:pPr>
        <w:pStyle w:val="BodyText"/>
        <w:spacing w:before="120"/>
        <w:ind w:left="219" w:right="264"/>
        <w:jc w:val="both"/>
      </w:pPr>
      <w:r>
        <w:rPr>
          <w:b/>
        </w:rPr>
        <w:t>Tier 2: </w:t>
      </w:r>
      <w:r>
        <w:rPr/>
        <w:t>Actual area estimates for land converted to “Other Land” will enable more transparent accounting and allow experts to identify gaps and double counting of land areas. The Tier 2 method uses at least some country- specific values, which will improve the accuracy of estimates, provided they better represent conditions relevant to the country. When country-specific values are developed, inventory compilers should use sufficient sample sizes and techniques to minimize standard errors. Probability density functions (i.e. providing mean and variance estimates) can be derived for all country-parameters. Such data can be used in advanced uncertainty analyses such as Monte Carlo simulations. Chapter 5 of this report can be referred for guidance on developing such analyses. At a minimum, Tier 2 approaches should provide error ranges for each country-specific parameter.</w:t>
      </w:r>
    </w:p>
    <w:p>
      <w:pPr>
        <w:pStyle w:val="BodyText"/>
        <w:spacing w:before="121"/>
        <w:ind w:left="219" w:right="262"/>
        <w:jc w:val="both"/>
      </w:pPr>
      <w:r>
        <w:rPr>
          <w:b/>
        </w:rPr>
        <w:t>Tier 3: </w:t>
      </w:r>
      <w:r>
        <w:rPr/>
        <w:t>Activity data should provide a basis to assign estimates of uncertainty to areas associated with land conversion. Combining emission/removal factors and activity data and their associated uncertainties can be done using Monte Carlo procedures to estimate means and confidence intervals for the overall inventory.</w:t>
      </w:r>
    </w:p>
    <w:p>
      <w:pPr>
        <w:pStyle w:val="BodyText"/>
        <w:rPr>
          <w:sz w:val="22"/>
        </w:rPr>
      </w:pPr>
    </w:p>
    <w:p>
      <w:pPr>
        <w:pStyle w:val="Heading6"/>
        <w:numPr>
          <w:ilvl w:val="3"/>
          <w:numId w:val="78"/>
        </w:numPr>
        <w:tabs>
          <w:tab w:pos="1660" w:val="left" w:leader="none"/>
        </w:tabs>
        <w:spacing w:line="240" w:lineRule="auto" w:before="146" w:after="0"/>
        <w:ind w:left="1659" w:right="0" w:hanging="1440"/>
        <w:jc w:val="both"/>
      </w:pPr>
      <w:r>
        <w:rPr>
          <w:spacing w:val="15"/>
          <w:sz w:val="28"/>
        </w:rPr>
        <w:t>C</w:t>
      </w:r>
      <w:r>
        <w:rPr>
          <w:spacing w:val="15"/>
        </w:rPr>
        <w:t>HANGE </w:t>
      </w:r>
      <w:r>
        <w:rPr>
          <w:spacing w:val="10"/>
        </w:rPr>
        <w:t>IN </w:t>
      </w:r>
      <w:r>
        <w:rPr>
          <w:spacing w:val="16"/>
        </w:rPr>
        <w:t>CARBON </w:t>
      </w:r>
      <w:r>
        <w:rPr>
          <w:spacing w:val="15"/>
        </w:rPr>
        <w:t>STOCKS </w:t>
      </w:r>
      <w:r>
        <w:rPr>
          <w:spacing w:val="10"/>
        </w:rPr>
        <w:t>IN </w:t>
      </w:r>
      <w:r>
        <w:rPr>
          <w:spacing w:val="15"/>
        </w:rPr>
        <w:t>SOILS</w:t>
      </w:r>
    </w:p>
    <w:p>
      <w:pPr>
        <w:pStyle w:val="BodyText"/>
        <w:spacing w:before="209"/>
        <w:ind w:left="219" w:right="264"/>
        <w:jc w:val="both"/>
      </w:pPr>
      <w:r>
        <w:rPr/>
        <w:t>The conversion of land to “Other Land”, especially to bare soils, could result in the release of carbon previously held in soil on the land. On land converted to “Other Land” inventory compilers should estimate the change in carbon stocks in mineral soils under the initial land uses. The resulting carbon stocks in mineral soils for “Other Land” can be assumed as zero for many situations. It is also assumed that the change in carbon stocks in organic soils are not relevant in this section.</w:t>
      </w:r>
    </w:p>
    <w:p>
      <w:pPr>
        <w:pStyle w:val="Heading6"/>
        <w:numPr>
          <w:ilvl w:val="4"/>
          <w:numId w:val="78"/>
        </w:numPr>
        <w:tabs>
          <w:tab w:pos="1659" w:val="left" w:leader="none"/>
          <w:tab w:pos="1660" w:val="left" w:leader="none"/>
        </w:tabs>
        <w:spacing w:line="370" w:lineRule="atLeast" w:before="131" w:after="0"/>
        <w:ind w:left="219" w:right="4472" w:firstLine="0"/>
        <w:jc w:val="left"/>
      </w:pPr>
      <w:r>
        <w:rPr/>
        <w:t>1</w:t>
        <w:tab/>
      </w:r>
      <w:r>
        <w:rPr>
          <w:spacing w:val="17"/>
        </w:rPr>
        <w:t>METHODOLOGICAL </w:t>
      </w:r>
      <w:r>
        <w:rPr>
          <w:spacing w:val="16"/>
        </w:rPr>
        <w:t>ISSUES 3.7.2.2</w:t>
      </w:r>
      <w:r>
        <w:rPr>
          <w:spacing w:val="-34"/>
        </w:rPr>
        <w:t> </w:t>
      </w:r>
      <w:r>
        <w:rPr>
          <w:spacing w:val="14"/>
        </w:rPr>
        <w:t>.1.1</w:t>
        <w:tab/>
      </w:r>
      <w:r>
        <w:rPr>
          <w:spacing w:val="15"/>
        </w:rPr>
        <w:t>Choice </w:t>
      </w:r>
      <w:r>
        <w:rPr>
          <w:spacing w:val="9"/>
        </w:rPr>
        <w:t>of</w:t>
      </w:r>
      <w:r>
        <w:rPr>
          <w:spacing w:val="-4"/>
        </w:rPr>
        <w:t> </w:t>
      </w:r>
      <w:r>
        <w:rPr>
          <w:spacing w:val="19"/>
        </w:rPr>
        <w:t>Method</w:t>
      </w:r>
    </w:p>
    <w:p>
      <w:pPr>
        <w:pStyle w:val="BodyText"/>
        <w:spacing w:before="55"/>
        <w:ind w:left="219" w:right="265"/>
        <w:jc w:val="both"/>
      </w:pPr>
      <w:r>
        <w:rPr/>
        <w:t>The estimation method for mineral soil is based on change in soil carbon stocks over a finite period following change in management that impacts soil carbon stocks, as shown in Equation 3.7.3. Previous soil carbon stocks (SOC</w:t>
      </w:r>
      <w:r>
        <w:rPr>
          <w:vertAlign w:val="subscript"/>
        </w:rPr>
        <w:t>(0-T)</w:t>
      </w:r>
      <w:r>
        <w:rPr>
          <w:vertAlign w:val="baseline"/>
        </w:rPr>
        <w:t>) and soil carbon stocks in the inventory year (SOC</w:t>
      </w:r>
      <w:r>
        <w:rPr>
          <w:vertAlign w:val="subscript"/>
        </w:rPr>
        <w:t>0</w:t>
      </w:r>
      <w:r>
        <w:rPr>
          <w:vertAlign w:val="baseline"/>
        </w:rPr>
        <w:t>) are estimated from reference carbon stocks (Sections 3.3, Table 3.3.3) and stock change factors (Section 3.4, Table 3.3.4), applied for the respective time points. The default time period between these two time points is 20 years. This approach is similar to that</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pPr>
      <w:r>
        <w:rPr/>
        <w:t>described in Section 3.2.2.3 (forest soil carbon section) except that it is assumed that the soil carbon stocks in the inventory year are zero for land converted to ”Other Land”.</w:t>
      </w:r>
    </w:p>
    <w:p>
      <w:pPr>
        <w:pStyle w:val="BodyText"/>
        <w:spacing w:before="2"/>
        <w:rPr>
          <w:sz w:val="11"/>
        </w:rPr>
      </w:pPr>
      <w:r>
        <w:rPr/>
        <w:pict>
          <v:shape style="position:absolute;margin-left:91.960999pt;margin-top:9.158809pt;width:411.5pt;height:80.05pt;mso-position-horizontal-relative:page;mso-position-vertical-relative:paragraph;z-index:11336;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E</w:t>
                  </w:r>
                  <w:r>
                    <w:rPr>
                      <w:b/>
                      <w:sz w:val="16"/>
                    </w:rPr>
                    <w:t>QUATION </w:t>
                  </w:r>
                  <w:r>
                    <w:rPr>
                      <w:b/>
                      <w:sz w:val="20"/>
                    </w:rPr>
                    <w:t>3.7.3</w:t>
                  </w:r>
                </w:p>
                <w:p>
                  <w:pPr>
                    <w:spacing w:before="0"/>
                    <w:ind w:left="1739" w:right="1737" w:firstLine="0"/>
                    <w:jc w:val="center"/>
                    <w:rPr>
                      <w:b/>
                      <w:sz w:val="20"/>
                    </w:rPr>
                  </w:pPr>
                  <w:r>
                    <w:rPr>
                      <w:b/>
                      <w:sz w:val="20"/>
                    </w:rPr>
                    <w:t>A</w:t>
                  </w:r>
                  <w:r>
                    <w:rPr>
                      <w:b/>
                      <w:sz w:val="16"/>
                    </w:rPr>
                    <w:t>NNUAL CHANGE IN CARBON STOCKS IN MINERAL SOILS IN LAND CONVERTED TO </w:t>
                  </w:r>
                  <w:r>
                    <w:rPr>
                      <w:b/>
                      <w:sz w:val="20"/>
                    </w:rPr>
                    <w:t>“O</w:t>
                  </w:r>
                  <w:r>
                    <w:rPr>
                      <w:b/>
                      <w:sz w:val="16"/>
                    </w:rPr>
                    <w:t>THER </w:t>
                  </w:r>
                  <w:r>
                    <w:rPr>
                      <w:b/>
                      <w:sz w:val="20"/>
                    </w:rPr>
                    <w:t>L</w:t>
                  </w:r>
                  <w:r>
                    <w:rPr>
                      <w:b/>
                      <w:sz w:val="16"/>
                    </w:rPr>
                    <w:t>AND</w:t>
                  </w:r>
                  <w:r>
                    <w:rPr>
                      <w:b/>
                      <w:sz w:val="20"/>
                    </w:rPr>
                    <w:t>”</w:t>
                  </w:r>
                </w:p>
                <w:p>
                  <w:pPr>
                    <w:pStyle w:val="BodyText"/>
                    <w:spacing w:line="309" w:lineRule="auto" w:before="75"/>
                    <w:ind w:left="2310" w:right="2311"/>
                    <w:jc w:val="center"/>
                  </w:pPr>
                  <w:r>
                    <w:rPr/>
                    <w:t>∆C</w:t>
                  </w:r>
                  <w:r>
                    <w:rPr>
                      <w:vertAlign w:val="subscript"/>
                    </w:rPr>
                    <w:t>LO</w:t>
                  </w:r>
                  <w:r>
                    <w:rPr>
                      <w:position w:val="-8"/>
                      <w:sz w:val="13"/>
                      <w:vertAlign w:val="baseline"/>
                    </w:rPr>
                    <w:t>Mineral </w:t>
                  </w:r>
                  <w:r>
                    <w:rPr>
                      <w:vertAlign w:val="baseline"/>
                    </w:rPr>
                    <w:t>= [(SOC</w:t>
                  </w:r>
                  <w:r>
                    <w:rPr>
                      <w:vertAlign w:val="subscript"/>
                    </w:rPr>
                    <w:t>0</w:t>
                  </w:r>
                  <w:r>
                    <w:rPr>
                      <w:vertAlign w:val="baseline"/>
                    </w:rPr>
                    <w:t> – SOC</w:t>
                  </w:r>
                  <w:r>
                    <w:rPr>
                      <w:vertAlign w:val="subscript"/>
                    </w:rPr>
                    <w:t>(0-T)</w:t>
                  </w:r>
                  <w:r>
                    <w:rPr>
                      <w:vertAlign w:val="baseline"/>
                    </w:rPr>
                    <w:t>) ● A ] / T SOC = SOC</w:t>
                  </w:r>
                  <w:r>
                    <w:rPr>
                      <w:position w:val="-2"/>
                      <w:sz w:val="10"/>
                      <w:vertAlign w:val="baseline"/>
                    </w:rPr>
                    <w:t>REF </w:t>
                  </w:r>
                  <w:r>
                    <w:rPr>
                      <w:vertAlign w:val="baseline"/>
                    </w:rPr>
                    <w:t>● F</w:t>
                  </w:r>
                  <w:r>
                    <w:rPr>
                      <w:vertAlign w:val="subscript"/>
                    </w:rPr>
                    <w:t>LU</w:t>
                  </w:r>
                  <w:r>
                    <w:rPr>
                      <w:vertAlign w:val="baseline"/>
                    </w:rPr>
                    <w:t> ● F</w:t>
                  </w:r>
                  <w:r>
                    <w:rPr>
                      <w:vertAlign w:val="subscript"/>
                    </w:rPr>
                    <w:t>MG</w:t>
                  </w:r>
                  <w:r>
                    <w:rPr>
                      <w:vertAlign w:val="baseline"/>
                    </w:rPr>
                    <w:t> ● F</w:t>
                  </w:r>
                  <w:r>
                    <w:rPr>
                      <w:vertAlign w:val="subscript"/>
                    </w:rPr>
                    <w:t>I</w:t>
                  </w:r>
                </w:p>
              </w:txbxContent>
            </v:textbox>
            <v:stroke dashstyle="solid"/>
            <w10:wrap type="topAndBottom"/>
          </v:shape>
        </w:pict>
      </w:r>
    </w:p>
    <w:p>
      <w:pPr>
        <w:pStyle w:val="BodyText"/>
        <w:spacing w:before="4"/>
        <w:ind w:left="219"/>
      </w:pPr>
      <w:r>
        <w:rPr/>
        <w:t>Where:</w:t>
      </w:r>
    </w:p>
    <w:p>
      <w:pPr>
        <w:pStyle w:val="BodyText"/>
        <w:spacing w:line="199" w:lineRule="auto" w:before="137"/>
        <w:ind w:left="1848" w:right="263" w:hanging="1064"/>
        <w:rPr>
          <w:sz w:val="13"/>
        </w:rPr>
      </w:pPr>
      <w:r>
        <w:rPr/>
        <w:t>∆C</w:t>
      </w:r>
      <w:r>
        <w:rPr>
          <w:vertAlign w:val="subscript"/>
        </w:rPr>
        <w:t>LO</w:t>
      </w:r>
      <w:r>
        <w:rPr>
          <w:position w:val="-8"/>
          <w:sz w:val="13"/>
          <w:vertAlign w:val="baseline"/>
        </w:rPr>
        <w:t>Mineral </w:t>
      </w:r>
      <w:r>
        <w:rPr>
          <w:vertAlign w:val="baseline"/>
        </w:rPr>
        <w:t>= annual change in carbon stocks in mineral soils in land converted to “Other Land”, tonnes C </w:t>
      </w:r>
      <w:r>
        <w:rPr>
          <w:position w:val="-8"/>
          <w:vertAlign w:val="baseline"/>
        </w:rPr>
        <w:t>yr</w:t>
      </w:r>
      <w:r>
        <w:rPr>
          <w:sz w:val="13"/>
          <w:vertAlign w:val="baseline"/>
        </w:rPr>
        <w:t>-1</w:t>
      </w:r>
    </w:p>
    <w:p>
      <w:pPr>
        <w:pStyle w:val="BodyText"/>
        <w:spacing w:before="141"/>
        <w:ind w:left="785"/>
      </w:pPr>
      <w:r>
        <w:rPr/>
        <w:t>SOC</w:t>
      </w:r>
      <w:r>
        <w:rPr>
          <w:vertAlign w:val="subscript"/>
        </w:rPr>
        <w:t>0</w:t>
      </w:r>
      <w:r>
        <w:rPr>
          <w:vertAlign w:val="baseline"/>
        </w:rPr>
        <w:t> = soil organic carbon stocks in the inventory year, tonnes C ha</w:t>
      </w:r>
      <w:r>
        <w:rPr>
          <w:vertAlign w:val="superscript"/>
        </w:rPr>
        <w:t>-1</w:t>
      </w:r>
    </w:p>
    <w:p>
      <w:pPr>
        <w:pStyle w:val="BodyText"/>
        <w:spacing w:line="364" w:lineRule="auto" w:before="120"/>
        <w:ind w:left="785" w:right="2244"/>
      </w:pPr>
      <w:r>
        <w:rPr/>
        <w:t>SOC</w:t>
      </w:r>
      <w:r>
        <w:rPr>
          <w:vertAlign w:val="subscript"/>
        </w:rPr>
        <w:t>(0-T)</w:t>
      </w:r>
      <w:r>
        <w:rPr>
          <w:vertAlign w:val="baseline"/>
        </w:rPr>
        <w:t> = soil organic carbon stocks T years prior to the inventory, tonnes C ha</w:t>
      </w:r>
      <w:r>
        <w:rPr>
          <w:vertAlign w:val="superscript"/>
        </w:rPr>
        <w:t>-1</w:t>
      </w:r>
      <w:r>
        <w:rPr>
          <w:vertAlign w:val="baseline"/>
        </w:rPr>
        <w:t> T = time period for the conversion, yr (default is 20 yr)</w:t>
      </w:r>
    </w:p>
    <w:p>
      <w:pPr>
        <w:pStyle w:val="BodyText"/>
        <w:spacing w:line="229" w:lineRule="exact"/>
        <w:ind w:left="785"/>
      </w:pPr>
      <w:r>
        <w:rPr/>
        <w:t>A = land area of each parcel, ha</w:t>
      </w:r>
    </w:p>
    <w:p>
      <w:pPr>
        <w:pStyle w:val="BodyText"/>
        <w:tabs>
          <w:tab w:pos="1383" w:val="left" w:leader="none"/>
        </w:tabs>
        <w:spacing w:before="121"/>
        <w:ind w:left="785"/>
      </w:pPr>
      <w:r>
        <w:rPr/>
        <w:pict>
          <v:shape style="position:absolute;margin-left:118.720596pt;margin-top:12.455098pt;width:9.2pt;height:5.6pt;mso-position-horizontal-relative:page;mso-position-vertical-relative:paragraph;z-index:-2442760" type="#_x0000_t202" filled="false" stroked="false">
            <v:textbox inset="0,0,0,0">
              <w:txbxContent>
                <w:p>
                  <w:pPr>
                    <w:spacing w:line="111" w:lineRule="exact" w:before="0"/>
                    <w:ind w:left="0" w:right="0" w:firstLine="0"/>
                    <w:jc w:val="left"/>
                    <w:rPr>
                      <w:sz w:val="10"/>
                    </w:rPr>
                  </w:pPr>
                  <w:r>
                    <w:rPr>
                      <w:sz w:val="10"/>
                    </w:rPr>
                    <w:t>REF</w:t>
                  </w:r>
                </w:p>
              </w:txbxContent>
            </v:textbox>
            <w10:wrap type="none"/>
          </v:shape>
        </w:pict>
      </w:r>
      <w:r>
        <w:rPr/>
        <w:t>SOC</w:t>
        <w:tab/>
        <w:t>= the reference carbon stocks, tonnes C ha</w:t>
      </w:r>
      <w:r>
        <w:rPr>
          <w:vertAlign w:val="superscript"/>
        </w:rPr>
        <w:t>-1</w:t>
      </w:r>
      <w:r>
        <w:rPr>
          <w:vertAlign w:val="baseline"/>
        </w:rPr>
        <w:t>; see Table</w:t>
      </w:r>
      <w:r>
        <w:rPr>
          <w:spacing w:val="3"/>
          <w:vertAlign w:val="baseline"/>
        </w:rPr>
        <w:t> </w:t>
      </w:r>
      <w:r>
        <w:rPr>
          <w:vertAlign w:val="baseline"/>
        </w:rPr>
        <w:t>3.3.3</w:t>
      </w:r>
    </w:p>
    <w:p>
      <w:pPr>
        <w:pStyle w:val="BodyText"/>
        <w:spacing w:line="364" w:lineRule="auto" w:before="120"/>
        <w:ind w:left="785" w:right="1204"/>
      </w:pPr>
      <w:r>
        <w:rPr/>
        <w:t>F</w:t>
      </w:r>
      <w:r>
        <w:rPr>
          <w:vertAlign w:val="subscript"/>
        </w:rPr>
        <w:t>LU</w:t>
      </w:r>
      <w:r>
        <w:rPr>
          <w:vertAlign w:val="baseline"/>
        </w:rPr>
        <w:t> = stock change factor for land use or land-use change type, dimensionless; see Table 3.3.4 F</w:t>
      </w:r>
      <w:r>
        <w:rPr>
          <w:vertAlign w:val="subscript"/>
        </w:rPr>
        <w:t>MG</w:t>
      </w:r>
      <w:r>
        <w:rPr>
          <w:vertAlign w:val="baseline"/>
        </w:rPr>
        <w:t> = stock change factor for management regime, dimensionless; see Table</w:t>
      </w:r>
      <w:r>
        <w:rPr>
          <w:spacing w:val="-9"/>
          <w:vertAlign w:val="baseline"/>
        </w:rPr>
        <w:t> </w:t>
      </w:r>
      <w:r>
        <w:rPr>
          <w:vertAlign w:val="baseline"/>
        </w:rPr>
        <w:t>3.3.4</w:t>
      </w:r>
    </w:p>
    <w:p>
      <w:pPr>
        <w:pStyle w:val="BodyText"/>
        <w:spacing w:before="2"/>
        <w:ind w:left="785"/>
      </w:pPr>
      <w:r>
        <w:rPr/>
        <w:t>F</w:t>
      </w:r>
      <w:r>
        <w:rPr>
          <w:vertAlign w:val="subscript"/>
        </w:rPr>
        <w:t>I</w:t>
      </w:r>
      <w:r>
        <w:rPr>
          <w:spacing w:val="-15"/>
          <w:vertAlign w:val="baseline"/>
        </w:rPr>
        <w:t> </w:t>
      </w:r>
      <w:r>
        <w:rPr>
          <w:vertAlign w:val="baseline"/>
        </w:rPr>
        <w:t>=</w:t>
      </w:r>
      <w:r>
        <w:rPr>
          <w:spacing w:val="-3"/>
          <w:vertAlign w:val="baseline"/>
        </w:rPr>
        <w:t> </w:t>
      </w:r>
      <w:r>
        <w:rPr>
          <w:vertAlign w:val="baseline"/>
        </w:rPr>
        <w:t>stock</w:t>
      </w:r>
      <w:r>
        <w:rPr>
          <w:spacing w:val="-4"/>
          <w:vertAlign w:val="baseline"/>
        </w:rPr>
        <w:t> </w:t>
      </w:r>
      <w:r>
        <w:rPr>
          <w:vertAlign w:val="baseline"/>
        </w:rPr>
        <w:t>change</w:t>
      </w:r>
      <w:r>
        <w:rPr>
          <w:spacing w:val="-4"/>
          <w:vertAlign w:val="baseline"/>
        </w:rPr>
        <w:t> </w:t>
      </w:r>
      <w:r>
        <w:rPr>
          <w:vertAlign w:val="baseline"/>
        </w:rPr>
        <w:t>factor</w:t>
      </w:r>
      <w:r>
        <w:rPr>
          <w:spacing w:val="-2"/>
          <w:vertAlign w:val="baseline"/>
        </w:rPr>
        <w:t> </w:t>
      </w:r>
      <w:r>
        <w:rPr>
          <w:vertAlign w:val="baseline"/>
        </w:rPr>
        <w:t>for</w:t>
      </w:r>
      <w:r>
        <w:rPr>
          <w:spacing w:val="-3"/>
          <w:vertAlign w:val="baseline"/>
        </w:rPr>
        <w:t> </w:t>
      </w:r>
      <w:r>
        <w:rPr>
          <w:vertAlign w:val="baseline"/>
        </w:rPr>
        <w:t>input</w:t>
      </w:r>
      <w:r>
        <w:rPr>
          <w:spacing w:val="-3"/>
          <w:vertAlign w:val="baseline"/>
        </w:rPr>
        <w:t> </w:t>
      </w:r>
      <w:r>
        <w:rPr>
          <w:vertAlign w:val="baseline"/>
        </w:rPr>
        <w:t>of</w:t>
      </w:r>
      <w:r>
        <w:rPr>
          <w:spacing w:val="-5"/>
          <w:vertAlign w:val="baseline"/>
        </w:rPr>
        <w:t> </w:t>
      </w:r>
      <w:r>
        <w:rPr>
          <w:vertAlign w:val="baseline"/>
        </w:rPr>
        <w:t>organic</w:t>
      </w:r>
      <w:r>
        <w:rPr>
          <w:spacing w:val="-1"/>
          <w:vertAlign w:val="baseline"/>
        </w:rPr>
        <w:t> </w:t>
      </w:r>
      <w:r>
        <w:rPr>
          <w:vertAlign w:val="baseline"/>
        </w:rPr>
        <w:t>matter,</w:t>
      </w:r>
      <w:r>
        <w:rPr>
          <w:spacing w:val="-3"/>
          <w:vertAlign w:val="baseline"/>
        </w:rPr>
        <w:t> </w:t>
      </w:r>
      <w:r>
        <w:rPr>
          <w:vertAlign w:val="baseline"/>
        </w:rPr>
        <w:t>dimensionless;</w:t>
      </w:r>
      <w:r>
        <w:rPr>
          <w:spacing w:val="-3"/>
          <w:vertAlign w:val="baseline"/>
        </w:rPr>
        <w:t> </w:t>
      </w:r>
      <w:r>
        <w:rPr>
          <w:vertAlign w:val="baseline"/>
        </w:rPr>
        <w:t>see</w:t>
      </w:r>
      <w:r>
        <w:rPr>
          <w:spacing w:val="-3"/>
          <w:vertAlign w:val="baseline"/>
        </w:rPr>
        <w:t> </w:t>
      </w:r>
      <w:r>
        <w:rPr>
          <w:vertAlign w:val="baseline"/>
        </w:rPr>
        <w:t>Table</w:t>
      </w:r>
      <w:r>
        <w:rPr>
          <w:spacing w:val="-2"/>
          <w:vertAlign w:val="baseline"/>
        </w:rPr>
        <w:t> </w:t>
      </w:r>
      <w:r>
        <w:rPr>
          <w:vertAlign w:val="baseline"/>
        </w:rPr>
        <w:t>3.3.4</w:t>
      </w:r>
    </w:p>
    <w:p>
      <w:pPr>
        <w:pStyle w:val="BodyText"/>
        <w:rPr>
          <w:sz w:val="24"/>
        </w:rPr>
      </w:pPr>
    </w:p>
    <w:p>
      <w:pPr>
        <w:pStyle w:val="BodyText"/>
        <w:spacing w:before="192"/>
        <w:ind w:left="219" w:right="269"/>
        <w:jc w:val="both"/>
      </w:pPr>
      <w:r>
        <w:rPr>
          <w:b/>
        </w:rPr>
        <w:t>Tier 1: </w:t>
      </w:r>
      <w:r>
        <w:rPr/>
        <w:t>Tier 1 methods rely on default values for reference carbon stocks in mineral soils under native  vegetation (see Table 3.3.3) and coarse estimates of areas converted to ”Other Land”. Soil carbon stocks after conversion are assumed to be zero for “Other Land” such as bare or degraded soils or</w:t>
      </w:r>
      <w:r>
        <w:rPr>
          <w:spacing w:val="-8"/>
        </w:rPr>
        <w:t> </w:t>
      </w:r>
      <w:r>
        <w:rPr/>
        <w:t>deserts.</w:t>
      </w:r>
    </w:p>
    <w:p>
      <w:pPr>
        <w:pStyle w:val="BodyText"/>
        <w:spacing w:before="121"/>
        <w:ind w:left="219" w:right="265"/>
        <w:jc w:val="both"/>
      </w:pPr>
      <w:r>
        <w:rPr>
          <w:b/>
        </w:rPr>
        <w:t>Tier 2: </w:t>
      </w:r>
      <w:r>
        <w:rPr/>
        <w:t>Tier 2 methods involve country or region-specific reference carbon stocks and more disaggregated land- use activity data.</w:t>
      </w:r>
    </w:p>
    <w:p>
      <w:pPr>
        <w:pStyle w:val="BodyText"/>
        <w:spacing w:before="121"/>
        <w:ind w:left="219" w:right="265"/>
        <w:jc w:val="both"/>
      </w:pPr>
      <w:r>
        <w:rPr>
          <w:b/>
        </w:rPr>
        <w:t>Tier 3: </w:t>
      </w:r>
      <w:r>
        <w:rPr/>
        <w:t>Tier 3 methods can involve a variety of more detailed and country-specific data and use model and/or measurement-based approaches along with data on highly disaggregated land use and management. For all tiers, it is assumed that soil carbon stock in the inventory year is zero due to conversion to the “Other Land” category.</w:t>
      </w:r>
    </w:p>
    <w:p>
      <w:pPr>
        <w:pStyle w:val="BodyText"/>
        <w:spacing w:before="3"/>
        <w:rPr>
          <w:sz w:val="21"/>
        </w:rPr>
      </w:pPr>
    </w:p>
    <w:p>
      <w:pPr>
        <w:pStyle w:val="Heading6"/>
        <w:numPr>
          <w:ilvl w:val="5"/>
          <w:numId w:val="78"/>
        </w:numPr>
        <w:tabs>
          <w:tab w:pos="1662" w:val="left" w:leader="none"/>
        </w:tabs>
        <w:spacing w:line="240" w:lineRule="auto" w:before="0" w:after="0"/>
        <w:ind w:left="1661" w:right="0" w:hanging="1442"/>
        <w:jc w:val="both"/>
      </w:pPr>
      <w:r>
        <w:rPr/>
        <w:t>2 </w:t>
      </w:r>
      <w:r>
        <w:rPr>
          <w:spacing w:val="15"/>
        </w:rPr>
        <w:t>Choice </w:t>
      </w:r>
      <w:r>
        <w:rPr>
          <w:spacing w:val="9"/>
        </w:rPr>
        <w:t>of </w:t>
      </w:r>
      <w:r>
        <w:rPr>
          <w:spacing w:val="17"/>
        </w:rPr>
        <w:t>Emission/Removal</w:t>
      </w:r>
      <w:r>
        <w:rPr>
          <w:spacing w:val="11"/>
        </w:rPr>
        <w:t> </w:t>
      </w:r>
      <w:r>
        <w:rPr>
          <w:spacing w:val="19"/>
        </w:rPr>
        <w:t>Factors</w:t>
      </w:r>
    </w:p>
    <w:p>
      <w:pPr>
        <w:pStyle w:val="Heading7"/>
        <w:spacing w:line="251" w:lineRule="exact" w:before="179"/>
      </w:pPr>
      <w:r>
        <w:rPr/>
        <w:t>Mineral soils </w:t>
      </w:r>
    </w:p>
    <w:p>
      <w:pPr>
        <w:pStyle w:val="BodyText"/>
        <w:spacing w:line="228" w:lineRule="exact"/>
        <w:ind w:left="219"/>
        <w:jc w:val="both"/>
      </w:pPr>
      <w:r>
        <w:rPr/>
        <w:t>The following variables are needed when using either the Tier 1 or Tier 2 method:</w:t>
      </w:r>
    </w:p>
    <w:p>
      <w:pPr>
        <w:spacing w:before="125"/>
        <w:ind w:left="219" w:right="0" w:firstLine="0"/>
        <w:jc w:val="both"/>
        <w:rPr>
          <w:b/>
          <w:sz w:val="20"/>
        </w:rPr>
      </w:pPr>
      <w:r>
        <w:rPr>
          <w:b/>
          <w:sz w:val="20"/>
        </w:rPr>
        <w:t>Reference carbon stocks (SOC</w:t>
      </w:r>
      <w:r>
        <w:rPr>
          <w:b/>
          <w:position w:val="-2"/>
          <w:sz w:val="10"/>
        </w:rPr>
        <w:t>REF</w:t>
      </w:r>
      <w:r>
        <w:rPr>
          <w:b/>
          <w:sz w:val="20"/>
        </w:rPr>
        <w:t>)</w:t>
      </w:r>
    </w:p>
    <w:p>
      <w:pPr>
        <w:spacing w:line="232" w:lineRule="auto" w:before="110"/>
        <w:ind w:left="219" w:right="269" w:firstLine="0"/>
        <w:jc w:val="both"/>
        <w:rPr>
          <w:sz w:val="20"/>
        </w:rPr>
      </w:pPr>
      <w:r>
        <w:rPr>
          <w:b/>
          <w:sz w:val="20"/>
        </w:rPr>
        <w:t>Tier 1: </w:t>
      </w:r>
      <w:r>
        <w:rPr>
          <w:sz w:val="20"/>
        </w:rPr>
        <w:t>Under Tier 1, it is </w:t>
      </w:r>
      <w:r>
        <w:rPr>
          <w:i/>
          <w:sz w:val="20"/>
        </w:rPr>
        <w:t>good practice </w:t>
      </w:r>
      <w:r>
        <w:rPr>
          <w:sz w:val="20"/>
        </w:rPr>
        <w:t>to use the default reference carbon stocks (SOC</w:t>
      </w:r>
      <w:r>
        <w:rPr>
          <w:position w:val="-2"/>
          <w:sz w:val="10"/>
        </w:rPr>
        <w:t>REF</w:t>
      </w:r>
      <w:r>
        <w:rPr>
          <w:sz w:val="20"/>
        </w:rPr>
        <w:t>) provided in Table 3.3.3.</w:t>
      </w:r>
    </w:p>
    <w:p>
      <w:pPr>
        <w:pStyle w:val="BodyText"/>
        <w:spacing w:before="121"/>
        <w:ind w:left="219" w:right="269"/>
        <w:jc w:val="both"/>
      </w:pPr>
      <w:r>
        <w:rPr>
          <w:b/>
        </w:rPr>
        <w:t>Tier 2: </w:t>
      </w:r>
      <w:r>
        <w:rPr/>
        <w:t>For a Tier 2 method, reference soil carbon stocks can be determined from measurements of soils, for example, as part of a country’s soil survey and mapping activities.</w:t>
      </w:r>
    </w:p>
    <w:p>
      <w:pPr>
        <w:spacing w:before="126"/>
        <w:ind w:left="219" w:right="0" w:firstLine="0"/>
        <w:jc w:val="left"/>
        <w:rPr>
          <w:b/>
          <w:sz w:val="20"/>
        </w:rPr>
      </w:pPr>
      <w:r>
        <w:rPr>
          <w:b/>
          <w:sz w:val="20"/>
        </w:rPr>
        <w:t>Stock change factors (F</w:t>
      </w:r>
      <w:r>
        <w:rPr>
          <w:b/>
          <w:sz w:val="20"/>
          <w:vertAlign w:val="subscript"/>
        </w:rPr>
        <w:t>LU</w:t>
      </w:r>
      <w:r>
        <w:rPr>
          <w:b/>
          <w:sz w:val="20"/>
          <w:vertAlign w:val="baseline"/>
        </w:rPr>
        <w:t>, F</w:t>
      </w:r>
      <w:r>
        <w:rPr>
          <w:b/>
          <w:sz w:val="20"/>
          <w:vertAlign w:val="subscript"/>
        </w:rPr>
        <w:t>MG</w:t>
      </w:r>
      <w:r>
        <w:rPr>
          <w:b/>
          <w:sz w:val="20"/>
          <w:vertAlign w:val="baseline"/>
        </w:rPr>
        <w:t>, F</w:t>
      </w:r>
      <w:r>
        <w:rPr>
          <w:b/>
          <w:sz w:val="20"/>
          <w:vertAlign w:val="subscript"/>
        </w:rPr>
        <w:t>I</w:t>
      </w:r>
      <w:r>
        <w:rPr>
          <w:b/>
          <w:sz w:val="20"/>
          <w:vertAlign w:val="baseline"/>
        </w:rPr>
        <w:t>)</w:t>
      </w:r>
    </w:p>
    <w:p>
      <w:pPr>
        <w:pStyle w:val="BodyText"/>
        <w:spacing w:line="229" w:lineRule="exact" w:before="115"/>
        <w:ind w:left="219"/>
      </w:pPr>
      <w:r>
        <w:rPr>
          <w:b/>
        </w:rPr>
        <w:t>Tier 1: </w:t>
      </w:r>
      <w:r>
        <w:rPr/>
        <w:t>Under Tier 1, it is </w:t>
      </w:r>
      <w:r>
        <w:rPr>
          <w:i/>
        </w:rPr>
        <w:t>good practice </w:t>
      </w:r>
      <w:r>
        <w:rPr/>
        <w:t>to use default stock change factors (F</w:t>
      </w:r>
      <w:r>
        <w:rPr>
          <w:vertAlign w:val="subscript"/>
        </w:rPr>
        <w:t>LU</w:t>
      </w:r>
      <w:r>
        <w:rPr>
          <w:vertAlign w:val="baseline"/>
        </w:rPr>
        <w:t>, F</w:t>
      </w:r>
      <w:r>
        <w:rPr>
          <w:vertAlign w:val="subscript"/>
        </w:rPr>
        <w:t>MG</w:t>
      </w:r>
      <w:r>
        <w:rPr>
          <w:vertAlign w:val="baseline"/>
        </w:rPr>
        <w:t>, F</w:t>
      </w:r>
      <w:r>
        <w:rPr>
          <w:vertAlign w:val="subscript"/>
        </w:rPr>
        <w:t>I</w:t>
      </w:r>
      <w:r>
        <w:rPr>
          <w:vertAlign w:val="baseline"/>
        </w:rPr>
        <w:t>) provided in Table</w:t>
      </w:r>
    </w:p>
    <w:p>
      <w:pPr>
        <w:pStyle w:val="BodyText"/>
        <w:ind w:left="219" w:right="268"/>
        <w:jc w:val="both"/>
      </w:pPr>
      <w:r>
        <w:rPr/>
        <w:t>3.3.4. These are updated from the </w:t>
      </w:r>
      <w:r>
        <w:rPr>
          <w:i/>
        </w:rPr>
        <w:t>IPCC Guidelines</w:t>
      </w:r>
      <w:r>
        <w:rPr/>
        <w:t>, based on a statistical analysis of published research. Note that where lands are converted to ”Other Land”, all the stock change factors have the value of one, such that the pre-conversion soil carbon stocks are equal to the native vegetation reference values (SOC</w:t>
      </w:r>
      <w:r>
        <w:rPr>
          <w:vertAlign w:val="subscript"/>
        </w:rPr>
        <w:t>Ref</w:t>
      </w:r>
      <w:r>
        <w:rPr>
          <w:vertAlign w:val="baseline"/>
        </w:rPr>
        <w:t>).</w:t>
      </w:r>
    </w:p>
    <w:p>
      <w:pPr>
        <w:pStyle w:val="BodyText"/>
        <w:spacing w:before="121"/>
        <w:ind w:left="219" w:right="265"/>
        <w:jc w:val="both"/>
      </w:pPr>
      <w:r>
        <w:rPr>
          <w:b/>
        </w:rPr>
        <w:t>Tier 2: </w:t>
      </w:r>
      <w:r>
        <w:rPr/>
        <w:t>For the Tier 2 method, estimation of country-specific stock change factors for land-use conversion to cropland will typically be based on paired-plot comparisons representing converted and unconverted lands, where all factors other than land-use history are as similar as possible (e.g. Davidson and Ackermann,</w:t>
      </w:r>
      <w:r>
        <w:rPr>
          <w:spacing w:val="-32"/>
        </w:rPr>
        <w:t> </w:t>
      </w:r>
      <w:r>
        <w:rPr/>
        <w:t>1992).</w:t>
      </w:r>
    </w:p>
    <w:p>
      <w:pPr>
        <w:pStyle w:val="BodyText"/>
        <w:spacing w:before="2"/>
        <w:rPr>
          <w:sz w:val="21"/>
        </w:rPr>
      </w:pPr>
    </w:p>
    <w:p>
      <w:pPr>
        <w:pStyle w:val="Heading6"/>
        <w:numPr>
          <w:ilvl w:val="5"/>
          <w:numId w:val="78"/>
        </w:numPr>
        <w:tabs>
          <w:tab w:pos="1660" w:val="left" w:leader="none"/>
          <w:tab w:pos="1661" w:val="left" w:leader="none"/>
        </w:tabs>
        <w:spacing w:line="240" w:lineRule="auto" w:before="0" w:after="0"/>
        <w:ind w:left="1660" w:right="0" w:hanging="1441"/>
        <w:jc w:val="left"/>
      </w:pPr>
      <w:r>
        <w:rPr/>
        <w:t>3</w:t>
        <w:tab/>
      </w:r>
      <w:r>
        <w:rPr>
          <w:spacing w:val="15"/>
        </w:rPr>
        <w:t>Choice </w:t>
      </w:r>
      <w:r>
        <w:rPr>
          <w:spacing w:val="9"/>
        </w:rPr>
        <w:t>of </w:t>
      </w:r>
      <w:r>
        <w:rPr>
          <w:spacing w:val="16"/>
        </w:rPr>
        <w:t>Activity</w:t>
      </w:r>
      <w:r>
        <w:rPr>
          <w:spacing w:val="30"/>
        </w:rPr>
        <w:t> </w:t>
      </w:r>
      <w:r>
        <w:rPr>
          <w:spacing w:val="19"/>
        </w:rPr>
        <w:t>Data</w:t>
      </w:r>
    </w:p>
    <w:p>
      <w:pPr>
        <w:pStyle w:val="BodyText"/>
        <w:spacing w:before="57"/>
        <w:ind w:left="219" w:right="265"/>
        <w:jc w:val="both"/>
      </w:pPr>
      <w:r>
        <w:rPr/>
        <w:t>It is </w:t>
      </w:r>
      <w:r>
        <w:rPr>
          <w:i/>
        </w:rPr>
        <w:t>good practice </w:t>
      </w:r>
      <w:r>
        <w:rPr/>
        <w:t>for inventory compilers to use the same area estimates for land converted to “Other Land” for estimating change in carbon stocks in living biomass and soils. Some general issues regarding activity data are</w:t>
      </w:r>
    </w:p>
    <w:p>
      <w:pPr>
        <w:spacing w:after="0"/>
        <w:jc w:val="both"/>
        <w:sectPr>
          <w:pgSz w:w="11900" w:h="16840"/>
          <w:pgMar w:header="230" w:footer="408" w:top="560" w:bottom="600" w:left="1200" w:right="1140"/>
        </w:sectPr>
      </w:pPr>
    </w:p>
    <w:p>
      <w:pPr>
        <w:pStyle w:val="BodyText"/>
      </w:pPr>
    </w:p>
    <w:p>
      <w:pPr>
        <w:pStyle w:val="BodyText"/>
        <w:spacing w:before="2"/>
        <w:rPr>
          <w:sz w:val="18"/>
        </w:rPr>
      </w:pPr>
    </w:p>
    <w:p>
      <w:pPr>
        <w:pStyle w:val="BodyText"/>
        <w:ind w:left="219" w:right="261"/>
        <w:jc w:val="both"/>
      </w:pPr>
      <w:r>
        <w:rPr/>
        <w:t>described in Section 3.7.2.1.1.3. For purposes of estimating soil carbon stock change, area estimates of land-use conversions to “Other Land” should be stratified according to major soil types, as defined for Tier 1, or based on country-specific stratifications if employed in Tier 2 or 3 approaches. This can be based on overlays with suitable soil maps and spatially-explicit data of the location of land</w:t>
      </w:r>
      <w:r>
        <w:rPr>
          <w:spacing w:val="-2"/>
        </w:rPr>
        <w:t> </w:t>
      </w:r>
      <w:r>
        <w:rPr/>
        <w:t>conversions.</w:t>
      </w:r>
    </w:p>
    <w:p>
      <w:pPr>
        <w:pStyle w:val="BodyText"/>
        <w:spacing w:before="3"/>
        <w:rPr>
          <w:sz w:val="21"/>
        </w:rPr>
      </w:pPr>
    </w:p>
    <w:p>
      <w:pPr>
        <w:pStyle w:val="Heading6"/>
        <w:numPr>
          <w:ilvl w:val="5"/>
          <w:numId w:val="78"/>
        </w:numPr>
        <w:tabs>
          <w:tab w:pos="1662" w:val="left" w:leader="none"/>
        </w:tabs>
        <w:spacing w:line="240" w:lineRule="auto" w:before="0" w:after="0"/>
        <w:ind w:left="1661" w:right="0" w:hanging="1442"/>
        <w:jc w:val="both"/>
      </w:pPr>
      <w:r>
        <w:rPr/>
        <w:t>4 </w:t>
      </w:r>
      <w:r>
        <w:rPr>
          <w:spacing w:val="17"/>
        </w:rPr>
        <w:t>Uncertainty</w:t>
      </w:r>
      <w:r>
        <w:rPr>
          <w:spacing w:val="18"/>
        </w:rPr>
        <w:t> </w:t>
      </w:r>
      <w:r>
        <w:rPr>
          <w:spacing w:val="19"/>
        </w:rPr>
        <w:t>Assessment</w:t>
      </w:r>
    </w:p>
    <w:p>
      <w:pPr>
        <w:pStyle w:val="BodyText"/>
        <w:spacing w:before="56"/>
        <w:ind w:left="219" w:right="266"/>
        <w:jc w:val="both"/>
      </w:pPr>
      <w:r>
        <w:rPr/>
        <w:t>The sources of uncertainty are from the use of global or national average rates of conversion and course estimates of land areas converted to “Other Land”. In addition, reliance on default parameters for carbon stocks in initial and final conditions contributes to relatively high degrees of uncertainty. The default values in this method have corresponding error ranges associated with them and the values are included in default</w:t>
      </w:r>
      <w:r>
        <w:rPr>
          <w:spacing w:val="-28"/>
        </w:rPr>
        <w:t> </w:t>
      </w:r>
      <w:r>
        <w:rPr/>
        <w:t>tables.</w:t>
      </w:r>
    </w:p>
    <w:p>
      <w:pPr>
        <w:pStyle w:val="BodyText"/>
        <w:spacing w:before="120"/>
        <w:ind w:left="219" w:right="267"/>
        <w:jc w:val="both"/>
      </w:pPr>
      <w:r>
        <w:rPr/>
        <w:t>The use of actual area estimates rather than average rates of conversion will improve the accuracy of estimates. In addition, the tracking of each land area for all possible land-use transitions will enable more transparent accounting and allow experts to identify gaps and areas where land areas are accounted for multiple</w:t>
      </w:r>
      <w:r>
        <w:rPr>
          <w:spacing w:val="-21"/>
        </w:rPr>
        <w:t> </w:t>
      </w:r>
      <w:r>
        <w:rPr/>
        <w:t>times.</w:t>
      </w:r>
    </w:p>
    <w:p>
      <w:pPr>
        <w:pStyle w:val="BodyText"/>
        <w:rPr>
          <w:sz w:val="22"/>
        </w:rPr>
      </w:pPr>
    </w:p>
    <w:p>
      <w:pPr>
        <w:pStyle w:val="BodyText"/>
        <w:spacing w:before="3"/>
      </w:pPr>
    </w:p>
    <w:p>
      <w:pPr>
        <w:pStyle w:val="Heading2"/>
        <w:numPr>
          <w:ilvl w:val="2"/>
          <w:numId w:val="79"/>
        </w:numPr>
        <w:tabs>
          <w:tab w:pos="1422" w:val="left" w:leader="none"/>
        </w:tabs>
        <w:spacing w:line="240" w:lineRule="auto" w:before="0" w:after="0"/>
        <w:ind w:left="1421" w:right="0" w:hanging="1202"/>
        <w:jc w:val="both"/>
      </w:pPr>
      <w:r>
        <w:rPr>
          <w:spacing w:val="9"/>
        </w:rPr>
        <w:t>Completeness</w:t>
      </w:r>
    </w:p>
    <w:p>
      <w:pPr>
        <w:pStyle w:val="BodyText"/>
        <w:spacing w:before="114"/>
        <w:ind w:left="219" w:right="262"/>
        <w:jc w:val="both"/>
      </w:pPr>
      <w:r>
        <w:rPr/>
        <w:t>The total area of ”Other Land” covered by the inventory  methodology  is  the  sum  of  “Other  Land”  remaining ”Other Land” and land converted to “Other Land” during the time period. Inventory compilers are encouraged to track through time the total area of land classified as “Other Land” within country boundaries, keeping transparent records on which portions are used to estimate change in carbon stocks. As addressed in Chapter 2, all areas including those not covered by the greenhouse gas inventory, should be part of the consistency checks to help avoid double counting or omission. Areas under the “Other Land”, when summed with area estimates for “Other Land” will enable a complete assessment of the land base included in a countries’ LULUCF sector inventory</w:t>
      </w:r>
      <w:r>
        <w:rPr>
          <w:spacing w:val="-5"/>
        </w:rPr>
        <w:t> </w:t>
      </w:r>
      <w:r>
        <w:rPr/>
        <w:t>report.</w:t>
      </w:r>
    </w:p>
    <w:p>
      <w:pPr>
        <w:pStyle w:val="BodyText"/>
        <w:rPr>
          <w:sz w:val="22"/>
        </w:rPr>
      </w:pPr>
    </w:p>
    <w:p>
      <w:pPr>
        <w:pStyle w:val="BodyText"/>
        <w:spacing w:before="4"/>
      </w:pPr>
    </w:p>
    <w:p>
      <w:pPr>
        <w:pStyle w:val="Heading2"/>
        <w:numPr>
          <w:ilvl w:val="2"/>
          <w:numId w:val="79"/>
        </w:numPr>
        <w:tabs>
          <w:tab w:pos="1422" w:val="left" w:leader="none"/>
        </w:tabs>
        <w:spacing w:line="240" w:lineRule="auto" w:before="0" w:after="0"/>
        <w:ind w:left="1421" w:right="0" w:hanging="1202"/>
        <w:jc w:val="both"/>
      </w:pPr>
      <w:r>
        <w:rPr>
          <w:spacing w:val="8"/>
        </w:rPr>
        <w:t>Developing </w:t>
      </w:r>
      <w:r>
        <w:rPr/>
        <w:t>a </w:t>
      </w:r>
      <w:r>
        <w:rPr>
          <w:spacing w:val="8"/>
        </w:rPr>
        <w:t>Consistent </w:t>
      </w:r>
      <w:r>
        <w:rPr>
          <w:spacing w:val="7"/>
        </w:rPr>
        <w:t>Time</w:t>
      </w:r>
      <w:r>
        <w:rPr>
          <w:spacing w:val="64"/>
        </w:rPr>
        <w:t> </w:t>
      </w:r>
      <w:r>
        <w:rPr>
          <w:spacing w:val="9"/>
        </w:rPr>
        <w:t>Series</w:t>
      </w:r>
    </w:p>
    <w:p>
      <w:pPr>
        <w:pStyle w:val="BodyText"/>
        <w:spacing w:before="113"/>
        <w:ind w:left="219" w:right="264"/>
        <w:jc w:val="both"/>
      </w:pPr>
      <w:r>
        <w:rPr/>
        <w:t>It is </w:t>
      </w:r>
      <w:r>
        <w:rPr>
          <w:i/>
        </w:rPr>
        <w:t>good practice </w:t>
      </w:r>
      <w:r>
        <w:rPr/>
        <w:t>for inventory compilers to maintain records on the “Other Land” areas used in inventory reports over time. These records should track the total area classified as “Other Land” as included in the inventory, subdivided by “Other Land” remaining in “Other Land” and land converted to “Other Land”.</w:t>
      </w:r>
    </w:p>
    <w:p>
      <w:pPr>
        <w:pStyle w:val="BodyText"/>
        <w:rPr>
          <w:sz w:val="22"/>
        </w:rPr>
      </w:pPr>
    </w:p>
    <w:p>
      <w:pPr>
        <w:pStyle w:val="BodyText"/>
        <w:spacing w:before="2"/>
      </w:pPr>
    </w:p>
    <w:p>
      <w:pPr>
        <w:pStyle w:val="Heading2"/>
        <w:numPr>
          <w:ilvl w:val="2"/>
          <w:numId w:val="79"/>
        </w:numPr>
        <w:tabs>
          <w:tab w:pos="1422" w:val="left" w:leader="none"/>
        </w:tabs>
        <w:spacing w:line="240" w:lineRule="auto" w:before="0" w:after="0"/>
        <w:ind w:left="1421" w:right="0" w:hanging="1202"/>
        <w:jc w:val="both"/>
      </w:pPr>
      <w:r>
        <w:rPr>
          <w:spacing w:val="8"/>
        </w:rPr>
        <w:t>Reporting </w:t>
      </w:r>
      <w:r>
        <w:rPr>
          <w:spacing w:val="6"/>
        </w:rPr>
        <w:t>and</w:t>
      </w:r>
      <w:r>
        <w:rPr>
          <w:spacing w:val="31"/>
        </w:rPr>
        <w:t> </w:t>
      </w:r>
      <w:r>
        <w:rPr>
          <w:spacing w:val="9"/>
        </w:rPr>
        <w:t>Documentation</w:t>
      </w:r>
    </w:p>
    <w:p>
      <w:pPr>
        <w:pStyle w:val="BodyText"/>
        <w:spacing w:before="116"/>
        <w:ind w:left="219" w:right="264"/>
        <w:jc w:val="both"/>
      </w:pPr>
      <w:r>
        <w:rPr/>
        <w:t>The categories described in this section can be reported using the reporting tables in Annex 3A.2. It is </w:t>
      </w:r>
      <w:r>
        <w:rPr>
          <w:i/>
        </w:rPr>
        <w:t>good practice </w:t>
      </w:r>
      <w:r>
        <w:rPr/>
        <w:t>to maintain and archive all information used to produce national inventory estimates. Metadata and data sources for information used to estimate country-specific parameters should be documented, and both mean and variance estimates provided. Actual databases and procedures used to process the data (e.g. statistical programs) to estimate country-specific factors should be archived. Activity data and definitions used to categorise or aggregate the activity data should be documented and archived.</w:t>
      </w:r>
    </w:p>
    <w:p>
      <w:pPr>
        <w:pStyle w:val="BodyText"/>
        <w:rPr>
          <w:sz w:val="22"/>
        </w:rPr>
      </w:pPr>
    </w:p>
    <w:p>
      <w:pPr>
        <w:pStyle w:val="BodyText"/>
        <w:spacing w:before="2"/>
      </w:pPr>
    </w:p>
    <w:p>
      <w:pPr>
        <w:pStyle w:val="Heading2"/>
        <w:numPr>
          <w:ilvl w:val="2"/>
          <w:numId w:val="79"/>
        </w:numPr>
        <w:tabs>
          <w:tab w:pos="1421" w:val="left" w:leader="none"/>
          <w:tab w:pos="1422" w:val="left" w:leader="none"/>
        </w:tabs>
        <w:spacing w:line="240" w:lineRule="auto" w:before="1" w:after="0"/>
        <w:ind w:left="1421" w:right="1476" w:hanging="1202"/>
        <w:jc w:val="left"/>
      </w:pPr>
      <w:r>
        <w:rPr>
          <w:spacing w:val="8"/>
        </w:rPr>
        <w:t>Inventory </w:t>
      </w:r>
      <w:r>
        <w:rPr>
          <w:spacing w:val="7"/>
        </w:rPr>
        <w:t>Quality </w:t>
      </w:r>
      <w:r>
        <w:rPr>
          <w:spacing w:val="9"/>
        </w:rPr>
        <w:t>Assurance/Quality </w:t>
      </w:r>
      <w:r>
        <w:rPr>
          <w:spacing w:val="10"/>
        </w:rPr>
        <w:t>Control </w:t>
      </w:r>
      <w:r>
        <w:rPr>
          <w:spacing w:val="8"/>
        </w:rPr>
        <w:t>(QA/QC)</w:t>
      </w:r>
    </w:p>
    <w:p>
      <w:pPr>
        <w:pStyle w:val="BodyText"/>
        <w:spacing w:before="113"/>
        <w:ind w:left="219" w:right="264"/>
        <w:jc w:val="both"/>
      </w:pPr>
      <w:r>
        <w:rPr/>
        <w:t>It is </w:t>
      </w:r>
      <w:r>
        <w:rPr>
          <w:i/>
        </w:rPr>
        <w:t>good practice </w:t>
      </w:r>
      <w:r>
        <w:rPr/>
        <w:t>to implement quality control checks and external expert review of inventory estimates and data. Specific attention should be paid to country-specific estimates of stock change factors and emission factors to ensure that they are based on high quality data and verifiable expert opinion.</w:t>
      </w:r>
    </w:p>
    <w:p>
      <w:pPr>
        <w:spacing w:after="0"/>
        <w:jc w:val="both"/>
        <w:sectPr>
          <w:pgSz w:w="11900" w:h="16840"/>
          <w:pgMar w:header="230" w:footer="408" w:top="560" w:bottom="600" w:left="1200" w:right="1140"/>
        </w:sectPr>
      </w:pPr>
    </w:p>
    <w:p>
      <w:pPr>
        <w:pStyle w:val="BodyText"/>
        <w:spacing w:before="4"/>
        <w:rPr>
          <w:sz w:val="17"/>
        </w:rPr>
      </w:pPr>
    </w:p>
    <w:p>
      <w:pPr>
        <w:spacing w:after="0"/>
        <w:rPr>
          <w:sz w:val="17"/>
        </w:rPr>
        <w:sectPr>
          <w:headerReference w:type="default" r:id="rId166"/>
          <w:footerReference w:type="default" r:id="rId167"/>
          <w:pgSz w:w="11900" w:h="16840"/>
          <w:pgMar w:header="0" w:footer="0" w:top="1600" w:bottom="280" w:left="1200" w:right="1140"/>
        </w:sectPr>
      </w:pPr>
    </w:p>
    <w:p>
      <w:pPr>
        <w:pStyle w:val="BodyText"/>
      </w:pPr>
    </w:p>
    <w:p>
      <w:pPr>
        <w:pStyle w:val="Heading4"/>
        <w:spacing w:before="214"/>
        <w:ind w:left="219"/>
        <w:rPr>
          <w:rFonts w:ascii="Times New Roman"/>
        </w:rPr>
      </w:pPr>
      <w:r>
        <w:rPr>
          <w:rFonts w:ascii="Times New Roman"/>
        </w:rPr>
        <w:t>References</w:t>
      </w:r>
    </w:p>
    <w:p>
      <w:pPr>
        <w:pStyle w:val="Heading6"/>
        <w:numPr>
          <w:ilvl w:val="1"/>
          <w:numId w:val="80"/>
        </w:numPr>
        <w:tabs>
          <w:tab w:pos="549" w:val="left" w:leader="none"/>
        </w:tabs>
        <w:spacing w:line="240" w:lineRule="auto" w:before="240" w:after="0"/>
        <w:ind w:left="548" w:right="0" w:hanging="329"/>
        <w:jc w:val="left"/>
      </w:pPr>
      <w:r>
        <w:rPr/>
        <w:t>INTRODUCTION</w:t>
      </w:r>
    </w:p>
    <w:p>
      <w:pPr>
        <w:pStyle w:val="BodyText"/>
        <w:spacing w:before="8"/>
        <w:rPr>
          <w:b/>
          <w:sz w:val="19"/>
        </w:rPr>
      </w:pPr>
    </w:p>
    <w:p>
      <w:pPr>
        <w:spacing w:before="0"/>
        <w:ind w:left="785" w:right="265" w:hanging="567"/>
        <w:jc w:val="both"/>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19"/>
        <w:ind w:left="785" w:right="265" w:hanging="567"/>
        <w:jc w:val="both"/>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 IPCC/OECD/IEA/IGES, Hayama, Japan.</w:t>
      </w:r>
    </w:p>
    <w:p>
      <w:pPr>
        <w:pStyle w:val="BodyText"/>
        <w:spacing w:before="3"/>
        <w:rPr>
          <w:sz w:val="21"/>
        </w:rPr>
      </w:pPr>
    </w:p>
    <w:p>
      <w:pPr>
        <w:pStyle w:val="Heading6"/>
        <w:numPr>
          <w:ilvl w:val="1"/>
          <w:numId w:val="80"/>
        </w:numPr>
        <w:tabs>
          <w:tab w:pos="549" w:val="left" w:leader="none"/>
        </w:tabs>
        <w:spacing w:line="240" w:lineRule="auto" w:before="0" w:after="0"/>
        <w:ind w:left="548" w:right="0" w:hanging="329"/>
        <w:jc w:val="left"/>
      </w:pPr>
      <w:r>
        <w:rPr/>
        <w:t>FOREST</w:t>
      </w:r>
      <w:r>
        <w:rPr>
          <w:spacing w:val="-2"/>
        </w:rPr>
        <w:t> </w:t>
      </w:r>
      <w:r>
        <w:rPr/>
        <w:t>LAND</w:t>
      </w:r>
    </w:p>
    <w:p>
      <w:pPr>
        <w:pStyle w:val="BodyText"/>
        <w:spacing w:before="5"/>
        <w:rPr>
          <w:b/>
          <w:sz w:val="19"/>
        </w:rPr>
      </w:pPr>
    </w:p>
    <w:p>
      <w:pPr>
        <w:pStyle w:val="BodyText"/>
        <w:spacing w:before="1"/>
        <w:ind w:left="219"/>
      </w:pPr>
      <w:r>
        <w:rPr/>
        <w:t>Andreae M.O., and Merlet P. (2002). Emission of trace gases and aerosols from biomass burning.</w:t>
      </w:r>
    </w:p>
    <w:p>
      <w:pPr>
        <w:spacing w:before="0"/>
        <w:ind w:left="886" w:right="0" w:firstLine="0"/>
        <w:jc w:val="left"/>
        <w:rPr>
          <w:sz w:val="20"/>
        </w:rPr>
      </w:pPr>
      <w:r>
        <w:rPr>
          <w:i/>
          <w:sz w:val="20"/>
        </w:rPr>
        <w:t>Global Biogeochemical Cycles</w:t>
      </w:r>
      <w:r>
        <w:rPr>
          <w:sz w:val="20"/>
        </w:rPr>
        <w:t>, 15 (4): pp. 955-966.</w:t>
      </w:r>
    </w:p>
    <w:p>
      <w:pPr>
        <w:pStyle w:val="BodyText"/>
        <w:spacing w:before="120"/>
        <w:ind w:left="219"/>
      </w:pPr>
      <w:r>
        <w:rPr/>
        <w:t>Bernoux M., Carvalho M. da CS, Volkoff B., Cerri C.C., Carvalho M. da CS. (2002). Brazil's soil carbon stocks.</w:t>
      </w:r>
    </w:p>
    <w:p>
      <w:pPr>
        <w:spacing w:before="1"/>
        <w:ind w:left="785" w:right="0" w:firstLine="0"/>
        <w:jc w:val="left"/>
        <w:rPr>
          <w:sz w:val="20"/>
        </w:rPr>
      </w:pPr>
      <w:r>
        <w:rPr>
          <w:i/>
          <w:sz w:val="20"/>
        </w:rPr>
        <w:t>Soil Science Society of America Journal</w:t>
      </w:r>
      <w:r>
        <w:rPr>
          <w:sz w:val="20"/>
        </w:rPr>
        <w:t>, 66( 3), pp. 888-896.</w:t>
      </w:r>
    </w:p>
    <w:p>
      <w:pPr>
        <w:pStyle w:val="BodyText"/>
        <w:spacing w:before="120"/>
        <w:ind w:left="785" w:right="266" w:hanging="567"/>
        <w:jc w:val="both"/>
      </w:pPr>
      <w:r>
        <w:rPr/>
        <w:t>Bhatti J.S., Apps M.J., and Jiang H. (2001). Examining the carbon stocks of boreal forest ecosystems at stand and regional scales. In: Lal R. et al. (eds.) Assessment Methods for Soil Carbon, Lewis Publishers, Boca Raton FL. pp. 513-532.</w:t>
      </w:r>
    </w:p>
    <w:p>
      <w:pPr>
        <w:pStyle w:val="BodyText"/>
        <w:spacing w:before="119"/>
        <w:ind w:left="219"/>
      </w:pPr>
      <w:r>
        <w:rPr/>
        <w:t>Brown S. (1997). Estimating biomass and biomass change of tropical forests: a primer. FAO-Forestry-Paper 134.</w:t>
      </w:r>
    </w:p>
    <w:p>
      <w:pPr>
        <w:pStyle w:val="BodyText"/>
        <w:spacing w:before="1"/>
        <w:ind w:left="785"/>
      </w:pPr>
      <w:r>
        <w:rPr/>
        <w:t>Forest Resources Assessment Publication, pp. 55.</w:t>
      </w:r>
    </w:p>
    <w:p>
      <w:pPr>
        <w:pStyle w:val="BodyText"/>
        <w:spacing w:before="120"/>
        <w:ind w:left="219"/>
      </w:pPr>
      <w:r>
        <w:rPr/>
        <w:t>Brumme R., Borken W., and Finke S. (1999). Hierarchical control on nitrous oxide emission in forest ecosystem.</w:t>
      </w:r>
    </w:p>
    <w:p>
      <w:pPr>
        <w:spacing w:before="0"/>
        <w:ind w:left="785" w:right="0" w:firstLine="0"/>
        <w:jc w:val="left"/>
        <w:rPr>
          <w:sz w:val="20"/>
        </w:rPr>
      </w:pPr>
      <w:r>
        <w:rPr>
          <w:i/>
          <w:sz w:val="20"/>
        </w:rPr>
        <w:t>Global Biogeochemical Cycles</w:t>
      </w:r>
      <w:r>
        <w:rPr>
          <w:sz w:val="20"/>
        </w:rPr>
        <w:t>, 13: pp. 1137-1148.</w:t>
      </w:r>
    </w:p>
    <w:p>
      <w:pPr>
        <w:pStyle w:val="BodyText"/>
        <w:spacing w:before="118"/>
        <w:ind w:left="785" w:right="264" w:hanging="567"/>
        <w:jc w:val="both"/>
      </w:pPr>
      <w:r>
        <w:rPr/>
        <w:t>Butterbach Bahl K., Breuer L., Gasche R., Willibald G., and Papen H. (2002). Exchange of trace gases between soils and the atmosphere in Scots pine forest ecosystems of the northeastern German lowlands. 1. Fluxes of N2O, NO/NO2 and CH4 at forest sites with different N-deposition. </w:t>
      </w:r>
      <w:r>
        <w:rPr>
          <w:i/>
        </w:rPr>
        <w:t>Forest Ecology and Management</w:t>
      </w:r>
      <w:r>
        <w:rPr/>
        <w:t>, 167: pp. 123-134.</w:t>
      </w:r>
    </w:p>
    <w:p>
      <w:pPr>
        <w:pStyle w:val="BodyText"/>
        <w:spacing w:before="122"/>
        <w:ind w:left="785" w:right="266" w:hanging="567"/>
        <w:jc w:val="both"/>
      </w:pPr>
      <w:r>
        <w:rPr/>
        <w:t>Chojnacky D.C. and Heath L.S. (2002). Estimating down deadwood from FIA forest inventory variables in Maine. </w:t>
      </w:r>
      <w:r>
        <w:rPr>
          <w:i/>
        </w:rPr>
        <w:t>Environmental-Pollution</w:t>
      </w:r>
      <w:r>
        <w:rPr/>
        <w:t>, 116: Suppl. 1 : S25-S30.</w:t>
      </w:r>
    </w:p>
    <w:p>
      <w:pPr>
        <w:pStyle w:val="BodyText"/>
        <w:spacing w:before="119"/>
        <w:ind w:left="785" w:right="267" w:hanging="567"/>
        <w:jc w:val="both"/>
      </w:pPr>
      <w:r>
        <w:rPr/>
        <w:t>Conen F., Dobbie K.E., and Smith K.A. (2000). Predicting N</w:t>
      </w:r>
      <w:r>
        <w:rPr>
          <w:vertAlign w:val="subscript"/>
        </w:rPr>
        <w:t>2</w:t>
      </w:r>
      <w:r>
        <w:rPr>
          <w:vertAlign w:val="baseline"/>
        </w:rPr>
        <w:t>O emissions from agricultural land through related parameters. </w:t>
      </w:r>
      <w:r>
        <w:rPr>
          <w:i/>
          <w:vertAlign w:val="baseline"/>
        </w:rPr>
        <w:t>Global Change Biology</w:t>
      </w:r>
      <w:r>
        <w:rPr>
          <w:vertAlign w:val="baseline"/>
        </w:rPr>
        <w:t>, 5: pp. 471-426.</w:t>
      </w:r>
    </w:p>
    <w:p>
      <w:pPr>
        <w:pStyle w:val="BodyText"/>
        <w:spacing w:before="120"/>
        <w:ind w:left="785" w:right="267" w:hanging="567"/>
        <w:jc w:val="both"/>
      </w:pPr>
      <w:r>
        <w:rPr/>
        <w:t>Crutzen P.J., and Andreae M.O. (1990). Biomass burning in the tropics: impact on atmospheric chemistry and biogeochemical cycles. </w:t>
      </w:r>
      <w:r>
        <w:rPr>
          <w:i/>
        </w:rPr>
        <w:t>Science</w:t>
      </w:r>
      <w:r>
        <w:rPr/>
        <w:t>, 4988: pp. 1669-1678.</w:t>
      </w:r>
    </w:p>
    <w:p>
      <w:pPr>
        <w:pStyle w:val="BodyText"/>
        <w:spacing w:before="121"/>
        <w:ind w:left="785" w:right="269" w:hanging="567"/>
        <w:jc w:val="both"/>
      </w:pPr>
      <w:r>
        <w:rPr/>
        <w:t>Obale-Ebanga F., Sevink J., de Groot W., and Nolte C. (2003). Myths of slash and burn on physical degradation of savannah soils: Impacts on Vertisols in North Cameroon. Soil-Use and Management,19 (1) : pp. 83-86.</w:t>
      </w:r>
    </w:p>
    <w:p>
      <w:pPr>
        <w:pStyle w:val="BodyText"/>
        <w:spacing w:before="119"/>
        <w:ind w:left="785" w:right="265" w:hanging="567"/>
        <w:jc w:val="both"/>
      </w:pPr>
      <w:r>
        <w:rPr/>
        <w:t>Dixon R.K., Brown S., Houghton R. A., Solomon A. M., Trexler M. C., and Wisniewski J. (1994). Carbon pools and flux of global forest ecosystems. </w:t>
      </w:r>
      <w:r>
        <w:rPr>
          <w:i/>
        </w:rPr>
        <w:t>Science </w:t>
      </w:r>
      <w:r>
        <w:rPr/>
        <w:t>263(1544): pp. 185-190.</w:t>
      </w:r>
    </w:p>
    <w:p>
      <w:pPr>
        <w:pStyle w:val="BodyText"/>
        <w:spacing w:before="121"/>
        <w:ind w:left="785" w:right="269" w:hanging="567"/>
        <w:jc w:val="both"/>
      </w:pPr>
      <w:r>
        <w:rPr/>
        <w:t>Hay G.J., Marceau D.J., Dube P., and Bouchard A. (2001). A multi-scale framework for landscape analysis: Object-specific analysis and upscaling. </w:t>
      </w:r>
      <w:r>
        <w:rPr>
          <w:i/>
        </w:rPr>
        <w:t>Landscape-Ecology, </w:t>
      </w:r>
      <w:r>
        <w:rPr/>
        <w:t>16: pp. 471-490.</w:t>
      </w:r>
    </w:p>
    <w:p>
      <w:pPr>
        <w:pStyle w:val="BodyText"/>
        <w:spacing w:before="120"/>
        <w:ind w:left="785" w:right="265" w:hanging="567"/>
        <w:jc w:val="both"/>
      </w:pPr>
      <w:r>
        <w:rPr/>
        <w:t>Duvall M.D., and Grigal D.F. (1999). Effects of timber harvesting on coarse woody debris in red pine forests across the Great Lakes states, USA. </w:t>
      </w:r>
      <w:r>
        <w:rPr>
          <w:i/>
        </w:rPr>
        <w:t>Canadian Journal of Forest Research </w:t>
      </w:r>
      <w:r>
        <w:rPr/>
        <w:t>29 (12): pp. 1926-1934.</w:t>
      </w:r>
    </w:p>
    <w:p>
      <w:pPr>
        <w:pStyle w:val="BodyText"/>
        <w:spacing w:before="119"/>
        <w:ind w:left="219"/>
      </w:pPr>
      <w:r>
        <w:rPr/>
        <w:t>Food and Agriculture Organisation (FAO) (2001). Global Forest Resources Assessment 2000. Main Report.</w:t>
      </w:r>
    </w:p>
    <w:p>
      <w:pPr>
        <w:pStyle w:val="BodyText"/>
        <w:ind w:left="785"/>
      </w:pPr>
      <w:r>
        <w:rPr/>
        <w:t>Forestry Paper 140, FAO, Rome: pp. 479.</w:t>
      </w:r>
    </w:p>
    <w:p>
      <w:pPr>
        <w:pStyle w:val="BodyText"/>
        <w:spacing w:line="350" w:lineRule="atLeast" w:before="1"/>
        <w:ind w:left="219"/>
      </w:pPr>
      <w:r>
        <w:rPr/>
        <w:t>FAO (1995). Forest Resources Assessment 1990: Global Synthesis. Forestry Papers 124, FAO, Rome: pp. 44. Filipchuk A.N., Strakhov V.V., Borisov B.A. </w:t>
      </w:r>
      <w:r>
        <w:rPr>
          <w:i/>
        </w:rPr>
        <w:t>et al</w:t>
      </w:r>
      <w:r>
        <w:rPr/>
        <w:t>. (2000). A Brief National Overview on Forestry Sector and</w:t>
      </w:r>
    </w:p>
    <w:p>
      <w:pPr>
        <w:pStyle w:val="BodyText"/>
        <w:ind w:left="785" w:right="354"/>
      </w:pPr>
      <w:r>
        <w:rPr/>
        <w:t>Wood Products: Russian Federation. UN ECE, FAO. New York, Geneva. ECE/TIM/SP/18 (in Russian): pp. 94.</w:t>
      </w:r>
    </w:p>
    <w:p>
      <w:pPr>
        <w:pStyle w:val="BodyText"/>
        <w:spacing w:before="119"/>
        <w:ind w:left="219"/>
      </w:pPr>
      <w:r>
        <w:rPr/>
        <w:t>Fisher R.F. and Binkley D. (2000). Ecology and management of forest soils. John Wiley &amp; Sons. New York: pp.</w:t>
      </w:r>
    </w:p>
    <w:p>
      <w:pPr>
        <w:pStyle w:val="BodyText"/>
        <w:ind w:left="785"/>
      </w:pPr>
      <w:r>
        <w:rPr/>
        <w:t>489.</w:t>
      </w:r>
    </w:p>
    <w:p>
      <w:pPr>
        <w:spacing w:after="0"/>
        <w:sectPr>
          <w:headerReference w:type="default" r:id="rId168"/>
          <w:headerReference w:type="even" r:id="rId169"/>
          <w:footerReference w:type="default" r:id="rId170"/>
          <w:footerReference w:type="even" r:id="rId171"/>
          <w:pgSz w:w="11900" w:h="16840"/>
          <w:pgMar w:header="230" w:footer="408" w:top="560" w:bottom="600" w:left="1200" w:right="1140"/>
          <w:pgNumType w:start="301"/>
        </w:sectPr>
      </w:pPr>
    </w:p>
    <w:p>
      <w:pPr>
        <w:pStyle w:val="BodyText"/>
        <w:spacing w:before="3"/>
        <w:rPr>
          <w:sz w:val="29"/>
        </w:rPr>
      </w:pPr>
    </w:p>
    <w:p>
      <w:pPr>
        <w:pStyle w:val="BodyText"/>
        <w:spacing w:before="91"/>
        <w:ind w:left="785" w:right="265" w:hanging="567"/>
        <w:jc w:val="both"/>
      </w:pPr>
      <w:r>
        <w:rPr/>
        <w:t>Harmon M.E. and Marks B. (2002). Effects of silvicultural practices on carbon stores in Douglas-fir-western hemlock forests in the Pacific Northwest, USA: results from a simulation model. </w:t>
      </w:r>
      <w:r>
        <w:rPr>
          <w:i/>
        </w:rPr>
        <w:t>Canadian Journal of Forest Research</w:t>
      </w:r>
      <w:r>
        <w:rPr/>
        <w:t>, 32 (5): pp. 863-877.</w:t>
      </w:r>
    </w:p>
    <w:p>
      <w:pPr>
        <w:pStyle w:val="BodyText"/>
        <w:spacing w:before="121"/>
        <w:ind w:left="785" w:right="267" w:hanging="567"/>
        <w:jc w:val="both"/>
      </w:pPr>
      <w:r>
        <w:rPr/>
        <w:t>Harmon M. E., Krankina O.N., Yatskov M., and Matthews E. (2001). Predicting broad-scale carbon stores of woody detritus from plot-level data. In: Lai, R., J. Kimble, B. A. Stewart (eds.). Assessment Methods for Soil Carbon, CRC Press, New York, pp. 533-552.</w:t>
      </w:r>
    </w:p>
    <w:p>
      <w:pPr>
        <w:pStyle w:val="BodyText"/>
        <w:spacing w:before="119"/>
        <w:ind w:left="219"/>
      </w:pPr>
      <w:r>
        <w:rPr/>
        <w:t>Hoover C.M., Birdsey R.A., and Heath L.S. (2000). How to estimate carbon sequestration on small forest tracts.</w:t>
      </w:r>
    </w:p>
    <w:p>
      <w:pPr>
        <w:spacing w:before="0"/>
        <w:ind w:left="785" w:right="0" w:firstLine="0"/>
        <w:jc w:val="left"/>
        <w:rPr>
          <w:sz w:val="20"/>
        </w:rPr>
      </w:pPr>
      <w:r>
        <w:rPr>
          <w:i/>
          <w:sz w:val="20"/>
        </w:rPr>
        <w:t>Journal Forestry</w:t>
      </w:r>
      <w:r>
        <w:rPr>
          <w:sz w:val="20"/>
        </w:rPr>
        <w:t>, 98 (9): pp. 13-19.</w:t>
      </w:r>
    </w:p>
    <w:p>
      <w:pPr>
        <w:pStyle w:val="BodyText"/>
        <w:spacing w:before="121"/>
        <w:ind w:left="219"/>
      </w:pPr>
      <w:r>
        <w:rPr/>
        <w:t>Houghton R.A. (1999). The annual net flux of carbon to the atmosphere from changes in land-use 1850-1990.</w:t>
      </w:r>
    </w:p>
    <w:p>
      <w:pPr>
        <w:spacing w:before="0"/>
        <w:ind w:left="785" w:right="0" w:firstLine="0"/>
        <w:jc w:val="left"/>
        <w:rPr>
          <w:sz w:val="20"/>
        </w:rPr>
      </w:pPr>
      <w:r>
        <w:rPr>
          <w:i/>
          <w:sz w:val="20"/>
        </w:rPr>
        <w:t>Tellus</w:t>
      </w:r>
      <w:r>
        <w:rPr>
          <w:sz w:val="20"/>
        </w:rPr>
        <w:t>, 51B: pp.298-313.</w:t>
      </w:r>
    </w:p>
    <w:p>
      <w:pPr>
        <w:pStyle w:val="BodyText"/>
        <w:spacing w:before="120"/>
        <w:ind w:left="785" w:right="264" w:hanging="567"/>
        <w:jc w:val="both"/>
      </w:pPr>
      <w:r>
        <w:rPr/>
        <w:t>Ilic J., Boland D., McDonald M., Downes G., and Blakemore P. (2000). Woody density Phase 1 – state of Knowledge. National Carbon Accounting System, Technical Report No 18. Australian greenhouse Office.</w:t>
      </w:r>
    </w:p>
    <w:p>
      <w:pPr>
        <w:spacing w:before="119"/>
        <w:ind w:left="785" w:right="265" w:hanging="567"/>
        <w:jc w:val="both"/>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21"/>
        <w:ind w:left="785" w:right="265" w:hanging="567"/>
        <w:jc w:val="both"/>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 IPCC/OECD/IEA/IGES, Hayama, Japan.</w:t>
      </w:r>
    </w:p>
    <w:p>
      <w:pPr>
        <w:pStyle w:val="BodyText"/>
        <w:spacing w:before="119"/>
        <w:ind w:left="785" w:right="268" w:hanging="567"/>
        <w:jc w:val="both"/>
      </w:pPr>
      <w:r>
        <w:rPr/>
        <w:t>Jackson R.B., Banner J.L., Jobbagy E.B., Pockman W.T., and Wall D.H. (2002). Ecosystem carbon loss with woody plan invasion of grasslands. </w:t>
      </w:r>
      <w:r>
        <w:rPr>
          <w:i/>
        </w:rPr>
        <w:t>Nature</w:t>
      </w:r>
      <w:r>
        <w:rPr/>
        <w:t>, 418: pp. 623-626.</w:t>
      </w:r>
    </w:p>
    <w:p>
      <w:pPr>
        <w:pStyle w:val="BodyText"/>
        <w:spacing w:before="121"/>
        <w:ind w:left="785" w:right="266" w:hanging="567"/>
        <w:jc w:val="both"/>
      </w:pPr>
      <w:r>
        <w:rPr/>
        <w:t>Jobbagy E.G., and Jackson R.B. (2000). The vertical distribution of soil organic carbon and its relation to climate and vegetation. </w:t>
      </w:r>
      <w:r>
        <w:rPr>
          <w:i/>
        </w:rPr>
        <w:t>Ecological Applications</w:t>
      </w:r>
      <w:r>
        <w:rPr/>
        <w:t>, 19(2): pp. 423-436.</w:t>
      </w:r>
    </w:p>
    <w:p>
      <w:pPr>
        <w:pStyle w:val="BodyText"/>
        <w:spacing w:before="119"/>
        <w:ind w:left="219"/>
      </w:pPr>
      <w:r>
        <w:rPr/>
        <w:t>Johnson D.W., and Curtis P.S. (2001). Effects of forest management on soil C and N storage: meta analysis.</w:t>
      </w:r>
    </w:p>
    <w:p>
      <w:pPr>
        <w:spacing w:before="0"/>
        <w:ind w:left="785" w:right="0" w:firstLine="0"/>
        <w:jc w:val="left"/>
        <w:rPr>
          <w:sz w:val="20"/>
        </w:rPr>
      </w:pPr>
      <w:r>
        <w:rPr>
          <w:i/>
          <w:sz w:val="20"/>
        </w:rPr>
        <w:t>Forest Ecology and Management</w:t>
      </w:r>
      <w:r>
        <w:rPr>
          <w:sz w:val="20"/>
        </w:rPr>
        <w:t>, 140: pp. 227-238.</w:t>
      </w:r>
    </w:p>
    <w:p>
      <w:pPr>
        <w:pStyle w:val="BodyText"/>
        <w:spacing w:before="120"/>
        <w:ind w:left="785" w:right="267" w:hanging="567"/>
        <w:jc w:val="both"/>
      </w:pPr>
      <w:r>
        <w:rPr/>
        <w:t>Johnson D.W., Knoepp J.D., Swank W.T. (2002). Effects of forest management on soil carbon: results of some long-term resampling studies. Environment Pollution, 116: pp. 201-208.</w:t>
      </w:r>
    </w:p>
    <w:p>
      <w:pPr>
        <w:pStyle w:val="BodyText"/>
        <w:spacing w:before="121"/>
        <w:ind w:left="785" w:right="269" w:hanging="567"/>
        <w:jc w:val="both"/>
      </w:pPr>
      <w:r>
        <w:rPr/>
        <w:t>Johnson M.G., Levine E.R., and Kern J.S. (1995). Soil organic matter: distribution, genesis, and management to reduce greenhouse gas emissions. </w:t>
      </w:r>
      <w:r>
        <w:rPr>
          <w:i/>
        </w:rPr>
        <w:t>Water, Air and Soil Pollution </w:t>
      </w:r>
      <w:r>
        <w:rPr/>
        <w:t>82: pp. 593-615.</w:t>
      </w:r>
    </w:p>
    <w:p>
      <w:pPr>
        <w:pStyle w:val="BodyText"/>
        <w:spacing w:before="119"/>
        <w:ind w:left="785" w:right="266" w:hanging="567"/>
        <w:jc w:val="both"/>
      </w:pPr>
      <w:r>
        <w:rPr/>
        <w:t>Jacinthe P.A., Lal R., Kimble J.M. (2002). Carbon dioxide evolution in runoff from simulated rainfall on long- term no-till and plowed soils in Southwestern Ohio. </w:t>
      </w:r>
      <w:r>
        <w:rPr>
          <w:i/>
        </w:rPr>
        <w:t>Soil Tillage Research </w:t>
      </w:r>
      <w:r>
        <w:rPr/>
        <w:t>66 (1): pp. 23-33.</w:t>
      </w:r>
    </w:p>
    <w:p>
      <w:pPr>
        <w:pStyle w:val="BodyText"/>
        <w:spacing w:before="120"/>
        <w:ind w:left="219"/>
      </w:pPr>
      <w:r>
        <w:rPr/>
        <w:t>Kirschbaum-MUF (2000). How should forest fires be treated in the National Greenhouse Gas Inventory?</w:t>
      </w:r>
    </w:p>
    <w:p>
      <w:pPr>
        <w:spacing w:before="1"/>
        <w:ind w:left="785" w:right="0" w:firstLine="0"/>
        <w:jc w:val="left"/>
        <w:rPr>
          <w:sz w:val="20"/>
        </w:rPr>
      </w:pPr>
      <w:r>
        <w:rPr>
          <w:i/>
          <w:sz w:val="20"/>
        </w:rPr>
        <w:t>Australian-Forestry, </w:t>
      </w:r>
      <w:r>
        <w:rPr>
          <w:sz w:val="20"/>
        </w:rPr>
        <w:t>63(2): pp. 136-141.</w:t>
      </w:r>
    </w:p>
    <w:p>
      <w:pPr>
        <w:pStyle w:val="BodyText"/>
        <w:spacing w:before="120"/>
        <w:ind w:left="785" w:right="264" w:hanging="567"/>
        <w:jc w:val="both"/>
      </w:pPr>
      <w:r>
        <w:rPr/>
        <w:t>Klemedtsson L., Klemedtsson A.K., Moldan F., and Weslien P. (1997). Nitrous oxide emission from Swedish forest soils in relation to liming and simulated increased N-deposition. </w:t>
      </w:r>
      <w:r>
        <w:rPr>
          <w:i/>
        </w:rPr>
        <w:t>Biology &amp; Fertility of Soils </w:t>
      </w:r>
      <w:r>
        <w:rPr/>
        <w:t>25: pp. 290-295.</w:t>
      </w:r>
    </w:p>
    <w:p>
      <w:pPr>
        <w:pStyle w:val="BodyText"/>
        <w:spacing w:before="119"/>
        <w:ind w:left="785" w:right="271" w:hanging="567"/>
        <w:jc w:val="both"/>
      </w:pPr>
      <w:r>
        <w:rPr/>
        <w:t>Koehl M. (2000). Reliability and comparability of TBFRA 2000 results. In: TBFRA 2000, Geneva, UN- ECE/FAO: pp. 27-61.</w:t>
      </w:r>
    </w:p>
    <w:p>
      <w:pPr>
        <w:pStyle w:val="BodyText"/>
        <w:spacing w:before="121"/>
        <w:ind w:left="219"/>
      </w:pPr>
      <w:r>
        <w:rPr/>
        <w:t>Kramer H. (1982). Nutzungsplanung in der Forsteinrichtung. Sauerländer Verlag, Frankfurt: pp.128.</w:t>
      </w:r>
    </w:p>
    <w:p>
      <w:pPr>
        <w:pStyle w:val="BodyText"/>
        <w:spacing w:before="120"/>
        <w:ind w:left="785" w:right="264" w:hanging="567"/>
        <w:jc w:val="both"/>
      </w:pPr>
      <w:r>
        <w:rPr/>
        <w:t>Kurz W. A. and Apps M. J. (1992). Atmospheric carbon and Pacific Northwest Forests. In: Wall, G. (ed.). Implication of climate change for Pacific Northwest Forest management. Un. of Waterloo. Dept. of Geography. </w:t>
      </w:r>
      <w:r>
        <w:rPr>
          <w:i/>
        </w:rPr>
        <w:t>Occasional Paper </w:t>
      </w:r>
      <w:r>
        <w:rPr/>
        <w:t>No. 15: pp. 69-80.</w:t>
      </w:r>
    </w:p>
    <w:p>
      <w:pPr>
        <w:pStyle w:val="BodyText"/>
        <w:spacing w:before="119"/>
        <w:ind w:left="785" w:right="265" w:hanging="567"/>
        <w:jc w:val="both"/>
      </w:pPr>
      <w:r>
        <w:rPr/>
        <w:t>Lafleur P.M., Roulet N.T., Bubier J.L., Frolking S., and Moore T.R. (2003). Inter-annual variability in the peatland-atmosphere carbon dioxide exchange at an ombrotrophic bog - art. no. 1036. </w:t>
      </w:r>
      <w:r>
        <w:rPr>
          <w:i/>
        </w:rPr>
        <w:t>Global- Biogeochemical-Cycles</w:t>
      </w:r>
      <w:r>
        <w:rPr/>
        <w:t>, 17 (2): pp. 00-00.</w:t>
      </w:r>
    </w:p>
    <w:p>
      <w:pPr>
        <w:spacing w:before="121"/>
        <w:ind w:left="785" w:right="266" w:hanging="567"/>
        <w:jc w:val="both"/>
        <w:rPr>
          <w:sz w:val="20"/>
        </w:rPr>
      </w:pPr>
      <w:r>
        <w:rPr>
          <w:sz w:val="20"/>
        </w:rPr>
        <w:t>Laitat É., Karjalainen T., Loustau D., and Lindner M. (2000). Introduction: Towards an integrated scientific approach for carbon accounting in forestry. </w:t>
      </w:r>
      <w:r>
        <w:rPr>
          <w:i/>
          <w:sz w:val="20"/>
        </w:rPr>
        <w:t>Biotechnologie, Agronomie, Société et Environnement </w:t>
      </w:r>
      <w:r>
        <w:rPr>
          <w:sz w:val="20"/>
        </w:rPr>
        <w:t>2000 4(4): pp. 315-319.</w:t>
      </w:r>
    </w:p>
    <w:p>
      <w:pPr>
        <w:pStyle w:val="BodyText"/>
        <w:spacing w:before="119"/>
        <w:ind w:left="785" w:right="269" w:hanging="567"/>
        <w:jc w:val="both"/>
      </w:pPr>
      <w:r>
        <w:rPr/>
        <w:t>Izaurralde R.C., Rosenberg N.J., and Lal R. (2001). Mitigation of climatic change by soil carbon sequestration: issues of science, monitoring, and degraded lands. </w:t>
      </w:r>
      <w:r>
        <w:rPr>
          <w:i/>
        </w:rPr>
        <w:t>Advances-in-Agronomy, </w:t>
      </w:r>
      <w:r>
        <w:rPr/>
        <w:t>70: pp. 1-75.</w:t>
      </w:r>
    </w:p>
    <w:p>
      <w:pPr>
        <w:spacing w:after="0"/>
        <w:jc w:val="both"/>
        <w:sectPr>
          <w:pgSz w:w="11900" w:h="16840"/>
          <w:pgMar w:header="230" w:footer="408" w:top="580" w:bottom="600" w:left="1200" w:right="1140"/>
        </w:sectPr>
      </w:pPr>
    </w:p>
    <w:p>
      <w:pPr>
        <w:pStyle w:val="BodyText"/>
      </w:pPr>
    </w:p>
    <w:p>
      <w:pPr>
        <w:pStyle w:val="BodyText"/>
        <w:spacing w:before="2"/>
        <w:rPr>
          <w:sz w:val="18"/>
        </w:rPr>
      </w:pPr>
    </w:p>
    <w:p>
      <w:pPr>
        <w:spacing w:before="0"/>
        <w:ind w:left="785" w:right="263" w:hanging="567"/>
        <w:jc w:val="both"/>
        <w:rPr>
          <w:i/>
          <w:sz w:val="20"/>
        </w:rPr>
      </w:pPr>
      <w:r>
        <w:rPr>
          <w:sz w:val="20"/>
        </w:rPr>
        <w:t>Lehtonen X, Mäkipää R., Heikkinen J., Sievänen R., and Liski J. (2003). Biomass expansion factors (BEFs) for Scots pine, Norway spruce and birch according to stand age for boreal forests, </w:t>
      </w:r>
      <w:r>
        <w:rPr>
          <w:i/>
          <w:sz w:val="20"/>
        </w:rPr>
        <w:t>Forest Ecology and Management, In Press, Corrected Proof, Available online 24 September 2003.</w:t>
      </w:r>
    </w:p>
    <w:p>
      <w:pPr>
        <w:pStyle w:val="BodyText"/>
        <w:spacing w:before="121"/>
        <w:ind w:left="785" w:right="266" w:hanging="567"/>
        <w:jc w:val="both"/>
      </w:pPr>
      <w:r>
        <w:rPr/>
        <w:t>Levine J.S., Wesley III R.C., Winstead E.L., Thinehart R.P., Cahoon Jr. D.R., Sebacher D.K., Sebacher S., and Stocks B.J. (1991). Biomass burning: combustion emissions, satellite imagery, and biogenic emissions. In: J.S. Levine (Ed.) </w:t>
      </w:r>
      <w:r>
        <w:rPr>
          <w:i/>
        </w:rPr>
        <w:t>Global Biomass Burning </w:t>
      </w:r>
      <w:r>
        <w:rPr/>
        <w:t>MIT Press, Cambridge: pp.</w:t>
      </w:r>
      <w:r>
        <w:rPr>
          <w:spacing w:val="-4"/>
        </w:rPr>
        <w:t> </w:t>
      </w:r>
      <w:r>
        <w:rPr/>
        <w:t>264-271.</w:t>
      </w:r>
    </w:p>
    <w:p>
      <w:pPr>
        <w:pStyle w:val="BodyText"/>
        <w:spacing w:before="119"/>
        <w:ind w:left="785" w:right="265" w:hanging="567"/>
        <w:jc w:val="both"/>
      </w:pPr>
      <w:r>
        <w:rPr/>
        <w:t>Li Z., Kurz W.A., Apps M.J., and Beukema S.J. (2003) Belowground biomass dynamics in the Carbon Budget Model of the Canadian Forest Sector: recent improvements and implications for the estimation of NPP and NEP. </w:t>
      </w:r>
      <w:r>
        <w:rPr>
          <w:i/>
        </w:rPr>
        <w:t>Canadian Journal of Forest Research </w:t>
      </w:r>
      <w:r>
        <w:rPr/>
        <w:t>33 (1): pp.</w:t>
      </w:r>
      <w:r>
        <w:rPr>
          <w:spacing w:val="-3"/>
        </w:rPr>
        <w:t> </w:t>
      </w:r>
      <w:r>
        <w:rPr/>
        <w:t>126-136.</w:t>
      </w:r>
    </w:p>
    <w:p>
      <w:pPr>
        <w:pStyle w:val="BodyText"/>
        <w:spacing w:before="121"/>
        <w:ind w:left="785" w:right="264" w:hanging="567"/>
        <w:jc w:val="both"/>
      </w:pPr>
      <w:r>
        <w:rPr/>
        <w:t>Li C.S., Aber J, Stange F, Butterbach Bahl K., and Papen H. (2000). A process-oriented model of N</w:t>
      </w:r>
      <w:r>
        <w:rPr>
          <w:vertAlign w:val="subscript"/>
        </w:rPr>
        <w:t>2</w:t>
      </w:r>
      <w:r>
        <w:rPr>
          <w:vertAlign w:val="baseline"/>
        </w:rPr>
        <w:t>O and NO emissions from forest soils: 1. Model development. </w:t>
      </w:r>
      <w:r>
        <w:rPr>
          <w:i/>
          <w:vertAlign w:val="baseline"/>
        </w:rPr>
        <w:t>Journal of Geophysical Research Atmospheres. </w:t>
      </w:r>
      <w:r>
        <w:rPr>
          <w:vertAlign w:val="baseline"/>
        </w:rPr>
        <w:t>105 (D4): pp. 4369-4384.</w:t>
      </w:r>
    </w:p>
    <w:p>
      <w:pPr>
        <w:pStyle w:val="BodyText"/>
        <w:spacing w:before="119"/>
        <w:ind w:left="785" w:right="266" w:hanging="567"/>
        <w:jc w:val="both"/>
      </w:pPr>
      <w:r>
        <w:rPr/>
        <w:t>Liski J., Pussinen A., Pingoud K., Makipaa R., Karjalainen T. (2001). Which rotation length is favourable to carbon sequestration? </w:t>
      </w:r>
      <w:r>
        <w:rPr>
          <w:i/>
        </w:rPr>
        <w:t>Canadian Journal of Forest Research </w:t>
      </w:r>
      <w:r>
        <w:rPr/>
        <w:t>31: pp. 2004-2013.</w:t>
      </w:r>
    </w:p>
    <w:p>
      <w:pPr>
        <w:spacing w:before="121"/>
        <w:ind w:left="785" w:right="266" w:hanging="567"/>
        <w:jc w:val="both"/>
        <w:rPr>
          <w:sz w:val="20"/>
        </w:rPr>
      </w:pPr>
      <w:r>
        <w:rPr>
          <w:sz w:val="20"/>
        </w:rPr>
        <w:t>Löewe H, Seufert G., and Raes F. (2000). Comparison of methods used within Member States for estimating CO2 emissions and sinks according to UNFCCC and EU Monitoring Mechanism: forest and other wooded land. </w:t>
      </w:r>
      <w:r>
        <w:rPr>
          <w:i/>
          <w:sz w:val="20"/>
        </w:rPr>
        <w:t>Biotechnologie, Agronomie, Société et Environnement 2000 </w:t>
      </w:r>
      <w:r>
        <w:rPr>
          <w:sz w:val="20"/>
        </w:rPr>
        <w:t>4(4): pp.</w:t>
      </w:r>
      <w:r>
        <w:rPr>
          <w:spacing w:val="-13"/>
          <w:sz w:val="20"/>
        </w:rPr>
        <w:t> </w:t>
      </w:r>
      <w:r>
        <w:rPr>
          <w:sz w:val="20"/>
        </w:rPr>
        <w:t>315-319.</w:t>
      </w:r>
    </w:p>
    <w:p>
      <w:pPr>
        <w:pStyle w:val="BodyText"/>
        <w:spacing w:before="119"/>
        <w:ind w:left="785" w:right="271" w:hanging="567"/>
        <w:jc w:val="both"/>
      </w:pPr>
      <w:r>
        <w:rPr/>
        <w:t>Martikainen P.J., Nykanen H., Alm J., and Silvola J. (1995). Change in fluxes of carbon dioxide, methane and nitrous oxide due to forest drainage of mire sites of different trophy. </w:t>
      </w:r>
      <w:r>
        <w:rPr>
          <w:i/>
        </w:rPr>
        <w:t>Plant &amp; Soil </w:t>
      </w:r>
      <w:r>
        <w:rPr/>
        <w:t>169: pp. 571-577.</w:t>
      </w:r>
    </w:p>
    <w:p>
      <w:pPr>
        <w:spacing w:before="121"/>
        <w:ind w:left="785" w:right="265" w:hanging="567"/>
        <w:jc w:val="both"/>
        <w:rPr>
          <w:sz w:val="20"/>
        </w:rPr>
      </w:pPr>
      <w:r>
        <w:rPr>
          <w:sz w:val="20"/>
        </w:rPr>
        <w:t>McKenzie N.J., Cresswell H.P., Ryan P.J., and Grundy M. (2000). Opportunities for the 21st century: Expanding the horizons for soil, plant, and water analysis. </w:t>
      </w:r>
      <w:r>
        <w:rPr>
          <w:i/>
          <w:sz w:val="20"/>
        </w:rPr>
        <w:t>Communications in Soil Science and Plant Analysis </w:t>
      </w:r>
      <w:r>
        <w:rPr>
          <w:sz w:val="20"/>
        </w:rPr>
        <w:t>31: pp. 1553-1569.</w:t>
      </w:r>
    </w:p>
    <w:p>
      <w:pPr>
        <w:pStyle w:val="BodyText"/>
        <w:spacing w:before="121"/>
        <w:ind w:left="785" w:right="267" w:hanging="567"/>
        <w:jc w:val="both"/>
      </w:pPr>
      <w:r>
        <w:rPr/>
        <w:t>Mosier A. and Kroeze C. (1999). Contribution of agroecosystems to the global atmospheric N</w:t>
      </w:r>
      <w:r>
        <w:rPr>
          <w:vertAlign w:val="subscript"/>
        </w:rPr>
        <w:t>2</w:t>
      </w:r>
      <w:r>
        <w:rPr>
          <w:vertAlign w:val="baseline"/>
        </w:rPr>
        <w:t>O budget. Proceedings of International workshop on reducing N</w:t>
      </w:r>
      <w:r>
        <w:rPr>
          <w:vertAlign w:val="subscript"/>
        </w:rPr>
        <w:t>2</w:t>
      </w:r>
      <w:r>
        <w:rPr>
          <w:vertAlign w:val="baseline"/>
        </w:rPr>
        <w:t>O emission from agroecosystems, Banff, Canada, March 1999.</w:t>
      </w:r>
    </w:p>
    <w:p>
      <w:pPr>
        <w:pStyle w:val="BodyText"/>
        <w:spacing w:before="119"/>
        <w:ind w:left="785" w:right="263" w:hanging="567"/>
        <w:jc w:val="both"/>
      </w:pPr>
      <w:r>
        <w:rPr/>
        <w:t>Mosier A. R., Delgado J.A., and Keller M. (1998). Methane and nitrous oxide fluxes in an acid Oxisol in Western Puerto Rico: Effects of tillage, liming and fertilization. </w:t>
      </w:r>
      <w:r>
        <w:rPr>
          <w:i/>
        </w:rPr>
        <w:t>Soil Biology &amp; Biochemistry </w:t>
      </w:r>
      <w:r>
        <w:rPr/>
        <w:t>30: pp. 2087-2098.</w:t>
      </w:r>
    </w:p>
    <w:p>
      <w:pPr>
        <w:pStyle w:val="BodyText"/>
        <w:spacing w:before="121"/>
        <w:ind w:left="785" w:right="268" w:hanging="567"/>
        <w:jc w:val="both"/>
      </w:pPr>
      <w:r>
        <w:rPr/>
        <w:t>Page-Dumroese D, Jurgensen M, Elliot W, </w:t>
      </w:r>
      <w:r>
        <w:rPr>
          <w:i/>
        </w:rPr>
        <w:t>et al</w:t>
      </w:r>
      <w:r>
        <w:rPr/>
        <w:t>. (2000). Soil quality standards and guidelines for forest sustainability in northwestern North America. </w:t>
      </w:r>
      <w:r>
        <w:rPr>
          <w:i/>
        </w:rPr>
        <w:t>Forest Ecology Management </w:t>
      </w:r>
      <w:r>
        <w:rPr/>
        <w:t>138 (1-3): pp. 445-462.</w:t>
      </w:r>
    </w:p>
    <w:p>
      <w:pPr>
        <w:pStyle w:val="BodyText"/>
        <w:spacing w:before="119"/>
        <w:ind w:left="785" w:right="262" w:hanging="567"/>
        <w:jc w:val="both"/>
      </w:pPr>
      <w:r>
        <w:rPr/>
        <w:t>Papen H., and Butterbach-Bahl K. (1999). A 3-year continuous record of nitrogen trace gas fluxes  from untreated and limed soil of a N-saturated spruce and beech forest in Germany - 1. N</w:t>
      </w:r>
      <w:r>
        <w:rPr>
          <w:vertAlign w:val="subscript"/>
        </w:rPr>
        <w:t>2</w:t>
      </w:r>
      <w:r>
        <w:rPr>
          <w:vertAlign w:val="baseline"/>
        </w:rPr>
        <w:t>O emissions. </w:t>
      </w:r>
      <w:r>
        <w:rPr>
          <w:i/>
          <w:vertAlign w:val="baseline"/>
        </w:rPr>
        <w:t>Journal of Geophysical Research </w:t>
      </w:r>
      <w:r>
        <w:rPr>
          <w:vertAlign w:val="baseline"/>
        </w:rPr>
        <w:t>104: pp.</w:t>
      </w:r>
      <w:r>
        <w:rPr>
          <w:spacing w:val="-2"/>
          <w:vertAlign w:val="baseline"/>
        </w:rPr>
        <w:t> </w:t>
      </w:r>
      <w:r>
        <w:rPr>
          <w:vertAlign w:val="baseline"/>
        </w:rPr>
        <w:t>18487-18503.</w:t>
      </w:r>
    </w:p>
    <w:p>
      <w:pPr>
        <w:pStyle w:val="BodyText"/>
        <w:spacing w:before="121"/>
        <w:ind w:left="785" w:right="268" w:hanging="567"/>
        <w:jc w:val="both"/>
      </w:pPr>
      <w:r>
        <w:rPr/>
        <w:t>Paul K.I., Polglase P.J., Nyakuengama J.G., and Khanna P.K. (2002). Change in soil carbon following afforestation. </w:t>
      </w:r>
      <w:r>
        <w:rPr>
          <w:i/>
        </w:rPr>
        <w:t>Forest Ecology and Management </w:t>
      </w:r>
      <w:r>
        <w:rPr/>
        <w:t>168: pp. 241-257.</w:t>
      </w:r>
    </w:p>
    <w:p>
      <w:pPr>
        <w:pStyle w:val="BodyText"/>
        <w:spacing w:before="118"/>
        <w:ind w:left="785" w:right="267" w:hanging="567"/>
        <w:jc w:val="both"/>
      </w:pPr>
      <w:r>
        <w:rPr/>
        <w:t>Polglase P.J., Paul K.I., Khanna P.K., Nyakuengama J.G., O’Connell A.M., Grove T.S., and Battaglia M. (2000). Change in soil Carbon Following Afforestation or Reforestation. National Carbon Accounting system technical report no. 20 Australian Greenhouse Gas Office, Canberra.</w:t>
      </w:r>
    </w:p>
    <w:p>
      <w:pPr>
        <w:pStyle w:val="BodyText"/>
        <w:spacing w:before="122"/>
        <w:ind w:left="219"/>
      </w:pPr>
      <w:r>
        <w:rPr/>
        <w:t>Post W.M. and Kwon K.C. (2000). Soil carbon sequestration and land-use changes: processes and potential.</w:t>
      </w:r>
    </w:p>
    <w:p>
      <w:pPr>
        <w:spacing w:before="0"/>
        <w:ind w:left="785" w:right="0" w:firstLine="0"/>
        <w:jc w:val="left"/>
        <w:rPr>
          <w:sz w:val="20"/>
        </w:rPr>
      </w:pPr>
      <w:r>
        <w:rPr>
          <w:i/>
          <w:sz w:val="20"/>
        </w:rPr>
        <w:t>Global Change Biology </w:t>
      </w:r>
      <w:r>
        <w:rPr>
          <w:sz w:val="20"/>
        </w:rPr>
        <w:t>6: pp. 317-327.</w:t>
      </w:r>
    </w:p>
    <w:p>
      <w:pPr>
        <w:pStyle w:val="BodyText"/>
        <w:spacing w:line="350" w:lineRule="exact" w:before="25"/>
        <w:ind w:left="219" w:right="266"/>
        <w:rPr>
          <w:i/>
        </w:rPr>
      </w:pPr>
      <w:r>
        <w:rPr/>
        <w:t>Pregitzer K.S. (2003). Woody plants, carbon allocation and fine roots. </w:t>
      </w:r>
      <w:r>
        <w:rPr>
          <w:i/>
        </w:rPr>
        <w:t>New Phytologist </w:t>
      </w:r>
      <w:r>
        <w:rPr/>
        <w:t>158 (3): pp. 421-424. Renault P. (1999). Les modèles opérationnels d'émission de N</w:t>
      </w:r>
      <w:r>
        <w:rPr>
          <w:vertAlign w:val="subscript"/>
        </w:rPr>
        <w:t>2</w:t>
      </w:r>
      <w:r>
        <w:rPr>
          <w:vertAlign w:val="baseline"/>
        </w:rPr>
        <w:t>O par les sols aux échelles régionales. </w:t>
      </w:r>
      <w:r>
        <w:rPr>
          <w:i/>
          <w:vertAlign w:val="baseline"/>
        </w:rPr>
        <w:t>C.R. Acad.</w:t>
      </w:r>
    </w:p>
    <w:p>
      <w:pPr>
        <w:spacing w:line="204" w:lineRule="exact" w:before="0"/>
        <w:ind w:left="785" w:right="0" w:firstLine="0"/>
        <w:jc w:val="left"/>
        <w:rPr>
          <w:sz w:val="20"/>
        </w:rPr>
      </w:pPr>
      <w:r>
        <w:rPr>
          <w:i/>
          <w:sz w:val="20"/>
        </w:rPr>
        <w:t>Agri. Fr. </w:t>
      </w:r>
      <w:r>
        <w:rPr>
          <w:sz w:val="20"/>
        </w:rPr>
        <w:t>85, 6 : pp. 163-176.</w:t>
      </w:r>
    </w:p>
    <w:p>
      <w:pPr>
        <w:pStyle w:val="BodyText"/>
        <w:spacing w:before="120"/>
        <w:ind w:left="785" w:right="266" w:hanging="567"/>
        <w:jc w:val="both"/>
      </w:pPr>
      <w:r>
        <w:rPr/>
        <w:t>Richter D.D., Markewitz D., Trumbore S.E. and Wells C.B. (1999). Rapid accumulation and turnover of soil carbon in a re-establishing forest. </w:t>
      </w:r>
      <w:r>
        <w:rPr>
          <w:i/>
        </w:rPr>
        <w:t>Nature </w:t>
      </w:r>
      <w:r>
        <w:rPr/>
        <w:t>400: pp. 56-58.</w:t>
      </w:r>
    </w:p>
    <w:p>
      <w:pPr>
        <w:pStyle w:val="BodyText"/>
        <w:spacing w:before="121"/>
        <w:ind w:left="785" w:right="265" w:hanging="567"/>
        <w:jc w:val="both"/>
      </w:pPr>
      <w:r>
        <w:rPr/>
        <w:t>Schelhaas M.J., Varis S., and Schuck A. (2001). Database on Forest Disturbances in Europe (DFDE), European Forest Institute, Joensuu, Finland, </w:t>
      </w:r>
      <w:hyperlink r:id="rId172">
        <w:r>
          <w:rPr/>
          <w:t>http://www.efi.fi/projects/dfde/.</w:t>
        </w:r>
      </w:hyperlink>
    </w:p>
    <w:p>
      <w:pPr>
        <w:pStyle w:val="BodyText"/>
        <w:spacing w:before="118"/>
        <w:ind w:left="785" w:right="263" w:hanging="567"/>
        <w:jc w:val="both"/>
      </w:pPr>
      <w:r>
        <w:rPr/>
        <w:t>Scott N.A., Tate K.R., Giltrap D.J., </w:t>
      </w:r>
      <w:r>
        <w:rPr>
          <w:i/>
        </w:rPr>
        <w:t>et al. </w:t>
      </w:r>
      <w:r>
        <w:rPr/>
        <w:t>(2002). Monitoring land-use change effects on soil carbon in New Zealand: quantifying baseline soil carbon stocks. </w:t>
      </w:r>
      <w:r>
        <w:rPr>
          <w:i/>
        </w:rPr>
        <w:t>Environmental Pollution </w:t>
      </w:r>
      <w:r>
        <w:rPr/>
        <w:t>116: pp. 167-186.</w:t>
      </w:r>
    </w:p>
    <w:p>
      <w:pPr>
        <w:pStyle w:val="BodyText"/>
        <w:spacing w:before="121"/>
        <w:ind w:left="219"/>
      </w:pPr>
      <w:r>
        <w:rPr/>
        <w:t>Siltanen et al. (1997). A soil profile and organic carbon data base for Canadian forest and tundra mineral soils.</w:t>
      </w:r>
    </w:p>
    <w:p>
      <w:pPr>
        <w:pStyle w:val="BodyText"/>
        <w:spacing w:before="1"/>
        <w:ind w:left="766" w:right="772"/>
        <w:jc w:val="center"/>
      </w:pPr>
      <w:r>
        <w:rPr/>
        <w:t>Natural Resources Canada, Canadian Forest Service, Northern Forestry Centre, Edmonton, Alberta.</w:t>
      </w:r>
    </w:p>
    <w:p>
      <w:pPr>
        <w:spacing w:after="0"/>
        <w:jc w:val="center"/>
        <w:sectPr>
          <w:pgSz w:w="11900" w:h="16840"/>
          <w:pgMar w:header="230" w:footer="408" w:top="560" w:bottom="600" w:left="1200" w:right="1140"/>
        </w:sectPr>
      </w:pPr>
    </w:p>
    <w:p>
      <w:pPr>
        <w:pStyle w:val="BodyText"/>
        <w:spacing w:before="3"/>
        <w:rPr>
          <w:sz w:val="29"/>
        </w:rPr>
      </w:pPr>
    </w:p>
    <w:p>
      <w:pPr>
        <w:pStyle w:val="BodyText"/>
        <w:spacing w:before="91"/>
        <w:ind w:left="785" w:right="269" w:hanging="567"/>
        <w:jc w:val="both"/>
      </w:pPr>
      <w:r>
        <w:rPr/>
        <w:t>Smith J.E., and Heath L.S. (2002). A model of forest floor carbon mass for United States forest types. General Technical Report, USDA Forest Service, Northeastern Research Station, Newtown Square, PA. In press.</w:t>
      </w:r>
    </w:p>
    <w:p>
      <w:pPr>
        <w:pStyle w:val="BodyText"/>
        <w:spacing w:before="120"/>
        <w:ind w:left="785" w:right="265" w:hanging="567"/>
        <w:jc w:val="both"/>
      </w:pPr>
      <w:r>
        <w:rPr/>
        <w:t>Smith K. A., Dobbie K.E., Ball B.C., Bakken L.R., Sitaula B.K., Hansen S., Brumme R., Borken W., Christensen S., Priemé A., Fowler D., MacDonald J.A., Skiba U., Klemedtsson L., Kasimir-Klemedtsson A., Degórska A., and Orlanski P. (2000). Oxidation of atmospheric methane in Northern European soils, comparison with other ecosystems, and uncertainties in the global terrestrial sink. </w:t>
      </w:r>
      <w:r>
        <w:rPr>
          <w:i/>
        </w:rPr>
        <w:t>Global Change Biology </w:t>
      </w:r>
      <w:r>
        <w:rPr/>
        <w:t>6: pp.</w:t>
      </w:r>
      <w:r>
        <w:rPr>
          <w:spacing w:val="-1"/>
        </w:rPr>
        <w:t> </w:t>
      </w:r>
      <w:r>
        <w:rPr/>
        <w:t>791-803.</w:t>
      </w:r>
    </w:p>
    <w:p>
      <w:pPr>
        <w:pStyle w:val="BodyText"/>
        <w:spacing w:before="120"/>
        <w:ind w:left="785" w:right="266" w:hanging="567"/>
        <w:jc w:val="both"/>
      </w:pPr>
      <w:r>
        <w:rPr/>
        <w:t>Smith K.A., Bouwman L., and Braatz B. (1999). Nitrous oxide: direct emissions from agricultural soils. Background paper for IPCC Workshop on Good Practice in Inventory Preparation : Agricultural sources of methane and nitrous oxide, 24-26 February 1999, Wageningen, The Netherlands.</w:t>
      </w:r>
    </w:p>
    <w:p>
      <w:pPr>
        <w:pStyle w:val="BodyText"/>
        <w:spacing w:before="121"/>
        <w:ind w:left="785" w:right="267" w:hanging="567"/>
        <w:jc w:val="both"/>
      </w:pPr>
      <w:r>
        <w:rPr/>
        <w:t>Spies T.A., Franklin J.F., and Thomas T.B. (1988). Coarse woody debris in Douglas-fir forests of Western Oregon and Washington. </w:t>
      </w:r>
      <w:r>
        <w:rPr>
          <w:i/>
        </w:rPr>
        <w:t>Ecology </w:t>
      </w:r>
      <w:r>
        <w:rPr/>
        <w:t>6: pp. 1689-1702.</w:t>
      </w:r>
    </w:p>
    <w:p>
      <w:pPr>
        <w:spacing w:before="119"/>
        <w:ind w:left="785" w:right="266" w:hanging="516"/>
        <w:jc w:val="both"/>
        <w:rPr>
          <w:sz w:val="20"/>
        </w:rPr>
      </w:pPr>
      <w:r>
        <w:rPr>
          <w:sz w:val="20"/>
        </w:rPr>
        <w:t>Stange F., Butterbach-Bahl K., Papen H., </w:t>
      </w:r>
      <w:r>
        <w:rPr>
          <w:i/>
          <w:sz w:val="20"/>
        </w:rPr>
        <w:t>et al. </w:t>
      </w:r>
      <w:r>
        <w:rPr>
          <w:sz w:val="20"/>
        </w:rPr>
        <w:t>(2000). A process-oriented model of N</w:t>
      </w:r>
      <w:r>
        <w:rPr>
          <w:sz w:val="20"/>
          <w:vertAlign w:val="subscript"/>
        </w:rPr>
        <w:t>2</w:t>
      </w:r>
      <w:r>
        <w:rPr>
          <w:sz w:val="20"/>
          <w:vertAlign w:val="baseline"/>
        </w:rPr>
        <w:t>O and NO emissions from forest soils 2. Sensitivity analysis and validation. </w:t>
      </w:r>
      <w:r>
        <w:rPr>
          <w:i/>
          <w:sz w:val="20"/>
          <w:vertAlign w:val="baseline"/>
        </w:rPr>
        <w:t>Journal of Geophysical Research Atmosphere </w:t>
      </w:r>
      <w:r>
        <w:rPr>
          <w:sz w:val="20"/>
          <w:vertAlign w:val="baseline"/>
        </w:rPr>
        <w:t>105 (D4): pp. 4385-4398.</w:t>
      </w:r>
    </w:p>
    <w:p>
      <w:pPr>
        <w:pStyle w:val="BodyText"/>
        <w:spacing w:before="121"/>
        <w:ind w:left="785" w:right="264" w:hanging="567"/>
        <w:jc w:val="both"/>
      </w:pPr>
      <w:r>
        <w:rPr/>
        <w:t>Thormann M.N., Szumigalski A.R., Bayley S.E. (1999). Aboveground peat and carbon accumulation potentials along a bog-fen-marsh wetland gradient in southern boreal Alberta, Canada. </w:t>
      </w:r>
      <w:r>
        <w:rPr>
          <w:i/>
        </w:rPr>
        <w:t>Wetlands </w:t>
      </w:r>
      <w:r>
        <w:rPr/>
        <w:t>19 (2): pp. 305- 317.</w:t>
      </w:r>
    </w:p>
    <w:p>
      <w:pPr>
        <w:pStyle w:val="BodyText"/>
        <w:spacing w:before="119"/>
        <w:ind w:left="785" w:right="266" w:hanging="567"/>
        <w:jc w:val="both"/>
      </w:pPr>
      <w:r>
        <w:rPr/>
        <w:t>Tremblay S., Ouimet R. and Houle D. (2002). Prediction of organic carbon content in upland forest soils of Quebec, Canada. </w:t>
      </w:r>
      <w:r>
        <w:rPr>
          <w:i/>
        </w:rPr>
        <w:t>Can. J. For. Res</w:t>
      </w:r>
      <w:r>
        <w:rPr/>
        <w:t>. 32: pp. 903-914.</w:t>
      </w:r>
    </w:p>
    <w:p>
      <w:pPr>
        <w:pStyle w:val="BodyText"/>
        <w:spacing w:before="121"/>
        <w:ind w:left="219"/>
      </w:pPr>
      <w:r>
        <w:rPr/>
        <w:t>UN-ECE/FAO (20000)</w:t>
      </w:r>
    </w:p>
    <w:p>
      <w:pPr>
        <w:pStyle w:val="BodyText"/>
        <w:spacing w:before="120"/>
        <w:ind w:left="785" w:right="272" w:hanging="567"/>
        <w:jc w:val="both"/>
      </w:pPr>
      <w:r>
        <w:rPr/>
        <w:t>Vogt K.A., Vogt D.J., Pamiotto P.A., Boon P., O’Hara J., and Asbjornsen H. (1996). Review of root dynamics in forest ecosystems grouped by climate, climatic forest type, and species. </w:t>
      </w:r>
      <w:r>
        <w:rPr>
          <w:i/>
        </w:rPr>
        <w:t>Plant and Soil </w:t>
      </w:r>
      <w:r>
        <w:rPr/>
        <w:t>187: pp. 159-219.</w:t>
      </w:r>
    </w:p>
    <w:p>
      <w:pPr>
        <w:spacing w:before="119"/>
        <w:ind w:left="785" w:right="267" w:hanging="567"/>
        <w:jc w:val="both"/>
        <w:rPr>
          <w:sz w:val="20"/>
        </w:rPr>
      </w:pPr>
      <w:r>
        <w:rPr>
          <w:sz w:val="20"/>
        </w:rPr>
        <w:t>Yavitt J. B., Fahey T.J., and Simmons J.A. (1997). Methane and carbon dioxide dynamics in a northern hardwood ecosystem. </w:t>
      </w:r>
      <w:r>
        <w:rPr>
          <w:i/>
          <w:sz w:val="20"/>
        </w:rPr>
        <w:t>Soil Science Society of America Journal </w:t>
      </w:r>
      <w:r>
        <w:rPr>
          <w:sz w:val="20"/>
        </w:rPr>
        <w:t>59: pp.</w:t>
      </w:r>
      <w:r>
        <w:rPr>
          <w:spacing w:val="-7"/>
          <w:sz w:val="20"/>
        </w:rPr>
        <w:t> </w:t>
      </w:r>
      <w:r>
        <w:rPr>
          <w:sz w:val="20"/>
        </w:rPr>
        <w:t>796-804.</w:t>
      </w:r>
    </w:p>
    <w:p>
      <w:pPr>
        <w:pStyle w:val="BodyText"/>
        <w:spacing w:before="120"/>
        <w:ind w:left="785" w:right="266" w:hanging="567"/>
        <w:jc w:val="both"/>
      </w:pPr>
      <w:r>
        <w:rPr/>
        <w:t>Zagreev V.V., Sukhikh B.I., Shvidenko A.Z., Gusev N.N., and Moshkalev A.G. (1993). The All-Union Standards for Forest Inventory. </w:t>
      </w:r>
      <w:r>
        <w:rPr>
          <w:i/>
        </w:rPr>
        <w:t>Kolos</w:t>
      </w:r>
      <w:r>
        <w:rPr/>
        <w:t>, Moscow, p. 495. (In</w:t>
      </w:r>
      <w:r>
        <w:rPr>
          <w:spacing w:val="-4"/>
        </w:rPr>
        <w:t> </w:t>
      </w:r>
      <w:r>
        <w:rPr/>
        <w:t>Russian).</w:t>
      </w:r>
    </w:p>
    <w:p>
      <w:pPr>
        <w:pStyle w:val="BodyText"/>
        <w:spacing w:before="121"/>
        <w:ind w:left="219"/>
        <w:rPr>
          <w:i/>
        </w:rPr>
      </w:pPr>
      <w:r>
        <w:rPr/>
        <w:t>Zoltai S.C. and Vitt D.H. (1995). Canadian wetlands – environmental gradients and classification. </w:t>
      </w:r>
      <w:r>
        <w:rPr>
          <w:i/>
        </w:rPr>
        <w:t>Vegetation</w:t>
      </w:r>
    </w:p>
    <w:p>
      <w:pPr>
        <w:pStyle w:val="BodyText"/>
        <w:spacing w:before="1"/>
        <w:ind w:left="785"/>
      </w:pPr>
      <w:r>
        <w:rPr/>
        <w:t>118 (1-2): pp. 131-137.</w:t>
      </w:r>
    </w:p>
    <w:p>
      <w:pPr>
        <w:pStyle w:val="BodyText"/>
        <w:spacing w:before="1"/>
        <w:rPr>
          <w:sz w:val="21"/>
        </w:rPr>
      </w:pPr>
    </w:p>
    <w:p>
      <w:pPr>
        <w:pStyle w:val="Heading6"/>
        <w:numPr>
          <w:ilvl w:val="1"/>
          <w:numId w:val="81"/>
        </w:numPr>
        <w:tabs>
          <w:tab w:pos="549" w:val="left" w:leader="none"/>
        </w:tabs>
        <w:spacing w:line="240" w:lineRule="auto" w:before="1" w:after="0"/>
        <w:ind w:left="548" w:right="0" w:hanging="329"/>
        <w:jc w:val="left"/>
      </w:pPr>
      <w:r>
        <w:rPr/>
        <w:t>CROPLAND</w:t>
      </w:r>
    </w:p>
    <w:p>
      <w:pPr>
        <w:pStyle w:val="BodyText"/>
        <w:spacing w:before="5"/>
        <w:rPr>
          <w:b/>
          <w:sz w:val="19"/>
        </w:rPr>
      </w:pPr>
    </w:p>
    <w:p>
      <w:pPr>
        <w:pStyle w:val="BodyText"/>
        <w:ind w:left="785" w:right="266" w:hanging="567"/>
        <w:jc w:val="both"/>
      </w:pPr>
      <w:r>
        <w:rPr/>
        <w:t>Armentano T.V. and Menges E.S. (1986). Patterns of change in the carbon balance of organic soil-wetlands of the temperate zone. </w:t>
      </w:r>
      <w:r>
        <w:rPr>
          <w:i/>
        </w:rPr>
        <w:t>Journal of Ecology </w:t>
      </w:r>
      <w:r>
        <w:rPr/>
        <w:t>74: pp. 755-774.</w:t>
      </w:r>
    </w:p>
    <w:p>
      <w:pPr>
        <w:pStyle w:val="BodyText"/>
        <w:spacing w:before="121"/>
        <w:ind w:left="785" w:right="263" w:hanging="567"/>
        <w:jc w:val="both"/>
      </w:pPr>
      <w:r>
        <w:rPr/>
        <w:t>Barbosa R.I. and Fearnside P.M. (1996). Pasture burning in Amazonia: Dynamics of residual biomass and the storage and release of aboveground carbon. </w:t>
      </w:r>
      <w:r>
        <w:rPr>
          <w:i/>
        </w:rPr>
        <w:t>Journal of Geophysical Research </w:t>
      </w:r>
      <w:r>
        <w:rPr/>
        <w:t>(Atmospheres) 101(D20): pp. 25847-25857.</w:t>
      </w:r>
    </w:p>
    <w:p>
      <w:pPr>
        <w:spacing w:before="121"/>
        <w:ind w:left="785" w:right="266" w:hanging="567"/>
        <w:jc w:val="both"/>
        <w:rPr>
          <w:sz w:val="20"/>
        </w:rPr>
      </w:pPr>
      <w:r>
        <w:rPr>
          <w:sz w:val="20"/>
        </w:rPr>
        <w:t>Bernoux M., Carvalho M.D.S., Volkoff B., and Cerri C.C. (2002). Brazil’s soil carbon stocks. </w:t>
      </w:r>
      <w:r>
        <w:rPr>
          <w:i/>
          <w:sz w:val="20"/>
        </w:rPr>
        <w:t>Soil Science Society of America Journal </w:t>
      </w:r>
      <w:r>
        <w:rPr>
          <w:sz w:val="20"/>
        </w:rPr>
        <w:t>66: pp. 888-896.</w:t>
      </w:r>
    </w:p>
    <w:p>
      <w:pPr>
        <w:pStyle w:val="BodyText"/>
        <w:spacing w:before="119"/>
        <w:ind w:left="785" w:right="270" w:hanging="567"/>
        <w:jc w:val="both"/>
      </w:pPr>
      <w:r>
        <w:rPr/>
        <w:t>Conant R.T. and Paustian K. (2002). Spatial variability of soil organic carbon in grasslands: implications for detecting change at different scales. </w:t>
      </w:r>
      <w:r>
        <w:rPr>
          <w:i/>
        </w:rPr>
        <w:t>Environmental Pollution </w:t>
      </w:r>
      <w:r>
        <w:rPr/>
        <w:t>116: pp. 127-135.</w:t>
      </w:r>
    </w:p>
    <w:p>
      <w:pPr>
        <w:pStyle w:val="BodyText"/>
        <w:spacing w:before="121"/>
        <w:ind w:left="785" w:right="265" w:hanging="567"/>
        <w:jc w:val="both"/>
      </w:pPr>
      <w:r>
        <w:rPr/>
        <w:t>Davidson E. A. and Ackerman I.L. (1993). Changes in soil carbon inventories following cultivation of previously untilled soils. </w:t>
      </w:r>
      <w:r>
        <w:rPr>
          <w:i/>
        </w:rPr>
        <w:t>Biogeochemistry </w:t>
      </w:r>
      <w:r>
        <w:rPr/>
        <w:t>20: pp.</w:t>
      </w:r>
      <w:r>
        <w:rPr>
          <w:spacing w:val="-3"/>
        </w:rPr>
        <w:t> </w:t>
      </w:r>
      <w:r>
        <w:rPr/>
        <w:t>161–164.</w:t>
      </w:r>
    </w:p>
    <w:p>
      <w:pPr>
        <w:pStyle w:val="BodyText"/>
        <w:spacing w:before="118"/>
        <w:ind w:left="785" w:right="262" w:hanging="567"/>
        <w:jc w:val="both"/>
      </w:pPr>
      <w:r>
        <w:rPr/>
        <w:t>Dixon R.K., Winjum J.K., and Schroeder P.E. (1993). Conservation and sequestration of carbon: the potential of forests and agroforest management practices. </w:t>
      </w:r>
      <w:r>
        <w:rPr>
          <w:i/>
        </w:rPr>
        <w:t>Global Environmental Change </w:t>
      </w:r>
      <w:r>
        <w:rPr/>
        <w:t>3: pp. 159-173.</w:t>
      </w:r>
    </w:p>
    <w:p>
      <w:pPr>
        <w:pStyle w:val="BodyText"/>
        <w:spacing w:before="121"/>
        <w:ind w:left="785" w:right="268" w:hanging="567"/>
        <w:jc w:val="both"/>
      </w:pPr>
      <w:r>
        <w:rPr/>
        <w:t>Dobbie K.E., McTaggart I.P., and Smith K.A. (1999). Nitrous oxide emissions from intensive agricultural systems: Variations between crops and seasons, key driving variables, and mean emission  factors. </w:t>
      </w:r>
      <w:r>
        <w:rPr>
          <w:i/>
        </w:rPr>
        <w:t>Journal of Geophysical Research-Atmospheres </w:t>
      </w:r>
      <w:r>
        <w:rPr/>
        <w:t>104: pp. 26891-26899.</w:t>
      </w:r>
    </w:p>
    <w:p>
      <w:pPr>
        <w:pStyle w:val="BodyText"/>
        <w:spacing w:before="121"/>
        <w:ind w:left="785" w:right="266" w:hanging="567"/>
        <w:jc w:val="both"/>
      </w:pPr>
      <w:r>
        <w:rPr/>
        <w:t>Fearnside P.M. (1990). Fire in the tropical rainforest of the Amazon basin. In: Fire in the tropical biota Goldammer, J.G.(ed). Ecological Studies 84, Springer-Verlag, N.Y. : pp. 106-116.</w:t>
      </w:r>
    </w:p>
    <w:p>
      <w:pPr>
        <w:spacing w:after="0"/>
        <w:jc w:val="both"/>
        <w:sectPr>
          <w:pgSz w:w="11900" w:h="16840"/>
          <w:pgMar w:header="230" w:footer="408" w:top="580" w:bottom="600" w:left="1200" w:right="1140"/>
        </w:sectPr>
      </w:pPr>
    </w:p>
    <w:p>
      <w:pPr>
        <w:pStyle w:val="BodyText"/>
      </w:pPr>
    </w:p>
    <w:p>
      <w:pPr>
        <w:pStyle w:val="BodyText"/>
        <w:spacing w:before="2"/>
        <w:rPr>
          <w:sz w:val="18"/>
        </w:rPr>
      </w:pPr>
    </w:p>
    <w:p>
      <w:pPr>
        <w:pStyle w:val="BodyText"/>
        <w:ind w:left="785" w:right="267" w:hanging="567"/>
        <w:jc w:val="both"/>
      </w:pPr>
      <w:r>
        <w:rPr/>
        <w:t>Fearnside P.M. (2000). Global warming and tropical land-use change: greenhouse gas emissions from biomass burning, decomposition and soils in forest conversion, shifting cultivation and secondary vegetation. </w:t>
      </w:r>
      <w:r>
        <w:rPr>
          <w:i/>
        </w:rPr>
        <w:t>Climatic Change </w:t>
      </w:r>
      <w:r>
        <w:rPr/>
        <w:t>46: pp. 115-158.</w:t>
      </w:r>
    </w:p>
    <w:p>
      <w:pPr>
        <w:pStyle w:val="BodyText"/>
        <w:spacing w:before="121"/>
        <w:ind w:left="785" w:right="265" w:hanging="567"/>
        <w:jc w:val="both"/>
      </w:pPr>
      <w:r>
        <w:rPr/>
        <w:t>Firestone M.K. and Davidson E.A. (1989) Microbiological basis of NO and N</w:t>
      </w:r>
      <w:r>
        <w:rPr>
          <w:vertAlign w:val="subscript"/>
        </w:rPr>
        <w:t>2</w:t>
      </w:r>
      <w:r>
        <w:rPr>
          <w:vertAlign w:val="baseline"/>
        </w:rPr>
        <w:t>O production and consumption in soil. In: Andreae M.O. and D. S. Schimel (eds) . Exchange of Trace Gases Between Terrestrial Ecosystems and the Atmosphere, Wiley, N.Y: pp. 7-21.</w:t>
      </w:r>
    </w:p>
    <w:p>
      <w:pPr>
        <w:spacing w:before="119"/>
        <w:ind w:left="785" w:right="263" w:hanging="567"/>
        <w:jc w:val="both"/>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21"/>
        <w:ind w:left="785" w:right="265" w:hanging="567"/>
        <w:jc w:val="both"/>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 IPCC/OECD/IEA/IGES, Hayama, Japan.</w:t>
      </w:r>
    </w:p>
    <w:p>
      <w:pPr>
        <w:spacing w:before="120"/>
        <w:ind w:left="785" w:right="264" w:hanging="567"/>
        <w:jc w:val="both"/>
        <w:rPr>
          <w:sz w:val="20"/>
        </w:rPr>
      </w:pPr>
      <w:r>
        <w:rPr>
          <w:sz w:val="20"/>
        </w:rPr>
        <w:t>Intergovernmental Panel on Climate Change (IPCC). (2000b). Watson R., Noble I.R., Bolin B., Ravindranath, N.H., Verardo D.J. and Dokken D.J. (Eds) </w:t>
      </w:r>
      <w:r>
        <w:rPr>
          <w:i/>
          <w:sz w:val="20"/>
        </w:rPr>
        <w:t>Land use, Land-use Change, and Forestry: A Special Report</w:t>
      </w:r>
      <w:r>
        <w:rPr>
          <w:sz w:val="20"/>
        </w:rPr>
        <w:t>. Cambridge University Press. Cambridge, UK.</w:t>
      </w:r>
    </w:p>
    <w:p>
      <w:pPr>
        <w:pStyle w:val="BodyText"/>
        <w:spacing w:before="121"/>
        <w:ind w:left="785" w:right="267" w:hanging="567"/>
        <w:jc w:val="both"/>
      </w:pPr>
      <w:r>
        <w:rPr/>
        <w:t>Jobbagy E.G. and Jackson R.B. (2000). The vertical distribution of soil organic carbon and its relation to climate and vegetation. </w:t>
      </w:r>
      <w:r>
        <w:rPr>
          <w:i/>
        </w:rPr>
        <w:t>Ecological Applications </w:t>
      </w:r>
      <w:r>
        <w:rPr/>
        <w:t>19(2): pp. 423-436.</w:t>
      </w:r>
    </w:p>
    <w:p>
      <w:pPr>
        <w:pStyle w:val="BodyText"/>
        <w:spacing w:before="118"/>
        <w:ind w:left="785" w:right="264" w:hanging="567"/>
        <w:jc w:val="both"/>
      </w:pPr>
      <w:r>
        <w:rPr/>
        <w:t>Klemedtsson L., Klemedtsson A.K., Moldan F., and Weslien P. (1997). Nitrous oxide emission from Swedish forest soils in relation to liming and simulated increased N-deposition. </w:t>
      </w:r>
      <w:r>
        <w:rPr>
          <w:i/>
        </w:rPr>
        <w:t>Biology &amp; Fertility of Soils </w:t>
      </w:r>
      <w:r>
        <w:rPr/>
        <w:t>25: pp. 290-295.</w:t>
      </w:r>
    </w:p>
    <w:p>
      <w:pPr>
        <w:pStyle w:val="BodyText"/>
        <w:spacing w:before="122"/>
        <w:ind w:left="785" w:right="267" w:hanging="567"/>
        <w:jc w:val="both"/>
      </w:pPr>
      <w:r>
        <w:rPr/>
        <w:t>Masera O. R., Garza-Caligaris J.F., Kanninen M., Karjalainen T., Liski J., Nabuurs G.J., Pussinen A., de Jong B.H.J., and Mohren G.M.J. (2003). Modeling carbon sequestration in afforestation, agroforestry and forest management projects. </w:t>
      </w:r>
      <w:r>
        <w:rPr>
          <w:i/>
        </w:rPr>
        <w:t>Ecological Modelling </w:t>
      </w:r>
      <w:r>
        <w:rPr/>
        <w:t>164: pp.</w:t>
      </w:r>
      <w:r>
        <w:rPr>
          <w:spacing w:val="-6"/>
        </w:rPr>
        <w:t> </w:t>
      </w:r>
      <w:r>
        <w:rPr/>
        <w:t>177-199.</w:t>
      </w:r>
    </w:p>
    <w:p>
      <w:pPr>
        <w:pStyle w:val="BodyText"/>
        <w:spacing w:before="118"/>
        <w:ind w:left="785" w:right="265" w:hanging="567"/>
        <w:jc w:val="both"/>
      </w:pPr>
      <w:r>
        <w:rPr/>
        <w:t>McGill W. B. (1996). Review and classification of ten soil organic matter models. In: Powlson D.S., Smith P., and Smith J.U. (eds.). Evaluation of Soil Organic Matter Models Using Existing Long-Term Datasets. Springer-Verlag, Heidelberg: pp. 111-132.</w:t>
      </w:r>
    </w:p>
    <w:p>
      <w:pPr>
        <w:pStyle w:val="BodyText"/>
        <w:spacing w:before="122"/>
        <w:ind w:left="785" w:right="268" w:hanging="567"/>
        <w:jc w:val="both"/>
      </w:pPr>
      <w:r>
        <w:rPr/>
        <w:t>Neill C., Melillo J.M., Steudler P.A., Cerri C.C., de Moraes J.F.L., Piccolo M.C., and Brito M. (1997). Soil carbon and nitrogen stocks following forest clearing for pasture in the southwestern Brazilian Amazon. </w:t>
      </w:r>
      <w:r>
        <w:rPr>
          <w:i/>
        </w:rPr>
        <w:t>Ecological Applications </w:t>
      </w:r>
      <w:r>
        <w:rPr/>
        <w:t>7 : pp. 1216-1225.</w:t>
      </w:r>
    </w:p>
    <w:p>
      <w:pPr>
        <w:spacing w:before="119"/>
        <w:ind w:left="785" w:right="266" w:hanging="567"/>
        <w:jc w:val="both"/>
        <w:rPr>
          <w:sz w:val="20"/>
        </w:rPr>
      </w:pPr>
      <w:r>
        <w:rPr>
          <w:sz w:val="20"/>
        </w:rPr>
        <w:t>Nusser S.M. and Goebel J.J. (1997). The National Resources Inventory: a long-term multi-resource monitoring programme. </w:t>
      </w:r>
      <w:r>
        <w:rPr>
          <w:i/>
          <w:sz w:val="20"/>
        </w:rPr>
        <w:t>Environmental and Ecological Statistics </w:t>
      </w:r>
      <w:r>
        <w:rPr>
          <w:sz w:val="20"/>
        </w:rPr>
        <w:t>4: pp. 181-204.</w:t>
      </w:r>
    </w:p>
    <w:p>
      <w:pPr>
        <w:pStyle w:val="BodyText"/>
        <w:spacing w:before="120"/>
        <w:ind w:left="785" w:right="264" w:hanging="567"/>
        <w:jc w:val="both"/>
      </w:pPr>
      <w:r>
        <w:rPr/>
        <w:t>Ogle S. M., Breidt F.J., Eve M.D., and Paustian K. (2003). Uncertainty in estimating land use and management impacts on soil organic carbon storage for U.S. agricultural lands between 1982 and 1997. </w:t>
      </w:r>
      <w:r>
        <w:rPr>
          <w:i/>
        </w:rPr>
        <w:t>Global Change Biology </w:t>
      </w:r>
      <w:r>
        <w:rPr/>
        <w:t>(in press).</w:t>
      </w:r>
    </w:p>
    <w:p>
      <w:pPr>
        <w:pStyle w:val="BodyText"/>
        <w:spacing w:before="119"/>
        <w:ind w:left="785" w:right="267" w:hanging="567"/>
        <w:jc w:val="both"/>
      </w:pPr>
      <w:r>
        <w:rPr/>
        <w:t>Paul E.A., Paustian K., Elliott E.T. and Cole C.V. (eds) (1997) Soil organic matter in temperate agroecosystems: Long-term Experiments in North America. CRC Press, Boca Raton, 414 p.</w:t>
      </w:r>
    </w:p>
    <w:p>
      <w:pPr>
        <w:pStyle w:val="BodyText"/>
        <w:spacing w:before="121"/>
        <w:ind w:left="219"/>
      </w:pPr>
      <w:r>
        <w:rPr/>
        <w:t>Schroeder P. (1994). Carbon storage benefits of agroforestry systems. </w:t>
      </w:r>
      <w:r>
        <w:rPr>
          <w:i/>
        </w:rPr>
        <w:t>Agroforestry Systems </w:t>
      </w:r>
      <w:r>
        <w:rPr/>
        <w:t>27: pp. 89-97.</w:t>
      </w:r>
    </w:p>
    <w:p>
      <w:pPr>
        <w:pStyle w:val="BodyText"/>
        <w:spacing w:before="121"/>
        <w:ind w:left="785" w:right="265" w:hanging="567"/>
        <w:jc w:val="both"/>
      </w:pPr>
      <w:r>
        <w:rPr/>
        <w:t>Schroth G., D’Angelo S.A., Teixeira W.G., Haag D., and Lieberei R. (2002). Conversion of secondary forest  into agroforestry monoculture plantations in Amazonia: consequences for biomass, litter and soil carbon stocks after 7 years. </w:t>
      </w:r>
      <w:r>
        <w:rPr>
          <w:i/>
        </w:rPr>
        <w:t>Forest Ecology and Management </w:t>
      </w:r>
      <w:r>
        <w:rPr/>
        <w:t>163: pp.</w:t>
      </w:r>
      <w:r>
        <w:rPr>
          <w:spacing w:val="-3"/>
        </w:rPr>
        <w:t> </w:t>
      </w:r>
      <w:r>
        <w:rPr/>
        <w:t>131-150.</w:t>
      </w:r>
    </w:p>
    <w:p>
      <w:pPr>
        <w:pStyle w:val="BodyText"/>
        <w:spacing w:before="118"/>
        <w:ind w:left="785" w:right="269" w:hanging="567"/>
        <w:jc w:val="both"/>
      </w:pPr>
      <w:r>
        <w:rPr/>
        <w:t>Smith P., Powlson D.S., Smith J.U., and Elliott E.T. (eds) (1997). Evaluation and comparison of soil organic matter models. Special Issue, </w:t>
      </w:r>
      <w:r>
        <w:rPr>
          <w:i/>
        </w:rPr>
        <w:t>Geoderma </w:t>
      </w:r>
      <w:r>
        <w:rPr/>
        <w:t>81: pp. 1-225.</w:t>
      </w:r>
    </w:p>
    <w:p>
      <w:pPr>
        <w:pStyle w:val="BodyText"/>
        <w:spacing w:before="121"/>
        <w:ind w:left="785" w:right="265" w:hanging="567"/>
        <w:jc w:val="both"/>
      </w:pPr>
      <w:r>
        <w:rPr/>
        <w:t>Smith P., Powlson D., Glendining, M. (1996). Establishing a European GCTE soil organic matter network (SOMNET). In: Powlson D.S., Smith P., and Smith J.U. (eds.), Evaluation of Soil Organic Matter Models Using Existing Long-Term Datasets. NATO ASI Series, Vol 38, Springer-Verlag, Berlin: pp. 81-97.</w:t>
      </w:r>
    </w:p>
    <w:p>
      <w:pPr>
        <w:pStyle w:val="BodyText"/>
        <w:spacing w:before="119"/>
        <w:ind w:left="785" w:right="266" w:hanging="567"/>
        <w:jc w:val="both"/>
      </w:pPr>
      <w:r>
        <w:rPr/>
        <w:t>Soil Organic Matter Network (SOMNET) (1996). Model and Experimental Metadata. GCTE Task 3.3.1. Smith P., Smith J.U., and Powlson D.S. (eds). Global Change and Terrestrial Ecosystems Report No 7. GCTE Focus 3 Office, Wallingford, UK. 255 p.</w:t>
      </w:r>
    </w:p>
    <w:p>
      <w:pPr>
        <w:spacing w:after="0"/>
        <w:jc w:val="both"/>
        <w:sectPr>
          <w:pgSz w:w="11900" w:h="16840"/>
          <w:pgMar w:header="230" w:footer="408" w:top="560" w:bottom="600" w:left="1200" w:right="1140"/>
        </w:sectPr>
      </w:pPr>
    </w:p>
    <w:p>
      <w:pPr>
        <w:pStyle w:val="BodyText"/>
      </w:pPr>
    </w:p>
    <w:p>
      <w:pPr>
        <w:pStyle w:val="BodyText"/>
      </w:pPr>
    </w:p>
    <w:p>
      <w:pPr>
        <w:pStyle w:val="BodyText"/>
        <w:spacing w:before="2"/>
        <w:rPr>
          <w:sz w:val="22"/>
        </w:rPr>
      </w:pPr>
    </w:p>
    <w:p>
      <w:pPr>
        <w:pStyle w:val="Heading6"/>
        <w:numPr>
          <w:ilvl w:val="1"/>
          <w:numId w:val="81"/>
        </w:numPr>
        <w:tabs>
          <w:tab w:pos="549" w:val="left" w:leader="none"/>
        </w:tabs>
        <w:spacing w:line="240" w:lineRule="auto" w:before="92" w:after="0"/>
        <w:ind w:left="548" w:right="0" w:hanging="329"/>
        <w:jc w:val="left"/>
      </w:pPr>
      <w:r>
        <w:rPr/>
        <w:t>GRASSLAND</w:t>
      </w:r>
    </w:p>
    <w:p>
      <w:pPr>
        <w:pStyle w:val="BodyText"/>
        <w:spacing w:before="5"/>
        <w:rPr>
          <w:b/>
          <w:sz w:val="19"/>
        </w:rPr>
      </w:pPr>
    </w:p>
    <w:p>
      <w:pPr>
        <w:pStyle w:val="BodyText"/>
        <w:ind w:left="785" w:right="267" w:hanging="567"/>
        <w:jc w:val="both"/>
      </w:pPr>
      <w:r>
        <w:rPr/>
        <w:t>Anderson D.J., Perry R.A., and Leigh J.H. (1972). Some perspectives on shrub/environment interactions. In: McKell C.M., Blaisdell J.P., Goodon J.R. (eds), Wildland Shrubs – Their Biology and Utilization. ). USDA Forest Service, General Tech. Report INT-1.</w:t>
      </w:r>
    </w:p>
    <w:p>
      <w:pPr>
        <w:pStyle w:val="BodyText"/>
        <w:spacing w:before="119"/>
        <w:ind w:left="785" w:right="266" w:hanging="567"/>
        <w:jc w:val="both"/>
      </w:pPr>
      <w:r>
        <w:rPr/>
        <w:t>Armentano T.V. and Menges E.S. (1986). Patterns of change in the carbon balance of organic soil-wetlands of the temperate zone. Journal-of-Ecology. 74, 3: pp. 755-774.</w:t>
      </w:r>
    </w:p>
    <w:p>
      <w:pPr>
        <w:pStyle w:val="BodyText"/>
        <w:spacing w:before="121"/>
        <w:ind w:left="785" w:right="260" w:hanging="567"/>
        <w:jc w:val="both"/>
      </w:pPr>
      <w:r>
        <w:rPr/>
        <w:t>Baldocchi D., Kelliher F.M., Black T.A., Jarvis P. (2000). Climate and vegetation controls on boreal zone energy exchange. </w:t>
      </w:r>
      <w:r>
        <w:rPr>
          <w:i/>
        </w:rPr>
        <w:t>Global Change Biology</w:t>
      </w:r>
      <w:r>
        <w:rPr/>
        <w:t>,-Supplement. 6: Supplement 1,pp. 69-83.</w:t>
      </w:r>
    </w:p>
    <w:p>
      <w:pPr>
        <w:pStyle w:val="BodyText"/>
        <w:spacing w:before="121"/>
        <w:ind w:left="785" w:right="263" w:hanging="567"/>
        <w:jc w:val="both"/>
      </w:pPr>
      <w:r>
        <w:rPr/>
        <w:t>Baldocchi D., Falge E., Gu L.H., Olson R., Hollinger D., Running S., Anthoni P., Bernhofer C., Davis K., Evans R., Fuentes J., Goldstein A., Katul G., Law B., Lee X.H., Malhi Y., Meyers T., Munger W., Oechel W., Pilegaard K., Schmid H.P., Valentini R., Verma S., Vesala T., Wilson K., and Wofsy S. (2001). FLUXNET: A new tool to study the temporal and spatial variability of ecosystem-scale carbon dioxide, water vapor, and energy flux densities. Bulletin of the American Meteorological Society 82: pp. 2415- 2434.</w:t>
      </w:r>
    </w:p>
    <w:p>
      <w:pPr>
        <w:pStyle w:val="BodyText"/>
        <w:spacing w:before="120"/>
        <w:ind w:left="785" w:right="263" w:hanging="567"/>
        <w:jc w:val="both"/>
      </w:pPr>
      <w:r>
        <w:rPr/>
        <w:t>Barbosa R.I. and Fearnside P.M. (1996). Pasture burning in Amazonia: Dynamics of residual biomass and the storage and release of aboveground carbon. </w:t>
      </w:r>
      <w:r>
        <w:rPr>
          <w:i/>
        </w:rPr>
        <w:t>Journal of Geophysical Research </w:t>
      </w:r>
      <w:r>
        <w:rPr/>
        <w:t>(Atmospheres) 101(D20): pp. 25,847-25,857.</w:t>
      </w:r>
    </w:p>
    <w:p>
      <w:pPr>
        <w:pStyle w:val="BodyText"/>
        <w:spacing w:before="119"/>
        <w:ind w:left="785" w:right="266" w:hanging="567"/>
        <w:jc w:val="both"/>
      </w:pPr>
      <w:r>
        <w:rPr/>
        <w:t>Cairns M.A., Brown S., Helmer E.H., and Baumgardner G.A. (1997). Root biomass allocation in the world’s upland forests. </w:t>
      </w:r>
      <w:r>
        <w:rPr>
          <w:i/>
        </w:rPr>
        <w:t>Oecologia </w:t>
      </w:r>
      <w:r>
        <w:rPr/>
        <w:t>111: pp. 1-11.</w:t>
      </w:r>
    </w:p>
    <w:p>
      <w:pPr>
        <w:pStyle w:val="BodyText"/>
        <w:spacing w:before="121"/>
        <w:ind w:left="785" w:right="271" w:hanging="567"/>
        <w:jc w:val="both"/>
      </w:pPr>
      <w:r>
        <w:rPr/>
        <w:t>Conant R.T. and Paustian K. (2002a). Spatial variability of soil organic carbon in grasslands: implications for detecting change at different scales. Environmental Pollution 116: pp. 127-135.</w:t>
      </w:r>
    </w:p>
    <w:p>
      <w:pPr>
        <w:pStyle w:val="BodyText"/>
        <w:spacing w:before="118"/>
        <w:ind w:left="219"/>
      </w:pPr>
      <w:r>
        <w:rPr/>
        <w:t>Conant R.T. and Paustian K. (2002b). Potential soil carbon sequestration in overgrazed grassland ecosystems.</w:t>
      </w:r>
    </w:p>
    <w:p>
      <w:pPr>
        <w:spacing w:before="1"/>
        <w:ind w:left="785" w:right="0" w:firstLine="0"/>
        <w:jc w:val="left"/>
        <w:rPr>
          <w:sz w:val="20"/>
        </w:rPr>
      </w:pPr>
      <w:r>
        <w:rPr>
          <w:i/>
          <w:sz w:val="20"/>
        </w:rPr>
        <w:t>Global Biogeochemical Cycles </w:t>
      </w:r>
      <w:r>
        <w:rPr>
          <w:sz w:val="20"/>
        </w:rPr>
        <w:t>16: pp. 90_1-90_9.</w:t>
      </w:r>
    </w:p>
    <w:p>
      <w:pPr>
        <w:pStyle w:val="BodyText"/>
        <w:spacing w:before="120"/>
        <w:ind w:left="785" w:right="267" w:hanging="567"/>
        <w:jc w:val="both"/>
      </w:pPr>
      <w:r>
        <w:rPr/>
        <w:t>Conant R.T., Paustian K., and Elliott E.T. (2001). Grassland management and conversion into grassland: Effects on soil carbon. </w:t>
      </w:r>
      <w:r>
        <w:rPr>
          <w:i/>
        </w:rPr>
        <w:t>Ecological Application </w:t>
      </w:r>
      <w:r>
        <w:rPr/>
        <w:t>11: pp. 343-355.</w:t>
      </w:r>
    </w:p>
    <w:p>
      <w:pPr>
        <w:pStyle w:val="BodyText"/>
        <w:spacing w:before="121"/>
        <w:ind w:left="785" w:right="265" w:hanging="567"/>
        <w:jc w:val="both"/>
      </w:pPr>
      <w:r>
        <w:rPr/>
        <w:t>Davidson E. A. and Ackerman I.L. (1993). Changes in soil carbon inventories following cultivation of previously untilled soils. </w:t>
      </w:r>
      <w:r>
        <w:rPr>
          <w:i/>
        </w:rPr>
        <w:t>Biogeochemistry </w:t>
      </w:r>
      <w:r>
        <w:rPr/>
        <w:t>20: pp.</w:t>
      </w:r>
      <w:r>
        <w:rPr>
          <w:spacing w:val="-3"/>
        </w:rPr>
        <w:t> </w:t>
      </w:r>
      <w:r>
        <w:rPr/>
        <w:t>161–164.</w:t>
      </w:r>
    </w:p>
    <w:p>
      <w:pPr>
        <w:pStyle w:val="BodyText"/>
        <w:spacing w:before="118"/>
        <w:ind w:left="785" w:right="267" w:hanging="567"/>
        <w:jc w:val="both"/>
      </w:pPr>
      <w:r>
        <w:rPr/>
        <w:t>Delmas R.A., Loudjana P., Podaire A., and Menaut J.C. (1991). Biomass burning in Africa: An assessment of annually burnt biomass. In; Levine J.S. (ed), Global Biomass Burning: Atmosphere, Climatic and Biosphere Implications, MIT Press, Cambridge, Mass.: pp. 147-154.</w:t>
      </w:r>
    </w:p>
    <w:p>
      <w:pPr>
        <w:pStyle w:val="BodyText"/>
        <w:spacing w:before="122"/>
        <w:ind w:left="785" w:right="267" w:hanging="567"/>
        <w:jc w:val="both"/>
      </w:pPr>
      <w:r>
        <w:rPr/>
        <w:t>Ellert B.H., Janzen H.H., and McConkey B.G. (2001).  Measuring and comparing soil carbon storage.  In: R.  Lal, J.M. Kimble, R.F. Follett and B.A. Stewart (eds.). Soil Management for Enhancing Carbon Sequestration. CRC Press, Boca Raton, FL.: pp.</w:t>
      </w:r>
      <w:r>
        <w:rPr>
          <w:spacing w:val="1"/>
        </w:rPr>
        <w:t> </w:t>
      </w:r>
      <w:r>
        <w:rPr/>
        <w:t>593-610.</w:t>
      </w:r>
    </w:p>
    <w:p>
      <w:pPr>
        <w:pStyle w:val="BodyText"/>
        <w:spacing w:before="118"/>
        <w:ind w:left="785" w:right="267" w:hanging="567"/>
        <w:jc w:val="both"/>
      </w:pPr>
      <w:r>
        <w:rPr/>
        <w:t>Fearnside P.M. (1990). Fire in the tropical rainforest of the Amazon basin. pp 106-116 </w:t>
      </w:r>
      <w:r>
        <w:rPr>
          <w:i/>
        </w:rPr>
        <w:t>In</w:t>
      </w:r>
      <w:r>
        <w:rPr/>
        <w:t>: Goldammer J.G.(ed.) Fire in the tropical biota. Ecological Studies 84, Springer-Verlag, N.Y. 497 p.</w:t>
      </w:r>
    </w:p>
    <w:p>
      <w:pPr>
        <w:pStyle w:val="BodyText"/>
        <w:spacing w:before="121"/>
        <w:ind w:left="785" w:right="267" w:hanging="567"/>
        <w:jc w:val="both"/>
      </w:pPr>
      <w:r>
        <w:rPr/>
        <w:t>Fearnside P.M. (2000). Global warming and tropical land-use change: greenhouse gas emissions from biomass burning, decomposition and soils in forest conversion, shifting cultivation and secondary vegetation. </w:t>
      </w:r>
      <w:r>
        <w:rPr>
          <w:i/>
        </w:rPr>
        <w:t>Climatic Change </w:t>
      </w:r>
      <w:r>
        <w:rPr/>
        <w:t>46: pp. 115-158.</w:t>
      </w:r>
    </w:p>
    <w:p>
      <w:pPr>
        <w:pStyle w:val="BodyText"/>
        <w:spacing w:before="119"/>
        <w:ind w:left="785" w:right="263" w:hanging="567"/>
        <w:jc w:val="both"/>
      </w:pPr>
      <w:r>
        <w:rPr/>
        <w:t>Guo L.B. and Gifford R.M. (2002). Soil carbon stocks and land use change: a meta analysis. </w:t>
      </w:r>
      <w:r>
        <w:rPr>
          <w:i/>
        </w:rPr>
        <w:t>Global Change Biology </w:t>
      </w:r>
      <w:r>
        <w:rPr/>
        <w:t>8: pp. 345-360.</w:t>
      </w:r>
    </w:p>
    <w:p>
      <w:pPr>
        <w:pStyle w:val="BodyText"/>
        <w:spacing w:before="121"/>
        <w:ind w:left="785" w:right="264" w:hanging="567"/>
        <w:jc w:val="both"/>
      </w:pPr>
      <w:r>
        <w:rPr/>
        <w:t>Hao W.M., Darold E.W., Olbu G., and Baker S.P. (1996).  Emissions of CO</w:t>
      </w:r>
      <w:r>
        <w:rPr>
          <w:vertAlign w:val="subscript"/>
        </w:rPr>
        <w:t>2</w:t>
      </w:r>
      <w:r>
        <w:rPr>
          <w:vertAlign w:val="baseline"/>
        </w:rPr>
        <w:t>, CO and hydrocarbons from fires  in diverse African savanna ecosystems. </w:t>
      </w:r>
      <w:r>
        <w:rPr>
          <w:i/>
          <w:vertAlign w:val="baseline"/>
        </w:rPr>
        <w:t>Journal of Geophysical Research</w:t>
      </w:r>
      <w:r>
        <w:rPr>
          <w:vertAlign w:val="baseline"/>
        </w:rPr>
        <w:t>, Vol 101, No. D19: pp. 23577- 23584.</w:t>
      </w:r>
    </w:p>
    <w:p>
      <w:pPr>
        <w:spacing w:before="119"/>
        <w:ind w:left="785" w:right="265" w:hanging="567"/>
        <w:jc w:val="both"/>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21"/>
        <w:ind w:left="785" w:right="265" w:hanging="567"/>
        <w:jc w:val="both"/>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 IPCC/OECD/IEA/IGES, Hayama, Japan.</w:t>
      </w:r>
    </w:p>
    <w:p>
      <w:pPr>
        <w:spacing w:after="0"/>
        <w:jc w:val="both"/>
        <w:rPr>
          <w:sz w:val="20"/>
        </w:rPr>
        <w:sectPr>
          <w:pgSz w:w="11900" w:h="16840"/>
          <w:pgMar w:header="230" w:footer="408" w:top="580" w:bottom="600" w:left="1200" w:right="1140"/>
        </w:sectPr>
      </w:pPr>
    </w:p>
    <w:p>
      <w:pPr>
        <w:pStyle w:val="BodyText"/>
      </w:pPr>
    </w:p>
    <w:p>
      <w:pPr>
        <w:pStyle w:val="BodyText"/>
        <w:spacing w:before="2"/>
        <w:rPr>
          <w:sz w:val="18"/>
        </w:rPr>
      </w:pPr>
    </w:p>
    <w:p>
      <w:pPr>
        <w:spacing w:before="0"/>
        <w:ind w:left="785" w:right="264" w:hanging="567"/>
        <w:jc w:val="both"/>
        <w:rPr>
          <w:sz w:val="20"/>
        </w:rPr>
      </w:pPr>
      <w:r>
        <w:rPr>
          <w:sz w:val="20"/>
        </w:rPr>
        <w:t>Intergovernmental Panel on Climate Change (IPCC). (2000b). Watson R., Noble I.R., Bolin B., Ravindranath, N.H., Verardo D.J. and Dokken D.J. (Eds) </w:t>
      </w:r>
      <w:r>
        <w:rPr>
          <w:i/>
          <w:sz w:val="20"/>
        </w:rPr>
        <w:t>Land use, Land-use Change, and Forestry: A Special Report</w:t>
      </w:r>
      <w:r>
        <w:rPr>
          <w:sz w:val="20"/>
        </w:rPr>
        <w:t>. Cambridge University Press. Cambridge, UK.</w:t>
      </w:r>
    </w:p>
    <w:p>
      <w:pPr>
        <w:pStyle w:val="BodyText"/>
        <w:spacing w:before="121"/>
        <w:ind w:left="785" w:right="268" w:hanging="567"/>
        <w:jc w:val="both"/>
      </w:pPr>
      <w:r>
        <w:rPr/>
        <w:t>Jackson R.B., Banner J.L., Jobbagy E.B., Pockman W.T., and Wall D.H. (2002). Ecosystem carbon loss with woody plan invasion of grasslands. </w:t>
      </w:r>
      <w:r>
        <w:rPr>
          <w:i/>
        </w:rPr>
        <w:t>Nature </w:t>
      </w:r>
      <w:r>
        <w:rPr/>
        <w:t>418: pp. 623-626.</w:t>
      </w:r>
    </w:p>
    <w:p>
      <w:pPr>
        <w:pStyle w:val="BodyText"/>
        <w:spacing w:before="121"/>
        <w:ind w:left="785" w:right="270" w:hanging="567"/>
        <w:jc w:val="both"/>
      </w:pPr>
      <w:r>
        <w:rPr/>
        <w:t>Jackson R.B., Canadell J., Ehleringer J.R., Mooney H.A., Sala O.E., and Schulze E.D. (1996). A global analysis of root distributions for terrestrial biomes. </w:t>
      </w:r>
      <w:r>
        <w:rPr>
          <w:i/>
        </w:rPr>
        <w:t>Oecologia </w:t>
      </w:r>
      <w:r>
        <w:rPr/>
        <w:t>108: pp. 389-411.</w:t>
      </w:r>
    </w:p>
    <w:p>
      <w:pPr>
        <w:pStyle w:val="BodyText"/>
        <w:spacing w:before="119"/>
        <w:ind w:left="785" w:right="265" w:hanging="567"/>
        <w:jc w:val="both"/>
      </w:pPr>
      <w:r>
        <w:rPr/>
        <w:t>Kuhlbusch T.A.J., Andreae M.O., Cachier H., Goldammer J.G., Lacaux J.P., Shea R., and Crutzen P.J. (1996). Black carbon formation by savanna fires: Measurements and implications for the global carbon cycle. </w:t>
      </w:r>
      <w:r>
        <w:rPr>
          <w:i/>
        </w:rPr>
        <w:t>Journal of Geophysical Research</w:t>
      </w:r>
      <w:r>
        <w:rPr/>
        <w:t>, Vol 101, No D19: pp. 23651-23665.</w:t>
      </w:r>
    </w:p>
    <w:p>
      <w:pPr>
        <w:pStyle w:val="BodyText"/>
        <w:spacing w:before="121"/>
        <w:ind w:left="785" w:right="262" w:hanging="567"/>
        <w:jc w:val="both"/>
      </w:pPr>
      <w:r>
        <w:rPr/>
        <w:t>Lacaux J.P., Delmas R., and Jambert C. (1996). NO</w:t>
      </w:r>
      <w:r>
        <w:rPr>
          <w:vertAlign w:val="subscript"/>
        </w:rPr>
        <w:t>x</w:t>
      </w:r>
      <w:r>
        <w:rPr>
          <w:vertAlign w:val="baseline"/>
        </w:rPr>
        <w:t> emissions from African savanna fires. </w:t>
      </w:r>
      <w:r>
        <w:rPr>
          <w:i/>
          <w:vertAlign w:val="baseline"/>
        </w:rPr>
        <w:t>Journal of Geophysical Research</w:t>
      </w:r>
      <w:r>
        <w:rPr>
          <w:vertAlign w:val="baseline"/>
        </w:rPr>
        <w:t>, Vol 101, No D19: pp. 23585-23595.</w:t>
      </w:r>
    </w:p>
    <w:p>
      <w:pPr>
        <w:pStyle w:val="BodyText"/>
        <w:spacing w:before="118"/>
        <w:ind w:left="785" w:right="263" w:hanging="567"/>
        <w:jc w:val="both"/>
      </w:pPr>
      <w:r>
        <w:rPr/>
        <w:t>Lobert J. M., Scharffe D.H., Hao W.M., Kuhlbusch T.A., Seuwen R., Warneck P., and Crutzen P.J. (1993). Experimental evaluation of biomass burning emissions: Nitrogen carbon containing compounds. In: Levine J.S. (ed) Global Biomass Burning, MIT Press.</w:t>
      </w:r>
    </w:p>
    <w:p>
      <w:pPr>
        <w:pStyle w:val="BodyText"/>
        <w:spacing w:before="122"/>
        <w:ind w:left="785" w:right="267" w:hanging="567"/>
        <w:jc w:val="both"/>
      </w:pPr>
      <w:r>
        <w:rPr/>
        <w:t>Lobert J.M. and Warnatz J. (1993). Emissions from combustion process in vegetation. In: Crutzen P.J. and Goldammer J.G.,Fire in the environment, John Wiley, New York: pp. 15-37.</w:t>
      </w:r>
    </w:p>
    <w:p>
      <w:pPr>
        <w:pStyle w:val="BodyText"/>
        <w:spacing w:before="118"/>
        <w:ind w:left="785" w:right="268" w:hanging="567"/>
        <w:jc w:val="both"/>
      </w:pPr>
      <w:r>
        <w:rPr/>
        <w:t>McGill W. B. (1996). Review and classification of ten soil organic matter models. In: Powlson D.S., Smith P., and Smith J.U. (eds.). Evaluation of Soil Organic Matter Models Using Existing Long-Term Datasets. Springer-Verlag, Heidelberg: pp. 111-132.</w:t>
      </w:r>
    </w:p>
    <w:p>
      <w:pPr>
        <w:pStyle w:val="BodyText"/>
        <w:spacing w:before="121"/>
        <w:ind w:left="785" w:right="267" w:hanging="567"/>
        <w:jc w:val="both"/>
      </w:pPr>
      <w:r>
        <w:rPr/>
        <w:t>Milchunas D.G. and Lauenroth W.K. (1993). Quantitative effects of grazing on vegetation and soils over a global range of environments. </w:t>
      </w:r>
      <w:r>
        <w:rPr>
          <w:i/>
        </w:rPr>
        <w:t>Ecological Monographs </w:t>
      </w:r>
      <w:r>
        <w:rPr/>
        <w:t>63: pp.</w:t>
      </w:r>
      <w:r>
        <w:rPr>
          <w:spacing w:val="-4"/>
        </w:rPr>
        <w:t> </w:t>
      </w:r>
      <w:r>
        <w:rPr/>
        <w:t>327-366.</w:t>
      </w:r>
    </w:p>
    <w:p>
      <w:pPr>
        <w:pStyle w:val="BodyText"/>
        <w:spacing w:before="121"/>
        <w:ind w:left="785" w:right="263" w:hanging="567"/>
        <w:jc w:val="both"/>
      </w:pPr>
      <w:r>
        <w:rPr/>
        <w:t>Neill C., Melillo J.M., Steudler P.A., Cerri C.C., de Moraes J.F.L., Piccolo M.C. and Brito M. (1997). Soil carbon and nitrogen stocks following forest clearing for pasture in the southwestern Brazilian Amazon. </w:t>
      </w:r>
      <w:r>
        <w:rPr>
          <w:i/>
        </w:rPr>
        <w:t>Ecological Applications </w:t>
      </w:r>
      <w:r>
        <w:rPr/>
        <w:t>7 : pp.</w:t>
      </w:r>
      <w:r>
        <w:rPr>
          <w:spacing w:val="-4"/>
        </w:rPr>
        <w:t> </w:t>
      </w:r>
      <w:r>
        <w:rPr/>
        <w:t>1216-1225.</w:t>
      </w:r>
    </w:p>
    <w:p>
      <w:pPr>
        <w:pStyle w:val="BodyText"/>
        <w:spacing w:before="119"/>
        <w:ind w:left="785" w:right="268" w:hanging="567"/>
        <w:jc w:val="both"/>
      </w:pPr>
      <w:r>
        <w:rPr/>
        <w:t>Nihlgard B. (1972). Plant biomass, primary production and distribution of chemical elements in abeech and aplanted spruce forest in South Sweden. </w:t>
      </w:r>
      <w:r>
        <w:rPr>
          <w:i/>
        </w:rPr>
        <w:t>Oikos </w:t>
      </w:r>
      <w:r>
        <w:rPr/>
        <w:t>23: pp. 69-81.</w:t>
      </w:r>
    </w:p>
    <w:p>
      <w:pPr>
        <w:spacing w:before="121"/>
        <w:ind w:left="785" w:right="266" w:hanging="567"/>
        <w:jc w:val="both"/>
        <w:rPr>
          <w:sz w:val="20"/>
        </w:rPr>
      </w:pPr>
      <w:r>
        <w:rPr>
          <w:sz w:val="20"/>
        </w:rPr>
        <w:t>Nusser S.M. and Goebel J.J. (1997). The National Resources Inventory: a long-term multi-resource monitoring programme. </w:t>
      </w:r>
      <w:r>
        <w:rPr>
          <w:i/>
          <w:sz w:val="20"/>
        </w:rPr>
        <w:t>Environmental and Ecological Statistics </w:t>
      </w:r>
      <w:r>
        <w:rPr>
          <w:sz w:val="20"/>
        </w:rPr>
        <w:t>4: pp. 181-204.</w:t>
      </w:r>
    </w:p>
    <w:p>
      <w:pPr>
        <w:pStyle w:val="BodyText"/>
        <w:spacing w:before="118"/>
        <w:ind w:left="785" w:right="264" w:hanging="567"/>
        <w:jc w:val="both"/>
      </w:pPr>
      <w:r>
        <w:rPr/>
        <w:t>Ogle S. M., Breidt F. J., Eve M. D., and Paustian K. (2003). Uncertainty in estimating land use and management impacts on soil organic carbon storage for U.S. agricultural lands between 1982 and 1997. </w:t>
      </w:r>
      <w:r>
        <w:rPr>
          <w:i/>
        </w:rPr>
        <w:t>Global Change Biology </w:t>
      </w:r>
      <w:r>
        <w:rPr/>
        <w:t>(in press).</w:t>
      </w:r>
    </w:p>
    <w:p>
      <w:pPr>
        <w:pStyle w:val="BodyText"/>
        <w:spacing w:before="121"/>
        <w:ind w:left="785" w:right="266" w:hanging="567"/>
        <w:jc w:val="both"/>
      </w:pPr>
      <w:r>
        <w:rPr/>
        <w:t>Ojima D.S., Parton W.J., Schimel D.S., Scurlock J.M.O., and Kittel T.G.F. (1993). Modeling the effects of climatic and CO</w:t>
      </w:r>
      <w:r>
        <w:rPr>
          <w:vertAlign w:val="subscript"/>
        </w:rPr>
        <w:t>2</w:t>
      </w:r>
      <w:r>
        <w:rPr>
          <w:vertAlign w:val="baseline"/>
        </w:rPr>
        <w:t> changes on grassland storage of soil C. </w:t>
      </w:r>
      <w:r>
        <w:rPr>
          <w:i/>
          <w:vertAlign w:val="baseline"/>
        </w:rPr>
        <w:t>Water, Air, and Soil Pollution </w:t>
      </w:r>
      <w:r>
        <w:rPr>
          <w:vertAlign w:val="baseline"/>
        </w:rPr>
        <w:t>70: pp. 643-657.</w:t>
      </w:r>
    </w:p>
    <w:p>
      <w:pPr>
        <w:pStyle w:val="BodyText"/>
        <w:spacing w:before="119"/>
        <w:ind w:left="785" w:right="269" w:hanging="567"/>
        <w:jc w:val="both"/>
      </w:pPr>
      <w:r>
        <w:rPr/>
        <w:t>Olson R. J., Scurlock, J. M. O., Prince S. D., Zheng D. L., and Johnson K. R. (eds.) (2001). NPP Multi-Biome: NPP and Driver Data for Ecosystem Model-Data Intercomparison. Data set. Available on-line </w:t>
      </w:r>
      <w:hyperlink r:id="rId173">
        <w:r>
          <w:rPr/>
          <w:t>[http://www.daac.orn</w:t>
        </w:r>
      </w:hyperlink>
      <w:r>
        <w:rPr/>
        <w:t>l</w:t>
      </w:r>
      <w:hyperlink r:id="rId173">
        <w:r>
          <w:rPr/>
          <w:t>.gov</w:t>
        </w:r>
      </w:hyperlink>
      <w:r>
        <w:rPr/>
        <w:t>] from the Oak Ridge National Laboratory Distributed Active Archive Center, Oak Ridge, Tennessee, U.S.A.</w:t>
      </w:r>
    </w:p>
    <w:p>
      <w:pPr>
        <w:pStyle w:val="BodyText"/>
        <w:spacing w:before="122"/>
        <w:ind w:left="785" w:right="266" w:hanging="567"/>
        <w:jc w:val="both"/>
      </w:pPr>
      <w:r>
        <w:rPr/>
        <w:t>Pacala S.W., Hurtt G.C., Baker D., Peylin P., Houghton R.A., Birdsey R.A., Heath L., Sundquist E.T., Stallard R.F., Ciais P., Moorcroft P., Caspersen J.P., Shevliakova E., Moore B., Kohlmaier G., Holland E., Gloor M., Harmon M.E., Fan S.M., Sarmiento J.L., Goodale C.L., Schimel D., and Field C.B. (2001). Consistent land- and atmosphere-based US carbon sink estimates. </w:t>
      </w:r>
      <w:r>
        <w:rPr>
          <w:i/>
        </w:rPr>
        <w:t>Science </w:t>
      </w:r>
      <w:r>
        <w:rPr/>
        <w:t>292: pp.</w:t>
      </w:r>
      <w:r>
        <w:rPr>
          <w:spacing w:val="-16"/>
        </w:rPr>
        <w:t> </w:t>
      </w:r>
      <w:r>
        <w:rPr/>
        <w:t>2316-2320.</w:t>
      </w:r>
    </w:p>
    <w:p>
      <w:pPr>
        <w:pStyle w:val="BodyText"/>
        <w:spacing w:before="119"/>
        <w:ind w:left="785" w:right="265" w:hanging="567"/>
        <w:jc w:val="both"/>
      </w:pPr>
      <w:r>
        <w:rPr/>
        <w:t>Scholes R. J., Kendall J., and Justice C.O. (1996). The quantity of biomass burned in southern Africa, </w:t>
      </w:r>
      <w:r>
        <w:rPr>
          <w:i/>
        </w:rPr>
        <w:t>Journal of Geophysical Research</w:t>
      </w:r>
      <w:r>
        <w:rPr/>
        <w:t>, Vol 101. NO D19: pp. 23677-23682.</w:t>
      </w:r>
    </w:p>
    <w:p>
      <w:pPr>
        <w:pStyle w:val="BodyText"/>
        <w:spacing w:before="121"/>
        <w:ind w:left="785" w:right="267" w:hanging="567"/>
        <w:jc w:val="both"/>
      </w:pPr>
      <w:r>
        <w:rPr/>
        <w:t>Smith P., Powlson D. S., Glendining M. J., and Smith J. O. U. (1997). Potential for carbon sequestration in European soils: preliminary estimates for five scenarios using results from long-term experiments. </w:t>
      </w:r>
      <w:r>
        <w:rPr>
          <w:i/>
        </w:rPr>
        <w:t>Global Change Biology </w:t>
      </w:r>
      <w:r>
        <w:rPr/>
        <w:t>3: pp. 67-79.</w:t>
      </w:r>
    </w:p>
    <w:p>
      <w:pPr>
        <w:pStyle w:val="BodyText"/>
        <w:spacing w:before="119"/>
        <w:ind w:left="785" w:right="262" w:hanging="567"/>
        <w:jc w:val="both"/>
      </w:pPr>
      <w:r>
        <w:rPr/>
        <w:t>Veldkamp E. (2001). Changes in soil carbon stocks following conversion of forest to pasture in the tropics. In: Holland E.A. (ed.): Notes from Underground: Soil Processes and Global Change. NATO ASI Series Berlin: Springer: in press.</w:t>
      </w:r>
    </w:p>
    <w:p>
      <w:pPr>
        <w:spacing w:after="0"/>
        <w:jc w:val="both"/>
        <w:sectPr>
          <w:pgSz w:w="11900" w:h="16840"/>
          <w:pgMar w:header="230" w:footer="408" w:top="560" w:bottom="600" w:left="1200" w:right="1140"/>
        </w:sectPr>
      </w:pPr>
    </w:p>
    <w:p>
      <w:pPr>
        <w:pStyle w:val="BodyText"/>
        <w:spacing w:before="3"/>
        <w:rPr>
          <w:sz w:val="29"/>
        </w:rPr>
      </w:pPr>
    </w:p>
    <w:p>
      <w:pPr>
        <w:pStyle w:val="BodyText"/>
        <w:spacing w:before="91"/>
        <w:ind w:left="785" w:right="267" w:hanging="567"/>
        <w:jc w:val="both"/>
      </w:pPr>
      <w:r>
        <w:rPr/>
        <w:t>Ward D.E., Hao W.M., Susott R.A., Babbitt R.E., Shea R.W., Kauffman J.B. and Justice C.O. (1996). Effect of fuel composition on combustion efficiency and emission factors for African savanna ecosystems. </w:t>
      </w:r>
      <w:r>
        <w:rPr>
          <w:i/>
        </w:rPr>
        <w:t>Journal of Geophysical Research</w:t>
      </w:r>
      <w:r>
        <w:rPr/>
        <w:t>, Vol 101, No D19: pp. 23569-23574.</w:t>
      </w:r>
    </w:p>
    <w:p>
      <w:pPr>
        <w:pStyle w:val="BodyText"/>
        <w:rPr>
          <w:sz w:val="22"/>
        </w:rPr>
      </w:pPr>
    </w:p>
    <w:p>
      <w:pPr>
        <w:pStyle w:val="BodyText"/>
        <w:spacing w:before="9"/>
        <w:rPr>
          <w:sz w:val="31"/>
        </w:rPr>
      </w:pPr>
    </w:p>
    <w:p>
      <w:pPr>
        <w:pStyle w:val="Heading6"/>
        <w:numPr>
          <w:ilvl w:val="1"/>
          <w:numId w:val="81"/>
        </w:numPr>
        <w:tabs>
          <w:tab w:pos="549" w:val="left" w:leader="none"/>
        </w:tabs>
        <w:spacing w:line="240" w:lineRule="auto" w:before="0" w:after="0"/>
        <w:ind w:left="548" w:right="0" w:hanging="329"/>
        <w:jc w:val="left"/>
      </w:pPr>
      <w:r>
        <w:rPr/>
        <w:t>WETLANDS</w:t>
      </w:r>
    </w:p>
    <w:p>
      <w:pPr>
        <w:pStyle w:val="BodyText"/>
        <w:spacing w:before="1"/>
        <w:rPr>
          <w:b/>
          <w:sz w:val="21"/>
        </w:rPr>
      </w:pPr>
    </w:p>
    <w:p>
      <w:pPr>
        <w:pStyle w:val="BodyText"/>
        <w:spacing w:line="244" w:lineRule="auto" w:before="1"/>
        <w:ind w:left="785" w:right="268" w:hanging="567"/>
        <w:jc w:val="both"/>
      </w:pPr>
      <w:r>
        <w:rPr/>
        <w:t>Alm J., Saarnio S., Nykanen H., Silvola J., and Martikainen P. J. (1999). Winter CO</w:t>
      </w:r>
      <w:r>
        <w:rPr>
          <w:vertAlign w:val="subscript"/>
        </w:rPr>
        <w:t>2</w:t>
      </w:r>
      <w:r>
        <w:rPr>
          <w:vertAlign w:val="baseline"/>
        </w:rPr>
        <w:t>, CH</w:t>
      </w:r>
      <w:r>
        <w:rPr>
          <w:vertAlign w:val="subscript"/>
        </w:rPr>
        <w:t>4</w:t>
      </w:r>
      <w:r>
        <w:rPr>
          <w:vertAlign w:val="baseline"/>
        </w:rPr>
        <w:t> and N</w:t>
      </w:r>
      <w:r>
        <w:rPr>
          <w:vertAlign w:val="subscript"/>
        </w:rPr>
        <w:t>2</w:t>
      </w:r>
      <w:r>
        <w:rPr>
          <w:vertAlign w:val="baseline"/>
        </w:rPr>
        <w:t>O fluxes on some natural and drained boreal peatlands. </w:t>
      </w:r>
      <w:r>
        <w:rPr>
          <w:i/>
          <w:vertAlign w:val="baseline"/>
        </w:rPr>
        <w:t>Biogeochemistry </w:t>
      </w:r>
      <w:r>
        <w:rPr>
          <w:vertAlign w:val="baseline"/>
        </w:rPr>
        <w:t>44: pp. 163-186.</w:t>
      </w:r>
    </w:p>
    <w:p>
      <w:pPr>
        <w:spacing w:before="116"/>
        <w:ind w:left="785" w:right="265" w:hanging="567"/>
        <w:jc w:val="both"/>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19"/>
        <w:ind w:left="785" w:right="265" w:hanging="567"/>
        <w:jc w:val="both"/>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 IPCC/OECD/IEA/IGES, Hayama, Japan.</w:t>
      </w:r>
    </w:p>
    <w:p>
      <w:pPr>
        <w:pStyle w:val="BodyText"/>
        <w:spacing w:before="119"/>
        <w:ind w:left="219"/>
      </w:pPr>
      <w:r>
        <w:rPr/>
        <w:t>Laine J. and Minkkinen K. (1996). Effect of forest drainage on the carbon balance of a mire - a case study.</w:t>
      </w:r>
    </w:p>
    <w:p>
      <w:pPr>
        <w:spacing w:before="1"/>
        <w:ind w:left="785" w:right="0" w:firstLine="0"/>
        <w:jc w:val="left"/>
        <w:rPr>
          <w:sz w:val="20"/>
        </w:rPr>
      </w:pPr>
      <w:r>
        <w:rPr>
          <w:i/>
          <w:sz w:val="20"/>
        </w:rPr>
        <w:t>Scandinavian Journal of Forest Research </w:t>
      </w:r>
      <w:r>
        <w:rPr>
          <w:sz w:val="20"/>
        </w:rPr>
        <w:t>11: pp. 307-312.</w:t>
      </w:r>
    </w:p>
    <w:p>
      <w:pPr>
        <w:pStyle w:val="BodyText"/>
        <w:spacing w:before="120"/>
        <w:ind w:left="785" w:right="266" w:hanging="567"/>
        <w:jc w:val="both"/>
      </w:pPr>
      <w:r>
        <w:rPr/>
        <w:t>Laine J., Silvola J., Tolonen K., Alm J., Nykanen H., Vasander H., Sallantaus T., Savolainen I., Sinisalo J., and Martikainen P. J. (1996). Effect of water-level drawdown on global climatic warming - northern peatlands. </w:t>
      </w:r>
      <w:r>
        <w:rPr>
          <w:i/>
        </w:rPr>
        <w:t>Ambio </w:t>
      </w:r>
      <w:r>
        <w:rPr/>
        <w:t>25: pp.</w:t>
      </w:r>
      <w:r>
        <w:rPr>
          <w:spacing w:val="1"/>
        </w:rPr>
        <w:t> </w:t>
      </w:r>
      <w:r>
        <w:rPr/>
        <w:t>179-184.</w:t>
      </w:r>
    </w:p>
    <w:p>
      <w:pPr>
        <w:pStyle w:val="BodyText"/>
        <w:spacing w:before="119"/>
        <w:ind w:left="785" w:right="267" w:hanging="567"/>
        <w:jc w:val="both"/>
      </w:pPr>
      <w:r>
        <w:rPr/>
        <w:t>LUSTRA (2002). Land Use Strategies for Reducing Net Greenhouse Gas Emissions. Annual Report 2002, Uppsala, Sweden. </w:t>
      </w:r>
      <w:hyperlink r:id="rId174">
        <w:r>
          <w:rPr/>
          <w:t>http://www.sml.slu.se/lustra/index.phtml</w:t>
        </w:r>
      </w:hyperlink>
    </w:p>
    <w:p>
      <w:pPr>
        <w:pStyle w:val="BodyText"/>
        <w:spacing w:before="121"/>
        <w:ind w:left="785" w:right="267" w:hanging="567"/>
        <w:jc w:val="both"/>
      </w:pPr>
      <w:r>
        <w:rPr/>
        <w:t>Minkkinen K., Korhonen R., Savolainen I., and Laine J. (2002). Carbon balance and radiative forcing of Finnish peatlands 1900-2100 the impact of forestry drainage. </w:t>
      </w:r>
      <w:r>
        <w:rPr>
          <w:i/>
        </w:rPr>
        <w:t>Global Change Biology </w:t>
      </w:r>
      <w:r>
        <w:rPr/>
        <w:t>8: pp. 785-799.</w:t>
      </w:r>
    </w:p>
    <w:p>
      <w:pPr>
        <w:pStyle w:val="BodyText"/>
        <w:spacing w:before="120"/>
        <w:ind w:left="785" w:right="265" w:hanging="567"/>
        <w:jc w:val="both"/>
      </w:pPr>
      <w:r>
        <w:rPr/>
        <w:t>Sundh I., Nilsson M., Mikkela C., Granberg G., and Svensson B. H. (2000). Fluxes of methane and carbon dioxide on peat-mining areas in Sweden. </w:t>
      </w:r>
      <w:r>
        <w:rPr>
          <w:i/>
        </w:rPr>
        <w:t>Ambio </w:t>
      </w:r>
      <w:r>
        <w:rPr/>
        <w:t>29: pp. 499-503.</w:t>
      </w:r>
    </w:p>
    <w:p>
      <w:pPr>
        <w:pStyle w:val="BodyText"/>
        <w:rPr>
          <w:sz w:val="22"/>
        </w:rPr>
      </w:pPr>
    </w:p>
    <w:p>
      <w:pPr>
        <w:pStyle w:val="BodyText"/>
        <w:spacing w:before="8"/>
        <w:rPr>
          <w:sz w:val="29"/>
        </w:rPr>
      </w:pPr>
    </w:p>
    <w:p>
      <w:pPr>
        <w:pStyle w:val="Heading6"/>
        <w:numPr>
          <w:ilvl w:val="1"/>
          <w:numId w:val="81"/>
        </w:numPr>
        <w:tabs>
          <w:tab w:pos="549" w:val="left" w:leader="none"/>
        </w:tabs>
        <w:spacing w:line="240" w:lineRule="auto" w:before="0" w:after="0"/>
        <w:ind w:left="548" w:right="0" w:hanging="329"/>
        <w:jc w:val="left"/>
      </w:pPr>
      <w:r>
        <w:rPr/>
        <w:t>SETTLEMENTS</w:t>
      </w:r>
    </w:p>
    <w:p>
      <w:pPr>
        <w:pStyle w:val="BodyText"/>
        <w:spacing w:before="6"/>
        <w:rPr>
          <w:b/>
          <w:sz w:val="19"/>
        </w:rPr>
      </w:pPr>
    </w:p>
    <w:p>
      <w:pPr>
        <w:pStyle w:val="BodyText"/>
        <w:ind w:left="219"/>
      </w:pPr>
      <w:r>
        <w:rPr/>
        <w:t>Nowak D.J. and Crane D.E. (2002). Carbon storage and sequestration by urban trees in the United States.</w:t>
      </w:r>
    </w:p>
    <w:p>
      <w:pPr>
        <w:spacing w:before="0"/>
        <w:ind w:left="785" w:right="0" w:firstLine="0"/>
        <w:jc w:val="left"/>
        <w:rPr>
          <w:sz w:val="20"/>
        </w:rPr>
      </w:pPr>
      <w:r>
        <w:rPr>
          <w:i/>
          <w:sz w:val="20"/>
        </w:rPr>
        <w:t>Environmental Pollution </w:t>
      </w:r>
      <w:r>
        <w:rPr>
          <w:sz w:val="20"/>
        </w:rPr>
        <w:t>116(3): pp. 381-389.</w:t>
      </w:r>
    </w:p>
    <w:p>
      <w:pPr>
        <w:pStyle w:val="BodyText"/>
        <w:spacing w:before="121"/>
        <w:ind w:left="219"/>
      </w:pPr>
      <w:r>
        <w:rPr/>
        <w:t>Nowak D.J., Rowntree R.A., McPherson E.G., Sisinni S.M., Kerkmann E.R., and Stevens J.C. (1996).</w:t>
      </w:r>
    </w:p>
    <w:p>
      <w:pPr>
        <w:spacing w:before="0"/>
        <w:ind w:left="785" w:right="0" w:firstLine="0"/>
        <w:jc w:val="left"/>
        <w:rPr>
          <w:sz w:val="20"/>
        </w:rPr>
      </w:pPr>
      <w:r>
        <w:rPr>
          <w:sz w:val="20"/>
        </w:rPr>
        <w:t>Measuring and analyzing urban tree cover. </w:t>
      </w:r>
      <w:r>
        <w:rPr>
          <w:i/>
          <w:sz w:val="20"/>
        </w:rPr>
        <w:t>Landscape and Urban Planning </w:t>
      </w:r>
      <w:r>
        <w:rPr>
          <w:sz w:val="20"/>
        </w:rPr>
        <w:t>36: pp. 49-57.</w:t>
      </w:r>
    </w:p>
    <w:p>
      <w:pPr>
        <w:pStyle w:val="BodyText"/>
        <w:rPr>
          <w:sz w:val="22"/>
        </w:rPr>
      </w:pPr>
    </w:p>
    <w:p>
      <w:pPr>
        <w:pStyle w:val="BodyText"/>
        <w:spacing w:before="2"/>
        <w:rPr>
          <w:sz w:val="19"/>
        </w:rPr>
      </w:pPr>
    </w:p>
    <w:p>
      <w:pPr>
        <w:pStyle w:val="Heading6"/>
        <w:ind w:left="219" w:right="1986"/>
      </w:pPr>
      <w:r>
        <w:rPr/>
        <w:t>APPENDIX 3A.1 HARVESTED WOOD PRODUCTS: BASIS FOR FUTURE METHODOLOGICAL DEVELOPMENT</w:t>
      </w:r>
    </w:p>
    <w:p>
      <w:pPr>
        <w:pStyle w:val="BodyText"/>
        <w:spacing w:before="1"/>
        <w:rPr>
          <w:b/>
          <w:sz w:val="30"/>
        </w:rPr>
      </w:pPr>
    </w:p>
    <w:p>
      <w:pPr>
        <w:pStyle w:val="BodyText"/>
        <w:ind w:left="219"/>
      </w:pPr>
      <w:r>
        <w:rPr/>
        <w:t>Burden R.L. and Faires J.D. (2001). Numerical Analysis, 7th ed. Brooks/ Cole Publishing. 810 p.</w:t>
      </w:r>
    </w:p>
    <w:p>
      <w:pPr>
        <w:pStyle w:val="BodyText"/>
        <w:spacing w:line="229" w:lineRule="exact" w:before="120"/>
        <w:ind w:left="219"/>
      </w:pPr>
      <w:r>
        <w:rPr/>
        <w:t>Food and Agriculture Organization 1999. FAO Yearbook – Forest Products 1997. FAO Forestry Series No. 42.</w:t>
      </w:r>
    </w:p>
    <w:p>
      <w:pPr>
        <w:pStyle w:val="BodyText"/>
        <w:spacing w:line="229" w:lineRule="exact"/>
        <w:ind w:left="785"/>
      </w:pPr>
      <w:r>
        <w:rPr/>
        <w:t>Rome. 245 pp. ftp://ftp.fao.org/fo/fon/fons/FOYB1997.pdf</w:t>
      </w:r>
    </w:p>
    <w:p>
      <w:pPr>
        <w:pStyle w:val="BodyText"/>
        <w:spacing w:before="121"/>
        <w:ind w:left="785" w:right="266" w:hanging="567"/>
        <w:jc w:val="both"/>
      </w:pPr>
      <w:r>
        <w:rPr/>
        <w:t>Food and Agriculture Organization 2002a. FAOSTAT Forestry data. Web site:</w:t>
      </w:r>
      <w:hyperlink r:id="rId175">
        <w:r>
          <w:rPr/>
          <w:t> http://apps.fao.org/page/collections?subset=forestry </w:t>
        </w:r>
      </w:hyperlink>
      <w:r>
        <w:rPr/>
        <w:t>accessed July 1, 2002.</w:t>
      </w:r>
    </w:p>
    <w:p>
      <w:pPr>
        <w:pStyle w:val="BodyText"/>
        <w:spacing w:before="121"/>
        <w:ind w:left="785" w:right="269" w:hanging="567"/>
        <w:jc w:val="both"/>
      </w:pPr>
      <w:r>
        <w:rPr/>
        <w:t>Flugsrud K., Hoem B., Kvingedal E. and Rypdal R. (2001). Estimating the net emissions of CO</w:t>
      </w:r>
      <w:r>
        <w:rPr>
          <w:vertAlign w:val="subscript"/>
        </w:rPr>
        <w:t>2</w:t>
      </w:r>
      <w:r>
        <w:rPr>
          <w:vertAlign w:val="baseline"/>
        </w:rPr>
        <w:t> from harvested wood products. SFT report 1831/200. Norwegian Pollution Control Authority, Oslo. 47 p. </w:t>
      </w:r>
      <w:hyperlink r:id="rId176">
        <w:r>
          <w:rPr>
            <w:vertAlign w:val="baseline"/>
          </w:rPr>
          <w:t>http://www.sft.no/publikasjoner/luft/1831/ta1831.pdf</w:t>
        </w:r>
      </w:hyperlink>
    </w:p>
    <w:p>
      <w:pPr>
        <w:pStyle w:val="BodyText"/>
        <w:spacing w:before="118"/>
        <w:ind w:left="785" w:right="268" w:hanging="567"/>
        <w:jc w:val="both"/>
      </w:pPr>
      <w:r>
        <w:rPr/>
        <w:t>Gjesdal S.F.T., Flugsrud K., Mykkelbost T.C., and Rypdal K. (1996). A balance of use of wood products in Norway, Norwegian Pollution Control Authority SFT, Report 96:04, 54 p.</w:t>
      </w:r>
    </w:p>
    <w:p>
      <w:pPr>
        <w:pStyle w:val="BodyText"/>
        <w:spacing w:before="121"/>
        <w:ind w:left="219"/>
      </w:pPr>
      <w:r>
        <w:rPr/>
        <w:t>Haynes </w:t>
      </w:r>
      <w:r>
        <w:rPr>
          <w:i/>
        </w:rPr>
        <w:t>et al. </w:t>
      </w:r>
      <w:r>
        <w:rPr/>
        <w:t>(1990). An Analysis of the timber situation in the United States: 1989-2040. USDA Forest Service.</w:t>
      </w:r>
    </w:p>
    <w:p>
      <w:pPr>
        <w:pStyle w:val="BodyText"/>
        <w:spacing w:before="1"/>
        <w:ind w:left="785"/>
      </w:pPr>
      <w:r>
        <w:rPr/>
        <w:t>Gen. Tech. Rpt. RM-199. 268 p.</w:t>
      </w:r>
    </w:p>
    <w:p>
      <w:pPr>
        <w:spacing w:after="0"/>
        <w:sectPr>
          <w:pgSz w:w="11900" w:h="16840"/>
          <w:pgMar w:header="230" w:footer="408" w:top="580" w:bottom="600" w:left="1200" w:right="1140"/>
        </w:sectPr>
      </w:pPr>
    </w:p>
    <w:p>
      <w:pPr>
        <w:pStyle w:val="BodyText"/>
      </w:pPr>
    </w:p>
    <w:p>
      <w:pPr>
        <w:pStyle w:val="BodyText"/>
        <w:spacing w:before="2"/>
        <w:rPr>
          <w:sz w:val="18"/>
        </w:rPr>
      </w:pPr>
    </w:p>
    <w:p>
      <w:pPr>
        <w:pStyle w:val="BodyText"/>
        <w:ind w:left="785" w:right="266" w:hanging="567"/>
        <w:jc w:val="both"/>
      </w:pPr>
      <w:r>
        <w:rPr/>
        <w:t>Heath L. S., Birdsey R.A., Row C., and Plantinga A.J. (1996). Carbon pools and fluxes in U.S. forest products. In: Apps M.J. and Price D.T. (eds.), Forest Ecosystems, Forest Management and the Global Carbon Cycle. NATO ASI Series, Springer-Verlag, Berlin: pp.</w:t>
      </w:r>
      <w:r>
        <w:rPr>
          <w:spacing w:val="3"/>
        </w:rPr>
        <w:t> </w:t>
      </w:r>
      <w:r>
        <w:rPr/>
        <w:t>271-278.</w:t>
      </w:r>
    </w:p>
    <w:p>
      <w:pPr>
        <w:spacing w:before="121"/>
        <w:ind w:left="785" w:right="265" w:hanging="567"/>
        <w:jc w:val="both"/>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pStyle w:val="BodyText"/>
        <w:spacing w:before="119"/>
        <w:ind w:left="785" w:right="266" w:hanging="567"/>
        <w:jc w:val="both"/>
      </w:pPr>
      <w:r>
        <w:rPr/>
        <w:t>Intergovernmental Panel on Climate Change (IPCC) (1998). Evaluating Approaches for Estimating Net Emissions of Carbon Dioxide from Forest Harvesting and Wood Products. Meeting Report, Dakar, Senegal, 5-7 May 1998. Brown S., Lim B. and Schlamadinger B. IPCC/OECD/IEA, Paris, France. See</w:t>
      </w:r>
      <w:hyperlink r:id="rId177">
        <w:r>
          <w:rPr/>
          <w:t> http://www.ipcc-nggip.iges.or.jp/public/mtdocs/dakar.htm</w:t>
        </w:r>
      </w:hyperlink>
    </w:p>
    <w:p>
      <w:pPr>
        <w:spacing w:before="122"/>
        <w:ind w:left="785" w:right="265" w:hanging="567"/>
        <w:jc w:val="both"/>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 IPCC/OECD/IEA/IGES, Hayama, Japan.</w:t>
      </w:r>
    </w:p>
    <w:p>
      <w:pPr>
        <w:pStyle w:val="BodyText"/>
        <w:spacing w:before="119"/>
        <w:ind w:left="785" w:right="270" w:hanging="567"/>
        <w:jc w:val="both"/>
      </w:pPr>
      <w:r>
        <w:rPr/>
        <w:t>Karjalainen T., Kellomaki S., and Pussinen A. (1994). Role of Wood-based Products in Absorbing Atmospheric Carbon. </w:t>
      </w:r>
      <w:r>
        <w:rPr>
          <w:i/>
        </w:rPr>
        <w:t>Silva Fennica </w:t>
      </w:r>
      <w:r>
        <w:rPr/>
        <w:t>28 (2): pp. 67-80.</w:t>
      </w:r>
    </w:p>
    <w:p>
      <w:pPr>
        <w:spacing w:before="121"/>
        <w:ind w:left="785" w:right="265" w:hanging="567"/>
        <w:jc w:val="both"/>
        <w:rPr>
          <w:sz w:val="20"/>
        </w:rPr>
      </w:pPr>
      <w:r>
        <w:rPr>
          <w:sz w:val="20"/>
        </w:rPr>
        <w:t>Micales J.A. and Skog K.E. (1997). The decomposition of forest products in landfills. </w:t>
      </w:r>
      <w:r>
        <w:rPr>
          <w:i/>
          <w:sz w:val="20"/>
        </w:rPr>
        <w:t>International Biodeterioration and Biodegradation </w:t>
      </w:r>
      <w:r>
        <w:rPr>
          <w:sz w:val="20"/>
        </w:rPr>
        <w:t>39 (2-3): pp. 145-158.</w:t>
      </w:r>
    </w:p>
    <w:p>
      <w:pPr>
        <w:pStyle w:val="BodyText"/>
        <w:spacing w:before="118"/>
        <w:ind w:left="785" w:right="265" w:hanging="567"/>
        <w:jc w:val="both"/>
      </w:pPr>
      <w:r>
        <w:rPr/>
        <w:t>Nabuurs G.J. and Sikkema R. (1998). Application and Evaluation of the Alternative IPCC Methods for Harvested Wood Products in the National Communications; Proceedings for the IPCC Expert Meeting on Evaluating approaches for estimating net emissions from harvested wood products, Wageningen, The Netherlands</w:t>
      </w:r>
    </w:p>
    <w:p>
      <w:pPr>
        <w:pStyle w:val="BodyText"/>
        <w:spacing w:before="122"/>
        <w:ind w:left="785" w:right="266" w:hanging="567"/>
        <w:jc w:val="both"/>
      </w:pPr>
      <w:r>
        <w:rPr/>
        <w:t>Pingoud K., Savolainen I., and Seppälä H. (1996). Greenhouse impact of the Finnish forest sector including forest products and waste management. </w:t>
      </w:r>
      <w:r>
        <w:rPr>
          <w:i/>
        </w:rPr>
        <w:t>Ambio </w:t>
      </w:r>
      <w:r>
        <w:rPr/>
        <w:t>25: pp.</w:t>
      </w:r>
      <w:r>
        <w:rPr>
          <w:spacing w:val="2"/>
        </w:rPr>
        <w:t> </w:t>
      </w:r>
      <w:r>
        <w:rPr/>
        <w:t>318-326.</w:t>
      </w:r>
    </w:p>
    <w:p>
      <w:pPr>
        <w:pStyle w:val="BodyText"/>
        <w:spacing w:before="118"/>
        <w:ind w:left="785" w:right="265" w:hanging="567"/>
        <w:jc w:val="both"/>
      </w:pPr>
      <w:r>
        <w:rPr/>
        <w:t>Pingoud K., Perälä A.L., and Pussinen A. (2001). Carbon dynamics in wood products. Mitigation and  Adaptation Strategies for Global Change 6: pp.</w:t>
      </w:r>
      <w:r>
        <w:rPr>
          <w:spacing w:val="-3"/>
        </w:rPr>
        <w:t> </w:t>
      </w:r>
      <w:r>
        <w:rPr/>
        <w:t>91–111.</w:t>
      </w:r>
    </w:p>
    <w:p>
      <w:pPr>
        <w:pStyle w:val="BodyText"/>
        <w:spacing w:before="121"/>
        <w:ind w:left="785" w:right="265" w:hanging="567"/>
        <w:jc w:val="both"/>
      </w:pPr>
      <w:r>
        <w:rPr/>
        <w:t>Skog K., and Nicholson G. (1998). Carbon Cycling through Wood Products: The Role of Wood and Paper Products in Carbon Sequestration. </w:t>
      </w:r>
      <w:r>
        <w:rPr>
          <w:i/>
        </w:rPr>
        <w:t>Forest Products Journal </w:t>
      </w:r>
      <w:r>
        <w:rPr/>
        <w:t>48 (7/8): pp. 75-83.</w:t>
      </w:r>
    </w:p>
    <w:p>
      <w:pPr>
        <w:pStyle w:val="BodyText"/>
        <w:rPr>
          <w:sz w:val="22"/>
        </w:rPr>
      </w:pPr>
    </w:p>
    <w:p>
      <w:pPr>
        <w:pStyle w:val="BodyText"/>
        <w:spacing w:before="9"/>
        <w:rPr>
          <w:sz w:val="31"/>
        </w:rPr>
      </w:pPr>
    </w:p>
    <w:p>
      <w:pPr>
        <w:pStyle w:val="Heading6"/>
        <w:ind w:left="219" w:right="656"/>
      </w:pPr>
      <w:r>
        <w:rPr/>
        <w:t>APPENDIX 3A.2 NON-CO</w:t>
      </w:r>
      <w:r>
        <w:rPr>
          <w:vertAlign w:val="subscript"/>
        </w:rPr>
        <w:t>2</w:t>
      </w:r>
      <w:r>
        <w:rPr>
          <w:vertAlign w:val="baseline"/>
        </w:rPr>
        <w:t> FROM DRAINAGE AND REWETTING OF FOREST SOILS: BASIS FOR FUTURE METHODOLOGY DEVELOPMENT</w:t>
      </w:r>
    </w:p>
    <w:p>
      <w:pPr>
        <w:pStyle w:val="BodyText"/>
        <w:spacing w:before="10"/>
        <w:rPr>
          <w:b/>
          <w:sz w:val="29"/>
        </w:rPr>
      </w:pPr>
    </w:p>
    <w:p>
      <w:pPr>
        <w:pStyle w:val="BodyText"/>
        <w:ind w:left="785" w:right="266" w:hanging="567"/>
        <w:jc w:val="both"/>
      </w:pPr>
      <w:r>
        <w:rPr/>
        <w:t>Alm J., Saarnio S., Nykanen H., Silvola J. and Martikainen P.J. (1999). Winter CO</w:t>
      </w:r>
      <w:r>
        <w:rPr>
          <w:vertAlign w:val="subscript"/>
        </w:rPr>
        <w:t>2</w:t>
      </w:r>
      <w:r>
        <w:rPr>
          <w:vertAlign w:val="baseline"/>
        </w:rPr>
        <w:t>, CH</w:t>
      </w:r>
      <w:r>
        <w:rPr>
          <w:vertAlign w:val="subscript"/>
        </w:rPr>
        <w:t>4</w:t>
      </w:r>
      <w:r>
        <w:rPr>
          <w:vertAlign w:val="baseline"/>
        </w:rPr>
        <w:t> and N</w:t>
      </w:r>
      <w:r>
        <w:rPr>
          <w:vertAlign w:val="subscript"/>
        </w:rPr>
        <w:t>2</w:t>
      </w:r>
      <w:r>
        <w:rPr>
          <w:vertAlign w:val="baseline"/>
        </w:rPr>
        <w:t>O fluxes on some natural and drained boreal peatlands. </w:t>
      </w:r>
      <w:r>
        <w:rPr>
          <w:i/>
          <w:vertAlign w:val="baseline"/>
        </w:rPr>
        <w:t>Biogeochemistry </w:t>
      </w:r>
      <w:r>
        <w:rPr>
          <w:vertAlign w:val="baseline"/>
        </w:rPr>
        <w:t>44: pp. 163 – 186.</w:t>
      </w:r>
    </w:p>
    <w:p>
      <w:pPr>
        <w:pStyle w:val="BodyText"/>
        <w:spacing w:before="121"/>
        <w:ind w:left="219"/>
      </w:pPr>
      <w:r>
        <w:rPr/>
        <w:t>Bartlett K.B. and Harriss R.C. (1993). Review and assessment of methane emissions from wetlands.</w:t>
      </w:r>
    </w:p>
    <w:p>
      <w:pPr>
        <w:spacing w:before="0"/>
        <w:ind w:left="785" w:right="0" w:firstLine="0"/>
        <w:jc w:val="left"/>
        <w:rPr>
          <w:sz w:val="20"/>
        </w:rPr>
      </w:pPr>
      <w:r>
        <w:rPr>
          <w:i/>
          <w:sz w:val="20"/>
        </w:rPr>
        <w:t>Chemosphere </w:t>
      </w:r>
      <w:r>
        <w:rPr>
          <w:sz w:val="20"/>
        </w:rPr>
        <w:t>26: pp. 261 -320.</w:t>
      </w:r>
    </w:p>
    <w:p>
      <w:pPr>
        <w:spacing w:before="120"/>
        <w:ind w:left="785" w:right="265" w:hanging="567"/>
        <w:jc w:val="both"/>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19"/>
        <w:ind w:left="785" w:right="265" w:hanging="567"/>
        <w:jc w:val="both"/>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 IPCC/OECD/IEA/IGES, Hayama, Japan.</w:t>
      </w:r>
    </w:p>
    <w:p>
      <w:pPr>
        <w:pStyle w:val="BodyText"/>
        <w:spacing w:before="120"/>
        <w:ind w:left="785" w:right="268" w:hanging="567"/>
        <w:jc w:val="both"/>
      </w:pPr>
      <w:r>
        <w:rPr/>
        <w:t>Klemedtsson L., Weslien P., Arnold K., Agren G., Nilsson M., and Hanell B. (2002). Greenhouse gas emissions from drained forests in Sweden. In: Olsson M. (ed.) Land use strategies for reckoning net greenhouse gas emissions. Mistra Programme: Progress report 1999 – 2002. Swedish University of Agricultural Sciences. Uppsala: pp. 44 – 67.</w:t>
      </w:r>
    </w:p>
    <w:p>
      <w:pPr>
        <w:pStyle w:val="BodyText"/>
        <w:spacing w:before="121"/>
        <w:ind w:left="785" w:right="266" w:hanging="567"/>
        <w:jc w:val="both"/>
      </w:pPr>
      <w:r>
        <w:rPr/>
        <w:t>Komulainen V.M., Nykanen H., Martikainen P.J. and Laine J. (1998). Short-term effect of restoration on vegetation change and methane emissions form peatlands drained for forestry in southern Finland. </w:t>
      </w:r>
      <w:r>
        <w:rPr>
          <w:i/>
        </w:rPr>
        <w:t>Can. J. For. Res. </w:t>
      </w:r>
      <w:r>
        <w:rPr/>
        <w:t>28: pp. 402 – 411.</w:t>
      </w:r>
    </w:p>
    <w:p>
      <w:pPr>
        <w:spacing w:after="0"/>
        <w:jc w:val="both"/>
        <w:sectPr>
          <w:pgSz w:w="11900" w:h="16840"/>
          <w:pgMar w:header="230" w:footer="408" w:top="560" w:bottom="600" w:left="1200" w:right="1140"/>
        </w:sectPr>
      </w:pPr>
    </w:p>
    <w:p>
      <w:pPr>
        <w:pStyle w:val="BodyText"/>
        <w:spacing w:before="3"/>
        <w:rPr>
          <w:sz w:val="29"/>
        </w:rPr>
      </w:pPr>
    </w:p>
    <w:p>
      <w:pPr>
        <w:pStyle w:val="BodyText"/>
        <w:spacing w:before="91"/>
        <w:ind w:left="785" w:right="266" w:hanging="567"/>
        <w:jc w:val="both"/>
      </w:pPr>
      <w:r>
        <w:rPr/>
        <w:t>Laine J., Silvola J., Tolonen K., Alm J., Nykanen H., Vasander H., Sallantaus T., Savolainen I., Sinisalo J., and Martikainen P. J. (1996). Effect of water-level drawdown on global climatic warming - northern peatlands. </w:t>
      </w:r>
      <w:r>
        <w:rPr>
          <w:i/>
        </w:rPr>
        <w:t>Ambio </w:t>
      </w:r>
      <w:r>
        <w:rPr/>
        <w:t>25: pp.</w:t>
      </w:r>
      <w:r>
        <w:rPr>
          <w:spacing w:val="1"/>
        </w:rPr>
        <w:t> </w:t>
      </w:r>
      <w:r>
        <w:rPr/>
        <w:t>179-184.</w:t>
      </w:r>
    </w:p>
    <w:p>
      <w:pPr>
        <w:pStyle w:val="BodyText"/>
        <w:spacing w:before="121"/>
        <w:ind w:left="785" w:right="269" w:hanging="567"/>
        <w:jc w:val="both"/>
      </w:pPr>
      <w:r>
        <w:rPr/>
        <w:t>Martikainen P. J., Nykanen H., Alm J., and Silvola J. (1995). Change in fluxes of carbon dioxide, methane and nitrous oxide due to forest drainage of mire sites of different trophy. </w:t>
      </w:r>
      <w:r>
        <w:rPr>
          <w:i/>
        </w:rPr>
        <w:t>Plant &amp; Soil </w:t>
      </w:r>
      <w:r>
        <w:rPr/>
        <w:t>169: pp. 571-577.</w:t>
      </w:r>
    </w:p>
    <w:p>
      <w:pPr>
        <w:pStyle w:val="BodyText"/>
        <w:spacing w:before="121"/>
        <w:ind w:left="785" w:right="266" w:hanging="567"/>
        <w:jc w:val="both"/>
      </w:pPr>
      <w:r>
        <w:rPr/>
        <w:t>Regina K., Nykänen H., Silvola J., and Martikainen P. J. (1996). Nitrous oxide production in boreal peatlands of different hydrology and nutrient status. In: Northern peatlands in global climatic change. Proceedings of the international workshop. Academy of Finland, Hyytiälä: pp. 158-166.</w:t>
      </w:r>
    </w:p>
    <w:p>
      <w:pPr>
        <w:pStyle w:val="BodyText"/>
        <w:spacing w:before="119"/>
        <w:ind w:left="785" w:right="270" w:hanging="567"/>
        <w:jc w:val="both"/>
      </w:pPr>
      <w:r>
        <w:rPr/>
        <w:t>Roulet N.T. and Moore T.R. (1995). Methane Emissions from Canadian Peatlands. In: Lal R., Kimble J., Levine E., and Stewart B.A., </w:t>
      </w:r>
      <w:r>
        <w:rPr>
          <w:u w:val="single"/>
        </w:rPr>
        <w:t>Soils and Global Change</w:t>
      </w:r>
      <w:r>
        <w:rPr/>
        <w:t>, CRC Lewis Publishers, Boca Raton: pp. 153-164.</w:t>
      </w:r>
    </w:p>
    <w:p>
      <w:pPr>
        <w:pStyle w:val="BodyText"/>
        <w:spacing w:before="120"/>
        <w:ind w:left="785" w:right="269" w:hanging="567"/>
        <w:jc w:val="both"/>
      </w:pPr>
      <w:r>
        <w:rPr/>
        <w:t>Tuittila, E-S., Komulainen, V-M., Vasander, H., Nykänen, H., Martikainen, P.J. &amp; Laine, J. (2000). Methane dynamics of a restored cut-away peatland. Global Change Biology 6: 569-581.</w:t>
      </w:r>
    </w:p>
    <w:p>
      <w:pPr>
        <w:pStyle w:val="BodyText"/>
        <w:rPr>
          <w:sz w:val="22"/>
        </w:rPr>
      </w:pPr>
    </w:p>
    <w:p>
      <w:pPr>
        <w:pStyle w:val="BodyText"/>
        <w:spacing w:before="3"/>
        <w:rPr>
          <w:sz w:val="19"/>
        </w:rPr>
      </w:pPr>
    </w:p>
    <w:p>
      <w:pPr>
        <w:pStyle w:val="Heading6"/>
        <w:ind w:left="219"/>
      </w:pPr>
      <w:r>
        <w:rPr/>
        <w:t>APPENDIX 3A.3 WETLANDS REMAINING WETLANDS: BASIS FOR FUTURE METHODOLOGICAL DEVELOPMENT</w:t>
      </w:r>
    </w:p>
    <w:p>
      <w:pPr>
        <w:pStyle w:val="BodyText"/>
        <w:spacing w:before="5"/>
        <w:rPr>
          <w:b/>
          <w:sz w:val="19"/>
        </w:rPr>
      </w:pPr>
    </w:p>
    <w:p>
      <w:pPr>
        <w:spacing w:before="0"/>
        <w:ind w:left="219" w:right="0" w:firstLine="0"/>
        <w:jc w:val="left"/>
        <w:rPr>
          <w:i/>
          <w:sz w:val="20"/>
        </w:rPr>
      </w:pPr>
      <w:r>
        <w:rPr>
          <w:i/>
          <w:sz w:val="20"/>
        </w:rPr>
        <w:t>ORGANIC SOILS MANAGED FOR PEAT EXTRACTION</w:t>
      </w:r>
    </w:p>
    <w:p>
      <w:pPr>
        <w:pStyle w:val="BodyText"/>
        <w:ind w:left="785" w:right="268" w:hanging="567"/>
        <w:jc w:val="both"/>
      </w:pPr>
      <w:r>
        <w:rPr/>
        <w:t>Alm, J., S. Saarnio, H. Nykanen, J. Silvola, and P. J. Martikainen. (1999). Winter CO</w:t>
      </w:r>
      <w:r>
        <w:rPr>
          <w:vertAlign w:val="subscript"/>
        </w:rPr>
        <w:t>2</w:t>
      </w:r>
      <w:r>
        <w:rPr>
          <w:vertAlign w:val="baseline"/>
        </w:rPr>
        <w:t>, CH</w:t>
      </w:r>
      <w:r>
        <w:rPr>
          <w:vertAlign w:val="subscript"/>
        </w:rPr>
        <w:t>4</w:t>
      </w:r>
      <w:r>
        <w:rPr>
          <w:vertAlign w:val="baseline"/>
        </w:rPr>
        <w:t> and N</w:t>
      </w:r>
      <w:r>
        <w:rPr>
          <w:vertAlign w:val="subscript"/>
        </w:rPr>
        <w:t>2</w:t>
      </w:r>
      <w:r>
        <w:rPr>
          <w:vertAlign w:val="baseline"/>
        </w:rPr>
        <w:t>O fluxes on some natural and drained boreal peatlands. Biogeochemistry 44:163-186.</w:t>
      </w:r>
    </w:p>
    <w:p>
      <w:pPr>
        <w:pStyle w:val="BodyText"/>
        <w:spacing w:before="121"/>
        <w:ind w:left="785" w:right="267" w:hanging="567"/>
        <w:jc w:val="both"/>
      </w:pPr>
      <w:r>
        <w:rPr/>
        <w:t>Andriesse, J. P. (1988) Nature and Management of Tropical Peat Soils, FAO SOILS BULLETIN 59,</w:t>
      </w:r>
      <w:hyperlink r:id="rId180">
        <w:r>
          <w:rPr/>
          <w:t> http://www.fao.org/docrep/x5872e/x5872e04.htm</w:t>
        </w:r>
      </w:hyperlink>
    </w:p>
    <w:p>
      <w:pPr>
        <w:pStyle w:val="BodyText"/>
        <w:spacing w:before="121"/>
        <w:ind w:left="785" w:right="268" w:hanging="567"/>
        <w:jc w:val="both"/>
      </w:pPr>
      <w:r>
        <w:rPr/>
        <w:t>Feehan,   J.   &amp;   O’Donovan,   G.   (1996)   </w:t>
      </w:r>
      <w:r>
        <w:rPr>
          <w:i/>
        </w:rPr>
        <w:t>The   Bogs   of   Ireland</w:t>
      </w:r>
      <w:r>
        <w:rPr/>
        <w:t>.   The   Environmental   Institute,   University College Dublin,</w:t>
      </w:r>
      <w:r>
        <w:rPr>
          <w:spacing w:val="-2"/>
        </w:rPr>
        <w:t> </w:t>
      </w:r>
      <w:r>
        <w:rPr/>
        <w:t>Ireland.</w:t>
      </w:r>
    </w:p>
    <w:p>
      <w:pPr>
        <w:pStyle w:val="BodyText"/>
        <w:spacing w:before="118"/>
        <w:ind w:left="785" w:right="269" w:hanging="567"/>
        <w:jc w:val="both"/>
      </w:pPr>
      <w:r>
        <w:rPr/>
        <w:t>Fey, A., G. Benckiser and J.C.G. Ottow (1999). Emissions of nitrous oxide from a constructed wetland using a groundfilter and macrophytes in waste-water purification of a dairy farm. Biol Fertil Soils 29, 354-359.</w:t>
      </w:r>
    </w:p>
    <w:p>
      <w:pPr>
        <w:pStyle w:val="BodyText"/>
        <w:spacing w:before="121"/>
        <w:ind w:left="785" w:right="266" w:hanging="567"/>
        <w:jc w:val="both"/>
      </w:pPr>
      <w:r>
        <w:rPr/>
        <w:t>Huttunen, J.T., T.S. Vaisanen, S. K. Hellsten, M. Heikkinen, H. Nykanen, H. Jungner, A. Niskanen, M. O. Virtanen, O.V. Lindqvist, O. S. Nenonen, and P.J. Martikanen, (2002), Fluxes of CH</w:t>
      </w:r>
      <w:r>
        <w:rPr>
          <w:vertAlign w:val="subscript"/>
        </w:rPr>
        <w:t>4</w:t>
      </w:r>
      <w:r>
        <w:rPr>
          <w:vertAlign w:val="baseline"/>
        </w:rPr>
        <w:t>, CO</w:t>
      </w:r>
      <w:r>
        <w:rPr>
          <w:vertAlign w:val="subscript"/>
        </w:rPr>
        <w:t>2</w:t>
      </w:r>
      <w:r>
        <w:rPr>
          <w:vertAlign w:val="baseline"/>
        </w:rPr>
        <w:t>, and N</w:t>
      </w:r>
      <w:r>
        <w:rPr>
          <w:vertAlign w:val="subscript"/>
        </w:rPr>
        <w:t>2</w:t>
      </w:r>
      <w:r>
        <w:rPr>
          <w:vertAlign w:val="baseline"/>
        </w:rPr>
        <w:t>O in hydroelectric reservoir Lokka and Porttipahata in the northern boreal zone in Finland, Global Biogeochemical Cycles, 16,1.</w:t>
      </w:r>
    </w:p>
    <w:p>
      <w:pPr>
        <w:pStyle w:val="BodyText"/>
        <w:spacing w:before="119"/>
        <w:ind w:left="219"/>
      </w:pPr>
      <w:r>
        <w:rPr/>
        <w:t>Laine, J., and K. Minkkinen. (1996). Effect of forest drainage on the carbon balance of a mire - a case study.</w:t>
      </w:r>
    </w:p>
    <w:p>
      <w:pPr>
        <w:pStyle w:val="BodyText"/>
        <w:spacing w:before="1"/>
        <w:ind w:left="785"/>
      </w:pPr>
      <w:r>
        <w:rPr/>
        <w:t>Scandinavian Journal of Forest Research 11:307-312</w:t>
      </w:r>
    </w:p>
    <w:p>
      <w:pPr>
        <w:pStyle w:val="BodyText"/>
        <w:spacing w:before="120"/>
        <w:ind w:left="219"/>
      </w:pPr>
      <w:r>
        <w:rPr/>
        <w:t>Laine, J., J. Silvola, K. Tolonen, J. Alm, H. Nykanen, H. Vasander, T. Sallantaus, I. Savolainen, J. Sinisalo, and</w:t>
      </w:r>
    </w:p>
    <w:p>
      <w:pPr>
        <w:pStyle w:val="BodyText"/>
        <w:spacing w:before="1"/>
        <w:ind w:left="785" w:right="354"/>
      </w:pPr>
      <w:r>
        <w:rPr/>
        <w:t>P. J. Martikainen. (1996). Effect of water-level drawdown on global climatic warming - northern peatlands. Ambio 25:179-184.</w:t>
      </w:r>
    </w:p>
    <w:p>
      <w:pPr>
        <w:pStyle w:val="BodyText"/>
        <w:spacing w:before="118"/>
        <w:ind w:left="219"/>
      </w:pPr>
      <w:r>
        <w:rPr/>
        <w:t>Lappalainen, E. (1996) Global Peat Resources. Saarijärvi, Finland, Saarijärven Offset Oy.</w:t>
      </w:r>
    </w:p>
    <w:p>
      <w:pPr>
        <w:pStyle w:val="BodyText"/>
        <w:spacing w:before="120"/>
        <w:ind w:left="785" w:right="264" w:hanging="567"/>
        <w:jc w:val="both"/>
      </w:pPr>
      <w:r>
        <w:rPr/>
        <w:t>Lappalainen, E. and Zurek, S. (1996a). Peatlands in other African countries. In: Lappalainen (Ed.), Global Peat Resources, International Peat Society, Finland, pp</w:t>
      </w:r>
      <w:r>
        <w:rPr>
          <w:spacing w:val="1"/>
        </w:rPr>
        <w:t> </w:t>
      </w:r>
      <w:r>
        <w:rPr/>
        <w:t>239-242.</w:t>
      </w:r>
    </w:p>
    <w:p>
      <w:pPr>
        <w:pStyle w:val="BodyText"/>
        <w:spacing w:before="121"/>
        <w:ind w:left="785" w:right="264" w:hanging="567"/>
        <w:jc w:val="both"/>
      </w:pPr>
      <w:r>
        <w:rPr/>
        <w:t>Lappalainen, E. and Zurek, S. (1996b). Peatlands in other Asian countries. In: Lappalainen (Ed.), Global Peat Resources, International Peat Society, Finland, pp</w:t>
      </w:r>
      <w:r>
        <w:rPr>
          <w:spacing w:val="1"/>
        </w:rPr>
        <w:t> </w:t>
      </w:r>
      <w:r>
        <w:rPr/>
        <w:t>209-212.</w:t>
      </w:r>
    </w:p>
    <w:p>
      <w:pPr>
        <w:pStyle w:val="BodyText"/>
        <w:spacing w:before="119"/>
        <w:ind w:left="785" w:right="266" w:hanging="567"/>
        <w:jc w:val="both"/>
      </w:pPr>
      <w:r>
        <w:rPr/>
        <w:t>Lappalainen, E. and Zurek, S. (1996c). Peatlands in central and south America. In: Lappalainen (Ed.), Global Peat Resources, International Peat Society, Finland, pp 279-282.</w:t>
      </w:r>
    </w:p>
    <w:p>
      <w:pPr>
        <w:pStyle w:val="BodyText"/>
        <w:spacing w:before="121"/>
        <w:ind w:left="785" w:right="264" w:hanging="567"/>
        <w:jc w:val="both"/>
      </w:pPr>
      <w:r>
        <w:rPr/>
        <w:t>LUSTRA (2002): Land Use Strategies for Reducing Net Greenhouse Gas Emissions. Annual Report 2002, Uppsala, Sweden. </w:t>
      </w:r>
      <w:hyperlink r:id="rId174">
        <w:r>
          <w:rPr/>
          <w:t>http://www.sml.slu.se/lustra/index.phtml</w:t>
        </w:r>
      </w:hyperlink>
    </w:p>
    <w:p>
      <w:pPr>
        <w:pStyle w:val="BodyText"/>
        <w:spacing w:before="120"/>
        <w:ind w:left="785" w:right="270" w:hanging="567"/>
        <w:jc w:val="both"/>
      </w:pPr>
      <w:r>
        <w:rPr/>
        <w:t>Martikainen, P. J., H. Nykanen, J. Alm, and J. Silvola. (1995). Change in fluxes of carbon dioxide, methane and nitrous oxide due to forest drainage of mire sites of different trophy. Plant &amp; Soil 169:571-577.</w:t>
      </w:r>
    </w:p>
    <w:p>
      <w:pPr>
        <w:pStyle w:val="BodyText"/>
        <w:spacing w:before="119"/>
        <w:ind w:left="785" w:right="264" w:hanging="567"/>
        <w:jc w:val="both"/>
      </w:pPr>
      <w:r>
        <w:rPr/>
        <w:t>Minkkinen, K., R. Korhonen, I. Savolainen, and J. Laine.( 2002). Carbon balance and radiative forcing of Finnish peatlands 1900-2100 the impact of forestry drainage. Global Change Biology</w:t>
      </w:r>
      <w:r>
        <w:rPr>
          <w:spacing w:val="-31"/>
        </w:rPr>
        <w:t> </w:t>
      </w:r>
      <w:r>
        <w:rPr/>
        <w:t>8:785-799.</w:t>
      </w:r>
    </w:p>
    <w:p>
      <w:pPr>
        <w:pStyle w:val="BodyText"/>
        <w:spacing w:before="121"/>
        <w:ind w:left="785" w:right="267" w:hanging="567"/>
        <w:jc w:val="both"/>
      </w:pPr>
      <w:r>
        <w:rPr/>
        <w:t>Mosier A. and C. Kroeze, (1999). Contribution of agroecosystems to the global atmospheric N</w:t>
      </w:r>
      <w:r>
        <w:rPr>
          <w:vertAlign w:val="subscript"/>
        </w:rPr>
        <w:t>2</w:t>
      </w:r>
      <w:r>
        <w:rPr>
          <w:vertAlign w:val="baseline"/>
        </w:rPr>
        <w:t>O budget. Proceedings of International workshop on reducing N</w:t>
      </w:r>
      <w:r>
        <w:rPr>
          <w:vertAlign w:val="subscript"/>
        </w:rPr>
        <w:t>2</w:t>
      </w:r>
      <w:r>
        <w:rPr>
          <w:vertAlign w:val="baseline"/>
        </w:rPr>
        <w:t>O emission from agroecosystems, Banff, Canada, March 1999.</w:t>
      </w:r>
    </w:p>
    <w:p>
      <w:pPr>
        <w:spacing w:after="0"/>
        <w:jc w:val="both"/>
        <w:sectPr>
          <w:footerReference w:type="default" r:id="rId178"/>
          <w:footerReference w:type="even" r:id="rId179"/>
          <w:pgSz w:w="11900" w:h="16840"/>
          <w:pgMar w:footer="408" w:header="230" w:top="580" w:bottom="600" w:left="1200" w:right="1140"/>
        </w:sectPr>
      </w:pPr>
    </w:p>
    <w:p>
      <w:pPr>
        <w:pStyle w:val="BodyText"/>
      </w:pPr>
    </w:p>
    <w:p>
      <w:pPr>
        <w:pStyle w:val="BodyText"/>
        <w:spacing w:before="2"/>
        <w:rPr>
          <w:sz w:val="18"/>
        </w:rPr>
      </w:pPr>
    </w:p>
    <w:p>
      <w:pPr>
        <w:pStyle w:val="BodyText"/>
        <w:ind w:left="785" w:right="264" w:hanging="567"/>
        <w:jc w:val="both"/>
      </w:pPr>
      <w:r>
        <w:rPr/>
        <w:t>OECD/IUCN. (1996). Guidelines for aid agencies for improved conservation and sustainable use of tropical and sub-tropical wetlands. OECD, Paris.</w:t>
      </w:r>
    </w:p>
    <w:p>
      <w:pPr>
        <w:pStyle w:val="BodyText"/>
        <w:spacing w:before="121"/>
        <w:ind w:left="785" w:right="267" w:hanging="567"/>
        <w:jc w:val="both"/>
      </w:pPr>
      <w:r>
        <w:rPr/>
        <w:t>Regina, K., H. Nykänen, J. Silvola, and P. J. Martikainen. (1996). Nitrous oxide production in boreal peatlands of different hydrology and nutrient status. Pages 158-166 in Northern peatlands in global climatic change. Proceedings of the international workshop. Academy of Finland,</w:t>
      </w:r>
      <w:r>
        <w:rPr>
          <w:spacing w:val="-6"/>
        </w:rPr>
        <w:t> </w:t>
      </w:r>
      <w:r>
        <w:rPr/>
        <w:t>Hyytiälä</w:t>
      </w:r>
    </w:p>
    <w:p>
      <w:pPr>
        <w:pStyle w:val="BodyText"/>
        <w:spacing w:before="121"/>
        <w:ind w:left="785" w:right="269" w:hanging="567"/>
        <w:jc w:val="both"/>
      </w:pPr>
      <w:r>
        <w:rPr/>
        <w:t>Rubec, C. (1996). The status of peatland resources in Canada. In: Lappalainen (Ed.), Global Peat Resources, International Peat Society, Finland, pp 243-252.</w:t>
      </w:r>
    </w:p>
    <w:p>
      <w:pPr>
        <w:pStyle w:val="BodyText"/>
        <w:spacing w:before="119"/>
        <w:ind w:left="785" w:right="266" w:hanging="567"/>
        <w:jc w:val="both"/>
      </w:pPr>
      <w:r>
        <w:rPr/>
        <w:t>Smith K.A., L. Bouwman, B. Braatz, (1999). Nitrous oxide : direct emissions from agricultural soils. Background paper for IPCC Workshop on Good Practice in Inventory Preparation : Agricultural sources of methane and nitrous oxide, 24-26 february 1999, Wageningen, The</w:t>
      </w:r>
      <w:r>
        <w:rPr>
          <w:spacing w:val="-8"/>
        </w:rPr>
        <w:t> </w:t>
      </w:r>
      <w:r>
        <w:rPr/>
        <w:t>Netherlands.</w:t>
      </w:r>
    </w:p>
    <w:p>
      <w:pPr>
        <w:pStyle w:val="BodyText"/>
        <w:spacing w:before="121"/>
        <w:ind w:left="785" w:right="266" w:hanging="567"/>
        <w:jc w:val="both"/>
      </w:pPr>
      <w:r>
        <w:rPr/>
        <w:t>Sundh, I., Nilsson, M., Mikkela, C., Granberg, G., Svensson, B.H.,( 2000). Fluxes of methane and carbon dioxide on peat-mining areas in Sweden. Ambio 29(8),</w:t>
      </w:r>
      <w:r>
        <w:rPr>
          <w:spacing w:val="-5"/>
        </w:rPr>
        <w:t> </w:t>
      </w:r>
      <w:r>
        <w:rPr/>
        <w:t>499-503.</w:t>
      </w:r>
    </w:p>
    <w:p>
      <w:pPr>
        <w:pStyle w:val="BodyText"/>
        <w:spacing w:before="118"/>
        <w:ind w:left="219"/>
      </w:pPr>
      <w:r>
        <w:rPr/>
        <w:t>Tarnocai, C., Kettles, I.M., Lacelle, B. (2000). Peatlands of Canada. Geological Survey of Canada, Ottawa, Ont.</w:t>
      </w:r>
    </w:p>
    <w:p>
      <w:pPr>
        <w:pStyle w:val="BodyText"/>
        <w:spacing w:before="1"/>
        <w:ind w:left="785"/>
      </w:pPr>
      <w:r>
        <w:rPr/>
        <w:t>Open File 3152 (map).</w:t>
      </w:r>
    </w:p>
    <w:p>
      <w:pPr>
        <w:pStyle w:val="BodyText"/>
        <w:spacing w:before="120"/>
        <w:ind w:left="785" w:right="268" w:hanging="567"/>
        <w:jc w:val="both"/>
      </w:pPr>
      <w:r>
        <w:rPr/>
        <w:t>Umeda, Y. And Inoue, T. (1996). Peatlands of Japan. In: Lappalainen (Ed.), Global Peat Resources, International Peat Society, Finland, pp 179-182.</w:t>
      </w:r>
    </w:p>
    <w:p>
      <w:pPr>
        <w:pStyle w:val="BodyText"/>
        <w:spacing w:before="121"/>
        <w:ind w:left="785" w:right="268" w:hanging="567"/>
        <w:jc w:val="both"/>
      </w:pPr>
      <w:r>
        <w:rPr/>
        <w:t>Xuehui, M and Yan, H. (1996). Peat and peatlands in China. . In: Lappalainen (Ed.), Global Peat Resources, International Peat Society, Finland, pp 163-168</w:t>
      </w:r>
    </w:p>
    <w:p>
      <w:pPr>
        <w:pStyle w:val="BodyText"/>
        <w:spacing w:before="4"/>
        <w:rPr>
          <w:sz w:val="30"/>
        </w:rPr>
      </w:pPr>
    </w:p>
    <w:p>
      <w:pPr>
        <w:spacing w:before="0"/>
        <w:ind w:left="219" w:right="0" w:firstLine="0"/>
        <w:jc w:val="left"/>
        <w:rPr>
          <w:i/>
          <w:sz w:val="20"/>
        </w:rPr>
      </w:pPr>
      <w:r>
        <w:rPr>
          <w:i/>
          <w:sz w:val="20"/>
        </w:rPr>
        <w:t>FLOODED LAND REMAINING FLOODED LAND</w:t>
      </w:r>
    </w:p>
    <w:p>
      <w:pPr>
        <w:pStyle w:val="BodyText"/>
        <w:ind w:left="785" w:right="267" w:hanging="567"/>
        <w:jc w:val="both"/>
      </w:pPr>
      <w:r>
        <w:rPr/>
        <w:t>Dos Santos, M.A., (2000), Inventário emissões de gases de efeito estufa derivadas de Hidréletricas, PhD. Dissertation, University of Rio de Janeiro, Rio de Janeiro, Brazil, 154p.</w:t>
      </w:r>
    </w:p>
    <w:p>
      <w:pPr>
        <w:pStyle w:val="BodyText"/>
        <w:spacing w:before="119"/>
        <w:ind w:left="785" w:right="260" w:hanging="567"/>
        <w:jc w:val="both"/>
      </w:pPr>
      <w:r>
        <w:rPr/>
        <w:t>Duchemin, É, (2000), Hydroelectricity and greenhouse gases: Emission evaluation and identification of biogeochemical processes responsible for their production, PhD. Disseration, Université du Québec à Montréal, Montréal (Québec), Canada, 321 p (available on CD-ROM)</w:t>
      </w:r>
    </w:p>
    <w:p>
      <w:pPr>
        <w:pStyle w:val="BodyText"/>
        <w:spacing w:before="121"/>
        <w:ind w:left="785" w:right="265" w:hanging="567"/>
        <w:jc w:val="both"/>
      </w:pPr>
      <w:r>
        <w:rPr/>
        <w:t>Duchemin, É. (2002a), Greenhouse gases emissions from US reservoirs: Spot sampling in the Columbia River Basin and in the Sierra Nevada region, Report for Environmental Fund Defense, DREXenvironment, 47p. (available on CD-ROM)</w:t>
      </w:r>
    </w:p>
    <w:p>
      <w:pPr>
        <w:pStyle w:val="BodyText"/>
        <w:spacing w:line="350" w:lineRule="exact" w:before="25"/>
        <w:ind w:left="219"/>
      </w:pPr>
      <w:r>
        <w:rPr/>
        <w:t>Duchemin, É., (2002b), Canadian Reservoir Database, Environment Canada/DREXenvironment, CD-ROM. Duchemin, É., M. Lucotte, R. Canuel and A. Chamberland, (1995), Production of the greenhouse gases CH</w:t>
      </w:r>
      <w:r>
        <w:rPr>
          <w:vertAlign w:val="subscript"/>
        </w:rPr>
        <w:t>4</w:t>
      </w:r>
      <w:r>
        <w:rPr>
          <w:vertAlign w:val="baseline"/>
        </w:rPr>
        <w:t> and</w:t>
      </w:r>
    </w:p>
    <w:p>
      <w:pPr>
        <w:spacing w:line="204" w:lineRule="exact" w:before="0"/>
        <w:ind w:left="785" w:right="0" w:firstLine="0"/>
        <w:jc w:val="left"/>
        <w:rPr>
          <w:sz w:val="20"/>
        </w:rPr>
      </w:pPr>
      <w:r>
        <w:rPr>
          <w:sz w:val="20"/>
        </w:rPr>
        <w:t>CO</w:t>
      </w:r>
      <w:r>
        <w:rPr>
          <w:sz w:val="20"/>
          <w:vertAlign w:val="subscript"/>
        </w:rPr>
        <w:t>2</w:t>
      </w:r>
      <w:r>
        <w:rPr>
          <w:sz w:val="20"/>
          <w:vertAlign w:val="baseline"/>
        </w:rPr>
        <w:t> by hydroelectric reservoirs of the boreal region, </w:t>
      </w:r>
      <w:r>
        <w:rPr>
          <w:i/>
          <w:sz w:val="20"/>
          <w:vertAlign w:val="baseline"/>
        </w:rPr>
        <w:t>Global Biogeochemical Cycles</w:t>
      </w:r>
      <w:r>
        <w:rPr>
          <w:sz w:val="20"/>
          <w:vertAlign w:val="baseline"/>
        </w:rPr>
        <w:t>, 9, 4, 529-540.</w:t>
      </w:r>
    </w:p>
    <w:p>
      <w:pPr>
        <w:pStyle w:val="BodyText"/>
        <w:spacing w:before="121"/>
        <w:ind w:left="785" w:right="268" w:hanging="567"/>
        <w:jc w:val="both"/>
      </w:pPr>
      <w:r>
        <w:rPr/>
        <w:t>Duchemin, É., R. Canuel, P. Ferland, and M. Lucotte, (1999), Étude sur la production et l’émission de gaz à effet de serre par les réservoirs hydroélectriques d’Hydro-Québec et des lacs naturels (Volet 2), Scientific report, Direction principal Planification Stratégique - Hydro-Québec, 21046-99027c, 48p.</w:t>
      </w:r>
    </w:p>
    <w:p>
      <w:pPr>
        <w:pStyle w:val="BodyText"/>
        <w:spacing w:before="119"/>
        <w:ind w:left="785" w:right="261" w:hanging="567"/>
        <w:jc w:val="both"/>
      </w:pPr>
      <w:r>
        <w:rPr/>
        <w:t>Duchemin, É., M. Lucotte, R. Canuel, D. Almeida Cruz, H. C. Pereira, J. Dezincourt and A. G. Queiroz, (2000), Comparison of Greenhouse Gas Emissions from an Old Tropical Reservoir and from other Reservoirs Worldwide, </w:t>
      </w:r>
      <w:r>
        <w:rPr>
          <w:i/>
        </w:rPr>
        <w:t>Verh. International Verein. Limnol</w:t>
      </w:r>
      <w:r>
        <w:rPr/>
        <w:t>., 27, 3, 1391-1395.</w:t>
      </w:r>
    </w:p>
    <w:p>
      <w:pPr>
        <w:pStyle w:val="BodyText"/>
        <w:spacing w:before="121"/>
        <w:ind w:left="785" w:right="265" w:hanging="567"/>
        <w:jc w:val="both"/>
      </w:pPr>
      <w:r>
        <w:rPr/>
        <w:t>Duchemin, É., M. Lucotte, R. Canuel, (2002a), CH</w:t>
      </w:r>
      <w:r>
        <w:rPr>
          <w:vertAlign w:val="subscript"/>
        </w:rPr>
        <w:t>4</w:t>
      </w:r>
      <w:r>
        <w:rPr>
          <w:vertAlign w:val="baseline"/>
        </w:rPr>
        <w:t> and CO</w:t>
      </w:r>
      <w:r>
        <w:rPr>
          <w:vertAlign w:val="subscript"/>
        </w:rPr>
        <w:t>2</w:t>
      </w:r>
      <w:r>
        <w:rPr>
          <w:vertAlign w:val="baseline"/>
        </w:rPr>
        <w:t> emissions from boreal reservoirs upon ice break- up, submitted to </w:t>
      </w:r>
      <w:r>
        <w:rPr>
          <w:i/>
          <w:vertAlign w:val="baseline"/>
        </w:rPr>
        <w:t>Global Biogeochemical Cycles</w:t>
      </w:r>
      <w:r>
        <w:rPr>
          <w:vertAlign w:val="baseline"/>
        </w:rPr>
        <w:t>.</w:t>
      </w:r>
    </w:p>
    <w:p>
      <w:pPr>
        <w:pStyle w:val="BodyText"/>
        <w:spacing w:before="118"/>
        <w:ind w:left="785" w:right="269" w:hanging="567"/>
        <w:jc w:val="both"/>
      </w:pPr>
      <w:r>
        <w:rPr/>
        <w:t>Duchemin, É, M. Lucotte, V. St-Louis,and R. Canuel, (2002b), Hydroelectric reservoirs as anthropogenic source of greenhouse gases, World Resources Review, 27, 3,</w:t>
      </w:r>
    </w:p>
    <w:p>
      <w:pPr>
        <w:pStyle w:val="BodyText"/>
        <w:spacing w:before="121"/>
        <w:ind w:left="785" w:right="270" w:hanging="567"/>
        <w:jc w:val="both"/>
      </w:pPr>
      <w:r>
        <w:rPr/>
        <w:t>Fearnside, P.M. (2002). Greenhouse gas emissions from a hydroelectric reservoir (Brazil’s Tucuruí Dam) and the energy policy implications. Water, Air and Soil Pollution 133(1-4):</w:t>
      </w:r>
      <w:r>
        <w:rPr>
          <w:spacing w:val="-8"/>
        </w:rPr>
        <w:t> </w:t>
      </w:r>
      <w:r>
        <w:rPr/>
        <w:t>69-96.</w:t>
      </w:r>
    </w:p>
    <w:p>
      <w:pPr>
        <w:pStyle w:val="BodyText"/>
        <w:spacing w:before="121"/>
        <w:ind w:left="785" w:right="264" w:hanging="567"/>
        <w:jc w:val="both"/>
      </w:pPr>
      <w:r>
        <w:rPr/>
        <w:t>Galy-Lacaux, C., R. Delmas, C. Jambert, J.-F. Dumestre, L. Labroue, S. Richard and P. Gosse, (1997), Gaseous emissions and oxygen consumption in hydroelectric dams: a case study in French Guyana, Global Biogeochemical Cycle, 11,4, 471-483.</w:t>
      </w:r>
    </w:p>
    <w:p>
      <w:pPr>
        <w:pStyle w:val="BodyText"/>
        <w:spacing w:before="119"/>
        <w:ind w:left="785" w:right="265" w:hanging="567"/>
        <w:jc w:val="both"/>
      </w:pPr>
      <w:r>
        <w:rPr/>
        <w:t>Hélie, (2003), Approche isotopique des flux et de la géochimie du carbone dans les milieux aquatiques de l’est du Canada : exemple du Saint-Laurent et du réservoir Robert-Bourassa, PhD. Dissertation, Université du Québec à Montréal, Montréal (Québec),</w:t>
      </w:r>
      <w:r>
        <w:rPr>
          <w:spacing w:val="3"/>
        </w:rPr>
        <w:t> </w:t>
      </w:r>
      <w:r>
        <w:rPr/>
        <w:t>Canada.</w:t>
      </w:r>
    </w:p>
    <w:p>
      <w:pPr>
        <w:pStyle w:val="BodyText"/>
        <w:spacing w:before="121"/>
        <w:ind w:left="785" w:right="267" w:hanging="567"/>
        <w:jc w:val="both"/>
      </w:pPr>
      <w:r>
        <w:rPr/>
        <w:t>Houel, (2002), Dynamique de la matière organique terrigène dans les réservoirs boréaux, PhD. Dissertation, Université du Québec à Montréal, Montréal (Québec), Canada, 111p.</w:t>
      </w:r>
    </w:p>
    <w:p>
      <w:pPr>
        <w:spacing w:after="0"/>
        <w:jc w:val="both"/>
        <w:sectPr>
          <w:pgSz w:w="11900" w:h="16840"/>
          <w:pgMar w:header="230" w:footer="408" w:top="560" w:bottom="600" w:left="1200" w:right="1140"/>
        </w:sectPr>
      </w:pPr>
    </w:p>
    <w:p>
      <w:pPr>
        <w:pStyle w:val="BodyText"/>
        <w:spacing w:before="3"/>
        <w:rPr>
          <w:sz w:val="29"/>
        </w:rPr>
      </w:pPr>
    </w:p>
    <w:p>
      <w:pPr>
        <w:pStyle w:val="BodyText"/>
        <w:spacing w:before="91"/>
        <w:ind w:left="785" w:right="266" w:hanging="567"/>
        <w:jc w:val="both"/>
      </w:pPr>
      <w:r>
        <w:rPr/>
        <w:t>Huttunen, J.T., T.S. Vaisanen, S. K. Hellsten, M. Heikkinen, H. Nykanen, H. Jungner, A. Niskanen, M. O. Virtanen, O.V. Lindqvist, O. S. Nenonen, and P.J. Martikanen, (2002), Fluxes of CH</w:t>
      </w:r>
      <w:r>
        <w:rPr>
          <w:vertAlign w:val="subscript"/>
        </w:rPr>
        <w:t>4</w:t>
      </w:r>
      <w:r>
        <w:rPr>
          <w:vertAlign w:val="baseline"/>
        </w:rPr>
        <w:t>, CO</w:t>
      </w:r>
      <w:r>
        <w:rPr>
          <w:vertAlign w:val="subscript"/>
        </w:rPr>
        <w:t>2</w:t>
      </w:r>
      <w:r>
        <w:rPr>
          <w:vertAlign w:val="baseline"/>
        </w:rPr>
        <w:t>, and N</w:t>
      </w:r>
      <w:r>
        <w:rPr>
          <w:vertAlign w:val="subscript"/>
        </w:rPr>
        <w:t>2</w:t>
      </w:r>
      <w:r>
        <w:rPr>
          <w:vertAlign w:val="baseline"/>
        </w:rPr>
        <w:t>O in hydroelectric reservoir Lokka and Porttipahata in the northern boreal zone in Finland, Global Biogeochemical Cycles, 16,1.</w:t>
      </w:r>
    </w:p>
    <w:p>
      <w:pPr>
        <w:pStyle w:val="BodyText"/>
        <w:spacing w:before="121"/>
        <w:ind w:left="785" w:right="269" w:hanging="567"/>
        <w:jc w:val="both"/>
      </w:pPr>
      <w:r>
        <w:rPr/>
        <w:t>International Commission on Large Dams (ICOLD). 1998. World register of Dams (1998). Paris. International Comittee on large Dams (Ed.). Metadatabase..</w:t>
      </w:r>
    </w:p>
    <w:p>
      <w:pPr>
        <w:pStyle w:val="BodyText"/>
        <w:spacing w:before="119"/>
        <w:ind w:left="785" w:right="267" w:hanging="567"/>
        <w:jc w:val="both"/>
      </w:pPr>
      <w:r>
        <w:rPr/>
        <w:t>Junk, W.J., J.A.S.N. Mello, (1990), Impactos ecologico das represas hidrelectricas na bacia amazonica brasileira, Estudo Avançado, 4 (8), 126-143</w:t>
      </w:r>
    </w:p>
    <w:p>
      <w:pPr>
        <w:pStyle w:val="BodyText"/>
        <w:spacing w:before="121"/>
        <w:ind w:left="785" w:right="264" w:hanging="567"/>
        <w:jc w:val="both"/>
      </w:pPr>
      <w:r>
        <w:rPr/>
        <w:t>Keller, M. and R.F. Stallard. (1994). Methane emission by bubbling from Gatun lake, Panama, </w:t>
      </w:r>
      <w:r>
        <w:rPr>
          <w:i/>
        </w:rPr>
        <w:t>J. Geophys. Res</w:t>
      </w:r>
      <w:r>
        <w:rPr/>
        <w:t>., 99, D4, 8307-8319.</w:t>
      </w:r>
    </w:p>
    <w:p>
      <w:pPr>
        <w:spacing w:before="120"/>
        <w:ind w:left="785" w:right="266" w:hanging="567"/>
        <w:jc w:val="both"/>
        <w:rPr>
          <w:sz w:val="20"/>
        </w:rPr>
      </w:pPr>
      <w:r>
        <w:rPr>
          <w:sz w:val="20"/>
        </w:rPr>
        <w:t>Malik, L.K., Koronkevich,N.I., Zaitseva, I.S., Barabanova, E.A. (2000). </w:t>
      </w:r>
      <w:r>
        <w:rPr>
          <w:i/>
          <w:sz w:val="20"/>
        </w:rPr>
        <w:t>Development of Dams in the Russian Federation and NIS Countries</w:t>
      </w:r>
      <w:r>
        <w:rPr>
          <w:sz w:val="20"/>
        </w:rPr>
        <w:t>, A WCD briefing paper prepared as an input to the World Commission on Dams, Cape Town, </w:t>
      </w:r>
      <w:hyperlink r:id="rId183">
        <w:r>
          <w:rPr>
            <w:sz w:val="20"/>
          </w:rPr>
          <w:t>http://www.dams.org</w:t>
        </w:r>
      </w:hyperlink>
    </w:p>
    <w:p>
      <w:pPr>
        <w:pStyle w:val="BodyText"/>
        <w:spacing w:before="119"/>
        <w:ind w:left="785" w:right="263" w:hanging="567"/>
        <w:jc w:val="both"/>
      </w:pPr>
      <w:r>
        <w:rPr/>
        <w:t>Pinguelli Rosa, L., B. Matvienko Sikar, M.A. dos Santos, E. Matvienko Sikar, (2002), Emissoes de dioxido de carbono e de metano pelos reservatorios hydroelectricos brasileiros, Relatorio de referencia – Inventorio brasileiro de emissoes antropicas de gase de efeito de estufa, Ministerio da Ciencia e tecnologia, Brazil, 199p.</w:t>
      </w:r>
    </w:p>
    <w:p>
      <w:pPr>
        <w:pStyle w:val="BodyText"/>
        <w:spacing w:before="119"/>
        <w:ind w:left="785" w:right="267" w:hanging="567"/>
        <w:jc w:val="both"/>
      </w:pPr>
      <w:r>
        <w:rPr/>
        <w:t>Schlellhase, H.U. (1994). B.C. Hydro Strategic R&amp;D; Carbon project - Reservoir case study, Powertech Labs inc., Final Report, 1-57.</w:t>
      </w:r>
    </w:p>
    <w:p>
      <w:pPr>
        <w:pStyle w:val="BodyText"/>
        <w:spacing w:before="121"/>
        <w:ind w:left="785" w:right="267" w:hanging="567"/>
        <w:jc w:val="both"/>
      </w:pPr>
      <w:r>
        <w:rPr/>
        <w:t>Scott, K.J., C.A. Kelly, J.W.M. Rudd, (1999), The importance of floating peat to methane fluxes from flooded peatlands, Biogeochemistry, 47, 187-202.</w:t>
      </w:r>
    </w:p>
    <w:p>
      <w:pPr>
        <w:pStyle w:val="BodyText"/>
        <w:spacing w:before="121"/>
        <w:ind w:left="785" w:right="265" w:hanging="567"/>
        <w:jc w:val="both"/>
      </w:pPr>
      <w:r>
        <w:rPr/>
        <w:t>Smith, L.K., and W.M. Lewis, (1992), Seasonality of methane emissions from five lakes and associated wetlands of the Colorado Rockies, Global Biogeochemical Cycles, 6, 4, 323-338</w:t>
      </w:r>
    </w:p>
    <w:p>
      <w:pPr>
        <w:pStyle w:val="BodyText"/>
        <w:spacing w:before="119"/>
        <w:ind w:left="785" w:right="270" w:hanging="567"/>
        <w:jc w:val="both"/>
      </w:pPr>
      <w:r>
        <w:rPr/>
        <w:t>St-Louis, V., C. A. Kelly, É. Duchemin, J. W. M. Rudd and D.M. Rosenberg. (2000). Reservoir surfaces as sources of greenhouse gases: a global estimate, </w:t>
      </w:r>
      <w:r>
        <w:rPr>
          <w:i/>
        </w:rPr>
        <w:t>Bioscience</w:t>
      </w:r>
      <w:r>
        <w:rPr/>
        <w:t>, 50,9, 766-775.</w:t>
      </w:r>
    </w:p>
    <w:p>
      <w:pPr>
        <w:pStyle w:val="BodyText"/>
        <w:spacing w:before="120"/>
        <w:ind w:left="785" w:right="266" w:hanging="567"/>
        <w:jc w:val="both"/>
      </w:pPr>
      <w:r>
        <w:rPr/>
        <w:t>Tavares de Lima I. (2002). Emissoa de metano em reservatorio hidreletricos amazonicos atraves de leis de potencia (Methane emission from Amazonian hydroelectric reservoirs through power laws), PhD Dissertation, Universidade de Sao Paulo, Sao Paulo, Brazil, 119 p.</w:t>
      </w:r>
    </w:p>
    <w:p>
      <w:pPr>
        <w:pStyle w:val="BodyText"/>
        <w:spacing w:before="122"/>
        <w:ind w:left="785" w:right="265" w:hanging="567"/>
        <w:jc w:val="both"/>
      </w:pPr>
      <w:r>
        <w:rPr/>
        <w:t>US Army Corps. (1996). United States Army Corps of Engineers’ national Inventory of Dams. Metadatabase.US Army Corps (Ed.). USA.</w:t>
      </w:r>
    </w:p>
    <w:p>
      <w:pPr>
        <w:pStyle w:val="BodyText"/>
        <w:spacing w:before="118"/>
        <w:ind w:left="785" w:right="265" w:hanging="567"/>
        <w:jc w:val="both"/>
      </w:pPr>
      <w:r>
        <w:rPr/>
        <w:t>WCD, (2000), Dams and Development a new framework for Decision-Making, The report of the World Commission on Dams, Earthscan Publications Ltd, London and Sterling, VA, 356 p.</w:t>
      </w:r>
    </w:p>
    <w:p>
      <w:pPr>
        <w:pStyle w:val="BodyText"/>
        <w:spacing w:before="121"/>
        <w:ind w:left="785" w:right="264" w:hanging="567"/>
        <w:jc w:val="both"/>
      </w:pPr>
      <w:r>
        <w:rPr/>
        <w:t>WCD, (2001), Dams and Development a new framework for Decision-Making, The report of the World Commission on Dams, Earthscan Publications Ltd, London and Sterling, VA, 356 p.Xue, Y., D.A. Kovacic, M.B. David, L.E. Gentry, R.L. Mulvaney and C.W. Lindau (1999). In situ measurements of denitrification in constructed wetlands. J. Environ. Qual. 28, 263-269.Xuehui, M, and Yan, H. 1996. Peat and peatlands in China. . In: Lappalainen (Ed.), Global Peat Resources, International Peat Society, Finland, pp 163-168.</w:t>
      </w:r>
    </w:p>
    <w:p>
      <w:pPr>
        <w:pStyle w:val="BodyText"/>
        <w:rPr>
          <w:sz w:val="22"/>
        </w:rPr>
      </w:pPr>
    </w:p>
    <w:p>
      <w:pPr>
        <w:pStyle w:val="BodyText"/>
        <w:spacing w:before="4"/>
        <w:rPr>
          <w:sz w:val="19"/>
        </w:rPr>
      </w:pPr>
    </w:p>
    <w:p>
      <w:pPr>
        <w:pStyle w:val="Heading6"/>
        <w:ind w:left="219" w:right="1662"/>
      </w:pPr>
      <w:r>
        <w:rPr/>
        <w:t>APPENDIX 3A.4 SETTLEMENTS: BASIS FOR FUTURE METHDOLOGICAL DEVELOPMENT</w:t>
      </w:r>
    </w:p>
    <w:p>
      <w:pPr>
        <w:pStyle w:val="BodyText"/>
        <w:spacing w:before="10"/>
        <w:rPr>
          <w:b/>
          <w:sz w:val="29"/>
        </w:rPr>
      </w:pPr>
    </w:p>
    <w:p>
      <w:pPr>
        <w:pStyle w:val="BodyText"/>
        <w:ind w:left="785" w:right="266" w:hanging="567"/>
        <w:jc w:val="both"/>
      </w:pPr>
      <w:r>
        <w:rPr/>
        <w:t>Brack, C.L. (2002). Pollution mitigation and carbon sequestration by a urban forest. Environmental Pollution 116(Suppl. 1): S195-S200.</w:t>
      </w:r>
    </w:p>
    <w:p>
      <w:pPr>
        <w:pStyle w:val="BodyText"/>
        <w:spacing w:line="229" w:lineRule="exact" w:before="121"/>
        <w:ind w:left="219"/>
      </w:pPr>
      <w:r>
        <w:rPr/>
        <w:t>Nowak, D.J.; Crane, D.E. (2002). Carbon storage and sequestration by urban trees in the United States.</w:t>
      </w:r>
    </w:p>
    <w:p>
      <w:pPr>
        <w:pStyle w:val="BodyText"/>
        <w:spacing w:line="229" w:lineRule="exact"/>
        <w:ind w:left="785"/>
      </w:pPr>
      <w:r>
        <w:rPr/>
        <w:t>Environmental Pollution 116(3): 381-389.</w:t>
      </w:r>
    </w:p>
    <w:p>
      <w:pPr>
        <w:pStyle w:val="BodyText"/>
        <w:spacing w:before="120"/>
        <w:ind w:left="219"/>
      </w:pPr>
      <w:r>
        <w:rPr/>
        <w:t>Nowak, D.J.; Rowntree, R.A.; McPherson, E.G.; Sisinni, S.M.; Kerkmann, E.R. and Stevens, J.C. (1996).</w:t>
      </w:r>
    </w:p>
    <w:p>
      <w:pPr>
        <w:pStyle w:val="BodyText"/>
        <w:spacing w:before="1"/>
        <w:ind w:left="785"/>
      </w:pPr>
      <w:r>
        <w:rPr/>
        <w:t>Measuring and analyzing urban tree cover. Landscape and Urban Planning 36: 49-57.</w:t>
      </w:r>
    </w:p>
    <w:p>
      <w:pPr>
        <w:spacing w:after="0"/>
        <w:sectPr>
          <w:footerReference w:type="default" r:id="rId181"/>
          <w:footerReference w:type="even" r:id="rId182"/>
          <w:pgSz w:w="11900" w:h="16840"/>
          <w:pgMar w:footer="408" w:header="230" w:top="580" w:bottom="600" w:left="1200" w:right="1140"/>
        </w:sectPr>
      </w:pPr>
    </w:p>
    <w:p>
      <w:pPr>
        <w:pStyle w:val="BodyText"/>
      </w:pPr>
    </w:p>
    <w:p>
      <w:pPr>
        <w:pStyle w:val="BodyText"/>
      </w:pPr>
    </w:p>
    <w:p>
      <w:pPr>
        <w:pStyle w:val="BodyText"/>
        <w:spacing w:before="3"/>
        <w:rPr>
          <w:sz w:val="17"/>
        </w:rPr>
      </w:pPr>
    </w:p>
    <w:p>
      <w:pPr>
        <w:pStyle w:val="Heading2"/>
        <w:tabs>
          <w:tab w:pos="2027" w:val="left" w:leader="none"/>
        </w:tabs>
        <w:spacing w:before="86"/>
        <w:ind w:left="219" w:firstLine="0"/>
      </w:pPr>
      <w:r>
        <w:rPr/>
        <w:t>Annex</w:t>
      </w:r>
      <w:r>
        <w:rPr>
          <w:spacing w:val="-3"/>
        </w:rPr>
        <w:t> </w:t>
      </w:r>
      <w:r>
        <w:rPr/>
        <w:t>3A.1</w:t>
        <w:tab/>
        <w:t>Biomass Default Tables for Section 3.2 Forest</w:t>
      </w:r>
      <w:r>
        <w:rPr>
          <w:spacing w:val="-10"/>
        </w:rPr>
        <w:t> </w:t>
      </w:r>
      <w:r>
        <w:rPr/>
        <w:t>Land</w:t>
      </w:r>
    </w:p>
    <w:p>
      <w:pPr>
        <w:pStyle w:val="BodyText"/>
        <w:rPr>
          <w:b/>
          <w:sz w:val="34"/>
        </w:rPr>
      </w:pPr>
    </w:p>
    <w:p>
      <w:pPr>
        <w:pStyle w:val="BodyText"/>
        <w:rPr>
          <w:b/>
          <w:sz w:val="34"/>
        </w:rPr>
      </w:pPr>
    </w:p>
    <w:p>
      <w:pPr>
        <w:spacing w:before="240"/>
        <w:ind w:left="766" w:right="816" w:firstLine="0"/>
        <w:jc w:val="center"/>
        <w:rPr>
          <w:b/>
          <w:sz w:val="32"/>
        </w:rPr>
      </w:pPr>
      <w:r>
        <w:rPr>
          <w:b/>
          <w:sz w:val="32"/>
        </w:rPr>
        <w:t>Contents</w:t>
      </w:r>
    </w:p>
    <w:p>
      <w:pPr>
        <w:pStyle w:val="BodyText"/>
        <w:tabs>
          <w:tab w:pos="9291" w:val="right" w:leader="dot"/>
        </w:tabs>
        <w:spacing w:before="474"/>
        <w:ind w:left="785"/>
      </w:pPr>
      <w:r>
        <w:rPr/>
        <w:t>Where to use</w:t>
      </w:r>
      <w:r>
        <w:rPr>
          <w:spacing w:val="2"/>
        </w:rPr>
        <w:t> </w:t>
      </w:r>
      <w:r>
        <w:rPr/>
        <w:t>the</w:t>
      </w:r>
      <w:r>
        <w:rPr>
          <w:spacing w:val="1"/>
        </w:rPr>
        <w:t> </w:t>
      </w:r>
      <w:r>
        <w:rPr/>
        <w:t>tables</w:t>
        <w:tab/>
        <w:t>3.152</w:t>
      </w:r>
    </w:p>
    <w:p>
      <w:pPr>
        <w:pStyle w:val="BodyText"/>
        <w:tabs>
          <w:tab w:pos="9291" w:val="right" w:leader="dot"/>
        </w:tabs>
        <w:spacing w:before="120"/>
        <w:ind w:left="785"/>
      </w:pPr>
      <w:r>
        <w:rPr/>
        <w:t>Table 3A.1.1    Forest</w:t>
      </w:r>
      <w:r>
        <w:rPr>
          <w:spacing w:val="-5"/>
        </w:rPr>
        <w:t> </w:t>
      </w:r>
      <w:r>
        <w:rPr/>
        <w:t>area</w:t>
      </w:r>
      <w:r>
        <w:rPr>
          <w:spacing w:val="1"/>
        </w:rPr>
        <w:t> </w:t>
      </w:r>
      <w:r>
        <w:rPr/>
        <w:t>change</w:t>
        <w:tab/>
        <w:t>3.153</w:t>
      </w:r>
    </w:p>
    <w:p>
      <w:pPr>
        <w:pStyle w:val="BodyText"/>
        <w:tabs>
          <w:tab w:pos="9292" w:val="right" w:leader="dot"/>
        </w:tabs>
        <w:spacing w:before="118"/>
        <w:ind w:left="785"/>
      </w:pPr>
      <w:r>
        <w:rPr/>
        <w:t>Table 3A.1.2    Aboveground biomass stock in naturally regenerated forests by</w:t>
      </w:r>
      <w:r>
        <w:rPr>
          <w:spacing w:val="-32"/>
        </w:rPr>
        <w:t> </w:t>
      </w:r>
      <w:r>
        <w:rPr/>
        <w:t>broad</w:t>
      </w:r>
      <w:r>
        <w:rPr>
          <w:spacing w:val="-1"/>
        </w:rPr>
        <w:t> </w:t>
      </w:r>
      <w:r>
        <w:rPr/>
        <w:t>category</w:t>
        <w:tab/>
        <w:t>3.157</w:t>
      </w:r>
    </w:p>
    <w:p>
      <w:pPr>
        <w:pStyle w:val="BodyText"/>
        <w:tabs>
          <w:tab w:pos="9293" w:val="right" w:leader="dot"/>
        </w:tabs>
        <w:spacing w:before="120"/>
        <w:ind w:left="785"/>
      </w:pPr>
      <w:r>
        <w:rPr/>
        <w:t>Table 3A.1.3    Aboveground biomass stock in plantation forests by</w:t>
      </w:r>
      <w:r>
        <w:rPr>
          <w:spacing w:val="-20"/>
        </w:rPr>
        <w:t> </w:t>
      </w:r>
      <w:r>
        <w:rPr/>
        <w:t>broad category</w:t>
        <w:tab/>
        <w:t>3.158</w:t>
      </w:r>
    </w:p>
    <w:p>
      <w:pPr>
        <w:pStyle w:val="BodyText"/>
        <w:spacing w:before="121"/>
        <w:ind w:left="785"/>
      </w:pPr>
      <w:r>
        <w:rPr/>
        <w:t>Table 3A.1.4 Average growing stock volume (1) and aboveground biomass (2)</w:t>
      </w:r>
    </w:p>
    <w:p>
      <w:pPr>
        <w:pStyle w:val="BodyText"/>
        <w:tabs>
          <w:tab w:pos="9292" w:val="right" w:leader="dot"/>
        </w:tabs>
        <w:ind w:left="2084"/>
      </w:pPr>
      <w:r>
        <w:rPr/>
        <w:t>content (dry matter) in forest</w:t>
      </w:r>
      <w:r>
        <w:rPr>
          <w:spacing w:val="-1"/>
        </w:rPr>
        <w:t> </w:t>
      </w:r>
      <w:r>
        <w:rPr/>
        <w:t>in</w:t>
      </w:r>
      <w:r>
        <w:rPr>
          <w:spacing w:val="-1"/>
        </w:rPr>
        <w:t> </w:t>
      </w:r>
      <w:r>
        <w:rPr/>
        <w:t>2000</w:t>
        <w:tab/>
        <w:t>3.159</w:t>
      </w:r>
    </w:p>
    <w:p>
      <w:pPr>
        <w:pStyle w:val="BodyText"/>
        <w:spacing w:before="118"/>
        <w:ind w:left="785"/>
      </w:pPr>
      <w:r>
        <w:rPr/>
        <w:t>Table 3A.1.5 Average annual increment in aboveground biomass in natural regeneration</w:t>
      </w:r>
    </w:p>
    <w:p>
      <w:pPr>
        <w:pStyle w:val="BodyText"/>
        <w:tabs>
          <w:tab w:pos="9291" w:val="right" w:leader="dot"/>
        </w:tabs>
        <w:spacing w:before="1"/>
        <w:ind w:left="2033"/>
      </w:pPr>
      <w:r>
        <w:rPr/>
        <w:t>by</w:t>
      </w:r>
      <w:r>
        <w:rPr>
          <w:spacing w:val="-5"/>
        </w:rPr>
        <w:t> </w:t>
      </w:r>
      <w:r>
        <w:rPr/>
        <w:t>broad</w:t>
      </w:r>
      <w:r>
        <w:rPr>
          <w:spacing w:val="1"/>
        </w:rPr>
        <w:t> </w:t>
      </w:r>
      <w:r>
        <w:rPr/>
        <w:t>category</w:t>
        <w:tab/>
        <w:t>3.163</w:t>
      </w:r>
    </w:p>
    <w:p>
      <w:pPr>
        <w:pStyle w:val="BodyText"/>
        <w:spacing w:before="120"/>
        <w:ind w:left="785"/>
      </w:pPr>
      <w:r>
        <w:rPr/>
        <w:t>Table 3A.1.6 Average annual increment in aboveground biomass in plantation</w:t>
      </w:r>
    </w:p>
    <w:p>
      <w:pPr>
        <w:pStyle w:val="BodyText"/>
        <w:tabs>
          <w:tab w:pos="9291" w:val="right" w:leader="dot"/>
        </w:tabs>
        <w:ind w:left="2033"/>
      </w:pPr>
      <w:r>
        <w:rPr/>
        <w:t>by</w:t>
      </w:r>
      <w:r>
        <w:rPr>
          <w:spacing w:val="-5"/>
        </w:rPr>
        <w:t> </w:t>
      </w:r>
      <w:r>
        <w:rPr/>
        <w:t>broad</w:t>
      </w:r>
      <w:r>
        <w:rPr>
          <w:spacing w:val="1"/>
        </w:rPr>
        <w:t> </w:t>
      </w:r>
      <w:r>
        <w:rPr/>
        <w:t>category</w:t>
        <w:tab/>
        <w:t>3.164</w:t>
      </w:r>
    </w:p>
    <w:p>
      <w:pPr>
        <w:pStyle w:val="BodyText"/>
        <w:tabs>
          <w:tab w:pos="9290" w:val="right" w:leader="dot"/>
        </w:tabs>
        <w:spacing w:before="119"/>
        <w:ind w:left="785"/>
      </w:pPr>
      <w:r>
        <w:rPr/>
        <w:t>Table 3A.1.7    Average Annual above ground net increment in volume in plantations</w:t>
      </w:r>
      <w:r>
        <w:rPr>
          <w:spacing w:val="-31"/>
        </w:rPr>
        <w:t> </w:t>
      </w:r>
      <w:r>
        <w:rPr/>
        <w:t>by</w:t>
      </w:r>
      <w:r>
        <w:rPr>
          <w:spacing w:val="-3"/>
        </w:rPr>
        <w:t> </w:t>
      </w:r>
      <w:r>
        <w:rPr/>
        <w:t>species</w:t>
        <w:tab/>
        <w:t>3.167</w:t>
      </w:r>
    </w:p>
    <w:p>
      <w:pPr>
        <w:pStyle w:val="BodyText"/>
        <w:spacing w:before="120"/>
        <w:ind w:left="785"/>
      </w:pPr>
      <w:r>
        <w:rPr/>
        <w:t>Table 3A.1.8 Average belowground to aboveground biomass ratio (root-to-shoot ratio, R)</w:t>
      </w:r>
    </w:p>
    <w:p>
      <w:pPr>
        <w:pStyle w:val="BodyText"/>
        <w:tabs>
          <w:tab w:pos="9292" w:val="right" w:leader="dot"/>
        </w:tabs>
        <w:ind w:left="2033"/>
      </w:pPr>
      <w:r>
        <w:rPr/>
        <w:t>in natural regeneration by</w:t>
      </w:r>
      <w:r>
        <w:rPr>
          <w:spacing w:val="-7"/>
        </w:rPr>
        <w:t> </w:t>
      </w:r>
      <w:r>
        <w:rPr/>
        <w:t>broad category</w:t>
        <w:tab/>
        <w:t>3.168</w:t>
      </w:r>
    </w:p>
    <w:p>
      <w:pPr>
        <w:pStyle w:val="BodyText"/>
        <w:tabs>
          <w:tab w:pos="9292" w:val="right" w:leader="dot"/>
        </w:tabs>
        <w:spacing w:before="121"/>
        <w:ind w:left="785"/>
      </w:pPr>
      <w:r>
        <w:rPr/>
        <w:t>Table 3A.1.9-1 Basic wood densities of stemwood for boreal and</w:t>
      </w:r>
      <w:r>
        <w:rPr>
          <w:spacing w:val="-26"/>
        </w:rPr>
        <w:t> </w:t>
      </w:r>
      <w:r>
        <w:rPr/>
        <w:t>temperate</w:t>
      </w:r>
      <w:r>
        <w:rPr>
          <w:spacing w:val="2"/>
        </w:rPr>
        <w:t> </w:t>
      </w:r>
      <w:r>
        <w:rPr/>
        <w:t>species</w:t>
        <w:tab/>
        <w:t>3.171</w:t>
      </w:r>
    </w:p>
    <w:p>
      <w:pPr>
        <w:pStyle w:val="BodyText"/>
        <w:tabs>
          <w:tab w:pos="9293" w:val="right" w:leader="dot"/>
        </w:tabs>
        <w:spacing w:before="118"/>
        <w:ind w:left="785"/>
      </w:pPr>
      <w:r>
        <w:rPr/>
        <w:t>Table 3A.1.9-2 Basic wood densities (D) of stemwood for tropical</w:t>
      </w:r>
      <w:r>
        <w:rPr>
          <w:spacing w:val="-24"/>
        </w:rPr>
        <w:t> </w:t>
      </w:r>
      <w:r>
        <w:rPr/>
        <w:t>tree species</w:t>
        <w:tab/>
        <w:t>3.172</w:t>
      </w:r>
    </w:p>
    <w:p>
      <w:pPr>
        <w:pStyle w:val="BodyText"/>
        <w:tabs>
          <w:tab w:pos="9292" w:val="right" w:leader="dot"/>
        </w:tabs>
        <w:spacing w:before="120"/>
        <w:ind w:left="785"/>
      </w:pPr>
      <w:r>
        <w:rPr/>
        <w:t>Table 3A.1.10  Default values of biomass expansion</w:t>
      </w:r>
      <w:r>
        <w:rPr>
          <w:spacing w:val="-15"/>
        </w:rPr>
        <w:t> </w:t>
      </w:r>
      <w:r>
        <w:rPr/>
        <w:t>factors</w:t>
      </w:r>
      <w:r>
        <w:rPr>
          <w:spacing w:val="-1"/>
        </w:rPr>
        <w:t> </w:t>
      </w:r>
      <w:r>
        <w:rPr/>
        <w:t>(BEFs)</w:t>
        <w:tab/>
        <w:t>3.178</w:t>
      </w:r>
    </w:p>
    <w:p>
      <w:pPr>
        <w:pStyle w:val="BodyText"/>
        <w:tabs>
          <w:tab w:pos="9291" w:val="right" w:leader="dot"/>
        </w:tabs>
        <w:spacing w:before="121"/>
        <w:ind w:left="785"/>
      </w:pPr>
      <w:r>
        <w:rPr/>
        <w:t>Table 3A.1.11  Default values for fraction out of total harvest left to decay in the</w:t>
      </w:r>
      <w:r>
        <w:rPr>
          <w:spacing w:val="-21"/>
        </w:rPr>
        <w:t> </w:t>
      </w:r>
      <w:r>
        <w:rPr/>
        <w:t>forest,</w:t>
      </w:r>
      <w:r>
        <w:rPr>
          <w:spacing w:val="-1"/>
        </w:rPr>
        <w:t> </w:t>
      </w:r>
      <w:r>
        <w:rPr/>
        <w:t>f</w:t>
      </w:r>
      <w:r>
        <w:rPr>
          <w:vertAlign w:val="subscript"/>
        </w:rPr>
        <w:t>BL</w:t>
      </w:r>
      <w:r>
        <w:rPr>
          <w:position w:val="-2"/>
          <w:vertAlign w:val="baseline"/>
        </w:rPr>
        <w:tab/>
      </w:r>
      <w:r>
        <w:rPr>
          <w:vertAlign w:val="baseline"/>
        </w:rPr>
        <w:t>3.178</w:t>
      </w:r>
    </w:p>
    <w:p>
      <w:pPr>
        <w:pStyle w:val="BodyText"/>
        <w:spacing w:line="229" w:lineRule="exact" w:before="120"/>
        <w:ind w:left="785"/>
      </w:pPr>
      <w:r>
        <w:rPr/>
        <w:t>Table 3A.1.12 Combustion factor values (proportion of prefire biomass consumed) for</w:t>
      </w:r>
    </w:p>
    <w:p>
      <w:pPr>
        <w:pStyle w:val="BodyText"/>
        <w:tabs>
          <w:tab w:pos="9291" w:val="right" w:leader="dot"/>
        </w:tabs>
        <w:spacing w:line="229" w:lineRule="exact"/>
        <w:ind w:left="2084"/>
      </w:pPr>
      <w:r>
        <w:rPr/>
        <w:t>fires in a range of</w:t>
      </w:r>
      <w:r>
        <w:rPr>
          <w:spacing w:val="-4"/>
        </w:rPr>
        <w:t> </w:t>
      </w:r>
      <w:r>
        <w:rPr/>
        <w:t>vegetation</w:t>
      </w:r>
      <w:r>
        <w:rPr>
          <w:spacing w:val="-2"/>
        </w:rPr>
        <w:t> </w:t>
      </w:r>
      <w:r>
        <w:rPr/>
        <w:t>types</w:t>
        <w:tab/>
        <w:t>3.179</w:t>
      </w:r>
    </w:p>
    <w:p>
      <w:pPr>
        <w:pStyle w:val="BodyText"/>
        <w:tabs>
          <w:tab w:pos="9294" w:val="right" w:leader="dot"/>
        </w:tabs>
        <w:spacing w:before="120"/>
        <w:ind w:left="785"/>
      </w:pPr>
      <w:r>
        <w:rPr/>
        <w:t>Table 3A.1.13  Biomass consumption values for fires in a range of</w:t>
      </w:r>
      <w:r>
        <w:rPr>
          <w:spacing w:val="-17"/>
        </w:rPr>
        <w:t> </w:t>
      </w:r>
      <w:r>
        <w:rPr/>
        <w:t>vegetation</w:t>
      </w:r>
      <w:r>
        <w:rPr>
          <w:spacing w:val="-2"/>
        </w:rPr>
        <w:t> </w:t>
      </w:r>
      <w:r>
        <w:rPr/>
        <w:t>types</w:t>
        <w:tab/>
        <w:t>3.180</w:t>
      </w:r>
    </w:p>
    <w:p>
      <w:pPr>
        <w:pStyle w:val="BodyText"/>
        <w:spacing w:before="121"/>
        <w:ind w:left="785"/>
      </w:pPr>
      <w:r>
        <w:rPr/>
        <w:t>Table 3A.1.14 Combustion efficiency (proportion of available fuel actually burnt)</w:t>
      </w:r>
    </w:p>
    <w:p>
      <w:pPr>
        <w:pStyle w:val="BodyText"/>
        <w:spacing w:line="229" w:lineRule="exact"/>
        <w:ind w:left="766" w:right="169"/>
        <w:jc w:val="center"/>
      </w:pPr>
      <w:r>
        <w:rPr/>
        <w:t>relevant to land-clearing burns, and burns in heavy logging slash for a range</w:t>
      </w:r>
    </w:p>
    <w:p>
      <w:pPr>
        <w:pStyle w:val="BodyText"/>
        <w:tabs>
          <w:tab w:pos="9294" w:val="right" w:leader="dot"/>
        </w:tabs>
        <w:spacing w:line="229" w:lineRule="exact"/>
        <w:ind w:left="2033"/>
      </w:pPr>
      <w:r>
        <w:rPr/>
        <w:t>of vegetation types and</w:t>
      </w:r>
      <w:r>
        <w:rPr>
          <w:spacing w:val="-5"/>
        </w:rPr>
        <w:t> </w:t>
      </w:r>
      <w:r>
        <w:rPr/>
        <w:t>burning</w:t>
      </w:r>
      <w:r>
        <w:rPr>
          <w:spacing w:val="-1"/>
        </w:rPr>
        <w:t> </w:t>
      </w:r>
      <w:r>
        <w:rPr/>
        <w:t>conditions</w:t>
        <w:tab/>
        <w:t>3.184</w:t>
      </w:r>
    </w:p>
    <w:p>
      <w:pPr>
        <w:pStyle w:val="BodyText"/>
        <w:tabs>
          <w:tab w:pos="9293" w:val="right" w:leader="dot"/>
        </w:tabs>
        <w:spacing w:before="121"/>
        <w:ind w:left="785"/>
      </w:pPr>
      <w:r>
        <w:rPr/>
        <w:t>Table 3A.1.15  Emission ratios for open burning of</w:t>
      </w:r>
      <w:r>
        <w:rPr>
          <w:spacing w:val="-12"/>
        </w:rPr>
        <w:t> </w:t>
      </w:r>
      <w:r>
        <w:rPr/>
        <w:t>cleared</w:t>
      </w:r>
      <w:r>
        <w:rPr>
          <w:spacing w:val="1"/>
        </w:rPr>
        <w:t> </w:t>
      </w:r>
      <w:r>
        <w:rPr/>
        <w:t>forests</w:t>
        <w:tab/>
        <w:t>3.185</w:t>
      </w:r>
    </w:p>
    <w:p>
      <w:pPr>
        <w:pStyle w:val="BodyText"/>
        <w:spacing w:before="120"/>
        <w:ind w:left="785"/>
      </w:pPr>
      <w:r>
        <w:rPr/>
        <w:t>Table 3A.1.16 Emission factors applicable to fuels combusted</w:t>
      </w:r>
    </w:p>
    <w:p>
      <w:pPr>
        <w:pStyle w:val="BodyText"/>
        <w:tabs>
          <w:tab w:pos="9292" w:val="right" w:leader="dot"/>
        </w:tabs>
        <w:spacing w:before="1"/>
        <w:ind w:left="2033"/>
      </w:pPr>
      <w:r>
        <w:rPr/>
        <w:t>in various types of</w:t>
      </w:r>
      <w:r>
        <w:rPr>
          <w:spacing w:val="-3"/>
        </w:rPr>
        <w:t> </w:t>
      </w:r>
      <w:r>
        <w:rPr/>
        <w:t>vegetation fires</w:t>
        <w:tab/>
        <w:t>3.185</w:t>
      </w:r>
    </w:p>
    <w:p>
      <w:pPr>
        <w:spacing w:after="0"/>
        <w:sectPr>
          <w:headerReference w:type="even" r:id="rId184"/>
          <w:headerReference w:type="default" r:id="rId185"/>
          <w:pgSz w:w="11900" w:h="16840"/>
          <w:pgMar w:header="230" w:footer="408" w:top="560" w:bottom="600" w:left="1200" w:right="1140"/>
        </w:sectPr>
      </w:pPr>
    </w:p>
    <w:p>
      <w:pPr>
        <w:pStyle w:val="Heading4"/>
        <w:spacing w:before="684"/>
        <w:ind w:left="3063"/>
        <w:rPr>
          <w:rFonts w:ascii="Times New Roman"/>
        </w:rPr>
      </w:pPr>
      <w:r>
        <w:rPr>
          <w:rFonts w:ascii="Times New Roman"/>
        </w:rPr>
        <w:t>Where to Use the Tables</w:t>
      </w:r>
    </w:p>
    <w:p>
      <w:pPr>
        <w:pStyle w:val="BodyText"/>
        <w:spacing w:before="9"/>
        <w:rPr>
          <w:b/>
          <w:sz w:val="10"/>
        </w:rPr>
      </w:pPr>
    </w:p>
    <w:tbl>
      <w:tblPr>
        <w:tblW w:w="0" w:type="auto"/>
        <w:jc w:val="left"/>
        <w:tblInd w:w="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85"/>
        <w:gridCol w:w="4954"/>
      </w:tblGrid>
      <w:tr>
        <w:trPr>
          <w:trHeight w:val="285" w:hRule="atLeast"/>
        </w:trPr>
        <w:tc>
          <w:tcPr>
            <w:tcW w:w="4085" w:type="dxa"/>
          </w:tcPr>
          <w:p>
            <w:pPr>
              <w:pStyle w:val="TableParagraph"/>
              <w:spacing w:before="26"/>
              <w:ind w:left="1776" w:right="1769"/>
              <w:jc w:val="center"/>
              <w:rPr>
                <w:b/>
                <w:sz w:val="20"/>
              </w:rPr>
            </w:pPr>
            <w:r>
              <w:rPr>
                <w:b/>
                <w:sz w:val="20"/>
              </w:rPr>
              <w:t>Table</w:t>
            </w:r>
          </w:p>
        </w:tc>
        <w:tc>
          <w:tcPr>
            <w:tcW w:w="4954" w:type="dxa"/>
          </w:tcPr>
          <w:p>
            <w:pPr>
              <w:pStyle w:val="TableParagraph"/>
              <w:spacing w:before="26"/>
              <w:ind w:left="1955" w:right="1947"/>
              <w:jc w:val="center"/>
              <w:rPr>
                <w:b/>
                <w:sz w:val="20"/>
              </w:rPr>
            </w:pPr>
            <w:r>
              <w:rPr>
                <w:b/>
                <w:sz w:val="20"/>
              </w:rPr>
              <w:t>Application</w:t>
            </w:r>
          </w:p>
        </w:tc>
      </w:tr>
      <w:tr>
        <w:trPr>
          <w:trHeight w:val="285" w:hRule="atLeast"/>
        </w:trPr>
        <w:tc>
          <w:tcPr>
            <w:tcW w:w="4085" w:type="dxa"/>
          </w:tcPr>
          <w:p>
            <w:pPr>
              <w:pStyle w:val="TableParagraph"/>
              <w:spacing w:before="22"/>
              <w:ind w:left="107"/>
              <w:rPr>
                <w:sz w:val="20"/>
              </w:rPr>
            </w:pPr>
            <w:r>
              <w:rPr>
                <w:sz w:val="20"/>
              </w:rPr>
              <w:t>Table 3A.1.1 Forest Area Change</w:t>
            </w:r>
          </w:p>
        </w:tc>
        <w:tc>
          <w:tcPr>
            <w:tcW w:w="4954" w:type="dxa"/>
          </w:tcPr>
          <w:p>
            <w:pPr>
              <w:pStyle w:val="TableParagraph"/>
              <w:spacing w:before="22"/>
              <w:ind w:left="108"/>
              <w:rPr>
                <w:sz w:val="20"/>
              </w:rPr>
            </w:pPr>
            <w:r>
              <w:rPr>
                <w:sz w:val="20"/>
              </w:rPr>
              <w:t>To be used for verification of ‘A’ in Equation 3.2.4</w:t>
            </w:r>
          </w:p>
        </w:tc>
      </w:tr>
      <w:tr>
        <w:trPr>
          <w:trHeight w:val="1036" w:hRule="atLeast"/>
        </w:trPr>
        <w:tc>
          <w:tcPr>
            <w:tcW w:w="4085" w:type="dxa"/>
          </w:tcPr>
          <w:p>
            <w:pPr>
              <w:pStyle w:val="TableParagraph"/>
              <w:spacing w:before="5"/>
              <w:rPr>
                <w:b/>
                <w:sz w:val="24"/>
              </w:rPr>
            </w:pPr>
          </w:p>
          <w:p>
            <w:pPr>
              <w:pStyle w:val="TableParagraph"/>
              <w:ind w:left="107" w:right="177"/>
              <w:rPr>
                <w:sz w:val="20"/>
              </w:rPr>
            </w:pPr>
            <w:r>
              <w:rPr>
                <w:sz w:val="20"/>
              </w:rPr>
              <w:t>Table 3A.1.2 Aboveground Biomass Stock in naturally regenerated forests by broad category</w:t>
            </w:r>
          </w:p>
        </w:tc>
        <w:tc>
          <w:tcPr>
            <w:tcW w:w="4954" w:type="dxa"/>
          </w:tcPr>
          <w:p>
            <w:pPr>
              <w:pStyle w:val="TableParagraph"/>
              <w:spacing w:before="22"/>
              <w:ind w:left="107" w:right="408" w:hanging="1"/>
              <w:rPr>
                <w:sz w:val="20"/>
              </w:rPr>
            </w:pPr>
            <w:r>
              <w:rPr>
                <w:sz w:val="20"/>
              </w:rPr>
              <w:t>To be used for B</w:t>
            </w:r>
            <w:r>
              <w:rPr>
                <w:sz w:val="20"/>
                <w:vertAlign w:val="subscript"/>
              </w:rPr>
              <w:t>w</w:t>
            </w:r>
            <w:r>
              <w:rPr>
                <w:sz w:val="20"/>
                <w:vertAlign w:val="baseline"/>
              </w:rPr>
              <w:t> in Equation 3.2.9, for L</w:t>
            </w:r>
            <w:r>
              <w:rPr>
                <w:sz w:val="20"/>
                <w:vertAlign w:val="subscript"/>
              </w:rPr>
              <w:t>conversion</w:t>
            </w:r>
            <w:r>
              <w:rPr>
                <w:sz w:val="20"/>
                <w:vertAlign w:val="baseline"/>
              </w:rPr>
              <w:t> in Equation 3.3.8 in Cropland section and for L </w:t>
            </w:r>
            <w:r>
              <w:rPr>
                <w:sz w:val="20"/>
                <w:vertAlign w:val="subscript"/>
              </w:rPr>
              <w:t>conversion</w:t>
            </w:r>
            <w:r>
              <w:rPr>
                <w:sz w:val="20"/>
                <w:vertAlign w:val="baseline"/>
              </w:rPr>
              <w:t> in Equation 3.4.13 in Grassland section, etc. Not to be</w:t>
            </w:r>
          </w:p>
          <w:p>
            <w:pPr>
              <w:pStyle w:val="TableParagraph"/>
              <w:spacing w:line="235" w:lineRule="auto" w:before="2"/>
              <w:ind w:left="107"/>
              <w:rPr>
                <w:sz w:val="20"/>
              </w:rPr>
            </w:pPr>
            <w:r>
              <w:rPr>
                <w:sz w:val="20"/>
              </w:rPr>
              <w:t>applied for C</w:t>
            </w:r>
            <w:r>
              <w:rPr>
                <w:sz w:val="20"/>
                <w:vertAlign w:val="subscript"/>
              </w:rPr>
              <w:t>t</w:t>
            </w:r>
            <w:r>
              <w:rPr>
                <w:position w:val="-8"/>
                <w:sz w:val="13"/>
                <w:vertAlign w:val="baseline"/>
              </w:rPr>
              <w:t>2 </w:t>
            </w:r>
            <w:r>
              <w:rPr>
                <w:sz w:val="20"/>
                <w:vertAlign w:val="baseline"/>
              </w:rPr>
              <w:t>or C</w:t>
            </w:r>
            <w:r>
              <w:rPr>
                <w:sz w:val="20"/>
                <w:vertAlign w:val="subscript"/>
              </w:rPr>
              <w:t>t</w:t>
            </w:r>
            <w:r>
              <w:rPr>
                <w:position w:val="-8"/>
                <w:sz w:val="13"/>
                <w:vertAlign w:val="baseline"/>
              </w:rPr>
              <w:t>1 </w:t>
            </w:r>
            <w:r>
              <w:rPr>
                <w:sz w:val="20"/>
                <w:vertAlign w:val="baseline"/>
              </w:rPr>
              <w:t>in Forest section Equation 3.2.3</w:t>
            </w:r>
          </w:p>
        </w:tc>
      </w:tr>
      <w:tr>
        <w:trPr>
          <w:trHeight w:val="1034" w:hRule="atLeast"/>
        </w:trPr>
        <w:tc>
          <w:tcPr>
            <w:tcW w:w="4085" w:type="dxa"/>
          </w:tcPr>
          <w:p>
            <w:pPr>
              <w:pStyle w:val="TableParagraph"/>
              <w:spacing w:before="5"/>
              <w:rPr>
                <w:b/>
                <w:sz w:val="24"/>
              </w:rPr>
            </w:pPr>
          </w:p>
          <w:p>
            <w:pPr>
              <w:pStyle w:val="TableParagraph"/>
              <w:ind w:left="107" w:right="298"/>
              <w:rPr>
                <w:sz w:val="20"/>
              </w:rPr>
            </w:pPr>
            <w:r>
              <w:rPr>
                <w:sz w:val="20"/>
              </w:rPr>
              <w:t>Table 3A.1.3 Aboveground Biomass Stock in plantation forests by broad category</w:t>
            </w:r>
          </w:p>
        </w:tc>
        <w:tc>
          <w:tcPr>
            <w:tcW w:w="4954" w:type="dxa"/>
          </w:tcPr>
          <w:p>
            <w:pPr>
              <w:pStyle w:val="TableParagraph"/>
              <w:spacing w:before="22"/>
              <w:ind w:left="107" w:right="191" w:hanging="1"/>
              <w:rPr>
                <w:sz w:val="20"/>
              </w:rPr>
            </w:pPr>
            <w:r>
              <w:rPr>
                <w:sz w:val="20"/>
              </w:rPr>
              <w:t>To be used for B</w:t>
            </w:r>
            <w:r>
              <w:rPr>
                <w:sz w:val="20"/>
                <w:vertAlign w:val="subscript"/>
              </w:rPr>
              <w:t>w</w:t>
            </w:r>
            <w:r>
              <w:rPr>
                <w:sz w:val="20"/>
                <w:vertAlign w:val="baseline"/>
              </w:rPr>
              <w:t> in Equation 3.2.9, for L</w:t>
            </w:r>
            <w:r>
              <w:rPr>
                <w:sz w:val="20"/>
                <w:vertAlign w:val="subscript"/>
              </w:rPr>
              <w:t>conversion</w:t>
            </w:r>
            <w:r>
              <w:rPr>
                <w:sz w:val="20"/>
                <w:vertAlign w:val="baseline"/>
              </w:rPr>
              <w:t> in equation in Equation 3.3.8 in Cropland section and for L</w:t>
            </w:r>
            <w:r>
              <w:rPr>
                <w:sz w:val="20"/>
                <w:vertAlign w:val="subscript"/>
              </w:rPr>
              <w:t>conversion</w:t>
            </w:r>
            <w:r>
              <w:rPr>
                <w:sz w:val="20"/>
                <w:vertAlign w:val="baseline"/>
              </w:rPr>
              <w:t> in Equation 3.4.13 in Grassland section, etc. Not</w:t>
            </w:r>
          </w:p>
          <w:p>
            <w:pPr>
              <w:pStyle w:val="TableParagraph"/>
              <w:spacing w:line="235" w:lineRule="auto"/>
              <w:ind w:left="107"/>
              <w:rPr>
                <w:sz w:val="20"/>
              </w:rPr>
            </w:pPr>
            <w:r>
              <w:rPr>
                <w:sz w:val="20"/>
              </w:rPr>
              <w:t>to be applied for C</w:t>
            </w:r>
            <w:r>
              <w:rPr>
                <w:sz w:val="20"/>
                <w:vertAlign w:val="subscript"/>
              </w:rPr>
              <w:t>t</w:t>
            </w:r>
            <w:r>
              <w:rPr>
                <w:position w:val="-8"/>
                <w:sz w:val="13"/>
                <w:vertAlign w:val="baseline"/>
              </w:rPr>
              <w:t>2 </w:t>
            </w:r>
            <w:r>
              <w:rPr>
                <w:sz w:val="20"/>
                <w:vertAlign w:val="baseline"/>
              </w:rPr>
              <w:t>or C</w:t>
            </w:r>
            <w:r>
              <w:rPr>
                <w:sz w:val="20"/>
                <w:vertAlign w:val="subscript"/>
              </w:rPr>
              <w:t>t</w:t>
            </w:r>
            <w:r>
              <w:rPr>
                <w:position w:val="-8"/>
                <w:sz w:val="13"/>
                <w:vertAlign w:val="baseline"/>
              </w:rPr>
              <w:t>1 </w:t>
            </w:r>
            <w:r>
              <w:rPr>
                <w:sz w:val="20"/>
                <w:vertAlign w:val="baseline"/>
              </w:rPr>
              <w:t>in Forest section Equation 3.2.3</w:t>
            </w:r>
          </w:p>
        </w:tc>
      </w:tr>
      <w:tr>
        <w:trPr>
          <w:trHeight w:val="1266" w:hRule="atLeast"/>
        </w:trPr>
        <w:tc>
          <w:tcPr>
            <w:tcW w:w="4085" w:type="dxa"/>
          </w:tcPr>
          <w:p>
            <w:pPr>
              <w:pStyle w:val="TableParagraph"/>
              <w:spacing w:before="5"/>
              <w:rPr>
                <w:b/>
                <w:sz w:val="24"/>
              </w:rPr>
            </w:pPr>
          </w:p>
          <w:p>
            <w:pPr>
              <w:pStyle w:val="TableParagraph"/>
              <w:ind w:left="107"/>
              <w:rPr>
                <w:sz w:val="20"/>
              </w:rPr>
            </w:pPr>
            <w:r>
              <w:rPr>
                <w:sz w:val="20"/>
              </w:rPr>
              <w:t>Table 3A.1.4 Average Growing stock volume</w:t>
            </w:r>
          </w:p>
          <w:p>
            <w:pPr>
              <w:pStyle w:val="TableParagraph"/>
              <w:ind w:left="107"/>
              <w:rPr>
                <w:sz w:val="20"/>
              </w:rPr>
            </w:pPr>
            <w:r>
              <w:rPr>
                <w:sz w:val="20"/>
              </w:rPr>
              <w:t>(1) and aboveground biomass (2) content (dry matter) in forest in 2000</w:t>
            </w:r>
          </w:p>
        </w:tc>
        <w:tc>
          <w:tcPr>
            <w:tcW w:w="4954" w:type="dxa"/>
          </w:tcPr>
          <w:p>
            <w:pPr>
              <w:pStyle w:val="TableParagraph"/>
              <w:numPr>
                <w:ilvl w:val="0"/>
                <w:numId w:val="82"/>
              </w:numPr>
              <w:tabs>
                <w:tab w:pos="391" w:val="left" w:leader="none"/>
              </w:tabs>
              <w:spacing w:line="240" w:lineRule="auto" w:before="22" w:after="0"/>
              <w:ind w:left="390" w:right="0" w:hanging="283"/>
              <w:jc w:val="left"/>
              <w:rPr>
                <w:sz w:val="20"/>
              </w:rPr>
            </w:pPr>
            <w:r>
              <w:rPr>
                <w:sz w:val="20"/>
              </w:rPr>
              <w:t>To be used for V in Equation</w:t>
            </w:r>
            <w:r>
              <w:rPr>
                <w:spacing w:val="-3"/>
                <w:sz w:val="20"/>
              </w:rPr>
              <w:t> </w:t>
            </w:r>
            <w:r>
              <w:rPr>
                <w:sz w:val="20"/>
              </w:rPr>
              <w:t>3.2.3.</w:t>
            </w:r>
          </w:p>
          <w:p>
            <w:pPr>
              <w:pStyle w:val="TableParagraph"/>
              <w:numPr>
                <w:ilvl w:val="0"/>
                <w:numId w:val="82"/>
              </w:numPr>
              <w:tabs>
                <w:tab w:pos="391" w:val="left" w:leader="none"/>
              </w:tabs>
              <w:spacing w:line="240" w:lineRule="auto" w:before="0" w:after="0"/>
              <w:ind w:left="107" w:right="112" w:firstLine="0"/>
              <w:jc w:val="left"/>
              <w:rPr>
                <w:sz w:val="20"/>
              </w:rPr>
            </w:pPr>
            <w:r>
              <w:rPr>
                <w:sz w:val="20"/>
              </w:rPr>
              <w:t>To be used for B</w:t>
            </w:r>
            <w:r>
              <w:rPr>
                <w:sz w:val="20"/>
                <w:vertAlign w:val="subscript"/>
              </w:rPr>
              <w:t>w</w:t>
            </w:r>
            <w:r>
              <w:rPr>
                <w:sz w:val="20"/>
                <w:vertAlign w:val="baseline"/>
              </w:rPr>
              <w:t> in Equation 3.2.9, for L</w:t>
            </w:r>
            <w:r>
              <w:rPr>
                <w:sz w:val="20"/>
                <w:vertAlign w:val="subscript"/>
              </w:rPr>
              <w:t>conversion</w:t>
            </w:r>
            <w:r>
              <w:rPr>
                <w:sz w:val="20"/>
                <w:vertAlign w:val="baseline"/>
              </w:rPr>
              <w:t> in Equation 3.3.8 in cropland section and for L</w:t>
            </w:r>
            <w:r>
              <w:rPr>
                <w:sz w:val="20"/>
                <w:vertAlign w:val="subscript"/>
              </w:rPr>
              <w:t>conversion</w:t>
            </w:r>
            <w:r>
              <w:rPr>
                <w:sz w:val="20"/>
                <w:vertAlign w:val="baseline"/>
              </w:rPr>
              <w:t> in Equation 3.4.13 in grassland section, etc. Not to be applied for C</w:t>
            </w:r>
            <w:r>
              <w:rPr>
                <w:sz w:val="20"/>
                <w:vertAlign w:val="subscript"/>
              </w:rPr>
              <w:t>t</w:t>
            </w:r>
            <w:r>
              <w:rPr>
                <w:position w:val="-8"/>
                <w:sz w:val="13"/>
                <w:vertAlign w:val="baseline"/>
              </w:rPr>
              <w:t>2 </w:t>
            </w:r>
            <w:r>
              <w:rPr>
                <w:sz w:val="20"/>
                <w:vertAlign w:val="baseline"/>
              </w:rPr>
              <w:t>or C</w:t>
            </w:r>
            <w:r>
              <w:rPr>
                <w:sz w:val="20"/>
                <w:vertAlign w:val="subscript"/>
              </w:rPr>
              <w:t>t</w:t>
            </w:r>
            <w:r>
              <w:rPr>
                <w:position w:val="-8"/>
                <w:sz w:val="13"/>
                <w:vertAlign w:val="baseline"/>
              </w:rPr>
              <w:t>1 </w:t>
            </w:r>
            <w:r>
              <w:rPr>
                <w:sz w:val="20"/>
                <w:vertAlign w:val="baseline"/>
              </w:rPr>
              <w:t>in Forest section Equation</w:t>
            </w:r>
            <w:r>
              <w:rPr>
                <w:spacing w:val="-30"/>
                <w:sz w:val="20"/>
                <w:vertAlign w:val="baseline"/>
              </w:rPr>
              <w:t> </w:t>
            </w:r>
            <w:r>
              <w:rPr>
                <w:sz w:val="20"/>
                <w:vertAlign w:val="baseline"/>
              </w:rPr>
              <w:t>3.2.3.</w:t>
            </w:r>
          </w:p>
        </w:tc>
      </w:tr>
      <w:tr>
        <w:trPr>
          <w:trHeight w:val="743" w:hRule="atLeast"/>
        </w:trPr>
        <w:tc>
          <w:tcPr>
            <w:tcW w:w="4085" w:type="dxa"/>
          </w:tcPr>
          <w:p>
            <w:pPr>
              <w:pStyle w:val="TableParagraph"/>
              <w:spacing w:before="22"/>
              <w:ind w:left="107" w:right="137"/>
              <w:rPr>
                <w:sz w:val="20"/>
              </w:rPr>
            </w:pPr>
            <w:r>
              <w:rPr>
                <w:sz w:val="20"/>
              </w:rPr>
              <w:t>Table 3A.1.5 Average Annual Increment in Aboveground Biomass in Natural Regeneration by broad category</w:t>
            </w:r>
          </w:p>
        </w:tc>
        <w:tc>
          <w:tcPr>
            <w:tcW w:w="4954" w:type="dxa"/>
          </w:tcPr>
          <w:p>
            <w:pPr>
              <w:pStyle w:val="TableParagraph"/>
              <w:spacing w:before="137"/>
              <w:ind w:left="107"/>
              <w:rPr>
                <w:sz w:val="20"/>
              </w:rPr>
            </w:pPr>
            <w:r>
              <w:rPr>
                <w:sz w:val="20"/>
              </w:rPr>
              <w:t>To be used for G</w:t>
            </w:r>
            <w:r>
              <w:rPr>
                <w:sz w:val="20"/>
                <w:vertAlign w:val="subscript"/>
              </w:rPr>
              <w:t>w</w:t>
            </w:r>
            <w:r>
              <w:rPr>
                <w:sz w:val="20"/>
                <w:vertAlign w:val="baseline"/>
              </w:rPr>
              <w:t> in Equation 3.2.5</w:t>
            </w:r>
          </w:p>
        </w:tc>
      </w:tr>
      <w:tr>
        <w:trPr>
          <w:trHeight w:val="746" w:hRule="atLeast"/>
        </w:trPr>
        <w:tc>
          <w:tcPr>
            <w:tcW w:w="4085" w:type="dxa"/>
          </w:tcPr>
          <w:p>
            <w:pPr>
              <w:pStyle w:val="TableParagraph"/>
              <w:spacing w:before="22"/>
              <w:ind w:left="107" w:right="382"/>
              <w:rPr>
                <w:sz w:val="20"/>
              </w:rPr>
            </w:pPr>
            <w:r>
              <w:rPr>
                <w:sz w:val="20"/>
              </w:rPr>
              <w:t>Table 3A.1.6 Annual Average Aboveground Biomass Increment in plantations by broad category</w:t>
            </w:r>
          </w:p>
        </w:tc>
        <w:tc>
          <w:tcPr>
            <w:tcW w:w="4954" w:type="dxa"/>
          </w:tcPr>
          <w:p>
            <w:pPr>
              <w:pStyle w:val="TableParagraph"/>
              <w:spacing w:before="22"/>
              <w:ind w:left="107" w:right="284"/>
              <w:rPr>
                <w:sz w:val="20"/>
              </w:rPr>
            </w:pPr>
            <w:r>
              <w:rPr>
                <w:sz w:val="20"/>
              </w:rPr>
              <w:t>To be used for G</w:t>
            </w:r>
            <w:r>
              <w:rPr>
                <w:sz w:val="20"/>
                <w:vertAlign w:val="subscript"/>
              </w:rPr>
              <w:t>w</w:t>
            </w:r>
            <w:r>
              <w:rPr>
                <w:sz w:val="20"/>
                <w:vertAlign w:val="baseline"/>
              </w:rPr>
              <w:t> in Equation 3.2.5. In case of missing values it is preferred to use stemwood volume increment data I</w:t>
            </w:r>
            <w:r>
              <w:rPr>
                <w:sz w:val="20"/>
                <w:vertAlign w:val="subscript"/>
              </w:rPr>
              <w:t>v</w:t>
            </w:r>
            <w:r>
              <w:rPr>
                <w:sz w:val="20"/>
                <w:vertAlign w:val="baseline"/>
              </w:rPr>
              <w:t> from Table 3A.1.7</w:t>
            </w:r>
          </w:p>
        </w:tc>
      </w:tr>
      <w:tr>
        <w:trPr>
          <w:trHeight w:val="515" w:hRule="atLeast"/>
        </w:trPr>
        <w:tc>
          <w:tcPr>
            <w:tcW w:w="4085" w:type="dxa"/>
          </w:tcPr>
          <w:p>
            <w:pPr>
              <w:pStyle w:val="TableParagraph"/>
              <w:spacing w:before="22"/>
              <w:ind w:left="107" w:right="332"/>
              <w:rPr>
                <w:sz w:val="20"/>
              </w:rPr>
            </w:pPr>
            <w:r>
              <w:rPr>
                <w:sz w:val="20"/>
              </w:rPr>
              <w:t>Table 3A.1.7 Annual Average Above ground volume Increment in plantations by species</w:t>
            </w:r>
          </w:p>
        </w:tc>
        <w:tc>
          <w:tcPr>
            <w:tcW w:w="4954" w:type="dxa"/>
          </w:tcPr>
          <w:p>
            <w:pPr>
              <w:pStyle w:val="TableParagraph"/>
              <w:spacing w:before="22"/>
              <w:ind w:left="107"/>
              <w:rPr>
                <w:sz w:val="20"/>
              </w:rPr>
            </w:pPr>
            <w:r>
              <w:rPr>
                <w:sz w:val="20"/>
              </w:rPr>
              <w:t>To be used for I</w:t>
            </w:r>
            <w:r>
              <w:rPr>
                <w:sz w:val="20"/>
                <w:vertAlign w:val="subscript"/>
              </w:rPr>
              <w:t>v</w:t>
            </w:r>
            <w:r>
              <w:rPr>
                <w:sz w:val="20"/>
                <w:vertAlign w:val="baseline"/>
              </w:rPr>
              <w:t> in Equation 3.2.5</w:t>
            </w:r>
          </w:p>
        </w:tc>
      </w:tr>
      <w:tr>
        <w:trPr>
          <w:trHeight w:val="746" w:hRule="atLeast"/>
        </w:trPr>
        <w:tc>
          <w:tcPr>
            <w:tcW w:w="4085" w:type="dxa"/>
          </w:tcPr>
          <w:p>
            <w:pPr>
              <w:pStyle w:val="TableParagraph"/>
              <w:spacing w:before="22"/>
              <w:ind w:left="107" w:right="843"/>
              <w:jc w:val="both"/>
              <w:rPr>
                <w:sz w:val="20"/>
              </w:rPr>
            </w:pPr>
            <w:r>
              <w:rPr>
                <w:sz w:val="20"/>
              </w:rPr>
              <w:t>Table 3A.1.8 Average Belowground to Aboveground Biomass ratio in Natural Regeneration by broad category</w:t>
            </w:r>
          </w:p>
        </w:tc>
        <w:tc>
          <w:tcPr>
            <w:tcW w:w="4954" w:type="dxa"/>
          </w:tcPr>
          <w:p>
            <w:pPr>
              <w:pStyle w:val="TableParagraph"/>
              <w:spacing w:before="137"/>
              <w:ind w:left="107"/>
              <w:rPr>
                <w:sz w:val="20"/>
              </w:rPr>
            </w:pPr>
            <w:r>
              <w:rPr>
                <w:sz w:val="20"/>
              </w:rPr>
              <w:t>To be used for R in Equation 3.2.5</w:t>
            </w:r>
          </w:p>
        </w:tc>
      </w:tr>
      <w:tr>
        <w:trPr>
          <w:trHeight w:val="515" w:hRule="atLeast"/>
        </w:trPr>
        <w:tc>
          <w:tcPr>
            <w:tcW w:w="4085" w:type="dxa"/>
          </w:tcPr>
          <w:p>
            <w:pPr>
              <w:pStyle w:val="TableParagraph"/>
              <w:spacing w:before="22"/>
              <w:ind w:left="107"/>
              <w:rPr>
                <w:sz w:val="20"/>
              </w:rPr>
            </w:pPr>
            <w:r>
              <w:rPr>
                <w:sz w:val="20"/>
              </w:rPr>
              <w:t>Table 3A.1.9 –1 Basic wood densities of stemwood for boreal and temperate species</w:t>
            </w:r>
          </w:p>
        </w:tc>
        <w:tc>
          <w:tcPr>
            <w:tcW w:w="4954" w:type="dxa"/>
          </w:tcPr>
          <w:p>
            <w:pPr>
              <w:pStyle w:val="TableParagraph"/>
              <w:spacing w:before="22"/>
              <w:ind w:left="107"/>
              <w:rPr>
                <w:sz w:val="20"/>
              </w:rPr>
            </w:pPr>
            <w:r>
              <w:rPr>
                <w:sz w:val="20"/>
              </w:rPr>
              <w:t>To be used for D in Equations 3.2.3., 3.25, 3.2.7, 3.2.8</w:t>
            </w:r>
          </w:p>
        </w:tc>
      </w:tr>
      <w:tr>
        <w:trPr>
          <w:trHeight w:val="515" w:hRule="atLeast"/>
        </w:trPr>
        <w:tc>
          <w:tcPr>
            <w:tcW w:w="4085" w:type="dxa"/>
          </w:tcPr>
          <w:p>
            <w:pPr>
              <w:pStyle w:val="TableParagraph"/>
              <w:spacing w:before="22"/>
              <w:ind w:left="107"/>
              <w:rPr>
                <w:sz w:val="20"/>
              </w:rPr>
            </w:pPr>
            <w:r>
              <w:rPr>
                <w:sz w:val="20"/>
              </w:rPr>
              <w:t>Table 3A.1.9-2 Basic wood densities (D) of stemwood for Tropical tree species</w:t>
            </w:r>
          </w:p>
        </w:tc>
        <w:tc>
          <w:tcPr>
            <w:tcW w:w="4954" w:type="dxa"/>
          </w:tcPr>
          <w:p>
            <w:pPr>
              <w:pStyle w:val="TableParagraph"/>
              <w:spacing w:before="134"/>
              <w:ind w:left="107"/>
              <w:rPr>
                <w:sz w:val="20"/>
              </w:rPr>
            </w:pPr>
            <w:r>
              <w:rPr>
                <w:sz w:val="20"/>
              </w:rPr>
              <w:t>To be used for D in Equations 3.2.3., 3.25, 3.2.7, 3.2.8</w:t>
            </w:r>
          </w:p>
        </w:tc>
      </w:tr>
      <w:tr>
        <w:trPr>
          <w:trHeight w:val="746" w:hRule="atLeast"/>
        </w:trPr>
        <w:tc>
          <w:tcPr>
            <w:tcW w:w="4085" w:type="dxa"/>
          </w:tcPr>
          <w:p>
            <w:pPr>
              <w:pStyle w:val="TableParagraph"/>
              <w:spacing w:before="137"/>
              <w:ind w:left="107" w:right="676"/>
              <w:rPr>
                <w:sz w:val="20"/>
              </w:rPr>
            </w:pPr>
            <w:r>
              <w:rPr>
                <w:sz w:val="20"/>
              </w:rPr>
              <w:t>Table 3A.1.10 default values of Biomass Expansion Factors (BEFs)</w:t>
            </w:r>
          </w:p>
        </w:tc>
        <w:tc>
          <w:tcPr>
            <w:tcW w:w="4954" w:type="dxa"/>
          </w:tcPr>
          <w:p>
            <w:pPr>
              <w:pStyle w:val="TableParagraph"/>
              <w:spacing w:before="22"/>
              <w:ind w:left="107" w:right="91"/>
              <w:rPr>
                <w:sz w:val="20"/>
              </w:rPr>
            </w:pPr>
            <w:r>
              <w:rPr>
                <w:sz w:val="20"/>
              </w:rPr>
              <w:t>BEF</w:t>
            </w:r>
            <w:r>
              <w:rPr>
                <w:sz w:val="20"/>
                <w:vertAlign w:val="subscript"/>
              </w:rPr>
              <w:t>2</w:t>
            </w:r>
            <w:r>
              <w:rPr>
                <w:sz w:val="20"/>
                <w:vertAlign w:val="baseline"/>
              </w:rPr>
              <w:t> to be used in connection with growing stock biomass data in Equation 3.2.3; and BEF</w:t>
            </w:r>
            <w:r>
              <w:rPr>
                <w:sz w:val="20"/>
                <w:vertAlign w:val="subscript"/>
              </w:rPr>
              <w:t>1</w:t>
            </w:r>
            <w:r>
              <w:rPr>
                <w:sz w:val="20"/>
                <w:vertAlign w:val="baseline"/>
              </w:rPr>
              <w:t> to be used in connection with increment data in Equation 3.2.5</w:t>
            </w:r>
          </w:p>
        </w:tc>
      </w:tr>
      <w:tr>
        <w:trPr>
          <w:trHeight w:val="515" w:hRule="atLeast"/>
        </w:trPr>
        <w:tc>
          <w:tcPr>
            <w:tcW w:w="4085" w:type="dxa"/>
          </w:tcPr>
          <w:p>
            <w:pPr>
              <w:pStyle w:val="TableParagraph"/>
              <w:spacing w:before="22"/>
              <w:ind w:left="107"/>
              <w:rPr>
                <w:sz w:val="20"/>
              </w:rPr>
            </w:pPr>
            <w:r>
              <w:rPr>
                <w:sz w:val="20"/>
              </w:rPr>
              <w:t>Table 3A.1.11 default values for fraction out of total harvest left to decay in the forest</w:t>
            </w:r>
          </w:p>
        </w:tc>
        <w:tc>
          <w:tcPr>
            <w:tcW w:w="4954" w:type="dxa"/>
          </w:tcPr>
          <w:p>
            <w:pPr>
              <w:pStyle w:val="TableParagraph"/>
              <w:spacing w:before="22"/>
              <w:ind w:left="107"/>
              <w:rPr>
                <w:sz w:val="20"/>
              </w:rPr>
            </w:pPr>
            <w:r>
              <w:rPr>
                <w:sz w:val="20"/>
              </w:rPr>
              <w:t>To be used only for f</w:t>
            </w:r>
            <w:r>
              <w:rPr>
                <w:sz w:val="20"/>
                <w:vertAlign w:val="subscript"/>
              </w:rPr>
              <w:t>BL</w:t>
            </w:r>
            <w:r>
              <w:rPr>
                <w:sz w:val="20"/>
                <w:vertAlign w:val="baseline"/>
              </w:rPr>
              <w:t> in Equation 3.2.7</w:t>
            </w:r>
          </w:p>
        </w:tc>
      </w:tr>
      <w:tr>
        <w:trPr>
          <w:trHeight w:val="743" w:hRule="atLeast"/>
        </w:trPr>
        <w:tc>
          <w:tcPr>
            <w:tcW w:w="4085" w:type="dxa"/>
          </w:tcPr>
          <w:p>
            <w:pPr>
              <w:pStyle w:val="TableParagraph"/>
              <w:spacing w:before="22"/>
              <w:ind w:left="107" w:right="321"/>
              <w:rPr>
                <w:sz w:val="20"/>
              </w:rPr>
            </w:pPr>
            <w:r>
              <w:rPr>
                <w:sz w:val="20"/>
              </w:rPr>
              <w:t>Table 3A.1.12 Combustion factor values (proportion of prefire biomass consumed) for fires in a range of vegetation types</w:t>
            </w:r>
          </w:p>
        </w:tc>
        <w:tc>
          <w:tcPr>
            <w:tcW w:w="4954" w:type="dxa"/>
          </w:tcPr>
          <w:p>
            <w:pPr>
              <w:pStyle w:val="TableParagraph"/>
              <w:spacing w:line="254" w:lineRule="auto" w:before="127"/>
              <w:ind w:left="107"/>
              <w:rPr>
                <w:sz w:val="20"/>
              </w:rPr>
            </w:pPr>
            <w:r>
              <w:rPr>
                <w:sz w:val="20"/>
              </w:rPr>
              <w:t>Values in column ‘mean’ are to be used for (1-f</w:t>
            </w:r>
            <w:r>
              <w:rPr>
                <w:sz w:val="20"/>
                <w:vertAlign w:val="subscript"/>
              </w:rPr>
              <w:t>BL</w:t>
            </w:r>
            <w:r>
              <w:rPr>
                <w:sz w:val="20"/>
                <w:vertAlign w:val="baseline"/>
              </w:rPr>
              <w:t>) in Equation 3.2.9. and for </w:t>
            </w:r>
            <w:r>
              <w:rPr>
                <w:rFonts w:ascii="Symbol" w:hAnsi="Symbol"/>
                <w:sz w:val="21"/>
                <w:vertAlign w:val="baseline"/>
              </w:rPr>
              <w:t>ρ</w:t>
            </w:r>
            <w:r>
              <w:rPr>
                <w:sz w:val="16"/>
                <w:vertAlign w:val="baseline"/>
              </w:rPr>
              <w:t>burned on site </w:t>
            </w:r>
            <w:r>
              <w:rPr>
                <w:sz w:val="20"/>
                <w:vertAlign w:val="baseline"/>
              </w:rPr>
              <w:t>in Equation 3.3.10</w:t>
            </w:r>
          </w:p>
        </w:tc>
      </w:tr>
      <w:tr>
        <w:trPr>
          <w:trHeight w:val="532" w:hRule="atLeast"/>
        </w:trPr>
        <w:tc>
          <w:tcPr>
            <w:tcW w:w="4085" w:type="dxa"/>
          </w:tcPr>
          <w:p>
            <w:pPr>
              <w:pStyle w:val="TableParagraph"/>
              <w:spacing w:before="29"/>
              <w:ind w:left="107"/>
              <w:rPr>
                <w:sz w:val="20"/>
              </w:rPr>
            </w:pPr>
            <w:r>
              <w:rPr>
                <w:sz w:val="20"/>
              </w:rPr>
              <w:t>Table 3A.1.13 Biomass consumption values for fires in a range of vegetation types</w:t>
            </w:r>
          </w:p>
        </w:tc>
        <w:tc>
          <w:tcPr>
            <w:tcW w:w="4954" w:type="dxa"/>
          </w:tcPr>
          <w:p>
            <w:pPr>
              <w:pStyle w:val="TableParagraph"/>
              <w:spacing w:line="248" w:lineRule="exact" w:before="10"/>
              <w:ind w:left="107" w:right="218"/>
              <w:rPr>
                <w:sz w:val="20"/>
              </w:rPr>
            </w:pPr>
            <w:r>
              <w:rPr>
                <w:sz w:val="20"/>
              </w:rPr>
              <w:t>To be used in Equation 3.2.9. for the part of the equation: ‘B</w:t>
            </w:r>
            <w:r>
              <w:rPr>
                <w:sz w:val="20"/>
                <w:vertAlign w:val="subscript"/>
              </w:rPr>
              <w:t>W</w:t>
            </w:r>
            <w:r>
              <w:rPr>
                <w:sz w:val="20"/>
                <w:vertAlign w:val="baseline"/>
              </w:rPr>
              <w:t> </w:t>
            </w:r>
            <w:r>
              <w:rPr>
                <w:rFonts w:ascii="Symbol" w:hAnsi="Symbol"/>
                <w:sz w:val="20"/>
                <w:vertAlign w:val="baseline"/>
              </w:rPr>
              <w:t>• </w:t>
            </w:r>
            <w:r>
              <w:rPr>
                <w:sz w:val="20"/>
                <w:vertAlign w:val="baseline"/>
              </w:rPr>
              <w:t>(1- f</w:t>
            </w:r>
            <w:r>
              <w:rPr>
                <w:sz w:val="20"/>
                <w:vertAlign w:val="subscript"/>
              </w:rPr>
              <w:t>BL</w:t>
            </w:r>
            <w:r>
              <w:rPr>
                <w:sz w:val="20"/>
                <w:vertAlign w:val="baseline"/>
              </w:rPr>
              <w:t>)’ , i.e. an absolute amount</w:t>
            </w:r>
          </w:p>
        </w:tc>
      </w:tr>
      <w:tr>
        <w:trPr>
          <w:trHeight w:val="1204" w:hRule="atLeast"/>
        </w:trPr>
        <w:tc>
          <w:tcPr>
            <w:tcW w:w="4085" w:type="dxa"/>
          </w:tcPr>
          <w:p>
            <w:pPr>
              <w:pStyle w:val="TableParagraph"/>
              <w:spacing w:before="22"/>
              <w:ind w:left="107" w:right="126"/>
              <w:rPr>
                <w:sz w:val="20"/>
              </w:rPr>
            </w:pPr>
            <w:r>
              <w:rPr>
                <w:sz w:val="20"/>
              </w:rPr>
              <w:t>Table 3A.14 Combustion Efficiency(proportion of available fuel actually burnt) relevant to</w:t>
            </w:r>
          </w:p>
          <w:p>
            <w:pPr>
              <w:pStyle w:val="TableParagraph"/>
              <w:ind w:left="107" w:right="121"/>
              <w:rPr>
                <w:sz w:val="20"/>
              </w:rPr>
            </w:pPr>
            <w:r>
              <w:rPr>
                <w:sz w:val="20"/>
              </w:rPr>
              <w:t>land-clearing burns, and burns in heavy logging slash for a range of vegetation types and burning conditions.</w:t>
            </w:r>
          </w:p>
        </w:tc>
        <w:tc>
          <w:tcPr>
            <w:tcW w:w="4954" w:type="dxa"/>
          </w:tcPr>
          <w:p>
            <w:pPr>
              <w:pStyle w:val="TableParagraph"/>
              <w:spacing w:before="137"/>
              <w:ind w:left="107" w:right="85"/>
              <w:rPr>
                <w:sz w:val="20"/>
              </w:rPr>
            </w:pPr>
            <w:r>
              <w:rPr>
                <w:sz w:val="20"/>
              </w:rPr>
              <w:t>To be used in sections ‘forest lands converted to cropland’, ‘converted to grassland’, or ‘converted to settlements or other lands’</w:t>
            </w:r>
          </w:p>
        </w:tc>
      </w:tr>
      <w:tr>
        <w:trPr>
          <w:trHeight w:val="515" w:hRule="atLeast"/>
        </w:trPr>
        <w:tc>
          <w:tcPr>
            <w:tcW w:w="4085" w:type="dxa"/>
          </w:tcPr>
          <w:p>
            <w:pPr>
              <w:pStyle w:val="TableParagraph"/>
              <w:spacing w:before="22"/>
              <w:ind w:left="107" w:right="298"/>
              <w:rPr>
                <w:sz w:val="20"/>
              </w:rPr>
            </w:pPr>
            <w:r>
              <w:rPr>
                <w:sz w:val="20"/>
              </w:rPr>
              <w:t>Table 3A.1.15 Emission ratios for open burning of cleared forests</w:t>
            </w:r>
          </w:p>
        </w:tc>
        <w:tc>
          <w:tcPr>
            <w:tcW w:w="4954" w:type="dxa"/>
          </w:tcPr>
          <w:p>
            <w:pPr>
              <w:pStyle w:val="TableParagraph"/>
              <w:spacing w:before="22"/>
              <w:ind w:left="107"/>
              <w:rPr>
                <w:sz w:val="20"/>
              </w:rPr>
            </w:pPr>
            <w:r>
              <w:rPr>
                <w:sz w:val="20"/>
              </w:rPr>
              <w:t>To be applied to Equation 3.2.19</w:t>
            </w:r>
          </w:p>
        </w:tc>
      </w:tr>
      <w:tr>
        <w:trPr>
          <w:trHeight w:val="746" w:hRule="atLeast"/>
        </w:trPr>
        <w:tc>
          <w:tcPr>
            <w:tcW w:w="4085" w:type="dxa"/>
          </w:tcPr>
          <w:p>
            <w:pPr>
              <w:pStyle w:val="TableParagraph"/>
              <w:spacing w:before="22"/>
              <w:ind w:left="107" w:right="243"/>
              <w:jc w:val="both"/>
              <w:rPr>
                <w:sz w:val="20"/>
              </w:rPr>
            </w:pPr>
            <w:r>
              <w:rPr>
                <w:sz w:val="20"/>
              </w:rPr>
              <w:t>Table 3A.1.16 Emission Factors applicable to fuels combusted in various types of vegetation fires</w:t>
            </w:r>
          </w:p>
        </w:tc>
        <w:tc>
          <w:tcPr>
            <w:tcW w:w="4954" w:type="dxa"/>
          </w:tcPr>
          <w:p>
            <w:pPr>
              <w:pStyle w:val="TableParagraph"/>
              <w:spacing w:before="137"/>
              <w:ind w:left="107"/>
              <w:rPr>
                <w:sz w:val="20"/>
              </w:rPr>
            </w:pPr>
            <w:r>
              <w:rPr>
                <w:sz w:val="20"/>
              </w:rPr>
              <w:t>To be used in connection with Equation 3.2.20</w:t>
            </w:r>
          </w:p>
        </w:tc>
      </w:tr>
    </w:tbl>
    <w:p>
      <w:pPr>
        <w:spacing w:after="0"/>
        <w:rPr>
          <w:sz w:val="20"/>
        </w:rPr>
        <w:sectPr>
          <w:footerReference w:type="even" r:id="rId186"/>
          <w:footerReference w:type="default" r:id="rId187"/>
          <w:pgSz w:w="11900" w:h="16840"/>
          <w:pgMar w:footer="408" w:header="230" w:top="560" w:bottom="600" w:left="1200" w:right="1140"/>
          <w:pgNumType w:start="152"/>
        </w:sectPr>
      </w:pPr>
    </w:p>
    <w:p>
      <w:pPr>
        <w:pStyle w:val="BodyText"/>
      </w:pPr>
    </w:p>
    <w:p>
      <w:pPr>
        <w:pStyle w:val="BodyText"/>
        <w:spacing w:before="9"/>
        <w:rPr>
          <w:sz w:val="18"/>
        </w:rPr>
      </w:pPr>
    </w:p>
    <w:p>
      <w:pPr>
        <w:pStyle w:val="BodyText"/>
        <w:ind w:left="228"/>
      </w:pPr>
      <w:r>
        <w:rPr/>
        <w:pict>
          <v:shape style="width:223.7pt;height:588.4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9"/>
                    <w:gridCol w:w="855"/>
                    <w:gridCol w:w="855"/>
                    <w:gridCol w:w="855"/>
                    <w:gridCol w:w="788"/>
                  </w:tblGrid>
                  <w:tr>
                    <w:trPr>
                      <w:trHeight w:val="697" w:hRule="atLeast"/>
                    </w:trPr>
                    <w:tc>
                      <w:tcPr>
                        <w:tcW w:w="4462" w:type="dxa"/>
                        <w:gridSpan w:val="5"/>
                        <w:tcBorders>
                          <w:bottom w:val="double" w:sz="1" w:space="0" w:color="000000"/>
                        </w:tcBorders>
                      </w:tcPr>
                      <w:p>
                        <w:pPr>
                          <w:pStyle w:val="TableParagraph"/>
                          <w:spacing w:before="28"/>
                          <w:ind w:left="1415" w:right="1351" w:firstLine="300"/>
                          <w:rPr>
                            <w:b/>
                            <w:sz w:val="14"/>
                          </w:rPr>
                        </w:pPr>
                        <w:r>
                          <w:rPr>
                            <w:b/>
                            <w:sz w:val="18"/>
                          </w:rPr>
                          <w:t>T</w:t>
                        </w:r>
                        <w:r>
                          <w:rPr>
                            <w:b/>
                            <w:sz w:val="14"/>
                          </w:rPr>
                          <w:t>ABLE </w:t>
                        </w:r>
                        <w:r>
                          <w:rPr>
                            <w:b/>
                            <w:sz w:val="18"/>
                          </w:rPr>
                          <w:t>3A.1.1 F</w:t>
                        </w:r>
                        <w:r>
                          <w:rPr>
                            <w:b/>
                            <w:sz w:val="14"/>
                          </w:rPr>
                          <w:t>OREST AREA CHANGE</w:t>
                        </w:r>
                      </w:p>
                      <w:p>
                        <w:pPr>
                          <w:pStyle w:val="TableParagraph"/>
                          <w:spacing w:line="203" w:lineRule="exact"/>
                          <w:ind w:left="321"/>
                          <w:rPr>
                            <w:sz w:val="18"/>
                          </w:rPr>
                        </w:pPr>
                        <w:r>
                          <w:rPr>
                            <w:sz w:val="18"/>
                          </w:rPr>
                          <w:t>(To be used for verification of ‘A’ in Equation 3.2.4)</w:t>
                        </w:r>
                      </w:p>
                    </w:tc>
                  </w:tr>
                  <w:tr>
                    <w:trPr>
                      <w:trHeight w:val="255" w:hRule="atLeast"/>
                    </w:trPr>
                    <w:tc>
                      <w:tcPr>
                        <w:tcW w:w="4462" w:type="dxa"/>
                        <w:gridSpan w:val="5"/>
                        <w:tcBorders>
                          <w:top w:val="double" w:sz="1" w:space="0" w:color="000000"/>
                        </w:tcBorders>
                      </w:tcPr>
                      <w:p>
                        <w:pPr>
                          <w:pStyle w:val="TableParagraph"/>
                          <w:spacing w:before="23"/>
                          <w:ind w:left="57"/>
                          <w:rPr>
                            <w:b/>
                            <w:sz w:val="18"/>
                          </w:rPr>
                        </w:pPr>
                        <w:r>
                          <w:rPr>
                            <w:b/>
                            <w:sz w:val="18"/>
                          </w:rPr>
                          <w:t>a. AFRICA</w:t>
                        </w:r>
                      </w:p>
                    </w:tc>
                  </w:tr>
                  <w:tr>
                    <w:trPr>
                      <w:trHeight w:val="386" w:hRule="atLeast"/>
                    </w:trPr>
                    <w:tc>
                      <w:tcPr>
                        <w:tcW w:w="1109" w:type="dxa"/>
                      </w:tcPr>
                      <w:p>
                        <w:pPr>
                          <w:pStyle w:val="TableParagraph"/>
                          <w:spacing w:before="97"/>
                          <w:ind w:left="57"/>
                          <w:rPr>
                            <w:b/>
                            <w:sz w:val="16"/>
                          </w:rPr>
                        </w:pPr>
                        <w:r>
                          <w:rPr>
                            <w:b/>
                            <w:sz w:val="16"/>
                          </w:rPr>
                          <w:t>Country</w:t>
                        </w:r>
                      </w:p>
                    </w:tc>
                    <w:tc>
                      <w:tcPr>
                        <w:tcW w:w="1710" w:type="dxa"/>
                        <w:gridSpan w:val="2"/>
                      </w:tcPr>
                      <w:p>
                        <w:pPr>
                          <w:pStyle w:val="TableParagraph"/>
                          <w:spacing w:before="97"/>
                          <w:ind w:left="241"/>
                          <w:rPr>
                            <w:b/>
                            <w:sz w:val="16"/>
                          </w:rPr>
                        </w:pPr>
                        <w:r>
                          <w:rPr>
                            <w:b/>
                            <w:sz w:val="16"/>
                          </w:rPr>
                          <w:t>Total Forest Area</w:t>
                        </w:r>
                      </w:p>
                    </w:tc>
                    <w:tc>
                      <w:tcPr>
                        <w:tcW w:w="1643" w:type="dxa"/>
                        <w:gridSpan w:val="2"/>
                      </w:tcPr>
                      <w:p>
                        <w:pPr>
                          <w:pStyle w:val="TableParagraph"/>
                          <w:spacing w:line="182" w:lineRule="exact" w:before="10"/>
                          <w:ind w:left="471" w:right="123" w:hanging="344"/>
                          <w:rPr>
                            <w:b/>
                            <w:sz w:val="16"/>
                          </w:rPr>
                        </w:pPr>
                        <w:r>
                          <w:rPr>
                            <w:b/>
                            <w:sz w:val="16"/>
                          </w:rPr>
                          <w:t>Forest Area Change 1990-2000</w:t>
                        </w:r>
                      </w:p>
                    </w:tc>
                  </w:tr>
                  <w:tr>
                    <w:trPr>
                      <w:trHeight w:val="388" w:hRule="atLeast"/>
                    </w:trPr>
                    <w:tc>
                      <w:tcPr>
                        <w:tcW w:w="1109" w:type="dxa"/>
                      </w:tcPr>
                      <w:p>
                        <w:pPr>
                          <w:pStyle w:val="TableParagraph"/>
                          <w:rPr>
                            <w:sz w:val="16"/>
                          </w:rPr>
                        </w:pPr>
                      </w:p>
                    </w:tc>
                    <w:tc>
                      <w:tcPr>
                        <w:tcW w:w="855" w:type="dxa"/>
                      </w:tcPr>
                      <w:p>
                        <w:pPr>
                          <w:pStyle w:val="TableParagraph"/>
                          <w:spacing w:before="97"/>
                          <w:ind w:left="265"/>
                          <w:rPr>
                            <w:b/>
                            <w:sz w:val="16"/>
                          </w:rPr>
                        </w:pPr>
                        <w:r>
                          <w:rPr>
                            <w:b/>
                            <w:sz w:val="16"/>
                          </w:rPr>
                          <w:t>1990</w:t>
                        </w:r>
                      </w:p>
                    </w:tc>
                    <w:tc>
                      <w:tcPr>
                        <w:tcW w:w="855" w:type="dxa"/>
                      </w:tcPr>
                      <w:p>
                        <w:pPr>
                          <w:pStyle w:val="TableParagraph"/>
                          <w:spacing w:before="97"/>
                          <w:ind w:left="265"/>
                          <w:rPr>
                            <w:b/>
                            <w:sz w:val="16"/>
                          </w:rPr>
                        </w:pPr>
                        <w:r>
                          <w:rPr>
                            <w:b/>
                            <w:sz w:val="16"/>
                          </w:rPr>
                          <w:t>2000</w:t>
                        </w:r>
                      </w:p>
                    </w:tc>
                    <w:tc>
                      <w:tcPr>
                        <w:tcW w:w="855" w:type="dxa"/>
                      </w:tcPr>
                      <w:p>
                        <w:pPr>
                          <w:pStyle w:val="TableParagraph"/>
                          <w:spacing w:line="180" w:lineRule="atLeast" w:before="6"/>
                          <w:ind w:left="161" w:right="139" w:firstLine="9"/>
                          <w:rPr>
                            <w:b/>
                            <w:sz w:val="16"/>
                          </w:rPr>
                        </w:pPr>
                        <w:r>
                          <w:rPr>
                            <w:b/>
                            <w:sz w:val="16"/>
                          </w:rPr>
                          <w:t>Annual Change</w:t>
                        </w:r>
                      </w:p>
                    </w:tc>
                    <w:tc>
                      <w:tcPr>
                        <w:tcW w:w="788" w:type="dxa"/>
                      </w:tcPr>
                      <w:p>
                        <w:pPr>
                          <w:pStyle w:val="TableParagraph"/>
                          <w:spacing w:line="180" w:lineRule="atLeast" w:before="6"/>
                          <w:ind w:left="230" w:right="104" w:hanging="101"/>
                          <w:rPr>
                            <w:b/>
                            <w:sz w:val="16"/>
                          </w:rPr>
                        </w:pPr>
                        <w:r>
                          <w:rPr>
                            <w:b/>
                            <w:sz w:val="16"/>
                          </w:rPr>
                          <w:t>Change Rate</w:t>
                        </w:r>
                      </w:p>
                    </w:tc>
                  </w:tr>
                  <w:tr>
                    <w:trPr>
                      <w:trHeight w:val="273" w:hRule="atLeast"/>
                    </w:trPr>
                    <w:tc>
                      <w:tcPr>
                        <w:tcW w:w="1109" w:type="dxa"/>
                      </w:tcPr>
                      <w:p>
                        <w:pPr>
                          <w:pStyle w:val="TableParagraph"/>
                          <w:rPr>
                            <w:sz w:val="16"/>
                          </w:rPr>
                        </w:pPr>
                      </w:p>
                    </w:tc>
                    <w:tc>
                      <w:tcPr>
                        <w:tcW w:w="855" w:type="dxa"/>
                      </w:tcPr>
                      <w:p>
                        <w:pPr>
                          <w:pStyle w:val="TableParagraph"/>
                          <w:spacing w:before="40"/>
                          <w:ind w:left="201"/>
                          <w:rPr>
                            <w:b/>
                            <w:sz w:val="16"/>
                          </w:rPr>
                        </w:pPr>
                        <w:r>
                          <w:rPr>
                            <w:b/>
                            <w:sz w:val="16"/>
                          </w:rPr>
                          <w:t>000 ha</w:t>
                        </w:r>
                      </w:p>
                    </w:tc>
                    <w:tc>
                      <w:tcPr>
                        <w:tcW w:w="855" w:type="dxa"/>
                      </w:tcPr>
                      <w:p>
                        <w:pPr>
                          <w:pStyle w:val="TableParagraph"/>
                          <w:spacing w:before="40"/>
                          <w:ind w:left="200"/>
                          <w:rPr>
                            <w:b/>
                            <w:sz w:val="16"/>
                          </w:rPr>
                        </w:pPr>
                        <w:r>
                          <w:rPr>
                            <w:b/>
                            <w:sz w:val="16"/>
                          </w:rPr>
                          <w:t>000 ha</w:t>
                        </w:r>
                      </w:p>
                    </w:tc>
                    <w:tc>
                      <w:tcPr>
                        <w:tcW w:w="855" w:type="dxa"/>
                      </w:tcPr>
                      <w:p>
                        <w:pPr>
                          <w:pStyle w:val="TableParagraph"/>
                          <w:spacing w:before="40"/>
                          <w:ind w:left="82"/>
                          <w:rPr>
                            <w:b/>
                            <w:sz w:val="16"/>
                          </w:rPr>
                        </w:pPr>
                        <w:r>
                          <w:rPr>
                            <w:b/>
                            <w:sz w:val="16"/>
                          </w:rPr>
                          <w:t>000 ha /yr</w:t>
                        </w:r>
                      </w:p>
                    </w:tc>
                    <w:tc>
                      <w:tcPr>
                        <w:tcW w:w="788" w:type="dxa"/>
                      </w:tcPr>
                      <w:p>
                        <w:pPr>
                          <w:pStyle w:val="TableParagraph"/>
                          <w:spacing w:before="40"/>
                          <w:ind w:right="166"/>
                          <w:jc w:val="right"/>
                          <w:rPr>
                            <w:b/>
                            <w:sz w:val="16"/>
                          </w:rPr>
                        </w:pPr>
                        <w:r>
                          <w:rPr>
                            <w:b/>
                            <w:sz w:val="16"/>
                          </w:rPr>
                          <w:t>% / yr</w:t>
                        </w:r>
                      </w:p>
                    </w:tc>
                  </w:tr>
                  <w:tr>
                    <w:trPr>
                      <w:trHeight w:val="273" w:hRule="atLeast"/>
                    </w:trPr>
                    <w:tc>
                      <w:tcPr>
                        <w:tcW w:w="1109" w:type="dxa"/>
                      </w:tcPr>
                      <w:p>
                        <w:pPr>
                          <w:pStyle w:val="TableParagraph"/>
                          <w:spacing w:before="37"/>
                          <w:ind w:left="57"/>
                          <w:rPr>
                            <w:sz w:val="16"/>
                          </w:rPr>
                        </w:pPr>
                        <w:r>
                          <w:rPr>
                            <w:sz w:val="16"/>
                          </w:rPr>
                          <w:t>Algeria</w:t>
                        </w:r>
                      </w:p>
                    </w:tc>
                    <w:tc>
                      <w:tcPr>
                        <w:tcW w:w="855" w:type="dxa"/>
                      </w:tcPr>
                      <w:p>
                        <w:pPr>
                          <w:pStyle w:val="TableParagraph"/>
                          <w:spacing w:before="37"/>
                          <w:ind w:right="98"/>
                          <w:jc w:val="right"/>
                          <w:rPr>
                            <w:sz w:val="16"/>
                          </w:rPr>
                        </w:pPr>
                        <w:r>
                          <w:rPr>
                            <w:sz w:val="16"/>
                          </w:rPr>
                          <w:t>1 879</w:t>
                        </w:r>
                      </w:p>
                    </w:tc>
                    <w:tc>
                      <w:tcPr>
                        <w:tcW w:w="855" w:type="dxa"/>
                      </w:tcPr>
                      <w:p>
                        <w:pPr>
                          <w:pStyle w:val="TableParagraph"/>
                          <w:spacing w:before="37"/>
                          <w:ind w:right="99"/>
                          <w:jc w:val="right"/>
                          <w:rPr>
                            <w:sz w:val="16"/>
                          </w:rPr>
                        </w:pPr>
                        <w:r>
                          <w:rPr>
                            <w:sz w:val="16"/>
                          </w:rPr>
                          <w:t>2 145</w:t>
                        </w:r>
                      </w:p>
                    </w:tc>
                    <w:tc>
                      <w:tcPr>
                        <w:tcW w:w="855" w:type="dxa"/>
                      </w:tcPr>
                      <w:p>
                        <w:pPr>
                          <w:pStyle w:val="TableParagraph"/>
                          <w:spacing w:before="37"/>
                          <w:ind w:left="465"/>
                          <w:rPr>
                            <w:sz w:val="16"/>
                          </w:rPr>
                        </w:pPr>
                        <w:r>
                          <w:rPr>
                            <w:sz w:val="16"/>
                          </w:rPr>
                          <w:t>27</w:t>
                        </w:r>
                      </w:p>
                    </w:tc>
                    <w:tc>
                      <w:tcPr>
                        <w:tcW w:w="788" w:type="dxa"/>
                      </w:tcPr>
                      <w:p>
                        <w:pPr>
                          <w:pStyle w:val="TableParagraph"/>
                          <w:spacing w:before="37"/>
                          <w:ind w:right="213"/>
                          <w:jc w:val="right"/>
                          <w:rPr>
                            <w:sz w:val="16"/>
                          </w:rPr>
                        </w:pPr>
                        <w:r>
                          <w:rPr>
                            <w:sz w:val="16"/>
                          </w:rPr>
                          <w:t>1.3</w:t>
                        </w:r>
                      </w:p>
                    </w:tc>
                  </w:tr>
                  <w:tr>
                    <w:trPr>
                      <w:trHeight w:val="275" w:hRule="atLeast"/>
                    </w:trPr>
                    <w:tc>
                      <w:tcPr>
                        <w:tcW w:w="1109" w:type="dxa"/>
                      </w:tcPr>
                      <w:p>
                        <w:pPr>
                          <w:pStyle w:val="TableParagraph"/>
                          <w:spacing w:before="37"/>
                          <w:ind w:left="57"/>
                          <w:rPr>
                            <w:sz w:val="16"/>
                          </w:rPr>
                        </w:pPr>
                        <w:r>
                          <w:rPr>
                            <w:sz w:val="16"/>
                          </w:rPr>
                          <w:t>Angola</w:t>
                        </w:r>
                      </w:p>
                    </w:tc>
                    <w:tc>
                      <w:tcPr>
                        <w:tcW w:w="855" w:type="dxa"/>
                      </w:tcPr>
                      <w:p>
                        <w:pPr>
                          <w:pStyle w:val="TableParagraph"/>
                          <w:spacing w:before="37"/>
                          <w:ind w:right="98"/>
                          <w:jc w:val="right"/>
                          <w:rPr>
                            <w:sz w:val="16"/>
                          </w:rPr>
                        </w:pPr>
                        <w:r>
                          <w:rPr>
                            <w:sz w:val="16"/>
                          </w:rPr>
                          <w:t>70 998</w:t>
                        </w:r>
                      </w:p>
                    </w:tc>
                    <w:tc>
                      <w:tcPr>
                        <w:tcW w:w="855" w:type="dxa"/>
                      </w:tcPr>
                      <w:p>
                        <w:pPr>
                          <w:pStyle w:val="TableParagraph"/>
                          <w:spacing w:before="37"/>
                          <w:ind w:right="99"/>
                          <w:jc w:val="right"/>
                          <w:rPr>
                            <w:sz w:val="16"/>
                          </w:rPr>
                        </w:pPr>
                        <w:r>
                          <w:rPr>
                            <w:sz w:val="16"/>
                          </w:rPr>
                          <w:t>69 756</w:t>
                        </w:r>
                      </w:p>
                    </w:tc>
                    <w:tc>
                      <w:tcPr>
                        <w:tcW w:w="855" w:type="dxa"/>
                      </w:tcPr>
                      <w:p>
                        <w:pPr>
                          <w:pStyle w:val="TableParagraph"/>
                          <w:spacing w:before="37"/>
                          <w:ind w:left="334"/>
                          <w:rPr>
                            <w:sz w:val="16"/>
                          </w:rPr>
                        </w:pPr>
                        <w:r>
                          <w:rPr>
                            <w:sz w:val="16"/>
                          </w:rPr>
                          <w:t>-124</w:t>
                        </w:r>
                      </w:p>
                    </w:tc>
                    <w:tc>
                      <w:tcPr>
                        <w:tcW w:w="788" w:type="dxa"/>
                      </w:tcPr>
                      <w:p>
                        <w:pPr>
                          <w:pStyle w:val="TableParagraph"/>
                          <w:spacing w:before="37"/>
                          <w:ind w:right="211"/>
                          <w:jc w:val="right"/>
                          <w:rPr>
                            <w:sz w:val="16"/>
                          </w:rPr>
                        </w:pPr>
                        <w:r>
                          <w:rPr>
                            <w:sz w:val="16"/>
                          </w:rPr>
                          <w:t>-0.2</w:t>
                        </w:r>
                      </w:p>
                    </w:tc>
                  </w:tr>
                  <w:tr>
                    <w:trPr>
                      <w:trHeight w:val="273" w:hRule="atLeast"/>
                    </w:trPr>
                    <w:tc>
                      <w:tcPr>
                        <w:tcW w:w="1109" w:type="dxa"/>
                      </w:tcPr>
                      <w:p>
                        <w:pPr>
                          <w:pStyle w:val="TableParagraph"/>
                          <w:spacing w:before="37"/>
                          <w:ind w:left="57"/>
                          <w:rPr>
                            <w:sz w:val="16"/>
                          </w:rPr>
                        </w:pPr>
                        <w:r>
                          <w:rPr>
                            <w:sz w:val="16"/>
                          </w:rPr>
                          <w:t>Benin</w:t>
                        </w:r>
                      </w:p>
                    </w:tc>
                    <w:tc>
                      <w:tcPr>
                        <w:tcW w:w="855" w:type="dxa"/>
                      </w:tcPr>
                      <w:p>
                        <w:pPr>
                          <w:pStyle w:val="TableParagraph"/>
                          <w:spacing w:before="37"/>
                          <w:ind w:right="98"/>
                          <w:jc w:val="right"/>
                          <w:rPr>
                            <w:sz w:val="16"/>
                          </w:rPr>
                        </w:pPr>
                        <w:r>
                          <w:rPr>
                            <w:sz w:val="16"/>
                          </w:rPr>
                          <w:t>3 349</w:t>
                        </w:r>
                      </w:p>
                    </w:tc>
                    <w:tc>
                      <w:tcPr>
                        <w:tcW w:w="855" w:type="dxa"/>
                      </w:tcPr>
                      <w:p>
                        <w:pPr>
                          <w:pStyle w:val="TableParagraph"/>
                          <w:spacing w:before="37"/>
                          <w:ind w:right="99"/>
                          <w:jc w:val="right"/>
                          <w:rPr>
                            <w:sz w:val="16"/>
                          </w:rPr>
                        </w:pPr>
                        <w:r>
                          <w:rPr>
                            <w:sz w:val="16"/>
                          </w:rPr>
                          <w:t>2 650</w:t>
                        </w:r>
                      </w:p>
                    </w:tc>
                    <w:tc>
                      <w:tcPr>
                        <w:tcW w:w="855" w:type="dxa"/>
                      </w:tcPr>
                      <w:p>
                        <w:pPr>
                          <w:pStyle w:val="TableParagraph"/>
                          <w:spacing w:before="37"/>
                          <w:ind w:left="413"/>
                          <w:rPr>
                            <w:sz w:val="16"/>
                          </w:rPr>
                        </w:pPr>
                        <w:r>
                          <w:rPr>
                            <w:sz w:val="16"/>
                          </w:rPr>
                          <w:t>-70</w:t>
                        </w:r>
                      </w:p>
                    </w:tc>
                    <w:tc>
                      <w:tcPr>
                        <w:tcW w:w="788" w:type="dxa"/>
                      </w:tcPr>
                      <w:p>
                        <w:pPr>
                          <w:pStyle w:val="TableParagraph"/>
                          <w:spacing w:before="37"/>
                          <w:ind w:right="212"/>
                          <w:jc w:val="right"/>
                          <w:rPr>
                            <w:sz w:val="16"/>
                          </w:rPr>
                        </w:pPr>
                        <w:r>
                          <w:rPr>
                            <w:sz w:val="16"/>
                          </w:rPr>
                          <w:t>-2.3</w:t>
                        </w:r>
                      </w:p>
                    </w:tc>
                  </w:tr>
                  <w:tr>
                    <w:trPr>
                      <w:trHeight w:val="273" w:hRule="atLeast"/>
                    </w:trPr>
                    <w:tc>
                      <w:tcPr>
                        <w:tcW w:w="1109" w:type="dxa"/>
                      </w:tcPr>
                      <w:p>
                        <w:pPr>
                          <w:pStyle w:val="TableParagraph"/>
                          <w:spacing w:before="37"/>
                          <w:ind w:left="57"/>
                          <w:rPr>
                            <w:sz w:val="16"/>
                          </w:rPr>
                        </w:pPr>
                        <w:r>
                          <w:rPr>
                            <w:sz w:val="16"/>
                          </w:rPr>
                          <w:t>Botswana</w:t>
                        </w:r>
                      </w:p>
                    </w:tc>
                    <w:tc>
                      <w:tcPr>
                        <w:tcW w:w="855" w:type="dxa"/>
                      </w:tcPr>
                      <w:p>
                        <w:pPr>
                          <w:pStyle w:val="TableParagraph"/>
                          <w:spacing w:before="37"/>
                          <w:ind w:right="97"/>
                          <w:jc w:val="right"/>
                          <w:rPr>
                            <w:sz w:val="16"/>
                          </w:rPr>
                        </w:pPr>
                        <w:r>
                          <w:rPr>
                            <w:sz w:val="16"/>
                          </w:rPr>
                          <w:t>13 611</w:t>
                        </w:r>
                      </w:p>
                    </w:tc>
                    <w:tc>
                      <w:tcPr>
                        <w:tcW w:w="855" w:type="dxa"/>
                      </w:tcPr>
                      <w:p>
                        <w:pPr>
                          <w:pStyle w:val="TableParagraph"/>
                          <w:spacing w:before="37"/>
                          <w:ind w:right="98"/>
                          <w:jc w:val="right"/>
                          <w:rPr>
                            <w:sz w:val="16"/>
                          </w:rPr>
                        </w:pPr>
                        <w:r>
                          <w:rPr>
                            <w:sz w:val="16"/>
                          </w:rPr>
                          <w:t>12 427</w:t>
                        </w:r>
                      </w:p>
                    </w:tc>
                    <w:tc>
                      <w:tcPr>
                        <w:tcW w:w="855" w:type="dxa"/>
                      </w:tcPr>
                      <w:p>
                        <w:pPr>
                          <w:pStyle w:val="TableParagraph"/>
                          <w:spacing w:before="37"/>
                          <w:ind w:left="334"/>
                          <w:rPr>
                            <w:sz w:val="16"/>
                          </w:rPr>
                        </w:pPr>
                        <w:r>
                          <w:rPr>
                            <w:sz w:val="16"/>
                          </w:rPr>
                          <w:t>-118</w:t>
                        </w:r>
                      </w:p>
                    </w:tc>
                    <w:tc>
                      <w:tcPr>
                        <w:tcW w:w="788" w:type="dxa"/>
                      </w:tcPr>
                      <w:p>
                        <w:pPr>
                          <w:pStyle w:val="TableParagraph"/>
                          <w:spacing w:before="37"/>
                          <w:ind w:right="211"/>
                          <w:jc w:val="right"/>
                          <w:rPr>
                            <w:sz w:val="16"/>
                          </w:rPr>
                        </w:pPr>
                        <w:r>
                          <w:rPr>
                            <w:sz w:val="16"/>
                          </w:rPr>
                          <w:t>-0.9</w:t>
                        </w:r>
                      </w:p>
                    </w:tc>
                  </w:tr>
                  <w:tr>
                    <w:trPr>
                      <w:trHeight w:val="275" w:hRule="atLeast"/>
                    </w:trPr>
                    <w:tc>
                      <w:tcPr>
                        <w:tcW w:w="1109" w:type="dxa"/>
                      </w:tcPr>
                      <w:p>
                        <w:pPr>
                          <w:pStyle w:val="TableParagraph"/>
                          <w:spacing w:before="37"/>
                          <w:ind w:left="57"/>
                          <w:rPr>
                            <w:sz w:val="16"/>
                          </w:rPr>
                        </w:pPr>
                        <w:r>
                          <w:rPr>
                            <w:sz w:val="16"/>
                          </w:rPr>
                          <w:t>Burkina Faso</w:t>
                        </w:r>
                      </w:p>
                    </w:tc>
                    <w:tc>
                      <w:tcPr>
                        <w:tcW w:w="855" w:type="dxa"/>
                      </w:tcPr>
                      <w:p>
                        <w:pPr>
                          <w:pStyle w:val="TableParagraph"/>
                          <w:spacing w:before="37"/>
                          <w:ind w:right="98"/>
                          <w:jc w:val="right"/>
                          <w:rPr>
                            <w:sz w:val="16"/>
                          </w:rPr>
                        </w:pPr>
                        <w:r>
                          <w:rPr>
                            <w:sz w:val="16"/>
                          </w:rPr>
                          <w:t>7 241</w:t>
                        </w:r>
                      </w:p>
                    </w:tc>
                    <w:tc>
                      <w:tcPr>
                        <w:tcW w:w="855" w:type="dxa"/>
                      </w:tcPr>
                      <w:p>
                        <w:pPr>
                          <w:pStyle w:val="TableParagraph"/>
                          <w:spacing w:before="37"/>
                          <w:ind w:right="98"/>
                          <w:jc w:val="right"/>
                          <w:rPr>
                            <w:sz w:val="16"/>
                          </w:rPr>
                        </w:pPr>
                        <w:r>
                          <w:rPr>
                            <w:sz w:val="16"/>
                          </w:rPr>
                          <w:t>7 089</w:t>
                        </w:r>
                      </w:p>
                    </w:tc>
                    <w:tc>
                      <w:tcPr>
                        <w:tcW w:w="855" w:type="dxa"/>
                      </w:tcPr>
                      <w:p>
                        <w:pPr>
                          <w:pStyle w:val="TableParagraph"/>
                          <w:spacing w:before="37"/>
                          <w:ind w:left="413"/>
                          <w:rPr>
                            <w:sz w:val="16"/>
                          </w:rPr>
                        </w:pPr>
                        <w:r>
                          <w:rPr>
                            <w:sz w:val="16"/>
                          </w:rPr>
                          <w:t>-15</w:t>
                        </w:r>
                      </w:p>
                    </w:tc>
                    <w:tc>
                      <w:tcPr>
                        <w:tcW w:w="788" w:type="dxa"/>
                      </w:tcPr>
                      <w:p>
                        <w:pPr>
                          <w:pStyle w:val="TableParagraph"/>
                          <w:spacing w:before="37"/>
                          <w:ind w:right="211"/>
                          <w:jc w:val="right"/>
                          <w:rPr>
                            <w:sz w:val="16"/>
                          </w:rPr>
                        </w:pPr>
                        <w:r>
                          <w:rPr>
                            <w:sz w:val="16"/>
                          </w:rPr>
                          <w:t>-0.2</w:t>
                        </w:r>
                      </w:p>
                    </w:tc>
                  </w:tr>
                  <w:tr>
                    <w:trPr>
                      <w:trHeight w:val="273" w:hRule="atLeast"/>
                    </w:trPr>
                    <w:tc>
                      <w:tcPr>
                        <w:tcW w:w="1109" w:type="dxa"/>
                      </w:tcPr>
                      <w:p>
                        <w:pPr>
                          <w:pStyle w:val="TableParagraph"/>
                          <w:spacing w:before="37"/>
                          <w:ind w:left="57"/>
                          <w:rPr>
                            <w:sz w:val="16"/>
                          </w:rPr>
                        </w:pPr>
                        <w:r>
                          <w:rPr>
                            <w:sz w:val="16"/>
                          </w:rPr>
                          <w:t>Burundi</w:t>
                        </w:r>
                      </w:p>
                    </w:tc>
                    <w:tc>
                      <w:tcPr>
                        <w:tcW w:w="855" w:type="dxa"/>
                      </w:tcPr>
                      <w:p>
                        <w:pPr>
                          <w:pStyle w:val="TableParagraph"/>
                          <w:spacing w:before="37"/>
                          <w:ind w:right="97"/>
                          <w:jc w:val="right"/>
                          <w:rPr>
                            <w:sz w:val="16"/>
                          </w:rPr>
                        </w:pPr>
                        <w:r>
                          <w:rPr>
                            <w:sz w:val="16"/>
                          </w:rPr>
                          <w:t>241</w:t>
                        </w:r>
                      </w:p>
                    </w:tc>
                    <w:tc>
                      <w:tcPr>
                        <w:tcW w:w="855" w:type="dxa"/>
                      </w:tcPr>
                      <w:p>
                        <w:pPr>
                          <w:pStyle w:val="TableParagraph"/>
                          <w:spacing w:before="37"/>
                          <w:ind w:right="97"/>
                          <w:jc w:val="right"/>
                          <w:rPr>
                            <w:sz w:val="16"/>
                          </w:rPr>
                        </w:pPr>
                        <w:r>
                          <w:rPr>
                            <w:sz w:val="16"/>
                          </w:rPr>
                          <w:t>94</w:t>
                        </w:r>
                      </w:p>
                    </w:tc>
                    <w:tc>
                      <w:tcPr>
                        <w:tcW w:w="855" w:type="dxa"/>
                      </w:tcPr>
                      <w:p>
                        <w:pPr>
                          <w:pStyle w:val="TableParagraph"/>
                          <w:spacing w:before="37"/>
                          <w:ind w:left="413"/>
                          <w:rPr>
                            <w:sz w:val="16"/>
                          </w:rPr>
                        </w:pPr>
                        <w:r>
                          <w:rPr>
                            <w:sz w:val="16"/>
                          </w:rPr>
                          <w:t>-15</w:t>
                        </w:r>
                      </w:p>
                    </w:tc>
                    <w:tc>
                      <w:tcPr>
                        <w:tcW w:w="788" w:type="dxa"/>
                      </w:tcPr>
                      <w:p>
                        <w:pPr>
                          <w:pStyle w:val="TableParagraph"/>
                          <w:spacing w:before="37"/>
                          <w:ind w:right="211"/>
                          <w:jc w:val="right"/>
                          <w:rPr>
                            <w:sz w:val="16"/>
                          </w:rPr>
                        </w:pPr>
                        <w:r>
                          <w:rPr>
                            <w:sz w:val="16"/>
                          </w:rPr>
                          <w:t>-9.0</w:t>
                        </w:r>
                      </w:p>
                    </w:tc>
                  </w:tr>
                  <w:tr>
                    <w:trPr>
                      <w:trHeight w:val="273" w:hRule="atLeast"/>
                    </w:trPr>
                    <w:tc>
                      <w:tcPr>
                        <w:tcW w:w="1109" w:type="dxa"/>
                      </w:tcPr>
                      <w:p>
                        <w:pPr>
                          <w:pStyle w:val="TableParagraph"/>
                          <w:spacing w:before="37"/>
                          <w:ind w:left="57"/>
                          <w:rPr>
                            <w:sz w:val="16"/>
                          </w:rPr>
                        </w:pPr>
                        <w:r>
                          <w:rPr>
                            <w:sz w:val="16"/>
                          </w:rPr>
                          <w:t>Cameroon</w:t>
                        </w:r>
                      </w:p>
                    </w:tc>
                    <w:tc>
                      <w:tcPr>
                        <w:tcW w:w="855" w:type="dxa"/>
                      </w:tcPr>
                      <w:p>
                        <w:pPr>
                          <w:pStyle w:val="TableParagraph"/>
                          <w:spacing w:before="37"/>
                          <w:ind w:right="99"/>
                          <w:jc w:val="right"/>
                          <w:rPr>
                            <w:sz w:val="16"/>
                          </w:rPr>
                        </w:pPr>
                        <w:r>
                          <w:rPr>
                            <w:sz w:val="16"/>
                          </w:rPr>
                          <w:t>26 076</w:t>
                        </w:r>
                      </w:p>
                    </w:tc>
                    <w:tc>
                      <w:tcPr>
                        <w:tcW w:w="855" w:type="dxa"/>
                      </w:tcPr>
                      <w:p>
                        <w:pPr>
                          <w:pStyle w:val="TableParagraph"/>
                          <w:spacing w:before="37"/>
                          <w:ind w:right="99"/>
                          <w:jc w:val="right"/>
                          <w:rPr>
                            <w:sz w:val="16"/>
                          </w:rPr>
                        </w:pPr>
                        <w:r>
                          <w:rPr>
                            <w:sz w:val="16"/>
                          </w:rPr>
                          <w:t>23 858</w:t>
                        </w:r>
                      </w:p>
                    </w:tc>
                    <w:tc>
                      <w:tcPr>
                        <w:tcW w:w="855" w:type="dxa"/>
                      </w:tcPr>
                      <w:p>
                        <w:pPr>
                          <w:pStyle w:val="TableParagraph"/>
                          <w:spacing w:before="37"/>
                          <w:ind w:left="334"/>
                          <w:rPr>
                            <w:sz w:val="16"/>
                          </w:rPr>
                        </w:pPr>
                        <w:r>
                          <w:rPr>
                            <w:sz w:val="16"/>
                          </w:rPr>
                          <w:t>-222</w:t>
                        </w:r>
                      </w:p>
                    </w:tc>
                    <w:tc>
                      <w:tcPr>
                        <w:tcW w:w="788" w:type="dxa"/>
                      </w:tcPr>
                      <w:p>
                        <w:pPr>
                          <w:pStyle w:val="TableParagraph"/>
                          <w:spacing w:before="37"/>
                          <w:ind w:right="213"/>
                          <w:jc w:val="right"/>
                          <w:rPr>
                            <w:sz w:val="16"/>
                          </w:rPr>
                        </w:pPr>
                        <w:r>
                          <w:rPr>
                            <w:sz w:val="16"/>
                          </w:rPr>
                          <w:t>-0.9</w:t>
                        </w:r>
                      </w:p>
                    </w:tc>
                  </w:tr>
                  <w:tr>
                    <w:trPr>
                      <w:trHeight w:val="275" w:hRule="atLeast"/>
                    </w:trPr>
                    <w:tc>
                      <w:tcPr>
                        <w:tcW w:w="1109" w:type="dxa"/>
                      </w:tcPr>
                      <w:p>
                        <w:pPr>
                          <w:pStyle w:val="TableParagraph"/>
                          <w:spacing w:before="37"/>
                          <w:ind w:left="57"/>
                          <w:rPr>
                            <w:sz w:val="16"/>
                          </w:rPr>
                        </w:pPr>
                        <w:r>
                          <w:rPr>
                            <w:sz w:val="16"/>
                          </w:rPr>
                          <w:t>Cape Verde</w:t>
                        </w:r>
                      </w:p>
                    </w:tc>
                    <w:tc>
                      <w:tcPr>
                        <w:tcW w:w="855" w:type="dxa"/>
                      </w:tcPr>
                      <w:p>
                        <w:pPr>
                          <w:pStyle w:val="TableParagraph"/>
                          <w:spacing w:before="37"/>
                          <w:ind w:right="96"/>
                          <w:jc w:val="right"/>
                          <w:rPr>
                            <w:sz w:val="16"/>
                          </w:rPr>
                        </w:pPr>
                        <w:r>
                          <w:rPr>
                            <w:sz w:val="16"/>
                          </w:rPr>
                          <w:t>35</w:t>
                        </w:r>
                      </w:p>
                    </w:tc>
                    <w:tc>
                      <w:tcPr>
                        <w:tcW w:w="855" w:type="dxa"/>
                      </w:tcPr>
                      <w:p>
                        <w:pPr>
                          <w:pStyle w:val="TableParagraph"/>
                          <w:spacing w:before="37"/>
                          <w:ind w:right="97"/>
                          <w:jc w:val="right"/>
                          <w:rPr>
                            <w:sz w:val="16"/>
                          </w:rPr>
                        </w:pPr>
                        <w:r>
                          <w:rPr>
                            <w:sz w:val="16"/>
                          </w:rPr>
                          <w:t>85</w:t>
                        </w:r>
                      </w:p>
                    </w:tc>
                    <w:tc>
                      <w:tcPr>
                        <w:tcW w:w="855" w:type="dxa"/>
                      </w:tcPr>
                      <w:p>
                        <w:pPr>
                          <w:pStyle w:val="TableParagraph"/>
                          <w:spacing w:before="37"/>
                          <w:ind w:left="547"/>
                          <w:rPr>
                            <w:sz w:val="16"/>
                          </w:rPr>
                        </w:pPr>
                        <w:r>
                          <w:rPr>
                            <w:w w:val="100"/>
                            <w:sz w:val="16"/>
                          </w:rPr>
                          <w:t>5</w:t>
                        </w:r>
                      </w:p>
                    </w:tc>
                    <w:tc>
                      <w:tcPr>
                        <w:tcW w:w="788" w:type="dxa"/>
                      </w:tcPr>
                      <w:p>
                        <w:pPr>
                          <w:pStyle w:val="TableParagraph"/>
                          <w:spacing w:before="37"/>
                          <w:ind w:right="213"/>
                          <w:jc w:val="right"/>
                          <w:rPr>
                            <w:sz w:val="16"/>
                          </w:rPr>
                        </w:pPr>
                        <w:r>
                          <w:rPr>
                            <w:sz w:val="16"/>
                          </w:rPr>
                          <w:t>9.3</w:t>
                        </w:r>
                      </w:p>
                    </w:tc>
                  </w:tr>
                  <w:tr>
                    <w:trPr>
                      <w:trHeight w:val="443" w:hRule="atLeast"/>
                    </w:trPr>
                    <w:tc>
                      <w:tcPr>
                        <w:tcW w:w="1109" w:type="dxa"/>
                      </w:tcPr>
                      <w:p>
                        <w:pPr>
                          <w:pStyle w:val="TableParagraph"/>
                          <w:spacing w:before="33"/>
                          <w:ind w:left="57" w:right="22"/>
                          <w:rPr>
                            <w:sz w:val="16"/>
                          </w:rPr>
                        </w:pPr>
                        <w:r>
                          <w:rPr>
                            <w:sz w:val="16"/>
                          </w:rPr>
                          <w:t>Central African Republic</w:t>
                        </w:r>
                      </w:p>
                    </w:tc>
                    <w:tc>
                      <w:tcPr>
                        <w:tcW w:w="855" w:type="dxa"/>
                      </w:tcPr>
                      <w:p>
                        <w:pPr>
                          <w:pStyle w:val="TableParagraph"/>
                          <w:spacing w:before="124"/>
                          <w:ind w:right="98"/>
                          <w:jc w:val="right"/>
                          <w:rPr>
                            <w:sz w:val="16"/>
                          </w:rPr>
                        </w:pPr>
                        <w:r>
                          <w:rPr>
                            <w:sz w:val="16"/>
                          </w:rPr>
                          <w:t>23 207</w:t>
                        </w:r>
                      </w:p>
                    </w:tc>
                    <w:tc>
                      <w:tcPr>
                        <w:tcW w:w="855" w:type="dxa"/>
                      </w:tcPr>
                      <w:p>
                        <w:pPr>
                          <w:pStyle w:val="TableParagraph"/>
                          <w:spacing w:before="124"/>
                          <w:ind w:right="100"/>
                          <w:jc w:val="right"/>
                          <w:rPr>
                            <w:sz w:val="16"/>
                          </w:rPr>
                        </w:pPr>
                        <w:r>
                          <w:rPr>
                            <w:sz w:val="16"/>
                          </w:rPr>
                          <w:t>22 907</w:t>
                        </w:r>
                      </w:p>
                    </w:tc>
                    <w:tc>
                      <w:tcPr>
                        <w:tcW w:w="855" w:type="dxa"/>
                      </w:tcPr>
                      <w:p>
                        <w:pPr>
                          <w:pStyle w:val="TableParagraph"/>
                          <w:spacing w:before="124"/>
                          <w:ind w:left="413"/>
                          <w:rPr>
                            <w:sz w:val="16"/>
                          </w:rPr>
                        </w:pPr>
                        <w:r>
                          <w:rPr>
                            <w:sz w:val="16"/>
                          </w:rPr>
                          <w:t>-30</w:t>
                        </w:r>
                      </w:p>
                    </w:tc>
                    <w:tc>
                      <w:tcPr>
                        <w:tcW w:w="788" w:type="dxa"/>
                      </w:tcPr>
                      <w:p>
                        <w:pPr>
                          <w:pStyle w:val="TableParagraph"/>
                          <w:spacing w:before="124"/>
                          <w:ind w:right="211"/>
                          <w:jc w:val="right"/>
                          <w:rPr>
                            <w:sz w:val="16"/>
                          </w:rPr>
                        </w:pPr>
                        <w:r>
                          <w:rPr>
                            <w:sz w:val="16"/>
                          </w:rPr>
                          <w:t>-0.1</w:t>
                        </w:r>
                      </w:p>
                    </w:tc>
                  </w:tr>
                  <w:tr>
                    <w:trPr>
                      <w:trHeight w:val="273" w:hRule="atLeast"/>
                    </w:trPr>
                    <w:tc>
                      <w:tcPr>
                        <w:tcW w:w="1109" w:type="dxa"/>
                      </w:tcPr>
                      <w:p>
                        <w:pPr>
                          <w:pStyle w:val="TableParagraph"/>
                          <w:spacing w:before="37"/>
                          <w:ind w:left="57"/>
                          <w:rPr>
                            <w:sz w:val="16"/>
                          </w:rPr>
                        </w:pPr>
                        <w:r>
                          <w:rPr>
                            <w:sz w:val="16"/>
                          </w:rPr>
                          <w:t>Chad</w:t>
                        </w:r>
                      </w:p>
                    </w:tc>
                    <w:tc>
                      <w:tcPr>
                        <w:tcW w:w="855" w:type="dxa"/>
                      </w:tcPr>
                      <w:p>
                        <w:pPr>
                          <w:pStyle w:val="TableParagraph"/>
                          <w:spacing w:before="37"/>
                          <w:ind w:right="98"/>
                          <w:jc w:val="right"/>
                          <w:rPr>
                            <w:sz w:val="16"/>
                          </w:rPr>
                        </w:pPr>
                        <w:r>
                          <w:rPr>
                            <w:sz w:val="16"/>
                          </w:rPr>
                          <w:t>13 509</w:t>
                        </w:r>
                      </w:p>
                    </w:tc>
                    <w:tc>
                      <w:tcPr>
                        <w:tcW w:w="855" w:type="dxa"/>
                      </w:tcPr>
                      <w:p>
                        <w:pPr>
                          <w:pStyle w:val="TableParagraph"/>
                          <w:spacing w:before="37"/>
                          <w:ind w:right="99"/>
                          <w:jc w:val="right"/>
                          <w:rPr>
                            <w:sz w:val="16"/>
                          </w:rPr>
                        </w:pPr>
                        <w:r>
                          <w:rPr>
                            <w:sz w:val="16"/>
                          </w:rPr>
                          <w:t>12 692</w:t>
                        </w:r>
                      </w:p>
                    </w:tc>
                    <w:tc>
                      <w:tcPr>
                        <w:tcW w:w="855" w:type="dxa"/>
                      </w:tcPr>
                      <w:p>
                        <w:pPr>
                          <w:pStyle w:val="TableParagraph"/>
                          <w:spacing w:before="37"/>
                          <w:ind w:left="414"/>
                          <w:rPr>
                            <w:sz w:val="16"/>
                          </w:rPr>
                        </w:pPr>
                        <w:r>
                          <w:rPr>
                            <w:sz w:val="16"/>
                          </w:rPr>
                          <w:t>-82</w:t>
                        </w:r>
                      </w:p>
                    </w:tc>
                    <w:tc>
                      <w:tcPr>
                        <w:tcW w:w="788" w:type="dxa"/>
                      </w:tcPr>
                      <w:p>
                        <w:pPr>
                          <w:pStyle w:val="TableParagraph"/>
                          <w:spacing w:before="37"/>
                          <w:ind w:right="212"/>
                          <w:jc w:val="right"/>
                          <w:rPr>
                            <w:sz w:val="16"/>
                          </w:rPr>
                        </w:pPr>
                        <w:r>
                          <w:rPr>
                            <w:sz w:val="16"/>
                          </w:rPr>
                          <w:t>-0.6</w:t>
                        </w:r>
                      </w:p>
                    </w:tc>
                  </w:tr>
                  <w:tr>
                    <w:trPr>
                      <w:trHeight w:val="273" w:hRule="atLeast"/>
                    </w:trPr>
                    <w:tc>
                      <w:tcPr>
                        <w:tcW w:w="1109" w:type="dxa"/>
                      </w:tcPr>
                      <w:p>
                        <w:pPr>
                          <w:pStyle w:val="TableParagraph"/>
                          <w:spacing w:before="37"/>
                          <w:ind w:left="57"/>
                          <w:rPr>
                            <w:sz w:val="16"/>
                          </w:rPr>
                        </w:pPr>
                        <w:r>
                          <w:rPr>
                            <w:sz w:val="16"/>
                          </w:rPr>
                          <w:t>Comoros</w:t>
                        </w:r>
                      </w:p>
                    </w:tc>
                    <w:tc>
                      <w:tcPr>
                        <w:tcW w:w="855" w:type="dxa"/>
                      </w:tcPr>
                      <w:p>
                        <w:pPr>
                          <w:pStyle w:val="TableParagraph"/>
                          <w:spacing w:before="37"/>
                          <w:ind w:right="97"/>
                          <w:jc w:val="right"/>
                          <w:rPr>
                            <w:sz w:val="16"/>
                          </w:rPr>
                        </w:pPr>
                        <w:r>
                          <w:rPr>
                            <w:sz w:val="16"/>
                          </w:rPr>
                          <w:t>12</w:t>
                        </w:r>
                      </w:p>
                    </w:tc>
                    <w:tc>
                      <w:tcPr>
                        <w:tcW w:w="855" w:type="dxa"/>
                      </w:tcPr>
                      <w:p>
                        <w:pPr>
                          <w:pStyle w:val="TableParagraph"/>
                          <w:spacing w:before="37"/>
                          <w:ind w:right="98"/>
                          <w:jc w:val="right"/>
                          <w:rPr>
                            <w:sz w:val="16"/>
                          </w:rPr>
                        </w:pPr>
                        <w:r>
                          <w:rPr>
                            <w:w w:val="100"/>
                            <w:sz w:val="16"/>
                          </w:rPr>
                          <w:t>8</w:t>
                        </w:r>
                      </w:p>
                    </w:tc>
                    <w:tc>
                      <w:tcPr>
                        <w:tcW w:w="855" w:type="dxa"/>
                      </w:tcPr>
                      <w:p>
                        <w:pPr>
                          <w:pStyle w:val="TableParagraph"/>
                          <w:spacing w:before="37"/>
                          <w:ind w:left="403"/>
                          <w:rPr>
                            <w:sz w:val="16"/>
                          </w:rPr>
                        </w:pPr>
                        <w:r>
                          <w:rPr>
                            <w:sz w:val="16"/>
                          </w:rPr>
                          <w:t>n.s.</w:t>
                        </w:r>
                      </w:p>
                    </w:tc>
                    <w:tc>
                      <w:tcPr>
                        <w:tcW w:w="788" w:type="dxa"/>
                      </w:tcPr>
                      <w:p>
                        <w:pPr>
                          <w:pStyle w:val="TableParagraph"/>
                          <w:spacing w:before="37"/>
                          <w:ind w:right="211"/>
                          <w:jc w:val="right"/>
                          <w:rPr>
                            <w:sz w:val="16"/>
                          </w:rPr>
                        </w:pPr>
                        <w:r>
                          <w:rPr>
                            <w:sz w:val="16"/>
                          </w:rPr>
                          <w:t>-4.3</w:t>
                        </w:r>
                      </w:p>
                    </w:tc>
                  </w:tr>
                  <w:tr>
                    <w:trPr>
                      <w:trHeight w:val="275" w:hRule="atLeast"/>
                    </w:trPr>
                    <w:tc>
                      <w:tcPr>
                        <w:tcW w:w="1109" w:type="dxa"/>
                      </w:tcPr>
                      <w:p>
                        <w:pPr>
                          <w:pStyle w:val="TableParagraph"/>
                          <w:spacing w:before="37"/>
                          <w:ind w:left="57"/>
                          <w:rPr>
                            <w:sz w:val="16"/>
                          </w:rPr>
                        </w:pPr>
                        <w:r>
                          <w:rPr>
                            <w:sz w:val="16"/>
                          </w:rPr>
                          <w:t>Congo</w:t>
                        </w:r>
                      </w:p>
                    </w:tc>
                    <w:tc>
                      <w:tcPr>
                        <w:tcW w:w="855" w:type="dxa"/>
                      </w:tcPr>
                      <w:p>
                        <w:pPr>
                          <w:pStyle w:val="TableParagraph"/>
                          <w:spacing w:before="37"/>
                          <w:ind w:right="98"/>
                          <w:jc w:val="right"/>
                          <w:rPr>
                            <w:sz w:val="16"/>
                          </w:rPr>
                        </w:pPr>
                        <w:r>
                          <w:rPr>
                            <w:sz w:val="16"/>
                          </w:rPr>
                          <w:t>22 235</w:t>
                        </w:r>
                      </w:p>
                    </w:tc>
                    <w:tc>
                      <w:tcPr>
                        <w:tcW w:w="855" w:type="dxa"/>
                      </w:tcPr>
                      <w:p>
                        <w:pPr>
                          <w:pStyle w:val="TableParagraph"/>
                          <w:spacing w:before="37"/>
                          <w:ind w:right="99"/>
                          <w:jc w:val="right"/>
                          <w:rPr>
                            <w:sz w:val="16"/>
                          </w:rPr>
                        </w:pPr>
                        <w:r>
                          <w:rPr>
                            <w:sz w:val="16"/>
                          </w:rPr>
                          <w:t>22 060</w:t>
                        </w:r>
                      </w:p>
                    </w:tc>
                    <w:tc>
                      <w:tcPr>
                        <w:tcW w:w="855" w:type="dxa"/>
                      </w:tcPr>
                      <w:p>
                        <w:pPr>
                          <w:pStyle w:val="TableParagraph"/>
                          <w:spacing w:before="37"/>
                          <w:ind w:left="413"/>
                          <w:rPr>
                            <w:sz w:val="16"/>
                          </w:rPr>
                        </w:pPr>
                        <w:r>
                          <w:rPr>
                            <w:sz w:val="16"/>
                          </w:rPr>
                          <w:t>-17</w:t>
                        </w:r>
                      </w:p>
                    </w:tc>
                    <w:tc>
                      <w:tcPr>
                        <w:tcW w:w="788" w:type="dxa"/>
                      </w:tcPr>
                      <w:p>
                        <w:pPr>
                          <w:pStyle w:val="TableParagraph"/>
                          <w:spacing w:before="37"/>
                          <w:ind w:right="212"/>
                          <w:jc w:val="right"/>
                          <w:rPr>
                            <w:sz w:val="16"/>
                          </w:rPr>
                        </w:pPr>
                        <w:r>
                          <w:rPr>
                            <w:sz w:val="16"/>
                          </w:rPr>
                          <w:t>-0.1</w:t>
                        </w:r>
                      </w:p>
                    </w:tc>
                  </w:tr>
                  <w:tr>
                    <w:trPr>
                      <w:trHeight w:val="273" w:hRule="atLeast"/>
                    </w:trPr>
                    <w:tc>
                      <w:tcPr>
                        <w:tcW w:w="1109" w:type="dxa"/>
                      </w:tcPr>
                      <w:p>
                        <w:pPr>
                          <w:pStyle w:val="TableParagraph"/>
                          <w:spacing w:before="37"/>
                          <w:ind w:left="57"/>
                          <w:rPr>
                            <w:sz w:val="16"/>
                          </w:rPr>
                        </w:pPr>
                        <w:r>
                          <w:rPr>
                            <w:sz w:val="16"/>
                          </w:rPr>
                          <w:t>Côte d'Ivoire</w:t>
                        </w:r>
                      </w:p>
                    </w:tc>
                    <w:tc>
                      <w:tcPr>
                        <w:tcW w:w="855" w:type="dxa"/>
                      </w:tcPr>
                      <w:p>
                        <w:pPr>
                          <w:pStyle w:val="TableParagraph"/>
                          <w:spacing w:before="37"/>
                          <w:ind w:right="98"/>
                          <w:jc w:val="right"/>
                          <w:rPr>
                            <w:sz w:val="16"/>
                          </w:rPr>
                        </w:pPr>
                        <w:r>
                          <w:rPr>
                            <w:sz w:val="16"/>
                          </w:rPr>
                          <w:t>9 766</w:t>
                        </w:r>
                      </w:p>
                    </w:tc>
                    <w:tc>
                      <w:tcPr>
                        <w:tcW w:w="855" w:type="dxa"/>
                      </w:tcPr>
                      <w:p>
                        <w:pPr>
                          <w:pStyle w:val="TableParagraph"/>
                          <w:spacing w:before="37"/>
                          <w:ind w:right="99"/>
                          <w:jc w:val="right"/>
                          <w:rPr>
                            <w:sz w:val="16"/>
                          </w:rPr>
                        </w:pPr>
                        <w:r>
                          <w:rPr>
                            <w:sz w:val="16"/>
                          </w:rPr>
                          <w:t>7 117</w:t>
                        </w:r>
                      </w:p>
                    </w:tc>
                    <w:tc>
                      <w:tcPr>
                        <w:tcW w:w="855" w:type="dxa"/>
                      </w:tcPr>
                      <w:p>
                        <w:pPr>
                          <w:pStyle w:val="TableParagraph"/>
                          <w:spacing w:before="37"/>
                          <w:ind w:left="333"/>
                          <w:rPr>
                            <w:sz w:val="16"/>
                          </w:rPr>
                        </w:pPr>
                        <w:r>
                          <w:rPr>
                            <w:sz w:val="16"/>
                          </w:rPr>
                          <w:t>-265</w:t>
                        </w:r>
                      </w:p>
                    </w:tc>
                    <w:tc>
                      <w:tcPr>
                        <w:tcW w:w="788" w:type="dxa"/>
                      </w:tcPr>
                      <w:p>
                        <w:pPr>
                          <w:pStyle w:val="TableParagraph"/>
                          <w:spacing w:before="37"/>
                          <w:ind w:right="212"/>
                          <w:jc w:val="right"/>
                          <w:rPr>
                            <w:sz w:val="16"/>
                          </w:rPr>
                        </w:pPr>
                        <w:r>
                          <w:rPr>
                            <w:sz w:val="16"/>
                          </w:rPr>
                          <w:t>-3.1</w:t>
                        </w:r>
                      </w:p>
                    </w:tc>
                  </w:tr>
                  <w:tr>
                    <w:trPr>
                      <w:trHeight w:val="443" w:hRule="atLeast"/>
                    </w:trPr>
                    <w:tc>
                      <w:tcPr>
                        <w:tcW w:w="1109" w:type="dxa"/>
                      </w:tcPr>
                      <w:p>
                        <w:pPr>
                          <w:pStyle w:val="TableParagraph"/>
                          <w:spacing w:before="33"/>
                          <w:ind w:left="57" w:right="159"/>
                          <w:rPr>
                            <w:sz w:val="16"/>
                          </w:rPr>
                        </w:pPr>
                        <w:r>
                          <w:rPr>
                            <w:sz w:val="16"/>
                          </w:rPr>
                          <w:t>Dem. Rep. of the Congo</w:t>
                        </w:r>
                      </w:p>
                    </w:tc>
                    <w:tc>
                      <w:tcPr>
                        <w:tcW w:w="855" w:type="dxa"/>
                      </w:tcPr>
                      <w:p>
                        <w:pPr>
                          <w:pStyle w:val="TableParagraph"/>
                          <w:spacing w:before="124"/>
                          <w:ind w:right="97"/>
                          <w:jc w:val="right"/>
                          <w:rPr>
                            <w:sz w:val="16"/>
                          </w:rPr>
                        </w:pPr>
                        <w:r>
                          <w:rPr>
                            <w:sz w:val="16"/>
                          </w:rPr>
                          <w:t>140 531</w:t>
                        </w:r>
                      </w:p>
                    </w:tc>
                    <w:tc>
                      <w:tcPr>
                        <w:tcW w:w="855" w:type="dxa"/>
                      </w:tcPr>
                      <w:p>
                        <w:pPr>
                          <w:pStyle w:val="TableParagraph"/>
                          <w:spacing w:before="124"/>
                          <w:ind w:right="97"/>
                          <w:jc w:val="right"/>
                          <w:rPr>
                            <w:sz w:val="16"/>
                          </w:rPr>
                        </w:pPr>
                        <w:r>
                          <w:rPr>
                            <w:sz w:val="16"/>
                          </w:rPr>
                          <w:t>135 207</w:t>
                        </w:r>
                      </w:p>
                    </w:tc>
                    <w:tc>
                      <w:tcPr>
                        <w:tcW w:w="855" w:type="dxa"/>
                      </w:tcPr>
                      <w:p>
                        <w:pPr>
                          <w:pStyle w:val="TableParagraph"/>
                          <w:spacing w:before="124"/>
                          <w:ind w:left="334"/>
                          <w:rPr>
                            <w:sz w:val="16"/>
                          </w:rPr>
                        </w:pPr>
                        <w:r>
                          <w:rPr>
                            <w:sz w:val="16"/>
                          </w:rPr>
                          <w:t>-532</w:t>
                        </w:r>
                      </w:p>
                    </w:tc>
                    <w:tc>
                      <w:tcPr>
                        <w:tcW w:w="788" w:type="dxa"/>
                      </w:tcPr>
                      <w:p>
                        <w:pPr>
                          <w:pStyle w:val="TableParagraph"/>
                          <w:spacing w:before="124"/>
                          <w:ind w:right="211"/>
                          <w:jc w:val="right"/>
                          <w:rPr>
                            <w:sz w:val="16"/>
                          </w:rPr>
                        </w:pPr>
                        <w:r>
                          <w:rPr>
                            <w:sz w:val="16"/>
                          </w:rPr>
                          <w:t>-0.4</w:t>
                        </w:r>
                      </w:p>
                    </w:tc>
                  </w:tr>
                  <w:tr>
                    <w:trPr>
                      <w:trHeight w:val="275" w:hRule="atLeast"/>
                    </w:trPr>
                    <w:tc>
                      <w:tcPr>
                        <w:tcW w:w="1109" w:type="dxa"/>
                      </w:tcPr>
                      <w:p>
                        <w:pPr>
                          <w:pStyle w:val="TableParagraph"/>
                          <w:spacing w:before="37"/>
                          <w:ind w:left="57"/>
                          <w:rPr>
                            <w:sz w:val="16"/>
                          </w:rPr>
                        </w:pPr>
                        <w:r>
                          <w:rPr>
                            <w:sz w:val="16"/>
                          </w:rPr>
                          <w:t>Djibouti</w:t>
                        </w:r>
                      </w:p>
                    </w:tc>
                    <w:tc>
                      <w:tcPr>
                        <w:tcW w:w="855" w:type="dxa"/>
                      </w:tcPr>
                      <w:p>
                        <w:pPr>
                          <w:pStyle w:val="TableParagraph"/>
                          <w:spacing w:before="37"/>
                          <w:ind w:right="97"/>
                          <w:jc w:val="right"/>
                          <w:rPr>
                            <w:sz w:val="16"/>
                          </w:rPr>
                        </w:pPr>
                        <w:r>
                          <w:rPr>
                            <w:w w:val="100"/>
                            <w:sz w:val="16"/>
                          </w:rPr>
                          <w:t>6</w:t>
                        </w:r>
                      </w:p>
                    </w:tc>
                    <w:tc>
                      <w:tcPr>
                        <w:tcW w:w="855" w:type="dxa"/>
                      </w:tcPr>
                      <w:p>
                        <w:pPr>
                          <w:pStyle w:val="TableParagraph"/>
                          <w:spacing w:before="37"/>
                          <w:ind w:right="98"/>
                          <w:jc w:val="right"/>
                          <w:rPr>
                            <w:sz w:val="16"/>
                          </w:rPr>
                        </w:pPr>
                        <w:r>
                          <w:rPr>
                            <w:w w:val="100"/>
                            <w:sz w:val="16"/>
                          </w:rPr>
                          <w:t>6</w:t>
                        </w:r>
                      </w:p>
                    </w:tc>
                    <w:tc>
                      <w:tcPr>
                        <w:tcW w:w="855" w:type="dxa"/>
                      </w:tcPr>
                      <w:p>
                        <w:pPr>
                          <w:pStyle w:val="TableParagraph"/>
                          <w:spacing w:before="37"/>
                          <w:ind w:left="404"/>
                          <w:rPr>
                            <w:sz w:val="16"/>
                          </w:rPr>
                        </w:pPr>
                        <w:r>
                          <w:rPr>
                            <w:sz w:val="16"/>
                          </w:rPr>
                          <w:t>n.s.</w:t>
                        </w:r>
                      </w:p>
                    </w:tc>
                    <w:tc>
                      <w:tcPr>
                        <w:tcW w:w="788" w:type="dxa"/>
                      </w:tcPr>
                      <w:p>
                        <w:pPr>
                          <w:pStyle w:val="TableParagraph"/>
                          <w:spacing w:before="37"/>
                          <w:ind w:right="211"/>
                          <w:jc w:val="right"/>
                          <w:rPr>
                            <w:sz w:val="16"/>
                          </w:rPr>
                        </w:pPr>
                        <w:r>
                          <w:rPr>
                            <w:sz w:val="16"/>
                          </w:rPr>
                          <w:t>n.s.</w:t>
                        </w:r>
                      </w:p>
                    </w:tc>
                  </w:tr>
                  <w:tr>
                    <w:trPr>
                      <w:trHeight w:val="273" w:hRule="atLeast"/>
                    </w:trPr>
                    <w:tc>
                      <w:tcPr>
                        <w:tcW w:w="1109" w:type="dxa"/>
                      </w:tcPr>
                      <w:p>
                        <w:pPr>
                          <w:pStyle w:val="TableParagraph"/>
                          <w:spacing w:before="37"/>
                          <w:ind w:left="57"/>
                          <w:rPr>
                            <w:sz w:val="16"/>
                          </w:rPr>
                        </w:pPr>
                        <w:r>
                          <w:rPr>
                            <w:sz w:val="16"/>
                          </w:rPr>
                          <w:t>Egypt</w:t>
                        </w:r>
                      </w:p>
                    </w:tc>
                    <w:tc>
                      <w:tcPr>
                        <w:tcW w:w="855" w:type="dxa"/>
                      </w:tcPr>
                      <w:p>
                        <w:pPr>
                          <w:pStyle w:val="TableParagraph"/>
                          <w:spacing w:before="37"/>
                          <w:ind w:right="96"/>
                          <w:jc w:val="right"/>
                          <w:rPr>
                            <w:sz w:val="16"/>
                          </w:rPr>
                        </w:pPr>
                        <w:r>
                          <w:rPr>
                            <w:sz w:val="16"/>
                          </w:rPr>
                          <w:t>52</w:t>
                        </w:r>
                      </w:p>
                    </w:tc>
                    <w:tc>
                      <w:tcPr>
                        <w:tcW w:w="855" w:type="dxa"/>
                      </w:tcPr>
                      <w:p>
                        <w:pPr>
                          <w:pStyle w:val="TableParagraph"/>
                          <w:spacing w:before="37"/>
                          <w:ind w:right="97"/>
                          <w:jc w:val="right"/>
                          <w:rPr>
                            <w:sz w:val="16"/>
                          </w:rPr>
                        </w:pPr>
                        <w:r>
                          <w:rPr>
                            <w:sz w:val="16"/>
                          </w:rPr>
                          <w:t>72</w:t>
                        </w:r>
                      </w:p>
                    </w:tc>
                    <w:tc>
                      <w:tcPr>
                        <w:tcW w:w="855" w:type="dxa"/>
                      </w:tcPr>
                      <w:p>
                        <w:pPr>
                          <w:pStyle w:val="TableParagraph"/>
                          <w:spacing w:before="37"/>
                          <w:ind w:left="547"/>
                          <w:rPr>
                            <w:sz w:val="16"/>
                          </w:rPr>
                        </w:pPr>
                        <w:r>
                          <w:rPr>
                            <w:w w:val="100"/>
                            <w:sz w:val="16"/>
                          </w:rPr>
                          <w:t>2</w:t>
                        </w:r>
                      </w:p>
                    </w:tc>
                    <w:tc>
                      <w:tcPr>
                        <w:tcW w:w="788" w:type="dxa"/>
                      </w:tcPr>
                      <w:p>
                        <w:pPr>
                          <w:pStyle w:val="TableParagraph"/>
                          <w:spacing w:before="37"/>
                          <w:ind w:right="213"/>
                          <w:jc w:val="right"/>
                          <w:rPr>
                            <w:sz w:val="16"/>
                          </w:rPr>
                        </w:pPr>
                        <w:r>
                          <w:rPr>
                            <w:sz w:val="16"/>
                          </w:rPr>
                          <w:t>3.3</w:t>
                        </w:r>
                      </w:p>
                    </w:tc>
                  </w:tr>
                  <w:tr>
                    <w:trPr>
                      <w:trHeight w:val="443" w:hRule="atLeast"/>
                    </w:trPr>
                    <w:tc>
                      <w:tcPr>
                        <w:tcW w:w="1109" w:type="dxa"/>
                      </w:tcPr>
                      <w:p>
                        <w:pPr>
                          <w:pStyle w:val="TableParagraph"/>
                          <w:spacing w:before="33"/>
                          <w:ind w:left="57" w:right="355"/>
                          <w:rPr>
                            <w:sz w:val="16"/>
                          </w:rPr>
                        </w:pPr>
                        <w:r>
                          <w:rPr>
                            <w:sz w:val="16"/>
                          </w:rPr>
                          <w:t>Equatorial Guinea</w:t>
                        </w:r>
                      </w:p>
                    </w:tc>
                    <w:tc>
                      <w:tcPr>
                        <w:tcW w:w="855" w:type="dxa"/>
                      </w:tcPr>
                      <w:p>
                        <w:pPr>
                          <w:pStyle w:val="TableParagraph"/>
                          <w:spacing w:before="124"/>
                          <w:ind w:right="98"/>
                          <w:jc w:val="right"/>
                          <w:rPr>
                            <w:sz w:val="16"/>
                          </w:rPr>
                        </w:pPr>
                        <w:r>
                          <w:rPr>
                            <w:sz w:val="16"/>
                          </w:rPr>
                          <w:t>1 858</w:t>
                        </w:r>
                      </w:p>
                    </w:tc>
                    <w:tc>
                      <w:tcPr>
                        <w:tcW w:w="855" w:type="dxa"/>
                      </w:tcPr>
                      <w:p>
                        <w:pPr>
                          <w:pStyle w:val="TableParagraph"/>
                          <w:spacing w:before="124"/>
                          <w:ind w:right="98"/>
                          <w:jc w:val="right"/>
                          <w:rPr>
                            <w:sz w:val="16"/>
                          </w:rPr>
                        </w:pPr>
                        <w:r>
                          <w:rPr>
                            <w:sz w:val="16"/>
                          </w:rPr>
                          <w:t>1 752</w:t>
                        </w:r>
                      </w:p>
                    </w:tc>
                    <w:tc>
                      <w:tcPr>
                        <w:tcW w:w="855" w:type="dxa"/>
                      </w:tcPr>
                      <w:p>
                        <w:pPr>
                          <w:pStyle w:val="TableParagraph"/>
                          <w:spacing w:before="124"/>
                          <w:ind w:left="413"/>
                          <w:rPr>
                            <w:sz w:val="16"/>
                          </w:rPr>
                        </w:pPr>
                        <w:r>
                          <w:rPr>
                            <w:sz w:val="16"/>
                          </w:rPr>
                          <w:t>-11</w:t>
                        </w:r>
                      </w:p>
                    </w:tc>
                    <w:tc>
                      <w:tcPr>
                        <w:tcW w:w="788" w:type="dxa"/>
                      </w:tcPr>
                      <w:p>
                        <w:pPr>
                          <w:pStyle w:val="TableParagraph"/>
                          <w:spacing w:before="124"/>
                          <w:ind w:right="211"/>
                          <w:jc w:val="right"/>
                          <w:rPr>
                            <w:sz w:val="16"/>
                          </w:rPr>
                        </w:pPr>
                        <w:r>
                          <w:rPr>
                            <w:sz w:val="16"/>
                          </w:rPr>
                          <w:t>-0.6</w:t>
                        </w:r>
                      </w:p>
                    </w:tc>
                  </w:tr>
                  <w:tr>
                    <w:trPr>
                      <w:trHeight w:val="273" w:hRule="atLeast"/>
                    </w:trPr>
                    <w:tc>
                      <w:tcPr>
                        <w:tcW w:w="1109" w:type="dxa"/>
                      </w:tcPr>
                      <w:p>
                        <w:pPr>
                          <w:pStyle w:val="TableParagraph"/>
                          <w:spacing w:before="37"/>
                          <w:ind w:left="57"/>
                          <w:rPr>
                            <w:sz w:val="16"/>
                          </w:rPr>
                        </w:pPr>
                        <w:r>
                          <w:rPr>
                            <w:sz w:val="16"/>
                          </w:rPr>
                          <w:t>Eritrea</w:t>
                        </w:r>
                      </w:p>
                    </w:tc>
                    <w:tc>
                      <w:tcPr>
                        <w:tcW w:w="855" w:type="dxa"/>
                      </w:tcPr>
                      <w:p>
                        <w:pPr>
                          <w:pStyle w:val="TableParagraph"/>
                          <w:spacing w:before="37"/>
                          <w:ind w:right="97"/>
                          <w:jc w:val="right"/>
                          <w:rPr>
                            <w:sz w:val="16"/>
                          </w:rPr>
                        </w:pPr>
                        <w:r>
                          <w:rPr>
                            <w:sz w:val="16"/>
                          </w:rPr>
                          <w:t>1 639</w:t>
                        </w:r>
                      </w:p>
                    </w:tc>
                    <w:tc>
                      <w:tcPr>
                        <w:tcW w:w="855" w:type="dxa"/>
                      </w:tcPr>
                      <w:p>
                        <w:pPr>
                          <w:pStyle w:val="TableParagraph"/>
                          <w:spacing w:before="37"/>
                          <w:ind w:right="98"/>
                          <w:jc w:val="right"/>
                          <w:rPr>
                            <w:sz w:val="16"/>
                          </w:rPr>
                        </w:pPr>
                        <w:r>
                          <w:rPr>
                            <w:sz w:val="16"/>
                          </w:rPr>
                          <w:t>1 585</w:t>
                        </w:r>
                      </w:p>
                    </w:tc>
                    <w:tc>
                      <w:tcPr>
                        <w:tcW w:w="855" w:type="dxa"/>
                      </w:tcPr>
                      <w:p>
                        <w:pPr>
                          <w:pStyle w:val="TableParagraph"/>
                          <w:spacing w:before="37"/>
                          <w:ind w:left="495"/>
                          <w:rPr>
                            <w:sz w:val="16"/>
                          </w:rPr>
                        </w:pPr>
                        <w:r>
                          <w:rPr>
                            <w:sz w:val="16"/>
                          </w:rPr>
                          <w:t>-5</w:t>
                        </w:r>
                      </w:p>
                    </w:tc>
                    <w:tc>
                      <w:tcPr>
                        <w:tcW w:w="788" w:type="dxa"/>
                      </w:tcPr>
                      <w:p>
                        <w:pPr>
                          <w:pStyle w:val="TableParagraph"/>
                          <w:spacing w:before="37"/>
                          <w:ind w:right="211"/>
                          <w:jc w:val="right"/>
                          <w:rPr>
                            <w:sz w:val="16"/>
                          </w:rPr>
                        </w:pPr>
                        <w:r>
                          <w:rPr>
                            <w:sz w:val="16"/>
                          </w:rPr>
                          <w:t>-0.3</w:t>
                        </w:r>
                      </w:p>
                    </w:tc>
                  </w:tr>
                  <w:tr>
                    <w:trPr>
                      <w:trHeight w:val="275" w:hRule="atLeast"/>
                    </w:trPr>
                    <w:tc>
                      <w:tcPr>
                        <w:tcW w:w="1109" w:type="dxa"/>
                      </w:tcPr>
                      <w:p>
                        <w:pPr>
                          <w:pStyle w:val="TableParagraph"/>
                          <w:spacing w:before="37"/>
                          <w:ind w:left="57"/>
                          <w:rPr>
                            <w:sz w:val="16"/>
                          </w:rPr>
                        </w:pPr>
                        <w:r>
                          <w:rPr>
                            <w:sz w:val="16"/>
                          </w:rPr>
                          <w:t>Ethiopia</w:t>
                        </w:r>
                      </w:p>
                    </w:tc>
                    <w:tc>
                      <w:tcPr>
                        <w:tcW w:w="855" w:type="dxa"/>
                      </w:tcPr>
                      <w:p>
                        <w:pPr>
                          <w:pStyle w:val="TableParagraph"/>
                          <w:spacing w:before="37"/>
                          <w:ind w:right="97"/>
                          <w:jc w:val="right"/>
                          <w:rPr>
                            <w:sz w:val="16"/>
                          </w:rPr>
                        </w:pPr>
                        <w:r>
                          <w:rPr>
                            <w:sz w:val="16"/>
                          </w:rPr>
                          <w:t>4 996</w:t>
                        </w:r>
                      </w:p>
                    </w:tc>
                    <w:tc>
                      <w:tcPr>
                        <w:tcW w:w="855" w:type="dxa"/>
                      </w:tcPr>
                      <w:p>
                        <w:pPr>
                          <w:pStyle w:val="TableParagraph"/>
                          <w:spacing w:before="37"/>
                          <w:ind w:right="98"/>
                          <w:jc w:val="right"/>
                          <w:rPr>
                            <w:sz w:val="16"/>
                          </w:rPr>
                        </w:pPr>
                        <w:r>
                          <w:rPr>
                            <w:sz w:val="16"/>
                          </w:rPr>
                          <w:t>4 593</w:t>
                        </w:r>
                      </w:p>
                    </w:tc>
                    <w:tc>
                      <w:tcPr>
                        <w:tcW w:w="855" w:type="dxa"/>
                      </w:tcPr>
                      <w:p>
                        <w:pPr>
                          <w:pStyle w:val="TableParagraph"/>
                          <w:spacing w:before="37"/>
                          <w:ind w:left="413"/>
                          <w:rPr>
                            <w:sz w:val="16"/>
                          </w:rPr>
                        </w:pPr>
                        <w:r>
                          <w:rPr>
                            <w:sz w:val="16"/>
                          </w:rPr>
                          <w:t>-40</w:t>
                        </w:r>
                      </w:p>
                    </w:tc>
                    <w:tc>
                      <w:tcPr>
                        <w:tcW w:w="788" w:type="dxa"/>
                      </w:tcPr>
                      <w:p>
                        <w:pPr>
                          <w:pStyle w:val="TableParagraph"/>
                          <w:spacing w:before="37"/>
                          <w:ind w:right="211"/>
                          <w:jc w:val="right"/>
                          <w:rPr>
                            <w:sz w:val="16"/>
                          </w:rPr>
                        </w:pPr>
                        <w:r>
                          <w:rPr>
                            <w:sz w:val="16"/>
                          </w:rPr>
                          <w:t>-0.8</w:t>
                        </w:r>
                      </w:p>
                    </w:tc>
                  </w:tr>
                  <w:tr>
                    <w:trPr>
                      <w:trHeight w:val="273" w:hRule="atLeast"/>
                    </w:trPr>
                    <w:tc>
                      <w:tcPr>
                        <w:tcW w:w="1109" w:type="dxa"/>
                      </w:tcPr>
                      <w:p>
                        <w:pPr>
                          <w:pStyle w:val="TableParagraph"/>
                          <w:spacing w:before="37"/>
                          <w:ind w:left="57"/>
                          <w:rPr>
                            <w:sz w:val="16"/>
                          </w:rPr>
                        </w:pPr>
                        <w:r>
                          <w:rPr>
                            <w:sz w:val="16"/>
                          </w:rPr>
                          <w:t>Gabon</w:t>
                        </w:r>
                      </w:p>
                    </w:tc>
                    <w:tc>
                      <w:tcPr>
                        <w:tcW w:w="855" w:type="dxa"/>
                      </w:tcPr>
                      <w:p>
                        <w:pPr>
                          <w:pStyle w:val="TableParagraph"/>
                          <w:spacing w:before="37"/>
                          <w:ind w:right="98"/>
                          <w:jc w:val="right"/>
                          <w:rPr>
                            <w:sz w:val="16"/>
                          </w:rPr>
                        </w:pPr>
                        <w:r>
                          <w:rPr>
                            <w:sz w:val="16"/>
                          </w:rPr>
                          <w:t>21 927</w:t>
                        </w:r>
                      </w:p>
                    </w:tc>
                    <w:tc>
                      <w:tcPr>
                        <w:tcW w:w="855" w:type="dxa"/>
                      </w:tcPr>
                      <w:p>
                        <w:pPr>
                          <w:pStyle w:val="TableParagraph"/>
                          <w:spacing w:before="37"/>
                          <w:ind w:right="99"/>
                          <w:jc w:val="right"/>
                          <w:rPr>
                            <w:sz w:val="16"/>
                          </w:rPr>
                        </w:pPr>
                        <w:r>
                          <w:rPr>
                            <w:sz w:val="16"/>
                          </w:rPr>
                          <w:t>21 826</w:t>
                        </w:r>
                      </w:p>
                    </w:tc>
                    <w:tc>
                      <w:tcPr>
                        <w:tcW w:w="855" w:type="dxa"/>
                      </w:tcPr>
                      <w:p>
                        <w:pPr>
                          <w:pStyle w:val="TableParagraph"/>
                          <w:spacing w:before="37"/>
                          <w:ind w:left="412"/>
                          <w:rPr>
                            <w:sz w:val="16"/>
                          </w:rPr>
                        </w:pPr>
                        <w:r>
                          <w:rPr>
                            <w:sz w:val="16"/>
                          </w:rPr>
                          <w:t>-10</w:t>
                        </w:r>
                      </w:p>
                    </w:tc>
                    <w:tc>
                      <w:tcPr>
                        <w:tcW w:w="788" w:type="dxa"/>
                      </w:tcPr>
                      <w:p>
                        <w:pPr>
                          <w:pStyle w:val="TableParagraph"/>
                          <w:spacing w:before="37"/>
                          <w:ind w:right="212"/>
                          <w:jc w:val="right"/>
                          <w:rPr>
                            <w:sz w:val="16"/>
                          </w:rPr>
                        </w:pPr>
                        <w:r>
                          <w:rPr>
                            <w:sz w:val="16"/>
                          </w:rPr>
                          <w:t>n.s.</w:t>
                        </w:r>
                      </w:p>
                    </w:tc>
                  </w:tr>
                  <w:tr>
                    <w:trPr>
                      <w:trHeight w:val="273" w:hRule="atLeast"/>
                    </w:trPr>
                    <w:tc>
                      <w:tcPr>
                        <w:tcW w:w="1109" w:type="dxa"/>
                      </w:tcPr>
                      <w:p>
                        <w:pPr>
                          <w:pStyle w:val="TableParagraph"/>
                          <w:spacing w:before="37"/>
                          <w:ind w:left="57"/>
                          <w:rPr>
                            <w:sz w:val="16"/>
                          </w:rPr>
                        </w:pPr>
                        <w:r>
                          <w:rPr>
                            <w:sz w:val="16"/>
                          </w:rPr>
                          <w:t>Gambia</w:t>
                        </w:r>
                      </w:p>
                    </w:tc>
                    <w:tc>
                      <w:tcPr>
                        <w:tcW w:w="855" w:type="dxa"/>
                      </w:tcPr>
                      <w:p>
                        <w:pPr>
                          <w:pStyle w:val="TableParagraph"/>
                          <w:spacing w:before="37"/>
                          <w:ind w:right="97"/>
                          <w:jc w:val="right"/>
                          <w:rPr>
                            <w:sz w:val="16"/>
                          </w:rPr>
                        </w:pPr>
                        <w:r>
                          <w:rPr>
                            <w:sz w:val="16"/>
                          </w:rPr>
                          <w:t>436</w:t>
                        </w:r>
                      </w:p>
                    </w:tc>
                    <w:tc>
                      <w:tcPr>
                        <w:tcW w:w="855" w:type="dxa"/>
                      </w:tcPr>
                      <w:p>
                        <w:pPr>
                          <w:pStyle w:val="TableParagraph"/>
                          <w:spacing w:before="37"/>
                          <w:ind w:right="98"/>
                          <w:jc w:val="right"/>
                          <w:rPr>
                            <w:sz w:val="16"/>
                          </w:rPr>
                        </w:pPr>
                        <w:r>
                          <w:rPr>
                            <w:sz w:val="16"/>
                          </w:rPr>
                          <w:t>481</w:t>
                        </w:r>
                      </w:p>
                    </w:tc>
                    <w:tc>
                      <w:tcPr>
                        <w:tcW w:w="855" w:type="dxa"/>
                      </w:tcPr>
                      <w:p>
                        <w:pPr>
                          <w:pStyle w:val="TableParagraph"/>
                          <w:spacing w:before="37"/>
                          <w:ind w:left="548"/>
                          <w:rPr>
                            <w:sz w:val="16"/>
                          </w:rPr>
                        </w:pPr>
                        <w:r>
                          <w:rPr>
                            <w:w w:val="100"/>
                            <w:sz w:val="16"/>
                          </w:rPr>
                          <w:t>4</w:t>
                        </w:r>
                      </w:p>
                    </w:tc>
                    <w:tc>
                      <w:tcPr>
                        <w:tcW w:w="788" w:type="dxa"/>
                      </w:tcPr>
                      <w:p>
                        <w:pPr>
                          <w:pStyle w:val="TableParagraph"/>
                          <w:spacing w:before="37"/>
                          <w:ind w:right="212"/>
                          <w:jc w:val="right"/>
                          <w:rPr>
                            <w:sz w:val="16"/>
                          </w:rPr>
                        </w:pPr>
                        <w:r>
                          <w:rPr>
                            <w:sz w:val="16"/>
                          </w:rPr>
                          <w:t>1.0</w:t>
                        </w:r>
                      </w:p>
                    </w:tc>
                  </w:tr>
                  <w:tr>
                    <w:trPr>
                      <w:trHeight w:val="253" w:hRule="atLeast"/>
                    </w:trPr>
                    <w:tc>
                      <w:tcPr>
                        <w:tcW w:w="1109" w:type="dxa"/>
                      </w:tcPr>
                      <w:p>
                        <w:pPr>
                          <w:pStyle w:val="TableParagraph"/>
                          <w:spacing w:before="28"/>
                          <w:ind w:left="57"/>
                          <w:rPr>
                            <w:sz w:val="16"/>
                          </w:rPr>
                        </w:pPr>
                        <w:r>
                          <w:rPr>
                            <w:sz w:val="16"/>
                          </w:rPr>
                          <w:t>Ghana</w:t>
                        </w:r>
                      </w:p>
                    </w:tc>
                    <w:tc>
                      <w:tcPr>
                        <w:tcW w:w="855" w:type="dxa"/>
                      </w:tcPr>
                      <w:p>
                        <w:pPr>
                          <w:pStyle w:val="TableParagraph"/>
                          <w:spacing w:before="28"/>
                          <w:ind w:right="97"/>
                          <w:jc w:val="right"/>
                          <w:rPr>
                            <w:sz w:val="16"/>
                          </w:rPr>
                        </w:pPr>
                        <w:r>
                          <w:rPr>
                            <w:sz w:val="16"/>
                          </w:rPr>
                          <w:t>7 535</w:t>
                        </w:r>
                      </w:p>
                    </w:tc>
                    <w:tc>
                      <w:tcPr>
                        <w:tcW w:w="855" w:type="dxa"/>
                      </w:tcPr>
                      <w:p>
                        <w:pPr>
                          <w:pStyle w:val="TableParagraph"/>
                          <w:spacing w:before="28"/>
                          <w:ind w:right="98"/>
                          <w:jc w:val="right"/>
                          <w:rPr>
                            <w:sz w:val="16"/>
                          </w:rPr>
                        </w:pPr>
                        <w:r>
                          <w:rPr>
                            <w:sz w:val="16"/>
                          </w:rPr>
                          <w:t>6 335</w:t>
                        </w:r>
                      </w:p>
                    </w:tc>
                    <w:tc>
                      <w:tcPr>
                        <w:tcW w:w="855" w:type="dxa"/>
                      </w:tcPr>
                      <w:p>
                        <w:pPr>
                          <w:pStyle w:val="TableParagraph"/>
                          <w:spacing w:before="28"/>
                          <w:ind w:left="334"/>
                          <w:rPr>
                            <w:sz w:val="16"/>
                          </w:rPr>
                        </w:pPr>
                        <w:r>
                          <w:rPr>
                            <w:sz w:val="16"/>
                          </w:rPr>
                          <w:t>-120</w:t>
                        </w:r>
                      </w:p>
                    </w:tc>
                    <w:tc>
                      <w:tcPr>
                        <w:tcW w:w="788" w:type="dxa"/>
                      </w:tcPr>
                      <w:p>
                        <w:pPr>
                          <w:pStyle w:val="TableParagraph"/>
                          <w:spacing w:before="28"/>
                          <w:ind w:right="210"/>
                          <w:jc w:val="right"/>
                          <w:rPr>
                            <w:sz w:val="16"/>
                          </w:rPr>
                        </w:pPr>
                        <w:r>
                          <w:rPr>
                            <w:sz w:val="16"/>
                          </w:rPr>
                          <w:t>-1.7</w:t>
                        </w:r>
                      </w:p>
                    </w:tc>
                  </w:tr>
                  <w:tr>
                    <w:trPr>
                      <w:trHeight w:val="275" w:hRule="atLeast"/>
                    </w:trPr>
                    <w:tc>
                      <w:tcPr>
                        <w:tcW w:w="1109" w:type="dxa"/>
                      </w:tcPr>
                      <w:p>
                        <w:pPr>
                          <w:pStyle w:val="TableParagraph"/>
                          <w:spacing w:before="37"/>
                          <w:ind w:left="57"/>
                          <w:rPr>
                            <w:sz w:val="16"/>
                          </w:rPr>
                        </w:pPr>
                        <w:r>
                          <w:rPr>
                            <w:sz w:val="16"/>
                          </w:rPr>
                          <w:t>Guinea</w:t>
                        </w:r>
                      </w:p>
                    </w:tc>
                    <w:tc>
                      <w:tcPr>
                        <w:tcW w:w="855" w:type="dxa"/>
                      </w:tcPr>
                      <w:p>
                        <w:pPr>
                          <w:pStyle w:val="TableParagraph"/>
                          <w:spacing w:before="37"/>
                          <w:ind w:right="98"/>
                          <w:jc w:val="right"/>
                          <w:rPr>
                            <w:sz w:val="16"/>
                          </w:rPr>
                        </w:pPr>
                        <w:r>
                          <w:rPr>
                            <w:sz w:val="16"/>
                          </w:rPr>
                          <w:t>7 276</w:t>
                        </w:r>
                      </w:p>
                    </w:tc>
                    <w:tc>
                      <w:tcPr>
                        <w:tcW w:w="855" w:type="dxa"/>
                      </w:tcPr>
                      <w:p>
                        <w:pPr>
                          <w:pStyle w:val="TableParagraph"/>
                          <w:spacing w:before="37"/>
                          <w:ind w:right="98"/>
                          <w:jc w:val="right"/>
                          <w:rPr>
                            <w:sz w:val="16"/>
                          </w:rPr>
                        </w:pPr>
                        <w:r>
                          <w:rPr>
                            <w:sz w:val="16"/>
                          </w:rPr>
                          <w:t>6 929</w:t>
                        </w:r>
                      </w:p>
                    </w:tc>
                    <w:tc>
                      <w:tcPr>
                        <w:tcW w:w="855" w:type="dxa"/>
                      </w:tcPr>
                      <w:p>
                        <w:pPr>
                          <w:pStyle w:val="TableParagraph"/>
                          <w:spacing w:before="37"/>
                          <w:ind w:left="413"/>
                          <w:rPr>
                            <w:sz w:val="16"/>
                          </w:rPr>
                        </w:pPr>
                        <w:r>
                          <w:rPr>
                            <w:sz w:val="16"/>
                          </w:rPr>
                          <w:t>-35</w:t>
                        </w:r>
                      </w:p>
                    </w:tc>
                    <w:tc>
                      <w:tcPr>
                        <w:tcW w:w="788" w:type="dxa"/>
                      </w:tcPr>
                      <w:p>
                        <w:pPr>
                          <w:pStyle w:val="TableParagraph"/>
                          <w:spacing w:before="37"/>
                          <w:ind w:right="211"/>
                          <w:jc w:val="right"/>
                          <w:rPr>
                            <w:sz w:val="16"/>
                          </w:rPr>
                        </w:pPr>
                        <w:r>
                          <w:rPr>
                            <w:sz w:val="16"/>
                          </w:rPr>
                          <w:t>-0.5</w:t>
                        </w:r>
                      </w:p>
                    </w:tc>
                  </w:tr>
                  <w:tr>
                    <w:trPr>
                      <w:trHeight w:val="273" w:hRule="atLeast"/>
                    </w:trPr>
                    <w:tc>
                      <w:tcPr>
                        <w:tcW w:w="1109" w:type="dxa"/>
                      </w:tcPr>
                      <w:p>
                        <w:pPr>
                          <w:pStyle w:val="TableParagraph"/>
                          <w:spacing w:before="37"/>
                          <w:ind w:left="57"/>
                          <w:rPr>
                            <w:sz w:val="16"/>
                          </w:rPr>
                        </w:pPr>
                        <w:r>
                          <w:rPr>
                            <w:sz w:val="16"/>
                          </w:rPr>
                          <w:t>Guinea-Bissau</w:t>
                        </w:r>
                      </w:p>
                    </w:tc>
                    <w:tc>
                      <w:tcPr>
                        <w:tcW w:w="855" w:type="dxa"/>
                      </w:tcPr>
                      <w:p>
                        <w:pPr>
                          <w:pStyle w:val="TableParagraph"/>
                          <w:spacing w:before="37"/>
                          <w:ind w:right="97"/>
                          <w:jc w:val="right"/>
                          <w:rPr>
                            <w:sz w:val="16"/>
                          </w:rPr>
                        </w:pPr>
                        <w:r>
                          <w:rPr>
                            <w:sz w:val="16"/>
                          </w:rPr>
                          <w:t>2 403</w:t>
                        </w:r>
                      </w:p>
                    </w:tc>
                    <w:tc>
                      <w:tcPr>
                        <w:tcW w:w="855" w:type="dxa"/>
                      </w:tcPr>
                      <w:p>
                        <w:pPr>
                          <w:pStyle w:val="TableParagraph"/>
                          <w:spacing w:before="37"/>
                          <w:ind w:right="98"/>
                          <w:jc w:val="right"/>
                          <w:rPr>
                            <w:sz w:val="16"/>
                          </w:rPr>
                        </w:pPr>
                        <w:r>
                          <w:rPr>
                            <w:sz w:val="16"/>
                          </w:rPr>
                          <w:t>2 187</w:t>
                        </w:r>
                      </w:p>
                    </w:tc>
                    <w:tc>
                      <w:tcPr>
                        <w:tcW w:w="855" w:type="dxa"/>
                      </w:tcPr>
                      <w:p>
                        <w:pPr>
                          <w:pStyle w:val="TableParagraph"/>
                          <w:spacing w:before="37"/>
                          <w:ind w:left="413"/>
                          <w:rPr>
                            <w:sz w:val="16"/>
                          </w:rPr>
                        </w:pPr>
                        <w:r>
                          <w:rPr>
                            <w:sz w:val="16"/>
                          </w:rPr>
                          <w:t>-22</w:t>
                        </w:r>
                      </w:p>
                    </w:tc>
                    <w:tc>
                      <w:tcPr>
                        <w:tcW w:w="788" w:type="dxa"/>
                      </w:tcPr>
                      <w:p>
                        <w:pPr>
                          <w:pStyle w:val="TableParagraph"/>
                          <w:spacing w:before="37"/>
                          <w:ind w:right="211"/>
                          <w:jc w:val="right"/>
                          <w:rPr>
                            <w:sz w:val="16"/>
                          </w:rPr>
                        </w:pPr>
                        <w:r>
                          <w:rPr>
                            <w:sz w:val="16"/>
                          </w:rPr>
                          <w:t>-0.9</w:t>
                        </w:r>
                      </w:p>
                    </w:tc>
                  </w:tr>
                  <w:tr>
                    <w:trPr>
                      <w:trHeight w:val="556" w:hRule="atLeast"/>
                    </w:trPr>
                    <w:tc>
                      <w:tcPr>
                        <w:tcW w:w="1109" w:type="dxa"/>
                      </w:tcPr>
                      <w:p>
                        <w:pPr>
                          <w:pStyle w:val="TableParagraph"/>
                          <w:spacing w:before="6"/>
                          <w:rPr>
                            <w:sz w:val="15"/>
                          </w:rPr>
                        </w:pPr>
                      </w:p>
                      <w:p>
                        <w:pPr>
                          <w:pStyle w:val="TableParagraph"/>
                          <w:ind w:left="57"/>
                          <w:rPr>
                            <w:sz w:val="16"/>
                          </w:rPr>
                        </w:pPr>
                        <w:r>
                          <w:rPr>
                            <w:sz w:val="16"/>
                          </w:rPr>
                          <w:t>Kenya</w:t>
                        </w:r>
                      </w:p>
                    </w:tc>
                    <w:tc>
                      <w:tcPr>
                        <w:tcW w:w="855" w:type="dxa"/>
                      </w:tcPr>
                      <w:p>
                        <w:pPr>
                          <w:pStyle w:val="TableParagraph"/>
                          <w:spacing w:before="6"/>
                          <w:rPr>
                            <w:sz w:val="15"/>
                          </w:rPr>
                        </w:pPr>
                      </w:p>
                      <w:p>
                        <w:pPr>
                          <w:pStyle w:val="TableParagraph"/>
                          <w:ind w:right="98"/>
                          <w:jc w:val="right"/>
                          <w:rPr>
                            <w:sz w:val="16"/>
                          </w:rPr>
                        </w:pPr>
                        <w:r>
                          <w:rPr>
                            <w:sz w:val="16"/>
                          </w:rPr>
                          <w:t>18 027</w:t>
                        </w:r>
                      </w:p>
                    </w:tc>
                    <w:tc>
                      <w:tcPr>
                        <w:tcW w:w="855" w:type="dxa"/>
                      </w:tcPr>
                      <w:p>
                        <w:pPr>
                          <w:pStyle w:val="TableParagraph"/>
                          <w:spacing w:before="6"/>
                          <w:rPr>
                            <w:sz w:val="15"/>
                          </w:rPr>
                        </w:pPr>
                      </w:p>
                      <w:p>
                        <w:pPr>
                          <w:pStyle w:val="TableParagraph"/>
                          <w:ind w:right="98"/>
                          <w:jc w:val="right"/>
                          <w:rPr>
                            <w:sz w:val="16"/>
                          </w:rPr>
                        </w:pPr>
                        <w:r>
                          <w:rPr>
                            <w:sz w:val="16"/>
                          </w:rPr>
                          <w:t>17 096</w:t>
                        </w:r>
                      </w:p>
                    </w:tc>
                    <w:tc>
                      <w:tcPr>
                        <w:tcW w:w="855" w:type="dxa"/>
                      </w:tcPr>
                      <w:p>
                        <w:pPr>
                          <w:pStyle w:val="TableParagraph"/>
                          <w:spacing w:before="6"/>
                          <w:rPr>
                            <w:sz w:val="15"/>
                          </w:rPr>
                        </w:pPr>
                      </w:p>
                      <w:p>
                        <w:pPr>
                          <w:pStyle w:val="TableParagraph"/>
                          <w:ind w:left="413"/>
                          <w:rPr>
                            <w:sz w:val="16"/>
                          </w:rPr>
                        </w:pPr>
                        <w:r>
                          <w:rPr>
                            <w:sz w:val="16"/>
                          </w:rPr>
                          <w:t>-93</w:t>
                        </w:r>
                      </w:p>
                    </w:tc>
                    <w:tc>
                      <w:tcPr>
                        <w:tcW w:w="788" w:type="dxa"/>
                      </w:tcPr>
                      <w:p>
                        <w:pPr>
                          <w:pStyle w:val="TableParagraph"/>
                          <w:spacing w:before="6"/>
                          <w:rPr>
                            <w:sz w:val="15"/>
                          </w:rPr>
                        </w:pPr>
                      </w:p>
                      <w:p>
                        <w:pPr>
                          <w:pStyle w:val="TableParagraph"/>
                          <w:ind w:right="212"/>
                          <w:jc w:val="right"/>
                          <w:rPr>
                            <w:sz w:val="16"/>
                          </w:rPr>
                        </w:pPr>
                        <w:r>
                          <w:rPr>
                            <w:sz w:val="16"/>
                          </w:rPr>
                          <w:t>-0.5</w:t>
                        </w:r>
                      </w:p>
                    </w:tc>
                  </w:tr>
                  <w:tr>
                    <w:trPr>
                      <w:trHeight w:val="275" w:hRule="atLeast"/>
                    </w:trPr>
                    <w:tc>
                      <w:tcPr>
                        <w:tcW w:w="1109" w:type="dxa"/>
                      </w:tcPr>
                      <w:p>
                        <w:pPr>
                          <w:pStyle w:val="TableParagraph"/>
                          <w:spacing w:before="37"/>
                          <w:ind w:left="57"/>
                          <w:rPr>
                            <w:sz w:val="16"/>
                          </w:rPr>
                        </w:pPr>
                        <w:r>
                          <w:rPr>
                            <w:sz w:val="16"/>
                          </w:rPr>
                          <w:t>Lesotho</w:t>
                        </w:r>
                      </w:p>
                    </w:tc>
                    <w:tc>
                      <w:tcPr>
                        <w:tcW w:w="855" w:type="dxa"/>
                      </w:tcPr>
                      <w:p>
                        <w:pPr>
                          <w:pStyle w:val="TableParagraph"/>
                          <w:spacing w:before="37"/>
                          <w:ind w:right="97"/>
                          <w:jc w:val="right"/>
                          <w:rPr>
                            <w:sz w:val="16"/>
                          </w:rPr>
                        </w:pPr>
                        <w:r>
                          <w:rPr>
                            <w:sz w:val="16"/>
                          </w:rPr>
                          <w:t>14</w:t>
                        </w:r>
                      </w:p>
                    </w:tc>
                    <w:tc>
                      <w:tcPr>
                        <w:tcW w:w="855" w:type="dxa"/>
                      </w:tcPr>
                      <w:p>
                        <w:pPr>
                          <w:pStyle w:val="TableParagraph"/>
                          <w:spacing w:before="37"/>
                          <w:ind w:right="97"/>
                          <w:jc w:val="right"/>
                          <w:rPr>
                            <w:sz w:val="16"/>
                          </w:rPr>
                        </w:pPr>
                        <w:r>
                          <w:rPr>
                            <w:sz w:val="16"/>
                          </w:rPr>
                          <w:t>14</w:t>
                        </w:r>
                      </w:p>
                    </w:tc>
                    <w:tc>
                      <w:tcPr>
                        <w:tcW w:w="855" w:type="dxa"/>
                      </w:tcPr>
                      <w:p>
                        <w:pPr>
                          <w:pStyle w:val="TableParagraph"/>
                          <w:spacing w:before="37"/>
                          <w:ind w:left="403"/>
                          <w:rPr>
                            <w:sz w:val="16"/>
                          </w:rPr>
                        </w:pPr>
                        <w:r>
                          <w:rPr>
                            <w:sz w:val="16"/>
                          </w:rPr>
                          <w:t>n.s.</w:t>
                        </w:r>
                      </w:p>
                    </w:tc>
                    <w:tc>
                      <w:tcPr>
                        <w:tcW w:w="788" w:type="dxa"/>
                      </w:tcPr>
                      <w:p>
                        <w:pPr>
                          <w:pStyle w:val="TableParagraph"/>
                          <w:spacing w:before="37"/>
                          <w:ind w:right="211"/>
                          <w:jc w:val="right"/>
                          <w:rPr>
                            <w:sz w:val="16"/>
                          </w:rPr>
                        </w:pPr>
                        <w:r>
                          <w:rPr>
                            <w:sz w:val="16"/>
                          </w:rPr>
                          <w:t>n.s.</w:t>
                        </w:r>
                      </w:p>
                    </w:tc>
                  </w:tr>
                  <w:tr>
                    <w:trPr>
                      <w:trHeight w:val="215" w:hRule="atLeast"/>
                    </w:trPr>
                    <w:tc>
                      <w:tcPr>
                        <w:tcW w:w="1109" w:type="dxa"/>
                      </w:tcPr>
                      <w:p>
                        <w:pPr>
                          <w:pStyle w:val="TableParagraph"/>
                          <w:spacing w:before="9"/>
                          <w:ind w:left="57"/>
                          <w:rPr>
                            <w:sz w:val="16"/>
                          </w:rPr>
                        </w:pPr>
                        <w:r>
                          <w:rPr>
                            <w:sz w:val="16"/>
                          </w:rPr>
                          <w:t>Liberia</w:t>
                        </w:r>
                      </w:p>
                    </w:tc>
                    <w:tc>
                      <w:tcPr>
                        <w:tcW w:w="855" w:type="dxa"/>
                      </w:tcPr>
                      <w:p>
                        <w:pPr>
                          <w:pStyle w:val="TableParagraph"/>
                          <w:spacing w:before="9"/>
                          <w:ind w:right="98"/>
                          <w:jc w:val="right"/>
                          <w:rPr>
                            <w:sz w:val="16"/>
                          </w:rPr>
                        </w:pPr>
                        <w:r>
                          <w:rPr>
                            <w:sz w:val="16"/>
                          </w:rPr>
                          <w:t>4 241</w:t>
                        </w:r>
                      </w:p>
                    </w:tc>
                    <w:tc>
                      <w:tcPr>
                        <w:tcW w:w="855" w:type="dxa"/>
                      </w:tcPr>
                      <w:p>
                        <w:pPr>
                          <w:pStyle w:val="TableParagraph"/>
                          <w:spacing w:before="9"/>
                          <w:ind w:right="99"/>
                          <w:jc w:val="right"/>
                          <w:rPr>
                            <w:sz w:val="16"/>
                          </w:rPr>
                        </w:pPr>
                        <w:r>
                          <w:rPr>
                            <w:sz w:val="16"/>
                          </w:rPr>
                          <w:t>3 481</w:t>
                        </w:r>
                      </w:p>
                    </w:tc>
                    <w:tc>
                      <w:tcPr>
                        <w:tcW w:w="855" w:type="dxa"/>
                      </w:tcPr>
                      <w:p>
                        <w:pPr>
                          <w:pStyle w:val="TableParagraph"/>
                          <w:spacing w:before="9"/>
                          <w:ind w:left="413"/>
                          <w:rPr>
                            <w:sz w:val="16"/>
                          </w:rPr>
                        </w:pPr>
                        <w:r>
                          <w:rPr>
                            <w:sz w:val="16"/>
                          </w:rPr>
                          <w:t>-76</w:t>
                        </w:r>
                      </w:p>
                    </w:tc>
                    <w:tc>
                      <w:tcPr>
                        <w:tcW w:w="788" w:type="dxa"/>
                      </w:tcPr>
                      <w:p>
                        <w:pPr>
                          <w:pStyle w:val="TableParagraph"/>
                          <w:spacing w:before="9"/>
                          <w:ind w:right="212"/>
                          <w:jc w:val="right"/>
                          <w:rPr>
                            <w:sz w:val="16"/>
                          </w:rPr>
                        </w:pPr>
                        <w:r>
                          <w:rPr>
                            <w:sz w:val="16"/>
                          </w:rPr>
                          <w:t>-2.0</w:t>
                        </w:r>
                      </w:p>
                    </w:tc>
                  </w:tr>
                  <w:tr>
                    <w:trPr>
                      <w:trHeight w:val="443" w:hRule="atLeast"/>
                    </w:trPr>
                    <w:tc>
                      <w:tcPr>
                        <w:tcW w:w="1109" w:type="dxa"/>
                      </w:tcPr>
                      <w:p>
                        <w:pPr>
                          <w:pStyle w:val="TableParagraph"/>
                          <w:spacing w:before="33"/>
                          <w:ind w:left="57" w:right="208"/>
                          <w:rPr>
                            <w:sz w:val="16"/>
                          </w:rPr>
                        </w:pPr>
                        <w:r>
                          <w:rPr>
                            <w:sz w:val="16"/>
                          </w:rPr>
                          <w:t>Libyan Arab Jamahiriya</w:t>
                        </w:r>
                      </w:p>
                    </w:tc>
                    <w:tc>
                      <w:tcPr>
                        <w:tcW w:w="855" w:type="dxa"/>
                      </w:tcPr>
                      <w:p>
                        <w:pPr>
                          <w:pStyle w:val="TableParagraph"/>
                          <w:spacing w:before="124"/>
                          <w:ind w:right="98"/>
                          <w:jc w:val="right"/>
                          <w:rPr>
                            <w:sz w:val="16"/>
                          </w:rPr>
                        </w:pPr>
                        <w:r>
                          <w:rPr>
                            <w:sz w:val="16"/>
                          </w:rPr>
                          <w:t>311</w:t>
                        </w:r>
                      </w:p>
                    </w:tc>
                    <w:tc>
                      <w:tcPr>
                        <w:tcW w:w="855" w:type="dxa"/>
                      </w:tcPr>
                      <w:p>
                        <w:pPr>
                          <w:pStyle w:val="TableParagraph"/>
                          <w:spacing w:before="124"/>
                          <w:ind w:right="99"/>
                          <w:jc w:val="right"/>
                          <w:rPr>
                            <w:sz w:val="16"/>
                          </w:rPr>
                        </w:pPr>
                        <w:r>
                          <w:rPr>
                            <w:sz w:val="16"/>
                          </w:rPr>
                          <w:t>358</w:t>
                        </w:r>
                      </w:p>
                    </w:tc>
                    <w:tc>
                      <w:tcPr>
                        <w:tcW w:w="855" w:type="dxa"/>
                      </w:tcPr>
                      <w:p>
                        <w:pPr>
                          <w:pStyle w:val="TableParagraph"/>
                          <w:spacing w:before="124"/>
                          <w:ind w:left="547"/>
                          <w:rPr>
                            <w:sz w:val="16"/>
                          </w:rPr>
                        </w:pPr>
                        <w:r>
                          <w:rPr>
                            <w:w w:val="100"/>
                            <w:sz w:val="16"/>
                          </w:rPr>
                          <w:t>5</w:t>
                        </w:r>
                      </w:p>
                    </w:tc>
                    <w:tc>
                      <w:tcPr>
                        <w:tcW w:w="788" w:type="dxa"/>
                      </w:tcPr>
                      <w:p>
                        <w:pPr>
                          <w:pStyle w:val="TableParagraph"/>
                          <w:spacing w:before="124"/>
                          <w:ind w:right="213"/>
                          <w:jc w:val="right"/>
                          <w:rPr>
                            <w:sz w:val="16"/>
                          </w:rPr>
                        </w:pPr>
                        <w:r>
                          <w:rPr>
                            <w:sz w:val="16"/>
                          </w:rPr>
                          <w:t>1.4</w:t>
                        </w:r>
                      </w:p>
                    </w:tc>
                  </w:tr>
                  <w:tr>
                    <w:trPr>
                      <w:trHeight w:val="839" w:hRule="atLeast"/>
                    </w:trPr>
                    <w:tc>
                      <w:tcPr>
                        <w:tcW w:w="4462" w:type="dxa"/>
                        <w:gridSpan w:val="5"/>
                      </w:tcPr>
                      <w:p>
                        <w:pPr>
                          <w:pStyle w:val="TableParagraph"/>
                          <w:spacing w:line="178" w:lineRule="exact"/>
                          <w:ind w:left="57"/>
                          <w:rPr>
                            <w:sz w:val="16"/>
                          </w:rPr>
                        </w:pPr>
                        <w:r>
                          <w:rPr>
                            <w:sz w:val="16"/>
                          </w:rPr>
                          <w:t>n.s. - not specified</w:t>
                        </w:r>
                      </w:p>
                      <w:p>
                        <w:pPr>
                          <w:pStyle w:val="TableParagraph"/>
                          <w:spacing w:before="1"/>
                          <w:ind w:left="57" w:right="473"/>
                          <w:rPr>
                            <w:sz w:val="16"/>
                          </w:rPr>
                        </w:pPr>
                        <w:r>
                          <w:rPr>
                            <w:sz w:val="16"/>
                          </w:rPr>
                          <w:t>Source: FRA 2000 and Working Paper 59, FRA Programme, Forestry Department of FAO, Rome 2001, 69p </w:t>
                        </w:r>
                        <w:hyperlink r:id="rId188">
                          <w:r>
                            <w:rPr>
                              <w:sz w:val="16"/>
                            </w:rPr>
                            <w:t>(www</w:t>
                          </w:r>
                        </w:hyperlink>
                        <w:r>
                          <w:rPr>
                            <w:sz w:val="16"/>
                          </w:rPr>
                          <w:t>.</w:t>
                        </w:r>
                        <w:hyperlink r:id="rId188">
                          <w:r>
                            <w:rPr>
                              <w:sz w:val="16"/>
                            </w:rPr>
                            <w:t>fao.org/forestry/fo/fra/index.jsp)</w:t>
                          </w:r>
                        </w:hyperlink>
                      </w:p>
                    </w:tc>
                  </w:tr>
                </w:tbl>
                <w:p>
                  <w:pPr>
                    <w:pStyle w:val="BodyText"/>
                  </w:pPr>
                </w:p>
              </w:txbxContent>
            </v:textbox>
          </v:shape>
        </w:pict>
      </w:r>
      <w:r>
        <w:rPr/>
      </w:r>
      <w:r>
        <w:rPr>
          <w:spacing w:val="43"/>
        </w:rPr>
        <w:t> </w:t>
      </w:r>
      <w:r>
        <w:rPr>
          <w:spacing w:val="43"/>
        </w:rPr>
        <w:pict>
          <v:shape style="width:223.35pt;height:588.4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6"/>
                    <w:gridCol w:w="852"/>
                    <w:gridCol w:w="854"/>
                    <w:gridCol w:w="854"/>
                    <w:gridCol w:w="784"/>
                  </w:tblGrid>
                  <w:tr>
                    <w:trPr>
                      <w:trHeight w:val="697" w:hRule="atLeast"/>
                    </w:trPr>
                    <w:tc>
                      <w:tcPr>
                        <w:tcW w:w="4450" w:type="dxa"/>
                        <w:gridSpan w:val="5"/>
                        <w:tcBorders>
                          <w:bottom w:val="double" w:sz="1" w:space="0" w:color="000000"/>
                        </w:tcBorders>
                      </w:tcPr>
                      <w:p>
                        <w:pPr>
                          <w:pStyle w:val="TableParagraph"/>
                          <w:spacing w:before="28"/>
                          <w:ind w:left="1170" w:right="1157"/>
                          <w:jc w:val="center"/>
                          <w:rPr>
                            <w:b/>
                            <w:sz w:val="14"/>
                          </w:rPr>
                        </w:pPr>
                        <w:r>
                          <w:rPr>
                            <w:b/>
                            <w:sz w:val="18"/>
                          </w:rPr>
                          <w:t>T</w:t>
                        </w:r>
                        <w:r>
                          <w:rPr>
                            <w:b/>
                            <w:sz w:val="14"/>
                          </w:rPr>
                          <w:t>ABLE </w:t>
                        </w:r>
                        <w:r>
                          <w:rPr>
                            <w:b/>
                            <w:sz w:val="18"/>
                          </w:rPr>
                          <w:t>3A.1.1 (C</w:t>
                        </w:r>
                        <w:r>
                          <w:rPr>
                            <w:b/>
                            <w:sz w:val="14"/>
                          </w:rPr>
                          <w:t>ONTINUED</w:t>
                        </w:r>
                        <w:r>
                          <w:rPr>
                            <w:b/>
                            <w:sz w:val="18"/>
                          </w:rPr>
                          <w:t>) F</w:t>
                        </w:r>
                        <w:r>
                          <w:rPr>
                            <w:b/>
                            <w:sz w:val="14"/>
                          </w:rPr>
                          <w:t>OREST AREA CHANGE</w:t>
                        </w:r>
                      </w:p>
                      <w:p>
                        <w:pPr>
                          <w:pStyle w:val="TableParagraph"/>
                          <w:spacing w:line="203" w:lineRule="exact"/>
                          <w:ind w:left="300" w:right="285"/>
                          <w:jc w:val="center"/>
                          <w:rPr>
                            <w:sz w:val="18"/>
                          </w:rPr>
                        </w:pPr>
                        <w:r>
                          <w:rPr>
                            <w:sz w:val="18"/>
                          </w:rPr>
                          <w:t>(To be used for verification of ‘A’ in Equation 3.2.4)</w:t>
                        </w:r>
                      </w:p>
                    </w:tc>
                  </w:tr>
                  <w:tr>
                    <w:trPr>
                      <w:trHeight w:val="255" w:hRule="atLeast"/>
                    </w:trPr>
                    <w:tc>
                      <w:tcPr>
                        <w:tcW w:w="4450" w:type="dxa"/>
                        <w:gridSpan w:val="5"/>
                        <w:tcBorders>
                          <w:top w:val="double" w:sz="1" w:space="0" w:color="000000"/>
                        </w:tcBorders>
                      </w:tcPr>
                      <w:p>
                        <w:pPr>
                          <w:pStyle w:val="TableParagraph"/>
                          <w:spacing w:before="23"/>
                          <w:ind w:left="57"/>
                          <w:rPr>
                            <w:b/>
                            <w:sz w:val="18"/>
                          </w:rPr>
                        </w:pPr>
                        <w:r>
                          <w:rPr>
                            <w:b/>
                            <w:sz w:val="18"/>
                          </w:rPr>
                          <w:t>a. AFRICA (Continued)</w:t>
                        </w:r>
                      </w:p>
                    </w:tc>
                  </w:tr>
                  <w:tr>
                    <w:trPr>
                      <w:trHeight w:val="386" w:hRule="atLeast"/>
                    </w:trPr>
                    <w:tc>
                      <w:tcPr>
                        <w:tcW w:w="1106" w:type="dxa"/>
                      </w:tcPr>
                      <w:p>
                        <w:pPr>
                          <w:pStyle w:val="TableParagraph"/>
                          <w:spacing w:before="97"/>
                          <w:ind w:left="57"/>
                          <w:rPr>
                            <w:b/>
                            <w:sz w:val="16"/>
                          </w:rPr>
                        </w:pPr>
                        <w:r>
                          <w:rPr>
                            <w:b/>
                            <w:sz w:val="16"/>
                          </w:rPr>
                          <w:t>Country</w:t>
                        </w:r>
                      </w:p>
                    </w:tc>
                    <w:tc>
                      <w:tcPr>
                        <w:tcW w:w="1706" w:type="dxa"/>
                        <w:gridSpan w:val="2"/>
                      </w:tcPr>
                      <w:p>
                        <w:pPr>
                          <w:pStyle w:val="TableParagraph"/>
                          <w:spacing w:before="97"/>
                          <w:ind w:left="242"/>
                          <w:rPr>
                            <w:b/>
                            <w:sz w:val="16"/>
                          </w:rPr>
                        </w:pPr>
                        <w:r>
                          <w:rPr>
                            <w:b/>
                            <w:sz w:val="16"/>
                          </w:rPr>
                          <w:t>Total Forest Area</w:t>
                        </w:r>
                      </w:p>
                    </w:tc>
                    <w:tc>
                      <w:tcPr>
                        <w:tcW w:w="1638" w:type="dxa"/>
                        <w:gridSpan w:val="2"/>
                      </w:tcPr>
                      <w:p>
                        <w:pPr>
                          <w:pStyle w:val="TableParagraph"/>
                          <w:spacing w:line="182" w:lineRule="exact" w:before="10"/>
                          <w:ind w:left="470" w:right="118" w:hanging="344"/>
                          <w:rPr>
                            <w:b/>
                            <w:sz w:val="16"/>
                          </w:rPr>
                        </w:pPr>
                        <w:r>
                          <w:rPr>
                            <w:b/>
                            <w:sz w:val="16"/>
                          </w:rPr>
                          <w:t>Forest Area Change 1990-2000</w:t>
                        </w:r>
                      </w:p>
                    </w:tc>
                  </w:tr>
                  <w:tr>
                    <w:trPr>
                      <w:trHeight w:val="388" w:hRule="atLeast"/>
                    </w:trPr>
                    <w:tc>
                      <w:tcPr>
                        <w:tcW w:w="1106" w:type="dxa"/>
                      </w:tcPr>
                      <w:p>
                        <w:pPr>
                          <w:pStyle w:val="TableParagraph"/>
                          <w:rPr>
                            <w:sz w:val="16"/>
                          </w:rPr>
                        </w:pPr>
                      </w:p>
                    </w:tc>
                    <w:tc>
                      <w:tcPr>
                        <w:tcW w:w="852" w:type="dxa"/>
                      </w:tcPr>
                      <w:p>
                        <w:pPr>
                          <w:pStyle w:val="TableParagraph"/>
                          <w:spacing w:before="97"/>
                          <w:ind w:left="264"/>
                          <w:rPr>
                            <w:b/>
                            <w:sz w:val="16"/>
                          </w:rPr>
                        </w:pPr>
                        <w:r>
                          <w:rPr>
                            <w:b/>
                            <w:sz w:val="16"/>
                          </w:rPr>
                          <w:t>1990</w:t>
                        </w:r>
                      </w:p>
                    </w:tc>
                    <w:tc>
                      <w:tcPr>
                        <w:tcW w:w="854" w:type="dxa"/>
                      </w:tcPr>
                      <w:p>
                        <w:pPr>
                          <w:pStyle w:val="TableParagraph"/>
                          <w:spacing w:before="97"/>
                          <w:ind w:left="266"/>
                          <w:rPr>
                            <w:b/>
                            <w:sz w:val="16"/>
                          </w:rPr>
                        </w:pPr>
                        <w:r>
                          <w:rPr>
                            <w:b/>
                            <w:sz w:val="16"/>
                          </w:rPr>
                          <w:t>2000</w:t>
                        </w:r>
                      </w:p>
                    </w:tc>
                    <w:tc>
                      <w:tcPr>
                        <w:tcW w:w="854" w:type="dxa"/>
                      </w:tcPr>
                      <w:p>
                        <w:pPr>
                          <w:pStyle w:val="TableParagraph"/>
                          <w:spacing w:line="180" w:lineRule="atLeast" w:before="6"/>
                          <w:ind w:left="163" w:right="136" w:firstLine="9"/>
                          <w:rPr>
                            <w:b/>
                            <w:sz w:val="16"/>
                          </w:rPr>
                        </w:pPr>
                        <w:r>
                          <w:rPr>
                            <w:b/>
                            <w:sz w:val="16"/>
                          </w:rPr>
                          <w:t>Annual Change</w:t>
                        </w:r>
                      </w:p>
                    </w:tc>
                    <w:tc>
                      <w:tcPr>
                        <w:tcW w:w="784" w:type="dxa"/>
                      </w:tcPr>
                      <w:p>
                        <w:pPr>
                          <w:pStyle w:val="TableParagraph"/>
                          <w:spacing w:line="180" w:lineRule="atLeast" w:before="6"/>
                          <w:ind w:left="231" w:right="102" w:hanging="104"/>
                          <w:rPr>
                            <w:b/>
                            <w:sz w:val="16"/>
                          </w:rPr>
                        </w:pPr>
                        <w:r>
                          <w:rPr>
                            <w:b/>
                            <w:sz w:val="16"/>
                          </w:rPr>
                          <w:t>Change Rate</w:t>
                        </w:r>
                      </w:p>
                    </w:tc>
                  </w:tr>
                  <w:tr>
                    <w:trPr>
                      <w:trHeight w:val="273" w:hRule="atLeast"/>
                    </w:trPr>
                    <w:tc>
                      <w:tcPr>
                        <w:tcW w:w="1106" w:type="dxa"/>
                      </w:tcPr>
                      <w:p>
                        <w:pPr>
                          <w:pStyle w:val="TableParagraph"/>
                          <w:rPr>
                            <w:sz w:val="16"/>
                          </w:rPr>
                        </w:pPr>
                      </w:p>
                    </w:tc>
                    <w:tc>
                      <w:tcPr>
                        <w:tcW w:w="852" w:type="dxa"/>
                      </w:tcPr>
                      <w:p>
                        <w:pPr>
                          <w:pStyle w:val="TableParagraph"/>
                          <w:spacing w:before="40"/>
                          <w:ind w:left="199"/>
                          <w:rPr>
                            <w:b/>
                            <w:sz w:val="16"/>
                          </w:rPr>
                        </w:pPr>
                        <w:r>
                          <w:rPr>
                            <w:b/>
                            <w:sz w:val="16"/>
                          </w:rPr>
                          <w:t>000 ha</w:t>
                        </w:r>
                      </w:p>
                    </w:tc>
                    <w:tc>
                      <w:tcPr>
                        <w:tcW w:w="854" w:type="dxa"/>
                      </w:tcPr>
                      <w:p>
                        <w:pPr>
                          <w:pStyle w:val="TableParagraph"/>
                          <w:spacing w:before="40"/>
                          <w:ind w:left="201"/>
                          <w:rPr>
                            <w:b/>
                            <w:sz w:val="16"/>
                          </w:rPr>
                        </w:pPr>
                        <w:r>
                          <w:rPr>
                            <w:b/>
                            <w:sz w:val="16"/>
                          </w:rPr>
                          <w:t>000 ha</w:t>
                        </w:r>
                      </w:p>
                    </w:tc>
                    <w:tc>
                      <w:tcPr>
                        <w:tcW w:w="854" w:type="dxa"/>
                      </w:tcPr>
                      <w:p>
                        <w:pPr>
                          <w:pStyle w:val="TableParagraph"/>
                          <w:spacing w:before="40"/>
                          <w:ind w:left="84"/>
                          <w:rPr>
                            <w:b/>
                            <w:sz w:val="16"/>
                          </w:rPr>
                        </w:pPr>
                        <w:r>
                          <w:rPr>
                            <w:b/>
                            <w:sz w:val="16"/>
                          </w:rPr>
                          <w:t>000 ha /yr</w:t>
                        </w:r>
                      </w:p>
                    </w:tc>
                    <w:tc>
                      <w:tcPr>
                        <w:tcW w:w="784" w:type="dxa"/>
                      </w:tcPr>
                      <w:p>
                        <w:pPr>
                          <w:pStyle w:val="TableParagraph"/>
                          <w:spacing w:before="40"/>
                          <w:ind w:right="162"/>
                          <w:jc w:val="right"/>
                          <w:rPr>
                            <w:b/>
                            <w:sz w:val="16"/>
                          </w:rPr>
                        </w:pPr>
                        <w:r>
                          <w:rPr>
                            <w:b/>
                            <w:sz w:val="16"/>
                          </w:rPr>
                          <w:t>% / yr</w:t>
                        </w:r>
                      </w:p>
                    </w:tc>
                  </w:tr>
                  <w:tr>
                    <w:trPr>
                      <w:trHeight w:val="273" w:hRule="atLeast"/>
                    </w:trPr>
                    <w:tc>
                      <w:tcPr>
                        <w:tcW w:w="1106" w:type="dxa"/>
                      </w:tcPr>
                      <w:p>
                        <w:pPr>
                          <w:pStyle w:val="TableParagraph"/>
                          <w:spacing w:before="37"/>
                          <w:ind w:left="56"/>
                          <w:rPr>
                            <w:sz w:val="16"/>
                          </w:rPr>
                        </w:pPr>
                        <w:r>
                          <w:rPr>
                            <w:sz w:val="16"/>
                          </w:rPr>
                          <w:t>Madagascar</w:t>
                        </w:r>
                      </w:p>
                    </w:tc>
                    <w:tc>
                      <w:tcPr>
                        <w:tcW w:w="852" w:type="dxa"/>
                      </w:tcPr>
                      <w:p>
                        <w:pPr>
                          <w:pStyle w:val="TableParagraph"/>
                          <w:spacing w:before="37"/>
                          <w:ind w:right="96"/>
                          <w:jc w:val="right"/>
                          <w:rPr>
                            <w:sz w:val="16"/>
                          </w:rPr>
                        </w:pPr>
                        <w:r>
                          <w:rPr>
                            <w:sz w:val="16"/>
                          </w:rPr>
                          <w:t>12 901</w:t>
                        </w:r>
                      </w:p>
                    </w:tc>
                    <w:tc>
                      <w:tcPr>
                        <w:tcW w:w="854" w:type="dxa"/>
                      </w:tcPr>
                      <w:p>
                        <w:pPr>
                          <w:pStyle w:val="TableParagraph"/>
                          <w:spacing w:before="37"/>
                          <w:ind w:right="96"/>
                          <w:jc w:val="right"/>
                          <w:rPr>
                            <w:sz w:val="16"/>
                          </w:rPr>
                        </w:pPr>
                        <w:r>
                          <w:rPr>
                            <w:sz w:val="16"/>
                          </w:rPr>
                          <w:t>11 727</w:t>
                        </w:r>
                      </w:p>
                    </w:tc>
                    <w:tc>
                      <w:tcPr>
                        <w:tcW w:w="854" w:type="dxa"/>
                      </w:tcPr>
                      <w:p>
                        <w:pPr>
                          <w:pStyle w:val="TableParagraph"/>
                          <w:spacing w:before="37"/>
                          <w:ind w:left="336"/>
                          <w:rPr>
                            <w:sz w:val="16"/>
                          </w:rPr>
                        </w:pPr>
                        <w:r>
                          <w:rPr>
                            <w:sz w:val="16"/>
                          </w:rPr>
                          <w:t>-117</w:t>
                        </w:r>
                      </w:p>
                    </w:tc>
                    <w:tc>
                      <w:tcPr>
                        <w:tcW w:w="784" w:type="dxa"/>
                      </w:tcPr>
                      <w:p>
                        <w:pPr>
                          <w:pStyle w:val="TableParagraph"/>
                          <w:spacing w:before="37"/>
                          <w:ind w:right="209"/>
                          <w:jc w:val="right"/>
                          <w:rPr>
                            <w:sz w:val="16"/>
                          </w:rPr>
                        </w:pPr>
                        <w:r>
                          <w:rPr>
                            <w:sz w:val="16"/>
                          </w:rPr>
                          <w:t>-0.9</w:t>
                        </w:r>
                      </w:p>
                    </w:tc>
                  </w:tr>
                  <w:tr>
                    <w:trPr>
                      <w:trHeight w:val="275" w:hRule="atLeast"/>
                    </w:trPr>
                    <w:tc>
                      <w:tcPr>
                        <w:tcW w:w="1106" w:type="dxa"/>
                      </w:tcPr>
                      <w:p>
                        <w:pPr>
                          <w:pStyle w:val="TableParagraph"/>
                          <w:spacing w:before="37"/>
                          <w:ind w:left="57"/>
                          <w:rPr>
                            <w:sz w:val="16"/>
                          </w:rPr>
                        </w:pPr>
                        <w:r>
                          <w:rPr>
                            <w:sz w:val="16"/>
                          </w:rPr>
                          <w:t>Malawi</w:t>
                        </w:r>
                      </w:p>
                    </w:tc>
                    <w:tc>
                      <w:tcPr>
                        <w:tcW w:w="852" w:type="dxa"/>
                      </w:tcPr>
                      <w:p>
                        <w:pPr>
                          <w:pStyle w:val="TableParagraph"/>
                          <w:spacing w:before="37"/>
                          <w:ind w:right="96"/>
                          <w:jc w:val="right"/>
                          <w:rPr>
                            <w:sz w:val="16"/>
                          </w:rPr>
                        </w:pPr>
                        <w:r>
                          <w:rPr>
                            <w:sz w:val="16"/>
                          </w:rPr>
                          <w:t>3 269</w:t>
                        </w:r>
                      </w:p>
                    </w:tc>
                    <w:tc>
                      <w:tcPr>
                        <w:tcW w:w="854" w:type="dxa"/>
                      </w:tcPr>
                      <w:p>
                        <w:pPr>
                          <w:pStyle w:val="TableParagraph"/>
                          <w:spacing w:before="37"/>
                          <w:ind w:right="96"/>
                          <w:jc w:val="right"/>
                          <w:rPr>
                            <w:sz w:val="16"/>
                          </w:rPr>
                        </w:pPr>
                        <w:r>
                          <w:rPr>
                            <w:sz w:val="16"/>
                          </w:rPr>
                          <w:t>2 562</w:t>
                        </w:r>
                      </w:p>
                    </w:tc>
                    <w:tc>
                      <w:tcPr>
                        <w:tcW w:w="854" w:type="dxa"/>
                      </w:tcPr>
                      <w:p>
                        <w:pPr>
                          <w:pStyle w:val="TableParagraph"/>
                          <w:spacing w:before="37"/>
                          <w:ind w:left="415"/>
                          <w:rPr>
                            <w:sz w:val="16"/>
                          </w:rPr>
                        </w:pPr>
                        <w:r>
                          <w:rPr>
                            <w:sz w:val="16"/>
                          </w:rPr>
                          <w:t>-71</w:t>
                        </w:r>
                      </w:p>
                    </w:tc>
                    <w:tc>
                      <w:tcPr>
                        <w:tcW w:w="784" w:type="dxa"/>
                      </w:tcPr>
                      <w:p>
                        <w:pPr>
                          <w:pStyle w:val="TableParagraph"/>
                          <w:spacing w:before="37"/>
                          <w:ind w:right="209"/>
                          <w:jc w:val="right"/>
                          <w:rPr>
                            <w:sz w:val="16"/>
                          </w:rPr>
                        </w:pPr>
                        <w:r>
                          <w:rPr>
                            <w:sz w:val="16"/>
                          </w:rPr>
                          <w:t>-2.4</w:t>
                        </w:r>
                      </w:p>
                    </w:tc>
                  </w:tr>
                  <w:tr>
                    <w:trPr>
                      <w:trHeight w:val="273" w:hRule="atLeast"/>
                    </w:trPr>
                    <w:tc>
                      <w:tcPr>
                        <w:tcW w:w="1106" w:type="dxa"/>
                      </w:tcPr>
                      <w:p>
                        <w:pPr>
                          <w:pStyle w:val="TableParagraph"/>
                          <w:spacing w:before="37"/>
                          <w:ind w:left="57"/>
                          <w:rPr>
                            <w:sz w:val="16"/>
                          </w:rPr>
                        </w:pPr>
                        <w:r>
                          <w:rPr>
                            <w:sz w:val="16"/>
                          </w:rPr>
                          <w:t>Mali</w:t>
                        </w:r>
                      </w:p>
                    </w:tc>
                    <w:tc>
                      <w:tcPr>
                        <w:tcW w:w="852" w:type="dxa"/>
                      </w:tcPr>
                      <w:p>
                        <w:pPr>
                          <w:pStyle w:val="TableParagraph"/>
                          <w:spacing w:before="37"/>
                          <w:ind w:right="97"/>
                          <w:jc w:val="right"/>
                          <w:rPr>
                            <w:sz w:val="16"/>
                          </w:rPr>
                        </w:pPr>
                        <w:r>
                          <w:rPr>
                            <w:sz w:val="16"/>
                          </w:rPr>
                          <w:t>14 179</w:t>
                        </w:r>
                      </w:p>
                    </w:tc>
                    <w:tc>
                      <w:tcPr>
                        <w:tcW w:w="854" w:type="dxa"/>
                      </w:tcPr>
                      <w:p>
                        <w:pPr>
                          <w:pStyle w:val="TableParagraph"/>
                          <w:spacing w:before="37"/>
                          <w:ind w:right="96"/>
                          <w:jc w:val="right"/>
                          <w:rPr>
                            <w:sz w:val="16"/>
                          </w:rPr>
                        </w:pPr>
                        <w:r>
                          <w:rPr>
                            <w:sz w:val="16"/>
                          </w:rPr>
                          <w:t>13 186</w:t>
                        </w:r>
                      </w:p>
                    </w:tc>
                    <w:tc>
                      <w:tcPr>
                        <w:tcW w:w="854" w:type="dxa"/>
                      </w:tcPr>
                      <w:p>
                        <w:pPr>
                          <w:pStyle w:val="TableParagraph"/>
                          <w:spacing w:before="37"/>
                          <w:ind w:left="415"/>
                          <w:rPr>
                            <w:sz w:val="16"/>
                          </w:rPr>
                        </w:pPr>
                        <w:r>
                          <w:rPr>
                            <w:sz w:val="16"/>
                          </w:rPr>
                          <w:t>-99</w:t>
                        </w:r>
                      </w:p>
                    </w:tc>
                    <w:tc>
                      <w:tcPr>
                        <w:tcW w:w="784" w:type="dxa"/>
                      </w:tcPr>
                      <w:p>
                        <w:pPr>
                          <w:pStyle w:val="TableParagraph"/>
                          <w:spacing w:before="37"/>
                          <w:ind w:right="209"/>
                          <w:jc w:val="right"/>
                          <w:rPr>
                            <w:sz w:val="16"/>
                          </w:rPr>
                        </w:pPr>
                        <w:r>
                          <w:rPr>
                            <w:sz w:val="16"/>
                          </w:rPr>
                          <w:t>-0.7</w:t>
                        </w:r>
                      </w:p>
                    </w:tc>
                  </w:tr>
                  <w:tr>
                    <w:trPr>
                      <w:trHeight w:val="273" w:hRule="atLeast"/>
                    </w:trPr>
                    <w:tc>
                      <w:tcPr>
                        <w:tcW w:w="1106" w:type="dxa"/>
                      </w:tcPr>
                      <w:p>
                        <w:pPr>
                          <w:pStyle w:val="TableParagraph"/>
                          <w:spacing w:before="37"/>
                          <w:ind w:left="57"/>
                          <w:rPr>
                            <w:sz w:val="16"/>
                          </w:rPr>
                        </w:pPr>
                        <w:r>
                          <w:rPr>
                            <w:sz w:val="16"/>
                          </w:rPr>
                          <w:t>Mauritania</w:t>
                        </w:r>
                      </w:p>
                    </w:tc>
                    <w:tc>
                      <w:tcPr>
                        <w:tcW w:w="852" w:type="dxa"/>
                      </w:tcPr>
                      <w:p>
                        <w:pPr>
                          <w:pStyle w:val="TableParagraph"/>
                          <w:spacing w:before="37"/>
                          <w:ind w:right="96"/>
                          <w:jc w:val="right"/>
                          <w:rPr>
                            <w:sz w:val="16"/>
                          </w:rPr>
                        </w:pPr>
                        <w:r>
                          <w:rPr>
                            <w:sz w:val="16"/>
                          </w:rPr>
                          <w:t>415</w:t>
                        </w:r>
                      </w:p>
                    </w:tc>
                    <w:tc>
                      <w:tcPr>
                        <w:tcW w:w="854" w:type="dxa"/>
                      </w:tcPr>
                      <w:p>
                        <w:pPr>
                          <w:pStyle w:val="TableParagraph"/>
                          <w:spacing w:before="37"/>
                          <w:ind w:right="96"/>
                          <w:jc w:val="right"/>
                          <w:rPr>
                            <w:sz w:val="16"/>
                          </w:rPr>
                        </w:pPr>
                        <w:r>
                          <w:rPr>
                            <w:sz w:val="16"/>
                          </w:rPr>
                          <w:t>317</w:t>
                        </w:r>
                      </w:p>
                    </w:tc>
                    <w:tc>
                      <w:tcPr>
                        <w:tcW w:w="854" w:type="dxa"/>
                      </w:tcPr>
                      <w:p>
                        <w:pPr>
                          <w:pStyle w:val="TableParagraph"/>
                          <w:spacing w:before="37"/>
                          <w:ind w:left="416"/>
                          <w:rPr>
                            <w:sz w:val="16"/>
                          </w:rPr>
                        </w:pPr>
                        <w:r>
                          <w:rPr>
                            <w:sz w:val="16"/>
                          </w:rPr>
                          <w:t>-10</w:t>
                        </w:r>
                      </w:p>
                    </w:tc>
                    <w:tc>
                      <w:tcPr>
                        <w:tcW w:w="784" w:type="dxa"/>
                      </w:tcPr>
                      <w:p>
                        <w:pPr>
                          <w:pStyle w:val="TableParagraph"/>
                          <w:spacing w:before="37"/>
                          <w:ind w:right="209"/>
                          <w:jc w:val="right"/>
                          <w:rPr>
                            <w:sz w:val="16"/>
                          </w:rPr>
                        </w:pPr>
                        <w:r>
                          <w:rPr>
                            <w:sz w:val="16"/>
                          </w:rPr>
                          <w:t>-2.7</w:t>
                        </w:r>
                      </w:p>
                    </w:tc>
                  </w:tr>
                  <w:tr>
                    <w:trPr>
                      <w:trHeight w:val="275" w:hRule="atLeast"/>
                    </w:trPr>
                    <w:tc>
                      <w:tcPr>
                        <w:tcW w:w="1106" w:type="dxa"/>
                      </w:tcPr>
                      <w:p>
                        <w:pPr>
                          <w:pStyle w:val="TableParagraph"/>
                          <w:spacing w:before="37"/>
                          <w:ind w:left="57"/>
                          <w:rPr>
                            <w:sz w:val="16"/>
                          </w:rPr>
                        </w:pPr>
                        <w:r>
                          <w:rPr>
                            <w:sz w:val="16"/>
                          </w:rPr>
                          <w:t>Mauritius</w:t>
                        </w:r>
                      </w:p>
                    </w:tc>
                    <w:tc>
                      <w:tcPr>
                        <w:tcW w:w="852" w:type="dxa"/>
                      </w:tcPr>
                      <w:p>
                        <w:pPr>
                          <w:pStyle w:val="TableParagraph"/>
                          <w:spacing w:before="37"/>
                          <w:ind w:right="95"/>
                          <w:jc w:val="right"/>
                          <w:rPr>
                            <w:sz w:val="16"/>
                          </w:rPr>
                        </w:pPr>
                        <w:r>
                          <w:rPr>
                            <w:sz w:val="16"/>
                          </w:rPr>
                          <w:t>17</w:t>
                        </w:r>
                      </w:p>
                    </w:tc>
                    <w:tc>
                      <w:tcPr>
                        <w:tcW w:w="854" w:type="dxa"/>
                      </w:tcPr>
                      <w:p>
                        <w:pPr>
                          <w:pStyle w:val="TableParagraph"/>
                          <w:spacing w:before="37"/>
                          <w:ind w:right="95"/>
                          <w:jc w:val="right"/>
                          <w:rPr>
                            <w:sz w:val="16"/>
                          </w:rPr>
                        </w:pPr>
                        <w:r>
                          <w:rPr>
                            <w:sz w:val="16"/>
                          </w:rPr>
                          <w:t>16</w:t>
                        </w:r>
                      </w:p>
                    </w:tc>
                    <w:tc>
                      <w:tcPr>
                        <w:tcW w:w="854" w:type="dxa"/>
                      </w:tcPr>
                      <w:p>
                        <w:pPr>
                          <w:pStyle w:val="TableParagraph"/>
                          <w:spacing w:before="37"/>
                          <w:ind w:left="406"/>
                          <w:rPr>
                            <w:sz w:val="16"/>
                          </w:rPr>
                        </w:pPr>
                        <w:r>
                          <w:rPr>
                            <w:sz w:val="16"/>
                          </w:rPr>
                          <w:t>n.s.</w:t>
                        </w:r>
                      </w:p>
                    </w:tc>
                    <w:tc>
                      <w:tcPr>
                        <w:tcW w:w="784" w:type="dxa"/>
                      </w:tcPr>
                      <w:p>
                        <w:pPr>
                          <w:pStyle w:val="TableParagraph"/>
                          <w:spacing w:before="37"/>
                          <w:ind w:right="208"/>
                          <w:jc w:val="right"/>
                          <w:rPr>
                            <w:sz w:val="16"/>
                          </w:rPr>
                        </w:pPr>
                        <w:r>
                          <w:rPr>
                            <w:sz w:val="16"/>
                          </w:rPr>
                          <w:t>-0.6</w:t>
                        </w:r>
                      </w:p>
                    </w:tc>
                  </w:tr>
                  <w:tr>
                    <w:trPr>
                      <w:trHeight w:val="273" w:hRule="atLeast"/>
                    </w:trPr>
                    <w:tc>
                      <w:tcPr>
                        <w:tcW w:w="1106" w:type="dxa"/>
                      </w:tcPr>
                      <w:p>
                        <w:pPr>
                          <w:pStyle w:val="TableParagraph"/>
                          <w:spacing w:before="37"/>
                          <w:ind w:left="57"/>
                          <w:rPr>
                            <w:sz w:val="16"/>
                          </w:rPr>
                        </w:pPr>
                        <w:r>
                          <w:rPr>
                            <w:sz w:val="16"/>
                          </w:rPr>
                          <w:t>Morocco</w:t>
                        </w:r>
                      </w:p>
                    </w:tc>
                    <w:tc>
                      <w:tcPr>
                        <w:tcW w:w="852" w:type="dxa"/>
                      </w:tcPr>
                      <w:p>
                        <w:pPr>
                          <w:pStyle w:val="TableParagraph"/>
                          <w:spacing w:before="37"/>
                          <w:ind w:right="96"/>
                          <w:jc w:val="right"/>
                          <w:rPr>
                            <w:sz w:val="16"/>
                          </w:rPr>
                        </w:pPr>
                        <w:r>
                          <w:rPr>
                            <w:sz w:val="16"/>
                          </w:rPr>
                          <w:t>3 037</w:t>
                        </w:r>
                      </w:p>
                    </w:tc>
                    <w:tc>
                      <w:tcPr>
                        <w:tcW w:w="854" w:type="dxa"/>
                      </w:tcPr>
                      <w:p>
                        <w:pPr>
                          <w:pStyle w:val="TableParagraph"/>
                          <w:spacing w:before="37"/>
                          <w:ind w:right="96"/>
                          <w:jc w:val="right"/>
                          <w:rPr>
                            <w:sz w:val="16"/>
                          </w:rPr>
                        </w:pPr>
                        <w:r>
                          <w:rPr>
                            <w:sz w:val="16"/>
                          </w:rPr>
                          <w:t>3 025</w:t>
                        </w:r>
                      </w:p>
                    </w:tc>
                    <w:tc>
                      <w:tcPr>
                        <w:tcW w:w="854" w:type="dxa"/>
                      </w:tcPr>
                      <w:p>
                        <w:pPr>
                          <w:pStyle w:val="TableParagraph"/>
                          <w:spacing w:before="37"/>
                          <w:ind w:left="497"/>
                          <w:rPr>
                            <w:sz w:val="16"/>
                          </w:rPr>
                        </w:pPr>
                        <w:r>
                          <w:rPr>
                            <w:sz w:val="16"/>
                          </w:rPr>
                          <w:t>-1</w:t>
                        </w:r>
                      </w:p>
                    </w:tc>
                    <w:tc>
                      <w:tcPr>
                        <w:tcW w:w="784" w:type="dxa"/>
                      </w:tcPr>
                      <w:p>
                        <w:pPr>
                          <w:pStyle w:val="TableParagraph"/>
                          <w:spacing w:before="37"/>
                          <w:ind w:right="209"/>
                          <w:jc w:val="right"/>
                          <w:rPr>
                            <w:sz w:val="16"/>
                          </w:rPr>
                        </w:pPr>
                        <w:r>
                          <w:rPr>
                            <w:sz w:val="16"/>
                          </w:rPr>
                          <w:t>n.s.</w:t>
                        </w:r>
                      </w:p>
                    </w:tc>
                  </w:tr>
                  <w:tr>
                    <w:trPr>
                      <w:trHeight w:val="273" w:hRule="atLeast"/>
                    </w:trPr>
                    <w:tc>
                      <w:tcPr>
                        <w:tcW w:w="1106" w:type="dxa"/>
                      </w:tcPr>
                      <w:p>
                        <w:pPr>
                          <w:pStyle w:val="TableParagraph"/>
                          <w:spacing w:before="37"/>
                          <w:ind w:left="56"/>
                          <w:rPr>
                            <w:sz w:val="16"/>
                          </w:rPr>
                        </w:pPr>
                        <w:r>
                          <w:rPr>
                            <w:sz w:val="16"/>
                          </w:rPr>
                          <w:t>Mozambique</w:t>
                        </w:r>
                      </w:p>
                    </w:tc>
                    <w:tc>
                      <w:tcPr>
                        <w:tcW w:w="852" w:type="dxa"/>
                      </w:tcPr>
                      <w:p>
                        <w:pPr>
                          <w:pStyle w:val="TableParagraph"/>
                          <w:spacing w:before="37"/>
                          <w:ind w:right="97"/>
                          <w:jc w:val="right"/>
                          <w:rPr>
                            <w:sz w:val="16"/>
                          </w:rPr>
                        </w:pPr>
                        <w:r>
                          <w:rPr>
                            <w:sz w:val="16"/>
                          </w:rPr>
                          <w:t>31 238</w:t>
                        </w:r>
                      </w:p>
                    </w:tc>
                    <w:tc>
                      <w:tcPr>
                        <w:tcW w:w="854" w:type="dxa"/>
                      </w:tcPr>
                      <w:p>
                        <w:pPr>
                          <w:pStyle w:val="TableParagraph"/>
                          <w:spacing w:before="37"/>
                          <w:ind w:right="96"/>
                          <w:jc w:val="right"/>
                          <w:rPr>
                            <w:sz w:val="16"/>
                          </w:rPr>
                        </w:pPr>
                        <w:r>
                          <w:rPr>
                            <w:sz w:val="16"/>
                          </w:rPr>
                          <w:t>30 601</w:t>
                        </w:r>
                      </w:p>
                    </w:tc>
                    <w:tc>
                      <w:tcPr>
                        <w:tcW w:w="854" w:type="dxa"/>
                      </w:tcPr>
                      <w:p>
                        <w:pPr>
                          <w:pStyle w:val="TableParagraph"/>
                          <w:spacing w:before="37"/>
                          <w:ind w:left="416"/>
                          <w:rPr>
                            <w:sz w:val="16"/>
                          </w:rPr>
                        </w:pPr>
                        <w:r>
                          <w:rPr>
                            <w:sz w:val="16"/>
                          </w:rPr>
                          <w:t>-64</w:t>
                        </w:r>
                      </w:p>
                    </w:tc>
                    <w:tc>
                      <w:tcPr>
                        <w:tcW w:w="784" w:type="dxa"/>
                      </w:tcPr>
                      <w:p>
                        <w:pPr>
                          <w:pStyle w:val="TableParagraph"/>
                          <w:spacing w:before="37"/>
                          <w:ind w:right="210"/>
                          <w:jc w:val="right"/>
                          <w:rPr>
                            <w:sz w:val="16"/>
                          </w:rPr>
                        </w:pPr>
                        <w:r>
                          <w:rPr>
                            <w:sz w:val="16"/>
                          </w:rPr>
                          <w:t>-0.2</w:t>
                        </w:r>
                      </w:p>
                    </w:tc>
                  </w:tr>
                  <w:tr>
                    <w:trPr>
                      <w:trHeight w:val="275" w:hRule="atLeast"/>
                    </w:trPr>
                    <w:tc>
                      <w:tcPr>
                        <w:tcW w:w="1106" w:type="dxa"/>
                      </w:tcPr>
                      <w:p>
                        <w:pPr>
                          <w:pStyle w:val="TableParagraph"/>
                          <w:spacing w:before="37"/>
                          <w:ind w:left="57"/>
                          <w:rPr>
                            <w:sz w:val="16"/>
                          </w:rPr>
                        </w:pPr>
                        <w:r>
                          <w:rPr>
                            <w:sz w:val="16"/>
                          </w:rPr>
                          <w:t>Namibia</w:t>
                        </w:r>
                      </w:p>
                    </w:tc>
                    <w:tc>
                      <w:tcPr>
                        <w:tcW w:w="852" w:type="dxa"/>
                      </w:tcPr>
                      <w:p>
                        <w:pPr>
                          <w:pStyle w:val="TableParagraph"/>
                          <w:spacing w:before="37"/>
                          <w:ind w:right="96"/>
                          <w:jc w:val="right"/>
                          <w:rPr>
                            <w:sz w:val="16"/>
                          </w:rPr>
                        </w:pPr>
                        <w:r>
                          <w:rPr>
                            <w:sz w:val="16"/>
                          </w:rPr>
                          <w:t>8 774</w:t>
                        </w:r>
                      </w:p>
                    </w:tc>
                    <w:tc>
                      <w:tcPr>
                        <w:tcW w:w="854" w:type="dxa"/>
                      </w:tcPr>
                      <w:p>
                        <w:pPr>
                          <w:pStyle w:val="TableParagraph"/>
                          <w:spacing w:before="37"/>
                          <w:ind w:right="96"/>
                          <w:jc w:val="right"/>
                          <w:rPr>
                            <w:sz w:val="16"/>
                          </w:rPr>
                        </w:pPr>
                        <w:r>
                          <w:rPr>
                            <w:sz w:val="16"/>
                          </w:rPr>
                          <w:t>8 040</w:t>
                        </w:r>
                      </w:p>
                    </w:tc>
                    <w:tc>
                      <w:tcPr>
                        <w:tcW w:w="854" w:type="dxa"/>
                      </w:tcPr>
                      <w:p>
                        <w:pPr>
                          <w:pStyle w:val="TableParagraph"/>
                          <w:spacing w:before="37"/>
                          <w:ind w:left="415"/>
                          <w:rPr>
                            <w:sz w:val="16"/>
                          </w:rPr>
                        </w:pPr>
                        <w:r>
                          <w:rPr>
                            <w:sz w:val="16"/>
                          </w:rPr>
                          <w:t>-73</w:t>
                        </w:r>
                      </w:p>
                    </w:tc>
                    <w:tc>
                      <w:tcPr>
                        <w:tcW w:w="784" w:type="dxa"/>
                      </w:tcPr>
                      <w:p>
                        <w:pPr>
                          <w:pStyle w:val="TableParagraph"/>
                          <w:spacing w:before="37"/>
                          <w:ind w:right="209"/>
                          <w:jc w:val="right"/>
                          <w:rPr>
                            <w:sz w:val="16"/>
                          </w:rPr>
                        </w:pPr>
                        <w:r>
                          <w:rPr>
                            <w:sz w:val="16"/>
                          </w:rPr>
                          <w:t>-0.9</w:t>
                        </w:r>
                      </w:p>
                    </w:tc>
                  </w:tr>
                  <w:tr>
                    <w:trPr>
                      <w:trHeight w:val="443" w:hRule="atLeast"/>
                    </w:trPr>
                    <w:tc>
                      <w:tcPr>
                        <w:tcW w:w="1106" w:type="dxa"/>
                      </w:tcPr>
                      <w:p>
                        <w:pPr>
                          <w:pStyle w:val="TableParagraph"/>
                          <w:spacing w:before="124"/>
                          <w:ind w:left="57"/>
                          <w:rPr>
                            <w:sz w:val="16"/>
                          </w:rPr>
                        </w:pPr>
                        <w:r>
                          <w:rPr>
                            <w:sz w:val="16"/>
                          </w:rPr>
                          <w:t>Niger</w:t>
                        </w:r>
                      </w:p>
                    </w:tc>
                    <w:tc>
                      <w:tcPr>
                        <w:tcW w:w="852" w:type="dxa"/>
                      </w:tcPr>
                      <w:p>
                        <w:pPr>
                          <w:pStyle w:val="TableParagraph"/>
                          <w:spacing w:before="124"/>
                          <w:ind w:right="97"/>
                          <w:jc w:val="right"/>
                          <w:rPr>
                            <w:sz w:val="16"/>
                          </w:rPr>
                        </w:pPr>
                        <w:r>
                          <w:rPr>
                            <w:sz w:val="16"/>
                          </w:rPr>
                          <w:t>1 945</w:t>
                        </w:r>
                      </w:p>
                    </w:tc>
                    <w:tc>
                      <w:tcPr>
                        <w:tcW w:w="854" w:type="dxa"/>
                      </w:tcPr>
                      <w:p>
                        <w:pPr>
                          <w:pStyle w:val="TableParagraph"/>
                          <w:spacing w:before="124"/>
                          <w:ind w:right="96"/>
                          <w:jc w:val="right"/>
                          <w:rPr>
                            <w:sz w:val="16"/>
                          </w:rPr>
                        </w:pPr>
                        <w:r>
                          <w:rPr>
                            <w:sz w:val="16"/>
                          </w:rPr>
                          <w:t>1 328</w:t>
                        </w:r>
                      </w:p>
                    </w:tc>
                    <w:tc>
                      <w:tcPr>
                        <w:tcW w:w="854" w:type="dxa"/>
                      </w:tcPr>
                      <w:p>
                        <w:pPr>
                          <w:pStyle w:val="TableParagraph"/>
                          <w:spacing w:before="124"/>
                          <w:ind w:left="415"/>
                          <w:rPr>
                            <w:sz w:val="16"/>
                          </w:rPr>
                        </w:pPr>
                        <w:r>
                          <w:rPr>
                            <w:sz w:val="16"/>
                          </w:rPr>
                          <w:t>-62</w:t>
                        </w:r>
                      </w:p>
                    </w:tc>
                    <w:tc>
                      <w:tcPr>
                        <w:tcW w:w="784" w:type="dxa"/>
                      </w:tcPr>
                      <w:p>
                        <w:pPr>
                          <w:pStyle w:val="TableParagraph"/>
                          <w:spacing w:before="124"/>
                          <w:ind w:right="209"/>
                          <w:jc w:val="right"/>
                          <w:rPr>
                            <w:sz w:val="16"/>
                          </w:rPr>
                        </w:pPr>
                        <w:r>
                          <w:rPr>
                            <w:sz w:val="16"/>
                          </w:rPr>
                          <w:t>-3.7</w:t>
                        </w:r>
                      </w:p>
                    </w:tc>
                  </w:tr>
                  <w:tr>
                    <w:trPr>
                      <w:trHeight w:val="273" w:hRule="atLeast"/>
                    </w:trPr>
                    <w:tc>
                      <w:tcPr>
                        <w:tcW w:w="1106" w:type="dxa"/>
                      </w:tcPr>
                      <w:p>
                        <w:pPr>
                          <w:pStyle w:val="TableParagraph"/>
                          <w:spacing w:before="37"/>
                          <w:ind w:left="57"/>
                          <w:rPr>
                            <w:sz w:val="16"/>
                          </w:rPr>
                        </w:pPr>
                        <w:r>
                          <w:rPr>
                            <w:sz w:val="16"/>
                          </w:rPr>
                          <w:t>Nigeria</w:t>
                        </w:r>
                      </w:p>
                    </w:tc>
                    <w:tc>
                      <w:tcPr>
                        <w:tcW w:w="852" w:type="dxa"/>
                      </w:tcPr>
                      <w:p>
                        <w:pPr>
                          <w:pStyle w:val="TableParagraph"/>
                          <w:spacing w:before="37"/>
                          <w:ind w:right="97"/>
                          <w:jc w:val="right"/>
                          <w:rPr>
                            <w:sz w:val="16"/>
                          </w:rPr>
                        </w:pPr>
                        <w:r>
                          <w:rPr>
                            <w:sz w:val="16"/>
                          </w:rPr>
                          <w:t>17 501</w:t>
                        </w:r>
                      </w:p>
                    </w:tc>
                    <w:tc>
                      <w:tcPr>
                        <w:tcW w:w="854" w:type="dxa"/>
                      </w:tcPr>
                      <w:p>
                        <w:pPr>
                          <w:pStyle w:val="TableParagraph"/>
                          <w:spacing w:before="37"/>
                          <w:ind w:right="96"/>
                          <w:jc w:val="right"/>
                          <w:rPr>
                            <w:sz w:val="16"/>
                          </w:rPr>
                        </w:pPr>
                        <w:r>
                          <w:rPr>
                            <w:sz w:val="16"/>
                          </w:rPr>
                          <w:t>13 517</w:t>
                        </w:r>
                      </w:p>
                    </w:tc>
                    <w:tc>
                      <w:tcPr>
                        <w:tcW w:w="854" w:type="dxa"/>
                      </w:tcPr>
                      <w:p>
                        <w:pPr>
                          <w:pStyle w:val="TableParagraph"/>
                          <w:spacing w:before="37"/>
                          <w:ind w:left="337"/>
                          <w:rPr>
                            <w:sz w:val="16"/>
                          </w:rPr>
                        </w:pPr>
                        <w:r>
                          <w:rPr>
                            <w:sz w:val="16"/>
                          </w:rPr>
                          <w:t>-398</w:t>
                        </w:r>
                      </w:p>
                    </w:tc>
                    <w:tc>
                      <w:tcPr>
                        <w:tcW w:w="784" w:type="dxa"/>
                      </w:tcPr>
                      <w:p>
                        <w:pPr>
                          <w:pStyle w:val="TableParagraph"/>
                          <w:spacing w:before="37"/>
                          <w:ind w:right="209"/>
                          <w:jc w:val="right"/>
                          <w:rPr>
                            <w:sz w:val="16"/>
                          </w:rPr>
                        </w:pPr>
                        <w:r>
                          <w:rPr>
                            <w:sz w:val="16"/>
                          </w:rPr>
                          <w:t>-2.6</w:t>
                        </w:r>
                      </w:p>
                    </w:tc>
                  </w:tr>
                  <w:tr>
                    <w:trPr>
                      <w:trHeight w:val="273" w:hRule="atLeast"/>
                    </w:trPr>
                    <w:tc>
                      <w:tcPr>
                        <w:tcW w:w="1106" w:type="dxa"/>
                      </w:tcPr>
                      <w:p>
                        <w:pPr>
                          <w:pStyle w:val="TableParagraph"/>
                          <w:spacing w:before="37"/>
                          <w:ind w:left="57"/>
                          <w:rPr>
                            <w:sz w:val="16"/>
                          </w:rPr>
                        </w:pPr>
                        <w:r>
                          <w:rPr>
                            <w:sz w:val="16"/>
                          </w:rPr>
                          <w:t>Réunion</w:t>
                        </w:r>
                      </w:p>
                    </w:tc>
                    <w:tc>
                      <w:tcPr>
                        <w:tcW w:w="852" w:type="dxa"/>
                      </w:tcPr>
                      <w:p>
                        <w:pPr>
                          <w:pStyle w:val="TableParagraph"/>
                          <w:spacing w:before="37"/>
                          <w:ind w:right="95"/>
                          <w:jc w:val="right"/>
                          <w:rPr>
                            <w:sz w:val="16"/>
                          </w:rPr>
                        </w:pPr>
                        <w:r>
                          <w:rPr>
                            <w:sz w:val="16"/>
                          </w:rPr>
                          <w:t>76</w:t>
                        </w:r>
                      </w:p>
                    </w:tc>
                    <w:tc>
                      <w:tcPr>
                        <w:tcW w:w="854" w:type="dxa"/>
                      </w:tcPr>
                      <w:p>
                        <w:pPr>
                          <w:pStyle w:val="TableParagraph"/>
                          <w:spacing w:before="37"/>
                          <w:ind w:right="95"/>
                          <w:jc w:val="right"/>
                          <w:rPr>
                            <w:sz w:val="16"/>
                          </w:rPr>
                        </w:pPr>
                        <w:r>
                          <w:rPr>
                            <w:sz w:val="16"/>
                          </w:rPr>
                          <w:t>71</w:t>
                        </w:r>
                      </w:p>
                    </w:tc>
                    <w:tc>
                      <w:tcPr>
                        <w:tcW w:w="854" w:type="dxa"/>
                      </w:tcPr>
                      <w:p>
                        <w:pPr>
                          <w:pStyle w:val="TableParagraph"/>
                          <w:spacing w:before="37"/>
                          <w:ind w:left="497"/>
                          <w:rPr>
                            <w:sz w:val="16"/>
                          </w:rPr>
                        </w:pPr>
                        <w:r>
                          <w:rPr>
                            <w:sz w:val="16"/>
                          </w:rPr>
                          <w:t>-1</w:t>
                        </w:r>
                      </w:p>
                    </w:tc>
                    <w:tc>
                      <w:tcPr>
                        <w:tcW w:w="784" w:type="dxa"/>
                      </w:tcPr>
                      <w:p>
                        <w:pPr>
                          <w:pStyle w:val="TableParagraph"/>
                          <w:spacing w:before="37"/>
                          <w:ind w:right="209"/>
                          <w:jc w:val="right"/>
                          <w:rPr>
                            <w:sz w:val="16"/>
                          </w:rPr>
                        </w:pPr>
                        <w:r>
                          <w:rPr>
                            <w:sz w:val="16"/>
                          </w:rPr>
                          <w:t>-0.8</w:t>
                        </w:r>
                      </w:p>
                    </w:tc>
                  </w:tr>
                  <w:tr>
                    <w:trPr>
                      <w:trHeight w:val="275" w:hRule="atLeast"/>
                    </w:trPr>
                    <w:tc>
                      <w:tcPr>
                        <w:tcW w:w="1106" w:type="dxa"/>
                      </w:tcPr>
                      <w:p>
                        <w:pPr>
                          <w:pStyle w:val="TableParagraph"/>
                          <w:spacing w:before="37"/>
                          <w:ind w:left="57"/>
                          <w:rPr>
                            <w:sz w:val="16"/>
                          </w:rPr>
                        </w:pPr>
                        <w:r>
                          <w:rPr>
                            <w:sz w:val="16"/>
                          </w:rPr>
                          <w:t>Rwanda</w:t>
                        </w:r>
                      </w:p>
                    </w:tc>
                    <w:tc>
                      <w:tcPr>
                        <w:tcW w:w="852" w:type="dxa"/>
                      </w:tcPr>
                      <w:p>
                        <w:pPr>
                          <w:pStyle w:val="TableParagraph"/>
                          <w:spacing w:before="37"/>
                          <w:ind w:right="96"/>
                          <w:jc w:val="right"/>
                          <w:rPr>
                            <w:sz w:val="16"/>
                          </w:rPr>
                        </w:pPr>
                        <w:r>
                          <w:rPr>
                            <w:sz w:val="16"/>
                          </w:rPr>
                          <w:t>457</w:t>
                        </w:r>
                      </w:p>
                    </w:tc>
                    <w:tc>
                      <w:tcPr>
                        <w:tcW w:w="854" w:type="dxa"/>
                      </w:tcPr>
                      <w:p>
                        <w:pPr>
                          <w:pStyle w:val="TableParagraph"/>
                          <w:spacing w:before="37"/>
                          <w:ind w:right="96"/>
                          <w:jc w:val="right"/>
                          <w:rPr>
                            <w:sz w:val="16"/>
                          </w:rPr>
                        </w:pPr>
                        <w:r>
                          <w:rPr>
                            <w:sz w:val="16"/>
                          </w:rPr>
                          <w:t>307</w:t>
                        </w:r>
                      </w:p>
                    </w:tc>
                    <w:tc>
                      <w:tcPr>
                        <w:tcW w:w="854" w:type="dxa"/>
                      </w:tcPr>
                      <w:p>
                        <w:pPr>
                          <w:pStyle w:val="TableParagraph"/>
                          <w:spacing w:before="37"/>
                          <w:ind w:left="415"/>
                          <w:rPr>
                            <w:sz w:val="16"/>
                          </w:rPr>
                        </w:pPr>
                        <w:r>
                          <w:rPr>
                            <w:sz w:val="16"/>
                          </w:rPr>
                          <w:t>-15</w:t>
                        </w:r>
                      </w:p>
                    </w:tc>
                    <w:tc>
                      <w:tcPr>
                        <w:tcW w:w="784" w:type="dxa"/>
                      </w:tcPr>
                      <w:p>
                        <w:pPr>
                          <w:pStyle w:val="TableParagraph"/>
                          <w:spacing w:before="37"/>
                          <w:ind w:right="209"/>
                          <w:jc w:val="right"/>
                          <w:rPr>
                            <w:sz w:val="16"/>
                          </w:rPr>
                        </w:pPr>
                        <w:r>
                          <w:rPr>
                            <w:sz w:val="16"/>
                          </w:rPr>
                          <w:t>-3.9</w:t>
                        </w:r>
                      </w:p>
                    </w:tc>
                  </w:tr>
                  <w:tr>
                    <w:trPr>
                      <w:trHeight w:val="273" w:hRule="atLeast"/>
                    </w:trPr>
                    <w:tc>
                      <w:tcPr>
                        <w:tcW w:w="1106" w:type="dxa"/>
                      </w:tcPr>
                      <w:p>
                        <w:pPr>
                          <w:pStyle w:val="TableParagraph"/>
                          <w:spacing w:before="37"/>
                          <w:ind w:left="57"/>
                          <w:rPr>
                            <w:sz w:val="16"/>
                          </w:rPr>
                        </w:pPr>
                        <w:r>
                          <w:rPr>
                            <w:sz w:val="16"/>
                          </w:rPr>
                          <w:t>Saint Helena</w:t>
                        </w:r>
                      </w:p>
                    </w:tc>
                    <w:tc>
                      <w:tcPr>
                        <w:tcW w:w="852" w:type="dxa"/>
                      </w:tcPr>
                      <w:p>
                        <w:pPr>
                          <w:pStyle w:val="TableParagraph"/>
                          <w:spacing w:before="37"/>
                          <w:ind w:right="96"/>
                          <w:jc w:val="right"/>
                          <w:rPr>
                            <w:sz w:val="16"/>
                          </w:rPr>
                        </w:pPr>
                        <w:r>
                          <w:rPr>
                            <w:w w:val="100"/>
                            <w:sz w:val="16"/>
                          </w:rPr>
                          <w:t>2</w:t>
                        </w:r>
                      </w:p>
                    </w:tc>
                    <w:tc>
                      <w:tcPr>
                        <w:tcW w:w="854" w:type="dxa"/>
                      </w:tcPr>
                      <w:p>
                        <w:pPr>
                          <w:pStyle w:val="TableParagraph"/>
                          <w:spacing w:before="37"/>
                          <w:ind w:right="96"/>
                          <w:jc w:val="right"/>
                          <w:rPr>
                            <w:sz w:val="16"/>
                          </w:rPr>
                        </w:pPr>
                        <w:r>
                          <w:rPr>
                            <w:w w:val="100"/>
                            <w:sz w:val="16"/>
                          </w:rPr>
                          <w:t>2</w:t>
                        </w:r>
                      </w:p>
                    </w:tc>
                    <w:tc>
                      <w:tcPr>
                        <w:tcW w:w="854" w:type="dxa"/>
                      </w:tcPr>
                      <w:p>
                        <w:pPr>
                          <w:pStyle w:val="TableParagraph"/>
                          <w:spacing w:before="37"/>
                          <w:ind w:left="406"/>
                          <w:rPr>
                            <w:sz w:val="16"/>
                          </w:rPr>
                        </w:pPr>
                        <w:r>
                          <w:rPr>
                            <w:sz w:val="16"/>
                          </w:rPr>
                          <w:t>n.s.</w:t>
                        </w:r>
                      </w:p>
                    </w:tc>
                    <w:tc>
                      <w:tcPr>
                        <w:tcW w:w="784" w:type="dxa"/>
                      </w:tcPr>
                      <w:p>
                        <w:pPr>
                          <w:pStyle w:val="TableParagraph"/>
                          <w:spacing w:before="37"/>
                          <w:ind w:right="209"/>
                          <w:jc w:val="right"/>
                          <w:rPr>
                            <w:sz w:val="16"/>
                          </w:rPr>
                        </w:pPr>
                        <w:r>
                          <w:rPr>
                            <w:sz w:val="16"/>
                          </w:rPr>
                          <w:t>n.s.</w:t>
                        </w:r>
                      </w:p>
                    </w:tc>
                  </w:tr>
                  <w:tr>
                    <w:trPr>
                      <w:trHeight w:val="443" w:hRule="atLeast"/>
                    </w:trPr>
                    <w:tc>
                      <w:tcPr>
                        <w:tcW w:w="1106" w:type="dxa"/>
                      </w:tcPr>
                      <w:p>
                        <w:pPr>
                          <w:pStyle w:val="TableParagraph"/>
                          <w:spacing w:before="33"/>
                          <w:ind w:left="57" w:right="94"/>
                          <w:rPr>
                            <w:sz w:val="16"/>
                          </w:rPr>
                        </w:pPr>
                        <w:r>
                          <w:rPr>
                            <w:sz w:val="16"/>
                          </w:rPr>
                          <w:t>Sao Tome and Principe</w:t>
                        </w:r>
                      </w:p>
                    </w:tc>
                    <w:tc>
                      <w:tcPr>
                        <w:tcW w:w="852" w:type="dxa"/>
                      </w:tcPr>
                      <w:p>
                        <w:pPr>
                          <w:pStyle w:val="TableParagraph"/>
                          <w:spacing w:before="124"/>
                          <w:ind w:right="96"/>
                          <w:jc w:val="right"/>
                          <w:rPr>
                            <w:sz w:val="16"/>
                          </w:rPr>
                        </w:pPr>
                        <w:r>
                          <w:rPr>
                            <w:sz w:val="16"/>
                          </w:rPr>
                          <w:t>27</w:t>
                        </w:r>
                      </w:p>
                    </w:tc>
                    <w:tc>
                      <w:tcPr>
                        <w:tcW w:w="854" w:type="dxa"/>
                      </w:tcPr>
                      <w:p>
                        <w:pPr>
                          <w:pStyle w:val="TableParagraph"/>
                          <w:spacing w:before="124"/>
                          <w:ind w:right="95"/>
                          <w:jc w:val="right"/>
                          <w:rPr>
                            <w:sz w:val="16"/>
                          </w:rPr>
                        </w:pPr>
                        <w:r>
                          <w:rPr>
                            <w:sz w:val="16"/>
                          </w:rPr>
                          <w:t>27</w:t>
                        </w:r>
                      </w:p>
                    </w:tc>
                    <w:tc>
                      <w:tcPr>
                        <w:tcW w:w="854" w:type="dxa"/>
                      </w:tcPr>
                      <w:p>
                        <w:pPr>
                          <w:pStyle w:val="TableParagraph"/>
                          <w:spacing w:before="124"/>
                          <w:ind w:left="405"/>
                          <w:rPr>
                            <w:sz w:val="16"/>
                          </w:rPr>
                        </w:pPr>
                        <w:r>
                          <w:rPr>
                            <w:sz w:val="16"/>
                          </w:rPr>
                          <w:t>n.s.</w:t>
                        </w:r>
                      </w:p>
                    </w:tc>
                    <w:tc>
                      <w:tcPr>
                        <w:tcW w:w="784" w:type="dxa"/>
                      </w:tcPr>
                      <w:p>
                        <w:pPr>
                          <w:pStyle w:val="TableParagraph"/>
                          <w:spacing w:before="124"/>
                          <w:ind w:right="209"/>
                          <w:jc w:val="right"/>
                          <w:rPr>
                            <w:sz w:val="16"/>
                          </w:rPr>
                        </w:pPr>
                        <w:r>
                          <w:rPr>
                            <w:sz w:val="16"/>
                          </w:rPr>
                          <w:t>n.s.</w:t>
                        </w:r>
                      </w:p>
                    </w:tc>
                  </w:tr>
                  <w:tr>
                    <w:trPr>
                      <w:trHeight w:val="275" w:hRule="atLeast"/>
                    </w:trPr>
                    <w:tc>
                      <w:tcPr>
                        <w:tcW w:w="1106" w:type="dxa"/>
                      </w:tcPr>
                      <w:p>
                        <w:pPr>
                          <w:pStyle w:val="TableParagraph"/>
                          <w:spacing w:before="37"/>
                          <w:ind w:left="58"/>
                          <w:rPr>
                            <w:sz w:val="16"/>
                          </w:rPr>
                        </w:pPr>
                        <w:r>
                          <w:rPr>
                            <w:sz w:val="16"/>
                          </w:rPr>
                          <w:t>Senegal</w:t>
                        </w:r>
                      </w:p>
                    </w:tc>
                    <w:tc>
                      <w:tcPr>
                        <w:tcW w:w="852" w:type="dxa"/>
                      </w:tcPr>
                      <w:p>
                        <w:pPr>
                          <w:pStyle w:val="TableParagraph"/>
                          <w:spacing w:before="37"/>
                          <w:ind w:right="97"/>
                          <w:jc w:val="right"/>
                          <w:rPr>
                            <w:sz w:val="16"/>
                          </w:rPr>
                        </w:pPr>
                        <w:r>
                          <w:rPr>
                            <w:sz w:val="16"/>
                          </w:rPr>
                          <w:t>6 655</w:t>
                        </w:r>
                      </w:p>
                    </w:tc>
                    <w:tc>
                      <w:tcPr>
                        <w:tcW w:w="854" w:type="dxa"/>
                      </w:tcPr>
                      <w:p>
                        <w:pPr>
                          <w:pStyle w:val="TableParagraph"/>
                          <w:spacing w:before="37"/>
                          <w:ind w:right="95"/>
                          <w:jc w:val="right"/>
                          <w:rPr>
                            <w:sz w:val="16"/>
                          </w:rPr>
                        </w:pPr>
                        <w:r>
                          <w:rPr>
                            <w:sz w:val="16"/>
                          </w:rPr>
                          <w:t>6 205</w:t>
                        </w:r>
                      </w:p>
                    </w:tc>
                    <w:tc>
                      <w:tcPr>
                        <w:tcW w:w="854" w:type="dxa"/>
                      </w:tcPr>
                      <w:p>
                        <w:pPr>
                          <w:pStyle w:val="TableParagraph"/>
                          <w:spacing w:before="37"/>
                          <w:ind w:left="416"/>
                          <w:rPr>
                            <w:sz w:val="16"/>
                          </w:rPr>
                        </w:pPr>
                        <w:r>
                          <w:rPr>
                            <w:sz w:val="16"/>
                          </w:rPr>
                          <w:t>-45</w:t>
                        </w:r>
                      </w:p>
                    </w:tc>
                    <w:tc>
                      <w:tcPr>
                        <w:tcW w:w="784" w:type="dxa"/>
                      </w:tcPr>
                      <w:p>
                        <w:pPr>
                          <w:pStyle w:val="TableParagraph"/>
                          <w:spacing w:before="37"/>
                          <w:ind w:right="208"/>
                          <w:jc w:val="right"/>
                          <w:rPr>
                            <w:sz w:val="16"/>
                          </w:rPr>
                        </w:pPr>
                        <w:r>
                          <w:rPr>
                            <w:sz w:val="16"/>
                          </w:rPr>
                          <w:t>-0.7</w:t>
                        </w:r>
                      </w:p>
                    </w:tc>
                  </w:tr>
                  <w:tr>
                    <w:trPr>
                      <w:trHeight w:val="273" w:hRule="atLeast"/>
                    </w:trPr>
                    <w:tc>
                      <w:tcPr>
                        <w:tcW w:w="1106" w:type="dxa"/>
                      </w:tcPr>
                      <w:p>
                        <w:pPr>
                          <w:pStyle w:val="TableParagraph"/>
                          <w:spacing w:before="37"/>
                          <w:ind w:left="57"/>
                          <w:rPr>
                            <w:sz w:val="16"/>
                          </w:rPr>
                        </w:pPr>
                        <w:r>
                          <w:rPr>
                            <w:sz w:val="16"/>
                          </w:rPr>
                          <w:t>Seychelles</w:t>
                        </w:r>
                      </w:p>
                    </w:tc>
                    <w:tc>
                      <w:tcPr>
                        <w:tcW w:w="852" w:type="dxa"/>
                      </w:tcPr>
                      <w:p>
                        <w:pPr>
                          <w:pStyle w:val="TableParagraph"/>
                          <w:spacing w:before="37"/>
                          <w:ind w:right="96"/>
                          <w:jc w:val="right"/>
                          <w:rPr>
                            <w:sz w:val="16"/>
                          </w:rPr>
                        </w:pPr>
                        <w:r>
                          <w:rPr>
                            <w:sz w:val="16"/>
                          </w:rPr>
                          <w:t>30</w:t>
                        </w:r>
                      </w:p>
                    </w:tc>
                    <w:tc>
                      <w:tcPr>
                        <w:tcW w:w="854" w:type="dxa"/>
                      </w:tcPr>
                      <w:p>
                        <w:pPr>
                          <w:pStyle w:val="TableParagraph"/>
                          <w:spacing w:before="37"/>
                          <w:ind w:right="95"/>
                          <w:jc w:val="right"/>
                          <w:rPr>
                            <w:sz w:val="16"/>
                          </w:rPr>
                        </w:pPr>
                        <w:r>
                          <w:rPr>
                            <w:sz w:val="16"/>
                          </w:rPr>
                          <w:t>30</w:t>
                        </w:r>
                      </w:p>
                    </w:tc>
                    <w:tc>
                      <w:tcPr>
                        <w:tcW w:w="854" w:type="dxa"/>
                      </w:tcPr>
                      <w:p>
                        <w:pPr>
                          <w:pStyle w:val="TableParagraph"/>
                          <w:spacing w:before="37"/>
                          <w:ind w:left="405"/>
                          <w:rPr>
                            <w:sz w:val="16"/>
                          </w:rPr>
                        </w:pPr>
                        <w:r>
                          <w:rPr>
                            <w:sz w:val="16"/>
                          </w:rPr>
                          <w:t>n.s.</w:t>
                        </w:r>
                      </w:p>
                    </w:tc>
                    <w:tc>
                      <w:tcPr>
                        <w:tcW w:w="784" w:type="dxa"/>
                      </w:tcPr>
                      <w:p>
                        <w:pPr>
                          <w:pStyle w:val="TableParagraph"/>
                          <w:spacing w:before="37"/>
                          <w:ind w:right="209"/>
                          <w:jc w:val="right"/>
                          <w:rPr>
                            <w:sz w:val="16"/>
                          </w:rPr>
                        </w:pPr>
                        <w:r>
                          <w:rPr>
                            <w:sz w:val="16"/>
                          </w:rPr>
                          <w:t>n.s.</w:t>
                        </w:r>
                      </w:p>
                    </w:tc>
                  </w:tr>
                  <w:tr>
                    <w:trPr>
                      <w:trHeight w:val="443" w:hRule="atLeast"/>
                    </w:trPr>
                    <w:tc>
                      <w:tcPr>
                        <w:tcW w:w="1106" w:type="dxa"/>
                      </w:tcPr>
                      <w:p>
                        <w:pPr>
                          <w:pStyle w:val="TableParagraph"/>
                          <w:spacing w:before="124"/>
                          <w:ind w:left="57"/>
                          <w:rPr>
                            <w:sz w:val="16"/>
                          </w:rPr>
                        </w:pPr>
                        <w:r>
                          <w:rPr>
                            <w:sz w:val="16"/>
                          </w:rPr>
                          <w:t>Sierra Leone</w:t>
                        </w:r>
                      </w:p>
                    </w:tc>
                    <w:tc>
                      <w:tcPr>
                        <w:tcW w:w="852" w:type="dxa"/>
                      </w:tcPr>
                      <w:p>
                        <w:pPr>
                          <w:pStyle w:val="TableParagraph"/>
                          <w:spacing w:before="124"/>
                          <w:ind w:right="96"/>
                          <w:jc w:val="right"/>
                          <w:rPr>
                            <w:sz w:val="16"/>
                          </w:rPr>
                        </w:pPr>
                        <w:r>
                          <w:rPr>
                            <w:sz w:val="16"/>
                          </w:rPr>
                          <w:t>1 416</w:t>
                        </w:r>
                      </w:p>
                    </w:tc>
                    <w:tc>
                      <w:tcPr>
                        <w:tcW w:w="854" w:type="dxa"/>
                      </w:tcPr>
                      <w:p>
                        <w:pPr>
                          <w:pStyle w:val="TableParagraph"/>
                          <w:spacing w:before="124"/>
                          <w:ind w:right="96"/>
                          <w:jc w:val="right"/>
                          <w:rPr>
                            <w:sz w:val="16"/>
                          </w:rPr>
                        </w:pPr>
                        <w:r>
                          <w:rPr>
                            <w:sz w:val="16"/>
                          </w:rPr>
                          <w:t>1 055</w:t>
                        </w:r>
                      </w:p>
                    </w:tc>
                    <w:tc>
                      <w:tcPr>
                        <w:tcW w:w="854" w:type="dxa"/>
                      </w:tcPr>
                      <w:p>
                        <w:pPr>
                          <w:pStyle w:val="TableParagraph"/>
                          <w:spacing w:before="124"/>
                          <w:ind w:left="416"/>
                          <w:rPr>
                            <w:sz w:val="16"/>
                          </w:rPr>
                        </w:pPr>
                        <w:r>
                          <w:rPr>
                            <w:sz w:val="16"/>
                          </w:rPr>
                          <w:t>-36</w:t>
                        </w:r>
                      </w:p>
                    </w:tc>
                    <w:tc>
                      <w:tcPr>
                        <w:tcW w:w="784" w:type="dxa"/>
                      </w:tcPr>
                      <w:p>
                        <w:pPr>
                          <w:pStyle w:val="TableParagraph"/>
                          <w:spacing w:before="124"/>
                          <w:ind w:right="208"/>
                          <w:jc w:val="right"/>
                          <w:rPr>
                            <w:sz w:val="16"/>
                          </w:rPr>
                        </w:pPr>
                        <w:r>
                          <w:rPr>
                            <w:sz w:val="16"/>
                          </w:rPr>
                          <w:t>-2.9</w:t>
                        </w:r>
                      </w:p>
                    </w:tc>
                  </w:tr>
                  <w:tr>
                    <w:trPr>
                      <w:trHeight w:val="273" w:hRule="atLeast"/>
                    </w:trPr>
                    <w:tc>
                      <w:tcPr>
                        <w:tcW w:w="1106" w:type="dxa"/>
                      </w:tcPr>
                      <w:p>
                        <w:pPr>
                          <w:pStyle w:val="TableParagraph"/>
                          <w:spacing w:before="37"/>
                          <w:ind w:left="57"/>
                          <w:rPr>
                            <w:sz w:val="16"/>
                          </w:rPr>
                        </w:pPr>
                        <w:r>
                          <w:rPr>
                            <w:sz w:val="16"/>
                          </w:rPr>
                          <w:t>Somalia</w:t>
                        </w:r>
                      </w:p>
                    </w:tc>
                    <w:tc>
                      <w:tcPr>
                        <w:tcW w:w="852" w:type="dxa"/>
                      </w:tcPr>
                      <w:p>
                        <w:pPr>
                          <w:pStyle w:val="TableParagraph"/>
                          <w:spacing w:before="37"/>
                          <w:ind w:right="96"/>
                          <w:jc w:val="right"/>
                          <w:rPr>
                            <w:sz w:val="16"/>
                          </w:rPr>
                        </w:pPr>
                        <w:r>
                          <w:rPr>
                            <w:sz w:val="16"/>
                          </w:rPr>
                          <w:t>8 284</w:t>
                        </w:r>
                      </w:p>
                    </w:tc>
                    <w:tc>
                      <w:tcPr>
                        <w:tcW w:w="854" w:type="dxa"/>
                      </w:tcPr>
                      <w:p>
                        <w:pPr>
                          <w:pStyle w:val="TableParagraph"/>
                          <w:spacing w:before="37"/>
                          <w:ind w:right="96"/>
                          <w:jc w:val="right"/>
                          <w:rPr>
                            <w:sz w:val="16"/>
                          </w:rPr>
                        </w:pPr>
                        <w:r>
                          <w:rPr>
                            <w:sz w:val="16"/>
                          </w:rPr>
                          <w:t>7 515</w:t>
                        </w:r>
                      </w:p>
                    </w:tc>
                    <w:tc>
                      <w:tcPr>
                        <w:tcW w:w="854" w:type="dxa"/>
                      </w:tcPr>
                      <w:p>
                        <w:pPr>
                          <w:pStyle w:val="TableParagraph"/>
                          <w:spacing w:before="37"/>
                          <w:ind w:left="416"/>
                          <w:rPr>
                            <w:sz w:val="16"/>
                          </w:rPr>
                        </w:pPr>
                        <w:r>
                          <w:rPr>
                            <w:sz w:val="16"/>
                          </w:rPr>
                          <w:t>-77</w:t>
                        </w:r>
                      </w:p>
                    </w:tc>
                    <w:tc>
                      <w:tcPr>
                        <w:tcW w:w="784" w:type="dxa"/>
                      </w:tcPr>
                      <w:p>
                        <w:pPr>
                          <w:pStyle w:val="TableParagraph"/>
                          <w:spacing w:before="37"/>
                          <w:ind w:right="208"/>
                          <w:jc w:val="right"/>
                          <w:rPr>
                            <w:sz w:val="16"/>
                          </w:rPr>
                        </w:pPr>
                        <w:r>
                          <w:rPr>
                            <w:sz w:val="16"/>
                          </w:rPr>
                          <w:t>-1.0</w:t>
                        </w:r>
                      </w:p>
                    </w:tc>
                  </w:tr>
                  <w:tr>
                    <w:trPr>
                      <w:trHeight w:val="275" w:hRule="atLeast"/>
                    </w:trPr>
                    <w:tc>
                      <w:tcPr>
                        <w:tcW w:w="1106" w:type="dxa"/>
                      </w:tcPr>
                      <w:p>
                        <w:pPr>
                          <w:pStyle w:val="TableParagraph"/>
                          <w:spacing w:before="37"/>
                          <w:ind w:left="57"/>
                          <w:rPr>
                            <w:sz w:val="16"/>
                          </w:rPr>
                        </w:pPr>
                        <w:r>
                          <w:rPr>
                            <w:sz w:val="16"/>
                          </w:rPr>
                          <w:t>South Africa</w:t>
                        </w:r>
                      </w:p>
                    </w:tc>
                    <w:tc>
                      <w:tcPr>
                        <w:tcW w:w="852" w:type="dxa"/>
                      </w:tcPr>
                      <w:p>
                        <w:pPr>
                          <w:pStyle w:val="TableParagraph"/>
                          <w:spacing w:before="37"/>
                          <w:ind w:right="95"/>
                          <w:jc w:val="right"/>
                          <w:rPr>
                            <w:sz w:val="16"/>
                          </w:rPr>
                        </w:pPr>
                        <w:r>
                          <w:rPr>
                            <w:sz w:val="16"/>
                          </w:rPr>
                          <w:t>8 997</w:t>
                        </w:r>
                      </w:p>
                    </w:tc>
                    <w:tc>
                      <w:tcPr>
                        <w:tcW w:w="854" w:type="dxa"/>
                      </w:tcPr>
                      <w:p>
                        <w:pPr>
                          <w:pStyle w:val="TableParagraph"/>
                          <w:spacing w:before="37"/>
                          <w:ind w:right="95"/>
                          <w:jc w:val="right"/>
                          <w:rPr>
                            <w:sz w:val="16"/>
                          </w:rPr>
                        </w:pPr>
                        <w:r>
                          <w:rPr>
                            <w:sz w:val="16"/>
                          </w:rPr>
                          <w:t>8 917</w:t>
                        </w:r>
                      </w:p>
                    </w:tc>
                    <w:tc>
                      <w:tcPr>
                        <w:tcW w:w="854" w:type="dxa"/>
                      </w:tcPr>
                      <w:p>
                        <w:pPr>
                          <w:pStyle w:val="TableParagraph"/>
                          <w:spacing w:before="37"/>
                          <w:ind w:left="498"/>
                          <w:rPr>
                            <w:sz w:val="16"/>
                          </w:rPr>
                        </w:pPr>
                        <w:r>
                          <w:rPr>
                            <w:sz w:val="16"/>
                          </w:rPr>
                          <w:t>-8</w:t>
                        </w:r>
                      </w:p>
                    </w:tc>
                    <w:tc>
                      <w:tcPr>
                        <w:tcW w:w="784" w:type="dxa"/>
                      </w:tcPr>
                      <w:p>
                        <w:pPr>
                          <w:pStyle w:val="TableParagraph"/>
                          <w:spacing w:before="37"/>
                          <w:ind w:right="207"/>
                          <w:jc w:val="right"/>
                          <w:rPr>
                            <w:sz w:val="16"/>
                          </w:rPr>
                        </w:pPr>
                        <w:r>
                          <w:rPr>
                            <w:sz w:val="16"/>
                          </w:rPr>
                          <w:t>-0.1</w:t>
                        </w:r>
                      </w:p>
                    </w:tc>
                  </w:tr>
                  <w:tr>
                    <w:trPr>
                      <w:trHeight w:val="273" w:hRule="atLeast"/>
                    </w:trPr>
                    <w:tc>
                      <w:tcPr>
                        <w:tcW w:w="1106" w:type="dxa"/>
                      </w:tcPr>
                      <w:p>
                        <w:pPr>
                          <w:pStyle w:val="TableParagraph"/>
                          <w:spacing w:before="37"/>
                          <w:ind w:left="56"/>
                          <w:rPr>
                            <w:sz w:val="16"/>
                          </w:rPr>
                        </w:pPr>
                        <w:r>
                          <w:rPr>
                            <w:sz w:val="16"/>
                          </w:rPr>
                          <w:t>Sudan</w:t>
                        </w:r>
                      </w:p>
                    </w:tc>
                    <w:tc>
                      <w:tcPr>
                        <w:tcW w:w="852" w:type="dxa"/>
                      </w:tcPr>
                      <w:p>
                        <w:pPr>
                          <w:pStyle w:val="TableParagraph"/>
                          <w:spacing w:before="37"/>
                          <w:ind w:right="97"/>
                          <w:jc w:val="right"/>
                          <w:rPr>
                            <w:sz w:val="16"/>
                          </w:rPr>
                        </w:pPr>
                        <w:r>
                          <w:rPr>
                            <w:sz w:val="16"/>
                          </w:rPr>
                          <w:t>71 216</w:t>
                        </w:r>
                      </w:p>
                    </w:tc>
                    <w:tc>
                      <w:tcPr>
                        <w:tcW w:w="854" w:type="dxa"/>
                      </w:tcPr>
                      <w:p>
                        <w:pPr>
                          <w:pStyle w:val="TableParagraph"/>
                          <w:spacing w:before="37"/>
                          <w:ind w:right="97"/>
                          <w:jc w:val="right"/>
                          <w:rPr>
                            <w:sz w:val="16"/>
                          </w:rPr>
                        </w:pPr>
                        <w:r>
                          <w:rPr>
                            <w:sz w:val="16"/>
                          </w:rPr>
                          <w:t>61 627</w:t>
                        </w:r>
                      </w:p>
                    </w:tc>
                    <w:tc>
                      <w:tcPr>
                        <w:tcW w:w="854" w:type="dxa"/>
                      </w:tcPr>
                      <w:p>
                        <w:pPr>
                          <w:pStyle w:val="TableParagraph"/>
                          <w:spacing w:before="37"/>
                          <w:ind w:left="335"/>
                          <w:rPr>
                            <w:sz w:val="16"/>
                          </w:rPr>
                        </w:pPr>
                        <w:r>
                          <w:rPr>
                            <w:sz w:val="16"/>
                          </w:rPr>
                          <w:t>-959</w:t>
                        </w:r>
                      </w:p>
                    </w:tc>
                    <w:tc>
                      <w:tcPr>
                        <w:tcW w:w="784" w:type="dxa"/>
                      </w:tcPr>
                      <w:p>
                        <w:pPr>
                          <w:pStyle w:val="TableParagraph"/>
                          <w:spacing w:before="37"/>
                          <w:ind w:right="210"/>
                          <w:jc w:val="right"/>
                          <w:rPr>
                            <w:sz w:val="16"/>
                          </w:rPr>
                        </w:pPr>
                        <w:r>
                          <w:rPr>
                            <w:sz w:val="16"/>
                          </w:rPr>
                          <w:t>-1.4</w:t>
                        </w:r>
                      </w:p>
                    </w:tc>
                  </w:tr>
                  <w:tr>
                    <w:trPr>
                      <w:trHeight w:val="273" w:hRule="atLeast"/>
                    </w:trPr>
                    <w:tc>
                      <w:tcPr>
                        <w:tcW w:w="1106" w:type="dxa"/>
                      </w:tcPr>
                      <w:p>
                        <w:pPr>
                          <w:pStyle w:val="TableParagraph"/>
                          <w:spacing w:before="37"/>
                          <w:ind w:left="57"/>
                          <w:rPr>
                            <w:sz w:val="16"/>
                          </w:rPr>
                        </w:pPr>
                        <w:r>
                          <w:rPr>
                            <w:sz w:val="16"/>
                          </w:rPr>
                          <w:t>Swaziland</w:t>
                        </w:r>
                      </w:p>
                    </w:tc>
                    <w:tc>
                      <w:tcPr>
                        <w:tcW w:w="852" w:type="dxa"/>
                      </w:tcPr>
                      <w:p>
                        <w:pPr>
                          <w:pStyle w:val="TableParagraph"/>
                          <w:spacing w:before="37"/>
                          <w:ind w:right="95"/>
                          <w:jc w:val="right"/>
                          <w:rPr>
                            <w:sz w:val="16"/>
                          </w:rPr>
                        </w:pPr>
                        <w:r>
                          <w:rPr>
                            <w:sz w:val="16"/>
                          </w:rPr>
                          <w:t>464</w:t>
                        </w:r>
                      </w:p>
                    </w:tc>
                    <w:tc>
                      <w:tcPr>
                        <w:tcW w:w="854" w:type="dxa"/>
                      </w:tcPr>
                      <w:p>
                        <w:pPr>
                          <w:pStyle w:val="TableParagraph"/>
                          <w:spacing w:before="37"/>
                          <w:ind w:right="95"/>
                          <w:jc w:val="right"/>
                          <w:rPr>
                            <w:sz w:val="16"/>
                          </w:rPr>
                        </w:pPr>
                        <w:r>
                          <w:rPr>
                            <w:sz w:val="16"/>
                          </w:rPr>
                          <w:t>522</w:t>
                        </w:r>
                      </w:p>
                    </w:tc>
                    <w:tc>
                      <w:tcPr>
                        <w:tcW w:w="854" w:type="dxa"/>
                      </w:tcPr>
                      <w:p>
                        <w:pPr>
                          <w:pStyle w:val="TableParagraph"/>
                          <w:spacing w:before="37"/>
                          <w:ind w:left="551"/>
                          <w:rPr>
                            <w:sz w:val="16"/>
                          </w:rPr>
                        </w:pPr>
                        <w:r>
                          <w:rPr>
                            <w:w w:val="100"/>
                            <w:sz w:val="16"/>
                          </w:rPr>
                          <w:t>6</w:t>
                        </w:r>
                      </w:p>
                    </w:tc>
                    <w:tc>
                      <w:tcPr>
                        <w:tcW w:w="784" w:type="dxa"/>
                      </w:tcPr>
                      <w:p>
                        <w:pPr>
                          <w:pStyle w:val="TableParagraph"/>
                          <w:spacing w:before="37"/>
                          <w:ind w:right="209"/>
                          <w:jc w:val="right"/>
                          <w:rPr>
                            <w:sz w:val="16"/>
                          </w:rPr>
                        </w:pPr>
                        <w:r>
                          <w:rPr>
                            <w:sz w:val="16"/>
                          </w:rPr>
                          <w:t>1.2</w:t>
                        </w:r>
                      </w:p>
                    </w:tc>
                  </w:tr>
                  <w:tr>
                    <w:trPr>
                      <w:trHeight w:val="253" w:hRule="atLeast"/>
                    </w:trPr>
                    <w:tc>
                      <w:tcPr>
                        <w:tcW w:w="1106" w:type="dxa"/>
                      </w:tcPr>
                      <w:p>
                        <w:pPr>
                          <w:pStyle w:val="TableParagraph"/>
                          <w:spacing w:before="28"/>
                          <w:ind w:left="58"/>
                          <w:rPr>
                            <w:sz w:val="16"/>
                          </w:rPr>
                        </w:pPr>
                        <w:r>
                          <w:rPr>
                            <w:sz w:val="16"/>
                          </w:rPr>
                          <w:t>Togo</w:t>
                        </w:r>
                      </w:p>
                    </w:tc>
                    <w:tc>
                      <w:tcPr>
                        <w:tcW w:w="852" w:type="dxa"/>
                      </w:tcPr>
                      <w:p>
                        <w:pPr>
                          <w:pStyle w:val="TableParagraph"/>
                          <w:spacing w:before="28"/>
                          <w:ind w:right="96"/>
                          <w:jc w:val="right"/>
                          <w:rPr>
                            <w:sz w:val="16"/>
                          </w:rPr>
                        </w:pPr>
                        <w:r>
                          <w:rPr>
                            <w:sz w:val="16"/>
                          </w:rPr>
                          <w:t>719</w:t>
                        </w:r>
                      </w:p>
                    </w:tc>
                    <w:tc>
                      <w:tcPr>
                        <w:tcW w:w="854" w:type="dxa"/>
                      </w:tcPr>
                      <w:p>
                        <w:pPr>
                          <w:pStyle w:val="TableParagraph"/>
                          <w:spacing w:before="28"/>
                          <w:ind w:right="96"/>
                          <w:jc w:val="right"/>
                          <w:rPr>
                            <w:sz w:val="16"/>
                          </w:rPr>
                        </w:pPr>
                        <w:r>
                          <w:rPr>
                            <w:sz w:val="16"/>
                          </w:rPr>
                          <w:t>510</w:t>
                        </w:r>
                      </w:p>
                    </w:tc>
                    <w:tc>
                      <w:tcPr>
                        <w:tcW w:w="854" w:type="dxa"/>
                      </w:tcPr>
                      <w:p>
                        <w:pPr>
                          <w:pStyle w:val="TableParagraph"/>
                          <w:spacing w:before="28"/>
                          <w:ind w:left="416"/>
                          <w:rPr>
                            <w:sz w:val="16"/>
                          </w:rPr>
                        </w:pPr>
                        <w:r>
                          <w:rPr>
                            <w:sz w:val="16"/>
                          </w:rPr>
                          <w:t>-21</w:t>
                        </w:r>
                      </w:p>
                    </w:tc>
                    <w:tc>
                      <w:tcPr>
                        <w:tcW w:w="784" w:type="dxa"/>
                      </w:tcPr>
                      <w:p>
                        <w:pPr>
                          <w:pStyle w:val="TableParagraph"/>
                          <w:spacing w:before="28"/>
                          <w:ind w:right="208"/>
                          <w:jc w:val="right"/>
                          <w:rPr>
                            <w:sz w:val="16"/>
                          </w:rPr>
                        </w:pPr>
                        <w:r>
                          <w:rPr>
                            <w:sz w:val="16"/>
                          </w:rPr>
                          <w:t>-3.4</w:t>
                        </w:r>
                      </w:p>
                    </w:tc>
                  </w:tr>
                  <w:tr>
                    <w:trPr>
                      <w:trHeight w:val="275" w:hRule="atLeast"/>
                    </w:trPr>
                    <w:tc>
                      <w:tcPr>
                        <w:tcW w:w="1106" w:type="dxa"/>
                      </w:tcPr>
                      <w:p>
                        <w:pPr>
                          <w:pStyle w:val="TableParagraph"/>
                          <w:spacing w:before="37"/>
                          <w:ind w:left="57"/>
                          <w:rPr>
                            <w:sz w:val="16"/>
                          </w:rPr>
                        </w:pPr>
                        <w:r>
                          <w:rPr>
                            <w:sz w:val="16"/>
                          </w:rPr>
                          <w:t>Tunisia</w:t>
                        </w:r>
                      </w:p>
                    </w:tc>
                    <w:tc>
                      <w:tcPr>
                        <w:tcW w:w="852" w:type="dxa"/>
                      </w:tcPr>
                      <w:p>
                        <w:pPr>
                          <w:pStyle w:val="TableParagraph"/>
                          <w:spacing w:before="37"/>
                          <w:ind w:right="96"/>
                          <w:jc w:val="right"/>
                          <w:rPr>
                            <w:sz w:val="16"/>
                          </w:rPr>
                        </w:pPr>
                        <w:r>
                          <w:rPr>
                            <w:sz w:val="16"/>
                          </w:rPr>
                          <w:t>499</w:t>
                        </w:r>
                      </w:p>
                    </w:tc>
                    <w:tc>
                      <w:tcPr>
                        <w:tcW w:w="854" w:type="dxa"/>
                      </w:tcPr>
                      <w:p>
                        <w:pPr>
                          <w:pStyle w:val="TableParagraph"/>
                          <w:spacing w:before="37"/>
                          <w:ind w:right="95"/>
                          <w:jc w:val="right"/>
                          <w:rPr>
                            <w:sz w:val="16"/>
                          </w:rPr>
                        </w:pPr>
                        <w:r>
                          <w:rPr>
                            <w:sz w:val="16"/>
                          </w:rPr>
                          <w:t>510</w:t>
                        </w:r>
                      </w:p>
                    </w:tc>
                    <w:tc>
                      <w:tcPr>
                        <w:tcW w:w="854" w:type="dxa"/>
                      </w:tcPr>
                      <w:p>
                        <w:pPr>
                          <w:pStyle w:val="TableParagraph"/>
                          <w:spacing w:before="37"/>
                          <w:ind w:left="550"/>
                          <w:rPr>
                            <w:sz w:val="16"/>
                          </w:rPr>
                        </w:pPr>
                        <w:r>
                          <w:rPr>
                            <w:w w:val="100"/>
                            <w:sz w:val="16"/>
                          </w:rPr>
                          <w:t>1</w:t>
                        </w:r>
                      </w:p>
                    </w:tc>
                    <w:tc>
                      <w:tcPr>
                        <w:tcW w:w="784" w:type="dxa"/>
                      </w:tcPr>
                      <w:p>
                        <w:pPr>
                          <w:pStyle w:val="TableParagraph"/>
                          <w:spacing w:before="37"/>
                          <w:ind w:right="211"/>
                          <w:jc w:val="right"/>
                          <w:rPr>
                            <w:sz w:val="16"/>
                          </w:rPr>
                        </w:pPr>
                        <w:r>
                          <w:rPr>
                            <w:sz w:val="16"/>
                          </w:rPr>
                          <w:t>0.2</w:t>
                        </w:r>
                      </w:p>
                    </w:tc>
                  </w:tr>
                  <w:tr>
                    <w:trPr>
                      <w:trHeight w:val="273" w:hRule="atLeast"/>
                    </w:trPr>
                    <w:tc>
                      <w:tcPr>
                        <w:tcW w:w="1106" w:type="dxa"/>
                      </w:tcPr>
                      <w:p>
                        <w:pPr>
                          <w:pStyle w:val="TableParagraph"/>
                          <w:spacing w:before="37"/>
                          <w:ind w:left="57"/>
                          <w:rPr>
                            <w:sz w:val="16"/>
                          </w:rPr>
                        </w:pPr>
                        <w:r>
                          <w:rPr>
                            <w:sz w:val="16"/>
                          </w:rPr>
                          <w:t>Uganda</w:t>
                        </w:r>
                      </w:p>
                    </w:tc>
                    <w:tc>
                      <w:tcPr>
                        <w:tcW w:w="852" w:type="dxa"/>
                      </w:tcPr>
                      <w:p>
                        <w:pPr>
                          <w:pStyle w:val="TableParagraph"/>
                          <w:spacing w:before="37"/>
                          <w:ind w:right="96"/>
                          <w:jc w:val="right"/>
                          <w:rPr>
                            <w:sz w:val="16"/>
                          </w:rPr>
                        </w:pPr>
                        <w:r>
                          <w:rPr>
                            <w:sz w:val="16"/>
                          </w:rPr>
                          <w:t>5 103</w:t>
                        </w:r>
                      </w:p>
                    </w:tc>
                    <w:tc>
                      <w:tcPr>
                        <w:tcW w:w="854" w:type="dxa"/>
                      </w:tcPr>
                      <w:p>
                        <w:pPr>
                          <w:pStyle w:val="TableParagraph"/>
                          <w:spacing w:before="37"/>
                          <w:ind w:right="95"/>
                          <w:jc w:val="right"/>
                          <w:rPr>
                            <w:sz w:val="16"/>
                          </w:rPr>
                        </w:pPr>
                        <w:r>
                          <w:rPr>
                            <w:sz w:val="16"/>
                          </w:rPr>
                          <w:t>4 190</w:t>
                        </w:r>
                      </w:p>
                    </w:tc>
                    <w:tc>
                      <w:tcPr>
                        <w:tcW w:w="854" w:type="dxa"/>
                      </w:tcPr>
                      <w:p>
                        <w:pPr>
                          <w:pStyle w:val="TableParagraph"/>
                          <w:spacing w:before="37"/>
                          <w:ind w:left="416"/>
                          <w:rPr>
                            <w:sz w:val="16"/>
                          </w:rPr>
                        </w:pPr>
                        <w:r>
                          <w:rPr>
                            <w:sz w:val="16"/>
                          </w:rPr>
                          <w:t>-91</w:t>
                        </w:r>
                      </w:p>
                    </w:tc>
                    <w:tc>
                      <w:tcPr>
                        <w:tcW w:w="784" w:type="dxa"/>
                      </w:tcPr>
                      <w:p>
                        <w:pPr>
                          <w:pStyle w:val="TableParagraph"/>
                          <w:spacing w:before="37"/>
                          <w:ind w:right="208"/>
                          <w:jc w:val="right"/>
                          <w:rPr>
                            <w:sz w:val="16"/>
                          </w:rPr>
                        </w:pPr>
                        <w:r>
                          <w:rPr>
                            <w:sz w:val="16"/>
                          </w:rPr>
                          <w:t>-2.0</w:t>
                        </w:r>
                      </w:p>
                    </w:tc>
                  </w:tr>
                  <w:tr>
                    <w:trPr>
                      <w:trHeight w:val="556" w:hRule="atLeast"/>
                    </w:trPr>
                    <w:tc>
                      <w:tcPr>
                        <w:tcW w:w="1106" w:type="dxa"/>
                      </w:tcPr>
                      <w:p>
                        <w:pPr>
                          <w:pStyle w:val="TableParagraph"/>
                          <w:spacing w:line="181" w:lineRule="exact"/>
                          <w:ind w:left="57"/>
                          <w:rPr>
                            <w:sz w:val="16"/>
                          </w:rPr>
                        </w:pPr>
                        <w:r>
                          <w:rPr>
                            <w:sz w:val="16"/>
                          </w:rPr>
                          <w:t>United</w:t>
                        </w:r>
                      </w:p>
                      <w:p>
                        <w:pPr>
                          <w:pStyle w:val="TableParagraph"/>
                          <w:spacing w:line="182" w:lineRule="exact" w:before="4"/>
                          <w:ind w:left="57" w:right="268"/>
                          <w:rPr>
                            <w:sz w:val="16"/>
                          </w:rPr>
                        </w:pPr>
                        <w:r>
                          <w:rPr>
                            <w:sz w:val="16"/>
                          </w:rPr>
                          <w:t>Republic of Tanzania</w:t>
                        </w:r>
                      </w:p>
                    </w:tc>
                    <w:tc>
                      <w:tcPr>
                        <w:tcW w:w="852" w:type="dxa"/>
                      </w:tcPr>
                      <w:p>
                        <w:pPr>
                          <w:pStyle w:val="TableParagraph"/>
                          <w:spacing w:before="6"/>
                          <w:rPr>
                            <w:sz w:val="15"/>
                          </w:rPr>
                        </w:pPr>
                      </w:p>
                      <w:p>
                        <w:pPr>
                          <w:pStyle w:val="TableParagraph"/>
                          <w:ind w:right="97"/>
                          <w:jc w:val="right"/>
                          <w:rPr>
                            <w:sz w:val="16"/>
                          </w:rPr>
                        </w:pPr>
                        <w:r>
                          <w:rPr>
                            <w:sz w:val="16"/>
                          </w:rPr>
                          <w:t>39 724</w:t>
                        </w:r>
                      </w:p>
                    </w:tc>
                    <w:tc>
                      <w:tcPr>
                        <w:tcW w:w="854" w:type="dxa"/>
                      </w:tcPr>
                      <w:p>
                        <w:pPr>
                          <w:pStyle w:val="TableParagraph"/>
                          <w:spacing w:before="6"/>
                          <w:rPr>
                            <w:sz w:val="15"/>
                          </w:rPr>
                        </w:pPr>
                      </w:p>
                      <w:p>
                        <w:pPr>
                          <w:pStyle w:val="TableParagraph"/>
                          <w:ind w:right="96"/>
                          <w:jc w:val="right"/>
                          <w:rPr>
                            <w:sz w:val="16"/>
                          </w:rPr>
                        </w:pPr>
                        <w:r>
                          <w:rPr>
                            <w:sz w:val="16"/>
                          </w:rPr>
                          <w:t>38 811</w:t>
                        </w:r>
                      </w:p>
                    </w:tc>
                    <w:tc>
                      <w:tcPr>
                        <w:tcW w:w="854" w:type="dxa"/>
                      </w:tcPr>
                      <w:p>
                        <w:pPr>
                          <w:pStyle w:val="TableParagraph"/>
                          <w:spacing w:before="6"/>
                          <w:rPr>
                            <w:sz w:val="15"/>
                          </w:rPr>
                        </w:pPr>
                      </w:p>
                      <w:p>
                        <w:pPr>
                          <w:pStyle w:val="TableParagraph"/>
                          <w:ind w:left="415"/>
                          <w:rPr>
                            <w:sz w:val="16"/>
                          </w:rPr>
                        </w:pPr>
                        <w:r>
                          <w:rPr>
                            <w:sz w:val="16"/>
                          </w:rPr>
                          <w:t>-91</w:t>
                        </w:r>
                      </w:p>
                    </w:tc>
                    <w:tc>
                      <w:tcPr>
                        <w:tcW w:w="784" w:type="dxa"/>
                      </w:tcPr>
                      <w:p>
                        <w:pPr>
                          <w:pStyle w:val="TableParagraph"/>
                          <w:spacing w:before="6"/>
                          <w:rPr>
                            <w:sz w:val="15"/>
                          </w:rPr>
                        </w:pPr>
                      </w:p>
                      <w:p>
                        <w:pPr>
                          <w:pStyle w:val="TableParagraph"/>
                          <w:ind w:right="209"/>
                          <w:jc w:val="right"/>
                          <w:rPr>
                            <w:sz w:val="16"/>
                          </w:rPr>
                        </w:pPr>
                        <w:r>
                          <w:rPr>
                            <w:sz w:val="16"/>
                          </w:rPr>
                          <w:t>-0.2</w:t>
                        </w:r>
                      </w:p>
                    </w:tc>
                  </w:tr>
                  <w:tr>
                    <w:trPr>
                      <w:trHeight w:val="275" w:hRule="atLeast"/>
                    </w:trPr>
                    <w:tc>
                      <w:tcPr>
                        <w:tcW w:w="1106" w:type="dxa"/>
                      </w:tcPr>
                      <w:p>
                        <w:pPr>
                          <w:pStyle w:val="TableParagraph"/>
                          <w:spacing w:before="37"/>
                          <w:ind w:left="57"/>
                          <w:rPr>
                            <w:sz w:val="16"/>
                          </w:rPr>
                        </w:pPr>
                        <w:r>
                          <w:rPr>
                            <w:sz w:val="16"/>
                          </w:rPr>
                          <w:t>Western Sahara</w:t>
                        </w:r>
                      </w:p>
                    </w:tc>
                    <w:tc>
                      <w:tcPr>
                        <w:tcW w:w="852" w:type="dxa"/>
                      </w:tcPr>
                      <w:p>
                        <w:pPr>
                          <w:pStyle w:val="TableParagraph"/>
                          <w:spacing w:before="37"/>
                          <w:ind w:right="96"/>
                          <w:jc w:val="right"/>
                          <w:rPr>
                            <w:sz w:val="16"/>
                          </w:rPr>
                        </w:pPr>
                        <w:r>
                          <w:rPr>
                            <w:sz w:val="16"/>
                          </w:rPr>
                          <w:t>152</w:t>
                        </w:r>
                      </w:p>
                    </w:tc>
                    <w:tc>
                      <w:tcPr>
                        <w:tcW w:w="854" w:type="dxa"/>
                      </w:tcPr>
                      <w:p>
                        <w:pPr>
                          <w:pStyle w:val="TableParagraph"/>
                          <w:spacing w:before="37"/>
                          <w:ind w:right="96"/>
                          <w:jc w:val="right"/>
                          <w:rPr>
                            <w:sz w:val="16"/>
                          </w:rPr>
                        </w:pPr>
                        <w:r>
                          <w:rPr>
                            <w:sz w:val="16"/>
                          </w:rPr>
                          <w:t>152</w:t>
                        </w:r>
                      </w:p>
                    </w:tc>
                    <w:tc>
                      <w:tcPr>
                        <w:tcW w:w="854" w:type="dxa"/>
                      </w:tcPr>
                      <w:p>
                        <w:pPr>
                          <w:pStyle w:val="TableParagraph"/>
                          <w:spacing w:before="37"/>
                          <w:ind w:left="406"/>
                          <w:rPr>
                            <w:sz w:val="16"/>
                          </w:rPr>
                        </w:pPr>
                        <w:r>
                          <w:rPr>
                            <w:sz w:val="16"/>
                          </w:rPr>
                          <w:t>n.s.</w:t>
                        </w:r>
                      </w:p>
                    </w:tc>
                    <w:tc>
                      <w:tcPr>
                        <w:tcW w:w="784" w:type="dxa"/>
                      </w:tcPr>
                      <w:p>
                        <w:pPr>
                          <w:pStyle w:val="TableParagraph"/>
                          <w:spacing w:before="37"/>
                          <w:ind w:right="209"/>
                          <w:jc w:val="right"/>
                          <w:rPr>
                            <w:sz w:val="16"/>
                          </w:rPr>
                        </w:pPr>
                        <w:r>
                          <w:rPr>
                            <w:sz w:val="16"/>
                          </w:rPr>
                          <w:t>n.s.</w:t>
                        </w:r>
                      </w:p>
                    </w:tc>
                  </w:tr>
                  <w:tr>
                    <w:trPr>
                      <w:trHeight w:val="215" w:hRule="atLeast"/>
                    </w:trPr>
                    <w:tc>
                      <w:tcPr>
                        <w:tcW w:w="1106" w:type="dxa"/>
                      </w:tcPr>
                      <w:p>
                        <w:pPr>
                          <w:pStyle w:val="TableParagraph"/>
                          <w:spacing w:before="9"/>
                          <w:ind w:left="56"/>
                          <w:rPr>
                            <w:sz w:val="16"/>
                          </w:rPr>
                        </w:pPr>
                        <w:r>
                          <w:rPr>
                            <w:sz w:val="16"/>
                          </w:rPr>
                          <w:t>Zambia</w:t>
                        </w:r>
                      </w:p>
                    </w:tc>
                    <w:tc>
                      <w:tcPr>
                        <w:tcW w:w="852" w:type="dxa"/>
                      </w:tcPr>
                      <w:p>
                        <w:pPr>
                          <w:pStyle w:val="TableParagraph"/>
                          <w:spacing w:before="9"/>
                          <w:ind w:right="96"/>
                          <w:jc w:val="right"/>
                          <w:rPr>
                            <w:sz w:val="16"/>
                          </w:rPr>
                        </w:pPr>
                        <w:r>
                          <w:rPr>
                            <w:sz w:val="16"/>
                          </w:rPr>
                          <w:t>39 755</w:t>
                        </w:r>
                      </w:p>
                    </w:tc>
                    <w:tc>
                      <w:tcPr>
                        <w:tcW w:w="854" w:type="dxa"/>
                      </w:tcPr>
                      <w:p>
                        <w:pPr>
                          <w:pStyle w:val="TableParagraph"/>
                          <w:spacing w:before="9"/>
                          <w:ind w:right="96"/>
                          <w:jc w:val="right"/>
                          <w:rPr>
                            <w:sz w:val="16"/>
                          </w:rPr>
                        </w:pPr>
                        <w:r>
                          <w:rPr>
                            <w:sz w:val="16"/>
                          </w:rPr>
                          <w:t>31 246</w:t>
                        </w:r>
                      </w:p>
                    </w:tc>
                    <w:tc>
                      <w:tcPr>
                        <w:tcW w:w="854" w:type="dxa"/>
                      </w:tcPr>
                      <w:p>
                        <w:pPr>
                          <w:pStyle w:val="TableParagraph"/>
                          <w:spacing w:before="9"/>
                          <w:ind w:left="336"/>
                          <w:rPr>
                            <w:sz w:val="16"/>
                          </w:rPr>
                        </w:pPr>
                        <w:r>
                          <w:rPr>
                            <w:sz w:val="16"/>
                          </w:rPr>
                          <w:t>-851</w:t>
                        </w:r>
                      </w:p>
                    </w:tc>
                    <w:tc>
                      <w:tcPr>
                        <w:tcW w:w="784" w:type="dxa"/>
                      </w:tcPr>
                      <w:p>
                        <w:pPr>
                          <w:pStyle w:val="TableParagraph"/>
                          <w:spacing w:before="9"/>
                          <w:ind w:right="210"/>
                          <w:jc w:val="right"/>
                          <w:rPr>
                            <w:sz w:val="16"/>
                          </w:rPr>
                        </w:pPr>
                        <w:r>
                          <w:rPr>
                            <w:sz w:val="16"/>
                          </w:rPr>
                          <w:t>-2.4</w:t>
                        </w:r>
                      </w:p>
                    </w:tc>
                  </w:tr>
                  <w:tr>
                    <w:trPr>
                      <w:trHeight w:val="443" w:hRule="atLeast"/>
                    </w:trPr>
                    <w:tc>
                      <w:tcPr>
                        <w:tcW w:w="1106" w:type="dxa"/>
                      </w:tcPr>
                      <w:p>
                        <w:pPr>
                          <w:pStyle w:val="TableParagraph"/>
                          <w:spacing w:before="124"/>
                          <w:ind w:left="56"/>
                          <w:rPr>
                            <w:sz w:val="16"/>
                          </w:rPr>
                        </w:pPr>
                        <w:r>
                          <w:rPr>
                            <w:sz w:val="16"/>
                          </w:rPr>
                          <w:t>Zimbabwe</w:t>
                        </w:r>
                      </w:p>
                    </w:tc>
                    <w:tc>
                      <w:tcPr>
                        <w:tcW w:w="852" w:type="dxa"/>
                      </w:tcPr>
                      <w:p>
                        <w:pPr>
                          <w:pStyle w:val="TableParagraph"/>
                          <w:spacing w:before="124"/>
                          <w:ind w:right="97"/>
                          <w:jc w:val="right"/>
                          <w:rPr>
                            <w:sz w:val="16"/>
                          </w:rPr>
                        </w:pPr>
                        <w:r>
                          <w:rPr>
                            <w:sz w:val="16"/>
                          </w:rPr>
                          <w:t>22 239</w:t>
                        </w:r>
                      </w:p>
                    </w:tc>
                    <w:tc>
                      <w:tcPr>
                        <w:tcW w:w="854" w:type="dxa"/>
                      </w:tcPr>
                      <w:p>
                        <w:pPr>
                          <w:pStyle w:val="TableParagraph"/>
                          <w:spacing w:before="124"/>
                          <w:ind w:right="97"/>
                          <w:jc w:val="right"/>
                          <w:rPr>
                            <w:sz w:val="16"/>
                          </w:rPr>
                        </w:pPr>
                        <w:r>
                          <w:rPr>
                            <w:sz w:val="16"/>
                          </w:rPr>
                          <w:t>19 040</w:t>
                        </w:r>
                      </w:p>
                    </w:tc>
                    <w:tc>
                      <w:tcPr>
                        <w:tcW w:w="854" w:type="dxa"/>
                      </w:tcPr>
                      <w:p>
                        <w:pPr>
                          <w:pStyle w:val="TableParagraph"/>
                          <w:spacing w:before="124"/>
                          <w:ind w:left="336"/>
                          <w:rPr>
                            <w:sz w:val="16"/>
                          </w:rPr>
                        </w:pPr>
                        <w:r>
                          <w:rPr>
                            <w:sz w:val="16"/>
                          </w:rPr>
                          <w:t>-320</w:t>
                        </w:r>
                      </w:p>
                    </w:tc>
                    <w:tc>
                      <w:tcPr>
                        <w:tcW w:w="784" w:type="dxa"/>
                      </w:tcPr>
                      <w:p>
                        <w:pPr>
                          <w:pStyle w:val="TableParagraph"/>
                          <w:spacing w:before="124"/>
                          <w:ind w:right="209"/>
                          <w:jc w:val="right"/>
                          <w:rPr>
                            <w:sz w:val="16"/>
                          </w:rPr>
                        </w:pPr>
                        <w:r>
                          <w:rPr>
                            <w:sz w:val="16"/>
                          </w:rPr>
                          <w:t>-1.5</w:t>
                        </w:r>
                      </w:p>
                    </w:tc>
                  </w:tr>
                  <w:tr>
                    <w:trPr>
                      <w:trHeight w:val="839" w:hRule="atLeast"/>
                    </w:trPr>
                    <w:tc>
                      <w:tcPr>
                        <w:tcW w:w="4450" w:type="dxa"/>
                        <w:gridSpan w:val="5"/>
                      </w:tcPr>
                      <w:p>
                        <w:pPr>
                          <w:pStyle w:val="TableParagraph"/>
                          <w:spacing w:line="178" w:lineRule="exact"/>
                          <w:ind w:left="57"/>
                          <w:rPr>
                            <w:sz w:val="16"/>
                          </w:rPr>
                        </w:pPr>
                        <w:r>
                          <w:rPr>
                            <w:sz w:val="16"/>
                          </w:rPr>
                          <w:t>n.s. - not specified</w:t>
                        </w:r>
                      </w:p>
                      <w:p>
                        <w:pPr>
                          <w:pStyle w:val="TableParagraph"/>
                          <w:spacing w:before="1"/>
                          <w:ind w:left="57" w:right="461"/>
                          <w:rPr>
                            <w:sz w:val="16"/>
                          </w:rPr>
                        </w:pPr>
                        <w:r>
                          <w:rPr>
                            <w:sz w:val="16"/>
                          </w:rPr>
                          <w:t>Source: FRA 2000 and Working Paper 59, FRA Programme, Forestry Department of FAO, Rome 2001, 69p (</w:t>
                        </w:r>
                        <w:hyperlink r:id="rId188">
                          <w:r>
                            <w:rPr>
                              <w:sz w:val="16"/>
                            </w:rPr>
                            <w:t>www.fao.org/forestry/fo/fra/index.jsp)</w:t>
                          </w:r>
                        </w:hyperlink>
                      </w:p>
                    </w:tc>
                  </w:tr>
                </w:tbl>
                <w:p>
                  <w:pPr>
                    <w:pStyle w:val="BodyText"/>
                  </w:pPr>
                </w:p>
              </w:txbxContent>
            </v:textbox>
          </v:shape>
        </w:pict>
      </w:r>
      <w:r>
        <w:rPr>
          <w:spacing w:val="43"/>
        </w:rPr>
      </w:r>
    </w:p>
    <w:p>
      <w:pPr>
        <w:spacing w:after="0"/>
        <w:sectPr>
          <w:pgSz w:w="11900" w:h="16840"/>
          <w:pgMar w:header="230" w:footer="408" w:top="560" w:bottom="600" w:left="1200" w:right="1140"/>
        </w:sectPr>
      </w:pPr>
    </w:p>
    <w:p>
      <w:pPr>
        <w:pStyle w:val="BodyText"/>
      </w:pPr>
    </w:p>
    <w:p>
      <w:pPr>
        <w:pStyle w:val="BodyText"/>
      </w:pPr>
    </w:p>
    <w:p>
      <w:pPr>
        <w:pStyle w:val="BodyText"/>
        <w:spacing w:before="4"/>
        <w:rPr>
          <w:sz w:val="27"/>
        </w:rPr>
      </w:pPr>
    </w:p>
    <w:p>
      <w:pPr>
        <w:pStyle w:val="BodyText"/>
        <w:ind w:left="260"/>
      </w:pPr>
      <w:r>
        <w:rPr/>
        <w:pict>
          <v:shape style="width:219.6pt;height:690.85pt;mso-position-horizontal-relative:char;mso-position-vertical-relative:line" type="#_x0000_t202" filled="false" stroked="false">
            <w10:anchorlock/>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8"/>
                    <w:gridCol w:w="840"/>
                    <w:gridCol w:w="840"/>
                    <w:gridCol w:w="881"/>
                    <w:gridCol w:w="727"/>
                  </w:tblGrid>
                  <w:tr>
                    <w:trPr>
                      <w:trHeight w:val="697" w:hRule="atLeast"/>
                    </w:trPr>
                    <w:tc>
                      <w:tcPr>
                        <w:tcW w:w="4376" w:type="dxa"/>
                        <w:gridSpan w:val="5"/>
                        <w:tcBorders>
                          <w:left w:val="single" w:sz="6" w:space="0" w:color="000000"/>
                          <w:bottom w:val="double" w:sz="1" w:space="0" w:color="000000"/>
                        </w:tcBorders>
                      </w:tcPr>
                      <w:p>
                        <w:pPr>
                          <w:pStyle w:val="TableParagraph"/>
                          <w:spacing w:before="28"/>
                          <w:ind w:left="1129" w:right="1121"/>
                          <w:jc w:val="center"/>
                          <w:rPr>
                            <w:b/>
                            <w:sz w:val="14"/>
                          </w:rPr>
                        </w:pPr>
                        <w:r>
                          <w:rPr>
                            <w:b/>
                            <w:sz w:val="18"/>
                          </w:rPr>
                          <w:t>T</w:t>
                        </w:r>
                        <w:r>
                          <w:rPr>
                            <w:b/>
                            <w:sz w:val="14"/>
                          </w:rPr>
                          <w:t>ABLE </w:t>
                        </w:r>
                        <w:r>
                          <w:rPr>
                            <w:b/>
                            <w:sz w:val="18"/>
                          </w:rPr>
                          <w:t>3A.1.1 (C</w:t>
                        </w:r>
                        <w:r>
                          <w:rPr>
                            <w:b/>
                            <w:sz w:val="14"/>
                          </w:rPr>
                          <w:t>ONTINUED</w:t>
                        </w:r>
                        <w:r>
                          <w:rPr>
                            <w:b/>
                            <w:sz w:val="18"/>
                          </w:rPr>
                          <w:t>) F</w:t>
                        </w:r>
                        <w:r>
                          <w:rPr>
                            <w:b/>
                            <w:sz w:val="14"/>
                          </w:rPr>
                          <w:t>OREST AREA CHANGE</w:t>
                        </w:r>
                      </w:p>
                      <w:p>
                        <w:pPr>
                          <w:pStyle w:val="TableParagraph"/>
                          <w:spacing w:line="201" w:lineRule="exact"/>
                          <w:ind w:left="259" w:right="250"/>
                          <w:jc w:val="center"/>
                          <w:rPr>
                            <w:sz w:val="18"/>
                          </w:rPr>
                        </w:pPr>
                        <w:r>
                          <w:rPr>
                            <w:sz w:val="18"/>
                          </w:rPr>
                          <w:t>(To be used for verification of ‘A’ in Equation 3.2.4)</w:t>
                        </w:r>
                      </w:p>
                    </w:tc>
                  </w:tr>
                  <w:tr>
                    <w:trPr>
                      <w:trHeight w:val="253" w:hRule="atLeast"/>
                    </w:trPr>
                    <w:tc>
                      <w:tcPr>
                        <w:tcW w:w="4376" w:type="dxa"/>
                        <w:gridSpan w:val="5"/>
                        <w:tcBorders>
                          <w:top w:val="double" w:sz="1" w:space="0" w:color="000000"/>
                          <w:left w:val="single" w:sz="6" w:space="0" w:color="000000"/>
                        </w:tcBorders>
                      </w:tcPr>
                      <w:p>
                        <w:pPr>
                          <w:pStyle w:val="TableParagraph"/>
                          <w:spacing w:before="23"/>
                          <w:ind w:left="54"/>
                          <w:rPr>
                            <w:b/>
                            <w:sz w:val="18"/>
                          </w:rPr>
                        </w:pPr>
                        <w:r>
                          <w:rPr>
                            <w:b/>
                            <w:sz w:val="18"/>
                          </w:rPr>
                          <w:t>b. ASIA</w:t>
                        </w:r>
                      </w:p>
                    </w:tc>
                  </w:tr>
                  <w:tr>
                    <w:trPr>
                      <w:trHeight w:val="385" w:hRule="atLeast"/>
                    </w:trPr>
                    <w:tc>
                      <w:tcPr>
                        <w:tcW w:w="1088" w:type="dxa"/>
                        <w:tcBorders>
                          <w:left w:val="single" w:sz="6" w:space="0" w:color="000000"/>
                        </w:tcBorders>
                      </w:tcPr>
                      <w:p>
                        <w:pPr>
                          <w:pStyle w:val="TableParagraph"/>
                          <w:spacing w:before="97"/>
                          <w:ind w:left="54"/>
                          <w:rPr>
                            <w:b/>
                            <w:sz w:val="16"/>
                          </w:rPr>
                        </w:pPr>
                        <w:r>
                          <w:rPr>
                            <w:b/>
                            <w:sz w:val="16"/>
                          </w:rPr>
                          <w:t>Country</w:t>
                        </w:r>
                      </w:p>
                    </w:tc>
                    <w:tc>
                      <w:tcPr>
                        <w:tcW w:w="1680" w:type="dxa"/>
                        <w:gridSpan w:val="2"/>
                      </w:tcPr>
                      <w:p>
                        <w:pPr>
                          <w:pStyle w:val="TableParagraph"/>
                          <w:spacing w:before="97"/>
                          <w:ind w:left="248"/>
                          <w:rPr>
                            <w:b/>
                            <w:sz w:val="16"/>
                          </w:rPr>
                        </w:pPr>
                        <w:r>
                          <w:rPr>
                            <w:b/>
                            <w:sz w:val="16"/>
                          </w:rPr>
                          <w:t>Total Forest area</w:t>
                        </w:r>
                      </w:p>
                    </w:tc>
                    <w:tc>
                      <w:tcPr>
                        <w:tcW w:w="1608" w:type="dxa"/>
                        <w:gridSpan w:val="2"/>
                      </w:tcPr>
                      <w:p>
                        <w:pPr>
                          <w:pStyle w:val="TableParagraph"/>
                          <w:spacing w:line="180" w:lineRule="atLeast" w:before="6"/>
                          <w:ind w:left="457" w:right="100" w:hanging="341"/>
                          <w:rPr>
                            <w:b/>
                            <w:sz w:val="16"/>
                          </w:rPr>
                        </w:pPr>
                        <w:r>
                          <w:rPr>
                            <w:b/>
                            <w:sz w:val="16"/>
                          </w:rPr>
                          <w:t>Forest Area Change 1990-2000</w:t>
                        </w:r>
                      </w:p>
                    </w:tc>
                  </w:tr>
                  <w:tr>
                    <w:trPr>
                      <w:trHeight w:val="388" w:hRule="atLeast"/>
                    </w:trPr>
                    <w:tc>
                      <w:tcPr>
                        <w:tcW w:w="1088" w:type="dxa"/>
                        <w:tcBorders>
                          <w:left w:val="single" w:sz="6" w:space="0" w:color="000000"/>
                        </w:tcBorders>
                      </w:tcPr>
                      <w:p>
                        <w:pPr>
                          <w:pStyle w:val="TableParagraph"/>
                          <w:rPr>
                            <w:sz w:val="16"/>
                          </w:rPr>
                        </w:pPr>
                      </w:p>
                    </w:tc>
                    <w:tc>
                      <w:tcPr>
                        <w:tcW w:w="840" w:type="dxa"/>
                      </w:tcPr>
                      <w:p>
                        <w:pPr>
                          <w:pStyle w:val="TableParagraph"/>
                          <w:spacing w:before="97"/>
                          <w:ind w:left="260"/>
                          <w:rPr>
                            <w:b/>
                            <w:sz w:val="16"/>
                          </w:rPr>
                        </w:pPr>
                        <w:r>
                          <w:rPr>
                            <w:b/>
                            <w:sz w:val="16"/>
                          </w:rPr>
                          <w:t>1990</w:t>
                        </w:r>
                      </w:p>
                    </w:tc>
                    <w:tc>
                      <w:tcPr>
                        <w:tcW w:w="840" w:type="dxa"/>
                      </w:tcPr>
                      <w:p>
                        <w:pPr>
                          <w:pStyle w:val="TableParagraph"/>
                          <w:spacing w:before="97"/>
                          <w:ind w:left="260"/>
                          <w:rPr>
                            <w:b/>
                            <w:sz w:val="16"/>
                          </w:rPr>
                        </w:pPr>
                        <w:r>
                          <w:rPr>
                            <w:b/>
                            <w:sz w:val="16"/>
                          </w:rPr>
                          <w:t>2000</w:t>
                        </w:r>
                      </w:p>
                    </w:tc>
                    <w:tc>
                      <w:tcPr>
                        <w:tcW w:w="881" w:type="dxa"/>
                      </w:tcPr>
                      <w:p>
                        <w:pPr>
                          <w:pStyle w:val="TableParagraph"/>
                          <w:spacing w:line="180" w:lineRule="atLeast" w:before="6"/>
                          <w:ind w:left="176" w:right="150" w:firstLine="9"/>
                          <w:rPr>
                            <w:b/>
                            <w:sz w:val="16"/>
                          </w:rPr>
                        </w:pPr>
                        <w:r>
                          <w:rPr>
                            <w:b/>
                            <w:sz w:val="16"/>
                          </w:rPr>
                          <w:t>Annual Change</w:t>
                        </w:r>
                      </w:p>
                    </w:tc>
                    <w:tc>
                      <w:tcPr>
                        <w:tcW w:w="727" w:type="dxa"/>
                      </w:tcPr>
                      <w:p>
                        <w:pPr>
                          <w:pStyle w:val="TableParagraph"/>
                          <w:spacing w:line="180" w:lineRule="atLeast" w:before="6"/>
                          <w:ind w:left="202" w:right="71" w:hanging="101"/>
                          <w:rPr>
                            <w:b/>
                            <w:sz w:val="16"/>
                          </w:rPr>
                        </w:pPr>
                        <w:r>
                          <w:rPr>
                            <w:b/>
                            <w:sz w:val="16"/>
                          </w:rPr>
                          <w:t>Change Rate</w:t>
                        </w:r>
                      </w:p>
                    </w:tc>
                  </w:tr>
                  <w:tr>
                    <w:trPr>
                      <w:trHeight w:val="273" w:hRule="atLeast"/>
                    </w:trPr>
                    <w:tc>
                      <w:tcPr>
                        <w:tcW w:w="1088" w:type="dxa"/>
                        <w:tcBorders>
                          <w:left w:val="single" w:sz="6" w:space="0" w:color="000000"/>
                        </w:tcBorders>
                      </w:tcPr>
                      <w:p>
                        <w:pPr>
                          <w:pStyle w:val="TableParagraph"/>
                          <w:rPr>
                            <w:sz w:val="16"/>
                          </w:rPr>
                        </w:pPr>
                      </w:p>
                    </w:tc>
                    <w:tc>
                      <w:tcPr>
                        <w:tcW w:w="840" w:type="dxa"/>
                      </w:tcPr>
                      <w:p>
                        <w:pPr>
                          <w:pStyle w:val="TableParagraph"/>
                          <w:spacing w:before="40"/>
                          <w:ind w:left="195"/>
                          <w:rPr>
                            <w:b/>
                            <w:sz w:val="16"/>
                          </w:rPr>
                        </w:pPr>
                        <w:r>
                          <w:rPr>
                            <w:b/>
                            <w:sz w:val="16"/>
                          </w:rPr>
                          <w:t>000 ha</w:t>
                        </w:r>
                      </w:p>
                    </w:tc>
                    <w:tc>
                      <w:tcPr>
                        <w:tcW w:w="840" w:type="dxa"/>
                      </w:tcPr>
                      <w:p>
                        <w:pPr>
                          <w:pStyle w:val="TableParagraph"/>
                          <w:spacing w:before="40"/>
                          <w:ind w:left="195"/>
                          <w:rPr>
                            <w:b/>
                            <w:sz w:val="16"/>
                          </w:rPr>
                        </w:pPr>
                        <w:r>
                          <w:rPr>
                            <w:b/>
                            <w:sz w:val="16"/>
                          </w:rPr>
                          <w:t>000 ha</w:t>
                        </w:r>
                      </w:p>
                    </w:tc>
                    <w:tc>
                      <w:tcPr>
                        <w:tcW w:w="881" w:type="dxa"/>
                      </w:tcPr>
                      <w:p>
                        <w:pPr>
                          <w:pStyle w:val="TableParagraph"/>
                          <w:spacing w:before="40"/>
                          <w:ind w:left="97"/>
                          <w:rPr>
                            <w:b/>
                            <w:sz w:val="16"/>
                          </w:rPr>
                        </w:pPr>
                        <w:r>
                          <w:rPr>
                            <w:b/>
                            <w:sz w:val="16"/>
                          </w:rPr>
                          <w:t>000 ha /yr</w:t>
                        </w:r>
                      </w:p>
                    </w:tc>
                    <w:tc>
                      <w:tcPr>
                        <w:tcW w:w="727" w:type="dxa"/>
                      </w:tcPr>
                      <w:p>
                        <w:pPr>
                          <w:pStyle w:val="TableParagraph"/>
                          <w:spacing w:before="40"/>
                          <w:ind w:left="145"/>
                          <w:rPr>
                            <w:b/>
                            <w:sz w:val="16"/>
                          </w:rPr>
                        </w:pPr>
                        <w:r>
                          <w:rPr>
                            <w:b/>
                            <w:sz w:val="16"/>
                          </w:rPr>
                          <w:t>% / yr</w:t>
                        </w:r>
                      </w:p>
                    </w:tc>
                  </w:tr>
                  <w:tr>
                    <w:trPr>
                      <w:trHeight w:val="388" w:hRule="atLeast"/>
                    </w:trPr>
                    <w:tc>
                      <w:tcPr>
                        <w:tcW w:w="1088" w:type="dxa"/>
                        <w:tcBorders>
                          <w:left w:val="single" w:sz="6" w:space="0" w:color="000000"/>
                        </w:tcBorders>
                      </w:tcPr>
                      <w:p>
                        <w:pPr>
                          <w:pStyle w:val="TableParagraph"/>
                          <w:spacing w:before="95"/>
                          <w:ind w:left="54"/>
                          <w:rPr>
                            <w:sz w:val="16"/>
                          </w:rPr>
                        </w:pPr>
                        <w:r>
                          <w:rPr>
                            <w:sz w:val="16"/>
                          </w:rPr>
                          <w:t>Afghanistan</w:t>
                        </w:r>
                      </w:p>
                    </w:tc>
                    <w:tc>
                      <w:tcPr>
                        <w:tcW w:w="840" w:type="dxa"/>
                      </w:tcPr>
                      <w:p>
                        <w:pPr>
                          <w:pStyle w:val="TableParagraph"/>
                          <w:spacing w:before="95"/>
                          <w:ind w:right="95"/>
                          <w:jc w:val="right"/>
                          <w:rPr>
                            <w:sz w:val="16"/>
                          </w:rPr>
                        </w:pPr>
                        <w:r>
                          <w:rPr>
                            <w:sz w:val="16"/>
                          </w:rPr>
                          <w:t>1 351</w:t>
                        </w:r>
                      </w:p>
                    </w:tc>
                    <w:tc>
                      <w:tcPr>
                        <w:tcW w:w="840" w:type="dxa"/>
                      </w:tcPr>
                      <w:p>
                        <w:pPr>
                          <w:pStyle w:val="TableParagraph"/>
                          <w:spacing w:before="95"/>
                          <w:ind w:right="95"/>
                          <w:jc w:val="right"/>
                          <w:rPr>
                            <w:sz w:val="16"/>
                          </w:rPr>
                        </w:pPr>
                        <w:r>
                          <w:rPr>
                            <w:sz w:val="16"/>
                          </w:rPr>
                          <w:t>1 351</w:t>
                        </w:r>
                      </w:p>
                    </w:tc>
                    <w:tc>
                      <w:tcPr>
                        <w:tcW w:w="881" w:type="dxa"/>
                      </w:tcPr>
                      <w:p>
                        <w:pPr>
                          <w:pStyle w:val="TableParagraph"/>
                          <w:spacing w:before="95"/>
                          <w:ind w:left="435"/>
                          <w:rPr>
                            <w:sz w:val="16"/>
                          </w:rPr>
                        </w:pPr>
                        <w:r>
                          <w:rPr>
                            <w:sz w:val="16"/>
                          </w:rPr>
                          <w:t>n.s.</w:t>
                        </w:r>
                      </w:p>
                    </w:tc>
                    <w:tc>
                      <w:tcPr>
                        <w:tcW w:w="727" w:type="dxa"/>
                      </w:tcPr>
                      <w:p>
                        <w:pPr>
                          <w:pStyle w:val="TableParagraph"/>
                          <w:spacing w:before="95"/>
                          <w:ind w:left="282"/>
                          <w:rPr>
                            <w:sz w:val="16"/>
                          </w:rPr>
                        </w:pPr>
                        <w:r>
                          <w:rPr>
                            <w:sz w:val="16"/>
                          </w:rPr>
                          <w:t>n.s.</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Armenia</w:t>
                        </w:r>
                      </w:p>
                    </w:tc>
                    <w:tc>
                      <w:tcPr>
                        <w:tcW w:w="840" w:type="dxa"/>
                      </w:tcPr>
                      <w:p>
                        <w:pPr>
                          <w:pStyle w:val="TableParagraph"/>
                          <w:spacing w:before="23"/>
                          <w:ind w:right="95"/>
                          <w:jc w:val="right"/>
                          <w:rPr>
                            <w:sz w:val="16"/>
                          </w:rPr>
                        </w:pPr>
                        <w:r>
                          <w:rPr>
                            <w:sz w:val="16"/>
                          </w:rPr>
                          <w:t>309</w:t>
                        </w:r>
                      </w:p>
                    </w:tc>
                    <w:tc>
                      <w:tcPr>
                        <w:tcW w:w="840" w:type="dxa"/>
                      </w:tcPr>
                      <w:p>
                        <w:pPr>
                          <w:pStyle w:val="TableParagraph"/>
                          <w:spacing w:before="23"/>
                          <w:ind w:right="95"/>
                          <w:jc w:val="right"/>
                          <w:rPr>
                            <w:sz w:val="16"/>
                          </w:rPr>
                        </w:pPr>
                        <w:r>
                          <w:rPr>
                            <w:sz w:val="16"/>
                          </w:rPr>
                          <w:t>351</w:t>
                        </w:r>
                      </w:p>
                    </w:tc>
                    <w:tc>
                      <w:tcPr>
                        <w:tcW w:w="881" w:type="dxa"/>
                      </w:tcPr>
                      <w:p>
                        <w:pPr>
                          <w:pStyle w:val="TableParagraph"/>
                          <w:spacing w:before="23"/>
                          <w:ind w:left="579"/>
                          <w:rPr>
                            <w:sz w:val="16"/>
                          </w:rPr>
                        </w:pPr>
                        <w:r>
                          <w:rPr>
                            <w:w w:val="100"/>
                            <w:sz w:val="16"/>
                          </w:rPr>
                          <w:t>4</w:t>
                        </w:r>
                      </w:p>
                    </w:tc>
                    <w:tc>
                      <w:tcPr>
                        <w:tcW w:w="727" w:type="dxa"/>
                      </w:tcPr>
                      <w:p>
                        <w:pPr>
                          <w:pStyle w:val="TableParagraph"/>
                          <w:spacing w:before="23"/>
                          <w:ind w:left="305"/>
                          <w:rPr>
                            <w:sz w:val="16"/>
                          </w:rPr>
                        </w:pPr>
                        <w:r>
                          <w:rPr>
                            <w:sz w:val="16"/>
                          </w:rPr>
                          <w:t>1.3</w:t>
                        </w:r>
                      </w:p>
                    </w:tc>
                  </w:tr>
                  <w:tr>
                    <w:trPr>
                      <w:trHeight w:val="273" w:hRule="atLeast"/>
                    </w:trPr>
                    <w:tc>
                      <w:tcPr>
                        <w:tcW w:w="1088" w:type="dxa"/>
                        <w:tcBorders>
                          <w:left w:val="single" w:sz="6" w:space="0" w:color="000000"/>
                        </w:tcBorders>
                      </w:tcPr>
                      <w:p>
                        <w:pPr>
                          <w:pStyle w:val="TableParagraph"/>
                          <w:spacing w:before="37"/>
                          <w:ind w:left="54"/>
                          <w:rPr>
                            <w:sz w:val="16"/>
                          </w:rPr>
                        </w:pPr>
                        <w:r>
                          <w:rPr>
                            <w:sz w:val="16"/>
                          </w:rPr>
                          <w:t>Azerbaijan</w:t>
                        </w:r>
                      </w:p>
                    </w:tc>
                    <w:tc>
                      <w:tcPr>
                        <w:tcW w:w="840" w:type="dxa"/>
                      </w:tcPr>
                      <w:p>
                        <w:pPr>
                          <w:pStyle w:val="TableParagraph"/>
                          <w:spacing w:before="37"/>
                          <w:ind w:right="94"/>
                          <w:jc w:val="right"/>
                          <w:rPr>
                            <w:sz w:val="16"/>
                          </w:rPr>
                        </w:pPr>
                        <w:r>
                          <w:rPr>
                            <w:sz w:val="16"/>
                          </w:rPr>
                          <w:t>964</w:t>
                        </w:r>
                      </w:p>
                    </w:tc>
                    <w:tc>
                      <w:tcPr>
                        <w:tcW w:w="840" w:type="dxa"/>
                      </w:tcPr>
                      <w:p>
                        <w:pPr>
                          <w:pStyle w:val="TableParagraph"/>
                          <w:spacing w:before="37"/>
                          <w:ind w:right="95"/>
                          <w:jc w:val="right"/>
                          <w:rPr>
                            <w:sz w:val="16"/>
                          </w:rPr>
                        </w:pPr>
                        <w:r>
                          <w:rPr>
                            <w:sz w:val="16"/>
                          </w:rPr>
                          <w:t>1 094</w:t>
                        </w:r>
                      </w:p>
                    </w:tc>
                    <w:tc>
                      <w:tcPr>
                        <w:tcW w:w="881" w:type="dxa"/>
                      </w:tcPr>
                      <w:p>
                        <w:pPr>
                          <w:pStyle w:val="TableParagraph"/>
                          <w:spacing w:before="37"/>
                          <w:ind w:left="498"/>
                          <w:rPr>
                            <w:sz w:val="16"/>
                          </w:rPr>
                        </w:pPr>
                        <w:r>
                          <w:rPr>
                            <w:sz w:val="16"/>
                          </w:rPr>
                          <w:t>13</w:t>
                        </w:r>
                      </w:p>
                    </w:tc>
                    <w:tc>
                      <w:tcPr>
                        <w:tcW w:w="727" w:type="dxa"/>
                      </w:tcPr>
                      <w:p>
                        <w:pPr>
                          <w:pStyle w:val="TableParagraph"/>
                          <w:spacing w:before="37"/>
                          <w:ind w:left="306"/>
                          <w:rPr>
                            <w:sz w:val="16"/>
                          </w:rPr>
                        </w:pPr>
                        <w:r>
                          <w:rPr>
                            <w:sz w:val="16"/>
                          </w:rPr>
                          <w:t>1.3</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Bahrain</w:t>
                        </w:r>
                      </w:p>
                    </w:tc>
                    <w:tc>
                      <w:tcPr>
                        <w:tcW w:w="840" w:type="dxa"/>
                      </w:tcPr>
                      <w:p>
                        <w:pPr>
                          <w:pStyle w:val="TableParagraph"/>
                          <w:spacing w:before="23"/>
                          <w:ind w:right="94"/>
                          <w:jc w:val="right"/>
                          <w:rPr>
                            <w:sz w:val="16"/>
                          </w:rPr>
                        </w:pPr>
                        <w:r>
                          <w:rPr>
                            <w:sz w:val="16"/>
                          </w:rPr>
                          <w:t>n.s.</w:t>
                        </w:r>
                      </w:p>
                    </w:tc>
                    <w:tc>
                      <w:tcPr>
                        <w:tcW w:w="840" w:type="dxa"/>
                      </w:tcPr>
                      <w:p>
                        <w:pPr>
                          <w:pStyle w:val="TableParagraph"/>
                          <w:spacing w:before="23"/>
                          <w:ind w:right="94"/>
                          <w:jc w:val="right"/>
                          <w:rPr>
                            <w:sz w:val="16"/>
                          </w:rPr>
                        </w:pPr>
                        <w:r>
                          <w:rPr>
                            <w:sz w:val="16"/>
                          </w:rPr>
                          <w:t>n.s.</w:t>
                        </w:r>
                      </w:p>
                    </w:tc>
                    <w:tc>
                      <w:tcPr>
                        <w:tcW w:w="881" w:type="dxa"/>
                      </w:tcPr>
                      <w:p>
                        <w:pPr>
                          <w:pStyle w:val="TableParagraph"/>
                          <w:spacing w:before="23"/>
                          <w:ind w:left="436"/>
                          <w:rPr>
                            <w:sz w:val="16"/>
                          </w:rPr>
                        </w:pPr>
                        <w:r>
                          <w:rPr>
                            <w:sz w:val="16"/>
                          </w:rPr>
                          <w:t>n.s.</w:t>
                        </w:r>
                      </w:p>
                    </w:tc>
                    <w:tc>
                      <w:tcPr>
                        <w:tcW w:w="727" w:type="dxa"/>
                      </w:tcPr>
                      <w:p>
                        <w:pPr>
                          <w:pStyle w:val="TableParagraph"/>
                          <w:spacing w:before="23"/>
                          <w:ind w:left="225"/>
                          <w:rPr>
                            <w:sz w:val="16"/>
                          </w:rPr>
                        </w:pPr>
                        <w:r>
                          <w:rPr>
                            <w:sz w:val="16"/>
                          </w:rPr>
                          <w:t>14.9</w:t>
                        </w:r>
                      </w:p>
                    </w:tc>
                  </w:tr>
                  <w:tr>
                    <w:trPr>
                      <w:trHeight w:val="388" w:hRule="atLeast"/>
                    </w:trPr>
                    <w:tc>
                      <w:tcPr>
                        <w:tcW w:w="1088" w:type="dxa"/>
                        <w:tcBorders>
                          <w:left w:val="single" w:sz="6" w:space="0" w:color="000000"/>
                        </w:tcBorders>
                      </w:tcPr>
                      <w:p>
                        <w:pPr>
                          <w:pStyle w:val="TableParagraph"/>
                          <w:spacing w:before="95"/>
                          <w:ind w:left="54"/>
                          <w:rPr>
                            <w:sz w:val="16"/>
                          </w:rPr>
                        </w:pPr>
                        <w:r>
                          <w:rPr>
                            <w:sz w:val="16"/>
                          </w:rPr>
                          <w:t>Bangladesh</w:t>
                        </w:r>
                      </w:p>
                    </w:tc>
                    <w:tc>
                      <w:tcPr>
                        <w:tcW w:w="840" w:type="dxa"/>
                      </w:tcPr>
                      <w:p>
                        <w:pPr>
                          <w:pStyle w:val="TableParagraph"/>
                          <w:spacing w:before="95"/>
                          <w:ind w:right="95"/>
                          <w:jc w:val="right"/>
                          <w:rPr>
                            <w:sz w:val="16"/>
                          </w:rPr>
                        </w:pPr>
                        <w:r>
                          <w:rPr>
                            <w:sz w:val="16"/>
                          </w:rPr>
                          <w:t>1 169</w:t>
                        </w:r>
                      </w:p>
                    </w:tc>
                    <w:tc>
                      <w:tcPr>
                        <w:tcW w:w="840" w:type="dxa"/>
                      </w:tcPr>
                      <w:p>
                        <w:pPr>
                          <w:pStyle w:val="TableParagraph"/>
                          <w:spacing w:before="95"/>
                          <w:ind w:right="95"/>
                          <w:jc w:val="right"/>
                          <w:rPr>
                            <w:sz w:val="16"/>
                          </w:rPr>
                        </w:pPr>
                        <w:r>
                          <w:rPr>
                            <w:sz w:val="16"/>
                          </w:rPr>
                          <w:t>1 334</w:t>
                        </w:r>
                      </w:p>
                    </w:tc>
                    <w:tc>
                      <w:tcPr>
                        <w:tcW w:w="881" w:type="dxa"/>
                      </w:tcPr>
                      <w:p>
                        <w:pPr>
                          <w:pStyle w:val="TableParagraph"/>
                          <w:spacing w:before="95"/>
                          <w:ind w:left="498"/>
                          <w:rPr>
                            <w:sz w:val="16"/>
                          </w:rPr>
                        </w:pPr>
                        <w:r>
                          <w:rPr>
                            <w:sz w:val="16"/>
                          </w:rPr>
                          <w:t>17</w:t>
                        </w:r>
                      </w:p>
                    </w:tc>
                    <w:tc>
                      <w:tcPr>
                        <w:tcW w:w="727" w:type="dxa"/>
                      </w:tcPr>
                      <w:p>
                        <w:pPr>
                          <w:pStyle w:val="TableParagraph"/>
                          <w:spacing w:before="95"/>
                          <w:ind w:left="306"/>
                          <w:rPr>
                            <w:sz w:val="16"/>
                          </w:rPr>
                        </w:pPr>
                        <w:r>
                          <w:rPr>
                            <w:sz w:val="16"/>
                          </w:rPr>
                          <w:t>1.3</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Bhutan</w:t>
                        </w:r>
                      </w:p>
                    </w:tc>
                    <w:tc>
                      <w:tcPr>
                        <w:tcW w:w="840" w:type="dxa"/>
                      </w:tcPr>
                      <w:p>
                        <w:pPr>
                          <w:pStyle w:val="TableParagraph"/>
                          <w:spacing w:before="23"/>
                          <w:ind w:right="95"/>
                          <w:jc w:val="right"/>
                          <w:rPr>
                            <w:sz w:val="16"/>
                          </w:rPr>
                        </w:pPr>
                        <w:r>
                          <w:rPr>
                            <w:sz w:val="16"/>
                          </w:rPr>
                          <w:t>3 016</w:t>
                        </w:r>
                      </w:p>
                    </w:tc>
                    <w:tc>
                      <w:tcPr>
                        <w:tcW w:w="840" w:type="dxa"/>
                      </w:tcPr>
                      <w:p>
                        <w:pPr>
                          <w:pStyle w:val="TableParagraph"/>
                          <w:spacing w:before="23"/>
                          <w:ind w:right="95"/>
                          <w:jc w:val="right"/>
                          <w:rPr>
                            <w:sz w:val="16"/>
                          </w:rPr>
                        </w:pPr>
                        <w:r>
                          <w:rPr>
                            <w:sz w:val="16"/>
                          </w:rPr>
                          <w:t>3 016</w:t>
                        </w:r>
                      </w:p>
                    </w:tc>
                    <w:tc>
                      <w:tcPr>
                        <w:tcW w:w="881" w:type="dxa"/>
                      </w:tcPr>
                      <w:p>
                        <w:pPr>
                          <w:pStyle w:val="TableParagraph"/>
                          <w:spacing w:before="23"/>
                          <w:ind w:left="435"/>
                          <w:rPr>
                            <w:sz w:val="16"/>
                          </w:rPr>
                        </w:pPr>
                        <w:r>
                          <w:rPr>
                            <w:sz w:val="16"/>
                          </w:rPr>
                          <w:t>n.s.</w:t>
                        </w:r>
                      </w:p>
                    </w:tc>
                    <w:tc>
                      <w:tcPr>
                        <w:tcW w:w="727" w:type="dxa"/>
                      </w:tcPr>
                      <w:p>
                        <w:pPr>
                          <w:pStyle w:val="TableParagraph"/>
                          <w:spacing w:before="23"/>
                          <w:ind w:left="282"/>
                          <w:rPr>
                            <w:sz w:val="16"/>
                          </w:rPr>
                        </w:pPr>
                        <w:r>
                          <w:rPr>
                            <w:sz w:val="16"/>
                          </w:rPr>
                          <w:t>n.s.</w:t>
                        </w:r>
                      </w:p>
                    </w:tc>
                  </w:tr>
                  <w:tr>
                    <w:trPr>
                      <w:trHeight w:val="443" w:hRule="atLeast"/>
                    </w:trPr>
                    <w:tc>
                      <w:tcPr>
                        <w:tcW w:w="1088" w:type="dxa"/>
                        <w:tcBorders>
                          <w:left w:val="single" w:sz="6" w:space="0" w:color="000000"/>
                        </w:tcBorders>
                      </w:tcPr>
                      <w:p>
                        <w:pPr>
                          <w:pStyle w:val="TableParagraph"/>
                          <w:spacing w:before="33"/>
                          <w:ind w:left="54" w:right="246"/>
                          <w:rPr>
                            <w:sz w:val="16"/>
                          </w:rPr>
                        </w:pPr>
                        <w:r>
                          <w:rPr>
                            <w:sz w:val="16"/>
                          </w:rPr>
                          <w:t>Brunei Darussalam</w:t>
                        </w:r>
                      </w:p>
                    </w:tc>
                    <w:tc>
                      <w:tcPr>
                        <w:tcW w:w="840" w:type="dxa"/>
                      </w:tcPr>
                      <w:p>
                        <w:pPr>
                          <w:pStyle w:val="TableParagraph"/>
                          <w:spacing w:before="124"/>
                          <w:ind w:right="95"/>
                          <w:jc w:val="right"/>
                          <w:rPr>
                            <w:sz w:val="16"/>
                          </w:rPr>
                        </w:pPr>
                        <w:r>
                          <w:rPr>
                            <w:sz w:val="16"/>
                          </w:rPr>
                          <w:t>452</w:t>
                        </w:r>
                      </w:p>
                    </w:tc>
                    <w:tc>
                      <w:tcPr>
                        <w:tcW w:w="840" w:type="dxa"/>
                      </w:tcPr>
                      <w:p>
                        <w:pPr>
                          <w:pStyle w:val="TableParagraph"/>
                          <w:spacing w:before="124"/>
                          <w:ind w:right="96"/>
                          <w:jc w:val="right"/>
                          <w:rPr>
                            <w:sz w:val="16"/>
                          </w:rPr>
                        </w:pPr>
                        <w:r>
                          <w:rPr>
                            <w:sz w:val="16"/>
                          </w:rPr>
                          <w:t>442</w:t>
                        </w:r>
                      </w:p>
                    </w:tc>
                    <w:tc>
                      <w:tcPr>
                        <w:tcW w:w="881" w:type="dxa"/>
                      </w:tcPr>
                      <w:p>
                        <w:pPr>
                          <w:pStyle w:val="TableParagraph"/>
                          <w:spacing w:before="124"/>
                          <w:ind w:left="526"/>
                          <w:rPr>
                            <w:sz w:val="16"/>
                          </w:rPr>
                        </w:pPr>
                        <w:r>
                          <w:rPr>
                            <w:sz w:val="16"/>
                          </w:rPr>
                          <w:t>-1</w:t>
                        </w:r>
                      </w:p>
                    </w:tc>
                    <w:tc>
                      <w:tcPr>
                        <w:tcW w:w="727" w:type="dxa"/>
                      </w:tcPr>
                      <w:p>
                        <w:pPr>
                          <w:pStyle w:val="TableParagraph"/>
                          <w:spacing w:before="124"/>
                          <w:ind w:left="250"/>
                          <w:rPr>
                            <w:sz w:val="16"/>
                          </w:rPr>
                        </w:pPr>
                        <w:r>
                          <w:rPr>
                            <w:sz w:val="16"/>
                          </w:rPr>
                          <w:t>-0.2</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Cambodia</w:t>
                        </w:r>
                      </w:p>
                    </w:tc>
                    <w:tc>
                      <w:tcPr>
                        <w:tcW w:w="840" w:type="dxa"/>
                      </w:tcPr>
                      <w:p>
                        <w:pPr>
                          <w:pStyle w:val="TableParagraph"/>
                          <w:spacing w:before="23"/>
                          <w:ind w:right="95"/>
                          <w:jc w:val="right"/>
                          <w:rPr>
                            <w:sz w:val="16"/>
                          </w:rPr>
                        </w:pPr>
                        <w:r>
                          <w:rPr>
                            <w:sz w:val="16"/>
                          </w:rPr>
                          <w:t>9 896</w:t>
                        </w:r>
                      </w:p>
                    </w:tc>
                    <w:tc>
                      <w:tcPr>
                        <w:tcW w:w="840" w:type="dxa"/>
                      </w:tcPr>
                      <w:p>
                        <w:pPr>
                          <w:pStyle w:val="TableParagraph"/>
                          <w:spacing w:before="23"/>
                          <w:ind w:right="95"/>
                          <w:jc w:val="right"/>
                          <w:rPr>
                            <w:sz w:val="16"/>
                          </w:rPr>
                        </w:pPr>
                        <w:r>
                          <w:rPr>
                            <w:sz w:val="16"/>
                          </w:rPr>
                          <w:t>9 335</w:t>
                        </w:r>
                      </w:p>
                    </w:tc>
                    <w:tc>
                      <w:tcPr>
                        <w:tcW w:w="881" w:type="dxa"/>
                      </w:tcPr>
                      <w:p>
                        <w:pPr>
                          <w:pStyle w:val="TableParagraph"/>
                          <w:spacing w:before="23"/>
                          <w:ind w:left="445"/>
                          <w:rPr>
                            <w:sz w:val="16"/>
                          </w:rPr>
                        </w:pPr>
                        <w:r>
                          <w:rPr>
                            <w:sz w:val="16"/>
                          </w:rPr>
                          <w:t>-56</w:t>
                        </w:r>
                      </w:p>
                    </w:tc>
                    <w:tc>
                      <w:tcPr>
                        <w:tcW w:w="727" w:type="dxa"/>
                      </w:tcPr>
                      <w:p>
                        <w:pPr>
                          <w:pStyle w:val="TableParagraph"/>
                          <w:spacing w:before="23"/>
                          <w:ind w:left="250"/>
                          <w:rPr>
                            <w:sz w:val="16"/>
                          </w:rPr>
                        </w:pPr>
                        <w:r>
                          <w:rPr>
                            <w:sz w:val="16"/>
                          </w:rPr>
                          <w:t>-0.6</w:t>
                        </w:r>
                      </w:p>
                    </w:tc>
                  </w:tr>
                  <w:tr>
                    <w:trPr>
                      <w:trHeight w:val="246" w:hRule="atLeast"/>
                    </w:trPr>
                    <w:tc>
                      <w:tcPr>
                        <w:tcW w:w="1088" w:type="dxa"/>
                        <w:tcBorders>
                          <w:left w:val="single" w:sz="6" w:space="0" w:color="000000"/>
                        </w:tcBorders>
                      </w:tcPr>
                      <w:p>
                        <w:pPr>
                          <w:pStyle w:val="TableParagraph"/>
                          <w:spacing w:before="23"/>
                          <w:ind w:left="54"/>
                          <w:rPr>
                            <w:sz w:val="16"/>
                          </w:rPr>
                        </w:pPr>
                        <w:r>
                          <w:rPr>
                            <w:sz w:val="16"/>
                          </w:rPr>
                          <w:t>China</w:t>
                        </w:r>
                      </w:p>
                    </w:tc>
                    <w:tc>
                      <w:tcPr>
                        <w:tcW w:w="840" w:type="dxa"/>
                      </w:tcPr>
                      <w:p>
                        <w:pPr>
                          <w:pStyle w:val="TableParagraph"/>
                          <w:spacing w:before="23"/>
                          <w:ind w:right="93"/>
                          <w:jc w:val="right"/>
                          <w:rPr>
                            <w:sz w:val="16"/>
                          </w:rPr>
                        </w:pPr>
                        <w:r>
                          <w:rPr>
                            <w:sz w:val="16"/>
                          </w:rPr>
                          <w:t>145 417</w:t>
                        </w:r>
                      </w:p>
                    </w:tc>
                    <w:tc>
                      <w:tcPr>
                        <w:tcW w:w="840" w:type="dxa"/>
                      </w:tcPr>
                      <w:p>
                        <w:pPr>
                          <w:pStyle w:val="TableParagraph"/>
                          <w:spacing w:before="23"/>
                          <w:ind w:right="94"/>
                          <w:jc w:val="right"/>
                          <w:rPr>
                            <w:sz w:val="16"/>
                          </w:rPr>
                        </w:pPr>
                        <w:r>
                          <w:rPr>
                            <w:sz w:val="16"/>
                          </w:rPr>
                          <w:t>163 480</w:t>
                        </w:r>
                      </w:p>
                    </w:tc>
                    <w:tc>
                      <w:tcPr>
                        <w:tcW w:w="881" w:type="dxa"/>
                      </w:tcPr>
                      <w:p>
                        <w:pPr>
                          <w:pStyle w:val="TableParagraph"/>
                          <w:spacing w:before="23"/>
                          <w:ind w:left="299"/>
                          <w:rPr>
                            <w:sz w:val="16"/>
                          </w:rPr>
                        </w:pPr>
                        <w:r>
                          <w:rPr>
                            <w:sz w:val="16"/>
                          </w:rPr>
                          <w:t>1 806</w:t>
                        </w:r>
                      </w:p>
                    </w:tc>
                    <w:tc>
                      <w:tcPr>
                        <w:tcW w:w="727" w:type="dxa"/>
                      </w:tcPr>
                      <w:p>
                        <w:pPr>
                          <w:pStyle w:val="TableParagraph"/>
                          <w:spacing w:before="23"/>
                          <w:ind w:left="306"/>
                          <w:rPr>
                            <w:sz w:val="16"/>
                          </w:rPr>
                        </w:pPr>
                        <w:r>
                          <w:rPr>
                            <w:sz w:val="16"/>
                          </w:rPr>
                          <w:t>1.2</w:t>
                        </w:r>
                      </w:p>
                    </w:tc>
                  </w:tr>
                  <w:tr>
                    <w:trPr>
                      <w:trHeight w:val="386" w:hRule="atLeast"/>
                    </w:trPr>
                    <w:tc>
                      <w:tcPr>
                        <w:tcW w:w="1088" w:type="dxa"/>
                        <w:tcBorders>
                          <w:left w:val="single" w:sz="6" w:space="0" w:color="000000"/>
                        </w:tcBorders>
                      </w:tcPr>
                      <w:p>
                        <w:pPr>
                          <w:pStyle w:val="TableParagraph"/>
                          <w:spacing w:before="95"/>
                          <w:ind w:left="54"/>
                          <w:rPr>
                            <w:sz w:val="16"/>
                          </w:rPr>
                        </w:pPr>
                        <w:r>
                          <w:rPr>
                            <w:sz w:val="16"/>
                          </w:rPr>
                          <w:t>Cyprus</w:t>
                        </w:r>
                      </w:p>
                    </w:tc>
                    <w:tc>
                      <w:tcPr>
                        <w:tcW w:w="840" w:type="dxa"/>
                      </w:tcPr>
                      <w:p>
                        <w:pPr>
                          <w:pStyle w:val="TableParagraph"/>
                          <w:spacing w:before="95"/>
                          <w:ind w:right="95"/>
                          <w:jc w:val="right"/>
                          <w:rPr>
                            <w:sz w:val="16"/>
                          </w:rPr>
                        </w:pPr>
                        <w:r>
                          <w:rPr>
                            <w:sz w:val="16"/>
                          </w:rPr>
                          <w:t>119</w:t>
                        </w:r>
                      </w:p>
                    </w:tc>
                    <w:tc>
                      <w:tcPr>
                        <w:tcW w:w="840" w:type="dxa"/>
                      </w:tcPr>
                      <w:p>
                        <w:pPr>
                          <w:pStyle w:val="TableParagraph"/>
                          <w:spacing w:before="95"/>
                          <w:ind w:right="95"/>
                          <w:jc w:val="right"/>
                          <w:rPr>
                            <w:sz w:val="16"/>
                          </w:rPr>
                        </w:pPr>
                        <w:r>
                          <w:rPr>
                            <w:sz w:val="16"/>
                          </w:rPr>
                          <w:t>172</w:t>
                        </w:r>
                      </w:p>
                    </w:tc>
                    <w:tc>
                      <w:tcPr>
                        <w:tcW w:w="881" w:type="dxa"/>
                      </w:tcPr>
                      <w:p>
                        <w:pPr>
                          <w:pStyle w:val="TableParagraph"/>
                          <w:spacing w:before="95"/>
                          <w:ind w:left="579"/>
                          <w:rPr>
                            <w:sz w:val="16"/>
                          </w:rPr>
                        </w:pPr>
                        <w:r>
                          <w:rPr>
                            <w:w w:val="100"/>
                            <w:sz w:val="16"/>
                          </w:rPr>
                          <w:t>5</w:t>
                        </w:r>
                      </w:p>
                    </w:tc>
                    <w:tc>
                      <w:tcPr>
                        <w:tcW w:w="727" w:type="dxa"/>
                      </w:tcPr>
                      <w:p>
                        <w:pPr>
                          <w:pStyle w:val="TableParagraph"/>
                          <w:spacing w:before="95"/>
                          <w:ind w:left="306"/>
                          <w:rPr>
                            <w:sz w:val="16"/>
                          </w:rPr>
                        </w:pPr>
                        <w:r>
                          <w:rPr>
                            <w:sz w:val="16"/>
                          </w:rPr>
                          <w:t>3.7</w:t>
                        </w:r>
                      </w:p>
                    </w:tc>
                  </w:tr>
                  <w:tr>
                    <w:trPr>
                      <w:trHeight w:val="388" w:hRule="atLeast"/>
                    </w:trPr>
                    <w:tc>
                      <w:tcPr>
                        <w:tcW w:w="1088" w:type="dxa"/>
                        <w:tcBorders>
                          <w:left w:val="single" w:sz="6" w:space="0" w:color="000000"/>
                        </w:tcBorders>
                      </w:tcPr>
                      <w:p>
                        <w:pPr>
                          <w:pStyle w:val="TableParagraph"/>
                          <w:spacing w:line="180" w:lineRule="atLeast" w:before="4"/>
                          <w:ind w:left="54" w:right="99"/>
                          <w:rPr>
                            <w:sz w:val="16"/>
                          </w:rPr>
                        </w:pPr>
                        <w:r>
                          <w:rPr>
                            <w:sz w:val="16"/>
                          </w:rPr>
                          <w:t>Dem People's Rep. of Korea</w:t>
                        </w:r>
                      </w:p>
                    </w:tc>
                    <w:tc>
                      <w:tcPr>
                        <w:tcW w:w="840" w:type="dxa"/>
                      </w:tcPr>
                      <w:p>
                        <w:pPr>
                          <w:pStyle w:val="TableParagraph"/>
                          <w:spacing w:before="95"/>
                          <w:ind w:right="95"/>
                          <w:jc w:val="right"/>
                          <w:rPr>
                            <w:sz w:val="16"/>
                          </w:rPr>
                        </w:pPr>
                        <w:r>
                          <w:rPr>
                            <w:sz w:val="16"/>
                          </w:rPr>
                          <w:t>8 210</w:t>
                        </w:r>
                      </w:p>
                    </w:tc>
                    <w:tc>
                      <w:tcPr>
                        <w:tcW w:w="840" w:type="dxa"/>
                      </w:tcPr>
                      <w:p>
                        <w:pPr>
                          <w:pStyle w:val="TableParagraph"/>
                          <w:spacing w:before="95"/>
                          <w:ind w:right="95"/>
                          <w:jc w:val="right"/>
                          <w:rPr>
                            <w:sz w:val="16"/>
                          </w:rPr>
                        </w:pPr>
                        <w:r>
                          <w:rPr>
                            <w:sz w:val="16"/>
                          </w:rPr>
                          <w:t>8 210</w:t>
                        </w:r>
                      </w:p>
                    </w:tc>
                    <w:tc>
                      <w:tcPr>
                        <w:tcW w:w="881" w:type="dxa"/>
                      </w:tcPr>
                      <w:p>
                        <w:pPr>
                          <w:pStyle w:val="TableParagraph"/>
                          <w:spacing w:before="95"/>
                          <w:ind w:left="435"/>
                          <w:rPr>
                            <w:sz w:val="16"/>
                          </w:rPr>
                        </w:pPr>
                        <w:r>
                          <w:rPr>
                            <w:sz w:val="16"/>
                          </w:rPr>
                          <w:t>n.s.</w:t>
                        </w:r>
                      </w:p>
                    </w:tc>
                    <w:tc>
                      <w:tcPr>
                        <w:tcW w:w="727" w:type="dxa"/>
                      </w:tcPr>
                      <w:p>
                        <w:pPr>
                          <w:pStyle w:val="TableParagraph"/>
                          <w:spacing w:before="95"/>
                          <w:ind w:left="282"/>
                          <w:rPr>
                            <w:sz w:val="16"/>
                          </w:rPr>
                        </w:pPr>
                        <w:r>
                          <w:rPr>
                            <w:sz w:val="16"/>
                          </w:rPr>
                          <w:t>n.s.</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East Timor</w:t>
                        </w:r>
                      </w:p>
                    </w:tc>
                    <w:tc>
                      <w:tcPr>
                        <w:tcW w:w="840" w:type="dxa"/>
                      </w:tcPr>
                      <w:p>
                        <w:pPr>
                          <w:pStyle w:val="TableParagraph"/>
                          <w:spacing w:before="23"/>
                          <w:ind w:right="95"/>
                          <w:jc w:val="right"/>
                          <w:rPr>
                            <w:sz w:val="16"/>
                          </w:rPr>
                        </w:pPr>
                        <w:r>
                          <w:rPr>
                            <w:sz w:val="16"/>
                          </w:rPr>
                          <w:t>541</w:t>
                        </w:r>
                      </w:p>
                    </w:tc>
                    <w:tc>
                      <w:tcPr>
                        <w:tcW w:w="840" w:type="dxa"/>
                      </w:tcPr>
                      <w:p>
                        <w:pPr>
                          <w:pStyle w:val="TableParagraph"/>
                          <w:spacing w:before="23"/>
                          <w:ind w:right="95"/>
                          <w:jc w:val="right"/>
                          <w:rPr>
                            <w:sz w:val="16"/>
                          </w:rPr>
                        </w:pPr>
                        <w:r>
                          <w:rPr>
                            <w:sz w:val="16"/>
                          </w:rPr>
                          <w:t>507</w:t>
                        </w:r>
                      </w:p>
                    </w:tc>
                    <w:tc>
                      <w:tcPr>
                        <w:tcW w:w="881" w:type="dxa"/>
                      </w:tcPr>
                      <w:p>
                        <w:pPr>
                          <w:pStyle w:val="TableParagraph"/>
                          <w:spacing w:before="23"/>
                          <w:ind w:left="526"/>
                          <w:rPr>
                            <w:sz w:val="16"/>
                          </w:rPr>
                        </w:pPr>
                        <w:r>
                          <w:rPr>
                            <w:sz w:val="16"/>
                          </w:rPr>
                          <w:t>-3</w:t>
                        </w:r>
                      </w:p>
                    </w:tc>
                    <w:tc>
                      <w:tcPr>
                        <w:tcW w:w="727" w:type="dxa"/>
                      </w:tcPr>
                      <w:p>
                        <w:pPr>
                          <w:pStyle w:val="TableParagraph"/>
                          <w:spacing w:before="23"/>
                          <w:ind w:left="250"/>
                          <w:rPr>
                            <w:sz w:val="16"/>
                          </w:rPr>
                        </w:pPr>
                        <w:r>
                          <w:rPr>
                            <w:sz w:val="16"/>
                          </w:rPr>
                          <w:t>-0.6</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Gaza Strip</w:t>
                        </w:r>
                      </w:p>
                    </w:tc>
                    <w:tc>
                      <w:tcPr>
                        <w:tcW w:w="840" w:type="dxa"/>
                      </w:tcPr>
                      <w:p>
                        <w:pPr>
                          <w:pStyle w:val="TableParagraph"/>
                          <w:spacing w:before="23"/>
                          <w:ind w:right="93"/>
                          <w:jc w:val="right"/>
                          <w:rPr>
                            <w:sz w:val="16"/>
                          </w:rPr>
                        </w:pPr>
                        <w:r>
                          <w:rPr>
                            <w:w w:val="100"/>
                            <w:sz w:val="16"/>
                          </w:rPr>
                          <w:t>-</w:t>
                        </w:r>
                      </w:p>
                    </w:tc>
                    <w:tc>
                      <w:tcPr>
                        <w:tcW w:w="840" w:type="dxa"/>
                      </w:tcPr>
                      <w:p>
                        <w:pPr>
                          <w:pStyle w:val="TableParagraph"/>
                          <w:spacing w:before="23"/>
                          <w:ind w:right="93"/>
                          <w:jc w:val="right"/>
                          <w:rPr>
                            <w:sz w:val="16"/>
                          </w:rPr>
                        </w:pPr>
                        <w:r>
                          <w:rPr>
                            <w:w w:val="100"/>
                            <w:sz w:val="16"/>
                          </w:rPr>
                          <w:t>-</w:t>
                        </w:r>
                      </w:p>
                    </w:tc>
                    <w:tc>
                      <w:tcPr>
                        <w:tcW w:w="881" w:type="dxa"/>
                      </w:tcPr>
                      <w:p>
                        <w:pPr>
                          <w:pStyle w:val="TableParagraph"/>
                          <w:spacing w:before="23"/>
                          <w:ind w:right="206"/>
                          <w:jc w:val="right"/>
                          <w:rPr>
                            <w:sz w:val="16"/>
                          </w:rPr>
                        </w:pPr>
                        <w:r>
                          <w:rPr>
                            <w:w w:val="100"/>
                            <w:sz w:val="16"/>
                          </w:rPr>
                          <w:t>-</w:t>
                        </w:r>
                      </w:p>
                    </w:tc>
                    <w:tc>
                      <w:tcPr>
                        <w:tcW w:w="727" w:type="dxa"/>
                      </w:tcPr>
                      <w:p>
                        <w:pPr>
                          <w:pStyle w:val="TableParagraph"/>
                          <w:spacing w:before="23"/>
                          <w:ind w:left="454"/>
                          <w:rPr>
                            <w:sz w:val="16"/>
                          </w:rPr>
                        </w:pPr>
                        <w:r>
                          <w:rPr>
                            <w:w w:val="100"/>
                            <w:sz w:val="16"/>
                          </w:rPr>
                          <w:t>-</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Georgia</w:t>
                        </w:r>
                      </w:p>
                    </w:tc>
                    <w:tc>
                      <w:tcPr>
                        <w:tcW w:w="840" w:type="dxa"/>
                      </w:tcPr>
                      <w:p>
                        <w:pPr>
                          <w:pStyle w:val="TableParagraph"/>
                          <w:spacing w:before="23"/>
                          <w:ind w:right="95"/>
                          <w:jc w:val="right"/>
                          <w:rPr>
                            <w:sz w:val="16"/>
                          </w:rPr>
                        </w:pPr>
                        <w:r>
                          <w:rPr>
                            <w:sz w:val="16"/>
                          </w:rPr>
                          <w:t>2 988</w:t>
                        </w:r>
                      </w:p>
                    </w:tc>
                    <w:tc>
                      <w:tcPr>
                        <w:tcW w:w="840" w:type="dxa"/>
                      </w:tcPr>
                      <w:p>
                        <w:pPr>
                          <w:pStyle w:val="TableParagraph"/>
                          <w:spacing w:before="23"/>
                          <w:ind w:right="95"/>
                          <w:jc w:val="right"/>
                          <w:rPr>
                            <w:sz w:val="16"/>
                          </w:rPr>
                        </w:pPr>
                        <w:r>
                          <w:rPr>
                            <w:sz w:val="16"/>
                          </w:rPr>
                          <w:t>2 988</w:t>
                        </w:r>
                      </w:p>
                    </w:tc>
                    <w:tc>
                      <w:tcPr>
                        <w:tcW w:w="881" w:type="dxa"/>
                      </w:tcPr>
                      <w:p>
                        <w:pPr>
                          <w:pStyle w:val="TableParagraph"/>
                          <w:spacing w:before="23"/>
                          <w:ind w:left="435"/>
                          <w:rPr>
                            <w:sz w:val="16"/>
                          </w:rPr>
                        </w:pPr>
                        <w:r>
                          <w:rPr>
                            <w:sz w:val="16"/>
                          </w:rPr>
                          <w:t>n.s.</w:t>
                        </w:r>
                      </w:p>
                    </w:tc>
                    <w:tc>
                      <w:tcPr>
                        <w:tcW w:w="727" w:type="dxa"/>
                      </w:tcPr>
                      <w:p>
                        <w:pPr>
                          <w:pStyle w:val="TableParagraph"/>
                          <w:spacing w:before="23"/>
                          <w:ind w:left="282"/>
                          <w:rPr>
                            <w:sz w:val="16"/>
                          </w:rPr>
                        </w:pPr>
                        <w:r>
                          <w:rPr>
                            <w:sz w:val="16"/>
                          </w:rPr>
                          <w:t>n.s.</w:t>
                        </w:r>
                      </w:p>
                    </w:tc>
                  </w:tr>
                  <w:tr>
                    <w:trPr>
                      <w:trHeight w:val="275" w:hRule="atLeast"/>
                    </w:trPr>
                    <w:tc>
                      <w:tcPr>
                        <w:tcW w:w="1088" w:type="dxa"/>
                        <w:tcBorders>
                          <w:left w:val="single" w:sz="6" w:space="0" w:color="000000"/>
                        </w:tcBorders>
                      </w:tcPr>
                      <w:p>
                        <w:pPr>
                          <w:pStyle w:val="TableParagraph"/>
                          <w:spacing w:before="37"/>
                          <w:ind w:left="54"/>
                          <w:rPr>
                            <w:sz w:val="16"/>
                          </w:rPr>
                        </w:pPr>
                        <w:r>
                          <w:rPr>
                            <w:sz w:val="16"/>
                          </w:rPr>
                          <w:t>India</w:t>
                        </w:r>
                      </w:p>
                    </w:tc>
                    <w:tc>
                      <w:tcPr>
                        <w:tcW w:w="840" w:type="dxa"/>
                      </w:tcPr>
                      <w:p>
                        <w:pPr>
                          <w:pStyle w:val="TableParagraph"/>
                          <w:spacing w:before="37"/>
                          <w:ind w:right="95"/>
                          <w:jc w:val="right"/>
                          <w:rPr>
                            <w:sz w:val="16"/>
                          </w:rPr>
                        </w:pPr>
                        <w:r>
                          <w:rPr>
                            <w:sz w:val="16"/>
                          </w:rPr>
                          <w:t>63 732</w:t>
                        </w:r>
                      </w:p>
                    </w:tc>
                    <w:tc>
                      <w:tcPr>
                        <w:tcW w:w="840" w:type="dxa"/>
                      </w:tcPr>
                      <w:p>
                        <w:pPr>
                          <w:pStyle w:val="TableParagraph"/>
                          <w:spacing w:before="37"/>
                          <w:ind w:right="95"/>
                          <w:jc w:val="right"/>
                          <w:rPr>
                            <w:sz w:val="16"/>
                          </w:rPr>
                        </w:pPr>
                        <w:r>
                          <w:rPr>
                            <w:sz w:val="16"/>
                          </w:rPr>
                          <w:t>64 113</w:t>
                        </w:r>
                      </w:p>
                    </w:tc>
                    <w:tc>
                      <w:tcPr>
                        <w:tcW w:w="881" w:type="dxa"/>
                      </w:tcPr>
                      <w:p>
                        <w:pPr>
                          <w:pStyle w:val="TableParagraph"/>
                          <w:spacing w:before="37"/>
                          <w:ind w:left="498"/>
                          <w:rPr>
                            <w:sz w:val="16"/>
                          </w:rPr>
                        </w:pPr>
                        <w:r>
                          <w:rPr>
                            <w:sz w:val="16"/>
                          </w:rPr>
                          <w:t>38</w:t>
                        </w:r>
                      </w:p>
                    </w:tc>
                    <w:tc>
                      <w:tcPr>
                        <w:tcW w:w="727" w:type="dxa"/>
                      </w:tcPr>
                      <w:p>
                        <w:pPr>
                          <w:pStyle w:val="TableParagraph"/>
                          <w:spacing w:before="37"/>
                          <w:ind w:left="305"/>
                          <w:rPr>
                            <w:sz w:val="16"/>
                          </w:rPr>
                        </w:pPr>
                        <w:r>
                          <w:rPr>
                            <w:sz w:val="16"/>
                          </w:rPr>
                          <w:t>0.1</w:t>
                        </w:r>
                      </w:p>
                    </w:tc>
                  </w:tr>
                  <w:tr>
                    <w:trPr>
                      <w:trHeight w:val="386" w:hRule="atLeast"/>
                    </w:trPr>
                    <w:tc>
                      <w:tcPr>
                        <w:tcW w:w="1088" w:type="dxa"/>
                        <w:tcBorders>
                          <w:left w:val="single" w:sz="6" w:space="0" w:color="000000"/>
                        </w:tcBorders>
                      </w:tcPr>
                      <w:p>
                        <w:pPr>
                          <w:pStyle w:val="TableParagraph"/>
                          <w:spacing w:before="95"/>
                          <w:ind w:left="54"/>
                          <w:rPr>
                            <w:sz w:val="16"/>
                          </w:rPr>
                        </w:pPr>
                        <w:r>
                          <w:rPr>
                            <w:sz w:val="16"/>
                          </w:rPr>
                          <w:t>Indonesia</w:t>
                        </w:r>
                      </w:p>
                    </w:tc>
                    <w:tc>
                      <w:tcPr>
                        <w:tcW w:w="840" w:type="dxa"/>
                      </w:tcPr>
                      <w:p>
                        <w:pPr>
                          <w:pStyle w:val="TableParagraph"/>
                          <w:spacing w:before="95"/>
                          <w:ind w:right="94"/>
                          <w:jc w:val="right"/>
                          <w:rPr>
                            <w:sz w:val="16"/>
                          </w:rPr>
                        </w:pPr>
                        <w:r>
                          <w:rPr>
                            <w:sz w:val="16"/>
                          </w:rPr>
                          <w:t>118 110</w:t>
                        </w:r>
                      </w:p>
                    </w:tc>
                    <w:tc>
                      <w:tcPr>
                        <w:tcW w:w="840" w:type="dxa"/>
                      </w:tcPr>
                      <w:p>
                        <w:pPr>
                          <w:pStyle w:val="TableParagraph"/>
                          <w:spacing w:before="95"/>
                          <w:ind w:right="95"/>
                          <w:jc w:val="right"/>
                          <w:rPr>
                            <w:sz w:val="16"/>
                          </w:rPr>
                        </w:pPr>
                        <w:r>
                          <w:rPr>
                            <w:sz w:val="16"/>
                          </w:rPr>
                          <w:t>104 986</w:t>
                        </w:r>
                      </w:p>
                    </w:tc>
                    <w:tc>
                      <w:tcPr>
                        <w:tcW w:w="881" w:type="dxa"/>
                      </w:tcPr>
                      <w:p>
                        <w:pPr>
                          <w:pStyle w:val="TableParagraph"/>
                          <w:spacing w:before="95"/>
                          <w:ind w:left="245"/>
                          <w:rPr>
                            <w:sz w:val="16"/>
                          </w:rPr>
                        </w:pPr>
                        <w:r>
                          <w:rPr>
                            <w:sz w:val="16"/>
                          </w:rPr>
                          <w:t>-1 312</w:t>
                        </w:r>
                      </w:p>
                    </w:tc>
                    <w:tc>
                      <w:tcPr>
                        <w:tcW w:w="727" w:type="dxa"/>
                      </w:tcPr>
                      <w:p>
                        <w:pPr>
                          <w:pStyle w:val="TableParagraph"/>
                          <w:spacing w:before="95"/>
                          <w:ind w:left="250"/>
                          <w:rPr>
                            <w:sz w:val="16"/>
                          </w:rPr>
                        </w:pPr>
                        <w:r>
                          <w:rPr>
                            <w:sz w:val="16"/>
                          </w:rPr>
                          <w:t>-1.2</w:t>
                        </w:r>
                      </w:p>
                    </w:tc>
                  </w:tr>
                  <w:tr>
                    <w:trPr>
                      <w:trHeight w:val="443" w:hRule="atLeast"/>
                    </w:trPr>
                    <w:tc>
                      <w:tcPr>
                        <w:tcW w:w="1088" w:type="dxa"/>
                        <w:tcBorders>
                          <w:left w:val="single" w:sz="6" w:space="0" w:color="000000"/>
                        </w:tcBorders>
                      </w:tcPr>
                      <w:p>
                        <w:pPr>
                          <w:pStyle w:val="TableParagraph"/>
                          <w:spacing w:before="33"/>
                          <w:ind w:left="54" w:right="192"/>
                          <w:rPr>
                            <w:sz w:val="16"/>
                          </w:rPr>
                        </w:pPr>
                        <w:r>
                          <w:rPr>
                            <w:sz w:val="16"/>
                          </w:rPr>
                          <w:t>Iran, Islamic Rep.</w:t>
                        </w:r>
                      </w:p>
                    </w:tc>
                    <w:tc>
                      <w:tcPr>
                        <w:tcW w:w="840" w:type="dxa"/>
                      </w:tcPr>
                      <w:p>
                        <w:pPr>
                          <w:pStyle w:val="TableParagraph"/>
                          <w:spacing w:before="124"/>
                          <w:ind w:right="95"/>
                          <w:jc w:val="right"/>
                          <w:rPr>
                            <w:sz w:val="16"/>
                          </w:rPr>
                        </w:pPr>
                        <w:r>
                          <w:rPr>
                            <w:sz w:val="16"/>
                          </w:rPr>
                          <w:t>7 299</w:t>
                        </w:r>
                      </w:p>
                    </w:tc>
                    <w:tc>
                      <w:tcPr>
                        <w:tcW w:w="840" w:type="dxa"/>
                      </w:tcPr>
                      <w:p>
                        <w:pPr>
                          <w:pStyle w:val="TableParagraph"/>
                          <w:spacing w:before="124"/>
                          <w:ind w:right="96"/>
                          <w:jc w:val="right"/>
                          <w:rPr>
                            <w:sz w:val="16"/>
                          </w:rPr>
                        </w:pPr>
                        <w:r>
                          <w:rPr>
                            <w:sz w:val="16"/>
                          </w:rPr>
                          <w:t>7 299</w:t>
                        </w:r>
                      </w:p>
                    </w:tc>
                    <w:tc>
                      <w:tcPr>
                        <w:tcW w:w="881" w:type="dxa"/>
                      </w:tcPr>
                      <w:p>
                        <w:pPr>
                          <w:pStyle w:val="TableParagraph"/>
                          <w:spacing w:before="124"/>
                          <w:ind w:left="435"/>
                          <w:rPr>
                            <w:sz w:val="16"/>
                          </w:rPr>
                        </w:pPr>
                        <w:r>
                          <w:rPr>
                            <w:sz w:val="16"/>
                          </w:rPr>
                          <w:t>n.s.</w:t>
                        </w:r>
                      </w:p>
                    </w:tc>
                    <w:tc>
                      <w:tcPr>
                        <w:tcW w:w="727" w:type="dxa"/>
                      </w:tcPr>
                      <w:p>
                        <w:pPr>
                          <w:pStyle w:val="TableParagraph"/>
                          <w:spacing w:before="124"/>
                          <w:ind w:left="281"/>
                          <w:rPr>
                            <w:sz w:val="16"/>
                          </w:rPr>
                        </w:pPr>
                        <w:r>
                          <w:rPr>
                            <w:sz w:val="16"/>
                          </w:rPr>
                          <w:t>n.s.</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Iraq</w:t>
                        </w:r>
                      </w:p>
                    </w:tc>
                    <w:tc>
                      <w:tcPr>
                        <w:tcW w:w="840" w:type="dxa"/>
                      </w:tcPr>
                      <w:p>
                        <w:pPr>
                          <w:pStyle w:val="TableParagraph"/>
                          <w:spacing w:before="23"/>
                          <w:ind w:right="95"/>
                          <w:jc w:val="right"/>
                          <w:rPr>
                            <w:sz w:val="16"/>
                          </w:rPr>
                        </w:pPr>
                        <w:r>
                          <w:rPr>
                            <w:sz w:val="16"/>
                          </w:rPr>
                          <w:t>799</w:t>
                        </w:r>
                      </w:p>
                    </w:tc>
                    <w:tc>
                      <w:tcPr>
                        <w:tcW w:w="840" w:type="dxa"/>
                      </w:tcPr>
                      <w:p>
                        <w:pPr>
                          <w:pStyle w:val="TableParagraph"/>
                          <w:spacing w:before="23"/>
                          <w:ind w:right="95"/>
                          <w:jc w:val="right"/>
                          <w:rPr>
                            <w:sz w:val="16"/>
                          </w:rPr>
                        </w:pPr>
                        <w:r>
                          <w:rPr>
                            <w:sz w:val="16"/>
                          </w:rPr>
                          <w:t>799</w:t>
                        </w:r>
                      </w:p>
                    </w:tc>
                    <w:tc>
                      <w:tcPr>
                        <w:tcW w:w="881" w:type="dxa"/>
                      </w:tcPr>
                      <w:p>
                        <w:pPr>
                          <w:pStyle w:val="TableParagraph"/>
                          <w:spacing w:before="23"/>
                          <w:ind w:left="435"/>
                          <w:rPr>
                            <w:sz w:val="16"/>
                          </w:rPr>
                        </w:pPr>
                        <w:r>
                          <w:rPr>
                            <w:sz w:val="16"/>
                          </w:rPr>
                          <w:t>n.s.</w:t>
                        </w:r>
                      </w:p>
                    </w:tc>
                    <w:tc>
                      <w:tcPr>
                        <w:tcW w:w="727" w:type="dxa"/>
                      </w:tcPr>
                      <w:p>
                        <w:pPr>
                          <w:pStyle w:val="TableParagraph"/>
                          <w:spacing w:before="23"/>
                          <w:ind w:left="282"/>
                          <w:rPr>
                            <w:sz w:val="16"/>
                          </w:rPr>
                        </w:pPr>
                        <w:r>
                          <w:rPr>
                            <w:sz w:val="16"/>
                          </w:rPr>
                          <w:t>n.s.</w:t>
                        </w:r>
                      </w:p>
                    </w:tc>
                  </w:tr>
                  <w:tr>
                    <w:trPr>
                      <w:trHeight w:val="246" w:hRule="atLeast"/>
                    </w:trPr>
                    <w:tc>
                      <w:tcPr>
                        <w:tcW w:w="1088" w:type="dxa"/>
                        <w:tcBorders>
                          <w:left w:val="single" w:sz="6" w:space="0" w:color="000000"/>
                        </w:tcBorders>
                      </w:tcPr>
                      <w:p>
                        <w:pPr>
                          <w:pStyle w:val="TableParagraph"/>
                          <w:spacing w:before="23"/>
                          <w:ind w:left="54"/>
                          <w:rPr>
                            <w:sz w:val="16"/>
                          </w:rPr>
                        </w:pPr>
                        <w:r>
                          <w:rPr>
                            <w:sz w:val="16"/>
                          </w:rPr>
                          <w:t>Israel</w:t>
                        </w:r>
                      </w:p>
                    </w:tc>
                    <w:tc>
                      <w:tcPr>
                        <w:tcW w:w="840" w:type="dxa"/>
                      </w:tcPr>
                      <w:p>
                        <w:pPr>
                          <w:pStyle w:val="TableParagraph"/>
                          <w:spacing w:before="23"/>
                          <w:ind w:right="94"/>
                          <w:jc w:val="right"/>
                          <w:rPr>
                            <w:sz w:val="16"/>
                          </w:rPr>
                        </w:pPr>
                        <w:r>
                          <w:rPr>
                            <w:sz w:val="16"/>
                          </w:rPr>
                          <w:t>82</w:t>
                        </w:r>
                      </w:p>
                    </w:tc>
                    <w:tc>
                      <w:tcPr>
                        <w:tcW w:w="840" w:type="dxa"/>
                      </w:tcPr>
                      <w:p>
                        <w:pPr>
                          <w:pStyle w:val="TableParagraph"/>
                          <w:spacing w:before="23"/>
                          <w:ind w:right="95"/>
                          <w:jc w:val="right"/>
                          <w:rPr>
                            <w:sz w:val="16"/>
                          </w:rPr>
                        </w:pPr>
                        <w:r>
                          <w:rPr>
                            <w:sz w:val="16"/>
                          </w:rPr>
                          <w:t>132</w:t>
                        </w:r>
                      </w:p>
                    </w:tc>
                    <w:tc>
                      <w:tcPr>
                        <w:tcW w:w="881" w:type="dxa"/>
                      </w:tcPr>
                      <w:p>
                        <w:pPr>
                          <w:pStyle w:val="TableParagraph"/>
                          <w:spacing w:before="23"/>
                          <w:ind w:left="579"/>
                          <w:rPr>
                            <w:sz w:val="16"/>
                          </w:rPr>
                        </w:pPr>
                        <w:r>
                          <w:rPr>
                            <w:w w:val="100"/>
                            <w:sz w:val="16"/>
                          </w:rPr>
                          <w:t>5</w:t>
                        </w:r>
                      </w:p>
                    </w:tc>
                    <w:tc>
                      <w:tcPr>
                        <w:tcW w:w="727" w:type="dxa"/>
                      </w:tcPr>
                      <w:p>
                        <w:pPr>
                          <w:pStyle w:val="TableParagraph"/>
                          <w:spacing w:before="23"/>
                          <w:ind w:left="305"/>
                          <w:rPr>
                            <w:sz w:val="16"/>
                          </w:rPr>
                        </w:pPr>
                        <w:r>
                          <w:rPr>
                            <w:sz w:val="16"/>
                          </w:rPr>
                          <w:t>4.9</w:t>
                        </w:r>
                      </w:p>
                    </w:tc>
                  </w:tr>
                  <w:tr>
                    <w:trPr>
                      <w:trHeight w:val="385" w:hRule="atLeast"/>
                    </w:trPr>
                    <w:tc>
                      <w:tcPr>
                        <w:tcW w:w="1088" w:type="dxa"/>
                        <w:tcBorders>
                          <w:left w:val="single" w:sz="6" w:space="0" w:color="000000"/>
                        </w:tcBorders>
                      </w:tcPr>
                      <w:p>
                        <w:pPr>
                          <w:pStyle w:val="TableParagraph"/>
                          <w:spacing w:before="95"/>
                          <w:ind w:left="54"/>
                          <w:rPr>
                            <w:sz w:val="16"/>
                          </w:rPr>
                        </w:pPr>
                        <w:r>
                          <w:rPr>
                            <w:sz w:val="16"/>
                          </w:rPr>
                          <w:t>Japan</w:t>
                        </w:r>
                      </w:p>
                    </w:tc>
                    <w:tc>
                      <w:tcPr>
                        <w:tcW w:w="840" w:type="dxa"/>
                      </w:tcPr>
                      <w:p>
                        <w:pPr>
                          <w:pStyle w:val="TableParagraph"/>
                          <w:spacing w:before="95"/>
                          <w:ind w:right="96"/>
                          <w:jc w:val="right"/>
                          <w:rPr>
                            <w:sz w:val="16"/>
                          </w:rPr>
                        </w:pPr>
                        <w:r>
                          <w:rPr>
                            <w:sz w:val="16"/>
                          </w:rPr>
                          <w:t>24 047</w:t>
                        </w:r>
                      </w:p>
                    </w:tc>
                    <w:tc>
                      <w:tcPr>
                        <w:tcW w:w="840" w:type="dxa"/>
                      </w:tcPr>
                      <w:p>
                        <w:pPr>
                          <w:pStyle w:val="TableParagraph"/>
                          <w:spacing w:before="95"/>
                          <w:ind w:right="96"/>
                          <w:jc w:val="right"/>
                          <w:rPr>
                            <w:sz w:val="16"/>
                          </w:rPr>
                        </w:pPr>
                        <w:r>
                          <w:rPr>
                            <w:sz w:val="16"/>
                          </w:rPr>
                          <w:t>24 081</w:t>
                        </w:r>
                      </w:p>
                    </w:tc>
                    <w:tc>
                      <w:tcPr>
                        <w:tcW w:w="881" w:type="dxa"/>
                      </w:tcPr>
                      <w:p>
                        <w:pPr>
                          <w:pStyle w:val="TableParagraph"/>
                          <w:spacing w:before="95"/>
                          <w:ind w:left="579"/>
                          <w:rPr>
                            <w:sz w:val="16"/>
                          </w:rPr>
                        </w:pPr>
                        <w:r>
                          <w:rPr>
                            <w:w w:val="100"/>
                            <w:sz w:val="16"/>
                          </w:rPr>
                          <w:t>3</w:t>
                        </w:r>
                      </w:p>
                    </w:tc>
                    <w:tc>
                      <w:tcPr>
                        <w:tcW w:w="727" w:type="dxa"/>
                      </w:tcPr>
                      <w:p>
                        <w:pPr>
                          <w:pStyle w:val="TableParagraph"/>
                          <w:spacing w:before="95"/>
                          <w:ind w:left="281"/>
                          <w:rPr>
                            <w:sz w:val="16"/>
                          </w:rPr>
                        </w:pPr>
                        <w:r>
                          <w:rPr>
                            <w:sz w:val="16"/>
                          </w:rPr>
                          <w:t>n.s.</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Jordan</w:t>
                        </w:r>
                      </w:p>
                    </w:tc>
                    <w:tc>
                      <w:tcPr>
                        <w:tcW w:w="840" w:type="dxa"/>
                      </w:tcPr>
                      <w:p>
                        <w:pPr>
                          <w:pStyle w:val="TableParagraph"/>
                          <w:spacing w:before="23"/>
                          <w:ind w:right="94"/>
                          <w:jc w:val="right"/>
                          <w:rPr>
                            <w:sz w:val="16"/>
                          </w:rPr>
                        </w:pPr>
                        <w:r>
                          <w:rPr>
                            <w:sz w:val="16"/>
                          </w:rPr>
                          <w:t>86</w:t>
                        </w:r>
                      </w:p>
                    </w:tc>
                    <w:tc>
                      <w:tcPr>
                        <w:tcW w:w="840" w:type="dxa"/>
                      </w:tcPr>
                      <w:p>
                        <w:pPr>
                          <w:pStyle w:val="TableParagraph"/>
                          <w:spacing w:before="23"/>
                          <w:ind w:right="94"/>
                          <w:jc w:val="right"/>
                          <w:rPr>
                            <w:sz w:val="16"/>
                          </w:rPr>
                        </w:pPr>
                        <w:r>
                          <w:rPr>
                            <w:sz w:val="16"/>
                          </w:rPr>
                          <w:t>86</w:t>
                        </w:r>
                      </w:p>
                    </w:tc>
                    <w:tc>
                      <w:tcPr>
                        <w:tcW w:w="881" w:type="dxa"/>
                      </w:tcPr>
                      <w:p>
                        <w:pPr>
                          <w:pStyle w:val="TableParagraph"/>
                          <w:spacing w:before="23"/>
                          <w:ind w:left="435"/>
                          <w:rPr>
                            <w:sz w:val="16"/>
                          </w:rPr>
                        </w:pPr>
                        <w:r>
                          <w:rPr>
                            <w:sz w:val="16"/>
                          </w:rPr>
                          <w:t>n.s.</w:t>
                        </w:r>
                      </w:p>
                    </w:tc>
                    <w:tc>
                      <w:tcPr>
                        <w:tcW w:w="727" w:type="dxa"/>
                      </w:tcPr>
                      <w:p>
                        <w:pPr>
                          <w:pStyle w:val="TableParagraph"/>
                          <w:spacing w:before="23"/>
                          <w:ind w:left="281"/>
                          <w:rPr>
                            <w:sz w:val="16"/>
                          </w:rPr>
                        </w:pPr>
                        <w:r>
                          <w:rPr>
                            <w:sz w:val="16"/>
                          </w:rPr>
                          <w:t>n.s.</w:t>
                        </w:r>
                      </w:p>
                    </w:tc>
                  </w:tr>
                  <w:tr>
                    <w:trPr>
                      <w:trHeight w:val="246" w:hRule="atLeast"/>
                    </w:trPr>
                    <w:tc>
                      <w:tcPr>
                        <w:tcW w:w="1088" w:type="dxa"/>
                        <w:tcBorders>
                          <w:left w:val="single" w:sz="6" w:space="0" w:color="000000"/>
                        </w:tcBorders>
                      </w:tcPr>
                      <w:p>
                        <w:pPr>
                          <w:pStyle w:val="TableParagraph"/>
                          <w:spacing w:before="23"/>
                          <w:ind w:left="54"/>
                          <w:rPr>
                            <w:sz w:val="16"/>
                          </w:rPr>
                        </w:pPr>
                        <w:r>
                          <w:rPr>
                            <w:sz w:val="16"/>
                          </w:rPr>
                          <w:t>Kazakhstan</w:t>
                        </w:r>
                      </w:p>
                    </w:tc>
                    <w:tc>
                      <w:tcPr>
                        <w:tcW w:w="840" w:type="dxa"/>
                      </w:tcPr>
                      <w:p>
                        <w:pPr>
                          <w:pStyle w:val="TableParagraph"/>
                          <w:spacing w:before="23"/>
                          <w:ind w:right="95"/>
                          <w:jc w:val="right"/>
                          <w:rPr>
                            <w:sz w:val="16"/>
                          </w:rPr>
                        </w:pPr>
                        <w:r>
                          <w:rPr>
                            <w:sz w:val="16"/>
                          </w:rPr>
                          <w:t>9 758</w:t>
                        </w:r>
                      </w:p>
                    </w:tc>
                    <w:tc>
                      <w:tcPr>
                        <w:tcW w:w="840" w:type="dxa"/>
                      </w:tcPr>
                      <w:p>
                        <w:pPr>
                          <w:pStyle w:val="TableParagraph"/>
                          <w:spacing w:before="23"/>
                          <w:ind w:right="96"/>
                          <w:jc w:val="right"/>
                          <w:rPr>
                            <w:sz w:val="16"/>
                          </w:rPr>
                        </w:pPr>
                        <w:r>
                          <w:rPr>
                            <w:sz w:val="16"/>
                          </w:rPr>
                          <w:t>12 148</w:t>
                        </w:r>
                      </w:p>
                    </w:tc>
                    <w:tc>
                      <w:tcPr>
                        <w:tcW w:w="881" w:type="dxa"/>
                      </w:tcPr>
                      <w:p>
                        <w:pPr>
                          <w:pStyle w:val="TableParagraph"/>
                          <w:spacing w:before="23"/>
                          <w:ind w:left="418"/>
                          <w:rPr>
                            <w:sz w:val="16"/>
                          </w:rPr>
                        </w:pPr>
                        <w:r>
                          <w:rPr>
                            <w:sz w:val="16"/>
                          </w:rPr>
                          <w:t>239</w:t>
                        </w:r>
                      </w:p>
                    </w:tc>
                    <w:tc>
                      <w:tcPr>
                        <w:tcW w:w="727" w:type="dxa"/>
                      </w:tcPr>
                      <w:p>
                        <w:pPr>
                          <w:pStyle w:val="TableParagraph"/>
                          <w:spacing w:before="23"/>
                          <w:ind w:left="305"/>
                          <w:rPr>
                            <w:sz w:val="16"/>
                          </w:rPr>
                        </w:pPr>
                        <w:r>
                          <w:rPr>
                            <w:sz w:val="16"/>
                          </w:rPr>
                          <w:t>2.2</w:t>
                        </w:r>
                      </w:p>
                    </w:tc>
                  </w:tr>
                  <w:tr>
                    <w:trPr>
                      <w:trHeight w:val="386" w:hRule="atLeast"/>
                    </w:trPr>
                    <w:tc>
                      <w:tcPr>
                        <w:tcW w:w="1088" w:type="dxa"/>
                        <w:tcBorders>
                          <w:left w:val="single" w:sz="6" w:space="0" w:color="000000"/>
                        </w:tcBorders>
                      </w:tcPr>
                      <w:p>
                        <w:pPr>
                          <w:pStyle w:val="TableParagraph"/>
                          <w:spacing w:before="95"/>
                          <w:ind w:left="54"/>
                          <w:rPr>
                            <w:sz w:val="16"/>
                          </w:rPr>
                        </w:pPr>
                        <w:r>
                          <w:rPr>
                            <w:sz w:val="16"/>
                          </w:rPr>
                          <w:t>Kuwait</w:t>
                        </w:r>
                      </w:p>
                    </w:tc>
                    <w:tc>
                      <w:tcPr>
                        <w:tcW w:w="840" w:type="dxa"/>
                      </w:tcPr>
                      <w:p>
                        <w:pPr>
                          <w:pStyle w:val="TableParagraph"/>
                          <w:spacing w:before="95"/>
                          <w:ind w:right="95"/>
                          <w:jc w:val="right"/>
                          <w:rPr>
                            <w:sz w:val="16"/>
                          </w:rPr>
                        </w:pPr>
                        <w:r>
                          <w:rPr>
                            <w:w w:val="100"/>
                            <w:sz w:val="16"/>
                          </w:rPr>
                          <w:t>3</w:t>
                        </w:r>
                      </w:p>
                    </w:tc>
                    <w:tc>
                      <w:tcPr>
                        <w:tcW w:w="840" w:type="dxa"/>
                      </w:tcPr>
                      <w:p>
                        <w:pPr>
                          <w:pStyle w:val="TableParagraph"/>
                          <w:spacing w:before="95"/>
                          <w:ind w:right="95"/>
                          <w:jc w:val="right"/>
                          <w:rPr>
                            <w:sz w:val="16"/>
                          </w:rPr>
                        </w:pPr>
                        <w:r>
                          <w:rPr>
                            <w:w w:val="100"/>
                            <w:sz w:val="16"/>
                          </w:rPr>
                          <w:t>5</w:t>
                        </w:r>
                      </w:p>
                    </w:tc>
                    <w:tc>
                      <w:tcPr>
                        <w:tcW w:w="881" w:type="dxa"/>
                      </w:tcPr>
                      <w:p>
                        <w:pPr>
                          <w:pStyle w:val="TableParagraph"/>
                          <w:spacing w:before="95"/>
                          <w:ind w:left="436"/>
                          <w:rPr>
                            <w:sz w:val="16"/>
                          </w:rPr>
                        </w:pPr>
                        <w:r>
                          <w:rPr>
                            <w:sz w:val="16"/>
                          </w:rPr>
                          <w:t>n.s.</w:t>
                        </w:r>
                      </w:p>
                    </w:tc>
                    <w:tc>
                      <w:tcPr>
                        <w:tcW w:w="727" w:type="dxa"/>
                      </w:tcPr>
                      <w:p>
                        <w:pPr>
                          <w:pStyle w:val="TableParagraph"/>
                          <w:spacing w:before="95"/>
                          <w:ind w:left="306"/>
                          <w:rPr>
                            <w:sz w:val="16"/>
                          </w:rPr>
                        </w:pPr>
                        <w:r>
                          <w:rPr>
                            <w:sz w:val="16"/>
                          </w:rPr>
                          <w:t>3.5</w:t>
                        </w:r>
                      </w:p>
                    </w:tc>
                  </w:tr>
                  <w:tr>
                    <w:trPr>
                      <w:trHeight w:val="244" w:hRule="atLeast"/>
                    </w:trPr>
                    <w:tc>
                      <w:tcPr>
                        <w:tcW w:w="1088" w:type="dxa"/>
                        <w:tcBorders>
                          <w:left w:val="single" w:sz="6" w:space="0" w:color="000000"/>
                        </w:tcBorders>
                      </w:tcPr>
                      <w:p>
                        <w:pPr>
                          <w:pStyle w:val="TableParagraph"/>
                          <w:spacing w:before="23"/>
                          <w:ind w:left="54"/>
                          <w:rPr>
                            <w:sz w:val="16"/>
                          </w:rPr>
                        </w:pPr>
                        <w:r>
                          <w:rPr>
                            <w:sz w:val="16"/>
                          </w:rPr>
                          <w:t>Kyrgyzstan</w:t>
                        </w:r>
                      </w:p>
                    </w:tc>
                    <w:tc>
                      <w:tcPr>
                        <w:tcW w:w="840" w:type="dxa"/>
                      </w:tcPr>
                      <w:p>
                        <w:pPr>
                          <w:pStyle w:val="TableParagraph"/>
                          <w:spacing w:before="23"/>
                          <w:ind w:right="95"/>
                          <w:jc w:val="right"/>
                          <w:rPr>
                            <w:sz w:val="16"/>
                          </w:rPr>
                        </w:pPr>
                        <w:r>
                          <w:rPr>
                            <w:sz w:val="16"/>
                          </w:rPr>
                          <w:t>775</w:t>
                        </w:r>
                      </w:p>
                    </w:tc>
                    <w:tc>
                      <w:tcPr>
                        <w:tcW w:w="840" w:type="dxa"/>
                      </w:tcPr>
                      <w:p>
                        <w:pPr>
                          <w:pStyle w:val="TableParagraph"/>
                          <w:spacing w:before="23"/>
                          <w:ind w:right="95"/>
                          <w:jc w:val="right"/>
                          <w:rPr>
                            <w:sz w:val="16"/>
                          </w:rPr>
                        </w:pPr>
                        <w:r>
                          <w:rPr>
                            <w:sz w:val="16"/>
                          </w:rPr>
                          <w:t>1 003</w:t>
                        </w:r>
                      </w:p>
                    </w:tc>
                    <w:tc>
                      <w:tcPr>
                        <w:tcW w:w="881" w:type="dxa"/>
                      </w:tcPr>
                      <w:p>
                        <w:pPr>
                          <w:pStyle w:val="TableParagraph"/>
                          <w:spacing w:before="23"/>
                          <w:ind w:left="498"/>
                          <w:rPr>
                            <w:sz w:val="16"/>
                          </w:rPr>
                        </w:pPr>
                        <w:r>
                          <w:rPr>
                            <w:sz w:val="16"/>
                          </w:rPr>
                          <w:t>23</w:t>
                        </w:r>
                      </w:p>
                    </w:tc>
                    <w:tc>
                      <w:tcPr>
                        <w:tcW w:w="727" w:type="dxa"/>
                      </w:tcPr>
                      <w:p>
                        <w:pPr>
                          <w:pStyle w:val="TableParagraph"/>
                          <w:spacing w:before="23"/>
                          <w:ind w:left="305"/>
                          <w:rPr>
                            <w:sz w:val="16"/>
                          </w:rPr>
                        </w:pPr>
                        <w:r>
                          <w:rPr>
                            <w:sz w:val="16"/>
                          </w:rPr>
                          <w:t>2.6</w:t>
                        </w:r>
                      </w:p>
                    </w:tc>
                  </w:tr>
                  <w:tr>
                    <w:trPr>
                      <w:trHeight w:val="388" w:hRule="atLeast"/>
                    </w:trPr>
                    <w:tc>
                      <w:tcPr>
                        <w:tcW w:w="1088" w:type="dxa"/>
                      </w:tcPr>
                      <w:p>
                        <w:pPr>
                          <w:pStyle w:val="TableParagraph"/>
                          <w:spacing w:line="180" w:lineRule="atLeast" w:before="4"/>
                          <w:ind w:left="50" w:right="192"/>
                          <w:rPr>
                            <w:sz w:val="16"/>
                          </w:rPr>
                        </w:pPr>
                        <w:r>
                          <w:rPr>
                            <w:sz w:val="16"/>
                          </w:rPr>
                          <w:t>Lao People's Dem. Rep</w:t>
                        </w:r>
                      </w:p>
                    </w:tc>
                    <w:tc>
                      <w:tcPr>
                        <w:tcW w:w="840" w:type="dxa"/>
                      </w:tcPr>
                      <w:p>
                        <w:pPr>
                          <w:pStyle w:val="TableParagraph"/>
                          <w:spacing w:before="95"/>
                          <w:ind w:right="96"/>
                          <w:jc w:val="right"/>
                          <w:rPr>
                            <w:sz w:val="16"/>
                          </w:rPr>
                        </w:pPr>
                        <w:r>
                          <w:rPr>
                            <w:sz w:val="16"/>
                          </w:rPr>
                          <w:t>13 088</w:t>
                        </w:r>
                      </w:p>
                    </w:tc>
                    <w:tc>
                      <w:tcPr>
                        <w:tcW w:w="840" w:type="dxa"/>
                      </w:tcPr>
                      <w:p>
                        <w:pPr>
                          <w:pStyle w:val="TableParagraph"/>
                          <w:spacing w:before="95"/>
                          <w:ind w:right="96"/>
                          <w:jc w:val="right"/>
                          <w:rPr>
                            <w:sz w:val="16"/>
                          </w:rPr>
                        </w:pPr>
                        <w:r>
                          <w:rPr>
                            <w:sz w:val="16"/>
                          </w:rPr>
                          <w:t>12 561</w:t>
                        </w:r>
                      </w:p>
                    </w:tc>
                    <w:tc>
                      <w:tcPr>
                        <w:tcW w:w="881" w:type="dxa"/>
                      </w:tcPr>
                      <w:p>
                        <w:pPr>
                          <w:pStyle w:val="TableParagraph"/>
                          <w:spacing w:before="95"/>
                          <w:ind w:left="444"/>
                          <w:rPr>
                            <w:sz w:val="16"/>
                          </w:rPr>
                        </w:pPr>
                        <w:r>
                          <w:rPr>
                            <w:sz w:val="16"/>
                          </w:rPr>
                          <w:t>-53</w:t>
                        </w:r>
                      </w:p>
                    </w:tc>
                    <w:tc>
                      <w:tcPr>
                        <w:tcW w:w="727" w:type="dxa"/>
                      </w:tcPr>
                      <w:p>
                        <w:pPr>
                          <w:pStyle w:val="TableParagraph"/>
                          <w:spacing w:before="95"/>
                          <w:ind w:left="249"/>
                          <w:rPr>
                            <w:sz w:val="16"/>
                          </w:rPr>
                        </w:pPr>
                        <w:r>
                          <w:rPr>
                            <w:sz w:val="16"/>
                          </w:rPr>
                          <w:t>-0.4</w:t>
                        </w:r>
                      </w:p>
                    </w:tc>
                  </w:tr>
                  <w:tr>
                    <w:trPr>
                      <w:trHeight w:val="244" w:hRule="atLeast"/>
                    </w:trPr>
                    <w:tc>
                      <w:tcPr>
                        <w:tcW w:w="1088" w:type="dxa"/>
                      </w:tcPr>
                      <w:p>
                        <w:pPr>
                          <w:pStyle w:val="TableParagraph"/>
                          <w:spacing w:before="23"/>
                          <w:ind w:left="57"/>
                          <w:rPr>
                            <w:sz w:val="16"/>
                          </w:rPr>
                        </w:pPr>
                        <w:r>
                          <w:rPr>
                            <w:sz w:val="16"/>
                          </w:rPr>
                          <w:t>Lebanon</w:t>
                        </w:r>
                      </w:p>
                    </w:tc>
                    <w:tc>
                      <w:tcPr>
                        <w:tcW w:w="840" w:type="dxa"/>
                      </w:tcPr>
                      <w:p>
                        <w:pPr>
                          <w:pStyle w:val="TableParagraph"/>
                          <w:spacing w:before="23"/>
                          <w:ind w:right="94"/>
                          <w:jc w:val="right"/>
                          <w:rPr>
                            <w:sz w:val="16"/>
                          </w:rPr>
                        </w:pPr>
                        <w:r>
                          <w:rPr>
                            <w:sz w:val="16"/>
                          </w:rPr>
                          <w:t>37</w:t>
                        </w:r>
                      </w:p>
                    </w:tc>
                    <w:tc>
                      <w:tcPr>
                        <w:tcW w:w="840" w:type="dxa"/>
                      </w:tcPr>
                      <w:p>
                        <w:pPr>
                          <w:pStyle w:val="TableParagraph"/>
                          <w:spacing w:before="23"/>
                          <w:ind w:right="95"/>
                          <w:jc w:val="right"/>
                          <w:rPr>
                            <w:sz w:val="16"/>
                          </w:rPr>
                        </w:pPr>
                        <w:r>
                          <w:rPr>
                            <w:sz w:val="16"/>
                          </w:rPr>
                          <w:t>36</w:t>
                        </w:r>
                      </w:p>
                    </w:tc>
                    <w:tc>
                      <w:tcPr>
                        <w:tcW w:w="881" w:type="dxa"/>
                      </w:tcPr>
                      <w:p>
                        <w:pPr>
                          <w:pStyle w:val="TableParagraph"/>
                          <w:spacing w:before="23"/>
                          <w:ind w:left="435"/>
                          <w:rPr>
                            <w:sz w:val="16"/>
                          </w:rPr>
                        </w:pPr>
                        <w:r>
                          <w:rPr>
                            <w:sz w:val="16"/>
                          </w:rPr>
                          <w:t>n.s.</w:t>
                        </w:r>
                      </w:p>
                    </w:tc>
                    <w:tc>
                      <w:tcPr>
                        <w:tcW w:w="727" w:type="dxa"/>
                      </w:tcPr>
                      <w:p>
                        <w:pPr>
                          <w:pStyle w:val="TableParagraph"/>
                          <w:spacing w:before="23"/>
                          <w:ind w:left="250"/>
                          <w:rPr>
                            <w:sz w:val="16"/>
                          </w:rPr>
                        </w:pPr>
                        <w:r>
                          <w:rPr>
                            <w:sz w:val="16"/>
                          </w:rPr>
                          <w:t>-0.4</w:t>
                        </w:r>
                      </w:p>
                    </w:tc>
                  </w:tr>
                  <w:tr>
                    <w:trPr>
                      <w:trHeight w:val="244" w:hRule="atLeast"/>
                    </w:trPr>
                    <w:tc>
                      <w:tcPr>
                        <w:tcW w:w="1088" w:type="dxa"/>
                      </w:tcPr>
                      <w:p>
                        <w:pPr>
                          <w:pStyle w:val="TableParagraph"/>
                          <w:spacing w:before="23"/>
                          <w:ind w:left="57"/>
                          <w:rPr>
                            <w:sz w:val="16"/>
                          </w:rPr>
                        </w:pPr>
                        <w:r>
                          <w:rPr>
                            <w:sz w:val="16"/>
                          </w:rPr>
                          <w:t>Malaysia</w:t>
                        </w:r>
                      </w:p>
                    </w:tc>
                    <w:tc>
                      <w:tcPr>
                        <w:tcW w:w="840" w:type="dxa"/>
                      </w:tcPr>
                      <w:p>
                        <w:pPr>
                          <w:pStyle w:val="TableParagraph"/>
                          <w:spacing w:before="23"/>
                          <w:ind w:right="94"/>
                          <w:jc w:val="right"/>
                          <w:rPr>
                            <w:sz w:val="16"/>
                          </w:rPr>
                        </w:pPr>
                        <w:r>
                          <w:rPr>
                            <w:sz w:val="16"/>
                          </w:rPr>
                          <w:t>21 661</w:t>
                        </w:r>
                      </w:p>
                    </w:tc>
                    <w:tc>
                      <w:tcPr>
                        <w:tcW w:w="840" w:type="dxa"/>
                      </w:tcPr>
                      <w:p>
                        <w:pPr>
                          <w:pStyle w:val="TableParagraph"/>
                          <w:spacing w:before="23"/>
                          <w:ind w:right="95"/>
                          <w:jc w:val="right"/>
                          <w:rPr>
                            <w:sz w:val="16"/>
                          </w:rPr>
                        </w:pPr>
                        <w:r>
                          <w:rPr>
                            <w:sz w:val="16"/>
                          </w:rPr>
                          <w:t>19 292</w:t>
                        </w:r>
                      </w:p>
                    </w:tc>
                    <w:tc>
                      <w:tcPr>
                        <w:tcW w:w="881" w:type="dxa"/>
                      </w:tcPr>
                      <w:p>
                        <w:pPr>
                          <w:pStyle w:val="TableParagraph"/>
                          <w:spacing w:before="23"/>
                          <w:ind w:left="366"/>
                          <w:rPr>
                            <w:sz w:val="16"/>
                          </w:rPr>
                        </w:pPr>
                        <w:r>
                          <w:rPr>
                            <w:sz w:val="16"/>
                          </w:rPr>
                          <w:t>-237</w:t>
                        </w:r>
                      </w:p>
                    </w:tc>
                    <w:tc>
                      <w:tcPr>
                        <w:tcW w:w="727" w:type="dxa"/>
                      </w:tcPr>
                      <w:p>
                        <w:pPr>
                          <w:pStyle w:val="TableParagraph"/>
                          <w:spacing w:before="23"/>
                          <w:ind w:left="251"/>
                          <w:rPr>
                            <w:sz w:val="16"/>
                          </w:rPr>
                        </w:pPr>
                        <w:r>
                          <w:rPr>
                            <w:sz w:val="16"/>
                          </w:rPr>
                          <w:t>-1.2</w:t>
                        </w:r>
                      </w:p>
                    </w:tc>
                  </w:tr>
                  <w:tr>
                    <w:trPr>
                      <w:trHeight w:val="244" w:hRule="atLeast"/>
                    </w:trPr>
                    <w:tc>
                      <w:tcPr>
                        <w:tcW w:w="1088" w:type="dxa"/>
                      </w:tcPr>
                      <w:p>
                        <w:pPr>
                          <w:pStyle w:val="TableParagraph"/>
                          <w:spacing w:before="23"/>
                          <w:ind w:left="57"/>
                          <w:rPr>
                            <w:sz w:val="16"/>
                          </w:rPr>
                        </w:pPr>
                        <w:r>
                          <w:rPr>
                            <w:sz w:val="16"/>
                          </w:rPr>
                          <w:t>Maldives</w:t>
                        </w:r>
                      </w:p>
                    </w:tc>
                    <w:tc>
                      <w:tcPr>
                        <w:tcW w:w="840" w:type="dxa"/>
                      </w:tcPr>
                      <w:p>
                        <w:pPr>
                          <w:pStyle w:val="TableParagraph"/>
                          <w:spacing w:before="23"/>
                          <w:ind w:right="95"/>
                          <w:jc w:val="right"/>
                          <w:rPr>
                            <w:sz w:val="16"/>
                          </w:rPr>
                        </w:pPr>
                        <w:r>
                          <w:rPr>
                            <w:w w:val="100"/>
                            <w:sz w:val="16"/>
                          </w:rPr>
                          <w:t>1</w:t>
                        </w:r>
                      </w:p>
                    </w:tc>
                    <w:tc>
                      <w:tcPr>
                        <w:tcW w:w="840" w:type="dxa"/>
                      </w:tcPr>
                      <w:p>
                        <w:pPr>
                          <w:pStyle w:val="TableParagraph"/>
                          <w:spacing w:before="23"/>
                          <w:ind w:right="95"/>
                          <w:jc w:val="right"/>
                          <w:rPr>
                            <w:sz w:val="16"/>
                          </w:rPr>
                        </w:pPr>
                        <w:r>
                          <w:rPr>
                            <w:w w:val="100"/>
                            <w:sz w:val="16"/>
                          </w:rPr>
                          <w:t>1</w:t>
                        </w:r>
                      </w:p>
                    </w:tc>
                    <w:tc>
                      <w:tcPr>
                        <w:tcW w:w="881" w:type="dxa"/>
                      </w:tcPr>
                      <w:p>
                        <w:pPr>
                          <w:pStyle w:val="TableParagraph"/>
                          <w:spacing w:before="23"/>
                          <w:ind w:left="435"/>
                          <w:rPr>
                            <w:sz w:val="16"/>
                          </w:rPr>
                        </w:pPr>
                        <w:r>
                          <w:rPr>
                            <w:sz w:val="16"/>
                          </w:rPr>
                          <w:t>n.s.</w:t>
                        </w:r>
                      </w:p>
                    </w:tc>
                    <w:tc>
                      <w:tcPr>
                        <w:tcW w:w="727" w:type="dxa"/>
                      </w:tcPr>
                      <w:p>
                        <w:pPr>
                          <w:pStyle w:val="TableParagraph"/>
                          <w:spacing w:before="23"/>
                          <w:ind w:left="282"/>
                          <w:rPr>
                            <w:sz w:val="16"/>
                          </w:rPr>
                        </w:pPr>
                        <w:r>
                          <w:rPr>
                            <w:sz w:val="16"/>
                          </w:rPr>
                          <w:t>n.s.</w:t>
                        </w:r>
                      </w:p>
                    </w:tc>
                  </w:tr>
                  <w:tr>
                    <w:trPr>
                      <w:trHeight w:val="388" w:hRule="atLeast"/>
                    </w:trPr>
                    <w:tc>
                      <w:tcPr>
                        <w:tcW w:w="1088" w:type="dxa"/>
                      </w:tcPr>
                      <w:p>
                        <w:pPr>
                          <w:pStyle w:val="TableParagraph"/>
                          <w:spacing w:before="95"/>
                          <w:ind w:left="57"/>
                          <w:rPr>
                            <w:sz w:val="16"/>
                          </w:rPr>
                        </w:pPr>
                        <w:r>
                          <w:rPr>
                            <w:sz w:val="16"/>
                          </w:rPr>
                          <w:t>Mongolia</w:t>
                        </w:r>
                      </w:p>
                    </w:tc>
                    <w:tc>
                      <w:tcPr>
                        <w:tcW w:w="840" w:type="dxa"/>
                      </w:tcPr>
                      <w:p>
                        <w:pPr>
                          <w:pStyle w:val="TableParagraph"/>
                          <w:spacing w:before="95"/>
                          <w:ind w:right="96"/>
                          <w:jc w:val="right"/>
                          <w:rPr>
                            <w:sz w:val="16"/>
                          </w:rPr>
                        </w:pPr>
                        <w:r>
                          <w:rPr>
                            <w:sz w:val="16"/>
                          </w:rPr>
                          <w:t>11 245</w:t>
                        </w:r>
                      </w:p>
                    </w:tc>
                    <w:tc>
                      <w:tcPr>
                        <w:tcW w:w="840" w:type="dxa"/>
                      </w:tcPr>
                      <w:p>
                        <w:pPr>
                          <w:pStyle w:val="TableParagraph"/>
                          <w:spacing w:before="95"/>
                          <w:ind w:right="96"/>
                          <w:jc w:val="right"/>
                          <w:rPr>
                            <w:sz w:val="16"/>
                          </w:rPr>
                        </w:pPr>
                        <w:r>
                          <w:rPr>
                            <w:sz w:val="16"/>
                          </w:rPr>
                          <w:t>10 645</w:t>
                        </w:r>
                      </w:p>
                    </w:tc>
                    <w:tc>
                      <w:tcPr>
                        <w:tcW w:w="881" w:type="dxa"/>
                      </w:tcPr>
                      <w:p>
                        <w:pPr>
                          <w:pStyle w:val="TableParagraph"/>
                          <w:spacing w:before="95"/>
                          <w:ind w:left="446"/>
                          <w:rPr>
                            <w:sz w:val="16"/>
                          </w:rPr>
                        </w:pPr>
                        <w:r>
                          <w:rPr>
                            <w:sz w:val="16"/>
                          </w:rPr>
                          <w:t>-60</w:t>
                        </w:r>
                      </w:p>
                    </w:tc>
                    <w:tc>
                      <w:tcPr>
                        <w:tcW w:w="727" w:type="dxa"/>
                      </w:tcPr>
                      <w:p>
                        <w:pPr>
                          <w:pStyle w:val="TableParagraph"/>
                          <w:spacing w:before="95"/>
                          <w:ind w:left="251"/>
                          <w:rPr>
                            <w:sz w:val="16"/>
                          </w:rPr>
                        </w:pPr>
                        <w:r>
                          <w:rPr>
                            <w:sz w:val="16"/>
                          </w:rPr>
                          <w:t>-0.5</w:t>
                        </w:r>
                      </w:p>
                    </w:tc>
                  </w:tr>
                  <w:tr>
                    <w:trPr>
                      <w:trHeight w:val="244" w:hRule="atLeast"/>
                    </w:trPr>
                    <w:tc>
                      <w:tcPr>
                        <w:tcW w:w="1088" w:type="dxa"/>
                      </w:tcPr>
                      <w:p>
                        <w:pPr>
                          <w:pStyle w:val="TableParagraph"/>
                          <w:spacing w:before="23"/>
                          <w:ind w:left="57"/>
                          <w:rPr>
                            <w:sz w:val="16"/>
                          </w:rPr>
                        </w:pPr>
                        <w:r>
                          <w:rPr>
                            <w:sz w:val="16"/>
                          </w:rPr>
                          <w:t>Myanmar</w:t>
                        </w:r>
                      </w:p>
                    </w:tc>
                    <w:tc>
                      <w:tcPr>
                        <w:tcW w:w="840" w:type="dxa"/>
                      </w:tcPr>
                      <w:p>
                        <w:pPr>
                          <w:pStyle w:val="TableParagraph"/>
                          <w:spacing w:before="23"/>
                          <w:ind w:right="95"/>
                          <w:jc w:val="right"/>
                          <w:rPr>
                            <w:sz w:val="16"/>
                          </w:rPr>
                        </w:pPr>
                        <w:r>
                          <w:rPr>
                            <w:sz w:val="16"/>
                          </w:rPr>
                          <w:t>39 588</w:t>
                        </w:r>
                      </w:p>
                    </w:tc>
                    <w:tc>
                      <w:tcPr>
                        <w:tcW w:w="840" w:type="dxa"/>
                      </w:tcPr>
                      <w:p>
                        <w:pPr>
                          <w:pStyle w:val="TableParagraph"/>
                          <w:spacing w:before="23"/>
                          <w:ind w:right="95"/>
                          <w:jc w:val="right"/>
                          <w:rPr>
                            <w:sz w:val="16"/>
                          </w:rPr>
                        </w:pPr>
                        <w:r>
                          <w:rPr>
                            <w:sz w:val="16"/>
                          </w:rPr>
                          <w:t>34 419</w:t>
                        </w:r>
                      </w:p>
                    </w:tc>
                    <w:tc>
                      <w:tcPr>
                        <w:tcW w:w="881" w:type="dxa"/>
                      </w:tcPr>
                      <w:p>
                        <w:pPr>
                          <w:pStyle w:val="TableParagraph"/>
                          <w:spacing w:before="23"/>
                          <w:ind w:left="366"/>
                          <w:rPr>
                            <w:sz w:val="16"/>
                          </w:rPr>
                        </w:pPr>
                        <w:r>
                          <w:rPr>
                            <w:sz w:val="16"/>
                          </w:rPr>
                          <w:t>-517</w:t>
                        </w:r>
                      </w:p>
                    </w:tc>
                    <w:tc>
                      <w:tcPr>
                        <w:tcW w:w="727" w:type="dxa"/>
                      </w:tcPr>
                      <w:p>
                        <w:pPr>
                          <w:pStyle w:val="TableParagraph"/>
                          <w:spacing w:before="23"/>
                          <w:ind w:left="250"/>
                          <w:rPr>
                            <w:sz w:val="16"/>
                          </w:rPr>
                        </w:pPr>
                        <w:r>
                          <w:rPr>
                            <w:sz w:val="16"/>
                          </w:rPr>
                          <w:t>-1.4</w:t>
                        </w:r>
                      </w:p>
                    </w:tc>
                  </w:tr>
                  <w:tr>
                    <w:trPr>
                      <w:trHeight w:val="388" w:hRule="atLeast"/>
                    </w:trPr>
                    <w:tc>
                      <w:tcPr>
                        <w:tcW w:w="1088" w:type="dxa"/>
                      </w:tcPr>
                      <w:p>
                        <w:pPr>
                          <w:pStyle w:val="TableParagraph"/>
                          <w:spacing w:before="95"/>
                          <w:ind w:left="57"/>
                          <w:rPr>
                            <w:sz w:val="16"/>
                          </w:rPr>
                        </w:pPr>
                        <w:r>
                          <w:rPr>
                            <w:sz w:val="16"/>
                          </w:rPr>
                          <w:t>Nepal</w:t>
                        </w:r>
                      </w:p>
                    </w:tc>
                    <w:tc>
                      <w:tcPr>
                        <w:tcW w:w="840" w:type="dxa"/>
                      </w:tcPr>
                      <w:p>
                        <w:pPr>
                          <w:pStyle w:val="TableParagraph"/>
                          <w:spacing w:before="95"/>
                          <w:ind w:right="95"/>
                          <w:jc w:val="right"/>
                          <w:rPr>
                            <w:sz w:val="16"/>
                          </w:rPr>
                        </w:pPr>
                        <w:r>
                          <w:rPr>
                            <w:sz w:val="16"/>
                          </w:rPr>
                          <w:t>4 683</w:t>
                        </w:r>
                      </w:p>
                    </w:tc>
                    <w:tc>
                      <w:tcPr>
                        <w:tcW w:w="840" w:type="dxa"/>
                      </w:tcPr>
                      <w:p>
                        <w:pPr>
                          <w:pStyle w:val="TableParagraph"/>
                          <w:spacing w:before="95"/>
                          <w:ind w:right="95"/>
                          <w:jc w:val="right"/>
                          <w:rPr>
                            <w:sz w:val="16"/>
                          </w:rPr>
                        </w:pPr>
                        <w:r>
                          <w:rPr>
                            <w:sz w:val="16"/>
                          </w:rPr>
                          <w:t>3 900</w:t>
                        </w:r>
                      </w:p>
                    </w:tc>
                    <w:tc>
                      <w:tcPr>
                        <w:tcW w:w="881" w:type="dxa"/>
                      </w:tcPr>
                      <w:p>
                        <w:pPr>
                          <w:pStyle w:val="TableParagraph"/>
                          <w:spacing w:before="95"/>
                          <w:ind w:left="445"/>
                          <w:rPr>
                            <w:sz w:val="16"/>
                          </w:rPr>
                        </w:pPr>
                        <w:r>
                          <w:rPr>
                            <w:sz w:val="16"/>
                          </w:rPr>
                          <w:t>-78</w:t>
                        </w:r>
                      </w:p>
                    </w:tc>
                    <w:tc>
                      <w:tcPr>
                        <w:tcW w:w="727" w:type="dxa"/>
                      </w:tcPr>
                      <w:p>
                        <w:pPr>
                          <w:pStyle w:val="TableParagraph"/>
                          <w:spacing w:before="95"/>
                          <w:ind w:left="250"/>
                          <w:rPr>
                            <w:sz w:val="16"/>
                          </w:rPr>
                        </w:pPr>
                        <w:r>
                          <w:rPr>
                            <w:sz w:val="16"/>
                          </w:rPr>
                          <w:t>-1.8</w:t>
                        </w:r>
                      </w:p>
                    </w:tc>
                  </w:tr>
                  <w:tr>
                    <w:trPr>
                      <w:trHeight w:val="244" w:hRule="atLeast"/>
                    </w:trPr>
                    <w:tc>
                      <w:tcPr>
                        <w:tcW w:w="1088" w:type="dxa"/>
                      </w:tcPr>
                      <w:p>
                        <w:pPr>
                          <w:pStyle w:val="TableParagraph"/>
                          <w:spacing w:before="23"/>
                          <w:ind w:left="57"/>
                          <w:rPr>
                            <w:sz w:val="16"/>
                          </w:rPr>
                        </w:pPr>
                        <w:r>
                          <w:rPr>
                            <w:sz w:val="16"/>
                          </w:rPr>
                          <w:t>Oman</w:t>
                        </w:r>
                      </w:p>
                    </w:tc>
                    <w:tc>
                      <w:tcPr>
                        <w:tcW w:w="840" w:type="dxa"/>
                      </w:tcPr>
                      <w:p>
                        <w:pPr>
                          <w:pStyle w:val="TableParagraph"/>
                          <w:spacing w:before="23"/>
                          <w:ind w:right="95"/>
                          <w:jc w:val="right"/>
                          <w:rPr>
                            <w:sz w:val="16"/>
                          </w:rPr>
                        </w:pPr>
                        <w:r>
                          <w:rPr>
                            <w:w w:val="100"/>
                            <w:sz w:val="16"/>
                          </w:rPr>
                          <w:t>1</w:t>
                        </w:r>
                      </w:p>
                    </w:tc>
                    <w:tc>
                      <w:tcPr>
                        <w:tcW w:w="840" w:type="dxa"/>
                      </w:tcPr>
                      <w:p>
                        <w:pPr>
                          <w:pStyle w:val="TableParagraph"/>
                          <w:spacing w:before="23"/>
                          <w:ind w:right="95"/>
                          <w:jc w:val="right"/>
                          <w:rPr>
                            <w:sz w:val="16"/>
                          </w:rPr>
                        </w:pPr>
                        <w:r>
                          <w:rPr>
                            <w:w w:val="100"/>
                            <w:sz w:val="16"/>
                          </w:rPr>
                          <w:t>1</w:t>
                        </w:r>
                      </w:p>
                    </w:tc>
                    <w:tc>
                      <w:tcPr>
                        <w:tcW w:w="881" w:type="dxa"/>
                      </w:tcPr>
                      <w:p>
                        <w:pPr>
                          <w:pStyle w:val="TableParagraph"/>
                          <w:spacing w:before="23"/>
                          <w:ind w:left="435"/>
                          <w:rPr>
                            <w:sz w:val="16"/>
                          </w:rPr>
                        </w:pPr>
                        <w:r>
                          <w:rPr>
                            <w:sz w:val="16"/>
                          </w:rPr>
                          <w:t>n.s.</w:t>
                        </w:r>
                      </w:p>
                    </w:tc>
                    <w:tc>
                      <w:tcPr>
                        <w:tcW w:w="727" w:type="dxa"/>
                      </w:tcPr>
                      <w:p>
                        <w:pPr>
                          <w:pStyle w:val="TableParagraph"/>
                          <w:spacing w:before="23"/>
                          <w:ind w:left="306"/>
                          <w:rPr>
                            <w:sz w:val="16"/>
                          </w:rPr>
                        </w:pPr>
                        <w:r>
                          <w:rPr>
                            <w:sz w:val="16"/>
                          </w:rPr>
                          <w:t>5.3</w:t>
                        </w:r>
                      </w:p>
                    </w:tc>
                  </w:tr>
                  <w:tr>
                    <w:trPr>
                      <w:trHeight w:val="386" w:hRule="atLeast"/>
                    </w:trPr>
                    <w:tc>
                      <w:tcPr>
                        <w:tcW w:w="1088" w:type="dxa"/>
                      </w:tcPr>
                      <w:p>
                        <w:pPr>
                          <w:pStyle w:val="TableParagraph"/>
                          <w:spacing w:before="95"/>
                          <w:ind w:left="57"/>
                          <w:rPr>
                            <w:sz w:val="16"/>
                          </w:rPr>
                        </w:pPr>
                        <w:r>
                          <w:rPr>
                            <w:sz w:val="16"/>
                          </w:rPr>
                          <w:t>Pakistan</w:t>
                        </w:r>
                      </w:p>
                    </w:tc>
                    <w:tc>
                      <w:tcPr>
                        <w:tcW w:w="840" w:type="dxa"/>
                      </w:tcPr>
                      <w:p>
                        <w:pPr>
                          <w:pStyle w:val="TableParagraph"/>
                          <w:spacing w:before="95"/>
                          <w:ind w:right="95"/>
                          <w:jc w:val="right"/>
                          <w:rPr>
                            <w:sz w:val="16"/>
                          </w:rPr>
                        </w:pPr>
                        <w:r>
                          <w:rPr>
                            <w:sz w:val="16"/>
                          </w:rPr>
                          <w:t>2 755</w:t>
                        </w:r>
                      </w:p>
                    </w:tc>
                    <w:tc>
                      <w:tcPr>
                        <w:tcW w:w="840" w:type="dxa"/>
                      </w:tcPr>
                      <w:p>
                        <w:pPr>
                          <w:pStyle w:val="TableParagraph"/>
                          <w:spacing w:before="95"/>
                          <w:ind w:right="95"/>
                          <w:jc w:val="right"/>
                          <w:rPr>
                            <w:sz w:val="16"/>
                          </w:rPr>
                        </w:pPr>
                        <w:r>
                          <w:rPr>
                            <w:sz w:val="16"/>
                          </w:rPr>
                          <w:t>2 361</w:t>
                        </w:r>
                      </w:p>
                    </w:tc>
                    <w:tc>
                      <w:tcPr>
                        <w:tcW w:w="881" w:type="dxa"/>
                      </w:tcPr>
                      <w:p>
                        <w:pPr>
                          <w:pStyle w:val="TableParagraph"/>
                          <w:spacing w:before="95"/>
                          <w:ind w:left="445"/>
                          <w:rPr>
                            <w:sz w:val="16"/>
                          </w:rPr>
                        </w:pPr>
                        <w:r>
                          <w:rPr>
                            <w:sz w:val="16"/>
                          </w:rPr>
                          <w:t>-39</w:t>
                        </w:r>
                      </w:p>
                    </w:tc>
                    <w:tc>
                      <w:tcPr>
                        <w:tcW w:w="727" w:type="dxa"/>
                      </w:tcPr>
                      <w:p>
                        <w:pPr>
                          <w:pStyle w:val="TableParagraph"/>
                          <w:spacing w:before="95"/>
                          <w:ind w:left="250"/>
                          <w:rPr>
                            <w:sz w:val="16"/>
                          </w:rPr>
                        </w:pPr>
                        <w:r>
                          <w:rPr>
                            <w:sz w:val="16"/>
                          </w:rPr>
                          <w:t>-1.5</w:t>
                        </w:r>
                      </w:p>
                    </w:tc>
                  </w:tr>
                  <w:tr>
                    <w:trPr>
                      <w:trHeight w:val="244" w:hRule="atLeast"/>
                    </w:trPr>
                    <w:tc>
                      <w:tcPr>
                        <w:tcW w:w="1088" w:type="dxa"/>
                      </w:tcPr>
                      <w:p>
                        <w:pPr>
                          <w:pStyle w:val="TableParagraph"/>
                          <w:spacing w:before="23"/>
                          <w:ind w:left="57"/>
                          <w:rPr>
                            <w:sz w:val="16"/>
                          </w:rPr>
                        </w:pPr>
                        <w:r>
                          <w:rPr>
                            <w:sz w:val="16"/>
                          </w:rPr>
                          <w:t>Philippines</w:t>
                        </w:r>
                      </w:p>
                    </w:tc>
                    <w:tc>
                      <w:tcPr>
                        <w:tcW w:w="840" w:type="dxa"/>
                      </w:tcPr>
                      <w:p>
                        <w:pPr>
                          <w:pStyle w:val="TableParagraph"/>
                          <w:spacing w:before="23"/>
                          <w:ind w:right="95"/>
                          <w:jc w:val="right"/>
                          <w:rPr>
                            <w:sz w:val="16"/>
                          </w:rPr>
                        </w:pPr>
                        <w:r>
                          <w:rPr>
                            <w:sz w:val="16"/>
                          </w:rPr>
                          <w:t>6 676</w:t>
                        </w:r>
                      </w:p>
                    </w:tc>
                    <w:tc>
                      <w:tcPr>
                        <w:tcW w:w="840" w:type="dxa"/>
                      </w:tcPr>
                      <w:p>
                        <w:pPr>
                          <w:pStyle w:val="TableParagraph"/>
                          <w:spacing w:before="23"/>
                          <w:ind w:right="96"/>
                          <w:jc w:val="right"/>
                          <w:rPr>
                            <w:sz w:val="16"/>
                          </w:rPr>
                        </w:pPr>
                        <w:r>
                          <w:rPr>
                            <w:sz w:val="16"/>
                          </w:rPr>
                          <w:t>5 789</w:t>
                        </w:r>
                      </w:p>
                    </w:tc>
                    <w:tc>
                      <w:tcPr>
                        <w:tcW w:w="881" w:type="dxa"/>
                      </w:tcPr>
                      <w:p>
                        <w:pPr>
                          <w:pStyle w:val="TableParagraph"/>
                          <w:spacing w:before="23"/>
                          <w:ind w:left="444"/>
                          <w:rPr>
                            <w:sz w:val="16"/>
                          </w:rPr>
                        </w:pPr>
                        <w:r>
                          <w:rPr>
                            <w:sz w:val="16"/>
                          </w:rPr>
                          <w:t>-89</w:t>
                        </w:r>
                      </w:p>
                    </w:tc>
                    <w:tc>
                      <w:tcPr>
                        <w:tcW w:w="727" w:type="dxa"/>
                      </w:tcPr>
                      <w:p>
                        <w:pPr>
                          <w:pStyle w:val="TableParagraph"/>
                          <w:spacing w:before="23"/>
                          <w:ind w:left="250"/>
                          <w:rPr>
                            <w:sz w:val="16"/>
                          </w:rPr>
                        </w:pPr>
                        <w:r>
                          <w:rPr>
                            <w:sz w:val="16"/>
                          </w:rPr>
                          <w:t>-1.4</w:t>
                        </w:r>
                      </w:p>
                    </w:tc>
                  </w:tr>
                  <w:tr>
                    <w:trPr>
                      <w:trHeight w:val="246" w:hRule="atLeast"/>
                    </w:trPr>
                    <w:tc>
                      <w:tcPr>
                        <w:tcW w:w="1088" w:type="dxa"/>
                      </w:tcPr>
                      <w:p>
                        <w:pPr>
                          <w:pStyle w:val="TableParagraph"/>
                          <w:spacing w:before="23"/>
                          <w:ind w:left="57"/>
                          <w:rPr>
                            <w:sz w:val="16"/>
                          </w:rPr>
                        </w:pPr>
                        <w:r>
                          <w:rPr>
                            <w:sz w:val="16"/>
                          </w:rPr>
                          <w:t>Qatar</w:t>
                        </w:r>
                      </w:p>
                    </w:tc>
                    <w:tc>
                      <w:tcPr>
                        <w:tcW w:w="840" w:type="dxa"/>
                      </w:tcPr>
                      <w:p>
                        <w:pPr>
                          <w:pStyle w:val="TableParagraph"/>
                          <w:spacing w:before="23"/>
                          <w:ind w:right="93"/>
                          <w:jc w:val="right"/>
                          <w:rPr>
                            <w:sz w:val="16"/>
                          </w:rPr>
                        </w:pPr>
                        <w:r>
                          <w:rPr>
                            <w:sz w:val="16"/>
                          </w:rPr>
                          <w:t>n.s.</w:t>
                        </w:r>
                      </w:p>
                    </w:tc>
                    <w:tc>
                      <w:tcPr>
                        <w:tcW w:w="840" w:type="dxa"/>
                      </w:tcPr>
                      <w:p>
                        <w:pPr>
                          <w:pStyle w:val="TableParagraph"/>
                          <w:spacing w:before="23"/>
                          <w:ind w:right="94"/>
                          <w:jc w:val="right"/>
                          <w:rPr>
                            <w:sz w:val="16"/>
                          </w:rPr>
                        </w:pPr>
                        <w:r>
                          <w:rPr>
                            <w:w w:val="100"/>
                            <w:sz w:val="16"/>
                          </w:rPr>
                          <w:t>1</w:t>
                        </w:r>
                      </w:p>
                    </w:tc>
                    <w:tc>
                      <w:tcPr>
                        <w:tcW w:w="881" w:type="dxa"/>
                      </w:tcPr>
                      <w:p>
                        <w:pPr>
                          <w:pStyle w:val="TableParagraph"/>
                          <w:spacing w:before="23"/>
                          <w:ind w:left="436"/>
                          <w:rPr>
                            <w:sz w:val="16"/>
                          </w:rPr>
                        </w:pPr>
                        <w:r>
                          <w:rPr>
                            <w:sz w:val="16"/>
                          </w:rPr>
                          <w:t>n.s.</w:t>
                        </w:r>
                      </w:p>
                    </w:tc>
                    <w:tc>
                      <w:tcPr>
                        <w:tcW w:w="727" w:type="dxa"/>
                      </w:tcPr>
                      <w:p>
                        <w:pPr>
                          <w:pStyle w:val="TableParagraph"/>
                          <w:spacing w:before="23"/>
                          <w:ind w:left="307"/>
                          <w:rPr>
                            <w:sz w:val="16"/>
                          </w:rPr>
                        </w:pPr>
                        <w:r>
                          <w:rPr>
                            <w:sz w:val="16"/>
                          </w:rPr>
                          <w:t>9.6</w:t>
                        </w:r>
                      </w:p>
                    </w:tc>
                  </w:tr>
                  <w:tr>
                    <w:trPr>
                      <w:trHeight w:val="784" w:hRule="atLeast"/>
                    </w:trPr>
                    <w:tc>
                      <w:tcPr>
                        <w:tcW w:w="4376" w:type="dxa"/>
                        <w:gridSpan w:val="5"/>
                      </w:tcPr>
                      <w:p>
                        <w:pPr>
                          <w:pStyle w:val="TableParagraph"/>
                          <w:spacing w:line="183" w:lineRule="exact" w:before="35"/>
                          <w:ind w:left="57"/>
                          <w:rPr>
                            <w:sz w:val="16"/>
                          </w:rPr>
                        </w:pPr>
                        <w:r>
                          <w:rPr>
                            <w:sz w:val="16"/>
                          </w:rPr>
                          <w:t>n.s. - not specified</w:t>
                        </w:r>
                      </w:p>
                      <w:p>
                        <w:pPr>
                          <w:pStyle w:val="TableParagraph"/>
                          <w:spacing w:line="183" w:lineRule="exact"/>
                          <w:ind w:left="57"/>
                          <w:rPr>
                            <w:sz w:val="16"/>
                          </w:rPr>
                        </w:pPr>
                        <w:r>
                          <w:rPr>
                            <w:sz w:val="16"/>
                          </w:rPr>
                          <w:t>Source: FRA 2000 and Working Paper 59, FRA Programme,</w:t>
                        </w:r>
                      </w:p>
                      <w:p>
                        <w:pPr>
                          <w:pStyle w:val="TableParagraph"/>
                          <w:spacing w:line="182" w:lineRule="exact" w:before="5"/>
                          <w:ind w:left="57" w:right="1284"/>
                          <w:rPr>
                            <w:sz w:val="16"/>
                          </w:rPr>
                        </w:pPr>
                        <w:r>
                          <w:rPr>
                            <w:sz w:val="16"/>
                          </w:rPr>
                          <w:t>Forestry Department of FAO, Rome 2001, 69p </w:t>
                        </w:r>
                        <w:hyperlink r:id="rId188">
                          <w:r>
                            <w:rPr>
                              <w:sz w:val="16"/>
                            </w:rPr>
                            <w:t>(www</w:t>
                          </w:r>
                        </w:hyperlink>
                        <w:r>
                          <w:rPr>
                            <w:sz w:val="16"/>
                          </w:rPr>
                          <w:t>.</w:t>
                        </w:r>
                        <w:hyperlink r:id="rId188">
                          <w:r>
                            <w:rPr>
                              <w:sz w:val="16"/>
                            </w:rPr>
                            <w:t>fao.org/forestry/fo/fra/index.jsp)</w:t>
                          </w:r>
                        </w:hyperlink>
                      </w:p>
                    </w:tc>
                  </w:tr>
                </w:tbl>
                <w:p>
                  <w:pPr>
                    <w:pStyle w:val="BodyText"/>
                  </w:pPr>
                </w:p>
              </w:txbxContent>
            </v:textbox>
          </v:shape>
        </w:pict>
      </w:r>
      <w:r>
        <w:rPr/>
      </w:r>
      <w:r>
        <w:rPr>
          <w:spacing w:val="36"/>
        </w:rPr>
        <w:t> </w:t>
      </w:r>
      <w:r>
        <w:rPr>
          <w:spacing w:val="36"/>
        </w:rPr>
        <w:pict>
          <v:shape style="width:225.75pt;height:690.85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4"/>
                    <w:gridCol w:w="881"/>
                    <w:gridCol w:w="840"/>
                    <w:gridCol w:w="883"/>
                    <w:gridCol w:w="792"/>
                  </w:tblGrid>
                  <w:tr>
                    <w:trPr>
                      <w:trHeight w:val="697" w:hRule="atLeast"/>
                    </w:trPr>
                    <w:tc>
                      <w:tcPr>
                        <w:tcW w:w="4500" w:type="dxa"/>
                        <w:gridSpan w:val="5"/>
                        <w:tcBorders>
                          <w:bottom w:val="double" w:sz="1" w:space="0" w:color="000000"/>
                        </w:tcBorders>
                      </w:tcPr>
                      <w:p>
                        <w:pPr>
                          <w:pStyle w:val="TableParagraph"/>
                          <w:spacing w:before="28"/>
                          <w:ind w:left="1194" w:right="1183"/>
                          <w:jc w:val="center"/>
                          <w:rPr>
                            <w:b/>
                            <w:sz w:val="14"/>
                          </w:rPr>
                        </w:pPr>
                        <w:r>
                          <w:rPr>
                            <w:b/>
                            <w:sz w:val="18"/>
                          </w:rPr>
                          <w:t>T</w:t>
                        </w:r>
                        <w:r>
                          <w:rPr>
                            <w:b/>
                            <w:sz w:val="14"/>
                          </w:rPr>
                          <w:t>ABLE </w:t>
                        </w:r>
                        <w:r>
                          <w:rPr>
                            <w:b/>
                            <w:sz w:val="18"/>
                          </w:rPr>
                          <w:t>3A.1.1 (C</w:t>
                        </w:r>
                        <w:r>
                          <w:rPr>
                            <w:b/>
                            <w:sz w:val="14"/>
                          </w:rPr>
                          <w:t>ONTINUED</w:t>
                        </w:r>
                        <w:r>
                          <w:rPr>
                            <w:b/>
                            <w:sz w:val="18"/>
                          </w:rPr>
                          <w:t>) F</w:t>
                        </w:r>
                        <w:r>
                          <w:rPr>
                            <w:b/>
                            <w:sz w:val="14"/>
                          </w:rPr>
                          <w:t>OREST AREA CHANGE</w:t>
                        </w:r>
                      </w:p>
                      <w:p>
                        <w:pPr>
                          <w:pStyle w:val="TableParagraph"/>
                          <w:spacing w:line="201" w:lineRule="exact"/>
                          <w:ind w:left="322" w:right="314"/>
                          <w:jc w:val="center"/>
                          <w:rPr>
                            <w:sz w:val="18"/>
                          </w:rPr>
                        </w:pPr>
                        <w:r>
                          <w:rPr>
                            <w:sz w:val="18"/>
                          </w:rPr>
                          <w:t>(To be used for verification of ‘A’ in Equation 3.2.4)</w:t>
                        </w:r>
                      </w:p>
                    </w:tc>
                  </w:tr>
                  <w:tr>
                    <w:trPr>
                      <w:trHeight w:val="253" w:hRule="atLeast"/>
                    </w:trPr>
                    <w:tc>
                      <w:tcPr>
                        <w:tcW w:w="4500" w:type="dxa"/>
                        <w:gridSpan w:val="5"/>
                        <w:tcBorders>
                          <w:top w:val="double" w:sz="1" w:space="0" w:color="000000"/>
                        </w:tcBorders>
                      </w:tcPr>
                      <w:p>
                        <w:pPr>
                          <w:pStyle w:val="TableParagraph"/>
                          <w:spacing w:before="23"/>
                          <w:ind w:left="57"/>
                          <w:rPr>
                            <w:b/>
                            <w:sz w:val="18"/>
                          </w:rPr>
                        </w:pPr>
                        <w:r>
                          <w:rPr>
                            <w:b/>
                            <w:sz w:val="18"/>
                          </w:rPr>
                          <w:t>b. ASIA (Continued)</w:t>
                        </w:r>
                      </w:p>
                    </w:tc>
                  </w:tr>
                  <w:tr>
                    <w:trPr>
                      <w:trHeight w:val="385" w:hRule="atLeast"/>
                    </w:trPr>
                    <w:tc>
                      <w:tcPr>
                        <w:tcW w:w="1104" w:type="dxa"/>
                        <w:tcBorders>
                          <w:right w:val="single" w:sz="6" w:space="0" w:color="000000"/>
                        </w:tcBorders>
                      </w:tcPr>
                      <w:p>
                        <w:pPr>
                          <w:pStyle w:val="TableParagraph"/>
                          <w:spacing w:before="97"/>
                          <w:ind w:left="57"/>
                          <w:rPr>
                            <w:b/>
                            <w:sz w:val="16"/>
                          </w:rPr>
                        </w:pPr>
                        <w:r>
                          <w:rPr>
                            <w:b/>
                            <w:sz w:val="16"/>
                          </w:rPr>
                          <w:t>Country</w:t>
                        </w:r>
                      </w:p>
                    </w:tc>
                    <w:tc>
                      <w:tcPr>
                        <w:tcW w:w="1721" w:type="dxa"/>
                        <w:gridSpan w:val="2"/>
                        <w:tcBorders>
                          <w:left w:val="single" w:sz="6" w:space="0" w:color="000000"/>
                        </w:tcBorders>
                      </w:tcPr>
                      <w:p>
                        <w:pPr>
                          <w:pStyle w:val="TableParagraph"/>
                          <w:spacing w:before="97"/>
                          <w:ind w:left="249"/>
                          <w:rPr>
                            <w:b/>
                            <w:sz w:val="16"/>
                          </w:rPr>
                        </w:pPr>
                        <w:r>
                          <w:rPr>
                            <w:b/>
                            <w:sz w:val="16"/>
                          </w:rPr>
                          <w:t>Total Forest Area</w:t>
                        </w:r>
                      </w:p>
                    </w:tc>
                    <w:tc>
                      <w:tcPr>
                        <w:tcW w:w="1675" w:type="dxa"/>
                        <w:gridSpan w:val="2"/>
                      </w:tcPr>
                      <w:p>
                        <w:pPr>
                          <w:pStyle w:val="TableParagraph"/>
                          <w:spacing w:line="180" w:lineRule="atLeast" w:before="6"/>
                          <w:ind w:left="489" w:right="137" w:hanging="344"/>
                          <w:rPr>
                            <w:b/>
                            <w:sz w:val="16"/>
                          </w:rPr>
                        </w:pPr>
                        <w:r>
                          <w:rPr>
                            <w:b/>
                            <w:sz w:val="16"/>
                          </w:rPr>
                          <w:t>Forest Area Change 1990-2000</w:t>
                        </w:r>
                      </w:p>
                    </w:tc>
                  </w:tr>
                  <w:tr>
                    <w:trPr>
                      <w:trHeight w:val="388" w:hRule="atLeast"/>
                    </w:trPr>
                    <w:tc>
                      <w:tcPr>
                        <w:tcW w:w="1104" w:type="dxa"/>
                      </w:tcPr>
                      <w:p>
                        <w:pPr>
                          <w:pStyle w:val="TableParagraph"/>
                          <w:rPr>
                            <w:sz w:val="16"/>
                          </w:rPr>
                        </w:pPr>
                      </w:p>
                    </w:tc>
                    <w:tc>
                      <w:tcPr>
                        <w:tcW w:w="881" w:type="dxa"/>
                      </w:tcPr>
                      <w:p>
                        <w:pPr>
                          <w:pStyle w:val="TableParagraph"/>
                          <w:spacing w:before="97"/>
                          <w:ind w:left="278"/>
                          <w:rPr>
                            <w:b/>
                            <w:sz w:val="16"/>
                          </w:rPr>
                        </w:pPr>
                        <w:r>
                          <w:rPr>
                            <w:b/>
                            <w:sz w:val="16"/>
                          </w:rPr>
                          <w:t>1990</w:t>
                        </w:r>
                      </w:p>
                    </w:tc>
                    <w:tc>
                      <w:tcPr>
                        <w:tcW w:w="840" w:type="dxa"/>
                      </w:tcPr>
                      <w:p>
                        <w:pPr>
                          <w:pStyle w:val="TableParagraph"/>
                          <w:spacing w:before="97"/>
                          <w:ind w:left="258"/>
                          <w:rPr>
                            <w:b/>
                            <w:sz w:val="16"/>
                          </w:rPr>
                        </w:pPr>
                        <w:r>
                          <w:rPr>
                            <w:b/>
                            <w:sz w:val="16"/>
                          </w:rPr>
                          <w:t>2000</w:t>
                        </w:r>
                      </w:p>
                    </w:tc>
                    <w:tc>
                      <w:tcPr>
                        <w:tcW w:w="883" w:type="dxa"/>
                      </w:tcPr>
                      <w:p>
                        <w:pPr>
                          <w:pStyle w:val="TableParagraph"/>
                          <w:spacing w:line="180" w:lineRule="atLeast" w:before="6"/>
                          <w:ind w:left="174" w:right="154" w:firstLine="9"/>
                          <w:rPr>
                            <w:b/>
                            <w:sz w:val="16"/>
                          </w:rPr>
                        </w:pPr>
                        <w:r>
                          <w:rPr>
                            <w:b/>
                            <w:sz w:val="16"/>
                          </w:rPr>
                          <w:t>Annual Change</w:t>
                        </w:r>
                      </w:p>
                    </w:tc>
                    <w:tc>
                      <w:tcPr>
                        <w:tcW w:w="792" w:type="dxa"/>
                      </w:tcPr>
                      <w:p>
                        <w:pPr>
                          <w:pStyle w:val="TableParagraph"/>
                          <w:spacing w:line="180" w:lineRule="atLeast" w:before="6"/>
                          <w:ind w:left="234" w:right="104" w:hanging="101"/>
                          <w:rPr>
                            <w:b/>
                            <w:sz w:val="16"/>
                          </w:rPr>
                        </w:pPr>
                        <w:r>
                          <w:rPr>
                            <w:b/>
                            <w:sz w:val="16"/>
                          </w:rPr>
                          <w:t>Change Rate</w:t>
                        </w:r>
                      </w:p>
                    </w:tc>
                  </w:tr>
                  <w:tr>
                    <w:trPr>
                      <w:trHeight w:val="273" w:hRule="atLeast"/>
                    </w:trPr>
                    <w:tc>
                      <w:tcPr>
                        <w:tcW w:w="1104" w:type="dxa"/>
                      </w:tcPr>
                      <w:p>
                        <w:pPr>
                          <w:pStyle w:val="TableParagraph"/>
                          <w:rPr>
                            <w:sz w:val="16"/>
                          </w:rPr>
                        </w:pPr>
                      </w:p>
                    </w:tc>
                    <w:tc>
                      <w:tcPr>
                        <w:tcW w:w="881" w:type="dxa"/>
                      </w:tcPr>
                      <w:p>
                        <w:pPr>
                          <w:pStyle w:val="TableParagraph"/>
                          <w:spacing w:before="40"/>
                          <w:ind w:left="213"/>
                          <w:rPr>
                            <w:b/>
                            <w:sz w:val="16"/>
                          </w:rPr>
                        </w:pPr>
                        <w:r>
                          <w:rPr>
                            <w:b/>
                            <w:sz w:val="16"/>
                          </w:rPr>
                          <w:t>000 ha</w:t>
                        </w:r>
                      </w:p>
                    </w:tc>
                    <w:tc>
                      <w:tcPr>
                        <w:tcW w:w="840" w:type="dxa"/>
                      </w:tcPr>
                      <w:p>
                        <w:pPr>
                          <w:pStyle w:val="TableParagraph"/>
                          <w:spacing w:before="40"/>
                          <w:ind w:left="193"/>
                          <w:rPr>
                            <w:b/>
                            <w:sz w:val="16"/>
                          </w:rPr>
                        </w:pPr>
                        <w:r>
                          <w:rPr>
                            <w:b/>
                            <w:sz w:val="16"/>
                          </w:rPr>
                          <w:t>000 ha</w:t>
                        </w:r>
                      </w:p>
                    </w:tc>
                    <w:tc>
                      <w:tcPr>
                        <w:tcW w:w="883" w:type="dxa"/>
                      </w:tcPr>
                      <w:p>
                        <w:pPr>
                          <w:pStyle w:val="TableParagraph"/>
                          <w:spacing w:before="40"/>
                          <w:ind w:right="89"/>
                          <w:jc w:val="right"/>
                          <w:rPr>
                            <w:b/>
                            <w:sz w:val="16"/>
                          </w:rPr>
                        </w:pPr>
                        <w:r>
                          <w:rPr>
                            <w:b/>
                            <w:sz w:val="16"/>
                          </w:rPr>
                          <w:t>000 ha /yr</w:t>
                        </w:r>
                      </w:p>
                    </w:tc>
                    <w:tc>
                      <w:tcPr>
                        <w:tcW w:w="792" w:type="dxa"/>
                      </w:tcPr>
                      <w:p>
                        <w:pPr>
                          <w:pStyle w:val="TableParagraph"/>
                          <w:spacing w:before="40"/>
                          <w:ind w:right="166"/>
                          <w:jc w:val="right"/>
                          <w:rPr>
                            <w:b/>
                            <w:sz w:val="16"/>
                          </w:rPr>
                        </w:pPr>
                        <w:r>
                          <w:rPr>
                            <w:b/>
                            <w:sz w:val="16"/>
                          </w:rPr>
                          <w:t>% / yr</w:t>
                        </w:r>
                      </w:p>
                    </w:tc>
                  </w:tr>
                  <w:tr>
                    <w:trPr>
                      <w:trHeight w:val="388" w:hRule="atLeast"/>
                    </w:trPr>
                    <w:tc>
                      <w:tcPr>
                        <w:tcW w:w="1104" w:type="dxa"/>
                      </w:tcPr>
                      <w:p>
                        <w:pPr>
                          <w:pStyle w:val="TableParagraph"/>
                          <w:spacing w:line="180" w:lineRule="atLeast" w:before="4"/>
                          <w:ind w:left="57" w:right="266"/>
                          <w:rPr>
                            <w:sz w:val="16"/>
                          </w:rPr>
                        </w:pPr>
                        <w:r>
                          <w:rPr>
                            <w:sz w:val="16"/>
                          </w:rPr>
                          <w:t>Republic of Korea</w:t>
                        </w:r>
                      </w:p>
                    </w:tc>
                    <w:tc>
                      <w:tcPr>
                        <w:tcW w:w="881" w:type="dxa"/>
                      </w:tcPr>
                      <w:p>
                        <w:pPr>
                          <w:pStyle w:val="TableParagraph"/>
                          <w:spacing w:before="95"/>
                          <w:ind w:right="97"/>
                          <w:jc w:val="right"/>
                          <w:rPr>
                            <w:sz w:val="16"/>
                          </w:rPr>
                        </w:pPr>
                        <w:r>
                          <w:rPr>
                            <w:sz w:val="16"/>
                          </w:rPr>
                          <w:t>6 299</w:t>
                        </w:r>
                      </w:p>
                    </w:tc>
                    <w:tc>
                      <w:tcPr>
                        <w:tcW w:w="840" w:type="dxa"/>
                      </w:tcPr>
                      <w:p>
                        <w:pPr>
                          <w:pStyle w:val="TableParagraph"/>
                          <w:spacing w:before="95"/>
                          <w:ind w:right="97"/>
                          <w:jc w:val="right"/>
                          <w:rPr>
                            <w:sz w:val="16"/>
                          </w:rPr>
                        </w:pPr>
                        <w:r>
                          <w:rPr>
                            <w:sz w:val="16"/>
                          </w:rPr>
                          <w:t>6 248</w:t>
                        </w:r>
                      </w:p>
                    </w:tc>
                    <w:tc>
                      <w:tcPr>
                        <w:tcW w:w="883" w:type="dxa"/>
                      </w:tcPr>
                      <w:p>
                        <w:pPr>
                          <w:pStyle w:val="TableParagraph"/>
                          <w:spacing w:before="95"/>
                          <w:ind w:left="524"/>
                          <w:rPr>
                            <w:sz w:val="16"/>
                          </w:rPr>
                        </w:pPr>
                        <w:r>
                          <w:rPr>
                            <w:sz w:val="16"/>
                          </w:rPr>
                          <w:t>-5</w:t>
                        </w:r>
                      </w:p>
                    </w:tc>
                    <w:tc>
                      <w:tcPr>
                        <w:tcW w:w="792" w:type="dxa"/>
                      </w:tcPr>
                      <w:p>
                        <w:pPr>
                          <w:pStyle w:val="TableParagraph"/>
                          <w:spacing w:before="95"/>
                          <w:ind w:right="208"/>
                          <w:jc w:val="right"/>
                          <w:rPr>
                            <w:sz w:val="16"/>
                          </w:rPr>
                        </w:pPr>
                        <w:r>
                          <w:rPr>
                            <w:sz w:val="16"/>
                          </w:rPr>
                          <w:t>-0.1</w:t>
                        </w:r>
                      </w:p>
                    </w:tc>
                  </w:tr>
                  <w:tr>
                    <w:trPr>
                      <w:trHeight w:val="244" w:hRule="atLeast"/>
                    </w:trPr>
                    <w:tc>
                      <w:tcPr>
                        <w:tcW w:w="1104" w:type="dxa"/>
                      </w:tcPr>
                      <w:p>
                        <w:pPr>
                          <w:pStyle w:val="TableParagraph"/>
                          <w:spacing w:before="23"/>
                          <w:ind w:left="57"/>
                          <w:rPr>
                            <w:sz w:val="16"/>
                          </w:rPr>
                        </w:pPr>
                        <w:r>
                          <w:rPr>
                            <w:sz w:val="16"/>
                          </w:rPr>
                          <w:t>Saudi Arabia</w:t>
                        </w:r>
                      </w:p>
                    </w:tc>
                    <w:tc>
                      <w:tcPr>
                        <w:tcW w:w="881" w:type="dxa"/>
                      </w:tcPr>
                      <w:p>
                        <w:pPr>
                          <w:pStyle w:val="TableParagraph"/>
                          <w:spacing w:before="23"/>
                          <w:ind w:right="96"/>
                          <w:jc w:val="right"/>
                          <w:rPr>
                            <w:sz w:val="16"/>
                          </w:rPr>
                        </w:pPr>
                        <w:r>
                          <w:rPr>
                            <w:sz w:val="16"/>
                          </w:rPr>
                          <w:t>1 504</w:t>
                        </w:r>
                      </w:p>
                    </w:tc>
                    <w:tc>
                      <w:tcPr>
                        <w:tcW w:w="840" w:type="dxa"/>
                      </w:tcPr>
                      <w:p>
                        <w:pPr>
                          <w:pStyle w:val="TableParagraph"/>
                          <w:spacing w:before="23"/>
                          <w:ind w:right="97"/>
                          <w:jc w:val="right"/>
                          <w:rPr>
                            <w:sz w:val="16"/>
                          </w:rPr>
                        </w:pPr>
                        <w:r>
                          <w:rPr>
                            <w:sz w:val="16"/>
                          </w:rPr>
                          <w:t>1 504</w:t>
                        </w:r>
                      </w:p>
                    </w:tc>
                    <w:tc>
                      <w:tcPr>
                        <w:tcW w:w="883" w:type="dxa"/>
                      </w:tcPr>
                      <w:p>
                        <w:pPr>
                          <w:pStyle w:val="TableParagraph"/>
                          <w:spacing w:before="23"/>
                          <w:ind w:left="434"/>
                          <w:rPr>
                            <w:sz w:val="16"/>
                          </w:rPr>
                        </w:pPr>
                        <w:r>
                          <w:rPr>
                            <w:sz w:val="16"/>
                          </w:rPr>
                          <w:t>n.s.</w:t>
                        </w:r>
                      </w:p>
                    </w:tc>
                    <w:tc>
                      <w:tcPr>
                        <w:tcW w:w="792" w:type="dxa"/>
                      </w:tcPr>
                      <w:p>
                        <w:pPr>
                          <w:pStyle w:val="TableParagraph"/>
                          <w:spacing w:before="23"/>
                          <w:ind w:right="208"/>
                          <w:jc w:val="right"/>
                          <w:rPr>
                            <w:sz w:val="16"/>
                          </w:rPr>
                        </w:pPr>
                        <w:r>
                          <w:rPr>
                            <w:sz w:val="16"/>
                          </w:rPr>
                          <w:t>n.s.</w:t>
                        </w:r>
                      </w:p>
                    </w:tc>
                  </w:tr>
                  <w:tr>
                    <w:trPr>
                      <w:trHeight w:val="273" w:hRule="atLeast"/>
                    </w:trPr>
                    <w:tc>
                      <w:tcPr>
                        <w:tcW w:w="1104" w:type="dxa"/>
                      </w:tcPr>
                      <w:p>
                        <w:pPr>
                          <w:pStyle w:val="TableParagraph"/>
                          <w:spacing w:before="37"/>
                          <w:ind w:left="57"/>
                          <w:rPr>
                            <w:sz w:val="16"/>
                          </w:rPr>
                        </w:pPr>
                        <w:r>
                          <w:rPr>
                            <w:sz w:val="16"/>
                          </w:rPr>
                          <w:t>Singapore</w:t>
                        </w:r>
                      </w:p>
                    </w:tc>
                    <w:tc>
                      <w:tcPr>
                        <w:tcW w:w="881" w:type="dxa"/>
                      </w:tcPr>
                      <w:p>
                        <w:pPr>
                          <w:pStyle w:val="TableParagraph"/>
                          <w:spacing w:before="37"/>
                          <w:ind w:right="97"/>
                          <w:jc w:val="right"/>
                          <w:rPr>
                            <w:sz w:val="16"/>
                          </w:rPr>
                        </w:pPr>
                        <w:r>
                          <w:rPr>
                            <w:w w:val="100"/>
                            <w:sz w:val="16"/>
                          </w:rPr>
                          <w:t>2</w:t>
                        </w:r>
                      </w:p>
                    </w:tc>
                    <w:tc>
                      <w:tcPr>
                        <w:tcW w:w="840" w:type="dxa"/>
                      </w:tcPr>
                      <w:p>
                        <w:pPr>
                          <w:pStyle w:val="TableParagraph"/>
                          <w:spacing w:before="37"/>
                          <w:ind w:right="97"/>
                          <w:jc w:val="right"/>
                          <w:rPr>
                            <w:sz w:val="16"/>
                          </w:rPr>
                        </w:pPr>
                        <w:r>
                          <w:rPr>
                            <w:w w:val="100"/>
                            <w:sz w:val="16"/>
                          </w:rPr>
                          <w:t>2</w:t>
                        </w:r>
                      </w:p>
                    </w:tc>
                    <w:tc>
                      <w:tcPr>
                        <w:tcW w:w="883" w:type="dxa"/>
                      </w:tcPr>
                      <w:p>
                        <w:pPr>
                          <w:pStyle w:val="TableParagraph"/>
                          <w:spacing w:before="37"/>
                          <w:ind w:left="433"/>
                          <w:rPr>
                            <w:sz w:val="16"/>
                          </w:rPr>
                        </w:pPr>
                        <w:r>
                          <w:rPr>
                            <w:sz w:val="16"/>
                          </w:rPr>
                          <w:t>n.s.</w:t>
                        </w:r>
                      </w:p>
                    </w:tc>
                    <w:tc>
                      <w:tcPr>
                        <w:tcW w:w="792" w:type="dxa"/>
                      </w:tcPr>
                      <w:p>
                        <w:pPr>
                          <w:pStyle w:val="TableParagraph"/>
                          <w:spacing w:before="37"/>
                          <w:ind w:right="209"/>
                          <w:jc w:val="right"/>
                          <w:rPr>
                            <w:sz w:val="16"/>
                          </w:rPr>
                        </w:pPr>
                        <w:r>
                          <w:rPr>
                            <w:sz w:val="16"/>
                          </w:rPr>
                          <w:t>n.s.</w:t>
                        </w:r>
                      </w:p>
                    </w:tc>
                  </w:tr>
                  <w:tr>
                    <w:trPr>
                      <w:trHeight w:val="244" w:hRule="atLeast"/>
                    </w:trPr>
                    <w:tc>
                      <w:tcPr>
                        <w:tcW w:w="1104" w:type="dxa"/>
                      </w:tcPr>
                      <w:p>
                        <w:pPr>
                          <w:pStyle w:val="TableParagraph"/>
                          <w:spacing w:before="23"/>
                          <w:ind w:left="58"/>
                          <w:rPr>
                            <w:sz w:val="16"/>
                          </w:rPr>
                        </w:pPr>
                        <w:r>
                          <w:rPr>
                            <w:sz w:val="16"/>
                          </w:rPr>
                          <w:t>Sri Lanka</w:t>
                        </w:r>
                      </w:p>
                    </w:tc>
                    <w:tc>
                      <w:tcPr>
                        <w:tcW w:w="881" w:type="dxa"/>
                      </w:tcPr>
                      <w:p>
                        <w:pPr>
                          <w:pStyle w:val="TableParagraph"/>
                          <w:spacing w:before="23"/>
                          <w:ind w:right="96"/>
                          <w:jc w:val="right"/>
                          <w:rPr>
                            <w:sz w:val="16"/>
                          </w:rPr>
                        </w:pPr>
                        <w:r>
                          <w:rPr>
                            <w:sz w:val="16"/>
                          </w:rPr>
                          <w:t>2 288</w:t>
                        </w:r>
                      </w:p>
                    </w:tc>
                    <w:tc>
                      <w:tcPr>
                        <w:tcW w:w="840" w:type="dxa"/>
                      </w:tcPr>
                      <w:p>
                        <w:pPr>
                          <w:pStyle w:val="TableParagraph"/>
                          <w:spacing w:before="23"/>
                          <w:ind w:right="96"/>
                          <w:jc w:val="right"/>
                          <w:rPr>
                            <w:sz w:val="16"/>
                          </w:rPr>
                        </w:pPr>
                        <w:r>
                          <w:rPr>
                            <w:sz w:val="16"/>
                          </w:rPr>
                          <w:t>1 940</w:t>
                        </w:r>
                      </w:p>
                    </w:tc>
                    <w:tc>
                      <w:tcPr>
                        <w:tcW w:w="883" w:type="dxa"/>
                      </w:tcPr>
                      <w:p>
                        <w:pPr>
                          <w:pStyle w:val="TableParagraph"/>
                          <w:spacing w:before="23"/>
                          <w:ind w:left="444"/>
                          <w:rPr>
                            <w:sz w:val="16"/>
                          </w:rPr>
                        </w:pPr>
                        <w:r>
                          <w:rPr>
                            <w:sz w:val="16"/>
                          </w:rPr>
                          <w:t>-35</w:t>
                        </w:r>
                      </w:p>
                    </w:tc>
                    <w:tc>
                      <w:tcPr>
                        <w:tcW w:w="792" w:type="dxa"/>
                      </w:tcPr>
                      <w:p>
                        <w:pPr>
                          <w:pStyle w:val="TableParagraph"/>
                          <w:spacing w:before="23"/>
                          <w:ind w:right="208"/>
                          <w:jc w:val="right"/>
                          <w:rPr>
                            <w:sz w:val="16"/>
                          </w:rPr>
                        </w:pPr>
                        <w:r>
                          <w:rPr>
                            <w:sz w:val="16"/>
                          </w:rPr>
                          <w:t>-1.6</w:t>
                        </w:r>
                      </w:p>
                    </w:tc>
                  </w:tr>
                  <w:tr>
                    <w:trPr>
                      <w:trHeight w:val="388" w:hRule="atLeast"/>
                    </w:trPr>
                    <w:tc>
                      <w:tcPr>
                        <w:tcW w:w="1104" w:type="dxa"/>
                      </w:tcPr>
                      <w:p>
                        <w:pPr>
                          <w:pStyle w:val="TableParagraph"/>
                          <w:spacing w:line="180" w:lineRule="atLeast" w:before="4"/>
                          <w:ind w:left="57" w:right="239"/>
                          <w:rPr>
                            <w:sz w:val="16"/>
                          </w:rPr>
                        </w:pPr>
                        <w:r>
                          <w:rPr>
                            <w:sz w:val="16"/>
                          </w:rPr>
                          <w:t>Syrian Arab Republic</w:t>
                        </w:r>
                      </w:p>
                    </w:tc>
                    <w:tc>
                      <w:tcPr>
                        <w:tcW w:w="881" w:type="dxa"/>
                      </w:tcPr>
                      <w:p>
                        <w:pPr>
                          <w:pStyle w:val="TableParagraph"/>
                          <w:spacing w:before="95"/>
                          <w:ind w:right="97"/>
                          <w:jc w:val="right"/>
                          <w:rPr>
                            <w:sz w:val="16"/>
                          </w:rPr>
                        </w:pPr>
                        <w:r>
                          <w:rPr>
                            <w:sz w:val="16"/>
                          </w:rPr>
                          <w:t>461</w:t>
                        </w:r>
                      </w:p>
                    </w:tc>
                    <w:tc>
                      <w:tcPr>
                        <w:tcW w:w="840" w:type="dxa"/>
                      </w:tcPr>
                      <w:p>
                        <w:pPr>
                          <w:pStyle w:val="TableParagraph"/>
                          <w:spacing w:before="95"/>
                          <w:ind w:right="97"/>
                          <w:jc w:val="right"/>
                          <w:rPr>
                            <w:sz w:val="16"/>
                          </w:rPr>
                        </w:pPr>
                        <w:r>
                          <w:rPr>
                            <w:sz w:val="16"/>
                          </w:rPr>
                          <w:t>461</w:t>
                        </w:r>
                      </w:p>
                    </w:tc>
                    <w:tc>
                      <w:tcPr>
                        <w:tcW w:w="883" w:type="dxa"/>
                      </w:tcPr>
                      <w:p>
                        <w:pPr>
                          <w:pStyle w:val="TableParagraph"/>
                          <w:spacing w:before="95"/>
                          <w:ind w:left="433"/>
                          <w:rPr>
                            <w:sz w:val="16"/>
                          </w:rPr>
                        </w:pPr>
                        <w:r>
                          <w:rPr>
                            <w:sz w:val="16"/>
                          </w:rPr>
                          <w:t>n.s.</w:t>
                        </w:r>
                      </w:p>
                    </w:tc>
                    <w:tc>
                      <w:tcPr>
                        <w:tcW w:w="792" w:type="dxa"/>
                      </w:tcPr>
                      <w:p>
                        <w:pPr>
                          <w:pStyle w:val="TableParagraph"/>
                          <w:spacing w:before="95"/>
                          <w:ind w:right="209"/>
                          <w:jc w:val="right"/>
                          <w:rPr>
                            <w:sz w:val="16"/>
                          </w:rPr>
                        </w:pPr>
                        <w:r>
                          <w:rPr>
                            <w:sz w:val="16"/>
                          </w:rPr>
                          <w:t>n.s.</w:t>
                        </w:r>
                      </w:p>
                    </w:tc>
                  </w:tr>
                  <w:tr>
                    <w:trPr>
                      <w:trHeight w:val="244" w:hRule="atLeast"/>
                    </w:trPr>
                    <w:tc>
                      <w:tcPr>
                        <w:tcW w:w="1104" w:type="dxa"/>
                      </w:tcPr>
                      <w:p>
                        <w:pPr>
                          <w:pStyle w:val="TableParagraph"/>
                          <w:spacing w:before="23"/>
                          <w:ind w:left="58"/>
                          <w:rPr>
                            <w:sz w:val="16"/>
                          </w:rPr>
                        </w:pPr>
                        <w:r>
                          <w:rPr>
                            <w:sz w:val="16"/>
                          </w:rPr>
                          <w:t>Tajikistan</w:t>
                        </w:r>
                      </w:p>
                    </w:tc>
                    <w:tc>
                      <w:tcPr>
                        <w:tcW w:w="881" w:type="dxa"/>
                      </w:tcPr>
                      <w:p>
                        <w:pPr>
                          <w:pStyle w:val="TableParagraph"/>
                          <w:spacing w:before="23"/>
                          <w:ind w:right="95"/>
                          <w:jc w:val="right"/>
                          <w:rPr>
                            <w:sz w:val="16"/>
                          </w:rPr>
                        </w:pPr>
                        <w:r>
                          <w:rPr>
                            <w:sz w:val="16"/>
                          </w:rPr>
                          <w:t>380</w:t>
                        </w:r>
                      </w:p>
                    </w:tc>
                    <w:tc>
                      <w:tcPr>
                        <w:tcW w:w="840" w:type="dxa"/>
                      </w:tcPr>
                      <w:p>
                        <w:pPr>
                          <w:pStyle w:val="TableParagraph"/>
                          <w:spacing w:before="23"/>
                          <w:ind w:right="95"/>
                          <w:jc w:val="right"/>
                          <w:rPr>
                            <w:sz w:val="16"/>
                          </w:rPr>
                        </w:pPr>
                        <w:r>
                          <w:rPr>
                            <w:sz w:val="16"/>
                          </w:rPr>
                          <w:t>400</w:t>
                        </w:r>
                      </w:p>
                    </w:tc>
                    <w:tc>
                      <w:tcPr>
                        <w:tcW w:w="883" w:type="dxa"/>
                      </w:tcPr>
                      <w:p>
                        <w:pPr>
                          <w:pStyle w:val="TableParagraph"/>
                          <w:spacing w:before="23"/>
                          <w:ind w:left="579"/>
                          <w:rPr>
                            <w:sz w:val="16"/>
                          </w:rPr>
                        </w:pPr>
                        <w:r>
                          <w:rPr>
                            <w:w w:val="100"/>
                            <w:sz w:val="16"/>
                          </w:rPr>
                          <w:t>2</w:t>
                        </w:r>
                      </w:p>
                    </w:tc>
                    <w:tc>
                      <w:tcPr>
                        <w:tcW w:w="792" w:type="dxa"/>
                      </w:tcPr>
                      <w:p>
                        <w:pPr>
                          <w:pStyle w:val="TableParagraph"/>
                          <w:spacing w:before="23"/>
                          <w:ind w:right="208"/>
                          <w:jc w:val="right"/>
                          <w:rPr>
                            <w:sz w:val="16"/>
                          </w:rPr>
                        </w:pPr>
                        <w:r>
                          <w:rPr>
                            <w:sz w:val="16"/>
                          </w:rPr>
                          <w:t>0.5</w:t>
                        </w:r>
                      </w:p>
                    </w:tc>
                  </w:tr>
                  <w:tr>
                    <w:trPr>
                      <w:trHeight w:val="443" w:hRule="atLeast"/>
                    </w:trPr>
                    <w:tc>
                      <w:tcPr>
                        <w:tcW w:w="1104" w:type="dxa"/>
                      </w:tcPr>
                      <w:p>
                        <w:pPr>
                          <w:pStyle w:val="TableParagraph"/>
                          <w:spacing w:before="124"/>
                          <w:ind w:left="57"/>
                          <w:rPr>
                            <w:sz w:val="16"/>
                          </w:rPr>
                        </w:pPr>
                        <w:r>
                          <w:rPr>
                            <w:sz w:val="16"/>
                          </w:rPr>
                          <w:t>Thailand</w:t>
                        </w:r>
                      </w:p>
                    </w:tc>
                    <w:tc>
                      <w:tcPr>
                        <w:tcW w:w="881" w:type="dxa"/>
                      </w:tcPr>
                      <w:p>
                        <w:pPr>
                          <w:pStyle w:val="TableParagraph"/>
                          <w:spacing w:before="124"/>
                          <w:ind w:right="97"/>
                          <w:jc w:val="right"/>
                          <w:rPr>
                            <w:sz w:val="16"/>
                          </w:rPr>
                        </w:pPr>
                        <w:r>
                          <w:rPr>
                            <w:sz w:val="16"/>
                          </w:rPr>
                          <w:t>15 886</w:t>
                        </w:r>
                      </w:p>
                    </w:tc>
                    <w:tc>
                      <w:tcPr>
                        <w:tcW w:w="840" w:type="dxa"/>
                      </w:tcPr>
                      <w:p>
                        <w:pPr>
                          <w:pStyle w:val="TableParagraph"/>
                          <w:spacing w:before="124"/>
                          <w:ind w:right="97"/>
                          <w:jc w:val="right"/>
                          <w:rPr>
                            <w:sz w:val="16"/>
                          </w:rPr>
                        </w:pPr>
                        <w:r>
                          <w:rPr>
                            <w:sz w:val="16"/>
                          </w:rPr>
                          <w:t>14 762</w:t>
                        </w:r>
                      </w:p>
                    </w:tc>
                    <w:tc>
                      <w:tcPr>
                        <w:tcW w:w="883" w:type="dxa"/>
                      </w:tcPr>
                      <w:p>
                        <w:pPr>
                          <w:pStyle w:val="TableParagraph"/>
                          <w:spacing w:before="124"/>
                          <w:ind w:left="364"/>
                          <w:rPr>
                            <w:sz w:val="16"/>
                          </w:rPr>
                        </w:pPr>
                        <w:r>
                          <w:rPr>
                            <w:sz w:val="16"/>
                          </w:rPr>
                          <w:t>-112</w:t>
                        </w:r>
                      </w:p>
                    </w:tc>
                    <w:tc>
                      <w:tcPr>
                        <w:tcW w:w="792" w:type="dxa"/>
                      </w:tcPr>
                      <w:p>
                        <w:pPr>
                          <w:pStyle w:val="TableParagraph"/>
                          <w:spacing w:before="124"/>
                          <w:ind w:right="208"/>
                          <w:jc w:val="right"/>
                          <w:rPr>
                            <w:sz w:val="16"/>
                          </w:rPr>
                        </w:pPr>
                        <w:r>
                          <w:rPr>
                            <w:sz w:val="16"/>
                          </w:rPr>
                          <w:t>-0.7</w:t>
                        </w:r>
                      </w:p>
                    </w:tc>
                  </w:tr>
                  <w:tr>
                    <w:trPr>
                      <w:trHeight w:val="244" w:hRule="atLeast"/>
                    </w:trPr>
                    <w:tc>
                      <w:tcPr>
                        <w:tcW w:w="1104" w:type="dxa"/>
                      </w:tcPr>
                      <w:p>
                        <w:pPr>
                          <w:pStyle w:val="TableParagraph"/>
                          <w:spacing w:before="23"/>
                          <w:ind w:left="57"/>
                          <w:rPr>
                            <w:sz w:val="16"/>
                          </w:rPr>
                        </w:pPr>
                        <w:r>
                          <w:rPr>
                            <w:sz w:val="16"/>
                          </w:rPr>
                          <w:t>Turkey</w:t>
                        </w:r>
                      </w:p>
                    </w:tc>
                    <w:tc>
                      <w:tcPr>
                        <w:tcW w:w="881" w:type="dxa"/>
                      </w:tcPr>
                      <w:p>
                        <w:pPr>
                          <w:pStyle w:val="TableParagraph"/>
                          <w:spacing w:before="23"/>
                          <w:ind w:right="97"/>
                          <w:jc w:val="right"/>
                          <w:rPr>
                            <w:sz w:val="16"/>
                          </w:rPr>
                        </w:pPr>
                        <w:r>
                          <w:rPr>
                            <w:sz w:val="16"/>
                          </w:rPr>
                          <w:t>10 005</w:t>
                        </w:r>
                      </w:p>
                    </w:tc>
                    <w:tc>
                      <w:tcPr>
                        <w:tcW w:w="840" w:type="dxa"/>
                      </w:tcPr>
                      <w:p>
                        <w:pPr>
                          <w:pStyle w:val="TableParagraph"/>
                          <w:spacing w:before="23"/>
                          <w:ind w:right="97"/>
                          <w:jc w:val="right"/>
                          <w:rPr>
                            <w:sz w:val="16"/>
                          </w:rPr>
                        </w:pPr>
                        <w:r>
                          <w:rPr>
                            <w:sz w:val="16"/>
                          </w:rPr>
                          <w:t>10 225</w:t>
                        </w:r>
                      </w:p>
                    </w:tc>
                    <w:tc>
                      <w:tcPr>
                        <w:tcW w:w="883" w:type="dxa"/>
                      </w:tcPr>
                      <w:p>
                        <w:pPr>
                          <w:pStyle w:val="TableParagraph"/>
                          <w:spacing w:before="23"/>
                          <w:ind w:left="496"/>
                          <w:rPr>
                            <w:sz w:val="16"/>
                          </w:rPr>
                        </w:pPr>
                        <w:r>
                          <w:rPr>
                            <w:sz w:val="16"/>
                          </w:rPr>
                          <w:t>22</w:t>
                        </w:r>
                      </w:p>
                    </w:tc>
                    <w:tc>
                      <w:tcPr>
                        <w:tcW w:w="792" w:type="dxa"/>
                      </w:tcPr>
                      <w:p>
                        <w:pPr>
                          <w:pStyle w:val="TableParagraph"/>
                          <w:spacing w:before="23"/>
                          <w:ind w:right="210"/>
                          <w:jc w:val="right"/>
                          <w:rPr>
                            <w:sz w:val="16"/>
                          </w:rPr>
                        </w:pPr>
                        <w:r>
                          <w:rPr>
                            <w:sz w:val="16"/>
                          </w:rPr>
                          <w:t>0.2</w:t>
                        </w:r>
                      </w:p>
                    </w:tc>
                  </w:tr>
                  <w:tr>
                    <w:trPr>
                      <w:trHeight w:val="246" w:hRule="atLeast"/>
                    </w:trPr>
                    <w:tc>
                      <w:tcPr>
                        <w:tcW w:w="1104" w:type="dxa"/>
                      </w:tcPr>
                      <w:p>
                        <w:pPr>
                          <w:pStyle w:val="TableParagraph"/>
                          <w:spacing w:before="23"/>
                          <w:ind w:left="57"/>
                          <w:rPr>
                            <w:sz w:val="16"/>
                          </w:rPr>
                        </w:pPr>
                        <w:r>
                          <w:rPr>
                            <w:sz w:val="16"/>
                          </w:rPr>
                          <w:t>Turkmenistan</w:t>
                        </w:r>
                      </w:p>
                    </w:tc>
                    <w:tc>
                      <w:tcPr>
                        <w:tcW w:w="881" w:type="dxa"/>
                      </w:tcPr>
                      <w:p>
                        <w:pPr>
                          <w:pStyle w:val="TableParagraph"/>
                          <w:spacing w:before="23"/>
                          <w:ind w:right="97"/>
                          <w:jc w:val="right"/>
                          <w:rPr>
                            <w:sz w:val="16"/>
                          </w:rPr>
                        </w:pPr>
                        <w:r>
                          <w:rPr>
                            <w:sz w:val="16"/>
                          </w:rPr>
                          <w:t>3 755</w:t>
                        </w:r>
                      </w:p>
                    </w:tc>
                    <w:tc>
                      <w:tcPr>
                        <w:tcW w:w="840" w:type="dxa"/>
                      </w:tcPr>
                      <w:p>
                        <w:pPr>
                          <w:pStyle w:val="TableParagraph"/>
                          <w:spacing w:before="23"/>
                          <w:ind w:right="97"/>
                          <w:jc w:val="right"/>
                          <w:rPr>
                            <w:sz w:val="16"/>
                          </w:rPr>
                        </w:pPr>
                        <w:r>
                          <w:rPr>
                            <w:sz w:val="16"/>
                          </w:rPr>
                          <w:t>3 755</w:t>
                        </w:r>
                      </w:p>
                    </w:tc>
                    <w:tc>
                      <w:tcPr>
                        <w:tcW w:w="883" w:type="dxa"/>
                      </w:tcPr>
                      <w:p>
                        <w:pPr>
                          <w:pStyle w:val="TableParagraph"/>
                          <w:spacing w:before="23"/>
                          <w:ind w:left="433"/>
                          <w:rPr>
                            <w:sz w:val="16"/>
                          </w:rPr>
                        </w:pPr>
                        <w:r>
                          <w:rPr>
                            <w:sz w:val="16"/>
                          </w:rPr>
                          <w:t>n.s.</w:t>
                        </w:r>
                      </w:p>
                    </w:tc>
                    <w:tc>
                      <w:tcPr>
                        <w:tcW w:w="792" w:type="dxa"/>
                      </w:tcPr>
                      <w:p>
                        <w:pPr>
                          <w:pStyle w:val="TableParagraph"/>
                          <w:spacing w:before="23"/>
                          <w:ind w:right="208"/>
                          <w:jc w:val="right"/>
                          <w:rPr>
                            <w:sz w:val="16"/>
                          </w:rPr>
                        </w:pPr>
                        <w:r>
                          <w:rPr>
                            <w:sz w:val="16"/>
                          </w:rPr>
                          <w:t>n.s.</w:t>
                        </w:r>
                      </w:p>
                    </w:tc>
                  </w:tr>
                  <w:tr>
                    <w:trPr>
                      <w:trHeight w:val="386" w:hRule="atLeast"/>
                    </w:trPr>
                    <w:tc>
                      <w:tcPr>
                        <w:tcW w:w="1104" w:type="dxa"/>
                      </w:tcPr>
                      <w:p>
                        <w:pPr>
                          <w:pStyle w:val="TableParagraph"/>
                          <w:spacing w:line="182" w:lineRule="exact" w:before="7"/>
                          <w:ind w:left="57" w:right="221"/>
                          <w:rPr>
                            <w:sz w:val="16"/>
                          </w:rPr>
                        </w:pPr>
                        <w:r>
                          <w:rPr>
                            <w:sz w:val="16"/>
                          </w:rPr>
                          <w:t>United Arab Emirates</w:t>
                        </w:r>
                      </w:p>
                    </w:tc>
                    <w:tc>
                      <w:tcPr>
                        <w:tcW w:w="881" w:type="dxa"/>
                      </w:tcPr>
                      <w:p>
                        <w:pPr>
                          <w:pStyle w:val="TableParagraph"/>
                          <w:spacing w:before="95"/>
                          <w:ind w:right="97"/>
                          <w:jc w:val="right"/>
                          <w:rPr>
                            <w:sz w:val="16"/>
                          </w:rPr>
                        </w:pPr>
                        <w:r>
                          <w:rPr>
                            <w:sz w:val="16"/>
                          </w:rPr>
                          <w:t>243</w:t>
                        </w:r>
                      </w:p>
                    </w:tc>
                    <w:tc>
                      <w:tcPr>
                        <w:tcW w:w="840" w:type="dxa"/>
                      </w:tcPr>
                      <w:p>
                        <w:pPr>
                          <w:pStyle w:val="TableParagraph"/>
                          <w:spacing w:before="95"/>
                          <w:ind w:right="97"/>
                          <w:jc w:val="right"/>
                          <w:rPr>
                            <w:sz w:val="16"/>
                          </w:rPr>
                        </w:pPr>
                        <w:r>
                          <w:rPr>
                            <w:sz w:val="16"/>
                          </w:rPr>
                          <w:t>321</w:t>
                        </w:r>
                      </w:p>
                    </w:tc>
                    <w:tc>
                      <w:tcPr>
                        <w:tcW w:w="883" w:type="dxa"/>
                      </w:tcPr>
                      <w:p>
                        <w:pPr>
                          <w:pStyle w:val="TableParagraph"/>
                          <w:spacing w:before="95"/>
                          <w:ind w:left="578"/>
                          <w:rPr>
                            <w:sz w:val="16"/>
                          </w:rPr>
                        </w:pPr>
                        <w:r>
                          <w:rPr>
                            <w:w w:val="100"/>
                            <w:sz w:val="16"/>
                          </w:rPr>
                          <w:t>8</w:t>
                        </w:r>
                      </w:p>
                    </w:tc>
                    <w:tc>
                      <w:tcPr>
                        <w:tcW w:w="792" w:type="dxa"/>
                      </w:tcPr>
                      <w:p>
                        <w:pPr>
                          <w:pStyle w:val="TableParagraph"/>
                          <w:spacing w:before="95"/>
                          <w:ind w:right="210"/>
                          <w:jc w:val="right"/>
                          <w:rPr>
                            <w:sz w:val="16"/>
                          </w:rPr>
                        </w:pPr>
                        <w:r>
                          <w:rPr>
                            <w:sz w:val="16"/>
                          </w:rPr>
                          <w:t>2.8</w:t>
                        </w:r>
                      </w:p>
                    </w:tc>
                  </w:tr>
                  <w:tr>
                    <w:trPr>
                      <w:trHeight w:val="388" w:hRule="atLeast"/>
                    </w:trPr>
                    <w:tc>
                      <w:tcPr>
                        <w:tcW w:w="1104" w:type="dxa"/>
                      </w:tcPr>
                      <w:p>
                        <w:pPr>
                          <w:pStyle w:val="TableParagraph"/>
                          <w:spacing w:before="95"/>
                          <w:ind w:left="58"/>
                          <w:rPr>
                            <w:sz w:val="16"/>
                          </w:rPr>
                        </w:pPr>
                        <w:r>
                          <w:rPr>
                            <w:sz w:val="16"/>
                          </w:rPr>
                          <w:t>Uzbekistan</w:t>
                        </w:r>
                      </w:p>
                    </w:tc>
                    <w:tc>
                      <w:tcPr>
                        <w:tcW w:w="881" w:type="dxa"/>
                      </w:tcPr>
                      <w:p>
                        <w:pPr>
                          <w:pStyle w:val="TableParagraph"/>
                          <w:spacing w:before="95"/>
                          <w:ind w:right="96"/>
                          <w:jc w:val="right"/>
                          <w:rPr>
                            <w:sz w:val="16"/>
                          </w:rPr>
                        </w:pPr>
                        <w:r>
                          <w:rPr>
                            <w:sz w:val="16"/>
                          </w:rPr>
                          <w:t>1 923</w:t>
                        </w:r>
                      </w:p>
                    </w:tc>
                    <w:tc>
                      <w:tcPr>
                        <w:tcW w:w="840" w:type="dxa"/>
                      </w:tcPr>
                      <w:p>
                        <w:pPr>
                          <w:pStyle w:val="TableParagraph"/>
                          <w:spacing w:before="95"/>
                          <w:ind w:right="96"/>
                          <w:jc w:val="right"/>
                          <w:rPr>
                            <w:sz w:val="16"/>
                          </w:rPr>
                        </w:pPr>
                        <w:r>
                          <w:rPr>
                            <w:sz w:val="16"/>
                          </w:rPr>
                          <w:t>1 969</w:t>
                        </w:r>
                      </w:p>
                    </w:tc>
                    <w:tc>
                      <w:tcPr>
                        <w:tcW w:w="883" w:type="dxa"/>
                      </w:tcPr>
                      <w:p>
                        <w:pPr>
                          <w:pStyle w:val="TableParagraph"/>
                          <w:spacing w:before="95"/>
                          <w:ind w:left="578"/>
                          <w:rPr>
                            <w:sz w:val="16"/>
                          </w:rPr>
                        </w:pPr>
                        <w:r>
                          <w:rPr>
                            <w:w w:val="100"/>
                            <w:sz w:val="16"/>
                          </w:rPr>
                          <w:t>5</w:t>
                        </w:r>
                      </w:p>
                    </w:tc>
                    <w:tc>
                      <w:tcPr>
                        <w:tcW w:w="792" w:type="dxa"/>
                      </w:tcPr>
                      <w:p>
                        <w:pPr>
                          <w:pStyle w:val="TableParagraph"/>
                          <w:spacing w:before="95"/>
                          <w:ind w:right="209"/>
                          <w:jc w:val="right"/>
                          <w:rPr>
                            <w:sz w:val="16"/>
                          </w:rPr>
                        </w:pPr>
                        <w:r>
                          <w:rPr>
                            <w:sz w:val="16"/>
                          </w:rPr>
                          <w:t>0.2</w:t>
                        </w:r>
                      </w:p>
                    </w:tc>
                  </w:tr>
                  <w:tr>
                    <w:trPr>
                      <w:trHeight w:val="244" w:hRule="atLeast"/>
                    </w:trPr>
                    <w:tc>
                      <w:tcPr>
                        <w:tcW w:w="1104" w:type="dxa"/>
                      </w:tcPr>
                      <w:p>
                        <w:pPr>
                          <w:pStyle w:val="TableParagraph"/>
                          <w:spacing w:before="23"/>
                          <w:ind w:left="57"/>
                          <w:rPr>
                            <w:sz w:val="16"/>
                          </w:rPr>
                        </w:pPr>
                        <w:r>
                          <w:rPr>
                            <w:sz w:val="16"/>
                          </w:rPr>
                          <w:t>Viet Nam</w:t>
                        </w:r>
                      </w:p>
                    </w:tc>
                    <w:tc>
                      <w:tcPr>
                        <w:tcW w:w="881" w:type="dxa"/>
                      </w:tcPr>
                      <w:p>
                        <w:pPr>
                          <w:pStyle w:val="TableParagraph"/>
                          <w:spacing w:before="23"/>
                          <w:ind w:right="97"/>
                          <w:jc w:val="right"/>
                          <w:rPr>
                            <w:sz w:val="16"/>
                          </w:rPr>
                        </w:pPr>
                        <w:r>
                          <w:rPr>
                            <w:sz w:val="16"/>
                          </w:rPr>
                          <w:t>9 303</w:t>
                        </w:r>
                      </w:p>
                    </w:tc>
                    <w:tc>
                      <w:tcPr>
                        <w:tcW w:w="840" w:type="dxa"/>
                      </w:tcPr>
                      <w:p>
                        <w:pPr>
                          <w:pStyle w:val="TableParagraph"/>
                          <w:spacing w:before="23"/>
                          <w:ind w:right="97"/>
                          <w:jc w:val="right"/>
                          <w:rPr>
                            <w:sz w:val="16"/>
                          </w:rPr>
                        </w:pPr>
                        <w:r>
                          <w:rPr>
                            <w:sz w:val="16"/>
                          </w:rPr>
                          <w:t>9 819</w:t>
                        </w:r>
                      </w:p>
                    </w:tc>
                    <w:tc>
                      <w:tcPr>
                        <w:tcW w:w="883" w:type="dxa"/>
                      </w:tcPr>
                      <w:p>
                        <w:pPr>
                          <w:pStyle w:val="TableParagraph"/>
                          <w:spacing w:before="23"/>
                          <w:ind w:left="496"/>
                          <w:rPr>
                            <w:sz w:val="16"/>
                          </w:rPr>
                        </w:pPr>
                        <w:r>
                          <w:rPr>
                            <w:sz w:val="16"/>
                          </w:rPr>
                          <w:t>52</w:t>
                        </w:r>
                      </w:p>
                    </w:tc>
                    <w:tc>
                      <w:tcPr>
                        <w:tcW w:w="792" w:type="dxa"/>
                      </w:tcPr>
                      <w:p>
                        <w:pPr>
                          <w:pStyle w:val="TableParagraph"/>
                          <w:spacing w:before="23"/>
                          <w:ind w:right="210"/>
                          <w:jc w:val="right"/>
                          <w:rPr>
                            <w:sz w:val="16"/>
                          </w:rPr>
                        </w:pPr>
                        <w:r>
                          <w:rPr>
                            <w:sz w:val="16"/>
                          </w:rPr>
                          <w:t>0.5</w:t>
                        </w:r>
                      </w:p>
                    </w:tc>
                  </w:tr>
                  <w:tr>
                    <w:trPr>
                      <w:trHeight w:val="244" w:hRule="atLeast"/>
                    </w:trPr>
                    <w:tc>
                      <w:tcPr>
                        <w:tcW w:w="1104" w:type="dxa"/>
                      </w:tcPr>
                      <w:p>
                        <w:pPr>
                          <w:pStyle w:val="TableParagraph"/>
                          <w:spacing w:before="23"/>
                          <w:ind w:left="57"/>
                          <w:rPr>
                            <w:sz w:val="16"/>
                          </w:rPr>
                        </w:pPr>
                        <w:r>
                          <w:rPr>
                            <w:sz w:val="16"/>
                          </w:rPr>
                          <w:t>West Bank</w:t>
                        </w:r>
                      </w:p>
                    </w:tc>
                    <w:tc>
                      <w:tcPr>
                        <w:tcW w:w="881" w:type="dxa"/>
                      </w:tcPr>
                      <w:p>
                        <w:pPr>
                          <w:pStyle w:val="TableParagraph"/>
                          <w:spacing w:before="23"/>
                          <w:ind w:right="95"/>
                          <w:jc w:val="right"/>
                          <w:rPr>
                            <w:sz w:val="16"/>
                          </w:rPr>
                        </w:pPr>
                        <w:r>
                          <w:rPr>
                            <w:w w:val="100"/>
                            <w:sz w:val="16"/>
                          </w:rPr>
                          <w:t>-</w:t>
                        </w:r>
                      </w:p>
                    </w:tc>
                    <w:tc>
                      <w:tcPr>
                        <w:tcW w:w="840" w:type="dxa"/>
                      </w:tcPr>
                      <w:p>
                        <w:pPr>
                          <w:pStyle w:val="TableParagraph"/>
                          <w:spacing w:before="23"/>
                          <w:ind w:right="95"/>
                          <w:jc w:val="right"/>
                          <w:rPr>
                            <w:sz w:val="16"/>
                          </w:rPr>
                        </w:pPr>
                        <w:r>
                          <w:rPr>
                            <w:w w:val="100"/>
                            <w:sz w:val="16"/>
                          </w:rPr>
                          <w:t>-</w:t>
                        </w:r>
                      </w:p>
                    </w:tc>
                    <w:tc>
                      <w:tcPr>
                        <w:tcW w:w="883" w:type="dxa"/>
                      </w:tcPr>
                      <w:p>
                        <w:pPr>
                          <w:pStyle w:val="TableParagraph"/>
                          <w:spacing w:before="23"/>
                          <w:ind w:right="210"/>
                          <w:jc w:val="right"/>
                          <w:rPr>
                            <w:sz w:val="16"/>
                          </w:rPr>
                        </w:pPr>
                        <w:r>
                          <w:rPr>
                            <w:w w:val="100"/>
                            <w:sz w:val="16"/>
                          </w:rPr>
                          <w:t>-</w:t>
                        </w:r>
                      </w:p>
                    </w:tc>
                    <w:tc>
                      <w:tcPr>
                        <w:tcW w:w="792" w:type="dxa"/>
                      </w:tcPr>
                      <w:p>
                        <w:pPr>
                          <w:pStyle w:val="TableParagraph"/>
                          <w:spacing w:before="23"/>
                          <w:ind w:right="208"/>
                          <w:jc w:val="right"/>
                          <w:rPr>
                            <w:sz w:val="16"/>
                          </w:rPr>
                        </w:pPr>
                        <w:r>
                          <w:rPr>
                            <w:w w:val="100"/>
                            <w:sz w:val="16"/>
                          </w:rPr>
                          <w:t>-</w:t>
                        </w:r>
                      </w:p>
                    </w:tc>
                  </w:tr>
                  <w:tr>
                    <w:trPr>
                      <w:trHeight w:val="244" w:hRule="atLeast"/>
                    </w:trPr>
                    <w:tc>
                      <w:tcPr>
                        <w:tcW w:w="1104" w:type="dxa"/>
                      </w:tcPr>
                      <w:p>
                        <w:pPr>
                          <w:pStyle w:val="TableParagraph"/>
                          <w:spacing w:before="23"/>
                          <w:ind w:left="58"/>
                          <w:rPr>
                            <w:sz w:val="16"/>
                          </w:rPr>
                        </w:pPr>
                        <w:r>
                          <w:rPr>
                            <w:sz w:val="16"/>
                          </w:rPr>
                          <w:t>Yemen</w:t>
                        </w:r>
                      </w:p>
                    </w:tc>
                    <w:tc>
                      <w:tcPr>
                        <w:tcW w:w="881" w:type="dxa"/>
                      </w:tcPr>
                      <w:p>
                        <w:pPr>
                          <w:pStyle w:val="TableParagraph"/>
                          <w:spacing w:before="23"/>
                          <w:ind w:right="96"/>
                          <w:jc w:val="right"/>
                          <w:rPr>
                            <w:sz w:val="16"/>
                          </w:rPr>
                        </w:pPr>
                        <w:r>
                          <w:rPr>
                            <w:sz w:val="16"/>
                          </w:rPr>
                          <w:t>541</w:t>
                        </w:r>
                      </w:p>
                    </w:tc>
                    <w:tc>
                      <w:tcPr>
                        <w:tcW w:w="840" w:type="dxa"/>
                      </w:tcPr>
                      <w:p>
                        <w:pPr>
                          <w:pStyle w:val="TableParagraph"/>
                          <w:spacing w:before="23"/>
                          <w:ind w:right="97"/>
                          <w:jc w:val="right"/>
                          <w:rPr>
                            <w:sz w:val="16"/>
                          </w:rPr>
                        </w:pPr>
                        <w:r>
                          <w:rPr>
                            <w:sz w:val="16"/>
                          </w:rPr>
                          <w:t>449</w:t>
                        </w:r>
                      </w:p>
                    </w:tc>
                    <w:tc>
                      <w:tcPr>
                        <w:tcW w:w="883" w:type="dxa"/>
                      </w:tcPr>
                      <w:p>
                        <w:pPr>
                          <w:pStyle w:val="TableParagraph"/>
                          <w:spacing w:before="23"/>
                          <w:ind w:left="525"/>
                          <w:rPr>
                            <w:sz w:val="16"/>
                          </w:rPr>
                        </w:pPr>
                        <w:r>
                          <w:rPr>
                            <w:sz w:val="16"/>
                          </w:rPr>
                          <w:t>-9</w:t>
                        </w:r>
                      </w:p>
                    </w:tc>
                    <w:tc>
                      <w:tcPr>
                        <w:tcW w:w="792" w:type="dxa"/>
                      </w:tcPr>
                      <w:p>
                        <w:pPr>
                          <w:pStyle w:val="TableParagraph"/>
                          <w:spacing w:before="23"/>
                          <w:ind w:right="208"/>
                          <w:jc w:val="right"/>
                          <w:rPr>
                            <w:sz w:val="16"/>
                          </w:rPr>
                        </w:pPr>
                        <w:r>
                          <w:rPr>
                            <w:sz w:val="16"/>
                          </w:rPr>
                          <w:t>-1.9</w:t>
                        </w:r>
                      </w:p>
                    </w:tc>
                  </w:tr>
                  <w:tr>
                    <w:trPr>
                      <w:trHeight w:val="275" w:hRule="atLeast"/>
                    </w:trPr>
                    <w:tc>
                      <w:tcPr>
                        <w:tcW w:w="4500" w:type="dxa"/>
                        <w:gridSpan w:val="5"/>
                      </w:tcPr>
                      <w:p>
                        <w:pPr>
                          <w:pStyle w:val="TableParagraph"/>
                          <w:spacing w:before="33"/>
                          <w:ind w:left="57"/>
                          <w:rPr>
                            <w:b/>
                            <w:sz w:val="18"/>
                          </w:rPr>
                        </w:pPr>
                        <w:r>
                          <w:rPr>
                            <w:b/>
                            <w:sz w:val="18"/>
                          </w:rPr>
                          <w:t>c. OCEANIA</w:t>
                        </w:r>
                      </w:p>
                    </w:tc>
                  </w:tr>
                  <w:tr>
                    <w:trPr>
                      <w:trHeight w:val="386" w:hRule="atLeast"/>
                    </w:trPr>
                    <w:tc>
                      <w:tcPr>
                        <w:tcW w:w="1104" w:type="dxa"/>
                      </w:tcPr>
                      <w:p>
                        <w:pPr>
                          <w:pStyle w:val="TableParagraph"/>
                          <w:spacing w:line="182" w:lineRule="exact" w:before="7"/>
                          <w:ind w:left="57" w:right="386"/>
                          <w:rPr>
                            <w:sz w:val="16"/>
                          </w:rPr>
                        </w:pPr>
                        <w:r>
                          <w:rPr>
                            <w:sz w:val="16"/>
                          </w:rPr>
                          <w:t>American Samoa</w:t>
                        </w:r>
                      </w:p>
                    </w:tc>
                    <w:tc>
                      <w:tcPr>
                        <w:tcW w:w="881" w:type="dxa"/>
                      </w:tcPr>
                      <w:p>
                        <w:pPr>
                          <w:pStyle w:val="TableParagraph"/>
                          <w:spacing w:before="95"/>
                          <w:ind w:right="96"/>
                          <w:jc w:val="right"/>
                          <w:rPr>
                            <w:sz w:val="16"/>
                          </w:rPr>
                        </w:pPr>
                        <w:r>
                          <w:rPr>
                            <w:sz w:val="16"/>
                          </w:rPr>
                          <w:t>12</w:t>
                        </w:r>
                      </w:p>
                    </w:tc>
                    <w:tc>
                      <w:tcPr>
                        <w:tcW w:w="840" w:type="dxa"/>
                      </w:tcPr>
                      <w:p>
                        <w:pPr>
                          <w:pStyle w:val="TableParagraph"/>
                          <w:spacing w:before="95"/>
                          <w:ind w:right="96"/>
                          <w:jc w:val="right"/>
                          <w:rPr>
                            <w:sz w:val="16"/>
                          </w:rPr>
                        </w:pPr>
                        <w:r>
                          <w:rPr>
                            <w:sz w:val="16"/>
                          </w:rPr>
                          <w:t>12</w:t>
                        </w:r>
                      </w:p>
                    </w:tc>
                    <w:tc>
                      <w:tcPr>
                        <w:tcW w:w="883" w:type="dxa"/>
                      </w:tcPr>
                      <w:p>
                        <w:pPr>
                          <w:pStyle w:val="TableParagraph"/>
                          <w:spacing w:before="95"/>
                          <w:ind w:left="433"/>
                          <w:rPr>
                            <w:sz w:val="16"/>
                          </w:rPr>
                        </w:pPr>
                        <w:r>
                          <w:rPr>
                            <w:sz w:val="16"/>
                          </w:rPr>
                          <w:t>n.s.</w:t>
                        </w:r>
                      </w:p>
                    </w:tc>
                    <w:tc>
                      <w:tcPr>
                        <w:tcW w:w="792" w:type="dxa"/>
                      </w:tcPr>
                      <w:p>
                        <w:pPr>
                          <w:pStyle w:val="TableParagraph"/>
                          <w:spacing w:before="95"/>
                          <w:ind w:right="209"/>
                          <w:jc w:val="right"/>
                          <w:rPr>
                            <w:sz w:val="16"/>
                          </w:rPr>
                        </w:pPr>
                        <w:r>
                          <w:rPr>
                            <w:sz w:val="16"/>
                          </w:rPr>
                          <w:t>n.s.</w:t>
                        </w:r>
                      </w:p>
                    </w:tc>
                  </w:tr>
                  <w:tr>
                    <w:trPr>
                      <w:trHeight w:val="443" w:hRule="atLeast"/>
                    </w:trPr>
                    <w:tc>
                      <w:tcPr>
                        <w:tcW w:w="1104" w:type="dxa"/>
                      </w:tcPr>
                      <w:p>
                        <w:pPr>
                          <w:pStyle w:val="TableParagraph"/>
                          <w:spacing w:before="124"/>
                          <w:ind w:left="57"/>
                          <w:rPr>
                            <w:sz w:val="16"/>
                          </w:rPr>
                        </w:pPr>
                        <w:r>
                          <w:rPr>
                            <w:sz w:val="16"/>
                          </w:rPr>
                          <w:t>Australia</w:t>
                        </w:r>
                      </w:p>
                    </w:tc>
                    <w:tc>
                      <w:tcPr>
                        <w:tcW w:w="881" w:type="dxa"/>
                      </w:tcPr>
                      <w:p>
                        <w:pPr>
                          <w:pStyle w:val="TableParagraph"/>
                          <w:spacing w:before="124"/>
                          <w:ind w:right="95"/>
                          <w:jc w:val="right"/>
                          <w:rPr>
                            <w:sz w:val="16"/>
                          </w:rPr>
                        </w:pPr>
                        <w:r>
                          <w:rPr>
                            <w:sz w:val="16"/>
                          </w:rPr>
                          <w:t>157 359</w:t>
                        </w:r>
                      </w:p>
                    </w:tc>
                    <w:tc>
                      <w:tcPr>
                        <w:tcW w:w="840" w:type="dxa"/>
                      </w:tcPr>
                      <w:p>
                        <w:pPr>
                          <w:pStyle w:val="TableParagraph"/>
                          <w:spacing w:before="124"/>
                          <w:ind w:right="96"/>
                          <w:jc w:val="right"/>
                          <w:rPr>
                            <w:sz w:val="16"/>
                          </w:rPr>
                        </w:pPr>
                        <w:r>
                          <w:rPr>
                            <w:sz w:val="16"/>
                          </w:rPr>
                          <w:t>154 539</w:t>
                        </w:r>
                      </w:p>
                    </w:tc>
                    <w:tc>
                      <w:tcPr>
                        <w:tcW w:w="883" w:type="dxa"/>
                      </w:tcPr>
                      <w:p>
                        <w:pPr>
                          <w:pStyle w:val="TableParagraph"/>
                          <w:spacing w:before="124"/>
                          <w:ind w:left="364"/>
                          <w:rPr>
                            <w:sz w:val="16"/>
                          </w:rPr>
                        </w:pPr>
                        <w:r>
                          <w:rPr>
                            <w:sz w:val="16"/>
                          </w:rPr>
                          <w:t>-282</w:t>
                        </w:r>
                      </w:p>
                    </w:tc>
                    <w:tc>
                      <w:tcPr>
                        <w:tcW w:w="792" w:type="dxa"/>
                      </w:tcPr>
                      <w:p>
                        <w:pPr>
                          <w:pStyle w:val="TableParagraph"/>
                          <w:spacing w:before="124"/>
                          <w:ind w:right="208"/>
                          <w:jc w:val="right"/>
                          <w:rPr>
                            <w:sz w:val="16"/>
                          </w:rPr>
                        </w:pPr>
                        <w:r>
                          <w:rPr>
                            <w:sz w:val="16"/>
                          </w:rPr>
                          <w:t>-0.2</w:t>
                        </w:r>
                      </w:p>
                    </w:tc>
                  </w:tr>
                  <w:tr>
                    <w:trPr>
                      <w:trHeight w:val="244" w:hRule="atLeast"/>
                    </w:trPr>
                    <w:tc>
                      <w:tcPr>
                        <w:tcW w:w="1104" w:type="dxa"/>
                      </w:tcPr>
                      <w:p>
                        <w:pPr>
                          <w:pStyle w:val="TableParagraph"/>
                          <w:spacing w:before="23"/>
                          <w:ind w:left="57"/>
                          <w:rPr>
                            <w:sz w:val="16"/>
                          </w:rPr>
                        </w:pPr>
                        <w:r>
                          <w:rPr>
                            <w:sz w:val="16"/>
                          </w:rPr>
                          <w:t>Cook Islands</w:t>
                        </w:r>
                      </w:p>
                    </w:tc>
                    <w:tc>
                      <w:tcPr>
                        <w:tcW w:w="881" w:type="dxa"/>
                      </w:tcPr>
                      <w:p>
                        <w:pPr>
                          <w:pStyle w:val="TableParagraph"/>
                          <w:spacing w:before="23"/>
                          <w:ind w:right="96"/>
                          <w:jc w:val="right"/>
                          <w:rPr>
                            <w:sz w:val="16"/>
                          </w:rPr>
                        </w:pPr>
                        <w:r>
                          <w:rPr>
                            <w:sz w:val="16"/>
                          </w:rPr>
                          <w:t>22</w:t>
                        </w:r>
                      </w:p>
                    </w:tc>
                    <w:tc>
                      <w:tcPr>
                        <w:tcW w:w="840" w:type="dxa"/>
                      </w:tcPr>
                      <w:p>
                        <w:pPr>
                          <w:pStyle w:val="TableParagraph"/>
                          <w:spacing w:before="23"/>
                          <w:ind w:right="96"/>
                          <w:jc w:val="right"/>
                          <w:rPr>
                            <w:sz w:val="16"/>
                          </w:rPr>
                        </w:pPr>
                        <w:r>
                          <w:rPr>
                            <w:sz w:val="16"/>
                          </w:rPr>
                          <w:t>22</w:t>
                        </w:r>
                      </w:p>
                    </w:tc>
                    <w:tc>
                      <w:tcPr>
                        <w:tcW w:w="883" w:type="dxa"/>
                      </w:tcPr>
                      <w:p>
                        <w:pPr>
                          <w:pStyle w:val="TableParagraph"/>
                          <w:spacing w:before="23"/>
                          <w:ind w:left="433"/>
                          <w:rPr>
                            <w:sz w:val="16"/>
                          </w:rPr>
                        </w:pPr>
                        <w:r>
                          <w:rPr>
                            <w:sz w:val="16"/>
                          </w:rPr>
                          <w:t>n.s.</w:t>
                        </w:r>
                      </w:p>
                    </w:tc>
                    <w:tc>
                      <w:tcPr>
                        <w:tcW w:w="792" w:type="dxa"/>
                      </w:tcPr>
                      <w:p>
                        <w:pPr>
                          <w:pStyle w:val="TableParagraph"/>
                          <w:spacing w:before="23"/>
                          <w:ind w:right="209"/>
                          <w:jc w:val="right"/>
                          <w:rPr>
                            <w:sz w:val="16"/>
                          </w:rPr>
                        </w:pPr>
                        <w:r>
                          <w:rPr>
                            <w:sz w:val="16"/>
                          </w:rPr>
                          <w:t>n.s.</w:t>
                        </w:r>
                      </w:p>
                    </w:tc>
                  </w:tr>
                  <w:tr>
                    <w:trPr>
                      <w:trHeight w:val="246" w:hRule="atLeast"/>
                    </w:trPr>
                    <w:tc>
                      <w:tcPr>
                        <w:tcW w:w="1104" w:type="dxa"/>
                      </w:tcPr>
                      <w:p>
                        <w:pPr>
                          <w:pStyle w:val="TableParagraph"/>
                          <w:spacing w:before="23"/>
                          <w:ind w:left="57"/>
                          <w:rPr>
                            <w:sz w:val="16"/>
                          </w:rPr>
                        </w:pPr>
                        <w:r>
                          <w:rPr>
                            <w:sz w:val="16"/>
                          </w:rPr>
                          <w:t>Fiji</w:t>
                        </w:r>
                      </w:p>
                    </w:tc>
                    <w:tc>
                      <w:tcPr>
                        <w:tcW w:w="881" w:type="dxa"/>
                      </w:tcPr>
                      <w:p>
                        <w:pPr>
                          <w:pStyle w:val="TableParagraph"/>
                          <w:spacing w:before="23"/>
                          <w:ind w:right="97"/>
                          <w:jc w:val="right"/>
                          <w:rPr>
                            <w:sz w:val="16"/>
                          </w:rPr>
                        </w:pPr>
                        <w:r>
                          <w:rPr>
                            <w:sz w:val="16"/>
                          </w:rPr>
                          <w:t>832</w:t>
                        </w:r>
                      </w:p>
                    </w:tc>
                    <w:tc>
                      <w:tcPr>
                        <w:tcW w:w="840" w:type="dxa"/>
                      </w:tcPr>
                      <w:p>
                        <w:pPr>
                          <w:pStyle w:val="TableParagraph"/>
                          <w:spacing w:before="23"/>
                          <w:ind w:right="97"/>
                          <w:jc w:val="right"/>
                          <w:rPr>
                            <w:sz w:val="16"/>
                          </w:rPr>
                        </w:pPr>
                        <w:r>
                          <w:rPr>
                            <w:sz w:val="16"/>
                          </w:rPr>
                          <w:t>815</w:t>
                        </w:r>
                      </w:p>
                    </w:tc>
                    <w:tc>
                      <w:tcPr>
                        <w:tcW w:w="883" w:type="dxa"/>
                      </w:tcPr>
                      <w:p>
                        <w:pPr>
                          <w:pStyle w:val="TableParagraph"/>
                          <w:spacing w:before="23"/>
                          <w:ind w:left="525"/>
                          <w:rPr>
                            <w:sz w:val="16"/>
                          </w:rPr>
                        </w:pPr>
                        <w:r>
                          <w:rPr>
                            <w:sz w:val="16"/>
                          </w:rPr>
                          <w:t>-2</w:t>
                        </w:r>
                      </w:p>
                    </w:tc>
                    <w:tc>
                      <w:tcPr>
                        <w:tcW w:w="792" w:type="dxa"/>
                      </w:tcPr>
                      <w:p>
                        <w:pPr>
                          <w:pStyle w:val="TableParagraph"/>
                          <w:spacing w:before="23"/>
                          <w:ind w:right="208"/>
                          <w:jc w:val="right"/>
                          <w:rPr>
                            <w:sz w:val="16"/>
                          </w:rPr>
                        </w:pPr>
                        <w:r>
                          <w:rPr>
                            <w:sz w:val="16"/>
                          </w:rPr>
                          <w:t>-0.2</w:t>
                        </w:r>
                      </w:p>
                    </w:tc>
                  </w:tr>
                  <w:tr>
                    <w:trPr>
                      <w:trHeight w:val="385" w:hRule="atLeast"/>
                    </w:trPr>
                    <w:tc>
                      <w:tcPr>
                        <w:tcW w:w="1104" w:type="dxa"/>
                      </w:tcPr>
                      <w:p>
                        <w:pPr>
                          <w:pStyle w:val="TableParagraph"/>
                          <w:spacing w:line="182" w:lineRule="exact" w:before="7"/>
                          <w:ind w:left="57" w:right="394"/>
                          <w:rPr>
                            <w:sz w:val="16"/>
                          </w:rPr>
                        </w:pPr>
                        <w:r>
                          <w:rPr>
                            <w:sz w:val="16"/>
                          </w:rPr>
                          <w:t>French Polynesia</w:t>
                        </w:r>
                      </w:p>
                    </w:tc>
                    <w:tc>
                      <w:tcPr>
                        <w:tcW w:w="881" w:type="dxa"/>
                      </w:tcPr>
                      <w:p>
                        <w:pPr>
                          <w:pStyle w:val="TableParagraph"/>
                          <w:spacing w:before="95"/>
                          <w:ind w:right="97"/>
                          <w:jc w:val="right"/>
                          <w:rPr>
                            <w:sz w:val="16"/>
                          </w:rPr>
                        </w:pPr>
                        <w:r>
                          <w:rPr>
                            <w:sz w:val="16"/>
                          </w:rPr>
                          <w:t>105</w:t>
                        </w:r>
                      </w:p>
                    </w:tc>
                    <w:tc>
                      <w:tcPr>
                        <w:tcW w:w="840" w:type="dxa"/>
                      </w:tcPr>
                      <w:p>
                        <w:pPr>
                          <w:pStyle w:val="TableParagraph"/>
                          <w:spacing w:before="95"/>
                          <w:ind w:right="97"/>
                          <w:jc w:val="right"/>
                          <w:rPr>
                            <w:sz w:val="16"/>
                          </w:rPr>
                        </w:pPr>
                        <w:r>
                          <w:rPr>
                            <w:sz w:val="16"/>
                          </w:rPr>
                          <w:t>105</w:t>
                        </w:r>
                      </w:p>
                    </w:tc>
                    <w:tc>
                      <w:tcPr>
                        <w:tcW w:w="883" w:type="dxa"/>
                      </w:tcPr>
                      <w:p>
                        <w:pPr>
                          <w:pStyle w:val="TableParagraph"/>
                          <w:spacing w:before="95"/>
                          <w:ind w:left="433"/>
                          <w:rPr>
                            <w:sz w:val="16"/>
                          </w:rPr>
                        </w:pPr>
                        <w:r>
                          <w:rPr>
                            <w:sz w:val="16"/>
                          </w:rPr>
                          <w:t>n.s.</w:t>
                        </w:r>
                      </w:p>
                    </w:tc>
                    <w:tc>
                      <w:tcPr>
                        <w:tcW w:w="792" w:type="dxa"/>
                      </w:tcPr>
                      <w:p>
                        <w:pPr>
                          <w:pStyle w:val="TableParagraph"/>
                          <w:spacing w:before="95"/>
                          <w:ind w:right="209"/>
                          <w:jc w:val="right"/>
                          <w:rPr>
                            <w:sz w:val="16"/>
                          </w:rPr>
                        </w:pPr>
                        <w:r>
                          <w:rPr>
                            <w:sz w:val="16"/>
                          </w:rPr>
                          <w:t>n.s.</w:t>
                        </w:r>
                      </w:p>
                    </w:tc>
                  </w:tr>
                  <w:tr>
                    <w:trPr>
                      <w:trHeight w:val="244" w:hRule="atLeast"/>
                    </w:trPr>
                    <w:tc>
                      <w:tcPr>
                        <w:tcW w:w="1104" w:type="dxa"/>
                      </w:tcPr>
                      <w:p>
                        <w:pPr>
                          <w:pStyle w:val="TableParagraph"/>
                          <w:spacing w:before="23"/>
                          <w:ind w:left="57"/>
                          <w:rPr>
                            <w:sz w:val="16"/>
                          </w:rPr>
                        </w:pPr>
                        <w:r>
                          <w:rPr>
                            <w:sz w:val="16"/>
                          </w:rPr>
                          <w:t>Guam</w:t>
                        </w:r>
                      </w:p>
                    </w:tc>
                    <w:tc>
                      <w:tcPr>
                        <w:tcW w:w="881" w:type="dxa"/>
                      </w:tcPr>
                      <w:p>
                        <w:pPr>
                          <w:pStyle w:val="TableParagraph"/>
                          <w:spacing w:before="23"/>
                          <w:ind w:right="96"/>
                          <w:jc w:val="right"/>
                          <w:rPr>
                            <w:sz w:val="16"/>
                          </w:rPr>
                        </w:pPr>
                        <w:r>
                          <w:rPr>
                            <w:sz w:val="16"/>
                          </w:rPr>
                          <w:t>21</w:t>
                        </w:r>
                      </w:p>
                    </w:tc>
                    <w:tc>
                      <w:tcPr>
                        <w:tcW w:w="840" w:type="dxa"/>
                      </w:tcPr>
                      <w:p>
                        <w:pPr>
                          <w:pStyle w:val="TableParagraph"/>
                          <w:spacing w:before="23"/>
                          <w:ind w:right="96"/>
                          <w:jc w:val="right"/>
                          <w:rPr>
                            <w:sz w:val="16"/>
                          </w:rPr>
                        </w:pPr>
                        <w:r>
                          <w:rPr>
                            <w:sz w:val="16"/>
                          </w:rPr>
                          <w:t>21</w:t>
                        </w:r>
                      </w:p>
                    </w:tc>
                    <w:tc>
                      <w:tcPr>
                        <w:tcW w:w="883" w:type="dxa"/>
                      </w:tcPr>
                      <w:p>
                        <w:pPr>
                          <w:pStyle w:val="TableParagraph"/>
                          <w:spacing w:before="23"/>
                          <w:ind w:left="433"/>
                          <w:rPr>
                            <w:sz w:val="16"/>
                          </w:rPr>
                        </w:pPr>
                        <w:r>
                          <w:rPr>
                            <w:sz w:val="16"/>
                          </w:rPr>
                          <w:t>n.s.</w:t>
                        </w:r>
                      </w:p>
                    </w:tc>
                    <w:tc>
                      <w:tcPr>
                        <w:tcW w:w="792" w:type="dxa"/>
                      </w:tcPr>
                      <w:p>
                        <w:pPr>
                          <w:pStyle w:val="TableParagraph"/>
                          <w:spacing w:before="23"/>
                          <w:ind w:right="209"/>
                          <w:jc w:val="right"/>
                          <w:rPr>
                            <w:sz w:val="16"/>
                          </w:rPr>
                        </w:pPr>
                        <w:r>
                          <w:rPr>
                            <w:sz w:val="16"/>
                          </w:rPr>
                          <w:t>n.s.</w:t>
                        </w:r>
                      </w:p>
                    </w:tc>
                  </w:tr>
                  <w:tr>
                    <w:trPr>
                      <w:trHeight w:val="246" w:hRule="atLeast"/>
                    </w:trPr>
                    <w:tc>
                      <w:tcPr>
                        <w:tcW w:w="1104" w:type="dxa"/>
                      </w:tcPr>
                      <w:p>
                        <w:pPr>
                          <w:pStyle w:val="TableParagraph"/>
                          <w:spacing w:before="23"/>
                          <w:ind w:left="56"/>
                          <w:rPr>
                            <w:sz w:val="16"/>
                          </w:rPr>
                        </w:pPr>
                        <w:r>
                          <w:rPr>
                            <w:sz w:val="16"/>
                          </w:rPr>
                          <w:t>Kiribati</w:t>
                        </w:r>
                      </w:p>
                    </w:tc>
                    <w:tc>
                      <w:tcPr>
                        <w:tcW w:w="881" w:type="dxa"/>
                      </w:tcPr>
                      <w:p>
                        <w:pPr>
                          <w:pStyle w:val="TableParagraph"/>
                          <w:spacing w:before="23"/>
                          <w:ind w:right="96"/>
                          <w:jc w:val="right"/>
                          <w:rPr>
                            <w:sz w:val="16"/>
                          </w:rPr>
                        </w:pPr>
                        <w:r>
                          <w:rPr>
                            <w:sz w:val="16"/>
                          </w:rPr>
                          <w:t>28</w:t>
                        </w:r>
                      </w:p>
                    </w:tc>
                    <w:tc>
                      <w:tcPr>
                        <w:tcW w:w="840" w:type="dxa"/>
                      </w:tcPr>
                      <w:p>
                        <w:pPr>
                          <w:pStyle w:val="TableParagraph"/>
                          <w:spacing w:before="23"/>
                          <w:ind w:right="96"/>
                          <w:jc w:val="right"/>
                          <w:rPr>
                            <w:sz w:val="16"/>
                          </w:rPr>
                        </w:pPr>
                        <w:r>
                          <w:rPr>
                            <w:sz w:val="16"/>
                          </w:rPr>
                          <w:t>28</w:t>
                        </w:r>
                      </w:p>
                    </w:tc>
                    <w:tc>
                      <w:tcPr>
                        <w:tcW w:w="883" w:type="dxa"/>
                      </w:tcPr>
                      <w:p>
                        <w:pPr>
                          <w:pStyle w:val="TableParagraph"/>
                          <w:spacing w:before="23"/>
                          <w:ind w:left="433"/>
                          <w:rPr>
                            <w:sz w:val="16"/>
                          </w:rPr>
                        </w:pPr>
                        <w:r>
                          <w:rPr>
                            <w:sz w:val="16"/>
                          </w:rPr>
                          <w:t>n.s.</w:t>
                        </w:r>
                      </w:p>
                    </w:tc>
                    <w:tc>
                      <w:tcPr>
                        <w:tcW w:w="792" w:type="dxa"/>
                      </w:tcPr>
                      <w:p>
                        <w:pPr>
                          <w:pStyle w:val="TableParagraph"/>
                          <w:spacing w:before="23"/>
                          <w:ind w:right="209"/>
                          <w:jc w:val="right"/>
                          <w:rPr>
                            <w:sz w:val="16"/>
                          </w:rPr>
                        </w:pPr>
                        <w:r>
                          <w:rPr>
                            <w:sz w:val="16"/>
                          </w:rPr>
                          <w:t>n.s.</w:t>
                        </w:r>
                      </w:p>
                    </w:tc>
                  </w:tr>
                  <w:tr>
                    <w:trPr>
                      <w:trHeight w:val="386" w:hRule="atLeast"/>
                    </w:trPr>
                    <w:tc>
                      <w:tcPr>
                        <w:tcW w:w="1104" w:type="dxa"/>
                      </w:tcPr>
                      <w:p>
                        <w:pPr>
                          <w:pStyle w:val="TableParagraph"/>
                          <w:spacing w:line="182" w:lineRule="exact" w:before="7"/>
                          <w:ind w:left="57" w:right="448"/>
                          <w:rPr>
                            <w:sz w:val="16"/>
                          </w:rPr>
                        </w:pPr>
                        <w:r>
                          <w:rPr>
                            <w:sz w:val="16"/>
                          </w:rPr>
                          <w:t>Marshall Islands</w:t>
                        </w:r>
                      </w:p>
                    </w:tc>
                    <w:tc>
                      <w:tcPr>
                        <w:tcW w:w="881" w:type="dxa"/>
                      </w:tcPr>
                      <w:p>
                        <w:pPr>
                          <w:pStyle w:val="TableParagraph"/>
                          <w:spacing w:before="95"/>
                          <w:ind w:right="97"/>
                          <w:jc w:val="right"/>
                          <w:rPr>
                            <w:sz w:val="16"/>
                          </w:rPr>
                        </w:pPr>
                        <w:r>
                          <w:rPr>
                            <w:sz w:val="16"/>
                          </w:rPr>
                          <w:t>n.s.</w:t>
                        </w:r>
                      </w:p>
                    </w:tc>
                    <w:tc>
                      <w:tcPr>
                        <w:tcW w:w="840" w:type="dxa"/>
                      </w:tcPr>
                      <w:p>
                        <w:pPr>
                          <w:pStyle w:val="TableParagraph"/>
                          <w:spacing w:before="95"/>
                          <w:ind w:right="97"/>
                          <w:jc w:val="right"/>
                          <w:rPr>
                            <w:sz w:val="16"/>
                          </w:rPr>
                        </w:pPr>
                        <w:r>
                          <w:rPr>
                            <w:sz w:val="16"/>
                          </w:rPr>
                          <w:t>n.s.</w:t>
                        </w:r>
                      </w:p>
                    </w:tc>
                    <w:tc>
                      <w:tcPr>
                        <w:tcW w:w="883" w:type="dxa"/>
                      </w:tcPr>
                      <w:p>
                        <w:pPr>
                          <w:pStyle w:val="TableParagraph"/>
                          <w:spacing w:before="95"/>
                          <w:ind w:left="433"/>
                          <w:rPr>
                            <w:sz w:val="16"/>
                          </w:rPr>
                        </w:pPr>
                        <w:r>
                          <w:rPr>
                            <w:sz w:val="16"/>
                          </w:rPr>
                          <w:t>n.s.</w:t>
                        </w:r>
                      </w:p>
                    </w:tc>
                    <w:tc>
                      <w:tcPr>
                        <w:tcW w:w="792" w:type="dxa"/>
                      </w:tcPr>
                      <w:p>
                        <w:pPr>
                          <w:pStyle w:val="TableParagraph"/>
                          <w:spacing w:before="95"/>
                          <w:ind w:right="209"/>
                          <w:jc w:val="right"/>
                          <w:rPr>
                            <w:sz w:val="16"/>
                          </w:rPr>
                        </w:pPr>
                        <w:r>
                          <w:rPr>
                            <w:sz w:val="16"/>
                          </w:rPr>
                          <w:t>n.s.</w:t>
                        </w:r>
                      </w:p>
                    </w:tc>
                  </w:tr>
                  <w:tr>
                    <w:trPr>
                      <w:trHeight w:val="244" w:hRule="atLeast"/>
                    </w:trPr>
                    <w:tc>
                      <w:tcPr>
                        <w:tcW w:w="1104" w:type="dxa"/>
                      </w:tcPr>
                      <w:p>
                        <w:pPr>
                          <w:pStyle w:val="TableParagraph"/>
                          <w:spacing w:before="23"/>
                          <w:ind w:left="56"/>
                          <w:rPr>
                            <w:sz w:val="16"/>
                          </w:rPr>
                        </w:pPr>
                        <w:r>
                          <w:rPr>
                            <w:sz w:val="16"/>
                          </w:rPr>
                          <w:t>Micronesia</w:t>
                        </w:r>
                      </w:p>
                    </w:tc>
                    <w:tc>
                      <w:tcPr>
                        <w:tcW w:w="881" w:type="dxa"/>
                      </w:tcPr>
                      <w:p>
                        <w:pPr>
                          <w:pStyle w:val="TableParagraph"/>
                          <w:spacing w:before="23"/>
                          <w:ind w:right="95"/>
                          <w:jc w:val="right"/>
                          <w:rPr>
                            <w:sz w:val="16"/>
                          </w:rPr>
                        </w:pPr>
                        <w:r>
                          <w:rPr>
                            <w:sz w:val="16"/>
                          </w:rPr>
                          <w:t>24</w:t>
                        </w:r>
                      </w:p>
                    </w:tc>
                    <w:tc>
                      <w:tcPr>
                        <w:tcW w:w="840" w:type="dxa"/>
                      </w:tcPr>
                      <w:p>
                        <w:pPr>
                          <w:pStyle w:val="TableParagraph"/>
                          <w:spacing w:before="23"/>
                          <w:ind w:right="96"/>
                          <w:jc w:val="right"/>
                          <w:rPr>
                            <w:sz w:val="16"/>
                          </w:rPr>
                        </w:pPr>
                        <w:r>
                          <w:rPr>
                            <w:sz w:val="16"/>
                          </w:rPr>
                          <w:t>15</w:t>
                        </w:r>
                      </w:p>
                    </w:tc>
                    <w:tc>
                      <w:tcPr>
                        <w:tcW w:w="883" w:type="dxa"/>
                      </w:tcPr>
                      <w:p>
                        <w:pPr>
                          <w:pStyle w:val="TableParagraph"/>
                          <w:spacing w:before="23"/>
                          <w:ind w:left="525"/>
                          <w:rPr>
                            <w:sz w:val="16"/>
                          </w:rPr>
                        </w:pPr>
                        <w:r>
                          <w:rPr>
                            <w:sz w:val="16"/>
                          </w:rPr>
                          <w:t>-1</w:t>
                        </w:r>
                      </w:p>
                    </w:tc>
                    <w:tc>
                      <w:tcPr>
                        <w:tcW w:w="792" w:type="dxa"/>
                      </w:tcPr>
                      <w:p>
                        <w:pPr>
                          <w:pStyle w:val="TableParagraph"/>
                          <w:spacing w:before="23"/>
                          <w:ind w:right="208"/>
                          <w:jc w:val="right"/>
                          <w:rPr>
                            <w:sz w:val="16"/>
                          </w:rPr>
                        </w:pPr>
                        <w:r>
                          <w:rPr>
                            <w:sz w:val="16"/>
                          </w:rPr>
                          <w:t>-4.5</w:t>
                        </w:r>
                      </w:p>
                    </w:tc>
                  </w:tr>
                  <w:tr>
                    <w:trPr>
                      <w:trHeight w:val="388" w:hRule="atLeast"/>
                    </w:trPr>
                    <w:tc>
                      <w:tcPr>
                        <w:tcW w:w="1104" w:type="dxa"/>
                      </w:tcPr>
                      <w:p>
                        <w:pPr>
                          <w:pStyle w:val="TableParagraph"/>
                          <w:spacing w:before="95"/>
                          <w:ind w:left="56"/>
                          <w:rPr>
                            <w:sz w:val="16"/>
                          </w:rPr>
                        </w:pPr>
                        <w:r>
                          <w:rPr>
                            <w:sz w:val="16"/>
                          </w:rPr>
                          <w:t>Nauru</w:t>
                        </w:r>
                      </w:p>
                    </w:tc>
                    <w:tc>
                      <w:tcPr>
                        <w:tcW w:w="881" w:type="dxa"/>
                      </w:tcPr>
                      <w:p>
                        <w:pPr>
                          <w:pStyle w:val="TableParagraph"/>
                          <w:spacing w:before="95"/>
                          <w:ind w:right="98"/>
                          <w:jc w:val="right"/>
                          <w:rPr>
                            <w:sz w:val="16"/>
                          </w:rPr>
                        </w:pPr>
                        <w:r>
                          <w:rPr>
                            <w:sz w:val="16"/>
                          </w:rPr>
                          <w:t>n.s.</w:t>
                        </w:r>
                      </w:p>
                    </w:tc>
                    <w:tc>
                      <w:tcPr>
                        <w:tcW w:w="840" w:type="dxa"/>
                      </w:tcPr>
                      <w:p>
                        <w:pPr>
                          <w:pStyle w:val="TableParagraph"/>
                          <w:spacing w:before="95"/>
                          <w:ind w:right="98"/>
                          <w:jc w:val="right"/>
                          <w:rPr>
                            <w:sz w:val="16"/>
                          </w:rPr>
                        </w:pPr>
                        <w:r>
                          <w:rPr>
                            <w:sz w:val="16"/>
                          </w:rPr>
                          <w:t>n.s.</w:t>
                        </w:r>
                      </w:p>
                    </w:tc>
                    <w:tc>
                      <w:tcPr>
                        <w:tcW w:w="883" w:type="dxa"/>
                      </w:tcPr>
                      <w:p>
                        <w:pPr>
                          <w:pStyle w:val="TableParagraph"/>
                          <w:spacing w:before="95"/>
                          <w:ind w:left="432"/>
                          <w:rPr>
                            <w:sz w:val="16"/>
                          </w:rPr>
                        </w:pPr>
                        <w:r>
                          <w:rPr>
                            <w:sz w:val="16"/>
                          </w:rPr>
                          <w:t>n.s.</w:t>
                        </w:r>
                      </w:p>
                    </w:tc>
                    <w:tc>
                      <w:tcPr>
                        <w:tcW w:w="792" w:type="dxa"/>
                      </w:tcPr>
                      <w:p>
                        <w:pPr>
                          <w:pStyle w:val="TableParagraph"/>
                          <w:spacing w:before="95"/>
                          <w:ind w:right="201"/>
                          <w:jc w:val="right"/>
                          <w:rPr>
                            <w:sz w:val="16"/>
                          </w:rPr>
                        </w:pPr>
                        <w:r>
                          <w:rPr>
                            <w:sz w:val="16"/>
                          </w:rPr>
                          <w:t>n.s.</w:t>
                        </w:r>
                      </w:p>
                    </w:tc>
                  </w:tr>
                  <w:tr>
                    <w:trPr>
                      <w:trHeight w:val="244" w:hRule="atLeast"/>
                    </w:trPr>
                    <w:tc>
                      <w:tcPr>
                        <w:tcW w:w="1104" w:type="dxa"/>
                      </w:tcPr>
                      <w:p>
                        <w:pPr>
                          <w:pStyle w:val="TableParagraph"/>
                          <w:spacing w:before="23"/>
                          <w:ind w:left="57"/>
                          <w:rPr>
                            <w:sz w:val="16"/>
                          </w:rPr>
                        </w:pPr>
                        <w:r>
                          <w:rPr>
                            <w:sz w:val="16"/>
                          </w:rPr>
                          <w:t>New Caledonia</w:t>
                        </w:r>
                      </w:p>
                    </w:tc>
                    <w:tc>
                      <w:tcPr>
                        <w:tcW w:w="881" w:type="dxa"/>
                      </w:tcPr>
                      <w:p>
                        <w:pPr>
                          <w:pStyle w:val="TableParagraph"/>
                          <w:spacing w:before="23"/>
                          <w:ind w:right="96"/>
                          <w:jc w:val="right"/>
                          <w:rPr>
                            <w:sz w:val="16"/>
                          </w:rPr>
                        </w:pPr>
                        <w:r>
                          <w:rPr>
                            <w:sz w:val="16"/>
                          </w:rPr>
                          <w:t>372</w:t>
                        </w:r>
                      </w:p>
                    </w:tc>
                    <w:tc>
                      <w:tcPr>
                        <w:tcW w:w="840" w:type="dxa"/>
                      </w:tcPr>
                      <w:p>
                        <w:pPr>
                          <w:pStyle w:val="TableParagraph"/>
                          <w:spacing w:before="23"/>
                          <w:ind w:right="98"/>
                          <w:jc w:val="right"/>
                          <w:rPr>
                            <w:sz w:val="16"/>
                          </w:rPr>
                        </w:pPr>
                        <w:r>
                          <w:rPr>
                            <w:sz w:val="16"/>
                          </w:rPr>
                          <w:t>372</w:t>
                        </w:r>
                      </w:p>
                    </w:tc>
                    <w:tc>
                      <w:tcPr>
                        <w:tcW w:w="883" w:type="dxa"/>
                      </w:tcPr>
                      <w:p>
                        <w:pPr>
                          <w:pStyle w:val="TableParagraph"/>
                          <w:spacing w:before="23"/>
                          <w:ind w:left="434"/>
                          <w:rPr>
                            <w:sz w:val="16"/>
                          </w:rPr>
                        </w:pPr>
                        <w:r>
                          <w:rPr>
                            <w:sz w:val="16"/>
                          </w:rPr>
                          <w:t>n.s.</w:t>
                        </w:r>
                      </w:p>
                    </w:tc>
                    <w:tc>
                      <w:tcPr>
                        <w:tcW w:w="792" w:type="dxa"/>
                      </w:tcPr>
                      <w:p>
                        <w:pPr>
                          <w:pStyle w:val="TableParagraph"/>
                          <w:spacing w:before="23"/>
                          <w:ind w:right="208"/>
                          <w:jc w:val="right"/>
                          <w:rPr>
                            <w:sz w:val="16"/>
                          </w:rPr>
                        </w:pPr>
                        <w:r>
                          <w:rPr>
                            <w:sz w:val="16"/>
                          </w:rPr>
                          <w:t>n.s.</w:t>
                        </w:r>
                      </w:p>
                    </w:tc>
                  </w:tr>
                  <w:tr>
                    <w:trPr>
                      <w:trHeight w:val="244" w:hRule="atLeast"/>
                    </w:trPr>
                    <w:tc>
                      <w:tcPr>
                        <w:tcW w:w="1104" w:type="dxa"/>
                      </w:tcPr>
                      <w:p>
                        <w:pPr>
                          <w:pStyle w:val="TableParagraph"/>
                          <w:spacing w:before="23"/>
                          <w:ind w:left="58"/>
                          <w:rPr>
                            <w:sz w:val="16"/>
                          </w:rPr>
                        </w:pPr>
                        <w:r>
                          <w:rPr>
                            <w:sz w:val="16"/>
                          </w:rPr>
                          <w:t>New Zealand</w:t>
                        </w:r>
                      </w:p>
                    </w:tc>
                    <w:tc>
                      <w:tcPr>
                        <w:tcW w:w="881" w:type="dxa"/>
                      </w:tcPr>
                      <w:p>
                        <w:pPr>
                          <w:pStyle w:val="TableParagraph"/>
                          <w:spacing w:before="23"/>
                          <w:ind w:right="96"/>
                          <w:jc w:val="right"/>
                          <w:rPr>
                            <w:sz w:val="16"/>
                          </w:rPr>
                        </w:pPr>
                        <w:r>
                          <w:rPr>
                            <w:sz w:val="16"/>
                          </w:rPr>
                          <w:t>7 556</w:t>
                        </w:r>
                      </w:p>
                    </w:tc>
                    <w:tc>
                      <w:tcPr>
                        <w:tcW w:w="840" w:type="dxa"/>
                      </w:tcPr>
                      <w:p>
                        <w:pPr>
                          <w:pStyle w:val="TableParagraph"/>
                          <w:spacing w:before="23"/>
                          <w:ind w:right="96"/>
                          <w:jc w:val="right"/>
                          <w:rPr>
                            <w:sz w:val="16"/>
                          </w:rPr>
                        </w:pPr>
                        <w:r>
                          <w:rPr>
                            <w:sz w:val="16"/>
                          </w:rPr>
                          <w:t>7 946</w:t>
                        </w:r>
                      </w:p>
                    </w:tc>
                    <w:tc>
                      <w:tcPr>
                        <w:tcW w:w="883" w:type="dxa"/>
                      </w:tcPr>
                      <w:p>
                        <w:pPr>
                          <w:pStyle w:val="TableParagraph"/>
                          <w:spacing w:before="23"/>
                          <w:ind w:left="497"/>
                          <w:rPr>
                            <w:sz w:val="16"/>
                          </w:rPr>
                        </w:pPr>
                        <w:r>
                          <w:rPr>
                            <w:sz w:val="16"/>
                          </w:rPr>
                          <w:t>39</w:t>
                        </w:r>
                      </w:p>
                    </w:tc>
                    <w:tc>
                      <w:tcPr>
                        <w:tcW w:w="792" w:type="dxa"/>
                      </w:tcPr>
                      <w:p>
                        <w:pPr>
                          <w:pStyle w:val="TableParagraph"/>
                          <w:spacing w:before="23"/>
                          <w:ind w:right="209"/>
                          <w:jc w:val="right"/>
                          <w:rPr>
                            <w:sz w:val="16"/>
                          </w:rPr>
                        </w:pPr>
                        <w:r>
                          <w:rPr>
                            <w:sz w:val="16"/>
                          </w:rPr>
                          <w:t>0.5</w:t>
                        </w:r>
                      </w:p>
                    </w:tc>
                  </w:tr>
                  <w:tr>
                    <w:trPr>
                      <w:trHeight w:val="244" w:hRule="atLeast"/>
                    </w:trPr>
                    <w:tc>
                      <w:tcPr>
                        <w:tcW w:w="1104" w:type="dxa"/>
                      </w:tcPr>
                      <w:p>
                        <w:pPr>
                          <w:pStyle w:val="TableParagraph"/>
                          <w:spacing w:before="23"/>
                          <w:ind w:left="58"/>
                          <w:rPr>
                            <w:sz w:val="16"/>
                          </w:rPr>
                        </w:pPr>
                        <w:r>
                          <w:rPr>
                            <w:sz w:val="16"/>
                          </w:rPr>
                          <w:t>Niue</w:t>
                        </w:r>
                      </w:p>
                    </w:tc>
                    <w:tc>
                      <w:tcPr>
                        <w:tcW w:w="881" w:type="dxa"/>
                      </w:tcPr>
                      <w:p>
                        <w:pPr>
                          <w:pStyle w:val="TableParagraph"/>
                          <w:spacing w:before="23"/>
                          <w:ind w:right="97"/>
                          <w:jc w:val="right"/>
                          <w:rPr>
                            <w:sz w:val="16"/>
                          </w:rPr>
                        </w:pPr>
                        <w:r>
                          <w:rPr>
                            <w:w w:val="100"/>
                            <w:sz w:val="16"/>
                          </w:rPr>
                          <w:t>6</w:t>
                        </w:r>
                      </w:p>
                    </w:tc>
                    <w:tc>
                      <w:tcPr>
                        <w:tcW w:w="840" w:type="dxa"/>
                      </w:tcPr>
                      <w:p>
                        <w:pPr>
                          <w:pStyle w:val="TableParagraph"/>
                          <w:spacing w:before="23"/>
                          <w:ind w:right="97"/>
                          <w:jc w:val="right"/>
                          <w:rPr>
                            <w:sz w:val="16"/>
                          </w:rPr>
                        </w:pPr>
                        <w:r>
                          <w:rPr>
                            <w:w w:val="100"/>
                            <w:sz w:val="16"/>
                          </w:rPr>
                          <w:t>6</w:t>
                        </w:r>
                      </w:p>
                    </w:tc>
                    <w:tc>
                      <w:tcPr>
                        <w:tcW w:w="883" w:type="dxa"/>
                      </w:tcPr>
                      <w:p>
                        <w:pPr>
                          <w:pStyle w:val="TableParagraph"/>
                          <w:spacing w:before="23"/>
                          <w:ind w:left="434"/>
                          <w:rPr>
                            <w:sz w:val="16"/>
                          </w:rPr>
                        </w:pPr>
                        <w:r>
                          <w:rPr>
                            <w:sz w:val="16"/>
                          </w:rPr>
                          <w:t>n.s.</w:t>
                        </w:r>
                      </w:p>
                    </w:tc>
                    <w:tc>
                      <w:tcPr>
                        <w:tcW w:w="792" w:type="dxa"/>
                      </w:tcPr>
                      <w:p>
                        <w:pPr>
                          <w:pStyle w:val="TableParagraph"/>
                          <w:spacing w:before="23"/>
                          <w:ind w:right="208"/>
                          <w:jc w:val="right"/>
                          <w:rPr>
                            <w:sz w:val="16"/>
                          </w:rPr>
                        </w:pPr>
                        <w:r>
                          <w:rPr>
                            <w:sz w:val="16"/>
                          </w:rPr>
                          <w:t>n.s.</w:t>
                        </w:r>
                      </w:p>
                    </w:tc>
                  </w:tr>
                  <w:tr>
                    <w:trPr>
                      <w:trHeight w:val="388" w:hRule="atLeast"/>
                    </w:trPr>
                    <w:tc>
                      <w:tcPr>
                        <w:tcW w:w="1104" w:type="dxa"/>
                      </w:tcPr>
                      <w:p>
                        <w:pPr>
                          <w:pStyle w:val="TableParagraph"/>
                          <w:spacing w:line="180" w:lineRule="atLeast" w:before="4"/>
                          <w:ind w:left="57"/>
                          <w:rPr>
                            <w:sz w:val="16"/>
                          </w:rPr>
                        </w:pPr>
                        <w:r>
                          <w:rPr>
                            <w:sz w:val="16"/>
                          </w:rPr>
                          <w:t>Northern Mariana Isl.</w:t>
                        </w:r>
                      </w:p>
                    </w:tc>
                    <w:tc>
                      <w:tcPr>
                        <w:tcW w:w="881" w:type="dxa"/>
                      </w:tcPr>
                      <w:p>
                        <w:pPr>
                          <w:pStyle w:val="TableParagraph"/>
                          <w:spacing w:before="95"/>
                          <w:ind w:right="96"/>
                          <w:jc w:val="right"/>
                          <w:rPr>
                            <w:sz w:val="16"/>
                          </w:rPr>
                        </w:pPr>
                        <w:r>
                          <w:rPr>
                            <w:sz w:val="16"/>
                          </w:rPr>
                          <w:t>14</w:t>
                        </w:r>
                      </w:p>
                    </w:tc>
                    <w:tc>
                      <w:tcPr>
                        <w:tcW w:w="840" w:type="dxa"/>
                      </w:tcPr>
                      <w:p>
                        <w:pPr>
                          <w:pStyle w:val="TableParagraph"/>
                          <w:spacing w:before="95"/>
                          <w:ind w:right="96"/>
                          <w:jc w:val="right"/>
                          <w:rPr>
                            <w:sz w:val="16"/>
                          </w:rPr>
                        </w:pPr>
                        <w:r>
                          <w:rPr>
                            <w:sz w:val="16"/>
                          </w:rPr>
                          <w:t>14</w:t>
                        </w:r>
                      </w:p>
                    </w:tc>
                    <w:tc>
                      <w:tcPr>
                        <w:tcW w:w="883" w:type="dxa"/>
                      </w:tcPr>
                      <w:p>
                        <w:pPr>
                          <w:pStyle w:val="TableParagraph"/>
                          <w:spacing w:before="95"/>
                          <w:ind w:left="433"/>
                          <w:rPr>
                            <w:sz w:val="16"/>
                          </w:rPr>
                        </w:pPr>
                        <w:r>
                          <w:rPr>
                            <w:sz w:val="16"/>
                          </w:rPr>
                          <w:t>n.s.</w:t>
                        </w:r>
                      </w:p>
                    </w:tc>
                    <w:tc>
                      <w:tcPr>
                        <w:tcW w:w="792" w:type="dxa"/>
                      </w:tcPr>
                      <w:p>
                        <w:pPr>
                          <w:pStyle w:val="TableParagraph"/>
                          <w:spacing w:before="95"/>
                          <w:ind w:right="209"/>
                          <w:jc w:val="right"/>
                          <w:rPr>
                            <w:sz w:val="16"/>
                          </w:rPr>
                        </w:pPr>
                        <w:r>
                          <w:rPr>
                            <w:sz w:val="16"/>
                          </w:rPr>
                          <w:t>n.s.</w:t>
                        </w:r>
                      </w:p>
                    </w:tc>
                  </w:tr>
                  <w:tr>
                    <w:trPr>
                      <w:trHeight w:val="244" w:hRule="atLeast"/>
                    </w:trPr>
                    <w:tc>
                      <w:tcPr>
                        <w:tcW w:w="1104" w:type="dxa"/>
                      </w:tcPr>
                      <w:p>
                        <w:pPr>
                          <w:pStyle w:val="TableParagraph"/>
                          <w:spacing w:before="23"/>
                          <w:ind w:left="57"/>
                          <w:rPr>
                            <w:sz w:val="16"/>
                          </w:rPr>
                        </w:pPr>
                        <w:r>
                          <w:rPr>
                            <w:sz w:val="16"/>
                          </w:rPr>
                          <w:t>Palau</w:t>
                        </w:r>
                      </w:p>
                    </w:tc>
                    <w:tc>
                      <w:tcPr>
                        <w:tcW w:w="881" w:type="dxa"/>
                      </w:tcPr>
                      <w:p>
                        <w:pPr>
                          <w:pStyle w:val="TableParagraph"/>
                          <w:spacing w:before="23"/>
                          <w:ind w:right="96"/>
                          <w:jc w:val="right"/>
                          <w:rPr>
                            <w:sz w:val="16"/>
                          </w:rPr>
                        </w:pPr>
                        <w:r>
                          <w:rPr>
                            <w:sz w:val="16"/>
                          </w:rPr>
                          <w:t>35</w:t>
                        </w:r>
                      </w:p>
                    </w:tc>
                    <w:tc>
                      <w:tcPr>
                        <w:tcW w:w="840" w:type="dxa"/>
                      </w:tcPr>
                      <w:p>
                        <w:pPr>
                          <w:pStyle w:val="TableParagraph"/>
                          <w:spacing w:before="23"/>
                          <w:ind w:right="96"/>
                          <w:jc w:val="right"/>
                          <w:rPr>
                            <w:sz w:val="16"/>
                          </w:rPr>
                        </w:pPr>
                        <w:r>
                          <w:rPr>
                            <w:sz w:val="16"/>
                          </w:rPr>
                          <w:t>35</w:t>
                        </w:r>
                      </w:p>
                    </w:tc>
                    <w:tc>
                      <w:tcPr>
                        <w:tcW w:w="883" w:type="dxa"/>
                      </w:tcPr>
                      <w:p>
                        <w:pPr>
                          <w:pStyle w:val="TableParagraph"/>
                          <w:spacing w:before="23"/>
                          <w:ind w:left="433"/>
                          <w:rPr>
                            <w:sz w:val="16"/>
                          </w:rPr>
                        </w:pPr>
                        <w:r>
                          <w:rPr>
                            <w:sz w:val="16"/>
                          </w:rPr>
                          <w:t>n.s.</w:t>
                        </w:r>
                      </w:p>
                    </w:tc>
                    <w:tc>
                      <w:tcPr>
                        <w:tcW w:w="792" w:type="dxa"/>
                      </w:tcPr>
                      <w:p>
                        <w:pPr>
                          <w:pStyle w:val="TableParagraph"/>
                          <w:spacing w:before="23"/>
                          <w:ind w:right="209"/>
                          <w:jc w:val="right"/>
                          <w:rPr>
                            <w:sz w:val="16"/>
                          </w:rPr>
                        </w:pPr>
                        <w:r>
                          <w:rPr>
                            <w:sz w:val="16"/>
                          </w:rPr>
                          <w:t>n.s.</w:t>
                        </w:r>
                      </w:p>
                    </w:tc>
                  </w:tr>
                  <w:tr>
                    <w:trPr>
                      <w:trHeight w:val="388" w:hRule="atLeast"/>
                    </w:trPr>
                    <w:tc>
                      <w:tcPr>
                        <w:tcW w:w="1104" w:type="dxa"/>
                      </w:tcPr>
                      <w:p>
                        <w:pPr>
                          <w:pStyle w:val="TableParagraph"/>
                          <w:spacing w:line="180" w:lineRule="atLeast" w:before="4"/>
                          <w:ind w:left="57" w:right="283"/>
                          <w:rPr>
                            <w:sz w:val="16"/>
                          </w:rPr>
                        </w:pPr>
                        <w:r>
                          <w:rPr>
                            <w:sz w:val="16"/>
                          </w:rPr>
                          <w:t>Papua New Guinea</w:t>
                        </w:r>
                      </w:p>
                    </w:tc>
                    <w:tc>
                      <w:tcPr>
                        <w:tcW w:w="881" w:type="dxa"/>
                      </w:tcPr>
                      <w:p>
                        <w:pPr>
                          <w:pStyle w:val="TableParagraph"/>
                          <w:spacing w:before="95"/>
                          <w:ind w:right="98"/>
                          <w:jc w:val="right"/>
                          <w:rPr>
                            <w:sz w:val="16"/>
                          </w:rPr>
                        </w:pPr>
                        <w:r>
                          <w:rPr>
                            <w:sz w:val="16"/>
                          </w:rPr>
                          <w:t>31 730</w:t>
                        </w:r>
                      </w:p>
                    </w:tc>
                    <w:tc>
                      <w:tcPr>
                        <w:tcW w:w="840" w:type="dxa"/>
                      </w:tcPr>
                      <w:p>
                        <w:pPr>
                          <w:pStyle w:val="TableParagraph"/>
                          <w:spacing w:before="95"/>
                          <w:ind w:right="98"/>
                          <w:jc w:val="right"/>
                          <w:rPr>
                            <w:sz w:val="16"/>
                          </w:rPr>
                        </w:pPr>
                        <w:r>
                          <w:rPr>
                            <w:sz w:val="16"/>
                          </w:rPr>
                          <w:t>30 601</w:t>
                        </w:r>
                      </w:p>
                    </w:tc>
                    <w:tc>
                      <w:tcPr>
                        <w:tcW w:w="883" w:type="dxa"/>
                      </w:tcPr>
                      <w:p>
                        <w:pPr>
                          <w:pStyle w:val="TableParagraph"/>
                          <w:spacing w:before="95"/>
                          <w:ind w:left="364"/>
                          <w:rPr>
                            <w:sz w:val="16"/>
                          </w:rPr>
                        </w:pPr>
                        <w:r>
                          <w:rPr>
                            <w:sz w:val="16"/>
                          </w:rPr>
                          <w:t>-113</w:t>
                        </w:r>
                      </w:p>
                    </w:tc>
                    <w:tc>
                      <w:tcPr>
                        <w:tcW w:w="792" w:type="dxa"/>
                      </w:tcPr>
                      <w:p>
                        <w:pPr>
                          <w:pStyle w:val="TableParagraph"/>
                          <w:spacing w:before="95"/>
                          <w:ind w:right="210"/>
                          <w:jc w:val="right"/>
                          <w:rPr>
                            <w:sz w:val="16"/>
                          </w:rPr>
                        </w:pPr>
                        <w:r>
                          <w:rPr>
                            <w:sz w:val="16"/>
                          </w:rPr>
                          <w:t>-0.4</w:t>
                        </w:r>
                      </w:p>
                    </w:tc>
                  </w:tr>
                  <w:tr>
                    <w:trPr>
                      <w:trHeight w:val="244" w:hRule="atLeast"/>
                    </w:trPr>
                    <w:tc>
                      <w:tcPr>
                        <w:tcW w:w="1104" w:type="dxa"/>
                      </w:tcPr>
                      <w:p>
                        <w:pPr>
                          <w:pStyle w:val="TableParagraph"/>
                          <w:spacing w:before="23"/>
                          <w:ind w:left="57"/>
                          <w:rPr>
                            <w:sz w:val="16"/>
                          </w:rPr>
                        </w:pPr>
                        <w:r>
                          <w:rPr>
                            <w:sz w:val="16"/>
                          </w:rPr>
                          <w:t>Samoa</w:t>
                        </w:r>
                      </w:p>
                    </w:tc>
                    <w:tc>
                      <w:tcPr>
                        <w:tcW w:w="881" w:type="dxa"/>
                      </w:tcPr>
                      <w:p>
                        <w:pPr>
                          <w:pStyle w:val="TableParagraph"/>
                          <w:spacing w:before="23"/>
                          <w:ind w:right="96"/>
                          <w:jc w:val="right"/>
                          <w:rPr>
                            <w:sz w:val="16"/>
                          </w:rPr>
                        </w:pPr>
                        <w:r>
                          <w:rPr>
                            <w:sz w:val="16"/>
                          </w:rPr>
                          <w:t>130</w:t>
                        </w:r>
                      </w:p>
                    </w:tc>
                    <w:tc>
                      <w:tcPr>
                        <w:tcW w:w="840" w:type="dxa"/>
                      </w:tcPr>
                      <w:p>
                        <w:pPr>
                          <w:pStyle w:val="TableParagraph"/>
                          <w:spacing w:before="23"/>
                          <w:ind w:right="97"/>
                          <w:jc w:val="right"/>
                          <w:rPr>
                            <w:sz w:val="16"/>
                          </w:rPr>
                        </w:pPr>
                        <w:r>
                          <w:rPr>
                            <w:sz w:val="16"/>
                          </w:rPr>
                          <w:t>105</w:t>
                        </w:r>
                      </w:p>
                    </w:tc>
                    <w:tc>
                      <w:tcPr>
                        <w:tcW w:w="883" w:type="dxa"/>
                      </w:tcPr>
                      <w:p>
                        <w:pPr>
                          <w:pStyle w:val="TableParagraph"/>
                          <w:spacing w:before="23"/>
                          <w:ind w:left="525"/>
                          <w:rPr>
                            <w:sz w:val="16"/>
                          </w:rPr>
                        </w:pPr>
                        <w:r>
                          <w:rPr>
                            <w:sz w:val="16"/>
                          </w:rPr>
                          <w:t>-3</w:t>
                        </w:r>
                      </w:p>
                    </w:tc>
                    <w:tc>
                      <w:tcPr>
                        <w:tcW w:w="792" w:type="dxa"/>
                      </w:tcPr>
                      <w:p>
                        <w:pPr>
                          <w:pStyle w:val="TableParagraph"/>
                          <w:spacing w:before="23"/>
                          <w:ind w:right="208"/>
                          <w:jc w:val="right"/>
                          <w:rPr>
                            <w:sz w:val="16"/>
                          </w:rPr>
                        </w:pPr>
                        <w:r>
                          <w:rPr>
                            <w:sz w:val="16"/>
                          </w:rPr>
                          <w:t>-2.1</w:t>
                        </w:r>
                      </w:p>
                    </w:tc>
                  </w:tr>
                  <w:tr>
                    <w:trPr>
                      <w:trHeight w:val="386" w:hRule="atLeast"/>
                    </w:trPr>
                    <w:tc>
                      <w:tcPr>
                        <w:tcW w:w="1104" w:type="dxa"/>
                      </w:tcPr>
                      <w:p>
                        <w:pPr>
                          <w:pStyle w:val="TableParagraph"/>
                          <w:spacing w:line="182" w:lineRule="exact" w:before="7"/>
                          <w:ind w:left="57" w:right="266"/>
                          <w:rPr>
                            <w:sz w:val="16"/>
                          </w:rPr>
                        </w:pPr>
                        <w:r>
                          <w:rPr>
                            <w:sz w:val="16"/>
                          </w:rPr>
                          <w:t>Solomon Islands</w:t>
                        </w:r>
                      </w:p>
                    </w:tc>
                    <w:tc>
                      <w:tcPr>
                        <w:tcW w:w="881" w:type="dxa"/>
                      </w:tcPr>
                      <w:p>
                        <w:pPr>
                          <w:pStyle w:val="TableParagraph"/>
                          <w:spacing w:before="95"/>
                          <w:ind w:right="97"/>
                          <w:jc w:val="right"/>
                          <w:rPr>
                            <w:sz w:val="16"/>
                          </w:rPr>
                        </w:pPr>
                        <w:r>
                          <w:rPr>
                            <w:sz w:val="16"/>
                          </w:rPr>
                          <w:t>2 580</w:t>
                        </w:r>
                      </w:p>
                    </w:tc>
                    <w:tc>
                      <w:tcPr>
                        <w:tcW w:w="840" w:type="dxa"/>
                      </w:tcPr>
                      <w:p>
                        <w:pPr>
                          <w:pStyle w:val="TableParagraph"/>
                          <w:spacing w:before="95"/>
                          <w:ind w:right="97"/>
                          <w:jc w:val="right"/>
                          <w:rPr>
                            <w:sz w:val="16"/>
                          </w:rPr>
                        </w:pPr>
                        <w:r>
                          <w:rPr>
                            <w:sz w:val="16"/>
                          </w:rPr>
                          <w:t>2 536</w:t>
                        </w:r>
                      </w:p>
                    </w:tc>
                    <w:tc>
                      <w:tcPr>
                        <w:tcW w:w="883" w:type="dxa"/>
                      </w:tcPr>
                      <w:p>
                        <w:pPr>
                          <w:pStyle w:val="TableParagraph"/>
                          <w:spacing w:before="95"/>
                          <w:ind w:left="524"/>
                          <w:rPr>
                            <w:sz w:val="16"/>
                          </w:rPr>
                        </w:pPr>
                        <w:r>
                          <w:rPr>
                            <w:sz w:val="16"/>
                          </w:rPr>
                          <w:t>-4</w:t>
                        </w:r>
                      </w:p>
                    </w:tc>
                    <w:tc>
                      <w:tcPr>
                        <w:tcW w:w="792" w:type="dxa"/>
                      </w:tcPr>
                      <w:p>
                        <w:pPr>
                          <w:pStyle w:val="TableParagraph"/>
                          <w:spacing w:before="95"/>
                          <w:ind w:right="208"/>
                          <w:jc w:val="right"/>
                          <w:rPr>
                            <w:sz w:val="16"/>
                          </w:rPr>
                        </w:pPr>
                        <w:r>
                          <w:rPr>
                            <w:sz w:val="16"/>
                          </w:rPr>
                          <w:t>-0.2</w:t>
                        </w:r>
                      </w:p>
                    </w:tc>
                  </w:tr>
                  <w:tr>
                    <w:trPr>
                      <w:trHeight w:val="244" w:hRule="atLeast"/>
                    </w:trPr>
                    <w:tc>
                      <w:tcPr>
                        <w:tcW w:w="1104" w:type="dxa"/>
                      </w:tcPr>
                      <w:p>
                        <w:pPr>
                          <w:pStyle w:val="TableParagraph"/>
                          <w:spacing w:before="23"/>
                          <w:ind w:left="57"/>
                          <w:rPr>
                            <w:sz w:val="16"/>
                          </w:rPr>
                        </w:pPr>
                        <w:r>
                          <w:rPr>
                            <w:sz w:val="16"/>
                          </w:rPr>
                          <w:t>Tonga</w:t>
                        </w:r>
                      </w:p>
                    </w:tc>
                    <w:tc>
                      <w:tcPr>
                        <w:tcW w:w="881" w:type="dxa"/>
                      </w:tcPr>
                      <w:p>
                        <w:pPr>
                          <w:pStyle w:val="TableParagraph"/>
                          <w:spacing w:before="23"/>
                          <w:ind w:right="97"/>
                          <w:jc w:val="right"/>
                          <w:rPr>
                            <w:sz w:val="16"/>
                          </w:rPr>
                        </w:pPr>
                        <w:r>
                          <w:rPr>
                            <w:w w:val="100"/>
                            <w:sz w:val="16"/>
                          </w:rPr>
                          <w:t>4</w:t>
                        </w:r>
                      </w:p>
                    </w:tc>
                    <w:tc>
                      <w:tcPr>
                        <w:tcW w:w="840" w:type="dxa"/>
                      </w:tcPr>
                      <w:p>
                        <w:pPr>
                          <w:pStyle w:val="TableParagraph"/>
                          <w:spacing w:before="23"/>
                          <w:ind w:right="97"/>
                          <w:jc w:val="right"/>
                          <w:rPr>
                            <w:sz w:val="16"/>
                          </w:rPr>
                        </w:pPr>
                        <w:r>
                          <w:rPr>
                            <w:w w:val="100"/>
                            <w:sz w:val="16"/>
                          </w:rPr>
                          <w:t>4</w:t>
                        </w:r>
                      </w:p>
                    </w:tc>
                    <w:tc>
                      <w:tcPr>
                        <w:tcW w:w="883" w:type="dxa"/>
                      </w:tcPr>
                      <w:p>
                        <w:pPr>
                          <w:pStyle w:val="TableParagraph"/>
                          <w:spacing w:before="23"/>
                          <w:ind w:left="434"/>
                          <w:rPr>
                            <w:sz w:val="16"/>
                          </w:rPr>
                        </w:pPr>
                        <w:r>
                          <w:rPr>
                            <w:sz w:val="16"/>
                          </w:rPr>
                          <w:t>n.s.</w:t>
                        </w:r>
                      </w:p>
                    </w:tc>
                    <w:tc>
                      <w:tcPr>
                        <w:tcW w:w="792" w:type="dxa"/>
                      </w:tcPr>
                      <w:p>
                        <w:pPr>
                          <w:pStyle w:val="TableParagraph"/>
                          <w:spacing w:before="23"/>
                          <w:ind w:right="208"/>
                          <w:jc w:val="right"/>
                          <w:rPr>
                            <w:sz w:val="16"/>
                          </w:rPr>
                        </w:pPr>
                        <w:r>
                          <w:rPr>
                            <w:sz w:val="16"/>
                          </w:rPr>
                          <w:t>n.s.</w:t>
                        </w:r>
                      </w:p>
                    </w:tc>
                  </w:tr>
                  <w:tr>
                    <w:trPr>
                      <w:trHeight w:val="246" w:hRule="atLeast"/>
                    </w:trPr>
                    <w:tc>
                      <w:tcPr>
                        <w:tcW w:w="1104" w:type="dxa"/>
                      </w:tcPr>
                      <w:p>
                        <w:pPr>
                          <w:pStyle w:val="TableParagraph"/>
                          <w:spacing w:before="23"/>
                          <w:ind w:left="58"/>
                          <w:rPr>
                            <w:sz w:val="16"/>
                          </w:rPr>
                        </w:pPr>
                        <w:r>
                          <w:rPr>
                            <w:sz w:val="16"/>
                          </w:rPr>
                          <w:t>Vanuatu</w:t>
                        </w:r>
                      </w:p>
                    </w:tc>
                    <w:tc>
                      <w:tcPr>
                        <w:tcW w:w="881" w:type="dxa"/>
                      </w:tcPr>
                      <w:p>
                        <w:pPr>
                          <w:pStyle w:val="TableParagraph"/>
                          <w:spacing w:before="23"/>
                          <w:ind w:right="95"/>
                          <w:jc w:val="right"/>
                          <w:rPr>
                            <w:sz w:val="16"/>
                          </w:rPr>
                        </w:pPr>
                        <w:r>
                          <w:rPr>
                            <w:sz w:val="16"/>
                          </w:rPr>
                          <w:t>441</w:t>
                        </w:r>
                      </w:p>
                    </w:tc>
                    <w:tc>
                      <w:tcPr>
                        <w:tcW w:w="840" w:type="dxa"/>
                      </w:tcPr>
                      <w:p>
                        <w:pPr>
                          <w:pStyle w:val="TableParagraph"/>
                          <w:spacing w:before="23"/>
                          <w:ind w:right="95"/>
                          <w:jc w:val="right"/>
                          <w:rPr>
                            <w:sz w:val="16"/>
                          </w:rPr>
                        </w:pPr>
                        <w:r>
                          <w:rPr>
                            <w:sz w:val="16"/>
                          </w:rPr>
                          <w:t>447</w:t>
                        </w:r>
                      </w:p>
                    </w:tc>
                    <w:tc>
                      <w:tcPr>
                        <w:tcW w:w="883" w:type="dxa"/>
                      </w:tcPr>
                      <w:p>
                        <w:pPr>
                          <w:pStyle w:val="TableParagraph"/>
                          <w:spacing w:before="23"/>
                          <w:ind w:left="579"/>
                          <w:rPr>
                            <w:sz w:val="16"/>
                          </w:rPr>
                        </w:pPr>
                        <w:r>
                          <w:rPr>
                            <w:w w:val="100"/>
                            <w:sz w:val="16"/>
                          </w:rPr>
                          <w:t>1</w:t>
                        </w:r>
                      </w:p>
                    </w:tc>
                    <w:tc>
                      <w:tcPr>
                        <w:tcW w:w="792" w:type="dxa"/>
                      </w:tcPr>
                      <w:p>
                        <w:pPr>
                          <w:pStyle w:val="TableParagraph"/>
                          <w:spacing w:before="23"/>
                          <w:ind w:right="208"/>
                          <w:jc w:val="right"/>
                          <w:rPr>
                            <w:sz w:val="16"/>
                          </w:rPr>
                        </w:pPr>
                        <w:r>
                          <w:rPr>
                            <w:sz w:val="16"/>
                          </w:rPr>
                          <w:t>0.1</w:t>
                        </w:r>
                      </w:p>
                    </w:tc>
                  </w:tr>
                  <w:tr>
                    <w:trPr>
                      <w:trHeight w:val="784" w:hRule="atLeast"/>
                    </w:trPr>
                    <w:tc>
                      <w:tcPr>
                        <w:tcW w:w="4500" w:type="dxa"/>
                        <w:gridSpan w:val="5"/>
                      </w:tcPr>
                      <w:p>
                        <w:pPr>
                          <w:pStyle w:val="TableParagraph"/>
                          <w:spacing w:line="183" w:lineRule="exact" w:before="35"/>
                          <w:ind w:left="57"/>
                          <w:rPr>
                            <w:sz w:val="16"/>
                          </w:rPr>
                        </w:pPr>
                        <w:r>
                          <w:rPr>
                            <w:sz w:val="16"/>
                          </w:rPr>
                          <w:t>n.s. - not specified</w:t>
                        </w:r>
                      </w:p>
                      <w:p>
                        <w:pPr>
                          <w:pStyle w:val="TableParagraph"/>
                          <w:spacing w:line="183" w:lineRule="exact"/>
                          <w:ind w:left="57"/>
                          <w:rPr>
                            <w:sz w:val="16"/>
                          </w:rPr>
                        </w:pPr>
                        <w:r>
                          <w:rPr>
                            <w:sz w:val="16"/>
                          </w:rPr>
                          <w:t>Source: FRA 2000 and Working Paper 59, FRA Programme,</w:t>
                        </w:r>
                      </w:p>
                      <w:p>
                        <w:pPr>
                          <w:pStyle w:val="TableParagraph"/>
                          <w:spacing w:line="182" w:lineRule="exact" w:before="5"/>
                          <w:ind w:left="57" w:right="1408"/>
                          <w:rPr>
                            <w:sz w:val="16"/>
                          </w:rPr>
                        </w:pPr>
                        <w:r>
                          <w:rPr>
                            <w:sz w:val="16"/>
                          </w:rPr>
                          <w:t>Forestry Department of FAO, Rome 2001, 69p </w:t>
                        </w:r>
                        <w:hyperlink r:id="rId188">
                          <w:r>
                            <w:rPr>
                              <w:sz w:val="16"/>
                            </w:rPr>
                            <w:t>(www</w:t>
                          </w:r>
                        </w:hyperlink>
                        <w:r>
                          <w:rPr>
                            <w:sz w:val="16"/>
                          </w:rPr>
                          <w:t>.</w:t>
                        </w:r>
                        <w:hyperlink r:id="rId188">
                          <w:r>
                            <w:rPr>
                              <w:sz w:val="16"/>
                            </w:rPr>
                            <w:t>fao.org/forestry/fo/fra/index.jsp)</w:t>
                          </w:r>
                        </w:hyperlink>
                      </w:p>
                    </w:tc>
                  </w:tr>
                </w:tbl>
                <w:p>
                  <w:pPr>
                    <w:pStyle w:val="BodyText"/>
                  </w:pPr>
                </w:p>
              </w:txbxContent>
            </v:textbox>
          </v:shape>
        </w:pict>
      </w:r>
      <w:r>
        <w:rPr>
          <w:spacing w:val="36"/>
        </w:rPr>
      </w:r>
    </w:p>
    <w:p>
      <w:pPr>
        <w:spacing w:after="0"/>
        <w:sectPr>
          <w:pgSz w:w="11900" w:h="16840"/>
          <w:pgMar w:header="230" w:footer="408" w:top="560" w:bottom="600" w:left="1200" w:right="1140"/>
        </w:sectPr>
      </w:pPr>
    </w:p>
    <w:p>
      <w:pPr>
        <w:pStyle w:val="BodyText"/>
      </w:pPr>
    </w:p>
    <w:p>
      <w:pPr>
        <w:pStyle w:val="BodyText"/>
      </w:pPr>
    </w:p>
    <w:p>
      <w:pPr>
        <w:pStyle w:val="BodyText"/>
        <w:spacing w:before="4"/>
        <w:rPr>
          <w:sz w:val="27"/>
        </w:rPr>
      </w:pPr>
    </w:p>
    <w:p>
      <w:pPr>
        <w:pStyle w:val="BodyText"/>
        <w:ind w:left="207"/>
      </w:pPr>
      <w:r>
        <w:rPr/>
        <w:pict>
          <v:shape style="width:224.8pt;height:513.85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1"/>
                    <w:gridCol w:w="898"/>
                    <w:gridCol w:w="910"/>
                    <w:gridCol w:w="797"/>
                    <w:gridCol w:w="756"/>
                  </w:tblGrid>
                  <w:tr>
                    <w:trPr>
                      <w:trHeight w:val="726" w:hRule="atLeast"/>
                    </w:trPr>
                    <w:tc>
                      <w:tcPr>
                        <w:tcW w:w="4482" w:type="dxa"/>
                        <w:gridSpan w:val="5"/>
                        <w:tcBorders>
                          <w:bottom w:val="double" w:sz="1" w:space="0" w:color="000000"/>
                        </w:tcBorders>
                      </w:tcPr>
                      <w:p>
                        <w:pPr>
                          <w:pStyle w:val="TableParagraph"/>
                          <w:spacing w:before="52"/>
                          <w:ind w:left="1199" w:right="1160"/>
                          <w:jc w:val="center"/>
                          <w:rPr>
                            <w:b/>
                            <w:sz w:val="14"/>
                          </w:rPr>
                        </w:pPr>
                        <w:r>
                          <w:rPr>
                            <w:b/>
                            <w:sz w:val="18"/>
                          </w:rPr>
                          <w:t>T</w:t>
                        </w:r>
                        <w:r>
                          <w:rPr>
                            <w:b/>
                            <w:sz w:val="14"/>
                          </w:rPr>
                          <w:t>ABLE </w:t>
                        </w:r>
                        <w:r>
                          <w:rPr>
                            <w:b/>
                            <w:sz w:val="18"/>
                          </w:rPr>
                          <w:t>3A.1.1 (C</w:t>
                        </w:r>
                        <w:r>
                          <w:rPr>
                            <w:b/>
                            <w:sz w:val="14"/>
                          </w:rPr>
                          <w:t>ONTINUED</w:t>
                        </w:r>
                        <w:r>
                          <w:rPr>
                            <w:b/>
                            <w:sz w:val="18"/>
                          </w:rPr>
                          <w:t>) F</w:t>
                        </w:r>
                        <w:r>
                          <w:rPr>
                            <w:b/>
                            <w:sz w:val="14"/>
                          </w:rPr>
                          <w:t>OREST AREA CHANGE</w:t>
                        </w:r>
                      </w:p>
                      <w:p>
                        <w:pPr>
                          <w:pStyle w:val="TableParagraph"/>
                          <w:spacing w:line="201" w:lineRule="exact"/>
                          <w:ind w:left="326" w:right="291"/>
                          <w:jc w:val="center"/>
                          <w:rPr>
                            <w:sz w:val="18"/>
                          </w:rPr>
                        </w:pPr>
                        <w:r>
                          <w:rPr>
                            <w:sz w:val="18"/>
                          </w:rPr>
                          <w:t>(To be used for verification of ‘A’ in Equation 3.2.4)</w:t>
                        </w:r>
                      </w:p>
                    </w:tc>
                  </w:tr>
                  <w:tr>
                    <w:trPr>
                      <w:trHeight w:val="253" w:hRule="atLeast"/>
                    </w:trPr>
                    <w:tc>
                      <w:tcPr>
                        <w:tcW w:w="4482" w:type="dxa"/>
                        <w:gridSpan w:val="5"/>
                        <w:tcBorders>
                          <w:top w:val="double" w:sz="1" w:space="0" w:color="000000"/>
                        </w:tcBorders>
                      </w:tcPr>
                      <w:p>
                        <w:pPr>
                          <w:pStyle w:val="TableParagraph"/>
                          <w:spacing w:line="172" w:lineRule="exact" w:before="61"/>
                          <w:ind w:left="57"/>
                          <w:rPr>
                            <w:b/>
                            <w:sz w:val="18"/>
                          </w:rPr>
                        </w:pPr>
                        <w:r>
                          <w:rPr>
                            <w:b/>
                            <w:sz w:val="18"/>
                          </w:rPr>
                          <w:t>d. EUROPE</w:t>
                        </w:r>
                      </w:p>
                    </w:tc>
                  </w:tr>
                  <w:tr>
                    <w:trPr>
                      <w:trHeight w:val="388" w:hRule="atLeast"/>
                    </w:trPr>
                    <w:tc>
                      <w:tcPr>
                        <w:tcW w:w="1121" w:type="dxa"/>
                      </w:tcPr>
                      <w:p>
                        <w:pPr>
                          <w:pStyle w:val="TableParagraph"/>
                          <w:spacing w:before="97"/>
                          <w:ind w:left="57"/>
                          <w:rPr>
                            <w:b/>
                            <w:sz w:val="16"/>
                          </w:rPr>
                        </w:pPr>
                        <w:r>
                          <w:rPr>
                            <w:b/>
                            <w:sz w:val="16"/>
                          </w:rPr>
                          <w:t>Country</w:t>
                        </w:r>
                      </w:p>
                    </w:tc>
                    <w:tc>
                      <w:tcPr>
                        <w:tcW w:w="1808" w:type="dxa"/>
                        <w:gridSpan w:val="2"/>
                      </w:tcPr>
                      <w:p>
                        <w:pPr>
                          <w:pStyle w:val="TableParagraph"/>
                          <w:spacing w:before="97"/>
                          <w:ind w:left="306"/>
                          <w:rPr>
                            <w:b/>
                            <w:sz w:val="16"/>
                          </w:rPr>
                        </w:pPr>
                        <w:r>
                          <w:rPr>
                            <w:b/>
                            <w:sz w:val="16"/>
                          </w:rPr>
                          <w:t>Total Forest Area</w:t>
                        </w:r>
                      </w:p>
                    </w:tc>
                    <w:tc>
                      <w:tcPr>
                        <w:tcW w:w="1553" w:type="dxa"/>
                        <w:gridSpan w:val="2"/>
                      </w:tcPr>
                      <w:p>
                        <w:pPr>
                          <w:pStyle w:val="TableParagraph"/>
                          <w:spacing w:line="180" w:lineRule="atLeast" w:before="6"/>
                          <w:ind w:left="440" w:right="61" w:hanging="341"/>
                          <w:rPr>
                            <w:b/>
                            <w:sz w:val="16"/>
                          </w:rPr>
                        </w:pPr>
                        <w:r>
                          <w:rPr>
                            <w:b/>
                            <w:sz w:val="16"/>
                          </w:rPr>
                          <w:t>Forest Area Change 1990-2000</w:t>
                        </w:r>
                      </w:p>
                    </w:tc>
                  </w:tr>
                  <w:tr>
                    <w:trPr>
                      <w:trHeight w:val="385" w:hRule="atLeast"/>
                    </w:trPr>
                    <w:tc>
                      <w:tcPr>
                        <w:tcW w:w="1121" w:type="dxa"/>
                      </w:tcPr>
                      <w:p>
                        <w:pPr>
                          <w:pStyle w:val="TableParagraph"/>
                          <w:rPr>
                            <w:sz w:val="16"/>
                          </w:rPr>
                        </w:pPr>
                      </w:p>
                    </w:tc>
                    <w:tc>
                      <w:tcPr>
                        <w:tcW w:w="898" w:type="dxa"/>
                      </w:tcPr>
                      <w:p>
                        <w:pPr>
                          <w:pStyle w:val="TableParagraph"/>
                          <w:spacing w:before="97"/>
                          <w:ind w:left="299"/>
                          <w:rPr>
                            <w:b/>
                            <w:sz w:val="16"/>
                          </w:rPr>
                        </w:pPr>
                        <w:r>
                          <w:rPr>
                            <w:b/>
                            <w:sz w:val="16"/>
                          </w:rPr>
                          <w:t>1990</w:t>
                        </w:r>
                      </w:p>
                    </w:tc>
                    <w:tc>
                      <w:tcPr>
                        <w:tcW w:w="910" w:type="dxa"/>
                      </w:tcPr>
                      <w:p>
                        <w:pPr>
                          <w:pStyle w:val="TableParagraph"/>
                          <w:spacing w:before="97"/>
                          <w:ind w:left="303"/>
                          <w:rPr>
                            <w:b/>
                            <w:sz w:val="16"/>
                          </w:rPr>
                        </w:pPr>
                        <w:r>
                          <w:rPr>
                            <w:b/>
                            <w:sz w:val="16"/>
                          </w:rPr>
                          <w:t>2000</w:t>
                        </w:r>
                      </w:p>
                    </w:tc>
                    <w:tc>
                      <w:tcPr>
                        <w:tcW w:w="797" w:type="dxa"/>
                      </w:tcPr>
                      <w:p>
                        <w:pPr>
                          <w:pStyle w:val="TableParagraph"/>
                          <w:spacing w:line="180" w:lineRule="atLeast" w:before="6"/>
                          <w:ind w:left="147" w:right="95" w:firstLine="9"/>
                          <w:rPr>
                            <w:b/>
                            <w:sz w:val="16"/>
                          </w:rPr>
                        </w:pPr>
                        <w:r>
                          <w:rPr>
                            <w:b/>
                            <w:sz w:val="16"/>
                          </w:rPr>
                          <w:t>Annual Change</w:t>
                        </w:r>
                      </w:p>
                    </w:tc>
                    <w:tc>
                      <w:tcPr>
                        <w:tcW w:w="756" w:type="dxa"/>
                      </w:tcPr>
                      <w:p>
                        <w:pPr>
                          <w:pStyle w:val="TableParagraph"/>
                          <w:spacing w:line="180" w:lineRule="atLeast" w:before="6"/>
                          <w:ind w:left="228" w:right="74" w:hanging="101"/>
                          <w:rPr>
                            <w:b/>
                            <w:sz w:val="16"/>
                          </w:rPr>
                        </w:pPr>
                        <w:r>
                          <w:rPr>
                            <w:b/>
                            <w:sz w:val="16"/>
                          </w:rPr>
                          <w:t>Change Rate</w:t>
                        </w:r>
                      </w:p>
                    </w:tc>
                  </w:tr>
                  <w:tr>
                    <w:trPr>
                      <w:trHeight w:val="275" w:hRule="atLeast"/>
                    </w:trPr>
                    <w:tc>
                      <w:tcPr>
                        <w:tcW w:w="1121" w:type="dxa"/>
                      </w:tcPr>
                      <w:p>
                        <w:pPr>
                          <w:pStyle w:val="TableParagraph"/>
                          <w:rPr>
                            <w:sz w:val="16"/>
                          </w:rPr>
                        </w:pPr>
                      </w:p>
                    </w:tc>
                    <w:tc>
                      <w:tcPr>
                        <w:tcW w:w="898" w:type="dxa"/>
                      </w:tcPr>
                      <w:p>
                        <w:pPr>
                          <w:pStyle w:val="TableParagraph"/>
                          <w:spacing w:before="40"/>
                          <w:ind w:left="234"/>
                          <w:rPr>
                            <w:b/>
                            <w:sz w:val="16"/>
                          </w:rPr>
                        </w:pPr>
                        <w:r>
                          <w:rPr>
                            <w:b/>
                            <w:sz w:val="16"/>
                          </w:rPr>
                          <w:t>000 ha</w:t>
                        </w:r>
                      </w:p>
                    </w:tc>
                    <w:tc>
                      <w:tcPr>
                        <w:tcW w:w="910" w:type="dxa"/>
                      </w:tcPr>
                      <w:p>
                        <w:pPr>
                          <w:pStyle w:val="TableParagraph"/>
                          <w:spacing w:before="40"/>
                          <w:ind w:left="239"/>
                          <w:rPr>
                            <w:b/>
                            <w:sz w:val="16"/>
                          </w:rPr>
                        </w:pPr>
                        <w:r>
                          <w:rPr>
                            <w:b/>
                            <w:sz w:val="16"/>
                          </w:rPr>
                          <w:t>000 ha</w:t>
                        </w:r>
                      </w:p>
                    </w:tc>
                    <w:tc>
                      <w:tcPr>
                        <w:tcW w:w="797" w:type="dxa"/>
                      </w:tcPr>
                      <w:p>
                        <w:pPr>
                          <w:pStyle w:val="TableParagraph"/>
                          <w:spacing w:before="40"/>
                          <w:ind w:left="68"/>
                          <w:rPr>
                            <w:b/>
                            <w:sz w:val="16"/>
                          </w:rPr>
                        </w:pPr>
                        <w:r>
                          <w:rPr>
                            <w:b/>
                            <w:sz w:val="16"/>
                          </w:rPr>
                          <w:t>000 ha /yr</w:t>
                        </w:r>
                      </w:p>
                    </w:tc>
                    <w:tc>
                      <w:tcPr>
                        <w:tcW w:w="756" w:type="dxa"/>
                      </w:tcPr>
                      <w:p>
                        <w:pPr>
                          <w:pStyle w:val="TableParagraph"/>
                          <w:spacing w:before="40"/>
                          <w:ind w:left="171"/>
                          <w:rPr>
                            <w:b/>
                            <w:sz w:val="16"/>
                          </w:rPr>
                        </w:pPr>
                        <w:r>
                          <w:rPr>
                            <w:b/>
                            <w:sz w:val="16"/>
                          </w:rPr>
                          <w:t>% / yr</w:t>
                        </w:r>
                      </w:p>
                    </w:tc>
                  </w:tr>
                  <w:tr>
                    <w:trPr>
                      <w:trHeight w:val="273" w:hRule="atLeast"/>
                    </w:trPr>
                    <w:tc>
                      <w:tcPr>
                        <w:tcW w:w="1121" w:type="dxa"/>
                      </w:tcPr>
                      <w:p>
                        <w:pPr>
                          <w:pStyle w:val="TableParagraph"/>
                          <w:spacing w:before="54"/>
                          <w:ind w:left="57"/>
                          <w:rPr>
                            <w:sz w:val="16"/>
                          </w:rPr>
                        </w:pPr>
                        <w:r>
                          <w:rPr>
                            <w:sz w:val="16"/>
                          </w:rPr>
                          <w:t>Albania</w:t>
                        </w:r>
                      </w:p>
                    </w:tc>
                    <w:tc>
                      <w:tcPr>
                        <w:tcW w:w="898" w:type="dxa"/>
                      </w:tcPr>
                      <w:p>
                        <w:pPr>
                          <w:pStyle w:val="TableParagraph"/>
                          <w:spacing w:before="54"/>
                          <w:ind w:right="102"/>
                          <w:jc w:val="right"/>
                          <w:rPr>
                            <w:sz w:val="16"/>
                          </w:rPr>
                        </w:pPr>
                        <w:r>
                          <w:rPr>
                            <w:sz w:val="16"/>
                          </w:rPr>
                          <w:t>1 069</w:t>
                        </w:r>
                      </w:p>
                    </w:tc>
                    <w:tc>
                      <w:tcPr>
                        <w:tcW w:w="910" w:type="dxa"/>
                      </w:tcPr>
                      <w:p>
                        <w:pPr>
                          <w:pStyle w:val="TableParagraph"/>
                          <w:spacing w:before="54"/>
                          <w:ind w:right="105"/>
                          <w:jc w:val="right"/>
                          <w:rPr>
                            <w:sz w:val="16"/>
                          </w:rPr>
                        </w:pPr>
                        <w:r>
                          <w:rPr>
                            <w:sz w:val="16"/>
                          </w:rPr>
                          <w:t>991</w:t>
                        </w:r>
                      </w:p>
                    </w:tc>
                    <w:tc>
                      <w:tcPr>
                        <w:tcW w:w="797" w:type="dxa"/>
                      </w:tcPr>
                      <w:p>
                        <w:pPr>
                          <w:pStyle w:val="TableParagraph"/>
                          <w:spacing w:before="54"/>
                          <w:ind w:left="435"/>
                          <w:rPr>
                            <w:sz w:val="16"/>
                          </w:rPr>
                        </w:pPr>
                        <w:r>
                          <w:rPr>
                            <w:sz w:val="16"/>
                          </w:rPr>
                          <w:t>-8</w:t>
                        </w:r>
                      </w:p>
                    </w:tc>
                    <w:tc>
                      <w:tcPr>
                        <w:tcW w:w="756" w:type="dxa"/>
                      </w:tcPr>
                      <w:p>
                        <w:pPr>
                          <w:pStyle w:val="TableParagraph"/>
                          <w:spacing w:before="54"/>
                          <w:ind w:left="272"/>
                          <w:rPr>
                            <w:sz w:val="16"/>
                          </w:rPr>
                        </w:pPr>
                        <w:r>
                          <w:rPr>
                            <w:sz w:val="16"/>
                          </w:rPr>
                          <w:t>-0.8</w:t>
                        </w:r>
                      </w:p>
                    </w:tc>
                  </w:tr>
                  <w:tr>
                    <w:trPr>
                      <w:trHeight w:val="273" w:hRule="atLeast"/>
                    </w:trPr>
                    <w:tc>
                      <w:tcPr>
                        <w:tcW w:w="1121" w:type="dxa"/>
                      </w:tcPr>
                      <w:p>
                        <w:pPr>
                          <w:pStyle w:val="TableParagraph"/>
                          <w:spacing w:before="54"/>
                          <w:ind w:left="57"/>
                          <w:rPr>
                            <w:sz w:val="16"/>
                          </w:rPr>
                        </w:pPr>
                        <w:r>
                          <w:rPr>
                            <w:sz w:val="16"/>
                          </w:rPr>
                          <w:t>Andorra</w:t>
                        </w:r>
                      </w:p>
                    </w:tc>
                    <w:tc>
                      <w:tcPr>
                        <w:tcW w:w="898" w:type="dxa"/>
                      </w:tcPr>
                      <w:p>
                        <w:pPr>
                          <w:pStyle w:val="TableParagraph"/>
                          <w:spacing w:before="54"/>
                          <w:ind w:right="100"/>
                          <w:jc w:val="right"/>
                          <w:rPr>
                            <w:sz w:val="16"/>
                          </w:rPr>
                        </w:pPr>
                        <w:r>
                          <w:rPr>
                            <w:w w:val="100"/>
                            <w:sz w:val="16"/>
                          </w:rPr>
                          <w:t>-</w:t>
                        </w:r>
                      </w:p>
                    </w:tc>
                    <w:tc>
                      <w:tcPr>
                        <w:tcW w:w="910" w:type="dxa"/>
                      </w:tcPr>
                      <w:p>
                        <w:pPr>
                          <w:pStyle w:val="TableParagraph"/>
                          <w:spacing w:before="54"/>
                          <w:ind w:right="103"/>
                          <w:jc w:val="right"/>
                          <w:rPr>
                            <w:sz w:val="16"/>
                          </w:rPr>
                        </w:pPr>
                        <w:r>
                          <w:rPr>
                            <w:w w:val="100"/>
                            <w:sz w:val="16"/>
                          </w:rPr>
                          <w:t>-</w:t>
                        </w:r>
                      </w:p>
                    </w:tc>
                    <w:tc>
                      <w:tcPr>
                        <w:tcW w:w="797" w:type="dxa"/>
                      </w:tcPr>
                      <w:p>
                        <w:pPr>
                          <w:pStyle w:val="TableParagraph"/>
                          <w:spacing w:before="54"/>
                          <w:ind w:left="517"/>
                          <w:rPr>
                            <w:sz w:val="16"/>
                          </w:rPr>
                        </w:pPr>
                        <w:r>
                          <w:rPr>
                            <w:w w:val="100"/>
                            <w:sz w:val="16"/>
                          </w:rPr>
                          <w:t>-</w:t>
                        </w:r>
                      </w:p>
                    </w:tc>
                    <w:tc>
                      <w:tcPr>
                        <w:tcW w:w="756" w:type="dxa"/>
                      </w:tcPr>
                      <w:p>
                        <w:pPr>
                          <w:pStyle w:val="TableParagraph"/>
                          <w:spacing w:before="54"/>
                          <w:ind w:left="476"/>
                          <w:rPr>
                            <w:sz w:val="16"/>
                          </w:rPr>
                        </w:pPr>
                        <w:r>
                          <w:rPr>
                            <w:w w:val="100"/>
                            <w:sz w:val="16"/>
                          </w:rPr>
                          <w:t>-</w:t>
                        </w:r>
                      </w:p>
                    </w:tc>
                  </w:tr>
                  <w:tr>
                    <w:trPr>
                      <w:trHeight w:val="275" w:hRule="atLeast"/>
                    </w:trPr>
                    <w:tc>
                      <w:tcPr>
                        <w:tcW w:w="1121" w:type="dxa"/>
                      </w:tcPr>
                      <w:p>
                        <w:pPr>
                          <w:pStyle w:val="TableParagraph"/>
                          <w:spacing w:before="54"/>
                          <w:ind w:left="57"/>
                          <w:rPr>
                            <w:sz w:val="16"/>
                          </w:rPr>
                        </w:pPr>
                        <w:r>
                          <w:rPr>
                            <w:sz w:val="16"/>
                          </w:rPr>
                          <w:t>Austria</w:t>
                        </w:r>
                      </w:p>
                    </w:tc>
                    <w:tc>
                      <w:tcPr>
                        <w:tcW w:w="898" w:type="dxa"/>
                      </w:tcPr>
                      <w:p>
                        <w:pPr>
                          <w:pStyle w:val="TableParagraph"/>
                          <w:spacing w:before="54"/>
                          <w:ind w:right="102"/>
                          <w:jc w:val="right"/>
                          <w:rPr>
                            <w:sz w:val="16"/>
                          </w:rPr>
                        </w:pPr>
                        <w:r>
                          <w:rPr>
                            <w:sz w:val="16"/>
                          </w:rPr>
                          <w:t>3 809</w:t>
                        </w:r>
                      </w:p>
                    </w:tc>
                    <w:tc>
                      <w:tcPr>
                        <w:tcW w:w="910" w:type="dxa"/>
                      </w:tcPr>
                      <w:p>
                        <w:pPr>
                          <w:pStyle w:val="TableParagraph"/>
                          <w:spacing w:before="54"/>
                          <w:ind w:right="106"/>
                          <w:jc w:val="right"/>
                          <w:rPr>
                            <w:sz w:val="16"/>
                          </w:rPr>
                        </w:pPr>
                        <w:r>
                          <w:rPr>
                            <w:sz w:val="16"/>
                          </w:rPr>
                          <w:t>3 886</w:t>
                        </w:r>
                      </w:p>
                    </w:tc>
                    <w:tc>
                      <w:tcPr>
                        <w:tcW w:w="797" w:type="dxa"/>
                      </w:tcPr>
                      <w:p>
                        <w:pPr>
                          <w:pStyle w:val="TableParagraph"/>
                          <w:spacing w:before="54"/>
                          <w:ind w:left="487"/>
                          <w:rPr>
                            <w:sz w:val="16"/>
                          </w:rPr>
                        </w:pPr>
                        <w:r>
                          <w:rPr>
                            <w:w w:val="100"/>
                            <w:sz w:val="16"/>
                          </w:rPr>
                          <w:t>8</w:t>
                        </w:r>
                      </w:p>
                    </w:tc>
                    <w:tc>
                      <w:tcPr>
                        <w:tcW w:w="756" w:type="dxa"/>
                      </w:tcPr>
                      <w:p>
                        <w:pPr>
                          <w:pStyle w:val="TableParagraph"/>
                          <w:spacing w:before="54"/>
                          <w:ind w:left="326"/>
                          <w:rPr>
                            <w:sz w:val="16"/>
                          </w:rPr>
                        </w:pPr>
                        <w:r>
                          <w:rPr>
                            <w:sz w:val="16"/>
                          </w:rPr>
                          <w:t>0.2</w:t>
                        </w:r>
                      </w:p>
                    </w:tc>
                  </w:tr>
                  <w:tr>
                    <w:trPr>
                      <w:trHeight w:val="273" w:hRule="atLeast"/>
                    </w:trPr>
                    <w:tc>
                      <w:tcPr>
                        <w:tcW w:w="1121" w:type="dxa"/>
                      </w:tcPr>
                      <w:p>
                        <w:pPr>
                          <w:pStyle w:val="TableParagraph"/>
                          <w:spacing w:before="54"/>
                          <w:ind w:left="57"/>
                          <w:rPr>
                            <w:sz w:val="16"/>
                          </w:rPr>
                        </w:pPr>
                        <w:r>
                          <w:rPr>
                            <w:sz w:val="16"/>
                          </w:rPr>
                          <w:t>Belarus</w:t>
                        </w:r>
                      </w:p>
                    </w:tc>
                    <w:tc>
                      <w:tcPr>
                        <w:tcW w:w="898" w:type="dxa"/>
                      </w:tcPr>
                      <w:p>
                        <w:pPr>
                          <w:pStyle w:val="TableParagraph"/>
                          <w:spacing w:before="54"/>
                          <w:ind w:right="102"/>
                          <w:jc w:val="right"/>
                          <w:rPr>
                            <w:sz w:val="16"/>
                          </w:rPr>
                        </w:pPr>
                        <w:r>
                          <w:rPr>
                            <w:sz w:val="16"/>
                          </w:rPr>
                          <w:t>6 840</w:t>
                        </w:r>
                      </w:p>
                    </w:tc>
                    <w:tc>
                      <w:tcPr>
                        <w:tcW w:w="910" w:type="dxa"/>
                      </w:tcPr>
                      <w:p>
                        <w:pPr>
                          <w:pStyle w:val="TableParagraph"/>
                          <w:spacing w:before="54"/>
                          <w:ind w:right="105"/>
                          <w:jc w:val="right"/>
                          <w:rPr>
                            <w:sz w:val="16"/>
                          </w:rPr>
                        </w:pPr>
                        <w:r>
                          <w:rPr>
                            <w:sz w:val="16"/>
                          </w:rPr>
                          <w:t>9 402</w:t>
                        </w:r>
                      </w:p>
                    </w:tc>
                    <w:tc>
                      <w:tcPr>
                        <w:tcW w:w="797" w:type="dxa"/>
                      </w:tcPr>
                      <w:p>
                        <w:pPr>
                          <w:pStyle w:val="TableParagraph"/>
                          <w:spacing w:before="54"/>
                          <w:ind w:left="327"/>
                          <w:rPr>
                            <w:sz w:val="16"/>
                          </w:rPr>
                        </w:pPr>
                        <w:r>
                          <w:rPr>
                            <w:sz w:val="16"/>
                          </w:rPr>
                          <w:t>256</w:t>
                        </w:r>
                      </w:p>
                    </w:tc>
                    <w:tc>
                      <w:tcPr>
                        <w:tcW w:w="756" w:type="dxa"/>
                      </w:tcPr>
                      <w:p>
                        <w:pPr>
                          <w:pStyle w:val="TableParagraph"/>
                          <w:spacing w:before="54"/>
                          <w:ind w:left="327"/>
                          <w:rPr>
                            <w:sz w:val="16"/>
                          </w:rPr>
                        </w:pPr>
                        <w:r>
                          <w:rPr>
                            <w:sz w:val="16"/>
                          </w:rPr>
                          <w:t>3.2</w:t>
                        </w:r>
                      </w:p>
                    </w:tc>
                  </w:tr>
                  <w:tr>
                    <w:trPr>
                      <w:trHeight w:val="443" w:hRule="atLeast"/>
                    </w:trPr>
                    <w:tc>
                      <w:tcPr>
                        <w:tcW w:w="1121" w:type="dxa"/>
                      </w:tcPr>
                      <w:p>
                        <w:pPr>
                          <w:pStyle w:val="TableParagraph"/>
                          <w:spacing w:before="54"/>
                          <w:ind w:left="57" w:right="207"/>
                          <w:rPr>
                            <w:sz w:val="16"/>
                          </w:rPr>
                        </w:pPr>
                        <w:r>
                          <w:rPr>
                            <w:sz w:val="16"/>
                          </w:rPr>
                          <w:t>Belgium &amp; Luxembourg</w:t>
                        </w:r>
                      </w:p>
                    </w:tc>
                    <w:tc>
                      <w:tcPr>
                        <w:tcW w:w="898" w:type="dxa"/>
                      </w:tcPr>
                      <w:p>
                        <w:pPr>
                          <w:pStyle w:val="TableParagraph"/>
                          <w:spacing w:before="124"/>
                          <w:ind w:right="102"/>
                          <w:jc w:val="right"/>
                          <w:rPr>
                            <w:sz w:val="16"/>
                          </w:rPr>
                        </w:pPr>
                        <w:r>
                          <w:rPr>
                            <w:sz w:val="16"/>
                          </w:rPr>
                          <w:t>741</w:t>
                        </w:r>
                      </w:p>
                    </w:tc>
                    <w:tc>
                      <w:tcPr>
                        <w:tcW w:w="910" w:type="dxa"/>
                      </w:tcPr>
                      <w:p>
                        <w:pPr>
                          <w:pStyle w:val="TableParagraph"/>
                          <w:spacing w:before="124"/>
                          <w:ind w:right="105"/>
                          <w:jc w:val="right"/>
                          <w:rPr>
                            <w:sz w:val="16"/>
                          </w:rPr>
                        </w:pPr>
                        <w:r>
                          <w:rPr>
                            <w:sz w:val="16"/>
                          </w:rPr>
                          <w:t>728</w:t>
                        </w:r>
                      </w:p>
                    </w:tc>
                    <w:tc>
                      <w:tcPr>
                        <w:tcW w:w="797" w:type="dxa"/>
                      </w:tcPr>
                      <w:p>
                        <w:pPr>
                          <w:pStyle w:val="TableParagraph"/>
                          <w:spacing w:before="124"/>
                          <w:ind w:left="435"/>
                          <w:rPr>
                            <w:sz w:val="16"/>
                          </w:rPr>
                        </w:pPr>
                        <w:r>
                          <w:rPr>
                            <w:sz w:val="16"/>
                          </w:rPr>
                          <w:t>-1</w:t>
                        </w:r>
                      </w:p>
                    </w:tc>
                    <w:tc>
                      <w:tcPr>
                        <w:tcW w:w="756" w:type="dxa"/>
                      </w:tcPr>
                      <w:p>
                        <w:pPr>
                          <w:pStyle w:val="TableParagraph"/>
                          <w:spacing w:before="124"/>
                          <w:ind w:left="272"/>
                          <w:rPr>
                            <w:sz w:val="16"/>
                          </w:rPr>
                        </w:pPr>
                        <w:r>
                          <w:rPr>
                            <w:sz w:val="16"/>
                          </w:rPr>
                          <w:t>-0.2</w:t>
                        </w:r>
                      </w:p>
                    </w:tc>
                  </w:tr>
                  <w:tr>
                    <w:trPr>
                      <w:trHeight w:val="443" w:hRule="atLeast"/>
                    </w:trPr>
                    <w:tc>
                      <w:tcPr>
                        <w:tcW w:w="1121" w:type="dxa"/>
                      </w:tcPr>
                      <w:p>
                        <w:pPr>
                          <w:pStyle w:val="TableParagraph"/>
                          <w:spacing w:before="54"/>
                          <w:ind w:left="57" w:right="216"/>
                          <w:rPr>
                            <w:sz w:val="16"/>
                          </w:rPr>
                        </w:pPr>
                        <w:r>
                          <w:rPr>
                            <w:sz w:val="16"/>
                          </w:rPr>
                          <w:t>Bosnia &amp; Herzegovina</w:t>
                        </w:r>
                      </w:p>
                    </w:tc>
                    <w:tc>
                      <w:tcPr>
                        <w:tcW w:w="898" w:type="dxa"/>
                      </w:tcPr>
                      <w:p>
                        <w:pPr>
                          <w:pStyle w:val="TableParagraph"/>
                          <w:spacing w:before="124"/>
                          <w:ind w:right="102"/>
                          <w:jc w:val="right"/>
                          <w:rPr>
                            <w:sz w:val="16"/>
                          </w:rPr>
                        </w:pPr>
                        <w:r>
                          <w:rPr>
                            <w:sz w:val="16"/>
                          </w:rPr>
                          <w:t>2 273</w:t>
                        </w:r>
                      </w:p>
                    </w:tc>
                    <w:tc>
                      <w:tcPr>
                        <w:tcW w:w="910" w:type="dxa"/>
                      </w:tcPr>
                      <w:p>
                        <w:pPr>
                          <w:pStyle w:val="TableParagraph"/>
                          <w:spacing w:before="124"/>
                          <w:ind w:right="105"/>
                          <w:jc w:val="right"/>
                          <w:rPr>
                            <w:sz w:val="16"/>
                          </w:rPr>
                        </w:pPr>
                        <w:r>
                          <w:rPr>
                            <w:sz w:val="16"/>
                          </w:rPr>
                          <w:t>2 273</w:t>
                        </w:r>
                      </w:p>
                    </w:tc>
                    <w:tc>
                      <w:tcPr>
                        <w:tcW w:w="797" w:type="dxa"/>
                      </w:tcPr>
                      <w:p>
                        <w:pPr>
                          <w:pStyle w:val="TableParagraph"/>
                          <w:spacing w:before="124"/>
                          <w:ind w:left="344"/>
                          <w:rPr>
                            <w:sz w:val="16"/>
                          </w:rPr>
                        </w:pPr>
                        <w:r>
                          <w:rPr>
                            <w:sz w:val="16"/>
                          </w:rPr>
                          <w:t>n.s.</w:t>
                        </w:r>
                      </w:p>
                    </w:tc>
                    <w:tc>
                      <w:tcPr>
                        <w:tcW w:w="756" w:type="dxa"/>
                      </w:tcPr>
                      <w:p>
                        <w:pPr>
                          <w:pStyle w:val="TableParagraph"/>
                          <w:spacing w:before="124"/>
                          <w:ind w:left="303"/>
                          <w:rPr>
                            <w:sz w:val="16"/>
                          </w:rPr>
                        </w:pPr>
                        <w:r>
                          <w:rPr>
                            <w:sz w:val="16"/>
                          </w:rPr>
                          <w:t>n.s.</w:t>
                        </w:r>
                      </w:p>
                    </w:tc>
                  </w:tr>
                  <w:tr>
                    <w:trPr>
                      <w:trHeight w:val="275" w:hRule="atLeast"/>
                    </w:trPr>
                    <w:tc>
                      <w:tcPr>
                        <w:tcW w:w="1121" w:type="dxa"/>
                      </w:tcPr>
                      <w:p>
                        <w:pPr>
                          <w:pStyle w:val="TableParagraph"/>
                          <w:spacing w:before="54"/>
                          <w:ind w:left="57"/>
                          <w:rPr>
                            <w:sz w:val="16"/>
                          </w:rPr>
                        </w:pPr>
                        <w:r>
                          <w:rPr>
                            <w:sz w:val="16"/>
                          </w:rPr>
                          <w:t>Bulgaria</w:t>
                        </w:r>
                      </w:p>
                    </w:tc>
                    <w:tc>
                      <w:tcPr>
                        <w:tcW w:w="898" w:type="dxa"/>
                      </w:tcPr>
                      <w:p>
                        <w:pPr>
                          <w:pStyle w:val="TableParagraph"/>
                          <w:spacing w:before="54"/>
                          <w:ind w:right="101"/>
                          <w:jc w:val="right"/>
                          <w:rPr>
                            <w:sz w:val="16"/>
                          </w:rPr>
                        </w:pPr>
                        <w:r>
                          <w:rPr>
                            <w:sz w:val="16"/>
                          </w:rPr>
                          <w:t>3 486</w:t>
                        </w:r>
                      </w:p>
                    </w:tc>
                    <w:tc>
                      <w:tcPr>
                        <w:tcW w:w="910" w:type="dxa"/>
                      </w:tcPr>
                      <w:p>
                        <w:pPr>
                          <w:pStyle w:val="TableParagraph"/>
                          <w:spacing w:before="54"/>
                          <w:ind w:right="104"/>
                          <w:jc w:val="right"/>
                          <w:rPr>
                            <w:sz w:val="16"/>
                          </w:rPr>
                        </w:pPr>
                        <w:r>
                          <w:rPr>
                            <w:sz w:val="16"/>
                          </w:rPr>
                          <w:t>3 690</w:t>
                        </w:r>
                      </w:p>
                    </w:tc>
                    <w:tc>
                      <w:tcPr>
                        <w:tcW w:w="797" w:type="dxa"/>
                      </w:tcPr>
                      <w:p>
                        <w:pPr>
                          <w:pStyle w:val="TableParagraph"/>
                          <w:spacing w:before="54"/>
                          <w:ind w:left="407"/>
                          <w:rPr>
                            <w:sz w:val="16"/>
                          </w:rPr>
                        </w:pPr>
                        <w:r>
                          <w:rPr>
                            <w:sz w:val="16"/>
                          </w:rPr>
                          <w:t>20</w:t>
                        </w:r>
                      </w:p>
                    </w:tc>
                    <w:tc>
                      <w:tcPr>
                        <w:tcW w:w="756" w:type="dxa"/>
                      </w:tcPr>
                      <w:p>
                        <w:pPr>
                          <w:pStyle w:val="TableParagraph"/>
                          <w:spacing w:before="54"/>
                          <w:ind w:left="328"/>
                          <w:rPr>
                            <w:sz w:val="16"/>
                          </w:rPr>
                        </w:pPr>
                        <w:r>
                          <w:rPr>
                            <w:sz w:val="16"/>
                          </w:rPr>
                          <w:t>0.6</w:t>
                        </w:r>
                      </w:p>
                    </w:tc>
                  </w:tr>
                  <w:tr>
                    <w:trPr>
                      <w:trHeight w:val="443" w:hRule="atLeast"/>
                    </w:trPr>
                    <w:tc>
                      <w:tcPr>
                        <w:tcW w:w="1121" w:type="dxa"/>
                      </w:tcPr>
                      <w:p>
                        <w:pPr>
                          <w:pStyle w:val="TableParagraph"/>
                          <w:spacing w:before="124"/>
                          <w:ind w:left="57"/>
                          <w:rPr>
                            <w:sz w:val="16"/>
                          </w:rPr>
                        </w:pPr>
                        <w:r>
                          <w:rPr>
                            <w:sz w:val="16"/>
                          </w:rPr>
                          <w:t>Croatia</w:t>
                        </w:r>
                      </w:p>
                    </w:tc>
                    <w:tc>
                      <w:tcPr>
                        <w:tcW w:w="898" w:type="dxa"/>
                      </w:tcPr>
                      <w:p>
                        <w:pPr>
                          <w:pStyle w:val="TableParagraph"/>
                          <w:spacing w:before="124"/>
                          <w:ind w:right="101"/>
                          <w:jc w:val="right"/>
                          <w:rPr>
                            <w:sz w:val="16"/>
                          </w:rPr>
                        </w:pPr>
                        <w:r>
                          <w:rPr>
                            <w:sz w:val="16"/>
                          </w:rPr>
                          <w:t>1 763</w:t>
                        </w:r>
                      </w:p>
                    </w:tc>
                    <w:tc>
                      <w:tcPr>
                        <w:tcW w:w="910" w:type="dxa"/>
                      </w:tcPr>
                      <w:p>
                        <w:pPr>
                          <w:pStyle w:val="TableParagraph"/>
                          <w:spacing w:before="124"/>
                          <w:ind w:right="105"/>
                          <w:jc w:val="right"/>
                          <w:rPr>
                            <w:sz w:val="16"/>
                          </w:rPr>
                        </w:pPr>
                        <w:r>
                          <w:rPr>
                            <w:sz w:val="16"/>
                          </w:rPr>
                          <w:t>1 783</w:t>
                        </w:r>
                      </w:p>
                    </w:tc>
                    <w:tc>
                      <w:tcPr>
                        <w:tcW w:w="797" w:type="dxa"/>
                      </w:tcPr>
                      <w:p>
                        <w:pPr>
                          <w:pStyle w:val="TableParagraph"/>
                          <w:spacing w:before="124"/>
                          <w:ind w:left="488"/>
                          <w:rPr>
                            <w:sz w:val="16"/>
                          </w:rPr>
                        </w:pPr>
                        <w:r>
                          <w:rPr>
                            <w:w w:val="100"/>
                            <w:sz w:val="16"/>
                          </w:rPr>
                          <w:t>2</w:t>
                        </w:r>
                      </w:p>
                    </w:tc>
                    <w:tc>
                      <w:tcPr>
                        <w:tcW w:w="756" w:type="dxa"/>
                      </w:tcPr>
                      <w:p>
                        <w:pPr>
                          <w:pStyle w:val="TableParagraph"/>
                          <w:spacing w:before="124"/>
                          <w:ind w:left="327"/>
                          <w:rPr>
                            <w:sz w:val="16"/>
                          </w:rPr>
                        </w:pPr>
                        <w:r>
                          <w:rPr>
                            <w:sz w:val="16"/>
                          </w:rPr>
                          <w:t>0.1</w:t>
                        </w:r>
                      </w:p>
                    </w:tc>
                  </w:tr>
                  <w:tr>
                    <w:trPr>
                      <w:trHeight w:val="273" w:hRule="atLeast"/>
                    </w:trPr>
                    <w:tc>
                      <w:tcPr>
                        <w:tcW w:w="1121" w:type="dxa"/>
                      </w:tcPr>
                      <w:p>
                        <w:pPr>
                          <w:pStyle w:val="TableParagraph"/>
                          <w:spacing w:before="54"/>
                          <w:ind w:left="57"/>
                          <w:rPr>
                            <w:sz w:val="16"/>
                          </w:rPr>
                        </w:pPr>
                        <w:r>
                          <w:rPr>
                            <w:sz w:val="16"/>
                          </w:rPr>
                          <w:t>Czech Republic</w:t>
                        </w:r>
                      </w:p>
                    </w:tc>
                    <w:tc>
                      <w:tcPr>
                        <w:tcW w:w="898" w:type="dxa"/>
                      </w:tcPr>
                      <w:p>
                        <w:pPr>
                          <w:pStyle w:val="TableParagraph"/>
                          <w:spacing w:before="54"/>
                          <w:ind w:right="101"/>
                          <w:jc w:val="right"/>
                          <w:rPr>
                            <w:sz w:val="16"/>
                          </w:rPr>
                        </w:pPr>
                        <w:r>
                          <w:rPr>
                            <w:sz w:val="16"/>
                          </w:rPr>
                          <w:t>2 627</w:t>
                        </w:r>
                      </w:p>
                    </w:tc>
                    <w:tc>
                      <w:tcPr>
                        <w:tcW w:w="910" w:type="dxa"/>
                      </w:tcPr>
                      <w:p>
                        <w:pPr>
                          <w:pStyle w:val="TableParagraph"/>
                          <w:spacing w:before="54"/>
                          <w:ind w:right="104"/>
                          <w:jc w:val="right"/>
                          <w:rPr>
                            <w:sz w:val="16"/>
                          </w:rPr>
                        </w:pPr>
                        <w:r>
                          <w:rPr>
                            <w:sz w:val="16"/>
                          </w:rPr>
                          <w:t>2 632</w:t>
                        </w:r>
                      </w:p>
                    </w:tc>
                    <w:tc>
                      <w:tcPr>
                        <w:tcW w:w="797" w:type="dxa"/>
                      </w:tcPr>
                      <w:p>
                        <w:pPr>
                          <w:pStyle w:val="TableParagraph"/>
                          <w:spacing w:before="54"/>
                          <w:ind w:left="488"/>
                          <w:rPr>
                            <w:sz w:val="16"/>
                          </w:rPr>
                        </w:pPr>
                        <w:r>
                          <w:rPr>
                            <w:w w:val="100"/>
                            <w:sz w:val="16"/>
                          </w:rPr>
                          <w:t>1</w:t>
                        </w:r>
                      </w:p>
                    </w:tc>
                    <w:tc>
                      <w:tcPr>
                        <w:tcW w:w="756" w:type="dxa"/>
                      </w:tcPr>
                      <w:p>
                        <w:pPr>
                          <w:pStyle w:val="TableParagraph"/>
                          <w:spacing w:before="54"/>
                          <w:ind w:left="303"/>
                          <w:rPr>
                            <w:sz w:val="16"/>
                          </w:rPr>
                        </w:pPr>
                        <w:r>
                          <w:rPr>
                            <w:sz w:val="16"/>
                          </w:rPr>
                          <w:t>n.s.</w:t>
                        </w:r>
                      </w:p>
                    </w:tc>
                  </w:tr>
                  <w:tr>
                    <w:trPr>
                      <w:trHeight w:val="443" w:hRule="atLeast"/>
                    </w:trPr>
                    <w:tc>
                      <w:tcPr>
                        <w:tcW w:w="1121" w:type="dxa"/>
                      </w:tcPr>
                      <w:p>
                        <w:pPr>
                          <w:pStyle w:val="TableParagraph"/>
                          <w:spacing w:before="124"/>
                          <w:ind w:left="57"/>
                          <w:rPr>
                            <w:sz w:val="16"/>
                          </w:rPr>
                        </w:pPr>
                        <w:r>
                          <w:rPr>
                            <w:sz w:val="16"/>
                          </w:rPr>
                          <w:t>Denmark</w:t>
                        </w:r>
                      </w:p>
                    </w:tc>
                    <w:tc>
                      <w:tcPr>
                        <w:tcW w:w="898" w:type="dxa"/>
                      </w:tcPr>
                      <w:p>
                        <w:pPr>
                          <w:pStyle w:val="TableParagraph"/>
                          <w:spacing w:before="124"/>
                          <w:ind w:right="102"/>
                          <w:jc w:val="right"/>
                          <w:rPr>
                            <w:sz w:val="16"/>
                          </w:rPr>
                        </w:pPr>
                        <w:r>
                          <w:rPr>
                            <w:sz w:val="16"/>
                          </w:rPr>
                          <w:t>445</w:t>
                        </w:r>
                      </w:p>
                    </w:tc>
                    <w:tc>
                      <w:tcPr>
                        <w:tcW w:w="910" w:type="dxa"/>
                      </w:tcPr>
                      <w:p>
                        <w:pPr>
                          <w:pStyle w:val="TableParagraph"/>
                          <w:spacing w:before="124"/>
                          <w:ind w:right="105"/>
                          <w:jc w:val="right"/>
                          <w:rPr>
                            <w:sz w:val="16"/>
                          </w:rPr>
                        </w:pPr>
                        <w:r>
                          <w:rPr>
                            <w:sz w:val="16"/>
                          </w:rPr>
                          <w:t>455</w:t>
                        </w:r>
                      </w:p>
                    </w:tc>
                    <w:tc>
                      <w:tcPr>
                        <w:tcW w:w="797" w:type="dxa"/>
                      </w:tcPr>
                      <w:p>
                        <w:pPr>
                          <w:pStyle w:val="TableParagraph"/>
                          <w:spacing w:before="124"/>
                          <w:ind w:left="488"/>
                          <w:rPr>
                            <w:sz w:val="16"/>
                          </w:rPr>
                        </w:pPr>
                        <w:r>
                          <w:rPr>
                            <w:w w:val="100"/>
                            <w:sz w:val="16"/>
                          </w:rPr>
                          <w:t>1</w:t>
                        </w:r>
                      </w:p>
                    </w:tc>
                    <w:tc>
                      <w:tcPr>
                        <w:tcW w:w="756" w:type="dxa"/>
                      </w:tcPr>
                      <w:p>
                        <w:pPr>
                          <w:pStyle w:val="TableParagraph"/>
                          <w:spacing w:before="124"/>
                          <w:ind w:left="327"/>
                          <w:rPr>
                            <w:sz w:val="16"/>
                          </w:rPr>
                        </w:pPr>
                        <w:r>
                          <w:rPr>
                            <w:sz w:val="16"/>
                          </w:rPr>
                          <w:t>0.2</w:t>
                        </w:r>
                      </w:p>
                    </w:tc>
                  </w:tr>
                  <w:tr>
                    <w:trPr>
                      <w:trHeight w:val="275" w:hRule="atLeast"/>
                    </w:trPr>
                    <w:tc>
                      <w:tcPr>
                        <w:tcW w:w="1121" w:type="dxa"/>
                      </w:tcPr>
                      <w:p>
                        <w:pPr>
                          <w:pStyle w:val="TableParagraph"/>
                          <w:spacing w:before="54"/>
                          <w:ind w:left="57"/>
                          <w:rPr>
                            <w:sz w:val="16"/>
                          </w:rPr>
                        </w:pPr>
                        <w:r>
                          <w:rPr>
                            <w:sz w:val="16"/>
                          </w:rPr>
                          <w:t>Estonia</w:t>
                        </w:r>
                      </w:p>
                    </w:tc>
                    <w:tc>
                      <w:tcPr>
                        <w:tcW w:w="898" w:type="dxa"/>
                      </w:tcPr>
                      <w:p>
                        <w:pPr>
                          <w:pStyle w:val="TableParagraph"/>
                          <w:spacing w:before="54"/>
                          <w:ind w:right="102"/>
                          <w:jc w:val="right"/>
                          <w:rPr>
                            <w:sz w:val="16"/>
                          </w:rPr>
                        </w:pPr>
                        <w:r>
                          <w:rPr>
                            <w:sz w:val="16"/>
                          </w:rPr>
                          <w:t>1 935</w:t>
                        </w:r>
                      </w:p>
                    </w:tc>
                    <w:tc>
                      <w:tcPr>
                        <w:tcW w:w="910" w:type="dxa"/>
                      </w:tcPr>
                      <w:p>
                        <w:pPr>
                          <w:pStyle w:val="TableParagraph"/>
                          <w:spacing w:before="54"/>
                          <w:ind w:right="105"/>
                          <w:jc w:val="right"/>
                          <w:rPr>
                            <w:sz w:val="16"/>
                          </w:rPr>
                        </w:pPr>
                        <w:r>
                          <w:rPr>
                            <w:sz w:val="16"/>
                          </w:rPr>
                          <w:t>2 060</w:t>
                        </w:r>
                      </w:p>
                    </w:tc>
                    <w:tc>
                      <w:tcPr>
                        <w:tcW w:w="797" w:type="dxa"/>
                      </w:tcPr>
                      <w:p>
                        <w:pPr>
                          <w:pStyle w:val="TableParagraph"/>
                          <w:spacing w:before="54"/>
                          <w:ind w:left="407"/>
                          <w:rPr>
                            <w:sz w:val="16"/>
                          </w:rPr>
                        </w:pPr>
                        <w:r>
                          <w:rPr>
                            <w:sz w:val="16"/>
                          </w:rPr>
                          <w:t>13</w:t>
                        </w:r>
                      </w:p>
                    </w:tc>
                    <w:tc>
                      <w:tcPr>
                        <w:tcW w:w="756" w:type="dxa"/>
                      </w:tcPr>
                      <w:p>
                        <w:pPr>
                          <w:pStyle w:val="TableParagraph"/>
                          <w:spacing w:before="54"/>
                          <w:ind w:left="327"/>
                          <w:rPr>
                            <w:sz w:val="16"/>
                          </w:rPr>
                        </w:pPr>
                        <w:r>
                          <w:rPr>
                            <w:sz w:val="16"/>
                          </w:rPr>
                          <w:t>0.6</w:t>
                        </w:r>
                      </w:p>
                    </w:tc>
                  </w:tr>
                  <w:tr>
                    <w:trPr>
                      <w:trHeight w:val="273" w:hRule="atLeast"/>
                    </w:trPr>
                    <w:tc>
                      <w:tcPr>
                        <w:tcW w:w="1121" w:type="dxa"/>
                      </w:tcPr>
                      <w:p>
                        <w:pPr>
                          <w:pStyle w:val="TableParagraph"/>
                          <w:spacing w:before="54"/>
                          <w:ind w:left="57"/>
                          <w:rPr>
                            <w:sz w:val="16"/>
                          </w:rPr>
                        </w:pPr>
                        <w:r>
                          <w:rPr>
                            <w:sz w:val="16"/>
                          </w:rPr>
                          <w:t>Finland</w:t>
                        </w:r>
                      </w:p>
                    </w:tc>
                    <w:tc>
                      <w:tcPr>
                        <w:tcW w:w="898" w:type="dxa"/>
                      </w:tcPr>
                      <w:p>
                        <w:pPr>
                          <w:pStyle w:val="TableParagraph"/>
                          <w:spacing w:before="54"/>
                          <w:ind w:right="102"/>
                          <w:jc w:val="right"/>
                          <w:rPr>
                            <w:sz w:val="16"/>
                          </w:rPr>
                        </w:pPr>
                        <w:r>
                          <w:rPr>
                            <w:sz w:val="16"/>
                          </w:rPr>
                          <w:t>21 855</w:t>
                        </w:r>
                      </w:p>
                    </w:tc>
                    <w:tc>
                      <w:tcPr>
                        <w:tcW w:w="910" w:type="dxa"/>
                      </w:tcPr>
                      <w:p>
                        <w:pPr>
                          <w:pStyle w:val="TableParagraph"/>
                          <w:spacing w:before="54"/>
                          <w:ind w:right="105"/>
                          <w:jc w:val="right"/>
                          <w:rPr>
                            <w:sz w:val="16"/>
                          </w:rPr>
                        </w:pPr>
                        <w:r>
                          <w:rPr>
                            <w:sz w:val="16"/>
                          </w:rPr>
                          <w:t>21 935</w:t>
                        </w:r>
                      </w:p>
                    </w:tc>
                    <w:tc>
                      <w:tcPr>
                        <w:tcW w:w="797" w:type="dxa"/>
                      </w:tcPr>
                      <w:p>
                        <w:pPr>
                          <w:pStyle w:val="TableParagraph"/>
                          <w:spacing w:before="54"/>
                          <w:ind w:left="488"/>
                          <w:rPr>
                            <w:sz w:val="16"/>
                          </w:rPr>
                        </w:pPr>
                        <w:r>
                          <w:rPr>
                            <w:w w:val="100"/>
                            <w:sz w:val="16"/>
                          </w:rPr>
                          <w:t>8</w:t>
                        </w:r>
                      </w:p>
                    </w:tc>
                    <w:tc>
                      <w:tcPr>
                        <w:tcW w:w="756" w:type="dxa"/>
                      </w:tcPr>
                      <w:p>
                        <w:pPr>
                          <w:pStyle w:val="TableParagraph"/>
                          <w:spacing w:before="54"/>
                          <w:ind w:left="303"/>
                          <w:rPr>
                            <w:sz w:val="16"/>
                          </w:rPr>
                        </w:pPr>
                        <w:r>
                          <w:rPr>
                            <w:sz w:val="16"/>
                          </w:rPr>
                          <w:t>n.s.</w:t>
                        </w:r>
                      </w:p>
                    </w:tc>
                  </w:tr>
                  <w:tr>
                    <w:trPr>
                      <w:trHeight w:val="273" w:hRule="atLeast"/>
                    </w:trPr>
                    <w:tc>
                      <w:tcPr>
                        <w:tcW w:w="1121" w:type="dxa"/>
                      </w:tcPr>
                      <w:p>
                        <w:pPr>
                          <w:pStyle w:val="TableParagraph"/>
                          <w:spacing w:before="54"/>
                          <w:ind w:left="57"/>
                          <w:rPr>
                            <w:sz w:val="16"/>
                          </w:rPr>
                        </w:pPr>
                        <w:r>
                          <w:rPr>
                            <w:sz w:val="16"/>
                          </w:rPr>
                          <w:t>France</w:t>
                        </w:r>
                      </w:p>
                    </w:tc>
                    <w:tc>
                      <w:tcPr>
                        <w:tcW w:w="898" w:type="dxa"/>
                      </w:tcPr>
                      <w:p>
                        <w:pPr>
                          <w:pStyle w:val="TableParagraph"/>
                          <w:spacing w:before="54"/>
                          <w:ind w:right="101"/>
                          <w:jc w:val="right"/>
                          <w:rPr>
                            <w:sz w:val="16"/>
                          </w:rPr>
                        </w:pPr>
                        <w:r>
                          <w:rPr>
                            <w:sz w:val="16"/>
                          </w:rPr>
                          <w:t>14 725</w:t>
                        </w:r>
                      </w:p>
                    </w:tc>
                    <w:tc>
                      <w:tcPr>
                        <w:tcW w:w="910" w:type="dxa"/>
                      </w:tcPr>
                      <w:p>
                        <w:pPr>
                          <w:pStyle w:val="TableParagraph"/>
                          <w:spacing w:before="54"/>
                          <w:ind w:right="104"/>
                          <w:jc w:val="right"/>
                          <w:rPr>
                            <w:sz w:val="16"/>
                          </w:rPr>
                        </w:pPr>
                        <w:r>
                          <w:rPr>
                            <w:sz w:val="16"/>
                          </w:rPr>
                          <w:t>15 341</w:t>
                        </w:r>
                      </w:p>
                    </w:tc>
                    <w:tc>
                      <w:tcPr>
                        <w:tcW w:w="797" w:type="dxa"/>
                      </w:tcPr>
                      <w:p>
                        <w:pPr>
                          <w:pStyle w:val="TableParagraph"/>
                          <w:spacing w:before="54"/>
                          <w:ind w:left="407"/>
                          <w:rPr>
                            <w:sz w:val="16"/>
                          </w:rPr>
                        </w:pPr>
                        <w:r>
                          <w:rPr>
                            <w:sz w:val="16"/>
                          </w:rPr>
                          <w:t>62</w:t>
                        </w:r>
                      </w:p>
                    </w:tc>
                    <w:tc>
                      <w:tcPr>
                        <w:tcW w:w="756" w:type="dxa"/>
                      </w:tcPr>
                      <w:p>
                        <w:pPr>
                          <w:pStyle w:val="TableParagraph"/>
                          <w:spacing w:before="54"/>
                          <w:ind w:left="327"/>
                          <w:rPr>
                            <w:sz w:val="16"/>
                          </w:rPr>
                        </w:pPr>
                        <w:r>
                          <w:rPr>
                            <w:sz w:val="16"/>
                          </w:rPr>
                          <w:t>0.4</w:t>
                        </w:r>
                      </w:p>
                    </w:tc>
                  </w:tr>
                  <w:tr>
                    <w:trPr>
                      <w:trHeight w:val="275" w:hRule="atLeast"/>
                    </w:trPr>
                    <w:tc>
                      <w:tcPr>
                        <w:tcW w:w="1121" w:type="dxa"/>
                      </w:tcPr>
                      <w:p>
                        <w:pPr>
                          <w:pStyle w:val="TableParagraph"/>
                          <w:spacing w:before="54"/>
                          <w:ind w:left="57"/>
                          <w:rPr>
                            <w:sz w:val="16"/>
                          </w:rPr>
                        </w:pPr>
                        <w:r>
                          <w:rPr>
                            <w:sz w:val="16"/>
                          </w:rPr>
                          <w:t>Germany</w:t>
                        </w:r>
                      </w:p>
                    </w:tc>
                    <w:tc>
                      <w:tcPr>
                        <w:tcW w:w="898" w:type="dxa"/>
                      </w:tcPr>
                      <w:p>
                        <w:pPr>
                          <w:pStyle w:val="TableParagraph"/>
                          <w:spacing w:before="54"/>
                          <w:ind w:right="102"/>
                          <w:jc w:val="right"/>
                          <w:rPr>
                            <w:sz w:val="16"/>
                          </w:rPr>
                        </w:pPr>
                        <w:r>
                          <w:rPr>
                            <w:sz w:val="16"/>
                          </w:rPr>
                          <w:t>10 740</w:t>
                        </w:r>
                      </w:p>
                    </w:tc>
                    <w:tc>
                      <w:tcPr>
                        <w:tcW w:w="910" w:type="dxa"/>
                      </w:tcPr>
                      <w:p>
                        <w:pPr>
                          <w:pStyle w:val="TableParagraph"/>
                          <w:spacing w:before="54"/>
                          <w:ind w:right="105"/>
                          <w:jc w:val="right"/>
                          <w:rPr>
                            <w:sz w:val="16"/>
                          </w:rPr>
                        </w:pPr>
                        <w:r>
                          <w:rPr>
                            <w:sz w:val="16"/>
                          </w:rPr>
                          <w:t>10 740</w:t>
                        </w:r>
                      </w:p>
                    </w:tc>
                    <w:tc>
                      <w:tcPr>
                        <w:tcW w:w="797" w:type="dxa"/>
                      </w:tcPr>
                      <w:p>
                        <w:pPr>
                          <w:pStyle w:val="TableParagraph"/>
                          <w:spacing w:before="54"/>
                          <w:ind w:left="344"/>
                          <w:rPr>
                            <w:sz w:val="16"/>
                          </w:rPr>
                        </w:pPr>
                        <w:r>
                          <w:rPr>
                            <w:sz w:val="16"/>
                          </w:rPr>
                          <w:t>n.s.</w:t>
                        </w:r>
                      </w:p>
                    </w:tc>
                    <w:tc>
                      <w:tcPr>
                        <w:tcW w:w="756" w:type="dxa"/>
                      </w:tcPr>
                      <w:p>
                        <w:pPr>
                          <w:pStyle w:val="TableParagraph"/>
                          <w:spacing w:before="54"/>
                          <w:ind w:left="303"/>
                          <w:rPr>
                            <w:sz w:val="16"/>
                          </w:rPr>
                        </w:pPr>
                        <w:r>
                          <w:rPr>
                            <w:sz w:val="16"/>
                          </w:rPr>
                          <w:t>n.s.</w:t>
                        </w:r>
                      </w:p>
                    </w:tc>
                  </w:tr>
                  <w:tr>
                    <w:trPr>
                      <w:trHeight w:val="443" w:hRule="atLeast"/>
                    </w:trPr>
                    <w:tc>
                      <w:tcPr>
                        <w:tcW w:w="1121" w:type="dxa"/>
                      </w:tcPr>
                      <w:p>
                        <w:pPr>
                          <w:pStyle w:val="TableParagraph"/>
                          <w:spacing w:before="124"/>
                          <w:ind w:left="57"/>
                          <w:rPr>
                            <w:sz w:val="16"/>
                          </w:rPr>
                        </w:pPr>
                        <w:r>
                          <w:rPr>
                            <w:sz w:val="16"/>
                          </w:rPr>
                          <w:t>Greece</w:t>
                        </w:r>
                      </w:p>
                    </w:tc>
                    <w:tc>
                      <w:tcPr>
                        <w:tcW w:w="898" w:type="dxa"/>
                      </w:tcPr>
                      <w:p>
                        <w:pPr>
                          <w:pStyle w:val="TableParagraph"/>
                          <w:spacing w:before="124"/>
                          <w:ind w:right="102"/>
                          <w:jc w:val="right"/>
                          <w:rPr>
                            <w:sz w:val="16"/>
                          </w:rPr>
                        </w:pPr>
                        <w:r>
                          <w:rPr>
                            <w:sz w:val="16"/>
                          </w:rPr>
                          <w:t>3 299</w:t>
                        </w:r>
                      </w:p>
                    </w:tc>
                    <w:tc>
                      <w:tcPr>
                        <w:tcW w:w="910" w:type="dxa"/>
                      </w:tcPr>
                      <w:p>
                        <w:pPr>
                          <w:pStyle w:val="TableParagraph"/>
                          <w:spacing w:before="124"/>
                          <w:ind w:right="105"/>
                          <w:jc w:val="right"/>
                          <w:rPr>
                            <w:sz w:val="16"/>
                          </w:rPr>
                        </w:pPr>
                        <w:r>
                          <w:rPr>
                            <w:sz w:val="16"/>
                          </w:rPr>
                          <w:t>3 599</w:t>
                        </w:r>
                      </w:p>
                    </w:tc>
                    <w:tc>
                      <w:tcPr>
                        <w:tcW w:w="797" w:type="dxa"/>
                      </w:tcPr>
                      <w:p>
                        <w:pPr>
                          <w:pStyle w:val="TableParagraph"/>
                          <w:spacing w:before="124"/>
                          <w:ind w:left="407"/>
                          <w:rPr>
                            <w:sz w:val="16"/>
                          </w:rPr>
                        </w:pPr>
                        <w:r>
                          <w:rPr>
                            <w:sz w:val="16"/>
                          </w:rPr>
                          <w:t>30</w:t>
                        </w:r>
                      </w:p>
                    </w:tc>
                    <w:tc>
                      <w:tcPr>
                        <w:tcW w:w="756" w:type="dxa"/>
                      </w:tcPr>
                      <w:p>
                        <w:pPr>
                          <w:pStyle w:val="TableParagraph"/>
                          <w:spacing w:before="124"/>
                          <w:ind w:left="327"/>
                          <w:rPr>
                            <w:sz w:val="16"/>
                          </w:rPr>
                        </w:pPr>
                        <w:r>
                          <w:rPr>
                            <w:sz w:val="16"/>
                          </w:rPr>
                          <w:t>0.9</w:t>
                        </w:r>
                      </w:p>
                    </w:tc>
                  </w:tr>
                  <w:tr>
                    <w:trPr>
                      <w:trHeight w:val="273" w:hRule="atLeast"/>
                    </w:trPr>
                    <w:tc>
                      <w:tcPr>
                        <w:tcW w:w="1121" w:type="dxa"/>
                      </w:tcPr>
                      <w:p>
                        <w:pPr>
                          <w:pStyle w:val="TableParagraph"/>
                          <w:spacing w:before="54"/>
                          <w:ind w:left="57"/>
                          <w:rPr>
                            <w:sz w:val="16"/>
                          </w:rPr>
                        </w:pPr>
                        <w:r>
                          <w:rPr>
                            <w:sz w:val="16"/>
                          </w:rPr>
                          <w:t>Hungary</w:t>
                        </w:r>
                      </w:p>
                    </w:tc>
                    <w:tc>
                      <w:tcPr>
                        <w:tcW w:w="898" w:type="dxa"/>
                      </w:tcPr>
                      <w:p>
                        <w:pPr>
                          <w:pStyle w:val="TableParagraph"/>
                          <w:spacing w:before="54"/>
                          <w:ind w:right="102"/>
                          <w:jc w:val="right"/>
                          <w:rPr>
                            <w:sz w:val="16"/>
                          </w:rPr>
                        </w:pPr>
                        <w:r>
                          <w:rPr>
                            <w:sz w:val="16"/>
                          </w:rPr>
                          <w:t>1 768</w:t>
                        </w:r>
                      </w:p>
                    </w:tc>
                    <w:tc>
                      <w:tcPr>
                        <w:tcW w:w="910" w:type="dxa"/>
                      </w:tcPr>
                      <w:p>
                        <w:pPr>
                          <w:pStyle w:val="TableParagraph"/>
                          <w:spacing w:before="54"/>
                          <w:ind w:right="105"/>
                          <w:jc w:val="right"/>
                          <w:rPr>
                            <w:sz w:val="16"/>
                          </w:rPr>
                        </w:pPr>
                        <w:r>
                          <w:rPr>
                            <w:sz w:val="16"/>
                          </w:rPr>
                          <w:t>1 840</w:t>
                        </w:r>
                      </w:p>
                    </w:tc>
                    <w:tc>
                      <w:tcPr>
                        <w:tcW w:w="797" w:type="dxa"/>
                      </w:tcPr>
                      <w:p>
                        <w:pPr>
                          <w:pStyle w:val="TableParagraph"/>
                          <w:spacing w:before="54"/>
                          <w:ind w:left="488"/>
                          <w:rPr>
                            <w:sz w:val="16"/>
                          </w:rPr>
                        </w:pPr>
                        <w:r>
                          <w:rPr>
                            <w:w w:val="100"/>
                            <w:sz w:val="16"/>
                          </w:rPr>
                          <w:t>7</w:t>
                        </w:r>
                      </w:p>
                    </w:tc>
                    <w:tc>
                      <w:tcPr>
                        <w:tcW w:w="756" w:type="dxa"/>
                      </w:tcPr>
                      <w:p>
                        <w:pPr>
                          <w:pStyle w:val="TableParagraph"/>
                          <w:spacing w:before="54"/>
                          <w:ind w:left="327"/>
                          <w:rPr>
                            <w:sz w:val="16"/>
                          </w:rPr>
                        </w:pPr>
                        <w:r>
                          <w:rPr>
                            <w:sz w:val="16"/>
                          </w:rPr>
                          <w:t>0.4</w:t>
                        </w:r>
                      </w:p>
                    </w:tc>
                  </w:tr>
                  <w:tr>
                    <w:trPr>
                      <w:trHeight w:val="443" w:hRule="atLeast"/>
                    </w:trPr>
                    <w:tc>
                      <w:tcPr>
                        <w:tcW w:w="1121" w:type="dxa"/>
                      </w:tcPr>
                      <w:p>
                        <w:pPr>
                          <w:pStyle w:val="TableParagraph"/>
                          <w:spacing w:before="124"/>
                          <w:ind w:left="57"/>
                          <w:rPr>
                            <w:sz w:val="16"/>
                          </w:rPr>
                        </w:pPr>
                        <w:r>
                          <w:rPr>
                            <w:sz w:val="16"/>
                          </w:rPr>
                          <w:t>Iceland</w:t>
                        </w:r>
                      </w:p>
                    </w:tc>
                    <w:tc>
                      <w:tcPr>
                        <w:tcW w:w="898" w:type="dxa"/>
                      </w:tcPr>
                      <w:p>
                        <w:pPr>
                          <w:pStyle w:val="TableParagraph"/>
                          <w:spacing w:before="124"/>
                          <w:ind w:right="100"/>
                          <w:jc w:val="right"/>
                          <w:rPr>
                            <w:sz w:val="16"/>
                          </w:rPr>
                        </w:pPr>
                        <w:r>
                          <w:rPr>
                            <w:sz w:val="16"/>
                          </w:rPr>
                          <w:t>25</w:t>
                        </w:r>
                      </w:p>
                    </w:tc>
                    <w:tc>
                      <w:tcPr>
                        <w:tcW w:w="910" w:type="dxa"/>
                      </w:tcPr>
                      <w:p>
                        <w:pPr>
                          <w:pStyle w:val="TableParagraph"/>
                          <w:spacing w:before="124"/>
                          <w:ind w:right="103"/>
                          <w:jc w:val="right"/>
                          <w:rPr>
                            <w:sz w:val="16"/>
                          </w:rPr>
                        </w:pPr>
                        <w:r>
                          <w:rPr>
                            <w:sz w:val="16"/>
                          </w:rPr>
                          <w:t>31</w:t>
                        </w:r>
                      </w:p>
                    </w:tc>
                    <w:tc>
                      <w:tcPr>
                        <w:tcW w:w="797" w:type="dxa"/>
                      </w:tcPr>
                      <w:p>
                        <w:pPr>
                          <w:pStyle w:val="TableParagraph"/>
                          <w:spacing w:before="124"/>
                          <w:ind w:left="489"/>
                          <w:rPr>
                            <w:sz w:val="16"/>
                          </w:rPr>
                        </w:pPr>
                        <w:r>
                          <w:rPr>
                            <w:w w:val="100"/>
                            <w:sz w:val="16"/>
                          </w:rPr>
                          <w:t>1</w:t>
                        </w:r>
                      </w:p>
                    </w:tc>
                    <w:tc>
                      <w:tcPr>
                        <w:tcW w:w="756" w:type="dxa"/>
                      </w:tcPr>
                      <w:p>
                        <w:pPr>
                          <w:pStyle w:val="TableParagraph"/>
                          <w:spacing w:before="124"/>
                          <w:ind w:left="328"/>
                          <w:rPr>
                            <w:sz w:val="16"/>
                          </w:rPr>
                        </w:pPr>
                        <w:r>
                          <w:rPr>
                            <w:sz w:val="16"/>
                          </w:rPr>
                          <w:t>2.2</w:t>
                        </w:r>
                      </w:p>
                    </w:tc>
                  </w:tr>
                  <w:tr>
                    <w:trPr>
                      <w:trHeight w:val="275" w:hRule="atLeast"/>
                    </w:trPr>
                    <w:tc>
                      <w:tcPr>
                        <w:tcW w:w="1121" w:type="dxa"/>
                      </w:tcPr>
                      <w:p>
                        <w:pPr>
                          <w:pStyle w:val="TableParagraph"/>
                          <w:spacing w:before="54"/>
                          <w:ind w:left="57"/>
                          <w:rPr>
                            <w:sz w:val="16"/>
                          </w:rPr>
                        </w:pPr>
                        <w:r>
                          <w:rPr>
                            <w:sz w:val="16"/>
                          </w:rPr>
                          <w:t>Ireland</w:t>
                        </w:r>
                      </w:p>
                    </w:tc>
                    <w:tc>
                      <w:tcPr>
                        <w:tcW w:w="898" w:type="dxa"/>
                      </w:tcPr>
                      <w:p>
                        <w:pPr>
                          <w:pStyle w:val="TableParagraph"/>
                          <w:spacing w:before="54"/>
                          <w:ind w:right="101"/>
                          <w:jc w:val="right"/>
                          <w:rPr>
                            <w:sz w:val="16"/>
                          </w:rPr>
                        </w:pPr>
                        <w:r>
                          <w:rPr>
                            <w:sz w:val="16"/>
                          </w:rPr>
                          <w:t>489</w:t>
                        </w:r>
                      </w:p>
                    </w:tc>
                    <w:tc>
                      <w:tcPr>
                        <w:tcW w:w="910" w:type="dxa"/>
                      </w:tcPr>
                      <w:p>
                        <w:pPr>
                          <w:pStyle w:val="TableParagraph"/>
                          <w:spacing w:before="54"/>
                          <w:ind w:right="104"/>
                          <w:jc w:val="right"/>
                          <w:rPr>
                            <w:sz w:val="16"/>
                          </w:rPr>
                        </w:pPr>
                        <w:r>
                          <w:rPr>
                            <w:sz w:val="16"/>
                          </w:rPr>
                          <w:t>659</w:t>
                        </w:r>
                      </w:p>
                    </w:tc>
                    <w:tc>
                      <w:tcPr>
                        <w:tcW w:w="797" w:type="dxa"/>
                      </w:tcPr>
                      <w:p>
                        <w:pPr>
                          <w:pStyle w:val="TableParagraph"/>
                          <w:spacing w:before="54"/>
                          <w:ind w:left="407"/>
                          <w:rPr>
                            <w:sz w:val="16"/>
                          </w:rPr>
                        </w:pPr>
                        <w:r>
                          <w:rPr>
                            <w:sz w:val="16"/>
                          </w:rPr>
                          <w:t>17</w:t>
                        </w:r>
                      </w:p>
                    </w:tc>
                    <w:tc>
                      <w:tcPr>
                        <w:tcW w:w="756" w:type="dxa"/>
                      </w:tcPr>
                      <w:p>
                        <w:pPr>
                          <w:pStyle w:val="TableParagraph"/>
                          <w:spacing w:before="54"/>
                          <w:ind w:left="328"/>
                          <w:rPr>
                            <w:sz w:val="16"/>
                          </w:rPr>
                        </w:pPr>
                        <w:r>
                          <w:rPr>
                            <w:sz w:val="16"/>
                          </w:rPr>
                          <w:t>3.0</w:t>
                        </w:r>
                      </w:p>
                    </w:tc>
                  </w:tr>
                  <w:tr>
                    <w:trPr>
                      <w:trHeight w:val="443" w:hRule="atLeast"/>
                    </w:trPr>
                    <w:tc>
                      <w:tcPr>
                        <w:tcW w:w="1121" w:type="dxa"/>
                      </w:tcPr>
                      <w:p>
                        <w:pPr>
                          <w:pStyle w:val="TableParagraph"/>
                          <w:spacing w:before="124"/>
                          <w:ind w:left="57"/>
                          <w:rPr>
                            <w:sz w:val="16"/>
                          </w:rPr>
                        </w:pPr>
                        <w:r>
                          <w:rPr>
                            <w:sz w:val="16"/>
                          </w:rPr>
                          <w:t>Italy</w:t>
                        </w:r>
                      </w:p>
                    </w:tc>
                    <w:tc>
                      <w:tcPr>
                        <w:tcW w:w="898" w:type="dxa"/>
                      </w:tcPr>
                      <w:p>
                        <w:pPr>
                          <w:pStyle w:val="TableParagraph"/>
                          <w:spacing w:before="124"/>
                          <w:ind w:right="101"/>
                          <w:jc w:val="right"/>
                          <w:rPr>
                            <w:sz w:val="16"/>
                          </w:rPr>
                        </w:pPr>
                        <w:r>
                          <w:rPr>
                            <w:sz w:val="16"/>
                          </w:rPr>
                          <w:t>8 737 </w:t>
                        </w:r>
                        <w:r>
                          <w:rPr>
                            <w:sz w:val="16"/>
                            <w:vertAlign w:val="superscript"/>
                          </w:rPr>
                          <w:t>1</w:t>
                        </w:r>
                      </w:p>
                    </w:tc>
                    <w:tc>
                      <w:tcPr>
                        <w:tcW w:w="910" w:type="dxa"/>
                      </w:tcPr>
                      <w:p>
                        <w:pPr>
                          <w:pStyle w:val="TableParagraph"/>
                          <w:spacing w:before="124"/>
                          <w:ind w:right="105"/>
                          <w:jc w:val="right"/>
                          <w:rPr>
                            <w:sz w:val="16"/>
                          </w:rPr>
                        </w:pPr>
                        <w:r>
                          <w:rPr>
                            <w:sz w:val="16"/>
                          </w:rPr>
                          <w:t>10 003</w:t>
                        </w:r>
                      </w:p>
                    </w:tc>
                    <w:tc>
                      <w:tcPr>
                        <w:tcW w:w="797" w:type="dxa"/>
                      </w:tcPr>
                      <w:p>
                        <w:pPr>
                          <w:pStyle w:val="TableParagraph"/>
                          <w:spacing w:before="124"/>
                          <w:ind w:left="406"/>
                          <w:rPr>
                            <w:sz w:val="16"/>
                          </w:rPr>
                        </w:pPr>
                        <w:r>
                          <w:rPr>
                            <w:sz w:val="16"/>
                          </w:rPr>
                          <w:t>30</w:t>
                        </w:r>
                      </w:p>
                    </w:tc>
                    <w:tc>
                      <w:tcPr>
                        <w:tcW w:w="756" w:type="dxa"/>
                      </w:tcPr>
                      <w:p>
                        <w:pPr>
                          <w:pStyle w:val="TableParagraph"/>
                          <w:spacing w:before="124"/>
                          <w:ind w:left="327"/>
                          <w:rPr>
                            <w:sz w:val="16"/>
                          </w:rPr>
                        </w:pPr>
                        <w:r>
                          <w:rPr>
                            <w:sz w:val="16"/>
                          </w:rPr>
                          <w:t>0.3</w:t>
                        </w:r>
                      </w:p>
                    </w:tc>
                  </w:tr>
                  <w:tr>
                    <w:trPr>
                      <w:trHeight w:val="273" w:hRule="atLeast"/>
                    </w:trPr>
                    <w:tc>
                      <w:tcPr>
                        <w:tcW w:w="1121" w:type="dxa"/>
                      </w:tcPr>
                      <w:p>
                        <w:pPr>
                          <w:pStyle w:val="TableParagraph"/>
                          <w:spacing w:before="54"/>
                          <w:ind w:left="57"/>
                          <w:rPr>
                            <w:sz w:val="16"/>
                          </w:rPr>
                        </w:pPr>
                        <w:r>
                          <w:rPr>
                            <w:sz w:val="16"/>
                          </w:rPr>
                          <w:t>Latvia</w:t>
                        </w:r>
                      </w:p>
                    </w:tc>
                    <w:tc>
                      <w:tcPr>
                        <w:tcW w:w="898" w:type="dxa"/>
                      </w:tcPr>
                      <w:p>
                        <w:pPr>
                          <w:pStyle w:val="TableParagraph"/>
                          <w:spacing w:before="54"/>
                          <w:ind w:right="101"/>
                          <w:jc w:val="right"/>
                          <w:rPr>
                            <w:sz w:val="16"/>
                          </w:rPr>
                        </w:pPr>
                        <w:r>
                          <w:rPr>
                            <w:sz w:val="16"/>
                          </w:rPr>
                          <w:t>2 796</w:t>
                        </w:r>
                      </w:p>
                    </w:tc>
                    <w:tc>
                      <w:tcPr>
                        <w:tcW w:w="910" w:type="dxa"/>
                      </w:tcPr>
                      <w:p>
                        <w:pPr>
                          <w:pStyle w:val="TableParagraph"/>
                          <w:spacing w:before="54"/>
                          <w:ind w:right="104"/>
                          <w:jc w:val="right"/>
                          <w:rPr>
                            <w:sz w:val="16"/>
                          </w:rPr>
                        </w:pPr>
                        <w:r>
                          <w:rPr>
                            <w:sz w:val="16"/>
                          </w:rPr>
                          <w:t>2 923</w:t>
                        </w:r>
                      </w:p>
                    </w:tc>
                    <w:tc>
                      <w:tcPr>
                        <w:tcW w:w="797" w:type="dxa"/>
                      </w:tcPr>
                      <w:p>
                        <w:pPr>
                          <w:pStyle w:val="TableParagraph"/>
                          <w:spacing w:before="54"/>
                          <w:ind w:left="407"/>
                          <w:rPr>
                            <w:sz w:val="16"/>
                          </w:rPr>
                        </w:pPr>
                        <w:r>
                          <w:rPr>
                            <w:sz w:val="16"/>
                          </w:rPr>
                          <w:t>13</w:t>
                        </w:r>
                      </w:p>
                    </w:tc>
                    <w:tc>
                      <w:tcPr>
                        <w:tcW w:w="756" w:type="dxa"/>
                      </w:tcPr>
                      <w:p>
                        <w:pPr>
                          <w:pStyle w:val="TableParagraph"/>
                          <w:spacing w:before="54"/>
                          <w:ind w:left="327"/>
                          <w:rPr>
                            <w:sz w:val="16"/>
                          </w:rPr>
                        </w:pPr>
                        <w:r>
                          <w:rPr>
                            <w:sz w:val="16"/>
                          </w:rPr>
                          <w:t>0.4</w:t>
                        </w:r>
                      </w:p>
                    </w:tc>
                  </w:tr>
                  <w:tr>
                    <w:trPr>
                      <w:trHeight w:val="1288" w:hRule="atLeast"/>
                    </w:trPr>
                    <w:tc>
                      <w:tcPr>
                        <w:tcW w:w="4482" w:type="dxa"/>
                        <w:gridSpan w:val="5"/>
                      </w:tcPr>
                      <w:p>
                        <w:pPr>
                          <w:pStyle w:val="TableParagraph"/>
                          <w:spacing w:before="50"/>
                          <w:ind w:left="160" w:hanging="104"/>
                          <w:rPr>
                            <w:sz w:val="16"/>
                          </w:rPr>
                        </w:pPr>
                        <w:r>
                          <w:rPr>
                            <w:position w:val="7"/>
                            <w:sz w:val="10"/>
                          </w:rPr>
                          <w:t>1 </w:t>
                        </w:r>
                        <w:r>
                          <w:rPr>
                            <w:sz w:val="16"/>
                          </w:rPr>
                          <w:t>The value for Italy was provided by Italy and is referred to in their Third National Communication to the UNFCCC.</w:t>
                        </w:r>
                      </w:p>
                      <w:p>
                        <w:pPr>
                          <w:pStyle w:val="TableParagraph"/>
                          <w:spacing w:line="183" w:lineRule="exact" w:before="100"/>
                          <w:ind w:left="57"/>
                          <w:rPr>
                            <w:sz w:val="16"/>
                          </w:rPr>
                        </w:pPr>
                        <w:r>
                          <w:rPr>
                            <w:sz w:val="16"/>
                          </w:rPr>
                          <w:t>n.s. - not specified</w:t>
                        </w:r>
                      </w:p>
                      <w:p>
                        <w:pPr>
                          <w:pStyle w:val="TableParagraph"/>
                          <w:ind w:left="57" w:right="493"/>
                          <w:rPr>
                            <w:sz w:val="16"/>
                          </w:rPr>
                        </w:pPr>
                        <w:r>
                          <w:rPr>
                            <w:sz w:val="16"/>
                          </w:rPr>
                          <w:t>Source: FRA 2000 and Working Paper 59, FRA Programme, Forestry Department of FAO, Rome 2001, 69p </w:t>
                        </w:r>
                        <w:hyperlink r:id="rId188">
                          <w:r>
                            <w:rPr>
                              <w:sz w:val="16"/>
                            </w:rPr>
                            <w:t>(www</w:t>
                          </w:r>
                        </w:hyperlink>
                        <w:r>
                          <w:rPr>
                            <w:sz w:val="16"/>
                          </w:rPr>
                          <w:t>.</w:t>
                        </w:r>
                        <w:hyperlink r:id="rId188">
                          <w:r>
                            <w:rPr>
                              <w:sz w:val="16"/>
                            </w:rPr>
                            <w:t>fao.org/forestry/fo/fra/index.jsp)</w:t>
                          </w:r>
                        </w:hyperlink>
                      </w:p>
                    </w:tc>
                  </w:tr>
                </w:tbl>
                <w:p>
                  <w:pPr>
                    <w:pStyle w:val="BodyText"/>
                  </w:pPr>
                </w:p>
              </w:txbxContent>
            </v:textbox>
          </v:shape>
        </w:pict>
      </w:r>
      <w:r>
        <w:rPr/>
      </w:r>
      <w:r>
        <w:rPr>
          <w:spacing w:val="43"/>
        </w:rPr>
        <w:t> </w:t>
      </w:r>
      <w:r>
        <w:rPr>
          <w:spacing w:val="43"/>
          <w:position w:val="45"/>
        </w:rPr>
        <w:pict>
          <v:shape style="width:224.25pt;height:491.55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2"/>
                    <w:gridCol w:w="924"/>
                    <w:gridCol w:w="910"/>
                    <w:gridCol w:w="800"/>
                    <w:gridCol w:w="684"/>
                  </w:tblGrid>
                  <w:tr>
                    <w:trPr>
                      <w:trHeight w:val="726" w:hRule="atLeast"/>
                    </w:trPr>
                    <w:tc>
                      <w:tcPr>
                        <w:tcW w:w="4470" w:type="dxa"/>
                        <w:gridSpan w:val="5"/>
                        <w:tcBorders>
                          <w:bottom w:val="double" w:sz="1" w:space="0" w:color="000000"/>
                          <w:right w:val="single" w:sz="6" w:space="0" w:color="000000"/>
                        </w:tcBorders>
                      </w:tcPr>
                      <w:p>
                        <w:pPr>
                          <w:pStyle w:val="TableParagraph"/>
                          <w:spacing w:before="52"/>
                          <w:ind w:left="1192" w:right="1152"/>
                          <w:jc w:val="center"/>
                          <w:rPr>
                            <w:b/>
                            <w:sz w:val="14"/>
                          </w:rPr>
                        </w:pPr>
                        <w:r>
                          <w:rPr>
                            <w:b/>
                            <w:sz w:val="18"/>
                          </w:rPr>
                          <w:t>T</w:t>
                        </w:r>
                        <w:r>
                          <w:rPr>
                            <w:b/>
                            <w:sz w:val="14"/>
                          </w:rPr>
                          <w:t>ABLE </w:t>
                        </w:r>
                        <w:r>
                          <w:rPr>
                            <w:b/>
                            <w:sz w:val="18"/>
                          </w:rPr>
                          <w:t>3A.1.1 (C</w:t>
                        </w:r>
                        <w:r>
                          <w:rPr>
                            <w:b/>
                            <w:sz w:val="14"/>
                          </w:rPr>
                          <w:t>ONTINUED</w:t>
                        </w:r>
                        <w:r>
                          <w:rPr>
                            <w:b/>
                            <w:sz w:val="18"/>
                          </w:rPr>
                          <w:t>) F</w:t>
                        </w:r>
                        <w:r>
                          <w:rPr>
                            <w:b/>
                            <w:sz w:val="14"/>
                          </w:rPr>
                          <w:t>OREST AREA CHANGE</w:t>
                        </w:r>
                      </w:p>
                      <w:p>
                        <w:pPr>
                          <w:pStyle w:val="TableParagraph"/>
                          <w:spacing w:line="201" w:lineRule="exact"/>
                          <w:ind w:left="321" w:right="281"/>
                          <w:jc w:val="center"/>
                          <w:rPr>
                            <w:sz w:val="18"/>
                          </w:rPr>
                        </w:pPr>
                        <w:r>
                          <w:rPr>
                            <w:sz w:val="18"/>
                          </w:rPr>
                          <w:t>(To be used for verification of ‘A’ in Equation 3.2.4)</w:t>
                        </w:r>
                      </w:p>
                    </w:tc>
                  </w:tr>
                  <w:tr>
                    <w:trPr>
                      <w:trHeight w:val="253" w:hRule="atLeast"/>
                    </w:trPr>
                    <w:tc>
                      <w:tcPr>
                        <w:tcW w:w="4470" w:type="dxa"/>
                        <w:gridSpan w:val="5"/>
                        <w:tcBorders>
                          <w:top w:val="double" w:sz="1" w:space="0" w:color="000000"/>
                          <w:right w:val="single" w:sz="6" w:space="0" w:color="000000"/>
                        </w:tcBorders>
                      </w:tcPr>
                      <w:p>
                        <w:pPr>
                          <w:pStyle w:val="TableParagraph"/>
                          <w:spacing w:line="172" w:lineRule="exact" w:before="61"/>
                          <w:ind w:left="57"/>
                          <w:rPr>
                            <w:b/>
                            <w:sz w:val="18"/>
                          </w:rPr>
                        </w:pPr>
                        <w:r>
                          <w:rPr>
                            <w:b/>
                            <w:sz w:val="18"/>
                          </w:rPr>
                          <w:t>d. EUROPE</w:t>
                        </w:r>
                      </w:p>
                    </w:tc>
                  </w:tr>
                  <w:tr>
                    <w:trPr>
                      <w:trHeight w:val="388" w:hRule="atLeast"/>
                    </w:trPr>
                    <w:tc>
                      <w:tcPr>
                        <w:tcW w:w="1152" w:type="dxa"/>
                      </w:tcPr>
                      <w:p>
                        <w:pPr>
                          <w:pStyle w:val="TableParagraph"/>
                          <w:spacing w:before="97"/>
                          <w:ind w:left="57"/>
                          <w:rPr>
                            <w:b/>
                            <w:sz w:val="16"/>
                          </w:rPr>
                        </w:pPr>
                        <w:r>
                          <w:rPr>
                            <w:b/>
                            <w:sz w:val="16"/>
                          </w:rPr>
                          <w:t>Country</w:t>
                        </w:r>
                      </w:p>
                    </w:tc>
                    <w:tc>
                      <w:tcPr>
                        <w:tcW w:w="1834" w:type="dxa"/>
                        <w:gridSpan w:val="2"/>
                      </w:tcPr>
                      <w:p>
                        <w:pPr>
                          <w:pStyle w:val="TableParagraph"/>
                          <w:spacing w:before="97"/>
                          <w:ind w:left="321"/>
                          <w:rPr>
                            <w:b/>
                            <w:sz w:val="16"/>
                          </w:rPr>
                        </w:pPr>
                        <w:r>
                          <w:rPr>
                            <w:b/>
                            <w:sz w:val="16"/>
                          </w:rPr>
                          <w:t>Total Forest Area</w:t>
                        </w:r>
                      </w:p>
                    </w:tc>
                    <w:tc>
                      <w:tcPr>
                        <w:tcW w:w="1484" w:type="dxa"/>
                        <w:gridSpan w:val="2"/>
                        <w:tcBorders>
                          <w:right w:val="single" w:sz="6" w:space="0" w:color="000000"/>
                        </w:tcBorders>
                      </w:tcPr>
                      <w:p>
                        <w:pPr>
                          <w:pStyle w:val="TableParagraph"/>
                          <w:spacing w:line="180" w:lineRule="atLeast" w:before="6"/>
                          <w:ind w:left="407" w:right="25" w:hanging="344"/>
                          <w:rPr>
                            <w:b/>
                            <w:sz w:val="16"/>
                          </w:rPr>
                        </w:pPr>
                        <w:r>
                          <w:rPr>
                            <w:b/>
                            <w:sz w:val="16"/>
                          </w:rPr>
                          <w:t>Forest Area Change 1990-2000</w:t>
                        </w:r>
                      </w:p>
                    </w:tc>
                  </w:tr>
                  <w:tr>
                    <w:trPr>
                      <w:trHeight w:val="385" w:hRule="atLeast"/>
                    </w:trPr>
                    <w:tc>
                      <w:tcPr>
                        <w:tcW w:w="1152" w:type="dxa"/>
                      </w:tcPr>
                      <w:p>
                        <w:pPr>
                          <w:pStyle w:val="TableParagraph"/>
                          <w:rPr>
                            <w:sz w:val="16"/>
                          </w:rPr>
                        </w:pPr>
                      </w:p>
                    </w:tc>
                    <w:tc>
                      <w:tcPr>
                        <w:tcW w:w="924" w:type="dxa"/>
                      </w:tcPr>
                      <w:p>
                        <w:pPr>
                          <w:pStyle w:val="TableParagraph"/>
                          <w:spacing w:before="97"/>
                          <w:ind w:left="314"/>
                          <w:rPr>
                            <w:b/>
                            <w:sz w:val="16"/>
                          </w:rPr>
                        </w:pPr>
                        <w:r>
                          <w:rPr>
                            <w:b/>
                            <w:sz w:val="16"/>
                          </w:rPr>
                          <w:t>1990</w:t>
                        </w:r>
                      </w:p>
                    </w:tc>
                    <w:tc>
                      <w:tcPr>
                        <w:tcW w:w="910" w:type="dxa"/>
                      </w:tcPr>
                      <w:p>
                        <w:pPr>
                          <w:pStyle w:val="TableParagraph"/>
                          <w:spacing w:before="97"/>
                          <w:ind w:left="306"/>
                          <w:rPr>
                            <w:b/>
                            <w:sz w:val="16"/>
                          </w:rPr>
                        </w:pPr>
                        <w:r>
                          <w:rPr>
                            <w:b/>
                            <w:sz w:val="16"/>
                          </w:rPr>
                          <w:t>2000</w:t>
                        </w:r>
                      </w:p>
                    </w:tc>
                    <w:tc>
                      <w:tcPr>
                        <w:tcW w:w="800" w:type="dxa"/>
                      </w:tcPr>
                      <w:p>
                        <w:pPr>
                          <w:pStyle w:val="TableParagraph"/>
                          <w:spacing w:line="180" w:lineRule="atLeast" w:before="6"/>
                          <w:ind w:left="148" w:right="97" w:firstLine="9"/>
                          <w:rPr>
                            <w:b/>
                            <w:sz w:val="16"/>
                          </w:rPr>
                        </w:pPr>
                        <w:r>
                          <w:rPr>
                            <w:b/>
                            <w:sz w:val="16"/>
                          </w:rPr>
                          <w:t>Annual Change</w:t>
                        </w:r>
                      </w:p>
                    </w:tc>
                    <w:tc>
                      <w:tcPr>
                        <w:tcW w:w="684" w:type="dxa"/>
                        <w:tcBorders>
                          <w:right w:val="single" w:sz="6" w:space="0" w:color="000000"/>
                        </w:tcBorders>
                      </w:tcPr>
                      <w:p>
                        <w:pPr>
                          <w:pStyle w:val="TableParagraph"/>
                          <w:spacing w:line="180" w:lineRule="atLeast" w:before="6"/>
                          <w:ind w:left="192" w:right="38" w:hanging="104"/>
                          <w:rPr>
                            <w:b/>
                            <w:sz w:val="16"/>
                          </w:rPr>
                        </w:pPr>
                        <w:r>
                          <w:rPr>
                            <w:b/>
                            <w:sz w:val="16"/>
                          </w:rPr>
                          <w:t>Change Rate</w:t>
                        </w:r>
                      </w:p>
                    </w:tc>
                  </w:tr>
                  <w:tr>
                    <w:trPr>
                      <w:trHeight w:val="275" w:hRule="atLeast"/>
                    </w:trPr>
                    <w:tc>
                      <w:tcPr>
                        <w:tcW w:w="1152" w:type="dxa"/>
                      </w:tcPr>
                      <w:p>
                        <w:pPr>
                          <w:pStyle w:val="TableParagraph"/>
                          <w:rPr>
                            <w:sz w:val="16"/>
                          </w:rPr>
                        </w:pPr>
                      </w:p>
                    </w:tc>
                    <w:tc>
                      <w:tcPr>
                        <w:tcW w:w="924" w:type="dxa"/>
                      </w:tcPr>
                      <w:p>
                        <w:pPr>
                          <w:pStyle w:val="TableParagraph"/>
                          <w:spacing w:before="40"/>
                          <w:ind w:left="249"/>
                          <w:rPr>
                            <w:b/>
                            <w:sz w:val="16"/>
                          </w:rPr>
                        </w:pPr>
                        <w:r>
                          <w:rPr>
                            <w:b/>
                            <w:sz w:val="16"/>
                          </w:rPr>
                          <w:t>000 ha</w:t>
                        </w:r>
                      </w:p>
                    </w:tc>
                    <w:tc>
                      <w:tcPr>
                        <w:tcW w:w="910" w:type="dxa"/>
                      </w:tcPr>
                      <w:p>
                        <w:pPr>
                          <w:pStyle w:val="TableParagraph"/>
                          <w:spacing w:before="40"/>
                          <w:ind w:left="242"/>
                          <w:rPr>
                            <w:b/>
                            <w:sz w:val="16"/>
                          </w:rPr>
                        </w:pPr>
                        <w:r>
                          <w:rPr>
                            <w:b/>
                            <w:sz w:val="16"/>
                          </w:rPr>
                          <w:t>000 ha</w:t>
                        </w:r>
                      </w:p>
                    </w:tc>
                    <w:tc>
                      <w:tcPr>
                        <w:tcW w:w="800" w:type="dxa"/>
                      </w:tcPr>
                      <w:p>
                        <w:pPr>
                          <w:pStyle w:val="TableParagraph"/>
                          <w:spacing w:before="40"/>
                          <w:ind w:left="68"/>
                          <w:rPr>
                            <w:b/>
                            <w:sz w:val="16"/>
                          </w:rPr>
                        </w:pPr>
                        <w:r>
                          <w:rPr>
                            <w:b/>
                            <w:sz w:val="16"/>
                          </w:rPr>
                          <w:t>000 ha /yr</w:t>
                        </w:r>
                      </w:p>
                    </w:tc>
                    <w:tc>
                      <w:tcPr>
                        <w:tcW w:w="684" w:type="dxa"/>
                        <w:tcBorders>
                          <w:right w:val="single" w:sz="6" w:space="0" w:color="000000"/>
                        </w:tcBorders>
                      </w:tcPr>
                      <w:p>
                        <w:pPr>
                          <w:pStyle w:val="TableParagraph"/>
                          <w:spacing w:before="40"/>
                          <w:ind w:left="135"/>
                          <w:rPr>
                            <w:b/>
                            <w:sz w:val="16"/>
                          </w:rPr>
                        </w:pPr>
                        <w:r>
                          <w:rPr>
                            <w:b/>
                            <w:sz w:val="16"/>
                          </w:rPr>
                          <w:t>% / yr</w:t>
                        </w:r>
                      </w:p>
                    </w:tc>
                  </w:tr>
                  <w:tr>
                    <w:trPr>
                      <w:trHeight w:val="273" w:hRule="atLeast"/>
                    </w:trPr>
                    <w:tc>
                      <w:tcPr>
                        <w:tcW w:w="1152" w:type="dxa"/>
                      </w:tcPr>
                      <w:p>
                        <w:pPr>
                          <w:pStyle w:val="TableParagraph"/>
                          <w:spacing w:before="54"/>
                          <w:ind w:left="58"/>
                          <w:rPr>
                            <w:sz w:val="16"/>
                          </w:rPr>
                        </w:pPr>
                        <w:r>
                          <w:rPr>
                            <w:sz w:val="16"/>
                          </w:rPr>
                          <w:t>Liechtenstein</w:t>
                        </w:r>
                      </w:p>
                    </w:tc>
                    <w:tc>
                      <w:tcPr>
                        <w:tcW w:w="924" w:type="dxa"/>
                      </w:tcPr>
                      <w:p>
                        <w:pPr>
                          <w:pStyle w:val="TableParagraph"/>
                          <w:spacing w:before="54"/>
                          <w:ind w:right="101"/>
                          <w:jc w:val="right"/>
                          <w:rPr>
                            <w:sz w:val="16"/>
                          </w:rPr>
                        </w:pPr>
                        <w:r>
                          <w:rPr>
                            <w:w w:val="100"/>
                            <w:sz w:val="16"/>
                          </w:rPr>
                          <w:t>6</w:t>
                        </w:r>
                      </w:p>
                    </w:tc>
                    <w:tc>
                      <w:tcPr>
                        <w:tcW w:w="910" w:type="dxa"/>
                      </w:tcPr>
                      <w:p>
                        <w:pPr>
                          <w:pStyle w:val="TableParagraph"/>
                          <w:spacing w:before="54"/>
                          <w:ind w:right="101"/>
                          <w:jc w:val="right"/>
                          <w:rPr>
                            <w:sz w:val="16"/>
                          </w:rPr>
                        </w:pPr>
                        <w:r>
                          <w:rPr>
                            <w:w w:val="100"/>
                            <w:sz w:val="16"/>
                          </w:rPr>
                          <w:t>7</w:t>
                        </w:r>
                      </w:p>
                    </w:tc>
                    <w:tc>
                      <w:tcPr>
                        <w:tcW w:w="800" w:type="dxa"/>
                      </w:tcPr>
                      <w:p>
                        <w:pPr>
                          <w:pStyle w:val="TableParagraph"/>
                          <w:spacing w:before="54"/>
                          <w:ind w:left="345"/>
                          <w:rPr>
                            <w:sz w:val="16"/>
                          </w:rPr>
                        </w:pPr>
                        <w:r>
                          <w:rPr>
                            <w:sz w:val="16"/>
                          </w:rPr>
                          <w:t>n.s.</w:t>
                        </w:r>
                      </w:p>
                    </w:tc>
                    <w:tc>
                      <w:tcPr>
                        <w:tcW w:w="684" w:type="dxa"/>
                        <w:tcBorders>
                          <w:right w:val="single" w:sz="6" w:space="0" w:color="000000"/>
                        </w:tcBorders>
                      </w:tcPr>
                      <w:p>
                        <w:pPr>
                          <w:pStyle w:val="TableParagraph"/>
                          <w:spacing w:before="54"/>
                          <w:ind w:left="256"/>
                          <w:rPr>
                            <w:sz w:val="16"/>
                          </w:rPr>
                        </w:pPr>
                        <w:r>
                          <w:rPr>
                            <w:sz w:val="16"/>
                          </w:rPr>
                          <w:t>1.2</w:t>
                        </w:r>
                      </w:p>
                    </w:tc>
                  </w:tr>
                  <w:tr>
                    <w:trPr>
                      <w:trHeight w:val="273" w:hRule="atLeast"/>
                    </w:trPr>
                    <w:tc>
                      <w:tcPr>
                        <w:tcW w:w="1152" w:type="dxa"/>
                      </w:tcPr>
                      <w:p>
                        <w:pPr>
                          <w:pStyle w:val="TableParagraph"/>
                          <w:spacing w:before="54"/>
                          <w:ind w:left="57"/>
                          <w:rPr>
                            <w:sz w:val="16"/>
                          </w:rPr>
                        </w:pPr>
                        <w:r>
                          <w:rPr>
                            <w:sz w:val="16"/>
                          </w:rPr>
                          <w:t>Lithuania</w:t>
                        </w:r>
                      </w:p>
                    </w:tc>
                    <w:tc>
                      <w:tcPr>
                        <w:tcW w:w="924" w:type="dxa"/>
                      </w:tcPr>
                      <w:p>
                        <w:pPr>
                          <w:pStyle w:val="TableParagraph"/>
                          <w:spacing w:before="54"/>
                          <w:ind w:right="101"/>
                          <w:jc w:val="right"/>
                          <w:rPr>
                            <w:sz w:val="16"/>
                          </w:rPr>
                        </w:pPr>
                        <w:r>
                          <w:rPr>
                            <w:sz w:val="16"/>
                          </w:rPr>
                          <w:t>1 946</w:t>
                        </w:r>
                      </w:p>
                    </w:tc>
                    <w:tc>
                      <w:tcPr>
                        <w:tcW w:w="910" w:type="dxa"/>
                      </w:tcPr>
                      <w:p>
                        <w:pPr>
                          <w:pStyle w:val="TableParagraph"/>
                          <w:spacing w:before="54"/>
                          <w:ind w:right="102"/>
                          <w:jc w:val="right"/>
                          <w:rPr>
                            <w:sz w:val="16"/>
                          </w:rPr>
                        </w:pPr>
                        <w:r>
                          <w:rPr>
                            <w:sz w:val="16"/>
                          </w:rPr>
                          <w:t>1 994</w:t>
                        </w:r>
                      </w:p>
                    </w:tc>
                    <w:tc>
                      <w:tcPr>
                        <w:tcW w:w="800" w:type="dxa"/>
                      </w:tcPr>
                      <w:p>
                        <w:pPr>
                          <w:pStyle w:val="TableParagraph"/>
                          <w:spacing w:before="54"/>
                          <w:ind w:left="488"/>
                          <w:rPr>
                            <w:sz w:val="16"/>
                          </w:rPr>
                        </w:pPr>
                        <w:r>
                          <w:rPr>
                            <w:w w:val="100"/>
                            <w:sz w:val="16"/>
                          </w:rPr>
                          <w:t>5</w:t>
                        </w:r>
                      </w:p>
                    </w:tc>
                    <w:tc>
                      <w:tcPr>
                        <w:tcW w:w="684" w:type="dxa"/>
                        <w:tcBorders>
                          <w:right w:val="single" w:sz="6" w:space="0" w:color="000000"/>
                        </w:tcBorders>
                      </w:tcPr>
                      <w:p>
                        <w:pPr>
                          <w:pStyle w:val="TableParagraph"/>
                          <w:spacing w:before="54"/>
                          <w:ind w:left="255"/>
                          <w:rPr>
                            <w:sz w:val="16"/>
                          </w:rPr>
                        </w:pPr>
                        <w:r>
                          <w:rPr>
                            <w:sz w:val="16"/>
                          </w:rPr>
                          <w:t>0.2</w:t>
                        </w:r>
                      </w:p>
                    </w:tc>
                  </w:tr>
                  <w:tr>
                    <w:trPr>
                      <w:trHeight w:val="275" w:hRule="atLeast"/>
                    </w:trPr>
                    <w:tc>
                      <w:tcPr>
                        <w:tcW w:w="1152" w:type="dxa"/>
                      </w:tcPr>
                      <w:p>
                        <w:pPr>
                          <w:pStyle w:val="TableParagraph"/>
                          <w:spacing w:before="54"/>
                          <w:ind w:left="56"/>
                          <w:rPr>
                            <w:sz w:val="16"/>
                          </w:rPr>
                        </w:pPr>
                        <w:r>
                          <w:rPr>
                            <w:sz w:val="16"/>
                          </w:rPr>
                          <w:t>Malta</w:t>
                        </w:r>
                      </w:p>
                    </w:tc>
                    <w:tc>
                      <w:tcPr>
                        <w:tcW w:w="924" w:type="dxa"/>
                      </w:tcPr>
                      <w:p>
                        <w:pPr>
                          <w:pStyle w:val="TableParagraph"/>
                          <w:spacing w:before="54"/>
                          <w:ind w:right="101"/>
                          <w:jc w:val="right"/>
                          <w:rPr>
                            <w:sz w:val="16"/>
                          </w:rPr>
                        </w:pPr>
                        <w:r>
                          <w:rPr>
                            <w:sz w:val="16"/>
                          </w:rPr>
                          <w:t>n.s.</w:t>
                        </w:r>
                      </w:p>
                    </w:tc>
                    <w:tc>
                      <w:tcPr>
                        <w:tcW w:w="910" w:type="dxa"/>
                      </w:tcPr>
                      <w:p>
                        <w:pPr>
                          <w:pStyle w:val="TableParagraph"/>
                          <w:spacing w:before="54"/>
                          <w:ind w:right="101"/>
                          <w:jc w:val="right"/>
                          <w:rPr>
                            <w:sz w:val="16"/>
                          </w:rPr>
                        </w:pPr>
                        <w:r>
                          <w:rPr>
                            <w:sz w:val="16"/>
                          </w:rPr>
                          <w:t>n.s.</w:t>
                        </w:r>
                      </w:p>
                    </w:tc>
                    <w:tc>
                      <w:tcPr>
                        <w:tcW w:w="800" w:type="dxa"/>
                      </w:tcPr>
                      <w:p>
                        <w:pPr>
                          <w:pStyle w:val="TableParagraph"/>
                          <w:spacing w:before="54"/>
                          <w:ind w:left="345"/>
                          <w:rPr>
                            <w:sz w:val="16"/>
                          </w:rPr>
                        </w:pPr>
                        <w:r>
                          <w:rPr>
                            <w:sz w:val="16"/>
                          </w:rPr>
                          <w:t>n.s.</w:t>
                        </w:r>
                      </w:p>
                    </w:tc>
                    <w:tc>
                      <w:tcPr>
                        <w:tcW w:w="684" w:type="dxa"/>
                        <w:tcBorders>
                          <w:right w:val="single" w:sz="6" w:space="0" w:color="000000"/>
                        </w:tcBorders>
                      </w:tcPr>
                      <w:p>
                        <w:pPr>
                          <w:pStyle w:val="TableParagraph"/>
                          <w:spacing w:before="54"/>
                          <w:ind w:left="231"/>
                          <w:rPr>
                            <w:sz w:val="16"/>
                          </w:rPr>
                        </w:pPr>
                        <w:r>
                          <w:rPr>
                            <w:sz w:val="16"/>
                          </w:rPr>
                          <w:t>n.s.</w:t>
                        </w:r>
                      </w:p>
                    </w:tc>
                  </w:tr>
                  <w:tr>
                    <w:trPr>
                      <w:trHeight w:val="273" w:hRule="atLeast"/>
                    </w:trPr>
                    <w:tc>
                      <w:tcPr>
                        <w:tcW w:w="1152" w:type="dxa"/>
                      </w:tcPr>
                      <w:p>
                        <w:pPr>
                          <w:pStyle w:val="TableParagraph"/>
                          <w:spacing w:before="54"/>
                          <w:ind w:left="57"/>
                          <w:rPr>
                            <w:sz w:val="16"/>
                          </w:rPr>
                        </w:pPr>
                        <w:r>
                          <w:rPr>
                            <w:sz w:val="16"/>
                          </w:rPr>
                          <w:t>Netherlands</w:t>
                        </w:r>
                      </w:p>
                    </w:tc>
                    <w:tc>
                      <w:tcPr>
                        <w:tcW w:w="924" w:type="dxa"/>
                      </w:tcPr>
                      <w:p>
                        <w:pPr>
                          <w:pStyle w:val="TableParagraph"/>
                          <w:spacing w:before="54"/>
                          <w:ind w:right="101"/>
                          <w:jc w:val="right"/>
                          <w:rPr>
                            <w:sz w:val="16"/>
                          </w:rPr>
                        </w:pPr>
                        <w:r>
                          <w:rPr>
                            <w:sz w:val="16"/>
                          </w:rPr>
                          <w:t>365</w:t>
                        </w:r>
                      </w:p>
                    </w:tc>
                    <w:tc>
                      <w:tcPr>
                        <w:tcW w:w="910" w:type="dxa"/>
                      </w:tcPr>
                      <w:p>
                        <w:pPr>
                          <w:pStyle w:val="TableParagraph"/>
                          <w:spacing w:before="54"/>
                          <w:ind w:right="102"/>
                          <w:jc w:val="right"/>
                          <w:rPr>
                            <w:sz w:val="16"/>
                          </w:rPr>
                        </w:pPr>
                        <w:r>
                          <w:rPr>
                            <w:sz w:val="16"/>
                          </w:rPr>
                          <w:t>375</w:t>
                        </w:r>
                      </w:p>
                    </w:tc>
                    <w:tc>
                      <w:tcPr>
                        <w:tcW w:w="800" w:type="dxa"/>
                      </w:tcPr>
                      <w:p>
                        <w:pPr>
                          <w:pStyle w:val="TableParagraph"/>
                          <w:spacing w:before="54"/>
                          <w:ind w:left="489"/>
                          <w:rPr>
                            <w:sz w:val="16"/>
                          </w:rPr>
                        </w:pPr>
                        <w:r>
                          <w:rPr>
                            <w:w w:val="100"/>
                            <w:sz w:val="16"/>
                          </w:rPr>
                          <w:t>1</w:t>
                        </w:r>
                      </w:p>
                    </w:tc>
                    <w:tc>
                      <w:tcPr>
                        <w:tcW w:w="684" w:type="dxa"/>
                        <w:tcBorders>
                          <w:right w:val="single" w:sz="6" w:space="0" w:color="000000"/>
                        </w:tcBorders>
                      </w:tcPr>
                      <w:p>
                        <w:pPr>
                          <w:pStyle w:val="TableParagraph"/>
                          <w:spacing w:before="54"/>
                          <w:ind w:left="255"/>
                          <w:rPr>
                            <w:sz w:val="16"/>
                          </w:rPr>
                        </w:pPr>
                        <w:r>
                          <w:rPr>
                            <w:sz w:val="16"/>
                          </w:rPr>
                          <w:t>0.3</w:t>
                        </w:r>
                      </w:p>
                    </w:tc>
                  </w:tr>
                  <w:tr>
                    <w:trPr>
                      <w:trHeight w:val="443" w:hRule="atLeast"/>
                    </w:trPr>
                    <w:tc>
                      <w:tcPr>
                        <w:tcW w:w="1152" w:type="dxa"/>
                      </w:tcPr>
                      <w:p>
                        <w:pPr>
                          <w:pStyle w:val="TableParagraph"/>
                          <w:spacing w:before="124"/>
                          <w:ind w:left="58"/>
                          <w:rPr>
                            <w:sz w:val="16"/>
                          </w:rPr>
                        </w:pPr>
                        <w:r>
                          <w:rPr>
                            <w:sz w:val="16"/>
                          </w:rPr>
                          <w:t>Norway</w:t>
                        </w:r>
                      </w:p>
                    </w:tc>
                    <w:tc>
                      <w:tcPr>
                        <w:tcW w:w="924" w:type="dxa"/>
                      </w:tcPr>
                      <w:p>
                        <w:pPr>
                          <w:pStyle w:val="TableParagraph"/>
                          <w:spacing w:before="124"/>
                          <w:ind w:right="101"/>
                          <w:jc w:val="right"/>
                          <w:rPr>
                            <w:sz w:val="16"/>
                          </w:rPr>
                        </w:pPr>
                        <w:r>
                          <w:rPr>
                            <w:sz w:val="16"/>
                          </w:rPr>
                          <w:t>8 558</w:t>
                        </w:r>
                      </w:p>
                    </w:tc>
                    <w:tc>
                      <w:tcPr>
                        <w:tcW w:w="910" w:type="dxa"/>
                      </w:tcPr>
                      <w:p>
                        <w:pPr>
                          <w:pStyle w:val="TableParagraph"/>
                          <w:spacing w:before="124"/>
                          <w:ind w:right="102"/>
                          <w:jc w:val="right"/>
                          <w:rPr>
                            <w:sz w:val="16"/>
                          </w:rPr>
                        </w:pPr>
                        <w:r>
                          <w:rPr>
                            <w:sz w:val="16"/>
                          </w:rPr>
                          <w:t>8 868</w:t>
                        </w:r>
                      </w:p>
                    </w:tc>
                    <w:tc>
                      <w:tcPr>
                        <w:tcW w:w="800" w:type="dxa"/>
                      </w:tcPr>
                      <w:p>
                        <w:pPr>
                          <w:pStyle w:val="TableParagraph"/>
                          <w:spacing w:before="124"/>
                          <w:ind w:left="407"/>
                          <w:rPr>
                            <w:sz w:val="16"/>
                          </w:rPr>
                        </w:pPr>
                        <w:r>
                          <w:rPr>
                            <w:sz w:val="16"/>
                          </w:rPr>
                          <w:t>31</w:t>
                        </w:r>
                      </w:p>
                    </w:tc>
                    <w:tc>
                      <w:tcPr>
                        <w:tcW w:w="684" w:type="dxa"/>
                        <w:tcBorders>
                          <w:right w:val="single" w:sz="6" w:space="0" w:color="000000"/>
                        </w:tcBorders>
                      </w:tcPr>
                      <w:p>
                        <w:pPr>
                          <w:pStyle w:val="TableParagraph"/>
                          <w:spacing w:before="124"/>
                          <w:ind w:left="255"/>
                          <w:rPr>
                            <w:sz w:val="16"/>
                          </w:rPr>
                        </w:pPr>
                        <w:r>
                          <w:rPr>
                            <w:sz w:val="16"/>
                          </w:rPr>
                          <w:t>0.4</w:t>
                        </w:r>
                      </w:p>
                    </w:tc>
                  </w:tr>
                  <w:tr>
                    <w:trPr>
                      <w:trHeight w:val="443" w:hRule="atLeast"/>
                    </w:trPr>
                    <w:tc>
                      <w:tcPr>
                        <w:tcW w:w="1152" w:type="dxa"/>
                      </w:tcPr>
                      <w:p>
                        <w:pPr>
                          <w:pStyle w:val="TableParagraph"/>
                          <w:spacing w:before="124"/>
                          <w:ind w:left="58"/>
                          <w:rPr>
                            <w:sz w:val="16"/>
                          </w:rPr>
                        </w:pPr>
                        <w:r>
                          <w:rPr>
                            <w:sz w:val="16"/>
                          </w:rPr>
                          <w:t>Poland</w:t>
                        </w:r>
                      </w:p>
                    </w:tc>
                    <w:tc>
                      <w:tcPr>
                        <w:tcW w:w="924" w:type="dxa"/>
                      </w:tcPr>
                      <w:p>
                        <w:pPr>
                          <w:pStyle w:val="TableParagraph"/>
                          <w:spacing w:before="124"/>
                          <w:ind w:right="101"/>
                          <w:jc w:val="right"/>
                          <w:rPr>
                            <w:sz w:val="16"/>
                          </w:rPr>
                        </w:pPr>
                        <w:r>
                          <w:rPr>
                            <w:sz w:val="16"/>
                          </w:rPr>
                          <w:t>8 872</w:t>
                        </w:r>
                      </w:p>
                    </w:tc>
                    <w:tc>
                      <w:tcPr>
                        <w:tcW w:w="910" w:type="dxa"/>
                      </w:tcPr>
                      <w:p>
                        <w:pPr>
                          <w:pStyle w:val="TableParagraph"/>
                          <w:spacing w:before="124"/>
                          <w:ind w:right="101"/>
                          <w:jc w:val="right"/>
                          <w:rPr>
                            <w:sz w:val="16"/>
                          </w:rPr>
                        </w:pPr>
                        <w:r>
                          <w:rPr>
                            <w:sz w:val="16"/>
                          </w:rPr>
                          <w:t>9 047</w:t>
                        </w:r>
                      </w:p>
                    </w:tc>
                    <w:tc>
                      <w:tcPr>
                        <w:tcW w:w="800" w:type="dxa"/>
                      </w:tcPr>
                      <w:p>
                        <w:pPr>
                          <w:pStyle w:val="TableParagraph"/>
                          <w:spacing w:before="124"/>
                          <w:ind w:left="408"/>
                          <w:rPr>
                            <w:sz w:val="16"/>
                          </w:rPr>
                        </w:pPr>
                        <w:r>
                          <w:rPr>
                            <w:sz w:val="16"/>
                          </w:rPr>
                          <w:t>18</w:t>
                        </w:r>
                      </w:p>
                    </w:tc>
                    <w:tc>
                      <w:tcPr>
                        <w:tcW w:w="684" w:type="dxa"/>
                        <w:tcBorders>
                          <w:right w:val="single" w:sz="6" w:space="0" w:color="000000"/>
                        </w:tcBorders>
                      </w:tcPr>
                      <w:p>
                        <w:pPr>
                          <w:pStyle w:val="TableParagraph"/>
                          <w:spacing w:before="124"/>
                          <w:ind w:left="256"/>
                          <w:rPr>
                            <w:sz w:val="16"/>
                          </w:rPr>
                        </w:pPr>
                        <w:r>
                          <w:rPr>
                            <w:sz w:val="16"/>
                          </w:rPr>
                          <w:t>0.2</w:t>
                        </w:r>
                      </w:p>
                    </w:tc>
                  </w:tr>
                  <w:tr>
                    <w:trPr>
                      <w:trHeight w:val="275" w:hRule="atLeast"/>
                    </w:trPr>
                    <w:tc>
                      <w:tcPr>
                        <w:tcW w:w="1152" w:type="dxa"/>
                      </w:tcPr>
                      <w:p>
                        <w:pPr>
                          <w:pStyle w:val="TableParagraph"/>
                          <w:spacing w:before="54"/>
                          <w:ind w:left="58"/>
                          <w:rPr>
                            <w:sz w:val="16"/>
                          </w:rPr>
                        </w:pPr>
                        <w:r>
                          <w:rPr>
                            <w:sz w:val="16"/>
                          </w:rPr>
                          <w:t>Portugal</w:t>
                        </w:r>
                      </w:p>
                    </w:tc>
                    <w:tc>
                      <w:tcPr>
                        <w:tcW w:w="924" w:type="dxa"/>
                      </w:tcPr>
                      <w:p>
                        <w:pPr>
                          <w:pStyle w:val="TableParagraph"/>
                          <w:spacing w:before="54"/>
                          <w:ind w:right="101"/>
                          <w:jc w:val="right"/>
                          <w:rPr>
                            <w:sz w:val="16"/>
                          </w:rPr>
                        </w:pPr>
                        <w:r>
                          <w:rPr>
                            <w:sz w:val="16"/>
                          </w:rPr>
                          <w:t>3 096</w:t>
                        </w:r>
                      </w:p>
                    </w:tc>
                    <w:tc>
                      <w:tcPr>
                        <w:tcW w:w="910" w:type="dxa"/>
                      </w:tcPr>
                      <w:p>
                        <w:pPr>
                          <w:pStyle w:val="TableParagraph"/>
                          <w:spacing w:before="54"/>
                          <w:ind w:right="101"/>
                          <w:jc w:val="right"/>
                          <w:rPr>
                            <w:sz w:val="16"/>
                          </w:rPr>
                        </w:pPr>
                        <w:r>
                          <w:rPr>
                            <w:sz w:val="16"/>
                          </w:rPr>
                          <w:t>3 666</w:t>
                        </w:r>
                      </w:p>
                    </w:tc>
                    <w:tc>
                      <w:tcPr>
                        <w:tcW w:w="800" w:type="dxa"/>
                      </w:tcPr>
                      <w:p>
                        <w:pPr>
                          <w:pStyle w:val="TableParagraph"/>
                          <w:spacing w:before="54"/>
                          <w:ind w:left="408"/>
                          <w:rPr>
                            <w:sz w:val="16"/>
                          </w:rPr>
                        </w:pPr>
                        <w:r>
                          <w:rPr>
                            <w:sz w:val="16"/>
                          </w:rPr>
                          <w:t>57</w:t>
                        </w:r>
                      </w:p>
                    </w:tc>
                    <w:tc>
                      <w:tcPr>
                        <w:tcW w:w="684" w:type="dxa"/>
                        <w:tcBorders>
                          <w:right w:val="single" w:sz="6" w:space="0" w:color="000000"/>
                        </w:tcBorders>
                      </w:tcPr>
                      <w:p>
                        <w:pPr>
                          <w:pStyle w:val="TableParagraph"/>
                          <w:spacing w:before="54"/>
                          <w:ind w:left="256"/>
                          <w:rPr>
                            <w:sz w:val="16"/>
                          </w:rPr>
                        </w:pPr>
                        <w:r>
                          <w:rPr>
                            <w:sz w:val="16"/>
                          </w:rPr>
                          <w:t>1.7</w:t>
                        </w:r>
                      </w:p>
                    </w:tc>
                  </w:tr>
                  <w:tr>
                    <w:trPr>
                      <w:trHeight w:val="443" w:hRule="atLeast"/>
                    </w:trPr>
                    <w:tc>
                      <w:tcPr>
                        <w:tcW w:w="1152" w:type="dxa"/>
                      </w:tcPr>
                      <w:p>
                        <w:pPr>
                          <w:pStyle w:val="TableParagraph"/>
                          <w:spacing w:before="54"/>
                          <w:ind w:left="57" w:right="314"/>
                          <w:rPr>
                            <w:sz w:val="16"/>
                          </w:rPr>
                        </w:pPr>
                        <w:r>
                          <w:rPr>
                            <w:sz w:val="16"/>
                          </w:rPr>
                          <w:t>Republic of Moldova</w:t>
                        </w:r>
                      </w:p>
                    </w:tc>
                    <w:tc>
                      <w:tcPr>
                        <w:tcW w:w="924" w:type="dxa"/>
                      </w:tcPr>
                      <w:p>
                        <w:pPr>
                          <w:pStyle w:val="TableParagraph"/>
                          <w:spacing w:before="124"/>
                          <w:ind w:right="102"/>
                          <w:jc w:val="right"/>
                          <w:rPr>
                            <w:sz w:val="16"/>
                          </w:rPr>
                        </w:pPr>
                        <w:r>
                          <w:rPr>
                            <w:sz w:val="16"/>
                          </w:rPr>
                          <w:t>318</w:t>
                        </w:r>
                      </w:p>
                    </w:tc>
                    <w:tc>
                      <w:tcPr>
                        <w:tcW w:w="910" w:type="dxa"/>
                      </w:tcPr>
                      <w:p>
                        <w:pPr>
                          <w:pStyle w:val="TableParagraph"/>
                          <w:spacing w:before="124"/>
                          <w:ind w:right="102"/>
                          <w:jc w:val="right"/>
                          <w:rPr>
                            <w:sz w:val="16"/>
                          </w:rPr>
                        </w:pPr>
                        <w:r>
                          <w:rPr>
                            <w:sz w:val="16"/>
                          </w:rPr>
                          <w:t>325</w:t>
                        </w:r>
                      </w:p>
                    </w:tc>
                    <w:tc>
                      <w:tcPr>
                        <w:tcW w:w="800" w:type="dxa"/>
                      </w:tcPr>
                      <w:p>
                        <w:pPr>
                          <w:pStyle w:val="TableParagraph"/>
                          <w:spacing w:before="124"/>
                          <w:ind w:left="489"/>
                          <w:rPr>
                            <w:sz w:val="16"/>
                          </w:rPr>
                        </w:pPr>
                        <w:r>
                          <w:rPr>
                            <w:w w:val="100"/>
                            <w:sz w:val="16"/>
                          </w:rPr>
                          <w:t>1</w:t>
                        </w:r>
                      </w:p>
                    </w:tc>
                    <w:tc>
                      <w:tcPr>
                        <w:tcW w:w="684" w:type="dxa"/>
                        <w:tcBorders>
                          <w:right w:val="single" w:sz="6" w:space="0" w:color="000000"/>
                        </w:tcBorders>
                      </w:tcPr>
                      <w:p>
                        <w:pPr>
                          <w:pStyle w:val="TableParagraph"/>
                          <w:spacing w:before="124"/>
                          <w:ind w:left="255"/>
                          <w:rPr>
                            <w:sz w:val="16"/>
                          </w:rPr>
                        </w:pPr>
                        <w:r>
                          <w:rPr>
                            <w:sz w:val="16"/>
                          </w:rPr>
                          <w:t>0.2</w:t>
                        </w:r>
                      </w:p>
                    </w:tc>
                  </w:tr>
                  <w:tr>
                    <w:trPr>
                      <w:trHeight w:val="273" w:hRule="atLeast"/>
                    </w:trPr>
                    <w:tc>
                      <w:tcPr>
                        <w:tcW w:w="1152" w:type="dxa"/>
                      </w:tcPr>
                      <w:p>
                        <w:pPr>
                          <w:pStyle w:val="TableParagraph"/>
                          <w:spacing w:before="54"/>
                          <w:ind w:left="58"/>
                          <w:rPr>
                            <w:sz w:val="16"/>
                          </w:rPr>
                        </w:pPr>
                        <w:r>
                          <w:rPr>
                            <w:sz w:val="16"/>
                          </w:rPr>
                          <w:t>Romania</w:t>
                        </w:r>
                      </w:p>
                    </w:tc>
                    <w:tc>
                      <w:tcPr>
                        <w:tcW w:w="924" w:type="dxa"/>
                      </w:tcPr>
                      <w:p>
                        <w:pPr>
                          <w:pStyle w:val="TableParagraph"/>
                          <w:spacing w:before="54"/>
                          <w:ind w:right="100"/>
                          <w:jc w:val="right"/>
                          <w:rPr>
                            <w:sz w:val="16"/>
                          </w:rPr>
                        </w:pPr>
                        <w:r>
                          <w:rPr>
                            <w:sz w:val="16"/>
                          </w:rPr>
                          <w:t>6 301</w:t>
                        </w:r>
                      </w:p>
                    </w:tc>
                    <w:tc>
                      <w:tcPr>
                        <w:tcW w:w="910" w:type="dxa"/>
                      </w:tcPr>
                      <w:p>
                        <w:pPr>
                          <w:pStyle w:val="TableParagraph"/>
                          <w:spacing w:before="54"/>
                          <w:ind w:right="101"/>
                          <w:jc w:val="right"/>
                          <w:rPr>
                            <w:sz w:val="16"/>
                          </w:rPr>
                        </w:pPr>
                        <w:r>
                          <w:rPr>
                            <w:sz w:val="16"/>
                          </w:rPr>
                          <w:t>6 448</w:t>
                        </w:r>
                      </w:p>
                    </w:tc>
                    <w:tc>
                      <w:tcPr>
                        <w:tcW w:w="800" w:type="dxa"/>
                      </w:tcPr>
                      <w:p>
                        <w:pPr>
                          <w:pStyle w:val="TableParagraph"/>
                          <w:spacing w:before="54"/>
                          <w:ind w:left="408"/>
                          <w:rPr>
                            <w:sz w:val="16"/>
                          </w:rPr>
                        </w:pPr>
                        <w:r>
                          <w:rPr>
                            <w:sz w:val="16"/>
                          </w:rPr>
                          <w:t>15</w:t>
                        </w:r>
                      </w:p>
                    </w:tc>
                    <w:tc>
                      <w:tcPr>
                        <w:tcW w:w="684" w:type="dxa"/>
                        <w:tcBorders>
                          <w:right w:val="single" w:sz="6" w:space="0" w:color="000000"/>
                        </w:tcBorders>
                      </w:tcPr>
                      <w:p>
                        <w:pPr>
                          <w:pStyle w:val="TableParagraph"/>
                          <w:spacing w:before="54"/>
                          <w:ind w:left="256"/>
                          <w:rPr>
                            <w:sz w:val="16"/>
                          </w:rPr>
                        </w:pPr>
                        <w:r>
                          <w:rPr>
                            <w:sz w:val="16"/>
                          </w:rPr>
                          <w:t>0.2</w:t>
                        </w:r>
                      </w:p>
                    </w:tc>
                  </w:tr>
                  <w:tr>
                    <w:trPr>
                      <w:trHeight w:val="443" w:hRule="atLeast"/>
                    </w:trPr>
                    <w:tc>
                      <w:tcPr>
                        <w:tcW w:w="1152" w:type="dxa"/>
                      </w:tcPr>
                      <w:p>
                        <w:pPr>
                          <w:pStyle w:val="TableParagraph"/>
                          <w:spacing w:before="54"/>
                          <w:ind w:left="57" w:right="380"/>
                          <w:rPr>
                            <w:sz w:val="16"/>
                          </w:rPr>
                        </w:pPr>
                        <w:r>
                          <w:rPr>
                            <w:sz w:val="16"/>
                          </w:rPr>
                          <w:t>Russian Federation</w:t>
                        </w:r>
                      </w:p>
                    </w:tc>
                    <w:tc>
                      <w:tcPr>
                        <w:tcW w:w="924" w:type="dxa"/>
                      </w:tcPr>
                      <w:p>
                        <w:pPr>
                          <w:pStyle w:val="TableParagraph"/>
                          <w:spacing w:before="124"/>
                          <w:ind w:right="101"/>
                          <w:jc w:val="right"/>
                          <w:rPr>
                            <w:sz w:val="16"/>
                          </w:rPr>
                        </w:pPr>
                        <w:r>
                          <w:rPr>
                            <w:sz w:val="16"/>
                          </w:rPr>
                          <w:t>850 039</w:t>
                        </w:r>
                      </w:p>
                    </w:tc>
                    <w:tc>
                      <w:tcPr>
                        <w:tcW w:w="910" w:type="dxa"/>
                      </w:tcPr>
                      <w:p>
                        <w:pPr>
                          <w:pStyle w:val="TableParagraph"/>
                          <w:spacing w:before="124"/>
                          <w:ind w:right="101"/>
                          <w:jc w:val="right"/>
                          <w:rPr>
                            <w:sz w:val="16"/>
                          </w:rPr>
                        </w:pPr>
                        <w:r>
                          <w:rPr>
                            <w:sz w:val="16"/>
                          </w:rPr>
                          <w:t>851 392</w:t>
                        </w:r>
                      </w:p>
                    </w:tc>
                    <w:tc>
                      <w:tcPr>
                        <w:tcW w:w="800" w:type="dxa"/>
                      </w:tcPr>
                      <w:p>
                        <w:pPr>
                          <w:pStyle w:val="TableParagraph"/>
                          <w:spacing w:before="124"/>
                          <w:ind w:left="327"/>
                          <w:rPr>
                            <w:sz w:val="16"/>
                          </w:rPr>
                        </w:pPr>
                        <w:r>
                          <w:rPr>
                            <w:sz w:val="16"/>
                          </w:rPr>
                          <w:t>135</w:t>
                        </w:r>
                      </w:p>
                    </w:tc>
                    <w:tc>
                      <w:tcPr>
                        <w:tcW w:w="684" w:type="dxa"/>
                        <w:tcBorders>
                          <w:right w:val="single" w:sz="6" w:space="0" w:color="000000"/>
                        </w:tcBorders>
                      </w:tcPr>
                      <w:p>
                        <w:pPr>
                          <w:pStyle w:val="TableParagraph"/>
                          <w:spacing w:before="124"/>
                          <w:ind w:left="271"/>
                          <w:rPr>
                            <w:sz w:val="16"/>
                          </w:rPr>
                        </w:pPr>
                        <w:r>
                          <w:rPr>
                            <w:sz w:val="16"/>
                          </w:rPr>
                          <w:t>n.s</w:t>
                        </w:r>
                      </w:p>
                    </w:tc>
                  </w:tr>
                  <w:tr>
                    <w:trPr>
                      <w:trHeight w:val="275" w:hRule="atLeast"/>
                    </w:trPr>
                    <w:tc>
                      <w:tcPr>
                        <w:tcW w:w="1152" w:type="dxa"/>
                      </w:tcPr>
                      <w:p>
                        <w:pPr>
                          <w:pStyle w:val="TableParagraph"/>
                          <w:spacing w:before="54"/>
                          <w:ind w:left="57"/>
                          <w:rPr>
                            <w:sz w:val="16"/>
                          </w:rPr>
                        </w:pPr>
                        <w:r>
                          <w:rPr>
                            <w:sz w:val="16"/>
                          </w:rPr>
                          <w:t>San Marino</w:t>
                        </w:r>
                      </w:p>
                    </w:tc>
                    <w:tc>
                      <w:tcPr>
                        <w:tcW w:w="924" w:type="dxa"/>
                      </w:tcPr>
                      <w:p>
                        <w:pPr>
                          <w:pStyle w:val="TableParagraph"/>
                          <w:spacing w:before="54"/>
                          <w:ind w:right="99"/>
                          <w:jc w:val="right"/>
                          <w:rPr>
                            <w:sz w:val="16"/>
                          </w:rPr>
                        </w:pPr>
                        <w:r>
                          <w:rPr>
                            <w:w w:val="100"/>
                            <w:sz w:val="16"/>
                          </w:rPr>
                          <w:t>-</w:t>
                        </w:r>
                      </w:p>
                    </w:tc>
                    <w:tc>
                      <w:tcPr>
                        <w:tcW w:w="910" w:type="dxa"/>
                      </w:tcPr>
                      <w:p>
                        <w:pPr>
                          <w:pStyle w:val="TableParagraph"/>
                          <w:spacing w:before="54"/>
                          <w:ind w:right="100"/>
                          <w:jc w:val="right"/>
                          <w:rPr>
                            <w:sz w:val="16"/>
                          </w:rPr>
                        </w:pPr>
                        <w:r>
                          <w:rPr>
                            <w:w w:val="100"/>
                            <w:sz w:val="16"/>
                          </w:rPr>
                          <w:t>-</w:t>
                        </w:r>
                      </w:p>
                    </w:tc>
                    <w:tc>
                      <w:tcPr>
                        <w:tcW w:w="800" w:type="dxa"/>
                      </w:tcPr>
                      <w:p>
                        <w:pPr>
                          <w:pStyle w:val="TableParagraph"/>
                          <w:spacing w:before="54"/>
                          <w:ind w:left="518"/>
                          <w:rPr>
                            <w:sz w:val="16"/>
                          </w:rPr>
                        </w:pPr>
                        <w:r>
                          <w:rPr>
                            <w:w w:val="100"/>
                            <w:sz w:val="16"/>
                          </w:rPr>
                          <w:t>-</w:t>
                        </w:r>
                      </w:p>
                    </w:tc>
                    <w:tc>
                      <w:tcPr>
                        <w:tcW w:w="684" w:type="dxa"/>
                        <w:tcBorders>
                          <w:right w:val="single" w:sz="6" w:space="0" w:color="000000"/>
                        </w:tcBorders>
                      </w:tcPr>
                      <w:p>
                        <w:pPr>
                          <w:pStyle w:val="TableParagraph"/>
                          <w:spacing w:before="54"/>
                          <w:ind w:left="404"/>
                          <w:rPr>
                            <w:sz w:val="16"/>
                          </w:rPr>
                        </w:pPr>
                        <w:r>
                          <w:rPr>
                            <w:w w:val="100"/>
                            <w:sz w:val="16"/>
                          </w:rPr>
                          <w:t>-</w:t>
                        </w:r>
                      </w:p>
                    </w:tc>
                  </w:tr>
                  <w:tr>
                    <w:trPr>
                      <w:trHeight w:val="273" w:hRule="atLeast"/>
                    </w:trPr>
                    <w:tc>
                      <w:tcPr>
                        <w:tcW w:w="1152" w:type="dxa"/>
                      </w:tcPr>
                      <w:p>
                        <w:pPr>
                          <w:pStyle w:val="TableParagraph"/>
                          <w:spacing w:before="54"/>
                          <w:ind w:left="57"/>
                          <w:rPr>
                            <w:sz w:val="16"/>
                          </w:rPr>
                        </w:pPr>
                        <w:r>
                          <w:rPr>
                            <w:sz w:val="16"/>
                          </w:rPr>
                          <w:t>Slovakia</w:t>
                        </w:r>
                      </w:p>
                    </w:tc>
                    <w:tc>
                      <w:tcPr>
                        <w:tcW w:w="924" w:type="dxa"/>
                      </w:tcPr>
                      <w:p>
                        <w:pPr>
                          <w:pStyle w:val="TableParagraph"/>
                          <w:spacing w:before="54"/>
                          <w:ind w:right="101"/>
                          <w:jc w:val="right"/>
                          <w:rPr>
                            <w:sz w:val="16"/>
                          </w:rPr>
                        </w:pPr>
                        <w:r>
                          <w:rPr>
                            <w:sz w:val="16"/>
                          </w:rPr>
                          <w:t>1 997</w:t>
                        </w:r>
                      </w:p>
                    </w:tc>
                    <w:tc>
                      <w:tcPr>
                        <w:tcW w:w="910" w:type="dxa"/>
                      </w:tcPr>
                      <w:p>
                        <w:pPr>
                          <w:pStyle w:val="TableParagraph"/>
                          <w:spacing w:before="54"/>
                          <w:ind w:right="102"/>
                          <w:jc w:val="right"/>
                          <w:rPr>
                            <w:sz w:val="16"/>
                          </w:rPr>
                        </w:pPr>
                        <w:r>
                          <w:rPr>
                            <w:sz w:val="16"/>
                          </w:rPr>
                          <w:t>2 177</w:t>
                        </w:r>
                      </w:p>
                    </w:tc>
                    <w:tc>
                      <w:tcPr>
                        <w:tcW w:w="800" w:type="dxa"/>
                      </w:tcPr>
                      <w:p>
                        <w:pPr>
                          <w:pStyle w:val="TableParagraph"/>
                          <w:spacing w:before="54"/>
                          <w:ind w:left="407"/>
                          <w:rPr>
                            <w:sz w:val="16"/>
                          </w:rPr>
                        </w:pPr>
                        <w:r>
                          <w:rPr>
                            <w:sz w:val="16"/>
                          </w:rPr>
                          <w:t>18</w:t>
                        </w:r>
                      </w:p>
                    </w:tc>
                    <w:tc>
                      <w:tcPr>
                        <w:tcW w:w="684" w:type="dxa"/>
                        <w:tcBorders>
                          <w:right w:val="single" w:sz="6" w:space="0" w:color="000000"/>
                        </w:tcBorders>
                      </w:tcPr>
                      <w:p>
                        <w:pPr>
                          <w:pStyle w:val="TableParagraph"/>
                          <w:spacing w:before="54"/>
                          <w:ind w:left="255"/>
                          <w:rPr>
                            <w:sz w:val="16"/>
                          </w:rPr>
                        </w:pPr>
                        <w:r>
                          <w:rPr>
                            <w:sz w:val="16"/>
                          </w:rPr>
                          <w:t>0.9</w:t>
                        </w:r>
                      </w:p>
                    </w:tc>
                  </w:tr>
                  <w:tr>
                    <w:trPr>
                      <w:trHeight w:val="273" w:hRule="atLeast"/>
                    </w:trPr>
                    <w:tc>
                      <w:tcPr>
                        <w:tcW w:w="1152" w:type="dxa"/>
                      </w:tcPr>
                      <w:p>
                        <w:pPr>
                          <w:pStyle w:val="TableParagraph"/>
                          <w:spacing w:before="54"/>
                          <w:ind w:left="57"/>
                          <w:rPr>
                            <w:sz w:val="16"/>
                          </w:rPr>
                        </w:pPr>
                        <w:r>
                          <w:rPr>
                            <w:sz w:val="16"/>
                          </w:rPr>
                          <w:t>Slovenia</w:t>
                        </w:r>
                      </w:p>
                    </w:tc>
                    <w:tc>
                      <w:tcPr>
                        <w:tcW w:w="924" w:type="dxa"/>
                      </w:tcPr>
                      <w:p>
                        <w:pPr>
                          <w:pStyle w:val="TableParagraph"/>
                          <w:spacing w:before="54"/>
                          <w:ind w:right="101"/>
                          <w:jc w:val="right"/>
                          <w:rPr>
                            <w:sz w:val="16"/>
                          </w:rPr>
                        </w:pPr>
                        <w:r>
                          <w:rPr>
                            <w:sz w:val="16"/>
                          </w:rPr>
                          <w:t>1 085</w:t>
                        </w:r>
                      </w:p>
                    </w:tc>
                    <w:tc>
                      <w:tcPr>
                        <w:tcW w:w="910" w:type="dxa"/>
                      </w:tcPr>
                      <w:p>
                        <w:pPr>
                          <w:pStyle w:val="TableParagraph"/>
                          <w:spacing w:before="54"/>
                          <w:ind w:right="101"/>
                          <w:jc w:val="right"/>
                          <w:rPr>
                            <w:sz w:val="16"/>
                          </w:rPr>
                        </w:pPr>
                        <w:r>
                          <w:rPr>
                            <w:sz w:val="16"/>
                          </w:rPr>
                          <w:t>1 107</w:t>
                        </w:r>
                      </w:p>
                    </w:tc>
                    <w:tc>
                      <w:tcPr>
                        <w:tcW w:w="800" w:type="dxa"/>
                      </w:tcPr>
                      <w:p>
                        <w:pPr>
                          <w:pStyle w:val="TableParagraph"/>
                          <w:spacing w:before="54"/>
                          <w:ind w:left="489"/>
                          <w:rPr>
                            <w:sz w:val="16"/>
                          </w:rPr>
                        </w:pPr>
                        <w:r>
                          <w:rPr>
                            <w:w w:val="100"/>
                            <w:sz w:val="16"/>
                          </w:rPr>
                          <w:t>2</w:t>
                        </w:r>
                      </w:p>
                    </w:tc>
                    <w:tc>
                      <w:tcPr>
                        <w:tcW w:w="684" w:type="dxa"/>
                        <w:tcBorders>
                          <w:right w:val="single" w:sz="6" w:space="0" w:color="000000"/>
                        </w:tcBorders>
                      </w:tcPr>
                      <w:p>
                        <w:pPr>
                          <w:pStyle w:val="TableParagraph"/>
                          <w:spacing w:before="54"/>
                          <w:ind w:left="255"/>
                          <w:rPr>
                            <w:sz w:val="16"/>
                          </w:rPr>
                        </w:pPr>
                        <w:r>
                          <w:rPr>
                            <w:sz w:val="16"/>
                          </w:rPr>
                          <w:t>0.2</w:t>
                        </w:r>
                      </w:p>
                    </w:tc>
                  </w:tr>
                  <w:tr>
                    <w:trPr>
                      <w:trHeight w:val="275" w:hRule="atLeast"/>
                    </w:trPr>
                    <w:tc>
                      <w:tcPr>
                        <w:tcW w:w="1152" w:type="dxa"/>
                      </w:tcPr>
                      <w:p>
                        <w:pPr>
                          <w:pStyle w:val="TableParagraph"/>
                          <w:spacing w:before="54"/>
                          <w:ind w:left="57"/>
                          <w:rPr>
                            <w:sz w:val="16"/>
                          </w:rPr>
                        </w:pPr>
                        <w:r>
                          <w:rPr>
                            <w:sz w:val="16"/>
                          </w:rPr>
                          <w:t>Spain</w:t>
                        </w:r>
                      </w:p>
                    </w:tc>
                    <w:tc>
                      <w:tcPr>
                        <w:tcW w:w="924" w:type="dxa"/>
                      </w:tcPr>
                      <w:p>
                        <w:pPr>
                          <w:pStyle w:val="TableParagraph"/>
                          <w:spacing w:before="54"/>
                          <w:ind w:right="101"/>
                          <w:jc w:val="right"/>
                          <w:rPr>
                            <w:sz w:val="16"/>
                          </w:rPr>
                        </w:pPr>
                        <w:r>
                          <w:rPr>
                            <w:sz w:val="16"/>
                          </w:rPr>
                          <w:t>13 510</w:t>
                        </w:r>
                      </w:p>
                    </w:tc>
                    <w:tc>
                      <w:tcPr>
                        <w:tcW w:w="910" w:type="dxa"/>
                      </w:tcPr>
                      <w:p>
                        <w:pPr>
                          <w:pStyle w:val="TableParagraph"/>
                          <w:spacing w:before="54"/>
                          <w:ind w:right="102"/>
                          <w:jc w:val="right"/>
                          <w:rPr>
                            <w:sz w:val="16"/>
                          </w:rPr>
                        </w:pPr>
                        <w:r>
                          <w:rPr>
                            <w:sz w:val="16"/>
                          </w:rPr>
                          <w:t>14 370</w:t>
                        </w:r>
                      </w:p>
                    </w:tc>
                    <w:tc>
                      <w:tcPr>
                        <w:tcW w:w="800" w:type="dxa"/>
                      </w:tcPr>
                      <w:p>
                        <w:pPr>
                          <w:pStyle w:val="TableParagraph"/>
                          <w:spacing w:before="54"/>
                          <w:ind w:left="407"/>
                          <w:rPr>
                            <w:sz w:val="16"/>
                          </w:rPr>
                        </w:pPr>
                        <w:r>
                          <w:rPr>
                            <w:sz w:val="16"/>
                          </w:rPr>
                          <w:t>86</w:t>
                        </w:r>
                      </w:p>
                    </w:tc>
                    <w:tc>
                      <w:tcPr>
                        <w:tcW w:w="684" w:type="dxa"/>
                        <w:tcBorders>
                          <w:right w:val="single" w:sz="6" w:space="0" w:color="000000"/>
                        </w:tcBorders>
                      </w:tcPr>
                      <w:p>
                        <w:pPr>
                          <w:pStyle w:val="TableParagraph"/>
                          <w:spacing w:before="54"/>
                          <w:ind w:left="255"/>
                          <w:rPr>
                            <w:sz w:val="16"/>
                          </w:rPr>
                        </w:pPr>
                        <w:r>
                          <w:rPr>
                            <w:sz w:val="16"/>
                          </w:rPr>
                          <w:t>0.6</w:t>
                        </w:r>
                      </w:p>
                    </w:tc>
                  </w:tr>
                  <w:tr>
                    <w:trPr>
                      <w:trHeight w:val="443" w:hRule="atLeast"/>
                    </w:trPr>
                    <w:tc>
                      <w:tcPr>
                        <w:tcW w:w="1152" w:type="dxa"/>
                      </w:tcPr>
                      <w:p>
                        <w:pPr>
                          <w:pStyle w:val="TableParagraph"/>
                          <w:spacing w:before="124"/>
                          <w:ind w:left="57"/>
                          <w:rPr>
                            <w:sz w:val="16"/>
                          </w:rPr>
                        </w:pPr>
                        <w:r>
                          <w:rPr>
                            <w:sz w:val="16"/>
                          </w:rPr>
                          <w:t>Sweden</w:t>
                        </w:r>
                      </w:p>
                    </w:tc>
                    <w:tc>
                      <w:tcPr>
                        <w:tcW w:w="924" w:type="dxa"/>
                      </w:tcPr>
                      <w:p>
                        <w:pPr>
                          <w:pStyle w:val="TableParagraph"/>
                          <w:spacing w:before="124"/>
                          <w:ind w:right="102"/>
                          <w:jc w:val="right"/>
                          <w:rPr>
                            <w:sz w:val="16"/>
                          </w:rPr>
                        </w:pPr>
                        <w:r>
                          <w:rPr>
                            <w:sz w:val="16"/>
                          </w:rPr>
                          <w:t>27 128</w:t>
                        </w:r>
                      </w:p>
                    </w:tc>
                    <w:tc>
                      <w:tcPr>
                        <w:tcW w:w="910" w:type="dxa"/>
                      </w:tcPr>
                      <w:p>
                        <w:pPr>
                          <w:pStyle w:val="TableParagraph"/>
                          <w:spacing w:before="124"/>
                          <w:ind w:right="103"/>
                          <w:jc w:val="right"/>
                          <w:rPr>
                            <w:sz w:val="16"/>
                          </w:rPr>
                        </w:pPr>
                        <w:r>
                          <w:rPr>
                            <w:sz w:val="16"/>
                          </w:rPr>
                          <w:t>27 134</w:t>
                        </w:r>
                      </w:p>
                    </w:tc>
                    <w:tc>
                      <w:tcPr>
                        <w:tcW w:w="800" w:type="dxa"/>
                      </w:tcPr>
                      <w:p>
                        <w:pPr>
                          <w:pStyle w:val="TableParagraph"/>
                          <w:spacing w:before="124"/>
                          <w:ind w:left="488"/>
                          <w:rPr>
                            <w:sz w:val="16"/>
                          </w:rPr>
                        </w:pPr>
                        <w:r>
                          <w:rPr>
                            <w:w w:val="100"/>
                            <w:sz w:val="16"/>
                          </w:rPr>
                          <w:t>1</w:t>
                        </w:r>
                      </w:p>
                    </w:tc>
                    <w:tc>
                      <w:tcPr>
                        <w:tcW w:w="684" w:type="dxa"/>
                        <w:tcBorders>
                          <w:right w:val="single" w:sz="6" w:space="0" w:color="000000"/>
                        </w:tcBorders>
                      </w:tcPr>
                      <w:p>
                        <w:pPr>
                          <w:pStyle w:val="TableParagraph"/>
                          <w:spacing w:before="124"/>
                          <w:ind w:left="230"/>
                          <w:rPr>
                            <w:sz w:val="16"/>
                          </w:rPr>
                        </w:pPr>
                        <w:r>
                          <w:rPr>
                            <w:sz w:val="16"/>
                          </w:rPr>
                          <w:t>n.s.</w:t>
                        </w:r>
                      </w:p>
                    </w:tc>
                  </w:tr>
                  <w:tr>
                    <w:trPr>
                      <w:trHeight w:val="273" w:hRule="atLeast"/>
                    </w:trPr>
                    <w:tc>
                      <w:tcPr>
                        <w:tcW w:w="1152" w:type="dxa"/>
                      </w:tcPr>
                      <w:p>
                        <w:pPr>
                          <w:pStyle w:val="TableParagraph"/>
                          <w:spacing w:before="54"/>
                          <w:ind w:left="57"/>
                          <w:rPr>
                            <w:sz w:val="16"/>
                          </w:rPr>
                        </w:pPr>
                        <w:r>
                          <w:rPr>
                            <w:sz w:val="16"/>
                          </w:rPr>
                          <w:t>Switzerland</w:t>
                        </w:r>
                      </w:p>
                    </w:tc>
                    <w:tc>
                      <w:tcPr>
                        <w:tcW w:w="924" w:type="dxa"/>
                      </w:tcPr>
                      <w:p>
                        <w:pPr>
                          <w:pStyle w:val="TableParagraph"/>
                          <w:spacing w:before="54"/>
                          <w:ind w:right="101"/>
                          <w:jc w:val="right"/>
                          <w:rPr>
                            <w:sz w:val="16"/>
                          </w:rPr>
                        </w:pPr>
                        <w:r>
                          <w:rPr>
                            <w:sz w:val="16"/>
                          </w:rPr>
                          <w:t>1 156</w:t>
                        </w:r>
                      </w:p>
                    </w:tc>
                    <w:tc>
                      <w:tcPr>
                        <w:tcW w:w="910" w:type="dxa"/>
                      </w:tcPr>
                      <w:p>
                        <w:pPr>
                          <w:pStyle w:val="TableParagraph"/>
                          <w:spacing w:before="54"/>
                          <w:ind w:right="102"/>
                          <w:jc w:val="right"/>
                          <w:rPr>
                            <w:sz w:val="16"/>
                          </w:rPr>
                        </w:pPr>
                        <w:r>
                          <w:rPr>
                            <w:sz w:val="16"/>
                          </w:rPr>
                          <w:t>1 199</w:t>
                        </w:r>
                      </w:p>
                    </w:tc>
                    <w:tc>
                      <w:tcPr>
                        <w:tcW w:w="800" w:type="dxa"/>
                      </w:tcPr>
                      <w:p>
                        <w:pPr>
                          <w:pStyle w:val="TableParagraph"/>
                          <w:spacing w:before="54"/>
                          <w:ind w:left="489"/>
                          <w:rPr>
                            <w:sz w:val="16"/>
                          </w:rPr>
                        </w:pPr>
                        <w:r>
                          <w:rPr>
                            <w:w w:val="100"/>
                            <w:sz w:val="16"/>
                          </w:rPr>
                          <w:t>4</w:t>
                        </w:r>
                      </w:p>
                    </w:tc>
                    <w:tc>
                      <w:tcPr>
                        <w:tcW w:w="684" w:type="dxa"/>
                        <w:tcBorders>
                          <w:right w:val="single" w:sz="6" w:space="0" w:color="000000"/>
                        </w:tcBorders>
                      </w:tcPr>
                      <w:p>
                        <w:pPr>
                          <w:pStyle w:val="TableParagraph"/>
                          <w:spacing w:before="54"/>
                          <w:ind w:left="255"/>
                          <w:rPr>
                            <w:sz w:val="16"/>
                          </w:rPr>
                        </w:pPr>
                        <w:r>
                          <w:rPr>
                            <w:sz w:val="16"/>
                          </w:rPr>
                          <w:t>0.4</w:t>
                        </w:r>
                      </w:p>
                    </w:tc>
                  </w:tr>
                  <w:tr>
                    <w:trPr>
                      <w:trHeight w:val="443" w:hRule="atLeast"/>
                    </w:trPr>
                    <w:tc>
                      <w:tcPr>
                        <w:tcW w:w="1152" w:type="dxa"/>
                      </w:tcPr>
                      <w:p>
                        <w:pPr>
                          <w:pStyle w:val="TableParagraph"/>
                          <w:spacing w:before="54"/>
                          <w:ind w:left="57" w:right="291"/>
                          <w:rPr>
                            <w:sz w:val="16"/>
                          </w:rPr>
                        </w:pPr>
                        <w:r>
                          <w:rPr>
                            <w:sz w:val="16"/>
                          </w:rPr>
                          <w:t>The FYR of Macedonia</w:t>
                        </w:r>
                      </w:p>
                    </w:tc>
                    <w:tc>
                      <w:tcPr>
                        <w:tcW w:w="924" w:type="dxa"/>
                      </w:tcPr>
                      <w:p>
                        <w:pPr>
                          <w:pStyle w:val="TableParagraph"/>
                          <w:spacing w:before="124"/>
                          <w:ind w:right="102"/>
                          <w:jc w:val="right"/>
                          <w:rPr>
                            <w:sz w:val="16"/>
                          </w:rPr>
                        </w:pPr>
                        <w:r>
                          <w:rPr>
                            <w:sz w:val="16"/>
                          </w:rPr>
                          <w:t>906</w:t>
                        </w:r>
                      </w:p>
                    </w:tc>
                    <w:tc>
                      <w:tcPr>
                        <w:tcW w:w="910" w:type="dxa"/>
                      </w:tcPr>
                      <w:p>
                        <w:pPr>
                          <w:pStyle w:val="TableParagraph"/>
                          <w:spacing w:before="124"/>
                          <w:ind w:right="102"/>
                          <w:jc w:val="right"/>
                          <w:rPr>
                            <w:sz w:val="16"/>
                          </w:rPr>
                        </w:pPr>
                        <w:r>
                          <w:rPr>
                            <w:sz w:val="16"/>
                          </w:rPr>
                          <w:t>906</w:t>
                        </w:r>
                      </w:p>
                    </w:tc>
                    <w:tc>
                      <w:tcPr>
                        <w:tcW w:w="800" w:type="dxa"/>
                      </w:tcPr>
                      <w:p>
                        <w:pPr>
                          <w:pStyle w:val="TableParagraph"/>
                          <w:spacing w:before="124"/>
                          <w:ind w:left="344"/>
                          <w:rPr>
                            <w:sz w:val="16"/>
                          </w:rPr>
                        </w:pPr>
                        <w:r>
                          <w:rPr>
                            <w:sz w:val="16"/>
                          </w:rPr>
                          <w:t>n.s.</w:t>
                        </w:r>
                      </w:p>
                    </w:tc>
                    <w:tc>
                      <w:tcPr>
                        <w:tcW w:w="684" w:type="dxa"/>
                        <w:tcBorders>
                          <w:right w:val="single" w:sz="6" w:space="0" w:color="000000"/>
                        </w:tcBorders>
                      </w:tcPr>
                      <w:p>
                        <w:pPr>
                          <w:pStyle w:val="TableParagraph"/>
                          <w:spacing w:before="124"/>
                          <w:ind w:left="231"/>
                          <w:rPr>
                            <w:sz w:val="16"/>
                          </w:rPr>
                        </w:pPr>
                        <w:r>
                          <w:rPr>
                            <w:sz w:val="16"/>
                          </w:rPr>
                          <w:t>n.s.</w:t>
                        </w:r>
                      </w:p>
                    </w:tc>
                  </w:tr>
                  <w:tr>
                    <w:trPr>
                      <w:trHeight w:val="275" w:hRule="atLeast"/>
                    </w:trPr>
                    <w:tc>
                      <w:tcPr>
                        <w:tcW w:w="1152" w:type="dxa"/>
                      </w:tcPr>
                      <w:p>
                        <w:pPr>
                          <w:pStyle w:val="TableParagraph"/>
                          <w:spacing w:before="54"/>
                          <w:ind w:left="58"/>
                          <w:rPr>
                            <w:sz w:val="16"/>
                          </w:rPr>
                        </w:pPr>
                        <w:r>
                          <w:rPr>
                            <w:sz w:val="16"/>
                          </w:rPr>
                          <w:t>Ukraine</w:t>
                        </w:r>
                      </w:p>
                    </w:tc>
                    <w:tc>
                      <w:tcPr>
                        <w:tcW w:w="924" w:type="dxa"/>
                      </w:tcPr>
                      <w:p>
                        <w:pPr>
                          <w:pStyle w:val="TableParagraph"/>
                          <w:spacing w:before="54"/>
                          <w:ind w:right="101"/>
                          <w:jc w:val="right"/>
                          <w:rPr>
                            <w:sz w:val="16"/>
                          </w:rPr>
                        </w:pPr>
                        <w:r>
                          <w:rPr>
                            <w:sz w:val="16"/>
                          </w:rPr>
                          <w:t>9 274</w:t>
                        </w:r>
                      </w:p>
                    </w:tc>
                    <w:tc>
                      <w:tcPr>
                        <w:tcW w:w="910" w:type="dxa"/>
                      </w:tcPr>
                      <w:p>
                        <w:pPr>
                          <w:pStyle w:val="TableParagraph"/>
                          <w:spacing w:before="54"/>
                          <w:ind w:right="101"/>
                          <w:jc w:val="right"/>
                          <w:rPr>
                            <w:sz w:val="16"/>
                          </w:rPr>
                        </w:pPr>
                        <w:r>
                          <w:rPr>
                            <w:sz w:val="16"/>
                          </w:rPr>
                          <w:t>9 584</w:t>
                        </w:r>
                      </w:p>
                    </w:tc>
                    <w:tc>
                      <w:tcPr>
                        <w:tcW w:w="800" w:type="dxa"/>
                      </w:tcPr>
                      <w:p>
                        <w:pPr>
                          <w:pStyle w:val="TableParagraph"/>
                          <w:spacing w:before="54"/>
                          <w:ind w:left="407"/>
                          <w:rPr>
                            <w:sz w:val="16"/>
                          </w:rPr>
                        </w:pPr>
                        <w:r>
                          <w:rPr>
                            <w:sz w:val="16"/>
                          </w:rPr>
                          <w:t>31</w:t>
                        </w:r>
                      </w:p>
                    </w:tc>
                    <w:tc>
                      <w:tcPr>
                        <w:tcW w:w="684" w:type="dxa"/>
                        <w:tcBorders>
                          <w:right w:val="single" w:sz="6" w:space="0" w:color="000000"/>
                        </w:tcBorders>
                      </w:tcPr>
                      <w:p>
                        <w:pPr>
                          <w:pStyle w:val="TableParagraph"/>
                          <w:spacing w:before="54"/>
                          <w:ind w:left="255"/>
                          <w:rPr>
                            <w:sz w:val="16"/>
                          </w:rPr>
                        </w:pPr>
                        <w:r>
                          <w:rPr>
                            <w:sz w:val="16"/>
                          </w:rPr>
                          <w:t>0.3</w:t>
                        </w:r>
                      </w:p>
                    </w:tc>
                  </w:tr>
                  <w:tr>
                    <w:trPr>
                      <w:trHeight w:val="443" w:hRule="atLeast"/>
                    </w:trPr>
                    <w:tc>
                      <w:tcPr>
                        <w:tcW w:w="1152" w:type="dxa"/>
                      </w:tcPr>
                      <w:p>
                        <w:pPr>
                          <w:pStyle w:val="TableParagraph"/>
                          <w:spacing w:before="54"/>
                          <w:ind w:left="57" w:right="460"/>
                          <w:rPr>
                            <w:sz w:val="16"/>
                          </w:rPr>
                        </w:pPr>
                        <w:r>
                          <w:rPr>
                            <w:sz w:val="16"/>
                          </w:rPr>
                          <w:t>United Kingdom</w:t>
                        </w:r>
                      </w:p>
                    </w:tc>
                    <w:tc>
                      <w:tcPr>
                        <w:tcW w:w="924" w:type="dxa"/>
                      </w:tcPr>
                      <w:p>
                        <w:pPr>
                          <w:pStyle w:val="TableParagraph"/>
                          <w:spacing w:before="124"/>
                          <w:ind w:right="102"/>
                          <w:jc w:val="right"/>
                          <w:rPr>
                            <w:sz w:val="16"/>
                          </w:rPr>
                        </w:pPr>
                        <w:r>
                          <w:rPr>
                            <w:sz w:val="16"/>
                          </w:rPr>
                          <w:t>2 624</w:t>
                        </w:r>
                      </w:p>
                    </w:tc>
                    <w:tc>
                      <w:tcPr>
                        <w:tcW w:w="910" w:type="dxa"/>
                      </w:tcPr>
                      <w:p>
                        <w:pPr>
                          <w:pStyle w:val="TableParagraph"/>
                          <w:spacing w:before="124"/>
                          <w:ind w:right="102"/>
                          <w:jc w:val="right"/>
                          <w:rPr>
                            <w:sz w:val="16"/>
                          </w:rPr>
                        </w:pPr>
                        <w:r>
                          <w:rPr>
                            <w:sz w:val="16"/>
                          </w:rPr>
                          <w:t>2 794</w:t>
                        </w:r>
                      </w:p>
                    </w:tc>
                    <w:tc>
                      <w:tcPr>
                        <w:tcW w:w="800" w:type="dxa"/>
                      </w:tcPr>
                      <w:p>
                        <w:pPr>
                          <w:pStyle w:val="TableParagraph"/>
                          <w:spacing w:before="124"/>
                          <w:ind w:left="407"/>
                          <w:rPr>
                            <w:sz w:val="16"/>
                          </w:rPr>
                        </w:pPr>
                        <w:r>
                          <w:rPr>
                            <w:sz w:val="16"/>
                          </w:rPr>
                          <w:t>17</w:t>
                        </w:r>
                      </w:p>
                    </w:tc>
                    <w:tc>
                      <w:tcPr>
                        <w:tcW w:w="684" w:type="dxa"/>
                        <w:tcBorders>
                          <w:right w:val="single" w:sz="6" w:space="0" w:color="000000"/>
                        </w:tcBorders>
                      </w:tcPr>
                      <w:p>
                        <w:pPr>
                          <w:pStyle w:val="TableParagraph"/>
                          <w:spacing w:before="124"/>
                          <w:ind w:left="255"/>
                          <w:rPr>
                            <w:sz w:val="16"/>
                          </w:rPr>
                        </w:pPr>
                        <w:r>
                          <w:rPr>
                            <w:sz w:val="16"/>
                          </w:rPr>
                          <w:t>0.6</w:t>
                        </w:r>
                      </w:p>
                    </w:tc>
                  </w:tr>
                  <w:tr>
                    <w:trPr>
                      <w:trHeight w:val="273" w:hRule="atLeast"/>
                    </w:trPr>
                    <w:tc>
                      <w:tcPr>
                        <w:tcW w:w="1152" w:type="dxa"/>
                      </w:tcPr>
                      <w:p>
                        <w:pPr>
                          <w:pStyle w:val="TableParagraph"/>
                          <w:spacing w:before="54"/>
                          <w:ind w:left="57"/>
                          <w:rPr>
                            <w:sz w:val="16"/>
                          </w:rPr>
                        </w:pPr>
                        <w:r>
                          <w:rPr>
                            <w:sz w:val="16"/>
                          </w:rPr>
                          <w:t>Yugoslavia</w:t>
                        </w:r>
                      </w:p>
                    </w:tc>
                    <w:tc>
                      <w:tcPr>
                        <w:tcW w:w="924" w:type="dxa"/>
                      </w:tcPr>
                      <w:p>
                        <w:pPr>
                          <w:pStyle w:val="TableParagraph"/>
                          <w:spacing w:before="54"/>
                          <w:ind w:right="101"/>
                          <w:jc w:val="right"/>
                          <w:rPr>
                            <w:sz w:val="16"/>
                          </w:rPr>
                        </w:pPr>
                        <w:r>
                          <w:rPr>
                            <w:sz w:val="16"/>
                          </w:rPr>
                          <w:t>2 901</w:t>
                        </w:r>
                      </w:p>
                    </w:tc>
                    <w:tc>
                      <w:tcPr>
                        <w:tcW w:w="910" w:type="dxa"/>
                      </w:tcPr>
                      <w:p>
                        <w:pPr>
                          <w:pStyle w:val="TableParagraph"/>
                          <w:spacing w:before="54"/>
                          <w:ind w:right="102"/>
                          <w:jc w:val="right"/>
                          <w:rPr>
                            <w:sz w:val="16"/>
                          </w:rPr>
                        </w:pPr>
                        <w:r>
                          <w:rPr>
                            <w:sz w:val="16"/>
                          </w:rPr>
                          <w:t>2 887</w:t>
                        </w:r>
                      </w:p>
                    </w:tc>
                    <w:tc>
                      <w:tcPr>
                        <w:tcW w:w="800" w:type="dxa"/>
                      </w:tcPr>
                      <w:p>
                        <w:pPr>
                          <w:pStyle w:val="TableParagraph"/>
                          <w:spacing w:before="54"/>
                          <w:ind w:left="436"/>
                          <w:rPr>
                            <w:sz w:val="16"/>
                          </w:rPr>
                        </w:pPr>
                        <w:r>
                          <w:rPr>
                            <w:sz w:val="16"/>
                          </w:rPr>
                          <w:t>-1</w:t>
                        </w:r>
                      </w:p>
                    </w:tc>
                    <w:tc>
                      <w:tcPr>
                        <w:tcW w:w="684" w:type="dxa"/>
                        <w:tcBorders>
                          <w:right w:val="single" w:sz="6" w:space="0" w:color="000000"/>
                        </w:tcBorders>
                      </w:tcPr>
                      <w:p>
                        <w:pPr>
                          <w:pStyle w:val="TableParagraph"/>
                          <w:spacing w:before="54"/>
                          <w:ind w:left="200"/>
                          <w:rPr>
                            <w:sz w:val="16"/>
                          </w:rPr>
                        </w:pPr>
                        <w:r>
                          <w:rPr>
                            <w:sz w:val="16"/>
                          </w:rPr>
                          <w:t>-0.1</w:t>
                        </w:r>
                      </w:p>
                    </w:tc>
                  </w:tr>
                  <w:tr>
                    <w:trPr>
                      <w:trHeight w:val="842" w:hRule="atLeast"/>
                    </w:trPr>
                    <w:tc>
                      <w:tcPr>
                        <w:tcW w:w="4470" w:type="dxa"/>
                        <w:gridSpan w:val="5"/>
                        <w:tcBorders>
                          <w:right w:val="single" w:sz="6" w:space="0" w:color="000000"/>
                        </w:tcBorders>
                      </w:tcPr>
                      <w:p>
                        <w:pPr>
                          <w:pStyle w:val="TableParagraph"/>
                          <w:spacing w:line="183" w:lineRule="exact" w:before="64"/>
                          <w:ind w:left="57"/>
                          <w:rPr>
                            <w:sz w:val="16"/>
                          </w:rPr>
                        </w:pPr>
                        <w:r>
                          <w:rPr>
                            <w:sz w:val="16"/>
                          </w:rPr>
                          <w:t>n.s. - not specified</w:t>
                        </w:r>
                      </w:p>
                      <w:p>
                        <w:pPr>
                          <w:pStyle w:val="TableParagraph"/>
                          <w:ind w:left="57" w:right="478"/>
                          <w:rPr>
                            <w:sz w:val="16"/>
                          </w:rPr>
                        </w:pPr>
                        <w:r>
                          <w:rPr>
                            <w:sz w:val="16"/>
                          </w:rPr>
                          <w:t>Source: FRA 2000 and Working Paper 59, FRA Programme, Forestry Department of FAO, Rome 2001, 69p (</w:t>
                        </w:r>
                        <w:hyperlink r:id="rId188">
                          <w:r>
                            <w:rPr>
                              <w:sz w:val="16"/>
                            </w:rPr>
                            <w:t>www.fao.org/forestry/fo/fra/index.jsp)</w:t>
                          </w:r>
                        </w:hyperlink>
                      </w:p>
                    </w:tc>
                  </w:tr>
                </w:tbl>
                <w:p>
                  <w:pPr>
                    <w:pStyle w:val="BodyText"/>
                  </w:pPr>
                </w:p>
              </w:txbxContent>
            </v:textbox>
          </v:shape>
        </w:pict>
      </w:r>
      <w:r>
        <w:rPr>
          <w:spacing w:val="43"/>
          <w:position w:val="45"/>
        </w:rPr>
      </w:r>
    </w:p>
    <w:p>
      <w:pPr>
        <w:spacing w:after="0"/>
        <w:sectPr>
          <w:pgSz w:w="11900" w:h="16840"/>
          <w:pgMar w:header="230" w:footer="408" w:top="560" w:bottom="600" w:left="1200" w:right="1140"/>
        </w:sectPr>
      </w:pPr>
    </w:p>
    <w:p>
      <w:pPr>
        <w:pStyle w:val="BodyText"/>
      </w:pPr>
    </w:p>
    <w:p>
      <w:pPr>
        <w:pStyle w:val="BodyText"/>
        <w:spacing w:before="9"/>
        <w:rPr>
          <w:sz w:val="18"/>
        </w:rPr>
      </w:pPr>
    </w:p>
    <w:p>
      <w:pPr>
        <w:pStyle w:val="BodyText"/>
        <w:ind w:left="200"/>
      </w:pPr>
      <w:r>
        <w:rPr/>
        <w:pict>
          <v:shape style="width:220.8pt;height:717.25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8"/>
                    <w:gridCol w:w="876"/>
                    <w:gridCol w:w="874"/>
                    <w:gridCol w:w="874"/>
                    <w:gridCol w:w="701"/>
                  </w:tblGrid>
                  <w:tr>
                    <w:trPr>
                      <w:trHeight w:val="680" w:hRule="atLeast"/>
                    </w:trPr>
                    <w:tc>
                      <w:tcPr>
                        <w:tcW w:w="4403" w:type="dxa"/>
                        <w:gridSpan w:val="5"/>
                        <w:tcBorders>
                          <w:bottom w:val="double" w:sz="1" w:space="0" w:color="000000"/>
                        </w:tcBorders>
                      </w:tcPr>
                      <w:p>
                        <w:pPr>
                          <w:pStyle w:val="TableParagraph"/>
                          <w:spacing w:before="28"/>
                          <w:ind w:left="1187" w:right="1093"/>
                          <w:jc w:val="center"/>
                          <w:rPr>
                            <w:b/>
                            <w:sz w:val="14"/>
                          </w:rPr>
                        </w:pPr>
                        <w:r>
                          <w:rPr>
                            <w:b/>
                            <w:sz w:val="18"/>
                          </w:rPr>
                          <w:t>T</w:t>
                        </w:r>
                        <w:r>
                          <w:rPr>
                            <w:b/>
                            <w:sz w:val="14"/>
                          </w:rPr>
                          <w:t>ABLE </w:t>
                        </w:r>
                        <w:r>
                          <w:rPr>
                            <w:b/>
                            <w:sz w:val="18"/>
                          </w:rPr>
                          <w:t>3A.1.1 (C</w:t>
                        </w:r>
                        <w:r>
                          <w:rPr>
                            <w:b/>
                            <w:sz w:val="14"/>
                          </w:rPr>
                          <w:t>ONTINUED</w:t>
                        </w:r>
                        <w:r>
                          <w:rPr>
                            <w:b/>
                            <w:sz w:val="18"/>
                          </w:rPr>
                          <w:t>) F</w:t>
                        </w:r>
                        <w:r>
                          <w:rPr>
                            <w:b/>
                            <w:sz w:val="14"/>
                          </w:rPr>
                          <w:t>OREST AREA CHANGE</w:t>
                        </w:r>
                      </w:p>
                      <w:p>
                        <w:pPr>
                          <w:pStyle w:val="TableParagraph"/>
                          <w:spacing w:line="203" w:lineRule="exact"/>
                          <w:ind w:left="314" w:right="224"/>
                          <w:jc w:val="center"/>
                          <w:rPr>
                            <w:sz w:val="18"/>
                          </w:rPr>
                        </w:pPr>
                        <w:r>
                          <w:rPr>
                            <w:sz w:val="18"/>
                          </w:rPr>
                          <w:t>(To be used for verification of ‘A’ in Equation 3.2.4)</w:t>
                        </w:r>
                      </w:p>
                    </w:tc>
                  </w:tr>
                  <w:tr>
                    <w:trPr>
                      <w:trHeight w:val="253" w:hRule="atLeast"/>
                    </w:trPr>
                    <w:tc>
                      <w:tcPr>
                        <w:tcW w:w="4403" w:type="dxa"/>
                        <w:gridSpan w:val="5"/>
                        <w:tcBorders>
                          <w:top w:val="double" w:sz="1" w:space="0" w:color="000000"/>
                        </w:tcBorders>
                      </w:tcPr>
                      <w:p>
                        <w:pPr>
                          <w:pStyle w:val="TableParagraph"/>
                          <w:spacing w:before="23"/>
                          <w:ind w:left="57"/>
                          <w:rPr>
                            <w:b/>
                            <w:sz w:val="18"/>
                          </w:rPr>
                        </w:pPr>
                        <w:r>
                          <w:rPr>
                            <w:b/>
                            <w:sz w:val="18"/>
                          </w:rPr>
                          <w:t>e. NORTH AND CENTRAL AMERICA</w:t>
                        </w:r>
                      </w:p>
                    </w:tc>
                  </w:tr>
                  <w:tr>
                    <w:trPr>
                      <w:trHeight w:val="388" w:hRule="atLeast"/>
                    </w:trPr>
                    <w:tc>
                      <w:tcPr>
                        <w:tcW w:w="1078" w:type="dxa"/>
                      </w:tcPr>
                      <w:p>
                        <w:pPr>
                          <w:pStyle w:val="TableParagraph"/>
                          <w:spacing w:before="97"/>
                          <w:ind w:left="57"/>
                          <w:rPr>
                            <w:b/>
                            <w:sz w:val="16"/>
                          </w:rPr>
                        </w:pPr>
                        <w:r>
                          <w:rPr>
                            <w:b/>
                            <w:sz w:val="16"/>
                          </w:rPr>
                          <w:t>Country</w:t>
                        </w:r>
                      </w:p>
                    </w:tc>
                    <w:tc>
                      <w:tcPr>
                        <w:tcW w:w="1750" w:type="dxa"/>
                        <w:gridSpan w:val="2"/>
                      </w:tcPr>
                      <w:p>
                        <w:pPr>
                          <w:pStyle w:val="TableParagraph"/>
                          <w:spacing w:before="97"/>
                          <w:ind w:left="306"/>
                          <w:rPr>
                            <w:b/>
                            <w:sz w:val="16"/>
                          </w:rPr>
                        </w:pPr>
                        <w:r>
                          <w:rPr>
                            <w:b/>
                            <w:sz w:val="16"/>
                          </w:rPr>
                          <w:t>Total Forest Area</w:t>
                        </w:r>
                      </w:p>
                    </w:tc>
                    <w:tc>
                      <w:tcPr>
                        <w:tcW w:w="1575" w:type="dxa"/>
                        <w:gridSpan w:val="2"/>
                      </w:tcPr>
                      <w:p>
                        <w:pPr>
                          <w:pStyle w:val="TableParagraph"/>
                          <w:spacing w:line="180" w:lineRule="atLeast" w:before="6"/>
                          <w:ind w:left="478" w:right="45" w:hanging="341"/>
                          <w:rPr>
                            <w:b/>
                            <w:sz w:val="16"/>
                          </w:rPr>
                        </w:pPr>
                        <w:r>
                          <w:rPr>
                            <w:b/>
                            <w:sz w:val="16"/>
                          </w:rPr>
                          <w:t>Forest Area Change 1990-2000</w:t>
                        </w:r>
                      </w:p>
                    </w:tc>
                  </w:tr>
                  <w:tr>
                    <w:trPr>
                      <w:trHeight w:val="386" w:hRule="atLeast"/>
                    </w:trPr>
                    <w:tc>
                      <w:tcPr>
                        <w:tcW w:w="1078" w:type="dxa"/>
                      </w:tcPr>
                      <w:p>
                        <w:pPr>
                          <w:pStyle w:val="TableParagraph"/>
                          <w:rPr>
                            <w:sz w:val="16"/>
                          </w:rPr>
                        </w:pPr>
                      </w:p>
                    </w:tc>
                    <w:tc>
                      <w:tcPr>
                        <w:tcW w:w="876" w:type="dxa"/>
                      </w:tcPr>
                      <w:p>
                        <w:pPr>
                          <w:pStyle w:val="TableParagraph"/>
                          <w:spacing w:before="97"/>
                          <w:ind w:left="318"/>
                          <w:rPr>
                            <w:b/>
                            <w:sz w:val="16"/>
                          </w:rPr>
                        </w:pPr>
                        <w:r>
                          <w:rPr>
                            <w:b/>
                            <w:sz w:val="16"/>
                          </w:rPr>
                          <w:t>1990</w:t>
                        </w:r>
                      </w:p>
                    </w:tc>
                    <w:tc>
                      <w:tcPr>
                        <w:tcW w:w="874" w:type="dxa"/>
                      </w:tcPr>
                      <w:p>
                        <w:pPr>
                          <w:pStyle w:val="TableParagraph"/>
                          <w:spacing w:before="97"/>
                          <w:ind w:left="316"/>
                          <w:rPr>
                            <w:b/>
                            <w:sz w:val="16"/>
                          </w:rPr>
                        </w:pPr>
                        <w:r>
                          <w:rPr>
                            <w:b/>
                            <w:sz w:val="16"/>
                          </w:rPr>
                          <w:t>2000</w:t>
                        </w:r>
                      </w:p>
                    </w:tc>
                    <w:tc>
                      <w:tcPr>
                        <w:tcW w:w="874" w:type="dxa"/>
                      </w:tcPr>
                      <w:p>
                        <w:pPr>
                          <w:pStyle w:val="TableParagraph"/>
                          <w:spacing w:line="182" w:lineRule="exact" w:before="10"/>
                          <w:ind w:left="212" w:right="107" w:firstLine="9"/>
                          <w:rPr>
                            <w:b/>
                            <w:sz w:val="16"/>
                          </w:rPr>
                        </w:pPr>
                        <w:r>
                          <w:rPr>
                            <w:b/>
                            <w:sz w:val="16"/>
                          </w:rPr>
                          <w:t>Annual Change</w:t>
                        </w:r>
                      </w:p>
                    </w:tc>
                    <w:tc>
                      <w:tcPr>
                        <w:tcW w:w="701" w:type="dxa"/>
                      </w:tcPr>
                      <w:p>
                        <w:pPr>
                          <w:pStyle w:val="TableParagraph"/>
                          <w:spacing w:line="182" w:lineRule="exact" w:before="10"/>
                          <w:ind w:left="228" w:right="22" w:hanging="104"/>
                          <w:rPr>
                            <w:b/>
                            <w:sz w:val="16"/>
                          </w:rPr>
                        </w:pPr>
                        <w:r>
                          <w:rPr>
                            <w:b/>
                            <w:sz w:val="16"/>
                          </w:rPr>
                          <w:t>Change Rate</w:t>
                        </w:r>
                      </w:p>
                    </w:tc>
                  </w:tr>
                  <w:tr>
                    <w:trPr>
                      <w:trHeight w:val="273" w:hRule="atLeast"/>
                    </w:trPr>
                    <w:tc>
                      <w:tcPr>
                        <w:tcW w:w="1078" w:type="dxa"/>
                      </w:tcPr>
                      <w:p>
                        <w:pPr>
                          <w:pStyle w:val="TableParagraph"/>
                          <w:rPr>
                            <w:sz w:val="16"/>
                          </w:rPr>
                        </w:pPr>
                      </w:p>
                    </w:tc>
                    <w:tc>
                      <w:tcPr>
                        <w:tcW w:w="876" w:type="dxa"/>
                      </w:tcPr>
                      <w:p>
                        <w:pPr>
                          <w:pStyle w:val="TableParagraph"/>
                          <w:spacing w:before="40"/>
                          <w:ind w:left="253"/>
                          <w:rPr>
                            <w:b/>
                            <w:sz w:val="16"/>
                          </w:rPr>
                        </w:pPr>
                        <w:r>
                          <w:rPr>
                            <w:b/>
                            <w:sz w:val="16"/>
                          </w:rPr>
                          <w:t>000 ha</w:t>
                        </w:r>
                      </w:p>
                    </w:tc>
                    <w:tc>
                      <w:tcPr>
                        <w:tcW w:w="874" w:type="dxa"/>
                      </w:tcPr>
                      <w:p>
                        <w:pPr>
                          <w:pStyle w:val="TableParagraph"/>
                          <w:spacing w:before="40"/>
                          <w:ind w:right="160"/>
                          <w:jc w:val="right"/>
                          <w:rPr>
                            <w:b/>
                            <w:sz w:val="16"/>
                          </w:rPr>
                        </w:pPr>
                        <w:r>
                          <w:rPr>
                            <w:b/>
                            <w:sz w:val="16"/>
                          </w:rPr>
                          <w:t>000 ha</w:t>
                        </w:r>
                      </w:p>
                    </w:tc>
                    <w:tc>
                      <w:tcPr>
                        <w:tcW w:w="874" w:type="dxa"/>
                      </w:tcPr>
                      <w:p>
                        <w:pPr>
                          <w:pStyle w:val="TableParagraph"/>
                          <w:spacing w:before="40"/>
                          <w:ind w:left="133"/>
                          <w:rPr>
                            <w:b/>
                            <w:sz w:val="16"/>
                          </w:rPr>
                        </w:pPr>
                        <w:r>
                          <w:rPr>
                            <w:b/>
                            <w:sz w:val="16"/>
                          </w:rPr>
                          <w:t>000 ha /yr</w:t>
                        </w:r>
                      </w:p>
                    </w:tc>
                    <w:tc>
                      <w:tcPr>
                        <w:tcW w:w="701" w:type="dxa"/>
                      </w:tcPr>
                      <w:p>
                        <w:pPr>
                          <w:pStyle w:val="TableParagraph"/>
                          <w:spacing w:before="40"/>
                          <w:ind w:left="171"/>
                          <w:rPr>
                            <w:b/>
                            <w:sz w:val="16"/>
                          </w:rPr>
                        </w:pPr>
                        <w:r>
                          <w:rPr>
                            <w:b/>
                            <w:sz w:val="16"/>
                          </w:rPr>
                          <w:t>% / yr</w:t>
                        </w:r>
                      </w:p>
                    </w:tc>
                  </w:tr>
                  <w:tr>
                    <w:trPr>
                      <w:trHeight w:val="445" w:hRule="atLeast"/>
                    </w:trPr>
                    <w:tc>
                      <w:tcPr>
                        <w:tcW w:w="1078" w:type="dxa"/>
                      </w:tcPr>
                      <w:p>
                        <w:pPr>
                          <w:pStyle w:val="TableParagraph"/>
                          <w:spacing w:before="33"/>
                          <w:ind w:left="57" w:right="204"/>
                          <w:rPr>
                            <w:sz w:val="16"/>
                          </w:rPr>
                        </w:pPr>
                        <w:r>
                          <w:rPr>
                            <w:sz w:val="16"/>
                          </w:rPr>
                          <w:t>Antigua and Barbuda</w:t>
                        </w:r>
                      </w:p>
                    </w:tc>
                    <w:tc>
                      <w:tcPr>
                        <w:tcW w:w="876" w:type="dxa"/>
                      </w:tcPr>
                      <w:p>
                        <w:pPr>
                          <w:pStyle w:val="TableParagraph"/>
                          <w:spacing w:before="124"/>
                          <w:ind w:right="102"/>
                          <w:jc w:val="right"/>
                          <w:rPr>
                            <w:sz w:val="16"/>
                          </w:rPr>
                        </w:pPr>
                        <w:r>
                          <w:rPr>
                            <w:w w:val="100"/>
                            <w:sz w:val="16"/>
                          </w:rPr>
                          <w:t>9</w:t>
                        </w:r>
                      </w:p>
                    </w:tc>
                    <w:tc>
                      <w:tcPr>
                        <w:tcW w:w="874" w:type="dxa"/>
                      </w:tcPr>
                      <w:p>
                        <w:pPr>
                          <w:pStyle w:val="TableParagraph"/>
                          <w:spacing w:before="124"/>
                          <w:ind w:right="103"/>
                          <w:jc w:val="right"/>
                          <w:rPr>
                            <w:sz w:val="16"/>
                          </w:rPr>
                        </w:pPr>
                        <w:r>
                          <w:rPr>
                            <w:w w:val="100"/>
                            <w:sz w:val="16"/>
                          </w:rPr>
                          <w:t>9</w:t>
                        </w:r>
                      </w:p>
                    </w:tc>
                    <w:tc>
                      <w:tcPr>
                        <w:tcW w:w="874" w:type="dxa"/>
                      </w:tcPr>
                      <w:p>
                        <w:pPr>
                          <w:pStyle w:val="TableParagraph"/>
                          <w:spacing w:before="124"/>
                          <w:ind w:left="420"/>
                          <w:rPr>
                            <w:sz w:val="16"/>
                          </w:rPr>
                        </w:pPr>
                        <w:r>
                          <w:rPr>
                            <w:sz w:val="16"/>
                          </w:rPr>
                          <w:t>n.s.</w:t>
                        </w:r>
                      </w:p>
                    </w:tc>
                    <w:tc>
                      <w:tcPr>
                        <w:tcW w:w="701" w:type="dxa"/>
                      </w:tcPr>
                      <w:p>
                        <w:pPr>
                          <w:pStyle w:val="TableParagraph"/>
                          <w:spacing w:before="124"/>
                          <w:ind w:left="247"/>
                          <w:rPr>
                            <w:sz w:val="16"/>
                          </w:rPr>
                        </w:pPr>
                        <w:r>
                          <w:rPr>
                            <w:sz w:val="16"/>
                          </w:rPr>
                          <w:t>n.s.</w:t>
                        </w:r>
                      </w:p>
                    </w:tc>
                  </w:tr>
                  <w:tr>
                    <w:trPr>
                      <w:trHeight w:val="273" w:hRule="atLeast"/>
                    </w:trPr>
                    <w:tc>
                      <w:tcPr>
                        <w:tcW w:w="1078" w:type="dxa"/>
                      </w:tcPr>
                      <w:p>
                        <w:pPr>
                          <w:pStyle w:val="TableParagraph"/>
                          <w:spacing w:before="37"/>
                          <w:ind w:left="57"/>
                          <w:rPr>
                            <w:sz w:val="16"/>
                          </w:rPr>
                        </w:pPr>
                        <w:r>
                          <w:rPr>
                            <w:sz w:val="16"/>
                          </w:rPr>
                          <w:t>Bahamas</w:t>
                        </w:r>
                      </w:p>
                    </w:tc>
                    <w:tc>
                      <w:tcPr>
                        <w:tcW w:w="876" w:type="dxa"/>
                      </w:tcPr>
                      <w:p>
                        <w:pPr>
                          <w:pStyle w:val="TableParagraph"/>
                          <w:spacing w:before="37"/>
                          <w:ind w:right="102"/>
                          <w:jc w:val="right"/>
                          <w:rPr>
                            <w:sz w:val="16"/>
                          </w:rPr>
                        </w:pPr>
                        <w:r>
                          <w:rPr>
                            <w:sz w:val="16"/>
                          </w:rPr>
                          <w:t>842</w:t>
                        </w:r>
                      </w:p>
                    </w:tc>
                    <w:tc>
                      <w:tcPr>
                        <w:tcW w:w="874" w:type="dxa"/>
                      </w:tcPr>
                      <w:p>
                        <w:pPr>
                          <w:pStyle w:val="TableParagraph"/>
                          <w:spacing w:before="37"/>
                          <w:ind w:right="103"/>
                          <w:jc w:val="right"/>
                          <w:rPr>
                            <w:sz w:val="16"/>
                          </w:rPr>
                        </w:pPr>
                        <w:r>
                          <w:rPr>
                            <w:sz w:val="16"/>
                          </w:rPr>
                          <w:t>842</w:t>
                        </w:r>
                      </w:p>
                    </w:tc>
                    <w:tc>
                      <w:tcPr>
                        <w:tcW w:w="874" w:type="dxa"/>
                      </w:tcPr>
                      <w:p>
                        <w:pPr>
                          <w:pStyle w:val="TableParagraph"/>
                          <w:spacing w:before="37"/>
                          <w:ind w:left="421"/>
                          <w:rPr>
                            <w:sz w:val="16"/>
                          </w:rPr>
                        </w:pPr>
                        <w:r>
                          <w:rPr>
                            <w:sz w:val="16"/>
                          </w:rPr>
                          <w:t>n.s.</w:t>
                        </w:r>
                      </w:p>
                    </w:tc>
                    <w:tc>
                      <w:tcPr>
                        <w:tcW w:w="701" w:type="dxa"/>
                      </w:tcPr>
                      <w:p>
                        <w:pPr>
                          <w:pStyle w:val="TableParagraph"/>
                          <w:spacing w:before="37"/>
                          <w:ind w:left="248"/>
                          <w:rPr>
                            <w:sz w:val="16"/>
                          </w:rPr>
                        </w:pPr>
                        <w:r>
                          <w:rPr>
                            <w:sz w:val="16"/>
                          </w:rPr>
                          <w:t>n.s.</w:t>
                        </w:r>
                      </w:p>
                    </w:tc>
                  </w:tr>
                  <w:tr>
                    <w:trPr>
                      <w:trHeight w:val="273" w:hRule="atLeast"/>
                    </w:trPr>
                    <w:tc>
                      <w:tcPr>
                        <w:tcW w:w="1078" w:type="dxa"/>
                      </w:tcPr>
                      <w:p>
                        <w:pPr>
                          <w:pStyle w:val="TableParagraph"/>
                          <w:spacing w:before="37"/>
                          <w:ind w:left="57"/>
                          <w:rPr>
                            <w:sz w:val="16"/>
                          </w:rPr>
                        </w:pPr>
                        <w:r>
                          <w:rPr>
                            <w:sz w:val="16"/>
                          </w:rPr>
                          <w:t>Barbados</w:t>
                        </w:r>
                      </w:p>
                    </w:tc>
                    <w:tc>
                      <w:tcPr>
                        <w:tcW w:w="876" w:type="dxa"/>
                      </w:tcPr>
                      <w:p>
                        <w:pPr>
                          <w:pStyle w:val="TableParagraph"/>
                          <w:spacing w:before="37"/>
                          <w:ind w:right="101"/>
                          <w:jc w:val="right"/>
                          <w:rPr>
                            <w:sz w:val="16"/>
                          </w:rPr>
                        </w:pPr>
                        <w:r>
                          <w:rPr>
                            <w:w w:val="100"/>
                            <w:sz w:val="16"/>
                          </w:rPr>
                          <w:t>2</w:t>
                        </w:r>
                      </w:p>
                    </w:tc>
                    <w:tc>
                      <w:tcPr>
                        <w:tcW w:w="874" w:type="dxa"/>
                      </w:tcPr>
                      <w:p>
                        <w:pPr>
                          <w:pStyle w:val="TableParagraph"/>
                          <w:spacing w:before="37"/>
                          <w:ind w:right="102"/>
                          <w:jc w:val="right"/>
                          <w:rPr>
                            <w:sz w:val="16"/>
                          </w:rPr>
                        </w:pPr>
                        <w:r>
                          <w:rPr>
                            <w:w w:val="100"/>
                            <w:sz w:val="16"/>
                          </w:rPr>
                          <w:t>2</w:t>
                        </w:r>
                      </w:p>
                    </w:tc>
                    <w:tc>
                      <w:tcPr>
                        <w:tcW w:w="874" w:type="dxa"/>
                      </w:tcPr>
                      <w:p>
                        <w:pPr>
                          <w:pStyle w:val="TableParagraph"/>
                          <w:spacing w:before="37"/>
                          <w:ind w:left="421"/>
                          <w:rPr>
                            <w:sz w:val="16"/>
                          </w:rPr>
                        </w:pPr>
                        <w:r>
                          <w:rPr>
                            <w:sz w:val="16"/>
                          </w:rPr>
                          <w:t>n.s.</w:t>
                        </w:r>
                      </w:p>
                    </w:tc>
                    <w:tc>
                      <w:tcPr>
                        <w:tcW w:w="701" w:type="dxa"/>
                      </w:tcPr>
                      <w:p>
                        <w:pPr>
                          <w:pStyle w:val="TableParagraph"/>
                          <w:spacing w:before="37"/>
                          <w:ind w:left="248"/>
                          <w:rPr>
                            <w:sz w:val="16"/>
                          </w:rPr>
                        </w:pPr>
                        <w:r>
                          <w:rPr>
                            <w:sz w:val="16"/>
                          </w:rPr>
                          <w:t>n.s.</w:t>
                        </w:r>
                      </w:p>
                    </w:tc>
                  </w:tr>
                  <w:tr>
                    <w:trPr>
                      <w:trHeight w:val="275" w:hRule="atLeast"/>
                    </w:trPr>
                    <w:tc>
                      <w:tcPr>
                        <w:tcW w:w="1078" w:type="dxa"/>
                      </w:tcPr>
                      <w:p>
                        <w:pPr>
                          <w:pStyle w:val="TableParagraph"/>
                          <w:spacing w:before="37"/>
                          <w:ind w:left="57"/>
                          <w:rPr>
                            <w:sz w:val="16"/>
                          </w:rPr>
                        </w:pPr>
                        <w:r>
                          <w:rPr>
                            <w:sz w:val="16"/>
                          </w:rPr>
                          <w:t>Belize</w:t>
                        </w:r>
                      </w:p>
                    </w:tc>
                    <w:tc>
                      <w:tcPr>
                        <w:tcW w:w="876" w:type="dxa"/>
                      </w:tcPr>
                      <w:p>
                        <w:pPr>
                          <w:pStyle w:val="TableParagraph"/>
                          <w:spacing w:before="37"/>
                          <w:ind w:right="102"/>
                          <w:jc w:val="right"/>
                          <w:rPr>
                            <w:sz w:val="16"/>
                          </w:rPr>
                        </w:pPr>
                        <w:r>
                          <w:rPr>
                            <w:sz w:val="16"/>
                          </w:rPr>
                          <w:t>1 704</w:t>
                        </w:r>
                      </w:p>
                    </w:tc>
                    <w:tc>
                      <w:tcPr>
                        <w:tcW w:w="874" w:type="dxa"/>
                      </w:tcPr>
                      <w:p>
                        <w:pPr>
                          <w:pStyle w:val="TableParagraph"/>
                          <w:spacing w:before="37"/>
                          <w:ind w:right="103"/>
                          <w:jc w:val="right"/>
                          <w:rPr>
                            <w:sz w:val="16"/>
                          </w:rPr>
                        </w:pPr>
                        <w:r>
                          <w:rPr>
                            <w:sz w:val="16"/>
                          </w:rPr>
                          <w:t>1 348</w:t>
                        </w:r>
                      </w:p>
                    </w:tc>
                    <w:tc>
                      <w:tcPr>
                        <w:tcW w:w="874" w:type="dxa"/>
                      </w:tcPr>
                      <w:p>
                        <w:pPr>
                          <w:pStyle w:val="TableParagraph"/>
                          <w:spacing w:before="37"/>
                          <w:ind w:left="430"/>
                          <w:rPr>
                            <w:sz w:val="16"/>
                          </w:rPr>
                        </w:pPr>
                        <w:r>
                          <w:rPr>
                            <w:sz w:val="16"/>
                          </w:rPr>
                          <w:t>-36</w:t>
                        </w:r>
                      </w:p>
                    </w:tc>
                    <w:tc>
                      <w:tcPr>
                        <w:tcW w:w="701" w:type="dxa"/>
                      </w:tcPr>
                      <w:p>
                        <w:pPr>
                          <w:pStyle w:val="TableParagraph"/>
                          <w:spacing w:before="37"/>
                          <w:ind w:left="216"/>
                          <w:rPr>
                            <w:sz w:val="16"/>
                          </w:rPr>
                        </w:pPr>
                        <w:r>
                          <w:rPr>
                            <w:sz w:val="16"/>
                          </w:rPr>
                          <w:t>-2.3</w:t>
                        </w:r>
                      </w:p>
                    </w:tc>
                  </w:tr>
                  <w:tr>
                    <w:trPr>
                      <w:trHeight w:val="273" w:hRule="atLeast"/>
                    </w:trPr>
                    <w:tc>
                      <w:tcPr>
                        <w:tcW w:w="1078" w:type="dxa"/>
                      </w:tcPr>
                      <w:p>
                        <w:pPr>
                          <w:pStyle w:val="TableParagraph"/>
                          <w:spacing w:before="37"/>
                          <w:ind w:left="57"/>
                          <w:rPr>
                            <w:sz w:val="16"/>
                          </w:rPr>
                        </w:pPr>
                        <w:r>
                          <w:rPr>
                            <w:sz w:val="16"/>
                          </w:rPr>
                          <w:t>Bermuda</w:t>
                        </w:r>
                      </w:p>
                    </w:tc>
                    <w:tc>
                      <w:tcPr>
                        <w:tcW w:w="876" w:type="dxa"/>
                      </w:tcPr>
                      <w:p>
                        <w:pPr>
                          <w:pStyle w:val="TableParagraph"/>
                          <w:spacing w:before="37"/>
                          <w:ind w:right="100"/>
                          <w:jc w:val="right"/>
                          <w:rPr>
                            <w:sz w:val="16"/>
                          </w:rPr>
                        </w:pPr>
                        <w:r>
                          <w:rPr>
                            <w:w w:val="100"/>
                            <w:sz w:val="16"/>
                          </w:rPr>
                          <w:t>-</w:t>
                        </w:r>
                      </w:p>
                    </w:tc>
                    <w:tc>
                      <w:tcPr>
                        <w:tcW w:w="874" w:type="dxa"/>
                      </w:tcPr>
                      <w:p>
                        <w:pPr>
                          <w:pStyle w:val="TableParagraph"/>
                          <w:spacing w:before="37"/>
                          <w:ind w:right="101"/>
                          <w:jc w:val="right"/>
                          <w:rPr>
                            <w:sz w:val="16"/>
                          </w:rPr>
                        </w:pPr>
                        <w:r>
                          <w:rPr>
                            <w:w w:val="100"/>
                            <w:sz w:val="16"/>
                          </w:rPr>
                          <w:t>-</w:t>
                        </w:r>
                      </w:p>
                    </w:tc>
                    <w:tc>
                      <w:tcPr>
                        <w:tcW w:w="874" w:type="dxa"/>
                      </w:tcPr>
                      <w:p>
                        <w:pPr>
                          <w:pStyle w:val="TableParagraph"/>
                          <w:spacing w:before="37"/>
                          <w:ind w:right="214"/>
                          <w:jc w:val="right"/>
                          <w:rPr>
                            <w:sz w:val="16"/>
                          </w:rPr>
                        </w:pPr>
                        <w:r>
                          <w:rPr>
                            <w:w w:val="100"/>
                            <w:sz w:val="16"/>
                          </w:rPr>
                          <w:t>-</w:t>
                        </w:r>
                      </w:p>
                    </w:tc>
                    <w:tc>
                      <w:tcPr>
                        <w:tcW w:w="701" w:type="dxa"/>
                      </w:tcPr>
                      <w:p>
                        <w:pPr>
                          <w:pStyle w:val="TableParagraph"/>
                          <w:spacing w:before="37"/>
                          <w:ind w:left="420"/>
                          <w:rPr>
                            <w:sz w:val="16"/>
                          </w:rPr>
                        </w:pPr>
                        <w:r>
                          <w:rPr>
                            <w:w w:val="100"/>
                            <w:sz w:val="16"/>
                          </w:rPr>
                          <w:t>-</w:t>
                        </w:r>
                      </w:p>
                    </w:tc>
                  </w:tr>
                  <w:tr>
                    <w:trPr>
                      <w:trHeight w:val="443" w:hRule="atLeast"/>
                    </w:trPr>
                    <w:tc>
                      <w:tcPr>
                        <w:tcW w:w="1078" w:type="dxa"/>
                      </w:tcPr>
                      <w:p>
                        <w:pPr>
                          <w:pStyle w:val="TableParagraph"/>
                          <w:spacing w:before="33"/>
                          <w:ind w:left="57" w:right="97"/>
                          <w:rPr>
                            <w:sz w:val="16"/>
                          </w:rPr>
                        </w:pPr>
                        <w:r>
                          <w:rPr>
                            <w:sz w:val="16"/>
                          </w:rPr>
                          <w:t>British Virgin Is.</w:t>
                        </w:r>
                      </w:p>
                    </w:tc>
                    <w:tc>
                      <w:tcPr>
                        <w:tcW w:w="876" w:type="dxa"/>
                      </w:tcPr>
                      <w:p>
                        <w:pPr>
                          <w:pStyle w:val="TableParagraph"/>
                          <w:spacing w:before="124"/>
                          <w:ind w:right="102"/>
                          <w:jc w:val="right"/>
                          <w:rPr>
                            <w:sz w:val="16"/>
                          </w:rPr>
                        </w:pPr>
                        <w:r>
                          <w:rPr>
                            <w:w w:val="100"/>
                            <w:sz w:val="16"/>
                          </w:rPr>
                          <w:t>3</w:t>
                        </w:r>
                      </w:p>
                    </w:tc>
                    <w:tc>
                      <w:tcPr>
                        <w:tcW w:w="874" w:type="dxa"/>
                      </w:tcPr>
                      <w:p>
                        <w:pPr>
                          <w:pStyle w:val="TableParagraph"/>
                          <w:spacing w:before="124"/>
                          <w:ind w:right="103"/>
                          <w:jc w:val="right"/>
                          <w:rPr>
                            <w:sz w:val="16"/>
                          </w:rPr>
                        </w:pPr>
                        <w:r>
                          <w:rPr>
                            <w:w w:val="100"/>
                            <w:sz w:val="16"/>
                          </w:rPr>
                          <w:t>3</w:t>
                        </w:r>
                      </w:p>
                    </w:tc>
                    <w:tc>
                      <w:tcPr>
                        <w:tcW w:w="874" w:type="dxa"/>
                      </w:tcPr>
                      <w:p>
                        <w:pPr>
                          <w:pStyle w:val="TableParagraph"/>
                          <w:spacing w:before="124"/>
                          <w:ind w:left="421"/>
                          <w:rPr>
                            <w:sz w:val="16"/>
                          </w:rPr>
                        </w:pPr>
                        <w:r>
                          <w:rPr>
                            <w:sz w:val="16"/>
                          </w:rPr>
                          <w:t>n.s.</w:t>
                        </w:r>
                      </w:p>
                    </w:tc>
                    <w:tc>
                      <w:tcPr>
                        <w:tcW w:w="701" w:type="dxa"/>
                      </w:tcPr>
                      <w:p>
                        <w:pPr>
                          <w:pStyle w:val="TableParagraph"/>
                          <w:spacing w:before="124"/>
                          <w:ind w:left="248"/>
                          <w:rPr>
                            <w:sz w:val="16"/>
                          </w:rPr>
                        </w:pPr>
                        <w:r>
                          <w:rPr>
                            <w:sz w:val="16"/>
                          </w:rPr>
                          <w:t>n.s.</w:t>
                        </w:r>
                      </w:p>
                    </w:tc>
                  </w:tr>
                  <w:tr>
                    <w:trPr>
                      <w:trHeight w:val="273" w:hRule="atLeast"/>
                    </w:trPr>
                    <w:tc>
                      <w:tcPr>
                        <w:tcW w:w="1078" w:type="dxa"/>
                      </w:tcPr>
                      <w:p>
                        <w:pPr>
                          <w:pStyle w:val="TableParagraph"/>
                          <w:spacing w:before="37"/>
                          <w:ind w:left="57"/>
                          <w:rPr>
                            <w:sz w:val="16"/>
                          </w:rPr>
                        </w:pPr>
                        <w:r>
                          <w:rPr>
                            <w:sz w:val="16"/>
                          </w:rPr>
                          <w:t>Canada</w:t>
                        </w:r>
                      </w:p>
                    </w:tc>
                    <w:tc>
                      <w:tcPr>
                        <w:tcW w:w="876" w:type="dxa"/>
                      </w:tcPr>
                      <w:p>
                        <w:pPr>
                          <w:pStyle w:val="TableParagraph"/>
                          <w:spacing w:before="37"/>
                          <w:ind w:right="101"/>
                          <w:jc w:val="right"/>
                          <w:rPr>
                            <w:sz w:val="16"/>
                          </w:rPr>
                        </w:pPr>
                        <w:r>
                          <w:rPr>
                            <w:sz w:val="16"/>
                          </w:rPr>
                          <w:t>244 571</w:t>
                        </w:r>
                      </w:p>
                    </w:tc>
                    <w:tc>
                      <w:tcPr>
                        <w:tcW w:w="874" w:type="dxa"/>
                      </w:tcPr>
                      <w:p>
                        <w:pPr>
                          <w:pStyle w:val="TableParagraph"/>
                          <w:spacing w:before="37"/>
                          <w:ind w:right="101"/>
                          <w:jc w:val="right"/>
                          <w:rPr>
                            <w:sz w:val="16"/>
                          </w:rPr>
                        </w:pPr>
                        <w:r>
                          <w:rPr>
                            <w:sz w:val="16"/>
                          </w:rPr>
                          <w:t>244 571</w:t>
                        </w:r>
                      </w:p>
                    </w:tc>
                    <w:tc>
                      <w:tcPr>
                        <w:tcW w:w="874" w:type="dxa"/>
                      </w:tcPr>
                      <w:p>
                        <w:pPr>
                          <w:pStyle w:val="TableParagraph"/>
                          <w:spacing w:before="37"/>
                          <w:ind w:left="421"/>
                          <w:rPr>
                            <w:sz w:val="16"/>
                          </w:rPr>
                        </w:pPr>
                        <w:r>
                          <w:rPr>
                            <w:sz w:val="16"/>
                          </w:rPr>
                          <w:t>n.s.</w:t>
                        </w:r>
                      </w:p>
                    </w:tc>
                    <w:tc>
                      <w:tcPr>
                        <w:tcW w:w="701" w:type="dxa"/>
                      </w:tcPr>
                      <w:p>
                        <w:pPr>
                          <w:pStyle w:val="TableParagraph"/>
                          <w:spacing w:before="37"/>
                          <w:ind w:left="248"/>
                          <w:rPr>
                            <w:sz w:val="16"/>
                          </w:rPr>
                        </w:pPr>
                        <w:r>
                          <w:rPr>
                            <w:sz w:val="16"/>
                          </w:rPr>
                          <w:t>n.s.</w:t>
                        </w:r>
                      </w:p>
                    </w:tc>
                  </w:tr>
                  <w:tr>
                    <w:trPr>
                      <w:trHeight w:val="445" w:hRule="atLeast"/>
                    </w:trPr>
                    <w:tc>
                      <w:tcPr>
                        <w:tcW w:w="1078" w:type="dxa"/>
                      </w:tcPr>
                      <w:p>
                        <w:pPr>
                          <w:pStyle w:val="TableParagraph"/>
                          <w:spacing w:before="33"/>
                          <w:ind w:left="57" w:right="457"/>
                          <w:rPr>
                            <w:sz w:val="16"/>
                          </w:rPr>
                        </w:pPr>
                        <w:r>
                          <w:rPr>
                            <w:sz w:val="16"/>
                          </w:rPr>
                          <w:t>Cayman Islands</w:t>
                        </w:r>
                      </w:p>
                    </w:tc>
                    <w:tc>
                      <w:tcPr>
                        <w:tcW w:w="876" w:type="dxa"/>
                      </w:tcPr>
                      <w:p>
                        <w:pPr>
                          <w:pStyle w:val="TableParagraph"/>
                          <w:spacing w:before="124"/>
                          <w:ind w:right="101"/>
                          <w:jc w:val="right"/>
                          <w:rPr>
                            <w:sz w:val="16"/>
                          </w:rPr>
                        </w:pPr>
                        <w:r>
                          <w:rPr>
                            <w:sz w:val="16"/>
                          </w:rPr>
                          <w:t>13</w:t>
                        </w:r>
                      </w:p>
                    </w:tc>
                    <w:tc>
                      <w:tcPr>
                        <w:tcW w:w="874" w:type="dxa"/>
                      </w:tcPr>
                      <w:p>
                        <w:pPr>
                          <w:pStyle w:val="TableParagraph"/>
                          <w:spacing w:before="124"/>
                          <w:ind w:right="102"/>
                          <w:jc w:val="right"/>
                          <w:rPr>
                            <w:sz w:val="16"/>
                          </w:rPr>
                        </w:pPr>
                        <w:r>
                          <w:rPr>
                            <w:sz w:val="16"/>
                          </w:rPr>
                          <w:t>13</w:t>
                        </w:r>
                      </w:p>
                    </w:tc>
                    <w:tc>
                      <w:tcPr>
                        <w:tcW w:w="874" w:type="dxa"/>
                      </w:tcPr>
                      <w:p>
                        <w:pPr>
                          <w:pStyle w:val="TableParagraph"/>
                          <w:spacing w:before="124"/>
                          <w:ind w:left="420"/>
                          <w:rPr>
                            <w:sz w:val="16"/>
                          </w:rPr>
                        </w:pPr>
                        <w:r>
                          <w:rPr>
                            <w:sz w:val="16"/>
                          </w:rPr>
                          <w:t>n.s.</w:t>
                        </w:r>
                      </w:p>
                    </w:tc>
                    <w:tc>
                      <w:tcPr>
                        <w:tcW w:w="701" w:type="dxa"/>
                      </w:tcPr>
                      <w:p>
                        <w:pPr>
                          <w:pStyle w:val="TableParagraph"/>
                          <w:spacing w:before="124"/>
                          <w:ind w:left="248"/>
                          <w:rPr>
                            <w:sz w:val="16"/>
                          </w:rPr>
                        </w:pPr>
                        <w:r>
                          <w:rPr>
                            <w:sz w:val="16"/>
                          </w:rPr>
                          <w:t>n.s.</w:t>
                        </w:r>
                      </w:p>
                    </w:tc>
                  </w:tr>
                  <w:tr>
                    <w:trPr>
                      <w:trHeight w:val="273" w:hRule="atLeast"/>
                    </w:trPr>
                    <w:tc>
                      <w:tcPr>
                        <w:tcW w:w="1078" w:type="dxa"/>
                      </w:tcPr>
                      <w:p>
                        <w:pPr>
                          <w:pStyle w:val="TableParagraph"/>
                          <w:spacing w:before="37"/>
                          <w:ind w:left="57"/>
                          <w:rPr>
                            <w:sz w:val="16"/>
                          </w:rPr>
                        </w:pPr>
                        <w:r>
                          <w:rPr>
                            <w:sz w:val="16"/>
                          </w:rPr>
                          <w:t>Costa Rica</w:t>
                        </w:r>
                      </w:p>
                    </w:tc>
                    <w:tc>
                      <w:tcPr>
                        <w:tcW w:w="876" w:type="dxa"/>
                      </w:tcPr>
                      <w:p>
                        <w:pPr>
                          <w:pStyle w:val="TableParagraph"/>
                          <w:spacing w:before="37"/>
                          <w:ind w:right="101"/>
                          <w:jc w:val="right"/>
                          <w:rPr>
                            <w:sz w:val="16"/>
                          </w:rPr>
                        </w:pPr>
                        <w:r>
                          <w:rPr>
                            <w:sz w:val="16"/>
                          </w:rPr>
                          <w:t>2 126</w:t>
                        </w:r>
                      </w:p>
                    </w:tc>
                    <w:tc>
                      <w:tcPr>
                        <w:tcW w:w="874" w:type="dxa"/>
                      </w:tcPr>
                      <w:p>
                        <w:pPr>
                          <w:pStyle w:val="TableParagraph"/>
                          <w:spacing w:before="37"/>
                          <w:ind w:right="102"/>
                          <w:jc w:val="right"/>
                          <w:rPr>
                            <w:sz w:val="16"/>
                          </w:rPr>
                        </w:pPr>
                        <w:r>
                          <w:rPr>
                            <w:sz w:val="16"/>
                          </w:rPr>
                          <w:t>1 968</w:t>
                        </w:r>
                      </w:p>
                    </w:tc>
                    <w:tc>
                      <w:tcPr>
                        <w:tcW w:w="874" w:type="dxa"/>
                      </w:tcPr>
                      <w:p>
                        <w:pPr>
                          <w:pStyle w:val="TableParagraph"/>
                          <w:spacing w:before="37"/>
                          <w:ind w:left="431"/>
                          <w:rPr>
                            <w:sz w:val="16"/>
                          </w:rPr>
                        </w:pPr>
                        <w:r>
                          <w:rPr>
                            <w:sz w:val="16"/>
                          </w:rPr>
                          <w:t>-16</w:t>
                        </w:r>
                      </w:p>
                    </w:tc>
                    <w:tc>
                      <w:tcPr>
                        <w:tcW w:w="701" w:type="dxa"/>
                      </w:tcPr>
                      <w:p>
                        <w:pPr>
                          <w:pStyle w:val="TableParagraph"/>
                          <w:spacing w:before="37"/>
                          <w:ind w:left="217"/>
                          <w:rPr>
                            <w:sz w:val="16"/>
                          </w:rPr>
                        </w:pPr>
                        <w:r>
                          <w:rPr>
                            <w:sz w:val="16"/>
                          </w:rPr>
                          <w:t>-0.8</w:t>
                        </w:r>
                      </w:p>
                    </w:tc>
                  </w:tr>
                  <w:tr>
                    <w:trPr>
                      <w:trHeight w:val="273" w:hRule="atLeast"/>
                    </w:trPr>
                    <w:tc>
                      <w:tcPr>
                        <w:tcW w:w="1078" w:type="dxa"/>
                      </w:tcPr>
                      <w:p>
                        <w:pPr>
                          <w:pStyle w:val="TableParagraph"/>
                          <w:spacing w:before="37"/>
                          <w:ind w:left="57"/>
                          <w:rPr>
                            <w:sz w:val="16"/>
                          </w:rPr>
                        </w:pPr>
                        <w:r>
                          <w:rPr>
                            <w:sz w:val="16"/>
                          </w:rPr>
                          <w:t>Cuba</w:t>
                        </w:r>
                      </w:p>
                    </w:tc>
                    <w:tc>
                      <w:tcPr>
                        <w:tcW w:w="876" w:type="dxa"/>
                      </w:tcPr>
                      <w:p>
                        <w:pPr>
                          <w:pStyle w:val="TableParagraph"/>
                          <w:spacing w:before="37"/>
                          <w:ind w:right="102"/>
                          <w:jc w:val="right"/>
                          <w:rPr>
                            <w:sz w:val="16"/>
                          </w:rPr>
                        </w:pPr>
                        <w:r>
                          <w:rPr>
                            <w:sz w:val="16"/>
                          </w:rPr>
                          <w:t>2 071</w:t>
                        </w:r>
                      </w:p>
                    </w:tc>
                    <w:tc>
                      <w:tcPr>
                        <w:tcW w:w="874" w:type="dxa"/>
                      </w:tcPr>
                      <w:p>
                        <w:pPr>
                          <w:pStyle w:val="TableParagraph"/>
                          <w:spacing w:before="37"/>
                          <w:ind w:right="102"/>
                          <w:jc w:val="right"/>
                          <w:rPr>
                            <w:sz w:val="16"/>
                          </w:rPr>
                        </w:pPr>
                        <w:r>
                          <w:rPr>
                            <w:sz w:val="16"/>
                          </w:rPr>
                          <w:t>2 348</w:t>
                        </w:r>
                      </w:p>
                    </w:tc>
                    <w:tc>
                      <w:tcPr>
                        <w:tcW w:w="874" w:type="dxa"/>
                      </w:tcPr>
                      <w:p>
                        <w:pPr>
                          <w:pStyle w:val="TableParagraph"/>
                          <w:spacing w:before="37"/>
                          <w:ind w:left="483"/>
                          <w:rPr>
                            <w:sz w:val="16"/>
                          </w:rPr>
                        </w:pPr>
                        <w:r>
                          <w:rPr>
                            <w:sz w:val="16"/>
                          </w:rPr>
                          <w:t>28</w:t>
                        </w:r>
                      </w:p>
                    </w:tc>
                    <w:tc>
                      <w:tcPr>
                        <w:tcW w:w="701" w:type="dxa"/>
                      </w:tcPr>
                      <w:p>
                        <w:pPr>
                          <w:pStyle w:val="TableParagraph"/>
                          <w:spacing w:before="37"/>
                          <w:ind w:left="271"/>
                          <w:rPr>
                            <w:sz w:val="16"/>
                          </w:rPr>
                        </w:pPr>
                        <w:r>
                          <w:rPr>
                            <w:sz w:val="16"/>
                          </w:rPr>
                          <w:t>1.3</w:t>
                        </w:r>
                      </w:p>
                    </w:tc>
                  </w:tr>
                  <w:tr>
                    <w:trPr>
                      <w:trHeight w:val="275" w:hRule="atLeast"/>
                    </w:trPr>
                    <w:tc>
                      <w:tcPr>
                        <w:tcW w:w="1078" w:type="dxa"/>
                      </w:tcPr>
                      <w:p>
                        <w:pPr>
                          <w:pStyle w:val="TableParagraph"/>
                          <w:spacing w:before="37"/>
                          <w:ind w:left="57"/>
                          <w:rPr>
                            <w:sz w:val="16"/>
                          </w:rPr>
                        </w:pPr>
                        <w:r>
                          <w:rPr>
                            <w:sz w:val="16"/>
                          </w:rPr>
                          <w:t>Dominica</w:t>
                        </w:r>
                      </w:p>
                    </w:tc>
                    <w:tc>
                      <w:tcPr>
                        <w:tcW w:w="876" w:type="dxa"/>
                      </w:tcPr>
                      <w:p>
                        <w:pPr>
                          <w:pStyle w:val="TableParagraph"/>
                          <w:spacing w:before="37"/>
                          <w:ind w:right="101"/>
                          <w:jc w:val="right"/>
                          <w:rPr>
                            <w:sz w:val="16"/>
                          </w:rPr>
                        </w:pPr>
                        <w:r>
                          <w:rPr>
                            <w:sz w:val="16"/>
                          </w:rPr>
                          <w:t>50</w:t>
                        </w:r>
                      </w:p>
                    </w:tc>
                    <w:tc>
                      <w:tcPr>
                        <w:tcW w:w="874" w:type="dxa"/>
                      </w:tcPr>
                      <w:p>
                        <w:pPr>
                          <w:pStyle w:val="TableParagraph"/>
                          <w:spacing w:before="37"/>
                          <w:ind w:right="101"/>
                          <w:jc w:val="right"/>
                          <w:rPr>
                            <w:sz w:val="16"/>
                          </w:rPr>
                        </w:pPr>
                        <w:r>
                          <w:rPr>
                            <w:sz w:val="16"/>
                          </w:rPr>
                          <w:t>46</w:t>
                        </w:r>
                      </w:p>
                    </w:tc>
                    <w:tc>
                      <w:tcPr>
                        <w:tcW w:w="874" w:type="dxa"/>
                      </w:tcPr>
                      <w:p>
                        <w:pPr>
                          <w:pStyle w:val="TableParagraph"/>
                          <w:spacing w:before="37"/>
                          <w:ind w:left="421"/>
                          <w:rPr>
                            <w:sz w:val="16"/>
                          </w:rPr>
                        </w:pPr>
                        <w:r>
                          <w:rPr>
                            <w:sz w:val="16"/>
                          </w:rPr>
                          <w:t>n.s.</w:t>
                        </w:r>
                      </w:p>
                    </w:tc>
                    <w:tc>
                      <w:tcPr>
                        <w:tcW w:w="701" w:type="dxa"/>
                      </w:tcPr>
                      <w:p>
                        <w:pPr>
                          <w:pStyle w:val="TableParagraph"/>
                          <w:spacing w:before="37"/>
                          <w:ind w:left="217"/>
                          <w:rPr>
                            <w:sz w:val="16"/>
                          </w:rPr>
                        </w:pPr>
                        <w:r>
                          <w:rPr>
                            <w:sz w:val="16"/>
                          </w:rPr>
                          <w:t>-0.7</w:t>
                        </w:r>
                      </w:p>
                    </w:tc>
                  </w:tr>
                  <w:tr>
                    <w:trPr>
                      <w:trHeight w:val="443" w:hRule="atLeast"/>
                    </w:trPr>
                    <w:tc>
                      <w:tcPr>
                        <w:tcW w:w="1078" w:type="dxa"/>
                      </w:tcPr>
                      <w:p>
                        <w:pPr>
                          <w:pStyle w:val="TableParagraph"/>
                          <w:spacing w:before="33"/>
                          <w:ind w:left="57" w:right="280"/>
                          <w:rPr>
                            <w:sz w:val="16"/>
                          </w:rPr>
                        </w:pPr>
                        <w:r>
                          <w:rPr>
                            <w:sz w:val="16"/>
                          </w:rPr>
                          <w:t>Dominican Republic</w:t>
                        </w:r>
                      </w:p>
                    </w:tc>
                    <w:tc>
                      <w:tcPr>
                        <w:tcW w:w="876" w:type="dxa"/>
                      </w:tcPr>
                      <w:p>
                        <w:pPr>
                          <w:pStyle w:val="TableParagraph"/>
                          <w:spacing w:before="124"/>
                          <w:ind w:right="102"/>
                          <w:jc w:val="right"/>
                          <w:rPr>
                            <w:sz w:val="16"/>
                          </w:rPr>
                        </w:pPr>
                        <w:r>
                          <w:rPr>
                            <w:sz w:val="16"/>
                          </w:rPr>
                          <w:t>1 376</w:t>
                        </w:r>
                      </w:p>
                    </w:tc>
                    <w:tc>
                      <w:tcPr>
                        <w:tcW w:w="874" w:type="dxa"/>
                      </w:tcPr>
                      <w:p>
                        <w:pPr>
                          <w:pStyle w:val="TableParagraph"/>
                          <w:spacing w:before="124"/>
                          <w:ind w:right="103"/>
                          <w:jc w:val="right"/>
                          <w:rPr>
                            <w:sz w:val="16"/>
                          </w:rPr>
                        </w:pPr>
                        <w:r>
                          <w:rPr>
                            <w:sz w:val="16"/>
                          </w:rPr>
                          <w:t>1 376</w:t>
                        </w:r>
                      </w:p>
                    </w:tc>
                    <w:tc>
                      <w:tcPr>
                        <w:tcW w:w="874" w:type="dxa"/>
                      </w:tcPr>
                      <w:p>
                        <w:pPr>
                          <w:pStyle w:val="TableParagraph"/>
                          <w:spacing w:before="124"/>
                          <w:ind w:left="420"/>
                          <w:rPr>
                            <w:sz w:val="16"/>
                          </w:rPr>
                        </w:pPr>
                        <w:r>
                          <w:rPr>
                            <w:sz w:val="16"/>
                          </w:rPr>
                          <w:t>n.s.</w:t>
                        </w:r>
                      </w:p>
                    </w:tc>
                    <w:tc>
                      <w:tcPr>
                        <w:tcW w:w="701" w:type="dxa"/>
                      </w:tcPr>
                      <w:p>
                        <w:pPr>
                          <w:pStyle w:val="TableParagraph"/>
                          <w:spacing w:before="124"/>
                          <w:ind w:left="247"/>
                          <w:rPr>
                            <w:sz w:val="16"/>
                          </w:rPr>
                        </w:pPr>
                        <w:r>
                          <w:rPr>
                            <w:sz w:val="16"/>
                          </w:rPr>
                          <w:t>n.s.</w:t>
                        </w:r>
                      </w:p>
                    </w:tc>
                  </w:tr>
                  <w:tr>
                    <w:trPr>
                      <w:trHeight w:val="273" w:hRule="atLeast"/>
                    </w:trPr>
                    <w:tc>
                      <w:tcPr>
                        <w:tcW w:w="1078" w:type="dxa"/>
                      </w:tcPr>
                      <w:p>
                        <w:pPr>
                          <w:pStyle w:val="TableParagraph"/>
                          <w:spacing w:before="37"/>
                          <w:ind w:left="57"/>
                          <w:rPr>
                            <w:sz w:val="16"/>
                          </w:rPr>
                        </w:pPr>
                        <w:r>
                          <w:rPr>
                            <w:sz w:val="16"/>
                          </w:rPr>
                          <w:t>El Salvador</w:t>
                        </w:r>
                      </w:p>
                    </w:tc>
                    <w:tc>
                      <w:tcPr>
                        <w:tcW w:w="876" w:type="dxa"/>
                      </w:tcPr>
                      <w:p>
                        <w:pPr>
                          <w:pStyle w:val="TableParagraph"/>
                          <w:spacing w:before="37"/>
                          <w:ind w:right="102"/>
                          <w:jc w:val="right"/>
                          <w:rPr>
                            <w:sz w:val="16"/>
                          </w:rPr>
                        </w:pPr>
                        <w:r>
                          <w:rPr>
                            <w:sz w:val="16"/>
                          </w:rPr>
                          <w:t>193</w:t>
                        </w:r>
                      </w:p>
                    </w:tc>
                    <w:tc>
                      <w:tcPr>
                        <w:tcW w:w="874" w:type="dxa"/>
                      </w:tcPr>
                      <w:p>
                        <w:pPr>
                          <w:pStyle w:val="TableParagraph"/>
                          <w:spacing w:before="37"/>
                          <w:ind w:right="102"/>
                          <w:jc w:val="right"/>
                          <w:rPr>
                            <w:sz w:val="16"/>
                          </w:rPr>
                        </w:pPr>
                        <w:r>
                          <w:rPr>
                            <w:sz w:val="16"/>
                          </w:rPr>
                          <w:t>121</w:t>
                        </w:r>
                      </w:p>
                    </w:tc>
                    <w:tc>
                      <w:tcPr>
                        <w:tcW w:w="874" w:type="dxa"/>
                      </w:tcPr>
                      <w:p>
                        <w:pPr>
                          <w:pStyle w:val="TableParagraph"/>
                          <w:spacing w:before="37"/>
                          <w:ind w:left="512"/>
                          <w:rPr>
                            <w:sz w:val="16"/>
                          </w:rPr>
                        </w:pPr>
                        <w:r>
                          <w:rPr>
                            <w:sz w:val="16"/>
                          </w:rPr>
                          <w:t>-7</w:t>
                        </w:r>
                      </w:p>
                    </w:tc>
                    <w:tc>
                      <w:tcPr>
                        <w:tcW w:w="701" w:type="dxa"/>
                      </w:tcPr>
                      <w:p>
                        <w:pPr>
                          <w:pStyle w:val="TableParagraph"/>
                          <w:spacing w:before="37"/>
                          <w:ind w:left="217"/>
                          <w:rPr>
                            <w:sz w:val="16"/>
                          </w:rPr>
                        </w:pPr>
                        <w:r>
                          <w:rPr>
                            <w:sz w:val="16"/>
                          </w:rPr>
                          <w:t>-4.6</w:t>
                        </w:r>
                      </w:p>
                    </w:tc>
                  </w:tr>
                  <w:tr>
                    <w:trPr>
                      <w:trHeight w:val="273" w:hRule="atLeast"/>
                    </w:trPr>
                    <w:tc>
                      <w:tcPr>
                        <w:tcW w:w="1078" w:type="dxa"/>
                      </w:tcPr>
                      <w:p>
                        <w:pPr>
                          <w:pStyle w:val="TableParagraph"/>
                          <w:spacing w:before="37"/>
                          <w:ind w:left="57"/>
                          <w:rPr>
                            <w:sz w:val="16"/>
                          </w:rPr>
                        </w:pPr>
                        <w:r>
                          <w:rPr>
                            <w:sz w:val="16"/>
                          </w:rPr>
                          <w:t>Greenland</w:t>
                        </w:r>
                      </w:p>
                    </w:tc>
                    <w:tc>
                      <w:tcPr>
                        <w:tcW w:w="876" w:type="dxa"/>
                      </w:tcPr>
                      <w:p>
                        <w:pPr>
                          <w:pStyle w:val="TableParagraph"/>
                          <w:spacing w:before="37"/>
                          <w:ind w:right="100"/>
                          <w:jc w:val="right"/>
                          <w:rPr>
                            <w:sz w:val="16"/>
                          </w:rPr>
                        </w:pPr>
                        <w:r>
                          <w:rPr>
                            <w:w w:val="100"/>
                            <w:sz w:val="16"/>
                          </w:rPr>
                          <w:t>-</w:t>
                        </w:r>
                      </w:p>
                    </w:tc>
                    <w:tc>
                      <w:tcPr>
                        <w:tcW w:w="874" w:type="dxa"/>
                      </w:tcPr>
                      <w:p>
                        <w:pPr>
                          <w:pStyle w:val="TableParagraph"/>
                          <w:spacing w:before="37"/>
                          <w:ind w:right="101"/>
                          <w:jc w:val="right"/>
                          <w:rPr>
                            <w:sz w:val="16"/>
                          </w:rPr>
                        </w:pPr>
                        <w:r>
                          <w:rPr>
                            <w:w w:val="100"/>
                            <w:sz w:val="16"/>
                          </w:rPr>
                          <w:t>-</w:t>
                        </w:r>
                      </w:p>
                    </w:tc>
                    <w:tc>
                      <w:tcPr>
                        <w:tcW w:w="874" w:type="dxa"/>
                      </w:tcPr>
                      <w:p>
                        <w:pPr>
                          <w:pStyle w:val="TableParagraph"/>
                          <w:spacing w:before="37"/>
                          <w:ind w:right="214"/>
                          <w:jc w:val="right"/>
                          <w:rPr>
                            <w:sz w:val="16"/>
                          </w:rPr>
                        </w:pPr>
                        <w:r>
                          <w:rPr>
                            <w:w w:val="100"/>
                            <w:sz w:val="16"/>
                          </w:rPr>
                          <w:t>-</w:t>
                        </w:r>
                      </w:p>
                    </w:tc>
                    <w:tc>
                      <w:tcPr>
                        <w:tcW w:w="701" w:type="dxa"/>
                      </w:tcPr>
                      <w:p>
                        <w:pPr>
                          <w:pStyle w:val="TableParagraph"/>
                          <w:spacing w:before="37"/>
                          <w:ind w:left="420"/>
                          <w:rPr>
                            <w:sz w:val="16"/>
                          </w:rPr>
                        </w:pPr>
                        <w:r>
                          <w:rPr>
                            <w:w w:val="100"/>
                            <w:sz w:val="16"/>
                          </w:rPr>
                          <w:t>-</w:t>
                        </w:r>
                      </w:p>
                    </w:tc>
                  </w:tr>
                  <w:tr>
                    <w:trPr>
                      <w:trHeight w:val="275" w:hRule="atLeast"/>
                    </w:trPr>
                    <w:tc>
                      <w:tcPr>
                        <w:tcW w:w="1078" w:type="dxa"/>
                      </w:tcPr>
                      <w:p>
                        <w:pPr>
                          <w:pStyle w:val="TableParagraph"/>
                          <w:spacing w:before="37"/>
                          <w:ind w:left="57"/>
                          <w:rPr>
                            <w:sz w:val="16"/>
                          </w:rPr>
                        </w:pPr>
                        <w:r>
                          <w:rPr>
                            <w:sz w:val="16"/>
                          </w:rPr>
                          <w:t>Grenada</w:t>
                        </w:r>
                      </w:p>
                    </w:tc>
                    <w:tc>
                      <w:tcPr>
                        <w:tcW w:w="876" w:type="dxa"/>
                      </w:tcPr>
                      <w:p>
                        <w:pPr>
                          <w:pStyle w:val="TableParagraph"/>
                          <w:spacing w:before="37"/>
                          <w:ind w:right="101"/>
                          <w:jc w:val="right"/>
                          <w:rPr>
                            <w:sz w:val="16"/>
                          </w:rPr>
                        </w:pPr>
                        <w:r>
                          <w:rPr>
                            <w:w w:val="100"/>
                            <w:sz w:val="16"/>
                          </w:rPr>
                          <w:t>5</w:t>
                        </w:r>
                      </w:p>
                    </w:tc>
                    <w:tc>
                      <w:tcPr>
                        <w:tcW w:w="874" w:type="dxa"/>
                      </w:tcPr>
                      <w:p>
                        <w:pPr>
                          <w:pStyle w:val="TableParagraph"/>
                          <w:spacing w:before="37"/>
                          <w:ind w:right="102"/>
                          <w:jc w:val="right"/>
                          <w:rPr>
                            <w:sz w:val="16"/>
                          </w:rPr>
                        </w:pPr>
                        <w:r>
                          <w:rPr>
                            <w:w w:val="100"/>
                            <w:sz w:val="16"/>
                          </w:rPr>
                          <w:t>5</w:t>
                        </w:r>
                      </w:p>
                    </w:tc>
                    <w:tc>
                      <w:tcPr>
                        <w:tcW w:w="874" w:type="dxa"/>
                      </w:tcPr>
                      <w:p>
                        <w:pPr>
                          <w:pStyle w:val="TableParagraph"/>
                          <w:spacing w:before="37"/>
                          <w:ind w:left="421"/>
                          <w:rPr>
                            <w:sz w:val="16"/>
                          </w:rPr>
                        </w:pPr>
                        <w:r>
                          <w:rPr>
                            <w:sz w:val="16"/>
                          </w:rPr>
                          <w:t>n.s.</w:t>
                        </w:r>
                      </w:p>
                    </w:tc>
                    <w:tc>
                      <w:tcPr>
                        <w:tcW w:w="701" w:type="dxa"/>
                      </w:tcPr>
                      <w:p>
                        <w:pPr>
                          <w:pStyle w:val="TableParagraph"/>
                          <w:spacing w:before="37"/>
                          <w:ind w:left="273"/>
                          <w:rPr>
                            <w:sz w:val="16"/>
                          </w:rPr>
                        </w:pPr>
                        <w:r>
                          <w:rPr>
                            <w:sz w:val="16"/>
                          </w:rPr>
                          <w:t>0.9</w:t>
                        </w:r>
                      </w:p>
                    </w:tc>
                  </w:tr>
                  <w:tr>
                    <w:trPr>
                      <w:trHeight w:val="273" w:hRule="atLeast"/>
                    </w:trPr>
                    <w:tc>
                      <w:tcPr>
                        <w:tcW w:w="1078" w:type="dxa"/>
                      </w:tcPr>
                      <w:p>
                        <w:pPr>
                          <w:pStyle w:val="TableParagraph"/>
                          <w:spacing w:before="37"/>
                          <w:ind w:left="57"/>
                          <w:rPr>
                            <w:sz w:val="16"/>
                          </w:rPr>
                        </w:pPr>
                        <w:r>
                          <w:rPr>
                            <w:sz w:val="16"/>
                          </w:rPr>
                          <w:t>Guadeloupe</w:t>
                        </w:r>
                      </w:p>
                    </w:tc>
                    <w:tc>
                      <w:tcPr>
                        <w:tcW w:w="876" w:type="dxa"/>
                      </w:tcPr>
                      <w:p>
                        <w:pPr>
                          <w:pStyle w:val="TableParagraph"/>
                          <w:spacing w:before="37"/>
                          <w:ind w:right="100"/>
                          <w:jc w:val="right"/>
                          <w:rPr>
                            <w:sz w:val="16"/>
                          </w:rPr>
                        </w:pPr>
                        <w:r>
                          <w:rPr>
                            <w:sz w:val="16"/>
                          </w:rPr>
                          <w:t>67</w:t>
                        </w:r>
                      </w:p>
                    </w:tc>
                    <w:tc>
                      <w:tcPr>
                        <w:tcW w:w="874" w:type="dxa"/>
                      </w:tcPr>
                      <w:p>
                        <w:pPr>
                          <w:pStyle w:val="TableParagraph"/>
                          <w:spacing w:before="37"/>
                          <w:ind w:right="101"/>
                          <w:jc w:val="right"/>
                          <w:rPr>
                            <w:sz w:val="16"/>
                          </w:rPr>
                        </w:pPr>
                        <w:r>
                          <w:rPr>
                            <w:sz w:val="16"/>
                          </w:rPr>
                          <w:t>82</w:t>
                        </w:r>
                      </w:p>
                    </w:tc>
                    <w:tc>
                      <w:tcPr>
                        <w:tcW w:w="874" w:type="dxa"/>
                      </w:tcPr>
                      <w:p>
                        <w:pPr>
                          <w:pStyle w:val="TableParagraph"/>
                          <w:spacing w:before="37"/>
                          <w:ind w:left="565"/>
                          <w:rPr>
                            <w:sz w:val="16"/>
                          </w:rPr>
                        </w:pPr>
                        <w:r>
                          <w:rPr>
                            <w:w w:val="100"/>
                            <w:sz w:val="16"/>
                          </w:rPr>
                          <w:t>2</w:t>
                        </w:r>
                      </w:p>
                    </w:tc>
                    <w:tc>
                      <w:tcPr>
                        <w:tcW w:w="701" w:type="dxa"/>
                      </w:tcPr>
                      <w:p>
                        <w:pPr>
                          <w:pStyle w:val="TableParagraph"/>
                          <w:spacing w:before="37"/>
                          <w:ind w:left="272"/>
                          <w:rPr>
                            <w:sz w:val="16"/>
                          </w:rPr>
                        </w:pPr>
                        <w:r>
                          <w:rPr>
                            <w:sz w:val="16"/>
                          </w:rPr>
                          <w:t>2.1</w:t>
                        </w:r>
                      </w:p>
                    </w:tc>
                  </w:tr>
                  <w:tr>
                    <w:trPr>
                      <w:trHeight w:val="273" w:hRule="atLeast"/>
                    </w:trPr>
                    <w:tc>
                      <w:tcPr>
                        <w:tcW w:w="1078" w:type="dxa"/>
                      </w:tcPr>
                      <w:p>
                        <w:pPr>
                          <w:pStyle w:val="TableParagraph"/>
                          <w:spacing w:before="37"/>
                          <w:ind w:left="57"/>
                          <w:rPr>
                            <w:sz w:val="16"/>
                          </w:rPr>
                        </w:pPr>
                        <w:r>
                          <w:rPr>
                            <w:sz w:val="16"/>
                          </w:rPr>
                          <w:t>Guatemala</w:t>
                        </w:r>
                      </w:p>
                    </w:tc>
                    <w:tc>
                      <w:tcPr>
                        <w:tcW w:w="876" w:type="dxa"/>
                      </w:tcPr>
                      <w:p>
                        <w:pPr>
                          <w:pStyle w:val="TableParagraph"/>
                          <w:spacing w:before="37"/>
                          <w:ind w:right="101"/>
                          <w:jc w:val="right"/>
                          <w:rPr>
                            <w:sz w:val="16"/>
                          </w:rPr>
                        </w:pPr>
                        <w:r>
                          <w:rPr>
                            <w:sz w:val="16"/>
                          </w:rPr>
                          <w:t>3 387</w:t>
                        </w:r>
                      </w:p>
                    </w:tc>
                    <w:tc>
                      <w:tcPr>
                        <w:tcW w:w="874" w:type="dxa"/>
                      </w:tcPr>
                      <w:p>
                        <w:pPr>
                          <w:pStyle w:val="TableParagraph"/>
                          <w:spacing w:before="37"/>
                          <w:ind w:right="102"/>
                          <w:jc w:val="right"/>
                          <w:rPr>
                            <w:sz w:val="16"/>
                          </w:rPr>
                        </w:pPr>
                        <w:r>
                          <w:rPr>
                            <w:sz w:val="16"/>
                          </w:rPr>
                          <w:t>2 850</w:t>
                        </w:r>
                      </w:p>
                    </w:tc>
                    <w:tc>
                      <w:tcPr>
                        <w:tcW w:w="874" w:type="dxa"/>
                      </w:tcPr>
                      <w:p>
                        <w:pPr>
                          <w:pStyle w:val="TableParagraph"/>
                          <w:spacing w:before="37"/>
                          <w:ind w:left="431"/>
                          <w:rPr>
                            <w:sz w:val="16"/>
                          </w:rPr>
                        </w:pPr>
                        <w:r>
                          <w:rPr>
                            <w:sz w:val="16"/>
                          </w:rPr>
                          <w:t>-54</w:t>
                        </w:r>
                      </w:p>
                    </w:tc>
                    <w:tc>
                      <w:tcPr>
                        <w:tcW w:w="701" w:type="dxa"/>
                      </w:tcPr>
                      <w:p>
                        <w:pPr>
                          <w:pStyle w:val="TableParagraph"/>
                          <w:spacing w:before="37"/>
                          <w:ind w:left="217"/>
                          <w:rPr>
                            <w:sz w:val="16"/>
                          </w:rPr>
                        </w:pPr>
                        <w:r>
                          <w:rPr>
                            <w:sz w:val="16"/>
                          </w:rPr>
                          <w:t>-1.7</w:t>
                        </w:r>
                      </w:p>
                    </w:tc>
                  </w:tr>
                  <w:tr>
                    <w:trPr>
                      <w:trHeight w:val="275" w:hRule="atLeast"/>
                    </w:trPr>
                    <w:tc>
                      <w:tcPr>
                        <w:tcW w:w="1078" w:type="dxa"/>
                      </w:tcPr>
                      <w:p>
                        <w:pPr>
                          <w:pStyle w:val="TableParagraph"/>
                          <w:spacing w:before="37"/>
                          <w:ind w:left="57"/>
                          <w:rPr>
                            <w:sz w:val="16"/>
                          </w:rPr>
                        </w:pPr>
                        <w:r>
                          <w:rPr>
                            <w:sz w:val="16"/>
                          </w:rPr>
                          <w:t>Haiti</w:t>
                        </w:r>
                      </w:p>
                    </w:tc>
                    <w:tc>
                      <w:tcPr>
                        <w:tcW w:w="876" w:type="dxa"/>
                      </w:tcPr>
                      <w:p>
                        <w:pPr>
                          <w:pStyle w:val="TableParagraph"/>
                          <w:spacing w:before="37"/>
                          <w:ind w:right="102"/>
                          <w:jc w:val="right"/>
                          <w:rPr>
                            <w:sz w:val="16"/>
                          </w:rPr>
                        </w:pPr>
                        <w:r>
                          <w:rPr>
                            <w:sz w:val="16"/>
                          </w:rPr>
                          <w:t>158</w:t>
                        </w:r>
                      </w:p>
                    </w:tc>
                    <w:tc>
                      <w:tcPr>
                        <w:tcW w:w="874" w:type="dxa"/>
                      </w:tcPr>
                      <w:p>
                        <w:pPr>
                          <w:pStyle w:val="TableParagraph"/>
                          <w:spacing w:before="37"/>
                          <w:ind w:right="101"/>
                          <w:jc w:val="right"/>
                          <w:rPr>
                            <w:sz w:val="16"/>
                          </w:rPr>
                        </w:pPr>
                        <w:r>
                          <w:rPr>
                            <w:sz w:val="16"/>
                          </w:rPr>
                          <w:t>88</w:t>
                        </w:r>
                      </w:p>
                    </w:tc>
                    <w:tc>
                      <w:tcPr>
                        <w:tcW w:w="874" w:type="dxa"/>
                      </w:tcPr>
                      <w:p>
                        <w:pPr>
                          <w:pStyle w:val="TableParagraph"/>
                          <w:spacing w:before="37"/>
                          <w:ind w:left="512"/>
                          <w:rPr>
                            <w:sz w:val="16"/>
                          </w:rPr>
                        </w:pPr>
                        <w:r>
                          <w:rPr>
                            <w:sz w:val="16"/>
                          </w:rPr>
                          <w:t>-7</w:t>
                        </w:r>
                      </w:p>
                    </w:tc>
                    <w:tc>
                      <w:tcPr>
                        <w:tcW w:w="701" w:type="dxa"/>
                      </w:tcPr>
                      <w:p>
                        <w:pPr>
                          <w:pStyle w:val="TableParagraph"/>
                          <w:spacing w:before="37"/>
                          <w:ind w:left="216"/>
                          <w:rPr>
                            <w:sz w:val="16"/>
                          </w:rPr>
                        </w:pPr>
                        <w:r>
                          <w:rPr>
                            <w:sz w:val="16"/>
                          </w:rPr>
                          <w:t>-5.7</w:t>
                        </w:r>
                      </w:p>
                    </w:tc>
                  </w:tr>
                  <w:tr>
                    <w:trPr>
                      <w:trHeight w:val="273" w:hRule="atLeast"/>
                    </w:trPr>
                    <w:tc>
                      <w:tcPr>
                        <w:tcW w:w="1078" w:type="dxa"/>
                      </w:tcPr>
                      <w:p>
                        <w:pPr>
                          <w:pStyle w:val="TableParagraph"/>
                          <w:spacing w:before="37"/>
                          <w:ind w:left="57"/>
                          <w:rPr>
                            <w:sz w:val="16"/>
                          </w:rPr>
                        </w:pPr>
                        <w:r>
                          <w:rPr>
                            <w:sz w:val="16"/>
                          </w:rPr>
                          <w:t>Honduras</w:t>
                        </w:r>
                      </w:p>
                    </w:tc>
                    <w:tc>
                      <w:tcPr>
                        <w:tcW w:w="876" w:type="dxa"/>
                      </w:tcPr>
                      <w:p>
                        <w:pPr>
                          <w:pStyle w:val="TableParagraph"/>
                          <w:spacing w:before="37"/>
                          <w:ind w:right="102"/>
                          <w:jc w:val="right"/>
                          <w:rPr>
                            <w:sz w:val="16"/>
                          </w:rPr>
                        </w:pPr>
                        <w:r>
                          <w:rPr>
                            <w:sz w:val="16"/>
                          </w:rPr>
                          <w:t>5 972</w:t>
                        </w:r>
                      </w:p>
                    </w:tc>
                    <w:tc>
                      <w:tcPr>
                        <w:tcW w:w="874" w:type="dxa"/>
                      </w:tcPr>
                      <w:p>
                        <w:pPr>
                          <w:pStyle w:val="TableParagraph"/>
                          <w:spacing w:before="37"/>
                          <w:ind w:right="103"/>
                          <w:jc w:val="right"/>
                          <w:rPr>
                            <w:sz w:val="16"/>
                          </w:rPr>
                        </w:pPr>
                        <w:r>
                          <w:rPr>
                            <w:sz w:val="16"/>
                          </w:rPr>
                          <w:t>5 383</w:t>
                        </w:r>
                      </w:p>
                    </w:tc>
                    <w:tc>
                      <w:tcPr>
                        <w:tcW w:w="874" w:type="dxa"/>
                      </w:tcPr>
                      <w:p>
                        <w:pPr>
                          <w:pStyle w:val="TableParagraph"/>
                          <w:spacing w:before="37"/>
                          <w:ind w:left="430"/>
                          <w:rPr>
                            <w:sz w:val="16"/>
                          </w:rPr>
                        </w:pPr>
                        <w:r>
                          <w:rPr>
                            <w:sz w:val="16"/>
                          </w:rPr>
                          <w:t>-59</w:t>
                        </w:r>
                      </w:p>
                    </w:tc>
                    <w:tc>
                      <w:tcPr>
                        <w:tcW w:w="701" w:type="dxa"/>
                      </w:tcPr>
                      <w:p>
                        <w:pPr>
                          <w:pStyle w:val="TableParagraph"/>
                          <w:spacing w:before="37"/>
                          <w:ind w:left="216"/>
                          <w:rPr>
                            <w:sz w:val="16"/>
                          </w:rPr>
                        </w:pPr>
                        <w:r>
                          <w:rPr>
                            <w:sz w:val="16"/>
                          </w:rPr>
                          <w:t>-1.0</w:t>
                        </w:r>
                      </w:p>
                    </w:tc>
                  </w:tr>
                  <w:tr>
                    <w:trPr>
                      <w:trHeight w:val="273" w:hRule="atLeast"/>
                    </w:trPr>
                    <w:tc>
                      <w:tcPr>
                        <w:tcW w:w="1078" w:type="dxa"/>
                      </w:tcPr>
                      <w:p>
                        <w:pPr>
                          <w:pStyle w:val="TableParagraph"/>
                          <w:spacing w:before="37"/>
                          <w:ind w:left="57"/>
                          <w:rPr>
                            <w:sz w:val="16"/>
                          </w:rPr>
                        </w:pPr>
                        <w:r>
                          <w:rPr>
                            <w:sz w:val="16"/>
                          </w:rPr>
                          <w:t>Jamaica</w:t>
                        </w:r>
                      </w:p>
                    </w:tc>
                    <w:tc>
                      <w:tcPr>
                        <w:tcW w:w="876" w:type="dxa"/>
                      </w:tcPr>
                      <w:p>
                        <w:pPr>
                          <w:pStyle w:val="TableParagraph"/>
                          <w:spacing w:before="37"/>
                          <w:ind w:right="101"/>
                          <w:jc w:val="right"/>
                          <w:rPr>
                            <w:sz w:val="16"/>
                          </w:rPr>
                        </w:pPr>
                        <w:r>
                          <w:rPr>
                            <w:sz w:val="16"/>
                          </w:rPr>
                          <w:t>379</w:t>
                        </w:r>
                      </w:p>
                    </w:tc>
                    <w:tc>
                      <w:tcPr>
                        <w:tcW w:w="874" w:type="dxa"/>
                      </w:tcPr>
                      <w:p>
                        <w:pPr>
                          <w:pStyle w:val="TableParagraph"/>
                          <w:spacing w:before="37"/>
                          <w:ind w:right="102"/>
                          <w:jc w:val="right"/>
                          <w:rPr>
                            <w:sz w:val="16"/>
                          </w:rPr>
                        </w:pPr>
                        <w:r>
                          <w:rPr>
                            <w:sz w:val="16"/>
                          </w:rPr>
                          <w:t>325</w:t>
                        </w:r>
                      </w:p>
                    </w:tc>
                    <w:tc>
                      <w:tcPr>
                        <w:tcW w:w="874" w:type="dxa"/>
                      </w:tcPr>
                      <w:p>
                        <w:pPr>
                          <w:pStyle w:val="TableParagraph"/>
                          <w:spacing w:before="37"/>
                          <w:ind w:left="512"/>
                          <w:rPr>
                            <w:sz w:val="16"/>
                          </w:rPr>
                        </w:pPr>
                        <w:r>
                          <w:rPr>
                            <w:sz w:val="16"/>
                          </w:rPr>
                          <w:t>-5</w:t>
                        </w:r>
                      </w:p>
                    </w:tc>
                    <w:tc>
                      <w:tcPr>
                        <w:tcW w:w="701" w:type="dxa"/>
                      </w:tcPr>
                      <w:p>
                        <w:pPr>
                          <w:pStyle w:val="TableParagraph"/>
                          <w:spacing w:before="37"/>
                          <w:ind w:left="217"/>
                          <w:rPr>
                            <w:sz w:val="16"/>
                          </w:rPr>
                        </w:pPr>
                        <w:r>
                          <w:rPr>
                            <w:sz w:val="16"/>
                          </w:rPr>
                          <w:t>-1.5</w:t>
                        </w:r>
                      </w:p>
                    </w:tc>
                  </w:tr>
                  <w:tr>
                    <w:trPr>
                      <w:trHeight w:val="275" w:hRule="atLeast"/>
                    </w:trPr>
                    <w:tc>
                      <w:tcPr>
                        <w:tcW w:w="1078" w:type="dxa"/>
                      </w:tcPr>
                      <w:p>
                        <w:pPr>
                          <w:pStyle w:val="TableParagraph"/>
                          <w:spacing w:before="37"/>
                          <w:ind w:left="57"/>
                          <w:rPr>
                            <w:sz w:val="16"/>
                          </w:rPr>
                        </w:pPr>
                        <w:r>
                          <w:rPr>
                            <w:sz w:val="16"/>
                          </w:rPr>
                          <w:t>Martinique</w:t>
                        </w:r>
                      </w:p>
                    </w:tc>
                    <w:tc>
                      <w:tcPr>
                        <w:tcW w:w="876" w:type="dxa"/>
                      </w:tcPr>
                      <w:p>
                        <w:pPr>
                          <w:pStyle w:val="TableParagraph"/>
                          <w:spacing w:before="37"/>
                          <w:ind w:right="101"/>
                          <w:jc w:val="right"/>
                          <w:rPr>
                            <w:sz w:val="16"/>
                          </w:rPr>
                        </w:pPr>
                        <w:r>
                          <w:rPr>
                            <w:sz w:val="16"/>
                          </w:rPr>
                          <w:t>47</w:t>
                        </w:r>
                      </w:p>
                    </w:tc>
                    <w:tc>
                      <w:tcPr>
                        <w:tcW w:w="874" w:type="dxa"/>
                      </w:tcPr>
                      <w:p>
                        <w:pPr>
                          <w:pStyle w:val="TableParagraph"/>
                          <w:spacing w:before="37"/>
                          <w:ind w:right="102"/>
                          <w:jc w:val="right"/>
                          <w:rPr>
                            <w:sz w:val="16"/>
                          </w:rPr>
                        </w:pPr>
                        <w:r>
                          <w:rPr>
                            <w:sz w:val="16"/>
                          </w:rPr>
                          <w:t>47</w:t>
                        </w:r>
                      </w:p>
                    </w:tc>
                    <w:tc>
                      <w:tcPr>
                        <w:tcW w:w="874" w:type="dxa"/>
                      </w:tcPr>
                      <w:p>
                        <w:pPr>
                          <w:pStyle w:val="TableParagraph"/>
                          <w:spacing w:before="37"/>
                          <w:ind w:left="421"/>
                          <w:rPr>
                            <w:sz w:val="16"/>
                          </w:rPr>
                        </w:pPr>
                        <w:r>
                          <w:rPr>
                            <w:sz w:val="16"/>
                          </w:rPr>
                          <w:t>n.s.</w:t>
                        </w:r>
                      </w:p>
                    </w:tc>
                    <w:tc>
                      <w:tcPr>
                        <w:tcW w:w="701" w:type="dxa"/>
                      </w:tcPr>
                      <w:p>
                        <w:pPr>
                          <w:pStyle w:val="TableParagraph"/>
                          <w:spacing w:before="37"/>
                          <w:ind w:left="248"/>
                          <w:rPr>
                            <w:sz w:val="16"/>
                          </w:rPr>
                        </w:pPr>
                        <w:r>
                          <w:rPr>
                            <w:sz w:val="16"/>
                          </w:rPr>
                          <w:t>n.s.</w:t>
                        </w:r>
                      </w:p>
                    </w:tc>
                  </w:tr>
                  <w:tr>
                    <w:trPr>
                      <w:trHeight w:val="273" w:hRule="atLeast"/>
                    </w:trPr>
                    <w:tc>
                      <w:tcPr>
                        <w:tcW w:w="1078" w:type="dxa"/>
                      </w:tcPr>
                      <w:p>
                        <w:pPr>
                          <w:pStyle w:val="TableParagraph"/>
                          <w:spacing w:before="37"/>
                          <w:ind w:left="57"/>
                          <w:rPr>
                            <w:sz w:val="16"/>
                          </w:rPr>
                        </w:pPr>
                        <w:r>
                          <w:rPr>
                            <w:sz w:val="16"/>
                          </w:rPr>
                          <w:t>Mexico</w:t>
                        </w:r>
                      </w:p>
                    </w:tc>
                    <w:tc>
                      <w:tcPr>
                        <w:tcW w:w="876" w:type="dxa"/>
                      </w:tcPr>
                      <w:p>
                        <w:pPr>
                          <w:pStyle w:val="TableParagraph"/>
                          <w:spacing w:before="37"/>
                          <w:ind w:right="103"/>
                          <w:jc w:val="right"/>
                          <w:rPr>
                            <w:sz w:val="16"/>
                          </w:rPr>
                        </w:pPr>
                        <w:r>
                          <w:rPr>
                            <w:sz w:val="16"/>
                          </w:rPr>
                          <w:t>61 511</w:t>
                        </w:r>
                      </w:p>
                    </w:tc>
                    <w:tc>
                      <w:tcPr>
                        <w:tcW w:w="874" w:type="dxa"/>
                      </w:tcPr>
                      <w:p>
                        <w:pPr>
                          <w:pStyle w:val="TableParagraph"/>
                          <w:spacing w:before="37"/>
                          <w:ind w:right="103"/>
                          <w:jc w:val="right"/>
                          <w:rPr>
                            <w:sz w:val="16"/>
                          </w:rPr>
                        </w:pPr>
                        <w:r>
                          <w:rPr>
                            <w:sz w:val="16"/>
                          </w:rPr>
                          <w:t>55 205</w:t>
                        </w:r>
                      </w:p>
                    </w:tc>
                    <w:tc>
                      <w:tcPr>
                        <w:tcW w:w="874" w:type="dxa"/>
                      </w:tcPr>
                      <w:p>
                        <w:pPr>
                          <w:pStyle w:val="TableParagraph"/>
                          <w:spacing w:before="37"/>
                          <w:ind w:left="352"/>
                          <w:rPr>
                            <w:sz w:val="16"/>
                          </w:rPr>
                        </w:pPr>
                        <w:r>
                          <w:rPr>
                            <w:sz w:val="16"/>
                          </w:rPr>
                          <w:t>-631</w:t>
                        </w:r>
                      </w:p>
                    </w:tc>
                    <w:tc>
                      <w:tcPr>
                        <w:tcW w:w="701" w:type="dxa"/>
                      </w:tcPr>
                      <w:p>
                        <w:pPr>
                          <w:pStyle w:val="TableParagraph"/>
                          <w:spacing w:before="37"/>
                          <w:ind w:left="217"/>
                          <w:rPr>
                            <w:sz w:val="16"/>
                          </w:rPr>
                        </w:pPr>
                        <w:r>
                          <w:rPr>
                            <w:sz w:val="16"/>
                          </w:rPr>
                          <w:t>-1.1</w:t>
                        </w:r>
                      </w:p>
                    </w:tc>
                  </w:tr>
                  <w:tr>
                    <w:trPr>
                      <w:trHeight w:val="273" w:hRule="atLeast"/>
                    </w:trPr>
                    <w:tc>
                      <w:tcPr>
                        <w:tcW w:w="1078" w:type="dxa"/>
                      </w:tcPr>
                      <w:p>
                        <w:pPr>
                          <w:pStyle w:val="TableParagraph"/>
                          <w:spacing w:before="37"/>
                          <w:ind w:left="57"/>
                          <w:rPr>
                            <w:sz w:val="16"/>
                          </w:rPr>
                        </w:pPr>
                        <w:r>
                          <w:rPr>
                            <w:sz w:val="16"/>
                          </w:rPr>
                          <w:t>Montserrat</w:t>
                        </w:r>
                      </w:p>
                    </w:tc>
                    <w:tc>
                      <w:tcPr>
                        <w:tcW w:w="876" w:type="dxa"/>
                      </w:tcPr>
                      <w:p>
                        <w:pPr>
                          <w:pStyle w:val="TableParagraph"/>
                          <w:spacing w:before="37"/>
                          <w:ind w:right="102"/>
                          <w:jc w:val="right"/>
                          <w:rPr>
                            <w:sz w:val="16"/>
                          </w:rPr>
                        </w:pPr>
                        <w:r>
                          <w:rPr>
                            <w:w w:val="100"/>
                            <w:sz w:val="16"/>
                          </w:rPr>
                          <w:t>3</w:t>
                        </w:r>
                      </w:p>
                    </w:tc>
                    <w:tc>
                      <w:tcPr>
                        <w:tcW w:w="874" w:type="dxa"/>
                      </w:tcPr>
                      <w:p>
                        <w:pPr>
                          <w:pStyle w:val="TableParagraph"/>
                          <w:spacing w:before="37"/>
                          <w:ind w:right="102"/>
                          <w:jc w:val="right"/>
                          <w:rPr>
                            <w:sz w:val="16"/>
                          </w:rPr>
                        </w:pPr>
                        <w:r>
                          <w:rPr>
                            <w:w w:val="100"/>
                            <w:sz w:val="16"/>
                          </w:rPr>
                          <w:t>3</w:t>
                        </w:r>
                      </w:p>
                    </w:tc>
                    <w:tc>
                      <w:tcPr>
                        <w:tcW w:w="874" w:type="dxa"/>
                      </w:tcPr>
                      <w:p>
                        <w:pPr>
                          <w:pStyle w:val="TableParagraph"/>
                          <w:spacing w:before="37"/>
                          <w:ind w:left="421"/>
                          <w:rPr>
                            <w:sz w:val="16"/>
                          </w:rPr>
                        </w:pPr>
                        <w:r>
                          <w:rPr>
                            <w:sz w:val="16"/>
                          </w:rPr>
                          <w:t>n.s.</w:t>
                        </w:r>
                      </w:p>
                    </w:tc>
                    <w:tc>
                      <w:tcPr>
                        <w:tcW w:w="701" w:type="dxa"/>
                      </w:tcPr>
                      <w:p>
                        <w:pPr>
                          <w:pStyle w:val="TableParagraph"/>
                          <w:spacing w:before="37"/>
                          <w:ind w:left="248"/>
                          <w:rPr>
                            <w:sz w:val="16"/>
                          </w:rPr>
                        </w:pPr>
                        <w:r>
                          <w:rPr>
                            <w:sz w:val="16"/>
                          </w:rPr>
                          <w:t>n.s.</w:t>
                        </w:r>
                      </w:p>
                    </w:tc>
                  </w:tr>
                  <w:tr>
                    <w:trPr>
                      <w:trHeight w:val="446" w:hRule="atLeast"/>
                    </w:trPr>
                    <w:tc>
                      <w:tcPr>
                        <w:tcW w:w="1078" w:type="dxa"/>
                      </w:tcPr>
                      <w:p>
                        <w:pPr>
                          <w:pStyle w:val="TableParagraph"/>
                          <w:spacing w:before="33"/>
                          <w:ind w:left="57" w:right="217"/>
                          <w:rPr>
                            <w:sz w:val="16"/>
                          </w:rPr>
                        </w:pPr>
                        <w:r>
                          <w:rPr>
                            <w:sz w:val="16"/>
                          </w:rPr>
                          <w:t>Netherlands Antilles</w:t>
                        </w:r>
                      </w:p>
                    </w:tc>
                    <w:tc>
                      <w:tcPr>
                        <w:tcW w:w="876" w:type="dxa"/>
                      </w:tcPr>
                      <w:p>
                        <w:pPr>
                          <w:pStyle w:val="TableParagraph"/>
                          <w:spacing w:before="124"/>
                          <w:ind w:right="102"/>
                          <w:jc w:val="right"/>
                          <w:rPr>
                            <w:sz w:val="16"/>
                          </w:rPr>
                        </w:pPr>
                        <w:r>
                          <w:rPr>
                            <w:w w:val="100"/>
                            <w:sz w:val="16"/>
                          </w:rPr>
                          <w:t>1</w:t>
                        </w:r>
                      </w:p>
                    </w:tc>
                    <w:tc>
                      <w:tcPr>
                        <w:tcW w:w="874" w:type="dxa"/>
                      </w:tcPr>
                      <w:p>
                        <w:pPr>
                          <w:pStyle w:val="TableParagraph"/>
                          <w:spacing w:before="124"/>
                          <w:ind w:right="103"/>
                          <w:jc w:val="right"/>
                          <w:rPr>
                            <w:sz w:val="16"/>
                          </w:rPr>
                        </w:pPr>
                        <w:r>
                          <w:rPr>
                            <w:w w:val="100"/>
                            <w:sz w:val="16"/>
                          </w:rPr>
                          <w:t>1</w:t>
                        </w:r>
                      </w:p>
                    </w:tc>
                    <w:tc>
                      <w:tcPr>
                        <w:tcW w:w="874" w:type="dxa"/>
                      </w:tcPr>
                      <w:p>
                        <w:pPr>
                          <w:pStyle w:val="TableParagraph"/>
                          <w:spacing w:before="124"/>
                          <w:ind w:left="421"/>
                          <w:rPr>
                            <w:sz w:val="16"/>
                          </w:rPr>
                        </w:pPr>
                        <w:r>
                          <w:rPr>
                            <w:sz w:val="16"/>
                          </w:rPr>
                          <w:t>n.s.</w:t>
                        </w:r>
                      </w:p>
                    </w:tc>
                    <w:tc>
                      <w:tcPr>
                        <w:tcW w:w="701" w:type="dxa"/>
                      </w:tcPr>
                      <w:p>
                        <w:pPr>
                          <w:pStyle w:val="TableParagraph"/>
                          <w:spacing w:before="124"/>
                          <w:ind w:left="248"/>
                          <w:rPr>
                            <w:sz w:val="16"/>
                          </w:rPr>
                        </w:pPr>
                        <w:r>
                          <w:rPr>
                            <w:sz w:val="16"/>
                          </w:rPr>
                          <w:t>n.s.</w:t>
                        </w:r>
                      </w:p>
                    </w:tc>
                  </w:tr>
                  <w:tr>
                    <w:trPr>
                      <w:trHeight w:val="273" w:hRule="atLeast"/>
                    </w:trPr>
                    <w:tc>
                      <w:tcPr>
                        <w:tcW w:w="1078" w:type="dxa"/>
                      </w:tcPr>
                      <w:p>
                        <w:pPr>
                          <w:pStyle w:val="TableParagraph"/>
                          <w:spacing w:before="37"/>
                          <w:ind w:left="57"/>
                          <w:rPr>
                            <w:sz w:val="16"/>
                          </w:rPr>
                        </w:pPr>
                        <w:r>
                          <w:rPr>
                            <w:sz w:val="16"/>
                          </w:rPr>
                          <w:t>Nicaragua</w:t>
                        </w:r>
                      </w:p>
                    </w:tc>
                    <w:tc>
                      <w:tcPr>
                        <w:tcW w:w="876" w:type="dxa"/>
                      </w:tcPr>
                      <w:p>
                        <w:pPr>
                          <w:pStyle w:val="TableParagraph"/>
                          <w:spacing w:before="37"/>
                          <w:ind w:right="101"/>
                          <w:jc w:val="right"/>
                          <w:rPr>
                            <w:sz w:val="16"/>
                          </w:rPr>
                        </w:pPr>
                        <w:r>
                          <w:rPr>
                            <w:sz w:val="16"/>
                          </w:rPr>
                          <w:t>4 450</w:t>
                        </w:r>
                      </w:p>
                    </w:tc>
                    <w:tc>
                      <w:tcPr>
                        <w:tcW w:w="874" w:type="dxa"/>
                      </w:tcPr>
                      <w:p>
                        <w:pPr>
                          <w:pStyle w:val="TableParagraph"/>
                          <w:spacing w:before="37"/>
                          <w:ind w:right="102"/>
                          <w:jc w:val="right"/>
                          <w:rPr>
                            <w:sz w:val="16"/>
                          </w:rPr>
                        </w:pPr>
                        <w:r>
                          <w:rPr>
                            <w:sz w:val="16"/>
                          </w:rPr>
                          <w:t>3 278</w:t>
                        </w:r>
                      </w:p>
                    </w:tc>
                    <w:tc>
                      <w:tcPr>
                        <w:tcW w:w="874" w:type="dxa"/>
                      </w:tcPr>
                      <w:p>
                        <w:pPr>
                          <w:pStyle w:val="TableParagraph"/>
                          <w:spacing w:before="37"/>
                          <w:ind w:left="352"/>
                          <w:rPr>
                            <w:sz w:val="16"/>
                          </w:rPr>
                        </w:pPr>
                        <w:r>
                          <w:rPr>
                            <w:sz w:val="16"/>
                          </w:rPr>
                          <w:t>-117</w:t>
                        </w:r>
                      </w:p>
                    </w:tc>
                    <w:tc>
                      <w:tcPr>
                        <w:tcW w:w="701" w:type="dxa"/>
                      </w:tcPr>
                      <w:p>
                        <w:pPr>
                          <w:pStyle w:val="TableParagraph"/>
                          <w:spacing w:before="37"/>
                          <w:ind w:left="217"/>
                          <w:rPr>
                            <w:sz w:val="16"/>
                          </w:rPr>
                        </w:pPr>
                        <w:r>
                          <w:rPr>
                            <w:sz w:val="16"/>
                          </w:rPr>
                          <w:t>-3.0</w:t>
                        </w:r>
                      </w:p>
                    </w:tc>
                  </w:tr>
                  <w:tr>
                    <w:trPr>
                      <w:trHeight w:val="273" w:hRule="atLeast"/>
                    </w:trPr>
                    <w:tc>
                      <w:tcPr>
                        <w:tcW w:w="1078" w:type="dxa"/>
                      </w:tcPr>
                      <w:p>
                        <w:pPr>
                          <w:pStyle w:val="TableParagraph"/>
                          <w:spacing w:before="37"/>
                          <w:ind w:left="57"/>
                          <w:rPr>
                            <w:sz w:val="16"/>
                          </w:rPr>
                        </w:pPr>
                        <w:r>
                          <w:rPr>
                            <w:sz w:val="16"/>
                          </w:rPr>
                          <w:t>Panama</w:t>
                        </w:r>
                      </w:p>
                    </w:tc>
                    <w:tc>
                      <w:tcPr>
                        <w:tcW w:w="876" w:type="dxa"/>
                      </w:tcPr>
                      <w:p>
                        <w:pPr>
                          <w:pStyle w:val="TableParagraph"/>
                          <w:spacing w:before="37"/>
                          <w:ind w:right="102"/>
                          <w:jc w:val="right"/>
                          <w:rPr>
                            <w:sz w:val="16"/>
                          </w:rPr>
                        </w:pPr>
                        <w:r>
                          <w:rPr>
                            <w:sz w:val="16"/>
                          </w:rPr>
                          <w:t>3 395</w:t>
                        </w:r>
                      </w:p>
                    </w:tc>
                    <w:tc>
                      <w:tcPr>
                        <w:tcW w:w="874" w:type="dxa"/>
                      </w:tcPr>
                      <w:p>
                        <w:pPr>
                          <w:pStyle w:val="TableParagraph"/>
                          <w:spacing w:before="37"/>
                          <w:ind w:right="103"/>
                          <w:jc w:val="right"/>
                          <w:rPr>
                            <w:sz w:val="16"/>
                          </w:rPr>
                        </w:pPr>
                        <w:r>
                          <w:rPr>
                            <w:sz w:val="16"/>
                          </w:rPr>
                          <w:t>2 876</w:t>
                        </w:r>
                      </w:p>
                    </w:tc>
                    <w:tc>
                      <w:tcPr>
                        <w:tcW w:w="874" w:type="dxa"/>
                      </w:tcPr>
                      <w:p>
                        <w:pPr>
                          <w:pStyle w:val="TableParagraph"/>
                          <w:spacing w:before="37"/>
                          <w:ind w:left="430"/>
                          <w:rPr>
                            <w:sz w:val="16"/>
                          </w:rPr>
                        </w:pPr>
                        <w:r>
                          <w:rPr>
                            <w:sz w:val="16"/>
                          </w:rPr>
                          <w:t>-52</w:t>
                        </w:r>
                      </w:p>
                    </w:tc>
                    <w:tc>
                      <w:tcPr>
                        <w:tcW w:w="701" w:type="dxa"/>
                      </w:tcPr>
                      <w:p>
                        <w:pPr>
                          <w:pStyle w:val="TableParagraph"/>
                          <w:spacing w:before="37"/>
                          <w:ind w:left="216"/>
                          <w:rPr>
                            <w:sz w:val="16"/>
                          </w:rPr>
                        </w:pPr>
                        <w:r>
                          <w:rPr>
                            <w:sz w:val="16"/>
                          </w:rPr>
                          <w:t>-1.6</w:t>
                        </w:r>
                      </w:p>
                    </w:tc>
                  </w:tr>
                  <w:tr>
                    <w:trPr>
                      <w:trHeight w:val="275" w:hRule="atLeast"/>
                    </w:trPr>
                    <w:tc>
                      <w:tcPr>
                        <w:tcW w:w="1078" w:type="dxa"/>
                      </w:tcPr>
                      <w:p>
                        <w:pPr>
                          <w:pStyle w:val="TableParagraph"/>
                          <w:spacing w:before="37"/>
                          <w:ind w:left="57"/>
                          <w:rPr>
                            <w:sz w:val="16"/>
                          </w:rPr>
                        </w:pPr>
                        <w:r>
                          <w:rPr>
                            <w:sz w:val="16"/>
                          </w:rPr>
                          <w:t>Puerto Rico</w:t>
                        </w:r>
                      </w:p>
                    </w:tc>
                    <w:tc>
                      <w:tcPr>
                        <w:tcW w:w="876" w:type="dxa"/>
                      </w:tcPr>
                      <w:p>
                        <w:pPr>
                          <w:pStyle w:val="TableParagraph"/>
                          <w:spacing w:before="37"/>
                          <w:ind w:right="102"/>
                          <w:jc w:val="right"/>
                          <w:rPr>
                            <w:sz w:val="16"/>
                          </w:rPr>
                        </w:pPr>
                        <w:r>
                          <w:rPr>
                            <w:sz w:val="16"/>
                          </w:rPr>
                          <w:t>234</w:t>
                        </w:r>
                      </w:p>
                    </w:tc>
                    <w:tc>
                      <w:tcPr>
                        <w:tcW w:w="874" w:type="dxa"/>
                      </w:tcPr>
                      <w:p>
                        <w:pPr>
                          <w:pStyle w:val="TableParagraph"/>
                          <w:spacing w:before="37"/>
                          <w:ind w:right="102"/>
                          <w:jc w:val="right"/>
                          <w:rPr>
                            <w:sz w:val="16"/>
                          </w:rPr>
                        </w:pPr>
                        <w:r>
                          <w:rPr>
                            <w:sz w:val="16"/>
                          </w:rPr>
                          <w:t>229</w:t>
                        </w:r>
                      </w:p>
                    </w:tc>
                    <w:tc>
                      <w:tcPr>
                        <w:tcW w:w="874" w:type="dxa"/>
                      </w:tcPr>
                      <w:p>
                        <w:pPr>
                          <w:pStyle w:val="TableParagraph"/>
                          <w:spacing w:before="37"/>
                          <w:ind w:left="512"/>
                          <w:rPr>
                            <w:sz w:val="16"/>
                          </w:rPr>
                        </w:pPr>
                        <w:r>
                          <w:rPr>
                            <w:sz w:val="16"/>
                          </w:rPr>
                          <w:t>-1</w:t>
                        </w:r>
                      </w:p>
                    </w:tc>
                    <w:tc>
                      <w:tcPr>
                        <w:tcW w:w="701" w:type="dxa"/>
                      </w:tcPr>
                      <w:p>
                        <w:pPr>
                          <w:pStyle w:val="TableParagraph"/>
                          <w:spacing w:before="37"/>
                          <w:ind w:left="216"/>
                          <w:rPr>
                            <w:sz w:val="16"/>
                          </w:rPr>
                        </w:pPr>
                        <w:r>
                          <w:rPr>
                            <w:sz w:val="16"/>
                          </w:rPr>
                          <w:t>-0.2</w:t>
                        </w:r>
                      </w:p>
                    </w:tc>
                  </w:tr>
                  <w:tr>
                    <w:trPr>
                      <w:trHeight w:val="443" w:hRule="atLeast"/>
                    </w:trPr>
                    <w:tc>
                      <w:tcPr>
                        <w:tcW w:w="1078" w:type="dxa"/>
                      </w:tcPr>
                      <w:p>
                        <w:pPr>
                          <w:pStyle w:val="TableParagraph"/>
                          <w:spacing w:before="33"/>
                          <w:ind w:left="57" w:right="39"/>
                          <w:rPr>
                            <w:sz w:val="16"/>
                          </w:rPr>
                        </w:pPr>
                        <w:r>
                          <w:rPr>
                            <w:sz w:val="16"/>
                          </w:rPr>
                          <w:t>Saint Kitts and Nevis</w:t>
                        </w:r>
                      </w:p>
                    </w:tc>
                    <w:tc>
                      <w:tcPr>
                        <w:tcW w:w="876" w:type="dxa"/>
                      </w:tcPr>
                      <w:p>
                        <w:pPr>
                          <w:pStyle w:val="TableParagraph"/>
                          <w:spacing w:before="124"/>
                          <w:ind w:right="102"/>
                          <w:jc w:val="right"/>
                          <w:rPr>
                            <w:sz w:val="16"/>
                          </w:rPr>
                        </w:pPr>
                        <w:r>
                          <w:rPr>
                            <w:w w:val="100"/>
                            <w:sz w:val="16"/>
                          </w:rPr>
                          <w:t>4</w:t>
                        </w:r>
                      </w:p>
                    </w:tc>
                    <w:tc>
                      <w:tcPr>
                        <w:tcW w:w="874" w:type="dxa"/>
                      </w:tcPr>
                      <w:p>
                        <w:pPr>
                          <w:pStyle w:val="TableParagraph"/>
                          <w:spacing w:before="124"/>
                          <w:ind w:right="103"/>
                          <w:jc w:val="right"/>
                          <w:rPr>
                            <w:sz w:val="16"/>
                          </w:rPr>
                        </w:pPr>
                        <w:r>
                          <w:rPr>
                            <w:w w:val="100"/>
                            <w:sz w:val="16"/>
                          </w:rPr>
                          <w:t>4</w:t>
                        </w:r>
                      </w:p>
                    </w:tc>
                    <w:tc>
                      <w:tcPr>
                        <w:tcW w:w="874" w:type="dxa"/>
                      </w:tcPr>
                      <w:p>
                        <w:pPr>
                          <w:pStyle w:val="TableParagraph"/>
                          <w:spacing w:before="124"/>
                          <w:ind w:left="421"/>
                          <w:rPr>
                            <w:sz w:val="16"/>
                          </w:rPr>
                        </w:pPr>
                        <w:r>
                          <w:rPr>
                            <w:sz w:val="16"/>
                          </w:rPr>
                          <w:t>n.s.</w:t>
                        </w:r>
                      </w:p>
                    </w:tc>
                    <w:tc>
                      <w:tcPr>
                        <w:tcW w:w="701" w:type="dxa"/>
                      </w:tcPr>
                      <w:p>
                        <w:pPr>
                          <w:pStyle w:val="TableParagraph"/>
                          <w:spacing w:before="124"/>
                          <w:ind w:left="217"/>
                          <w:rPr>
                            <w:sz w:val="16"/>
                          </w:rPr>
                        </w:pPr>
                        <w:r>
                          <w:rPr>
                            <w:sz w:val="16"/>
                          </w:rPr>
                          <w:t>-0.6</w:t>
                        </w:r>
                      </w:p>
                    </w:tc>
                  </w:tr>
                  <w:tr>
                    <w:trPr>
                      <w:trHeight w:val="273" w:hRule="atLeast"/>
                    </w:trPr>
                    <w:tc>
                      <w:tcPr>
                        <w:tcW w:w="1078" w:type="dxa"/>
                      </w:tcPr>
                      <w:p>
                        <w:pPr>
                          <w:pStyle w:val="TableParagraph"/>
                          <w:spacing w:before="37"/>
                          <w:ind w:left="57"/>
                          <w:rPr>
                            <w:sz w:val="16"/>
                          </w:rPr>
                        </w:pPr>
                        <w:r>
                          <w:rPr>
                            <w:sz w:val="16"/>
                          </w:rPr>
                          <w:t>Santa Lucia</w:t>
                        </w:r>
                      </w:p>
                    </w:tc>
                    <w:tc>
                      <w:tcPr>
                        <w:tcW w:w="876" w:type="dxa"/>
                      </w:tcPr>
                      <w:p>
                        <w:pPr>
                          <w:pStyle w:val="TableParagraph"/>
                          <w:spacing w:before="37"/>
                          <w:ind w:right="100"/>
                          <w:jc w:val="right"/>
                          <w:rPr>
                            <w:sz w:val="16"/>
                          </w:rPr>
                        </w:pPr>
                        <w:r>
                          <w:rPr>
                            <w:sz w:val="16"/>
                          </w:rPr>
                          <w:t>14</w:t>
                        </w:r>
                      </w:p>
                    </w:tc>
                    <w:tc>
                      <w:tcPr>
                        <w:tcW w:w="874" w:type="dxa"/>
                      </w:tcPr>
                      <w:p>
                        <w:pPr>
                          <w:pStyle w:val="TableParagraph"/>
                          <w:spacing w:before="37"/>
                          <w:ind w:right="102"/>
                          <w:jc w:val="right"/>
                          <w:rPr>
                            <w:sz w:val="16"/>
                          </w:rPr>
                        </w:pPr>
                        <w:r>
                          <w:rPr>
                            <w:w w:val="100"/>
                            <w:sz w:val="16"/>
                          </w:rPr>
                          <w:t>9</w:t>
                        </w:r>
                      </w:p>
                    </w:tc>
                    <w:tc>
                      <w:tcPr>
                        <w:tcW w:w="874" w:type="dxa"/>
                      </w:tcPr>
                      <w:p>
                        <w:pPr>
                          <w:pStyle w:val="TableParagraph"/>
                          <w:spacing w:before="37"/>
                          <w:ind w:left="512"/>
                          <w:rPr>
                            <w:sz w:val="16"/>
                          </w:rPr>
                        </w:pPr>
                        <w:r>
                          <w:rPr>
                            <w:sz w:val="16"/>
                          </w:rPr>
                          <w:t>-1</w:t>
                        </w:r>
                      </w:p>
                    </w:tc>
                    <w:tc>
                      <w:tcPr>
                        <w:tcW w:w="701" w:type="dxa"/>
                      </w:tcPr>
                      <w:p>
                        <w:pPr>
                          <w:pStyle w:val="TableParagraph"/>
                          <w:spacing w:before="37"/>
                          <w:ind w:left="217"/>
                          <w:rPr>
                            <w:sz w:val="16"/>
                          </w:rPr>
                        </w:pPr>
                        <w:r>
                          <w:rPr>
                            <w:sz w:val="16"/>
                          </w:rPr>
                          <w:t>-4.9</w:t>
                        </w:r>
                      </w:p>
                    </w:tc>
                  </w:tr>
                  <w:tr>
                    <w:trPr>
                      <w:trHeight w:val="443" w:hRule="atLeast"/>
                    </w:trPr>
                    <w:tc>
                      <w:tcPr>
                        <w:tcW w:w="1078" w:type="dxa"/>
                      </w:tcPr>
                      <w:p>
                        <w:pPr>
                          <w:pStyle w:val="TableParagraph"/>
                          <w:spacing w:before="33"/>
                          <w:ind w:left="57" w:right="75"/>
                          <w:rPr>
                            <w:sz w:val="16"/>
                          </w:rPr>
                        </w:pPr>
                        <w:r>
                          <w:rPr>
                            <w:sz w:val="16"/>
                          </w:rPr>
                          <w:t>Saint Pierre &amp; Miquelon</w:t>
                        </w:r>
                      </w:p>
                    </w:tc>
                    <w:tc>
                      <w:tcPr>
                        <w:tcW w:w="876" w:type="dxa"/>
                      </w:tcPr>
                      <w:p>
                        <w:pPr>
                          <w:pStyle w:val="TableParagraph"/>
                          <w:spacing w:before="124"/>
                          <w:ind w:right="100"/>
                          <w:jc w:val="right"/>
                          <w:rPr>
                            <w:sz w:val="16"/>
                          </w:rPr>
                        </w:pPr>
                        <w:r>
                          <w:rPr>
                            <w:w w:val="100"/>
                            <w:sz w:val="16"/>
                          </w:rPr>
                          <w:t>-</w:t>
                        </w:r>
                      </w:p>
                    </w:tc>
                    <w:tc>
                      <w:tcPr>
                        <w:tcW w:w="874" w:type="dxa"/>
                      </w:tcPr>
                      <w:p>
                        <w:pPr>
                          <w:pStyle w:val="TableParagraph"/>
                          <w:spacing w:before="124"/>
                          <w:ind w:right="101"/>
                          <w:jc w:val="right"/>
                          <w:rPr>
                            <w:sz w:val="16"/>
                          </w:rPr>
                        </w:pPr>
                        <w:r>
                          <w:rPr>
                            <w:w w:val="100"/>
                            <w:sz w:val="16"/>
                          </w:rPr>
                          <w:t>-</w:t>
                        </w:r>
                      </w:p>
                    </w:tc>
                    <w:tc>
                      <w:tcPr>
                        <w:tcW w:w="874" w:type="dxa"/>
                      </w:tcPr>
                      <w:p>
                        <w:pPr>
                          <w:pStyle w:val="TableParagraph"/>
                          <w:spacing w:before="124"/>
                          <w:ind w:right="214"/>
                          <w:jc w:val="right"/>
                          <w:rPr>
                            <w:sz w:val="16"/>
                          </w:rPr>
                        </w:pPr>
                        <w:r>
                          <w:rPr>
                            <w:w w:val="100"/>
                            <w:sz w:val="16"/>
                          </w:rPr>
                          <w:t>-</w:t>
                        </w:r>
                      </w:p>
                    </w:tc>
                    <w:tc>
                      <w:tcPr>
                        <w:tcW w:w="701" w:type="dxa"/>
                      </w:tcPr>
                      <w:p>
                        <w:pPr>
                          <w:pStyle w:val="TableParagraph"/>
                          <w:spacing w:before="124"/>
                          <w:ind w:left="420"/>
                          <w:rPr>
                            <w:sz w:val="16"/>
                          </w:rPr>
                        </w:pPr>
                        <w:r>
                          <w:rPr>
                            <w:w w:val="100"/>
                            <w:sz w:val="16"/>
                          </w:rPr>
                          <w:t>-</w:t>
                        </w:r>
                      </w:p>
                    </w:tc>
                  </w:tr>
                  <w:tr>
                    <w:trPr>
                      <w:trHeight w:val="443" w:hRule="atLeast"/>
                    </w:trPr>
                    <w:tc>
                      <w:tcPr>
                        <w:tcW w:w="1078" w:type="dxa"/>
                      </w:tcPr>
                      <w:p>
                        <w:pPr>
                          <w:pStyle w:val="TableParagraph"/>
                          <w:spacing w:before="33"/>
                          <w:ind w:left="57" w:right="97"/>
                          <w:rPr>
                            <w:sz w:val="16"/>
                          </w:rPr>
                        </w:pPr>
                        <w:r>
                          <w:rPr>
                            <w:sz w:val="16"/>
                          </w:rPr>
                          <w:t>Saint Vincent &amp; Grenadines</w:t>
                        </w:r>
                      </w:p>
                    </w:tc>
                    <w:tc>
                      <w:tcPr>
                        <w:tcW w:w="876" w:type="dxa"/>
                      </w:tcPr>
                      <w:p>
                        <w:pPr>
                          <w:pStyle w:val="TableParagraph"/>
                          <w:spacing w:before="124"/>
                          <w:ind w:right="102"/>
                          <w:jc w:val="right"/>
                          <w:rPr>
                            <w:sz w:val="16"/>
                          </w:rPr>
                        </w:pPr>
                        <w:r>
                          <w:rPr>
                            <w:w w:val="100"/>
                            <w:sz w:val="16"/>
                          </w:rPr>
                          <w:t>7</w:t>
                        </w:r>
                      </w:p>
                    </w:tc>
                    <w:tc>
                      <w:tcPr>
                        <w:tcW w:w="874" w:type="dxa"/>
                      </w:tcPr>
                      <w:p>
                        <w:pPr>
                          <w:pStyle w:val="TableParagraph"/>
                          <w:spacing w:before="124"/>
                          <w:ind w:right="103"/>
                          <w:jc w:val="right"/>
                          <w:rPr>
                            <w:sz w:val="16"/>
                          </w:rPr>
                        </w:pPr>
                        <w:r>
                          <w:rPr>
                            <w:w w:val="100"/>
                            <w:sz w:val="16"/>
                          </w:rPr>
                          <w:t>6</w:t>
                        </w:r>
                      </w:p>
                    </w:tc>
                    <w:tc>
                      <w:tcPr>
                        <w:tcW w:w="874" w:type="dxa"/>
                      </w:tcPr>
                      <w:p>
                        <w:pPr>
                          <w:pStyle w:val="TableParagraph"/>
                          <w:spacing w:before="124"/>
                          <w:ind w:left="421"/>
                          <w:rPr>
                            <w:sz w:val="16"/>
                          </w:rPr>
                        </w:pPr>
                        <w:r>
                          <w:rPr>
                            <w:sz w:val="16"/>
                          </w:rPr>
                          <w:t>n.s.</w:t>
                        </w:r>
                      </w:p>
                    </w:tc>
                    <w:tc>
                      <w:tcPr>
                        <w:tcW w:w="701" w:type="dxa"/>
                      </w:tcPr>
                      <w:p>
                        <w:pPr>
                          <w:pStyle w:val="TableParagraph"/>
                          <w:spacing w:before="124"/>
                          <w:ind w:left="217"/>
                          <w:rPr>
                            <w:sz w:val="16"/>
                          </w:rPr>
                        </w:pPr>
                        <w:r>
                          <w:rPr>
                            <w:sz w:val="16"/>
                          </w:rPr>
                          <w:t>-1.4</w:t>
                        </w:r>
                      </w:p>
                    </w:tc>
                  </w:tr>
                  <w:tr>
                    <w:trPr>
                      <w:trHeight w:val="445" w:hRule="atLeast"/>
                    </w:trPr>
                    <w:tc>
                      <w:tcPr>
                        <w:tcW w:w="1078" w:type="dxa"/>
                      </w:tcPr>
                      <w:p>
                        <w:pPr>
                          <w:pStyle w:val="TableParagraph"/>
                          <w:spacing w:before="33"/>
                          <w:ind w:left="57" w:right="169"/>
                          <w:rPr>
                            <w:sz w:val="16"/>
                          </w:rPr>
                        </w:pPr>
                        <w:r>
                          <w:rPr>
                            <w:sz w:val="16"/>
                          </w:rPr>
                          <w:t>Trinidad and Tobago</w:t>
                        </w:r>
                      </w:p>
                    </w:tc>
                    <w:tc>
                      <w:tcPr>
                        <w:tcW w:w="876" w:type="dxa"/>
                      </w:tcPr>
                      <w:p>
                        <w:pPr>
                          <w:pStyle w:val="TableParagraph"/>
                          <w:spacing w:before="124"/>
                          <w:ind w:right="102"/>
                          <w:jc w:val="right"/>
                          <w:rPr>
                            <w:sz w:val="16"/>
                          </w:rPr>
                        </w:pPr>
                        <w:r>
                          <w:rPr>
                            <w:sz w:val="16"/>
                          </w:rPr>
                          <w:t>281</w:t>
                        </w:r>
                      </w:p>
                    </w:tc>
                    <w:tc>
                      <w:tcPr>
                        <w:tcW w:w="874" w:type="dxa"/>
                      </w:tcPr>
                      <w:p>
                        <w:pPr>
                          <w:pStyle w:val="TableParagraph"/>
                          <w:spacing w:before="124"/>
                          <w:ind w:right="103"/>
                          <w:jc w:val="right"/>
                          <w:rPr>
                            <w:sz w:val="16"/>
                          </w:rPr>
                        </w:pPr>
                        <w:r>
                          <w:rPr>
                            <w:sz w:val="16"/>
                          </w:rPr>
                          <w:t>259</w:t>
                        </w:r>
                      </w:p>
                    </w:tc>
                    <w:tc>
                      <w:tcPr>
                        <w:tcW w:w="874" w:type="dxa"/>
                      </w:tcPr>
                      <w:p>
                        <w:pPr>
                          <w:pStyle w:val="TableParagraph"/>
                          <w:spacing w:before="124"/>
                          <w:ind w:left="512"/>
                          <w:rPr>
                            <w:sz w:val="16"/>
                          </w:rPr>
                        </w:pPr>
                        <w:r>
                          <w:rPr>
                            <w:sz w:val="16"/>
                          </w:rPr>
                          <w:t>-2</w:t>
                        </w:r>
                      </w:p>
                    </w:tc>
                    <w:tc>
                      <w:tcPr>
                        <w:tcW w:w="701" w:type="dxa"/>
                      </w:tcPr>
                      <w:p>
                        <w:pPr>
                          <w:pStyle w:val="TableParagraph"/>
                          <w:spacing w:before="124"/>
                          <w:ind w:left="216"/>
                          <w:rPr>
                            <w:sz w:val="16"/>
                          </w:rPr>
                        </w:pPr>
                        <w:r>
                          <w:rPr>
                            <w:sz w:val="16"/>
                          </w:rPr>
                          <w:t>-0.8</w:t>
                        </w:r>
                      </w:p>
                    </w:tc>
                  </w:tr>
                  <w:tr>
                    <w:trPr>
                      <w:trHeight w:val="273" w:hRule="atLeast"/>
                    </w:trPr>
                    <w:tc>
                      <w:tcPr>
                        <w:tcW w:w="1078" w:type="dxa"/>
                      </w:tcPr>
                      <w:p>
                        <w:pPr>
                          <w:pStyle w:val="TableParagraph"/>
                          <w:spacing w:before="37"/>
                          <w:ind w:left="57"/>
                          <w:rPr>
                            <w:sz w:val="16"/>
                          </w:rPr>
                        </w:pPr>
                        <w:r>
                          <w:rPr>
                            <w:sz w:val="16"/>
                          </w:rPr>
                          <w:t>United States</w:t>
                        </w:r>
                      </w:p>
                    </w:tc>
                    <w:tc>
                      <w:tcPr>
                        <w:tcW w:w="876" w:type="dxa"/>
                      </w:tcPr>
                      <w:p>
                        <w:pPr>
                          <w:pStyle w:val="TableParagraph"/>
                          <w:spacing w:before="37"/>
                          <w:ind w:right="100"/>
                          <w:jc w:val="right"/>
                          <w:rPr>
                            <w:sz w:val="16"/>
                          </w:rPr>
                        </w:pPr>
                        <w:r>
                          <w:rPr>
                            <w:sz w:val="16"/>
                          </w:rPr>
                          <w:t>222 113</w:t>
                        </w:r>
                      </w:p>
                    </w:tc>
                    <w:tc>
                      <w:tcPr>
                        <w:tcW w:w="874" w:type="dxa"/>
                      </w:tcPr>
                      <w:p>
                        <w:pPr>
                          <w:pStyle w:val="TableParagraph"/>
                          <w:spacing w:before="37"/>
                          <w:ind w:right="100"/>
                          <w:jc w:val="right"/>
                          <w:rPr>
                            <w:sz w:val="16"/>
                          </w:rPr>
                        </w:pPr>
                        <w:r>
                          <w:rPr>
                            <w:sz w:val="16"/>
                          </w:rPr>
                          <w:t>225 993</w:t>
                        </w:r>
                      </w:p>
                    </w:tc>
                    <w:tc>
                      <w:tcPr>
                        <w:tcW w:w="874" w:type="dxa"/>
                      </w:tcPr>
                      <w:p>
                        <w:pPr>
                          <w:pStyle w:val="TableParagraph"/>
                          <w:spacing w:before="37"/>
                          <w:ind w:left="405"/>
                          <w:rPr>
                            <w:sz w:val="16"/>
                          </w:rPr>
                        </w:pPr>
                        <w:r>
                          <w:rPr>
                            <w:sz w:val="16"/>
                          </w:rPr>
                          <w:t>388</w:t>
                        </w:r>
                      </w:p>
                    </w:tc>
                    <w:tc>
                      <w:tcPr>
                        <w:tcW w:w="701" w:type="dxa"/>
                      </w:tcPr>
                      <w:p>
                        <w:pPr>
                          <w:pStyle w:val="TableParagraph"/>
                          <w:spacing w:before="37"/>
                          <w:ind w:left="273"/>
                          <w:rPr>
                            <w:sz w:val="16"/>
                          </w:rPr>
                        </w:pPr>
                        <w:r>
                          <w:rPr>
                            <w:sz w:val="16"/>
                          </w:rPr>
                          <w:t>0.2</w:t>
                        </w:r>
                      </w:p>
                    </w:tc>
                  </w:tr>
                  <w:tr>
                    <w:trPr>
                      <w:trHeight w:val="443" w:hRule="atLeast"/>
                    </w:trPr>
                    <w:tc>
                      <w:tcPr>
                        <w:tcW w:w="1078" w:type="dxa"/>
                      </w:tcPr>
                      <w:p>
                        <w:pPr>
                          <w:pStyle w:val="TableParagraph"/>
                          <w:spacing w:before="33"/>
                          <w:ind w:left="57" w:right="328"/>
                          <w:rPr>
                            <w:sz w:val="16"/>
                          </w:rPr>
                        </w:pPr>
                        <w:r>
                          <w:rPr>
                            <w:sz w:val="16"/>
                          </w:rPr>
                          <w:t>US Virgin Islands</w:t>
                        </w:r>
                      </w:p>
                    </w:tc>
                    <w:tc>
                      <w:tcPr>
                        <w:tcW w:w="876" w:type="dxa"/>
                      </w:tcPr>
                      <w:p>
                        <w:pPr>
                          <w:pStyle w:val="TableParagraph"/>
                          <w:spacing w:before="124"/>
                          <w:ind w:right="101"/>
                          <w:jc w:val="right"/>
                          <w:rPr>
                            <w:sz w:val="16"/>
                          </w:rPr>
                        </w:pPr>
                        <w:r>
                          <w:rPr>
                            <w:sz w:val="16"/>
                          </w:rPr>
                          <w:t>14</w:t>
                        </w:r>
                      </w:p>
                    </w:tc>
                    <w:tc>
                      <w:tcPr>
                        <w:tcW w:w="874" w:type="dxa"/>
                      </w:tcPr>
                      <w:p>
                        <w:pPr>
                          <w:pStyle w:val="TableParagraph"/>
                          <w:spacing w:before="124"/>
                          <w:ind w:right="102"/>
                          <w:jc w:val="right"/>
                          <w:rPr>
                            <w:sz w:val="16"/>
                          </w:rPr>
                        </w:pPr>
                        <w:r>
                          <w:rPr>
                            <w:sz w:val="16"/>
                          </w:rPr>
                          <w:t>14</w:t>
                        </w:r>
                      </w:p>
                    </w:tc>
                    <w:tc>
                      <w:tcPr>
                        <w:tcW w:w="874" w:type="dxa"/>
                      </w:tcPr>
                      <w:p>
                        <w:pPr>
                          <w:pStyle w:val="TableParagraph"/>
                          <w:spacing w:before="124"/>
                          <w:ind w:left="420"/>
                          <w:rPr>
                            <w:sz w:val="16"/>
                          </w:rPr>
                        </w:pPr>
                        <w:r>
                          <w:rPr>
                            <w:sz w:val="16"/>
                          </w:rPr>
                          <w:t>n.s.</w:t>
                        </w:r>
                      </w:p>
                    </w:tc>
                    <w:tc>
                      <w:tcPr>
                        <w:tcW w:w="701" w:type="dxa"/>
                      </w:tcPr>
                      <w:p>
                        <w:pPr>
                          <w:pStyle w:val="TableParagraph"/>
                          <w:spacing w:before="124"/>
                          <w:ind w:left="248"/>
                          <w:rPr>
                            <w:sz w:val="16"/>
                          </w:rPr>
                        </w:pPr>
                        <w:r>
                          <w:rPr>
                            <w:sz w:val="16"/>
                          </w:rPr>
                          <w:t>n.s.</w:t>
                        </w:r>
                      </w:p>
                    </w:tc>
                  </w:tr>
                  <w:tr>
                    <w:trPr>
                      <w:trHeight w:val="916" w:hRule="atLeast"/>
                    </w:trPr>
                    <w:tc>
                      <w:tcPr>
                        <w:tcW w:w="4403" w:type="dxa"/>
                        <w:gridSpan w:val="5"/>
                      </w:tcPr>
                      <w:p>
                        <w:pPr>
                          <w:pStyle w:val="TableParagraph"/>
                          <w:spacing w:line="183" w:lineRule="exact" w:before="35"/>
                          <w:ind w:left="57"/>
                          <w:rPr>
                            <w:sz w:val="16"/>
                          </w:rPr>
                        </w:pPr>
                        <w:r>
                          <w:rPr>
                            <w:sz w:val="16"/>
                          </w:rPr>
                          <w:t>n.s. - not specified</w:t>
                        </w:r>
                      </w:p>
                      <w:p>
                        <w:pPr>
                          <w:pStyle w:val="TableParagraph"/>
                          <w:ind w:left="57" w:right="414"/>
                          <w:rPr>
                            <w:sz w:val="16"/>
                          </w:rPr>
                        </w:pPr>
                        <w:r>
                          <w:rPr>
                            <w:sz w:val="16"/>
                          </w:rPr>
                          <w:t>Source: FRA 2000 and Working Paper 59, FRA Programme, Forestry Department of FAO, Rome 2001, 69p </w:t>
                        </w:r>
                        <w:hyperlink r:id="rId188">
                          <w:r>
                            <w:rPr>
                              <w:sz w:val="16"/>
                            </w:rPr>
                            <w:t>(www</w:t>
                          </w:r>
                        </w:hyperlink>
                        <w:r>
                          <w:rPr>
                            <w:sz w:val="16"/>
                          </w:rPr>
                          <w:t>.</w:t>
                        </w:r>
                        <w:hyperlink r:id="rId188">
                          <w:r>
                            <w:rPr>
                              <w:sz w:val="16"/>
                            </w:rPr>
                            <w:t>fao.org/forestry/fo/fra/index.jsp)</w:t>
                          </w:r>
                        </w:hyperlink>
                      </w:p>
                    </w:tc>
                  </w:tr>
                </w:tbl>
                <w:p>
                  <w:pPr>
                    <w:pStyle w:val="BodyText"/>
                  </w:pPr>
                </w:p>
              </w:txbxContent>
            </v:textbox>
          </v:shape>
        </w:pict>
      </w:r>
      <w:r>
        <w:rPr/>
      </w:r>
      <w:r>
        <w:rPr>
          <w:spacing w:val="98"/>
        </w:rPr>
        <w:t> </w:t>
      </w:r>
      <w:r>
        <w:rPr>
          <w:spacing w:val="98"/>
          <w:position w:val="678"/>
        </w:rPr>
        <w:pict>
          <v:shape style="width:223.2pt;height:378.5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8"/>
                    <w:gridCol w:w="820"/>
                    <w:gridCol w:w="818"/>
                    <w:gridCol w:w="823"/>
                    <w:gridCol w:w="749"/>
                  </w:tblGrid>
                  <w:tr>
                    <w:trPr>
                      <w:trHeight w:val="680" w:hRule="atLeast"/>
                    </w:trPr>
                    <w:tc>
                      <w:tcPr>
                        <w:tcW w:w="4448" w:type="dxa"/>
                        <w:gridSpan w:val="5"/>
                        <w:tcBorders>
                          <w:bottom w:val="double" w:sz="1" w:space="0" w:color="000000"/>
                        </w:tcBorders>
                      </w:tcPr>
                      <w:p>
                        <w:pPr>
                          <w:pStyle w:val="TableParagraph"/>
                          <w:spacing w:before="28"/>
                          <w:ind w:left="1211" w:right="1114"/>
                          <w:jc w:val="center"/>
                          <w:rPr>
                            <w:b/>
                            <w:sz w:val="14"/>
                          </w:rPr>
                        </w:pPr>
                        <w:r>
                          <w:rPr>
                            <w:b/>
                            <w:sz w:val="18"/>
                          </w:rPr>
                          <w:t>T</w:t>
                        </w:r>
                        <w:r>
                          <w:rPr>
                            <w:b/>
                            <w:sz w:val="14"/>
                          </w:rPr>
                          <w:t>ABLE </w:t>
                        </w:r>
                        <w:r>
                          <w:rPr>
                            <w:b/>
                            <w:sz w:val="18"/>
                          </w:rPr>
                          <w:t>3A.1.1 (C</w:t>
                        </w:r>
                        <w:r>
                          <w:rPr>
                            <w:b/>
                            <w:sz w:val="14"/>
                          </w:rPr>
                          <w:t>ONTINUED</w:t>
                        </w:r>
                        <w:r>
                          <w:rPr>
                            <w:b/>
                            <w:sz w:val="18"/>
                          </w:rPr>
                          <w:t>) F</w:t>
                        </w:r>
                        <w:r>
                          <w:rPr>
                            <w:b/>
                            <w:sz w:val="14"/>
                          </w:rPr>
                          <w:t>OREST AREA CHANGE</w:t>
                        </w:r>
                      </w:p>
                      <w:p>
                        <w:pPr>
                          <w:pStyle w:val="TableParagraph"/>
                          <w:spacing w:line="203" w:lineRule="exact"/>
                          <w:ind w:left="338" w:right="245"/>
                          <w:jc w:val="center"/>
                          <w:rPr>
                            <w:sz w:val="18"/>
                          </w:rPr>
                        </w:pPr>
                        <w:r>
                          <w:rPr>
                            <w:sz w:val="18"/>
                          </w:rPr>
                          <w:t>(To be used for verification of ‘A’ in Equation 3.2.4)</w:t>
                        </w:r>
                      </w:p>
                    </w:tc>
                  </w:tr>
                  <w:tr>
                    <w:trPr>
                      <w:trHeight w:val="253" w:hRule="atLeast"/>
                    </w:trPr>
                    <w:tc>
                      <w:tcPr>
                        <w:tcW w:w="4448" w:type="dxa"/>
                        <w:gridSpan w:val="5"/>
                        <w:tcBorders>
                          <w:top w:val="double" w:sz="1" w:space="0" w:color="000000"/>
                        </w:tcBorders>
                      </w:tcPr>
                      <w:p>
                        <w:pPr>
                          <w:pStyle w:val="TableParagraph"/>
                          <w:spacing w:before="23"/>
                          <w:ind w:left="122"/>
                          <w:rPr>
                            <w:b/>
                            <w:sz w:val="18"/>
                          </w:rPr>
                        </w:pPr>
                        <w:r>
                          <w:rPr>
                            <w:b/>
                            <w:sz w:val="18"/>
                          </w:rPr>
                          <w:t>f. SOUTH AMERICA</w:t>
                        </w:r>
                      </w:p>
                    </w:tc>
                  </w:tr>
                  <w:tr>
                    <w:trPr>
                      <w:trHeight w:val="388" w:hRule="atLeast"/>
                    </w:trPr>
                    <w:tc>
                      <w:tcPr>
                        <w:tcW w:w="1238" w:type="dxa"/>
                      </w:tcPr>
                      <w:p>
                        <w:pPr>
                          <w:pStyle w:val="TableParagraph"/>
                          <w:spacing w:before="97"/>
                          <w:ind w:left="57"/>
                          <w:rPr>
                            <w:b/>
                            <w:sz w:val="16"/>
                          </w:rPr>
                        </w:pPr>
                        <w:r>
                          <w:rPr>
                            <w:b/>
                            <w:sz w:val="16"/>
                          </w:rPr>
                          <w:t>Country</w:t>
                        </w:r>
                      </w:p>
                    </w:tc>
                    <w:tc>
                      <w:tcPr>
                        <w:tcW w:w="1638" w:type="dxa"/>
                        <w:gridSpan w:val="2"/>
                      </w:tcPr>
                      <w:p>
                        <w:pPr>
                          <w:pStyle w:val="TableParagraph"/>
                          <w:spacing w:before="97"/>
                          <w:ind w:left="249"/>
                          <w:rPr>
                            <w:b/>
                            <w:sz w:val="16"/>
                          </w:rPr>
                        </w:pPr>
                        <w:r>
                          <w:rPr>
                            <w:b/>
                            <w:sz w:val="16"/>
                          </w:rPr>
                          <w:t>Total Forest Area</w:t>
                        </w:r>
                      </w:p>
                    </w:tc>
                    <w:tc>
                      <w:tcPr>
                        <w:tcW w:w="1572" w:type="dxa"/>
                        <w:gridSpan w:val="2"/>
                      </w:tcPr>
                      <w:p>
                        <w:pPr>
                          <w:pStyle w:val="TableParagraph"/>
                          <w:spacing w:line="180" w:lineRule="atLeast" w:before="6"/>
                          <w:ind w:left="478" w:right="42" w:hanging="341"/>
                          <w:rPr>
                            <w:b/>
                            <w:sz w:val="16"/>
                          </w:rPr>
                        </w:pPr>
                        <w:r>
                          <w:rPr>
                            <w:b/>
                            <w:sz w:val="16"/>
                          </w:rPr>
                          <w:t>Forest Area Change 1990-2000</w:t>
                        </w:r>
                      </w:p>
                    </w:tc>
                  </w:tr>
                  <w:tr>
                    <w:trPr>
                      <w:trHeight w:val="386" w:hRule="atLeast"/>
                    </w:trPr>
                    <w:tc>
                      <w:tcPr>
                        <w:tcW w:w="1238" w:type="dxa"/>
                      </w:tcPr>
                      <w:p>
                        <w:pPr>
                          <w:pStyle w:val="TableParagraph"/>
                          <w:rPr>
                            <w:sz w:val="16"/>
                          </w:rPr>
                        </w:pPr>
                      </w:p>
                    </w:tc>
                    <w:tc>
                      <w:tcPr>
                        <w:tcW w:w="820" w:type="dxa"/>
                      </w:tcPr>
                      <w:p>
                        <w:pPr>
                          <w:pStyle w:val="TableParagraph"/>
                          <w:spacing w:before="97"/>
                          <w:ind w:left="290"/>
                          <w:rPr>
                            <w:b/>
                            <w:sz w:val="16"/>
                          </w:rPr>
                        </w:pPr>
                        <w:r>
                          <w:rPr>
                            <w:b/>
                            <w:sz w:val="16"/>
                          </w:rPr>
                          <w:t>1990</w:t>
                        </w:r>
                      </w:p>
                    </w:tc>
                    <w:tc>
                      <w:tcPr>
                        <w:tcW w:w="818" w:type="dxa"/>
                      </w:tcPr>
                      <w:p>
                        <w:pPr>
                          <w:pStyle w:val="TableParagraph"/>
                          <w:spacing w:before="97"/>
                          <w:ind w:left="291"/>
                          <w:rPr>
                            <w:b/>
                            <w:sz w:val="16"/>
                          </w:rPr>
                        </w:pPr>
                        <w:r>
                          <w:rPr>
                            <w:b/>
                            <w:sz w:val="16"/>
                          </w:rPr>
                          <w:t>2000</w:t>
                        </w:r>
                      </w:p>
                    </w:tc>
                    <w:tc>
                      <w:tcPr>
                        <w:tcW w:w="823" w:type="dxa"/>
                      </w:tcPr>
                      <w:p>
                        <w:pPr>
                          <w:pStyle w:val="TableParagraph"/>
                          <w:spacing w:line="182" w:lineRule="exact" w:before="10"/>
                          <w:ind w:left="188" w:right="80" w:firstLine="9"/>
                          <w:rPr>
                            <w:b/>
                            <w:sz w:val="16"/>
                          </w:rPr>
                        </w:pPr>
                        <w:r>
                          <w:rPr>
                            <w:b/>
                            <w:sz w:val="16"/>
                          </w:rPr>
                          <w:t>Annual Change</w:t>
                        </w:r>
                      </w:p>
                    </w:tc>
                    <w:tc>
                      <w:tcPr>
                        <w:tcW w:w="749" w:type="dxa"/>
                      </w:tcPr>
                      <w:p>
                        <w:pPr>
                          <w:pStyle w:val="TableParagraph"/>
                          <w:spacing w:line="182" w:lineRule="exact" w:before="10"/>
                          <w:ind w:left="255" w:right="40" w:hanging="101"/>
                          <w:rPr>
                            <w:b/>
                            <w:sz w:val="16"/>
                          </w:rPr>
                        </w:pPr>
                        <w:r>
                          <w:rPr>
                            <w:b/>
                            <w:sz w:val="16"/>
                          </w:rPr>
                          <w:t>Change Rate</w:t>
                        </w:r>
                      </w:p>
                    </w:tc>
                  </w:tr>
                  <w:tr>
                    <w:trPr>
                      <w:trHeight w:val="273" w:hRule="atLeast"/>
                    </w:trPr>
                    <w:tc>
                      <w:tcPr>
                        <w:tcW w:w="1238" w:type="dxa"/>
                      </w:tcPr>
                      <w:p>
                        <w:pPr>
                          <w:pStyle w:val="TableParagraph"/>
                          <w:rPr>
                            <w:sz w:val="16"/>
                          </w:rPr>
                        </w:pPr>
                      </w:p>
                    </w:tc>
                    <w:tc>
                      <w:tcPr>
                        <w:tcW w:w="820" w:type="dxa"/>
                      </w:tcPr>
                      <w:p>
                        <w:pPr>
                          <w:pStyle w:val="TableParagraph"/>
                          <w:spacing w:before="40"/>
                          <w:ind w:right="132"/>
                          <w:jc w:val="right"/>
                          <w:rPr>
                            <w:b/>
                            <w:sz w:val="16"/>
                          </w:rPr>
                        </w:pPr>
                        <w:r>
                          <w:rPr>
                            <w:b/>
                            <w:sz w:val="16"/>
                          </w:rPr>
                          <w:t>000 ha</w:t>
                        </w:r>
                      </w:p>
                    </w:tc>
                    <w:tc>
                      <w:tcPr>
                        <w:tcW w:w="818" w:type="dxa"/>
                      </w:tcPr>
                      <w:p>
                        <w:pPr>
                          <w:pStyle w:val="TableParagraph"/>
                          <w:spacing w:before="40"/>
                          <w:ind w:right="129"/>
                          <w:jc w:val="right"/>
                          <w:rPr>
                            <w:b/>
                            <w:sz w:val="16"/>
                          </w:rPr>
                        </w:pPr>
                        <w:r>
                          <w:rPr>
                            <w:b/>
                            <w:sz w:val="16"/>
                          </w:rPr>
                          <w:t>000 ha</w:t>
                        </w:r>
                      </w:p>
                    </w:tc>
                    <w:tc>
                      <w:tcPr>
                        <w:tcW w:w="823" w:type="dxa"/>
                      </w:tcPr>
                      <w:p>
                        <w:pPr>
                          <w:pStyle w:val="TableParagraph"/>
                          <w:spacing w:before="54"/>
                          <w:ind w:left="154"/>
                          <w:rPr>
                            <w:b/>
                            <w:sz w:val="14"/>
                          </w:rPr>
                        </w:pPr>
                        <w:r>
                          <w:rPr>
                            <w:b/>
                            <w:sz w:val="14"/>
                          </w:rPr>
                          <w:t>000 ha /yr</w:t>
                        </w:r>
                      </w:p>
                    </w:tc>
                    <w:tc>
                      <w:tcPr>
                        <w:tcW w:w="749" w:type="dxa"/>
                      </w:tcPr>
                      <w:p>
                        <w:pPr>
                          <w:pStyle w:val="TableParagraph"/>
                          <w:spacing w:before="40"/>
                          <w:ind w:left="198"/>
                          <w:rPr>
                            <w:b/>
                            <w:sz w:val="16"/>
                          </w:rPr>
                        </w:pPr>
                        <w:r>
                          <w:rPr>
                            <w:b/>
                            <w:sz w:val="16"/>
                          </w:rPr>
                          <w:t>% / yr</w:t>
                        </w:r>
                      </w:p>
                    </w:tc>
                  </w:tr>
                  <w:tr>
                    <w:trPr>
                      <w:trHeight w:val="445" w:hRule="atLeast"/>
                    </w:trPr>
                    <w:tc>
                      <w:tcPr>
                        <w:tcW w:w="1238" w:type="dxa"/>
                      </w:tcPr>
                      <w:p>
                        <w:pPr>
                          <w:pStyle w:val="TableParagraph"/>
                          <w:spacing w:before="124"/>
                          <w:ind w:left="57"/>
                          <w:rPr>
                            <w:sz w:val="16"/>
                          </w:rPr>
                        </w:pPr>
                        <w:r>
                          <w:rPr>
                            <w:sz w:val="16"/>
                          </w:rPr>
                          <w:t>Argentina</w:t>
                        </w:r>
                      </w:p>
                    </w:tc>
                    <w:tc>
                      <w:tcPr>
                        <w:tcW w:w="820" w:type="dxa"/>
                      </w:tcPr>
                      <w:p>
                        <w:pPr>
                          <w:pStyle w:val="TableParagraph"/>
                          <w:spacing w:before="124"/>
                          <w:ind w:right="103"/>
                          <w:jc w:val="right"/>
                          <w:rPr>
                            <w:sz w:val="16"/>
                          </w:rPr>
                        </w:pPr>
                        <w:r>
                          <w:rPr>
                            <w:sz w:val="16"/>
                          </w:rPr>
                          <w:t>37 499</w:t>
                        </w:r>
                      </w:p>
                    </w:tc>
                    <w:tc>
                      <w:tcPr>
                        <w:tcW w:w="818" w:type="dxa"/>
                      </w:tcPr>
                      <w:p>
                        <w:pPr>
                          <w:pStyle w:val="TableParagraph"/>
                          <w:spacing w:before="124"/>
                          <w:ind w:right="101"/>
                          <w:jc w:val="right"/>
                          <w:rPr>
                            <w:sz w:val="16"/>
                          </w:rPr>
                        </w:pPr>
                        <w:r>
                          <w:rPr>
                            <w:sz w:val="16"/>
                          </w:rPr>
                          <w:t>34 648</w:t>
                        </w:r>
                      </w:p>
                    </w:tc>
                    <w:tc>
                      <w:tcPr>
                        <w:tcW w:w="823" w:type="dxa"/>
                      </w:tcPr>
                      <w:p>
                        <w:pPr>
                          <w:pStyle w:val="TableParagraph"/>
                          <w:spacing w:before="124"/>
                          <w:ind w:left="303"/>
                          <w:rPr>
                            <w:sz w:val="16"/>
                          </w:rPr>
                        </w:pPr>
                        <w:r>
                          <w:rPr>
                            <w:sz w:val="16"/>
                          </w:rPr>
                          <w:t>-285</w:t>
                        </w:r>
                      </w:p>
                    </w:tc>
                    <w:tc>
                      <w:tcPr>
                        <w:tcW w:w="749" w:type="dxa"/>
                      </w:tcPr>
                      <w:p>
                        <w:pPr>
                          <w:pStyle w:val="TableParagraph"/>
                          <w:spacing w:before="124"/>
                          <w:ind w:left="267"/>
                          <w:rPr>
                            <w:sz w:val="16"/>
                          </w:rPr>
                        </w:pPr>
                        <w:r>
                          <w:rPr>
                            <w:sz w:val="16"/>
                          </w:rPr>
                          <w:t>-0.8</w:t>
                        </w:r>
                      </w:p>
                    </w:tc>
                  </w:tr>
                  <w:tr>
                    <w:trPr>
                      <w:trHeight w:val="273" w:hRule="atLeast"/>
                    </w:trPr>
                    <w:tc>
                      <w:tcPr>
                        <w:tcW w:w="1238" w:type="dxa"/>
                      </w:tcPr>
                      <w:p>
                        <w:pPr>
                          <w:pStyle w:val="TableParagraph"/>
                          <w:spacing w:before="37"/>
                          <w:ind w:left="57"/>
                          <w:rPr>
                            <w:sz w:val="16"/>
                          </w:rPr>
                        </w:pPr>
                        <w:r>
                          <w:rPr>
                            <w:sz w:val="16"/>
                          </w:rPr>
                          <w:t>Bolivia</w:t>
                        </w:r>
                      </w:p>
                    </w:tc>
                    <w:tc>
                      <w:tcPr>
                        <w:tcW w:w="820" w:type="dxa"/>
                      </w:tcPr>
                      <w:p>
                        <w:pPr>
                          <w:pStyle w:val="TableParagraph"/>
                          <w:spacing w:before="37"/>
                          <w:ind w:right="102"/>
                          <w:jc w:val="right"/>
                          <w:rPr>
                            <w:sz w:val="16"/>
                          </w:rPr>
                        </w:pPr>
                        <w:r>
                          <w:rPr>
                            <w:sz w:val="16"/>
                          </w:rPr>
                          <w:t>54 679</w:t>
                        </w:r>
                      </w:p>
                    </w:tc>
                    <w:tc>
                      <w:tcPr>
                        <w:tcW w:w="818" w:type="dxa"/>
                      </w:tcPr>
                      <w:p>
                        <w:pPr>
                          <w:pStyle w:val="TableParagraph"/>
                          <w:spacing w:before="37"/>
                          <w:ind w:right="100"/>
                          <w:jc w:val="right"/>
                          <w:rPr>
                            <w:sz w:val="16"/>
                          </w:rPr>
                        </w:pPr>
                        <w:r>
                          <w:rPr>
                            <w:sz w:val="16"/>
                          </w:rPr>
                          <w:t>53 068</w:t>
                        </w:r>
                      </w:p>
                    </w:tc>
                    <w:tc>
                      <w:tcPr>
                        <w:tcW w:w="823" w:type="dxa"/>
                      </w:tcPr>
                      <w:p>
                        <w:pPr>
                          <w:pStyle w:val="TableParagraph"/>
                          <w:spacing w:before="37"/>
                          <w:ind w:left="304"/>
                          <w:rPr>
                            <w:sz w:val="16"/>
                          </w:rPr>
                        </w:pPr>
                        <w:r>
                          <w:rPr>
                            <w:sz w:val="16"/>
                          </w:rPr>
                          <w:t>-161</w:t>
                        </w:r>
                      </w:p>
                    </w:tc>
                    <w:tc>
                      <w:tcPr>
                        <w:tcW w:w="749" w:type="dxa"/>
                      </w:tcPr>
                      <w:p>
                        <w:pPr>
                          <w:pStyle w:val="TableParagraph"/>
                          <w:spacing w:before="37"/>
                          <w:ind w:left="268"/>
                          <w:rPr>
                            <w:sz w:val="16"/>
                          </w:rPr>
                        </w:pPr>
                        <w:r>
                          <w:rPr>
                            <w:sz w:val="16"/>
                          </w:rPr>
                          <w:t>-0.3</w:t>
                        </w:r>
                      </w:p>
                    </w:tc>
                  </w:tr>
                  <w:tr>
                    <w:trPr>
                      <w:trHeight w:val="273" w:hRule="atLeast"/>
                    </w:trPr>
                    <w:tc>
                      <w:tcPr>
                        <w:tcW w:w="1238" w:type="dxa"/>
                      </w:tcPr>
                      <w:p>
                        <w:pPr>
                          <w:pStyle w:val="TableParagraph"/>
                          <w:spacing w:before="37"/>
                          <w:ind w:left="58"/>
                          <w:rPr>
                            <w:sz w:val="16"/>
                          </w:rPr>
                        </w:pPr>
                        <w:r>
                          <w:rPr>
                            <w:sz w:val="16"/>
                          </w:rPr>
                          <w:t>Brazil</w:t>
                        </w:r>
                      </w:p>
                    </w:tc>
                    <w:tc>
                      <w:tcPr>
                        <w:tcW w:w="820" w:type="dxa"/>
                      </w:tcPr>
                      <w:p>
                        <w:pPr>
                          <w:pStyle w:val="TableParagraph"/>
                          <w:spacing w:before="37"/>
                          <w:ind w:right="101"/>
                          <w:jc w:val="right"/>
                          <w:rPr>
                            <w:sz w:val="16"/>
                          </w:rPr>
                        </w:pPr>
                        <w:r>
                          <w:rPr>
                            <w:sz w:val="16"/>
                          </w:rPr>
                          <w:t>566 998</w:t>
                        </w:r>
                      </w:p>
                    </w:tc>
                    <w:tc>
                      <w:tcPr>
                        <w:tcW w:w="818" w:type="dxa"/>
                      </w:tcPr>
                      <w:p>
                        <w:pPr>
                          <w:pStyle w:val="TableParagraph"/>
                          <w:spacing w:before="37"/>
                          <w:ind w:right="99"/>
                          <w:jc w:val="right"/>
                          <w:rPr>
                            <w:sz w:val="16"/>
                          </w:rPr>
                        </w:pPr>
                        <w:r>
                          <w:rPr>
                            <w:sz w:val="16"/>
                          </w:rPr>
                          <w:t>543 905</w:t>
                        </w:r>
                      </w:p>
                    </w:tc>
                    <w:tc>
                      <w:tcPr>
                        <w:tcW w:w="823" w:type="dxa"/>
                      </w:tcPr>
                      <w:p>
                        <w:pPr>
                          <w:pStyle w:val="TableParagraph"/>
                          <w:spacing w:before="37"/>
                          <w:ind w:left="184"/>
                          <w:rPr>
                            <w:sz w:val="16"/>
                          </w:rPr>
                        </w:pPr>
                        <w:r>
                          <w:rPr>
                            <w:sz w:val="16"/>
                          </w:rPr>
                          <w:t>-2 309</w:t>
                        </w:r>
                      </w:p>
                    </w:tc>
                    <w:tc>
                      <w:tcPr>
                        <w:tcW w:w="749" w:type="dxa"/>
                      </w:tcPr>
                      <w:p>
                        <w:pPr>
                          <w:pStyle w:val="TableParagraph"/>
                          <w:spacing w:before="37"/>
                          <w:ind w:left="268"/>
                          <w:rPr>
                            <w:sz w:val="16"/>
                          </w:rPr>
                        </w:pPr>
                        <w:r>
                          <w:rPr>
                            <w:sz w:val="16"/>
                          </w:rPr>
                          <w:t>-0.4</w:t>
                        </w:r>
                      </w:p>
                    </w:tc>
                  </w:tr>
                  <w:tr>
                    <w:trPr>
                      <w:trHeight w:val="275" w:hRule="atLeast"/>
                    </w:trPr>
                    <w:tc>
                      <w:tcPr>
                        <w:tcW w:w="1238" w:type="dxa"/>
                      </w:tcPr>
                      <w:p>
                        <w:pPr>
                          <w:pStyle w:val="TableParagraph"/>
                          <w:spacing w:before="37"/>
                          <w:ind w:left="57"/>
                          <w:rPr>
                            <w:sz w:val="16"/>
                          </w:rPr>
                        </w:pPr>
                        <w:r>
                          <w:rPr>
                            <w:sz w:val="16"/>
                          </w:rPr>
                          <w:t>Chile</w:t>
                        </w:r>
                      </w:p>
                    </w:tc>
                    <w:tc>
                      <w:tcPr>
                        <w:tcW w:w="820" w:type="dxa"/>
                      </w:tcPr>
                      <w:p>
                        <w:pPr>
                          <w:pStyle w:val="TableParagraph"/>
                          <w:spacing w:before="37"/>
                          <w:ind w:right="103"/>
                          <w:jc w:val="right"/>
                          <w:rPr>
                            <w:sz w:val="16"/>
                          </w:rPr>
                        </w:pPr>
                        <w:r>
                          <w:rPr>
                            <w:sz w:val="16"/>
                          </w:rPr>
                          <w:t>15 739</w:t>
                        </w:r>
                      </w:p>
                    </w:tc>
                    <w:tc>
                      <w:tcPr>
                        <w:tcW w:w="818" w:type="dxa"/>
                      </w:tcPr>
                      <w:p>
                        <w:pPr>
                          <w:pStyle w:val="TableParagraph"/>
                          <w:spacing w:before="37"/>
                          <w:ind w:right="100"/>
                          <w:jc w:val="right"/>
                          <w:rPr>
                            <w:sz w:val="16"/>
                          </w:rPr>
                        </w:pPr>
                        <w:r>
                          <w:rPr>
                            <w:sz w:val="16"/>
                          </w:rPr>
                          <w:t>15 536</w:t>
                        </w:r>
                      </w:p>
                    </w:tc>
                    <w:tc>
                      <w:tcPr>
                        <w:tcW w:w="823" w:type="dxa"/>
                      </w:tcPr>
                      <w:p>
                        <w:pPr>
                          <w:pStyle w:val="TableParagraph"/>
                          <w:spacing w:before="37"/>
                          <w:ind w:left="382"/>
                          <w:rPr>
                            <w:sz w:val="16"/>
                          </w:rPr>
                        </w:pPr>
                        <w:r>
                          <w:rPr>
                            <w:sz w:val="16"/>
                          </w:rPr>
                          <w:t>-20</w:t>
                        </w:r>
                      </w:p>
                    </w:tc>
                    <w:tc>
                      <w:tcPr>
                        <w:tcW w:w="749" w:type="dxa"/>
                      </w:tcPr>
                      <w:p>
                        <w:pPr>
                          <w:pStyle w:val="TableParagraph"/>
                          <w:spacing w:before="37"/>
                          <w:ind w:left="267"/>
                          <w:rPr>
                            <w:sz w:val="16"/>
                          </w:rPr>
                        </w:pPr>
                        <w:r>
                          <w:rPr>
                            <w:sz w:val="16"/>
                          </w:rPr>
                          <w:t>-0.1</w:t>
                        </w:r>
                      </w:p>
                    </w:tc>
                  </w:tr>
                  <w:tr>
                    <w:trPr>
                      <w:trHeight w:val="273" w:hRule="atLeast"/>
                    </w:trPr>
                    <w:tc>
                      <w:tcPr>
                        <w:tcW w:w="1238" w:type="dxa"/>
                      </w:tcPr>
                      <w:p>
                        <w:pPr>
                          <w:pStyle w:val="TableParagraph"/>
                          <w:spacing w:before="37"/>
                          <w:ind w:left="56"/>
                          <w:rPr>
                            <w:sz w:val="16"/>
                          </w:rPr>
                        </w:pPr>
                        <w:r>
                          <w:rPr>
                            <w:sz w:val="16"/>
                          </w:rPr>
                          <w:t>Colombia</w:t>
                        </w:r>
                      </w:p>
                    </w:tc>
                    <w:tc>
                      <w:tcPr>
                        <w:tcW w:w="820" w:type="dxa"/>
                      </w:tcPr>
                      <w:p>
                        <w:pPr>
                          <w:pStyle w:val="TableParagraph"/>
                          <w:spacing w:before="37"/>
                          <w:ind w:right="103"/>
                          <w:jc w:val="right"/>
                          <w:rPr>
                            <w:sz w:val="16"/>
                          </w:rPr>
                        </w:pPr>
                        <w:r>
                          <w:rPr>
                            <w:sz w:val="16"/>
                          </w:rPr>
                          <w:t>51 506</w:t>
                        </w:r>
                      </w:p>
                    </w:tc>
                    <w:tc>
                      <w:tcPr>
                        <w:tcW w:w="818" w:type="dxa"/>
                      </w:tcPr>
                      <w:p>
                        <w:pPr>
                          <w:pStyle w:val="TableParagraph"/>
                          <w:spacing w:before="37"/>
                          <w:ind w:right="100"/>
                          <w:jc w:val="right"/>
                          <w:rPr>
                            <w:sz w:val="16"/>
                          </w:rPr>
                        </w:pPr>
                        <w:r>
                          <w:rPr>
                            <w:sz w:val="16"/>
                          </w:rPr>
                          <w:t>49 601</w:t>
                        </w:r>
                      </w:p>
                    </w:tc>
                    <w:tc>
                      <w:tcPr>
                        <w:tcW w:w="823" w:type="dxa"/>
                      </w:tcPr>
                      <w:p>
                        <w:pPr>
                          <w:pStyle w:val="TableParagraph"/>
                          <w:spacing w:before="37"/>
                          <w:ind w:left="304"/>
                          <w:rPr>
                            <w:sz w:val="16"/>
                          </w:rPr>
                        </w:pPr>
                        <w:r>
                          <w:rPr>
                            <w:sz w:val="16"/>
                          </w:rPr>
                          <w:t>-190</w:t>
                        </w:r>
                      </w:p>
                    </w:tc>
                    <w:tc>
                      <w:tcPr>
                        <w:tcW w:w="749" w:type="dxa"/>
                      </w:tcPr>
                      <w:p>
                        <w:pPr>
                          <w:pStyle w:val="TableParagraph"/>
                          <w:spacing w:before="37"/>
                          <w:ind w:left="269"/>
                          <w:rPr>
                            <w:sz w:val="16"/>
                          </w:rPr>
                        </w:pPr>
                        <w:r>
                          <w:rPr>
                            <w:sz w:val="16"/>
                          </w:rPr>
                          <w:t>-0.4</w:t>
                        </w:r>
                      </w:p>
                    </w:tc>
                  </w:tr>
                  <w:tr>
                    <w:trPr>
                      <w:trHeight w:val="443" w:hRule="atLeast"/>
                    </w:trPr>
                    <w:tc>
                      <w:tcPr>
                        <w:tcW w:w="1238" w:type="dxa"/>
                      </w:tcPr>
                      <w:p>
                        <w:pPr>
                          <w:pStyle w:val="TableParagraph"/>
                          <w:spacing w:before="124"/>
                          <w:ind w:left="57"/>
                          <w:rPr>
                            <w:sz w:val="16"/>
                          </w:rPr>
                        </w:pPr>
                        <w:r>
                          <w:rPr>
                            <w:sz w:val="16"/>
                          </w:rPr>
                          <w:t>Ecuador</w:t>
                        </w:r>
                      </w:p>
                    </w:tc>
                    <w:tc>
                      <w:tcPr>
                        <w:tcW w:w="820" w:type="dxa"/>
                      </w:tcPr>
                      <w:p>
                        <w:pPr>
                          <w:pStyle w:val="TableParagraph"/>
                          <w:spacing w:before="124"/>
                          <w:ind w:right="103"/>
                          <w:jc w:val="right"/>
                          <w:rPr>
                            <w:sz w:val="16"/>
                          </w:rPr>
                        </w:pPr>
                        <w:r>
                          <w:rPr>
                            <w:sz w:val="16"/>
                          </w:rPr>
                          <w:t>11 929</w:t>
                        </w:r>
                      </w:p>
                    </w:tc>
                    <w:tc>
                      <w:tcPr>
                        <w:tcW w:w="818" w:type="dxa"/>
                      </w:tcPr>
                      <w:p>
                        <w:pPr>
                          <w:pStyle w:val="TableParagraph"/>
                          <w:spacing w:before="124"/>
                          <w:ind w:right="100"/>
                          <w:jc w:val="right"/>
                          <w:rPr>
                            <w:sz w:val="16"/>
                          </w:rPr>
                        </w:pPr>
                        <w:r>
                          <w:rPr>
                            <w:sz w:val="16"/>
                          </w:rPr>
                          <w:t>10 557</w:t>
                        </w:r>
                      </w:p>
                    </w:tc>
                    <w:tc>
                      <w:tcPr>
                        <w:tcW w:w="823" w:type="dxa"/>
                      </w:tcPr>
                      <w:p>
                        <w:pPr>
                          <w:pStyle w:val="TableParagraph"/>
                          <w:spacing w:before="124"/>
                          <w:ind w:left="303"/>
                          <w:rPr>
                            <w:sz w:val="16"/>
                          </w:rPr>
                        </w:pPr>
                        <w:r>
                          <w:rPr>
                            <w:sz w:val="16"/>
                          </w:rPr>
                          <w:t>-137</w:t>
                        </w:r>
                      </w:p>
                    </w:tc>
                    <w:tc>
                      <w:tcPr>
                        <w:tcW w:w="749" w:type="dxa"/>
                      </w:tcPr>
                      <w:p>
                        <w:pPr>
                          <w:pStyle w:val="TableParagraph"/>
                          <w:spacing w:before="124"/>
                          <w:ind w:left="267"/>
                          <w:rPr>
                            <w:sz w:val="16"/>
                          </w:rPr>
                        </w:pPr>
                        <w:r>
                          <w:rPr>
                            <w:sz w:val="16"/>
                          </w:rPr>
                          <w:t>-1.2</w:t>
                        </w:r>
                      </w:p>
                    </w:tc>
                  </w:tr>
                  <w:tr>
                    <w:trPr>
                      <w:trHeight w:val="273" w:hRule="atLeast"/>
                    </w:trPr>
                    <w:tc>
                      <w:tcPr>
                        <w:tcW w:w="1238" w:type="dxa"/>
                      </w:tcPr>
                      <w:p>
                        <w:pPr>
                          <w:pStyle w:val="TableParagraph"/>
                          <w:spacing w:before="37"/>
                          <w:ind w:left="58"/>
                          <w:rPr>
                            <w:sz w:val="16"/>
                          </w:rPr>
                        </w:pPr>
                        <w:r>
                          <w:rPr>
                            <w:sz w:val="16"/>
                          </w:rPr>
                          <w:t>Falkland Islands</w:t>
                        </w:r>
                      </w:p>
                    </w:tc>
                    <w:tc>
                      <w:tcPr>
                        <w:tcW w:w="820" w:type="dxa"/>
                      </w:tcPr>
                      <w:p>
                        <w:pPr>
                          <w:pStyle w:val="TableParagraph"/>
                          <w:spacing w:before="37"/>
                          <w:ind w:right="102"/>
                          <w:jc w:val="right"/>
                          <w:rPr>
                            <w:sz w:val="16"/>
                          </w:rPr>
                        </w:pPr>
                        <w:r>
                          <w:rPr>
                            <w:w w:val="100"/>
                            <w:sz w:val="16"/>
                          </w:rPr>
                          <w:t>-</w:t>
                        </w:r>
                      </w:p>
                    </w:tc>
                    <w:tc>
                      <w:tcPr>
                        <w:tcW w:w="818" w:type="dxa"/>
                      </w:tcPr>
                      <w:p>
                        <w:pPr>
                          <w:pStyle w:val="TableParagraph"/>
                          <w:spacing w:before="37"/>
                          <w:ind w:right="98"/>
                          <w:jc w:val="right"/>
                          <w:rPr>
                            <w:sz w:val="16"/>
                          </w:rPr>
                        </w:pPr>
                        <w:r>
                          <w:rPr>
                            <w:w w:val="100"/>
                            <w:sz w:val="16"/>
                          </w:rPr>
                          <w:t>-</w:t>
                        </w:r>
                      </w:p>
                    </w:tc>
                    <w:tc>
                      <w:tcPr>
                        <w:tcW w:w="823" w:type="dxa"/>
                      </w:tcPr>
                      <w:p>
                        <w:pPr>
                          <w:pStyle w:val="TableParagraph"/>
                          <w:spacing w:before="37"/>
                          <w:ind w:right="210"/>
                          <w:jc w:val="right"/>
                          <w:rPr>
                            <w:sz w:val="16"/>
                          </w:rPr>
                        </w:pPr>
                        <w:r>
                          <w:rPr>
                            <w:w w:val="100"/>
                            <w:sz w:val="16"/>
                          </w:rPr>
                          <w:t>-</w:t>
                        </w:r>
                      </w:p>
                    </w:tc>
                    <w:tc>
                      <w:tcPr>
                        <w:tcW w:w="749" w:type="dxa"/>
                      </w:tcPr>
                      <w:p>
                        <w:pPr>
                          <w:pStyle w:val="TableParagraph"/>
                          <w:spacing w:before="37"/>
                          <w:ind w:left="472"/>
                          <w:rPr>
                            <w:sz w:val="16"/>
                          </w:rPr>
                        </w:pPr>
                        <w:r>
                          <w:rPr>
                            <w:w w:val="100"/>
                            <w:sz w:val="16"/>
                          </w:rPr>
                          <w:t>-</w:t>
                        </w:r>
                      </w:p>
                    </w:tc>
                  </w:tr>
                  <w:tr>
                    <w:trPr>
                      <w:trHeight w:val="445" w:hRule="atLeast"/>
                    </w:trPr>
                    <w:tc>
                      <w:tcPr>
                        <w:tcW w:w="1238" w:type="dxa"/>
                      </w:tcPr>
                      <w:p>
                        <w:pPr>
                          <w:pStyle w:val="TableParagraph"/>
                          <w:spacing w:before="124"/>
                          <w:ind w:left="57"/>
                          <w:rPr>
                            <w:sz w:val="16"/>
                          </w:rPr>
                        </w:pPr>
                        <w:r>
                          <w:rPr>
                            <w:sz w:val="16"/>
                          </w:rPr>
                          <w:t>French Guiana</w:t>
                        </w:r>
                      </w:p>
                    </w:tc>
                    <w:tc>
                      <w:tcPr>
                        <w:tcW w:w="820" w:type="dxa"/>
                      </w:tcPr>
                      <w:p>
                        <w:pPr>
                          <w:pStyle w:val="TableParagraph"/>
                          <w:spacing w:before="124"/>
                          <w:ind w:right="102"/>
                          <w:jc w:val="right"/>
                          <w:rPr>
                            <w:sz w:val="16"/>
                          </w:rPr>
                        </w:pPr>
                        <w:r>
                          <w:rPr>
                            <w:sz w:val="16"/>
                          </w:rPr>
                          <w:t>7 926</w:t>
                        </w:r>
                      </w:p>
                    </w:tc>
                    <w:tc>
                      <w:tcPr>
                        <w:tcW w:w="818" w:type="dxa"/>
                      </w:tcPr>
                      <w:p>
                        <w:pPr>
                          <w:pStyle w:val="TableParagraph"/>
                          <w:spacing w:before="124"/>
                          <w:ind w:right="100"/>
                          <w:jc w:val="right"/>
                          <w:rPr>
                            <w:sz w:val="16"/>
                          </w:rPr>
                        </w:pPr>
                        <w:r>
                          <w:rPr>
                            <w:sz w:val="16"/>
                          </w:rPr>
                          <w:t>7 926</w:t>
                        </w:r>
                      </w:p>
                    </w:tc>
                    <w:tc>
                      <w:tcPr>
                        <w:tcW w:w="823" w:type="dxa"/>
                      </w:tcPr>
                      <w:p>
                        <w:pPr>
                          <w:pStyle w:val="TableParagraph"/>
                          <w:spacing w:before="124"/>
                          <w:ind w:left="373"/>
                          <w:rPr>
                            <w:sz w:val="16"/>
                          </w:rPr>
                        </w:pPr>
                        <w:r>
                          <w:rPr>
                            <w:sz w:val="16"/>
                          </w:rPr>
                          <w:t>n.s.</w:t>
                        </w:r>
                      </w:p>
                    </w:tc>
                    <w:tc>
                      <w:tcPr>
                        <w:tcW w:w="749" w:type="dxa"/>
                      </w:tcPr>
                      <w:p>
                        <w:pPr>
                          <w:pStyle w:val="TableParagraph"/>
                          <w:spacing w:before="124"/>
                          <w:ind w:left="299"/>
                          <w:rPr>
                            <w:sz w:val="16"/>
                          </w:rPr>
                        </w:pPr>
                        <w:r>
                          <w:rPr>
                            <w:sz w:val="16"/>
                          </w:rPr>
                          <w:t>n.s.</w:t>
                        </w:r>
                      </w:p>
                    </w:tc>
                  </w:tr>
                  <w:tr>
                    <w:trPr>
                      <w:trHeight w:val="273" w:hRule="atLeast"/>
                    </w:trPr>
                    <w:tc>
                      <w:tcPr>
                        <w:tcW w:w="1238" w:type="dxa"/>
                      </w:tcPr>
                      <w:p>
                        <w:pPr>
                          <w:pStyle w:val="TableParagraph"/>
                          <w:spacing w:before="37"/>
                          <w:ind w:left="57"/>
                          <w:rPr>
                            <w:sz w:val="16"/>
                          </w:rPr>
                        </w:pPr>
                        <w:r>
                          <w:rPr>
                            <w:sz w:val="16"/>
                          </w:rPr>
                          <w:t>Guyana</w:t>
                        </w:r>
                      </w:p>
                    </w:tc>
                    <w:tc>
                      <w:tcPr>
                        <w:tcW w:w="820" w:type="dxa"/>
                      </w:tcPr>
                      <w:p>
                        <w:pPr>
                          <w:pStyle w:val="TableParagraph"/>
                          <w:spacing w:before="37"/>
                          <w:ind w:right="102"/>
                          <w:jc w:val="right"/>
                          <w:rPr>
                            <w:sz w:val="16"/>
                          </w:rPr>
                        </w:pPr>
                        <w:r>
                          <w:rPr>
                            <w:sz w:val="16"/>
                          </w:rPr>
                          <w:t>17 365</w:t>
                        </w:r>
                      </w:p>
                    </w:tc>
                    <w:tc>
                      <w:tcPr>
                        <w:tcW w:w="818" w:type="dxa"/>
                      </w:tcPr>
                      <w:p>
                        <w:pPr>
                          <w:pStyle w:val="TableParagraph"/>
                          <w:spacing w:before="37"/>
                          <w:ind w:right="100"/>
                          <w:jc w:val="right"/>
                          <w:rPr>
                            <w:sz w:val="16"/>
                          </w:rPr>
                        </w:pPr>
                        <w:r>
                          <w:rPr>
                            <w:sz w:val="16"/>
                          </w:rPr>
                          <w:t>16 879</w:t>
                        </w:r>
                      </w:p>
                    </w:tc>
                    <w:tc>
                      <w:tcPr>
                        <w:tcW w:w="823" w:type="dxa"/>
                      </w:tcPr>
                      <w:p>
                        <w:pPr>
                          <w:pStyle w:val="TableParagraph"/>
                          <w:spacing w:before="37"/>
                          <w:ind w:left="383"/>
                          <w:rPr>
                            <w:sz w:val="16"/>
                          </w:rPr>
                        </w:pPr>
                        <w:r>
                          <w:rPr>
                            <w:sz w:val="16"/>
                          </w:rPr>
                          <w:t>-49</w:t>
                        </w:r>
                      </w:p>
                    </w:tc>
                    <w:tc>
                      <w:tcPr>
                        <w:tcW w:w="749" w:type="dxa"/>
                      </w:tcPr>
                      <w:p>
                        <w:pPr>
                          <w:pStyle w:val="TableParagraph"/>
                          <w:spacing w:before="37"/>
                          <w:ind w:left="267"/>
                          <w:rPr>
                            <w:sz w:val="16"/>
                          </w:rPr>
                        </w:pPr>
                        <w:r>
                          <w:rPr>
                            <w:sz w:val="16"/>
                          </w:rPr>
                          <w:t>-0.3</w:t>
                        </w:r>
                      </w:p>
                    </w:tc>
                  </w:tr>
                  <w:tr>
                    <w:trPr>
                      <w:trHeight w:val="273" w:hRule="atLeast"/>
                    </w:trPr>
                    <w:tc>
                      <w:tcPr>
                        <w:tcW w:w="1238" w:type="dxa"/>
                      </w:tcPr>
                      <w:p>
                        <w:pPr>
                          <w:pStyle w:val="TableParagraph"/>
                          <w:spacing w:before="37"/>
                          <w:ind w:left="56"/>
                          <w:rPr>
                            <w:sz w:val="16"/>
                          </w:rPr>
                        </w:pPr>
                        <w:r>
                          <w:rPr>
                            <w:sz w:val="16"/>
                          </w:rPr>
                          <w:t>Paraguay</w:t>
                        </w:r>
                      </w:p>
                    </w:tc>
                    <w:tc>
                      <w:tcPr>
                        <w:tcW w:w="820" w:type="dxa"/>
                      </w:tcPr>
                      <w:p>
                        <w:pPr>
                          <w:pStyle w:val="TableParagraph"/>
                          <w:spacing w:before="37"/>
                          <w:ind w:right="103"/>
                          <w:jc w:val="right"/>
                          <w:rPr>
                            <w:sz w:val="16"/>
                          </w:rPr>
                        </w:pPr>
                        <w:r>
                          <w:rPr>
                            <w:sz w:val="16"/>
                          </w:rPr>
                          <w:t>24 602</w:t>
                        </w:r>
                      </w:p>
                    </w:tc>
                    <w:tc>
                      <w:tcPr>
                        <w:tcW w:w="818" w:type="dxa"/>
                      </w:tcPr>
                      <w:p>
                        <w:pPr>
                          <w:pStyle w:val="TableParagraph"/>
                          <w:spacing w:before="37"/>
                          <w:ind w:right="100"/>
                          <w:jc w:val="right"/>
                          <w:rPr>
                            <w:sz w:val="16"/>
                          </w:rPr>
                        </w:pPr>
                        <w:r>
                          <w:rPr>
                            <w:sz w:val="16"/>
                          </w:rPr>
                          <w:t>23 372</w:t>
                        </w:r>
                      </w:p>
                    </w:tc>
                    <w:tc>
                      <w:tcPr>
                        <w:tcW w:w="823" w:type="dxa"/>
                      </w:tcPr>
                      <w:p>
                        <w:pPr>
                          <w:pStyle w:val="TableParagraph"/>
                          <w:spacing w:before="37"/>
                          <w:ind w:left="303"/>
                          <w:rPr>
                            <w:sz w:val="16"/>
                          </w:rPr>
                        </w:pPr>
                        <w:r>
                          <w:rPr>
                            <w:sz w:val="16"/>
                          </w:rPr>
                          <w:t>-123</w:t>
                        </w:r>
                      </w:p>
                    </w:tc>
                    <w:tc>
                      <w:tcPr>
                        <w:tcW w:w="749" w:type="dxa"/>
                      </w:tcPr>
                      <w:p>
                        <w:pPr>
                          <w:pStyle w:val="TableParagraph"/>
                          <w:spacing w:before="37"/>
                          <w:ind w:left="267"/>
                          <w:rPr>
                            <w:sz w:val="16"/>
                          </w:rPr>
                        </w:pPr>
                        <w:r>
                          <w:rPr>
                            <w:sz w:val="16"/>
                          </w:rPr>
                          <w:t>-0.5</w:t>
                        </w:r>
                      </w:p>
                    </w:tc>
                  </w:tr>
                  <w:tr>
                    <w:trPr>
                      <w:trHeight w:val="275" w:hRule="atLeast"/>
                    </w:trPr>
                    <w:tc>
                      <w:tcPr>
                        <w:tcW w:w="1238" w:type="dxa"/>
                      </w:tcPr>
                      <w:p>
                        <w:pPr>
                          <w:pStyle w:val="TableParagraph"/>
                          <w:spacing w:before="37"/>
                          <w:ind w:left="57"/>
                          <w:rPr>
                            <w:sz w:val="16"/>
                          </w:rPr>
                        </w:pPr>
                        <w:r>
                          <w:rPr>
                            <w:sz w:val="16"/>
                          </w:rPr>
                          <w:t>Peru</w:t>
                        </w:r>
                      </w:p>
                    </w:tc>
                    <w:tc>
                      <w:tcPr>
                        <w:tcW w:w="820" w:type="dxa"/>
                      </w:tcPr>
                      <w:p>
                        <w:pPr>
                          <w:pStyle w:val="TableParagraph"/>
                          <w:spacing w:before="37"/>
                          <w:ind w:right="103"/>
                          <w:jc w:val="right"/>
                          <w:rPr>
                            <w:sz w:val="16"/>
                          </w:rPr>
                        </w:pPr>
                        <w:r>
                          <w:rPr>
                            <w:sz w:val="16"/>
                          </w:rPr>
                          <w:t>67 903</w:t>
                        </w:r>
                      </w:p>
                    </w:tc>
                    <w:tc>
                      <w:tcPr>
                        <w:tcW w:w="818" w:type="dxa"/>
                      </w:tcPr>
                      <w:p>
                        <w:pPr>
                          <w:pStyle w:val="TableParagraph"/>
                          <w:spacing w:before="37"/>
                          <w:ind w:right="100"/>
                          <w:jc w:val="right"/>
                          <w:rPr>
                            <w:sz w:val="16"/>
                          </w:rPr>
                        </w:pPr>
                        <w:r>
                          <w:rPr>
                            <w:sz w:val="16"/>
                          </w:rPr>
                          <w:t>65 215</w:t>
                        </w:r>
                      </w:p>
                    </w:tc>
                    <w:tc>
                      <w:tcPr>
                        <w:tcW w:w="823" w:type="dxa"/>
                      </w:tcPr>
                      <w:p>
                        <w:pPr>
                          <w:pStyle w:val="TableParagraph"/>
                          <w:spacing w:before="37"/>
                          <w:ind w:left="303"/>
                          <w:rPr>
                            <w:sz w:val="16"/>
                          </w:rPr>
                        </w:pPr>
                        <w:r>
                          <w:rPr>
                            <w:sz w:val="16"/>
                          </w:rPr>
                          <w:t>-269</w:t>
                        </w:r>
                      </w:p>
                    </w:tc>
                    <w:tc>
                      <w:tcPr>
                        <w:tcW w:w="749" w:type="dxa"/>
                      </w:tcPr>
                      <w:p>
                        <w:pPr>
                          <w:pStyle w:val="TableParagraph"/>
                          <w:spacing w:before="37"/>
                          <w:ind w:left="267"/>
                          <w:rPr>
                            <w:sz w:val="16"/>
                          </w:rPr>
                        </w:pPr>
                        <w:r>
                          <w:rPr>
                            <w:sz w:val="16"/>
                          </w:rPr>
                          <w:t>-0.4</w:t>
                        </w:r>
                      </w:p>
                    </w:tc>
                  </w:tr>
                  <w:tr>
                    <w:trPr>
                      <w:trHeight w:val="443" w:hRule="atLeast"/>
                    </w:trPr>
                    <w:tc>
                      <w:tcPr>
                        <w:tcW w:w="1238" w:type="dxa"/>
                      </w:tcPr>
                      <w:p>
                        <w:pPr>
                          <w:pStyle w:val="TableParagraph"/>
                          <w:spacing w:before="124"/>
                          <w:ind w:left="57"/>
                          <w:rPr>
                            <w:sz w:val="16"/>
                          </w:rPr>
                        </w:pPr>
                        <w:r>
                          <w:rPr>
                            <w:sz w:val="16"/>
                          </w:rPr>
                          <w:t>Suriname</w:t>
                        </w:r>
                      </w:p>
                    </w:tc>
                    <w:tc>
                      <w:tcPr>
                        <w:tcW w:w="820" w:type="dxa"/>
                      </w:tcPr>
                      <w:p>
                        <w:pPr>
                          <w:pStyle w:val="TableParagraph"/>
                          <w:spacing w:before="124"/>
                          <w:ind w:right="103"/>
                          <w:jc w:val="right"/>
                          <w:rPr>
                            <w:sz w:val="16"/>
                          </w:rPr>
                        </w:pPr>
                        <w:r>
                          <w:rPr>
                            <w:sz w:val="16"/>
                          </w:rPr>
                          <w:t>14 113</w:t>
                        </w:r>
                      </w:p>
                    </w:tc>
                    <w:tc>
                      <w:tcPr>
                        <w:tcW w:w="818" w:type="dxa"/>
                      </w:tcPr>
                      <w:p>
                        <w:pPr>
                          <w:pStyle w:val="TableParagraph"/>
                          <w:spacing w:before="124"/>
                          <w:ind w:right="100"/>
                          <w:jc w:val="right"/>
                          <w:rPr>
                            <w:sz w:val="16"/>
                          </w:rPr>
                        </w:pPr>
                        <w:r>
                          <w:rPr>
                            <w:sz w:val="16"/>
                          </w:rPr>
                          <w:t>14 113</w:t>
                        </w:r>
                      </w:p>
                    </w:tc>
                    <w:tc>
                      <w:tcPr>
                        <w:tcW w:w="823" w:type="dxa"/>
                      </w:tcPr>
                      <w:p>
                        <w:pPr>
                          <w:pStyle w:val="TableParagraph"/>
                          <w:spacing w:before="124"/>
                          <w:ind w:left="373"/>
                          <w:rPr>
                            <w:sz w:val="16"/>
                          </w:rPr>
                        </w:pPr>
                        <w:r>
                          <w:rPr>
                            <w:sz w:val="16"/>
                          </w:rPr>
                          <w:t>n.s.</w:t>
                        </w:r>
                      </w:p>
                    </w:tc>
                    <w:tc>
                      <w:tcPr>
                        <w:tcW w:w="749" w:type="dxa"/>
                      </w:tcPr>
                      <w:p>
                        <w:pPr>
                          <w:pStyle w:val="TableParagraph"/>
                          <w:spacing w:before="124"/>
                          <w:ind w:left="299"/>
                          <w:rPr>
                            <w:sz w:val="16"/>
                          </w:rPr>
                        </w:pPr>
                        <w:r>
                          <w:rPr>
                            <w:sz w:val="16"/>
                          </w:rPr>
                          <w:t>n.s.</w:t>
                        </w:r>
                      </w:p>
                    </w:tc>
                  </w:tr>
                  <w:tr>
                    <w:trPr>
                      <w:trHeight w:val="273" w:hRule="atLeast"/>
                    </w:trPr>
                    <w:tc>
                      <w:tcPr>
                        <w:tcW w:w="1238" w:type="dxa"/>
                      </w:tcPr>
                      <w:p>
                        <w:pPr>
                          <w:pStyle w:val="TableParagraph"/>
                          <w:spacing w:before="37"/>
                          <w:ind w:left="58"/>
                          <w:rPr>
                            <w:sz w:val="16"/>
                          </w:rPr>
                        </w:pPr>
                        <w:r>
                          <w:rPr>
                            <w:sz w:val="16"/>
                          </w:rPr>
                          <w:t>Uruguay</w:t>
                        </w:r>
                      </w:p>
                    </w:tc>
                    <w:tc>
                      <w:tcPr>
                        <w:tcW w:w="820" w:type="dxa"/>
                      </w:tcPr>
                      <w:p>
                        <w:pPr>
                          <w:pStyle w:val="TableParagraph"/>
                          <w:spacing w:before="37"/>
                          <w:ind w:right="102"/>
                          <w:jc w:val="right"/>
                          <w:rPr>
                            <w:sz w:val="16"/>
                          </w:rPr>
                        </w:pPr>
                        <w:r>
                          <w:rPr>
                            <w:sz w:val="16"/>
                          </w:rPr>
                          <w:t>791</w:t>
                        </w:r>
                      </w:p>
                    </w:tc>
                    <w:tc>
                      <w:tcPr>
                        <w:tcW w:w="818" w:type="dxa"/>
                      </w:tcPr>
                      <w:p>
                        <w:pPr>
                          <w:pStyle w:val="TableParagraph"/>
                          <w:spacing w:before="37"/>
                          <w:ind w:right="99"/>
                          <w:jc w:val="right"/>
                          <w:rPr>
                            <w:sz w:val="16"/>
                          </w:rPr>
                        </w:pPr>
                        <w:r>
                          <w:rPr>
                            <w:sz w:val="16"/>
                          </w:rPr>
                          <w:t>1 292</w:t>
                        </w:r>
                      </w:p>
                    </w:tc>
                    <w:tc>
                      <w:tcPr>
                        <w:tcW w:w="823" w:type="dxa"/>
                      </w:tcPr>
                      <w:p>
                        <w:pPr>
                          <w:pStyle w:val="TableParagraph"/>
                          <w:spacing w:before="37"/>
                          <w:ind w:left="436"/>
                          <w:rPr>
                            <w:sz w:val="16"/>
                          </w:rPr>
                        </w:pPr>
                        <w:r>
                          <w:rPr>
                            <w:sz w:val="16"/>
                          </w:rPr>
                          <w:t>50</w:t>
                        </w:r>
                      </w:p>
                    </w:tc>
                    <w:tc>
                      <w:tcPr>
                        <w:tcW w:w="749" w:type="dxa"/>
                      </w:tcPr>
                      <w:p>
                        <w:pPr>
                          <w:pStyle w:val="TableParagraph"/>
                          <w:spacing w:before="37"/>
                          <w:ind w:left="323"/>
                          <w:rPr>
                            <w:sz w:val="16"/>
                          </w:rPr>
                        </w:pPr>
                        <w:r>
                          <w:rPr>
                            <w:sz w:val="16"/>
                          </w:rPr>
                          <w:t>5.0</w:t>
                        </w:r>
                      </w:p>
                    </w:tc>
                  </w:tr>
                  <w:tr>
                    <w:trPr>
                      <w:trHeight w:val="273" w:hRule="atLeast"/>
                    </w:trPr>
                    <w:tc>
                      <w:tcPr>
                        <w:tcW w:w="1238" w:type="dxa"/>
                      </w:tcPr>
                      <w:p>
                        <w:pPr>
                          <w:pStyle w:val="TableParagraph"/>
                          <w:spacing w:before="37"/>
                          <w:ind w:left="57"/>
                          <w:rPr>
                            <w:sz w:val="16"/>
                          </w:rPr>
                        </w:pPr>
                        <w:r>
                          <w:rPr>
                            <w:sz w:val="16"/>
                          </w:rPr>
                          <w:t>Venezuela</w:t>
                        </w:r>
                      </w:p>
                    </w:tc>
                    <w:tc>
                      <w:tcPr>
                        <w:tcW w:w="820" w:type="dxa"/>
                      </w:tcPr>
                      <w:p>
                        <w:pPr>
                          <w:pStyle w:val="TableParagraph"/>
                          <w:spacing w:before="37"/>
                          <w:ind w:right="103"/>
                          <w:jc w:val="right"/>
                          <w:rPr>
                            <w:sz w:val="16"/>
                          </w:rPr>
                        </w:pPr>
                        <w:r>
                          <w:rPr>
                            <w:sz w:val="16"/>
                          </w:rPr>
                          <w:t>51 681</w:t>
                        </w:r>
                      </w:p>
                    </w:tc>
                    <w:tc>
                      <w:tcPr>
                        <w:tcW w:w="818" w:type="dxa"/>
                      </w:tcPr>
                      <w:p>
                        <w:pPr>
                          <w:pStyle w:val="TableParagraph"/>
                          <w:spacing w:before="37"/>
                          <w:ind w:right="100"/>
                          <w:jc w:val="right"/>
                          <w:rPr>
                            <w:sz w:val="16"/>
                          </w:rPr>
                        </w:pPr>
                        <w:r>
                          <w:rPr>
                            <w:sz w:val="16"/>
                          </w:rPr>
                          <w:t>49 506</w:t>
                        </w:r>
                      </w:p>
                    </w:tc>
                    <w:tc>
                      <w:tcPr>
                        <w:tcW w:w="823" w:type="dxa"/>
                      </w:tcPr>
                      <w:p>
                        <w:pPr>
                          <w:pStyle w:val="TableParagraph"/>
                          <w:spacing w:before="37"/>
                          <w:ind w:left="303"/>
                          <w:rPr>
                            <w:sz w:val="16"/>
                          </w:rPr>
                        </w:pPr>
                        <w:r>
                          <w:rPr>
                            <w:sz w:val="16"/>
                          </w:rPr>
                          <w:t>-218</w:t>
                        </w:r>
                      </w:p>
                    </w:tc>
                    <w:tc>
                      <w:tcPr>
                        <w:tcW w:w="749" w:type="dxa"/>
                      </w:tcPr>
                      <w:p>
                        <w:pPr>
                          <w:pStyle w:val="TableParagraph"/>
                          <w:spacing w:before="37"/>
                          <w:ind w:left="267"/>
                          <w:rPr>
                            <w:sz w:val="16"/>
                          </w:rPr>
                        </w:pPr>
                        <w:r>
                          <w:rPr>
                            <w:sz w:val="16"/>
                          </w:rPr>
                          <w:t>-0.4</w:t>
                        </w:r>
                      </w:p>
                    </w:tc>
                  </w:tr>
                  <w:tr>
                    <w:trPr>
                      <w:trHeight w:val="842" w:hRule="atLeast"/>
                    </w:trPr>
                    <w:tc>
                      <w:tcPr>
                        <w:tcW w:w="4448" w:type="dxa"/>
                        <w:gridSpan w:val="5"/>
                      </w:tcPr>
                      <w:p>
                        <w:pPr>
                          <w:pStyle w:val="TableParagraph"/>
                          <w:spacing w:before="35"/>
                          <w:ind w:left="57"/>
                          <w:rPr>
                            <w:sz w:val="16"/>
                          </w:rPr>
                        </w:pPr>
                        <w:r>
                          <w:rPr>
                            <w:sz w:val="16"/>
                          </w:rPr>
                          <w:t>n.s. - not specified</w:t>
                        </w:r>
                      </w:p>
                      <w:p>
                        <w:pPr>
                          <w:pStyle w:val="TableParagraph"/>
                          <w:spacing w:before="1"/>
                          <w:ind w:left="57" w:right="459"/>
                          <w:rPr>
                            <w:sz w:val="16"/>
                          </w:rPr>
                        </w:pPr>
                        <w:r>
                          <w:rPr>
                            <w:sz w:val="16"/>
                          </w:rPr>
                          <w:t>Source: FRA 2000 and Working Paper 59, FRA Programme, Forestry Department of FAO, Rome 2001, 69p </w:t>
                        </w:r>
                        <w:hyperlink r:id="rId188">
                          <w:r>
                            <w:rPr>
                              <w:sz w:val="16"/>
                            </w:rPr>
                            <w:t>(www</w:t>
                          </w:r>
                        </w:hyperlink>
                        <w:r>
                          <w:rPr>
                            <w:sz w:val="16"/>
                          </w:rPr>
                          <w:t>.</w:t>
                        </w:r>
                        <w:hyperlink r:id="rId188">
                          <w:r>
                            <w:rPr>
                              <w:sz w:val="16"/>
                            </w:rPr>
                            <w:t>fao.org/forestry/fo/fra/index.jsp)</w:t>
                          </w:r>
                        </w:hyperlink>
                      </w:p>
                    </w:tc>
                  </w:tr>
                </w:tbl>
                <w:p>
                  <w:pPr>
                    <w:pStyle w:val="BodyText"/>
                  </w:pPr>
                </w:p>
              </w:txbxContent>
            </v:textbox>
          </v:shape>
        </w:pict>
      </w:r>
      <w:r>
        <w:rPr>
          <w:spacing w:val="98"/>
          <w:position w:val="678"/>
        </w:rPr>
      </w:r>
    </w:p>
    <w:p>
      <w:pPr>
        <w:spacing w:after="0"/>
        <w:sectPr>
          <w:pgSz w:w="11900" w:h="16840"/>
          <w:pgMar w:header="230" w:footer="408" w:top="560" w:bottom="600" w:left="1200" w:right="1140"/>
        </w:sectPr>
      </w:pPr>
    </w:p>
    <w:p>
      <w:pPr>
        <w:pStyle w:val="BodyText"/>
      </w:pPr>
    </w:p>
    <w:p>
      <w:pPr>
        <w:pStyle w:val="BodyText"/>
      </w:pPr>
    </w:p>
    <w:p>
      <w:pPr>
        <w:pStyle w:val="BodyText"/>
        <w:spacing w:before="5"/>
        <w:rPr>
          <w:sz w:val="29"/>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1399"/>
        <w:gridCol w:w="1106"/>
        <w:gridCol w:w="1677"/>
        <w:gridCol w:w="919"/>
        <w:gridCol w:w="1379"/>
        <w:gridCol w:w="1046"/>
      </w:tblGrid>
      <w:tr>
        <w:trPr>
          <w:trHeight w:val="1127" w:hRule="atLeast"/>
        </w:trPr>
        <w:tc>
          <w:tcPr>
            <w:tcW w:w="9014" w:type="dxa"/>
            <w:gridSpan w:val="7"/>
            <w:tcBorders>
              <w:bottom w:val="double" w:sz="1" w:space="0" w:color="000000"/>
            </w:tcBorders>
          </w:tcPr>
          <w:p>
            <w:pPr>
              <w:pStyle w:val="TableParagraph"/>
              <w:spacing w:line="207" w:lineRule="exact" w:before="59"/>
              <w:ind w:left="123" w:right="111"/>
              <w:jc w:val="center"/>
              <w:rPr>
                <w:b/>
                <w:sz w:val="18"/>
              </w:rPr>
            </w:pPr>
            <w:r>
              <w:rPr>
                <w:b/>
                <w:sz w:val="18"/>
              </w:rPr>
              <w:t>T</w:t>
            </w:r>
            <w:r>
              <w:rPr>
                <w:b/>
                <w:sz w:val="14"/>
              </w:rPr>
              <w:t>ABLE </w:t>
            </w:r>
            <w:r>
              <w:rPr>
                <w:b/>
                <w:sz w:val="18"/>
              </w:rPr>
              <w:t>3A.1.2</w:t>
            </w:r>
          </w:p>
          <w:p>
            <w:pPr>
              <w:pStyle w:val="TableParagraph"/>
              <w:spacing w:line="207" w:lineRule="exact"/>
              <w:ind w:left="186"/>
              <w:rPr>
                <w:b/>
                <w:sz w:val="18"/>
              </w:rPr>
            </w:pPr>
            <w:r>
              <w:rPr>
                <w:b/>
                <w:sz w:val="18"/>
              </w:rPr>
              <w:t>A</w:t>
            </w:r>
            <w:r>
              <w:rPr>
                <w:b/>
                <w:sz w:val="14"/>
              </w:rPr>
              <w:t>BOVEGROUND BIOMASS STOCK IN NATURALLY REGENERATED FORESTS BY BROAD CATEGORY </w:t>
            </w:r>
            <w:r>
              <w:rPr>
                <w:b/>
                <w:sz w:val="18"/>
              </w:rPr>
              <w:t>(tonnes dry matter/ha)</w:t>
            </w:r>
          </w:p>
          <w:p>
            <w:pPr>
              <w:pStyle w:val="TableParagraph"/>
              <w:spacing w:before="115"/>
              <w:ind w:left="592" w:right="578"/>
              <w:jc w:val="center"/>
              <w:rPr>
                <w:sz w:val="18"/>
              </w:rPr>
            </w:pPr>
            <w:r>
              <w:rPr>
                <w:sz w:val="18"/>
              </w:rPr>
              <w:t>(To be used for Bw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w:t>
            </w:r>
            <w:r>
              <w:rPr>
                <w:sz w:val="18"/>
                <w:vertAlign w:val="subscript"/>
              </w:rPr>
              <w:t>t</w:t>
            </w:r>
            <w:r>
              <w:rPr>
                <w:position w:val="-8"/>
                <w:sz w:val="12"/>
                <w:vertAlign w:val="baseline"/>
              </w:rPr>
              <w:t>2 </w:t>
            </w:r>
            <w:r>
              <w:rPr>
                <w:sz w:val="18"/>
                <w:vertAlign w:val="baseline"/>
              </w:rPr>
              <w:t>or C</w:t>
            </w:r>
            <w:r>
              <w:rPr>
                <w:sz w:val="18"/>
                <w:vertAlign w:val="subscript"/>
              </w:rPr>
              <w:t>t</w:t>
            </w:r>
            <w:r>
              <w:rPr>
                <w:position w:val="-8"/>
                <w:sz w:val="12"/>
                <w:vertAlign w:val="baseline"/>
              </w:rPr>
              <w:t>1 </w:t>
            </w:r>
            <w:r>
              <w:rPr>
                <w:sz w:val="18"/>
                <w:vertAlign w:val="baseline"/>
              </w:rPr>
              <w:t>in Forest section Equation 3.2.3)</w:t>
            </w:r>
          </w:p>
        </w:tc>
      </w:tr>
      <w:tr>
        <w:trPr>
          <w:trHeight w:val="282" w:hRule="atLeast"/>
        </w:trPr>
        <w:tc>
          <w:tcPr>
            <w:tcW w:w="9014" w:type="dxa"/>
            <w:gridSpan w:val="7"/>
            <w:tcBorders>
              <w:top w:val="double" w:sz="1" w:space="0" w:color="000000"/>
            </w:tcBorders>
          </w:tcPr>
          <w:p>
            <w:pPr>
              <w:pStyle w:val="TableParagraph"/>
              <w:spacing w:before="37"/>
              <w:ind w:left="123" w:right="114"/>
              <w:jc w:val="center"/>
              <w:rPr>
                <w:b/>
                <w:sz w:val="18"/>
              </w:rPr>
            </w:pPr>
            <w:r>
              <w:rPr>
                <w:b/>
                <w:sz w:val="18"/>
              </w:rPr>
              <w:t>Tropical Forests </w:t>
            </w:r>
            <w:r>
              <w:rPr>
                <w:b/>
                <w:sz w:val="18"/>
                <w:vertAlign w:val="superscript"/>
              </w:rPr>
              <w:t>1</w:t>
            </w:r>
          </w:p>
        </w:tc>
      </w:tr>
      <w:tr>
        <w:trPr>
          <w:trHeight w:val="697" w:hRule="atLeast"/>
        </w:trPr>
        <w:tc>
          <w:tcPr>
            <w:tcW w:w="1488" w:type="dxa"/>
          </w:tcPr>
          <w:p>
            <w:pPr>
              <w:pStyle w:val="TableParagraph"/>
              <w:rPr>
                <w:sz w:val="16"/>
              </w:rPr>
            </w:pPr>
          </w:p>
        </w:tc>
        <w:tc>
          <w:tcPr>
            <w:tcW w:w="1399" w:type="dxa"/>
          </w:tcPr>
          <w:p>
            <w:pPr>
              <w:pStyle w:val="TableParagraph"/>
              <w:rPr>
                <w:sz w:val="22"/>
              </w:rPr>
            </w:pPr>
          </w:p>
          <w:p>
            <w:pPr>
              <w:pStyle w:val="TableParagraph"/>
              <w:ind w:left="270" w:right="181"/>
              <w:jc w:val="center"/>
              <w:rPr>
                <w:b/>
                <w:sz w:val="16"/>
              </w:rPr>
            </w:pPr>
            <w:r>
              <w:rPr>
                <w:b/>
                <w:sz w:val="16"/>
              </w:rPr>
              <w:t>Wet</w:t>
            </w:r>
          </w:p>
        </w:tc>
        <w:tc>
          <w:tcPr>
            <w:tcW w:w="1106" w:type="dxa"/>
          </w:tcPr>
          <w:p>
            <w:pPr>
              <w:pStyle w:val="TableParagraph"/>
              <w:spacing w:before="69"/>
              <w:ind w:left="116" w:right="20"/>
              <w:jc w:val="center"/>
              <w:rPr>
                <w:b/>
                <w:sz w:val="16"/>
              </w:rPr>
            </w:pPr>
            <w:r>
              <w:rPr>
                <w:b/>
                <w:sz w:val="16"/>
              </w:rPr>
              <w:t>Moist with Short Dry Season</w:t>
            </w:r>
          </w:p>
        </w:tc>
        <w:tc>
          <w:tcPr>
            <w:tcW w:w="1677" w:type="dxa"/>
          </w:tcPr>
          <w:p>
            <w:pPr>
              <w:pStyle w:val="TableParagraph"/>
              <w:spacing w:before="1"/>
              <w:rPr>
                <w:sz w:val="14"/>
              </w:rPr>
            </w:pPr>
          </w:p>
          <w:p>
            <w:pPr>
              <w:pStyle w:val="TableParagraph"/>
              <w:ind w:left="293" w:right="180" w:firstLine="220"/>
              <w:rPr>
                <w:b/>
                <w:sz w:val="16"/>
              </w:rPr>
            </w:pPr>
            <w:r>
              <w:rPr>
                <w:b/>
                <w:sz w:val="16"/>
              </w:rPr>
              <w:t>Moist with Long Dry Season</w:t>
            </w:r>
          </w:p>
        </w:tc>
        <w:tc>
          <w:tcPr>
            <w:tcW w:w="919" w:type="dxa"/>
          </w:tcPr>
          <w:p>
            <w:pPr>
              <w:pStyle w:val="TableParagraph"/>
              <w:rPr>
                <w:sz w:val="22"/>
              </w:rPr>
            </w:pPr>
          </w:p>
          <w:p>
            <w:pPr>
              <w:pStyle w:val="TableParagraph"/>
              <w:ind w:left="365"/>
              <w:rPr>
                <w:b/>
                <w:sz w:val="16"/>
              </w:rPr>
            </w:pPr>
            <w:r>
              <w:rPr>
                <w:b/>
                <w:sz w:val="16"/>
              </w:rPr>
              <w:t>Dry</w:t>
            </w:r>
          </w:p>
        </w:tc>
        <w:tc>
          <w:tcPr>
            <w:tcW w:w="1379" w:type="dxa"/>
          </w:tcPr>
          <w:p>
            <w:pPr>
              <w:pStyle w:val="TableParagraph"/>
              <w:rPr>
                <w:sz w:val="22"/>
              </w:rPr>
            </w:pPr>
          </w:p>
          <w:p>
            <w:pPr>
              <w:pStyle w:val="TableParagraph"/>
              <w:ind w:left="186" w:right="98"/>
              <w:jc w:val="center"/>
              <w:rPr>
                <w:b/>
                <w:sz w:val="16"/>
              </w:rPr>
            </w:pPr>
            <w:r>
              <w:rPr>
                <w:b/>
                <w:sz w:val="16"/>
              </w:rPr>
              <w:t>Montane Moist</w:t>
            </w:r>
          </w:p>
        </w:tc>
        <w:tc>
          <w:tcPr>
            <w:tcW w:w="1046" w:type="dxa"/>
          </w:tcPr>
          <w:p>
            <w:pPr>
              <w:pStyle w:val="TableParagraph"/>
              <w:spacing w:before="1"/>
              <w:rPr>
                <w:sz w:val="14"/>
              </w:rPr>
            </w:pPr>
          </w:p>
          <w:p>
            <w:pPr>
              <w:pStyle w:val="TableParagraph"/>
              <w:ind w:left="431" w:right="144" w:hanging="173"/>
              <w:rPr>
                <w:b/>
                <w:sz w:val="16"/>
              </w:rPr>
            </w:pPr>
            <w:r>
              <w:rPr>
                <w:b/>
                <w:sz w:val="16"/>
              </w:rPr>
              <w:t>Montane Dry</w:t>
            </w:r>
          </w:p>
        </w:tc>
      </w:tr>
      <w:tr>
        <w:trPr>
          <w:trHeight w:val="470" w:hRule="atLeast"/>
        </w:trPr>
        <w:tc>
          <w:tcPr>
            <w:tcW w:w="1488" w:type="dxa"/>
          </w:tcPr>
          <w:p>
            <w:pPr>
              <w:pStyle w:val="TableParagraph"/>
              <w:spacing w:before="131"/>
              <w:ind w:left="30"/>
              <w:rPr>
                <w:b/>
                <w:sz w:val="18"/>
              </w:rPr>
            </w:pPr>
            <w:r>
              <w:rPr>
                <w:b/>
                <w:sz w:val="18"/>
              </w:rPr>
              <w:t>Africa</w:t>
            </w:r>
          </w:p>
        </w:tc>
        <w:tc>
          <w:tcPr>
            <w:tcW w:w="1399" w:type="dxa"/>
          </w:tcPr>
          <w:p>
            <w:pPr>
              <w:pStyle w:val="TableParagraph"/>
              <w:spacing w:line="207" w:lineRule="exact" w:before="23"/>
              <w:ind w:left="261" w:right="230"/>
              <w:jc w:val="center"/>
              <w:rPr>
                <w:sz w:val="18"/>
              </w:rPr>
            </w:pPr>
            <w:r>
              <w:rPr>
                <w:sz w:val="18"/>
              </w:rPr>
              <w:t>310</w:t>
            </w:r>
          </w:p>
          <w:p>
            <w:pPr>
              <w:pStyle w:val="TableParagraph"/>
              <w:spacing w:line="207" w:lineRule="exact"/>
              <w:ind w:left="270" w:right="191"/>
              <w:jc w:val="center"/>
              <w:rPr>
                <w:sz w:val="18"/>
              </w:rPr>
            </w:pPr>
            <w:r>
              <w:rPr>
                <w:sz w:val="18"/>
              </w:rPr>
              <w:t>(131 - 513)</w:t>
            </w:r>
          </w:p>
        </w:tc>
        <w:tc>
          <w:tcPr>
            <w:tcW w:w="1106" w:type="dxa"/>
          </w:tcPr>
          <w:p>
            <w:pPr>
              <w:pStyle w:val="TableParagraph"/>
              <w:spacing w:line="207" w:lineRule="exact" w:before="23"/>
              <w:ind w:left="72" w:right="40"/>
              <w:jc w:val="center"/>
              <w:rPr>
                <w:sz w:val="18"/>
              </w:rPr>
            </w:pPr>
            <w:r>
              <w:rPr>
                <w:sz w:val="18"/>
              </w:rPr>
              <w:t>260</w:t>
            </w:r>
          </w:p>
          <w:p>
            <w:pPr>
              <w:pStyle w:val="TableParagraph"/>
              <w:spacing w:line="207" w:lineRule="exact"/>
              <w:ind w:left="116" w:right="38"/>
              <w:jc w:val="center"/>
              <w:rPr>
                <w:sz w:val="18"/>
              </w:rPr>
            </w:pPr>
            <w:r>
              <w:rPr>
                <w:sz w:val="18"/>
              </w:rPr>
              <w:t>(159 – 433)</w:t>
            </w:r>
          </w:p>
        </w:tc>
        <w:tc>
          <w:tcPr>
            <w:tcW w:w="1677" w:type="dxa"/>
          </w:tcPr>
          <w:p>
            <w:pPr>
              <w:pStyle w:val="TableParagraph"/>
              <w:spacing w:line="207" w:lineRule="exact" w:before="23"/>
              <w:ind w:left="402" w:right="365"/>
              <w:jc w:val="center"/>
              <w:rPr>
                <w:sz w:val="18"/>
              </w:rPr>
            </w:pPr>
            <w:r>
              <w:rPr>
                <w:sz w:val="18"/>
              </w:rPr>
              <w:t>123</w:t>
            </w:r>
          </w:p>
          <w:p>
            <w:pPr>
              <w:pStyle w:val="TableParagraph"/>
              <w:spacing w:line="207" w:lineRule="exact"/>
              <w:ind w:left="413" w:right="327"/>
              <w:jc w:val="center"/>
              <w:rPr>
                <w:sz w:val="18"/>
              </w:rPr>
            </w:pPr>
            <w:r>
              <w:rPr>
                <w:sz w:val="18"/>
              </w:rPr>
              <w:t>(120 - 130)</w:t>
            </w:r>
          </w:p>
        </w:tc>
        <w:tc>
          <w:tcPr>
            <w:tcW w:w="919" w:type="dxa"/>
          </w:tcPr>
          <w:p>
            <w:pPr>
              <w:pStyle w:val="TableParagraph"/>
              <w:spacing w:line="207" w:lineRule="exact" w:before="23"/>
              <w:ind w:left="65" w:right="37"/>
              <w:jc w:val="center"/>
              <w:rPr>
                <w:sz w:val="18"/>
              </w:rPr>
            </w:pPr>
            <w:r>
              <w:rPr>
                <w:sz w:val="18"/>
              </w:rPr>
              <w:t>72</w:t>
            </w:r>
          </w:p>
          <w:p>
            <w:pPr>
              <w:pStyle w:val="TableParagraph"/>
              <w:spacing w:line="207" w:lineRule="exact"/>
              <w:ind w:left="111" w:right="37"/>
              <w:jc w:val="center"/>
              <w:rPr>
                <w:sz w:val="18"/>
              </w:rPr>
            </w:pPr>
            <w:r>
              <w:rPr>
                <w:sz w:val="18"/>
              </w:rPr>
              <w:t>(16 - 195)</w:t>
            </w:r>
          </w:p>
        </w:tc>
        <w:tc>
          <w:tcPr>
            <w:tcW w:w="1379" w:type="dxa"/>
          </w:tcPr>
          <w:p>
            <w:pPr>
              <w:pStyle w:val="TableParagraph"/>
              <w:spacing w:before="127"/>
              <w:ind w:left="128" w:right="98"/>
              <w:jc w:val="center"/>
              <w:rPr>
                <w:sz w:val="18"/>
              </w:rPr>
            </w:pPr>
            <w:r>
              <w:rPr>
                <w:sz w:val="18"/>
              </w:rPr>
              <w:t>191</w:t>
            </w:r>
          </w:p>
        </w:tc>
        <w:tc>
          <w:tcPr>
            <w:tcW w:w="1046" w:type="dxa"/>
          </w:tcPr>
          <w:p>
            <w:pPr>
              <w:pStyle w:val="TableParagraph"/>
              <w:spacing w:before="127"/>
              <w:ind w:left="446"/>
              <w:rPr>
                <w:sz w:val="18"/>
              </w:rPr>
            </w:pPr>
            <w:r>
              <w:rPr>
                <w:sz w:val="18"/>
              </w:rPr>
              <w:t>40</w:t>
            </w:r>
          </w:p>
        </w:tc>
      </w:tr>
      <w:tr>
        <w:trPr>
          <w:trHeight w:val="302" w:hRule="atLeast"/>
        </w:trPr>
        <w:tc>
          <w:tcPr>
            <w:tcW w:w="9014" w:type="dxa"/>
            <w:gridSpan w:val="7"/>
          </w:tcPr>
          <w:p>
            <w:pPr>
              <w:pStyle w:val="TableParagraph"/>
              <w:spacing w:before="43"/>
              <w:ind w:left="57"/>
              <w:rPr>
                <w:sz w:val="18"/>
              </w:rPr>
            </w:pPr>
            <w:r>
              <w:rPr>
                <w:b/>
                <w:sz w:val="18"/>
              </w:rPr>
              <w:t>Asia &amp; Oceania</w:t>
            </w:r>
            <w:r>
              <w:rPr>
                <w:sz w:val="18"/>
              </w:rPr>
              <w:t>:</w:t>
            </w:r>
          </w:p>
        </w:tc>
      </w:tr>
      <w:tr>
        <w:trPr>
          <w:trHeight w:val="472" w:hRule="atLeast"/>
        </w:trPr>
        <w:tc>
          <w:tcPr>
            <w:tcW w:w="1488" w:type="dxa"/>
          </w:tcPr>
          <w:p>
            <w:pPr>
              <w:pStyle w:val="TableParagraph"/>
              <w:spacing w:before="113"/>
              <w:ind w:left="30"/>
              <w:rPr>
                <w:sz w:val="20"/>
              </w:rPr>
            </w:pPr>
            <w:r>
              <w:rPr>
                <w:sz w:val="20"/>
              </w:rPr>
              <w:t>Continental</w:t>
            </w:r>
          </w:p>
        </w:tc>
        <w:tc>
          <w:tcPr>
            <w:tcW w:w="1399" w:type="dxa"/>
          </w:tcPr>
          <w:p>
            <w:pPr>
              <w:pStyle w:val="TableParagraph"/>
              <w:spacing w:before="23"/>
              <w:ind w:left="232" w:right="230"/>
              <w:jc w:val="center"/>
              <w:rPr>
                <w:sz w:val="18"/>
              </w:rPr>
            </w:pPr>
            <w:r>
              <w:rPr>
                <w:sz w:val="18"/>
              </w:rPr>
              <w:t>275</w:t>
            </w:r>
          </w:p>
          <w:p>
            <w:pPr>
              <w:pStyle w:val="TableParagraph"/>
              <w:spacing w:before="2"/>
              <w:ind w:left="270" w:right="220"/>
              <w:jc w:val="center"/>
              <w:rPr>
                <w:sz w:val="18"/>
              </w:rPr>
            </w:pPr>
            <w:r>
              <w:rPr>
                <w:sz w:val="18"/>
              </w:rPr>
              <w:t>(123 - 683)</w:t>
            </w:r>
          </w:p>
        </w:tc>
        <w:tc>
          <w:tcPr>
            <w:tcW w:w="1106" w:type="dxa"/>
          </w:tcPr>
          <w:p>
            <w:pPr>
              <w:pStyle w:val="TableParagraph"/>
              <w:spacing w:before="23"/>
              <w:ind w:left="43" w:right="40"/>
              <w:jc w:val="center"/>
              <w:rPr>
                <w:sz w:val="18"/>
              </w:rPr>
            </w:pPr>
            <w:r>
              <w:rPr>
                <w:sz w:val="18"/>
              </w:rPr>
              <w:t>182</w:t>
            </w:r>
          </w:p>
          <w:p>
            <w:pPr>
              <w:pStyle w:val="TableParagraph"/>
              <w:spacing w:before="2"/>
              <w:ind w:left="89" w:right="40"/>
              <w:jc w:val="center"/>
              <w:rPr>
                <w:sz w:val="18"/>
              </w:rPr>
            </w:pPr>
            <w:r>
              <w:rPr>
                <w:sz w:val="18"/>
              </w:rPr>
              <w:t>(10 – 562)</w:t>
            </w:r>
          </w:p>
        </w:tc>
        <w:tc>
          <w:tcPr>
            <w:tcW w:w="1677" w:type="dxa"/>
          </w:tcPr>
          <w:p>
            <w:pPr>
              <w:pStyle w:val="TableParagraph"/>
              <w:spacing w:before="23"/>
              <w:ind w:left="378" w:right="365"/>
              <w:jc w:val="center"/>
              <w:rPr>
                <w:sz w:val="18"/>
              </w:rPr>
            </w:pPr>
            <w:r>
              <w:rPr>
                <w:sz w:val="18"/>
              </w:rPr>
              <w:t>127</w:t>
            </w:r>
          </w:p>
          <w:p>
            <w:pPr>
              <w:pStyle w:val="TableParagraph"/>
              <w:spacing w:before="2"/>
              <w:ind w:left="374" w:right="365"/>
              <w:jc w:val="center"/>
              <w:rPr>
                <w:sz w:val="18"/>
              </w:rPr>
            </w:pPr>
            <w:r>
              <w:rPr>
                <w:sz w:val="18"/>
              </w:rPr>
              <w:t>(100 - 155)</w:t>
            </w:r>
          </w:p>
        </w:tc>
        <w:tc>
          <w:tcPr>
            <w:tcW w:w="919" w:type="dxa"/>
          </w:tcPr>
          <w:p>
            <w:pPr>
              <w:pStyle w:val="TableParagraph"/>
              <w:spacing w:before="22"/>
              <w:ind w:left="353"/>
              <w:rPr>
                <w:sz w:val="20"/>
              </w:rPr>
            </w:pPr>
            <w:r>
              <w:rPr>
                <w:sz w:val="20"/>
              </w:rPr>
              <w:t>60</w:t>
            </w:r>
          </w:p>
        </w:tc>
        <w:tc>
          <w:tcPr>
            <w:tcW w:w="1379" w:type="dxa"/>
          </w:tcPr>
          <w:p>
            <w:pPr>
              <w:pStyle w:val="TableParagraph"/>
              <w:spacing w:before="23"/>
              <w:ind w:left="103" w:right="98"/>
              <w:jc w:val="center"/>
              <w:rPr>
                <w:sz w:val="18"/>
              </w:rPr>
            </w:pPr>
            <w:r>
              <w:rPr>
                <w:sz w:val="18"/>
              </w:rPr>
              <w:t>222</w:t>
            </w:r>
          </w:p>
          <w:p>
            <w:pPr>
              <w:pStyle w:val="TableParagraph"/>
              <w:spacing w:before="2"/>
              <w:ind w:left="102" w:right="98"/>
              <w:jc w:val="center"/>
              <w:rPr>
                <w:sz w:val="18"/>
              </w:rPr>
            </w:pPr>
            <w:r>
              <w:rPr>
                <w:sz w:val="18"/>
              </w:rPr>
              <w:t>(81 - 310)</w:t>
            </w:r>
          </w:p>
        </w:tc>
        <w:tc>
          <w:tcPr>
            <w:tcW w:w="1046" w:type="dxa"/>
          </w:tcPr>
          <w:p>
            <w:pPr>
              <w:pStyle w:val="TableParagraph"/>
              <w:spacing w:before="113"/>
              <w:ind w:left="422"/>
              <w:rPr>
                <w:sz w:val="20"/>
              </w:rPr>
            </w:pPr>
            <w:r>
              <w:rPr>
                <w:sz w:val="20"/>
              </w:rPr>
              <w:t>50</w:t>
            </w:r>
          </w:p>
        </w:tc>
      </w:tr>
      <w:tr>
        <w:trPr>
          <w:trHeight w:val="472" w:hRule="atLeast"/>
        </w:trPr>
        <w:tc>
          <w:tcPr>
            <w:tcW w:w="1488" w:type="dxa"/>
          </w:tcPr>
          <w:p>
            <w:pPr>
              <w:pStyle w:val="TableParagraph"/>
              <w:spacing w:before="113"/>
              <w:ind w:left="30"/>
              <w:rPr>
                <w:sz w:val="20"/>
              </w:rPr>
            </w:pPr>
            <w:r>
              <w:rPr>
                <w:sz w:val="20"/>
              </w:rPr>
              <w:t>Insular</w:t>
            </w:r>
          </w:p>
        </w:tc>
        <w:tc>
          <w:tcPr>
            <w:tcW w:w="1399" w:type="dxa"/>
          </w:tcPr>
          <w:p>
            <w:pPr>
              <w:pStyle w:val="TableParagraph"/>
              <w:spacing w:line="207" w:lineRule="exact" w:before="23"/>
              <w:ind w:left="236" w:right="230"/>
              <w:jc w:val="center"/>
              <w:rPr>
                <w:sz w:val="18"/>
              </w:rPr>
            </w:pPr>
            <w:r>
              <w:rPr>
                <w:sz w:val="18"/>
              </w:rPr>
              <w:t>348</w:t>
            </w:r>
          </w:p>
          <w:p>
            <w:pPr>
              <w:pStyle w:val="TableParagraph"/>
              <w:spacing w:line="207" w:lineRule="exact"/>
              <w:ind w:left="232" w:right="230"/>
              <w:jc w:val="center"/>
              <w:rPr>
                <w:sz w:val="18"/>
              </w:rPr>
            </w:pPr>
            <w:r>
              <w:rPr>
                <w:sz w:val="18"/>
              </w:rPr>
              <w:t>(280 - 520)</w:t>
            </w:r>
          </w:p>
        </w:tc>
        <w:tc>
          <w:tcPr>
            <w:tcW w:w="1106" w:type="dxa"/>
          </w:tcPr>
          <w:p>
            <w:pPr>
              <w:pStyle w:val="TableParagraph"/>
              <w:spacing w:before="113"/>
              <w:ind w:left="43" w:right="40"/>
              <w:jc w:val="center"/>
              <w:rPr>
                <w:sz w:val="20"/>
              </w:rPr>
            </w:pPr>
            <w:r>
              <w:rPr>
                <w:sz w:val="20"/>
              </w:rPr>
              <w:t>290</w:t>
            </w:r>
          </w:p>
        </w:tc>
        <w:tc>
          <w:tcPr>
            <w:tcW w:w="1677" w:type="dxa"/>
          </w:tcPr>
          <w:p>
            <w:pPr>
              <w:pStyle w:val="TableParagraph"/>
              <w:spacing w:before="113"/>
              <w:ind w:left="373" w:right="365"/>
              <w:jc w:val="center"/>
              <w:rPr>
                <w:sz w:val="20"/>
              </w:rPr>
            </w:pPr>
            <w:r>
              <w:rPr>
                <w:sz w:val="20"/>
              </w:rPr>
              <w:t>160</w:t>
            </w:r>
          </w:p>
        </w:tc>
        <w:tc>
          <w:tcPr>
            <w:tcW w:w="919" w:type="dxa"/>
          </w:tcPr>
          <w:p>
            <w:pPr>
              <w:pStyle w:val="TableParagraph"/>
              <w:spacing w:before="113"/>
              <w:ind w:left="353"/>
              <w:rPr>
                <w:sz w:val="20"/>
              </w:rPr>
            </w:pPr>
            <w:r>
              <w:rPr>
                <w:sz w:val="20"/>
              </w:rPr>
              <w:t>70</w:t>
            </w:r>
          </w:p>
        </w:tc>
        <w:tc>
          <w:tcPr>
            <w:tcW w:w="1379" w:type="dxa"/>
          </w:tcPr>
          <w:p>
            <w:pPr>
              <w:pStyle w:val="TableParagraph"/>
              <w:spacing w:line="207" w:lineRule="exact" w:before="23"/>
              <w:ind w:left="99" w:right="98"/>
              <w:jc w:val="center"/>
              <w:rPr>
                <w:sz w:val="18"/>
              </w:rPr>
            </w:pPr>
            <w:r>
              <w:rPr>
                <w:sz w:val="18"/>
              </w:rPr>
              <w:t>362</w:t>
            </w:r>
          </w:p>
          <w:p>
            <w:pPr>
              <w:pStyle w:val="TableParagraph"/>
              <w:spacing w:line="207" w:lineRule="exact"/>
              <w:ind w:left="147" w:right="98"/>
              <w:jc w:val="center"/>
              <w:rPr>
                <w:sz w:val="18"/>
              </w:rPr>
            </w:pPr>
            <w:r>
              <w:rPr>
                <w:sz w:val="18"/>
              </w:rPr>
              <w:t>(330 - 505)</w:t>
            </w:r>
          </w:p>
        </w:tc>
        <w:tc>
          <w:tcPr>
            <w:tcW w:w="1046" w:type="dxa"/>
          </w:tcPr>
          <w:p>
            <w:pPr>
              <w:pStyle w:val="TableParagraph"/>
              <w:spacing w:before="113"/>
              <w:ind w:left="422"/>
              <w:rPr>
                <w:sz w:val="20"/>
              </w:rPr>
            </w:pPr>
            <w:r>
              <w:rPr>
                <w:sz w:val="20"/>
              </w:rPr>
              <w:t>50</w:t>
            </w:r>
          </w:p>
        </w:tc>
      </w:tr>
      <w:tr>
        <w:trPr>
          <w:trHeight w:val="472" w:hRule="atLeast"/>
        </w:trPr>
        <w:tc>
          <w:tcPr>
            <w:tcW w:w="1488" w:type="dxa"/>
            <w:tcBorders>
              <w:bottom w:val="double" w:sz="1" w:space="0" w:color="000000"/>
            </w:tcBorders>
          </w:tcPr>
          <w:p>
            <w:pPr>
              <w:pStyle w:val="TableParagraph"/>
              <w:spacing w:before="118"/>
              <w:ind w:left="30"/>
              <w:rPr>
                <w:b/>
                <w:sz w:val="20"/>
              </w:rPr>
            </w:pPr>
            <w:r>
              <w:rPr>
                <w:b/>
                <w:sz w:val="20"/>
              </w:rPr>
              <w:t>America</w:t>
            </w:r>
          </w:p>
        </w:tc>
        <w:tc>
          <w:tcPr>
            <w:tcW w:w="1399" w:type="dxa"/>
            <w:tcBorders>
              <w:bottom w:val="double" w:sz="1" w:space="0" w:color="000000"/>
            </w:tcBorders>
          </w:tcPr>
          <w:p>
            <w:pPr>
              <w:pStyle w:val="TableParagraph"/>
              <w:spacing w:line="207" w:lineRule="exact" w:before="23"/>
              <w:ind w:left="232" w:right="230"/>
              <w:jc w:val="center"/>
              <w:rPr>
                <w:sz w:val="18"/>
              </w:rPr>
            </w:pPr>
            <w:r>
              <w:rPr>
                <w:sz w:val="18"/>
              </w:rPr>
              <w:t>347</w:t>
            </w:r>
          </w:p>
          <w:p>
            <w:pPr>
              <w:pStyle w:val="TableParagraph"/>
              <w:spacing w:line="207" w:lineRule="exact"/>
              <w:ind w:left="232" w:right="230"/>
              <w:jc w:val="center"/>
              <w:rPr>
                <w:sz w:val="18"/>
              </w:rPr>
            </w:pPr>
            <w:r>
              <w:rPr>
                <w:sz w:val="18"/>
              </w:rPr>
              <w:t>(118 - 860)</w:t>
            </w:r>
          </w:p>
        </w:tc>
        <w:tc>
          <w:tcPr>
            <w:tcW w:w="1106" w:type="dxa"/>
            <w:tcBorders>
              <w:bottom w:val="double" w:sz="1" w:space="0" w:color="000000"/>
            </w:tcBorders>
          </w:tcPr>
          <w:p>
            <w:pPr>
              <w:pStyle w:val="TableParagraph"/>
              <w:spacing w:line="207" w:lineRule="exact" w:before="23"/>
              <w:ind w:left="47" w:right="40"/>
              <w:jc w:val="center"/>
              <w:rPr>
                <w:sz w:val="18"/>
              </w:rPr>
            </w:pPr>
            <w:r>
              <w:rPr>
                <w:sz w:val="18"/>
              </w:rPr>
              <w:t>217</w:t>
            </w:r>
          </w:p>
          <w:p>
            <w:pPr>
              <w:pStyle w:val="TableParagraph"/>
              <w:spacing w:line="207" w:lineRule="exact"/>
              <w:ind w:left="43" w:right="40"/>
              <w:jc w:val="center"/>
              <w:rPr>
                <w:sz w:val="18"/>
              </w:rPr>
            </w:pPr>
            <w:r>
              <w:rPr>
                <w:sz w:val="18"/>
              </w:rPr>
              <w:t>(212 - 278)</w:t>
            </w:r>
          </w:p>
        </w:tc>
        <w:tc>
          <w:tcPr>
            <w:tcW w:w="1677" w:type="dxa"/>
            <w:tcBorders>
              <w:bottom w:val="double" w:sz="1" w:space="0" w:color="000000"/>
            </w:tcBorders>
          </w:tcPr>
          <w:p>
            <w:pPr>
              <w:pStyle w:val="TableParagraph"/>
              <w:spacing w:line="207" w:lineRule="exact" w:before="23"/>
              <w:ind w:left="378" w:right="365"/>
              <w:jc w:val="center"/>
              <w:rPr>
                <w:sz w:val="18"/>
              </w:rPr>
            </w:pPr>
            <w:r>
              <w:rPr>
                <w:sz w:val="18"/>
              </w:rPr>
              <w:t>212</w:t>
            </w:r>
          </w:p>
          <w:p>
            <w:pPr>
              <w:pStyle w:val="TableParagraph"/>
              <w:spacing w:line="207" w:lineRule="exact"/>
              <w:ind w:left="373" w:right="365"/>
              <w:jc w:val="center"/>
              <w:rPr>
                <w:sz w:val="18"/>
              </w:rPr>
            </w:pPr>
            <w:r>
              <w:rPr>
                <w:sz w:val="18"/>
              </w:rPr>
              <w:t>(202- 406)</w:t>
            </w:r>
          </w:p>
        </w:tc>
        <w:tc>
          <w:tcPr>
            <w:tcW w:w="919" w:type="dxa"/>
            <w:tcBorders>
              <w:bottom w:val="double" w:sz="1" w:space="0" w:color="000000"/>
            </w:tcBorders>
          </w:tcPr>
          <w:p>
            <w:pPr>
              <w:pStyle w:val="TableParagraph"/>
              <w:spacing w:line="207" w:lineRule="exact" w:before="23"/>
              <w:ind w:left="37" w:right="37"/>
              <w:jc w:val="center"/>
              <w:rPr>
                <w:sz w:val="18"/>
              </w:rPr>
            </w:pPr>
            <w:r>
              <w:rPr>
                <w:sz w:val="18"/>
              </w:rPr>
              <w:t>78</w:t>
            </w:r>
          </w:p>
          <w:p>
            <w:pPr>
              <w:pStyle w:val="TableParagraph"/>
              <w:spacing w:line="207" w:lineRule="exact"/>
              <w:ind w:left="39" w:right="37"/>
              <w:jc w:val="center"/>
              <w:rPr>
                <w:sz w:val="18"/>
              </w:rPr>
            </w:pPr>
            <w:r>
              <w:rPr>
                <w:sz w:val="18"/>
              </w:rPr>
              <w:t>(45 - 90)</w:t>
            </w:r>
          </w:p>
        </w:tc>
        <w:tc>
          <w:tcPr>
            <w:tcW w:w="1379" w:type="dxa"/>
            <w:tcBorders>
              <w:bottom w:val="double" w:sz="1" w:space="0" w:color="000000"/>
            </w:tcBorders>
          </w:tcPr>
          <w:p>
            <w:pPr>
              <w:pStyle w:val="TableParagraph"/>
              <w:spacing w:line="207" w:lineRule="exact" w:before="23"/>
              <w:ind w:left="103" w:right="98"/>
              <w:jc w:val="center"/>
              <w:rPr>
                <w:sz w:val="18"/>
              </w:rPr>
            </w:pPr>
            <w:r>
              <w:rPr>
                <w:sz w:val="18"/>
              </w:rPr>
              <w:t>234</w:t>
            </w:r>
          </w:p>
          <w:p>
            <w:pPr>
              <w:pStyle w:val="TableParagraph"/>
              <w:spacing w:line="207" w:lineRule="exact"/>
              <w:ind w:left="102" w:right="98"/>
              <w:jc w:val="center"/>
              <w:rPr>
                <w:sz w:val="18"/>
              </w:rPr>
            </w:pPr>
            <w:r>
              <w:rPr>
                <w:sz w:val="18"/>
              </w:rPr>
              <w:t>(48 - 348)</w:t>
            </w:r>
          </w:p>
        </w:tc>
        <w:tc>
          <w:tcPr>
            <w:tcW w:w="1046" w:type="dxa"/>
            <w:tcBorders>
              <w:bottom w:val="double" w:sz="1" w:space="0" w:color="000000"/>
            </w:tcBorders>
          </w:tcPr>
          <w:p>
            <w:pPr>
              <w:pStyle w:val="TableParagraph"/>
              <w:spacing w:before="127"/>
              <w:ind w:left="431"/>
              <w:rPr>
                <w:sz w:val="18"/>
              </w:rPr>
            </w:pPr>
            <w:r>
              <w:rPr>
                <w:sz w:val="18"/>
              </w:rPr>
              <w:t>60</w:t>
            </w:r>
          </w:p>
        </w:tc>
      </w:tr>
      <w:tr>
        <w:trPr>
          <w:trHeight w:val="282" w:hRule="atLeast"/>
        </w:trPr>
        <w:tc>
          <w:tcPr>
            <w:tcW w:w="9014" w:type="dxa"/>
            <w:gridSpan w:val="7"/>
            <w:tcBorders>
              <w:top w:val="double" w:sz="1" w:space="0" w:color="000000"/>
            </w:tcBorders>
          </w:tcPr>
          <w:p>
            <w:pPr>
              <w:pStyle w:val="TableParagraph"/>
              <w:spacing w:before="37"/>
              <w:ind w:left="123" w:right="111"/>
              <w:jc w:val="center"/>
              <w:rPr>
                <w:b/>
                <w:sz w:val="18"/>
              </w:rPr>
            </w:pPr>
            <w:r>
              <w:rPr>
                <w:b/>
                <w:sz w:val="18"/>
              </w:rPr>
              <w:t>Temperate Forests</w:t>
            </w:r>
          </w:p>
        </w:tc>
      </w:tr>
      <w:tr>
        <w:trPr>
          <w:trHeight w:val="301" w:hRule="atLeast"/>
        </w:trPr>
        <w:tc>
          <w:tcPr>
            <w:tcW w:w="1488" w:type="dxa"/>
          </w:tcPr>
          <w:p>
            <w:pPr>
              <w:pStyle w:val="TableParagraph"/>
              <w:spacing w:before="47"/>
              <w:ind w:right="357"/>
              <w:jc w:val="right"/>
              <w:rPr>
                <w:b/>
                <w:sz w:val="18"/>
              </w:rPr>
            </w:pPr>
            <w:r>
              <w:rPr>
                <w:b/>
                <w:sz w:val="18"/>
              </w:rPr>
              <w:t>Age Class</w:t>
            </w:r>
          </w:p>
        </w:tc>
        <w:tc>
          <w:tcPr>
            <w:tcW w:w="2505" w:type="dxa"/>
            <w:gridSpan w:val="2"/>
          </w:tcPr>
          <w:p>
            <w:pPr>
              <w:pStyle w:val="TableParagraph"/>
              <w:spacing w:before="47"/>
              <w:ind w:left="825"/>
              <w:rPr>
                <w:b/>
                <w:sz w:val="18"/>
              </w:rPr>
            </w:pPr>
            <w:r>
              <w:rPr>
                <w:b/>
                <w:sz w:val="18"/>
              </w:rPr>
              <w:t>Coniferous</w:t>
            </w:r>
          </w:p>
        </w:tc>
        <w:tc>
          <w:tcPr>
            <w:tcW w:w="2596" w:type="dxa"/>
            <w:gridSpan w:val="2"/>
          </w:tcPr>
          <w:p>
            <w:pPr>
              <w:pStyle w:val="TableParagraph"/>
              <w:spacing w:before="47"/>
              <w:ind w:left="841" w:right="842"/>
              <w:jc w:val="center"/>
              <w:rPr>
                <w:b/>
                <w:sz w:val="18"/>
              </w:rPr>
            </w:pPr>
            <w:r>
              <w:rPr>
                <w:b/>
                <w:sz w:val="18"/>
              </w:rPr>
              <w:t>Broadleaf</w:t>
            </w:r>
          </w:p>
        </w:tc>
        <w:tc>
          <w:tcPr>
            <w:tcW w:w="2425" w:type="dxa"/>
            <w:gridSpan w:val="2"/>
          </w:tcPr>
          <w:p>
            <w:pPr>
              <w:pStyle w:val="TableParagraph"/>
              <w:spacing w:before="47"/>
              <w:ind w:left="106"/>
              <w:rPr>
                <w:b/>
                <w:sz w:val="18"/>
              </w:rPr>
            </w:pPr>
            <w:r>
              <w:rPr>
                <w:b/>
                <w:sz w:val="18"/>
              </w:rPr>
              <w:t>Mixed Broadleaf-Coniferous</w:t>
            </w:r>
          </w:p>
        </w:tc>
      </w:tr>
      <w:tr>
        <w:trPr>
          <w:trHeight w:val="302" w:hRule="atLeast"/>
        </w:trPr>
        <w:tc>
          <w:tcPr>
            <w:tcW w:w="9014" w:type="dxa"/>
            <w:gridSpan w:val="7"/>
          </w:tcPr>
          <w:p>
            <w:pPr>
              <w:pStyle w:val="TableParagraph"/>
              <w:spacing w:before="47"/>
              <w:ind w:left="57"/>
              <w:rPr>
                <w:b/>
                <w:sz w:val="18"/>
              </w:rPr>
            </w:pPr>
            <w:r>
              <w:rPr>
                <w:b/>
                <w:sz w:val="18"/>
              </w:rPr>
              <w:t>Eurasia &amp; Oceania</w:t>
            </w:r>
          </w:p>
        </w:tc>
      </w:tr>
      <w:tr>
        <w:trPr>
          <w:trHeight w:val="472" w:hRule="atLeast"/>
        </w:trPr>
        <w:tc>
          <w:tcPr>
            <w:tcW w:w="1488" w:type="dxa"/>
          </w:tcPr>
          <w:p>
            <w:pPr>
              <w:pStyle w:val="TableParagraph"/>
              <w:spacing w:before="122"/>
              <w:ind w:right="341"/>
              <w:jc w:val="right"/>
              <w:rPr>
                <w:sz w:val="20"/>
              </w:rPr>
            </w:pPr>
            <w:r>
              <w:rPr>
                <w:rFonts w:ascii="Symbol" w:hAnsi="Symbol"/>
                <w:sz w:val="20"/>
              </w:rPr>
              <w:t>≤</w:t>
            </w:r>
            <w:r>
              <w:rPr>
                <w:sz w:val="20"/>
              </w:rPr>
              <w:t>20 years</w:t>
            </w:r>
          </w:p>
        </w:tc>
        <w:tc>
          <w:tcPr>
            <w:tcW w:w="2505" w:type="dxa"/>
            <w:gridSpan w:val="2"/>
          </w:tcPr>
          <w:p>
            <w:pPr>
              <w:pStyle w:val="TableParagraph"/>
              <w:spacing w:line="207" w:lineRule="exact" w:before="23"/>
              <w:ind w:left="529" w:right="524"/>
              <w:jc w:val="center"/>
              <w:rPr>
                <w:sz w:val="18"/>
              </w:rPr>
            </w:pPr>
            <w:r>
              <w:rPr>
                <w:sz w:val="18"/>
              </w:rPr>
              <w:t>100</w:t>
            </w:r>
          </w:p>
          <w:p>
            <w:pPr>
              <w:pStyle w:val="TableParagraph"/>
              <w:spacing w:line="207" w:lineRule="exact"/>
              <w:ind w:left="528" w:right="524"/>
              <w:jc w:val="center"/>
              <w:rPr>
                <w:sz w:val="18"/>
              </w:rPr>
            </w:pPr>
            <w:r>
              <w:rPr>
                <w:sz w:val="18"/>
              </w:rPr>
              <w:t>(17 - 183)</w:t>
            </w:r>
          </w:p>
        </w:tc>
        <w:tc>
          <w:tcPr>
            <w:tcW w:w="2596" w:type="dxa"/>
            <w:gridSpan w:val="2"/>
          </w:tcPr>
          <w:p>
            <w:pPr>
              <w:pStyle w:val="TableParagraph"/>
              <w:spacing w:before="127"/>
              <w:ind w:left="853" w:right="837"/>
              <w:jc w:val="center"/>
              <w:rPr>
                <w:sz w:val="18"/>
              </w:rPr>
            </w:pPr>
            <w:r>
              <w:rPr>
                <w:sz w:val="18"/>
              </w:rPr>
              <w:t>17</w:t>
            </w:r>
          </w:p>
        </w:tc>
        <w:tc>
          <w:tcPr>
            <w:tcW w:w="2425" w:type="dxa"/>
            <w:gridSpan w:val="2"/>
          </w:tcPr>
          <w:p>
            <w:pPr>
              <w:pStyle w:val="TableParagraph"/>
              <w:spacing w:before="127"/>
              <w:ind w:left="879" w:right="863"/>
              <w:jc w:val="center"/>
              <w:rPr>
                <w:sz w:val="18"/>
              </w:rPr>
            </w:pPr>
            <w:r>
              <w:rPr>
                <w:sz w:val="18"/>
              </w:rPr>
              <w:t>40</w:t>
            </w:r>
          </w:p>
        </w:tc>
      </w:tr>
      <w:tr>
        <w:trPr>
          <w:trHeight w:val="472" w:hRule="atLeast"/>
        </w:trPr>
        <w:tc>
          <w:tcPr>
            <w:tcW w:w="1488" w:type="dxa"/>
          </w:tcPr>
          <w:p>
            <w:pPr>
              <w:pStyle w:val="TableParagraph"/>
              <w:spacing w:before="113"/>
              <w:ind w:right="338"/>
              <w:jc w:val="right"/>
              <w:rPr>
                <w:sz w:val="20"/>
              </w:rPr>
            </w:pPr>
            <w:r>
              <w:rPr>
                <w:sz w:val="20"/>
              </w:rPr>
              <w:t>&gt;20 years</w:t>
            </w:r>
          </w:p>
        </w:tc>
        <w:tc>
          <w:tcPr>
            <w:tcW w:w="2505" w:type="dxa"/>
            <w:gridSpan w:val="2"/>
          </w:tcPr>
          <w:p>
            <w:pPr>
              <w:pStyle w:val="TableParagraph"/>
              <w:spacing w:line="207" w:lineRule="exact" w:before="23"/>
              <w:ind w:left="529" w:right="524"/>
              <w:jc w:val="center"/>
              <w:rPr>
                <w:sz w:val="18"/>
              </w:rPr>
            </w:pPr>
            <w:r>
              <w:rPr>
                <w:sz w:val="18"/>
              </w:rPr>
              <w:t>134</w:t>
            </w:r>
          </w:p>
          <w:p>
            <w:pPr>
              <w:pStyle w:val="TableParagraph"/>
              <w:spacing w:line="207" w:lineRule="exact"/>
              <w:ind w:left="528" w:right="524"/>
              <w:jc w:val="center"/>
              <w:rPr>
                <w:sz w:val="18"/>
              </w:rPr>
            </w:pPr>
            <w:r>
              <w:rPr>
                <w:sz w:val="18"/>
              </w:rPr>
              <w:t>(20 - 600)</w:t>
            </w:r>
          </w:p>
        </w:tc>
        <w:tc>
          <w:tcPr>
            <w:tcW w:w="2596" w:type="dxa"/>
            <w:gridSpan w:val="2"/>
          </w:tcPr>
          <w:p>
            <w:pPr>
              <w:pStyle w:val="TableParagraph"/>
              <w:spacing w:line="207" w:lineRule="exact" w:before="23"/>
              <w:ind w:left="853" w:right="837"/>
              <w:jc w:val="center"/>
              <w:rPr>
                <w:sz w:val="18"/>
              </w:rPr>
            </w:pPr>
            <w:r>
              <w:rPr>
                <w:sz w:val="18"/>
              </w:rPr>
              <w:t>122</w:t>
            </w:r>
          </w:p>
          <w:p>
            <w:pPr>
              <w:pStyle w:val="TableParagraph"/>
              <w:spacing w:line="207" w:lineRule="exact"/>
              <w:ind w:left="853" w:right="837"/>
              <w:jc w:val="center"/>
              <w:rPr>
                <w:sz w:val="18"/>
              </w:rPr>
            </w:pPr>
            <w:r>
              <w:rPr>
                <w:sz w:val="18"/>
              </w:rPr>
              <w:t>(18 -320)</w:t>
            </w:r>
          </w:p>
        </w:tc>
        <w:tc>
          <w:tcPr>
            <w:tcW w:w="2425" w:type="dxa"/>
            <w:gridSpan w:val="2"/>
          </w:tcPr>
          <w:p>
            <w:pPr>
              <w:pStyle w:val="TableParagraph"/>
              <w:spacing w:line="207" w:lineRule="exact" w:before="23"/>
              <w:ind w:left="879" w:right="863"/>
              <w:jc w:val="center"/>
              <w:rPr>
                <w:sz w:val="18"/>
              </w:rPr>
            </w:pPr>
            <w:r>
              <w:rPr>
                <w:sz w:val="18"/>
              </w:rPr>
              <w:t>128</w:t>
            </w:r>
          </w:p>
          <w:p>
            <w:pPr>
              <w:pStyle w:val="TableParagraph"/>
              <w:spacing w:line="207" w:lineRule="exact"/>
              <w:ind w:left="879" w:right="865"/>
              <w:jc w:val="center"/>
              <w:rPr>
                <w:sz w:val="18"/>
              </w:rPr>
            </w:pPr>
            <w:r>
              <w:rPr>
                <w:sz w:val="18"/>
              </w:rPr>
              <w:t>(20-330)</w:t>
            </w:r>
          </w:p>
        </w:tc>
      </w:tr>
      <w:tr>
        <w:trPr>
          <w:trHeight w:val="302" w:hRule="atLeast"/>
        </w:trPr>
        <w:tc>
          <w:tcPr>
            <w:tcW w:w="9014" w:type="dxa"/>
            <w:gridSpan w:val="7"/>
          </w:tcPr>
          <w:p>
            <w:pPr>
              <w:pStyle w:val="TableParagraph"/>
              <w:spacing w:before="47"/>
              <w:ind w:left="57"/>
              <w:rPr>
                <w:b/>
                <w:sz w:val="18"/>
              </w:rPr>
            </w:pPr>
            <w:r>
              <w:rPr>
                <w:b/>
                <w:sz w:val="18"/>
              </w:rPr>
              <w:t>America</w:t>
            </w:r>
          </w:p>
        </w:tc>
      </w:tr>
      <w:tr>
        <w:trPr>
          <w:trHeight w:val="470" w:hRule="atLeast"/>
        </w:trPr>
        <w:tc>
          <w:tcPr>
            <w:tcW w:w="1488" w:type="dxa"/>
          </w:tcPr>
          <w:p>
            <w:pPr>
              <w:pStyle w:val="TableParagraph"/>
              <w:spacing w:before="122"/>
              <w:ind w:right="341"/>
              <w:jc w:val="right"/>
              <w:rPr>
                <w:sz w:val="20"/>
              </w:rPr>
            </w:pPr>
            <w:r>
              <w:rPr>
                <w:rFonts w:ascii="Symbol" w:hAnsi="Symbol"/>
                <w:sz w:val="20"/>
              </w:rPr>
              <w:t>≤</w:t>
            </w:r>
            <w:r>
              <w:rPr>
                <w:sz w:val="20"/>
              </w:rPr>
              <w:t>20 years</w:t>
            </w:r>
          </w:p>
        </w:tc>
        <w:tc>
          <w:tcPr>
            <w:tcW w:w="2505" w:type="dxa"/>
            <w:gridSpan w:val="2"/>
          </w:tcPr>
          <w:p>
            <w:pPr>
              <w:pStyle w:val="TableParagraph"/>
              <w:spacing w:line="207" w:lineRule="exact" w:before="23"/>
              <w:ind w:left="529" w:right="524"/>
              <w:jc w:val="center"/>
              <w:rPr>
                <w:sz w:val="18"/>
              </w:rPr>
            </w:pPr>
            <w:r>
              <w:rPr>
                <w:sz w:val="18"/>
              </w:rPr>
              <w:t>52</w:t>
            </w:r>
          </w:p>
          <w:p>
            <w:pPr>
              <w:pStyle w:val="TableParagraph"/>
              <w:spacing w:line="207" w:lineRule="exact"/>
              <w:ind w:left="528" w:right="524"/>
              <w:jc w:val="center"/>
              <w:rPr>
                <w:sz w:val="18"/>
              </w:rPr>
            </w:pPr>
            <w:r>
              <w:rPr>
                <w:sz w:val="18"/>
              </w:rPr>
              <w:t>(17-106)</w:t>
            </w:r>
          </w:p>
        </w:tc>
        <w:tc>
          <w:tcPr>
            <w:tcW w:w="2596" w:type="dxa"/>
            <w:gridSpan w:val="2"/>
          </w:tcPr>
          <w:p>
            <w:pPr>
              <w:pStyle w:val="TableParagraph"/>
              <w:spacing w:line="207" w:lineRule="exact" w:before="23"/>
              <w:ind w:left="853" w:right="837"/>
              <w:jc w:val="center"/>
              <w:rPr>
                <w:sz w:val="18"/>
              </w:rPr>
            </w:pPr>
            <w:r>
              <w:rPr>
                <w:sz w:val="18"/>
              </w:rPr>
              <w:t>58</w:t>
            </w:r>
          </w:p>
          <w:p>
            <w:pPr>
              <w:pStyle w:val="TableParagraph"/>
              <w:spacing w:line="207" w:lineRule="exact"/>
              <w:ind w:left="853" w:right="837"/>
              <w:jc w:val="center"/>
              <w:rPr>
                <w:sz w:val="18"/>
              </w:rPr>
            </w:pPr>
            <w:r>
              <w:rPr>
                <w:sz w:val="18"/>
              </w:rPr>
              <w:t>(7-126)</w:t>
            </w:r>
          </w:p>
        </w:tc>
        <w:tc>
          <w:tcPr>
            <w:tcW w:w="2425" w:type="dxa"/>
            <w:gridSpan w:val="2"/>
          </w:tcPr>
          <w:p>
            <w:pPr>
              <w:pStyle w:val="TableParagraph"/>
              <w:spacing w:line="207" w:lineRule="exact" w:before="23"/>
              <w:ind w:left="879" w:right="863"/>
              <w:jc w:val="center"/>
              <w:rPr>
                <w:sz w:val="18"/>
              </w:rPr>
            </w:pPr>
            <w:r>
              <w:rPr>
                <w:sz w:val="18"/>
              </w:rPr>
              <w:t>49</w:t>
            </w:r>
          </w:p>
          <w:p>
            <w:pPr>
              <w:pStyle w:val="TableParagraph"/>
              <w:spacing w:line="207" w:lineRule="exact"/>
              <w:ind w:left="879" w:right="862"/>
              <w:jc w:val="center"/>
              <w:rPr>
                <w:sz w:val="18"/>
              </w:rPr>
            </w:pPr>
            <w:r>
              <w:rPr>
                <w:sz w:val="18"/>
              </w:rPr>
              <w:t>(19-89)</w:t>
            </w:r>
          </w:p>
        </w:tc>
      </w:tr>
      <w:tr>
        <w:trPr>
          <w:trHeight w:val="472" w:hRule="atLeast"/>
        </w:trPr>
        <w:tc>
          <w:tcPr>
            <w:tcW w:w="1488" w:type="dxa"/>
            <w:tcBorders>
              <w:bottom w:val="double" w:sz="1" w:space="0" w:color="000000"/>
            </w:tcBorders>
          </w:tcPr>
          <w:p>
            <w:pPr>
              <w:pStyle w:val="TableParagraph"/>
              <w:spacing w:before="113"/>
              <w:ind w:right="338"/>
              <w:jc w:val="right"/>
              <w:rPr>
                <w:sz w:val="20"/>
              </w:rPr>
            </w:pPr>
            <w:r>
              <w:rPr>
                <w:sz w:val="20"/>
              </w:rPr>
              <w:t>&gt;20 years</w:t>
            </w:r>
          </w:p>
        </w:tc>
        <w:tc>
          <w:tcPr>
            <w:tcW w:w="2505" w:type="dxa"/>
            <w:gridSpan w:val="2"/>
            <w:tcBorders>
              <w:bottom w:val="double" w:sz="1" w:space="0" w:color="000000"/>
            </w:tcBorders>
          </w:tcPr>
          <w:p>
            <w:pPr>
              <w:pStyle w:val="TableParagraph"/>
              <w:spacing w:before="23"/>
              <w:ind w:left="529" w:right="524"/>
              <w:jc w:val="center"/>
              <w:rPr>
                <w:sz w:val="18"/>
              </w:rPr>
            </w:pPr>
            <w:r>
              <w:rPr>
                <w:sz w:val="18"/>
              </w:rPr>
              <w:t>126</w:t>
            </w:r>
          </w:p>
          <w:p>
            <w:pPr>
              <w:pStyle w:val="TableParagraph"/>
              <w:spacing w:before="2"/>
              <w:ind w:left="528" w:right="524"/>
              <w:jc w:val="center"/>
              <w:rPr>
                <w:sz w:val="18"/>
              </w:rPr>
            </w:pPr>
            <w:r>
              <w:rPr>
                <w:sz w:val="18"/>
              </w:rPr>
              <w:t>(41-275)</w:t>
            </w:r>
          </w:p>
        </w:tc>
        <w:tc>
          <w:tcPr>
            <w:tcW w:w="2596" w:type="dxa"/>
            <w:gridSpan w:val="2"/>
            <w:tcBorders>
              <w:bottom w:val="double" w:sz="1" w:space="0" w:color="000000"/>
            </w:tcBorders>
          </w:tcPr>
          <w:p>
            <w:pPr>
              <w:pStyle w:val="TableParagraph"/>
              <w:spacing w:before="23"/>
              <w:ind w:left="853" w:right="837"/>
              <w:jc w:val="center"/>
              <w:rPr>
                <w:sz w:val="18"/>
              </w:rPr>
            </w:pPr>
            <w:r>
              <w:rPr>
                <w:sz w:val="18"/>
              </w:rPr>
              <w:t>132</w:t>
            </w:r>
          </w:p>
          <w:p>
            <w:pPr>
              <w:pStyle w:val="TableParagraph"/>
              <w:spacing w:before="2"/>
              <w:ind w:left="853" w:right="838"/>
              <w:jc w:val="center"/>
              <w:rPr>
                <w:sz w:val="18"/>
              </w:rPr>
            </w:pPr>
            <w:r>
              <w:rPr>
                <w:sz w:val="18"/>
              </w:rPr>
              <w:t>(53-205)</w:t>
            </w:r>
          </w:p>
        </w:tc>
        <w:tc>
          <w:tcPr>
            <w:tcW w:w="2425" w:type="dxa"/>
            <w:gridSpan w:val="2"/>
            <w:tcBorders>
              <w:bottom w:val="double" w:sz="1" w:space="0" w:color="000000"/>
            </w:tcBorders>
          </w:tcPr>
          <w:p>
            <w:pPr>
              <w:pStyle w:val="TableParagraph"/>
              <w:spacing w:before="23"/>
              <w:ind w:left="879" w:right="863"/>
              <w:jc w:val="center"/>
              <w:rPr>
                <w:sz w:val="18"/>
              </w:rPr>
            </w:pPr>
            <w:r>
              <w:rPr>
                <w:sz w:val="18"/>
              </w:rPr>
              <w:t>140</w:t>
            </w:r>
          </w:p>
          <w:p>
            <w:pPr>
              <w:pStyle w:val="TableParagraph"/>
              <w:spacing w:before="2"/>
              <w:ind w:left="879" w:right="865"/>
              <w:jc w:val="center"/>
              <w:rPr>
                <w:sz w:val="18"/>
              </w:rPr>
            </w:pPr>
            <w:r>
              <w:rPr>
                <w:sz w:val="18"/>
              </w:rPr>
              <w:t>(68-218)</w:t>
            </w:r>
          </w:p>
        </w:tc>
      </w:tr>
      <w:tr>
        <w:trPr>
          <w:trHeight w:val="282" w:hRule="atLeast"/>
        </w:trPr>
        <w:tc>
          <w:tcPr>
            <w:tcW w:w="9014" w:type="dxa"/>
            <w:gridSpan w:val="7"/>
            <w:tcBorders>
              <w:top w:val="double" w:sz="1" w:space="0" w:color="000000"/>
            </w:tcBorders>
          </w:tcPr>
          <w:p>
            <w:pPr>
              <w:pStyle w:val="TableParagraph"/>
              <w:spacing w:before="37"/>
              <w:ind w:left="123" w:right="113"/>
              <w:jc w:val="center"/>
              <w:rPr>
                <w:b/>
                <w:sz w:val="18"/>
              </w:rPr>
            </w:pPr>
            <w:r>
              <w:rPr>
                <w:b/>
                <w:sz w:val="18"/>
              </w:rPr>
              <w:t>Boreal Forests</w:t>
            </w:r>
          </w:p>
        </w:tc>
      </w:tr>
      <w:tr>
        <w:trPr>
          <w:trHeight w:val="302" w:hRule="atLeast"/>
        </w:trPr>
        <w:tc>
          <w:tcPr>
            <w:tcW w:w="1488" w:type="dxa"/>
          </w:tcPr>
          <w:p>
            <w:pPr>
              <w:pStyle w:val="TableParagraph"/>
              <w:spacing w:before="47"/>
              <w:ind w:right="355"/>
              <w:jc w:val="right"/>
              <w:rPr>
                <w:b/>
                <w:sz w:val="18"/>
              </w:rPr>
            </w:pPr>
            <w:r>
              <w:rPr>
                <w:b/>
                <w:sz w:val="18"/>
              </w:rPr>
              <w:t>Age Class</w:t>
            </w:r>
          </w:p>
        </w:tc>
        <w:tc>
          <w:tcPr>
            <w:tcW w:w="2505" w:type="dxa"/>
            <w:gridSpan w:val="2"/>
          </w:tcPr>
          <w:p>
            <w:pPr>
              <w:pStyle w:val="TableParagraph"/>
              <w:spacing w:before="47"/>
              <w:ind w:left="148"/>
              <w:rPr>
                <w:b/>
                <w:sz w:val="18"/>
              </w:rPr>
            </w:pPr>
            <w:r>
              <w:rPr>
                <w:b/>
                <w:sz w:val="18"/>
              </w:rPr>
              <w:t>Mixed Broadleaf-Coniferous</w:t>
            </w:r>
          </w:p>
        </w:tc>
        <w:tc>
          <w:tcPr>
            <w:tcW w:w="2596" w:type="dxa"/>
            <w:gridSpan w:val="2"/>
          </w:tcPr>
          <w:p>
            <w:pPr>
              <w:pStyle w:val="TableParagraph"/>
              <w:spacing w:before="47"/>
              <w:ind w:left="853" w:right="842"/>
              <w:jc w:val="center"/>
              <w:rPr>
                <w:b/>
                <w:sz w:val="18"/>
              </w:rPr>
            </w:pPr>
            <w:r>
              <w:rPr>
                <w:b/>
                <w:sz w:val="18"/>
              </w:rPr>
              <w:t>Coniferous</w:t>
            </w:r>
          </w:p>
        </w:tc>
        <w:tc>
          <w:tcPr>
            <w:tcW w:w="2425" w:type="dxa"/>
            <w:gridSpan w:val="2"/>
          </w:tcPr>
          <w:p>
            <w:pPr>
              <w:pStyle w:val="TableParagraph"/>
              <w:spacing w:before="47"/>
              <w:ind w:left="646"/>
              <w:rPr>
                <w:b/>
                <w:sz w:val="18"/>
              </w:rPr>
            </w:pPr>
            <w:r>
              <w:rPr>
                <w:b/>
                <w:sz w:val="18"/>
              </w:rPr>
              <w:t>Forest-Tundra</w:t>
            </w:r>
          </w:p>
        </w:tc>
      </w:tr>
      <w:tr>
        <w:trPr>
          <w:trHeight w:val="302" w:hRule="atLeast"/>
        </w:trPr>
        <w:tc>
          <w:tcPr>
            <w:tcW w:w="9014" w:type="dxa"/>
            <w:gridSpan w:val="7"/>
          </w:tcPr>
          <w:p>
            <w:pPr>
              <w:pStyle w:val="TableParagraph"/>
              <w:spacing w:before="47"/>
              <w:ind w:left="57"/>
              <w:rPr>
                <w:b/>
                <w:sz w:val="18"/>
              </w:rPr>
            </w:pPr>
            <w:r>
              <w:rPr>
                <w:b/>
                <w:sz w:val="18"/>
              </w:rPr>
              <w:t>Eurasia</w:t>
            </w:r>
          </w:p>
        </w:tc>
      </w:tr>
      <w:tr>
        <w:trPr>
          <w:trHeight w:val="301" w:hRule="atLeast"/>
        </w:trPr>
        <w:tc>
          <w:tcPr>
            <w:tcW w:w="1488" w:type="dxa"/>
          </w:tcPr>
          <w:p>
            <w:pPr>
              <w:pStyle w:val="TableParagraph"/>
              <w:spacing w:line="243" w:lineRule="exact" w:before="38"/>
              <w:ind w:right="342"/>
              <w:jc w:val="right"/>
              <w:rPr>
                <w:sz w:val="20"/>
              </w:rPr>
            </w:pPr>
            <w:r>
              <w:rPr>
                <w:rFonts w:ascii="Symbol" w:hAnsi="Symbol"/>
                <w:sz w:val="20"/>
              </w:rPr>
              <w:t>≤20 </w:t>
            </w:r>
            <w:r>
              <w:rPr>
                <w:sz w:val="20"/>
              </w:rPr>
              <w:t>years</w:t>
            </w:r>
          </w:p>
        </w:tc>
        <w:tc>
          <w:tcPr>
            <w:tcW w:w="2505" w:type="dxa"/>
            <w:gridSpan w:val="2"/>
          </w:tcPr>
          <w:p>
            <w:pPr>
              <w:pStyle w:val="TableParagraph"/>
              <w:spacing w:before="43"/>
              <w:ind w:left="529" w:right="524"/>
              <w:jc w:val="center"/>
              <w:rPr>
                <w:sz w:val="18"/>
              </w:rPr>
            </w:pPr>
            <w:r>
              <w:rPr>
                <w:sz w:val="18"/>
              </w:rPr>
              <w:t>12</w:t>
            </w:r>
          </w:p>
        </w:tc>
        <w:tc>
          <w:tcPr>
            <w:tcW w:w="2596" w:type="dxa"/>
            <w:gridSpan w:val="2"/>
          </w:tcPr>
          <w:p>
            <w:pPr>
              <w:pStyle w:val="TableParagraph"/>
              <w:spacing w:before="43"/>
              <w:ind w:left="853" w:right="837"/>
              <w:jc w:val="center"/>
              <w:rPr>
                <w:sz w:val="18"/>
              </w:rPr>
            </w:pPr>
            <w:r>
              <w:rPr>
                <w:sz w:val="18"/>
              </w:rPr>
              <w:t>10</w:t>
            </w:r>
          </w:p>
        </w:tc>
        <w:tc>
          <w:tcPr>
            <w:tcW w:w="2425" w:type="dxa"/>
            <w:gridSpan w:val="2"/>
          </w:tcPr>
          <w:p>
            <w:pPr>
              <w:pStyle w:val="TableParagraph"/>
              <w:spacing w:before="43"/>
              <w:ind w:left="15"/>
              <w:jc w:val="center"/>
              <w:rPr>
                <w:sz w:val="18"/>
              </w:rPr>
            </w:pPr>
            <w:r>
              <w:rPr>
                <w:sz w:val="18"/>
              </w:rPr>
              <w:t>4</w:t>
            </w:r>
          </w:p>
        </w:tc>
      </w:tr>
      <w:tr>
        <w:trPr>
          <w:trHeight w:val="472" w:hRule="atLeast"/>
        </w:trPr>
        <w:tc>
          <w:tcPr>
            <w:tcW w:w="1488" w:type="dxa"/>
          </w:tcPr>
          <w:p>
            <w:pPr>
              <w:pStyle w:val="TableParagraph"/>
              <w:spacing w:before="122"/>
              <w:ind w:right="342"/>
              <w:jc w:val="right"/>
              <w:rPr>
                <w:sz w:val="20"/>
              </w:rPr>
            </w:pPr>
            <w:r>
              <w:rPr>
                <w:rFonts w:ascii="Symbol"/>
                <w:sz w:val="20"/>
              </w:rPr>
              <w:t>&gt;20 </w:t>
            </w:r>
            <w:r>
              <w:rPr>
                <w:sz w:val="20"/>
              </w:rPr>
              <w:t>years</w:t>
            </w:r>
          </w:p>
        </w:tc>
        <w:tc>
          <w:tcPr>
            <w:tcW w:w="2505" w:type="dxa"/>
            <w:gridSpan w:val="2"/>
          </w:tcPr>
          <w:p>
            <w:pPr>
              <w:pStyle w:val="TableParagraph"/>
              <w:spacing w:before="127"/>
              <w:ind w:left="529" w:right="524"/>
              <w:jc w:val="center"/>
              <w:rPr>
                <w:sz w:val="18"/>
              </w:rPr>
            </w:pPr>
            <w:r>
              <w:rPr>
                <w:sz w:val="18"/>
              </w:rPr>
              <w:t>50</w:t>
            </w:r>
          </w:p>
        </w:tc>
        <w:tc>
          <w:tcPr>
            <w:tcW w:w="2596" w:type="dxa"/>
            <w:gridSpan w:val="2"/>
          </w:tcPr>
          <w:p>
            <w:pPr>
              <w:pStyle w:val="TableParagraph"/>
              <w:spacing w:line="207" w:lineRule="exact" w:before="23"/>
              <w:ind w:left="853" w:right="837"/>
              <w:jc w:val="center"/>
              <w:rPr>
                <w:sz w:val="18"/>
              </w:rPr>
            </w:pPr>
            <w:r>
              <w:rPr>
                <w:sz w:val="18"/>
              </w:rPr>
              <w:t>60</w:t>
            </w:r>
          </w:p>
          <w:p>
            <w:pPr>
              <w:pStyle w:val="TableParagraph"/>
              <w:spacing w:line="207" w:lineRule="exact"/>
              <w:ind w:left="853" w:right="836"/>
              <w:jc w:val="center"/>
              <w:rPr>
                <w:sz w:val="18"/>
              </w:rPr>
            </w:pPr>
            <w:r>
              <w:rPr>
                <w:sz w:val="18"/>
              </w:rPr>
              <w:t>(12.3-131)</w:t>
            </w:r>
          </w:p>
        </w:tc>
        <w:tc>
          <w:tcPr>
            <w:tcW w:w="2425" w:type="dxa"/>
            <w:gridSpan w:val="2"/>
          </w:tcPr>
          <w:p>
            <w:pPr>
              <w:pStyle w:val="TableParagraph"/>
              <w:spacing w:line="207" w:lineRule="exact" w:before="23"/>
              <w:ind w:left="879" w:right="863"/>
              <w:jc w:val="center"/>
              <w:rPr>
                <w:sz w:val="18"/>
              </w:rPr>
            </w:pPr>
            <w:r>
              <w:rPr>
                <w:sz w:val="18"/>
              </w:rPr>
              <w:t>20</w:t>
            </w:r>
          </w:p>
          <w:p>
            <w:pPr>
              <w:pStyle w:val="TableParagraph"/>
              <w:spacing w:line="207" w:lineRule="exact"/>
              <w:ind w:left="879" w:right="865"/>
              <w:jc w:val="center"/>
              <w:rPr>
                <w:sz w:val="18"/>
              </w:rPr>
            </w:pPr>
            <w:r>
              <w:rPr>
                <w:sz w:val="18"/>
              </w:rPr>
              <w:t>(21- 81)</w:t>
            </w:r>
          </w:p>
        </w:tc>
      </w:tr>
      <w:tr>
        <w:trPr>
          <w:trHeight w:val="302" w:hRule="atLeast"/>
        </w:trPr>
        <w:tc>
          <w:tcPr>
            <w:tcW w:w="9014" w:type="dxa"/>
            <w:gridSpan w:val="7"/>
          </w:tcPr>
          <w:p>
            <w:pPr>
              <w:pStyle w:val="TableParagraph"/>
              <w:spacing w:before="47"/>
              <w:ind w:left="57"/>
              <w:rPr>
                <w:b/>
                <w:sz w:val="18"/>
              </w:rPr>
            </w:pPr>
            <w:r>
              <w:rPr>
                <w:b/>
                <w:sz w:val="18"/>
              </w:rPr>
              <w:t>America</w:t>
            </w:r>
          </w:p>
        </w:tc>
      </w:tr>
      <w:tr>
        <w:trPr>
          <w:trHeight w:val="301" w:hRule="atLeast"/>
        </w:trPr>
        <w:tc>
          <w:tcPr>
            <w:tcW w:w="1488" w:type="dxa"/>
          </w:tcPr>
          <w:p>
            <w:pPr>
              <w:pStyle w:val="TableParagraph"/>
              <w:spacing w:line="243" w:lineRule="exact" w:before="38"/>
              <w:ind w:right="341"/>
              <w:jc w:val="right"/>
              <w:rPr>
                <w:sz w:val="20"/>
              </w:rPr>
            </w:pPr>
            <w:r>
              <w:rPr>
                <w:rFonts w:ascii="Symbol" w:hAnsi="Symbol"/>
                <w:sz w:val="20"/>
              </w:rPr>
              <w:t>≤</w:t>
            </w:r>
            <w:r>
              <w:rPr>
                <w:sz w:val="20"/>
              </w:rPr>
              <w:t>20 years</w:t>
            </w:r>
          </w:p>
        </w:tc>
        <w:tc>
          <w:tcPr>
            <w:tcW w:w="2505" w:type="dxa"/>
            <w:gridSpan w:val="2"/>
          </w:tcPr>
          <w:p>
            <w:pPr>
              <w:pStyle w:val="TableParagraph"/>
              <w:spacing w:before="43"/>
              <w:ind w:left="529" w:right="524"/>
              <w:jc w:val="center"/>
              <w:rPr>
                <w:sz w:val="18"/>
              </w:rPr>
            </w:pPr>
            <w:r>
              <w:rPr>
                <w:sz w:val="18"/>
              </w:rPr>
              <w:t>15</w:t>
            </w:r>
          </w:p>
        </w:tc>
        <w:tc>
          <w:tcPr>
            <w:tcW w:w="2596" w:type="dxa"/>
            <w:gridSpan w:val="2"/>
          </w:tcPr>
          <w:p>
            <w:pPr>
              <w:pStyle w:val="TableParagraph"/>
              <w:spacing w:before="43"/>
              <w:ind w:left="15"/>
              <w:jc w:val="center"/>
              <w:rPr>
                <w:sz w:val="18"/>
              </w:rPr>
            </w:pPr>
            <w:r>
              <w:rPr>
                <w:sz w:val="18"/>
              </w:rPr>
              <w:t>7</w:t>
            </w:r>
          </w:p>
        </w:tc>
        <w:tc>
          <w:tcPr>
            <w:tcW w:w="2425" w:type="dxa"/>
            <w:gridSpan w:val="2"/>
          </w:tcPr>
          <w:p>
            <w:pPr>
              <w:pStyle w:val="TableParagraph"/>
              <w:spacing w:before="43"/>
              <w:ind w:left="15"/>
              <w:jc w:val="center"/>
              <w:rPr>
                <w:sz w:val="18"/>
              </w:rPr>
            </w:pPr>
            <w:r>
              <w:rPr>
                <w:sz w:val="18"/>
              </w:rPr>
              <w:t>3</w:t>
            </w:r>
          </w:p>
        </w:tc>
      </w:tr>
      <w:tr>
        <w:trPr>
          <w:trHeight w:val="302" w:hRule="atLeast"/>
        </w:trPr>
        <w:tc>
          <w:tcPr>
            <w:tcW w:w="1488" w:type="dxa"/>
          </w:tcPr>
          <w:p>
            <w:pPr>
              <w:pStyle w:val="TableParagraph"/>
              <w:spacing w:before="29"/>
              <w:ind w:right="338"/>
              <w:jc w:val="right"/>
              <w:rPr>
                <w:sz w:val="20"/>
              </w:rPr>
            </w:pPr>
            <w:r>
              <w:rPr>
                <w:sz w:val="20"/>
              </w:rPr>
              <w:t>&gt;20 years</w:t>
            </w:r>
          </w:p>
        </w:tc>
        <w:tc>
          <w:tcPr>
            <w:tcW w:w="2505" w:type="dxa"/>
            <w:gridSpan w:val="2"/>
          </w:tcPr>
          <w:p>
            <w:pPr>
              <w:pStyle w:val="TableParagraph"/>
              <w:spacing w:before="43"/>
              <w:ind w:left="529" w:right="524"/>
              <w:jc w:val="center"/>
              <w:rPr>
                <w:sz w:val="18"/>
              </w:rPr>
            </w:pPr>
            <w:r>
              <w:rPr>
                <w:sz w:val="18"/>
              </w:rPr>
              <w:t>40</w:t>
            </w:r>
          </w:p>
        </w:tc>
        <w:tc>
          <w:tcPr>
            <w:tcW w:w="2596" w:type="dxa"/>
            <w:gridSpan w:val="2"/>
          </w:tcPr>
          <w:p>
            <w:pPr>
              <w:pStyle w:val="TableParagraph"/>
              <w:spacing w:before="43"/>
              <w:ind w:left="853" w:right="837"/>
              <w:jc w:val="center"/>
              <w:rPr>
                <w:sz w:val="18"/>
              </w:rPr>
            </w:pPr>
            <w:r>
              <w:rPr>
                <w:sz w:val="18"/>
              </w:rPr>
              <w:t>46</w:t>
            </w:r>
          </w:p>
        </w:tc>
        <w:tc>
          <w:tcPr>
            <w:tcW w:w="2425" w:type="dxa"/>
            <w:gridSpan w:val="2"/>
          </w:tcPr>
          <w:p>
            <w:pPr>
              <w:pStyle w:val="TableParagraph"/>
              <w:spacing w:before="43"/>
              <w:ind w:left="879" w:right="863"/>
              <w:jc w:val="center"/>
              <w:rPr>
                <w:sz w:val="18"/>
              </w:rPr>
            </w:pPr>
            <w:r>
              <w:rPr>
                <w:sz w:val="18"/>
              </w:rPr>
              <w:t>15</w:t>
            </w:r>
          </w:p>
        </w:tc>
      </w:tr>
      <w:tr>
        <w:trPr>
          <w:trHeight w:val="556" w:hRule="atLeast"/>
        </w:trPr>
        <w:tc>
          <w:tcPr>
            <w:tcW w:w="9014" w:type="dxa"/>
            <w:gridSpan w:val="7"/>
          </w:tcPr>
          <w:p>
            <w:pPr>
              <w:pStyle w:val="TableParagraph"/>
              <w:spacing w:before="69"/>
              <w:ind w:left="57"/>
              <w:rPr>
                <w:sz w:val="16"/>
              </w:rPr>
            </w:pPr>
            <w:r>
              <w:rPr>
                <w:sz w:val="16"/>
              </w:rPr>
              <w:t>Note: Data are given in mean value and as range of possible values (in parentheses).</w:t>
            </w:r>
          </w:p>
          <w:p>
            <w:pPr>
              <w:pStyle w:val="TableParagraph"/>
              <w:spacing w:before="34"/>
              <w:ind w:left="57"/>
              <w:rPr>
                <w:sz w:val="16"/>
              </w:rPr>
            </w:pPr>
            <w:r>
              <w:rPr>
                <w:position w:val="8"/>
                <w:sz w:val="12"/>
              </w:rPr>
              <w:t>1 </w:t>
            </w:r>
            <w:r>
              <w:rPr>
                <w:sz w:val="16"/>
              </w:rPr>
              <w:t>The definition of forest types and examples by region are illustrated in Box 2 and Tables 5-1, p 5.7-5.8 of the </w:t>
            </w:r>
            <w:r>
              <w:rPr>
                <w:i/>
                <w:sz w:val="16"/>
              </w:rPr>
              <w:t>IPCC Guidelines </w:t>
            </w:r>
            <w:r>
              <w:rPr>
                <w:sz w:val="16"/>
              </w:rPr>
              <w:t>(1996).</w:t>
            </w:r>
          </w:p>
        </w:tc>
      </w:tr>
    </w:tbl>
    <w:p>
      <w:pPr>
        <w:spacing w:after="0"/>
        <w:rPr>
          <w:sz w:val="16"/>
        </w:rPr>
        <w:sectPr>
          <w:pgSz w:w="11900" w:h="16840"/>
          <w:pgMar w:header="230" w:footer="408" w:top="560" w:bottom="600" w:left="1200" w:right="1140"/>
        </w:sectPr>
      </w:pPr>
    </w:p>
    <w:p>
      <w:pPr>
        <w:pStyle w:val="BodyText"/>
      </w:pPr>
    </w:p>
    <w:p>
      <w:pPr>
        <w:pStyle w:val="BodyText"/>
      </w:pPr>
    </w:p>
    <w:p>
      <w:pPr>
        <w:pStyle w:val="BodyText"/>
        <w:spacing w:before="1" w:after="1"/>
        <w:rPr>
          <w:sz w:val="22"/>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9"/>
        <w:gridCol w:w="499"/>
        <w:gridCol w:w="432"/>
        <w:gridCol w:w="1078"/>
        <w:gridCol w:w="226"/>
        <w:gridCol w:w="876"/>
        <w:gridCol w:w="874"/>
        <w:gridCol w:w="214"/>
        <w:gridCol w:w="1088"/>
        <w:gridCol w:w="342"/>
        <w:gridCol w:w="740"/>
        <w:gridCol w:w="1066"/>
      </w:tblGrid>
      <w:tr>
        <w:trPr>
          <w:trHeight w:val="1124" w:hRule="atLeast"/>
        </w:trPr>
        <w:tc>
          <w:tcPr>
            <w:tcW w:w="9024" w:type="dxa"/>
            <w:gridSpan w:val="12"/>
            <w:tcBorders>
              <w:bottom w:val="double" w:sz="1" w:space="0" w:color="000000"/>
            </w:tcBorders>
          </w:tcPr>
          <w:p>
            <w:pPr>
              <w:pStyle w:val="TableParagraph"/>
              <w:spacing w:line="207" w:lineRule="exact" w:before="59"/>
              <w:ind w:left="184" w:right="182"/>
              <w:jc w:val="center"/>
              <w:rPr>
                <w:b/>
                <w:sz w:val="18"/>
              </w:rPr>
            </w:pPr>
            <w:r>
              <w:rPr>
                <w:b/>
                <w:sz w:val="18"/>
              </w:rPr>
              <w:t>T</w:t>
            </w:r>
            <w:r>
              <w:rPr>
                <w:b/>
                <w:sz w:val="14"/>
              </w:rPr>
              <w:t>ABLE </w:t>
            </w:r>
            <w:r>
              <w:rPr>
                <w:b/>
                <w:sz w:val="18"/>
              </w:rPr>
              <w:t>3A.1.3</w:t>
            </w:r>
          </w:p>
          <w:p>
            <w:pPr>
              <w:pStyle w:val="TableParagraph"/>
              <w:spacing w:line="207" w:lineRule="exact"/>
              <w:ind w:left="722"/>
              <w:rPr>
                <w:b/>
                <w:sz w:val="18"/>
              </w:rPr>
            </w:pPr>
            <w:r>
              <w:rPr>
                <w:b/>
                <w:sz w:val="18"/>
              </w:rPr>
              <w:t>A</w:t>
            </w:r>
            <w:r>
              <w:rPr>
                <w:b/>
                <w:sz w:val="14"/>
              </w:rPr>
              <w:t>BOVEGROUND BIOMASS STOCK IN PLANTATION FORESTS BY BROAD CATEGORY </w:t>
            </w:r>
            <w:r>
              <w:rPr>
                <w:b/>
                <w:sz w:val="18"/>
              </w:rPr>
              <w:t>(tonnes dry matter/ha)</w:t>
            </w:r>
          </w:p>
          <w:p>
            <w:pPr>
              <w:pStyle w:val="TableParagraph"/>
              <w:spacing w:before="115"/>
              <w:ind w:left="186" w:right="182"/>
              <w:jc w:val="center"/>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 3.2.3)</w:t>
            </w:r>
          </w:p>
        </w:tc>
      </w:tr>
      <w:tr>
        <w:trPr>
          <w:trHeight w:val="339" w:hRule="atLeast"/>
        </w:trPr>
        <w:tc>
          <w:tcPr>
            <w:tcW w:w="9024" w:type="dxa"/>
            <w:gridSpan w:val="12"/>
            <w:tcBorders>
              <w:top w:val="double" w:sz="1" w:space="0" w:color="000000"/>
            </w:tcBorders>
          </w:tcPr>
          <w:p>
            <w:pPr>
              <w:pStyle w:val="TableParagraph"/>
              <w:spacing w:before="66"/>
              <w:ind w:left="186" w:right="182"/>
              <w:jc w:val="center"/>
              <w:rPr>
                <w:b/>
                <w:sz w:val="18"/>
              </w:rPr>
            </w:pPr>
            <w:r>
              <w:rPr>
                <w:b/>
                <w:sz w:val="18"/>
              </w:rPr>
              <w:t>Tropical and sub-tropical Forests</w:t>
            </w:r>
          </w:p>
        </w:tc>
      </w:tr>
      <w:tr>
        <w:trPr>
          <w:trHeight w:val="669" w:hRule="atLeast"/>
        </w:trPr>
        <w:tc>
          <w:tcPr>
            <w:tcW w:w="1589" w:type="dxa"/>
          </w:tcPr>
          <w:p>
            <w:pPr>
              <w:pStyle w:val="TableParagraph"/>
              <w:rPr>
                <w:sz w:val="16"/>
              </w:rPr>
            </w:pPr>
          </w:p>
        </w:tc>
        <w:tc>
          <w:tcPr>
            <w:tcW w:w="931" w:type="dxa"/>
            <w:gridSpan w:val="2"/>
            <w:vMerge w:val="restart"/>
          </w:tcPr>
          <w:p>
            <w:pPr>
              <w:pStyle w:val="TableParagraph"/>
              <w:spacing w:before="59"/>
              <w:ind w:left="85"/>
              <w:rPr>
                <w:b/>
                <w:sz w:val="18"/>
              </w:rPr>
            </w:pPr>
            <w:r>
              <w:rPr>
                <w:b/>
                <w:sz w:val="18"/>
              </w:rPr>
              <w:t>Age Class</w:t>
            </w:r>
          </w:p>
        </w:tc>
        <w:tc>
          <w:tcPr>
            <w:tcW w:w="1078" w:type="dxa"/>
          </w:tcPr>
          <w:p>
            <w:pPr>
              <w:pStyle w:val="TableParagraph"/>
              <w:spacing w:before="59"/>
              <w:ind w:left="30" w:right="24"/>
              <w:jc w:val="center"/>
              <w:rPr>
                <w:b/>
                <w:sz w:val="18"/>
              </w:rPr>
            </w:pPr>
            <w:r>
              <w:rPr>
                <w:b/>
                <w:sz w:val="18"/>
              </w:rPr>
              <w:t>Wet</w:t>
            </w:r>
          </w:p>
        </w:tc>
        <w:tc>
          <w:tcPr>
            <w:tcW w:w="1102" w:type="dxa"/>
            <w:gridSpan w:val="2"/>
          </w:tcPr>
          <w:p>
            <w:pPr>
              <w:pStyle w:val="TableParagraph"/>
              <w:spacing w:line="206" w:lineRule="exact" w:before="63"/>
              <w:ind w:left="136" w:right="126"/>
              <w:jc w:val="center"/>
              <w:rPr>
                <w:b/>
                <w:sz w:val="18"/>
              </w:rPr>
            </w:pPr>
            <w:r>
              <w:rPr>
                <w:b/>
                <w:sz w:val="18"/>
              </w:rPr>
              <w:t>Moist with Short Dry Season</w:t>
            </w:r>
          </w:p>
        </w:tc>
        <w:tc>
          <w:tcPr>
            <w:tcW w:w="1088" w:type="dxa"/>
            <w:gridSpan w:val="2"/>
          </w:tcPr>
          <w:p>
            <w:pPr>
              <w:pStyle w:val="TableParagraph"/>
              <w:spacing w:line="206" w:lineRule="exact" w:before="63"/>
              <w:ind w:left="128" w:right="119"/>
              <w:jc w:val="center"/>
              <w:rPr>
                <w:b/>
                <w:sz w:val="18"/>
              </w:rPr>
            </w:pPr>
            <w:r>
              <w:rPr>
                <w:b/>
                <w:sz w:val="18"/>
              </w:rPr>
              <w:t>Moist with Long Dry Season</w:t>
            </w:r>
          </w:p>
        </w:tc>
        <w:tc>
          <w:tcPr>
            <w:tcW w:w="1088" w:type="dxa"/>
          </w:tcPr>
          <w:p>
            <w:pPr>
              <w:pStyle w:val="TableParagraph"/>
              <w:spacing w:before="59"/>
              <w:ind w:left="118" w:right="119"/>
              <w:jc w:val="center"/>
              <w:rPr>
                <w:b/>
                <w:sz w:val="18"/>
              </w:rPr>
            </w:pPr>
            <w:r>
              <w:rPr>
                <w:b/>
                <w:sz w:val="18"/>
              </w:rPr>
              <w:t>Dry</w:t>
            </w:r>
          </w:p>
        </w:tc>
        <w:tc>
          <w:tcPr>
            <w:tcW w:w="1082" w:type="dxa"/>
            <w:gridSpan w:val="2"/>
          </w:tcPr>
          <w:p>
            <w:pPr>
              <w:pStyle w:val="TableParagraph"/>
              <w:spacing w:before="59"/>
              <w:ind w:left="314" w:right="172" w:hanging="124"/>
              <w:rPr>
                <w:b/>
                <w:sz w:val="18"/>
              </w:rPr>
            </w:pPr>
            <w:r>
              <w:rPr>
                <w:b/>
                <w:sz w:val="18"/>
              </w:rPr>
              <w:t>Montane Moist</w:t>
            </w:r>
          </w:p>
        </w:tc>
        <w:tc>
          <w:tcPr>
            <w:tcW w:w="1066" w:type="dxa"/>
          </w:tcPr>
          <w:p>
            <w:pPr>
              <w:pStyle w:val="TableParagraph"/>
              <w:spacing w:before="59"/>
              <w:ind w:left="379" w:right="159" w:hanging="192"/>
              <w:rPr>
                <w:b/>
                <w:sz w:val="18"/>
              </w:rPr>
            </w:pPr>
            <w:r>
              <w:rPr>
                <w:b/>
                <w:sz w:val="18"/>
              </w:rPr>
              <w:t>Montane Dry</w:t>
            </w:r>
          </w:p>
        </w:tc>
      </w:tr>
      <w:tr>
        <w:trPr>
          <w:trHeight w:val="261" w:hRule="atLeast"/>
        </w:trPr>
        <w:tc>
          <w:tcPr>
            <w:tcW w:w="1589" w:type="dxa"/>
          </w:tcPr>
          <w:p>
            <w:pPr>
              <w:pStyle w:val="TableParagraph"/>
              <w:rPr>
                <w:sz w:val="16"/>
              </w:rPr>
            </w:pPr>
          </w:p>
        </w:tc>
        <w:tc>
          <w:tcPr>
            <w:tcW w:w="931" w:type="dxa"/>
            <w:gridSpan w:val="2"/>
            <w:vMerge/>
            <w:tcBorders>
              <w:top w:val="nil"/>
            </w:tcBorders>
          </w:tcPr>
          <w:p>
            <w:pPr>
              <w:rPr>
                <w:sz w:val="2"/>
                <w:szCs w:val="2"/>
              </w:rPr>
            </w:pPr>
          </w:p>
        </w:tc>
        <w:tc>
          <w:tcPr>
            <w:tcW w:w="1078" w:type="dxa"/>
          </w:tcPr>
          <w:p>
            <w:pPr>
              <w:pStyle w:val="TableParagraph"/>
              <w:spacing w:before="21"/>
              <w:ind w:left="27" w:right="24"/>
              <w:jc w:val="center"/>
              <w:rPr>
                <w:b/>
                <w:sz w:val="18"/>
              </w:rPr>
            </w:pPr>
            <w:r>
              <w:rPr>
                <w:b/>
                <w:sz w:val="18"/>
              </w:rPr>
              <w:t>R &gt; 2000</w:t>
            </w:r>
          </w:p>
        </w:tc>
        <w:tc>
          <w:tcPr>
            <w:tcW w:w="2190" w:type="dxa"/>
            <w:gridSpan w:val="4"/>
          </w:tcPr>
          <w:p>
            <w:pPr>
              <w:pStyle w:val="TableParagraph"/>
              <w:spacing w:before="21"/>
              <w:ind w:left="563"/>
              <w:rPr>
                <w:b/>
                <w:sz w:val="18"/>
              </w:rPr>
            </w:pPr>
            <w:r>
              <w:rPr>
                <w:b/>
                <w:sz w:val="18"/>
              </w:rPr>
              <w:t>2000&gt;R&gt;1000</w:t>
            </w:r>
          </w:p>
        </w:tc>
        <w:tc>
          <w:tcPr>
            <w:tcW w:w="1088" w:type="dxa"/>
          </w:tcPr>
          <w:p>
            <w:pPr>
              <w:pStyle w:val="TableParagraph"/>
              <w:spacing w:before="21"/>
              <w:ind w:left="123" w:right="119"/>
              <w:jc w:val="center"/>
              <w:rPr>
                <w:b/>
                <w:sz w:val="18"/>
              </w:rPr>
            </w:pPr>
            <w:r>
              <w:rPr>
                <w:b/>
                <w:sz w:val="18"/>
              </w:rPr>
              <w:t>R&lt;1000</w:t>
            </w:r>
          </w:p>
        </w:tc>
        <w:tc>
          <w:tcPr>
            <w:tcW w:w="1082" w:type="dxa"/>
            <w:gridSpan w:val="2"/>
          </w:tcPr>
          <w:p>
            <w:pPr>
              <w:pStyle w:val="TableParagraph"/>
              <w:spacing w:before="21"/>
              <w:ind w:left="237"/>
              <w:rPr>
                <w:b/>
                <w:sz w:val="18"/>
              </w:rPr>
            </w:pPr>
            <w:r>
              <w:rPr>
                <w:b/>
                <w:sz w:val="18"/>
              </w:rPr>
              <w:t>R&gt;1000</w:t>
            </w:r>
          </w:p>
        </w:tc>
        <w:tc>
          <w:tcPr>
            <w:tcW w:w="1066" w:type="dxa"/>
          </w:tcPr>
          <w:p>
            <w:pPr>
              <w:pStyle w:val="TableParagraph"/>
              <w:spacing w:before="21"/>
              <w:ind w:left="77" w:right="72"/>
              <w:jc w:val="center"/>
              <w:rPr>
                <w:b/>
                <w:sz w:val="18"/>
              </w:rPr>
            </w:pPr>
            <w:r>
              <w:rPr>
                <w:b/>
                <w:sz w:val="18"/>
              </w:rPr>
              <w:t>R&lt;1000</w:t>
            </w:r>
          </w:p>
        </w:tc>
      </w:tr>
      <w:tr>
        <w:trPr>
          <w:trHeight w:val="270" w:hRule="atLeast"/>
        </w:trPr>
        <w:tc>
          <w:tcPr>
            <w:tcW w:w="1589" w:type="dxa"/>
            <w:tcBorders>
              <w:bottom w:val="nil"/>
            </w:tcBorders>
          </w:tcPr>
          <w:p>
            <w:pPr>
              <w:pStyle w:val="TableParagraph"/>
              <w:spacing w:before="33"/>
              <w:ind w:left="26"/>
              <w:rPr>
                <w:b/>
                <w:sz w:val="18"/>
              </w:rPr>
            </w:pPr>
            <w:r>
              <w:rPr>
                <w:b/>
                <w:sz w:val="18"/>
              </w:rPr>
              <w:t>Africa</w:t>
            </w:r>
          </w:p>
        </w:tc>
        <w:tc>
          <w:tcPr>
            <w:tcW w:w="931" w:type="dxa"/>
            <w:gridSpan w:val="2"/>
            <w:tcBorders>
              <w:bottom w:val="nil"/>
            </w:tcBorders>
          </w:tcPr>
          <w:p>
            <w:pPr>
              <w:pStyle w:val="TableParagraph"/>
              <w:rPr>
                <w:sz w:val="16"/>
              </w:rPr>
            </w:pPr>
          </w:p>
        </w:tc>
        <w:tc>
          <w:tcPr>
            <w:tcW w:w="1078" w:type="dxa"/>
            <w:tcBorders>
              <w:bottom w:val="nil"/>
            </w:tcBorders>
          </w:tcPr>
          <w:p>
            <w:pPr>
              <w:pStyle w:val="TableParagraph"/>
              <w:rPr>
                <w:sz w:val="16"/>
              </w:rPr>
            </w:pPr>
          </w:p>
        </w:tc>
        <w:tc>
          <w:tcPr>
            <w:tcW w:w="1102" w:type="dxa"/>
            <w:gridSpan w:val="2"/>
            <w:tcBorders>
              <w:bottom w:val="nil"/>
            </w:tcBorders>
          </w:tcPr>
          <w:p>
            <w:pPr>
              <w:pStyle w:val="TableParagraph"/>
              <w:rPr>
                <w:sz w:val="16"/>
              </w:rPr>
            </w:pPr>
          </w:p>
        </w:tc>
        <w:tc>
          <w:tcPr>
            <w:tcW w:w="1088" w:type="dxa"/>
            <w:gridSpan w:val="2"/>
            <w:tcBorders>
              <w:bottom w:val="nil"/>
            </w:tcBorders>
          </w:tcPr>
          <w:p>
            <w:pPr>
              <w:pStyle w:val="TableParagraph"/>
              <w:rPr>
                <w:sz w:val="16"/>
              </w:rPr>
            </w:pPr>
          </w:p>
        </w:tc>
        <w:tc>
          <w:tcPr>
            <w:tcW w:w="1088" w:type="dxa"/>
            <w:tcBorders>
              <w:bottom w:val="nil"/>
            </w:tcBorders>
          </w:tcPr>
          <w:p>
            <w:pPr>
              <w:pStyle w:val="TableParagraph"/>
              <w:rPr>
                <w:sz w:val="16"/>
              </w:rPr>
            </w:pPr>
          </w:p>
        </w:tc>
        <w:tc>
          <w:tcPr>
            <w:tcW w:w="1082" w:type="dxa"/>
            <w:gridSpan w:val="2"/>
            <w:tcBorders>
              <w:bottom w:val="nil"/>
            </w:tcBorders>
          </w:tcPr>
          <w:p>
            <w:pPr>
              <w:pStyle w:val="TableParagraph"/>
              <w:rPr>
                <w:sz w:val="16"/>
              </w:rPr>
            </w:pPr>
          </w:p>
        </w:tc>
        <w:tc>
          <w:tcPr>
            <w:tcW w:w="1066" w:type="dxa"/>
            <w:tcBorders>
              <w:bottom w:val="nil"/>
            </w:tcBorders>
          </w:tcPr>
          <w:p>
            <w:pPr>
              <w:pStyle w:val="TableParagraph"/>
              <w:rPr>
                <w:sz w:val="16"/>
              </w:rPr>
            </w:pPr>
          </w:p>
        </w:tc>
      </w:tr>
      <w:tr>
        <w:trPr>
          <w:trHeight w:val="297" w:hRule="atLeast"/>
        </w:trPr>
        <w:tc>
          <w:tcPr>
            <w:tcW w:w="1589" w:type="dxa"/>
            <w:tcBorders>
              <w:top w:val="nil"/>
              <w:bottom w:val="nil"/>
            </w:tcBorders>
          </w:tcPr>
          <w:p>
            <w:pPr>
              <w:pStyle w:val="TableParagraph"/>
              <w:spacing w:before="39"/>
              <w:ind w:left="26"/>
              <w:rPr>
                <w:sz w:val="18"/>
              </w:rPr>
            </w:pPr>
            <w:r>
              <w:rPr>
                <w:sz w:val="18"/>
              </w:rPr>
              <w:t>Broadleaf spp</w:t>
            </w:r>
          </w:p>
        </w:tc>
        <w:tc>
          <w:tcPr>
            <w:tcW w:w="931" w:type="dxa"/>
            <w:gridSpan w:val="2"/>
            <w:tcBorders>
              <w:top w:val="nil"/>
              <w:bottom w:val="nil"/>
            </w:tcBorders>
          </w:tcPr>
          <w:p>
            <w:pPr>
              <w:pStyle w:val="TableParagraph"/>
              <w:spacing w:before="43"/>
              <w:ind w:left="112"/>
              <w:rPr>
                <w:sz w:val="18"/>
              </w:rPr>
            </w:pPr>
            <w:r>
              <w:rPr>
                <w:rFonts w:ascii="Symbol" w:hAnsi="Symbol"/>
                <w:sz w:val="18"/>
              </w:rPr>
              <w:t>≤</w:t>
            </w:r>
            <w:r>
              <w:rPr>
                <w:sz w:val="18"/>
              </w:rPr>
              <w:t>20 years</w:t>
            </w:r>
          </w:p>
        </w:tc>
        <w:tc>
          <w:tcPr>
            <w:tcW w:w="1078" w:type="dxa"/>
            <w:tcBorders>
              <w:top w:val="nil"/>
              <w:bottom w:val="nil"/>
            </w:tcBorders>
          </w:tcPr>
          <w:p>
            <w:pPr>
              <w:pStyle w:val="TableParagraph"/>
              <w:spacing w:before="39"/>
              <w:ind w:left="30" w:right="24"/>
              <w:jc w:val="center"/>
              <w:rPr>
                <w:sz w:val="18"/>
              </w:rPr>
            </w:pPr>
            <w:r>
              <w:rPr>
                <w:sz w:val="18"/>
              </w:rPr>
              <w:t>100</w:t>
            </w:r>
          </w:p>
        </w:tc>
        <w:tc>
          <w:tcPr>
            <w:tcW w:w="1102" w:type="dxa"/>
            <w:gridSpan w:val="2"/>
            <w:tcBorders>
              <w:top w:val="nil"/>
              <w:bottom w:val="nil"/>
            </w:tcBorders>
          </w:tcPr>
          <w:p>
            <w:pPr>
              <w:pStyle w:val="TableParagraph"/>
              <w:spacing w:before="39"/>
              <w:ind w:left="132" w:right="126"/>
              <w:jc w:val="center"/>
              <w:rPr>
                <w:sz w:val="18"/>
              </w:rPr>
            </w:pPr>
            <w:r>
              <w:rPr>
                <w:sz w:val="18"/>
              </w:rPr>
              <w:t>80</w:t>
            </w:r>
          </w:p>
        </w:tc>
        <w:tc>
          <w:tcPr>
            <w:tcW w:w="1088" w:type="dxa"/>
            <w:gridSpan w:val="2"/>
            <w:tcBorders>
              <w:top w:val="nil"/>
              <w:bottom w:val="nil"/>
            </w:tcBorders>
          </w:tcPr>
          <w:p>
            <w:pPr>
              <w:pStyle w:val="TableParagraph"/>
              <w:spacing w:before="39"/>
              <w:ind w:left="123" w:right="119"/>
              <w:jc w:val="center"/>
              <w:rPr>
                <w:sz w:val="18"/>
              </w:rPr>
            </w:pPr>
            <w:r>
              <w:rPr>
                <w:sz w:val="18"/>
              </w:rPr>
              <w:t>30</w:t>
            </w:r>
          </w:p>
        </w:tc>
        <w:tc>
          <w:tcPr>
            <w:tcW w:w="1088" w:type="dxa"/>
            <w:tcBorders>
              <w:top w:val="nil"/>
              <w:bottom w:val="nil"/>
            </w:tcBorders>
          </w:tcPr>
          <w:p>
            <w:pPr>
              <w:pStyle w:val="TableParagraph"/>
              <w:spacing w:before="39"/>
              <w:ind w:left="122" w:right="119"/>
              <w:jc w:val="center"/>
              <w:rPr>
                <w:sz w:val="18"/>
              </w:rPr>
            </w:pPr>
            <w:r>
              <w:rPr>
                <w:sz w:val="18"/>
              </w:rPr>
              <w:t>20</w:t>
            </w:r>
          </w:p>
        </w:tc>
        <w:tc>
          <w:tcPr>
            <w:tcW w:w="1082" w:type="dxa"/>
            <w:gridSpan w:val="2"/>
            <w:tcBorders>
              <w:top w:val="nil"/>
              <w:bottom w:val="nil"/>
            </w:tcBorders>
          </w:tcPr>
          <w:p>
            <w:pPr>
              <w:pStyle w:val="TableParagraph"/>
              <w:spacing w:before="39"/>
              <w:ind w:left="380" w:right="381"/>
              <w:jc w:val="center"/>
              <w:rPr>
                <w:sz w:val="18"/>
              </w:rPr>
            </w:pPr>
            <w:r>
              <w:rPr>
                <w:sz w:val="18"/>
              </w:rPr>
              <w:t>100</w:t>
            </w:r>
          </w:p>
        </w:tc>
        <w:tc>
          <w:tcPr>
            <w:tcW w:w="1066" w:type="dxa"/>
            <w:tcBorders>
              <w:top w:val="nil"/>
              <w:bottom w:val="nil"/>
            </w:tcBorders>
          </w:tcPr>
          <w:p>
            <w:pPr>
              <w:pStyle w:val="TableParagraph"/>
              <w:spacing w:before="39"/>
              <w:ind w:left="77" w:right="72"/>
              <w:jc w:val="center"/>
              <w:rPr>
                <w:sz w:val="18"/>
              </w:rPr>
            </w:pPr>
            <w:r>
              <w:rPr>
                <w:sz w:val="18"/>
              </w:rPr>
              <w:t>40</w:t>
            </w:r>
          </w:p>
        </w:tc>
      </w:tr>
      <w:tr>
        <w:trPr>
          <w:trHeight w:val="265" w:hRule="atLeast"/>
        </w:trPr>
        <w:tc>
          <w:tcPr>
            <w:tcW w:w="1589" w:type="dxa"/>
            <w:tcBorders>
              <w:top w:val="nil"/>
              <w:bottom w:val="nil"/>
            </w:tcBorders>
          </w:tcPr>
          <w:p>
            <w:pPr>
              <w:pStyle w:val="TableParagraph"/>
              <w:rPr>
                <w:sz w:val="16"/>
              </w:rPr>
            </w:pPr>
          </w:p>
        </w:tc>
        <w:tc>
          <w:tcPr>
            <w:tcW w:w="931" w:type="dxa"/>
            <w:gridSpan w:val="2"/>
            <w:tcBorders>
              <w:top w:val="nil"/>
              <w:bottom w:val="nil"/>
            </w:tcBorders>
          </w:tcPr>
          <w:p>
            <w:pPr>
              <w:pStyle w:val="TableParagraph"/>
              <w:spacing w:before="25"/>
              <w:ind w:left="112"/>
              <w:rPr>
                <w:sz w:val="18"/>
              </w:rPr>
            </w:pPr>
            <w:r>
              <w:rPr>
                <w:sz w:val="18"/>
              </w:rPr>
              <w:t>&gt;20 years</w:t>
            </w:r>
          </w:p>
        </w:tc>
        <w:tc>
          <w:tcPr>
            <w:tcW w:w="1078" w:type="dxa"/>
            <w:tcBorders>
              <w:top w:val="nil"/>
              <w:bottom w:val="nil"/>
            </w:tcBorders>
          </w:tcPr>
          <w:p>
            <w:pPr>
              <w:pStyle w:val="TableParagraph"/>
              <w:spacing w:before="25"/>
              <w:ind w:left="30" w:right="24"/>
              <w:jc w:val="center"/>
              <w:rPr>
                <w:sz w:val="18"/>
              </w:rPr>
            </w:pPr>
            <w:r>
              <w:rPr>
                <w:sz w:val="18"/>
              </w:rPr>
              <w:t>300</w:t>
            </w:r>
          </w:p>
        </w:tc>
        <w:tc>
          <w:tcPr>
            <w:tcW w:w="1102" w:type="dxa"/>
            <w:gridSpan w:val="2"/>
            <w:tcBorders>
              <w:top w:val="nil"/>
              <w:bottom w:val="nil"/>
            </w:tcBorders>
          </w:tcPr>
          <w:p>
            <w:pPr>
              <w:pStyle w:val="TableParagraph"/>
              <w:spacing w:before="25"/>
              <w:ind w:left="132" w:right="126"/>
              <w:jc w:val="center"/>
              <w:rPr>
                <w:sz w:val="18"/>
              </w:rPr>
            </w:pPr>
            <w:r>
              <w:rPr>
                <w:sz w:val="18"/>
              </w:rPr>
              <w:t>150</w:t>
            </w:r>
          </w:p>
        </w:tc>
        <w:tc>
          <w:tcPr>
            <w:tcW w:w="1088" w:type="dxa"/>
            <w:gridSpan w:val="2"/>
            <w:tcBorders>
              <w:top w:val="nil"/>
              <w:bottom w:val="nil"/>
            </w:tcBorders>
          </w:tcPr>
          <w:p>
            <w:pPr>
              <w:pStyle w:val="TableParagraph"/>
              <w:spacing w:before="25"/>
              <w:ind w:left="123" w:right="119"/>
              <w:jc w:val="center"/>
              <w:rPr>
                <w:sz w:val="18"/>
              </w:rPr>
            </w:pPr>
            <w:r>
              <w:rPr>
                <w:sz w:val="18"/>
              </w:rPr>
              <w:t>70</w:t>
            </w:r>
          </w:p>
        </w:tc>
        <w:tc>
          <w:tcPr>
            <w:tcW w:w="1088" w:type="dxa"/>
            <w:tcBorders>
              <w:top w:val="nil"/>
              <w:bottom w:val="nil"/>
            </w:tcBorders>
          </w:tcPr>
          <w:p>
            <w:pPr>
              <w:pStyle w:val="TableParagraph"/>
              <w:spacing w:before="25"/>
              <w:ind w:left="122" w:right="119"/>
              <w:jc w:val="center"/>
              <w:rPr>
                <w:sz w:val="18"/>
              </w:rPr>
            </w:pPr>
            <w:r>
              <w:rPr>
                <w:sz w:val="18"/>
              </w:rPr>
              <w:t>20</w:t>
            </w:r>
          </w:p>
        </w:tc>
        <w:tc>
          <w:tcPr>
            <w:tcW w:w="1082" w:type="dxa"/>
            <w:gridSpan w:val="2"/>
            <w:tcBorders>
              <w:top w:val="nil"/>
              <w:bottom w:val="nil"/>
            </w:tcBorders>
          </w:tcPr>
          <w:p>
            <w:pPr>
              <w:pStyle w:val="TableParagraph"/>
              <w:spacing w:before="25"/>
              <w:ind w:left="380" w:right="381"/>
              <w:jc w:val="center"/>
              <w:rPr>
                <w:sz w:val="18"/>
              </w:rPr>
            </w:pPr>
            <w:r>
              <w:rPr>
                <w:sz w:val="18"/>
              </w:rPr>
              <w:t>150</w:t>
            </w:r>
          </w:p>
        </w:tc>
        <w:tc>
          <w:tcPr>
            <w:tcW w:w="1066" w:type="dxa"/>
            <w:tcBorders>
              <w:top w:val="nil"/>
              <w:bottom w:val="nil"/>
            </w:tcBorders>
          </w:tcPr>
          <w:p>
            <w:pPr>
              <w:pStyle w:val="TableParagraph"/>
              <w:spacing w:before="25"/>
              <w:ind w:left="77" w:right="72"/>
              <w:jc w:val="center"/>
              <w:rPr>
                <w:sz w:val="18"/>
              </w:rPr>
            </w:pPr>
            <w:r>
              <w:rPr>
                <w:sz w:val="18"/>
              </w:rPr>
              <w:t>60</w:t>
            </w:r>
          </w:p>
        </w:tc>
      </w:tr>
      <w:tr>
        <w:trPr>
          <w:trHeight w:val="302" w:hRule="atLeast"/>
        </w:trPr>
        <w:tc>
          <w:tcPr>
            <w:tcW w:w="1589" w:type="dxa"/>
            <w:tcBorders>
              <w:top w:val="nil"/>
              <w:bottom w:val="nil"/>
            </w:tcBorders>
          </w:tcPr>
          <w:p>
            <w:pPr>
              <w:pStyle w:val="TableParagraph"/>
              <w:spacing w:before="42"/>
              <w:ind w:left="26"/>
              <w:rPr>
                <w:sz w:val="18"/>
              </w:rPr>
            </w:pPr>
            <w:r>
              <w:rPr>
                <w:sz w:val="18"/>
              </w:rPr>
              <w:t>Pinus sp</w:t>
            </w:r>
          </w:p>
        </w:tc>
        <w:tc>
          <w:tcPr>
            <w:tcW w:w="931" w:type="dxa"/>
            <w:gridSpan w:val="2"/>
            <w:tcBorders>
              <w:top w:val="nil"/>
              <w:bottom w:val="nil"/>
            </w:tcBorders>
          </w:tcPr>
          <w:p>
            <w:pPr>
              <w:pStyle w:val="TableParagraph"/>
              <w:spacing w:before="47"/>
              <w:ind w:left="112"/>
              <w:rPr>
                <w:sz w:val="18"/>
              </w:rPr>
            </w:pPr>
            <w:r>
              <w:rPr>
                <w:rFonts w:ascii="Symbol" w:hAnsi="Symbol"/>
                <w:sz w:val="18"/>
              </w:rPr>
              <w:t>≤</w:t>
            </w:r>
            <w:r>
              <w:rPr>
                <w:sz w:val="18"/>
              </w:rPr>
              <w:t>20 years</w:t>
            </w:r>
          </w:p>
        </w:tc>
        <w:tc>
          <w:tcPr>
            <w:tcW w:w="1078" w:type="dxa"/>
            <w:tcBorders>
              <w:top w:val="nil"/>
              <w:bottom w:val="nil"/>
            </w:tcBorders>
          </w:tcPr>
          <w:p>
            <w:pPr>
              <w:pStyle w:val="TableParagraph"/>
              <w:spacing w:before="42"/>
              <w:ind w:left="30" w:right="24"/>
              <w:jc w:val="center"/>
              <w:rPr>
                <w:sz w:val="18"/>
              </w:rPr>
            </w:pPr>
            <w:r>
              <w:rPr>
                <w:sz w:val="18"/>
              </w:rPr>
              <w:t>60</w:t>
            </w:r>
          </w:p>
        </w:tc>
        <w:tc>
          <w:tcPr>
            <w:tcW w:w="1102" w:type="dxa"/>
            <w:gridSpan w:val="2"/>
            <w:tcBorders>
              <w:top w:val="nil"/>
              <w:bottom w:val="nil"/>
            </w:tcBorders>
          </w:tcPr>
          <w:p>
            <w:pPr>
              <w:pStyle w:val="TableParagraph"/>
              <w:spacing w:before="42"/>
              <w:ind w:left="132" w:right="126"/>
              <w:jc w:val="center"/>
              <w:rPr>
                <w:sz w:val="18"/>
              </w:rPr>
            </w:pPr>
            <w:r>
              <w:rPr>
                <w:sz w:val="18"/>
              </w:rPr>
              <w:t>40</w:t>
            </w:r>
          </w:p>
        </w:tc>
        <w:tc>
          <w:tcPr>
            <w:tcW w:w="1088" w:type="dxa"/>
            <w:gridSpan w:val="2"/>
            <w:tcBorders>
              <w:top w:val="nil"/>
              <w:bottom w:val="nil"/>
            </w:tcBorders>
          </w:tcPr>
          <w:p>
            <w:pPr>
              <w:pStyle w:val="TableParagraph"/>
              <w:spacing w:before="42"/>
              <w:ind w:left="123" w:right="119"/>
              <w:jc w:val="center"/>
              <w:rPr>
                <w:sz w:val="18"/>
              </w:rPr>
            </w:pPr>
            <w:r>
              <w:rPr>
                <w:sz w:val="18"/>
              </w:rPr>
              <w:t>20</w:t>
            </w:r>
          </w:p>
        </w:tc>
        <w:tc>
          <w:tcPr>
            <w:tcW w:w="1088" w:type="dxa"/>
            <w:tcBorders>
              <w:top w:val="nil"/>
              <w:bottom w:val="nil"/>
            </w:tcBorders>
          </w:tcPr>
          <w:p>
            <w:pPr>
              <w:pStyle w:val="TableParagraph"/>
              <w:spacing w:before="42"/>
              <w:ind w:left="122" w:right="119"/>
              <w:jc w:val="center"/>
              <w:rPr>
                <w:sz w:val="18"/>
              </w:rPr>
            </w:pPr>
            <w:r>
              <w:rPr>
                <w:sz w:val="18"/>
              </w:rPr>
              <w:t>15</w:t>
            </w:r>
          </w:p>
        </w:tc>
        <w:tc>
          <w:tcPr>
            <w:tcW w:w="1082" w:type="dxa"/>
            <w:gridSpan w:val="2"/>
            <w:tcBorders>
              <w:top w:val="nil"/>
              <w:bottom w:val="nil"/>
            </w:tcBorders>
          </w:tcPr>
          <w:p>
            <w:pPr>
              <w:pStyle w:val="TableParagraph"/>
              <w:spacing w:before="42"/>
              <w:ind w:left="380" w:right="381"/>
              <w:jc w:val="center"/>
              <w:rPr>
                <w:sz w:val="18"/>
              </w:rPr>
            </w:pPr>
            <w:r>
              <w:rPr>
                <w:sz w:val="18"/>
              </w:rPr>
              <w:t>40</w:t>
            </w:r>
          </w:p>
        </w:tc>
        <w:tc>
          <w:tcPr>
            <w:tcW w:w="1066" w:type="dxa"/>
            <w:tcBorders>
              <w:top w:val="nil"/>
              <w:bottom w:val="nil"/>
            </w:tcBorders>
          </w:tcPr>
          <w:p>
            <w:pPr>
              <w:pStyle w:val="TableParagraph"/>
              <w:spacing w:before="42"/>
              <w:ind w:left="77" w:right="72"/>
              <w:jc w:val="center"/>
              <w:rPr>
                <w:sz w:val="18"/>
              </w:rPr>
            </w:pPr>
            <w:r>
              <w:rPr>
                <w:sz w:val="18"/>
              </w:rPr>
              <w:t>10</w:t>
            </w:r>
          </w:p>
        </w:tc>
      </w:tr>
      <w:tr>
        <w:trPr>
          <w:trHeight w:val="277" w:hRule="atLeast"/>
        </w:trPr>
        <w:tc>
          <w:tcPr>
            <w:tcW w:w="1589" w:type="dxa"/>
            <w:tcBorders>
              <w:top w:val="nil"/>
              <w:bottom w:val="nil"/>
            </w:tcBorders>
          </w:tcPr>
          <w:p>
            <w:pPr>
              <w:pStyle w:val="TableParagraph"/>
              <w:rPr>
                <w:sz w:val="16"/>
              </w:rPr>
            </w:pPr>
          </w:p>
        </w:tc>
        <w:tc>
          <w:tcPr>
            <w:tcW w:w="931" w:type="dxa"/>
            <w:gridSpan w:val="2"/>
            <w:tcBorders>
              <w:top w:val="nil"/>
              <w:bottom w:val="nil"/>
            </w:tcBorders>
          </w:tcPr>
          <w:p>
            <w:pPr>
              <w:pStyle w:val="TableParagraph"/>
              <w:spacing w:before="26"/>
              <w:ind w:left="112"/>
              <w:rPr>
                <w:sz w:val="18"/>
              </w:rPr>
            </w:pPr>
            <w:r>
              <w:rPr>
                <w:sz w:val="18"/>
              </w:rPr>
              <w:t>&gt;20 years</w:t>
            </w:r>
          </w:p>
        </w:tc>
        <w:tc>
          <w:tcPr>
            <w:tcW w:w="1078" w:type="dxa"/>
            <w:tcBorders>
              <w:top w:val="nil"/>
              <w:bottom w:val="nil"/>
            </w:tcBorders>
          </w:tcPr>
          <w:p>
            <w:pPr>
              <w:pStyle w:val="TableParagraph"/>
              <w:spacing w:before="26"/>
              <w:ind w:left="30" w:right="24"/>
              <w:jc w:val="center"/>
              <w:rPr>
                <w:sz w:val="18"/>
              </w:rPr>
            </w:pPr>
            <w:r>
              <w:rPr>
                <w:sz w:val="18"/>
              </w:rPr>
              <w:t>200</w:t>
            </w:r>
          </w:p>
        </w:tc>
        <w:tc>
          <w:tcPr>
            <w:tcW w:w="1102" w:type="dxa"/>
            <w:gridSpan w:val="2"/>
            <w:tcBorders>
              <w:top w:val="nil"/>
              <w:bottom w:val="nil"/>
            </w:tcBorders>
          </w:tcPr>
          <w:p>
            <w:pPr>
              <w:pStyle w:val="TableParagraph"/>
              <w:spacing w:before="26"/>
              <w:ind w:left="132" w:right="126"/>
              <w:jc w:val="center"/>
              <w:rPr>
                <w:sz w:val="18"/>
              </w:rPr>
            </w:pPr>
            <w:r>
              <w:rPr>
                <w:sz w:val="18"/>
              </w:rPr>
              <w:t>120</w:t>
            </w:r>
          </w:p>
        </w:tc>
        <w:tc>
          <w:tcPr>
            <w:tcW w:w="1088" w:type="dxa"/>
            <w:gridSpan w:val="2"/>
            <w:tcBorders>
              <w:top w:val="nil"/>
              <w:bottom w:val="nil"/>
            </w:tcBorders>
          </w:tcPr>
          <w:p>
            <w:pPr>
              <w:pStyle w:val="TableParagraph"/>
              <w:spacing w:before="26"/>
              <w:ind w:left="123" w:right="119"/>
              <w:jc w:val="center"/>
              <w:rPr>
                <w:sz w:val="18"/>
              </w:rPr>
            </w:pPr>
            <w:r>
              <w:rPr>
                <w:sz w:val="18"/>
              </w:rPr>
              <w:t>60</w:t>
            </w:r>
          </w:p>
        </w:tc>
        <w:tc>
          <w:tcPr>
            <w:tcW w:w="1088" w:type="dxa"/>
            <w:tcBorders>
              <w:top w:val="nil"/>
              <w:bottom w:val="nil"/>
            </w:tcBorders>
          </w:tcPr>
          <w:p>
            <w:pPr>
              <w:pStyle w:val="TableParagraph"/>
              <w:spacing w:before="26"/>
              <w:ind w:left="122" w:right="119"/>
              <w:jc w:val="center"/>
              <w:rPr>
                <w:sz w:val="18"/>
              </w:rPr>
            </w:pPr>
            <w:r>
              <w:rPr>
                <w:sz w:val="18"/>
              </w:rPr>
              <w:t>20</w:t>
            </w:r>
          </w:p>
        </w:tc>
        <w:tc>
          <w:tcPr>
            <w:tcW w:w="1082" w:type="dxa"/>
            <w:gridSpan w:val="2"/>
            <w:tcBorders>
              <w:top w:val="nil"/>
              <w:bottom w:val="nil"/>
            </w:tcBorders>
          </w:tcPr>
          <w:p>
            <w:pPr>
              <w:pStyle w:val="TableParagraph"/>
              <w:spacing w:before="26"/>
              <w:ind w:left="380" w:right="381"/>
              <w:jc w:val="center"/>
              <w:rPr>
                <w:sz w:val="18"/>
              </w:rPr>
            </w:pPr>
            <w:r>
              <w:rPr>
                <w:sz w:val="18"/>
              </w:rPr>
              <w:t>100</w:t>
            </w:r>
          </w:p>
        </w:tc>
        <w:tc>
          <w:tcPr>
            <w:tcW w:w="1066" w:type="dxa"/>
            <w:tcBorders>
              <w:top w:val="nil"/>
              <w:bottom w:val="nil"/>
            </w:tcBorders>
          </w:tcPr>
          <w:p>
            <w:pPr>
              <w:pStyle w:val="TableParagraph"/>
              <w:spacing w:before="26"/>
              <w:ind w:left="77" w:right="72"/>
              <w:jc w:val="center"/>
              <w:rPr>
                <w:sz w:val="18"/>
              </w:rPr>
            </w:pPr>
            <w:r>
              <w:rPr>
                <w:sz w:val="18"/>
              </w:rPr>
              <w:t>30</w:t>
            </w:r>
          </w:p>
        </w:tc>
      </w:tr>
      <w:tr>
        <w:trPr>
          <w:trHeight w:val="283" w:hRule="atLeast"/>
        </w:trPr>
        <w:tc>
          <w:tcPr>
            <w:tcW w:w="1589" w:type="dxa"/>
            <w:tcBorders>
              <w:top w:val="nil"/>
              <w:bottom w:val="nil"/>
            </w:tcBorders>
          </w:tcPr>
          <w:p>
            <w:pPr>
              <w:pStyle w:val="TableParagraph"/>
              <w:spacing w:before="36"/>
              <w:ind w:left="26"/>
              <w:rPr>
                <w:b/>
                <w:sz w:val="18"/>
              </w:rPr>
            </w:pPr>
            <w:r>
              <w:rPr>
                <w:b/>
                <w:sz w:val="18"/>
              </w:rPr>
              <w:t>Asia:</w:t>
            </w:r>
          </w:p>
        </w:tc>
        <w:tc>
          <w:tcPr>
            <w:tcW w:w="931" w:type="dxa"/>
            <w:gridSpan w:val="2"/>
            <w:tcBorders>
              <w:top w:val="nil"/>
              <w:bottom w:val="nil"/>
            </w:tcBorders>
          </w:tcPr>
          <w:p>
            <w:pPr>
              <w:pStyle w:val="TableParagraph"/>
              <w:rPr>
                <w:sz w:val="16"/>
              </w:rPr>
            </w:pPr>
          </w:p>
        </w:tc>
        <w:tc>
          <w:tcPr>
            <w:tcW w:w="1078" w:type="dxa"/>
            <w:tcBorders>
              <w:top w:val="nil"/>
              <w:bottom w:val="nil"/>
            </w:tcBorders>
          </w:tcPr>
          <w:p>
            <w:pPr>
              <w:pStyle w:val="TableParagraph"/>
              <w:rPr>
                <w:sz w:val="16"/>
              </w:rPr>
            </w:pPr>
          </w:p>
        </w:tc>
        <w:tc>
          <w:tcPr>
            <w:tcW w:w="1102" w:type="dxa"/>
            <w:gridSpan w:val="2"/>
            <w:tcBorders>
              <w:top w:val="nil"/>
              <w:bottom w:val="nil"/>
            </w:tcBorders>
          </w:tcPr>
          <w:p>
            <w:pPr>
              <w:pStyle w:val="TableParagraph"/>
              <w:rPr>
                <w:sz w:val="16"/>
              </w:rPr>
            </w:pPr>
          </w:p>
        </w:tc>
        <w:tc>
          <w:tcPr>
            <w:tcW w:w="1088" w:type="dxa"/>
            <w:gridSpan w:val="2"/>
            <w:tcBorders>
              <w:top w:val="nil"/>
              <w:bottom w:val="nil"/>
            </w:tcBorders>
          </w:tcPr>
          <w:p>
            <w:pPr>
              <w:pStyle w:val="TableParagraph"/>
              <w:rPr>
                <w:sz w:val="16"/>
              </w:rPr>
            </w:pPr>
          </w:p>
        </w:tc>
        <w:tc>
          <w:tcPr>
            <w:tcW w:w="1088" w:type="dxa"/>
            <w:tcBorders>
              <w:top w:val="nil"/>
              <w:bottom w:val="nil"/>
            </w:tcBorders>
          </w:tcPr>
          <w:p>
            <w:pPr>
              <w:pStyle w:val="TableParagraph"/>
              <w:rPr>
                <w:sz w:val="16"/>
              </w:rPr>
            </w:pPr>
          </w:p>
        </w:tc>
        <w:tc>
          <w:tcPr>
            <w:tcW w:w="1082" w:type="dxa"/>
            <w:gridSpan w:val="2"/>
            <w:tcBorders>
              <w:top w:val="nil"/>
              <w:bottom w:val="nil"/>
            </w:tcBorders>
          </w:tcPr>
          <w:p>
            <w:pPr>
              <w:pStyle w:val="TableParagraph"/>
              <w:rPr>
                <w:sz w:val="16"/>
              </w:rPr>
            </w:pPr>
          </w:p>
        </w:tc>
        <w:tc>
          <w:tcPr>
            <w:tcW w:w="1066" w:type="dxa"/>
            <w:tcBorders>
              <w:top w:val="nil"/>
              <w:bottom w:val="nil"/>
            </w:tcBorders>
          </w:tcPr>
          <w:p>
            <w:pPr>
              <w:pStyle w:val="TableParagraph"/>
              <w:rPr>
                <w:sz w:val="16"/>
              </w:rPr>
            </w:pPr>
          </w:p>
        </w:tc>
      </w:tr>
      <w:tr>
        <w:trPr>
          <w:trHeight w:val="282" w:hRule="atLeast"/>
        </w:trPr>
        <w:tc>
          <w:tcPr>
            <w:tcW w:w="1589" w:type="dxa"/>
            <w:tcBorders>
              <w:top w:val="nil"/>
              <w:bottom w:val="nil"/>
            </w:tcBorders>
          </w:tcPr>
          <w:p>
            <w:pPr>
              <w:pStyle w:val="TableParagraph"/>
              <w:spacing w:before="32"/>
              <w:ind w:left="26"/>
              <w:rPr>
                <w:sz w:val="18"/>
              </w:rPr>
            </w:pPr>
            <w:r>
              <w:rPr>
                <w:sz w:val="18"/>
              </w:rPr>
              <w:t>Broadleaf</w:t>
            </w:r>
          </w:p>
        </w:tc>
        <w:tc>
          <w:tcPr>
            <w:tcW w:w="931" w:type="dxa"/>
            <w:gridSpan w:val="2"/>
            <w:tcBorders>
              <w:top w:val="nil"/>
              <w:bottom w:val="nil"/>
            </w:tcBorders>
          </w:tcPr>
          <w:p>
            <w:pPr>
              <w:pStyle w:val="TableParagraph"/>
              <w:spacing w:before="32"/>
              <w:ind w:left="329" w:right="320"/>
              <w:jc w:val="center"/>
              <w:rPr>
                <w:sz w:val="18"/>
              </w:rPr>
            </w:pPr>
            <w:r>
              <w:rPr>
                <w:sz w:val="18"/>
              </w:rPr>
              <w:t>All</w:t>
            </w:r>
          </w:p>
        </w:tc>
        <w:tc>
          <w:tcPr>
            <w:tcW w:w="1078" w:type="dxa"/>
            <w:tcBorders>
              <w:top w:val="nil"/>
              <w:bottom w:val="nil"/>
            </w:tcBorders>
          </w:tcPr>
          <w:p>
            <w:pPr>
              <w:pStyle w:val="TableParagraph"/>
              <w:spacing w:before="32"/>
              <w:ind w:left="34" w:right="24"/>
              <w:jc w:val="center"/>
              <w:rPr>
                <w:sz w:val="18"/>
              </w:rPr>
            </w:pPr>
            <w:r>
              <w:rPr>
                <w:sz w:val="18"/>
              </w:rPr>
              <w:t>220</w:t>
            </w:r>
          </w:p>
        </w:tc>
        <w:tc>
          <w:tcPr>
            <w:tcW w:w="1102" w:type="dxa"/>
            <w:gridSpan w:val="2"/>
            <w:tcBorders>
              <w:top w:val="nil"/>
              <w:bottom w:val="nil"/>
            </w:tcBorders>
          </w:tcPr>
          <w:p>
            <w:pPr>
              <w:pStyle w:val="TableParagraph"/>
              <w:spacing w:before="32"/>
              <w:ind w:left="135" w:right="126"/>
              <w:jc w:val="center"/>
              <w:rPr>
                <w:sz w:val="18"/>
              </w:rPr>
            </w:pPr>
            <w:r>
              <w:rPr>
                <w:sz w:val="18"/>
              </w:rPr>
              <w:t>180</w:t>
            </w:r>
          </w:p>
        </w:tc>
        <w:tc>
          <w:tcPr>
            <w:tcW w:w="1088" w:type="dxa"/>
            <w:gridSpan w:val="2"/>
            <w:tcBorders>
              <w:top w:val="nil"/>
              <w:bottom w:val="nil"/>
            </w:tcBorders>
          </w:tcPr>
          <w:p>
            <w:pPr>
              <w:pStyle w:val="TableParagraph"/>
              <w:spacing w:before="32"/>
              <w:ind w:left="126" w:right="119"/>
              <w:jc w:val="center"/>
              <w:rPr>
                <w:sz w:val="18"/>
              </w:rPr>
            </w:pPr>
            <w:r>
              <w:rPr>
                <w:sz w:val="18"/>
              </w:rPr>
              <w:t>90</w:t>
            </w:r>
          </w:p>
        </w:tc>
        <w:tc>
          <w:tcPr>
            <w:tcW w:w="1088" w:type="dxa"/>
            <w:tcBorders>
              <w:top w:val="nil"/>
              <w:bottom w:val="nil"/>
            </w:tcBorders>
          </w:tcPr>
          <w:p>
            <w:pPr>
              <w:pStyle w:val="TableParagraph"/>
              <w:spacing w:before="32"/>
              <w:ind w:left="124" w:right="119"/>
              <w:jc w:val="center"/>
              <w:rPr>
                <w:sz w:val="18"/>
              </w:rPr>
            </w:pPr>
            <w:r>
              <w:rPr>
                <w:sz w:val="18"/>
              </w:rPr>
              <w:t>40</w:t>
            </w:r>
          </w:p>
        </w:tc>
        <w:tc>
          <w:tcPr>
            <w:tcW w:w="1082" w:type="dxa"/>
            <w:gridSpan w:val="2"/>
            <w:tcBorders>
              <w:top w:val="nil"/>
              <w:bottom w:val="nil"/>
            </w:tcBorders>
          </w:tcPr>
          <w:p>
            <w:pPr>
              <w:pStyle w:val="TableParagraph"/>
              <w:spacing w:before="32"/>
              <w:ind w:left="380" w:right="380"/>
              <w:jc w:val="center"/>
              <w:rPr>
                <w:sz w:val="18"/>
              </w:rPr>
            </w:pPr>
            <w:r>
              <w:rPr>
                <w:sz w:val="18"/>
              </w:rPr>
              <w:t>150</w:t>
            </w:r>
          </w:p>
        </w:tc>
        <w:tc>
          <w:tcPr>
            <w:tcW w:w="1066" w:type="dxa"/>
            <w:tcBorders>
              <w:top w:val="nil"/>
              <w:bottom w:val="nil"/>
            </w:tcBorders>
          </w:tcPr>
          <w:p>
            <w:pPr>
              <w:pStyle w:val="TableParagraph"/>
              <w:spacing w:before="32"/>
              <w:ind w:left="77" w:right="71"/>
              <w:jc w:val="center"/>
              <w:rPr>
                <w:sz w:val="18"/>
              </w:rPr>
            </w:pPr>
            <w:r>
              <w:rPr>
                <w:sz w:val="18"/>
              </w:rPr>
              <w:t>40</w:t>
            </w:r>
          </w:p>
        </w:tc>
      </w:tr>
      <w:tr>
        <w:trPr>
          <w:trHeight w:val="284" w:hRule="atLeast"/>
        </w:trPr>
        <w:tc>
          <w:tcPr>
            <w:tcW w:w="1589" w:type="dxa"/>
            <w:tcBorders>
              <w:top w:val="nil"/>
            </w:tcBorders>
          </w:tcPr>
          <w:p>
            <w:pPr>
              <w:pStyle w:val="TableParagraph"/>
              <w:spacing w:before="35"/>
              <w:ind w:left="26"/>
              <w:rPr>
                <w:sz w:val="18"/>
              </w:rPr>
            </w:pPr>
            <w:r>
              <w:rPr>
                <w:sz w:val="18"/>
              </w:rPr>
              <w:t>other species</w:t>
            </w:r>
          </w:p>
        </w:tc>
        <w:tc>
          <w:tcPr>
            <w:tcW w:w="931" w:type="dxa"/>
            <w:gridSpan w:val="2"/>
            <w:tcBorders>
              <w:top w:val="nil"/>
            </w:tcBorders>
          </w:tcPr>
          <w:p>
            <w:pPr>
              <w:pStyle w:val="TableParagraph"/>
              <w:spacing w:before="35"/>
              <w:ind w:left="329" w:right="319"/>
              <w:jc w:val="center"/>
              <w:rPr>
                <w:sz w:val="18"/>
              </w:rPr>
            </w:pPr>
            <w:r>
              <w:rPr>
                <w:sz w:val="18"/>
              </w:rPr>
              <w:t>All</w:t>
            </w:r>
          </w:p>
        </w:tc>
        <w:tc>
          <w:tcPr>
            <w:tcW w:w="1078" w:type="dxa"/>
            <w:tcBorders>
              <w:top w:val="nil"/>
            </w:tcBorders>
          </w:tcPr>
          <w:p>
            <w:pPr>
              <w:pStyle w:val="TableParagraph"/>
              <w:spacing w:before="35"/>
              <w:ind w:left="35" w:right="24"/>
              <w:jc w:val="center"/>
              <w:rPr>
                <w:sz w:val="18"/>
              </w:rPr>
            </w:pPr>
            <w:r>
              <w:rPr>
                <w:sz w:val="18"/>
              </w:rPr>
              <w:t>130</w:t>
            </w:r>
          </w:p>
        </w:tc>
        <w:tc>
          <w:tcPr>
            <w:tcW w:w="1102" w:type="dxa"/>
            <w:gridSpan w:val="2"/>
            <w:tcBorders>
              <w:top w:val="nil"/>
            </w:tcBorders>
          </w:tcPr>
          <w:p>
            <w:pPr>
              <w:pStyle w:val="TableParagraph"/>
              <w:spacing w:before="35"/>
              <w:ind w:left="135" w:right="126"/>
              <w:jc w:val="center"/>
              <w:rPr>
                <w:sz w:val="18"/>
              </w:rPr>
            </w:pPr>
            <w:r>
              <w:rPr>
                <w:sz w:val="18"/>
              </w:rPr>
              <w:t>100</w:t>
            </w:r>
          </w:p>
        </w:tc>
        <w:tc>
          <w:tcPr>
            <w:tcW w:w="1088" w:type="dxa"/>
            <w:gridSpan w:val="2"/>
            <w:tcBorders>
              <w:top w:val="nil"/>
            </w:tcBorders>
          </w:tcPr>
          <w:p>
            <w:pPr>
              <w:pStyle w:val="TableParagraph"/>
              <w:spacing w:before="35"/>
              <w:ind w:left="127" w:right="119"/>
              <w:jc w:val="center"/>
              <w:rPr>
                <w:sz w:val="18"/>
              </w:rPr>
            </w:pPr>
            <w:r>
              <w:rPr>
                <w:sz w:val="18"/>
              </w:rPr>
              <w:t>60</w:t>
            </w:r>
          </w:p>
        </w:tc>
        <w:tc>
          <w:tcPr>
            <w:tcW w:w="1088" w:type="dxa"/>
            <w:tcBorders>
              <w:top w:val="nil"/>
            </w:tcBorders>
          </w:tcPr>
          <w:p>
            <w:pPr>
              <w:pStyle w:val="TableParagraph"/>
              <w:spacing w:before="35"/>
              <w:ind w:left="125" w:right="119"/>
              <w:jc w:val="center"/>
              <w:rPr>
                <w:sz w:val="18"/>
              </w:rPr>
            </w:pPr>
            <w:r>
              <w:rPr>
                <w:sz w:val="18"/>
              </w:rPr>
              <w:t>30</w:t>
            </w:r>
          </w:p>
        </w:tc>
        <w:tc>
          <w:tcPr>
            <w:tcW w:w="1082" w:type="dxa"/>
            <w:gridSpan w:val="2"/>
            <w:tcBorders>
              <w:top w:val="nil"/>
            </w:tcBorders>
          </w:tcPr>
          <w:p>
            <w:pPr>
              <w:pStyle w:val="TableParagraph"/>
              <w:spacing w:before="35"/>
              <w:ind w:left="380" w:right="380"/>
              <w:jc w:val="center"/>
              <w:rPr>
                <w:sz w:val="18"/>
              </w:rPr>
            </w:pPr>
            <w:r>
              <w:rPr>
                <w:sz w:val="18"/>
              </w:rPr>
              <w:t>80</w:t>
            </w:r>
          </w:p>
        </w:tc>
        <w:tc>
          <w:tcPr>
            <w:tcW w:w="1066" w:type="dxa"/>
            <w:tcBorders>
              <w:top w:val="nil"/>
            </w:tcBorders>
          </w:tcPr>
          <w:p>
            <w:pPr>
              <w:pStyle w:val="TableParagraph"/>
              <w:spacing w:before="35"/>
              <w:ind w:left="77" w:right="70"/>
              <w:jc w:val="center"/>
              <w:rPr>
                <w:sz w:val="18"/>
              </w:rPr>
            </w:pPr>
            <w:r>
              <w:rPr>
                <w:sz w:val="18"/>
              </w:rPr>
              <w:t>25</w:t>
            </w:r>
          </w:p>
        </w:tc>
      </w:tr>
      <w:tr>
        <w:trPr>
          <w:trHeight w:val="277" w:hRule="atLeast"/>
        </w:trPr>
        <w:tc>
          <w:tcPr>
            <w:tcW w:w="1589" w:type="dxa"/>
            <w:tcBorders>
              <w:bottom w:val="nil"/>
            </w:tcBorders>
          </w:tcPr>
          <w:p>
            <w:pPr>
              <w:pStyle w:val="TableParagraph"/>
              <w:spacing w:before="33"/>
              <w:ind w:left="26"/>
              <w:rPr>
                <w:b/>
                <w:sz w:val="18"/>
              </w:rPr>
            </w:pPr>
            <w:r>
              <w:rPr>
                <w:b/>
                <w:sz w:val="18"/>
              </w:rPr>
              <w:t>America</w:t>
            </w:r>
          </w:p>
        </w:tc>
        <w:tc>
          <w:tcPr>
            <w:tcW w:w="931" w:type="dxa"/>
            <w:gridSpan w:val="2"/>
            <w:tcBorders>
              <w:bottom w:val="nil"/>
            </w:tcBorders>
          </w:tcPr>
          <w:p>
            <w:pPr>
              <w:pStyle w:val="TableParagraph"/>
              <w:rPr>
                <w:sz w:val="16"/>
              </w:rPr>
            </w:pPr>
          </w:p>
        </w:tc>
        <w:tc>
          <w:tcPr>
            <w:tcW w:w="1078" w:type="dxa"/>
            <w:tcBorders>
              <w:bottom w:val="nil"/>
            </w:tcBorders>
          </w:tcPr>
          <w:p>
            <w:pPr>
              <w:pStyle w:val="TableParagraph"/>
              <w:rPr>
                <w:sz w:val="16"/>
              </w:rPr>
            </w:pPr>
          </w:p>
        </w:tc>
        <w:tc>
          <w:tcPr>
            <w:tcW w:w="1102" w:type="dxa"/>
            <w:gridSpan w:val="2"/>
            <w:tcBorders>
              <w:bottom w:val="nil"/>
            </w:tcBorders>
          </w:tcPr>
          <w:p>
            <w:pPr>
              <w:pStyle w:val="TableParagraph"/>
              <w:rPr>
                <w:sz w:val="16"/>
              </w:rPr>
            </w:pPr>
          </w:p>
        </w:tc>
        <w:tc>
          <w:tcPr>
            <w:tcW w:w="1088" w:type="dxa"/>
            <w:gridSpan w:val="2"/>
            <w:tcBorders>
              <w:bottom w:val="nil"/>
            </w:tcBorders>
          </w:tcPr>
          <w:p>
            <w:pPr>
              <w:pStyle w:val="TableParagraph"/>
              <w:rPr>
                <w:sz w:val="16"/>
              </w:rPr>
            </w:pPr>
          </w:p>
        </w:tc>
        <w:tc>
          <w:tcPr>
            <w:tcW w:w="1088" w:type="dxa"/>
            <w:tcBorders>
              <w:bottom w:val="nil"/>
            </w:tcBorders>
          </w:tcPr>
          <w:p>
            <w:pPr>
              <w:pStyle w:val="TableParagraph"/>
              <w:rPr>
                <w:sz w:val="16"/>
              </w:rPr>
            </w:pPr>
          </w:p>
        </w:tc>
        <w:tc>
          <w:tcPr>
            <w:tcW w:w="1082" w:type="dxa"/>
            <w:gridSpan w:val="2"/>
            <w:tcBorders>
              <w:bottom w:val="nil"/>
            </w:tcBorders>
          </w:tcPr>
          <w:p>
            <w:pPr>
              <w:pStyle w:val="TableParagraph"/>
              <w:rPr>
                <w:sz w:val="16"/>
              </w:rPr>
            </w:pPr>
          </w:p>
        </w:tc>
        <w:tc>
          <w:tcPr>
            <w:tcW w:w="1066" w:type="dxa"/>
            <w:tcBorders>
              <w:bottom w:val="nil"/>
            </w:tcBorders>
          </w:tcPr>
          <w:p>
            <w:pPr>
              <w:pStyle w:val="TableParagraph"/>
              <w:rPr>
                <w:sz w:val="16"/>
              </w:rPr>
            </w:pPr>
          </w:p>
        </w:tc>
      </w:tr>
      <w:tr>
        <w:trPr>
          <w:trHeight w:val="279" w:hRule="atLeast"/>
        </w:trPr>
        <w:tc>
          <w:tcPr>
            <w:tcW w:w="1589" w:type="dxa"/>
            <w:tcBorders>
              <w:top w:val="nil"/>
              <w:bottom w:val="nil"/>
            </w:tcBorders>
          </w:tcPr>
          <w:p>
            <w:pPr>
              <w:pStyle w:val="TableParagraph"/>
              <w:spacing w:before="29"/>
              <w:ind w:left="26"/>
              <w:rPr>
                <w:sz w:val="18"/>
              </w:rPr>
            </w:pPr>
            <w:r>
              <w:rPr>
                <w:sz w:val="18"/>
              </w:rPr>
              <w:t>Pinus</w:t>
            </w:r>
          </w:p>
        </w:tc>
        <w:tc>
          <w:tcPr>
            <w:tcW w:w="931" w:type="dxa"/>
            <w:gridSpan w:val="2"/>
            <w:tcBorders>
              <w:top w:val="nil"/>
              <w:bottom w:val="nil"/>
            </w:tcBorders>
          </w:tcPr>
          <w:p>
            <w:pPr>
              <w:pStyle w:val="TableParagraph"/>
              <w:spacing w:before="29"/>
              <w:ind w:left="328" w:right="320"/>
              <w:jc w:val="center"/>
              <w:rPr>
                <w:sz w:val="18"/>
              </w:rPr>
            </w:pPr>
            <w:r>
              <w:rPr>
                <w:sz w:val="18"/>
              </w:rPr>
              <w:t>All</w:t>
            </w:r>
          </w:p>
        </w:tc>
        <w:tc>
          <w:tcPr>
            <w:tcW w:w="1078" w:type="dxa"/>
            <w:tcBorders>
              <w:top w:val="nil"/>
              <w:bottom w:val="nil"/>
            </w:tcBorders>
          </w:tcPr>
          <w:p>
            <w:pPr>
              <w:pStyle w:val="TableParagraph"/>
              <w:spacing w:before="29"/>
              <w:ind w:left="33" w:right="24"/>
              <w:jc w:val="center"/>
              <w:rPr>
                <w:sz w:val="18"/>
              </w:rPr>
            </w:pPr>
            <w:r>
              <w:rPr>
                <w:sz w:val="18"/>
              </w:rPr>
              <w:t>300</w:t>
            </w:r>
          </w:p>
        </w:tc>
        <w:tc>
          <w:tcPr>
            <w:tcW w:w="1102" w:type="dxa"/>
            <w:gridSpan w:val="2"/>
            <w:tcBorders>
              <w:top w:val="nil"/>
              <w:bottom w:val="nil"/>
            </w:tcBorders>
          </w:tcPr>
          <w:p>
            <w:pPr>
              <w:pStyle w:val="TableParagraph"/>
              <w:spacing w:before="29"/>
              <w:ind w:left="133" w:right="126"/>
              <w:jc w:val="center"/>
              <w:rPr>
                <w:sz w:val="18"/>
              </w:rPr>
            </w:pPr>
            <w:r>
              <w:rPr>
                <w:sz w:val="18"/>
              </w:rPr>
              <w:t>270</w:t>
            </w:r>
          </w:p>
        </w:tc>
        <w:tc>
          <w:tcPr>
            <w:tcW w:w="1088" w:type="dxa"/>
            <w:gridSpan w:val="2"/>
            <w:tcBorders>
              <w:top w:val="nil"/>
              <w:bottom w:val="nil"/>
            </w:tcBorders>
          </w:tcPr>
          <w:p>
            <w:pPr>
              <w:pStyle w:val="TableParagraph"/>
              <w:spacing w:before="29"/>
              <w:ind w:left="125" w:right="119"/>
              <w:jc w:val="center"/>
              <w:rPr>
                <w:sz w:val="18"/>
              </w:rPr>
            </w:pPr>
            <w:r>
              <w:rPr>
                <w:sz w:val="18"/>
              </w:rPr>
              <w:t>110</w:t>
            </w:r>
          </w:p>
        </w:tc>
        <w:tc>
          <w:tcPr>
            <w:tcW w:w="1088" w:type="dxa"/>
            <w:tcBorders>
              <w:top w:val="nil"/>
              <w:bottom w:val="nil"/>
            </w:tcBorders>
          </w:tcPr>
          <w:p>
            <w:pPr>
              <w:pStyle w:val="TableParagraph"/>
              <w:spacing w:before="29"/>
              <w:ind w:left="123" w:right="119"/>
              <w:jc w:val="center"/>
              <w:rPr>
                <w:sz w:val="18"/>
              </w:rPr>
            </w:pPr>
            <w:r>
              <w:rPr>
                <w:sz w:val="18"/>
              </w:rPr>
              <w:t>60</w:t>
            </w:r>
          </w:p>
        </w:tc>
        <w:tc>
          <w:tcPr>
            <w:tcW w:w="1082" w:type="dxa"/>
            <w:gridSpan w:val="2"/>
            <w:tcBorders>
              <w:top w:val="nil"/>
              <w:bottom w:val="nil"/>
            </w:tcBorders>
          </w:tcPr>
          <w:p>
            <w:pPr>
              <w:pStyle w:val="TableParagraph"/>
              <w:spacing w:before="29"/>
              <w:ind w:left="380" w:right="381"/>
              <w:jc w:val="center"/>
              <w:rPr>
                <w:sz w:val="18"/>
              </w:rPr>
            </w:pPr>
            <w:r>
              <w:rPr>
                <w:sz w:val="18"/>
              </w:rPr>
              <w:t>170</w:t>
            </w:r>
          </w:p>
        </w:tc>
        <w:tc>
          <w:tcPr>
            <w:tcW w:w="1066" w:type="dxa"/>
            <w:tcBorders>
              <w:top w:val="nil"/>
              <w:bottom w:val="nil"/>
            </w:tcBorders>
          </w:tcPr>
          <w:p>
            <w:pPr>
              <w:pStyle w:val="TableParagraph"/>
              <w:spacing w:before="29"/>
              <w:ind w:left="77" w:right="72"/>
              <w:jc w:val="center"/>
              <w:rPr>
                <w:sz w:val="18"/>
              </w:rPr>
            </w:pPr>
            <w:r>
              <w:rPr>
                <w:sz w:val="18"/>
              </w:rPr>
              <w:t>60</w:t>
            </w:r>
          </w:p>
        </w:tc>
      </w:tr>
      <w:tr>
        <w:trPr>
          <w:trHeight w:val="284" w:hRule="atLeast"/>
        </w:trPr>
        <w:tc>
          <w:tcPr>
            <w:tcW w:w="1589" w:type="dxa"/>
            <w:tcBorders>
              <w:top w:val="nil"/>
              <w:bottom w:val="nil"/>
            </w:tcBorders>
          </w:tcPr>
          <w:p>
            <w:pPr>
              <w:pStyle w:val="TableParagraph"/>
              <w:spacing w:before="35"/>
              <w:ind w:left="26"/>
              <w:rPr>
                <w:sz w:val="18"/>
              </w:rPr>
            </w:pPr>
            <w:r>
              <w:rPr>
                <w:sz w:val="18"/>
              </w:rPr>
              <w:t>Eucalyptus</w:t>
            </w:r>
          </w:p>
        </w:tc>
        <w:tc>
          <w:tcPr>
            <w:tcW w:w="931" w:type="dxa"/>
            <w:gridSpan w:val="2"/>
            <w:tcBorders>
              <w:top w:val="nil"/>
              <w:bottom w:val="nil"/>
            </w:tcBorders>
          </w:tcPr>
          <w:p>
            <w:pPr>
              <w:pStyle w:val="TableParagraph"/>
              <w:spacing w:before="35"/>
              <w:ind w:left="329" w:right="319"/>
              <w:jc w:val="center"/>
              <w:rPr>
                <w:sz w:val="18"/>
              </w:rPr>
            </w:pPr>
            <w:r>
              <w:rPr>
                <w:sz w:val="18"/>
              </w:rPr>
              <w:t>All</w:t>
            </w:r>
          </w:p>
        </w:tc>
        <w:tc>
          <w:tcPr>
            <w:tcW w:w="1078" w:type="dxa"/>
            <w:tcBorders>
              <w:top w:val="nil"/>
              <w:bottom w:val="nil"/>
            </w:tcBorders>
          </w:tcPr>
          <w:p>
            <w:pPr>
              <w:pStyle w:val="TableParagraph"/>
              <w:spacing w:before="35"/>
              <w:ind w:left="35" w:right="24"/>
              <w:jc w:val="center"/>
              <w:rPr>
                <w:sz w:val="18"/>
              </w:rPr>
            </w:pPr>
            <w:r>
              <w:rPr>
                <w:sz w:val="18"/>
              </w:rPr>
              <w:t>200</w:t>
            </w:r>
          </w:p>
        </w:tc>
        <w:tc>
          <w:tcPr>
            <w:tcW w:w="1102" w:type="dxa"/>
            <w:gridSpan w:val="2"/>
            <w:tcBorders>
              <w:top w:val="nil"/>
              <w:bottom w:val="nil"/>
            </w:tcBorders>
          </w:tcPr>
          <w:p>
            <w:pPr>
              <w:pStyle w:val="TableParagraph"/>
              <w:spacing w:before="35"/>
              <w:ind w:left="136" w:right="126"/>
              <w:jc w:val="center"/>
              <w:rPr>
                <w:sz w:val="18"/>
              </w:rPr>
            </w:pPr>
            <w:r>
              <w:rPr>
                <w:sz w:val="18"/>
              </w:rPr>
              <w:t>140</w:t>
            </w:r>
          </w:p>
        </w:tc>
        <w:tc>
          <w:tcPr>
            <w:tcW w:w="1088" w:type="dxa"/>
            <w:gridSpan w:val="2"/>
            <w:tcBorders>
              <w:top w:val="nil"/>
              <w:bottom w:val="nil"/>
            </w:tcBorders>
          </w:tcPr>
          <w:p>
            <w:pPr>
              <w:pStyle w:val="TableParagraph"/>
              <w:spacing w:before="35"/>
              <w:ind w:left="127" w:right="119"/>
              <w:jc w:val="center"/>
              <w:rPr>
                <w:sz w:val="18"/>
              </w:rPr>
            </w:pPr>
            <w:r>
              <w:rPr>
                <w:sz w:val="18"/>
              </w:rPr>
              <w:t>110</w:t>
            </w:r>
          </w:p>
        </w:tc>
        <w:tc>
          <w:tcPr>
            <w:tcW w:w="1088" w:type="dxa"/>
            <w:tcBorders>
              <w:top w:val="nil"/>
              <w:bottom w:val="nil"/>
            </w:tcBorders>
          </w:tcPr>
          <w:p>
            <w:pPr>
              <w:pStyle w:val="TableParagraph"/>
              <w:spacing w:before="35"/>
              <w:ind w:left="124" w:right="119"/>
              <w:jc w:val="center"/>
              <w:rPr>
                <w:sz w:val="18"/>
              </w:rPr>
            </w:pPr>
            <w:r>
              <w:rPr>
                <w:sz w:val="18"/>
              </w:rPr>
              <w:t>60</w:t>
            </w:r>
          </w:p>
        </w:tc>
        <w:tc>
          <w:tcPr>
            <w:tcW w:w="1082" w:type="dxa"/>
            <w:gridSpan w:val="2"/>
            <w:tcBorders>
              <w:top w:val="nil"/>
              <w:bottom w:val="nil"/>
            </w:tcBorders>
          </w:tcPr>
          <w:p>
            <w:pPr>
              <w:pStyle w:val="TableParagraph"/>
              <w:spacing w:before="35"/>
              <w:ind w:left="380" w:right="380"/>
              <w:jc w:val="center"/>
              <w:rPr>
                <w:sz w:val="18"/>
              </w:rPr>
            </w:pPr>
            <w:r>
              <w:rPr>
                <w:sz w:val="18"/>
              </w:rPr>
              <w:t>120</w:t>
            </w:r>
          </w:p>
        </w:tc>
        <w:tc>
          <w:tcPr>
            <w:tcW w:w="1066" w:type="dxa"/>
            <w:tcBorders>
              <w:top w:val="nil"/>
              <w:bottom w:val="nil"/>
            </w:tcBorders>
          </w:tcPr>
          <w:p>
            <w:pPr>
              <w:pStyle w:val="TableParagraph"/>
              <w:spacing w:before="35"/>
              <w:ind w:left="77" w:right="71"/>
              <w:jc w:val="center"/>
              <w:rPr>
                <w:sz w:val="18"/>
              </w:rPr>
            </w:pPr>
            <w:r>
              <w:rPr>
                <w:sz w:val="18"/>
              </w:rPr>
              <w:t>30</w:t>
            </w:r>
          </w:p>
        </w:tc>
      </w:tr>
      <w:tr>
        <w:trPr>
          <w:trHeight w:val="283" w:hRule="atLeast"/>
        </w:trPr>
        <w:tc>
          <w:tcPr>
            <w:tcW w:w="1589" w:type="dxa"/>
            <w:tcBorders>
              <w:top w:val="nil"/>
              <w:bottom w:val="nil"/>
            </w:tcBorders>
          </w:tcPr>
          <w:p>
            <w:pPr>
              <w:pStyle w:val="TableParagraph"/>
              <w:spacing w:before="34"/>
              <w:ind w:left="26"/>
              <w:rPr>
                <w:sz w:val="18"/>
              </w:rPr>
            </w:pPr>
            <w:r>
              <w:rPr>
                <w:sz w:val="18"/>
              </w:rPr>
              <w:t>Tectona</w:t>
            </w:r>
          </w:p>
        </w:tc>
        <w:tc>
          <w:tcPr>
            <w:tcW w:w="931" w:type="dxa"/>
            <w:gridSpan w:val="2"/>
            <w:tcBorders>
              <w:top w:val="nil"/>
              <w:bottom w:val="nil"/>
            </w:tcBorders>
          </w:tcPr>
          <w:p>
            <w:pPr>
              <w:pStyle w:val="TableParagraph"/>
              <w:spacing w:before="34"/>
              <w:ind w:left="328" w:right="320"/>
              <w:jc w:val="center"/>
              <w:rPr>
                <w:sz w:val="18"/>
              </w:rPr>
            </w:pPr>
            <w:r>
              <w:rPr>
                <w:sz w:val="18"/>
              </w:rPr>
              <w:t>All</w:t>
            </w:r>
          </w:p>
        </w:tc>
        <w:tc>
          <w:tcPr>
            <w:tcW w:w="1078" w:type="dxa"/>
            <w:tcBorders>
              <w:top w:val="nil"/>
              <w:bottom w:val="nil"/>
            </w:tcBorders>
          </w:tcPr>
          <w:p>
            <w:pPr>
              <w:pStyle w:val="TableParagraph"/>
              <w:spacing w:before="34"/>
              <w:ind w:left="33" w:right="24"/>
              <w:jc w:val="center"/>
              <w:rPr>
                <w:sz w:val="18"/>
              </w:rPr>
            </w:pPr>
            <w:r>
              <w:rPr>
                <w:sz w:val="18"/>
              </w:rPr>
              <w:t>170</w:t>
            </w:r>
          </w:p>
        </w:tc>
        <w:tc>
          <w:tcPr>
            <w:tcW w:w="1102" w:type="dxa"/>
            <w:gridSpan w:val="2"/>
            <w:tcBorders>
              <w:top w:val="nil"/>
              <w:bottom w:val="nil"/>
            </w:tcBorders>
          </w:tcPr>
          <w:p>
            <w:pPr>
              <w:pStyle w:val="TableParagraph"/>
              <w:spacing w:before="34"/>
              <w:ind w:left="134" w:right="126"/>
              <w:jc w:val="center"/>
              <w:rPr>
                <w:sz w:val="18"/>
              </w:rPr>
            </w:pPr>
            <w:r>
              <w:rPr>
                <w:sz w:val="18"/>
              </w:rPr>
              <w:t>120</w:t>
            </w:r>
          </w:p>
        </w:tc>
        <w:tc>
          <w:tcPr>
            <w:tcW w:w="1088" w:type="dxa"/>
            <w:gridSpan w:val="2"/>
            <w:tcBorders>
              <w:top w:val="nil"/>
              <w:bottom w:val="nil"/>
            </w:tcBorders>
          </w:tcPr>
          <w:p>
            <w:pPr>
              <w:pStyle w:val="TableParagraph"/>
              <w:spacing w:before="34"/>
              <w:ind w:left="125" w:right="119"/>
              <w:jc w:val="center"/>
              <w:rPr>
                <w:sz w:val="18"/>
              </w:rPr>
            </w:pPr>
            <w:r>
              <w:rPr>
                <w:sz w:val="18"/>
              </w:rPr>
              <w:t>90</w:t>
            </w:r>
          </w:p>
        </w:tc>
        <w:tc>
          <w:tcPr>
            <w:tcW w:w="1088" w:type="dxa"/>
            <w:tcBorders>
              <w:top w:val="nil"/>
              <w:bottom w:val="nil"/>
            </w:tcBorders>
          </w:tcPr>
          <w:p>
            <w:pPr>
              <w:pStyle w:val="TableParagraph"/>
              <w:spacing w:before="34"/>
              <w:ind w:left="123" w:right="119"/>
              <w:jc w:val="center"/>
              <w:rPr>
                <w:sz w:val="18"/>
              </w:rPr>
            </w:pPr>
            <w:r>
              <w:rPr>
                <w:sz w:val="18"/>
              </w:rPr>
              <w:t>50</w:t>
            </w:r>
          </w:p>
        </w:tc>
        <w:tc>
          <w:tcPr>
            <w:tcW w:w="1082" w:type="dxa"/>
            <w:gridSpan w:val="2"/>
            <w:tcBorders>
              <w:top w:val="nil"/>
              <w:bottom w:val="nil"/>
            </w:tcBorders>
          </w:tcPr>
          <w:p>
            <w:pPr>
              <w:pStyle w:val="TableParagraph"/>
              <w:spacing w:before="34"/>
              <w:ind w:left="380" w:right="380"/>
              <w:jc w:val="center"/>
              <w:rPr>
                <w:sz w:val="18"/>
              </w:rPr>
            </w:pPr>
            <w:r>
              <w:rPr>
                <w:sz w:val="18"/>
              </w:rPr>
              <w:t>130</w:t>
            </w:r>
          </w:p>
        </w:tc>
        <w:tc>
          <w:tcPr>
            <w:tcW w:w="1066" w:type="dxa"/>
            <w:tcBorders>
              <w:top w:val="nil"/>
              <w:bottom w:val="nil"/>
            </w:tcBorders>
          </w:tcPr>
          <w:p>
            <w:pPr>
              <w:pStyle w:val="TableParagraph"/>
              <w:spacing w:before="34"/>
              <w:ind w:left="77" w:right="72"/>
              <w:jc w:val="center"/>
              <w:rPr>
                <w:sz w:val="18"/>
              </w:rPr>
            </w:pPr>
            <w:r>
              <w:rPr>
                <w:sz w:val="18"/>
              </w:rPr>
              <w:t>30</w:t>
            </w:r>
          </w:p>
        </w:tc>
      </w:tr>
      <w:tr>
        <w:trPr>
          <w:trHeight w:val="285" w:hRule="atLeast"/>
        </w:trPr>
        <w:tc>
          <w:tcPr>
            <w:tcW w:w="1589" w:type="dxa"/>
            <w:tcBorders>
              <w:top w:val="nil"/>
              <w:bottom w:val="double" w:sz="1" w:space="0" w:color="000000"/>
            </w:tcBorders>
          </w:tcPr>
          <w:p>
            <w:pPr>
              <w:pStyle w:val="TableParagraph"/>
              <w:spacing w:before="34"/>
              <w:ind w:left="26"/>
              <w:rPr>
                <w:sz w:val="18"/>
              </w:rPr>
            </w:pPr>
            <w:r>
              <w:rPr>
                <w:sz w:val="18"/>
              </w:rPr>
              <w:t>other broadleaved</w:t>
            </w:r>
          </w:p>
        </w:tc>
        <w:tc>
          <w:tcPr>
            <w:tcW w:w="931" w:type="dxa"/>
            <w:gridSpan w:val="2"/>
            <w:tcBorders>
              <w:top w:val="nil"/>
              <w:bottom w:val="double" w:sz="1" w:space="0" w:color="000000"/>
            </w:tcBorders>
          </w:tcPr>
          <w:p>
            <w:pPr>
              <w:pStyle w:val="TableParagraph"/>
              <w:spacing w:before="34"/>
              <w:ind w:left="329" w:right="319"/>
              <w:jc w:val="center"/>
              <w:rPr>
                <w:sz w:val="18"/>
              </w:rPr>
            </w:pPr>
            <w:r>
              <w:rPr>
                <w:sz w:val="18"/>
              </w:rPr>
              <w:t>All</w:t>
            </w:r>
          </w:p>
        </w:tc>
        <w:tc>
          <w:tcPr>
            <w:tcW w:w="1078" w:type="dxa"/>
            <w:tcBorders>
              <w:top w:val="nil"/>
              <w:bottom w:val="double" w:sz="1" w:space="0" w:color="000000"/>
            </w:tcBorders>
          </w:tcPr>
          <w:p>
            <w:pPr>
              <w:pStyle w:val="TableParagraph"/>
              <w:spacing w:before="34"/>
              <w:ind w:left="35" w:right="24"/>
              <w:jc w:val="center"/>
              <w:rPr>
                <w:sz w:val="18"/>
              </w:rPr>
            </w:pPr>
            <w:r>
              <w:rPr>
                <w:sz w:val="18"/>
              </w:rPr>
              <w:t>150</w:t>
            </w:r>
          </w:p>
        </w:tc>
        <w:tc>
          <w:tcPr>
            <w:tcW w:w="1102" w:type="dxa"/>
            <w:gridSpan w:val="2"/>
            <w:tcBorders>
              <w:top w:val="nil"/>
              <w:bottom w:val="double" w:sz="1" w:space="0" w:color="000000"/>
            </w:tcBorders>
          </w:tcPr>
          <w:p>
            <w:pPr>
              <w:pStyle w:val="TableParagraph"/>
              <w:spacing w:before="34"/>
              <w:ind w:left="135" w:right="126"/>
              <w:jc w:val="center"/>
              <w:rPr>
                <w:sz w:val="18"/>
              </w:rPr>
            </w:pPr>
            <w:r>
              <w:rPr>
                <w:sz w:val="18"/>
              </w:rPr>
              <w:t>100</w:t>
            </w:r>
          </w:p>
        </w:tc>
        <w:tc>
          <w:tcPr>
            <w:tcW w:w="1088" w:type="dxa"/>
            <w:gridSpan w:val="2"/>
            <w:tcBorders>
              <w:top w:val="nil"/>
              <w:bottom w:val="double" w:sz="1" w:space="0" w:color="000000"/>
            </w:tcBorders>
          </w:tcPr>
          <w:p>
            <w:pPr>
              <w:pStyle w:val="TableParagraph"/>
              <w:spacing w:before="34"/>
              <w:ind w:left="126" w:right="119"/>
              <w:jc w:val="center"/>
              <w:rPr>
                <w:sz w:val="18"/>
              </w:rPr>
            </w:pPr>
            <w:r>
              <w:rPr>
                <w:sz w:val="18"/>
              </w:rPr>
              <w:t>60</w:t>
            </w:r>
          </w:p>
        </w:tc>
        <w:tc>
          <w:tcPr>
            <w:tcW w:w="1088" w:type="dxa"/>
            <w:tcBorders>
              <w:top w:val="nil"/>
              <w:bottom w:val="double" w:sz="1" w:space="0" w:color="000000"/>
            </w:tcBorders>
          </w:tcPr>
          <w:p>
            <w:pPr>
              <w:pStyle w:val="TableParagraph"/>
              <w:spacing w:before="34"/>
              <w:ind w:left="124" w:right="119"/>
              <w:jc w:val="center"/>
              <w:rPr>
                <w:sz w:val="18"/>
              </w:rPr>
            </w:pPr>
            <w:r>
              <w:rPr>
                <w:sz w:val="18"/>
              </w:rPr>
              <w:t>30</w:t>
            </w:r>
          </w:p>
        </w:tc>
        <w:tc>
          <w:tcPr>
            <w:tcW w:w="1082" w:type="dxa"/>
            <w:gridSpan w:val="2"/>
            <w:tcBorders>
              <w:top w:val="nil"/>
              <w:bottom w:val="double" w:sz="1" w:space="0" w:color="000000"/>
            </w:tcBorders>
          </w:tcPr>
          <w:p>
            <w:pPr>
              <w:pStyle w:val="TableParagraph"/>
              <w:spacing w:before="34"/>
              <w:ind w:left="380" w:right="380"/>
              <w:jc w:val="center"/>
              <w:rPr>
                <w:sz w:val="18"/>
              </w:rPr>
            </w:pPr>
            <w:r>
              <w:rPr>
                <w:sz w:val="18"/>
              </w:rPr>
              <w:t>80</w:t>
            </w:r>
          </w:p>
        </w:tc>
        <w:tc>
          <w:tcPr>
            <w:tcW w:w="1066" w:type="dxa"/>
            <w:tcBorders>
              <w:top w:val="nil"/>
              <w:bottom w:val="double" w:sz="1" w:space="0" w:color="000000"/>
            </w:tcBorders>
          </w:tcPr>
          <w:p>
            <w:pPr>
              <w:pStyle w:val="TableParagraph"/>
              <w:spacing w:before="34"/>
              <w:ind w:left="77" w:right="71"/>
              <w:jc w:val="center"/>
              <w:rPr>
                <w:sz w:val="18"/>
              </w:rPr>
            </w:pPr>
            <w:r>
              <w:rPr>
                <w:sz w:val="18"/>
              </w:rPr>
              <w:t>30</w:t>
            </w:r>
          </w:p>
        </w:tc>
      </w:tr>
      <w:tr>
        <w:trPr>
          <w:trHeight w:val="308" w:hRule="atLeast"/>
        </w:trPr>
        <w:tc>
          <w:tcPr>
            <w:tcW w:w="9024" w:type="dxa"/>
            <w:gridSpan w:val="12"/>
            <w:tcBorders>
              <w:top w:val="double" w:sz="1" w:space="0" w:color="000000"/>
            </w:tcBorders>
          </w:tcPr>
          <w:p>
            <w:pPr>
              <w:pStyle w:val="TableParagraph"/>
              <w:spacing w:before="52"/>
              <w:ind w:left="184" w:right="182"/>
              <w:jc w:val="center"/>
              <w:rPr>
                <w:b/>
                <w:sz w:val="18"/>
              </w:rPr>
            </w:pPr>
            <w:r>
              <w:rPr>
                <w:b/>
                <w:sz w:val="18"/>
              </w:rPr>
              <w:t>Temperate Forests</w:t>
            </w:r>
          </w:p>
        </w:tc>
      </w:tr>
      <w:tr>
        <w:trPr>
          <w:trHeight w:val="275" w:hRule="atLeast"/>
        </w:trPr>
        <w:tc>
          <w:tcPr>
            <w:tcW w:w="2088" w:type="dxa"/>
            <w:gridSpan w:val="2"/>
          </w:tcPr>
          <w:p>
            <w:pPr>
              <w:pStyle w:val="TableParagraph"/>
              <w:rPr>
                <w:sz w:val="16"/>
              </w:rPr>
            </w:pPr>
          </w:p>
        </w:tc>
        <w:tc>
          <w:tcPr>
            <w:tcW w:w="1736" w:type="dxa"/>
            <w:gridSpan w:val="3"/>
          </w:tcPr>
          <w:p>
            <w:pPr>
              <w:pStyle w:val="TableParagraph"/>
              <w:spacing w:before="33"/>
              <w:ind w:left="513"/>
              <w:rPr>
                <w:b/>
                <w:sz w:val="18"/>
              </w:rPr>
            </w:pPr>
            <w:r>
              <w:rPr>
                <w:b/>
                <w:sz w:val="18"/>
              </w:rPr>
              <w:t>Age class</w:t>
            </w:r>
          </w:p>
        </w:tc>
        <w:tc>
          <w:tcPr>
            <w:tcW w:w="1750" w:type="dxa"/>
            <w:gridSpan w:val="2"/>
          </w:tcPr>
          <w:p>
            <w:pPr>
              <w:pStyle w:val="TableParagraph"/>
              <w:spacing w:before="33"/>
              <w:ind w:left="518" w:right="510"/>
              <w:jc w:val="center"/>
              <w:rPr>
                <w:b/>
                <w:sz w:val="18"/>
              </w:rPr>
            </w:pPr>
            <w:r>
              <w:rPr>
                <w:b/>
                <w:sz w:val="18"/>
              </w:rPr>
              <w:t>Pine</w:t>
            </w:r>
          </w:p>
        </w:tc>
        <w:tc>
          <w:tcPr>
            <w:tcW w:w="1644" w:type="dxa"/>
            <w:gridSpan w:val="3"/>
          </w:tcPr>
          <w:p>
            <w:pPr>
              <w:pStyle w:val="TableParagraph"/>
              <w:spacing w:before="33"/>
              <w:ind w:left="166"/>
              <w:rPr>
                <w:b/>
                <w:sz w:val="18"/>
              </w:rPr>
            </w:pPr>
            <w:r>
              <w:rPr>
                <w:b/>
                <w:sz w:val="18"/>
              </w:rPr>
              <w:t>Other coniferous</w:t>
            </w:r>
          </w:p>
        </w:tc>
        <w:tc>
          <w:tcPr>
            <w:tcW w:w="1806" w:type="dxa"/>
            <w:gridSpan w:val="2"/>
          </w:tcPr>
          <w:p>
            <w:pPr>
              <w:pStyle w:val="TableParagraph"/>
              <w:spacing w:before="33"/>
              <w:ind w:left="516"/>
              <w:rPr>
                <w:b/>
                <w:sz w:val="18"/>
              </w:rPr>
            </w:pPr>
            <w:r>
              <w:rPr>
                <w:b/>
                <w:sz w:val="18"/>
              </w:rPr>
              <w:t>Broadleaf</w:t>
            </w:r>
          </w:p>
        </w:tc>
      </w:tr>
      <w:tr>
        <w:trPr>
          <w:trHeight w:val="283" w:hRule="atLeast"/>
        </w:trPr>
        <w:tc>
          <w:tcPr>
            <w:tcW w:w="2088" w:type="dxa"/>
            <w:gridSpan w:val="2"/>
            <w:tcBorders>
              <w:bottom w:val="nil"/>
            </w:tcBorders>
          </w:tcPr>
          <w:p>
            <w:pPr>
              <w:pStyle w:val="TableParagraph"/>
              <w:spacing w:before="47"/>
              <w:ind w:left="30"/>
              <w:rPr>
                <w:b/>
                <w:sz w:val="18"/>
              </w:rPr>
            </w:pPr>
            <w:r>
              <w:rPr>
                <w:b/>
                <w:sz w:val="18"/>
              </w:rPr>
              <w:t>Eurasia</w:t>
            </w:r>
          </w:p>
        </w:tc>
        <w:tc>
          <w:tcPr>
            <w:tcW w:w="1736" w:type="dxa"/>
            <w:gridSpan w:val="3"/>
            <w:tcBorders>
              <w:bottom w:val="nil"/>
            </w:tcBorders>
          </w:tcPr>
          <w:p>
            <w:pPr>
              <w:pStyle w:val="TableParagraph"/>
              <w:rPr>
                <w:sz w:val="16"/>
              </w:rPr>
            </w:pPr>
          </w:p>
        </w:tc>
        <w:tc>
          <w:tcPr>
            <w:tcW w:w="1750" w:type="dxa"/>
            <w:gridSpan w:val="2"/>
            <w:tcBorders>
              <w:bottom w:val="nil"/>
            </w:tcBorders>
          </w:tcPr>
          <w:p>
            <w:pPr>
              <w:pStyle w:val="TableParagraph"/>
              <w:rPr>
                <w:sz w:val="16"/>
              </w:rPr>
            </w:pPr>
          </w:p>
        </w:tc>
        <w:tc>
          <w:tcPr>
            <w:tcW w:w="1644" w:type="dxa"/>
            <w:gridSpan w:val="3"/>
            <w:tcBorders>
              <w:bottom w:val="nil"/>
            </w:tcBorders>
          </w:tcPr>
          <w:p>
            <w:pPr>
              <w:pStyle w:val="TableParagraph"/>
              <w:rPr>
                <w:sz w:val="16"/>
              </w:rPr>
            </w:pPr>
          </w:p>
        </w:tc>
        <w:tc>
          <w:tcPr>
            <w:tcW w:w="1806" w:type="dxa"/>
            <w:gridSpan w:val="2"/>
            <w:tcBorders>
              <w:bottom w:val="nil"/>
            </w:tcBorders>
          </w:tcPr>
          <w:p>
            <w:pPr>
              <w:pStyle w:val="TableParagraph"/>
              <w:rPr>
                <w:sz w:val="16"/>
              </w:rPr>
            </w:pPr>
          </w:p>
        </w:tc>
      </w:tr>
      <w:tr>
        <w:trPr>
          <w:trHeight w:val="292" w:hRule="atLeast"/>
        </w:trPr>
        <w:tc>
          <w:tcPr>
            <w:tcW w:w="2088" w:type="dxa"/>
            <w:gridSpan w:val="2"/>
            <w:tcBorders>
              <w:top w:val="nil"/>
              <w:bottom w:val="nil"/>
            </w:tcBorders>
          </w:tcPr>
          <w:p>
            <w:pPr>
              <w:pStyle w:val="TableParagraph"/>
              <w:spacing w:before="37"/>
              <w:ind w:left="30"/>
              <w:rPr>
                <w:sz w:val="18"/>
              </w:rPr>
            </w:pPr>
            <w:r>
              <w:rPr>
                <w:sz w:val="18"/>
              </w:rPr>
              <w:t>Maritime</w:t>
            </w:r>
          </w:p>
        </w:tc>
        <w:tc>
          <w:tcPr>
            <w:tcW w:w="1736" w:type="dxa"/>
            <w:gridSpan w:val="3"/>
            <w:tcBorders>
              <w:top w:val="nil"/>
              <w:bottom w:val="nil"/>
            </w:tcBorders>
          </w:tcPr>
          <w:p>
            <w:pPr>
              <w:pStyle w:val="TableParagraph"/>
              <w:spacing w:before="42"/>
              <w:ind w:left="515"/>
              <w:rPr>
                <w:sz w:val="18"/>
              </w:rPr>
            </w:pPr>
            <w:r>
              <w:rPr>
                <w:rFonts w:ascii="Symbol" w:hAnsi="Symbol"/>
                <w:sz w:val="18"/>
              </w:rPr>
              <w:t>≤</w:t>
            </w:r>
            <w:r>
              <w:rPr>
                <w:sz w:val="18"/>
              </w:rPr>
              <w:t>20 years</w:t>
            </w:r>
          </w:p>
        </w:tc>
        <w:tc>
          <w:tcPr>
            <w:tcW w:w="1750" w:type="dxa"/>
            <w:gridSpan w:val="2"/>
            <w:tcBorders>
              <w:top w:val="nil"/>
              <w:bottom w:val="nil"/>
            </w:tcBorders>
          </w:tcPr>
          <w:p>
            <w:pPr>
              <w:pStyle w:val="TableParagraph"/>
              <w:spacing w:before="66"/>
              <w:ind w:left="520" w:right="510"/>
              <w:jc w:val="center"/>
              <w:rPr>
                <w:rFonts w:ascii="Symbol"/>
                <w:sz w:val="18"/>
              </w:rPr>
            </w:pPr>
            <w:r>
              <w:rPr>
                <w:rFonts w:ascii="Symbol"/>
                <w:sz w:val="18"/>
              </w:rPr>
              <w:t>40</w:t>
            </w:r>
          </w:p>
        </w:tc>
        <w:tc>
          <w:tcPr>
            <w:tcW w:w="1644" w:type="dxa"/>
            <w:gridSpan w:val="3"/>
            <w:tcBorders>
              <w:top w:val="nil"/>
              <w:bottom w:val="nil"/>
            </w:tcBorders>
          </w:tcPr>
          <w:p>
            <w:pPr>
              <w:pStyle w:val="TableParagraph"/>
              <w:spacing w:before="66"/>
              <w:ind w:left="662" w:right="658"/>
              <w:jc w:val="center"/>
              <w:rPr>
                <w:rFonts w:ascii="Symbol"/>
                <w:sz w:val="18"/>
              </w:rPr>
            </w:pPr>
            <w:r>
              <w:rPr>
                <w:rFonts w:ascii="Symbol"/>
                <w:sz w:val="18"/>
              </w:rPr>
              <w:t>40</w:t>
            </w:r>
          </w:p>
        </w:tc>
        <w:tc>
          <w:tcPr>
            <w:tcW w:w="1806" w:type="dxa"/>
            <w:gridSpan w:val="2"/>
            <w:tcBorders>
              <w:top w:val="nil"/>
              <w:bottom w:val="nil"/>
            </w:tcBorders>
          </w:tcPr>
          <w:p>
            <w:pPr>
              <w:pStyle w:val="TableParagraph"/>
              <w:spacing w:before="66"/>
              <w:ind w:left="742" w:right="743"/>
              <w:jc w:val="center"/>
              <w:rPr>
                <w:rFonts w:ascii="Symbol"/>
                <w:sz w:val="18"/>
              </w:rPr>
            </w:pPr>
            <w:r>
              <w:rPr>
                <w:rFonts w:ascii="Symbol"/>
                <w:sz w:val="18"/>
              </w:rPr>
              <w:t>30</w:t>
            </w:r>
          </w:p>
        </w:tc>
      </w:tr>
      <w:tr>
        <w:trPr>
          <w:trHeight w:val="281" w:hRule="atLeast"/>
        </w:trPr>
        <w:tc>
          <w:tcPr>
            <w:tcW w:w="2088" w:type="dxa"/>
            <w:gridSpan w:val="2"/>
            <w:tcBorders>
              <w:top w:val="nil"/>
              <w:bottom w:val="nil"/>
            </w:tcBorders>
          </w:tcPr>
          <w:p>
            <w:pPr>
              <w:pStyle w:val="TableParagraph"/>
              <w:rPr>
                <w:sz w:val="16"/>
              </w:rPr>
            </w:pPr>
          </w:p>
        </w:tc>
        <w:tc>
          <w:tcPr>
            <w:tcW w:w="1736" w:type="dxa"/>
            <w:gridSpan w:val="3"/>
            <w:tcBorders>
              <w:top w:val="nil"/>
              <w:bottom w:val="nil"/>
            </w:tcBorders>
          </w:tcPr>
          <w:p>
            <w:pPr>
              <w:pStyle w:val="TableParagraph"/>
              <w:spacing w:before="28"/>
              <w:ind w:left="513"/>
              <w:rPr>
                <w:sz w:val="18"/>
              </w:rPr>
            </w:pPr>
            <w:r>
              <w:rPr>
                <w:sz w:val="18"/>
              </w:rPr>
              <w:t>&gt;20 years</w:t>
            </w:r>
          </w:p>
        </w:tc>
        <w:tc>
          <w:tcPr>
            <w:tcW w:w="1750" w:type="dxa"/>
            <w:gridSpan w:val="2"/>
            <w:tcBorders>
              <w:top w:val="nil"/>
              <w:bottom w:val="nil"/>
            </w:tcBorders>
          </w:tcPr>
          <w:p>
            <w:pPr>
              <w:pStyle w:val="TableParagraph"/>
              <w:spacing w:before="57"/>
              <w:ind w:left="479" w:right="510"/>
              <w:jc w:val="center"/>
              <w:rPr>
                <w:rFonts w:ascii="Symbol"/>
                <w:sz w:val="18"/>
              </w:rPr>
            </w:pPr>
            <w:r>
              <w:rPr>
                <w:rFonts w:ascii="Symbol"/>
                <w:sz w:val="18"/>
              </w:rPr>
              <w:t>150</w:t>
            </w:r>
          </w:p>
        </w:tc>
        <w:tc>
          <w:tcPr>
            <w:tcW w:w="1644" w:type="dxa"/>
            <w:gridSpan w:val="3"/>
            <w:tcBorders>
              <w:top w:val="nil"/>
              <w:bottom w:val="nil"/>
            </w:tcBorders>
          </w:tcPr>
          <w:p>
            <w:pPr>
              <w:pStyle w:val="TableParagraph"/>
              <w:spacing w:before="57"/>
              <w:ind w:left="662" w:right="658"/>
              <w:jc w:val="center"/>
              <w:rPr>
                <w:rFonts w:ascii="Symbol"/>
                <w:sz w:val="18"/>
              </w:rPr>
            </w:pPr>
            <w:r>
              <w:rPr>
                <w:rFonts w:ascii="Symbol"/>
                <w:sz w:val="18"/>
              </w:rPr>
              <w:t>250</w:t>
            </w:r>
          </w:p>
        </w:tc>
        <w:tc>
          <w:tcPr>
            <w:tcW w:w="1806" w:type="dxa"/>
            <w:gridSpan w:val="2"/>
            <w:tcBorders>
              <w:top w:val="nil"/>
              <w:bottom w:val="nil"/>
            </w:tcBorders>
          </w:tcPr>
          <w:p>
            <w:pPr>
              <w:pStyle w:val="TableParagraph"/>
              <w:spacing w:before="57"/>
              <w:ind w:left="742" w:right="743"/>
              <w:jc w:val="center"/>
              <w:rPr>
                <w:rFonts w:ascii="Symbol"/>
                <w:sz w:val="18"/>
              </w:rPr>
            </w:pPr>
            <w:r>
              <w:rPr>
                <w:rFonts w:ascii="Symbol"/>
                <w:sz w:val="18"/>
              </w:rPr>
              <w:t>200</w:t>
            </w:r>
          </w:p>
        </w:tc>
      </w:tr>
      <w:tr>
        <w:trPr>
          <w:trHeight w:val="286" w:hRule="atLeast"/>
        </w:trPr>
        <w:tc>
          <w:tcPr>
            <w:tcW w:w="2088" w:type="dxa"/>
            <w:gridSpan w:val="2"/>
            <w:tcBorders>
              <w:top w:val="nil"/>
              <w:bottom w:val="nil"/>
            </w:tcBorders>
          </w:tcPr>
          <w:p>
            <w:pPr>
              <w:pStyle w:val="TableParagraph"/>
              <w:spacing w:before="32"/>
              <w:ind w:left="30"/>
              <w:rPr>
                <w:sz w:val="18"/>
              </w:rPr>
            </w:pPr>
            <w:r>
              <w:rPr>
                <w:sz w:val="18"/>
              </w:rPr>
              <w:t>Continental</w:t>
            </w:r>
          </w:p>
        </w:tc>
        <w:tc>
          <w:tcPr>
            <w:tcW w:w="1736" w:type="dxa"/>
            <w:gridSpan w:val="3"/>
            <w:tcBorders>
              <w:top w:val="nil"/>
              <w:bottom w:val="nil"/>
            </w:tcBorders>
          </w:tcPr>
          <w:p>
            <w:pPr>
              <w:pStyle w:val="TableParagraph"/>
              <w:spacing w:before="37"/>
              <w:ind w:left="515"/>
              <w:rPr>
                <w:sz w:val="18"/>
              </w:rPr>
            </w:pPr>
            <w:r>
              <w:rPr>
                <w:rFonts w:ascii="Symbol" w:hAnsi="Symbol"/>
                <w:sz w:val="18"/>
              </w:rPr>
              <w:t>≤</w:t>
            </w:r>
            <w:r>
              <w:rPr>
                <w:sz w:val="18"/>
              </w:rPr>
              <w:t>20 years</w:t>
            </w:r>
          </w:p>
        </w:tc>
        <w:tc>
          <w:tcPr>
            <w:tcW w:w="1750" w:type="dxa"/>
            <w:gridSpan w:val="2"/>
            <w:tcBorders>
              <w:top w:val="nil"/>
              <w:bottom w:val="nil"/>
            </w:tcBorders>
          </w:tcPr>
          <w:p>
            <w:pPr>
              <w:pStyle w:val="TableParagraph"/>
              <w:spacing w:before="61"/>
              <w:ind w:left="520" w:right="510"/>
              <w:jc w:val="center"/>
              <w:rPr>
                <w:rFonts w:ascii="Symbol"/>
                <w:sz w:val="18"/>
              </w:rPr>
            </w:pPr>
            <w:r>
              <w:rPr>
                <w:rFonts w:ascii="Symbol"/>
                <w:sz w:val="18"/>
              </w:rPr>
              <w:t>25</w:t>
            </w:r>
          </w:p>
        </w:tc>
        <w:tc>
          <w:tcPr>
            <w:tcW w:w="1644" w:type="dxa"/>
            <w:gridSpan w:val="3"/>
            <w:tcBorders>
              <w:top w:val="nil"/>
              <w:bottom w:val="nil"/>
            </w:tcBorders>
          </w:tcPr>
          <w:p>
            <w:pPr>
              <w:pStyle w:val="TableParagraph"/>
              <w:spacing w:before="61"/>
              <w:ind w:left="662" w:right="658"/>
              <w:jc w:val="center"/>
              <w:rPr>
                <w:rFonts w:ascii="Symbol"/>
                <w:sz w:val="18"/>
              </w:rPr>
            </w:pPr>
            <w:r>
              <w:rPr>
                <w:rFonts w:ascii="Symbol"/>
                <w:sz w:val="18"/>
              </w:rPr>
              <w:t>30</w:t>
            </w:r>
          </w:p>
        </w:tc>
        <w:tc>
          <w:tcPr>
            <w:tcW w:w="1806" w:type="dxa"/>
            <w:gridSpan w:val="2"/>
            <w:tcBorders>
              <w:top w:val="nil"/>
              <w:bottom w:val="nil"/>
            </w:tcBorders>
          </w:tcPr>
          <w:p>
            <w:pPr>
              <w:pStyle w:val="TableParagraph"/>
              <w:spacing w:before="61"/>
              <w:ind w:left="742" w:right="743"/>
              <w:jc w:val="center"/>
              <w:rPr>
                <w:rFonts w:ascii="Symbol"/>
                <w:sz w:val="18"/>
              </w:rPr>
            </w:pPr>
            <w:r>
              <w:rPr>
                <w:rFonts w:ascii="Symbol"/>
                <w:sz w:val="18"/>
              </w:rPr>
              <w:t>15</w:t>
            </w:r>
          </w:p>
        </w:tc>
      </w:tr>
      <w:tr>
        <w:trPr>
          <w:trHeight w:val="280" w:hRule="atLeast"/>
        </w:trPr>
        <w:tc>
          <w:tcPr>
            <w:tcW w:w="2088" w:type="dxa"/>
            <w:gridSpan w:val="2"/>
            <w:tcBorders>
              <w:top w:val="nil"/>
              <w:bottom w:val="nil"/>
            </w:tcBorders>
          </w:tcPr>
          <w:p>
            <w:pPr>
              <w:pStyle w:val="TableParagraph"/>
              <w:rPr>
                <w:sz w:val="16"/>
              </w:rPr>
            </w:pPr>
          </w:p>
        </w:tc>
        <w:tc>
          <w:tcPr>
            <w:tcW w:w="1736" w:type="dxa"/>
            <w:gridSpan w:val="3"/>
            <w:tcBorders>
              <w:top w:val="nil"/>
              <w:bottom w:val="nil"/>
            </w:tcBorders>
          </w:tcPr>
          <w:p>
            <w:pPr>
              <w:pStyle w:val="TableParagraph"/>
              <w:spacing w:before="28"/>
              <w:ind w:left="513"/>
              <w:rPr>
                <w:sz w:val="18"/>
              </w:rPr>
            </w:pPr>
            <w:r>
              <w:rPr>
                <w:sz w:val="18"/>
              </w:rPr>
              <w:t>&gt;20 years</w:t>
            </w:r>
          </w:p>
        </w:tc>
        <w:tc>
          <w:tcPr>
            <w:tcW w:w="1750" w:type="dxa"/>
            <w:gridSpan w:val="2"/>
            <w:tcBorders>
              <w:top w:val="nil"/>
              <w:bottom w:val="nil"/>
            </w:tcBorders>
          </w:tcPr>
          <w:p>
            <w:pPr>
              <w:pStyle w:val="TableParagraph"/>
              <w:spacing w:before="57"/>
              <w:ind w:left="519" w:right="510"/>
              <w:jc w:val="center"/>
              <w:rPr>
                <w:rFonts w:ascii="Symbol"/>
                <w:sz w:val="18"/>
              </w:rPr>
            </w:pPr>
            <w:r>
              <w:rPr>
                <w:rFonts w:ascii="Symbol"/>
                <w:sz w:val="18"/>
              </w:rPr>
              <w:t>150</w:t>
            </w:r>
          </w:p>
        </w:tc>
        <w:tc>
          <w:tcPr>
            <w:tcW w:w="1644" w:type="dxa"/>
            <w:gridSpan w:val="3"/>
            <w:tcBorders>
              <w:top w:val="nil"/>
              <w:bottom w:val="nil"/>
            </w:tcBorders>
          </w:tcPr>
          <w:p>
            <w:pPr>
              <w:pStyle w:val="TableParagraph"/>
              <w:spacing w:before="57"/>
              <w:ind w:left="662" w:right="658"/>
              <w:jc w:val="center"/>
              <w:rPr>
                <w:rFonts w:ascii="Symbol"/>
                <w:sz w:val="18"/>
              </w:rPr>
            </w:pPr>
            <w:r>
              <w:rPr>
                <w:rFonts w:ascii="Symbol"/>
                <w:sz w:val="18"/>
              </w:rPr>
              <w:t>200</w:t>
            </w:r>
          </w:p>
        </w:tc>
        <w:tc>
          <w:tcPr>
            <w:tcW w:w="1806" w:type="dxa"/>
            <w:gridSpan w:val="2"/>
            <w:tcBorders>
              <w:top w:val="nil"/>
              <w:bottom w:val="nil"/>
            </w:tcBorders>
          </w:tcPr>
          <w:p>
            <w:pPr>
              <w:pStyle w:val="TableParagraph"/>
              <w:spacing w:before="57"/>
              <w:ind w:left="742" w:right="743"/>
              <w:jc w:val="center"/>
              <w:rPr>
                <w:rFonts w:ascii="Symbol"/>
                <w:sz w:val="18"/>
              </w:rPr>
            </w:pPr>
            <w:r>
              <w:rPr>
                <w:rFonts w:ascii="Symbol"/>
                <w:sz w:val="18"/>
              </w:rPr>
              <w:t>200</w:t>
            </w:r>
          </w:p>
        </w:tc>
      </w:tr>
      <w:tr>
        <w:trPr>
          <w:trHeight w:val="286" w:hRule="atLeast"/>
        </w:trPr>
        <w:tc>
          <w:tcPr>
            <w:tcW w:w="2088" w:type="dxa"/>
            <w:gridSpan w:val="2"/>
            <w:tcBorders>
              <w:top w:val="nil"/>
              <w:bottom w:val="nil"/>
            </w:tcBorders>
          </w:tcPr>
          <w:p>
            <w:pPr>
              <w:pStyle w:val="TableParagraph"/>
              <w:spacing w:before="31"/>
              <w:ind w:left="30"/>
              <w:rPr>
                <w:sz w:val="18"/>
              </w:rPr>
            </w:pPr>
            <w:r>
              <w:rPr>
                <w:sz w:val="18"/>
              </w:rPr>
              <w:t>Mediterranean &amp; steppe</w:t>
            </w:r>
          </w:p>
        </w:tc>
        <w:tc>
          <w:tcPr>
            <w:tcW w:w="1736" w:type="dxa"/>
            <w:gridSpan w:val="3"/>
            <w:tcBorders>
              <w:top w:val="nil"/>
              <w:bottom w:val="nil"/>
            </w:tcBorders>
          </w:tcPr>
          <w:p>
            <w:pPr>
              <w:pStyle w:val="TableParagraph"/>
              <w:spacing w:before="35"/>
              <w:ind w:left="515"/>
              <w:rPr>
                <w:sz w:val="18"/>
              </w:rPr>
            </w:pPr>
            <w:r>
              <w:rPr>
                <w:rFonts w:ascii="Symbol" w:hAnsi="Symbol"/>
                <w:sz w:val="18"/>
              </w:rPr>
              <w:t>≤</w:t>
            </w:r>
            <w:r>
              <w:rPr>
                <w:sz w:val="18"/>
              </w:rPr>
              <w:t>20 years</w:t>
            </w:r>
          </w:p>
        </w:tc>
        <w:tc>
          <w:tcPr>
            <w:tcW w:w="1750" w:type="dxa"/>
            <w:gridSpan w:val="2"/>
            <w:tcBorders>
              <w:top w:val="nil"/>
              <w:bottom w:val="nil"/>
            </w:tcBorders>
          </w:tcPr>
          <w:p>
            <w:pPr>
              <w:pStyle w:val="TableParagraph"/>
              <w:spacing w:before="59"/>
              <w:ind w:left="520" w:right="510"/>
              <w:jc w:val="center"/>
              <w:rPr>
                <w:rFonts w:ascii="Symbol"/>
                <w:sz w:val="18"/>
              </w:rPr>
            </w:pPr>
            <w:r>
              <w:rPr>
                <w:rFonts w:ascii="Symbol"/>
                <w:sz w:val="18"/>
              </w:rPr>
              <w:t>17</w:t>
            </w:r>
          </w:p>
        </w:tc>
        <w:tc>
          <w:tcPr>
            <w:tcW w:w="1644" w:type="dxa"/>
            <w:gridSpan w:val="3"/>
            <w:tcBorders>
              <w:top w:val="nil"/>
              <w:bottom w:val="nil"/>
            </w:tcBorders>
          </w:tcPr>
          <w:p>
            <w:pPr>
              <w:pStyle w:val="TableParagraph"/>
              <w:spacing w:before="59"/>
              <w:ind w:left="662" w:right="658"/>
              <w:jc w:val="center"/>
              <w:rPr>
                <w:rFonts w:ascii="Symbol"/>
                <w:sz w:val="18"/>
              </w:rPr>
            </w:pPr>
            <w:r>
              <w:rPr>
                <w:rFonts w:ascii="Symbol"/>
                <w:sz w:val="18"/>
              </w:rPr>
              <w:t>20</w:t>
            </w:r>
          </w:p>
        </w:tc>
        <w:tc>
          <w:tcPr>
            <w:tcW w:w="1806" w:type="dxa"/>
            <w:gridSpan w:val="2"/>
            <w:tcBorders>
              <w:top w:val="nil"/>
              <w:bottom w:val="nil"/>
            </w:tcBorders>
          </w:tcPr>
          <w:p>
            <w:pPr>
              <w:pStyle w:val="TableParagraph"/>
              <w:spacing w:before="59"/>
              <w:ind w:left="742" w:right="743"/>
              <w:jc w:val="center"/>
              <w:rPr>
                <w:rFonts w:ascii="Symbol"/>
                <w:sz w:val="18"/>
              </w:rPr>
            </w:pPr>
            <w:r>
              <w:rPr>
                <w:rFonts w:ascii="Symbol"/>
                <w:sz w:val="18"/>
              </w:rPr>
              <w:t>10</w:t>
            </w:r>
          </w:p>
        </w:tc>
      </w:tr>
      <w:tr>
        <w:trPr>
          <w:trHeight w:val="264" w:hRule="atLeast"/>
        </w:trPr>
        <w:tc>
          <w:tcPr>
            <w:tcW w:w="2088" w:type="dxa"/>
            <w:gridSpan w:val="2"/>
            <w:tcBorders>
              <w:top w:val="nil"/>
            </w:tcBorders>
          </w:tcPr>
          <w:p>
            <w:pPr>
              <w:pStyle w:val="TableParagraph"/>
              <w:rPr>
                <w:sz w:val="16"/>
              </w:rPr>
            </w:pPr>
          </w:p>
        </w:tc>
        <w:tc>
          <w:tcPr>
            <w:tcW w:w="1736" w:type="dxa"/>
            <w:gridSpan w:val="3"/>
            <w:tcBorders>
              <w:top w:val="nil"/>
            </w:tcBorders>
          </w:tcPr>
          <w:p>
            <w:pPr>
              <w:pStyle w:val="TableParagraph"/>
              <w:spacing w:before="29"/>
              <w:ind w:left="513"/>
              <w:rPr>
                <w:sz w:val="18"/>
              </w:rPr>
            </w:pPr>
            <w:r>
              <w:rPr>
                <w:sz w:val="18"/>
              </w:rPr>
              <w:t>&gt;20 years</w:t>
            </w:r>
          </w:p>
        </w:tc>
        <w:tc>
          <w:tcPr>
            <w:tcW w:w="1750" w:type="dxa"/>
            <w:gridSpan w:val="2"/>
            <w:tcBorders>
              <w:top w:val="nil"/>
            </w:tcBorders>
          </w:tcPr>
          <w:p>
            <w:pPr>
              <w:pStyle w:val="TableParagraph"/>
              <w:spacing w:line="186" w:lineRule="exact" w:before="58"/>
              <w:ind w:left="515" w:right="510"/>
              <w:jc w:val="center"/>
              <w:rPr>
                <w:rFonts w:ascii="Symbol"/>
                <w:sz w:val="18"/>
              </w:rPr>
            </w:pPr>
            <w:r>
              <w:rPr>
                <w:rFonts w:ascii="Symbol"/>
                <w:sz w:val="18"/>
              </w:rPr>
              <w:t>100</w:t>
            </w:r>
          </w:p>
        </w:tc>
        <w:tc>
          <w:tcPr>
            <w:tcW w:w="1644" w:type="dxa"/>
            <w:gridSpan w:val="3"/>
            <w:tcBorders>
              <w:top w:val="nil"/>
            </w:tcBorders>
          </w:tcPr>
          <w:p>
            <w:pPr>
              <w:pStyle w:val="TableParagraph"/>
              <w:spacing w:line="186" w:lineRule="exact" w:before="58"/>
              <w:ind w:left="660" w:right="660"/>
              <w:jc w:val="center"/>
              <w:rPr>
                <w:rFonts w:ascii="Symbol"/>
                <w:sz w:val="18"/>
              </w:rPr>
            </w:pPr>
            <w:r>
              <w:rPr>
                <w:rFonts w:ascii="Symbol"/>
                <w:sz w:val="18"/>
              </w:rPr>
              <w:t>120</w:t>
            </w:r>
          </w:p>
        </w:tc>
        <w:tc>
          <w:tcPr>
            <w:tcW w:w="1806" w:type="dxa"/>
            <w:gridSpan w:val="2"/>
            <w:tcBorders>
              <w:top w:val="nil"/>
            </w:tcBorders>
          </w:tcPr>
          <w:p>
            <w:pPr>
              <w:pStyle w:val="TableParagraph"/>
              <w:spacing w:line="186" w:lineRule="exact" w:before="58"/>
              <w:ind w:left="742" w:right="743"/>
              <w:jc w:val="center"/>
              <w:rPr>
                <w:rFonts w:ascii="Symbol"/>
                <w:sz w:val="18"/>
              </w:rPr>
            </w:pPr>
            <w:r>
              <w:rPr>
                <w:rFonts w:ascii="Symbol"/>
                <w:sz w:val="18"/>
              </w:rPr>
              <w:t>80</w:t>
            </w:r>
          </w:p>
        </w:tc>
      </w:tr>
      <w:tr>
        <w:trPr>
          <w:trHeight w:val="273" w:hRule="atLeast"/>
        </w:trPr>
        <w:tc>
          <w:tcPr>
            <w:tcW w:w="2088" w:type="dxa"/>
            <w:gridSpan w:val="2"/>
          </w:tcPr>
          <w:p>
            <w:pPr>
              <w:pStyle w:val="TableParagraph"/>
              <w:spacing w:line="205" w:lineRule="exact" w:before="47"/>
              <w:ind w:left="30"/>
              <w:rPr>
                <w:b/>
                <w:sz w:val="18"/>
              </w:rPr>
            </w:pPr>
            <w:r>
              <w:rPr>
                <w:b/>
                <w:sz w:val="18"/>
              </w:rPr>
              <w:t>S. America</w:t>
            </w:r>
          </w:p>
        </w:tc>
        <w:tc>
          <w:tcPr>
            <w:tcW w:w="1736" w:type="dxa"/>
            <w:gridSpan w:val="3"/>
          </w:tcPr>
          <w:p>
            <w:pPr>
              <w:pStyle w:val="TableParagraph"/>
              <w:spacing w:before="43"/>
              <w:ind w:left="729" w:right="726"/>
              <w:jc w:val="center"/>
              <w:rPr>
                <w:sz w:val="18"/>
              </w:rPr>
            </w:pPr>
            <w:r>
              <w:rPr>
                <w:sz w:val="18"/>
              </w:rPr>
              <w:t>All</w:t>
            </w:r>
          </w:p>
        </w:tc>
        <w:tc>
          <w:tcPr>
            <w:tcW w:w="1750" w:type="dxa"/>
            <w:gridSpan w:val="2"/>
          </w:tcPr>
          <w:p>
            <w:pPr>
              <w:pStyle w:val="TableParagraph"/>
              <w:spacing w:line="182" w:lineRule="exact" w:before="71"/>
              <w:ind w:left="520" w:right="510"/>
              <w:jc w:val="center"/>
              <w:rPr>
                <w:rFonts w:ascii="Symbol"/>
                <w:sz w:val="18"/>
              </w:rPr>
            </w:pPr>
            <w:r>
              <w:rPr>
                <w:rFonts w:ascii="Symbol"/>
                <w:sz w:val="18"/>
              </w:rPr>
              <w:t>100</w:t>
            </w:r>
          </w:p>
        </w:tc>
        <w:tc>
          <w:tcPr>
            <w:tcW w:w="1644" w:type="dxa"/>
            <w:gridSpan w:val="3"/>
          </w:tcPr>
          <w:p>
            <w:pPr>
              <w:pStyle w:val="TableParagraph"/>
              <w:spacing w:line="182" w:lineRule="exact" w:before="71"/>
              <w:ind w:left="662" w:right="658"/>
              <w:jc w:val="center"/>
              <w:rPr>
                <w:rFonts w:ascii="Symbol"/>
                <w:sz w:val="18"/>
              </w:rPr>
            </w:pPr>
            <w:r>
              <w:rPr>
                <w:rFonts w:ascii="Symbol"/>
                <w:sz w:val="18"/>
              </w:rPr>
              <w:t>120</w:t>
            </w:r>
          </w:p>
        </w:tc>
        <w:tc>
          <w:tcPr>
            <w:tcW w:w="1806" w:type="dxa"/>
            <w:gridSpan w:val="2"/>
          </w:tcPr>
          <w:p>
            <w:pPr>
              <w:pStyle w:val="TableParagraph"/>
              <w:spacing w:line="182" w:lineRule="exact" w:before="71"/>
              <w:ind w:left="742" w:right="743"/>
              <w:jc w:val="center"/>
              <w:rPr>
                <w:rFonts w:ascii="Symbol"/>
                <w:sz w:val="18"/>
              </w:rPr>
            </w:pPr>
            <w:r>
              <w:rPr>
                <w:rFonts w:ascii="Symbol"/>
                <w:sz w:val="18"/>
              </w:rPr>
              <w:t>90</w:t>
            </w:r>
          </w:p>
        </w:tc>
      </w:tr>
      <w:tr>
        <w:trPr>
          <w:trHeight w:val="445" w:hRule="atLeast"/>
        </w:trPr>
        <w:tc>
          <w:tcPr>
            <w:tcW w:w="2088" w:type="dxa"/>
            <w:gridSpan w:val="2"/>
            <w:tcBorders>
              <w:bottom w:val="double" w:sz="1" w:space="0" w:color="000000"/>
            </w:tcBorders>
          </w:tcPr>
          <w:p>
            <w:pPr>
              <w:pStyle w:val="TableParagraph"/>
              <w:spacing w:before="117"/>
              <w:ind w:left="30"/>
              <w:rPr>
                <w:b/>
                <w:sz w:val="18"/>
              </w:rPr>
            </w:pPr>
            <w:r>
              <w:rPr>
                <w:b/>
                <w:sz w:val="18"/>
              </w:rPr>
              <w:t>N America</w:t>
            </w:r>
          </w:p>
        </w:tc>
        <w:tc>
          <w:tcPr>
            <w:tcW w:w="1736" w:type="dxa"/>
            <w:gridSpan w:val="3"/>
            <w:tcBorders>
              <w:bottom w:val="double" w:sz="1" w:space="0" w:color="000000"/>
            </w:tcBorders>
          </w:tcPr>
          <w:p>
            <w:pPr>
              <w:pStyle w:val="TableParagraph"/>
              <w:spacing w:before="112"/>
              <w:ind w:left="729" w:right="726"/>
              <w:jc w:val="center"/>
              <w:rPr>
                <w:sz w:val="18"/>
              </w:rPr>
            </w:pPr>
            <w:r>
              <w:rPr>
                <w:sz w:val="18"/>
              </w:rPr>
              <w:t>All</w:t>
            </w:r>
          </w:p>
        </w:tc>
        <w:tc>
          <w:tcPr>
            <w:tcW w:w="1750" w:type="dxa"/>
            <w:gridSpan w:val="2"/>
            <w:tcBorders>
              <w:bottom w:val="double" w:sz="1" w:space="0" w:color="000000"/>
            </w:tcBorders>
          </w:tcPr>
          <w:p>
            <w:pPr>
              <w:pStyle w:val="TableParagraph"/>
              <w:spacing w:before="31"/>
              <w:ind w:left="479" w:right="510"/>
              <w:jc w:val="center"/>
              <w:rPr>
                <w:rFonts w:ascii="Symbol"/>
                <w:sz w:val="18"/>
              </w:rPr>
            </w:pPr>
            <w:r>
              <w:rPr>
                <w:rFonts w:ascii="Symbol"/>
                <w:sz w:val="18"/>
              </w:rPr>
              <w:t>175</w:t>
            </w:r>
          </w:p>
          <w:p>
            <w:pPr>
              <w:pStyle w:val="TableParagraph"/>
              <w:spacing w:line="174" w:lineRule="exact" w:before="18"/>
              <w:ind w:left="521" w:right="510"/>
              <w:jc w:val="center"/>
              <w:rPr>
                <w:rFonts w:ascii="Symbol" w:hAnsi="Symbol"/>
                <w:sz w:val="18"/>
              </w:rPr>
            </w:pPr>
            <w:r>
              <w:rPr>
                <w:rFonts w:ascii="Symbol" w:hAnsi="Symbol"/>
                <w:sz w:val="18"/>
              </w:rPr>
              <w:t>(50−275)</w:t>
            </w:r>
          </w:p>
        </w:tc>
        <w:tc>
          <w:tcPr>
            <w:tcW w:w="1644" w:type="dxa"/>
            <w:gridSpan w:val="3"/>
            <w:tcBorders>
              <w:bottom w:val="double" w:sz="1" w:space="0" w:color="000000"/>
            </w:tcBorders>
          </w:tcPr>
          <w:p>
            <w:pPr>
              <w:pStyle w:val="TableParagraph"/>
              <w:spacing w:before="141"/>
              <w:ind w:left="662" w:right="658"/>
              <w:jc w:val="center"/>
              <w:rPr>
                <w:rFonts w:ascii="Symbol"/>
                <w:sz w:val="18"/>
              </w:rPr>
            </w:pPr>
            <w:r>
              <w:rPr>
                <w:rFonts w:ascii="Symbol"/>
                <w:sz w:val="18"/>
              </w:rPr>
              <w:t>300</w:t>
            </w:r>
          </w:p>
        </w:tc>
        <w:tc>
          <w:tcPr>
            <w:tcW w:w="1806" w:type="dxa"/>
            <w:gridSpan w:val="2"/>
            <w:tcBorders>
              <w:bottom w:val="double" w:sz="1" w:space="0" w:color="000000"/>
            </w:tcBorders>
          </w:tcPr>
          <w:p>
            <w:pPr>
              <w:pStyle w:val="TableParagraph"/>
              <w:spacing w:before="141"/>
              <w:ind w:right="3"/>
              <w:jc w:val="center"/>
              <w:rPr>
                <w:rFonts w:ascii="Symbol" w:hAnsi="Symbol"/>
                <w:sz w:val="18"/>
              </w:rPr>
            </w:pPr>
            <w:r>
              <w:rPr>
                <w:rFonts w:ascii="Symbol" w:hAnsi="Symbol"/>
                <w:w w:val="100"/>
                <w:sz w:val="18"/>
              </w:rPr>
              <w:t>−</w:t>
            </w:r>
          </w:p>
        </w:tc>
      </w:tr>
      <w:tr>
        <w:trPr>
          <w:trHeight w:val="308" w:hRule="atLeast"/>
        </w:trPr>
        <w:tc>
          <w:tcPr>
            <w:tcW w:w="9024" w:type="dxa"/>
            <w:gridSpan w:val="12"/>
            <w:tcBorders>
              <w:top w:val="double" w:sz="1" w:space="0" w:color="000000"/>
            </w:tcBorders>
          </w:tcPr>
          <w:p>
            <w:pPr>
              <w:pStyle w:val="TableParagraph"/>
              <w:spacing w:before="52"/>
              <w:ind w:left="182" w:right="182"/>
              <w:jc w:val="center"/>
              <w:rPr>
                <w:b/>
                <w:sz w:val="18"/>
              </w:rPr>
            </w:pPr>
            <w:r>
              <w:rPr>
                <w:b/>
                <w:sz w:val="18"/>
              </w:rPr>
              <w:t>Boreal Forests</w:t>
            </w:r>
          </w:p>
        </w:tc>
      </w:tr>
      <w:tr>
        <w:trPr>
          <w:trHeight w:val="301" w:hRule="atLeast"/>
        </w:trPr>
        <w:tc>
          <w:tcPr>
            <w:tcW w:w="2088" w:type="dxa"/>
            <w:gridSpan w:val="2"/>
          </w:tcPr>
          <w:p>
            <w:pPr>
              <w:pStyle w:val="TableParagraph"/>
              <w:rPr>
                <w:sz w:val="16"/>
              </w:rPr>
            </w:pPr>
          </w:p>
        </w:tc>
        <w:tc>
          <w:tcPr>
            <w:tcW w:w="1736" w:type="dxa"/>
            <w:gridSpan w:val="3"/>
          </w:tcPr>
          <w:p>
            <w:pPr>
              <w:pStyle w:val="TableParagraph"/>
              <w:spacing w:before="47"/>
              <w:ind w:left="513"/>
              <w:rPr>
                <w:b/>
                <w:sz w:val="18"/>
              </w:rPr>
            </w:pPr>
            <w:r>
              <w:rPr>
                <w:b/>
                <w:sz w:val="18"/>
              </w:rPr>
              <w:t>Age class</w:t>
            </w:r>
          </w:p>
        </w:tc>
        <w:tc>
          <w:tcPr>
            <w:tcW w:w="1750" w:type="dxa"/>
            <w:gridSpan w:val="2"/>
          </w:tcPr>
          <w:p>
            <w:pPr>
              <w:pStyle w:val="TableParagraph"/>
              <w:spacing w:before="47"/>
              <w:ind w:left="518" w:right="510"/>
              <w:jc w:val="center"/>
              <w:rPr>
                <w:b/>
                <w:sz w:val="18"/>
              </w:rPr>
            </w:pPr>
            <w:r>
              <w:rPr>
                <w:b/>
                <w:sz w:val="18"/>
              </w:rPr>
              <w:t>Pine</w:t>
            </w:r>
          </w:p>
        </w:tc>
        <w:tc>
          <w:tcPr>
            <w:tcW w:w="1644" w:type="dxa"/>
            <w:gridSpan w:val="3"/>
          </w:tcPr>
          <w:p>
            <w:pPr>
              <w:pStyle w:val="TableParagraph"/>
              <w:spacing w:before="47"/>
              <w:ind w:left="166"/>
              <w:rPr>
                <w:b/>
                <w:sz w:val="18"/>
              </w:rPr>
            </w:pPr>
            <w:r>
              <w:rPr>
                <w:b/>
                <w:sz w:val="18"/>
              </w:rPr>
              <w:t>Other coniferous</w:t>
            </w:r>
          </w:p>
        </w:tc>
        <w:tc>
          <w:tcPr>
            <w:tcW w:w="1806" w:type="dxa"/>
            <w:gridSpan w:val="2"/>
          </w:tcPr>
          <w:p>
            <w:pPr>
              <w:pStyle w:val="TableParagraph"/>
              <w:spacing w:before="47"/>
              <w:ind w:left="516"/>
              <w:rPr>
                <w:b/>
                <w:sz w:val="18"/>
              </w:rPr>
            </w:pPr>
            <w:r>
              <w:rPr>
                <w:b/>
                <w:sz w:val="18"/>
              </w:rPr>
              <w:t>Broadleaf</w:t>
            </w:r>
          </w:p>
        </w:tc>
      </w:tr>
      <w:tr>
        <w:trPr>
          <w:trHeight w:val="279" w:hRule="atLeast"/>
        </w:trPr>
        <w:tc>
          <w:tcPr>
            <w:tcW w:w="2088" w:type="dxa"/>
            <w:gridSpan w:val="2"/>
            <w:tcBorders>
              <w:bottom w:val="nil"/>
            </w:tcBorders>
          </w:tcPr>
          <w:p>
            <w:pPr>
              <w:pStyle w:val="TableParagraph"/>
              <w:spacing w:before="33"/>
              <w:ind w:left="30"/>
              <w:rPr>
                <w:b/>
                <w:sz w:val="18"/>
              </w:rPr>
            </w:pPr>
            <w:r>
              <w:rPr>
                <w:b/>
                <w:sz w:val="18"/>
              </w:rPr>
              <w:t>Eurasia</w:t>
            </w:r>
          </w:p>
        </w:tc>
        <w:tc>
          <w:tcPr>
            <w:tcW w:w="1736" w:type="dxa"/>
            <w:gridSpan w:val="3"/>
            <w:tcBorders>
              <w:bottom w:val="nil"/>
            </w:tcBorders>
          </w:tcPr>
          <w:p>
            <w:pPr>
              <w:pStyle w:val="TableParagraph"/>
              <w:spacing w:before="33"/>
              <w:ind w:left="515"/>
              <w:rPr>
                <w:sz w:val="18"/>
              </w:rPr>
            </w:pPr>
            <w:r>
              <w:rPr>
                <w:rFonts w:ascii="Symbol" w:hAnsi="Symbol"/>
                <w:sz w:val="18"/>
              </w:rPr>
              <w:t>≤</w:t>
            </w:r>
            <w:r>
              <w:rPr>
                <w:sz w:val="18"/>
              </w:rPr>
              <w:t>20 years</w:t>
            </w:r>
          </w:p>
        </w:tc>
        <w:tc>
          <w:tcPr>
            <w:tcW w:w="1750" w:type="dxa"/>
            <w:gridSpan w:val="2"/>
            <w:tcBorders>
              <w:bottom w:val="nil"/>
            </w:tcBorders>
          </w:tcPr>
          <w:p>
            <w:pPr>
              <w:pStyle w:val="TableParagraph"/>
              <w:spacing w:before="14"/>
              <w:ind w:left="8"/>
              <w:jc w:val="center"/>
              <w:rPr>
                <w:sz w:val="20"/>
              </w:rPr>
            </w:pPr>
            <w:r>
              <w:rPr>
                <w:w w:val="99"/>
                <w:sz w:val="20"/>
              </w:rPr>
              <w:t>5</w:t>
            </w:r>
          </w:p>
        </w:tc>
        <w:tc>
          <w:tcPr>
            <w:tcW w:w="1644" w:type="dxa"/>
            <w:gridSpan w:val="3"/>
            <w:tcBorders>
              <w:bottom w:val="nil"/>
            </w:tcBorders>
          </w:tcPr>
          <w:p>
            <w:pPr>
              <w:pStyle w:val="TableParagraph"/>
              <w:spacing w:before="14"/>
              <w:ind w:left="3"/>
              <w:jc w:val="center"/>
              <w:rPr>
                <w:sz w:val="20"/>
              </w:rPr>
            </w:pPr>
            <w:r>
              <w:rPr>
                <w:w w:val="99"/>
                <w:sz w:val="20"/>
              </w:rPr>
              <w:t>5</w:t>
            </w:r>
          </w:p>
        </w:tc>
        <w:tc>
          <w:tcPr>
            <w:tcW w:w="1806" w:type="dxa"/>
            <w:gridSpan w:val="2"/>
            <w:tcBorders>
              <w:bottom w:val="nil"/>
            </w:tcBorders>
          </w:tcPr>
          <w:p>
            <w:pPr>
              <w:pStyle w:val="TableParagraph"/>
              <w:spacing w:before="14"/>
              <w:ind w:right="2"/>
              <w:jc w:val="center"/>
              <w:rPr>
                <w:sz w:val="20"/>
              </w:rPr>
            </w:pPr>
            <w:r>
              <w:rPr>
                <w:w w:val="99"/>
                <w:sz w:val="20"/>
              </w:rPr>
              <w:t>5</w:t>
            </w:r>
          </w:p>
        </w:tc>
      </w:tr>
      <w:tr>
        <w:trPr>
          <w:trHeight w:val="279" w:hRule="atLeast"/>
        </w:trPr>
        <w:tc>
          <w:tcPr>
            <w:tcW w:w="2088" w:type="dxa"/>
            <w:gridSpan w:val="2"/>
            <w:tcBorders>
              <w:top w:val="nil"/>
            </w:tcBorders>
          </w:tcPr>
          <w:p>
            <w:pPr>
              <w:pStyle w:val="TableParagraph"/>
              <w:rPr>
                <w:sz w:val="16"/>
              </w:rPr>
            </w:pPr>
          </w:p>
        </w:tc>
        <w:tc>
          <w:tcPr>
            <w:tcW w:w="1736" w:type="dxa"/>
            <w:gridSpan w:val="3"/>
            <w:tcBorders>
              <w:top w:val="nil"/>
            </w:tcBorders>
          </w:tcPr>
          <w:p>
            <w:pPr>
              <w:pStyle w:val="TableParagraph"/>
              <w:spacing w:before="30"/>
              <w:ind w:left="513"/>
              <w:rPr>
                <w:sz w:val="18"/>
              </w:rPr>
            </w:pPr>
            <w:r>
              <w:rPr>
                <w:sz w:val="18"/>
              </w:rPr>
              <w:t>&gt;20 years</w:t>
            </w:r>
          </w:p>
        </w:tc>
        <w:tc>
          <w:tcPr>
            <w:tcW w:w="1750" w:type="dxa"/>
            <w:gridSpan w:val="2"/>
            <w:tcBorders>
              <w:top w:val="nil"/>
            </w:tcBorders>
          </w:tcPr>
          <w:p>
            <w:pPr>
              <w:pStyle w:val="TableParagraph"/>
              <w:spacing w:line="201" w:lineRule="exact" w:before="58"/>
              <w:ind w:left="520" w:right="510"/>
              <w:jc w:val="center"/>
              <w:rPr>
                <w:rFonts w:ascii="Symbol"/>
                <w:sz w:val="18"/>
              </w:rPr>
            </w:pPr>
            <w:r>
              <w:rPr>
                <w:rFonts w:ascii="Symbol"/>
                <w:sz w:val="18"/>
              </w:rPr>
              <w:t>40</w:t>
            </w:r>
          </w:p>
        </w:tc>
        <w:tc>
          <w:tcPr>
            <w:tcW w:w="1644" w:type="dxa"/>
            <w:gridSpan w:val="3"/>
            <w:tcBorders>
              <w:top w:val="nil"/>
            </w:tcBorders>
          </w:tcPr>
          <w:p>
            <w:pPr>
              <w:pStyle w:val="TableParagraph"/>
              <w:spacing w:line="201" w:lineRule="exact" w:before="58"/>
              <w:ind w:left="662" w:right="658"/>
              <w:jc w:val="center"/>
              <w:rPr>
                <w:rFonts w:ascii="Symbol"/>
                <w:sz w:val="18"/>
              </w:rPr>
            </w:pPr>
            <w:r>
              <w:rPr>
                <w:rFonts w:ascii="Symbol"/>
                <w:sz w:val="18"/>
              </w:rPr>
              <w:t>40</w:t>
            </w:r>
          </w:p>
        </w:tc>
        <w:tc>
          <w:tcPr>
            <w:tcW w:w="1806" w:type="dxa"/>
            <w:gridSpan w:val="2"/>
            <w:tcBorders>
              <w:top w:val="nil"/>
            </w:tcBorders>
          </w:tcPr>
          <w:p>
            <w:pPr>
              <w:pStyle w:val="TableParagraph"/>
              <w:spacing w:before="16"/>
              <w:ind w:left="742" w:right="743"/>
              <w:jc w:val="center"/>
              <w:rPr>
                <w:sz w:val="20"/>
              </w:rPr>
            </w:pPr>
            <w:r>
              <w:rPr>
                <w:sz w:val="20"/>
              </w:rPr>
              <w:t>25</w:t>
            </w:r>
          </w:p>
        </w:tc>
      </w:tr>
      <w:tr>
        <w:trPr>
          <w:trHeight w:val="273" w:hRule="atLeast"/>
        </w:trPr>
        <w:tc>
          <w:tcPr>
            <w:tcW w:w="2088" w:type="dxa"/>
            <w:gridSpan w:val="2"/>
          </w:tcPr>
          <w:p>
            <w:pPr>
              <w:pStyle w:val="TableParagraph"/>
              <w:spacing w:before="33"/>
              <w:ind w:left="76"/>
              <w:rPr>
                <w:b/>
                <w:sz w:val="18"/>
              </w:rPr>
            </w:pPr>
            <w:r>
              <w:rPr>
                <w:b/>
                <w:sz w:val="18"/>
              </w:rPr>
              <w:t>N. America</w:t>
            </w:r>
          </w:p>
        </w:tc>
        <w:tc>
          <w:tcPr>
            <w:tcW w:w="1736" w:type="dxa"/>
            <w:gridSpan w:val="3"/>
          </w:tcPr>
          <w:p>
            <w:pPr>
              <w:pStyle w:val="TableParagraph"/>
              <w:spacing w:before="28"/>
              <w:ind w:left="729" w:right="726"/>
              <w:jc w:val="center"/>
              <w:rPr>
                <w:sz w:val="18"/>
              </w:rPr>
            </w:pPr>
            <w:r>
              <w:rPr>
                <w:sz w:val="18"/>
              </w:rPr>
              <w:t>All</w:t>
            </w:r>
          </w:p>
        </w:tc>
        <w:tc>
          <w:tcPr>
            <w:tcW w:w="1750" w:type="dxa"/>
            <w:gridSpan w:val="2"/>
          </w:tcPr>
          <w:p>
            <w:pPr>
              <w:pStyle w:val="TableParagraph"/>
              <w:spacing w:line="196" w:lineRule="exact" w:before="57"/>
              <w:ind w:left="520" w:right="510"/>
              <w:jc w:val="center"/>
              <w:rPr>
                <w:rFonts w:ascii="Symbol"/>
                <w:sz w:val="18"/>
              </w:rPr>
            </w:pPr>
            <w:r>
              <w:rPr>
                <w:rFonts w:ascii="Symbol"/>
                <w:sz w:val="18"/>
              </w:rPr>
              <w:t>50</w:t>
            </w:r>
          </w:p>
        </w:tc>
        <w:tc>
          <w:tcPr>
            <w:tcW w:w="1644" w:type="dxa"/>
            <w:gridSpan w:val="3"/>
          </w:tcPr>
          <w:p>
            <w:pPr>
              <w:pStyle w:val="TableParagraph"/>
              <w:spacing w:line="196" w:lineRule="exact" w:before="57"/>
              <w:ind w:left="662" w:right="658"/>
              <w:jc w:val="center"/>
              <w:rPr>
                <w:rFonts w:ascii="Symbol"/>
                <w:sz w:val="18"/>
              </w:rPr>
            </w:pPr>
            <w:r>
              <w:rPr>
                <w:rFonts w:ascii="Symbol"/>
                <w:sz w:val="18"/>
              </w:rPr>
              <w:t>40</w:t>
            </w:r>
          </w:p>
        </w:tc>
        <w:tc>
          <w:tcPr>
            <w:tcW w:w="1806" w:type="dxa"/>
            <w:gridSpan w:val="2"/>
          </w:tcPr>
          <w:p>
            <w:pPr>
              <w:pStyle w:val="TableParagraph"/>
              <w:spacing w:before="14"/>
              <w:ind w:left="742" w:right="743"/>
              <w:jc w:val="center"/>
              <w:rPr>
                <w:sz w:val="20"/>
              </w:rPr>
            </w:pPr>
            <w:r>
              <w:rPr>
                <w:sz w:val="20"/>
              </w:rPr>
              <w:t>25</w:t>
            </w:r>
          </w:p>
        </w:tc>
      </w:tr>
    </w:tbl>
    <w:p>
      <w:pPr>
        <w:spacing w:after="0"/>
        <w:jc w:val="center"/>
        <w:rPr>
          <w:sz w:val="20"/>
        </w:rPr>
        <w:sectPr>
          <w:pgSz w:w="11900" w:h="16840"/>
          <w:pgMar w:header="230" w:footer="408" w:top="560" w:bottom="600" w:left="1200" w:right="1140"/>
        </w:sectPr>
      </w:pPr>
    </w:p>
    <w:p>
      <w:pPr>
        <w:pStyle w:val="BodyText"/>
      </w:pPr>
    </w:p>
    <w:p>
      <w:pPr>
        <w:pStyle w:val="BodyText"/>
        <w:spacing w:before="9"/>
        <w:rPr>
          <w:sz w:val="18"/>
        </w:rPr>
      </w:pPr>
    </w:p>
    <w:p>
      <w:pPr>
        <w:pStyle w:val="BodyText"/>
        <w:ind w:left="243"/>
      </w:pPr>
      <w:r>
        <w:rPr/>
        <w:pict>
          <v:shape style="width:223.45pt;height:620.550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5"/>
                    <w:gridCol w:w="1106"/>
                    <w:gridCol w:w="1106"/>
                    <w:gridCol w:w="926"/>
                  </w:tblGrid>
                  <w:tr>
                    <w:trPr>
                      <w:trHeight w:val="2281" w:hRule="atLeast"/>
                    </w:trPr>
                    <w:tc>
                      <w:tcPr>
                        <w:tcW w:w="4453" w:type="dxa"/>
                        <w:gridSpan w:val="4"/>
                        <w:tcBorders>
                          <w:bottom w:val="double" w:sz="1" w:space="0" w:color="000000"/>
                        </w:tcBorders>
                      </w:tcPr>
                      <w:p>
                        <w:pPr>
                          <w:pStyle w:val="TableParagraph"/>
                          <w:spacing w:before="59"/>
                          <w:ind w:left="1692" w:right="1684"/>
                          <w:jc w:val="center"/>
                          <w:rPr>
                            <w:b/>
                            <w:sz w:val="18"/>
                          </w:rPr>
                        </w:pPr>
                        <w:r>
                          <w:rPr>
                            <w:b/>
                            <w:sz w:val="18"/>
                          </w:rPr>
                          <w:t>T</w:t>
                        </w:r>
                        <w:r>
                          <w:rPr>
                            <w:b/>
                            <w:sz w:val="14"/>
                          </w:rPr>
                          <w:t>ABLE </w:t>
                        </w:r>
                        <w:r>
                          <w:rPr>
                            <w:b/>
                            <w:sz w:val="18"/>
                          </w:rPr>
                          <w:t>3A.1.4</w:t>
                        </w:r>
                      </w:p>
                      <w:p>
                        <w:pPr>
                          <w:pStyle w:val="TableParagraph"/>
                          <w:spacing w:before="2"/>
                          <w:ind w:left="172" w:right="161" w:hanging="4"/>
                          <w:jc w:val="center"/>
                          <w:rPr>
                            <w:b/>
                            <w:sz w:val="18"/>
                          </w:rPr>
                        </w:pPr>
                        <w:r>
                          <w:rPr>
                            <w:b/>
                            <w:sz w:val="18"/>
                          </w:rPr>
                          <w:t>A</w:t>
                        </w:r>
                        <w:r>
                          <w:rPr>
                            <w:b/>
                            <w:sz w:val="14"/>
                          </w:rPr>
                          <w:t>VERAGE GROWING STOCK VOLUME </w:t>
                        </w:r>
                        <w:r>
                          <w:rPr>
                            <w:b/>
                            <w:sz w:val="18"/>
                          </w:rPr>
                          <w:t>(1) </w:t>
                        </w:r>
                        <w:r>
                          <w:rPr>
                            <w:b/>
                            <w:sz w:val="14"/>
                          </w:rPr>
                          <w:t>AND 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83"/>
                          </w:numPr>
                          <w:tabs>
                            <w:tab w:pos="466" w:val="left" w:leader="none"/>
                          </w:tabs>
                          <w:spacing w:line="240" w:lineRule="auto" w:before="114" w:after="0"/>
                          <w:ind w:left="465" w:right="0" w:hanging="257"/>
                          <w:jc w:val="left"/>
                          <w:rPr>
                            <w:sz w:val="18"/>
                          </w:rPr>
                        </w:pPr>
                        <w:r>
                          <w:rPr>
                            <w:sz w:val="18"/>
                          </w:rPr>
                          <w:t>To be used for V in Equation</w:t>
                        </w:r>
                        <w:r>
                          <w:rPr>
                            <w:spacing w:val="-7"/>
                            <w:sz w:val="18"/>
                          </w:rPr>
                          <w:t> </w:t>
                        </w:r>
                        <w:r>
                          <w:rPr>
                            <w:sz w:val="18"/>
                          </w:rPr>
                          <w:t>3.2.3.</w:t>
                        </w:r>
                      </w:p>
                      <w:p>
                        <w:pPr>
                          <w:pStyle w:val="TableParagraph"/>
                          <w:numPr>
                            <w:ilvl w:val="0"/>
                            <w:numId w:val="83"/>
                          </w:numPr>
                          <w:tabs>
                            <w:tab w:pos="466" w:val="left" w:leader="none"/>
                          </w:tabs>
                          <w:spacing w:line="240" w:lineRule="auto" w:before="119" w:after="0"/>
                          <w:ind w:left="465" w:right="37" w:hanging="257"/>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3" w:hRule="atLeast"/>
                    </w:trPr>
                    <w:tc>
                      <w:tcPr>
                        <w:tcW w:w="4453" w:type="dxa"/>
                        <w:gridSpan w:val="4"/>
                        <w:tcBorders>
                          <w:top w:val="double" w:sz="1" w:space="0" w:color="000000"/>
                        </w:tcBorders>
                      </w:tcPr>
                      <w:p>
                        <w:pPr>
                          <w:pStyle w:val="TableParagraph"/>
                          <w:spacing w:before="23"/>
                          <w:ind w:left="54"/>
                          <w:rPr>
                            <w:b/>
                            <w:sz w:val="18"/>
                          </w:rPr>
                        </w:pPr>
                        <w:r>
                          <w:rPr>
                            <w:b/>
                            <w:sz w:val="18"/>
                          </w:rPr>
                          <w:t>a. AFRICA</w:t>
                        </w:r>
                      </w:p>
                    </w:tc>
                  </w:tr>
                  <w:tr>
                    <w:trPr>
                      <w:trHeight w:val="729" w:hRule="atLeast"/>
                    </w:trPr>
                    <w:tc>
                      <w:tcPr>
                        <w:tcW w:w="1315" w:type="dxa"/>
                      </w:tcPr>
                      <w:p>
                        <w:pPr>
                          <w:pStyle w:val="TableParagraph"/>
                          <w:spacing w:before="10"/>
                          <w:rPr>
                            <w:sz w:val="22"/>
                          </w:rPr>
                        </w:pPr>
                      </w:p>
                      <w:p>
                        <w:pPr>
                          <w:pStyle w:val="TableParagraph"/>
                          <w:ind w:left="54"/>
                          <w:rPr>
                            <w:b/>
                            <w:sz w:val="16"/>
                          </w:rPr>
                        </w:pPr>
                        <w:r>
                          <w:rPr>
                            <w:b/>
                            <w:sz w:val="16"/>
                          </w:rPr>
                          <w:t>Country</w:t>
                        </w:r>
                      </w:p>
                    </w:tc>
                    <w:tc>
                      <w:tcPr>
                        <w:tcW w:w="1106" w:type="dxa"/>
                      </w:tcPr>
                      <w:p>
                        <w:pPr>
                          <w:pStyle w:val="TableParagraph"/>
                          <w:spacing w:before="35"/>
                          <w:ind w:left="50" w:right="21" w:firstLine="237"/>
                          <w:rPr>
                            <w:b/>
                            <w:sz w:val="16"/>
                          </w:rPr>
                        </w:pPr>
                        <w:r>
                          <w:rPr>
                            <w:b/>
                            <w:sz w:val="16"/>
                          </w:rPr>
                          <w:t>Volume (aboveground)</w:t>
                        </w:r>
                      </w:p>
                      <w:p>
                        <w:pPr>
                          <w:pStyle w:val="TableParagraph"/>
                          <w:spacing w:before="93"/>
                          <w:ind w:left="314"/>
                          <w:rPr>
                            <w:b/>
                            <w:sz w:val="16"/>
                          </w:rPr>
                        </w:pPr>
                        <w:r>
                          <w:rPr>
                            <w:b/>
                            <w:sz w:val="16"/>
                          </w:rPr>
                          <w:t>m</w:t>
                        </w:r>
                        <w:r>
                          <w:rPr>
                            <w:b/>
                            <w:sz w:val="16"/>
                            <w:vertAlign w:val="superscript"/>
                          </w:rPr>
                          <w:t>3</w:t>
                        </w:r>
                        <w:r>
                          <w:rPr>
                            <w:b/>
                            <w:sz w:val="16"/>
                            <w:vertAlign w:val="baseline"/>
                          </w:rPr>
                          <w:t> / ha</w:t>
                        </w:r>
                      </w:p>
                    </w:tc>
                    <w:tc>
                      <w:tcPr>
                        <w:tcW w:w="1106" w:type="dxa"/>
                      </w:tcPr>
                      <w:p>
                        <w:pPr>
                          <w:pStyle w:val="TableParagraph"/>
                          <w:spacing w:before="35"/>
                          <w:ind w:left="48" w:right="40"/>
                          <w:jc w:val="center"/>
                          <w:rPr>
                            <w:b/>
                            <w:sz w:val="16"/>
                          </w:rPr>
                        </w:pPr>
                        <w:r>
                          <w:rPr>
                            <w:b/>
                            <w:sz w:val="16"/>
                          </w:rPr>
                          <w:t>Biomass (aboveground)</w:t>
                        </w:r>
                      </w:p>
                      <w:p>
                        <w:pPr>
                          <w:pStyle w:val="TableParagraph"/>
                          <w:spacing w:before="93"/>
                          <w:ind w:left="45" w:right="40"/>
                          <w:jc w:val="center"/>
                          <w:rPr>
                            <w:b/>
                            <w:sz w:val="16"/>
                          </w:rPr>
                        </w:pPr>
                        <w:r>
                          <w:rPr>
                            <w:b/>
                            <w:sz w:val="16"/>
                          </w:rPr>
                          <w:t>t / ha</w:t>
                        </w:r>
                      </w:p>
                    </w:tc>
                    <w:tc>
                      <w:tcPr>
                        <w:tcW w:w="926" w:type="dxa"/>
                      </w:tcPr>
                      <w:p>
                        <w:pPr>
                          <w:pStyle w:val="TableParagraph"/>
                          <w:spacing w:before="35"/>
                          <w:ind w:left="221" w:right="195" w:firstLine="36"/>
                          <w:rPr>
                            <w:b/>
                            <w:sz w:val="16"/>
                          </w:rPr>
                        </w:pPr>
                        <w:r>
                          <w:rPr>
                            <w:b/>
                            <w:sz w:val="16"/>
                          </w:rPr>
                          <w:t>Infor- mation</w:t>
                        </w:r>
                      </w:p>
                      <w:p>
                        <w:pPr>
                          <w:pStyle w:val="TableParagraph"/>
                          <w:spacing w:before="93"/>
                          <w:ind w:left="226"/>
                          <w:rPr>
                            <w:b/>
                            <w:sz w:val="16"/>
                          </w:rPr>
                        </w:pPr>
                        <w:r>
                          <w:rPr>
                            <w:b/>
                            <w:sz w:val="16"/>
                          </w:rPr>
                          <w:t>Source</w:t>
                        </w:r>
                      </w:p>
                    </w:tc>
                  </w:tr>
                  <w:tr>
                    <w:trPr>
                      <w:trHeight w:val="273" w:hRule="atLeast"/>
                    </w:trPr>
                    <w:tc>
                      <w:tcPr>
                        <w:tcW w:w="1315" w:type="dxa"/>
                      </w:tcPr>
                      <w:p>
                        <w:pPr>
                          <w:pStyle w:val="TableParagraph"/>
                          <w:spacing w:before="54"/>
                          <w:ind w:left="54"/>
                          <w:rPr>
                            <w:sz w:val="16"/>
                          </w:rPr>
                        </w:pPr>
                        <w:r>
                          <w:rPr>
                            <w:sz w:val="16"/>
                          </w:rPr>
                          <w:t>Algeria</w:t>
                        </w:r>
                      </w:p>
                    </w:tc>
                    <w:tc>
                      <w:tcPr>
                        <w:tcW w:w="1106" w:type="dxa"/>
                      </w:tcPr>
                      <w:p>
                        <w:pPr>
                          <w:pStyle w:val="TableParagraph"/>
                          <w:spacing w:before="54"/>
                          <w:ind w:left="473"/>
                          <w:rPr>
                            <w:sz w:val="16"/>
                          </w:rPr>
                        </w:pPr>
                        <w:r>
                          <w:rPr>
                            <w:sz w:val="16"/>
                          </w:rPr>
                          <w:t>44</w:t>
                        </w:r>
                      </w:p>
                    </w:tc>
                    <w:tc>
                      <w:tcPr>
                        <w:tcW w:w="1106" w:type="dxa"/>
                      </w:tcPr>
                      <w:p>
                        <w:pPr>
                          <w:pStyle w:val="TableParagraph"/>
                          <w:spacing w:before="54"/>
                          <w:ind w:left="49" w:right="40"/>
                          <w:jc w:val="center"/>
                          <w:rPr>
                            <w:sz w:val="16"/>
                          </w:rPr>
                        </w:pPr>
                        <w:r>
                          <w:rPr>
                            <w:sz w:val="16"/>
                          </w:rPr>
                          <w:t>75</w:t>
                        </w:r>
                      </w:p>
                    </w:tc>
                    <w:tc>
                      <w:tcPr>
                        <w:tcW w:w="926" w:type="dxa"/>
                      </w:tcPr>
                      <w:p>
                        <w:pPr>
                          <w:pStyle w:val="TableParagraph"/>
                          <w:spacing w:before="54"/>
                          <w:ind w:left="242" w:right="227"/>
                          <w:jc w:val="center"/>
                          <w:rPr>
                            <w:sz w:val="16"/>
                          </w:rPr>
                        </w:pPr>
                        <w:r>
                          <w:rPr>
                            <w:sz w:val="16"/>
                          </w:rPr>
                          <w:t>NI</w:t>
                        </w:r>
                      </w:p>
                    </w:tc>
                  </w:tr>
                  <w:tr>
                    <w:trPr>
                      <w:trHeight w:val="275" w:hRule="atLeast"/>
                    </w:trPr>
                    <w:tc>
                      <w:tcPr>
                        <w:tcW w:w="1315" w:type="dxa"/>
                      </w:tcPr>
                      <w:p>
                        <w:pPr>
                          <w:pStyle w:val="TableParagraph"/>
                          <w:spacing w:before="54"/>
                          <w:ind w:left="54"/>
                          <w:rPr>
                            <w:sz w:val="16"/>
                          </w:rPr>
                        </w:pPr>
                        <w:r>
                          <w:rPr>
                            <w:sz w:val="16"/>
                          </w:rPr>
                          <w:t>Angola</w:t>
                        </w:r>
                      </w:p>
                    </w:tc>
                    <w:tc>
                      <w:tcPr>
                        <w:tcW w:w="1106" w:type="dxa"/>
                      </w:tcPr>
                      <w:p>
                        <w:pPr>
                          <w:pStyle w:val="TableParagraph"/>
                          <w:spacing w:before="54"/>
                          <w:ind w:left="472"/>
                          <w:rPr>
                            <w:sz w:val="16"/>
                          </w:rPr>
                        </w:pPr>
                        <w:r>
                          <w:rPr>
                            <w:sz w:val="16"/>
                          </w:rPr>
                          <w:t>39</w:t>
                        </w:r>
                      </w:p>
                    </w:tc>
                    <w:tc>
                      <w:tcPr>
                        <w:tcW w:w="1106" w:type="dxa"/>
                      </w:tcPr>
                      <w:p>
                        <w:pPr>
                          <w:pStyle w:val="TableParagraph"/>
                          <w:spacing w:before="54"/>
                          <w:ind w:left="48" w:right="40"/>
                          <w:jc w:val="center"/>
                          <w:rPr>
                            <w:sz w:val="16"/>
                          </w:rPr>
                        </w:pPr>
                        <w:r>
                          <w:rPr>
                            <w:sz w:val="16"/>
                          </w:rPr>
                          <w:t>54</w:t>
                        </w:r>
                      </w:p>
                    </w:tc>
                    <w:tc>
                      <w:tcPr>
                        <w:tcW w:w="926" w:type="dxa"/>
                      </w:tcPr>
                      <w:p>
                        <w:pPr>
                          <w:pStyle w:val="TableParagraph"/>
                          <w:spacing w:before="54"/>
                          <w:ind w:left="242" w:right="226"/>
                          <w:jc w:val="center"/>
                          <w:rPr>
                            <w:sz w:val="16"/>
                          </w:rPr>
                        </w:pPr>
                        <w:r>
                          <w:rPr>
                            <w:sz w:val="16"/>
                          </w:rPr>
                          <w:t>NI</w:t>
                        </w:r>
                      </w:p>
                    </w:tc>
                  </w:tr>
                  <w:tr>
                    <w:trPr>
                      <w:trHeight w:val="273" w:hRule="atLeast"/>
                    </w:trPr>
                    <w:tc>
                      <w:tcPr>
                        <w:tcW w:w="1315" w:type="dxa"/>
                      </w:tcPr>
                      <w:p>
                        <w:pPr>
                          <w:pStyle w:val="TableParagraph"/>
                          <w:spacing w:before="54"/>
                          <w:ind w:left="54"/>
                          <w:rPr>
                            <w:sz w:val="16"/>
                          </w:rPr>
                        </w:pPr>
                        <w:r>
                          <w:rPr>
                            <w:sz w:val="16"/>
                          </w:rPr>
                          <w:t>Benin</w:t>
                        </w:r>
                      </w:p>
                    </w:tc>
                    <w:tc>
                      <w:tcPr>
                        <w:tcW w:w="1106" w:type="dxa"/>
                      </w:tcPr>
                      <w:p>
                        <w:pPr>
                          <w:pStyle w:val="TableParagraph"/>
                          <w:spacing w:before="54"/>
                          <w:ind w:left="432"/>
                          <w:rPr>
                            <w:sz w:val="16"/>
                          </w:rPr>
                        </w:pPr>
                        <w:r>
                          <w:rPr>
                            <w:sz w:val="16"/>
                          </w:rPr>
                          <w:t>140</w:t>
                        </w:r>
                      </w:p>
                    </w:tc>
                    <w:tc>
                      <w:tcPr>
                        <w:tcW w:w="1106" w:type="dxa"/>
                      </w:tcPr>
                      <w:p>
                        <w:pPr>
                          <w:pStyle w:val="TableParagraph"/>
                          <w:spacing w:before="54"/>
                          <w:ind w:left="46" w:right="40"/>
                          <w:jc w:val="center"/>
                          <w:rPr>
                            <w:sz w:val="16"/>
                          </w:rPr>
                        </w:pPr>
                        <w:r>
                          <w:rPr>
                            <w:sz w:val="16"/>
                          </w:rPr>
                          <w:t>195</w:t>
                        </w:r>
                      </w:p>
                    </w:tc>
                    <w:tc>
                      <w:tcPr>
                        <w:tcW w:w="926" w:type="dxa"/>
                      </w:tcPr>
                      <w:p>
                        <w:pPr>
                          <w:pStyle w:val="TableParagraph"/>
                          <w:spacing w:before="54"/>
                          <w:ind w:left="242" w:right="228"/>
                          <w:jc w:val="center"/>
                          <w:rPr>
                            <w:sz w:val="16"/>
                          </w:rPr>
                        </w:pPr>
                        <w:r>
                          <w:rPr>
                            <w:sz w:val="16"/>
                          </w:rPr>
                          <w:t>PI</w:t>
                        </w:r>
                      </w:p>
                    </w:tc>
                  </w:tr>
                  <w:tr>
                    <w:trPr>
                      <w:trHeight w:val="273" w:hRule="atLeast"/>
                    </w:trPr>
                    <w:tc>
                      <w:tcPr>
                        <w:tcW w:w="1315" w:type="dxa"/>
                      </w:tcPr>
                      <w:p>
                        <w:pPr>
                          <w:pStyle w:val="TableParagraph"/>
                          <w:spacing w:before="54"/>
                          <w:ind w:left="54"/>
                          <w:rPr>
                            <w:sz w:val="16"/>
                          </w:rPr>
                        </w:pPr>
                        <w:r>
                          <w:rPr>
                            <w:sz w:val="16"/>
                          </w:rPr>
                          <w:t>Botswana</w:t>
                        </w:r>
                      </w:p>
                    </w:tc>
                    <w:tc>
                      <w:tcPr>
                        <w:tcW w:w="1106" w:type="dxa"/>
                      </w:tcPr>
                      <w:p>
                        <w:pPr>
                          <w:pStyle w:val="TableParagraph"/>
                          <w:spacing w:before="54"/>
                          <w:ind w:left="473"/>
                          <w:rPr>
                            <w:sz w:val="16"/>
                          </w:rPr>
                        </w:pPr>
                        <w:r>
                          <w:rPr>
                            <w:sz w:val="16"/>
                          </w:rPr>
                          <w:t>45</w:t>
                        </w:r>
                      </w:p>
                    </w:tc>
                    <w:tc>
                      <w:tcPr>
                        <w:tcW w:w="1106" w:type="dxa"/>
                      </w:tcPr>
                      <w:p>
                        <w:pPr>
                          <w:pStyle w:val="TableParagraph"/>
                          <w:spacing w:before="54"/>
                          <w:ind w:left="49" w:right="40"/>
                          <w:jc w:val="center"/>
                          <w:rPr>
                            <w:sz w:val="16"/>
                          </w:rPr>
                        </w:pPr>
                        <w:r>
                          <w:rPr>
                            <w:sz w:val="16"/>
                          </w:rPr>
                          <w:t>63</w:t>
                        </w:r>
                      </w:p>
                    </w:tc>
                    <w:tc>
                      <w:tcPr>
                        <w:tcW w:w="926" w:type="dxa"/>
                      </w:tcPr>
                      <w:p>
                        <w:pPr>
                          <w:pStyle w:val="TableParagraph"/>
                          <w:spacing w:before="54"/>
                          <w:ind w:left="242" w:right="226"/>
                          <w:jc w:val="center"/>
                          <w:rPr>
                            <w:sz w:val="16"/>
                          </w:rPr>
                        </w:pPr>
                        <w:r>
                          <w:rPr>
                            <w:sz w:val="16"/>
                          </w:rPr>
                          <w:t>NI</w:t>
                        </w:r>
                      </w:p>
                    </w:tc>
                  </w:tr>
                  <w:tr>
                    <w:trPr>
                      <w:trHeight w:val="275" w:hRule="atLeast"/>
                    </w:trPr>
                    <w:tc>
                      <w:tcPr>
                        <w:tcW w:w="1315" w:type="dxa"/>
                      </w:tcPr>
                      <w:p>
                        <w:pPr>
                          <w:pStyle w:val="TableParagraph"/>
                          <w:spacing w:before="54"/>
                          <w:ind w:left="54"/>
                          <w:rPr>
                            <w:sz w:val="16"/>
                          </w:rPr>
                        </w:pPr>
                        <w:r>
                          <w:rPr>
                            <w:sz w:val="16"/>
                          </w:rPr>
                          <w:t>Burkina Faso</w:t>
                        </w:r>
                      </w:p>
                    </w:tc>
                    <w:tc>
                      <w:tcPr>
                        <w:tcW w:w="1106" w:type="dxa"/>
                      </w:tcPr>
                      <w:p>
                        <w:pPr>
                          <w:pStyle w:val="TableParagraph"/>
                          <w:spacing w:before="54"/>
                          <w:ind w:left="473"/>
                          <w:rPr>
                            <w:sz w:val="16"/>
                          </w:rPr>
                        </w:pPr>
                        <w:r>
                          <w:rPr>
                            <w:sz w:val="16"/>
                          </w:rPr>
                          <w:t>10</w:t>
                        </w:r>
                      </w:p>
                    </w:tc>
                    <w:tc>
                      <w:tcPr>
                        <w:tcW w:w="1106" w:type="dxa"/>
                      </w:tcPr>
                      <w:p>
                        <w:pPr>
                          <w:pStyle w:val="TableParagraph"/>
                          <w:spacing w:before="54"/>
                          <w:ind w:left="49" w:right="40"/>
                          <w:jc w:val="center"/>
                          <w:rPr>
                            <w:sz w:val="16"/>
                          </w:rPr>
                        </w:pPr>
                        <w:r>
                          <w:rPr>
                            <w:sz w:val="16"/>
                          </w:rPr>
                          <w:t>16</w:t>
                        </w:r>
                      </w:p>
                    </w:tc>
                    <w:tc>
                      <w:tcPr>
                        <w:tcW w:w="926" w:type="dxa"/>
                      </w:tcPr>
                      <w:p>
                        <w:pPr>
                          <w:pStyle w:val="TableParagraph"/>
                          <w:spacing w:before="54"/>
                          <w:ind w:left="242" w:right="226"/>
                          <w:jc w:val="center"/>
                          <w:rPr>
                            <w:sz w:val="16"/>
                          </w:rPr>
                        </w:pPr>
                        <w:r>
                          <w:rPr>
                            <w:sz w:val="16"/>
                          </w:rPr>
                          <w:t>NI</w:t>
                        </w:r>
                      </w:p>
                    </w:tc>
                  </w:tr>
                  <w:tr>
                    <w:trPr>
                      <w:trHeight w:val="273" w:hRule="atLeast"/>
                    </w:trPr>
                    <w:tc>
                      <w:tcPr>
                        <w:tcW w:w="1315" w:type="dxa"/>
                      </w:tcPr>
                      <w:p>
                        <w:pPr>
                          <w:pStyle w:val="TableParagraph"/>
                          <w:spacing w:before="54"/>
                          <w:ind w:left="54"/>
                          <w:rPr>
                            <w:sz w:val="16"/>
                          </w:rPr>
                        </w:pPr>
                        <w:r>
                          <w:rPr>
                            <w:sz w:val="16"/>
                          </w:rPr>
                          <w:t>Burundi</w:t>
                        </w:r>
                      </w:p>
                    </w:tc>
                    <w:tc>
                      <w:tcPr>
                        <w:tcW w:w="1106" w:type="dxa"/>
                      </w:tcPr>
                      <w:p>
                        <w:pPr>
                          <w:pStyle w:val="TableParagraph"/>
                          <w:spacing w:before="54"/>
                          <w:ind w:left="432"/>
                          <w:rPr>
                            <w:sz w:val="16"/>
                          </w:rPr>
                        </w:pPr>
                        <w:r>
                          <w:rPr>
                            <w:sz w:val="16"/>
                          </w:rPr>
                          <w:t>110</w:t>
                        </w:r>
                      </w:p>
                    </w:tc>
                    <w:tc>
                      <w:tcPr>
                        <w:tcW w:w="1106" w:type="dxa"/>
                      </w:tcPr>
                      <w:p>
                        <w:pPr>
                          <w:pStyle w:val="TableParagraph"/>
                          <w:spacing w:before="54"/>
                          <w:ind w:left="45" w:right="40"/>
                          <w:jc w:val="center"/>
                          <w:rPr>
                            <w:sz w:val="16"/>
                          </w:rPr>
                        </w:pPr>
                        <w:r>
                          <w:rPr>
                            <w:sz w:val="16"/>
                          </w:rPr>
                          <w:t>187</w:t>
                        </w:r>
                      </w:p>
                    </w:tc>
                    <w:tc>
                      <w:tcPr>
                        <w:tcW w:w="926" w:type="dxa"/>
                      </w:tcPr>
                      <w:p>
                        <w:pPr>
                          <w:pStyle w:val="TableParagraph"/>
                          <w:spacing w:before="54"/>
                          <w:ind w:left="242" w:right="234"/>
                          <w:jc w:val="center"/>
                          <w:rPr>
                            <w:sz w:val="16"/>
                          </w:rPr>
                        </w:pPr>
                        <w:r>
                          <w:rPr>
                            <w:sz w:val="16"/>
                          </w:rPr>
                          <w:t>ES</w:t>
                        </w:r>
                      </w:p>
                    </w:tc>
                  </w:tr>
                  <w:tr>
                    <w:trPr>
                      <w:trHeight w:val="273" w:hRule="atLeast"/>
                    </w:trPr>
                    <w:tc>
                      <w:tcPr>
                        <w:tcW w:w="1315" w:type="dxa"/>
                      </w:tcPr>
                      <w:p>
                        <w:pPr>
                          <w:pStyle w:val="TableParagraph"/>
                          <w:spacing w:before="54"/>
                          <w:ind w:left="54"/>
                          <w:rPr>
                            <w:sz w:val="16"/>
                          </w:rPr>
                        </w:pPr>
                        <w:r>
                          <w:rPr>
                            <w:sz w:val="16"/>
                          </w:rPr>
                          <w:t>Cameroon</w:t>
                        </w:r>
                      </w:p>
                    </w:tc>
                    <w:tc>
                      <w:tcPr>
                        <w:tcW w:w="1106" w:type="dxa"/>
                      </w:tcPr>
                      <w:p>
                        <w:pPr>
                          <w:pStyle w:val="TableParagraph"/>
                          <w:spacing w:before="54"/>
                          <w:ind w:left="433"/>
                          <w:rPr>
                            <w:sz w:val="16"/>
                          </w:rPr>
                        </w:pPr>
                        <w:r>
                          <w:rPr>
                            <w:sz w:val="16"/>
                          </w:rPr>
                          <w:t>135</w:t>
                        </w:r>
                      </w:p>
                    </w:tc>
                    <w:tc>
                      <w:tcPr>
                        <w:tcW w:w="1106" w:type="dxa"/>
                      </w:tcPr>
                      <w:p>
                        <w:pPr>
                          <w:pStyle w:val="TableParagraph"/>
                          <w:spacing w:before="54"/>
                          <w:ind w:left="47" w:right="40"/>
                          <w:jc w:val="center"/>
                          <w:rPr>
                            <w:sz w:val="16"/>
                          </w:rPr>
                        </w:pPr>
                        <w:r>
                          <w:rPr>
                            <w:sz w:val="16"/>
                          </w:rPr>
                          <w:t>131</w:t>
                        </w:r>
                      </w:p>
                    </w:tc>
                    <w:tc>
                      <w:tcPr>
                        <w:tcW w:w="926" w:type="dxa"/>
                      </w:tcPr>
                      <w:p>
                        <w:pPr>
                          <w:pStyle w:val="TableParagraph"/>
                          <w:spacing w:before="54"/>
                          <w:ind w:left="242" w:right="227"/>
                          <w:jc w:val="center"/>
                          <w:rPr>
                            <w:sz w:val="16"/>
                          </w:rPr>
                        </w:pPr>
                        <w:r>
                          <w:rPr>
                            <w:sz w:val="16"/>
                          </w:rPr>
                          <w:t>PI</w:t>
                        </w:r>
                      </w:p>
                    </w:tc>
                  </w:tr>
                  <w:tr>
                    <w:trPr>
                      <w:trHeight w:val="275" w:hRule="atLeast"/>
                    </w:trPr>
                    <w:tc>
                      <w:tcPr>
                        <w:tcW w:w="1315" w:type="dxa"/>
                      </w:tcPr>
                      <w:p>
                        <w:pPr>
                          <w:pStyle w:val="TableParagraph"/>
                          <w:spacing w:before="54"/>
                          <w:ind w:left="54"/>
                          <w:rPr>
                            <w:sz w:val="16"/>
                          </w:rPr>
                        </w:pPr>
                        <w:r>
                          <w:rPr>
                            <w:sz w:val="16"/>
                          </w:rPr>
                          <w:t>Cape Verde</w:t>
                        </w:r>
                      </w:p>
                    </w:tc>
                    <w:tc>
                      <w:tcPr>
                        <w:tcW w:w="1106" w:type="dxa"/>
                      </w:tcPr>
                      <w:p>
                        <w:pPr>
                          <w:pStyle w:val="TableParagraph"/>
                          <w:spacing w:before="54"/>
                          <w:ind w:left="473"/>
                          <w:rPr>
                            <w:sz w:val="16"/>
                          </w:rPr>
                        </w:pPr>
                        <w:r>
                          <w:rPr>
                            <w:sz w:val="16"/>
                          </w:rPr>
                          <w:t>83</w:t>
                        </w:r>
                      </w:p>
                    </w:tc>
                    <w:tc>
                      <w:tcPr>
                        <w:tcW w:w="1106" w:type="dxa"/>
                      </w:tcPr>
                      <w:p>
                        <w:pPr>
                          <w:pStyle w:val="TableParagraph"/>
                          <w:spacing w:before="54"/>
                          <w:ind w:left="45" w:right="40"/>
                          <w:jc w:val="center"/>
                          <w:rPr>
                            <w:sz w:val="16"/>
                          </w:rPr>
                        </w:pPr>
                        <w:r>
                          <w:rPr>
                            <w:sz w:val="16"/>
                          </w:rPr>
                          <w:t>127</w:t>
                        </w:r>
                      </w:p>
                    </w:tc>
                    <w:tc>
                      <w:tcPr>
                        <w:tcW w:w="926" w:type="dxa"/>
                      </w:tcPr>
                      <w:p>
                        <w:pPr>
                          <w:pStyle w:val="TableParagraph"/>
                          <w:spacing w:before="54"/>
                          <w:ind w:left="241" w:right="234"/>
                          <w:jc w:val="center"/>
                          <w:rPr>
                            <w:sz w:val="16"/>
                          </w:rPr>
                        </w:pPr>
                        <w:r>
                          <w:rPr>
                            <w:sz w:val="16"/>
                          </w:rPr>
                          <w:t>ES</w:t>
                        </w:r>
                      </w:p>
                    </w:tc>
                  </w:tr>
                  <w:tr>
                    <w:trPr>
                      <w:trHeight w:val="443" w:hRule="atLeast"/>
                    </w:trPr>
                    <w:tc>
                      <w:tcPr>
                        <w:tcW w:w="1315" w:type="dxa"/>
                      </w:tcPr>
                      <w:p>
                        <w:pPr>
                          <w:pStyle w:val="TableParagraph"/>
                          <w:spacing w:before="54"/>
                          <w:ind w:left="54" w:right="231"/>
                          <w:rPr>
                            <w:sz w:val="16"/>
                          </w:rPr>
                        </w:pPr>
                        <w:r>
                          <w:rPr>
                            <w:sz w:val="16"/>
                          </w:rPr>
                          <w:t>Central African Republic</w:t>
                        </w:r>
                      </w:p>
                    </w:tc>
                    <w:tc>
                      <w:tcPr>
                        <w:tcW w:w="1106" w:type="dxa"/>
                      </w:tcPr>
                      <w:p>
                        <w:pPr>
                          <w:pStyle w:val="TableParagraph"/>
                          <w:spacing w:before="124"/>
                          <w:ind w:left="472"/>
                          <w:rPr>
                            <w:sz w:val="16"/>
                          </w:rPr>
                        </w:pPr>
                        <w:r>
                          <w:rPr>
                            <w:sz w:val="16"/>
                          </w:rPr>
                          <w:t>85</w:t>
                        </w:r>
                      </w:p>
                    </w:tc>
                    <w:tc>
                      <w:tcPr>
                        <w:tcW w:w="1106" w:type="dxa"/>
                      </w:tcPr>
                      <w:p>
                        <w:pPr>
                          <w:pStyle w:val="TableParagraph"/>
                          <w:spacing w:before="124"/>
                          <w:ind w:left="45" w:right="40"/>
                          <w:jc w:val="center"/>
                          <w:rPr>
                            <w:sz w:val="16"/>
                          </w:rPr>
                        </w:pPr>
                        <w:r>
                          <w:rPr>
                            <w:sz w:val="16"/>
                          </w:rPr>
                          <w:t>113</w:t>
                        </w:r>
                      </w:p>
                    </w:tc>
                    <w:tc>
                      <w:tcPr>
                        <w:tcW w:w="926" w:type="dxa"/>
                      </w:tcPr>
                      <w:p>
                        <w:pPr>
                          <w:pStyle w:val="TableParagraph"/>
                          <w:spacing w:before="124"/>
                          <w:ind w:left="242" w:right="234"/>
                          <w:jc w:val="center"/>
                          <w:rPr>
                            <w:sz w:val="16"/>
                          </w:rPr>
                        </w:pPr>
                        <w:r>
                          <w:rPr>
                            <w:sz w:val="16"/>
                          </w:rPr>
                          <w:t>PI/EX</w:t>
                        </w:r>
                      </w:p>
                    </w:tc>
                  </w:tr>
                  <w:tr>
                    <w:trPr>
                      <w:trHeight w:val="273" w:hRule="atLeast"/>
                    </w:trPr>
                    <w:tc>
                      <w:tcPr>
                        <w:tcW w:w="1315" w:type="dxa"/>
                      </w:tcPr>
                      <w:p>
                        <w:pPr>
                          <w:pStyle w:val="TableParagraph"/>
                          <w:spacing w:before="54"/>
                          <w:ind w:left="54"/>
                          <w:rPr>
                            <w:sz w:val="16"/>
                          </w:rPr>
                        </w:pPr>
                        <w:r>
                          <w:rPr>
                            <w:sz w:val="16"/>
                          </w:rPr>
                          <w:t>Chad</w:t>
                        </w:r>
                      </w:p>
                    </w:tc>
                    <w:tc>
                      <w:tcPr>
                        <w:tcW w:w="1106" w:type="dxa"/>
                      </w:tcPr>
                      <w:p>
                        <w:pPr>
                          <w:pStyle w:val="TableParagraph"/>
                          <w:spacing w:before="54"/>
                          <w:ind w:left="473"/>
                          <w:rPr>
                            <w:sz w:val="16"/>
                          </w:rPr>
                        </w:pPr>
                        <w:r>
                          <w:rPr>
                            <w:sz w:val="16"/>
                          </w:rPr>
                          <w:t>11</w:t>
                        </w:r>
                      </w:p>
                    </w:tc>
                    <w:tc>
                      <w:tcPr>
                        <w:tcW w:w="1106" w:type="dxa"/>
                      </w:tcPr>
                      <w:p>
                        <w:pPr>
                          <w:pStyle w:val="TableParagraph"/>
                          <w:spacing w:before="54"/>
                          <w:ind w:left="49" w:right="40"/>
                          <w:jc w:val="center"/>
                          <w:rPr>
                            <w:sz w:val="16"/>
                          </w:rPr>
                        </w:pPr>
                        <w:r>
                          <w:rPr>
                            <w:sz w:val="16"/>
                          </w:rPr>
                          <w:t>16</w:t>
                        </w:r>
                      </w:p>
                    </w:tc>
                    <w:tc>
                      <w:tcPr>
                        <w:tcW w:w="926" w:type="dxa"/>
                      </w:tcPr>
                      <w:p>
                        <w:pPr>
                          <w:pStyle w:val="TableParagraph"/>
                          <w:spacing w:before="54"/>
                          <w:ind w:left="242" w:right="234"/>
                          <w:jc w:val="center"/>
                          <w:rPr>
                            <w:sz w:val="16"/>
                          </w:rPr>
                        </w:pPr>
                        <w:r>
                          <w:rPr>
                            <w:sz w:val="16"/>
                          </w:rPr>
                          <w:t>ES</w:t>
                        </w:r>
                      </w:p>
                    </w:tc>
                  </w:tr>
                  <w:tr>
                    <w:trPr>
                      <w:trHeight w:val="273" w:hRule="atLeast"/>
                    </w:trPr>
                    <w:tc>
                      <w:tcPr>
                        <w:tcW w:w="1315" w:type="dxa"/>
                      </w:tcPr>
                      <w:p>
                        <w:pPr>
                          <w:pStyle w:val="TableParagraph"/>
                          <w:spacing w:before="54"/>
                          <w:ind w:left="54"/>
                          <w:rPr>
                            <w:sz w:val="16"/>
                          </w:rPr>
                        </w:pPr>
                        <w:r>
                          <w:rPr>
                            <w:sz w:val="16"/>
                          </w:rPr>
                          <w:t>Comoros</w:t>
                        </w:r>
                      </w:p>
                    </w:tc>
                    <w:tc>
                      <w:tcPr>
                        <w:tcW w:w="1106" w:type="dxa"/>
                      </w:tcPr>
                      <w:p>
                        <w:pPr>
                          <w:pStyle w:val="TableParagraph"/>
                          <w:spacing w:before="54"/>
                          <w:ind w:left="473"/>
                          <w:rPr>
                            <w:sz w:val="16"/>
                          </w:rPr>
                        </w:pPr>
                        <w:r>
                          <w:rPr>
                            <w:sz w:val="16"/>
                          </w:rPr>
                          <w:t>60</w:t>
                        </w:r>
                      </w:p>
                    </w:tc>
                    <w:tc>
                      <w:tcPr>
                        <w:tcW w:w="1106" w:type="dxa"/>
                      </w:tcPr>
                      <w:p>
                        <w:pPr>
                          <w:pStyle w:val="TableParagraph"/>
                          <w:spacing w:before="54"/>
                          <w:ind w:left="48" w:right="40"/>
                          <w:jc w:val="center"/>
                          <w:rPr>
                            <w:sz w:val="16"/>
                          </w:rPr>
                        </w:pPr>
                        <w:r>
                          <w:rPr>
                            <w:sz w:val="16"/>
                          </w:rPr>
                          <w:t>65</w:t>
                        </w:r>
                      </w:p>
                    </w:tc>
                    <w:tc>
                      <w:tcPr>
                        <w:tcW w:w="926" w:type="dxa"/>
                      </w:tcPr>
                      <w:p>
                        <w:pPr>
                          <w:pStyle w:val="TableParagraph"/>
                          <w:spacing w:before="54"/>
                          <w:ind w:left="241" w:right="234"/>
                          <w:jc w:val="center"/>
                          <w:rPr>
                            <w:sz w:val="16"/>
                          </w:rPr>
                        </w:pPr>
                        <w:r>
                          <w:rPr>
                            <w:sz w:val="16"/>
                          </w:rPr>
                          <w:t>ES</w:t>
                        </w:r>
                      </w:p>
                    </w:tc>
                  </w:tr>
                  <w:tr>
                    <w:trPr>
                      <w:trHeight w:val="275" w:hRule="atLeast"/>
                    </w:trPr>
                    <w:tc>
                      <w:tcPr>
                        <w:tcW w:w="1315" w:type="dxa"/>
                      </w:tcPr>
                      <w:p>
                        <w:pPr>
                          <w:pStyle w:val="TableParagraph"/>
                          <w:spacing w:before="54"/>
                          <w:ind w:left="54"/>
                          <w:rPr>
                            <w:sz w:val="16"/>
                          </w:rPr>
                        </w:pPr>
                        <w:r>
                          <w:rPr>
                            <w:sz w:val="16"/>
                          </w:rPr>
                          <w:t>Congo</w:t>
                        </w:r>
                      </w:p>
                    </w:tc>
                    <w:tc>
                      <w:tcPr>
                        <w:tcW w:w="1106" w:type="dxa"/>
                      </w:tcPr>
                      <w:p>
                        <w:pPr>
                          <w:pStyle w:val="TableParagraph"/>
                          <w:spacing w:before="54"/>
                          <w:ind w:left="432"/>
                          <w:rPr>
                            <w:sz w:val="16"/>
                          </w:rPr>
                        </w:pPr>
                        <w:r>
                          <w:rPr>
                            <w:sz w:val="16"/>
                          </w:rPr>
                          <w:t>132</w:t>
                        </w:r>
                      </w:p>
                    </w:tc>
                    <w:tc>
                      <w:tcPr>
                        <w:tcW w:w="1106" w:type="dxa"/>
                      </w:tcPr>
                      <w:p>
                        <w:pPr>
                          <w:pStyle w:val="TableParagraph"/>
                          <w:spacing w:before="54"/>
                          <w:ind w:left="45" w:right="40"/>
                          <w:jc w:val="center"/>
                          <w:rPr>
                            <w:sz w:val="16"/>
                          </w:rPr>
                        </w:pPr>
                        <w:r>
                          <w:rPr>
                            <w:sz w:val="16"/>
                          </w:rPr>
                          <w:t>213</w:t>
                        </w:r>
                      </w:p>
                    </w:tc>
                    <w:tc>
                      <w:tcPr>
                        <w:tcW w:w="926" w:type="dxa"/>
                      </w:tcPr>
                      <w:p>
                        <w:pPr>
                          <w:pStyle w:val="TableParagraph"/>
                          <w:spacing w:before="54"/>
                          <w:ind w:left="242" w:right="232"/>
                          <w:jc w:val="center"/>
                          <w:rPr>
                            <w:sz w:val="16"/>
                          </w:rPr>
                        </w:pPr>
                        <w:r>
                          <w:rPr>
                            <w:sz w:val="16"/>
                          </w:rPr>
                          <w:t>EX</w:t>
                        </w:r>
                      </w:p>
                    </w:tc>
                  </w:tr>
                  <w:tr>
                    <w:trPr>
                      <w:trHeight w:val="273" w:hRule="atLeast"/>
                    </w:trPr>
                    <w:tc>
                      <w:tcPr>
                        <w:tcW w:w="1315" w:type="dxa"/>
                      </w:tcPr>
                      <w:p>
                        <w:pPr>
                          <w:pStyle w:val="TableParagraph"/>
                          <w:spacing w:before="54"/>
                          <w:ind w:left="54"/>
                          <w:rPr>
                            <w:sz w:val="16"/>
                          </w:rPr>
                        </w:pPr>
                        <w:r>
                          <w:rPr>
                            <w:sz w:val="16"/>
                          </w:rPr>
                          <w:t>Côte d'Ivoire</w:t>
                        </w:r>
                      </w:p>
                    </w:tc>
                    <w:tc>
                      <w:tcPr>
                        <w:tcW w:w="1106" w:type="dxa"/>
                      </w:tcPr>
                      <w:p>
                        <w:pPr>
                          <w:pStyle w:val="TableParagraph"/>
                          <w:spacing w:before="54"/>
                          <w:ind w:left="432"/>
                          <w:rPr>
                            <w:sz w:val="16"/>
                          </w:rPr>
                        </w:pPr>
                        <w:r>
                          <w:rPr>
                            <w:sz w:val="16"/>
                          </w:rPr>
                          <w:t>133</w:t>
                        </w:r>
                      </w:p>
                    </w:tc>
                    <w:tc>
                      <w:tcPr>
                        <w:tcW w:w="1106" w:type="dxa"/>
                      </w:tcPr>
                      <w:p>
                        <w:pPr>
                          <w:pStyle w:val="TableParagraph"/>
                          <w:spacing w:before="54"/>
                          <w:ind w:left="46" w:right="40"/>
                          <w:jc w:val="center"/>
                          <w:rPr>
                            <w:sz w:val="16"/>
                          </w:rPr>
                        </w:pPr>
                        <w:r>
                          <w:rPr>
                            <w:sz w:val="16"/>
                          </w:rPr>
                          <w:t>130</w:t>
                        </w:r>
                      </w:p>
                    </w:tc>
                    <w:tc>
                      <w:tcPr>
                        <w:tcW w:w="926" w:type="dxa"/>
                      </w:tcPr>
                      <w:p>
                        <w:pPr>
                          <w:pStyle w:val="TableParagraph"/>
                          <w:spacing w:before="54"/>
                          <w:ind w:left="242" w:right="229"/>
                          <w:jc w:val="center"/>
                          <w:rPr>
                            <w:sz w:val="16"/>
                          </w:rPr>
                        </w:pPr>
                        <w:r>
                          <w:rPr>
                            <w:sz w:val="16"/>
                          </w:rPr>
                          <w:t>PI</w:t>
                        </w:r>
                      </w:p>
                    </w:tc>
                  </w:tr>
                  <w:tr>
                    <w:trPr>
                      <w:trHeight w:val="443" w:hRule="atLeast"/>
                    </w:trPr>
                    <w:tc>
                      <w:tcPr>
                        <w:tcW w:w="1315" w:type="dxa"/>
                      </w:tcPr>
                      <w:p>
                        <w:pPr>
                          <w:pStyle w:val="TableParagraph"/>
                          <w:spacing w:before="54"/>
                          <w:ind w:left="54" w:right="133"/>
                          <w:rPr>
                            <w:sz w:val="16"/>
                          </w:rPr>
                        </w:pPr>
                        <w:r>
                          <w:rPr>
                            <w:sz w:val="16"/>
                          </w:rPr>
                          <w:t>Dem. Rep. of the Congo</w:t>
                        </w:r>
                      </w:p>
                    </w:tc>
                    <w:tc>
                      <w:tcPr>
                        <w:tcW w:w="1106" w:type="dxa"/>
                      </w:tcPr>
                      <w:p>
                        <w:pPr>
                          <w:pStyle w:val="TableParagraph"/>
                          <w:spacing w:before="124"/>
                          <w:ind w:left="431"/>
                          <w:rPr>
                            <w:sz w:val="16"/>
                          </w:rPr>
                        </w:pPr>
                        <w:r>
                          <w:rPr>
                            <w:sz w:val="16"/>
                          </w:rPr>
                          <w:t>133</w:t>
                        </w:r>
                      </w:p>
                    </w:tc>
                    <w:tc>
                      <w:tcPr>
                        <w:tcW w:w="1106" w:type="dxa"/>
                      </w:tcPr>
                      <w:p>
                        <w:pPr>
                          <w:pStyle w:val="TableParagraph"/>
                          <w:spacing w:before="124"/>
                          <w:ind w:left="45" w:right="40"/>
                          <w:jc w:val="center"/>
                          <w:rPr>
                            <w:sz w:val="16"/>
                          </w:rPr>
                        </w:pPr>
                        <w:r>
                          <w:rPr>
                            <w:sz w:val="16"/>
                          </w:rPr>
                          <w:t>225</w:t>
                        </w:r>
                      </w:p>
                    </w:tc>
                    <w:tc>
                      <w:tcPr>
                        <w:tcW w:w="926" w:type="dxa"/>
                      </w:tcPr>
                      <w:p>
                        <w:pPr>
                          <w:pStyle w:val="TableParagraph"/>
                          <w:spacing w:before="124"/>
                          <w:ind w:left="242" w:right="226"/>
                          <w:jc w:val="center"/>
                          <w:rPr>
                            <w:sz w:val="16"/>
                          </w:rPr>
                        </w:pPr>
                        <w:r>
                          <w:rPr>
                            <w:sz w:val="16"/>
                          </w:rPr>
                          <w:t>NI</w:t>
                        </w:r>
                      </w:p>
                    </w:tc>
                  </w:tr>
                  <w:tr>
                    <w:trPr>
                      <w:trHeight w:val="275" w:hRule="atLeast"/>
                    </w:trPr>
                    <w:tc>
                      <w:tcPr>
                        <w:tcW w:w="1315" w:type="dxa"/>
                      </w:tcPr>
                      <w:p>
                        <w:pPr>
                          <w:pStyle w:val="TableParagraph"/>
                          <w:spacing w:before="54"/>
                          <w:ind w:left="54"/>
                          <w:rPr>
                            <w:sz w:val="16"/>
                          </w:rPr>
                        </w:pPr>
                        <w:r>
                          <w:rPr>
                            <w:sz w:val="16"/>
                          </w:rPr>
                          <w:t>Djibouti</w:t>
                        </w:r>
                      </w:p>
                    </w:tc>
                    <w:tc>
                      <w:tcPr>
                        <w:tcW w:w="1106" w:type="dxa"/>
                      </w:tcPr>
                      <w:p>
                        <w:pPr>
                          <w:pStyle w:val="TableParagraph"/>
                          <w:spacing w:before="54"/>
                          <w:ind w:left="473"/>
                          <w:rPr>
                            <w:sz w:val="16"/>
                          </w:rPr>
                        </w:pPr>
                        <w:r>
                          <w:rPr>
                            <w:sz w:val="16"/>
                          </w:rPr>
                          <w:t>21</w:t>
                        </w:r>
                      </w:p>
                    </w:tc>
                    <w:tc>
                      <w:tcPr>
                        <w:tcW w:w="1106" w:type="dxa"/>
                      </w:tcPr>
                      <w:p>
                        <w:pPr>
                          <w:pStyle w:val="TableParagraph"/>
                          <w:spacing w:before="54"/>
                          <w:ind w:left="49" w:right="40"/>
                          <w:jc w:val="center"/>
                          <w:rPr>
                            <w:sz w:val="16"/>
                          </w:rPr>
                        </w:pPr>
                        <w:r>
                          <w:rPr>
                            <w:sz w:val="16"/>
                          </w:rPr>
                          <w:t>46</w:t>
                        </w:r>
                      </w:p>
                    </w:tc>
                    <w:tc>
                      <w:tcPr>
                        <w:tcW w:w="926" w:type="dxa"/>
                      </w:tcPr>
                      <w:p>
                        <w:pPr>
                          <w:pStyle w:val="TableParagraph"/>
                          <w:spacing w:before="54"/>
                          <w:ind w:left="242" w:right="234"/>
                          <w:jc w:val="center"/>
                          <w:rPr>
                            <w:sz w:val="16"/>
                          </w:rPr>
                        </w:pPr>
                        <w:r>
                          <w:rPr>
                            <w:sz w:val="16"/>
                          </w:rPr>
                          <w:t>ES</w:t>
                        </w:r>
                      </w:p>
                    </w:tc>
                  </w:tr>
                  <w:tr>
                    <w:trPr>
                      <w:trHeight w:val="273" w:hRule="atLeast"/>
                    </w:trPr>
                    <w:tc>
                      <w:tcPr>
                        <w:tcW w:w="1315" w:type="dxa"/>
                      </w:tcPr>
                      <w:p>
                        <w:pPr>
                          <w:pStyle w:val="TableParagraph"/>
                          <w:spacing w:before="54"/>
                          <w:ind w:left="54"/>
                          <w:rPr>
                            <w:sz w:val="16"/>
                          </w:rPr>
                        </w:pPr>
                        <w:r>
                          <w:rPr>
                            <w:sz w:val="16"/>
                          </w:rPr>
                          <w:t>Egypt</w:t>
                        </w:r>
                      </w:p>
                    </w:tc>
                    <w:tc>
                      <w:tcPr>
                        <w:tcW w:w="1106" w:type="dxa"/>
                      </w:tcPr>
                      <w:p>
                        <w:pPr>
                          <w:pStyle w:val="TableParagraph"/>
                          <w:spacing w:before="54"/>
                          <w:ind w:left="432"/>
                          <w:rPr>
                            <w:sz w:val="16"/>
                          </w:rPr>
                        </w:pPr>
                        <w:r>
                          <w:rPr>
                            <w:sz w:val="16"/>
                          </w:rPr>
                          <w:t>108</w:t>
                        </w:r>
                      </w:p>
                    </w:tc>
                    <w:tc>
                      <w:tcPr>
                        <w:tcW w:w="1106" w:type="dxa"/>
                      </w:tcPr>
                      <w:p>
                        <w:pPr>
                          <w:pStyle w:val="TableParagraph"/>
                          <w:spacing w:before="54"/>
                          <w:ind w:left="45" w:right="40"/>
                          <w:jc w:val="center"/>
                          <w:rPr>
                            <w:sz w:val="16"/>
                          </w:rPr>
                        </w:pPr>
                        <w:r>
                          <w:rPr>
                            <w:sz w:val="16"/>
                          </w:rPr>
                          <w:t>106</w:t>
                        </w:r>
                      </w:p>
                    </w:tc>
                    <w:tc>
                      <w:tcPr>
                        <w:tcW w:w="926" w:type="dxa"/>
                      </w:tcPr>
                      <w:p>
                        <w:pPr>
                          <w:pStyle w:val="TableParagraph"/>
                          <w:spacing w:before="54"/>
                          <w:ind w:left="242" w:right="234"/>
                          <w:jc w:val="center"/>
                          <w:rPr>
                            <w:sz w:val="16"/>
                          </w:rPr>
                        </w:pPr>
                        <w:r>
                          <w:rPr>
                            <w:sz w:val="16"/>
                          </w:rPr>
                          <w:t>ES</w:t>
                        </w:r>
                      </w:p>
                    </w:tc>
                  </w:tr>
                  <w:tr>
                    <w:trPr>
                      <w:trHeight w:val="273" w:hRule="atLeast"/>
                    </w:trPr>
                    <w:tc>
                      <w:tcPr>
                        <w:tcW w:w="1315" w:type="dxa"/>
                      </w:tcPr>
                      <w:p>
                        <w:pPr>
                          <w:pStyle w:val="TableParagraph"/>
                          <w:spacing w:before="54"/>
                          <w:ind w:left="54"/>
                          <w:rPr>
                            <w:sz w:val="16"/>
                          </w:rPr>
                        </w:pPr>
                        <w:r>
                          <w:rPr>
                            <w:sz w:val="16"/>
                          </w:rPr>
                          <w:t>Equatorial Guinea</w:t>
                        </w:r>
                      </w:p>
                    </w:tc>
                    <w:tc>
                      <w:tcPr>
                        <w:tcW w:w="1106" w:type="dxa"/>
                      </w:tcPr>
                      <w:p>
                        <w:pPr>
                          <w:pStyle w:val="TableParagraph"/>
                          <w:spacing w:before="54"/>
                          <w:ind w:left="474"/>
                          <w:rPr>
                            <w:sz w:val="16"/>
                          </w:rPr>
                        </w:pPr>
                        <w:r>
                          <w:rPr>
                            <w:sz w:val="16"/>
                          </w:rPr>
                          <w:t>93</w:t>
                        </w:r>
                      </w:p>
                    </w:tc>
                    <w:tc>
                      <w:tcPr>
                        <w:tcW w:w="1106" w:type="dxa"/>
                      </w:tcPr>
                      <w:p>
                        <w:pPr>
                          <w:pStyle w:val="TableParagraph"/>
                          <w:spacing w:before="54"/>
                          <w:ind w:left="47" w:right="40"/>
                          <w:jc w:val="center"/>
                          <w:rPr>
                            <w:sz w:val="16"/>
                          </w:rPr>
                        </w:pPr>
                        <w:r>
                          <w:rPr>
                            <w:sz w:val="16"/>
                          </w:rPr>
                          <w:t>158</w:t>
                        </w:r>
                      </w:p>
                    </w:tc>
                    <w:tc>
                      <w:tcPr>
                        <w:tcW w:w="926" w:type="dxa"/>
                      </w:tcPr>
                      <w:p>
                        <w:pPr>
                          <w:pStyle w:val="TableParagraph"/>
                          <w:spacing w:before="54"/>
                          <w:ind w:left="242" w:right="227"/>
                          <w:jc w:val="center"/>
                          <w:rPr>
                            <w:sz w:val="16"/>
                          </w:rPr>
                        </w:pPr>
                        <w:r>
                          <w:rPr>
                            <w:sz w:val="16"/>
                          </w:rPr>
                          <w:t>PI</w:t>
                        </w:r>
                      </w:p>
                    </w:tc>
                  </w:tr>
                  <w:tr>
                    <w:trPr>
                      <w:trHeight w:val="275" w:hRule="atLeast"/>
                    </w:trPr>
                    <w:tc>
                      <w:tcPr>
                        <w:tcW w:w="1315" w:type="dxa"/>
                      </w:tcPr>
                      <w:p>
                        <w:pPr>
                          <w:pStyle w:val="TableParagraph"/>
                          <w:spacing w:before="54"/>
                          <w:ind w:left="54"/>
                          <w:rPr>
                            <w:sz w:val="16"/>
                          </w:rPr>
                        </w:pPr>
                        <w:r>
                          <w:rPr>
                            <w:sz w:val="16"/>
                          </w:rPr>
                          <w:t>Eritrea</w:t>
                        </w:r>
                      </w:p>
                    </w:tc>
                    <w:tc>
                      <w:tcPr>
                        <w:tcW w:w="1106" w:type="dxa"/>
                      </w:tcPr>
                      <w:p>
                        <w:pPr>
                          <w:pStyle w:val="TableParagraph"/>
                          <w:spacing w:before="54"/>
                          <w:ind w:left="473"/>
                          <w:rPr>
                            <w:sz w:val="16"/>
                          </w:rPr>
                        </w:pPr>
                        <w:r>
                          <w:rPr>
                            <w:sz w:val="16"/>
                          </w:rPr>
                          <w:t>23</w:t>
                        </w:r>
                      </w:p>
                    </w:tc>
                    <w:tc>
                      <w:tcPr>
                        <w:tcW w:w="1106" w:type="dxa"/>
                      </w:tcPr>
                      <w:p>
                        <w:pPr>
                          <w:pStyle w:val="TableParagraph"/>
                          <w:spacing w:before="54"/>
                          <w:ind w:left="50" w:right="40"/>
                          <w:jc w:val="center"/>
                          <w:rPr>
                            <w:sz w:val="16"/>
                          </w:rPr>
                        </w:pPr>
                        <w:r>
                          <w:rPr>
                            <w:sz w:val="16"/>
                          </w:rPr>
                          <w:t>32</w:t>
                        </w:r>
                      </w:p>
                    </w:tc>
                    <w:tc>
                      <w:tcPr>
                        <w:tcW w:w="926" w:type="dxa"/>
                      </w:tcPr>
                      <w:p>
                        <w:pPr>
                          <w:pStyle w:val="TableParagraph"/>
                          <w:spacing w:before="54"/>
                          <w:ind w:left="242" w:right="226"/>
                          <w:jc w:val="center"/>
                          <w:rPr>
                            <w:sz w:val="16"/>
                          </w:rPr>
                        </w:pPr>
                        <w:r>
                          <w:rPr>
                            <w:sz w:val="16"/>
                          </w:rPr>
                          <w:t>NI</w:t>
                        </w:r>
                      </w:p>
                    </w:tc>
                  </w:tr>
                  <w:tr>
                    <w:trPr>
                      <w:trHeight w:val="273" w:hRule="atLeast"/>
                    </w:trPr>
                    <w:tc>
                      <w:tcPr>
                        <w:tcW w:w="1315" w:type="dxa"/>
                      </w:tcPr>
                      <w:p>
                        <w:pPr>
                          <w:pStyle w:val="TableParagraph"/>
                          <w:spacing w:before="54"/>
                          <w:ind w:left="54"/>
                          <w:rPr>
                            <w:sz w:val="16"/>
                          </w:rPr>
                        </w:pPr>
                        <w:r>
                          <w:rPr>
                            <w:sz w:val="16"/>
                          </w:rPr>
                          <w:t>Ethiopia</w:t>
                        </w:r>
                      </w:p>
                    </w:tc>
                    <w:tc>
                      <w:tcPr>
                        <w:tcW w:w="1106" w:type="dxa"/>
                      </w:tcPr>
                      <w:p>
                        <w:pPr>
                          <w:pStyle w:val="TableParagraph"/>
                          <w:spacing w:before="54"/>
                          <w:ind w:left="473"/>
                          <w:rPr>
                            <w:sz w:val="16"/>
                          </w:rPr>
                        </w:pPr>
                        <w:r>
                          <w:rPr>
                            <w:sz w:val="16"/>
                          </w:rPr>
                          <w:t>56</w:t>
                        </w:r>
                      </w:p>
                    </w:tc>
                    <w:tc>
                      <w:tcPr>
                        <w:tcW w:w="1106" w:type="dxa"/>
                      </w:tcPr>
                      <w:p>
                        <w:pPr>
                          <w:pStyle w:val="TableParagraph"/>
                          <w:spacing w:before="54"/>
                          <w:ind w:left="49" w:right="40"/>
                          <w:jc w:val="center"/>
                          <w:rPr>
                            <w:sz w:val="16"/>
                          </w:rPr>
                        </w:pPr>
                        <w:r>
                          <w:rPr>
                            <w:sz w:val="16"/>
                          </w:rPr>
                          <w:t>79</w:t>
                        </w:r>
                      </w:p>
                    </w:tc>
                    <w:tc>
                      <w:tcPr>
                        <w:tcW w:w="926" w:type="dxa"/>
                      </w:tcPr>
                      <w:p>
                        <w:pPr>
                          <w:pStyle w:val="TableParagraph"/>
                          <w:spacing w:before="54"/>
                          <w:ind w:left="242" w:right="229"/>
                          <w:jc w:val="center"/>
                          <w:rPr>
                            <w:sz w:val="16"/>
                          </w:rPr>
                        </w:pPr>
                        <w:r>
                          <w:rPr>
                            <w:sz w:val="16"/>
                          </w:rPr>
                          <w:t>PI</w:t>
                        </w:r>
                      </w:p>
                    </w:tc>
                  </w:tr>
                  <w:tr>
                    <w:trPr>
                      <w:trHeight w:val="273" w:hRule="atLeast"/>
                    </w:trPr>
                    <w:tc>
                      <w:tcPr>
                        <w:tcW w:w="1315" w:type="dxa"/>
                      </w:tcPr>
                      <w:p>
                        <w:pPr>
                          <w:pStyle w:val="TableParagraph"/>
                          <w:spacing w:before="54"/>
                          <w:ind w:left="54"/>
                          <w:rPr>
                            <w:sz w:val="16"/>
                          </w:rPr>
                        </w:pPr>
                        <w:r>
                          <w:rPr>
                            <w:sz w:val="16"/>
                          </w:rPr>
                          <w:t>Gabon</w:t>
                        </w:r>
                      </w:p>
                    </w:tc>
                    <w:tc>
                      <w:tcPr>
                        <w:tcW w:w="1106" w:type="dxa"/>
                      </w:tcPr>
                      <w:p>
                        <w:pPr>
                          <w:pStyle w:val="TableParagraph"/>
                          <w:spacing w:before="54"/>
                          <w:ind w:left="431"/>
                          <w:rPr>
                            <w:sz w:val="16"/>
                          </w:rPr>
                        </w:pPr>
                        <w:r>
                          <w:rPr>
                            <w:sz w:val="16"/>
                          </w:rPr>
                          <w:t>128</w:t>
                        </w:r>
                      </w:p>
                    </w:tc>
                    <w:tc>
                      <w:tcPr>
                        <w:tcW w:w="1106" w:type="dxa"/>
                      </w:tcPr>
                      <w:p>
                        <w:pPr>
                          <w:pStyle w:val="TableParagraph"/>
                          <w:spacing w:before="54"/>
                          <w:ind w:left="45" w:right="40"/>
                          <w:jc w:val="center"/>
                          <w:rPr>
                            <w:sz w:val="16"/>
                          </w:rPr>
                        </w:pPr>
                        <w:r>
                          <w:rPr>
                            <w:sz w:val="16"/>
                          </w:rPr>
                          <w:t>137</w:t>
                        </w:r>
                      </w:p>
                    </w:tc>
                    <w:tc>
                      <w:tcPr>
                        <w:tcW w:w="926" w:type="dxa"/>
                      </w:tcPr>
                      <w:p>
                        <w:pPr>
                          <w:pStyle w:val="TableParagraph"/>
                          <w:spacing w:before="54"/>
                          <w:ind w:left="241" w:right="234"/>
                          <w:jc w:val="center"/>
                          <w:rPr>
                            <w:sz w:val="16"/>
                          </w:rPr>
                        </w:pPr>
                        <w:r>
                          <w:rPr>
                            <w:sz w:val="16"/>
                          </w:rPr>
                          <w:t>ES</w:t>
                        </w:r>
                      </w:p>
                    </w:tc>
                  </w:tr>
                  <w:tr>
                    <w:trPr>
                      <w:trHeight w:val="275" w:hRule="atLeast"/>
                    </w:trPr>
                    <w:tc>
                      <w:tcPr>
                        <w:tcW w:w="1315" w:type="dxa"/>
                      </w:tcPr>
                      <w:p>
                        <w:pPr>
                          <w:pStyle w:val="TableParagraph"/>
                          <w:spacing w:before="54"/>
                          <w:ind w:left="54"/>
                          <w:rPr>
                            <w:sz w:val="16"/>
                          </w:rPr>
                        </w:pPr>
                        <w:r>
                          <w:rPr>
                            <w:sz w:val="16"/>
                          </w:rPr>
                          <w:t>Gambia</w:t>
                        </w:r>
                      </w:p>
                    </w:tc>
                    <w:tc>
                      <w:tcPr>
                        <w:tcW w:w="1106" w:type="dxa"/>
                      </w:tcPr>
                      <w:p>
                        <w:pPr>
                          <w:pStyle w:val="TableParagraph"/>
                          <w:spacing w:before="54"/>
                          <w:ind w:left="473"/>
                          <w:rPr>
                            <w:sz w:val="16"/>
                          </w:rPr>
                        </w:pPr>
                        <w:r>
                          <w:rPr>
                            <w:sz w:val="16"/>
                          </w:rPr>
                          <w:t>13</w:t>
                        </w:r>
                      </w:p>
                    </w:tc>
                    <w:tc>
                      <w:tcPr>
                        <w:tcW w:w="1106" w:type="dxa"/>
                      </w:tcPr>
                      <w:p>
                        <w:pPr>
                          <w:pStyle w:val="TableParagraph"/>
                          <w:spacing w:before="54"/>
                          <w:ind w:left="49" w:right="40"/>
                          <w:jc w:val="center"/>
                          <w:rPr>
                            <w:sz w:val="16"/>
                          </w:rPr>
                        </w:pPr>
                        <w:r>
                          <w:rPr>
                            <w:sz w:val="16"/>
                          </w:rPr>
                          <w:t>22</w:t>
                        </w:r>
                      </w:p>
                    </w:tc>
                    <w:tc>
                      <w:tcPr>
                        <w:tcW w:w="926" w:type="dxa"/>
                      </w:tcPr>
                      <w:p>
                        <w:pPr>
                          <w:pStyle w:val="TableParagraph"/>
                          <w:spacing w:before="54"/>
                          <w:ind w:left="242" w:right="226"/>
                          <w:jc w:val="center"/>
                          <w:rPr>
                            <w:sz w:val="16"/>
                          </w:rPr>
                        </w:pPr>
                        <w:r>
                          <w:rPr>
                            <w:sz w:val="16"/>
                          </w:rPr>
                          <w:t>NI</w:t>
                        </w:r>
                      </w:p>
                    </w:tc>
                  </w:tr>
                  <w:tr>
                    <w:trPr>
                      <w:trHeight w:val="273" w:hRule="atLeast"/>
                    </w:trPr>
                    <w:tc>
                      <w:tcPr>
                        <w:tcW w:w="1315" w:type="dxa"/>
                      </w:tcPr>
                      <w:p>
                        <w:pPr>
                          <w:pStyle w:val="TableParagraph"/>
                          <w:spacing w:before="54"/>
                          <w:ind w:left="54"/>
                          <w:rPr>
                            <w:sz w:val="16"/>
                          </w:rPr>
                        </w:pPr>
                        <w:r>
                          <w:rPr>
                            <w:sz w:val="16"/>
                          </w:rPr>
                          <w:t>Ghana</w:t>
                        </w:r>
                      </w:p>
                    </w:tc>
                    <w:tc>
                      <w:tcPr>
                        <w:tcW w:w="1106" w:type="dxa"/>
                      </w:tcPr>
                      <w:p>
                        <w:pPr>
                          <w:pStyle w:val="TableParagraph"/>
                          <w:spacing w:before="54"/>
                          <w:ind w:left="473"/>
                          <w:rPr>
                            <w:sz w:val="16"/>
                          </w:rPr>
                        </w:pPr>
                        <w:r>
                          <w:rPr>
                            <w:sz w:val="16"/>
                          </w:rPr>
                          <w:t>49</w:t>
                        </w:r>
                      </w:p>
                    </w:tc>
                    <w:tc>
                      <w:tcPr>
                        <w:tcW w:w="1106" w:type="dxa"/>
                      </w:tcPr>
                      <w:p>
                        <w:pPr>
                          <w:pStyle w:val="TableParagraph"/>
                          <w:spacing w:before="54"/>
                          <w:ind w:left="50" w:right="40"/>
                          <w:jc w:val="center"/>
                          <w:rPr>
                            <w:sz w:val="16"/>
                          </w:rPr>
                        </w:pPr>
                        <w:r>
                          <w:rPr>
                            <w:sz w:val="16"/>
                          </w:rPr>
                          <w:t>88</w:t>
                        </w:r>
                      </w:p>
                    </w:tc>
                    <w:tc>
                      <w:tcPr>
                        <w:tcW w:w="926" w:type="dxa"/>
                      </w:tcPr>
                      <w:p>
                        <w:pPr>
                          <w:pStyle w:val="TableParagraph"/>
                          <w:spacing w:before="54"/>
                          <w:ind w:left="242" w:right="233"/>
                          <w:jc w:val="center"/>
                          <w:rPr>
                            <w:sz w:val="16"/>
                          </w:rPr>
                        </w:pPr>
                        <w:r>
                          <w:rPr>
                            <w:sz w:val="16"/>
                          </w:rPr>
                          <w:t>ES</w:t>
                        </w:r>
                      </w:p>
                    </w:tc>
                  </w:tr>
                  <w:tr>
                    <w:trPr>
                      <w:trHeight w:val="273" w:hRule="atLeast"/>
                    </w:trPr>
                    <w:tc>
                      <w:tcPr>
                        <w:tcW w:w="1315" w:type="dxa"/>
                      </w:tcPr>
                      <w:p>
                        <w:pPr>
                          <w:pStyle w:val="TableParagraph"/>
                          <w:spacing w:before="54"/>
                          <w:ind w:left="54"/>
                          <w:rPr>
                            <w:sz w:val="16"/>
                          </w:rPr>
                        </w:pPr>
                        <w:r>
                          <w:rPr>
                            <w:sz w:val="16"/>
                          </w:rPr>
                          <w:t>Guinea</w:t>
                        </w:r>
                      </w:p>
                    </w:tc>
                    <w:tc>
                      <w:tcPr>
                        <w:tcW w:w="1106" w:type="dxa"/>
                      </w:tcPr>
                      <w:p>
                        <w:pPr>
                          <w:pStyle w:val="TableParagraph"/>
                          <w:spacing w:before="54"/>
                          <w:ind w:left="432"/>
                          <w:rPr>
                            <w:sz w:val="16"/>
                          </w:rPr>
                        </w:pPr>
                        <w:r>
                          <w:rPr>
                            <w:sz w:val="16"/>
                          </w:rPr>
                          <w:t>117</w:t>
                        </w:r>
                      </w:p>
                    </w:tc>
                    <w:tc>
                      <w:tcPr>
                        <w:tcW w:w="1106" w:type="dxa"/>
                      </w:tcPr>
                      <w:p>
                        <w:pPr>
                          <w:pStyle w:val="TableParagraph"/>
                          <w:spacing w:before="54"/>
                          <w:ind w:left="45" w:right="40"/>
                          <w:jc w:val="center"/>
                          <w:rPr>
                            <w:sz w:val="16"/>
                          </w:rPr>
                        </w:pPr>
                        <w:r>
                          <w:rPr>
                            <w:sz w:val="16"/>
                          </w:rPr>
                          <w:t>114</w:t>
                        </w:r>
                      </w:p>
                    </w:tc>
                    <w:tc>
                      <w:tcPr>
                        <w:tcW w:w="926" w:type="dxa"/>
                      </w:tcPr>
                      <w:p>
                        <w:pPr>
                          <w:pStyle w:val="TableParagraph"/>
                          <w:spacing w:before="54"/>
                          <w:ind w:left="242" w:right="228"/>
                          <w:jc w:val="center"/>
                          <w:rPr>
                            <w:sz w:val="16"/>
                          </w:rPr>
                        </w:pPr>
                        <w:r>
                          <w:rPr>
                            <w:sz w:val="16"/>
                          </w:rPr>
                          <w:t>PI</w:t>
                        </w:r>
                      </w:p>
                    </w:tc>
                  </w:tr>
                  <w:tr>
                    <w:trPr>
                      <w:trHeight w:val="275" w:hRule="atLeast"/>
                    </w:trPr>
                    <w:tc>
                      <w:tcPr>
                        <w:tcW w:w="1315" w:type="dxa"/>
                      </w:tcPr>
                      <w:p>
                        <w:pPr>
                          <w:pStyle w:val="TableParagraph"/>
                          <w:spacing w:before="54"/>
                          <w:ind w:left="54"/>
                          <w:rPr>
                            <w:sz w:val="16"/>
                          </w:rPr>
                        </w:pPr>
                        <w:r>
                          <w:rPr>
                            <w:sz w:val="16"/>
                          </w:rPr>
                          <w:t>Guinea-Bissau</w:t>
                        </w:r>
                      </w:p>
                    </w:tc>
                    <w:tc>
                      <w:tcPr>
                        <w:tcW w:w="1106" w:type="dxa"/>
                      </w:tcPr>
                      <w:p>
                        <w:pPr>
                          <w:pStyle w:val="TableParagraph"/>
                          <w:spacing w:before="54"/>
                          <w:ind w:left="473"/>
                          <w:rPr>
                            <w:sz w:val="16"/>
                          </w:rPr>
                        </w:pPr>
                        <w:r>
                          <w:rPr>
                            <w:sz w:val="16"/>
                          </w:rPr>
                          <w:t>19</w:t>
                        </w:r>
                      </w:p>
                    </w:tc>
                    <w:tc>
                      <w:tcPr>
                        <w:tcW w:w="1106" w:type="dxa"/>
                      </w:tcPr>
                      <w:p>
                        <w:pPr>
                          <w:pStyle w:val="TableParagraph"/>
                          <w:spacing w:before="54"/>
                          <w:ind w:left="50" w:right="40"/>
                          <w:jc w:val="center"/>
                          <w:rPr>
                            <w:sz w:val="16"/>
                          </w:rPr>
                        </w:pPr>
                        <w:r>
                          <w:rPr>
                            <w:sz w:val="16"/>
                          </w:rPr>
                          <w:t>20</w:t>
                        </w:r>
                      </w:p>
                    </w:tc>
                    <w:tc>
                      <w:tcPr>
                        <w:tcW w:w="926" w:type="dxa"/>
                      </w:tcPr>
                      <w:p>
                        <w:pPr>
                          <w:pStyle w:val="TableParagraph"/>
                          <w:spacing w:before="54"/>
                          <w:ind w:left="242" w:right="225"/>
                          <w:jc w:val="center"/>
                          <w:rPr>
                            <w:sz w:val="16"/>
                          </w:rPr>
                        </w:pPr>
                        <w:r>
                          <w:rPr>
                            <w:sz w:val="16"/>
                          </w:rPr>
                          <w:t>NI</w:t>
                        </w:r>
                      </w:p>
                    </w:tc>
                  </w:tr>
                  <w:tr>
                    <w:trPr>
                      <w:trHeight w:val="443" w:hRule="atLeast"/>
                    </w:trPr>
                    <w:tc>
                      <w:tcPr>
                        <w:tcW w:w="1315" w:type="dxa"/>
                      </w:tcPr>
                      <w:p>
                        <w:pPr>
                          <w:pStyle w:val="TableParagraph"/>
                          <w:spacing w:before="124"/>
                          <w:ind w:left="54"/>
                          <w:rPr>
                            <w:sz w:val="16"/>
                          </w:rPr>
                        </w:pPr>
                        <w:r>
                          <w:rPr>
                            <w:sz w:val="16"/>
                          </w:rPr>
                          <w:t>Kenya</w:t>
                        </w:r>
                      </w:p>
                    </w:tc>
                    <w:tc>
                      <w:tcPr>
                        <w:tcW w:w="1106" w:type="dxa"/>
                      </w:tcPr>
                      <w:p>
                        <w:pPr>
                          <w:pStyle w:val="TableParagraph"/>
                          <w:spacing w:before="124"/>
                          <w:ind w:left="473"/>
                          <w:rPr>
                            <w:sz w:val="16"/>
                          </w:rPr>
                        </w:pPr>
                        <w:r>
                          <w:rPr>
                            <w:sz w:val="16"/>
                          </w:rPr>
                          <w:t>35</w:t>
                        </w:r>
                      </w:p>
                    </w:tc>
                    <w:tc>
                      <w:tcPr>
                        <w:tcW w:w="1106" w:type="dxa"/>
                      </w:tcPr>
                      <w:p>
                        <w:pPr>
                          <w:pStyle w:val="TableParagraph"/>
                          <w:spacing w:before="124"/>
                          <w:ind w:left="48" w:right="40"/>
                          <w:jc w:val="center"/>
                          <w:rPr>
                            <w:sz w:val="16"/>
                          </w:rPr>
                        </w:pPr>
                        <w:r>
                          <w:rPr>
                            <w:sz w:val="16"/>
                          </w:rPr>
                          <w:t>48</w:t>
                        </w:r>
                      </w:p>
                    </w:tc>
                    <w:tc>
                      <w:tcPr>
                        <w:tcW w:w="926" w:type="dxa"/>
                      </w:tcPr>
                      <w:p>
                        <w:pPr>
                          <w:pStyle w:val="TableParagraph"/>
                          <w:spacing w:before="124"/>
                          <w:ind w:left="241" w:right="234"/>
                          <w:jc w:val="center"/>
                          <w:rPr>
                            <w:sz w:val="16"/>
                          </w:rPr>
                        </w:pPr>
                        <w:r>
                          <w:rPr>
                            <w:sz w:val="16"/>
                          </w:rPr>
                          <w:t>ES</w:t>
                        </w:r>
                      </w:p>
                    </w:tc>
                  </w:tr>
                  <w:tr>
                    <w:trPr>
                      <w:trHeight w:val="273" w:hRule="atLeast"/>
                    </w:trPr>
                    <w:tc>
                      <w:tcPr>
                        <w:tcW w:w="1315" w:type="dxa"/>
                      </w:tcPr>
                      <w:p>
                        <w:pPr>
                          <w:pStyle w:val="TableParagraph"/>
                          <w:spacing w:before="54"/>
                          <w:ind w:left="54"/>
                          <w:rPr>
                            <w:sz w:val="16"/>
                          </w:rPr>
                        </w:pPr>
                        <w:r>
                          <w:rPr>
                            <w:sz w:val="16"/>
                          </w:rPr>
                          <w:t>Lesotho</w:t>
                        </w:r>
                      </w:p>
                    </w:tc>
                    <w:tc>
                      <w:tcPr>
                        <w:tcW w:w="1106" w:type="dxa"/>
                      </w:tcPr>
                      <w:p>
                        <w:pPr>
                          <w:pStyle w:val="TableParagraph"/>
                          <w:spacing w:before="54"/>
                          <w:ind w:left="473"/>
                          <w:rPr>
                            <w:sz w:val="16"/>
                          </w:rPr>
                        </w:pPr>
                        <w:r>
                          <w:rPr>
                            <w:sz w:val="16"/>
                          </w:rPr>
                          <w:t>34</w:t>
                        </w:r>
                      </w:p>
                    </w:tc>
                    <w:tc>
                      <w:tcPr>
                        <w:tcW w:w="1106" w:type="dxa"/>
                      </w:tcPr>
                      <w:p>
                        <w:pPr>
                          <w:pStyle w:val="TableParagraph"/>
                          <w:spacing w:before="54"/>
                          <w:ind w:left="49" w:right="40"/>
                          <w:jc w:val="center"/>
                          <w:rPr>
                            <w:sz w:val="16"/>
                          </w:rPr>
                        </w:pPr>
                        <w:r>
                          <w:rPr>
                            <w:sz w:val="16"/>
                          </w:rPr>
                          <w:t>34</w:t>
                        </w:r>
                      </w:p>
                    </w:tc>
                    <w:tc>
                      <w:tcPr>
                        <w:tcW w:w="926" w:type="dxa"/>
                      </w:tcPr>
                      <w:p>
                        <w:pPr>
                          <w:pStyle w:val="TableParagraph"/>
                          <w:spacing w:before="54"/>
                          <w:ind w:left="242" w:right="234"/>
                          <w:jc w:val="center"/>
                          <w:rPr>
                            <w:sz w:val="16"/>
                          </w:rPr>
                        </w:pPr>
                        <w:r>
                          <w:rPr>
                            <w:sz w:val="16"/>
                          </w:rPr>
                          <w:t>ES</w:t>
                        </w:r>
                      </w:p>
                    </w:tc>
                  </w:tr>
                  <w:tr>
                    <w:trPr>
                      <w:trHeight w:val="273" w:hRule="atLeast"/>
                    </w:trPr>
                    <w:tc>
                      <w:tcPr>
                        <w:tcW w:w="1315" w:type="dxa"/>
                      </w:tcPr>
                      <w:p>
                        <w:pPr>
                          <w:pStyle w:val="TableParagraph"/>
                          <w:spacing w:before="54"/>
                          <w:ind w:left="54"/>
                          <w:rPr>
                            <w:sz w:val="16"/>
                          </w:rPr>
                        </w:pPr>
                        <w:r>
                          <w:rPr>
                            <w:sz w:val="16"/>
                          </w:rPr>
                          <w:t>Liberia</w:t>
                        </w:r>
                      </w:p>
                    </w:tc>
                    <w:tc>
                      <w:tcPr>
                        <w:tcW w:w="1106" w:type="dxa"/>
                      </w:tcPr>
                      <w:p>
                        <w:pPr>
                          <w:pStyle w:val="TableParagraph"/>
                          <w:spacing w:before="54"/>
                          <w:ind w:left="432"/>
                          <w:rPr>
                            <w:sz w:val="16"/>
                          </w:rPr>
                        </w:pPr>
                        <w:r>
                          <w:rPr>
                            <w:sz w:val="16"/>
                          </w:rPr>
                          <w:t>201</w:t>
                        </w:r>
                      </w:p>
                    </w:tc>
                    <w:tc>
                      <w:tcPr>
                        <w:tcW w:w="1106" w:type="dxa"/>
                      </w:tcPr>
                      <w:p>
                        <w:pPr>
                          <w:pStyle w:val="TableParagraph"/>
                          <w:spacing w:before="54"/>
                          <w:ind w:left="45" w:right="40"/>
                          <w:jc w:val="center"/>
                          <w:rPr>
                            <w:sz w:val="16"/>
                          </w:rPr>
                        </w:pPr>
                        <w:r>
                          <w:rPr>
                            <w:sz w:val="16"/>
                          </w:rPr>
                          <w:t>196</w:t>
                        </w:r>
                      </w:p>
                    </w:tc>
                    <w:tc>
                      <w:tcPr>
                        <w:tcW w:w="926" w:type="dxa"/>
                      </w:tcPr>
                      <w:p>
                        <w:pPr>
                          <w:pStyle w:val="TableParagraph"/>
                          <w:spacing w:before="54"/>
                          <w:ind w:left="242" w:right="234"/>
                          <w:jc w:val="center"/>
                          <w:rPr>
                            <w:sz w:val="16"/>
                          </w:rPr>
                        </w:pPr>
                        <w:r>
                          <w:rPr>
                            <w:sz w:val="16"/>
                          </w:rPr>
                          <w:t>ES</w:t>
                        </w:r>
                      </w:p>
                    </w:tc>
                  </w:tr>
                  <w:tr>
                    <w:trPr>
                      <w:trHeight w:val="446" w:hRule="atLeast"/>
                    </w:trPr>
                    <w:tc>
                      <w:tcPr>
                        <w:tcW w:w="1315" w:type="dxa"/>
                      </w:tcPr>
                      <w:p>
                        <w:pPr>
                          <w:pStyle w:val="TableParagraph"/>
                          <w:spacing w:before="54"/>
                          <w:ind w:left="54" w:right="417"/>
                          <w:rPr>
                            <w:sz w:val="16"/>
                          </w:rPr>
                        </w:pPr>
                        <w:r>
                          <w:rPr>
                            <w:sz w:val="16"/>
                          </w:rPr>
                          <w:t>Libyan Arab Jamahiriya</w:t>
                        </w:r>
                      </w:p>
                    </w:tc>
                    <w:tc>
                      <w:tcPr>
                        <w:tcW w:w="1106" w:type="dxa"/>
                      </w:tcPr>
                      <w:p>
                        <w:pPr>
                          <w:pStyle w:val="TableParagraph"/>
                          <w:spacing w:before="124"/>
                          <w:ind w:left="472"/>
                          <w:rPr>
                            <w:sz w:val="16"/>
                          </w:rPr>
                        </w:pPr>
                        <w:r>
                          <w:rPr>
                            <w:sz w:val="16"/>
                          </w:rPr>
                          <w:t>14</w:t>
                        </w:r>
                      </w:p>
                    </w:tc>
                    <w:tc>
                      <w:tcPr>
                        <w:tcW w:w="1106" w:type="dxa"/>
                      </w:tcPr>
                      <w:p>
                        <w:pPr>
                          <w:pStyle w:val="TableParagraph"/>
                          <w:spacing w:before="124"/>
                          <w:ind w:left="48" w:right="40"/>
                          <w:jc w:val="center"/>
                          <w:rPr>
                            <w:sz w:val="16"/>
                          </w:rPr>
                        </w:pPr>
                        <w:r>
                          <w:rPr>
                            <w:sz w:val="16"/>
                          </w:rPr>
                          <w:t>20</w:t>
                        </w:r>
                      </w:p>
                    </w:tc>
                    <w:tc>
                      <w:tcPr>
                        <w:tcW w:w="926" w:type="dxa"/>
                      </w:tcPr>
                      <w:p>
                        <w:pPr>
                          <w:pStyle w:val="TableParagraph"/>
                          <w:spacing w:before="124"/>
                          <w:ind w:left="242" w:right="234"/>
                          <w:jc w:val="center"/>
                          <w:rPr>
                            <w:sz w:val="16"/>
                          </w:rPr>
                        </w:pPr>
                        <w:r>
                          <w:rPr>
                            <w:sz w:val="16"/>
                          </w:rPr>
                          <w:t>ES</w:t>
                        </w:r>
                      </w:p>
                    </w:tc>
                  </w:tr>
                  <w:tr>
                    <w:trPr>
                      <w:trHeight w:val="443" w:hRule="atLeast"/>
                    </w:trPr>
                    <w:tc>
                      <w:tcPr>
                        <w:tcW w:w="4453" w:type="dxa"/>
                        <w:gridSpan w:val="4"/>
                      </w:tcPr>
                      <w:p>
                        <w:pPr>
                          <w:pStyle w:val="TableParagraph"/>
                          <w:spacing w:before="54"/>
                          <w:ind w:left="54" w:right="7"/>
                          <w:rPr>
                            <w:sz w:val="16"/>
                          </w:rPr>
                        </w:pPr>
                        <w:r>
                          <w:rPr>
                            <w:sz w:val="16"/>
                          </w:rPr>
                          <w:t>Information source: NI = National inventory; PI = Partial inventory; ES = Estimate; EX = External data (from other regions)</w:t>
                        </w:r>
                      </w:p>
                    </w:tc>
                  </w:tr>
                </w:tbl>
                <w:p>
                  <w:pPr>
                    <w:pStyle w:val="BodyText"/>
                  </w:pPr>
                </w:p>
              </w:txbxContent>
            </v:textbox>
          </v:shape>
        </w:pict>
      </w:r>
      <w:r>
        <w:rPr/>
      </w:r>
      <w:r>
        <w:rPr>
          <w:spacing w:val="41"/>
        </w:rPr>
        <w:t> </w:t>
      </w:r>
      <w:r>
        <w:rPr>
          <w:spacing w:val="41"/>
        </w:rPr>
        <w:pict>
          <v:shape style="width:223.45pt;height:620.550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8"/>
                    <w:gridCol w:w="1107"/>
                    <w:gridCol w:w="1107"/>
                    <w:gridCol w:w="925"/>
                  </w:tblGrid>
                  <w:tr>
                    <w:trPr>
                      <w:trHeight w:val="2281" w:hRule="atLeast"/>
                    </w:trPr>
                    <w:tc>
                      <w:tcPr>
                        <w:tcW w:w="4457" w:type="dxa"/>
                        <w:gridSpan w:val="4"/>
                        <w:tcBorders>
                          <w:bottom w:val="double" w:sz="1" w:space="0" w:color="000000"/>
                        </w:tcBorders>
                      </w:tcPr>
                      <w:p>
                        <w:pPr>
                          <w:pStyle w:val="TableParagraph"/>
                          <w:spacing w:before="59"/>
                          <w:ind w:left="578" w:right="487" w:firstLine="597"/>
                          <w:rPr>
                            <w:b/>
                            <w:sz w:val="14"/>
                          </w:rPr>
                        </w:pPr>
                        <w:r>
                          <w:rPr>
                            <w:b/>
                            <w:sz w:val="18"/>
                          </w:rPr>
                          <w:t>T</w:t>
                        </w:r>
                        <w:r>
                          <w:rPr>
                            <w:b/>
                            <w:sz w:val="14"/>
                          </w:rPr>
                          <w:t>ABLE </w:t>
                        </w:r>
                        <w:r>
                          <w:rPr>
                            <w:b/>
                            <w:sz w:val="18"/>
                          </w:rPr>
                          <w:t>3A.1.4 (C</w:t>
                        </w:r>
                        <w:r>
                          <w:rPr>
                            <w:b/>
                            <w:sz w:val="14"/>
                          </w:rPr>
                          <w:t>ONTINUED</w:t>
                        </w:r>
                        <w:r>
                          <w:rPr>
                            <w:b/>
                            <w:sz w:val="18"/>
                          </w:rPr>
                          <w:t>) A</w:t>
                        </w:r>
                        <w:r>
                          <w:rPr>
                            <w:b/>
                            <w:sz w:val="14"/>
                          </w:rPr>
                          <w:t>VERAGE GROWING STOCK VOLUME </w:t>
                        </w:r>
                        <w:r>
                          <w:rPr>
                            <w:b/>
                            <w:sz w:val="18"/>
                          </w:rPr>
                          <w:t>(1) </w:t>
                        </w:r>
                        <w:r>
                          <w:rPr>
                            <w:b/>
                            <w:sz w:val="14"/>
                          </w:rPr>
                          <w:t>AND</w:t>
                        </w:r>
                      </w:p>
                      <w:p>
                        <w:pPr>
                          <w:pStyle w:val="TableParagraph"/>
                          <w:spacing w:before="2"/>
                          <w:ind w:left="861" w:right="161" w:hanging="687"/>
                          <w:rPr>
                            <w:b/>
                            <w:sz w:val="18"/>
                          </w:rPr>
                        </w:pPr>
                        <w:r>
                          <w:rPr>
                            <w:b/>
                            <w:sz w:val="14"/>
                          </w:rPr>
                          <w:t>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84"/>
                          </w:numPr>
                          <w:tabs>
                            <w:tab w:pos="468" w:val="left" w:leader="none"/>
                          </w:tabs>
                          <w:spacing w:line="240" w:lineRule="auto" w:before="114" w:after="0"/>
                          <w:ind w:left="467" w:right="0" w:hanging="256"/>
                          <w:jc w:val="left"/>
                          <w:rPr>
                            <w:sz w:val="18"/>
                          </w:rPr>
                        </w:pPr>
                        <w:r>
                          <w:rPr>
                            <w:sz w:val="18"/>
                          </w:rPr>
                          <w:t>To be used for V in Equation</w:t>
                        </w:r>
                        <w:r>
                          <w:rPr>
                            <w:spacing w:val="-7"/>
                            <w:sz w:val="18"/>
                          </w:rPr>
                          <w:t> </w:t>
                        </w:r>
                        <w:r>
                          <w:rPr>
                            <w:sz w:val="18"/>
                          </w:rPr>
                          <w:t>3.2.3.</w:t>
                        </w:r>
                      </w:p>
                      <w:p>
                        <w:pPr>
                          <w:pStyle w:val="TableParagraph"/>
                          <w:numPr>
                            <w:ilvl w:val="0"/>
                            <w:numId w:val="84"/>
                          </w:numPr>
                          <w:tabs>
                            <w:tab w:pos="468" w:val="left" w:leader="none"/>
                          </w:tabs>
                          <w:spacing w:line="240" w:lineRule="auto" w:before="119" w:after="0"/>
                          <w:ind w:left="467" w:right="38" w:hanging="256"/>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3" w:hRule="atLeast"/>
                    </w:trPr>
                    <w:tc>
                      <w:tcPr>
                        <w:tcW w:w="4457" w:type="dxa"/>
                        <w:gridSpan w:val="4"/>
                        <w:tcBorders>
                          <w:top w:val="double" w:sz="1" w:space="0" w:color="000000"/>
                        </w:tcBorders>
                      </w:tcPr>
                      <w:p>
                        <w:pPr>
                          <w:pStyle w:val="TableParagraph"/>
                          <w:spacing w:before="23"/>
                          <w:ind w:left="57"/>
                          <w:rPr>
                            <w:b/>
                            <w:sz w:val="18"/>
                          </w:rPr>
                        </w:pPr>
                        <w:r>
                          <w:rPr>
                            <w:b/>
                            <w:sz w:val="18"/>
                          </w:rPr>
                          <w:t>a. AFRICA (Continued)</w:t>
                        </w:r>
                      </w:p>
                    </w:tc>
                  </w:tr>
                  <w:tr>
                    <w:trPr>
                      <w:trHeight w:val="729" w:hRule="atLeast"/>
                    </w:trPr>
                    <w:tc>
                      <w:tcPr>
                        <w:tcW w:w="1318" w:type="dxa"/>
                      </w:tcPr>
                      <w:p>
                        <w:pPr>
                          <w:pStyle w:val="TableParagraph"/>
                          <w:spacing w:before="10"/>
                          <w:rPr>
                            <w:sz w:val="22"/>
                          </w:rPr>
                        </w:pPr>
                      </w:p>
                      <w:p>
                        <w:pPr>
                          <w:pStyle w:val="TableParagraph"/>
                          <w:ind w:left="57"/>
                          <w:rPr>
                            <w:b/>
                            <w:sz w:val="16"/>
                          </w:rPr>
                        </w:pPr>
                        <w:r>
                          <w:rPr>
                            <w:b/>
                            <w:sz w:val="16"/>
                          </w:rPr>
                          <w:t>Country</w:t>
                        </w:r>
                      </w:p>
                    </w:tc>
                    <w:tc>
                      <w:tcPr>
                        <w:tcW w:w="1107" w:type="dxa"/>
                      </w:tcPr>
                      <w:p>
                        <w:pPr>
                          <w:pStyle w:val="TableParagraph"/>
                          <w:spacing w:before="35"/>
                          <w:ind w:left="49" w:right="23" w:firstLine="237"/>
                          <w:rPr>
                            <w:b/>
                            <w:sz w:val="16"/>
                          </w:rPr>
                        </w:pPr>
                        <w:r>
                          <w:rPr>
                            <w:b/>
                            <w:sz w:val="16"/>
                          </w:rPr>
                          <w:t>Volume (aboveground)</w:t>
                        </w:r>
                      </w:p>
                      <w:p>
                        <w:pPr>
                          <w:pStyle w:val="TableParagraph"/>
                          <w:spacing w:before="93"/>
                          <w:ind w:left="313"/>
                          <w:rPr>
                            <w:b/>
                            <w:sz w:val="16"/>
                          </w:rPr>
                        </w:pPr>
                        <w:r>
                          <w:rPr>
                            <w:b/>
                            <w:sz w:val="16"/>
                          </w:rPr>
                          <w:t>m</w:t>
                        </w:r>
                        <w:r>
                          <w:rPr>
                            <w:b/>
                            <w:sz w:val="16"/>
                            <w:vertAlign w:val="superscript"/>
                          </w:rPr>
                          <w:t>3</w:t>
                        </w:r>
                        <w:r>
                          <w:rPr>
                            <w:b/>
                            <w:sz w:val="16"/>
                            <w:vertAlign w:val="baseline"/>
                          </w:rPr>
                          <w:t> / ha</w:t>
                        </w:r>
                      </w:p>
                    </w:tc>
                    <w:tc>
                      <w:tcPr>
                        <w:tcW w:w="1107" w:type="dxa"/>
                      </w:tcPr>
                      <w:p>
                        <w:pPr>
                          <w:pStyle w:val="TableParagraph"/>
                          <w:spacing w:before="35"/>
                          <w:ind w:left="49" w:right="40"/>
                          <w:jc w:val="center"/>
                          <w:rPr>
                            <w:b/>
                            <w:sz w:val="16"/>
                          </w:rPr>
                        </w:pPr>
                        <w:r>
                          <w:rPr>
                            <w:b/>
                            <w:sz w:val="16"/>
                          </w:rPr>
                          <w:t>Biomass (aboveground)</w:t>
                        </w:r>
                      </w:p>
                      <w:p>
                        <w:pPr>
                          <w:pStyle w:val="TableParagraph"/>
                          <w:spacing w:before="93"/>
                          <w:ind w:left="45" w:right="40"/>
                          <w:jc w:val="center"/>
                          <w:rPr>
                            <w:b/>
                            <w:sz w:val="16"/>
                          </w:rPr>
                        </w:pPr>
                        <w:r>
                          <w:rPr>
                            <w:b/>
                            <w:sz w:val="16"/>
                          </w:rPr>
                          <w:t>t / ha</w:t>
                        </w:r>
                      </w:p>
                    </w:tc>
                    <w:tc>
                      <w:tcPr>
                        <w:tcW w:w="925" w:type="dxa"/>
                      </w:tcPr>
                      <w:p>
                        <w:pPr>
                          <w:pStyle w:val="TableParagraph"/>
                          <w:spacing w:before="35"/>
                          <w:ind w:left="219" w:right="196" w:firstLine="33"/>
                          <w:rPr>
                            <w:b/>
                            <w:sz w:val="16"/>
                          </w:rPr>
                        </w:pPr>
                        <w:r>
                          <w:rPr>
                            <w:b/>
                            <w:sz w:val="16"/>
                          </w:rPr>
                          <w:t>Infor- mation</w:t>
                        </w:r>
                      </w:p>
                      <w:p>
                        <w:pPr>
                          <w:pStyle w:val="TableParagraph"/>
                          <w:spacing w:before="93"/>
                          <w:ind w:left="221"/>
                          <w:rPr>
                            <w:b/>
                            <w:sz w:val="16"/>
                          </w:rPr>
                        </w:pPr>
                        <w:r>
                          <w:rPr>
                            <w:b/>
                            <w:sz w:val="16"/>
                          </w:rPr>
                          <w:t>Source</w:t>
                        </w:r>
                      </w:p>
                    </w:tc>
                  </w:tr>
                  <w:tr>
                    <w:trPr>
                      <w:trHeight w:val="273" w:hRule="atLeast"/>
                    </w:trPr>
                    <w:tc>
                      <w:tcPr>
                        <w:tcW w:w="1318" w:type="dxa"/>
                      </w:tcPr>
                      <w:p>
                        <w:pPr>
                          <w:pStyle w:val="TableParagraph"/>
                          <w:spacing w:before="54"/>
                          <w:ind w:left="57"/>
                          <w:rPr>
                            <w:sz w:val="16"/>
                          </w:rPr>
                        </w:pPr>
                        <w:r>
                          <w:rPr>
                            <w:sz w:val="16"/>
                          </w:rPr>
                          <w:t>Madagascar</w:t>
                        </w:r>
                      </w:p>
                    </w:tc>
                    <w:tc>
                      <w:tcPr>
                        <w:tcW w:w="1107" w:type="dxa"/>
                      </w:tcPr>
                      <w:p>
                        <w:pPr>
                          <w:pStyle w:val="TableParagraph"/>
                          <w:spacing w:before="54"/>
                          <w:ind w:left="49" w:right="40"/>
                          <w:jc w:val="center"/>
                          <w:rPr>
                            <w:sz w:val="16"/>
                          </w:rPr>
                        </w:pPr>
                        <w:r>
                          <w:rPr>
                            <w:sz w:val="16"/>
                          </w:rPr>
                          <w:t>114</w:t>
                        </w:r>
                      </w:p>
                    </w:tc>
                    <w:tc>
                      <w:tcPr>
                        <w:tcW w:w="1107" w:type="dxa"/>
                      </w:tcPr>
                      <w:p>
                        <w:pPr>
                          <w:pStyle w:val="TableParagraph"/>
                          <w:spacing w:before="54"/>
                          <w:ind w:left="47" w:right="40"/>
                          <w:jc w:val="center"/>
                          <w:rPr>
                            <w:sz w:val="16"/>
                          </w:rPr>
                        </w:pPr>
                        <w:r>
                          <w:rPr>
                            <w:sz w:val="16"/>
                          </w:rPr>
                          <w:t>194</w:t>
                        </w:r>
                      </w:p>
                    </w:tc>
                    <w:tc>
                      <w:tcPr>
                        <w:tcW w:w="925" w:type="dxa"/>
                      </w:tcPr>
                      <w:p>
                        <w:pPr>
                          <w:pStyle w:val="TableParagraph"/>
                          <w:spacing w:before="54"/>
                          <w:ind w:left="330" w:right="322"/>
                          <w:jc w:val="center"/>
                          <w:rPr>
                            <w:sz w:val="16"/>
                          </w:rPr>
                        </w:pPr>
                        <w:r>
                          <w:rPr>
                            <w:sz w:val="16"/>
                          </w:rPr>
                          <w:t>NI</w:t>
                        </w:r>
                      </w:p>
                    </w:tc>
                  </w:tr>
                  <w:tr>
                    <w:trPr>
                      <w:trHeight w:val="275" w:hRule="atLeast"/>
                    </w:trPr>
                    <w:tc>
                      <w:tcPr>
                        <w:tcW w:w="1318" w:type="dxa"/>
                      </w:tcPr>
                      <w:p>
                        <w:pPr>
                          <w:pStyle w:val="TableParagraph"/>
                          <w:spacing w:before="54"/>
                          <w:ind w:left="57"/>
                          <w:rPr>
                            <w:sz w:val="16"/>
                          </w:rPr>
                        </w:pPr>
                        <w:r>
                          <w:rPr>
                            <w:sz w:val="16"/>
                          </w:rPr>
                          <w:t>Malawi</w:t>
                        </w:r>
                      </w:p>
                    </w:tc>
                    <w:tc>
                      <w:tcPr>
                        <w:tcW w:w="1107" w:type="dxa"/>
                      </w:tcPr>
                      <w:p>
                        <w:pPr>
                          <w:pStyle w:val="TableParagraph"/>
                          <w:spacing w:before="54"/>
                          <w:ind w:left="48" w:right="40"/>
                          <w:jc w:val="center"/>
                          <w:rPr>
                            <w:sz w:val="16"/>
                          </w:rPr>
                        </w:pPr>
                        <w:r>
                          <w:rPr>
                            <w:sz w:val="16"/>
                          </w:rPr>
                          <w:t>103</w:t>
                        </w:r>
                      </w:p>
                    </w:tc>
                    <w:tc>
                      <w:tcPr>
                        <w:tcW w:w="1107" w:type="dxa"/>
                      </w:tcPr>
                      <w:p>
                        <w:pPr>
                          <w:pStyle w:val="TableParagraph"/>
                          <w:spacing w:before="54"/>
                          <w:ind w:left="46" w:right="40"/>
                          <w:jc w:val="center"/>
                          <w:rPr>
                            <w:sz w:val="16"/>
                          </w:rPr>
                        </w:pPr>
                        <w:r>
                          <w:rPr>
                            <w:sz w:val="16"/>
                          </w:rPr>
                          <w:t>143</w:t>
                        </w:r>
                      </w:p>
                    </w:tc>
                    <w:tc>
                      <w:tcPr>
                        <w:tcW w:w="925" w:type="dxa"/>
                      </w:tcPr>
                      <w:p>
                        <w:pPr>
                          <w:pStyle w:val="TableParagraph"/>
                          <w:spacing w:before="54"/>
                          <w:ind w:left="330" w:right="322"/>
                          <w:jc w:val="center"/>
                          <w:rPr>
                            <w:sz w:val="16"/>
                          </w:rPr>
                        </w:pPr>
                        <w:r>
                          <w:rPr>
                            <w:sz w:val="16"/>
                          </w:rPr>
                          <w:t>NI</w:t>
                        </w:r>
                      </w:p>
                    </w:tc>
                  </w:tr>
                  <w:tr>
                    <w:trPr>
                      <w:trHeight w:val="273" w:hRule="atLeast"/>
                    </w:trPr>
                    <w:tc>
                      <w:tcPr>
                        <w:tcW w:w="1318" w:type="dxa"/>
                      </w:tcPr>
                      <w:p>
                        <w:pPr>
                          <w:pStyle w:val="TableParagraph"/>
                          <w:spacing w:before="54"/>
                          <w:ind w:left="57"/>
                          <w:rPr>
                            <w:sz w:val="16"/>
                          </w:rPr>
                        </w:pPr>
                        <w:r>
                          <w:rPr>
                            <w:sz w:val="16"/>
                          </w:rPr>
                          <w:t>Mali</w:t>
                        </w:r>
                      </w:p>
                    </w:tc>
                    <w:tc>
                      <w:tcPr>
                        <w:tcW w:w="1107" w:type="dxa"/>
                      </w:tcPr>
                      <w:p>
                        <w:pPr>
                          <w:pStyle w:val="TableParagraph"/>
                          <w:spacing w:before="54"/>
                          <w:ind w:left="49" w:right="37"/>
                          <w:jc w:val="center"/>
                          <w:rPr>
                            <w:sz w:val="16"/>
                          </w:rPr>
                        </w:pPr>
                        <w:r>
                          <w:rPr>
                            <w:sz w:val="16"/>
                          </w:rPr>
                          <w:t>22</w:t>
                        </w:r>
                      </w:p>
                    </w:tc>
                    <w:tc>
                      <w:tcPr>
                        <w:tcW w:w="1107" w:type="dxa"/>
                      </w:tcPr>
                      <w:p>
                        <w:pPr>
                          <w:pStyle w:val="TableParagraph"/>
                          <w:spacing w:before="54"/>
                          <w:ind w:left="49" w:right="39"/>
                          <w:jc w:val="center"/>
                          <w:rPr>
                            <w:sz w:val="16"/>
                          </w:rPr>
                        </w:pPr>
                        <w:r>
                          <w:rPr>
                            <w:sz w:val="16"/>
                          </w:rPr>
                          <w:t>31</w:t>
                        </w:r>
                      </w:p>
                    </w:tc>
                    <w:tc>
                      <w:tcPr>
                        <w:tcW w:w="925" w:type="dxa"/>
                      </w:tcPr>
                      <w:p>
                        <w:pPr>
                          <w:pStyle w:val="TableParagraph"/>
                          <w:spacing w:before="54"/>
                          <w:ind w:left="330" w:right="320"/>
                          <w:jc w:val="center"/>
                          <w:rPr>
                            <w:sz w:val="16"/>
                          </w:rPr>
                        </w:pPr>
                        <w:r>
                          <w:rPr>
                            <w:sz w:val="16"/>
                          </w:rPr>
                          <w:t>PI</w:t>
                        </w:r>
                      </w:p>
                    </w:tc>
                  </w:tr>
                  <w:tr>
                    <w:trPr>
                      <w:trHeight w:val="273" w:hRule="atLeast"/>
                    </w:trPr>
                    <w:tc>
                      <w:tcPr>
                        <w:tcW w:w="1318" w:type="dxa"/>
                      </w:tcPr>
                      <w:p>
                        <w:pPr>
                          <w:pStyle w:val="TableParagraph"/>
                          <w:spacing w:before="54"/>
                          <w:ind w:left="57"/>
                          <w:rPr>
                            <w:sz w:val="16"/>
                          </w:rPr>
                        </w:pPr>
                        <w:r>
                          <w:rPr>
                            <w:sz w:val="16"/>
                          </w:rPr>
                          <w:t>Mauritania</w:t>
                        </w:r>
                      </w:p>
                    </w:tc>
                    <w:tc>
                      <w:tcPr>
                        <w:tcW w:w="1107" w:type="dxa"/>
                      </w:tcPr>
                      <w:p>
                        <w:pPr>
                          <w:pStyle w:val="TableParagraph"/>
                          <w:spacing w:before="54"/>
                          <w:ind w:left="10"/>
                          <w:jc w:val="center"/>
                          <w:rPr>
                            <w:sz w:val="16"/>
                          </w:rPr>
                        </w:pPr>
                        <w:r>
                          <w:rPr>
                            <w:w w:val="100"/>
                            <w:sz w:val="16"/>
                          </w:rPr>
                          <w:t>4</w:t>
                        </w:r>
                      </w:p>
                    </w:tc>
                    <w:tc>
                      <w:tcPr>
                        <w:tcW w:w="1107" w:type="dxa"/>
                      </w:tcPr>
                      <w:p>
                        <w:pPr>
                          <w:pStyle w:val="TableParagraph"/>
                          <w:spacing w:before="54"/>
                          <w:ind w:left="9"/>
                          <w:jc w:val="center"/>
                          <w:rPr>
                            <w:sz w:val="16"/>
                          </w:rPr>
                        </w:pPr>
                        <w:r>
                          <w:rPr>
                            <w:w w:val="100"/>
                            <w:sz w:val="16"/>
                          </w:rPr>
                          <w:t>6</w:t>
                        </w:r>
                      </w:p>
                    </w:tc>
                    <w:tc>
                      <w:tcPr>
                        <w:tcW w:w="925" w:type="dxa"/>
                      </w:tcPr>
                      <w:p>
                        <w:pPr>
                          <w:pStyle w:val="TableParagraph"/>
                          <w:spacing w:before="54"/>
                          <w:ind w:left="330" w:right="326"/>
                          <w:jc w:val="center"/>
                          <w:rPr>
                            <w:sz w:val="16"/>
                          </w:rPr>
                        </w:pPr>
                        <w:r>
                          <w:rPr>
                            <w:sz w:val="16"/>
                          </w:rPr>
                          <w:t>ES</w:t>
                        </w:r>
                      </w:p>
                    </w:tc>
                  </w:tr>
                  <w:tr>
                    <w:trPr>
                      <w:trHeight w:val="275" w:hRule="atLeast"/>
                    </w:trPr>
                    <w:tc>
                      <w:tcPr>
                        <w:tcW w:w="1318" w:type="dxa"/>
                      </w:tcPr>
                      <w:p>
                        <w:pPr>
                          <w:pStyle w:val="TableParagraph"/>
                          <w:spacing w:before="54"/>
                          <w:ind w:left="57"/>
                          <w:rPr>
                            <w:sz w:val="16"/>
                          </w:rPr>
                        </w:pPr>
                        <w:r>
                          <w:rPr>
                            <w:sz w:val="16"/>
                          </w:rPr>
                          <w:t>Mauritius</w:t>
                        </w:r>
                      </w:p>
                    </w:tc>
                    <w:tc>
                      <w:tcPr>
                        <w:tcW w:w="1107" w:type="dxa"/>
                      </w:tcPr>
                      <w:p>
                        <w:pPr>
                          <w:pStyle w:val="TableParagraph"/>
                          <w:spacing w:before="54"/>
                          <w:ind w:left="49" w:right="38"/>
                          <w:jc w:val="center"/>
                          <w:rPr>
                            <w:sz w:val="16"/>
                          </w:rPr>
                        </w:pPr>
                        <w:r>
                          <w:rPr>
                            <w:sz w:val="16"/>
                          </w:rPr>
                          <w:t>88</w:t>
                        </w:r>
                      </w:p>
                    </w:tc>
                    <w:tc>
                      <w:tcPr>
                        <w:tcW w:w="1107" w:type="dxa"/>
                      </w:tcPr>
                      <w:p>
                        <w:pPr>
                          <w:pStyle w:val="TableParagraph"/>
                          <w:spacing w:before="54"/>
                          <w:ind w:left="49" w:right="40"/>
                          <w:jc w:val="center"/>
                          <w:rPr>
                            <w:sz w:val="16"/>
                          </w:rPr>
                        </w:pPr>
                        <w:r>
                          <w:rPr>
                            <w:sz w:val="16"/>
                          </w:rPr>
                          <w:t>95</w:t>
                        </w:r>
                      </w:p>
                    </w:tc>
                    <w:tc>
                      <w:tcPr>
                        <w:tcW w:w="925" w:type="dxa"/>
                      </w:tcPr>
                      <w:p>
                        <w:pPr>
                          <w:pStyle w:val="TableParagraph"/>
                          <w:spacing w:before="54"/>
                          <w:ind w:left="330" w:right="326"/>
                          <w:jc w:val="center"/>
                          <w:rPr>
                            <w:sz w:val="16"/>
                          </w:rPr>
                        </w:pPr>
                        <w:r>
                          <w:rPr>
                            <w:sz w:val="16"/>
                          </w:rPr>
                          <w:t>ES</w:t>
                        </w:r>
                      </w:p>
                    </w:tc>
                  </w:tr>
                  <w:tr>
                    <w:trPr>
                      <w:trHeight w:val="273" w:hRule="atLeast"/>
                    </w:trPr>
                    <w:tc>
                      <w:tcPr>
                        <w:tcW w:w="1318" w:type="dxa"/>
                      </w:tcPr>
                      <w:p>
                        <w:pPr>
                          <w:pStyle w:val="TableParagraph"/>
                          <w:spacing w:before="54"/>
                          <w:ind w:left="57"/>
                          <w:rPr>
                            <w:sz w:val="16"/>
                          </w:rPr>
                        </w:pPr>
                        <w:r>
                          <w:rPr>
                            <w:sz w:val="16"/>
                          </w:rPr>
                          <w:t>Morocco</w:t>
                        </w:r>
                      </w:p>
                    </w:tc>
                    <w:tc>
                      <w:tcPr>
                        <w:tcW w:w="1107" w:type="dxa"/>
                      </w:tcPr>
                      <w:p>
                        <w:pPr>
                          <w:pStyle w:val="TableParagraph"/>
                          <w:spacing w:before="54"/>
                          <w:ind w:left="49" w:right="37"/>
                          <w:jc w:val="center"/>
                          <w:rPr>
                            <w:sz w:val="16"/>
                          </w:rPr>
                        </w:pPr>
                        <w:r>
                          <w:rPr>
                            <w:sz w:val="16"/>
                          </w:rPr>
                          <w:t>27</w:t>
                        </w:r>
                      </w:p>
                    </w:tc>
                    <w:tc>
                      <w:tcPr>
                        <w:tcW w:w="1107" w:type="dxa"/>
                      </w:tcPr>
                      <w:p>
                        <w:pPr>
                          <w:pStyle w:val="TableParagraph"/>
                          <w:spacing w:before="54"/>
                          <w:ind w:left="49" w:right="38"/>
                          <w:jc w:val="center"/>
                          <w:rPr>
                            <w:sz w:val="16"/>
                          </w:rPr>
                        </w:pPr>
                        <w:r>
                          <w:rPr>
                            <w:sz w:val="16"/>
                          </w:rPr>
                          <w:t>41</w:t>
                        </w:r>
                      </w:p>
                    </w:tc>
                    <w:tc>
                      <w:tcPr>
                        <w:tcW w:w="925" w:type="dxa"/>
                      </w:tcPr>
                      <w:p>
                        <w:pPr>
                          <w:pStyle w:val="TableParagraph"/>
                          <w:spacing w:before="54"/>
                          <w:ind w:left="330" w:right="322"/>
                          <w:jc w:val="center"/>
                          <w:rPr>
                            <w:sz w:val="16"/>
                          </w:rPr>
                        </w:pPr>
                        <w:r>
                          <w:rPr>
                            <w:sz w:val="16"/>
                          </w:rPr>
                          <w:t>NI</w:t>
                        </w:r>
                      </w:p>
                    </w:tc>
                  </w:tr>
                  <w:tr>
                    <w:trPr>
                      <w:trHeight w:val="273" w:hRule="atLeast"/>
                    </w:trPr>
                    <w:tc>
                      <w:tcPr>
                        <w:tcW w:w="1318" w:type="dxa"/>
                      </w:tcPr>
                      <w:p>
                        <w:pPr>
                          <w:pStyle w:val="TableParagraph"/>
                          <w:spacing w:before="54"/>
                          <w:ind w:left="57"/>
                          <w:rPr>
                            <w:sz w:val="16"/>
                          </w:rPr>
                        </w:pPr>
                        <w:r>
                          <w:rPr>
                            <w:sz w:val="16"/>
                          </w:rPr>
                          <w:t>Mozambique</w:t>
                        </w:r>
                      </w:p>
                    </w:tc>
                    <w:tc>
                      <w:tcPr>
                        <w:tcW w:w="1107" w:type="dxa"/>
                      </w:tcPr>
                      <w:p>
                        <w:pPr>
                          <w:pStyle w:val="TableParagraph"/>
                          <w:spacing w:before="54"/>
                          <w:ind w:left="49" w:right="37"/>
                          <w:jc w:val="center"/>
                          <w:rPr>
                            <w:sz w:val="16"/>
                          </w:rPr>
                        </w:pPr>
                        <w:r>
                          <w:rPr>
                            <w:sz w:val="16"/>
                          </w:rPr>
                          <w:t>25</w:t>
                        </w:r>
                      </w:p>
                    </w:tc>
                    <w:tc>
                      <w:tcPr>
                        <w:tcW w:w="1107" w:type="dxa"/>
                      </w:tcPr>
                      <w:p>
                        <w:pPr>
                          <w:pStyle w:val="TableParagraph"/>
                          <w:spacing w:before="54"/>
                          <w:ind w:left="49" w:right="38"/>
                          <w:jc w:val="center"/>
                          <w:rPr>
                            <w:sz w:val="16"/>
                          </w:rPr>
                        </w:pPr>
                        <w:r>
                          <w:rPr>
                            <w:sz w:val="16"/>
                          </w:rPr>
                          <w:t>55</w:t>
                        </w:r>
                      </w:p>
                    </w:tc>
                    <w:tc>
                      <w:tcPr>
                        <w:tcW w:w="925" w:type="dxa"/>
                      </w:tcPr>
                      <w:p>
                        <w:pPr>
                          <w:pStyle w:val="TableParagraph"/>
                          <w:spacing w:before="54"/>
                          <w:ind w:left="330" w:right="322"/>
                          <w:jc w:val="center"/>
                          <w:rPr>
                            <w:sz w:val="16"/>
                          </w:rPr>
                        </w:pPr>
                        <w:r>
                          <w:rPr>
                            <w:sz w:val="16"/>
                          </w:rPr>
                          <w:t>NI</w:t>
                        </w:r>
                      </w:p>
                    </w:tc>
                  </w:tr>
                  <w:tr>
                    <w:trPr>
                      <w:trHeight w:val="275" w:hRule="atLeast"/>
                    </w:trPr>
                    <w:tc>
                      <w:tcPr>
                        <w:tcW w:w="1318" w:type="dxa"/>
                      </w:tcPr>
                      <w:p>
                        <w:pPr>
                          <w:pStyle w:val="TableParagraph"/>
                          <w:spacing w:before="54"/>
                          <w:ind w:left="57"/>
                          <w:rPr>
                            <w:sz w:val="16"/>
                          </w:rPr>
                        </w:pPr>
                        <w:r>
                          <w:rPr>
                            <w:sz w:val="16"/>
                          </w:rPr>
                          <w:t>Namibia</w:t>
                        </w:r>
                      </w:p>
                    </w:tc>
                    <w:tc>
                      <w:tcPr>
                        <w:tcW w:w="1107" w:type="dxa"/>
                      </w:tcPr>
                      <w:p>
                        <w:pPr>
                          <w:pStyle w:val="TableParagraph"/>
                          <w:spacing w:before="54"/>
                          <w:ind w:left="10"/>
                          <w:jc w:val="center"/>
                          <w:rPr>
                            <w:sz w:val="16"/>
                          </w:rPr>
                        </w:pPr>
                        <w:r>
                          <w:rPr>
                            <w:w w:val="100"/>
                            <w:sz w:val="16"/>
                          </w:rPr>
                          <w:t>7</w:t>
                        </w:r>
                      </w:p>
                    </w:tc>
                    <w:tc>
                      <w:tcPr>
                        <w:tcW w:w="1107" w:type="dxa"/>
                      </w:tcPr>
                      <w:p>
                        <w:pPr>
                          <w:pStyle w:val="TableParagraph"/>
                          <w:spacing w:before="54"/>
                          <w:ind w:left="49" w:right="39"/>
                          <w:jc w:val="center"/>
                          <w:rPr>
                            <w:sz w:val="16"/>
                          </w:rPr>
                        </w:pPr>
                        <w:r>
                          <w:rPr>
                            <w:sz w:val="16"/>
                          </w:rPr>
                          <w:t>12</w:t>
                        </w:r>
                      </w:p>
                    </w:tc>
                    <w:tc>
                      <w:tcPr>
                        <w:tcW w:w="925" w:type="dxa"/>
                      </w:tcPr>
                      <w:p>
                        <w:pPr>
                          <w:pStyle w:val="TableParagraph"/>
                          <w:spacing w:before="54"/>
                          <w:ind w:left="330" w:right="321"/>
                          <w:jc w:val="center"/>
                          <w:rPr>
                            <w:sz w:val="16"/>
                          </w:rPr>
                        </w:pPr>
                        <w:r>
                          <w:rPr>
                            <w:sz w:val="16"/>
                          </w:rPr>
                          <w:t>PI</w:t>
                        </w:r>
                      </w:p>
                    </w:tc>
                  </w:tr>
                  <w:tr>
                    <w:trPr>
                      <w:trHeight w:val="443" w:hRule="atLeast"/>
                    </w:trPr>
                    <w:tc>
                      <w:tcPr>
                        <w:tcW w:w="1318" w:type="dxa"/>
                      </w:tcPr>
                      <w:p>
                        <w:pPr>
                          <w:pStyle w:val="TableParagraph"/>
                          <w:spacing w:before="124"/>
                          <w:ind w:left="57"/>
                          <w:rPr>
                            <w:sz w:val="16"/>
                          </w:rPr>
                        </w:pPr>
                        <w:r>
                          <w:rPr>
                            <w:sz w:val="16"/>
                          </w:rPr>
                          <w:t>Niger</w:t>
                        </w:r>
                      </w:p>
                    </w:tc>
                    <w:tc>
                      <w:tcPr>
                        <w:tcW w:w="1107" w:type="dxa"/>
                      </w:tcPr>
                      <w:p>
                        <w:pPr>
                          <w:pStyle w:val="TableParagraph"/>
                          <w:spacing w:before="124"/>
                          <w:ind w:left="9"/>
                          <w:jc w:val="center"/>
                          <w:rPr>
                            <w:sz w:val="16"/>
                          </w:rPr>
                        </w:pPr>
                        <w:r>
                          <w:rPr>
                            <w:w w:val="100"/>
                            <w:sz w:val="16"/>
                          </w:rPr>
                          <w:t>3</w:t>
                        </w:r>
                      </w:p>
                    </w:tc>
                    <w:tc>
                      <w:tcPr>
                        <w:tcW w:w="1107" w:type="dxa"/>
                      </w:tcPr>
                      <w:p>
                        <w:pPr>
                          <w:pStyle w:val="TableParagraph"/>
                          <w:spacing w:before="124"/>
                          <w:ind w:left="8"/>
                          <w:jc w:val="center"/>
                          <w:rPr>
                            <w:sz w:val="16"/>
                          </w:rPr>
                        </w:pPr>
                        <w:r>
                          <w:rPr>
                            <w:w w:val="100"/>
                            <w:sz w:val="16"/>
                          </w:rPr>
                          <w:t>4</w:t>
                        </w:r>
                      </w:p>
                    </w:tc>
                    <w:tc>
                      <w:tcPr>
                        <w:tcW w:w="925" w:type="dxa"/>
                      </w:tcPr>
                      <w:p>
                        <w:pPr>
                          <w:pStyle w:val="TableParagraph"/>
                          <w:spacing w:before="124"/>
                          <w:ind w:left="330" w:right="320"/>
                          <w:jc w:val="center"/>
                          <w:rPr>
                            <w:sz w:val="16"/>
                          </w:rPr>
                        </w:pPr>
                        <w:r>
                          <w:rPr>
                            <w:sz w:val="16"/>
                          </w:rPr>
                          <w:t>PI</w:t>
                        </w:r>
                      </w:p>
                    </w:tc>
                  </w:tr>
                  <w:tr>
                    <w:trPr>
                      <w:trHeight w:val="273" w:hRule="atLeast"/>
                    </w:trPr>
                    <w:tc>
                      <w:tcPr>
                        <w:tcW w:w="1318" w:type="dxa"/>
                      </w:tcPr>
                      <w:p>
                        <w:pPr>
                          <w:pStyle w:val="TableParagraph"/>
                          <w:spacing w:before="54"/>
                          <w:ind w:left="57"/>
                          <w:rPr>
                            <w:sz w:val="16"/>
                          </w:rPr>
                        </w:pPr>
                        <w:r>
                          <w:rPr>
                            <w:sz w:val="16"/>
                          </w:rPr>
                          <w:t>Nigeria</w:t>
                        </w:r>
                      </w:p>
                    </w:tc>
                    <w:tc>
                      <w:tcPr>
                        <w:tcW w:w="1107" w:type="dxa"/>
                      </w:tcPr>
                      <w:p>
                        <w:pPr>
                          <w:pStyle w:val="TableParagraph"/>
                          <w:spacing w:before="54"/>
                          <w:ind w:left="49" w:right="38"/>
                          <w:jc w:val="center"/>
                          <w:rPr>
                            <w:sz w:val="16"/>
                          </w:rPr>
                        </w:pPr>
                        <w:r>
                          <w:rPr>
                            <w:sz w:val="16"/>
                          </w:rPr>
                          <w:t>82</w:t>
                        </w:r>
                      </w:p>
                    </w:tc>
                    <w:tc>
                      <w:tcPr>
                        <w:tcW w:w="1107" w:type="dxa"/>
                      </w:tcPr>
                      <w:p>
                        <w:pPr>
                          <w:pStyle w:val="TableParagraph"/>
                          <w:spacing w:before="54"/>
                          <w:ind w:left="46" w:right="40"/>
                          <w:jc w:val="center"/>
                          <w:rPr>
                            <w:sz w:val="16"/>
                          </w:rPr>
                        </w:pPr>
                        <w:r>
                          <w:rPr>
                            <w:sz w:val="16"/>
                          </w:rPr>
                          <w:t>184</w:t>
                        </w:r>
                      </w:p>
                    </w:tc>
                    <w:tc>
                      <w:tcPr>
                        <w:tcW w:w="925" w:type="dxa"/>
                      </w:tcPr>
                      <w:p>
                        <w:pPr>
                          <w:pStyle w:val="TableParagraph"/>
                          <w:spacing w:before="54"/>
                          <w:ind w:left="330" w:right="327"/>
                          <w:jc w:val="center"/>
                          <w:rPr>
                            <w:sz w:val="16"/>
                          </w:rPr>
                        </w:pPr>
                        <w:r>
                          <w:rPr>
                            <w:sz w:val="16"/>
                          </w:rPr>
                          <w:t>ES</w:t>
                        </w:r>
                      </w:p>
                    </w:tc>
                  </w:tr>
                  <w:tr>
                    <w:trPr>
                      <w:trHeight w:val="273" w:hRule="atLeast"/>
                    </w:trPr>
                    <w:tc>
                      <w:tcPr>
                        <w:tcW w:w="1318" w:type="dxa"/>
                      </w:tcPr>
                      <w:p>
                        <w:pPr>
                          <w:pStyle w:val="TableParagraph"/>
                          <w:spacing w:before="54"/>
                          <w:ind w:left="57"/>
                          <w:rPr>
                            <w:sz w:val="16"/>
                          </w:rPr>
                        </w:pPr>
                        <w:r>
                          <w:rPr>
                            <w:sz w:val="16"/>
                          </w:rPr>
                          <w:t>Réunion</w:t>
                        </w:r>
                      </w:p>
                    </w:tc>
                    <w:tc>
                      <w:tcPr>
                        <w:tcW w:w="1107" w:type="dxa"/>
                      </w:tcPr>
                      <w:p>
                        <w:pPr>
                          <w:pStyle w:val="TableParagraph"/>
                          <w:spacing w:before="54"/>
                          <w:ind w:left="47" w:right="40"/>
                          <w:jc w:val="center"/>
                          <w:rPr>
                            <w:sz w:val="16"/>
                          </w:rPr>
                        </w:pPr>
                        <w:r>
                          <w:rPr>
                            <w:sz w:val="16"/>
                          </w:rPr>
                          <w:t>115</w:t>
                        </w:r>
                      </w:p>
                    </w:tc>
                    <w:tc>
                      <w:tcPr>
                        <w:tcW w:w="1107" w:type="dxa"/>
                      </w:tcPr>
                      <w:p>
                        <w:pPr>
                          <w:pStyle w:val="TableParagraph"/>
                          <w:spacing w:before="54"/>
                          <w:ind w:left="46" w:right="40"/>
                          <w:jc w:val="center"/>
                          <w:rPr>
                            <w:sz w:val="16"/>
                          </w:rPr>
                        </w:pPr>
                        <w:r>
                          <w:rPr>
                            <w:sz w:val="16"/>
                          </w:rPr>
                          <w:t>160</w:t>
                        </w:r>
                      </w:p>
                    </w:tc>
                    <w:tc>
                      <w:tcPr>
                        <w:tcW w:w="925" w:type="dxa"/>
                      </w:tcPr>
                      <w:p>
                        <w:pPr>
                          <w:pStyle w:val="TableParagraph"/>
                          <w:spacing w:before="54"/>
                          <w:ind w:left="330" w:right="327"/>
                          <w:jc w:val="center"/>
                          <w:rPr>
                            <w:sz w:val="16"/>
                          </w:rPr>
                        </w:pPr>
                        <w:r>
                          <w:rPr>
                            <w:sz w:val="16"/>
                          </w:rPr>
                          <w:t>ES</w:t>
                        </w:r>
                      </w:p>
                    </w:tc>
                  </w:tr>
                  <w:tr>
                    <w:trPr>
                      <w:trHeight w:val="275" w:hRule="atLeast"/>
                    </w:trPr>
                    <w:tc>
                      <w:tcPr>
                        <w:tcW w:w="1318" w:type="dxa"/>
                      </w:tcPr>
                      <w:p>
                        <w:pPr>
                          <w:pStyle w:val="TableParagraph"/>
                          <w:spacing w:before="54"/>
                          <w:ind w:left="57"/>
                          <w:rPr>
                            <w:sz w:val="16"/>
                          </w:rPr>
                        </w:pPr>
                        <w:r>
                          <w:rPr>
                            <w:sz w:val="16"/>
                          </w:rPr>
                          <w:t>Rwanda</w:t>
                        </w:r>
                      </w:p>
                    </w:tc>
                    <w:tc>
                      <w:tcPr>
                        <w:tcW w:w="1107" w:type="dxa"/>
                      </w:tcPr>
                      <w:p>
                        <w:pPr>
                          <w:pStyle w:val="TableParagraph"/>
                          <w:spacing w:before="54"/>
                          <w:ind w:left="48" w:right="40"/>
                          <w:jc w:val="center"/>
                          <w:rPr>
                            <w:sz w:val="16"/>
                          </w:rPr>
                        </w:pPr>
                        <w:r>
                          <w:rPr>
                            <w:sz w:val="16"/>
                          </w:rPr>
                          <w:t>110</w:t>
                        </w:r>
                      </w:p>
                    </w:tc>
                    <w:tc>
                      <w:tcPr>
                        <w:tcW w:w="1107" w:type="dxa"/>
                      </w:tcPr>
                      <w:p>
                        <w:pPr>
                          <w:pStyle w:val="TableParagraph"/>
                          <w:spacing w:before="54"/>
                          <w:ind w:left="47" w:right="40"/>
                          <w:jc w:val="center"/>
                          <w:rPr>
                            <w:sz w:val="16"/>
                          </w:rPr>
                        </w:pPr>
                        <w:r>
                          <w:rPr>
                            <w:sz w:val="16"/>
                          </w:rPr>
                          <w:t>187</w:t>
                        </w:r>
                      </w:p>
                    </w:tc>
                    <w:tc>
                      <w:tcPr>
                        <w:tcW w:w="925" w:type="dxa"/>
                      </w:tcPr>
                      <w:p>
                        <w:pPr>
                          <w:pStyle w:val="TableParagraph"/>
                          <w:spacing w:before="54"/>
                          <w:ind w:left="330" w:right="326"/>
                          <w:jc w:val="center"/>
                          <w:rPr>
                            <w:sz w:val="16"/>
                          </w:rPr>
                        </w:pPr>
                        <w:r>
                          <w:rPr>
                            <w:sz w:val="16"/>
                          </w:rPr>
                          <w:t>ES</w:t>
                        </w:r>
                      </w:p>
                    </w:tc>
                  </w:tr>
                  <w:tr>
                    <w:trPr>
                      <w:trHeight w:val="273" w:hRule="atLeast"/>
                    </w:trPr>
                    <w:tc>
                      <w:tcPr>
                        <w:tcW w:w="1318" w:type="dxa"/>
                      </w:tcPr>
                      <w:p>
                        <w:pPr>
                          <w:pStyle w:val="TableParagraph"/>
                          <w:spacing w:before="54"/>
                          <w:ind w:left="57"/>
                          <w:rPr>
                            <w:sz w:val="16"/>
                          </w:rPr>
                        </w:pPr>
                        <w:r>
                          <w:rPr>
                            <w:sz w:val="16"/>
                          </w:rPr>
                          <w:t>Saint Helena</w:t>
                        </w:r>
                      </w:p>
                    </w:tc>
                    <w:tc>
                      <w:tcPr>
                        <w:tcW w:w="1107" w:type="dxa"/>
                      </w:tcPr>
                      <w:p>
                        <w:pPr>
                          <w:pStyle w:val="TableParagraph"/>
                          <w:rPr>
                            <w:sz w:val="16"/>
                          </w:rPr>
                        </w:pPr>
                      </w:p>
                    </w:tc>
                    <w:tc>
                      <w:tcPr>
                        <w:tcW w:w="1107" w:type="dxa"/>
                      </w:tcPr>
                      <w:p>
                        <w:pPr>
                          <w:pStyle w:val="TableParagraph"/>
                          <w:rPr>
                            <w:sz w:val="16"/>
                          </w:rPr>
                        </w:pPr>
                      </w:p>
                    </w:tc>
                    <w:tc>
                      <w:tcPr>
                        <w:tcW w:w="925" w:type="dxa"/>
                      </w:tcPr>
                      <w:p>
                        <w:pPr>
                          <w:pStyle w:val="TableParagraph"/>
                          <w:rPr>
                            <w:sz w:val="16"/>
                          </w:rPr>
                        </w:pPr>
                      </w:p>
                    </w:tc>
                  </w:tr>
                  <w:tr>
                    <w:trPr>
                      <w:trHeight w:val="443" w:hRule="atLeast"/>
                    </w:trPr>
                    <w:tc>
                      <w:tcPr>
                        <w:tcW w:w="1318" w:type="dxa"/>
                      </w:tcPr>
                      <w:p>
                        <w:pPr>
                          <w:pStyle w:val="TableParagraph"/>
                          <w:spacing w:before="54"/>
                          <w:ind w:left="57" w:right="306"/>
                          <w:rPr>
                            <w:sz w:val="16"/>
                          </w:rPr>
                        </w:pPr>
                        <w:r>
                          <w:rPr>
                            <w:sz w:val="16"/>
                          </w:rPr>
                          <w:t>Sao Tome and Principe</w:t>
                        </w:r>
                      </w:p>
                    </w:tc>
                    <w:tc>
                      <w:tcPr>
                        <w:tcW w:w="1107" w:type="dxa"/>
                      </w:tcPr>
                      <w:p>
                        <w:pPr>
                          <w:pStyle w:val="TableParagraph"/>
                          <w:spacing w:before="124"/>
                          <w:ind w:left="47" w:right="40"/>
                          <w:jc w:val="center"/>
                          <w:rPr>
                            <w:sz w:val="16"/>
                          </w:rPr>
                        </w:pPr>
                        <w:r>
                          <w:rPr>
                            <w:sz w:val="16"/>
                          </w:rPr>
                          <w:t>108</w:t>
                        </w:r>
                      </w:p>
                    </w:tc>
                    <w:tc>
                      <w:tcPr>
                        <w:tcW w:w="1107" w:type="dxa"/>
                      </w:tcPr>
                      <w:p>
                        <w:pPr>
                          <w:pStyle w:val="TableParagraph"/>
                          <w:spacing w:before="124"/>
                          <w:ind w:left="46" w:right="40"/>
                          <w:jc w:val="center"/>
                          <w:rPr>
                            <w:sz w:val="16"/>
                          </w:rPr>
                        </w:pPr>
                        <w:r>
                          <w:rPr>
                            <w:sz w:val="16"/>
                          </w:rPr>
                          <w:t>116</w:t>
                        </w:r>
                      </w:p>
                    </w:tc>
                    <w:tc>
                      <w:tcPr>
                        <w:tcW w:w="925" w:type="dxa"/>
                      </w:tcPr>
                      <w:p>
                        <w:pPr>
                          <w:pStyle w:val="TableParagraph"/>
                          <w:spacing w:before="124"/>
                          <w:ind w:left="330" w:right="323"/>
                          <w:jc w:val="center"/>
                          <w:rPr>
                            <w:sz w:val="16"/>
                          </w:rPr>
                        </w:pPr>
                        <w:r>
                          <w:rPr>
                            <w:sz w:val="16"/>
                          </w:rPr>
                          <w:t>NI</w:t>
                        </w:r>
                      </w:p>
                    </w:tc>
                  </w:tr>
                  <w:tr>
                    <w:trPr>
                      <w:trHeight w:val="275" w:hRule="atLeast"/>
                    </w:trPr>
                    <w:tc>
                      <w:tcPr>
                        <w:tcW w:w="1318" w:type="dxa"/>
                      </w:tcPr>
                      <w:p>
                        <w:pPr>
                          <w:pStyle w:val="TableParagraph"/>
                          <w:spacing w:before="54"/>
                          <w:ind w:left="57"/>
                          <w:rPr>
                            <w:sz w:val="16"/>
                          </w:rPr>
                        </w:pPr>
                        <w:r>
                          <w:rPr>
                            <w:sz w:val="16"/>
                          </w:rPr>
                          <w:t>Senegal</w:t>
                        </w:r>
                      </w:p>
                    </w:tc>
                    <w:tc>
                      <w:tcPr>
                        <w:tcW w:w="1107" w:type="dxa"/>
                      </w:tcPr>
                      <w:p>
                        <w:pPr>
                          <w:pStyle w:val="TableParagraph"/>
                          <w:spacing w:before="54"/>
                          <w:ind w:left="49" w:right="38"/>
                          <w:jc w:val="center"/>
                          <w:rPr>
                            <w:sz w:val="16"/>
                          </w:rPr>
                        </w:pPr>
                        <w:r>
                          <w:rPr>
                            <w:sz w:val="16"/>
                          </w:rPr>
                          <w:t>31</w:t>
                        </w:r>
                      </w:p>
                    </w:tc>
                    <w:tc>
                      <w:tcPr>
                        <w:tcW w:w="1107" w:type="dxa"/>
                      </w:tcPr>
                      <w:p>
                        <w:pPr>
                          <w:pStyle w:val="TableParagraph"/>
                          <w:spacing w:before="54"/>
                          <w:ind w:left="49" w:right="39"/>
                          <w:jc w:val="center"/>
                          <w:rPr>
                            <w:sz w:val="16"/>
                          </w:rPr>
                        </w:pPr>
                        <w:r>
                          <w:rPr>
                            <w:sz w:val="16"/>
                          </w:rPr>
                          <w:t>30</w:t>
                        </w:r>
                      </w:p>
                    </w:tc>
                    <w:tc>
                      <w:tcPr>
                        <w:tcW w:w="925" w:type="dxa"/>
                      </w:tcPr>
                      <w:p>
                        <w:pPr>
                          <w:pStyle w:val="TableParagraph"/>
                          <w:spacing w:before="54"/>
                          <w:ind w:left="330" w:right="322"/>
                          <w:jc w:val="center"/>
                          <w:rPr>
                            <w:sz w:val="16"/>
                          </w:rPr>
                        </w:pPr>
                        <w:r>
                          <w:rPr>
                            <w:sz w:val="16"/>
                          </w:rPr>
                          <w:t>NI</w:t>
                        </w:r>
                      </w:p>
                    </w:tc>
                  </w:tr>
                  <w:tr>
                    <w:trPr>
                      <w:trHeight w:val="273" w:hRule="atLeast"/>
                    </w:trPr>
                    <w:tc>
                      <w:tcPr>
                        <w:tcW w:w="1318" w:type="dxa"/>
                      </w:tcPr>
                      <w:p>
                        <w:pPr>
                          <w:pStyle w:val="TableParagraph"/>
                          <w:spacing w:before="54"/>
                          <w:ind w:left="57"/>
                          <w:rPr>
                            <w:sz w:val="16"/>
                          </w:rPr>
                        </w:pPr>
                        <w:r>
                          <w:rPr>
                            <w:sz w:val="16"/>
                          </w:rPr>
                          <w:t>Seychelles</w:t>
                        </w:r>
                      </w:p>
                    </w:tc>
                    <w:tc>
                      <w:tcPr>
                        <w:tcW w:w="1107" w:type="dxa"/>
                      </w:tcPr>
                      <w:p>
                        <w:pPr>
                          <w:pStyle w:val="TableParagraph"/>
                          <w:spacing w:before="54"/>
                          <w:ind w:left="49" w:right="38"/>
                          <w:jc w:val="center"/>
                          <w:rPr>
                            <w:sz w:val="16"/>
                          </w:rPr>
                        </w:pPr>
                        <w:r>
                          <w:rPr>
                            <w:sz w:val="16"/>
                          </w:rPr>
                          <w:t>29</w:t>
                        </w:r>
                      </w:p>
                    </w:tc>
                    <w:tc>
                      <w:tcPr>
                        <w:tcW w:w="1107" w:type="dxa"/>
                      </w:tcPr>
                      <w:p>
                        <w:pPr>
                          <w:pStyle w:val="TableParagraph"/>
                          <w:spacing w:before="54"/>
                          <w:ind w:left="49" w:right="40"/>
                          <w:jc w:val="center"/>
                          <w:rPr>
                            <w:sz w:val="16"/>
                          </w:rPr>
                        </w:pPr>
                        <w:r>
                          <w:rPr>
                            <w:sz w:val="16"/>
                          </w:rPr>
                          <w:t>49</w:t>
                        </w:r>
                      </w:p>
                    </w:tc>
                    <w:tc>
                      <w:tcPr>
                        <w:tcW w:w="925" w:type="dxa"/>
                      </w:tcPr>
                      <w:p>
                        <w:pPr>
                          <w:pStyle w:val="TableParagraph"/>
                          <w:spacing w:before="54"/>
                          <w:ind w:left="330" w:right="326"/>
                          <w:jc w:val="center"/>
                          <w:rPr>
                            <w:sz w:val="16"/>
                          </w:rPr>
                        </w:pPr>
                        <w:r>
                          <w:rPr>
                            <w:sz w:val="16"/>
                          </w:rPr>
                          <w:t>ES</w:t>
                        </w:r>
                      </w:p>
                    </w:tc>
                  </w:tr>
                  <w:tr>
                    <w:trPr>
                      <w:trHeight w:val="273" w:hRule="atLeast"/>
                    </w:trPr>
                    <w:tc>
                      <w:tcPr>
                        <w:tcW w:w="1318" w:type="dxa"/>
                      </w:tcPr>
                      <w:p>
                        <w:pPr>
                          <w:pStyle w:val="TableParagraph"/>
                          <w:spacing w:before="54"/>
                          <w:ind w:left="57"/>
                          <w:rPr>
                            <w:sz w:val="16"/>
                          </w:rPr>
                        </w:pPr>
                        <w:r>
                          <w:rPr>
                            <w:sz w:val="16"/>
                          </w:rPr>
                          <w:t>Sierra Leone</w:t>
                        </w:r>
                      </w:p>
                    </w:tc>
                    <w:tc>
                      <w:tcPr>
                        <w:tcW w:w="1107" w:type="dxa"/>
                      </w:tcPr>
                      <w:p>
                        <w:pPr>
                          <w:pStyle w:val="TableParagraph"/>
                          <w:spacing w:before="54"/>
                          <w:ind w:left="47" w:right="40"/>
                          <w:jc w:val="center"/>
                          <w:rPr>
                            <w:sz w:val="16"/>
                          </w:rPr>
                        </w:pPr>
                        <w:r>
                          <w:rPr>
                            <w:sz w:val="16"/>
                          </w:rPr>
                          <w:t>143</w:t>
                        </w:r>
                      </w:p>
                    </w:tc>
                    <w:tc>
                      <w:tcPr>
                        <w:tcW w:w="1107" w:type="dxa"/>
                      </w:tcPr>
                      <w:p>
                        <w:pPr>
                          <w:pStyle w:val="TableParagraph"/>
                          <w:spacing w:before="54"/>
                          <w:ind w:left="46" w:right="40"/>
                          <w:jc w:val="center"/>
                          <w:rPr>
                            <w:sz w:val="16"/>
                          </w:rPr>
                        </w:pPr>
                        <w:r>
                          <w:rPr>
                            <w:sz w:val="16"/>
                          </w:rPr>
                          <w:t>139</w:t>
                        </w:r>
                      </w:p>
                    </w:tc>
                    <w:tc>
                      <w:tcPr>
                        <w:tcW w:w="925" w:type="dxa"/>
                      </w:tcPr>
                      <w:p>
                        <w:pPr>
                          <w:pStyle w:val="TableParagraph"/>
                          <w:spacing w:before="54"/>
                          <w:ind w:left="330" w:right="326"/>
                          <w:jc w:val="center"/>
                          <w:rPr>
                            <w:sz w:val="16"/>
                          </w:rPr>
                        </w:pPr>
                        <w:r>
                          <w:rPr>
                            <w:sz w:val="16"/>
                          </w:rPr>
                          <w:t>ES</w:t>
                        </w:r>
                      </w:p>
                    </w:tc>
                  </w:tr>
                  <w:tr>
                    <w:trPr>
                      <w:trHeight w:val="275" w:hRule="atLeast"/>
                    </w:trPr>
                    <w:tc>
                      <w:tcPr>
                        <w:tcW w:w="1318" w:type="dxa"/>
                      </w:tcPr>
                      <w:p>
                        <w:pPr>
                          <w:pStyle w:val="TableParagraph"/>
                          <w:spacing w:before="54"/>
                          <w:ind w:left="57"/>
                          <w:rPr>
                            <w:sz w:val="16"/>
                          </w:rPr>
                        </w:pPr>
                        <w:r>
                          <w:rPr>
                            <w:sz w:val="16"/>
                          </w:rPr>
                          <w:t>Somalia</w:t>
                        </w:r>
                      </w:p>
                    </w:tc>
                    <w:tc>
                      <w:tcPr>
                        <w:tcW w:w="1107" w:type="dxa"/>
                      </w:tcPr>
                      <w:p>
                        <w:pPr>
                          <w:pStyle w:val="TableParagraph"/>
                          <w:spacing w:before="54"/>
                          <w:ind w:left="49" w:right="38"/>
                          <w:jc w:val="center"/>
                          <w:rPr>
                            <w:sz w:val="16"/>
                          </w:rPr>
                        </w:pPr>
                        <w:r>
                          <w:rPr>
                            <w:sz w:val="16"/>
                          </w:rPr>
                          <w:t>18</w:t>
                        </w:r>
                      </w:p>
                    </w:tc>
                    <w:tc>
                      <w:tcPr>
                        <w:tcW w:w="1107" w:type="dxa"/>
                      </w:tcPr>
                      <w:p>
                        <w:pPr>
                          <w:pStyle w:val="TableParagraph"/>
                          <w:spacing w:before="54"/>
                          <w:ind w:left="49" w:right="39"/>
                          <w:jc w:val="center"/>
                          <w:rPr>
                            <w:sz w:val="16"/>
                          </w:rPr>
                        </w:pPr>
                        <w:r>
                          <w:rPr>
                            <w:sz w:val="16"/>
                          </w:rPr>
                          <w:t>26</w:t>
                        </w:r>
                      </w:p>
                    </w:tc>
                    <w:tc>
                      <w:tcPr>
                        <w:tcW w:w="925" w:type="dxa"/>
                      </w:tcPr>
                      <w:p>
                        <w:pPr>
                          <w:pStyle w:val="TableParagraph"/>
                          <w:spacing w:before="54"/>
                          <w:ind w:left="330" w:right="326"/>
                          <w:jc w:val="center"/>
                          <w:rPr>
                            <w:sz w:val="16"/>
                          </w:rPr>
                        </w:pPr>
                        <w:r>
                          <w:rPr>
                            <w:sz w:val="16"/>
                          </w:rPr>
                          <w:t>ES</w:t>
                        </w:r>
                      </w:p>
                    </w:tc>
                  </w:tr>
                  <w:tr>
                    <w:trPr>
                      <w:trHeight w:val="273" w:hRule="atLeast"/>
                    </w:trPr>
                    <w:tc>
                      <w:tcPr>
                        <w:tcW w:w="1318" w:type="dxa"/>
                      </w:tcPr>
                      <w:p>
                        <w:pPr>
                          <w:pStyle w:val="TableParagraph"/>
                          <w:spacing w:before="54"/>
                          <w:ind w:left="56"/>
                          <w:rPr>
                            <w:sz w:val="16"/>
                          </w:rPr>
                        </w:pPr>
                        <w:r>
                          <w:rPr>
                            <w:sz w:val="16"/>
                          </w:rPr>
                          <w:t>South Africa</w:t>
                        </w:r>
                      </w:p>
                    </w:tc>
                    <w:tc>
                      <w:tcPr>
                        <w:tcW w:w="1107" w:type="dxa"/>
                      </w:tcPr>
                      <w:p>
                        <w:pPr>
                          <w:pStyle w:val="TableParagraph"/>
                          <w:spacing w:before="54"/>
                          <w:ind w:left="49" w:right="39"/>
                          <w:jc w:val="center"/>
                          <w:rPr>
                            <w:sz w:val="16"/>
                          </w:rPr>
                        </w:pPr>
                        <w:r>
                          <w:rPr>
                            <w:sz w:val="16"/>
                          </w:rPr>
                          <w:t>49</w:t>
                        </w:r>
                      </w:p>
                    </w:tc>
                    <w:tc>
                      <w:tcPr>
                        <w:tcW w:w="1107" w:type="dxa"/>
                      </w:tcPr>
                      <w:p>
                        <w:pPr>
                          <w:pStyle w:val="TableParagraph"/>
                          <w:spacing w:before="54"/>
                          <w:ind w:left="48" w:right="40"/>
                          <w:jc w:val="center"/>
                          <w:rPr>
                            <w:sz w:val="16"/>
                          </w:rPr>
                        </w:pPr>
                        <w:r>
                          <w:rPr>
                            <w:sz w:val="16"/>
                          </w:rPr>
                          <w:t>81</w:t>
                        </w:r>
                      </w:p>
                    </w:tc>
                    <w:tc>
                      <w:tcPr>
                        <w:tcW w:w="925" w:type="dxa"/>
                      </w:tcPr>
                      <w:p>
                        <w:pPr>
                          <w:pStyle w:val="TableParagraph"/>
                          <w:spacing w:before="54"/>
                          <w:ind w:left="330" w:right="330"/>
                          <w:jc w:val="center"/>
                          <w:rPr>
                            <w:sz w:val="16"/>
                          </w:rPr>
                        </w:pPr>
                        <w:r>
                          <w:rPr>
                            <w:sz w:val="16"/>
                          </w:rPr>
                          <w:t>EX</w:t>
                        </w:r>
                      </w:p>
                    </w:tc>
                  </w:tr>
                  <w:tr>
                    <w:trPr>
                      <w:trHeight w:val="273" w:hRule="atLeast"/>
                    </w:trPr>
                    <w:tc>
                      <w:tcPr>
                        <w:tcW w:w="1318" w:type="dxa"/>
                      </w:tcPr>
                      <w:p>
                        <w:pPr>
                          <w:pStyle w:val="TableParagraph"/>
                          <w:spacing w:before="54"/>
                          <w:ind w:left="57"/>
                          <w:rPr>
                            <w:sz w:val="16"/>
                          </w:rPr>
                        </w:pPr>
                        <w:r>
                          <w:rPr>
                            <w:sz w:val="16"/>
                          </w:rPr>
                          <w:t>Sudan</w:t>
                        </w:r>
                      </w:p>
                    </w:tc>
                    <w:tc>
                      <w:tcPr>
                        <w:tcW w:w="1107" w:type="dxa"/>
                      </w:tcPr>
                      <w:p>
                        <w:pPr>
                          <w:pStyle w:val="TableParagraph"/>
                          <w:spacing w:before="54"/>
                          <w:ind w:left="9"/>
                          <w:jc w:val="center"/>
                          <w:rPr>
                            <w:sz w:val="16"/>
                          </w:rPr>
                        </w:pPr>
                        <w:r>
                          <w:rPr>
                            <w:w w:val="100"/>
                            <w:sz w:val="16"/>
                          </w:rPr>
                          <w:t>9</w:t>
                        </w:r>
                      </w:p>
                    </w:tc>
                    <w:tc>
                      <w:tcPr>
                        <w:tcW w:w="1107" w:type="dxa"/>
                      </w:tcPr>
                      <w:p>
                        <w:pPr>
                          <w:pStyle w:val="TableParagraph"/>
                          <w:spacing w:before="54"/>
                          <w:ind w:left="49" w:right="40"/>
                          <w:jc w:val="center"/>
                          <w:rPr>
                            <w:sz w:val="16"/>
                          </w:rPr>
                        </w:pPr>
                        <w:r>
                          <w:rPr>
                            <w:sz w:val="16"/>
                          </w:rPr>
                          <w:t>12</w:t>
                        </w:r>
                      </w:p>
                    </w:tc>
                    <w:tc>
                      <w:tcPr>
                        <w:tcW w:w="925" w:type="dxa"/>
                      </w:tcPr>
                      <w:p>
                        <w:pPr>
                          <w:pStyle w:val="TableParagraph"/>
                          <w:spacing w:before="54"/>
                          <w:ind w:left="330" w:right="327"/>
                          <w:jc w:val="center"/>
                          <w:rPr>
                            <w:sz w:val="16"/>
                          </w:rPr>
                        </w:pPr>
                        <w:r>
                          <w:rPr>
                            <w:sz w:val="16"/>
                          </w:rPr>
                          <w:t>ES</w:t>
                        </w:r>
                      </w:p>
                    </w:tc>
                  </w:tr>
                  <w:tr>
                    <w:trPr>
                      <w:trHeight w:val="275" w:hRule="atLeast"/>
                    </w:trPr>
                    <w:tc>
                      <w:tcPr>
                        <w:tcW w:w="1318" w:type="dxa"/>
                      </w:tcPr>
                      <w:p>
                        <w:pPr>
                          <w:pStyle w:val="TableParagraph"/>
                          <w:spacing w:before="54"/>
                          <w:ind w:left="57"/>
                          <w:rPr>
                            <w:sz w:val="16"/>
                          </w:rPr>
                        </w:pPr>
                        <w:r>
                          <w:rPr>
                            <w:sz w:val="16"/>
                          </w:rPr>
                          <w:t>Swaziland</w:t>
                        </w:r>
                      </w:p>
                    </w:tc>
                    <w:tc>
                      <w:tcPr>
                        <w:tcW w:w="1107" w:type="dxa"/>
                      </w:tcPr>
                      <w:p>
                        <w:pPr>
                          <w:pStyle w:val="TableParagraph"/>
                          <w:spacing w:before="54"/>
                          <w:ind w:left="49" w:right="36"/>
                          <w:jc w:val="center"/>
                          <w:rPr>
                            <w:sz w:val="16"/>
                          </w:rPr>
                        </w:pPr>
                        <w:r>
                          <w:rPr>
                            <w:sz w:val="16"/>
                          </w:rPr>
                          <w:t>39</w:t>
                        </w:r>
                      </w:p>
                    </w:tc>
                    <w:tc>
                      <w:tcPr>
                        <w:tcW w:w="1107" w:type="dxa"/>
                      </w:tcPr>
                      <w:p>
                        <w:pPr>
                          <w:pStyle w:val="TableParagraph"/>
                          <w:spacing w:before="54"/>
                          <w:ind w:left="48" w:right="40"/>
                          <w:jc w:val="center"/>
                          <w:rPr>
                            <w:sz w:val="16"/>
                          </w:rPr>
                        </w:pPr>
                        <w:r>
                          <w:rPr>
                            <w:sz w:val="16"/>
                          </w:rPr>
                          <w:t>115</w:t>
                        </w:r>
                      </w:p>
                    </w:tc>
                    <w:tc>
                      <w:tcPr>
                        <w:tcW w:w="925" w:type="dxa"/>
                      </w:tcPr>
                      <w:p>
                        <w:pPr>
                          <w:pStyle w:val="TableParagraph"/>
                          <w:spacing w:before="54"/>
                          <w:ind w:left="330" w:right="322"/>
                          <w:jc w:val="center"/>
                          <w:rPr>
                            <w:sz w:val="16"/>
                          </w:rPr>
                        </w:pPr>
                        <w:r>
                          <w:rPr>
                            <w:sz w:val="16"/>
                          </w:rPr>
                          <w:t>NI</w:t>
                        </w:r>
                      </w:p>
                    </w:tc>
                  </w:tr>
                  <w:tr>
                    <w:trPr>
                      <w:trHeight w:val="273" w:hRule="atLeast"/>
                    </w:trPr>
                    <w:tc>
                      <w:tcPr>
                        <w:tcW w:w="1318" w:type="dxa"/>
                      </w:tcPr>
                      <w:p>
                        <w:pPr>
                          <w:pStyle w:val="TableParagraph"/>
                          <w:spacing w:before="54"/>
                          <w:ind w:left="58"/>
                          <w:rPr>
                            <w:sz w:val="16"/>
                          </w:rPr>
                        </w:pPr>
                        <w:r>
                          <w:rPr>
                            <w:sz w:val="16"/>
                          </w:rPr>
                          <w:t>Togo</w:t>
                        </w:r>
                      </w:p>
                    </w:tc>
                    <w:tc>
                      <w:tcPr>
                        <w:tcW w:w="1107" w:type="dxa"/>
                      </w:tcPr>
                      <w:p>
                        <w:pPr>
                          <w:pStyle w:val="TableParagraph"/>
                          <w:spacing w:before="54"/>
                          <w:ind w:left="49" w:right="37"/>
                          <w:jc w:val="center"/>
                          <w:rPr>
                            <w:sz w:val="16"/>
                          </w:rPr>
                        </w:pPr>
                        <w:r>
                          <w:rPr>
                            <w:sz w:val="16"/>
                          </w:rPr>
                          <w:t>92</w:t>
                        </w:r>
                      </w:p>
                    </w:tc>
                    <w:tc>
                      <w:tcPr>
                        <w:tcW w:w="1107" w:type="dxa"/>
                      </w:tcPr>
                      <w:p>
                        <w:pPr>
                          <w:pStyle w:val="TableParagraph"/>
                          <w:spacing w:before="54"/>
                          <w:ind w:left="47" w:right="40"/>
                          <w:jc w:val="center"/>
                          <w:rPr>
                            <w:sz w:val="16"/>
                          </w:rPr>
                        </w:pPr>
                        <w:r>
                          <w:rPr>
                            <w:sz w:val="16"/>
                          </w:rPr>
                          <w:t>155</w:t>
                        </w:r>
                      </w:p>
                    </w:tc>
                    <w:tc>
                      <w:tcPr>
                        <w:tcW w:w="925" w:type="dxa"/>
                      </w:tcPr>
                      <w:p>
                        <w:pPr>
                          <w:pStyle w:val="TableParagraph"/>
                          <w:spacing w:before="54"/>
                          <w:ind w:left="330" w:right="320"/>
                          <w:jc w:val="center"/>
                          <w:rPr>
                            <w:sz w:val="16"/>
                          </w:rPr>
                        </w:pPr>
                        <w:r>
                          <w:rPr>
                            <w:sz w:val="16"/>
                          </w:rPr>
                          <w:t>PI</w:t>
                        </w:r>
                      </w:p>
                    </w:tc>
                  </w:tr>
                  <w:tr>
                    <w:trPr>
                      <w:trHeight w:val="273" w:hRule="atLeast"/>
                    </w:trPr>
                    <w:tc>
                      <w:tcPr>
                        <w:tcW w:w="1318" w:type="dxa"/>
                      </w:tcPr>
                      <w:p>
                        <w:pPr>
                          <w:pStyle w:val="TableParagraph"/>
                          <w:spacing w:before="54"/>
                          <w:ind w:left="57"/>
                          <w:rPr>
                            <w:sz w:val="16"/>
                          </w:rPr>
                        </w:pPr>
                        <w:r>
                          <w:rPr>
                            <w:sz w:val="16"/>
                          </w:rPr>
                          <w:t>Tunisia</w:t>
                        </w:r>
                      </w:p>
                    </w:tc>
                    <w:tc>
                      <w:tcPr>
                        <w:tcW w:w="1107" w:type="dxa"/>
                      </w:tcPr>
                      <w:p>
                        <w:pPr>
                          <w:pStyle w:val="TableParagraph"/>
                          <w:spacing w:before="54"/>
                          <w:ind w:left="49" w:right="37"/>
                          <w:jc w:val="center"/>
                          <w:rPr>
                            <w:sz w:val="16"/>
                          </w:rPr>
                        </w:pPr>
                        <w:r>
                          <w:rPr>
                            <w:sz w:val="16"/>
                          </w:rPr>
                          <w:t>18</w:t>
                        </w:r>
                      </w:p>
                    </w:tc>
                    <w:tc>
                      <w:tcPr>
                        <w:tcW w:w="1107" w:type="dxa"/>
                      </w:tcPr>
                      <w:p>
                        <w:pPr>
                          <w:pStyle w:val="TableParagraph"/>
                          <w:spacing w:before="54"/>
                          <w:ind w:left="49" w:right="39"/>
                          <w:jc w:val="center"/>
                          <w:rPr>
                            <w:sz w:val="16"/>
                          </w:rPr>
                        </w:pPr>
                        <w:r>
                          <w:rPr>
                            <w:sz w:val="16"/>
                          </w:rPr>
                          <w:t>27</w:t>
                        </w:r>
                      </w:p>
                    </w:tc>
                    <w:tc>
                      <w:tcPr>
                        <w:tcW w:w="925" w:type="dxa"/>
                      </w:tcPr>
                      <w:p>
                        <w:pPr>
                          <w:pStyle w:val="TableParagraph"/>
                          <w:spacing w:before="54"/>
                          <w:ind w:left="330" w:right="322"/>
                          <w:jc w:val="center"/>
                          <w:rPr>
                            <w:sz w:val="16"/>
                          </w:rPr>
                        </w:pPr>
                        <w:r>
                          <w:rPr>
                            <w:sz w:val="16"/>
                          </w:rPr>
                          <w:t>NI</w:t>
                        </w:r>
                      </w:p>
                    </w:tc>
                  </w:tr>
                  <w:tr>
                    <w:trPr>
                      <w:trHeight w:val="275" w:hRule="atLeast"/>
                    </w:trPr>
                    <w:tc>
                      <w:tcPr>
                        <w:tcW w:w="1318" w:type="dxa"/>
                      </w:tcPr>
                      <w:p>
                        <w:pPr>
                          <w:pStyle w:val="TableParagraph"/>
                          <w:spacing w:before="54"/>
                          <w:ind w:left="58"/>
                          <w:rPr>
                            <w:sz w:val="16"/>
                          </w:rPr>
                        </w:pPr>
                        <w:r>
                          <w:rPr>
                            <w:sz w:val="16"/>
                          </w:rPr>
                          <w:t>Uganda</w:t>
                        </w:r>
                      </w:p>
                    </w:tc>
                    <w:tc>
                      <w:tcPr>
                        <w:tcW w:w="1107" w:type="dxa"/>
                      </w:tcPr>
                      <w:p>
                        <w:pPr>
                          <w:pStyle w:val="TableParagraph"/>
                          <w:spacing w:before="54"/>
                          <w:ind w:left="49" w:right="40"/>
                          <w:jc w:val="center"/>
                          <w:rPr>
                            <w:sz w:val="16"/>
                          </w:rPr>
                        </w:pPr>
                        <w:r>
                          <w:rPr>
                            <w:sz w:val="16"/>
                          </w:rPr>
                          <w:t>133</w:t>
                        </w:r>
                      </w:p>
                    </w:tc>
                    <w:tc>
                      <w:tcPr>
                        <w:tcW w:w="1107" w:type="dxa"/>
                      </w:tcPr>
                      <w:p>
                        <w:pPr>
                          <w:pStyle w:val="TableParagraph"/>
                          <w:spacing w:before="54"/>
                          <w:ind w:left="48" w:right="40"/>
                          <w:jc w:val="center"/>
                          <w:rPr>
                            <w:sz w:val="16"/>
                          </w:rPr>
                        </w:pPr>
                        <w:r>
                          <w:rPr>
                            <w:sz w:val="16"/>
                          </w:rPr>
                          <w:t>163</w:t>
                        </w:r>
                      </w:p>
                    </w:tc>
                    <w:tc>
                      <w:tcPr>
                        <w:tcW w:w="925" w:type="dxa"/>
                      </w:tcPr>
                      <w:p>
                        <w:pPr>
                          <w:pStyle w:val="TableParagraph"/>
                          <w:spacing w:before="54"/>
                          <w:ind w:left="330" w:right="321"/>
                          <w:jc w:val="center"/>
                          <w:rPr>
                            <w:sz w:val="16"/>
                          </w:rPr>
                        </w:pPr>
                        <w:r>
                          <w:rPr>
                            <w:sz w:val="16"/>
                          </w:rPr>
                          <w:t>NI</w:t>
                        </w:r>
                      </w:p>
                    </w:tc>
                  </w:tr>
                  <w:tr>
                    <w:trPr>
                      <w:trHeight w:val="443" w:hRule="atLeast"/>
                    </w:trPr>
                    <w:tc>
                      <w:tcPr>
                        <w:tcW w:w="1318" w:type="dxa"/>
                      </w:tcPr>
                      <w:p>
                        <w:pPr>
                          <w:pStyle w:val="TableParagraph"/>
                          <w:spacing w:before="54"/>
                          <w:ind w:left="57" w:right="4"/>
                          <w:rPr>
                            <w:sz w:val="16"/>
                          </w:rPr>
                        </w:pPr>
                        <w:r>
                          <w:rPr>
                            <w:sz w:val="16"/>
                          </w:rPr>
                          <w:t>United Republic of Tanzania</w:t>
                        </w:r>
                      </w:p>
                    </w:tc>
                    <w:tc>
                      <w:tcPr>
                        <w:tcW w:w="1107" w:type="dxa"/>
                      </w:tcPr>
                      <w:p>
                        <w:pPr>
                          <w:pStyle w:val="TableParagraph"/>
                          <w:spacing w:before="124"/>
                          <w:ind w:left="49" w:right="39"/>
                          <w:jc w:val="center"/>
                          <w:rPr>
                            <w:sz w:val="16"/>
                          </w:rPr>
                        </w:pPr>
                        <w:r>
                          <w:rPr>
                            <w:sz w:val="16"/>
                          </w:rPr>
                          <w:t>43</w:t>
                        </w:r>
                      </w:p>
                    </w:tc>
                    <w:tc>
                      <w:tcPr>
                        <w:tcW w:w="1107" w:type="dxa"/>
                      </w:tcPr>
                      <w:p>
                        <w:pPr>
                          <w:pStyle w:val="TableParagraph"/>
                          <w:spacing w:before="124"/>
                          <w:ind w:left="49" w:right="40"/>
                          <w:jc w:val="center"/>
                          <w:rPr>
                            <w:sz w:val="16"/>
                          </w:rPr>
                        </w:pPr>
                        <w:r>
                          <w:rPr>
                            <w:sz w:val="16"/>
                          </w:rPr>
                          <w:t>60</w:t>
                        </w:r>
                      </w:p>
                    </w:tc>
                    <w:tc>
                      <w:tcPr>
                        <w:tcW w:w="925" w:type="dxa"/>
                      </w:tcPr>
                      <w:p>
                        <w:pPr>
                          <w:pStyle w:val="TableParagraph"/>
                          <w:spacing w:before="124"/>
                          <w:ind w:left="330" w:right="323"/>
                          <w:jc w:val="center"/>
                          <w:rPr>
                            <w:sz w:val="16"/>
                          </w:rPr>
                        </w:pPr>
                        <w:r>
                          <w:rPr>
                            <w:sz w:val="16"/>
                          </w:rPr>
                          <w:t>NI</w:t>
                        </w:r>
                      </w:p>
                    </w:tc>
                  </w:tr>
                  <w:tr>
                    <w:trPr>
                      <w:trHeight w:val="273" w:hRule="atLeast"/>
                    </w:trPr>
                    <w:tc>
                      <w:tcPr>
                        <w:tcW w:w="1318" w:type="dxa"/>
                      </w:tcPr>
                      <w:p>
                        <w:pPr>
                          <w:pStyle w:val="TableParagraph"/>
                          <w:spacing w:before="54"/>
                          <w:ind w:left="57"/>
                          <w:rPr>
                            <w:sz w:val="16"/>
                          </w:rPr>
                        </w:pPr>
                        <w:r>
                          <w:rPr>
                            <w:sz w:val="16"/>
                          </w:rPr>
                          <w:t>Western Sahara</w:t>
                        </w:r>
                      </w:p>
                    </w:tc>
                    <w:tc>
                      <w:tcPr>
                        <w:tcW w:w="1107" w:type="dxa"/>
                      </w:tcPr>
                      <w:p>
                        <w:pPr>
                          <w:pStyle w:val="TableParagraph"/>
                          <w:spacing w:before="54"/>
                          <w:ind w:left="49" w:right="38"/>
                          <w:jc w:val="center"/>
                          <w:rPr>
                            <w:sz w:val="16"/>
                          </w:rPr>
                        </w:pPr>
                        <w:r>
                          <w:rPr>
                            <w:sz w:val="16"/>
                          </w:rPr>
                          <w:t>18</w:t>
                        </w:r>
                      </w:p>
                    </w:tc>
                    <w:tc>
                      <w:tcPr>
                        <w:tcW w:w="1107" w:type="dxa"/>
                      </w:tcPr>
                      <w:p>
                        <w:pPr>
                          <w:pStyle w:val="TableParagraph"/>
                          <w:spacing w:before="54"/>
                          <w:ind w:left="49" w:right="39"/>
                          <w:jc w:val="center"/>
                          <w:rPr>
                            <w:sz w:val="16"/>
                          </w:rPr>
                        </w:pPr>
                        <w:r>
                          <w:rPr>
                            <w:sz w:val="16"/>
                          </w:rPr>
                          <w:t>59</w:t>
                        </w:r>
                      </w:p>
                    </w:tc>
                    <w:tc>
                      <w:tcPr>
                        <w:tcW w:w="925" w:type="dxa"/>
                      </w:tcPr>
                      <w:p>
                        <w:pPr>
                          <w:pStyle w:val="TableParagraph"/>
                          <w:spacing w:before="54"/>
                          <w:ind w:left="330" w:right="322"/>
                          <w:jc w:val="center"/>
                          <w:rPr>
                            <w:sz w:val="16"/>
                          </w:rPr>
                        </w:pPr>
                        <w:r>
                          <w:rPr>
                            <w:sz w:val="16"/>
                          </w:rPr>
                          <w:t>NI</w:t>
                        </w:r>
                      </w:p>
                    </w:tc>
                  </w:tr>
                  <w:tr>
                    <w:trPr>
                      <w:trHeight w:val="273" w:hRule="atLeast"/>
                    </w:trPr>
                    <w:tc>
                      <w:tcPr>
                        <w:tcW w:w="1318" w:type="dxa"/>
                      </w:tcPr>
                      <w:p>
                        <w:pPr>
                          <w:pStyle w:val="TableParagraph"/>
                          <w:spacing w:before="54"/>
                          <w:ind w:left="57"/>
                          <w:rPr>
                            <w:sz w:val="16"/>
                          </w:rPr>
                        </w:pPr>
                        <w:r>
                          <w:rPr>
                            <w:sz w:val="16"/>
                          </w:rPr>
                          <w:t>Zambia</w:t>
                        </w:r>
                      </w:p>
                    </w:tc>
                    <w:tc>
                      <w:tcPr>
                        <w:tcW w:w="1107" w:type="dxa"/>
                      </w:tcPr>
                      <w:p>
                        <w:pPr>
                          <w:pStyle w:val="TableParagraph"/>
                          <w:spacing w:before="54"/>
                          <w:ind w:left="49" w:right="37"/>
                          <w:jc w:val="center"/>
                          <w:rPr>
                            <w:sz w:val="16"/>
                          </w:rPr>
                        </w:pPr>
                        <w:r>
                          <w:rPr>
                            <w:sz w:val="16"/>
                          </w:rPr>
                          <w:t>43</w:t>
                        </w:r>
                      </w:p>
                    </w:tc>
                    <w:tc>
                      <w:tcPr>
                        <w:tcW w:w="1107" w:type="dxa"/>
                      </w:tcPr>
                      <w:p>
                        <w:pPr>
                          <w:pStyle w:val="TableParagraph"/>
                          <w:spacing w:before="54"/>
                          <w:ind w:left="47" w:right="40"/>
                          <w:jc w:val="center"/>
                          <w:rPr>
                            <w:sz w:val="16"/>
                          </w:rPr>
                        </w:pPr>
                        <w:r>
                          <w:rPr>
                            <w:sz w:val="16"/>
                          </w:rPr>
                          <w:t>104</w:t>
                        </w:r>
                      </w:p>
                    </w:tc>
                    <w:tc>
                      <w:tcPr>
                        <w:tcW w:w="925" w:type="dxa"/>
                      </w:tcPr>
                      <w:p>
                        <w:pPr>
                          <w:pStyle w:val="TableParagraph"/>
                          <w:spacing w:before="54"/>
                          <w:ind w:left="330" w:right="326"/>
                          <w:jc w:val="center"/>
                          <w:rPr>
                            <w:sz w:val="16"/>
                          </w:rPr>
                        </w:pPr>
                        <w:r>
                          <w:rPr>
                            <w:sz w:val="16"/>
                          </w:rPr>
                          <w:t>ES</w:t>
                        </w:r>
                      </w:p>
                    </w:tc>
                  </w:tr>
                  <w:tr>
                    <w:trPr>
                      <w:trHeight w:val="446" w:hRule="atLeast"/>
                    </w:trPr>
                    <w:tc>
                      <w:tcPr>
                        <w:tcW w:w="1318" w:type="dxa"/>
                      </w:tcPr>
                      <w:p>
                        <w:pPr>
                          <w:pStyle w:val="TableParagraph"/>
                          <w:spacing w:before="124"/>
                          <w:ind w:left="57"/>
                          <w:rPr>
                            <w:sz w:val="16"/>
                          </w:rPr>
                        </w:pPr>
                        <w:r>
                          <w:rPr>
                            <w:sz w:val="16"/>
                          </w:rPr>
                          <w:t>Zimbabwe</w:t>
                        </w:r>
                      </w:p>
                    </w:tc>
                    <w:tc>
                      <w:tcPr>
                        <w:tcW w:w="1107" w:type="dxa"/>
                      </w:tcPr>
                      <w:p>
                        <w:pPr>
                          <w:pStyle w:val="TableParagraph"/>
                          <w:spacing w:before="124"/>
                          <w:ind w:left="49" w:right="38"/>
                          <w:jc w:val="center"/>
                          <w:rPr>
                            <w:sz w:val="16"/>
                          </w:rPr>
                        </w:pPr>
                        <w:r>
                          <w:rPr>
                            <w:sz w:val="16"/>
                          </w:rPr>
                          <w:t>40</w:t>
                        </w:r>
                      </w:p>
                    </w:tc>
                    <w:tc>
                      <w:tcPr>
                        <w:tcW w:w="1107" w:type="dxa"/>
                      </w:tcPr>
                      <w:p>
                        <w:pPr>
                          <w:pStyle w:val="TableParagraph"/>
                          <w:spacing w:before="124"/>
                          <w:ind w:left="49" w:right="39"/>
                          <w:jc w:val="center"/>
                          <w:rPr>
                            <w:sz w:val="16"/>
                          </w:rPr>
                        </w:pPr>
                        <w:r>
                          <w:rPr>
                            <w:sz w:val="16"/>
                          </w:rPr>
                          <w:t>56</w:t>
                        </w:r>
                      </w:p>
                    </w:tc>
                    <w:tc>
                      <w:tcPr>
                        <w:tcW w:w="925" w:type="dxa"/>
                      </w:tcPr>
                      <w:p>
                        <w:pPr>
                          <w:pStyle w:val="TableParagraph"/>
                          <w:spacing w:before="124"/>
                          <w:ind w:left="330" w:right="323"/>
                          <w:jc w:val="center"/>
                          <w:rPr>
                            <w:sz w:val="16"/>
                          </w:rPr>
                        </w:pPr>
                        <w:r>
                          <w:rPr>
                            <w:sz w:val="16"/>
                          </w:rPr>
                          <w:t>NI</w:t>
                        </w:r>
                      </w:p>
                    </w:tc>
                  </w:tr>
                  <w:tr>
                    <w:trPr>
                      <w:trHeight w:val="443" w:hRule="atLeast"/>
                    </w:trPr>
                    <w:tc>
                      <w:tcPr>
                        <w:tcW w:w="4457" w:type="dxa"/>
                        <w:gridSpan w:val="4"/>
                      </w:tcPr>
                      <w:p>
                        <w:pPr>
                          <w:pStyle w:val="TableParagraph"/>
                          <w:spacing w:before="54"/>
                          <w:ind w:left="57" w:right="8"/>
                          <w:rPr>
                            <w:sz w:val="16"/>
                          </w:rPr>
                        </w:pPr>
                        <w:r>
                          <w:rPr>
                            <w:sz w:val="16"/>
                          </w:rPr>
                          <w:t>Information source: NI = National inventory; PI = Partial inventory; ES = Estimate; EX = External data (from other regions)</w:t>
                        </w:r>
                      </w:p>
                    </w:tc>
                  </w:tr>
                </w:tbl>
                <w:p>
                  <w:pPr>
                    <w:pStyle w:val="BodyText"/>
                  </w:pPr>
                </w:p>
              </w:txbxContent>
            </v:textbox>
          </v:shape>
        </w:pict>
      </w:r>
      <w:r>
        <w:rPr>
          <w:spacing w:val="41"/>
        </w:rPr>
      </w:r>
    </w:p>
    <w:p>
      <w:pPr>
        <w:spacing w:after="0"/>
        <w:sectPr>
          <w:pgSz w:w="11900" w:h="16840"/>
          <w:pgMar w:header="230" w:footer="408" w:top="560" w:bottom="600" w:left="1200" w:right="1140"/>
        </w:sectPr>
      </w:pPr>
    </w:p>
    <w:p>
      <w:pPr>
        <w:pStyle w:val="BodyText"/>
      </w:pPr>
    </w:p>
    <w:p>
      <w:pPr>
        <w:pStyle w:val="BodyText"/>
        <w:spacing w:before="9"/>
        <w:rPr>
          <w:sz w:val="18"/>
        </w:rPr>
      </w:pPr>
    </w:p>
    <w:p>
      <w:pPr>
        <w:pStyle w:val="BodyText"/>
        <w:ind w:left="228"/>
      </w:pPr>
      <w:r>
        <w:rPr/>
        <w:pict>
          <v:shape style="width:225.75pt;height:702.85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5"/>
                    <w:gridCol w:w="1106"/>
                    <w:gridCol w:w="1120"/>
                    <w:gridCol w:w="957"/>
                  </w:tblGrid>
                  <w:tr>
                    <w:trPr>
                      <w:trHeight w:val="2281" w:hRule="atLeast"/>
                    </w:trPr>
                    <w:tc>
                      <w:tcPr>
                        <w:tcW w:w="4498" w:type="dxa"/>
                        <w:gridSpan w:val="4"/>
                        <w:tcBorders>
                          <w:bottom w:val="double" w:sz="1" w:space="0" w:color="000000"/>
                        </w:tcBorders>
                      </w:tcPr>
                      <w:p>
                        <w:pPr>
                          <w:pStyle w:val="TableParagraph"/>
                          <w:spacing w:before="59"/>
                          <w:ind w:left="1716" w:right="1705"/>
                          <w:jc w:val="center"/>
                          <w:rPr>
                            <w:b/>
                            <w:sz w:val="18"/>
                          </w:rPr>
                        </w:pPr>
                        <w:r>
                          <w:rPr>
                            <w:b/>
                            <w:sz w:val="18"/>
                          </w:rPr>
                          <w:t>T</w:t>
                        </w:r>
                        <w:r>
                          <w:rPr>
                            <w:b/>
                            <w:sz w:val="14"/>
                          </w:rPr>
                          <w:t>ABLE </w:t>
                        </w:r>
                        <w:r>
                          <w:rPr>
                            <w:b/>
                            <w:sz w:val="18"/>
                          </w:rPr>
                          <w:t>3A.1.4</w:t>
                        </w:r>
                      </w:p>
                      <w:p>
                        <w:pPr>
                          <w:pStyle w:val="TableParagraph"/>
                          <w:spacing w:before="2"/>
                          <w:ind w:left="194" w:right="184" w:firstLine="1"/>
                          <w:jc w:val="center"/>
                          <w:rPr>
                            <w:b/>
                            <w:sz w:val="18"/>
                          </w:rPr>
                        </w:pPr>
                        <w:r>
                          <w:rPr>
                            <w:b/>
                            <w:sz w:val="18"/>
                          </w:rPr>
                          <w:t>A</w:t>
                        </w:r>
                        <w:r>
                          <w:rPr>
                            <w:b/>
                            <w:sz w:val="14"/>
                          </w:rPr>
                          <w:t>VERAGE GROWING STOCK VOLUME </w:t>
                        </w:r>
                        <w:r>
                          <w:rPr>
                            <w:b/>
                            <w:sz w:val="18"/>
                          </w:rPr>
                          <w:t>(1) </w:t>
                        </w:r>
                        <w:r>
                          <w:rPr>
                            <w:b/>
                            <w:sz w:val="14"/>
                          </w:rPr>
                          <w:t>AND 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85"/>
                          </w:numPr>
                          <w:tabs>
                            <w:tab w:pos="466" w:val="left" w:leader="none"/>
                          </w:tabs>
                          <w:spacing w:line="240" w:lineRule="auto" w:before="114" w:after="0"/>
                          <w:ind w:left="465" w:right="0" w:hanging="257"/>
                          <w:jc w:val="left"/>
                          <w:rPr>
                            <w:sz w:val="18"/>
                          </w:rPr>
                        </w:pPr>
                        <w:r>
                          <w:rPr>
                            <w:sz w:val="18"/>
                          </w:rPr>
                          <w:t>To be used for V in Equation</w:t>
                        </w:r>
                        <w:r>
                          <w:rPr>
                            <w:spacing w:val="-7"/>
                            <w:sz w:val="18"/>
                          </w:rPr>
                          <w:t> </w:t>
                        </w:r>
                        <w:r>
                          <w:rPr>
                            <w:sz w:val="18"/>
                          </w:rPr>
                          <w:t>3.2.3.</w:t>
                        </w:r>
                      </w:p>
                      <w:p>
                        <w:pPr>
                          <w:pStyle w:val="TableParagraph"/>
                          <w:numPr>
                            <w:ilvl w:val="0"/>
                            <w:numId w:val="85"/>
                          </w:numPr>
                          <w:tabs>
                            <w:tab w:pos="466" w:val="left" w:leader="none"/>
                          </w:tabs>
                          <w:spacing w:line="240" w:lineRule="auto" w:before="119" w:after="0"/>
                          <w:ind w:left="465" w:right="82" w:hanging="257"/>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3" w:hRule="atLeast"/>
                    </w:trPr>
                    <w:tc>
                      <w:tcPr>
                        <w:tcW w:w="4498" w:type="dxa"/>
                        <w:gridSpan w:val="4"/>
                        <w:tcBorders>
                          <w:top w:val="double" w:sz="1" w:space="0" w:color="000000"/>
                        </w:tcBorders>
                      </w:tcPr>
                      <w:p>
                        <w:pPr>
                          <w:pStyle w:val="TableParagraph"/>
                          <w:spacing w:before="23"/>
                          <w:ind w:left="57"/>
                          <w:rPr>
                            <w:b/>
                            <w:sz w:val="18"/>
                          </w:rPr>
                        </w:pPr>
                        <w:r>
                          <w:rPr>
                            <w:b/>
                            <w:sz w:val="18"/>
                          </w:rPr>
                          <w:t>b. ASIA</w:t>
                        </w:r>
                      </w:p>
                    </w:tc>
                  </w:tr>
                  <w:tr>
                    <w:trPr>
                      <w:trHeight w:val="445" w:hRule="atLeast"/>
                    </w:trPr>
                    <w:tc>
                      <w:tcPr>
                        <w:tcW w:w="1315" w:type="dxa"/>
                        <w:vMerge w:val="restart"/>
                      </w:tcPr>
                      <w:p>
                        <w:pPr>
                          <w:pStyle w:val="TableParagraph"/>
                          <w:spacing w:before="10"/>
                          <w:rPr>
                            <w:sz w:val="22"/>
                          </w:rPr>
                        </w:pPr>
                      </w:p>
                      <w:p>
                        <w:pPr>
                          <w:pStyle w:val="TableParagraph"/>
                          <w:ind w:left="57"/>
                          <w:rPr>
                            <w:b/>
                            <w:sz w:val="16"/>
                          </w:rPr>
                        </w:pPr>
                        <w:r>
                          <w:rPr>
                            <w:b/>
                            <w:sz w:val="16"/>
                          </w:rPr>
                          <w:t>Country</w:t>
                        </w:r>
                      </w:p>
                    </w:tc>
                    <w:tc>
                      <w:tcPr>
                        <w:tcW w:w="1106" w:type="dxa"/>
                      </w:tcPr>
                      <w:p>
                        <w:pPr>
                          <w:pStyle w:val="TableParagraph"/>
                          <w:spacing w:before="35"/>
                          <w:ind w:left="50" w:right="21" w:firstLine="237"/>
                          <w:rPr>
                            <w:b/>
                            <w:sz w:val="16"/>
                          </w:rPr>
                        </w:pPr>
                        <w:r>
                          <w:rPr>
                            <w:b/>
                            <w:sz w:val="16"/>
                          </w:rPr>
                          <w:t>Volume (aboveground)</w:t>
                        </w:r>
                      </w:p>
                    </w:tc>
                    <w:tc>
                      <w:tcPr>
                        <w:tcW w:w="1120" w:type="dxa"/>
                      </w:tcPr>
                      <w:p>
                        <w:pPr>
                          <w:pStyle w:val="TableParagraph"/>
                          <w:spacing w:before="35"/>
                          <w:ind w:left="57" w:right="28" w:firstLine="218"/>
                          <w:rPr>
                            <w:b/>
                            <w:sz w:val="16"/>
                          </w:rPr>
                        </w:pPr>
                        <w:r>
                          <w:rPr>
                            <w:b/>
                            <w:sz w:val="16"/>
                          </w:rPr>
                          <w:t>Biomass (aboveground)</w:t>
                        </w:r>
                      </w:p>
                    </w:tc>
                    <w:tc>
                      <w:tcPr>
                        <w:tcW w:w="957" w:type="dxa"/>
                      </w:tcPr>
                      <w:p>
                        <w:pPr>
                          <w:pStyle w:val="TableParagraph"/>
                          <w:spacing w:before="35"/>
                          <w:ind w:left="238" w:right="209" w:firstLine="33"/>
                          <w:rPr>
                            <w:b/>
                            <w:sz w:val="16"/>
                          </w:rPr>
                        </w:pPr>
                        <w:r>
                          <w:rPr>
                            <w:b/>
                            <w:sz w:val="16"/>
                          </w:rPr>
                          <w:t>Infor- mation</w:t>
                        </w:r>
                      </w:p>
                    </w:tc>
                  </w:tr>
                  <w:tr>
                    <w:trPr>
                      <w:trHeight w:val="273" w:hRule="atLeast"/>
                    </w:trPr>
                    <w:tc>
                      <w:tcPr>
                        <w:tcW w:w="1315" w:type="dxa"/>
                        <w:vMerge/>
                        <w:tcBorders>
                          <w:top w:val="nil"/>
                        </w:tcBorders>
                      </w:tcPr>
                      <w:p>
                        <w:pPr>
                          <w:rPr>
                            <w:sz w:val="2"/>
                            <w:szCs w:val="2"/>
                          </w:rPr>
                        </w:pPr>
                      </w:p>
                    </w:tc>
                    <w:tc>
                      <w:tcPr>
                        <w:tcW w:w="1106" w:type="dxa"/>
                      </w:tcPr>
                      <w:p>
                        <w:pPr>
                          <w:pStyle w:val="TableParagraph"/>
                          <w:spacing w:before="40"/>
                          <w:ind w:left="48" w:right="40"/>
                          <w:jc w:val="center"/>
                          <w:rPr>
                            <w:b/>
                            <w:sz w:val="16"/>
                          </w:rPr>
                        </w:pPr>
                        <w:r>
                          <w:rPr>
                            <w:b/>
                            <w:sz w:val="16"/>
                          </w:rPr>
                          <w:t>m</w:t>
                        </w:r>
                        <w:r>
                          <w:rPr>
                            <w:b/>
                            <w:sz w:val="16"/>
                            <w:vertAlign w:val="superscript"/>
                          </w:rPr>
                          <w:t>3</w:t>
                        </w:r>
                        <w:r>
                          <w:rPr>
                            <w:b/>
                            <w:sz w:val="16"/>
                            <w:vertAlign w:val="baseline"/>
                          </w:rPr>
                          <w:t> / ha</w:t>
                        </w:r>
                      </w:p>
                    </w:tc>
                    <w:tc>
                      <w:tcPr>
                        <w:tcW w:w="1120" w:type="dxa"/>
                      </w:tcPr>
                      <w:p>
                        <w:pPr>
                          <w:pStyle w:val="TableParagraph"/>
                          <w:spacing w:before="40"/>
                          <w:ind w:left="366" w:right="356"/>
                          <w:jc w:val="center"/>
                          <w:rPr>
                            <w:b/>
                            <w:sz w:val="16"/>
                          </w:rPr>
                        </w:pPr>
                        <w:r>
                          <w:rPr>
                            <w:b/>
                            <w:sz w:val="16"/>
                          </w:rPr>
                          <w:t>t / ha</w:t>
                        </w:r>
                      </w:p>
                    </w:tc>
                    <w:tc>
                      <w:tcPr>
                        <w:tcW w:w="957" w:type="dxa"/>
                      </w:tcPr>
                      <w:p>
                        <w:pPr>
                          <w:pStyle w:val="TableParagraph"/>
                          <w:spacing w:before="40"/>
                          <w:ind w:left="123" w:right="116"/>
                          <w:jc w:val="center"/>
                          <w:rPr>
                            <w:b/>
                            <w:sz w:val="16"/>
                          </w:rPr>
                        </w:pPr>
                        <w:r>
                          <w:rPr>
                            <w:b/>
                            <w:sz w:val="16"/>
                          </w:rPr>
                          <w:t>Source</w:t>
                        </w:r>
                      </w:p>
                    </w:tc>
                  </w:tr>
                  <w:tr>
                    <w:trPr>
                      <w:trHeight w:val="273" w:hRule="atLeast"/>
                    </w:trPr>
                    <w:tc>
                      <w:tcPr>
                        <w:tcW w:w="1315" w:type="dxa"/>
                      </w:tcPr>
                      <w:p>
                        <w:pPr>
                          <w:pStyle w:val="TableParagraph"/>
                          <w:spacing w:before="37"/>
                          <w:ind w:left="57"/>
                          <w:rPr>
                            <w:sz w:val="16"/>
                          </w:rPr>
                        </w:pPr>
                        <w:r>
                          <w:rPr>
                            <w:sz w:val="16"/>
                          </w:rPr>
                          <w:t>Afghanistan</w:t>
                        </w:r>
                      </w:p>
                    </w:tc>
                    <w:tc>
                      <w:tcPr>
                        <w:tcW w:w="1106" w:type="dxa"/>
                      </w:tcPr>
                      <w:p>
                        <w:pPr>
                          <w:pStyle w:val="TableParagraph"/>
                          <w:spacing w:before="37"/>
                          <w:ind w:left="53" w:right="40"/>
                          <w:jc w:val="center"/>
                          <w:rPr>
                            <w:sz w:val="16"/>
                          </w:rPr>
                        </w:pPr>
                        <w:r>
                          <w:rPr>
                            <w:sz w:val="16"/>
                          </w:rPr>
                          <w:t>22</w:t>
                        </w:r>
                      </w:p>
                    </w:tc>
                    <w:tc>
                      <w:tcPr>
                        <w:tcW w:w="1120" w:type="dxa"/>
                      </w:tcPr>
                      <w:p>
                        <w:pPr>
                          <w:pStyle w:val="TableParagraph"/>
                          <w:spacing w:before="37"/>
                          <w:ind w:left="366" w:right="352"/>
                          <w:jc w:val="center"/>
                          <w:rPr>
                            <w:sz w:val="16"/>
                          </w:rPr>
                        </w:pPr>
                        <w:r>
                          <w:rPr>
                            <w:sz w:val="16"/>
                          </w:rPr>
                          <w:t>27</w:t>
                        </w:r>
                      </w:p>
                    </w:tc>
                    <w:tc>
                      <w:tcPr>
                        <w:tcW w:w="957" w:type="dxa"/>
                      </w:tcPr>
                      <w:p>
                        <w:pPr>
                          <w:pStyle w:val="TableParagraph"/>
                          <w:spacing w:before="37"/>
                          <w:ind w:left="123" w:right="112"/>
                          <w:jc w:val="center"/>
                          <w:rPr>
                            <w:sz w:val="16"/>
                          </w:rPr>
                        </w:pPr>
                        <w:r>
                          <w:rPr>
                            <w:sz w:val="16"/>
                          </w:rPr>
                          <w:t>FAO</w:t>
                        </w:r>
                      </w:p>
                    </w:tc>
                  </w:tr>
                  <w:tr>
                    <w:trPr>
                      <w:trHeight w:val="275" w:hRule="atLeast"/>
                    </w:trPr>
                    <w:tc>
                      <w:tcPr>
                        <w:tcW w:w="1315" w:type="dxa"/>
                      </w:tcPr>
                      <w:p>
                        <w:pPr>
                          <w:pStyle w:val="TableParagraph"/>
                          <w:spacing w:before="37"/>
                          <w:ind w:left="57"/>
                          <w:rPr>
                            <w:sz w:val="16"/>
                          </w:rPr>
                        </w:pPr>
                        <w:r>
                          <w:rPr>
                            <w:sz w:val="16"/>
                          </w:rPr>
                          <w:t>Armenia</w:t>
                        </w:r>
                      </w:p>
                    </w:tc>
                    <w:tc>
                      <w:tcPr>
                        <w:tcW w:w="1106" w:type="dxa"/>
                      </w:tcPr>
                      <w:p>
                        <w:pPr>
                          <w:pStyle w:val="TableParagraph"/>
                          <w:spacing w:before="37"/>
                          <w:ind w:left="50" w:right="40"/>
                          <w:jc w:val="center"/>
                          <w:rPr>
                            <w:sz w:val="16"/>
                          </w:rPr>
                        </w:pPr>
                        <w:r>
                          <w:rPr>
                            <w:sz w:val="16"/>
                          </w:rPr>
                          <w:t>128</w:t>
                        </w:r>
                      </w:p>
                    </w:tc>
                    <w:tc>
                      <w:tcPr>
                        <w:tcW w:w="1120" w:type="dxa"/>
                      </w:tcPr>
                      <w:p>
                        <w:pPr>
                          <w:pStyle w:val="TableParagraph"/>
                          <w:spacing w:before="37"/>
                          <w:ind w:left="366" w:right="352"/>
                          <w:jc w:val="center"/>
                          <w:rPr>
                            <w:sz w:val="16"/>
                          </w:rPr>
                        </w:pPr>
                        <w:r>
                          <w:rPr>
                            <w:sz w:val="16"/>
                          </w:rPr>
                          <w:t>66</w:t>
                        </w:r>
                      </w:p>
                    </w:tc>
                    <w:tc>
                      <w:tcPr>
                        <w:tcW w:w="957" w:type="dxa"/>
                      </w:tcPr>
                      <w:p>
                        <w:pPr>
                          <w:pStyle w:val="TableParagraph"/>
                          <w:spacing w:before="37"/>
                          <w:ind w:left="123" w:right="112"/>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Azerbaijan</w:t>
                        </w:r>
                      </w:p>
                    </w:tc>
                    <w:tc>
                      <w:tcPr>
                        <w:tcW w:w="1106" w:type="dxa"/>
                      </w:tcPr>
                      <w:p>
                        <w:pPr>
                          <w:pStyle w:val="TableParagraph"/>
                          <w:spacing w:before="37"/>
                          <w:ind w:left="50" w:right="40"/>
                          <w:jc w:val="center"/>
                          <w:rPr>
                            <w:sz w:val="16"/>
                          </w:rPr>
                        </w:pPr>
                        <w:r>
                          <w:rPr>
                            <w:sz w:val="16"/>
                          </w:rPr>
                          <w:t>136</w:t>
                        </w:r>
                      </w:p>
                    </w:tc>
                    <w:tc>
                      <w:tcPr>
                        <w:tcW w:w="1120" w:type="dxa"/>
                      </w:tcPr>
                      <w:p>
                        <w:pPr>
                          <w:pStyle w:val="TableParagraph"/>
                          <w:spacing w:before="37"/>
                          <w:ind w:left="366" w:right="355"/>
                          <w:jc w:val="center"/>
                          <w:rPr>
                            <w:sz w:val="16"/>
                          </w:rPr>
                        </w:pPr>
                        <w:r>
                          <w:rPr>
                            <w:sz w:val="16"/>
                          </w:rPr>
                          <w:t>105</w:t>
                        </w:r>
                      </w:p>
                    </w:tc>
                    <w:tc>
                      <w:tcPr>
                        <w:tcW w:w="957" w:type="dxa"/>
                      </w:tcPr>
                      <w:p>
                        <w:pPr>
                          <w:pStyle w:val="TableParagraph"/>
                          <w:spacing w:before="37"/>
                          <w:ind w:left="123" w:right="112"/>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Bahrain</w:t>
                        </w:r>
                      </w:p>
                    </w:tc>
                    <w:tc>
                      <w:tcPr>
                        <w:tcW w:w="1106" w:type="dxa"/>
                      </w:tcPr>
                      <w:p>
                        <w:pPr>
                          <w:pStyle w:val="TableParagraph"/>
                          <w:spacing w:before="37"/>
                          <w:ind w:left="53" w:right="40"/>
                          <w:jc w:val="center"/>
                          <w:rPr>
                            <w:sz w:val="16"/>
                          </w:rPr>
                        </w:pPr>
                        <w:r>
                          <w:rPr>
                            <w:sz w:val="16"/>
                          </w:rPr>
                          <w:t>14</w:t>
                        </w:r>
                      </w:p>
                    </w:tc>
                    <w:tc>
                      <w:tcPr>
                        <w:tcW w:w="1120" w:type="dxa"/>
                      </w:tcPr>
                      <w:p>
                        <w:pPr>
                          <w:pStyle w:val="TableParagraph"/>
                          <w:spacing w:before="37"/>
                          <w:ind w:left="366" w:right="352"/>
                          <w:jc w:val="center"/>
                          <w:rPr>
                            <w:sz w:val="16"/>
                          </w:rPr>
                        </w:pPr>
                        <w:r>
                          <w:rPr>
                            <w:sz w:val="16"/>
                          </w:rPr>
                          <w:t>14</w:t>
                        </w:r>
                      </w:p>
                    </w:tc>
                    <w:tc>
                      <w:tcPr>
                        <w:tcW w:w="957" w:type="dxa"/>
                      </w:tcPr>
                      <w:p>
                        <w:pPr>
                          <w:pStyle w:val="TableParagraph"/>
                          <w:spacing w:before="37"/>
                          <w:ind w:left="123" w:right="112"/>
                          <w:jc w:val="center"/>
                          <w:rPr>
                            <w:sz w:val="16"/>
                          </w:rPr>
                        </w:pPr>
                        <w:r>
                          <w:rPr>
                            <w:sz w:val="16"/>
                          </w:rPr>
                          <w:t>FAO</w:t>
                        </w:r>
                      </w:p>
                    </w:tc>
                  </w:tr>
                  <w:tr>
                    <w:trPr>
                      <w:trHeight w:val="275" w:hRule="atLeast"/>
                    </w:trPr>
                    <w:tc>
                      <w:tcPr>
                        <w:tcW w:w="1315" w:type="dxa"/>
                      </w:tcPr>
                      <w:p>
                        <w:pPr>
                          <w:pStyle w:val="TableParagraph"/>
                          <w:spacing w:before="37"/>
                          <w:ind w:left="57"/>
                          <w:rPr>
                            <w:sz w:val="16"/>
                          </w:rPr>
                        </w:pPr>
                        <w:r>
                          <w:rPr>
                            <w:sz w:val="16"/>
                          </w:rPr>
                          <w:t>Bangladesh</w:t>
                        </w:r>
                      </w:p>
                    </w:tc>
                    <w:tc>
                      <w:tcPr>
                        <w:tcW w:w="1106" w:type="dxa"/>
                      </w:tcPr>
                      <w:p>
                        <w:pPr>
                          <w:pStyle w:val="TableParagraph"/>
                          <w:spacing w:before="37"/>
                          <w:ind w:left="53" w:right="40"/>
                          <w:jc w:val="center"/>
                          <w:rPr>
                            <w:sz w:val="16"/>
                          </w:rPr>
                        </w:pPr>
                        <w:r>
                          <w:rPr>
                            <w:sz w:val="16"/>
                          </w:rPr>
                          <w:t>23</w:t>
                        </w:r>
                      </w:p>
                    </w:tc>
                    <w:tc>
                      <w:tcPr>
                        <w:tcW w:w="1120" w:type="dxa"/>
                      </w:tcPr>
                      <w:p>
                        <w:pPr>
                          <w:pStyle w:val="TableParagraph"/>
                          <w:spacing w:before="37"/>
                          <w:ind w:left="366" w:right="352"/>
                          <w:jc w:val="center"/>
                          <w:rPr>
                            <w:sz w:val="16"/>
                          </w:rPr>
                        </w:pPr>
                        <w:r>
                          <w:rPr>
                            <w:sz w:val="16"/>
                          </w:rPr>
                          <w:t>39</w:t>
                        </w:r>
                      </w:p>
                    </w:tc>
                    <w:tc>
                      <w:tcPr>
                        <w:tcW w:w="957" w:type="dxa"/>
                      </w:tcPr>
                      <w:p>
                        <w:pPr>
                          <w:pStyle w:val="TableParagraph"/>
                          <w:spacing w:before="37"/>
                          <w:ind w:left="123" w:right="112"/>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Bhutan</w:t>
                        </w:r>
                      </w:p>
                    </w:tc>
                    <w:tc>
                      <w:tcPr>
                        <w:tcW w:w="1106" w:type="dxa"/>
                      </w:tcPr>
                      <w:p>
                        <w:pPr>
                          <w:pStyle w:val="TableParagraph"/>
                          <w:spacing w:before="37"/>
                          <w:ind w:left="50" w:right="40"/>
                          <w:jc w:val="center"/>
                          <w:rPr>
                            <w:sz w:val="16"/>
                          </w:rPr>
                        </w:pPr>
                        <w:r>
                          <w:rPr>
                            <w:sz w:val="16"/>
                          </w:rPr>
                          <w:t>163</w:t>
                        </w:r>
                      </w:p>
                    </w:tc>
                    <w:tc>
                      <w:tcPr>
                        <w:tcW w:w="1120" w:type="dxa"/>
                      </w:tcPr>
                      <w:p>
                        <w:pPr>
                          <w:pStyle w:val="TableParagraph"/>
                          <w:spacing w:before="37"/>
                          <w:ind w:left="366" w:right="355"/>
                          <w:jc w:val="center"/>
                          <w:rPr>
                            <w:sz w:val="16"/>
                          </w:rPr>
                        </w:pPr>
                        <w:r>
                          <w:rPr>
                            <w:sz w:val="16"/>
                          </w:rPr>
                          <w:t>178</w:t>
                        </w:r>
                      </w:p>
                    </w:tc>
                    <w:tc>
                      <w:tcPr>
                        <w:tcW w:w="957" w:type="dxa"/>
                      </w:tcPr>
                      <w:p>
                        <w:pPr>
                          <w:pStyle w:val="TableParagraph"/>
                          <w:spacing w:before="37"/>
                          <w:ind w:left="123" w:right="112"/>
                          <w:jc w:val="center"/>
                          <w:rPr>
                            <w:sz w:val="16"/>
                          </w:rPr>
                        </w:pPr>
                        <w:r>
                          <w:rPr>
                            <w:sz w:val="16"/>
                          </w:rPr>
                          <w:t>FAO</w:t>
                        </w:r>
                      </w:p>
                    </w:tc>
                  </w:tr>
                  <w:tr>
                    <w:trPr>
                      <w:trHeight w:val="443" w:hRule="atLeast"/>
                    </w:trPr>
                    <w:tc>
                      <w:tcPr>
                        <w:tcW w:w="1315" w:type="dxa"/>
                      </w:tcPr>
                      <w:p>
                        <w:pPr>
                          <w:pStyle w:val="TableParagraph"/>
                          <w:spacing w:before="33"/>
                          <w:ind w:left="57" w:right="472"/>
                          <w:rPr>
                            <w:sz w:val="16"/>
                          </w:rPr>
                        </w:pPr>
                        <w:r>
                          <w:rPr>
                            <w:sz w:val="16"/>
                          </w:rPr>
                          <w:t>Brunei Darussalam</w:t>
                        </w:r>
                      </w:p>
                    </w:tc>
                    <w:tc>
                      <w:tcPr>
                        <w:tcW w:w="1106" w:type="dxa"/>
                      </w:tcPr>
                      <w:p>
                        <w:pPr>
                          <w:pStyle w:val="TableParagraph"/>
                          <w:spacing w:before="124"/>
                          <w:ind w:left="49" w:right="40"/>
                          <w:jc w:val="center"/>
                          <w:rPr>
                            <w:sz w:val="16"/>
                          </w:rPr>
                        </w:pPr>
                        <w:r>
                          <w:rPr>
                            <w:sz w:val="16"/>
                          </w:rPr>
                          <w:t>119</w:t>
                        </w:r>
                      </w:p>
                    </w:tc>
                    <w:tc>
                      <w:tcPr>
                        <w:tcW w:w="1120" w:type="dxa"/>
                      </w:tcPr>
                      <w:p>
                        <w:pPr>
                          <w:pStyle w:val="TableParagraph"/>
                          <w:spacing w:before="124"/>
                          <w:ind w:left="366" w:right="356"/>
                          <w:jc w:val="center"/>
                          <w:rPr>
                            <w:sz w:val="16"/>
                          </w:rPr>
                        </w:pPr>
                        <w:r>
                          <w:rPr>
                            <w:sz w:val="16"/>
                          </w:rPr>
                          <w:t>205</w:t>
                        </w:r>
                      </w:p>
                    </w:tc>
                    <w:tc>
                      <w:tcPr>
                        <w:tcW w:w="957" w:type="dxa"/>
                      </w:tcPr>
                      <w:p>
                        <w:pPr>
                          <w:pStyle w:val="TableParagraph"/>
                          <w:spacing w:before="124"/>
                          <w:ind w:left="123" w:right="112"/>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Cambodia</w:t>
                        </w:r>
                      </w:p>
                    </w:tc>
                    <w:tc>
                      <w:tcPr>
                        <w:tcW w:w="1106" w:type="dxa"/>
                      </w:tcPr>
                      <w:p>
                        <w:pPr>
                          <w:pStyle w:val="TableParagraph"/>
                          <w:spacing w:before="37"/>
                          <w:ind w:left="54" w:right="40"/>
                          <w:jc w:val="center"/>
                          <w:rPr>
                            <w:sz w:val="16"/>
                          </w:rPr>
                        </w:pPr>
                        <w:r>
                          <w:rPr>
                            <w:sz w:val="16"/>
                          </w:rPr>
                          <w:t>40</w:t>
                        </w:r>
                      </w:p>
                    </w:tc>
                    <w:tc>
                      <w:tcPr>
                        <w:tcW w:w="1120" w:type="dxa"/>
                      </w:tcPr>
                      <w:p>
                        <w:pPr>
                          <w:pStyle w:val="TableParagraph"/>
                          <w:spacing w:before="37"/>
                          <w:ind w:left="366" w:right="352"/>
                          <w:jc w:val="center"/>
                          <w:rPr>
                            <w:sz w:val="16"/>
                          </w:rPr>
                        </w:pPr>
                        <w:r>
                          <w:rPr>
                            <w:sz w:val="16"/>
                          </w:rPr>
                          <w:t>69</w:t>
                        </w:r>
                      </w:p>
                    </w:tc>
                    <w:tc>
                      <w:tcPr>
                        <w:tcW w:w="957" w:type="dxa"/>
                      </w:tcPr>
                      <w:p>
                        <w:pPr>
                          <w:pStyle w:val="TableParagraph"/>
                          <w:spacing w:before="37"/>
                          <w:ind w:left="123" w:right="112"/>
                          <w:jc w:val="center"/>
                          <w:rPr>
                            <w:sz w:val="16"/>
                          </w:rPr>
                        </w:pPr>
                        <w:r>
                          <w:rPr>
                            <w:sz w:val="16"/>
                          </w:rPr>
                          <w:t>FAO</w:t>
                        </w:r>
                      </w:p>
                    </w:tc>
                  </w:tr>
                  <w:tr>
                    <w:trPr>
                      <w:trHeight w:val="275" w:hRule="atLeast"/>
                    </w:trPr>
                    <w:tc>
                      <w:tcPr>
                        <w:tcW w:w="1315" w:type="dxa"/>
                      </w:tcPr>
                      <w:p>
                        <w:pPr>
                          <w:pStyle w:val="TableParagraph"/>
                          <w:spacing w:before="37"/>
                          <w:ind w:left="57"/>
                          <w:rPr>
                            <w:sz w:val="16"/>
                          </w:rPr>
                        </w:pPr>
                        <w:r>
                          <w:rPr>
                            <w:sz w:val="16"/>
                          </w:rPr>
                          <w:t>China</w:t>
                        </w:r>
                      </w:p>
                    </w:tc>
                    <w:tc>
                      <w:tcPr>
                        <w:tcW w:w="1106" w:type="dxa"/>
                      </w:tcPr>
                      <w:p>
                        <w:pPr>
                          <w:pStyle w:val="TableParagraph"/>
                          <w:spacing w:before="37"/>
                          <w:ind w:left="54" w:right="40"/>
                          <w:jc w:val="center"/>
                          <w:rPr>
                            <w:sz w:val="16"/>
                          </w:rPr>
                        </w:pPr>
                        <w:r>
                          <w:rPr>
                            <w:sz w:val="16"/>
                          </w:rPr>
                          <w:t>52</w:t>
                        </w:r>
                      </w:p>
                    </w:tc>
                    <w:tc>
                      <w:tcPr>
                        <w:tcW w:w="1120" w:type="dxa"/>
                      </w:tcPr>
                      <w:p>
                        <w:pPr>
                          <w:pStyle w:val="TableParagraph"/>
                          <w:spacing w:before="37"/>
                          <w:ind w:left="366" w:right="351"/>
                          <w:jc w:val="center"/>
                          <w:rPr>
                            <w:sz w:val="16"/>
                          </w:rPr>
                        </w:pPr>
                        <w:r>
                          <w:rPr>
                            <w:sz w:val="16"/>
                          </w:rPr>
                          <w:t>61</w:t>
                        </w:r>
                      </w:p>
                    </w:tc>
                    <w:tc>
                      <w:tcPr>
                        <w:tcW w:w="957" w:type="dxa"/>
                      </w:tcPr>
                      <w:p>
                        <w:pPr>
                          <w:pStyle w:val="TableParagraph"/>
                          <w:spacing w:before="37"/>
                          <w:ind w:left="123" w:right="108"/>
                          <w:jc w:val="center"/>
                          <w:rPr>
                            <w:sz w:val="16"/>
                          </w:rPr>
                        </w:pPr>
                        <w:r>
                          <w:rPr>
                            <w:sz w:val="16"/>
                          </w:rPr>
                          <w:t>NI</w:t>
                        </w:r>
                      </w:p>
                    </w:tc>
                  </w:tr>
                  <w:tr>
                    <w:trPr>
                      <w:trHeight w:val="273" w:hRule="atLeast"/>
                    </w:trPr>
                    <w:tc>
                      <w:tcPr>
                        <w:tcW w:w="1315" w:type="dxa"/>
                      </w:tcPr>
                      <w:p>
                        <w:pPr>
                          <w:pStyle w:val="TableParagraph"/>
                          <w:spacing w:before="37"/>
                          <w:ind w:left="57"/>
                          <w:rPr>
                            <w:sz w:val="16"/>
                          </w:rPr>
                        </w:pPr>
                        <w:r>
                          <w:rPr>
                            <w:sz w:val="16"/>
                          </w:rPr>
                          <w:t>Cyprus</w:t>
                        </w:r>
                      </w:p>
                    </w:tc>
                    <w:tc>
                      <w:tcPr>
                        <w:tcW w:w="1106" w:type="dxa"/>
                      </w:tcPr>
                      <w:p>
                        <w:pPr>
                          <w:pStyle w:val="TableParagraph"/>
                          <w:spacing w:before="37"/>
                          <w:ind w:left="53" w:right="40"/>
                          <w:jc w:val="center"/>
                          <w:rPr>
                            <w:sz w:val="16"/>
                          </w:rPr>
                        </w:pPr>
                        <w:r>
                          <w:rPr>
                            <w:sz w:val="16"/>
                          </w:rPr>
                          <w:t>43</w:t>
                        </w:r>
                      </w:p>
                    </w:tc>
                    <w:tc>
                      <w:tcPr>
                        <w:tcW w:w="1120" w:type="dxa"/>
                      </w:tcPr>
                      <w:p>
                        <w:pPr>
                          <w:pStyle w:val="TableParagraph"/>
                          <w:spacing w:before="37"/>
                          <w:ind w:left="366" w:right="353"/>
                          <w:jc w:val="center"/>
                          <w:rPr>
                            <w:sz w:val="16"/>
                          </w:rPr>
                        </w:pPr>
                        <w:r>
                          <w:rPr>
                            <w:sz w:val="16"/>
                          </w:rPr>
                          <w:t>21</w:t>
                        </w:r>
                      </w:p>
                    </w:tc>
                    <w:tc>
                      <w:tcPr>
                        <w:tcW w:w="957" w:type="dxa"/>
                      </w:tcPr>
                      <w:p>
                        <w:pPr>
                          <w:pStyle w:val="TableParagraph"/>
                          <w:spacing w:before="37"/>
                          <w:ind w:left="123" w:right="112"/>
                          <w:jc w:val="center"/>
                          <w:rPr>
                            <w:sz w:val="16"/>
                          </w:rPr>
                        </w:pPr>
                        <w:r>
                          <w:rPr>
                            <w:sz w:val="16"/>
                          </w:rPr>
                          <w:t>FAO</w:t>
                        </w:r>
                      </w:p>
                    </w:tc>
                  </w:tr>
                  <w:tr>
                    <w:trPr>
                      <w:trHeight w:val="443" w:hRule="atLeast"/>
                    </w:trPr>
                    <w:tc>
                      <w:tcPr>
                        <w:tcW w:w="1315" w:type="dxa"/>
                      </w:tcPr>
                      <w:p>
                        <w:pPr>
                          <w:pStyle w:val="TableParagraph"/>
                          <w:spacing w:before="33"/>
                          <w:ind w:left="57" w:right="12"/>
                          <w:rPr>
                            <w:sz w:val="16"/>
                          </w:rPr>
                        </w:pPr>
                        <w:r>
                          <w:rPr>
                            <w:sz w:val="16"/>
                          </w:rPr>
                          <w:t>Dem People's Rep. of Korea</w:t>
                        </w:r>
                      </w:p>
                    </w:tc>
                    <w:tc>
                      <w:tcPr>
                        <w:tcW w:w="1106" w:type="dxa"/>
                      </w:tcPr>
                      <w:p>
                        <w:pPr>
                          <w:pStyle w:val="TableParagraph"/>
                          <w:spacing w:before="124"/>
                          <w:ind w:left="52" w:right="40"/>
                          <w:jc w:val="center"/>
                          <w:rPr>
                            <w:sz w:val="16"/>
                          </w:rPr>
                        </w:pPr>
                        <w:r>
                          <w:rPr>
                            <w:sz w:val="16"/>
                          </w:rPr>
                          <w:t>41</w:t>
                        </w:r>
                      </w:p>
                    </w:tc>
                    <w:tc>
                      <w:tcPr>
                        <w:tcW w:w="1120" w:type="dxa"/>
                      </w:tcPr>
                      <w:p>
                        <w:pPr>
                          <w:pStyle w:val="TableParagraph"/>
                          <w:spacing w:before="124"/>
                          <w:ind w:left="366" w:right="352"/>
                          <w:jc w:val="center"/>
                          <w:rPr>
                            <w:sz w:val="16"/>
                          </w:rPr>
                        </w:pPr>
                        <w:r>
                          <w:rPr>
                            <w:sz w:val="16"/>
                          </w:rPr>
                          <w:t>25</w:t>
                        </w:r>
                      </w:p>
                    </w:tc>
                    <w:tc>
                      <w:tcPr>
                        <w:tcW w:w="957" w:type="dxa"/>
                      </w:tcPr>
                      <w:p>
                        <w:pPr>
                          <w:pStyle w:val="TableParagraph"/>
                          <w:spacing w:before="124"/>
                          <w:ind w:left="123" w:right="112"/>
                          <w:jc w:val="center"/>
                          <w:rPr>
                            <w:sz w:val="16"/>
                          </w:rPr>
                        </w:pPr>
                        <w:r>
                          <w:rPr>
                            <w:sz w:val="16"/>
                          </w:rPr>
                          <w:t>ES</w:t>
                        </w:r>
                      </w:p>
                    </w:tc>
                  </w:tr>
                  <w:tr>
                    <w:trPr>
                      <w:trHeight w:val="275" w:hRule="atLeast"/>
                    </w:trPr>
                    <w:tc>
                      <w:tcPr>
                        <w:tcW w:w="1315" w:type="dxa"/>
                      </w:tcPr>
                      <w:p>
                        <w:pPr>
                          <w:pStyle w:val="TableParagraph"/>
                          <w:spacing w:before="37"/>
                          <w:ind w:left="57"/>
                          <w:rPr>
                            <w:sz w:val="16"/>
                          </w:rPr>
                        </w:pPr>
                        <w:r>
                          <w:rPr>
                            <w:sz w:val="16"/>
                          </w:rPr>
                          <w:t>East Timor</w:t>
                        </w:r>
                      </w:p>
                    </w:tc>
                    <w:tc>
                      <w:tcPr>
                        <w:tcW w:w="1106" w:type="dxa"/>
                      </w:tcPr>
                      <w:p>
                        <w:pPr>
                          <w:pStyle w:val="TableParagraph"/>
                          <w:spacing w:before="37"/>
                          <w:ind w:left="52" w:right="40"/>
                          <w:jc w:val="center"/>
                          <w:rPr>
                            <w:sz w:val="16"/>
                          </w:rPr>
                        </w:pPr>
                        <w:r>
                          <w:rPr>
                            <w:sz w:val="16"/>
                          </w:rPr>
                          <w:t>79</w:t>
                        </w:r>
                      </w:p>
                    </w:tc>
                    <w:tc>
                      <w:tcPr>
                        <w:tcW w:w="1120" w:type="dxa"/>
                      </w:tcPr>
                      <w:p>
                        <w:pPr>
                          <w:pStyle w:val="TableParagraph"/>
                          <w:spacing w:before="37"/>
                          <w:ind w:left="366" w:right="356"/>
                          <w:jc w:val="center"/>
                          <w:rPr>
                            <w:sz w:val="16"/>
                          </w:rPr>
                        </w:pPr>
                        <w:r>
                          <w:rPr>
                            <w:sz w:val="16"/>
                          </w:rPr>
                          <w:t>136</w:t>
                        </w:r>
                      </w:p>
                    </w:tc>
                    <w:tc>
                      <w:tcPr>
                        <w:tcW w:w="957" w:type="dxa"/>
                      </w:tcPr>
                      <w:p>
                        <w:pPr>
                          <w:pStyle w:val="TableParagraph"/>
                          <w:spacing w:before="37"/>
                          <w:ind w:left="123" w:right="112"/>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Gaza Strip</w:t>
                        </w:r>
                      </w:p>
                    </w:tc>
                    <w:tc>
                      <w:tcPr>
                        <w:tcW w:w="1106" w:type="dxa"/>
                      </w:tcPr>
                      <w:p>
                        <w:pPr>
                          <w:pStyle w:val="TableParagraph"/>
                          <w:rPr>
                            <w:sz w:val="16"/>
                          </w:rPr>
                        </w:pPr>
                      </w:p>
                    </w:tc>
                    <w:tc>
                      <w:tcPr>
                        <w:tcW w:w="1120" w:type="dxa"/>
                      </w:tcPr>
                      <w:p>
                        <w:pPr>
                          <w:pStyle w:val="TableParagraph"/>
                          <w:rPr>
                            <w:sz w:val="16"/>
                          </w:rPr>
                        </w:pPr>
                      </w:p>
                    </w:tc>
                    <w:tc>
                      <w:tcPr>
                        <w:tcW w:w="957" w:type="dxa"/>
                      </w:tcPr>
                      <w:p>
                        <w:pPr>
                          <w:pStyle w:val="TableParagraph"/>
                          <w:rPr>
                            <w:sz w:val="16"/>
                          </w:rPr>
                        </w:pPr>
                      </w:p>
                    </w:tc>
                  </w:tr>
                  <w:tr>
                    <w:trPr>
                      <w:trHeight w:val="273" w:hRule="atLeast"/>
                    </w:trPr>
                    <w:tc>
                      <w:tcPr>
                        <w:tcW w:w="1315" w:type="dxa"/>
                      </w:tcPr>
                      <w:p>
                        <w:pPr>
                          <w:pStyle w:val="TableParagraph"/>
                          <w:spacing w:before="37"/>
                          <w:ind w:left="57"/>
                          <w:rPr>
                            <w:sz w:val="16"/>
                          </w:rPr>
                        </w:pPr>
                        <w:r>
                          <w:rPr>
                            <w:sz w:val="16"/>
                          </w:rPr>
                          <w:t>Georgia</w:t>
                        </w:r>
                      </w:p>
                    </w:tc>
                    <w:tc>
                      <w:tcPr>
                        <w:tcW w:w="1106" w:type="dxa"/>
                      </w:tcPr>
                      <w:p>
                        <w:pPr>
                          <w:pStyle w:val="TableParagraph"/>
                          <w:spacing w:before="37"/>
                          <w:ind w:left="50" w:right="40"/>
                          <w:jc w:val="center"/>
                          <w:rPr>
                            <w:sz w:val="16"/>
                          </w:rPr>
                        </w:pPr>
                        <w:r>
                          <w:rPr>
                            <w:sz w:val="16"/>
                          </w:rPr>
                          <w:t>145</w:t>
                        </w:r>
                      </w:p>
                    </w:tc>
                    <w:tc>
                      <w:tcPr>
                        <w:tcW w:w="1120" w:type="dxa"/>
                      </w:tcPr>
                      <w:p>
                        <w:pPr>
                          <w:pStyle w:val="TableParagraph"/>
                          <w:spacing w:before="37"/>
                          <w:ind w:left="366" w:right="352"/>
                          <w:jc w:val="center"/>
                          <w:rPr>
                            <w:sz w:val="16"/>
                          </w:rPr>
                        </w:pPr>
                        <w:r>
                          <w:rPr>
                            <w:sz w:val="16"/>
                          </w:rPr>
                          <w:t>97</w:t>
                        </w:r>
                      </w:p>
                    </w:tc>
                    <w:tc>
                      <w:tcPr>
                        <w:tcW w:w="957" w:type="dxa"/>
                      </w:tcPr>
                      <w:p>
                        <w:pPr>
                          <w:pStyle w:val="TableParagraph"/>
                          <w:spacing w:before="37"/>
                          <w:ind w:left="123" w:right="112"/>
                          <w:jc w:val="center"/>
                          <w:rPr>
                            <w:sz w:val="16"/>
                          </w:rPr>
                        </w:pPr>
                        <w:r>
                          <w:rPr>
                            <w:sz w:val="16"/>
                          </w:rPr>
                          <w:t>FAO</w:t>
                        </w:r>
                      </w:p>
                    </w:tc>
                  </w:tr>
                  <w:tr>
                    <w:trPr>
                      <w:trHeight w:val="443" w:hRule="atLeast"/>
                    </w:trPr>
                    <w:tc>
                      <w:tcPr>
                        <w:tcW w:w="1315" w:type="dxa"/>
                      </w:tcPr>
                      <w:p>
                        <w:pPr>
                          <w:pStyle w:val="TableParagraph"/>
                          <w:spacing w:before="124"/>
                          <w:ind w:left="57"/>
                          <w:rPr>
                            <w:sz w:val="16"/>
                          </w:rPr>
                        </w:pPr>
                        <w:r>
                          <w:rPr>
                            <w:sz w:val="16"/>
                          </w:rPr>
                          <w:t>India</w:t>
                        </w:r>
                      </w:p>
                    </w:tc>
                    <w:tc>
                      <w:tcPr>
                        <w:tcW w:w="1106" w:type="dxa"/>
                      </w:tcPr>
                      <w:p>
                        <w:pPr>
                          <w:pStyle w:val="TableParagraph"/>
                          <w:spacing w:before="124"/>
                          <w:ind w:left="53" w:right="40"/>
                          <w:jc w:val="center"/>
                          <w:rPr>
                            <w:sz w:val="16"/>
                          </w:rPr>
                        </w:pPr>
                        <w:r>
                          <w:rPr>
                            <w:sz w:val="16"/>
                          </w:rPr>
                          <w:t>43</w:t>
                        </w:r>
                      </w:p>
                    </w:tc>
                    <w:tc>
                      <w:tcPr>
                        <w:tcW w:w="1120" w:type="dxa"/>
                      </w:tcPr>
                      <w:p>
                        <w:pPr>
                          <w:pStyle w:val="TableParagraph"/>
                          <w:spacing w:before="124"/>
                          <w:ind w:left="366" w:right="352"/>
                          <w:jc w:val="center"/>
                          <w:rPr>
                            <w:sz w:val="16"/>
                          </w:rPr>
                        </w:pPr>
                        <w:r>
                          <w:rPr>
                            <w:sz w:val="16"/>
                          </w:rPr>
                          <w:t>73</w:t>
                        </w:r>
                      </w:p>
                    </w:tc>
                    <w:tc>
                      <w:tcPr>
                        <w:tcW w:w="957" w:type="dxa"/>
                      </w:tcPr>
                      <w:p>
                        <w:pPr>
                          <w:pStyle w:val="TableParagraph"/>
                          <w:spacing w:before="124"/>
                          <w:ind w:left="123" w:right="108"/>
                          <w:jc w:val="center"/>
                          <w:rPr>
                            <w:sz w:val="16"/>
                          </w:rPr>
                        </w:pPr>
                        <w:r>
                          <w:rPr>
                            <w:sz w:val="16"/>
                          </w:rPr>
                          <w:t>NI</w:t>
                        </w:r>
                      </w:p>
                    </w:tc>
                  </w:tr>
                  <w:tr>
                    <w:trPr>
                      <w:trHeight w:val="275" w:hRule="atLeast"/>
                    </w:trPr>
                    <w:tc>
                      <w:tcPr>
                        <w:tcW w:w="1315" w:type="dxa"/>
                      </w:tcPr>
                      <w:p>
                        <w:pPr>
                          <w:pStyle w:val="TableParagraph"/>
                          <w:spacing w:before="37"/>
                          <w:ind w:left="57"/>
                          <w:rPr>
                            <w:sz w:val="16"/>
                          </w:rPr>
                        </w:pPr>
                        <w:r>
                          <w:rPr>
                            <w:sz w:val="16"/>
                          </w:rPr>
                          <w:t>Indonesia</w:t>
                        </w:r>
                      </w:p>
                    </w:tc>
                    <w:tc>
                      <w:tcPr>
                        <w:tcW w:w="1106" w:type="dxa"/>
                      </w:tcPr>
                      <w:p>
                        <w:pPr>
                          <w:pStyle w:val="TableParagraph"/>
                          <w:spacing w:before="37"/>
                          <w:ind w:left="53" w:right="40"/>
                          <w:jc w:val="center"/>
                          <w:rPr>
                            <w:sz w:val="16"/>
                          </w:rPr>
                        </w:pPr>
                        <w:r>
                          <w:rPr>
                            <w:sz w:val="16"/>
                          </w:rPr>
                          <w:t>79</w:t>
                        </w:r>
                      </w:p>
                    </w:tc>
                    <w:tc>
                      <w:tcPr>
                        <w:tcW w:w="1120" w:type="dxa"/>
                      </w:tcPr>
                      <w:p>
                        <w:pPr>
                          <w:pStyle w:val="TableParagraph"/>
                          <w:spacing w:before="37"/>
                          <w:ind w:left="366" w:right="356"/>
                          <w:jc w:val="center"/>
                          <w:rPr>
                            <w:sz w:val="16"/>
                          </w:rPr>
                        </w:pPr>
                        <w:r>
                          <w:rPr>
                            <w:sz w:val="16"/>
                          </w:rPr>
                          <w:t>136</w:t>
                        </w:r>
                      </w:p>
                    </w:tc>
                    <w:tc>
                      <w:tcPr>
                        <w:tcW w:w="957" w:type="dxa"/>
                      </w:tcPr>
                      <w:p>
                        <w:pPr>
                          <w:pStyle w:val="TableParagraph"/>
                          <w:spacing w:before="37"/>
                          <w:ind w:left="123" w:right="112"/>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Iran, Islamic Rep.</w:t>
                        </w:r>
                      </w:p>
                    </w:tc>
                    <w:tc>
                      <w:tcPr>
                        <w:tcW w:w="1106" w:type="dxa"/>
                      </w:tcPr>
                      <w:p>
                        <w:pPr>
                          <w:pStyle w:val="TableParagraph"/>
                          <w:spacing w:before="37"/>
                          <w:ind w:left="54" w:right="40"/>
                          <w:jc w:val="center"/>
                          <w:rPr>
                            <w:sz w:val="16"/>
                          </w:rPr>
                        </w:pPr>
                        <w:r>
                          <w:rPr>
                            <w:sz w:val="16"/>
                          </w:rPr>
                          <w:t>86</w:t>
                        </w:r>
                      </w:p>
                    </w:tc>
                    <w:tc>
                      <w:tcPr>
                        <w:tcW w:w="1120" w:type="dxa"/>
                      </w:tcPr>
                      <w:p>
                        <w:pPr>
                          <w:pStyle w:val="TableParagraph"/>
                          <w:spacing w:before="37"/>
                          <w:ind w:left="366" w:right="355"/>
                          <w:jc w:val="center"/>
                          <w:rPr>
                            <w:sz w:val="16"/>
                          </w:rPr>
                        </w:pPr>
                        <w:r>
                          <w:rPr>
                            <w:sz w:val="16"/>
                          </w:rPr>
                          <w:t>149</w:t>
                        </w:r>
                      </w:p>
                    </w:tc>
                    <w:tc>
                      <w:tcPr>
                        <w:tcW w:w="957" w:type="dxa"/>
                      </w:tcPr>
                      <w:p>
                        <w:pPr>
                          <w:pStyle w:val="TableParagraph"/>
                          <w:spacing w:before="37"/>
                          <w:ind w:left="123" w:right="111"/>
                          <w:jc w:val="center"/>
                          <w:rPr>
                            <w:sz w:val="16"/>
                          </w:rPr>
                        </w:pPr>
                        <w:r>
                          <w:rPr>
                            <w:sz w:val="16"/>
                          </w:rPr>
                          <w:t>FAO</w:t>
                        </w:r>
                      </w:p>
                    </w:tc>
                  </w:tr>
                  <w:tr>
                    <w:trPr>
                      <w:trHeight w:val="273" w:hRule="atLeast"/>
                    </w:trPr>
                    <w:tc>
                      <w:tcPr>
                        <w:tcW w:w="1315" w:type="dxa"/>
                      </w:tcPr>
                      <w:p>
                        <w:pPr>
                          <w:pStyle w:val="TableParagraph"/>
                          <w:spacing w:before="49"/>
                          <w:ind w:left="57"/>
                          <w:rPr>
                            <w:sz w:val="16"/>
                          </w:rPr>
                        </w:pPr>
                        <w:r>
                          <w:rPr>
                            <w:sz w:val="16"/>
                          </w:rPr>
                          <w:t>Iraq</w:t>
                        </w:r>
                      </w:p>
                    </w:tc>
                    <w:tc>
                      <w:tcPr>
                        <w:tcW w:w="1106" w:type="dxa"/>
                      </w:tcPr>
                      <w:p>
                        <w:pPr>
                          <w:pStyle w:val="TableParagraph"/>
                          <w:spacing w:before="49"/>
                          <w:ind w:left="53" w:right="40"/>
                          <w:jc w:val="center"/>
                          <w:rPr>
                            <w:sz w:val="16"/>
                          </w:rPr>
                        </w:pPr>
                        <w:r>
                          <w:rPr>
                            <w:sz w:val="16"/>
                          </w:rPr>
                          <w:t>29</w:t>
                        </w:r>
                      </w:p>
                    </w:tc>
                    <w:tc>
                      <w:tcPr>
                        <w:tcW w:w="1120" w:type="dxa"/>
                      </w:tcPr>
                      <w:p>
                        <w:pPr>
                          <w:pStyle w:val="TableParagraph"/>
                          <w:spacing w:before="49"/>
                          <w:ind w:left="366" w:right="352"/>
                          <w:jc w:val="center"/>
                          <w:rPr>
                            <w:sz w:val="16"/>
                          </w:rPr>
                        </w:pPr>
                        <w:r>
                          <w:rPr>
                            <w:sz w:val="16"/>
                          </w:rPr>
                          <w:t>28</w:t>
                        </w:r>
                      </w:p>
                    </w:tc>
                    <w:tc>
                      <w:tcPr>
                        <w:tcW w:w="957" w:type="dxa"/>
                      </w:tcPr>
                      <w:p>
                        <w:pPr>
                          <w:pStyle w:val="TableParagraph"/>
                          <w:spacing w:before="49"/>
                          <w:ind w:left="123" w:right="111"/>
                          <w:jc w:val="center"/>
                          <w:rPr>
                            <w:sz w:val="16"/>
                          </w:rPr>
                        </w:pPr>
                        <w:r>
                          <w:rPr>
                            <w:sz w:val="16"/>
                          </w:rPr>
                          <w:t>FAO</w:t>
                        </w:r>
                      </w:p>
                    </w:tc>
                  </w:tr>
                  <w:tr>
                    <w:trPr>
                      <w:trHeight w:val="275" w:hRule="atLeast"/>
                    </w:trPr>
                    <w:tc>
                      <w:tcPr>
                        <w:tcW w:w="1315" w:type="dxa"/>
                      </w:tcPr>
                      <w:p>
                        <w:pPr>
                          <w:pStyle w:val="TableParagraph"/>
                          <w:spacing w:before="49"/>
                          <w:ind w:left="57"/>
                          <w:rPr>
                            <w:sz w:val="16"/>
                          </w:rPr>
                        </w:pPr>
                        <w:r>
                          <w:rPr>
                            <w:sz w:val="16"/>
                          </w:rPr>
                          <w:t>Israel</w:t>
                        </w:r>
                      </w:p>
                    </w:tc>
                    <w:tc>
                      <w:tcPr>
                        <w:tcW w:w="1106" w:type="dxa"/>
                      </w:tcPr>
                      <w:p>
                        <w:pPr>
                          <w:pStyle w:val="TableParagraph"/>
                          <w:spacing w:before="49"/>
                          <w:ind w:left="51" w:right="40"/>
                          <w:jc w:val="center"/>
                          <w:rPr>
                            <w:sz w:val="16"/>
                          </w:rPr>
                        </w:pPr>
                        <w:r>
                          <w:rPr>
                            <w:sz w:val="16"/>
                          </w:rPr>
                          <w:t>49</w:t>
                        </w:r>
                      </w:p>
                    </w:tc>
                    <w:tc>
                      <w:tcPr>
                        <w:tcW w:w="1120" w:type="dxa"/>
                      </w:tcPr>
                      <w:p>
                        <w:pPr>
                          <w:pStyle w:val="TableParagraph"/>
                          <w:spacing w:before="49"/>
                          <w:ind w:left="14"/>
                          <w:jc w:val="center"/>
                          <w:rPr>
                            <w:sz w:val="16"/>
                          </w:rPr>
                        </w:pPr>
                        <w:r>
                          <w:rPr>
                            <w:w w:val="100"/>
                            <w:sz w:val="16"/>
                          </w:rPr>
                          <w:t>-</w:t>
                        </w:r>
                      </w:p>
                    </w:tc>
                    <w:tc>
                      <w:tcPr>
                        <w:tcW w:w="957" w:type="dxa"/>
                      </w:tcPr>
                      <w:p>
                        <w:pPr>
                          <w:pStyle w:val="TableParagraph"/>
                          <w:spacing w:before="49"/>
                          <w:ind w:left="123" w:right="112"/>
                          <w:jc w:val="center"/>
                          <w:rPr>
                            <w:sz w:val="16"/>
                          </w:rPr>
                        </w:pPr>
                        <w:r>
                          <w:rPr>
                            <w:sz w:val="16"/>
                          </w:rPr>
                          <w:t>FAO</w:t>
                        </w:r>
                      </w:p>
                    </w:tc>
                  </w:tr>
                  <w:tr>
                    <w:trPr>
                      <w:trHeight w:val="273" w:hRule="atLeast"/>
                    </w:trPr>
                    <w:tc>
                      <w:tcPr>
                        <w:tcW w:w="1315" w:type="dxa"/>
                      </w:tcPr>
                      <w:p>
                        <w:pPr>
                          <w:pStyle w:val="TableParagraph"/>
                          <w:spacing w:before="49"/>
                          <w:ind w:left="57"/>
                          <w:rPr>
                            <w:sz w:val="16"/>
                          </w:rPr>
                        </w:pPr>
                        <w:r>
                          <w:rPr>
                            <w:sz w:val="16"/>
                          </w:rPr>
                          <w:t>Japan</w:t>
                        </w:r>
                      </w:p>
                    </w:tc>
                    <w:tc>
                      <w:tcPr>
                        <w:tcW w:w="1106" w:type="dxa"/>
                      </w:tcPr>
                      <w:p>
                        <w:pPr>
                          <w:pStyle w:val="TableParagraph"/>
                          <w:spacing w:before="49"/>
                          <w:ind w:left="49" w:right="40"/>
                          <w:jc w:val="center"/>
                          <w:rPr>
                            <w:sz w:val="16"/>
                          </w:rPr>
                        </w:pPr>
                        <w:r>
                          <w:rPr>
                            <w:sz w:val="16"/>
                          </w:rPr>
                          <w:t>145</w:t>
                        </w:r>
                      </w:p>
                    </w:tc>
                    <w:tc>
                      <w:tcPr>
                        <w:tcW w:w="1120" w:type="dxa"/>
                      </w:tcPr>
                      <w:p>
                        <w:pPr>
                          <w:pStyle w:val="TableParagraph"/>
                          <w:spacing w:before="49"/>
                          <w:ind w:left="366" w:right="352"/>
                          <w:jc w:val="center"/>
                          <w:rPr>
                            <w:sz w:val="16"/>
                          </w:rPr>
                        </w:pPr>
                        <w:r>
                          <w:rPr>
                            <w:sz w:val="16"/>
                          </w:rPr>
                          <w:t>88</w:t>
                        </w:r>
                      </w:p>
                    </w:tc>
                    <w:tc>
                      <w:tcPr>
                        <w:tcW w:w="957" w:type="dxa"/>
                      </w:tcPr>
                      <w:p>
                        <w:pPr>
                          <w:pStyle w:val="TableParagraph"/>
                          <w:spacing w:before="49"/>
                          <w:ind w:left="123" w:right="112"/>
                          <w:jc w:val="center"/>
                          <w:rPr>
                            <w:sz w:val="16"/>
                          </w:rPr>
                        </w:pPr>
                        <w:r>
                          <w:rPr>
                            <w:sz w:val="16"/>
                          </w:rPr>
                          <w:t>FAO</w:t>
                        </w:r>
                      </w:p>
                    </w:tc>
                  </w:tr>
                  <w:tr>
                    <w:trPr>
                      <w:trHeight w:val="273" w:hRule="atLeast"/>
                    </w:trPr>
                    <w:tc>
                      <w:tcPr>
                        <w:tcW w:w="1315" w:type="dxa"/>
                      </w:tcPr>
                      <w:p>
                        <w:pPr>
                          <w:pStyle w:val="TableParagraph"/>
                          <w:spacing w:before="49"/>
                          <w:ind w:left="57"/>
                          <w:rPr>
                            <w:sz w:val="16"/>
                          </w:rPr>
                        </w:pPr>
                        <w:r>
                          <w:rPr>
                            <w:sz w:val="16"/>
                          </w:rPr>
                          <w:t>Jordan</w:t>
                        </w:r>
                      </w:p>
                    </w:tc>
                    <w:tc>
                      <w:tcPr>
                        <w:tcW w:w="1106" w:type="dxa"/>
                      </w:tcPr>
                      <w:p>
                        <w:pPr>
                          <w:pStyle w:val="TableParagraph"/>
                          <w:spacing w:before="49"/>
                          <w:ind w:left="53" w:right="40"/>
                          <w:jc w:val="center"/>
                          <w:rPr>
                            <w:sz w:val="16"/>
                          </w:rPr>
                        </w:pPr>
                        <w:r>
                          <w:rPr>
                            <w:sz w:val="16"/>
                          </w:rPr>
                          <w:t>38</w:t>
                        </w:r>
                      </w:p>
                    </w:tc>
                    <w:tc>
                      <w:tcPr>
                        <w:tcW w:w="1120" w:type="dxa"/>
                      </w:tcPr>
                      <w:p>
                        <w:pPr>
                          <w:pStyle w:val="TableParagraph"/>
                          <w:spacing w:before="49"/>
                          <w:ind w:left="366" w:right="352"/>
                          <w:jc w:val="center"/>
                          <w:rPr>
                            <w:sz w:val="16"/>
                          </w:rPr>
                        </w:pPr>
                        <w:r>
                          <w:rPr>
                            <w:sz w:val="16"/>
                          </w:rPr>
                          <w:t>37</w:t>
                        </w:r>
                      </w:p>
                    </w:tc>
                    <w:tc>
                      <w:tcPr>
                        <w:tcW w:w="957" w:type="dxa"/>
                      </w:tcPr>
                      <w:p>
                        <w:pPr>
                          <w:pStyle w:val="TableParagraph"/>
                          <w:spacing w:before="49"/>
                          <w:ind w:left="123" w:right="111"/>
                          <w:jc w:val="center"/>
                          <w:rPr>
                            <w:sz w:val="16"/>
                          </w:rPr>
                        </w:pPr>
                        <w:r>
                          <w:rPr>
                            <w:sz w:val="16"/>
                          </w:rPr>
                          <w:t>FAO</w:t>
                        </w:r>
                      </w:p>
                    </w:tc>
                  </w:tr>
                  <w:tr>
                    <w:trPr>
                      <w:trHeight w:val="275" w:hRule="atLeast"/>
                    </w:trPr>
                    <w:tc>
                      <w:tcPr>
                        <w:tcW w:w="1315" w:type="dxa"/>
                      </w:tcPr>
                      <w:p>
                        <w:pPr>
                          <w:pStyle w:val="TableParagraph"/>
                          <w:spacing w:before="49"/>
                          <w:ind w:left="57"/>
                          <w:rPr>
                            <w:sz w:val="16"/>
                          </w:rPr>
                        </w:pPr>
                        <w:r>
                          <w:rPr>
                            <w:sz w:val="16"/>
                          </w:rPr>
                          <w:t>Kazakhstan</w:t>
                        </w:r>
                      </w:p>
                    </w:tc>
                    <w:tc>
                      <w:tcPr>
                        <w:tcW w:w="1106" w:type="dxa"/>
                      </w:tcPr>
                      <w:p>
                        <w:pPr>
                          <w:pStyle w:val="TableParagraph"/>
                          <w:spacing w:before="49"/>
                          <w:ind w:left="52" w:right="40"/>
                          <w:jc w:val="center"/>
                          <w:rPr>
                            <w:sz w:val="16"/>
                          </w:rPr>
                        </w:pPr>
                        <w:r>
                          <w:rPr>
                            <w:sz w:val="16"/>
                          </w:rPr>
                          <w:t>35</w:t>
                        </w:r>
                      </w:p>
                    </w:tc>
                    <w:tc>
                      <w:tcPr>
                        <w:tcW w:w="1120" w:type="dxa"/>
                      </w:tcPr>
                      <w:p>
                        <w:pPr>
                          <w:pStyle w:val="TableParagraph"/>
                          <w:spacing w:before="49"/>
                          <w:ind w:left="366" w:right="353"/>
                          <w:jc w:val="center"/>
                          <w:rPr>
                            <w:sz w:val="16"/>
                          </w:rPr>
                        </w:pPr>
                        <w:r>
                          <w:rPr>
                            <w:sz w:val="16"/>
                          </w:rPr>
                          <w:t>18</w:t>
                        </w:r>
                      </w:p>
                    </w:tc>
                    <w:tc>
                      <w:tcPr>
                        <w:tcW w:w="957" w:type="dxa"/>
                      </w:tcPr>
                      <w:p>
                        <w:pPr>
                          <w:pStyle w:val="TableParagraph"/>
                          <w:spacing w:before="49"/>
                          <w:ind w:left="123" w:right="113"/>
                          <w:jc w:val="center"/>
                          <w:rPr>
                            <w:sz w:val="16"/>
                          </w:rPr>
                        </w:pPr>
                        <w:r>
                          <w:rPr>
                            <w:sz w:val="16"/>
                          </w:rPr>
                          <w:t>FAO</w:t>
                        </w:r>
                      </w:p>
                    </w:tc>
                  </w:tr>
                  <w:tr>
                    <w:trPr>
                      <w:trHeight w:val="273" w:hRule="atLeast"/>
                    </w:trPr>
                    <w:tc>
                      <w:tcPr>
                        <w:tcW w:w="1315" w:type="dxa"/>
                      </w:tcPr>
                      <w:p>
                        <w:pPr>
                          <w:pStyle w:val="TableParagraph"/>
                          <w:spacing w:before="49"/>
                          <w:ind w:left="57"/>
                          <w:rPr>
                            <w:sz w:val="16"/>
                          </w:rPr>
                        </w:pPr>
                        <w:r>
                          <w:rPr>
                            <w:sz w:val="16"/>
                          </w:rPr>
                          <w:t>Kuwait</w:t>
                        </w:r>
                      </w:p>
                    </w:tc>
                    <w:tc>
                      <w:tcPr>
                        <w:tcW w:w="1106" w:type="dxa"/>
                      </w:tcPr>
                      <w:p>
                        <w:pPr>
                          <w:pStyle w:val="TableParagraph"/>
                          <w:spacing w:before="49"/>
                          <w:ind w:left="53" w:right="40"/>
                          <w:jc w:val="center"/>
                          <w:rPr>
                            <w:sz w:val="16"/>
                          </w:rPr>
                        </w:pPr>
                        <w:r>
                          <w:rPr>
                            <w:sz w:val="16"/>
                          </w:rPr>
                          <w:t>21</w:t>
                        </w:r>
                      </w:p>
                    </w:tc>
                    <w:tc>
                      <w:tcPr>
                        <w:tcW w:w="1120" w:type="dxa"/>
                      </w:tcPr>
                      <w:p>
                        <w:pPr>
                          <w:pStyle w:val="TableParagraph"/>
                          <w:spacing w:before="49"/>
                          <w:ind w:left="366" w:right="352"/>
                          <w:jc w:val="center"/>
                          <w:rPr>
                            <w:sz w:val="16"/>
                          </w:rPr>
                        </w:pPr>
                        <w:r>
                          <w:rPr>
                            <w:sz w:val="16"/>
                          </w:rPr>
                          <w:t>21</w:t>
                        </w:r>
                      </w:p>
                    </w:tc>
                    <w:tc>
                      <w:tcPr>
                        <w:tcW w:w="957" w:type="dxa"/>
                      </w:tcPr>
                      <w:p>
                        <w:pPr>
                          <w:pStyle w:val="TableParagraph"/>
                          <w:spacing w:before="49"/>
                          <w:ind w:left="123" w:right="112"/>
                          <w:jc w:val="center"/>
                          <w:rPr>
                            <w:sz w:val="16"/>
                          </w:rPr>
                        </w:pPr>
                        <w:r>
                          <w:rPr>
                            <w:sz w:val="16"/>
                          </w:rPr>
                          <w:t>FAO</w:t>
                        </w:r>
                      </w:p>
                    </w:tc>
                  </w:tr>
                  <w:tr>
                    <w:trPr>
                      <w:trHeight w:val="273" w:hRule="atLeast"/>
                    </w:trPr>
                    <w:tc>
                      <w:tcPr>
                        <w:tcW w:w="1315" w:type="dxa"/>
                      </w:tcPr>
                      <w:p>
                        <w:pPr>
                          <w:pStyle w:val="TableParagraph"/>
                          <w:spacing w:before="49"/>
                          <w:ind w:left="57"/>
                          <w:rPr>
                            <w:sz w:val="16"/>
                          </w:rPr>
                        </w:pPr>
                        <w:r>
                          <w:rPr>
                            <w:sz w:val="16"/>
                          </w:rPr>
                          <w:t>Kyrgyzstan</w:t>
                        </w:r>
                      </w:p>
                    </w:tc>
                    <w:tc>
                      <w:tcPr>
                        <w:tcW w:w="1106" w:type="dxa"/>
                      </w:tcPr>
                      <w:p>
                        <w:pPr>
                          <w:pStyle w:val="TableParagraph"/>
                          <w:spacing w:before="49"/>
                          <w:ind w:left="53" w:right="40"/>
                          <w:jc w:val="center"/>
                          <w:rPr>
                            <w:sz w:val="16"/>
                          </w:rPr>
                        </w:pPr>
                        <w:r>
                          <w:rPr>
                            <w:sz w:val="16"/>
                          </w:rPr>
                          <w:t>32</w:t>
                        </w:r>
                      </w:p>
                    </w:tc>
                    <w:tc>
                      <w:tcPr>
                        <w:tcW w:w="1120" w:type="dxa"/>
                      </w:tcPr>
                      <w:p>
                        <w:pPr>
                          <w:pStyle w:val="TableParagraph"/>
                          <w:spacing w:before="49"/>
                          <w:ind w:left="15"/>
                          <w:jc w:val="center"/>
                          <w:rPr>
                            <w:sz w:val="16"/>
                          </w:rPr>
                        </w:pPr>
                        <w:r>
                          <w:rPr>
                            <w:w w:val="100"/>
                            <w:sz w:val="16"/>
                          </w:rPr>
                          <w:t>-</w:t>
                        </w:r>
                      </w:p>
                    </w:tc>
                    <w:tc>
                      <w:tcPr>
                        <w:tcW w:w="957" w:type="dxa"/>
                      </w:tcPr>
                      <w:p>
                        <w:pPr>
                          <w:pStyle w:val="TableParagraph"/>
                          <w:spacing w:before="49"/>
                          <w:ind w:left="123" w:right="111"/>
                          <w:jc w:val="center"/>
                          <w:rPr>
                            <w:sz w:val="16"/>
                          </w:rPr>
                        </w:pPr>
                        <w:r>
                          <w:rPr>
                            <w:sz w:val="16"/>
                          </w:rPr>
                          <w:t>FAO</w:t>
                        </w:r>
                      </w:p>
                    </w:tc>
                  </w:tr>
                  <w:tr>
                    <w:trPr>
                      <w:trHeight w:val="388" w:hRule="atLeast"/>
                    </w:trPr>
                    <w:tc>
                      <w:tcPr>
                        <w:tcW w:w="1315" w:type="dxa"/>
                      </w:tcPr>
                      <w:p>
                        <w:pPr>
                          <w:pStyle w:val="TableParagraph"/>
                          <w:spacing w:line="180" w:lineRule="atLeast" w:before="16"/>
                          <w:ind w:left="57" w:right="21"/>
                          <w:rPr>
                            <w:sz w:val="16"/>
                          </w:rPr>
                        </w:pPr>
                        <w:r>
                          <w:rPr>
                            <w:sz w:val="16"/>
                          </w:rPr>
                          <w:t>Lao People's Dem. Rep</w:t>
                        </w:r>
                      </w:p>
                    </w:tc>
                    <w:tc>
                      <w:tcPr>
                        <w:tcW w:w="1106" w:type="dxa"/>
                      </w:tcPr>
                      <w:p>
                        <w:pPr>
                          <w:pStyle w:val="TableParagraph"/>
                          <w:spacing w:before="105"/>
                          <w:ind w:left="52" w:right="40"/>
                          <w:jc w:val="center"/>
                          <w:rPr>
                            <w:sz w:val="16"/>
                          </w:rPr>
                        </w:pPr>
                        <w:r>
                          <w:rPr>
                            <w:sz w:val="16"/>
                          </w:rPr>
                          <w:t>29</w:t>
                        </w:r>
                      </w:p>
                    </w:tc>
                    <w:tc>
                      <w:tcPr>
                        <w:tcW w:w="1120" w:type="dxa"/>
                      </w:tcPr>
                      <w:p>
                        <w:pPr>
                          <w:pStyle w:val="TableParagraph"/>
                          <w:spacing w:before="105"/>
                          <w:ind w:left="366" w:right="352"/>
                          <w:jc w:val="center"/>
                          <w:rPr>
                            <w:sz w:val="16"/>
                          </w:rPr>
                        </w:pPr>
                        <w:r>
                          <w:rPr>
                            <w:sz w:val="16"/>
                          </w:rPr>
                          <w:t>31</w:t>
                        </w:r>
                      </w:p>
                    </w:tc>
                    <w:tc>
                      <w:tcPr>
                        <w:tcW w:w="957" w:type="dxa"/>
                      </w:tcPr>
                      <w:p>
                        <w:pPr>
                          <w:pStyle w:val="TableParagraph"/>
                          <w:spacing w:before="105"/>
                          <w:ind w:left="123" w:right="108"/>
                          <w:jc w:val="center"/>
                          <w:rPr>
                            <w:sz w:val="16"/>
                          </w:rPr>
                        </w:pPr>
                        <w:r>
                          <w:rPr>
                            <w:sz w:val="16"/>
                          </w:rPr>
                          <w:t>NI</w:t>
                        </w:r>
                      </w:p>
                    </w:tc>
                  </w:tr>
                  <w:tr>
                    <w:trPr>
                      <w:trHeight w:val="273" w:hRule="atLeast"/>
                    </w:trPr>
                    <w:tc>
                      <w:tcPr>
                        <w:tcW w:w="1315" w:type="dxa"/>
                      </w:tcPr>
                      <w:p>
                        <w:pPr>
                          <w:pStyle w:val="TableParagraph"/>
                          <w:spacing w:before="37"/>
                          <w:ind w:left="57"/>
                          <w:rPr>
                            <w:sz w:val="16"/>
                          </w:rPr>
                        </w:pPr>
                        <w:r>
                          <w:rPr>
                            <w:sz w:val="16"/>
                          </w:rPr>
                          <w:t>Lebanon</w:t>
                        </w:r>
                      </w:p>
                    </w:tc>
                    <w:tc>
                      <w:tcPr>
                        <w:tcW w:w="1106" w:type="dxa"/>
                      </w:tcPr>
                      <w:p>
                        <w:pPr>
                          <w:pStyle w:val="TableParagraph"/>
                          <w:spacing w:before="37"/>
                          <w:ind w:left="53" w:right="40"/>
                          <w:jc w:val="center"/>
                          <w:rPr>
                            <w:sz w:val="16"/>
                          </w:rPr>
                        </w:pPr>
                        <w:r>
                          <w:rPr>
                            <w:sz w:val="16"/>
                          </w:rPr>
                          <w:t>23</w:t>
                        </w:r>
                      </w:p>
                    </w:tc>
                    <w:tc>
                      <w:tcPr>
                        <w:tcW w:w="1120" w:type="dxa"/>
                      </w:tcPr>
                      <w:p>
                        <w:pPr>
                          <w:pStyle w:val="TableParagraph"/>
                          <w:spacing w:before="37"/>
                          <w:ind w:left="366" w:right="352"/>
                          <w:jc w:val="center"/>
                          <w:rPr>
                            <w:sz w:val="16"/>
                          </w:rPr>
                        </w:pPr>
                        <w:r>
                          <w:rPr>
                            <w:sz w:val="16"/>
                          </w:rPr>
                          <w:t>22</w:t>
                        </w:r>
                      </w:p>
                    </w:tc>
                    <w:tc>
                      <w:tcPr>
                        <w:tcW w:w="957" w:type="dxa"/>
                      </w:tcPr>
                      <w:p>
                        <w:pPr>
                          <w:pStyle w:val="TableParagraph"/>
                          <w:spacing w:before="37"/>
                          <w:ind w:left="123" w:right="111"/>
                          <w:jc w:val="center"/>
                          <w:rPr>
                            <w:sz w:val="16"/>
                          </w:rPr>
                        </w:pPr>
                        <w:r>
                          <w:rPr>
                            <w:sz w:val="16"/>
                          </w:rPr>
                          <w:t>FAO</w:t>
                        </w:r>
                      </w:p>
                    </w:tc>
                  </w:tr>
                  <w:tr>
                    <w:trPr>
                      <w:trHeight w:val="275" w:hRule="atLeast"/>
                    </w:trPr>
                    <w:tc>
                      <w:tcPr>
                        <w:tcW w:w="1315" w:type="dxa"/>
                      </w:tcPr>
                      <w:p>
                        <w:pPr>
                          <w:pStyle w:val="TableParagraph"/>
                          <w:spacing w:before="37"/>
                          <w:ind w:left="57"/>
                          <w:rPr>
                            <w:sz w:val="16"/>
                          </w:rPr>
                        </w:pPr>
                        <w:r>
                          <w:rPr>
                            <w:sz w:val="16"/>
                          </w:rPr>
                          <w:t>Malaysia</w:t>
                        </w:r>
                      </w:p>
                    </w:tc>
                    <w:tc>
                      <w:tcPr>
                        <w:tcW w:w="1106" w:type="dxa"/>
                      </w:tcPr>
                      <w:p>
                        <w:pPr>
                          <w:pStyle w:val="TableParagraph"/>
                          <w:spacing w:before="37"/>
                          <w:ind w:left="51" w:right="40"/>
                          <w:jc w:val="center"/>
                          <w:rPr>
                            <w:sz w:val="16"/>
                          </w:rPr>
                        </w:pPr>
                        <w:r>
                          <w:rPr>
                            <w:sz w:val="16"/>
                          </w:rPr>
                          <w:t>119</w:t>
                        </w:r>
                      </w:p>
                    </w:tc>
                    <w:tc>
                      <w:tcPr>
                        <w:tcW w:w="1120" w:type="dxa"/>
                      </w:tcPr>
                      <w:p>
                        <w:pPr>
                          <w:pStyle w:val="TableParagraph"/>
                          <w:spacing w:before="37"/>
                          <w:ind w:left="366" w:right="355"/>
                          <w:jc w:val="center"/>
                          <w:rPr>
                            <w:sz w:val="16"/>
                          </w:rPr>
                        </w:pPr>
                        <w:r>
                          <w:rPr>
                            <w:sz w:val="16"/>
                          </w:rPr>
                          <w:t>205</w:t>
                        </w:r>
                      </w:p>
                    </w:tc>
                    <w:tc>
                      <w:tcPr>
                        <w:tcW w:w="957" w:type="dxa"/>
                      </w:tcPr>
                      <w:p>
                        <w:pPr>
                          <w:pStyle w:val="TableParagraph"/>
                          <w:spacing w:before="37"/>
                          <w:ind w:left="123" w:right="111"/>
                          <w:jc w:val="center"/>
                          <w:rPr>
                            <w:sz w:val="16"/>
                          </w:rPr>
                        </w:pPr>
                        <w:r>
                          <w:rPr>
                            <w:sz w:val="16"/>
                          </w:rPr>
                          <w:t>ES</w:t>
                        </w:r>
                      </w:p>
                    </w:tc>
                  </w:tr>
                  <w:tr>
                    <w:trPr>
                      <w:trHeight w:val="273" w:hRule="atLeast"/>
                    </w:trPr>
                    <w:tc>
                      <w:tcPr>
                        <w:tcW w:w="1315" w:type="dxa"/>
                      </w:tcPr>
                      <w:p>
                        <w:pPr>
                          <w:pStyle w:val="TableParagraph"/>
                          <w:spacing w:before="37"/>
                          <w:ind w:left="57"/>
                          <w:rPr>
                            <w:sz w:val="16"/>
                          </w:rPr>
                        </w:pPr>
                        <w:r>
                          <w:rPr>
                            <w:sz w:val="16"/>
                          </w:rPr>
                          <w:t>Maldives</w:t>
                        </w:r>
                      </w:p>
                    </w:tc>
                    <w:tc>
                      <w:tcPr>
                        <w:tcW w:w="1106" w:type="dxa"/>
                      </w:tcPr>
                      <w:p>
                        <w:pPr>
                          <w:pStyle w:val="TableParagraph"/>
                          <w:spacing w:before="37"/>
                          <w:ind w:left="15"/>
                          <w:jc w:val="center"/>
                          <w:rPr>
                            <w:sz w:val="16"/>
                          </w:rPr>
                        </w:pPr>
                        <w:r>
                          <w:rPr>
                            <w:w w:val="100"/>
                            <w:sz w:val="16"/>
                          </w:rPr>
                          <w:t>-</w:t>
                        </w:r>
                      </w:p>
                    </w:tc>
                    <w:tc>
                      <w:tcPr>
                        <w:tcW w:w="1120" w:type="dxa"/>
                      </w:tcPr>
                      <w:p>
                        <w:pPr>
                          <w:pStyle w:val="TableParagraph"/>
                          <w:spacing w:before="37"/>
                          <w:ind w:left="16"/>
                          <w:jc w:val="center"/>
                          <w:rPr>
                            <w:sz w:val="16"/>
                          </w:rPr>
                        </w:pPr>
                        <w:r>
                          <w:rPr>
                            <w:w w:val="100"/>
                            <w:sz w:val="16"/>
                          </w:rPr>
                          <w:t>-</w:t>
                        </w:r>
                      </w:p>
                    </w:tc>
                    <w:tc>
                      <w:tcPr>
                        <w:tcW w:w="957" w:type="dxa"/>
                      </w:tcPr>
                      <w:p>
                        <w:pPr>
                          <w:pStyle w:val="TableParagraph"/>
                          <w:spacing w:before="37"/>
                          <w:ind w:left="12"/>
                          <w:jc w:val="center"/>
                          <w:rPr>
                            <w:sz w:val="16"/>
                          </w:rPr>
                        </w:pPr>
                        <w:r>
                          <w:rPr>
                            <w:w w:val="100"/>
                            <w:sz w:val="16"/>
                          </w:rPr>
                          <w:t>-</w:t>
                        </w:r>
                      </w:p>
                    </w:tc>
                  </w:tr>
                  <w:tr>
                    <w:trPr>
                      <w:trHeight w:val="273" w:hRule="atLeast"/>
                    </w:trPr>
                    <w:tc>
                      <w:tcPr>
                        <w:tcW w:w="1315" w:type="dxa"/>
                      </w:tcPr>
                      <w:p>
                        <w:pPr>
                          <w:pStyle w:val="TableParagraph"/>
                          <w:spacing w:before="37"/>
                          <w:ind w:left="57"/>
                          <w:rPr>
                            <w:sz w:val="16"/>
                          </w:rPr>
                        </w:pPr>
                        <w:r>
                          <w:rPr>
                            <w:sz w:val="16"/>
                          </w:rPr>
                          <w:t>Mongolia</w:t>
                        </w:r>
                      </w:p>
                    </w:tc>
                    <w:tc>
                      <w:tcPr>
                        <w:tcW w:w="1106" w:type="dxa"/>
                      </w:tcPr>
                      <w:p>
                        <w:pPr>
                          <w:pStyle w:val="TableParagraph"/>
                          <w:spacing w:before="37"/>
                          <w:ind w:left="50" w:right="40"/>
                          <w:jc w:val="center"/>
                          <w:rPr>
                            <w:sz w:val="16"/>
                          </w:rPr>
                        </w:pPr>
                        <w:r>
                          <w:rPr>
                            <w:sz w:val="16"/>
                          </w:rPr>
                          <w:t>128</w:t>
                        </w:r>
                      </w:p>
                    </w:tc>
                    <w:tc>
                      <w:tcPr>
                        <w:tcW w:w="1120" w:type="dxa"/>
                      </w:tcPr>
                      <w:p>
                        <w:pPr>
                          <w:pStyle w:val="TableParagraph"/>
                          <w:spacing w:before="37"/>
                          <w:ind w:left="366" w:right="351"/>
                          <w:jc w:val="center"/>
                          <w:rPr>
                            <w:sz w:val="16"/>
                          </w:rPr>
                        </w:pPr>
                        <w:r>
                          <w:rPr>
                            <w:sz w:val="16"/>
                          </w:rPr>
                          <w:t>80</w:t>
                        </w:r>
                      </w:p>
                    </w:tc>
                    <w:tc>
                      <w:tcPr>
                        <w:tcW w:w="957" w:type="dxa"/>
                      </w:tcPr>
                      <w:p>
                        <w:pPr>
                          <w:pStyle w:val="TableParagraph"/>
                          <w:spacing w:before="37"/>
                          <w:ind w:left="123" w:right="108"/>
                          <w:jc w:val="center"/>
                          <w:rPr>
                            <w:sz w:val="16"/>
                          </w:rPr>
                        </w:pPr>
                        <w:r>
                          <w:rPr>
                            <w:sz w:val="16"/>
                          </w:rPr>
                          <w:t>NI</w:t>
                        </w:r>
                      </w:p>
                    </w:tc>
                  </w:tr>
                  <w:tr>
                    <w:trPr>
                      <w:trHeight w:val="275" w:hRule="atLeast"/>
                    </w:trPr>
                    <w:tc>
                      <w:tcPr>
                        <w:tcW w:w="1315" w:type="dxa"/>
                      </w:tcPr>
                      <w:p>
                        <w:pPr>
                          <w:pStyle w:val="TableParagraph"/>
                          <w:spacing w:before="37"/>
                          <w:ind w:left="57"/>
                          <w:rPr>
                            <w:sz w:val="16"/>
                          </w:rPr>
                        </w:pPr>
                        <w:r>
                          <w:rPr>
                            <w:sz w:val="16"/>
                          </w:rPr>
                          <w:t>Myanmar</w:t>
                        </w:r>
                      </w:p>
                    </w:tc>
                    <w:tc>
                      <w:tcPr>
                        <w:tcW w:w="1106" w:type="dxa"/>
                      </w:tcPr>
                      <w:p>
                        <w:pPr>
                          <w:pStyle w:val="TableParagraph"/>
                          <w:spacing w:before="37"/>
                          <w:ind w:left="54" w:right="40"/>
                          <w:jc w:val="center"/>
                          <w:rPr>
                            <w:sz w:val="16"/>
                          </w:rPr>
                        </w:pPr>
                        <w:r>
                          <w:rPr>
                            <w:sz w:val="16"/>
                          </w:rPr>
                          <w:t>33</w:t>
                        </w:r>
                      </w:p>
                    </w:tc>
                    <w:tc>
                      <w:tcPr>
                        <w:tcW w:w="1120" w:type="dxa"/>
                      </w:tcPr>
                      <w:p>
                        <w:pPr>
                          <w:pStyle w:val="TableParagraph"/>
                          <w:spacing w:before="37"/>
                          <w:ind w:left="366" w:right="351"/>
                          <w:jc w:val="center"/>
                          <w:rPr>
                            <w:sz w:val="16"/>
                          </w:rPr>
                        </w:pPr>
                        <w:r>
                          <w:rPr>
                            <w:sz w:val="16"/>
                          </w:rPr>
                          <w:t>57</w:t>
                        </w:r>
                      </w:p>
                    </w:tc>
                    <w:tc>
                      <w:tcPr>
                        <w:tcW w:w="957" w:type="dxa"/>
                      </w:tcPr>
                      <w:p>
                        <w:pPr>
                          <w:pStyle w:val="TableParagraph"/>
                          <w:spacing w:before="37"/>
                          <w:ind w:left="123" w:right="108"/>
                          <w:jc w:val="center"/>
                          <w:rPr>
                            <w:sz w:val="16"/>
                          </w:rPr>
                        </w:pPr>
                        <w:r>
                          <w:rPr>
                            <w:sz w:val="16"/>
                          </w:rPr>
                          <w:t>NI</w:t>
                        </w:r>
                      </w:p>
                    </w:tc>
                  </w:tr>
                  <w:tr>
                    <w:trPr>
                      <w:trHeight w:val="273" w:hRule="atLeast"/>
                    </w:trPr>
                    <w:tc>
                      <w:tcPr>
                        <w:tcW w:w="1315" w:type="dxa"/>
                      </w:tcPr>
                      <w:p>
                        <w:pPr>
                          <w:pStyle w:val="TableParagraph"/>
                          <w:spacing w:before="37"/>
                          <w:ind w:left="57"/>
                          <w:rPr>
                            <w:sz w:val="16"/>
                          </w:rPr>
                        </w:pPr>
                        <w:r>
                          <w:rPr>
                            <w:sz w:val="16"/>
                          </w:rPr>
                          <w:t>Nepal</w:t>
                        </w:r>
                      </w:p>
                    </w:tc>
                    <w:tc>
                      <w:tcPr>
                        <w:tcW w:w="1106" w:type="dxa"/>
                      </w:tcPr>
                      <w:p>
                        <w:pPr>
                          <w:pStyle w:val="TableParagraph"/>
                          <w:spacing w:before="37"/>
                          <w:ind w:left="50" w:right="40"/>
                          <w:jc w:val="center"/>
                          <w:rPr>
                            <w:sz w:val="16"/>
                          </w:rPr>
                        </w:pPr>
                        <w:r>
                          <w:rPr>
                            <w:sz w:val="16"/>
                          </w:rPr>
                          <w:t>100</w:t>
                        </w:r>
                      </w:p>
                    </w:tc>
                    <w:tc>
                      <w:tcPr>
                        <w:tcW w:w="1120" w:type="dxa"/>
                      </w:tcPr>
                      <w:p>
                        <w:pPr>
                          <w:pStyle w:val="TableParagraph"/>
                          <w:spacing w:before="37"/>
                          <w:ind w:left="366" w:right="355"/>
                          <w:jc w:val="center"/>
                          <w:rPr>
                            <w:sz w:val="16"/>
                          </w:rPr>
                        </w:pPr>
                        <w:r>
                          <w:rPr>
                            <w:sz w:val="16"/>
                          </w:rPr>
                          <w:t>109</w:t>
                        </w:r>
                      </w:p>
                    </w:tc>
                    <w:tc>
                      <w:tcPr>
                        <w:tcW w:w="957" w:type="dxa"/>
                      </w:tcPr>
                      <w:p>
                        <w:pPr>
                          <w:pStyle w:val="TableParagraph"/>
                          <w:spacing w:before="37"/>
                          <w:ind w:left="123" w:right="105"/>
                          <w:jc w:val="center"/>
                          <w:rPr>
                            <w:sz w:val="16"/>
                          </w:rPr>
                        </w:pPr>
                        <w:r>
                          <w:rPr>
                            <w:sz w:val="16"/>
                          </w:rPr>
                          <w:t>PI</w:t>
                        </w:r>
                      </w:p>
                    </w:tc>
                  </w:tr>
                  <w:tr>
                    <w:trPr>
                      <w:trHeight w:val="273" w:hRule="atLeast"/>
                    </w:trPr>
                    <w:tc>
                      <w:tcPr>
                        <w:tcW w:w="1315" w:type="dxa"/>
                      </w:tcPr>
                      <w:p>
                        <w:pPr>
                          <w:pStyle w:val="TableParagraph"/>
                          <w:spacing w:before="37"/>
                          <w:ind w:left="57"/>
                          <w:rPr>
                            <w:sz w:val="16"/>
                          </w:rPr>
                        </w:pPr>
                        <w:r>
                          <w:rPr>
                            <w:sz w:val="16"/>
                          </w:rPr>
                          <w:t>Oman</w:t>
                        </w:r>
                      </w:p>
                    </w:tc>
                    <w:tc>
                      <w:tcPr>
                        <w:tcW w:w="1106" w:type="dxa"/>
                      </w:tcPr>
                      <w:p>
                        <w:pPr>
                          <w:pStyle w:val="TableParagraph"/>
                          <w:spacing w:before="37"/>
                          <w:ind w:left="53" w:right="40"/>
                          <w:jc w:val="center"/>
                          <w:rPr>
                            <w:sz w:val="16"/>
                          </w:rPr>
                        </w:pPr>
                        <w:r>
                          <w:rPr>
                            <w:sz w:val="16"/>
                          </w:rPr>
                          <w:t>17</w:t>
                        </w:r>
                      </w:p>
                    </w:tc>
                    <w:tc>
                      <w:tcPr>
                        <w:tcW w:w="1120" w:type="dxa"/>
                      </w:tcPr>
                      <w:p>
                        <w:pPr>
                          <w:pStyle w:val="TableParagraph"/>
                          <w:spacing w:before="37"/>
                          <w:ind w:left="366" w:right="352"/>
                          <w:jc w:val="center"/>
                          <w:rPr>
                            <w:sz w:val="16"/>
                          </w:rPr>
                        </w:pPr>
                        <w:r>
                          <w:rPr>
                            <w:sz w:val="16"/>
                          </w:rPr>
                          <w:t>17</w:t>
                        </w:r>
                      </w:p>
                    </w:tc>
                    <w:tc>
                      <w:tcPr>
                        <w:tcW w:w="957" w:type="dxa"/>
                      </w:tcPr>
                      <w:p>
                        <w:pPr>
                          <w:pStyle w:val="TableParagraph"/>
                          <w:spacing w:before="37"/>
                          <w:ind w:left="123" w:right="111"/>
                          <w:jc w:val="center"/>
                          <w:rPr>
                            <w:sz w:val="16"/>
                          </w:rPr>
                        </w:pPr>
                        <w:r>
                          <w:rPr>
                            <w:sz w:val="16"/>
                          </w:rPr>
                          <w:t>FAO</w:t>
                        </w:r>
                      </w:p>
                    </w:tc>
                  </w:tr>
                  <w:tr>
                    <w:trPr>
                      <w:trHeight w:val="275" w:hRule="atLeast"/>
                    </w:trPr>
                    <w:tc>
                      <w:tcPr>
                        <w:tcW w:w="1315" w:type="dxa"/>
                      </w:tcPr>
                      <w:p>
                        <w:pPr>
                          <w:pStyle w:val="TableParagraph"/>
                          <w:spacing w:before="37"/>
                          <w:ind w:left="57"/>
                          <w:rPr>
                            <w:sz w:val="16"/>
                          </w:rPr>
                        </w:pPr>
                        <w:r>
                          <w:rPr>
                            <w:sz w:val="16"/>
                          </w:rPr>
                          <w:t>Pakistan</w:t>
                        </w:r>
                      </w:p>
                    </w:tc>
                    <w:tc>
                      <w:tcPr>
                        <w:tcW w:w="1106" w:type="dxa"/>
                      </w:tcPr>
                      <w:p>
                        <w:pPr>
                          <w:pStyle w:val="TableParagraph"/>
                          <w:spacing w:before="37"/>
                          <w:ind w:left="52" w:right="40"/>
                          <w:jc w:val="center"/>
                          <w:rPr>
                            <w:sz w:val="16"/>
                          </w:rPr>
                        </w:pPr>
                        <w:r>
                          <w:rPr>
                            <w:sz w:val="16"/>
                          </w:rPr>
                          <w:t>22</w:t>
                        </w:r>
                      </w:p>
                    </w:tc>
                    <w:tc>
                      <w:tcPr>
                        <w:tcW w:w="1120" w:type="dxa"/>
                      </w:tcPr>
                      <w:p>
                        <w:pPr>
                          <w:pStyle w:val="TableParagraph"/>
                          <w:spacing w:before="37"/>
                          <w:ind w:left="366" w:right="352"/>
                          <w:jc w:val="center"/>
                          <w:rPr>
                            <w:sz w:val="16"/>
                          </w:rPr>
                        </w:pPr>
                        <w:r>
                          <w:rPr>
                            <w:sz w:val="16"/>
                          </w:rPr>
                          <w:t>27</w:t>
                        </w:r>
                      </w:p>
                    </w:tc>
                    <w:tc>
                      <w:tcPr>
                        <w:tcW w:w="957" w:type="dxa"/>
                      </w:tcPr>
                      <w:p>
                        <w:pPr>
                          <w:pStyle w:val="TableParagraph"/>
                          <w:spacing w:before="37"/>
                          <w:ind w:left="123" w:right="112"/>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Philippines</w:t>
                        </w:r>
                      </w:p>
                    </w:tc>
                    <w:tc>
                      <w:tcPr>
                        <w:tcW w:w="1106" w:type="dxa"/>
                      </w:tcPr>
                      <w:p>
                        <w:pPr>
                          <w:pStyle w:val="TableParagraph"/>
                          <w:spacing w:before="37"/>
                          <w:ind w:left="53" w:right="40"/>
                          <w:jc w:val="center"/>
                          <w:rPr>
                            <w:sz w:val="16"/>
                          </w:rPr>
                        </w:pPr>
                        <w:r>
                          <w:rPr>
                            <w:sz w:val="16"/>
                          </w:rPr>
                          <w:t>66</w:t>
                        </w:r>
                      </w:p>
                    </w:tc>
                    <w:tc>
                      <w:tcPr>
                        <w:tcW w:w="1120" w:type="dxa"/>
                      </w:tcPr>
                      <w:p>
                        <w:pPr>
                          <w:pStyle w:val="TableParagraph"/>
                          <w:spacing w:before="37"/>
                          <w:ind w:left="366" w:right="355"/>
                          <w:jc w:val="center"/>
                          <w:rPr>
                            <w:sz w:val="16"/>
                          </w:rPr>
                        </w:pPr>
                        <w:r>
                          <w:rPr>
                            <w:sz w:val="16"/>
                          </w:rPr>
                          <w:t>114</w:t>
                        </w:r>
                      </w:p>
                    </w:tc>
                    <w:tc>
                      <w:tcPr>
                        <w:tcW w:w="957" w:type="dxa"/>
                      </w:tcPr>
                      <w:p>
                        <w:pPr>
                          <w:pStyle w:val="TableParagraph"/>
                          <w:spacing w:before="37"/>
                          <w:ind w:left="123" w:right="108"/>
                          <w:jc w:val="center"/>
                          <w:rPr>
                            <w:sz w:val="16"/>
                          </w:rPr>
                        </w:pPr>
                        <w:r>
                          <w:rPr>
                            <w:sz w:val="16"/>
                          </w:rPr>
                          <w:t>NI</w:t>
                        </w:r>
                      </w:p>
                    </w:tc>
                  </w:tr>
                  <w:tr>
                    <w:trPr>
                      <w:trHeight w:val="443" w:hRule="atLeast"/>
                    </w:trPr>
                    <w:tc>
                      <w:tcPr>
                        <w:tcW w:w="4498" w:type="dxa"/>
                        <w:gridSpan w:val="4"/>
                      </w:tcPr>
                      <w:p>
                        <w:pPr>
                          <w:pStyle w:val="TableParagraph"/>
                          <w:spacing w:before="54"/>
                          <w:ind w:left="57" w:right="49"/>
                          <w:rPr>
                            <w:sz w:val="16"/>
                          </w:rPr>
                        </w:pPr>
                        <w:r>
                          <w:rPr>
                            <w:sz w:val="16"/>
                          </w:rPr>
                          <w:t>Information source: NI = National inventory; PI = Partial inventory; ES = Estimate; EX = External data (from other regions)</w:t>
                        </w:r>
                      </w:p>
                    </w:tc>
                  </w:tr>
                </w:tbl>
                <w:p>
                  <w:pPr>
                    <w:pStyle w:val="BodyText"/>
                  </w:pPr>
                </w:p>
              </w:txbxContent>
            </v:textbox>
          </v:shape>
        </w:pict>
      </w:r>
      <w:r>
        <w:rPr/>
      </w:r>
      <w:r>
        <w:rPr>
          <w:spacing w:val="41"/>
        </w:rPr>
        <w:t> </w:t>
      </w:r>
      <w:r>
        <w:rPr>
          <w:spacing w:val="41"/>
        </w:rPr>
        <w:pict>
          <v:shape style="width:223.95pt;height:702.85pt;mso-position-horizontal-relative:char;mso-position-vertical-relative:line" type="#_x0000_t202" filled="false" stroked="false">
            <w10:anchorlock/>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5"/>
                    <w:gridCol w:w="1106"/>
                    <w:gridCol w:w="1118"/>
                    <w:gridCol w:w="924"/>
                  </w:tblGrid>
                  <w:tr>
                    <w:trPr>
                      <w:trHeight w:val="2281" w:hRule="atLeast"/>
                    </w:trPr>
                    <w:tc>
                      <w:tcPr>
                        <w:tcW w:w="4463" w:type="dxa"/>
                        <w:gridSpan w:val="4"/>
                        <w:tcBorders>
                          <w:bottom w:val="double" w:sz="1" w:space="0" w:color="000000"/>
                        </w:tcBorders>
                      </w:tcPr>
                      <w:p>
                        <w:pPr>
                          <w:pStyle w:val="TableParagraph"/>
                          <w:spacing w:before="59"/>
                          <w:ind w:left="582" w:right="489" w:firstLine="597"/>
                          <w:rPr>
                            <w:b/>
                            <w:sz w:val="14"/>
                          </w:rPr>
                        </w:pPr>
                        <w:r>
                          <w:rPr>
                            <w:b/>
                            <w:sz w:val="18"/>
                          </w:rPr>
                          <w:t>T</w:t>
                        </w:r>
                        <w:r>
                          <w:rPr>
                            <w:b/>
                            <w:sz w:val="14"/>
                          </w:rPr>
                          <w:t>ABLE </w:t>
                        </w:r>
                        <w:r>
                          <w:rPr>
                            <w:b/>
                            <w:sz w:val="18"/>
                          </w:rPr>
                          <w:t>3A.1.4 (C</w:t>
                        </w:r>
                        <w:r>
                          <w:rPr>
                            <w:b/>
                            <w:sz w:val="14"/>
                          </w:rPr>
                          <w:t>ONTINUED</w:t>
                        </w:r>
                        <w:r>
                          <w:rPr>
                            <w:b/>
                            <w:sz w:val="18"/>
                          </w:rPr>
                          <w:t>) A</w:t>
                        </w:r>
                        <w:r>
                          <w:rPr>
                            <w:b/>
                            <w:sz w:val="14"/>
                          </w:rPr>
                          <w:t>VERAGE GROWING STOCK VOLUME </w:t>
                        </w:r>
                        <w:r>
                          <w:rPr>
                            <w:b/>
                            <w:sz w:val="18"/>
                          </w:rPr>
                          <w:t>(1) </w:t>
                        </w:r>
                        <w:r>
                          <w:rPr>
                            <w:b/>
                            <w:sz w:val="14"/>
                          </w:rPr>
                          <w:t>AND</w:t>
                        </w:r>
                      </w:p>
                      <w:p>
                        <w:pPr>
                          <w:pStyle w:val="TableParagraph"/>
                          <w:spacing w:before="2"/>
                          <w:ind w:left="866" w:right="162" w:hanging="687"/>
                          <w:rPr>
                            <w:b/>
                            <w:sz w:val="18"/>
                          </w:rPr>
                        </w:pPr>
                        <w:r>
                          <w:rPr>
                            <w:b/>
                            <w:sz w:val="14"/>
                          </w:rPr>
                          <w:t>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86"/>
                          </w:numPr>
                          <w:tabs>
                            <w:tab w:pos="468" w:val="left" w:leader="none"/>
                          </w:tabs>
                          <w:spacing w:line="240" w:lineRule="auto" w:before="114" w:after="0"/>
                          <w:ind w:left="467" w:right="0" w:hanging="256"/>
                          <w:jc w:val="left"/>
                          <w:rPr>
                            <w:sz w:val="18"/>
                          </w:rPr>
                        </w:pPr>
                        <w:r>
                          <w:rPr>
                            <w:sz w:val="18"/>
                          </w:rPr>
                          <w:t>To be used for V in Equation</w:t>
                        </w:r>
                        <w:r>
                          <w:rPr>
                            <w:spacing w:val="-7"/>
                            <w:sz w:val="18"/>
                          </w:rPr>
                          <w:t> </w:t>
                        </w:r>
                        <w:r>
                          <w:rPr>
                            <w:sz w:val="18"/>
                          </w:rPr>
                          <w:t>3.2.3.</w:t>
                        </w:r>
                      </w:p>
                      <w:p>
                        <w:pPr>
                          <w:pStyle w:val="TableParagraph"/>
                          <w:numPr>
                            <w:ilvl w:val="0"/>
                            <w:numId w:val="86"/>
                          </w:numPr>
                          <w:tabs>
                            <w:tab w:pos="468" w:val="left" w:leader="none"/>
                          </w:tabs>
                          <w:spacing w:line="240" w:lineRule="auto" w:before="119" w:after="0"/>
                          <w:ind w:left="467" w:right="44" w:hanging="256"/>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3" w:hRule="atLeast"/>
                    </w:trPr>
                    <w:tc>
                      <w:tcPr>
                        <w:tcW w:w="4463" w:type="dxa"/>
                        <w:gridSpan w:val="4"/>
                        <w:tcBorders>
                          <w:top w:val="double" w:sz="1" w:space="0" w:color="000000"/>
                        </w:tcBorders>
                      </w:tcPr>
                      <w:p>
                        <w:pPr>
                          <w:pStyle w:val="TableParagraph"/>
                          <w:spacing w:before="23"/>
                          <w:ind w:left="58"/>
                          <w:rPr>
                            <w:b/>
                            <w:sz w:val="18"/>
                          </w:rPr>
                        </w:pPr>
                        <w:r>
                          <w:rPr>
                            <w:b/>
                            <w:sz w:val="18"/>
                          </w:rPr>
                          <w:t>b. ASIA (Continued)</w:t>
                        </w:r>
                      </w:p>
                    </w:tc>
                  </w:tr>
                  <w:tr>
                    <w:trPr>
                      <w:trHeight w:val="445" w:hRule="atLeast"/>
                    </w:trPr>
                    <w:tc>
                      <w:tcPr>
                        <w:tcW w:w="1315" w:type="dxa"/>
                        <w:vMerge w:val="restart"/>
                      </w:tcPr>
                      <w:p>
                        <w:pPr>
                          <w:pStyle w:val="TableParagraph"/>
                          <w:spacing w:before="10"/>
                          <w:rPr>
                            <w:sz w:val="22"/>
                          </w:rPr>
                        </w:pPr>
                      </w:p>
                      <w:p>
                        <w:pPr>
                          <w:pStyle w:val="TableParagraph"/>
                          <w:ind w:left="57"/>
                          <w:rPr>
                            <w:b/>
                            <w:sz w:val="16"/>
                          </w:rPr>
                        </w:pPr>
                        <w:r>
                          <w:rPr>
                            <w:b/>
                            <w:sz w:val="16"/>
                          </w:rPr>
                          <w:t>Country</w:t>
                        </w:r>
                      </w:p>
                    </w:tc>
                    <w:tc>
                      <w:tcPr>
                        <w:tcW w:w="1106" w:type="dxa"/>
                      </w:tcPr>
                      <w:p>
                        <w:pPr>
                          <w:pStyle w:val="TableParagraph"/>
                          <w:spacing w:before="35"/>
                          <w:ind w:left="47" w:right="24" w:firstLine="237"/>
                          <w:rPr>
                            <w:b/>
                            <w:sz w:val="16"/>
                          </w:rPr>
                        </w:pPr>
                        <w:r>
                          <w:rPr>
                            <w:b/>
                            <w:sz w:val="16"/>
                          </w:rPr>
                          <w:t>Volume (aboveground)</w:t>
                        </w:r>
                      </w:p>
                    </w:tc>
                    <w:tc>
                      <w:tcPr>
                        <w:tcW w:w="1118" w:type="dxa"/>
                      </w:tcPr>
                      <w:p>
                        <w:pPr>
                          <w:pStyle w:val="TableParagraph"/>
                          <w:spacing w:before="35"/>
                          <w:ind w:left="55" w:right="28" w:firstLine="218"/>
                          <w:rPr>
                            <w:b/>
                            <w:sz w:val="16"/>
                          </w:rPr>
                        </w:pPr>
                        <w:r>
                          <w:rPr>
                            <w:b/>
                            <w:sz w:val="16"/>
                          </w:rPr>
                          <w:t>Biomass (aboveground)</w:t>
                        </w:r>
                      </w:p>
                    </w:tc>
                    <w:tc>
                      <w:tcPr>
                        <w:tcW w:w="924" w:type="dxa"/>
                      </w:tcPr>
                      <w:p>
                        <w:pPr>
                          <w:pStyle w:val="TableParagraph"/>
                          <w:spacing w:before="35"/>
                          <w:ind w:left="224" w:right="190" w:firstLine="33"/>
                          <w:rPr>
                            <w:b/>
                            <w:sz w:val="16"/>
                          </w:rPr>
                        </w:pPr>
                        <w:r>
                          <w:rPr>
                            <w:b/>
                            <w:sz w:val="16"/>
                          </w:rPr>
                          <w:t>Infor- mation</w:t>
                        </w:r>
                      </w:p>
                    </w:tc>
                  </w:tr>
                  <w:tr>
                    <w:trPr>
                      <w:trHeight w:val="273" w:hRule="atLeast"/>
                    </w:trPr>
                    <w:tc>
                      <w:tcPr>
                        <w:tcW w:w="1315" w:type="dxa"/>
                        <w:vMerge/>
                        <w:tcBorders>
                          <w:top w:val="nil"/>
                        </w:tcBorders>
                      </w:tcPr>
                      <w:p>
                        <w:pPr>
                          <w:rPr>
                            <w:sz w:val="2"/>
                            <w:szCs w:val="2"/>
                          </w:rPr>
                        </w:pPr>
                      </w:p>
                    </w:tc>
                    <w:tc>
                      <w:tcPr>
                        <w:tcW w:w="1106" w:type="dxa"/>
                      </w:tcPr>
                      <w:p>
                        <w:pPr>
                          <w:pStyle w:val="TableParagraph"/>
                          <w:spacing w:before="40"/>
                          <w:ind w:left="43" w:right="40"/>
                          <w:jc w:val="center"/>
                          <w:rPr>
                            <w:b/>
                            <w:sz w:val="16"/>
                          </w:rPr>
                        </w:pPr>
                        <w:r>
                          <w:rPr>
                            <w:b/>
                            <w:sz w:val="16"/>
                          </w:rPr>
                          <w:t>m</w:t>
                        </w:r>
                        <w:r>
                          <w:rPr>
                            <w:b/>
                            <w:sz w:val="16"/>
                            <w:vertAlign w:val="superscript"/>
                          </w:rPr>
                          <w:t>3</w:t>
                        </w:r>
                        <w:r>
                          <w:rPr>
                            <w:b/>
                            <w:sz w:val="16"/>
                            <w:vertAlign w:val="baseline"/>
                          </w:rPr>
                          <w:t> / ha</w:t>
                        </w:r>
                      </w:p>
                    </w:tc>
                    <w:tc>
                      <w:tcPr>
                        <w:tcW w:w="1118" w:type="dxa"/>
                      </w:tcPr>
                      <w:p>
                        <w:pPr>
                          <w:pStyle w:val="TableParagraph"/>
                          <w:spacing w:before="40"/>
                          <w:ind w:left="52" w:right="45"/>
                          <w:jc w:val="center"/>
                          <w:rPr>
                            <w:b/>
                            <w:sz w:val="16"/>
                          </w:rPr>
                        </w:pPr>
                        <w:r>
                          <w:rPr>
                            <w:b/>
                            <w:sz w:val="16"/>
                          </w:rPr>
                          <w:t>t / ha</w:t>
                        </w:r>
                      </w:p>
                    </w:tc>
                    <w:tc>
                      <w:tcPr>
                        <w:tcW w:w="924" w:type="dxa"/>
                      </w:tcPr>
                      <w:p>
                        <w:pPr>
                          <w:pStyle w:val="TableParagraph"/>
                          <w:spacing w:before="40"/>
                          <w:ind w:left="206" w:right="196"/>
                          <w:jc w:val="center"/>
                          <w:rPr>
                            <w:b/>
                            <w:sz w:val="16"/>
                          </w:rPr>
                        </w:pPr>
                        <w:r>
                          <w:rPr>
                            <w:b/>
                            <w:sz w:val="16"/>
                          </w:rPr>
                          <w:t>Source</w:t>
                        </w:r>
                      </w:p>
                    </w:tc>
                  </w:tr>
                  <w:tr>
                    <w:trPr>
                      <w:trHeight w:val="273" w:hRule="atLeast"/>
                    </w:trPr>
                    <w:tc>
                      <w:tcPr>
                        <w:tcW w:w="1315" w:type="dxa"/>
                      </w:tcPr>
                      <w:p>
                        <w:pPr>
                          <w:pStyle w:val="TableParagraph"/>
                          <w:spacing w:before="37"/>
                          <w:ind w:left="57"/>
                          <w:rPr>
                            <w:sz w:val="16"/>
                          </w:rPr>
                        </w:pPr>
                        <w:r>
                          <w:rPr>
                            <w:sz w:val="16"/>
                          </w:rPr>
                          <w:t>Qatar</w:t>
                        </w:r>
                      </w:p>
                    </w:tc>
                    <w:tc>
                      <w:tcPr>
                        <w:tcW w:w="1106" w:type="dxa"/>
                      </w:tcPr>
                      <w:p>
                        <w:pPr>
                          <w:pStyle w:val="TableParagraph"/>
                          <w:spacing w:before="37"/>
                          <w:ind w:left="49" w:right="40"/>
                          <w:jc w:val="center"/>
                          <w:rPr>
                            <w:sz w:val="16"/>
                          </w:rPr>
                        </w:pPr>
                        <w:r>
                          <w:rPr>
                            <w:sz w:val="16"/>
                          </w:rPr>
                          <w:t>13</w:t>
                        </w:r>
                      </w:p>
                    </w:tc>
                    <w:tc>
                      <w:tcPr>
                        <w:tcW w:w="1118" w:type="dxa"/>
                      </w:tcPr>
                      <w:p>
                        <w:pPr>
                          <w:pStyle w:val="TableParagraph"/>
                          <w:spacing w:before="37"/>
                          <w:ind w:left="55" w:right="44"/>
                          <w:jc w:val="center"/>
                          <w:rPr>
                            <w:sz w:val="16"/>
                          </w:rPr>
                        </w:pPr>
                        <w:r>
                          <w:rPr>
                            <w:sz w:val="16"/>
                          </w:rPr>
                          <w:t>12</w:t>
                        </w:r>
                      </w:p>
                    </w:tc>
                    <w:tc>
                      <w:tcPr>
                        <w:tcW w:w="924" w:type="dxa"/>
                      </w:tcPr>
                      <w:p>
                        <w:pPr>
                          <w:pStyle w:val="TableParagraph"/>
                          <w:spacing w:before="37"/>
                          <w:ind w:left="206" w:right="191"/>
                          <w:jc w:val="center"/>
                          <w:rPr>
                            <w:sz w:val="16"/>
                          </w:rPr>
                        </w:pPr>
                        <w:r>
                          <w:rPr>
                            <w:sz w:val="16"/>
                          </w:rPr>
                          <w:t>FAO</w:t>
                        </w:r>
                      </w:p>
                    </w:tc>
                  </w:tr>
                  <w:tr>
                    <w:trPr>
                      <w:trHeight w:val="275" w:hRule="atLeast"/>
                    </w:trPr>
                    <w:tc>
                      <w:tcPr>
                        <w:tcW w:w="1315" w:type="dxa"/>
                      </w:tcPr>
                      <w:p>
                        <w:pPr>
                          <w:pStyle w:val="TableParagraph"/>
                          <w:spacing w:before="37"/>
                          <w:ind w:left="57"/>
                          <w:rPr>
                            <w:sz w:val="16"/>
                          </w:rPr>
                        </w:pPr>
                        <w:r>
                          <w:rPr>
                            <w:sz w:val="16"/>
                          </w:rPr>
                          <w:t>Republic of Korea</w:t>
                        </w:r>
                      </w:p>
                    </w:tc>
                    <w:tc>
                      <w:tcPr>
                        <w:tcW w:w="1106" w:type="dxa"/>
                      </w:tcPr>
                      <w:p>
                        <w:pPr>
                          <w:pStyle w:val="TableParagraph"/>
                          <w:spacing w:before="37"/>
                          <w:ind w:left="47" w:right="40"/>
                          <w:jc w:val="center"/>
                          <w:rPr>
                            <w:sz w:val="16"/>
                          </w:rPr>
                        </w:pPr>
                        <w:r>
                          <w:rPr>
                            <w:sz w:val="16"/>
                          </w:rPr>
                          <w:t>58</w:t>
                        </w:r>
                      </w:p>
                    </w:tc>
                    <w:tc>
                      <w:tcPr>
                        <w:tcW w:w="1118" w:type="dxa"/>
                      </w:tcPr>
                      <w:p>
                        <w:pPr>
                          <w:pStyle w:val="TableParagraph"/>
                          <w:spacing w:before="37"/>
                          <w:ind w:left="55" w:right="45"/>
                          <w:jc w:val="center"/>
                          <w:rPr>
                            <w:sz w:val="16"/>
                          </w:rPr>
                        </w:pPr>
                        <w:r>
                          <w:rPr>
                            <w:sz w:val="16"/>
                          </w:rPr>
                          <w:t>36</w:t>
                        </w:r>
                      </w:p>
                    </w:tc>
                    <w:tc>
                      <w:tcPr>
                        <w:tcW w:w="924" w:type="dxa"/>
                      </w:tcPr>
                      <w:p>
                        <w:pPr>
                          <w:pStyle w:val="TableParagraph"/>
                          <w:spacing w:before="37"/>
                          <w:ind w:left="206" w:right="189"/>
                          <w:jc w:val="center"/>
                          <w:rPr>
                            <w:sz w:val="16"/>
                          </w:rPr>
                        </w:pPr>
                        <w:r>
                          <w:rPr>
                            <w:sz w:val="16"/>
                          </w:rPr>
                          <w:t>NI</w:t>
                        </w:r>
                      </w:p>
                    </w:tc>
                  </w:tr>
                  <w:tr>
                    <w:trPr>
                      <w:trHeight w:val="273" w:hRule="atLeast"/>
                    </w:trPr>
                    <w:tc>
                      <w:tcPr>
                        <w:tcW w:w="1315" w:type="dxa"/>
                      </w:tcPr>
                      <w:p>
                        <w:pPr>
                          <w:pStyle w:val="TableParagraph"/>
                          <w:spacing w:before="37"/>
                          <w:ind w:left="57"/>
                          <w:rPr>
                            <w:sz w:val="16"/>
                          </w:rPr>
                        </w:pPr>
                        <w:r>
                          <w:rPr>
                            <w:sz w:val="16"/>
                          </w:rPr>
                          <w:t>Saudi Arabia</w:t>
                        </w:r>
                      </w:p>
                    </w:tc>
                    <w:tc>
                      <w:tcPr>
                        <w:tcW w:w="1106" w:type="dxa"/>
                      </w:tcPr>
                      <w:p>
                        <w:pPr>
                          <w:pStyle w:val="TableParagraph"/>
                          <w:spacing w:before="37"/>
                          <w:ind w:left="49" w:right="40"/>
                          <w:jc w:val="center"/>
                          <w:rPr>
                            <w:sz w:val="16"/>
                          </w:rPr>
                        </w:pPr>
                        <w:r>
                          <w:rPr>
                            <w:sz w:val="16"/>
                          </w:rPr>
                          <w:t>12</w:t>
                        </w:r>
                      </w:p>
                    </w:tc>
                    <w:tc>
                      <w:tcPr>
                        <w:tcW w:w="1118" w:type="dxa"/>
                      </w:tcPr>
                      <w:p>
                        <w:pPr>
                          <w:pStyle w:val="TableParagraph"/>
                          <w:spacing w:before="37"/>
                          <w:ind w:left="55" w:right="43"/>
                          <w:jc w:val="center"/>
                          <w:rPr>
                            <w:sz w:val="16"/>
                          </w:rPr>
                        </w:pPr>
                        <w:r>
                          <w:rPr>
                            <w:sz w:val="16"/>
                          </w:rPr>
                          <w:t>12</w:t>
                        </w:r>
                      </w:p>
                    </w:tc>
                    <w:tc>
                      <w:tcPr>
                        <w:tcW w:w="924" w:type="dxa"/>
                      </w:tcPr>
                      <w:p>
                        <w:pPr>
                          <w:pStyle w:val="TableParagraph"/>
                          <w:spacing w:before="37"/>
                          <w:ind w:left="206" w:right="191"/>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Singapore</w:t>
                        </w:r>
                      </w:p>
                    </w:tc>
                    <w:tc>
                      <w:tcPr>
                        <w:tcW w:w="1106" w:type="dxa"/>
                      </w:tcPr>
                      <w:p>
                        <w:pPr>
                          <w:pStyle w:val="TableParagraph"/>
                          <w:spacing w:before="37"/>
                          <w:ind w:left="44" w:right="40"/>
                          <w:jc w:val="center"/>
                          <w:rPr>
                            <w:sz w:val="16"/>
                          </w:rPr>
                        </w:pPr>
                        <w:r>
                          <w:rPr>
                            <w:sz w:val="16"/>
                          </w:rPr>
                          <w:t>119</w:t>
                        </w:r>
                      </w:p>
                    </w:tc>
                    <w:tc>
                      <w:tcPr>
                        <w:tcW w:w="1118" w:type="dxa"/>
                      </w:tcPr>
                      <w:p>
                        <w:pPr>
                          <w:pStyle w:val="TableParagraph"/>
                          <w:spacing w:before="37"/>
                          <w:ind w:left="52" w:right="45"/>
                          <w:jc w:val="center"/>
                          <w:rPr>
                            <w:sz w:val="16"/>
                          </w:rPr>
                        </w:pPr>
                        <w:r>
                          <w:rPr>
                            <w:sz w:val="16"/>
                          </w:rPr>
                          <w:t>205</w:t>
                        </w:r>
                      </w:p>
                    </w:tc>
                    <w:tc>
                      <w:tcPr>
                        <w:tcW w:w="924" w:type="dxa"/>
                      </w:tcPr>
                      <w:p>
                        <w:pPr>
                          <w:pStyle w:val="TableParagraph"/>
                          <w:spacing w:before="37"/>
                          <w:ind w:left="206" w:right="192"/>
                          <w:jc w:val="center"/>
                          <w:rPr>
                            <w:sz w:val="16"/>
                          </w:rPr>
                        </w:pPr>
                        <w:r>
                          <w:rPr>
                            <w:sz w:val="16"/>
                          </w:rPr>
                          <w:t>FAO</w:t>
                        </w:r>
                      </w:p>
                    </w:tc>
                  </w:tr>
                  <w:tr>
                    <w:trPr>
                      <w:trHeight w:val="275" w:hRule="atLeast"/>
                    </w:trPr>
                    <w:tc>
                      <w:tcPr>
                        <w:tcW w:w="1315" w:type="dxa"/>
                      </w:tcPr>
                      <w:p>
                        <w:pPr>
                          <w:pStyle w:val="TableParagraph"/>
                          <w:spacing w:before="37"/>
                          <w:ind w:left="57"/>
                          <w:rPr>
                            <w:sz w:val="16"/>
                          </w:rPr>
                        </w:pPr>
                        <w:r>
                          <w:rPr>
                            <w:sz w:val="16"/>
                          </w:rPr>
                          <w:t>Sri Lanka</w:t>
                        </w:r>
                      </w:p>
                    </w:tc>
                    <w:tc>
                      <w:tcPr>
                        <w:tcW w:w="1106" w:type="dxa"/>
                      </w:tcPr>
                      <w:p>
                        <w:pPr>
                          <w:pStyle w:val="TableParagraph"/>
                          <w:spacing w:before="37"/>
                          <w:ind w:left="48" w:right="40"/>
                          <w:jc w:val="center"/>
                          <w:rPr>
                            <w:sz w:val="16"/>
                          </w:rPr>
                        </w:pPr>
                        <w:r>
                          <w:rPr>
                            <w:sz w:val="16"/>
                          </w:rPr>
                          <w:t>34</w:t>
                        </w:r>
                      </w:p>
                    </w:tc>
                    <w:tc>
                      <w:tcPr>
                        <w:tcW w:w="1118" w:type="dxa"/>
                      </w:tcPr>
                      <w:p>
                        <w:pPr>
                          <w:pStyle w:val="TableParagraph"/>
                          <w:spacing w:before="37"/>
                          <w:ind w:left="55" w:right="44"/>
                          <w:jc w:val="center"/>
                          <w:rPr>
                            <w:sz w:val="16"/>
                          </w:rPr>
                        </w:pPr>
                        <w:r>
                          <w:rPr>
                            <w:sz w:val="16"/>
                          </w:rPr>
                          <w:t>59</w:t>
                        </w:r>
                      </w:p>
                    </w:tc>
                    <w:tc>
                      <w:tcPr>
                        <w:tcW w:w="924" w:type="dxa"/>
                      </w:tcPr>
                      <w:p>
                        <w:pPr>
                          <w:pStyle w:val="TableParagraph"/>
                          <w:spacing w:before="37"/>
                          <w:ind w:left="206" w:right="191"/>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Syrian Arab Rep.</w:t>
                        </w:r>
                      </w:p>
                    </w:tc>
                    <w:tc>
                      <w:tcPr>
                        <w:tcW w:w="1106" w:type="dxa"/>
                      </w:tcPr>
                      <w:p>
                        <w:pPr>
                          <w:pStyle w:val="TableParagraph"/>
                          <w:spacing w:before="37"/>
                          <w:ind w:left="49" w:right="40"/>
                          <w:jc w:val="center"/>
                          <w:rPr>
                            <w:sz w:val="16"/>
                          </w:rPr>
                        </w:pPr>
                        <w:r>
                          <w:rPr>
                            <w:sz w:val="16"/>
                          </w:rPr>
                          <w:t>29</w:t>
                        </w:r>
                      </w:p>
                    </w:tc>
                    <w:tc>
                      <w:tcPr>
                        <w:tcW w:w="1118" w:type="dxa"/>
                      </w:tcPr>
                      <w:p>
                        <w:pPr>
                          <w:pStyle w:val="TableParagraph"/>
                          <w:spacing w:before="37"/>
                          <w:ind w:left="55" w:right="44"/>
                          <w:jc w:val="center"/>
                          <w:rPr>
                            <w:sz w:val="16"/>
                          </w:rPr>
                        </w:pPr>
                        <w:r>
                          <w:rPr>
                            <w:sz w:val="16"/>
                          </w:rPr>
                          <w:t>28</w:t>
                        </w:r>
                      </w:p>
                    </w:tc>
                    <w:tc>
                      <w:tcPr>
                        <w:tcW w:w="924" w:type="dxa"/>
                      </w:tcPr>
                      <w:p>
                        <w:pPr>
                          <w:pStyle w:val="TableParagraph"/>
                          <w:spacing w:line="178" w:lineRule="exact"/>
                          <w:ind w:left="206" w:right="192"/>
                          <w:jc w:val="center"/>
                          <w:rPr>
                            <w:sz w:val="16"/>
                          </w:rPr>
                        </w:pPr>
                        <w:r>
                          <w:rPr>
                            <w:sz w:val="16"/>
                          </w:rPr>
                          <w:t>FAO</w:t>
                        </w:r>
                      </w:p>
                    </w:tc>
                  </w:tr>
                  <w:tr>
                    <w:trPr>
                      <w:trHeight w:val="443" w:hRule="atLeast"/>
                    </w:trPr>
                    <w:tc>
                      <w:tcPr>
                        <w:tcW w:w="1315" w:type="dxa"/>
                      </w:tcPr>
                      <w:p>
                        <w:pPr>
                          <w:pStyle w:val="TableParagraph"/>
                          <w:spacing w:before="124"/>
                          <w:ind w:left="57"/>
                          <w:rPr>
                            <w:sz w:val="16"/>
                          </w:rPr>
                        </w:pPr>
                        <w:r>
                          <w:rPr>
                            <w:sz w:val="16"/>
                          </w:rPr>
                          <w:t>Tajikistan</w:t>
                        </w:r>
                      </w:p>
                    </w:tc>
                    <w:tc>
                      <w:tcPr>
                        <w:tcW w:w="1106" w:type="dxa"/>
                      </w:tcPr>
                      <w:p>
                        <w:pPr>
                          <w:pStyle w:val="TableParagraph"/>
                          <w:spacing w:before="124"/>
                          <w:ind w:left="49" w:right="40"/>
                          <w:jc w:val="center"/>
                          <w:rPr>
                            <w:sz w:val="16"/>
                          </w:rPr>
                        </w:pPr>
                        <w:r>
                          <w:rPr>
                            <w:sz w:val="16"/>
                          </w:rPr>
                          <w:t>14</w:t>
                        </w:r>
                      </w:p>
                    </w:tc>
                    <w:tc>
                      <w:tcPr>
                        <w:tcW w:w="1118" w:type="dxa"/>
                      </w:tcPr>
                      <w:p>
                        <w:pPr>
                          <w:pStyle w:val="TableParagraph"/>
                          <w:spacing w:before="124"/>
                          <w:ind w:left="55" w:right="43"/>
                          <w:jc w:val="center"/>
                          <w:rPr>
                            <w:sz w:val="16"/>
                          </w:rPr>
                        </w:pPr>
                        <w:r>
                          <w:rPr>
                            <w:sz w:val="16"/>
                          </w:rPr>
                          <w:t>10</w:t>
                        </w:r>
                      </w:p>
                    </w:tc>
                    <w:tc>
                      <w:tcPr>
                        <w:tcW w:w="924" w:type="dxa"/>
                      </w:tcPr>
                      <w:p>
                        <w:pPr>
                          <w:pStyle w:val="TableParagraph"/>
                          <w:spacing w:before="124"/>
                          <w:ind w:left="206" w:right="191"/>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Thailand</w:t>
                        </w:r>
                      </w:p>
                    </w:tc>
                    <w:tc>
                      <w:tcPr>
                        <w:tcW w:w="1106" w:type="dxa"/>
                      </w:tcPr>
                      <w:p>
                        <w:pPr>
                          <w:pStyle w:val="TableParagraph"/>
                          <w:spacing w:before="37"/>
                          <w:ind w:left="49" w:right="40"/>
                          <w:jc w:val="center"/>
                          <w:rPr>
                            <w:sz w:val="16"/>
                          </w:rPr>
                        </w:pPr>
                        <w:r>
                          <w:rPr>
                            <w:sz w:val="16"/>
                          </w:rPr>
                          <w:t>17</w:t>
                        </w:r>
                      </w:p>
                    </w:tc>
                    <w:tc>
                      <w:tcPr>
                        <w:tcW w:w="1118" w:type="dxa"/>
                      </w:tcPr>
                      <w:p>
                        <w:pPr>
                          <w:pStyle w:val="TableParagraph"/>
                          <w:spacing w:before="37"/>
                          <w:ind w:left="55" w:right="43"/>
                          <w:jc w:val="center"/>
                          <w:rPr>
                            <w:sz w:val="16"/>
                          </w:rPr>
                        </w:pPr>
                        <w:r>
                          <w:rPr>
                            <w:sz w:val="16"/>
                          </w:rPr>
                          <w:t>29</w:t>
                        </w:r>
                      </w:p>
                    </w:tc>
                    <w:tc>
                      <w:tcPr>
                        <w:tcW w:w="924" w:type="dxa"/>
                      </w:tcPr>
                      <w:p>
                        <w:pPr>
                          <w:pStyle w:val="TableParagraph"/>
                          <w:spacing w:before="37"/>
                          <w:ind w:left="206" w:right="187"/>
                          <w:jc w:val="center"/>
                          <w:rPr>
                            <w:sz w:val="16"/>
                          </w:rPr>
                        </w:pPr>
                        <w:r>
                          <w:rPr>
                            <w:sz w:val="16"/>
                          </w:rPr>
                          <w:t>NI</w:t>
                        </w:r>
                      </w:p>
                    </w:tc>
                  </w:tr>
                  <w:tr>
                    <w:trPr>
                      <w:trHeight w:val="275" w:hRule="atLeast"/>
                    </w:trPr>
                    <w:tc>
                      <w:tcPr>
                        <w:tcW w:w="1315" w:type="dxa"/>
                      </w:tcPr>
                      <w:p>
                        <w:pPr>
                          <w:pStyle w:val="TableParagraph"/>
                          <w:spacing w:before="37"/>
                          <w:ind w:left="57"/>
                          <w:rPr>
                            <w:sz w:val="16"/>
                          </w:rPr>
                        </w:pPr>
                        <w:r>
                          <w:rPr>
                            <w:sz w:val="16"/>
                          </w:rPr>
                          <w:t>Turkey</w:t>
                        </w:r>
                      </w:p>
                    </w:tc>
                    <w:tc>
                      <w:tcPr>
                        <w:tcW w:w="1106" w:type="dxa"/>
                      </w:tcPr>
                      <w:p>
                        <w:pPr>
                          <w:pStyle w:val="TableParagraph"/>
                          <w:spacing w:before="37"/>
                          <w:ind w:left="45" w:right="40"/>
                          <w:jc w:val="center"/>
                          <w:rPr>
                            <w:sz w:val="16"/>
                          </w:rPr>
                        </w:pPr>
                        <w:r>
                          <w:rPr>
                            <w:sz w:val="16"/>
                          </w:rPr>
                          <w:t>136</w:t>
                        </w:r>
                      </w:p>
                    </w:tc>
                    <w:tc>
                      <w:tcPr>
                        <w:tcW w:w="1118" w:type="dxa"/>
                      </w:tcPr>
                      <w:p>
                        <w:pPr>
                          <w:pStyle w:val="TableParagraph"/>
                          <w:spacing w:before="37"/>
                          <w:ind w:left="55" w:right="44"/>
                          <w:jc w:val="center"/>
                          <w:rPr>
                            <w:sz w:val="16"/>
                          </w:rPr>
                        </w:pPr>
                        <w:r>
                          <w:rPr>
                            <w:sz w:val="16"/>
                          </w:rPr>
                          <w:t>74</w:t>
                        </w:r>
                      </w:p>
                    </w:tc>
                    <w:tc>
                      <w:tcPr>
                        <w:tcW w:w="924" w:type="dxa"/>
                      </w:tcPr>
                      <w:p>
                        <w:pPr>
                          <w:pStyle w:val="TableParagraph"/>
                          <w:spacing w:before="37"/>
                          <w:ind w:left="206" w:right="192"/>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Turkmenistan</w:t>
                        </w:r>
                      </w:p>
                    </w:tc>
                    <w:tc>
                      <w:tcPr>
                        <w:tcW w:w="1106" w:type="dxa"/>
                      </w:tcPr>
                      <w:p>
                        <w:pPr>
                          <w:pStyle w:val="TableParagraph"/>
                          <w:spacing w:before="37"/>
                          <w:ind w:left="7"/>
                          <w:jc w:val="center"/>
                          <w:rPr>
                            <w:sz w:val="16"/>
                          </w:rPr>
                        </w:pPr>
                        <w:r>
                          <w:rPr>
                            <w:w w:val="100"/>
                            <w:sz w:val="16"/>
                          </w:rPr>
                          <w:t>4</w:t>
                        </w:r>
                      </w:p>
                    </w:tc>
                    <w:tc>
                      <w:tcPr>
                        <w:tcW w:w="1118" w:type="dxa"/>
                      </w:tcPr>
                      <w:p>
                        <w:pPr>
                          <w:pStyle w:val="TableParagraph"/>
                          <w:spacing w:before="37"/>
                          <w:ind w:left="10"/>
                          <w:jc w:val="center"/>
                          <w:rPr>
                            <w:sz w:val="16"/>
                          </w:rPr>
                        </w:pPr>
                        <w:r>
                          <w:rPr>
                            <w:w w:val="100"/>
                            <w:sz w:val="16"/>
                          </w:rPr>
                          <w:t>3</w:t>
                        </w:r>
                      </w:p>
                    </w:tc>
                    <w:tc>
                      <w:tcPr>
                        <w:tcW w:w="924" w:type="dxa"/>
                      </w:tcPr>
                      <w:p>
                        <w:pPr>
                          <w:pStyle w:val="TableParagraph"/>
                          <w:spacing w:before="37"/>
                          <w:ind w:left="206" w:right="191"/>
                          <w:jc w:val="center"/>
                          <w:rPr>
                            <w:sz w:val="16"/>
                          </w:rPr>
                        </w:pPr>
                        <w:r>
                          <w:rPr>
                            <w:sz w:val="16"/>
                          </w:rPr>
                          <w:t>FAO</w:t>
                        </w:r>
                      </w:p>
                    </w:tc>
                  </w:tr>
                  <w:tr>
                    <w:trPr>
                      <w:trHeight w:val="443" w:hRule="atLeast"/>
                    </w:trPr>
                    <w:tc>
                      <w:tcPr>
                        <w:tcW w:w="1315" w:type="dxa"/>
                      </w:tcPr>
                      <w:p>
                        <w:pPr>
                          <w:pStyle w:val="TableParagraph"/>
                          <w:spacing w:before="33"/>
                          <w:ind w:left="57" w:right="432"/>
                          <w:rPr>
                            <w:sz w:val="16"/>
                          </w:rPr>
                        </w:pPr>
                        <w:r>
                          <w:rPr>
                            <w:sz w:val="16"/>
                          </w:rPr>
                          <w:t>United Arab Emirates</w:t>
                        </w:r>
                      </w:p>
                    </w:tc>
                    <w:tc>
                      <w:tcPr>
                        <w:tcW w:w="1106" w:type="dxa"/>
                      </w:tcPr>
                      <w:p>
                        <w:pPr>
                          <w:pStyle w:val="TableParagraph"/>
                          <w:spacing w:before="124"/>
                          <w:ind w:left="8"/>
                          <w:jc w:val="center"/>
                          <w:rPr>
                            <w:sz w:val="16"/>
                          </w:rPr>
                        </w:pPr>
                        <w:r>
                          <w:rPr>
                            <w:w w:val="100"/>
                            <w:sz w:val="16"/>
                          </w:rPr>
                          <w:t>-</w:t>
                        </w:r>
                      </w:p>
                    </w:tc>
                    <w:tc>
                      <w:tcPr>
                        <w:tcW w:w="1118" w:type="dxa"/>
                      </w:tcPr>
                      <w:p>
                        <w:pPr>
                          <w:pStyle w:val="TableParagraph"/>
                          <w:spacing w:before="124"/>
                          <w:ind w:left="11"/>
                          <w:jc w:val="center"/>
                          <w:rPr>
                            <w:sz w:val="16"/>
                          </w:rPr>
                        </w:pPr>
                        <w:r>
                          <w:rPr>
                            <w:w w:val="100"/>
                            <w:sz w:val="16"/>
                          </w:rPr>
                          <w:t>-</w:t>
                        </w:r>
                      </w:p>
                    </w:tc>
                    <w:tc>
                      <w:tcPr>
                        <w:tcW w:w="924" w:type="dxa"/>
                      </w:tcPr>
                      <w:p>
                        <w:pPr>
                          <w:pStyle w:val="TableParagraph"/>
                          <w:spacing w:before="124"/>
                          <w:ind w:left="14"/>
                          <w:jc w:val="center"/>
                          <w:rPr>
                            <w:sz w:val="16"/>
                          </w:rPr>
                        </w:pPr>
                        <w:r>
                          <w:rPr>
                            <w:w w:val="100"/>
                            <w:sz w:val="16"/>
                          </w:rPr>
                          <w:t>-</w:t>
                        </w:r>
                      </w:p>
                    </w:tc>
                  </w:tr>
                  <w:tr>
                    <w:trPr>
                      <w:trHeight w:val="275" w:hRule="atLeast"/>
                    </w:trPr>
                    <w:tc>
                      <w:tcPr>
                        <w:tcW w:w="1315" w:type="dxa"/>
                      </w:tcPr>
                      <w:p>
                        <w:pPr>
                          <w:pStyle w:val="TableParagraph"/>
                          <w:spacing w:before="37"/>
                          <w:ind w:left="57"/>
                          <w:rPr>
                            <w:sz w:val="16"/>
                          </w:rPr>
                        </w:pPr>
                        <w:r>
                          <w:rPr>
                            <w:sz w:val="16"/>
                          </w:rPr>
                          <w:t>Uzbekistan</w:t>
                        </w:r>
                      </w:p>
                    </w:tc>
                    <w:tc>
                      <w:tcPr>
                        <w:tcW w:w="1106" w:type="dxa"/>
                      </w:tcPr>
                      <w:p>
                        <w:pPr>
                          <w:pStyle w:val="TableParagraph"/>
                          <w:spacing w:before="37"/>
                          <w:ind w:left="7"/>
                          <w:jc w:val="center"/>
                          <w:rPr>
                            <w:sz w:val="16"/>
                          </w:rPr>
                        </w:pPr>
                        <w:r>
                          <w:rPr>
                            <w:w w:val="100"/>
                            <w:sz w:val="16"/>
                          </w:rPr>
                          <w:t>6</w:t>
                        </w:r>
                      </w:p>
                    </w:tc>
                    <w:tc>
                      <w:tcPr>
                        <w:tcW w:w="1118" w:type="dxa"/>
                      </w:tcPr>
                      <w:p>
                        <w:pPr>
                          <w:pStyle w:val="TableParagraph"/>
                          <w:rPr>
                            <w:sz w:val="16"/>
                          </w:rPr>
                        </w:pPr>
                      </w:p>
                    </w:tc>
                    <w:tc>
                      <w:tcPr>
                        <w:tcW w:w="924" w:type="dxa"/>
                      </w:tcPr>
                      <w:p>
                        <w:pPr>
                          <w:pStyle w:val="TableParagraph"/>
                          <w:spacing w:before="37"/>
                          <w:ind w:left="206" w:right="191"/>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Viet Nam</w:t>
                        </w:r>
                      </w:p>
                    </w:tc>
                    <w:tc>
                      <w:tcPr>
                        <w:tcW w:w="1106" w:type="dxa"/>
                      </w:tcPr>
                      <w:p>
                        <w:pPr>
                          <w:pStyle w:val="TableParagraph"/>
                          <w:spacing w:before="37"/>
                          <w:ind w:left="47" w:right="40"/>
                          <w:jc w:val="center"/>
                          <w:rPr>
                            <w:sz w:val="16"/>
                          </w:rPr>
                        </w:pPr>
                        <w:r>
                          <w:rPr>
                            <w:sz w:val="16"/>
                          </w:rPr>
                          <w:t>38</w:t>
                        </w:r>
                      </w:p>
                    </w:tc>
                    <w:tc>
                      <w:tcPr>
                        <w:tcW w:w="1118" w:type="dxa"/>
                      </w:tcPr>
                      <w:p>
                        <w:pPr>
                          <w:pStyle w:val="TableParagraph"/>
                          <w:spacing w:before="37"/>
                          <w:ind w:left="55" w:right="45"/>
                          <w:jc w:val="center"/>
                          <w:rPr>
                            <w:sz w:val="16"/>
                          </w:rPr>
                        </w:pPr>
                        <w:r>
                          <w:rPr>
                            <w:sz w:val="16"/>
                          </w:rPr>
                          <w:t>66</w:t>
                        </w:r>
                      </w:p>
                    </w:tc>
                    <w:tc>
                      <w:tcPr>
                        <w:tcW w:w="924" w:type="dxa"/>
                      </w:tcPr>
                      <w:p>
                        <w:pPr>
                          <w:pStyle w:val="TableParagraph"/>
                          <w:spacing w:before="37"/>
                          <w:ind w:left="206" w:right="192"/>
                          <w:jc w:val="center"/>
                          <w:rPr>
                            <w:sz w:val="16"/>
                          </w:rPr>
                        </w:pPr>
                        <w:r>
                          <w:rPr>
                            <w:sz w:val="16"/>
                          </w:rPr>
                          <w:t>ES</w:t>
                        </w:r>
                      </w:p>
                    </w:tc>
                  </w:tr>
                  <w:tr>
                    <w:trPr>
                      <w:trHeight w:val="273" w:hRule="atLeast"/>
                    </w:trPr>
                    <w:tc>
                      <w:tcPr>
                        <w:tcW w:w="1315" w:type="dxa"/>
                      </w:tcPr>
                      <w:p>
                        <w:pPr>
                          <w:pStyle w:val="TableParagraph"/>
                          <w:spacing w:before="37"/>
                          <w:ind w:left="57"/>
                          <w:rPr>
                            <w:sz w:val="16"/>
                          </w:rPr>
                        </w:pPr>
                        <w:r>
                          <w:rPr>
                            <w:sz w:val="16"/>
                          </w:rPr>
                          <w:t>West Bank</w:t>
                        </w:r>
                      </w:p>
                    </w:tc>
                    <w:tc>
                      <w:tcPr>
                        <w:tcW w:w="1106" w:type="dxa"/>
                      </w:tcPr>
                      <w:p>
                        <w:pPr>
                          <w:pStyle w:val="TableParagraph"/>
                          <w:spacing w:before="37"/>
                          <w:ind w:left="8"/>
                          <w:jc w:val="center"/>
                          <w:rPr>
                            <w:sz w:val="16"/>
                          </w:rPr>
                        </w:pPr>
                        <w:r>
                          <w:rPr>
                            <w:w w:val="100"/>
                            <w:sz w:val="16"/>
                          </w:rPr>
                          <w:t>-</w:t>
                        </w:r>
                      </w:p>
                    </w:tc>
                    <w:tc>
                      <w:tcPr>
                        <w:tcW w:w="1118" w:type="dxa"/>
                      </w:tcPr>
                      <w:p>
                        <w:pPr>
                          <w:pStyle w:val="TableParagraph"/>
                          <w:spacing w:before="37"/>
                          <w:ind w:left="11"/>
                          <w:jc w:val="center"/>
                          <w:rPr>
                            <w:sz w:val="16"/>
                          </w:rPr>
                        </w:pPr>
                        <w:r>
                          <w:rPr>
                            <w:w w:val="100"/>
                            <w:sz w:val="16"/>
                          </w:rPr>
                          <w:t>-</w:t>
                        </w:r>
                      </w:p>
                    </w:tc>
                    <w:tc>
                      <w:tcPr>
                        <w:tcW w:w="924" w:type="dxa"/>
                      </w:tcPr>
                      <w:p>
                        <w:pPr>
                          <w:pStyle w:val="TableParagraph"/>
                          <w:spacing w:before="37"/>
                          <w:ind w:left="14"/>
                          <w:jc w:val="center"/>
                          <w:rPr>
                            <w:sz w:val="16"/>
                          </w:rPr>
                        </w:pPr>
                        <w:r>
                          <w:rPr>
                            <w:w w:val="100"/>
                            <w:sz w:val="16"/>
                          </w:rPr>
                          <w:t>-</w:t>
                        </w:r>
                      </w:p>
                    </w:tc>
                  </w:tr>
                  <w:tr>
                    <w:trPr>
                      <w:trHeight w:val="443" w:hRule="atLeast"/>
                    </w:trPr>
                    <w:tc>
                      <w:tcPr>
                        <w:tcW w:w="1315" w:type="dxa"/>
                      </w:tcPr>
                      <w:p>
                        <w:pPr>
                          <w:pStyle w:val="TableParagraph"/>
                          <w:spacing w:before="124"/>
                          <w:ind w:left="57"/>
                          <w:rPr>
                            <w:sz w:val="16"/>
                          </w:rPr>
                        </w:pPr>
                        <w:r>
                          <w:rPr>
                            <w:sz w:val="16"/>
                          </w:rPr>
                          <w:t>Yemen</w:t>
                        </w:r>
                      </w:p>
                    </w:tc>
                    <w:tc>
                      <w:tcPr>
                        <w:tcW w:w="1106" w:type="dxa"/>
                      </w:tcPr>
                      <w:p>
                        <w:pPr>
                          <w:pStyle w:val="TableParagraph"/>
                          <w:spacing w:before="124"/>
                          <w:ind w:left="48" w:right="40"/>
                          <w:jc w:val="center"/>
                          <w:rPr>
                            <w:sz w:val="16"/>
                          </w:rPr>
                        </w:pPr>
                        <w:r>
                          <w:rPr>
                            <w:sz w:val="16"/>
                          </w:rPr>
                          <w:t>14</w:t>
                        </w:r>
                      </w:p>
                    </w:tc>
                    <w:tc>
                      <w:tcPr>
                        <w:tcW w:w="1118" w:type="dxa"/>
                      </w:tcPr>
                      <w:p>
                        <w:pPr>
                          <w:pStyle w:val="TableParagraph"/>
                          <w:spacing w:before="124"/>
                          <w:ind w:left="55" w:right="44"/>
                          <w:jc w:val="center"/>
                          <w:rPr>
                            <w:sz w:val="16"/>
                          </w:rPr>
                        </w:pPr>
                        <w:r>
                          <w:rPr>
                            <w:sz w:val="16"/>
                          </w:rPr>
                          <w:t>19</w:t>
                        </w:r>
                      </w:p>
                    </w:tc>
                    <w:tc>
                      <w:tcPr>
                        <w:tcW w:w="924" w:type="dxa"/>
                      </w:tcPr>
                      <w:p>
                        <w:pPr>
                          <w:pStyle w:val="TableParagraph"/>
                          <w:spacing w:before="124"/>
                          <w:ind w:left="206" w:right="191"/>
                          <w:jc w:val="center"/>
                          <w:rPr>
                            <w:sz w:val="16"/>
                          </w:rPr>
                        </w:pPr>
                        <w:r>
                          <w:rPr>
                            <w:sz w:val="16"/>
                          </w:rPr>
                          <w:t>FAO</w:t>
                        </w:r>
                      </w:p>
                    </w:tc>
                  </w:tr>
                  <w:tr>
                    <w:trPr>
                      <w:trHeight w:val="275" w:hRule="atLeast"/>
                    </w:trPr>
                    <w:tc>
                      <w:tcPr>
                        <w:tcW w:w="1315" w:type="dxa"/>
                      </w:tcPr>
                      <w:p>
                        <w:pPr>
                          <w:pStyle w:val="TableParagraph"/>
                          <w:rPr>
                            <w:sz w:val="16"/>
                          </w:rPr>
                        </w:pPr>
                      </w:p>
                    </w:tc>
                    <w:tc>
                      <w:tcPr>
                        <w:tcW w:w="1106" w:type="dxa"/>
                      </w:tcPr>
                      <w:p>
                        <w:pPr>
                          <w:pStyle w:val="TableParagraph"/>
                          <w:rPr>
                            <w:sz w:val="16"/>
                          </w:rPr>
                        </w:pPr>
                      </w:p>
                    </w:tc>
                    <w:tc>
                      <w:tcPr>
                        <w:tcW w:w="1118" w:type="dxa"/>
                      </w:tcPr>
                      <w:p>
                        <w:pPr>
                          <w:pStyle w:val="TableParagraph"/>
                          <w:rPr>
                            <w:sz w:val="16"/>
                          </w:rPr>
                        </w:pPr>
                      </w:p>
                    </w:tc>
                    <w:tc>
                      <w:tcPr>
                        <w:tcW w:w="924" w:type="dxa"/>
                      </w:tcPr>
                      <w:p>
                        <w:pPr>
                          <w:pStyle w:val="TableParagraph"/>
                          <w:rPr>
                            <w:sz w:val="16"/>
                          </w:rPr>
                        </w:pPr>
                      </w:p>
                    </w:tc>
                  </w:tr>
                  <w:tr>
                    <w:trPr>
                      <w:trHeight w:val="2260" w:hRule="atLeast"/>
                    </w:trPr>
                    <w:tc>
                      <w:tcPr>
                        <w:tcW w:w="4463" w:type="dxa"/>
                        <w:gridSpan w:val="4"/>
                        <w:tcBorders>
                          <w:bottom w:val="double" w:sz="1" w:space="0" w:color="000000"/>
                        </w:tcBorders>
                      </w:tcPr>
                      <w:p>
                        <w:pPr>
                          <w:pStyle w:val="TableParagraph"/>
                          <w:spacing w:before="59"/>
                          <w:ind w:left="597" w:right="489" w:firstLine="597"/>
                          <w:rPr>
                            <w:b/>
                            <w:sz w:val="14"/>
                          </w:rPr>
                        </w:pPr>
                        <w:r>
                          <w:rPr>
                            <w:b/>
                            <w:sz w:val="18"/>
                          </w:rPr>
                          <w:t>T</w:t>
                        </w:r>
                        <w:r>
                          <w:rPr>
                            <w:b/>
                            <w:sz w:val="14"/>
                          </w:rPr>
                          <w:t>ABLE </w:t>
                        </w:r>
                        <w:r>
                          <w:rPr>
                            <w:b/>
                            <w:sz w:val="18"/>
                          </w:rPr>
                          <w:t>3A.1.4 (C</w:t>
                        </w:r>
                        <w:r>
                          <w:rPr>
                            <w:b/>
                            <w:sz w:val="14"/>
                          </w:rPr>
                          <w:t>ONTINUED</w:t>
                        </w:r>
                        <w:r>
                          <w:rPr>
                            <w:b/>
                            <w:sz w:val="18"/>
                          </w:rPr>
                          <w:t>) A</w:t>
                        </w:r>
                        <w:r>
                          <w:rPr>
                            <w:b/>
                            <w:sz w:val="14"/>
                          </w:rPr>
                          <w:t>VERAGE GROWING STOCK VOLUME </w:t>
                        </w:r>
                        <w:r>
                          <w:rPr>
                            <w:b/>
                            <w:sz w:val="18"/>
                          </w:rPr>
                          <w:t>(1) </w:t>
                        </w:r>
                        <w:r>
                          <w:rPr>
                            <w:b/>
                            <w:sz w:val="14"/>
                          </w:rPr>
                          <w:t>AND</w:t>
                        </w:r>
                      </w:p>
                      <w:p>
                        <w:pPr>
                          <w:pStyle w:val="TableParagraph"/>
                          <w:ind w:left="880" w:right="150" w:hanging="689"/>
                          <w:rPr>
                            <w:b/>
                            <w:sz w:val="18"/>
                          </w:rPr>
                        </w:pPr>
                        <w:r>
                          <w:rPr>
                            <w:b/>
                            <w:sz w:val="14"/>
                          </w:rPr>
                          <w:t>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87"/>
                          </w:numPr>
                          <w:tabs>
                            <w:tab w:pos="466" w:val="left" w:leader="none"/>
                          </w:tabs>
                          <w:spacing w:line="240" w:lineRule="auto" w:before="116" w:after="0"/>
                          <w:ind w:left="465" w:right="0" w:hanging="257"/>
                          <w:jc w:val="left"/>
                          <w:rPr>
                            <w:sz w:val="18"/>
                          </w:rPr>
                        </w:pPr>
                        <w:r>
                          <w:rPr>
                            <w:sz w:val="18"/>
                          </w:rPr>
                          <w:t>To be used for V in Equation</w:t>
                        </w:r>
                        <w:r>
                          <w:rPr>
                            <w:spacing w:val="-7"/>
                            <w:sz w:val="18"/>
                          </w:rPr>
                          <w:t> </w:t>
                        </w:r>
                        <w:r>
                          <w:rPr>
                            <w:sz w:val="18"/>
                          </w:rPr>
                          <w:t>3.2.3.</w:t>
                        </w:r>
                      </w:p>
                      <w:p>
                        <w:pPr>
                          <w:pStyle w:val="TableParagraph"/>
                          <w:numPr>
                            <w:ilvl w:val="0"/>
                            <w:numId w:val="87"/>
                          </w:numPr>
                          <w:tabs>
                            <w:tab w:pos="466" w:val="left" w:leader="none"/>
                          </w:tabs>
                          <w:spacing w:line="240" w:lineRule="auto" w:before="119" w:after="0"/>
                          <w:ind w:left="460" w:right="51" w:hanging="252"/>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368" w:hRule="atLeast"/>
                    </w:trPr>
                    <w:tc>
                      <w:tcPr>
                        <w:tcW w:w="4463" w:type="dxa"/>
                        <w:gridSpan w:val="4"/>
                        <w:tcBorders>
                          <w:top w:val="double" w:sz="1" w:space="0" w:color="000000"/>
                        </w:tcBorders>
                      </w:tcPr>
                      <w:p>
                        <w:pPr>
                          <w:pStyle w:val="TableParagraph"/>
                          <w:spacing w:before="81"/>
                          <w:ind w:left="57"/>
                          <w:rPr>
                            <w:b/>
                            <w:sz w:val="18"/>
                          </w:rPr>
                        </w:pPr>
                        <w:r>
                          <w:rPr>
                            <w:b/>
                            <w:sz w:val="18"/>
                          </w:rPr>
                          <w:t>c. OCEANIA</w:t>
                        </w:r>
                      </w:p>
                    </w:tc>
                  </w:tr>
                  <w:tr>
                    <w:trPr>
                      <w:trHeight w:val="841" w:hRule="atLeast"/>
                    </w:trPr>
                    <w:tc>
                      <w:tcPr>
                        <w:tcW w:w="1315" w:type="dxa"/>
                      </w:tcPr>
                      <w:p>
                        <w:pPr>
                          <w:pStyle w:val="TableParagraph"/>
                          <w:rPr>
                            <w:sz w:val="18"/>
                          </w:rPr>
                        </w:pPr>
                      </w:p>
                      <w:p>
                        <w:pPr>
                          <w:pStyle w:val="TableParagraph"/>
                          <w:spacing w:before="114"/>
                          <w:ind w:left="378"/>
                          <w:rPr>
                            <w:b/>
                            <w:sz w:val="16"/>
                          </w:rPr>
                        </w:pPr>
                        <w:r>
                          <w:rPr>
                            <w:b/>
                            <w:sz w:val="16"/>
                          </w:rPr>
                          <w:t>Country</w:t>
                        </w:r>
                      </w:p>
                    </w:tc>
                    <w:tc>
                      <w:tcPr>
                        <w:tcW w:w="1106" w:type="dxa"/>
                      </w:tcPr>
                      <w:p>
                        <w:pPr>
                          <w:pStyle w:val="TableParagraph"/>
                          <w:spacing w:before="136"/>
                          <w:ind w:left="47" w:right="40" w:firstLine="2"/>
                          <w:jc w:val="center"/>
                          <w:rPr>
                            <w:b/>
                            <w:sz w:val="16"/>
                          </w:rPr>
                        </w:pPr>
                        <w:r>
                          <w:rPr>
                            <w:b/>
                            <w:sz w:val="16"/>
                          </w:rPr>
                          <w:t>Volume (aboveground) m</w:t>
                        </w:r>
                        <w:r>
                          <w:rPr>
                            <w:b/>
                            <w:sz w:val="16"/>
                            <w:vertAlign w:val="superscript"/>
                          </w:rPr>
                          <w:t>3</w:t>
                        </w:r>
                        <w:r>
                          <w:rPr>
                            <w:b/>
                            <w:sz w:val="16"/>
                            <w:vertAlign w:val="baseline"/>
                          </w:rPr>
                          <w:t> / ha</w:t>
                        </w:r>
                      </w:p>
                    </w:tc>
                    <w:tc>
                      <w:tcPr>
                        <w:tcW w:w="1118" w:type="dxa"/>
                      </w:tcPr>
                      <w:p>
                        <w:pPr>
                          <w:pStyle w:val="TableParagraph"/>
                          <w:spacing w:before="136"/>
                          <w:ind w:left="55" w:right="45"/>
                          <w:jc w:val="center"/>
                          <w:rPr>
                            <w:b/>
                            <w:sz w:val="16"/>
                          </w:rPr>
                        </w:pPr>
                        <w:r>
                          <w:rPr>
                            <w:b/>
                            <w:sz w:val="16"/>
                          </w:rPr>
                          <w:t>Biomass (aboveground) t / ha</w:t>
                        </w:r>
                      </w:p>
                    </w:tc>
                    <w:tc>
                      <w:tcPr>
                        <w:tcW w:w="924" w:type="dxa"/>
                      </w:tcPr>
                      <w:p>
                        <w:pPr>
                          <w:pStyle w:val="TableParagraph"/>
                          <w:spacing w:before="76"/>
                          <w:ind w:left="223" w:right="191" w:firstLine="33"/>
                          <w:rPr>
                            <w:b/>
                            <w:sz w:val="16"/>
                          </w:rPr>
                        </w:pPr>
                        <w:r>
                          <w:rPr>
                            <w:b/>
                            <w:sz w:val="16"/>
                          </w:rPr>
                          <w:t>Infor- mation</w:t>
                        </w:r>
                      </w:p>
                      <w:p>
                        <w:pPr>
                          <w:pStyle w:val="TableParagraph"/>
                          <w:spacing w:before="119"/>
                          <w:ind w:left="226"/>
                          <w:rPr>
                            <w:b/>
                            <w:sz w:val="16"/>
                          </w:rPr>
                        </w:pPr>
                        <w:r>
                          <w:rPr>
                            <w:b/>
                            <w:sz w:val="16"/>
                          </w:rPr>
                          <w:t>Source</w:t>
                        </w:r>
                      </w:p>
                    </w:tc>
                  </w:tr>
                  <w:tr>
                    <w:trPr>
                      <w:trHeight w:val="273" w:hRule="atLeast"/>
                    </w:trPr>
                    <w:tc>
                      <w:tcPr>
                        <w:tcW w:w="1315" w:type="dxa"/>
                      </w:tcPr>
                      <w:p>
                        <w:pPr>
                          <w:pStyle w:val="TableParagraph"/>
                          <w:spacing w:before="37"/>
                          <w:ind w:left="114"/>
                          <w:rPr>
                            <w:sz w:val="16"/>
                          </w:rPr>
                        </w:pPr>
                        <w:r>
                          <w:rPr>
                            <w:sz w:val="16"/>
                          </w:rPr>
                          <w:t>American Samoa</w:t>
                        </w:r>
                      </w:p>
                    </w:tc>
                    <w:tc>
                      <w:tcPr>
                        <w:tcW w:w="1106" w:type="dxa"/>
                      </w:tcPr>
                      <w:p>
                        <w:pPr>
                          <w:pStyle w:val="TableParagraph"/>
                          <w:rPr>
                            <w:sz w:val="16"/>
                          </w:rPr>
                        </w:pPr>
                      </w:p>
                    </w:tc>
                    <w:tc>
                      <w:tcPr>
                        <w:tcW w:w="1118" w:type="dxa"/>
                      </w:tcPr>
                      <w:p>
                        <w:pPr>
                          <w:pStyle w:val="TableParagraph"/>
                          <w:rPr>
                            <w:sz w:val="16"/>
                          </w:rPr>
                        </w:pPr>
                      </w:p>
                    </w:tc>
                    <w:tc>
                      <w:tcPr>
                        <w:tcW w:w="924" w:type="dxa"/>
                      </w:tcPr>
                      <w:p>
                        <w:pPr>
                          <w:pStyle w:val="TableParagraph"/>
                          <w:rPr>
                            <w:sz w:val="16"/>
                          </w:rPr>
                        </w:pPr>
                      </w:p>
                    </w:tc>
                  </w:tr>
                  <w:tr>
                    <w:trPr>
                      <w:trHeight w:val="275" w:hRule="atLeast"/>
                    </w:trPr>
                    <w:tc>
                      <w:tcPr>
                        <w:tcW w:w="1315" w:type="dxa"/>
                      </w:tcPr>
                      <w:p>
                        <w:pPr>
                          <w:pStyle w:val="TableParagraph"/>
                          <w:spacing w:before="37"/>
                          <w:ind w:left="57"/>
                          <w:rPr>
                            <w:sz w:val="16"/>
                          </w:rPr>
                        </w:pPr>
                        <w:r>
                          <w:rPr>
                            <w:sz w:val="16"/>
                          </w:rPr>
                          <w:t>Australia</w:t>
                        </w:r>
                      </w:p>
                    </w:tc>
                    <w:tc>
                      <w:tcPr>
                        <w:tcW w:w="1106" w:type="dxa"/>
                      </w:tcPr>
                      <w:p>
                        <w:pPr>
                          <w:pStyle w:val="TableParagraph"/>
                          <w:spacing w:before="37"/>
                          <w:ind w:left="48" w:right="40"/>
                          <w:jc w:val="center"/>
                          <w:rPr>
                            <w:sz w:val="16"/>
                          </w:rPr>
                        </w:pPr>
                        <w:r>
                          <w:rPr>
                            <w:sz w:val="16"/>
                          </w:rPr>
                          <w:t>55</w:t>
                        </w:r>
                      </w:p>
                    </w:tc>
                    <w:tc>
                      <w:tcPr>
                        <w:tcW w:w="1118" w:type="dxa"/>
                      </w:tcPr>
                      <w:p>
                        <w:pPr>
                          <w:pStyle w:val="TableParagraph"/>
                          <w:spacing w:before="37"/>
                          <w:ind w:left="55" w:right="44"/>
                          <w:jc w:val="center"/>
                          <w:rPr>
                            <w:sz w:val="16"/>
                          </w:rPr>
                        </w:pPr>
                        <w:r>
                          <w:rPr>
                            <w:sz w:val="16"/>
                          </w:rPr>
                          <w:t>57</w:t>
                        </w:r>
                      </w:p>
                    </w:tc>
                    <w:tc>
                      <w:tcPr>
                        <w:tcW w:w="924" w:type="dxa"/>
                      </w:tcPr>
                      <w:p>
                        <w:pPr>
                          <w:pStyle w:val="TableParagraph"/>
                          <w:spacing w:before="37"/>
                          <w:ind w:left="206" w:right="192"/>
                          <w:jc w:val="center"/>
                          <w:rPr>
                            <w:sz w:val="16"/>
                          </w:rPr>
                        </w:pPr>
                        <w:r>
                          <w:rPr>
                            <w:sz w:val="16"/>
                          </w:rPr>
                          <w:t>FAO</w:t>
                        </w:r>
                      </w:p>
                    </w:tc>
                  </w:tr>
                  <w:tr>
                    <w:trPr>
                      <w:trHeight w:val="273" w:hRule="atLeast"/>
                    </w:trPr>
                    <w:tc>
                      <w:tcPr>
                        <w:tcW w:w="1315" w:type="dxa"/>
                      </w:tcPr>
                      <w:p>
                        <w:pPr>
                          <w:pStyle w:val="TableParagraph"/>
                          <w:spacing w:before="37"/>
                          <w:ind w:left="57"/>
                          <w:rPr>
                            <w:sz w:val="16"/>
                          </w:rPr>
                        </w:pPr>
                        <w:r>
                          <w:rPr>
                            <w:sz w:val="16"/>
                          </w:rPr>
                          <w:t>Cook Islands</w:t>
                        </w:r>
                      </w:p>
                    </w:tc>
                    <w:tc>
                      <w:tcPr>
                        <w:tcW w:w="1106" w:type="dxa"/>
                      </w:tcPr>
                      <w:p>
                        <w:pPr>
                          <w:pStyle w:val="TableParagraph"/>
                          <w:spacing w:before="37"/>
                          <w:ind w:left="10"/>
                          <w:jc w:val="center"/>
                          <w:rPr>
                            <w:sz w:val="16"/>
                          </w:rPr>
                        </w:pPr>
                        <w:r>
                          <w:rPr>
                            <w:w w:val="100"/>
                            <w:sz w:val="16"/>
                          </w:rPr>
                          <w:t>-</w:t>
                        </w:r>
                      </w:p>
                    </w:tc>
                    <w:tc>
                      <w:tcPr>
                        <w:tcW w:w="1118" w:type="dxa"/>
                      </w:tcPr>
                      <w:p>
                        <w:pPr>
                          <w:pStyle w:val="TableParagraph"/>
                          <w:spacing w:before="37"/>
                          <w:ind w:left="13"/>
                          <w:jc w:val="center"/>
                          <w:rPr>
                            <w:sz w:val="16"/>
                          </w:rPr>
                        </w:pPr>
                        <w:r>
                          <w:rPr>
                            <w:w w:val="100"/>
                            <w:sz w:val="16"/>
                          </w:rPr>
                          <w:t>-</w:t>
                        </w:r>
                      </w:p>
                    </w:tc>
                    <w:tc>
                      <w:tcPr>
                        <w:tcW w:w="924" w:type="dxa"/>
                      </w:tcPr>
                      <w:p>
                        <w:pPr>
                          <w:pStyle w:val="TableParagraph"/>
                          <w:spacing w:before="37"/>
                          <w:ind w:left="15"/>
                          <w:jc w:val="center"/>
                          <w:rPr>
                            <w:sz w:val="16"/>
                          </w:rPr>
                        </w:pPr>
                        <w:r>
                          <w:rPr>
                            <w:w w:val="100"/>
                            <w:sz w:val="16"/>
                          </w:rPr>
                          <w:t>-</w:t>
                        </w:r>
                      </w:p>
                    </w:tc>
                  </w:tr>
                  <w:tr>
                    <w:trPr>
                      <w:trHeight w:val="273" w:hRule="atLeast"/>
                    </w:trPr>
                    <w:tc>
                      <w:tcPr>
                        <w:tcW w:w="1315" w:type="dxa"/>
                      </w:tcPr>
                      <w:p>
                        <w:pPr>
                          <w:pStyle w:val="TableParagraph"/>
                          <w:spacing w:before="37"/>
                          <w:ind w:left="57"/>
                          <w:rPr>
                            <w:sz w:val="16"/>
                          </w:rPr>
                        </w:pPr>
                        <w:r>
                          <w:rPr>
                            <w:sz w:val="16"/>
                          </w:rPr>
                          <w:t>Fiji</w:t>
                        </w:r>
                      </w:p>
                    </w:tc>
                    <w:tc>
                      <w:tcPr>
                        <w:tcW w:w="1106" w:type="dxa"/>
                      </w:tcPr>
                      <w:p>
                        <w:pPr>
                          <w:pStyle w:val="TableParagraph"/>
                          <w:spacing w:before="37"/>
                          <w:ind w:left="8"/>
                          <w:jc w:val="center"/>
                          <w:rPr>
                            <w:sz w:val="16"/>
                          </w:rPr>
                        </w:pPr>
                        <w:r>
                          <w:rPr>
                            <w:w w:val="100"/>
                            <w:sz w:val="16"/>
                          </w:rPr>
                          <w:t>-</w:t>
                        </w:r>
                      </w:p>
                    </w:tc>
                    <w:tc>
                      <w:tcPr>
                        <w:tcW w:w="1118" w:type="dxa"/>
                      </w:tcPr>
                      <w:p>
                        <w:pPr>
                          <w:pStyle w:val="TableParagraph"/>
                          <w:spacing w:before="37"/>
                          <w:ind w:left="12"/>
                          <w:jc w:val="center"/>
                          <w:rPr>
                            <w:sz w:val="16"/>
                          </w:rPr>
                        </w:pPr>
                        <w:r>
                          <w:rPr>
                            <w:w w:val="100"/>
                            <w:sz w:val="16"/>
                          </w:rPr>
                          <w:t>-</w:t>
                        </w:r>
                      </w:p>
                    </w:tc>
                    <w:tc>
                      <w:tcPr>
                        <w:tcW w:w="924" w:type="dxa"/>
                      </w:tcPr>
                      <w:p>
                        <w:pPr>
                          <w:pStyle w:val="TableParagraph"/>
                          <w:spacing w:before="37"/>
                          <w:ind w:left="14"/>
                          <w:jc w:val="center"/>
                          <w:rPr>
                            <w:sz w:val="16"/>
                          </w:rPr>
                        </w:pPr>
                        <w:r>
                          <w:rPr>
                            <w:w w:val="100"/>
                            <w:sz w:val="16"/>
                          </w:rPr>
                          <w:t>-</w:t>
                        </w:r>
                      </w:p>
                    </w:tc>
                  </w:tr>
                  <w:tr>
                    <w:trPr>
                      <w:trHeight w:val="275" w:hRule="atLeast"/>
                    </w:trPr>
                    <w:tc>
                      <w:tcPr>
                        <w:tcW w:w="1315" w:type="dxa"/>
                      </w:tcPr>
                      <w:p>
                        <w:pPr>
                          <w:pStyle w:val="TableParagraph"/>
                          <w:spacing w:before="37"/>
                          <w:ind w:left="57"/>
                          <w:rPr>
                            <w:sz w:val="16"/>
                          </w:rPr>
                        </w:pPr>
                        <w:r>
                          <w:rPr>
                            <w:sz w:val="16"/>
                          </w:rPr>
                          <w:t>French Polynesia</w:t>
                        </w:r>
                      </w:p>
                    </w:tc>
                    <w:tc>
                      <w:tcPr>
                        <w:tcW w:w="1106" w:type="dxa"/>
                      </w:tcPr>
                      <w:p>
                        <w:pPr>
                          <w:pStyle w:val="TableParagraph"/>
                          <w:spacing w:before="37"/>
                          <w:ind w:left="9"/>
                          <w:jc w:val="center"/>
                          <w:rPr>
                            <w:sz w:val="16"/>
                          </w:rPr>
                        </w:pPr>
                        <w:r>
                          <w:rPr>
                            <w:w w:val="100"/>
                            <w:sz w:val="16"/>
                          </w:rPr>
                          <w:t>-</w:t>
                        </w:r>
                      </w:p>
                    </w:tc>
                    <w:tc>
                      <w:tcPr>
                        <w:tcW w:w="1118" w:type="dxa"/>
                      </w:tcPr>
                      <w:p>
                        <w:pPr>
                          <w:pStyle w:val="TableParagraph"/>
                          <w:spacing w:before="37"/>
                          <w:ind w:left="12"/>
                          <w:jc w:val="center"/>
                          <w:rPr>
                            <w:sz w:val="16"/>
                          </w:rPr>
                        </w:pPr>
                        <w:r>
                          <w:rPr>
                            <w:w w:val="100"/>
                            <w:sz w:val="16"/>
                          </w:rPr>
                          <w:t>-</w:t>
                        </w:r>
                      </w:p>
                    </w:tc>
                    <w:tc>
                      <w:tcPr>
                        <w:tcW w:w="924" w:type="dxa"/>
                      </w:tcPr>
                      <w:p>
                        <w:pPr>
                          <w:pStyle w:val="TableParagraph"/>
                          <w:spacing w:before="37"/>
                          <w:ind w:left="14"/>
                          <w:jc w:val="center"/>
                          <w:rPr>
                            <w:sz w:val="16"/>
                          </w:rPr>
                        </w:pPr>
                        <w:r>
                          <w:rPr>
                            <w:w w:val="100"/>
                            <w:sz w:val="16"/>
                          </w:rPr>
                          <w:t>-</w:t>
                        </w:r>
                      </w:p>
                    </w:tc>
                  </w:tr>
                  <w:tr>
                    <w:trPr>
                      <w:trHeight w:val="273" w:hRule="atLeast"/>
                    </w:trPr>
                    <w:tc>
                      <w:tcPr>
                        <w:tcW w:w="1315" w:type="dxa"/>
                      </w:tcPr>
                      <w:p>
                        <w:pPr>
                          <w:pStyle w:val="TableParagraph"/>
                          <w:spacing w:before="37"/>
                          <w:ind w:left="57"/>
                          <w:rPr>
                            <w:sz w:val="16"/>
                          </w:rPr>
                        </w:pPr>
                        <w:r>
                          <w:rPr>
                            <w:sz w:val="16"/>
                          </w:rPr>
                          <w:t>Guam</w:t>
                        </w:r>
                      </w:p>
                    </w:tc>
                    <w:tc>
                      <w:tcPr>
                        <w:tcW w:w="1106" w:type="dxa"/>
                      </w:tcPr>
                      <w:p>
                        <w:pPr>
                          <w:pStyle w:val="TableParagraph"/>
                          <w:spacing w:before="37"/>
                          <w:ind w:left="8"/>
                          <w:jc w:val="center"/>
                          <w:rPr>
                            <w:sz w:val="16"/>
                          </w:rPr>
                        </w:pPr>
                        <w:r>
                          <w:rPr>
                            <w:w w:val="100"/>
                            <w:sz w:val="16"/>
                          </w:rPr>
                          <w:t>-</w:t>
                        </w:r>
                      </w:p>
                    </w:tc>
                    <w:tc>
                      <w:tcPr>
                        <w:tcW w:w="1118" w:type="dxa"/>
                      </w:tcPr>
                      <w:p>
                        <w:pPr>
                          <w:pStyle w:val="TableParagraph"/>
                          <w:spacing w:before="37"/>
                          <w:ind w:left="11"/>
                          <w:jc w:val="center"/>
                          <w:rPr>
                            <w:sz w:val="16"/>
                          </w:rPr>
                        </w:pPr>
                        <w:r>
                          <w:rPr>
                            <w:w w:val="100"/>
                            <w:sz w:val="16"/>
                          </w:rPr>
                          <w:t>-</w:t>
                        </w:r>
                      </w:p>
                    </w:tc>
                    <w:tc>
                      <w:tcPr>
                        <w:tcW w:w="924" w:type="dxa"/>
                      </w:tcPr>
                      <w:p>
                        <w:pPr>
                          <w:pStyle w:val="TableParagraph"/>
                          <w:spacing w:before="37"/>
                          <w:ind w:left="14"/>
                          <w:jc w:val="center"/>
                          <w:rPr>
                            <w:sz w:val="16"/>
                          </w:rPr>
                        </w:pPr>
                        <w:r>
                          <w:rPr>
                            <w:w w:val="100"/>
                            <w:sz w:val="16"/>
                          </w:rPr>
                          <w:t>-</w:t>
                        </w:r>
                      </w:p>
                    </w:tc>
                  </w:tr>
                  <w:tr>
                    <w:trPr>
                      <w:trHeight w:val="443" w:hRule="atLeast"/>
                    </w:trPr>
                    <w:tc>
                      <w:tcPr>
                        <w:tcW w:w="4463" w:type="dxa"/>
                        <w:gridSpan w:val="4"/>
                      </w:tcPr>
                      <w:p>
                        <w:pPr>
                          <w:pStyle w:val="TableParagraph"/>
                          <w:spacing w:before="33"/>
                          <w:ind w:left="57" w:right="14"/>
                          <w:rPr>
                            <w:sz w:val="16"/>
                          </w:rPr>
                        </w:pPr>
                        <w:r>
                          <w:rPr>
                            <w:sz w:val="16"/>
                          </w:rPr>
                          <w:t>Information source: NI = National inventory; PI = Partial inventory; ES = Estimate; EX = External data (from other regions)</w:t>
                        </w:r>
                      </w:p>
                    </w:tc>
                  </w:tr>
                </w:tbl>
                <w:p>
                  <w:pPr>
                    <w:pStyle w:val="BodyText"/>
                  </w:pPr>
                </w:p>
              </w:txbxContent>
            </v:textbox>
          </v:shape>
        </w:pict>
      </w:r>
      <w:r>
        <w:rPr>
          <w:spacing w:val="41"/>
        </w:rPr>
      </w:r>
    </w:p>
    <w:p>
      <w:pPr>
        <w:spacing w:after="0"/>
        <w:sectPr>
          <w:footerReference w:type="default" r:id="rId189"/>
          <w:footerReference w:type="even" r:id="rId190"/>
          <w:pgSz w:w="11900" w:h="16840"/>
          <w:pgMar w:footer="408" w:header="230" w:top="560" w:bottom="600" w:left="1200" w:right="1140"/>
        </w:sectPr>
      </w:pPr>
    </w:p>
    <w:p>
      <w:pPr>
        <w:pStyle w:val="BodyText"/>
        <w:spacing w:before="4"/>
        <w:rPr>
          <w:sz w:val="17"/>
        </w:rPr>
      </w:pPr>
      <w:r>
        <w:rPr/>
        <w:pict>
          <v:shape style="position:absolute;margin-left:71.320999pt;margin-top:51pt;width:224.1pt;height:386.55pt;mso-position-horizontal-relative:page;mso-position-vertical-relative:page;z-index:1343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8"/>
                    <w:gridCol w:w="1092"/>
                    <w:gridCol w:w="1078"/>
                    <w:gridCol w:w="938"/>
                  </w:tblGrid>
                  <w:tr>
                    <w:trPr>
                      <w:trHeight w:val="2144" w:hRule="atLeast"/>
                    </w:trPr>
                    <w:tc>
                      <w:tcPr>
                        <w:tcW w:w="4466" w:type="dxa"/>
                        <w:gridSpan w:val="4"/>
                        <w:tcBorders>
                          <w:bottom w:val="double" w:sz="1" w:space="0" w:color="000000"/>
                          <w:right w:val="single" w:sz="6" w:space="0" w:color="000000"/>
                        </w:tcBorders>
                      </w:tcPr>
                      <w:p>
                        <w:pPr>
                          <w:pStyle w:val="TableParagraph"/>
                          <w:spacing w:before="110"/>
                          <w:ind w:left="582" w:right="470" w:firstLine="616"/>
                          <w:rPr>
                            <w:b/>
                            <w:sz w:val="14"/>
                          </w:rPr>
                        </w:pPr>
                        <w:r>
                          <w:rPr>
                            <w:b/>
                            <w:sz w:val="18"/>
                          </w:rPr>
                          <w:t>T</w:t>
                        </w:r>
                        <w:r>
                          <w:rPr>
                            <w:b/>
                            <w:sz w:val="14"/>
                          </w:rPr>
                          <w:t>ABLE </w:t>
                        </w:r>
                        <w:r>
                          <w:rPr>
                            <w:b/>
                            <w:sz w:val="18"/>
                          </w:rPr>
                          <w:t>3A.1.4 (C</w:t>
                        </w:r>
                        <w:r>
                          <w:rPr>
                            <w:b/>
                            <w:sz w:val="14"/>
                          </w:rPr>
                          <w:t>ONTINUED</w:t>
                        </w:r>
                        <w:r>
                          <w:rPr>
                            <w:b/>
                            <w:sz w:val="18"/>
                          </w:rPr>
                          <w:t>) A</w:t>
                        </w:r>
                        <w:r>
                          <w:rPr>
                            <w:b/>
                            <w:sz w:val="14"/>
                          </w:rPr>
                          <w:t>VERAGE GROWING STOCK VOLUME </w:t>
                        </w:r>
                        <w:r>
                          <w:rPr>
                            <w:b/>
                            <w:sz w:val="18"/>
                          </w:rPr>
                          <w:t>(1) </w:t>
                        </w:r>
                        <w:r>
                          <w:rPr>
                            <w:b/>
                            <w:sz w:val="14"/>
                          </w:rPr>
                          <w:t>AND</w:t>
                        </w:r>
                      </w:p>
                      <w:p>
                        <w:pPr>
                          <w:pStyle w:val="TableParagraph"/>
                          <w:spacing w:before="1"/>
                          <w:ind w:left="866" w:right="163" w:hanging="687"/>
                          <w:rPr>
                            <w:b/>
                            <w:sz w:val="18"/>
                          </w:rPr>
                        </w:pPr>
                        <w:r>
                          <w:rPr>
                            <w:b/>
                            <w:sz w:val="14"/>
                          </w:rPr>
                          <w:t>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88"/>
                          </w:numPr>
                          <w:tabs>
                            <w:tab w:pos="468" w:val="left" w:leader="none"/>
                          </w:tabs>
                          <w:spacing w:line="201" w:lineRule="exact" w:before="0" w:after="0"/>
                          <w:ind w:left="467" w:right="0" w:hanging="256"/>
                          <w:jc w:val="left"/>
                          <w:rPr>
                            <w:sz w:val="18"/>
                          </w:rPr>
                        </w:pPr>
                        <w:r>
                          <w:rPr>
                            <w:sz w:val="18"/>
                          </w:rPr>
                          <w:t>To be used for V in Equation</w:t>
                        </w:r>
                        <w:r>
                          <w:rPr>
                            <w:spacing w:val="-7"/>
                            <w:sz w:val="18"/>
                          </w:rPr>
                          <w:t> </w:t>
                        </w:r>
                        <w:r>
                          <w:rPr>
                            <w:sz w:val="18"/>
                          </w:rPr>
                          <w:t>3.2.3.</w:t>
                        </w:r>
                      </w:p>
                      <w:p>
                        <w:pPr>
                          <w:pStyle w:val="TableParagraph"/>
                          <w:numPr>
                            <w:ilvl w:val="0"/>
                            <w:numId w:val="88"/>
                          </w:numPr>
                          <w:tabs>
                            <w:tab w:pos="468" w:val="left" w:leader="none"/>
                          </w:tabs>
                          <w:spacing w:line="240" w:lineRule="auto" w:before="0" w:after="0"/>
                          <w:ind w:left="467" w:right="45" w:hanging="256"/>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5" w:hRule="atLeast"/>
                    </w:trPr>
                    <w:tc>
                      <w:tcPr>
                        <w:tcW w:w="4466" w:type="dxa"/>
                        <w:gridSpan w:val="4"/>
                        <w:tcBorders>
                          <w:top w:val="double" w:sz="1" w:space="0" w:color="000000"/>
                          <w:right w:val="single" w:sz="6" w:space="0" w:color="000000"/>
                        </w:tcBorders>
                      </w:tcPr>
                      <w:p>
                        <w:pPr>
                          <w:pStyle w:val="TableParagraph"/>
                          <w:spacing w:before="23"/>
                          <w:ind w:left="30"/>
                          <w:rPr>
                            <w:b/>
                            <w:sz w:val="18"/>
                          </w:rPr>
                        </w:pPr>
                        <w:r>
                          <w:rPr>
                            <w:b/>
                            <w:sz w:val="18"/>
                          </w:rPr>
                          <w:t>c.OCEANIA (Continued)</w:t>
                        </w:r>
                      </w:p>
                    </w:tc>
                  </w:tr>
                  <w:tr>
                    <w:trPr>
                      <w:trHeight w:val="726" w:hRule="atLeast"/>
                    </w:trPr>
                    <w:tc>
                      <w:tcPr>
                        <w:tcW w:w="1358" w:type="dxa"/>
                      </w:tcPr>
                      <w:p>
                        <w:pPr>
                          <w:pStyle w:val="TableParagraph"/>
                          <w:spacing w:before="10"/>
                          <w:rPr>
                            <w:sz w:val="22"/>
                          </w:rPr>
                        </w:pPr>
                      </w:p>
                      <w:p>
                        <w:pPr>
                          <w:pStyle w:val="TableParagraph"/>
                          <w:ind w:left="57"/>
                          <w:rPr>
                            <w:b/>
                            <w:sz w:val="16"/>
                          </w:rPr>
                        </w:pPr>
                        <w:r>
                          <w:rPr>
                            <w:b/>
                            <w:sz w:val="16"/>
                          </w:rPr>
                          <w:t>Country</w:t>
                        </w:r>
                      </w:p>
                    </w:tc>
                    <w:tc>
                      <w:tcPr>
                        <w:tcW w:w="1092" w:type="dxa"/>
                      </w:tcPr>
                      <w:p>
                        <w:pPr>
                          <w:pStyle w:val="TableParagraph"/>
                          <w:spacing w:before="35"/>
                          <w:ind w:left="43" w:right="14" w:firstLine="237"/>
                          <w:rPr>
                            <w:b/>
                            <w:sz w:val="16"/>
                          </w:rPr>
                        </w:pPr>
                        <w:r>
                          <w:rPr>
                            <w:b/>
                            <w:sz w:val="16"/>
                          </w:rPr>
                          <w:t>Volume (aboveground)</w:t>
                        </w:r>
                      </w:p>
                      <w:p>
                        <w:pPr>
                          <w:pStyle w:val="TableParagraph"/>
                          <w:spacing w:before="86"/>
                          <w:ind w:left="307"/>
                          <w:rPr>
                            <w:b/>
                            <w:sz w:val="16"/>
                          </w:rPr>
                        </w:pPr>
                        <w:r>
                          <w:rPr>
                            <w:b/>
                            <w:sz w:val="16"/>
                          </w:rPr>
                          <w:t>m</w:t>
                        </w:r>
                        <w:r>
                          <w:rPr>
                            <w:b/>
                            <w:sz w:val="16"/>
                            <w:vertAlign w:val="superscript"/>
                          </w:rPr>
                          <w:t>3</w:t>
                        </w:r>
                        <w:r>
                          <w:rPr>
                            <w:b/>
                            <w:sz w:val="16"/>
                            <w:vertAlign w:val="baseline"/>
                          </w:rPr>
                          <w:t> / ha</w:t>
                        </w:r>
                      </w:p>
                    </w:tc>
                    <w:tc>
                      <w:tcPr>
                        <w:tcW w:w="1078" w:type="dxa"/>
                      </w:tcPr>
                      <w:p>
                        <w:pPr>
                          <w:pStyle w:val="TableParagraph"/>
                          <w:spacing w:before="35"/>
                          <w:ind w:left="36" w:right="24"/>
                          <w:jc w:val="center"/>
                          <w:rPr>
                            <w:b/>
                            <w:sz w:val="16"/>
                          </w:rPr>
                        </w:pPr>
                        <w:r>
                          <w:rPr>
                            <w:b/>
                            <w:sz w:val="16"/>
                          </w:rPr>
                          <w:t>Biomass (aboveground)</w:t>
                        </w:r>
                      </w:p>
                      <w:p>
                        <w:pPr>
                          <w:pStyle w:val="TableParagraph"/>
                          <w:spacing w:before="86"/>
                          <w:ind w:left="32" w:right="24"/>
                          <w:jc w:val="center"/>
                          <w:rPr>
                            <w:b/>
                            <w:sz w:val="16"/>
                          </w:rPr>
                        </w:pPr>
                        <w:r>
                          <w:rPr>
                            <w:b/>
                            <w:sz w:val="16"/>
                          </w:rPr>
                          <w:t>t / ha</w:t>
                        </w:r>
                      </w:p>
                    </w:tc>
                    <w:tc>
                      <w:tcPr>
                        <w:tcW w:w="938" w:type="dxa"/>
                        <w:tcBorders>
                          <w:right w:val="single" w:sz="6" w:space="0" w:color="000000"/>
                        </w:tcBorders>
                      </w:tcPr>
                      <w:p>
                        <w:pPr>
                          <w:pStyle w:val="TableParagraph"/>
                          <w:spacing w:before="35"/>
                          <w:ind w:left="230" w:right="201" w:firstLine="33"/>
                          <w:rPr>
                            <w:b/>
                            <w:sz w:val="16"/>
                          </w:rPr>
                        </w:pPr>
                        <w:r>
                          <w:rPr>
                            <w:b/>
                            <w:sz w:val="16"/>
                          </w:rPr>
                          <w:t>Infor- </w:t>
                        </w:r>
                        <w:r>
                          <w:rPr>
                            <w:b/>
                            <w:spacing w:val="-1"/>
                            <w:sz w:val="16"/>
                          </w:rPr>
                          <w:t>mation</w:t>
                        </w:r>
                      </w:p>
                      <w:p>
                        <w:pPr>
                          <w:pStyle w:val="TableParagraph"/>
                          <w:spacing w:before="86"/>
                          <w:ind w:left="232"/>
                          <w:rPr>
                            <w:b/>
                            <w:sz w:val="16"/>
                          </w:rPr>
                        </w:pPr>
                        <w:r>
                          <w:rPr>
                            <w:b/>
                            <w:sz w:val="16"/>
                          </w:rPr>
                          <w:t>Source</w:t>
                        </w:r>
                      </w:p>
                    </w:tc>
                  </w:tr>
                  <w:tr>
                    <w:trPr>
                      <w:trHeight w:val="273" w:hRule="atLeast"/>
                    </w:trPr>
                    <w:tc>
                      <w:tcPr>
                        <w:tcW w:w="1358" w:type="dxa"/>
                      </w:tcPr>
                      <w:p>
                        <w:pPr>
                          <w:pStyle w:val="TableParagraph"/>
                          <w:spacing w:before="37"/>
                          <w:ind w:left="57"/>
                          <w:rPr>
                            <w:sz w:val="16"/>
                          </w:rPr>
                        </w:pPr>
                        <w:r>
                          <w:rPr>
                            <w:sz w:val="16"/>
                          </w:rPr>
                          <w:t>Kiribati</w:t>
                        </w:r>
                      </w:p>
                    </w:tc>
                    <w:tc>
                      <w:tcPr>
                        <w:tcW w:w="1092" w:type="dxa"/>
                      </w:tcPr>
                      <w:p>
                        <w:pPr>
                          <w:pStyle w:val="TableParagraph"/>
                          <w:spacing w:before="37"/>
                          <w:ind w:left="13"/>
                          <w:jc w:val="center"/>
                          <w:rPr>
                            <w:sz w:val="16"/>
                          </w:rPr>
                        </w:pPr>
                        <w:r>
                          <w:rPr>
                            <w:w w:val="100"/>
                            <w:sz w:val="16"/>
                          </w:rPr>
                          <w:t>-</w:t>
                        </w:r>
                      </w:p>
                    </w:tc>
                    <w:tc>
                      <w:tcPr>
                        <w:tcW w:w="1078" w:type="dxa"/>
                      </w:tcPr>
                      <w:p>
                        <w:pPr>
                          <w:pStyle w:val="TableParagraph"/>
                          <w:spacing w:before="37"/>
                          <w:ind w:left="514"/>
                          <w:rPr>
                            <w:sz w:val="16"/>
                          </w:rPr>
                        </w:pPr>
                        <w:r>
                          <w:rPr>
                            <w:w w:val="100"/>
                            <w:sz w:val="16"/>
                          </w:rPr>
                          <w:t>-</w:t>
                        </w:r>
                      </w:p>
                    </w:tc>
                    <w:tc>
                      <w:tcPr>
                        <w:tcW w:w="938" w:type="dxa"/>
                        <w:tcBorders>
                          <w:right w:val="single" w:sz="6" w:space="0" w:color="000000"/>
                        </w:tcBorders>
                      </w:tcPr>
                      <w:p>
                        <w:pPr>
                          <w:pStyle w:val="TableParagraph"/>
                          <w:spacing w:before="37"/>
                          <w:ind w:left="16"/>
                          <w:jc w:val="center"/>
                          <w:rPr>
                            <w:sz w:val="16"/>
                          </w:rPr>
                        </w:pPr>
                        <w:r>
                          <w:rPr>
                            <w:w w:val="100"/>
                            <w:sz w:val="16"/>
                          </w:rPr>
                          <w:t>-</w:t>
                        </w:r>
                      </w:p>
                    </w:tc>
                  </w:tr>
                  <w:tr>
                    <w:trPr>
                      <w:trHeight w:val="275" w:hRule="atLeast"/>
                    </w:trPr>
                    <w:tc>
                      <w:tcPr>
                        <w:tcW w:w="1358" w:type="dxa"/>
                      </w:tcPr>
                      <w:p>
                        <w:pPr>
                          <w:pStyle w:val="TableParagraph"/>
                          <w:spacing w:before="37"/>
                          <w:ind w:left="57"/>
                          <w:rPr>
                            <w:sz w:val="16"/>
                          </w:rPr>
                        </w:pPr>
                        <w:r>
                          <w:rPr>
                            <w:sz w:val="16"/>
                          </w:rPr>
                          <w:t>Marshall Islands</w:t>
                        </w:r>
                      </w:p>
                    </w:tc>
                    <w:tc>
                      <w:tcPr>
                        <w:tcW w:w="1092" w:type="dxa"/>
                      </w:tcPr>
                      <w:p>
                        <w:pPr>
                          <w:pStyle w:val="TableParagraph"/>
                          <w:spacing w:before="37"/>
                          <w:ind w:left="13"/>
                          <w:jc w:val="center"/>
                          <w:rPr>
                            <w:sz w:val="16"/>
                          </w:rPr>
                        </w:pPr>
                        <w:r>
                          <w:rPr>
                            <w:w w:val="100"/>
                            <w:sz w:val="16"/>
                          </w:rPr>
                          <w:t>-</w:t>
                        </w:r>
                      </w:p>
                    </w:tc>
                    <w:tc>
                      <w:tcPr>
                        <w:tcW w:w="1078" w:type="dxa"/>
                      </w:tcPr>
                      <w:p>
                        <w:pPr>
                          <w:pStyle w:val="TableParagraph"/>
                          <w:spacing w:before="37"/>
                          <w:ind w:left="513"/>
                          <w:rPr>
                            <w:sz w:val="16"/>
                          </w:rPr>
                        </w:pPr>
                        <w:r>
                          <w:rPr>
                            <w:w w:val="100"/>
                            <w:sz w:val="16"/>
                          </w:rPr>
                          <w:t>-</w:t>
                        </w:r>
                      </w:p>
                    </w:tc>
                    <w:tc>
                      <w:tcPr>
                        <w:tcW w:w="938" w:type="dxa"/>
                        <w:tcBorders>
                          <w:right w:val="single" w:sz="6" w:space="0" w:color="000000"/>
                        </w:tcBorders>
                      </w:tcPr>
                      <w:p>
                        <w:pPr>
                          <w:pStyle w:val="TableParagraph"/>
                          <w:spacing w:before="37"/>
                          <w:ind w:left="15"/>
                          <w:jc w:val="center"/>
                          <w:rPr>
                            <w:sz w:val="16"/>
                          </w:rPr>
                        </w:pPr>
                        <w:r>
                          <w:rPr>
                            <w:w w:val="100"/>
                            <w:sz w:val="16"/>
                          </w:rPr>
                          <w:t>-</w:t>
                        </w:r>
                      </w:p>
                    </w:tc>
                  </w:tr>
                  <w:tr>
                    <w:trPr>
                      <w:trHeight w:val="273" w:hRule="atLeast"/>
                    </w:trPr>
                    <w:tc>
                      <w:tcPr>
                        <w:tcW w:w="1358" w:type="dxa"/>
                      </w:tcPr>
                      <w:p>
                        <w:pPr>
                          <w:pStyle w:val="TableParagraph"/>
                          <w:spacing w:before="37"/>
                          <w:ind w:left="57"/>
                          <w:rPr>
                            <w:sz w:val="16"/>
                          </w:rPr>
                        </w:pPr>
                        <w:r>
                          <w:rPr>
                            <w:sz w:val="16"/>
                          </w:rPr>
                          <w:t>Micronesia</w:t>
                        </w:r>
                      </w:p>
                    </w:tc>
                    <w:tc>
                      <w:tcPr>
                        <w:tcW w:w="1092" w:type="dxa"/>
                      </w:tcPr>
                      <w:p>
                        <w:pPr>
                          <w:pStyle w:val="TableParagraph"/>
                          <w:spacing w:before="37"/>
                          <w:ind w:left="15"/>
                          <w:jc w:val="center"/>
                          <w:rPr>
                            <w:sz w:val="16"/>
                          </w:rPr>
                        </w:pPr>
                        <w:r>
                          <w:rPr>
                            <w:w w:val="100"/>
                            <w:sz w:val="16"/>
                          </w:rPr>
                          <w:t>-</w:t>
                        </w:r>
                      </w:p>
                    </w:tc>
                    <w:tc>
                      <w:tcPr>
                        <w:tcW w:w="1078" w:type="dxa"/>
                      </w:tcPr>
                      <w:p>
                        <w:pPr>
                          <w:pStyle w:val="TableParagraph"/>
                          <w:spacing w:before="37"/>
                          <w:ind w:left="514"/>
                          <w:rPr>
                            <w:sz w:val="16"/>
                          </w:rPr>
                        </w:pPr>
                        <w:r>
                          <w:rPr>
                            <w:w w:val="100"/>
                            <w:sz w:val="16"/>
                          </w:rPr>
                          <w:t>-</w:t>
                        </w:r>
                      </w:p>
                    </w:tc>
                    <w:tc>
                      <w:tcPr>
                        <w:tcW w:w="938" w:type="dxa"/>
                        <w:tcBorders>
                          <w:right w:val="single" w:sz="6" w:space="0" w:color="000000"/>
                        </w:tcBorders>
                      </w:tcPr>
                      <w:p>
                        <w:pPr>
                          <w:pStyle w:val="TableParagraph"/>
                          <w:spacing w:before="37"/>
                          <w:ind w:left="17"/>
                          <w:jc w:val="center"/>
                          <w:rPr>
                            <w:sz w:val="16"/>
                          </w:rPr>
                        </w:pPr>
                        <w:r>
                          <w:rPr>
                            <w:w w:val="100"/>
                            <w:sz w:val="16"/>
                          </w:rPr>
                          <w:t>-</w:t>
                        </w:r>
                      </w:p>
                    </w:tc>
                  </w:tr>
                  <w:tr>
                    <w:trPr>
                      <w:trHeight w:val="273" w:hRule="atLeast"/>
                    </w:trPr>
                    <w:tc>
                      <w:tcPr>
                        <w:tcW w:w="1358" w:type="dxa"/>
                      </w:tcPr>
                      <w:p>
                        <w:pPr>
                          <w:pStyle w:val="TableParagraph"/>
                          <w:spacing w:before="37"/>
                          <w:ind w:left="57"/>
                          <w:rPr>
                            <w:sz w:val="16"/>
                          </w:rPr>
                        </w:pPr>
                        <w:r>
                          <w:rPr>
                            <w:sz w:val="16"/>
                          </w:rPr>
                          <w:t>Nauru</w:t>
                        </w:r>
                      </w:p>
                    </w:tc>
                    <w:tc>
                      <w:tcPr>
                        <w:tcW w:w="1092" w:type="dxa"/>
                      </w:tcPr>
                      <w:p>
                        <w:pPr>
                          <w:pStyle w:val="TableParagraph"/>
                          <w:spacing w:before="37"/>
                          <w:ind w:left="13"/>
                          <w:jc w:val="center"/>
                          <w:rPr>
                            <w:sz w:val="16"/>
                          </w:rPr>
                        </w:pPr>
                        <w:r>
                          <w:rPr>
                            <w:w w:val="100"/>
                            <w:sz w:val="16"/>
                          </w:rPr>
                          <w:t>-</w:t>
                        </w:r>
                      </w:p>
                    </w:tc>
                    <w:tc>
                      <w:tcPr>
                        <w:tcW w:w="1078" w:type="dxa"/>
                      </w:tcPr>
                      <w:p>
                        <w:pPr>
                          <w:pStyle w:val="TableParagraph"/>
                          <w:spacing w:before="37"/>
                          <w:ind w:left="513"/>
                          <w:rPr>
                            <w:sz w:val="16"/>
                          </w:rPr>
                        </w:pPr>
                        <w:r>
                          <w:rPr>
                            <w:w w:val="100"/>
                            <w:sz w:val="16"/>
                          </w:rPr>
                          <w:t>-</w:t>
                        </w:r>
                      </w:p>
                    </w:tc>
                    <w:tc>
                      <w:tcPr>
                        <w:tcW w:w="938" w:type="dxa"/>
                        <w:tcBorders>
                          <w:right w:val="single" w:sz="6" w:space="0" w:color="000000"/>
                        </w:tcBorders>
                      </w:tcPr>
                      <w:p>
                        <w:pPr>
                          <w:pStyle w:val="TableParagraph"/>
                          <w:spacing w:before="37"/>
                          <w:ind w:left="15"/>
                          <w:jc w:val="center"/>
                          <w:rPr>
                            <w:sz w:val="16"/>
                          </w:rPr>
                        </w:pPr>
                        <w:r>
                          <w:rPr>
                            <w:w w:val="100"/>
                            <w:sz w:val="16"/>
                          </w:rPr>
                          <w:t>-</w:t>
                        </w:r>
                      </w:p>
                    </w:tc>
                  </w:tr>
                  <w:tr>
                    <w:trPr>
                      <w:trHeight w:val="275" w:hRule="atLeast"/>
                    </w:trPr>
                    <w:tc>
                      <w:tcPr>
                        <w:tcW w:w="1358" w:type="dxa"/>
                      </w:tcPr>
                      <w:p>
                        <w:pPr>
                          <w:pStyle w:val="TableParagraph"/>
                          <w:spacing w:before="37"/>
                          <w:ind w:left="57"/>
                          <w:rPr>
                            <w:sz w:val="16"/>
                          </w:rPr>
                        </w:pPr>
                        <w:r>
                          <w:rPr>
                            <w:sz w:val="16"/>
                          </w:rPr>
                          <w:t>New Caledonia</w:t>
                        </w:r>
                      </w:p>
                    </w:tc>
                    <w:tc>
                      <w:tcPr>
                        <w:tcW w:w="1092" w:type="dxa"/>
                      </w:tcPr>
                      <w:p>
                        <w:pPr>
                          <w:pStyle w:val="TableParagraph"/>
                          <w:spacing w:before="37"/>
                          <w:ind w:left="16"/>
                          <w:jc w:val="center"/>
                          <w:rPr>
                            <w:sz w:val="16"/>
                          </w:rPr>
                        </w:pPr>
                        <w:r>
                          <w:rPr>
                            <w:w w:val="100"/>
                            <w:sz w:val="16"/>
                          </w:rPr>
                          <w:t>-</w:t>
                        </w:r>
                      </w:p>
                    </w:tc>
                    <w:tc>
                      <w:tcPr>
                        <w:tcW w:w="1078" w:type="dxa"/>
                      </w:tcPr>
                      <w:p>
                        <w:pPr>
                          <w:pStyle w:val="TableParagraph"/>
                          <w:spacing w:before="37"/>
                          <w:ind w:left="515"/>
                          <w:rPr>
                            <w:sz w:val="16"/>
                          </w:rPr>
                        </w:pPr>
                        <w:r>
                          <w:rPr>
                            <w:w w:val="100"/>
                            <w:sz w:val="16"/>
                          </w:rPr>
                          <w:t>-</w:t>
                        </w:r>
                      </w:p>
                    </w:tc>
                    <w:tc>
                      <w:tcPr>
                        <w:tcW w:w="938" w:type="dxa"/>
                        <w:tcBorders>
                          <w:right w:val="single" w:sz="6" w:space="0" w:color="000000"/>
                        </w:tcBorders>
                      </w:tcPr>
                      <w:p>
                        <w:pPr>
                          <w:pStyle w:val="TableParagraph"/>
                          <w:spacing w:before="37"/>
                          <w:ind w:left="18"/>
                          <w:jc w:val="center"/>
                          <w:rPr>
                            <w:sz w:val="16"/>
                          </w:rPr>
                        </w:pPr>
                        <w:r>
                          <w:rPr>
                            <w:w w:val="100"/>
                            <w:sz w:val="16"/>
                          </w:rPr>
                          <w:t>-</w:t>
                        </w:r>
                      </w:p>
                    </w:tc>
                  </w:tr>
                  <w:tr>
                    <w:trPr>
                      <w:trHeight w:val="273" w:hRule="atLeast"/>
                    </w:trPr>
                    <w:tc>
                      <w:tcPr>
                        <w:tcW w:w="1358" w:type="dxa"/>
                      </w:tcPr>
                      <w:p>
                        <w:pPr>
                          <w:pStyle w:val="TableParagraph"/>
                          <w:spacing w:before="37"/>
                          <w:ind w:left="57"/>
                          <w:rPr>
                            <w:sz w:val="16"/>
                          </w:rPr>
                        </w:pPr>
                        <w:r>
                          <w:rPr>
                            <w:sz w:val="16"/>
                          </w:rPr>
                          <w:t>New Zealand</w:t>
                        </w:r>
                      </w:p>
                    </w:tc>
                    <w:tc>
                      <w:tcPr>
                        <w:tcW w:w="1092" w:type="dxa"/>
                      </w:tcPr>
                      <w:p>
                        <w:pPr>
                          <w:pStyle w:val="TableParagraph"/>
                          <w:spacing w:before="37"/>
                          <w:ind w:left="146" w:right="136"/>
                          <w:jc w:val="center"/>
                          <w:rPr>
                            <w:sz w:val="16"/>
                          </w:rPr>
                        </w:pPr>
                        <w:r>
                          <w:rPr>
                            <w:sz w:val="16"/>
                          </w:rPr>
                          <w:t>321</w:t>
                        </w:r>
                      </w:p>
                    </w:tc>
                    <w:tc>
                      <w:tcPr>
                        <w:tcW w:w="1078" w:type="dxa"/>
                      </w:tcPr>
                      <w:p>
                        <w:pPr>
                          <w:pStyle w:val="TableParagraph"/>
                          <w:spacing w:before="37"/>
                          <w:ind w:left="418"/>
                          <w:rPr>
                            <w:sz w:val="16"/>
                          </w:rPr>
                        </w:pPr>
                        <w:r>
                          <w:rPr>
                            <w:sz w:val="16"/>
                          </w:rPr>
                          <w:t>217</w:t>
                        </w:r>
                      </w:p>
                    </w:tc>
                    <w:tc>
                      <w:tcPr>
                        <w:tcW w:w="938" w:type="dxa"/>
                        <w:tcBorders>
                          <w:right w:val="single" w:sz="6" w:space="0" w:color="000000"/>
                        </w:tcBorders>
                      </w:tcPr>
                      <w:p>
                        <w:pPr>
                          <w:pStyle w:val="TableParagraph"/>
                          <w:spacing w:before="37"/>
                          <w:ind w:left="290" w:right="274"/>
                          <w:jc w:val="center"/>
                          <w:rPr>
                            <w:sz w:val="16"/>
                          </w:rPr>
                        </w:pPr>
                        <w:r>
                          <w:rPr>
                            <w:sz w:val="16"/>
                          </w:rPr>
                          <w:t>FAO</w:t>
                        </w:r>
                      </w:p>
                    </w:tc>
                  </w:tr>
                  <w:tr>
                    <w:trPr>
                      <w:trHeight w:val="273" w:hRule="atLeast"/>
                    </w:trPr>
                    <w:tc>
                      <w:tcPr>
                        <w:tcW w:w="1358" w:type="dxa"/>
                      </w:tcPr>
                      <w:p>
                        <w:pPr>
                          <w:pStyle w:val="TableParagraph"/>
                          <w:spacing w:before="37"/>
                          <w:ind w:left="57"/>
                          <w:rPr>
                            <w:sz w:val="16"/>
                          </w:rPr>
                        </w:pPr>
                        <w:r>
                          <w:rPr>
                            <w:sz w:val="16"/>
                          </w:rPr>
                          <w:t>Niue</w:t>
                        </w:r>
                      </w:p>
                    </w:tc>
                    <w:tc>
                      <w:tcPr>
                        <w:tcW w:w="1092" w:type="dxa"/>
                      </w:tcPr>
                      <w:p>
                        <w:pPr>
                          <w:pStyle w:val="TableParagraph"/>
                          <w:spacing w:before="37"/>
                          <w:ind w:left="13"/>
                          <w:jc w:val="center"/>
                          <w:rPr>
                            <w:sz w:val="16"/>
                          </w:rPr>
                        </w:pPr>
                        <w:r>
                          <w:rPr>
                            <w:w w:val="100"/>
                            <w:sz w:val="16"/>
                          </w:rPr>
                          <w:t>-</w:t>
                        </w:r>
                      </w:p>
                    </w:tc>
                    <w:tc>
                      <w:tcPr>
                        <w:tcW w:w="1078" w:type="dxa"/>
                      </w:tcPr>
                      <w:p>
                        <w:pPr>
                          <w:pStyle w:val="TableParagraph"/>
                          <w:spacing w:before="37"/>
                          <w:ind w:left="513"/>
                          <w:rPr>
                            <w:sz w:val="16"/>
                          </w:rPr>
                        </w:pPr>
                        <w:r>
                          <w:rPr>
                            <w:w w:val="100"/>
                            <w:sz w:val="16"/>
                          </w:rPr>
                          <w:t>-</w:t>
                        </w:r>
                      </w:p>
                    </w:tc>
                    <w:tc>
                      <w:tcPr>
                        <w:tcW w:w="938" w:type="dxa"/>
                        <w:tcBorders>
                          <w:right w:val="single" w:sz="6" w:space="0" w:color="000000"/>
                        </w:tcBorders>
                      </w:tcPr>
                      <w:p>
                        <w:pPr>
                          <w:pStyle w:val="TableParagraph"/>
                          <w:spacing w:before="37"/>
                          <w:ind w:left="15"/>
                          <w:jc w:val="center"/>
                          <w:rPr>
                            <w:sz w:val="16"/>
                          </w:rPr>
                        </w:pPr>
                        <w:r>
                          <w:rPr>
                            <w:w w:val="100"/>
                            <w:sz w:val="16"/>
                          </w:rPr>
                          <w:t>-</w:t>
                        </w:r>
                      </w:p>
                    </w:tc>
                  </w:tr>
                  <w:tr>
                    <w:trPr>
                      <w:trHeight w:val="388" w:hRule="atLeast"/>
                    </w:trPr>
                    <w:tc>
                      <w:tcPr>
                        <w:tcW w:w="1358" w:type="dxa"/>
                      </w:tcPr>
                      <w:p>
                        <w:pPr>
                          <w:pStyle w:val="TableParagraph"/>
                          <w:spacing w:line="180" w:lineRule="atLeast" w:before="4"/>
                          <w:ind w:left="57" w:right="120"/>
                          <w:rPr>
                            <w:sz w:val="16"/>
                          </w:rPr>
                        </w:pPr>
                        <w:r>
                          <w:rPr>
                            <w:sz w:val="16"/>
                          </w:rPr>
                          <w:t>Northern Mariana Isl.</w:t>
                        </w:r>
                      </w:p>
                    </w:tc>
                    <w:tc>
                      <w:tcPr>
                        <w:tcW w:w="1092" w:type="dxa"/>
                      </w:tcPr>
                      <w:p>
                        <w:pPr>
                          <w:pStyle w:val="TableParagraph"/>
                          <w:spacing w:before="95"/>
                          <w:ind w:left="13"/>
                          <w:jc w:val="center"/>
                          <w:rPr>
                            <w:sz w:val="16"/>
                          </w:rPr>
                        </w:pPr>
                        <w:r>
                          <w:rPr>
                            <w:w w:val="100"/>
                            <w:sz w:val="16"/>
                          </w:rPr>
                          <w:t>-</w:t>
                        </w:r>
                      </w:p>
                    </w:tc>
                    <w:tc>
                      <w:tcPr>
                        <w:tcW w:w="1078" w:type="dxa"/>
                      </w:tcPr>
                      <w:p>
                        <w:pPr>
                          <w:pStyle w:val="TableParagraph"/>
                          <w:spacing w:before="95"/>
                          <w:ind w:left="513"/>
                          <w:rPr>
                            <w:sz w:val="16"/>
                          </w:rPr>
                        </w:pPr>
                        <w:r>
                          <w:rPr>
                            <w:w w:val="100"/>
                            <w:sz w:val="16"/>
                          </w:rPr>
                          <w:t>-</w:t>
                        </w:r>
                      </w:p>
                    </w:tc>
                    <w:tc>
                      <w:tcPr>
                        <w:tcW w:w="938" w:type="dxa"/>
                        <w:tcBorders>
                          <w:right w:val="single" w:sz="6" w:space="0" w:color="000000"/>
                        </w:tcBorders>
                      </w:tcPr>
                      <w:p>
                        <w:pPr>
                          <w:pStyle w:val="TableParagraph"/>
                          <w:spacing w:before="95"/>
                          <w:ind w:left="15"/>
                          <w:jc w:val="center"/>
                          <w:rPr>
                            <w:sz w:val="16"/>
                          </w:rPr>
                        </w:pPr>
                        <w:r>
                          <w:rPr>
                            <w:w w:val="100"/>
                            <w:sz w:val="16"/>
                          </w:rPr>
                          <w:t>-</w:t>
                        </w:r>
                      </w:p>
                    </w:tc>
                  </w:tr>
                  <w:tr>
                    <w:trPr>
                      <w:trHeight w:val="273" w:hRule="atLeast"/>
                    </w:trPr>
                    <w:tc>
                      <w:tcPr>
                        <w:tcW w:w="1358" w:type="dxa"/>
                      </w:tcPr>
                      <w:p>
                        <w:pPr>
                          <w:pStyle w:val="TableParagraph"/>
                          <w:spacing w:before="37"/>
                          <w:ind w:left="57"/>
                          <w:rPr>
                            <w:sz w:val="16"/>
                          </w:rPr>
                        </w:pPr>
                        <w:r>
                          <w:rPr>
                            <w:sz w:val="16"/>
                          </w:rPr>
                          <w:t>Palau</w:t>
                        </w:r>
                      </w:p>
                    </w:tc>
                    <w:tc>
                      <w:tcPr>
                        <w:tcW w:w="1092" w:type="dxa"/>
                      </w:tcPr>
                      <w:p>
                        <w:pPr>
                          <w:pStyle w:val="TableParagraph"/>
                          <w:spacing w:before="37"/>
                          <w:ind w:left="13"/>
                          <w:jc w:val="center"/>
                          <w:rPr>
                            <w:sz w:val="16"/>
                          </w:rPr>
                        </w:pPr>
                        <w:r>
                          <w:rPr>
                            <w:w w:val="100"/>
                            <w:sz w:val="16"/>
                          </w:rPr>
                          <w:t>-</w:t>
                        </w:r>
                      </w:p>
                    </w:tc>
                    <w:tc>
                      <w:tcPr>
                        <w:tcW w:w="1078" w:type="dxa"/>
                      </w:tcPr>
                      <w:p>
                        <w:pPr>
                          <w:pStyle w:val="TableParagraph"/>
                          <w:spacing w:before="37"/>
                          <w:ind w:left="513"/>
                          <w:rPr>
                            <w:sz w:val="16"/>
                          </w:rPr>
                        </w:pPr>
                        <w:r>
                          <w:rPr>
                            <w:w w:val="100"/>
                            <w:sz w:val="16"/>
                          </w:rPr>
                          <w:t>-</w:t>
                        </w:r>
                      </w:p>
                    </w:tc>
                    <w:tc>
                      <w:tcPr>
                        <w:tcW w:w="938" w:type="dxa"/>
                        <w:tcBorders>
                          <w:right w:val="single" w:sz="6" w:space="0" w:color="000000"/>
                        </w:tcBorders>
                      </w:tcPr>
                      <w:p>
                        <w:pPr>
                          <w:pStyle w:val="TableParagraph"/>
                          <w:spacing w:before="37"/>
                          <w:ind w:left="15"/>
                          <w:jc w:val="center"/>
                          <w:rPr>
                            <w:sz w:val="16"/>
                          </w:rPr>
                        </w:pPr>
                        <w:r>
                          <w:rPr>
                            <w:w w:val="100"/>
                            <w:sz w:val="16"/>
                          </w:rPr>
                          <w:t>-</w:t>
                        </w:r>
                      </w:p>
                    </w:tc>
                  </w:tr>
                  <w:tr>
                    <w:trPr>
                      <w:trHeight w:val="275" w:hRule="atLeast"/>
                    </w:trPr>
                    <w:tc>
                      <w:tcPr>
                        <w:tcW w:w="1358" w:type="dxa"/>
                      </w:tcPr>
                      <w:p>
                        <w:pPr>
                          <w:pStyle w:val="TableParagraph"/>
                          <w:spacing w:before="37"/>
                          <w:ind w:left="57"/>
                          <w:rPr>
                            <w:sz w:val="16"/>
                          </w:rPr>
                        </w:pPr>
                        <w:r>
                          <w:rPr>
                            <w:sz w:val="16"/>
                          </w:rPr>
                          <w:t>Papua New Guinea</w:t>
                        </w:r>
                      </w:p>
                    </w:tc>
                    <w:tc>
                      <w:tcPr>
                        <w:tcW w:w="1092" w:type="dxa"/>
                      </w:tcPr>
                      <w:p>
                        <w:pPr>
                          <w:pStyle w:val="TableParagraph"/>
                          <w:spacing w:before="37"/>
                          <w:ind w:left="149" w:right="136"/>
                          <w:jc w:val="center"/>
                          <w:rPr>
                            <w:sz w:val="16"/>
                          </w:rPr>
                        </w:pPr>
                        <w:r>
                          <w:rPr>
                            <w:sz w:val="16"/>
                          </w:rPr>
                          <w:t>34</w:t>
                        </w:r>
                      </w:p>
                    </w:tc>
                    <w:tc>
                      <w:tcPr>
                        <w:tcW w:w="1078" w:type="dxa"/>
                      </w:tcPr>
                      <w:p>
                        <w:pPr>
                          <w:pStyle w:val="TableParagraph"/>
                          <w:spacing w:before="37"/>
                          <w:ind w:left="458"/>
                          <w:rPr>
                            <w:sz w:val="16"/>
                          </w:rPr>
                        </w:pPr>
                        <w:r>
                          <w:rPr>
                            <w:sz w:val="16"/>
                          </w:rPr>
                          <w:t>58</w:t>
                        </w:r>
                      </w:p>
                    </w:tc>
                    <w:tc>
                      <w:tcPr>
                        <w:tcW w:w="938" w:type="dxa"/>
                        <w:tcBorders>
                          <w:right w:val="single" w:sz="6" w:space="0" w:color="000000"/>
                        </w:tcBorders>
                      </w:tcPr>
                      <w:p>
                        <w:pPr>
                          <w:pStyle w:val="TableParagraph"/>
                          <w:spacing w:before="37"/>
                          <w:ind w:left="290" w:right="272"/>
                          <w:jc w:val="center"/>
                          <w:rPr>
                            <w:sz w:val="16"/>
                          </w:rPr>
                        </w:pPr>
                        <w:r>
                          <w:rPr>
                            <w:sz w:val="16"/>
                          </w:rPr>
                          <w:t>NI</w:t>
                        </w:r>
                      </w:p>
                    </w:tc>
                  </w:tr>
                  <w:tr>
                    <w:trPr>
                      <w:trHeight w:val="273" w:hRule="atLeast"/>
                    </w:trPr>
                    <w:tc>
                      <w:tcPr>
                        <w:tcW w:w="1358" w:type="dxa"/>
                      </w:tcPr>
                      <w:p>
                        <w:pPr>
                          <w:pStyle w:val="TableParagraph"/>
                          <w:spacing w:before="37"/>
                          <w:ind w:left="57"/>
                          <w:rPr>
                            <w:sz w:val="16"/>
                          </w:rPr>
                        </w:pPr>
                        <w:r>
                          <w:rPr>
                            <w:sz w:val="16"/>
                          </w:rPr>
                          <w:t>Samoa</w:t>
                        </w:r>
                      </w:p>
                    </w:tc>
                    <w:tc>
                      <w:tcPr>
                        <w:tcW w:w="1092" w:type="dxa"/>
                      </w:tcPr>
                      <w:p>
                        <w:pPr>
                          <w:pStyle w:val="TableParagraph"/>
                          <w:spacing w:before="37"/>
                          <w:ind w:left="14"/>
                          <w:jc w:val="center"/>
                          <w:rPr>
                            <w:sz w:val="16"/>
                          </w:rPr>
                        </w:pPr>
                        <w:r>
                          <w:rPr>
                            <w:w w:val="100"/>
                            <w:sz w:val="16"/>
                          </w:rPr>
                          <w:t>-</w:t>
                        </w:r>
                      </w:p>
                    </w:tc>
                    <w:tc>
                      <w:tcPr>
                        <w:tcW w:w="1078" w:type="dxa"/>
                      </w:tcPr>
                      <w:p>
                        <w:pPr>
                          <w:pStyle w:val="TableParagraph"/>
                          <w:spacing w:before="37"/>
                          <w:ind w:left="514"/>
                          <w:rPr>
                            <w:sz w:val="16"/>
                          </w:rPr>
                        </w:pPr>
                        <w:r>
                          <w:rPr>
                            <w:w w:val="100"/>
                            <w:sz w:val="16"/>
                          </w:rPr>
                          <w:t>-</w:t>
                        </w:r>
                      </w:p>
                    </w:tc>
                    <w:tc>
                      <w:tcPr>
                        <w:tcW w:w="938" w:type="dxa"/>
                        <w:tcBorders>
                          <w:right w:val="single" w:sz="6" w:space="0" w:color="000000"/>
                        </w:tcBorders>
                      </w:tcPr>
                      <w:p>
                        <w:pPr>
                          <w:pStyle w:val="TableParagraph"/>
                          <w:spacing w:before="37"/>
                          <w:ind w:left="16"/>
                          <w:jc w:val="center"/>
                          <w:rPr>
                            <w:sz w:val="16"/>
                          </w:rPr>
                        </w:pPr>
                        <w:r>
                          <w:rPr>
                            <w:w w:val="100"/>
                            <w:sz w:val="16"/>
                          </w:rPr>
                          <w:t>-</w:t>
                        </w:r>
                      </w:p>
                    </w:tc>
                  </w:tr>
                  <w:tr>
                    <w:trPr>
                      <w:trHeight w:val="273" w:hRule="atLeast"/>
                    </w:trPr>
                    <w:tc>
                      <w:tcPr>
                        <w:tcW w:w="1358" w:type="dxa"/>
                      </w:tcPr>
                      <w:p>
                        <w:pPr>
                          <w:pStyle w:val="TableParagraph"/>
                          <w:spacing w:before="37"/>
                          <w:ind w:left="57"/>
                          <w:rPr>
                            <w:sz w:val="16"/>
                          </w:rPr>
                        </w:pPr>
                        <w:r>
                          <w:rPr>
                            <w:sz w:val="16"/>
                          </w:rPr>
                          <w:t>Solomon Islands</w:t>
                        </w:r>
                      </w:p>
                    </w:tc>
                    <w:tc>
                      <w:tcPr>
                        <w:tcW w:w="1092" w:type="dxa"/>
                      </w:tcPr>
                      <w:p>
                        <w:pPr>
                          <w:pStyle w:val="TableParagraph"/>
                          <w:spacing w:before="37"/>
                          <w:ind w:left="13"/>
                          <w:jc w:val="center"/>
                          <w:rPr>
                            <w:sz w:val="16"/>
                          </w:rPr>
                        </w:pPr>
                        <w:r>
                          <w:rPr>
                            <w:w w:val="100"/>
                            <w:sz w:val="16"/>
                          </w:rPr>
                          <w:t>-</w:t>
                        </w:r>
                      </w:p>
                    </w:tc>
                    <w:tc>
                      <w:tcPr>
                        <w:tcW w:w="1078" w:type="dxa"/>
                      </w:tcPr>
                      <w:p>
                        <w:pPr>
                          <w:pStyle w:val="TableParagraph"/>
                          <w:spacing w:before="37"/>
                          <w:ind w:left="513"/>
                          <w:rPr>
                            <w:sz w:val="16"/>
                          </w:rPr>
                        </w:pPr>
                        <w:r>
                          <w:rPr>
                            <w:w w:val="100"/>
                            <w:sz w:val="16"/>
                          </w:rPr>
                          <w:t>-</w:t>
                        </w:r>
                      </w:p>
                    </w:tc>
                    <w:tc>
                      <w:tcPr>
                        <w:tcW w:w="938" w:type="dxa"/>
                        <w:tcBorders>
                          <w:right w:val="single" w:sz="6" w:space="0" w:color="000000"/>
                        </w:tcBorders>
                      </w:tcPr>
                      <w:p>
                        <w:pPr>
                          <w:pStyle w:val="TableParagraph"/>
                          <w:spacing w:before="37"/>
                          <w:ind w:left="15"/>
                          <w:jc w:val="center"/>
                          <w:rPr>
                            <w:sz w:val="16"/>
                          </w:rPr>
                        </w:pPr>
                        <w:r>
                          <w:rPr>
                            <w:w w:val="100"/>
                            <w:sz w:val="16"/>
                          </w:rPr>
                          <w:t>-</w:t>
                        </w:r>
                      </w:p>
                    </w:tc>
                  </w:tr>
                  <w:tr>
                    <w:trPr>
                      <w:trHeight w:val="275" w:hRule="atLeast"/>
                    </w:trPr>
                    <w:tc>
                      <w:tcPr>
                        <w:tcW w:w="1358" w:type="dxa"/>
                      </w:tcPr>
                      <w:p>
                        <w:pPr>
                          <w:pStyle w:val="TableParagraph"/>
                          <w:spacing w:before="37"/>
                          <w:ind w:left="57"/>
                          <w:rPr>
                            <w:sz w:val="16"/>
                          </w:rPr>
                        </w:pPr>
                        <w:r>
                          <w:rPr>
                            <w:sz w:val="16"/>
                          </w:rPr>
                          <w:t>Tonga</w:t>
                        </w:r>
                      </w:p>
                    </w:tc>
                    <w:tc>
                      <w:tcPr>
                        <w:tcW w:w="1092" w:type="dxa"/>
                      </w:tcPr>
                      <w:p>
                        <w:pPr>
                          <w:pStyle w:val="TableParagraph"/>
                          <w:spacing w:before="37"/>
                          <w:ind w:left="14"/>
                          <w:jc w:val="center"/>
                          <w:rPr>
                            <w:sz w:val="16"/>
                          </w:rPr>
                        </w:pPr>
                        <w:r>
                          <w:rPr>
                            <w:w w:val="100"/>
                            <w:sz w:val="16"/>
                          </w:rPr>
                          <w:t>-</w:t>
                        </w:r>
                      </w:p>
                    </w:tc>
                    <w:tc>
                      <w:tcPr>
                        <w:tcW w:w="1078" w:type="dxa"/>
                      </w:tcPr>
                      <w:p>
                        <w:pPr>
                          <w:pStyle w:val="TableParagraph"/>
                          <w:spacing w:before="37"/>
                          <w:ind w:left="514"/>
                          <w:rPr>
                            <w:sz w:val="16"/>
                          </w:rPr>
                        </w:pPr>
                        <w:r>
                          <w:rPr>
                            <w:w w:val="100"/>
                            <w:sz w:val="16"/>
                          </w:rPr>
                          <w:t>-</w:t>
                        </w:r>
                      </w:p>
                    </w:tc>
                    <w:tc>
                      <w:tcPr>
                        <w:tcW w:w="938" w:type="dxa"/>
                        <w:tcBorders>
                          <w:right w:val="single" w:sz="6" w:space="0" w:color="000000"/>
                        </w:tcBorders>
                      </w:tcPr>
                      <w:p>
                        <w:pPr>
                          <w:pStyle w:val="TableParagraph"/>
                          <w:spacing w:before="37"/>
                          <w:ind w:left="16"/>
                          <w:jc w:val="center"/>
                          <w:rPr>
                            <w:sz w:val="16"/>
                          </w:rPr>
                        </w:pPr>
                        <w:r>
                          <w:rPr>
                            <w:w w:val="100"/>
                            <w:sz w:val="16"/>
                          </w:rPr>
                          <w:t>-</w:t>
                        </w:r>
                      </w:p>
                    </w:tc>
                  </w:tr>
                  <w:tr>
                    <w:trPr>
                      <w:trHeight w:val="273" w:hRule="atLeast"/>
                    </w:trPr>
                    <w:tc>
                      <w:tcPr>
                        <w:tcW w:w="1358" w:type="dxa"/>
                      </w:tcPr>
                      <w:p>
                        <w:pPr>
                          <w:pStyle w:val="TableParagraph"/>
                          <w:spacing w:before="37"/>
                          <w:ind w:left="57"/>
                          <w:rPr>
                            <w:sz w:val="16"/>
                          </w:rPr>
                        </w:pPr>
                        <w:r>
                          <w:rPr>
                            <w:sz w:val="16"/>
                          </w:rPr>
                          <w:t>Vanuatu</w:t>
                        </w:r>
                      </w:p>
                    </w:tc>
                    <w:tc>
                      <w:tcPr>
                        <w:tcW w:w="1092" w:type="dxa"/>
                      </w:tcPr>
                      <w:p>
                        <w:pPr>
                          <w:pStyle w:val="TableParagraph"/>
                          <w:spacing w:before="37"/>
                          <w:ind w:left="14"/>
                          <w:jc w:val="center"/>
                          <w:rPr>
                            <w:sz w:val="16"/>
                          </w:rPr>
                        </w:pPr>
                        <w:r>
                          <w:rPr>
                            <w:w w:val="100"/>
                            <w:sz w:val="16"/>
                          </w:rPr>
                          <w:t>-</w:t>
                        </w:r>
                      </w:p>
                    </w:tc>
                    <w:tc>
                      <w:tcPr>
                        <w:tcW w:w="1078" w:type="dxa"/>
                      </w:tcPr>
                      <w:p>
                        <w:pPr>
                          <w:pStyle w:val="TableParagraph"/>
                          <w:spacing w:before="37"/>
                          <w:ind w:left="514"/>
                          <w:rPr>
                            <w:sz w:val="16"/>
                          </w:rPr>
                        </w:pPr>
                        <w:r>
                          <w:rPr>
                            <w:w w:val="100"/>
                            <w:sz w:val="16"/>
                          </w:rPr>
                          <w:t>-</w:t>
                        </w:r>
                      </w:p>
                    </w:tc>
                    <w:tc>
                      <w:tcPr>
                        <w:tcW w:w="938" w:type="dxa"/>
                        <w:tcBorders>
                          <w:right w:val="single" w:sz="6" w:space="0" w:color="000000"/>
                        </w:tcBorders>
                      </w:tcPr>
                      <w:p>
                        <w:pPr>
                          <w:pStyle w:val="TableParagraph"/>
                          <w:spacing w:before="37"/>
                          <w:ind w:left="16"/>
                          <w:jc w:val="center"/>
                          <w:rPr>
                            <w:sz w:val="16"/>
                          </w:rPr>
                        </w:pPr>
                        <w:r>
                          <w:rPr>
                            <w:w w:val="100"/>
                            <w:sz w:val="16"/>
                          </w:rPr>
                          <w:t>-</w:t>
                        </w:r>
                      </w:p>
                    </w:tc>
                  </w:tr>
                  <w:tr>
                    <w:trPr>
                      <w:trHeight w:val="443" w:hRule="atLeast"/>
                    </w:trPr>
                    <w:tc>
                      <w:tcPr>
                        <w:tcW w:w="4466" w:type="dxa"/>
                        <w:gridSpan w:val="4"/>
                        <w:tcBorders>
                          <w:right w:val="single" w:sz="6" w:space="0" w:color="000000"/>
                        </w:tcBorders>
                      </w:tcPr>
                      <w:p>
                        <w:pPr>
                          <w:pStyle w:val="TableParagraph"/>
                          <w:ind w:left="57" w:right="14"/>
                          <w:rPr>
                            <w:sz w:val="16"/>
                          </w:rPr>
                        </w:pPr>
                        <w:r>
                          <w:rPr>
                            <w:sz w:val="16"/>
                          </w:rPr>
                          <w:t>Information source: NI = National inventory; PI = Partial inventory; ES = Estimate; EX = External data (from other regions)</w:t>
                        </w:r>
                      </w:p>
                    </w:tc>
                  </w:tr>
                </w:tbl>
                <w:p>
                  <w:pPr>
                    <w:pStyle w:val="BodyText"/>
                  </w:pPr>
                </w:p>
              </w:txbxContent>
            </v:textbox>
            <w10:wrap type="none"/>
          </v:shape>
        </w:pict>
      </w:r>
      <w:r>
        <w:rPr/>
        <w:pict>
          <v:shape style="position:absolute;margin-left:300.281006pt;margin-top:51pt;width:224.05pt;height:701.8pt;mso-position-horizontal-relative:page;mso-position-vertical-relative:page;z-index:13456"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2"/>
                    <w:gridCol w:w="1092"/>
                    <w:gridCol w:w="1121"/>
                    <w:gridCol w:w="912"/>
                  </w:tblGrid>
                  <w:tr>
                    <w:trPr>
                      <w:trHeight w:val="2144" w:hRule="atLeast"/>
                    </w:trPr>
                    <w:tc>
                      <w:tcPr>
                        <w:tcW w:w="4467" w:type="dxa"/>
                        <w:gridSpan w:val="4"/>
                        <w:tcBorders>
                          <w:bottom w:val="double" w:sz="1" w:space="0" w:color="000000"/>
                        </w:tcBorders>
                      </w:tcPr>
                      <w:p>
                        <w:pPr>
                          <w:pStyle w:val="TableParagraph"/>
                          <w:spacing w:before="110"/>
                          <w:ind w:left="582" w:right="474" w:firstLine="616"/>
                          <w:rPr>
                            <w:b/>
                            <w:sz w:val="14"/>
                          </w:rPr>
                        </w:pPr>
                        <w:r>
                          <w:rPr>
                            <w:b/>
                            <w:sz w:val="18"/>
                          </w:rPr>
                          <w:t>T</w:t>
                        </w:r>
                        <w:r>
                          <w:rPr>
                            <w:b/>
                            <w:sz w:val="14"/>
                          </w:rPr>
                          <w:t>ABLE </w:t>
                        </w:r>
                        <w:r>
                          <w:rPr>
                            <w:b/>
                            <w:sz w:val="18"/>
                          </w:rPr>
                          <w:t>3A.1.4 (C</w:t>
                        </w:r>
                        <w:r>
                          <w:rPr>
                            <w:b/>
                            <w:sz w:val="14"/>
                          </w:rPr>
                          <w:t>ONTINUED</w:t>
                        </w:r>
                        <w:r>
                          <w:rPr>
                            <w:b/>
                            <w:sz w:val="18"/>
                          </w:rPr>
                          <w:t>) A</w:t>
                        </w:r>
                        <w:r>
                          <w:rPr>
                            <w:b/>
                            <w:sz w:val="14"/>
                          </w:rPr>
                          <w:t>VERAGE GROWING STOCK VOLUME </w:t>
                        </w:r>
                        <w:r>
                          <w:rPr>
                            <w:b/>
                            <w:sz w:val="18"/>
                          </w:rPr>
                          <w:t>(1) </w:t>
                        </w:r>
                        <w:r>
                          <w:rPr>
                            <w:b/>
                            <w:sz w:val="14"/>
                          </w:rPr>
                          <w:t>AND</w:t>
                        </w:r>
                      </w:p>
                      <w:p>
                        <w:pPr>
                          <w:pStyle w:val="TableParagraph"/>
                          <w:spacing w:before="1"/>
                          <w:ind w:left="866" w:right="166" w:hanging="687"/>
                          <w:rPr>
                            <w:b/>
                            <w:sz w:val="18"/>
                          </w:rPr>
                        </w:pPr>
                        <w:r>
                          <w:rPr>
                            <w:b/>
                            <w:sz w:val="14"/>
                          </w:rPr>
                          <w:t>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89"/>
                          </w:numPr>
                          <w:tabs>
                            <w:tab w:pos="466" w:val="left" w:leader="none"/>
                          </w:tabs>
                          <w:spacing w:line="201" w:lineRule="exact" w:before="0" w:after="0"/>
                          <w:ind w:left="465" w:right="0" w:hanging="257"/>
                          <w:jc w:val="left"/>
                          <w:rPr>
                            <w:sz w:val="18"/>
                          </w:rPr>
                        </w:pPr>
                        <w:r>
                          <w:rPr>
                            <w:sz w:val="18"/>
                          </w:rPr>
                          <w:t>To be used for V in Equation</w:t>
                        </w:r>
                        <w:r>
                          <w:rPr>
                            <w:spacing w:val="-7"/>
                            <w:sz w:val="18"/>
                          </w:rPr>
                          <w:t> </w:t>
                        </w:r>
                        <w:r>
                          <w:rPr>
                            <w:sz w:val="18"/>
                          </w:rPr>
                          <w:t>3.2.3.</w:t>
                        </w:r>
                      </w:p>
                      <w:p>
                        <w:pPr>
                          <w:pStyle w:val="TableParagraph"/>
                          <w:numPr>
                            <w:ilvl w:val="0"/>
                            <w:numId w:val="89"/>
                          </w:numPr>
                          <w:tabs>
                            <w:tab w:pos="480" w:val="left" w:leader="none"/>
                          </w:tabs>
                          <w:spacing w:line="240" w:lineRule="auto" w:before="0" w:after="0"/>
                          <w:ind w:left="460" w:right="55" w:hanging="237"/>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5" w:hRule="atLeast"/>
                    </w:trPr>
                    <w:tc>
                      <w:tcPr>
                        <w:tcW w:w="4467" w:type="dxa"/>
                        <w:gridSpan w:val="4"/>
                        <w:tcBorders>
                          <w:top w:val="double" w:sz="1" w:space="0" w:color="000000"/>
                        </w:tcBorders>
                      </w:tcPr>
                      <w:p>
                        <w:pPr>
                          <w:pStyle w:val="TableParagraph"/>
                          <w:spacing w:before="23"/>
                          <w:ind w:left="28"/>
                          <w:rPr>
                            <w:b/>
                            <w:sz w:val="18"/>
                          </w:rPr>
                        </w:pPr>
                        <w:r>
                          <w:rPr>
                            <w:b/>
                            <w:sz w:val="18"/>
                          </w:rPr>
                          <w:t>d. EUROPE (Continued)</w:t>
                        </w:r>
                      </w:p>
                    </w:tc>
                  </w:tr>
                  <w:tr>
                    <w:trPr>
                      <w:trHeight w:val="726" w:hRule="atLeast"/>
                    </w:trPr>
                    <w:tc>
                      <w:tcPr>
                        <w:tcW w:w="1342" w:type="dxa"/>
                      </w:tcPr>
                      <w:p>
                        <w:pPr>
                          <w:pStyle w:val="TableParagraph"/>
                          <w:spacing w:before="10"/>
                          <w:rPr>
                            <w:sz w:val="22"/>
                          </w:rPr>
                        </w:pPr>
                      </w:p>
                      <w:p>
                        <w:pPr>
                          <w:pStyle w:val="TableParagraph"/>
                          <w:ind w:left="54"/>
                          <w:rPr>
                            <w:b/>
                            <w:sz w:val="16"/>
                          </w:rPr>
                        </w:pPr>
                        <w:r>
                          <w:rPr>
                            <w:b/>
                            <w:sz w:val="16"/>
                          </w:rPr>
                          <w:t>Country</w:t>
                        </w:r>
                      </w:p>
                    </w:tc>
                    <w:tc>
                      <w:tcPr>
                        <w:tcW w:w="1092" w:type="dxa"/>
                      </w:tcPr>
                      <w:p>
                        <w:pPr>
                          <w:pStyle w:val="TableParagraph"/>
                          <w:spacing w:before="35"/>
                          <w:ind w:left="42" w:right="15" w:firstLine="237"/>
                          <w:rPr>
                            <w:b/>
                            <w:sz w:val="16"/>
                          </w:rPr>
                        </w:pPr>
                        <w:r>
                          <w:rPr>
                            <w:b/>
                            <w:sz w:val="16"/>
                          </w:rPr>
                          <w:t>Volume (aboveground)</w:t>
                        </w:r>
                      </w:p>
                      <w:p>
                        <w:pPr>
                          <w:pStyle w:val="TableParagraph"/>
                          <w:spacing w:before="86"/>
                          <w:ind w:left="306"/>
                          <w:rPr>
                            <w:b/>
                            <w:sz w:val="16"/>
                          </w:rPr>
                        </w:pPr>
                        <w:r>
                          <w:rPr>
                            <w:b/>
                            <w:sz w:val="16"/>
                          </w:rPr>
                          <w:t>m</w:t>
                        </w:r>
                        <w:r>
                          <w:rPr>
                            <w:b/>
                            <w:sz w:val="16"/>
                            <w:vertAlign w:val="superscript"/>
                          </w:rPr>
                          <w:t>3</w:t>
                        </w:r>
                        <w:r>
                          <w:rPr>
                            <w:b/>
                            <w:sz w:val="16"/>
                            <w:vertAlign w:val="baseline"/>
                          </w:rPr>
                          <w:t> / ha</w:t>
                        </w:r>
                      </w:p>
                    </w:tc>
                    <w:tc>
                      <w:tcPr>
                        <w:tcW w:w="1121" w:type="dxa"/>
                      </w:tcPr>
                      <w:p>
                        <w:pPr>
                          <w:pStyle w:val="TableParagraph"/>
                          <w:spacing w:before="35"/>
                          <w:ind w:left="56" w:right="46"/>
                          <w:jc w:val="center"/>
                          <w:rPr>
                            <w:b/>
                            <w:sz w:val="16"/>
                          </w:rPr>
                        </w:pPr>
                        <w:r>
                          <w:rPr>
                            <w:b/>
                            <w:sz w:val="16"/>
                          </w:rPr>
                          <w:t>Biomass (aboveground)</w:t>
                        </w:r>
                      </w:p>
                      <w:p>
                        <w:pPr>
                          <w:pStyle w:val="TableParagraph"/>
                          <w:spacing w:before="86"/>
                          <w:ind w:left="53" w:right="46"/>
                          <w:jc w:val="center"/>
                          <w:rPr>
                            <w:b/>
                            <w:sz w:val="16"/>
                          </w:rPr>
                        </w:pPr>
                        <w:r>
                          <w:rPr>
                            <w:b/>
                            <w:sz w:val="16"/>
                          </w:rPr>
                          <w:t>t / ha</w:t>
                        </w:r>
                      </w:p>
                    </w:tc>
                    <w:tc>
                      <w:tcPr>
                        <w:tcW w:w="912" w:type="dxa"/>
                      </w:tcPr>
                      <w:p>
                        <w:pPr>
                          <w:pStyle w:val="TableParagraph"/>
                          <w:spacing w:before="35"/>
                          <w:ind w:left="212" w:right="196" w:firstLine="36"/>
                          <w:rPr>
                            <w:b/>
                            <w:sz w:val="16"/>
                          </w:rPr>
                        </w:pPr>
                        <w:r>
                          <w:rPr>
                            <w:b/>
                            <w:sz w:val="16"/>
                          </w:rPr>
                          <w:t>Infor- </w:t>
                        </w:r>
                        <w:r>
                          <w:rPr>
                            <w:b/>
                            <w:spacing w:val="-1"/>
                            <w:sz w:val="16"/>
                          </w:rPr>
                          <w:t>mation</w:t>
                        </w:r>
                      </w:p>
                      <w:p>
                        <w:pPr>
                          <w:pStyle w:val="TableParagraph"/>
                          <w:spacing w:before="86"/>
                          <w:ind w:left="217"/>
                          <w:rPr>
                            <w:b/>
                            <w:sz w:val="16"/>
                          </w:rPr>
                        </w:pPr>
                        <w:r>
                          <w:rPr>
                            <w:b/>
                            <w:sz w:val="16"/>
                          </w:rPr>
                          <w:t>Source</w:t>
                        </w:r>
                      </w:p>
                    </w:tc>
                  </w:tr>
                  <w:tr>
                    <w:trPr>
                      <w:trHeight w:val="273" w:hRule="atLeast"/>
                    </w:trPr>
                    <w:tc>
                      <w:tcPr>
                        <w:tcW w:w="1342" w:type="dxa"/>
                      </w:tcPr>
                      <w:p>
                        <w:pPr>
                          <w:pStyle w:val="TableParagraph"/>
                          <w:spacing w:before="37"/>
                          <w:ind w:left="55"/>
                          <w:rPr>
                            <w:sz w:val="16"/>
                          </w:rPr>
                        </w:pPr>
                        <w:r>
                          <w:rPr>
                            <w:sz w:val="16"/>
                          </w:rPr>
                          <w:t>Croatia</w:t>
                        </w:r>
                      </w:p>
                    </w:tc>
                    <w:tc>
                      <w:tcPr>
                        <w:tcW w:w="1092" w:type="dxa"/>
                      </w:tcPr>
                      <w:p>
                        <w:pPr>
                          <w:pStyle w:val="TableParagraph"/>
                          <w:spacing w:before="37"/>
                          <w:ind w:left="145" w:right="136"/>
                          <w:jc w:val="center"/>
                          <w:rPr>
                            <w:sz w:val="16"/>
                          </w:rPr>
                        </w:pPr>
                        <w:r>
                          <w:rPr>
                            <w:sz w:val="16"/>
                          </w:rPr>
                          <w:t>201</w:t>
                        </w:r>
                      </w:p>
                    </w:tc>
                    <w:tc>
                      <w:tcPr>
                        <w:tcW w:w="1121" w:type="dxa"/>
                      </w:tcPr>
                      <w:p>
                        <w:pPr>
                          <w:pStyle w:val="TableParagraph"/>
                          <w:spacing w:before="37"/>
                          <w:ind w:left="54" w:right="46"/>
                          <w:jc w:val="center"/>
                          <w:rPr>
                            <w:sz w:val="16"/>
                          </w:rPr>
                        </w:pPr>
                        <w:r>
                          <w:rPr>
                            <w:sz w:val="16"/>
                          </w:rPr>
                          <w:t>107</w:t>
                        </w:r>
                      </w:p>
                    </w:tc>
                    <w:tc>
                      <w:tcPr>
                        <w:tcW w:w="912" w:type="dxa"/>
                      </w:tcPr>
                      <w:p>
                        <w:pPr>
                          <w:pStyle w:val="TableParagraph"/>
                          <w:spacing w:before="37"/>
                          <w:ind w:left="138" w:right="133"/>
                          <w:jc w:val="center"/>
                          <w:rPr>
                            <w:sz w:val="16"/>
                          </w:rPr>
                        </w:pPr>
                        <w:r>
                          <w:rPr>
                            <w:sz w:val="16"/>
                          </w:rPr>
                          <w:t>FAO</w:t>
                        </w:r>
                      </w:p>
                    </w:tc>
                  </w:tr>
                  <w:tr>
                    <w:trPr>
                      <w:trHeight w:val="275" w:hRule="atLeast"/>
                    </w:trPr>
                    <w:tc>
                      <w:tcPr>
                        <w:tcW w:w="1342" w:type="dxa"/>
                      </w:tcPr>
                      <w:p>
                        <w:pPr>
                          <w:pStyle w:val="TableParagraph"/>
                          <w:spacing w:before="37"/>
                          <w:ind w:left="54"/>
                          <w:rPr>
                            <w:sz w:val="16"/>
                          </w:rPr>
                        </w:pPr>
                        <w:r>
                          <w:rPr>
                            <w:sz w:val="16"/>
                          </w:rPr>
                          <w:t>Czech Republic</w:t>
                        </w:r>
                      </w:p>
                    </w:tc>
                    <w:tc>
                      <w:tcPr>
                        <w:tcW w:w="1092" w:type="dxa"/>
                      </w:tcPr>
                      <w:p>
                        <w:pPr>
                          <w:pStyle w:val="TableParagraph"/>
                          <w:spacing w:before="37"/>
                          <w:ind w:left="144" w:right="136"/>
                          <w:jc w:val="center"/>
                          <w:rPr>
                            <w:sz w:val="16"/>
                          </w:rPr>
                        </w:pPr>
                        <w:r>
                          <w:rPr>
                            <w:sz w:val="16"/>
                          </w:rPr>
                          <w:t>260</w:t>
                        </w:r>
                      </w:p>
                    </w:tc>
                    <w:tc>
                      <w:tcPr>
                        <w:tcW w:w="1121" w:type="dxa"/>
                      </w:tcPr>
                      <w:p>
                        <w:pPr>
                          <w:pStyle w:val="TableParagraph"/>
                          <w:spacing w:before="37"/>
                          <w:ind w:left="53" w:right="46"/>
                          <w:jc w:val="center"/>
                          <w:rPr>
                            <w:sz w:val="16"/>
                          </w:rPr>
                        </w:pPr>
                        <w:r>
                          <w:rPr>
                            <w:sz w:val="16"/>
                          </w:rPr>
                          <w:t>125</w:t>
                        </w:r>
                      </w:p>
                    </w:tc>
                    <w:tc>
                      <w:tcPr>
                        <w:tcW w:w="912" w:type="dxa"/>
                      </w:tcPr>
                      <w:p>
                        <w:pPr>
                          <w:pStyle w:val="TableParagraph"/>
                          <w:spacing w:before="37"/>
                          <w:ind w:left="137" w:right="134"/>
                          <w:jc w:val="center"/>
                          <w:rPr>
                            <w:sz w:val="16"/>
                          </w:rPr>
                        </w:pPr>
                        <w:r>
                          <w:rPr>
                            <w:sz w:val="16"/>
                          </w:rPr>
                          <w:t>FAO</w:t>
                        </w:r>
                      </w:p>
                    </w:tc>
                  </w:tr>
                  <w:tr>
                    <w:trPr>
                      <w:trHeight w:val="273" w:hRule="atLeast"/>
                    </w:trPr>
                    <w:tc>
                      <w:tcPr>
                        <w:tcW w:w="1342" w:type="dxa"/>
                      </w:tcPr>
                      <w:p>
                        <w:pPr>
                          <w:pStyle w:val="TableParagraph"/>
                          <w:spacing w:before="37"/>
                          <w:ind w:left="55"/>
                          <w:rPr>
                            <w:sz w:val="16"/>
                          </w:rPr>
                        </w:pPr>
                        <w:r>
                          <w:rPr>
                            <w:sz w:val="16"/>
                          </w:rPr>
                          <w:t>Denmark</w:t>
                        </w:r>
                      </w:p>
                    </w:tc>
                    <w:tc>
                      <w:tcPr>
                        <w:tcW w:w="1092" w:type="dxa"/>
                      </w:tcPr>
                      <w:p>
                        <w:pPr>
                          <w:pStyle w:val="TableParagraph"/>
                          <w:spacing w:before="37"/>
                          <w:ind w:left="145" w:right="136"/>
                          <w:jc w:val="center"/>
                          <w:rPr>
                            <w:sz w:val="16"/>
                          </w:rPr>
                        </w:pPr>
                        <w:r>
                          <w:rPr>
                            <w:sz w:val="16"/>
                          </w:rPr>
                          <w:t>124</w:t>
                        </w:r>
                      </w:p>
                    </w:tc>
                    <w:tc>
                      <w:tcPr>
                        <w:tcW w:w="1121" w:type="dxa"/>
                      </w:tcPr>
                      <w:p>
                        <w:pPr>
                          <w:pStyle w:val="TableParagraph"/>
                          <w:spacing w:before="37"/>
                          <w:ind w:left="56" w:right="45"/>
                          <w:jc w:val="center"/>
                          <w:rPr>
                            <w:sz w:val="16"/>
                          </w:rPr>
                        </w:pPr>
                        <w:r>
                          <w:rPr>
                            <w:sz w:val="16"/>
                          </w:rPr>
                          <w:t>58</w:t>
                        </w:r>
                      </w:p>
                    </w:tc>
                    <w:tc>
                      <w:tcPr>
                        <w:tcW w:w="912" w:type="dxa"/>
                      </w:tcPr>
                      <w:p>
                        <w:pPr>
                          <w:pStyle w:val="TableParagraph"/>
                          <w:spacing w:before="37"/>
                          <w:ind w:left="138" w:right="134"/>
                          <w:jc w:val="center"/>
                          <w:rPr>
                            <w:sz w:val="16"/>
                          </w:rPr>
                        </w:pPr>
                        <w:r>
                          <w:rPr>
                            <w:sz w:val="16"/>
                          </w:rPr>
                          <w:t>FAO</w:t>
                        </w:r>
                      </w:p>
                    </w:tc>
                  </w:tr>
                  <w:tr>
                    <w:trPr>
                      <w:trHeight w:val="273" w:hRule="atLeast"/>
                    </w:trPr>
                    <w:tc>
                      <w:tcPr>
                        <w:tcW w:w="1342" w:type="dxa"/>
                      </w:tcPr>
                      <w:p>
                        <w:pPr>
                          <w:pStyle w:val="TableParagraph"/>
                          <w:spacing w:before="37"/>
                          <w:ind w:left="54"/>
                          <w:rPr>
                            <w:sz w:val="16"/>
                          </w:rPr>
                        </w:pPr>
                        <w:r>
                          <w:rPr>
                            <w:sz w:val="16"/>
                          </w:rPr>
                          <w:t>Estonia</w:t>
                        </w:r>
                      </w:p>
                    </w:tc>
                    <w:tc>
                      <w:tcPr>
                        <w:tcW w:w="1092" w:type="dxa"/>
                      </w:tcPr>
                      <w:p>
                        <w:pPr>
                          <w:pStyle w:val="TableParagraph"/>
                          <w:spacing w:before="37"/>
                          <w:ind w:left="144" w:right="136"/>
                          <w:jc w:val="center"/>
                          <w:rPr>
                            <w:sz w:val="16"/>
                          </w:rPr>
                        </w:pPr>
                        <w:r>
                          <w:rPr>
                            <w:sz w:val="16"/>
                          </w:rPr>
                          <w:t>156</w:t>
                        </w:r>
                      </w:p>
                    </w:tc>
                    <w:tc>
                      <w:tcPr>
                        <w:tcW w:w="1121" w:type="dxa"/>
                      </w:tcPr>
                      <w:p>
                        <w:pPr>
                          <w:pStyle w:val="TableParagraph"/>
                          <w:spacing w:before="37"/>
                          <w:ind w:left="56" w:right="45"/>
                          <w:jc w:val="center"/>
                          <w:rPr>
                            <w:sz w:val="16"/>
                          </w:rPr>
                        </w:pPr>
                        <w:r>
                          <w:rPr>
                            <w:sz w:val="16"/>
                          </w:rPr>
                          <w:t>85</w:t>
                        </w:r>
                      </w:p>
                    </w:tc>
                    <w:tc>
                      <w:tcPr>
                        <w:tcW w:w="912" w:type="dxa"/>
                      </w:tcPr>
                      <w:p>
                        <w:pPr>
                          <w:pStyle w:val="TableParagraph"/>
                          <w:spacing w:before="37"/>
                          <w:ind w:left="138" w:right="134"/>
                          <w:jc w:val="center"/>
                          <w:rPr>
                            <w:sz w:val="16"/>
                          </w:rPr>
                        </w:pPr>
                        <w:r>
                          <w:rPr>
                            <w:sz w:val="16"/>
                          </w:rPr>
                          <w:t>FAO</w:t>
                        </w:r>
                      </w:p>
                    </w:tc>
                  </w:tr>
                  <w:tr>
                    <w:trPr>
                      <w:trHeight w:val="275" w:hRule="atLeast"/>
                    </w:trPr>
                    <w:tc>
                      <w:tcPr>
                        <w:tcW w:w="1342" w:type="dxa"/>
                      </w:tcPr>
                      <w:p>
                        <w:pPr>
                          <w:pStyle w:val="TableParagraph"/>
                          <w:spacing w:before="37"/>
                          <w:ind w:left="56"/>
                          <w:rPr>
                            <w:sz w:val="16"/>
                          </w:rPr>
                        </w:pPr>
                        <w:r>
                          <w:rPr>
                            <w:sz w:val="16"/>
                          </w:rPr>
                          <w:t>Finland</w:t>
                        </w:r>
                      </w:p>
                    </w:tc>
                    <w:tc>
                      <w:tcPr>
                        <w:tcW w:w="1092" w:type="dxa"/>
                      </w:tcPr>
                      <w:p>
                        <w:pPr>
                          <w:pStyle w:val="TableParagraph"/>
                          <w:spacing w:before="37"/>
                          <w:ind w:left="150" w:right="136"/>
                          <w:jc w:val="center"/>
                          <w:rPr>
                            <w:sz w:val="16"/>
                          </w:rPr>
                        </w:pPr>
                        <w:r>
                          <w:rPr>
                            <w:sz w:val="16"/>
                          </w:rPr>
                          <w:t>89</w:t>
                        </w:r>
                      </w:p>
                    </w:tc>
                    <w:tc>
                      <w:tcPr>
                        <w:tcW w:w="1121" w:type="dxa"/>
                      </w:tcPr>
                      <w:p>
                        <w:pPr>
                          <w:pStyle w:val="TableParagraph"/>
                          <w:spacing w:before="37"/>
                          <w:ind w:left="56" w:right="42"/>
                          <w:jc w:val="center"/>
                          <w:rPr>
                            <w:sz w:val="16"/>
                          </w:rPr>
                        </w:pPr>
                        <w:r>
                          <w:rPr>
                            <w:sz w:val="16"/>
                          </w:rPr>
                          <w:t>50</w:t>
                        </w:r>
                      </w:p>
                    </w:tc>
                    <w:tc>
                      <w:tcPr>
                        <w:tcW w:w="912" w:type="dxa"/>
                      </w:tcPr>
                      <w:p>
                        <w:pPr>
                          <w:pStyle w:val="TableParagraph"/>
                          <w:spacing w:before="37"/>
                          <w:ind w:left="138" w:right="123"/>
                          <w:jc w:val="center"/>
                          <w:rPr>
                            <w:sz w:val="16"/>
                          </w:rPr>
                        </w:pPr>
                        <w:r>
                          <w:rPr>
                            <w:sz w:val="16"/>
                          </w:rPr>
                          <w:t>NI</w:t>
                        </w:r>
                      </w:p>
                    </w:tc>
                  </w:tr>
                  <w:tr>
                    <w:trPr>
                      <w:trHeight w:val="273" w:hRule="atLeast"/>
                    </w:trPr>
                    <w:tc>
                      <w:tcPr>
                        <w:tcW w:w="1342" w:type="dxa"/>
                      </w:tcPr>
                      <w:p>
                        <w:pPr>
                          <w:pStyle w:val="TableParagraph"/>
                          <w:spacing w:before="37"/>
                          <w:ind w:left="55"/>
                          <w:rPr>
                            <w:sz w:val="16"/>
                          </w:rPr>
                        </w:pPr>
                        <w:r>
                          <w:rPr>
                            <w:sz w:val="16"/>
                          </w:rPr>
                          <w:t>France</w:t>
                        </w:r>
                      </w:p>
                    </w:tc>
                    <w:tc>
                      <w:tcPr>
                        <w:tcW w:w="1092" w:type="dxa"/>
                      </w:tcPr>
                      <w:p>
                        <w:pPr>
                          <w:pStyle w:val="TableParagraph"/>
                          <w:spacing w:before="37"/>
                          <w:ind w:left="145" w:right="136"/>
                          <w:jc w:val="center"/>
                          <w:rPr>
                            <w:sz w:val="16"/>
                          </w:rPr>
                        </w:pPr>
                        <w:r>
                          <w:rPr>
                            <w:sz w:val="16"/>
                          </w:rPr>
                          <w:t>191</w:t>
                        </w:r>
                      </w:p>
                    </w:tc>
                    <w:tc>
                      <w:tcPr>
                        <w:tcW w:w="1121" w:type="dxa"/>
                      </w:tcPr>
                      <w:p>
                        <w:pPr>
                          <w:pStyle w:val="TableParagraph"/>
                          <w:spacing w:before="37"/>
                          <w:ind w:left="56" w:right="44"/>
                          <w:jc w:val="center"/>
                          <w:rPr>
                            <w:sz w:val="16"/>
                          </w:rPr>
                        </w:pPr>
                        <w:r>
                          <w:rPr>
                            <w:sz w:val="16"/>
                          </w:rPr>
                          <w:t>92</w:t>
                        </w:r>
                      </w:p>
                    </w:tc>
                    <w:tc>
                      <w:tcPr>
                        <w:tcW w:w="912" w:type="dxa"/>
                      </w:tcPr>
                      <w:p>
                        <w:pPr>
                          <w:pStyle w:val="TableParagraph"/>
                          <w:spacing w:before="37"/>
                          <w:ind w:left="138" w:right="133"/>
                          <w:jc w:val="center"/>
                          <w:rPr>
                            <w:sz w:val="16"/>
                          </w:rPr>
                        </w:pPr>
                        <w:r>
                          <w:rPr>
                            <w:sz w:val="16"/>
                          </w:rPr>
                          <w:t>FAO</w:t>
                        </w:r>
                      </w:p>
                    </w:tc>
                  </w:tr>
                  <w:tr>
                    <w:trPr>
                      <w:trHeight w:val="273" w:hRule="atLeast"/>
                    </w:trPr>
                    <w:tc>
                      <w:tcPr>
                        <w:tcW w:w="1342" w:type="dxa"/>
                      </w:tcPr>
                      <w:p>
                        <w:pPr>
                          <w:pStyle w:val="TableParagraph"/>
                          <w:spacing w:before="37"/>
                          <w:ind w:left="54"/>
                          <w:rPr>
                            <w:sz w:val="16"/>
                          </w:rPr>
                        </w:pPr>
                        <w:r>
                          <w:rPr>
                            <w:sz w:val="16"/>
                          </w:rPr>
                          <w:t>Germany</w:t>
                        </w:r>
                      </w:p>
                    </w:tc>
                    <w:tc>
                      <w:tcPr>
                        <w:tcW w:w="1092" w:type="dxa"/>
                      </w:tcPr>
                      <w:p>
                        <w:pPr>
                          <w:pStyle w:val="TableParagraph"/>
                          <w:spacing w:before="37"/>
                          <w:ind w:left="144" w:right="136"/>
                          <w:jc w:val="center"/>
                          <w:rPr>
                            <w:sz w:val="16"/>
                          </w:rPr>
                        </w:pPr>
                        <w:r>
                          <w:rPr>
                            <w:sz w:val="16"/>
                          </w:rPr>
                          <w:t>268</w:t>
                        </w:r>
                      </w:p>
                    </w:tc>
                    <w:tc>
                      <w:tcPr>
                        <w:tcW w:w="1121" w:type="dxa"/>
                      </w:tcPr>
                      <w:p>
                        <w:pPr>
                          <w:pStyle w:val="TableParagraph"/>
                          <w:spacing w:before="37"/>
                          <w:ind w:left="54" w:right="46"/>
                          <w:jc w:val="center"/>
                          <w:rPr>
                            <w:sz w:val="16"/>
                          </w:rPr>
                        </w:pPr>
                        <w:r>
                          <w:rPr>
                            <w:sz w:val="16"/>
                          </w:rPr>
                          <w:t>134</w:t>
                        </w:r>
                      </w:p>
                    </w:tc>
                    <w:tc>
                      <w:tcPr>
                        <w:tcW w:w="912" w:type="dxa"/>
                      </w:tcPr>
                      <w:p>
                        <w:pPr>
                          <w:pStyle w:val="TableParagraph"/>
                          <w:spacing w:before="37"/>
                          <w:ind w:left="138" w:right="133"/>
                          <w:jc w:val="center"/>
                          <w:rPr>
                            <w:sz w:val="16"/>
                          </w:rPr>
                        </w:pPr>
                        <w:r>
                          <w:rPr>
                            <w:sz w:val="16"/>
                          </w:rPr>
                          <w:t>FAO</w:t>
                        </w:r>
                      </w:p>
                    </w:tc>
                  </w:tr>
                  <w:tr>
                    <w:trPr>
                      <w:trHeight w:val="388" w:hRule="atLeast"/>
                    </w:trPr>
                    <w:tc>
                      <w:tcPr>
                        <w:tcW w:w="1342" w:type="dxa"/>
                      </w:tcPr>
                      <w:p>
                        <w:pPr>
                          <w:pStyle w:val="TableParagraph"/>
                          <w:spacing w:before="95"/>
                          <w:ind w:left="54"/>
                          <w:rPr>
                            <w:sz w:val="16"/>
                          </w:rPr>
                        </w:pPr>
                        <w:r>
                          <w:rPr>
                            <w:sz w:val="16"/>
                          </w:rPr>
                          <w:t>Greece</w:t>
                        </w:r>
                      </w:p>
                    </w:tc>
                    <w:tc>
                      <w:tcPr>
                        <w:tcW w:w="1092" w:type="dxa"/>
                      </w:tcPr>
                      <w:p>
                        <w:pPr>
                          <w:pStyle w:val="TableParagraph"/>
                          <w:spacing w:before="95"/>
                          <w:ind w:left="148" w:right="136"/>
                          <w:jc w:val="center"/>
                          <w:rPr>
                            <w:sz w:val="16"/>
                          </w:rPr>
                        </w:pPr>
                        <w:r>
                          <w:rPr>
                            <w:sz w:val="16"/>
                          </w:rPr>
                          <w:t>45</w:t>
                        </w:r>
                      </w:p>
                    </w:tc>
                    <w:tc>
                      <w:tcPr>
                        <w:tcW w:w="1121" w:type="dxa"/>
                      </w:tcPr>
                      <w:p>
                        <w:pPr>
                          <w:pStyle w:val="TableParagraph"/>
                          <w:spacing w:before="95"/>
                          <w:ind w:left="56" w:right="45"/>
                          <w:jc w:val="center"/>
                          <w:rPr>
                            <w:sz w:val="16"/>
                          </w:rPr>
                        </w:pPr>
                        <w:r>
                          <w:rPr>
                            <w:sz w:val="16"/>
                          </w:rPr>
                          <w:t>25</w:t>
                        </w:r>
                      </w:p>
                    </w:tc>
                    <w:tc>
                      <w:tcPr>
                        <w:tcW w:w="912" w:type="dxa"/>
                      </w:tcPr>
                      <w:p>
                        <w:pPr>
                          <w:pStyle w:val="TableParagraph"/>
                          <w:spacing w:before="95"/>
                          <w:ind w:left="138" w:right="134"/>
                          <w:jc w:val="center"/>
                          <w:rPr>
                            <w:sz w:val="16"/>
                          </w:rPr>
                        </w:pPr>
                        <w:r>
                          <w:rPr>
                            <w:sz w:val="16"/>
                          </w:rPr>
                          <w:t>FAO</w:t>
                        </w:r>
                      </w:p>
                    </w:tc>
                  </w:tr>
                  <w:tr>
                    <w:trPr>
                      <w:trHeight w:val="273" w:hRule="atLeast"/>
                    </w:trPr>
                    <w:tc>
                      <w:tcPr>
                        <w:tcW w:w="1342" w:type="dxa"/>
                      </w:tcPr>
                      <w:p>
                        <w:pPr>
                          <w:pStyle w:val="TableParagraph"/>
                          <w:spacing w:before="37"/>
                          <w:ind w:left="54"/>
                          <w:rPr>
                            <w:sz w:val="16"/>
                          </w:rPr>
                        </w:pPr>
                        <w:r>
                          <w:rPr>
                            <w:sz w:val="16"/>
                          </w:rPr>
                          <w:t>Hungary</w:t>
                        </w:r>
                      </w:p>
                    </w:tc>
                    <w:tc>
                      <w:tcPr>
                        <w:tcW w:w="1092" w:type="dxa"/>
                      </w:tcPr>
                      <w:p>
                        <w:pPr>
                          <w:pStyle w:val="TableParagraph"/>
                          <w:spacing w:before="37"/>
                          <w:ind w:left="144" w:right="136"/>
                          <w:jc w:val="center"/>
                          <w:rPr>
                            <w:sz w:val="16"/>
                          </w:rPr>
                        </w:pPr>
                        <w:r>
                          <w:rPr>
                            <w:sz w:val="16"/>
                          </w:rPr>
                          <w:t>174</w:t>
                        </w:r>
                      </w:p>
                    </w:tc>
                    <w:tc>
                      <w:tcPr>
                        <w:tcW w:w="1121" w:type="dxa"/>
                      </w:tcPr>
                      <w:p>
                        <w:pPr>
                          <w:pStyle w:val="TableParagraph"/>
                          <w:spacing w:before="37"/>
                          <w:ind w:left="53" w:right="46"/>
                          <w:jc w:val="center"/>
                          <w:rPr>
                            <w:sz w:val="16"/>
                          </w:rPr>
                        </w:pPr>
                        <w:r>
                          <w:rPr>
                            <w:sz w:val="16"/>
                          </w:rPr>
                          <w:t>112</w:t>
                        </w:r>
                      </w:p>
                    </w:tc>
                    <w:tc>
                      <w:tcPr>
                        <w:tcW w:w="912" w:type="dxa"/>
                      </w:tcPr>
                      <w:p>
                        <w:pPr>
                          <w:pStyle w:val="TableParagraph"/>
                          <w:spacing w:before="37"/>
                          <w:ind w:left="138" w:right="134"/>
                          <w:jc w:val="center"/>
                          <w:rPr>
                            <w:sz w:val="16"/>
                          </w:rPr>
                        </w:pPr>
                        <w:r>
                          <w:rPr>
                            <w:sz w:val="16"/>
                          </w:rPr>
                          <w:t>FAO</w:t>
                        </w:r>
                      </w:p>
                    </w:tc>
                  </w:tr>
                  <w:tr>
                    <w:trPr>
                      <w:trHeight w:val="275" w:hRule="atLeast"/>
                    </w:trPr>
                    <w:tc>
                      <w:tcPr>
                        <w:tcW w:w="1342" w:type="dxa"/>
                      </w:tcPr>
                      <w:p>
                        <w:pPr>
                          <w:pStyle w:val="TableParagraph"/>
                          <w:spacing w:before="37"/>
                          <w:ind w:left="54"/>
                          <w:rPr>
                            <w:sz w:val="16"/>
                          </w:rPr>
                        </w:pPr>
                        <w:r>
                          <w:rPr>
                            <w:sz w:val="16"/>
                          </w:rPr>
                          <w:t>Iceland</w:t>
                        </w:r>
                      </w:p>
                    </w:tc>
                    <w:tc>
                      <w:tcPr>
                        <w:tcW w:w="1092" w:type="dxa"/>
                      </w:tcPr>
                      <w:p>
                        <w:pPr>
                          <w:pStyle w:val="TableParagraph"/>
                          <w:spacing w:before="37"/>
                          <w:ind w:left="148" w:right="136"/>
                          <w:jc w:val="center"/>
                          <w:rPr>
                            <w:sz w:val="16"/>
                          </w:rPr>
                        </w:pPr>
                        <w:r>
                          <w:rPr>
                            <w:sz w:val="16"/>
                          </w:rPr>
                          <w:t>27</w:t>
                        </w:r>
                      </w:p>
                    </w:tc>
                    <w:tc>
                      <w:tcPr>
                        <w:tcW w:w="1121" w:type="dxa"/>
                      </w:tcPr>
                      <w:p>
                        <w:pPr>
                          <w:pStyle w:val="TableParagraph"/>
                          <w:spacing w:before="37"/>
                          <w:ind w:left="56" w:right="44"/>
                          <w:jc w:val="center"/>
                          <w:rPr>
                            <w:sz w:val="16"/>
                          </w:rPr>
                        </w:pPr>
                        <w:r>
                          <w:rPr>
                            <w:sz w:val="16"/>
                          </w:rPr>
                          <w:t>17</w:t>
                        </w:r>
                      </w:p>
                    </w:tc>
                    <w:tc>
                      <w:tcPr>
                        <w:tcW w:w="912" w:type="dxa"/>
                      </w:tcPr>
                      <w:p>
                        <w:pPr>
                          <w:pStyle w:val="TableParagraph"/>
                          <w:spacing w:before="37"/>
                          <w:ind w:left="138" w:right="133"/>
                          <w:jc w:val="center"/>
                          <w:rPr>
                            <w:sz w:val="16"/>
                          </w:rPr>
                        </w:pPr>
                        <w:r>
                          <w:rPr>
                            <w:sz w:val="16"/>
                          </w:rPr>
                          <w:t>FAO</w:t>
                        </w:r>
                      </w:p>
                    </w:tc>
                  </w:tr>
                  <w:tr>
                    <w:trPr>
                      <w:trHeight w:val="273" w:hRule="atLeast"/>
                    </w:trPr>
                    <w:tc>
                      <w:tcPr>
                        <w:tcW w:w="1342" w:type="dxa"/>
                      </w:tcPr>
                      <w:p>
                        <w:pPr>
                          <w:pStyle w:val="TableParagraph"/>
                          <w:spacing w:before="37"/>
                          <w:ind w:left="55"/>
                          <w:rPr>
                            <w:sz w:val="16"/>
                          </w:rPr>
                        </w:pPr>
                        <w:r>
                          <w:rPr>
                            <w:sz w:val="16"/>
                          </w:rPr>
                          <w:t>Ireland</w:t>
                        </w:r>
                      </w:p>
                    </w:tc>
                    <w:tc>
                      <w:tcPr>
                        <w:tcW w:w="1092" w:type="dxa"/>
                      </w:tcPr>
                      <w:p>
                        <w:pPr>
                          <w:pStyle w:val="TableParagraph"/>
                          <w:spacing w:before="37"/>
                          <w:ind w:left="148" w:right="136"/>
                          <w:jc w:val="center"/>
                          <w:rPr>
                            <w:sz w:val="16"/>
                          </w:rPr>
                        </w:pPr>
                        <w:r>
                          <w:rPr>
                            <w:sz w:val="16"/>
                          </w:rPr>
                          <w:t>74</w:t>
                        </w:r>
                      </w:p>
                    </w:tc>
                    <w:tc>
                      <w:tcPr>
                        <w:tcW w:w="1121" w:type="dxa"/>
                      </w:tcPr>
                      <w:p>
                        <w:pPr>
                          <w:pStyle w:val="TableParagraph"/>
                          <w:spacing w:before="37"/>
                          <w:ind w:left="56" w:right="45"/>
                          <w:jc w:val="center"/>
                          <w:rPr>
                            <w:sz w:val="16"/>
                          </w:rPr>
                        </w:pPr>
                        <w:r>
                          <w:rPr>
                            <w:sz w:val="16"/>
                          </w:rPr>
                          <w:t>25</w:t>
                        </w:r>
                      </w:p>
                    </w:tc>
                    <w:tc>
                      <w:tcPr>
                        <w:tcW w:w="912" w:type="dxa"/>
                      </w:tcPr>
                      <w:p>
                        <w:pPr>
                          <w:pStyle w:val="TableParagraph"/>
                          <w:spacing w:before="37"/>
                          <w:ind w:left="138" w:right="134"/>
                          <w:jc w:val="center"/>
                          <w:rPr>
                            <w:sz w:val="16"/>
                          </w:rPr>
                        </w:pPr>
                        <w:r>
                          <w:rPr>
                            <w:sz w:val="16"/>
                          </w:rPr>
                          <w:t>FAO</w:t>
                        </w:r>
                      </w:p>
                    </w:tc>
                  </w:tr>
                  <w:tr>
                    <w:trPr>
                      <w:trHeight w:val="273" w:hRule="atLeast"/>
                    </w:trPr>
                    <w:tc>
                      <w:tcPr>
                        <w:tcW w:w="1342" w:type="dxa"/>
                      </w:tcPr>
                      <w:p>
                        <w:pPr>
                          <w:pStyle w:val="TableParagraph"/>
                          <w:spacing w:before="37"/>
                          <w:ind w:left="54"/>
                          <w:rPr>
                            <w:sz w:val="16"/>
                          </w:rPr>
                        </w:pPr>
                        <w:r>
                          <w:rPr>
                            <w:sz w:val="16"/>
                          </w:rPr>
                          <w:t>Italy</w:t>
                        </w:r>
                      </w:p>
                    </w:tc>
                    <w:tc>
                      <w:tcPr>
                        <w:tcW w:w="1092" w:type="dxa"/>
                      </w:tcPr>
                      <w:p>
                        <w:pPr>
                          <w:pStyle w:val="TableParagraph"/>
                          <w:spacing w:before="37"/>
                          <w:ind w:left="144" w:right="136"/>
                          <w:jc w:val="center"/>
                          <w:rPr>
                            <w:sz w:val="16"/>
                          </w:rPr>
                        </w:pPr>
                        <w:r>
                          <w:rPr>
                            <w:sz w:val="16"/>
                          </w:rPr>
                          <w:t>145</w:t>
                        </w:r>
                      </w:p>
                    </w:tc>
                    <w:tc>
                      <w:tcPr>
                        <w:tcW w:w="1121" w:type="dxa"/>
                      </w:tcPr>
                      <w:p>
                        <w:pPr>
                          <w:pStyle w:val="TableParagraph"/>
                          <w:spacing w:before="37"/>
                          <w:ind w:left="56" w:right="45"/>
                          <w:jc w:val="center"/>
                          <w:rPr>
                            <w:sz w:val="16"/>
                          </w:rPr>
                        </w:pPr>
                        <w:r>
                          <w:rPr>
                            <w:sz w:val="16"/>
                          </w:rPr>
                          <w:t>74</w:t>
                        </w:r>
                      </w:p>
                    </w:tc>
                    <w:tc>
                      <w:tcPr>
                        <w:tcW w:w="912" w:type="dxa"/>
                      </w:tcPr>
                      <w:p>
                        <w:pPr>
                          <w:pStyle w:val="TableParagraph"/>
                          <w:spacing w:before="37"/>
                          <w:ind w:left="138" w:right="133"/>
                          <w:jc w:val="center"/>
                          <w:rPr>
                            <w:sz w:val="16"/>
                          </w:rPr>
                        </w:pPr>
                        <w:r>
                          <w:rPr>
                            <w:sz w:val="16"/>
                          </w:rPr>
                          <w:t>FAO</w:t>
                        </w:r>
                      </w:p>
                    </w:tc>
                  </w:tr>
                  <w:tr>
                    <w:trPr>
                      <w:trHeight w:val="275" w:hRule="atLeast"/>
                    </w:trPr>
                    <w:tc>
                      <w:tcPr>
                        <w:tcW w:w="1342" w:type="dxa"/>
                      </w:tcPr>
                      <w:p>
                        <w:pPr>
                          <w:pStyle w:val="TableParagraph"/>
                          <w:spacing w:before="37"/>
                          <w:ind w:left="55"/>
                          <w:rPr>
                            <w:sz w:val="16"/>
                          </w:rPr>
                        </w:pPr>
                        <w:r>
                          <w:rPr>
                            <w:sz w:val="16"/>
                          </w:rPr>
                          <w:t>Latvia</w:t>
                        </w:r>
                      </w:p>
                    </w:tc>
                    <w:tc>
                      <w:tcPr>
                        <w:tcW w:w="1092" w:type="dxa"/>
                      </w:tcPr>
                      <w:p>
                        <w:pPr>
                          <w:pStyle w:val="TableParagraph"/>
                          <w:spacing w:before="37"/>
                          <w:ind w:left="145" w:right="136"/>
                          <w:jc w:val="center"/>
                          <w:rPr>
                            <w:sz w:val="16"/>
                          </w:rPr>
                        </w:pPr>
                        <w:r>
                          <w:rPr>
                            <w:sz w:val="16"/>
                          </w:rPr>
                          <w:t>174</w:t>
                        </w:r>
                      </w:p>
                    </w:tc>
                    <w:tc>
                      <w:tcPr>
                        <w:tcW w:w="1121" w:type="dxa"/>
                      </w:tcPr>
                      <w:p>
                        <w:pPr>
                          <w:pStyle w:val="TableParagraph"/>
                          <w:spacing w:before="37"/>
                          <w:ind w:left="56" w:right="44"/>
                          <w:jc w:val="center"/>
                          <w:rPr>
                            <w:sz w:val="16"/>
                          </w:rPr>
                        </w:pPr>
                        <w:r>
                          <w:rPr>
                            <w:sz w:val="16"/>
                          </w:rPr>
                          <w:t>93</w:t>
                        </w:r>
                      </w:p>
                    </w:tc>
                    <w:tc>
                      <w:tcPr>
                        <w:tcW w:w="912" w:type="dxa"/>
                      </w:tcPr>
                      <w:p>
                        <w:pPr>
                          <w:pStyle w:val="TableParagraph"/>
                          <w:spacing w:before="37"/>
                          <w:ind w:left="138" w:right="133"/>
                          <w:jc w:val="center"/>
                          <w:rPr>
                            <w:sz w:val="16"/>
                          </w:rPr>
                        </w:pPr>
                        <w:r>
                          <w:rPr>
                            <w:sz w:val="16"/>
                          </w:rPr>
                          <w:t>FAO</w:t>
                        </w:r>
                      </w:p>
                    </w:tc>
                  </w:tr>
                  <w:tr>
                    <w:trPr>
                      <w:trHeight w:val="273" w:hRule="atLeast"/>
                    </w:trPr>
                    <w:tc>
                      <w:tcPr>
                        <w:tcW w:w="1342" w:type="dxa"/>
                      </w:tcPr>
                      <w:p>
                        <w:pPr>
                          <w:pStyle w:val="TableParagraph"/>
                          <w:spacing w:before="37"/>
                          <w:ind w:left="55"/>
                          <w:rPr>
                            <w:sz w:val="16"/>
                          </w:rPr>
                        </w:pPr>
                        <w:r>
                          <w:rPr>
                            <w:sz w:val="16"/>
                          </w:rPr>
                          <w:t>Liechtenstein</w:t>
                        </w:r>
                      </w:p>
                    </w:tc>
                    <w:tc>
                      <w:tcPr>
                        <w:tcW w:w="1092" w:type="dxa"/>
                      </w:tcPr>
                      <w:p>
                        <w:pPr>
                          <w:pStyle w:val="TableParagraph"/>
                          <w:spacing w:before="37"/>
                          <w:ind w:left="144" w:right="136"/>
                          <w:jc w:val="center"/>
                          <w:rPr>
                            <w:sz w:val="16"/>
                          </w:rPr>
                        </w:pPr>
                        <w:r>
                          <w:rPr>
                            <w:sz w:val="16"/>
                          </w:rPr>
                          <w:t>254</w:t>
                        </w:r>
                      </w:p>
                    </w:tc>
                    <w:tc>
                      <w:tcPr>
                        <w:tcW w:w="1121" w:type="dxa"/>
                      </w:tcPr>
                      <w:p>
                        <w:pPr>
                          <w:pStyle w:val="TableParagraph"/>
                          <w:spacing w:before="37"/>
                          <w:ind w:left="54" w:right="46"/>
                          <w:jc w:val="center"/>
                          <w:rPr>
                            <w:sz w:val="16"/>
                          </w:rPr>
                        </w:pPr>
                        <w:r>
                          <w:rPr>
                            <w:sz w:val="16"/>
                          </w:rPr>
                          <w:t>119</w:t>
                        </w:r>
                      </w:p>
                    </w:tc>
                    <w:tc>
                      <w:tcPr>
                        <w:tcW w:w="912" w:type="dxa"/>
                      </w:tcPr>
                      <w:p>
                        <w:pPr>
                          <w:pStyle w:val="TableParagraph"/>
                          <w:spacing w:before="37"/>
                          <w:ind w:left="138" w:right="134"/>
                          <w:jc w:val="center"/>
                          <w:rPr>
                            <w:sz w:val="16"/>
                          </w:rPr>
                        </w:pPr>
                        <w:r>
                          <w:rPr>
                            <w:sz w:val="16"/>
                          </w:rPr>
                          <w:t>FAO</w:t>
                        </w:r>
                      </w:p>
                    </w:tc>
                  </w:tr>
                  <w:tr>
                    <w:trPr>
                      <w:trHeight w:val="443" w:hRule="atLeast"/>
                    </w:trPr>
                    <w:tc>
                      <w:tcPr>
                        <w:tcW w:w="1342" w:type="dxa"/>
                      </w:tcPr>
                      <w:p>
                        <w:pPr>
                          <w:pStyle w:val="TableParagraph"/>
                          <w:spacing w:before="124"/>
                          <w:ind w:left="54"/>
                          <w:rPr>
                            <w:sz w:val="16"/>
                          </w:rPr>
                        </w:pPr>
                        <w:r>
                          <w:rPr>
                            <w:sz w:val="16"/>
                          </w:rPr>
                          <w:t>Lithuania</w:t>
                        </w:r>
                      </w:p>
                    </w:tc>
                    <w:tc>
                      <w:tcPr>
                        <w:tcW w:w="1092" w:type="dxa"/>
                      </w:tcPr>
                      <w:p>
                        <w:pPr>
                          <w:pStyle w:val="TableParagraph"/>
                          <w:spacing w:before="124"/>
                          <w:ind w:left="144" w:right="136"/>
                          <w:jc w:val="center"/>
                          <w:rPr>
                            <w:sz w:val="16"/>
                          </w:rPr>
                        </w:pPr>
                        <w:r>
                          <w:rPr>
                            <w:sz w:val="16"/>
                          </w:rPr>
                          <w:t>183</w:t>
                        </w:r>
                      </w:p>
                    </w:tc>
                    <w:tc>
                      <w:tcPr>
                        <w:tcW w:w="1121" w:type="dxa"/>
                      </w:tcPr>
                      <w:p>
                        <w:pPr>
                          <w:pStyle w:val="TableParagraph"/>
                          <w:spacing w:before="124"/>
                          <w:ind w:left="56" w:right="45"/>
                          <w:jc w:val="center"/>
                          <w:rPr>
                            <w:sz w:val="16"/>
                          </w:rPr>
                        </w:pPr>
                        <w:r>
                          <w:rPr>
                            <w:sz w:val="16"/>
                          </w:rPr>
                          <w:t>99</w:t>
                        </w:r>
                      </w:p>
                    </w:tc>
                    <w:tc>
                      <w:tcPr>
                        <w:tcW w:w="912" w:type="dxa"/>
                      </w:tcPr>
                      <w:p>
                        <w:pPr>
                          <w:pStyle w:val="TableParagraph"/>
                          <w:spacing w:before="124"/>
                          <w:ind w:left="138" w:right="134"/>
                          <w:jc w:val="center"/>
                          <w:rPr>
                            <w:sz w:val="16"/>
                          </w:rPr>
                        </w:pPr>
                        <w:r>
                          <w:rPr>
                            <w:sz w:val="16"/>
                          </w:rPr>
                          <w:t>FAO</w:t>
                        </w:r>
                      </w:p>
                    </w:tc>
                  </w:tr>
                  <w:tr>
                    <w:trPr>
                      <w:trHeight w:val="285" w:hRule="atLeast"/>
                    </w:trPr>
                    <w:tc>
                      <w:tcPr>
                        <w:tcW w:w="1342" w:type="dxa"/>
                      </w:tcPr>
                      <w:p>
                        <w:pPr>
                          <w:pStyle w:val="TableParagraph"/>
                          <w:spacing w:before="42"/>
                          <w:ind w:left="54"/>
                          <w:rPr>
                            <w:sz w:val="16"/>
                          </w:rPr>
                        </w:pPr>
                        <w:r>
                          <w:rPr>
                            <w:sz w:val="16"/>
                          </w:rPr>
                          <w:t>Malta</w:t>
                        </w:r>
                      </w:p>
                    </w:tc>
                    <w:tc>
                      <w:tcPr>
                        <w:tcW w:w="1092" w:type="dxa"/>
                      </w:tcPr>
                      <w:p>
                        <w:pPr>
                          <w:pStyle w:val="TableParagraph"/>
                          <w:spacing w:before="42"/>
                          <w:ind w:left="144" w:right="136"/>
                          <w:jc w:val="center"/>
                          <w:rPr>
                            <w:sz w:val="16"/>
                          </w:rPr>
                        </w:pPr>
                        <w:r>
                          <w:rPr>
                            <w:sz w:val="16"/>
                          </w:rPr>
                          <w:t>232</w:t>
                        </w:r>
                      </w:p>
                    </w:tc>
                    <w:tc>
                      <w:tcPr>
                        <w:tcW w:w="1121" w:type="dxa"/>
                      </w:tcPr>
                      <w:p>
                        <w:pPr>
                          <w:pStyle w:val="TableParagraph"/>
                          <w:rPr>
                            <w:sz w:val="16"/>
                          </w:rPr>
                        </w:pPr>
                      </w:p>
                    </w:tc>
                    <w:tc>
                      <w:tcPr>
                        <w:tcW w:w="912" w:type="dxa"/>
                      </w:tcPr>
                      <w:p>
                        <w:pPr>
                          <w:pStyle w:val="TableParagraph"/>
                          <w:spacing w:before="42"/>
                          <w:ind w:left="138" w:right="134"/>
                          <w:jc w:val="center"/>
                          <w:rPr>
                            <w:sz w:val="16"/>
                          </w:rPr>
                        </w:pPr>
                        <w:r>
                          <w:rPr>
                            <w:sz w:val="16"/>
                          </w:rPr>
                          <w:t>FAO</w:t>
                        </w:r>
                      </w:p>
                    </w:tc>
                  </w:tr>
                  <w:tr>
                    <w:trPr>
                      <w:trHeight w:val="273" w:hRule="atLeast"/>
                    </w:trPr>
                    <w:tc>
                      <w:tcPr>
                        <w:tcW w:w="1342" w:type="dxa"/>
                      </w:tcPr>
                      <w:p>
                        <w:pPr>
                          <w:pStyle w:val="TableParagraph"/>
                          <w:spacing w:before="37"/>
                          <w:ind w:left="54"/>
                          <w:rPr>
                            <w:sz w:val="16"/>
                          </w:rPr>
                        </w:pPr>
                        <w:r>
                          <w:rPr>
                            <w:sz w:val="16"/>
                          </w:rPr>
                          <w:t>Netherlands</w:t>
                        </w:r>
                      </w:p>
                    </w:tc>
                    <w:tc>
                      <w:tcPr>
                        <w:tcW w:w="1092" w:type="dxa"/>
                      </w:tcPr>
                      <w:p>
                        <w:pPr>
                          <w:pStyle w:val="TableParagraph"/>
                          <w:spacing w:before="37"/>
                          <w:ind w:left="144" w:right="136"/>
                          <w:jc w:val="center"/>
                          <w:rPr>
                            <w:sz w:val="16"/>
                          </w:rPr>
                        </w:pPr>
                        <w:r>
                          <w:rPr>
                            <w:sz w:val="16"/>
                          </w:rPr>
                          <w:t>160</w:t>
                        </w:r>
                      </w:p>
                    </w:tc>
                    <w:tc>
                      <w:tcPr>
                        <w:tcW w:w="1121" w:type="dxa"/>
                      </w:tcPr>
                      <w:p>
                        <w:pPr>
                          <w:pStyle w:val="TableParagraph"/>
                          <w:spacing w:before="37"/>
                          <w:ind w:left="54" w:right="46"/>
                          <w:jc w:val="center"/>
                          <w:rPr>
                            <w:sz w:val="16"/>
                          </w:rPr>
                        </w:pPr>
                        <w:r>
                          <w:rPr>
                            <w:sz w:val="16"/>
                          </w:rPr>
                          <w:t>107</w:t>
                        </w:r>
                      </w:p>
                    </w:tc>
                    <w:tc>
                      <w:tcPr>
                        <w:tcW w:w="912" w:type="dxa"/>
                      </w:tcPr>
                      <w:p>
                        <w:pPr>
                          <w:pStyle w:val="TableParagraph"/>
                          <w:spacing w:before="37"/>
                          <w:ind w:left="138" w:right="133"/>
                          <w:jc w:val="center"/>
                          <w:rPr>
                            <w:sz w:val="16"/>
                          </w:rPr>
                        </w:pPr>
                        <w:r>
                          <w:rPr>
                            <w:sz w:val="16"/>
                          </w:rPr>
                          <w:t>FAO</w:t>
                        </w:r>
                      </w:p>
                    </w:tc>
                  </w:tr>
                  <w:tr>
                    <w:trPr>
                      <w:trHeight w:val="273" w:hRule="atLeast"/>
                    </w:trPr>
                    <w:tc>
                      <w:tcPr>
                        <w:tcW w:w="1342" w:type="dxa"/>
                      </w:tcPr>
                      <w:p>
                        <w:pPr>
                          <w:pStyle w:val="TableParagraph"/>
                          <w:spacing w:before="37"/>
                          <w:ind w:left="54"/>
                          <w:rPr>
                            <w:sz w:val="16"/>
                          </w:rPr>
                        </w:pPr>
                        <w:r>
                          <w:rPr>
                            <w:sz w:val="16"/>
                          </w:rPr>
                          <w:t>Norway</w:t>
                        </w:r>
                      </w:p>
                    </w:tc>
                    <w:tc>
                      <w:tcPr>
                        <w:tcW w:w="1092" w:type="dxa"/>
                      </w:tcPr>
                      <w:p>
                        <w:pPr>
                          <w:pStyle w:val="TableParagraph"/>
                          <w:spacing w:before="37"/>
                          <w:ind w:left="146" w:right="136"/>
                          <w:jc w:val="center"/>
                          <w:rPr>
                            <w:sz w:val="16"/>
                          </w:rPr>
                        </w:pPr>
                        <w:r>
                          <w:rPr>
                            <w:sz w:val="16"/>
                          </w:rPr>
                          <w:t>89</w:t>
                        </w:r>
                      </w:p>
                    </w:tc>
                    <w:tc>
                      <w:tcPr>
                        <w:tcW w:w="1121" w:type="dxa"/>
                      </w:tcPr>
                      <w:p>
                        <w:pPr>
                          <w:pStyle w:val="TableParagraph"/>
                          <w:spacing w:before="37"/>
                          <w:ind w:left="56" w:right="45"/>
                          <w:jc w:val="center"/>
                          <w:rPr>
                            <w:sz w:val="16"/>
                          </w:rPr>
                        </w:pPr>
                        <w:r>
                          <w:rPr>
                            <w:sz w:val="16"/>
                          </w:rPr>
                          <w:t>49</w:t>
                        </w:r>
                      </w:p>
                    </w:tc>
                    <w:tc>
                      <w:tcPr>
                        <w:tcW w:w="912" w:type="dxa"/>
                      </w:tcPr>
                      <w:p>
                        <w:pPr>
                          <w:pStyle w:val="TableParagraph"/>
                          <w:spacing w:before="37"/>
                          <w:ind w:left="138" w:right="134"/>
                          <w:jc w:val="center"/>
                          <w:rPr>
                            <w:sz w:val="16"/>
                          </w:rPr>
                        </w:pPr>
                        <w:r>
                          <w:rPr>
                            <w:sz w:val="16"/>
                          </w:rPr>
                          <w:t>FAO</w:t>
                        </w:r>
                      </w:p>
                    </w:tc>
                  </w:tr>
                  <w:tr>
                    <w:trPr>
                      <w:trHeight w:val="275" w:hRule="atLeast"/>
                    </w:trPr>
                    <w:tc>
                      <w:tcPr>
                        <w:tcW w:w="1342" w:type="dxa"/>
                      </w:tcPr>
                      <w:p>
                        <w:pPr>
                          <w:pStyle w:val="TableParagraph"/>
                          <w:spacing w:before="37"/>
                          <w:ind w:left="54"/>
                          <w:rPr>
                            <w:sz w:val="16"/>
                          </w:rPr>
                        </w:pPr>
                        <w:r>
                          <w:rPr>
                            <w:sz w:val="16"/>
                          </w:rPr>
                          <w:t>Poland</w:t>
                        </w:r>
                      </w:p>
                    </w:tc>
                    <w:tc>
                      <w:tcPr>
                        <w:tcW w:w="1092" w:type="dxa"/>
                      </w:tcPr>
                      <w:p>
                        <w:pPr>
                          <w:pStyle w:val="TableParagraph"/>
                          <w:spacing w:before="37"/>
                          <w:ind w:left="143" w:right="136"/>
                          <w:jc w:val="center"/>
                          <w:rPr>
                            <w:sz w:val="16"/>
                          </w:rPr>
                        </w:pPr>
                        <w:r>
                          <w:rPr>
                            <w:sz w:val="16"/>
                          </w:rPr>
                          <w:t>213</w:t>
                        </w:r>
                      </w:p>
                    </w:tc>
                    <w:tc>
                      <w:tcPr>
                        <w:tcW w:w="1121" w:type="dxa"/>
                      </w:tcPr>
                      <w:p>
                        <w:pPr>
                          <w:pStyle w:val="TableParagraph"/>
                          <w:spacing w:before="37"/>
                          <w:ind w:left="56" w:right="45"/>
                          <w:jc w:val="center"/>
                          <w:rPr>
                            <w:sz w:val="16"/>
                          </w:rPr>
                        </w:pPr>
                        <w:r>
                          <w:rPr>
                            <w:sz w:val="16"/>
                          </w:rPr>
                          <w:t>94</w:t>
                        </w:r>
                      </w:p>
                    </w:tc>
                    <w:tc>
                      <w:tcPr>
                        <w:tcW w:w="912" w:type="dxa"/>
                      </w:tcPr>
                      <w:p>
                        <w:pPr>
                          <w:pStyle w:val="TableParagraph"/>
                          <w:spacing w:before="37"/>
                          <w:ind w:left="138" w:right="134"/>
                          <w:jc w:val="center"/>
                          <w:rPr>
                            <w:sz w:val="16"/>
                          </w:rPr>
                        </w:pPr>
                        <w:r>
                          <w:rPr>
                            <w:sz w:val="16"/>
                          </w:rPr>
                          <w:t>FAO</w:t>
                        </w:r>
                      </w:p>
                    </w:tc>
                  </w:tr>
                  <w:tr>
                    <w:trPr>
                      <w:trHeight w:val="273" w:hRule="atLeast"/>
                    </w:trPr>
                    <w:tc>
                      <w:tcPr>
                        <w:tcW w:w="1342" w:type="dxa"/>
                      </w:tcPr>
                      <w:p>
                        <w:pPr>
                          <w:pStyle w:val="TableParagraph"/>
                          <w:spacing w:before="37"/>
                          <w:ind w:left="54"/>
                          <w:rPr>
                            <w:sz w:val="16"/>
                          </w:rPr>
                        </w:pPr>
                        <w:r>
                          <w:rPr>
                            <w:sz w:val="16"/>
                          </w:rPr>
                          <w:t>Portugal</w:t>
                        </w:r>
                      </w:p>
                    </w:tc>
                    <w:tc>
                      <w:tcPr>
                        <w:tcW w:w="1092" w:type="dxa"/>
                      </w:tcPr>
                      <w:p>
                        <w:pPr>
                          <w:pStyle w:val="TableParagraph"/>
                          <w:spacing w:before="37"/>
                          <w:ind w:left="147" w:right="136"/>
                          <w:jc w:val="center"/>
                          <w:rPr>
                            <w:sz w:val="16"/>
                          </w:rPr>
                        </w:pPr>
                        <w:r>
                          <w:rPr>
                            <w:sz w:val="16"/>
                          </w:rPr>
                          <w:t>82</w:t>
                        </w:r>
                      </w:p>
                    </w:tc>
                    <w:tc>
                      <w:tcPr>
                        <w:tcW w:w="1121" w:type="dxa"/>
                      </w:tcPr>
                      <w:p>
                        <w:pPr>
                          <w:pStyle w:val="TableParagraph"/>
                          <w:spacing w:before="37"/>
                          <w:ind w:left="56" w:right="45"/>
                          <w:jc w:val="center"/>
                          <w:rPr>
                            <w:sz w:val="16"/>
                          </w:rPr>
                        </w:pPr>
                        <w:r>
                          <w:rPr>
                            <w:sz w:val="16"/>
                          </w:rPr>
                          <w:t>33</w:t>
                        </w:r>
                      </w:p>
                    </w:tc>
                    <w:tc>
                      <w:tcPr>
                        <w:tcW w:w="912" w:type="dxa"/>
                      </w:tcPr>
                      <w:p>
                        <w:pPr>
                          <w:pStyle w:val="TableParagraph"/>
                          <w:spacing w:before="37"/>
                          <w:ind w:left="138" w:right="134"/>
                          <w:jc w:val="center"/>
                          <w:rPr>
                            <w:sz w:val="16"/>
                          </w:rPr>
                        </w:pPr>
                        <w:r>
                          <w:rPr>
                            <w:sz w:val="16"/>
                          </w:rPr>
                          <w:t>FAO</w:t>
                        </w:r>
                      </w:p>
                    </w:tc>
                  </w:tr>
                  <w:tr>
                    <w:trPr>
                      <w:trHeight w:val="386" w:hRule="atLeast"/>
                    </w:trPr>
                    <w:tc>
                      <w:tcPr>
                        <w:tcW w:w="1342" w:type="dxa"/>
                      </w:tcPr>
                      <w:p>
                        <w:pPr>
                          <w:pStyle w:val="TableParagraph"/>
                          <w:spacing w:line="180" w:lineRule="atLeast" w:before="4"/>
                          <w:ind w:left="54" w:right="507"/>
                          <w:rPr>
                            <w:sz w:val="16"/>
                          </w:rPr>
                        </w:pPr>
                        <w:r>
                          <w:rPr>
                            <w:sz w:val="16"/>
                          </w:rPr>
                          <w:t>Republic of Moldova</w:t>
                        </w:r>
                      </w:p>
                    </w:tc>
                    <w:tc>
                      <w:tcPr>
                        <w:tcW w:w="1092" w:type="dxa"/>
                      </w:tcPr>
                      <w:p>
                        <w:pPr>
                          <w:pStyle w:val="TableParagraph"/>
                          <w:spacing w:before="95"/>
                          <w:ind w:left="143" w:right="136"/>
                          <w:jc w:val="center"/>
                          <w:rPr>
                            <w:sz w:val="16"/>
                          </w:rPr>
                        </w:pPr>
                        <w:r>
                          <w:rPr>
                            <w:sz w:val="16"/>
                          </w:rPr>
                          <w:t>128</w:t>
                        </w:r>
                      </w:p>
                    </w:tc>
                    <w:tc>
                      <w:tcPr>
                        <w:tcW w:w="1121" w:type="dxa"/>
                      </w:tcPr>
                      <w:p>
                        <w:pPr>
                          <w:pStyle w:val="TableParagraph"/>
                          <w:spacing w:before="95"/>
                          <w:ind w:left="56" w:right="45"/>
                          <w:jc w:val="center"/>
                          <w:rPr>
                            <w:sz w:val="16"/>
                          </w:rPr>
                        </w:pPr>
                        <w:r>
                          <w:rPr>
                            <w:sz w:val="16"/>
                          </w:rPr>
                          <w:t>64</w:t>
                        </w:r>
                      </w:p>
                    </w:tc>
                    <w:tc>
                      <w:tcPr>
                        <w:tcW w:w="912" w:type="dxa"/>
                      </w:tcPr>
                      <w:p>
                        <w:pPr>
                          <w:pStyle w:val="TableParagraph"/>
                          <w:spacing w:before="95"/>
                          <w:ind w:left="138" w:right="134"/>
                          <w:jc w:val="center"/>
                          <w:rPr>
                            <w:sz w:val="16"/>
                          </w:rPr>
                        </w:pPr>
                        <w:r>
                          <w:rPr>
                            <w:sz w:val="16"/>
                          </w:rPr>
                          <w:t>FAO</w:t>
                        </w:r>
                      </w:p>
                    </w:tc>
                  </w:tr>
                  <w:tr>
                    <w:trPr>
                      <w:trHeight w:val="275" w:hRule="atLeast"/>
                    </w:trPr>
                    <w:tc>
                      <w:tcPr>
                        <w:tcW w:w="1342" w:type="dxa"/>
                      </w:tcPr>
                      <w:p>
                        <w:pPr>
                          <w:pStyle w:val="TableParagraph"/>
                          <w:spacing w:before="37"/>
                          <w:ind w:left="54"/>
                          <w:rPr>
                            <w:sz w:val="16"/>
                          </w:rPr>
                        </w:pPr>
                        <w:r>
                          <w:rPr>
                            <w:sz w:val="16"/>
                          </w:rPr>
                          <w:t>Romania</w:t>
                        </w:r>
                      </w:p>
                    </w:tc>
                    <w:tc>
                      <w:tcPr>
                        <w:tcW w:w="1092" w:type="dxa"/>
                      </w:tcPr>
                      <w:p>
                        <w:pPr>
                          <w:pStyle w:val="TableParagraph"/>
                          <w:spacing w:before="37"/>
                          <w:ind w:left="145" w:right="136"/>
                          <w:jc w:val="center"/>
                          <w:rPr>
                            <w:sz w:val="16"/>
                          </w:rPr>
                        </w:pPr>
                        <w:r>
                          <w:rPr>
                            <w:sz w:val="16"/>
                          </w:rPr>
                          <w:t>213</w:t>
                        </w:r>
                      </w:p>
                    </w:tc>
                    <w:tc>
                      <w:tcPr>
                        <w:tcW w:w="1121" w:type="dxa"/>
                      </w:tcPr>
                      <w:p>
                        <w:pPr>
                          <w:pStyle w:val="TableParagraph"/>
                          <w:spacing w:before="37"/>
                          <w:ind w:left="54" w:right="46"/>
                          <w:jc w:val="center"/>
                          <w:rPr>
                            <w:sz w:val="16"/>
                          </w:rPr>
                        </w:pPr>
                        <w:r>
                          <w:rPr>
                            <w:sz w:val="16"/>
                          </w:rPr>
                          <w:t>124</w:t>
                        </w:r>
                      </w:p>
                    </w:tc>
                    <w:tc>
                      <w:tcPr>
                        <w:tcW w:w="912" w:type="dxa"/>
                      </w:tcPr>
                      <w:p>
                        <w:pPr>
                          <w:pStyle w:val="TableParagraph"/>
                          <w:spacing w:before="37"/>
                          <w:ind w:left="138" w:right="134"/>
                          <w:jc w:val="center"/>
                          <w:rPr>
                            <w:sz w:val="16"/>
                          </w:rPr>
                        </w:pPr>
                        <w:r>
                          <w:rPr>
                            <w:sz w:val="16"/>
                          </w:rPr>
                          <w:t>FAO</w:t>
                        </w:r>
                      </w:p>
                    </w:tc>
                  </w:tr>
                  <w:tr>
                    <w:trPr>
                      <w:trHeight w:val="273" w:hRule="atLeast"/>
                    </w:trPr>
                    <w:tc>
                      <w:tcPr>
                        <w:tcW w:w="1342" w:type="dxa"/>
                      </w:tcPr>
                      <w:p>
                        <w:pPr>
                          <w:pStyle w:val="TableParagraph"/>
                          <w:spacing w:before="37"/>
                          <w:ind w:left="54"/>
                          <w:rPr>
                            <w:sz w:val="16"/>
                          </w:rPr>
                        </w:pPr>
                        <w:r>
                          <w:rPr>
                            <w:sz w:val="16"/>
                          </w:rPr>
                          <w:t>Russian Federation</w:t>
                        </w:r>
                      </w:p>
                    </w:tc>
                    <w:tc>
                      <w:tcPr>
                        <w:tcW w:w="1092" w:type="dxa"/>
                      </w:tcPr>
                      <w:p>
                        <w:pPr>
                          <w:pStyle w:val="TableParagraph"/>
                          <w:spacing w:before="37"/>
                          <w:ind w:left="145" w:right="136"/>
                          <w:jc w:val="center"/>
                          <w:rPr>
                            <w:sz w:val="16"/>
                          </w:rPr>
                        </w:pPr>
                        <w:r>
                          <w:rPr>
                            <w:sz w:val="16"/>
                          </w:rPr>
                          <w:t>105</w:t>
                        </w:r>
                      </w:p>
                    </w:tc>
                    <w:tc>
                      <w:tcPr>
                        <w:tcW w:w="1121" w:type="dxa"/>
                      </w:tcPr>
                      <w:p>
                        <w:pPr>
                          <w:pStyle w:val="TableParagraph"/>
                          <w:spacing w:before="37"/>
                          <w:ind w:left="56" w:right="45"/>
                          <w:jc w:val="center"/>
                          <w:rPr>
                            <w:sz w:val="16"/>
                          </w:rPr>
                        </w:pPr>
                        <w:r>
                          <w:rPr>
                            <w:sz w:val="16"/>
                          </w:rPr>
                          <w:t>56</w:t>
                        </w:r>
                      </w:p>
                    </w:tc>
                    <w:tc>
                      <w:tcPr>
                        <w:tcW w:w="912" w:type="dxa"/>
                      </w:tcPr>
                      <w:p>
                        <w:pPr>
                          <w:pStyle w:val="TableParagraph"/>
                          <w:spacing w:before="37"/>
                          <w:ind w:left="138" w:right="133"/>
                          <w:jc w:val="center"/>
                          <w:rPr>
                            <w:sz w:val="16"/>
                          </w:rPr>
                        </w:pPr>
                        <w:r>
                          <w:rPr>
                            <w:sz w:val="16"/>
                          </w:rPr>
                          <w:t>FAO</w:t>
                        </w:r>
                      </w:p>
                    </w:tc>
                  </w:tr>
                  <w:tr>
                    <w:trPr>
                      <w:trHeight w:val="273" w:hRule="atLeast"/>
                    </w:trPr>
                    <w:tc>
                      <w:tcPr>
                        <w:tcW w:w="1342" w:type="dxa"/>
                      </w:tcPr>
                      <w:p>
                        <w:pPr>
                          <w:pStyle w:val="TableParagraph"/>
                          <w:spacing w:before="49"/>
                          <w:ind w:left="54"/>
                          <w:rPr>
                            <w:sz w:val="16"/>
                          </w:rPr>
                        </w:pPr>
                        <w:r>
                          <w:rPr>
                            <w:sz w:val="16"/>
                          </w:rPr>
                          <w:t>San Marino</w:t>
                        </w:r>
                      </w:p>
                    </w:tc>
                    <w:tc>
                      <w:tcPr>
                        <w:tcW w:w="1092" w:type="dxa"/>
                      </w:tcPr>
                      <w:p>
                        <w:pPr>
                          <w:pStyle w:val="TableParagraph"/>
                          <w:spacing w:before="49"/>
                          <w:ind w:left="10"/>
                          <w:jc w:val="center"/>
                          <w:rPr>
                            <w:sz w:val="16"/>
                          </w:rPr>
                        </w:pPr>
                        <w:r>
                          <w:rPr>
                            <w:w w:val="100"/>
                            <w:sz w:val="16"/>
                          </w:rPr>
                          <w:t>0</w:t>
                        </w:r>
                      </w:p>
                    </w:tc>
                    <w:tc>
                      <w:tcPr>
                        <w:tcW w:w="1121" w:type="dxa"/>
                      </w:tcPr>
                      <w:p>
                        <w:pPr>
                          <w:pStyle w:val="TableParagraph"/>
                          <w:spacing w:before="49"/>
                          <w:ind w:left="10"/>
                          <w:jc w:val="center"/>
                          <w:rPr>
                            <w:sz w:val="16"/>
                          </w:rPr>
                        </w:pPr>
                        <w:r>
                          <w:rPr>
                            <w:w w:val="100"/>
                            <w:sz w:val="16"/>
                          </w:rPr>
                          <w:t>0</w:t>
                        </w:r>
                      </w:p>
                    </w:tc>
                    <w:tc>
                      <w:tcPr>
                        <w:tcW w:w="912" w:type="dxa"/>
                      </w:tcPr>
                      <w:p>
                        <w:pPr>
                          <w:pStyle w:val="TableParagraph"/>
                          <w:spacing w:before="49"/>
                          <w:ind w:left="138" w:right="134"/>
                          <w:jc w:val="center"/>
                          <w:rPr>
                            <w:sz w:val="16"/>
                          </w:rPr>
                        </w:pPr>
                        <w:r>
                          <w:rPr>
                            <w:sz w:val="16"/>
                          </w:rPr>
                          <w:t>FAO</w:t>
                        </w:r>
                      </w:p>
                    </w:tc>
                  </w:tr>
                  <w:tr>
                    <w:trPr>
                      <w:trHeight w:val="234" w:hRule="atLeast"/>
                    </w:trPr>
                    <w:tc>
                      <w:tcPr>
                        <w:tcW w:w="1342" w:type="dxa"/>
                      </w:tcPr>
                      <w:p>
                        <w:pPr>
                          <w:pStyle w:val="TableParagraph"/>
                          <w:spacing w:before="18"/>
                          <w:ind w:left="54"/>
                          <w:rPr>
                            <w:sz w:val="16"/>
                          </w:rPr>
                        </w:pPr>
                        <w:r>
                          <w:rPr>
                            <w:sz w:val="16"/>
                          </w:rPr>
                          <w:t>Slovakia</w:t>
                        </w:r>
                      </w:p>
                    </w:tc>
                    <w:tc>
                      <w:tcPr>
                        <w:tcW w:w="1092" w:type="dxa"/>
                      </w:tcPr>
                      <w:p>
                        <w:pPr>
                          <w:pStyle w:val="TableParagraph"/>
                          <w:spacing w:before="18"/>
                          <w:ind w:left="144" w:right="136"/>
                          <w:jc w:val="center"/>
                          <w:rPr>
                            <w:sz w:val="16"/>
                          </w:rPr>
                        </w:pPr>
                        <w:r>
                          <w:rPr>
                            <w:sz w:val="16"/>
                          </w:rPr>
                          <w:t>253</w:t>
                        </w:r>
                      </w:p>
                    </w:tc>
                    <w:tc>
                      <w:tcPr>
                        <w:tcW w:w="1121" w:type="dxa"/>
                      </w:tcPr>
                      <w:p>
                        <w:pPr>
                          <w:pStyle w:val="TableParagraph"/>
                          <w:spacing w:before="18"/>
                          <w:ind w:left="53" w:right="46"/>
                          <w:jc w:val="center"/>
                          <w:rPr>
                            <w:sz w:val="16"/>
                          </w:rPr>
                        </w:pPr>
                        <w:r>
                          <w:rPr>
                            <w:sz w:val="16"/>
                          </w:rPr>
                          <w:t>142</w:t>
                        </w:r>
                      </w:p>
                    </w:tc>
                    <w:tc>
                      <w:tcPr>
                        <w:tcW w:w="912" w:type="dxa"/>
                      </w:tcPr>
                      <w:p>
                        <w:pPr>
                          <w:pStyle w:val="TableParagraph"/>
                          <w:spacing w:before="18"/>
                          <w:ind w:left="138" w:right="134"/>
                          <w:jc w:val="center"/>
                          <w:rPr>
                            <w:sz w:val="16"/>
                          </w:rPr>
                        </w:pPr>
                        <w:r>
                          <w:rPr>
                            <w:sz w:val="16"/>
                          </w:rPr>
                          <w:t>FAO</w:t>
                        </w:r>
                      </w:p>
                    </w:tc>
                  </w:tr>
                  <w:tr>
                    <w:trPr>
                      <w:trHeight w:val="234" w:hRule="atLeast"/>
                    </w:trPr>
                    <w:tc>
                      <w:tcPr>
                        <w:tcW w:w="1342" w:type="dxa"/>
                      </w:tcPr>
                      <w:p>
                        <w:pPr>
                          <w:pStyle w:val="TableParagraph"/>
                          <w:spacing w:before="18"/>
                          <w:ind w:left="54"/>
                          <w:rPr>
                            <w:sz w:val="16"/>
                          </w:rPr>
                        </w:pPr>
                        <w:r>
                          <w:rPr>
                            <w:sz w:val="16"/>
                          </w:rPr>
                          <w:t>Slovenia</w:t>
                        </w:r>
                      </w:p>
                    </w:tc>
                    <w:tc>
                      <w:tcPr>
                        <w:tcW w:w="1092" w:type="dxa"/>
                      </w:tcPr>
                      <w:p>
                        <w:pPr>
                          <w:pStyle w:val="TableParagraph"/>
                          <w:spacing w:before="18"/>
                          <w:ind w:left="145" w:right="136"/>
                          <w:jc w:val="center"/>
                          <w:rPr>
                            <w:sz w:val="16"/>
                          </w:rPr>
                        </w:pPr>
                        <w:r>
                          <w:rPr>
                            <w:sz w:val="16"/>
                          </w:rPr>
                          <w:t>283</w:t>
                        </w:r>
                      </w:p>
                    </w:tc>
                    <w:tc>
                      <w:tcPr>
                        <w:tcW w:w="1121" w:type="dxa"/>
                      </w:tcPr>
                      <w:p>
                        <w:pPr>
                          <w:pStyle w:val="TableParagraph"/>
                          <w:spacing w:before="18"/>
                          <w:ind w:left="54" w:right="46"/>
                          <w:jc w:val="center"/>
                          <w:rPr>
                            <w:sz w:val="16"/>
                          </w:rPr>
                        </w:pPr>
                        <w:r>
                          <w:rPr>
                            <w:sz w:val="16"/>
                          </w:rPr>
                          <w:t>178</w:t>
                        </w:r>
                      </w:p>
                    </w:tc>
                    <w:tc>
                      <w:tcPr>
                        <w:tcW w:w="912" w:type="dxa"/>
                      </w:tcPr>
                      <w:p>
                        <w:pPr>
                          <w:pStyle w:val="TableParagraph"/>
                          <w:spacing w:before="18"/>
                          <w:ind w:left="138" w:right="133"/>
                          <w:jc w:val="center"/>
                          <w:rPr>
                            <w:sz w:val="16"/>
                          </w:rPr>
                        </w:pPr>
                        <w:r>
                          <w:rPr>
                            <w:sz w:val="16"/>
                          </w:rPr>
                          <w:t>FAO</w:t>
                        </w:r>
                      </w:p>
                    </w:tc>
                  </w:tr>
                  <w:tr>
                    <w:trPr>
                      <w:trHeight w:val="232" w:hRule="atLeast"/>
                    </w:trPr>
                    <w:tc>
                      <w:tcPr>
                        <w:tcW w:w="1342" w:type="dxa"/>
                      </w:tcPr>
                      <w:p>
                        <w:pPr>
                          <w:pStyle w:val="TableParagraph"/>
                          <w:spacing w:before="18"/>
                          <w:ind w:left="54"/>
                          <w:rPr>
                            <w:sz w:val="16"/>
                          </w:rPr>
                        </w:pPr>
                        <w:r>
                          <w:rPr>
                            <w:sz w:val="16"/>
                          </w:rPr>
                          <w:t>Spain</w:t>
                        </w:r>
                      </w:p>
                    </w:tc>
                    <w:tc>
                      <w:tcPr>
                        <w:tcW w:w="1092" w:type="dxa"/>
                      </w:tcPr>
                      <w:p>
                        <w:pPr>
                          <w:pStyle w:val="TableParagraph"/>
                          <w:spacing w:before="18"/>
                          <w:ind w:left="147" w:right="136"/>
                          <w:jc w:val="center"/>
                          <w:rPr>
                            <w:sz w:val="16"/>
                          </w:rPr>
                        </w:pPr>
                        <w:r>
                          <w:rPr>
                            <w:sz w:val="16"/>
                          </w:rPr>
                          <w:t>44</w:t>
                        </w:r>
                      </w:p>
                    </w:tc>
                    <w:tc>
                      <w:tcPr>
                        <w:tcW w:w="1121" w:type="dxa"/>
                      </w:tcPr>
                      <w:p>
                        <w:pPr>
                          <w:pStyle w:val="TableParagraph"/>
                          <w:spacing w:before="18"/>
                          <w:ind w:left="56" w:right="45"/>
                          <w:jc w:val="center"/>
                          <w:rPr>
                            <w:sz w:val="16"/>
                          </w:rPr>
                        </w:pPr>
                        <w:r>
                          <w:rPr>
                            <w:sz w:val="16"/>
                          </w:rPr>
                          <w:t>24</w:t>
                        </w:r>
                      </w:p>
                    </w:tc>
                    <w:tc>
                      <w:tcPr>
                        <w:tcW w:w="912" w:type="dxa"/>
                      </w:tcPr>
                      <w:p>
                        <w:pPr>
                          <w:pStyle w:val="TableParagraph"/>
                          <w:spacing w:before="18"/>
                          <w:ind w:left="138" w:right="134"/>
                          <w:jc w:val="center"/>
                          <w:rPr>
                            <w:sz w:val="16"/>
                          </w:rPr>
                        </w:pPr>
                        <w:r>
                          <w:rPr>
                            <w:sz w:val="16"/>
                          </w:rPr>
                          <w:t>FAO</w:t>
                        </w:r>
                      </w:p>
                    </w:tc>
                  </w:tr>
                  <w:tr>
                    <w:trPr>
                      <w:trHeight w:val="275" w:hRule="atLeast"/>
                    </w:trPr>
                    <w:tc>
                      <w:tcPr>
                        <w:tcW w:w="1342" w:type="dxa"/>
                      </w:tcPr>
                      <w:p>
                        <w:pPr>
                          <w:pStyle w:val="TableParagraph"/>
                          <w:spacing w:before="37"/>
                          <w:ind w:left="55"/>
                          <w:rPr>
                            <w:sz w:val="16"/>
                          </w:rPr>
                        </w:pPr>
                        <w:r>
                          <w:rPr>
                            <w:sz w:val="16"/>
                          </w:rPr>
                          <w:t>Sweden</w:t>
                        </w:r>
                      </w:p>
                    </w:tc>
                    <w:tc>
                      <w:tcPr>
                        <w:tcW w:w="1092" w:type="dxa"/>
                      </w:tcPr>
                      <w:p>
                        <w:pPr>
                          <w:pStyle w:val="TableParagraph"/>
                          <w:spacing w:before="37"/>
                          <w:ind w:left="144" w:right="136"/>
                          <w:jc w:val="center"/>
                          <w:rPr>
                            <w:sz w:val="16"/>
                          </w:rPr>
                        </w:pPr>
                        <w:r>
                          <w:rPr>
                            <w:sz w:val="16"/>
                          </w:rPr>
                          <w:t>107</w:t>
                        </w:r>
                      </w:p>
                    </w:tc>
                    <w:tc>
                      <w:tcPr>
                        <w:tcW w:w="1121" w:type="dxa"/>
                      </w:tcPr>
                      <w:p>
                        <w:pPr>
                          <w:pStyle w:val="TableParagraph"/>
                          <w:spacing w:before="37"/>
                          <w:ind w:left="56" w:right="44"/>
                          <w:jc w:val="center"/>
                          <w:rPr>
                            <w:sz w:val="16"/>
                          </w:rPr>
                        </w:pPr>
                        <w:r>
                          <w:rPr>
                            <w:sz w:val="16"/>
                          </w:rPr>
                          <w:t>63</w:t>
                        </w:r>
                      </w:p>
                    </w:tc>
                    <w:tc>
                      <w:tcPr>
                        <w:tcW w:w="912" w:type="dxa"/>
                      </w:tcPr>
                      <w:p>
                        <w:pPr>
                          <w:pStyle w:val="TableParagraph"/>
                          <w:spacing w:before="37"/>
                          <w:ind w:left="138" w:right="125"/>
                          <w:jc w:val="center"/>
                          <w:rPr>
                            <w:sz w:val="16"/>
                          </w:rPr>
                        </w:pPr>
                        <w:r>
                          <w:rPr>
                            <w:sz w:val="16"/>
                          </w:rPr>
                          <w:t>NI</w:t>
                        </w:r>
                      </w:p>
                    </w:tc>
                  </w:tr>
                  <w:tr>
                    <w:trPr>
                      <w:trHeight w:val="273" w:hRule="atLeast"/>
                    </w:trPr>
                    <w:tc>
                      <w:tcPr>
                        <w:tcW w:w="1342" w:type="dxa"/>
                      </w:tcPr>
                      <w:p>
                        <w:pPr>
                          <w:pStyle w:val="TableParagraph"/>
                          <w:spacing w:before="37"/>
                          <w:ind w:left="54"/>
                          <w:rPr>
                            <w:sz w:val="16"/>
                          </w:rPr>
                        </w:pPr>
                        <w:r>
                          <w:rPr>
                            <w:sz w:val="16"/>
                          </w:rPr>
                          <w:t>Switzerland</w:t>
                        </w:r>
                      </w:p>
                    </w:tc>
                    <w:tc>
                      <w:tcPr>
                        <w:tcW w:w="1092" w:type="dxa"/>
                      </w:tcPr>
                      <w:p>
                        <w:pPr>
                          <w:pStyle w:val="TableParagraph"/>
                          <w:spacing w:before="37"/>
                          <w:ind w:left="144" w:right="136"/>
                          <w:jc w:val="center"/>
                          <w:rPr>
                            <w:sz w:val="16"/>
                          </w:rPr>
                        </w:pPr>
                        <w:r>
                          <w:rPr>
                            <w:sz w:val="16"/>
                          </w:rPr>
                          <w:t>337</w:t>
                        </w:r>
                      </w:p>
                    </w:tc>
                    <w:tc>
                      <w:tcPr>
                        <w:tcW w:w="1121" w:type="dxa"/>
                      </w:tcPr>
                      <w:p>
                        <w:pPr>
                          <w:pStyle w:val="TableParagraph"/>
                          <w:spacing w:before="37"/>
                          <w:ind w:left="53" w:right="46"/>
                          <w:jc w:val="center"/>
                          <w:rPr>
                            <w:sz w:val="16"/>
                          </w:rPr>
                        </w:pPr>
                        <w:r>
                          <w:rPr>
                            <w:sz w:val="16"/>
                          </w:rPr>
                          <w:t>165</w:t>
                        </w:r>
                      </w:p>
                    </w:tc>
                    <w:tc>
                      <w:tcPr>
                        <w:tcW w:w="912" w:type="dxa"/>
                      </w:tcPr>
                      <w:p>
                        <w:pPr>
                          <w:pStyle w:val="TableParagraph"/>
                          <w:spacing w:before="37"/>
                          <w:ind w:left="138" w:right="134"/>
                          <w:jc w:val="center"/>
                          <w:rPr>
                            <w:sz w:val="16"/>
                          </w:rPr>
                        </w:pPr>
                        <w:r>
                          <w:rPr>
                            <w:sz w:val="16"/>
                          </w:rPr>
                          <w:t>FAO</w:t>
                        </w:r>
                      </w:p>
                    </w:tc>
                  </w:tr>
                  <w:tr>
                    <w:trPr>
                      <w:trHeight w:val="386" w:hRule="atLeast"/>
                    </w:trPr>
                    <w:tc>
                      <w:tcPr>
                        <w:tcW w:w="1342" w:type="dxa"/>
                      </w:tcPr>
                      <w:p>
                        <w:pPr>
                          <w:pStyle w:val="TableParagraph"/>
                          <w:spacing w:line="180" w:lineRule="atLeast" w:before="4"/>
                          <w:ind w:left="54" w:right="484"/>
                          <w:rPr>
                            <w:sz w:val="16"/>
                          </w:rPr>
                        </w:pPr>
                        <w:r>
                          <w:rPr>
                            <w:sz w:val="16"/>
                          </w:rPr>
                          <w:t>The FYR of Macedonia</w:t>
                        </w:r>
                      </w:p>
                    </w:tc>
                    <w:tc>
                      <w:tcPr>
                        <w:tcW w:w="1092" w:type="dxa"/>
                      </w:tcPr>
                      <w:p>
                        <w:pPr>
                          <w:pStyle w:val="TableParagraph"/>
                          <w:spacing w:before="95"/>
                          <w:ind w:left="147" w:right="136"/>
                          <w:jc w:val="center"/>
                          <w:rPr>
                            <w:sz w:val="16"/>
                          </w:rPr>
                        </w:pPr>
                        <w:r>
                          <w:rPr>
                            <w:sz w:val="16"/>
                          </w:rPr>
                          <w:t>70</w:t>
                        </w:r>
                      </w:p>
                    </w:tc>
                    <w:tc>
                      <w:tcPr>
                        <w:tcW w:w="1121" w:type="dxa"/>
                      </w:tcPr>
                      <w:p>
                        <w:pPr>
                          <w:pStyle w:val="TableParagraph"/>
                          <w:spacing w:before="95"/>
                          <w:ind w:left="11"/>
                          <w:jc w:val="center"/>
                          <w:rPr>
                            <w:sz w:val="16"/>
                          </w:rPr>
                        </w:pPr>
                        <w:r>
                          <w:rPr>
                            <w:w w:val="100"/>
                            <w:sz w:val="16"/>
                          </w:rPr>
                          <w:t>-</w:t>
                        </w:r>
                      </w:p>
                    </w:tc>
                    <w:tc>
                      <w:tcPr>
                        <w:tcW w:w="912" w:type="dxa"/>
                      </w:tcPr>
                      <w:p>
                        <w:pPr>
                          <w:pStyle w:val="TableParagraph"/>
                          <w:spacing w:before="95"/>
                          <w:ind w:left="138" w:right="134"/>
                          <w:jc w:val="center"/>
                          <w:rPr>
                            <w:sz w:val="16"/>
                          </w:rPr>
                        </w:pPr>
                        <w:r>
                          <w:rPr>
                            <w:sz w:val="16"/>
                          </w:rPr>
                          <w:t>FAO</w:t>
                        </w:r>
                      </w:p>
                    </w:tc>
                  </w:tr>
                  <w:tr>
                    <w:trPr>
                      <w:trHeight w:val="275" w:hRule="atLeast"/>
                    </w:trPr>
                    <w:tc>
                      <w:tcPr>
                        <w:tcW w:w="1342" w:type="dxa"/>
                      </w:tcPr>
                      <w:p>
                        <w:pPr>
                          <w:pStyle w:val="TableParagraph"/>
                          <w:spacing w:before="37"/>
                          <w:ind w:left="55"/>
                          <w:rPr>
                            <w:sz w:val="16"/>
                          </w:rPr>
                        </w:pPr>
                        <w:r>
                          <w:rPr>
                            <w:sz w:val="16"/>
                          </w:rPr>
                          <w:t>Ukraine</w:t>
                        </w:r>
                      </w:p>
                    </w:tc>
                    <w:tc>
                      <w:tcPr>
                        <w:tcW w:w="1092" w:type="dxa"/>
                      </w:tcPr>
                      <w:p>
                        <w:pPr>
                          <w:pStyle w:val="TableParagraph"/>
                          <w:spacing w:before="37"/>
                          <w:ind w:left="143" w:right="136"/>
                          <w:jc w:val="center"/>
                          <w:rPr>
                            <w:sz w:val="16"/>
                          </w:rPr>
                        </w:pPr>
                        <w:r>
                          <w:rPr>
                            <w:sz w:val="16"/>
                          </w:rPr>
                          <w:t>179</w:t>
                        </w:r>
                      </w:p>
                    </w:tc>
                    <w:tc>
                      <w:tcPr>
                        <w:tcW w:w="1121" w:type="dxa"/>
                      </w:tcPr>
                      <w:p>
                        <w:pPr>
                          <w:pStyle w:val="TableParagraph"/>
                          <w:spacing w:before="37"/>
                          <w:ind w:left="11"/>
                          <w:jc w:val="center"/>
                          <w:rPr>
                            <w:sz w:val="16"/>
                          </w:rPr>
                        </w:pPr>
                        <w:r>
                          <w:rPr>
                            <w:w w:val="100"/>
                            <w:sz w:val="16"/>
                          </w:rPr>
                          <w:t>-</w:t>
                        </w:r>
                      </w:p>
                    </w:tc>
                    <w:tc>
                      <w:tcPr>
                        <w:tcW w:w="912" w:type="dxa"/>
                      </w:tcPr>
                      <w:p>
                        <w:pPr>
                          <w:pStyle w:val="TableParagraph"/>
                          <w:spacing w:before="37"/>
                          <w:ind w:left="138" w:right="134"/>
                          <w:jc w:val="center"/>
                          <w:rPr>
                            <w:sz w:val="16"/>
                          </w:rPr>
                        </w:pPr>
                        <w:r>
                          <w:rPr>
                            <w:sz w:val="16"/>
                          </w:rPr>
                          <w:t>FAO</w:t>
                        </w:r>
                      </w:p>
                    </w:tc>
                  </w:tr>
                  <w:tr>
                    <w:trPr>
                      <w:trHeight w:val="386" w:hRule="atLeast"/>
                    </w:trPr>
                    <w:tc>
                      <w:tcPr>
                        <w:tcW w:w="1342" w:type="dxa"/>
                      </w:tcPr>
                      <w:p>
                        <w:pPr>
                          <w:pStyle w:val="TableParagraph"/>
                          <w:spacing w:before="95"/>
                          <w:ind w:left="54"/>
                          <w:rPr>
                            <w:sz w:val="16"/>
                          </w:rPr>
                        </w:pPr>
                        <w:r>
                          <w:rPr>
                            <w:sz w:val="16"/>
                          </w:rPr>
                          <w:t>United Kingdom</w:t>
                        </w:r>
                      </w:p>
                    </w:tc>
                    <w:tc>
                      <w:tcPr>
                        <w:tcW w:w="1092" w:type="dxa"/>
                      </w:tcPr>
                      <w:p>
                        <w:pPr>
                          <w:pStyle w:val="TableParagraph"/>
                          <w:spacing w:before="95"/>
                          <w:ind w:left="143" w:right="136"/>
                          <w:jc w:val="center"/>
                          <w:rPr>
                            <w:sz w:val="16"/>
                          </w:rPr>
                        </w:pPr>
                        <w:r>
                          <w:rPr>
                            <w:sz w:val="16"/>
                          </w:rPr>
                          <w:t>128</w:t>
                        </w:r>
                      </w:p>
                    </w:tc>
                    <w:tc>
                      <w:tcPr>
                        <w:tcW w:w="1121" w:type="dxa"/>
                      </w:tcPr>
                      <w:p>
                        <w:pPr>
                          <w:pStyle w:val="TableParagraph"/>
                          <w:spacing w:before="95"/>
                          <w:ind w:left="56" w:right="45"/>
                          <w:jc w:val="center"/>
                          <w:rPr>
                            <w:sz w:val="16"/>
                          </w:rPr>
                        </w:pPr>
                        <w:r>
                          <w:rPr>
                            <w:sz w:val="16"/>
                          </w:rPr>
                          <w:t>76</w:t>
                        </w:r>
                      </w:p>
                    </w:tc>
                    <w:tc>
                      <w:tcPr>
                        <w:tcW w:w="912" w:type="dxa"/>
                      </w:tcPr>
                      <w:p>
                        <w:pPr>
                          <w:pStyle w:val="TableParagraph"/>
                          <w:spacing w:before="95"/>
                          <w:ind w:left="138" w:right="134"/>
                          <w:jc w:val="center"/>
                          <w:rPr>
                            <w:sz w:val="16"/>
                          </w:rPr>
                        </w:pPr>
                        <w:r>
                          <w:rPr>
                            <w:sz w:val="16"/>
                          </w:rPr>
                          <w:t>FAO</w:t>
                        </w:r>
                      </w:p>
                    </w:tc>
                  </w:tr>
                  <w:tr>
                    <w:trPr>
                      <w:trHeight w:val="388" w:hRule="atLeast"/>
                    </w:trPr>
                    <w:tc>
                      <w:tcPr>
                        <w:tcW w:w="1342" w:type="dxa"/>
                      </w:tcPr>
                      <w:p>
                        <w:pPr>
                          <w:pStyle w:val="TableParagraph"/>
                          <w:spacing w:before="95"/>
                          <w:ind w:left="54"/>
                          <w:rPr>
                            <w:sz w:val="16"/>
                          </w:rPr>
                        </w:pPr>
                        <w:r>
                          <w:rPr>
                            <w:sz w:val="16"/>
                          </w:rPr>
                          <w:t>Yugoslavia</w:t>
                        </w:r>
                      </w:p>
                    </w:tc>
                    <w:tc>
                      <w:tcPr>
                        <w:tcW w:w="1092" w:type="dxa"/>
                      </w:tcPr>
                      <w:p>
                        <w:pPr>
                          <w:pStyle w:val="TableParagraph"/>
                          <w:spacing w:before="95"/>
                          <w:ind w:left="144" w:right="136"/>
                          <w:jc w:val="center"/>
                          <w:rPr>
                            <w:sz w:val="16"/>
                          </w:rPr>
                        </w:pPr>
                        <w:r>
                          <w:rPr>
                            <w:sz w:val="16"/>
                          </w:rPr>
                          <w:t>111</w:t>
                        </w:r>
                      </w:p>
                    </w:tc>
                    <w:tc>
                      <w:tcPr>
                        <w:tcW w:w="1121" w:type="dxa"/>
                      </w:tcPr>
                      <w:p>
                        <w:pPr>
                          <w:pStyle w:val="TableParagraph"/>
                          <w:spacing w:before="95"/>
                          <w:ind w:left="56" w:right="46"/>
                          <w:jc w:val="center"/>
                          <w:rPr>
                            <w:sz w:val="16"/>
                          </w:rPr>
                        </w:pPr>
                        <w:r>
                          <w:rPr>
                            <w:sz w:val="16"/>
                          </w:rPr>
                          <w:t>23</w:t>
                        </w:r>
                      </w:p>
                    </w:tc>
                    <w:tc>
                      <w:tcPr>
                        <w:tcW w:w="912" w:type="dxa"/>
                      </w:tcPr>
                      <w:p>
                        <w:pPr>
                          <w:pStyle w:val="TableParagraph"/>
                          <w:spacing w:before="95"/>
                          <w:ind w:left="138" w:right="134"/>
                          <w:jc w:val="center"/>
                          <w:rPr>
                            <w:sz w:val="16"/>
                          </w:rPr>
                        </w:pPr>
                        <w:r>
                          <w:rPr>
                            <w:sz w:val="16"/>
                          </w:rPr>
                          <w:t>FAO</w:t>
                        </w:r>
                      </w:p>
                    </w:tc>
                  </w:tr>
                  <w:tr>
                    <w:trPr>
                      <w:trHeight w:val="839" w:hRule="atLeast"/>
                    </w:trPr>
                    <w:tc>
                      <w:tcPr>
                        <w:tcW w:w="4467" w:type="dxa"/>
                        <w:gridSpan w:val="4"/>
                      </w:tcPr>
                      <w:p>
                        <w:pPr>
                          <w:pStyle w:val="TableParagraph"/>
                          <w:rPr>
                            <w:sz w:val="18"/>
                          </w:rPr>
                        </w:pPr>
                      </w:p>
                      <w:p>
                        <w:pPr>
                          <w:pStyle w:val="TableParagraph"/>
                          <w:spacing w:before="130"/>
                          <w:ind w:left="54" w:right="21"/>
                          <w:rPr>
                            <w:sz w:val="16"/>
                          </w:rPr>
                        </w:pPr>
                        <w:r>
                          <w:rPr>
                            <w:sz w:val="16"/>
                          </w:rPr>
                          <w:t>Information source: NI = National inventory; PI = Partial inventory; ES = Estimate; EX = External data (from other regions)</w:t>
                        </w:r>
                      </w:p>
                    </w:tc>
                  </w:tr>
                </w:tbl>
                <w:p>
                  <w:pPr>
                    <w:pStyle w:val="BodyText"/>
                  </w:pPr>
                </w:p>
              </w:txbxContent>
            </v:textbox>
            <w10:wrap type="none"/>
          </v:shape>
        </w:pict>
      </w:r>
      <w:r>
        <w:rPr/>
        <w:pict>
          <v:shape style="position:absolute;margin-left:71.320999pt;margin-top:451.799988pt;width:224.05pt;height:301pt;mso-position-horizontal-relative:page;mso-position-vertical-relative:page;z-index:1348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8"/>
                    <w:gridCol w:w="1092"/>
                    <w:gridCol w:w="1078"/>
                    <w:gridCol w:w="939"/>
                  </w:tblGrid>
                  <w:tr>
                    <w:trPr>
                      <w:trHeight w:val="2089" w:hRule="atLeast"/>
                    </w:trPr>
                    <w:tc>
                      <w:tcPr>
                        <w:tcW w:w="4467" w:type="dxa"/>
                        <w:gridSpan w:val="4"/>
                        <w:tcBorders>
                          <w:bottom w:val="double" w:sz="1" w:space="0" w:color="000000"/>
                        </w:tcBorders>
                      </w:tcPr>
                      <w:p>
                        <w:pPr>
                          <w:pStyle w:val="TableParagraph"/>
                          <w:spacing w:before="59"/>
                          <w:ind w:left="597" w:right="474" w:firstLine="614"/>
                          <w:rPr>
                            <w:b/>
                            <w:sz w:val="14"/>
                          </w:rPr>
                        </w:pPr>
                        <w:r>
                          <w:rPr>
                            <w:b/>
                            <w:sz w:val="18"/>
                          </w:rPr>
                          <w:t>T</w:t>
                        </w:r>
                        <w:r>
                          <w:rPr>
                            <w:b/>
                            <w:sz w:val="14"/>
                          </w:rPr>
                          <w:t>ABLE </w:t>
                        </w:r>
                        <w:r>
                          <w:rPr>
                            <w:b/>
                            <w:sz w:val="18"/>
                          </w:rPr>
                          <w:t>3A.1.4 (C</w:t>
                        </w:r>
                        <w:r>
                          <w:rPr>
                            <w:b/>
                            <w:sz w:val="14"/>
                          </w:rPr>
                          <w:t>ONTINUED</w:t>
                        </w:r>
                        <w:r>
                          <w:rPr>
                            <w:b/>
                            <w:sz w:val="18"/>
                          </w:rPr>
                          <w:t>) A</w:t>
                        </w:r>
                        <w:r>
                          <w:rPr>
                            <w:b/>
                            <w:sz w:val="14"/>
                          </w:rPr>
                          <w:t>VERAGE GROWING STOCK VOLUME </w:t>
                        </w:r>
                        <w:r>
                          <w:rPr>
                            <w:b/>
                            <w:sz w:val="18"/>
                          </w:rPr>
                          <w:t>(1) </w:t>
                        </w:r>
                        <w:r>
                          <w:rPr>
                            <w:b/>
                            <w:sz w:val="14"/>
                          </w:rPr>
                          <w:t>AND</w:t>
                        </w:r>
                      </w:p>
                      <w:p>
                        <w:pPr>
                          <w:pStyle w:val="TableParagraph"/>
                          <w:ind w:left="880" w:right="154" w:hanging="689"/>
                          <w:rPr>
                            <w:b/>
                            <w:sz w:val="18"/>
                          </w:rPr>
                        </w:pPr>
                        <w:r>
                          <w:rPr>
                            <w:b/>
                            <w:sz w:val="14"/>
                          </w:rPr>
                          <w:t>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90"/>
                          </w:numPr>
                          <w:tabs>
                            <w:tab w:pos="495" w:val="left" w:leader="none"/>
                          </w:tabs>
                          <w:spacing w:line="201" w:lineRule="exact" w:before="0" w:after="0"/>
                          <w:ind w:left="494" w:right="0" w:hanging="257"/>
                          <w:jc w:val="left"/>
                          <w:rPr>
                            <w:sz w:val="18"/>
                          </w:rPr>
                        </w:pPr>
                        <w:r>
                          <w:rPr>
                            <w:sz w:val="18"/>
                          </w:rPr>
                          <w:t>To be used for V in Equation</w:t>
                        </w:r>
                        <w:r>
                          <w:rPr>
                            <w:spacing w:val="-7"/>
                            <w:sz w:val="18"/>
                          </w:rPr>
                          <w:t> </w:t>
                        </w:r>
                        <w:r>
                          <w:rPr>
                            <w:sz w:val="18"/>
                          </w:rPr>
                          <w:t>3.2.3.</w:t>
                        </w:r>
                      </w:p>
                      <w:p>
                        <w:pPr>
                          <w:pStyle w:val="TableParagraph"/>
                          <w:numPr>
                            <w:ilvl w:val="0"/>
                            <w:numId w:val="90"/>
                          </w:numPr>
                          <w:tabs>
                            <w:tab w:pos="495" w:val="left" w:leader="none"/>
                          </w:tabs>
                          <w:spacing w:line="240" w:lineRule="auto" w:before="0" w:after="0"/>
                          <w:ind w:left="494" w:right="22" w:hanging="257"/>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3" w:hRule="atLeast"/>
                    </w:trPr>
                    <w:tc>
                      <w:tcPr>
                        <w:tcW w:w="4467" w:type="dxa"/>
                        <w:gridSpan w:val="4"/>
                        <w:tcBorders>
                          <w:top w:val="double" w:sz="1" w:space="0" w:color="000000"/>
                        </w:tcBorders>
                      </w:tcPr>
                      <w:p>
                        <w:pPr>
                          <w:pStyle w:val="TableParagraph"/>
                          <w:spacing w:before="23"/>
                          <w:ind w:left="57"/>
                          <w:rPr>
                            <w:b/>
                            <w:sz w:val="18"/>
                          </w:rPr>
                        </w:pPr>
                        <w:r>
                          <w:rPr>
                            <w:b/>
                            <w:sz w:val="18"/>
                          </w:rPr>
                          <w:t>d. EUROPE</w:t>
                        </w:r>
                      </w:p>
                    </w:tc>
                  </w:tr>
                  <w:tr>
                    <w:trPr>
                      <w:trHeight w:val="722" w:hRule="atLeast"/>
                    </w:trPr>
                    <w:tc>
                      <w:tcPr>
                        <w:tcW w:w="1358" w:type="dxa"/>
                      </w:tcPr>
                      <w:p>
                        <w:pPr>
                          <w:pStyle w:val="TableParagraph"/>
                          <w:spacing w:before="7"/>
                          <w:rPr>
                            <w:sz w:val="22"/>
                          </w:rPr>
                        </w:pPr>
                      </w:p>
                      <w:p>
                        <w:pPr>
                          <w:pStyle w:val="TableParagraph"/>
                          <w:spacing w:before="1"/>
                          <w:ind w:left="57"/>
                          <w:rPr>
                            <w:b/>
                            <w:sz w:val="16"/>
                          </w:rPr>
                        </w:pPr>
                        <w:r>
                          <w:rPr>
                            <w:b/>
                            <w:sz w:val="16"/>
                          </w:rPr>
                          <w:t>Country</w:t>
                        </w:r>
                      </w:p>
                    </w:tc>
                    <w:tc>
                      <w:tcPr>
                        <w:tcW w:w="1092" w:type="dxa"/>
                      </w:tcPr>
                      <w:p>
                        <w:pPr>
                          <w:pStyle w:val="TableParagraph"/>
                          <w:spacing w:before="76"/>
                          <w:ind w:left="43" w:right="31" w:firstLine="2"/>
                          <w:jc w:val="center"/>
                          <w:rPr>
                            <w:b/>
                            <w:sz w:val="16"/>
                          </w:rPr>
                        </w:pPr>
                        <w:r>
                          <w:rPr>
                            <w:b/>
                            <w:sz w:val="16"/>
                          </w:rPr>
                          <w:t>Volume (aboveground) m</w:t>
                        </w:r>
                        <w:r>
                          <w:rPr>
                            <w:b/>
                            <w:sz w:val="16"/>
                            <w:vertAlign w:val="superscript"/>
                          </w:rPr>
                          <w:t>3</w:t>
                        </w:r>
                        <w:r>
                          <w:rPr>
                            <w:b/>
                            <w:sz w:val="16"/>
                            <w:vertAlign w:val="baseline"/>
                          </w:rPr>
                          <w:t> / ha</w:t>
                        </w:r>
                      </w:p>
                    </w:tc>
                    <w:tc>
                      <w:tcPr>
                        <w:tcW w:w="1078" w:type="dxa"/>
                      </w:tcPr>
                      <w:p>
                        <w:pPr>
                          <w:pStyle w:val="TableParagraph"/>
                          <w:spacing w:before="76"/>
                          <w:ind w:left="36" w:right="24"/>
                          <w:jc w:val="center"/>
                          <w:rPr>
                            <w:b/>
                            <w:sz w:val="16"/>
                          </w:rPr>
                        </w:pPr>
                        <w:r>
                          <w:rPr>
                            <w:b/>
                            <w:sz w:val="16"/>
                          </w:rPr>
                          <w:t>Biomass (aboveground) t / ha</w:t>
                        </w:r>
                      </w:p>
                    </w:tc>
                    <w:tc>
                      <w:tcPr>
                        <w:tcW w:w="939" w:type="dxa"/>
                      </w:tcPr>
                      <w:p>
                        <w:pPr>
                          <w:pStyle w:val="TableParagraph"/>
                          <w:spacing w:before="76"/>
                          <w:ind w:left="230" w:right="216" w:firstLine="33"/>
                          <w:jc w:val="both"/>
                          <w:rPr>
                            <w:b/>
                            <w:sz w:val="16"/>
                          </w:rPr>
                        </w:pPr>
                        <w:r>
                          <w:rPr>
                            <w:b/>
                            <w:sz w:val="16"/>
                          </w:rPr>
                          <w:t>Infor- mation Source</w:t>
                        </w:r>
                      </w:p>
                    </w:tc>
                  </w:tr>
                  <w:tr>
                    <w:trPr>
                      <w:trHeight w:val="275" w:hRule="atLeast"/>
                    </w:trPr>
                    <w:tc>
                      <w:tcPr>
                        <w:tcW w:w="1358" w:type="dxa"/>
                      </w:tcPr>
                      <w:p>
                        <w:pPr>
                          <w:pStyle w:val="TableParagraph"/>
                          <w:spacing w:before="37"/>
                          <w:ind w:left="57"/>
                          <w:rPr>
                            <w:sz w:val="16"/>
                          </w:rPr>
                        </w:pPr>
                        <w:r>
                          <w:rPr>
                            <w:sz w:val="16"/>
                          </w:rPr>
                          <w:t>Albania</w:t>
                        </w:r>
                      </w:p>
                    </w:tc>
                    <w:tc>
                      <w:tcPr>
                        <w:tcW w:w="1092" w:type="dxa"/>
                      </w:tcPr>
                      <w:p>
                        <w:pPr>
                          <w:pStyle w:val="TableParagraph"/>
                          <w:spacing w:before="37"/>
                          <w:ind w:left="150" w:right="136"/>
                          <w:jc w:val="center"/>
                          <w:rPr>
                            <w:sz w:val="16"/>
                          </w:rPr>
                        </w:pPr>
                        <w:r>
                          <w:rPr>
                            <w:sz w:val="16"/>
                          </w:rPr>
                          <w:t>81</w:t>
                        </w:r>
                      </w:p>
                    </w:tc>
                    <w:tc>
                      <w:tcPr>
                        <w:tcW w:w="1078" w:type="dxa"/>
                      </w:tcPr>
                      <w:p>
                        <w:pPr>
                          <w:pStyle w:val="TableParagraph"/>
                          <w:spacing w:before="37"/>
                          <w:ind w:left="459"/>
                          <w:rPr>
                            <w:sz w:val="16"/>
                          </w:rPr>
                        </w:pPr>
                        <w:r>
                          <w:rPr>
                            <w:sz w:val="16"/>
                          </w:rPr>
                          <w:t>58</w:t>
                        </w:r>
                      </w:p>
                    </w:tc>
                    <w:tc>
                      <w:tcPr>
                        <w:tcW w:w="939" w:type="dxa"/>
                      </w:tcPr>
                      <w:p>
                        <w:pPr>
                          <w:pStyle w:val="TableParagraph"/>
                          <w:spacing w:before="37"/>
                          <w:ind w:left="289" w:right="276"/>
                          <w:jc w:val="center"/>
                          <w:rPr>
                            <w:sz w:val="16"/>
                          </w:rPr>
                        </w:pPr>
                        <w:r>
                          <w:rPr>
                            <w:sz w:val="16"/>
                          </w:rPr>
                          <w:t>FAO</w:t>
                        </w:r>
                      </w:p>
                    </w:tc>
                  </w:tr>
                  <w:tr>
                    <w:trPr>
                      <w:trHeight w:val="273" w:hRule="atLeast"/>
                    </w:trPr>
                    <w:tc>
                      <w:tcPr>
                        <w:tcW w:w="1358" w:type="dxa"/>
                      </w:tcPr>
                      <w:p>
                        <w:pPr>
                          <w:pStyle w:val="TableParagraph"/>
                          <w:spacing w:before="37"/>
                          <w:ind w:left="57"/>
                          <w:rPr>
                            <w:sz w:val="16"/>
                          </w:rPr>
                        </w:pPr>
                        <w:r>
                          <w:rPr>
                            <w:sz w:val="16"/>
                          </w:rPr>
                          <w:t>Andorra</w:t>
                        </w:r>
                      </w:p>
                    </w:tc>
                    <w:tc>
                      <w:tcPr>
                        <w:tcW w:w="1092" w:type="dxa"/>
                      </w:tcPr>
                      <w:p>
                        <w:pPr>
                          <w:pStyle w:val="TableParagraph"/>
                          <w:spacing w:before="37"/>
                          <w:ind w:left="12"/>
                          <w:jc w:val="center"/>
                          <w:rPr>
                            <w:sz w:val="16"/>
                          </w:rPr>
                        </w:pPr>
                        <w:r>
                          <w:rPr>
                            <w:w w:val="100"/>
                            <w:sz w:val="16"/>
                          </w:rPr>
                          <w:t>0</w:t>
                        </w:r>
                      </w:p>
                    </w:tc>
                    <w:tc>
                      <w:tcPr>
                        <w:tcW w:w="1078" w:type="dxa"/>
                      </w:tcPr>
                      <w:p>
                        <w:pPr>
                          <w:pStyle w:val="TableParagraph"/>
                          <w:spacing w:before="37"/>
                          <w:ind w:left="499"/>
                          <w:rPr>
                            <w:sz w:val="16"/>
                          </w:rPr>
                        </w:pPr>
                        <w:r>
                          <w:rPr>
                            <w:w w:val="100"/>
                            <w:sz w:val="16"/>
                          </w:rPr>
                          <w:t>0</w:t>
                        </w:r>
                      </w:p>
                    </w:tc>
                    <w:tc>
                      <w:tcPr>
                        <w:tcW w:w="939" w:type="dxa"/>
                      </w:tcPr>
                      <w:p>
                        <w:pPr>
                          <w:pStyle w:val="TableParagraph"/>
                          <w:spacing w:before="37"/>
                          <w:ind w:left="289" w:right="277"/>
                          <w:jc w:val="center"/>
                          <w:rPr>
                            <w:sz w:val="16"/>
                          </w:rPr>
                        </w:pPr>
                        <w:r>
                          <w:rPr>
                            <w:sz w:val="16"/>
                          </w:rPr>
                          <w:t>FAO</w:t>
                        </w:r>
                      </w:p>
                    </w:tc>
                  </w:tr>
                  <w:tr>
                    <w:trPr>
                      <w:trHeight w:val="386" w:hRule="atLeast"/>
                    </w:trPr>
                    <w:tc>
                      <w:tcPr>
                        <w:tcW w:w="1358" w:type="dxa"/>
                      </w:tcPr>
                      <w:p>
                        <w:pPr>
                          <w:pStyle w:val="TableParagraph"/>
                          <w:spacing w:before="95"/>
                          <w:ind w:left="57"/>
                          <w:rPr>
                            <w:sz w:val="16"/>
                          </w:rPr>
                        </w:pPr>
                        <w:r>
                          <w:rPr>
                            <w:sz w:val="16"/>
                          </w:rPr>
                          <w:t>Austria</w:t>
                        </w:r>
                      </w:p>
                    </w:tc>
                    <w:tc>
                      <w:tcPr>
                        <w:tcW w:w="1092" w:type="dxa"/>
                      </w:tcPr>
                      <w:p>
                        <w:pPr>
                          <w:pStyle w:val="TableParagraph"/>
                          <w:spacing w:before="95"/>
                          <w:ind w:left="146" w:right="136"/>
                          <w:jc w:val="center"/>
                          <w:rPr>
                            <w:sz w:val="16"/>
                          </w:rPr>
                        </w:pPr>
                        <w:r>
                          <w:rPr>
                            <w:sz w:val="16"/>
                          </w:rPr>
                          <w:t>286</w:t>
                        </w:r>
                      </w:p>
                    </w:tc>
                    <w:tc>
                      <w:tcPr>
                        <w:tcW w:w="1078" w:type="dxa"/>
                      </w:tcPr>
                      <w:p>
                        <w:pPr>
                          <w:pStyle w:val="TableParagraph"/>
                          <w:spacing w:before="95"/>
                          <w:ind w:left="418"/>
                          <w:rPr>
                            <w:sz w:val="16"/>
                          </w:rPr>
                        </w:pPr>
                        <w:r>
                          <w:rPr>
                            <w:sz w:val="16"/>
                          </w:rPr>
                          <w:t>250</w:t>
                        </w:r>
                      </w:p>
                    </w:tc>
                    <w:tc>
                      <w:tcPr>
                        <w:tcW w:w="939" w:type="dxa"/>
                      </w:tcPr>
                      <w:p>
                        <w:pPr>
                          <w:pStyle w:val="TableParagraph"/>
                          <w:spacing w:before="95"/>
                          <w:ind w:left="289" w:right="277"/>
                          <w:jc w:val="center"/>
                          <w:rPr>
                            <w:sz w:val="16"/>
                          </w:rPr>
                        </w:pPr>
                        <w:r>
                          <w:rPr>
                            <w:sz w:val="16"/>
                          </w:rPr>
                          <w:t>FAO</w:t>
                        </w:r>
                      </w:p>
                    </w:tc>
                  </w:tr>
                  <w:tr>
                    <w:trPr>
                      <w:trHeight w:val="275" w:hRule="atLeast"/>
                    </w:trPr>
                    <w:tc>
                      <w:tcPr>
                        <w:tcW w:w="1358" w:type="dxa"/>
                      </w:tcPr>
                      <w:p>
                        <w:pPr>
                          <w:pStyle w:val="TableParagraph"/>
                          <w:spacing w:before="37"/>
                          <w:ind w:left="57"/>
                          <w:rPr>
                            <w:sz w:val="16"/>
                          </w:rPr>
                        </w:pPr>
                        <w:r>
                          <w:rPr>
                            <w:sz w:val="16"/>
                          </w:rPr>
                          <w:t>Belarus</w:t>
                        </w:r>
                      </w:p>
                    </w:tc>
                    <w:tc>
                      <w:tcPr>
                        <w:tcW w:w="1092" w:type="dxa"/>
                      </w:tcPr>
                      <w:p>
                        <w:pPr>
                          <w:pStyle w:val="TableParagraph"/>
                          <w:spacing w:before="37"/>
                          <w:ind w:left="145" w:right="136"/>
                          <w:jc w:val="center"/>
                          <w:rPr>
                            <w:sz w:val="16"/>
                          </w:rPr>
                        </w:pPr>
                        <w:r>
                          <w:rPr>
                            <w:sz w:val="16"/>
                          </w:rPr>
                          <w:t>153</w:t>
                        </w:r>
                      </w:p>
                    </w:tc>
                    <w:tc>
                      <w:tcPr>
                        <w:tcW w:w="1078" w:type="dxa"/>
                      </w:tcPr>
                      <w:p>
                        <w:pPr>
                          <w:pStyle w:val="TableParagraph"/>
                          <w:spacing w:before="37"/>
                          <w:ind w:left="458"/>
                          <w:rPr>
                            <w:sz w:val="16"/>
                          </w:rPr>
                        </w:pPr>
                        <w:r>
                          <w:rPr>
                            <w:sz w:val="16"/>
                          </w:rPr>
                          <w:t>80</w:t>
                        </w:r>
                      </w:p>
                    </w:tc>
                    <w:tc>
                      <w:tcPr>
                        <w:tcW w:w="939" w:type="dxa"/>
                      </w:tcPr>
                      <w:p>
                        <w:pPr>
                          <w:pStyle w:val="TableParagraph"/>
                          <w:spacing w:before="37"/>
                          <w:ind w:left="289" w:right="277"/>
                          <w:jc w:val="center"/>
                          <w:rPr>
                            <w:sz w:val="16"/>
                          </w:rPr>
                        </w:pPr>
                        <w:r>
                          <w:rPr>
                            <w:sz w:val="16"/>
                          </w:rPr>
                          <w:t>FAO</w:t>
                        </w:r>
                      </w:p>
                    </w:tc>
                  </w:tr>
                  <w:tr>
                    <w:trPr>
                      <w:trHeight w:val="386" w:hRule="atLeast"/>
                    </w:trPr>
                    <w:tc>
                      <w:tcPr>
                        <w:tcW w:w="1358" w:type="dxa"/>
                      </w:tcPr>
                      <w:p>
                        <w:pPr>
                          <w:pStyle w:val="TableParagraph"/>
                          <w:spacing w:line="182" w:lineRule="exact" w:before="7"/>
                          <w:ind w:left="57" w:right="444"/>
                          <w:rPr>
                            <w:sz w:val="16"/>
                          </w:rPr>
                        </w:pPr>
                        <w:r>
                          <w:rPr>
                            <w:sz w:val="16"/>
                          </w:rPr>
                          <w:t>Belgium &amp; Luxembourg</w:t>
                        </w:r>
                      </w:p>
                    </w:tc>
                    <w:tc>
                      <w:tcPr>
                        <w:tcW w:w="1092" w:type="dxa"/>
                      </w:tcPr>
                      <w:p>
                        <w:pPr>
                          <w:pStyle w:val="TableParagraph"/>
                          <w:spacing w:before="95"/>
                          <w:ind w:left="145" w:right="136"/>
                          <w:jc w:val="center"/>
                          <w:rPr>
                            <w:sz w:val="16"/>
                          </w:rPr>
                        </w:pPr>
                        <w:r>
                          <w:rPr>
                            <w:sz w:val="16"/>
                          </w:rPr>
                          <w:t>218</w:t>
                        </w:r>
                      </w:p>
                    </w:tc>
                    <w:tc>
                      <w:tcPr>
                        <w:tcW w:w="1078" w:type="dxa"/>
                      </w:tcPr>
                      <w:p>
                        <w:pPr>
                          <w:pStyle w:val="TableParagraph"/>
                          <w:spacing w:before="95"/>
                          <w:ind w:left="417"/>
                          <w:rPr>
                            <w:sz w:val="16"/>
                          </w:rPr>
                        </w:pPr>
                        <w:r>
                          <w:rPr>
                            <w:sz w:val="16"/>
                          </w:rPr>
                          <w:t>101</w:t>
                        </w:r>
                      </w:p>
                    </w:tc>
                    <w:tc>
                      <w:tcPr>
                        <w:tcW w:w="939" w:type="dxa"/>
                      </w:tcPr>
                      <w:p>
                        <w:pPr>
                          <w:pStyle w:val="TableParagraph"/>
                          <w:spacing w:before="95"/>
                          <w:ind w:left="288" w:right="277"/>
                          <w:jc w:val="center"/>
                          <w:rPr>
                            <w:sz w:val="16"/>
                          </w:rPr>
                        </w:pPr>
                        <w:r>
                          <w:rPr>
                            <w:sz w:val="16"/>
                          </w:rPr>
                          <w:t>FAO</w:t>
                        </w:r>
                      </w:p>
                    </w:tc>
                  </w:tr>
                  <w:tr>
                    <w:trPr>
                      <w:trHeight w:val="388" w:hRule="atLeast"/>
                    </w:trPr>
                    <w:tc>
                      <w:tcPr>
                        <w:tcW w:w="1358" w:type="dxa"/>
                      </w:tcPr>
                      <w:p>
                        <w:pPr>
                          <w:pStyle w:val="TableParagraph"/>
                          <w:spacing w:line="180" w:lineRule="atLeast" w:before="4"/>
                          <w:ind w:left="57" w:right="453"/>
                          <w:rPr>
                            <w:sz w:val="16"/>
                          </w:rPr>
                        </w:pPr>
                        <w:r>
                          <w:rPr>
                            <w:sz w:val="16"/>
                          </w:rPr>
                          <w:t>Bosnia &amp; Herzegovina</w:t>
                        </w:r>
                      </w:p>
                    </w:tc>
                    <w:tc>
                      <w:tcPr>
                        <w:tcW w:w="1092" w:type="dxa"/>
                      </w:tcPr>
                      <w:p>
                        <w:pPr>
                          <w:pStyle w:val="TableParagraph"/>
                          <w:spacing w:before="95"/>
                          <w:ind w:left="145" w:right="136"/>
                          <w:jc w:val="center"/>
                          <w:rPr>
                            <w:sz w:val="16"/>
                          </w:rPr>
                        </w:pPr>
                        <w:r>
                          <w:rPr>
                            <w:sz w:val="16"/>
                          </w:rPr>
                          <w:t>110</w:t>
                        </w:r>
                      </w:p>
                    </w:tc>
                    <w:tc>
                      <w:tcPr>
                        <w:tcW w:w="1078" w:type="dxa"/>
                      </w:tcPr>
                      <w:p>
                        <w:pPr>
                          <w:pStyle w:val="TableParagraph"/>
                          <w:spacing w:before="95"/>
                          <w:ind w:left="513"/>
                          <w:rPr>
                            <w:sz w:val="16"/>
                          </w:rPr>
                        </w:pPr>
                        <w:r>
                          <w:rPr>
                            <w:w w:val="100"/>
                            <w:sz w:val="16"/>
                          </w:rPr>
                          <w:t>-</w:t>
                        </w:r>
                      </w:p>
                    </w:tc>
                    <w:tc>
                      <w:tcPr>
                        <w:tcW w:w="939" w:type="dxa"/>
                      </w:tcPr>
                      <w:p>
                        <w:pPr>
                          <w:pStyle w:val="TableParagraph"/>
                          <w:spacing w:before="95"/>
                          <w:ind w:left="288" w:right="277"/>
                          <w:jc w:val="center"/>
                          <w:rPr>
                            <w:sz w:val="16"/>
                          </w:rPr>
                        </w:pPr>
                        <w:r>
                          <w:rPr>
                            <w:sz w:val="16"/>
                          </w:rPr>
                          <w:t>FAO</w:t>
                        </w:r>
                      </w:p>
                    </w:tc>
                  </w:tr>
                  <w:tr>
                    <w:trPr>
                      <w:trHeight w:val="273" w:hRule="atLeast"/>
                    </w:trPr>
                    <w:tc>
                      <w:tcPr>
                        <w:tcW w:w="1358" w:type="dxa"/>
                      </w:tcPr>
                      <w:p>
                        <w:pPr>
                          <w:pStyle w:val="TableParagraph"/>
                          <w:spacing w:before="37"/>
                          <w:ind w:left="57"/>
                          <w:rPr>
                            <w:sz w:val="16"/>
                          </w:rPr>
                        </w:pPr>
                        <w:r>
                          <w:rPr>
                            <w:sz w:val="16"/>
                          </w:rPr>
                          <w:t>Bulgaria</w:t>
                        </w:r>
                      </w:p>
                    </w:tc>
                    <w:tc>
                      <w:tcPr>
                        <w:tcW w:w="1092" w:type="dxa"/>
                      </w:tcPr>
                      <w:p>
                        <w:pPr>
                          <w:pStyle w:val="TableParagraph"/>
                          <w:spacing w:before="37"/>
                          <w:ind w:left="147" w:right="136"/>
                          <w:jc w:val="center"/>
                          <w:rPr>
                            <w:sz w:val="16"/>
                          </w:rPr>
                        </w:pPr>
                        <w:r>
                          <w:rPr>
                            <w:sz w:val="16"/>
                          </w:rPr>
                          <w:t>130</w:t>
                        </w:r>
                      </w:p>
                    </w:tc>
                    <w:tc>
                      <w:tcPr>
                        <w:tcW w:w="1078" w:type="dxa"/>
                      </w:tcPr>
                      <w:p>
                        <w:pPr>
                          <w:pStyle w:val="TableParagraph"/>
                          <w:spacing w:before="37"/>
                          <w:ind w:left="459"/>
                          <w:rPr>
                            <w:sz w:val="16"/>
                          </w:rPr>
                        </w:pPr>
                        <w:r>
                          <w:rPr>
                            <w:sz w:val="16"/>
                          </w:rPr>
                          <w:t>76</w:t>
                        </w:r>
                      </w:p>
                    </w:tc>
                    <w:tc>
                      <w:tcPr>
                        <w:tcW w:w="939" w:type="dxa"/>
                      </w:tcPr>
                      <w:p>
                        <w:pPr>
                          <w:pStyle w:val="TableParagraph"/>
                          <w:spacing w:before="37"/>
                          <w:ind w:left="289" w:right="277"/>
                          <w:jc w:val="center"/>
                          <w:rPr>
                            <w:sz w:val="16"/>
                          </w:rPr>
                        </w:pPr>
                        <w:r>
                          <w:rPr>
                            <w:sz w:val="16"/>
                          </w:rPr>
                          <w:t>FAO</w:t>
                        </w:r>
                      </w:p>
                    </w:tc>
                  </w:tr>
                  <w:tr>
                    <w:trPr>
                      <w:trHeight w:val="556" w:hRule="atLeast"/>
                    </w:trPr>
                    <w:tc>
                      <w:tcPr>
                        <w:tcW w:w="4467" w:type="dxa"/>
                        <w:gridSpan w:val="4"/>
                      </w:tcPr>
                      <w:p>
                        <w:pPr>
                          <w:pStyle w:val="TableParagraph"/>
                          <w:spacing w:before="54"/>
                          <w:ind w:left="57" w:right="18"/>
                          <w:rPr>
                            <w:sz w:val="16"/>
                          </w:rPr>
                        </w:pPr>
                        <w:r>
                          <w:rPr>
                            <w:sz w:val="16"/>
                          </w:rPr>
                          <w:t>Information source: NI = National inventory; PI = Partial inventory; ES = Estimate; EX = External data (from other regions)</w:t>
                        </w:r>
                      </w:p>
                    </w:tc>
                  </w:tr>
                </w:tbl>
                <w:p>
                  <w:pPr>
                    <w:pStyle w:val="BodyText"/>
                  </w:pPr>
                </w:p>
              </w:txbxContent>
            </v:textbox>
            <w10:wrap type="none"/>
          </v:shape>
        </w:pict>
      </w:r>
    </w:p>
    <w:p>
      <w:pPr>
        <w:spacing w:after="0"/>
        <w:rPr>
          <w:sz w:val="17"/>
        </w:rPr>
        <w:sectPr>
          <w:pgSz w:w="11900" w:h="16840"/>
          <w:pgMar w:header="230" w:footer="408" w:top="560" w:bottom="600" w:left="1200" w:right="1140"/>
        </w:sectPr>
      </w:pPr>
    </w:p>
    <w:p>
      <w:pPr>
        <w:pStyle w:val="BodyText"/>
        <w:spacing w:before="4"/>
        <w:rPr>
          <w:sz w:val="17"/>
        </w:rPr>
      </w:pPr>
      <w:r>
        <w:rPr/>
        <w:pict>
          <v:shape style="position:absolute;margin-left:72.161003pt;margin-top:83.760002pt;width:223.3pt;height:671.05pt;mso-position-horizontal-relative:page;mso-position-vertical-relative:page;z-index:13504"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2"/>
                    <w:gridCol w:w="1214"/>
                    <w:gridCol w:w="1212"/>
                    <w:gridCol w:w="810"/>
                  </w:tblGrid>
                  <w:tr>
                    <w:trPr>
                      <w:trHeight w:val="2281" w:hRule="atLeast"/>
                    </w:trPr>
                    <w:tc>
                      <w:tcPr>
                        <w:tcW w:w="4448" w:type="dxa"/>
                        <w:gridSpan w:val="4"/>
                        <w:tcBorders>
                          <w:bottom w:val="double" w:sz="1" w:space="0" w:color="000000"/>
                          <w:right w:val="single" w:sz="6" w:space="0" w:color="000000"/>
                        </w:tcBorders>
                      </w:tcPr>
                      <w:p>
                        <w:pPr>
                          <w:pStyle w:val="TableParagraph"/>
                          <w:spacing w:before="59"/>
                          <w:ind w:left="575" w:right="461" w:firstLine="614"/>
                          <w:rPr>
                            <w:b/>
                            <w:sz w:val="14"/>
                          </w:rPr>
                        </w:pPr>
                        <w:r>
                          <w:rPr>
                            <w:b/>
                            <w:sz w:val="18"/>
                          </w:rPr>
                          <w:t>T</w:t>
                        </w:r>
                        <w:r>
                          <w:rPr>
                            <w:b/>
                            <w:sz w:val="14"/>
                          </w:rPr>
                          <w:t>ABLE </w:t>
                        </w:r>
                        <w:r>
                          <w:rPr>
                            <w:b/>
                            <w:sz w:val="18"/>
                          </w:rPr>
                          <w:t>3A.1.4 (C</w:t>
                        </w:r>
                        <w:r>
                          <w:rPr>
                            <w:b/>
                            <w:sz w:val="14"/>
                          </w:rPr>
                          <w:t>ONTINUED</w:t>
                        </w:r>
                        <w:r>
                          <w:rPr>
                            <w:b/>
                            <w:sz w:val="18"/>
                          </w:rPr>
                          <w:t>) A</w:t>
                        </w:r>
                        <w:r>
                          <w:rPr>
                            <w:b/>
                            <w:sz w:val="14"/>
                          </w:rPr>
                          <w:t>VERAGE GROWING STOCK VOLUME </w:t>
                        </w:r>
                        <w:r>
                          <w:rPr>
                            <w:b/>
                            <w:sz w:val="18"/>
                          </w:rPr>
                          <w:t>(1) </w:t>
                        </w:r>
                        <w:r>
                          <w:rPr>
                            <w:b/>
                            <w:sz w:val="14"/>
                          </w:rPr>
                          <w:t>AND</w:t>
                        </w:r>
                      </w:p>
                      <w:p>
                        <w:pPr>
                          <w:pStyle w:val="TableParagraph"/>
                          <w:ind w:left="858" w:right="155" w:hanging="689"/>
                          <w:rPr>
                            <w:b/>
                            <w:sz w:val="18"/>
                          </w:rPr>
                        </w:pPr>
                        <w:r>
                          <w:rPr>
                            <w:b/>
                            <w:sz w:val="14"/>
                          </w:rPr>
                          <w:t>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91"/>
                          </w:numPr>
                          <w:tabs>
                            <w:tab w:pos="466" w:val="left" w:leader="none"/>
                          </w:tabs>
                          <w:spacing w:line="240" w:lineRule="auto" w:before="113" w:after="0"/>
                          <w:ind w:left="465" w:right="0" w:hanging="257"/>
                          <w:jc w:val="left"/>
                          <w:rPr>
                            <w:sz w:val="18"/>
                          </w:rPr>
                        </w:pPr>
                        <w:r>
                          <w:rPr>
                            <w:sz w:val="18"/>
                          </w:rPr>
                          <w:t>To be used for V in Equation</w:t>
                        </w:r>
                        <w:r>
                          <w:rPr>
                            <w:spacing w:val="-7"/>
                            <w:sz w:val="18"/>
                          </w:rPr>
                          <w:t> </w:t>
                        </w:r>
                        <w:r>
                          <w:rPr>
                            <w:sz w:val="18"/>
                          </w:rPr>
                          <w:t>3.2.3.</w:t>
                        </w:r>
                      </w:p>
                      <w:p>
                        <w:pPr>
                          <w:pStyle w:val="TableParagraph"/>
                          <w:numPr>
                            <w:ilvl w:val="0"/>
                            <w:numId w:val="91"/>
                          </w:numPr>
                          <w:tabs>
                            <w:tab w:pos="466" w:val="left" w:leader="none"/>
                          </w:tabs>
                          <w:spacing w:line="240" w:lineRule="auto" w:before="62" w:after="0"/>
                          <w:ind w:left="465" w:right="29" w:hanging="257"/>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3" w:hRule="atLeast"/>
                    </w:trPr>
                    <w:tc>
                      <w:tcPr>
                        <w:tcW w:w="4448" w:type="dxa"/>
                        <w:gridSpan w:val="4"/>
                        <w:tcBorders>
                          <w:top w:val="double" w:sz="1" w:space="0" w:color="000000"/>
                          <w:right w:val="single" w:sz="6" w:space="0" w:color="000000"/>
                        </w:tcBorders>
                      </w:tcPr>
                      <w:p>
                        <w:pPr>
                          <w:pStyle w:val="TableParagraph"/>
                          <w:spacing w:before="23"/>
                          <w:ind w:left="28"/>
                          <w:rPr>
                            <w:b/>
                            <w:sz w:val="18"/>
                          </w:rPr>
                        </w:pPr>
                        <w:r>
                          <w:rPr>
                            <w:b/>
                            <w:sz w:val="18"/>
                          </w:rPr>
                          <w:t>e. NORTH AND CENTRAL AMERICA</w:t>
                        </w:r>
                      </w:p>
                    </w:tc>
                  </w:tr>
                  <w:tr>
                    <w:trPr>
                      <w:trHeight w:val="777" w:hRule="atLeast"/>
                    </w:trPr>
                    <w:tc>
                      <w:tcPr>
                        <w:tcW w:w="1212" w:type="dxa"/>
                      </w:tcPr>
                      <w:p>
                        <w:pPr>
                          <w:pStyle w:val="TableParagraph"/>
                          <w:spacing w:before="8"/>
                          <w:rPr>
                            <w:sz w:val="19"/>
                          </w:rPr>
                        </w:pPr>
                      </w:p>
                      <w:p>
                        <w:pPr>
                          <w:pStyle w:val="TableParagraph"/>
                          <w:ind w:left="28"/>
                          <w:rPr>
                            <w:b/>
                            <w:sz w:val="16"/>
                          </w:rPr>
                        </w:pPr>
                        <w:r>
                          <w:rPr>
                            <w:b/>
                            <w:sz w:val="16"/>
                          </w:rPr>
                          <w:t>Country</w:t>
                        </w:r>
                      </w:p>
                    </w:tc>
                    <w:tc>
                      <w:tcPr>
                        <w:tcW w:w="1214" w:type="dxa"/>
                      </w:tcPr>
                      <w:p>
                        <w:pPr>
                          <w:pStyle w:val="TableParagraph"/>
                          <w:ind w:left="105" w:right="74" w:firstLine="235"/>
                          <w:rPr>
                            <w:b/>
                            <w:sz w:val="16"/>
                          </w:rPr>
                        </w:pPr>
                        <w:r>
                          <w:rPr>
                            <w:b/>
                            <w:sz w:val="16"/>
                          </w:rPr>
                          <w:t>Volume (aboveground)</w:t>
                        </w:r>
                      </w:p>
                      <w:p>
                        <w:pPr>
                          <w:pStyle w:val="TableParagraph"/>
                          <w:spacing w:before="133"/>
                          <w:ind w:left="369"/>
                          <w:rPr>
                            <w:b/>
                            <w:sz w:val="16"/>
                          </w:rPr>
                        </w:pPr>
                        <w:r>
                          <w:rPr>
                            <w:b/>
                            <w:sz w:val="16"/>
                          </w:rPr>
                          <w:t>m</w:t>
                        </w:r>
                        <w:r>
                          <w:rPr>
                            <w:b/>
                            <w:sz w:val="16"/>
                            <w:vertAlign w:val="superscript"/>
                          </w:rPr>
                          <w:t>3</w:t>
                        </w:r>
                        <w:r>
                          <w:rPr>
                            <w:b/>
                            <w:sz w:val="16"/>
                            <w:vertAlign w:val="baseline"/>
                          </w:rPr>
                          <w:t> / ha</w:t>
                        </w:r>
                      </w:p>
                    </w:tc>
                    <w:tc>
                      <w:tcPr>
                        <w:tcW w:w="1212" w:type="dxa"/>
                      </w:tcPr>
                      <w:p>
                        <w:pPr>
                          <w:pStyle w:val="TableParagraph"/>
                          <w:ind w:left="99" w:right="92"/>
                          <w:jc w:val="center"/>
                          <w:rPr>
                            <w:b/>
                            <w:sz w:val="16"/>
                          </w:rPr>
                        </w:pPr>
                        <w:r>
                          <w:rPr>
                            <w:b/>
                            <w:sz w:val="16"/>
                          </w:rPr>
                          <w:t>Biomass (aboveground)</w:t>
                        </w:r>
                      </w:p>
                      <w:p>
                        <w:pPr>
                          <w:pStyle w:val="TableParagraph"/>
                          <w:spacing w:before="133"/>
                          <w:ind w:left="96" w:right="92"/>
                          <w:jc w:val="center"/>
                          <w:rPr>
                            <w:b/>
                            <w:sz w:val="16"/>
                          </w:rPr>
                        </w:pPr>
                        <w:r>
                          <w:rPr>
                            <w:b/>
                            <w:sz w:val="16"/>
                          </w:rPr>
                          <w:t>t / ha</w:t>
                        </w:r>
                      </w:p>
                    </w:tc>
                    <w:tc>
                      <w:tcPr>
                        <w:tcW w:w="810" w:type="dxa"/>
                        <w:tcBorders>
                          <w:right w:val="single" w:sz="6" w:space="0" w:color="000000"/>
                        </w:tcBorders>
                      </w:tcPr>
                      <w:p>
                        <w:pPr>
                          <w:pStyle w:val="TableParagraph"/>
                          <w:ind w:left="165" w:right="138" w:firstLine="36"/>
                          <w:rPr>
                            <w:b/>
                            <w:sz w:val="16"/>
                          </w:rPr>
                        </w:pPr>
                        <w:r>
                          <w:rPr>
                            <w:b/>
                            <w:sz w:val="16"/>
                          </w:rPr>
                          <w:t>Infor- </w:t>
                        </w:r>
                        <w:r>
                          <w:rPr>
                            <w:b/>
                            <w:spacing w:val="-1"/>
                            <w:sz w:val="16"/>
                          </w:rPr>
                          <w:t>mation</w:t>
                        </w:r>
                      </w:p>
                      <w:p>
                        <w:pPr>
                          <w:pStyle w:val="TableParagraph"/>
                          <w:spacing w:before="133"/>
                          <w:ind w:left="170"/>
                          <w:rPr>
                            <w:b/>
                            <w:sz w:val="16"/>
                          </w:rPr>
                        </w:pPr>
                        <w:r>
                          <w:rPr>
                            <w:b/>
                            <w:sz w:val="16"/>
                          </w:rPr>
                          <w:t>Source</w:t>
                        </w:r>
                      </w:p>
                    </w:tc>
                  </w:tr>
                  <w:tr>
                    <w:trPr>
                      <w:trHeight w:val="443" w:hRule="atLeast"/>
                    </w:trPr>
                    <w:tc>
                      <w:tcPr>
                        <w:tcW w:w="1212" w:type="dxa"/>
                      </w:tcPr>
                      <w:p>
                        <w:pPr>
                          <w:pStyle w:val="TableParagraph"/>
                          <w:spacing w:before="54"/>
                          <w:ind w:left="54" w:right="341"/>
                          <w:rPr>
                            <w:sz w:val="16"/>
                          </w:rPr>
                        </w:pPr>
                        <w:r>
                          <w:rPr>
                            <w:sz w:val="16"/>
                          </w:rPr>
                          <w:t>Antigua and Barbuda</w:t>
                        </w:r>
                      </w:p>
                    </w:tc>
                    <w:tc>
                      <w:tcPr>
                        <w:tcW w:w="1214" w:type="dxa"/>
                      </w:tcPr>
                      <w:p>
                        <w:pPr>
                          <w:pStyle w:val="TableParagraph"/>
                          <w:spacing w:before="124"/>
                          <w:ind w:left="466" w:right="455"/>
                          <w:jc w:val="center"/>
                          <w:rPr>
                            <w:sz w:val="16"/>
                          </w:rPr>
                        </w:pPr>
                        <w:r>
                          <w:rPr>
                            <w:sz w:val="16"/>
                          </w:rPr>
                          <w:t>116</w:t>
                        </w:r>
                      </w:p>
                    </w:tc>
                    <w:tc>
                      <w:tcPr>
                        <w:tcW w:w="1212" w:type="dxa"/>
                      </w:tcPr>
                      <w:p>
                        <w:pPr>
                          <w:pStyle w:val="TableParagraph"/>
                          <w:spacing w:before="124"/>
                          <w:ind w:right="476"/>
                          <w:jc w:val="right"/>
                          <w:rPr>
                            <w:sz w:val="16"/>
                          </w:rPr>
                        </w:pPr>
                        <w:r>
                          <w:rPr>
                            <w:sz w:val="16"/>
                          </w:rPr>
                          <w:t>210</w:t>
                        </w:r>
                      </w:p>
                    </w:tc>
                    <w:tc>
                      <w:tcPr>
                        <w:tcW w:w="810" w:type="dxa"/>
                        <w:tcBorders>
                          <w:right w:val="single" w:sz="6" w:space="0" w:color="000000"/>
                        </w:tcBorders>
                      </w:tcPr>
                      <w:p>
                        <w:pPr>
                          <w:pStyle w:val="TableParagraph"/>
                          <w:spacing w:before="124"/>
                          <w:ind w:left="225" w:right="211"/>
                          <w:jc w:val="center"/>
                          <w:rPr>
                            <w:sz w:val="16"/>
                          </w:rPr>
                        </w:pPr>
                        <w:r>
                          <w:rPr>
                            <w:sz w:val="16"/>
                          </w:rPr>
                          <w:t>ES</w:t>
                        </w:r>
                      </w:p>
                    </w:tc>
                  </w:tr>
                  <w:tr>
                    <w:trPr>
                      <w:trHeight w:val="446" w:hRule="atLeast"/>
                    </w:trPr>
                    <w:tc>
                      <w:tcPr>
                        <w:tcW w:w="1212" w:type="dxa"/>
                      </w:tcPr>
                      <w:p>
                        <w:pPr>
                          <w:pStyle w:val="TableParagraph"/>
                          <w:spacing w:before="124"/>
                          <w:ind w:left="54"/>
                          <w:rPr>
                            <w:sz w:val="16"/>
                          </w:rPr>
                        </w:pPr>
                        <w:r>
                          <w:rPr>
                            <w:sz w:val="16"/>
                          </w:rPr>
                          <w:t>Bahamas</w:t>
                        </w:r>
                      </w:p>
                    </w:tc>
                    <w:tc>
                      <w:tcPr>
                        <w:tcW w:w="1214" w:type="dxa"/>
                      </w:tcPr>
                      <w:p>
                        <w:pPr>
                          <w:pStyle w:val="TableParagraph"/>
                          <w:spacing w:before="124"/>
                          <w:ind w:left="9"/>
                          <w:jc w:val="center"/>
                          <w:rPr>
                            <w:sz w:val="16"/>
                          </w:rPr>
                        </w:pPr>
                        <w:r>
                          <w:rPr>
                            <w:w w:val="100"/>
                            <w:sz w:val="16"/>
                          </w:rPr>
                          <w:t>-</w:t>
                        </w:r>
                      </w:p>
                    </w:tc>
                    <w:tc>
                      <w:tcPr>
                        <w:tcW w:w="1212" w:type="dxa"/>
                      </w:tcPr>
                      <w:p>
                        <w:pPr>
                          <w:pStyle w:val="TableParagraph"/>
                          <w:spacing w:before="124"/>
                          <w:ind w:left="8"/>
                          <w:jc w:val="center"/>
                          <w:rPr>
                            <w:sz w:val="16"/>
                          </w:rPr>
                        </w:pPr>
                        <w:r>
                          <w:rPr>
                            <w:w w:val="100"/>
                            <w:sz w:val="16"/>
                          </w:rPr>
                          <w:t>-</w:t>
                        </w:r>
                      </w:p>
                    </w:tc>
                    <w:tc>
                      <w:tcPr>
                        <w:tcW w:w="810" w:type="dxa"/>
                        <w:tcBorders>
                          <w:right w:val="single" w:sz="6" w:space="0" w:color="000000"/>
                        </w:tcBorders>
                      </w:tcPr>
                      <w:p>
                        <w:pPr>
                          <w:pStyle w:val="TableParagraph"/>
                          <w:spacing w:before="124"/>
                          <w:ind w:left="14"/>
                          <w:jc w:val="center"/>
                          <w:rPr>
                            <w:sz w:val="16"/>
                          </w:rPr>
                        </w:pPr>
                        <w:r>
                          <w:rPr>
                            <w:w w:val="100"/>
                            <w:sz w:val="16"/>
                          </w:rPr>
                          <w:t>-</w:t>
                        </w:r>
                      </w:p>
                    </w:tc>
                  </w:tr>
                  <w:tr>
                    <w:trPr>
                      <w:trHeight w:val="273" w:hRule="atLeast"/>
                    </w:trPr>
                    <w:tc>
                      <w:tcPr>
                        <w:tcW w:w="1212" w:type="dxa"/>
                      </w:tcPr>
                      <w:p>
                        <w:pPr>
                          <w:pStyle w:val="TableParagraph"/>
                          <w:spacing w:before="54"/>
                          <w:ind w:left="54"/>
                          <w:rPr>
                            <w:sz w:val="16"/>
                          </w:rPr>
                        </w:pPr>
                        <w:r>
                          <w:rPr>
                            <w:sz w:val="16"/>
                          </w:rPr>
                          <w:t>Barbados</w:t>
                        </w:r>
                      </w:p>
                    </w:tc>
                    <w:tc>
                      <w:tcPr>
                        <w:tcW w:w="1214" w:type="dxa"/>
                      </w:tcPr>
                      <w:p>
                        <w:pPr>
                          <w:pStyle w:val="TableParagraph"/>
                          <w:spacing w:before="54"/>
                          <w:ind w:left="12"/>
                          <w:jc w:val="center"/>
                          <w:rPr>
                            <w:sz w:val="16"/>
                          </w:rPr>
                        </w:pPr>
                        <w:r>
                          <w:rPr>
                            <w:w w:val="100"/>
                            <w:sz w:val="16"/>
                          </w:rPr>
                          <w:t>-</w:t>
                        </w:r>
                      </w:p>
                    </w:tc>
                    <w:tc>
                      <w:tcPr>
                        <w:tcW w:w="1212" w:type="dxa"/>
                      </w:tcPr>
                      <w:p>
                        <w:pPr>
                          <w:pStyle w:val="TableParagraph"/>
                          <w:spacing w:before="54"/>
                          <w:ind w:left="10"/>
                          <w:jc w:val="center"/>
                          <w:rPr>
                            <w:sz w:val="16"/>
                          </w:rPr>
                        </w:pPr>
                        <w:r>
                          <w:rPr>
                            <w:w w:val="100"/>
                            <w:sz w:val="16"/>
                          </w:rPr>
                          <w:t>-</w:t>
                        </w:r>
                      </w:p>
                    </w:tc>
                    <w:tc>
                      <w:tcPr>
                        <w:tcW w:w="810" w:type="dxa"/>
                        <w:tcBorders>
                          <w:right w:val="single" w:sz="6" w:space="0" w:color="000000"/>
                        </w:tcBorders>
                      </w:tcPr>
                      <w:p>
                        <w:pPr>
                          <w:pStyle w:val="TableParagraph"/>
                          <w:spacing w:before="54"/>
                          <w:ind w:left="16"/>
                          <w:jc w:val="center"/>
                          <w:rPr>
                            <w:sz w:val="16"/>
                          </w:rPr>
                        </w:pPr>
                        <w:r>
                          <w:rPr>
                            <w:w w:val="100"/>
                            <w:sz w:val="16"/>
                          </w:rPr>
                          <w:t>-</w:t>
                        </w:r>
                      </w:p>
                    </w:tc>
                  </w:tr>
                  <w:tr>
                    <w:trPr>
                      <w:trHeight w:val="273" w:hRule="atLeast"/>
                    </w:trPr>
                    <w:tc>
                      <w:tcPr>
                        <w:tcW w:w="1212" w:type="dxa"/>
                      </w:tcPr>
                      <w:p>
                        <w:pPr>
                          <w:pStyle w:val="TableParagraph"/>
                          <w:spacing w:before="54"/>
                          <w:ind w:left="54"/>
                          <w:rPr>
                            <w:sz w:val="16"/>
                          </w:rPr>
                        </w:pPr>
                        <w:r>
                          <w:rPr>
                            <w:sz w:val="16"/>
                          </w:rPr>
                          <w:t>Belize</w:t>
                        </w:r>
                      </w:p>
                    </w:tc>
                    <w:tc>
                      <w:tcPr>
                        <w:tcW w:w="1214" w:type="dxa"/>
                      </w:tcPr>
                      <w:p>
                        <w:pPr>
                          <w:pStyle w:val="TableParagraph"/>
                          <w:spacing w:before="54"/>
                          <w:ind w:left="466" w:right="455"/>
                          <w:jc w:val="center"/>
                          <w:rPr>
                            <w:sz w:val="16"/>
                          </w:rPr>
                        </w:pPr>
                        <w:r>
                          <w:rPr>
                            <w:sz w:val="16"/>
                          </w:rPr>
                          <w:t>202</w:t>
                        </w:r>
                      </w:p>
                    </w:tc>
                    <w:tc>
                      <w:tcPr>
                        <w:tcW w:w="1212" w:type="dxa"/>
                      </w:tcPr>
                      <w:p>
                        <w:pPr>
                          <w:pStyle w:val="TableParagraph"/>
                          <w:spacing w:before="54"/>
                          <w:ind w:right="476"/>
                          <w:jc w:val="right"/>
                          <w:rPr>
                            <w:sz w:val="16"/>
                          </w:rPr>
                        </w:pPr>
                        <w:r>
                          <w:rPr>
                            <w:sz w:val="16"/>
                          </w:rPr>
                          <w:t>211</w:t>
                        </w:r>
                      </w:p>
                    </w:tc>
                    <w:tc>
                      <w:tcPr>
                        <w:tcW w:w="810" w:type="dxa"/>
                        <w:tcBorders>
                          <w:right w:val="single" w:sz="6" w:space="0" w:color="000000"/>
                        </w:tcBorders>
                      </w:tcPr>
                      <w:p>
                        <w:pPr>
                          <w:pStyle w:val="TableParagraph"/>
                          <w:spacing w:before="54"/>
                          <w:ind w:left="225" w:right="211"/>
                          <w:jc w:val="center"/>
                          <w:rPr>
                            <w:sz w:val="16"/>
                          </w:rPr>
                        </w:pPr>
                        <w:r>
                          <w:rPr>
                            <w:sz w:val="16"/>
                          </w:rPr>
                          <w:t>ES</w:t>
                        </w:r>
                      </w:p>
                    </w:tc>
                  </w:tr>
                  <w:tr>
                    <w:trPr>
                      <w:trHeight w:val="275" w:hRule="atLeast"/>
                    </w:trPr>
                    <w:tc>
                      <w:tcPr>
                        <w:tcW w:w="1212" w:type="dxa"/>
                      </w:tcPr>
                      <w:p>
                        <w:pPr>
                          <w:pStyle w:val="TableParagraph"/>
                          <w:spacing w:before="54"/>
                          <w:ind w:left="54"/>
                          <w:rPr>
                            <w:sz w:val="16"/>
                          </w:rPr>
                        </w:pPr>
                        <w:r>
                          <w:rPr>
                            <w:sz w:val="16"/>
                          </w:rPr>
                          <w:t>Bermuda</w:t>
                        </w:r>
                      </w:p>
                    </w:tc>
                    <w:tc>
                      <w:tcPr>
                        <w:tcW w:w="1214" w:type="dxa"/>
                      </w:tcPr>
                      <w:p>
                        <w:pPr>
                          <w:pStyle w:val="TableParagraph"/>
                          <w:spacing w:before="54"/>
                          <w:ind w:left="10"/>
                          <w:jc w:val="center"/>
                          <w:rPr>
                            <w:sz w:val="16"/>
                          </w:rPr>
                        </w:pPr>
                        <w:r>
                          <w:rPr>
                            <w:w w:val="100"/>
                            <w:sz w:val="16"/>
                          </w:rPr>
                          <w:t>-</w:t>
                        </w:r>
                      </w:p>
                    </w:tc>
                    <w:tc>
                      <w:tcPr>
                        <w:tcW w:w="1212" w:type="dxa"/>
                      </w:tcPr>
                      <w:p>
                        <w:pPr>
                          <w:pStyle w:val="TableParagraph"/>
                          <w:spacing w:before="54"/>
                          <w:ind w:left="8"/>
                          <w:jc w:val="center"/>
                          <w:rPr>
                            <w:sz w:val="16"/>
                          </w:rPr>
                        </w:pPr>
                        <w:r>
                          <w:rPr>
                            <w:w w:val="100"/>
                            <w:sz w:val="16"/>
                          </w:rPr>
                          <w:t>-</w:t>
                        </w:r>
                      </w:p>
                    </w:tc>
                    <w:tc>
                      <w:tcPr>
                        <w:tcW w:w="810" w:type="dxa"/>
                        <w:tcBorders>
                          <w:right w:val="single" w:sz="6" w:space="0" w:color="000000"/>
                        </w:tcBorders>
                      </w:tcPr>
                      <w:p>
                        <w:pPr>
                          <w:pStyle w:val="TableParagraph"/>
                          <w:spacing w:before="54"/>
                          <w:ind w:left="14"/>
                          <w:jc w:val="center"/>
                          <w:rPr>
                            <w:sz w:val="16"/>
                          </w:rPr>
                        </w:pPr>
                        <w:r>
                          <w:rPr>
                            <w:w w:val="100"/>
                            <w:sz w:val="16"/>
                          </w:rPr>
                          <w:t>-</w:t>
                        </w:r>
                      </w:p>
                    </w:tc>
                  </w:tr>
                  <w:tr>
                    <w:trPr>
                      <w:trHeight w:val="443" w:hRule="atLeast"/>
                    </w:trPr>
                    <w:tc>
                      <w:tcPr>
                        <w:tcW w:w="1212" w:type="dxa"/>
                      </w:tcPr>
                      <w:p>
                        <w:pPr>
                          <w:pStyle w:val="TableParagraph"/>
                          <w:spacing w:before="33"/>
                          <w:ind w:left="54" w:right="234"/>
                          <w:rPr>
                            <w:sz w:val="16"/>
                          </w:rPr>
                        </w:pPr>
                        <w:r>
                          <w:rPr>
                            <w:sz w:val="16"/>
                          </w:rPr>
                          <w:t>British Virgin Islands</w:t>
                        </w:r>
                      </w:p>
                    </w:tc>
                    <w:tc>
                      <w:tcPr>
                        <w:tcW w:w="1214" w:type="dxa"/>
                      </w:tcPr>
                      <w:p>
                        <w:pPr>
                          <w:pStyle w:val="TableParagraph"/>
                          <w:spacing w:before="124"/>
                          <w:ind w:left="10"/>
                          <w:jc w:val="center"/>
                          <w:rPr>
                            <w:sz w:val="16"/>
                          </w:rPr>
                        </w:pPr>
                        <w:r>
                          <w:rPr>
                            <w:w w:val="100"/>
                            <w:sz w:val="16"/>
                          </w:rPr>
                          <w:t>-</w:t>
                        </w:r>
                      </w:p>
                    </w:tc>
                    <w:tc>
                      <w:tcPr>
                        <w:tcW w:w="1212" w:type="dxa"/>
                      </w:tcPr>
                      <w:p>
                        <w:pPr>
                          <w:pStyle w:val="TableParagraph"/>
                          <w:spacing w:before="124"/>
                          <w:ind w:left="8"/>
                          <w:jc w:val="center"/>
                          <w:rPr>
                            <w:sz w:val="16"/>
                          </w:rPr>
                        </w:pPr>
                        <w:r>
                          <w:rPr>
                            <w:w w:val="100"/>
                            <w:sz w:val="16"/>
                          </w:rPr>
                          <w:t>-</w:t>
                        </w:r>
                      </w:p>
                    </w:tc>
                    <w:tc>
                      <w:tcPr>
                        <w:tcW w:w="810" w:type="dxa"/>
                        <w:tcBorders>
                          <w:right w:val="single" w:sz="6" w:space="0" w:color="000000"/>
                        </w:tcBorders>
                      </w:tcPr>
                      <w:p>
                        <w:pPr>
                          <w:pStyle w:val="TableParagraph"/>
                          <w:spacing w:before="124"/>
                          <w:ind w:left="14"/>
                          <w:jc w:val="center"/>
                          <w:rPr>
                            <w:sz w:val="16"/>
                          </w:rPr>
                        </w:pPr>
                        <w:r>
                          <w:rPr>
                            <w:w w:val="100"/>
                            <w:sz w:val="16"/>
                          </w:rPr>
                          <w:t>-</w:t>
                        </w:r>
                      </w:p>
                    </w:tc>
                  </w:tr>
                  <w:tr>
                    <w:trPr>
                      <w:trHeight w:val="273" w:hRule="atLeast"/>
                    </w:trPr>
                    <w:tc>
                      <w:tcPr>
                        <w:tcW w:w="1212" w:type="dxa"/>
                      </w:tcPr>
                      <w:p>
                        <w:pPr>
                          <w:pStyle w:val="TableParagraph"/>
                          <w:spacing w:before="54"/>
                          <w:ind w:left="54"/>
                          <w:rPr>
                            <w:sz w:val="16"/>
                          </w:rPr>
                        </w:pPr>
                        <w:r>
                          <w:rPr>
                            <w:sz w:val="16"/>
                          </w:rPr>
                          <w:t>Canada</w:t>
                        </w:r>
                      </w:p>
                    </w:tc>
                    <w:tc>
                      <w:tcPr>
                        <w:tcW w:w="1214" w:type="dxa"/>
                      </w:tcPr>
                      <w:p>
                        <w:pPr>
                          <w:pStyle w:val="TableParagraph"/>
                          <w:spacing w:before="54"/>
                          <w:ind w:left="467" w:right="455"/>
                          <w:jc w:val="center"/>
                          <w:rPr>
                            <w:sz w:val="16"/>
                          </w:rPr>
                        </w:pPr>
                        <w:r>
                          <w:rPr>
                            <w:sz w:val="16"/>
                          </w:rPr>
                          <w:t>120</w:t>
                        </w:r>
                      </w:p>
                    </w:tc>
                    <w:tc>
                      <w:tcPr>
                        <w:tcW w:w="1212" w:type="dxa"/>
                      </w:tcPr>
                      <w:p>
                        <w:pPr>
                          <w:pStyle w:val="TableParagraph"/>
                          <w:spacing w:before="54"/>
                          <w:ind w:right="513"/>
                          <w:jc w:val="right"/>
                          <w:rPr>
                            <w:sz w:val="16"/>
                          </w:rPr>
                        </w:pPr>
                        <w:r>
                          <w:rPr>
                            <w:sz w:val="16"/>
                          </w:rPr>
                          <w:t>83</w:t>
                        </w:r>
                      </w:p>
                    </w:tc>
                    <w:tc>
                      <w:tcPr>
                        <w:tcW w:w="810" w:type="dxa"/>
                        <w:tcBorders>
                          <w:right w:val="single" w:sz="6" w:space="0" w:color="000000"/>
                        </w:tcBorders>
                      </w:tcPr>
                      <w:p>
                        <w:pPr>
                          <w:pStyle w:val="TableParagraph"/>
                          <w:spacing w:before="54"/>
                          <w:ind w:left="225" w:right="210"/>
                          <w:jc w:val="center"/>
                          <w:rPr>
                            <w:sz w:val="16"/>
                          </w:rPr>
                        </w:pPr>
                        <w:r>
                          <w:rPr>
                            <w:sz w:val="16"/>
                          </w:rPr>
                          <w:t>FAO</w:t>
                        </w:r>
                      </w:p>
                    </w:tc>
                  </w:tr>
                  <w:tr>
                    <w:trPr>
                      <w:trHeight w:val="273" w:hRule="atLeast"/>
                    </w:trPr>
                    <w:tc>
                      <w:tcPr>
                        <w:tcW w:w="1212" w:type="dxa"/>
                      </w:tcPr>
                      <w:p>
                        <w:pPr>
                          <w:pStyle w:val="TableParagraph"/>
                          <w:spacing w:before="54"/>
                          <w:ind w:left="54"/>
                          <w:rPr>
                            <w:sz w:val="16"/>
                          </w:rPr>
                        </w:pPr>
                        <w:r>
                          <w:rPr>
                            <w:sz w:val="16"/>
                          </w:rPr>
                          <w:t>Cayman Islands</w:t>
                        </w:r>
                      </w:p>
                    </w:tc>
                    <w:tc>
                      <w:tcPr>
                        <w:tcW w:w="1214" w:type="dxa"/>
                      </w:tcPr>
                      <w:p>
                        <w:pPr>
                          <w:pStyle w:val="TableParagraph"/>
                          <w:spacing w:before="54"/>
                          <w:ind w:left="11"/>
                          <w:jc w:val="center"/>
                          <w:rPr>
                            <w:sz w:val="16"/>
                          </w:rPr>
                        </w:pPr>
                        <w:r>
                          <w:rPr>
                            <w:w w:val="100"/>
                            <w:sz w:val="16"/>
                          </w:rPr>
                          <w:t>-</w:t>
                        </w:r>
                      </w:p>
                    </w:tc>
                    <w:tc>
                      <w:tcPr>
                        <w:tcW w:w="1212" w:type="dxa"/>
                      </w:tcPr>
                      <w:p>
                        <w:pPr>
                          <w:pStyle w:val="TableParagraph"/>
                          <w:spacing w:before="54"/>
                          <w:ind w:left="9"/>
                          <w:jc w:val="center"/>
                          <w:rPr>
                            <w:sz w:val="16"/>
                          </w:rPr>
                        </w:pPr>
                        <w:r>
                          <w:rPr>
                            <w:w w:val="100"/>
                            <w:sz w:val="16"/>
                          </w:rPr>
                          <w:t>-</w:t>
                        </w:r>
                      </w:p>
                    </w:tc>
                    <w:tc>
                      <w:tcPr>
                        <w:tcW w:w="810" w:type="dxa"/>
                        <w:tcBorders>
                          <w:right w:val="single" w:sz="6" w:space="0" w:color="000000"/>
                        </w:tcBorders>
                      </w:tcPr>
                      <w:p>
                        <w:pPr>
                          <w:pStyle w:val="TableParagraph"/>
                          <w:spacing w:before="54"/>
                          <w:ind w:left="15"/>
                          <w:jc w:val="center"/>
                          <w:rPr>
                            <w:sz w:val="16"/>
                          </w:rPr>
                        </w:pPr>
                        <w:r>
                          <w:rPr>
                            <w:w w:val="100"/>
                            <w:sz w:val="16"/>
                          </w:rPr>
                          <w:t>-</w:t>
                        </w:r>
                      </w:p>
                    </w:tc>
                  </w:tr>
                  <w:tr>
                    <w:trPr>
                      <w:trHeight w:val="275" w:hRule="atLeast"/>
                    </w:trPr>
                    <w:tc>
                      <w:tcPr>
                        <w:tcW w:w="1212" w:type="dxa"/>
                      </w:tcPr>
                      <w:p>
                        <w:pPr>
                          <w:pStyle w:val="TableParagraph"/>
                          <w:spacing w:before="54"/>
                          <w:ind w:left="54"/>
                          <w:rPr>
                            <w:sz w:val="16"/>
                          </w:rPr>
                        </w:pPr>
                        <w:r>
                          <w:rPr>
                            <w:sz w:val="16"/>
                          </w:rPr>
                          <w:t>Costa Rica</w:t>
                        </w:r>
                      </w:p>
                    </w:tc>
                    <w:tc>
                      <w:tcPr>
                        <w:tcW w:w="1214" w:type="dxa"/>
                      </w:tcPr>
                      <w:p>
                        <w:pPr>
                          <w:pStyle w:val="TableParagraph"/>
                          <w:spacing w:before="54"/>
                          <w:ind w:left="467" w:right="454"/>
                          <w:jc w:val="center"/>
                          <w:rPr>
                            <w:sz w:val="16"/>
                          </w:rPr>
                        </w:pPr>
                        <w:r>
                          <w:rPr>
                            <w:sz w:val="16"/>
                          </w:rPr>
                          <w:t>211</w:t>
                        </w:r>
                      </w:p>
                    </w:tc>
                    <w:tc>
                      <w:tcPr>
                        <w:tcW w:w="1212" w:type="dxa"/>
                      </w:tcPr>
                      <w:p>
                        <w:pPr>
                          <w:pStyle w:val="TableParagraph"/>
                          <w:spacing w:before="54"/>
                          <w:ind w:right="475"/>
                          <w:jc w:val="right"/>
                          <w:rPr>
                            <w:sz w:val="16"/>
                          </w:rPr>
                        </w:pPr>
                        <w:r>
                          <w:rPr>
                            <w:sz w:val="16"/>
                          </w:rPr>
                          <w:t>220</w:t>
                        </w:r>
                      </w:p>
                    </w:tc>
                    <w:tc>
                      <w:tcPr>
                        <w:tcW w:w="810" w:type="dxa"/>
                        <w:tcBorders>
                          <w:right w:val="single" w:sz="6" w:space="0" w:color="000000"/>
                        </w:tcBorders>
                      </w:tcPr>
                      <w:p>
                        <w:pPr>
                          <w:pStyle w:val="TableParagraph"/>
                          <w:spacing w:before="54"/>
                          <w:ind w:left="225" w:right="210"/>
                          <w:jc w:val="center"/>
                          <w:rPr>
                            <w:sz w:val="16"/>
                          </w:rPr>
                        </w:pPr>
                        <w:r>
                          <w:rPr>
                            <w:sz w:val="16"/>
                          </w:rPr>
                          <w:t>ES</w:t>
                        </w:r>
                      </w:p>
                    </w:tc>
                  </w:tr>
                  <w:tr>
                    <w:trPr>
                      <w:trHeight w:val="273" w:hRule="atLeast"/>
                    </w:trPr>
                    <w:tc>
                      <w:tcPr>
                        <w:tcW w:w="1212" w:type="dxa"/>
                      </w:tcPr>
                      <w:p>
                        <w:pPr>
                          <w:pStyle w:val="TableParagraph"/>
                          <w:spacing w:before="54"/>
                          <w:ind w:left="54"/>
                          <w:rPr>
                            <w:sz w:val="16"/>
                          </w:rPr>
                        </w:pPr>
                        <w:r>
                          <w:rPr>
                            <w:sz w:val="16"/>
                          </w:rPr>
                          <w:t>Cuba</w:t>
                        </w:r>
                      </w:p>
                    </w:tc>
                    <w:tc>
                      <w:tcPr>
                        <w:tcW w:w="1214" w:type="dxa"/>
                      </w:tcPr>
                      <w:p>
                        <w:pPr>
                          <w:pStyle w:val="TableParagraph"/>
                          <w:spacing w:before="54"/>
                          <w:ind w:left="466" w:right="455"/>
                          <w:jc w:val="center"/>
                          <w:rPr>
                            <w:sz w:val="16"/>
                          </w:rPr>
                        </w:pPr>
                        <w:r>
                          <w:rPr>
                            <w:sz w:val="16"/>
                          </w:rPr>
                          <w:t>71</w:t>
                        </w:r>
                      </w:p>
                    </w:tc>
                    <w:tc>
                      <w:tcPr>
                        <w:tcW w:w="1212" w:type="dxa"/>
                      </w:tcPr>
                      <w:p>
                        <w:pPr>
                          <w:pStyle w:val="TableParagraph"/>
                          <w:spacing w:before="54"/>
                          <w:ind w:right="475"/>
                          <w:jc w:val="right"/>
                          <w:rPr>
                            <w:sz w:val="16"/>
                          </w:rPr>
                        </w:pPr>
                        <w:r>
                          <w:rPr>
                            <w:sz w:val="16"/>
                          </w:rPr>
                          <w:t>114</w:t>
                        </w:r>
                      </w:p>
                    </w:tc>
                    <w:tc>
                      <w:tcPr>
                        <w:tcW w:w="810" w:type="dxa"/>
                        <w:tcBorders>
                          <w:right w:val="single" w:sz="6" w:space="0" w:color="000000"/>
                        </w:tcBorders>
                      </w:tcPr>
                      <w:p>
                        <w:pPr>
                          <w:pStyle w:val="TableParagraph"/>
                          <w:spacing w:before="54"/>
                          <w:ind w:left="225" w:right="202"/>
                          <w:jc w:val="center"/>
                          <w:rPr>
                            <w:sz w:val="16"/>
                          </w:rPr>
                        </w:pPr>
                        <w:r>
                          <w:rPr>
                            <w:sz w:val="16"/>
                          </w:rPr>
                          <w:t>NI</w:t>
                        </w:r>
                      </w:p>
                    </w:tc>
                  </w:tr>
                  <w:tr>
                    <w:trPr>
                      <w:trHeight w:val="273" w:hRule="atLeast"/>
                    </w:trPr>
                    <w:tc>
                      <w:tcPr>
                        <w:tcW w:w="1212" w:type="dxa"/>
                      </w:tcPr>
                      <w:p>
                        <w:pPr>
                          <w:pStyle w:val="TableParagraph"/>
                          <w:spacing w:before="54"/>
                          <w:ind w:left="54"/>
                          <w:rPr>
                            <w:sz w:val="16"/>
                          </w:rPr>
                        </w:pPr>
                        <w:r>
                          <w:rPr>
                            <w:sz w:val="16"/>
                          </w:rPr>
                          <w:t>Dominica</w:t>
                        </w:r>
                      </w:p>
                    </w:tc>
                    <w:tc>
                      <w:tcPr>
                        <w:tcW w:w="1214" w:type="dxa"/>
                      </w:tcPr>
                      <w:p>
                        <w:pPr>
                          <w:pStyle w:val="TableParagraph"/>
                          <w:spacing w:before="54"/>
                          <w:ind w:left="466" w:right="455"/>
                          <w:jc w:val="center"/>
                          <w:rPr>
                            <w:sz w:val="16"/>
                          </w:rPr>
                        </w:pPr>
                        <w:r>
                          <w:rPr>
                            <w:sz w:val="16"/>
                          </w:rPr>
                          <w:t>91</w:t>
                        </w:r>
                      </w:p>
                    </w:tc>
                    <w:tc>
                      <w:tcPr>
                        <w:tcW w:w="1212" w:type="dxa"/>
                      </w:tcPr>
                      <w:p>
                        <w:pPr>
                          <w:pStyle w:val="TableParagraph"/>
                          <w:spacing w:before="54"/>
                          <w:ind w:right="475"/>
                          <w:jc w:val="right"/>
                          <w:rPr>
                            <w:sz w:val="16"/>
                          </w:rPr>
                        </w:pPr>
                        <w:r>
                          <w:rPr>
                            <w:sz w:val="16"/>
                          </w:rPr>
                          <w:t>166</w:t>
                        </w:r>
                      </w:p>
                    </w:tc>
                    <w:tc>
                      <w:tcPr>
                        <w:tcW w:w="810" w:type="dxa"/>
                        <w:tcBorders>
                          <w:right w:val="single" w:sz="6" w:space="0" w:color="000000"/>
                        </w:tcBorders>
                      </w:tcPr>
                      <w:p>
                        <w:pPr>
                          <w:pStyle w:val="TableParagraph"/>
                          <w:spacing w:before="54"/>
                          <w:ind w:left="225" w:right="210"/>
                          <w:jc w:val="center"/>
                          <w:rPr>
                            <w:sz w:val="16"/>
                          </w:rPr>
                        </w:pPr>
                        <w:r>
                          <w:rPr>
                            <w:sz w:val="16"/>
                          </w:rPr>
                          <w:t>ES</w:t>
                        </w:r>
                      </w:p>
                    </w:tc>
                  </w:tr>
                  <w:tr>
                    <w:trPr>
                      <w:trHeight w:val="388" w:hRule="atLeast"/>
                    </w:trPr>
                    <w:tc>
                      <w:tcPr>
                        <w:tcW w:w="1212" w:type="dxa"/>
                      </w:tcPr>
                      <w:p>
                        <w:pPr>
                          <w:pStyle w:val="TableParagraph"/>
                          <w:spacing w:line="180" w:lineRule="atLeast" w:before="4"/>
                          <w:ind w:left="54" w:right="417"/>
                          <w:rPr>
                            <w:sz w:val="16"/>
                          </w:rPr>
                        </w:pPr>
                        <w:r>
                          <w:rPr>
                            <w:sz w:val="16"/>
                          </w:rPr>
                          <w:t>Dominican Republic</w:t>
                        </w:r>
                      </w:p>
                    </w:tc>
                    <w:tc>
                      <w:tcPr>
                        <w:tcW w:w="1214" w:type="dxa"/>
                      </w:tcPr>
                      <w:p>
                        <w:pPr>
                          <w:pStyle w:val="TableParagraph"/>
                          <w:spacing w:before="95"/>
                          <w:ind w:left="465" w:right="455"/>
                          <w:jc w:val="center"/>
                          <w:rPr>
                            <w:sz w:val="16"/>
                          </w:rPr>
                        </w:pPr>
                        <w:r>
                          <w:rPr>
                            <w:sz w:val="16"/>
                          </w:rPr>
                          <w:t>29</w:t>
                        </w:r>
                      </w:p>
                    </w:tc>
                    <w:tc>
                      <w:tcPr>
                        <w:tcW w:w="1212" w:type="dxa"/>
                      </w:tcPr>
                      <w:p>
                        <w:pPr>
                          <w:pStyle w:val="TableParagraph"/>
                          <w:spacing w:before="95"/>
                          <w:ind w:right="513"/>
                          <w:jc w:val="right"/>
                          <w:rPr>
                            <w:sz w:val="16"/>
                          </w:rPr>
                        </w:pPr>
                        <w:r>
                          <w:rPr>
                            <w:sz w:val="16"/>
                          </w:rPr>
                          <w:t>53</w:t>
                        </w:r>
                      </w:p>
                    </w:tc>
                    <w:tc>
                      <w:tcPr>
                        <w:tcW w:w="810" w:type="dxa"/>
                        <w:tcBorders>
                          <w:right w:val="single" w:sz="6" w:space="0" w:color="000000"/>
                        </w:tcBorders>
                      </w:tcPr>
                      <w:p>
                        <w:pPr>
                          <w:pStyle w:val="TableParagraph"/>
                          <w:spacing w:before="95"/>
                          <w:ind w:left="225" w:right="211"/>
                          <w:jc w:val="center"/>
                          <w:rPr>
                            <w:sz w:val="16"/>
                          </w:rPr>
                        </w:pPr>
                        <w:r>
                          <w:rPr>
                            <w:sz w:val="16"/>
                          </w:rPr>
                          <w:t>ES</w:t>
                        </w:r>
                      </w:p>
                    </w:tc>
                  </w:tr>
                  <w:tr>
                    <w:trPr>
                      <w:trHeight w:val="273" w:hRule="atLeast"/>
                    </w:trPr>
                    <w:tc>
                      <w:tcPr>
                        <w:tcW w:w="1212" w:type="dxa"/>
                      </w:tcPr>
                      <w:p>
                        <w:pPr>
                          <w:pStyle w:val="TableParagraph"/>
                          <w:spacing w:before="49"/>
                          <w:ind w:left="54"/>
                          <w:rPr>
                            <w:sz w:val="16"/>
                          </w:rPr>
                        </w:pPr>
                        <w:r>
                          <w:rPr>
                            <w:sz w:val="16"/>
                          </w:rPr>
                          <w:t>El Salvador</w:t>
                        </w:r>
                      </w:p>
                    </w:tc>
                    <w:tc>
                      <w:tcPr>
                        <w:tcW w:w="1214" w:type="dxa"/>
                      </w:tcPr>
                      <w:p>
                        <w:pPr>
                          <w:pStyle w:val="TableParagraph"/>
                          <w:spacing w:line="177" w:lineRule="exact" w:before="76"/>
                          <w:ind w:left="466" w:right="455"/>
                          <w:jc w:val="center"/>
                          <w:rPr>
                            <w:sz w:val="16"/>
                          </w:rPr>
                        </w:pPr>
                        <w:r>
                          <w:rPr>
                            <w:sz w:val="16"/>
                          </w:rPr>
                          <w:t>223</w:t>
                        </w:r>
                      </w:p>
                    </w:tc>
                    <w:tc>
                      <w:tcPr>
                        <w:tcW w:w="1212" w:type="dxa"/>
                      </w:tcPr>
                      <w:p>
                        <w:pPr>
                          <w:pStyle w:val="TableParagraph"/>
                          <w:spacing w:line="177" w:lineRule="exact" w:before="76"/>
                          <w:ind w:right="476"/>
                          <w:jc w:val="right"/>
                          <w:rPr>
                            <w:sz w:val="16"/>
                          </w:rPr>
                        </w:pPr>
                        <w:r>
                          <w:rPr>
                            <w:sz w:val="16"/>
                          </w:rPr>
                          <w:t>202</w:t>
                        </w:r>
                      </w:p>
                    </w:tc>
                    <w:tc>
                      <w:tcPr>
                        <w:tcW w:w="810" w:type="dxa"/>
                        <w:tcBorders>
                          <w:right w:val="single" w:sz="6" w:space="0" w:color="000000"/>
                        </w:tcBorders>
                      </w:tcPr>
                      <w:p>
                        <w:pPr>
                          <w:pStyle w:val="TableParagraph"/>
                          <w:spacing w:line="177" w:lineRule="exact" w:before="76"/>
                          <w:ind w:left="225" w:right="211"/>
                          <w:jc w:val="center"/>
                          <w:rPr>
                            <w:sz w:val="16"/>
                          </w:rPr>
                        </w:pPr>
                        <w:r>
                          <w:rPr>
                            <w:sz w:val="16"/>
                          </w:rPr>
                          <w:t>FAO</w:t>
                        </w:r>
                      </w:p>
                    </w:tc>
                  </w:tr>
                  <w:tr>
                    <w:trPr>
                      <w:trHeight w:val="330" w:hRule="atLeast"/>
                    </w:trPr>
                    <w:tc>
                      <w:tcPr>
                        <w:tcW w:w="1212" w:type="dxa"/>
                      </w:tcPr>
                      <w:p>
                        <w:pPr>
                          <w:pStyle w:val="TableParagraph"/>
                          <w:spacing w:before="66"/>
                          <w:ind w:left="54"/>
                          <w:rPr>
                            <w:sz w:val="16"/>
                          </w:rPr>
                        </w:pPr>
                        <w:r>
                          <w:rPr>
                            <w:sz w:val="16"/>
                          </w:rPr>
                          <w:t>Greenland</w:t>
                        </w:r>
                      </w:p>
                    </w:tc>
                    <w:tc>
                      <w:tcPr>
                        <w:tcW w:w="1214" w:type="dxa"/>
                      </w:tcPr>
                      <w:p>
                        <w:pPr>
                          <w:pStyle w:val="TableParagraph"/>
                          <w:spacing w:before="66"/>
                          <w:ind w:left="11"/>
                          <w:jc w:val="center"/>
                          <w:rPr>
                            <w:sz w:val="16"/>
                          </w:rPr>
                        </w:pPr>
                        <w:r>
                          <w:rPr>
                            <w:w w:val="100"/>
                            <w:sz w:val="16"/>
                          </w:rPr>
                          <w:t>-</w:t>
                        </w:r>
                      </w:p>
                    </w:tc>
                    <w:tc>
                      <w:tcPr>
                        <w:tcW w:w="1212" w:type="dxa"/>
                      </w:tcPr>
                      <w:p>
                        <w:pPr>
                          <w:pStyle w:val="TableParagraph"/>
                          <w:spacing w:before="66"/>
                          <w:ind w:left="9"/>
                          <w:jc w:val="center"/>
                          <w:rPr>
                            <w:sz w:val="16"/>
                          </w:rPr>
                        </w:pPr>
                        <w:r>
                          <w:rPr>
                            <w:w w:val="100"/>
                            <w:sz w:val="16"/>
                          </w:rPr>
                          <w:t>-</w:t>
                        </w:r>
                      </w:p>
                    </w:tc>
                    <w:tc>
                      <w:tcPr>
                        <w:tcW w:w="810" w:type="dxa"/>
                        <w:tcBorders>
                          <w:right w:val="single" w:sz="6" w:space="0" w:color="000000"/>
                        </w:tcBorders>
                      </w:tcPr>
                      <w:p>
                        <w:pPr>
                          <w:pStyle w:val="TableParagraph"/>
                          <w:spacing w:before="66"/>
                          <w:ind w:left="15"/>
                          <w:jc w:val="center"/>
                          <w:rPr>
                            <w:sz w:val="16"/>
                          </w:rPr>
                        </w:pPr>
                        <w:r>
                          <w:rPr>
                            <w:w w:val="100"/>
                            <w:sz w:val="16"/>
                          </w:rPr>
                          <w:t>-</w:t>
                        </w:r>
                      </w:p>
                    </w:tc>
                  </w:tr>
                  <w:tr>
                    <w:trPr>
                      <w:trHeight w:val="273" w:hRule="atLeast"/>
                    </w:trPr>
                    <w:tc>
                      <w:tcPr>
                        <w:tcW w:w="1212" w:type="dxa"/>
                      </w:tcPr>
                      <w:p>
                        <w:pPr>
                          <w:pStyle w:val="TableParagraph"/>
                          <w:spacing w:before="54"/>
                          <w:ind w:left="54"/>
                          <w:rPr>
                            <w:sz w:val="16"/>
                          </w:rPr>
                        </w:pPr>
                        <w:r>
                          <w:rPr>
                            <w:sz w:val="16"/>
                          </w:rPr>
                          <w:t>Grenada</w:t>
                        </w:r>
                      </w:p>
                    </w:tc>
                    <w:tc>
                      <w:tcPr>
                        <w:tcW w:w="1214" w:type="dxa"/>
                      </w:tcPr>
                      <w:p>
                        <w:pPr>
                          <w:pStyle w:val="TableParagraph"/>
                          <w:spacing w:before="54"/>
                          <w:ind w:left="467" w:right="455"/>
                          <w:jc w:val="center"/>
                          <w:rPr>
                            <w:sz w:val="16"/>
                          </w:rPr>
                        </w:pPr>
                        <w:r>
                          <w:rPr>
                            <w:sz w:val="16"/>
                          </w:rPr>
                          <w:t>83</w:t>
                        </w:r>
                      </w:p>
                    </w:tc>
                    <w:tc>
                      <w:tcPr>
                        <w:tcW w:w="1212" w:type="dxa"/>
                      </w:tcPr>
                      <w:p>
                        <w:pPr>
                          <w:pStyle w:val="TableParagraph"/>
                          <w:spacing w:before="54"/>
                          <w:ind w:right="475"/>
                          <w:jc w:val="right"/>
                          <w:rPr>
                            <w:sz w:val="16"/>
                          </w:rPr>
                        </w:pPr>
                        <w:r>
                          <w:rPr>
                            <w:sz w:val="16"/>
                          </w:rPr>
                          <w:t>150</w:t>
                        </w:r>
                      </w:p>
                    </w:tc>
                    <w:tc>
                      <w:tcPr>
                        <w:tcW w:w="810" w:type="dxa"/>
                        <w:tcBorders>
                          <w:right w:val="single" w:sz="6" w:space="0" w:color="000000"/>
                        </w:tcBorders>
                      </w:tcPr>
                      <w:p>
                        <w:pPr>
                          <w:pStyle w:val="TableParagraph"/>
                          <w:spacing w:before="54"/>
                          <w:ind w:left="225" w:right="203"/>
                          <w:jc w:val="center"/>
                          <w:rPr>
                            <w:sz w:val="16"/>
                          </w:rPr>
                        </w:pPr>
                        <w:r>
                          <w:rPr>
                            <w:sz w:val="16"/>
                          </w:rPr>
                          <w:t>PI</w:t>
                        </w:r>
                      </w:p>
                    </w:tc>
                  </w:tr>
                  <w:tr>
                    <w:trPr>
                      <w:trHeight w:val="273" w:hRule="atLeast"/>
                    </w:trPr>
                    <w:tc>
                      <w:tcPr>
                        <w:tcW w:w="1212" w:type="dxa"/>
                      </w:tcPr>
                      <w:p>
                        <w:pPr>
                          <w:pStyle w:val="TableParagraph"/>
                          <w:spacing w:before="37"/>
                          <w:ind w:left="54"/>
                          <w:rPr>
                            <w:sz w:val="16"/>
                          </w:rPr>
                        </w:pPr>
                        <w:r>
                          <w:rPr>
                            <w:sz w:val="16"/>
                          </w:rPr>
                          <w:t>Guadeloupe</w:t>
                        </w:r>
                      </w:p>
                    </w:tc>
                    <w:tc>
                      <w:tcPr>
                        <w:tcW w:w="1214" w:type="dxa"/>
                      </w:tcPr>
                      <w:p>
                        <w:pPr>
                          <w:pStyle w:val="TableParagraph"/>
                          <w:spacing w:before="37"/>
                          <w:ind w:left="11"/>
                          <w:jc w:val="center"/>
                          <w:rPr>
                            <w:sz w:val="16"/>
                          </w:rPr>
                        </w:pPr>
                        <w:r>
                          <w:rPr>
                            <w:w w:val="100"/>
                            <w:sz w:val="16"/>
                          </w:rPr>
                          <w:t>-</w:t>
                        </w:r>
                      </w:p>
                    </w:tc>
                    <w:tc>
                      <w:tcPr>
                        <w:tcW w:w="1212" w:type="dxa"/>
                      </w:tcPr>
                      <w:p>
                        <w:pPr>
                          <w:pStyle w:val="TableParagraph"/>
                          <w:spacing w:before="37"/>
                          <w:ind w:left="9"/>
                          <w:jc w:val="center"/>
                          <w:rPr>
                            <w:sz w:val="16"/>
                          </w:rPr>
                        </w:pPr>
                        <w:r>
                          <w:rPr>
                            <w:w w:val="100"/>
                            <w:sz w:val="16"/>
                          </w:rPr>
                          <w:t>-</w:t>
                        </w:r>
                      </w:p>
                    </w:tc>
                    <w:tc>
                      <w:tcPr>
                        <w:tcW w:w="810" w:type="dxa"/>
                        <w:tcBorders>
                          <w:right w:val="single" w:sz="6" w:space="0" w:color="000000"/>
                        </w:tcBorders>
                      </w:tcPr>
                      <w:p>
                        <w:pPr>
                          <w:pStyle w:val="TableParagraph"/>
                          <w:spacing w:before="37"/>
                          <w:ind w:left="15"/>
                          <w:jc w:val="center"/>
                          <w:rPr>
                            <w:sz w:val="16"/>
                          </w:rPr>
                        </w:pPr>
                        <w:r>
                          <w:rPr>
                            <w:w w:val="100"/>
                            <w:sz w:val="16"/>
                          </w:rPr>
                          <w:t>-</w:t>
                        </w:r>
                      </w:p>
                    </w:tc>
                  </w:tr>
                  <w:tr>
                    <w:trPr>
                      <w:trHeight w:val="275" w:hRule="atLeast"/>
                    </w:trPr>
                    <w:tc>
                      <w:tcPr>
                        <w:tcW w:w="1212" w:type="dxa"/>
                      </w:tcPr>
                      <w:p>
                        <w:pPr>
                          <w:pStyle w:val="TableParagraph"/>
                          <w:spacing w:before="37"/>
                          <w:ind w:left="54"/>
                          <w:rPr>
                            <w:sz w:val="16"/>
                          </w:rPr>
                        </w:pPr>
                        <w:r>
                          <w:rPr>
                            <w:sz w:val="16"/>
                          </w:rPr>
                          <w:t>Guatemala</w:t>
                        </w:r>
                      </w:p>
                    </w:tc>
                    <w:tc>
                      <w:tcPr>
                        <w:tcW w:w="1214" w:type="dxa"/>
                      </w:tcPr>
                      <w:p>
                        <w:pPr>
                          <w:pStyle w:val="TableParagraph"/>
                          <w:spacing w:before="37"/>
                          <w:ind w:left="467" w:right="453"/>
                          <w:jc w:val="center"/>
                          <w:rPr>
                            <w:sz w:val="16"/>
                          </w:rPr>
                        </w:pPr>
                        <w:r>
                          <w:rPr>
                            <w:sz w:val="16"/>
                          </w:rPr>
                          <w:t>355</w:t>
                        </w:r>
                      </w:p>
                    </w:tc>
                    <w:tc>
                      <w:tcPr>
                        <w:tcW w:w="1212" w:type="dxa"/>
                      </w:tcPr>
                      <w:p>
                        <w:pPr>
                          <w:pStyle w:val="TableParagraph"/>
                          <w:spacing w:before="37"/>
                          <w:ind w:right="474"/>
                          <w:jc w:val="right"/>
                          <w:rPr>
                            <w:sz w:val="16"/>
                          </w:rPr>
                        </w:pPr>
                        <w:r>
                          <w:rPr>
                            <w:sz w:val="16"/>
                          </w:rPr>
                          <w:t>371</w:t>
                        </w:r>
                      </w:p>
                    </w:tc>
                    <w:tc>
                      <w:tcPr>
                        <w:tcW w:w="810" w:type="dxa"/>
                        <w:tcBorders>
                          <w:right w:val="single" w:sz="6" w:space="0" w:color="000000"/>
                        </w:tcBorders>
                      </w:tcPr>
                      <w:p>
                        <w:pPr>
                          <w:pStyle w:val="TableParagraph"/>
                          <w:spacing w:before="37"/>
                          <w:ind w:left="225" w:right="208"/>
                          <w:jc w:val="center"/>
                          <w:rPr>
                            <w:sz w:val="16"/>
                          </w:rPr>
                        </w:pPr>
                        <w:r>
                          <w:rPr>
                            <w:sz w:val="16"/>
                          </w:rPr>
                          <w:t>ES</w:t>
                        </w:r>
                      </w:p>
                    </w:tc>
                  </w:tr>
                  <w:tr>
                    <w:trPr>
                      <w:trHeight w:val="273" w:hRule="atLeast"/>
                    </w:trPr>
                    <w:tc>
                      <w:tcPr>
                        <w:tcW w:w="1212" w:type="dxa"/>
                      </w:tcPr>
                      <w:p>
                        <w:pPr>
                          <w:pStyle w:val="TableParagraph"/>
                          <w:spacing w:before="37"/>
                          <w:ind w:left="54"/>
                          <w:rPr>
                            <w:sz w:val="16"/>
                          </w:rPr>
                        </w:pPr>
                        <w:r>
                          <w:rPr>
                            <w:sz w:val="16"/>
                          </w:rPr>
                          <w:t>Haiti</w:t>
                        </w:r>
                      </w:p>
                    </w:tc>
                    <w:tc>
                      <w:tcPr>
                        <w:tcW w:w="1214" w:type="dxa"/>
                      </w:tcPr>
                      <w:p>
                        <w:pPr>
                          <w:pStyle w:val="TableParagraph"/>
                          <w:spacing w:before="37"/>
                          <w:ind w:left="465" w:right="455"/>
                          <w:jc w:val="center"/>
                          <w:rPr>
                            <w:sz w:val="16"/>
                          </w:rPr>
                        </w:pPr>
                        <w:r>
                          <w:rPr>
                            <w:sz w:val="16"/>
                          </w:rPr>
                          <w:t>28</w:t>
                        </w:r>
                      </w:p>
                    </w:tc>
                    <w:tc>
                      <w:tcPr>
                        <w:tcW w:w="1212" w:type="dxa"/>
                      </w:tcPr>
                      <w:p>
                        <w:pPr>
                          <w:pStyle w:val="TableParagraph"/>
                          <w:spacing w:before="37"/>
                          <w:ind w:right="476"/>
                          <w:jc w:val="right"/>
                          <w:rPr>
                            <w:sz w:val="16"/>
                          </w:rPr>
                        </w:pPr>
                        <w:r>
                          <w:rPr>
                            <w:sz w:val="16"/>
                          </w:rPr>
                          <w:t>101</w:t>
                        </w:r>
                      </w:p>
                    </w:tc>
                    <w:tc>
                      <w:tcPr>
                        <w:tcW w:w="810" w:type="dxa"/>
                        <w:tcBorders>
                          <w:right w:val="single" w:sz="6" w:space="0" w:color="000000"/>
                        </w:tcBorders>
                      </w:tcPr>
                      <w:p>
                        <w:pPr>
                          <w:pStyle w:val="TableParagraph"/>
                          <w:spacing w:before="37"/>
                          <w:ind w:left="225" w:right="211"/>
                          <w:jc w:val="center"/>
                          <w:rPr>
                            <w:sz w:val="16"/>
                          </w:rPr>
                        </w:pPr>
                        <w:r>
                          <w:rPr>
                            <w:sz w:val="16"/>
                          </w:rPr>
                          <w:t>ES</w:t>
                        </w:r>
                      </w:p>
                    </w:tc>
                  </w:tr>
                  <w:tr>
                    <w:trPr>
                      <w:trHeight w:val="273" w:hRule="atLeast"/>
                    </w:trPr>
                    <w:tc>
                      <w:tcPr>
                        <w:tcW w:w="1212" w:type="dxa"/>
                      </w:tcPr>
                      <w:p>
                        <w:pPr>
                          <w:pStyle w:val="TableParagraph"/>
                          <w:spacing w:before="37"/>
                          <w:ind w:left="54"/>
                          <w:rPr>
                            <w:sz w:val="16"/>
                          </w:rPr>
                        </w:pPr>
                        <w:r>
                          <w:rPr>
                            <w:sz w:val="16"/>
                          </w:rPr>
                          <w:t>Honduras</w:t>
                        </w:r>
                      </w:p>
                    </w:tc>
                    <w:tc>
                      <w:tcPr>
                        <w:tcW w:w="1214" w:type="dxa"/>
                      </w:tcPr>
                      <w:p>
                        <w:pPr>
                          <w:pStyle w:val="TableParagraph"/>
                          <w:spacing w:before="37"/>
                          <w:ind w:left="465" w:right="455"/>
                          <w:jc w:val="center"/>
                          <w:rPr>
                            <w:sz w:val="16"/>
                          </w:rPr>
                        </w:pPr>
                        <w:r>
                          <w:rPr>
                            <w:sz w:val="16"/>
                          </w:rPr>
                          <w:t>58</w:t>
                        </w:r>
                      </w:p>
                    </w:tc>
                    <w:tc>
                      <w:tcPr>
                        <w:tcW w:w="1212" w:type="dxa"/>
                      </w:tcPr>
                      <w:p>
                        <w:pPr>
                          <w:pStyle w:val="TableParagraph"/>
                          <w:spacing w:before="37"/>
                          <w:ind w:right="476"/>
                          <w:jc w:val="right"/>
                          <w:rPr>
                            <w:sz w:val="16"/>
                          </w:rPr>
                        </w:pPr>
                        <w:r>
                          <w:rPr>
                            <w:sz w:val="16"/>
                          </w:rPr>
                          <w:t>105</w:t>
                        </w:r>
                      </w:p>
                    </w:tc>
                    <w:tc>
                      <w:tcPr>
                        <w:tcW w:w="810" w:type="dxa"/>
                        <w:tcBorders>
                          <w:right w:val="single" w:sz="6" w:space="0" w:color="000000"/>
                        </w:tcBorders>
                      </w:tcPr>
                      <w:p>
                        <w:pPr>
                          <w:pStyle w:val="TableParagraph"/>
                          <w:spacing w:before="37"/>
                          <w:ind w:left="225" w:right="211"/>
                          <w:jc w:val="center"/>
                          <w:rPr>
                            <w:sz w:val="16"/>
                          </w:rPr>
                        </w:pPr>
                        <w:r>
                          <w:rPr>
                            <w:sz w:val="16"/>
                          </w:rPr>
                          <w:t>ES</w:t>
                        </w:r>
                      </w:p>
                    </w:tc>
                  </w:tr>
                  <w:tr>
                    <w:trPr>
                      <w:trHeight w:val="275" w:hRule="atLeast"/>
                    </w:trPr>
                    <w:tc>
                      <w:tcPr>
                        <w:tcW w:w="1212" w:type="dxa"/>
                      </w:tcPr>
                      <w:p>
                        <w:pPr>
                          <w:pStyle w:val="TableParagraph"/>
                          <w:spacing w:before="37"/>
                          <w:ind w:left="54"/>
                          <w:rPr>
                            <w:sz w:val="16"/>
                          </w:rPr>
                        </w:pPr>
                        <w:r>
                          <w:rPr>
                            <w:sz w:val="16"/>
                          </w:rPr>
                          <w:t>Jamaica</w:t>
                        </w:r>
                      </w:p>
                    </w:tc>
                    <w:tc>
                      <w:tcPr>
                        <w:tcW w:w="1214" w:type="dxa"/>
                      </w:tcPr>
                      <w:p>
                        <w:pPr>
                          <w:pStyle w:val="TableParagraph"/>
                          <w:spacing w:before="37"/>
                          <w:ind w:left="466" w:right="455"/>
                          <w:jc w:val="center"/>
                          <w:rPr>
                            <w:sz w:val="16"/>
                          </w:rPr>
                        </w:pPr>
                        <w:r>
                          <w:rPr>
                            <w:sz w:val="16"/>
                          </w:rPr>
                          <w:t>82</w:t>
                        </w:r>
                      </w:p>
                    </w:tc>
                    <w:tc>
                      <w:tcPr>
                        <w:tcW w:w="1212" w:type="dxa"/>
                      </w:tcPr>
                      <w:p>
                        <w:pPr>
                          <w:pStyle w:val="TableParagraph"/>
                          <w:spacing w:before="37"/>
                          <w:ind w:right="475"/>
                          <w:jc w:val="right"/>
                          <w:rPr>
                            <w:sz w:val="16"/>
                          </w:rPr>
                        </w:pPr>
                        <w:r>
                          <w:rPr>
                            <w:sz w:val="16"/>
                          </w:rPr>
                          <w:t>171</w:t>
                        </w:r>
                      </w:p>
                    </w:tc>
                    <w:tc>
                      <w:tcPr>
                        <w:tcW w:w="810" w:type="dxa"/>
                        <w:tcBorders>
                          <w:right w:val="single" w:sz="6" w:space="0" w:color="000000"/>
                        </w:tcBorders>
                      </w:tcPr>
                      <w:p>
                        <w:pPr>
                          <w:pStyle w:val="TableParagraph"/>
                          <w:spacing w:before="37"/>
                          <w:ind w:left="225" w:right="210"/>
                          <w:jc w:val="center"/>
                          <w:rPr>
                            <w:sz w:val="16"/>
                          </w:rPr>
                        </w:pPr>
                        <w:r>
                          <w:rPr>
                            <w:sz w:val="16"/>
                          </w:rPr>
                          <w:t>ES</w:t>
                        </w:r>
                      </w:p>
                    </w:tc>
                  </w:tr>
                  <w:tr>
                    <w:trPr>
                      <w:trHeight w:val="273" w:hRule="atLeast"/>
                    </w:trPr>
                    <w:tc>
                      <w:tcPr>
                        <w:tcW w:w="1212" w:type="dxa"/>
                      </w:tcPr>
                      <w:p>
                        <w:pPr>
                          <w:pStyle w:val="TableParagraph"/>
                          <w:spacing w:before="37"/>
                          <w:ind w:left="54"/>
                          <w:rPr>
                            <w:sz w:val="16"/>
                          </w:rPr>
                        </w:pPr>
                        <w:r>
                          <w:rPr>
                            <w:sz w:val="16"/>
                          </w:rPr>
                          <w:t>Martinique</w:t>
                        </w:r>
                      </w:p>
                    </w:tc>
                    <w:tc>
                      <w:tcPr>
                        <w:tcW w:w="1214" w:type="dxa"/>
                      </w:tcPr>
                      <w:p>
                        <w:pPr>
                          <w:pStyle w:val="TableParagraph"/>
                          <w:spacing w:before="37"/>
                          <w:ind w:left="10"/>
                          <w:jc w:val="center"/>
                          <w:rPr>
                            <w:sz w:val="16"/>
                          </w:rPr>
                        </w:pPr>
                        <w:r>
                          <w:rPr>
                            <w:w w:val="100"/>
                            <w:sz w:val="16"/>
                          </w:rPr>
                          <w:t>5</w:t>
                        </w:r>
                      </w:p>
                    </w:tc>
                    <w:tc>
                      <w:tcPr>
                        <w:tcW w:w="1212" w:type="dxa"/>
                      </w:tcPr>
                      <w:p>
                        <w:pPr>
                          <w:pStyle w:val="TableParagraph"/>
                          <w:spacing w:before="37"/>
                          <w:ind w:left="8"/>
                          <w:jc w:val="center"/>
                          <w:rPr>
                            <w:sz w:val="16"/>
                          </w:rPr>
                        </w:pPr>
                        <w:r>
                          <w:rPr>
                            <w:w w:val="100"/>
                            <w:sz w:val="16"/>
                          </w:rPr>
                          <w:t>5</w:t>
                        </w:r>
                      </w:p>
                    </w:tc>
                    <w:tc>
                      <w:tcPr>
                        <w:tcW w:w="810" w:type="dxa"/>
                        <w:tcBorders>
                          <w:right w:val="single" w:sz="6" w:space="0" w:color="000000"/>
                        </w:tcBorders>
                      </w:tcPr>
                      <w:p>
                        <w:pPr>
                          <w:pStyle w:val="TableParagraph"/>
                          <w:spacing w:before="37"/>
                          <w:ind w:left="225" w:right="210"/>
                          <w:jc w:val="center"/>
                          <w:rPr>
                            <w:sz w:val="16"/>
                          </w:rPr>
                        </w:pPr>
                        <w:r>
                          <w:rPr>
                            <w:sz w:val="16"/>
                          </w:rPr>
                          <w:t>ES</w:t>
                        </w:r>
                      </w:p>
                    </w:tc>
                  </w:tr>
                  <w:tr>
                    <w:trPr>
                      <w:trHeight w:val="273" w:hRule="atLeast"/>
                    </w:trPr>
                    <w:tc>
                      <w:tcPr>
                        <w:tcW w:w="1212" w:type="dxa"/>
                      </w:tcPr>
                      <w:p>
                        <w:pPr>
                          <w:pStyle w:val="TableParagraph"/>
                          <w:spacing w:before="37"/>
                          <w:ind w:left="54"/>
                          <w:rPr>
                            <w:sz w:val="16"/>
                          </w:rPr>
                        </w:pPr>
                        <w:r>
                          <w:rPr>
                            <w:sz w:val="16"/>
                          </w:rPr>
                          <w:t>Mexico</w:t>
                        </w:r>
                      </w:p>
                    </w:tc>
                    <w:tc>
                      <w:tcPr>
                        <w:tcW w:w="1214" w:type="dxa"/>
                      </w:tcPr>
                      <w:p>
                        <w:pPr>
                          <w:pStyle w:val="TableParagraph"/>
                          <w:spacing w:before="37"/>
                          <w:ind w:left="466" w:right="455"/>
                          <w:jc w:val="center"/>
                          <w:rPr>
                            <w:sz w:val="16"/>
                          </w:rPr>
                        </w:pPr>
                        <w:r>
                          <w:rPr>
                            <w:sz w:val="16"/>
                          </w:rPr>
                          <w:t>52</w:t>
                        </w:r>
                      </w:p>
                    </w:tc>
                    <w:tc>
                      <w:tcPr>
                        <w:tcW w:w="1212" w:type="dxa"/>
                      </w:tcPr>
                      <w:p>
                        <w:pPr>
                          <w:pStyle w:val="TableParagraph"/>
                          <w:spacing w:before="37"/>
                          <w:ind w:right="512"/>
                          <w:jc w:val="right"/>
                          <w:rPr>
                            <w:sz w:val="16"/>
                          </w:rPr>
                        </w:pPr>
                        <w:r>
                          <w:rPr>
                            <w:sz w:val="16"/>
                          </w:rPr>
                          <w:t>54</w:t>
                        </w:r>
                      </w:p>
                    </w:tc>
                    <w:tc>
                      <w:tcPr>
                        <w:tcW w:w="810" w:type="dxa"/>
                        <w:tcBorders>
                          <w:right w:val="single" w:sz="6" w:space="0" w:color="000000"/>
                        </w:tcBorders>
                      </w:tcPr>
                      <w:p>
                        <w:pPr>
                          <w:pStyle w:val="TableParagraph"/>
                          <w:spacing w:before="37"/>
                          <w:ind w:left="225" w:right="202"/>
                          <w:jc w:val="center"/>
                          <w:rPr>
                            <w:sz w:val="16"/>
                          </w:rPr>
                        </w:pPr>
                        <w:r>
                          <w:rPr>
                            <w:sz w:val="16"/>
                          </w:rPr>
                          <w:t>NI</w:t>
                        </w:r>
                      </w:p>
                    </w:tc>
                  </w:tr>
                  <w:tr>
                    <w:trPr>
                      <w:trHeight w:val="275" w:hRule="atLeast"/>
                    </w:trPr>
                    <w:tc>
                      <w:tcPr>
                        <w:tcW w:w="1212" w:type="dxa"/>
                      </w:tcPr>
                      <w:p>
                        <w:pPr>
                          <w:pStyle w:val="TableParagraph"/>
                          <w:spacing w:before="37"/>
                          <w:ind w:left="54"/>
                          <w:rPr>
                            <w:sz w:val="16"/>
                          </w:rPr>
                        </w:pPr>
                        <w:r>
                          <w:rPr>
                            <w:sz w:val="16"/>
                          </w:rPr>
                          <w:t>Montserrat</w:t>
                        </w:r>
                      </w:p>
                    </w:tc>
                    <w:tc>
                      <w:tcPr>
                        <w:tcW w:w="1214" w:type="dxa"/>
                      </w:tcPr>
                      <w:p>
                        <w:pPr>
                          <w:pStyle w:val="TableParagraph"/>
                          <w:spacing w:before="37"/>
                          <w:ind w:left="11"/>
                          <w:jc w:val="center"/>
                          <w:rPr>
                            <w:sz w:val="16"/>
                          </w:rPr>
                        </w:pPr>
                        <w:r>
                          <w:rPr>
                            <w:w w:val="100"/>
                            <w:sz w:val="16"/>
                          </w:rPr>
                          <w:t>-</w:t>
                        </w:r>
                      </w:p>
                    </w:tc>
                    <w:tc>
                      <w:tcPr>
                        <w:tcW w:w="1212" w:type="dxa"/>
                      </w:tcPr>
                      <w:p>
                        <w:pPr>
                          <w:pStyle w:val="TableParagraph"/>
                          <w:spacing w:before="37"/>
                          <w:ind w:left="9"/>
                          <w:jc w:val="center"/>
                          <w:rPr>
                            <w:sz w:val="16"/>
                          </w:rPr>
                        </w:pPr>
                        <w:r>
                          <w:rPr>
                            <w:w w:val="100"/>
                            <w:sz w:val="16"/>
                          </w:rPr>
                          <w:t>-</w:t>
                        </w:r>
                      </w:p>
                    </w:tc>
                    <w:tc>
                      <w:tcPr>
                        <w:tcW w:w="810" w:type="dxa"/>
                        <w:tcBorders>
                          <w:right w:val="single" w:sz="6" w:space="0" w:color="000000"/>
                        </w:tcBorders>
                      </w:tcPr>
                      <w:p>
                        <w:pPr>
                          <w:pStyle w:val="TableParagraph"/>
                          <w:spacing w:before="37"/>
                          <w:ind w:left="16"/>
                          <w:jc w:val="center"/>
                          <w:rPr>
                            <w:sz w:val="16"/>
                          </w:rPr>
                        </w:pPr>
                        <w:r>
                          <w:rPr>
                            <w:w w:val="100"/>
                            <w:sz w:val="16"/>
                          </w:rPr>
                          <w:t>-</w:t>
                        </w:r>
                      </w:p>
                    </w:tc>
                  </w:tr>
                  <w:tr>
                    <w:trPr>
                      <w:trHeight w:val="443" w:hRule="atLeast"/>
                    </w:trPr>
                    <w:tc>
                      <w:tcPr>
                        <w:tcW w:w="1212" w:type="dxa"/>
                      </w:tcPr>
                      <w:p>
                        <w:pPr>
                          <w:pStyle w:val="TableParagraph"/>
                          <w:spacing w:before="33"/>
                          <w:ind w:left="54" w:right="354"/>
                          <w:rPr>
                            <w:sz w:val="16"/>
                          </w:rPr>
                        </w:pPr>
                        <w:r>
                          <w:rPr>
                            <w:sz w:val="16"/>
                          </w:rPr>
                          <w:t>Netherlands Antilles</w:t>
                        </w:r>
                      </w:p>
                    </w:tc>
                    <w:tc>
                      <w:tcPr>
                        <w:tcW w:w="1214" w:type="dxa"/>
                      </w:tcPr>
                      <w:p>
                        <w:pPr>
                          <w:pStyle w:val="TableParagraph"/>
                          <w:spacing w:before="124"/>
                          <w:ind w:left="10"/>
                          <w:jc w:val="center"/>
                          <w:rPr>
                            <w:sz w:val="16"/>
                          </w:rPr>
                        </w:pPr>
                        <w:r>
                          <w:rPr>
                            <w:w w:val="100"/>
                            <w:sz w:val="16"/>
                          </w:rPr>
                          <w:t>-</w:t>
                        </w:r>
                      </w:p>
                    </w:tc>
                    <w:tc>
                      <w:tcPr>
                        <w:tcW w:w="1212" w:type="dxa"/>
                      </w:tcPr>
                      <w:p>
                        <w:pPr>
                          <w:pStyle w:val="TableParagraph"/>
                          <w:spacing w:before="124"/>
                          <w:ind w:left="8"/>
                          <w:jc w:val="center"/>
                          <w:rPr>
                            <w:sz w:val="16"/>
                          </w:rPr>
                        </w:pPr>
                        <w:r>
                          <w:rPr>
                            <w:w w:val="100"/>
                            <w:sz w:val="16"/>
                          </w:rPr>
                          <w:t>-</w:t>
                        </w:r>
                      </w:p>
                    </w:tc>
                    <w:tc>
                      <w:tcPr>
                        <w:tcW w:w="810" w:type="dxa"/>
                        <w:tcBorders>
                          <w:right w:val="single" w:sz="6" w:space="0" w:color="000000"/>
                        </w:tcBorders>
                      </w:tcPr>
                      <w:p>
                        <w:pPr>
                          <w:pStyle w:val="TableParagraph"/>
                          <w:spacing w:before="124"/>
                          <w:ind w:left="14"/>
                          <w:jc w:val="center"/>
                          <w:rPr>
                            <w:sz w:val="16"/>
                          </w:rPr>
                        </w:pPr>
                        <w:r>
                          <w:rPr>
                            <w:w w:val="100"/>
                            <w:sz w:val="16"/>
                          </w:rPr>
                          <w:t>-</w:t>
                        </w:r>
                      </w:p>
                    </w:tc>
                  </w:tr>
                  <w:tr>
                    <w:trPr>
                      <w:trHeight w:val="273" w:hRule="atLeast"/>
                    </w:trPr>
                    <w:tc>
                      <w:tcPr>
                        <w:tcW w:w="1212" w:type="dxa"/>
                      </w:tcPr>
                      <w:p>
                        <w:pPr>
                          <w:pStyle w:val="TableParagraph"/>
                          <w:spacing w:before="37"/>
                          <w:ind w:left="54"/>
                          <w:rPr>
                            <w:sz w:val="16"/>
                          </w:rPr>
                        </w:pPr>
                        <w:r>
                          <w:rPr>
                            <w:sz w:val="16"/>
                          </w:rPr>
                          <w:t>Nicaragua</w:t>
                        </w:r>
                      </w:p>
                    </w:tc>
                    <w:tc>
                      <w:tcPr>
                        <w:tcW w:w="1214" w:type="dxa"/>
                      </w:tcPr>
                      <w:p>
                        <w:pPr>
                          <w:pStyle w:val="TableParagraph"/>
                          <w:spacing w:before="37"/>
                          <w:ind w:left="467" w:right="454"/>
                          <w:jc w:val="center"/>
                          <w:rPr>
                            <w:sz w:val="16"/>
                          </w:rPr>
                        </w:pPr>
                        <w:r>
                          <w:rPr>
                            <w:sz w:val="16"/>
                          </w:rPr>
                          <w:t>154</w:t>
                        </w:r>
                      </w:p>
                    </w:tc>
                    <w:tc>
                      <w:tcPr>
                        <w:tcW w:w="1212" w:type="dxa"/>
                      </w:tcPr>
                      <w:p>
                        <w:pPr>
                          <w:pStyle w:val="TableParagraph"/>
                          <w:spacing w:before="37"/>
                          <w:ind w:right="475"/>
                          <w:jc w:val="right"/>
                          <w:rPr>
                            <w:sz w:val="16"/>
                          </w:rPr>
                        </w:pPr>
                        <w:r>
                          <w:rPr>
                            <w:sz w:val="16"/>
                          </w:rPr>
                          <w:t>161</w:t>
                        </w:r>
                      </w:p>
                    </w:tc>
                    <w:tc>
                      <w:tcPr>
                        <w:tcW w:w="810" w:type="dxa"/>
                        <w:tcBorders>
                          <w:right w:val="single" w:sz="6" w:space="0" w:color="000000"/>
                        </w:tcBorders>
                      </w:tcPr>
                      <w:p>
                        <w:pPr>
                          <w:pStyle w:val="TableParagraph"/>
                          <w:spacing w:before="37"/>
                          <w:ind w:left="225" w:right="210"/>
                          <w:jc w:val="center"/>
                          <w:rPr>
                            <w:sz w:val="16"/>
                          </w:rPr>
                        </w:pPr>
                        <w:r>
                          <w:rPr>
                            <w:sz w:val="16"/>
                          </w:rPr>
                          <w:t>ES</w:t>
                        </w:r>
                      </w:p>
                    </w:tc>
                  </w:tr>
                  <w:tr>
                    <w:trPr>
                      <w:trHeight w:val="275" w:hRule="atLeast"/>
                    </w:trPr>
                    <w:tc>
                      <w:tcPr>
                        <w:tcW w:w="1212" w:type="dxa"/>
                      </w:tcPr>
                      <w:p>
                        <w:pPr>
                          <w:pStyle w:val="TableParagraph"/>
                          <w:spacing w:before="37"/>
                          <w:ind w:left="54"/>
                          <w:rPr>
                            <w:sz w:val="16"/>
                          </w:rPr>
                        </w:pPr>
                        <w:r>
                          <w:rPr>
                            <w:sz w:val="16"/>
                          </w:rPr>
                          <w:t>Panama</w:t>
                        </w:r>
                      </w:p>
                    </w:tc>
                    <w:tc>
                      <w:tcPr>
                        <w:tcW w:w="1214" w:type="dxa"/>
                      </w:tcPr>
                      <w:p>
                        <w:pPr>
                          <w:pStyle w:val="TableParagraph"/>
                          <w:spacing w:before="37"/>
                          <w:ind w:left="466" w:right="455"/>
                          <w:jc w:val="center"/>
                          <w:rPr>
                            <w:sz w:val="16"/>
                          </w:rPr>
                        </w:pPr>
                        <w:r>
                          <w:rPr>
                            <w:sz w:val="16"/>
                          </w:rPr>
                          <w:t>308</w:t>
                        </w:r>
                      </w:p>
                    </w:tc>
                    <w:tc>
                      <w:tcPr>
                        <w:tcW w:w="1212" w:type="dxa"/>
                      </w:tcPr>
                      <w:p>
                        <w:pPr>
                          <w:pStyle w:val="TableParagraph"/>
                          <w:spacing w:before="37"/>
                          <w:ind w:right="476"/>
                          <w:jc w:val="right"/>
                          <w:rPr>
                            <w:sz w:val="16"/>
                          </w:rPr>
                        </w:pPr>
                        <w:r>
                          <w:rPr>
                            <w:sz w:val="16"/>
                          </w:rPr>
                          <w:t>322</w:t>
                        </w:r>
                      </w:p>
                    </w:tc>
                    <w:tc>
                      <w:tcPr>
                        <w:tcW w:w="810" w:type="dxa"/>
                        <w:tcBorders>
                          <w:right w:val="single" w:sz="6" w:space="0" w:color="000000"/>
                        </w:tcBorders>
                      </w:tcPr>
                      <w:p>
                        <w:pPr>
                          <w:pStyle w:val="TableParagraph"/>
                          <w:spacing w:before="37"/>
                          <w:ind w:left="225" w:right="210"/>
                          <w:jc w:val="center"/>
                          <w:rPr>
                            <w:sz w:val="16"/>
                          </w:rPr>
                        </w:pPr>
                        <w:r>
                          <w:rPr>
                            <w:sz w:val="16"/>
                          </w:rPr>
                          <w:t>ES</w:t>
                        </w:r>
                      </w:p>
                    </w:tc>
                  </w:tr>
                  <w:tr>
                    <w:trPr>
                      <w:trHeight w:val="273" w:hRule="atLeast"/>
                    </w:trPr>
                    <w:tc>
                      <w:tcPr>
                        <w:tcW w:w="1212" w:type="dxa"/>
                      </w:tcPr>
                      <w:p>
                        <w:pPr>
                          <w:pStyle w:val="TableParagraph"/>
                          <w:spacing w:before="37"/>
                          <w:ind w:left="54"/>
                          <w:rPr>
                            <w:sz w:val="16"/>
                          </w:rPr>
                        </w:pPr>
                        <w:r>
                          <w:rPr>
                            <w:sz w:val="16"/>
                          </w:rPr>
                          <w:t>Puerto Rico</w:t>
                        </w:r>
                      </w:p>
                    </w:tc>
                    <w:tc>
                      <w:tcPr>
                        <w:tcW w:w="1214" w:type="dxa"/>
                      </w:tcPr>
                      <w:p>
                        <w:pPr>
                          <w:pStyle w:val="TableParagraph"/>
                          <w:spacing w:before="37"/>
                          <w:ind w:left="12"/>
                          <w:jc w:val="center"/>
                          <w:rPr>
                            <w:sz w:val="16"/>
                          </w:rPr>
                        </w:pPr>
                        <w:r>
                          <w:rPr>
                            <w:w w:val="100"/>
                            <w:sz w:val="16"/>
                          </w:rPr>
                          <w:t>-</w:t>
                        </w:r>
                      </w:p>
                    </w:tc>
                    <w:tc>
                      <w:tcPr>
                        <w:tcW w:w="1212" w:type="dxa"/>
                      </w:tcPr>
                      <w:p>
                        <w:pPr>
                          <w:pStyle w:val="TableParagraph"/>
                          <w:spacing w:before="37"/>
                          <w:ind w:left="10"/>
                          <w:jc w:val="center"/>
                          <w:rPr>
                            <w:sz w:val="16"/>
                          </w:rPr>
                        </w:pPr>
                        <w:r>
                          <w:rPr>
                            <w:w w:val="100"/>
                            <w:sz w:val="16"/>
                          </w:rPr>
                          <w:t>-</w:t>
                        </w:r>
                      </w:p>
                    </w:tc>
                    <w:tc>
                      <w:tcPr>
                        <w:tcW w:w="810" w:type="dxa"/>
                        <w:tcBorders>
                          <w:right w:val="single" w:sz="6" w:space="0" w:color="000000"/>
                        </w:tcBorders>
                      </w:tcPr>
                      <w:p>
                        <w:pPr>
                          <w:pStyle w:val="TableParagraph"/>
                          <w:spacing w:before="37"/>
                          <w:ind w:left="16"/>
                          <w:jc w:val="center"/>
                          <w:rPr>
                            <w:sz w:val="16"/>
                          </w:rPr>
                        </w:pPr>
                        <w:r>
                          <w:rPr>
                            <w:w w:val="100"/>
                            <w:sz w:val="16"/>
                          </w:rPr>
                          <w:t>-</w:t>
                        </w:r>
                      </w:p>
                    </w:tc>
                  </w:tr>
                  <w:tr>
                    <w:trPr>
                      <w:trHeight w:val="386" w:hRule="atLeast"/>
                    </w:trPr>
                    <w:tc>
                      <w:tcPr>
                        <w:tcW w:w="1212" w:type="dxa"/>
                      </w:tcPr>
                      <w:p>
                        <w:pPr>
                          <w:pStyle w:val="TableParagraph"/>
                          <w:spacing w:line="180" w:lineRule="atLeast" w:before="4"/>
                          <w:ind w:left="54" w:right="176"/>
                          <w:rPr>
                            <w:sz w:val="16"/>
                          </w:rPr>
                        </w:pPr>
                        <w:r>
                          <w:rPr>
                            <w:sz w:val="16"/>
                          </w:rPr>
                          <w:t>Saint Kitts and Nevis</w:t>
                        </w:r>
                      </w:p>
                    </w:tc>
                    <w:tc>
                      <w:tcPr>
                        <w:tcW w:w="1214" w:type="dxa"/>
                      </w:tcPr>
                      <w:p>
                        <w:pPr>
                          <w:pStyle w:val="TableParagraph"/>
                          <w:spacing w:before="95"/>
                          <w:ind w:left="10"/>
                          <w:jc w:val="center"/>
                          <w:rPr>
                            <w:sz w:val="16"/>
                          </w:rPr>
                        </w:pPr>
                        <w:r>
                          <w:rPr>
                            <w:w w:val="100"/>
                            <w:sz w:val="16"/>
                          </w:rPr>
                          <w:t>-</w:t>
                        </w:r>
                      </w:p>
                    </w:tc>
                    <w:tc>
                      <w:tcPr>
                        <w:tcW w:w="1212" w:type="dxa"/>
                      </w:tcPr>
                      <w:p>
                        <w:pPr>
                          <w:pStyle w:val="TableParagraph"/>
                          <w:spacing w:before="95"/>
                          <w:ind w:left="8"/>
                          <w:jc w:val="center"/>
                          <w:rPr>
                            <w:sz w:val="16"/>
                          </w:rPr>
                        </w:pPr>
                        <w:r>
                          <w:rPr>
                            <w:w w:val="100"/>
                            <w:sz w:val="16"/>
                          </w:rPr>
                          <w:t>-</w:t>
                        </w:r>
                      </w:p>
                    </w:tc>
                    <w:tc>
                      <w:tcPr>
                        <w:tcW w:w="810" w:type="dxa"/>
                        <w:tcBorders>
                          <w:right w:val="single" w:sz="6" w:space="0" w:color="000000"/>
                        </w:tcBorders>
                      </w:tcPr>
                      <w:p>
                        <w:pPr>
                          <w:pStyle w:val="TableParagraph"/>
                          <w:spacing w:before="95"/>
                          <w:ind w:left="14"/>
                          <w:jc w:val="center"/>
                          <w:rPr>
                            <w:sz w:val="16"/>
                          </w:rPr>
                        </w:pPr>
                        <w:r>
                          <w:rPr>
                            <w:w w:val="100"/>
                            <w:sz w:val="16"/>
                          </w:rPr>
                          <w:t>-</w:t>
                        </w:r>
                      </w:p>
                    </w:tc>
                  </w:tr>
                  <w:tr>
                    <w:trPr>
                      <w:trHeight w:val="275" w:hRule="atLeast"/>
                    </w:trPr>
                    <w:tc>
                      <w:tcPr>
                        <w:tcW w:w="1212" w:type="dxa"/>
                      </w:tcPr>
                      <w:p>
                        <w:pPr>
                          <w:pStyle w:val="TableParagraph"/>
                          <w:spacing w:before="37"/>
                          <w:ind w:left="54"/>
                          <w:rPr>
                            <w:sz w:val="16"/>
                          </w:rPr>
                        </w:pPr>
                        <w:r>
                          <w:rPr>
                            <w:sz w:val="16"/>
                          </w:rPr>
                          <w:t>Saint Lucia</w:t>
                        </w:r>
                      </w:p>
                    </w:tc>
                    <w:tc>
                      <w:tcPr>
                        <w:tcW w:w="1214" w:type="dxa"/>
                      </w:tcPr>
                      <w:p>
                        <w:pPr>
                          <w:pStyle w:val="TableParagraph"/>
                          <w:spacing w:before="37"/>
                          <w:ind w:left="467" w:right="455"/>
                          <w:jc w:val="center"/>
                          <w:rPr>
                            <w:sz w:val="16"/>
                          </w:rPr>
                        </w:pPr>
                        <w:r>
                          <w:rPr>
                            <w:sz w:val="16"/>
                          </w:rPr>
                          <w:t>190</w:t>
                        </w:r>
                      </w:p>
                    </w:tc>
                    <w:tc>
                      <w:tcPr>
                        <w:tcW w:w="1212" w:type="dxa"/>
                      </w:tcPr>
                      <w:p>
                        <w:pPr>
                          <w:pStyle w:val="TableParagraph"/>
                          <w:spacing w:before="37"/>
                          <w:ind w:right="476"/>
                          <w:jc w:val="right"/>
                          <w:rPr>
                            <w:sz w:val="16"/>
                          </w:rPr>
                        </w:pPr>
                        <w:r>
                          <w:rPr>
                            <w:sz w:val="16"/>
                          </w:rPr>
                          <w:t>198</w:t>
                        </w:r>
                      </w:p>
                    </w:tc>
                    <w:tc>
                      <w:tcPr>
                        <w:tcW w:w="810" w:type="dxa"/>
                        <w:tcBorders>
                          <w:right w:val="single" w:sz="6" w:space="0" w:color="000000"/>
                        </w:tcBorders>
                      </w:tcPr>
                      <w:p>
                        <w:pPr>
                          <w:pStyle w:val="TableParagraph"/>
                          <w:spacing w:before="37"/>
                          <w:ind w:left="225" w:right="211"/>
                          <w:jc w:val="center"/>
                          <w:rPr>
                            <w:sz w:val="16"/>
                          </w:rPr>
                        </w:pPr>
                        <w:r>
                          <w:rPr>
                            <w:sz w:val="16"/>
                          </w:rPr>
                          <w:t>ES</w:t>
                        </w:r>
                      </w:p>
                    </w:tc>
                  </w:tr>
                  <w:tr>
                    <w:trPr>
                      <w:trHeight w:val="386" w:hRule="atLeast"/>
                    </w:trPr>
                    <w:tc>
                      <w:tcPr>
                        <w:tcW w:w="1212" w:type="dxa"/>
                      </w:tcPr>
                      <w:p>
                        <w:pPr>
                          <w:pStyle w:val="TableParagraph"/>
                          <w:spacing w:line="182" w:lineRule="exact" w:before="7"/>
                          <w:ind w:left="54" w:right="212"/>
                          <w:rPr>
                            <w:sz w:val="16"/>
                          </w:rPr>
                        </w:pPr>
                        <w:r>
                          <w:rPr>
                            <w:sz w:val="16"/>
                          </w:rPr>
                          <w:t>Saint Pierre &amp; Miquelon</w:t>
                        </w:r>
                      </w:p>
                    </w:tc>
                    <w:tc>
                      <w:tcPr>
                        <w:tcW w:w="1214" w:type="dxa"/>
                      </w:tcPr>
                      <w:p>
                        <w:pPr>
                          <w:pStyle w:val="TableParagraph"/>
                          <w:spacing w:before="97"/>
                          <w:ind w:left="39"/>
                          <w:jc w:val="center"/>
                          <w:rPr>
                            <w:b/>
                            <w:sz w:val="16"/>
                          </w:rPr>
                        </w:pPr>
                        <w:r>
                          <w:rPr>
                            <w:b/>
                            <w:w w:val="100"/>
                            <w:sz w:val="16"/>
                          </w:rPr>
                          <w:t>-</w:t>
                        </w:r>
                      </w:p>
                    </w:tc>
                    <w:tc>
                      <w:tcPr>
                        <w:tcW w:w="1212" w:type="dxa"/>
                      </w:tcPr>
                      <w:p>
                        <w:pPr>
                          <w:pStyle w:val="TableParagraph"/>
                          <w:spacing w:before="97"/>
                          <w:ind w:right="553"/>
                          <w:jc w:val="right"/>
                          <w:rPr>
                            <w:b/>
                            <w:sz w:val="16"/>
                          </w:rPr>
                        </w:pPr>
                        <w:r>
                          <w:rPr>
                            <w:b/>
                            <w:w w:val="100"/>
                            <w:sz w:val="16"/>
                          </w:rPr>
                          <w:t>-</w:t>
                        </w:r>
                      </w:p>
                    </w:tc>
                    <w:tc>
                      <w:tcPr>
                        <w:tcW w:w="810" w:type="dxa"/>
                        <w:tcBorders>
                          <w:right w:val="single" w:sz="6" w:space="0" w:color="000000"/>
                        </w:tcBorders>
                      </w:tcPr>
                      <w:p>
                        <w:pPr>
                          <w:pStyle w:val="TableParagraph"/>
                          <w:spacing w:before="97"/>
                          <w:ind w:left="43"/>
                          <w:jc w:val="center"/>
                          <w:rPr>
                            <w:b/>
                            <w:sz w:val="16"/>
                          </w:rPr>
                        </w:pPr>
                        <w:r>
                          <w:rPr>
                            <w:b/>
                            <w:w w:val="100"/>
                            <w:sz w:val="16"/>
                          </w:rPr>
                          <w:t>-</w:t>
                        </w:r>
                      </w:p>
                    </w:tc>
                  </w:tr>
                  <w:tr>
                    <w:trPr>
                      <w:trHeight w:val="443" w:hRule="atLeast"/>
                    </w:trPr>
                    <w:tc>
                      <w:tcPr>
                        <w:tcW w:w="4448" w:type="dxa"/>
                        <w:gridSpan w:val="4"/>
                        <w:tcBorders>
                          <w:right w:val="single" w:sz="6" w:space="0" w:color="000000"/>
                        </w:tcBorders>
                      </w:tcPr>
                      <w:p>
                        <w:pPr>
                          <w:pStyle w:val="TableParagraph"/>
                          <w:ind w:left="54" w:right="-1"/>
                          <w:rPr>
                            <w:sz w:val="16"/>
                          </w:rPr>
                        </w:pPr>
                        <w:r>
                          <w:rPr>
                            <w:sz w:val="16"/>
                          </w:rPr>
                          <w:t>Information source: NI = National inventory; PI = Partial inventory; ES = Estimate; EX = External data (from other regions)</w:t>
                        </w:r>
                      </w:p>
                    </w:tc>
                  </w:tr>
                </w:tbl>
                <w:p>
                  <w:pPr>
                    <w:pStyle w:val="BodyText"/>
                  </w:pPr>
                </w:p>
              </w:txbxContent>
            </v:textbox>
            <w10:wrap type="none"/>
          </v:shape>
        </w:pict>
      </w:r>
      <w:r>
        <w:rPr/>
        <w:pict>
          <v:shape style="position:absolute;margin-left:300.040985pt;margin-top:83.760002pt;width:223.65pt;height:242.4pt;mso-position-horizontal-relative:page;mso-position-vertical-relative:page;z-index:13528"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8"/>
                    <w:gridCol w:w="1255"/>
                    <w:gridCol w:w="1217"/>
                    <w:gridCol w:w="715"/>
                  </w:tblGrid>
                  <w:tr>
                    <w:trPr>
                      <w:trHeight w:val="2281" w:hRule="atLeast"/>
                    </w:trPr>
                    <w:tc>
                      <w:tcPr>
                        <w:tcW w:w="4455" w:type="dxa"/>
                        <w:gridSpan w:val="4"/>
                        <w:tcBorders>
                          <w:bottom w:val="double" w:sz="1" w:space="0" w:color="000000"/>
                          <w:right w:val="single" w:sz="6" w:space="0" w:color="000000"/>
                        </w:tcBorders>
                      </w:tcPr>
                      <w:p>
                        <w:pPr>
                          <w:pStyle w:val="TableParagraph"/>
                          <w:spacing w:before="59"/>
                          <w:ind w:left="578" w:right="465" w:firstLine="614"/>
                          <w:rPr>
                            <w:b/>
                            <w:sz w:val="14"/>
                          </w:rPr>
                        </w:pPr>
                        <w:r>
                          <w:rPr>
                            <w:b/>
                            <w:sz w:val="18"/>
                          </w:rPr>
                          <w:t>T</w:t>
                        </w:r>
                        <w:r>
                          <w:rPr>
                            <w:b/>
                            <w:sz w:val="14"/>
                          </w:rPr>
                          <w:t>ABLE </w:t>
                        </w:r>
                        <w:r>
                          <w:rPr>
                            <w:b/>
                            <w:sz w:val="18"/>
                          </w:rPr>
                          <w:t>3A.1.4 (C</w:t>
                        </w:r>
                        <w:r>
                          <w:rPr>
                            <w:b/>
                            <w:sz w:val="14"/>
                          </w:rPr>
                          <w:t>ONTINUED</w:t>
                        </w:r>
                        <w:r>
                          <w:rPr>
                            <w:b/>
                            <w:sz w:val="18"/>
                          </w:rPr>
                          <w:t>) A</w:t>
                        </w:r>
                        <w:r>
                          <w:rPr>
                            <w:b/>
                            <w:sz w:val="14"/>
                          </w:rPr>
                          <w:t>VERAGE GROWING STOCK VOLUME </w:t>
                        </w:r>
                        <w:r>
                          <w:rPr>
                            <w:b/>
                            <w:sz w:val="18"/>
                          </w:rPr>
                          <w:t>(1) </w:t>
                        </w:r>
                        <w:r>
                          <w:rPr>
                            <w:b/>
                            <w:sz w:val="14"/>
                          </w:rPr>
                          <w:t>AND</w:t>
                        </w:r>
                      </w:p>
                      <w:p>
                        <w:pPr>
                          <w:pStyle w:val="TableParagraph"/>
                          <w:ind w:left="861" w:right="159" w:hanging="689"/>
                          <w:rPr>
                            <w:b/>
                            <w:sz w:val="18"/>
                          </w:rPr>
                        </w:pPr>
                        <w:r>
                          <w:rPr>
                            <w:b/>
                            <w:sz w:val="14"/>
                          </w:rPr>
                          <w:t>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92"/>
                          </w:numPr>
                          <w:tabs>
                            <w:tab w:pos="466" w:val="left" w:leader="none"/>
                          </w:tabs>
                          <w:spacing w:line="240" w:lineRule="auto" w:before="113" w:after="0"/>
                          <w:ind w:left="465" w:right="0" w:hanging="257"/>
                          <w:jc w:val="left"/>
                          <w:rPr>
                            <w:sz w:val="18"/>
                          </w:rPr>
                        </w:pPr>
                        <w:r>
                          <w:rPr>
                            <w:sz w:val="18"/>
                          </w:rPr>
                          <w:t>To be used for V in Equation</w:t>
                        </w:r>
                        <w:r>
                          <w:rPr>
                            <w:spacing w:val="-7"/>
                            <w:sz w:val="18"/>
                          </w:rPr>
                          <w:t> </w:t>
                        </w:r>
                        <w:r>
                          <w:rPr>
                            <w:sz w:val="18"/>
                          </w:rPr>
                          <w:t>3.2.3.</w:t>
                        </w:r>
                      </w:p>
                      <w:p>
                        <w:pPr>
                          <w:pStyle w:val="TableParagraph"/>
                          <w:numPr>
                            <w:ilvl w:val="0"/>
                            <w:numId w:val="92"/>
                          </w:numPr>
                          <w:tabs>
                            <w:tab w:pos="466" w:val="left" w:leader="none"/>
                          </w:tabs>
                          <w:spacing w:line="240" w:lineRule="auto" w:before="62" w:after="0"/>
                          <w:ind w:left="465" w:right="36" w:hanging="257"/>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3" w:hRule="atLeast"/>
                    </w:trPr>
                    <w:tc>
                      <w:tcPr>
                        <w:tcW w:w="4455" w:type="dxa"/>
                        <w:gridSpan w:val="4"/>
                        <w:tcBorders>
                          <w:top w:val="double" w:sz="1" w:space="0" w:color="000000"/>
                          <w:right w:val="single" w:sz="6" w:space="0" w:color="000000"/>
                        </w:tcBorders>
                      </w:tcPr>
                      <w:p>
                        <w:pPr>
                          <w:pStyle w:val="TableParagraph"/>
                          <w:spacing w:before="23"/>
                          <w:ind w:left="28"/>
                          <w:rPr>
                            <w:b/>
                            <w:sz w:val="18"/>
                          </w:rPr>
                        </w:pPr>
                        <w:r>
                          <w:rPr>
                            <w:b/>
                            <w:sz w:val="18"/>
                          </w:rPr>
                          <w:t>e. NORTH AND CENTRAL AMERICA (Continued)</w:t>
                        </w:r>
                      </w:p>
                    </w:tc>
                  </w:tr>
                  <w:tr>
                    <w:trPr>
                      <w:trHeight w:val="777" w:hRule="atLeast"/>
                    </w:trPr>
                    <w:tc>
                      <w:tcPr>
                        <w:tcW w:w="1268" w:type="dxa"/>
                        <w:tcBorders>
                          <w:right w:val="single" w:sz="6" w:space="0" w:color="000000"/>
                        </w:tcBorders>
                      </w:tcPr>
                      <w:p>
                        <w:pPr>
                          <w:pStyle w:val="TableParagraph"/>
                          <w:spacing w:before="8"/>
                          <w:rPr>
                            <w:sz w:val="19"/>
                          </w:rPr>
                        </w:pPr>
                      </w:p>
                      <w:p>
                        <w:pPr>
                          <w:pStyle w:val="TableParagraph"/>
                          <w:ind w:left="28"/>
                          <w:rPr>
                            <w:b/>
                            <w:sz w:val="16"/>
                          </w:rPr>
                        </w:pPr>
                        <w:r>
                          <w:rPr>
                            <w:b/>
                            <w:sz w:val="16"/>
                          </w:rPr>
                          <w:t>Country</w:t>
                        </w:r>
                      </w:p>
                    </w:tc>
                    <w:tc>
                      <w:tcPr>
                        <w:tcW w:w="1255" w:type="dxa"/>
                        <w:tcBorders>
                          <w:left w:val="single" w:sz="6" w:space="0" w:color="000000"/>
                          <w:right w:val="single" w:sz="6" w:space="0" w:color="000000"/>
                        </w:tcBorders>
                      </w:tcPr>
                      <w:p>
                        <w:pPr>
                          <w:pStyle w:val="TableParagraph"/>
                          <w:ind w:left="123" w:right="92" w:firstLine="237"/>
                          <w:rPr>
                            <w:b/>
                            <w:sz w:val="16"/>
                          </w:rPr>
                        </w:pPr>
                        <w:r>
                          <w:rPr>
                            <w:b/>
                            <w:sz w:val="16"/>
                          </w:rPr>
                          <w:t>Volume (aboveground)</w:t>
                        </w:r>
                      </w:p>
                      <w:p>
                        <w:pPr>
                          <w:pStyle w:val="TableParagraph"/>
                          <w:spacing w:before="133"/>
                          <w:ind w:left="387"/>
                          <w:rPr>
                            <w:b/>
                            <w:sz w:val="16"/>
                          </w:rPr>
                        </w:pPr>
                        <w:r>
                          <w:rPr>
                            <w:b/>
                            <w:sz w:val="16"/>
                          </w:rPr>
                          <w:t>m</w:t>
                        </w:r>
                        <w:r>
                          <w:rPr>
                            <w:b/>
                            <w:sz w:val="16"/>
                            <w:vertAlign w:val="superscript"/>
                          </w:rPr>
                          <w:t>3</w:t>
                        </w:r>
                        <w:r>
                          <w:rPr>
                            <w:b/>
                            <w:sz w:val="16"/>
                            <w:vertAlign w:val="baseline"/>
                          </w:rPr>
                          <w:t> / ha</w:t>
                        </w:r>
                      </w:p>
                    </w:tc>
                    <w:tc>
                      <w:tcPr>
                        <w:tcW w:w="1217" w:type="dxa"/>
                        <w:tcBorders>
                          <w:left w:val="single" w:sz="6" w:space="0" w:color="000000"/>
                          <w:right w:val="single" w:sz="6" w:space="0" w:color="000000"/>
                        </w:tcBorders>
                      </w:tcPr>
                      <w:p>
                        <w:pPr>
                          <w:pStyle w:val="TableParagraph"/>
                          <w:ind w:left="100" w:right="90"/>
                          <w:jc w:val="center"/>
                          <w:rPr>
                            <w:b/>
                            <w:sz w:val="16"/>
                          </w:rPr>
                        </w:pPr>
                        <w:r>
                          <w:rPr>
                            <w:b/>
                            <w:sz w:val="16"/>
                          </w:rPr>
                          <w:t>Biomass (aboveground)</w:t>
                        </w:r>
                      </w:p>
                      <w:p>
                        <w:pPr>
                          <w:pStyle w:val="TableParagraph"/>
                          <w:spacing w:before="133"/>
                          <w:ind w:left="98" w:right="92"/>
                          <w:jc w:val="center"/>
                          <w:rPr>
                            <w:b/>
                            <w:sz w:val="16"/>
                          </w:rPr>
                        </w:pPr>
                        <w:r>
                          <w:rPr>
                            <w:b/>
                            <w:sz w:val="16"/>
                          </w:rPr>
                          <w:t>t / ha</w:t>
                        </w:r>
                      </w:p>
                    </w:tc>
                    <w:tc>
                      <w:tcPr>
                        <w:tcW w:w="715" w:type="dxa"/>
                        <w:tcBorders>
                          <w:left w:val="single" w:sz="6" w:space="0" w:color="000000"/>
                          <w:right w:val="single" w:sz="6" w:space="0" w:color="000000"/>
                        </w:tcBorders>
                      </w:tcPr>
                      <w:p>
                        <w:pPr>
                          <w:pStyle w:val="TableParagraph"/>
                          <w:ind w:left="116" w:right="90" w:firstLine="36"/>
                          <w:rPr>
                            <w:b/>
                            <w:sz w:val="16"/>
                          </w:rPr>
                        </w:pPr>
                        <w:r>
                          <w:rPr>
                            <w:b/>
                            <w:sz w:val="16"/>
                          </w:rPr>
                          <w:t>Infor- </w:t>
                        </w:r>
                        <w:r>
                          <w:rPr>
                            <w:b/>
                            <w:spacing w:val="-1"/>
                            <w:sz w:val="16"/>
                          </w:rPr>
                          <w:t>mation</w:t>
                        </w:r>
                      </w:p>
                      <w:p>
                        <w:pPr>
                          <w:pStyle w:val="TableParagraph"/>
                          <w:spacing w:before="133"/>
                          <w:ind w:left="121"/>
                          <w:rPr>
                            <w:b/>
                            <w:sz w:val="16"/>
                          </w:rPr>
                        </w:pPr>
                        <w:r>
                          <w:rPr>
                            <w:b/>
                            <w:sz w:val="16"/>
                          </w:rPr>
                          <w:t>Source</w:t>
                        </w:r>
                      </w:p>
                    </w:tc>
                  </w:tr>
                  <w:tr>
                    <w:trPr>
                      <w:trHeight w:val="443" w:hRule="atLeast"/>
                    </w:trPr>
                    <w:tc>
                      <w:tcPr>
                        <w:tcW w:w="1268" w:type="dxa"/>
                        <w:tcBorders>
                          <w:right w:val="single" w:sz="6" w:space="0" w:color="000000"/>
                        </w:tcBorders>
                      </w:tcPr>
                      <w:p>
                        <w:pPr>
                          <w:pStyle w:val="TableParagraph"/>
                          <w:spacing w:before="54"/>
                          <w:ind w:left="57" w:right="32"/>
                          <w:rPr>
                            <w:sz w:val="16"/>
                          </w:rPr>
                        </w:pPr>
                        <w:r>
                          <w:rPr>
                            <w:sz w:val="16"/>
                          </w:rPr>
                          <w:t>Saint Vincent and Grenadines</w:t>
                        </w:r>
                      </w:p>
                    </w:tc>
                    <w:tc>
                      <w:tcPr>
                        <w:tcW w:w="1255" w:type="dxa"/>
                        <w:tcBorders>
                          <w:left w:val="single" w:sz="6" w:space="0" w:color="000000"/>
                          <w:right w:val="single" w:sz="6" w:space="0" w:color="000000"/>
                        </w:tcBorders>
                      </w:tcPr>
                      <w:p>
                        <w:pPr>
                          <w:pStyle w:val="TableParagraph"/>
                          <w:spacing w:before="124"/>
                          <w:ind w:left="484" w:right="473"/>
                          <w:jc w:val="center"/>
                          <w:rPr>
                            <w:sz w:val="16"/>
                          </w:rPr>
                        </w:pPr>
                        <w:r>
                          <w:rPr>
                            <w:sz w:val="16"/>
                          </w:rPr>
                          <w:t>166</w:t>
                        </w:r>
                      </w:p>
                    </w:tc>
                    <w:tc>
                      <w:tcPr>
                        <w:tcW w:w="1217" w:type="dxa"/>
                        <w:tcBorders>
                          <w:left w:val="single" w:sz="6" w:space="0" w:color="000000"/>
                          <w:right w:val="single" w:sz="6" w:space="0" w:color="000000"/>
                        </w:tcBorders>
                      </w:tcPr>
                      <w:p>
                        <w:pPr>
                          <w:pStyle w:val="TableParagraph"/>
                          <w:spacing w:before="124"/>
                          <w:ind w:left="99" w:right="92"/>
                          <w:jc w:val="center"/>
                          <w:rPr>
                            <w:sz w:val="16"/>
                          </w:rPr>
                        </w:pPr>
                        <w:r>
                          <w:rPr>
                            <w:sz w:val="16"/>
                          </w:rPr>
                          <w:t>173</w:t>
                        </w:r>
                      </w:p>
                    </w:tc>
                    <w:tc>
                      <w:tcPr>
                        <w:tcW w:w="715" w:type="dxa"/>
                        <w:tcBorders>
                          <w:left w:val="single" w:sz="6" w:space="0" w:color="000000"/>
                          <w:right w:val="single" w:sz="6" w:space="0" w:color="000000"/>
                        </w:tcBorders>
                      </w:tcPr>
                      <w:p>
                        <w:pPr>
                          <w:pStyle w:val="TableParagraph"/>
                          <w:spacing w:before="124"/>
                          <w:ind w:left="177" w:right="155"/>
                          <w:jc w:val="center"/>
                          <w:rPr>
                            <w:sz w:val="16"/>
                          </w:rPr>
                        </w:pPr>
                        <w:r>
                          <w:rPr>
                            <w:sz w:val="16"/>
                          </w:rPr>
                          <w:t>NI</w:t>
                        </w:r>
                      </w:p>
                    </w:tc>
                  </w:tr>
                  <w:tr>
                    <w:trPr>
                      <w:trHeight w:val="446" w:hRule="atLeast"/>
                    </w:trPr>
                    <w:tc>
                      <w:tcPr>
                        <w:tcW w:w="1268" w:type="dxa"/>
                        <w:tcBorders>
                          <w:right w:val="single" w:sz="6" w:space="0" w:color="000000"/>
                        </w:tcBorders>
                      </w:tcPr>
                      <w:p>
                        <w:pPr>
                          <w:pStyle w:val="TableParagraph"/>
                          <w:spacing w:before="54"/>
                          <w:ind w:left="57" w:right="356"/>
                          <w:rPr>
                            <w:sz w:val="16"/>
                          </w:rPr>
                        </w:pPr>
                        <w:r>
                          <w:rPr>
                            <w:sz w:val="16"/>
                          </w:rPr>
                          <w:t>Trinidad and Tobago</w:t>
                        </w:r>
                      </w:p>
                    </w:tc>
                    <w:tc>
                      <w:tcPr>
                        <w:tcW w:w="1255" w:type="dxa"/>
                        <w:tcBorders>
                          <w:left w:val="single" w:sz="6" w:space="0" w:color="000000"/>
                          <w:right w:val="single" w:sz="6" w:space="0" w:color="000000"/>
                        </w:tcBorders>
                      </w:tcPr>
                      <w:p>
                        <w:pPr>
                          <w:pStyle w:val="TableParagraph"/>
                          <w:spacing w:before="124"/>
                          <w:ind w:left="485" w:right="470"/>
                          <w:jc w:val="center"/>
                          <w:rPr>
                            <w:sz w:val="16"/>
                          </w:rPr>
                        </w:pPr>
                        <w:r>
                          <w:rPr>
                            <w:sz w:val="16"/>
                          </w:rPr>
                          <w:t>71</w:t>
                        </w:r>
                      </w:p>
                    </w:tc>
                    <w:tc>
                      <w:tcPr>
                        <w:tcW w:w="1217" w:type="dxa"/>
                        <w:tcBorders>
                          <w:left w:val="single" w:sz="6" w:space="0" w:color="000000"/>
                          <w:right w:val="single" w:sz="6" w:space="0" w:color="000000"/>
                        </w:tcBorders>
                      </w:tcPr>
                      <w:p>
                        <w:pPr>
                          <w:pStyle w:val="TableParagraph"/>
                          <w:spacing w:before="124"/>
                          <w:ind w:left="99" w:right="92"/>
                          <w:jc w:val="center"/>
                          <w:rPr>
                            <w:sz w:val="16"/>
                          </w:rPr>
                        </w:pPr>
                        <w:r>
                          <w:rPr>
                            <w:sz w:val="16"/>
                          </w:rPr>
                          <w:t>129</w:t>
                        </w:r>
                      </w:p>
                    </w:tc>
                    <w:tc>
                      <w:tcPr>
                        <w:tcW w:w="715" w:type="dxa"/>
                        <w:tcBorders>
                          <w:left w:val="single" w:sz="6" w:space="0" w:color="000000"/>
                          <w:right w:val="single" w:sz="6" w:space="0" w:color="000000"/>
                        </w:tcBorders>
                      </w:tcPr>
                      <w:p>
                        <w:pPr>
                          <w:pStyle w:val="TableParagraph"/>
                          <w:spacing w:before="124"/>
                          <w:ind w:left="175" w:right="162"/>
                          <w:jc w:val="center"/>
                          <w:rPr>
                            <w:sz w:val="16"/>
                          </w:rPr>
                        </w:pPr>
                        <w:r>
                          <w:rPr>
                            <w:sz w:val="16"/>
                          </w:rPr>
                          <w:t>ES</w:t>
                        </w:r>
                      </w:p>
                    </w:tc>
                  </w:tr>
                  <w:tr>
                    <w:trPr>
                      <w:trHeight w:val="273" w:hRule="atLeast"/>
                    </w:trPr>
                    <w:tc>
                      <w:tcPr>
                        <w:tcW w:w="1268" w:type="dxa"/>
                        <w:tcBorders>
                          <w:right w:val="single" w:sz="6" w:space="0" w:color="000000"/>
                        </w:tcBorders>
                      </w:tcPr>
                      <w:p>
                        <w:pPr>
                          <w:pStyle w:val="TableParagraph"/>
                          <w:spacing w:before="54"/>
                          <w:ind w:left="58"/>
                          <w:rPr>
                            <w:sz w:val="16"/>
                          </w:rPr>
                        </w:pPr>
                        <w:r>
                          <w:rPr>
                            <w:sz w:val="16"/>
                          </w:rPr>
                          <w:t>United States</w:t>
                        </w:r>
                      </w:p>
                    </w:tc>
                    <w:tc>
                      <w:tcPr>
                        <w:tcW w:w="1255" w:type="dxa"/>
                        <w:tcBorders>
                          <w:left w:val="single" w:sz="6" w:space="0" w:color="000000"/>
                          <w:right w:val="single" w:sz="6" w:space="0" w:color="000000"/>
                        </w:tcBorders>
                      </w:tcPr>
                      <w:p>
                        <w:pPr>
                          <w:pStyle w:val="TableParagraph"/>
                          <w:spacing w:before="54"/>
                          <w:ind w:left="485" w:right="471"/>
                          <w:jc w:val="center"/>
                          <w:rPr>
                            <w:sz w:val="16"/>
                          </w:rPr>
                        </w:pPr>
                        <w:r>
                          <w:rPr>
                            <w:sz w:val="16"/>
                          </w:rPr>
                          <w:t>136</w:t>
                        </w:r>
                      </w:p>
                    </w:tc>
                    <w:tc>
                      <w:tcPr>
                        <w:tcW w:w="1217" w:type="dxa"/>
                        <w:tcBorders>
                          <w:left w:val="single" w:sz="6" w:space="0" w:color="000000"/>
                          <w:right w:val="single" w:sz="6" w:space="0" w:color="000000"/>
                        </w:tcBorders>
                      </w:tcPr>
                      <w:p>
                        <w:pPr>
                          <w:pStyle w:val="TableParagraph"/>
                          <w:spacing w:before="54"/>
                          <w:ind w:left="100" w:right="91"/>
                          <w:jc w:val="center"/>
                          <w:rPr>
                            <w:sz w:val="16"/>
                          </w:rPr>
                        </w:pPr>
                        <w:r>
                          <w:rPr>
                            <w:sz w:val="16"/>
                          </w:rPr>
                          <w:t>108</w:t>
                        </w:r>
                      </w:p>
                    </w:tc>
                    <w:tc>
                      <w:tcPr>
                        <w:tcW w:w="715" w:type="dxa"/>
                        <w:tcBorders>
                          <w:left w:val="single" w:sz="6" w:space="0" w:color="000000"/>
                          <w:right w:val="single" w:sz="6" w:space="0" w:color="000000"/>
                        </w:tcBorders>
                      </w:tcPr>
                      <w:p>
                        <w:pPr>
                          <w:pStyle w:val="TableParagraph"/>
                          <w:spacing w:before="54"/>
                          <w:ind w:left="177" w:right="162"/>
                          <w:jc w:val="center"/>
                          <w:rPr>
                            <w:sz w:val="16"/>
                          </w:rPr>
                        </w:pPr>
                        <w:r>
                          <w:rPr>
                            <w:sz w:val="16"/>
                          </w:rPr>
                          <w:t>FAO</w:t>
                        </w:r>
                      </w:p>
                    </w:tc>
                  </w:tr>
                  <w:tr>
                    <w:trPr>
                      <w:trHeight w:val="273" w:hRule="atLeast"/>
                    </w:trPr>
                    <w:tc>
                      <w:tcPr>
                        <w:tcW w:w="1268" w:type="dxa"/>
                        <w:tcBorders>
                          <w:right w:val="single" w:sz="6" w:space="0" w:color="000000"/>
                        </w:tcBorders>
                      </w:tcPr>
                      <w:p>
                        <w:pPr>
                          <w:pStyle w:val="TableParagraph"/>
                          <w:spacing w:before="54"/>
                          <w:ind w:left="57"/>
                          <w:rPr>
                            <w:sz w:val="16"/>
                          </w:rPr>
                        </w:pPr>
                        <w:r>
                          <w:rPr>
                            <w:sz w:val="16"/>
                          </w:rPr>
                          <w:t>US Virgin Islands</w:t>
                        </w:r>
                      </w:p>
                    </w:tc>
                    <w:tc>
                      <w:tcPr>
                        <w:tcW w:w="1255" w:type="dxa"/>
                        <w:tcBorders>
                          <w:left w:val="single" w:sz="6" w:space="0" w:color="000000"/>
                          <w:right w:val="single" w:sz="6" w:space="0" w:color="000000"/>
                        </w:tcBorders>
                      </w:tcPr>
                      <w:p>
                        <w:pPr>
                          <w:pStyle w:val="TableParagraph"/>
                          <w:spacing w:before="54"/>
                          <w:ind w:left="15"/>
                          <w:jc w:val="center"/>
                          <w:rPr>
                            <w:sz w:val="16"/>
                          </w:rPr>
                        </w:pPr>
                        <w:r>
                          <w:rPr>
                            <w:w w:val="100"/>
                            <w:sz w:val="16"/>
                          </w:rPr>
                          <w:t>-</w:t>
                        </w:r>
                      </w:p>
                    </w:tc>
                    <w:tc>
                      <w:tcPr>
                        <w:tcW w:w="1217" w:type="dxa"/>
                        <w:tcBorders>
                          <w:left w:val="single" w:sz="6" w:space="0" w:color="000000"/>
                          <w:right w:val="single" w:sz="6" w:space="0" w:color="000000"/>
                        </w:tcBorders>
                      </w:tcPr>
                      <w:p>
                        <w:pPr>
                          <w:pStyle w:val="TableParagraph"/>
                          <w:spacing w:before="54"/>
                          <w:ind w:left="10"/>
                          <w:jc w:val="center"/>
                          <w:rPr>
                            <w:sz w:val="16"/>
                          </w:rPr>
                        </w:pPr>
                        <w:r>
                          <w:rPr>
                            <w:w w:val="100"/>
                            <w:sz w:val="16"/>
                          </w:rPr>
                          <w:t>-</w:t>
                        </w:r>
                      </w:p>
                    </w:tc>
                    <w:tc>
                      <w:tcPr>
                        <w:tcW w:w="715" w:type="dxa"/>
                        <w:tcBorders>
                          <w:left w:val="single" w:sz="6" w:space="0" w:color="000000"/>
                          <w:right w:val="single" w:sz="6" w:space="0" w:color="000000"/>
                        </w:tcBorders>
                      </w:tcPr>
                      <w:p>
                        <w:pPr>
                          <w:pStyle w:val="TableParagraph"/>
                          <w:spacing w:before="54"/>
                          <w:ind w:left="13"/>
                          <w:jc w:val="center"/>
                          <w:rPr>
                            <w:sz w:val="16"/>
                          </w:rPr>
                        </w:pPr>
                        <w:r>
                          <w:rPr>
                            <w:w w:val="100"/>
                            <w:sz w:val="16"/>
                          </w:rPr>
                          <w:t>-</w:t>
                        </w:r>
                      </w:p>
                    </w:tc>
                  </w:tr>
                </w:tbl>
                <w:p>
                  <w:pPr>
                    <w:pStyle w:val="BodyText"/>
                  </w:pPr>
                </w:p>
              </w:txbxContent>
            </v:textbox>
            <w10:wrap type="none"/>
          </v:shape>
        </w:pict>
      </w:r>
      <w:r>
        <w:rPr/>
        <w:pict>
          <v:shape style="position:absolute;margin-left:300.040985pt;margin-top:339.959991pt;width:223.65pt;height:392.2pt;mso-position-horizontal-relative:page;mso-position-vertical-relative:page;z-index:13552"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0"/>
                    <w:gridCol w:w="1256"/>
                    <w:gridCol w:w="1218"/>
                    <w:gridCol w:w="715"/>
                  </w:tblGrid>
                  <w:tr>
                    <w:trPr>
                      <w:trHeight w:val="2260" w:hRule="atLeast"/>
                    </w:trPr>
                    <w:tc>
                      <w:tcPr>
                        <w:tcW w:w="4459" w:type="dxa"/>
                        <w:gridSpan w:val="4"/>
                        <w:tcBorders>
                          <w:bottom w:val="double" w:sz="1" w:space="0" w:color="000000"/>
                          <w:right w:val="single" w:sz="6" w:space="0" w:color="000000"/>
                        </w:tcBorders>
                      </w:tcPr>
                      <w:p>
                        <w:pPr>
                          <w:pStyle w:val="TableParagraph"/>
                          <w:spacing w:before="59"/>
                          <w:ind w:left="592" w:right="472" w:firstLine="597"/>
                          <w:rPr>
                            <w:b/>
                            <w:sz w:val="14"/>
                          </w:rPr>
                        </w:pPr>
                        <w:r>
                          <w:rPr>
                            <w:b/>
                            <w:sz w:val="18"/>
                          </w:rPr>
                          <w:t>T</w:t>
                        </w:r>
                        <w:r>
                          <w:rPr>
                            <w:b/>
                            <w:sz w:val="14"/>
                          </w:rPr>
                          <w:t>ABLE </w:t>
                        </w:r>
                        <w:r>
                          <w:rPr>
                            <w:b/>
                            <w:sz w:val="18"/>
                          </w:rPr>
                          <w:t>3A.1.4 (C</w:t>
                        </w:r>
                        <w:r>
                          <w:rPr>
                            <w:b/>
                            <w:sz w:val="14"/>
                          </w:rPr>
                          <w:t>ONTINUED</w:t>
                        </w:r>
                        <w:r>
                          <w:rPr>
                            <w:b/>
                            <w:sz w:val="18"/>
                          </w:rPr>
                          <w:t>) A</w:t>
                        </w:r>
                        <w:r>
                          <w:rPr>
                            <w:b/>
                            <w:sz w:val="14"/>
                          </w:rPr>
                          <w:t>VERAGE GROWING STOCK VOLUME </w:t>
                        </w:r>
                        <w:r>
                          <w:rPr>
                            <w:b/>
                            <w:sz w:val="18"/>
                          </w:rPr>
                          <w:t>(1) </w:t>
                        </w:r>
                        <w:r>
                          <w:rPr>
                            <w:b/>
                            <w:sz w:val="14"/>
                          </w:rPr>
                          <w:t>AND</w:t>
                        </w:r>
                      </w:p>
                      <w:p>
                        <w:pPr>
                          <w:pStyle w:val="TableParagraph"/>
                          <w:ind w:left="875" w:hanging="687"/>
                          <w:rPr>
                            <w:b/>
                            <w:sz w:val="18"/>
                          </w:rPr>
                        </w:pPr>
                        <w:r>
                          <w:rPr>
                            <w:b/>
                            <w:sz w:val="14"/>
                          </w:rPr>
                          <w:t>ABOVEGROUND BIOMASS CONTENT </w:t>
                        </w:r>
                        <w:r>
                          <w:rPr>
                            <w:b/>
                            <w:sz w:val="18"/>
                          </w:rPr>
                          <w:t>(2) (</w:t>
                        </w:r>
                        <w:r>
                          <w:rPr>
                            <w:b/>
                            <w:sz w:val="14"/>
                          </w:rPr>
                          <w:t>DRY MATTER</w:t>
                        </w:r>
                        <w:r>
                          <w:rPr>
                            <w:b/>
                            <w:sz w:val="18"/>
                          </w:rPr>
                          <w:t>) </w:t>
                        </w:r>
                        <w:r>
                          <w:rPr>
                            <w:b/>
                            <w:sz w:val="14"/>
                          </w:rPr>
                          <w:t>IN FOREST IN </w:t>
                        </w:r>
                        <w:r>
                          <w:rPr>
                            <w:b/>
                            <w:sz w:val="18"/>
                          </w:rPr>
                          <w:t>2000. (</w:t>
                        </w:r>
                        <w:r>
                          <w:rPr>
                            <w:b/>
                            <w:sz w:val="14"/>
                          </w:rPr>
                          <w:t>SOURCE </w:t>
                        </w:r>
                        <w:r>
                          <w:rPr>
                            <w:b/>
                            <w:sz w:val="18"/>
                          </w:rPr>
                          <w:t>FRA 2000)</w:t>
                        </w:r>
                      </w:p>
                      <w:p>
                        <w:pPr>
                          <w:pStyle w:val="TableParagraph"/>
                          <w:numPr>
                            <w:ilvl w:val="0"/>
                            <w:numId w:val="93"/>
                          </w:numPr>
                          <w:tabs>
                            <w:tab w:pos="439" w:val="left" w:leader="none"/>
                          </w:tabs>
                          <w:spacing w:line="240" w:lineRule="auto" w:before="113" w:after="0"/>
                          <w:ind w:left="438" w:right="0" w:hanging="256"/>
                          <w:jc w:val="left"/>
                          <w:rPr>
                            <w:sz w:val="18"/>
                          </w:rPr>
                        </w:pPr>
                        <w:r>
                          <w:rPr>
                            <w:sz w:val="18"/>
                          </w:rPr>
                          <w:t>To be used for V in Equation</w:t>
                        </w:r>
                        <w:r>
                          <w:rPr>
                            <w:spacing w:val="-7"/>
                            <w:sz w:val="18"/>
                          </w:rPr>
                          <w:t> </w:t>
                        </w:r>
                        <w:r>
                          <w:rPr>
                            <w:sz w:val="18"/>
                          </w:rPr>
                          <w:t>3.2.3.</w:t>
                        </w:r>
                      </w:p>
                      <w:p>
                        <w:pPr>
                          <w:pStyle w:val="TableParagraph"/>
                          <w:numPr>
                            <w:ilvl w:val="0"/>
                            <w:numId w:val="93"/>
                          </w:numPr>
                          <w:tabs>
                            <w:tab w:pos="439" w:val="left" w:leader="none"/>
                          </w:tabs>
                          <w:spacing w:line="240" w:lineRule="auto" w:before="120" w:after="0"/>
                          <w:ind w:left="419" w:right="86" w:hanging="237"/>
                          <w:jc w:val="left"/>
                          <w:rPr>
                            <w:sz w:val="18"/>
                          </w:rPr>
                        </w:pPr>
                        <w:r>
                          <w:rPr>
                            <w:sz w:val="18"/>
                          </w:rPr>
                          <w:t>To be used for B</w:t>
                        </w:r>
                        <w:r>
                          <w:rPr>
                            <w:sz w:val="18"/>
                            <w:vertAlign w:val="subscript"/>
                          </w:rPr>
                          <w:t>w</w:t>
                        </w:r>
                        <w:r>
                          <w:rPr>
                            <w:sz w:val="18"/>
                            <w:vertAlign w:val="baseline"/>
                          </w:rPr>
                          <w:t> in Equation 3.2.9, for L</w:t>
                        </w:r>
                        <w:r>
                          <w:rPr>
                            <w:sz w:val="18"/>
                            <w:vertAlign w:val="subscript"/>
                          </w:rPr>
                          <w:t>conversion</w:t>
                        </w:r>
                        <w:r>
                          <w:rPr>
                            <w:sz w:val="18"/>
                            <w:vertAlign w:val="baseline"/>
                          </w:rPr>
                          <w:t> in Equation 3.3.8 in cropland section and for L</w:t>
                        </w:r>
                        <w:r>
                          <w:rPr>
                            <w:sz w:val="18"/>
                            <w:vertAlign w:val="subscript"/>
                          </w:rPr>
                          <w:t>conversion</w:t>
                        </w:r>
                        <w:r>
                          <w:rPr>
                            <w:sz w:val="18"/>
                            <w:vertAlign w:val="baseline"/>
                          </w:rPr>
                          <w:t> in Equation 3.4.13. in grassland section, etc. Not to be applied for C </w:t>
                        </w:r>
                        <w:r>
                          <w:rPr>
                            <w:sz w:val="18"/>
                            <w:vertAlign w:val="subscript"/>
                          </w:rPr>
                          <w:t>t</w:t>
                        </w:r>
                        <w:r>
                          <w:rPr>
                            <w:position w:val="-8"/>
                            <w:sz w:val="12"/>
                            <w:vertAlign w:val="baseline"/>
                          </w:rPr>
                          <w:t>2 </w:t>
                        </w:r>
                        <w:r>
                          <w:rPr>
                            <w:sz w:val="18"/>
                            <w:vertAlign w:val="baseline"/>
                          </w:rPr>
                          <w:t>or C </w:t>
                        </w:r>
                        <w:r>
                          <w:rPr>
                            <w:sz w:val="18"/>
                            <w:vertAlign w:val="subscript"/>
                          </w:rPr>
                          <w:t>t</w:t>
                        </w:r>
                        <w:r>
                          <w:rPr>
                            <w:position w:val="-8"/>
                            <w:sz w:val="12"/>
                            <w:vertAlign w:val="baseline"/>
                          </w:rPr>
                          <w:t>1 </w:t>
                        </w:r>
                        <w:r>
                          <w:rPr>
                            <w:sz w:val="18"/>
                            <w:vertAlign w:val="baseline"/>
                          </w:rPr>
                          <w:t>in Forest section Equation</w:t>
                        </w:r>
                        <w:r>
                          <w:rPr>
                            <w:spacing w:val="-26"/>
                            <w:sz w:val="18"/>
                            <w:vertAlign w:val="baseline"/>
                          </w:rPr>
                          <w:t> </w:t>
                        </w:r>
                        <w:r>
                          <w:rPr>
                            <w:sz w:val="18"/>
                            <w:vertAlign w:val="baseline"/>
                          </w:rPr>
                          <w:t>3.2.3.</w:t>
                        </w:r>
                      </w:p>
                    </w:tc>
                  </w:tr>
                  <w:tr>
                    <w:trPr>
                      <w:trHeight w:val="253" w:hRule="atLeast"/>
                    </w:trPr>
                    <w:tc>
                      <w:tcPr>
                        <w:tcW w:w="4459" w:type="dxa"/>
                        <w:gridSpan w:val="4"/>
                        <w:tcBorders>
                          <w:top w:val="double" w:sz="1" w:space="0" w:color="000000"/>
                          <w:right w:val="single" w:sz="6" w:space="0" w:color="000000"/>
                        </w:tcBorders>
                      </w:tcPr>
                      <w:p>
                        <w:pPr>
                          <w:pStyle w:val="TableParagraph"/>
                          <w:spacing w:before="23"/>
                          <w:ind w:left="57"/>
                          <w:rPr>
                            <w:b/>
                            <w:sz w:val="18"/>
                          </w:rPr>
                        </w:pPr>
                        <w:r>
                          <w:rPr>
                            <w:b/>
                            <w:sz w:val="18"/>
                          </w:rPr>
                          <w:t>f. SOUTH AMERICA</w:t>
                        </w:r>
                      </w:p>
                    </w:tc>
                  </w:tr>
                  <w:tr>
                    <w:trPr>
                      <w:trHeight w:val="613" w:hRule="atLeast"/>
                    </w:trPr>
                    <w:tc>
                      <w:tcPr>
                        <w:tcW w:w="1270" w:type="dxa"/>
                      </w:tcPr>
                      <w:p>
                        <w:pPr>
                          <w:pStyle w:val="TableParagraph"/>
                          <w:spacing w:before="10"/>
                          <w:rPr>
                            <w:sz w:val="17"/>
                          </w:rPr>
                        </w:pPr>
                      </w:p>
                      <w:p>
                        <w:pPr>
                          <w:pStyle w:val="TableParagraph"/>
                          <w:ind w:left="57"/>
                          <w:rPr>
                            <w:b/>
                            <w:sz w:val="16"/>
                          </w:rPr>
                        </w:pPr>
                        <w:r>
                          <w:rPr>
                            <w:b/>
                            <w:sz w:val="16"/>
                          </w:rPr>
                          <w:t>Country</w:t>
                        </w:r>
                      </w:p>
                    </w:tc>
                    <w:tc>
                      <w:tcPr>
                        <w:tcW w:w="1256" w:type="dxa"/>
                      </w:tcPr>
                      <w:p>
                        <w:pPr>
                          <w:pStyle w:val="TableParagraph"/>
                          <w:ind w:left="124" w:right="97" w:firstLine="237"/>
                          <w:rPr>
                            <w:b/>
                            <w:sz w:val="16"/>
                          </w:rPr>
                        </w:pPr>
                        <w:r>
                          <w:rPr>
                            <w:b/>
                            <w:sz w:val="16"/>
                          </w:rPr>
                          <w:t>Volume (aboveground)</w:t>
                        </w:r>
                      </w:p>
                      <w:p>
                        <w:pPr>
                          <w:pStyle w:val="TableParagraph"/>
                          <w:spacing w:line="170" w:lineRule="exact" w:before="56"/>
                          <w:ind w:left="388"/>
                          <w:rPr>
                            <w:b/>
                            <w:sz w:val="16"/>
                          </w:rPr>
                        </w:pPr>
                        <w:r>
                          <w:rPr>
                            <w:b/>
                            <w:sz w:val="16"/>
                          </w:rPr>
                          <w:t>m</w:t>
                        </w:r>
                        <w:r>
                          <w:rPr>
                            <w:b/>
                            <w:sz w:val="16"/>
                            <w:vertAlign w:val="superscript"/>
                          </w:rPr>
                          <w:t>3</w:t>
                        </w:r>
                        <w:r>
                          <w:rPr>
                            <w:b/>
                            <w:sz w:val="16"/>
                            <w:vertAlign w:val="baseline"/>
                          </w:rPr>
                          <w:t> / ha</w:t>
                        </w:r>
                      </w:p>
                    </w:tc>
                    <w:tc>
                      <w:tcPr>
                        <w:tcW w:w="1218" w:type="dxa"/>
                      </w:tcPr>
                      <w:p>
                        <w:pPr>
                          <w:pStyle w:val="TableParagraph"/>
                          <w:ind w:left="101" w:right="98"/>
                          <w:jc w:val="center"/>
                          <w:rPr>
                            <w:b/>
                            <w:sz w:val="16"/>
                          </w:rPr>
                        </w:pPr>
                        <w:r>
                          <w:rPr>
                            <w:b/>
                            <w:sz w:val="16"/>
                          </w:rPr>
                          <w:t>Biomass (aboveground)</w:t>
                        </w:r>
                      </w:p>
                      <w:p>
                        <w:pPr>
                          <w:pStyle w:val="TableParagraph"/>
                          <w:spacing w:line="170" w:lineRule="exact" w:before="56"/>
                          <w:ind w:left="98" w:right="98"/>
                          <w:jc w:val="center"/>
                          <w:rPr>
                            <w:b/>
                            <w:sz w:val="16"/>
                          </w:rPr>
                        </w:pPr>
                        <w:r>
                          <w:rPr>
                            <w:b/>
                            <w:sz w:val="16"/>
                          </w:rPr>
                          <w:t>t / ha</w:t>
                        </w:r>
                      </w:p>
                    </w:tc>
                    <w:tc>
                      <w:tcPr>
                        <w:tcW w:w="715" w:type="dxa"/>
                        <w:tcBorders>
                          <w:right w:val="single" w:sz="6" w:space="0" w:color="000000"/>
                        </w:tcBorders>
                      </w:tcPr>
                      <w:p>
                        <w:pPr>
                          <w:pStyle w:val="TableParagraph"/>
                          <w:ind w:left="114" w:right="88" w:firstLine="36"/>
                          <w:rPr>
                            <w:b/>
                            <w:sz w:val="16"/>
                          </w:rPr>
                        </w:pPr>
                        <w:r>
                          <w:rPr>
                            <w:b/>
                            <w:sz w:val="16"/>
                          </w:rPr>
                          <w:t>Infor- mation</w:t>
                        </w:r>
                      </w:p>
                      <w:p>
                        <w:pPr>
                          <w:pStyle w:val="TableParagraph"/>
                          <w:spacing w:line="170" w:lineRule="exact" w:before="56"/>
                          <w:ind w:left="119"/>
                          <w:rPr>
                            <w:b/>
                            <w:sz w:val="16"/>
                          </w:rPr>
                        </w:pPr>
                        <w:r>
                          <w:rPr>
                            <w:b/>
                            <w:sz w:val="16"/>
                          </w:rPr>
                          <w:t>Source</w:t>
                        </w:r>
                      </w:p>
                    </w:tc>
                  </w:tr>
                  <w:tr>
                    <w:trPr>
                      <w:trHeight w:val="273" w:hRule="atLeast"/>
                    </w:trPr>
                    <w:tc>
                      <w:tcPr>
                        <w:tcW w:w="1270" w:type="dxa"/>
                      </w:tcPr>
                      <w:p>
                        <w:pPr>
                          <w:pStyle w:val="TableParagraph"/>
                          <w:spacing w:before="37"/>
                          <w:ind w:left="57"/>
                          <w:rPr>
                            <w:sz w:val="16"/>
                          </w:rPr>
                        </w:pPr>
                        <w:r>
                          <w:rPr>
                            <w:sz w:val="16"/>
                          </w:rPr>
                          <w:t>Argentina</w:t>
                        </w:r>
                      </w:p>
                    </w:tc>
                    <w:tc>
                      <w:tcPr>
                        <w:tcW w:w="1256" w:type="dxa"/>
                      </w:tcPr>
                      <w:p>
                        <w:pPr>
                          <w:pStyle w:val="TableParagraph"/>
                          <w:spacing w:before="37"/>
                          <w:ind w:left="486" w:right="475"/>
                          <w:jc w:val="center"/>
                          <w:rPr>
                            <w:sz w:val="16"/>
                          </w:rPr>
                        </w:pPr>
                        <w:r>
                          <w:rPr>
                            <w:sz w:val="16"/>
                          </w:rPr>
                          <w:t>25</w:t>
                        </w:r>
                      </w:p>
                    </w:tc>
                    <w:tc>
                      <w:tcPr>
                        <w:tcW w:w="1218" w:type="dxa"/>
                      </w:tcPr>
                      <w:p>
                        <w:pPr>
                          <w:pStyle w:val="TableParagraph"/>
                          <w:spacing w:before="37"/>
                          <w:ind w:left="524"/>
                          <w:rPr>
                            <w:sz w:val="16"/>
                          </w:rPr>
                        </w:pPr>
                        <w:r>
                          <w:rPr>
                            <w:sz w:val="16"/>
                          </w:rPr>
                          <w:t>68</w:t>
                        </w:r>
                      </w:p>
                    </w:tc>
                    <w:tc>
                      <w:tcPr>
                        <w:tcW w:w="715" w:type="dxa"/>
                        <w:tcBorders>
                          <w:right w:val="single" w:sz="6" w:space="0" w:color="000000"/>
                        </w:tcBorders>
                      </w:tcPr>
                      <w:p>
                        <w:pPr>
                          <w:pStyle w:val="TableParagraph"/>
                          <w:spacing w:before="37"/>
                          <w:ind w:left="261"/>
                          <w:rPr>
                            <w:sz w:val="16"/>
                          </w:rPr>
                        </w:pPr>
                        <w:r>
                          <w:rPr>
                            <w:sz w:val="16"/>
                          </w:rPr>
                          <w:t>ES</w:t>
                        </w:r>
                      </w:p>
                    </w:tc>
                  </w:tr>
                  <w:tr>
                    <w:trPr>
                      <w:trHeight w:val="275" w:hRule="atLeast"/>
                    </w:trPr>
                    <w:tc>
                      <w:tcPr>
                        <w:tcW w:w="1270" w:type="dxa"/>
                      </w:tcPr>
                      <w:p>
                        <w:pPr>
                          <w:pStyle w:val="TableParagraph"/>
                          <w:spacing w:before="37"/>
                          <w:ind w:left="58"/>
                          <w:rPr>
                            <w:sz w:val="16"/>
                          </w:rPr>
                        </w:pPr>
                        <w:r>
                          <w:rPr>
                            <w:sz w:val="16"/>
                          </w:rPr>
                          <w:t>Bolivia</w:t>
                        </w:r>
                      </w:p>
                    </w:tc>
                    <w:tc>
                      <w:tcPr>
                        <w:tcW w:w="1256" w:type="dxa"/>
                      </w:tcPr>
                      <w:p>
                        <w:pPr>
                          <w:pStyle w:val="TableParagraph"/>
                          <w:spacing w:before="37"/>
                          <w:ind w:left="486" w:right="475"/>
                          <w:jc w:val="center"/>
                          <w:rPr>
                            <w:sz w:val="16"/>
                          </w:rPr>
                        </w:pPr>
                        <w:r>
                          <w:rPr>
                            <w:sz w:val="16"/>
                          </w:rPr>
                          <w:t>114</w:t>
                        </w:r>
                      </w:p>
                    </w:tc>
                    <w:tc>
                      <w:tcPr>
                        <w:tcW w:w="1218" w:type="dxa"/>
                      </w:tcPr>
                      <w:p>
                        <w:pPr>
                          <w:pStyle w:val="TableParagraph"/>
                          <w:spacing w:before="37"/>
                          <w:ind w:left="485"/>
                          <w:rPr>
                            <w:sz w:val="16"/>
                          </w:rPr>
                        </w:pPr>
                        <w:r>
                          <w:rPr>
                            <w:sz w:val="16"/>
                          </w:rPr>
                          <w:t>183</w:t>
                        </w:r>
                      </w:p>
                    </w:tc>
                    <w:tc>
                      <w:tcPr>
                        <w:tcW w:w="715" w:type="dxa"/>
                        <w:tcBorders>
                          <w:right w:val="single" w:sz="6" w:space="0" w:color="000000"/>
                        </w:tcBorders>
                      </w:tcPr>
                      <w:p>
                        <w:pPr>
                          <w:pStyle w:val="TableParagraph"/>
                          <w:spacing w:before="37"/>
                          <w:ind w:left="287"/>
                          <w:rPr>
                            <w:sz w:val="16"/>
                          </w:rPr>
                        </w:pPr>
                        <w:r>
                          <w:rPr>
                            <w:sz w:val="16"/>
                          </w:rPr>
                          <w:t>PI</w:t>
                        </w:r>
                      </w:p>
                    </w:tc>
                  </w:tr>
                  <w:tr>
                    <w:trPr>
                      <w:trHeight w:val="273" w:hRule="atLeast"/>
                    </w:trPr>
                    <w:tc>
                      <w:tcPr>
                        <w:tcW w:w="1270" w:type="dxa"/>
                      </w:tcPr>
                      <w:p>
                        <w:pPr>
                          <w:pStyle w:val="TableParagraph"/>
                          <w:spacing w:before="37"/>
                          <w:ind w:left="57"/>
                          <w:rPr>
                            <w:sz w:val="16"/>
                          </w:rPr>
                        </w:pPr>
                        <w:r>
                          <w:rPr>
                            <w:sz w:val="16"/>
                          </w:rPr>
                          <w:t>Brazil</w:t>
                        </w:r>
                      </w:p>
                    </w:tc>
                    <w:tc>
                      <w:tcPr>
                        <w:tcW w:w="1256" w:type="dxa"/>
                      </w:tcPr>
                      <w:p>
                        <w:pPr>
                          <w:pStyle w:val="TableParagraph"/>
                          <w:spacing w:before="37"/>
                          <w:ind w:left="486" w:right="477"/>
                          <w:jc w:val="center"/>
                          <w:rPr>
                            <w:sz w:val="16"/>
                          </w:rPr>
                        </w:pPr>
                        <w:r>
                          <w:rPr>
                            <w:sz w:val="16"/>
                          </w:rPr>
                          <w:t>131</w:t>
                        </w:r>
                      </w:p>
                    </w:tc>
                    <w:tc>
                      <w:tcPr>
                        <w:tcW w:w="1218" w:type="dxa"/>
                      </w:tcPr>
                      <w:p>
                        <w:pPr>
                          <w:pStyle w:val="TableParagraph"/>
                          <w:spacing w:before="37"/>
                          <w:ind w:left="484"/>
                          <w:rPr>
                            <w:sz w:val="16"/>
                          </w:rPr>
                        </w:pPr>
                        <w:r>
                          <w:rPr>
                            <w:sz w:val="16"/>
                          </w:rPr>
                          <w:t>209</w:t>
                        </w:r>
                      </w:p>
                    </w:tc>
                    <w:tc>
                      <w:tcPr>
                        <w:tcW w:w="715" w:type="dxa"/>
                        <w:tcBorders>
                          <w:right w:val="single" w:sz="6" w:space="0" w:color="000000"/>
                        </w:tcBorders>
                      </w:tcPr>
                      <w:p>
                        <w:pPr>
                          <w:pStyle w:val="TableParagraph"/>
                          <w:spacing w:before="37"/>
                          <w:ind w:left="262"/>
                          <w:rPr>
                            <w:sz w:val="16"/>
                          </w:rPr>
                        </w:pPr>
                        <w:r>
                          <w:rPr>
                            <w:sz w:val="16"/>
                          </w:rPr>
                          <w:t>ES</w:t>
                        </w:r>
                      </w:p>
                    </w:tc>
                  </w:tr>
                  <w:tr>
                    <w:trPr>
                      <w:trHeight w:val="273" w:hRule="atLeast"/>
                    </w:trPr>
                    <w:tc>
                      <w:tcPr>
                        <w:tcW w:w="1270" w:type="dxa"/>
                      </w:tcPr>
                      <w:p>
                        <w:pPr>
                          <w:pStyle w:val="TableParagraph"/>
                          <w:spacing w:before="37"/>
                          <w:ind w:left="57"/>
                          <w:rPr>
                            <w:sz w:val="16"/>
                          </w:rPr>
                        </w:pPr>
                        <w:r>
                          <w:rPr>
                            <w:sz w:val="16"/>
                          </w:rPr>
                          <w:t>Chile</w:t>
                        </w:r>
                      </w:p>
                    </w:tc>
                    <w:tc>
                      <w:tcPr>
                        <w:tcW w:w="1256" w:type="dxa"/>
                      </w:tcPr>
                      <w:p>
                        <w:pPr>
                          <w:pStyle w:val="TableParagraph"/>
                          <w:spacing w:before="37"/>
                          <w:ind w:left="484" w:right="477"/>
                          <w:jc w:val="center"/>
                          <w:rPr>
                            <w:sz w:val="16"/>
                          </w:rPr>
                        </w:pPr>
                        <w:r>
                          <w:rPr>
                            <w:sz w:val="16"/>
                          </w:rPr>
                          <w:t>160</w:t>
                        </w:r>
                      </w:p>
                    </w:tc>
                    <w:tc>
                      <w:tcPr>
                        <w:tcW w:w="1218" w:type="dxa"/>
                      </w:tcPr>
                      <w:p>
                        <w:pPr>
                          <w:pStyle w:val="TableParagraph"/>
                          <w:spacing w:before="37"/>
                          <w:ind w:left="483"/>
                          <w:rPr>
                            <w:sz w:val="16"/>
                          </w:rPr>
                        </w:pPr>
                        <w:r>
                          <w:rPr>
                            <w:sz w:val="16"/>
                          </w:rPr>
                          <w:t>268</w:t>
                        </w:r>
                      </w:p>
                    </w:tc>
                    <w:tc>
                      <w:tcPr>
                        <w:tcW w:w="715" w:type="dxa"/>
                        <w:tcBorders>
                          <w:right w:val="single" w:sz="6" w:space="0" w:color="000000"/>
                        </w:tcBorders>
                      </w:tcPr>
                      <w:p>
                        <w:pPr>
                          <w:pStyle w:val="TableParagraph"/>
                          <w:spacing w:before="37"/>
                          <w:ind w:left="261"/>
                          <w:rPr>
                            <w:sz w:val="16"/>
                          </w:rPr>
                        </w:pPr>
                        <w:r>
                          <w:rPr>
                            <w:sz w:val="16"/>
                          </w:rPr>
                          <w:t>ES</w:t>
                        </w:r>
                      </w:p>
                    </w:tc>
                  </w:tr>
                  <w:tr>
                    <w:trPr>
                      <w:trHeight w:val="275" w:hRule="atLeast"/>
                    </w:trPr>
                    <w:tc>
                      <w:tcPr>
                        <w:tcW w:w="1270" w:type="dxa"/>
                      </w:tcPr>
                      <w:p>
                        <w:pPr>
                          <w:pStyle w:val="TableParagraph"/>
                          <w:spacing w:before="37"/>
                          <w:ind w:left="57"/>
                          <w:rPr>
                            <w:sz w:val="16"/>
                          </w:rPr>
                        </w:pPr>
                        <w:r>
                          <w:rPr>
                            <w:sz w:val="16"/>
                          </w:rPr>
                          <w:t>Colombia</w:t>
                        </w:r>
                      </w:p>
                    </w:tc>
                    <w:tc>
                      <w:tcPr>
                        <w:tcW w:w="1256" w:type="dxa"/>
                      </w:tcPr>
                      <w:p>
                        <w:pPr>
                          <w:pStyle w:val="TableParagraph"/>
                          <w:spacing w:before="37"/>
                          <w:ind w:left="486" w:right="476"/>
                          <w:jc w:val="center"/>
                          <w:rPr>
                            <w:sz w:val="16"/>
                          </w:rPr>
                        </w:pPr>
                        <w:r>
                          <w:rPr>
                            <w:sz w:val="16"/>
                          </w:rPr>
                          <w:t>108</w:t>
                        </w:r>
                      </w:p>
                    </w:tc>
                    <w:tc>
                      <w:tcPr>
                        <w:tcW w:w="1218" w:type="dxa"/>
                      </w:tcPr>
                      <w:p>
                        <w:pPr>
                          <w:pStyle w:val="TableParagraph"/>
                          <w:spacing w:before="37"/>
                          <w:ind w:left="484"/>
                          <w:rPr>
                            <w:sz w:val="16"/>
                          </w:rPr>
                        </w:pPr>
                        <w:r>
                          <w:rPr>
                            <w:sz w:val="16"/>
                          </w:rPr>
                          <w:t>196</w:t>
                        </w:r>
                      </w:p>
                    </w:tc>
                    <w:tc>
                      <w:tcPr>
                        <w:tcW w:w="715" w:type="dxa"/>
                        <w:tcBorders>
                          <w:right w:val="single" w:sz="6" w:space="0" w:color="000000"/>
                        </w:tcBorders>
                      </w:tcPr>
                      <w:p>
                        <w:pPr>
                          <w:pStyle w:val="TableParagraph"/>
                          <w:spacing w:before="37"/>
                          <w:ind w:left="274"/>
                          <w:rPr>
                            <w:sz w:val="16"/>
                          </w:rPr>
                        </w:pPr>
                        <w:r>
                          <w:rPr>
                            <w:sz w:val="16"/>
                          </w:rPr>
                          <w:t>NI</w:t>
                        </w:r>
                      </w:p>
                    </w:tc>
                  </w:tr>
                  <w:tr>
                    <w:trPr>
                      <w:trHeight w:val="273" w:hRule="atLeast"/>
                    </w:trPr>
                    <w:tc>
                      <w:tcPr>
                        <w:tcW w:w="1270" w:type="dxa"/>
                      </w:tcPr>
                      <w:p>
                        <w:pPr>
                          <w:pStyle w:val="TableParagraph"/>
                          <w:spacing w:before="37"/>
                          <w:ind w:left="57"/>
                          <w:rPr>
                            <w:sz w:val="16"/>
                          </w:rPr>
                        </w:pPr>
                        <w:r>
                          <w:rPr>
                            <w:sz w:val="16"/>
                          </w:rPr>
                          <w:t>Ecuador</w:t>
                        </w:r>
                      </w:p>
                    </w:tc>
                    <w:tc>
                      <w:tcPr>
                        <w:tcW w:w="1256" w:type="dxa"/>
                      </w:tcPr>
                      <w:p>
                        <w:pPr>
                          <w:pStyle w:val="TableParagraph"/>
                          <w:spacing w:before="37"/>
                          <w:ind w:left="485" w:right="477"/>
                          <w:jc w:val="center"/>
                          <w:rPr>
                            <w:sz w:val="16"/>
                          </w:rPr>
                        </w:pPr>
                        <w:r>
                          <w:rPr>
                            <w:sz w:val="16"/>
                          </w:rPr>
                          <w:t>121</w:t>
                        </w:r>
                      </w:p>
                    </w:tc>
                    <w:tc>
                      <w:tcPr>
                        <w:tcW w:w="1218" w:type="dxa"/>
                      </w:tcPr>
                      <w:p>
                        <w:pPr>
                          <w:pStyle w:val="TableParagraph"/>
                          <w:spacing w:before="37"/>
                          <w:ind w:left="483"/>
                          <w:rPr>
                            <w:sz w:val="16"/>
                          </w:rPr>
                        </w:pPr>
                        <w:r>
                          <w:rPr>
                            <w:sz w:val="16"/>
                          </w:rPr>
                          <w:t>151</w:t>
                        </w:r>
                      </w:p>
                    </w:tc>
                    <w:tc>
                      <w:tcPr>
                        <w:tcW w:w="715" w:type="dxa"/>
                        <w:tcBorders>
                          <w:right w:val="single" w:sz="6" w:space="0" w:color="000000"/>
                        </w:tcBorders>
                      </w:tcPr>
                      <w:p>
                        <w:pPr>
                          <w:pStyle w:val="TableParagraph"/>
                          <w:spacing w:before="37"/>
                          <w:ind w:left="261"/>
                          <w:rPr>
                            <w:sz w:val="16"/>
                          </w:rPr>
                        </w:pPr>
                        <w:r>
                          <w:rPr>
                            <w:sz w:val="16"/>
                          </w:rPr>
                          <w:t>ES</w:t>
                        </w:r>
                      </w:p>
                    </w:tc>
                  </w:tr>
                  <w:tr>
                    <w:trPr>
                      <w:trHeight w:val="273" w:hRule="atLeast"/>
                    </w:trPr>
                    <w:tc>
                      <w:tcPr>
                        <w:tcW w:w="1270" w:type="dxa"/>
                      </w:tcPr>
                      <w:p>
                        <w:pPr>
                          <w:pStyle w:val="TableParagraph"/>
                          <w:spacing w:before="37"/>
                          <w:ind w:left="57"/>
                          <w:rPr>
                            <w:sz w:val="16"/>
                          </w:rPr>
                        </w:pPr>
                        <w:r>
                          <w:rPr>
                            <w:sz w:val="16"/>
                          </w:rPr>
                          <w:t>Falkland Islands</w:t>
                        </w:r>
                      </w:p>
                    </w:tc>
                    <w:tc>
                      <w:tcPr>
                        <w:tcW w:w="1256" w:type="dxa"/>
                      </w:tcPr>
                      <w:p>
                        <w:pPr>
                          <w:pStyle w:val="TableParagraph"/>
                          <w:spacing w:before="37"/>
                          <w:ind w:left="11"/>
                          <w:jc w:val="center"/>
                          <w:rPr>
                            <w:sz w:val="16"/>
                          </w:rPr>
                        </w:pPr>
                        <w:r>
                          <w:rPr>
                            <w:w w:val="100"/>
                            <w:sz w:val="16"/>
                          </w:rPr>
                          <w:t>-</w:t>
                        </w:r>
                      </w:p>
                    </w:tc>
                    <w:tc>
                      <w:tcPr>
                        <w:tcW w:w="1218" w:type="dxa"/>
                      </w:tcPr>
                      <w:p>
                        <w:pPr>
                          <w:pStyle w:val="TableParagraph"/>
                          <w:spacing w:before="37"/>
                          <w:ind w:left="579"/>
                          <w:rPr>
                            <w:sz w:val="16"/>
                          </w:rPr>
                        </w:pPr>
                        <w:r>
                          <w:rPr>
                            <w:w w:val="100"/>
                            <w:sz w:val="16"/>
                          </w:rPr>
                          <w:t>-</w:t>
                        </w:r>
                      </w:p>
                    </w:tc>
                    <w:tc>
                      <w:tcPr>
                        <w:tcW w:w="715" w:type="dxa"/>
                        <w:tcBorders>
                          <w:right w:val="single" w:sz="6" w:space="0" w:color="000000"/>
                        </w:tcBorders>
                      </w:tcPr>
                      <w:p>
                        <w:pPr>
                          <w:pStyle w:val="TableParagraph"/>
                          <w:spacing w:before="37"/>
                          <w:ind w:left="328"/>
                          <w:rPr>
                            <w:sz w:val="16"/>
                          </w:rPr>
                        </w:pPr>
                        <w:r>
                          <w:rPr>
                            <w:w w:val="100"/>
                            <w:sz w:val="16"/>
                          </w:rPr>
                          <w:t>-</w:t>
                        </w:r>
                      </w:p>
                    </w:tc>
                  </w:tr>
                  <w:tr>
                    <w:trPr>
                      <w:trHeight w:val="275" w:hRule="atLeast"/>
                    </w:trPr>
                    <w:tc>
                      <w:tcPr>
                        <w:tcW w:w="1270" w:type="dxa"/>
                      </w:tcPr>
                      <w:p>
                        <w:pPr>
                          <w:pStyle w:val="TableParagraph"/>
                          <w:spacing w:before="37"/>
                          <w:ind w:left="57"/>
                          <w:rPr>
                            <w:sz w:val="16"/>
                          </w:rPr>
                        </w:pPr>
                        <w:r>
                          <w:rPr>
                            <w:sz w:val="16"/>
                          </w:rPr>
                          <w:t>French Guiana</w:t>
                        </w:r>
                      </w:p>
                    </w:tc>
                    <w:tc>
                      <w:tcPr>
                        <w:tcW w:w="1256" w:type="dxa"/>
                      </w:tcPr>
                      <w:p>
                        <w:pPr>
                          <w:pStyle w:val="TableParagraph"/>
                          <w:spacing w:before="37"/>
                          <w:ind w:left="485" w:right="477"/>
                          <w:jc w:val="center"/>
                          <w:rPr>
                            <w:sz w:val="16"/>
                          </w:rPr>
                        </w:pPr>
                        <w:r>
                          <w:rPr>
                            <w:sz w:val="16"/>
                          </w:rPr>
                          <w:t>145</w:t>
                        </w:r>
                      </w:p>
                    </w:tc>
                    <w:tc>
                      <w:tcPr>
                        <w:tcW w:w="1218" w:type="dxa"/>
                      </w:tcPr>
                      <w:p>
                        <w:pPr>
                          <w:pStyle w:val="TableParagraph"/>
                          <w:spacing w:before="37"/>
                          <w:ind w:left="484"/>
                          <w:rPr>
                            <w:sz w:val="16"/>
                          </w:rPr>
                        </w:pPr>
                        <w:r>
                          <w:rPr>
                            <w:sz w:val="16"/>
                          </w:rPr>
                          <w:t>253</w:t>
                        </w:r>
                      </w:p>
                    </w:tc>
                    <w:tc>
                      <w:tcPr>
                        <w:tcW w:w="715" w:type="dxa"/>
                        <w:tcBorders>
                          <w:right w:val="single" w:sz="6" w:space="0" w:color="000000"/>
                        </w:tcBorders>
                      </w:tcPr>
                      <w:p>
                        <w:pPr>
                          <w:pStyle w:val="TableParagraph"/>
                          <w:spacing w:before="37"/>
                          <w:ind w:left="261"/>
                          <w:rPr>
                            <w:sz w:val="16"/>
                          </w:rPr>
                        </w:pPr>
                        <w:r>
                          <w:rPr>
                            <w:sz w:val="16"/>
                          </w:rPr>
                          <w:t>ES</w:t>
                        </w:r>
                      </w:p>
                    </w:tc>
                  </w:tr>
                  <w:tr>
                    <w:trPr>
                      <w:trHeight w:val="443" w:hRule="atLeast"/>
                    </w:trPr>
                    <w:tc>
                      <w:tcPr>
                        <w:tcW w:w="1270" w:type="dxa"/>
                      </w:tcPr>
                      <w:p>
                        <w:pPr>
                          <w:pStyle w:val="TableParagraph"/>
                          <w:spacing w:before="124"/>
                          <w:ind w:left="57"/>
                          <w:rPr>
                            <w:sz w:val="16"/>
                          </w:rPr>
                        </w:pPr>
                        <w:r>
                          <w:rPr>
                            <w:sz w:val="16"/>
                          </w:rPr>
                          <w:t>Guyana</w:t>
                        </w:r>
                      </w:p>
                    </w:tc>
                    <w:tc>
                      <w:tcPr>
                        <w:tcW w:w="1256" w:type="dxa"/>
                      </w:tcPr>
                      <w:p>
                        <w:pPr>
                          <w:pStyle w:val="TableParagraph"/>
                          <w:spacing w:before="124"/>
                          <w:ind w:left="484" w:right="477"/>
                          <w:jc w:val="center"/>
                          <w:rPr>
                            <w:sz w:val="16"/>
                          </w:rPr>
                        </w:pPr>
                        <w:r>
                          <w:rPr>
                            <w:sz w:val="16"/>
                          </w:rPr>
                          <w:t>145</w:t>
                        </w:r>
                      </w:p>
                    </w:tc>
                    <w:tc>
                      <w:tcPr>
                        <w:tcW w:w="1218" w:type="dxa"/>
                      </w:tcPr>
                      <w:p>
                        <w:pPr>
                          <w:pStyle w:val="TableParagraph"/>
                          <w:spacing w:before="124"/>
                          <w:ind w:left="483"/>
                          <w:rPr>
                            <w:sz w:val="16"/>
                          </w:rPr>
                        </w:pPr>
                        <w:r>
                          <w:rPr>
                            <w:sz w:val="16"/>
                          </w:rPr>
                          <w:t>253</w:t>
                        </w:r>
                      </w:p>
                    </w:tc>
                    <w:tc>
                      <w:tcPr>
                        <w:tcW w:w="715" w:type="dxa"/>
                        <w:tcBorders>
                          <w:right w:val="single" w:sz="6" w:space="0" w:color="000000"/>
                        </w:tcBorders>
                      </w:tcPr>
                      <w:p>
                        <w:pPr>
                          <w:pStyle w:val="TableParagraph"/>
                          <w:spacing w:before="124"/>
                          <w:ind w:left="261"/>
                          <w:rPr>
                            <w:sz w:val="16"/>
                          </w:rPr>
                        </w:pPr>
                        <w:r>
                          <w:rPr>
                            <w:sz w:val="16"/>
                          </w:rPr>
                          <w:t>ES</w:t>
                        </w:r>
                      </w:p>
                    </w:tc>
                  </w:tr>
                  <w:tr>
                    <w:trPr>
                      <w:trHeight w:val="273" w:hRule="atLeast"/>
                    </w:trPr>
                    <w:tc>
                      <w:tcPr>
                        <w:tcW w:w="1270" w:type="dxa"/>
                      </w:tcPr>
                      <w:p>
                        <w:pPr>
                          <w:pStyle w:val="TableParagraph"/>
                          <w:spacing w:before="37"/>
                          <w:ind w:left="57"/>
                          <w:rPr>
                            <w:sz w:val="16"/>
                          </w:rPr>
                        </w:pPr>
                        <w:r>
                          <w:rPr>
                            <w:sz w:val="16"/>
                          </w:rPr>
                          <w:t>Paraguay</w:t>
                        </w:r>
                      </w:p>
                    </w:tc>
                    <w:tc>
                      <w:tcPr>
                        <w:tcW w:w="1256" w:type="dxa"/>
                      </w:tcPr>
                      <w:p>
                        <w:pPr>
                          <w:pStyle w:val="TableParagraph"/>
                          <w:spacing w:before="37"/>
                          <w:ind w:left="486" w:right="475"/>
                          <w:jc w:val="center"/>
                          <w:rPr>
                            <w:sz w:val="16"/>
                          </w:rPr>
                        </w:pPr>
                        <w:r>
                          <w:rPr>
                            <w:sz w:val="16"/>
                          </w:rPr>
                          <w:t>34</w:t>
                        </w:r>
                      </w:p>
                    </w:tc>
                    <w:tc>
                      <w:tcPr>
                        <w:tcW w:w="1218" w:type="dxa"/>
                      </w:tcPr>
                      <w:p>
                        <w:pPr>
                          <w:pStyle w:val="TableParagraph"/>
                          <w:spacing w:before="37"/>
                          <w:ind w:left="524"/>
                          <w:rPr>
                            <w:sz w:val="16"/>
                          </w:rPr>
                        </w:pPr>
                        <w:r>
                          <w:rPr>
                            <w:sz w:val="16"/>
                          </w:rPr>
                          <w:t>59</w:t>
                        </w:r>
                      </w:p>
                    </w:tc>
                    <w:tc>
                      <w:tcPr>
                        <w:tcW w:w="715" w:type="dxa"/>
                        <w:tcBorders>
                          <w:right w:val="single" w:sz="6" w:space="0" w:color="000000"/>
                        </w:tcBorders>
                      </w:tcPr>
                      <w:p>
                        <w:pPr>
                          <w:pStyle w:val="TableParagraph"/>
                          <w:spacing w:before="37"/>
                          <w:ind w:left="261"/>
                          <w:rPr>
                            <w:sz w:val="16"/>
                          </w:rPr>
                        </w:pPr>
                        <w:r>
                          <w:rPr>
                            <w:sz w:val="16"/>
                          </w:rPr>
                          <w:t>ES</w:t>
                        </w:r>
                      </w:p>
                    </w:tc>
                  </w:tr>
                  <w:tr>
                    <w:trPr>
                      <w:trHeight w:val="275" w:hRule="atLeast"/>
                    </w:trPr>
                    <w:tc>
                      <w:tcPr>
                        <w:tcW w:w="1270" w:type="dxa"/>
                      </w:tcPr>
                      <w:p>
                        <w:pPr>
                          <w:pStyle w:val="TableParagraph"/>
                          <w:spacing w:before="37"/>
                          <w:ind w:left="57"/>
                          <w:rPr>
                            <w:sz w:val="16"/>
                          </w:rPr>
                        </w:pPr>
                        <w:r>
                          <w:rPr>
                            <w:sz w:val="16"/>
                          </w:rPr>
                          <w:t>Peru</w:t>
                        </w:r>
                      </w:p>
                    </w:tc>
                    <w:tc>
                      <w:tcPr>
                        <w:tcW w:w="1256" w:type="dxa"/>
                      </w:tcPr>
                      <w:p>
                        <w:pPr>
                          <w:pStyle w:val="TableParagraph"/>
                          <w:spacing w:before="37"/>
                          <w:ind w:left="484" w:right="477"/>
                          <w:jc w:val="center"/>
                          <w:rPr>
                            <w:sz w:val="16"/>
                          </w:rPr>
                        </w:pPr>
                        <w:r>
                          <w:rPr>
                            <w:sz w:val="16"/>
                          </w:rPr>
                          <w:t>158</w:t>
                        </w:r>
                      </w:p>
                    </w:tc>
                    <w:tc>
                      <w:tcPr>
                        <w:tcW w:w="1218" w:type="dxa"/>
                      </w:tcPr>
                      <w:p>
                        <w:pPr>
                          <w:pStyle w:val="TableParagraph"/>
                          <w:spacing w:before="37"/>
                          <w:ind w:left="483"/>
                          <w:rPr>
                            <w:sz w:val="16"/>
                          </w:rPr>
                        </w:pPr>
                        <w:r>
                          <w:rPr>
                            <w:sz w:val="16"/>
                          </w:rPr>
                          <w:t>245</w:t>
                        </w:r>
                      </w:p>
                    </w:tc>
                    <w:tc>
                      <w:tcPr>
                        <w:tcW w:w="715" w:type="dxa"/>
                        <w:tcBorders>
                          <w:right w:val="single" w:sz="6" w:space="0" w:color="000000"/>
                        </w:tcBorders>
                      </w:tcPr>
                      <w:p>
                        <w:pPr>
                          <w:pStyle w:val="TableParagraph"/>
                          <w:spacing w:before="37"/>
                          <w:ind w:left="273"/>
                          <w:rPr>
                            <w:sz w:val="16"/>
                          </w:rPr>
                        </w:pPr>
                        <w:r>
                          <w:rPr>
                            <w:sz w:val="16"/>
                          </w:rPr>
                          <w:t>NI</w:t>
                        </w:r>
                      </w:p>
                    </w:tc>
                  </w:tr>
                  <w:tr>
                    <w:trPr>
                      <w:trHeight w:val="273" w:hRule="atLeast"/>
                    </w:trPr>
                    <w:tc>
                      <w:tcPr>
                        <w:tcW w:w="1270" w:type="dxa"/>
                      </w:tcPr>
                      <w:p>
                        <w:pPr>
                          <w:pStyle w:val="TableParagraph"/>
                          <w:spacing w:before="37"/>
                          <w:ind w:left="58"/>
                          <w:rPr>
                            <w:sz w:val="16"/>
                          </w:rPr>
                        </w:pPr>
                        <w:r>
                          <w:rPr>
                            <w:sz w:val="16"/>
                          </w:rPr>
                          <w:t>Suriname</w:t>
                        </w:r>
                      </w:p>
                    </w:tc>
                    <w:tc>
                      <w:tcPr>
                        <w:tcW w:w="1256" w:type="dxa"/>
                      </w:tcPr>
                      <w:p>
                        <w:pPr>
                          <w:pStyle w:val="TableParagraph"/>
                          <w:spacing w:before="37"/>
                          <w:ind w:left="485" w:right="477"/>
                          <w:jc w:val="center"/>
                          <w:rPr>
                            <w:sz w:val="16"/>
                          </w:rPr>
                        </w:pPr>
                        <w:r>
                          <w:rPr>
                            <w:sz w:val="16"/>
                          </w:rPr>
                          <w:t>145</w:t>
                        </w:r>
                      </w:p>
                    </w:tc>
                    <w:tc>
                      <w:tcPr>
                        <w:tcW w:w="1218" w:type="dxa"/>
                      </w:tcPr>
                      <w:p>
                        <w:pPr>
                          <w:pStyle w:val="TableParagraph"/>
                          <w:spacing w:before="37"/>
                          <w:ind w:left="483"/>
                          <w:rPr>
                            <w:sz w:val="16"/>
                          </w:rPr>
                        </w:pPr>
                        <w:r>
                          <w:rPr>
                            <w:sz w:val="16"/>
                          </w:rPr>
                          <w:t>253</w:t>
                        </w:r>
                      </w:p>
                    </w:tc>
                    <w:tc>
                      <w:tcPr>
                        <w:tcW w:w="715" w:type="dxa"/>
                        <w:tcBorders>
                          <w:right w:val="single" w:sz="6" w:space="0" w:color="000000"/>
                        </w:tcBorders>
                      </w:tcPr>
                      <w:p>
                        <w:pPr>
                          <w:pStyle w:val="TableParagraph"/>
                          <w:spacing w:before="37"/>
                          <w:ind w:left="261"/>
                          <w:rPr>
                            <w:sz w:val="16"/>
                          </w:rPr>
                        </w:pPr>
                        <w:r>
                          <w:rPr>
                            <w:sz w:val="16"/>
                          </w:rPr>
                          <w:t>ES</w:t>
                        </w:r>
                      </w:p>
                    </w:tc>
                  </w:tr>
                  <w:tr>
                    <w:trPr>
                      <w:trHeight w:val="386" w:hRule="atLeast"/>
                    </w:trPr>
                    <w:tc>
                      <w:tcPr>
                        <w:tcW w:w="1270" w:type="dxa"/>
                      </w:tcPr>
                      <w:p>
                        <w:pPr>
                          <w:pStyle w:val="TableParagraph"/>
                          <w:spacing w:before="95"/>
                          <w:ind w:left="57"/>
                          <w:rPr>
                            <w:sz w:val="16"/>
                          </w:rPr>
                        </w:pPr>
                        <w:r>
                          <w:rPr>
                            <w:sz w:val="16"/>
                          </w:rPr>
                          <w:t>Uruguay</w:t>
                        </w:r>
                      </w:p>
                    </w:tc>
                    <w:tc>
                      <w:tcPr>
                        <w:tcW w:w="1256" w:type="dxa"/>
                      </w:tcPr>
                      <w:p>
                        <w:pPr>
                          <w:pStyle w:val="TableParagraph"/>
                          <w:spacing w:before="95"/>
                          <w:ind w:left="11"/>
                          <w:jc w:val="center"/>
                          <w:rPr>
                            <w:sz w:val="16"/>
                          </w:rPr>
                        </w:pPr>
                        <w:r>
                          <w:rPr>
                            <w:w w:val="100"/>
                            <w:sz w:val="16"/>
                          </w:rPr>
                          <w:t>-</w:t>
                        </w:r>
                      </w:p>
                    </w:tc>
                    <w:tc>
                      <w:tcPr>
                        <w:tcW w:w="1218" w:type="dxa"/>
                      </w:tcPr>
                      <w:p>
                        <w:pPr>
                          <w:pStyle w:val="TableParagraph"/>
                          <w:spacing w:before="95"/>
                          <w:ind w:left="579"/>
                          <w:rPr>
                            <w:sz w:val="16"/>
                          </w:rPr>
                        </w:pPr>
                        <w:r>
                          <w:rPr>
                            <w:w w:val="100"/>
                            <w:sz w:val="16"/>
                          </w:rPr>
                          <w:t>-</w:t>
                        </w:r>
                      </w:p>
                    </w:tc>
                    <w:tc>
                      <w:tcPr>
                        <w:tcW w:w="715" w:type="dxa"/>
                        <w:tcBorders>
                          <w:right w:val="single" w:sz="6" w:space="0" w:color="000000"/>
                        </w:tcBorders>
                      </w:tcPr>
                      <w:p>
                        <w:pPr>
                          <w:pStyle w:val="TableParagraph"/>
                          <w:spacing w:before="95"/>
                          <w:ind w:left="328"/>
                          <w:rPr>
                            <w:sz w:val="16"/>
                          </w:rPr>
                        </w:pPr>
                        <w:r>
                          <w:rPr>
                            <w:w w:val="100"/>
                            <w:sz w:val="16"/>
                          </w:rPr>
                          <w:t>-</w:t>
                        </w:r>
                      </w:p>
                    </w:tc>
                  </w:tr>
                  <w:tr>
                    <w:trPr>
                      <w:trHeight w:val="275" w:hRule="atLeast"/>
                    </w:trPr>
                    <w:tc>
                      <w:tcPr>
                        <w:tcW w:w="1270" w:type="dxa"/>
                      </w:tcPr>
                      <w:p>
                        <w:pPr>
                          <w:pStyle w:val="TableParagraph"/>
                          <w:spacing w:before="37"/>
                          <w:ind w:left="57"/>
                          <w:rPr>
                            <w:sz w:val="16"/>
                          </w:rPr>
                        </w:pPr>
                        <w:r>
                          <w:rPr>
                            <w:sz w:val="16"/>
                          </w:rPr>
                          <w:t>Venezuela</w:t>
                        </w:r>
                      </w:p>
                    </w:tc>
                    <w:tc>
                      <w:tcPr>
                        <w:tcW w:w="1256" w:type="dxa"/>
                      </w:tcPr>
                      <w:p>
                        <w:pPr>
                          <w:pStyle w:val="TableParagraph"/>
                          <w:spacing w:before="37"/>
                          <w:ind w:left="483" w:right="477"/>
                          <w:jc w:val="center"/>
                          <w:rPr>
                            <w:sz w:val="16"/>
                          </w:rPr>
                        </w:pPr>
                        <w:r>
                          <w:rPr>
                            <w:sz w:val="16"/>
                          </w:rPr>
                          <w:t>134</w:t>
                        </w:r>
                      </w:p>
                    </w:tc>
                    <w:tc>
                      <w:tcPr>
                        <w:tcW w:w="1218" w:type="dxa"/>
                      </w:tcPr>
                      <w:p>
                        <w:pPr>
                          <w:pStyle w:val="TableParagraph"/>
                          <w:spacing w:before="37"/>
                          <w:ind w:left="483"/>
                          <w:rPr>
                            <w:sz w:val="16"/>
                          </w:rPr>
                        </w:pPr>
                        <w:r>
                          <w:rPr>
                            <w:sz w:val="16"/>
                          </w:rPr>
                          <w:t>233</w:t>
                        </w:r>
                      </w:p>
                    </w:tc>
                    <w:tc>
                      <w:tcPr>
                        <w:tcW w:w="715" w:type="dxa"/>
                        <w:tcBorders>
                          <w:right w:val="single" w:sz="6" w:space="0" w:color="000000"/>
                        </w:tcBorders>
                      </w:tcPr>
                      <w:p>
                        <w:pPr>
                          <w:pStyle w:val="TableParagraph"/>
                          <w:spacing w:before="37"/>
                          <w:ind w:left="261"/>
                          <w:rPr>
                            <w:sz w:val="16"/>
                          </w:rPr>
                        </w:pPr>
                        <w:r>
                          <w:rPr>
                            <w:sz w:val="16"/>
                          </w:rPr>
                          <w:t>ES</w:t>
                        </w:r>
                      </w:p>
                    </w:tc>
                  </w:tr>
                  <w:tr>
                    <w:trPr>
                      <w:trHeight w:val="386" w:hRule="atLeast"/>
                    </w:trPr>
                    <w:tc>
                      <w:tcPr>
                        <w:tcW w:w="4459" w:type="dxa"/>
                        <w:gridSpan w:val="4"/>
                        <w:tcBorders>
                          <w:right w:val="single" w:sz="6" w:space="0" w:color="000000"/>
                        </w:tcBorders>
                      </w:tcPr>
                      <w:p>
                        <w:pPr>
                          <w:pStyle w:val="TableParagraph"/>
                          <w:spacing w:line="237" w:lineRule="auto"/>
                          <w:ind w:left="57" w:right="7"/>
                          <w:rPr>
                            <w:sz w:val="16"/>
                          </w:rPr>
                        </w:pPr>
                        <w:r>
                          <w:rPr>
                            <w:sz w:val="16"/>
                          </w:rPr>
                          <w:t>Information source: NI = National inventory; PI = Partial inventory; ES = Estimate; EX = External data (from other regions)</w:t>
                        </w:r>
                      </w:p>
                    </w:tc>
                  </w:tr>
                </w:tbl>
                <w:p>
                  <w:pPr>
                    <w:pStyle w:val="BodyText"/>
                  </w:pPr>
                </w:p>
              </w:txbxContent>
            </v:textbox>
            <w10:wrap type="none"/>
          </v:shape>
        </w:pict>
      </w:r>
    </w:p>
    <w:p>
      <w:pPr>
        <w:spacing w:after="0"/>
        <w:rPr>
          <w:sz w:val="17"/>
        </w:rPr>
        <w:sectPr>
          <w:footerReference w:type="even" r:id="rId191"/>
          <w:footerReference w:type="default" r:id="rId192"/>
          <w:pgSz w:w="11900" w:h="16840"/>
          <w:pgMar w:footer="408" w:header="230" w:top="560" w:bottom="600" w:left="1200" w:right="1140"/>
          <w:pgNumType w:start="162"/>
        </w:sectPr>
      </w:pPr>
    </w:p>
    <w:p>
      <w:pPr>
        <w:pStyle w:val="BodyText"/>
      </w:pPr>
    </w:p>
    <w:p>
      <w:pPr>
        <w:pStyle w:val="BodyText"/>
      </w:pPr>
    </w:p>
    <w:p>
      <w:pPr>
        <w:pStyle w:val="BodyText"/>
      </w:pPr>
    </w:p>
    <w:p>
      <w:pPr>
        <w:pStyle w:val="BodyText"/>
      </w:pPr>
    </w:p>
    <w:p>
      <w:pPr>
        <w:pStyle w:val="BodyText"/>
        <w:spacing w:before="4" w:after="1"/>
        <w:rPr>
          <w:sz w:val="12"/>
        </w:rPr>
      </w:pPr>
    </w:p>
    <w:tbl>
      <w:tblPr>
        <w:tblW w:w="0" w:type="auto"/>
        <w:jc w:val="left"/>
        <w:tblInd w:w="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16"/>
        <w:gridCol w:w="1211"/>
        <w:gridCol w:w="214"/>
        <w:gridCol w:w="430"/>
        <w:gridCol w:w="624"/>
        <w:gridCol w:w="1267"/>
        <w:gridCol w:w="1217"/>
        <w:gridCol w:w="612"/>
        <w:gridCol w:w="617"/>
        <w:gridCol w:w="1217"/>
      </w:tblGrid>
      <w:tr>
        <w:trPr>
          <w:trHeight w:val="1067" w:hRule="atLeast"/>
        </w:trPr>
        <w:tc>
          <w:tcPr>
            <w:tcW w:w="8925" w:type="dxa"/>
            <w:gridSpan w:val="10"/>
            <w:tcBorders>
              <w:bottom w:val="double" w:sz="1" w:space="0" w:color="000000"/>
            </w:tcBorders>
          </w:tcPr>
          <w:p>
            <w:pPr>
              <w:pStyle w:val="TableParagraph"/>
              <w:spacing w:before="59"/>
              <w:ind w:left="433" w:right="428"/>
              <w:jc w:val="center"/>
              <w:rPr>
                <w:b/>
                <w:sz w:val="18"/>
              </w:rPr>
            </w:pPr>
            <w:r>
              <w:rPr>
                <w:b/>
                <w:sz w:val="18"/>
              </w:rPr>
              <w:t>T</w:t>
            </w:r>
            <w:r>
              <w:rPr>
                <w:b/>
                <w:sz w:val="14"/>
              </w:rPr>
              <w:t>ABLE </w:t>
            </w:r>
            <w:r>
              <w:rPr>
                <w:b/>
                <w:sz w:val="18"/>
              </w:rPr>
              <w:t>3A.1.5</w:t>
            </w:r>
          </w:p>
          <w:p>
            <w:pPr>
              <w:pStyle w:val="TableParagraph"/>
              <w:spacing w:line="207" w:lineRule="exact" w:before="2"/>
              <w:ind w:left="433" w:right="428"/>
              <w:jc w:val="center"/>
              <w:rPr>
                <w:b/>
                <w:sz w:val="14"/>
              </w:rPr>
            </w:pPr>
            <w:r>
              <w:rPr>
                <w:b/>
                <w:sz w:val="18"/>
              </w:rPr>
              <w:t>A</w:t>
            </w:r>
            <w:r>
              <w:rPr>
                <w:b/>
                <w:sz w:val="14"/>
              </w:rPr>
              <w:t>VERAGE ANNUAL INCREMENT IN ABOVEGROUND BIOMASS IN NATURAL REGENERATION BY BROAD CATEGORY</w:t>
            </w:r>
          </w:p>
          <w:p>
            <w:pPr>
              <w:pStyle w:val="TableParagraph"/>
              <w:spacing w:line="207" w:lineRule="exact"/>
              <w:ind w:left="433" w:right="425"/>
              <w:jc w:val="center"/>
              <w:rPr>
                <w:b/>
                <w:sz w:val="18"/>
              </w:rPr>
            </w:pPr>
            <w:r>
              <w:rPr>
                <w:b/>
                <w:sz w:val="18"/>
              </w:rPr>
              <w:t>(tonnes dry matter/ha/year)</w:t>
            </w:r>
          </w:p>
          <w:p>
            <w:pPr>
              <w:pStyle w:val="TableParagraph"/>
              <w:spacing w:before="115"/>
              <w:ind w:left="433" w:right="426"/>
              <w:jc w:val="center"/>
              <w:rPr>
                <w:sz w:val="18"/>
              </w:rPr>
            </w:pPr>
            <w:r>
              <w:rPr>
                <w:sz w:val="18"/>
              </w:rPr>
              <w:t>(To be used for G</w:t>
            </w:r>
            <w:r>
              <w:rPr>
                <w:sz w:val="18"/>
                <w:vertAlign w:val="subscript"/>
              </w:rPr>
              <w:t>W</w:t>
            </w:r>
            <w:r>
              <w:rPr>
                <w:sz w:val="18"/>
                <w:vertAlign w:val="baseline"/>
              </w:rPr>
              <w:t> in Equation 3.2.5)</w:t>
            </w:r>
          </w:p>
        </w:tc>
      </w:tr>
      <w:tr>
        <w:trPr>
          <w:trHeight w:val="255" w:hRule="atLeast"/>
        </w:trPr>
        <w:tc>
          <w:tcPr>
            <w:tcW w:w="8925" w:type="dxa"/>
            <w:gridSpan w:val="10"/>
            <w:tcBorders>
              <w:top w:val="double" w:sz="1" w:space="0" w:color="000000"/>
            </w:tcBorders>
          </w:tcPr>
          <w:p>
            <w:pPr>
              <w:pStyle w:val="TableParagraph"/>
              <w:spacing w:before="23"/>
              <w:ind w:left="433" w:right="425"/>
              <w:jc w:val="center"/>
              <w:rPr>
                <w:b/>
                <w:sz w:val="18"/>
              </w:rPr>
            </w:pPr>
            <w:r>
              <w:rPr>
                <w:b/>
                <w:sz w:val="18"/>
              </w:rPr>
              <w:t>Tropical and Sub-Tropical Forests</w:t>
            </w:r>
          </w:p>
        </w:tc>
      </w:tr>
      <w:tr>
        <w:trPr>
          <w:trHeight w:val="726" w:hRule="atLeast"/>
        </w:trPr>
        <w:tc>
          <w:tcPr>
            <w:tcW w:w="1516" w:type="dxa"/>
            <w:vMerge w:val="restart"/>
          </w:tcPr>
          <w:p>
            <w:pPr>
              <w:pStyle w:val="TableParagraph"/>
              <w:rPr>
                <w:sz w:val="20"/>
              </w:rPr>
            </w:pPr>
          </w:p>
          <w:p>
            <w:pPr>
              <w:pStyle w:val="TableParagraph"/>
              <w:spacing w:before="165"/>
              <w:ind w:left="376"/>
              <w:rPr>
                <w:b/>
                <w:sz w:val="18"/>
              </w:rPr>
            </w:pPr>
            <w:r>
              <w:rPr>
                <w:b/>
                <w:sz w:val="18"/>
              </w:rPr>
              <w:t>Age Class</w:t>
            </w:r>
          </w:p>
        </w:tc>
        <w:tc>
          <w:tcPr>
            <w:tcW w:w="1211" w:type="dxa"/>
          </w:tcPr>
          <w:p>
            <w:pPr>
              <w:pStyle w:val="TableParagraph"/>
              <w:spacing w:before="5"/>
              <w:rPr>
                <w:sz w:val="22"/>
              </w:rPr>
            </w:pPr>
          </w:p>
          <w:p>
            <w:pPr>
              <w:pStyle w:val="TableParagraph"/>
              <w:spacing w:before="1"/>
              <w:ind w:left="82" w:right="78"/>
              <w:jc w:val="center"/>
              <w:rPr>
                <w:b/>
                <w:sz w:val="18"/>
              </w:rPr>
            </w:pPr>
            <w:r>
              <w:rPr>
                <w:b/>
                <w:sz w:val="18"/>
              </w:rPr>
              <w:t>Wet</w:t>
            </w:r>
          </w:p>
        </w:tc>
        <w:tc>
          <w:tcPr>
            <w:tcW w:w="1268" w:type="dxa"/>
            <w:gridSpan w:val="3"/>
          </w:tcPr>
          <w:p>
            <w:pPr>
              <w:pStyle w:val="TableParagraph"/>
              <w:spacing w:before="52"/>
              <w:ind w:left="217" w:right="210"/>
              <w:jc w:val="center"/>
              <w:rPr>
                <w:b/>
                <w:sz w:val="18"/>
              </w:rPr>
            </w:pPr>
            <w:r>
              <w:rPr>
                <w:b/>
                <w:sz w:val="18"/>
              </w:rPr>
              <w:t>Moist with Short Dry Season</w:t>
            </w:r>
          </w:p>
        </w:tc>
        <w:tc>
          <w:tcPr>
            <w:tcW w:w="1267" w:type="dxa"/>
          </w:tcPr>
          <w:p>
            <w:pPr>
              <w:pStyle w:val="TableParagraph"/>
              <w:spacing w:before="52"/>
              <w:ind w:left="215" w:right="204"/>
              <w:jc w:val="center"/>
              <w:rPr>
                <w:b/>
                <w:sz w:val="18"/>
              </w:rPr>
            </w:pPr>
            <w:r>
              <w:rPr>
                <w:b/>
                <w:sz w:val="18"/>
              </w:rPr>
              <w:t>Moist with Long Dry Season</w:t>
            </w:r>
          </w:p>
        </w:tc>
        <w:tc>
          <w:tcPr>
            <w:tcW w:w="1217" w:type="dxa"/>
          </w:tcPr>
          <w:p>
            <w:pPr>
              <w:pStyle w:val="TableParagraph"/>
              <w:spacing w:before="5"/>
              <w:rPr>
                <w:sz w:val="22"/>
              </w:rPr>
            </w:pPr>
          </w:p>
          <w:p>
            <w:pPr>
              <w:pStyle w:val="TableParagraph"/>
              <w:spacing w:before="1"/>
              <w:ind w:left="179" w:right="178"/>
              <w:jc w:val="center"/>
              <w:rPr>
                <w:b/>
                <w:sz w:val="18"/>
              </w:rPr>
            </w:pPr>
            <w:r>
              <w:rPr>
                <w:b/>
                <w:sz w:val="18"/>
              </w:rPr>
              <w:t>Dry</w:t>
            </w:r>
          </w:p>
        </w:tc>
        <w:tc>
          <w:tcPr>
            <w:tcW w:w="1229" w:type="dxa"/>
            <w:gridSpan w:val="2"/>
            <w:tcBorders>
              <w:right w:val="single" w:sz="6" w:space="0" w:color="000000"/>
            </w:tcBorders>
          </w:tcPr>
          <w:p>
            <w:pPr>
              <w:pStyle w:val="TableParagraph"/>
              <w:spacing w:before="5"/>
              <w:rPr>
                <w:sz w:val="22"/>
              </w:rPr>
            </w:pPr>
          </w:p>
          <w:p>
            <w:pPr>
              <w:pStyle w:val="TableParagraph"/>
              <w:spacing w:before="1"/>
              <w:ind w:left="27"/>
              <w:rPr>
                <w:b/>
                <w:sz w:val="18"/>
              </w:rPr>
            </w:pPr>
            <w:r>
              <w:rPr>
                <w:b/>
                <w:sz w:val="18"/>
              </w:rPr>
              <w:t>Montane Moist</w:t>
            </w:r>
          </w:p>
        </w:tc>
        <w:tc>
          <w:tcPr>
            <w:tcW w:w="1217" w:type="dxa"/>
            <w:tcBorders>
              <w:left w:val="single" w:sz="6" w:space="0" w:color="000000"/>
            </w:tcBorders>
          </w:tcPr>
          <w:p>
            <w:pPr>
              <w:pStyle w:val="TableParagraph"/>
              <w:spacing w:before="5"/>
              <w:rPr>
                <w:sz w:val="22"/>
              </w:rPr>
            </w:pPr>
          </w:p>
          <w:p>
            <w:pPr>
              <w:pStyle w:val="TableParagraph"/>
              <w:spacing w:before="1"/>
              <w:ind w:left="70" w:right="59"/>
              <w:jc w:val="center"/>
              <w:rPr>
                <w:b/>
                <w:sz w:val="18"/>
              </w:rPr>
            </w:pPr>
            <w:r>
              <w:rPr>
                <w:b/>
                <w:sz w:val="18"/>
              </w:rPr>
              <w:t>Montane Dry</w:t>
            </w:r>
          </w:p>
        </w:tc>
      </w:tr>
      <w:tr>
        <w:trPr>
          <w:trHeight w:val="273" w:hRule="atLeast"/>
        </w:trPr>
        <w:tc>
          <w:tcPr>
            <w:tcW w:w="1516" w:type="dxa"/>
            <w:vMerge/>
            <w:tcBorders>
              <w:top w:val="nil"/>
            </w:tcBorders>
          </w:tcPr>
          <w:p>
            <w:pPr>
              <w:rPr>
                <w:sz w:val="2"/>
                <w:szCs w:val="2"/>
              </w:rPr>
            </w:pPr>
          </w:p>
        </w:tc>
        <w:tc>
          <w:tcPr>
            <w:tcW w:w="1211" w:type="dxa"/>
          </w:tcPr>
          <w:p>
            <w:pPr>
              <w:pStyle w:val="TableParagraph"/>
              <w:spacing w:before="33"/>
              <w:ind w:left="84" w:right="78"/>
              <w:jc w:val="center"/>
              <w:rPr>
                <w:b/>
                <w:sz w:val="18"/>
              </w:rPr>
            </w:pPr>
            <w:r>
              <w:rPr>
                <w:b/>
                <w:sz w:val="18"/>
              </w:rPr>
              <w:t>R &gt; 2000</w:t>
            </w:r>
          </w:p>
        </w:tc>
        <w:tc>
          <w:tcPr>
            <w:tcW w:w="2535" w:type="dxa"/>
            <w:gridSpan w:val="4"/>
          </w:tcPr>
          <w:p>
            <w:pPr>
              <w:pStyle w:val="TableParagraph"/>
              <w:spacing w:before="33"/>
              <w:ind w:left="736"/>
              <w:rPr>
                <w:b/>
                <w:sz w:val="18"/>
              </w:rPr>
            </w:pPr>
            <w:r>
              <w:rPr>
                <w:b/>
                <w:sz w:val="18"/>
              </w:rPr>
              <w:t>2000&gt;R&gt;1000</w:t>
            </w:r>
          </w:p>
        </w:tc>
        <w:tc>
          <w:tcPr>
            <w:tcW w:w="1217" w:type="dxa"/>
          </w:tcPr>
          <w:p>
            <w:pPr>
              <w:pStyle w:val="TableParagraph"/>
              <w:spacing w:before="33"/>
              <w:ind w:left="183" w:right="178"/>
              <w:jc w:val="center"/>
              <w:rPr>
                <w:b/>
                <w:sz w:val="18"/>
              </w:rPr>
            </w:pPr>
            <w:r>
              <w:rPr>
                <w:b/>
                <w:sz w:val="18"/>
              </w:rPr>
              <w:t>R&lt;1000</w:t>
            </w:r>
          </w:p>
        </w:tc>
        <w:tc>
          <w:tcPr>
            <w:tcW w:w="1229" w:type="dxa"/>
            <w:gridSpan w:val="2"/>
            <w:tcBorders>
              <w:right w:val="single" w:sz="6" w:space="0" w:color="000000"/>
            </w:tcBorders>
          </w:tcPr>
          <w:p>
            <w:pPr>
              <w:pStyle w:val="TableParagraph"/>
              <w:spacing w:before="33"/>
              <w:ind w:left="318"/>
              <w:rPr>
                <w:b/>
                <w:sz w:val="18"/>
              </w:rPr>
            </w:pPr>
            <w:r>
              <w:rPr>
                <w:b/>
                <w:sz w:val="18"/>
              </w:rPr>
              <w:t>R&gt;1000</w:t>
            </w:r>
          </w:p>
        </w:tc>
        <w:tc>
          <w:tcPr>
            <w:tcW w:w="1217" w:type="dxa"/>
            <w:tcBorders>
              <w:left w:val="single" w:sz="6" w:space="0" w:color="000000"/>
            </w:tcBorders>
          </w:tcPr>
          <w:p>
            <w:pPr>
              <w:pStyle w:val="TableParagraph"/>
              <w:spacing w:before="33"/>
              <w:ind w:left="70" w:right="59"/>
              <w:jc w:val="center"/>
              <w:rPr>
                <w:b/>
                <w:sz w:val="18"/>
              </w:rPr>
            </w:pPr>
            <w:r>
              <w:rPr>
                <w:b/>
                <w:sz w:val="18"/>
              </w:rPr>
              <w:t>R&lt;1000</w:t>
            </w:r>
          </w:p>
        </w:tc>
      </w:tr>
      <w:tr>
        <w:trPr>
          <w:trHeight w:val="282" w:hRule="atLeast"/>
        </w:trPr>
        <w:tc>
          <w:tcPr>
            <w:tcW w:w="1516" w:type="dxa"/>
            <w:tcBorders>
              <w:bottom w:val="nil"/>
            </w:tcBorders>
          </w:tcPr>
          <w:p>
            <w:pPr>
              <w:pStyle w:val="TableParagraph"/>
              <w:spacing w:before="33"/>
              <w:ind w:left="83"/>
              <w:rPr>
                <w:b/>
                <w:sz w:val="18"/>
              </w:rPr>
            </w:pPr>
            <w:r>
              <w:rPr>
                <w:b/>
                <w:sz w:val="18"/>
              </w:rPr>
              <w:t>Africa</w:t>
            </w:r>
          </w:p>
        </w:tc>
        <w:tc>
          <w:tcPr>
            <w:tcW w:w="1211" w:type="dxa"/>
            <w:tcBorders>
              <w:bottom w:val="nil"/>
            </w:tcBorders>
          </w:tcPr>
          <w:p>
            <w:pPr>
              <w:pStyle w:val="TableParagraph"/>
              <w:rPr>
                <w:sz w:val="16"/>
              </w:rPr>
            </w:pPr>
          </w:p>
        </w:tc>
        <w:tc>
          <w:tcPr>
            <w:tcW w:w="1268" w:type="dxa"/>
            <w:gridSpan w:val="3"/>
            <w:tcBorders>
              <w:bottom w:val="nil"/>
            </w:tcBorders>
          </w:tcPr>
          <w:p>
            <w:pPr>
              <w:pStyle w:val="TableParagraph"/>
              <w:rPr>
                <w:sz w:val="16"/>
              </w:rPr>
            </w:pPr>
          </w:p>
        </w:tc>
        <w:tc>
          <w:tcPr>
            <w:tcW w:w="1267" w:type="dxa"/>
            <w:tcBorders>
              <w:bottom w:val="nil"/>
            </w:tcBorders>
          </w:tcPr>
          <w:p>
            <w:pPr>
              <w:pStyle w:val="TableParagraph"/>
              <w:rPr>
                <w:sz w:val="16"/>
              </w:rPr>
            </w:pPr>
          </w:p>
        </w:tc>
        <w:tc>
          <w:tcPr>
            <w:tcW w:w="1217" w:type="dxa"/>
            <w:tcBorders>
              <w:bottom w:val="nil"/>
            </w:tcBorders>
          </w:tcPr>
          <w:p>
            <w:pPr>
              <w:pStyle w:val="TableParagraph"/>
              <w:rPr>
                <w:sz w:val="16"/>
              </w:rPr>
            </w:pPr>
          </w:p>
        </w:tc>
        <w:tc>
          <w:tcPr>
            <w:tcW w:w="1229" w:type="dxa"/>
            <w:gridSpan w:val="2"/>
            <w:tcBorders>
              <w:bottom w:val="nil"/>
            </w:tcBorders>
          </w:tcPr>
          <w:p>
            <w:pPr>
              <w:pStyle w:val="TableParagraph"/>
              <w:rPr>
                <w:sz w:val="16"/>
              </w:rPr>
            </w:pPr>
          </w:p>
        </w:tc>
        <w:tc>
          <w:tcPr>
            <w:tcW w:w="1217" w:type="dxa"/>
            <w:tcBorders>
              <w:bottom w:val="nil"/>
            </w:tcBorders>
          </w:tcPr>
          <w:p>
            <w:pPr>
              <w:pStyle w:val="TableParagraph"/>
              <w:rPr>
                <w:sz w:val="16"/>
              </w:rPr>
            </w:pPr>
          </w:p>
        </w:tc>
      </w:tr>
      <w:tr>
        <w:trPr>
          <w:trHeight w:val="520" w:hRule="atLeast"/>
        </w:trPr>
        <w:tc>
          <w:tcPr>
            <w:tcW w:w="1516" w:type="dxa"/>
            <w:tcBorders>
              <w:top w:val="nil"/>
              <w:bottom w:val="nil"/>
            </w:tcBorders>
          </w:tcPr>
          <w:p>
            <w:pPr>
              <w:pStyle w:val="TableParagraph"/>
              <w:spacing w:before="142"/>
              <w:ind w:right="368"/>
              <w:jc w:val="right"/>
              <w:rPr>
                <w:sz w:val="18"/>
              </w:rPr>
            </w:pPr>
            <w:r>
              <w:rPr>
                <w:rFonts w:ascii="Symbol" w:hAnsi="Symbol"/>
                <w:sz w:val="18"/>
              </w:rPr>
              <w:t>≤</w:t>
            </w:r>
            <w:r>
              <w:rPr>
                <w:sz w:val="18"/>
              </w:rPr>
              <w:t>20 years</w:t>
            </w:r>
          </w:p>
        </w:tc>
        <w:tc>
          <w:tcPr>
            <w:tcW w:w="1211" w:type="dxa"/>
            <w:tcBorders>
              <w:top w:val="nil"/>
              <w:bottom w:val="nil"/>
            </w:tcBorders>
          </w:tcPr>
          <w:p>
            <w:pPr>
              <w:pStyle w:val="TableParagraph"/>
              <w:spacing w:before="137"/>
              <w:ind w:left="81" w:right="78"/>
              <w:jc w:val="center"/>
              <w:rPr>
                <w:sz w:val="18"/>
              </w:rPr>
            </w:pPr>
            <w:r>
              <w:rPr>
                <w:sz w:val="18"/>
              </w:rPr>
              <w:t>10.0</w:t>
            </w:r>
          </w:p>
        </w:tc>
        <w:tc>
          <w:tcPr>
            <w:tcW w:w="1268" w:type="dxa"/>
            <w:gridSpan w:val="3"/>
            <w:tcBorders>
              <w:top w:val="nil"/>
              <w:bottom w:val="nil"/>
            </w:tcBorders>
          </w:tcPr>
          <w:p>
            <w:pPr>
              <w:pStyle w:val="TableParagraph"/>
              <w:spacing w:before="137"/>
              <w:ind w:left="215" w:right="210"/>
              <w:jc w:val="center"/>
              <w:rPr>
                <w:sz w:val="18"/>
              </w:rPr>
            </w:pPr>
            <w:r>
              <w:rPr>
                <w:sz w:val="18"/>
              </w:rPr>
              <w:t>5.3</w:t>
            </w:r>
          </w:p>
        </w:tc>
        <w:tc>
          <w:tcPr>
            <w:tcW w:w="1267" w:type="dxa"/>
            <w:tcBorders>
              <w:top w:val="nil"/>
              <w:bottom w:val="nil"/>
            </w:tcBorders>
          </w:tcPr>
          <w:p>
            <w:pPr>
              <w:pStyle w:val="TableParagraph"/>
              <w:spacing w:line="207" w:lineRule="exact" w:before="34"/>
              <w:ind w:left="208" w:right="204"/>
              <w:jc w:val="center"/>
              <w:rPr>
                <w:sz w:val="18"/>
              </w:rPr>
            </w:pPr>
            <w:r>
              <w:rPr>
                <w:sz w:val="18"/>
              </w:rPr>
              <w:t>2.4</w:t>
            </w:r>
          </w:p>
          <w:p>
            <w:pPr>
              <w:pStyle w:val="TableParagraph"/>
              <w:spacing w:line="207" w:lineRule="exact"/>
              <w:ind w:left="209" w:right="204"/>
              <w:jc w:val="center"/>
              <w:rPr>
                <w:sz w:val="18"/>
              </w:rPr>
            </w:pPr>
            <w:r>
              <w:rPr>
                <w:sz w:val="18"/>
              </w:rPr>
              <w:t>(2.3 – 2.5)</w:t>
            </w:r>
          </w:p>
        </w:tc>
        <w:tc>
          <w:tcPr>
            <w:tcW w:w="1217" w:type="dxa"/>
            <w:tcBorders>
              <w:top w:val="nil"/>
              <w:bottom w:val="nil"/>
            </w:tcBorders>
          </w:tcPr>
          <w:p>
            <w:pPr>
              <w:pStyle w:val="TableParagraph"/>
              <w:spacing w:line="207" w:lineRule="exact" w:before="34"/>
              <w:ind w:left="180" w:right="178"/>
              <w:jc w:val="center"/>
              <w:rPr>
                <w:sz w:val="18"/>
              </w:rPr>
            </w:pPr>
            <w:r>
              <w:rPr>
                <w:sz w:val="18"/>
              </w:rPr>
              <w:t>1.2</w:t>
            </w:r>
          </w:p>
          <w:p>
            <w:pPr>
              <w:pStyle w:val="TableParagraph"/>
              <w:spacing w:line="207" w:lineRule="exact"/>
              <w:ind w:left="180" w:right="178"/>
              <w:jc w:val="center"/>
              <w:rPr>
                <w:sz w:val="18"/>
              </w:rPr>
            </w:pPr>
            <w:r>
              <w:rPr>
                <w:sz w:val="18"/>
              </w:rPr>
              <w:t>(0.8 – 1.5)</w:t>
            </w:r>
          </w:p>
        </w:tc>
        <w:tc>
          <w:tcPr>
            <w:tcW w:w="1229" w:type="dxa"/>
            <w:gridSpan w:val="2"/>
            <w:tcBorders>
              <w:top w:val="nil"/>
              <w:bottom w:val="nil"/>
            </w:tcBorders>
          </w:tcPr>
          <w:p>
            <w:pPr>
              <w:pStyle w:val="TableParagraph"/>
              <w:spacing w:before="137"/>
              <w:ind w:left="23" w:right="19"/>
              <w:jc w:val="center"/>
              <w:rPr>
                <w:sz w:val="18"/>
              </w:rPr>
            </w:pPr>
            <w:r>
              <w:rPr>
                <w:sz w:val="18"/>
              </w:rPr>
              <w:t>5.0</w:t>
            </w:r>
          </w:p>
        </w:tc>
        <w:tc>
          <w:tcPr>
            <w:tcW w:w="1217" w:type="dxa"/>
            <w:tcBorders>
              <w:top w:val="nil"/>
              <w:bottom w:val="nil"/>
            </w:tcBorders>
          </w:tcPr>
          <w:p>
            <w:pPr>
              <w:pStyle w:val="TableParagraph"/>
              <w:spacing w:line="207" w:lineRule="exact" w:before="34"/>
              <w:ind w:left="179" w:right="178"/>
              <w:jc w:val="center"/>
              <w:rPr>
                <w:sz w:val="18"/>
              </w:rPr>
            </w:pPr>
            <w:r>
              <w:rPr>
                <w:sz w:val="18"/>
              </w:rPr>
              <w:t>2.0</w:t>
            </w:r>
          </w:p>
          <w:p>
            <w:pPr>
              <w:pStyle w:val="TableParagraph"/>
              <w:spacing w:line="207" w:lineRule="exact"/>
              <w:ind w:left="180" w:right="178"/>
              <w:jc w:val="center"/>
              <w:rPr>
                <w:sz w:val="18"/>
              </w:rPr>
            </w:pPr>
            <w:r>
              <w:rPr>
                <w:sz w:val="18"/>
              </w:rPr>
              <w:t>(1.0 – 3.0)</w:t>
            </w:r>
          </w:p>
        </w:tc>
      </w:tr>
      <w:tr>
        <w:trPr>
          <w:trHeight w:val="518" w:hRule="atLeast"/>
        </w:trPr>
        <w:tc>
          <w:tcPr>
            <w:tcW w:w="1516" w:type="dxa"/>
            <w:tcBorders>
              <w:top w:val="nil"/>
            </w:tcBorders>
          </w:tcPr>
          <w:p>
            <w:pPr>
              <w:pStyle w:val="TableParagraph"/>
              <w:spacing w:before="168"/>
              <w:ind w:right="395"/>
              <w:jc w:val="right"/>
              <w:rPr>
                <w:sz w:val="18"/>
              </w:rPr>
            </w:pPr>
            <w:r>
              <w:rPr>
                <w:sz w:val="18"/>
              </w:rPr>
              <w:t>&gt;20 years</w:t>
            </w:r>
          </w:p>
        </w:tc>
        <w:tc>
          <w:tcPr>
            <w:tcW w:w="1211" w:type="dxa"/>
            <w:tcBorders>
              <w:top w:val="nil"/>
            </w:tcBorders>
          </w:tcPr>
          <w:p>
            <w:pPr>
              <w:pStyle w:val="TableParagraph"/>
              <w:spacing w:before="168"/>
              <w:ind w:left="138" w:right="78"/>
              <w:jc w:val="center"/>
              <w:rPr>
                <w:sz w:val="18"/>
              </w:rPr>
            </w:pPr>
            <w:r>
              <w:rPr>
                <w:sz w:val="18"/>
              </w:rPr>
              <w:t>3.1 (2.3 -3.8)</w:t>
            </w:r>
          </w:p>
        </w:tc>
        <w:tc>
          <w:tcPr>
            <w:tcW w:w="1268" w:type="dxa"/>
            <w:gridSpan w:val="3"/>
            <w:tcBorders>
              <w:top w:val="nil"/>
            </w:tcBorders>
          </w:tcPr>
          <w:p>
            <w:pPr>
              <w:pStyle w:val="TableParagraph"/>
              <w:spacing w:before="168"/>
              <w:ind w:left="217" w:right="159"/>
              <w:jc w:val="center"/>
              <w:rPr>
                <w:sz w:val="18"/>
              </w:rPr>
            </w:pPr>
            <w:r>
              <w:rPr>
                <w:sz w:val="18"/>
              </w:rPr>
              <w:t>1.3</w:t>
            </w:r>
          </w:p>
        </w:tc>
        <w:tc>
          <w:tcPr>
            <w:tcW w:w="1267" w:type="dxa"/>
            <w:tcBorders>
              <w:top w:val="nil"/>
            </w:tcBorders>
          </w:tcPr>
          <w:p>
            <w:pPr>
              <w:pStyle w:val="TableParagraph"/>
              <w:spacing w:before="65"/>
              <w:ind w:left="219" w:right="162"/>
              <w:jc w:val="center"/>
              <w:rPr>
                <w:sz w:val="18"/>
              </w:rPr>
            </w:pPr>
            <w:r>
              <w:rPr>
                <w:sz w:val="18"/>
              </w:rPr>
              <w:t>1.8</w:t>
            </w:r>
          </w:p>
          <w:p>
            <w:pPr>
              <w:pStyle w:val="TableParagraph"/>
              <w:spacing w:before="2"/>
              <w:ind w:left="219" w:right="161"/>
              <w:jc w:val="center"/>
              <w:rPr>
                <w:sz w:val="18"/>
              </w:rPr>
            </w:pPr>
            <w:r>
              <w:rPr>
                <w:sz w:val="18"/>
              </w:rPr>
              <w:t>(0.6 – 3.0)</w:t>
            </w:r>
          </w:p>
        </w:tc>
        <w:tc>
          <w:tcPr>
            <w:tcW w:w="1217" w:type="dxa"/>
            <w:tcBorders>
              <w:top w:val="nil"/>
            </w:tcBorders>
          </w:tcPr>
          <w:p>
            <w:pPr>
              <w:pStyle w:val="TableParagraph"/>
              <w:spacing w:before="65"/>
              <w:ind w:left="209" w:right="150"/>
              <w:jc w:val="center"/>
              <w:rPr>
                <w:sz w:val="18"/>
              </w:rPr>
            </w:pPr>
            <w:r>
              <w:rPr>
                <w:sz w:val="18"/>
              </w:rPr>
              <w:t>0.9</w:t>
            </w:r>
          </w:p>
          <w:p>
            <w:pPr>
              <w:pStyle w:val="TableParagraph"/>
              <w:spacing w:before="2"/>
              <w:ind w:left="209" w:right="149"/>
              <w:jc w:val="center"/>
              <w:rPr>
                <w:sz w:val="18"/>
              </w:rPr>
            </w:pPr>
            <w:r>
              <w:rPr>
                <w:sz w:val="18"/>
              </w:rPr>
              <w:t>(0.2 – 1.6)</w:t>
            </w:r>
          </w:p>
        </w:tc>
        <w:tc>
          <w:tcPr>
            <w:tcW w:w="1229" w:type="dxa"/>
            <w:gridSpan w:val="2"/>
            <w:tcBorders>
              <w:top w:val="nil"/>
            </w:tcBorders>
          </w:tcPr>
          <w:p>
            <w:pPr>
              <w:pStyle w:val="TableParagraph"/>
              <w:spacing w:before="168"/>
              <w:ind w:left="76" w:right="19"/>
              <w:jc w:val="center"/>
              <w:rPr>
                <w:sz w:val="18"/>
              </w:rPr>
            </w:pPr>
            <w:r>
              <w:rPr>
                <w:sz w:val="18"/>
              </w:rPr>
              <w:t>1.0</w:t>
            </w:r>
          </w:p>
        </w:tc>
        <w:tc>
          <w:tcPr>
            <w:tcW w:w="1217" w:type="dxa"/>
            <w:tcBorders>
              <w:top w:val="nil"/>
            </w:tcBorders>
          </w:tcPr>
          <w:p>
            <w:pPr>
              <w:pStyle w:val="TableParagraph"/>
              <w:spacing w:before="65"/>
              <w:ind w:left="209" w:right="150"/>
              <w:jc w:val="center"/>
              <w:rPr>
                <w:sz w:val="18"/>
              </w:rPr>
            </w:pPr>
            <w:r>
              <w:rPr>
                <w:sz w:val="18"/>
              </w:rPr>
              <w:t>1. 5</w:t>
            </w:r>
          </w:p>
          <w:p>
            <w:pPr>
              <w:pStyle w:val="TableParagraph"/>
              <w:spacing w:before="2"/>
              <w:ind w:left="209" w:right="150"/>
              <w:jc w:val="center"/>
              <w:rPr>
                <w:sz w:val="18"/>
              </w:rPr>
            </w:pPr>
            <w:r>
              <w:rPr>
                <w:sz w:val="18"/>
              </w:rPr>
              <w:t>(0.5 – 4.5)</w:t>
            </w:r>
          </w:p>
        </w:tc>
      </w:tr>
      <w:tr>
        <w:trPr>
          <w:trHeight w:val="1083" w:hRule="atLeast"/>
        </w:trPr>
        <w:tc>
          <w:tcPr>
            <w:tcW w:w="1516" w:type="dxa"/>
            <w:vMerge w:val="restart"/>
          </w:tcPr>
          <w:p>
            <w:pPr>
              <w:pStyle w:val="TableParagraph"/>
              <w:spacing w:before="33"/>
              <w:ind w:left="83"/>
              <w:rPr>
                <w:b/>
                <w:sz w:val="18"/>
              </w:rPr>
            </w:pPr>
            <w:r>
              <w:rPr>
                <w:b/>
                <w:sz w:val="18"/>
              </w:rPr>
              <w:t>Asia &amp; Oceania</w:t>
            </w:r>
          </w:p>
          <w:p>
            <w:pPr>
              <w:pStyle w:val="TableParagraph"/>
              <w:spacing w:before="67"/>
              <w:ind w:left="28"/>
              <w:rPr>
                <w:sz w:val="18"/>
              </w:rPr>
            </w:pPr>
            <w:r>
              <w:rPr>
                <w:sz w:val="18"/>
              </w:rPr>
              <w:t>Continental</w:t>
            </w:r>
          </w:p>
          <w:p>
            <w:pPr>
              <w:pStyle w:val="TableParagraph"/>
              <w:rPr>
                <w:sz w:val="17"/>
              </w:rPr>
            </w:pPr>
          </w:p>
          <w:p>
            <w:pPr>
              <w:pStyle w:val="TableParagraph"/>
              <w:ind w:left="434"/>
              <w:rPr>
                <w:sz w:val="18"/>
              </w:rPr>
            </w:pPr>
            <w:r>
              <w:rPr>
                <w:rFonts w:ascii="Symbol" w:hAnsi="Symbol"/>
                <w:sz w:val="18"/>
              </w:rPr>
              <w:t>≤</w:t>
            </w:r>
            <w:r>
              <w:rPr>
                <w:sz w:val="18"/>
              </w:rPr>
              <w:t>20 years</w:t>
            </w:r>
          </w:p>
          <w:p>
            <w:pPr>
              <w:pStyle w:val="TableParagraph"/>
              <w:spacing w:line="410" w:lineRule="atLeast" w:before="123"/>
              <w:ind w:left="28" w:right="375" w:firstLine="376"/>
              <w:rPr>
                <w:sz w:val="18"/>
              </w:rPr>
            </w:pPr>
            <w:r>
              <w:rPr>
                <w:sz w:val="18"/>
              </w:rPr>
              <w:t>&gt;20 years Insular</w:t>
            </w:r>
          </w:p>
          <w:p>
            <w:pPr>
              <w:pStyle w:val="TableParagraph"/>
              <w:spacing w:before="81"/>
              <w:ind w:left="434"/>
              <w:rPr>
                <w:sz w:val="18"/>
              </w:rPr>
            </w:pPr>
            <w:r>
              <w:rPr>
                <w:rFonts w:ascii="Symbol" w:hAnsi="Symbol"/>
                <w:sz w:val="18"/>
              </w:rPr>
              <w:t>≤</w:t>
            </w:r>
            <w:r>
              <w:rPr>
                <w:sz w:val="18"/>
              </w:rPr>
              <w:t>20</w:t>
            </w:r>
            <w:r>
              <w:rPr>
                <w:spacing w:val="-5"/>
                <w:sz w:val="18"/>
              </w:rPr>
              <w:t> </w:t>
            </w:r>
            <w:r>
              <w:rPr>
                <w:sz w:val="18"/>
              </w:rPr>
              <w:t>years</w:t>
            </w:r>
          </w:p>
          <w:p>
            <w:pPr>
              <w:pStyle w:val="TableParagraph"/>
              <w:spacing w:before="100"/>
              <w:ind w:left="431"/>
              <w:rPr>
                <w:sz w:val="18"/>
              </w:rPr>
            </w:pPr>
            <w:r>
              <w:rPr>
                <w:sz w:val="18"/>
              </w:rPr>
              <w:t>&gt;20</w:t>
            </w:r>
            <w:r>
              <w:rPr>
                <w:spacing w:val="-5"/>
                <w:sz w:val="18"/>
              </w:rPr>
              <w:t> </w:t>
            </w:r>
            <w:r>
              <w:rPr>
                <w:sz w:val="18"/>
              </w:rPr>
              <w:t>years</w:t>
            </w:r>
          </w:p>
        </w:tc>
        <w:tc>
          <w:tcPr>
            <w:tcW w:w="1211" w:type="dxa"/>
            <w:tcBorders>
              <w:bottom w:val="nil"/>
            </w:tcBorders>
          </w:tcPr>
          <w:p>
            <w:pPr>
              <w:pStyle w:val="TableParagraph"/>
              <w:rPr>
                <w:sz w:val="20"/>
              </w:rPr>
            </w:pPr>
          </w:p>
          <w:p>
            <w:pPr>
              <w:pStyle w:val="TableParagraph"/>
              <w:rPr>
                <w:sz w:val="20"/>
              </w:rPr>
            </w:pPr>
          </w:p>
          <w:p>
            <w:pPr>
              <w:pStyle w:val="TableParagraph"/>
              <w:spacing w:line="207" w:lineRule="exact" w:before="142"/>
              <w:ind w:left="85" w:right="78"/>
              <w:jc w:val="center"/>
              <w:rPr>
                <w:sz w:val="18"/>
              </w:rPr>
            </w:pPr>
            <w:r>
              <w:rPr>
                <w:sz w:val="18"/>
              </w:rPr>
              <w:t>7.0</w:t>
            </w:r>
          </w:p>
          <w:p>
            <w:pPr>
              <w:pStyle w:val="TableParagraph"/>
              <w:spacing w:line="207" w:lineRule="exact"/>
              <w:ind w:left="85" w:right="78"/>
              <w:jc w:val="center"/>
              <w:rPr>
                <w:sz w:val="18"/>
              </w:rPr>
            </w:pPr>
            <w:r>
              <w:rPr>
                <w:sz w:val="18"/>
              </w:rPr>
              <w:t>(3.0 – 11.0)</w:t>
            </w:r>
          </w:p>
        </w:tc>
        <w:tc>
          <w:tcPr>
            <w:tcW w:w="1268" w:type="dxa"/>
            <w:gridSpan w:val="3"/>
            <w:tcBorders>
              <w:bottom w:val="nil"/>
            </w:tcBorders>
          </w:tcPr>
          <w:p>
            <w:pPr>
              <w:pStyle w:val="TableParagraph"/>
              <w:rPr>
                <w:sz w:val="20"/>
              </w:rPr>
            </w:pPr>
          </w:p>
          <w:p>
            <w:pPr>
              <w:pStyle w:val="TableParagraph"/>
              <w:rPr>
                <w:sz w:val="20"/>
              </w:rPr>
            </w:pPr>
          </w:p>
          <w:p>
            <w:pPr>
              <w:pStyle w:val="TableParagraph"/>
              <w:spacing w:before="3"/>
              <w:rPr>
                <w:sz w:val="21"/>
              </w:rPr>
            </w:pPr>
          </w:p>
          <w:p>
            <w:pPr>
              <w:pStyle w:val="TableParagraph"/>
              <w:spacing w:before="1"/>
              <w:ind w:left="215" w:right="210"/>
              <w:jc w:val="center"/>
              <w:rPr>
                <w:sz w:val="18"/>
              </w:rPr>
            </w:pPr>
            <w:r>
              <w:rPr>
                <w:sz w:val="18"/>
              </w:rPr>
              <w:t>9.0</w:t>
            </w:r>
          </w:p>
        </w:tc>
        <w:tc>
          <w:tcPr>
            <w:tcW w:w="1267" w:type="dxa"/>
            <w:tcBorders>
              <w:bottom w:val="nil"/>
            </w:tcBorders>
          </w:tcPr>
          <w:p>
            <w:pPr>
              <w:pStyle w:val="TableParagraph"/>
              <w:rPr>
                <w:sz w:val="20"/>
              </w:rPr>
            </w:pPr>
          </w:p>
          <w:p>
            <w:pPr>
              <w:pStyle w:val="TableParagraph"/>
              <w:rPr>
                <w:sz w:val="20"/>
              </w:rPr>
            </w:pPr>
          </w:p>
          <w:p>
            <w:pPr>
              <w:pStyle w:val="TableParagraph"/>
              <w:spacing w:before="3"/>
              <w:rPr>
                <w:sz w:val="21"/>
              </w:rPr>
            </w:pPr>
          </w:p>
          <w:p>
            <w:pPr>
              <w:pStyle w:val="TableParagraph"/>
              <w:spacing w:before="1"/>
              <w:ind w:left="209" w:right="204"/>
              <w:jc w:val="center"/>
              <w:rPr>
                <w:sz w:val="18"/>
              </w:rPr>
            </w:pPr>
            <w:r>
              <w:rPr>
                <w:sz w:val="18"/>
              </w:rPr>
              <w:t>6.0</w:t>
            </w:r>
          </w:p>
        </w:tc>
        <w:tc>
          <w:tcPr>
            <w:tcW w:w="1217" w:type="dxa"/>
            <w:tcBorders>
              <w:bottom w:val="nil"/>
            </w:tcBorders>
          </w:tcPr>
          <w:p>
            <w:pPr>
              <w:pStyle w:val="TableParagraph"/>
              <w:rPr>
                <w:sz w:val="20"/>
              </w:rPr>
            </w:pPr>
          </w:p>
          <w:p>
            <w:pPr>
              <w:pStyle w:val="TableParagraph"/>
              <w:rPr>
                <w:sz w:val="20"/>
              </w:rPr>
            </w:pPr>
          </w:p>
          <w:p>
            <w:pPr>
              <w:pStyle w:val="TableParagraph"/>
              <w:spacing w:before="3"/>
              <w:rPr>
                <w:sz w:val="21"/>
              </w:rPr>
            </w:pPr>
          </w:p>
          <w:p>
            <w:pPr>
              <w:pStyle w:val="TableParagraph"/>
              <w:spacing w:before="1"/>
              <w:ind w:left="181" w:right="178"/>
              <w:jc w:val="center"/>
              <w:rPr>
                <w:sz w:val="18"/>
              </w:rPr>
            </w:pPr>
            <w:r>
              <w:rPr>
                <w:sz w:val="18"/>
              </w:rPr>
              <w:t>5.0</w:t>
            </w:r>
          </w:p>
        </w:tc>
        <w:tc>
          <w:tcPr>
            <w:tcW w:w="1229" w:type="dxa"/>
            <w:gridSpan w:val="2"/>
            <w:tcBorders>
              <w:bottom w:val="nil"/>
            </w:tcBorders>
          </w:tcPr>
          <w:p>
            <w:pPr>
              <w:pStyle w:val="TableParagraph"/>
              <w:rPr>
                <w:sz w:val="20"/>
              </w:rPr>
            </w:pPr>
          </w:p>
          <w:p>
            <w:pPr>
              <w:pStyle w:val="TableParagraph"/>
              <w:rPr>
                <w:sz w:val="20"/>
              </w:rPr>
            </w:pPr>
          </w:p>
          <w:p>
            <w:pPr>
              <w:pStyle w:val="TableParagraph"/>
              <w:spacing w:before="3"/>
              <w:rPr>
                <w:sz w:val="21"/>
              </w:rPr>
            </w:pPr>
          </w:p>
          <w:p>
            <w:pPr>
              <w:pStyle w:val="TableParagraph"/>
              <w:spacing w:before="1"/>
              <w:ind w:left="24" w:right="19"/>
              <w:jc w:val="center"/>
              <w:rPr>
                <w:sz w:val="18"/>
              </w:rPr>
            </w:pPr>
            <w:r>
              <w:rPr>
                <w:sz w:val="18"/>
              </w:rPr>
              <w:t>5.0</w:t>
            </w:r>
          </w:p>
        </w:tc>
        <w:tc>
          <w:tcPr>
            <w:tcW w:w="1217" w:type="dxa"/>
            <w:tcBorders>
              <w:bottom w:val="nil"/>
            </w:tcBorders>
          </w:tcPr>
          <w:p>
            <w:pPr>
              <w:pStyle w:val="TableParagraph"/>
              <w:rPr>
                <w:sz w:val="20"/>
              </w:rPr>
            </w:pPr>
          </w:p>
          <w:p>
            <w:pPr>
              <w:pStyle w:val="TableParagraph"/>
              <w:rPr>
                <w:sz w:val="20"/>
              </w:rPr>
            </w:pPr>
          </w:p>
          <w:p>
            <w:pPr>
              <w:pStyle w:val="TableParagraph"/>
              <w:spacing w:before="3"/>
              <w:rPr>
                <w:sz w:val="21"/>
              </w:rPr>
            </w:pPr>
          </w:p>
          <w:p>
            <w:pPr>
              <w:pStyle w:val="TableParagraph"/>
              <w:spacing w:before="1"/>
              <w:ind w:left="181" w:right="178"/>
              <w:jc w:val="center"/>
              <w:rPr>
                <w:sz w:val="18"/>
              </w:rPr>
            </w:pPr>
            <w:r>
              <w:rPr>
                <w:sz w:val="18"/>
              </w:rPr>
              <w:t>1.0</w:t>
            </w:r>
          </w:p>
        </w:tc>
      </w:tr>
      <w:tr>
        <w:trPr>
          <w:trHeight w:val="664" w:hRule="atLeast"/>
        </w:trPr>
        <w:tc>
          <w:tcPr>
            <w:tcW w:w="1516" w:type="dxa"/>
            <w:vMerge/>
            <w:tcBorders>
              <w:top w:val="nil"/>
            </w:tcBorders>
          </w:tcPr>
          <w:p>
            <w:pPr>
              <w:rPr>
                <w:sz w:val="2"/>
                <w:szCs w:val="2"/>
              </w:rPr>
            </w:pPr>
          </w:p>
        </w:tc>
        <w:tc>
          <w:tcPr>
            <w:tcW w:w="1211" w:type="dxa"/>
            <w:tcBorders>
              <w:top w:val="nil"/>
              <w:bottom w:val="nil"/>
            </w:tcBorders>
          </w:tcPr>
          <w:p>
            <w:pPr>
              <w:pStyle w:val="TableParagraph"/>
              <w:spacing w:line="207" w:lineRule="exact" w:before="60"/>
              <w:ind w:left="138" w:right="78"/>
              <w:jc w:val="center"/>
              <w:rPr>
                <w:sz w:val="18"/>
              </w:rPr>
            </w:pPr>
            <w:r>
              <w:rPr>
                <w:sz w:val="18"/>
              </w:rPr>
              <w:t>2.2</w:t>
            </w:r>
          </w:p>
          <w:p>
            <w:pPr>
              <w:pStyle w:val="TableParagraph"/>
              <w:spacing w:line="207" w:lineRule="exact"/>
              <w:ind w:left="138" w:right="78"/>
              <w:jc w:val="center"/>
              <w:rPr>
                <w:sz w:val="18"/>
              </w:rPr>
            </w:pPr>
            <w:r>
              <w:rPr>
                <w:sz w:val="18"/>
              </w:rPr>
              <w:t>(1.3 – 3.0)</w:t>
            </w:r>
          </w:p>
        </w:tc>
        <w:tc>
          <w:tcPr>
            <w:tcW w:w="1268" w:type="dxa"/>
            <w:gridSpan w:val="3"/>
            <w:tcBorders>
              <w:top w:val="nil"/>
              <w:bottom w:val="nil"/>
            </w:tcBorders>
          </w:tcPr>
          <w:p>
            <w:pPr>
              <w:pStyle w:val="TableParagraph"/>
              <w:spacing w:before="163"/>
              <w:ind w:left="217" w:right="159"/>
              <w:jc w:val="center"/>
              <w:rPr>
                <w:sz w:val="18"/>
              </w:rPr>
            </w:pPr>
            <w:r>
              <w:rPr>
                <w:sz w:val="18"/>
              </w:rPr>
              <w:t>2.0</w:t>
            </w:r>
          </w:p>
        </w:tc>
        <w:tc>
          <w:tcPr>
            <w:tcW w:w="1267" w:type="dxa"/>
            <w:tcBorders>
              <w:top w:val="nil"/>
              <w:bottom w:val="nil"/>
            </w:tcBorders>
          </w:tcPr>
          <w:p>
            <w:pPr>
              <w:pStyle w:val="TableParagraph"/>
              <w:spacing w:before="163"/>
              <w:ind w:left="219" w:right="162"/>
              <w:jc w:val="center"/>
              <w:rPr>
                <w:sz w:val="18"/>
              </w:rPr>
            </w:pPr>
            <w:r>
              <w:rPr>
                <w:sz w:val="18"/>
              </w:rPr>
              <w:t>1.5</w:t>
            </w:r>
          </w:p>
        </w:tc>
        <w:tc>
          <w:tcPr>
            <w:tcW w:w="1217" w:type="dxa"/>
            <w:tcBorders>
              <w:top w:val="nil"/>
              <w:bottom w:val="nil"/>
            </w:tcBorders>
          </w:tcPr>
          <w:p>
            <w:pPr>
              <w:pStyle w:val="TableParagraph"/>
              <w:spacing w:line="207" w:lineRule="exact" w:before="60"/>
              <w:ind w:left="209" w:right="150"/>
              <w:jc w:val="center"/>
              <w:rPr>
                <w:sz w:val="18"/>
              </w:rPr>
            </w:pPr>
            <w:r>
              <w:rPr>
                <w:sz w:val="18"/>
              </w:rPr>
              <w:t>1.3</w:t>
            </w:r>
          </w:p>
          <w:p>
            <w:pPr>
              <w:pStyle w:val="TableParagraph"/>
              <w:spacing w:line="207" w:lineRule="exact"/>
              <w:ind w:left="209" w:right="149"/>
              <w:jc w:val="center"/>
              <w:rPr>
                <w:sz w:val="18"/>
              </w:rPr>
            </w:pPr>
            <w:r>
              <w:rPr>
                <w:sz w:val="18"/>
              </w:rPr>
              <w:t>(1.0 – 2.2)</w:t>
            </w:r>
          </w:p>
        </w:tc>
        <w:tc>
          <w:tcPr>
            <w:tcW w:w="1229" w:type="dxa"/>
            <w:gridSpan w:val="2"/>
            <w:tcBorders>
              <w:top w:val="nil"/>
              <w:bottom w:val="nil"/>
            </w:tcBorders>
          </w:tcPr>
          <w:p>
            <w:pPr>
              <w:pStyle w:val="TableParagraph"/>
              <w:spacing w:before="163"/>
              <w:ind w:left="76" w:right="19"/>
              <w:jc w:val="center"/>
              <w:rPr>
                <w:sz w:val="18"/>
              </w:rPr>
            </w:pPr>
            <w:r>
              <w:rPr>
                <w:sz w:val="18"/>
              </w:rPr>
              <w:t>1.0</w:t>
            </w:r>
          </w:p>
        </w:tc>
        <w:tc>
          <w:tcPr>
            <w:tcW w:w="1217" w:type="dxa"/>
            <w:tcBorders>
              <w:top w:val="nil"/>
              <w:bottom w:val="nil"/>
            </w:tcBorders>
          </w:tcPr>
          <w:p>
            <w:pPr>
              <w:pStyle w:val="TableParagraph"/>
              <w:spacing w:before="163"/>
              <w:ind w:left="209" w:right="150"/>
              <w:jc w:val="center"/>
              <w:rPr>
                <w:sz w:val="18"/>
              </w:rPr>
            </w:pPr>
            <w:r>
              <w:rPr>
                <w:sz w:val="18"/>
              </w:rPr>
              <w:t>0.5</w:t>
            </w:r>
          </w:p>
        </w:tc>
      </w:tr>
      <w:tr>
        <w:trPr>
          <w:trHeight w:val="448" w:hRule="atLeast"/>
        </w:trPr>
        <w:tc>
          <w:tcPr>
            <w:tcW w:w="1516" w:type="dxa"/>
            <w:vMerge/>
            <w:tcBorders>
              <w:top w:val="nil"/>
            </w:tcBorders>
          </w:tcPr>
          <w:p>
            <w:pPr>
              <w:rPr>
                <w:sz w:val="2"/>
                <w:szCs w:val="2"/>
              </w:rPr>
            </w:pPr>
          </w:p>
        </w:tc>
        <w:tc>
          <w:tcPr>
            <w:tcW w:w="1211" w:type="dxa"/>
            <w:tcBorders>
              <w:top w:val="nil"/>
              <w:bottom w:val="nil"/>
            </w:tcBorders>
          </w:tcPr>
          <w:p>
            <w:pPr>
              <w:pStyle w:val="TableParagraph"/>
              <w:spacing w:before="10"/>
              <w:rPr>
                <w:sz w:val="15"/>
              </w:rPr>
            </w:pPr>
          </w:p>
          <w:p>
            <w:pPr>
              <w:pStyle w:val="TableParagraph"/>
              <w:ind w:left="81" w:right="78"/>
              <w:jc w:val="center"/>
              <w:rPr>
                <w:sz w:val="18"/>
              </w:rPr>
            </w:pPr>
            <w:r>
              <w:rPr>
                <w:sz w:val="18"/>
              </w:rPr>
              <w:t>13.0</w:t>
            </w:r>
          </w:p>
        </w:tc>
        <w:tc>
          <w:tcPr>
            <w:tcW w:w="1268" w:type="dxa"/>
            <w:gridSpan w:val="3"/>
            <w:tcBorders>
              <w:top w:val="nil"/>
              <w:bottom w:val="nil"/>
            </w:tcBorders>
          </w:tcPr>
          <w:p>
            <w:pPr>
              <w:pStyle w:val="TableParagraph"/>
              <w:spacing w:before="10"/>
              <w:rPr>
                <w:sz w:val="15"/>
              </w:rPr>
            </w:pPr>
          </w:p>
          <w:p>
            <w:pPr>
              <w:pStyle w:val="TableParagraph"/>
              <w:ind w:left="211" w:right="210"/>
              <w:jc w:val="center"/>
              <w:rPr>
                <w:sz w:val="18"/>
              </w:rPr>
            </w:pPr>
            <w:r>
              <w:rPr>
                <w:sz w:val="18"/>
              </w:rPr>
              <w:t>11.0</w:t>
            </w:r>
          </w:p>
        </w:tc>
        <w:tc>
          <w:tcPr>
            <w:tcW w:w="1267" w:type="dxa"/>
            <w:tcBorders>
              <w:top w:val="nil"/>
              <w:bottom w:val="nil"/>
            </w:tcBorders>
          </w:tcPr>
          <w:p>
            <w:pPr>
              <w:pStyle w:val="TableParagraph"/>
              <w:spacing w:before="10"/>
              <w:rPr>
                <w:sz w:val="15"/>
              </w:rPr>
            </w:pPr>
          </w:p>
          <w:p>
            <w:pPr>
              <w:pStyle w:val="TableParagraph"/>
              <w:ind w:left="208" w:right="204"/>
              <w:jc w:val="center"/>
              <w:rPr>
                <w:sz w:val="18"/>
              </w:rPr>
            </w:pPr>
            <w:r>
              <w:rPr>
                <w:sz w:val="18"/>
              </w:rPr>
              <w:t>7.0</w:t>
            </w:r>
          </w:p>
        </w:tc>
        <w:tc>
          <w:tcPr>
            <w:tcW w:w="1217" w:type="dxa"/>
            <w:tcBorders>
              <w:top w:val="nil"/>
              <w:bottom w:val="nil"/>
            </w:tcBorders>
          </w:tcPr>
          <w:p>
            <w:pPr>
              <w:pStyle w:val="TableParagraph"/>
              <w:spacing w:before="10"/>
              <w:rPr>
                <w:sz w:val="15"/>
              </w:rPr>
            </w:pPr>
          </w:p>
          <w:p>
            <w:pPr>
              <w:pStyle w:val="TableParagraph"/>
              <w:ind w:left="180" w:right="178"/>
              <w:jc w:val="center"/>
              <w:rPr>
                <w:sz w:val="18"/>
              </w:rPr>
            </w:pPr>
            <w:r>
              <w:rPr>
                <w:sz w:val="18"/>
              </w:rPr>
              <w:t>2.0</w:t>
            </w:r>
          </w:p>
        </w:tc>
        <w:tc>
          <w:tcPr>
            <w:tcW w:w="1229" w:type="dxa"/>
            <w:gridSpan w:val="2"/>
            <w:tcBorders>
              <w:top w:val="nil"/>
              <w:bottom w:val="nil"/>
            </w:tcBorders>
          </w:tcPr>
          <w:p>
            <w:pPr>
              <w:pStyle w:val="TableParagraph"/>
              <w:spacing w:before="10"/>
              <w:rPr>
                <w:sz w:val="15"/>
              </w:rPr>
            </w:pPr>
          </w:p>
          <w:p>
            <w:pPr>
              <w:pStyle w:val="TableParagraph"/>
              <w:ind w:left="20" w:right="19"/>
              <w:jc w:val="center"/>
              <w:rPr>
                <w:sz w:val="18"/>
              </w:rPr>
            </w:pPr>
            <w:r>
              <w:rPr>
                <w:sz w:val="18"/>
              </w:rPr>
              <w:t>12.0</w:t>
            </w:r>
          </w:p>
        </w:tc>
        <w:tc>
          <w:tcPr>
            <w:tcW w:w="1217" w:type="dxa"/>
            <w:tcBorders>
              <w:top w:val="nil"/>
              <w:bottom w:val="nil"/>
            </w:tcBorders>
          </w:tcPr>
          <w:p>
            <w:pPr>
              <w:pStyle w:val="TableParagraph"/>
              <w:spacing w:before="10"/>
              <w:rPr>
                <w:sz w:val="15"/>
              </w:rPr>
            </w:pPr>
          </w:p>
          <w:p>
            <w:pPr>
              <w:pStyle w:val="TableParagraph"/>
              <w:ind w:left="180" w:right="178"/>
              <w:jc w:val="center"/>
              <w:rPr>
                <w:sz w:val="18"/>
              </w:rPr>
            </w:pPr>
            <w:r>
              <w:rPr>
                <w:sz w:val="18"/>
              </w:rPr>
              <w:t>3.0</w:t>
            </w:r>
          </w:p>
        </w:tc>
      </w:tr>
      <w:tr>
        <w:trPr>
          <w:trHeight w:val="288" w:hRule="atLeast"/>
        </w:trPr>
        <w:tc>
          <w:tcPr>
            <w:tcW w:w="1516" w:type="dxa"/>
            <w:vMerge/>
            <w:tcBorders>
              <w:top w:val="nil"/>
            </w:tcBorders>
          </w:tcPr>
          <w:p>
            <w:pPr>
              <w:rPr>
                <w:sz w:val="2"/>
                <w:szCs w:val="2"/>
              </w:rPr>
            </w:pPr>
          </w:p>
        </w:tc>
        <w:tc>
          <w:tcPr>
            <w:tcW w:w="1211" w:type="dxa"/>
            <w:tcBorders>
              <w:top w:val="nil"/>
            </w:tcBorders>
          </w:tcPr>
          <w:p>
            <w:pPr>
              <w:pStyle w:val="TableParagraph"/>
              <w:spacing w:before="51"/>
              <w:ind w:left="85" w:right="78"/>
              <w:jc w:val="center"/>
              <w:rPr>
                <w:sz w:val="18"/>
              </w:rPr>
            </w:pPr>
            <w:r>
              <w:rPr>
                <w:sz w:val="18"/>
              </w:rPr>
              <w:t>3.4</w:t>
            </w:r>
          </w:p>
        </w:tc>
        <w:tc>
          <w:tcPr>
            <w:tcW w:w="1268" w:type="dxa"/>
            <w:gridSpan w:val="3"/>
            <w:tcBorders>
              <w:top w:val="nil"/>
            </w:tcBorders>
          </w:tcPr>
          <w:p>
            <w:pPr>
              <w:pStyle w:val="TableParagraph"/>
              <w:spacing w:before="51"/>
              <w:ind w:left="215" w:right="210"/>
              <w:jc w:val="center"/>
              <w:rPr>
                <w:sz w:val="18"/>
              </w:rPr>
            </w:pPr>
            <w:r>
              <w:rPr>
                <w:sz w:val="18"/>
              </w:rPr>
              <w:t>3.0</w:t>
            </w:r>
          </w:p>
        </w:tc>
        <w:tc>
          <w:tcPr>
            <w:tcW w:w="1267" w:type="dxa"/>
            <w:tcBorders>
              <w:top w:val="nil"/>
            </w:tcBorders>
          </w:tcPr>
          <w:p>
            <w:pPr>
              <w:pStyle w:val="TableParagraph"/>
              <w:spacing w:before="51"/>
              <w:ind w:left="208" w:right="204"/>
              <w:jc w:val="center"/>
              <w:rPr>
                <w:sz w:val="18"/>
              </w:rPr>
            </w:pPr>
            <w:r>
              <w:rPr>
                <w:sz w:val="18"/>
              </w:rPr>
              <w:t>2.0</w:t>
            </w:r>
          </w:p>
        </w:tc>
        <w:tc>
          <w:tcPr>
            <w:tcW w:w="1217" w:type="dxa"/>
            <w:tcBorders>
              <w:top w:val="nil"/>
            </w:tcBorders>
          </w:tcPr>
          <w:p>
            <w:pPr>
              <w:pStyle w:val="TableParagraph"/>
              <w:spacing w:before="51"/>
              <w:ind w:left="180" w:right="178"/>
              <w:jc w:val="center"/>
              <w:rPr>
                <w:sz w:val="18"/>
              </w:rPr>
            </w:pPr>
            <w:r>
              <w:rPr>
                <w:sz w:val="18"/>
              </w:rPr>
              <w:t>1.0</w:t>
            </w:r>
          </w:p>
        </w:tc>
        <w:tc>
          <w:tcPr>
            <w:tcW w:w="1229" w:type="dxa"/>
            <w:gridSpan w:val="2"/>
            <w:tcBorders>
              <w:top w:val="nil"/>
            </w:tcBorders>
          </w:tcPr>
          <w:p>
            <w:pPr>
              <w:pStyle w:val="TableParagraph"/>
              <w:spacing w:before="51"/>
              <w:ind w:left="24" w:right="19"/>
              <w:jc w:val="center"/>
              <w:rPr>
                <w:sz w:val="18"/>
              </w:rPr>
            </w:pPr>
            <w:r>
              <w:rPr>
                <w:sz w:val="18"/>
              </w:rPr>
              <w:t>3.0</w:t>
            </w:r>
          </w:p>
        </w:tc>
        <w:tc>
          <w:tcPr>
            <w:tcW w:w="1217" w:type="dxa"/>
            <w:tcBorders>
              <w:top w:val="nil"/>
            </w:tcBorders>
          </w:tcPr>
          <w:p>
            <w:pPr>
              <w:pStyle w:val="TableParagraph"/>
              <w:spacing w:before="51"/>
              <w:ind w:left="180" w:right="178"/>
              <w:jc w:val="center"/>
              <w:rPr>
                <w:sz w:val="18"/>
              </w:rPr>
            </w:pPr>
            <w:r>
              <w:rPr>
                <w:sz w:val="18"/>
              </w:rPr>
              <w:t>1.0</w:t>
            </w:r>
          </w:p>
        </w:tc>
      </w:tr>
      <w:tr>
        <w:trPr>
          <w:trHeight w:val="269" w:hRule="atLeast"/>
        </w:trPr>
        <w:tc>
          <w:tcPr>
            <w:tcW w:w="1516" w:type="dxa"/>
            <w:tcBorders>
              <w:bottom w:val="nil"/>
            </w:tcBorders>
          </w:tcPr>
          <w:p>
            <w:pPr>
              <w:pStyle w:val="TableParagraph"/>
              <w:spacing w:before="33"/>
              <w:ind w:left="28"/>
              <w:rPr>
                <w:b/>
                <w:sz w:val="18"/>
              </w:rPr>
            </w:pPr>
            <w:r>
              <w:rPr>
                <w:b/>
                <w:sz w:val="18"/>
              </w:rPr>
              <w:t>America</w:t>
            </w:r>
          </w:p>
        </w:tc>
        <w:tc>
          <w:tcPr>
            <w:tcW w:w="1211" w:type="dxa"/>
            <w:tcBorders>
              <w:bottom w:val="nil"/>
            </w:tcBorders>
          </w:tcPr>
          <w:p>
            <w:pPr>
              <w:pStyle w:val="TableParagraph"/>
              <w:rPr>
                <w:sz w:val="16"/>
              </w:rPr>
            </w:pPr>
          </w:p>
        </w:tc>
        <w:tc>
          <w:tcPr>
            <w:tcW w:w="1268" w:type="dxa"/>
            <w:gridSpan w:val="3"/>
            <w:tcBorders>
              <w:bottom w:val="nil"/>
            </w:tcBorders>
          </w:tcPr>
          <w:p>
            <w:pPr>
              <w:pStyle w:val="TableParagraph"/>
              <w:rPr>
                <w:sz w:val="16"/>
              </w:rPr>
            </w:pPr>
          </w:p>
        </w:tc>
        <w:tc>
          <w:tcPr>
            <w:tcW w:w="1267" w:type="dxa"/>
            <w:tcBorders>
              <w:bottom w:val="nil"/>
            </w:tcBorders>
          </w:tcPr>
          <w:p>
            <w:pPr>
              <w:pStyle w:val="TableParagraph"/>
              <w:rPr>
                <w:sz w:val="16"/>
              </w:rPr>
            </w:pPr>
          </w:p>
        </w:tc>
        <w:tc>
          <w:tcPr>
            <w:tcW w:w="1217" w:type="dxa"/>
            <w:tcBorders>
              <w:bottom w:val="nil"/>
            </w:tcBorders>
          </w:tcPr>
          <w:p>
            <w:pPr>
              <w:pStyle w:val="TableParagraph"/>
              <w:rPr>
                <w:sz w:val="16"/>
              </w:rPr>
            </w:pPr>
          </w:p>
        </w:tc>
        <w:tc>
          <w:tcPr>
            <w:tcW w:w="1229" w:type="dxa"/>
            <w:gridSpan w:val="2"/>
            <w:tcBorders>
              <w:bottom w:val="nil"/>
            </w:tcBorders>
          </w:tcPr>
          <w:p>
            <w:pPr>
              <w:pStyle w:val="TableParagraph"/>
              <w:rPr>
                <w:sz w:val="16"/>
              </w:rPr>
            </w:pPr>
          </w:p>
        </w:tc>
        <w:tc>
          <w:tcPr>
            <w:tcW w:w="1217" w:type="dxa"/>
            <w:tcBorders>
              <w:bottom w:val="nil"/>
            </w:tcBorders>
          </w:tcPr>
          <w:p>
            <w:pPr>
              <w:pStyle w:val="TableParagraph"/>
              <w:rPr>
                <w:sz w:val="16"/>
              </w:rPr>
            </w:pPr>
          </w:p>
        </w:tc>
      </w:tr>
      <w:tr>
        <w:trPr>
          <w:trHeight w:val="322" w:hRule="atLeast"/>
        </w:trPr>
        <w:tc>
          <w:tcPr>
            <w:tcW w:w="1516" w:type="dxa"/>
            <w:tcBorders>
              <w:top w:val="nil"/>
              <w:bottom w:val="nil"/>
            </w:tcBorders>
          </w:tcPr>
          <w:p>
            <w:pPr>
              <w:pStyle w:val="TableParagraph"/>
              <w:spacing w:before="42"/>
              <w:ind w:right="368"/>
              <w:jc w:val="right"/>
              <w:rPr>
                <w:sz w:val="18"/>
              </w:rPr>
            </w:pPr>
            <w:r>
              <w:rPr>
                <w:rFonts w:ascii="Symbol" w:hAnsi="Symbol"/>
                <w:sz w:val="18"/>
              </w:rPr>
              <w:t>≤</w:t>
            </w:r>
            <w:r>
              <w:rPr>
                <w:sz w:val="18"/>
              </w:rPr>
              <w:t>20 years</w:t>
            </w:r>
          </w:p>
        </w:tc>
        <w:tc>
          <w:tcPr>
            <w:tcW w:w="1211" w:type="dxa"/>
            <w:tcBorders>
              <w:top w:val="nil"/>
              <w:bottom w:val="nil"/>
            </w:tcBorders>
          </w:tcPr>
          <w:p>
            <w:pPr>
              <w:pStyle w:val="TableParagraph"/>
              <w:spacing w:before="37"/>
              <w:ind w:left="81" w:right="78"/>
              <w:jc w:val="center"/>
              <w:rPr>
                <w:sz w:val="18"/>
              </w:rPr>
            </w:pPr>
            <w:r>
              <w:rPr>
                <w:sz w:val="18"/>
              </w:rPr>
              <w:t>10.0</w:t>
            </w:r>
          </w:p>
        </w:tc>
        <w:tc>
          <w:tcPr>
            <w:tcW w:w="1268" w:type="dxa"/>
            <w:gridSpan w:val="3"/>
            <w:tcBorders>
              <w:top w:val="nil"/>
              <w:bottom w:val="nil"/>
            </w:tcBorders>
          </w:tcPr>
          <w:p>
            <w:pPr>
              <w:pStyle w:val="TableParagraph"/>
              <w:spacing w:before="37"/>
              <w:ind w:left="214" w:right="210"/>
              <w:jc w:val="center"/>
              <w:rPr>
                <w:sz w:val="18"/>
              </w:rPr>
            </w:pPr>
            <w:r>
              <w:rPr>
                <w:sz w:val="18"/>
              </w:rPr>
              <w:t>7.0</w:t>
            </w:r>
          </w:p>
        </w:tc>
        <w:tc>
          <w:tcPr>
            <w:tcW w:w="1267" w:type="dxa"/>
            <w:tcBorders>
              <w:top w:val="nil"/>
              <w:bottom w:val="nil"/>
            </w:tcBorders>
          </w:tcPr>
          <w:p>
            <w:pPr>
              <w:pStyle w:val="TableParagraph"/>
              <w:spacing w:before="37"/>
              <w:ind w:left="208" w:right="204"/>
              <w:jc w:val="center"/>
              <w:rPr>
                <w:sz w:val="18"/>
              </w:rPr>
            </w:pPr>
            <w:r>
              <w:rPr>
                <w:sz w:val="18"/>
              </w:rPr>
              <w:t>4.0</w:t>
            </w:r>
          </w:p>
        </w:tc>
        <w:tc>
          <w:tcPr>
            <w:tcW w:w="1217" w:type="dxa"/>
            <w:tcBorders>
              <w:top w:val="nil"/>
              <w:bottom w:val="nil"/>
            </w:tcBorders>
          </w:tcPr>
          <w:p>
            <w:pPr>
              <w:pStyle w:val="TableParagraph"/>
              <w:spacing w:before="37"/>
              <w:ind w:left="180" w:right="178"/>
              <w:jc w:val="center"/>
              <w:rPr>
                <w:sz w:val="18"/>
              </w:rPr>
            </w:pPr>
            <w:r>
              <w:rPr>
                <w:sz w:val="18"/>
              </w:rPr>
              <w:t>4.0</w:t>
            </w:r>
          </w:p>
        </w:tc>
        <w:tc>
          <w:tcPr>
            <w:tcW w:w="1229" w:type="dxa"/>
            <w:gridSpan w:val="2"/>
            <w:tcBorders>
              <w:top w:val="nil"/>
              <w:bottom w:val="nil"/>
            </w:tcBorders>
          </w:tcPr>
          <w:p>
            <w:pPr>
              <w:pStyle w:val="TableParagraph"/>
              <w:spacing w:before="37"/>
              <w:ind w:left="24" w:right="19"/>
              <w:jc w:val="center"/>
              <w:rPr>
                <w:sz w:val="18"/>
              </w:rPr>
            </w:pPr>
            <w:r>
              <w:rPr>
                <w:sz w:val="18"/>
              </w:rPr>
              <w:t>5.0</w:t>
            </w:r>
          </w:p>
        </w:tc>
        <w:tc>
          <w:tcPr>
            <w:tcW w:w="1217" w:type="dxa"/>
            <w:tcBorders>
              <w:top w:val="nil"/>
              <w:bottom w:val="nil"/>
            </w:tcBorders>
          </w:tcPr>
          <w:p>
            <w:pPr>
              <w:pStyle w:val="TableParagraph"/>
              <w:spacing w:before="37"/>
              <w:ind w:left="180" w:right="178"/>
              <w:jc w:val="center"/>
              <w:rPr>
                <w:sz w:val="18"/>
              </w:rPr>
            </w:pPr>
            <w:r>
              <w:rPr>
                <w:sz w:val="18"/>
              </w:rPr>
              <w:t>1.8</w:t>
            </w:r>
          </w:p>
        </w:tc>
      </w:tr>
      <w:tr>
        <w:trPr>
          <w:trHeight w:val="502" w:hRule="atLeast"/>
        </w:trPr>
        <w:tc>
          <w:tcPr>
            <w:tcW w:w="1516" w:type="dxa"/>
            <w:tcBorders>
              <w:top w:val="nil"/>
              <w:bottom w:val="double" w:sz="1" w:space="0" w:color="000000"/>
            </w:tcBorders>
          </w:tcPr>
          <w:p>
            <w:pPr>
              <w:pStyle w:val="TableParagraph"/>
              <w:spacing w:before="154"/>
              <w:ind w:right="368"/>
              <w:jc w:val="right"/>
              <w:rPr>
                <w:sz w:val="18"/>
              </w:rPr>
            </w:pPr>
            <w:r>
              <w:rPr>
                <w:sz w:val="18"/>
              </w:rPr>
              <w:t>&gt;20 years</w:t>
            </w:r>
          </w:p>
        </w:tc>
        <w:tc>
          <w:tcPr>
            <w:tcW w:w="1211" w:type="dxa"/>
            <w:tcBorders>
              <w:top w:val="nil"/>
              <w:bottom w:val="double" w:sz="1" w:space="0" w:color="000000"/>
            </w:tcBorders>
          </w:tcPr>
          <w:p>
            <w:pPr>
              <w:pStyle w:val="TableParagraph"/>
              <w:spacing w:line="207" w:lineRule="exact" w:before="51"/>
              <w:ind w:left="85" w:right="78"/>
              <w:jc w:val="center"/>
              <w:rPr>
                <w:sz w:val="18"/>
              </w:rPr>
            </w:pPr>
            <w:r>
              <w:rPr>
                <w:sz w:val="18"/>
              </w:rPr>
              <w:t>1.9</w:t>
            </w:r>
          </w:p>
          <w:p>
            <w:pPr>
              <w:pStyle w:val="TableParagraph"/>
              <w:spacing w:line="207" w:lineRule="exact"/>
              <w:ind w:left="86" w:right="78"/>
              <w:jc w:val="center"/>
              <w:rPr>
                <w:sz w:val="18"/>
              </w:rPr>
            </w:pPr>
            <w:r>
              <w:rPr>
                <w:sz w:val="18"/>
              </w:rPr>
              <w:t>(1.2 – 2.6)</w:t>
            </w:r>
          </w:p>
        </w:tc>
        <w:tc>
          <w:tcPr>
            <w:tcW w:w="1268" w:type="dxa"/>
            <w:gridSpan w:val="3"/>
            <w:tcBorders>
              <w:top w:val="nil"/>
              <w:bottom w:val="double" w:sz="1" w:space="0" w:color="000000"/>
            </w:tcBorders>
          </w:tcPr>
          <w:p>
            <w:pPr>
              <w:pStyle w:val="TableParagraph"/>
              <w:spacing w:before="154"/>
              <w:ind w:left="215" w:right="210"/>
              <w:jc w:val="center"/>
              <w:rPr>
                <w:sz w:val="18"/>
              </w:rPr>
            </w:pPr>
            <w:r>
              <w:rPr>
                <w:sz w:val="18"/>
              </w:rPr>
              <w:t>2.0</w:t>
            </w:r>
          </w:p>
        </w:tc>
        <w:tc>
          <w:tcPr>
            <w:tcW w:w="1267" w:type="dxa"/>
            <w:tcBorders>
              <w:top w:val="nil"/>
              <w:bottom w:val="double" w:sz="1" w:space="0" w:color="000000"/>
            </w:tcBorders>
          </w:tcPr>
          <w:p>
            <w:pPr>
              <w:pStyle w:val="TableParagraph"/>
              <w:spacing w:before="154"/>
              <w:ind w:left="209" w:right="204"/>
              <w:jc w:val="center"/>
              <w:rPr>
                <w:sz w:val="18"/>
              </w:rPr>
            </w:pPr>
            <w:r>
              <w:rPr>
                <w:sz w:val="18"/>
              </w:rPr>
              <w:t>1.0</w:t>
            </w:r>
          </w:p>
        </w:tc>
        <w:tc>
          <w:tcPr>
            <w:tcW w:w="1217" w:type="dxa"/>
            <w:tcBorders>
              <w:top w:val="nil"/>
              <w:bottom w:val="double" w:sz="1" w:space="0" w:color="000000"/>
            </w:tcBorders>
          </w:tcPr>
          <w:p>
            <w:pPr>
              <w:pStyle w:val="TableParagraph"/>
              <w:spacing w:before="154"/>
              <w:ind w:left="181" w:right="178"/>
              <w:jc w:val="center"/>
              <w:rPr>
                <w:sz w:val="18"/>
              </w:rPr>
            </w:pPr>
            <w:r>
              <w:rPr>
                <w:sz w:val="18"/>
              </w:rPr>
              <w:t>1.0</w:t>
            </w:r>
          </w:p>
        </w:tc>
        <w:tc>
          <w:tcPr>
            <w:tcW w:w="1229" w:type="dxa"/>
            <w:gridSpan w:val="2"/>
            <w:tcBorders>
              <w:top w:val="nil"/>
              <w:bottom w:val="double" w:sz="1" w:space="0" w:color="000000"/>
            </w:tcBorders>
          </w:tcPr>
          <w:p>
            <w:pPr>
              <w:pStyle w:val="TableParagraph"/>
              <w:spacing w:line="207" w:lineRule="exact" w:before="51"/>
              <w:ind w:left="23" w:right="19"/>
              <w:jc w:val="center"/>
              <w:rPr>
                <w:sz w:val="18"/>
              </w:rPr>
            </w:pPr>
            <w:r>
              <w:rPr>
                <w:sz w:val="18"/>
              </w:rPr>
              <w:t>1.4</w:t>
            </w:r>
          </w:p>
          <w:p>
            <w:pPr>
              <w:pStyle w:val="TableParagraph"/>
              <w:spacing w:line="207" w:lineRule="exact"/>
              <w:ind w:left="23" w:right="19"/>
              <w:jc w:val="center"/>
              <w:rPr>
                <w:sz w:val="18"/>
              </w:rPr>
            </w:pPr>
            <w:r>
              <w:rPr>
                <w:sz w:val="18"/>
              </w:rPr>
              <w:t>(1.0 – 2.0)</w:t>
            </w:r>
          </w:p>
        </w:tc>
        <w:tc>
          <w:tcPr>
            <w:tcW w:w="1217" w:type="dxa"/>
            <w:tcBorders>
              <w:top w:val="nil"/>
              <w:bottom w:val="double" w:sz="1" w:space="0" w:color="000000"/>
            </w:tcBorders>
          </w:tcPr>
          <w:p>
            <w:pPr>
              <w:pStyle w:val="TableParagraph"/>
              <w:spacing w:before="154"/>
              <w:ind w:left="179" w:right="178"/>
              <w:jc w:val="center"/>
              <w:rPr>
                <w:sz w:val="18"/>
              </w:rPr>
            </w:pPr>
            <w:r>
              <w:rPr>
                <w:sz w:val="18"/>
              </w:rPr>
              <w:t>0.4</w:t>
            </w:r>
          </w:p>
        </w:tc>
      </w:tr>
      <w:tr>
        <w:trPr>
          <w:trHeight w:val="256" w:hRule="atLeast"/>
        </w:trPr>
        <w:tc>
          <w:tcPr>
            <w:tcW w:w="8925" w:type="dxa"/>
            <w:gridSpan w:val="10"/>
            <w:tcBorders>
              <w:top w:val="double" w:sz="1" w:space="0" w:color="000000"/>
            </w:tcBorders>
          </w:tcPr>
          <w:p>
            <w:pPr>
              <w:pStyle w:val="TableParagraph"/>
              <w:spacing w:before="23"/>
              <w:ind w:left="433" w:right="428"/>
              <w:jc w:val="center"/>
              <w:rPr>
                <w:b/>
                <w:sz w:val="18"/>
              </w:rPr>
            </w:pPr>
            <w:r>
              <w:rPr>
                <w:b/>
                <w:sz w:val="18"/>
              </w:rPr>
              <w:t>Temperate Forests</w:t>
            </w:r>
          </w:p>
        </w:tc>
      </w:tr>
      <w:tr>
        <w:trPr>
          <w:trHeight w:val="273" w:hRule="atLeast"/>
        </w:trPr>
        <w:tc>
          <w:tcPr>
            <w:tcW w:w="2941" w:type="dxa"/>
            <w:gridSpan w:val="3"/>
          </w:tcPr>
          <w:p>
            <w:pPr>
              <w:pStyle w:val="TableParagraph"/>
              <w:spacing w:before="33"/>
              <w:ind w:left="1070" w:right="1065"/>
              <w:jc w:val="center"/>
              <w:rPr>
                <w:b/>
                <w:sz w:val="18"/>
              </w:rPr>
            </w:pPr>
            <w:r>
              <w:rPr>
                <w:b/>
                <w:sz w:val="18"/>
              </w:rPr>
              <w:t>Age Class</w:t>
            </w:r>
          </w:p>
        </w:tc>
        <w:tc>
          <w:tcPr>
            <w:tcW w:w="3538" w:type="dxa"/>
            <w:gridSpan w:val="4"/>
          </w:tcPr>
          <w:p>
            <w:pPr>
              <w:pStyle w:val="TableParagraph"/>
              <w:spacing w:before="33"/>
              <w:ind w:left="1321" w:right="1317"/>
              <w:jc w:val="center"/>
              <w:rPr>
                <w:b/>
                <w:sz w:val="18"/>
              </w:rPr>
            </w:pPr>
            <w:r>
              <w:rPr>
                <w:b/>
                <w:sz w:val="18"/>
              </w:rPr>
              <w:t>Coniferous</w:t>
            </w:r>
          </w:p>
        </w:tc>
        <w:tc>
          <w:tcPr>
            <w:tcW w:w="2446" w:type="dxa"/>
            <w:gridSpan w:val="3"/>
          </w:tcPr>
          <w:p>
            <w:pPr>
              <w:pStyle w:val="TableParagraph"/>
              <w:spacing w:before="33"/>
              <w:ind w:left="819" w:right="816"/>
              <w:jc w:val="center"/>
              <w:rPr>
                <w:b/>
                <w:sz w:val="18"/>
              </w:rPr>
            </w:pPr>
            <w:r>
              <w:rPr>
                <w:b/>
                <w:sz w:val="18"/>
              </w:rPr>
              <w:t>Broadleaf</w:t>
            </w:r>
          </w:p>
        </w:tc>
      </w:tr>
      <w:tr>
        <w:trPr>
          <w:trHeight w:val="529" w:hRule="atLeast"/>
        </w:trPr>
        <w:tc>
          <w:tcPr>
            <w:tcW w:w="2941" w:type="dxa"/>
            <w:gridSpan w:val="3"/>
            <w:tcBorders>
              <w:bottom w:val="nil"/>
            </w:tcBorders>
          </w:tcPr>
          <w:p>
            <w:pPr>
              <w:pStyle w:val="TableParagraph"/>
              <w:spacing w:before="160"/>
              <w:ind w:left="1070" w:right="1064"/>
              <w:jc w:val="center"/>
              <w:rPr>
                <w:sz w:val="18"/>
              </w:rPr>
            </w:pPr>
            <w:r>
              <w:rPr>
                <w:rFonts w:ascii="Symbol" w:hAnsi="Symbol"/>
                <w:sz w:val="18"/>
              </w:rPr>
              <w:t>≤</w:t>
            </w:r>
            <w:r>
              <w:rPr>
                <w:sz w:val="18"/>
              </w:rPr>
              <w:t>20 years</w:t>
            </w:r>
          </w:p>
        </w:tc>
        <w:tc>
          <w:tcPr>
            <w:tcW w:w="3538" w:type="dxa"/>
            <w:gridSpan w:val="4"/>
            <w:tcBorders>
              <w:bottom w:val="nil"/>
            </w:tcBorders>
          </w:tcPr>
          <w:p>
            <w:pPr>
              <w:pStyle w:val="TableParagraph"/>
              <w:spacing w:line="207" w:lineRule="exact" w:before="52"/>
              <w:ind w:left="1321" w:right="1317"/>
              <w:jc w:val="center"/>
              <w:rPr>
                <w:sz w:val="18"/>
              </w:rPr>
            </w:pPr>
            <w:r>
              <w:rPr>
                <w:sz w:val="18"/>
              </w:rPr>
              <w:t>3.0</w:t>
            </w:r>
          </w:p>
          <w:p>
            <w:pPr>
              <w:pStyle w:val="TableParagraph"/>
              <w:spacing w:line="207" w:lineRule="exact"/>
              <w:ind w:left="1321" w:right="1316"/>
              <w:jc w:val="center"/>
              <w:rPr>
                <w:sz w:val="18"/>
              </w:rPr>
            </w:pPr>
            <w:r>
              <w:rPr>
                <w:sz w:val="18"/>
              </w:rPr>
              <w:t>(0.5 – 6.0)</w:t>
            </w:r>
          </w:p>
        </w:tc>
        <w:tc>
          <w:tcPr>
            <w:tcW w:w="2446" w:type="dxa"/>
            <w:gridSpan w:val="3"/>
            <w:tcBorders>
              <w:bottom w:val="nil"/>
            </w:tcBorders>
          </w:tcPr>
          <w:p>
            <w:pPr>
              <w:pStyle w:val="TableParagraph"/>
              <w:spacing w:line="207" w:lineRule="exact" w:before="52"/>
              <w:ind w:left="817" w:right="816"/>
              <w:jc w:val="center"/>
              <w:rPr>
                <w:sz w:val="18"/>
              </w:rPr>
            </w:pPr>
            <w:r>
              <w:rPr>
                <w:sz w:val="18"/>
              </w:rPr>
              <w:t>4.0</w:t>
            </w:r>
          </w:p>
          <w:p>
            <w:pPr>
              <w:pStyle w:val="TableParagraph"/>
              <w:spacing w:line="207" w:lineRule="exact"/>
              <w:ind w:left="818" w:right="816"/>
              <w:jc w:val="center"/>
              <w:rPr>
                <w:sz w:val="18"/>
              </w:rPr>
            </w:pPr>
            <w:r>
              <w:rPr>
                <w:sz w:val="18"/>
              </w:rPr>
              <w:t>(0.5 – 8.0)</w:t>
            </w:r>
          </w:p>
        </w:tc>
      </w:tr>
      <w:tr>
        <w:trPr>
          <w:trHeight w:val="535" w:hRule="atLeast"/>
        </w:trPr>
        <w:tc>
          <w:tcPr>
            <w:tcW w:w="2941" w:type="dxa"/>
            <w:gridSpan w:val="3"/>
            <w:tcBorders>
              <w:top w:val="nil"/>
              <w:bottom w:val="double" w:sz="1" w:space="0" w:color="000000"/>
            </w:tcBorders>
          </w:tcPr>
          <w:p>
            <w:pPr>
              <w:pStyle w:val="TableParagraph"/>
              <w:spacing w:before="159"/>
              <w:ind w:left="1069" w:right="1065"/>
              <w:jc w:val="center"/>
              <w:rPr>
                <w:sz w:val="18"/>
              </w:rPr>
            </w:pPr>
            <w:r>
              <w:rPr>
                <w:sz w:val="18"/>
              </w:rPr>
              <w:t>&gt;20 years</w:t>
            </w:r>
          </w:p>
        </w:tc>
        <w:tc>
          <w:tcPr>
            <w:tcW w:w="3538" w:type="dxa"/>
            <w:gridSpan w:val="4"/>
            <w:tcBorders>
              <w:top w:val="nil"/>
              <w:bottom w:val="double" w:sz="1" w:space="0" w:color="000000"/>
            </w:tcBorders>
          </w:tcPr>
          <w:p>
            <w:pPr>
              <w:pStyle w:val="TableParagraph"/>
              <w:spacing w:line="207" w:lineRule="exact" w:before="56"/>
              <w:ind w:left="1321" w:right="1317"/>
              <w:jc w:val="center"/>
              <w:rPr>
                <w:sz w:val="18"/>
              </w:rPr>
            </w:pPr>
            <w:r>
              <w:rPr>
                <w:sz w:val="18"/>
              </w:rPr>
              <w:t>3.0</w:t>
            </w:r>
          </w:p>
          <w:p>
            <w:pPr>
              <w:pStyle w:val="TableParagraph"/>
              <w:spacing w:line="207" w:lineRule="exact"/>
              <w:ind w:left="1321" w:right="1316"/>
              <w:jc w:val="center"/>
              <w:rPr>
                <w:sz w:val="18"/>
              </w:rPr>
            </w:pPr>
            <w:r>
              <w:rPr>
                <w:sz w:val="18"/>
              </w:rPr>
              <w:t>(0.5 – 6.0)</w:t>
            </w:r>
          </w:p>
        </w:tc>
        <w:tc>
          <w:tcPr>
            <w:tcW w:w="2446" w:type="dxa"/>
            <w:gridSpan w:val="3"/>
            <w:tcBorders>
              <w:top w:val="nil"/>
              <w:bottom w:val="double" w:sz="1" w:space="0" w:color="000000"/>
            </w:tcBorders>
          </w:tcPr>
          <w:p>
            <w:pPr>
              <w:pStyle w:val="TableParagraph"/>
              <w:spacing w:line="207" w:lineRule="exact" w:before="56"/>
              <w:ind w:left="817" w:right="816"/>
              <w:jc w:val="center"/>
              <w:rPr>
                <w:sz w:val="18"/>
              </w:rPr>
            </w:pPr>
            <w:r>
              <w:rPr>
                <w:sz w:val="18"/>
              </w:rPr>
              <w:t>4.0</w:t>
            </w:r>
          </w:p>
          <w:p>
            <w:pPr>
              <w:pStyle w:val="TableParagraph"/>
              <w:spacing w:line="207" w:lineRule="exact"/>
              <w:ind w:left="818" w:right="816"/>
              <w:jc w:val="center"/>
              <w:rPr>
                <w:sz w:val="18"/>
              </w:rPr>
            </w:pPr>
            <w:r>
              <w:rPr>
                <w:sz w:val="18"/>
              </w:rPr>
              <w:t>(0.5 – 7.5)</w:t>
            </w:r>
          </w:p>
        </w:tc>
      </w:tr>
      <w:tr>
        <w:trPr>
          <w:trHeight w:val="255" w:hRule="atLeast"/>
        </w:trPr>
        <w:tc>
          <w:tcPr>
            <w:tcW w:w="8925" w:type="dxa"/>
            <w:gridSpan w:val="10"/>
            <w:tcBorders>
              <w:top w:val="double" w:sz="1" w:space="0" w:color="000000"/>
            </w:tcBorders>
          </w:tcPr>
          <w:p>
            <w:pPr>
              <w:pStyle w:val="TableParagraph"/>
              <w:spacing w:before="23"/>
              <w:ind w:left="433" w:right="428"/>
              <w:jc w:val="center"/>
              <w:rPr>
                <w:b/>
                <w:sz w:val="18"/>
              </w:rPr>
            </w:pPr>
            <w:r>
              <w:rPr>
                <w:b/>
                <w:sz w:val="18"/>
              </w:rPr>
              <w:t>Boreal forests</w:t>
            </w:r>
          </w:p>
        </w:tc>
      </w:tr>
      <w:tr>
        <w:trPr>
          <w:trHeight w:val="445" w:hRule="atLeast"/>
        </w:trPr>
        <w:tc>
          <w:tcPr>
            <w:tcW w:w="1516" w:type="dxa"/>
            <w:tcBorders>
              <w:bottom w:val="nil"/>
            </w:tcBorders>
          </w:tcPr>
          <w:p>
            <w:pPr>
              <w:pStyle w:val="TableParagraph"/>
              <w:spacing w:before="117"/>
              <w:ind w:right="357"/>
              <w:jc w:val="right"/>
              <w:rPr>
                <w:b/>
                <w:sz w:val="18"/>
              </w:rPr>
            </w:pPr>
            <w:r>
              <w:rPr>
                <w:b/>
                <w:sz w:val="18"/>
              </w:rPr>
              <w:t>Age Class</w:t>
            </w:r>
          </w:p>
        </w:tc>
        <w:tc>
          <w:tcPr>
            <w:tcW w:w="1855" w:type="dxa"/>
            <w:gridSpan w:val="3"/>
            <w:tcBorders>
              <w:bottom w:val="nil"/>
            </w:tcBorders>
          </w:tcPr>
          <w:p>
            <w:pPr>
              <w:pStyle w:val="TableParagraph"/>
              <w:spacing w:line="206" w:lineRule="exact" w:before="17"/>
              <w:ind w:left="502" w:right="223" w:hanging="255"/>
              <w:rPr>
                <w:b/>
                <w:sz w:val="18"/>
              </w:rPr>
            </w:pPr>
            <w:r>
              <w:rPr>
                <w:b/>
                <w:sz w:val="18"/>
              </w:rPr>
              <w:t>Mixed Broadleaf- Coniferous</w:t>
            </w:r>
          </w:p>
        </w:tc>
        <w:tc>
          <w:tcPr>
            <w:tcW w:w="1891" w:type="dxa"/>
            <w:gridSpan w:val="2"/>
            <w:tcBorders>
              <w:bottom w:val="nil"/>
            </w:tcBorders>
          </w:tcPr>
          <w:p>
            <w:pPr>
              <w:pStyle w:val="TableParagraph"/>
              <w:spacing w:before="117"/>
              <w:ind w:left="519"/>
              <w:rPr>
                <w:b/>
                <w:sz w:val="18"/>
              </w:rPr>
            </w:pPr>
            <w:r>
              <w:rPr>
                <w:b/>
                <w:sz w:val="18"/>
              </w:rPr>
              <w:t>Coniferous</w:t>
            </w:r>
          </w:p>
        </w:tc>
        <w:tc>
          <w:tcPr>
            <w:tcW w:w="1829" w:type="dxa"/>
            <w:gridSpan w:val="2"/>
            <w:tcBorders>
              <w:bottom w:val="nil"/>
            </w:tcBorders>
          </w:tcPr>
          <w:p>
            <w:pPr>
              <w:pStyle w:val="TableParagraph"/>
              <w:spacing w:before="117"/>
              <w:ind w:left="342"/>
              <w:rPr>
                <w:b/>
                <w:sz w:val="18"/>
              </w:rPr>
            </w:pPr>
            <w:r>
              <w:rPr>
                <w:b/>
                <w:sz w:val="18"/>
              </w:rPr>
              <w:t>Forest-Tundra</w:t>
            </w:r>
          </w:p>
        </w:tc>
        <w:tc>
          <w:tcPr>
            <w:tcW w:w="1834" w:type="dxa"/>
            <w:gridSpan w:val="2"/>
            <w:tcBorders>
              <w:bottom w:val="nil"/>
            </w:tcBorders>
          </w:tcPr>
          <w:p>
            <w:pPr>
              <w:pStyle w:val="TableParagraph"/>
              <w:spacing w:before="117"/>
              <w:ind w:left="533"/>
              <w:rPr>
                <w:b/>
                <w:sz w:val="18"/>
              </w:rPr>
            </w:pPr>
            <w:r>
              <w:rPr>
                <w:b/>
                <w:sz w:val="18"/>
              </w:rPr>
              <w:t>Broadleaf</w:t>
            </w:r>
          </w:p>
        </w:tc>
      </w:tr>
      <w:tr>
        <w:trPr>
          <w:trHeight w:val="271" w:hRule="atLeast"/>
        </w:trPr>
        <w:tc>
          <w:tcPr>
            <w:tcW w:w="1516" w:type="dxa"/>
            <w:tcBorders>
              <w:top w:val="nil"/>
              <w:bottom w:val="nil"/>
            </w:tcBorders>
          </w:tcPr>
          <w:p>
            <w:pPr>
              <w:pStyle w:val="TableParagraph"/>
              <w:spacing w:before="8"/>
              <w:ind w:left="83"/>
              <w:rPr>
                <w:b/>
                <w:sz w:val="20"/>
              </w:rPr>
            </w:pPr>
            <w:r>
              <w:rPr>
                <w:b/>
                <w:sz w:val="20"/>
              </w:rPr>
              <w:t>Eurasia</w:t>
            </w:r>
          </w:p>
        </w:tc>
        <w:tc>
          <w:tcPr>
            <w:tcW w:w="1855" w:type="dxa"/>
            <w:gridSpan w:val="3"/>
            <w:tcBorders>
              <w:top w:val="nil"/>
              <w:bottom w:val="nil"/>
            </w:tcBorders>
          </w:tcPr>
          <w:p>
            <w:pPr>
              <w:pStyle w:val="TableParagraph"/>
              <w:rPr>
                <w:sz w:val="16"/>
              </w:rPr>
            </w:pPr>
          </w:p>
        </w:tc>
        <w:tc>
          <w:tcPr>
            <w:tcW w:w="1891" w:type="dxa"/>
            <w:gridSpan w:val="2"/>
            <w:tcBorders>
              <w:top w:val="nil"/>
              <w:bottom w:val="nil"/>
            </w:tcBorders>
          </w:tcPr>
          <w:p>
            <w:pPr>
              <w:pStyle w:val="TableParagraph"/>
              <w:rPr>
                <w:sz w:val="16"/>
              </w:rPr>
            </w:pPr>
          </w:p>
        </w:tc>
        <w:tc>
          <w:tcPr>
            <w:tcW w:w="1829" w:type="dxa"/>
            <w:gridSpan w:val="2"/>
            <w:tcBorders>
              <w:top w:val="nil"/>
              <w:bottom w:val="nil"/>
            </w:tcBorders>
          </w:tcPr>
          <w:p>
            <w:pPr>
              <w:pStyle w:val="TableParagraph"/>
              <w:rPr>
                <w:sz w:val="16"/>
              </w:rPr>
            </w:pPr>
          </w:p>
        </w:tc>
        <w:tc>
          <w:tcPr>
            <w:tcW w:w="1834" w:type="dxa"/>
            <w:gridSpan w:val="2"/>
            <w:tcBorders>
              <w:top w:val="nil"/>
              <w:bottom w:val="nil"/>
            </w:tcBorders>
          </w:tcPr>
          <w:p>
            <w:pPr>
              <w:pStyle w:val="TableParagraph"/>
              <w:rPr>
                <w:sz w:val="16"/>
              </w:rPr>
            </w:pPr>
          </w:p>
        </w:tc>
      </w:tr>
      <w:tr>
        <w:trPr>
          <w:trHeight w:val="511" w:hRule="atLeast"/>
        </w:trPr>
        <w:tc>
          <w:tcPr>
            <w:tcW w:w="1516" w:type="dxa"/>
            <w:tcBorders>
              <w:top w:val="nil"/>
              <w:bottom w:val="nil"/>
            </w:tcBorders>
          </w:tcPr>
          <w:p>
            <w:pPr>
              <w:pStyle w:val="TableParagraph"/>
              <w:spacing w:before="133"/>
              <w:ind w:right="370"/>
              <w:jc w:val="right"/>
              <w:rPr>
                <w:sz w:val="18"/>
              </w:rPr>
            </w:pPr>
            <w:r>
              <w:rPr>
                <w:rFonts w:ascii="Symbol" w:hAnsi="Symbol"/>
                <w:sz w:val="18"/>
              </w:rPr>
              <w:t>≤</w:t>
            </w:r>
            <w:r>
              <w:rPr>
                <w:sz w:val="18"/>
              </w:rPr>
              <w:t>20 years</w:t>
            </w:r>
          </w:p>
        </w:tc>
        <w:tc>
          <w:tcPr>
            <w:tcW w:w="1855" w:type="dxa"/>
            <w:gridSpan w:val="3"/>
            <w:tcBorders>
              <w:top w:val="nil"/>
              <w:bottom w:val="nil"/>
            </w:tcBorders>
          </w:tcPr>
          <w:p>
            <w:pPr>
              <w:pStyle w:val="TableParagraph"/>
              <w:spacing w:before="128"/>
              <w:ind w:left="459" w:right="453"/>
              <w:jc w:val="center"/>
              <w:rPr>
                <w:sz w:val="18"/>
              </w:rPr>
            </w:pPr>
            <w:r>
              <w:rPr>
                <w:sz w:val="18"/>
              </w:rPr>
              <w:t>1.0</w:t>
            </w:r>
          </w:p>
        </w:tc>
        <w:tc>
          <w:tcPr>
            <w:tcW w:w="1891" w:type="dxa"/>
            <w:gridSpan w:val="2"/>
            <w:tcBorders>
              <w:top w:val="nil"/>
              <w:bottom w:val="nil"/>
            </w:tcBorders>
          </w:tcPr>
          <w:p>
            <w:pPr>
              <w:pStyle w:val="TableParagraph"/>
              <w:spacing w:before="128"/>
              <w:ind w:left="519" w:right="514"/>
              <w:jc w:val="center"/>
              <w:rPr>
                <w:sz w:val="18"/>
              </w:rPr>
            </w:pPr>
            <w:r>
              <w:rPr>
                <w:sz w:val="18"/>
              </w:rPr>
              <w:t>1.5</w:t>
            </w:r>
          </w:p>
        </w:tc>
        <w:tc>
          <w:tcPr>
            <w:tcW w:w="1829" w:type="dxa"/>
            <w:gridSpan w:val="2"/>
            <w:tcBorders>
              <w:top w:val="nil"/>
              <w:bottom w:val="nil"/>
            </w:tcBorders>
          </w:tcPr>
          <w:p>
            <w:pPr>
              <w:pStyle w:val="TableParagraph"/>
              <w:spacing w:line="207" w:lineRule="exact" w:before="25"/>
              <w:ind w:left="489" w:right="485"/>
              <w:jc w:val="center"/>
              <w:rPr>
                <w:sz w:val="18"/>
              </w:rPr>
            </w:pPr>
            <w:r>
              <w:rPr>
                <w:sz w:val="18"/>
              </w:rPr>
              <w:t>0.4</w:t>
            </w:r>
          </w:p>
          <w:p>
            <w:pPr>
              <w:pStyle w:val="TableParagraph"/>
              <w:spacing w:line="207" w:lineRule="exact"/>
              <w:ind w:left="490" w:right="485"/>
              <w:jc w:val="center"/>
              <w:rPr>
                <w:sz w:val="18"/>
              </w:rPr>
            </w:pPr>
            <w:r>
              <w:rPr>
                <w:sz w:val="18"/>
              </w:rPr>
              <w:t>(0.2 – 0.5)</w:t>
            </w:r>
          </w:p>
        </w:tc>
        <w:tc>
          <w:tcPr>
            <w:tcW w:w="1834" w:type="dxa"/>
            <w:gridSpan w:val="2"/>
            <w:tcBorders>
              <w:top w:val="nil"/>
              <w:bottom w:val="nil"/>
            </w:tcBorders>
          </w:tcPr>
          <w:p>
            <w:pPr>
              <w:pStyle w:val="TableParagraph"/>
              <w:spacing w:line="207" w:lineRule="exact" w:before="25"/>
              <w:ind w:left="492" w:right="488"/>
              <w:jc w:val="center"/>
              <w:rPr>
                <w:sz w:val="18"/>
              </w:rPr>
            </w:pPr>
            <w:r>
              <w:rPr>
                <w:sz w:val="18"/>
              </w:rPr>
              <w:t>1.5</w:t>
            </w:r>
          </w:p>
          <w:p>
            <w:pPr>
              <w:pStyle w:val="TableParagraph"/>
              <w:spacing w:line="207" w:lineRule="exact"/>
              <w:ind w:left="492" w:right="488"/>
              <w:jc w:val="center"/>
              <w:rPr>
                <w:sz w:val="18"/>
              </w:rPr>
            </w:pPr>
            <w:r>
              <w:rPr>
                <w:sz w:val="18"/>
              </w:rPr>
              <w:t>(1.0 – 2.0)</w:t>
            </w:r>
          </w:p>
        </w:tc>
      </w:tr>
      <w:tr>
        <w:trPr>
          <w:trHeight w:val="509" w:hRule="atLeast"/>
        </w:trPr>
        <w:tc>
          <w:tcPr>
            <w:tcW w:w="1516" w:type="dxa"/>
            <w:tcBorders>
              <w:top w:val="nil"/>
              <w:bottom w:val="nil"/>
            </w:tcBorders>
          </w:tcPr>
          <w:p>
            <w:pPr>
              <w:pStyle w:val="TableParagraph"/>
              <w:spacing w:before="168"/>
              <w:ind w:right="397"/>
              <w:jc w:val="right"/>
              <w:rPr>
                <w:sz w:val="18"/>
              </w:rPr>
            </w:pPr>
            <w:r>
              <w:rPr>
                <w:sz w:val="18"/>
              </w:rPr>
              <w:t>&gt;20 years</w:t>
            </w:r>
          </w:p>
        </w:tc>
        <w:tc>
          <w:tcPr>
            <w:tcW w:w="1855" w:type="dxa"/>
            <w:gridSpan w:val="3"/>
            <w:tcBorders>
              <w:top w:val="nil"/>
              <w:bottom w:val="nil"/>
            </w:tcBorders>
          </w:tcPr>
          <w:p>
            <w:pPr>
              <w:pStyle w:val="TableParagraph"/>
              <w:spacing w:before="168"/>
              <w:ind w:left="512" w:right="453"/>
              <w:jc w:val="center"/>
              <w:rPr>
                <w:sz w:val="18"/>
              </w:rPr>
            </w:pPr>
            <w:r>
              <w:rPr>
                <w:sz w:val="18"/>
              </w:rPr>
              <w:t>1.5</w:t>
            </w:r>
          </w:p>
        </w:tc>
        <w:tc>
          <w:tcPr>
            <w:tcW w:w="1891" w:type="dxa"/>
            <w:gridSpan w:val="2"/>
            <w:tcBorders>
              <w:top w:val="nil"/>
              <w:bottom w:val="nil"/>
            </w:tcBorders>
          </w:tcPr>
          <w:p>
            <w:pPr>
              <w:pStyle w:val="TableParagraph"/>
              <w:spacing w:before="168"/>
              <w:ind w:left="576" w:right="514"/>
              <w:jc w:val="center"/>
              <w:rPr>
                <w:sz w:val="18"/>
              </w:rPr>
            </w:pPr>
            <w:r>
              <w:rPr>
                <w:sz w:val="18"/>
              </w:rPr>
              <w:t>2.5</w:t>
            </w:r>
          </w:p>
        </w:tc>
        <w:tc>
          <w:tcPr>
            <w:tcW w:w="1829" w:type="dxa"/>
            <w:gridSpan w:val="2"/>
            <w:tcBorders>
              <w:top w:val="nil"/>
              <w:bottom w:val="nil"/>
            </w:tcBorders>
          </w:tcPr>
          <w:p>
            <w:pPr>
              <w:pStyle w:val="TableParagraph"/>
              <w:spacing w:line="207" w:lineRule="exact" w:before="65"/>
              <w:ind w:left="517" w:right="460"/>
              <w:jc w:val="center"/>
              <w:rPr>
                <w:sz w:val="18"/>
              </w:rPr>
            </w:pPr>
            <w:r>
              <w:rPr>
                <w:sz w:val="18"/>
              </w:rPr>
              <w:t>0.4</w:t>
            </w:r>
          </w:p>
          <w:p>
            <w:pPr>
              <w:pStyle w:val="TableParagraph"/>
              <w:spacing w:line="207" w:lineRule="exact"/>
              <w:ind w:left="517" w:right="459"/>
              <w:jc w:val="center"/>
              <w:rPr>
                <w:sz w:val="18"/>
              </w:rPr>
            </w:pPr>
            <w:r>
              <w:rPr>
                <w:sz w:val="18"/>
              </w:rPr>
              <w:t>(0.2 – 0.5)</w:t>
            </w:r>
          </w:p>
        </w:tc>
        <w:tc>
          <w:tcPr>
            <w:tcW w:w="1834" w:type="dxa"/>
            <w:gridSpan w:val="2"/>
            <w:tcBorders>
              <w:top w:val="nil"/>
              <w:bottom w:val="nil"/>
            </w:tcBorders>
          </w:tcPr>
          <w:p>
            <w:pPr>
              <w:pStyle w:val="TableParagraph"/>
              <w:spacing w:before="168"/>
              <w:ind w:left="519" w:right="463"/>
              <w:jc w:val="center"/>
              <w:rPr>
                <w:sz w:val="18"/>
              </w:rPr>
            </w:pPr>
            <w:r>
              <w:rPr>
                <w:sz w:val="18"/>
              </w:rPr>
              <w:t>1.5</w:t>
            </w:r>
          </w:p>
        </w:tc>
      </w:tr>
      <w:tr>
        <w:trPr>
          <w:trHeight w:val="295" w:hRule="atLeast"/>
        </w:trPr>
        <w:tc>
          <w:tcPr>
            <w:tcW w:w="1516" w:type="dxa"/>
            <w:tcBorders>
              <w:top w:val="nil"/>
              <w:bottom w:val="nil"/>
            </w:tcBorders>
          </w:tcPr>
          <w:p>
            <w:pPr>
              <w:pStyle w:val="TableParagraph"/>
              <w:spacing w:before="21"/>
              <w:ind w:left="83"/>
              <w:rPr>
                <w:b/>
                <w:sz w:val="20"/>
              </w:rPr>
            </w:pPr>
            <w:r>
              <w:rPr>
                <w:b/>
                <w:sz w:val="20"/>
              </w:rPr>
              <w:t>America</w:t>
            </w:r>
          </w:p>
        </w:tc>
        <w:tc>
          <w:tcPr>
            <w:tcW w:w="1855" w:type="dxa"/>
            <w:gridSpan w:val="3"/>
            <w:tcBorders>
              <w:top w:val="nil"/>
              <w:bottom w:val="nil"/>
            </w:tcBorders>
          </w:tcPr>
          <w:p>
            <w:pPr>
              <w:pStyle w:val="TableParagraph"/>
              <w:rPr>
                <w:sz w:val="16"/>
              </w:rPr>
            </w:pPr>
          </w:p>
        </w:tc>
        <w:tc>
          <w:tcPr>
            <w:tcW w:w="1891" w:type="dxa"/>
            <w:gridSpan w:val="2"/>
            <w:tcBorders>
              <w:top w:val="nil"/>
              <w:bottom w:val="nil"/>
            </w:tcBorders>
          </w:tcPr>
          <w:p>
            <w:pPr>
              <w:pStyle w:val="TableParagraph"/>
              <w:rPr>
                <w:sz w:val="16"/>
              </w:rPr>
            </w:pPr>
          </w:p>
        </w:tc>
        <w:tc>
          <w:tcPr>
            <w:tcW w:w="1829" w:type="dxa"/>
            <w:gridSpan w:val="2"/>
            <w:tcBorders>
              <w:top w:val="nil"/>
              <w:bottom w:val="nil"/>
            </w:tcBorders>
          </w:tcPr>
          <w:p>
            <w:pPr>
              <w:pStyle w:val="TableParagraph"/>
              <w:rPr>
                <w:sz w:val="16"/>
              </w:rPr>
            </w:pPr>
          </w:p>
        </w:tc>
        <w:tc>
          <w:tcPr>
            <w:tcW w:w="1834" w:type="dxa"/>
            <w:gridSpan w:val="2"/>
            <w:tcBorders>
              <w:top w:val="nil"/>
              <w:bottom w:val="nil"/>
            </w:tcBorders>
          </w:tcPr>
          <w:p>
            <w:pPr>
              <w:pStyle w:val="TableParagraph"/>
              <w:rPr>
                <w:sz w:val="16"/>
              </w:rPr>
            </w:pPr>
          </w:p>
        </w:tc>
      </w:tr>
      <w:tr>
        <w:trPr>
          <w:trHeight w:val="501" w:hRule="atLeast"/>
        </w:trPr>
        <w:tc>
          <w:tcPr>
            <w:tcW w:w="1516" w:type="dxa"/>
            <w:tcBorders>
              <w:top w:val="nil"/>
              <w:bottom w:val="nil"/>
            </w:tcBorders>
          </w:tcPr>
          <w:p>
            <w:pPr>
              <w:pStyle w:val="TableParagraph"/>
              <w:spacing w:before="144"/>
              <w:ind w:right="397"/>
              <w:jc w:val="right"/>
              <w:rPr>
                <w:sz w:val="18"/>
              </w:rPr>
            </w:pPr>
            <w:r>
              <w:rPr>
                <w:rFonts w:ascii="Symbol" w:hAnsi="Symbol"/>
                <w:sz w:val="18"/>
              </w:rPr>
              <w:t>≤</w:t>
            </w:r>
            <w:r>
              <w:rPr>
                <w:sz w:val="18"/>
              </w:rPr>
              <w:t>20 years</w:t>
            </w:r>
          </w:p>
        </w:tc>
        <w:tc>
          <w:tcPr>
            <w:tcW w:w="1855" w:type="dxa"/>
            <w:gridSpan w:val="3"/>
            <w:tcBorders>
              <w:top w:val="nil"/>
              <w:bottom w:val="nil"/>
            </w:tcBorders>
          </w:tcPr>
          <w:p>
            <w:pPr>
              <w:pStyle w:val="TableParagraph"/>
              <w:spacing w:line="207" w:lineRule="exact" w:before="36"/>
              <w:ind w:left="512" w:right="453"/>
              <w:jc w:val="center"/>
              <w:rPr>
                <w:sz w:val="18"/>
              </w:rPr>
            </w:pPr>
            <w:r>
              <w:rPr>
                <w:sz w:val="18"/>
              </w:rPr>
              <w:t>1.1</w:t>
            </w:r>
          </w:p>
          <w:p>
            <w:pPr>
              <w:pStyle w:val="TableParagraph"/>
              <w:spacing w:line="207" w:lineRule="exact"/>
              <w:ind w:left="512" w:right="452"/>
              <w:jc w:val="center"/>
              <w:rPr>
                <w:sz w:val="18"/>
              </w:rPr>
            </w:pPr>
            <w:r>
              <w:rPr>
                <w:sz w:val="18"/>
              </w:rPr>
              <w:t>(0.7 – 1.5)</w:t>
            </w:r>
          </w:p>
        </w:tc>
        <w:tc>
          <w:tcPr>
            <w:tcW w:w="1891" w:type="dxa"/>
            <w:gridSpan w:val="2"/>
            <w:tcBorders>
              <w:top w:val="nil"/>
              <w:bottom w:val="nil"/>
            </w:tcBorders>
          </w:tcPr>
          <w:p>
            <w:pPr>
              <w:pStyle w:val="TableParagraph"/>
              <w:spacing w:line="207" w:lineRule="exact" w:before="36"/>
              <w:ind w:left="576" w:right="514"/>
              <w:jc w:val="center"/>
              <w:rPr>
                <w:sz w:val="18"/>
              </w:rPr>
            </w:pPr>
            <w:r>
              <w:rPr>
                <w:sz w:val="18"/>
              </w:rPr>
              <w:t>0.8</w:t>
            </w:r>
          </w:p>
          <w:p>
            <w:pPr>
              <w:pStyle w:val="TableParagraph"/>
              <w:spacing w:line="207" w:lineRule="exact"/>
              <w:ind w:left="576" w:right="513"/>
              <w:jc w:val="center"/>
              <w:rPr>
                <w:sz w:val="18"/>
              </w:rPr>
            </w:pPr>
            <w:r>
              <w:rPr>
                <w:sz w:val="18"/>
              </w:rPr>
              <w:t>(0.5 – 1.0)</w:t>
            </w:r>
          </w:p>
        </w:tc>
        <w:tc>
          <w:tcPr>
            <w:tcW w:w="1829" w:type="dxa"/>
            <w:gridSpan w:val="2"/>
            <w:tcBorders>
              <w:top w:val="nil"/>
              <w:bottom w:val="nil"/>
            </w:tcBorders>
          </w:tcPr>
          <w:p>
            <w:pPr>
              <w:pStyle w:val="TableParagraph"/>
              <w:spacing w:line="207" w:lineRule="exact" w:before="36"/>
              <w:ind w:left="517" w:right="460"/>
              <w:jc w:val="center"/>
              <w:rPr>
                <w:sz w:val="18"/>
              </w:rPr>
            </w:pPr>
            <w:r>
              <w:rPr>
                <w:sz w:val="18"/>
              </w:rPr>
              <w:t>0.4</w:t>
            </w:r>
          </w:p>
          <w:p>
            <w:pPr>
              <w:pStyle w:val="TableParagraph"/>
              <w:spacing w:line="207" w:lineRule="exact"/>
              <w:ind w:left="517" w:right="459"/>
              <w:jc w:val="center"/>
              <w:rPr>
                <w:sz w:val="18"/>
              </w:rPr>
            </w:pPr>
            <w:r>
              <w:rPr>
                <w:sz w:val="18"/>
              </w:rPr>
              <w:t>(0.2 – 0.5)</w:t>
            </w:r>
          </w:p>
        </w:tc>
        <w:tc>
          <w:tcPr>
            <w:tcW w:w="1834" w:type="dxa"/>
            <w:gridSpan w:val="2"/>
            <w:tcBorders>
              <w:top w:val="nil"/>
              <w:bottom w:val="nil"/>
            </w:tcBorders>
          </w:tcPr>
          <w:p>
            <w:pPr>
              <w:pStyle w:val="TableParagraph"/>
              <w:spacing w:line="207" w:lineRule="exact" w:before="36"/>
              <w:ind w:left="519" w:right="462"/>
              <w:jc w:val="center"/>
              <w:rPr>
                <w:sz w:val="18"/>
              </w:rPr>
            </w:pPr>
            <w:r>
              <w:rPr>
                <w:sz w:val="18"/>
              </w:rPr>
              <w:t>1.5</w:t>
            </w:r>
          </w:p>
          <w:p>
            <w:pPr>
              <w:pStyle w:val="TableParagraph"/>
              <w:spacing w:line="207" w:lineRule="exact"/>
              <w:ind w:left="519" w:right="462"/>
              <w:jc w:val="center"/>
              <w:rPr>
                <w:sz w:val="18"/>
              </w:rPr>
            </w:pPr>
            <w:r>
              <w:rPr>
                <w:sz w:val="18"/>
              </w:rPr>
              <w:t>(1.0 – 2.0)</w:t>
            </w:r>
          </w:p>
        </w:tc>
      </w:tr>
      <w:tr>
        <w:trPr>
          <w:trHeight w:val="524" w:hRule="atLeast"/>
        </w:trPr>
        <w:tc>
          <w:tcPr>
            <w:tcW w:w="1516" w:type="dxa"/>
            <w:tcBorders>
              <w:top w:val="nil"/>
            </w:tcBorders>
          </w:tcPr>
          <w:p>
            <w:pPr>
              <w:pStyle w:val="TableParagraph"/>
              <w:spacing w:before="148"/>
              <w:ind w:right="397"/>
              <w:jc w:val="right"/>
              <w:rPr>
                <w:sz w:val="18"/>
              </w:rPr>
            </w:pPr>
            <w:r>
              <w:rPr>
                <w:sz w:val="18"/>
              </w:rPr>
              <w:t>&gt;20 years</w:t>
            </w:r>
          </w:p>
        </w:tc>
        <w:tc>
          <w:tcPr>
            <w:tcW w:w="1855" w:type="dxa"/>
            <w:gridSpan w:val="3"/>
            <w:tcBorders>
              <w:top w:val="nil"/>
            </w:tcBorders>
          </w:tcPr>
          <w:p>
            <w:pPr>
              <w:pStyle w:val="TableParagraph"/>
              <w:spacing w:line="207" w:lineRule="exact" w:before="45"/>
              <w:ind w:left="512" w:right="453"/>
              <w:jc w:val="center"/>
              <w:rPr>
                <w:sz w:val="18"/>
              </w:rPr>
            </w:pPr>
            <w:r>
              <w:rPr>
                <w:sz w:val="18"/>
              </w:rPr>
              <w:t>1.1</w:t>
            </w:r>
          </w:p>
          <w:p>
            <w:pPr>
              <w:pStyle w:val="TableParagraph"/>
              <w:spacing w:line="207" w:lineRule="exact"/>
              <w:ind w:left="512" w:right="453"/>
              <w:jc w:val="center"/>
              <w:rPr>
                <w:sz w:val="18"/>
              </w:rPr>
            </w:pPr>
            <w:r>
              <w:rPr>
                <w:sz w:val="18"/>
              </w:rPr>
              <w:t>(0.7 –– 1.5)</w:t>
            </w:r>
          </w:p>
        </w:tc>
        <w:tc>
          <w:tcPr>
            <w:tcW w:w="1891" w:type="dxa"/>
            <w:gridSpan w:val="2"/>
            <w:tcBorders>
              <w:top w:val="nil"/>
            </w:tcBorders>
          </w:tcPr>
          <w:p>
            <w:pPr>
              <w:pStyle w:val="TableParagraph"/>
              <w:spacing w:line="207" w:lineRule="exact" w:before="45"/>
              <w:ind w:left="576" w:right="514"/>
              <w:jc w:val="center"/>
              <w:rPr>
                <w:sz w:val="18"/>
              </w:rPr>
            </w:pPr>
            <w:r>
              <w:rPr>
                <w:sz w:val="18"/>
              </w:rPr>
              <w:t>1.5</w:t>
            </w:r>
          </w:p>
          <w:p>
            <w:pPr>
              <w:pStyle w:val="TableParagraph"/>
              <w:spacing w:line="207" w:lineRule="exact"/>
              <w:ind w:left="576" w:right="514"/>
              <w:jc w:val="center"/>
              <w:rPr>
                <w:sz w:val="18"/>
              </w:rPr>
            </w:pPr>
            <w:r>
              <w:rPr>
                <w:sz w:val="18"/>
              </w:rPr>
              <w:t>(0.5 – 2.5)</w:t>
            </w:r>
          </w:p>
        </w:tc>
        <w:tc>
          <w:tcPr>
            <w:tcW w:w="1829" w:type="dxa"/>
            <w:gridSpan w:val="2"/>
            <w:tcBorders>
              <w:top w:val="nil"/>
            </w:tcBorders>
          </w:tcPr>
          <w:p>
            <w:pPr>
              <w:pStyle w:val="TableParagraph"/>
              <w:spacing w:line="207" w:lineRule="exact" w:before="45"/>
              <w:ind w:left="517" w:right="460"/>
              <w:jc w:val="center"/>
              <w:rPr>
                <w:sz w:val="18"/>
              </w:rPr>
            </w:pPr>
            <w:r>
              <w:rPr>
                <w:sz w:val="18"/>
              </w:rPr>
              <w:t>0.4</w:t>
            </w:r>
          </w:p>
          <w:p>
            <w:pPr>
              <w:pStyle w:val="TableParagraph"/>
              <w:spacing w:line="207" w:lineRule="exact"/>
              <w:ind w:left="517" w:right="459"/>
              <w:jc w:val="center"/>
              <w:rPr>
                <w:sz w:val="18"/>
              </w:rPr>
            </w:pPr>
            <w:r>
              <w:rPr>
                <w:sz w:val="18"/>
              </w:rPr>
              <w:t>(0.2 – 0.5)</w:t>
            </w:r>
          </w:p>
        </w:tc>
        <w:tc>
          <w:tcPr>
            <w:tcW w:w="1834" w:type="dxa"/>
            <w:gridSpan w:val="2"/>
            <w:tcBorders>
              <w:top w:val="nil"/>
            </w:tcBorders>
          </w:tcPr>
          <w:p>
            <w:pPr>
              <w:pStyle w:val="TableParagraph"/>
              <w:spacing w:line="207" w:lineRule="exact" w:before="45"/>
              <w:ind w:left="519" w:right="463"/>
              <w:jc w:val="center"/>
              <w:rPr>
                <w:sz w:val="18"/>
              </w:rPr>
            </w:pPr>
            <w:r>
              <w:rPr>
                <w:sz w:val="18"/>
              </w:rPr>
              <w:t>1.3</w:t>
            </w:r>
          </w:p>
          <w:p>
            <w:pPr>
              <w:pStyle w:val="TableParagraph"/>
              <w:spacing w:line="207" w:lineRule="exact"/>
              <w:ind w:left="519" w:right="462"/>
              <w:jc w:val="center"/>
              <w:rPr>
                <w:sz w:val="18"/>
              </w:rPr>
            </w:pPr>
            <w:r>
              <w:rPr>
                <w:sz w:val="18"/>
              </w:rPr>
              <w:t>(1.0 – 1.5)</w:t>
            </w:r>
          </w:p>
        </w:tc>
      </w:tr>
      <w:tr>
        <w:trPr>
          <w:trHeight w:val="472" w:hRule="atLeast"/>
        </w:trPr>
        <w:tc>
          <w:tcPr>
            <w:tcW w:w="8925" w:type="dxa"/>
            <w:gridSpan w:val="10"/>
          </w:tcPr>
          <w:p>
            <w:pPr>
              <w:pStyle w:val="TableParagraph"/>
              <w:spacing w:line="183" w:lineRule="exact" w:before="64"/>
              <w:ind w:left="83"/>
              <w:rPr>
                <w:sz w:val="16"/>
              </w:rPr>
            </w:pPr>
            <w:r>
              <w:rPr>
                <w:sz w:val="16"/>
              </w:rPr>
              <w:t>Note: R= annual rainfall in mm/yr</w:t>
            </w:r>
          </w:p>
          <w:p>
            <w:pPr>
              <w:pStyle w:val="TableParagraph"/>
              <w:spacing w:line="183" w:lineRule="exact"/>
              <w:ind w:left="83"/>
              <w:rPr>
                <w:sz w:val="16"/>
              </w:rPr>
            </w:pPr>
            <w:r>
              <w:rPr>
                <w:sz w:val="16"/>
              </w:rPr>
              <w:t>Note: Data are given as mean value and as the range of possible values.</w:t>
            </w:r>
          </w:p>
        </w:tc>
      </w:tr>
    </w:tbl>
    <w:p>
      <w:pPr>
        <w:spacing w:after="0" w:line="183" w:lineRule="exact"/>
        <w:rPr>
          <w:sz w:val="16"/>
        </w:rPr>
        <w:sectPr>
          <w:pgSz w:w="11900" w:h="16840"/>
          <w:pgMar w:header="230" w:footer="408" w:top="560" w:bottom="600" w:left="1200" w:right="1140"/>
        </w:sectPr>
      </w:pPr>
    </w:p>
    <w:p>
      <w:pPr>
        <w:pStyle w:val="BodyText"/>
      </w:pPr>
    </w:p>
    <w:p>
      <w:pPr>
        <w:pStyle w:val="BodyText"/>
      </w:pPr>
    </w:p>
    <w:p>
      <w:pPr>
        <w:pStyle w:val="BodyText"/>
        <w:spacing w:before="4"/>
        <w:rPr>
          <w:sz w:val="27"/>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0"/>
        <w:gridCol w:w="1063"/>
        <w:gridCol w:w="1027"/>
        <w:gridCol w:w="1123"/>
        <w:gridCol w:w="1049"/>
        <w:gridCol w:w="1087"/>
        <w:gridCol w:w="1087"/>
        <w:gridCol w:w="1077"/>
      </w:tblGrid>
      <w:tr>
        <w:trPr>
          <w:trHeight w:val="1273" w:hRule="atLeast"/>
        </w:trPr>
        <w:tc>
          <w:tcPr>
            <w:tcW w:w="9013" w:type="dxa"/>
            <w:gridSpan w:val="8"/>
            <w:tcBorders>
              <w:bottom w:val="double" w:sz="2" w:space="0" w:color="000000"/>
            </w:tcBorders>
          </w:tcPr>
          <w:p>
            <w:pPr>
              <w:pStyle w:val="TableParagraph"/>
              <w:spacing w:line="207" w:lineRule="exact" w:before="59"/>
              <w:ind w:left="781" w:right="773"/>
              <w:jc w:val="center"/>
              <w:rPr>
                <w:b/>
                <w:sz w:val="18"/>
              </w:rPr>
            </w:pPr>
            <w:r>
              <w:rPr>
                <w:b/>
                <w:sz w:val="18"/>
              </w:rPr>
              <w:t>Table 3A.1.6</w:t>
            </w:r>
          </w:p>
          <w:p>
            <w:pPr>
              <w:pStyle w:val="TableParagraph"/>
              <w:spacing w:line="206" w:lineRule="exact"/>
              <w:ind w:left="780" w:right="773"/>
              <w:jc w:val="center"/>
              <w:rPr>
                <w:b/>
                <w:sz w:val="14"/>
              </w:rPr>
            </w:pPr>
            <w:r>
              <w:rPr>
                <w:b/>
                <w:sz w:val="18"/>
              </w:rPr>
              <w:t>A</w:t>
            </w:r>
            <w:r>
              <w:rPr>
                <w:b/>
                <w:sz w:val="14"/>
              </w:rPr>
              <w:t>NNUAL AVERAGE ABOVEGROUND BIOMASS INCREMENT IN PLANTATIONS BY BROAD CATEGORY</w:t>
            </w:r>
          </w:p>
          <w:p>
            <w:pPr>
              <w:pStyle w:val="TableParagraph"/>
              <w:spacing w:line="207" w:lineRule="exact"/>
              <w:ind w:left="781" w:right="771"/>
              <w:jc w:val="center"/>
              <w:rPr>
                <w:b/>
                <w:sz w:val="18"/>
              </w:rPr>
            </w:pPr>
            <w:r>
              <w:rPr>
                <w:b/>
                <w:sz w:val="18"/>
              </w:rPr>
              <w:t>(tonnes dry matter/ha/year )</w:t>
            </w:r>
          </w:p>
          <w:p>
            <w:pPr>
              <w:pStyle w:val="TableParagraph"/>
              <w:spacing w:line="207" w:lineRule="exact" w:before="115"/>
              <w:ind w:left="781" w:right="770"/>
              <w:jc w:val="center"/>
              <w:rPr>
                <w:sz w:val="18"/>
              </w:rPr>
            </w:pPr>
            <w:r>
              <w:rPr>
                <w:sz w:val="18"/>
              </w:rPr>
              <w:t>(To be used for G</w:t>
            </w:r>
            <w:r>
              <w:rPr>
                <w:sz w:val="18"/>
                <w:vertAlign w:val="subscript"/>
              </w:rPr>
              <w:t>W</w:t>
            </w:r>
            <w:r>
              <w:rPr>
                <w:sz w:val="18"/>
                <w:vertAlign w:val="baseline"/>
              </w:rPr>
              <w:t> in Equation 3.2.5.</w:t>
            </w:r>
          </w:p>
          <w:p>
            <w:pPr>
              <w:pStyle w:val="TableParagraph"/>
              <w:spacing w:line="207" w:lineRule="exact"/>
              <w:ind w:left="781" w:right="773"/>
              <w:jc w:val="center"/>
              <w:rPr>
                <w:sz w:val="18"/>
              </w:rPr>
            </w:pPr>
            <w:r>
              <w:rPr>
                <w:sz w:val="18"/>
              </w:rPr>
              <w:t>In case of missing values it is preferred to use stemwood volume increment data I</w:t>
            </w:r>
            <w:r>
              <w:rPr>
                <w:sz w:val="18"/>
                <w:vertAlign w:val="subscript"/>
              </w:rPr>
              <w:t>V</w:t>
            </w:r>
            <w:r>
              <w:rPr>
                <w:sz w:val="18"/>
                <w:vertAlign w:val="baseline"/>
              </w:rPr>
              <w:t> from Table 3A.1.7)</w:t>
            </w:r>
          </w:p>
        </w:tc>
      </w:tr>
      <w:tr>
        <w:trPr>
          <w:trHeight w:val="238" w:hRule="atLeast"/>
        </w:trPr>
        <w:tc>
          <w:tcPr>
            <w:tcW w:w="9013" w:type="dxa"/>
            <w:gridSpan w:val="8"/>
            <w:tcBorders>
              <w:top w:val="double" w:sz="2" w:space="0" w:color="000000"/>
            </w:tcBorders>
          </w:tcPr>
          <w:p>
            <w:pPr>
              <w:pStyle w:val="TableParagraph"/>
              <w:spacing w:before="1"/>
              <w:ind w:left="781" w:right="771"/>
              <w:jc w:val="center"/>
              <w:rPr>
                <w:b/>
                <w:sz w:val="18"/>
              </w:rPr>
            </w:pPr>
            <w:r>
              <w:rPr>
                <w:b/>
                <w:sz w:val="18"/>
              </w:rPr>
              <w:t>Tropical and sub-tropical Forests</w:t>
            </w:r>
          </w:p>
        </w:tc>
      </w:tr>
      <w:tr>
        <w:trPr>
          <w:trHeight w:val="726" w:hRule="atLeast"/>
        </w:trPr>
        <w:tc>
          <w:tcPr>
            <w:tcW w:w="1500" w:type="dxa"/>
            <w:vMerge w:val="restart"/>
          </w:tcPr>
          <w:p>
            <w:pPr>
              <w:pStyle w:val="TableParagraph"/>
              <w:rPr>
                <w:sz w:val="16"/>
              </w:rPr>
            </w:pPr>
          </w:p>
        </w:tc>
        <w:tc>
          <w:tcPr>
            <w:tcW w:w="1063" w:type="dxa"/>
            <w:vMerge w:val="restart"/>
          </w:tcPr>
          <w:p>
            <w:pPr>
              <w:pStyle w:val="TableParagraph"/>
              <w:rPr>
                <w:sz w:val="20"/>
              </w:rPr>
            </w:pPr>
          </w:p>
          <w:p>
            <w:pPr>
              <w:pStyle w:val="TableParagraph"/>
              <w:spacing w:before="165"/>
              <w:ind w:left="153"/>
              <w:rPr>
                <w:b/>
                <w:sz w:val="18"/>
              </w:rPr>
            </w:pPr>
            <w:r>
              <w:rPr>
                <w:b/>
                <w:sz w:val="18"/>
              </w:rPr>
              <w:t>Age Class</w:t>
            </w:r>
          </w:p>
        </w:tc>
        <w:tc>
          <w:tcPr>
            <w:tcW w:w="1027" w:type="dxa"/>
          </w:tcPr>
          <w:p>
            <w:pPr>
              <w:pStyle w:val="TableParagraph"/>
              <w:spacing w:before="5"/>
              <w:rPr>
                <w:sz w:val="22"/>
              </w:rPr>
            </w:pPr>
          </w:p>
          <w:p>
            <w:pPr>
              <w:pStyle w:val="TableParagraph"/>
              <w:spacing w:before="1"/>
              <w:ind w:left="120" w:right="110"/>
              <w:jc w:val="center"/>
              <w:rPr>
                <w:b/>
                <w:sz w:val="18"/>
              </w:rPr>
            </w:pPr>
            <w:r>
              <w:rPr>
                <w:b/>
                <w:sz w:val="18"/>
              </w:rPr>
              <w:t>Wet</w:t>
            </w:r>
          </w:p>
        </w:tc>
        <w:tc>
          <w:tcPr>
            <w:tcW w:w="1123" w:type="dxa"/>
          </w:tcPr>
          <w:p>
            <w:pPr>
              <w:pStyle w:val="TableParagraph"/>
              <w:spacing w:before="52"/>
              <w:ind w:left="148" w:right="134"/>
              <w:jc w:val="center"/>
              <w:rPr>
                <w:b/>
                <w:sz w:val="18"/>
              </w:rPr>
            </w:pPr>
            <w:r>
              <w:rPr>
                <w:b/>
                <w:sz w:val="18"/>
              </w:rPr>
              <w:t>Moist with Short Dry Season</w:t>
            </w:r>
          </w:p>
        </w:tc>
        <w:tc>
          <w:tcPr>
            <w:tcW w:w="1049" w:type="dxa"/>
          </w:tcPr>
          <w:p>
            <w:pPr>
              <w:pStyle w:val="TableParagraph"/>
              <w:spacing w:before="52"/>
              <w:ind w:left="113" w:right="96"/>
              <w:jc w:val="center"/>
              <w:rPr>
                <w:b/>
                <w:sz w:val="18"/>
              </w:rPr>
            </w:pPr>
            <w:r>
              <w:rPr>
                <w:b/>
                <w:sz w:val="18"/>
              </w:rPr>
              <w:t>Moist with Long Dry Season</w:t>
            </w:r>
          </w:p>
        </w:tc>
        <w:tc>
          <w:tcPr>
            <w:tcW w:w="1087" w:type="dxa"/>
          </w:tcPr>
          <w:p>
            <w:pPr>
              <w:pStyle w:val="TableParagraph"/>
              <w:spacing w:before="5"/>
              <w:rPr>
                <w:sz w:val="22"/>
              </w:rPr>
            </w:pPr>
          </w:p>
          <w:p>
            <w:pPr>
              <w:pStyle w:val="TableParagraph"/>
              <w:spacing w:before="1"/>
              <w:ind w:left="89" w:right="81"/>
              <w:jc w:val="center"/>
              <w:rPr>
                <w:b/>
                <w:sz w:val="18"/>
              </w:rPr>
            </w:pPr>
            <w:r>
              <w:rPr>
                <w:b/>
                <w:sz w:val="18"/>
              </w:rPr>
              <w:t>Dry</w:t>
            </w:r>
          </w:p>
        </w:tc>
        <w:tc>
          <w:tcPr>
            <w:tcW w:w="1087" w:type="dxa"/>
          </w:tcPr>
          <w:p>
            <w:pPr>
              <w:pStyle w:val="TableParagraph"/>
              <w:spacing w:before="155"/>
              <w:ind w:left="321" w:right="169" w:hanging="123"/>
              <w:rPr>
                <w:b/>
                <w:sz w:val="18"/>
              </w:rPr>
            </w:pPr>
            <w:r>
              <w:rPr>
                <w:b/>
                <w:sz w:val="18"/>
              </w:rPr>
              <w:t>Montane Moist</w:t>
            </w:r>
          </w:p>
        </w:tc>
        <w:tc>
          <w:tcPr>
            <w:tcW w:w="1077" w:type="dxa"/>
          </w:tcPr>
          <w:p>
            <w:pPr>
              <w:pStyle w:val="TableParagraph"/>
              <w:spacing w:before="155"/>
              <w:ind w:left="389" w:right="160" w:hanging="192"/>
              <w:rPr>
                <w:b/>
                <w:sz w:val="18"/>
              </w:rPr>
            </w:pPr>
            <w:r>
              <w:rPr>
                <w:b/>
                <w:sz w:val="18"/>
              </w:rPr>
              <w:t>Montane Dry</w:t>
            </w:r>
          </w:p>
        </w:tc>
      </w:tr>
      <w:tr>
        <w:trPr>
          <w:trHeight w:val="273" w:hRule="atLeast"/>
        </w:trPr>
        <w:tc>
          <w:tcPr>
            <w:tcW w:w="1500" w:type="dxa"/>
            <w:vMerge/>
            <w:tcBorders>
              <w:top w:val="nil"/>
            </w:tcBorders>
          </w:tcPr>
          <w:p>
            <w:pPr>
              <w:rPr>
                <w:sz w:val="2"/>
                <w:szCs w:val="2"/>
              </w:rPr>
            </w:pPr>
          </w:p>
        </w:tc>
        <w:tc>
          <w:tcPr>
            <w:tcW w:w="1063" w:type="dxa"/>
            <w:vMerge/>
            <w:tcBorders>
              <w:top w:val="nil"/>
            </w:tcBorders>
          </w:tcPr>
          <w:p>
            <w:pPr>
              <w:rPr>
                <w:sz w:val="2"/>
                <w:szCs w:val="2"/>
              </w:rPr>
            </w:pPr>
          </w:p>
        </w:tc>
        <w:tc>
          <w:tcPr>
            <w:tcW w:w="1027" w:type="dxa"/>
          </w:tcPr>
          <w:p>
            <w:pPr>
              <w:pStyle w:val="TableParagraph"/>
              <w:spacing w:before="33"/>
              <w:ind w:left="118" w:right="110"/>
              <w:jc w:val="center"/>
              <w:rPr>
                <w:b/>
                <w:sz w:val="18"/>
              </w:rPr>
            </w:pPr>
            <w:r>
              <w:rPr>
                <w:b/>
                <w:sz w:val="18"/>
              </w:rPr>
              <w:t>R &gt;2000</w:t>
            </w:r>
          </w:p>
        </w:tc>
        <w:tc>
          <w:tcPr>
            <w:tcW w:w="2172" w:type="dxa"/>
            <w:gridSpan w:val="2"/>
          </w:tcPr>
          <w:p>
            <w:pPr>
              <w:pStyle w:val="TableParagraph"/>
              <w:spacing w:before="33"/>
              <w:ind w:left="557"/>
              <w:rPr>
                <w:b/>
                <w:sz w:val="18"/>
              </w:rPr>
            </w:pPr>
            <w:r>
              <w:rPr>
                <w:b/>
                <w:sz w:val="18"/>
              </w:rPr>
              <w:t>2000&gt;R&gt;1000</w:t>
            </w:r>
          </w:p>
        </w:tc>
        <w:tc>
          <w:tcPr>
            <w:tcW w:w="1087" w:type="dxa"/>
          </w:tcPr>
          <w:p>
            <w:pPr>
              <w:pStyle w:val="TableParagraph"/>
              <w:spacing w:before="33"/>
              <w:ind w:left="89" w:right="75"/>
              <w:jc w:val="center"/>
              <w:rPr>
                <w:b/>
                <w:sz w:val="18"/>
              </w:rPr>
            </w:pPr>
            <w:r>
              <w:rPr>
                <w:b/>
                <w:sz w:val="18"/>
              </w:rPr>
              <w:t>R&lt;1000</w:t>
            </w:r>
          </w:p>
        </w:tc>
        <w:tc>
          <w:tcPr>
            <w:tcW w:w="1087" w:type="dxa"/>
          </w:tcPr>
          <w:p>
            <w:pPr>
              <w:pStyle w:val="TableParagraph"/>
              <w:spacing w:before="33"/>
              <w:ind w:left="89" w:right="79"/>
              <w:jc w:val="center"/>
              <w:rPr>
                <w:b/>
                <w:sz w:val="18"/>
              </w:rPr>
            </w:pPr>
            <w:r>
              <w:rPr>
                <w:b/>
                <w:sz w:val="18"/>
              </w:rPr>
              <w:t>R&gt;1000</w:t>
            </w:r>
          </w:p>
        </w:tc>
        <w:tc>
          <w:tcPr>
            <w:tcW w:w="1077" w:type="dxa"/>
          </w:tcPr>
          <w:p>
            <w:pPr>
              <w:pStyle w:val="TableParagraph"/>
              <w:spacing w:before="33"/>
              <w:ind w:left="101" w:right="86"/>
              <w:jc w:val="center"/>
              <w:rPr>
                <w:b/>
                <w:sz w:val="18"/>
              </w:rPr>
            </w:pPr>
            <w:r>
              <w:rPr>
                <w:b/>
                <w:sz w:val="18"/>
              </w:rPr>
              <w:t>R&lt;1000</w:t>
            </w:r>
          </w:p>
        </w:tc>
      </w:tr>
      <w:tr>
        <w:trPr>
          <w:trHeight w:val="301" w:hRule="atLeast"/>
        </w:trPr>
        <w:tc>
          <w:tcPr>
            <w:tcW w:w="1500" w:type="dxa"/>
            <w:tcBorders>
              <w:bottom w:val="nil"/>
            </w:tcBorders>
          </w:tcPr>
          <w:p>
            <w:pPr>
              <w:pStyle w:val="TableParagraph"/>
              <w:spacing w:before="47"/>
              <w:ind w:left="54"/>
              <w:rPr>
                <w:b/>
                <w:sz w:val="18"/>
              </w:rPr>
            </w:pPr>
            <w:r>
              <w:rPr>
                <w:b/>
                <w:sz w:val="18"/>
              </w:rPr>
              <w:t>Africa</w:t>
            </w:r>
          </w:p>
        </w:tc>
        <w:tc>
          <w:tcPr>
            <w:tcW w:w="1063" w:type="dxa"/>
            <w:tcBorders>
              <w:bottom w:val="nil"/>
            </w:tcBorders>
          </w:tcPr>
          <w:p>
            <w:pPr>
              <w:pStyle w:val="TableParagraph"/>
              <w:rPr>
                <w:sz w:val="16"/>
              </w:rPr>
            </w:pPr>
          </w:p>
        </w:tc>
        <w:tc>
          <w:tcPr>
            <w:tcW w:w="1027" w:type="dxa"/>
            <w:tcBorders>
              <w:bottom w:val="nil"/>
            </w:tcBorders>
          </w:tcPr>
          <w:p>
            <w:pPr>
              <w:pStyle w:val="TableParagraph"/>
              <w:rPr>
                <w:sz w:val="16"/>
              </w:rPr>
            </w:pPr>
          </w:p>
        </w:tc>
        <w:tc>
          <w:tcPr>
            <w:tcW w:w="1123" w:type="dxa"/>
            <w:tcBorders>
              <w:bottom w:val="nil"/>
            </w:tcBorders>
          </w:tcPr>
          <w:p>
            <w:pPr>
              <w:pStyle w:val="TableParagraph"/>
              <w:rPr>
                <w:sz w:val="16"/>
              </w:rPr>
            </w:pPr>
          </w:p>
        </w:tc>
        <w:tc>
          <w:tcPr>
            <w:tcW w:w="1049" w:type="dxa"/>
            <w:tcBorders>
              <w:bottom w:val="nil"/>
            </w:tcBorders>
          </w:tcPr>
          <w:p>
            <w:pPr>
              <w:pStyle w:val="TableParagraph"/>
              <w:rPr>
                <w:sz w:val="16"/>
              </w:rPr>
            </w:pPr>
          </w:p>
        </w:tc>
        <w:tc>
          <w:tcPr>
            <w:tcW w:w="1087" w:type="dxa"/>
            <w:tcBorders>
              <w:bottom w:val="nil"/>
            </w:tcBorders>
          </w:tcPr>
          <w:p>
            <w:pPr>
              <w:pStyle w:val="TableParagraph"/>
              <w:rPr>
                <w:sz w:val="16"/>
              </w:rPr>
            </w:pPr>
          </w:p>
        </w:tc>
        <w:tc>
          <w:tcPr>
            <w:tcW w:w="1087" w:type="dxa"/>
            <w:tcBorders>
              <w:bottom w:val="nil"/>
            </w:tcBorders>
          </w:tcPr>
          <w:p>
            <w:pPr>
              <w:pStyle w:val="TableParagraph"/>
              <w:rPr>
                <w:sz w:val="16"/>
              </w:rPr>
            </w:pPr>
          </w:p>
        </w:tc>
        <w:tc>
          <w:tcPr>
            <w:tcW w:w="1077" w:type="dxa"/>
            <w:tcBorders>
              <w:bottom w:val="nil"/>
            </w:tcBorders>
          </w:tcPr>
          <w:p>
            <w:pPr>
              <w:pStyle w:val="TableParagraph"/>
              <w:rPr>
                <w:sz w:val="16"/>
              </w:rPr>
            </w:pPr>
          </w:p>
        </w:tc>
      </w:tr>
      <w:tr>
        <w:trPr>
          <w:trHeight w:val="481" w:hRule="atLeast"/>
        </w:trPr>
        <w:tc>
          <w:tcPr>
            <w:tcW w:w="1500" w:type="dxa"/>
            <w:tcBorders>
              <w:top w:val="nil"/>
              <w:bottom w:val="nil"/>
            </w:tcBorders>
          </w:tcPr>
          <w:p>
            <w:pPr>
              <w:pStyle w:val="TableParagraph"/>
              <w:spacing w:before="120"/>
              <w:ind w:left="54"/>
              <w:rPr>
                <w:sz w:val="18"/>
              </w:rPr>
            </w:pPr>
            <w:r>
              <w:rPr>
                <w:sz w:val="18"/>
              </w:rPr>
              <w:t>Eucalyptus spp</w:t>
            </w:r>
          </w:p>
        </w:tc>
        <w:tc>
          <w:tcPr>
            <w:tcW w:w="1063" w:type="dxa"/>
            <w:tcBorders>
              <w:top w:val="nil"/>
              <w:bottom w:val="nil"/>
            </w:tcBorders>
          </w:tcPr>
          <w:p>
            <w:pPr>
              <w:pStyle w:val="TableParagraph"/>
              <w:spacing w:before="125"/>
              <w:ind w:left="167" w:right="136"/>
              <w:jc w:val="center"/>
              <w:rPr>
                <w:sz w:val="18"/>
              </w:rPr>
            </w:pPr>
            <w:r>
              <w:rPr>
                <w:rFonts w:ascii="Symbol" w:hAnsi="Symbol"/>
                <w:sz w:val="18"/>
              </w:rPr>
              <w:t>≤</w:t>
            </w:r>
            <w:r>
              <w:rPr>
                <w:sz w:val="18"/>
              </w:rPr>
              <w:t>20 years</w:t>
            </w:r>
          </w:p>
        </w:tc>
        <w:tc>
          <w:tcPr>
            <w:tcW w:w="1027" w:type="dxa"/>
            <w:tcBorders>
              <w:top w:val="nil"/>
              <w:bottom w:val="nil"/>
            </w:tcBorders>
          </w:tcPr>
          <w:p>
            <w:pPr>
              <w:pStyle w:val="TableParagraph"/>
              <w:spacing w:before="132"/>
              <w:ind w:left="34"/>
              <w:jc w:val="center"/>
              <w:rPr>
                <w:sz w:val="16"/>
              </w:rPr>
            </w:pPr>
            <w:r>
              <w:rPr>
                <w:w w:val="100"/>
                <w:sz w:val="16"/>
              </w:rPr>
              <w:t>-</w:t>
            </w:r>
          </w:p>
        </w:tc>
        <w:tc>
          <w:tcPr>
            <w:tcW w:w="1123" w:type="dxa"/>
            <w:tcBorders>
              <w:top w:val="nil"/>
              <w:bottom w:val="nil"/>
            </w:tcBorders>
          </w:tcPr>
          <w:p>
            <w:pPr>
              <w:pStyle w:val="TableParagraph"/>
              <w:spacing w:before="132"/>
              <w:ind w:right="392"/>
              <w:jc w:val="right"/>
              <w:rPr>
                <w:sz w:val="16"/>
              </w:rPr>
            </w:pPr>
            <w:r>
              <w:rPr>
                <w:sz w:val="16"/>
              </w:rPr>
              <w:t>20.0</w:t>
            </w:r>
          </w:p>
        </w:tc>
        <w:tc>
          <w:tcPr>
            <w:tcW w:w="1049" w:type="dxa"/>
            <w:tcBorders>
              <w:top w:val="nil"/>
              <w:bottom w:val="nil"/>
            </w:tcBorders>
          </w:tcPr>
          <w:p>
            <w:pPr>
              <w:pStyle w:val="TableParagraph"/>
              <w:spacing w:before="132"/>
              <w:ind w:left="396"/>
              <w:rPr>
                <w:sz w:val="16"/>
              </w:rPr>
            </w:pPr>
            <w:r>
              <w:rPr>
                <w:sz w:val="16"/>
              </w:rPr>
              <w:t>12.6</w:t>
            </w:r>
          </w:p>
        </w:tc>
        <w:tc>
          <w:tcPr>
            <w:tcW w:w="1087" w:type="dxa"/>
            <w:tcBorders>
              <w:top w:val="nil"/>
              <w:bottom w:val="nil"/>
            </w:tcBorders>
          </w:tcPr>
          <w:p>
            <w:pPr>
              <w:pStyle w:val="TableParagraph"/>
              <w:spacing w:line="183" w:lineRule="exact" w:before="40"/>
              <w:ind w:left="89" w:right="54"/>
              <w:jc w:val="center"/>
              <w:rPr>
                <w:sz w:val="16"/>
              </w:rPr>
            </w:pPr>
            <w:r>
              <w:rPr>
                <w:sz w:val="16"/>
              </w:rPr>
              <w:t>5.1</w:t>
            </w:r>
          </w:p>
          <w:p>
            <w:pPr>
              <w:pStyle w:val="TableParagraph"/>
              <w:spacing w:line="183" w:lineRule="exact"/>
              <w:ind w:left="89" w:right="52"/>
              <w:jc w:val="center"/>
              <w:rPr>
                <w:sz w:val="16"/>
              </w:rPr>
            </w:pPr>
            <w:r>
              <w:rPr>
                <w:sz w:val="16"/>
              </w:rPr>
              <w:t>(3.0-7.0)</w:t>
            </w:r>
          </w:p>
        </w:tc>
        <w:tc>
          <w:tcPr>
            <w:tcW w:w="1087" w:type="dxa"/>
            <w:tcBorders>
              <w:top w:val="nil"/>
              <w:bottom w:val="nil"/>
            </w:tcBorders>
          </w:tcPr>
          <w:p>
            <w:pPr>
              <w:pStyle w:val="TableParagraph"/>
              <w:spacing w:before="132"/>
              <w:ind w:left="38"/>
              <w:jc w:val="center"/>
              <w:rPr>
                <w:sz w:val="16"/>
              </w:rPr>
            </w:pPr>
            <w:r>
              <w:rPr>
                <w:w w:val="100"/>
                <w:sz w:val="16"/>
              </w:rPr>
              <w:t>-</w:t>
            </w:r>
          </w:p>
        </w:tc>
        <w:tc>
          <w:tcPr>
            <w:tcW w:w="1077" w:type="dxa"/>
            <w:tcBorders>
              <w:top w:val="nil"/>
              <w:bottom w:val="nil"/>
            </w:tcBorders>
          </w:tcPr>
          <w:p>
            <w:pPr>
              <w:pStyle w:val="TableParagraph"/>
              <w:spacing w:before="132"/>
              <w:ind w:left="38"/>
              <w:jc w:val="center"/>
              <w:rPr>
                <w:sz w:val="16"/>
              </w:rPr>
            </w:pPr>
            <w:r>
              <w:rPr>
                <w:w w:val="100"/>
                <w:sz w:val="16"/>
              </w:rPr>
              <w:t>-</w:t>
            </w:r>
          </w:p>
        </w:tc>
      </w:tr>
      <w:tr>
        <w:trPr>
          <w:trHeight w:val="487" w:hRule="atLeast"/>
        </w:trPr>
        <w:tc>
          <w:tcPr>
            <w:tcW w:w="1500" w:type="dxa"/>
            <w:tcBorders>
              <w:top w:val="nil"/>
              <w:bottom w:val="nil"/>
            </w:tcBorders>
          </w:tcPr>
          <w:p>
            <w:pPr>
              <w:pStyle w:val="TableParagraph"/>
              <w:rPr>
                <w:sz w:val="16"/>
              </w:rPr>
            </w:pPr>
          </w:p>
        </w:tc>
        <w:tc>
          <w:tcPr>
            <w:tcW w:w="1063" w:type="dxa"/>
            <w:tcBorders>
              <w:top w:val="nil"/>
              <w:bottom w:val="nil"/>
            </w:tcBorders>
          </w:tcPr>
          <w:p>
            <w:pPr>
              <w:pStyle w:val="TableParagraph"/>
              <w:spacing w:before="148"/>
              <w:ind w:left="170" w:right="136"/>
              <w:jc w:val="center"/>
              <w:rPr>
                <w:sz w:val="18"/>
              </w:rPr>
            </w:pPr>
            <w:r>
              <w:rPr>
                <w:sz w:val="18"/>
              </w:rPr>
              <w:t>&gt;20 years</w:t>
            </w:r>
          </w:p>
        </w:tc>
        <w:tc>
          <w:tcPr>
            <w:tcW w:w="1027" w:type="dxa"/>
            <w:tcBorders>
              <w:top w:val="nil"/>
              <w:bottom w:val="nil"/>
            </w:tcBorders>
          </w:tcPr>
          <w:p>
            <w:pPr>
              <w:pStyle w:val="TableParagraph"/>
              <w:spacing w:before="159"/>
              <w:ind w:left="34"/>
              <w:jc w:val="center"/>
              <w:rPr>
                <w:sz w:val="16"/>
              </w:rPr>
            </w:pPr>
            <w:r>
              <w:rPr>
                <w:w w:val="100"/>
                <w:sz w:val="16"/>
              </w:rPr>
              <w:t>-</w:t>
            </w:r>
          </w:p>
        </w:tc>
        <w:tc>
          <w:tcPr>
            <w:tcW w:w="1123" w:type="dxa"/>
            <w:tcBorders>
              <w:top w:val="nil"/>
              <w:bottom w:val="nil"/>
            </w:tcBorders>
          </w:tcPr>
          <w:p>
            <w:pPr>
              <w:pStyle w:val="TableParagraph"/>
              <w:spacing w:before="159"/>
              <w:ind w:right="394"/>
              <w:jc w:val="right"/>
              <w:rPr>
                <w:sz w:val="16"/>
              </w:rPr>
            </w:pPr>
            <w:r>
              <w:rPr>
                <w:sz w:val="16"/>
              </w:rPr>
              <w:t>25.0</w:t>
            </w:r>
          </w:p>
        </w:tc>
        <w:tc>
          <w:tcPr>
            <w:tcW w:w="1049" w:type="dxa"/>
            <w:tcBorders>
              <w:top w:val="nil"/>
              <w:bottom w:val="nil"/>
            </w:tcBorders>
          </w:tcPr>
          <w:p>
            <w:pPr>
              <w:pStyle w:val="TableParagraph"/>
              <w:spacing w:before="159"/>
              <w:ind w:left="37"/>
              <w:jc w:val="center"/>
              <w:rPr>
                <w:sz w:val="16"/>
              </w:rPr>
            </w:pPr>
            <w:r>
              <w:rPr>
                <w:w w:val="100"/>
                <w:sz w:val="16"/>
              </w:rPr>
              <w:t>-</w:t>
            </w:r>
          </w:p>
        </w:tc>
        <w:tc>
          <w:tcPr>
            <w:tcW w:w="1087" w:type="dxa"/>
            <w:tcBorders>
              <w:top w:val="nil"/>
              <w:bottom w:val="nil"/>
            </w:tcBorders>
          </w:tcPr>
          <w:p>
            <w:pPr>
              <w:pStyle w:val="TableParagraph"/>
              <w:spacing w:before="68"/>
              <w:ind w:left="89" w:right="54"/>
              <w:jc w:val="center"/>
              <w:rPr>
                <w:sz w:val="16"/>
              </w:rPr>
            </w:pPr>
            <w:r>
              <w:rPr>
                <w:sz w:val="16"/>
              </w:rPr>
              <w:t>8.0</w:t>
            </w:r>
          </w:p>
          <w:p>
            <w:pPr>
              <w:pStyle w:val="TableParagraph"/>
              <w:spacing w:before="1"/>
              <w:ind w:left="89" w:right="53"/>
              <w:jc w:val="center"/>
              <w:rPr>
                <w:sz w:val="16"/>
              </w:rPr>
            </w:pPr>
            <w:r>
              <w:rPr>
                <w:sz w:val="16"/>
              </w:rPr>
              <w:t>(4.9-13.6)</w:t>
            </w:r>
          </w:p>
        </w:tc>
        <w:tc>
          <w:tcPr>
            <w:tcW w:w="1087" w:type="dxa"/>
            <w:tcBorders>
              <w:top w:val="nil"/>
              <w:bottom w:val="nil"/>
            </w:tcBorders>
          </w:tcPr>
          <w:p>
            <w:pPr>
              <w:pStyle w:val="TableParagraph"/>
              <w:spacing w:before="159"/>
              <w:ind w:left="38"/>
              <w:jc w:val="center"/>
              <w:rPr>
                <w:sz w:val="16"/>
              </w:rPr>
            </w:pPr>
            <w:r>
              <w:rPr>
                <w:w w:val="100"/>
                <w:sz w:val="16"/>
              </w:rPr>
              <w:t>-</w:t>
            </w:r>
          </w:p>
        </w:tc>
        <w:tc>
          <w:tcPr>
            <w:tcW w:w="1077" w:type="dxa"/>
            <w:tcBorders>
              <w:top w:val="nil"/>
              <w:bottom w:val="nil"/>
            </w:tcBorders>
          </w:tcPr>
          <w:p>
            <w:pPr>
              <w:pStyle w:val="TableParagraph"/>
              <w:spacing w:before="159"/>
              <w:ind w:left="38"/>
              <w:jc w:val="center"/>
              <w:rPr>
                <w:sz w:val="16"/>
              </w:rPr>
            </w:pPr>
            <w:r>
              <w:rPr>
                <w:w w:val="100"/>
                <w:sz w:val="16"/>
              </w:rPr>
              <w:t>-</w:t>
            </w:r>
          </w:p>
        </w:tc>
      </w:tr>
      <w:tr>
        <w:trPr>
          <w:trHeight w:val="317" w:hRule="atLeast"/>
        </w:trPr>
        <w:tc>
          <w:tcPr>
            <w:tcW w:w="1500" w:type="dxa"/>
            <w:tcBorders>
              <w:top w:val="nil"/>
              <w:bottom w:val="nil"/>
            </w:tcBorders>
          </w:tcPr>
          <w:p>
            <w:pPr>
              <w:pStyle w:val="TableParagraph"/>
              <w:spacing w:before="59"/>
              <w:ind w:left="54"/>
              <w:rPr>
                <w:sz w:val="18"/>
              </w:rPr>
            </w:pPr>
            <w:r>
              <w:rPr>
                <w:sz w:val="18"/>
              </w:rPr>
              <w:t>Pinus sp</w:t>
            </w:r>
          </w:p>
        </w:tc>
        <w:tc>
          <w:tcPr>
            <w:tcW w:w="1063" w:type="dxa"/>
            <w:tcBorders>
              <w:top w:val="nil"/>
              <w:bottom w:val="nil"/>
            </w:tcBorders>
          </w:tcPr>
          <w:p>
            <w:pPr>
              <w:pStyle w:val="TableParagraph"/>
              <w:spacing w:before="64"/>
              <w:ind w:left="167" w:right="136"/>
              <w:jc w:val="center"/>
              <w:rPr>
                <w:sz w:val="18"/>
              </w:rPr>
            </w:pPr>
            <w:r>
              <w:rPr>
                <w:rFonts w:ascii="Symbol" w:hAnsi="Symbol"/>
                <w:sz w:val="18"/>
              </w:rPr>
              <w:t>≤</w:t>
            </w:r>
            <w:r>
              <w:rPr>
                <w:sz w:val="18"/>
              </w:rPr>
              <w:t>20 years</w:t>
            </w:r>
          </w:p>
        </w:tc>
        <w:tc>
          <w:tcPr>
            <w:tcW w:w="1027" w:type="dxa"/>
            <w:tcBorders>
              <w:top w:val="nil"/>
              <w:bottom w:val="nil"/>
            </w:tcBorders>
          </w:tcPr>
          <w:p>
            <w:pPr>
              <w:pStyle w:val="TableParagraph"/>
              <w:spacing w:before="68"/>
              <w:ind w:left="133" w:right="99"/>
              <w:jc w:val="center"/>
              <w:rPr>
                <w:sz w:val="16"/>
              </w:rPr>
            </w:pPr>
            <w:r>
              <w:rPr>
                <w:sz w:val="16"/>
              </w:rPr>
              <w:t>18.0</w:t>
            </w:r>
          </w:p>
        </w:tc>
        <w:tc>
          <w:tcPr>
            <w:tcW w:w="1123" w:type="dxa"/>
            <w:tcBorders>
              <w:top w:val="nil"/>
              <w:bottom w:val="nil"/>
            </w:tcBorders>
          </w:tcPr>
          <w:p>
            <w:pPr>
              <w:pStyle w:val="TableParagraph"/>
              <w:spacing w:before="68"/>
              <w:ind w:right="392"/>
              <w:jc w:val="right"/>
              <w:rPr>
                <w:sz w:val="16"/>
              </w:rPr>
            </w:pPr>
            <w:r>
              <w:rPr>
                <w:sz w:val="16"/>
              </w:rPr>
              <w:t>12.0</w:t>
            </w:r>
          </w:p>
        </w:tc>
        <w:tc>
          <w:tcPr>
            <w:tcW w:w="1049" w:type="dxa"/>
            <w:tcBorders>
              <w:top w:val="nil"/>
              <w:bottom w:val="nil"/>
            </w:tcBorders>
          </w:tcPr>
          <w:p>
            <w:pPr>
              <w:pStyle w:val="TableParagraph"/>
              <w:spacing w:before="68"/>
              <w:ind w:left="437"/>
              <w:rPr>
                <w:sz w:val="16"/>
              </w:rPr>
            </w:pPr>
            <w:r>
              <w:rPr>
                <w:sz w:val="16"/>
              </w:rPr>
              <w:t>8.0</w:t>
            </w:r>
          </w:p>
        </w:tc>
        <w:tc>
          <w:tcPr>
            <w:tcW w:w="1087" w:type="dxa"/>
            <w:tcBorders>
              <w:top w:val="nil"/>
              <w:bottom w:val="nil"/>
            </w:tcBorders>
          </w:tcPr>
          <w:p>
            <w:pPr>
              <w:pStyle w:val="TableParagraph"/>
              <w:spacing w:before="68"/>
              <w:ind w:left="89" w:right="51"/>
              <w:jc w:val="center"/>
              <w:rPr>
                <w:sz w:val="16"/>
              </w:rPr>
            </w:pPr>
            <w:r>
              <w:rPr>
                <w:sz w:val="16"/>
              </w:rPr>
              <w:t>3.3 (0.5-6.0)</w:t>
            </w:r>
          </w:p>
        </w:tc>
        <w:tc>
          <w:tcPr>
            <w:tcW w:w="1087" w:type="dxa"/>
            <w:tcBorders>
              <w:top w:val="nil"/>
              <w:bottom w:val="nil"/>
            </w:tcBorders>
          </w:tcPr>
          <w:p>
            <w:pPr>
              <w:pStyle w:val="TableParagraph"/>
              <w:spacing w:before="68"/>
              <w:ind w:left="39"/>
              <w:jc w:val="center"/>
              <w:rPr>
                <w:sz w:val="16"/>
              </w:rPr>
            </w:pPr>
            <w:r>
              <w:rPr>
                <w:w w:val="100"/>
                <w:sz w:val="16"/>
              </w:rPr>
              <w:t>-</w:t>
            </w:r>
          </w:p>
        </w:tc>
        <w:tc>
          <w:tcPr>
            <w:tcW w:w="1077" w:type="dxa"/>
            <w:tcBorders>
              <w:top w:val="nil"/>
              <w:bottom w:val="nil"/>
            </w:tcBorders>
          </w:tcPr>
          <w:p>
            <w:pPr>
              <w:pStyle w:val="TableParagraph"/>
              <w:spacing w:before="68"/>
              <w:ind w:left="40"/>
              <w:jc w:val="center"/>
              <w:rPr>
                <w:sz w:val="16"/>
              </w:rPr>
            </w:pPr>
            <w:r>
              <w:rPr>
                <w:w w:val="100"/>
                <w:sz w:val="16"/>
              </w:rPr>
              <w:t>-</w:t>
            </w:r>
          </w:p>
        </w:tc>
      </w:tr>
      <w:tr>
        <w:trPr>
          <w:trHeight w:val="289" w:hRule="atLeast"/>
        </w:trPr>
        <w:tc>
          <w:tcPr>
            <w:tcW w:w="1500" w:type="dxa"/>
            <w:tcBorders>
              <w:top w:val="nil"/>
              <w:bottom w:val="nil"/>
            </w:tcBorders>
          </w:tcPr>
          <w:p>
            <w:pPr>
              <w:pStyle w:val="TableParagraph"/>
              <w:rPr>
                <w:sz w:val="16"/>
              </w:rPr>
            </w:pPr>
          </w:p>
        </w:tc>
        <w:tc>
          <w:tcPr>
            <w:tcW w:w="1063" w:type="dxa"/>
            <w:tcBorders>
              <w:top w:val="nil"/>
              <w:bottom w:val="nil"/>
            </w:tcBorders>
          </w:tcPr>
          <w:p>
            <w:pPr>
              <w:pStyle w:val="TableParagraph"/>
              <w:spacing w:before="25"/>
              <w:ind w:left="170" w:right="136"/>
              <w:jc w:val="center"/>
              <w:rPr>
                <w:sz w:val="18"/>
              </w:rPr>
            </w:pPr>
            <w:r>
              <w:rPr>
                <w:sz w:val="18"/>
              </w:rPr>
              <w:t>&gt;20 years</w:t>
            </w:r>
          </w:p>
        </w:tc>
        <w:tc>
          <w:tcPr>
            <w:tcW w:w="1027" w:type="dxa"/>
            <w:tcBorders>
              <w:top w:val="nil"/>
              <w:bottom w:val="nil"/>
            </w:tcBorders>
          </w:tcPr>
          <w:p>
            <w:pPr>
              <w:pStyle w:val="TableParagraph"/>
              <w:rPr>
                <w:sz w:val="16"/>
              </w:rPr>
            </w:pPr>
          </w:p>
        </w:tc>
        <w:tc>
          <w:tcPr>
            <w:tcW w:w="1123" w:type="dxa"/>
            <w:tcBorders>
              <w:top w:val="nil"/>
              <w:bottom w:val="nil"/>
            </w:tcBorders>
          </w:tcPr>
          <w:p>
            <w:pPr>
              <w:pStyle w:val="TableParagraph"/>
              <w:spacing w:before="34"/>
              <w:ind w:right="392"/>
              <w:jc w:val="right"/>
              <w:rPr>
                <w:sz w:val="16"/>
              </w:rPr>
            </w:pPr>
            <w:r>
              <w:rPr>
                <w:sz w:val="16"/>
              </w:rPr>
              <w:t>15.0</w:t>
            </w:r>
          </w:p>
        </w:tc>
        <w:tc>
          <w:tcPr>
            <w:tcW w:w="1049" w:type="dxa"/>
            <w:tcBorders>
              <w:top w:val="nil"/>
              <w:bottom w:val="nil"/>
            </w:tcBorders>
          </w:tcPr>
          <w:p>
            <w:pPr>
              <w:pStyle w:val="TableParagraph"/>
              <w:spacing w:before="34"/>
              <w:ind w:left="396"/>
              <w:rPr>
                <w:sz w:val="16"/>
              </w:rPr>
            </w:pPr>
            <w:r>
              <w:rPr>
                <w:sz w:val="16"/>
              </w:rPr>
              <w:t>11.0</w:t>
            </w:r>
          </w:p>
        </w:tc>
        <w:tc>
          <w:tcPr>
            <w:tcW w:w="1087" w:type="dxa"/>
            <w:tcBorders>
              <w:top w:val="nil"/>
              <w:bottom w:val="nil"/>
            </w:tcBorders>
          </w:tcPr>
          <w:p>
            <w:pPr>
              <w:pStyle w:val="TableParagraph"/>
              <w:spacing w:before="34"/>
              <w:ind w:left="89" w:right="53"/>
              <w:jc w:val="center"/>
              <w:rPr>
                <w:sz w:val="16"/>
              </w:rPr>
            </w:pPr>
            <w:r>
              <w:rPr>
                <w:sz w:val="16"/>
              </w:rPr>
              <w:t>2.5</w:t>
            </w:r>
          </w:p>
        </w:tc>
        <w:tc>
          <w:tcPr>
            <w:tcW w:w="1087" w:type="dxa"/>
            <w:tcBorders>
              <w:top w:val="nil"/>
              <w:bottom w:val="nil"/>
            </w:tcBorders>
          </w:tcPr>
          <w:p>
            <w:pPr>
              <w:pStyle w:val="TableParagraph"/>
              <w:spacing w:before="34"/>
              <w:ind w:left="39"/>
              <w:jc w:val="center"/>
              <w:rPr>
                <w:sz w:val="16"/>
              </w:rPr>
            </w:pPr>
            <w:r>
              <w:rPr>
                <w:w w:val="100"/>
                <w:sz w:val="16"/>
              </w:rPr>
              <w:t>-</w:t>
            </w:r>
          </w:p>
        </w:tc>
        <w:tc>
          <w:tcPr>
            <w:tcW w:w="1077" w:type="dxa"/>
            <w:tcBorders>
              <w:top w:val="nil"/>
              <w:bottom w:val="nil"/>
            </w:tcBorders>
          </w:tcPr>
          <w:p>
            <w:pPr>
              <w:pStyle w:val="TableParagraph"/>
              <w:spacing w:before="34"/>
              <w:ind w:left="39"/>
              <w:jc w:val="center"/>
              <w:rPr>
                <w:sz w:val="16"/>
              </w:rPr>
            </w:pPr>
            <w:r>
              <w:rPr>
                <w:w w:val="100"/>
                <w:sz w:val="16"/>
              </w:rPr>
              <w:t>-</w:t>
            </w:r>
          </w:p>
        </w:tc>
      </w:tr>
      <w:tr>
        <w:trPr>
          <w:trHeight w:val="478" w:hRule="atLeast"/>
        </w:trPr>
        <w:tc>
          <w:tcPr>
            <w:tcW w:w="1500" w:type="dxa"/>
            <w:tcBorders>
              <w:top w:val="nil"/>
              <w:bottom w:val="nil"/>
            </w:tcBorders>
          </w:tcPr>
          <w:p>
            <w:pPr>
              <w:pStyle w:val="TableParagraph"/>
              <w:spacing w:before="131"/>
              <w:ind w:left="54"/>
              <w:rPr>
                <w:sz w:val="18"/>
              </w:rPr>
            </w:pPr>
            <w:r>
              <w:rPr>
                <w:sz w:val="18"/>
              </w:rPr>
              <w:t>others</w:t>
            </w:r>
          </w:p>
        </w:tc>
        <w:tc>
          <w:tcPr>
            <w:tcW w:w="1063" w:type="dxa"/>
            <w:tcBorders>
              <w:top w:val="nil"/>
              <w:bottom w:val="nil"/>
            </w:tcBorders>
          </w:tcPr>
          <w:p>
            <w:pPr>
              <w:pStyle w:val="TableParagraph"/>
              <w:spacing w:before="136"/>
              <w:ind w:left="167" w:right="136"/>
              <w:jc w:val="center"/>
              <w:rPr>
                <w:sz w:val="18"/>
              </w:rPr>
            </w:pPr>
            <w:r>
              <w:rPr>
                <w:rFonts w:ascii="Symbol" w:hAnsi="Symbol"/>
                <w:sz w:val="18"/>
              </w:rPr>
              <w:t>≤</w:t>
            </w:r>
            <w:r>
              <w:rPr>
                <w:sz w:val="18"/>
              </w:rPr>
              <w:t>20 years</w:t>
            </w:r>
          </w:p>
        </w:tc>
        <w:tc>
          <w:tcPr>
            <w:tcW w:w="1027" w:type="dxa"/>
            <w:tcBorders>
              <w:top w:val="nil"/>
              <w:bottom w:val="nil"/>
            </w:tcBorders>
          </w:tcPr>
          <w:p>
            <w:pPr>
              <w:pStyle w:val="TableParagraph"/>
              <w:spacing w:before="51"/>
              <w:ind w:left="133" w:right="101"/>
              <w:jc w:val="center"/>
              <w:rPr>
                <w:sz w:val="16"/>
              </w:rPr>
            </w:pPr>
            <w:r>
              <w:rPr>
                <w:sz w:val="16"/>
              </w:rPr>
              <w:t>6.5</w:t>
            </w:r>
          </w:p>
          <w:p>
            <w:pPr>
              <w:pStyle w:val="TableParagraph"/>
              <w:spacing w:before="1"/>
              <w:ind w:left="133" w:right="99"/>
              <w:jc w:val="center"/>
              <w:rPr>
                <w:sz w:val="16"/>
              </w:rPr>
            </w:pPr>
            <w:r>
              <w:rPr>
                <w:sz w:val="16"/>
              </w:rPr>
              <w:t>(5.0-8.0)</w:t>
            </w:r>
          </w:p>
        </w:tc>
        <w:tc>
          <w:tcPr>
            <w:tcW w:w="1123" w:type="dxa"/>
            <w:tcBorders>
              <w:top w:val="nil"/>
              <w:bottom w:val="nil"/>
            </w:tcBorders>
          </w:tcPr>
          <w:p>
            <w:pPr>
              <w:pStyle w:val="TableParagraph"/>
              <w:spacing w:before="51"/>
              <w:ind w:left="148" w:right="110"/>
              <w:jc w:val="center"/>
              <w:rPr>
                <w:sz w:val="16"/>
              </w:rPr>
            </w:pPr>
            <w:r>
              <w:rPr>
                <w:sz w:val="16"/>
              </w:rPr>
              <w:t>9.0</w:t>
            </w:r>
          </w:p>
          <w:p>
            <w:pPr>
              <w:pStyle w:val="TableParagraph"/>
              <w:spacing w:before="1"/>
              <w:ind w:left="148" w:right="109"/>
              <w:jc w:val="center"/>
              <w:rPr>
                <w:sz w:val="16"/>
              </w:rPr>
            </w:pPr>
            <w:r>
              <w:rPr>
                <w:sz w:val="16"/>
              </w:rPr>
              <w:t>(3.0-15.0)</w:t>
            </w:r>
          </w:p>
        </w:tc>
        <w:tc>
          <w:tcPr>
            <w:tcW w:w="1049" w:type="dxa"/>
            <w:tcBorders>
              <w:top w:val="nil"/>
              <w:bottom w:val="nil"/>
            </w:tcBorders>
          </w:tcPr>
          <w:p>
            <w:pPr>
              <w:pStyle w:val="TableParagraph"/>
              <w:spacing w:before="51"/>
              <w:ind w:left="113" w:right="72"/>
              <w:jc w:val="center"/>
              <w:rPr>
                <w:sz w:val="16"/>
              </w:rPr>
            </w:pPr>
            <w:r>
              <w:rPr>
                <w:sz w:val="16"/>
              </w:rPr>
              <w:t>10.0</w:t>
            </w:r>
          </w:p>
          <w:p>
            <w:pPr>
              <w:pStyle w:val="TableParagraph"/>
              <w:spacing w:before="1"/>
              <w:ind w:left="113" w:right="72"/>
              <w:jc w:val="center"/>
              <w:rPr>
                <w:sz w:val="16"/>
              </w:rPr>
            </w:pPr>
            <w:r>
              <w:rPr>
                <w:sz w:val="16"/>
              </w:rPr>
              <w:t>(4.0-16.0)</w:t>
            </w:r>
          </w:p>
        </w:tc>
        <w:tc>
          <w:tcPr>
            <w:tcW w:w="1087" w:type="dxa"/>
            <w:tcBorders>
              <w:top w:val="nil"/>
              <w:bottom w:val="nil"/>
            </w:tcBorders>
          </w:tcPr>
          <w:p>
            <w:pPr>
              <w:pStyle w:val="TableParagraph"/>
              <w:spacing w:before="142"/>
              <w:ind w:left="89" w:right="52"/>
              <w:jc w:val="center"/>
              <w:rPr>
                <w:sz w:val="16"/>
              </w:rPr>
            </w:pPr>
            <w:r>
              <w:rPr>
                <w:sz w:val="16"/>
              </w:rPr>
              <w:t>15.0</w:t>
            </w:r>
          </w:p>
        </w:tc>
        <w:tc>
          <w:tcPr>
            <w:tcW w:w="1087" w:type="dxa"/>
            <w:tcBorders>
              <w:top w:val="nil"/>
              <w:bottom w:val="nil"/>
            </w:tcBorders>
          </w:tcPr>
          <w:p>
            <w:pPr>
              <w:pStyle w:val="TableParagraph"/>
              <w:spacing w:before="142"/>
              <w:ind w:left="89" w:right="52"/>
              <w:jc w:val="center"/>
              <w:rPr>
                <w:sz w:val="16"/>
              </w:rPr>
            </w:pPr>
            <w:r>
              <w:rPr>
                <w:sz w:val="16"/>
              </w:rPr>
              <w:t>11.0</w:t>
            </w:r>
          </w:p>
        </w:tc>
        <w:tc>
          <w:tcPr>
            <w:tcW w:w="1077" w:type="dxa"/>
            <w:tcBorders>
              <w:top w:val="nil"/>
              <w:bottom w:val="nil"/>
            </w:tcBorders>
          </w:tcPr>
          <w:p>
            <w:pPr>
              <w:pStyle w:val="TableParagraph"/>
              <w:spacing w:before="142"/>
              <w:ind w:left="39"/>
              <w:jc w:val="center"/>
              <w:rPr>
                <w:sz w:val="16"/>
              </w:rPr>
            </w:pPr>
            <w:r>
              <w:rPr>
                <w:w w:val="100"/>
                <w:sz w:val="16"/>
              </w:rPr>
              <w:t>-</w:t>
            </w:r>
          </w:p>
        </w:tc>
      </w:tr>
      <w:tr>
        <w:trPr>
          <w:trHeight w:val="300" w:hRule="atLeast"/>
        </w:trPr>
        <w:tc>
          <w:tcPr>
            <w:tcW w:w="1500" w:type="dxa"/>
            <w:tcBorders>
              <w:top w:val="nil"/>
            </w:tcBorders>
          </w:tcPr>
          <w:p>
            <w:pPr>
              <w:pStyle w:val="TableParagraph"/>
              <w:rPr>
                <w:sz w:val="16"/>
              </w:rPr>
            </w:pPr>
          </w:p>
        </w:tc>
        <w:tc>
          <w:tcPr>
            <w:tcW w:w="1063" w:type="dxa"/>
            <w:tcBorders>
              <w:top w:val="nil"/>
            </w:tcBorders>
          </w:tcPr>
          <w:p>
            <w:pPr>
              <w:pStyle w:val="TableParagraph"/>
              <w:spacing w:before="50"/>
              <w:ind w:left="170" w:right="136"/>
              <w:jc w:val="center"/>
              <w:rPr>
                <w:sz w:val="18"/>
              </w:rPr>
            </w:pPr>
            <w:r>
              <w:rPr>
                <w:sz w:val="18"/>
              </w:rPr>
              <w:t>&gt;20 years</w:t>
            </w:r>
          </w:p>
        </w:tc>
        <w:tc>
          <w:tcPr>
            <w:tcW w:w="1027" w:type="dxa"/>
            <w:tcBorders>
              <w:top w:val="nil"/>
            </w:tcBorders>
          </w:tcPr>
          <w:p>
            <w:pPr>
              <w:pStyle w:val="TableParagraph"/>
              <w:spacing w:before="60"/>
              <w:ind w:left="34"/>
              <w:jc w:val="center"/>
              <w:rPr>
                <w:sz w:val="16"/>
              </w:rPr>
            </w:pPr>
            <w:r>
              <w:rPr>
                <w:w w:val="100"/>
                <w:sz w:val="16"/>
              </w:rPr>
              <w:t>-</w:t>
            </w:r>
          </w:p>
        </w:tc>
        <w:tc>
          <w:tcPr>
            <w:tcW w:w="1123" w:type="dxa"/>
            <w:tcBorders>
              <w:top w:val="nil"/>
            </w:tcBorders>
          </w:tcPr>
          <w:p>
            <w:pPr>
              <w:pStyle w:val="TableParagraph"/>
              <w:spacing w:before="60"/>
              <w:ind w:right="507"/>
              <w:jc w:val="right"/>
              <w:rPr>
                <w:sz w:val="16"/>
              </w:rPr>
            </w:pPr>
            <w:r>
              <w:rPr>
                <w:w w:val="100"/>
                <w:sz w:val="16"/>
              </w:rPr>
              <w:t>-</w:t>
            </w:r>
          </w:p>
        </w:tc>
        <w:tc>
          <w:tcPr>
            <w:tcW w:w="1049" w:type="dxa"/>
            <w:tcBorders>
              <w:top w:val="nil"/>
            </w:tcBorders>
          </w:tcPr>
          <w:p>
            <w:pPr>
              <w:pStyle w:val="TableParagraph"/>
              <w:spacing w:before="60"/>
              <w:ind w:left="37"/>
              <w:jc w:val="center"/>
              <w:rPr>
                <w:sz w:val="16"/>
              </w:rPr>
            </w:pPr>
            <w:r>
              <w:rPr>
                <w:w w:val="100"/>
                <w:sz w:val="16"/>
              </w:rPr>
              <w:t>-</w:t>
            </w:r>
          </w:p>
        </w:tc>
        <w:tc>
          <w:tcPr>
            <w:tcW w:w="1087" w:type="dxa"/>
            <w:tcBorders>
              <w:top w:val="nil"/>
            </w:tcBorders>
          </w:tcPr>
          <w:p>
            <w:pPr>
              <w:pStyle w:val="TableParagraph"/>
              <w:spacing w:before="60"/>
              <w:ind w:left="89" w:right="54"/>
              <w:jc w:val="center"/>
              <w:rPr>
                <w:sz w:val="16"/>
              </w:rPr>
            </w:pPr>
            <w:r>
              <w:rPr>
                <w:sz w:val="16"/>
              </w:rPr>
              <w:t>11.0</w:t>
            </w:r>
          </w:p>
        </w:tc>
        <w:tc>
          <w:tcPr>
            <w:tcW w:w="1087" w:type="dxa"/>
            <w:tcBorders>
              <w:top w:val="nil"/>
            </w:tcBorders>
          </w:tcPr>
          <w:p>
            <w:pPr>
              <w:pStyle w:val="TableParagraph"/>
              <w:spacing w:before="60"/>
              <w:ind w:left="38"/>
              <w:jc w:val="center"/>
              <w:rPr>
                <w:sz w:val="16"/>
              </w:rPr>
            </w:pPr>
            <w:r>
              <w:rPr>
                <w:w w:val="100"/>
                <w:sz w:val="16"/>
              </w:rPr>
              <w:t>-</w:t>
            </w:r>
          </w:p>
        </w:tc>
        <w:tc>
          <w:tcPr>
            <w:tcW w:w="1077" w:type="dxa"/>
            <w:tcBorders>
              <w:top w:val="nil"/>
            </w:tcBorders>
          </w:tcPr>
          <w:p>
            <w:pPr>
              <w:pStyle w:val="TableParagraph"/>
              <w:spacing w:before="60"/>
              <w:ind w:left="38"/>
              <w:jc w:val="center"/>
              <w:rPr>
                <w:sz w:val="16"/>
              </w:rPr>
            </w:pPr>
            <w:r>
              <w:rPr>
                <w:w w:val="100"/>
                <w:sz w:val="16"/>
              </w:rPr>
              <w:t>-</w:t>
            </w:r>
          </w:p>
        </w:tc>
      </w:tr>
      <w:tr>
        <w:trPr>
          <w:trHeight w:val="301" w:hRule="atLeast"/>
        </w:trPr>
        <w:tc>
          <w:tcPr>
            <w:tcW w:w="1500" w:type="dxa"/>
            <w:tcBorders>
              <w:bottom w:val="nil"/>
            </w:tcBorders>
          </w:tcPr>
          <w:p>
            <w:pPr>
              <w:pStyle w:val="TableParagraph"/>
              <w:spacing w:before="47"/>
              <w:ind w:left="54"/>
              <w:rPr>
                <w:b/>
                <w:sz w:val="18"/>
              </w:rPr>
            </w:pPr>
            <w:r>
              <w:rPr>
                <w:b/>
                <w:sz w:val="18"/>
              </w:rPr>
              <w:t>Asia</w:t>
            </w:r>
          </w:p>
        </w:tc>
        <w:tc>
          <w:tcPr>
            <w:tcW w:w="1063" w:type="dxa"/>
            <w:tcBorders>
              <w:bottom w:val="nil"/>
            </w:tcBorders>
          </w:tcPr>
          <w:p>
            <w:pPr>
              <w:pStyle w:val="TableParagraph"/>
              <w:rPr>
                <w:sz w:val="16"/>
              </w:rPr>
            </w:pPr>
          </w:p>
        </w:tc>
        <w:tc>
          <w:tcPr>
            <w:tcW w:w="1027" w:type="dxa"/>
            <w:tcBorders>
              <w:bottom w:val="nil"/>
            </w:tcBorders>
          </w:tcPr>
          <w:p>
            <w:pPr>
              <w:pStyle w:val="TableParagraph"/>
              <w:rPr>
                <w:sz w:val="16"/>
              </w:rPr>
            </w:pPr>
          </w:p>
        </w:tc>
        <w:tc>
          <w:tcPr>
            <w:tcW w:w="1123" w:type="dxa"/>
            <w:tcBorders>
              <w:bottom w:val="nil"/>
            </w:tcBorders>
          </w:tcPr>
          <w:p>
            <w:pPr>
              <w:pStyle w:val="TableParagraph"/>
              <w:rPr>
                <w:sz w:val="16"/>
              </w:rPr>
            </w:pPr>
          </w:p>
        </w:tc>
        <w:tc>
          <w:tcPr>
            <w:tcW w:w="1049" w:type="dxa"/>
            <w:tcBorders>
              <w:bottom w:val="nil"/>
            </w:tcBorders>
          </w:tcPr>
          <w:p>
            <w:pPr>
              <w:pStyle w:val="TableParagraph"/>
              <w:rPr>
                <w:sz w:val="16"/>
              </w:rPr>
            </w:pPr>
          </w:p>
        </w:tc>
        <w:tc>
          <w:tcPr>
            <w:tcW w:w="1087" w:type="dxa"/>
            <w:tcBorders>
              <w:bottom w:val="nil"/>
            </w:tcBorders>
          </w:tcPr>
          <w:p>
            <w:pPr>
              <w:pStyle w:val="TableParagraph"/>
              <w:rPr>
                <w:sz w:val="16"/>
              </w:rPr>
            </w:pPr>
          </w:p>
        </w:tc>
        <w:tc>
          <w:tcPr>
            <w:tcW w:w="1087" w:type="dxa"/>
            <w:tcBorders>
              <w:bottom w:val="nil"/>
            </w:tcBorders>
          </w:tcPr>
          <w:p>
            <w:pPr>
              <w:pStyle w:val="TableParagraph"/>
              <w:rPr>
                <w:sz w:val="16"/>
              </w:rPr>
            </w:pPr>
          </w:p>
        </w:tc>
        <w:tc>
          <w:tcPr>
            <w:tcW w:w="1077" w:type="dxa"/>
            <w:tcBorders>
              <w:bottom w:val="nil"/>
            </w:tcBorders>
          </w:tcPr>
          <w:p>
            <w:pPr>
              <w:pStyle w:val="TableParagraph"/>
              <w:rPr>
                <w:sz w:val="16"/>
              </w:rPr>
            </w:pPr>
          </w:p>
        </w:tc>
      </w:tr>
      <w:tr>
        <w:trPr>
          <w:trHeight w:val="503" w:hRule="atLeast"/>
        </w:trPr>
        <w:tc>
          <w:tcPr>
            <w:tcW w:w="1500" w:type="dxa"/>
            <w:tcBorders>
              <w:top w:val="nil"/>
              <w:bottom w:val="nil"/>
            </w:tcBorders>
          </w:tcPr>
          <w:p>
            <w:pPr>
              <w:pStyle w:val="TableParagraph"/>
              <w:spacing w:before="120"/>
              <w:ind w:left="54"/>
              <w:rPr>
                <w:sz w:val="18"/>
              </w:rPr>
            </w:pPr>
            <w:r>
              <w:rPr>
                <w:sz w:val="18"/>
              </w:rPr>
              <w:t>Eucalyptus spp</w:t>
            </w:r>
          </w:p>
        </w:tc>
        <w:tc>
          <w:tcPr>
            <w:tcW w:w="1063" w:type="dxa"/>
            <w:tcBorders>
              <w:top w:val="nil"/>
              <w:bottom w:val="nil"/>
            </w:tcBorders>
          </w:tcPr>
          <w:p>
            <w:pPr>
              <w:pStyle w:val="TableParagraph"/>
              <w:spacing w:before="120"/>
              <w:ind w:left="169" w:right="136"/>
              <w:jc w:val="center"/>
              <w:rPr>
                <w:sz w:val="18"/>
              </w:rPr>
            </w:pPr>
            <w:r>
              <w:rPr>
                <w:sz w:val="18"/>
              </w:rPr>
              <w:t>All</w:t>
            </w:r>
          </w:p>
        </w:tc>
        <w:tc>
          <w:tcPr>
            <w:tcW w:w="1027" w:type="dxa"/>
            <w:tcBorders>
              <w:top w:val="nil"/>
              <w:bottom w:val="nil"/>
            </w:tcBorders>
          </w:tcPr>
          <w:p>
            <w:pPr>
              <w:pStyle w:val="TableParagraph"/>
              <w:spacing w:line="183" w:lineRule="exact" w:before="41"/>
              <w:ind w:left="133" w:right="101"/>
              <w:jc w:val="center"/>
              <w:rPr>
                <w:sz w:val="16"/>
              </w:rPr>
            </w:pPr>
            <w:r>
              <w:rPr>
                <w:sz w:val="16"/>
              </w:rPr>
              <w:t>5.0</w:t>
            </w:r>
          </w:p>
          <w:p>
            <w:pPr>
              <w:pStyle w:val="TableParagraph"/>
              <w:spacing w:line="183" w:lineRule="exact"/>
              <w:ind w:left="133" w:right="99"/>
              <w:jc w:val="center"/>
              <w:rPr>
                <w:sz w:val="16"/>
              </w:rPr>
            </w:pPr>
            <w:r>
              <w:rPr>
                <w:sz w:val="16"/>
              </w:rPr>
              <w:t>(3.6-8.0)</w:t>
            </w:r>
          </w:p>
        </w:tc>
        <w:tc>
          <w:tcPr>
            <w:tcW w:w="1123" w:type="dxa"/>
            <w:tcBorders>
              <w:top w:val="nil"/>
              <w:bottom w:val="nil"/>
            </w:tcBorders>
          </w:tcPr>
          <w:p>
            <w:pPr>
              <w:pStyle w:val="TableParagraph"/>
              <w:spacing w:before="132"/>
              <w:ind w:right="435"/>
              <w:jc w:val="right"/>
              <w:rPr>
                <w:sz w:val="16"/>
              </w:rPr>
            </w:pPr>
            <w:r>
              <w:rPr>
                <w:sz w:val="16"/>
              </w:rPr>
              <w:t>8.0</w:t>
            </w:r>
          </w:p>
        </w:tc>
        <w:tc>
          <w:tcPr>
            <w:tcW w:w="1049" w:type="dxa"/>
            <w:tcBorders>
              <w:top w:val="nil"/>
              <w:bottom w:val="nil"/>
            </w:tcBorders>
          </w:tcPr>
          <w:p>
            <w:pPr>
              <w:pStyle w:val="TableParagraph"/>
              <w:spacing w:line="183" w:lineRule="exact" w:before="40"/>
              <w:ind w:left="113" w:right="76"/>
              <w:jc w:val="center"/>
              <w:rPr>
                <w:sz w:val="16"/>
              </w:rPr>
            </w:pPr>
            <w:r>
              <w:rPr>
                <w:sz w:val="16"/>
              </w:rPr>
              <w:t>15.0</w:t>
            </w:r>
          </w:p>
          <w:p>
            <w:pPr>
              <w:pStyle w:val="TableParagraph"/>
              <w:spacing w:line="183" w:lineRule="exact"/>
              <w:ind w:left="113" w:right="72"/>
              <w:jc w:val="center"/>
              <w:rPr>
                <w:sz w:val="16"/>
              </w:rPr>
            </w:pPr>
            <w:r>
              <w:rPr>
                <w:sz w:val="16"/>
              </w:rPr>
              <w:t>(5.0-25.0)</w:t>
            </w:r>
          </w:p>
        </w:tc>
        <w:tc>
          <w:tcPr>
            <w:tcW w:w="1087" w:type="dxa"/>
            <w:tcBorders>
              <w:top w:val="nil"/>
              <w:bottom w:val="nil"/>
            </w:tcBorders>
          </w:tcPr>
          <w:p>
            <w:pPr>
              <w:pStyle w:val="TableParagraph"/>
              <w:spacing w:before="132"/>
              <w:ind w:left="37"/>
              <w:jc w:val="center"/>
              <w:rPr>
                <w:sz w:val="16"/>
              </w:rPr>
            </w:pPr>
            <w:r>
              <w:rPr>
                <w:w w:val="100"/>
                <w:sz w:val="16"/>
              </w:rPr>
              <w:t>-</w:t>
            </w:r>
          </w:p>
        </w:tc>
        <w:tc>
          <w:tcPr>
            <w:tcW w:w="1087" w:type="dxa"/>
            <w:tcBorders>
              <w:top w:val="nil"/>
              <w:bottom w:val="nil"/>
            </w:tcBorders>
          </w:tcPr>
          <w:p>
            <w:pPr>
              <w:pStyle w:val="TableParagraph"/>
              <w:spacing w:before="132"/>
              <w:ind w:left="89" w:right="53"/>
              <w:jc w:val="center"/>
              <w:rPr>
                <w:sz w:val="16"/>
              </w:rPr>
            </w:pPr>
            <w:r>
              <w:rPr>
                <w:sz w:val="16"/>
              </w:rPr>
              <w:t>3.1</w:t>
            </w:r>
          </w:p>
        </w:tc>
        <w:tc>
          <w:tcPr>
            <w:tcW w:w="1077" w:type="dxa"/>
            <w:tcBorders>
              <w:top w:val="nil"/>
              <w:bottom w:val="nil"/>
            </w:tcBorders>
          </w:tcPr>
          <w:p>
            <w:pPr>
              <w:pStyle w:val="TableParagraph"/>
              <w:spacing w:before="132"/>
              <w:ind w:left="38"/>
              <w:jc w:val="center"/>
              <w:rPr>
                <w:sz w:val="16"/>
              </w:rPr>
            </w:pPr>
            <w:r>
              <w:rPr>
                <w:w w:val="100"/>
                <w:sz w:val="16"/>
              </w:rPr>
              <w:t>-</w:t>
            </w:r>
          </w:p>
        </w:tc>
      </w:tr>
      <w:tr>
        <w:trPr>
          <w:trHeight w:val="546" w:hRule="atLeast"/>
        </w:trPr>
        <w:tc>
          <w:tcPr>
            <w:tcW w:w="1500" w:type="dxa"/>
            <w:tcBorders>
              <w:top w:val="nil"/>
            </w:tcBorders>
          </w:tcPr>
          <w:p>
            <w:pPr>
              <w:pStyle w:val="TableParagraph"/>
              <w:spacing w:before="169"/>
              <w:ind w:left="54"/>
              <w:rPr>
                <w:sz w:val="18"/>
              </w:rPr>
            </w:pPr>
            <w:r>
              <w:rPr>
                <w:sz w:val="18"/>
              </w:rPr>
              <w:t>other species</w:t>
            </w:r>
          </w:p>
        </w:tc>
        <w:tc>
          <w:tcPr>
            <w:tcW w:w="1063" w:type="dxa"/>
            <w:tcBorders>
              <w:top w:val="nil"/>
            </w:tcBorders>
          </w:tcPr>
          <w:p>
            <w:pPr>
              <w:pStyle w:val="TableParagraph"/>
              <w:spacing w:before="169"/>
              <w:ind w:left="35"/>
              <w:jc w:val="center"/>
              <w:rPr>
                <w:sz w:val="18"/>
              </w:rPr>
            </w:pPr>
            <w:r>
              <w:rPr>
                <w:sz w:val="18"/>
              </w:rPr>
              <w:t>-</w:t>
            </w:r>
          </w:p>
        </w:tc>
        <w:tc>
          <w:tcPr>
            <w:tcW w:w="1027" w:type="dxa"/>
            <w:tcBorders>
              <w:top w:val="nil"/>
            </w:tcBorders>
          </w:tcPr>
          <w:p>
            <w:pPr>
              <w:pStyle w:val="TableParagraph"/>
              <w:spacing w:line="183" w:lineRule="exact" w:before="89"/>
              <w:ind w:left="133" w:right="101"/>
              <w:jc w:val="center"/>
              <w:rPr>
                <w:sz w:val="16"/>
              </w:rPr>
            </w:pPr>
            <w:r>
              <w:rPr>
                <w:sz w:val="16"/>
              </w:rPr>
              <w:t>5.2</w:t>
            </w:r>
          </w:p>
          <w:p>
            <w:pPr>
              <w:pStyle w:val="TableParagraph"/>
              <w:spacing w:line="183" w:lineRule="exact"/>
              <w:ind w:left="133" w:right="99"/>
              <w:jc w:val="center"/>
              <w:rPr>
                <w:sz w:val="16"/>
              </w:rPr>
            </w:pPr>
            <w:r>
              <w:rPr>
                <w:sz w:val="16"/>
              </w:rPr>
              <w:t>(2.4-8.0)</w:t>
            </w:r>
          </w:p>
        </w:tc>
        <w:tc>
          <w:tcPr>
            <w:tcW w:w="1123" w:type="dxa"/>
            <w:tcBorders>
              <w:top w:val="nil"/>
            </w:tcBorders>
          </w:tcPr>
          <w:p>
            <w:pPr>
              <w:pStyle w:val="TableParagraph"/>
              <w:spacing w:line="183" w:lineRule="exact" w:before="89"/>
              <w:ind w:left="148" w:right="110"/>
              <w:jc w:val="center"/>
              <w:rPr>
                <w:sz w:val="16"/>
              </w:rPr>
            </w:pPr>
            <w:r>
              <w:rPr>
                <w:sz w:val="16"/>
              </w:rPr>
              <w:t>7.8</w:t>
            </w:r>
          </w:p>
          <w:p>
            <w:pPr>
              <w:pStyle w:val="TableParagraph"/>
              <w:spacing w:line="183" w:lineRule="exact"/>
              <w:ind w:left="148" w:right="109"/>
              <w:jc w:val="center"/>
              <w:rPr>
                <w:sz w:val="16"/>
              </w:rPr>
            </w:pPr>
            <w:r>
              <w:rPr>
                <w:sz w:val="16"/>
              </w:rPr>
              <w:t>(2.0-13.5)</w:t>
            </w:r>
          </w:p>
        </w:tc>
        <w:tc>
          <w:tcPr>
            <w:tcW w:w="1049" w:type="dxa"/>
            <w:tcBorders>
              <w:top w:val="nil"/>
            </w:tcBorders>
          </w:tcPr>
          <w:p>
            <w:pPr>
              <w:pStyle w:val="TableParagraph"/>
              <w:spacing w:line="183" w:lineRule="exact" w:before="89"/>
              <w:ind w:left="113" w:right="78"/>
              <w:jc w:val="center"/>
              <w:rPr>
                <w:sz w:val="16"/>
              </w:rPr>
            </w:pPr>
            <w:r>
              <w:rPr>
                <w:sz w:val="16"/>
              </w:rPr>
              <w:t>7.1</w:t>
            </w:r>
          </w:p>
          <w:p>
            <w:pPr>
              <w:pStyle w:val="TableParagraph"/>
              <w:spacing w:line="183" w:lineRule="exact"/>
              <w:ind w:left="113" w:right="72"/>
              <w:jc w:val="center"/>
              <w:rPr>
                <w:sz w:val="16"/>
              </w:rPr>
            </w:pPr>
            <w:r>
              <w:rPr>
                <w:sz w:val="16"/>
              </w:rPr>
              <w:t>(1.6-12.6)</w:t>
            </w:r>
          </w:p>
        </w:tc>
        <w:tc>
          <w:tcPr>
            <w:tcW w:w="1087" w:type="dxa"/>
            <w:tcBorders>
              <w:top w:val="nil"/>
            </w:tcBorders>
          </w:tcPr>
          <w:p>
            <w:pPr>
              <w:pStyle w:val="TableParagraph"/>
              <w:spacing w:line="183" w:lineRule="exact" w:before="89"/>
              <w:ind w:left="89" w:right="52"/>
              <w:jc w:val="center"/>
              <w:rPr>
                <w:sz w:val="16"/>
              </w:rPr>
            </w:pPr>
            <w:r>
              <w:rPr>
                <w:sz w:val="16"/>
              </w:rPr>
              <w:t>6.45</w:t>
            </w:r>
          </w:p>
          <w:p>
            <w:pPr>
              <w:pStyle w:val="TableParagraph"/>
              <w:spacing w:line="183" w:lineRule="exact"/>
              <w:ind w:left="89" w:right="53"/>
              <w:jc w:val="center"/>
              <w:rPr>
                <w:sz w:val="16"/>
              </w:rPr>
            </w:pPr>
            <w:r>
              <w:rPr>
                <w:sz w:val="16"/>
              </w:rPr>
              <w:t>(1.2-11.7)</w:t>
            </w:r>
          </w:p>
        </w:tc>
        <w:tc>
          <w:tcPr>
            <w:tcW w:w="1087" w:type="dxa"/>
            <w:tcBorders>
              <w:top w:val="nil"/>
            </w:tcBorders>
          </w:tcPr>
          <w:p>
            <w:pPr>
              <w:pStyle w:val="TableParagraph"/>
              <w:spacing w:line="183" w:lineRule="exact" w:before="89"/>
              <w:ind w:left="89" w:right="53"/>
              <w:jc w:val="center"/>
              <w:rPr>
                <w:sz w:val="16"/>
              </w:rPr>
            </w:pPr>
            <w:r>
              <w:rPr>
                <w:sz w:val="16"/>
              </w:rPr>
              <w:t>5.0</w:t>
            </w:r>
          </w:p>
          <w:p>
            <w:pPr>
              <w:pStyle w:val="TableParagraph"/>
              <w:spacing w:line="183" w:lineRule="exact"/>
              <w:ind w:left="89" w:right="48"/>
              <w:jc w:val="center"/>
              <w:rPr>
                <w:sz w:val="16"/>
              </w:rPr>
            </w:pPr>
            <w:r>
              <w:rPr>
                <w:sz w:val="16"/>
              </w:rPr>
              <w:t>(1.3-10.0)</w:t>
            </w:r>
          </w:p>
        </w:tc>
        <w:tc>
          <w:tcPr>
            <w:tcW w:w="1077" w:type="dxa"/>
            <w:tcBorders>
              <w:top w:val="nil"/>
            </w:tcBorders>
          </w:tcPr>
          <w:p>
            <w:pPr>
              <w:pStyle w:val="TableParagraph"/>
              <w:spacing w:before="8"/>
              <w:rPr>
                <w:sz w:val="15"/>
              </w:rPr>
            </w:pPr>
          </w:p>
          <w:p>
            <w:pPr>
              <w:pStyle w:val="TableParagraph"/>
              <w:ind w:left="38"/>
              <w:jc w:val="center"/>
              <w:rPr>
                <w:sz w:val="16"/>
              </w:rPr>
            </w:pPr>
            <w:r>
              <w:rPr>
                <w:w w:val="100"/>
                <w:sz w:val="16"/>
              </w:rPr>
              <w:t>-</w:t>
            </w:r>
          </w:p>
        </w:tc>
      </w:tr>
      <w:tr>
        <w:trPr>
          <w:trHeight w:val="300" w:hRule="atLeast"/>
        </w:trPr>
        <w:tc>
          <w:tcPr>
            <w:tcW w:w="1500" w:type="dxa"/>
            <w:tcBorders>
              <w:bottom w:val="nil"/>
            </w:tcBorders>
          </w:tcPr>
          <w:p>
            <w:pPr>
              <w:pStyle w:val="TableParagraph"/>
              <w:spacing w:before="47"/>
              <w:ind w:left="54"/>
              <w:rPr>
                <w:b/>
                <w:sz w:val="18"/>
              </w:rPr>
            </w:pPr>
            <w:r>
              <w:rPr>
                <w:b/>
                <w:sz w:val="18"/>
              </w:rPr>
              <w:t>America</w:t>
            </w:r>
          </w:p>
        </w:tc>
        <w:tc>
          <w:tcPr>
            <w:tcW w:w="1063" w:type="dxa"/>
            <w:tcBorders>
              <w:bottom w:val="nil"/>
            </w:tcBorders>
          </w:tcPr>
          <w:p>
            <w:pPr>
              <w:pStyle w:val="TableParagraph"/>
              <w:spacing w:before="43"/>
              <w:ind w:left="33"/>
              <w:jc w:val="center"/>
              <w:rPr>
                <w:sz w:val="18"/>
              </w:rPr>
            </w:pPr>
            <w:r>
              <w:rPr>
                <w:sz w:val="18"/>
              </w:rPr>
              <w:t>-</w:t>
            </w:r>
          </w:p>
        </w:tc>
        <w:tc>
          <w:tcPr>
            <w:tcW w:w="1027" w:type="dxa"/>
            <w:tcBorders>
              <w:bottom w:val="nil"/>
            </w:tcBorders>
          </w:tcPr>
          <w:p>
            <w:pPr>
              <w:pStyle w:val="TableParagraph"/>
              <w:spacing w:before="52"/>
              <w:ind w:left="34"/>
              <w:jc w:val="center"/>
              <w:rPr>
                <w:sz w:val="16"/>
              </w:rPr>
            </w:pPr>
            <w:r>
              <w:rPr>
                <w:w w:val="100"/>
                <w:sz w:val="16"/>
              </w:rPr>
              <w:t>-</w:t>
            </w:r>
          </w:p>
        </w:tc>
        <w:tc>
          <w:tcPr>
            <w:tcW w:w="1123" w:type="dxa"/>
            <w:tcBorders>
              <w:bottom w:val="nil"/>
            </w:tcBorders>
          </w:tcPr>
          <w:p>
            <w:pPr>
              <w:pStyle w:val="TableParagraph"/>
              <w:spacing w:before="52"/>
              <w:ind w:right="507"/>
              <w:jc w:val="right"/>
              <w:rPr>
                <w:sz w:val="16"/>
              </w:rPr>
            </w:pPr>
            <w:r>
              <w:rPr>
                <w:w w:val="100"/>
                <w:sz w:val="16"/>
              </w:rPr>
              <w:t>-</w:t>
            </w:r>
          </w:p>
        </w:tc>
        <w:tc>
          <w:tcPr>
            <w:tcW w:w="1049" w:type="dxa"/>
            <w:tcBorders>
              <w:bottom w:val="nil"/>
            </w:tcBorders>
          </w:tcPr>
          <w:p>
            <w:pPr>
              <w:pStyle w:val="TableParagraph"/>
              <w:spacing w:before="52"/>
              <w:ind w:left="37"/>
              <w:jc w:val="center"/>
              <w:rPr>
                <w:sz w:val="16"/>
              </w:rPr>
            </w:pPr>
            <w:r>
              <w:rPr>
                <w:w w:val="100"/>
                <w:sz w:val="16"/>
              </w:rPr>
              <w:t>-</w:t>
            </w:r>
          </w:p>
        </w:tc>
        <w:tc>
          <w:tcPr>
            <w:tcW w:w="1087" w:type="dxa"/>
            <w:tcBorders>
              <w:bottom w:val="nil"/>
            </w:tcBorders>
          </w:tcPr>
          <w:p>
            <w:pPr>
              <w:pStyle w:val="TableParagraph"/>
              <w:spacing w:before="52"/>
              <w:ind w:left="37"/>
              <w:jc w:val="center"/>
              <w:rPr>
                <w:sz w:val="16"/>
              </w:rPr>
            </w:pPr>
            <w:r>
              <w:rPr>
                <w:w w:val="100"/>
                <w:sz w:val="16"/>
              </w:rPr>
              <w:t>-</w:t>
            </w:r>
          </w:p>
        </w:tc>
        <w:tc>
          <w:tcPr>
            <w:tcW w:w="1087" w:type="dxa"/>
            <w:tcBorders>
              <w:bottom w:val="nil"/>
            </w:tcBorders>
          </w:tcPr>
          <w:p>
            <w:pPr>
              <w:pStyle w:val="TableParagraph"/>
              <w:spacing w:before="52"/>
              <w:ind w:left="38"/>
              <w:jc w:val="center"/>
              <w:rPr>
                <w:sz w:val="16"/>
              </w:rPr>
            </w:pPr>
            <w:r>
              <w:rPr>
                <w:w w:val="100"/>
                <w:sz w:val="16"/>
              </w:rPr>
              <w:t>-</w:t>
            </w:r>
          </w:p>
        </w:tc>
        <w:tc>
          <w:tcPr>
            <w:tcW w:w="1077" w:type="dxa"/>
            <w:tcBorders>
              <w:bottom w:val="nil"/>
            </w:tcBorders>
          </w:tcPr>
          <w:p>
            <w:pPr>
              <w:pStyle w:val="TableParagraph"/>
              <w:spacing w:before="52"/>
              <w:ind w:left="38"/>
              <w:jc w:val="center"/>
              <w:rPr>
                <w:sz w:val="16"/>
              </w:rPr>
            </w:pPr>
            <w:r>
              <w:rPr>
                <w:w w:val="100"/>
                <w:sz w:val="16"/>
              </w:rPr>
              <w:t>-</w:t>
            </w:r>
          </w:p>
        </w:tc>
      </w:tr>
      <w:tr>
        <w:trPr>
          <w:trHeight w:val="503" w:hRule="atLeast"/>
        </w:trPr>
        <w:tc>
          <w:tcPr>
            <w:tcW w:w="1500" w:type="dxa"/>
            <w:tcBorders>
              <w:top w:val="nil"/>
              <w:bottom w:val="nil"/>
            </w:tcBorders>
          </w:tcPr>
          <w:p>
            <w:pPr>
              <w:pStyle w:val="TableParagraph"/>
              <w:spacing w:before="119"/>
              <w:ind w:left="54"/>
              <w:rPr>
                <w:sz w:val="18"/>
              </w:rPr>
            </w:pPr>
            <w:r>
              <w:rPr>
                <w:sz w:val="18"/>
              </w:rPr>
              <w:t>Pinus</w:t>
            </w:r>
          </w:p>
        </w:tc>
        <w:tc>
          <w:tcPr>
            <w:tcW w:w="1063" w:type="dxa"/>
            <w:tcBorders>
              <w:top w:val="nil"/>
              <w:bottom w:val="nil"/>
            </w:tcBorders>
          </w:tcPr>
          <w:p>
            <w:pPr>
              <w:pStyle w:val="TableParagraph"/>
              <w:spacing w:before="119"/>
              <w:ind w:left="33"/>
              <w:jc w:val="center"/>
              <w:rPr>
                <w:sz w:val="18"/>
              </w:rPr>
            </w:pPr>
            <w:r>
              <w:rPr>
                <w:sz w:val="18"/>
              </w:rPr>
              <w:t>-</w:t>
            </w:r>
          </w:p>
        </w:tc>
        <w:tc>
          <w:tcPr>
            <w:tcW w:w="1027" w:type="dxa"/>
            <w:tcBorders>
              <w:top w:val="nil"/>
              <w:bottom w:val="nil"/>
            </w:tcBorders>
          </w:tcPr>
          <w:p>
            <w:pPr>
              <w:pStyle w:val="TableParagraph"/>
              <w:spacing w:before="131"/>
              <w:ind w:left="133" w:right="99"/>
              <w:jc w:val="center"/>
              <w:rPr>
                <w:sz w:val="16"/>
              </w:rPr>
            </w:pPr>
            <w:r>
              <w:rPr>
                <w:sz w:val="16"/>
              </w:rPr>
              <w:t>18.0</w:t>
            </w:r>
          </w:p>
        </w:tc>
        <w:tc>
          <w:tcPr>
            <w:tcW w:w="1123" w:type="dxa"/>
            <w:tcBorders>
              <w:top w:val="nil"/>
              <w:bottom w:val="nil"/>
            </w:tcBorders>
          </w:tcPr>
          <w:p>
            <w:pPr>
              <w:pStyle w:val="TableParagraph"/>
              <w:spacing w:before="39"/>
              <w:ind w:left="148" w:right="110"/>
              <w:jc w:val="center"/>
              <w:rPr>
                <w:sz w:val="16"/>
              </w:rPr>
            </w:pPr>
            <w:r>
              <w:rPr>
                <w:sz w:val="16"/>
              </w:rPr>
              <w:t>14.5</w:t>
            </w:r>
          </w:p>
          <w:p>
            <w:pPr>
              <w:pStyle w:val="TableParagraph"/>
              <w:spacing w:before="1"/>
              <w:ind w:left="148" w:right="108"/>
              <w:jc w:val="center"/>
              <w:rPr>
                <w:sz w:val="16"/>
              </w:rPr>
            </w:pPr>
            <w:r>
              <w:rPr>
                <w:sz w:val="16"/>
              </w:rPr>
              <w:t>(5.0 – 19.0)</w:t>
            </w:r>
          </w:p>
        </w:tc>
        <w:tc>
          <w:tcPr>
            <w:tcW w:w="1049" w:type="dxa"/>
            <w:tcBorders>
              <w:top w:val="nil"/>
              <w:bottom w:val="nil"/>
            </w:tcBorders>
          </w:tcPr>
          <w:p>
            <w:pPr>
              <w:pStyle w:val="TableParagraph"/>
              <w:spacing w:before="39"/>
              <w:ind w:left="113" w:right="78"/>
              <w:jc w:val="center"/>
              <w:rPr>
                <w:sz w:val="16"/>
              </w:rPr>
            </w:pPr>
            <w:r>
              <w:rPr>
                <w:sz w:val="16"/>
              </w:rPr>
              <w:t>7.0</w:t>
            </w:r>
          </w:p>
          <w:p>
            <w:pPr>
              <w:pStyle w:val="TableParagraph"/>
              <w:spacing w:before="1"/>
              <w:ind w:left="113" w:right="73"/>
              <w:jc w:val="center"/>
              <w:rPr>
                <w:sz w:val="16"/>
              </w:rPr>
            </w:pPr>
            <w:r>
              <w:rPr>
                <w:sz w:val="16"/>
              </w:rPr>
              <w:t>(4.0 - 10.3)</w:t>
            </w:r>
          </w:p>
        </w:tc>
        <w:tc>
          <w:tcPr>
            <w:tcW w:w="1087" w:type="dxa"/>
            <w:tcBorders>
              <w:top w:val="nil"/>
              <w:bottom w:val="nil"/>
            </w:tcBorders>
          </w:tcPr>
          <w:p>
            <w:pPr>
              <w:pStyle w:val="TableParagraph"/>
              <w:spacing w:before="131"/>
              <w:ind w:left="89" w:right="54"/>
              <w:jc w:val="center"/>
              <w:rPr>
                <w:sz w:val="16"/>
              </w:rPr>
            </w:pPr>
            <w:r>
              <w:rPr>
                <w:sz w:val="16"/>
              </w:rPr>
              <w:t>5.0</w:t>
            </w:r>
          </w:p>
        </w:tc>
        <w:tc>
          <w:tcPr>
            <w:tcW w:w="1087" w:type="dxa"/>
            <w:tcBorders>
              <w:top w:val="nil"/>
              <w:bottom w:val="nil"/>
            </w:tcBorders>
          </w:tcPr>
          <w:p>
            <w:pPr>
              <w:pStyle w:val="TableParagraph"/>
              <w:spacing w:before="131"/>
              <w:ind w:left="89" w:right="52"/>
              <w:jc w:val="center"/>
              <w:rPr>
                <w:sz w:val="16"/>
              </w:rPr>
            </w:pPr>
            <w:r>
              <w:rPr>
                <w:sz w:val="16"/>
              </w:rPr>
              <w:t>14.0</w:t>
            </w:r>
          </w:p>
        </w:tc>
        <w:tc>
          <w:tcPr>
            <w:tcW w:w="1077" w:type="dxa"/>
            <w:tcBorders>
              <w:top w:val="nil"/>
              <w:bottom w:val="nil"/>
            </w:tcBorders>
          </w:tcPr>
          <w:p>
            <w:pPr>
              <w:pStyle w:val="TableParagraph"/>
              <w:spacing w:before="131"/>
              <w:ind w:left="39"/>
              <w:jc w:val="center"/>
              <w:rPr>
                <w:sz w:val="16"/>
              </w:rPr>
            </w:pPr>
            <w:r>
              <w:rPr>
                <w:w w:val="100"/>
                <w:sz w:val="16"/>
              </w:rPr>
              <w:t>-</w:t>
            </w:r>
          </w:p>
        </w:tc>
      </w:tr>
      <w:tr>
        <w:trPr>
          <w:trHeight w:val="546" w:hRule="atLeast"/>
        </w:trPr>
        <w:tc>
          <w:tcPr>
            <w:tcW w:w="1500" w:type="dxa"/>
            <w:tcBorders>
              <w:top w:val="nil"/>
              <w:bottom w:val="nil"/>
            </w:tcBorders>
          </w:tcPr>
          <w:p>
            <w:pPr>
              <w:pStyle w:val="TableParagraph"/>
              <w:spacing w:before="168"/>
              <w:ind w:left="28"/>
              <w:rPr>
                <w:sz w:val="18"/>
              </w:rPr>
            </w:pPr>
            <w:r>
              <w:rPr>
                <w:sz w:val="18"/>
              </w:rPr>
              <w:t>Eucalyptus</w:t>
            </w:r>
          </w:p>
        </w:tc>
        <w:tc>
          <w:tcPr>
            <w:tcW w:w="1063" w:type="dxa"/>
            <w:tcBorders>
              <w:top w:val="nil"/>
              <w:bottom w:val="nil"/>
            </w:tcBorders>
          </w:tcPr>
          <w:p>
            <w:pPr>
              <w:pStyle w:val="TableParagraph"/>
              <w:spacing w:before="168"/>
              <w:ind w:left="6"/>
              <w:jc w:val="center"/>
              <w:rPr>
                <w:sz w:val="18"/>
              </w:rPr>
            </w:pPr>
            <w:r>
              <w:rPr>
                <w:sz w:val="18"/>
              </w:rPr>
              <w:t>-</w:t>
            </w:r>
          </w:p>
        </w:tc>
        <w:tc>
          <w:tcPr>
            <w:tcW w:w="1027" w:type="dxa"/>
            <w:tcBorders>
              <w:top w:val="nil"/>
              <w:bottom w:val="nil"/>
            </w:tcBorders>
          </w:tcPr>
          <w:p>
            <w:pPr>
              <w:pStyle w:val="TableParagraph"/>
              <w:spacing w:before="88"/>
              <w:ind w:left="120" w:right="110"/>
              <w:jc w:val="center"/>
              <w:rPr>
                <w:sz w:val="16"/>
              </w:rPr>
            </w:pPr>
            <w:r>
              <w:rPr>
                <w:sz w:val="16"/>
              </w:rPr>
              <w:t>21.0</w:t>
            </w:r>
          </w:p>
          <w:p>
            <w:pPr>
              <w:pStyle w:val="TableParagraph"/>
              <w:spacing w:before="1"/>
              <w:ind w:left="119" w:right="110"/>
              <w:jc w:val="center"/>
              <w:rPr>
                <w:sz w:val="16"/>
              </w:rPr>
            </w:pPr>
            <w:r>
              <w:rPr>
                <w:sz w:val="16"/>
              </w:rPr>
              <w:t>(6.4 - 38.4)</w:t>
            </w:r>
          </w:p>
        </w:tc>
        <w:tc>
          <w:tcPr>
            <w:tcW w:w="1123" w:type="dxa"/>
            <w:tcBorders>
              <w:top w:val="nil"/>
              <w:bottom w:val="nil"/>
            </w:tcBorders>
          </w:tcPr>
          <w:p>
            <w:pPr>
              <w:pStyle w:val="TableParagraph"/>
              <w:spacing w:before="88"/>
              <w:ind w:left="144" w:right="134"/>
              <w:jc w:val="center"/>
              <w:rPr>
                <w:sz w:val="16"/>
              </w:rPr>
            </w:pPr>
            <w:r>
              <w:rPr>
                <w:sz w:val="16"/>
              </w:rPr>
              <w:t>16.0</w:t>
            </w:r>
          </w:p>
          <w:p>
            <w:pPr>
              <w:pStyle w:val="TableParagraph"/>
              <w:spacing w:before="1"/>
              <w:ind w:left="147" w:right="134"/>
              <w:jc w:val="center"/>
              <w:rPr>
                <w:sz w:val="16"/>
              </w:rPr>
            </w:pPr>
            <w:r>
              <w:rPr>
                <w:sz w:val="16"/>
              </w:rPr>
              <w:t>(6.4 - 32.0)</w:t>
            </w:r>
          </w:p>
        </w:tc>
        <w:tc>
          <w:tcPr>
            <w:tcW w:w="1049" w:type="dxa"/>
            <w:tcBorders>
              <w:top w:val="nil"/>
              <w:bottom w:val="nil"/>
            </w:tcBorders>
          </w:tcPr>
          <w:p>
            <w:pPr>
              <w:pStyle w:val="TableParagraph"/>
              <w:spacing w:before="88"/>
              <w:ind w:left="109" w:right="96"/>
              <w:jc w:val="center"/>
              <w:rPr>
                <w:sz w:val="16"/>
              </w:rPr>
            </w:pPr>
            <w:r>
              <w:rPr>
                <w:sz w:val="16"/>
              </w:rPr>
              <w:t>16.0</w:t>
            </w:r>
          </w:p>
          <w:p>
            <w:pPr>
              <w:pStyle w:val="TableParagraph"/>
              <w:spacing w:before="1"/>
              <w:ind w:left="108" w:right="96"/>
              <w:jc w:val="center"/>
              <w:rPr>
                <w:sz w:val="16"/>
              </w:rPr>
            </w:pPr>
            <w:r>
              <w:rPr>
                <w:sz w:val="16"/>
              </w:rPr>
              <w:t>(6.4 - 32.0)</w:t>
            </w:r>
          </w:p>
        </w:tc>
        <w:tc>
          <w:tcPr>
            <w:tcW w:w="1087" w:type="dxa"/>
            <w:tcBorders>
              <w:top w:val="nil"/>
              <w:bottom w:val="nil"/>
            </w:tcBorders>
          </w:tcPr>
          <w:p>
            <w:pPr>
              <w:pStyle w:val="TableParagraph"/>
              <w:spacing w:before="7"/>
              <w:rPr>
                <w:sz w:val="15"/>
              </w:rPr>
            </w:pPr>
          </w:p>
          <w:p>
            <w:pPr>
              <w:pStyle w:val="TableParagraph"/>
              <w:ind w:left="89" w:right="52"/>
              <w:jc w:val="center"/>
              <w:rPr>
                <w:sz w:val="16"/>
              </w:rPr>
            </w:pPr>
            <w:r>
              <w:rPr>
                <w:sz w:val="16"/>
              </w:rPr>
              <w:t>16.0</w:t>
            </w:r>
          </w:p>
        </w:tc>
        <w:tc>
          <w:tcPr>
            <w:tcW w:w="1087" w:type="dxa"/>
            <w:tcBorders>
              <w:top w:val="nil"/>
              <w:bottom w:val="nil"/>
            </w:tcBorders>
          </w:tcPr>
          <w:p>
            <w:pPr>
              <w:pStyle w:val="TableParagraph"/>
              <w:spacing w:before="88"/>
              <w:ind w:left="89" w:right="48"/>
              <w:jc w:val="center"/>
              <w:rPr>
                <w:sz w:val="16"/>
              </w:rPr>
            </w:pPr>
            <w:r>
              <w:rPr>
                <w:sz w:val="16"/>
              </w:rPr>
              <w:t>13.0</w:t>
            </w:r>
          </w:p>
          <w:p>
            <w:pPr>
              <w:pStyle w:val="TableParagraph"/>
              <w:spacing w:before="1"/>
              <w:ind w:left="89" w:right="48"/>
              <w:jc w:val="center"/>
              <w:rPr>
                <w:sz w:val="16"/>
              </w:rPr>
            </w:pPr>
            <w:r>
              <w:rPr>
                <w:sz w:val="16"/>
              </w:rPr>
              <w:t>(8.5 - 17.5)</w:t>
            </w:r>
          </w:p>
        </w:tc>
        <w:tc>
          <w:tcPr>
            <w:tcW w:w="1077" w:type="dxa"/>
            <w:tcBorders>
              <w:top w:val="nil"/>
              <w:bottom w:val="nil"/>
            </w:tcBorders>
          </w:tcPr>
          <w:p>
            <w:pPr>
              <w:pStyle w:val="TableParagraph"/>
              <w:spacing w:before="7"/>
              <w:rPr>
                <w:sz w:val="15"/>
              </w:rPr>
            </w:pPr>
          </w:p>
          <w:p>
            <w:pPr>
              <w:pStyle w:val="TableParagraph"/>
              <w:ind w:left="38"/>
              <w:jc w:val="center"/>
              <w:rPr>
                <w:sz w:val="16"/>
              </w:rPr>
            </w:pPr>
            <w:r>
              <w:rPr>
                <w:w w:val="100"/>
                <w:sz w:val="16"/>
              </w:rPr>
              <w:t>-</w:t>
            </w:r>
          </w:p>
        </w:tc>
      </w:tr>
      <w:tr>
        <w:trPr>
          <w:trHeight w:val="537" w:hRule="atLeast"/>
        </w:trPr>
        <w:tc>
          <w:tcPr>
            <w:tcW w:w="1500" w:type="dxa"/>
            <w:tcBorders>
              <w:top w:val="nil"/>
              <w:bottom w:val="nil"/>
            </w:tcBorders>
          </w:tcPr>
          <w:p>
            <w:pPr>
              <w:pStyle w:val="TableParagraph"/>
              <w:spacing w:before="162"/>
              <w:ind w:left="28"/>
              <w:rPr>
                <w:sz w:val="18"/>
              </w:rPr>
            </w:pPr>
            <w:r>
              <w:rPr>
                <w:sz w:val="18"/>
              </w:rPr>
              <w:t>Tectona</w:t>
            </w:r>
          </w:p>
        </w:tc>
        <w:tc>
          <w:tcPr>
            <w:tcW w:w="1063" w:type="dxa"/>
            <w:tcBorders>
              <w:top w:val="nil"/>
              <w:bottom w:val="nil"/>
            </w:tcBorders>
          </w:tcPr>
          <w:p>
            <w:pPr>
              <w:pStyle w:val="TableParagraph"/>
              <w:spacing w:before="162"/>
              <w:ind w:left="6"/>
              <w:jc w:val="center"/>
              <w:rPr>
                <w:sz w:val="18"/>
              </w:rPr>
            </w:pPr>
            <w:r>
              <w:rPr>
                <w:sz w:val="18"/>
              </w:rPr>
              <w:t>-</w:t>
            </w:r>
          </w:p>
        </w:tc>
        <w:tc>
          <w:tcPr>
            <w:tcW w:w="1027" w:type="dxa"/>
            <w:tcBorders>
              <w:top w:val="nil"/>
              <w:bottom w:val="nil"/>
            </w:tcBorders>
          </w:tcPr>
          <w:p>
            <w:pPr>
              <w:pStyle w:val="TableParagraph"/>
              <w:spacing w:before="1"/>
              <w:rPr>
                <w:sz w:val="15"/>
              </w:rPr>
            </w:pPr>
          </w:p>
          <w:p>
            <w:pPr>
              <w:pStyle w:val="TableParagraph"/>
              <w:ind w:left="120" w:right="110"/>
              <w:jc w:val="center"/>
              <w:rPr>
                <w:sz w:val="16"/>
              </w:rPr>
            </w:pPr>
            <w:r>
              <w:rPr>
                <w:sz w:val="16"/>
              </w:rPr>
              <w:t>15.0</w:t>
            </w:r>
          </w:p>
        </w:tc>
        <w:tc>
          <w:tcPr>
            <w:tcW w:w="1123" w:type="dxa"/>
            <w:tcBorders>
              <w:top w:val="nil"/>
              <w:bottom w:val="nil"/>
            </w:tcBorders>
          </w:tcPr>
          <w:p>
            <w:pPr>
              <w:pStyle w:val="TableParagraph"/>
              <w:spacing w:line="183" w:lineRule="exact" w:before="82"/>
              <w:ind w:left="143" w:right="134"/>
              <w:jc w:val="center"/>
              <w:rPr>
                <w:sz w:val="16"/>
              </w:rPr>
            </w:pPr>
            <w:r>
              <w:rPr>
                <w:sz w:val="16"/>
              </w:rPr>
              <w:t>8.0</w:t>
            </w:r>
          </w:p>
          <w:p>
            <w:pPr>
              <w:pStyle w:val="TableParagraph"/>
              <w:spacing w:line="183" w:lineRule="exact"/>
              <w:ind w:left="147" w:right="134"/>
              <w:jc w:val="center"/>
              <w:rPr>
                <w:sz w:val="16"/>
              </w:rPr>
            </w:pPr>
            <w:r>
              <w:rPr>
                <w:sz w:val="16"/>
              </w:rPr>
              <w:t>(3.8 - 11.5)</w:t>
            </w:r>
          </w:p>
        </w:tc>
        <w:tc>
          <w:tcPr>
            <w:tcW w:w="1049" w:type="dxa"/>
            <w:tcBorders>
              <w:top w:val="nil"/>
              <w:bottom w:val="nil"/>
            </w:tcBorders>
          </w:tcPr>
          <w:p>
            <w:pPr>
              <w:pStyle w:val="TableParagraph"/>
              <w:spacing w:line="183" w:lineRule="exact" w:before="82"/>
              <w:ind w:left="107" w:right="96"/>
              <w:jc w:val="center"/>
              <w:rPr>
                <w:sz w:val="16"/>
              </w:rPr>
            </w:pPr>
            <w:r>
              <w:rPr>
                <w:sz w:val="16"/>
              </w:rPr>
              <w:t>8.0</w:t>
            </w:r>
          </w:p>
          <w:p>
            <w:pPr>
              <w:pStyle w:val="TableParagraph"/>
              <w:spacing w:line="183" w:lineRule="exact"/>
              <w:ind w:left="107" w:right="96"/>
              <w:jc w:val="center"/>
              <w:rPr>
                <w:sz w:val="16"/>
              </w:rPr>
            </w:pPr>
            <w:r>
              <w:rPr>
                <w:sz w:val="16"/>
              </w:rPr>
              <w:t>(3.8 - 11.5)</w:t>
            </w:r>
          </w:p>
        </w:tc>
        <w:tc>
          <w:tcPr>
            <w:tcW w:w="1087" w:type="dxa"/>
            <w:tcBorders>
              <w:top w:val="nil"/>
              <w:bottom w:val="nil"/>
            </w:tcBorders>
          </w:tcPr>
          <w:p>
            <w:pPr>
              <w:pStyle w:val="TableParagraph"/>
              <w:spacing w:before="1"/>
              <w:rPr>
                <w:sz w:val="15"/>
              </w:rPr>
            </w:pPr>
          </w:p>
          <w:p>
            <w:pPr>
              <w:pStyle w:val="TableParagraph"/>
              <w:ind w:left="37"/>
              <w:jc w:val="center"/>
              <w:rPr>
                <w:sz w:val="16"/>
              </w:rPr>
            </w:pPr>
            <w:r>
              <w:rPr>
                <w:w w:val="100"/>
                <w:sz w:val="16"/>
              </w:rPr>
              <w:t>-</w:t>
            </w:r>
          </w:p>
        </w:tc>
        <w:tc>
          <w:tcPr>
            <w:tcW w:w="1087" w:type="dxa"/>
            <w:tcBorders>
              <w:top w:val="nil"/>
              <w:bottom w:val="nil"/>
            </w:tcBorders>
          </w:tcPr>
          <w:p>
            <w:pPr>
              <w:pStyle w:val="TableParagraph"/>
              <w:spacing w:before="1"/>
              <w:rPr>
                <w:sz w:val="15"/>
              </w:rPr>
            </w:pPr>
          </w:p>
          <w:p>
            <w:pPr>
              <w:pStyle w:val="TableParagraph"/>
              <w:ind w:left="89" w:right="53"/>
              <w:jc w:val="center"/>
              <w:rPr>
                <w:sz w:val="16"/>
              </w:rPr>
            </w:pPr>
            <w:r>
              <w:rPr>
                <w:sz w:val="16"/>
              </w:rPr>
              <w:t>2.2</w:t>
            </w:r>
          </w:p>
        </w:tc>
        <w:tc>
          <w:tcPr>
            <w:tcW w:w="1077" w:type="dxa"/>
            <w:tcBorders>
              <w:top w:val="nil"/>
              <w:bottom w:val="nil"/>
            </w:tcBorders>
          </w:tcPr>
          <w:p>
            <w:pPr>
              <w:pStyle w:val="TableParagraph"/>
              <w:spacing w:before="1"/>
              <w:rPr>
                <w:sz w:val="15"/>
              </w:rPr>
            </w:pPr>
          </w:p>
          <w:p>
            <w:pPr>
              <w:pStyle w:val="TableParagraph"/>
              <w:ind w:left="38"/>
              <w:jc w:val="center"/>
              <w:rPr>
                <w:sz w:val="16"/>
              </w:rPr>
            </w:pPr>
            <w:r>
              <w:rPr>
                <w:w w:val="100"/>
                <w:sz w:val="16"/>
              </w:rPr>
              <w:t>-</w:t>
            </w:r>
          </w:p>
        </w:tc>
      </w:tr>
      <w:tr>
        <w:trPr>
          <w:trHeight w:val="538" w:hRule="atLeast"/>
        </w:trPr>
        <w:tc>
          <w:tcPr>
            <w:tcW w:w="1500" w:type="dxa"/>
            <w:tcBorders>
              <w:top w:val="nil"/>
            </w:tcBorders>
          </w:tcPr>
          <w:p>
            <w:pPr>
              <w:pStyle w:val="TableParagraph"/>
              <w:spacing w:before="162"/>
              <w:ind w:left="54"/>
              <w:rPr>
                <w:sz w:val="18"/>
              </w:rPr>
            </w:pPr>
            <w:r>
              <w:rPr>
                <w:sz w:val="18"/>
              </w:rPr>
              <w:t>other broadleaved</w:t>
            </w:r>
          </w:p>
        </w:tc>
        <w:tc>
          <w:tcPr>
            <w:tcW w:w="1063" w:type="dxa"/>
            <w:tcBorders>
              <w:top w:val="nil"/>
            </w:tcBorders>
          </w:tcPr>
          <w:p>
            <w:pPr>
              <w:pStyle w:val="TableParagraph"/>
              <w:spacing w:before="162"/>
              <w:ind w:left="34"/>
              <w:jc w:val="center"/>
              <w:rPr>
                <w:sz w:val="18"/>
              </w:rPr>
            </w:pPr>
            <w:r>
              <w:rPr>
                <w:sz w:val="18"/>
              </w:rPr>
              <w:t>-</w:t>
            </w:r>
          </w:p>
        </w:tc>
        <w:tc>
          <w:tcPr>
            <w:tcW w:w="1027" w:type="dxa"/>
            <w:tcBorders>
              <w:top w:val="nil"/>
            </w:tcBorders>
          </w:tcPr>
          <w:p>
            <w:pPr>
              <w:pStyle w:val="TableParagraph"/>
              <w:spacing w:line="183" w:lineRule="exact" w:before="82"/>
              <w:ind w:left="133" w:right="99"/>
              <w:jc w:val="center"/>
              <w:rPr>
                <w:sz w:val="16"/>
              </w:rPr>
            </w:pPr>
            <w:r>
              <w:rPr>
                <w:sz w:val="16"/>
              </w:rPr>
              <w:t>17.0</w:t>
            </w:r>
          </w:p>
          <w:p>
            <w:pPr>
              <w:pStyle w:val="TableParagraph"/>
              <w:spacing w:line="183" w:lineRule="exact"/>
              <w:ind w:left="133" w:right="96"/>
              <w:jc w:val="center"/>
              <w:rPr>
                <w:sz w:val="16"/>
              </w:rPr>
            </w:pPr>
            <w:r>
              <w:rPr>
                <w:sz w:val="16"/>
              </w:rPr>
              <w:t>(5.0 - 35.0)</w:t>
            </w:r>
          </w:p>
        </w:tc>
        <w:tc>
          <w:tcPr>
            <w:tcW w:w="1123" w:type="dxa"/>
            <w:tcBorders>
              <w:top w:val="nil"/>
            </w:tcBorders>
          </w:tcPr>
          <w:p>
            <w:pPr>
              <w:pStyle w:val="TableParagraph"/>
              <w:spacing w:line="183" w:lineRule="exact" w:before="82"/>
              <w:ind w:left="148" w:right="109"/>
              <w:jc w:val="center"/>
              <w:rPr>
                <w:sz w:val="16"/>
              </w:rPr>
            </w:pPr>
            <w:r>
              <w:rPr>
                <w:sz w:val="16"/>
              </w:rPr>
              <w:t>18.0</w:t>
            </w:r>
          </w:p>
          <w:p>
            <w:pPr>
              <w:pStyle w:val="TableParagraph"/>
              <w:spacing w:line="183" w:lineRule="exact"/>
              <w:ind w:left="148" w:right="108"/>
              <w:jc w:val="center"/>
              <w:rPr>
                <w:sz w:val="16"/>
              </w:rPr>
            </w:pPr>
            <w:r>
              <w:rPr>
                <w:sz w:val="16"/>
              </w:rPr>
              <w:t>(8.0 – 40.0)</w:t>
            </w:r>
          </w:p>
        </w:tc>
        <w:tc>
          <w:tcPr>
            <w:tcW w:w="1049" w:type="dxa"/>
            <w:tcBorders>
              <w:top w:val="nil"/>
            </w:tcBorders>
          </w:tcPr>
          <w:p>
            <w:pPr>
              <w:pStyle w:val="TableParagraph"/>
              <w:spacing w:line="183" w:lineRule="exact" w:before="82"/>
              <w:ind w:left="113" w:right="76"/>
              <w:jc w:val="center"/>
              <w:rPr>
                <w:sz w:val="16"/>
              </w:rPr>
            </w:pPr>
            <w:r>
              <w:rPr>
                <w:sz w:val="16"/>
              </w:rPr>
              <w:t>10.5</w:t>
            </w:r>
          </w:p>
          <w:p>
            <w:pPr>
              <w:pStyle w:val="TableParagraph"/>
              <w:spacing w:line="183" w:lineRule="exact"/>
              <w:ind w:left="113" w:right="73"/>
              <w:jc w:val="center"/>
              <w:rPr>
                <w:sz w:val="16"/>
              </w:rPr>
            </w:pPr>
            <w:r>
              <w:rPr>
                <w:sz w:val="16"/>
              </w:rPr>
              <w:t>(3.2 - 11.8)</w:t>
            </w:r>
          </w:p>
        </w:tc>
        <w:tc>
          <w:tcPr>
            <w:tcW w:w="1087" w:type="dxa"/>
            <w:tcBorders>
              <w:top w:val="nil"/>
            </w:tcBorders>
          </w:tcPr>
          <w:p>
            <w:pPr>
              <w:pStyle w:val="TableParagraph"/>
              <w:spacing w:before="1"/>
              <w:rPr>
                <w:sz w:val="15"/>
              </w:rPr>
            </w:pPr>
          </w:p>
          <w:p>
            <w:pPr>
              <w:pStyle w:val="TableParagraph"/>
              <w:ind w:left="37"/>
              <w:jc w:val="center"/>
              <w:rPr>
                <w:sz w:val="16"/>
              </w:rPr>
            </w:pPr>
            <w:r>
              <w:rPr>
                <w:w w:val="100"/>
                <w:sz w:val="16"/>
              </w:rPr>
              <w:t>-</w:t>
            </w:r>
          </w:p>
        </w:tc>
        <w:tc>
          <w:tcPr>
            <w:tcW w:w="1087" w:type="dxa"/>
            <w:tcBorders>
              <w:top w:val="nil"/>
            </w:tcBorders>
          </w:tcPr>
          <w:p>
            <w:pPr>
              <w:pStyle w:val="TableParagraph"/>
              <w:spacing w:before="1"/>
              <w:rPr>
                <w:sz w:val="15"/>
              </w:rPr>
            </w:pPr>
          </w:p>
          <w:p>
            <w:pPr>
              <w:pStyle w:val="TableParagraph"/>
              <w:ind w:left="89" w:right="53"/>
              <w:jc w:val="center"/>
              <w:rPr>
                <w:sz w:val="16"/>
              </w:rPr>
            </w:pPr>
            <w:r>
              <w:rPr>
                <w:sz w:val="16"/>
              </w:rPr>
              <w:t>4.0</w:t>
            </w:r>
          </w:p>
        </w:tc>
        <w:tc>
          <w:tcPr>
            <w:tcW w:w="1077" w:type="dxa"/>
            <w:tcBorders>
              <w:top w:val="nil"/>
            </w:tcBorders>
          </w:tcPr>
          <w:p>
            <w:pPr>
              <w:pStyle w:val="TableParagraph"/>
              <w:spacing w:before="1"/>
              <w:rPr>
                <w:sz w:val="15"/>
              </w:rPr>
            </w:pPr>
          </w:p>
          <w:p>
            <w:pPr>
              <w:pStyle w:val="TableParagraph"/>
              <w:ind w:left="38"/>
              <w:jc w:val="center"/>
              <w:rPr>
                <w:sz w:val="16"/>
              </w:rPr>
            </w:pPr>
            <w:r>
              <w:rPr>
                <w:w w:val="100"/>
                <w:sz w:val="16"/>
              </w:rPr>
              <w:t>-</w:t>
            </w:r>
          </w:p>
        </w:tc>
      </w:tr>
      <w:tr>
        <w:trPr>
          <w:trHeight w:val="1559" w:hRule="atLeast"/>
        </w:trPr>
        <w:tc>
          <w:tcPr>
            <w:tcW w:w="9013" w:type="dxa"/>
            <w:gridSpan w:val="8"/>
          </w:tcPr>
          <w:p>
            <w:pPr>
              <w:pStyle w:val="TableParagraph"/>
              <w:spacing w:before="64"/>
              <w:ind w:left="83"/>
              <w:rPr>
                <w:sz w:val="16"/>
              </w:rPr>
            </w:pPr>
            <w:r>
              <w:rPr>
                <w:sz w:val="16"/>
              </w:rPr>
              <w:t>Note 1 : R= annual rainfall in mm/yr</w:t>
            </w:r>
          </w:p>
          <w:p>
            <w:pPr>
              <w:pStyle w:val="TableParagraph"/>
              <w:spacing w:before="99"/>
              <w:ind w:left="83"/>
              <w:rPr>
                <w:sz w:val="16"/>
              </w:rPr>
            </w:pPr>
            <w:r>
              <w:rPr>
                <w:sz w:val="16"/>
              </w:rPr>
              <w:t>Note 2 : Data are given as mean value and as the range of possible values.</w:t>
            </w:r>
          </w:p>
          <w:p>
            <w:pPr>
              <w:pStyle w:val="TableParagraph"/>
              <w:spacing w:before="99"/>
              <w:ind w:left="83"/>
              <w:rPr>
                <w:sz w:val="16"/>
              </w:rPr>
            </w:pPr>
            <w:r>
              <w:rPr>
                <w:sz w:val="16"/>
              </w:rPr>
              <w:t>Note 3 : Some Boreal data were calculated from original values in Zakharov </w:t>
            </w:r>
            <w:r>
              <w:rPr>
                <w:i/>
                <w:sz w:val="16"/>
              </w:rPr>
              <w:t>et al. </w:t>
            </w:r>
            <w:r>
              <w:rPr>
                <w:sz w:val="16"/>
              </w:rPr>
              <w:t>(1962), Zagreev </w:t>
            </w:r>
            <w:r>
              <w:rPr>
                <w:i/>
                <w:sz w:val="16"/>
              </w:rPr>
              <w:t>et al. </w:t>
            </w:r>
            <w:r>
              <w:rPr>
                <w:sz w:val="16"/>
              </w:rPr>
              <w:t>(1993), Isaev </w:t>
            </w:r>
            <w:r>
              <w:rPr>
                <w:i/>
                <w:sz w:val="16"/>
              </w:rPr>
              <w:t>et al. </w:t>
            </w:r>
            <w:r>
              <w:rPr>
                <w:sz w:val="16"/>
              </w:rPr>
              <w:t>(1993) using</w:t>
            </w:r>
          </w:p>
          <w:p>
            <w:pPr>
              <w:pStyle w:val="TableParagraph"/>
              <w:spacing w:before="1"/>
              <w:ind w:left="83"/>
              <w:rPr>
                <w:sz w:val="16"/>
              </w:rPr>
            </w:pPr>
            <w:r>
              <w:rPr>
                <w:sz w:val="16"/>
              </w:rPr>
              <w:t>0.23 as belowground/aboveground biomass ratio and assuming a linear increase in annual increment from 0 to 20 years.</w:t>
            </w:r>
          </w:p>
          <w:p>
            <w:pPr>
              <w:pStyle w:val="TableParagraph"/>
              <w:spacing w:line="232" w:lineRule="auto" w:before="103"/>
              <w:ind w:left="83" w:hanging="1"/>
              <w:rPr>
                <w:sz w:val="16"/>
              </w:rPr>
            </w:pPr>
            <w:r>
              <w:rPr>
                <w:position w:val="2"/>
                <w:sz w:val="16"/>
              </w:rPr>
              <w:t>Note 4 : For plantations in temperate and boreal zones, it is good practice to use stemwood volume increment data (I</w:t>
            </w:r>
            <w:r>
              <w:rPr>
                <w:sz w:val="10"/>
              </w:rPr>
              <w:t>v </w:t>
            </w:r>
            <w:r>
              <w:rPr>
                <w:position w:val="2"/>
                <w:sz w:val="16"/>
              </w:rPr>
              <w:t>in Equation 3.2.5) </w:t>
            </w:r>
            <w:r>
              <w:rPr>
                <w:sz w:val="16"/>
              </w:rPr>
              <w:t>instead of above ground biomass increment as given in above table.</w:t>
            </w:r>
          </w:p>
        </w:tc>
      </w:tr>
    </w:tbl>
    <w:p>
      <w:pPr>
        <w:pStyle w:val="BodyText"/>
        <w:spacing w:before="7"/>
        <w:rPr>
          <w:sz w:val="28"/>
        </w:rPr>
      </w:pPr>
    </w:p>
    <w:p>
      <w:pPr>
        <w:pStyle w:val="Heading6"/>
        <w:spacing w:before="92"/>
        <w:ind w:left="219"/>
      </w:pPr>
      <w:r>
        <w:rPr/>
        <w:t>References for Tables 3A.1.2, 3A.1.3, 3A.1.4, 3A.1.5, and 3A.1.6</w:t>
      </w:r>
    </w:p>
    <w:p>
      <w:pPr>
        <w:spacing w:before="160"/>
        <w:ind w:left="219" w:right="0" w:firstLine="0"/>
        <w:jc w:val="left"/>
        <w:rPr>
          <w:b/>
          <w:sz w:val="16"/>
        </w:rPr>
      </w:pPr>
      <w:r>
        <w:rPr>
          <w:b/>
          <w:sz w:val="16"/>
        </w:rPr>
        <w:t>Tropical and subtropical</w:t>
      </w:r>
    </w:p>
    <w:p>
      <w:pPr>
        <w:spacing w:before="56"/>
        <w:ind w:left="219" w:right="0" w:firstLine="0"/>
        <w:jc w:val="left"/>
        <w:rPr>
          <w:sz w:val="16"/>
        </w:rPr>
      </w:pPr>
      <w:r>
        <w:rPr>
          <w:sz w:val="16"/>
        </w:rPr>
        <w:t>Brown, S. (1996). A primer for estimating biomass and biomass change of tropical forest. FAO, Rome, Italy. 55 pp.</w:t>
      </w:r>
    </w:p>
    <w:p>
      <w:pPr>
        <w:spacing w:before="61"/>
        <w:ind w:left="332" w:right="354" w:hanging="113"/>
        <w:jc w:val="left"/>
        <w:rPr>
          <w:sz w:val="16"/>
        </w:rPr>
      </w:pPr>
      <w:r>
        <w:rPr>
          <w:sz w:val="16"/>
        </w:rPr>
        <w:t>Budowski, G. (1985). The place of Agroforestry in managing tropical forest. In La conservación como instrumento para el desarrollo. Antología. San José, Costa Rica. EUNED. 19 pp.</w:t>
      </w:r>
    </w:p>
    <w:p>
      <w:pPr>
        <w:spacing w:before="59"/>
        <w:ind w:left="332" w:right="625" w:hanging="113"/>
        <w:jc w:val="left"/>
        <w:rPr>
          <w:sz w:val="16"/>
        </w:rPr>
      </w:pPr>
      <w:r>
        <w:rPr>
          <w:sz w:val="16"/>
        </w:rPr>
        <w:t>Burrows, W. H.; Henry, B. K.; Back, P. V., </w:t>
      </w:r>
      <w:r>
        <w:rPr>
          <w:i/>
          <w:sz w:val="16"/>
        </w:rPr>
        <w:t>et al. </w:t>
      </w:r>
      <w:r>
        <w:rPr>
          <w:sz w:val="16"/>
        </w:rPr>
        <w:t>(2002) Growth and carbon stock change in eucalypt woodlands in northeast Australia: ecological and greenhouse sink implications. Global Change Biology 8 (8): 769-784 2002</w:t>
      </w:r>
    </w:p>
    <w:p>
      <w:pPr>
        <w:spacing w:before="60"/>
        <w:ind w:left="332" w:right="354" w:hanging="113"/>
        <w:jc w:val="left"/>
        <w:rPr>
          <w:sz w:val="16"/>
        </w:rPr>
      </w:pPr>
      <w:r>
        <w:rPr>
          <w:sz w:val="16"/>
        </w:rPr>
        <w:t>Chudnoff, M. (1980). Tropical Timbers of the World. US Department of Agriculture, Forest Service, Forest Products Laboratory. Madison, W1. 831 pp.</w:t>
      </w:r>
    </w:p>
    <w:p>
      <w:pPr>
        <w:spacing w:line="319" w:lineRule="auto" w:before="59"/>
        <w:ind w:left="219" w:right="1669" w:firstLine="0"/>
        <w:jc w:val="left"/>
        <w:rPr>
          <w:sz w:val="16"/>
        </w:rPr>
      </w:pPr>
      <w:r>
        <w:rPr>
          <w:sz w:val="16"/>
        </w:rPr>
        <w:t>Clarke </w:t>
      </w:r>
      <w:r>
        <w:rPr>
          <w:i/>
          <w:sz w:val="16"/>
        </w:rPr>
        <w:t>et al. </w:t>
      </w:r>
      <w:r>
        <w:rPr>
          <w:sz w:val="16"/>
        </w:rPr>
        <w:t>(2001) NPP in tropical forests: an evaluation and synthesis of existing field data. Ecol. Applic. 11:371-384 Evans, J. (1982). Plantation forestry in the tropics. Oxford.</w:t>
      </w:r>
    </w:p>
    <w:p>
      <w:pPr>
        <w:spacing w:line="182" w:lineRule="exact" w:before="0"/>
        <w:ind w:left="219" w:right="0" w:firstLine="0"/>
        <w:jc w:val="left"/>
        <w:rPr>
          <w:sz w:val="16"/>
        </w:rPr>
      </w:pPr>
      <w:r>
        <w:rPr>
          <w:sz w:val="16"/>
        </w:rPr>
        <w:t>Favrichon, V. (1997). Réaction de peuplements forestiers tropicaux a des interventions sylvicoles. Bois et des forets des tropiques 254: 5-24</w:t>
      </w:r>
    </w:p>
    <w:p>
      <w:pPr>
        <w:spacing w:after="0" w:line="182" w:lineRule="exact"/>
        <w:jc w:val="left"/>
        <w:rPr>
          <w:sz w:val="16"/>
        </w:rPr>
        <w:sectPr>
          <w:pgSz w:w="11900" w:h="16840"/>
          <w:pgMar w:header="230" w:footer="408" w:top="560" w:bottom="600" w:left="1200" w:right="1140"/>
        </w:sectPr>
      </w:pPr>
    </w:p>
    <w:p>
      <w:pPr>
        <w:pStyle w:val="BodyText"/>
      </w:pPr>
    </w:p>
    <w:p>
      <w:pPr>
        <w:pStyle w:val="BodyText"/>
        <w:spacing w:before="3"/>
        <w:rPr>
          <w:sz w:val="18"/>
        </w:rPr>
      </w:pPr>
    </w:p>
    <w:p>
      <w:pPr>
        <w:spacing w:before="0"/>
        <w:ind w:left="332" w:right="0" w:hanging="113"/>
        <w:jc w:val="left"/>
        <w:rPr>
          <w:sz w:val="16"/>
        </w:rPr>
      </w:pPr>
      <w:r>
        <w:rPr>
          <w:sz w:val="16"/>
        </w:rPr>
        <w:t>FBDS: FUNDACAO BRASILERA PARA O DESEMVOLVIMENTO SUSTENTAVEL. (1997). Avaliacao das emissoes de gases de efeito estufa devido as mudancas no estoques de florestas plantadas. Rio de Janeiro (Brasil). 44 pp.</w:t>
      </w:r>
    </w:p>
    <w:p>
      <w:pPr>
        <w:spacing w:line="240" w:lineRule="atLeast" w:before="6"/>
        <w:ind w:left="219" w:right="354" w:firstLine="0"/>
        <w:jc w:val="left"/>
        <w:rPr>
          <w:sz w:val="16"/>
        </w:rPr>
      </w:pPr>
      <w:r>
        <w:rPr>
          <w:sz w:val="16"/>
        </w:rPr>
        <w:t>Fearnside, P.M. (1997). Wood density for estimating forest biomass in Brazilian Amazonia. Forest Ecology and Management 90(1): 59-87. FIA: Fundación para la Innovación Agraria. (2001). Potencial de proyectos forestales en el Mecansimo de Desarrollo Limpio en Chile. In</w:t>
      </w:r>
    </w:p>
    <w:p>
      <w:pPr>
        <w:spacing w:before="3"/>
        <w:ind w:left="332" w:right="357" w:firstLine="0"/>
        <w:jc w:val="left"/>
        <w:rPr>
          <w:sz w:val="16"/>
        </w:rPr>
      </w:pPr>
      <w:r>
        <w:rPr>
          <w:sz w:val="16"/>
        </w:rPr>
        <w:t>IV Seminario Regional forestal del Cono Sur, elaboración de proyectos forestales en el Mecanismo de Desarrollo Limpio, realizado 06-07 de diciembre de 2001. Santiago de Chile. 26 pp.</w:t>
      </w:r>
    </w:p>
    <w:p>
      <w:pPr>
        <w:spacing w:before="60"/>
        <w:ind w:left="332" w:right="709" w:hanging="113"/>
        <w:jc w:val="left"/>
        <w:rPr>
          <w:sz w:val="16"/>
        </w:rPr>
      </w:pPr>
      <w:r>
        <w:rPr>
          <w:sz w:val="16"/>
        </w:rPr>
        <w:t>GASTON G., BROWN S., LORENZINI M. &amp; SING. (1998). State and change in carbon pools in the forests of tropical Africa.Global Change Biology 4 (1), 97-114.</w:t>
      </w:r>
    </w:p>
    <w:p>
      <w:pPr>
        <w:spacing w:before="59"/>
        <w:ind w:left="332" w:right="654" w:hanging="113"/>
        <w:jc w:val="left"/>
        <w:rPr>
          <w:sz w:val="16"/>
        </w:rPr>
      </w:pPr>
      <w:r>
        <w:rPr>
          <w:sz w:val="16"/>
        </w:rPr>
        <w:t>Gower S.T., Gholz H.L, Nakane K.,Baldwin V.C. (1994). Production and carbon allocation patterns of pine forests Ecological bulletins 43:115-135 (data converted from aNPP values assuming litterfall =2 x L(-38)C foliage annual production)</w:t>
      </w:r>
    </w:p>
    <w:p>
      <w:pPr>
        <w:spacing w:before="59"/>
        <w:ind w:left="332" w:right="354" w:hanging="113"/>
        <w:jc w:val="left"/>
        <w:rPr>
          <w:sz w:val="16"/>
        </w:rPr>
      </w:pPr>
      <w:r>
        <w:rPr>
          <w:sz w:val="16"/>
        </w:rPr>
        <w:t>Grace J., Malhi Y., Higuchi N., Meir P. (2001). Productivity of tropical Rain Forests in "Terrestrial Global productivity" Roy J, Saugier B., &amp; Mooney H.Eds, Physiological Ecology Series, Academic Press, San Diego ,</w:t>
      </w:r>
      <w:r>
        <w:rPr>
          <w:spacing w:val="-9"/>
          <w:sz w:val="16"/>
        </w:rPr>
        <w:t> </w:t>
      </w:r>
      <w:r>
        <w:rPr>
          <w:sz w:val="16"/>
        </w:rPr>
        <w:t>401-426</w:t>
      </w:r>
    </w:p>
    <w:p>
      <w:pPr>
        <w:spacing w:before="62"/>
        <w:ind w:left="332" w:right="576" w:hanging="113"/>
        <w:jc w:val="left"/>
        <w:rPr>
          <w:sz w:val="16"/>
        </w:rPr>
      </w:pPr>
      <w:r>
        <w:rPr>
          <w:sz w:val="16"/>
        </w:rPr>
        <w:t>Hofmann-Schielle, C., A. Jug, </w:t>
      </w:r>
      <w:r>
        <w:rPr>
          <w:i/>
          <w:sz w:val="16"/>
        </w:rPr>
        <w:t>et al. </w:t>
      </w:r>
      <w:r>
        <w:rPr>
          <w:sz w:val="16"/>
        </w:rPr>
        <w:t>(1999). Short-rotation plantations of balsam poplars, aspen and willows on former arable land in the Federal Republic of Germany. I. Site-growth relationships. Forest Ecology and Management 121(1/2): 41-55.</w:t>
      </w:r>
    </w:p>
    <w:p>
      <w:pPr>
        <w:spacing w:before="59"/>
        <w:ind w:left="219" w:right="0" w:firstLine="0"/>
        <w:jc w:val="left"/>
        <w:rPr>
          <w:sz w:val="16"/>
        </w:rPr>
      </w:pPr>
      <w:r>
        <w:rPr>
          <w:sz w:val="16"/>
        </w:rPr>
        <w:t>IBDF. (1983). Potencial madereira do Grande Carajás. Instituto Brasileiro de Desenvolvimento Florestal. Brasilia, DF, Brazil. 134 pp.</w:t>
      </w:r>
    </w:p>
    <w:p>
      <w:pPr>
        <w:spacing w:before="58"/>
        <w:ind w:left="219" w:right="0" w:firstLine="0"/>
        <w:jc w:val="left"/>
        <w:rPr>
          <w:sz w:val="16"/>
        </w:rPr>
      </w:pPr>
      <w:r>
        <w:rPr>
          <w:i/>
          <w:sz w:val="16"/>
        </w:rPr>
        <w:t>IPCC Guidelines </w:t>
      </w:r>
      <w:r>
        <w:rPr>
          <w:sz w:val="16"/>
        </w:rPr>
        <w:t>(1996). Workbook p 5.22. from Houghton etal. 1983, 1987.</w:t>
      </w:r>
    </w:p>
    <w:p>
      <w:pPr>
        <w:spacing w:line="240" w:lineRule="atLeast" w:before="5"/>
        <w:ind w:left="219" w:right="602" w:firstLine="0"/>
        <w:jc w:val="left"/>
        <w:rPr>
          <w:sz w:val="16"/>
        </w:rPr>
      </w:pPr>
      <w:r>
        <w:rPr>
          <w:sz w:val="16"/>
        </w:rPr>
        <w:t>Klinge, H.; Rodrigues, W.A. (1973). Biomass estimation in a central Amazonian rain forest. Acta Científica Venezolana 24:225-237 Laclau, J. P., J. P. Bouillet, </w:t>
      </w:r>
      <w:r>
        <w:rPr>
          <w:i/>
          <w:sz w:val="16"/>
        </w:rPr>
        <w:t>et al. </w:t>
      </w:r>
      <w:r>
        <w:rPr>
          <w:sz w:val="16"/>
        </w:rPr>
        <w:t>(2000). Dynamics of biomass and nutrient accumulation in a clonal plantation of Eucalyptus in Congo.</w:t>
      </w:r>
    </w:p>
    <w:p>
      <w:pPr>
        <w:spacing w:before="3"/>
        <w:ind w:left="332" w:right="0" w:firstLine="0"/>
        <w:jc w:val="left"/>
        <w:rPr>
          <w:sz w:val="16"/>
        </w:rPr>
      </w:pPr>
      <w:r>
        <w:rPr>
          <w:sz w:val="16"/>
        </w:rPr>
        <w:t>Forest Ecology and Management 128(3): 181-196</w:t>
      </w:r>
    </w:p>
    <w:p>
      <w:pPr>
        <w:spacing w:before="61"/>
        <w:ind w:left="219" w:right="0" w:firstLine="0"/>
        <w:jc w:val="left"/>
        <w:rPr>
          <w:sz w:val="16"/>
        </w:rPr>
      </w:pPr>
      <w:r>
        <w:rPr>
          <w:sz w:val="16"/>
        </w:rPr>
        <w:t>Lamprecht, H. (1990). Silviculture in the tropics. GTZ. Rossdorf, Deutsche. 333 pp.</w:t>
      </w:r>
    </w:p>
    <w:p>
      <w:pPr>
        <w:spacing w:before="59"/>
        <w:ind w:left="332" w:right="742" w:hanging="113"/>
        <w:jc w:val="left"/>
        <w:rPr>
          <w:sz w:val="16"/>
        </w:rPr>
      </w:pPr>
      <w:r>
        <w:rPr>
          <w:sz w:val="16"/>
        </w:rPr>
        <w:t>Mandouri T. </w:t>
      </w:r>
      <w:r>
        <w:rPr>
          <w:i/>
          <w:sz w:val="16"/>
        </w:rPr>
        <w:t>et al. </w:t>
      </w:r>
      <w:r>
        <w:rPr>
          <w:sz w:val="16"/>
        </w:rPr>
        <w:t>in "Annales de la recherche forestière (1951-1999); and Thesis from National High School of Forestry (ENFI); and Hassan II Agronomic Institut(IAVHII)</w:t>
      </w:r>
    </w:p>
    <w:p>
      <w:pPr>
        <w:spacing w:line="183" w:lineRule="exact" w:before="61"/>
        <w:ind w:left="219" w:right="0" w:firstLine="0"/>
        <w:jc w:val="left"/>
        <w:rPr>
          <w:sz w:val="16"/>
        </w:rPr>
      </w:pPr>
      <w:r>
        <w:rPr>
          <w:sz w:val="16"/>
        </w:rPr>
        <w:t>MDSP/PNCC: MINISTERIO DE DESARROLLO SOSTENIBLE Y PLANIFICACION; PROGRAMA NACIONAL DE CAMBIOS</w:t>
      </w:r>
    </w:p>
    <w:p>
      <w:pPr>
        <w:spacing w:before="0"/>
        <w:ind w:left="332" w:right="266" w:firstLine="0"/>
        <w:jc w:val="left"/>
        <w:rPr>
          <w:sz w:val="16"/>
        </w:rPr>
      </w:pPr>
      <w:r>
        <w:rPr>
          <w:sz w:val="16"/>
        </w:rPr>
        <w:t>CLIMATICOS. (2002). Inventariación de Emisiones de Gases de Efecto Invernadero, Bolivia, 1990, 1994, 1998 y 2000. La Paz (Bolivia). 443 pp.</w:t>
      </w:r>
    </w:p>
    <w:p>
      <w:pPr>
        <w:spacing w:before="59"/>
        <w:ind w:left="332" w:right="354" w:hanging="113"/>
        <w:jc w:val="left"/>
        <w:rPr>
          <w:sz w:val="16"/>
        </w:rPr>
      </w:pPr>
      <w:r>
        <w:rPr>
          <w:sz w:val="16"/>
        </w:rPr>
        <w:t>MINISTERIO DE MEDIOAMBIENTE Y RECURSOS NATURALES. (2000). Taller Regional Centro Americano sobre el Cambio Climático, 24-26 de junio de 2000. Ciudad de Panamá, Panamá.</w:t>
      </w:r>
    </w:p>
    <w:p>
      <w:pPr>
        <w:spacing w:before="61"/>
        <w:ind w:left="331" w:right="692" w:hanging="113"/>
        <w:jc w:val="left"/>
        <w:rPr>
          <w:sz w:val="16"/>
        </w:rPr>
      </w:pPr>
      <w:r>
        <w:rPr>
          <w:sz w:val="16"/>
        </w:rPr>
        <w:t>Montagnini, F. (2000). Accumulation in above-ground biomass and soil storage of mineral nutrients in pure and mixed plantations in a humid tropical lowland. Forest Ecology and Management 134(1/3): 257-270.</w:t>
      </w:r>
    </w:p>
    <w:p>
      <w:pPr>
        <w:spacing w:before="60"/>
        <w:ind w:left="331" w:right="0" w:hanging="113"/>
        <w:jc w:val="left"/>
        <w:rPr>
          <w:sz w:val="16"/>
        </w:rPr>
      </w:pPr>
      <w:r>
        <w:rPr>
          <w:sz w:val="16"/>
        </w:rPr>
        <w:t>Moreno, H. (2001). Estado de la Investigación sobre dinámica del carbono en proyectos Forestales de Colombia. Universidad Nacional de Colombia, Sede Medellín, Departamento de Ciencias Forestales. Medellín, Colombia.</w:t>
      </w:r>
    </w:p>
    <w:p>
      <w:pPr>
        <w:spacing w:before="59"/>
        <w:ind w:left="331" w:right="635" w:hanging="113"/>
        <w:jc w:val="left"/>
        <w:rPr>
          <w:sz w:val="16"/>
        </w:rPr>
      </w:pPr>
      <w:r>
        <w:rPr>
          <w:sz w:val="16"/>
        </w:rPr>
        <w:t>Norgrove, L. and S. Hauser (2002). Measured growth and tree biomass estimates of Terminalia ivorensis in the 3 years after thinning to different stand densities in an agrisilvicultural system in southern Cameroon. Forest Ecology and Management 166(1/3): 261-270.</w:t>
      </w:r>
    </w:p>
    <w:p>
      <w:pPr>
        <w:spacing w:before="59"/>
        <w:ind w:left="331" w:right="518" w:hanging="113"/>
        <w:jc w:val="left"/>
        <w:rPr>
          <w:sz w:val="16"/>
        </w:rPr>
      </w:pPr>
      <w:r>
        <w:rPr>
          <w:sz w:val="16"/>
        </w:rPr>
        <w:t>PAC-NK: NOEL KEMPFF CLIMATE ACTION PROJECT. (2000). Noel Kempff Climate Action Project: project case carbon inventory and offset benefits. Winrock Drive. Arlington, U.S.A. 45 pp.</w:t>
      </w:r>
    </w:p>
    <w:p>
      <w:pPr>
        <w:spacing w:before="59"/>
        <w:ind w:left="219" w:right="0" w:firstLine="0"/>
        <w:jc w:val="left"/>
        <w:rPr>
          <w:sz w:val="16"/>
        </w:rPr>
      </w:pPr>
      <w:r>
        <w:rPr>
          <w:sz w:val="16"/>
        </w:rPr>
        <w:t>Pandey, D (1982).</w:t>
      </w:r>
    </w:p>
    <w:p>
      <w:pPr>
        <w:spacing w:before="61"/>
        <w:ind w:left="331" w:right="643" w:hanging="113"/>
        <w:jc w:val="left"/>
        <w:rPr>
          <w:sz w:val="16"/>
        </w:rPr>
      </w:pPr>
      <w:r>
        <w:rPr>
          <w:sz w:val="16"/>
        </w:rPr>
        <w:t>Parrotta, J. A. (1999). Productivity, nutrient cycling, and succession in single- and mixed-species plantations of Casuarina equisetifolia, Eucalyptus robusta, and Leucaena leucocephala in Puerto Rico. Forest Ecology and Management 124(1): 45-77</w:t>
      </w:r>
    </w:p>
    <w:p>
      <w:pPr>
        <w:spacing w:before="59"/>
        <w:ind w:left="331" w:right="0" w:hanging="113"/>
        <w:jc w:val="left"/>
        <w:rPr>
          <w:sz w:val="16"/>
        </w:rPr>
      </w:pPr>
      <w:r>
        <w:rPr>
          <w:sz w:val="16"/>
        </w:rPr>
        <w:t>Peters, R. (1977). Fortalecimiento al sector forestal Guatemala inventarios y estudios dendrométricos en bosques de coniferas. FO:DP/GUA/72/006, Informe Técnico 2, FAO, Rome, Italy.</w:t>
      </w:r>
    </w:p>
    <w:p>
      <w:pPr>
        <w:spacing w:before="60"/>
        <w:ind w:left="331" w:right="0" w:hanging="113"/>
        <w:jc w:val="left"/>
        <w:rPr>
          <w:sz w:val="16"/>
        </w:rPr>
      </w:pPr>
      <w:r>
        <w:rPr>
          <w:sz w:val="16"/>
        </w:rPr>
        <w:t>Ramírez, P.; Chacón, R. (1996). National Inventory of Sources and Sinks of Greenhouse Gases in Costa Rica. U.S. Contry Studies Program. Kluwer Academic Publishers. Boston, U.K. 357-365.</w:t>
      </w:r>
    </w:p>
    <w:p>
      <w:pPr>
        <w:spacing w:before="61"/>
        <w:ind w:left="331" w:right="354" w:hanging="113"/>
        <w:jc w:val="left"/>
        <w:rPr>
          <w:sz w:val="16"/>
        </w:rPr>
      </w:pPr>
      <w:r>
        <w:rPr>
          <w:sz w:val="16"/>
        </w:rPr>
        <w:t>Russell, C.E. (1983). Nutrient cycling and productivity of native and plantation forest at Jari Florestal, Pará, Brazil. Ph.D. dissertation in ecology, University of Georgia, Athens, Georgia, U.S.A. 133 pp.</w:t>
      </w:r>
    </w:p>
    <w:p>
      <w:pPr>
        <w:spacing w:before="59"/>
        <w:ind w:left="331" w:right="354" w:hanging="113"/>
        <w:jc w:val="left"/>
        <w:rPr>
          <w:sz w:val="16"/>
        </w:rPr>
      </w:pPr>
      <w:r>
        <w:rPr>
          <w:sz w:val="16"/>
        </w:rPr>
        <w:t>Saldarriaga, C.A.; Escobar, J.G.; Orrego, S. A.; Del Valle, I. (2001). Proyectos de Reforestación como parte del Mecanismo de Desarrollo Limpio: una aproximación preliminar para el análisis financiero y ambiental. Universidad Nacional de Colombia, Departamento de Ciencias Forestales. Medellín (Colombia). 61 pp.</w:t>
      </w:r>
    </w:p>
    <w:p>
      <w:pPr>
        <w:spacing w:before="60"/>
        <w:ind w:left="331" w:right="283" w:hanging="113"/>
        <w:jc w:val="left"/>
        <w:rPr>
          <w:sz w:val="16"/>
        </w:rPr>
      </w:pPr>
      <w:r>
        <w:rPr>
          <w:sz w:val="16"/>
        </w:rPr>
        <w:t>Wadsworth, F.H. (1997). Forest production for tropical America. USDA Forest Service Agriculture Handbook 710. Washington, DC, USDA Forest Service.</w:t>
      </w:r>
    </w:p>
    <w:p>
      <w:pPr>
        <w:spacing w:before="60"/>
        <w:ind w:left="331" w:right="416" w:hanging="113"/>
        <w:jc w:val="left"/>
        <w:rPr>
          <w:sz w:val="16"/>
        </w:rPr>
      </w:pPr>
      <w:r>
        <w:rPr>
          <w:sz w:val="16"/>
        </w:rPr>
        <w:t>Webb, D.B., Wood, P.J., Smith, J.P. &amp; Henman, G.S. (1984). A guide to species selection for tropical and subtropical plantations. Tropical Forestry Papers No. 15 Oxford, UK, Commonwealth Forestry Institute.</w:t>
      </w:r>
    </w:p>
    <w:p>
      <w:pPr>
        <w:pStyle w:val="BodyText"/>
        <w:rPr>
          <w:sz w:val="18"/>
        </w:rPr>
      </w:pPr>
    </w:p>
    <w:p>
      <w:pPr>
        <w:pStyle w:val="BodyText"/>
        <w:spacing w:before="10"/>
        <w:rPr>
          <w:sz w:val="17"/>
        </w:rPr>
      </w:pPr>
    </w:p>
    <w:p>
      <w:pPr>
        <w:spacing w:before="0"/>
        <w:ind w:left="219" w:right="0" w:firstLine="0"/>
        <w:jc w:val="left"/>
        <w:rPr>
          <w:b/>
          <w:sz w:val="20"/>
        </w:rPr>
      </w:pPr>
      <w:r>
        <w:rPr>
          <w:b/>
          <w:sz w:val="20"/>
        </w:rPr>
        <w:t>Temperate</w:t>
      </w:r>
    </w:p>
    <w:p>
      <w:pPr>
        <w:spacing w:before="117"/>
        <w:ind w:left="332" w:right="933" w:hanging="113"/>
        <w:jc w:val="left"/>
        <w:rPr>
          <w:sz w:val="16"/>
        </w:rPr>
      </w:pPr>
      <w:r>
        <w:rPr>
          <w:sz w:val="16"/>
        </w:rPr>
        <w:t>Data includes values compiled by DR. JIM SMITH, USDA FOREST SERVICE, DURHAM NH USA 03824. </w:t>
      </w:r>
      <w:hyperlink r:id="rId193">
        <w:r>
          <w:rPr>
            <w:sz w:val="16"/>
          </w:rPr>
          <w:t>jsmith11@fs.fed.us,</w:t>
        </w:r>
      </w:hyperlink>
      <w:r>
        <w:rPr>
          <w:sz w:val="16"/>
        </w:rPr>
        <w:t> </w:t>
      </w:r>
      <w:hyperlink r:id="rId194">
        <w:r>
          <w:rPr>
            <w:sz w:val="16"/>
          </w:rPr>
          <w:t>Lheath@fs.fed.us</w:t>
        </w:r>
      </w:hyperlink>
    </w:p>
    <w:p>
      <w:pPr>
        <w:spacing w:before="59"/>
        <w:ind w:left="219" w:right="0" w:firstLine="0"/>
        <w:jc w:val="left"/>
        <w:rPr>
          <w:sz w:val="16"/>
        </w:rPr>
      </w:pPr>
      <w:r>
        <w:rPr>
          <w:sz w:val="16"/>
        </w:rPr>
        <w:t>Botkin D.B., Simpson L.G. (1990) Biomass of North American Boreal Forest. Biogeochemistry, 9: 161-174.</w:t>
      </w:r>
    </w:p>
    <w:p>
      <w:pPr>
        <w:spacing w:before="59"/>
        <w:ind w:left="332" w:right="562" w:hanging="113"/>
        <w:jc w:val="left"/>
        <w:rPr>
          <w:sz w:val="16"/>
        </w:rPr>
      </w:pPr>
      <w:r>
        <w:rPr>
          <w:sz w:val="16"/>
        </w:rPr>
        <w:t>Brown S., Schroeder P., Kern J.S. (1999) Spatial distribution of biomass in forests of the eastern USA. Forest Ecology and Management, 123:81-90</w:t>
      </w:r>
    </w:p>
    <w:p>
      <w:pPr>
        <w:spacing w:before="61"/>
        <w:ind w:left="332" w:right="625" w:hanging="113"/>
        <w:jc w:val="left"/>
        <w:rPr>
          <w:sz w:val="16"/>
        </w:rPr>
      </w:pPr>
      <w:r>
        <w:rPr>
          <w:sz w:val="16"/>
        </w:rPr>
        <w:t>Burrows, W. H.; Henry, B. K.; Back, P. V., </w:t>
      </w:r>
      <w:r>
        <w:rPr>
          <w:i/>
          <w:sz w:val="16"/>
        </w:rPr>
        <w:t>et al. </w:t>
      </w:r>
      <w:r>
        <w:rPr>
          <w:sz w:val="16"/>
        </w:rPr>
        <w:t>(2002) Growth and carbon stock change in eucalypt woodlands in northeast Australia: ecological and greenhouse sink implications. Global Change Biology 8 (8): 769-784 2002</w:t>
      </w:r>
    </w:p>
    <w:p>
      <w:pPr>
        <w:spacing w:before="60"/>
        <w:ind w:left="332" w:right="256" w:hanging="113"/>
        <w:jc w:val="left"/>
        <w:rPr>
          <w:sz w:val="16"/>
        </w:rPr>
      </w:pPr>
      <w:r>
        <w:rPr>
          <w:sz w:val="16"/>
        </w:rPr>
        <w:t>Fang, S., X. Xu, </w:t>
      </w:r>
      <w:r>
        <w:rPr>
          <w:i/>
          <w:sz w:val="16"/>
        </w:rPr>
        <w:t>et al. </w:t>
      </w:r>
      <w:r>
        <w:rPr>
          <w:sz w:val="16"/>
        </w:rPr>
        <w:t>(1999). Growth dynamics and biomass production in short-rotation poplar plantations: 6-year results for three clones at four spacings. Biomass and Bioenergy 17(5): 415-425.</w:t>
      </w:r>
    </w:p>
    <w:p>
      <w:pPr>
        <w:spacing w:before="59"/>
        <w:ind w:left="332" w:right="354" w:hanging="113"/>
        <w:jc w:val="left"/>
        <w:rPr>
          <w:sz w:val="16"/>
        </w:rPr>
      </w:pPr>
      <w:r>
        <w:rPr>
          <w:sz w:val="16"/>
        </w:rPr>
        <w:t>Götz S, D'Angelo SA , Teixeira W G, l Haag and Lieberei R (2002) Conversion of secondary forest into agroforestry and monoculture plantations in Amazonia: consequences for biomass, litter and soil carbon stocks after 7 years, For. Ecol. Manage 163 Pages 131-150</w:t>
      </w:r>
    </w:p>
    <w:p>
      <w:pPr>
        <w:spacing w:after="0"/>
        <w:jc w:val="left"/>
        <w:rPr>
          <w:sz w:val="16"/>
        </w:rPr>
        <w:sectPr>
          <w:pgSz w:w="11900" w:h="16840"/>
          <w:pgMar w:header="230" w:footer="408" w:top="560" w:bottom="600" w:left="1200" w:right="1140"/>
        </w:sectPr>
      </w:pPr>
    </w:p>
    <w:p>
      <w:pPr>
        <w:pStyle w:val="BodyText"/>
      </w:pPr>
    </w:p>
    <w:p>
      <w:pPr>
        <w:pStyle w:val="BodyText"/>
        <w:spacing w:before="3"/>
        <w:rPr>
          <w:sz w:val="18"/>
        </w:rPr>
      </w:pPr>
    </w:p>
    <w:p>
      <w:pPr>
        <w:spacing w:before="0"/>
        <w:ind w:left="332" w:right="694" w:hanging="113"/>
        <w:jc w:val="left"/>
        <w:rPr>
          <w:sz w:val="16"/>
        </w:rPr>
      </w:pPr>
      <w:r>
        <w:rPr>
          <w:sz w:val="16"/>
        </w:rPr>
        <w:t>Gower S.T., Gholz H.L, Nakane K.,Baldwin V.C. (1994) Production and carbon allocation patterns of pine forests Ecological bulletins 43:115-135 (data converted from aNPP values assuming litterfall =2 x foliage annual production)</w:t>
      </w:r>
    </w:p>
    <w:p>
      <w:pPr>
        <w:spacing w:before="62"/>
        <w:ind w:left="332" w:right="267" w:hanging="113"/>
        <w:jc w:val="left"/>
        <w:rPr>
          <w:sz w:val="16"/>
        </w:rPr>
      </w:pPr>
      <w:r>
        <w:rPr>
          <w:sz w:val="16"/>
        </w:rPr>
        <w:t>Grierson, P. F., M. A. Adams, </w:t>
      </w:r>
      <w:r>
        <w:rPr>
          <w:i/>
          <w:sz w:val="16"/>
        </w:rPr>
        <w:t>et al. </w:t>
      </w:r>
      <w:r>
        <w:rPr>
          <w:sz w:val="16"/>
        </w:rPr>
        <w:t>(1992). Estimates of carbon storage in the above-ground biomass of Victoria's forests. Australian Journal of Botany 40(4/5): 631-640.</w:t>
      </w:r>
    </w:p>
    <w:p>
      <w:pPr>
        <w:spacing w:before="59"/>
        <w:ind w:left="332" w:right="266" w:hanging="113"/>
        <w:jc w:val="left"/>
        <w:rPr>
          <w:sz w:val="16"/>
        </w:rPr>
      </w:pPr>
      <w:r>
        <w:rPr>
          <w:sz w:val="16"/>
        </w:rPr>
        <w:t>Hall GMJ, Wiser SK, Allen RB, Beets PN and Goulding C J (2001).Strategies to estimate national forest carbon stocks from inventory data: the 1990 New Zealand baseline.Global Change Biology,7:389-403.</w:t>
      </w:r>
    </w:p>
    <w:p>
      <w:pPr>
        <w:spacing w:before="60"/>
        <w:ind w:left="332" w:right="576" w:hanging="113"/>
        <w:jc w:val="left"/>
        <w:rPr>
          <w:sz w:val="16"/>
        </w:rPr>
      </w:pPr>
      <w:r>
        <w:rPr>
          <w:sz w:val="16"/>
        </w:rPr>
        <w:t>Hofmann-Schielle, C., A. Jug, </w:t>
      </w:r>
      <w:r>
        <w:rPr>
          <w:i/>
          <w:sz w:val="16"/>
        </w:rPr>
        <w:t>et al. </w:t>
      </w:r>
      <w:r>
        <w:rPr>
          <w:sz w:val="16"/>
        </w:rPr>
        <w:t>(1999). Short-rotation plantations of balsam poplars, aspen and willows on former arable land in the Federal Republic of Germany. I. Site-growth relationships. Forest Ecology and Management 121(1/2): 41-55.</w:t>
      </w:r>
    </w:p>
    <w:p>
      <w:pPr>
        <w:spacing w:before="59"/>
        <w:ind w:left="332" w:right="554" w:hanging="113"/>
        <w:jc w:val="left"/>
        <w:rPr>
          <w:sz w:val="16"/>
        </w:rPr>
      </w:pPr>
      <w:r>
        <w:rPr>
          <w:sz w:val="16"/>
        </w:rPr>
        <w:t>Mitchell, C. P., E. A. Stevens, </w:t>
      </w:r>
      <w:r>
        <w:rPr>
          <w:i/>
          <w:sz w:val="16"/>
        </w:rPr>
        <w:t>et al. </w:t>
      </w:r>
      <w:r>
        <w:rPr>
          <w:sz w:val="16"/>
        </w:rPr>
        <w:t>(1999). Short-rotation forestry - operations, productivity and costs based on experience gained in the UK. Forest Ecology and Management 121(1/2): 123-136.</w:t>
      </w:r>
    </w:p>
    <w:p>
      <w:pPr>
        <w:spacing w:before="59"/>
        <w:ind w:left="332" w:right="612" w:hanging="113"/>
        <w:jc w:val="left"/>
        <w:rPr>
          <w:sz w:val="16"/>
        </w:rPr>
      </w:pPr>
      <w:r>
        <w:rPr>
          <w:sz w:val="16"/>
        </w:rPr>
        <w:t>Santa Regina, I. and T. Tarazona (2001). Nutrient cycling in a natural beech forest and adjacent planted pine in northern Spain. Forestry (Oxford) 74(1): 11-28</w:t>
      </w:r>
    </w:p>
    <w:p>
      <w:pPr>
        <w:spacing w:before="62"/>
        <w:ind w:left="332" w:right="0" w:hanging="113"/>
        <w:jc w:val="left"/>
        <w:rPr>
          <w:sz w:val="16"/>
        </w:rPr>
      </w:pPr>
      <w:r>
        <w:rPr>
          <w:sz w:val="16"/>
        </w:rPr>
        <w:t>Schroeder, P., S. Brown, </w:t>
      </w:r>
      <w:r>
        <w:rPr>
          <w:i/>
          <w:sz w:val="16"/>
        </w:rPr>
        <w:t>et al. </w:t>
      </w:r>
      <w:r>
        <w:rPr>
          <w:sz w:val="16"/>
        </w:rPr>
        <w:t>(1997). Biomass estimation for temperate broadleaf forests of the United States using inventory data. Forest Science 43(3): 424-434.</w:t>
      </w:r>
    </w:p>
    <w:p>
      <w:pPr>
        <w:spacing w:before="59"/>
        <w:ind w:left="332" w:right="549" w:hanging="113"/>
        <w:jc w:val="left"/>
        <w:rPr>
          <w:sz w:val="16"/>
        </w:rPr>
      </w:pPr>
      <w:r>
        <w:rPr>
          <w:sz w:val="16"/>
        </w:rPr>
        <w:t>Shan, J Morris L A. &amp; Hendrick, R L. (2001) The effects of management on soil and plant carbon sequestration in slash pine plantations. Journal of Applied Ecology 38 (5), 932-941.</w:t>
      </w:r>
    </w:p>
    <w:p>
      <w:pPr>
        <w:spacing w:before="59"/>
        <w:ind w:left="332" w:right="1107" w:hanging="113"/>
        <w:jc w:val="left"/>
        <w:rPr>
          <w:sz w:val="16"/>
        </w:rPr>
      </w:pPr>
      <w:r>
        <w:rPr>
          <w:sz w:val="16"/>
        </w:rPr>
        <w:t>Smith and Heath. Data includes values compiled by DR. JIM SMITH, USDA FOREST SERVICE, DURHAM NH USA 03824.</w:t>
      </w:r>
      <w:hyperlink r:id="rId193">
        <w:r>
          <w:rPr>
            <w:sz w:val="16"/>
          </w:rPr>
          <w:t> jsmith11@fs.fed.us,</w:t>
        </w:r>
      </w:hyperlink>
      <w:r>
        <w:rPr>
          <w:sz w:val="16"/>
        </w:rPr>
        <w:t> </w:t>
      </w:r>
      <w:hyperlink r:id="rId194">
        <w:r>
          <w:rPr>
            <w:sz w:val="16"/>
          </w:rPr>
          <w:t>Lheath@fs.fed.us</w:t>
        </w:r>
      </w:hyperlink>
    </w:p>
    <w:p>
      <w:pPr>
        <w:spacing w:before="59"/>
        <w:ind w:left="332" w:right="913" w:hanging="113"/>
        <w:jc w:val="left"/>
        <w:rPr>
          <w:sz w:val="16"/>
        </w:rPr>
      </w:pPr>
      <w:r>
        <w:rPr>
          <w:sz w:val="16"/>
        </w:rPr>
        <w:t>Son YH; Hwang JW; Kim ZS; Lee WK; Kim JS (2001) Allometry and biomass of Korean pine (Pinus koraiensis) in central Korea. Bioresource Technology 78 (3): 251-255 2001</w:t>
      </w:r>
    </w:p>
    <w:p>
      <w:pPr>
        <w:spacing w:before="60"/>
        <w:ind w:left="332" w:right="428" w:hanging="113"/>
        <w:jc w:val="both"/>
        <w:rPr>
          <w:sz w:val="16"/>
        </w:rPr>
      </w:pPr>
      <w:r>
        <w:rPr>
          <w:sz w:val="16"/>
        </w:rPr>
        <w:t>Turnbull, C.R.A., McLeod, D.E., Beadle, C.L., Ratkowsky, D.A., Mummery, D.C. and Bird, T. (1993). Comparative growth of Eucalyptus species of the subgenera Monocalyptus and Symphyomyrtus in intensively managed plantations in southern Tasmania. Aust. For. 56, pp. 276–286.</w:t>
      </w:r>
    </w:p>
    <w:p>
      <w:pPr>
        <w:spacing w:before="60"/>
        <w:ind w:left="332" w:right="290" w:hanging="113"/>
        <w:jc w:val="left"/>
        <w:rPr>
          <w:sz w:val="16"/>
        </w:rPr>
      </w:pPr>
      <w:r>
        <w:rPr>
          <w:sz w:val="16"/>
        </w:rPr>
        <w:t>UN-ECE/FAO (2000). Forest Resources of Europe, CIS, North America, Australia, Japan and new Zealand (industrialized temperate / boreal countries.UN-ECE/FAO contribution to th Global Forest Resources Assessment 2000, united nations, New-Ypork and Geneva, geneva Timber and Forest Study papers, No 17.446 p.</w:t>
      </w:r>
    </w:p>
    <w:p>
      <w:pPr>
        <w:spacing w:before="60"/>
        <w:ind w:left="332" w:right="551" w:hanging="113"/>
        <w:jc w:val="left"/>
        <w:rPr>
          <w:sz w:val="16"/>
        </w:rPr>
      </w:pPr>
      <w:r>
        <w:rPr>
          <w:sz w:val="16"/>
        </w:rPr>
        <w:t>U'soltsev and Van Clay. (1995). Stand Biomass Dynamics of Pine plantations and natural forests on dry steppe in Kazakhstan Scan J For Res, 10, 305-312</w:t>
      </w:r>
    </w:p>
    <w:p>
      <w:pPr>
        <w:spacing w:before="59"/>
        <w:ind w:left="219" w:right="0" w:firstLine="0"/>
        <w:jc w:val="left"/>
        <w:rPr>
          <w:sz w:val="16"/>
        </w:rPr>
      </w:pPr>
      <w:r>
        <w:rPr>
          <w:sz w:val="16"/>
        </w:rPr>
        <w:t>Vogt K (1991). Carbon budgets of temperate forest ecosystems. Tree Physiology, 9:69-86.</w:t>
      </w:r>
    </w:p>
    <w:p>
      <w:pPr>
        <w:spacing w:before="61"/>
        <w:ind w:left="332" w:right="454" w:hanging="113"/>
        <w:jc w:val="left"/>
        <w:rPr>
          <w:sz w:val="16"/>
        </w:rPr>
      </w:pPr>
      <w:r>
        <w:rPr>
          <w:sz w:val="16"/>
        </w:rPr>
        <w:t>Zhou, G., Y. Wang, </w:t>
      </w:r>
      <w:r>
        <w:rPr>
          <w:i/>
          <w:sz w:val="16"/>
        </w:rPr>
        <w:t>et al. </w:t>
      </w:r>
      <w:r>
        <w:rPr>
          <w:sz w:val="16"/>
        </w:rPr>
        <w:t>(2002). Estimating biomass and net primary production from forest inventory data: a case study of China's Larix forests. Forest Ecology and Management 169(1/2): 149-157.</w:t>
      </w:r>
    </w:p>
    <w:p>
      <w:pPr>
        <w:pStyle w:val="BodyText"/>
        <w:rPr>
          <w:sz w:val="18"/>
        </w:rPr>
      </w:pPr>
    </w:p>
    <w:p>
      <w:pPr>
        <w:pStyle w:val="BodyText"/>
        <w:spacing w:before="10"/>
        <w:rPr>
          <w:sz w:val="17"/>
        </w:rPr>
      </w:pPr>
    </w:p>
    <w:p>
      <w:pPr>
        <w:spacing w:before="0"/>
        <w:ind w:left="219" w:right="0" w:firstLine="0"/>
        <w:jc w:val="left"/>
        <w:rPr>
          <w:b/>
          <w:sz w:val="20"/>
        </w:rPr>
      </w:pPr>
      <w:r>
        <w:rPr>
          <w:b/>
          <w:sz w:val="20"/>
        </w:rPr>
        <w:t>Boreal</w:t>
      </w:r>
    </w:p>
    <w:p>
      <w:pPr>
        <w:spacing w:line="240" w:lineRule="atLeast" w:before="61"/>
        <w:ind w:left="219" w:right="708" w:firstLine="0"/>
        <w:jc w:val="left"/>
        <w:rPr>
          <w:i/>
          <w:sz w:val="16"/>
        </w:rPr>
      </w:pPr>
      <w:r>
        <w:rPr>
          <w:sz w:val="16"/>
        </w:rPr>
        <w:t>Finnish Forest Research Institute (2002). Finnish Statistical Yearbook of Forestry. SVT Agriculture and Forestry, Helsinki, Finland. Isaev, A.S., Korovin, G.N., Utkin A.I., Pryazhnikov A.A., and D.G. Zamolodchikov (1993) </w:t>
      </w:r>
      <w:r>
        <w:rPr>
          <w:i/>
          <w:sz w:val="16"/>
        </w:rPr>
        <w:t>Estimation of Carbon Pool and Its Annual</w:t>
      </w:r>
    </w:p>
    <w:p>
      <w:pPr>
        <w:spacing w:before="4"/>
        <w:ind w:left="331" w:right="0" w:firstLine="0"/>
        <w:jc w:val="left"/>
        <w:rPr>
          <w:sz w:val="16"/>
        </w:rPr>
      </w:pPr>
      <w:r>
        <w:rPr>
          <w:i/>
          <w:sz w:val="16"/>
        </w:rPr>
        <w:t>Deposition in Phytomass of Forest Ecosystems in Russia</w:t>
      </w:r>
      <w:r>
        <w:rPr>
          <w:sz w:val="16"/>
        </w:rPr>
        <w:t>, Forestry (</w:t>
      </w:r>
      <w:r>
        <w:rPr>
          <w:i/>
          <w:sz w:val="16"/>
        </w:rPr>
        <w:t>Lesovedenie</w:t>
      </w:r>
      <w:r>
        <w:rPr>
          <w:sz w:val="16"/>
        </w:rPr>
        <w:t>), 5: 3-10 (In Russian).</w:t>
      </w:r>
    </w:p>
    <w:p>
      <w:pPr>
        <w:spacing w:before="58"/>
        <w:ind w:left="331" w:right="279" w:hanging="113"/>
        <w:jc w:val="left"/>
        <w:rPr>
          <w:sz w:val="16"/>
        </w:rPr>
      </w:pPr>
      <w:r>
        <w:rPr>
          <w:sz w:val="16"/>
        </w:rPr>
        <w:t>Kajimoto, T., Y. Matsuura, </w:t>
      </w:r>
      <w:r>
        <w:rPr>
          <w:i/>
          <w:sz w:val="16"/>
        </w:rPr>
        <w:t>et al. </w:t>
      </w:r>
      <w:r>
        <w:rPr>
          <w:sz w:val="16"/>
        </w:rPr>
        <w:t>(1999). Above- and belowground biomass and net primary productivity of a Larix gmelinii stand near Tura, central Siberia. Tree Physiology 19(12): 815-822.</w:t>
      </w:r>
    </w:p>
    <w:p>
      <w:pPr>
        <w:spacing w:before="62"/>
        <w:ind w:left="331" w:right="357" w:hanging="113"/>
        <w:jc w:val="left"/>
        <w:rPr>
          <w:sz w:val="16"/>
        </w:rPr>
      </w:pPr>
      <w:r>
        <w:rPr>
          <w:sz w:val="16"/>
        </w:rPr>
        <w:t>Koivisto, 1959; Koivisto, P., (1959) Growth and Yield Tables. Commun. Inst. For. Fenn. Vol 51 no. 51.8: 1-49 (In Finnish with headings in English).</w:t>
      </w:r>
    </w:p>
    <w:p>
      <w:pPr>
        <w:spacing w:before="59"/>
        <w:ind w:left="331" w:right="683" w:hanging="113"/>
        <w:jc w:val="left"/>
        <w:rPr>
          <w:sz w:val="16"/>
        </w:rPr>
      </w:pPr>
      <w:r>
        <w:rPr>
          <w:sz w:val="16"/>
        </w:rPr>
        <w:t>Kurz, W.A. and M.J. Apps. (1993): Contribution of northern forests to the global C cycle: Canada as a case study. Water, Air, and Soil Pollution, 70, 163-176.</w:t>
      </w:r>
    </w:p>
    <w:p>
      <w:pPr>
        <w:spacing w:before="59"/>
        <w:ind w:left="331" w:right="398" w:hanging="113"/>
        <w:jc w:val="left"/>
        <w:rPr>
          <w:sz w:val="16"/>
        </w:rPr>
      </w:pPr>
      <w:r>
        <w:rPr>
          <w:sz w:val="16"/>
        </w:rPr>
        <w:t>Nilsson S., Shvidenko A., Stolbovoi V., Glick M., Jonas M., Obersteiner M. (2000). Full carbon account for Russia. Interim Report IR -00- 021 Int Inst Appl Anal, 181 pages.</w:t>
      </w:r>
    </w:p>
    <w:p>
      <w:pPr>
        <w:spacing w:before="59"/>
        <w:ind w:left="331" w:right="290" w:hanging="113"/>
        <w:jc w:val="left"/>
        <w:rPr>
          <w:sz w:val="16"/>
        </w:rPr>
      </w:pPr>
      <w:r>
        <w:rPr>
          <w:sz w:val="16"/>
        </w:rPr>
        <w:t>UN-ECE/FAO (2000). Forest Resources of Europe, CIS, North America, Australia, Japan and new Zealand (industrialized temperate / boreal countries.UN-ECE/FAO contribution to th Global Forest Resources Assessment 2000, United Nations, New-Ypork and Geneva, geneva Timber and Forest Study papers, No 17.446 p.</w:t>
      </w:r>
    </w:p>
    <w:p>
      <w:pPr>
        <w:spacing w:before="60"/>
        <w:ind w:left="219" w:right="0" w:firstLine="0"/>
        <w:jc w:val="left"/>
        <w:rPr>
          <w:sz w:val="16"/>
        </w:rPr>
      </w:pPr>
      <w:r>
        <w:rPr>
          <w:sz w:val="16"/>
        </w:rPr>
        <w:t>Vuokila, Y. and Väliaho, H. (1980). Growth and yield models for conifers cultures in Finland. Commun. Inst. For. Fenn. 99(2):1-271</w:t>
      </w:r>
    </w:p>
    <w:p>
      <w:pPr>
        <w:spacing w:before="61"/>
        <w:ind w:left="331" w:right="319" w:hanging="113"/>
        <w:jc w:val="left"/>
        <w:rPr>
          <w:sz w:val="16"/>
        </w:rPr>
      </w:pPr>
      <w:r>
        <w:rPr>
          <w:sz w:val="16"/>
        </w:rPr>
        <w:t>Wirth C. , E.-D. Schulze, W. Schulze, D. von Stünzner-Karbe, W. Ziegler, I. M. Miljukova, A. Sogatchev, A. B. Varlagin, M. Panvyorov, S. Grigoriev, W. Kusnetzova, M. Siry, G. Hardes, R. Zimmermann, N. N. Vygodskaya (1999). Above-ground biomass and structure of pristine Siberian Scots pine forests as controlled by competition and fire. Oecologia 121 : 66-80</w:t>
      </w:r>
    </w:p>
    <w:p>
      <w:pPr>
        <w:spacing w:before="58"/>
        <w:ind w:left="331" w:right="923" w:hanging="113"/>
        <w:jc w:val="left"/>
        <w:rPr>
          <w:sz w:val="16"/>
        </w:rPr>
      </w:pPr>
      <w:r>
        <w:rPr>
          <w:sz w:val="16"/>
        </w:rPr>
        <w:t>Zakharov, V.K., Trull, O.A., Miroshnikov, V.S., and V.E. Ermakov (1962) The Reference Book on Forest Inventory. Belarus State Publishing, Minsk, p. 368. (In Russian).</w:t>
      </w:r>
    </w:p>
    <w:p>
      <w:pPr>
        <w:spacing w:before="61"/>
        <w:ind w:left="331" w:right="549" w:hanging="113"/>
        <w:jc w:val="left"/>
        <w:rPr>
          <w:sz w:val="16"/>
        </w:rPr>
      </w:pPr>
      <w:r>
        <w:rPr>
          <w:sz w:val="16"/>
        </w:rPr>
        <w:t>Zagreev, V.V., Sukhikh, B.I., Shvidenko, A.Z., Gusev, N.N., and A.G. Moshkalev (1993) </w:t>
      </w:r>
      <w:r>
        <w:rPr>
          <w:i/>
          <w:sz w:val="16"/>
        </w:rPr>
        <w:t>The All-Union Standards for Forest Inventory</w:t>
      </w:r>
      <w:r>
        <w:rPr>
          <w:sz w:val="16"/>
        </w:rPr>
        <w:t>. </w:t>
      </w:r>
      <w:r>
        <w:rPr>
          <w:i/>
          <w:sz w:val="16"/>
        </w:rPr>
        <w:t>Kolos</w:t>
      </w:r>
      <w:r>
        <w:rPr>
          <w:sz w:val="16"/>
        </w:rPr>
        <w:t>, Moscow, p. 495. (In Russian).</w:t>
      </w:r>
    </w:p>
    <w:p>
      <w:pPr>
        <w:spacing w:after="0"/>
        <w:jc w:val="left"/>
        <w:rPr>
          <w:sz w:val="16"/>
        </w:rPr>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1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67"/>
        <w:gridCol w:w="1867"/>
        <w:gridCol w:w="1869"/>
      </w:tblGrid>
      <w:tr>
        <w:trPr>
          <w:trHeight w:val="884" w:hRule="atLeast"/>
        </w:trPr>
        <w:tc>
          <w:tcPr>
            <w:tcW w:w="6803" w:type="dxa"/>
            <w:gridSpan w:val="3"/>
            <w:tcBorders>
              <w:bottom w:val="double" w:sz="1" w:space="0" w:color="000000"/>
            </w:tcBorders>
          </w:tcPr>
          <w:p>
            <w:pPr>
              <w:pStyle w:val="TableParagraph"/>
              <w:spacing w:before="28"/>
              <w:ind w:left="19" w:right="14"/>
              <w:jc w:val="center"/>
              <w:rPr>
                <w:b/>
                <w:sz w:val="18"/>
              </w:rPr>
            </w:pPr>
            <w:r>
              <w:rPr>
                <w:b/>
                <w:sz w:val="18"/>
              </w:rPr>
              <w:t>T</w:t>
            </w:r>
            <w:r>
              <w:rPr>
                <w:b/>
                <w:sz w:val="14"/>
              </w:rPr>
              <w:t>ABLE </w:t>
            </w:r>
            <w:r>
              <w:rPr>
                <w:b/>
                <w:sz w:val="18"/>
              </w:rPr>
              <w:t>3A.1.7</w:t>
            </w:r>
          </w:p>
          <w:p>
            <w:pPr>
              <w:pStyle w:val="TableParagraph"/>
              <w:spacing w:line="207" w:lineRule="exact" w:before="2"/>
              <w:ind w:left="19" w:right="11"/>
              <w:jc w:val="center"/>
              <w:rPr>
                <w:b/>
                <w:sz w:val="14"/>
              </w:rPr>
            </w:pPr>
            <w:r>
              <w:rPr>
                <w:b/>
                <w:sz w:val="18"/>
              </w:rPr>
              <w:t>A</w:t>
            </w:r>
            <w:r>
              <w:rPr>
                <w:b/>
                <w:sz w:val="14"/>
              </w:rPr>
              <w:t>VERAGE ANNUAL ABOVE GROUND NET INCREMENT IN VOLUME IN PLANTATIONS BY SPECIES</w:t>
            </w:r>
          </w:p>
          <w:p>
            <w:pPr>
              <w:pStyle w:val="TableParagraph"/>
              <w:spacing w:line="204" w:lineRule="exact"/>
              <w:ind w:left="19" w:right="14"/>
              <w:jc w:val="center"/>
              <w:rPr>
                <w:b/>
                <w:sz w:val="18"/>
              </w:rPr>
            </w:pPr>
            <w:r>
              <w:rPr>
                <w:b/>
                <w:sz w:val="18"/>
              </w:rPr>
              <w:t>(m</w:t>
            </w:r>
            <w:r>
              <w:rPr>
                <w:b/>
                <w:sz w:val="18"/>
                <w:vertAlign w:val="superscript"/>
              </w:rPr>
              <w:t>3</w:t>
            </w:r>
            <w:r>
              <w:rPr>
                <w:b/>
                <w:sz w:val="18"/>
                <w:vertAlign w:val="baseline"/>
              </w:rPr>
              <w:t>/ha/yr)</w:t>
            </w:r>
          </w:p>
          <w:p>
            <w:pPr>
              <w:pStyle w:val="TableParagraph"/>
              <w:spacing w:line="204" w:lineRule="exact"/>
              <w:ind w:left="19" w:right="11"/>
              <w:jc w:val="center"/>
              <w:rPr>
                <w:sz w:val="18"/>
              </w:rPr>
            </w:pPr>
            <w:r>
              <w:rPr>
                <w:sz w:val="18"/>
              </w:rPr>
              <w:t>(To be used for I</w:t>
            </w:r>
            <w:r>
              <w:rPr>
                <w:sz w:val="18"/>
                <w:vertAlign w:val="subscript"/>
              </w:rPr>
              <w:t>v</w:t>
            </w:r>
            <w:r>
              <w:rPr>
                <w:sz w:val="18"/>
                <w:vertAlign w:val="baseline"/>
              </w:rPr>
              <w:t> in Equation 3.2.5)</w:t>
            </w:r>
          </w:p>
        </w:tc>
      </w:tr>
      <w:tr>
        <w:trPr>
          <w:trHeight w:val="479" w:hRule="atLeast"/>
        </w:trPr>
        <w:tc>
          <w:tcPr>
            <w:tcW w:w="3067" w:type="dxa"/>
            <w:vMerge w:val="restart"/>
            <w:tcBorders>
              <w:top w:val="double" w:sz="1" w:space="0" w:color="000000"/>
            </w:tcBorders>
          </w:tcPr>
          <w:p>
            <w:pPr>
              <w:pStyle w:val="TableParagraph"/>
              <w:spacing w:before="10"/>
              <w:rPr>
                <w:sz w:val="22"/>
              </w:rPr>
            </w:pPr>
          </w:p>
          <w:p>
            <w:pPr>
              <w:pStyle w:val="TableParagraph"/>
              <w:ind w:left="1281" w:right="1176"/>
              <w:jc w:val="center"/>
              <w:rPr>
                <w:b/>
                <w:sz w:val="18"/>
              </w:rPr>
            </w:pPr>
            <w:r>
              <w:rPr>
                <w:b/>
                <w:sz w:val="18"/>
              </w:rPr>
              <w:t>Species</w:t>
            </w:r>
          </w:p>
        </w:tc>
        <w:tc>
          <w:tcPr>
            <w:tcW w:w="3736" w:type="dxa"/>
            <w:gridSpan w:val="2"/>
            <w:tcBorders>
              <w:top w:val="double" w:sz="1" w:space="0" w:color="000000"/>
            </w:tcBorders>
          </w:tcPr>
          <w:p>
            <w:pPr>
              <w:pStyle w:val="TableParagraph"/>
              <w:spacing w:line="207" w:lineRule="exact" w:before="35"/>
              <w:ind w:left="1366" w:right="1355"/>
              <w:jc w:val="center"/>
              <w:rPr>
                <w:b/>
                <w:sz w:val="18"/>
              </w:rPr>
            </w:pPr>
            <w:r>
              <w:rPr>
                <w:b/>
                <w:sz w:val="18"/>
              </w:rPr>
              <w:t>I</w:t>
            </w:r>
            <w:r>
              <w:rPr>
                <w:b/>
                <w:sz w:val="18"/>
                <w:vertAlign w:val="subscript"/>
              </w:rPr>
              <w:t>V</w:t>
            </w:r>
          </w:p>
          <w:p>
            <w:pPr>
              <w:pStyle w:val="TableParagraph"/>
              <w:spacing w:line="207" w:lineRule="exact"/>
              <w:ind w:left="1366" w:right="1359"/>
              <w:jc w:val="center"/>
              <w:rPr>
                <w:b/>
                <w:sz w:val="18"/>
              </w:rPr>
            </w:pPr>
            <w:r>
              <w:rPr>
                <w:b/>
                <w:sz w:val="18"/>
              </w:rPr>
              <w:t>(m³ ha</w:t>
            </w:r>
            <w:r>
              <w:rPr>
                <w:b/>
                <w:sz w:val="18"/>
                <w:vertAlign w:val="superscript"/>
              </w:rPr>
              <w:t>-</w:t>
            </w:r>
            <w:r>
              <w:rPr>
                <w:b/>
                <w:sz w:val="18"/>
                <w:vertAlign w:val="baseline"/>
              </w:rPr>
              <w:t>¹ yr</w:t>
            </w:r>
            <w:r>
              <w:rPr>
                <w:b/>
                <w:sz w:val="18"/>
                <w:vertAlign w:val="superscript"/>
              </w:rPr>
              <w:t>-</w:t>
            </w:r>
            <w:r>
              <w:rPr>
                <w:b/>
                <w:sz w:val="18"/>
                <w:vertAlign w:val="baseline"/>
              </w:rPr>
              <w:t>¹)</w:t>
            </w:r>
          </w:p>
        </w:tc>
      </w:tr>
      <w:tr>
        <w:trPr>
          <w:trHeight w:val="273" w:hRule="atLeast"/>
        </w:trPr>
        <w:tc>
          <w:tcPr>
            <w:tcW w:w="3067" w:type="dxa"/>
            <w:vMerge/>
            <w:tcBorders>
              <w:top w:val="nil"/>
            </w:tcBorders>
          </w:tcPr>
          <w:p>
            <w:pPr>
              <w:rPr>
                <w:sz w:val="2"/>
                <w:szCs w:val="2"/>
              </w:rPr>
            </w:pPr>
          </w:p>
        </w:tc>
        <w:tc>
          <w:tcPr>
            <w:tcW w:w="1867" w:type="dxa"/>
          </w:tcPr>
          <w:p>
            <w:pPr>
              <w:pStyle w:val="TableParagraph"/>
              <w:spacing w:before="33"/>
              <w:ind w:left="656" w:right="648"/>
              <w:jc w:val="center"/>
              <w:rPr>
                <w:b/>
                <w:sz w:val="18"/>
              </w:rPr>
            </w:pPr>
            <w:r>
              <w:rPr>
                <w:b/>
                <w:sz w:val="18"/>
              </w:rPr>
              <w:t>Range</w:t>
            </w:r>
          </w:p>
        </w:tc>
        <w:tc>
          <w:tcPr>
            <w:tcW w:w="1869" w:type="dxa"/>
          </w:tcPr>
          <w:p>
            <w:pPr>
              <w:pStyle w:val="TableParagraph"/>
              <w:spacing w:before="33"/>
              <w:ind w:left="649" w:right="640"/>
              <w:jc w:val="center"/>
              <w:rPr>
                <w:b/>
                <w:sz w:val="18"/>
              </w:rPr>
            </w:pPr>
            <w:r>
              <w:rPr>
                <w:b/>
                <w:sz w:val="18"/>
              </w:rPr>
              <w:t>Mean*</w:t>
            </w:r>
          </w:p>
        </w:tc>
      </w:tr>
      <w:tr>
        <w:trPr>
          <w:trHeight w:val="275" w:hRule="atLeast"/>
        </w:trPr>
        <w:tc>
          <w:tcPr>
            <w:tcW w:w="3067" w:type="dxa"/>
          </w:tcPr>
          <w:p>
            <w:pPr>
              <w:pStyle w:val="TableParagraph"/>
              <w:spacing w:before="28"/>
              <w:ind w:left="112"/>
              <w:rPr>
                <w:sz w:val="18"/>
              </w:rPr>
            </w:pPr>
            <w:r>
              <w:rPr>
                <w:sz w:val="18"/>
              </w:rPr>
              <w:t>E. deglupta</w:t>
            </w:r>
          </w:p>
        </w:tc>
        <w:tc>
          <w:tcPr>
            <w:tcW w:w="1867" w:type="dxa"/>
          </w:tcPr>
          <w:p>
            <w:pPr>
              <w:pStyle w:val="TableParagraph"/>
              <w:spacing w:before="28"/>
              <w:ind w:left="656" w:right="648"/>
              <w:jc w:val="center"/>
              <w:rPr>
                <w:sz w:val="18"/>
              </w:rPr>
            </w:pPr>
            <w:r>
              <w:rPr>
                <w:sz w:val="18"/>
              </w:rPr>
              <w:t>14 - 50</w:t>
            </w:r>
          </w:p>
        </w:tc>
        <w:tc>
          <w:tcPr>
            <w:tcW w:w="1869" w:type="dxa"/>
          </w:tcPr>
          <w:p>
            <w:pPr>
              <w:pStyle w:val="TableParagraph"/>
              <w:spacing w:before="28"/>
              <w:ind w:left="649" w:right="640"/>
              <w:jc w:val="center"/>
              <w:rPr>
                <w:sz w:val="18"/>
              </w:rPr>
            </w:pPr>
            <w:r>
              <w:rPr>
                <w:sz w:val="18"/>
              </w:rPr>
              <w:t>32</w:t>
            </w:r>
          </w:p>
        </w:tc>
      </w:tr>
      <w:tr>
        <w:trPr>
          <w:trHeight w:val="273" w:hRule="atLeast"/>
        </w:trPr>
        <w:tc>
          <w:tcPr>
            <w:tcW w:w="3067" w:type="dxa"/>
          </w:tcPr>
          <w:p>
            <w:pPr>
              <w:pStyle w:val="TableParagraph"/>
              <w:spacing w:before="28"/>
              <w:ind w:left="112"/>
              <w:rPr>
                <w:sz w:val="18"/>
              </w:rPr>
            </w:pPr>
            <w:r>
              <w:rPr>
                <w:sz w:val="18"/>
              </w:rPr>
              <w:t>E. globulus</w:t>
            </w:r>
          </w:p>
        </w:tc>
        <w:tc>
          <w:tcPr>
            <w:tcW w:w="1867" w:type="dxa"/>
          </w:tcPr>
          <w:p>
            <w:pPr>
              <w:pStyle w:val="TableParagraph"/>
              <w:spacing w:before="28"/>
              <w:ind w:left="656" w:right="648"/>
              <w:jc w:val="center"/>
              <w:rPr>
                <w:sz w:val="18"/>
              </w:rPr>
            </w:pPr>
            <w:r>
              <w:rPr>
                <w:sz w:val="18"/>
              </w:rPr>
              <w:t>10 - 40</w:t>
            </w:r>
          </w:p>
        </w:tc>
        <w:tc>
          <w:tcPr>
            <w:tcW w:w="1869" w:type="dxa"/>
          </w:tcPr>
          <w:p>
            <w:pPr>
              <w:pStyle w:val="TableParagraph"/>
              <w:spacing w:before="28"/>
              <w:ind w:left="649" w:right="639"/>
              <w:jc w:val="center"/>
              <w:rPr>
                <w:sz w:val="18"/>
              </w:rPr>
            </w:pPr>
            <w:r>
              <w:rPr>
                <w:sz w:val="18"/>
              </w:rPr>
              <w:t>25</w:t>
            </w:r>
          </w:p>
        </w:tc>
      </w:tr>
      <w:tr>
        <w:trPr>
          <w:trHeight w:val="273" w:hRule="atLeast"/>
        </w:trPr>
        <w:tc>
          <w:tcPr>
            <w:tcW w:w="3067" w:type="dxa"/>
          </w:tcPr>
          <w:p>
            <w:pPr>
              <w:pStyle w:val="TableParagraph"/>
              <w:spacing w:before="28"/>
              <w:ind w:left="112"/>
              <w:rPr>
                <w:sz w:val="18"/>
              </w:rPr>
            </w:pPr>
            <w:r>
              <w:rPr>
                <w:sz w:val="18"/>
              </w:rPr>
              <w:t>E. grandis</w:t>
            </w:r>
          </w:p>
        </w:tc>
        <w:tc>
          <w:tcPr>
            <w:tcW w:w="1867" w:type="dxa"/>
          </w:tcPr>
          <w:p>
            <w:pPr>
              <w:pStyle w:val="TableParagraph"/>
              <w:spacing w:before="28"/>
              <w:ind w:left="656" w:right="648"/>
              <w:jc w:val="center"/>
              <w:rPr>
                <w:sz w:val="18"/>
              </w:rPr>
            </w:pPr>
            <w:r>
              <w:rPr>
                <w:sz w:val="18"/>
              </w:rPr>
              <w:t>15 - 50</w:t>
            </w:r>
          </w:p>
        </w:tc>
        <w:tc>
          <w:tcPr>
            <w:tcW w:w="1869" w:type="dxa"/>
          </w:tcPr>
          <w:p>
            <w:pPr>
              <w:pStyle w:val="TableParagraph"/>
              <w:spacing w:before="28"/>
              <w:ind w:left="648" w:right="640"/>
              <w:jc w:val="center"/>
              <w:rPr>
                <w:sz w:val="18"/>
              </w:rPr>
            </w:pPr>
            <w:r>
              <w:rPr>
                <w:sz w:val="18"/>
              </w:rPr>
              <w:t>32.5</w:t>
            </w:r>
          </w:p>
        </w:tc>
      </w:tr>
      <w:tr>
        <w:trPr>
          <w:trHeight w:val="275" w:hRule="atLeast"/>
        </w:trPr>
        <w:tc>
          <w:tcPr>
            <w:tcW w:w="3067" w:type="dxa"/>
          </w:tcPr>
          <w:p>
            <w:pPr>
              <w:pStyle w:val="TableParagraph"/>
              <w:spacing w:before="28"/>
              <w:ind w:left="112"/>
              <w:rPr>
                <w:sz w:val="18"/>
              </w:rPr>
            </w:pPr>
            <w:r>
              <w:rPr>
                <w:sz w:val="18"/>
              </w:rPr>
              <w:t>E. saligna</w:t>
            </w:r>
          </w:p>
        </w:tc>
        <w:tc>
          <w:tcPr>
            <w:tcW w:w="1867" w:type="dxa"/>
          </w:tcPr>
          <w:p>
            <w:pPr>
              <w:pStyle w:val="TableParagraph"/>
              <w:spacing w:before="28"/>
              <w:ind w:left="656" w:right="647"/>
              <w:jc w:val="center"/>
              <w:rPr>
                <w:sz w:val="18"/>
              </w:rPr>
            </w:pPr>
            <w:r>
              <w:rPr>
                <w:sz w:val="18"/>
              </w:rPr>
              <w:t>10 - 55</w:t>
            </w:r>
          </w:p>
        </w:tc>
        <w:tc>
          <w:tcPr>
            <w:tcW w:w="1869" w:type="dxa"/>
          </w:tcPr>
          <w:p>
            <w:pPr>
              <w:pStyle w:val="TableParagraph"/>
              <w:spacing w:before="28"/>
              <w:ind w:left="649" w:right="640"/>
              <w:jc w:val="center"/>
              <w:rPr>
                <w:sz w:val="18"/>
              </w:rPr>
            </w:pPr>
            <w:r>
              <w:rPr>
                <w:sz w:val="18"/>
              </w:rPr>
              <w:t>32.5</w:t>
            </w:r>
          </w:p>
        </w:tc>
      </w:tr>
      <w:tr>
        <w:trPr>
          <w:trHeight w:val="273" w:hRule="atLeast"/>
        </w:trPr>
        <w:tc>
          <w:tcPr>
            <w:tcW w:w="3067" w:type="dxa"/>
          </w:tcPr>
          <w:p>
            <w:pPr>
              <w:pStyle w:val="TableParagraph"/>
              <w:spacing w:before="28"/>
              <w:ind w:left="112"/>
              <w:rPr>
                <w:sz w:val="18"/>
              </w:rPr>
            </w:pPr>
            <w:r>
              <w:rPr>
                <w:sz w:val="18"/>
              </w:rPr>
              <w:t>E. camaldulensis</w:t>
            </w:r>
          </w:p>
        </w:tc>
        <w:tc>
          <w:tcPr>
            <w:tcW w:w="1867" w:type="dxa"/>
          </w:tcPr>
          <w:p>
            <w:pPr>
              <w:pStyle w:val="TableParagraph"/>
              <w:spacing w:before="28"/>
              <w:ind w:left="656" w:right="647"/>
              <w:jc w:val="center"/>
              <w:rPr>
                <w:sz w:val="18"/>
              </w:rPr>
            </w:pPr>
            <w:r>
              <w:rPr>
                <w:sz w:val="18"/>
              </w:rPr>
              <w:t>15 - 30</w:t>
            </w:r>
          </w:p>
        </w:tc>
        <w:tc>
          <w:tcPr>
            <w:tcW w:w="1869" w:type="dxa"/>
          </w:tcPr>
          <w:p>
            <w:pPr>
              <w:pStyle w:val="TableParagraph"/>
              <w:spacing w:before="28"/>
              <w:ind w:left="649" w:right="640"/>
              <w:jc w:val="center"/>
              <w:rPr>
                <w:sz w:val="18"/>
              </w:rPr>
            </w:pPr>
            <w:r>
              <w:rPr>
                <w:sz w:val="18"/>
              </w:rPr>
              <w:t>22.5</w:t>
            </w:r>
          </w:p>
        </w:tc>
      </w:tr>
      <w:tr>
        <w:trPr>
          <w:trHeight w:val="273" w:hRule="atLeast"/>
        </w:trPr>
        <w:tc>
          <w:tcPr>
            <w:tcW w:w="3067" w:type="dxa"/>
          </w:tcPr>
          <w:p>
            <w:pPr>
              <w:pStyle w:val="TableParagraph"/>
              <w:spacing w:before="28"/>
              <w:ind w:left="112"/>
              <w:rPr>
                <w:sz w:val="18"/>
              </w:rPr>
            </w:pPr>
            <w:r>
              <w:rPr>
                <w:sz w:val="18"/>
              </w:rPr>
              <w:t>E. urophylla</w:t>
            </w:r>
          </w:p>
        </w:tc>
        <w:tc>
          <w:tcPr>
            <w:tcW w:w="1867" w:type="dxa"/>
          </w:tcPr>
          <w:p>
            <w:pPr>
              <w:pStyle w:val="TableParagraph"/>
              <w:spacing w:before="28"/>
              <w:ind w:left="656" w:right="648"/>
              <w:jc w:val="center"/>
              <w:rPr>
                <w:sz w:val="18"/>
              </w:rPr>
            </w:pPr>
            <w:r>
              <w:rPr>
                <w:sz w:val="18"/>
              </w:rPr>
              <w:t>20 - 60</w:t>
            </w:r>
          </w:p>
        </w:tc>
        <w:tc>
          <w:tcPr>
            <w:tcW w:w="1869" w:type="dxa"/>
          </w:tcPr>
          <w:p>
            <w:pPr>
              <w:pStyle w:val="TableParagraph"/>
              <w:spacing w:before="28"/>
              <w:ind w:left="649" w:right="640"/>
              <w:jc w:val="center"/>
              <w:rPr>
                <w:sz w:val="18"/>
              </w:rPr>
            </w:pPr>
            <w:r>
              <w:rPr>
                <w:sz w:val="18"/>
              </w:rPr>
              <w:t>40</w:t>
            </w:r>
          </w:p>
        </w:tc>
      </w:tr>
      <w:tr>
        <w:trPr>
          <w:trHeight w:val="275" w:hRule="atLeast"/>
        </w:trPr>
        <w:tc>
          <w:tcPr>
            <w:tcW w:w="3067" w:type="dxa"/>
          </w:tcPr>
          <w:p>
            <w:pPr>
              <w:pStyle w:val="TableParagraph"/>
              <w:spacing w:before="28"/>
              <w:ind w:left="112"/>
              <w:rPr>
                <w:sz w:val="18"/>
              </w:rPr>
            </w:pPr>
            <w:r>
              <w:rPr>
                <w:sz w:val="18"/>
              </w:rPr>
              <w:t>E. robusta</w:t>
            </w:r>
          </w:p>
        </w:tc>
        <w:tc>
          <w:tcPr>
            <w:tcW w:w="1867" w:type="dxa"/>
          </w:tcPr>
          <w:p>
            <w:pPr>
              <w:pStyle w:val="TableParagraph"/>
              <w:spacing w:before="28"/>
              <w:ind w:left="656" w:right="648"/>
              <w:jc w:val="center"/>
              <w:rPr>
                <w:sz w:val="18"/>
              </w:rPr>
            </w:pPr>
            <w:r>
              <w:rPr>
                <w:sz w:val="18"/>
              </w:rPr>
              <w:t>10 - 40</w:t>
            </w:r>
          </w:p>
        </w:tc>
        <w:tc>
          <w:tcPr>
            <w:tcW w:w="1869" w:type="dxa"/>
          </w:tcPr>
          <w:p>
            <w:pPr>
              <w:pStyle w:val="TableParagraph"/>
              <w:spacing w:before="28"/>
              <w:ind w:left="649" w:right="640"/>
              <w:jc w:val="center"/>
              <w:rPr>
                <w:sz w:val="18"/>
              </w:rPr>
            </w:pPr>
            <w:r>
              <w:rPr>
                <w:sz w:val="18"/>
              </w:rPr>
              <w:t>25</w:t>
            </w:r>
          </w:p>
        </w:tc>
      </w:tr>
      <w:tr>
        <w:trPr>
          <w:trHeight w:val="273" w:hRule="atLeast"/>
        </w:trPr>
        <w:tc>
          <w:tcPr>
            <w:tcW w:w="3067" w:type="dxa"/>
          </w:tcPr>
          <w:p>
            <w:pPr>
              <w:pStyle w:val="TableParagraph"/>
              <w:spacing w:before="28"/>
              <w:ind w:left="112"/>
              <w:rPr>
                <w:sz w:val="18"/>
              </w:rPr>
            </w:pPr>
            <w:r>
              <w:rPr>
                <w:sz w:val="18"/>
              </w:rPr>
              <w:t>Pinus caribaea var. caribaea</w:t>
            </w:r>
          </w:p>
        </w:tc>
        <w:tc>
          <w:tcPr>
            <w:tcW w:w="1867" w:type="dxa"/>
          </w:tcPr>
          <w:p>
            <w:pPr>
              <w:pStyle w:val="TableParagraph"/>
              <w:spacing w:before="28"/>
              <w:ind w:left="654" w:right="648"/>
              <w:jc w:val="center"/>
              <w:rPr>
                <w:sz w:val="18"/>
              </w:rPr>
            </w:pPr>
            <w:r>
              <w:rPr>
                <w:sz w:val="18"/>
              </w:rPr>
              <w:t>10 - 28</w:t>
            </w:r>
          </w:p>
        </w:tc>
        <w:tc>
          <w:tcPr>
            <w:tcW w:w="1869" w:type="dxa"/>
          </w:tcPr>
          <w:p>
            <w:pPr>
              <w:pStyle w:val="TableParagraph"/>
              <w:spacing w:before="28"/>
              <w:ind w:left="648" w:right="640"/>
              <w:jc w:val="center"/>
              <w:rPr>
                <w:sz w:val="18"/>
              </w:rPr>
            </w:pPr>
            <w:r>
              <w:rPr>
                <w:sz w:val="18"/>
              </w:rPr>
              <w:t>19</w:t>
            </w:r>
          </w:p>
        </w:tc>
      </w:tr>
      <w:tr>
        <w:trPr>
          <w:trHeight w:val="273" w:hRule="atLeast"/>
        </w:trPr>
        <w:tc>
          <w:tcPr>
            <w:tcW w:w="3067" w:type="dxa"/>
          </w:tcPr>
          <w:p>
            <w:pPr>
              <w:pStyle w:val="TableParagraph"/>
              <w:spacing w:before="28"/>
              <w:ind w:left="112"/>
              <w:rPr>
                <w:sz w:val="18"/>
              </w:rPr>
            </w:pPr>
            <w:r>
              <w:rPr>
                <w:sz w:val="18"/>
              </w:rPr>
              <w:t>Pinus caribaea var. hondurensis</w:t>
            </w:r>
          </w:p>
        </w:tc>
        <w:tc>
          <w:tcPr>
            <w:tcW w:w="1867" w:type="dxa"/>
          </w:tcPr>
          <w:p>
            <w:pPr>
              <w:pStyle w:val="TableParagraph"/>
              <w:spacing w:before="28"/>
              <w:ind w:left="654" w:right="648"/>
              <w:jc w:val="center"/>
              <w:rPr>
                <w:sz w:val="18"/>
              </w:rPr>
            </w:pPr>
            <w:r>
              <w:rPr>
                <w:sz w:val="18"/>
              </w:rPr>
              <w:t>20 - 50</w:t>
            </w:r>
          </w:p>
        </w:tc>
        <w:tc>
          <w:tcPr>
            <w:tcW w:w="1869" w:type="dxa"/>
          </w:tcPr>
          <w:p>
            <w:pPr>
              <w:pStyle w:val="TableParagraph"/>
              <w:spacing w:before="28"/>
              <w:ind w:left="648" w:right="640"/>
              <w:jc w:val="center"/>
              <w:rPr>
                <w:sz w:val="18"/>
              </w:rPr>
            </w:pPr>
            <w:r>
              <w:rPr>
                <w:sz w:val="18"/>
              </w:rPr>
              <w:t>35</w:t>
            </w:r>
          </w:p>
        </w:tc>
      </w:tr>
      <w:tr>
        <w:trPr>
          <w:trHeight w:val="275" w:hRule="atLeast"/>
        </w:trPr>
        <w:tc>
          <w:tcPr>
            <w:tcW w:w="3067" w:type="dxa"/>
          </w:tcPr>
          <w:p>
            <w:pPr>
              <w:pStyle w:val="TableParagraph"/>
              <w:spacing w:before="28"/>
              <w:ind w:left="112"/>
              <w:rPr>
                <w:sz w:val="18"/>
              </w:rPr>
            </w:pPr>
            <w:r>
              <w:rPr>
                <w:sz w:val="18"/>
              </w:rPr>
              <w:t>Pinus patula</w:t>
            </w:r>
          </w:p>
        </w:tc>
        <w:tc>
          <w:tcPr>
            <w:tcW w:w="1867" w:type="dxa"/>
          </w:tcPr>
          <w:p>
            <w:pPr>
              <w:pStyle w:val="TableParagraph"/>
              <w:spacing w:before="28"/>
              <w:ind w:left="656" w:right="559"/>
              <w:jc w:val="center"/>
              <w:rPr>
                <w:sz w:val="18"/>
              </w:rPr>
            </w:pPr>
            <w:r>
              <w:rPr>
                <w:sz w:val="18"/>
              </w:rPr>
              <w:t>8 - 40</w:t>
            </w:r>
          </w:p>
        </w:tc>
        <w:tc>
          <w:tcPr>
            <w:tcW w:w="1869" w:type="dxa"/>
          </w:tcPr>
          <w:p>
            <w:pPr>
              <w:pStyle w:val="TableParagraph"/>
              <w:spacing w:before="28"/>
              <w:ind w:left="647" w:right="640"/>
              <w:jc w:val="center"/>
              <w:rPr>
                <w:sz w:val="18"/>
              </w:rPr>
            </w:pPr>
            <w:r>
              <w:rPr>
                <w:sz w:val="18"/>
              </w:rPr>
              <w:t>24</w:t>
            </w:r>
          </w:p>
        </w:tc>
      </w:tr>
      <w:tr>
        <w:trPr>
          <w:trHeight w:val="273" w:hRule="atLeast"/>
        </w:trPr>
        <w:tc>
          <w:tcPr>
            <w:tcW w:w="3067" w:type="dxa"/>
          </w:tcPr>
          <w:p>
            <w:pPr>
              <w:pStyle w:val="TableParagraph"/>
              <w:spacing w:before="28"/>
              <w:ind w:left="112"/>
              <w:rPr>
                <w:sz w:val="18"/>
              </w:rPr>
            </w:pPr>
            <w:r>
              <w:rPr>
                <w:sz w:val="18"/>
              </w:rPr>
              <w:t>Pinus radiata</w:t>
            </w:r>
          </w:p>
        </w:tc>
        <w:tc>
          <w:tcPr>
            <w:tcW w:w="1867" w:type="dxa"/>
          </w:tcPr>
          <w:p>
            <w:pPr>
              <w:pStyle w:val="TableParagraph"/>
              <w:spacing w:before="28"/>
              <w:ind w:left="655" w:right="648"/>
              <w:jc w:val="center"/>
              <w:rPr>
                <w:sz w:val="18"/>
              </w:rPr>
            </w:pPr>
            <w:r>
              <w:rPr>
                <w:sz w:val="18"/>
              </w:rPr>
              <w:t>12 - 35</w:t>
            </w:r>
          </w:p>
        </w:tc>
        <w:tc>
          <w:tcPr>
            <w:tcW w:w="1869" w:type="dxa"/>
          </w:tcPr>
          <w:p>
            <w:pPr>
              <w:pStyle w:val="TableParagraph"/>
              <w:spacing w:before="28"/>
              <w:ind w:left="647" w:right="640"/>
              <w:jc w:val="center"/>
              <w:rPr>
                <w:sz w:val="18"/>
              </w:rPr>
            </w:pPr>
            <w:r>
              <w:rPr>
                <w:sz w:val="18"/>
              </w:rPr>
              <w:t>23.5</w:t>
            </w:r>
          </w:p>
        </w:tc>
      </w:tr>
      <w:tr>
        <w:trPr>
          <w:trHeight w:val="273" w:hRule="atLeast"/>
        </w:trPr>
        <w:tc>
          <w:tcPr>
            <w:tcW w:w="3067" w:type="dxa"/>
          </w:tcPr>
          <w:p>
            <w:pPr>
              <w:pStyle w:val="TableParagraph"/>
              <w:spacing w:before="28"/>
              <w:ind w:left="112"/>
              <w:rPr>
                <w:sz w:val="18"/>
              </w:rPr>
            </w:pPr>
            <w:r>
              <w:rPr>
                <w:sz w:val="18"/>
              </w:rPr>
              <w:t>Pinus oocarpa</w:t>
            </w:r>
          </w:p>
        </w:tc>
        <w:tc>
          <w:tcPr>
            <w:tcW w:w="1867" w:type="dxa"/>
          </w:tcPr>
          <w:p>
            <w:pPr>
              <w:pStyle w:val="TableParagraph"/>
              <w:spacing w:before="28"/>
              <w:ind w:left="654" w:right="648"/>
              <w:jc w:val="center"/>
              <w:rPr>
                <w:sz w:val="18"/>
              </w:rPr>
            </w:pPr>
            <w:r>
              <w:rPr>
                <w:sz w:val="18"/>
              </w:rPr>
              <w:t>10 - 40</w:t>
            </w:r>
          </w:p>
        </w:tc>
        <w:tc>
          <w:tcPr>
            <w:tcW w:w="1869" w:type="dxa"/>
          </w:tcPr>
          <w:p>
            <w:pPr>
              <w:pStyle w:val="TableParagraph"/>
              <w:spacing w:before="28"/>
              <w:ind w:left="648" w:right="640"/>
              <w:jc w:val="center"/>
              <w:rPr>
                <w:sz w:val="18"/>
              </w:rPr>
            </w:pPr>
            <w:r>
              <w:rPr>
                <w:sz w:val="18"/>
              </w:rPr>
              <w:t>25</w:t>
            </w:r>
          </w:p>
        </w:tc>
      </w:tr>
      <w:tr>
        <w:trPr>
          <w:trHeight w:val="275" w:hRule="atLeast"/>
        </w:trPr>
        <w:tc>
          <w:tcPr>
            <w:tcW w:w="3067" w:type="dxa"/>
          </w:tcPr>
          <w:p>
            <w:pPr>
              <w:pStyle w:val="TableParagraph"/>
              <w:spacing w:before="28"/>
              <w:ind w:left="112"/>
              <w:rPr>
                <w:sz w:val="18"/>
              </w:rPr>
            </w:pPr>
            <w:r>
              <w:rPr>
                <w:sz w:val="18"/>
              </w:rPr>
              <w:t>Araucaria angustifolia</w:t>
            </w:r>
          </w:p>
        </w:tc>
        <w:tc>
          <w:tcPr>
            <w:tcW w:w="1867" w:type="dxa"/>
          </w:tcPr>
          <w:p>
            <w:pPr>
              <w:pStyle w:val="TableParagraph"/>
              <w:spacing w:before="28"/>
              <w:ind w:left="656" w:right="601"/>
              <w:jc w:val="center"/>
              <w:rPr>
                <w:sz w:val="18"/>
              </w:rPr>
            </w:pPr>
            <w:r>
              <w:rPr>
                <w:sz w:val="18"/>
              </w:rPr>
              <w:t>8 - 24</w:t>
            </w:r>
          </w:p>
        </w:tc>
        <w:tc>
          <w:tcPr>
            <w:tcW w:w="1869" w:type="dxa"/>
          </w:tcPr>
          <w:p>
            <w:pPr>
              <w:pStyle w:val="TableParagraph"/>
              <w:spacing w:before="28"/>
              <w:ind w:left="649" w:right="640"/>
              <w:jc w:val="center"/>
              <w:rPr>
                <w:sz w:val="18"/>
              </w:rPr>
            </w:pPr>
            <w:r>
              <w:rPr>
                <w:sz w:val="18"/>
              </w:rPr>
              <w:t>16</w:t>
            </w:r>
          </w:p>
        </w:tc>
      </w:tr>
      <w:tr>
        <w:trPr>
          <w:trHeight w:val="273" w:hRule="atLeast"/>
        </w:trPr>
        <w:tc>
          <w:tcPr>
            <w:tcW w:w="3067" w:type="dxa"/>
          </w:tcPr>
          <w:p>
            <w:pPr>
              <w:pStyle w:val="TableParagraph"/>
              <w:spacing w:before="28"/>
              <w:ind w:left="112"/>
              <w:rPr>
                <w:sz w:val="18"/>
              </w:rPr>
            </w:pPr>
            <w:r>
              <w:rPr>
                <w:sz w:val="18"/>
              </w:rPr>
              <w:t>A. cunninghamii</w:t>
            </w:r>
          </w:p>
        </w:tc>
        <w:tc>
          <w:tcPr>
            <w:tcW w:w="1867" w:type="dxa"/>
          </w:tcPr>
          <w:p>
            <w:pPr>
              <w:pStyle w:val="TableParagraph"/>
              <w:spacing w:before="28"/>
              <w:ind w:left="655" w:right="648"/>
              <w:jc w:val="center"/>
              <w:rPr>
                <w:sz w:val="18"/>
              </w:rPr>
            </w:pPr>
            <w:r>
              <w:rPr>
                <w:sz w:val="18"/>
              </w:rPr>
              <w:t>10 - 18</w:t>
            </w:r>
          </w:p>
        </w:tc>
        <w:tc>
          <w:tcPr>
            <w:tcW w:w="1869" w:type="dxa"/>
          </w:tcPr>
          <w:p>
            <w:pPr>
              <w:pStyle w:val="TableParagraph"/>
              <w:spacing w:before="28"/>
              <w:ind w:left="649" w:right="640"/>
              <w:jc w:val="center"/>
              <w:rPr>
                <w:sz w:val="18"/>
              </w:rPr>
            </w:pPr>
            <w:r>
              <w:rPr>
                <w:sz w:val="18"/>
              </w:rPr>
              <w:t>14</w:t>
            </w:r>
          </w:p>
        </w:tc>
      </w:tr>
      <w:tr>
        <w:trPr>
          <w:trHeight w:val="273" w:hRule="atLeast"/>
        </w:trPr>
        <w:tc>
          <w:tcPr>
            <w:tcW w:w="3067" w:type="dxa"/>
          </w:tcPr>
          <w:p>
            <w:pPr>
              <w:pStyle w:val="TableParagraph"/>
              <w:spacing w:before="28"/>
              <w:ind w:left="112"/>
              <w:rPr>
                <w:sz w:val="18"/>
              </w:rPr>
            </w:pPr>
            <w:r>
              <w:rPr>
                <w:sz w:val="18"/>
              </w:rPr>
              <w:t>Gmelina arborea</w:t>
            </w:r>
          </w:p>
        </w:tc>
        <w:tc>
          <w:tcPr>
            <w:tcW w:w="1867" w:type="dxa"/>
          </w:tcPr>
          <w:p>
            <w:pPr>
              <w:pStyle w:val="TableParagraph"/>
              <w:spacing w:before="28"/>
              <w:ind w:left="656" w:right="648"/>
              <w:jc w:val="center"/>
              <w:rPr>
                <w:sz w:val="18"/>
              </w:rPr>
            </w:pPr>
            <w:r>
              <w:rPr>
                <w:sz w:val="18"/>
              </w:rPr>
              <w:t>12 - 50</w:t>
            </w:r>
          </w:p>
        </w:tc>
        <w:tc>
          <w:tcPr>
            <w:tcW w:w="1869" w:type="dxa"/>
          </w:tcPr>
          <w:p>
            <w:pPr>
              <w:pStyle w:val="TableParagraph"/>
              <w:spacing w:before="28"/>
              <w:ind w:left="649" w:right="639"/>
              <w:jc w:val="center"/>
              <w:rPr>
                <w:sz w:val="18"/>
              </w:rPr>
            </w:pPr>
            <w:r>
              <w:rPr>
                <w:sz w:val="18"/>
              </w:rPr>
              <w:t>31</w:t>
            </w:r>
          </w:p>
        </w:tc>
      </w:tr>
      <w:tr>
        <w:trPr>
          <w:trHeight w:val="275" w:hRule="atLeast"/>
        </w:trPr>
        <w:tc>
          <w:tcPr>
            <w:tcW w:w="3067" w:type="dxa"/>
          </w:tcPr>
          <w:p>
            <w:pPr>
              <w:pStyle w:val="TableParagraph"/>
              <w:spacing w:before="28"/>
              <w:ind w:left="112"/>
              <w:rPr>
                <w:sz w:val="18"/>
              </w:rPr>
            </w:pPr>
            <w:r>
              <w:rPr>
                <w:sz w:val="18"/>
              </w:rPr>
              <w:t>Swietenia macrophylla</w:t>
            </w:r>
          </w:p>
        </w:tc>
        <w:tc>
          <w:tcPr>
            <w:tcW w:w="1867" w:type="dxa"/>
          </w:tcPr>
          <w:p>
            <w:pPr>
              <w:pStyle w:val="TableParagraph"/>
              <w:spacing w:before="28"/>
              <w:ind w:left="656" w:right="556"/>
              <w:jc w:val="center"/>
              <w:rPr>
                <w:sz w:val="18"/>
              </w:rPr>
            </w:pPr>
            <w:r>
              <w:rPr>
                <w:sz w:val="18"/>
              </w:rPr>
              <w:t>7 - 30</w:t>
            </w:r>
          </w:p>
        </w:tc>
        <w:tc>
          <w:tcPr>
            <w:tcW w:w="1869" w:type="dxa"/>
          </w:tcPr>
          <w:p>
            <w:pPr>
              <w:pStyle w:val="TableParagraph"/>
              <w:spacing w:before="28"/>
              <w:ind w:left="648" w:right="640"/>
              <w:jc w:val="center"/>
              <w:rPr>
                <w:sz w:val="18"/>
              </w:rPr>
            </w:pPr>
            <w:r>
              <w:rPr>
                <w:sz w:val="18"/>
              </w:rPr>
              <w:t>18.5</w:t>
            </w:r>
          </w:p>
        </w:tc>
      </w:tr>
      <w:tr>
        <w:trPr>
          <w:trHeight w:val="273" w:hRule="atLeast"/>
        </w:trPr>
        <w:tc>
          <w:tcPr>
            <w:tcW w:w="3067" w:type="dxa"/>
          </w:tcPr>
          <w:p>
            <w:pPr>
              <w:pStyle w:val="TableParagraph"/>
              <w:spacing w:before="28"/>
              <w:ind w:left="112"/>
              <w:rPr>
                <w:sz w:val="18"/>
              </w:rPr>
            </w:pPr>
            <w:r>
              <w:rPr>
                <w:sz w:val="18"/>
              </w:rPr>
              <w:t>Tectona grandis</w:t>
            </w:r>
          </w:p>
        </w:tc>
        <w:tc>
          <w:tcPr>
            <w:tcW w:w="1867" w:type="dxa"/>
          </w:tcPr>
          <w:p>
            <w:pPr>
              <w:pStyle w:val="TableParagraph"/>
              <w:spacing w:before="28"/>
              <w:ind w:left="656" w:right="559"/>
              <w:jc w:val="center"/>
              <w:rPr>
                <w:sz w:val="18"/>
              </w:rPr>
            </w:pPr>
            <w:r>
              <w:rPr>
                <w:sz w:val="18"/>
              </w:rPr>
              <w:t>6 - 18</w:t>
            </w:r>
          </w:p>
        </w:tc>
        <w:tc>
          <w:tcPr>
            <w:tcW w:w="1869" w:type="dxa"/>
          </w:tcPr>
          <w:p>
            <w:pPr>
              <w:pStyle w:val="TableParagraph"/>
              <w:spacing w:before="28"/>
              <w:ind w:left="648" w:right="640"/>
              <w:jc w:val="center"/>
              <w:rPr>
                <w:sz w:val="18"/>
              </w:rPr>
            </w:pPr>
            <w:r>
              <w:rPr>
                <w:sz w:val="18"/>
              </w:rPr>
              <w:t>12</w:t>
            </w:r>
          </w:p>
        </w:tc>
      </w:tr>
      <w:tr>
        <w:trPr>
          <w:trHeight w:val="273" w:hRule="atLeast"/>
        </w:trPr>
        <w:tc>
          <w:tcPr>
            <w:tcW w:w="3067" w:type="dxa"/>
          </w:tcPr>
          <w:p>
            <w:pPr>
              <w:pStyle w:val="TableParagraph"/>
              <w:spacing w:before="28"/>
              <w:ind w:left="112"/>
              <w:rPr>
                <w:sz w:val="18"/>
              </w:rPr>
            </w:pPr>
            <w:r>
              <w:rPr>
                <w:sz w:val="18"/>
              </w:rPr>
              <w:t>Casuarina equisetifolia</w:t>
            </w:r>
          </w:p>
        </w:tc>
        <w:tc>
          <w:tcPr>
            <w:tcW w:w="1867" w:type="dxa"/>
          </w:tcPr>
          <w:p>
            <w:pPr>
              <w:pStyle w:val="TableParagraph"/>
              <w:spacing w:before="28"/>
              <w:ind w:left="656" w:right="557"/>
              <w:jc w:val="center"/>
              <w:rPr>
                <w:sz w:val="18"/>
              </w:rPr>
            </w:pPr>
            <w:r>
              <w:rPr>
                <w:sz w:val="18"/>
              </w:rPr>
              <w:t>6 - 20</w:t>
            </w:r>
          </w:p>
        </w:tc>
        <w:tc>
          <w:tcPr>
            <w:tcW w:w="1869" w:type="dxa"/>
          </w:tcPr>
          <w:p>
            <w:pPr>
              <w:pStyle w:val="TableParagraph"/>
              <w:spacing w:before="28"/>
              <w:ind w:left="649" w:right="640"/>
              <w:jc w:val="center"/>
              <w:rPr>
                <w:sz w:val="18"/>
              </w:rPr>
            </w:pPr>
            <w:r>
              <w:rPr>
                <w:sz w:val="18"/>
              </w:rPr>
              <w:t>13</w:t>
            </w:r>
          </w:p>
        </w:tc>
      </w:tr>
      <w:tr>
        <w:trPr>
          <w:trHeight w:val="275" w:hRule="atLeast"/>
        </w:trPr>
        <w:tc>
          <w:tcPr>
            <w:tcW w:w="3067" w:type="dxa"/>
          </w:tcPr>
          <w:p>
            <w:pPr>
              <w:pStyle w:val="TableParagraph"/>
              <w:spacing w:before="28"/>
              <w:ind w:left="112"/>
              <w:rPr>
                <w:sz w:val="18"/>
              </w:rPr>
            </w:pPr>
            <w:r>
              <w:rPr>
                <w:sz w:val="18"/>
              </w:rPr>
              <w:t>C. junghuhniana</w:t>
            </w:r>
          </w:p>
        </w:tc>
        <w:tc>
          <w:tcPr>
            <w:tcW w:w="1867" w:type="dxa"/>
          </w:tcPr>
          <w:p>
            <w:pPr>
              <w:pStyle w:val="TableParagraph"/>
              <w:spacing w:before="28"/>
              <w:ind w:left="656" w:right="559"/>
              <w:jc w:val="center"/>
              <w:rPr>
                <w:sz w:val="18"/>
              </w:rPr>
            </w:pPr>
            <w:r>
              <w:rPr>
                <w:sz w:val="18"/>
              </w:rPr>
              <w:t>7 - 11</w:t>
            </w:r>
          </w:p>
        </w:tc>
        <w:tc>
          <w:tcPr>
            <w:tcW w:w="1869" w:type="dxa"/>
          </w:tcPr>
          <w:p>
            <w:pPr>
              <w:pStyle w:val="TableParagraph"/>
              <w:spacing w:before="28"/>
              <w:ind w:left="7"/>
              <w:jc w:val="center"/>
              <w:rPr>
                <w:sz w:val="18"/>
              </w:rPr>
            </w:pPr>
            <w:r>
              <w:rPr>
                <w:sz w:val="18"/>
              </w:rPr>
              <w:t>9</w:t>
            </w:r>
          </w:p>
        </w:tc>
      </w:tr>
      <w:tr>
        <w:trPr>
          <w:trHeight w:val="273" w:hRule="atLeast"/>
        </w:trPr>
        <w:tc>
          <w:tcPr>
            <w:tcW w:w="3067" w:type="dxa"/>
          </w:tcPr>
          <w:p>
            <w:pPr>
              <w:pStyle w:val="TableParagraph"/>
              <w:spacing w:before="28"/>
              <w:ind w:left="112"/>
              <w:rPr>
                <w:sz w:val="18"/>
              </w:rPr>
            </w:pPr>
            <w:r>
              <w:rPr>
                <w:sz w:val="18"/>
              </w:rPr>
              <w:t>Cupressus lusitanica</w:t>
            </w:r>
          </w:p>
        </w:tc>
        <w:tc>
          <w:tcPr>
            <w:tcW w:w="1867" w:type="dxa"/>
          </w:tcPr>
          <w:p>
            <w:pPr>
              <w:pStyle w:val="TableParagraph"/>
              <w:spacing w:before="28"/>
              <w:ind w:left="656" w:right="558"/>
              <w:jc w:val="center"/>
              <w:rPr>
                <w:sz w:val="18"/>
              </w:rPr>
            </w:pPr>
            <w:r>
              <w:rPr>
                <w:sz w:val="18"/>
              </w:rPr>
              <w:t>8 - 40</w:t>
            </w:r>
          </w:p>
        </w:tc>
        <w:tc>
          <w:tcPr>
            <w:tcW w:w="1869" w:type="dxa"/>
          </w:tcPr>
          <w:p>
            <w:pPr>
              <w:pStyle w:val="TableParagraph"/>
              <w:spacing w:before="28"/>
              <w:ind w:left="648" w:right="640"/>
              <w:jc w:val="center"/>
              <w:rPr>
                <w:sz w:val="18"/>
              </w:rPr>
            </w:pPr>
            <w:r>
              <w:rPr>
                <w:sz w:val="18"/>
              </w:rPr>
              <w:t>24</w:t>
            </w:r>
          </w:p>
        </w:tc>
      </w:tr>
      <w:tr>
        <w:trPr>
          <w:trHeight w:val="273" w:hRule="atLeast"/>
        </w:trPr>
        <w:tc>
          <w:tcPr>
            <w:tcW w:w="3067" w:type="dxa"/>
          </w:tcPr>
          <w:p>
            <w:pPr>
              <w:pStyle w:val="TableParagraph"/>
              <w:spacing w:before="28"/>
              <w:ind w:left="112"/>
              <w:rPr>
                <w:sz w:val="18"/>
              </w:rPr>
            </w:pPr>
            <w:r>
              <w:rPr>
                <w:sz w:val="18"/>
              </w:rPr>
              <w:t>Cordia alliadora</w:t>
            </w:r>
          </w:p>
        </w:tc>
        <w:tc>
          <w:tcPr>
            <w:tcW w:w="1867" w:type="dxa"/>
          </w:tcPr>
          <w:p>
            <w:pPr>
              <w:pStyle w:val="TableParagraph"/>
              <w:spacing w:before="28"/>
              <w:ind w:left="656" w:right="647"/>
              <w:jc w:val="center"/>
              <w:rPr>
                <w:sz w:val="18"/>
              </w:rPr>
            </w:pPr>
            <w:r>
              <w:rPr>
                <w:sz w:val="18"/>
              </w:rPr>
              <w:t>10 - 20</w:t>
            </w:r>
          </w:p>
        </w:tc>
        <w:tc>
          <w:tcPr>
            <w:tcW w:w="1869" w:type="dxa"/>
          </w:tcPr>
          <w:p>
            <w:pPr>
              <w:pStyle w:val="TableParagraph"/>
              <w:spacing w:before="28"/>
              <w:ind w:left="649" w:right="640"/>
              <w:jc w:val="center"/>
              <w:rPr>
                <w:sz w:val="18"/>
              </w:rPr>
            </w:pPr>
            <w:r>
              <w:rPr>
                <w:sz w:val="18"/>
              </w:rPr>
              <w:t>15</w:t>
            </w:r>
          </w:p>
        </w:tc>
      </w:tr>
      <w:tr>
        <w:trPr>
          <w:trHeight w:val="275" w:hRule="atLeast"/>
        </w:trPr>
        <w:tc>
          <w:tcPr>
            <w:tcW w:w="3067" w:type="dxa"/>
          </w:tcPr>
          <w:p>
            <w:pPr>
              <w:pStyle w:val="TableParagraph"/>
              <w:spacing w:before="28"/>
              <w:ind w:left="112"/>
              <w:rPr>
                <w:sz w:val="18"/>
              </w:rPr>
            </w:pPr>
            <w:r>
              <w:rPr>
                <w:sz w:val="18"/>
              </w:rPr>
              <w:t>Leucaena leucocephala</w:t>
            </w:r>
          </w:p>
        </w:tc>
        <w:tc>
          <w:tcPr>
            <w:tcW w:w="1867" w:type="dxa"/>
          </w:tcPr>
          <w:p>
            <w:pPr>
              <w:pStyle w:val="TableParagraph"/>
              <w:spacing w:before="28"/>
              <w:ind w:left="655" w:right="648"/>
              <w:jc w:val="center"/>
              <w:rPr>
                <w:sz w:val="18"/>
              </w:rPr>
            </w:pPr>
            <w:r>
              <w:rPr>
                <w:sz w:val="18"/>
              </w:rPr>
              <w:t>30 - 55</w:t>
            </w:r>
          </w:p>
        </w:tc>
        <w:tc>
          <w:tcPr>
            <w:tcW w:w="1869" w:type="dxa"/>
          </w:tcPr>
          <w:p>
            <w:pPr>
              <w:pStyle w:val="TableParagraph"/>
              <w:spacing w:before="28"/>
              <w:ind w:left="647" w:right="640"/>
              <w:jc w:val="center"/>
              <w:rPr>
                <w:sz w:val="18"/>
              </w:rPr>
            </w:pPr>
            <w:r>
              <w:rPr>
                <w:sz w:val="18"/>
              </w:rPr>
              <w:t>42.5</w:t>
            </w:r>
          </w:p>
        </w:tc>
      </w:tr>
      <w:tr>
        <w:trPr>
          <w:trHeight w:val="273" w:hRule="atLeast"/>
        </w:trPr>
        <w:tc>
          <w:tcPr>
            <w:tcW w:w="3067" w:type="dxa"/>
          </w:tcPr>
          <w:p>
            <w:pPr>
              <w:pStyle w:val="TableParagraph"/>
              <w:spacing w:before="28"/>
              <w:ind w:left="112"/>
              <w:rPr>
                <w:sz w:val="18"/>
              </w:rPr>
            </w:pPr>
            <w:r>
              <w:rPr>
                <w:sz w:val="18"/>
              </w:rPr>
              <w:t>Acacia auriculiformis</w:t>
            </w:r>
          </w:p>
        </w:tc>
        <w:tc>
          <w:tcPr>
            <w:tcW w:w="1867" w:type="dxa"/>
          </w:tcPr>
          <w:p>
            <w:pPr>
              <w:pStyle w:val="TableParagraph"/>
              <w:spacing w:before="28"/>
              <w:ind w:left="656" w:right="559"/>
              <w:jc w:val="center"/>
              <w:rPr>
                <w:sz w:val="18"/>
              </w:rPr>
            </w:pPr>
            <w:r>
              <w:rPr>
                <w:sz w:val="18"/>
              </w:rPr>
              <w:t>6 - 20</w:t>
            </w:r>
          </w:p>
        </w:tc>
        <w:tc>
          <w:tcPr>
            <w:tcW w:w="1869" w:type="dxa"/>
          </w:tcPr>
          <w:p>
            <w:pPr>
              <w:pStyle w:val="TableParagraph"/>
              <w:spacing w:before="28"/>
              <w:ind w:left="648" w:right="640"/>
              <w:jc w:val="center"/>
              <w:rPr>
                <w:sz w:val="18"/>
              </w:rPr>
            </w:pPr>
            <w:r>
              <w:rPr>
                <w:sz w:val="18"/>
              </w:rPr>
              <w:t>13</w:t>
            </w:r>
          </w:p>
        </w:tc>
      </w:tr>
      <w:tr>
        <w:trPr>
          <w:trHeight w:val="273" w:hRule="atLeast"/>
        </w:trPr>
        <w:tc>
          <w:tcPr>
            <w:tcW w:w="3067" w:type="dxa"/>
          </w:tcPr>
          <w:p>
            <w:pPr>
              <w:pStyle w:val="TableParagraph"/>
              <w:spacing w:before="28"/>
              <w:ind w:left="112"/>
              <w:rPr>
                <w:sz w:val="18"/>
              </w:rPr>
            </w:pPr>
            <w:r>
              <w:rPr>
                <w:sz w:val="18"/>
              </w:rPr>
              <w:t>Acacia mearnsii</w:t>
            </w:r>
          </w:p>
        </w:tc>
        <w:tc>
          <w:tcPr>
            <w:tcW w:w="1867" w:type="dxa"/>
          </w:tcPr>
          <w:p>
            <w:pPr>
              <w:pStyle w:val="TableParagraph"/>
              <w:spacing w:before="28"/>
              <w:ind w:left="656" w:right="647"/>
              <w:jc w:val="center"/>
              <w:rPr>
                <w:sz w:val="18"/>
              </w:rPr>
            </w:pPr>
            <w:r>
              <w:rPr>
                <w:sz w:val="18"/>
              </w:rPr>
              <w:t>14 - 25</w:t>
            </w:r>
          </w:p>
        </w:tc>
        <w:tc>
          <w:tcPr>
            <w:tcW w:w="1869" w:type="dxa"/>
          </w:tcPr>
          <w:p>
            <w:pPr>
              <w:pStyle w:val="TableParagraph"/>
              <w:spacing w:before="28"/>
              <w:ind w:left="649" w:right="640"/>
              <w:jc w:val="center"/>
              <w:rPr>
                <w:sz w:val="18"/>
              </w:rPr>
            </w:pPr>
            <w:r>
              <w:rPr>
                <w:sz w:val="18"/>
              </w:rPr>
              <w:t>19.5</w:t>
            </w:r>
          </w:p>
        </w:tc>
      </w:tr>
      <w:tr>
        <w:trPr>
          <w:trHeight w:val="275" w:hRule="atLeast"/>
        </w:trPr>
        <w:tc>
          <w:tcPr>
            <w:tcW w:w="3067" w:type="dxa"/>
          </w:tcPr>
          <w:p>
            <w:pPr>
              <w:pStyle w:val="TableParagraph"/>
              <w:spacing w:before="28"/>
              <w:ind w:left="112"/>
              <w:rPr>
                <w:sz w:val="18"/>
              </w:rPr>
            </w:pPr>
            <w:r>
              <w:rPr>
                <w:sz w:val="18"/>
              </w:rPr>
              <w:t>Terminalia superba</w:t>
            </w:r>
          </w:p>
        </w:tc>
        <w:tc>
          <w:tcPr>
            <w:tcW w:w="1867" w:type="dxa"/>
          </w:tcPr>
          <w:p>
            <w:pPr>
              <w:pStyle w:val="TableParagraph"/>
              <w:spacing w:before="28"/>
              <w:ind w:left="656" w:right="648"/>
              <w:jc w:val="center"/>
              <w:rPr>
                <w:sz w:val="18"/>
              </w:rPr>
            </w:pPr>
            <w:r>
              <w:rPr>
                <w:sz w:val="18"/>
              </w:rPr>
              <w:t>10 - 14</w:t>
            </w:r>
          </w:p>
        </w:tc>
        <w:tc>
          <w:tcPr>
            <w:tcW w:w="1869" w:type="dxa"/>
          </w:tcPr>
          <w:p>
            <w:pPr>
              <w:pStyle w:val="TableParagraph"/>
              <w:spacing w:before="28"/>
              <w:ind w:left="649" w:right="640"/>
              <w:jc w:val="center"/>
              <w:rPr>
                <w:sz w:val="18"/>
              </w:rPr>
            </w:pPr>
            <w:r>
              <w:rPr>
                <w:sz w:val="18"/>
              </w:rPr>
              <w:t>12</w:t>
            </w:r>
          </w:p>
        </w:tc>
      </w:tr>
      <w:tr>
        <w:trPr>
          <w:trHeight w:val="273" w:hRule="atLeast"/>
        </w:trPr>
        <w:tc>
          <w:tcPr>
            <w:tcW w:w="3067" w:type="dxa"/>
          </w:tcPr>
          <w:p>
            <w:pPr>
              <w:pStyle w:val="TableParagraph"/>
              <w:spacing w:before="28"/>
              <w:ind w:left="112"/>
              <w:rPr>
                <w:sz w:val="18"/>
              </w:rPr>
            </w:pPr>
            <w:r>
              <w:rPr>
                <w:sz w:val="18"/>
              </w:rPr>
              <w:t>Terminalia ivorensis</w:t>
            </w:r>
          </w:p>
        </w:tc>
        <w:tc>
          <w:tcPr>
            <w:tcW w:w="1867" w:type="dxa"/>
          </w:tcPr>
          <w:p>
            <w:pPr>
              <w:pStyle w:val="TableParagraph"/>
              <w:spacing w:before="28"/>
              <w:ind w:left="656" w:right="556"/>
              <w:jc w:val="center"/>
              <w:rPr>
                <w:sz w:val="18"/>
              </w:rPr>
            </w:pPr>
            <w:r>
              <w:rPr>
                <w:sz w:val="18"/>
              </w:rPr>
              <w:t>8 - 17</w:t>
            </w:r>
          </w:p>
        </w:tc>
        <w:tc>
          <w:tcPr>
            <w:tcW w:w="1869" w:type="dxa"/>
          </w:tcPr>
          <w:p>
            <w:pPr>
              <w:pStyle w:val="TableParagraph"/>
              <w:spacing w:before="28"/>
              <w:ind w:left="648" w:right="640"/>
              <w:jc w:val="center"/>
              <w:rPr>
                <w:sz w:val="18"/>
              </w:rPr>
            </w:pPr>
            <w:r>
              <w:rPr>
                <w:sz w:val="18"/>
              </w:rPr>
              <w:t>12.5</w:t>
            </w:r>
          </w:p>
        </w:tc>
      </w:tr>
      <w:tr>
        <w:trPr>
          <w:trHeight w:val="273" w:hRule="atLeast"/>
        </w:trPr>
        <w:tc>
          <w:tcPr>
            <w:tcW w:w="3067" w:type="dxa"/>
          </w:tcPr>
          <w:p>
            <w:pPr>
              <w:pStyle w:val="TableParagraph"/>
              <w:spacing w:before="28"/>
              <w:ind w:left="112"/>
              <w:rPr>
                <w:sz w:val="18"/>
              </w:rPr>
            </w:pPr>
            <w:r>
              <w:rPr>
                <w:sz w:val="18"/>
              </w:rPr>
              <w:t>Dalbergia sissoo</w:t>
            </w:r>
          </w:p>
        </w:tc>
        <w:tc>
          <w:tcPr>
            <w:tcW w:w="1867" w:type="dxa"/>
          </w:tcPr>
          <w:p>
            <w:pPr>
              <w:pStyle w:val="TableParagraph"/>
              <w:spacing w:before="28"/>
              <w:ind w:left="656" w:right="647"/>
              <w:jc w:val="center"/>
              <w:rPr>
                <w:sz w:val="18"/>
              </w:rPr>
            </w:pPr>
            <w:r>
              <w:rPr>
                <w:sz w:val="18"/>
              </w:rPr>
              <w:t>5 - 8</w:t>
            </w:r>
          </w:p>
        </w:tc>
        <w:tc>
          <w:tcPr>
            <w:tcW w:w="1869" w:type="dxa"/>
          </w:tcPr>
          <w:p>
            <w:pPr>
              <w:pStyle w:val="TableParagraph"/>
              <w:spacing w:before="28"/>
              <w:ind w:left="649" w:right="638"/>
              <w:jc w:val="center"/>
              <w:rPr>
                <w:sz w:val="18"/>
              </w:rPr>
            </w:pPr>
            <w:r>
              <w:rPr>
                <w:sz w:val="18"/>
              </w:rPr>
              <w:t>6.5</w:t>
            </w:r>
          </w:p>
        </w:tc>
      </w:tr>
      <w:tr>
        <w:trPr>
          <w:trHeight w:val="1600" w:hRule="atLeast"/>
        </w:trPr>
        <w:tc>
          <w:tcPr>
            <w:tcW w:w="6803" w:type="dxa"/>
            <w:gridSpan w:val="3"/>
          </w:tcPr>
          <w:p>
            <w:pPr>
              <w:pStyle w:val="TableParagraph"/>
              <w:ind w:left="227" w:right="13" w:hanging="171"/>
              <w:jc w:val="both"/>
              <w:rPr>
                <w:sz w:val="18"/>
              </w:rPr>
            </w:pPr>
            <w:r>
              <w:rPr>
                <w:sz w:val="18"/>
              </w:rPr>
              <w:t>* For those parties that have reason to believe that their plantations are located on more than average fertile sites it is suggested to use the mean value + 50%, for those Parties that have reason to believe their plantations are located on poor sites, it is suggested to use the mean value -50%</w:t>
            </w:r>
          </w:p>
          <w:p>
            <w:pPr>
              <w:pStyle w:val="TableParagraph"/>
              <w:spacing w:before="155"/>
              <w:ind w:left="57" w:right="158"/>
              <w:rPr>
                <w:sz w:val="16"/>
              </w:rPr>
            </w:pPr>
            <w:r>
              <w:rPr>
                <w:sz w:val="16"/>
              </w:rPr>
              <w:t>Source: Ugalde,L. and Prez,O. Mean annual volume increment of selected industrial forest planatation species. Forest Plantation Thematic Papers, Working paper 1. </w:t>
            </w:r>
            <w:r>
              <w:rPr>
                <w:spacing w:val="-3"/>
                <w:sz w:val="16"/>
              </w:rPr>
              <w:t>FAO</w:t>
            </w:r>
            <w:r>
              <w:rPr>
                <w:spacing w:val="-4"/>
                <w:sz w:val="16"/>
              </w:rPr>
              <w:t> </w:t>
            </w:r>
            <w:r>
              <w:rPr>
                <w:sz w:val="16"/>
              </w:rPr>
              <w:t>(2001)</w:t>
            </w:r>
          </w:p>
          <w:p>
            <w:pPr>
              <w:pStyle w:val="TableParagraph"/>
              <w:spacing w:line="183" w:lineRule="exact"/>
              <w:ind w:left="57"/>
              <w:rPr>
                <w:sz w:val="16"/>
              </w:rPr>
            </w:pPr>
            <w:r>
              <w:rPr>
                <w:sz w:val="16"/>
              </w:rPr>
              <w:t>Available at</w:t>
            </w:r>
            <w:r>
              <w:rPr>
                <w:spacing w:val="1"/>
                <w:sz w:val="16"/>
              </w:rPr>
              <w:t> </w:t>
            </w:r>
            <w:hyperlink r:id="rId195">
              <w:r>
                <w:rPr>
                  <w:sz w:val="16"/>
                </w:rPr>
                <w:t>http://www.fao.org/DOCREP/004/AC121E/AC121E00.HTM</w:t>
              </w:r>
            </w:hyperlink>
          </w:p>
        </w:tc>
      </w:tr>
    </w:tbl>
    <w:p>
      <w:pPr>
        <w:spacing w:after="0" w:line="183" w:lineRule="exact"/>
        <w:rPr>
          <w:sz w:val="16"/>
        </w:rPr>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7"/>
        <w:gridCol w:w="2285"/>
        <w:gridCol w:w="1159"/>
        <w:gridCol w:w="785"/>
        <w:gridCol w:w="768"/>
        <w:gridCol w:w="770"/>
        <w:gridCol w:w="756"/>
        <w:gridCol w:w="1764"/>
      </w:tblGrid>
      <w:tr>
        <w:trPr>
          <w:trHeight w:val="947" w:hRule="atLeast"/>
        </w:trPr>
        <w:tc>
          <w:tcPr>
            <w:tcW w:w="9014" w:type="dxa"/>
            <w:gridSpan w:val="8"/>
            <w:tcBorders>
              <w:bottom w:val="double" w:sz="1" w:space="0" w:color="000000"/>
            </w:tcBorders>
          </w:tcPr>
          <w:p>
            <w:pPr>
              <w:pStyle w:val="TableParagraph"/>
              <w:spacing w:before="59"/>
              <w:ind w:left="121" w:right="114"/>
              <w:jc w:val="center"/>
              <w:rPr>
                <w:b/>
                <w:sz w:val="18"/>
              </w:rPr>
            </w:pPr>
            <w:r>
              <w:rPr>
                <w:b/>
                <w:sz w:val="18"/>
              </w:rPr>
              <w:t>T</w:t>
            </w:r>
            <w:r>
              <w:rPr>
                <w:b/>
                <w:sz w:val="14"/>
              </w:rPr>
              <w:t>ABLE </w:t>
            </w:r>
            <w:r>
              <w:rPr>
                <w:b/>
                <w:sz w:val="18"/>
              </w:rPr>
              <w:t>3A.1.8</w:t>
            </w:r>
          </w:p>
          <w:p>
            <w:pPr>
              <w:pStyle w:val="TableParagraph"/>
              <w:spacing w:line="207" w:lineRule="exact" w:before="2"/>
              <w:ind w:left="123" w:right="114"/>
              <w:jc w:val="center"/>
              <w:rPr>
                <w:b/>
                <w:sz w:val="14"/>
              </w:rPr>
            </w:pPr>
            <w:r>
              <w:rPr>
                <w:b/>
                <w:sz w:val="18"/>
              </w:rPr>
              <w:t>A</w:t>
            </w:r>
            <w:r>
              <w:rPr>
                <w:b/>
                <w:sz w:val="14"/>
              </w:rPr>
              <w:t>VERAGE BELOWGROUND TO ABOVEGROUND BIOMASS RATIO </w:t>
            </w:r>
            <w:r>
              <w:rPr>
                <w:b/>
                <w:sz w:val="18"/>
              </w:rPr>
              <w:t>(</w:t>
            </w:r>
            <w:r>
              <w:rPr>
                <w:b/>
                <w:sz w:val="14"/>
              </w:rPr>
              <w:t>ROOT</w:t>
            </w:r>
            <w:r>
              <w:rPr>
                <w:b/>
                <w:sz w:val="18"/>
              </w:rPr>
              <w:t>-</w:t>
            </w:r>
            <w:r>
              <w:rPr>
                <w:b/>
                <w:sz w:val="14"/>
              </w:rPr>
              <w:t>SHOOT RATIO</w:t>
            </w:r>
            <w:r>
              <w:rPr>
                <w:b/>
                <w:sz w:val="18"/>
              </w:rPr>
              <w:t>, R) </w:t>
            </w:r>
            <w:r>
              <w:rPr>
                <w:b/>
                <w:sz w:val="14"/>
              </w:rPr>
              <w:t>IN NATURAL REGENERATION BY</w:t>
            </w:r>
          </w:p>
          <w:p>
            <w:pPr>
              <w:pStyle w:val="TableParagraph"/>
              <w:spacing w:line="207" w:lineRule="exact"/>
              <w:ind w:left="123" w:right="113"/>
              <w:jc w:val="center"/>
              <w:rPr>
                <w:b/>
                <w:sz w:val="18"/>
              </w:rPr>
            </w:pPr>
            <w:r>
              <w:rPr>
                <w:b/>
                <w:sz w:val="14"/>
              </w:rPr>
              <w:t>BROAD CATEGORY </w:t>
            </w:r>
            <w:r>
              <w:rPr>
                <w:b/>
                <w:sz w:val="18"/>
              </w:rPr>
              <w:t>(tonnes dry matter/tonne dry matter)</w:t>
            </w:r>
          </w:p>
          <w:p>
            <w:pPr>
              <w:pStyle w:val="TableParagraph"/>
              <w:spacing w:line="191" w:lineRule="exact" w:before="55"/>
              <w:ind w:left="123" w:right="113"/>
              <w:jc w:val="center"/>
              <w:rPr>
                <w:sz w:val="18"/>
              </w:rPr>
            </w:pPr>
            <w:r>
              <w:rPr>
                <w:sz w:val="18"/>
              </w:rPr>
              <w:t>(To be used for R in Equation 3.2.5)</w:t>
            </w:r>
          </w:p>
        </w:tc>
      </w:tr>
      <w:tr>
        <w:trPr>
          <w:trHeight w:val="423" w:hRule="atLeast"/>
        </w:trPr>
        <w:tc>
          <w:tcPr>
            <w:tcW w:w="727" w:type="dxa"/>
            <w:tcBorders>
              <w:top w:val="double" w:sz="1" w:space="0" w:color="000000"/>
            </w:tcBorders>
          </w:tcPr>
          <w:p>
            <w:pPr>
              <w:pStyle w:val="TableParagraph"/>
              <w:rPr>
                <w:sz w:val="16"/>
              </w:rPr>
            </w:pPr>
          </w:p>
        </w:tc>
        <w:tc>
          <w:tcPr>
            <w:tcW w:w="2285" w:type="dxa"/>
            <w:tcBorders>
              <w:top w:val="double" w:sz="1" w:space="0" w:color="000000"/>
            </w:tcBorders>
          </w:tcPr>
          <w:p>
            <w:pPr>
              <w:pStyle w:val="TableParagraph"/>
              <w:spacing w:before="116"/>
              <w:ind w:left="607"/>
              <w:rPr>
                <w:b/>
                <w:sz w:val="16"/>
              </w:rPr>
            </w:pPr>
            <w:r>
              <w:rPr>
                <w:b/>
                <w:sz w:val="16"/>
              </w:rPr>
              <w:t>Vegetation type</w:t>
            </w:r>
          </w:p>
        </w:tc>
        <w:tc>
          <w:tcPr>
            <w:tcW w:w="1159" w:type="dxa"/>
            <w:tcBorders>
              <w:top w:val="double" w:sz="1" w:space="0" w:color="000000"/>
            </w:tcBorders>
          </w:tcPr>
          <w:p>
            <w:pPr>
              <w:pStyle w:val="TableParagraph"/>
              <w:spacing w:before="25"/>
              <w:ind w:left="107" w:right="84" w:firstLine="2"/>
              <w:rPr>
                <w:sz w:val="16"/>
              </w:rPr>
            </w:pPr>
            <w:r>
              <w:rPr>
                <w:b/>
                <w:sz w:val="16"/>
              </w:rPr>
              <w:t>Aboveground biomass </w:t>
            </w:r>
            <w:r>
              <w:rPr>
                <w:sz w:val="16"/>
              </w:rPr>
              <w:t>(t/ha)</w:t>
            </w:r>
          </w:p>
        </w:tc>
        <w:tc>
          <w:tcPr>
            <w:tcW w:w="785" w:type="dxa"/>
            <w:tcBorders>
              <w:top w:val="double" w:sz="1" w:space="0" w:color="000000"/>
            </w:tcBorders>
          </w:tcPr>
          <w:p>
            <w:pPr>
              <w:pStyle w:val="TableParagraph"/>
              <w:spacing w:before="116"/>
              <w:ind w:left="194"/>
              <w:rPr>
                <w:b/>
                <w:sz w:val="16"/>
              </w:rPr>
            </w:pPr>
            <w:r>
              <w:rPr>
                <w:b/>
                <w:sz w:val="16"/>
              </w:rPr>
              <w:t>Mean</w:t>
            </w:r>
          </w:p>
        </w:tc>
        <w:tc>
          <w:tcPr>
            <w:tcW w:w="768" w:type="dxa"/>
            <w:tcBorders>
              <w:top w:val="double" w:sz="1" w:space="0" w:color="000000"/>
            </w:tcBorders>
          </w:tcPr>
          <w:p>
            <w:pPr>
              <w:pStyle w:val="TableParagraph"/>
              <w:spacing w:before="116"/>
              <w:ind w:left="280"/>
              <w:rPr>
                <w:b/>
                <w:sz w:val="16"/>
              </w:rPr>
            </w:pPr>
            <w:r>
              <w:rPr>
                <w:b/>
                <w:sz w:val="16"/>
              </w:rPr>
              <w:t>SD</w:t>
            </w:r>
          </w:p>
        </w:tc>
        <w:tc>
          <w:tcPr>
            <w:tcW w:w="770" w:type="dxa"/>
            <w:tcBorders>
              <w:top w:val="double" w:sz="1" w:space="0" w:color="000000"/>
            </w:tcBorders>
          </w:tcPr>
          <w:p>
            <w:pPr>
              <w:pStyle w:val="TableParagraph"/>
              <w:spacing w:before="25"/>
              <w:ind w:left="186" w:right="162" w:firstLine="4"/>
              <w:rPr>
                <w:b/>
                <w:sz w:val="16"/>
              </w:rPr>
            </w:pPr>
            <w:r>
              <w:rPr>
                <w:b/>
                <w:sz w:val="16"/>
              </w:rPr>
              <w:t>lower range</w:t>
            </w:r>
          </w:p>
        </w:tc>
        <w:tc>
          <w:tcPr>
            <w:tcW w:w="756" w:type="dxa"/>
            <w:tcBorders>
              <w:top w:val="double" w:sz="1" w:space="0" w:color="000000"/>
            </w:tcBorders>
          </w:tcPr>
          <w:p>
            <w:pPr>
              <w:pStyle w:val="TableParagraph"/>
              <w:spacing w:before="25"/>
              <w:ind w:left="180" w:right="145" w:hanging="8"/>
              <w:rPr>
                <w:b/>
                <w:sz w:val="16"/>
              </w:rPr>
            </w:pPr>
            <w:r>
              <w:rPr>
                <w:b/>
                <w:sz w:val="16"/>
              </w:rPr>
              <w:t>upper range</w:t>
            </w:r>
          </w:p>
        </w:tc>
        <w:tc>
          <w:tcPr>
            <w:tcW w:w="1764" w:type="dxa"/>
            <w:tcBorders>
              <w:top w:val="double" w:sz="1" w:space="0" w:color="000000"/>
            </w:tcBorders>
          </w:tcPr>
          <w:p>
            <w:pPr>
              <w:pStyle w:val="TableParagraph"/>
              <w:spacing w:before="116"/>
              <w:ind w:left="506"/>
              <w:rPr>
                <w:b/>
                <w:sz w:val="16"/>
              </w:rPr>
            </w:pPr>
            <w:r>
              <w:rPr>
                <w:b/>
                <w:sz w:val="16"/>
              </w:rPr>
              <w:t>References</w:t>
            </w:r>
          </w:p>
        </w:tc>
      </w:tr>
      <w:tr>
        <w:trPr>
          <w:trHeight w:val="446" w:hRule="atLeast"/>
        </w:trPr>
        <w:tc>
          <w:tcPr>
            <w:tcW w:w="727" w:type="dxa"/>
            <w:vMerge w:val="restart"/>
            <w:textDirection w:val="btLr"/>
          </w:tcPr>
          <w:p>
            <w:pPr>
              <w:pStyle w:val="TableParagraph"/>
              <w:spacing w:before="1"/>
              <w:rPr>
                <w:sz w:val="15"/>
              </w:rPr>
            </w:pPr>
          </w:p>
          <w:p>
            <w:pPr>
              <w:pStyle w:val="TableParagraph"/>
              <w:spacing w:line="244" w:lineRule="auto" w:before="1"/>
              <w:ind w:left="143" w:right="126" w:firstLine="16"/>
              <w:rPr>
                <w:sz w:val="16"/>
              </w:rPr>
            </w:pPr>
            <w:r>
              <w:rPr>
                <w:sz w:val="16"/>
              </w:rPr>
              <w:t>Tropical/sub- tropical forest</w:t>
            </w:r>
          </w:p>
        </w:tc>
        <w:tc>
          <w:tcPr>
            <w:tcW w:w="2285" w:type="dxa"/>
          </w:tcPr>
          <w:p>
            <w:pPr>
              <w:pStyle w:val="TableParagraph"/>
              <w:spacing w:before="33"/>
              <w:ind w:left="254" w:right="135" w:hanging="147"/>
              <w:rPr>
                <w:sz w:val="16"/>
              </w:rPr>
            </w:pPr>
            <w:r>
              <w:rPr>
                <w:sz w:val="16"/>
              </w:rPr>
              <w:t>Secondary tropical/sub-tropical forest</w:t>
            </w:r>
          </w:p>
        </w:tc>
        <w:tc>
          <w:tcPr>
            <w:tcW w:w="1159" w:type="dxa"/>
          </w:tcPr>
          <w:p>
            <w:pPr>
              <w:pStyle w:val="TableParagraph"/>
              <w:spacing w:before="124"/>
              <w:ind w:right="400"/>
              <w:jc w:val="right"/>
              <w:rPr>
                <w:sz w:val="16"/>
              </w:rPr>
            </w:pPr>
            <w:r>
              <w:rPr>
                <w:sz w:val="16"/>
              </w:rPr>
              <w:t>&lt;125</w:t>
            </w:r>
          </w:p>
        </w:tc>
        <w:tc>
          <w:tcPr>
            <w:tcW w:w="785" w:type="dxa"/>
          </w:tcPr>
          <w:p>
            <w:pPr>
              <w:pStyle w:val="TableParagraph"/>
              <w:spacing w:before="124"/>
              <w:ind w:left="250"/>
              <w:rPr>
                <w:sz w:val="16"/>
              </w:rPr>
            </w:pPr>
            <w:r>
              <w:rPr>
                <w:sz w:val="16"/>
              </w:rPr>
              <w:t>0.42</w:t>
            </w:r>
          </w:p>
        </w:tc>
        <w:tc>
          <w:tcPr>
            <w:tcW w:w="768" w:type="dxa"/>
          </w:tcPr>
          <w:p>
            <w:pPr>
              <w:pStyle w:val="TableParagraph"/>
              <w:spacing w:before="124"/>
              <w:ind w:left="242"/>
              <w:rPr>
                <w:sz w:val="16"/>
              </w:rPr>
            </w:pPr>
            <w:r>
              <w:rPr>
                <w:sz w:val="16"/>
              </w:rPr>
              <w:t>0.22</w:t>
            </w:r>
          </w:p>
        </w:tc>
        <w:tc>
          <w:tcPr>
            <w:tcW w:w="770" w:type="dxa"/>
          </w:tcPr>
          <w:p>
            <w:pPr>
              <w:pStyle w:val="TableParagraph"/>
              <w:spacing w:before="124"/>
              <w:ind w:left="8"/>
              <w:jc w:val="center"/>
              <w:rPr>
                <w:sz w:val="16"/>
              </w:rPr>
            </w:pPr>
            <w:r>
              <w:rPr>
                <w:sz w:val="16"/>
              </w:rPr>
              <w:t>0.14</w:t>
            </w:r>
          </w:p>
        </w:tc>
        <w:tc>
          <w:tcPr>
            <w:tcW w:w="756" w:type="dxa"/>
          </w:tcPr>
          <w:p>
            <w:pPr>
              <w:pStyle w:val="TableParagraph"/>
              <w:spacing w:before="124"/>
              <w:ind w:left="176" w:right="168"/>
              <w:jc w:val="center"/>
              <w:rPr>
                <w:sz w:val="16"/>
              </w:rPr>
            </w:pPr>
            <w:r>
              <w:rPr>
                <w:sz w:val="16"/>
              </w:rPr>
              <w:t>0.83</w:t>
            </w:r>
          </w:p>
        </w:tc>
        <w:tc>
          <w:tcPr>
            <w:tcW w:w="1764" w:type="dxa"/>
          </w:tcPr>
          <w:p>
            <w:pPr>
              <w:pStyle w:val="TableParagraph"/>
              <w:spacing w:before="33"/>
              <w:ind w:left="108"/>
              <w:rPr>
                <w:sz w:val="16"/>
              </w:rPr>
            </w:pPr>
            <w:r>
              <w:rPr>
                <w:sz w:val="16"/>
              </w:rPr>
              <w:t>5, 7, 13, 25, 28, 31, 48,</w:t>
            </w:r>
          </w:p>
          <w:p>
            <w:pPr>
              <w:pStyle w:val="TableParagraph"/>
              <w:ind w:left="108"/>
              <w:rPr>
                <w:sz w:val="16"/>
              </w:rPr>
            </w:pPr>
            <w:r>
              <w:rPr>
                <w:sz w:val="16"/>
              </w:rPr>
              <w:t>71</w:t>
            </w:r>
          </w:p>
        </w:tc>
      </w:tr>
      <w:tr>
        <w:trPr>
          <w:trHeight w:val="443" w:hRule="atLeast"/>
        </w:trPr>
        <w:tc>
          <w:tcPr>
            <w:tcW w:w="727" w:type="dxa"/>
            <w:vMerge/>
            <w:tcBorders>
              <w:top w:val="nil"/>
            </w:tcBorders>
            <w:textDirection w:val="btLr"/>
          </w:tcPr>
          <w:p>
            <w:pPr>
              <w:rPr>
                <w:sz w:val="2"/>
                <w:szCs w:val="2"/>
              </w:rPr>
            </w:pPr>
          </w:p>
        </w:tc>
        <w:tc>
          <w:tcPr>
            <w:tcW w:w="2285" w:type="dxa"/>
          </w:tcPr>
          <w:p>
            <w:pPr>
              <w:pStyle w:val="TableParagraph"/>
              <w:spacing w:before="33"/>
              <w:ind w:left="254" w:right="295" w:hanging="147"/>
              <w:rPr>
                <w:sz w:val="16"/>
              </w:rPr>
            </w:pPr>
            <w:r>
              <w:rPr>
                <w:sz w:val="16"/>
              </w:rPr>
              <w:t>Primary tropical/sub-tropical moist forest</w:t>
            </w:r>
          </w:p>
        </w:tc>
        <w:tc>
          <w:tcPr>
            <w:tcW w:w="1159" w:type="dxa"/>
          </w:tcPr>
          <w:p>
            <w:pPr>
              <w:pStyle w:val="TableParagraph"/>
              <w:spacing w:before="124"/>
              <w:ind w:left="187" w:right="72"/>
              <w:jc w:val="center"/>
              <w:rPr>
                <w:sz w:val="16"/>
              </w:rPr>
            </w:pPr>
            <w:r>
              <w:rPr>
                <w:sz w:val="16"/>
              </w:rPr>
              <w:t>NS</w:t>
            </w:r>
          </w:p>
        </w:tc>
        <w:tc>
          <w:tcPr>
            <w:tcW w:w="785" w:type="dxa"/>
          </w:tcPr>
          <w:p>
            <w:pPr>
              <w:pStyle w:val="TableParagraph"/>
              <w:spacing w:before="124"/>
              <w:ind w:left="249"/>
              <w:rPr>
                <w:sz w:val="16"/>
              </w:rPr>
            </w:pPr>
            <w:r>
              <w:rPr>
                <w:sz w:val="16"/>
              </w:rPr>
              <w:t>0.24</w:t>
            </w:r>
          </w:p>
        </w:tc>
        <w:tc>
          <w:tcPr>
            <w:tcW w:w="768" w:type="dxa"/>
          </w:tcPr>
          <w:p>
            <w:pPr>
              <w:pStyle w:val="TableParagraph"/>
              <w:spacing w:before="124"/>
              <w:ind w:left="241"/>
              <w:rPr>
                <w:sz w:val="16"/>
              </w:rPr>
            </w:pPr>
            <w:r>
              <w:rPr>
                <w:sz w:val="16"/>
              </w:rPr>
              <w:t>0.03</w:t>
            </w:r>
          </w:p>
        </w:tc>
        <w:tc>
          <w:tcPr>
            <w:tcW w:w="770" w:type="dxa"/>
          </w:tcPr>
          <w:p>
            <w:pPr>
              <w:pStyle w:val="TableParagraph"/>
              <w:spacing w:before="124"/>
              <w:ind w:left="5"/>
              <w:jc w:val="center"/>
              <w:rPr>
                <w:sz w:val="16"/>
              </w:rPr>
            </w:pPr>
            <w:r>
              <w:rPr>
                <w:sz w:val="16"/>
              </w:rPr>
              <w:t>0.22</w:t>
            </w:r>
          </w:p>
        </w:tc>
        <w:tc>
          <w:tcPr>
            <w:tcW w:w="756" w:type="dxa"/>
          </w:tcPr>
          <w:p>
            <w:pPr>
              <w:pStyle w:val="TableParagraph"/>
              <w:spacing w:before="124"/>
              <w:ind w:left="173" w:right="168"/>
              <w:jc w:val="center"/>
              <w:rPr>
                <w:sz w:val="16"/>
              </w:rPr>
            </w:pPr>
            <w:r>
              <w:rPr>
                <w:sz w:val="16"/>
              </w:rPr>
              <w:t>0.33</w:t>
            </w:r>
          </w:p>
        </w:tc>
        <w:tc>
          <w:tcPr>
            <w:tcW w:w="1764" w:type="dxa"/>
          </w:tcPr>
          <w:p>
            <w:pPr>
              <w:pStyle w:val="TableParagraph"/>
              <w:spacing w:before="124"/>
              <w:ind w:left="106"/>
              <w:rPr>
                <w:sz w:val="16"/>
              </w:rPr>
            </w:pPr>
            <w:r>
              <w:rPr>
                <w:sz w:val="16"/>
              </w:rPr>
              <w:t>33, 57, 63, 67, 69</w:t>
            </w:r>
          </w:p>
        </w:tc>
      </w:tr>
      <w:tr>
        <w:trPr>
          <w:trHeight w:val="273" w:hRule="atLeast"/>
        </w:trPr>
        <w:tc>
          <w:tcPr>
            <w:tcW w:w="727" w:type="dxa"/>
            <w:vMerge/>
            <w:tcBorders>
              <w:top w:val="nil"/>
            </w:tcBorders>
            <w:textDirection w:val="btLr"/>
          </w:tcPr>
          <w:p>
            <w:pPr>
              <w:rPr>
                <w:sz w:val="2"/>
                <w:szCs w:val="2"/>
              </w:rPr>
            </w:pPr>
          </w:p>
        </w:tc>
        <w:tc>
          <w:tcPr>
            <w:tcW w:w="2285" w:type="dxa"/>
          </w:tcPr>
          <w:p>
            <w:pPr>
              <w:pStyle w:val="TableParagraph"/>
              <w:spacing w:before="37"/>
              <w:ind w:left="107"/>
              <w:rPr>
                <w:sz w:val="16"/>
              </w:rPr>
            </w:pPr>
            <w:r>
              <w:rPr>
                <w:sz w:val="16"/>
              </w:rPr>
              <w:t>Tropical/sub-tropical dry forest</w:t>
            </w:r>
          </w:p>
        </w:tc>
        <w:tc>
          <w:tcPr>
            <w:tcW w:w="1159" w:type="dxa"/>
          </w:tcPr>
          <w:p>
            <w:pPr>
              <w:pStyle w:val="TableParagraph"/>
              <w:spacing w:before="37"/>
              <w:ind w:left="191" w:right="72"/>
              <w:jc w:val="center"/>
              <w:rPr>
                <w:sz w:val="16"/>
              </w:rPr>
            </w:pPr>
            <w:r>
              <w:rPr>
                <w:sz w:val="16"/>
              </w:rPr>
              <w:t>NS</w:t>
            </w:r>
          </w:p>
        </w:tc>
        <w:tc>
          <w:tcPr>
            <w:tcW w:w="785" w:type="dxa"/>
          </w:tcPr>
          <w:p>
            <w:pPr>
              <w:pStyle w:val="TableParagraph"/>
              <w:spacing w:before="37"/>
              <w:ind w:left="251"/>
              <w:rPr>
                <w:sz w:val="16"/>
              </w:rPr>
            </w:pPr>
            <w:r>
              <w:rPr>
                <w:sz w:val="16"/>
              </w:rPr>
              <w:t>0.27</w:t>
            </w:r>
          </w:p>
        </w:tc>
        <w:tc>
          <w:tcPr>
            <w:tcW w:w="768" w:type="dxa"/>
          </w:tcPr>
          <w:p>
            <w:pPr>
              <w:pStyle w:val="TableParagraph"/>
              <w:spacing w:before="37"/>
              <w:ind w:left="243"/>
              <w:rPr>
                <w:sz w:val="16"/>
              </w:rPr>
            </w:pPr>
            <w:r>
              <w:rPr>
                <w:sz w:val="16"/>
              </w:rPr>
              <w:t>0.01</w:t>
            </w:r>
          </w:p>
        </w:tc>
        <w:tc>
          <w:tcPr>
            <w:tcW w:w="770" w:type="dxa"/>
          </w:tcPr>
          <w:p>
            <w:pPr>
              <w:pStyle w:val="TableParagraph"/>
              <w:spacing w:before="37"/>
              <w:ind w:left="9"/>
              <w:jc w:val="center"/>
              <w:rPr>
                <w:sz w:val="16"/>
              </w:rPr>
            </w:pPr>
            <w:r>
              <w:rPr>
                <w:sz w:val="16"/>
              </w:rPr>
              <w:t>0.27</w:t>
            </w:r>
          </w:p>
        </w:tc>
        <w:tc>
          <w:tcPr>
            <w:tcW w:w="756" w:type="dxa"/>
          </w:tcPr>
          <w:p>
            <w:pPr>
              <w:pStyle w:val="TableParagraph"/>
              <w:spacing w:before="37"/>
              <w:ind w:left="177" w:right="168"/>
              <w:jc w:val="center"/>
              <w:rPr>
                <w:sz w:val="16"/>
              </w:rPr>
            </w:pPr>
            <w:r>
              <w:rPr>
                <w:sz w:val="16"/>
              </w:rPr>
              <w:t>0.28</w:t>
            </w:r>
          </w:p>
        </w:tc>
        <w:tc>
          <w:tcPr>
            <w:tcW w:w="1764" w:type="dxa"/>
          </w:tcPr>
          <w:p>
            <w:pPr>
              <w:pStyle w:val="TableParagraph"/>
              <w:spacing w:before="37"/>
              <w:ind w:left="108"/>
              <w:rPr>
                <w:sz w:val="16"/>
              </w:rPr>
            </w:pPr>
            <w:r>
              <w:rPr>
                <w:sz w:val="16"/>
              </w:rPr>
              <w:t>65</w:t>
            </w:r>
          </w:p>
        </w:tc>
      </w:tr>
      <w:tr>
        <w:trPr>
          <w:trHeight w:val="273" w:hRule="atLeast"/>
        </w:trPr>
        <w:tc>
          <w:tcPr>
            <w:tcW w:w="727" w:type="dxa"/>
            <w:vMerge w:val="restart"/>
            <w:textDirection w:val="btLr"/>
          </w:tcPr>
          <w:p>
            <w:pPr>
              <w:pStyle w:val="TableParagraph"/>
              <w:spacing w:line="247" w:lineRule="auto" w:before="78"/>
              <w:ind w:left="187" w:right="180"/>
              <w:jc w:val="center"/>
              <w:rPr>
                <w:sz w:val="16"/>
              </w:rPr>
            </w:pPr>
            <w:r>
              <w:rPr>
                <w:sz w:val="16"/>
              </w:rPr>
              <w:t>Conifer forest/ plantation</w:t>
            </w:r>
          </w:p>
        </w:tc>
        <w:tc>
          <w:tcPr>
            <w:tcW w:w="2285" w:type="dxa"/>
          </w:tcPr>
          <w:p>
            <w:pPr>
              <w:pStyle w:val="TableParagraph"/>
              <w:spacing w:before="37"/>
              <w:ind w:left="107"/>
              <w:rPr>
                <w:sz w:val="16"/>
              </w:rPr>
            </w:pPr>
            <w:r>
              <w:rPr>
                <w:sz w:val="16"/>
              </w:rPr>
              <w:t>Conifer forest/plantation</w:t>
            </w:r>
          </w:p>
        </w:tc>
        <w:tc>
          <w:tcPr>
            <w:tcW w:w="1159" w:type="dxa"/>
          </w:tcPr>
          <w:p>
            <w:pPr>
              <w:pStyle w:val="TableParagraph"/>
              <w:spacing w:before="37"/>
              <w:ind w:left="82" w:right="72"/>
              <w:jc w:val="center"/>
              <w:rPr>
                <w:sz w:val="16"/>
              </w:rPr>
            </w:pPr>
            <w:r>
              <w:rPr>
                <w:sz w:val="16"/>
              </w:rPr>
              <w:t>&lt;50</w:t>
            </w:r>
          </w:p>
        </w:tc>
        <w:tc>
          <w:tcPr>
            <w:tcW w:w="785" w:type="dxa"/>
          </w:tcPr>
          <w:p>
            <w:pPr>
              <w:pStyle w:val="TableParagraph"/>
              <w:spacing w:before="37"/>
              <w:ind w:left="250"/>
              <w:rPr>
                <w:sz w:val="16"/>
              </w:rPr>
            </w:pPr>
            <w:r>
              <w:rPr>
                <w:sz w:val="16"/>
              </w:rPr>
              <w:t>0.46</w:t>
            </w:r>
          </w:p>
        </w:tc>
        <w:tc>
          <w:tcPr>
            <w:tcW w:w="768" w:type="dxa"/>
          </w:tcPr>
          <w:p>
            <w:pPr>
              <w:pStyle w:val="TableParagraph"/>
              <w:spacing w:before="37"/>
              <w:ind w:left="243"/>
              <w:rPr>
                <w:sz w:val="16"/>
              </w:rPr>
            </w:pPr>
            <w:r>
              <w:rPr>
                <w:sz w:val="16"/>
              </w:rPr>
              <w:t>0.21</w:t>
            </w:r>
          </w:p>
        </w:tc>
        <w:tc>
          <w:tcPr>
            <w:tcW w:w="770" w:type="dxa"/>
          </w:tcPr>
          <w:p>
            <w:pPr>
              <w:pStyle w:val="TableParagraph"/>
              <w:spacing w:before="37"/>
              <w:ind w:left="8"/>
              <w:jc w:val="center"/>
              <w:rPr>
                <w:sz w:val="16"/>
              </w:rPr>
            </w:pPr>
            <w:r>
              <w:rPr>
                <w:sz w:val="16"/>
              </w:rPr>
              <w:t>0.21</w:t>
            </w:r>
          </w:p>
        </w:tc>
        <w:tc>
          <w:tcPr>
            <w:tcW w:w="756" w:type="dxa"/>
          </w:tcPr>
          <w:p>
            <w:pPr>
              <w:pStyle w:val="TableParagraph"/>
              <w:spacing w:before="37"/>
              <w:ind w:left="176" w:right="168"/>
              <w:jc w:val="center"/>
              <w:rPr>
                <w:sz w:val="16"/>
              </w:rPr>
            </w:pPr>
            <w:r>
              <w:rPr>
                <w:sz w:val="16"/>
              </w:rPr>
              <w:t>1.06</w:t>
            </w:r>
          </w:p>
        </w:tc>
        <w:tc>
          <w:tcPr>
            <w:tcW w:w="1764" w:type="dxa"/>
          </w:tcPr>
          <w:p>
            <w:pPr>
              <w:pStyle w:val="TableParagraph"/>
              <w:spacing w:before="37"/>
              <w:ind w:left="108"/>
              <w:rPr>
                <w:sz w:val="16"/>
              </w:rPr>
            </w:pPr>
            <w:r>
              <w:rPr>
                <w:sz w:val="16"/>
              </w:rPr>
              <w:t>2, 8, 43, 44, 54, 61, 75</w:t>
            </w:r>
          </w:p>
        </w:tc>
      </w:tr>
      <w:tr>
        <w:trPr>
          <w:trHeight w:val="275" w:hRule="atLeast"/>
        </w:trPr>
        <w:tc>
          <w:tcPr>
            <w:tcW w:w="727" w:type="dxa"/>
            <w:vMerge/>
            <w:tcBorders>
              <w:top w:val="nil"/>
            </w:tcBorders>
            <w:textDirection w:val="btLr"/>
          </w:tcPr>
          <w:p>
            <w:pPr>
              <w:rPr>
                <w:sz w:val="2"/>
                <w:szCs w:val="2"/>
              </w:rPr>
            </w:pPr>
          </w:p>
        </w:tc>
        <w:tc>
          <w:tcPr>
            <w:tcW w:w="2285" w:type="dxa"/>
          </w:tcPr>
          <w:p>
            <w:pPr>
              <w:pStyle w:val="TableParagraph"/>
              <w:spacing w:before="37"/>
              <w:ind w:left="107"/>
              <w:rPr>
                <w:sz w:val="16"/>
              </w:rPr>
            </w:pPr>
            <w:r>
              <w:rPr>
                <w:sz w:val="16"/>
              </w:rPr>
              <w:t>Conifer forest/plantation</w:t>
            </w:r>
          </w:p>
        </w:tc>
        <w:tc>
          <w:tcPr>
            <w:tcW w:w="1159" w:type="dxa"/>
          </w:tcPr>
          <w:p>
            <w:pPr>
              <w:pStyle w:val="TableParagraph"/>
              <w:spacing w:before="37"/>
              <w:ind w:right="342"/>
              <w:jc w:val="right"/>
              <w:rPr>
                <w:sz w:val="16"/>
              </w:rPr>
            </w:pPr>
            <w:r>
              <w:rPr>
                <w:sz w:val="16"/>
              </w:rPr>
              <w:t>50-150</w:t>
            </w:r>
          </w:p>
        </w:tc>
        <w:tc>
          <w:tcPr>
            <w:tcW w:w="785" w:type="dxa"/>
          </w:tcPr>
          <w:p>
            <w:pPr>
              <w:pStyle w:val="TableParagraph"/>
              <w:spacing w:before="37"/>
              <w:ind w:left="249"/>
              <w:rPr>
                <w:sz w:val="16"/>
              </w:rPr>
            </w:pPr>
            <w:r>
              <w:rPr>
                <w:sz w:val="16"/>
              </w:rPr>
              <w:t>0.32</w:t>
            </w:r>
          </w:p>
        </w:tc>
        <w:tc>
          <w:tcPr>
            <w:tcW w:w="768" w:type="dxa"/>
          </w:tcPr>
          <w:p>
            <w:pPr>
              <w:pStyle w:val="TableParagraph"/>
              <w:spacing w:before="37"/>
              <w:ind w:left="241"/>
              <w:rPr>
                <w:sz w:val="16"/>
              </w:rPr>
            </w:pPr>
            <w:r>
              <w:rPr>
                <w:sz w:val="16"/>
              </w:rPr>
              <w:t>0.08</w:t>
            </w:r>
          </w:p>
        </w:tc>
        <w:tc>
          <w:tcPr>
            <w:tcW w:w="770" w:type="dxa"/>
          </w:tcPr>
          <w:p>
            <w:pPr>
              <w:pStyle w:val="TableParagraph"/>
              <w:spacing w:before="37"/>
              <w:ind w:left="4"/>
              <w:jc w:val="center"/>
              <w:rPr>
                <w:sz w:val="16"/>
              </w:rPr>
            </w:pPr>
            <w:r>
              <w:rPr>
                <w:sz w:val="16"/>
              </w:rPr>
              <w:t>0.24</w:t>
            </w:r>
          </w:p>
        </w:tc>
        <w:tc>
          <w:tcPr>
            <w:tcW w:w="756" w:type="dxa"/>
          </w:tcPr>
          <w:p>
            <w:pPr>
              <w:pStyle w:val="TableParagraph"/>
              <w:spacing w:before="37"/>
              <w:ind w:left="172" w:right="168"/>
              <w:jc w:val="center"/>
              <w:rPr>
                <w:sz w:val="16"/>
              </w:rPr>
            </w:pPr>
            <w:r>
              <w:rPr>
                <w:sz w:val="16"/>
              </w:rPr>
              <w:t>0.50</w:t>
            </w:r>
          </w:p>
        </w:tc>
        <w:tc>
          <w:tcPr>
            <w:tcW w:w="1764" w:type="dxa"/>
          </w:tcPr>
          <w:p>
            <w:pPr>
              <w:pStyle w:val="TableParagraph"/>
              <w:spacing w:before="37"/>
              <w:ind w:left="106"/>
              <w:rPr>
                <w:sz w:val="16"/>
              </w:rPr>
            </w:pPr>
            <w:r>
              <w:rPr>
                <w:sz w:val="16"/>
              </w:rPr>
              <w:t>6, 36, 54, 55, 58, 61</w:t>
            </w:r>
          </w:p>
        </w:tc>
      </w:tr>
      <w:tr>
        <w:trPr>
          <w:trHeight w:val="443" w:hRule="atLeast"/>
        </w:trPr>
        <w:tc>
          <w:tcPr>
            <w:tcW w:w="727" w:type="dxa"/>
            <w:vMerge/>
            <w:tcBorders>
              <w:top w:val="nil"/>
            </w:tcBorders>
            <w:textDirection w:val="btLr"/>
          </w:tcPr>
          <w:p>
            <w:pPr>
              <w:rPr>
                <w:sz w:val="2"/>
                <w:szCs w:val="2"/>
              </w:rPr>
            </w:pPr>
          </w:p>
        </w:tc>
        <w:tc>
          <w:tcPr>
            <w:tcW w:w="2285" w:type="dxa"/>
          </w:tcPr>
          <w:p>
            <w:pPr>
              <w:pStyle w:val="TableParagraph"/>
              <w:spacing w:before="124"/>
              <w:ind w:left="107"/>
              <w:rPr>
                <w:sz w:val="16"/>
              </w:rPr>
            </w:pPr>
            <w:r>
              <w:rPr>
                <w:sz w:val="16"/>
              </w:rPr>
              <w:t>Conifer forest/plantation</w:t>
            </w:r>
          </w:p>
        </w:tc>
        <w:tc>
          <w:tcPr>
            <w:tcW w:w="1159" w:type="dxa"/>
          </w:tcPr>
          <w:p>
            <w:pPr>
              <w:pStyle w:val="TableParagraph"/>
              <w:spacing w:before="124"/>
              <w:ind w:right="399"/>
              <w:jc w:val="right"/>
              <w:rPr>
                <w:sz w:val="16"/>
              </w:rPr>
            </w:pPr>
            <w:r>
              <w:rPr>
                <w:sz w:val="16"/>
              </w:rPr>
              <w:t>&gt;150</w:t>
            </w:r>
          </w:p>
        </w:tc>
        <w:tc>
          <w:tcPr>
            <w:tcW w:w="785" w:type="dxa"/>
          </w:tcPr>
          <w:p>
            <w:pPr>
              <w:pStyle w:val="TableParagraph"/>
              <w:spacing w:before="124"/>
              <w:ind w:left="250"/>
              <w:rPr>
                <w:sz w:val="16"/>
              </w:rPr>
            </w:pPr>
            <w:r>
              <w:rPr>
                <w:sz w:val="16"/>
              </w:rPr>
              <w:t>0.23</w:t>
            </w:r>
          </w:p>
        </w:tc>
        <w:tc>
          <w:tcPr>
            <w:tcW w:w="768" w:type="dxa"/>
          </w:tcPr>
          <w:p>
            <w:pPr>
              <w:pStyle w:val="TableParagraph"/>
              <w:spacing w:before="124"/>
              <w:ind w:left="243"/>
              <w:rPr>
                <w:sz w:val="16"/>
              </w:rPr>
            </w:pPr>
            <w:r>
              <w:rPr>
                <w:sz w:val="16"/>
              </w:rPr>
              <w:t>0.09</w:t>
            </w:r>
          </w:p>
        </w:tc>
        <w:tc>
          <w:tcPr>
            <w:tcW w:w="770" w:type="dxa"/>
          </w:tcPr>
          <w:p>
            <w:pPr>
              <w:pStyle w:val="TableParagraph"/>
              <w:spacing w:before="124"/>
              <w:ind w:left="8"/>
              <w:jc w:val="center"/>
              <w:rPr>
                <w:sz w:val="16"/>
              </w:rPr>
            </w:pPr>
            <w:r>
              <w:rPr>
                <w:sz w:val="16"/>
              </w:rPr>
              <w:t>0.12</w:t>
            </w:r>
          </w:p>
        </w:tc>
        <w:tc>
          <w:tcPr>
            <w:tcW w:w="756" w:type="dxa"/>
          </w:tcPr>
          <w:p>
            <w:pPr>
              <w:pStyle w:val="TableParagraph"/>
              <w:spacing w:before="124"/>
              <w:ind w:left="176" w:right="168"/>
              <w:jc w:val="center"/>
              <w:rPr>
                <w:sz w:val="16"/>
              </w:rPr>
            </w:pPr>
            <w:r>
              <w:rPr>
                <w:sz w:val="16"/>
              </w:rPr>
              <w:t>0.49</w:t>
            </w:r>
          </w:p>
        </w:tc>
        <w:tc>
          <w:tcPr>
            <w:tcW w:w="1764" w:type="dxa"/>
          </w:tcPr>
          <w:p>
            <w:pPr>
              <w:pStyle w:val="TableParagraph"/>
              <w:spacing w:line="183" w:lineRule="exact" w:before="33"/>
              <w:ind w:left="108"/>
              <w:rPr>
                <w:sz w:val="16"/>
              </w:rPr>
            </w:pPr>
            <w:r>
              <w:rPr>
                <w:sz w:val="16"/>
              </w:rPr>
              <w:t>1, 6, 20, 40, 53, 61, 67,</w:t>
            </w:r>
          </w:p>
          <w:p>
            <w:pPr>
              <w:pStyle w:val="TableParagraph"/>
              <w:spacing w:line="183" w:lineRule="exact"/>
              <w:ind w:left="108"/>
              <w:rPr>
                <w:sz w:val="16"/>
              </w:rPr>
            </w:pPr>
            <w:r>
              <w:rPr>
                <w:sz w:val="16"/>
              </w:rPr>
              <w:t>77, 79</w:t>
            </w:r>
          </w:p>
        </w:tc>
      </w:tr>
      <w:tr>
        <w:trPr>
          <w:trHeight w:val="273" w:hRule="atLeast"/>
        </w:trPr>
        <w:tc>
          <w:tcPr>
            <w:tcW w:w="727" w:type="dxa"/>
            <w:vMerge w:val="restart"/>
            <w:textDirection w:val="btLr"/>
          </w:tcPr>
          <w:p>
            <w:pPr>
              <w:pStyle w:val="TableParagraph"/>
              <w:spacing w:before="1"/>
              <w:rPr>
                <w:sz w:val="15"/>
              </w:rPr>
            </w:pPr>
          </w:p>
          <w:p>
            <w:pPr>
              <w:pStyle w:val="TableParagraph"/>
              <w:spacing w:line="244" w:lineRule="auto" w:before="1"/>
              <w:ind w:left="753" w:right="162" w:hanging="567"/>
              <w:rPr>
                <w:sz w:val="16"/>
              </w:rPr>
            </w:pPr>
            <w:r>
              <w:rPr>
                <w:sz w:val="16"/>
              </w:rPr>
              <w:t>Temperate broadleaf forest/ plantation</w:t>
            </w:r>
          </w:p>
        </w:tc>
        <w:tc>
          <w:tcPr>
            <w:tcW w:w="2285" w:type="dxa"/>
          </w:tcPr>
          <w:p>
            <w:pPr>
              <w:pStyle w:val="TableParagraph"/>
              <w:spacing w:before="37"/>
              <w:ind w:left="107"/>
              <w:rPr>
                <w:sz w:val="16"/>
              </w:rPr>
            </w:pPr>
            <w:r>
              <w:rPr>
                <w:sz w:val="16"/>
              </w:rPr>
              <w:t>Oak forest</w:t>
            </w:r>
          </w:p>
        </w:tc>
        <w:tc>
          <w:tcPr>
            <w:tcW w:w="1159" w:type="dxa"/>
          </w:tcPr>
          <w:p>
            <w:pPr>
              <w:pStyle w:val="TableParagraph"/>
              <w:spacing w:before="37"/>
              <w:ind w:left="80" w:right="72"/>
              <w:jc w:val="center"/>
              <w:rPr>
                <w:sz w:val="16"/>
              </w:rPr>
            </w:pPr>
            <w:r>
              <w:rPr>
                <w:sz w:val="16"/>
              </w:rPr>
              <w:t>&gt;70</w:t>
            </w:r>
          </w:p>
        </w:tc>
        <w:tc>
          <w:tcPr>
            <w:tcW w:w="785" w:type="dxa"/>
          </w:tcPr>
          <w:p>
            <w:pPr>
              <w:pStyle w:val="TableParagraph"/>
              <w:spacing w:before="37"/>
              <w:ind w:left="249"/>
              <w:rPr>
                <w:sz w:val="16"/>
              </w:rPr>
            </w:pPr>
            <w:r>
              <w:rPr>
                <w:sz w:val="16"/>
              </w:rPr>
              <w:t>0.35</w:t>
            </w:r>
          </w:p>
        </w:tc>
        <w:tc>
          <w:tcPr>
            <w:tcW w:w="768" w:type="dxa"/>
          </w:tcPr>
          <w:p>
            <w:pPr>
              <w:pStyle w:val="TableParagraph"/>
              <w:spacing w:before="37"/>
              <w:ind w:left="242"/>
              <w:rPr>
                <w:sz w:val="16"/>
              </w:rPr>
            </w:pPr>
            <w:r>
              <w:rPr>
                <w:sz w:val="16"/>
              </w:rPr>
              <w:t>0.25</w:t>
            </w:r>
          </w:p>
        </w:tc>
        <w:tc>
          <w:tcPr>
            <w:tcW w:w="770" w:type="dxa"/>
          </w:tcPr>
          <w:p>
            <w:pPr>
              <w:pStyle w:val="TableParagraph"/>
              <w:spacing w:before="37"/>
              <w:ind w:left="6"/>
              <w:jc w:val="center"/>
              <w:rPr>
                <w:sz w:val="16"/>
              </w:rPr>
            </w:pPr>
            <w:r>
              <w:rPr>
                <w:sz w:val="16"/>
              </w:rPr>
              <w:t>0.20</w:t>
            </w:r>
          </w:p>
        </w:tc>
        <w:tc>
          <w:tcPr>
            <w:tcW w:w="756" w:type="dxa"/>
          </w:tcPr>
          <w:p>
            <w:pPr>
              <w:pStyle w:val="TableParagraph"/>
              <w:spacing w:before="37"/>
              <w:ind w:left="173" w:right="168"/>
              <w:jc w:val="center"/>
              <w:rPr>
                <w:sz w:val="16"/>
              </w:rPr>
            </w:pPr>
            <w:r>
              <w:rPr>
                <w:sz w:val="16"/>
              </w:rPr>
              <w:t>1.16</w:t>
            </w:r>
          </w:p>
        </w:tc>
        <w:tc>
          <w:tcPr>
            <w:tcW w:w="1764" w:type="dxa"/>
          </w:tcPr>
          <w:p>
            <w:pPr>
              <w:pStyle w:val="TableParagraph"/>
              <w:spacing w:before="37"/>
              <w:ind w:left="107"/>
              <w:rPr>
                <w:sz w:val="16"/>
              </w:rPr>
            </w:pPr>
            <w:r>
              <w:rPr>
                <w:sz w:val="16"/>
              </w:rPr>
              <w:t>15, 60, 64, 67</w:t>
            </w:r>
          </w:p>
        </w:tc>
      </w:tr>
      <w:tr>
        <w:trPr>
          <w:trHeight w:val="275" w:hRule="atLeast"/>
        </w:trPr>
        <w:tc>
          <w:tcPr>
            <w:tcW w:w="727" w:type="dxa"/>
            <w:vMerge/>
            <w:tcBorders>
              <w:top w:val="nil"/>
            </w:tcBorders>
            <w:textDirection w:val="btLr"/>
          </w:tcPr>
          <w:p>
            <w:pPr>
              <w:rPr>
                <w:sz w:val="2"/>
                <w:szCs w:val="2"/>
              </w:rPr>
            </w:pPr>
          </w:p>
        </w:tc>
        <w:tc>
          <w:tcPr>
            <w:tcW w:w="2285" w:type="dxa"/>
          </w:tcPr>
          <w:p>
            <w:pPr>
              <w:pStyle w:val="TableParagraph"/>
              <w:spacing w:before="37"/>
              <w:ind w:left="107"/>
              <w:rPr>
                <w:sz w:val="16"/>
              </w:rPr>
            </w:pPr>
            <w:r>
              <w:rPr>
                <w:sz w:val="16"/>
              </w:rPr>
              <w:t>Eucalypt plantation</w:t>
            </w:r>
          </w:p>
        </w:tc>
        <w:tc>
          <w:tcPr>
            <w:tcW w:w="1159" w:type="dxa"/>
          </w:tcPr>
          <w:p>
            <w:pPr>
              <w:pStyle w:val="TableParagraph"/>
              <w:spacing w:before="37"/>
              <w:ind w:left="82" w:right="72"/>
              <w:jc w:val="center"/>
              <w:rPr>
                <w:sz w:val="16"/>
              </w:rPr>
            </w:pPr>
            <w:r>
              <w:rPr>
                <w:sz w:val="16"/>
              </w:rPr>
              <w:t>&lt;50</w:t>
            </w:r>
          </w:p>
        </w:tc>
        <w:tc>
          <w:tcPr>
            <w:tcW w:w="785" w:type="dxa"/>
          </w:tcPr>
          <w:p>
            <w:pPr>
              <w:pStyle w:val="TableParagraph"/>
              <w:spacing w:before="37"/>
              <w:ind w:left="250"/>
              <w:rPr>
                <w:sz w:val="16"/>
              </w:rPr>
            </w:pPr>
            <w:r>
              <w:rPr>
                <w:sz w:val="16"/>
              </w:rPr>
              <w:t>0.45</w:t>
            </w:r>
          </w:p>
        </w:tc>
        <w:tc>
          <w:tcPr>
            <w:tcW w:w="768" w:type="dxa"/>
          </w:tcPr>
          <w:p>
            <w:pPr>
              <w:pStyle w:val="TableParagraph"/>
              <w:spacing w:before="37"/>
              <w:ind w:left="243"/>
              <w:rPr>
                <w:sz w:val="16"/>
              </w:rPr>
            </w:pPr>
            <w:r>
              <w:rPr>
                <w:sz w:val="16"/>
              </w:rPr>
              <w:t>0.15</w:t>
            </w:r>
          </w:p>
        </w:tc>
        <w:tc>
          <w:tcPr>
            <w:tcW w:w="770" w:type="dxa"/>
          </w:tcPr>
          <w:p>
            <w:pPr>
              <w:pStyle w:val="TableParagraph"/>
              <w:spacing w:before="37"/>
              <w:ind w:left="8"/>
              <w:jc w:val="center"/>
              <w:rPr>
                <w:sz w:val="16"/>
              </w:rPr>
            </w:pPr>
            <w:r>
              <w:rPr>
                <w:sz w:val="16"/>
              </w:rPr>
              <w:t>0.29</w:t>
            </w:r>
          </w:p>
        </w:tc>
        <w:tc>
          <w:tcPr>
            <w:tcW w:w="756" w:type="dxa"/>
          </w:tcPr>
          <w:p>
            <w:pPr>
              <w:pStyle w:val="TableParagraph"/>
              <w:spacing w:before="37"/>
              <w:ind w:left="176" w:right="168"/>
              <w:jc w:val="center"/>
              <w:rPr>
                <w:sz w:val="16"/>
              </w:rPr>
            </w:pPr>
            <w:r>
              <w:rPr>
                <w:sz w:val="16"/>
              </w:rPr>
              <w:t>0.81</w:t>
            </w:r>
          </w:p>
        </w:tc>
        <w:tc>
          <w:tcPr>
            <w:tcW w:w="1764" w:type="dxa"/>
          </w:tcPr>
          <w:p>
            <w:pPr>
              <w:pStyle w:val="TableParagraph"/>
              <w:spacing w:before="37"/>
              <w:ind w:left="108"/>
              <w:rPr>
                <w:sz w:val="16"/>
              </w:rPr>
            </w:pPr>
            <w:r>
              <w:rPr>
                <w:sz w:val="16"/>
              </w:rPr>
              <w:t>9, 51, 59</w:t>
            </w:r>
          </w:p>
        </w:tc>
      </w:tr>
      <w:tr>
        <w:trPr>
          <w:trHeight w:val="273" w:hRule="atLeast"/>
        </w:trPr>
        <w:tc>
          <w:tcPr>
            <w:tcW w:w="727" w:type="dxa"/>
            <w:vMerge/>
            <w:tcBorders>
              <w:top w:val="nil"/>
            </w:tcBorders>
            <w:textDirection w:val="btLr"/>
          </w:tcPr>
          <w:p>
            <w:pPr>
              <w:rPr>
                <w:sz w:val="2"/>
                <w:szCs w:val="2"/>
              </w:rPr>
            </w:pPr>
          </w:p>
        </w:tc>
        <w:tc>
          <w:tcPr>
            <w:tcW w:w="2285" w:type="dxa"/>
          </w:tcPr>
          <w:p>
            <w:pPr>
              <w:pStyle w:val="TableParagraph"/>
              <w:spacing w:before="37"/>
              <w:ind w:left="107"/>
              <w:rPr>
                <w:sz w:val="16"/>
              </w:rPr>
            </w:pPr>
            <w:r>
              <w:rPr>
                <w:sz w:val="16"/>
              </w:rPr>
              <w:t>Eucalypt plantation</w:t>
            </w:r>
          </w:p>
        </w:tc>
        <w:tc>
          <w:tcPr>
            <w:tcW w:w="1159" w:type="dxa"/>
          </w:tcPr>
          <w:p>
            <w:pPr>
              <w:pStyle w:val="TableParagraph"/>
              <w:spacing w:before="37"/>
              <w:ind w:right="341"/>
              <w:jc w:val="right"/>
              <w:rPr>
                <w:sz w:val="16"/>
              </w:rPr>
            </w:pPr>
            <w:r>
              <w:rPr>
                <w:sz w:val="16"/>
              </w:rPr>
              <w:t>50-150</w:t>
            </w:r>
          </w:p>
        </w:tc>
        <w:tc>
          <w:tcPr>
            <w:tcW w:w="785" w:type="dxa"/>
          </w:tcPr>
          <w:p>
            <w:pPr>
              <w:pStyle w:val="TableParagraph"/>
              <w:spacing w:before="37"/>
              <w:ind w:left="250"/>
              <w:rPr>
                <w:sz w:val="16"/>
              </w:rPr>
            </w:pPr>
            <w:r>
              <w:rPr>
                <w:sz w:val="16"/>
              </w:rPr>
              <w:t>0.35</w:t>
            </w:r>
          </w:p>
        </w:tc>
        <w:tc>
          <w:tcPr>
            <w:tcW w:w="768" w:type="dxa"/>
          </w:tcPr>
          <w:p>
            <w:pPr>
              <w:pStyle w:val="TableParagraph"/>
              <w:spacing w:before="37"/>
              <w:ind w:left="242"/>
              <w:rPr>
                <w:sz w:val="16"/>
              </w:rPr>
            </w:pPr>
            <w:r>
              <w:rPr>
                <w:sz w:val="16"/>
              </w:rPr>
              <w:t>0.23</w:t>
            </w:r>
          </w:p>
        </w:tc>
        <w:tc>
          <w:tcPr>
            <w:tcW w:w="770" w:type="dxa"/>
          </w:tcPr>
          <w:p>
            <w:pPr>
              <w:pStyle w:val="TableParagraph"/>
              <w:spacing w:before="37"/>
              <w:ind w:left="7"/>
              <w:jc w:val="center"/>
              <w:rPr>
                <w:sz w:val="16"/>
              </w:rPr>
            </w:pPr>
            <w:r>
              <w:rPr>
                <w:sz w:val="16"/>
              </w:rPr>
              <w:t>0.15</w:t>
            </w:r>
          </w:p>
        </w:tc>
        <w:tc>
          <w:tcPr>
            <w:tcW w:w="756" w:type="dxa"/>
          </w:tcPr>
          <w:p>
            <w:pPr>
              <w:pStyle w:val="TableParagraph"/>
              <w:spacing w:before="37"/>
              <w:ind w:left="175" w:right="168"/>
              <w:jc w:val="center"/>
              <w:rPr>
                <w:sz w:val="16"/>
              </w:rPr>
            </w:pPr>
            <w:r>
              <w:rPr>
                <w:sz w:val="16"/>
              </w:rPr>
              <w:t>0.81</w:t>
            </w:r>
          </w:p>
        </w:tc>
        <w:tc>
          <w:tcPr>
            <w:tcW w:w="1764" w:type="dxa"/>
          </w:tcPr>
          <w:p>
            <w:pPr>
              <w:pStyle w:val="TableParagraph"/>
              <w:spacing w:before="37"/>
              <w:ind w:left="107"/>
              <w:rPr>
                <w:sz w:val="16"/>
              </w:rPr>
            </w:pPr>
            <w:r>
              <w:rPr>
                <w:sz w:val="16"/>
              </w:rPr>
              <w:t>4, 9, 59, 66, 76</w:t>
            </w:r>
          </w:p>
        </w:tc>
      </w:tr>
      <w:tr>
        <w:trPr>
          <w:trHeight w:val="273" w:hRule="atLeast"/>
        </w:trPr>
        <w:tc>
          <w:tcPr>
            <w:tcW w:w="727" w:type="dxa"/>
            <w:vMerge/>
            <w:tcBorders>
              <w:top w:val="nil"/>
            </w:tcBorders>
            <w:textDirection w:val="btLr"/>
          </w:tcPr>
          <w:p>
            <w:pPr>
              <w:rPr>
                <w:sz w:val="2"/>
                <w:szCs w:val="2"/>
              </w:rPr>
            </w:pPr>
          </w:p>
        </w:tc>
        <w:tc>
          <w:tcPr>
            <w:tcW w:w="2285" w:type="dxa"/>
          </w:tcPr>
          <w:p>
            <w:pPr>
              <w:pStyle w:val="TableParagraph"/>
              <w:spacing w:before="37"/>
              <w:ind w:left="107"/>
              <w:rPr>
                <w:sz w:val="16"/>
              </w:rPr>
            </w:pPr>
            <w:r>
              <w:rPr>
                <w:sz w:val="16"/>
              </w:rPr>
              <w:t>Eucalypt forest/plantation</w:t>
            </w:r>
          </w:p>
        </w:tc>
        <w:tc>
          <w:tcPr>
            <w:tcW w:w="1159" w:type="dxa"/>
          </w:tcPr>
          <w:p>
            <w:pPr>
              <w:pStyle w:val="TableParagraph"/>
              <w:spacing w:before="37"/>
              <w:ind w:right="399"/>
              <w:jc w:val="right"/>
              <w:rPr>
                <w:sz w:val="16"/>
              </w:rPr>
            </w:pPr>
            <w:r>
              <w:rPr>
                <w:sz w:val="16"/>
              </w:rPr>
              <w:t>&gt;150</w:t>
            </w:r>
          </w:p>
        </w:tc>
        <w:tc>
          <w:tcPr>
            <w:tcW w:w="785" w:type="dxa"/>
          </w:tcPr>
          <w:p>
            <w:pPr>
              <w:pStyle w:val="TableParagraph"/>
              <w:spacing w:before="37"/>
              <w:ind w:left="250"/>
              <w:rPr>
                <w:sz w:val="16"/>
              </w:rPr>
            </w:pPr>
            <w:r>
              <w:rPr>
                <w:sz w:val="16"/>
              </w:rPr>
              <w:t>0.20</w:t>
            </w:r>
          </w:p>
        </w:tc>
        <w:tc>
          <w:tcPr>
            <w:tcW w:w="768" w:type="dxa"/>
          </w:tcPr>
          <w:p>
            <w:pPr>
              <w:pStyle w:val="TableParagraph"/>
              <w:spacing w:before="37"/>
              <w:ind w:left="242"/>
              <w:rPr>
                <w:sz w:val="16"/>
              </w:rPr>
            </w:pPr>
            <w:r>
              <w:rPr>
                <w:sz w:val="16"/>
              </w:rPr>
              <w:t>0.08</w:t>
            </w:r>
          </w:p>
        </w:tc>
        <w:tc>
          <w:tcPr>
            <w:tcW w:w="770" w:type="dxa"/>
          </w:tcPr>
          <w:p>
            <w:pPr>
              <w:pStyle w:val="TableParagraph"/>
              <w:spacing w:before="37"/>
              <w:ind w:left="7"/>
              <w:jc w:val="center"/>
              <w:rPr>
                <w:sz w:val="16"/>
              </w:rPr>
            </w:pPr>
            <w:r>
              <w:rPr>
                <w:sz w:val="16"/>
              </w:rPr>
              <w:t>0.10</w:t>
            </w:r>
          </w:p>
        </w:tc>
        <w:tc>
          <w:tcPr>
            <w:tcW w:w="756" w:type="dxa"/>
          </w:tcPr>
          <w:p>
            <w:pPr>
              <w:pStyle w:val="TableParagraph"/>
              <w:spacing w:before="37"/>
              <w:ind w:left="175" w:right="168"/>
              <w:jc w:val="center"/>
              <w:rPr>
                <w:sz w:val="16"/>
              </w:rPr>
            </w:pPr>
            <w:r>
              <w:rPr>
                <w:sz w:val="16"/>
              </w:rPr>
              <w:t>0.33</w:t>
            </w:r>
          </w:p>
        </w:tc>
        <w:tc>
          <w:tcPr>
            <w:tcW w:w="1764" w:type="dxa"/>
          </w:tcPr>
          <w:p>
            <w:pPr>
              <w:pStyle w:val="TableParagraph"/>
              <w:spacing w:before="37"/>
              <w:ind w:left="107"/>
              <w:rPr>
                <w:sz w:val="16"/>
              </w:rPr>
            </w:pPr>
            <w:r>
              <w:rPr>
                <w:sz w:val="16"/>
              </w:rPr>
              <w:t>4, 9, 16, 66</w:t>
            </w:r>
          </w:p>
        </w:tc>
      </w:tr>
      <w:tr>
        <w:trPr>
          <w:trHeight w:val="275" w:hRule="atLeast"/>
        </w:trPr>
        <w:tc>
          <w:tcPr>
            <w:tcW w:w="727" w:type="dxa"/>
            <w:vMerge/>
            <w:tcBorders>
              <w:top w:val="nil"/>
            </w:tcBorders>
            <w:textDirection w:val="btLr"/>
          </w:tcPr>
          <w:p>
            <w:pPr>
              <w:rPr>
                <w:sz w:val="2"/>
                <w:szCs w:val="2"/>
              </w:rPr>
            </w:pPr>
          </w:p>
        </w:tc>
        <w:tc>
          <w:tcPr>
            <w:tcW w:w="2285" w:type="dxa"/>
          </w:tcPr>
          <w:p>
            <w:pPr>
              <w:pStyle w:val="TableParagraph"/>
              <w:spacing w:before="37"/>
              <w:ind w:left="107"/>
              <w:rPr>
                <w:sz w:val="16"/>
              </w:rPr>
            </w:pPr>
            <w:r>
              <w:rPr>
                <w:sz w:val="16"/>
              </w:rPr>
              <w:t>Other broadleaf forest</w:t>
            </w:r>
          </w:p>
        </w:tc>
        <w:tc>
          <w:tcPr>
            <w:tcW w:w="1159" w:type="dxa"/>
          </w:tcPr>
          <w:p>
            <w:pPr>
              <w:pStyle w:val="TableParagraph"/>
              <w:spacing w:before="37"/>
              <w:ind w:left="80" w:right="72"/>
              <w:jc w:val="center"/>
              <w:rPr>
                <w:sz w:val="16"/>
              </w:rPr>
            </w:pPr>
            <w:r>
              <w:rPr>
                <w:sz w:val="16"/>
              </w:rPr>
              <w:t>&lt;75</w:t>
            </w:r>
          </w:p>
        </w:tc>
        <w:tc>
          <w:tcPr>
            <w:tcW w:w="785" w:type="dxa"/>
          </w:tcPr>
          <w:p>
            <w:pPr>
              <w:pStyle w:val="TableParagraph"/>
              <w:spacing w:before="37"/>
              <w:ind w:left="249"/>
              <w:rPr>
                <w:sz w:val="16"/>
              </w:rPr>
            </w:pPr>
            <w:r>
              <w:rPr>
                <w:sz w:val="16"/>
              </w:rPr>
              <w:t>0.43</w:t>
            </w:r>
          </w:p>
        </w:tc>
        <w:tc>
          <w:tcPr>
            <w:tcW w:w="768" w:type="dxa"/>
          </w:tcPr>
          <w:p>
            <w:pPr>
              <w:pStyle w:val="TableParagraph"/>
              <w:spacing w:before="37"/>
              <w:ind w:left="242"/>
              <w:rPr>
                <w:sz w:val="16"/>
              </w:rPr>
            </w:pPr>
            <w:r>
              <w:rPr>
                <w:sz w:val="16"/>
              </w:rPr>
              <w:t>0.24</w:t>
            </w:r>
          </w:p>
        </w:tc>
        <w:tc>
          <w:tcPr>
            <w:tcW w:w="770" w:type="dxa"/>
          </w:tcPr>
          <w:p>
            <w:pPr>
              <w:pStyle w:val="TableParagraph"/>
              <w:spacing w:before="37"/>
              <w:ind w:left="6"/>
              <w:jc w:val="center"/>
              <w:rPr>
                <w:sz w:val="16"/>
              </w:rPr>
            </w:pPr>
            <w:r>
              <w:rPr>
                <w:sz w:val="16"/>
              </w:rPr>
              <w:t>0.12</w:t>
            </w:r>
          </w:p>
        </w:tc>
        <w:tc>
          <w:tcPr>
            <w:tcW w:w="756" w:type="dxa"/>
          </w:tcPr>
          <w:p>
            <w:pPr>
              <w:pStyle w:val="TableParagraph"/>
              <w:spacing w:before="37"/>
              <w:ind w:left="174" w:right="168"/>
              <w:jc w:val="center"/>
              <w:rPr>
                <w:sz w:val="16"/>
              </w:rPr>
            </w:pPr>
            <w:r>
              <w:rPr>
                <w:sz w:val="16"/>
              </w:rPr>
              <w:t>0.93</w:t>
            </w:r>
          </w:p>
        </w:tc>
        <w:tc>
          <w:tcPr>
            <w:tcW w:w="1764" w:type="dxa"/>
          </w:tcPr>
          <w:p>
            <w:pPr>
              <w:pStyle w:val="TableParagraph"/>
              <w:spacing w:before="37"/>
              <w:ind w:left="107"/>
              <w:rPr>
                <w:sz w:val="16"/>
              </w:rPr>
            </w:pPr>
            <w:r>
              <w:rPr>
                <w:sz w:val="16"/>
              </w:rPr>
              <w:t>30, 45, 46, 62</w:t>
            </w:r>
          </w:p>
        </w:tc>
      </w:tr>
      <w:tr>
        <w:trPr>
          <w:trHeight w:val="443" w:hRule="atLeast"/>
        </w:trPr>
        <w:tc>
          <w:tcPr>
            <w:tcW w:w="727" w:type="dxa"/>
            <w:vMerge/>
            <w:tcBorders>
              <w:top w:val="nil"/>
            </w:tcBorders>
            <w:textDirection w:val="btLr"/>
          </w:tcPr>
          <w:p>
            <w:pPr>
              <w:rPr>
                <w:sz w:val="2"/>
                <w:szCs w:val="2"/>
              </w:rPr>
            </w:pPr>
          </w:p>
        </w:tc>
        <w:tc>
          <w:tcPr>
            <w:tcW w:w="2285" w:type="dxa"/>
          </w:tcPr>
          <w:p>
            <w:pPr>
              <w:pStyle w:val="TableParagraph"/>
              <w:spacing w:before="124"/>
              <w:ind w:left="107"/>
              <w:rPr>
                <w:sz w:val="16"/>
              </w:rPr>
            </w:pPr>
            <w:r>
              <w:rPr>
                <w:sz w:val="16"/>
              </w:rPr>
              <w:t>Other broadleaf forest</w:t>
            </w:r>
          </w:p>
        </w:tc>
        <w:tc>
          <w:tcPr>
            <w:tcW w:w="1159" w:type="dxa"/>
          </w:tcPr>
          <w:p>
            <w:pPr>
              <w:pStyle w:val="TableParagraph"/>
              <w:spacing w:before="124"/>
              <w:ind w:right="341"/>
              <w:jc w:val="right"/>
              <w:rPr>
                <w:sz w:val="16"/>
              </w:rPr>
            </w:pPr>
            <w:r>
              <w:rPr>
                <w:sz w:val="16"/>
              </w:rPr>
              <w:t>75-150</w:t>
            </w:r>
          </w:p>
        </w:tc>
        <w:tc>
          <w:tcPr>
            <w:tcW w:w="785" w:type="dxa"/>
          </w:tcPr>
          <w:p>
            <w:pPr>
              <w:pStyle w:val="TableParagraph"/>
              <w:spacing w:before="124"/>
              <w:ind w:left="249"/>
              <w:rPr>
                <w:sz w:val="16"/>
              </w:rPr>
            </w:pPr>
            <w:r>
              <w:rPr>
                <w:sz w:val="16"/>
              </w:rPr>
              <w:t>0.26</w:t>
            </w:r>
          </w:p>
        </w:tc>
        <w:tc>
          <w:tcPr>
            <w:tcW w:w="768" w:type="dxa"/>
          </w:tcPr>
          <w:p>
            <w:pPr>
              <w:pStyle w:val="TableParagraph"/>
              <w:spacing w:before="124"/>
              <w:ind w:left="242"/>
              <w:rPr>
                <w:sz w:val="16"/>
              </w:rPr>
            </w:pPr>
            <w:r>
              <w:rPr>
                <w:sz w:val="16"/>
              </w:rPr>
              <w:t>0.10</w:t>
            </w:r>
          </w:p>
        </w:tc>
        <w:tc>
          <w:tcPr>
            <w:tcW w:w="770" w:type="dxa"/>
          </w:tcPr>
          <w:p>
            <w:pPr>
              <w:pStyle w:val="TableParagraph"/>
              <w:spacing w:before="124"/>
              <w:ind w:left="7"/>
              <w:jc w:val="center"/>
              <w:rPr>
                <w:sz w:val="16"/>
              </w:rPr>
            </w:pPr>
            <w:r>
              <w:rPr>
                <w:sz w:val="16"/>
              </w:rPr>
              <w:t>0.13</w:t>
            </w:r>
          </w:p>
        </w:tc>
        <w:tc>
          <w:tcPr>
            <w:tcW w:w="756" w:type="dxa"/>
          </w:tcPr>
          <w:p>
            <w:pPr>
              <w:pStyle w:val="TableParagraph"/>
              <w:spacing w:before="124"/>
              <w:ind w:left="176" w:right="168"/>
              <w:jc w:val="center"/>
              <w:rPr>
                <w:sz w:val="16"/>
              </w:rPr>
            </w:pPr>
            <w:r>
              <w:rPr>
                <w:sz w:val="16"/>
              </w:rPr>
              <w:t>0.52</w:t>
            </w:r>
          </w:p>
        </w:tc>
        <w:tc>
          <w:tcPr>
            <w:tcW w:w="1764" w:type="dxa"/>
          </w:tcPr>
          <w:p>
            <w:pPr>
              <w:pStyle w:val="TableParagraph"/>
              <w:spacing w:line="183" w:lineRule="exact" w:before="33"/>
              <w:ind w:left="108"/>
              <w:rPr>
                <w:sz w:val="16"/>
              </w:rPr>
            </w:pPr>
            <w:r>
              <w:rPr>
                <w:sz w:val="16"/>
              </w:rPr>
              <w:t>30, 36, 45, 46, 62, 77,</w:t>
            </w:r>
          </w:p>
          <w:p>
            <w:pPr>
              <w:pStyle w:val="TableParagraph"/>
              <w:spacing w:line="183" w:lineRule="exact"/>
              <w:ind w:left="108"/>
              <w:rPr>
                <w:sz w:val="16"/>
              </w:rPr>
            </w:pPr>
            <w:r>
              <w:rPr>
                <w:sz w:val="16"/>
              </w:rPr>
              <w:t>78, 81</w:t>
            </w:r>
          </w:p>
        </w:tc>
      </w:tr>
      <w:tr>
        <w:trPr>
          <w:trHeight w:val="273" w:hRule="atLeast"/>
        </w:trPr>
        <w:tc>
          <w:tcPr>
            <w:tcW w:w="727" w:type="dxa"/>
            <w:vMerge/>
            <w:tcBorders>
              <w:top w:val="nil"/>
            </w:tcBorders>
            <w:textDirection w:val="btLr"/>
          </w:tcPr>
          <w:p>
            <w:pPr>
              <w:rPr>
                <w:sz w:val="2"/>
                <w:szCs w:val="2"/>
              </w:rPr>
            </w:pPr>
          </w:p>
        </w:tc>
        <w:tc>
          <w:tcPr>
            <w:tcW w:w="2285" w:type="dxa"/>
          </w:tcPr>
          <w:p>
            <w:pPr>
              <w:pStyle w:val="TableParagraph"/>
              <w:spacing w:before="37"/>
              <w:ind w:left="107"/>
              <w:rPr>
                <w:sz w:val="16"/>
              </w:rPr>
            </w:pPr>
            <w:r>
              <w:rPr>
                <w:sz w:val="16"/>
              </w:rPr>
              <w:t>Other broadleaf forest</w:t>
            </w:r>
          </w:p>
        </w:tc>
        <w:tc>
          <w:tcPr>
            <w:tcW w:w="1159" w:type="dxa"/>
          </w:tcPr>
          <w:p>
            <w:pPr>
              <w:pStyle w:val="TableParagraph"/>
              <w:spacing w:before="37"/>
              <w:ind w:right="401"/>
              <w:jc w:val="right"/>
              <w:rPr>
                <w:sz w:val="16"/>
              </w:rPr>
            </w:pPr>
            <w:r>
              <w:rPr>
                <w:sz w:val="16"/>
              </w:rPr>
              <w:t>&gt;150</w:t>
            </w:r>
          </w:p>
        </w:tc>
        <w:tc>
          <w:tcPr>
            <w:tcW w:w="785" w:type="dxa"/>
          </w:tcPr>
          <w:p>
            <w:pPr>
              <w:pStyle w:val="TableParagraph"/>
              <w:spacing w:before="37"/>
              <w:ind w:left="248"/>
              <w:rPr>
                <w:sz w:val="16"/>
              </w:rPr>
            </w:pPr>
            <w:r>
              <w:rPr>
                <w:sz w:val="16"/>
              </w:rPr>
              <w:t>0.24</w:t>
            </w:r>
          </w:p>
        </w:tc>
        <w:tc>
          <w:tcPr>
            <w:tcW w:w="768" w:type="dxa"/>
          </w:tcPr>
          <w:p>
            <w:pPr>
              <w:pStyle w:val="TableParagraph"/>
              <w:spacing w:before="37"/>
              <w:ind w:left="240"/>
              <w:rPr>
                <w:sz w:val="16"/>
              </w:rPr>
            </w:pPr>
            <w:r>
              <w:rPr>
                <w:sz w:val="16"/>
              </w:rPr>
              <w:t>0.05</w:t>
            </w:r>
          </w:p>
        </w:tc>
        <w:tc>
          <w:tcPr>
            <w:tcW w:w="770" w:type="dxa"/>
          </w:tcPr>
          <w:p>
            <w:pPr>
              <w:pStyle w:val="TableParagraph"/>
              <w:spacing w:before="37"/>
              <w:ind w:left="2"/>
              <w:jc w:val="center"/>
              <w:rPr>
                <w:sz w:val="16"/>
              </w:rPr>
            </w:pPr>
            <w:r>
              <w:rPr>
                <w:sz w:val="16"/>
              </w:rPr>
              <w:t>0.17</w:t>
            </w:r>
          </w:p>
        </w:tc>
        <w:tc>
          <w:tcPr>
            <w:tcW w:w="756" w:type="dxa"/>
          </w:tcPr>
          <w:p>
            <w:pPr>
              <w:pStyle w:val="TableParagraph"/>
              <w:spacing w:before="37"/>
              <w:ind w:left="169" w:right="168"/>
              <w:jc w:val="center"/>
              <w:rPr>
                <w:sz w:val="16"/>
              </w:rPr>
            </w:pPr>
            <w:r>
              <w:rPr>
                <w:sz w:val="16"/>
              </w:rPr>
              <w:t>0.30</w:t>
            </w:r>
          </w:p>
        </w:tc>
        <w:tc>
          <w:tcPr>
            <w:tcW w:w="1764" w:type="dxa"/>
          </w:tcPr>
          <w:p>
            <w:pPr>
              <w:pStyle w:val="TableParagraph"/>
              <w:spacing w:before="37"/>
              <w:ind w:left="104"/>
              <w:rPr>
                <w:sz w:val="16"/>
              </w:rPr>
            </w:pPr>
            <w:r>
              <w:rPr>
                <w:sz w:val="16"/>
              </w:rPr>
              <w:t>3, 26, 30, 37, 67, 78, 81</w:t>
            </w:r>
          </w:p>
        </w:tc>
      </w:tr>
      <w:tr>
        <w:trPr>
          <w:trHeight w:val="273" w:hRule="atLeast"/>
        </w:trPr>
        <w:tc>
          <w:tcPr>
            <w:tcW w:w="727" w:type="dxa"/>
            <w:vMerge w:val="restart"/>
            <w:textDirection w:val="btLr"/>
          </w:tcPr>
          <w:p>
            <w:pPr>
              <w:pStyle w:val="TableParagraph"/>
              <w:spacing w:before="3"/>
              <w:rPr>
                <w:sz w:val="23"/>
              </w:rPr>
            </w:pPr>
          </w:p>
          <w:p>
            <w:pPr>
              <w:pStyle w:val="TableParagraph"/>
              <w:ind w:left="187"/>
              <w:rPr>
                <w:sz w:val="16"/>
              </w:rPr>
            </w:pPr>
            <w:r>
              <w:rPr>
                <w:sz w:val="16"/>
              </w:rPr>
              <w:t>Grassland</w:t>
            </w:r>
          </w:p>
        </w:tc>
        <w:tc>
          <w:tcPr>
            <w:tcW w:w="2285" w:type="dxa"/>
          </w:tcPr>
          <w:p>
            <w:pPr>
              <w:pStyle w:val="TableParagraph"/>
              <w:spacing w:before="37"/>
              <w:ind w:left="107"/>
              <w:rPr>
                <w:sz w:val="16"/>
              </w:rPr>
            </w:pPr>
            <w:r>
              <w:rPr>
                <w:sz w:val="16"/>
              </w:rPr>
              <w:t>Steppe/tundra/prairie grassland</w:t>
            </w:r>
          </w:p>
        </w:tc>
        <w:tc>
          <w:tcPr>
            <w:tcW w:w="1159" w:type="dxa"/>
          </w:tcPr>
          <w:p>
            <w:pPr>
              <w:pStyle w:val="TableParagraph"/>
              <w:spacing w:before="37"/>
              <w:ind w:left="84" w:right="72"/>
              <w:jc w:val="center"/>
              <w:rPr>
                <w:sz w:val="16"/>
              </w:rPr>
            </w:pPr>
            <w:r>
              <w:rPr>
                <w:sz w:val="16"/>
              </w:rPr>
              <w:t>NS</w:t>
            </w:r>
          </w:p>
        </w:tc>
        <w:tc>
          <w:tcPr>
            <w:tcW w:w="785" w:type="dxa"/>
          </w:tcPr>
          <w:p>
            <w:pPr>
              <w:pStyle w:val="TableParagraph"/>
              <w:spacing w:before="37"/>
              <w:ind w:left="250"/>
              <w:rPr>
                <w:sz w:val="16"/>
              </w:rPr>
            </w:pPr>
            <w:r>
              <w:rPr>
                <w:sz w:val="16"/>
              </w:rPr>
              <w:t>3.95</w:t>
            </w:r>
          </w:p>
        </w:tc>
        <w:tc>
          <w:tcPr>
            <w:tcW w:w="768" w:type="dxa"/>
          </w:tcPr>
          <w:p>
            <w:pPr>
              <w:pStyle w:val="TableParagraph"/>
              <w:spacing w:before="37"/>
              <w:ind w:left="242"/>
              <w:rPr>
                <w:sz w:val="16"/>
              </w:rPr>
            </w:pPr>
            <w:r>
              <w:rPr>
                <w:sz w:val="16"/>
              </w:rPr>
              <w:t>2.97</w:t>
            </w:r>
          </w:p>
        </w:tc>
        <w:tc>
          <w:tcPr>
            <w:tcW w:w="770" w:type="dxa"/>
          </w:tcPr>
          <w:p>
            <w:pPr>
              <w:pStyle w:val="TableParagraph"/>
              <w:spacing w:before="37"/>
              <w:ind w:left="7"/>
              <w:jc w:val="center"/>
              <w:rPr>
                <w:sz w:val="16"/>
              </w:rPr>
            </w:pPr>
            <w:r>
              <w:rPr>
                <w:sz w:val="16"/>
              </w:rPr>
              <w:t>1.92</w:t>
            </w:r>
          </w:p>
        </w:tc>
        <w:tc>
          <w:tcPr>
            <w:tcW w:w="756" w:type="dxa"/>
          </w:tcPr>
          <w:p>
            <w:pPr>
              <w:pStyle w:val="TableParagraph"/>
              <w:spacing w:before="37"/>
              <w:ind w:left="177" w:right="168"/>
              <w:jc w:val="center"/>
              <w:rPr>
                <w:sz w:val="16"/>
              </w:rPr>
            </w:pPr>
            <w:r>
              <w:rPr>
                <w:sz w:val="16"/>
              </w:rPr>
              <w:t>10.51</w:t>
            </w:r>
          </w:p>
        </w:tc>
        <w:tc>
          <w:tcPr>
            <w:tcW w:w="1764" w:type="dxa"/>
          </w:tcPr>
          <w:p>
            <w:pPr>
              <w:pStyle w:val="TableParagraph"/>
              <w:spacing w:before="37"/>
              <w:ind w:left="108"/>
              <w:rPr>
                <w:sz w:val="16"/>
              </w:rPr>
            </w:pPr>
            <w:r>
              <w:rPr>
                <w:sz w:val="16"/>
              </w:rPr>
              <w:t>50, 56, 70, 72</w:t>
            </w:r>
          </w:p>
        </w:tc>
      </w:tr>
      <w:tr>
        <w:trPr>
          <w:trHeight w:val="446" w:hRule="atLeast"/>
        </w:trPr>
        <w:tc>
          <w:tcPr>
            <w:tcW w:w="727" w:type="dxa"/>
            <w:vMerge/>
            <w:tcBorders>
              <w:top w:val="nil"/>
            </w:tcBorders>
            <w:textDirection w:val="btLr"/>
          </w:tcPr>
          <w:p>
            <w:pPr>
              <w:rPr>
                <w:sz w:val="2"/>
                <w:szCs w:val="2"/>
              </w:rPr>
            </w:pPr>
          </w:p>
        </w:tc>
        <w:tc>
          <w:tcPr>
            <w:tcW w:w="2285" w:type="dxa"/>
          </w:tcPr>
          <w:p>
            <w:pPr>
              <w:pStyle w:val="TableParagraph"/>
              <w:spacing w:before="33"/>
              <w:ind w:left="254" w:right="82" w:hanging="147"/>
              <w:rPr>
                <w:sz w:val="16"/>
              </w:rPr>
            </w:pPr>
            <w:r>
              <w:rPr>
                <w:sz w:val="16"/>
              </w:rPr>
              <w:t>Temperate/sub-tropical/ tropical grassland</w:t>
            </w:r>
          </w:p>
        </w:tc>
        <w:tc>
          <w:tcPr>
            <w:tcW w:w="1159" w:type="dxa"/>
          </w:tcPr>
          <w:p>
            <w:pPr>
              <w:pStyle w:val="TableParagraph"/>
              <w:spacing w:before="124"/>
              <w:ind w:left="82" w:right="72"/>
              <w:jc w:val="center"/>
              <w:rPr>
                <w:sz w:val="16"/>
              </w:rPr>
            </w:pPr>
            <w:r>
              <w:rPr>
                <w:sz w:val="16"/>
              </w:rPr>
              <w:t>NS</w:t>
            </w:r>
          </w:p>
        </w:tc>
        <w:tc>
          <w:tcPr>
            <w:tcW w:w="785" w:type="dxa"/>
          </w:tcPr>
          <w:p>
            <w:pPr>
              <w:pStyle w:val="TableParagraph"/>
              <w:spacing w:before="124"/>
              <w:ind w:left="249"/>
              <w:rPr>
                <w:sz w:val="16"/>
              </w:rPr>
            </w:pPr>
            <w:r>
              <w:rPr>
                <w:sz w:val="16"/>
              </w:rPr>
              <w:t>1.58</w:t>
            </w:r>
          </w:p>
        </w:tc>
        <w:tc>
          <w:tcPr>
            <w:tcW w:w="768" w:type="dxa"/>
          </w:tcPr>
          <w:p>
            <w:pPr>
              <w:pStyle w:val="TableParagraph"/>
              <w:spacing w:before="124"/>
              <w:ind w:left="241"/>
              <w:rPr>
                <w:sz w:val="16"/>
              </w:rPr>
            </w:pPr>
            <w:r>
              <w:rPr>
                <w:sz w:val="16"/>
              </w:rPr>
              <w:t>1.02</w:t>
            </w:r>
          </w:p>
        </w:tc>
        <w:tc>
          <w:tcPr>
            <w:tcW w:w="770" w:type="dxa"/>
          </w:tcPr>
          <w:p>
            <w:pPr>
              <w:pStyle w:val="TableParagraph"/>
              <w:spacing w:before="124"/>
              <w:ind w:left="5"/>
              <w:jc w:val="center"/>
              <w:rPr>
                <w:sz w:val="16"/>
              </w:rPr>
            </w:pPr>
            <w:r>
              <w:rPr>
                <w:sz w:val="16"/>
              </w:rPr>
              <w:t>0.59</w:t>
            </w:r>
          </w:p>
        </w:tc>
        <w:tc>
          <w:tcPr>
            <w:tcW w:w="756" w:type="dxa"/>
          </w:tcPr>
          <w:p>
            <w:pPr>
              <w:pStyle w:val="TableParagraph"/>
              <w:spacing w:before="124"/>
              <w:ind w:left="173" w:right="168"/>
              <w:jc w:val="center"/>
              <w:rPr>
                <w:sz w:val="16"/>
              </w:rPr>
            </w:pPr>
            <w:r>
              <w:rPr>
                <w:sz w:val="16"/>
              </w:rPr>
              <w:t>3.11</w:t>
            </w:r>
          </w:p>
        </w:tc>
        <w:tc>
          <w:tcPr>
            <w:tcW w:w="1764" w:type="dxa"/>
          </w:tcPr>
          <w:p>
            <w:pPr>
              <w:pStyle w:val="TableParagraph"/>
              <w:spacing w:before="124"/>
              <w:ind w:left="106"/>
              <w:rPr>
                <w:sz w:val="16"/>
              </w:rPr>
            </w:pPr>
            <w:r>
              <w:rPr>
                <w:sz w:val="16"/>
              </w:rPr>
              <w:t>22, 23, 32, 52</w:t>
            </w:r>
          </w:p>
        </w:tc>
      </w:tr>
      <w:tr>
        <w:trPr>
          <w:trHeight w:val="273" w:hRule="atLeast"/>
        </w:trPr>
        <w:tc>
          <w:tcPr>
            <w:tcW w:w="727" w:type="dxa"/>
            <w:vMerge/>
            <w:tcBorders>
              <w:top w:val="nil"/>
            </w:tcBorders>
            <w:textDirection w:val="btLr"/>
          </w:tcPr>
          <w:p>
            <w:pPr>
              <w:rPr>
                <w:sz w:val="2"/>
                <w:szCs w:val="2"/>
              </w:rPr>
            </w:pPr>
          </w:p>
        </w:tc>
        <w:tc>
          <w:tcPr>
            <w:tcW w:w="2285" w:type="dxa"/>
          </w:tcPr>
          <w:p>
            <w:pPr>
              <w:pStyle w:val="TableParagraph"/>
              <w:spacing w:before="37"/>
              <w:ind w:left="107"/>
              <w:rPr>
                <w:sz w:val="16"/>
              </w:rPr>
            </w:pPr>
            <w:r>
              <w:rPr>
                <w:sz w:val="16"/>
              </w:rPr>
              <w:t>Semi-arid grassland</w:t>
            </w:r>
          </w:p>
        </w:tc>
        <w:tc>
          <w:tcPr>
            <w:tcW w:w="1159" w:type="dxa"/>
          </w:tcPr>
          <w:p>
            <w:pPr>
              <w:pStyle w:val="TableParagraph"/>
              <w:spacing w:before="37"/>
              <w:ind w:left="83" w:right="72"/>
              <w:jc w:val="center"/>
              <w:rPr>
                <w:sz w:val="16"/>
              </w:rPr>
            </w:pPr>
            <w:r>
              <w:rPr>
                <w:sz w:val="16"/>
              </w:rPr>
              <w:t>NS</w:t>
            </w:r>
          </w:p>
        </w:tc>
        <w:tc>
          <w:tcPr>
            <w:tcW w:w="785" w:type="dxa"/>
          </w:tcPr>
          <w:p>
            <w:pPr>
              <w:pStyle w:val="TableParagraph"/>
              <w:spacing w:before="37"/>
              <w:ind w:left="250"/>
              <w:rPr>
                <w:sz w:val="16"/>
              </w:rPr>
            </w:pPr>
            <w:r>
              <w:rPr>
                <w:sz w:val="16"/>
              </w:rPr>
              <w:t>2.80</w:t>
            </w:r>
          </w:p>
        </w:tc>
        <w:tc>
          <w:tcPr>
            <w:tcW w:w="768" w:type="dxa"/>
          </w:tcPr>
          <w:p>
            <w:pPr>
              <w:pStyle w:val="TableParagraph"/>
              <w:spacing w:before="37"/>
              <w:ind w:left="242"/>
              <w:rPr>
                <w:sz w:val="16"/>
              </w:rPr>
            </w:pPr>
            <w:r>
              <w:rPr>
                <w:sz w:val="16"/>
              </w:rPr>
              <w:t>1.33</w:t>
            </w:r>
          </w:p>
        </w:tc>
        <w:tc>
          <w:tcPr>
            <w:tcW w:w="770" w:type="dxa"/>
          </w:tcPr>
          <w:p>
            <w:pPr>
              <w:pStyle w:val="TableParagraph"/>
              <w:spacing w:before="37"/>
              <w:ind w:left="8"/>
              <w:jc w:val="center"/>
              <w:rPr>
                <w:sz w:val="16"/>
              </w:rPr>
            </w:pPr>
            <w:r>
              <w:rPr>
                <w:sz w:val="16"/>
              </w:rPr>
              <w:t>1.43</w:t>
            </w:r>
          </w:p>
        </w:tc>
        <w:tc>
          <w:tcPr>
            <w:tcW w:w="756" w:type="dxa"/>
          </w:tcPr>
          <w:p>
            <w:pPr>
              <w:pStyle w:val="TableParagraph"/>
              <w:spacing w:before="37"/>
              <w:ind w:left="176" w:right="168"/>
              <w:jc w:val="center"/>
              <w:rPr>
                <w:sz w:val="16"/>
              </w:rPr>
            </w:pPr>
            <w:r>
              <w:rPr>
                <w:sz w:val="16"/>
              </w:rPr>
              <w:t>4.92</w:t>
            </w:r>
          </w:p>
        </w:tc>
        <w:tc>
          <w:tcPr>
            <w:tcW w:w="1764" w:type="dxa"/>
          </w:tcPr>
          <w:p>
            <w:pPr>
              <w:pStyle w:val="TableParagraph"/>
              <w:spacing w:before="37"/>
              <w:ind w:left="108"/>
              <w:rPr>
                <w:sz w:val="16"/>
              </w:rPr>
            </w:pPr>
            <w:r>
              <w:rPr>
                <w:sz w:val="16"/>
              </w:rPr>
              <w:t>17-19, 34</w:t>
            </w:r>
          </w:p>
        </w:tc>
      </w:tr>
      <w:tr>
        <w:trPr>
          <w:trHeight w:val="443" w:hRule="atLeast"/>
        </w:trPr>
        <w:tc>
          <w:tcPr>
            <w:tcW w:w="727" w:type="dxa"/>
            <w:vMerge w:val="restart"/>
            <w:textDirection w:val="btLr"/>
          </w:tcPr>
          <w:p>
            <w:pPr>
              <w:pStyle w:val="TableParagraph"/>
              <w:spacing w:before="3"/>
              <w:rPr>
                <w:sz w:val="23"/>
              </w:rPr>
            </w:pPr>
          </w:p>
          <w:p>
            <w:pPr>
              <w:pStyle w:val="TableParagraph"/>
              <w:ind w:left="40" w:right="40"/>
              <w:jc w:val="center"/>
              <w:rPr>
                <w:sz w:val="16"/>
              </w:rPr>
            </w:pPr>
            <w:r>
              <w:rPr>
                <w:sz w:val="16"/>
              </w:rPr>
              <w:t>Other</w:t>
            </w:r>
          </w:p>
        </w:tc>
        <w:tc>
          <w:tcPr>
            <w:tcW w:w="2285" w:type="dxa"/>
          </w:tcPr>
          <w:p>
            <w:pPr>
              <w:pStyle w:val="TableParagraph"/>
              <w:spacing w:before="124"/>
              <w:ind w:left="107"/>
              <w:rPr>
                <w:sz w:val="16"/>
              </w:rPr>
            </w:pPr>
            <w:r>
              <w:rPr>
                <w:sz w:val="16"/>
              </w:rPr>
              <w:t>Woodland/savanna</w:t>
            </w:r>
          </w:p>
        </w:tc>
        <w:tc>
          <w:tcPr>
            <w:tcW w:w="1159" w:type="dxa"/>
          </w:tcPr>
          <w:p>
            <w:pPr>
              <w:pStyle w:val="TableParagraph"/>
              <w:spacing w:before="124"/>
              <w:ind w:left="84" w:right="72"/>
              <w:jc w:val="center"/>
              <w:rPr>
                <w:sz w:val="16"/>
              </w:rPr>
            </w:pPr>
            <w:r>
              <w:rPr>
                <w:sz w:val="16"/>
              </w:rPr>
              <w:t>NS</w:t>
            </w:r>
          </w:p>
        </w:tc>
        <w:tc>
          <w:tcPr>
            <w:tcW w:w="785" w:type="dxa"/>
          </w:tcPr>
          <w:p>
            <w:pPr>
              <w:pStyle w:val="TableParagraph"/>
              <w:spacing w:before="124"/>
              <w:ind w:left="250"/>
              <w:rPr>
                <w:sz w:val="16"/>
              </w:rPr>
            </w:pPr>
            <w:r>
              <w:rPr>
                <w:sz w:val="16"/>
              </w:rPr>
              <w:t>0.48</w:t>
            </w:r>
          </w:p>
        </w:tc>
        <w:tc>
          <w:tcPr>
            <w:tcW w:w="768" w:type="dxa"/>
          </w:tcPr>
          <w:p>
            <w:pPr>
              <w:pStyle w:val="TableParagraph"/>
              <w:spacing w:before="124"/>
              <w:ind w:left="243"/>
              <w:rPr>
                <w:sz w:val="16"/>
              </w:rPr>
            </w:pPr>
            <w:r>
              <w:rPr>
                <w:sz w:val="16"/>
              </w:rPr>
              <w:t>0.19</w:t>
            </w:r>
          </w:p>
        </w:tc>
        <w:tc>
          <w:tcPr>
            <w:tcW w:w="770" w:type="dxa"/>
          </w:tcPr>
          <w:p>
            <w:pPr>
              <w:pStyle w:val="TableParagraph"/>
              <w:spacing w:before="124"/>
              <w:ind w:left="8"/>
              <w:jc w:val="center"/>
              <w:rPr>
                <w:sz w:val="16"/>
              </w:rPr>
            </w:pPr>
            <w:r>
              <w:rPr>
                <w:sz w:val="16"/>
              </w:rPr>
              <w:t>0.26</w:t>
            </w:r>
          </w:p>
        </w:tc>
        <w:tc>
          <w:tcPr>
            <w:tcW w:w="756" w:type="dxa"/>
          </w:tcPr>
          <w:p>
            <w:pPr>
              <w:pStyle w:val="TableParagraph"/>
              <w:spacing w:before="124"/>
              <w:ind w:left="176" w:right="168"/>
              <w:jc w:val="center"/>
              <w:rPr>
                <w:sz w:val="16"/>
              </w:rPr>
            </w:pPr>
            <w:r>
              <w:rPr>
                <w:sz w:val="16"/>
              </w:rPr>
              <w:t>1.01</w:t>
            </w:r>
          </w:p>
        </w:tc>
        <w:tc>
          <w:tcPr>
            <w:tcW w:w="1764" w:type="dxa"/>
          </w:tcPr>
          <w:p>
            <w:pPr>
              <w:pStyle w:val="TableParagraph"/>
              <w:spacing w:before="33"/>
              <w:ind w:left="108"/>
              <w:rPr>
                <w:sz w:val="16"/>
              </w:rPr>
            </w:pPr>
            <w:r>
              <w:rPr>
                <w:sz w:val="16"/>
              </w:rPr>
              <w:t>10-12, 21, 27, 49, 65,</w:t>
            </w:r>
          </w:p>
          <w:p>
            <w:pPr>
              <w:pStyle w:val="TableParagraph"/>
              <w:ind w:left="108"/>
              <w:rPr>
                <w:sz w:val="16"/>
              </w:rPr>
            </w:pPr>
            <w:r>
              <w:rPr>
                <w:sz w:val="16"/>
              </w:rPr>
              <w:t>73, 74</w:t>
            </w:r>
          </w:p>
        </w:tc>
      </w:tr>
      <w:tr>
        <w:trPr>
          <w:trHeight w:val="443" w:hRule="atLeast"/>
        </w:trPr>
        <w:tc>
          <w:tcPr>
            <w:tcW w:w="727" w:type="dxa"/>
            <w:vMerge/>
            <w:tcBorders>
              <w:top w:val="nil"/>
            </w:tcBorders>
            <w:textDirection w:val="btLr"/>
          </w:tcPr>
          <w:p>
            <w:pPr>
              <w:rPr>
                <w:sz w:val="2"/>
                <w:szCs w:val="2"/>
              </w:rPr>
            </w:pPr>
          </w:p>
        </w:tc>
        <w:tc>
          <w:tcPr>
            <w:tcW w:w="2285" w:type="dxa"/>
          </w:tcPr>
          <w:p>
            <w:pPr>
              <w:pStyle w:val="TableParagraph"/>
              <w:spacing w:before="124"/>
              <w:ind w:left="107"/>
              <w:rPr>
                <w:sz w:val="16"/>
              </w:rPr>
            </w:pPr>
            <w:r>
              <w:rPr>
                <w:sz w:val="16"/>
              </w:rPr>
              <w:t>Shrubland</w:t>
            </w:r>
          </w:p>
        </w:tc>
        <w:tc>
          <w:tcPr>
            <w:tcW w:w="1159" w:type="dxa"/>
          </w:tcPr>
          <w:p>
            <w:pPr>
              <w:pStyle w:val="TableParagraph"/>
              <w:spacing w:before="124"/>
              <w:ind w:left="83" w:right="72"/>
              <w:jc w:val="center"/>
              <w:rPr>
                <w:sz w:val="16"/>
              </w:rPr>
            </w:pPr>
            <w:r>
              <w:rPr>
                <w:sz w:val="16"/>
              </w:rPr>
              <w:t>NS</w:t>
            </w:r>
          </w:p>
        </w:tc>
        <w:tc>
          <w:tcPr>
            <w:tcW w:w="785" w:type="dxa"/>
          </w:tcPr>
          <w:p>
            <w:pPr>
              <w:pStyle w:val="TableParagraph"/>
              <w:spacing w:before="124"/>
              <w:ind w:left="250"/>
              <w:rPr>
                <w:sz w:val="16"/>
              </w:rPr>
            </w:pPr>
            <w:r>
              <w:rPr>
                <w:sz w:val="16"/>
              </w:rPr>
              <w:t>2.83</w:t>
            </w:r>
          </w:p>
        </w:tc>
        <w:tc>
          <w:tcPr>
            <w:tcW w:w="768" w:type="dxa"/>
          </w:tcPr>
          <w:p>
            <w:pPr>
              <w:pStyle w:val="TableParagraph"/>
              <w:spacing w:before="124"/>
              <w:ind w:left="242"/>
              <w:rPr>
                <w:sz w:val="16"/>
              </w:rPr>
            </w:pPr>
            <w:r>
              <w:rPr>
                <w:sz w:val="16"/>
              </w:rPr>
              <w:t>2.04</w:t>
            </w:r>
          </w:p>
        </w:tc>
        <w:tc>
          <w:tcPr>
            <w:tcW w:w="770" w:type="dxa"/>
          </w:tcPr>
          <w:p>
            <w:pPr>
              <w:pStyle w:val="TableParagraph"/>
              <w:spacing w:before="124"/>
              <w:ind w:left="7"/>
              <w:jc w:val="center"/>
              <w:rPr>
                <w:sz w:val="16"/>
              </w:rPr>
            </w:pPr>
            <w:r>
              <w:rPr>
                <w:sz w:val="16"/>
              </w:rPr>
              <w:t>0.34</w:t>
            </w:r>
          </w:p>
        </w:tc>
        <w:tc>
          <w:tcPr>
            <w:tcW w:w="756" w:type="dxa"/>
          </w:tcPr>
          <w:p>
            <w:pPr>
              <w:pStyle w:val="TableParagraph"/>
              <w:spacing w:before="124"/>
              <w:ind w:left="175" w:right="168"/>
              <w:jc w:val="center"/>
              <w:rPr>
                <w:sz w:val="16"/>
              </w:rPr>
            </w:pPr>
            <w:r>
              <w:rPr>
                <w:sz w:val="16"/>
              </w:rPr>
              <w:t>6.49</w:t>
            </w:r>
          </w:p>
        </w:tc>
        <w:tc>
          <w:tcPr>
            <w:tcW w:w="1764" w:type="dxa"/>
          </w:tcPr>
          <w:p>
            <w:pPr>
              <w:pStyle w:val="TableParagraph"/>
              <w:spacing w:before="33"/>
              <w:ind w:left="108"/>
              <w:rPr>
                <w:sz w:val="16"/>
              </w:rPr>
            </w:pPr>
            <w:r>
              <w:rPr>
                <w:sz w:val="16"/>
              </w:rPr>
              <w:t>14, 29, 35, 38, 41, 42,</w:t>
            </w:r>
          </w:p>
          <w:p>
            <w:pPr>
              <w:pStyle w:val="TableParagraph"/>
              <w:ind w:left="108"/>
              <w:rPr>
                <w:sz w:val="16"/>
              </w:rPr>
            </w:pPr>
            <w:r>
              <w:rPr>
                <w:sz w:val="16"/>
              </w:rPr>
              <w:t>47, 67</w:t>
            </w:r>
          </w:p>
        </w:tc>
      </w:tr>
      <w:tr>
        <w:trPr>
          <w:trHeight w:val="275" w:hRule="atLeast"/>
        </w:trPr>
        <w:tc>
          <w:tcPr>
            <w:tcW w:w="727" w:type="dxa"/>
            <w:vMerge/>
            <w:tcBorders>
              <w:top w:val="nil"/>
            </w:tcBorders>
            <w:textDirection w:val="btLr"/>
          </w:tcPr>
          <w:p>
            <w:pPr>
              <w:rPr>
                <w:sz w:val="2"/>
                <w:szCs w:val="2"/>
              </w:rPr>
            </w:pPr>
          </w:p>
        </w:tc>
        <w:tc>
          <w:tcPr>
            <w:tcW w:w="2285" w:type="dxa"/>
          </w:tcPr>
          <w:p>
            <w:pPr>
              <w:pStyle w:val="TableParagraph"/>
              <w:spacing w:before="37"/>
              <w:ind w:left="107"/>
              <w:rPr>
                <w:sz w:val="16"/>
              </w:rPr>
            </w:pPr>
            <w:r>
              <w:rPr>
                <w:sz w:val="16"/>
              </w:rPr>
              <w:t>Tidal marsh</w:t>
            </w:r>
          </w:p>
        </w:tc>
        <w:tc>
          <w:tcPr>
            <w:tcW w:w="1159" w:type="dxa"/>
          </w:tcPr>
          <w:p>
            <w:pPr>
              <w:pStyle w:val="TableParagraph"/>
              <w:spacing w:before="37"/>
              <w:ind w:left="83" w:right="72"/>
              <w:jc w:val="center"/>
              <w:rPr>
                <w:sz w:val="16"/>
              </w:rPr>
            </w:pPr>
            <w:r>
              <w:rPr>
                <w:sz w:val="16"/>
              </w:rPr>
              <w:t>NS</w:t>
            </w:r>
          </w:p>
        </w:tc>
        <w:tc>
          <w:tcPr>
            <w:tcW w:w="785" w:type="dxa"/>
          </w:tcPr>
          <w:p>
            <w:pPr>
              <w:pStyle w:val="TableParagraph"/>
              <w:spacing w:before="37"/>
              <w:ind w:left="249"/>
              <w:rPr>
                <w:sz w:val="16"/>
              </w:rPr>
            </w:pPr>
            <w:r>
              <w:rPr>
                <w:sz w:val="16"/>
              </w:rPr>
              <w:t>1.04</w:t>
            </w:r>
          </w:p>
        </w:tc>
        <w:tc>
          <w:tcPr>
            <w:tcW w:w="768" w:type="dxa"/>
          </w:tcPr>
          <w:p>
            <w:pPr>
              <w:pStyle w:val="TableParagraph"/>
              <w:spacing w:before="37"/>
              <w:ind w:left="242"/>
              <w:rPr>
                <w:sz w:val="16"/>
              </w:rPr>
            </w:pPr>
            <w:r>
              <w:rPr>
                <w:sz w:val="16"/>
              </w:rPr>
              <w:t>0.21</w:t>
            </w:r>
          </w:p>
        </w:tc>
        <w:tc>
          <w:tcPr>
            <w:tcW w:w="770" w:type="dxa"/>
          </w:tcPr>
          <w:p>
            <w:pPr>
              <w:pStyle w:val="TableParagraph"/>
              <w:spacing w:before="37"/>
              <w:ind w:left="6"/>
              <w:jc w:val="center"/>
              <w:rPr>
                <w:sz w:val="16"/>
              </w:rPr>
            </w:pPr>
            <w:r>
              <w:rPr>
                <w:sz w:val="16"/>
              </w:rPr>
              <w:t>0.74</w:t>
            </w:r>
          </w:p>
        </w:tc>
        <w:tc>
          <w:tcPr>
            <w:tcW w:w="756" w:type="dxa"/>
          </w:tcPr>
          <w:p>
            <w:pPr>
              <w:pStyle w:val="TableParagraph"/>
              <w:spacing w:before="37"/>
              <w:ind w:left="174" w:right="168"/>
              <w:jc w:val="center"/>
              <w:rPr>
                <w:sz w:val="16"/>
              </w:rPr>
            </w:pPr>
            <w:r>
              <w:rPr>
                <w:sz w:val="16"/>
              </w:rPr>
              <w:t>1.23</w:t>
            </w:r>
          </w:p>
        </w:tc>
        <w:tc>
          <w:tcPr>
            <w:tcW w:w="1764" w:type="dxa"/>
          </w:tcPr>
          <w:p>
            <w:pPr>
              <w:pStyle w:val="TableParagraph"/>
              <w:spacing w:before="37"/>
              <w:ind w:left="107"/>
              <w:rPr>
                <w:sz w:val="16"/>
              </w:rPr>
            </w:pPr>
            <w:r>
              <w:rPr>
                <w:sz w:val="16"/>
              </w:rPr>
              <w:t>24, 39, 68, 80</w:t>
            </w:r>
          </w:p>
        </w:tc>
      </w:tr>
      <w:tr>
        <w:trPr>
          <w:trHeight w:val="273" w:hRule="atLeast"/>
        </w:trPr>
        <w:tc>
          <w:tcPr>
            <w:tcW w:w="9014" w:type="dxa"/>
            <w:gridSpan w:val="8"/>
          </w:tcPr>
          <w:p>
            <w:pPr>
              <w:pStyle w:val="TableParagraph"/>
              <w:spacing w:before="37"/>
              <w:ind w:left="107"/>
              <w:rPr>
                <w:sz w:val="16"/>
              </w:rPr>
            </w:pPr>
            <w:r>
              <w:rPr>
                <w:sz w:val="16"/>
              </w:rPr>
              <w:t>NS = Not specified</w:t>
            </w:r>
          </w:p>
        </w:tc>
      </w:tr>
    </w:tbl>
    <w:p>
      <w:pPr>
        <w:pStyle w:val="BodyText"/>
      </w:pPr>
    </w:p>
    <w:p>
      <w:pPr>
        <w:pStyle w:val="BodyText"/>
      </w:pPr>
    </w:p>
    <w:p>
      <w:pPr>
        <w:pStyle w:val="BodyText"/>
        <w:spacing w:before="8"/>
        <w:rPr>
          <w:sz w:val="19"/>
        </w:rPr>
      </w:pPr>
    </w:p>
    <w:p>
      <w:pPr>
        <w:pStyle w:val="Heading6"/>
        <w:spacing w:before="1"/>
        <w:ind w:left="219"/>
      </w:pPr>
      <w:r>
        <w:rPr/>
        <w:t>References for Table 3A.1.8</w:t>
      </w:r>
    </w:p>
    <w:p>
      <w:pPr>
        <w:pStyle w:val="ListParagraph"/>
        <w:numPr>
          <w:ilvl w:val="0"/>
          <w:numId w:val="94"/>
        </w:numPr>
        <w:tabs>
          <w:tab w:pos="578" w:val="left" w:leader="none"/>
          <w:tab w:pos="579" w:val="left" w:leader="none"/>
        </w:tabs>
        <w:spacing w:line="240" w:lineRule="auto" w:before="115" w:after="0"/>
        <w:ind w:left="579" w:right="345" w:hanging="360"/>
        <w:jc w:val="left"/>
        <w:rPr>
          <w:sz w:val="16"/>
        </w:rPr>
      </w:pPr>
      <w:r>
        <w:rPr>
          <w:sz w:val="16"/>
        </w:rPr>
        <w:t>Alban, D., D. Perala, and B. Schlaegel (1978) Biomass and nutrient distribution in aspen, pine, and spruce stands on the same soil type in Minnesota</w:t>
      </w:r>
      <w:r>
        <w:rPr>
          <w:i/>
          <w:sz w:val="16"/>
        </w:rPr>
        <w:t>. Canadian Journal of Forest Research </w:t>
      </w:r>
      <w:r>
        <w:rPr>
          <w:b/>
          <w:sz w:val="16"/>
        </w:rPr>
        <w:t>8</w:t>
      </w:r>
      <w:r>
        <w:rPr>
          <w:sz w:val="16"/>
        </w:rPr>
        <w:t>:</w:t>
      </w:r>
      <w:r>
        <w:rPr>
          <w:spacing w:val="-5"/>
          <w:sz w:val="16"/>
        </w:rPr>
        <w:t> </w:t>
      </w:r>
      <w:r>
        <w:rPr>
          <w:sz w:val="16"/>
        </w:rPr>
        <w:t>290-299.</w:t>
      </w:r>
    </w:p>
    <w:p>
      <w:pPr>
        <w:pStyle w:val="ListParagraph"/>
        <w:numPr>
          <w:ilvl w:val="0"/>
          <w:numId w:val="94"/>
        </w:numPr>
        <w:tabs>
          <w:tab w:pos="578" w:val="left" w:leader="none"/>
          <w:tab w:pos="579" w:val="left" w:leader="none"/>
        </w:tabs>
        <w:spacing w:line="240" w:lineRule="auto" w:before="59" w:after="0"/>
        <w:ind w:left="579" w:right="282" w:hanging="360"/>
        <w:jc w:val="left"/>
        <w:rPr>
          <w:sz w:val="16"/>
        </w:rPr>
      </w:pPr>
      <w:r>
        <w:rPr>
          <w:sz w:val="16"/>
        </w:rPr>
        <w:t>Albaugh, T., H. Allen, P. Dougherty, </w:t>
      </w:r>
      <w:r>
        <w:rPr>
          <w:spacing w:val="-3"/>
          <w:sz w:val="16"/>
        </w:rPr>
        <w:t>L. </w:t>
      </w:r>
      <w:r>
        <w:rPr>
          <w:sz w:val="16"/>
        </w:rPr>
        <w:t>Kress, and J. King (1998) Leaf area and above- and below-ground growth responses of loblolly pine to nutrient and water additions</w:t>
      </w:r>
      <w:r>
        <w:rPr>
          <w:i/>
          <w:sz w:val="16"/>
        </w:rPr>
        <w:t>. Forest Science </w:t>
      </w:r>
      <w:r>
        <w:rPr>
          <w:b/>
          <w:sz w:val="16"/>
        </w:rPr>
        <w:t>44</w:t>
      </w:r>
      <w:r>
        <w:rPr>
          <w:sz w:val="16"/>
        </w:rPr>
        <w:t>(2):</w:t>
      </w:r>
      <w:r>
        <w:rPr>
          <w:spacing w:val="-8"/>
          <w:sz w:val="16"/>
        </w:rPr>
        <w:t> </w:t>
      </w:r>
      <w:r>
        <w:rPr>
          <w:sz w:val="16"/>
        </w:rPr>
        <w:t>317-328.</w:t>
      </w:r>
    </w:p>
    <w:p>
      <w:pPr>
        <w:pStyle w:val="ListParagraph"/>
        <w:numPr>
          <w:ilvl w:val="0"/>
          <w:numId w:val="94"/>
        </w:numPr>
        <w:tabs>
          <w:tab w:pos="579" w:val="left" w:leader="none"/>
          <w:tab w:pos="580" w:val="left" w:leader="none"/>
        </w:tabs>
        <w:spacing w:line="240" w:lineRule="auto" w:before="59" w:after="0"/>
        <w:ind w:left="579" w:right="313" w:hanging="360"/>
        <w:jc w:val="left"/>
        <w:rPr>
          <w:sz w:val="16"/>
        </w:rPr>
      </w:pPr>
      <w:r>
        <w:rPr>
          <w:sz w:val="16"/>
        </w:rPr>
        <w:t>Anderson, F. (1971) Methods and Preliminary results of estimation of biomass and primary production in a south Sweedish mixed deciduous woodland. In: </w:t>
      </w:r>
      <w:r>
        <w:rPr>
          <w:i/>
          <w:sz w:val="16"/>
        </w:rPr>
        <w:t>Productivity of forest ecosystems. Proccedings of the Brussels symposium, 1969, ecology and conservation 4</w:t>
      </w:r>
      <w:r>
        <w:rPr>
          <w:sz w:val="16"/>
        </w:rPr>
        <w:t>. UNESCO, Paris.</w:t>
      </w:r>
    </w:p>
    <w:p>
      <w:pPr>
        <w:pStyle w:val="ListParagraph"/>
        <w:numPr>
          <w:ilvl w:val="0"/>
          <w:numId w:val="94"/>
        </w:numPr>
        <w:tabs>
          <w:tab w:pos="578" w:val="left" w:leader="none"/>
          <w:tab w:pos="580" w:val="left" w:leader="none"/>
        </w:tabs>
        <w:spacing w:line="240" w:lineRule="auto" w:before="60" w:after="0"/>
        <w:ind w:left="579" w:right="551" w:hanging="360"/>
        <w:jc w:val="left"/>
        <w:rPr>
          <w:sz w:val="16"/>
        </w:rPr>
      </w:pPr>
      <w:r>
        <w:rPr>
          <w:sz w:val="16"/>
        </w:rPr>
        <w:t>Applegate, G. (1982) </w:t>
      </w:r>
      <w:r>
        <w:rPr>
          <w:i/>
          <w:sz w:val="16"/>
        </w:rPr>
        <w:t>Biomass of Blackbutt (Eucalyptus pilularis Sm.) Forests on Fraser Island</w:t>
      </w:r>
      <w:r>
        <w:rPr>
          <w:sz w:val="16"/>
        </w:rPr>
        <w:t>. Masters Thesis. University of New England, Armidale.</w:t>
      </w:r>
    </w:p>
    <w:p>
      <w:pPr>
        <w:pStyle w:val="ListParagraph"/>
        <w:numPr>
          <w:ilvl w:val="0"/>
          <w:numId w:val="94"/>
        </w:numPr>
        <w:tabs>
          <w:tab w:pos="578" w:val="left" w:leader="none"/>
          <w:tab w:pos="579" w:val="left" w:leader="none"/>
        </w:tabs>
        <w:spacing w:line="240" w:lineRule="auto" w:before="60" w:after="0"/>
        <w:ind w:left="579" w:right="227" w:hanging="360"/>
        <w:jc w:val="left"/>
        <w:rPr>
          <w:sz w:val="16"/>
        </w:rPr>
      </w:pPr>
      <w:r>
        <w:rPr>
          <w:sz w:val="16"/>
        </w:rPr>
        <w:t>Bartholomew, W., J. Meyer, and H. Laudelout (1953) Mineral nutrient immobilization under forest and grass fallow in the Yangambi (Belgian Congo) region</w:t>
      </w:r>
      <w:r>
        <w:rPr>
          <w:i/>
          <w:sz w:val="16"/>
        </w:rPr>
        <w:t>. Publications de l'Institut National Pour l'Etude Agronomique du Congo Belge Serie scientifique </w:t>
      </w:r>
      <w:r>
        <w:rPr>
          <w:b/>
          <w:sz w:val="16"/>
        </w:rPr>
        <w:t>57</w:t>
      </w:r>
      <w:r>
        <w:rPr>
          <w:sz w:val="16"/>
        </w:rPr>
        <w:t>: 27pp</w:t>
      </w:r>
      <w:r>
        <w:rPr>
          <w:spacing w:val="-25"/>
          <w:sz w:val="16"/>
        </w:rPr>
        <w:t> </w:t>
      </w:r>
      <w:r>
        <w:rPr>
          <w:sz w:val="16"/>
        </w:rPr>
        <w:t>total.</w:t>
      </w:r>
    </w:p>
    <w:p>
      <w:pPr>
        <w:pStyle w:val="ListParagraph"/>
        <w:numPr>
          <w:ilvl w:val="0"/>
          <w:numId w:val="94"/>
        </w:numPr>
        <w:tabs>
          <w:tab w:pos="579" w:val="left" w:leader="none"/>
          <w:tab w:pos="580" w:val="left" w:leader="none"/>
        </w:tabs>
        <w:spacing w:line="240" w:lineRule="auto" w:before="61" w:after="0"/>
        <w:ind w:left="579" w:right="0" w:hanging="360"/>
        <w:jc w:val="left"/>
        <w:rPr>
          <w:sz w:val="16"/>
        </w:rPr>
      </w:pPr>
      <w:r>
        <w:rPr>
          <w:spacing w:val="-5"/>
          <w:sz w:val="16"/>
        </w:rPr>
        <w:t>Baskerville,</w:t>
      </w:r>
      <w:r>
        <w:rPr>
          <w:spacing w:val="-4"/>
          <w:sz w:val="16"/>
        </w:rPr>
        <w:t> </w:t>
      </w:r>
      <w:r>
        <w:rPr>
          <w:spacing w:val="-3"/>
          <w:sz w:val="16"/>
        </w:rPr>
        <w:t>G.</w:t>
      </w:r>
      <w:r>
        <w:rPr>
          <w:spacing w:val="-6"/>
          <w:sz w:val="16"/>
        </w:rPr>
        <w:t> </w:t>
      </w:r>
      <w:r>
        <w:rPr>
          <w:spacing w:val="-4"/>
          <w:sz w:val="16"/>
        </w:rPr>
        <w:t>(1966)</w:t>
      </w:r>
      <w:r>
        <w:rPr>
          <w:spacing w:val="-8"/>
          <w:sz w:val="16"/>
        </w:rPr>
        <w:t> </w:t>
      </w:r>
      <w:r>
        <w:rPr>
          <w:spacing w:val="-5"/>
          <w:sz w:val="16"/>
        </w:rPr>
        <w:t>Dry-matter</w:t>
      </w:r>
      <w:r>
        <w:rPr>
          <w:spacing w:val="-7"/>
          <w:sz w:val="16"/>
        </w:rPr>
        <w:t> </w:t>
      </w:r>
      <w:r>
        <w:rPr>
          <w:spacing w:val="-4"/>
          <w:sz w:val="16"/>
        </w:rPr>
        <w:t>production</w:t>
      </w:r>
      <w:r>
        <w:rPr>
          <w:spacing w:val="-6"/>
          <w:sz w:val="16"/>
        </w:rPr>
        <w:t> </w:t>
      </w:r>
      <w:r>
        <w:rPr>
          <w:sz w:val="16"/>
        </w:rPr>
        <w:t>in</w:t>
      </w:r>
      <w:r>
        <w:rPr>
          <w:spacing w:val="-5"/>
          <w:sz w:val="16"/>
        </w:rPr>
        <w:t> immature</w:t>
      </w:r>
      <w:r>
        <w:rPr>
          <w:spacing w:val="-9"/>
          <w:sz w:val="16"/>
        </w:rPr>
        <w:t> </w:t>
      </w:r>
      <w:r>
        <w:rPr>
          <w:spacing w:val="-4"/>
          <w:sz w:val="16"/>
        </w:rPr>
        <w:t>balsam</w:t>
      </w:r>
      <w:r>
        <w:rPr>
          <w:spacing w:val="-7"/>
          <w:sz w:val="16"/>
        </w:rPr>
        <w:t> </w:t>
      </w:r>
      <w:r>
        <w:rPr>
          <w:spacing w:val="-3"/>
          <w:sz w:val="16"/>
        </w:rPr>
        <w:t>fir</w:t>
      </w:r>
      <w:r>
        <w:rPr>
          <w:spacing w:val="-8"/>
          <w:sz w:val="16"/>
        </w:rPr>
        <w:t> </w:t>
      </w:r>
      <w:r>
        <w:rPr>
          <w:spacing w:val="-4"/>
          <w:sz w:val="16"/>
        </w:rPr>
        <w:t>stands:</w:t>
      </w:r>
      <w:r>
        <w:rPr>
          <w:spacing w:val="-5"/>
          <w:sz w:val="16"/>
        </w:rPr>
        <w:t> </w:t>
      </w:r>
      <w:r>
        <w:rPr>
          <w:spacing w:val="-4"/>
          <w:sz w:val="16"/>
        </w:rPr>
        <w:t>roots,</w:t>
      </w:r>
      <w:r>
        <w:rPr>
          <w:spacing w:val="-7"/>
          <w:sz w:val="16"/>
        </w:rPr>
        <w:t> </w:t>
      </w:r>
      <w:r>
        <w:rPr>
          <w:spacing w:val="-4"/>
          <w:sz w:val="16"/>
        </w:rPr>
        <w:t>lesser</w:t>
      </w:r>
      <w:r>
        <w:rPr>
          <w:spacing w:val="-5"/>
          <w:sz w:val="16"/>
        </w:rPr>
        <w:t> vegetation, </w:t>
      </w:r>
      <w:r>
        <w:rPr>
          <w:spacing w:val="-3"/>
          <w:sz w:val="16"/>
        </w:rPr>
        <w:t>and</w:t>
      </w:r>
      <w:r>
        <w:rPr>
          <w:spacing w:val="-6"/>
          <w:sz w:val="16"/>
        </w:rPr>
        <w:t> </w:t>
      </w:r>
      <w:r>
        <w:rPr>
          <w:spacing w:val="-4"/>
          <w:sz w:val="16"/>
        </w:rPr>
        <w:t>total</w:t>
      </w:r>
      <w:r>
        <w:rPr>
          <w:spacing w:val="-8"/>
          <w:sz w:val="16"/>
        </w:rPr>
        <w:t> </w:t>
      </w:r>
      <w:r>
        <w:rPr>
          <w:spacing w:val="-4"/>
          <w:sz w:val="16"/>
        </w:rPr>
        <w:t>stand</w:t>
      </w:r>
      <w:r>
        <w:rPr>
          <w:i/>
          <w:spacing w:val="-4"/>
          <w:sz w:val="16"/>
        </w:rPr>
        <w:t>.</w:t>
      </w:r>
      <w:r>
        <w:rPr>
          <w:i/>
          <w:spacing w:val="-7"/>
          <w:sz w:val="16"/>
        </w:rPr>
        <w:t> </w:t>
      </w:r>
      <w:r>
        <w:rPr>
          <w:i/>
          <w:spacing w:val="-4"/>
          <w:sz w:val="16"/>
        </w:rPr>
        <w:t>Forest</w:t>
      </w:r>
      <w:r>
        <w:rPr>
          <w:i/>
          <w:spacing w:val="-5"/>
          <w:sz w:val="16"/>
        </w:rPr>
        <w:t> </w:t>
      </w:r>
      <w:r>
        <w:rPr>
          <w:i/>
          <w:spacing w:val="-4"/>
          <w:sz w:val="16"/>
        </w:rPr>
        <w:t>Science</w:t>
      </w:r>
      <w:r>
        <w:rPr>
          <w:i/>
          <w:spacing w:val="-7"/>
          <w:sz w:val="16"/>
        </w:rPr>
        <w:t> </w:t>
      </w:r>
      <w:r>
        <w:rPr>
          <w:b/>
          <w:spacing w:val="-4"/>
          <w:sz w:val="16"/>
        </w:rPr>
        <w:t>12</w:t>
      </w:r>
      <w:r>
        <w:rPr>
          <w:spacing w:val="-4"/>
          <w:sz w:val="16"/>
        </w:rPr>
        <w:t>:</w:t>
      </w:r>
      <w:r>
        <w:rPr>
          <w:spacing w:val="-8"/>
          <w:sz w:val="16"/>
        </w:rPr>
        <w:t> </w:t>
      </w:r>
      <w:r>
        <w:rPr>
          <w:spacing w:val="-5"/>
          <w:sz w:val="16"/>
        </w:rPr>
        <w:t>49-53.</w:t>
      </w:r>
    </w:p>
    <w:p>
      <w:pPr>
        <w:pStyle w:val="ListParagraph"/>
        <w:numPr>
          <w:ilvl w:val="0"/>
          <w:numId w:val="94"/>
        </w:numPr>
        <w:tabs>
          <w:tab w:pos="579" w:val="left" w:leader="none"/>
          <w:tab w:pos="580" w:val="left" w:leader="none"/>
        </w:tabs>
        <w:spacing w:line="240" w:lineRule="auto" w:before="59" w:after="0"/>
        <w:ind w:left="579" w:right="0" w:hanging="360"/>
        <w:jc w:val="left"/>
        <w:rPr>
          <w:sz w:val="16"/>
        </w:rPr>
      </w:pPr>
      <w:r>
        <w:rPr>
          <w:spacing w:val="-3"/>
          <w:sz w:val="16"/>
        </w:rPr>
        <w:t>Berish, </w:t>
      </w:r>
      <w:r>
        <w:rPr>
          <w:sz w:val="16"/>
        </w:rPr>
        <w:t>C. </w:t>
      </w:r>
      <w:r>
        <w:rPr>
          <w:spacing w:val="-3"/>
          <w:sz w:val="16"/>
        </w:rPr>
        <w:t>(1982) Root biomass and surface area </w:t>
      </w:r>
      <w:r>
        <w:rPr>
          <w:sz w:val="16"/>
        </w:rPr>
        <w:t>in </w:t>
      </w:r>
      <w:r>
        <w:rPr>
          <w:spacing w:val="-3"/>
          <w:sz w:val="16"/>
        </w:rPr>
        <w:t>three successional tropicl forests</w:t>
      </w:r>
      <w:r>
        <w:rPr>
          <w:i/>
          <w:spacing w:val="-3"/>
          <w:sz w:val="16"/>
        </w:rPr>
        <w:t>. Canadian Journal </w:t>
      </w:r>
      <w:r>
        <w:rPr>
          <w:i/>
          <w:sz w:val="16"/>
        </w:rPr>
        <w:t>of </w:t>
      </w:r>
      <w:r>
        <w:rPr>
          <w:i/>
          <w:spacing w:val="-3"/>
          <w:sz w:val="16"/>
        </w:rPr>
        <w:t>Forest Research </w:t>
      </w:r>
      <w:r>
        <w:rPr>
          <w:b/>
          <w:sz w:val="16"/>
        </w:rPr>
        <w:t>12</w:t>
      </w:r>
      <w:r>
        <w:rPr>
          <w:sz w:val="16"/>
        </w:rPr>
        <w:t>: </w:t>
      </w:r>
      <w:r>
        <w:rPr>
          <w:spacing w:val="-3"/>
          <w:sz w:val="16"/>
        </w:rPr>
        <w:t>699-704.</w:t>
      </w:r>
    </w:p>
    <w:p>
      <w:pPr>
        <w:pStyle w:val="ListParagraph"/>
        <w:numPr>
          <w:ilvl w:val="0"/>
          <w:numId w:val="94"/>
        </w:numPr>
        <w:tabs>
          <w:tab w:pos="578" w:val="left" w:leader="none"/>
          <w:tab w:pos="579" w:val="left" w:leader="none"/>
        </w:tabs>
        <w:spacing w:line="240" w:lineRule="auto" w:before="60" w:after="0"/>
        <w:ind w:left="578" w:right="0" w:hanging="359"/>
        <w:jc w:val="left"/>
        <w:rPr>
          <w:sz w:val="16"/>
        </w:rPr>
      </w:pPr>
      <w:r>
        <w:rPr>
          <w:sz w:val="16"/>
        </w:rPr>
        <w:t>Braekke,</w:t>
      </w:r>
      <w:r>
        <w:rPr>
          <w:spacing w:val="-3"/>
          <w:sz w:val="16"/>
        </w:rPr>
        <w:t> </w:t>
      </w:r>
      <w:r>
        <w:rPr>
          <w:sz w:val="16"/>
        </w:rPr>
        <w:t>F. (1992)</w:t>
      </w:r>
      <w:r>
        <w:rPr>
          <w:spacing w:val="-1"/>
          <w:sz w:val="16"/>
        </w:rPr>
        <w:t> </w:t>
      </w:r>
      <w:r>
        <w:rPr>
          <w:sz w:val="16"/>
        </w:rPr>
        <w:t>Root</w:t>
      </w:r>
      <w:r>
        <w:rPr>
          <w:spacing w:val="-2"/>
          <w:sz w:val="16"/>
        </w:rPr>
        <w:t> </w:t>
      </w:r>
      <w:r>
        <w:rPr>
          <w:sz w:val="16"/>
        </w:rPr>
        <w:t>biomass</w:t>
      </w:r>
      <w:r>
        <w:rPr>
          <w:spacing w:val="-3"/>
          <w:sz w:val="16"/>
        </w:rPr>
        <w:t> </w:t>
      </w:r>
      <w:r>
        <w:rPr>
          <w:sz w:val="16"/>
        </w:rPr>
        <w:t>changes</w:t>
      </w:r>
      <w:r>
        <w:rPr>
          <w:spacing w:val="-2"/>
          <w:sz w:val="16"/>
        </w:rPr>
        <w:t> </w:t>
      </w:r>
      <w:r>
        <w:rPr>
          <w:sz w:val="16"/>
        </w:rPr>
        <w:t>after</w:t>
      </w:r>
      <w:r>
        <w:rPr>
          <w:spacing w:val="-1"/>
          <w:sz w:val="16"/>
        </w:rPr>
        <w:t> </w:t>
      </w:r>
      <w:r>
        <w:rPr>
          <w:sz w:val="16"/>
        </w:rPr>
        <w:t>drainage</w:t>
      </w:r>
      <w:r>
        <w:rPr>
          <w:spacing w:val="-2"/>
          <w:sz w:val="16"/>
        </w:rPr>
        <w:t> </w:t>
      </w:r>
      <w:r>
        <w:rPr>
          <w:sz w:val="16"/>
        </w:rPr>
        <w:t>and fertilisation of</w:t>
      </w:r>
      <w:r>
        <w:rPr>
          <w:spacing w:val="-4"/>
          <w:sz w:val="16"/>
        </w:rPr>
        <w:t> </w:t>
      </w:r>
      <w:r>
        <w:rPr>
          <w:sz w:val="16"/>
        </w:rPr>
        <w:t>a</w:t>
      </w:r>
      <w:r>
        <w:rPr>
          <w:spacing w:val="-1"/>
          <w:sz w:val="16"/>
        </w:rPr>
        <w:t> </w:t>
      </w:r>
      <w:r>
        <w:rPr>
          <w:sz w:val="16"/>
        </w:rPr>
        <w:t>low-shrub</w:t>
      </w:r>
      <w:r>
        <w:rPr>
          <w:spacing w:val="-2"/>
          <w:sz w:val="16"/>
        </w:rPr>
        <w:t> </w:t>
      </w:r>
      <w:r>
        <w:rPr>
          <w:sz w:val="16"/>
        </w:rPr>
        <w:t>pine</w:t>
      </w:r>
      <w:r>
        <w:rPr>
          <w:spacing w:val="-2"/>
          <w:sz w:val="16"/>
        </w:rPr>
        <w:t> </w:t>
      </w:r>
      <w:r>
        <w:rPr>
          <w:sz w:val="16"/>
        </w:rPr>
        <w:t>bog</w:t>
      </w:r>
      <w:r>
        <w:rPr>
          <w:i/>
          <w:sz w:val="16"/>
        </w:rPr>
        <w:t>. Plant</w:t>
      </w:r>
      <w:r>
        <w:rPr>
          <w:i/>
          <w:spacing w:val="-2"/>
          <w:sz w:val="16"/>
        </w:rPr>
        <w:t> </w:t>
      </w:r>
      <w:r>
        <w:rPr>
          <w:i/>
          <w:sz w:val="16"/>
        </w:rPr>
        <w:t>and</w:t>
      </w:r>
      <w:r>
        <w:rPr>
          <w:i/>
          <w:spacing w:val="-3"/>
          <w:sz w:val="16"/>
        </w:rPr>
        <w:t> </w:t>
      </w:r>
      <w:r>
        <w:rPr>
          <w:i/>
          <w:sz w:val="16"/>
        </w:rPr>
        <w:t>Soil</w:t>
      </w:r>
      <w:r>
        <w:rPr>
          <w:i/>
          <w:spacing w:val="-2"/>
          <w:sz w:val="16"/>
        </w:rPr>
        <w:t> </w:t>
      </w:r>
      <w:r>
        <w:rPr>
          <w:b/>
          <w:sz w:val="16"/>
        </w:rPr>
        <w:t>143</w:t>
      </w:r>
      <w:r>
        <w:rPr>
          <w:sz w:val="16"/>
        </w:rPr>
        <w:t>:</w:t>
      </w:r>
      <w:r>
        <w:rPr>
          <w:spacing w:val="-2"/>
          <w:sz w:val="16"/>
        </w:rPr>
        <w:t> </w:t>
      </w:r>
      <w:r>
        <w:rPr>
          <w:sz w:val="16"/>
        </w:rPr>
        <w:t>33-43.</w:t>
      </w:r>
    </w:p>
    <w:p>
      <w:pPr>
        <w:pStyle w:val="ListParagraph"/>
        <w:numPr>
          <w:ilvl w:val="0"/>
          <w:numId w:val="94"/>
        </w:numPr>
        <w:tabs>
          <w:tab w:pos="578" w:val="left" w:leader="none"/>
          <w:tab w:pos="579" w:val="left" w:leader="none"/>
        </w:tabs>
        <w:spacing w:line="240" w:lineRule="auto" w:before="59" w:after="0"/>
        <w:ind w:left="579" w:right="585" w:hanging="360"/>
        <w:jc w:val="left"/>
        <w:rPr>
          <w:sz w:val="16"/>
        </w:rPr>
      </w:pPr>
      <w:r>
        <w:rPr>
          <w:sz w:val="16"/>
        </w:rPr>
        <w:t>Brand, B. (1999) </w:t>
      </w:r>
      <w:r>
        <w:rPr>
          <w:i/>
          <w:sz w:val="16"/>
        </w:rPr>
        <w:t>Quantifying biomass and carbon sequestration of plantation blue gums in south west Western Australia</w:t>
      </w:r>
      <w:r>
        <w:rPr>
          <w:sz w:val="16"/>
        </w:rPr>
        <w:t>. Honours Thesis. Curtin University of</w:t>
      </w:r>
      <w:r>
        <w:rPr>
          <w:spacing w:val="-2"/>
          <w:sz w:val="16"/>
        </w:rPr>
        <w:t> </w:t>
      </w:r>
      <w:r>
        <w:rPr>
          <w:sz w:val="16"/>
        </w:rPr>
        <w:t>Technology,</w:t>
      </w:r>
    </w:p>
    <w:p>
      <w:pPr>
        <w:pStyle w:val="ListParagraph"/>
        <w:numPr>
          <w:ilvl w:val="0"/>
          <w:numId w:val="94"/>
        </w:numPr>
        <w:tabs>
          <w:tab w:pos="579" w:val="left" w:leader="none"/>
        </w:tabs>
        <w:spacing w:line="240" w:lineRule="auto" w:before="61" w:after="0"/>
        <w:ind w:left="579" w:right="932" w:hanging="360"/>
        <w:jc w:val="left"/>
        <w:rPr>
          <w:sz w:val="16"/>
        </w:rPr>
      </w:pPr>
      <w:r>
        <w:rPr>
          <w:sz w:val="16"/>
        </w:rPr>
        <w:t>Burrows, W. (1976) </w:t>
      </w:r>
      <w:r>
        <w:rPr>
          <w:i/>
          <w:sz w:val="16"/>
        </w:rPr>
        <w:t>Aspects of nutrient cycling in semi-arid mallee and mulga communities</w:t>
      </w:r>
      <w:r>
        <w:rPr>
          <w:sz w:val="16"/>
        </w:rPr>
        <w:t>. PhD Thesis. Australian National University, Canberra.</w:t>
      </w:r>
    </w:p>
    <w:p>
      <w:pPr>
        <w:pStyle w:val="ListParagraph"/>
        <w:numPr>
          <w:ilvl w:val="0"/>
          <w:numId w:val="94"/>
        </w:numPr>
        <w:tabs>
          <w:tab w:pos="579" w:val="left" w:leader="none"/>
        </w:tabs>
        <w:spacing w:line="240" w:lineRule="auto" w:before="60" w:after="0"/>
        <w:ind w:left="579" w:right="487" w:hanging="360"/>
        <w:jc w:val="left"/>
        <w:rPr>
          <w:sz w:val="16"/>
        </w:rPr>
      </w:pPr>
      <w:r>
        <w:rPr>
          <w:sz w:val="16"/>
        </w:rPr>
        <w:t>Burrows, W., M. Hoffmann, J. Compton, P. Back, and </w:t>
      </w:r>
      <w:r>
        <w:rPr>
          <w:spacing w:val="-3"/>
          <w:sz w:val="16"/>
        </w:rPr>
        <w:t>L. </w:t>
      </w:r>
      <w:r>
        <w:rPr>
          <w:sz w:val="16"/>
        </w:rPr>
        <w:t>Tait (2000) Allometric relationships and community biomass estimates for some dominant eucalypts in Central Queensland woodlands</w:t>
      </w:r>
      <w:r>
        <w:rPr>
          <w:i/>
          <w:sz w:val="16"/>
        </w:rPr>
        <w:t>. Australian Journal of Botany </w:t>
      </w:r>
      <w:r>
        <w:rPr>
          <w:b/>
          <w:sz w:val="16"/>
        </w:rPr>
        <w:t>48</w:t>
      </w:r>
      <w:r>
        <w:rPr>
          <w:sz w:val="16"/>
        </w:rPr>
        <w:t>:</w:t>
      </w:r>
      <w:r>
        <w:rPr>
          <w:spacing w:val="-20"/>
          <w:sz w:val="16"/>
        </w:rPr>
        <w:t> </w:t>
      </w:r>
      <w:r>
        <w:rPr>
          <w:sz w:val="16"/>
        </w:rPr>
        <w:t>707-714.</w:t>
      </w:r>
    </w:p>
    <w:p>
      <w:pPr>
        <w:pStyle w:val="ListParagraph"/>
        <w:numPr>
          <w:ilvl w:val="0"/>
          <w:numId w:val="94"/>
        </w:numPr>
        <w:tabs>
          <w:tab w:pos="579" w:val="left" w:leader="none"/>
        </w:tabs>
        <w:spacing w:line="240" w:lineRule="auto" w:before="59" w:after="0"/>
        <w:ind w:left="579" w:right="322" w:hanging="360"/>
        <w:jc w:val="left"/>
        <w:rPr>
          <w:sz w:val="16"/>
        </w:rPr>
      </w:pPr>
      <w:r>
        <w:rPr>
          <w:sz w:val="16"/>
        </w:rPr>
        <w:t>Burrows, W., M. Hoffmann, J. Compton, and P. Back (2001) </w:t>
      </w:r>
      <w:r>
        <w:rPr>
          <w:i/>
          <w:sz w:val="16"/>
        </w:rPr>
        <w:t>Allometric relationships and community biomass stocks in white cypress pine (Callitris glaucophylla) and associated eucalypts of the Carnarvon area - south central Queensland</w:t>
      </w:r>
      <w:r>
        <w:rPr>
          <w:sz w:val="16"/>
        </w:rPr>
        <w:t>. National Carbon Accounting System Technical Report No. 33. Australian Greenhouse Office, Canberra. 16</w:t>
      </w:r>
      <w:r>
        <w:rPr>
          <w:spacing w:val="-4"/>
          <w:sz w:val="16"/>
        </w:rPr>
        <w:t> </w:t>
      </w:r>
      <w:r>
        <w:rPr>
          <w:sz w:val="16"/>
        </w:rPr>
        <w:t>p.</w:t>
      </w:r>
    </w:p>
    <w:p>
      <w:pPr>
        <w:spacing w:after="0" w:line="240" w:lineRule="auto"/>
        <w:jc w:val="left"/>
        <w:rPr>
          <w:sz w:val="16"/>
        </w:rPr>
        <w:sectPr>
          <w:pgSz w:w="11900" w:h="16840"/>
          <w:pgMar w:header="230" w:footer="408" w:top="560" w:bottom="600" w:left="1200" w:right="1140"/>
        </w:sectPr>
      </w:pPr>
    </w:p>
    <w:p>
      <w:pPr>
        <w:pStyle w:val="BodyText"/>
      </w:pPr>
    </w:p>
    <w:p>
      <w:pPr>
        <w:pStyle w:val="BodyText"/>
        <w:spacing w:before="3"/>
        <w:rPr>
          <w:sz w:val="18"/>
        </w:rPr>
      </w:pPr>
    </w:p>
    <w:p>
      <w:pPr>
        <w:pStyle w:val="ListParagraph"/>
        <w:numPr>
          <w:ilvl w:val="0"/>
          <w:numId w:val="94"/>
        </w:numPr>
        <w:tabs>
          <w:tab w:pos="579" w:val="left" w:leader="none"/>
        </w:tabs>
        <w:spacing w:line="240" w:lineRule="auto" w:before="0" w:after="0"/>
        <w:ind w:left="579" w:right="377" w:hanging="360"/>
        <w:jc w:val="left"/>
        <w:rPr>
          <w:sz w:val="16"/>
        </w:rPr>
      </w:pPr>
      <w:r>
        <w:rPr>
          <w:sz w:val="16"/>
        </w:rPr>
        <w:t>Buschbacher, R., C. Uhl, and E. Serrao (1988) Abandoned pastures in eastern Amazonia. </w:t>
      </w:r>
      <w:r>
        <w:rPr>
          <w:spacing w:val="-3"/>
          <w:sz w:val="16"/>
        </w:rPr>
        <w:t>II. </w:t>
      </w:r>
      <w:r>
        <w:rPr>
          <w:sz w:val="16"/>
        </w:rPr>
        <w:t>Nutrient stocks in the soil and vegetation</w:t>
      </w:r>
      <w:r>
        <w:rPr>
          <w:i/>
          <w:sz w:val="16"/>
        </w:rPr>
        <w:t>. Journal of Ecology </w:t>
      </w:r>
      <w:r>
        <w:rPr>
          <w:b/>
          <w:sz w:val="16"/>
        </w:rPr>
        <w:t>76</w:t>
      </w:r>
      <w:r>
        <w:rPr>
          <w:sz w:val="16"/>
        </w:rPr>
        <w:t>:</w:t>
      </w:r>
      <w:r>
        <w:rPr>
          <w:spacing w:val="-6"/>
          <w:sz w:val="16"/>
        </w:rPr>
        <w:t> </w:t>
      </w:r>
      <w:r>
        <w:rPr>
          <w:sz w:val="16"/>
        </w:rPr>
        <w:t>682-701.</w:t>
      </w:r>
    </w:p>
    <w:p>
      <w:pPr>
        <w:pStyle w:val="ListParagraph"/>
        <w:numPr>
          <w:ilvl w:val="0"/>
          <w:numId w:val="94"/>
        </w:numPr>
        <w:tabs>
          <w:tab w:pos="579" w:val="left" w:leader="none"/>
        </w:tabs>
        <w:spacing w:line="240" w:lineRule="auto" w:before="62" w:after="0"/>
        <w:ind w:left="578" w:right="0" w:hanging="359"/>
        <w:jc w:val="left"/>
        <w:rPr>
          <w:sz w:val="16"/>
        </w:rPr>
      </w:pPr>
      <w:r>
        <w:rPr>
          <w:sz w:val="16"/>
        </w:rPr>
        <w:t>Caldwell, M. and </w:t>
      </w:r>
      <w:r>
        <w:rPr>
          <w:spacing w:val="-3"/>
          <w:sz w:val="16"/>
        </w:rPr>
        <w:t>L. </w:t>
      </w:r>
      <w:r>
        <w:rPr>
          <w:sz w:val="16"/>
        </w:rPr>
        <w:t>Camp (1974) Belowground productivity of two cool desert communities</w:t>
      </w:r>
      <w:r>
        <w:rPr>
          <w:i/>
          <w:sz w:val="16"/>
        </w:rPr>
        <w:t>. Oecologia </w:t>
      </w:r>
      <w:r>
        <w:rPr>
          <w:b/>
          <w:sz w:val="16"/>
        </w:rPr>
        <w:t>17</w:t>
      </w:r>
      <w:r>
        <w:rPr>
          <w:sz w:val="16"/>
        </w:rPr>
        <w:t>:</w:t>
      </w:r>
      <w:r>
        <w:rPr>
          <w:spacing w:val="-14"/>
          <w:sz w:val="16"/>
        </w:rPr>
        <w:t> </w:t>
      </w:r>
      <w:r>
        <w:rPr>
          <w:sz w:val="16"/>
        </w:rPr>
        <w:t>123-130.</w:t>
      </w:r>
    </w:p>
    <w:p>
      <w:pPr>
        <w:pStyle w:val="ListParagraph"/>
        <w:numPr>
          <w:ilvl w:val="0"/>
          <w:numId w:val="94"/>
        </w:numPr>
        <w:tabs>
          <w:tab w:pos="579" w:val="left" w:leader="none"/>
        </w:tabs>
        <w:spacing w:line="240" w:lineRule="auto" w:before="59" w:after="0"/>
        <w:ind w:left="579" w:right="887" w:hanging="360"/>
        <w:jc w:val="left"/>
        <w:rPr>
          <w:sz w:val="16"/>
        </w:rPr>
      </w:pPr>
      <w:r>
        <w:rPr>
          <w:sz w:val="16"/>
        </w:rPr>
        <w:t>Canadell, J. and F. Roda (1991) Root biomass of Quercus ilex in a montane Mediterranean forest</w:t>
      </w:r>
      <w:r>
        <w:rPr>
          <w:i/>
          <w:sz w:val="16"/>
        </w:rPr>
        <w:t>. Canadian Journal of Forest Research </w:t>
      </w:r>
      <w:r>
        <w:rPr>
          <w:b/>
          <w:sz w:val="16"/>
        </w:rPr>
        <w:t>21</w:t>
      </w:r>
      <w:r>
        <w:rPr>
          <w:sz w:val="16"/>
        </w:rPr>
        <w:t>(12):</w:t>
      </w:r>
      <w:r>
        <w:rPr>
          <w:spacing w:val="-3"/>
          <w:sz w:val="16"/>
        </w:rPr>
        <w:t> </w:t>
      </w:r>
      <w:r>
        <w:rPr>
          <w:sz w:val="16"/>
        </w:rPr>
        <w:t>1771-1778.</w:t>
      </w:r>
    </w:p>
    <w:p>
      <w:pPr>
        <w:pStyle w:val="ListParagraph"/>
        <w:numPr>
          <w:ilvl w:val="0"/>
          <w:numId w:val="94"/>
        </w:numPr>
        <w:tabs>
          <w:tab w:pos="579" w:val="left" w:leader="none"/>
        </w:tabs>
        <w:spacing w:line="240" w:lineRule="auto" w:before="59" w:after="0"/>
        <w:ind w:left="579" w:right="527" w:hanging="360"/>
        <w:jc w:val="left"/>
        <w:rPr>
          <w:sz w:val="16"/>
        </w:rPr>
      </w:pPr>
      <w:r>
        <w:rPr>
          <w:sz w:val="16"/>
        </w:rPr>
        <w:t>Chilcott, C. (1998) </w:t>
      </w:r>
      <w:r>
        <w:rPr>
          <w:i/>
          <w:sz w:val="16"/>
        </w:rPr>
        <w:t>The initial impacts of reforestation and deforestation on herbaceous species, litter decomposition, soil biota and nutrients</w:t>
      </w:r>
      <w:r>
        <w:rPr>
          <w:i/>
          <w:spacing w:val="-4"/>
          <w:sz w:val="16"/>
        </w:rPr>
        <w:t> </w:t>
      </w:r>
      <w:r>
        <w:rPr>
          <w:i/>
          <w:sz w:val="16"/>
        </w:rPr>
        <w:t>in</w:t>
      </w:r>
      <w:r>
        <w:rPr>
          <w:i/>
          <w:spacing w:val="-3"/>
          <w:sz w:val="16"/>
        </w:rPr>
        <w:t> </w:t>
      </w:r>
      <w:r>
        <w:rPr>
          <w:i/>
          <w:sz w:val="16"/>
        </w:rPr>
        <w:t>native</w:t>
      </w:r>
      <w:r>
        <w:rPr>
          <w:i/>
          <w:spacing w:val="-3"/>
          <w:sz w:val="16"/>
        </w:rPr>
        <w:t> </w:t>
      </w:r>
      <w:r>
        <w:rPr>
          <w:i/>
          <w:sz w:val="16"/>
        </w:rPr>
        <w:t>temperate</w:t>
      </w:r>
      <w:r>
        <w:rPr>
          <w:i/>
          <w:spacing w:val="-2"/>
          <w:sz w:val="16"/>
        </w:rPr>
        <w:t> </w:t>
      </w:r>
      <w:r>
        <w:rPr>
          <w:i/>
          <w:sz w:val="16"/>
        </w:rPr>
        <w:t>pastures</w:t>
      </w:r>
      <w:r>
        <w:rPr>
          <w:i/>
          <w:spacing w:val="-4"/>
          <w:sz w:val="16"/>
        </w:rPr>
        <w:t> </w:t>
      </w:r>
      <w:r>
        <w:rPr>
          <w:i/>
          <w:sz w:val="16"/>
        </w:rPr>
        <w:t>on the Northern</w:t>
      </w:r>
      <w:r>
        <w:rPr>
          <w:i/>
          <w:spacing w:val="-3"/>
          <w:sz w:val="16"/>
        </w:rPr>
        <w:t> </w:t>
      </w:r>
      <w:r>
        <w:rPr>
          <w:i/>
          <w:sz w:val="16"/>
        </w:rPr>
        <w:t>Tablelands,</w:t>
      </w:r>
      <w:r>
        <w:rPr>
          <w:i/>
          <w:spacing w:val="-3"/>
          <w:sz w:val="16"/>
        </w:rPr>
        <w:t> </w:t>
      </w:r>
      <w:r>
        <w:rPr>
          <w:i/>
          <w:sz w:val="16"/>
        </w:rPr>
        <w:t>NSW</w:t>
      </w:r>
      <w:r>
        <w:rPr>
          <w:sz w:val="16"/>
        </w:rPr>
        <w:t>.</w:t>
      </w:r>
      <w:r>
        <w:rPr>
          <w:spacing w:val="-1"/>
          <w:sz w:val="16"/>
        </w:rPr>
        <w:t> </w:t>
      </w:r>
      <w:r>
        <w:rPr>
          <w:sz w:val="16"/>
        </w:rPr>
        <w:t>PhD</w:t>
      </w:r>
      <w:r>
        <w:rPr>
          <w:spacing w:val="-2"/>
          <w:sz w:val="16"/>
        </w:rPr>
        <w:t> </w:t>
      </w:r>
      <w:r>
        <w:rPr>
          <w:sz w:val="16"/>
        </w:rPr>
        <w:t>Thesis.</w:t>
      </w:r>
      <w:r>
        <w:rPr>
          <w:spacing w:val="-1"/>
          <w:sz w:val="16"/>
        </w:rPr>
        <w:t> </w:t>
      </w:r>
      <w:r>
        <w:rPr>
          <w:sz w:val="16"/>
        </w:rPr>
        <w:t>University</w:t>
      </w:r>
      <w:r>
        <w:rPr>
          <w:spacing w:val="-5"/>
          <w:sz w:val="16"/>
        </w:rPr>
        <w:t> </w:t>
      </w:r>
      <w:r>
        <w:rPr>
          <w:sz w:val="16"/>
        </w:rPr>
        <w:t>of</w:t>
      </w:r>
      <w:r>
        <w:rPr>
          <w:spacing w:val="-1"/>
          <w:sz w:val="16"/>
        </w:rPr>
        <w:t> </w:t>
      </w:r>
      <w:r>
        <w:rPr>
          <w:sz w:val="16"/>
        </w:rPr>
        <w:t>New</w:t>
      </w:r>
      <w:r>
        <w:rPr>
          <w:spacing w:val="-5"/>
          <w:sz w:val="16"/>
        </w:rPr>
        <w:t> </w:t>
      </w:r>
      <w:r>
        <w:rPr>
          <w:sz w:val="16"/>
        </w:rPr>
        <w:t>England,</w:t>
      </w:r>
      <w:r>
        <w:rPr>
          <w:spacing w:val="-1"/>
          <w:sz w:val="16"/>
        </w:rPr>
        <w:t> </w:t>
      </w:r>
      <w:r>
        <w:rPr>
          <w:sz w:val="16"/>
        </w:rPr>
        <w:t>Armidale.</w:t>
      </w:r>
    </w:p>
    <w:p>
      <w:pPr>
        <w:pStyle w:val="ListParagraph"/>
        <w:numPr>
          <w:ilvl w:val="0"/>
          <w:numId w:val="94"/>
        </w:numPr>
        <w:tabs>
          <w:tab w:pos="579" w:val="left" w:leader="none"/>
        </w:tabs>
        <w:spacing w:line="240" w:lineRule="auto" w:before="61" w:after="0"/>
        <w:ind w:left="579" w:right="512" w:hanging="360"/>
        <w:jc w:val="left"/>
        <w:rPr>
          <w:sz w:val="16"/>
        </w:rPr>
      </w:pPr>
      <w:r>
        <w:rPr>
          <w:sz w:val="16"/>
        </w:rPr>
        <w:t>Christie, E. (1978) Ecosystem processes in semiarid grasslands. </w:t>
      </w:r>
      <w:r>
        <w:rPr>
          <w:spacing w:val="-3"/>
          <w:sz w:val="16"/>
        </w:rPr>
        <w:t>I. </w:t>
      </w:r>
      <w:r>
        <w:rPr>
          <w:sz w:val="16"/>
        </w:rPr>
        <w:t>Primary production and water use of two communities possessing different photosynthetic pathways</w:t>
      </w:r>
      <w:r>
        <w:rPr>
          <w:i/>
          <w:sz w:val="16"/>
        </w:rPr>
        <w:t>. Australian Journal of Agricultural Research </w:t>
      </w:r>
      <w:r>
        <w:rPr>
          <w:b/>
          <w:sz w:val="16"/>
        </w:rPr>
        <w:t>29</w:t>
      </w:r>
      <w:r>
        <w:rPr>
          <w:sz w:val="16"/>
        </w:rPr>
        <w:t>:</w:t>
      </w:r>
      <w:r>
        <w:rPr>
          <w:spacing w:val="-6"/>
          <w:sz w:val="16"/>
        </w:rPr>
        <w:t> </w:t>
      </w:r>
      <w:r>
        <w:rPr>
          <w:sz w:val="16"/>
        </w:rPr>
        <w:t>773-787.</w:t>
      </w:r>
    </w:p>
    <w:p>
      <w:pPr>
        <w:pStyle w:val="ListParagraph"/>
        <w:numPr>
          <w:ilvl w:val="0"/>
          <w:numId w:val="94"/>
        </w:numPr>
        <w:tabs>
          <w:tab w:pos="580" w:val="left" w:leader="none"/>
        </w:tabs>
        <w:spacing w:line="240" w:lineRule="auto" w:before="60" w:after="0"/>
        <w:ind w:left="579" w:right="424" w:hanging="360"/>
        <w:jc w:val="left"/>
        <w:rPr>
          <w:sz w:val="16"/>
        </w:rPr>
      </w:pPr>
      <w:r>
        <w:rPr>
          <w:sz w:val="16"/>
        </w:rPr>
        <w:t>Christie, E. (1979) Eco-physiological studies of the semiarid grasses </w:t>
      </w:r>
      <w:r>
        <w:rPr>
          <w:i/>
          <w:sz w:val="16"/>
        </w:rPr>
        <w:t>Aristida leptopoda </w:t>
      </w:r>
      <w:r>
        <w:rPr>
          <w:sz w:val="16"/>
        </w:rPr>
        <w:t>and </w:t>
      </w:r>
      <w:r>
        <w:rPr>
          <w:i/>
          <w:sz w:val="16"/>
        </w:rPr>
        <w:t>Astrebla lappacea. Australian Journal of Ecology </w:t>
      </w:r>
      <w:r>
        <w:rPr>
          <w:b/>
          <w:sz w:val="16"/>
        </w:rPr>
        <w:t>4</w:t>
      </w:r>
      <w:r>
        <w:rPr>
          <w:sz w:val="16"/>
        </w:rPr>
        <w:t>:</w:t>
      </w:r>
      <w:r>
        <w:rPr>
          <w:spacing w:val="-3"/>
          <w:sz w:val="16"/>
        </w:rPr>
        <w:t> </w:t>
      </w:r>
      <w:r>
        <w:rPr>
          <w:sz w:val="16"/>
        </w:rPr>
        <w:t>223-228.</w:t>
      </w:r>
    </w:p>
    <w:p>
      <w:pPr>
        <w:pStyle w:val="ListParagraph"/>
        <w:numPr>
          <w:ilvl w:val="0"/>
          <w:numId w:val="94"/>
        </w:numPr>
        <w:tabs>
          <w:tab w:pos="579" w:val="left" w:leader="none"/>
        </w:tabs>
        <w:spacing w:line="232" w:lineRule="auto" w:before="63" w:after="0"/>
        <w:ind w:left="579" w:right="406" w:hanging="360"/>
        <w:jc w:val="left"/>
        <w:rPr>
          <w:sz w:val="16"/>
        </w:rPr>
      </w:pPr>
      <w:r>
        <w:rPr>
          <w:position w:val="2"/>
          <w:sz w:val="16"/>
        </w:rPr>
        <w:t>Christie, E. (1981) Biomass and nutrient dynamics in a C</w:t>
      </w:r>
      <w:r>
        <w:rPr>
          <w:sz w:val="10"/>
        </w:rPr>
        <w:t>4 </w:t>
      </w:r>
      <w:r>
        <w:rPr>
          <w:position w:val="2"/>
          <w:sz w:val="16"/>
        </w:rPr>
        <w:t>semi-arid Australian grassland community</w:t>
      </w:r>
      <w:r>
        <w:rPr>
          <w:i/>
          <w:position w:val="2"/>
          <w:sz w:val="16"/>
        </w:rPr>
        <w:t>. Journal of Applied Ecology </w:t>
      </w:r>
      <w:r>
        <w:rPr>
          <w:b/>
          <w:position w:val="2"/>
          <w:sz w:val="16"/>
        </w:rPr>
        <w:t>18</w:t>
      </w:r>
      <w:r>
        <w:rPr>
          <w:position w:val="2"/>
          <w:sz w:val="16"/>
        </w:rPr>
        <w:t>:</w:t>
      </w:r>
      <w:r>
        <w:rPr>
          <w:sz w:val="16"/>
        </w:rPr>
        <w:t> 907-918.</w:t>
      </w:r>
    </w:p>
    <w:p>
      <w:pPr>
        <w:pStyle w:val="ListParagraph"/>
        <w:numPr>
          <w:ilvl w:val="0"/>
          <w:numId w:val="94"/>
        </w:numPr>
        <w:tabs>
          <w:tab w:pos="580" w:val="left" w:leader="none"/>
        </w:tabs>
        <w:spacing w:line="240" w:lineRule="auto" w:before="59" w:after="0"/>
        <w:ind w:left="579" w:right="312" w:hanging="360"/>
        <w:jc w:val="left"/>
        <w:rPr>
          <w:sz w:val="16"/>
        </w:rPr>
      </w:pPr>
      <w:r>
        <w:rPr>
          <w:sz w:val="16"/>
        </w:rPr>
        <w:t>Cole, D., S. Gessel, and S. Dice (1967) Distribution and cycling of nitrogen, phosphorus, potassium, and calcium in a second-growth Douglas-fir ecosystem. In: </w:t>
      </w:r>
      <w:r>
        <w:rPr>
          <w:i/>
          <w:sz w:val="16"/>
        </w:rPr>
        <w:t>Symposium : Primary productivity and mineral cycling in natural ecosystems</w:t>
      </w:r>
      <w:r>
        <w:rPr>
          <w:sz w:val="16"/>
        </w:rPr>
        <w:t>. American Association for the Advancement of Science 13th Annual Meeting New York City, December 27, 1967: University of Maine</w:t>
      </w:r>
      <w:r>
        <w:rPr>
          <w:spacing w:val="-22"/>
          <w:sz w:val="16"/>
        </w:rPr>
        <w:t> </w:t>
      </w:r>
      <w:r>
        <w:rPr>
          <w:sz w:val="16"/>
        </w:rPr>
        <w:t>Press.</w:t>
      </w:r>
    </w:p>
    <w:p>
      <w:pPr>
        <w:pStyle w:val="ListParagraph"/>
        <w:numPr>
          <w:ilvl w:val="0"/>
          <w:numId w:val="94"/>
        </w:numPr>
        <w:tabs>
          <w:tab w:pos="580" w:val="left" w:leader="none"/>
        </w:tabs>
        <w:spacing w:line="240" w:lineRule="auto" w:before="60" w:after="0"/>
        <w:ind w:left="579" w:right="502" w:hanging="360"/>
        <w:jc w:val="left"/>
        <w:rPr>
          <w:sz w:val="16"/>
        </w:rPr>
      </w:pPr>
      <w:r>
        <w:rPr>
          <w:sz w:val="16"/>
        </w:rPr>
        <w:t>Compton, J., </w:t>
      </w:r>
      <w:r>
        <w:rPr>
          <w:spacing w:val="-3"/>
          <w:sz w:val="16"/>
        </w:rPr>
        <w:t>L. </w:t>
      </w:r>
      <w:r>
        <w:rPr>
          <w:sz w:val="16"/>
        </w:rPr>
        <w:t>Tait, M. Hoffmann, and D. Myles (1999) Root-shoot ratios and root distribution for woodland communities across a rainfall gradient in central Queensland. In: </w:t>
      </w:r>
      <w:r>
        <w:rPr>
          <w:i/>
          <w:sz w:val="16"/>
        </w:rPr>
        <w:t>Proceedings of the VI International Rangeland</w:t>
      </w:r>
      <w:r>
        <w:rPr>
          <w:i/>
          <w:spacing w:val="-29"/>
          <w:sz w:val="16"/>
        </w:rPr>
        <w:t> </w:t>
      </w:r>
      <w:r>
        <w:rPr>
          <w:i/>
          <w:sz w:val="16"/>
        </w:rPr>
        <w:t>Congress</w:t>
      </w:r>
      <w:r>
        <w:rPr>
          <w:sz w:val="16"/>
        </w:rPr>
        <w:t>. Townsville, Australia.</w:t>
      </w:r>
    </w:p>
    <w:p>
      <w:pPr>
        <w:pStyle w:val="ListParagraph"/>
        <w:numPr>
          <w:ilvl w:val="0"/>
          <w:numId w:val="94"/>
        </w:numPr>
        <w:tabs>
          <w:tab w:pos="579" w:val="left" w:leader="none"/>
        </w:tabs>
        <w:spacing w:line="240" w:lineRule="auto" w:before="59" w:after="0"/>
        <w:ind w:left="578" w:right="0" w:hanging="359"/>
        <w:jc w:val="left"/>
        <w:rPr>
          <w:i/>
          <w:sz w:val="16"/>
        </w:rPr>
      </w:pPr>
      <w:r>
        <w:rPr>
          <w:sz w:val="16"/>
        </w:rPr>
        <w:t>Cooksley, D., K. Butler, J. Prinsen, and C. Paton (1988) Influence of soil type on </w:t>
      </w:r>
      <w:r>
        <w:rPr>
          <w:i/>
          <w:sz w:val="16"/>
        </w:rPr>
        <w:t>Heteropogon contortus </w:t>
      </w:r>
      <w:r>
        <w:rPr>
          <w:sz w:val="16"/>
        </w:rPr>
        <w:t>- </w:t>
      </w:r>
      <w:r>
        <w:rPr>
          <w:i/>
          <w:sz w:val="16"/>
        </w:rPr>
        <w:t>Bothrichloa</w:t>
      </w:r>
      <w:r>
        <w:rPr>
          <w:i/>
          <w:spacing w:val="-26"/>
          <w:sz w:val="16"/>
        </w:rPr>
        <w:t> </w:t>
      </w:r>
      <w:r>
        <w:rPr>
          <w:i/>
          <w:sz w:val="16"/>
        </w:rPr>
        <w:t>bladhii</w:t>
      </w:r>
    </w:p>
    <w:p>
      <w:pPr>
        <w:spacing w:before="1"/>
        <w:ind w:left="579" w:right="0" w:firstLine="0"/>
        <w:jc w:val="left"/>
        <w:rPr>
          <w:sz w:val="16"/>
        </w:rPr>
      </w:pPr>
      <w:r>
        <w:rPr>
          <w:sz w:val="16"/>
        </w:rPr>
        <w:t>dominant native pasture in south-eastern Queensland</w:t>
      </w:r>
      <w:r>
        <w:rPr>
          <w:i/>
          <w:sz w:val="16"/>
        </w:rPr>
        <w:t>. Australian Journal of Experimental Agriculture </w:t>
      </w:r>
      <w:r>
        <w:rPr>
          <w:b/>
          <w:sz w:val="16"/>
        </w:rPr>
        <w:t>28</w:t>
      </w:r>
      <w:r>
        <w:rPr>
          <w:sz w:val="16"/>
        </w:rPr>
        <w:t>: 587-591.</w:t>
      </w:r>
    </w:p>
    <w:p>
      <w:pPr>
        <w:pStyle w:val="ListParagraph"/>
        <w:numPr>
          <w:ilvl w:val="0"/>
          <w:numId w:val="94"/>
        </w:numPr>
        <w:tabs>
          <w:tab w:pos="542" w:val="left" w:leader="none"/>
        </w:tabs>
        <w:spacing w:line="240" w:lineRule="auto" w:before="59" w:after="0"/>
        <w:ind w:left="579" w:right="262" w:hanging="360"/>
        <w:jc w:val="left"/>
        <w:rPr>
          <w:sz w:val="16"/>
        </w:rPr>
      </w:pPr>
      <w:r>
        <w:rPr>
          <w:sz w:val="16"/>
        </w:rPr>
        <w:t>De Castro, E.A. and J.B. Kauffman (1998) Ecosystem structure in the Brazilian Cerrado: a vegetation gradient of aboveground biomass, root mass and consumption by fire</w:t>
      </w:r>
      <w:r>
        <w:rPr>
          <w:i/>
          <w:sz w:val="16"/>
        </w:rPr>
        <w:t>. Journal of Tropical Ecology </w:t>
      </w:r>
      <w:r>
        <w:rPr>
          <w:b/>
          <w:sz w:val="16"/>
        </w:rPr>
        <w:t>14</w:t>
      </w:r>
      <w:r>
        <w:rPr>
          <w:sz w:val="16"/>
        </w:rPr>
        <w:t>(3):</w:t>
      </w:r>
      <w:r>
        <w:rPr>
          <w:spacing w:val="-5"/>
          <w:sz w:val="16"/>
        </w:rPr>
        <w:t> </w:t>
      </w:r>
      <w:r>
        <w:rPr>
          <w:sz w:val="16"/>
        </w:rPr>
        <w:t>263-283.</w:t>
      </w:r>
    </w:p>
    <w:p>
      <w:pPr>
        <w:pStyle w:val="ListParagraph"/>
        <w:numPr>
          <w:ilvl w:val="0"/>
          <w:numId w:val="94"/>
        </w:numPr>
        <w:tabs>
          <w:tab w:pos="579" w:val="left" w:leader="none"/>
        </w:tabs>
        <w:spacing w:line="183" w:lineRule="exact" w:before="61" w:after="0"/>
        <w:ind w:left="578" w:right="0" w:hanging="359"/>
        <w:jc w:val="left"/>
        <w:rPr>
          <w:i/>
          <w:sz w:val="16"/>
        </w:rPr>
      </w:pPr>
      <w:r>
        <w:rPr>
          <w:sz w:val="16"/>
        </w:rPr>
        <w:t>De</w:t>
      </w:r>
      <w:r>
        <w:rPr>
          <w:spacing w:val="-3"/>
          <w:sz w:val="16"/>
        </w:rPr>
        <w:t> </w:t>
      </w:r>
      <w:r>
        <w:rPr>
          <w:sz w:val="16"/>
        </w:rPr>
        <w:t>la Cruz, A. and</w:t>
      </w:r>
      <w:r>
        <w:rPr>
          <w:spacing w:val="-2"/>
          <w:sz w:val="16"/>
        </w:rPr>
        <w:t> </w:t>
      </w:r>
      <w:r>
        <w:rPr>
          <w:sz w:val="16"/>
        </w:rPr>
        <w:t>C.</w:t>
      </w:r>
      <w:r>
        <w:rPr>
          <w:spacing w:val="-2"/>
          <w:sz w:val="16"/>
        </w:rPr>
        <w:t> </w:t>
      </w:r>
      <w:r>
        <w:rPr>
          <w:sz w:val="16"/>
        </w:rPr>
        <w:t>Hackney</w:t>
      </w:r>
      <w:r>
        <w:rPr>
          <w:spacing w:val="-4"/>
          <w:sz w:val="16"/>
        </w:rPr>
        <w:t> </w:t>
      </w:r>
      <w:r>
        <w:rPr>
          <w:sz w:val="16"/>
        </w:rPr>
        <w:t>(1977)</w:t>
      </w:r>
      <w:r>
        <w:rPr>
          <w:spacing w:val="-1"/>
          <w:sz w:val="16"/>
        </w:rPr>
        <w:t> </w:t>
      </w:r>
      <w:r>
        <w:rPr>
          <w:sz w:val="16"/>
        </w:rPr>
        <w:t>Energy</w:t>
      </w:r>
      <w:r>
        <w:rPr>
          <w:spacing w:val="-4"/>
          <w:sz w:val="16"/>
        </w:rPr>
        <w:t> </w:t>
      </w:r>
      <w:r>
        <w:rPr>
          <w:sz w:val="16"/>
        </w:rPr>
        <w:t>value, elemental</w:t>
      </w:r>
      <w:r>
        <w:rPr>
          <w:spacing w:val="-2"/>
          <w:sz w:val="16"/>
        </w:rPr>
        <w:t> </w:t>
      </w:r>
      <w:r>
        <w:rPr>
          <w:sz w:val="16"/>
        </w:rPr>
        <w:t>composition,</w:t>
      </w:r>
      <w:r>
        <w:rPr>
          <w:spacing w:val="-3"/>
          <w:sz w:val="16"/>
        </w:rPr>
        <w:t> </w:t>
      </w:r>
      <w:r>
        <w:rPr>
          <w:sz w:val="16"/>
        </w:rPr>
        <w:t>and</w:t>
      </w:r>
      <w:r>
        <w:rPr>
          <w:spacing w:val="-2"/>
          <w:sz w:val="16"/>
        </w:rPr>
        <w:t> </w:t>
      </w:r>
      <w:r>
        <w:rPr>
          <w:sz w:val="16"/>
        </w:rPr>
        <w:t>productivity</w:t>
      </w:r>
      <w:r>
        <w:rPr>
          <w:spacing w:val="-4"/>
          <w:sz w:val="16"/>
        </w:rPr>
        <w:t> </w:t>
      </w:r>
      <w:r>
        <w:rPr>
          <w:sz w:val="16"/>
        </w:rPr>
        <w:t>of</w:t>
      </w:r>
      <w:r>
        <w:rPr>
          <w:spacing w:val="-1"/>
          <w:sz w:val="16"/>
        </w:rPr>
        <w:t> </w:t>
      </w:r>
      <w:r>
        <w:rPr>
          <w:sz w:val="16"/>
        </w:rPr>
        <w:t>belowground</w:t>
      </w:r>
      <w:r>
        <w:rPr>
          <w:spacing w:val="-2"/>
          <w:sz w:val="16"/>
        </w:rPr>
        <w:t> </w:t>
      </w:r>
      <w:r>
        <w:rPr>
          <w:sz w:val="16"/>
        </w:rPr>
        <w:t>biomass</w:t>
      </w:r>
      <w:r>
        <w:rPr>
          <w:spacing w:val="-1"/>
          <w:sz w:val="16"/>
        </w:rPr>
        <w:t> </w:t>
      </w:r>
      <w:r>
        <w:rPr>
          <w:sz w:val="16"/>
        </w:rPr>
        <w:t>of</w:t>
      </w:r>
      <w:r>
        <w:rPr>
          <w:spacing w:val="-1"/>
          <w:sz w:val="16"/>
        </w:rPr>
        <w:t> </w:t>
      </w:r>
      <w:r>
        <w:rPr>
          <w:sz w:val="16"/>
        </w:rPr>
        <w:t>a</w:t>
      </w:r>
      <w:r>
        <w:rPr>
          <w:spacing w:val="-1"/>
          <w:sz w:val="16"/>
        </w:rPr>
        <w:t> </w:t>
      </w:r>
      <w:r>
        <w:rPr>
          <w:i/>
          <w:sz w:val="16"/>
        </w:rPr>
        <w:t>Juncus</w:t>
      </w:r>
    </w:p>
    <w:p>
      <w:pPr>
        <w:spacing w:line="183" w:lineRule="exact" w:before="0"/>
        <w:ind w:left="579" w:right="0" w:firstLine="0"/>
        <w:jc w:val="left"/>
        <w:rPr>
          <w:sz w:val="16"/>
        </w:rPr>
      </w:pPr>
      <w:r>
        <w:rPr>
          <w:sz w:val="16"/>
        </w:rPr>
        <w:t>tidal marsh</w:t>
      </w:r>
      <w:r>
        <w:rPr>
          <w:i/>
          <w:sz w:val="16"/>
        </w:rPr>
        <w:t>. Ecology </w:t>
      </w:r>
      <w:r>
        <w:rPr>
          <w:b/>
          <w:sz w:val="16"/>
        </w:rPr>
        <w:t>58</w:t>
      </w:r>
      <w:r>
        <w:rPr>
          <w:sz w:val="16"/>
        </w:rPr>
        <w:t>: 1165-1170.</w:t>
      </w:r>
    </w:p>
    <w:p>
      <w:pPr>
        <w:pStyle w:val="ListParagraph"/>
        <w:numPr>
          <w:ilvl w:val="0"/>
          <w:numId w:val="94"/>
        </w:numPr>
        <w:tabs>
          <w:tab w:pos="579" w:val="left" w:leader="none"/>
        </w:tabs>
        <w:spacing w:line="240" w:lineRule="auto" w:before="61" w:after="0"/>
        <w:ind w:left="579" w:right="457" w:hanging="360"/>
        <w:jc w:val="left"/>
        <w:rPr>
          <w:sz w:val="16"/>
        </w:rPr>
      </w:pPr>
      <w:r>
        <w:rPr>
          <w:sz w:val="16"/>
        </w:rPr>
        <w:t>Drew, W., S. Aksornkoae, and W. Kaitpraneet (1978) An assessment of productivity in successional stages from abandoned swidden (Rai) to dry evergreen forest in northeastern Thailand</w:t>
      </w:r>
      <w:r>
        <w:rPr>
          <w:i/>
          <w:sz w:val="16"/>
        </w:rPr>
        <w:t>. Forest Bulletin </w:t>
      </w:r>
      <w:r>
        <w:rPr>
          <w:b/>
          <w:sz w:val="16"/>
        </w:rPr>
        <w:t>56</w:t>
      </w:r>
      <w:r>
        <w:rPr>
          <w:sz w:val="16"/>
        </w:rPr>
        <w:t>: 31</w:t>
      </w:r>
      <w:r>
        <w:rPr>
          <w:spacing w:val="-7"/>
          <w:sz w:val="16"/>
        </w:rPr>
        <w:t> </w:t>
      </w:r>
      <w:r>
        <w:rPr>
          <w:sz w:val="16"/>
        </w:rPr>
        <w:t>total.</w:t>
      </w:r>
    </w:p>
    <w:p>
      <w:pPr>
        <w:pStyle w:val="ListParagraph"/>
        <w:numPr>
          <w:ilvl w:val="0"/>
          <w:numId w:val="94"/>
        </w:numPr>
        <w:tabs>
          <w:tab w:pos="580" w:val="left" w:leader="none"/>
        </w:tabs>
        <w:spacing w:line="240" w:lineRule="auto" w:before="59" w:after="0"/>
        <w:ind w:left="579" w:right="497" w:hanging="360"/>
        <w:jc w:val="left"/>
        <w:rPr>
          <w:sz w:val="16"/>
        </w:rPr>
      </w:pPr>
      <w:r>
        <w:rPr>
          <w:sz w:val="16"/>
        </w:rPr>
        <w:t>Dylis, N. (1971) Primary production of mixed forests. In: </w:t>
      </w:r>
      <w:r>
        <w:rPr>
          <w:i/>
          <w:sz w:val="16"/>
        </w:rPr>
        <w:t>Productivity of forest ecosystems. Proceedings of the Brussels symposium, 1969</w:t>
      </w:r>
      <w:r>
        <w:rPr>
          <w:sz w:val="16"/>
        </w:rPr>
        <w:t>. Paris:</w:t>
      </w:r>
      <w:r>
        <w:rPr>
          <w:spacing w:val="-1"/>
          <w:sz w:val="16"/>
        </w:rPr>
        <w:t> </w:t>
      </w:r>
      <w:r>
        <w:rPr>
          <w:sz w:val="16"/>
        </w:rPr>
        <w:t>UNESCO.</w:t>
      </w:r>
    </w:p>
    <w:p>
      <w:pPr>
        <w:pStyle w:val="ListParagraph"/>
        <w:numPr>
          <w:ilvl w:val="0"/>
          <w:numId w:val="94"/>
        </w:numPr>
        <w:tabs>
          <w:tab w:pos="579" w:val="left" w:leader="none"/>
        </w:tabs>
        <w:spacing w:line="240" w:lineRule="auto" w:before="60" w:after="0"/>
        <w:ind w:left="579" w:right="341" w:hanging="360"/>
        <w:jc w:val="left"/>
        <w:rPr>
          <w:sz w:val="16"/>
        </w:rPr>
      </w:pPr>
      <w:r>
        <w:rPr>
          <w:sz w:val="16"/>
        </w:rPr>
        <w:t>Eamus, D., X. Chen, G. Kelley, and L. Hutley (2002) Root biomass and root fractal analyses of an open </w:t>
      </w:r>
      <w:r>
        <w:rPr>
          <w:i/>
          <w:sz w:val="16"/>
        </w:rPr>
        <w:t>Eucalyptus </w:t>
      </w:r>
      <w:r>
        <w:rPr>
          <w:sz w:val="16"/>
        </w:rPr>
        <w:t>forest in a savanna of north Australia</w:t>
      </w:r>
      <w:r>
        <w:rPr>
          <w:i/>
          <w:sz w:val="16"/>
        </w:rPr>
        <w:t>. Australian Journal of Botany </w:t>
      </w:r>
      <w:r>
        <w:rPr>
          <w:b/>
          <w:sz w:val="16"/>
        </w:rPr>
        <w:t>50</w:t>
      </w:r>
      <w:r>
        <w:rPr>
          <w:sz w:val="16"/>
        </w:rPr>
        <w:t>:</w:t>
      </w:r>
      <w:r>
        <w:rPr>
          <w:spacing w:val="-7"/>
          <w:sz w:val="16"/>
        </w:rPr>
        <w:t> </w:t>
      </w:r>
      <w:r>
        <w:rPr>
          <w:sz w:val="16"/>
        </w:rPr>
        <w:t>31-41.</w:t>
      </w:r>
    </w:p>
    <w:p>
      <w:pPr>
        <w:pStyle w:val="ListParagraph"/>
        <w:numPr>
          <w:ilvl w:val="0"/>
          <w:numId w:val="94"/>
        </w:numPr>
        <w:tabs>
          <w:tab w:pos="580" w:val="left" w:leader="none"/>
        </w:tabs>
        <w:spacing w:line="240" w:lineRule="auto" w:before="59" w:after="0"/>
        <w:ind w:left="579" w:right="0" w:hanging="360"/>
        <w:jc w:val="left"/>
        <w:rPr>
          <w:sz w:val="16"/>
        </w:rPr>
      </w:pPr>
      <w:r>
        <w:rPr>
          <w:sz w:val="16"/>
        </w:rPr>
        <w:t>Ewel, J. (1971) Biomass changes in early tropical succession</w:t>
      </w:r>
      <w:r>
        <w:rPr>
          <w:i/>
          <w:sz w:val="16"/>
        </w:rPr>
        <w:t>. Turrialba </w:t>
      </w:r>
      <w:r>
        <w:rPr>
          <w:b/>
          <w:sz w:val="16"/>
        </w:rPr>
        <w:t>21</w:t>
      </w:r>
      <w:r>
        <w:rPr>
          <w:sz w:val="16"/>
        </w:rPr>
        <w:t>:</w:t>
      </w:r>
      <w:r>
        <w:rPr>
          <w:spacing w:val="-14"/>
          <w:sz w:val="16"/>
        </w:rPr>
        <w:t> </w:t>
      </w:r>
      <w:r>
        <w:rPr>
          <w:sz w:val="16"/>
        </w:rPr>
        <w:t>110-112.</w:t>
      </w:r>
    </w:p>
    <w:p>
      <w:pPr>
        <w:pStyle w:val="ListParagraph"/>
        <w:numPr>
          <w:ilvl w:val="0"/>
          <w:numId w:val="94"/>
        </w:numPr>
        <w:tabs>
          <w:tab w:pos="579" w:val="left" w:leader="none"/>
        </w:tabs>
        <w:spacing w:line="240" w:lineRule="auto" w:before="61" w:after="0"/>
        <w:ind w:left="578" w:right="0" w:hanging="359"/>
        <w:jc w:val="left"/>
        <w:rPr>
          <w:sz w:val="16"/>
        </w:rPr>
      </w:pPr>
      <w:r>
        <w:rPr>
          <w:sz w:val="16"/>
        </w:rPr>
        <w:t>Forrest, G. (1971) Structure and production of North Pennine blanket bog vegetation</w:t>
      </w:r>
      <w:r>
        <w:rPr>
          <w:i/>
          <w:sz w:val="16"/>
        </w:rPr>
        <w:t>. Journal of Ecology </w:t>
      </w:r>
      <w:r>
        <w:rPr>
          <w:b/>
          <w:sz w:val="16"/>
        </w:rPr>
        <w:t>59</w:t>
      </w:r>
      <w:r>
        <w:rPr>
          <w:sz w:val="16"/>
        </w:rPr>
        <w:t>:</w:t>
      </w:r>
      <w:r>
        <w:rPr>
          <w:spacing w:val="-16"/>
          <w:sz w:val="16"/>
        </w:rPr>
        <w:t> </w:t>
      </w:r>
      <w:r>
        <w:rPr>
          <w:sz w:val="16"/>
        </w:rPr>
        <w:t>453-479.</w:t>
      </w:r>
    </w:p>
    <w:p>
      <w:pPr>
        <w:pStyle w:val="ListParagraph"/>
        <w:numPr>
          <w:ilvl w:val="0"/>
          <w:numId w:val="94"/>
        </w:numPr>
        <w:tabs>
          <w:tab w:pos="539" w:val="left" w:leader="none"/>
        </w:tabs>
        <w:spacing w:line="240" w:lineRule="auto" w:before="60" w:after="0"/>
        <w:ind w:left="579" w:right="267" w:hanging="360"/>
        <w:jc w:val="left"/>
        <w:rPr>
          <w:sz w:val="16"/>
        </w:rPr>
      </w:pPr>
      <w:r>
        <w:rPr>
          <w:sz w:val="16"/>
        </w:rPr>
        <w:t>Garkoti, S. and S. Singh (1995) Variation in net primary productivity and biomass of forests in the high mountains of Central Himalaya</w:t>
      </w:r>
      <w:r>
        <w:rPr>
          <w:i/>
          <w:sz w:val="16"/>
        </w:rPr>
        <w:t>. Journal of Vegetation Science </w:t>
      </w:r>
      <w:r>
        <w:rPr>
          <w:b/>
          <w:sz w:val="16"/>
        </w:rPr>
        <w:t>6</w:t>
      </w:r>
      <w:r>
        <w:rPr>
          <w:sz w:val="16"/>
        </w:rPr>
        <w:t>:</w:t>
      </w:r>
      <w:r>
        <w:rPr>
          <w:spacing w:val="-6"/>
          <w:sz w:val="16"/>
        </w:rPr>
        <w:t> </w:t>
      </w:r>
      <w:r>
        <w:rPr>
          <w:sz w:val="16"/>
        </w:rPr>
        <w:t>23-28.</w:t>
      </w:r>
    </w:p>
    <w:p>
      <w:pPr>
        <w:pStyle w:val="ListParagraph"/>
        <w:numPr>
          <w:ilvl w:val="0"/>
          <w:numId w:val="94"/>
        </w:numPr>
        <w:tabs>
          <w:tab w:pos="579" w:val="left" w:leader="none"/>
        </w:tabs>
        <w:spacing w:line="240" w:lineRule="auto" w:before="60" w:after="0"/>
        <w:ind w:left="578" w:right="0" w:hanging="359"/>
        <w:jc w:val="left"/>
        <w:rPr>
          <w:sz w:val="16"/>
        </w:rPr>
      </w:pPr>
      <w:r>
        <w:rPr>
          <w:spacing w:val="-5"/>
          <w:sz w:val="16"/>
        </w:rPr>
        <w:t>Golley,</w:t>
      </w:r>
      <w:r>
        <w:rPr>
          <w:spacing w:val="-4"/>
          <w:sz w:val="16"/>
        </w:rPr>
        <w:t> F.,</w:t>
      </w:r>
      <w:r>
        <w:rPr>
          <w:spacing w:val="-6"/>
          <w:sz w:val="16"/>
        </w:rPr>
        <w:t> </w:t>
      </w:r>
      <w:r>
        <w:rPr>
          <w:spacing w:val="-3"/>
          <w:sz w:val="16"/>
        </w:rPr>
        <w:t>H.</w:t>
      </w:r>
      <w:r>
        <w:rPr>
          <w:spacing w:val="-4"/>
          <w:sz w:val="16"/>
        </w:rPr>
        <w:t> Odum,</w:t>
      </w:r>
      <w:r>
        <w:rPr>
          <w:spacing w:val="-6"/>
          <w:sz w:val="16"/>
        </w:rPr>
        <w:t> </w:t>
      </w:r>
      <w:r>
        <w:rPr>
          <w:spacing w:val="-3"/>
          <w:sz w:val="16"/>
        </w:rPr>
        <w:t>and</w:t>
      </w:r>
      <w:r>
        <w:rPr>
          <w:spacing w:val="-6"/>
          <w:sz w:val="16"/>
        </w:rPr>
        <w:t> </w:t>
      </w:r>
      <w:r>
        <w:rPr>
          <w:sz w:val="16"/>
        </w:rPr>
        <w:t>R.</w:t>
      </w:r>
      <w:r>
        <w:rPr>
          <w:spacing w:val="-6"/>
          <w:sz w:val="16"/>
        </w:rPr>
        <w:t> </w:t>
      </w:r>
      <w:r>
        <w:rPr>
          <w:spacing w:val="-5"/>
          <w:sz w:val="16"/>
        </w:rPr>
        <w:t>Wilson</w:t>
      </w:r>
      <w:r>
        <w:rPr>
          <w:spacing w:val="-4"/>
          <w:sz w:val="16"/>
        </w:rPr>
        <w:t> (1962)</w:t>
      </w:r>
      <w:r>
        <w:rPr>
          <w:spacing w:val="-8"/>
          <w:sz w:val="16"/>
        </w:rPr>
        <w:t> </w:t>
      </w:r>
      <w:r>
        <w:rPr>
          <w:spacing w:val="-3"/>
          <w:sz w:val="16"/>
        </w:rPr>
        <w:t>The</w:t>
      </w:r>
      <w:r>
        <w:rPr>
          <w:spacing w:val="-10"/>
          <w:sz w:val="16"/>
        </w:rPr>
        <w:t> </w:t>
      </w:r>
      <w:r>
        <w:rPr>
          <w:spacing w:val="-4"/>
          <w:sz w:val="16"/>
        </w:rPr>
        <w:t>structure</w:t>
      </w:r>
      <w:r>
        <w:rPr>
          <w:spacing w:val="-9"/>
          <w:sz w:val="16"/>
        </w:rPr>
        <w:t> </w:t>
      </w:r>
      <w:r>
        <w:rPr>
          <w:spacing w:val="-3"/>
          <w:sz w:val="16"/>
        </w:rPr>
        <w:t>and</w:t>
      </w:r>
      <w:r>
        <w:rPr>
          <w:spacing w:val="-6"/>
          <w:sz w:val="16"/>
        </w:rPr>
        <w:t> </w:t>
      </w:r>
      <w:r>
        <w:rPr>
          <w:spacing w:val="-5"/>
          <w:sz w:val="16"/>
        </w:rPr>
        <w:t>metabolism</w:t>
      </w:r>
      <w:r>
        <w:rPr>
          <w:spacing w:val="-8"/>
          <w:sz w:val="16"/>
        </w:rPr>
        <w:t> </w:t>
      </w:r>
      <w:r>
        <w:rPr>
          <w:sz w:val="16"/>
        </w:rPr>
        <w:t>of</w:t>
      </w:r>
      <w:r>
        <w:rPr>
          <w:spacing w:val="-8"/>
          <w:sz w:val="16"/>
        </w:rPr>
        <w:t> </w:t>
      </w:r>
      <w:r>
        <w:rPr>
          <w:sz w:val="16"/>
        </w:rPr>
        <w:t>a</w:t>
      </w:r>
      <w:r>
        <w:rPr>
          <w:spacing w:val="-6"/>
          <w:sz w:val="16"/>
        </w:rPr>
        <w:t> </w:t>
      </w:r>
      <w:r>
        <w:rPr>
          <w:spacing w:val="-4"/>
          <w:sz w:val="16"/>
        </w:rPr>
        <w:t>Puerto</w:t>
      </w:r>
      <w:r>
        <w:rPr>
          <w:spacing w:val="-8"/>
          <w:sz w:val="16"/>
        </w:rPr>
        <w:t> </w:t>
      </w:r>
      <w:r>
        <w:rPr>
          <w:spacing w:val="-4"/>
          <w:sz w:val="16"/>
        </w:rPr>
        <w:t>Rican</w:t>
      </w:r>
      <w:r>
        <w:rPr>
          <w:spacing w:val="-6"/>
          <w:sz w:val="16"/>
        </w:rPr>
        <w:t> </w:t>
      </w:r>
      <w:r>
        <w:rPr>
          <w:spacing w:val="-5"/>
          <w:sz w:val="16"/>
        </w:rPr>
        <w:t>red</w:t>
      </w:r>
      <w:r>
        <w:rPr>
          <w:spacing w:val="-6"/>
          <w:sz w:val="16"/>
        </w:rPr>
        <w:t> </w:t>
      </w:r>
      <w:r>
        <w:rPr>
          <w:spacing w:val="-5"/>
          <w:sz w:val="16"/>
        </w:rPr>
        <w:t>mangrove</w:t>
      </w:r>
      <w:r>
        <w:rPr>
          <w:spacing w:val="-8"/>
          <w:sz w:val="16"/>
        </w:rPr>
        <w:t> </w:t>
      </w:r>
      <w:r>
        <w:rPr>
          <w:spacing w:val="-5"/>
          <w:sz w:val="16"/>
        </w:rPr>
        <w:t>forest</w:t>
      </w:r>
      <w:r>
        <w:rPr>
          <w:spacing w:val="-6"/>
          <w:sz w:val="16"/>
        </w:rPr>
        <w:t> </w:t>
      </w:r>
      <w:r>
        <w:rPr>
          <w:sz w:val="16"/>
        </w:rPr>
        <w:t>in</w:t>
      </w:r>
      <w:r>
        <w:rPr>
          <w:spacing w:val="-6"/>
          <w:sz w:val="16"/>
        </w:rPr>
        <w:t> </w:t>
      </w:r>
      <w:r>
        <w:rPr>
          <w:spacing w:val="-4"/>
          <w:sz w:val="16"/>
        </w:rPr>
        <w:t>May</w:t>
      </w:r>
      <w:r>
        <w:rPr>
          <w:i/>
          <w:spacing w:val="-4"/>
          <w:sz w:val="16"/>
        </w:rPr>
        <w:t>. Ecology</w:t>
      </w:r>
      <w:r>
        <w:rPr>
          <w:i/>
          <w:spacing w:val="-9"/>
          <w:sz w:val="16"/>
        </w:rPr>
        <w:t> </w:t>
      </w:r>
      <w:r>
        <w:rPr>
          <w:b/>
          <w:spacing w:val="-4"/>
          <w:sz w:val="16"/>
        </w:rPr>
        <w:t>43</w:t>
      </w:r>
      <w:r>
        <w:rPr>
          <w:spacing w:val="-4"/>
          <w:sz w:val="16"/>
        </w:rPr>
        <w:t>(1):</w:t>
      </w:r>
      <w:r>
        <w:rPr>
          <w:spacing w:val="-9"/>
          <w:sz w:val="16"/>
        </w:rPr>
        <w:t> </w:t>
      </w:r>
      <w:r>
        <w:rPr>
          <w:spacing w:val="-5"/>
          <w:sz w:val="16"/>
        </w:rPr>
        <w:t>9-19.</w:t>
      </w:r>
    </w:p>
    <w:p>
      <w:pPr>
        <w:pStyle w:val="ListParagraph"/>
        <w:numPr>
          <w:ilvl w:val="0"/>
          <w:numId w:val="94"/>
        </w:numPr>
        <w:tabs>
          <w:tab w:pos="538" w:val="left" w:leader="none"/>
        </w:tabs>
        <w:spacing w:line="240" w:lineRule="auto" w:before="58" w:after="0"/>
        <w:ind w:left="579" w:right="266" w:hanging="360"/>
        <w:jc w:val="left"/>
        <w:rPr>
          <w:sz w:val="16"/>
        </w:rPr>
      </w:pPr>
      <w:r>
        <w:rPr>
          <w:sz w:val="16"/>
        </w:rPr>
        <w:t>Graham, T. (1987) </w:t>
      </w:r>
      <w:r>
        <w:rPr>
          <w:i/>
          <w:sz w:val="16"/>
        </w:rPr>
        <w:t>The effect of renovation practices on nitrogen cycling and productivity of rundown buffel grass pasture</w:t>
      </w:r>
      <w:r>
        <w:rPr>
          <w:sz w:val="16"/>
        </w:rPr>
        <w:t>. PhD Thesis. University of</w:t>
      </w:r>
      <w:r>
        <w:rPr>
          <w:spacing w:val="-4"/>
          <w:sz w:val="16"/>
        </w:rPr>
        <w:t> </w:t>
      </w:r>
      <w:r>
        <w:rPr>
          <w:sz w:val="16"/>
        </w:rPr>
        <w:t>Queensland,</w:t>
      </w:r>
    </w:p>
    <w:p>
      <w:pPr>
        <w:pStyle w:val="ListParagraph"/>
        <w:numPr>
          <w:ilvl w:val="0"/>
          <w:numId w:val="94"/>
        </w:numPr>
        <w:tabs>
          <w:tab w:pos="579" w:val="left" w:leader="none"/>
        </w:tabs>
        <w:spacing w:line="240" w:lineRule="auto" w:before="62" w:after="0"/>
        <w:ind w:left="578" w:right="0" w:hanging="359"/>
        <w:jc w:val="left"/>
        <w:rPr>
          <w:sz w:val="16"/>
        </w:rPr>
      </w:pPr>
      <w:r>
        <w:rPr>
          <w:sz w:val="16"/>
        </w:rPr>
        <w:t>Greenland, D. and J. Kowal (1960) Nutrient content of the moist tropical forest of Ghana</w:t>
      </w:r>
      <w:r>
        <w:rPr>
          <w:i/>
          <w:sz w:val="16"/>
        </w:rPr>
        <w:t>. Plant and Soil </w:t>
      </w:r>
      <w:r>
        <w:rPr>
          <w:b/>
          <w:sz w:val="16"/>
        </w:rPr>
        <w:t>12</w:t>
      </w:r>
      <w:r>
        <w:rPr>
          <w:sz w:val="16"/>
        </w:rPr>
        <w:t>:</w:t>
      </w:r>
      <w:r>
        <w:rPr>
          <w:spacing w:val="-24"/>
          <w:sz w:val="16"/>
        </w:rPr>
        <w:t> </w:t>
      </w:r>
      <w:r>
        <w:rPr>
          <w:sz w:val="16"/>
        </w:rPr>
        <w:t>154-173.</w:t>
      </w:r>
    </w:p>
    <w:p>
      <w:pPr>
        <w:pStyle w:val="ListParagraph"/>
        <w:numPr>
          <w:ilvl w:val="0"/>
          <w:numId w:val="94"/>
        </w:numPr>
        <w:tabs>
          <w:tab w:pos="579" w:val="left" w:leader="none"/>
        </w:tabs>
        <w:spacing w:line="240" w:lineRule="auto" w:before="58" w:after="0"/>
        <w:ind w:left="579" w:right="593" w:hanging="360"/>
        <w:jc w:val="left"/>
        <w:rPr>
          <w:sz w:val="16"/>
        </w:rPr>
      </w:pPr>
      <w:r>
        <w:rPr>
          <w:sz w:val="16"/>
        </w:rPr>
        <w:t>Grouzis, M. and </w:t>
      </w:r>
      <w:r>
        <w:rPr>
          <w:spacing w:val="-3"/>
          <w:sz w:val="16"/>
        </w:rPr>
        <w:t>L. </w:t>
      </w:r>
      <w:r>
        <w:rPr>
          <w:sz w:val="16"/>
        </w:rPr>
        <w:t>Akpo (1997) Influence of tree cover on herbaceous above- and below-ground phytomas in the Sahelian zone of Senegal</w:t>
      </w:r>
      <w:r>
        <w:rPr>
          <w:i/>
          <w:sz w:val="16"/>
        </w:rPr>
        <w:t>. Journal of Arid Environments </w:t>
      </w:r>
      <w:r>
        <w:rPr>
          <w:b/>
          <w:sz w:val="16"/>
        </w:rPr>
        <w:t>35</w:t>
      </w:r>
      <w:r>
        <w:rPr>
          <w:sz w:val="16"/>
        </w:rPr>
        <w:t>:</w:t>
      </w:r>
      <w:r>
        <w:rPr>
          <w:spacing w:val="-2"/>
          <w:sz w:val="16"/>
        </w:rPr>
        <w:t> </w:t>
      </w:r>
      <w:r>
        <w:rPr>
          <w:sz w:val="16"/>
        </w:rPr>
        <w:t>285-296.</w:t>
      </w:r>
    </w:p>
    <w:p>
      <w:pPr>
        <w:pStyle w:val="ListParagraph"/>
        <w:numPr>
          <w:ilvl w:val="0"/>
          <w:numId w:val="94"/>
        </w:numPr>
        <w:tabs>
          <w:tab w:pos="580" w:val="left" w:leader="none"/>
        </w:tabs>
        <w:spacing w:line="240" w:lineRule="auto" w:before="59" w:after="0"/>
        <w:ind w:left="579" w:right="274" w:hanging="360"/>
        <w:jc w:val="left"/>
        <w:rPr>
          <w:sz w:val="16"/>
        </w:rPr>
      </w:pPr>
      <w:r>
        <w:rPr>
          <w:sz w:val="16"/>
        </w:rPr>
        <w:t>Groves, R. and R. Specht (1965) Growth of heath vegetation. 1. Annual growth curves of two heath ecosystems in Australia</w:t>
      </w:r>
      <w:r>
        <w:rPr>
          <w:i/>
          <w:sz w:val="16"/>
        </w:rPr>
        <w:t>. Australian Journal of Botany </w:t>
      </w:r>
      <w:r>
        <w:rPr>
          <w:b/>
          <w:sz w:val="16"/>
        </w:rPr>
        <w:t>13</w:t>
      </w:r>
      <w:r>
        <w:rPr>
          <w:sz w:val="16"/>
        </w:rPr>
        <w:t>:</w:t>
      </w:r>
      <w:r>
        <w:rPr>
          <w:spacing w:val="-8"/>
          <w:sz w:val="16"/>
        </w:rPr>
        <w:t> </w:t>
      </w:r>
      <w:r>
        <w:rPr>
          <w:sz w:val="16"/>
        </w:rPr>
        <w:t>261-280.</w:t>
      </w:r>
    </w:p>
    <w:p>
      <w:pPr>
        <w:pStyle w:val="ListParagraph"/>
        <w:numPr>
          <w:ilvl w:val="0"/>
          <w:numId w:val="94"/>
        </w:numPr>
        <w:tabs>
          <w:tab w:pos="580" w:val="left" w:leader="none"/>
        </w:tabs>
        <w:spacing w:line="240" w:lineRule="auto" w:before="62" w:after="0"/>
        <w:ind w:left="579" w:right="556" w:hanging="360"/>
        <w:jc w:val="left"/>
        <w:rPr>
          <w:sz w:val="16"/>
        </w:rPr>
      </w:pPr>
      <w:r>
        <w:rPr>
          <w:sz w:val="16"/>
        </w:rPr>
        <w:t>Harris, W., R. Kinerson, and N. Edwards (1977) Comparison of belowground biomass of natural deciduous forest and loblolly pine plantations</w:t>
      </w:r>
      <w:r>
        <w:rPr>
          <w:i/>
          <w:sz w:val="16"/>
        </w:rPr>
        <w:t>. Pedobiologica </w:t>
      </w:r>
      <w:r>
        <w:rPr>
          <w:b/>
          <w:sz w:val="16"/>
        </w:rPr>
        <w:t>17</w:t>
      </w:r>
      <w:r>
        <w:rPr>
          <w:sz w:val="16"/>
        </w:rPr>
        <w:t>:</w:t>
      </w:r>
      <w:r>
        <w:rPr>
          <w:spacing w:val="-2"/>
          <w:sz w:val="16"/>
        </w:rPr>
        <w:t> </w:t>
      </w:r>
      <w:r>
        <w:rPr>
          <w:sz w:val="16"/>
        </w:rPr>
        <w:t>369-381.</w:t>
      </w:r>
    </w:p>
    <w:p>
      <w:pPr>
        <w:pStyle w:val="ListParagraph"/>
        <w:numPr>
          <w:ilvl w:val="0"/>
          <w:numId w:val="94"/>
        </w:numPr>
        <w:tabs>
          <w:tab w:pos="579" w:val="left" w:leader="none"/>
        </w:tabs>
        <w:spacing w:line="240" w:lineRule="auto" w:before="59" w:after="0"/>
        <w:ind w:left="579" w:right="348" w:hanging="360"/>
        <w:jc w:val="left"/>
        <w:rPr>
          <w:sz w:val="16"/>
        </w:rPr>
      </w:pPr>
      <w:r>
        <w:rPr>
          <w:sz w:val="16"/>
        </w:rPr>
        <w:t>Hart, P., P. Clinton, R. Allen, A. Nordmeyer, and G. Evans (2003) Biomass and macro-nutrients (above- and below-ground) in a New Zealand beech (</w:t>
      </w:r>
      <w:r>
        <w:rPr>
          <w:i/>
          <w:sz w:val="16"/>
        </w:rPr>
        <w:t>Nothofagus</w:t>
      </w:r>
      <w:r>
        <w:rPr>
          <w:sz w:val="16"/>
        </w:rPr>
        <w:t>) forest ecosystem: implications for carbon storage and sustainable forest management</w:t>
      </w:r>
      <w:r>
        <w:rPr>
          <w:i/>
          <w:sz w:val="16"/>
        </w:rPr>
        <w:t>. Forest Ecology </w:t>
      </w:r>
      <w:r>
        <w:rPr>
          <w:i/>
          <w:spacing w:val="-2"/>
          <w:sz w:val="16"/>
        </w:rPr>
        <w:t>and </w:t>
      </w:r>
      <w:r>
        <w:rPr>
          <w:i/>
          <w:sz w:val="16"/>
        </w:rPr>
        <w:t>Management </w:t>
      </w:r>
      <w:r>
        <w:rPr>
          <w:b/>
          <w:sz w:val="16"/>
        </w:rPr>
        <w:t>174</w:t>
      </w:r>
      <w:r>
        <w:rPr>
          <w:sz w:val="16"/>
        </w:rPr>
        <w:t>:</w:t>
      </w:r>
      <w:r>
        <w:rPr>
          <w:spacing w:val="-6"/>
          <w:sz w:val="16"/>
        </w:rPr>
        <w:t> </w:t>
      </w:r>
      <w:r>
        <w:rPr>
          <w:sz w:val="16"/>
        </w:rPr>
        <w:t>281-294.</w:t>
      </w:r>
    </w:p>
    <w:p>
      <w:pPr>
        <w:pStyle w:val="ListParagraph"/>
        <w:numPr>
          <w:ilvl w:val="0"/>
          <w:numId w:val="94"/>
        </w:numPr>
        <w:tabs>
          <w:tab w:pos="579" w:val="left" w:leader="none"/>
        </w:tabs>
        <w:spacing w:line="240" w:lineRule="auto" w:before="60" w:after="0"/>
        <w:ind w:left="578" w:right="0" w:hanging="359"/>
        <w:jc w:val="left"/>
        <w:rPr>
          <w:sz w:val="16"/>
        </w:rPr>
      </w:pPr>
      <w:r>
        <w:rPr>
          <w:sz w:val="16"/>
        </w:rPr>
        <w:t>Hoffmann, M. and J. Kummerow (1978) Root studies in the Chilean matorral</w:t>
      </w:r>
      <w:r>
        <w:rPr>
          <w:i/>
          <w:sz w:val="16"/>
        </w:rPr>
        <w:t>. Oecologia </w:t>
      </w:r>
      <w:r>
        <w:rPr>
          <w:b/>
          <w:sz w:val="16"/>
        </w:rPr>
        <w:t>32</w:t>
      </w:r>
      <w:r>
        <w:rPr>
          <w:sz w:val="16"/>
        </w:rPr>
        <w:t>:</w:t>
      </w:r>
      <w:r>
        <w:rPr>
          <w:spacing w:val="-16"/>
          <w:sz w:val="16"/>
        </w:rPr>
        <w:t> </w:t>
      </w:r>
      <w:r>
        <w:rPr>
          <w:sz w:val="16"/>
        </w:rPr>
        <w:t>57-69.</w:t>
      </w:r>
    </w:p>
    <w:p>
      <w:pPr>
        <w:pStyle w:val="ListParagraph"/>
        <w:numPr>
          <w:ilvl w:val="0"/>
          <w:numId w:val="94"/>
        </w:numPr>
        <w:tabs>
          <w:tab w:pos="580" w:val="left" w:leader="none"/>
        </w:tabs>
        <w:spacing w:line="240" w:lineRule="auto" w:before="59" w:after="0"/>
        <w:ind w:left="579" w:right="542" w:hanging="360"/>
        <w:jc w:val="left"/>
        <w:rPr>
          <w:sz w:val="16"/>
        </w:rPr>
      </w:pPr>
      <w:r>
        <w:rPr>
          <w:sz w:val="16"/>
        </w:rPr>
        <w:t>Hussey, A. and S. Long (1982) Seasonal changes in weight of above- and below-ground vegetation and dead plant material in a salt marsh at Colne Point, Essex</w:t>
      </w:r>
      <w:r>
        <w:rPr>
          <w:i/>
          <w:sz w:val="16"/>
        </w:rPr>
        <w:t>. Journal of Ecology </w:t>
      </w:r>
      <w:r>
        <w:rPr>
          <w:b/>
          <w:sz w:val="16"/>
        </w:rPr>
        <w:t>70</w:t>
      </w:r>
      <w:r>
        <w:rPr>
          <w:sz w:val="16"/>
        </w:rPr>
        <w:t>:</w:t>
      </w:r>
      <w:r>
        <w:rPr>
          <w:spacing w:val="-13"/>
          <w:sz w:val="16"/>
        </w:rPr>
        <w:t> </w:t>
      </w:r>
      <w:r>
        <w:rPr>
          <w:sz w:val="16"/>
        </w:rPr>
        <w:t>757-771.</w:t>
      </w:r>
    </w:p>
    <w:p>
      <w:pPr>
        <w:pStyle w:val="ListParagraph"/>
        <w:numPr>
          <w:ilvl w:val="0"/>
          <w:numId w:val="94"/>
        </w:numPr>
        <w:tabs>
          <w:tab w:pos="579" w:val="left" w:leader="none"/>
        </w:tabs>
        <w:spacing w:line="240" w:lineRule="auto" w:before="59" w:after="0"/>
        <w:ind w:left="579" w:right="467" w:hanging="360"/>
        <w:jc w:val="left"/>
        <w:rPr>
          <w:sz w:val="16"/>
        </w:rPr>
      </w:pPr>
      <w:r>
        <w:rPr>
          <w:sz w:val="16"/>
        </w:rPr>
        <w:t>Johnstone, W. (1971) Total standing crop and tree component distributions in three stands of 100-year-old lodgepole pine. In: </w:t>
      </w:r>
      <w:r>
        <w:rPr>
          <w:i/>
          <w:sz w:val="16"/>
        </w:rPr>
        <w:t>Forest biomass studies. 15th IUFRO Congress </w:t>
      </w:r>
      <w:r>
        <w:rPr>
          <w:sz w:val="16"/>
        </w:rPr>
        <w:t>(Ed.^Eds. H. Young). University of Maine Press, Orono. p.</w:t>
      </w:r>
      <w:r>
        <w:rPr>
          <w:spacing w:val="-13"/>
          <w:sz w:val="16"/>
        </w:rPr>
        <w:t> </w:t>
      </w:r>
      <w:r>
        <w:rPr>
          <w:sz w:val="16"/>
        </w:rPr>
        <w:t>81-89.</w:t>
      </w:r>
    </w:p>
    <w:p>
      <w:pPr>
        <w:pStyle w:val="ListParagraph"/>
        <w:numPr>
          <w:ilvl w:val="0"/>
          <w:numId w:val="94"/>
        </w:numPr>
        <w:tabs>
          <w:tab w:pos="580" w:val="left" w:leader="none"/>
        </w:tabs>
        <w:spacing w:line="240" w:lineRule="auto" w:before="62" w:after="0"/>
        <w:ind w:left="579" w:right="589" w:hanging="360"/>
        <w:jc w:val="left"/>
        <w:rPr>
          <w:sz w:val="16"/>
        </w:rPr>
      </w:pPr>
      <w:r>
        <w:rPr>
          <w:sz w:val="16"/>
        </w:rPr>
        <w:t>Jones, R. (1968) Estimating productivity and apparent photosynthesis from differences in consecutive measurements of total living plant parts of an Australian heathland</w:t>
      </w:r>
      <w:r>
        <w:rPr>
          <w:i/>
          <w:sz w:val="16"/>
        </w:rPr>
        <w:t>. Australian Journal of Botany </w:t>
      </w:r>
      <w:r>
        <w:rPr>
          <w:b/>
          <w:sz w:val="16"/>
        </w:rPr>
        <w:t>16</w:t>
      </w:r>
      <w:r>
        <w:rPr>
          <w:sz w:val="16"/>
        </w:rPr>
        <w:t>:</w:t>
      </w:r>
      <w:r>
        <w:rPr>
          <w:spacing w:val="-15"/>
          <w:sz w:val="16"/>
        </w:rPr>
        <w:t> </w:t>
      </w:r>
      <w:r>
        <w:rPr>
          <w:sz w:val="16"/>
        </w:rPr>
        <w:t>589-602.</w:t>
      </w:r>
    </w:p>
    <w:p>
      <w:pPr>
        <w:pStyle w:val="ListParagraph"/>
        <w:numPr>
          <w:ilvl w:val="0"/>
          <w:numId w:val="94"/>
        </w:numPr>
        <w:tabs>
          <w:tab w:pos="580" w:val="left" w:leader="none"/>
        </w:tabs>
        <w:spacing w:line="240" w:lineRule="auto" w:before="59" w:after="0"/>
        <w:ind w:left="579" w:right="0" w:hanging="360"/>
        <w:jc w:val="left"/>
        <w:rPr>
          <w:sz w:val="16"/>
        </w:rPr>
      </w:pPr>
      <w:r>
        <w:rPr>
          <w:sz w:val="16"/>
        </w:rPr>
        <w:t>Kummerow, J., D. Krause, and W. Jow (1977) Root systems of chaparral shrubs</w:t>
      </w:r>
      <w:r>
        <w:rPr>
          <w:i/>
          <w:sz w:val="16"/>
        </w:rPr>
        <w:t>. Oecologia </w:t>
      </w:r>
      <w:r>
        <w:rPr>
          <w:b/>
          <w:sz w:val="16"/>
        </w:rPr>
        <w:t>29</w:t>
      </w:r>
      <w:r>
        <w:rPr>
          <w:sz w:val="16"/>
        </w:rPr>
        <w:t>:</w:t>
      </w:r>
      <w:r>
        <w:rPr>
          <w:spacing w:val="-14"/>
          <w:sz w:val="16"/>
        </w:rPr>
        <w:t> </w:t>
      </w:r>
      <w:r>
        <w:rPr>
          <w:sz w:val="16"/>
        </w:rPr>
        <w:t>163-177.</w:t>
      </w:r>
    </w:p>
    <w:p>
      <w:pPr>
        <w:pStyle w:val="ListParagraph"/>
        <w:numPr>
          <w:ilvl w:val="0"/>
          <w:numId w:val="94"/>
        </w:numPr>
        <w:tabs>
          <w:tab w:pos="579" w:val="left" w:leader="none"/>
        </w:tabs>
        <w:spacing w:line="240" w:lineRule="auto" w:before="58" w:after="0"/>
        <w:ind w:left="579" w:right="342" w:hanging="360"/>
        <w:jc w:val="left"/>
        <w:rPr>
          <w:sz w:val="16"/>
        </w:rPr>
      </w:pPr>
      <w:r>
        <w:rPr>
          <w:sz w:val="16"/>
        </w:rPr>
        <w:t>Linder, S. and B. Axelsson (1982) Changes in carbon uptake and allocation patterns as a result of irrigation and fertilisation in a young Pinus sylvestris stand. In: </w:t>
      </w:r>
      <w:r>
        <w:rPr>
          <w:i/>
          <w:sz w:val="16"/>
        </w:rPr>
        <w:t>Carbon Uptake and Allocation:Key to Management of Subalpine Forest Ecosystems </w:t>
      </w:r>
      <w:r>
        <w:rPr>
          <w:sz w:val="16"/>
        </w:rPr>
        <w:t>(Ed.^Eds. R. Waring). Forest Research Laboratory, Oregon State University, Corvallis, Oregon. p.</w:t>
      </w:r>
      <w:r>
        <w:rPr>
          <w:spacing w:val="4"/>
          <w:sz w:val="16"/>
        </w:rPr>
        <w:t> </w:t>
      </w:r>
      <w:r>
        <w:rPr>
          <w:sz w:val="16"/>
        </w:rPr>
        <w:t>38-44.</w:t>
      </w:r>
    </w:p>
    <w:p>
      <w:pPr>
        <w:pStyle w:val="ListParagraph"/>
        <w:numPr>
          <w:ilvl w:val="0"/>
          <w:numId w:val="94"/>
        </w:numPr>
        <w:tabs>
          <w:tab w:pos="579" w:val="left" w:leader="none"/>
        </w:tabs>
        <w:spacing w:line="240" w:lineRule="auto" w:before="60" w:after="0"/>
        <w:ind w:left="579" w:right="356" w:hanging="360"/>
        <w:jc w:val="left"/>
        <w:rPr>
          <w:sz w:val="16"/>
        </w:rPr>
      </w:pPr>
      <w:r>
        <w:rPr>
          <w:sz w:val="16"/>
        </w:rPr>
        <w:t>Litton,</w:t>
      </w:r>
      <w:r>
        <w:rPr>
          <w:spacing w:val="-2"/>
          <w:sz w:val="16"/>
        </w:rPr>
        <w:t> </w:t>
      </w:r>
      <w:r>
        <w:rPr>
          <w:sz w:val="16"/>
        </w:rPr>
        <w:t>C.,</w:t>
      </w:r>
      <w:r>
        <w:rPr>
          <w:spacing w:val="-4"/>
          <w:sz w:val="16"/>
        </w:rPr>
        <w:t> </w:t>
      </w:r>
      <w:r>
        <w:rPr>
          <w:sz w:val="16"/>
        </w:rPr>
        <w:t>M.</w:t>
      </w:r>
      <w:r>
        <w:rPr>
          <w:spacing w:val="-5"/>
          <w:sz w:val="16"/>
        </w:rPr>
        <w:t> </w:t>
      </w:r>
      <w:r>
        <w:rPr>
          <w:sz w:val="16"/>
        </w:rPr>
        <w:t>Ryan,</w:t>
      </w:r>
      <w:r>
        <w:rPr>
          <w:spacing w:val="-2"/>
          <w:sz w:val="16"/>
        </w:rPr>
        <w:t> </w:t>
      </w:r>
      <w:r>
        <w:rPr>
          <w:sz w:val="16"/>
        </w:rPr>
        <w:t>D.</w:t>
      </w:r>
      <w:r>
        <w:rPr>
          <w:spacing w:val="-2"/>
          <w:sz w:val="16"/>
        </w:rPr>
        <w:t> </w:t>
      </w:r>
      <w:r>
        <w:rPr>
          <w:sz w:val="16"/>
        </w:rPr>
        <w:t>Tinker,</w:t>
      </w:r>
      <w:r>
        <w:rPr>
          <w:spacing w:val="-1"/>
          <w:sz w:val="16"/>
        </w:rPr>
        <w:t> </w:t>
      </w:r>
      <w:r>
        <w:rPr>
          <w:sz w:val="16"/>
        </w:rPr>
        <w:t>and</w:t>
      </w:r>
      <w:r>
        <w:rPr>
          <w:spacing w:val="-2"/>
          <w:sz w:val="16"/>
        </w:rPr>
        <w:t> </w:t>
      </w:r>
      <w:r>
        <w:rPr>
          <w:sz w:val="16"/>
        </w:rPr>
        <w:t>D.</w:t>
      </w:r>
      <w:r>
        <w:rPr>
          <w:spacing w:val="-2"/>
          <w:sz w:val="16"/>
        </w:rPr>
        <w:t> </w:t>
      </w:r>
      <w:r>
        <w:rPr>
          <w:sz w:val="16"/>
        </w:rPr>
        <w:t>Knight</w:t>
      </w:r>
      <w:r>
        <w:rPr>
          <w:spacing w:val="-4"/>
          <w:sz w:val="16"/>
        </w:rPr>
        <w:t> </w:t>
      </w:r>
      <w:r>
        <w:rPr>
          <w:sz w:val="16"/>
        </w:rPr>
        <w:t>(2003)</w:t>
      </w:r>
      <w:r>
        <w:rPr>
          <w:spacing w:val="-6"/>
          <w:sz w:val="16"/>
        </w:rPr>
        <w:t> </w:t>
      </w:r>
      <w:r>
        <w:rPr>
          <w:sz w:val="16"/>
        </w:rPr>
        <w:t>Belowground</w:t>
      </w:r>
      <w:r>
        <w:rPr>
          <w:spacing w:val="-3"/>
          <w:sz w:val="16"/>
        </w:rPr>
        <w:t> </w:t>
      </w:r>
      <w:r>
        <w:rPr>
          <w:sz w:val="16"/>
        </w:rPr>
        <w:t>and</w:t>
      </w:r>
      <w:r>
        <w:rPr>
          <w:spacing w:val="-4"/>
          <w:sz w:val="16"/>
        </w:rPr>
        <w:t> </w:t>
      </w:r>
      <w:r>
        <w:rPr>
          <w:sz w:val="16"/>
        </w:rPr>
        <w:t>aboveground</w:t>
      </w:r>
      <w:r>
        <w:rPr>
          <w:spacing w:val="-4"/>
          <w:sz w:val="16"/>
        </w:rPr>
        <w:t> </w:t>
      </w:r>
      <w:r>
        <w:rPr>
          <w:sz w:val="16"/>
        </w:rPr>
        <w:t>biomass</w:t>
      </w:r>
      <w:r>
        <w:rPr>
          <w:spacing w:val="-5"/>
          <w:sz w:val="16"/>
        </w:rPr>
        <w:t> </w:t>
      </w:r>
      <w:r>
        <w:rPr>
          <w:sz w:val="16"/>
        </w:rPr>
        <w:t>in</w:t>
      </w:r>
      <w:r>
        <w:rPr>
          <w:spacing w:val="-3"/>
          <w:sz w:val="16"/>
        </w:rPr>
        <w:t> </w:t>
      </w:r>
      <w:r>
        <w:rPr>
          <w:sz w:val="16"/>
        </w:rPr>
        <w:t>young</w:t>
      </w:r>
      <w:r>
        <w:rPr>
          <w:spacing w:val="-4"/>
          <w:sz w:val="16"/>
        </w:rPr>
        <w:t> </w:t>
      </w:r>
      <w:r>
        <w:rPr>
          <w:sz w:val="16"/>
        </w:rPr>
        <w:t>postfire</w:t>
      </w:r>
      <w:r>
        <w:rPr>
          <w:spacing w:val="-4"/>
          <w:sz w:val="16"/>
        </w:rPr>
        <w:t> </w:t>
      </w:r>
      <w:r>
        <w:rPr>
          <w:sz w:val="16"/>
        </w:rPr>
        <w:t>lodgepole</w:t>
      </w:r>
      <w:r>
        <w:rPr>
          <w:spacing w:val="-4"/>
          <w:sz w:val="16"/>
        </w:rPr>
        <w:t> </w:t>
      </w:r>
      <w:r>
        <w:rPr>
          <w:sz w:val="16"/>
        </w:rPr>
        <w:t>pine</w:t>
      </w:r>
      <w:r>
        <w:rPr>
          <w:spacing w:val="-3"/>
          <w:sz w:val="16"/>
        </w:rPr>
        <w:t> </w:t>
      </w:r>
      <w:r>
        <w:rPr>
          <w:sz w:val="16"/>
        </w:rPr>
        <w:t>forests of contrasting tree density</w:t>
      </w:r>
      <w:r>
        <w:rPr>
          <w:i/>
          <w:sz w:val="16"/>
        </w:rPr>
        <w:t>. Canadian Journal of Forest Research </w:t>
      </w:r>
      <w:r>
        <w:rPr>
          <w:b/>
          <w:sz w:val="16"/>
        </w:rPr>
        <w:t>33</w:t>
      </w:r>
      <w:r>
        <w:rPr>
          <w:sz w:val="16"/>
        </w:rPr>
        <w:t>(2):</w:t>
      </w:r>
      <w:r>
        <w:rPr>
          <w:spacing w:val="-11"/>
          <w:sz w:val="16"/>
        </w:rPr>
        <w:t> </w:t>
      </w:r>
      <w:r>
        <w:rPr>
          <w:sz w:val="16"/>
        </w:rPr>
        <w:t>351-363.</w:t>
      </w:r>
    </w:p>
    <w:p>
      <w:pPr>
        <w:pStyle w:val="ListParagraph"/>
        <w:numPr>
          <w:ilvl w:val="0"/>
          <w:numId w:val="94"/>
        </w:numPr>
        <w:tabs>
          <w:tab w:pos="579" w:val="left" w:leader="none"/>
        </w:tabs>
        <w:spacing w:line="240" w:lineRule="auto" w:before="60" w:after="0"/>
        <w:ind w:left="578" w:right="277" w:hanging="360"/>
        <w:jc w:val="left"/>
        <w:rPr>
          <w:sz w:val="16"/>
        </w:rPr>
      </w:pPr>
      <w:r>
        <w:rPr>
          <w:sz w:val="16"/>
        </w:rPr>
        <w:t>Lodhiyal, </w:t>
      </w:r>
      <w:r>
        <w:rPr>
          <w:spacing w:val="-3"/>
          <w:sz w:val="16"/>
        </w:rPr>
        <w:t>L. </w:t>
      </w:r>
      <w:r>
        <w:rPr>
          <w:sz w:val="16"/>
        </w:rPr>
        <w:t>and N. Lodhiyal (1997) Variation in biomass and net primary productivity in short rotation high density central Himalayan poplar plantations</w:t>
      </w:r>
      <w:r>
        <w:rPr>
          <w:i/>
          <w:sz w:val="16"/>
        </w:rPr>
        <w:t>. Forest Ecology and Management </w:t>
      </w:r>
      <w:r>
        <w:rPr>
          <w:b/>
          <w:sz w:val="16"/>
        </w:rPr>
        <w:t>98</w:t>
      </w:r>
      <w:r>
        <w:rPr>
          <w:sz w:val="16"/>
        </w:rPr>
        <w:t>:</w:t>
      </w:r>
      <w:r>
        <w:rPr>
          <w:spacing w:val="-6"/>
          <w:sz w:val="16"/>
        </w:rPr>
        <w:t> </w:t>
      </w:r>
      <w:r>
        <w:rPr>
          <w:sz w:val="16"/>
        </w:rPr>
        <w:t>167-179.</w:t>
      </w:r>
    </w:p>
    <w:p>
      <w:pPr>
        <w:pStyle w:val="ListParagraph"/>
        <w:numPr>
          <w:ilvl w:val="0"/>
          <w:numId w:val="94"/>
        </w:numPr>
        <w:tabs>
          <w:tab w:pos="579" w:val="left" w:leader="none"/>
        </w:tabs>
        <w:spacing w:line="240" w:lineRule="auto" w:before="61" w:after="0"/>
        <w:ind w:left="578" w:right="666" w:hanging="360"/>
        <w:jc w:val="left"/>
        <w:rPr>
          <w:sz w:val="16"/>
        </w:rPr>
      </w:pPr>
      <w:r>
        <w:rPr>
          <w:sz w:val="16"/>
        </w:rPr>
        <w:t>Lodhiyal, N., </w:t>
      </w:r>
      <w:r>
        <w:rPr>
          <w:spacing w:val="-3"/>
          <w:sz w:val="16"/>
        </w:rPr>
        <w:t>L. </w:t>
      </w:r>
      <w:r>
        <w:rPr>
          <w:sz w:val="16"/>
        </w:rPr>
        <w:t>Lodhiyal, and P. Pangtey (2002) Structure and function of Shisham forests in central Himalaya, India: dry matter dynamics</w:t>
      </w:r>
      <w:r>
        <w:rPr>
          <w:i/>
          <w:sz w:val="16"/>
        </w:rPr>
        <w:t>. Annals of Botany </w:t>
      </w:r>
      <w:r>
        <w:rPr>
          <w:b/>
          <w:sz w:val="16"/>
        </w:rPr>
        <w:t>89</w:t>
      </w:r>
      <w:r>
        <w:rPr>
          <w:sz w:val="16"/>
        </w:rPr>
        <w:t>:</w:t>
      </w:r>
      <w:r>
        <w:rPr>
          <w:spacing w:val="-7"/>
          <w:sz w:val="16"/>
        </w:rPr>
        <w:t> </w:t>
      </w:r>
      <w:r>
        <w:rPr>
          <w:sz w:val="16"/>
        </w:rPr>
        <w:t>41-54.</w:t>
      </w:r>
    </w:p>
    <w:p>
      <w:pPr>
        <w:pStyle w:val="ListParagraph"/>
        <w:numPr>
          <w:ilvl w:val="0"/>
          <w:numId w:val="94"/>
        </w:numPr>
        <w:tabs>
          <w:tab w:pos="579" w:val="left" w:leader="none"/>
        </w:tabs>
        <w:spacing w:line="240" w:lineRule="auto" w:before="59" w:after="0"/>
        <w:ind w:left="578" w:right="699" w:hanging="360"/>
        <w:jc w:val="left"/>
        <w:rPr>
          <w:sz w:val="16"/>
        </w:rPr>
      </w:pPr>
      <w:r>
        <w:rPr>
          <w:sz w:val="16"/>
        </w:rPr>
        <w:t>Low, A. and B. Lamont (1990) Aerial and belowground phytomass of </w:t>
      </w:r>
      <w:r>
        <w:rPr>
          <w:i/>
          <w:sz w:val="16"/>
        </w:rPr>
        <w:t>Banksia </w:t>
      </w:r>
      <w:r>
        <w:rPr>
          <w:sz w:val="16"/>
        </w:rPr>
        <w:t>scrub-heath at Eneabba, South-Western Australia</w:t>
      </w:r>
      <w:r>
        <w:rPr>
          <w:i/>
          <w:sz w:val="16"/>
        </w:rPr>
        <w:t>. Australian Journal of Botany </w:t>
      </w:r>
      <w:r>
        <w:rPr>
          <w:b/>
          <w:sz w:val="16"/>
        </w:rPr>
        <w:t>38</w:t>
      </w:r>
      <w:r>
        <w:rPr>
          <w:sz w:val="16"/>
        </w:rPr>
        <w:t>:</w:t>
      </w:r>
      <w:r>
        <w:rPr>
          <w:spacing w:val="-4"/>
          <w:sz w:val="16"/>
        </w:rPr>
        <w:t> </w:t>
      </w:r>
      <w:r>
        <w:rPr>
          <w:sz w:val="16"/>
        </w:rPr>
        <w:t>351-359.</w:t>
      </w:r>
    </w:p>
    <w:p>
      <w:pPr>
        <w:spacing w:after="0" w:line="240" w:lineRule="auto"/>
        <w:jc w:val="left"/>
        <w:rPr>
          <w:sz w:val="16"/>
        </w:rPr>
        <w:sectPr>
          <w:pgSz w:w="11900" w:h="16840"/>
          <w:pgMar w:header="230" w:footer="408" w:top="560" w:bottom="600" w:left="1200" w:right="1140"/>
        </w:sectPr>
      </w:pPr>
    </w:p>
    <w:p>
      <w:pPr>
        <w:pStyle w:val="BodyText"/>
      </w:pPr>
    </w:p>
    <w:p>
      <w:pPr>
        <w:pStyle w:val="BodyText"/>
        <w:spacing w:before="3"/>
        <w:rPr>
          <w:sz w:val="18"/>
        </w:rPr>
      </w:pPr>
    </w:p>
    <w:p>
      <w:pPr>
        <w:pStyle w:val="ListParagraph"/>
        <w:numPr>
          <w:ilvl w:val="0"/>
          <w:numId w:val="94"/>
        </w:numPr>
        <w:tabs>
          <w:tab w:pos="580" w:val="left" w:leader="none"/>
        </w:tabs>
        <w:spacing w:line="240" w:lineRule="auto" w:before="0" w:after="0"/>
        <w:ind w:left="579" w:right="0" w:hanging="360"/>
        <w:jc w:val="left"/>
        <w:rPr>
          <w:sz w:val="16"/>
        </w:rPr>
      </w:pPr>
      <w:r>
        <w:rPr>
          <w:sz w:val="16"/>
        </w:rPr>
        <w:t>Lugo,</w:t>
      </w:r>
      <w:r>
        <w:rPr>
          <w:spacing w:val="-1"/>
          <w:sz w:val="16"/>
        </w:rPr>
        <w:t> </w:t>
      </w:r>
      <w:r>
        <w:rPr>
          <w:sz w:val="16"/>
        </w:rPr>
        <w:t>A. (1992)</w:t>
      </w:r>
      <w:r>
        <w:rPr>
          <w:spacing w:val="-5"/>
          <w:sz w:val="16"/>
        </w:rPr>
        <w:t> </w:t>
      </w:r>
      <w:r>
        <w:rPr>
          <w:sz w:val="16"/>
        </w:rPr>
        <w:t>Comparison</w:t>
      </w:r>
      <w:r>
        <w:rPr>
          <w:spacing w:val="1"/>
          <w:sz w:val="16"/>
        </w:rPr>
        <w:t> </w:t>
      </w:r>
      <w:r>
        <w:rPr>
          <w:sz w:val="16"/>
        </w:rPr>
        <w:t>of</w:t>
      </w:r>
      <w:r>
        <w:rPr>
          <w:spacing w:val="-4"/>
          <w:sz w:val="16"/>
        </w:rPr>
        <w:t> </w:t>
      </w:r>
      <w:r>
        <w:rPr>
          <w:sz w:val="16"/>
        </w:rPr>
        <w:t>tropical</w:t>
      </w:r>
      <w:r>
        <w:rPr>
          <w:spacing w:val="-3"/>
          <w:sz w:val="16"/>
        </w:rPr>
        <w:t> </w:t>
      </w:r>
      <w:r>
        <w:rPr>
          <w:sz w:val="16"/>
        </w:rPr>
        <w:t>tree</w:t>
      </w:r>
      <w:r>
        <w:rPr>
          <w:spacing w:val="-2"/>
          <w:sz w:val="16"/>
        </w:rPr>
        <w:t> </w:t>
      </w:r>
      <w:r>
        <w:rPr>
          <w:sz w:val="16"/>
        </w:rPr>
        <w:t>plantations</w:t>
      </w:r>
      <w:r>
        <w:rPr>
          <w:spacing w:val="-1"/>
          <w:sz w:val="16"/>
        </w:rPr>
        <w:t> </w:t>
      </w:r>
      <w:r>
        <w:rPr>
          <w:sz w:val="16"/>
        </w:rPr>
        <w:t>with secondary</w:t>
      </w:r>
      <w:r>
        <w:rPr>
          <w:spacing w:val="-4"/>
          <w:sz w:val="16"/>
        </w:rPr>
        <w:t> </w:t>
      </w:r>
      <w:r>
        <w:rPr>
          <w:sz w:val="16"/>
        </w:rPr>
        <w:t>forests</w:t>
      </w:r>
      <w:r>
        <w:rPr>
          <w:spacing w:val="-1"/>
          <w:sz w:val="16"/>
        </w:rPr>
        <w:t> </w:t>
      </w:r>
      <w:r>
        <w:rPr>
          <w:sz w:val="16"/>
        </w:rPr>
        <w:t>of</w:t>
      </w:r>
      <w:r>
        <w:rPr>
          <w:spacing w:val="-3"/>
          <w:sz w:val="16"/>
        </w:rPr>
        <w:t> </w:t>
      </w:r>
      <w:r>
        <w:rPr>
          <w:sz w:val="16"/>
        </w:rPr>
        <w:t>similar</w:t>
      </w:r>
      <w:r>
        <w:rPr>
          <w:spacing w:val="-2"/>
          <w:sz w:val="16"/>
        </w:rPr>
        <w:t> </w:t>
      </w:r>
      <w:r>
        <w:rPr>
          <w:sz w:val="16"/>
        </w:rPr>
        <w:t>age</w:t>
      </w:r>
      <w:r>
        <w:rPr>
          <w:i/>
          <w:sz w:val="16"/>
        </w:rPr>
        <w:t>. Ecological</w:t>
      </w:r>
      <w:r>
        <w:rPr>
          <w:i/>
          <w:spacing w:val="-3"/>
          <w:sz w:val="16"/>
        </w:rPr>
        <w:t> </w:t>
      </w:r>
      <w:r>
        <w:rPr>
          <w:i/>
          <w:sz w:val="16"/>
        </w:rPr>
        <w:t>Monographs</w:t>
      </w:r>
      <w:r>
        <w:rPr>
          <w:i/>
          <w:spacing w:val="-3"/>
          <w:sz w:val="16"/>
        </w:rPr>
        <w:t> </w:t>
      </w:r>
      <w:r>
        <w:rPr>
          <w:b/>
          <w:sz w:val="16"/>
        </w:rPr>
        <w:t>62</w:t>
      </w:r>
      <w:r>
        <w:rPr>
          <w:sz w:val="16"/>
        </w:rPr>
        <w:t>:</w:t>
      </w:r>
      <w:r>
        <w:rPr>
          <w:spacing w:val="-2"/>
          <w:sz w:val="16"/>
        </w:rPr>
        <w:t> </w:t>
      </w:r>
      <w:r>
        <w:rPr>
          <w:sz w:val="16"/>
        </w:rPr>
        <w:t>1-41.</w:t>
      </w:r>
    </w:p>
    <w:p>
      <w:pPr>
        <w:pStyle w:val="ListParagraph"/>
        <w:numPr>
          <w:ilvl w:val="0"/>
          <w:numId w:val="94"/>
        </w:numPr>
        <w:tabs>
          <w:tab w:pos="579" w:val="left" w:leader="none"/>
        </w:tabs>
        <w:spacing w:line="240" w:lineRule="auto" w:before="61" w:after="0"/>
        <w:ind w:left="579" w:right="423" w:hanging="360"/>
        <w:jc w:val="left"/>
        <w:rPr>
          <w:sz w:val="16"/>
        </w:rPr>
      </w:pPr>
      <w:r>
        <w:rPr>
          <w:sz w:val="16"/>
        </w:rPr>
        <w:t>Menaut, J. and J. Cesar (1982) The structure and dynamics of a west African savanna. In: </w:t>
      </w:r>
      <w:r>
        <w:rPr>
          <w:i/>
          <w:sz w:val="16"/>
        </w:rPr>
        <w:t>Ecology of Tropical Savannas </w:t>
      </w:r>
      <w:r>
        <w:rPr>
          <w:sz w:val="16"/>
        </w:rPr>
        <w:t>(Ed.^Eds. B. Huntley and B. Walker). Springer-Verlag, Berlin. p.</w:t>
      </w:r>
      <w:r>
        <w:rPr>
          <w:spacing w:val="-7"/>
          <w:sz w:val="16"/>
        </w:rPr>
        <w:t> </w:t>
      </w:r>
      <w:r>
        <w:rPr>
          <w:sz w:val="16"/>
        </w:rPr>
        <w:t>80-100.</w:t>
      </w:r>
    </w:p>
    <w:p>
      <w:pPr>
        <w:pStyle w:val="ListParagraph"/>
        <w:numPr>
          <w:ilvl w:val="0"/>
          <w:numId w:val="94"/>
        </w:numPr>
        <w:tabs>
          <w:tab w:pos="580" w:val="left" w:leader="none"/>
        </w:tabs>
        <w:spacing w:line="240" w:lineRule="auto" w:before="60" w:after="0"/>
        <w:ind w:left="579" w:right="459" w:hanging="360"/>
        <w:jc w:val="left"/>
        <w:rPr>
          <w:sz w:val="16"/>
        </w:rPr>
      </w:pPr>
      <w:r>
        <w:rPr>
          <w:sz w:val="16"/>
        </w:rPr>
        <w:t>Milchunas, D. and W. Lauenroth (1989) Three-dimensional distribution of plant biomass in relation to grazing and topography in the shortgrass steppe</w:t>
      </w:r>
      <w:r>
        <w:rPr>
          <w:i/>
          <w:sz w:val="16"/>
        </w:rPr>
        <w:t>. Oikos </w:t>
      </w:r>
      <w:r>
        <w:rPr>
          <w:b/>
          <w:sz w:val="16"/>
        </w:rPr>
        <w:t>55</w:t>
      </w:r>
      <w:r>
        <w:rPr>
          <w:sz w:val="16"/>
        </w:rPr>
        <w:t>:</w:t>
      </w:r>
      <w:r>
        <w:rPr>
          <w:spacing w:val="-5"/>
          <w:sz w:val="16"/>
        </w:rPr>
        <w:t> </w:t>
      </w:r>
      <w:r>
        <w:rPr>
          <w:sz w:val="16"/>
        </w:rPr>
        <w:t>82-86.</w:t>
      </w:r>
    </w:p>
    <w:p>
      <w:pPr>
        <w:pStyle w:val="ListParagraph"/>
        <w:numPr>
          <w:ilvl w:val="0"/>
          <w:numId w:val="94"/>
        </w:numPr>
        <w:tabs>
          <w:tab w:pos="579" w:val="left" w:leader="none"/>
        </w:tabs>
        <w:spacing w:line="240" w:lineRule="auto" w:before="59" w:after="0"/>
        <w:ind w:left="579" w:right="694" w:hanging="360"/>
        <w:jc w:val="left"/>
        <w:rPr>
          <w:sz w:val="16"/>
        </w:rPr>
      </w:pPr>
      <w:r>
        <w:rPr>
          <w:sz w:val="16"/>
        </w:rPr>
        <w:t>Misra, R., C. Turnbull, R. Cromer, A. Gibbons, and A. LaSala (1998) Below- and above-ground growth of </w:t>
      </w:r>
      <w:r>
        <w:rPr>
          <w:i/>
          <w:sz w:val="16"/>
        </w:rPr>
        <w:t>Eucalyptus nitens </w:t>
      </w:r>
      <w:r>
        <w:rPr>
          <w:sz w:val="16"/>
        </w:rPr>
        <w:t>in a young plantation. </w:t>
      </w:r>
      <w:r>
        <w:rPr>
          <w:spacing w:val="-3"/>
          <w:sz w:val="16"/>
        </w:rPr>
        <w:t>I. </w:t>
      </w:r>
      <w:r>
        <w:rPr>
          <w:sz w:val="16"/>
        </w:rPr>
        <w:t>Biomass</w:t>
      </w:r>
      <w:r>
        <w:rPr>
          <w:i/>
          <w:sz w:val="16"/>
        </w:rPr>
        <w:t>. Forest Ecology and Management </w:t>
      </w:r>
      <w:r>
        <w:rPr>
          <w:b/>
          <w:sz w:val="16"/>
        </w:rPr>
        <w:t>106</w:t>
      </w:r>
      <w:r>
        <w:rPr>
          <w:sz w:val="16"/>
        </w:rPr>
        <w:t>:</w:t>
      </w:r>
      <w:r>
        <w:rPr>
          <w:spacing w:val="-5"/>
          <w:sz w:val="16"/>
        </w:rPr>
        <w:t> </w:t>
      </w:r>
      <w:r>
        <w:rPr>
          <w:sz w:val="16"/>
        </w:rPr>
        <w:t>283-293.</w:t>
      </w:r>
    </w:p>
    <w:p>
      <w:pPr>
        <w:pStyle w:val="ListParagraph"/>
        <w:numPr>
          <w:ilvl w:val="0"/>
          <w:numId w:val="94"/>
        </w:numPr>
        <w:tabs>
          <w:tab w:pos="579" w:val="left" w:leader="none"/>
        </w:tabs>
        <w:spacing w:line="240" w:lineRule="auto" w:before="61" w:after="0"/>
        <w:ind w:left="579" w:right="313" w:hanging="360"/>
        <w:jc w:val="left"/>
        <w:rPr>
          <w:sz w:val="16"/>
        </w:rPr>
      </w:pPr>
      <w:r>
        <w:rPr>
          <w:sz w:val="16"/>
        </w:rPr>
        <w:t>Nepstad, D. (1989) </w:t>
      </w:r>
      <w:r>
        <w:rPr>
          <w:i/>
          <w:sz w:val="16"/>
        </w:rPr>
        <w:t>Forest regrowth in abandoned pastures of eastern Amazonia: limitations to tree seedling survival and growth</w:t>
      </w:r>
      <w:r>
        <w:rPr>
          <w:sz w:val="16"/>
        </w:rPr>
        <w:t>. PhD Dissertation. Yale University, New</w:t>
      </w:r>
      <w:r>
        <w:rPr>
          <w:spacing w:val="-4"/>
          <w:sz w:val="16"/>
        </w:rPr>
        <w:t> </w:t>
      </w:r>
      <w:r>
        <w:rPr>
          <w:sz w:val="16"/>
        </w:rPr>
        <w:t>Haven.</w:t>
      </w:r>
    </w:p>
    <w:p>
      <w:pPr>
        <w:pStyle w:val="ListParagraph"/>
        <w:numPr>
          <w:ilvl w:val="0"/>
          <w:numId w:val="94"/>
        </w:numPr>
        <w:tabs>
          <w:tab w:pos="580" w:val="left" w:leader="none"/>
        </w:tabs>
        <w:spacing w:line="240" w:lineRule="auto" w:before="60" w:after="0"/>
        <w:ind w:left="579" w:right="409" w:hanging="360"/>
        <w:jc w:val="left"/>
        <w:rPr>
          <w:sz w:val="16"/>
        </w:rPr>
      </w:pPr>
      <w:r>
        <w:rPr>
          <w:sz w:val="16"/>
        </w:rPr>
        <w:t>Nihlgård,</w:t>
      </w:r>
      <w:r>
        <w:rPr>
          <w:spacing w:val="-4"/>
          <w:sz w:val="16"/>
        </w:rPr>
        <w:t> </w:t>
      </w:r>
      <w:r>
        <w:rPr>
          <w:sz w:val="16"/>
        </w:rPr>
        <w:t>B.</w:t>
      </w:r>
      <w:r>
        <w:rPr>
          <w:spacing w:val="-1"/>
          <w:sz w:val="16"/>
        </w:rPr>
        <w:t> </w:t>
      </w:r>
      <w:r>
        <w:rPr>
          <w:sz w:val="16"/>
        </w:rPr>
        <w:t>(1972)</w:t>
      </w:r>
      <w:r>
        <w:rPr>
          <w:spacing w:val="-2"/>
          <w:sz w:val="16"/>
        </w:rPr>
        <w:t> </w:t>
      </w:r>
      <w:r>
        <w:rPr>
          <w:sz w:val="16"/>
        </w:rPr>
        <w:t>Plant</w:t>
      </w:r>
      <w:r>
        <w:rPr>
          <w:spacing w:val="-4"/>
          <w:sz w:val="16"/>
        </w:rPr>
        <w:t> </w:t>
      </w:r>
      <w:r>
        <w:rPr>
          <w:sz w:val="16"/>
        </w:rPr>
        <w:t>biomass,</w:t>
      </w:r>
      <w:r>
        <w:rPr>
          <w:spacing w:val="-3"/>
          <w:sz w:val="16"/>
        </w:rPr>
        <w:t> </w:t>
      </w:r>
      <w:r>
        <w:rPr>
          <w:sz w:val="16"/>
        </w:rPr>
        <w:t>primary</w:t>
      </w:r>
      <w:r>
        <w:rPr>
          <w:spacing w:val="-5"/>
          <w:sz w:val="16"/>
        </w:rPr>
        <w:t> </w:t>
      </w:r>
      <w:r>
        <w:rPr>
          <w:sz w:val="16"/>
        </w:rPr>
        <w:t>production</w:t>
      </w:r>
      <w:r>
        <w:rPr>
          <w:spacing w:val="-3"/>
          <w:sz w:val="16"/>
        </w:rPr>
        <w:t> </w:t>
      </w:r>
      <w:r>
        <w:rPr>
          <w:sz w:val="16"/>
        </w:rPr>
        <w:t>and distribution</w:t>
      </w:r>
      <w:r>
        <w:rPr>
          <w:spacing w:val="-4"/>
          <w:sz w:val="16"/>
        </w:rPr>
        <w:t> </w:t>
      </w:r>
      <w:r>
        <w:rPr>
          <w:sz w:val="16"/>
        </w:rPr>
        <w:t>of</w:t>
      </w:r>
      <w:r>
        <w:rPr>
          <w:spacing w:val="-3"/>
          <w:sz w:val="16"/>
        </w:rPr>
        <w:t> </w:t>
      </w:r>
      <w:r>
        <w:rPr>
          <w:sz w:val="16"/>
        </w:rPr>
        <w:t>chemical</w:t>
      </w:r>
      <w:r>
        <w:rPr>
          <w:spacing w:val="-3"/>
          <w:sz w:val="16"/>
        </w:rPr>
        <w:t> </w:t>
      </w:r>
      <w:r>
        <w:rPr>
          <w:sz w:val="16"/>
        </w:rPr>
        <w:t>elements</w:t>
      </w:r>
      <w:r>
        <w:rPr>
          <w:spacing w:val="-2"/>
          <w:sz w:val="16"/>
        </w:rPr>
        <w:t> </w:t>
      </w:r>
      <w:r>
        <w:rPr>
          <w:sz w:val="16"/>
        </w:rPr>
        <w:t>in</w:t>
      </w:r>
      <w:r>
        <w:rPr>
          <w:spacing w:val="-1"/>
          <w:sz w:val="16"/>
        </w:rPr>
        <w:t> </w:t>
      </w:r>
      <w:r>
        <w:rPr>
          <w:sz w:val="16"/>
        </w:rPr>
        <w:t>a</w:t>
      </w:r>
      <w:r>
        <w:rPr>
          <w:spacing w:val="-3"/>
          <w:sz w:val="16"/>
        </w:rPr>
        <w:t> </w:t>
      </w:r>
      <w:r>
        <w:rPr>
          <w:sz w:val="16"/>
        </w:rPr>
        <w:t>beech</w:t>
      </w:r>
      <w:r>
        <w:rPr>
          <w:spacing w:val="-3"/>
          <w:sz w:val="16"/>
        </w:rPr>
        <w:t> </w:t>
      </w:r>
      <w:r>
        <w:rPr>
          <w:sz w:val="16"/>
        </w:rPr>
        <w:t>and</w:t>
      </w:r>
      <w:r>
        <w:rPr>
          <w:spacing w:val="-3"/>
          <w:sz w:val="16"/>
        </w:rPr>
        <w:t> </w:t>
      </w:r>
      <w:r>
        <w:rPr>
          <w:sz w:val="16"/>
        </w:rPr>
        <w:t>a</w:t>
      </w:r>
      <w:r>
        <w:rPr>
          <w:spacing w:val="-4"/>
          <w:sz w:val="16"/>
        </w:rPr>
        <w:t> </w:t>
      </w:r>
      <w:r>
        <w:rPr>
          <w:sz w:val="16"/>
        </w:rPr>
        <w:t>planted</w:t>
      </w:r>
      <w:r>
        <w:rPr>
          <w:spacing w:val="-3"/>
          <w:sz w:val="16"/>
        </w:rPr>
        <w:t> </w:t>
      </w:r>
      <w:r>
        <w:rPr>
          <w:sz w:val="16"/>
        </w:rPr>
        <w:t>spruce</w:t>
      </w:r>
      <w:r>
        <w:rPr>
          <w:spacing w:val="-3"/>
          <w:sz w:val="16"/>
        </w:rPr>
        <w:t> </w:t>
      </w:r>
      <w:r>
        <w:rPr>
          <w:sz w:val="16"/>
        </w:rPr>
        <w:t>forest</w:t>
      </w:r>
      <w:r>
        <w:rPr>
          <w:spacing w:val="-1"/>
          <w:sz w:val="16"/>
        </w:rPr>
        <w:t> </w:t>
      </w:r>
      <w:r>
        <w:rPr>
          <w:sz w:val="16"/>
        </w:rPr>
        <w:t>in South Sweden</w:t>
      </w:r>
      <w:r>
        <w:rPr>
          <w:i/>
          <w:sz w:val="16"/>
        </w:rPr>
        <w:t>. Oikos </w:t>
      </w:r>
      <w:r>
        <w:rPr>
          <w:b/>
          <w:sz w:val="16"/>
        </w:rPr>
        <w:t>23</w:t>
      </w:r>
      <w:r>
        <w:rPr>
          <w:sz w:val="16"/>
        </w:rPr>
        <w:t>:</w:t>
      </w:r>
      <w:r>
        <w:rPr>
          <w:spacing w:val="-6"/>
          <w:sz w:val="16"/>
        </w:rPr>
        <w:t> </w:t>
      </w:r>
      <w:r>
        <w:rPr>
          <w:sz w:val="16"/>
        </w:rPr>
        <w:t>69-81.</w:t>
      </w:r>
    </w:p>
    <w:p>
      <w:pPr>
        <w:pStyle w:val="ListParagraph"/>
        <w:numPr>
          <w:ilvl w:val="0"/>
          <w:numId w:val="94"/>
        </w:numPr>
        <w:tabs>
          <w:tab w:pos="580" w:val="left" w:leader="none"/>
        </w:tabs>
        <w:spacing w:line="240" w:lineRule="auto" w:before="59" w:after="0"/>
        <w:ind w:left="579" w:right="0" w:hanging="360"/>
        <w:jc w:val="left"/>
        <w:rPr>
          <w:sz w:val="16"/>
        </w:rPr>
      </w:pPr>
      <w:r>
        <w:rPr>
          <w:sz w:val="16"/>
        </w:rPr>
        <w:t>Ovington, J. (1957a) Dry matter production by </w:t>
      </w:r>
      <w:r>
        <w:rPr>
          <w:i/>
          <w:sz w:val="16"/>
        </w:rPr>
        <w:t>Pinus sylvestris </w:t>
      </w:r>
      <w:r>
        <w:rPr>
          <w:spacing w:val="-3"/>
          <w:sz w:val="16"/>
        </w:rPr>
        <w:t>L. </w:t>
      </w:r>
      <w:r>
        <w:rPr>
          <w:i/>
          <w:sz w:val="16"/>
        </w:rPr>
        <w:t>Annals of Botany, London </w:t>
      </w:r>
      <w:r>
        <w:rPr>
          <w:b/>
          <w:sz w:val="16"/>
        </w:rPr>
        <w:t>N.S. 21</w:t>
      </w:r>
      <w:r>
        <w:rPr>
          <w:sz w:val="16"/>
        </w:rPr>
        <w:t>:</w:t>
      </w:r>
      <w:r>
        <w:rPr>
          <w:spacing w:val="-21"/>
          <w:sz w:val="16"/>
        </w:rPr>
        <w:t> </w:t>
      </w:r>
      <w:r>
        <w:rPr>
          <w:sz w:val="16"/>
        </w:rPr>
        <w:t>287-314.</w:t>
      </w:r>
    </w:p>
    <w:p>
      <w:pPr>
        <w:pStyle w:val="ListParagraph"/>
        <w:numPr>
          <w:ilvl w:val="0"/>
          <w:numId w:val="94"/>
        </w:numPr>
        <w:tabs>
          <w:tab w:pos="580" w:val="left" w:leader="none"/>
        </w:tabs>
        <w:spacing w:line="183" w:lineRule="exact" w:before="61" w:after="0"/>
        <w:ind w:left="579" w:right="0" w:hanging="360"/>
        <w:jc w:val="left"/>
        <w:rPr>
          <w:i/>
          <w:sz w:val="16"/>
        </w:rPr>
      </w:pPr>
      <w:r>
        <w:rPr>
          <w:sz w:val="16"/>
        </w:rPr>
        <w:t>Ovington,</w:t>
      </w:r>
      <w:r>
        <w:rPr>
          <w:spacing w:val="-3"/>
          <w:sz w:val="16"/>
        </w:rPr>
        <w:t> </w:t>
      </w:r>
      <w:r>
        <w:rPr>
          <w:sz w:val="16"/>
        </w:rPr>
        <w:t>J.</w:t>
      </w:r>
      <w:r>
        <w:rPr>
          <w:spacing w:val="-3"/>
          <w:sz w:val="16"/>
        </w:rPr>
        <w:t> </w:t>
      </w:r>
      <w:r>
        <w:rPr>
          <w:sz w:val="16"/>
        </w:rPr>
        <w:t>and</w:t>
      </w:r>
      <w:r>
        <w:rPr>
          <w:spacing w:val="-2"/>
          <w:sz w:val="16"/>
        </w:rPr>
        <w:t> </w:t>
      </w:r>
      <w:r>
        <w:rPr>
          <w:sz w:val="16"/>
        </w:rPr>
        <w:t>H.</w:t>
      </w:r>
      <w:r>
        <w:rPr>
          <w:spacing w:val="-4"/>
          <w:sz w:val="16"/>
        </w:rPr>
        <w:t> </w:t>
      </w:r>
      <w:r>
        <w:rPr>
          <w:sz w:val="16"/>
        </w:rPr>
        <w:t>Madgwick (1959a)</w:t>
      </w:r>
      <w:r>
        <w:rPr>
          <w:spacing w:val="-2"/>
          <w:sz w:val="16"/>
        </w:rPr>
        <w:t> </w:t>
      </w:r>
      <w:r>
        <w:rPr>
          <w:sz w:val="16"/>
        </w:rPr>
        <w:t>Distribution</w:t>
      </w:r>
      <w:r>
        <w:rPr>
          <w:spacing w:val="-3"/>
          <w:sz w:val="16"/>
        </w:rPr>
        <w:t> </w:t>
      </w:r>
      <w:r>
        <w:rPr>
          <w:sz w:val="16"/>
        </w:rPr>
        <w:t>of</w:t>
      </w:r>
      <w:r>
        <w:rPr>
          <w:spacing w:val="-2"/>
          <w:sz w:val="16"/>
        </w:rPr>
        <w:t> </w:t>
      </w:r>
      <w:r>
        <w:rPr>
          <w:sz w:val="16"/>
        </w:rPr>
        <w:t>organic</w:t>
      </w:r>
      <w:r>
        <w:rPr>
          <w:spacing w:val="-3"/>
          <w:sz w:val="16"/>
        </w:rPr>
        <w:t> </w:t>
      </w:r>
      <w:r>
        <w:rPr>
          <w:sz w:val="16"/>
        </w:rPr>
        <w:t>matter</w:t>
      </w:r>
      <w:r>
        <w:rPr>
          <w:spacing w:val="-2"/>
          <w:sz w:val="16"/>
        </w:rPr>
        <w:t> </w:t>
      </w:r>
      <w:r>
        <w:rPr>
          <w:sz w:val="16"/>
        </w:rPr>
        <w:t>and</w:t>
      </w:r>
      <w:r>
        <w:rPr>
          <w:spacing w:val="-5"/>
          <w:sz w:val="16"/>
        </w:rPr>
        <w:t> </w:t>
      </w:r>
      <w:r>
        <w:rPr>
          <w:sz w:val="16"/>
        </w:rPr>
        <w:t>plant</w:t>
      </w:r>
      <w:r>
        <w:rPr>
          <w:spacing w:val="-3"/>
          <w:sz w:val="16"/>
        </w:rPr>
        <w:t> </w:t>
      </w:r>
      <w:r>
        <w:rPr>
          <w:sz w:val="16"/>
        </w:rPr>
        <w:t>nutrients</w:t>
      </w:r>
      <w:r>
        <w:rPr>
          <w:spacing w:val="-1"/>
          <w:sz w:val="16"/>
        </w:rPr>
        <w:t> </w:t>
      </w:r>
      <w:r>
        <w:rPr>
          <w:sz w:val="16"/>
        </w:rPr>
        <w:t>in</w:t>
      </w:r>
      <w:r>
        <w:rPr>
          <w:spacing w:val="-3"/>
          <w:sz w:val="16"/>
        </w:rPr>
        <w:t> </w:t>
      </w:r>
      <w:r>
        <w:rPr>
          <w:sz w:val="16"/>
        </w:rPr>
        <w:t>a</w:t>
      </w:r>
      <w:r>
        <w:rPr>
          <w:spacing w:val="-2"/>
          <w:sz w:val="16"/>
        </w:rPr>
        <w:t> </w:t>
      </w:r>
      <w:r>
        <w:rPr>
          <w:sz w:val="16"/>
        </w:rPr>
        <w:t>plantation</w:t>
      </w:r>
      <w:r>
        <w:rPr>
          <w:spacing w:val="-3"/>
          <w:sz w:val="16"/>
        </w:rPr>
        <w:t> </w:t>
      </w:r>
      <w:r>
        <w:rPr>
          <w:sz w:val="16"/>
        </w:rPr>
        <w:t>of</w:t>
      </w:r>
      <w:r>
        <w:rPr>
          <w:spacing w:val="-3"/>
          <w:sz w:val="16"/>
        </w:rPr>
        <w:t> </w:t>
      </w:r>
      <w:r>
        <w:rPr>
          <w:sz w:val="16"/>
        </w:rPr>
        <w:t>Scotts</w:t>
      </w:r>
      <w:r>
        <w:rPr>
          <w:spacing w:val="-1"/>
          <w:sz w:val="16"/>
        </w:rPr>
        <w:t> </w:t>
      </w:r>
      <w:r>
        <w:rPr>
          <w:sz w:val="16"/>
        </w:rPr>
        <w:t>pine</w:t>
      </w:r>
      <w:r>
        <w:rPr>
          <w:i/>
          <w:sz w:val="16"/>
        </w:rPr>
        <w:t>.</w:t>
      </w:r>
      <w:r>
        <w:rPr>
          <w:i/>
          <w:spacing w:val="-3"/>
          <w:sz w:val="16"/>
        </w:rPr>
        <w:t> </w:t>
      </w:r>
      <w:r>
        <w:rPr>
          <w:i/>
          <w:sz w:val="16"/>
        </w:rPr>
        <w:t>Forest</w:t>
      </w:r>
      <w:r>
        <w:rPr>
          <w:i/>
          <w:spacing w:val="-2"/>
          <w:sz w:val="16"/>
        </w:rPr>
        <w:t> </w:t>
      </w:r>
      <w:r>
        <w:rPr>
          <w:i/>
          <w:sz w:val="16"/>
        </w:rPr>
        <w:t>Science</w:t>
      </w:r>
    </w:p>
    <w:p>
      <w:pPr>
        <w:spacing w:line="183" w:lineRule="exact" w:before="0"/>
        <w:ind w:left="579" w:right="0" w:firstLine="0"/>
        <w:jc w:val="left"/>
        <w:rPr>
          <w:sz w:val="16"/>
        </w:rPr>
      </w:pPr>
      <w:r>
        <w:rPr>
          <w:b/>
          <w:sz w:val="16"/>
        </w:rPr>
        <w:t>5</w:t>
      </w:r>
      <w:r>
        <w:rPr>
          <w:sz w:val="16"/>
        </w:rPr>
        <w:t>: 344-355.</w:t>
      </w:r>
    </w:p>
    <w:p>
      <w:pPr>
        <w:pStyle w:val="ListParagraph"/>
        <w:numPr>
          <w:ilvl w:val="0"/>
          <w:numId w:val="94"/>
        </w:numPr>
        <w:tabs>
          <w:tab w:pos="580" w:val="left" w:leader="none"/>
        </w:tabs>
        <w:spacing w:line="240" w:lineRule="auto" w:before="60" w:after="0"/>
        <w:ind w:left="579" w:right="572" w:hanging="360"/>
        <w:jc w:val="left"/>
        <w:rPr>
          <w:sz w:val="16"/>
        </w:rPr>
      </w:pPr>
      <w:r>
        <w:rPr>
          <w:sz w:val="16"/>
        </w:rPr>
        <w:t>Ovington, J. (1963) Plant biomass and productivity of prairie, savanna, oakwood, and maize field ecosystems in central Minnesota</w:t>
      </w:r>
      <w:r>
        <w:rPr>
          <w:i/>
          <w:sz w:val="16"/>
        </w:rPr>
        <w:t>. Ecology </w:t>
      </w:r>
      <w:r>
        <w:rPr>
          <w:b/>
          <w:sz w:val="16"/>
        </w:rPr>
        <w:t>44</w:t>
      </w:r>
      <w:r>
        <w:rPr>
          <w:sz w:val="16"/>
        </w:rPr>
        <w:t>(1):</w:t>
      </w:r>
      <w:r>
        <w:rPr>
          <w:spacing w:val="-3"/>
          <w:sz w:val="16"/>
        </w:rPr>
        <w:t> </w:t>
      </w:r>
      <w:r>
        <w:rPr>
          <w:sz w:val="16"/>
        </w:rPr>
        <w:t>52-63.</w:t>
      </w:r>
    </w:p>
    <w:p>
      <w:pPr>
        <w:pStyle w:val="ListParagraph"/>
        <w:numPr>
          <w:ilvl w:val="0"/>
          <w:numId w:val="94"/>
        </w:numPr>
        <w:tabs>
          <w:tab w:pos="580" w:val="left" w:leader="none"/>
        </w:tabs>
        <w:spacing w:line="240" w:lineRule="auto" w:before="60" w:after="0"/>
        <w:ind w:left="579" w:right="305" w:hanging="360"/>
        <w:jc w:val="both"/>
        <w:rPr>
          <w:sz w:val="16"/>
        </w:rPr>
      </w:pPr>
      <w:r>
        <w:rPr>
          <w:sz w:val="16"/>
        </w:rPr>
        <w:t>Ovington, J. and J. Olson (1970) Biomass and chemical content of El Verde lower montane rain forest plants. In: </w:t>
      </w:r>
      <w:r>
        <w:rPr>
          <w:i/>
          <w:sz w:val="16"/>
        </w:rPr>
        <w:t>A tropical rain forest. A study of irradiation and ecology at El Verde, Puerto Rico (Division of Technical Information TID 24270) </w:t>
      </w:r>
      <w:r>
        <w:rPr>
          <w:sz w:val="16"/>
        </w:rPr>
        <w:t>(Ed.^Eds. H. Odum and R. Pigeon). US Atomic Energy Commission, Washington DC. p.</w:t>
      </w:r>
      <w:r>
        <w:rPr>
          <w:spacing w:val="-6"/>
          <w:sz w:val="16"/>
        </w:rPr>
        <w:t> </w:t>
      </w:r>
      <w:r>
        <w:rPr>
          <w:sz w:val="16"/>
        </w:rPr>
        <w:t>53-77.</w:t>
      </w:r>
    </w:p>
    <w:p>
      <w:pPr>
        <w:pStyle w:val="ListParagraph"/>
        <w:numPr>
          <w:ilvl w:val="0"/>
          <w:numId w:val="94"/>
        </w:numPr>
        <w:tabs>
          <w:tab w:pos="580" w:val="left" w:leader="none"/>
        </w:tabs>
        <w:spacing w:line="240" w:lineRule="auto" w:before="60" w:after="0"/>
        <w:ind w:left="579" w:right="493" w:hanging="360"/>
        <w:jc w:val="left"/>
        <w:rPr>
          <w:sz w:val="16"/>
        </w:rPr>
      </w:pPr>
      <w:r>
        <w:rPr>
          <w:sz w:val="16"/>
        </w:rPr>
        <w:t>Pearson, J., T. Fahey, and D. Knight (1984) Biomass and leaf area in contrasting lodgepole pine forests</w:t>
      </w:r>
      <w:r>
        <w:rPr>
          <w:i/>
          <w:sz w:val="16"/>
        </w:rPr>
        <w:t>. Canadian Journal of Forest Research </w:t>
      </w:r>
      <w:r>
        <w:rPr>
          <w:b/>
          <w:sz w:val="16"/>
        </w:rPr>
        <w:t>14</w:t>
      </w:r>
      <w:r>
        <w:rPr>
          <w:sz w:val="16"/>
        </w:rPr>
        <w:t>:</w:t>
      </w:r>
      <w:r>
        <w:rPr>
          <w:spacing w:val="-3"/>
          <w:sz w:val="16"/>
        </w:rPr>
        <w:t> </w:t>
      </w:r>
      <w:r>
        <w:rPr>
          <w:sz w:val="16"/>
        </w:rPr>
        <w:t>259-265.</w:t>
      </w:r>
    </w:p>
    <w:p>
      <w:pPr>
        <w:pStyle w:val="ListParagraph"/>
        <w:numPr>
          <w:ilvl w:val="0"/>
          <w:numId w:val="94"/>
        </w:numPr>
        <w:tabs>
          <w:tab w:pos="580" w:val="left" w:leader="none"/>
        </w:tabs>
        <w:spacing w:line="240" w:lineRule="auto" w:before="59" w:after="0"/>
        <w:ind w:left="579" w:right="787" w:hanging="360"/>
        <w:jc w:val="left"/>
        <w:rPr>
          <w:sz w:val="16"/>
        </w:rPr>
      </w:pPr>
      <w:r>
        <w:rPr>
          <w:sz w:val="16"/>
        </w:rPr>
        <w:t>Prasad, R., A. Sah, A. Bhandari, and O. Choubey (1984) Dry matter production by </w:t>
      </w:r>
      <w:r>
        <w:rPr>
          <w:i/>
          <w:sz w:val="16"/>
        </w:rPr>
        <w:t>Eucalyptus camaldulensis </w:t>
      </w:r>
      <w:r>
        <w:rPr>
          <w:sz w:val="16"/>
        </w:rPr>
        <w:t>Dehn plantationin Jabalpur</w:t>
      </w:r>
      <w:r>
        <w:rPr>
          <w:i/>
          <w:sz w:val="16"/>
        </w:rPr>
        <w:t>. Indian Forester </w:t>
      </w:r>
      <w:r>
        <w:rPr>
          <w:b/>
          <w:sz w:val="16"/>
        </w:rPr>
        <w:t>110</w:t>
      </w:r>
      <w:r>
        <w:rPr>
          <w:sz w:val="16"/>
        </w:rPr>
        <w:t>:</w:t>
      </w:r>
      <w:r>
        <w:rPr>
          <w:spacing w:val="-4"/>
          <w:sz w:val="16"/>
        </w:rPr>
        <w:t> </w:t>
      </w:r>
      <w:r>
        <w:rPr>
          <w:sz w:val="16"/>
        </w:rPr>
        <w:t>868-878.</w:t>
      </w:r>
    </w:p>
    <w:p>
      <w:pPr>
        <w:pStyle w:val="ListParagraph"/>
        <w:numPr>
          <w:ilvl w:val="0"/>
          <w:numId w:val="94"/>
        </w:numPr>
        <w:tabs>
          <w:tab w:pos="580" w:val="left" w:leader="none"/>
        </w:tabs>
        <w:spacing w:line="240" w:lineRule="auto" w:before="59" w:after="0"/>
        <w:ind w:left="579" w:right="325" w:hanging="360"/>
        <w:jc w:val="left"/>
        <w:rPr>
          <w:sz w:val="16"/>
        </w:rPr>
      </w:pPr>
      <w:r>
        <w:rPr>
          <w:sz w:val="16"/>
        </w:rPr>
        <w:t>Rawat, Y. and J. Singh (1988) Structure and function of oak forests in Central Himalaya. </w:t>
      </w:r>
      <w:r>
        <w:rPr>
          <w:spacing w:val="-3"/>
          <w:sz w:val="16"/>
        </w:rPr>
        <w:t>I. </w:t>
      </w:r>
      <w:r>
        <w:rPr>
          <w:sz w:val="16"/>
        </w:rPr>
        <w:t>Dry matter dynamics</w:t>
      </w:r>
      <w:r>
        <w:rPr>
          <w:i/>
          <w:sz w:val="16"/>
        </w:rPr>
        <w:t>. Annals of Botany </w:t>
      </w:r>
      <w:r>
        <w:rPr>
          <w:b/>
          <w:sz w:val="16"/>
        </w:rPr>
        <w:t>62</w:t>
      </w:r>
      <w:r>
        <w:rPr>
          <w:sz w:val="16"/>
        </w:rPr>
        <w:t>: 397-411.</w:t>
      </w:r>
    </w:p>
    <w:p>
      <w:pPr>
        <w:pStyle w:val="ListParagraph"/>
        <w:numPr>
          <w:ilvl w:val="0"/>
          <w:numId w:val="94"/>
        </w:numPr>
        <w:tabs>
          <w:tab w:pos="579" w:val="left" w:leader="none"/>
        </w:tabs>
        <w:spacing w:line="240" w:lineRule="auto" w:before="59" w:after="0"/>
        <w:ind w:left="579" w:right="424" w:hanging="360"/>
        <w:jc w:val="left"/>
        <w:rPr>
          <w:sz w:val="16"/>
        </w:rPr>
      </w:pPr>
      <w:r>
        <w:rPr>
          <w:sz w:val="16"/>
        </w:rPr>
        <w:t>Ritson, P. and S. Sochacki (2003) Measurement and prediction of biomass and carbon content of </w:t>
      </w:r>
      <w:r>
        <w:rPr>
          <w:i/>
          <w:sz w:val="16"/>
        </w:rPr>
        <w:t>Pinus pinaster </w:t>
      </w:r>
      <w:r>
        <w:rPr>
          <w:sz w:val="16"/>
        </w:rPr>
        <w:t>trees in farm forestry plantations, south-western Australia</w:t>
      </w:r>
      <w:r>
        <w:rPr>
          <w:i/>
          <w:sz w:val="16"/>
        </w:rPr>
        <w:t>. Forest Ecology and Management </w:t>
      </w:r>
      <w:r>
        <w:rPr>
          <w:b/>
          <w:sz w:val="16"/>
        </w:rPr>
        <w:t>175</w:t>
      </w:r>
      <w:r>
        <w:rPr>
          <w:sz w:val="16"/>
        </w:rPr>
        <w:t>:</w:t>
      </w:r>
      <w:r>
        <w:rPr>
          <w:spacing w:val="-10"/>
          <w:sz w:val="16"/>
        </w:rPr>
        <w:t> </w:t>
      </w:r>
      <w:r>
        <w:rPr>
          <w:sz w:val="16"/>
        </w:rPr>
        <w:t>103-117.</w:t>
      </w:r>
    </w:p>
    <w:p>
      <w:pPr>
        <w:pStyle w:val="ListParagraph"/>
        <w:numPr>
          <w:ilvl w:val="0"/>
          <w:numId w:val="94"/>
        </w:numPr>
        <w:tabs>
          <w:tab w:pos="580" w:val="left" w:leader="none"/>
        </w:tabs>
        <w:spacing w:line="240" w:lineRule="auto" w:before="62" w:after="0"/>
        <w:ind w:left="579" w:right="955" w:hanging="360"/>
        <w:jc w:val="left"/>
        <w:rPr>
          <w:sz w:val="16"/>
        </w:rPr>
      </w:pPr>
      <w:r>
        <w:rPr>
          <w:sz w:val="16"/>
        </w:rPr>
        <w:t>Ruark, G. and J. Bockheim (1988) Biomass, net primary production, and nutrient distribution for an age sequence of </w:t>
      </w:r>
      <w:r>
        <w:rPr>
          <w:i/>
          <w:sz w:val="16"/>
        </w:rPr>
        <w:t>Populus tremuloides. Canadian Journal of Forest Research </w:t>
      </w:r>
      <w:r>
        <w:rPr>
          <w:b/>
          <w:sz w:val="16"/>
        </w:rPr>
        <w:t>18</w:t>
      </w:r>
      <w:r>
        <w:rPr>
          <w:sz w:val="16"/>
        </w:rPr>
        <w:t>:</w:t>
      </w:r>
      <w:r>
        <w:rPr>
          <w:spacing w:val="-7"/>
          <w:sz w:val="16"/>
        </w:rPr>
        <w:t> </w:t>
      </w:r>
      <w:r>
        <w:rPr>
          <w:sz w:val="16"/>
        </w:rPr>
        <w:t>435-443.</w:t>
      </w:r>
    </w:p>
    <w:p>
      <w:pPr>
        <w:pStyle w:val="ListParagraph"/>
        <w:numPr>
          <w:ilvl w:val="0"/>
          <w:numId w:val="94"/>
        </w:numPr>
        <w:tabs>
          <w:tab w:pos="580" w:val="left" w:leader="none"/>
        </w:tabs>
        <w:spacing w:line="240" w:lineRule="auto" w:before="59" w:after="0"/>
        <w:ind w:left="579" w:right="333" w:hanging="360"/>
        <w:jc w:val="left"/>
        <w:rPr>
          <w:sz w:val="16"/>
        </w:rPr>
      </w:pPr>
      <w:r>
        <w:rPr>
          <w:sz w:val="16"/>
        </w:rPr>
        <w:t>Shanmughavel,</w:t>
      </w:r>
      <w:r>
        <w:rPr>
          <w:spacing w:val="-3"/>
          <w:sz w:val="16"/>
        </w:rPr>
        <w:t> </w:t>
      </w:r>
      <w:r>
        <w:rPr>
          <w:sz w:val="16"/>
        </w:rPr>
        <w:t>P.,</w:t>
      </w:r>
      <w:r>
        <w:rPr>
          <w:spacing w:val="-2"/>
          <w:sz w:val="16"/>
        </w:rPr>
        <w:t> </w:t>
      </w:r>
      <w:r>
        <w:rPr>
          <w:sz w:val="16"/>
        </w:rPr>
        <w:t>Z.</w:t>
      </w:r>
      <w:r>
        <w:rPr>
          <w:spacing w:val="-2"/>
          <w:sz w:val="16"/>
        </w:rPr>
        <w:t> </w:t>
      </w:r>
      <w:r>
        <w:rPr>
          <w:sz w:val="16"/>
        </w:rPr>
        <w:t>Zheng,</w:t>
      </w:r>
      <w:r>
        <w:rPr>
          <w:spacing w:val="-4"/>
          <w:sz w:val="16"/>
        </w:rPr>
        <w:t> </w:t>
      </w:r>
      <w:r>
        <w:rPr>
          <w:sz w:val="16"/>
        </w:rPr>
        <w:t>S.</w:t>
      </w:r>
      <w:r>
        <w:rPr>
          <w:spacing w:val="-2"/>
          <w:sz w:val="16"/>
        </w:rPr>
        <w:t> </w:t>
      </w:r>
      <w:r>
        <w:rPr>
          <w:sz w:val="16"/>
        </w:rPr>
        <w:t>Liqing,</w:t>
      </w:r>
      <w:r>
        <w:rPr>
          <w:spacing w:val="-2"/>
          <w:sz w:val="16"/>
        </w:rPr>
        <w:t> </w:t>
      </w:r>
      <w:r>
        <w:rPr>
          <w:sz w:val="16"/>
        </w:rPr>
        <w:t>and</w:t>
      </w:r>
      <w:r>
        <w:rPr>
          <w:spacing w:val="-4"/>
          <w:sz w:val="16"/>
        </w:rPr>
        <w:t> </w:t>
      </w:r>
      <w:r>
        <w:rPr>
          <w:sz w:val="16"/>
        </w:rPr>
        <w:t>C.</w:t>
      </w:r>
      <w:r>
        <w:rPr>
          <w:spacing w:val="-4"/>
          <w:sz w:val="16"/>
        </w:rPr>
        <w:t> </w:t>
      </w:r>
      <w:r>
        <w:rPr>
          <w:sz w:val="16"/>
        </w:rPr>
        <w:t>Min</w:t>
      </w:r>
      <w:r>
        <w:rPr>
          <w:spacing w:val="-4"/>
          <w:sz w:val="16"/>
        </w:rPr>
        <w:t> </w:t>
      </w:r>
      <w:r>
        <w:rPr>
          <w:sz w:val="16"/>
        </w:rPr>
        <w:t>(2001)</w:t>
      </w:r>
      <w:r>
        <w:rPr>
          <w:spacing w:val="-3"/>
          <w:sz w:val="16"/>
        </w:rPr>
        <w:t> </w:t>
      </w:r>
      <w:r>
        <w:rPr>
          <w:sz w:val="16"/>
        </w:rPr>
        <w:t>Floristic</w:t>
      </w:r>
      <w:r>
        <w:rPr>
          <w:spacing w:val="-2"/>
          <w:sz w:val="16"/>
        </w:rPr>
        <w:t> </w:t>
      </w:r>
      <w:r>
        <w:rPr>
          <w:sz w:val="16"/>
        </w:rPr>
        <w:t>structure</w:t>
      </w:r>
      <w:r>
        <w:rPr>
          <w:spacing w:val="-3"/>
          <w:sz w:val="16"/>
        </w:rPr>
        <w:t> </w:t>
      </w:r>
      <w:r>
        <w:rPr>
          <w:sz w:val="16"/>
        </w:rPr>
        <w:t>and</w:t>
      </w:r>
      <w:r>
        <w:rPr>
          <w:spacing w:val="-4"/>
          <w:sz w:val="16"/>
        </w:rPr>
        <w:t> </w:t>
      </w:r>
      <w:r>
        <w:rPr>
          <w:sz w:val="16"/>
        </w:rPr>
        <w:t>biomass</w:t>
      </w:r>
      <w:r>
        <w:rPr>
          <w:spacing w:val="-5"/>
          <w:sz w:val="16"/>
        </w:rPr>
        <w:t> </w:t>
      </w:r>
      <w:r>
        <w:rPr>
          <w:sz w:val="16"/>
        </w:rPr>
        <w:t>distribution</w:t>
      </w:r>
      <w:r>
        <w:rPr>
          <w:spacing w:val="-1"/>
          <w:sz w:val="16"/>
        </w:rPr>
        <w:t> </w:t>
      </w:r>
      <w:r>
        <w:rPr>
          <w:sz w:val="16"/>
        </w:rPr>
        <w:t>of</w:t>
      </w:r>
      <w:r>
        <w:rPr>
          <w:spacing w:val="-6"/>
          <w:sz w:val="16"/>
        </w:rPr>
        <w:t> </w:t>
      </w:r>
      <w:r>
        <w:rPr>
          <w:sz w:val="16"/>
        </w:rPr>
        <w:t>a</w:t>
      </w:r>
      <w:r>
        <w:rPr>
          <w:spacing w:val="-2"/>
          <w:sz w:val="16"/>
        </w:rPr>
        <w:t> </w:t>
      </w:r>
      <w:r>
        <w:rPr>
          <w:sz w:val="16"/>
        </w:rPr>
        <w:t>tropical</w:t>
      </w:r>
      <w:r>
        <w:rPr>
          <w:spacing w:val="-4"/>
          <w:sz w:val="16"/>
        </w:rPr>
        <w:t> </w:t>
      </w:r>
      <w:r>
        <w:rPr>
          <w:sz w:val="16"/>
        </w:rPr>
        <w:t>seasonal</w:t>
      </w:r>
      <w:r>
        <w:rPr>
          <w:spacing w:val="-4"/>
          <w:sz w:val="16"/>
        </w:rPr>
        <w:t> </w:t>
      </w:r>
      <w:r>
        <w:rPr>
          <w:sz w:val="16"/>
        </w:rPr>
        <w:t>rain</w:t>
      </w:r>
      <w:r>
        <w:rPr>
          <w:spacing w:val="-1"/>
          <w:sz w:val="16"/>
        </w:rPr>
        <w:t> </w:t>
      </w:r>
      <w:r>
        <w:rPr>
          <w:sz w:val="16"/>
        </w:rPr>
        <w:t>forest in Xishuangbanna, southwest China</w:t>
      </w:r>
      <w:r>
        <w:rPr>
          <w:i/>
          <w:sz w:val="16"/>
        </w:rPr>
        <w:t>. Biomass and Bioenergy </w:t>
      </w:r>
      <w:r>
        <w:rPr>
          <w:b/>
          <w:sz w:val="16"/>
        </w:rPr>
        <w:t>21</w:t>
      </w:r>
      <w:r>
        <w:rPr>
          <w:sz w:val="16"/>
        </w:rPr>
        <w:t>:</w:t>
      </w:r>
      <w:r>
        <w:rPr>
          <w:spacing w:val="-8"/>
          <w:sz w:val="16"/>
        </w:rPr>
        <w:t> </w:t>
      </w:r>
      <w:r>
        <w:rPr>
          <w:sz w:val="16"/>
        </w:rPr>
        <w:t>165-175.</w:t>
      </w:r>
    </w:p>
    <w:p>
      <w:pPr>
        <w:pStyle w:val="ListParagraph"/>
        <w:numPr>
          <w:ilvl w:val="0"/>
          <w:numId w:val="94"/>
        </w:numPr>
        <w:tabs>
          <w:tab w:pos="579" w:val="left" w:leader="none"/>
        </w:tabs>
        <w:spacing w:line="240" w:lineRule="auto" w:before="60" w:after="0"/>
        <w:ind w:left="579" w:right="697" w:hanging="360"/>
        <w:jc w:val="left"/>
        <w:rPr>
          <w:sz w:val="16"/>
        </w:rPr>
      </w:pPr>
      <w:r>
        <w:rPr>
          <w:sz w:val="16"/>
        </w:rPr>
        <w:t>Simonovic, V. (1980) Root productivity studies in deciduous forest ecosystem. In: </w:t>
      </w:r>
      <w:r>
        <w:rPr>
          <w:i/>
          <w:sz w:val="16"/>
        </w:rPr>
        <w:t>Environment and root behaviour </w:t>
      </w:r>
      <w:r>
        <w:rPr>
          <w:sz w:val="16"/>
        </w:rPr>
        <w:t>(Ed.^Eds. N. David). Geobios International, Jodhour, India. p.</w:t>
      </w:r>
      <w:r>
        <w:rPr>
          <w:spacing w:val="-2"/>
          <w:sz w:val="16"/>
        </w:rPr>
        <w:t> </w:t>
      </w:r>
      <w:r>
        <w:rPr>
          <w:sz w:val="16"/>
        </w:rPr>
        <w:t>213-230.</w:t>
      </w:r>
    </w:p>
    <w:p>
      <w:pPr>
        <w:pStyle w:val="ListParagraph"/>
        <w:numPr>
          <w:ilvl w:val="0"/>
          <w:numId w:val="94"/>
        </w:numPr>
        <w:tabs>
          <w:tab w:pos="579" w:val="left" w:leader="none"/>
        </w:tabs>
        <w:spacing w:line="240" w:lineRule="auto" w:before="59" w:after="0"/>
        <w:ind w:left="579" w:right="341" w:hanging="360"/>
        <w:jc w:val="left"/>
        <w:rPr>
          <w:sz w:val="16"/>
        </w:rPr>
      </w:pPr>
      <w:r>
        <w:rPr>
          <w:sz w:val="16"/>
        </w:rPr>
        <w:t>Singh, K. and R. Misra (1979) </w:t>
      </w:r>
      <w:r>
        <w:rPr>
          <w:i/>
          <w:sz w:val="16"/>
        </w:rPr>
        <w:t>Structure and Functioning of Natural, Modified and Silvicultural Ecosystems in Eastern Uttar Pradesh</w:t>
      </w:r>
      <w:r>
        <w:rPr>
          <w:sz w:val="16"/>
        </w:rPr>
        <w:t>. Final Technical Report (1975-1978) MAB research project. Banras Hindu University, Varanasi. 160</w:t>
      </w:r>
      <w:r>
        <w:rPr>
          <w:spacing w:val="-17"/>
          <w:sz w:val="16"/>
        </w:rPr>
        <w:t> </w:t>
      </w:r>
      <w:r>
        <w:rPr>
          <w:sz w:val="16"/>
        </w:rPr>
        <w:t>p.</w:t>
      </w:r>
    </w:p>
    <w:p>
      <w:pPr>
        <w:pStyle w:val="ListParagraph"/>
        <w:numPr>
          <w:ilvl w:val="0"/>
          <w:numId w:val="94"/>
        </w:numPr>
        <w:tabs>
          <w:tab w:pos="580" w:val="left" w:leader="none"/>
        </w:tabs>
        <w:spacing w:line="240" w:lineRule="auto" w:before="59" w:after="0"/>
        <w:ind w:left="579" w:right="285" w:hanging="360"/>
        <w:jc w:val="left"/>
        <w:rPr>
          <w:sz w:val="16"/>
        </w:rPr>
      </w:pPr>
      <w:r>
        <w:rPr>
          <w:sz w:val="16"/>
        </w:rPr>
        <w:t>Singh, R. and V. Sharma (1976) Biomass estimation in five different aged plantations of </w:t>
      </w:r>
      <w:r>
        <w:rPr>
          <w:i/>
          <w:sz w:val="16"/>
        </w:rPr>
        <w:t>Eucalyptus tereticornix </w:t>
      </w:r>
      <w:r>
        <w:rPr>
          <w:sz w:val="16"/>
        </w:rPr>
        <w:t>Smith in western Uttar Pradesh. In: </w:t>
      </w:r>
      <w:r>
        <w:rPr>
          <w:i/>
          <w:sz w:val="16"/>
        </w:rPr>
        <w:t>Oslo Biomass Studies </w:t>
      </w:r>
      <w:r>
        <w:rPr>
          <w:sz w:val="16"/>
        </w:rPr>
        <w:t>(Ed.^Eds. University of Maine, Orono. p.</w:t>
      </w:r>
      <w:r>
        <w:rPr>
          <w:spacing w:val="-13"/>
          <w:sz w:val="16"/>
        </w:rPr>
        <w:t> </w:t>
      </w:r>
      <w:r>
        <w:rPr>
          <w:sz w:val="16"/>
        </w:rPr>
        <w:t>143-161.</w:t>
      </w:r>
    </w:p>
    <w:p>
      <w:pPr>
        <w:pStyle w:val="ListParagraph"/>
        <w:numPr>
          <w:ilvl w:val="0"/>
          <w:numId w:val="94"/>
        </w:numPr>
        <w:tabs>
          <w:tab w:pos="580" w:val="left" w:leader="none"/>
        </w:tabs>
        <w:spacing w:line="240" w:lineRule="auto" w:before="62" w:after="0"/>
        <w:ind w:left="579" w:right="865" w:hanging="360"/>
        <w:jc w:val="left"/>
        <w:rPr>
          <w:sz w:val="16"/>
        </w:rPr>
      </w:pPr>
      <w:r>
        <w:rPr>
          <w:sz w:val="16"/>
        </w:rPr>
        <w:t>Singh, S., B. Adhikari, and D. Zobel (1994) Biomass, productivity, leaf longevity, and forest structure in the central Himalaya</w:t>
      </w:r>
      <w:r>
        <w:rPr>
          <w:i/>
          <w:sz w:val="16"/>
        </w:rPr>
        <w:t>. Ecological Monographs </w:t>
      </w:r>
      <w:r>
        <w:rPr>
          <w:b/>
          <w:sz w:val="16"/>
        </w:rPr>
        <w:t>64</w:t>
      </w:r>
      <w:r>
        <w:rPr>
          <w:sz w:val="16"/>
        </w:rPr>
        <w:t>:</w:t>
      </w:r>
      <w:r>
        <w:rPr>
          <w:spacing w:val="-8"/>
          <w:sz w:val="16"/>
        </w:rPr>
        <w:t> </w:t>
      </w:r>
      <w:r>
        <w:rPr>
          <w:sz w:val="16"/>
        </w:rPr>
        <w:t>401-421.</w:t>
      </w:r>
    </w:p>
    <w:p>
      <w:pPr>
        <w:pStyle w:val="ListParagraph"/>
        <w:numPr>
          <w:ilvl w:val="0"/>
          <w:numId w:val="94"/>
        </w:numPr>
        <w:tabs>
          <w:tab w:pos="580" w:val="left" w:leader="none"/>
        </w:tabs>
        <w:spacing w:line="240" w:lineRule="auto" w:before="59" w:after="0"/>
        <w:ind w:left="579" w:right="426" w:hanging="360"/>
        <w:jc w:val="left"/>
        <w:rPr>
          <w:sz w:val="16"/>
        </w:rPr>
      </w:pPr>
      <w:r>
        <w:rPr>
          <w:sz w:val="16"/>
        </w:rPr>
        <w:t>Suzuki, E. and H. Tagawa (1983) Biomass of a mangrove forest and a sedge marsh on Ishigaki Island, south Japan</w:t>
      </w:r>
      <w:r>
        <w:rPr>
          <w:i/>
          <w:sz w:val="16"/>
        </w:rPr>
        <w:t>. Japanese Journal of Ecology </w:t>
      </w:r>
      <w:r>
        <w:rPr>
          <w:b/>
          <w:sz w:val="16"/>
        </w:rPr>
        <w:t>33</w:t>
      </w:r>
      <w:r>
        <w:rPr>
          <w:sz w:val="16"/>
        </w:rPr>
        <w:t>:</w:t>
      </w:r>
      <w:r>
        <w:rPr>
          <w:spacing w:val="-5"/>
          <w:sz w:val="16"/>
        </w:rPr>
        <w:t> </w:t>
      </w:r>
      <w:r>
        <w:rPr>
          <w:sz w:val="16"/>
        </w:rPr>
        <w:t>231-234.</w:t>
      </w:r>
    </w:p>
    <w:p>
      <w:pPr>
        <w:pStyle w:val="ListParagraph"/>
        <w:numPr>
          <w:ilvl w:val="0"/>
          <w:numId w:val="94"/>
        </w:numPr>
        <w:tabs>
          <w:tab w:pos="580" w:val="left" w:leader="none"/>
        </w:tabs>
        <w:spacing w:line="240" w:lineRule="auto" w:before="59" w:after="0"/>
        <w:ind w:left="579" w:right="428" w:hanging="360"/>
        <w:jc w:val="left"/>
        <w:rPr>
          <w:sz w:val="16"/>
        </w:rPr>
      </w:pPr>
      <w:r>
        <w:rPr>
          <w:sz w:val="16"/>
        </w:rPr>
        <w:t>Tanner, E. (1980) Studies on the biomass and productivity in a series of montane rain forests in Jamaica</w:t>
      </w:r>
      <w:r>
        <w:rPr>
          <w:i/>
          <w:sz w:val="16"/>
        </w:rPr>
        <w:t>. Journal of Ecology </w:t>
      </w:r>
      <w:r>
        <w:rPr>
          <w:b/>
          <w:sz w:val="16"/>
        </w:rPr>
        <w:t>68</w:t>
      </w:r>
      <w:r>
        <w:rPr>
          <w:sz w:val="16"/>
        </w:rPr>
        <w:t>: 573- 588.</w:t>
      </w:r>
    </w:p>
    <w:p>
      <w:pPr>
        <w:pStyle w:val="ListParagraph"/>
        <w:numPr>
          <w:ilvl w:val="0"/>
          <w:numId w:val="94"/>
        </w:numPr>
        <w:tabs>
          <w:tab w:pos="580" w:val="left" w:leader="none"/>
        </w:tabs>
        <w:spacing w:line="240" w:lineRule="auto" w:before="59" w:after="0"/>
        <w:ind w:left="579" w:right="666" w:hanging="360"/>
        <w:jc w:val="left"/>
        <w:rPr>
          <w:sz w:val="16"/>
        </w:rPr>
      </w:pPr>
      <w:r>
        <w:rPr>
          <w:sz w:val="16"/>
        </w:rPr>
        <w:t>Titlyanova, A., G. Rusch, and E. van der Maarel (1988) Biomass structure of limestone grasslands on Öland in relation to grazing intensity</w:t>
      </w:r>
      <w:r>
        <w:rPr>
          <w:i/>
          <w:sz w:val="16"/>
        </w:rPr>
        <w:t>. Acta phytogeographica suecica </w:t>
      </w:r>
      <w:r>
        <w:rPr>
          <w:b/>
          <w:sz w:val="16"/>
        </w:rPr>
        <w:t>76</w:t>
      </w:r>
      <w:r>
        <w:rPr>
          <w:sz w:val="16"/>
        </w:rPr>
        <w:t>:</w:t>
      </w:r>
      <w:r>
        <w:rPr>
          <w:spacing w:val="-4"/>
          <w:sz w:val="16"/>
        </w:rPr>
        <w:t> </w:t>
      </w:r>
      <w:r>
        <w:rPr>
          <w:sz w:val="16"/>
        </w:rPr>
        <w:t>125-134.</w:t>
      </w:r>
    </w:p>
    <w:p>
      <w:pPr>
        <w:pStyle w:val="ListParagraph"/>
        <w:numPr>
          <w:ilvl w:val="0"/>
          <w:numId w:val="94"/>
        </w:numPr>
        <w:tabs>
          <w:tab w:pos="579" w:val="left" w:leader="none"/>
        </w:tabs>
        <w:spacing w:line="240" w:lineRule="auto" w:before="60" w:after="0"/>
        <w:ind w:left="578" w:right="0" w:hanging="359"/>
        <w:jc w:val="left"/>
        <w:rPr>
          <w:sz w:val="16"/>
        </w:rPr>
      </w:pPr>
      <w:r>
        <w:rPr>
          <w:sz w:val="16"/>
        </w:rPr>
        <w:t>Uhl,</w:t>
      </w:r>
      <w:r>
        <w:rPr>
          <w:spacing w:val="-1"/>
          <w:sz w:val="16"/>
        </w:rPr>
        <w:t> </w:t>
      </w:r>
      <w:r>
        <w:rPr>
          <w:sz w:val="16"/>
        </w:rPr>
        <w:t>C. (1987)</w:t>
      </w:r>
      <w:r>
        <w:rPr>
          <w:spacing w:val="-2"/>
          <w:sz w:val="16"/>
        </w:rPr>
        <w:t> </w:t>
      </w:r>
      <w:r>
        <w:rPr>
          <w:sz w:val="16"/>
        </w:rPr>
        <w:t>Factors</w:t>
      </w:r>
      <w:r>
        <w:rPr>
          <w:spacing w:val="-1"/>
          <w:sz w:val="16"/>
        </w:rPr>
        <w:t> </w:t>
      </w:r>
      <w:r>
        <w:rPr>
          <w:sz w:val="16"/>
        </w:rPr>
        <w:t>controlling</w:t>
      </w:r>
      <w:r>
        <w:rPr>
          <w:spacing w:val="-3"/>
          <w:sz w:val="16"/>
        </w:rPr>
        <w:t> </w:t>
      </w:r>
      <w:r>
        <w:rPr>
          <w:sz w:val="16"/>
        </w:rPr>
        <w:t>succession</w:t>
      </w:r>
      <w:r>
        <w:rPr>
          <w:spacing w:val="1"/>
          <w:sz w:val="16"/>
        </w:rPr>
        <w:t> </w:t>
      </w:r>
      <w:r>
        <w:rPr>
          <w:sz w:val="16"/>
        </w:rPr>
        <w:t>following</w:t>
      </w:r>
      <w:r>
        <w:rPr>
          <w:spacing w:val="-3"/>
          <w:sz w:val="16"/>
        </w:rPr>
        <w:t> </w:t>
      </w:r>
      <w:r>
        <w:rPr>
          <w:sz w:val="16"/>
        </w:rPr>
        <w:t>slash-and-burn</w:t>
      </w:r>
      <w:r>
        <w:rPr>
          <w:spacing w:val="-2"/>
          <w:sz w:val="16"/>
        </w:rPr>
        <w:t> </w:t>
      </w:r>
      <w:r>
        <w:rPr>
          <w:sz w:val="16"/>
        </w:rPr>
        <w:t>agriculture</w:t>
      </w:r>
      <w:r>
        <w:rPr>
          <w:spacing w:val="-3"/>
          <w:sz w:val="16"/>
        </w:rPr>
        <w:t> </w:t>
      </w:r>
      <w:r>
        <w:rPr>
          <w:sz w:val="16"/>
        </w:rPr>
        <w:t>in</w:t>
      </w:r>
      <w:r>
        <w:rPr>
          <w:spacing w:val="-2"/>
          <w:sz w:val="16"/>
        </w:rPr>
        <w:t> </w:t>
      </w:r>
      <w:r>
        <w:rPr>
          <w:sz w:val="16"/>
        </w:rPr>
        <w:t>Amazonia</w:t>
      </w:r>
      <w:r>
        <w:rPr>
          <w:i/>
          <w:sz w:val="16"/>
        </w:rPr>
        <w:t>.</w:t>
      </w:r>
      <w:r>
        <w:rPr>
          <w:i/>
          <w:spacing w:val="-2"/>
          <w:sz w:val="16"/>
        </w:rPr>
        <w:t> </w:t>
      </w:r>
      <w:r>
        <w:rPr>
          <w:i/>
          <w:sz w:val="16"/>
        </w:rPr>
        <w:t>Journal</w:t>
      </w:r>
      <w:r>
        <w:rPr>
          <w:i/>
          <w:spacing w:val="-3"/>
          <w:sz w:val="16"/>
        </w:rPr>
        <w:t> </w:t>
      </w:r>
      <w:r>
        <w:rPr>
          <w:i/>
          <w:sz w:val="16"/>
        </w:rPr>
        <w:t>of</w:t>
      </w:r>
      <w:r>
        <w:rPr>
          <w:i/>
          <w:spacing w:val="-2"/>
          <w:sz w:val="16"/>
        </w:rPr>
        <w:t> </w:t>
      </w:r>
      <w:r>
        <w:rPr>
          <w:i/>
          <w:sz w:val="16"/>
        </w:rPr>
        <w:t>Ecology</w:t>
      </w:r>
      <w:r>
        <w:rPr>
          <w:i/>
          <w:spacing w:val="-3"/>
          <w:sz w:val="16"/>
        </w:rPr>
        <w:t> </w:t>
      </w:r>
      <w:r>
        <w:rPr>
          <w:b/>
          <w:sz w:val="16"/>
        </w:rPr>
        <w:t>75</w:t>
      </w:r>
      <w:r>
        <w:rPr>
          <w:sz w:val="16"/>
        </w:rPr>
        <w:t>:</w:t>
      </w:r>
      <w:r>
        <w:rPr>
          <w:spacing w:val="-5"/>
          <w:sz w:val="16"/>
        </w:rPr>
        <w:t> </w:t>
      </w:r>
      <w:r>
        <w:rPr>
          <w:sz w:val="16"/>
        </w:rPr>
        <w:t>377-407.</w:t>
      </w:r>
    </w:p>
    <w:p>
      <w:pPr>
        <w:pStyle w:val="ListParagraph"/>
        <w:numPr>
          <w:ilvl w:val="0"/>
          <w:numId w:val="94"/>
        </w:numPr>
        <w:tabs>
          <w:tab w:pos="580" w:val="left" w:leader="none"/>
        </w:tabs>
        <w:spacing w:line="240" w:lineRule="auto" w:before="60" w:after="0"/>
        <w:ind w:left="579" w:right="425" w:hanging="360"/>
        <w:jc w:val="left"/>
        <w:rPr>
          <w:sz w:val="16"/>
        </w:rPr>
      </w:pPr>
      <w:r>
        <w:rPr>
          <w:sz w:val="16"/>
        </w:rPr>
        <w:t>van Wijk, M., M. Williams, </w:t>
      </w:r>
      <w:r>
        <w:rPr>
          <w:spacing w:val="-3"/>
          <w:sz w:val="16"/>
        </w:rPr>
        <w:t>L. </w:t>
      </w:r>
      <w:r>
        <w:rPr>
          <w:sz w:val="16"/>
        </w:rPr>
        <w:t>Gough, S. Hobbie, and G. Shaver (2003) Luxury consumption of soil nutrients: a possible competitive strategy in above-ground and below-ground biomass allocation and root morphology for slow growing arctic vegetation? </w:t>
      </w:r>
      <w:r>
        <w:rPr>
          <w:i/>
          <w:sz w:val="16"/>
        </w:rPr>
        <w:t>Journal of Ecology </w:t>
      </w:r>
      <w:r>
        <w:rPr>
          <w:b/>
          <w:sz w:val="16"/>
        </w:rPr>
        <w:t>91</w:t>
      </w:r>
      <w:r>
        <w:rPr>
          <w:sz w:val="16"/>
        </w:rPr>
        <w:t>:</w:t>
      </w:r>
      <w:r>
        <w:rPr>
          <w:spacing w:val="-6"/>
          <w:sz w:val="16"/>
        </w:rPr>
        <w:t> </w:t>
      </w:r>
      <w:r>
        <w:rPr>
          <w:sz w:val="16"/>
        </w:rPr>
        <w:t>664-676.</w:t>
      </w:r>
    </w:p>
    <w:p>
      <w:pPr>
        <w:pStyle w:val="ListParagraph"/>
        <w:numPr>
          <w:ilvl w:val="0"/>
          <w:numId w:val="94"/>
        </w:numPr>
        <w:tabs>
          <w:tab w:pos="579" w:val="left" w:leader="none"/>
        </w:tabs>
        <w:spacing w:line="240" w:lineRule="auto" w:before="61" w:after="0"/>
        <w:ind w:left="579" w:right="817" w:hanging="360"/>
        <w:jc w:val="left"/>
        <w:rPr>
          <w:sz w:val="16"/>
        </w:rPr>
      </w:pPr>
      <w:r>
        <w:rPr>
          <w:sz w:val="16"/>
        </w:rPr>
        <w:t>Werner, P.A. (1986) </w:t>
      </w:r>
      <w:r>
        <w:rPr>
          <w:i/>
          <w:sz w:val="16"/>
        </w:rPr>
        <w:t>Population dynamics and productivity of selected forest trees in Kakadu National Park</w:t>
      </w:r>
      <w:r>
        <w:rPr>
          <w:sz w:val="16"/>
        </w:rPr>
        <w:t>. Final report to the Australian National Parks and Wildlife Service. CSIRO Darwin, Tropical Ecosystems Research Centre,</w:t>
      </w:r>
      <w:r>
        <w:rPr>
          <w:spacing w:val="-16"/>
          <w:sz w:val="16"/>
        </w:rPr>
        <w:t> </w:t>
      </w:r>
      <w:r>
        <w:rPr>
          <w:sz w:val="16"/>
        </w:rPr>
        <w:t>p.</w:t>
      </w:r>
    </w:p>
    <w:p>
      <w:pPr>
        <w:pStyle w:val="ListParagraph"/>
        <w:numPr>
          <w:ilvl w:val="0"/>
          <w:numId w:val="94"/>
        </w:numPr>
        <w:tabs>
          <w:tab w:pos="580" w:val="left" w:leader="none"/>
        </w:tabs>
        <w:spacing w:line="240" w:lineRule="auto" w:before="59" w:after="0"/>
        <w:ind w:left="579" w:right="391" w:hanging="360"/>
        <w:jc w:val="left"/>
        <w:rPr>
          <w:sz w:val="16"/>
        </w:rPr>
      </w:pPr>
      <w:r>
        <w:rPr>
          <w:sz w:val="16"/>
        </w:rPr>
        <w:t>Werner, P.A. and P.G. Murphy (2001) Size-specific biomass allocation and water content of above- and below-ground components of three </w:t>
      </w:r>
      <w:r>
        <w:rPr>
          <w:i/>
          <w:sz w:val="16"/>
        </w:rPr>
        <w:t>Eucalyptus </w:t>
      </w:r>
      <w:r>
        <w:rPr>
          <w:sz w:val="16"/>
        </w:rPr>
        <w:t>species in a northern Australian savanna</w:t>
      </w:r>
      <w:r>
        <w:rPr>
          <w:i/>
          <w:sz w:val="16"/>
        </w:rPr>
        <w:t>. Australian Journal of Botany </w:t>
      </w:r>
      <w:r>
        <w:rPr>
          <w:b/>
          <w:sz w:val="16"/>
        </w:rPr>
        <w:t>49</w:t>
      </w:r>
      <w:r>
        <w:rPr>
          <w:sz w:val="16"/>
        </w:rPr>
        <w:t>(2):</w:t>
      </w:r>
      <w:r>
        <w:rPr>
          <w:spacing w:val="-14"/>
          <w:sz w:val="16"/>
        </w:rPr>
        <w:t> </w:t>
      </w:r>
      <w:r>
        <w:rPr>
          <w:sz w:val="16"/>
        </w:rPr>
        <w:t>155-167.</w:t>
      </w:r>
    </w:p>
    <w:p>
      <w:pPr>
        <w:pStyle w:val="ListParagraph"/>
        <w:numPr>
          <w:ilvl w:val="0"/>
          <w:numId w:val="94"/>
        </w:numPr>
        <w:tabs>
          <w:tab w:pos="579" w:val="left" w:leader="none"/>
        </w:tabs>
        <w:spacing w:line="240" w:lineRule="auto" w:before="59" w:after="0"/>
        <w:ind w:left="578" w:right="555" w:hanging="360"/>
        <w:jc w:val="left"/>
        <w:rPr>
          <w:sz w:val="16"/>
        </w:rPr>
      </w:pPr>
      <w:r>
        <w:rPr>
          <w:sz w:val="16"/>
        </w:rPr>
        <w:t>Westman, E. and R. Whitaker (1975) The pygmy forest region of northern California: studies on biomass and primary productivity</w:t>
      </w:r>
      <w:r>
        <w:rPr>
          <w:i/>
          <w:sz w:val="16"/>
        </w:rPr>
        <w:t>. Journal of Ecology </w:t>
      </w:r>
      <w:r>
        <w:rPr>
          <w:b/>
          <w:sz w:val="16"/>
        </w:rPr>
        <w:t>63</w:t>
      </w:r>
      <w:r>
        <w:rPr>
          <w:sz w:val="16"/>
        </w:rPr>
        <w:t>:</w:t>
      </w:r>
      <w:r>
        <w:rPr>
          <w:spacing w:val="-6"/>
          <w:sz w:val="16"/>
        </w:rPr>
        <w:t> </w:t>
      </w:r>
      <w:r>
        <w:rPr>
          <w:sz w:val="16"/>
        </w:rPr>
        <w:t>493-520.</w:t>
      </w:r>
    </w:p>
    <w:p>
      <w:pPr>
        <w:pStyle w:val="ListParagraph"/>
        <w:numPr>
          <w:ilvl w:val="0"/>
          <w:numId w:val="94"/>
        </w:numPr>
        <w:tabs>
          <w:tab w:pos="580" w:val="left" w:leader="none"/>
        </w:tabs>
        <w:spacing w:line="240" w:lineRule="auto" w:before="59" w:after="0"/>
        <w:ind w:left="578" w:right="279" w:hanging="360"/>
        <w:jc w:val="left"/>
        <w:rPr>
          <w:sz w:val="16"/>
        </w:rPr>
      </w:pPr>
      <w:r>
        <w:rPr>
          <w:sz w:val="16"/>
        </w:rPr>
        <w:t>Westman, W. and R. Rogers (1977) Biomass and structure of a subtropical eucalypt forest, North Stradbroke Island</w:t>
      </w:r>
      <w:r>
        <w:rPr>
          <w:i/>
          <w:sz w:val="16"/>
        </w:rPr>
        <w:t>. Australian Journal of Botany </w:t>
      </w:r>
      <w:r>
        <w:rPr>
          <w:b/>
          <w:sz w:val="16"/>
        </w:rPr>
        <w:t>25</w:t>
      </w:r>
      <w:r>
        <w:rPr>
          <w:sz w:val="16"/>
        </w:rPr>
        <w:t>:</w:t>
      </w:r>
      <w:r>
        <w:rPr>
          <w:spacing w:val="-7"/>
          <w:sz w:val="16"/>
        </w:rPr>
        <w:t> </w:t>
      </w:r>
      <w:r>
        <w:rPr>
          <w:sz w:val="16"/>
        </w:rPr>
        <w:t>171-191.</w:t>
      </w:r>
    </w:p>
    <w:p>
      <w:pPr>
        <w:pStyle w:val="ListParagraph"/>
        <w:numPr>
          <w:ilvl w:val="0"/>
          <w:numId w:val="94"/>
        </w:numPr>
        <w:tabs>
          <w:tab w:pos="579" w:val="left" w:leader="none"/>
        </w:tabs>
        <w:spacing w:line="240" w:lineRule="auto" w:before="62" w:after="0"/>
        <w:ind w:left="578" w:right="323" w:hanging="360"/>
        <w:jc w:val="left"/>
        <w:rPr>
          <w:sz w:val="16"/>
        </w:rPr>
      </w:pPr>
      <w:r>
        <w:rPr>
          <w:sz w:val="16"/>
        </w:rPr>
        <w:t>Whittaker, R. and G. Woodwell (1971) Measurement of net primary production in forests. In: </w:t>
      </w:r>
      <w:r>
        <w:rPr>
          <w:i/>
          <w:sz w:val="16"/>
        </w:rPr>
        <w:t>Productivity of Forest Ecosystems </w:t>
      </w:r>
      <w:r>
        <w:rPr>
          <w:sz w:val="16"/>
        </w:rPr>
        <w:t>(Eds.) Paris: UNESCO. p.</w:t>
      </w:r>
      <w:r>
        <w:rPr>
          <w:spacing w:val="-4"/>
          <w:sz w:val="16"/>
        </w:rPr>
        <w:t> </w:t>
      </w:r>
      <w:r>
        <w:rPr>
          <w:sz w:val="16"/>
        </w:rPr>
        <w:t>159-175.</w:t>
      </w:r>
    </w:p>
    <w:p>
      <w:pPr>
        <w:pStyle w:val="ListParagraph"/>
        <w:numPr>
          <w:ilvl w:val="0"/>
          <w:numId w:val="94"/>
        </w:numPr>
        <w:tabs>
          <w:tab w:pos="579" w:val="left" w:leader="none"/>
        </w:tabs>
        <w:spacing w:line="240" w:lineRule="auto" w:before="59" w:after="0"/>
        <w:ind w:left="578" w:right="618" w:hanging="360"/>
        <w:jc w:val="left"/>
        <w:rPr>
          <w:sz w:val="16"/>
        </w:rPr>
      </w:pPr>
      <w:r>
        <w:rPr>
          <w:sz w:val="16"/>
        </w:rPr>
        <w:t>Whittaker, R., F. Borman, G. Likens, and T. Siccama (1974) The Hubbard Brook ecosystem study: forest biomass and production</w:t>
      </w:r>
      <w:r>
        <w:rPr>
          <w:i/>
          <w:sz w:val="16"/>
        </w:rPr>
        <w:t>. Ecological Monographs </w:t>
      </w:r>
      <w:r>
        <w:rPr>
          <w:b/>
          <w:sz w:val="16"/>
        </w:rPr>
        <w:t>44</w:t>
      </w:r>
      <w:r>
        <w:rPr>
          <w:sz w:val="16"/>
        </w:rPr>
        <w:t>:</w:t>
      </w:r>
      <w:r>
        <w:rPr>
          <w:spacing w:val="-8"/>
          <w:sz w:val="16"/>
        </w:rPr>
        <w:t> </w:t>
      </w:r>
      <w:r>
        <w:rPr>
          <w:sz w:val="16"/>
        </w:rPr>
        <w:t>233-252.</w:t>
      </w:r>
    </w:p>
    <w:p>
      <w:pPr>
        <w:pStyle w:val="ListParagraph"/>
        <w:numPr>
          <w:ilvl w:val="0"/>
          <w:numId w:val="94"/>
        </w:numPr>
        <w:tabs>
          <w:tab w:pos="579" w:val="left" w:leader="none"/>
        </w:tabs>
        <w:spacing w:line="240" w:lineRule="auto" w:before="59" w:after="0"/>
        <w:ind w:left="578" w:right="505" w:hanging="360"/>
        <w:jc w:val="left"/>
        <w:rPr>
          <w:sz w:val="16"/>
        </w:rPr>
      </w:pPr>
      <w:r>
        <w:rPr>
          <w:sz w:val="16"/>
        </w:rPr>
        <w:t>Will, G. (1966) Root growth and dry-matter production in a high-producing stand of </w:t>
      </w:r>
      <w:r>
        <w:rPr>
          <w:i/>
          <w:sz w:val="16"/>
        </w:rPr>
        <w:t>Pinus radiata. New Zealand Forestry Research Notes </w:t>
      </w:r>
      <w:r>
        <w:rPr>
          <w:b/>
          <w:sz w:val="16"/>
        </w:rPr>
        <w:t>44</w:t>
      </w:r>
      <w:r>
        <w:rPr>
          <w:sz w:val="16"/>
        </w:rPr>
        <w:t>:</w:t>
      </w:r>
      <w:r>
        <w:rPr>
          <w:spacing w:val="-4"/>
          <w:sz w:val="16"/>
        </w:rPr>
        <w:t> </w:t>
      </w:r>
      <w:r>
        <w:rPr>
          <w:sz w:val="16"/>
        </w:rPr>
        <w:t>1-15.</w:t>
      </w:r>
    </w:p>
    <w:p>
      <w:pPr>
        <w:pStyle w:val="ListParagraph"/>
        <w:numPr>
          <w:ilvl w:val="0"/>
          <w:numId w:val="94"/>
        </w:numPr>
        <w:tabs>
          <w:tab w:pos="580" w:val="left" w:leader="none"/>
        </w:tabs>
        <w:spacing w:line="240" w:lineRule="auto" w:before="60" w:after="0"/>
        <w:ind w:left="578" w:right="276" w:hanging="360"/>
        <w:jc w:val="left"/>
        <w:rPr>
          <w:sz w:val="16"/>
        </w:rPr>
      </w:pPr>
      <w:r>
        <w:rPr>
          <w:sz w:val="16"/>
        </w:rPr>
        <w:t>Windham, </w:t>
      </w:r>
      <w:r>
        <w:rPr>
          <w:spacing w:val="-3"/>
          <w:sz w:val="16"/>
        </w:rPr>
        <w:t>L. </w:t>
      </w:r>
      <w:r>
        <w:rPr>
          <w:sz w:val="16"/>
        </w:rPr>
        <w:t>(2001) Comparison of biomass production and decomposition between </w:t>
      </w:r>
      <w:r>
        <w:rPr>
          <w:i/>
          <w:sz w:val="16"/>
        </w:rPr>
        <w:t>Phragmites australis </w:t>
      </w:r>
      <w:r>
        <w:rPr>
          <w:sz w:val="16"/>
        </w:rPr>
        <w:t>(common reed) and </w:t>
      </w:r>
      <w:r>
        <w:rPr>
          <w:i/>
          <w:sz w:val="16"/>
        </w:rPr>
        <w:t>Spartina patens </w:t>
      </w:r>
      <w:r>
        <w:rPr>
          <w:sz w:val="16"/>
        </w:rPr>
        <w:t>(salt hay grass) in brackish tidal marshes of New Jersey, USA</w:t>
      </w:r>
      <w:r>
        <w:rPr>
          <w:i/>
          <w:sz w:val="16"/>
        </w:rPr>
        <w:t>. Wetlands </w:t>
      </w:r>
      <w:r>
        <w:rPr>
          <w:b/>
          <w:sz w:val="16"/>
        </w:rPr>
        <w:t>21</w:t>
      </w:r>
      <w:r>
        <w:rPr>
          <w:sz w:val="16"/>
        </w:rPr>
        <w:t>(2):</w:t>
      </w:r>
      <w:r>
        <w:rPr>
          <w:spacing w:val="-15"/>
          <w:sz w:val="16"/>
        </w:rPr>
        <w:t> </w:t>
      </w:r>
      <w:r>
        <w:rPr>
          <w:sz w:val="16"/>
        </w:rPr>
        <w:t>179-188.</w:t>
      </w:r>
    </w:p>
    <w:p>
      <w:pPr>
        <w:pStyle w:val="ListParagraph"/>
        <w:numPr>
          <w:ilvl w:val="0"/>
          <w:numId w:val="94"/>
        </w:numPr>
        <w:tabs>
          <w:tab w:pos="579" w:val="left" w:leader="none"/>
        </w:tabs>
        <w:spacing w:line="240" w:lineRule="auto" w:before="59" w:after="0"/>
        <w:ind w:left="578" w:right="0" w:hanging="360"/>
        <w:jc w:val="left"/>
        <w:rPr>
          <w:sz w:val="16"/>
        </w:rPr>
      </w:pPr>
      <w:r>
        <w:rPr>
          <w:sz w:val="16"/>
        </w:rPr>
        <w:t>Zavitkovski, J. and R. Stevens (1972) Primary productivity of red alder ecosystems</w:t>
      </w:r>
      <w:r>
        <w:rPr>
          <w:i/>
          <w:sz w:val="16"/>
        </w:rPr>
        <w:t>. Ecology </w:t>
      </w:r>
      <w:r>
        <w:rPr>
          <w:b/>
          <w:sz w:val="16"/>
        </w:rPr>
        <w:t>53</w:t>
      </w:r>
      <w:r>
        <w:rPr>
          <w:sz w:val="16"/>
        </w:rPr>
        <w:t>:</w:t>
      </w:r>
      <w:r>
        <w:rPr>
          <w:spacing w:val="-14"/>
          <w:sz w:val="16"/>
        </w:rPr>
        <w:t> </w:t>
      </w:r>
      <w:r>
        <w:rPr>
          <w:sz w:val="16"/>
        </w:rPr>
        <w:t>235-242.</w:t>
      </w:r>
    </w:p>
    <w:p>
      <w:pPr>
        <w:spacing w:after="0" w:line="240" w:lineRule="auto"/>
        <w:jc w:val="left"/>
        <w:rPr>
          <w:sz w:val="16"/>
        </w:rPr>
        <w:sectPr>
          <w:footerReference w:type="default" r:id="rId196"/>
          <w:footerReference w:type="even" r:id="rId197"/>
          <w:pgSz w:w="11900" w:h="16840"/>
          <w:pgMar w:footer="408" w:header="230" w:top="560" w:bottom="600" w:left="1200" w:right="1140"/>
        </w:sectPr>
      </w:pPr>
    </w:p>
    <w:p>
      <w:pPr>
        <w:pStyle w:val="BodyText"/>
      </w:pPr>
    </w:p>
    <w:p>
      <w:pPr>
        <w:pStyle w:val="BodyText"/>
      </w:pPr>
    </w:p>
    <w:p>
      <w:pPr>
        <w:pStyle w:val="BodyText"/>
        <w:spacing w:before="4"/>
        <w:rPr>
          <w:sz w:val="27"/>
        </w:rPr>
      </w:pPr>
    </w:p>
    <w:tbl>
      <w:tblPr>
        <w:tblW w:w="0" w:type="auto"/>
        <w:jc w:val="left"/>
        <w:tblInd w:w="1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96"/>
        <w:gridCol w:w="1860"/>
        <w:gridCol w:w="1848"/>
      </w:tblGrid>
      <w:tr>
        <w:trPr>
          <w:trHeight w:val="1009" w:hRule="atLeast"/>
        </w:trPr>
        <w:tc>
          <w:tcPr>
            <w:tcW w:w="6804" w:type="dxa"/>
            <w:gridSpan w:val="3"/>
            <w:tcBorders>
              <w:bottom w:val="double" w:sz="1" w:space="0" w:color="000000"/>
            </w:tcBorders>
          </w:tcPr>
          <w:p>
            <w:pPr>
              <w:pStyle w:val="TableParagraph"/>
              <w:spacing w:line="207" w:lineRule="exact" w:before="59"/>
              <w:ind w:left="538" w:right="530"/>
              <w:jc w:val="center"/>
              <w:rPr>
                <w:b/>
                <w:sz w:val="18"/>
              </w:rPr>
            </w:pPr>
            <w:r>
              <w:rPr>
                <w:b/>
                <w:sz w:val="18"/>
              </w:rPr>
              <w:t>T</w:t>
            </w:r>
            <w:r>
              <w:rPr>
                <w:b/>
                <w:sz w:val="14"/>
              </w:rPr>
              <w:t>ABLE </w:t>
            </w:r>
            <w:r>
              <w:rPr>
                <w:b/>
                <w:sz w:val="18"/>
              </w:rPr>
              <w:t>3A.1.9-1</w:t>
            </w:r>
          </w:p>
          <w:p>
            <w:pPr>
              <w:pStyle w:val="TableParagraph"/>
              <w:spacing w:line="207" w:lineRule="exact"/>
              <w:ind w:left="540" w:right="530"/>
              <w:jc w:val="center"/>
              <w:rPr>
                <w:b/>
                <w:sz w:val="18"/>
              </w:rPr>
            </w:pPr>
            <w:r>
              <w:rPr>
                <w:b/>
                <w:sz w:val="18"/>
              </w:rPr>
              <w:t>B</w:t>
            </w:r>
            <w:r>
              <w:rPr>
                <w:b/>
                <w:sz w:val="14"/>
              </w:rPr>
              <w:t>ASIC WOOD DENSITIES OF STEMWOOD </w:t>
            </w:r>
            <w:r>
              <w:rPr>
                <w:b/>
                <w:sz w:val="18"/>
              </w:rPr>
              <w:t>(tonnes dry matter/m</w:t>
            </w:r>
            <w:r>
              <w:rPr>
                <w:b/>
                <w:sz w:val="18"/>
                <w:vertAlign w:val="superscript"/>
              </w:rPr>
              <w:t>3</w:t>
            </w:r>
            <w:r>
              <w:rPr>
                <w:b/>
                <w:sz w:val="18"/>
                <w:vertAlign w:val="baseline"/>
              </w:rPr>
              <w:t> fresh volume)</w:t>
            </w:r>
          </w:p>
          <w:p>
            <w:pPr>
              <w:pStyle w:val="TableParagraph"/>
              <w:spacing w:before="37"/>
              <w:ind w:left="539" w:right="530"/>
              <w:jc w:val="center"/>
              <w:rPr>
                <w:b/>
                <w:sz w:val="14"/>
              </w:rPr>
            </w:pPr>
            <w:r>
              <w:rPr>
                <w:b/>
                <w:sz w:val="14"/>
              </w:rPr>
              <w:t>FOR BOREAL AND TEMPERATE SPECIES</w:t>
            </w:r>
          </w:p>
          <w:p>
            <w:pPr>
              <w:pStyle w:val="TableParagraph"/>
              <w:spacing w:before="63"/>
              <w:ind w:left="540" w:right="530"/>
              <w:jc w:val="center"/>
              <w:rPr>
                <w:sz w:val="18"/>
              </w:rPr>
            </w:pPr>
            <w:r>
              <w:rPr>
                <w:sz w:val="18"/>
              </w:rPr>
              <w:t>(To be used for D in Equations 3.2.3., 3.2.5, 3.2.7, 3.2.8)</w:t>
            </w:r>
          </w:p>
        </w:tc>
      </w:tr>
      <w:tr>
        <w:trPr>
          <w:trHeight w:val="481" w:hRule="atLeast"/>
        </w:trPr>
        <w:tc>
          <w:tcPr>
            <w:tcW w:w="3096" w:type="dxa"/>
            <w:tcBorders>
              <w:top w:val="double" w:sz="1" w:space="0" w:color="000000"/>
            </w:tcBorders>
          </w:tcPr>
          <w:p>
            <w:pPr>
              <w:pStyle w:val="TableParagraph"/>
              <w:spacing w:before="138"/>
              <w:ind w:left="916"/>
              <w:rPr>
                <w:b/>
                <w:sz w:val="18"/>
              </w:rPr>
            </w:pPr>
            <w:r>
              <w:rPr>
                <w:b/>
                <w:sz w:val="18"/>
              </w:rPr>
              <w:t>Species or genus</w:t>
            </w:r>
          </w:p>
        </w:tc>
        <w:tc>
          <w:tcPr>
            <w:tcW w:w="1860" w:type="dxa"/>
            <w:tcBorders>
              <w:top w:val="double" w:sz="1" w:space="0" w:color="000000"/>
            </w:tcBorders>
          </w:tcPr>
          <w:p>
            <w:pPr>
              <w:pStyle w:val="TableParagraph"/>
              <w:spacing w:line="220" w:lineRule="atLeast" w:before="22"/>
              <w:ind w:left="645" w:right="171" w:hanging="447"/>
              <w:rPr>
                <w:b/>
                <w:sz w:val="12"/>
              </w:rPr>
            </w:pPr>
            <w:r>
              <w:rPr>
                <w:b/>
                <w:sz w:val="18"/>
              </w:rPr>
              <w:t>Basic wood density </w:t>
            </w:r>
            <w:r>
              <w:rPr>
                <w:b/>
                <w:position w:val="3"/>
                <w:sz w:val="18"/>
              </w:rPr>
              <w:t>m</w:t>
            </w:r>
            <w:r>
              <w:rPr>
                <w:b/>
                <w:sz w:val="12"/>
              </w:rPr>
              <w:t>0</w:t>
            </w:r>
            <w:r>
              <w:rPr>
                <w:b/>
                <w:position w:val="3"/>
                <w:sz w:val="18"/>
              </w:rPr>
              <w:t>/V</w:t>
            </w:r>
            <w:r>
              <w:rPr>
                <w:b/>
                <w:sz w:val="12"/>
              </w:rPr>
              <w:t>wet</w:t>
            </w:r>
          </w:p>
        </w:tc>
        <w:tc>
          <w:tcPr>
            <w:tcW w:w="1848" w:type="dxa"/>
            <w:tcBorders>
              <w:top w:val="double" w:sz="1" w:space="0" w:color="000000"/>
            </w:tcBorders>
          </w:tcPr>
          <w:p>
            <w:pPr>
              <w:pStyle w:val="TableParagraph"/>
              <w:spacing w:before="138"/>
              <w:ind w:left="638" w:right="629"/>
              <w:jc w:val="center"/>
              <w:rPr>
                <w:b/>
                <w:sz w:val="18"/>
              </w:rPr>
            </w:pPr>
            <w:r>
              <w:rPr>
                <w:b/>
                <w:sz w:val="18"/>
              </w:rPr>
              <w:t>Source</w:t>
            </w:r>
          </w:p>
        </w:tc>
      </w:tr>
      <w:tr>
        <w:trPr>
          <w:trHeight w:val="273" w:hRule="atLeast"/>
        </w:trPr>
        <w:tc>
          <w:tcPr>
            <w:tcW w:w="3096" w:type="dxa"/>
          </w:tcPr>
          <w:p>
            <w:pPr>
              <w:pStyle w:val="TableParagraph"/>
              <w:spacing w:before="28"/>
              <w:ind w:left="112"/>
              <w:rPr>
                <w:sz w:val="18"/>
              </w:rPr>
            </w:pPr>
            <w:r>
              <w:rPr>
                <w:sz w:val="18"/>
              </w:rPr>
              <w:t>Abies</w:t>
            </w:r>
          </w:p>
        </w:tc>
        <w:tc>
          <w:tcPr>
            <w:tcW w:w="1860" w:type="dxa"/>
          </w:tcPr>
          <w:p>
            <w:pPr>
              <w:pStyle w:val="TableParagraph"/>
              <w:spacing w:before="28"/>
              <w:ind w:left="770"/>
              <w:rPr>
                <w:sz w:val="18"/>
              </w:rPr>
            </w:pPr>
            <w:r>
              <w:rPr>
                <w:sz w:val="18"/>
              </w:rPr>
              <w:t>0.40</w:t>
            </w:r>
          </w:p>
        </w:tc>
        <w:tc>
          <w:tcPr>
            <w:tcW w:w="1848" w:type="dxa"/>
          </w:tcPr>
          <w:p>
            <w:pPr>
              <w:pStyle w:val="TableParagraph"/>
              <w:spacing w:before="28"/>
              <w:ind w:left="8"/>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Acer</w:t>
            </w:r>
          </w:p>
        </w:tc>
        <w:tc>
          <w:tcPr>
            <w:tcW w:w="1860" w:type="dxa"/>
          </w:tcPr>
          <w:p>
            <w:pPr>
              <w:pStyle w:val="TableParagraph"/>
              <w:spacing w:before="28"/>
              <w:ind w:left="770"/>
              <w:rPr>
                <w:sz w:val="18"/>
              </w:rPr>
            </w:pPr>
            <w:r>
              <w:rPr>
                <w:sz w:val="18"/>
              </w:rPr>
              <w:t>0.52</w:t>
            </w:r>
          </w:p>
        </w:tc>
        <w:tc>
          <w:tcPr>
            <w:tcW w:w="1848" w:type="dxa"/>
          </w:tcPr>
          <w:p>
            <w:pPr>
              <w:pStyle w:val="TableParagraph"/>
              <w:spacing w:before="28"/>
              <w:ind w:left="9"/>
              <w:jc w:val="center"/>
              <w:rPr>
                <w:sz w:val="18"/>
              </w:rPr>
            </w:pPr>
            <w:r>
              <w:rPr>
                <w:sz w:val="18"/>
              </w:rPr>
              <w:t>1</w:t>
            </w:r>
          </w:p>
        </w:tc>
      </w:tr>
      <w:tr>
        <w:trPr>
          <w:trHeight w:val="275" w:hRule="atLeast"/>
        </w:trPr>
        <w:tc>
          <w:tcPr>
            <w:tcW w:w="3096" w:type="dxa"/>
          </w:tcPr>
          <w:p>
            <w:pPr>
              <w:pStyle w:val="TableParagraph"/>
              <w:spacing w:before="28"/>
              <w:ind w:left="112"/>
              <w:rPr>
                <w:sz w:val="18"/>
              </w:rPr>
            </w:pPr>
            <w:r>
              <w:rPr>
                <w:sz w:val="18"/>
              </w:rPr>
              <w:t>Alnus</w:t>
            </w:r>
          </w:p>
        </w:tc>
        <w:tc>
          <w:tcPr>
            <w:tcW w:w="1860" w:type="dxa"/>
          </w:tcPr>
          <w:p>
            <w:pPr>
              <w:pStyle w:val="TableParagraph"/>
              <w:spacing w:before="28"/>
              <w:ind w:left="770"/>
              <w:rPr>
                <w:sz w:val="18"/>
              </w:rPr>
            </w:pPr>
            <w:r>
              <w:rPr>
                <w:sz w:val="18"/>
              </w:rPr>
              <w:t>0.45</w:t>
            </w:r>
          </w:p>
        </w:tc>
        <w:tc>
          <w:tcPr>
            <w:tcW w:w="1848" w:type="dxa"/>
          </w:tcPr>
          <w:p>
            <w:pPr>
              <w:pStyle w:val="TableParagraph"/>
              <w:spacing w:before="28"/>
              <w:ind w:left="8"/>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Betula</w:t>
            </w:r>
          </w:p>
        </w:tc>
        <w:tc>
          <w:tcPr>
            <w:tcW w:w="1860" w:type="dxa"/>
          </w:tcPr>
          <w:p>
            <w:pPr>
              <w:pStyle w:val="TableParagraph"/>
              <w:spacing w:before="28"/>
              <w:ind w:left="771"/>
              <w:rPr>
                <w:sz w:val="18"/>
              </w:rPr>
            </w:pPr>
            <w:r>
              <w:rPr>
                <w:sz w:val="18"/>
              </w:rPr>
              <w:t>0.51</w:t>
            </w:r>
          </w:p>
        </w:tc>
        <w:tc>
          <w:tcPr>
            <w:tcW w:w="1848" w:type="dxa"/>
          </w:tcPr>
          <w:p>
            <w:pPr>
              <w:pStyle w:val="TableParagraph"/>
              <w:spacing w:before="28"/>
              <w:ind w:left="8"/>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Carpinus betulus</w:t>
            </w:r>
          </w:p>
        </w:tc>
        <w:tc>
          <w:tcPr>
            <w:tcW w:w="1860" w:type="dxa"/>
          </w:tcPr>
          <w:p>
            <w:pPr>
              <w:pStyle w:val="TableParagraph"/>
              <w:spacing w:before="28"/>
              <w:ind w:left="770"/>
              <w:rPr>
                <w:sz w:val="18"/>
              </w:rPr>
            </w:pPr>
            <w:r>
              <w:rPr>
                <w:sz w:val="18"/>
              </w:rPr>
              <w:t>0.63</w:t>
            </w:r>
          </w:p>
        </w:tc>
        <w:tc>
          <w:tcPr>
            <w:tcW w:w="1848" w:type="dxa"/>
          </w:tcPr>
          <w:p>
            <w:pPr>
              <w:pStyle w:val="TableParagraph"/>
              <w:spacing w:before="28"/>
              <w:ind w:left="10"/>
              <w:jc w:val="center"/>
              <w:rPr>
                <w:sz w:val="18"/>
              </w:rPr>
            </w:pPr>
            <w:r>
              <w:rPr>
                <w:sz w:val="18"/>
              </w:rPr>
              <w:t>3</w:t>
            </w:r>
          </w:p>
        </w:tc>
      </w:tr>
      <w:tr>
        <w:trPr>
          <w:trHeight w:val="275" w:hRule="atLeast"/>
        </w:trPr>
        <w:tc>
          <w:tcPr>
            <w:tcW w:w="3096" w:type="dxa"/>
          </w:tcPr>
          <w:p>
            <w:pPr>
              <w:pStyle w:val="TableParagraph"/>
              <w:spacing w:before="28"/>
              <w:ind w:left="112"/>
              <w:rPr>
                <w:sz w:val="18"/>
              </w:rPr>
            </w:pPr>
            <w:r>
              <w:rPr>
                <w:sz w:val="18"/>
              </w:rPr>
              <w:t>Castanea sativa</w:t>
            </w:r>
          </w:p>
        </w:tc>
        <w:tc>
          <w:tcPr>
            <w:tcW w:w="1860" w:type="dxa"/>
          </w:tcPr>
          <w:p>
            <w:pPr>
              <w:pStyle w:val="TableParagraph"/>
              <w:spacing w:before="28"/>
              <w:ind w:left="769"/>
              <w:rPr>
                <w:sz w:val="18"/>
              </w:rPr>
            </w:pPr>
            <w:r>
              <w:rPr>
                <w:sz w:val="18"/>
              </w:rPr>
              <w:t>0.48</w:t>
            </w:r>
          </w:p>
        </w:tc>
        <w:tc>
          <w:tcPr>
            <w:tcW w:w="1848" w:type="dxa"/>
          </w:tcPr>
          <w:p>
            <w:pPr>
              <w:pStyle w:val="TableParagraph"/>
              <w:spacing w:before="28"/>
              <w:ind w:left="8"/>
              <w:jc w:val="center"/>
              <w:rPr>
                <w:sz w:val="18"/>
              </w:rPr>
            </w:pPr>
            <w:r>
              <w:rPr>
                <w:sz w:val="18"/>
              </w:rPr>
              <w:t>3</w:t>
            </w:r>
          </w:p>
        </w:tc>
      </w:tr>
      <w:tr>
        <w:trPr>
          <w:trHeight w:val="273" w:hRule="atLeast"/>
        </w:trPr>
        <w:tc>
          <w:tcPr>
            <w:tcW w:w="3096" w:type="dxa"/>
          </w:tcPr>
          <w:p>
            <w:pPr>
              <w:pStyle w:val="TableParagraph"/>
              <w:spacing w:before="28"/>
              <w:ind w:left="112"/>
              <w:rPr>
                <w:sz w:val="18"/>
              </w:rPr>
            </w:pPr>
            <w:r>
              <w:rPr>
                <w:sz w:val="18"/>
              </w:rPr>
              <w:t>Fagus sylvatica</w:t>
            </w:r>
          </w:p>
        </w:tc>
        <w:tc>
          <w:tcPr>
            <w:tcW w:w="1860" w:type="dxa"/>
          </w:tcPr>
          <w:p>
            <w:pPr>
              <w:pStyle w:val="TableParagraph"/>
              <w:spacing w:before="28"/>
              <w:ind w:left="771"/>
              <w:rPr>
                <w:sz w:val="18"/>
              </w:rPr>
            </w:pPr>
            <w:r>
              <w:rPr>
                <w:sz w:val="18"/>
              </w:rPr>
              <w:t>0.58</w:t>
            </w:r>
          </w:p>
        </w:tc>
        <w:tc>
          <w:tcPr>
            <w:tcW w:w="1848" w:type="dxa"/>
          </w:tcPr>
          <w:p>
            <w:pPr>
              <w:pStyle w:val="TableParagraph"/>
              <w:spacing w:before="28"/>
              <w:ind w:left="9"/>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Fraxinus</w:t>
            </w:r>
          </w:p>
        </w:tc>
        <w:tc>
          <w:tcPr>
            <w:tcW w:w="1860" w:type="dxa"/>
          </w:tcPr>
          <w:p>
            <w:pPr>
              <w:pStyle w:val="TableParagraph"/>
              <w:spacing w:before="28"/>
              <w:ind w:left="770"/>
              <w:rPr>
                <w:sz w:val="18"/>
              </w:rPr>
            </w:pPr>
            <w:r>
              <w:rPr>
                <w:sz w:val="18"/>
              </w:rPr>
              <w:t>0.57</w:t>
            </w:r>
          </w:p>
        </w:tc>
        <w:tc>
          <w:tcPr>
            <w:tcW w:w="1848" w:type="dxa"/>
          </w:tcPr>
          <w:p>
            <w:pPr>
              <w:pStyle w:val="TableParagraph"/>
              <w:spacing w:before="28"/>
              <w:ind w:left="9"/>
              <w:jc w:val="center"/>
              <w:rPr>
                <w:sz w:val="18"/>
              </w:rPr>
            </w:pPr>
            <w:r>
              <w:rPr>
                <w:sz w:val="18"/>
              </w:rPr>
              <w:t>1</w:t>
            </w:r>
          </w:p>
        </w:tc>
      </w:tr>
      <w:tr>
        <w:trPr>
          <w:trHeight w:val="275" w:hRule="atLeast"/>
        </w:trPr>
        <w:tc>
          <w:tcPr>
            <w:tcW w:w="3096" w:type="dxa"/>
          </w:tcPr>
          <w:p>
            <w:pPr>
              <w:pStyle w:val="TableParagraph"/>
              <w:spacing w:before="28"/>
              <w:ind w:left="112"/>
              <w:rPr>
                <w:sz w:val="18"/>
              </w:rPr>
            </w:pPr>
            <w:r>
              <w:rPr>
                <w:sz w:val="18"/>
              </w:rPr>
              <w:t>Juglans</w:t>
            </w:r>
          </w:p>
        </w:tc>
        <w:tc>
          <w:tcPr>
            <w:tcW w:w="1860" w:type="dxa"/>
          </w:tcPr>
          <w:p>
            <w:pPr>
              <w:pStyle w:val="TableParagraph"/>
              <w:spacing w:before="28"/>
              <w:ind w:left="769"/>
              <w:rPr>
                <w:sz w:val="18"/>
              </w:rPr>
            </w:pPr>
            <w:r>
              <w:rPr>
                <w:sz w:val="18"/>
              </w:rPr>
              <w:t>0.53</w:t>
            </w:r>
          </w:p>
        </w:tc>
        <w:tc>
          <w:tcPr>
            <w:tcW w:w="1848" w:type="dxa"/>
          </w:tcPr>
          <w:p>
            <w:pPr>
              <w:pStyle w:val="TableParagraph"/>
              <w:spacing w:before="28"/>
              <w:ind w:left="7"/>
              <w:jc w:val="center"/>
              <w:rPr>
                <w:sz w:val="18"/>
              </w:rPr>
            </w:pPr>
            <w:r>
              <w:rPr>
                <w:sz w:val="18"/>
              </w:rPr>
              <w:t>3</w:t>
            </w:r>
          </w:p>
        </w:tc>
      </w:tr>
      <w:tr>
        <w:trPr>
          <w:trHeight w:val="273" w:hRule="atLeast"/>
        </w:trPr>
        <w:tc>
          <w:tcPr>
            <w:tcW w:w="3096" w:type="dxa"/>
          </w:tcPr>
          <w:p>
            <w:pPr>
              <w:pStyle w:val="TableParagraph"/>
              <w:spacing w:before="28"/>
              <w:ind w:left="112"/>
              <w:rPr>
                <w:sz w:val="18"/>
              </w:rPr>
            </w:pPr>
            <w:r>
              <w:rPr>
                <w:sz w:val="18"/>
              </w:rPr>
              <w:t>Larix decidua</w:t>
            </w:r>
          </w:p>
        </w:tc>
        <w:tc>
          <w:tcPr>
            <w:tcW w:w="1860" w:type="dxa"/>
          </w:tcPr>
          <w:p>
            <w:pPr>
              <w:pStyle w:val="TableParagraph"/>
              <w:spacing w:before="28"/>
              <w:ind w:left="770"/>
              <w:rPr>
                <w:sz w:val="18"/>
              </w:rPr>
            </w:pPr>
            <w:r>
              <w:rPr>
                <w:sz w:val="18"/>
              </w:rPr>
              <w:t>0.46</w:t>
            </w:r>
          </w:p>
        </w:tc>
        <w:tc>
          <w:tcPr>
            <w:tcW w:w="1848" w:type="dxa"/>
          </w:tcPr>
          <w:p>
            <w:pPr>
              <w:pStyle w:val="TableParagraph"/>
              <w:spacing w:before="28"/>
              <w:ind w:left="9"/>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Larix kaempferi</w:t>
            </w:r>
          </w:p>
        </w:tc>
        <w:tc>
          <w:tcPr>
            <w:tcW w:w="1860" w:type="dxa"/>
          </w:tcPr>
          <w:p>
            <w:pPr>
              <w:pStyle w:val="TableParagraph"/>
              <w:spacing w:before="28"/>
              <w:ind w:left="770"/>
              <w:rPr>
                <w:sz w:val="18"/>
              </w:rPr>
            </w:pPr>
            <w:r>
              <w:rPr>
                <w:sz w:val="18"/>
              </w:rPr>
              <w:t>0.49</w:t>
            </w:r>
          </w:p>
        </w:tc>
        <w:tc>
          <w:tcPr>
            <w:tcW w:w="1848" w:type="dxa"/>
          </w:tcPr>
          <w:p>
            <w:pPr>
              <w:pStyle w:val="TableParagraph"/>
              <w:spacing w:before="28"/>
              <w:ind w:left="9"/>
              <w:jc w:val="center"/>
              <w:rPr>
                <w:sz w:val="18"/>
              </w:rPr>
            </w:pPr>
            <w:r>
              <w:rPr>
                <w:sz w:val="18"/>
              </w:rPr>
              <w:t>3</w:t>
            </w:r>
          </w:p>
        </w:tc>
      </w:tr>
      <w:tr>
        <w:trPr>
          <w:trHeight w:val="275" w:hRule="atLeast"/>
        </w:trPr>
        <w:tc>
          <w:tcPr>
            <w:tcW w:w="3096" w:type="dxa"/>
          </w:tcPr>
          <w:p>
            <w:pPr>
              <w:pStyle w:val="TableParagraph"/>
              <w:spacing w:before="28"/>
              <w:ind w:left="112"/>
              <w:rPr>
                <w:sz w:val="18"/>
              </w:rPr>
            </w:pPr>
            <w:r>
              <w:rPr>
                <w:sz w:val="18"/>
              </w:rPr>
              <w:t>Picea abies</w:t>
            </w:r>
          </w:p>
        </w:tc>
        <w:tc>
          <w:tcPr>
            <w:tcW w:w="1860" w:type="dxa"/>
          </w:tcPr>
          <w:p>
            <w:pPr>
              <w:pStyle w:val="TableParagraph"/>
              <w:spacing w:before="28"/>
              <w:ind w:left="769"/>
              <w:rPr>
                <w:sz w:val="18"/>
              </w:rPr>
            </w:pPr>
            <w:r>
              <w:rPr>
                <w:sz w:val="18"/>
              </w:rPr>
              <w:t>0.40</w:t>
            </w:r>
          </w:p>
        </w:tc>
        <w:tc>
          <w:tcPr>
            <w:tcW w:w="1848" w:type="dxa"/>
          </w:tcPr>
          <w:p>
            <w:pPr>
              <w:pStyle w:val="TableParagraph"/>
              <w:spacing w:before="28"/>
              <w:ind w:left="8"/>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Picea sitchensis</w:t>
            </w:r>
          </w:p>
        </w:tc>
        <w:tc>
          <w:tcPr>
            <w:tcW w:w="1860" w:type="dxa"/>
          </w:tcPr>
          <w:p>
            <w:pPr>
              <w:pStyle w:val="TableParagraph"/>
              <w:spacing w:before="28"/>
              <w:ind w:left="769"/>
              <w:rPr>
                <w:sz w:val="18"/>
              </w:rPr>
            </w:pPr>
            <w:r>
              <w:rPr>
                <w:sz w:val="18"/>
              </w:rPr>
              <w:t>0.40</w:t>
            </w:r>
          </w:p>
        </w:tc>
        <w:tc>
          <w:tcPr>
            <w:tcW w:w="1848" w:type="dxa"/>
          </w:tcPr>
          <w:p>
            <w:pPr>
              <w:pStyle w:val="TableParagraph"/>
              <w:spacing w:before="28"/>
              <w:ind w:left="8"/>
              <w:jc w:val="center"/>
              <w:rPr>
                <w:sz w:val="18"/>
              </w:rPr>
            </w:pPr>
            <w:r>
              <w:rPr>
                <w:sz w:val="18"/>
              </w:rPr>
              <w:t>2</w:t>
            </w:r>
          </w:p>
        </w:tc>
      </w:tr>
      <w:tr>
        <w:trPr>
          <w:trHeight w:val="273" w:hRule="atLeast"/>
        </w:trPr>
        <w:tc>
          <w:tcPr>
            <w:tcW w:w="3096" w:type="dxa"/>
          </w:tcPr>
          <w:p>
            <w:pPr>
              <w:pStyle w:val="TableParagraph"/>
              <w:spacing w:before="28"/>
              <w:ind w:left="112"/>
              <w:rPr>
                <w:sz w:val="18"/>
              </w:rPr>
            </w:pPr>
            <w:r>
              <w:rPr>
                <w:sz w:val="18"/>
              </w:rPr>
              <w:t>Pinus pinaster</w:t>
            </w:r>
          </w:p>
        </w:tc>
        <w:tc>
          <w:tcPr>
            <w:tcW w:w="1860" w:type="dxa"/>
          </w:tcPr>
          <w:p>
            <w:pPr>
              <w:pStyle w:val="TableParagraph"/>
              <w:spacing w:before="28"/>
              <w:ind w:left="769"/>
              <w:rPr>
                <w:sz w:val="18"/>
              </w:rPr>
            </w:pPr>
            <w:r>
              <w:rPr>
                <w:sz w:val="18"/>
              </w:rPr>
              <w:t>0.44</w:t>
            </w:r>
          </w:p>
        </w:tc>
        <w:tc>
          <w:tcPr>
            <w:tcW w:w="1848" w:type="dxa"/>
          </w:tcPr>
          <w:p>
            <w:pPr>
              <w:pStyle w:val="TableParagraph"/>
              <w:spacing w:before="28"/>
              <w:ind w:left="8"/>
              <w:jc w:val="center"/>
              <w:rPr>
                <w:sz w:val="18"/>
              </w:rPr>
            </w:pPr>
            <w:r>
              <w:rPr>
                <w:sz w:val="18"/>
              </w:rPr>
              <w:t>5</w:t>
            </w:r>
          </w:p>
        </w:tc>
      </w:tr>
      <w:tr>
        <w:trPr>
          <w:trHeight w:val="275" w:hRule="atLeast"/>
        </w:trPr>
        <w:tc>
          <w:tcPr>
            <w:tcW w:w="3096" w:type="dxa"/>
          </w:tcPr>
          <w:p>
            <w:pPr>
              <w:pStyle w:val="TableParagraph"/>
              <w:spacing w:before="28"/>
              <w:ind w:left="112"/>
              <w:rPr>
                <w:sz w:val="18"/>
              </w:rPr>
            </w:pPr>
            <w:r>
              <w:rPr>
                <w:sz w:val="18"/>
              </w:rPr>
              <w:t>Pinus strobus</w:t>
            </w:r>
          </w:p>
        </w:tc>
        <w:tc>
          <w:tcPr>
            <w:tcW w:w="1860" w:type="dxa"/>
          </w:tcPr>
          <w:p>
            <w:pPr>
              <w:pStyle w:val="TableParagraph"/>
              <w:spacing w:before="28"/>
              <w:ind w:left="769"/>
              <w:rPr>
                <w:sz w:val="18"/>
              </w:rPr>
            </w:pPr>
            <w:r>
              <w:rPr>
                <w:sz w:val="18"/>
              </w:rPr>
              <w:t>0.32</w:t>
            </w:r>
          </w:p>
        </w:tc>
        <w:tc>
          <w:tcPr>
            <w:tcW w:w="1848" w:type="dxa"/>
          </w:tcPr>
          <w:p>
            <w:pPr>
              <w:pStyle w:val="TableParagraph"/>
              <w:spacing w:before="28"/>
              <w:ind w:left="8"/>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Pinus sylvestris</w:t>
            </w:r>
          </w:p>
        </w:tc>
        <w:tc>
          <w:tcPr>
            <w:tcW w:w="1860" w:type="dxa"/>
          </w:tcPr>
          <w:p>
            <w:pPr>
              <w:pStyle w:val="TableParagraph"/>
              <w:spacing w:before="28"/>
              <w:ind w:left="770"/>
              <w:rPr>
                <w:sz w:val="18"/>
              </w:rPr>
            </w:pPr>
            <w:r>
              <w:rPr>
                <w:sz w:val="18"/>
              </w:rPr>
              <w:t>0.42</w:t>
            </w:r>
          </w:p>
        </w:tc>
        <w:tc>
          <w:tcPr>
            <w:tcW w:w="1848" w:type="dxa"/>
          </w:tcPr>
          <w:p>
            <w:pPr>
              <w:pStyle w:val="TableParagraph"/>
              <w:spacing w:before="28"/>
              <w:ind w:left="8"/>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Populus</w:t>
            </w:r>
          </w:p>
        </w:tc>
        <w:tc>
          <w:tcPr>
            <w:tcW w:w="1860" w:type="dxa"/>
          </w:tcPr>
          <w:p>
            <w:pPr>
              <w:pStyle w:val="TableParagraph"/>
              <w:spacing w:before="28"/>
              <w:ind w:left="769"/>
              <w:rPr>
                <w:sz w:val="18"/>
              </w:rPr>
            </w:pPr>
            <w:r>
              <w:rPr>
                <w:sz w:val="18"/>
              </w:rPr>
              <w:t>0.35</w:t>
            </w:r>
          </w:p>
        </w:tc>
        <w:tc>
          <w:tcPr>
            <w:tcW w:w="1848" w:type="dxa"/>
          </w:tcPr>
          <w:p>
            <w:pPr>
              <w:pStyle w:val="TableParagraph"/>
              <w:spacing w:before="28"/>
              <w:ind w:left="8"/>
              <w:jc w:val="center"/>
              <w:rPr>
                <w:sz w:val="18"/>
              </w:rPr>
            </w:pPr>
            <w:r>
              <w:rPr>
                <w:sz w:val="18"/>
              </w:rPr>
              <w:t>1</w:t>
            </w:r>
          </w:p>
        </w:tc>
      </w:tr>
      <w:tr>
        <w:trPr>
          <w:trHeight w:val="275" w:hRule="atLeast"/>
        </w:trPr>
        <w:tc>
          <w:tcPr>
            <w:tcW w:w="3096" w:type="dxa"/>
          </w:tcPr>
          <w:p>
            <w:pPr>
              <w:pStyle w:val="TableParagraph"/>
              <w:spacing w:before="28"/>
              <w:ind w:left="112"/>
              <w:rPr>
                <w:sz w:val="18"/>
              </w:rPr>
            </w:pPr>
            <w:r>
              <w:rPr>
                <w:sz w:val="18"/>
              </w:rPr>
              <w:t>Prunus</w:t>
            </w:r>
          </w:p>
        </w:tc>
        <w:tc>
          <w:tcPr>
            <w:tcW w:w="1860" w:type="dxa"/>
          </w:tcPr>
          <w:p>
            <w:pPr>
              <w:pStyle w:val="TableParagraph"/>
              <w:spacing w:before="28"/>
              <w:ind w:left="770"/>
              <w:rPr>
                <w:sz w:val="18"/>
              </w:rPr>
            </w:pPr>
            <w:r>
              <w:rPr>
                <w:sz w:val="18"/>
              </w:rPr>
              <w:t>0.49</w:t>
            </w:r>
          </w:p>
        </w:tc>
        <w:tc>
          <w:tcPr>
            <w:tcW w:w="1848" w:type="dxa"/>
          </w:tcPr>
          <w:p>
            <w:pPr>
              <w:pStyle w:val="TableParagraph"/>
              <w:spacing w:before="28"/>
              <w:ind w:left="8"/>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Pseudotsuga menziesii</w:t>
            </w:r>
          </w:p>
        </w:tc>
        <w:tc>
          <w:tcPr>
            <w:tcW w:w="1860" w:type="dxa"/>
          </w:tcPr>
          <w:p>
            <w:pPr>
              <w:pStyle w:val="TableParagraph"/>
              <w:spacing w:before="28"/>
              <w:ind w:left="770"/>
              <w:rPr>
                <w:sz w:val="18"/>
              </w:rPr>
            </w:pPr>
            <w:r>
              <w:rPr>
                <w:sz w:val="18"/>
              </w:rPr>
              <w:t>0.45</w:t>
            </w:r>
          </w:p>
        </w:tc>
        <w:tc>
          <w:tcPr>
            <w:tcW w:w="1848" w:type="dxa"/>
          </w:tcPr>
          <w:p>
            <w:pPr>
              <w:pStyle w:val="TableParagraph"/>
              <w:spacing w:before="28"/>
              <w:ind w:left="9"/>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Quercus</w:t>
            </w:r>
          </w:p>
        </w:tc>
        <w:tc>
          <w:tcPr>
            <w:tcW w:w="1860" w:type="dxa"/>
          </w:tcPr>
          <w:p>
            <w:pPr>
              <w:pStyle w:val="TableParagraph"/>
              <w:spacing w:before="28"/>
              <w:ind w:left="769"/>
              <w:rPr>
                <w:sz w:val="18"/>
              </w:rPr>
            </w:pPr>
            <w:r>
              <w:rPr>
                <w:sz w:val="18"/>
              </w:rPr>
              <w:t>0.58</w:t>
            </w:r>
          </w:p>
        </w:tc>
        <w:tc>
          <w:tcPr>
            <w:tcW w:w="1848" w:type="dxa"/>
          </w:tcPr>
          <w:p>
            <w:pPr>
              <w:pStyle w:val="TableParagraph"/>
              <w:spacing w:before="28"/>
              <w:ind w:left="7"/>
              <w:jc w:val="center"/>
              <w:rPr>
                <w:sz w:val="18"/>
              </w:rPr>
            </w:pPr>
            <w:r>
              <w:rPr>
                <w:sz w:val="18"/>
              </w:rPr>
              <w:t>1</w:t>
            </w:r>
          </w:p>
        </w:tc>
      </w:tr>
      <w:tr>
        <w:trPr>
          <w:trHeight w:val="275" w:hRule="atLeast"/>
        </w:trPr>
        <w:tc>
          <w:tcPr>
            <w:tcW w:w="3096" w:type="dxa"/>
          </w:tcPr>
          <w:p>
            <w:pPr>
              <w:pStyle w:val="TableParagraph"/>
              <w:spacing w:before="28"/>
              <w:ind w:left="112"/>
              <w:rPr>
                <w:sz w:val="18"/>
              </w:rPr>
            </w:pPr>
            <w:r>
              <w:rPr>
                <w:sz w:val="18"/>
              </w:rPr>
              <w:t>Salix</w:t>
            </w:r>
          </w:p>
        </w:tc>
        <w:tc>
          <w:tcPr>
            <w:tcW w:w="1860" w:type="dxa"/>
          </w:tcPr>
          <w:p>
            <w:pPr>
              <w:pStyle w:val="TableParagraph"/>
              <w:spacing w:before="28"/>
              <w:ind w:left="771"/>
              <w:rPr>
                <w:sz w:val="18"/>
              </w:rPr>
            </w:pPr>
            <w:r>
              <w:rPr>
                <w:sz w:val="18"/>
              </w:rPr>
              <w:t>0.45</w:t>
            </w:r>
          </w:p>
        </w:tc>
        <w:tc>
          <w:tcPr>
            <w:tcW w:w="1848" w:type="dxa"/>
          </w:tcPr>
          <w:p>
            <w:pPr>
              <w:pStyle w:val="TableParagraph"/>
              <w:spacing w:before="28"/>
              <w:ind w:left="9"/>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Thuja plicata</w:t>
            </w:r>
          </w:p>
        </w:tc>
        <w:tc>
          <w:tcPr>
            <w:tcW w:w="1860" w:type="dxa"/>
          </w:tcPr>
          <w:p>
            <w:pPr>
              <w:pStyle w:val="TableParagraph"/>
              <w:spacing w:before="28"/>
              <w:ind w:left="770"/>
              <w:rPr>
                <w:sz w:val="18"/>
              </w:rPr>
            </w:pPr>
            <w:r>
              <w:rPr>
                <w:sz w:val="18"/>
              </w:rPr>
              <w:t>0.31</w:t>
            </w:r>
          </w:p>
        </w:tc>
        <w:tc>
          <w:tcPr>
            <w:tcW w:w="1848" w:type="dxa"/>
          </w:tcPr>
          <w:p>
            <w:pPr>
              <w:pStyle w:val="TableParagraph"/>
              <w:spacing w:before="28"/>
              <w:ind w:left="9"/>
              <w:jc w:val="center"/>
              <w:rPr>
                <w:sz w:val="18"/>
              </w:rPr>
            </w:pPr>
            <w:r>
              <w:rPr>
                <w:sz w:val="18"/>
              </w:rPr>
              <w:t>4</w:t>
            </w:r>
          </w:p>
        </w:tc>
      </w:tr>
      <w:tr>
        <w:trPr>
          <w:trHeight w:val="273" w:hRule="atLeast"/>
        </w:trPr>
        <w:tc>
          <w:tcPr>
            <w:tcW w:w="3096" w:type="dxa"/>
          </w:tcPr>
          <w:p>
            <w:pPr>
              <w:pStyle w:val="TableParagraph"/>
              <w:spacing w:before="28"/>
              <w:ind w:left="112"/>
              <w:rPr>
                <w:sz w:val="18"/>
              </w:rPr>
            </w:pPr>
            <w:r>
              <w:rPr>
                <w:sz w:val="18"/>
              </w:rPr>
              <w:t>Tilia</w:t>
            </w:r>
          </w:p>
        </w:tc>
        <w:tc>
          <w:tcPr>
            <w:tcW w:w="1860" w:type="dxa"/>
          </w:tcPr>
          <w:p>
            <w:pPr>
              <w:pStyle w:val="TableParagraph"/>
              <w:spacing w:before="28"/>
              <w:ind w:left="771"/>
              <w:rPr>
                <w:sz w:val="18"/>
              </w:rPr>
            </w:pPr>
            <w:r>
              <w:rPr>
                <w:sz w:val="18"/>
              </w:rPr>
              <w:t>0.43</w:t>
            </w:r>
          </w:p>
        </w:tc>
        <w:tc>
          <w:tcPr>
            <w:tcW w:w="1848" w:type="dxa"/>
          </w:tcPr>
          <w:p>
            <w:pPr>
              <w:pStyle w:val="TableParagraph"/>
              <w:spacing w:before="28"/>
              <w:ind w:left="9"/>
              <w:jc w:val="center"/>
              <w:rPr>
                <w:sz w:val="18"/>
              </w:rPr>
            </w:pPr>
            <w:r>
              <w:rPr>
                <w:sz w:val="18"/>
              </w:rPr>
              <w:t>1</w:t>
            </w:r>
          </w:p>
        </w:tc>
      </w:tr>
      <w:tr>
        <w:trPr>
          <w:trHeight w:val="273" w:hRule="atLeast"/>
        </w:trPr>
        <w:tc>
          <w:tcPr>
            <w:tcW w:w="3096" w:type="dxa"/>
          </w:tcPr>
          <w:p>
            <w:pPr>
              <w:pStyle w:val="TableParagraph"/>
              <w:spacing w:before="28"/>
              <w:ind w:left="112"/>
              <w:rPr>
                <w:sz w:val="18"/>
              </w:rPr>
            </w:pPr>
            <w:r>
              <w:rPr>
                <w:sz w:val="18"/>
              </w:rPr>
              <w:t>Tsuga</w:t>
            </w:r>
          </w:p>
        </w:tc>
        <w:tc>
          <w:tcPr>
            <w:tcW w:w="1860" w:type="dxa"/>
          </w:tcPr>
          <w:p>
            <w:pPr>
              <w:pStyle w:val="TableParagraph"/>
              <w:spacing w:before="28"/>
              <w:ind w:left="770"/>
              <w:rPr>
                <w:sz w:val="18"/>
              </w:rPr>
            </w:pPr>
            <w:r>
              <w:rPr>
                <w:sz w:val="18"/>
              </w:rPr>
              <w:t>0.42</w:t>
            </w:r>
          </w:p>
        </w:tc>
        <w:tc>
          <w:tcPr>
            <w:tcW w:w="1848" w:type="dxa"/>
          </w:tcPr>
          <w:p>
            <w:pPr>
              <w:pStyle w:val="TableParagraph"/>
              <w:spacing w:before="28"/>
              <w:ind w:left="9"/>
              <w:jc w:val="center"/>
              <w:rPr>
                <w:sz w:val="18"/>
              </w:rPr>
            </w:pPr>
            <w:r>
              <w:rPr>
                <w:sz w:val="18"/>
              </w:rPr>
              <w:t>4</w:t>
            </w:r>
          </w:p>
        </w:tc>
      </w:tr>
      <w:tr>
        <w:trPr>
          <w:trHeight w:val="2723" w:hRule="atLeast"/>
        </w:trPr>
        <w:tc>
          <w:tcPr>
            <w:tcW w:w="6804" w:type="dxa"/>
            <w:gridSpan w:val="3"/>
          </w:tcPr>
          <w:p>
            <w:pPr>
              <w:pStyle w:val="TableParagraph"/>
              <w:spacing w:before="35"/>
              <w:ind w:left="112"/>
              <w:rPr>
                <w:sz w:val="16"/>
              </w:rPr>
            </w:pPr>
            <w:r>
              <w:rPr>
                <w:sz w:val="16"/>
              </w:rPr>
              <w:t>Source:</w:t>
            </w:r>
          </w:p>
          <w:p>
            <w:pPr>
              <w:pStyle w:val="TableParagraph"/>
              <w:numPr>
                <w:ilvl w:val="0"/>
                <w:numId w:val="95"/>
              </w:numPr>
              <w:tabs>
                <w:tab w:pos="276" w:val="left" w:leader="none"/>
              </w:tabs>
              <w:spacing w:line="240" w:lineRule="auto" w:before="102" w:after="0"/>
              <w:ind w:left="275" w:right="0" w:hanging="163"/>
              <w:jc w:val="left"/>
              <w:rPr>
                <w:sz w:val="16"/>
              </w:rPr>
            </w:pPr>
            <w:r>
              <w:rPr>
                <w:sz w:val="16"/>
              </w:rPr>
              <w:t>Dietz, P. 1975: Dichte und Rindengehalt von Industrieholz. Holz Roh- Werkstoff 33:</w:t>
            </w:r>
            <w:r>
              <w:rPr>
                <w:spacing w:val="-26"/>
                <w:sz w:val="16"/>
              </w:rPr>
              <w:t> </w:t>
            </w:r>
            <w:r>
              <w:rPr>
                <w:sz w:val="16"/>
              </w:rPr>
              <w:t>135-141</w:t>
            </w:r>
          </w:p>
          <w:p>
            <w:pPr>
              <w:pStyle w:val="TableParagraph"/>
              <w:numPr>
                <w:ilvl w:val="0"/>
                <w:numId w:val="95"/>
              </w:numPr>
              <w:tabs>
                <w:tab w:pos="276" w:val="left" w:leader="none"/>
              </w:tabs>
              <w:spacing w:line="240" w:lineRule="auto" w:before="99" w:after="0"/>
              <w:ind w:left="275" w:right="0" w:hanging="163"/>
              <w:jc w:val="left"/>
              <w:rPr>
                <w:sz w:val="16"/>
              </w:rPr>
            </w:pPr>
            <w:r>
              <w:rPr>
                <w:sz w:val="16"/>
              </w:rPr>
              <w:t>Knigge,</w:t>
            </w:r>
            <w:r>
              <w:rPr>
                <w:spacing w:val="-2"/>
                <w:sz w:val="16"/>
              </w:rPr>
              <w:t> </w:t>
            </w:r>
            <w:r>
              <w:rPr>
                <w:sz w:val="16"/>
              </w:rPr>
              <w:t>W.;</w:t>
            </w:r>
            <w:r>
              <w:rPr>
                <w:spacing w:val="-2"/>
                <w:sz w:val="16"/>
              </w:rPr>
              <w:t> </w:t>
            </w:r>
            <w:r>
              <w:rPr>
                <w:sz w:val="16"/>
              </w:rPr>
              <w:t>Schulz,</w:t>
            </w:r>
            <w:r>
              <w:rPr>
                <w:spacing w:val="-1"/>
                <w:sz w:val="16"/>
              </w:rPr>
              <w:t> </w:t>
            </w:r>
            <w:r>
              <w:rPr>
                <w:sz w:val="16"/>
              </w:rPr>
              <w:t>H.</w:t>
            </w:r>
            <w:r>
              <w:rPr>
                <w:spacing w:val="-2"/>
                <w:sz w:val="16"/>
              </w:rPr>
              <w:t> </w:t>
            </w:r>
            <w:r>
              <w:rPr>
                <w:sz w:val="16"/>
              </w:rPr>
              <w:t>1966:</w:t>
            </w:r>
            <w:r>
              <w:rPr>
                <w:spacing w:val="-3"/>
                <w:sz w:val="16"/>
              </w:rPr>
              <w:t> </w:t>
            </w:r>
            <w:r>
              <w:rPr>
                <w:sz w:val="16"/>
              </w:rPr>
              <w:t>Grundriss</w:t>
            </w:r>
            <w:r>
              <w:rPr>
                <w:spacing w:val="-4"/>
                <w:sz w:val="16"/>
              </w:rPr>
              <w:t> </w:t>
            </w:r>
            <w:r>
              <w:rPr>
                <w:sz w:val="16"/>
              </w:rPr>
              <w:t>der</w:t>
            </w:r>
            <w:r>
              <w:rPr>
                <w:spacing w:val="-3"/>
                <w:sz w:val="16"/>
              </w:rPr>
              <w:t> </w:t>
            </w:r>
            <w:r>
              <w:rPr>
                <w:sz w:val="16"/>
              </w:rPr>
              <w:t>Forstbenutzung.</w:t>
            </w:r>
            <w:r>
              <w:rPr>
                <w:spacing w:val="-1"/>
                <w:sz w:val="16"/>
              </w:rPr>
              <w:t> </w:t>
            </w:r>
            <w:r>
              <w:rPr>
                <w:sz w:val="16"/>
              </w:rPr>
              <w:t>Verlag</w:t>
            </w:r>
            <w:r>
              <w:rPr>
                <w:spacing w:val="-4"/>
                <w:sz w:val="16"/>
              </w:rPr>
              <w:t> </w:t>
            </w:r>
            <w:r>
              <w:rPr>
                <w:sz w:val="16"/>
              </w:rPr>
              <w:t>Paul</w:t>
            </w:r>
            <w:r>
              <w:rPr>
                <w:spacing w:val="-6"/>
                <w:sz w:val="16"/>
              </w:rPr>
              <w:t> </w:t>
            </w:r>
            <w:r>
              <w:rPr>
                <w:sz w:val="16"/>
              </w:rPr>
              <w:t>Parey,</w:t>
            </w:r>
            <w:r>
              <w:rPr>
                <w:spacing w:val="-1"/>
                <w:sz w:val="16"/>
              </w:rPr>
              <w:t> </w:t>
            </w:r>
            <w:r>
              <w:rPr>
                <w:sz w:val="16"/>
              </w:rPr>
              <w:t>Hamburg,</w:t>
            </w:r>
            <w:r>
              <w:rPr>
                <w:spacing w:val="-4"/>
                <w:sz w:val="16"/>
              </w:rPr>
              <w:t> </w:t>
            </w:r>
            <w:r>
              <w:rPr>
                <w:sz w:val="16"/>
              </w:rPr>
              <w:t>Berlin</w:t>
            </w:r>
          </w:p>
          <w:p>
            <w:pPr>
              <w:pStyle w:val="TableParagraph"/>
              <w:numPr>
                <w:ilvl w:val="0"/>
                <w:numId w:val="95"/>
              </w:numPr>
              <w:tabs>
                <w:tab w:pos="274" w:val="left" w:leader="none"/>
              </w:tabs>
              <w:spacing w:line="240" w:lineRule="auto" w:before="99" w:after="0"/>
              <w:ind w:left="271" w:right="102" w:hanging="159"/>
              <w:jc w:val="left"/>
              <w:rPr>
                <w:sz w:val="16"/>
              </w:rPr>
            </w:pPr>
            <w:r>
              <w:rPr>
                <w:sz w:val="16"/>
              </w:rPr>
              <w:t>EN 350-2 (1994): Durability of wood and wood products - Natural durability of solid wood - Part 2: Guide to the natural durability and treatability</w:t>
            </w:r>
            <w:r>
              <w:rPr>
                <w:spacing w:val="-29"/>
                <w:sz w:val="16"/>
              </w:rPr>
              <w:t> </w:t>
            </w:r>
            <w:r>
              <w:rPr>
                <w:sz w:val="16"/>
              </w:rPr>
              <w:t>of selected wood species of importance in Europe</w:t>
            </w:r>
          </w:p>
          <w:p>
            <w:pPr>
              <w:pStyle w:val="TableParagraph"/>
              <w:numPr>
                <w:ilvl w:val="0"/>
                <w:numId w:val="95"/>
              </w:numPr>
              <w:tabs>
                <w:tab w:pos="276" w:val="left" w:leader="none"/>
              </w:tabs>
              <w:spacing w:line="240" w:lineRule="auto" w:before="100" w:after="0"/>
              <w:ind w:left="271" w:right="156" w:hanging="159"/>
              <w:jc w:val="left"/>
              <w:rPr>
                <w:sz w:val="16"/>
              </w:rPr>
            </w:pPr>
            <w:r>
              <w:rPr>
                <w:sz w:val="16"/>
              </w:rPr>
              <w:t>Forest Products Laboratory: Handbook of wood and wood-based materials. Hemisphere Publishing Corporation, New York,</w:t>
            </w:r>
            <w:r>
              <w:rPr>
                <w:spacing w:val="-2"/>
                <w:sz w:val="16"/>
              </w:rPr>
              <w:t> </w:t>
            </w:r>
            <w:r>
              <w:rPr>
                <w:sz w:val="16"/>
              </w:rPr>
              <w:t>London</w:t>
            </w:r>
          </w:p>
          <w:p>
            <w:pPr>
              <w:pStyle w:val="TableParagraph"/>
              <w:numPr>
                <w:ilvl w:val="0"/>
                <w:numId w:val="95"/>
              </w:numPr>
              <w:tabs>
                <w:tab w:pos="274" w:val="left" w:leader="none"/>
              </w:tabs>
              <w:spacing w:line="240" w:lineRule="auto" w:before="100" w:after="0"/>
              <w:ind w:left="271" w:right="124" w:hanging="159"/>
              <w:jc w:val="left"/>
              <w:rPr>
                <w:sz w:val="16"/>
              </w:rPr>
            </w:pPr>
            <w:r>
              <w:rPr>
                <w:sz w:val="16"/>
              </w:rPr>
              <w:t>Rijsdijk, J.F.; Laming, P.B. 1994: Physical and related properties of 145 timbers. Kluwer Academic Publishers, Dordrecht, Boston, London</w:t>
            </w:r>
          </w:p>
          <w:p>
            <w:pPr>
              <w:pStyle w:val="TableParagraph"/>
              <w:numPr>
                <w:ilvl w:val="0"/>
                <w:numId w:val="95"/>
              </w:numPr>
              <w:tabs>
                <w:tab w:pos="276" w:val="left" w:leader="none"/>
              </w:tabs>
              <w:spacing w:line="240" w:lineRule="auto" w:before="100" w:after="0"/>
              <w:ind w:left="271" w:right="270" w:hanging="159"/>
              <w:jc w:val="left"/>
              <w:rPr>
                <w:sz w:val="16"/>
              </w:rPr>
            </w:pPr>
            <w:r>
              <w:rPr>
                <w:sz w:val="16"/>
              </w:rPr>
              <w:t>Kollmann,</w:t>
            </w:r>
            <w:r>
              <w:rPr>
                <w:spacing w:val="-4"/>
                <w:sz w:val="16"/>
              </w:rPr>
              <w:t> </w:t>
            </w:r>
            <w:r>
              <w:rPr>
                <w:sz w:val="16"/>
              </w:rPr>
              <w:t>F.F.P.;</w:t>
            </w:r>
            <w:r>
              <w:rPr>
                <w:spacing w:val="-3"/>
                <w:sz w:val="16"/>
              </w:rPr>
              <w:t> </w:t>
            </w:r>
            <w:r>
              <w:rPr>
                <w:sz w:val="16"/>
              </w:rPr>
              <w:t>Coté,</w:t>
            </w:r>
            <w:r>
              <w:rPr>
                <w:spacing w:val="-4"/>
                <w:sz w:val="16"/>
              </w:rPr>
              <w:t> </w:t>
            </w:r>
            <w:r>
              <w:rPr>
                <w:sz w:val="16"/>
              </w:rPr>
              <w:t>W.A.</w:t>
            </w:r>
            <w:r>
              <w:rPr>
                <w:spacing w:val="-3"/>
                <w:sz w:val="16"/>
              </w:rPr>
              <w:t> </w:t>
            </w:r>
            <w:r>
              <w:rPr>
                <w:sz w:val="16"/>
              </w:rPr>
              <w:t>1968:</w:t>
            </w:r>
            <w:r>
              <w:rPr>
                <w:spacing w:val="-6"/>
                <w:sz w:val="16"/>
              </w:rPr>
              <w:t> </w:t>
            </w:r>
            <w:r>
              <w:rPr>
                <w:sz w:val="16"/>
              </w:rPr>
              <w:t>Principles</w:t>
            </w:r>
            <w:r>
              <w:rPr>
                <w:spacing w:val="-4"/>
                <w:sz w:val="16"/>
              </w:rPr>
              <w:t> </w:t>
            </w:r>
            <w:r>
              <w:rPr>
                <w:sz w:val="16"/>
              </w:rPr>
              <w:t>of</w:t>
            </w:r>
            <w:r>
              <w:rPr>
                <w:spacing w:val="-4"/>
                <w:sz w:val="16"/>
              </w:rPr>
              <w:t> </w:t>
            </w:r>
            <w:r>
              <w:rPr>
                <w:sz w:val="16"/>
              </w:rPr>
              <w:t>wood</w:t>
            </w:r>
            <w:r>
              <w:rPr>
                <w:spacing w:val="-3"/>
                <w:sz w:val="16"/>
              </w:rPr>
              <w:t> </w:t>
            </w:r>
            <w:r>
              <w:rPr>
                <w:sz w:val="16"/>
              </w:rPr>
              <w:t>science</w:t>
            </w:r>
            <w:r>
              <w:rPr>
                <w:spacing w:val="-5"/>
                <w:sz w:val="16"/>
              </w:rPr>
              <w:t> </w:t>
            </w:r>
            <w:r>
              <w:rPr>
                <w:sz w:val="16"/>
              </w:rPr>
              <w:t>and</w:t>
            </w:r>
            <w:r>
              <w:rPr>
                <w:spacing w:val="-5"/>
                <w:sz w:val="16"/>
              </w:rPr>
              <w:t> </w:t>
            </w:r>
            <w:r>
              <w:rPr>
                <w:sz w:val="16"/>
              </w:rPr>
              <w:t>technology.</w:t>
            </w:r>
            <w:r>
              <w:rPr>
                <w:spacing w:val="-4"/>
                <w:sz w:val="16"/>
              </w:rPr>
              <w:t> </w:t>
            </w:r>
            <w:r>
              <w:rPr>
                <w:sz w:val="16"/>
              </w:rPr>
              <w:t>Springer</w:t>
            </w:r>
            <w:r>
              <w:rPr>
                <w:spacing w:val="-4"/>
                <w:sz w:val="16"/>
              </w:rPr>
              <w:t> </w:t>
            </w:r>
            <w:r>
              <w:rPr>
                <w:sz w:val="16"/>
              </w:rPr>
              <w:t>Verlag, Berlin, New</w:t>
            </w:r>
            <w:r>
              <w:rPr>
                <w:spacing w:val="-3"/>
                <w:sz w:val="16"/>
              </w:rPr>
              <w:t> </w:t>
            </w:r>
            <w:r>
              <w:rPr>
                <w:sz w:val="16"/>
              </w:rPr>
              <w:t>York</w:t>
            </w:r>
          </w:p>
        </w:tc>
      </w:tr>
    </w:tbl>
    <w:p>
      <w:pPr>
        <w:spacing w:after="0" w:line="240" w:lineRule="auto"/>
        <w:jc w:val="left"/>
        <w:rPr>
          <w:sz w:val="16"/>
        </w:rPr>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38"/>
        <w:gridCol w:w="1161"/>
        <w:gridCol w:w="1833"/>
        <w:gridCol w:w="1187"/>
        <w:gridCol w:w="1806"/>
        <w:gridCol w:w="1187"/>
      </w:tblGrid>
      <w:tr>
        <w:trPr>
          <w:trHeight w:val="675" w:hRule="atLeast"/>
        </w:trPr>
        <w:tc>
          <w:tcPr>
            <w:tcW w:w="9012" w:type="dxa"/>
            <w:gridSpan w:val="6"/>
            <w:tcBorders>
              <w:bottom w:val="double" w:sz="1" w:space="0" w:color="000000"/>
            </w:tcBorders>
          </w:tcPr>
          <w:p>
            <w:pPr>
              <w:pStyle w:val="TableParagraph"/>
              <w:spacing w:line="196" w:lineRule="exact" w:before="28"/>
              <w:ind w:left="1300" w:right="1287"/>
              <w:jc w:val="center"/>
              <w:rPr>
                <w:b/>
                <w:sz w:val="18"/>
              </w:rPr>
            </w:pPr>
            <w:r>
              <w:rPr>
                <w:b/>
                <w:sz w:val="18"/>
              </w:rPr>
              <w:t>T</w:t>
            </w:r>
            <w:r>
              <w:rPr>
                <w:b/>
                <w:sz w:val="14"/>
              </w:rPr>
              <w:t>ABLE </w:t>
            </w:r>
            <w:r>
              <w:rPr>
                <w:b/>
                <w:sz w:val="18"/>
              </w:rPr>
              <w:t>3A.1.9-2</w:t>
            </w:r>
          </w:p>
          <w:p>
            <w:pPr>
              <w:pStyle w:val="TableParagraph"/>
              <w:spacing w:line="217" w:lineRule="exact"/>
              <w:ind w:left="448" w:right="398"/>
              <w:jc w:val="center"/>
              <w:rPr>
                <w:b/>
                <w:sz w:val="14"/>
              </w:rPr>
            </w:pPr>
            <w:r>
              <w:rPr>
                <w:b/>
                <w:sz w:val="18"/>
              </w:rPr>
              <w:t>B</w:t>
            </w:r>
            <w:r>
              <w:rPr>
                <w:b/>
                <w:sz w:val="14"/>
              </w:rPr>
              <w:t>ASIC WOOD DENSITIES </w:t>
            </w:r>
            <w:r>
              <w:rPr>
                <w:b/>
                <w:sz w:val="18"/>
              </w:rPr>
              <w:t>(D) </w:t>
            </w:r>
            <w:r>
              <w:rPr>
                <w:b/>
                <w:sz w:val="14"/>
              </w:rPr>
              <w:t>OF STEMWOOD </w:t>
            </w:r>
            <w:r>
              <w:rPr>
                <w:b/>
                <w:sz w:val="18"/>
              </w:rPr>
              <w:t>(tonnes dry matter/m</w:t>
            </w:r>
            <w:r>
              <w:rPr>
                <w:b/>
                <w:position w:val="8"/>
                <w:sz w:val="12"/>
              </w:rPr>
              <w:t>3 </w:t>
            </w:r>
            <w:r>
              <w:rPr>
                <w:b/>
                <w:sz w:val="18"/>
              </w:rPr>
              <w:t>fresh volume) </w:t>
            </w:r>
            <w:r>
              <w:rPr>
                <w:b/>
                <w:sz w:val="14"/>
              </w:rPr>
              <w:t>FOR TROPICAL TREE SPECIES</w:t>
            </w:r>
          </w:p>
          <w:p>
            <w:pPr>
              <w:pStyle w:val="TableParagraph"/>
              <w:spacing w:line="204" w:lineRule="exact"/>
              <w:ind w:left="1300" w:right="1286"/>
              <w:jc w:val="center"/>
              <w:rPr>
                <w:sz w:val="18"/>
              </w:rPr>
            </w:pPr>
            <w:r>
              <w:rPr>
                <w:sz w:val="18"/>
              </w:rPr>
              <w:t>(To be used for D in Equations 3.2.3., 3.2.5, 3.2.7, 3.2.8)</w:t>
            </w:r>
          </w:p>
        </w:tc>
      </w:tr>
      <w:tr>
        <w:trPr>
          <w:trHeight w:val="227" w:hRule="atLeast"/>
        </w:trPr>
        <w:tc>
          <w:tcPr>
            <w:tcW w:w="1838" w:type="dxa"/>
            <w:tcBorders>
              <w:top w:val="double" w:sz="1" w:space="0" w:color="000000"/>
            </w:tcBorders>
          </w:tcPr>
          <w:p>
            <w:pPr>
              <w:pStyle w:val="TableParagraph"/>
              <w:spacing w:before="18"/>
              <w:ind w:left="282"/>
              <w:rPr>
                <w:b/>
                <w:sz w:val="16"/>
              </w:rPr>
            </w:pPr>
            <w:r>
              <w:rPr>
                <w:b/>
                <w:sz w:val="16"/>
              </w:rPr>
              <w:t>TROPICAL ASIA</w:t>
            </w:r>
          </w:p>
        </w:tc>
        <w:tc>
          <w:tcPr>
            <w:tcW w:w="1161" w:type="dxa"/>
            <w:tcBorders>
              <w:top w:val="double" w:sz="1" w:space="0" w:color="000000"/>
            </w:tcBorders>
          </w:tcPr>
          <w:p>
            <w:pPr>
              <w:pStyle w:val="TableParagraph"/>
              <w:spacing w:before="18"/>
              <w:ind w:left="5"/>
              <w:jc w:val="center"/>
              <w:rPr>
                <w:b/>
                <w:sz w:val="16"/>
              </w:rPr>
            </w:pPr>
            <w:r>
              <w:rPr>
                <w:b/>
                <w:w w:val="100"/>
                <w:sz w:val="16"/>
              </w:rPr>
              <w:t>D</w:t>
            </w:r>
          </w:p>
        </w:tc>
        <w:tc>
          <w:tcPr>
            <w:tcW w:w="1833" w:type="dxa"/>
            <w:tcBorders>
              <w:top w:val="double" w:sz="1" w:space="0" w:color="000000"/>
            </w:tcBorders>
          </w:tcPr>
          <w:p>
            <w:pPr>
              <w:pStyle w:val="TableParagraph"/>
              <w:spacing w:before="18"/>
              <w:ind w:left="81"/>
              <w:rPr>
                <w:b/>
                <w:sz w:val="16"/>
              </w:rPr>
            </w:pPr>
            <w:r>
              <w:rPr>
                <w:b/>
                <w:sz w:val="16"/>
              </w:rPr>
              <w:t>TROPICAL AMERICA</w:t>
            </w:r>
          </w:p>
        </w:tc>
        <w:tc>
          <w:tcPr>
            <w:tcW w:w="1187" w:type="dxa"/>
            <w:tcBorders>
              <w:top w:val="double" w:sz="1" w:space="0" w:color="000000"/>
            </w:tcBorders>
          </w:tcPr>
          <w:p>
            <w:pPr>
              <w:pStyle w:val="TableParagraph"/>
              <w:spacing w:before="18"/>
              <w:ind w:left="9"/>
              <w:jc w:val="center"/>
              <w:rPr>
                <w:b/>
                <w:sz w:val="16"/>
              </w:rPr>
            </w:pPr>
            <w:r>
              <w:rPr>
                <w:b/>
                <w:w w:val="100"/>
                <w:sz w:val="16"/>
              </w:rPr>
              <w:t>D</w:t>
            </w:r>
          </w:p>
        </w:tc>
        <w:tc>
          <w:tcPr>
            <w:tcW w:w="1806" w:type="dxa"/>
            <w:tcBorders>
              <w:top w:val="double" w:sz="1" w:space="0" w:color="000000"/>
            </w:tcBorders>
          </w:tcPr>
          <w:p>
            <w:pPr>
              <w:pStyle w:val="TableParagraph"/>
              <w:spacing w:before="18"/>
              <w:ind w:left="152"/>
              <w:rPr>
                <w:b/>
                <w:sz w:val="16"/>
              </w:rPr>
            </w:pPr>
            <w:r>
              <w:rPr>
                <w:b/>
                <w:sz w:val="16"/>
              </w:rPr>
              <w:t>TROPICAL AFRICA</w:t>
            </w:r>
          </w:p>
        </w:tc>
        <w:tc>
          <w:tcPr>
            <w:tcW w:w="1187" w:type="dxa"/>
            <w:tcBorders>
              <w:top w:val="double" w:sz="1" w:space="0" w:color="000000"/>
            </w:tcBorders>
          </w:tcPr>
          <w:p>
            <w:pPr>
              <w:pStyle w:val="TableParagraph"/>
              <w:spacing w:before="18"/>
              <w:ind w:left="13"/>
              <w:jc w:val="center"/>
              <w:rPr>
                <w:b/>
                <w:sz w:val="16"/>
              </w:rPr>
            </w:pPr>
            <w:r>
              <w:rPr>
                <w:b/>
                <w:w w:val="100"/>
                <w:sz w:val="16"/>
              </w:rPr>
              <w:t>D</w:t>
            </w:r>
          </w:p>
        </w:tc>
      </w:tr>
      <w:tr>
        <w:trPr>
          <w:trHeight w:val="244" w:hRule="atLeast"/>
        </w:trPr>
        <w:tc>
          <w:tcPr>
            <w:tcW w:w="1838" w:type="dxa"/>
          </w:tcPr>
          <w:p>
            <w:pPr>
              <w:pStyle w:val="TableParagraph"/>
              <w:spacing w:before="23"/>
              <w:ind w:left="30"/>
              <w:rPr>
                <w:sz w:val="16"/>
              </w:rPr>
            </w:pPr>
            <w:r>
              <w:rPr>
                <w:sz w:val="16"/>
              </w:rPr>
              <w:t>Acacia leucophloea</w:t>
            </w:r>
          </w:p>
        </w:tc>
        <w:tc>
          <w:tcPr>
            <w:tcW w:w="1161" w:type="dxa"/>
          </w:tcPr>
          <w:p>
            <w:pPr>
              <w:pStyle w:val="TableParagraph"/>
              <w:spacing w:before="23"/>
              <w:ind w:left="52" w:right="46"/>
              <w:jc w:val="center"/>
              <w:rPr>
                <w:sz w:val="16"/>
              </w:rPr>
            </w:pPr>
            <w:r>
              <w:rPr>
                <w:sz w:val="16"/>
              </w:rPr>
              <w:t>0.76</w:t>
            </w:r>
          </w:p>
        </w:tc>
        <w:tc>
          <w:tcPr>
            <w:tcW w:w="1833" w:type="dxa"/>
          </w:tcPr>
          <w:p>
            <w:pPr>
              <w:pStyle w:val="TableParagraph"/>
              <w:spacing w:before="23"/>
              <w:ind w:left="29"/>
              <w:rPr>
                <w:sz w:val="16"/>
              </w:rPr>
            </w:pPr>
            <w:r>
              <w:rPr>
                <w:sz w:val="16"/>
              </w:rPr>
              <w:t>Albizia spp.</w:t>
            </w:r>
          </w:p>
        </w:tc>
        <w:tc>
          <w:tcPr>
            <w:tcW w:w="1187" w:type="dxa"/>
          </w:tcPr>
          <w:p>
            <w:pPr>
              <w:pStyle w:val="TableParagraph"/>
              <w:spacing w:before="23"/>
              <w:ind w:left="93" w:right="83"/>
              <w:jc w:val="center"/>
              <w:rPr>
                <w:sz w:val="16"/>
              </w:rPr>
            </w:pPr>
            <w:r>
              <w:rPr>
                <w:sz w:val="16"/>
              </w:rPr>
              <w:t>0.52</w:t>
            </w:r>
          </w:p>
        </w:tc>
        <w:tc>
          <w:tcPr>
            <w:tcW w:w="1806" w:type="dxa"/>
          </w:tcPr>
          <w:p>
            <w:pPr>
              <w:pStyle w:val="TableParagraph"/>
              <w:spacing w:before="23"/>
              <w:ind w:left="32"/>
              <w:rPr>
                <w:sz w:val="16"/>
              </w:rPr>
            </w:pPr>
            <w:r>
              <w:rPr>
                <w:sz w:val="16"/>
              </w:rPr>
              <w:t>Afzelia spp.</w:t>
            </w:r>
          </w:p>
        </w:tc>
        <w:tc>
          <w:tcPr>
            <w:tcW w:w="1187" w:type="dxa"/>
          </w:tcPr>
          <w:p>
            <w:pPr>
              <w:pStyle w:val="TableParagraph"/>
              <w:spacing w:before="23"/>
              <w:ind w:right="437"/>
              <w:jc w:val="right"/>
              <w:rPr>
                <w:sz w:val="16"/>
              </w:rPr>
            </w:pPr>
            <w:r>
              <w:rPr>
                <w:sz w:val="16"/>
              </w:rPr>
              <w:t>0.67</w:t>
            </w:r>
          </w:p>
        </w:tc>
      </w:tr>
      <w:tr>
        <w:trPr>
          <w:trHeight w:val="244" w:hRule="atLeast"/>
        </w:trPr>
        <w:tc>
          <w:tcPr>
            <w:tcW w:w="1838" w:type="dxa"/>
          </w:tcPr>
          <w:p>
            <w:pPr>
              <w:pStyle w:val="TableParagraph"/>
              <w:spacing w:before="23"/>
              <w:ind w:left="30"/>
              <w:rPr>
                <w:sz w:val="16"/>
              </w:rPr>
            </w:pPr>
            <w:r>
              <w:rPr>
                <w:sz w:val="16"/>
              </w:rPr>
              <w:t>Adina cordifolia</w:t>
            </w:r>
          </w:p>
        </w:tc>
        <w:tc>
          <w:tcPr>
            <w:tcW w:w="1161" w:type="dxa"/>
          </w:tcPr>
          <w:p>
            <w:pPr>
              <w:pStyle w:val="TableParagraph"/>
              <w:spacing w:before="23"/>
              <w:ind w:left="52" w:right="44"/>
              <w:jc w:val="center"/>
              <w:rPr>
                <w:sz w:val="16"/>
              </w:rPr>
            </w:pPr>
            <w:r>
              <w:rPr>
                <w:sz w:val="16"/>
              </w:rPr>
              <w:t>0.58, 0.59+</w:t>
            </w:r>
          </w:p>
        </w:tc>
        <w:tc>
          <w:tcPr>
            <w:tcW w:w="1833" w:type="dxa"/>
          </w:tcPr>
          <w:p>
            <w:pPr>
              <w:pStyle w:val="TableParagraph"/>
              <w:spacing w:before="23"/>
              <w:ind w:left="29"/>
              <w:rPr>
                <w:sz w:val="16"/>
              </w:rPr>
            </w:pPr>
            <w:r>
              <w:rPr>
                <w:sz w:val="16"/>
              </w:rPr>
              <w:t>Alcornea spp.</w:t>
            </w:r>
          </w:p>
        </w:tc>
        <w:tc>
          <w:tcPr>
            <w:tcW w:w="1187" w:type="dxa"/>
          </w:tcPr>
          <w:p>
            <w:pPr>
              <w:pStyle w:val="TableParagraph"/>
              <w:spacing w:before="23"/>
              <w:ind w:left="94" w:right="83"/>
              <w:jc w:val="center"/>
              <w:rPr>
                <w:sz w:val="16"/>
              </w:rPr>
            </w:pPr>
            <w:r>
              <w:rPr>
                <w:sz w:val="16"/>
              </w:rPr>
              <w:t>0.34</w:t>
            </w:r>
          </w:p>
        </w:tc>
        <w:tc>
          <w:tcPr>
            <w:tcW w:w="1806" w:type="dxa"/>
          </w:tcPr>
          <w:p>
            <w:pPr>
              <w:pStyle w:val="TableParagraph"/>
              <w:spacing w:before="23"/>
              <w:ind w:left="33"/>
              <w:rPr>
                <w:sz w:val="16"/>
              </w:rPr>
            </w:pPr>
            <w:r>
              <w:rPr>
                <w:sz w:val="16"/>
              </w:rPr>
              <w:t>Aidia ochroleuca</w:t>
            </w:r>
          </w:p>
        </w:tc>
        <w:tc>
          <w:tcPr>
            <w:tcW w:w="1187" w:type="dxa"/>
          </w:tcPr>
          <w:p>
            <w:pPr>
              <w:pStyle w:val="TableParagraph"/>
              <w:spacing w:before="23"/>
              <w:ind w:right="396"/>
              <w:jc w:val="right"/>
              <w:rPr>
                <w:sz w:val="16"/>
              </w:rPr>
            </w:pPr>
            <w:r>
              <w:rPr>
                <w:sz w:val="16"/>
              </w:rPr>
              <w:t>0.78*</w:t>
            </w:r>
          </w:p>
        </w:tc>
      </w:tr>
      <w:tr>
        <w:trPr>
          <w:trHeight w:val="244" w:hRule="atLeast"/>
        </w:trPr>
        <w:tc>
          <w:tcPr>
            <w:tcW w:w="1838" w:type="dxa"/>
          </w:tcPr>
          <w:p>
            <w:pPr>
              <w:pStyle w:val="TableParagraph"/>
              <w:spacing w:before="23"/>
              <w:ind w:left="30"/>
              <w:rPr>
                <w:sz w:val="16"/>
              </w:rPr>
            </w:pPr>
            <w:r>
              <w:rPr>
                <w:sz w:val="16"/>
              </w:rPr>
              <w:t>Aegle marmelo</w:t>
            </w:r>
          </w:p>
        </w:tc>
        <w:tc>
          <w:tcPr>
            <w:tcW w:w="1161" w:type="dxa"/>
          </w:tcPr>
          <w:p>
            <w:pPr>
              <w:pStyle w:val="TableParagraph"/>
              <w:spacing w:before="23"/>
              <w:ind w:left="52" w:right="47"/>
              <w:jc w:val="center"/>
              <w:rPr>
                <w:sz w:val="16"/>
              </w:rPr>
            </w:pPr>
            <w:r>
              <w:rPr>
                <w:sz w:val="16"/>
              </w:rPr>
              <w:t>0.75</w:t>
            </w:r>
          </w:p>
        </w:tc>
        <w:tc>
          <w:tcPr>
            <w:tcW w:w="1833" w:type="dxa"/>
          </w:tcPr>
          <w:p>
            <w:pPr>
              <w:pStyle w:val="TableParagraph"/>
              <w:spacing w:before="23"/>
              <w:ind w:left="29"/>
              <w:rPr>
                <w:sz w:val="16"/>
              </w:rPr>
            </w:pPr>
            <w:r>
              <w:rPr>
                <w:sz w:val="16"/>
              </w:rPr>
              <w:t>Alexa grandiflora</w:t>
            </w:r>
          </w:p>
        </w:tc>
        <w:tc>
          <w:tcPr>
            <w:tcW w:w="1187" w:type="dxa"/>
          </w:tcPr>
          <w:p>
            <w:pPr>
              <w:pStyle w:val="TableParagraph"/>
              <w:spacing w:before="23"/>
              <w:ind w:left="94" w:right="83"/>
              <w:jc w:val="center"/>
              <w:rPr>
                <w:sz w:val="16"/>
              </w:rPr>
            </w:pPr>
            <w:r>
              <w:rPr>
                <w:sz w:val="16"/>
              </w:rPr>
              <w:t>0.6</w:t>
            </w:r>
          </w:p>
        </w:tc>
        <w:tc>
          <w:tcPr>
            <w:tcW w:w="1806" w:type="dxa"/>
          </w:tcPr>
          <w:p>
            <w:pPr>
              <w:pStyle w:val="TableParagraph"/>
              <w:spacing w:before="23"/>
              <w:ind w:left="33"/>
              <w:rPr>
                <w:sz w:val="16"/>
              </w:rPr>
            </w:pPr>
            <w:r>
              <w:rPr>
                <w:sz w:val="16"/>
              </w:rPr>
              <w:t>Albizia spp.</w:t>
            </w:r>
          </w:p>
        </w:tc>
        <w:tc>
          <w:tcPr>
            <w:tcW w:w="1187" w:type="dxa"/>
          </w:tcPr>
          <w:p>
            <w:pPr>
              <w:pStyle w:val="TableParagraph"/>
              <w:spacing w:before="23"/>
              <w:ind w:right="437"/>
              <w:jc w:val="right"/>
              <w:rPr>
                <w:sz w:val="16"/>
              </w:rPr>
            </w:pPr>
            <w:r>
              <w:rPr>
                <w:sz w:val="16"/>
              </w:rPr>
              <w:t>0.52</w:t>
            </w:r>
          </w:p>
        </w:tc>
      </w:tr>
      <w:tr>
        <w:trPr>
          <w:trHeight w:val="246" w:hRule="atLeast"/>
        </w:trPr>
        <w:tc>
          <w:tcPr>
            <w:tcW w:w="1838" w:type="dxa"/>
          </w:tcPr>
          <w:p>
            <w:pPr>
              <w:pStyle w:val="TableParagraph"/>
              <w:spacing w:before="23"/>
              <w:ind w:left="30"/>
              <w:rPr>
                <w:sz w:val="16"/>
              </w:rPr>
            </w:pPr>
            <w:r>
              <w:rPr>
                <w:sz w:val="16"/>
              </w:rPr>
              <w:t>Agathis spp.</w:t>
            </w:r>
          </w:p>
        </w:tc>
        <w:tc>
          <w:tcPr>
            <w:tcW w:w="1161" w:type="dxa"/>
          </w:tcPr>
          <w:p>
            <w:pPr>
              <w:pStyle w:val="TableParagraph"/>
              <w:spacing w:before="23"/>
              <w:ind w:left="52" w:right="46"/>
              <w:jc w:val="center"/>
              <w:rPr>
                <w:sz w:val="16"/>
              </w:rPr>
            </w:pPr>
            <w:r>
              <w:rPr>
                <w:sz w:val="16"/>
              </w:rPr>
              <w:t>0.44</w:t>
            </w:r>
          </w:p>
        </w:tc>
        <w:tc>
          <w:tcPr>
            <w:tcW w:w="1833" w:type="dxa"/>
          </w:tcPr>
          <w:p>
            <w:pPr>
              <w:pStyle w:val="TableParagraph"/>
              <w:spacing w:before="23"/>
              <w:ind w:left="29"/>
              <w:rPr>
                <w:sz w:val="16"/>
              </w:rPr>
            </w:pPr>
            <w:r>
              <w:rPr>
                <w:sz w:val="16"/>
              </w:rPr>
              <w:t>Alnus ferruginea</w:t>
            </w:r>
          </w:p>
        </w:tc>
        <w:tc>
          <w:tcPr>
            <w:tcW w:w="1187" w:type="dxa"/>
          </w:tcPr>
          <w:p>
            <w:pPr>
              <w:pStyle w:val="TableParagraph"/>
              <w:spacing w:before="23"/>
              <w:ind w:left="92" w:right="83"/>
              <w:jc w:val="center"/>
              <w:rPr>
                <w:sz w:val="16"/>
              </w:rPr>
            </w:pPr>
            <w:r>
              <w:rPr>
                <w:sz w:val="16"/>
              </w:rPr>
              <w:t>0.38</w:t>
            </w:r>
          </w:p>
        </w:tc>
        <w:tc>
          <w:tcPr>
            <w:tcW w:w="1806" w:type="dxa"/>
          </w:tcPr>
          <w:p>
            <w:pPr>
              <w:pStyle w:val="TableParagraph"/>
              <w:spacing w:before="23"/>
              <w:ind w:left="32"/>
              <w:rPr>
                <w:sz w:val="16"/>
              </w:rPr>
            </w:pPr>
            <w:r>
              <w:rPr>
                <w:sz w:val="16"/>
              </w:rPr>
              <w:t>Allanblackia floribunda</w:t>
            </w:r>
          </w:p>
        </w:tc>
        <w:tc>
          <w:tcPr>
            <w:tcW w:w="1187" w:type="dxa"/>
          </w:tcPr>
          <w:p>
            <w:pPr>
              <w:pStyle w:val="TableParagraph"/>
              <w:spacing w:before="23"/>
              <w:ind w:right="397"/>
              <w:jc w:val="right"/>
              <w:rPr>
                <w:sz w:val="16"/>
              </w:rPr>
            </w:pPr>
            <w:r>
              <w:rPr>
                <w:sz w:val="16"/>
              </w:rPr>
              <w:t>0.63*</w:t>
            </w:r>
          </w:p>
        </w:tc>
      </w:tr>
      <w:tr>
        <w:trPr>
          <w:trHeight w:val="386" w:hRule="atLeast"/>
        </w:trPr>
        <w:tc>
          <w:tcPr>
            <w:tcW w:w="1838" w:type="dxa"/>
          </w:tcPr>
          <w:p>
            <w:pPr>
              <w:pStyle w:val="TableParagraph"/>
              <w:spacing w:before="95"/>
              <w:ind w:left="30"/>
              <w:rPr>
                <w:sz w:val="16"/>
              </w:rPr>
            </w:pPr>
            <w:r>
              <w:rPr>
                <w:sz w:val="16"/>
              </w:rPr>
              <w:t>Aglaia llanosiana</w:t>
            </w:r>
          </w:p>
        </w:tc>
        <w:tc>
          <w:tcPr>
            <w:tcW w:w="1161" w:type="dxa"/>
          </w:tcPr>
          <w:p>
            <w:pPr>
              <w:pStyle w:val="TableParagraph"/>
              <w:spacing w:before="95"/>
              <w:ind w:left="52" w:right="45"/>
              <w:jc w:val="center"/>
              <w:rPr>
                <w:sz w:val="16"/>
              </w:rPr>
            </w:pPr>
            <w:r>
              <w:rPr>
                <w:sz w:val="16"/>
              </w:rPr>
              <w:t>0.89</w:t>
            </w:r>
          </w:p>
        </w:tc>
        <w:tc>
          <w:tcPr>
            <w:tcW w:w="1833" w:type="dxa"/>
          </w:tcPr>
          <w:p>
            <w:pPr>
              <w:pStyle w:val="TableParagraph"/>
              <w:spacing w:before="95"/>
              <w:ind w:left="30"/>
              <w:rPr>
                <w:sz w:val="16"/>
              </w:rPr>
            </w:pPr>
            <w:r>
              <w:rPr>
                <w:sz w:val="16"/>
              </w:rPr>
              <w:t>Anacardium excelsum</w:t>
            </w:r>
          </w:p>
        </w:tc>
        <w:tc>
          <w:tcPr>
            <w:tcW w:w="1187" w:type="dxa"/>
          </w:tcPr>
          <w:p>
            <w:pPr>
              <w:pStyle w:val="TableParagraph"/>
              <w:spacing w:before="95"/>
              <w:ind w:left="94" w:right="81"/>
              <w:jc w:val="center"/>
              <w:rPr>
                <w:sz w:val="16"/>
              </w:rPr>
            </w:pPr>
            <w:r>
              <w:rPr>
                <w:sz w:val="16"/>
              </w:rPr>
              <w:t>0.41</w:t>
            </w:r>
          </w:p>
        </w:tc>
        <w:tc>
          <w:tcPr>
            <w:tcW w:w="1806" w:type="dxa"/>
          </w:tcPr>
          <w:p>
            <w:pPr>
              <w:pStyle w:val="TableParagraph"/>
              <w:spacing w:line="182" w:lineRule="exact" w:before="7"/>
              <w:ind w:left="33" w:right="227"/>
              <w:rPr>
                <w:sz w:val="16"/>
              </w:rPr>
            </w:pPr>
            <w:r>
              <w:rPr>
                <w:sz w:val="16"/>
              </w:rPr>
              <w:t>Allophyllus africanus f. acuminatus</w:t>
            </w:r>
          </w:p>
        </w:tc>
        <w:tc>
          <w:tcPr>
            <w:tcW w:w="1187" w:type="dxa"/>
          </w:tcPr>
          <w:p>
            <w:pPr>
              <w:pStyle w:val="TableParagraph"/>
              <w:spacing w:before="95"/>
              <w:ind w:right="438"/>
              <w:jc w:val="right"/>
              <w:rPr>
                <w:sz w:val="16"/>
              </w:rPr>
            </w:pPr>
            <w:r>
              <w:rPr>
                <w:sz w:val="16"/>
              </w:rPr>
              <w:t>0.45</w:t>
            </w:r>
          </w:p>
        </w:tc>
      </w:tr>
      <w:tr>
        <w:trPr>
          <w:trHeight w:val="244" w:hRule="atLeast"/>
        </w:trPr>
        <w:tc>
          <w:tcPr>
            <w:tcW w:w="1838" w:type="dxa"/>
          </w:tcPr>
          <w:p>
            <w:pPr>
              <w:pStyle w:val="TableParagraph"/>
              <w:spacing w:before="23"/>
              <w:ind w:left="30"/>
              <w:rPr>
                <w:sz w:val="16"/>
              </w:rPr>
            </w:pPr>
            <w:r>
              <w:rPr>
                <w:sz w:val="16"/>
              </w:rPr>
              <w:t>Alangium longiflorum</w:t>
            </w:r>
          </w:p>
        </w:tc>
        <w:tc>
          <w:tcPr>
            <w:tcW w:w="1161" w:type="dxa"/>
          </w:tcPr>
          <w:p>
            <w:pPr>
              <w:pStyle w:val="TableParagraph"/>
              <w:spacing w:before="23"/>
              <w:ind w:left="52" w:right="47"/>
              <w:jc w:val="center"/>
              <w:rPr>
                <w:sz w:val="16"/>
              </w:rPr>
            </w:pPr>
            <w:r>
              <w:rPr>
                <w:sz w:val="16"/>
              </w:rPr>
              <w:t>0.65</w:t>
            </w:r>
          </w:p>
        </w:tc>
        <w:tc>
          <w:tcPr>
            <w:tcW w:w="1833" w:type="dxa"/>
          </w:tcPr>
          <w:p>
            <w:pPr>
              <w:pStyle w:val="TableParagraph"/>
              <w:spacing w:before="23"/>
              <w:ind w:left="29"/>
              <w:rPr>
                <w:sz w:val="16"/>
              </w:rPr>
            </w:pPr>
            <w:r>
              <w:rPr>
                <w:sz w:val="16"/>
              </w:rPr>
              <w:t>Anadenanthera macrocarpa</w:t>
            </w:r>
          </w:p>
        </w:tc>
        <w:tc>
          <w:tcPr>
            <w:tcW w:w="1187" w:type="dxa"/>
          </w:tcPr>
          <w:p>
            <w:pPr>
              <w:pStyle w:val="TableParagraph"/>
              <w:spacing w:before="23"/>
              <w:ind w:left="94" w:right="81"/>
              <w:jc w:val="center"/>
              <w:rPr>
                <w:sz w:val="16"/>
              </w:rPr>
            </w:pPr>
            <w:r>
              <w:rPr>
                <w:sz w:val="16"/>
              </w:rPr>
              <w:t>0.86</w:t>
            </w:r>
          </w:p>
        </w:tc>
        <w:tc>
          <w:tcPr>
            <w:tcW w:w="1806" w:type="dxa"/>
          </w:tcPr>
          <w:p>
            <w:pPr>
              <w:pStyle w:val="TableParagraph"/>
              <w:spacing w:before="23"/>
              <w:ind w:left="34"/>
              <w:rPr>
                <w:sz w:val="16"/>
              </w:rPr>
            </w:pPr>
            <w:r>
              <w:rPr>
                <w:sz w:val="16"/>
              </w:rPr>
              <w:t>Alstonia congensis</w:t>
            </w:r>
          </w:p>
        </w:tc>
        <w:tc>
          <w:tcPr>
            <w:tcW w:w="1187" w:type="dxa"/>
          </w:tcPr>
          <w:p>
            <w:pPr>
              <w:pStyle w:val="TableParagraph"/>
              <w:spacing w:before="23"/>
              <w:ind w:right="436"/>
              <w:jc w:val="right"/>
              <w:rPr>
                <w:sz w:val="16"/>
              </w:rPr>
            </w:pPr>
            <w:r>
              <w:rPr>
                <w:sz w:val="16"/>
              </w:rPr>
              <w:t>0.33</w:t>
            </w:r>
          </w:p>
        </w:tc>
      </w:tr>
      <w:tr>
        <w:trPr>
          <w:trHeight w:val="246" w:hRule="atLeast"/>
        </w:trPr>
        <w:tc>
          <w:tcPr>
            <w:tcW w:w="1838" w:type="dxa"/>
          </w:tcPr>
          <w:p>
            <w:pPr>
              <w:pStyle w:val="TableParagraph"/>
              <w:spacing w:before="23"/>
              <w:ind w:left="30"/>
              <w:rPr>
                <w:sz w:val="16"/>
              </w:rPr>
            </w:pPr>
            <w:r>
              <w:rPr>
                <w:sz w:val="16"/>
              </w:rPr>
              <w:t>Albizzia amara</w:t>
            </w:r>
          </w:p>
        </w:tc>
        <w:tc>
          <w:tcPr>
            <w:tcW w:w="1161" w:type="dxa"/>
          </w:tcPr>
          <w:p>
            <w:pPr>
              <w:pStyle w:val="TableParagraph"/>
              <w:spacing w:before="23"/>
              <w:ind w:left="52" w:right="40"/>
              <w:jc w:val="center"/>
              <w:rPr>
                <w:sz w:val="16"/>
              </w:rPr>
            </w:pPr>
            <w:r>
              <w:rPr>
                <w:sz w:val="16"/>
              </w:rPr>
              <w:t>0.70*</w:t>
            </w:r>
          </w:p>
        </w:tc>
        <w:tc>
          <w:tcPr>
            <w:tcW w:w="1833" w:type="dxa"/>
          </w:tcPr>
          <w:p>
            <w:pPr>
              <w:pStyle w:val="TableParagraph"/>
              <w:spacing w:before="23"/>
              <w:ind w:left="30"/>
              <w:rPr>
                <w:sz w:val="16"/>
              </w:rPr>
            </w:pPr>
            <w:r>
              <w:rPr>
                <w:sz w:val="16"/>
              </w:rPr>
              <w:t>Andira retusa</w:t>
            </w:r>
          </w:p>
        </w:tc>
        <w:tc>
          <w:tcPr>
            <w:tcW w:w="1187" w:type="dxa"/>
          </w:tcPr>
          <w:p>
            <w:pPr>
              <w:pStyle w:val="TableParagraph"/>
              <w:spacing w:before="23"/>
              <w:ind w:left="93" w:right="83"/>
              <w:jc w:val="center"/>
              <w:rPr>
                <w:sz w:val="16"/>
              </w:rPr>
            </w:pPr>
            <w:r>
              <w:rPr>
                <w:sz w:val="16"/>
              </w:rPr>
              <w:t>0.67</w:t>
            </w:r>
          </w:p>
        </w:tc>
        <w:tc>
          <w:tcPr>
            <w:tcW w:w="1806" w:type="dxa"/>
          </w:tcPr>
          <w:p>
            <w:pPr>
              <w:pStyle w:val="TableParagraph"/>
              <w:spacing w:before="23"/>
              <w:ind w:left="32"/>
              <w:rPr>
                <w:sz w:val="16"/>
              </w:rPr>
            </w:pPr>
            <w:r>
              <w:rPr>
                <w:sz w:val="16"/>
              </w:rPr>
              <w:t>Amphimas pterocarpoides</w:t>
            </w:r>
          </w:p>
        </w:tc>
        <w:tc>
          <w:tcPr>
            <w:tcW w:w="1187" w:type="dxa"/>
          </w:tcPr>
          <w:p>
            <w:pPr>
              <w:pStyle w:val="TableParagraph"/>
              <w:spacing w:before="23"/>
              <w:ind w:right="397"/>
              <w:jc w:val="right"/>
              <w:rPr>
                <w:sz w:val="16"/>
              </w:rPr>
            </w:pPr>
            <w:r>
              <w:rPr>
                <w:sz w:val="16"/>
              </w:rPr>
              <w:t>0.63*</w:t>
            </w:r>
          </w:p>
        </w:tc>
      </w:tr>
      <w:tr>
        <w:trPr>
          <w:trHeight w:val="244" w:hRule="atLeast"/>
        </w:trPr>
        <w:tc>
          <w:tcPr>
            <w:tcW w:w="1838" w:type="dxa"/>
          </w:tcPr>
          <w:p>
            <w:pPr>
              <w:pStyle w:val="TableParagraph"/>
              <w:spacing w:before="23"/>
              <w:ind w:left="30"/>
              <w:rPr>
                <w:sz w:val="16"/>
              </w:rPr>
            </w:pPr>
            <w:r>
              <w:rPr>
                <w:sz w:val="16"/>
              </w:rPr>
              <w:t>Albizzia falcataria</w:t>
            </w:r>
          </w:p>
        </w:tc>
        <w:tc>
          <w:tcPr>
            <w:tcW w:w="1161" w:type="dxa"/>
          </w:tcPr>
          <w:p>
            <w:pPr>
              <w:pStyle w:val="TableParagraph"/>
              <w:spacing w:before="23"/>
              <w:ind w:left="52" w:right="44"/>
              <w:jc w:val="center"/>
              <w:rPr>
                <w:sz w:val="16"/>
              </w:rPr>
            </w:pPr>
            <w:r>
              <w:rPr>
                <w:sz w:val="16"/>
              </w:rPr>
              <w:t>0.25</w:t>
            </w:r>
          </w:p>
        </w:tc>
        <w:tc>
          <w:tcPr>
            <w:tcW w:w="1833" w:type="dxa"/>
          </w:tcPr>
          <w:p>
            <w:pPr>
              <w:pStyle w:val="TableParagraph"/>
              <w:spacing w:before="23"/>
              <w:ind w:left="30"/>
              <w:rPr>
                <w:sz w:val="16"/>
              </w:rPr>
            </w:pPr>
            <w:r>
              <w:rPr>
                <w:sz w:val="16"/>
              </w:rPr>
              <w:t>Aniba riparia lduckei</w:t>
            </w:r>
          </w:p>
        </w:tc>
        <w:tc>
          <w:tcPr>
            <w:tcW w:w="1187" w:type="dxa"/>
          </w:tcPr>
          <w:p>
            <w:pPr>
              <w:pStyle w:val="TableParagraph"/>
              <w:spacing w:before="23"/>
              <w:ind w:left="94" w:right="82"/>
              <w:jc w:val="center"/>
              <w:rPr>
                <w:sz w:val="16"/>
              </w:rPr>
            </w:pPr>
            <w:r>
              <w:rPr>
                <w:sz w:val="16"/>
              </w:rPr>
              <w:t>0.62</w:t>
            </w:r>
          </w:p>
        </w:tc>
        <w:tc>
          <w:tcPr>
            <w:tcW w:w="1806" w:type="dxa"/>
          </w:tcPr>
          <w:p>
            <w:pPr>
              <w:pStyle w:val="TableParagraph"/>
              <w:spacing w:before="23"/>
              <w:ind w:left="33"/>
              <w:rPr>
                <w:sz w:val="16"/>
              </w:rPr>
            </w:pPr>
            <w:r>
              <w:rPr>
                <w:sz w:val="16"/>
              </w:rPr>
              <w:t>Anisophyllea obtusifolia</w:t>
            </w:r>
          </w:p>
        </w:tc>
        <w:tc>
          <w:tcPr>
            <w:tcW w:w="1187" w:type="dxa"/>
          </w:tcPr>
          <w:p>
            <w:pPr>
              <w:pStyle w:val="TableParagraph"/>
              <w:spacing w:before="23"/>
              <w:ind w:right="396"/>
              <w:jc w:val="right"/>
              <w:rPr>
                <w:sz w:val="16"/>
              </w:rPr>
            </w:pPr>
            <w:r>
              <w:rPr>
                <w:sz w:val="16"/>
              </w:rPr>
              <w:t>0.63*</w:t>
            </w:r>
          </w:p>
        </w:tc>
      </w:tr>
      <w:tr>
        <w:trPr>
          <w:trHeight w:val="244" w:hRule="atLeast"/>
        </w:trPr>
        <w:tc>
          <w:tcPr>
            <w:tcW w:w="1838" w:type="dxa"/>
          </w:tcPr>
          <w:p>
            <w:pPr>
              <w:pStyle w:val="TableParagraph"/>
              <w:spacing w:before="23"/>
              <w:ind w:left="30"/>
              <w:rPr>
                <w:sz w:val="16"/>
              </w:rPr>
            </w:pPr>
            <w:r>
              <w:rPr>
                <w:sz w:val="16"/>
              </w:rPr>
              <w:t>Aleurites trisperma</w:t>
            </w:r>
          </w:p>
        </w:tc>
        <w:tc>
          <w:tcPr>
            <w:tcW w:w="1161" w:type="dxa"/>
          </w:tcPr>
          <w:p>
            <w:pPr>
              <w:pStyle w:val="TableParagraph"/>
              <w:spacing w:before="23"/>
              <w:ind w:left="52" w:right="45"/>
              <w:jc w:val="center"/>
              <w:rPr>
                <w:sz w:val="16"/>
              </w:rPr>
            </w:pPr>
            <w:r>
              <w:rPr>
                <w:sz w:val="16"/>
              </w:rPr>
              <w:t>0.43</w:t>
            </w:r>
          </w:p>
        </w:tc>
        <w:tc>
          <w:tcPr>
            <w:tcW w:w="1833" w:type="dxa"/>
          </w:tcPr>
          <w:p>
            <w:pPr>
              <w:pStyle w:val="TableParagraph"/>
              <w:spacing w:before="23"/>
              <w:ind w:left="29"/>
              <w:rPr>
                <w:sz w:val="16"/>
              </w:rPr>
            </w:pPr>
            <w:r>
              <w:rPr>
                <w:sz w:val="16"/>
              </w:rPr>
              <w:t>Antiaris africana</w:t>
            </w:r>
          </w:p>
        </w:tc>
        <w:tc>
          <w:tcPr>
            <w:tcW w:w="1187" w:type="dxa"/>
          </w:tcPr>
          <w:p>
            <w:pPr>
              <w:pStyle w:val="TableParagraph"/>
              <w:spacing w:before="23"/>
              <w:ind w:left="94" w:right="80"/>
              <w:jc w:val="center"/>
              <w:rPr>
                <w:sz w:val="16"/>
              </w:rPr>
            </w:pPr>
            <w:r>
              <w:rPr>
                <w:sz w:val="16"/>
              </w:rPr>
              <w:t>0.38</w:t>
            </w:r>
          </w:p>
        </w:tc>
        <w:tc>
          <w:tcPr>
            <w:tcW w:w="1806" w:type="dxa"/>
          </w:tcPr>
          <w:p>
            <w:pPr>
              <w:pStyle w:val="TableParagraph"/>
              <w:spacing w:before="23"/>
              <w:ind w:left="34"/>
              <w:rPr>
                <w:sz w:val="16"/>
              </w:rPr>
            </w:pPr>
            <w:r>
              <w:rPr>
                <w:sz w:val="16"/>
              </w:rPr>
              <w:t>Annonidium mannii</w:t>
            </w:r>
          </w:p>
        </w:tc>
        <w:tc>
          <w:tcPr>
            <w:tcW w:w="1187" w:type="dxa"/>
          </w:tcPr>
          <w:p>
            <w:pPr>
              <w:pStyle w:val="TableParagraph"/>
              <w:spacing w:before="23"/>
              <w:ind w:right="396"/>
              <w:jc w:val="right"/>
              <w:rPr>
                <w:sz w:val="16"/>
              </w:rPr>
            </w:pPr>
            <w:r>
              <w:rPr>
                <w:sz w:val="16"/>
              </w:rPr>
              <w:t>0.29*</w:t>
            </w:r>
          </w:p>
        </w:tc>
      </w:tr>
      <w:tr>
        <w:trPr>
          <w:trHeight w:val="244" w:hRule="atLeast"/>
        </w:trPr>
        <w:tc>
          <w:tcPr>
            <w:tcW w:w="1838" w:type="dxa"/>
          </w:tcPr>
          <w:p>
            <w:pPr>
              <w:pStyle w:val="TableParagraph"/>
              <w:spacing w:before="23"/>
              <w:ind w:left="30"/>
              <w:rPr>
                <w:sz w:val="16"/>
              </w:rPr>
            </w:pPr>
            <w:r>
              <w:rPr>
                <w:sz w:val="16"/>
              </w:rPr>
              <w:t>Alnus japonica</w:t>
            </w:r>
          </w:p>
        </w:tc>
        <w:tc>
          <w:tcPr>
            <w:tcW w:w="1161" w:type="dxa"/>
          </w:tcPr>
          <w:p>
            <w:pPr>
              <w:pStyle w:val="TableParagraph"/>
              <w:spacing w:before="23"/>
              <w:ind w:left="52" w:right="47"/>
              <w:jc w:val="center"/>
              <w:rPr>
                <w:sz w:val="16"/>
              </w:rPr>
            </w:pPr>
            <w:r>
              <w:rPr>
                <w:sz w:val="16"/>
              </w:rPr>
              <w:t>0.43</w:t>
            </w:r>
          </w:p>
        </w:tc>
        <w:tc>
          <w:tcPr>
            <w:tcW w:w="1833" w:type="dxa"/>
          </w:tcPr>
          <w:p>
            <w:pPr>
              <w:pStyle w:val="TableParagraph"/>
              <w:spacing w:before="23"/>
              <w:ind w:left="29"/>
              <w:rPr>
                <w:sz w:val="16"/>
              </w:rPr>
            </w:pPr>
            <w:r>
              <w:rPr>
                <w:sz w:val="16"/>
              </w:rPr>
              <w:t>Apeiba echinata</w:t>
            </w:r>
          </w:p>
        </w:tc>
        <w:tc>
          <w:tcPr>
            <w:tcW w:w="1187" w:type="dxa"/>
          </w:tcPr>
          <w:p>
            <w:pPr>
              <w:pStyle w:val="TableParagraph"/>
              <w:spacing w:before="23"/>
              <w:ind w:left="94" w:right="83"/>
              <w:jc w:val="center"/>
              <w:rPr>
                <w:sz w:val="16"/>
              </w:rPr>
            </w:pPr>
            <w:r>
              <w:rPr>
                <w:sz w:val="16"/>
              </w:rPr>
              <w:t>0.36</w:t>
            </w:r>
          </w:p>
        </w:tc>
        <w:tc>
          <w:tcPr>
            <w:tcW w:w="1806" w:type="dxa"/>
          </w:tcPr>
          <w:p>
            <w:pPr>
              <w:pStyle w:val="TableParagraph"/>
              <w:spacing w:before="23"/>
              <w:ind w:left="33"/>
              <w:rPr>
                <w:sz w:val="16"/>
              </w:rPr>
            </w:pPr>
            <w:r>
              <w:rPr>
                <w:sz w:val="16"/>
              </w:rPr>
              <w:t>Anopyxis klaineana</w:t>
            </w:r>
          </w:p>
        </w:tc>
        <w:tc>
          <w:tcPr>
            <w:tcW w:w="1187" w:type="dxa"/>
          </w:tcPr>
          <w:p>
            <w:pPr>
              <w:pStyle w:val="TableParagraph"/>
              <w:spacing w:before="23"/>
              <w:ind w:right="395"/>
              <w:jc w:val="right"/>
              <w:rPr>
                <w:sz w:val="16"/>
              </w:rPr>
            </w:pPr>
            <w:r>
              <w:rPr>
                <w:sz w:val="16"/>
              </w:rPr>
              <w:t>0.74*</w:t>
            </w:r>
          </w:p>
        </w:tc>
      </w:tr>
      <w:tr>
        <w:trPr>
          <w:trHeight w:val="246" w:hRule="atLeast"/>
        </w:trPr>
        <w:tc>
          <w:tcPr>
            <w:tcW w:w="1838" w:type="dxa"/>
          </w:tcPr>
          <w:p>
            <w:pPr>
              <w:pStyle w:val="TableParagraph"/>
              <w:spacing w:before="23"/>
              <w:ind w:left="30"/>
              <w:rPr>
                <w:sz w:val="16"/>
              </w:rPr>
            </w:pPr>
            <w:r>
              <w:rPr>
                <w:sz w:val="16"/>
              </w:rPr>
              <w:t>Alphitonia zizyphoides</w:t>
            </w:r>
          </w:p>
        </w:tc>
        <w:tc>
          <w:tcPr>
            <w:tcW w:w="1161" w:type="dxa"/>
          </w:tcPr>
          <w:p>
            <w:pPr>
              <w:pStyle w:val="TableParagraph"/>
              <w:spacing w:before="23"/>
              <w:ind w:left="51" w:right="47"/>
              <w:jc w:val="center"/>
              <w:rPr>
                <w:sz w:val="16"/>
              </w:rPr>
            </w:pPr>
            <w:r>
              <w:rPr>
                <w:sz w:val="16"/>
              </w:rPr>
              <w:t>0.5</w:t>
            </w:r>
          </w:p>
        </w:tc>
        <w:tc>
          <w:tcPr>
            <w:tcW w:w="1833" w:type="dxa"/>
          </w:tcPr>
          <w:p>
            <w:pPr>
              <w:pStyle w:val="TableParagraph"/>
              <w:spacing w:before="23"/>
              <w:ind w:left="29"/>
              <w:rPr>
                <w:sz w:val="16"/>
              </w:rPr>
            </w:pPr>
            <w:r>
              <w:rPr>
                <w:sz w:val="16"/>
              </w:rPr>
              <w:t>Artocarpus comunis</w:t>
            </w:r>
          </w:p>
        </w:tc>
        <w:tc>
          <w:tcPr>
            <w:tcW w:w="1187" w:type="dxa"/>
          </w:tcPr>
          <w:p>
            <w:pPr>
              <w:pStyle w:val="TableParagraph"/>
              <w:spacing w:before="23"/>
              <w:ind w:left="93" w:right="83"/>
              <w:jc w:val="center"/>
              <w:rPr>
                <w:sz w:val="16"/>
              </w:rPr>
            </w:pPr>
            <w:r>
              <w:rPr>
                <w:sz w:val="16"/>
              </w:rPr>
              <w:t>0.7</w:t>
            </w:r>
          </w:p>
        </w:tc>
        <w:tc>
          <w:tcPr>
            <w:tcW w:w="1806" w:type="dxa"/>
          </w:tcPr>
          <w:p>
            <w:pPr>
              <w:pStyle w:val="TableParagraph"/>
              <w:spacing w:before="23"/>
              <w:ind w:left="33"/>
              <w:rPr>
                <w:sz w:val="16"/>
              </w:rPr>
            </w:pPr>
            <w:r>
              <w:rPr>
                <w:sz w:val="16"/>
              </w:rPr>
              <w:t>Anthocleista keniensis</w:t>
            </w:r>
          </w:p>
        </w:tc>
        <w:tc>
          <w:tcPr>
            <w:tcW w:w="1187" w:type="dxa"/>
          </w:tcPr>
          <w:p>
            <w:pPr>
              <w:pStyle w:val="TableParagraph"/>
              <w:spacing w:before="23"/>
              <w:ind w:right="396"/>
              <w:jc w:val="right"/>
              <w:rPr>
                <w:sz w:val="16"/>
              </w:rPr>
            </w:pPr>
            <w:r>
              <w:rPr>
                <w:sz w:val="16"/>
              </w:rPr>
              <w:t>0.50*</w:t>
            </w:r>
          </w:p>
        </w:tc>
      </w:tr>
      <w:tr>
        <w:trPr>
          <w:trHeight w:val="386" w:hRule="atLeast"/>
        </w:trPr>
        <w:tc>
          <w:tcPr>
            <w:tcW w:w="1838" w:type="dxa"/>
          </w:tcPr>
          <w:p>
            <w:pPr>
              <w:pStyle w:val="TableParagraph"/>
              <w:spacing w:before="95"/>
              <w:ind w:left="30"/>
              <w:rPr>
                <w:sz w:val="16"/>
              </w:rPr>
            </w:pPr>
            <w:r>
              <w:rPr>
                <w:sz w:val="16"/>
              </w:rPr>
              <w:t>Alphonsea arborea</w:t>
            </w:r>
          </w:p>
        </w:tc>
        <w:tc>
          <w:tcPr>
            <w:tcW w:w="1161" w:type="dxa"/>
          </w:tcPr>
          <w:p>
            <w:pPr>
              <w:pStyle w:val="TableParagraph"/>
              <w:spacing w:before="95"/>
              <w:ind w:left="52" w:right="46"/>
              <w:jc w:val="center"/>
              <w:rPr>
                <w:sz w:val="16"/>
              </w:rPr>
            </w:pPr>
            <w:r>
              <w:rPr>
                <w:sz w:val="16"/>
              </w:rPr>
              <w:t>0.69</w:t>
            </w:r>
          </w:p>
        </w:tc>
        <w:tc>
          <w:tcPr>
            <w:tcW w:w="1833" w:type="dxa"/>
          </w:tcPr>
          <w:p>
            <w:pPr>
              <w:pStyle w:val="TableParagraph"/>
              <w:spacing w:line="182" w:lineRule="exact" w:before="7"/>
              <w:ind w:left="29" w:right="547"/>
              <w:rPr>
                <w:sz w:val="16"/>
              </w:rPr>
            </w:pPr>
            <w:r>
              <w:rPr>
                <w:sz w:val="16"/>
              </w:rPr>
              <w:t>Aspidosperma spp. (araracanga group)</w:t>
            </w:r>
          </w:p>
        </w:tc>
        <w:tc>
          <w:tcPr>
            <w:tcW w:w="1187" w:type="dxa"/>
          </w:tcPr>
          <w:p>
            <w:pPr>
              <w:pStyle w:val="TableParagraph"/>
              <w:spacing w:before="95"/>
              <w:ind w:left="93" w:right="83"/>
              <w:jc w:val="center"/>
              <w:rPr>
                <w:sz w:val="16"/>
              </w:rPr>
            </w:pPr>
            <w:r>
              <w:rPr>
                <w:sz w:val="16"/>
              </w:rPr>
              <w:t>0.75</w:t>
            </w:r>
          </w:p>
        </w:tc>
        <w:tc>
          <w:tcPr>
            <w:tcW w:w="1806" w:type="dxa"/>
          </w:tcPr>
          <w:p>
            <w:pPr>
              <w:pStyle w:val="TableParagraph"/>
              <w:spacing w:before="95"/>
              <w:ind w:left="33"/>
              <w:rPr>
                <w:sz w:val="16"/>
              </w:rPr>
            </w:pPr>
            <w:r>
              <w:rPr>
                <w:sz w:val="16"/>
              </w:rPr>
              <w:t>Anthonotha macrophylla</w:t>
            </w:r>
          </w:p>
        </w:tc>
        <w:tc>
          <w:tcPr>
            <w:tcW w:w="1187" w:type="dxa"/>
          </w:tcPr>
          <w:p>
            <w:pPr>
              <w:pStyle w:val="TableParagraph"/>
              <w:spacing w:before="95"/>
              <w:ind w:right="396"/>
              <w:jc w:val="right"/>
              <w:rPr>
                <w:sz w:val="16"/>
              </w:rPr>
            </w:pPr>
            <w:r>
              <w:rPr>
                <w:sz w:val="16"/>
              </w:rPr>
              <w:t>0.78*</w:t>
            </w:r>
          </w:p>
        </w:tc>
      </w:tr>
      <w:tr>
        <w:trPr>
          <w:trHeight w:val="244" w:hRule="atLeast"/>
        </w:trPr>
        <w:tc>
          <w:tcPr>
            <w:tcW w:w="1838" w:type="dxa"/>
          </w:tcPr>
          <w:p>
            <w:pPr>
              <w:pStyle w:val="TableParagraph"/>
              <w:spacing w:before="23"/>
              <w:ind w:left="30"/>
              <w:rPr>
                <w:sz w:val="16"/>
              </w:rPr>
            </w:pPr>
            <w:r>
              <w:rPr>
                <w:sz w:val="16"/>
              </w:rPr>
              <w:t>Alseodaphne longipes</w:t>
            </w:r>
          </w:p>
        </w:tc>
        <w:tc>
          <w:tcPr>
            <w:tcW w:w="1161" w:type="dxa"/>
          </w:tcPr>
          <w:p>
            <w:pPr>
              <w:pStyle w:val="TableParagraph"/>
              <w:spacing w:before="23"/>
              <w:ind w:left="52" w:right="46"/>
              <w:jc w:val="center"/>
              <w:rPr>
                <w:sz w:val="16"/>
              </w:rPr>
            </w:pPr>
            <w:r>
              <w:rPr>
                <w:sz w:val="16"/>
              </w:rPr>
              <w:t>0.49</w:t>
            </w:r>
          </w:p>
        </w:tc>
        <w:tc>
          <w:tcPr>
            <w:tcW w:w="1833" w:type="dxa"/>
          </w:tcPr>
          <w:p>
            <w:pPr>
              <w:pStyle w:val="TableParagraph"/>
              <w:spacing w:before="23"/>
              <w:ind w:left="29"/>
              <w:rPr>
                <w:sz w:val="16"/>
              </w:rPr>
            </w:pPr>
            <w:r>
              <w:rPr>
                <w:sz w:val="16"/>
              </w:rPr>
              <w:t>Astronium lecointei</w:t>
            </w:r>
          </w:p>
        </w:tc>
        <w:tc>
          <w:tcPr>
            <w:tcW w:w="1187" w:type="dxa"/>
          </w:tcPr>
          <w:p>
            <w:pPr>
              <w:pStyle w:val="TableParagraph"/>
              <w:spacing w:before="23"/>
              <w:ind w:left="94" w:right="82"/>
              <w:jc w:val="center"/>
              <w:rPr>
                <w:sz w:val="16"/>
              </w:rPr>
            </w:pPr>
            <w:r>
              <w:rPr>
                <w:sz w:val="16"/>
              </w:rPr>
              <w:t>0.73</w:t>
            </w:r>
          </w:p>
        </w:tc>
        <w:tc>
          <w:tcPr>
            <w:tcW w:w="1806" w:type="dxa"/>
          </w:tcPr>
          <w:p>
            <w:pPr>
              <w:pStyle w:val="TableParagraph"/>
              <w:spacing w:before="23"/>
              <w:ind w:left="33"/>
              <w:rPr>
                <w:sz w:val="16"/>
              </w:rPr>
            </w:pPr>
            <w:r>
              <w:rPr>
                <w:sz w:val="16"/>
              </w:rPr>
              <w:t>Anthostemma aubryanum</w:t>
            </w:r>
          </w:p>
        </w:tc>
        <w:tc>
          <w:tcPr>
            <w:tcW w:w="1187" w:type="dxa"/>
          </w:tcPr>
          <w:p>
            <w:pPr>
              <w:pStyle w:val="TableParagraph"/>
              <w:spacing w:before="23"/>
              <w:ind w:right="396"/>
              <w:jc w:val="right"/>
              <w:rPr>
                <w:sz w:val="16"/>
              </w:rPr>
            </w:pPr>
            <w:r>
              <w:rPr>
                <w:sz w:val="16"/>
              </w:rPr>
              <w:t>0.32*</w:t>
            </w:r>
          </w:p>
        </w:tc>
      </w:tr>
      <w:tr>
        <w:trPr>
          <w:trHeight w:val="246" w:hRule="atLeast"/>
        </w:trPr>
        <w:tc>
          <w:tcPr>
            <w:tcW w:w="1838" w:type="dxa"/>
          </w:tcPr>
          <w:p>
            <w:pPr>
              <w:pStyle w:val="TableParagraph"/>
              <w:spacing w:before="23"/>
              <w:ind w:left="30"/>
              <w:rPr>
                <w:sz w:val="16"/>
              </w:rPr>
            </w:pPr>
            <w:r>
              <w:rPr>
                <w:sz w:val="16"/>
              </w:rPr>
              <w:t>Alstonia spp.</w:t>
            </w:r>
          </w:p>
        </w:tc>
        <w:tc>
          <w:tcPr>
            <w:tcW w:w="1161" w:type="dxa"/>
          </w:tcPr>
          <w:p>
            <w:pPr>
              <w:pStyle w:val="TableParagraph"/>
              <w:spacing w:before="23"/>
              <w:ind w:left="52" w:right="46"/>
              <w:jc w:val="center"/>
              <w:rPr>
                <w:sz w:val="16"/>
              </w:rPr>
            </w:pPr>
            <w:r>
              <w:rPr>
                <w:sz w:val="16"/>
              </w:rPr>
              <w:t>0.37</w:t>
            </w:r>
          </w:p>
        </w:tc>
        <w:tc>
          <w:tcPr>
            <w:tcW w:w="1833" w:type="dxa"/>
          </w:tcPr>
          <w:p>
            <w:pPr>
              <w:pStyle w:val="TableParagraph"/>
              <w:spacing w:before="23"/>
              <w:ind w:left="29"/>
              <w:rPr>
                <w:sz w:val="16"/>
              </w:rPr>
            </w:pPr>
            <w:r>
              <w:rPr>
                <w:sz w:val="16"/>
              </w:rPr>
              <w:t>Bagassa guianensis</w:t>
            </w:r>
          </w:p>
        </w:tc>
        <w:tc>
          <w:tcPr>
            <w:tcW w:w="1187" w:type="dxa"/>
          </w:tcPr>
          <w:p>
            <w:pPr>
              <w:pStyle w:val="TableParagraph"/>
              <w:spacing w:before="23"/>
              <w:ind w:left="94" w:right="79"/>
              <w:jc w:val="center"/>
              <w:rPr>
                <w:sz w:val="16"/>
              </w:rPr>
            </w:pPr>
            <w:r>
              <w:rPr>
                <w:sz w:val="16"/>
              </w:rPr>
              <w:t>0.68,0.69+</w:t>
            </w:r>
          </w:p>
        </w:tc>
        <w:tc>
          <w:tcPr>
            <w:tcW w:w="1806" w:type="dxa"/>
          </w:tcPr>
          <w:p>
            <w:pPr>
              <w:pStyle w:val="TableParagraph"/>
              <w:spacing w:before="23"/>
              <w:ind w:left="34"/>
              <w:rPr>
                <w:sz w:val="16"/>
              </w:rPr>
            </w:pPr>
            <w:r>
              <w:rPr>
                <w:sz w:val="16"/>
              </w:rPr>
              <w:t>Antiaris spp.</w:t>
            </w:r>
          </w:p>
        </w:tc>
        <w:tc>
          <w:tcPr>
            <w:tcW w:w="1187" w:type="dxa"/>
          </w:tcPr>
          <w:p>
            <w:pPr>
              <w:pStyle w:val="TableParagraph"/>
              <w:spacing w:before="23"/>
              <w:ind w:right="437"/>
              <w:jc w:val="right"/>
              <w:rPr>
                <w:sz w:val="16"/>
              </w:rPr>
            </w:pPr>
            <w:r>
              <w:rPr>
                <w:sz w:val="16"/>
              </w:rPr>
              <w:t>0.38</w:t>
            </w:r>
          </w:p>
        </w:tc>
      </w:tr>
      <w:tr>
        <w:trPr>
          <w:trHeight w:val="244" w:hRule="atLeast"/>
        </w:trPr>
        <w:tc>
          <w:tcPr>
            <w:tcW w:w="1838" w:type="dxa"/>
          </w:tcPr>
          <w:p>
            <w:pPr>
              <w:pStyle w:val="TableParagraph"/>
              <w:spacing w:before="23"/>
              <w:ind w:left="30"/>
              <w:rPr>
                <w:sz w:val="16"/>
              </w:rPr>
            </w:pPr>
            <w:r>
              <w:rPr>
                <w:sz w:val="16"/>
              </w:rPr>
              <w:t>Amoora spp.</w:t>
            </w:r>
          </w:p>
        </w:tc>
        <w:tc>
          <w:tcPr>
            <w:tcW w:w="1161" w:type="dxa"/>
          </w:tcPr>
          <w:p>
            <w:pPr>
              <w:pStyle w:val="TableParagraph"/>
              <w:spacing w:before="23"/>
              <w:ind w:left="51" w:right="47"/>
              <w:jc w:val="center"/>
              <w:rPr>
                <w:sz w:val="16"/>
              </w:rPr>
            </w:pPr>
            <w:r>
              <w:rPr>
                <w:sz w:val="16"/>
              </w:rPr>
              <w:t>0.6</w:t>
            </w:r>
          </w:p>
        </w:tc>
        <w:tc>
          <w:tcPr>
            <w:tcW w:w="1833" w:type="dxa"/>
          </w:tcPr>
          <w:p>
            <w:pPr>
              <w:pStyle w:val="TableParagraph"/>
              <w:spacing w:before="23"/>
              <w:ind w:left="28"/>
              <w:rPr>
                <w:sz w:val="16"/>
              </w:rPr>
            </w:pPr>
            <w:r>
              <w:rPr>
                <w:sz w:val="16"/>
              </w:rPr>
              <w:t>Banara guianensis</w:t>
            </w:r>
          </w:p>
        </w:tc>
        <w:tc>
          <w:tcPr>
            <w:tcW w:w="1187" w:type="dxa"/>
          </w:tcPr>
          <w:p>
            <w:pPr>
              <w:pStyle w:val="TableParagraph"/>
              <w:spacing w:before="23"/>
              <w:ind w:left="92" w:right="83"/>
              <w:jc w:val="center"/>
              <w:rPr>
                <w:sz w:val="16"/>
              </w:rPr>
            </w:pPr>
            <w:r>
              <w:rPr>
                <w:sz w:val="16"/>
              </w:rPr>
              <w:t>0.61</w:t>
            </w:r>
          </w:p>
        </w:tc>
        <w:tc>
          <w:tcPr>
            <w:tcW w:w="1806" w:type="dxa"/>
          </w:tcPr>
          <w:p>
            <w:pPr>
              <w:pStyle w:val="TableParagraph"/>
              <w:spacing w:before="23"/>
              <w:ind w:left="32"/>
              <w:rPr>
                <w:sz w:val="16"/>
              </w:rPr>
            </w:pPr>
            <w:r>
              <w:rPr>
                <w:sz w:val="16"/>
              </w:rPr>
              <w:t>Antrocaryon klaineanum</w:t>
            </w:r>
          </w:p>
        </w:tc>
        <w:tc>
          <w:tcPr>
            <w:tcW w:w="1187" w:type="dxa"/>
          </w:tcPr>
          <w:p>
            <w:pPr>
              <w:pStyle w:val="TableParagraph"/>
              <w:spacing w:before="23"/>
              <w:ind w:right="397"/>
              <w:jc w:val="right"/>
              <w:rPr>
                <w:sz w:val="16"/>
              </w:rPr>
            </w:pPr>
            <w:r>
              <w:rPr>
                <w:sz w:val="16"/>
              </w:rPr>
              <w:t>0.50*</w:t>
            </w:r>
          </w:p>
        </w:tc>
      </w:tr>
      <w:tr>
        <w:trPr>
          <w:trHeight w:val="244" w:hRule="atLeast"/>
        </w:trPr>
        <w:tc>
          <w:tcPr>
            <w:tcW w:w="1838" w:type="dxa"/>
          </w:tcPr>
          <w:p>
            <w:pPr>
              <w:pStyle w:val="TableParagraph"/>
              <w:spacing w:before="23"/>
              <w:ind w:left="30"/>
              <w:rPr>
                <w:sz w:val="16"/>
              </w:rPr>
            </w:pPr>
            <w:r>
              <w:rPr>
                <w:sz w:val="16"/>
              </w:rPr>
              <w:t>Anisophyllea zeylanica</w:t>
            </w:r>
          </w:p>
        </w:tc>
        <w:tc>
          <w:tcPr>
            <w:tcW w:w="1161" w:type="dxa"/>
          </w:tcPr>
          <w:p>
            <w:pPr>
              <w:pStyle w:val="TableParagraph"/>
              <w:spacing w:before="23"/>
              <w:ind w:left="52" w:right="43"/>
              <w:jc w:val="center"/>
              <w:rPr>
                <w:sz w:val="16"/>
              </w:rPr>
            </w:pPr>
            <w:r>
              <w:rPr>
                <w:sz w:val="16"/>
              </w:rPr>
              <w:t>0.46*</w:t>
            </w:r>
          </w:p>
        </w:tc>
        <w:tc>
          <w:tcPr>
            <w:tcW w:w="1833" w:type="dxa"/>
          </w:tcPr>
          <w:p>
            <w:pPr>
              <w:pStyle w:val="TableParagraph"/>
              <w:spacing w:before="23"/>
              <w:ind w:left="29"/>
              <w:rPr>
                <w:sz w:val="16"/>
              </w:rPr>
            </w:pPr>
            <w:r>
              <w:rPr>
                <w:sz w:val="16"/>
              </w:rPr>
              <w:t>Basiloxylon exelsum</w:t>
            </w:r>
          </w:p>
        </w:tc>
        <w:tc>
          <w:tcPr>
            <w:tcW w:w="1187" w:type="dxa"/>
          </w:tcPr>
          <w:p>
            <w:pPr>
              <w:pStyle w:val="TableParagraph"/>
              <w:spacing w:before="23"/>
              <w:ind w:left="90" w:right="83"/>
              <w:jc w:val="center"/>
              <w:rPr>
                <w:sz w:val="16"/>
              </w:rPr>
            </w:pPr>
            <w:r>
              <w:rPr>
                <w:sz w:val="16"/>
              </w:rPr>
              <w:t>0.58</w:t>
            </w:r>
          </w:p>
        </w:tc>
        <w:tc>
          <w:tcPr>
            <w:tcW w:w="1806" w:type="dxa"/>
          </w:tcPr>
          <w:p>
            <w:pPr>
              <w:pStyle w:val="TableParagraph"/>
              <w:spacing w:before="23"/>
              <w:ind w:left="32"/>
              <w:rPr>
                <w:sz w:val="16"/>
              </w:rPr>
            </w:pPr>
            <w:r>
              <w:rPr>
                <w:sz w:val="16"/>
              </w:rPr>
              <w:t>Aucoumea klaineana</w:t>
            </w:r>
          </w:p>
        </w:tc>
        <w:tc>
          <w:tcPr>
            <w:tcW w:w="1187" w:type="dxa"/>
          </w:tcPr>
          <w:p>
            <w:pPr>
              <w:pStyle w:val="TableParagraph"/>
              <w:spacing w:before="23"/>
              <w:ind w:right="438"/>
              <w:jc w:val="right"/>
              <w:rPr>
                <w:sz w:val="16"/>
              </w:rPr>
            </w:pPr>
            <w:r>
              <w:rPr>
                <w:sz w:val="16"/>
              </w:rPr>
              <w:t>0.37</w:t>
            </w:r>
          </w:p>
        </w:tc>
      </w:tr>
      <w:tr>
        <w:trPr>
          <w:trHeight w:val="244" w:hRule="atLeast"/>
        </w:trPr>
        <w:tc>
          <w:tcPr>
            <w:tcW w:w="1838" w:type="dxa"/>
          </w:tcPr>
          <w:p>
            <w:pPr>
              <w:pStyle w:val="TableParagraph"/>
              <w:spacing w:before="23"/>
              <w:ind w:left="30"/>
              <w:rPr>
                <w:sz w:val="16"/>
              </w:rPr>
            </w:pPr>
            <w:r>
              <w:rPr>
                <w:sz w:val="16"/>
              </w:rPr>
              <w:t>Anisoptera spp,</w:t>
            </w:r>
          </w:p>
        </w:tc>
        <w:tc>
          <w:tcPr>
            <w:tcW w:w="1161" w:type="dxa"/>
          </w:tcPr>
          <w:p>
            <w:pPr>
              <w:pStyle w:val="TableParagraph"/>
              <w:spacing w:before="23"/>
              <w:ind w:left="52" w:right="47"/>
              <w:jc w:val="center"/>
              <w:rPr>
                <w:sz w:val="16"/>
              </w:rPr>
            </w:pPr>
            <w:r>
              <w:rPr>
                <w:sz w:val="16"/>
              </w:rPr>
              <w:t>0.54</w:t>
            </w:r>
          </w:p>
        </w:tc>
        <w:tc>
          <w:tcPr>
            <w:tcW w:w="1833" w:type="dxa"/>
          </w:tcPr>
          <w:p>
            <w:pPr>
              <w:pStyle w:val="TableParagraph"/>
              <w:spacing w:before="23"/>
              <w:ind w:left="29"/>
              <w:rPr>
                <w:sz w:val="16"/>
              </w:rPr>
            </w:pPr>
            <w:r>
              <w:rPr>
                <w:sz w:val="16"/>
              </w:rPr>
              <w:t>Beilschmiedia sp.</w:t>
            </w:r>
          </w:p>
        </w:tc>
        <w:tc>
          <w:tcPr>
            <w:tcW w:w="1187" w:type="dxa"/>
          </w:tcPr>
          <w:p>
            <w:pPr>
              <w:pStyle w:val="TableParagraph"/>
              <w:spacing w:before="23"/>
              <w:ind w:left="94" w:right="83"/>
              <w:jc w:val="center"/>
              <w:rPr>
                <w:sz w:val="16"/>
              </w:rPr>
            </w:pPr>
            <w:r>
              <w:rPr>
                <w:sz w:val="16"/>
              </w:rPr>
              <w:t>0.61</w:t>
            </w:r>
          </w:p>
        </w:tc>
        <w:tc>
          <w:tcPr>
            <w:tcW w:w="1806" w:type="dxa"/>
          </w:tcPr>
          <w:p>
            <w:pPr>
              <w:pStyle w:val="TableParagraph"/>
              <w:spacing w:before="23"/>
              <w:ind w:left="33"/>
              <w:rPr>
                <w:sz w:val="16"/>
              </w:rPr>
            </w:pPr>
            <w:r>
              <w:rPr>
                <w:sz w:val="16"/>
              </w:rPr>
              <w:t>Autranella congolensis</w:t>
            </w:r>
          </w:p>
        </w:tc>
        <w:tc>
          <w:tcPr>
            <w:tcW w:w="1187" w:type="dxa"/>
          </w:tcPr>
          <w:p>
            <w:pPr>
              <w:pStyle w:val="TableParagraph"/>
              <w:spacing w:before="23"/>
              <w:ind w:right="437"/>
              <w:jc w:val="right"/>
              <w:rPr>
                <w:sz w:val="16"/>
              </w:rPr>
            </w:pPr>
            <w:r>
              <w:rPr>
                <w:sz w:val="16"/>
              </w:rPr>
              <w:t>0.78</w:t>
            </w:r>
          </w:p>
        </w:tc>
      </w:tr>
      <w:tr>
        <w:trPr>
          <w:trHeight w:val="246" w:hRule="atLeast"/>
        </w:trPr>
        <w:tc>
          <w:tcPr>
            <w:tcW w:w="1838" w:type="dxa"/>
          </w:tcPr>
          <w:p>
            <w:pPr>
              <w:pStyle w:val="TableParagraph"/>
              <w:spacing w:before="23"/>
              <w:ind w:left="30"/>
              <w:rPr>
                <w:sz w:val="16"/>
              </w:rPr>
            </w:pPr>
            <w:r>
              <w:rPr>
                <w:sz w:val="16"/>
              </w:rPr>
              <w:t>Anogeissus latifolia</w:t>
            </w:r>
          </w:p>
        </w:tc>
        <w:tc>
          <w:tcPr>
            <w:tcW w:w="1161" w:type="dxa"/>
          </w:tcPr>
          <w:p>
            <w:pPr>
              <w:pStyle w:val="TableParagraph"/>
              <w:spacing w:before="23"/>
              <w:ind w:left="52" w:right="44"/>
              <w:jc w:val="center"/>
              <w:rPr>
                <w:sz w:val="16"/>
              </w:rPr>
            </w:pPr>
            <w:r>
              <w:rPr>
                <w:sz w:val="16"/>
              </w:rPr>
              <w:t>0.78, 0.79+</w:t>
            </w:r>
          </w:p>
        </w:tc>
        <w:tc>
          <w:tcPr>
            <w:tcW w:w="1833" w:type="dxa"/>
          </w:tcPr>
          <w:p>
            <w:pPr>
              <w:pStyle w:val="TableParagraph"/>
              <w:spacing w:before="23"/>
              <w:ind w:left="29"/>
              <w:rPr>
                <w:sz w:val="16"/>
              </w:rPr>
            </w:pPr>
            <w:r>
              <w:rPr>
                <w:sz w:val="16"/>
              </w:rPr>
              <w:t>Berthollettia excelsa</w:t>
            </w:r>
          </w:p>
        </w:tc>
        <w:tc>
          <w:tcPr>
            <w:tcW w:w="1187" w:type="dxa"/>
          </w:tcPr>
          <w:p>
            <w:pPr>
              <w:pStyle w:val="TableParagraph"/>
              <w:spacing w:before="23"/>
              <w:ind w:left="93" w:right="83"/>
              <w:jc w:val="center"/>
              <w:rPr>
                <w:sz w:val="16"/>
              </w:rPr>
            </w:pPr>
            <w:r>
              <w:rPr>
                <w:sz w:val="16"/>
              </w:rPr>
              <w:t>0.59, 0.63+</w:t>
            </w:r>
          </w:p>
        </w:tc>
        <w:tc>
          <w:tcPr>
            <w:tcW w:w="1806" w:type="dxa"/>
          </w:tcPr>
          <w:p>
            <w:pPr>
              <w:pStyle w:val="TableParagraph"/>
              <w:spacing w:before="23"/>
              <w:ind w:left="34"/>
              <w:rPr>
                <w:sz w:val="16"/>
              </w:rPr>
            </w:pPr>
            <w:r>
              <w:rPr>
                <w:sz w:val="16"/>
              </w:rPr>
              <w:t>Baillonella toxisperma</w:t>
            </w:r>
          </w:p>
        </w:tc>
        <w:tc>
          <w:tcPr>
            <w:tcW w:w="1187" w:type="dxa"/>
          </w:tcPr>
          <w:p>
            <w:pPr>
              <w:pStyle w:val="TableParagraph"/>
              <w:spacing w:before="23"/>
              <w:ind w:right="436"/>
              <w:jc w:val="right"/>
              <w:rPr>
                <w:sz w:val="16"/>
              </w:rPr>
            </w:pPr>
            <w:r>
              <w:rPr>
                <w:sz w:val="16"/>
              </w:rPr>
              <w:t>0.71</w:t>
            </w:r>
          </w:p>
        </w:tc>
      </w:tr>
      <w:tr>
        <w:trPr>
          <w:trHeight w:val="244" w:hRule="atLeast"/>
        </w:trPr>
        <w:tc>
          <w:tcPr>
            <w:tcW w:w="1838" w:type="dxa"/>
          </w:tcPr>
          <w:p>
            <w:pPr>
              <w:pStyle w:val="TableParagraph"/>
              <w:spacing w:before="23"/>
              <w:ind w:left="30"/>
              <w:rPr>
                <w:sz w:val="16"/>
              </w:rPr>
            </w:pPr>
            <w:r>
              <w:rPr>
                <w:sz w:val="16"/>
              </w:rPr>
              <w:t>Anthocephalus chinensis</w:t>
            </w:r>
          </w:p>
        </w:tc>
        <w:tc>
          <w:tcPr>
            <w:tcW w:w="1161" w:type="dxa"/>
          </w:tcPr>
          <w:p>
            <w:pPr>
              <w:pStyle w:val="TableParagraph"/>
              <w:spacing w:before="23"/>
              <w:ind w:left="52" w:right="43"/>
              <w:jc w:val="center"/>
              <w:rPr>
                <w:sz w:val="16"/>
              </w:rPr>
            </w:pPr>
            <w:r>
              <w:rPr>
                <w:sz w:val="16"/>
              </w:rPr>
              <w:t>0.36,0.33+</w:t>
            </w:r>
          </w:p>
        </w:tc>
        <w:tc>
          <w:tcPr>
            <w:tcW w:w="1833" w:type="dxa"/>
          </w:tcPr>
          <w:p>
            <w:pPr>
              <w:pStyle w:val="TableParagraph"/>
              <w:spacing w:before="23"/>
              <w:ind w:left="29"/>
              <w:rPr>
                <w:sz w:val="16"/>
              </w:rPr>
            </w:pPr>
            <w:r>
              <w:rPr>
                <w:sz w:val="16"/>
              </w:rPr>
              <w:t>Bixa arborea</w:t>
            </w:r>
          </w:p>
        </w:tc>
        <w:tc>
          <w:tcPr>
            <w:tcW w:w="1187" w:type="dxa"/>
          </w:tcPr>
          <w:p>
            <w:pPr>
              <w:pStyle w:val="TableParagraph"/>
              <w:spacing w:before="23"/>
              <w:ind w:left="94" w:right="82"/>
              <w:jc w:val="center"/>
              <w:rPr>
                <w:sz w:val="16"/>
              </w:rPr>
            </w:pPr>
            <w:r>
              <w:rPr>
                <w:sz w:val="16"/>
              </w:rPr>
              <w:t>0.32</w:t>
            </w:r>
          </w:p>
        </w:tc>
        <w:tc>
          <w:tcPr>
            <w:tcW w:w="1806" w:type="dxa"/>
          </w:tcPr>
          <w:p>
            <w:pPr>
              <w:pStyle w:val="TableParagraph"/>
              <w:spacing w:before="23"/>
              <w:ind w:left="33"/>
              <w:rPr>
                <w:sz w:val="16"/>
              </w:rPr>
            </w:pPr>
            <w:r>
              <w:rPr>
                <w:sz w:val="16"/>
              </w:rPr>
              <w:t>Balanites aegyptiaca</w:t>
            </w:r>
          </w:p>
        </w:tc>
        <w:tc>
          <w:tcPr>
            <w:tcW w:w="1187" w:type="dxa"/>
          </w:tcPr>
          <w:p>
            <w:pPr>
              <w:pStyle w:val="TableParagraph"/>
              <w:spacing w:before="23"/>
              <w:ind w:right="396"/>
              <w:jc w:val="right"/>
              <w:rPr>
                <w:sz w:val="16"/>
              </w:rPr>
            </w:pPr>
            <w:r>
              <w:rPr>
                <w:sz w:val="16"/>
              </w:rPr>
              <w:t>0.63*</w:t>
            </w:r>
          </w:p>
        </w:tc>
      </w:tr>
      <w:tr>
        <w:trPr>
          <w:trHeight w:val="244" w:hRule="atLeast"/>
        </w:trPr>
        <w:tc>
          <w:tcPr>
            <w:tcW w:w="1838" w:type="dxa"/>
          </w:tcPr>
          <w:p>
            <w:pPr>
              <w:pStyle w:val="TableParagraph"/>
              <w:spacing w:before="23"/>
              <w:ind w:left="30"/>
              <w:rPr>
                <w:sz w:val="16"/>
              </w:rPr>
            </w:pPr>
            <w:r>
              <w:rPr>
                <w:sz w:val="16"/>
              </w:rPr>
              <w:t>Antidesma pleuricum</w:t>
            </w:r>
          </w:p>
        </w:tc>
        <w:tc>
          <w:tcPr>
            <w:tcW w:w="1161" w:type="dxa"/>
          </w:tcPr>
          <w:p>
            <w:pPr>
              <w:pStyle w:val="TableParagraph"/>
              <w:spacing w:before="23"/>
              <w:ind w:left="52" w:right="46"/>
              <w:jc w:val="center"/>
              <w:rPr>
                <w:sz w:val="16"/>
              </w:rPr>
            </w:pPr>
            <w:r>
              <w:rPr>
                <w:sz w:val="16"/>
              </w:rPr>
              <w:t>0.59</w:t>
            </w:r>
          </w:p>
        </w:tc>
        <w:tc>
          <w:tcPr>
            <w:tcW w:w="1833" w:type="dxa"/>
          </w:tcPr>
          <w:p>
            <w:pPr>
              <w:pStyle w:val="TableParagraph"/>
              <w:spacing w:before="23"/>
              <w:ind w:left="29"/>
              <w:rPr>
                <w:sz w:val="16"/>
              </w:rPr>
            </w:pPr>
            <w:r>
              <w:rPr>
                <w:sz w:val="16"/>
              </w:rPr>
              <w:t>Bombacopsis sepium</w:t>
            </w:r>
          </w:p>
        </w:tc>
        <w:tc>
          <w:tcPr>
            <w:tcW w:w="1187" w:type="dxa"/>
          </w:tcPr>
          <w:p>
            <w:pPr>
              <w:pStyle w:val="TableParagraph"/>
              <w:spacing w:before="23"/>
              <w:ind w:left="93" w:right="83"/>
              <w:jc w:val="center"/>
              <w:rPr>
                <w:sz w:val="16"/>
              </w:rPr>
            </w:pPr>
            <w:r>
              <w:rPr>
                <w:sz w:val="16"/>
              </w:rPr>
              <w:t>0.39</w:t>
            </w:r>
          </w:p>
        </w:tc>
        <w:tc>
          <w:tcPr>
            <w:tcW w:w="1806" w:type="dxa"/>
          </w:tcPr>
          <w:p>
            <w:pPr>
              <w:pStyle w:val="TableParagraph"/>
              <w:spacing w:before="23"/>
              <w:ind w:left="33"/>
              <w:rPr>
                <w:sz w:val="16"/>
              </w:rPr>
            </w:pPr>
            <w:r>
              <w:rPr>
                <w:sz w:val="16"/>
              </w:rPr>
              <w:t>Baphia kirkii</w:t>
            </w:r>
          </w:p>
        </w:tc>
        <w:tc>
          <w:tcPr>
            <w:tcW w:w="1187" w:type="dxa"/>
          </w:tcPr>
          <w:p>
            <w:pPr>
              <w:pStyle w:val="TableParagraph"/>
              <w:spacing w:before="23"/>
              <w:ind w:right="396"/>
              <w:jc w:val="right"/>
              <w:rPr>
                <w:sz w:val="16"/>
              </w:rPr>
            </w:pPr>
            <w:r>
              <w:rPr>
                <w:sz w:val="16"/>
              </w:rPr>
              <w:t>0.93*</w:t>
            </w:r>
          </w:p>
        </w:tc>
      </w:tr>
      <w:tr>
        <w:trPr>
          <w:trHeight w:val="244" w:hRule="atLeast"/>
        </w:trPr>
        <w:tc>
          <w:tcPr>
            <w:tcW w:w="1838" w:type="dxa"/>
          </w:tcPr>
          <w:p>
            <w:pPr>
              <w:pStyle w:val="TableParagraph"/>
              <w:spacing w:before="23"/>
              <w:ind w:left="30"/>
              <w:rPr>
                <w:sz w:val="16"/>
              </w:rPr>
            </w:pPr>
            <w:r>
              <w:rPr>
                <w:sz w:val="16"/>
              </w:rPr>
              <w:t>Aphanamiris perrottetiana</w:t>
            </w:r>
          </w:p>
        </w:tc>
        <w:tc>
          <w:tcPr>
            <w:tcW w:w="1161" w:type="dxa"/>
          </w:tcPr>
          <w:p>
            <w:pPr>
              <w:pStyle w:val="TableParagraph"/>
              <w:spacing w:before="23"/>
              <w:ind w:left="52" w:right="45"/>
              <w:jc w:val="center"/>
              <w:rPr>
                <w:sz w:val="16"/>
              </w:rPr>
            </w:pPr>
            <w:r>
              <w:rPr>
                <w:sz w:val="16"/>
              </w:rPr>
              <w:t>0.52</w:t>
            </w:r>
          </w:p>
        </w:tc>
        <w:tc>
          <w:tcPr>
            <w:tcW w:w="1833" w:type="dxa"/>
          </w:tcPr>
          <w:p>
            <w:pPr>
              <w:pStyle w:val="TableParagraph"/>
              <w:spacing w:before="23"/>
              <w:ind w:left="29"/>
              <w:rPr>
                <w:sz w:val="16"/>
              </w:rPr>
            </w:pPr>
            <w:r>
              <w:rPr>
                <w:sz w:val="16"/>
              </w:rPr>
              <w:t>Borojoa patinoi</w:t>
            </w:r>
          </w:p>
        </w:tc>
        <w:tc>
          <w:tcPr>
            <w:tcW w:w="1187" w:type="dxa"/>
          </w:tcPr>
          <w:p>
            <w:pPr>
              <w:pStyle w:val="TableParagraph"/>
              <w:spacing w:before="23"/>
              <w:ind w:left="94" w:right="82"/>
              <w:jc w:val="center"/>
              <w:rPr>
                <w:sz w:val="16"/>
              </w:rPr>
            </w:pPr>
            <w:r>
              <w:rPr>
                <w:sz w:val="16"/>
              </w:rPr>
              <w:t>0.52</w:t>
            </w:r>
          </w:p>
        </w:tc>
        <w:tc>
          <w:tcPr>
            <w:tcW w:w="1806" w:type="dxa"/>
          </w:tcPr>
          <w:p>
            <w:pPr>
              <w:pStyle w:val="TableParagraph"/>
              <w:spacing w:before="23"/>
              <w:ind w:left="33"/>
              <w:rPr>
                <w:sz w:val="16"/>
              </w:rPr>
            </w:pPr>
            <w:r>
              <w:rPr>
                <w:sz w:val="16"/>
              </w:rPr>
              <w:t>Beilschmiedia louisii</w:t>
            </w:r>
          </w:p>
        </w:tc>
        <w:tc>
          <w:tcPr>
            <w:tcW w:w="1187" w:type="dxa"/>
          </w:tcPr>
          <w:p>
            <w:pPr>
              <w:pStyle w:val="TableParagraph"/>
              <w:spacing w:before="23"/>
              <w:ind w:right="397"/>
              <w:jc w:val="right"/>
              <w:rPr>
                <w:sz w:val="16"/>
              </w:rPr>
            </w:pPr>
            <w:r>
              <w:rPr>
                <w:sz w:val="16"/>
              </w:rPr>
              <w:t>0.70*</w:t>
            </w:r>
          </w:p>
        </w:tc>
      </w:tr>
      <w:tr>
        <w:trPr>
          <w:trHeight w:val="246" w:hRule="atLeast"/>
        </w:trPr>
        <w:tc>
          <w:tcPr>
            <w:tcW w:w="1838" w:type="dxa"/>
          </w:tcPr>
          <w:p>
            <w:pPr>
              <w:pStyle w:val="TableParagraph"/>
              <w:spacing w:before="23"/>
              <w:ind w:left="30"/>
              <w:rPr>
                <w:sz w:val="16"/>
              </w:rPr>
            </w:pPr>
            <w:r>
              <w:rPr>
                <w:sz w:val="16"/>
              </w:rPr>
              <w:t>Araucaria bidwillii</w:t>
            </w:r>
          </w:p>
        </w:tc>
        <w:tc>
          <w:tcPr>
            <w:tcW w:w="1161" w:type="dxa"/>
          </w:tcPr>
          <w:p>
            <w:pPr>
              <w:pStyle w:val="TableParagraph"/>
              <w:spacing w:before="23"/>
              <w:ind w:left="52" w:right="45"/>
              <w:jc w:val="center"/>
              <w:rPr>
                <w:sz w:val="16"/>
              </w:rPr>
            </w:pPr>
            <w:r>
              <w:rPr>
                <w:sz w:val="16"/>
              </w:rPr>
              <w:t>0.43</w:t>
            </w:r>
          </w:p>
        </w:tc>
        <w:tc>
          <w:tcPr>
            <w:tcW w:w="1833" w:type="dxa"/>
          </w:tcPr>
          <w:p>
            <w:pPr>
              <w:pStyle w:val="TableParagraph"/>
              <w:spacing w:before="23"/>
              <w:ind w:left="29"/>
              <w:rPr>
                <w:sz w:val="16"/>
              </w:rPr>
            </w:pPr>
            <w:r>
              <w:rPr>
                <w:sz w:val="16"/>
              </w:rPr>
              <w:t>Bowdichia spp.</w:t>
            </w:r>
          </w:p>
        </w:tc>
        <w:tc>
          <w:tcPr>
            <w:tcW w:w="1187" w:type="dxa"/>
          </w:tcPr>
          <w:p>
            <w:pPr>
              <w:pStyle w:val="TableParagraph"/>
              <w:spacing w:before="23"/>
              <w:ind w:left="94" w:right="82"/>
              <w:jc w:val="center"/>
              <w:rPr>
                <w:sz w:val="16"/>
              </w:rPr>
            </w:pPr>
            <w:r>
              <w:rPr>
                <w:sz w:val="16"/>
              </w:rPr>
              <w:t>0.74</w:t>
            </w:r>
          </w:p>
        </w:tc>
        <w:tc>
          <w:tcPr>
            <w:tcW w:w="1806" w:type="dxa"/>
          </w:tcPr>
          <w:p>
            <w:pPr>
              <w:pStyle w:val="TableParagraph"/>
              <w:spacing w:before="23"/>
              <w:ind w:left="33"/>
              <w:rPr>
                <w:sz w:val="16"/>
              </w:rPr>
            </w:pPr>
            <w:r>
              <w:rPr>
                <w:sz w:val="16"/>
              </w:rPr>
              <w:t>Beilschmiedia nitida</w:t>
            </w:r>
          </w:p>
        </w:tc>
        <w:tc>
          <w:tcPr>
            <w:tcW w:w="1187" w:type="dxa"/>
          </w:tcPr>
          <w:p>
            <w:pPr>
              <w:pStyle w:val="TableParagraph"/>
              <w:spacing w:before="23"/>
              <w:ind w:right="396"/>
              <w:jc w:val="right"/>
              <w:rPr>
                <w:sz w:val="16"/>
              </w:rPr>
            </w:pPr>
            <w:r>
              <w:rPr>
                <w:sz w:val="16"/>
              </w:rPr>
              <w:t>0.50*</w:t>
            </w:r>
          </w:p>
        </w:tc>
      </w:tr>
      <w:tr>
        <w:trPr>
          <w:trHeight w:val="386" w:hRule="atLeast"/>
        </w:trPr>
        <w:tc>
          <w:tcPr>
            <w:tcW w:w="1838" w:type="dxa"/>
          </w:tcPr>
          <w:p>
            <w:pPr>
              <w:pStyle w:val="TableParagraph"/>
              <w:spacing w:before="95"/>
              <w:ind w:left="30"/>
              <w:rPr>
                <w:sz w:val="16"/>
              </w:rPr>
            </w:pPr>
            <w:r>
              <w:rPr>
                <w:sz w:val="16"/>
              </w:rPr>
              <w:t>Artocarpus spp.</w:t>
            </w:r>
          </w:p>
        </w:tc>
        <w:tc>
          <w:tcPr>
            <w:tcW w:w="1161" w:type="dxa"/>
          </w:tcPr>
          <w:p>
            <w:pPr>
              <w:pStyle w:val="TableParagraph"/>
              <w:spacing w:before="95"/>
              <w:ind w:left="52" w:right="46"/>
              <w:jc w:val="center"/>
              <w:rPr>
                <w:sz w:val="16"/>
              </w:rPr>
            </w:pPr>
            <w:r>
              <w:rPr>
                <w:sz w:val="16"/>
              </w:rPr>
              <w:t>0.58</w:t>
            </w:r>
          </w:p>
        </w:tc>
        <w:tc>
          <w:tcPr>
            <w:tcW w:w="1833" w:type="dxa"/>
          </w:tcPr>
          <w:p>
            <w:pPr>
              <w:pStyle w:val="TableParagraph"/>
              <w:spacing w:line="182" w:lineRule="exact" w:before="7"/>
              <w:ind w:left="29" w:right="36"/>
              <w:rPr>
                <w:sz w:val="16"/>
              </w:rPr>
            </w:pPr>
            <w:r>
              <w:rPr>
                <w:sz w:val="16"/>
              </w:rPr>
              <w:t>Brosimum spp. (alicastrum group)</w:t>
            </w:r>
          </w:p>
        </w:tc>
        <w:tc>
          <w:tcPr>
            <w:tcW w:w="1187" w:type="dxa"/>
          </w:tcPr>
          <w:p>
            <w:pPr>
              <w:pStyle w:val="TableParagraph"/>
              <w:spacing w:before="95"/>
              <w:ind w:left="91" w:right="83"/>
              <w:jc w:val="center"/>
              <w:rPr>
                <w:sz w:val="16"/>
              </w:rPr>
            </w:pPr>
            <w:r>
              <w:rPr>
                <w:sz w:val="16"/>
              </w:rPr>
              <w:t>0.64, 0.66+</w:t>
            </w:r>
          </w:p>
        </w:tc>
        <w:tc>
          <w:tcPr>
            <w:tcW w:w="1806" w:type="dxa"/>
          </w:tcPr>
          <w:p>
            <w:pPr>
              <w:pStyle w:val="TableParagraph"/>
              <w:spacing w:before="95"/>
              <w:ind w:left="33"/>
              <w:rPr>
                <w:sz w:val="16"/>
              </w:rPr>
            </w:pPr>
            <w:r>
              <w:rPr>
                <w:sz w:val="16"/>
              </w:rPr>
              <w:t>Berlinia spp.</w:t>
            </w:r>
          </w:p>
        </w:tc>
        <w:tc>
          <w:tcPr>
            <w:tcW w:w="1187" w:type="dxa"/>
          </w:tcPr>
          <w:p>
            <w:pPr>
              <w:pStyle w:val="TableParagraph"/>
              <w:spacing w:before="95"/>
              <w:ind w:right="437"/>
              <w:jc w:val="right"/>
              <w:rPr>
                <w:sz w:val="16"/>
              </w:rPr>
            </w:pPr>
            <w:r>
              <w:rPr>
                <w:sz w:val="16"/>
              </w:rPr>
              <w:t>0.58</w:t>
            </w:r>
          </w:p>
        </w:tc>
      </w:tr>
      <w:tr>
        <w:trPr>
          <w:trHeight w:val="244" w:hRule="atLeast"/>
        </w:trPr>
        <w:tc>
          <w:tcPr>
            <w:tcW w:w="1838" w:type="dxa"/>
          </w:tcPr>
          <w:p>
            <w:pPr>
              <w:pStyle w:val="TableParagraph"/>
              <w:spacing w:before="23"/>
              <w:ind w:left="30"/>
              <w:rPr>
                <w:sz w:val="16"/>
              </w:rPr>
            </w:pPr>
            <w:r>
              <w:rPr>
                <w:sz w:val="16"/>
              </w:rPr>
              <w:t>Azadirachta spp.</w:t>
            </w:r>
          </w:p>
        </w:tc>
        <w:tc>
          <w:tcPr>
            <w:tcW w:w="1161" w:type="dxa"/>
          </w:tcPr>
          <w:p>
            <w:pPr>
              <w:pStyle w:val="TableParagraph"/>
              <w:spacing w:before="23"/>
              <w:ind w:left="52" w:right="45"/>
              <w:jc w:val="center"/>
              <w:rPr>
                <w:sz w:val="16"/>
              </w:rPr>
            </w:pPr>
            <w:r>
              <w:rPr>
                <w:sz w:val="16"/>
              </w:rPr>
              <w:t>0.52</w:t>
            </w:r>
          </w:p>
        </w:tc>
        <w:tc>
          <w:tcPr>
            <w:tcW w:w="1833" w:type="dxa"/>
          </w:tcPr>
          <w:p>
            <w:pPr>
              <w:pStyle w:val="TableParagraph"/>
              <w:spacing w:before="23"/>
              <w:ind w:left="29"/>
              <w:rPr>
                <w:sz w:val="16"/>
              </w:rPr>
            </w:pPr>
            <w:r>
              <w:rPr>
                <w:sz w:val="16"/>
              </w:rPr>
              <w:t>Brosimum utile</w:t>
            </w:r>
          </w:p>
        </w:tc>
        <w:tc>
          <w:tcPr>
            <w:tcW w:w="1187" w:type="dxa"/>
          </w:tcPr>
          <w:p>
            <w:pPr>
              <w:pStyle w:val="TableParagraph"/>
              <w:spacing w:before="23"/>
              <w:ind w:left="90" w:right="83"/>
              <w:jc w:val="center"/>
              <w:rPr>
                <w:sz w:val="16"/>
              </w:rPr>
            </w:pPr>
            <w:r>
              <w:rPr>
                <w:sz w:val="16"/>
              </w:rPr>
              <w:t>0.41, 0.46+</w:t>
            </w:r>
          </w:p>
        </w:tc>
        <w:tc>
          <w:tcPr>
            <w:tcW w:w="1806" w:type="dxa"/>
          </w:tcPr>
          <w:p>
            <w:pPr>
              <w:pStyle w:val="TableParagraph"/>
              <w:spacing w:before="23"/>
              <w:ind w:left="33"/>
              <w:rPr>
                <w:sz w:val="16"/>
              </w:rPr>
            </w:pPr>
            <w:r>
              <w:rPr>
                <w:sz w:val="16"/>
              </w:rPr>
              <w:t>Blighia welwitschii</w:t>
            </w:r>
          </w:p>
        </w:tc>
        <w:tc>
          <w:tcPr>
            <w:tcW w:w="1187" w:type="dxa"/>
          </w:tcPr>
          <w:p>
            <w:pPr>
              <w:pStyle w:val="TableParagraph"/>
              <w:spacing w:before="23"/>
              <w:ind w:right="396"/>
              <w:jc w:val="right"/>
              <w:rPr>
                <w:sz w:val="16"/>
              </w:rPr>
            </w:pPr>
            <w:r>
              <w:rPr>
                <w:sz w:val="16"/>
              </w:rPr>
              <w:t>0.74*</w:t>
            </w:r>
          </w:p>
        </w:tc>
      </w:tr>
      <w:tr>
        <w:trPr>
          <w:trHeight w:val="244" w:hRule="atLeast"/>
        </w:trPr>
        <w:tc>
          <w:tcPr>
            <w:tcW w:w="1838" w:type="dxa"/>
          </w:tcPr>
          <w:p>
            <w:pPr>
              <w:pStyle w:val="TableParagraph"/>
              <w:spacing w:before="23"/>
              <w:ind w:left="30"/>
              <w:rPr>
                <w:sz w:val="16"/>
              </w:rPr>
            </w:pPr>
            <w:r>
              <w:rPr>
                <w:sz w:val="16"/>
              </w:rPr>
              <w:t>Balanocarpus spp.</w:t>
            </w:r>
          </w:p>
        </w:tc>
        <w:tc>
          <w:tcPr>
            <w:tcW w:w="1161" w:type="dxa"/>
          </w:tcPr>
          <w:p>
            <w:pPr>
              <w:pStyle w:val="TableParagraph"/>
              <w:spacing w:before="23"/>
              <w:ind w:left="52" w:right="45"/>
              <w:jc w:val="center"/>
              <w:rPr>
                <w:sz w:val="16"/>
              </w:rPr>
            </w:pPr>
            <w:r>
              <w:rPr>
                <w:sz w:val="16"/>
              </w:rPr>
              <w:t>0.76</w:t>
            </w:r>
          </w:p>
        </w:tc>
        <w:tc>
          <w:tcPr>
            <w:tcW w:w="1833" w:type="dxa"/>
          </w:tcPr>
          <w:p>
            <w:pPr>
              <w:pStyle w:val="TableParagraph"/>
              <w:spacing w:before="23"/>
              <w:ind w:left="29"/>
              <w:rPr>
                <w:sz w:val="16"/>
              </w:rPr>
            </w:pPr>
            <w:r>
              <w:rPr>
                <w:sz w:val="16"/>
              </w:rPr>
              <w:t>Brysenia adenophylla</w:t>
            </w:r>
          </w:p>
        </w:tc>
        <w:tc>
          <w:tcPr>
            <w:tcW w:w="1187" w:type="dxa"/>
          </w:tcPr>
          <w:p>
            <w:pPr>
              <w:pStyle w:val="TableParagraph"/>
              <w:spacing w:before="23"/>
              <w:ind w:left="94" w:right="83"/>
              <w:jc w:val="center"/>
              <w:rPr>
                <w:sz w:val="16"/>
              </w:rPr>
            </w:pPr>
            <w:r>
              <w:rPr>
                <w:sz w:val="16"/>
              </w:rPr>
              <w:t>0.54</w:t>
            </w:r>
          </w:p>
        </w:tc>
        <w:tc>
          <w:tcPr>
            <w:tcW w:w="1806" w:type="dxa"/>
          </w:tcPr>
          <w:p>
            <w:pPr>
              <w:pStyle w:val="TableParagraph"/>
              <w:spacing w:before="23"/>
              <w:ind w:left="33"/>
              <w:rPr>
                <w:sz w:val="16"/>
              </w:rPr>
            </w:pPr>
            <w:r>
              <w:rPr>
                <w:sz w:val="16"/>
              </w:rPr>
              <w:t>Bombax spp.</w:t>
            </w:r>
          </w:p>
        </w:tc>
        <w:tc>
          <w:tcPr>
            <w:tcW w:w="1187" w:type="dxa"/>
          </w:tcPr>
          <w:p>
            <w:pPr>
              <w:pStyle w:val="TableParagraph"/>
              <w:spacing w:before="23"/>
              <w:ind w:right="478"/>
              <w:jc w:val="right"/>
              <w:rPr>
                <w:sz w:val="16"/>
              </w:rPr>
            </w:pPr>
            <w:r>
              <w:rPr>
                <w:sz w:val="16"/>
              </w:rPr>
              <w:t>0.4</w:t>
            </w:r>
          </w:p>
        </w:tc>
      </w:tr>
      <w:tr>
        <w:trPr>
          <w:trHeight w:val="246" w:hRule="atLeast"/>
        </w:trPr>
        <w:tc>
          <w:tcPr>
            <w:tcW w:w="1838" w:type="dxa"/>
          </w:tcPr>
          <w:p>
            <w:pPr>
              <w:pStyle w:val="TableParagraph"/>
              <w:spacing w:before="23"/>
              <w:ind w:left="30"/>
              <w:rPr>
                <w:sz w:val="16"/>
              </w:rPr>
            </w:pPr>
            <w:r>
              <w:rPr>
                <w:sz w:val="16"/>
              </w:rPr>
              <w:t>Barringtonia edulis *</w:t>
            </w:r>
          </w:p>
        </w:tc>
        <w:tc>
          <w:tcPr>
            <w:tcW w:w="1161" w:type="dxa"/>
          </w:tcPr>
          <w:p>
            <w:pPr>
              <w:pStyle w:val="TableParagraph"/>
              <w:spacing w:before="23"/>
              <w:ind w:left="52" w:right="46"/>
              <w:jc w:val="center"/>
              <w:rPr>
                <w:sz w:val="16"/>
              </w:rPr>
            </w:pPr>
            <w:r>
              <w:rPr>
                <w:sz w:val="16"/>
              </w:rPr>
              <w:t>0.48</w:t>
            </w:r>
          </w:p>
        </w:tc>
        <w:tc>
          <w:tcPr>
            <w:tcW w:w="1833" w:type="dxa"/>
          </w:tcPr>
          <w:p>
            <w:pPr>
              <w:pStyle w:val="TableParagraph"/>
              <w:spacing w:before="23"/>
              <w:ind w:left="29"/>
              <w:rPr>
                <w:sz w:val="16"/>
              </w:rPr>
            </w:pPr>
            <w:r>
              <w:rPr>
                <w:sz w:val="16"/>
              </w:rPr>
              <w:t>Buchenauia capitata</w:t>
            </w:r>
          </w:p>
        </w:tc>
        <w:tc>
          <w:tcPr>
            <w:tcW w:w="1187" w:type="dxa"/>
          </w:tcPr>
          <w:p>
            <w:pPr>
              <w:pStyle w:val="TableParagraph"/>
              <w:spacing w:before="23"/>
              <w:ind w:left="92" w:right="83"/>
              <w:jc w:val="center"/>
              <w:rPr>
                <w:sz w:val="16"/>
              </w:rPr>
            </w:pPr>
            <w:r>
              <w:rPr>
                <w:sz w:val="16"/>
              </w:rPr>
              <w:t>0.61, 0.63+</w:t>
            </w:r>
          </w:p>
        </w:tc>
        <w:tc>
          <w:tcPr>
            <w:tcW w:w="1806" w:type="dxa"/>
          </w:tcPr>
          <w:p>
            <w:pPr>
              <w:pStyle w:val="TableParagraph"/>
              <w:spacing w:before="23"/>
              <w:ind w:left="34"/>
              <w:rPr>
                <w:sz w:val="16"/>
              </w:rPr>
            </w:pPr>
            <w:r>
              <w:rPr>
                <w:sz w:val="16"/>
              </w:rPr>
              <w:t>Brachystegia spp.</w:t>
            </w:r>
          </w:p>
        </w:tc>
        <w:tc>
          <w:tcPr>
            <w:tcW w:w="1187" w:type="dxa"/>
          </w:tcPr>
          <w:p>
            <w:pPr>
              <w:pStyle w:val="TableParagraph"/>
              <w:spacing w:before="23"/>
              <w:ind w:right="436"/>
              <w:jc w:val="right"/>
              <w:rPr>
                <w:sz w:val="16"/>
              </w:rPr>
            </w:pPr>
            <w:r>
              <w:rPr>
                <w:sz w:val="16"/>
              </w:rPr>
              <w:t>0.52</w:t>
            </w:r>
          </w:p>
        </w:tc>
      </w:tr>
      <w:tr>
        <w:trPr>
          <w:trHeight w:val="244" w:hRule="atLeast"/>
        </w:trPr>
        <w:tc>
          <w:tcPr>
            <w:tcW w:w="1838" w:type="dxa"/>
          </w:tcPr>
          <w:p>
            <w:pPr>
              <w:pStyle w:val="TableParagraph"/>
              <w:spacing w:before="23"/>
              <w:ind w:left="30"/>
              <w:rPr>
                <w:sz w:val="16"/>
              </w:rPr>
            </w:pPr>
            <w:r>
              <w:rPr>
                <w:sz w:val="16"/>
              </w:rPr>
              <w:t>Bauhinia spp.</w:t>
            </w:r>
          </w:p>
        </w:tc>
        <w:tc>
          <w:tcPr>
            <w:tcW w:w="1161" w:type="dxa"/>
          </w:tcPr>
          <w:p>
            <w:pPr>
              <w:pStyle w:val="TableParagraph"/>
              <w:spacing w:before="23"/>
              <w:ind w:left="51" w:right="47"/>
              <w:jc w:val="center"/>
              <w:rPr>
                <w:sz w:val="16"/>
              </w:rPr>
            </w:pPr>
            <w:r>
              <w:rPr>
                <w:sz w:val="16"/>
              </w:rPr>
              <w:t>0.67</w:t>
            </w:r>
          </w:p>
        </w:tc>
        <w:tc>
          <w:tcPr>
            <w:tcW w:w="1833" w:type="dxa"/>
          </w:tcPr>
          <w:p>
            <w:pPr>
              <w:pStyle w:val="TableParagraph"/>
              <w:spacing w:before="23"/>
              <w:ind w:left="28"/>
              <w:rPr>
                <w:sz w:val="16"/>
              </w:rPr>
            </w:pPr>
            <w:r>
              <w:rPr>
                <w:sz w:val="16"/>
              </w:rPr>
              <w:t>Bucida buceras</w:t>
            </w:r>
          </w:p>
        </w:tc>
        <w:tc>
          <w:tcPr>
            <w:tcW w:w="1187" w:type="dxa"/>
          </w:tcPr>
          <w:p>
            <w:pPr>
              <w:pStyle w:val="TableParagraph"/>
              <w:spacing w:before="23"/>
              <w:ind w:left="92" w:right="83"/>
              <w:jc w:val="center"/>
              <w:rPr>
                <w:sz w:val="16"/>
              </w:rPr>
            </w:pPr>
            <w:r>
              <w:rPr>
                <w:sz w:val="16"/>
              </w:rPr>
              <w:t>0.93</w:t>
            </w:r>
          </w:p>
        </w:tc>
        <w:tc>
          <w:tcPr>
            <w:tcW w:w="1806" w:type="dxa"/>
          </w:tcPr>
          <w:p>
            <w:pPr>
              <w:pStyle w:val="TableParagraph"/>
              <w:spacing w:before="23"/>
              <w:ind w:left="32"/>
              <w:rPr>
                <w:sz w:val="16"/>
              </w:rPr>
            </w:pPr>
            <w:r>
              <w:rPr>
                <w:sz w:val="16"/>
              </w:rPr>
              <w:t>Bridelia micrantha</w:t>
            </w:r>
          </w:p>
        </w:tc>
        <w:tc>
          <w:tcPr>
            <w:tcW w:w="1187" w:type="dxa"/>
          </w:tcPr>
          <w:p>
            <w:pPr>
              <w:pStyle w:val="TableParagraph"/>
              <w:spacing w:before="23"/>
              <w:ind w:right="397"/>
              <w:jc w:val="right"/>
              <w:rPr>
                <w:sz w:val="16"/>
              </w:rPr>
            </w:pPr>
            <w:r>
              <w:rPr>
                <w:sz w:val="16"/>
              </w:rPr>
              <w:t>0.47*</w:t>
            </w:r>
          </w:p>
        </w:tc>
      </w:tr>
      <w:tr>
        <w:trPr>
          <w:trHeight w:val="244" w:hRule="atLeast"/>
        </w:trPr>
        <w:tc>
          <w:tcPr>
            <w:tcW w:w="1838" w:type="dxa"/>
          </w:tcPr>
          <w:p>
            <w:pPr>
              <w:pStyle w:val="TableParagraph"/>
              <w:spacing w:before="23"/>
              <w:ind w:left="30"/>
              <w:rPr>
                <w:sz w:val="16"/>
              </w:rPr>
            </w:pPr>
            <w:r>
              <w:rPr>
                <w:sz w:val="16"/>
              </w:rPr>
              <w:t>Beilschmiedia tawa</w:t>
            </w:r>
          </w:p>
        </w:tc>
        <w:tc>
          <w:tcPr>
            <w:tcW w:w="1161" w:type="dxa"/>
          </w:tcPr>
          <w:p>
            <w:pPr>
              <w:pStyle w:val="TableParagraph"/>
              <w:spacing w:before="23"/>
              <w:ind w:left="52" w:right="46"/>
              <w:jc w:val="center"/>
              <w:rPr>
                <w:sz w:val="16"/>
              </w:rPr>
            </w:pPr>
            <w:r>
              <w:rPr>
                <w:sz w:val="16"/>
              </w:rPr>
              <w:t>0.58</w:t>
            </w:r>
          </w:p>
        </w:tc>
        <w:tc>
          <w:tcPr>
            <w:tcW w:w="1833" w:type="dxa"/>
          </w:tcPr>
          <w:p>
            <w:pPr>
              <w:pStyle w:val="TableParagraph"/>
              <w:spacing w:before="23"/>
              <w:ind w:left="29"/>
              <w:rPr>
                <w:sz w:val="16"/>
              </w:rPr>
            </w:pPr>
            <w:r>
              <w:rPr>
                <w:sz w:val="16"/>
              </w:rPr>
              <w:t>Bulnesia arborea</w:t>
            </w:r>
          </w:p>
        </w:tc>
        <w:tc>
          <w:tcPr>
            <w:tcW w:w="1187" w:type="dxa"/>
          </w:tcPr>
          <w:p>
            <w:pPr>
              <w:pStyle w:val="TableParagraph"/>
              <w:spacing w:before="23"/>
              <w:ind w:left="10"/>
              <w:jc w:val="center"/>
              <w:rPr>
                <w:sz w:val="16"/>
              </w:rPr>
            </w:pPr>
            <w:r>
              <w:rPr>
                <w:w w:val="100"/>
                <w:sz w:val="16"/>
              </w:rPr>
              <w:t>1</w:t>
            </w:r>
          </w:p>
        </w:tc>
        <w:tc>
          <w:tcPr>
            <w:tcW w:w="1806" w:type="dxa"/>
          </w:tcPr>
          <w:p>
            <w:pPr>
              <w:pStyle w:val="TableParagraph"/>
              <w:spacing w:before="23"/>
              <w:ind w:left="33"/>
              <w:rPr>
                <w:sz w:val="16"/>
              </w:rPr>
            </w:pPr>
            <w:r>
              <w:rPr>
                <w:sz w:val="16"/>
              </w:rPr>
              <w:t>Calpocalyx klainei</w:t>
            </w:r>
          </w:p>
        </w:tc>
        <w:tc>
          <w:tcPr>
            <w:tcW w:w="1187" w:type="dxa"/>
          </w:tcPr>
          <w:p>
            <w:pPr>
              <w:pStyle w:val="TableParagraph"/>
              <w:spacing w:before="23"/>
              <w:ind w:right="396"/>
              <w:jc w:val="right"/>
              <w:rPr>
                <w:sz w:val="16"/>
              </w:rPr>
            </w:pPr>
            <w:r>
              <w:rPr>
                <w:sz w:val="16"/>
              </w:rPr>
              <w:t>0.63*</w:t>
            </w:r>
          </w:p>
        </w:tc>
      </w:tr>
      <w:tr>
        <w:trPr>
          <w:trHeight w:val="244" w:hRule="atLeast"/>
        </w:trPr>
        <w:tc>
          <w:tcPr>
            <w:tcW w:w="1838" w:type="dxa"/>
          </w:tcPr>
          <w:p>
            <w:pPr>
              <w:pStyle w:val="TableParagraph"/>
              <w:spacing w:before="23"/>
              <w:ind w:left="30"/>
              <w:rPr>
                <w:sz w:val="16"/>
              </w:rPr>
            </w:pPr>
            <w:r>
              <w:rPr>
                <w:sz w:val="16"/>
              </w:rPr>
              <w:t>Berrya cordifolia</w:t>
            </w:r>
          </w:p>
        </w:tc>
        <w:tc>
          <w:tcPr>
            <w:tcW w:w="1161" w:type="dxa"/>
          </w:tcPr>
          <w:p>
            <w:pPr>
              <w:pStyle w:val="TableParagraph"/>
              <w:spacing w:before="23"/>
              <w:ind w:left="52" w:right="40"/>
              <w:jc w:val="center"/>
              <w:rPr>
                <w:sz w:val="16"/>
              </w:rPr>
            </w:pPr>
            <w:r>
              <w:rPr>
                <w:sz w:val="16"/>
              </w:rPr>
              <w:t>0.78*</w:t>
            </w:r>
          </w:p>
        </w:tc>
        <w:tc>
          <w:tcPr>
            <w:tcW w:w="1833" w:type="dxa"/>
          </w:tcPr>
          <w:p>
            <w:pPr>
              <w:pStyle w:val="TableParagraph"/>
              <w:spacing w:before="23"/>
              <w:ind w:left="30"/>
              <w:rPr>
                <w:sz w:val="16"/>
              </w:rPr>
            </w:pPr>
            <w:r>
              <w:rPr>
                <w:sz w:val="16"/>
              </w:rPr>
              <w:t>Bursera simaruba</w:t>
            </w:r>
          </w:p>
        </w:tc>
        <w:tc>
          <w:tcPr>
            <w:tcW w:w="1187" w:type="dxa"/>
          </w:tcPr>
          <w:p>
            <w:pPr>
              <w:pStyle w:val="TableParagraph"/>
              <w:spacing w:before="23"/>
              <w:ind w:left="93" w:right="83"/>
              <w:jc w:val="center"/>
              <w:rPr>
                <w:sz w:val="16"/>
              </w:rPr>
            </w:pPr>
            <w:r>
              <w:rPr>
                <w:sz w:val="16"/>
              </w:rPr>
              <w:t>0.29, 0.34+</w:t>
            </w:r>
          </w:p>
        </w:tc>
        <w:tc>
          <w:tcPr>
            <w:tcW w:w="1806" w:type="dxa"/>
          </w:tcPr>
          <w:p>
            <w:pPr>
              <w:pStyle w:val="TableParagraph"/>
              <w:spacing w:before="23"/>
              <w:ind w:left="35"/>
              <w:rPr>
                <w:sz w:val="16"/>
              </w:rPr>
            </w:pPr>
            <w:r>
              <w:rPr>
                <w:sz w:val="16"/>
              </w:rPr>
              <w:t>Canarium schweinfurthii</w:t>
            </w:r>
          </w:p>
        </w:tc>
        <w:tc>
          <w:tcPr>
            <w:tcW w:w="1187" w:type="dxa"/>
          </w:tcPr>
          <w:p>
            <w:pPr>
              <w:pStyle w:val="TableParagraph"/>
              <w:spacing w:before="23"/>
              <w:ind w:right="395"/>
              <w:jc w:val="right"/>
              <w:rPr>
                <w:sz w:val="16"/>
              </w:rPr>
            </w:pPr>
            <w:r>
              <w:rPr>
                <w:sz w:val="16"/>
              </w:rPr>
              <w:t>0.40*</w:t>
            </w:r>
          </w:p>
        </w:tc>
      </w:tr>
      <w:tr>
        <w:trPr>
          <w:trHeight w:val="246" w:hRule="atLeast"/>
        </w:trPr>
        <w:tc>
          <w:tcPr>
            <w:tcW w:w="1838" w:type="dxa"/>
          </w:tcPr>
          <w:p>
            <w:pPr>
              <w:pStyle w:val="TableParagraph"/>
              <w:spacing w:before="23"/>
              <w:ind w:left="30"/>
              <w:rPr>
                <w:sz w:val="16"/>
              </w:rPr>
            </w:pPr>
            <w:r>
              <w:rPr>
                <w:sz w:val="16"/>
              </w:rPr>
              <w:t>Bischofia javanica</w:t>
            </w:r>
          </w:p>
        </w:tc>
        <w:tc>
          <w:tcPr>
            <w:tcW w:w="1161" w:type="dxa"/>
          </w:tcPr>
          <w:p>
            <w:pPr>
              <w:pStyle w:val="TableParagraph"/>
              <w:spacing w:before="23"/>
              <w:ind w:left="52" w:right="47"/>
              <w:jc w:val="center"/>
              <w:rPr>
                <w:sz w:val="16"/>
              </w:rPr>
            </w:pPr>
            <w:r>
              <w:rPr>
                <w:sz w:val="16"/>
              </w:rPr>
              <w:t>0.54,0.58,0.62+</w:t>
            </w:r>
          </w:p>
        </w:tc>
        <w:tc>
          <w:tcPr>
            <w:tcW w:w="1833" w:type="dxa"/>
          </w:tcPr>
          <w:p>
            <w:pPr>
              <w:pStyle w:val="TableParagraph"/>
              <w:spacing w:before="23"/>
              <w:ind w:left="30"/>
              <w:rPr>
                <w:sz w:val="16"/>
              </w:rPr>
            </w:pPr>
            <w:r>
              <w:rPr>
                <w:sz w:val="16"/>
              </w:rPr>
              <w:t>Byrsonima coriacea</w:t>
            </w:r>
          </w:p>
        </w:tc>
        <w:tc>
          <w:tcPr>
            <w:tcW w:w="1187" w:type="dxa"/>
          </w:tcPr>
          <w:p>
            <w:pPr>
              <w:pStyle w:val="TableParagraph"/>
              <w:spacing w:before="23"/>
              <w:ind w:left="94" w:right="81"/>
              <w:jc w:val="center"/>
              <w:rPr>
                <w:sz w:val="16"/>
              </w:rPr>
            </w:pPr>
            <w:r>
              <w:rPr>
                <w:sz w:val="16"/>
              </w:rPr>
              <w:t>0.64</w:t>
            </w:r>
          </w:p>
        </w:tc>
        <w:tc>
          <w:tcPr>
            <w:tcW w:w="1806" w:type="dxa"/>
          </w:tcPr>
          <w:p>
            <w:pPr>
              <w:pStyle w:val="TableParagraph"/>
              <w:spacing w:before="23"/>
              <w:ind w:left="34"/>
              <w:rPr>
                <w:sz w:val="16"/>
              </w:rPr>
            </w:pPr>
            <w:r>
              <w:rPr>
                <w:sz w:val="16"/>
              </w:rPr>
              <w:t>Canthium rubrocostratum</w:t>
            </w:r>
          </w:p>
        </w:tc>
        <w:tc>
          <w:tcPr>
            <w:tcW w:w="1187" w:type="dxa"/>
          </w:tcPr>
          <w:p>
            <w:pPr>
              <w:pStyle w:val="TableParagraph"/>
              <w:spacing w:before="23"/>
              <w:ind w:right="397"/>
              <w:jc w:val="right"/>
              <w:rPr>
                <w:sz w:val="16"/>
              </w:rPr>
            </w:pPr>
            <w:r>
              <w:rPr>
                <w:sz w:val="16"/>
              </w:rPr>
              <w:t>0.63*</w:t>
            </w:r>
          </w:p>
        </w:tc>
      </w:tr>
      <w:tr>
        <w:trPr>
          <w:trHeight w:val="244" w:hRule="atLeast"/>
        </w:trPr>
        <w:tc>
          <w:tcPr>
            <w:tcW w:w="1838" w:type="dxa"/>
          </w:tcPr>
          <w:p>
            <w:pPr>
              <w:pStyle w:val="TableParagraph"/>
              <w:spacing w:before="23"/>
              <w:ind w:left="30"/>
              <w:rPr>
                <w:sz w:val="16"/>
              </w:rPr>
            </w:pPr>
            <w:r>
              <w:rPr>
                <w:sz w:val="16"/>
              </w:rPr>
              <w:t>Bleasdalea vitiensis</w:t>
            </w:r>
          </w:p>
        </w:tc>
        <w:tc>
          <w:tcPr>
            <w:tcW w:w="1161" w:type="dxa"/>
          </w:tcPr>
          <w:p>
            <w:pPr>
              <w:pStyle w:val="TableParagraph"/>
              <w:spacing w:before="23"/>
              <w:ind w:left="52" w:right="46"/>
              <w:jc w:val="center"/>
              <w:rPr>
                <w:sz w:val="16"/>
              </w:rPr>
            </w:pPr>
            <w:r>
              <w:rPr>
                <w:sz w:val="16"/>
              </w:rPr>
              <w:t>0.43</w:t>
            </w:r>
          </w:p>
        </w:tc>
        <w:tc>
          <w:tcPr>
            <w:tcW w:w="1833" w:type="dxa"/>
          </w:tcPr>
          <w:p>
            <w:pPr>
              <w:pStyle w:val="TableParagraph"/>
              <w:spacing w:before="23"/>
              <w:ind w:left="29"/>
              <w:rPr>
                <w:sz w:val="16"/>
              </w:rPr>
            </w:pPr>
            <w:r>
              <w:rPr>
                <w:sz w:val="16"/>
              </w:rPr>
              <w:t>Cabralea cangerana</w:t>
            </w:r>
          </w:p>
        </w:tc>
        <w:tc>
          <w:tcPr>
            <w:tcW w:w="1187" w:type="dxa"/>
          </w:tcPr>
          <w:p>
            <w:pPr>
              <w:pStyle w:val="TableParagraph"/>
              <w:spacing w:before="23"/>
              <w:ind w:left="94" w:right="82"/>
              <w:jc w:val="center"/>
              <w:rPr>
                <w:sz w:val="16"/>
              </w:rPr>
            </w:pPr>
            <w:r>
              <w:rPr>
                <w:sz w:val="16"/>
              </w:rPr>
              <w:t>0.55</w:t>
            </w:r>
          </w:p>
        </w:tc>
        <w:tc>
          <w:tcPr>
            <w:tcW w:w="1806" w:type="dxa"/>
          </w:tcPr>
          <w:p>
            <w:pPr>
              <w:pStyle w:val="TableParagraph"/>
              <w:spacing w:before="23"/>
              <w:ind w:left="33"/>
              <w:rPr>
                <w:sz w:val="16"/>
              </w:rPr>
            </w:pPr>
            <w:r>
              <w:rPr>
                <w:sz w:val="16"/>
              </w:rPr>
              <w:t>Carapa procera</w:t>
            </w:r>
          </w:p>
        </w:tc>
        <w:tc>
          <w:tcPr>
            <w:tcW w:w="1187" w:type="dxa"/>
          </w:tcPr>
          <w:p>
            <w:pPr>
              <w:pStyle w:val="TableParagraph"/>
              <w:spacing w:before="23"/>
              <w:ind w:right="437"/>
              <w:jc w:val="right"/>
              <w:rPr>
                <w:sz w:val="16"/>
              </w:rPr>
            </w:pPr>
            <w:r>
              <w:rPr>
                <w:sz w:val="16"/>
              </w:rPr>
              <w:t>0.59</w:t>
            </w:r>
          </w:p>
        </w:tc>
      </w:tr>
      <w:tr>
        <w:trPr>
          <w:trHeight w:val="244" w:hRule="atLeast"/>
        </w:trPr>
        <w:tc>
          <w:tcPr>
            <w:tcW w:w="1838" w:type="dxa"/>
          </w:tcPr>
          <w:p>
            <w:pPr>
              <w:pStyle w:val="TableParagraph"/>
              <w:spacing w:before="23"/>
              <w:ind w:left="30"/>
              <w:rPr>
                <w:sz w:val="16"/>
              </w:rPr>
            </w:pPr>
            <w:r>
              <w:rPr>
                <w:sz w:val="16"/>
              </w:rPr>
              <w:t>Bombax ceiba</w:t>
            </w:r>
          </w:p>
        </w:tc>
        <w:tc>
          <w:tcPr>
            <w:tcW w:w="1161" w:type="dxa"/>
          </w:tcPr>
          <w:p>
            <w:pPr>
              <w:pStyle w:val="TableParagraph"/>
              <w:spacing w:before="23"/>
              <w:ind w:left="52" w:right="45"/>
              <w:jc w:val="center"/>
              <w:rPr>
                <w:sz w:val="16"/>
              </w:rPr>
            </w:pPr>
            <w:r>
              <w:rPr>
                <w:sz w:val="16"/>
              </w:rPr>
              <w:t>0.33</w:t>
            </w:r>
          </w:p>
        </w:tc>
        <w:tc>
          <w:tcPr>
            <w:tcW w:w="1833" w:type="dxa"/>
          </w:tcPr>
          <w:p>
            <w:pPr>
              <w:pStyle w:val="TableParagraph"/>
              <w:spacing w:before="23"/>
              <w:ind w:left="29"/>
              <w:rPr>
                <w:sz w:val="16"/>
              </w:rPr>
            </w:pPr>
            <w:r>
              <w:rPr>
                <w:sz w:val="16"/>
              </w:rPr>
              <w:t>Caesalpinia spp.</w:t>
            </w:r>
          </w:p>
        </w:tc>
        <w:tc>
          <w:tcPr>
            <w:tcW w:w="1187" w:type="dxa"/>
          </w:tcPr>
          <w:p>
            <w:pPr>
              <w:pStyle w:val="TableParagraph"/>
              <w:spacing w:before="23"/>
              <w:ind w:left="94" w:right="83"/>
              <w:jc w:val="center"/>
              <w:rPr>
                <w:sz w:val="16"/>
              </w:rPr>
            </w:pPr>
            <w:r>
              <w:rPr>
                <w:sz w:val="16"/>
              </w:rPr>
              <w:t>1.05</w:t>
            </w:r>
          </w:p>
        </w:tc>
        <w:tc>
          <w:tcPr>
            <w:tcW w:w="1806" w:type="dxa"/>
          </w:tcPr>
          <w:p>
            <w:pPr>
              <w:pStyle w:val="TableParagraph"/>
              <w:spacing w:before="23"/>
              <w:ind w:left="33"/>
              <w:rPr>
                <w:sz w:val="16"/>
              </w:rPr>
            </w:pPr>
            <w:r>
              <w:rPr>
                <w:sz w:val="16"/>
              </w:rPr>
              <w:t>Casearia battiscombei</w:t>
            </w:r>
          </w:p>
        </w:tc>
        <w:tc>
          <w:tcPr>
            <w:tcW w:w="1187" w:type="dxa"/>
          </w:tcPr>
          <w:p>
            <w:pPr>
              <w:pStyle w:val="TableParagraph"/>
              <w:spacing w:before="23"/>
              <w:ind w:right="478"/>
              <w:jc w:val="right"/>
              <w:rPr>
                <w:sz w:val="16"/>
              </w:rPr>
            </w:pPr>
            <w:r>
              <w:rPr>
                <w:sz w:val="16"/>
              </w:rPr>
              <w:t>0.5</w:t>
            </w:r>
          </w:p>
        </w:tc>
      </w:tr>
      <w:tr>
        <w:trPr>
          <w:trHeight w:val="388" w:hRule="atLeast"/>
        </w:trPr>
        <w:tc>
          <w:tcPr>
            <w:tcW w:w="1838" w:type="dxa"/>
          </w:tcPr>
          <w:p>
            <w:pPr>
              <w:pStyle w:val="TableParagraph"/>
              <w:spacing w:line="180" w:lineRule="atLeast" w:before="4"/>
              <w:ind w:left="30" w:right="667"/>
              <w:rPr>
                <w:sz w:val="16"/>
              </w:rPr>
            </w:pPr>
            <w:r>
              <w:rPr>
                <w:sz w:val="16"/>
              </w:rPr>
              <w:t>Bombycidendron vidalianum</w:t>
            </w:r>
          </w:p>
        </w:tc>
        <w:tc>
          <w:tcPr>
            <w:tcW w:w="1161" w:type="dxa"/>
          </w:tcPr>
          <w:p>
            <w:pPr>
              <w:pStyle w:val="TableParagraph"/>
              <w:spacing w:before="95"/>
              <w:ind w:left="52" w:right="47"/>
              <w:jc w:val="center"/>
              <w:rPr>
                <w:sz w:val="16"/>
              </w:rPr>
            </w:pPr>
            <w:r>
              <w:rPr>
                <w:sz w:val="16"/>
              </w:rPr>
              <w:t>0.53</w:t>
            </w:r>
          </w:p>
        </w:tc>
        <w:tc>
          <w:tcPr>
            <w:tcW w:w="1833" w:type="dxa"/>
          </w:tcPr>
          <w:p>
            <w:pPr>
              <w:pStyle w:val="TableParagraph"/>
              <w:spacing w:before="95"/>
              <w:ind w:left="29"/>
              <w:rPr>
                <w:sz w:val="16"/>
              </w:rPr>
            </w:pPr>
            <w:r>
              <w:rPr>
                <w:sz w:val="16"/>
              </w:rPr>
              <w:t>Calophyllum sp.</w:t>
            </w:r>
          </w:p>
        </w:tc>
        <w:tc>
          <w:tcPr>
            <w:tcW w:w="1187" w:type="dxa"/>
          </w:tcPr>
          <w:p>
            <w:pPr>
              <w:pStyle w:val="TableParagraph"/>
              <w:spacing w:before="95"/>
              <w:ind w:left="94" w:right="83"/>
              <w:jc w:val="center"/>
              <w:rPr>
                <w:sz w:val="16"/>
              </w:rPr>
            </w:pPr>
            <w:r>
              <w:rPr>
                <w:sz w:val="16"/>
              </w:rPr>
              <w:t>0.65</w:t>
            </w:r>
          </w:p>
        </w:tc>
        <w:tc>
          <w:tcPr>
            <w:tcW w:w="1806" w:type="dxa"/>
          </w:tcPr>
          <w:p>
            <w:pPr>
              <w:pStyle w:val="TableParagraph"/>
              <w:spacing w:before="95"/>
              <w:ind w:left="33"/>
              <w:rPr>
                <w:sz w:val="16"/>
              </w:rPr>
            </w:pPr>
            <w:r>
              <w:rPr>
                <w:sz w:val="16"/>
              </w:rPr>
              <w:t>Cassipourea euryoides</w:t>
            </w:r>
          </w:p>
        </w:tc>
        <w:tc>
          <w:tcPr>
            <w:tcW w:w="1187" w:type="dxa"/>
          </w:tcPr>
          <w:p>
            <w:pPr>
              <w:pStyle w:val="TableParagraph"/>
              <w:spacing w:before="95"/>
              <w:ind w:right="395"/>
              <w:jc w:val="right"/>
              <w:rPr>
                <w:sz w:val="16"/>
              </w:rPr>
            </w:pPr>
            <w:r>
              <w:rPr>
                <w:sz w:val="16"/>
              </w:rPr>
              <w:t>0.70*</w:t>
            </w:r>
          </w:p>
        </w:tc>
      </w:tr>
      <w:tr>
        <w:trPr>
          <w:trHeight w:val="386" w:hRule="atLeast"/>
        </w:trPr>
        <w:tc>
          <w:tcPr>
            <w:tcW w:w="1838" w:type="dxa"/>
          </w:tcPr>
          <w:p>
            <w:pPr>
              <w:pStyle w:val="TableParagraph"/>
              <w:spacing w:before="95"/>
              <w:ind w:left="30"/>
              <w:rPr>
                <w:sz w:val="16"/>
              </w:rPr>
            </w:pPr>
            <w:r>
              <w:rPr>
                <w:sz w:val="16"/>
              </w:rPr>
              <w:t>Boswellia serrata</w:t>
            </w:r>
          </w:p>
        </w:tc>
        <w:tc>
          <w:tcPr>
            <w:tcW w:w="1161" w:type="dxa"/>
          </w:tcPr>
          <w:p>
            <w:pPr>
              <w:pStyle w:val="TableParagraph"/>
              <w:spacing w:before="95"/>
              <w:ind w:left="52" w:right="46"/>
              <w:jc w:val="center"/>
              <w:rPr>
                <w:sz w:val="16"/>
              </w:rPr>
            </w:pPr>
            <w:r>
              <w:rPr>
                <w:sz w:val="16"/>
              </w:rPr>
              <w:t>0.5</w:t>
            </w:r>
          </w:p>
        </w:tc>
        <w:tc>
          <w:tcPr>
            <w:tcW w:w="1833" w:type="dxa"/>
          </w:tcPr>
          <w:p>
            <w:pPr>
              <w:pStyle w:val="TableParagraph"/>
              <w:spacing w:line="182" w:lineRule="exact" w:before="7"/>
              <w:ind w:left="29" w:right="769"/>
              <w:rPr>
                <w:sz w:val="16"/>
              </w:rPr>
            </w:pPr>
            <w:r>
              <w:rPr>
                <w:sz w:val="16"/>
              </w:rPr>
              <w:t>Campnosperma panamensis</w:t>
            </w:r>
          </w:p>
        </w:tc>
        <w:tc>
          <w:tcPr>
            <w:tcW w:w="1187" w:type="dxa"/>
          </w:tcPr>
          <w:p>
            <w:pPr>
              <w:pStyle w:val="TableParagraph"/>
              <w:spacing w:before="95"/>
              <w:ind w:left="94" w:right="80"/>
              <w:jc w:val="center"/>
              <w:rPr>
                <w:sz w:val="16"/>
              </w:rPr>
            </w:pPr>
            <w:r>
              <w:rPr>
                <w:sz w:val="16"/>
              </w:rPr>
              <w:t>0.33,0.50+</w:t>
            </w:r>
          </w:p>
        </w:tc>
        <w:tc>
          <w:tcPr>
            <w:tcW w:w="1806" w:type="dxa"/>
          </w:tcPr>
          <w:p>
            <w:pPr>
              <w:pStyle w:val="TableParagraph"/>
              <w:spacing w:before="95"/>
              <w:ind w:left="33"/>
              <w:rPr>
                <w:sz w:val="16"/>
              </w:rPr>
            </w:pPr>
            <w:r>
              <w:rPr>
                <w:sz w:val="16"/>
              </w:rPr>
              <w:t>Cassipourea malosana</w:t>
            </w:r>
          </w:p>
        </w:tc>
        <w:tc>
          <w:tcPr>
            <w:tcW w:w="1187" w:type="dxa"/>
          </w:tcPr>
          <w:p>
            <w:pPr>
              <w:pStyle w:val="TableParagraph"/>
              <w:spacing w:before="95"/>
              <w:ind w:right="396"/>
              <w:jc w:val="right"/>
              <w:rPr>
                <w:sz w:val="16"/>
              </w:rPr>
            </w:pPr>
            <w:r>
              <w:rPr>
                <w:sz w:val="16"/>
              </w:rPr>
              <w:t>0.59*</w:t>
            </w:r>
          </w:p>
        </w:tc>
      </w:tr>
      <w:tr>
        <w:trPr>
          <w:trHeight w:val="244" w:hRule="atLeast"/>
        </w:trPr>
        <w:tc>
          <w:tcPr>
            <w:tcW w:w="1838" w:type="dxa"/>
          </w:tcPr>
          <w:p>
            <w:pPr>
              <w:pStyle w:val="TableParagraph"/>
              <w:spacing w:before="23"/>
              <w:ind w:left="30"/>
              <w:rPr>
                <w:sz w:val="16"/>
              </w:rPr>
            </w:pPr>
            <w:r>
              <w:rPr>
                <w:sz w:val="16"/>
              </w:rPr>
              <w:t>Bridelia squamosa</w:t>
            </w:r>
          </w:p>
        </w:tc>
        <w:tc>
          <w:tcPr>
            <w:tcW w:w="1161" w:type="dxa"/>
          </w:tcPr>
          <w:p>
            <w:pPr>
              <w:pStyle w:val="TableParagraph"/>
              <w:spacing w:before="23"/>
              <w:ind w:left="52" w:right="47"/>
              <w:jc w:val="center"/>
              <w:rPr>
                <w:sz w:val="16"/>
              </w:rPr>
            </w:pPr>
            <w:r>
              <w:rPr>
                <w:sz w:val="16"/>
              </w:rPr>
              <w:t>0.5</w:t>
            </w:r>
          </w:p>
        </w:tc>
        <w:tc>
          <w:tcPr>
            <w:tcW w:w="1833" w:type="dxa"/>
          </w:tcPr>
          <w:p>
            <w:pPr>
              <w:pStyle w:val="TableParagraph"/>
              <w:spacing w:before="23"/>
              <w:ind w:left="29"/>
              <w:rPr>
                <w:sz w:val="16"/>
              </w:rPr>
            </w:pPr>
            <w:r>
              <w:rPr>
                <w:sz w:val="16"/>
              </w:rPr>
              <w:t>Carapa sp.</w:t>
            </w:r>
          </w:p>
        </w:tc>
        <w:tc>
          <w:tcPr>
            <w:tcW w:w="1187" w:type="dxa"/>
          </w:tcPr>
          <w:p>
            <w:pPr>
              <w:pStyle w:val="TableParagraph"/>
              <w:spacing w:before="23"/>
              <w:ind w:left="94" w:right="82"/>
              <w:jc w:val="center"/>
              <w:rPr>
                <w:sz w:val="16"/>
              </w:rPr>
            </w:pPr>
            <w:r>
              <w:rPr>
                <w:sz w:val="16"/>
              </w:rPr>
              <w:t>0.47</w:t>
            </w:r>
          </w:p>
        </w:tc>
        <w:tc>
          <w:tcPr>
            <w:tcW w:w="1806" w:type="dxa"/>
          </w:tcPr>
          <w:p>
            <w:pPr>
              <w:pStyle w:val="TableParagraph"/>
              <w:spacing w:before="23"/>
              <w:ind w:left="33"/>
              <w:rPr>
                <w:sz w:val="16"/>
              </w:rPr>
            </w:pPr>
            <w:r>
              <w:rPr>
                <w:sz w:val="16"/>
              </w:rPr>
              <w:t>Ceiba pentandra</w:t>
            </w:r>
          </w:p>
        </w:tc>
        <w:tc>
          <w:tcPr>
            <w:tcW w:w="1187" w:type="dxa"/>
          </w:tcPr>
          <w:p>
            <w:pPr>
              <w:pStyle w:val="TableParagraph"/>
              <w:spacing w:before="23"/>
              <w:ind w:right="437"/>
              <w:jc w:val="right"/>
              <w:rPr>
                <w:sz w:val="16"/>
              </w:rPr>
            </w:pPr>
            <w:r>
              <w:rPr>
                <w:sz w:val="16"/>
              </w:rPr>
              <w:t>0.26</w:t>
            </w:r>
          </w:p>
        </w:tc>
      </w:tr>
      <w:tr>
        <w:trPr>
          <w:trHeight w:val="246" w:hRule="atLeast"/>
        </w:trPr>
        <w:tc>
          <w:tcPr>
            <w:tcW w:w="1838" w:type="dxa"/>
          </w:tcPr>
          <w:p>
            <w:pPr>
              <w:pStyle w:val="TableParagraph"/>
              <w:spacing w:before="23"/>
              <w:ind w:left="30"/>
              <w:rPr>
                <w:sz w:val="16"/>
              </w:rPr>
            </w:pPr>
            <w:r>
              <w:rPr>
                <w:sz w:val="16"/>
              </w:rPr>
              <w:t>Buchanania latifolia</w:t>
            </w:r>
          </w:p>
        </w:tc>
        <w:tc>
          <w:tcPr>
            <w:tcW w:w="1161" w:type="dxa"/>
          </w:tcPr>
          <w:p>
            <w:pPr>
              <w:pStyle w:val="TableParagraph"/>
              <w:spacing w:before="23"/>
              <w:ind w:left="52" w:right="45"/>
              <w:jc w:val="center"/>
              <w:rPr>
                <w:sz w:val="16"/>
              </w:rPr>
            </w:pPr>
            <w:r>
              <w:rPr>
                <w:sz w:val="16"/>
              </w:rPr>
              <w:t>0.45</w:t>
            </w:r>
          </w:p>
        </w:tc>
        <w:tc>
          <w:tcPr>
            <w:tcW w:w="1833" w:type="dxa"/>
          </w:tcPr>
          <w:p>
            <w:pPr>
              <w:pStyle w:val="TableParagraph"/>
              <w:spacing w:before="23"/>
              <w:ind w:left="29"/>
              <w:rPr>
                <w:sz w:val="16"/>
              </w:rPr>
            </w:pPr>
            <w:r>
              <w:rPr>
                <w:sz w:val="16"/>
              </w:rPr>
              <w:t>Caryocar spp.</w:t>
            </w:r>
          </w:p>
        </w:tc>
        <w:tc>
          <w:tcPr>
            <w:tcW w:w="1187" w:type="dxa"/>
          </w:tcPr>
          <w:p>
            <w:pPr>
              <w:pStyle w:val="TableParagraph"/>
              <w:spacing w:before="23"/>
              <w:ind w:left="92" w:right="83"/>
              <w:jc w:val="center"/>
              <w:rPr>
                <w:sz w:val="16"/>
              </w:rPr>
            </w:pPr>
            <w:r>
              <w:rPr>
                <w:sz w:val="16"/>
              </w:rPr>
              <w:t>0.69, 0.72+</w:t>
            </w:r>
          </w:p>
        </w:tc>
        <w:tc>
          <w:tcPr>
            <w:tcW w:w="1806" w:type="dxa"/>
          </w:tcPr>
          <w:p>
            <w:pPr>
              <w:pStyle w:val="TableParagraph"/>
              <w:spacing w:before="23"/>
              <w:ind w:left="34"/>
              <w:rPr>
                <w:sz w:val="16"/>
              </w:rPr>
            </w:pPr>
            <w:r>
              <w:rPr>
                <w:sz w:val="16"/>
              </w:rPr>
              <w:t>Celtis spp.</w:t>
            </w:r>
          </w:p>
        </w:tc>
        <w:tc>
          <w:tcPr>
            <w:tcW w:w="1187" w:type="dxa"/>
          </w:tcPr>
          <w:p>
            <w:pPr>
              <w:pStyle w:val="TableParagraph"/>
              <w:spacing w:before="23"/>
              <w:ind w:right="437"/>
              <w:jc w:val="right"/>
              <w:rPr>
                <w:sz w:val="16"/>
              </w:rPr>
            </w:pPr>
            <w:r>
              <w:rPr>
                <w:sz w:val="16"/>
              </w:rPr>
              <w:t>0.59</w:t>
            </w:r>
          </w:p>
        </w:tc>
      </w:tr>
      <w:tr>
        <w:trPr>
          <w:trHeight w:val="244" w:hRule="atLeast"/>
        </w:trPr>
        <w:tc>
          <w:tcPr>
            <w:tcW w:w="1838" w:type="dxa"/>
          </w:tcPr>
          <w:p>
            <w:pPr>
              <w:pStyle w:val="TableParagraph"/>
              <w:spacing w:before="23"/>
              <w:ind w:left="30"/>
              <w:rPr>
                <w:sz w:val="16"/>
              </w:rPr>
            </w:pPr>
            <w:r>
              <w:rPr>
                <w:sz w:val="16"/>
              </w:rPr>
              <w:t>Bursera serrata</w:t>
            </w:r>
          </w:p>
        </w:tc>
        <w:tc>
          <w:tcPr>
            <w:tcW w:w="1161" w:type="dxa"/>
          </w:tcPr>
          <w:p>
            <w:pPr>
              <w:pStyle w:val="TableParagraph"/>
              <w:spacing w:before="23"/>
              <w:ind w:left="52" w:right="46"/>
              <w:jc w:val="center"/>
              <w:rPr>
                <w:sz w:val="16"/>
              </w:rPr>
            </w:pPr>
            <w:r>
              <w:rPr>
                <w:sz w:val="16"/>
              </w:rPr>
              <w:t>0.59</w:t>
            </w:r>
          </w:p>
        </w:tc>
        <w:tc>
          <w:tcPr>
            <w:tcW w:w="1833" w:type="dxa"/>
          </w:tcPr>
          <w:p>
            <w:pPr>
              <w:pStyle w:val="TableParagraph"/>
              <w:spacing w:before="23"/>
              <w:ind w:left="29"/>
              <w:rPr>
                <w:sz w:val="16"/>
              </w:rPr>
            </w:pPr>
            <w:r>
              <w:rPr>
                <w:sz w:val="16"/>
              </w:rPr>
              <w:t>Casearia sp.</w:t>
            </w:r>
          </w:p>
        </w:tc>
        <w:tc>
          <w:tcPr>
            <w:tcW w:w="1187" w:type="dxa"/>
          </w:tcPr>
          <w:p>
            <w:pPr>
              <w:pStyle w:val="TableParagraph"/>
              <w:spacing w:before="23"/>
              <w:ind w:left="94" w:right="81"/>
              <w:jc w:val="center"/>
              <w:rPr>
                <w:sz w:val="16"/>
              </w:rPr>
            </w:pPr>
            <w:r>
              <w:rPr>
                <w:sz w:val="16"/>
              </w:rPr>
              <w:t>0.62</w:t>
            </w:r>
          </w:p>
        </w:tc>
        <w:tc>
          <w:tcPr>
            <w:tcW w:w="1806" w:type="dxa"/>
          </w:tcPr>
          <w:p>
            <w:pPr>
              <w:pStyle w:val="TableParagraph"/>
              <w:spacing w:before="23"/>
              <w:ind w:left="34"/>
              <w:rPr>
                <w:sz w:val="16"/>
              </w:rPr>
            </w:pPr>
            <w:r>
              <w:rPr>
                <w:sz w:val="16"/>
              </w:rPr>
              <w:t>Chlorophora ercelsa</w:t>
            </w:r>
          </w:p>
        </w:tc>
        <w:tc>
          <w:tcPr>
            <w:tcW w:w="1187" w:type="dxa"/>
          </w:tcPr>
          <w:p>
            <w:pPr>
              <w:pStyle w:val="TableParagraph"/>
              <w:spacing w:before="23"/>
              <w:ind w:right="437"/>
              <w:jc w:val="right"/>
              <w:rPr>
                <w:sz w:val="16"/>
              </w:rPr>
            </w:pPr>
            <w:r>
              <w:rPr>
                <w:sz w:val="16"/>
              </w:rPr>
              <w:t>0.55</w:t>
            </w:r>
          </w:p>
        </w:tc>
      </w:tr>
      <w:tr>
        <w:trPr>
          <w:trHeight w:val="244" w:hRule="atLeast"/>
        </w:trPr>
        <w:tc>
          <w:tcPr>
            <w:tcW w:w="1838" w:type="dxa"/>
          </w:tcPr>
          <w:p>
            <w:pPr>
              <w:pStyle w:val="TableParagraph"/>
              <w:spacing w:before="23"/>
              <w:ind w:left="30"/>
              <w:rPr>
                <w:sz w:val="16"/>
              </w:rPr>
            </w:pPr>
            <w:r>
              <w:rPr>
                <w:sz w:val="16"/>
              </w:rPr>
              <w:t>Butea monosperma</w:t>
            </w:r>
          </w:p>
        </w:tc>
        <w:tc>
          <w:tcPr>
            <w:tcW w:w="1161" w:type="dxa"/>
          </w:tcPr>
          <w:p>
            <w:pPr>
              <w:pStyle w:val="TableParagraph"/>
              <w:spacing w:before="23"/>
              <w:ind w:left="52" w:right="46"/>
              <w:jc w:val="center"/>
              <w:rPr>
                <w:sz w:val="16"/>
              </w:rPr>
            </w:pPr>
            <w:r>
              <w:rPr>
                <w:sz w:val="16"/>
              </w:rPr>
              <w:t>0.48</w:t>
            </w:r>
          </w:p>
        </w:tc>
        <w:tc>
          <w:tcPr>
            <w:tcW w:w="1833" w:type="dxa"/>
          </w:tcPr>
          <w:p>
            <w:pPr>
              <w:pStyle w:val="TableParagraph"/>
              <w:spacing w:before="23"/>
              <w:ind w:left="29"/>
              <w:rPr>
                <w:sz w:val="16"/>
              </w:rPr>
            </w:pPr>
            <w:r>
              <w:rPr>
                <w:sz w:val="16"/>
              </w:rPr>
              <w:t>Cassia moschata</w:t>
            </w:r>
          </w:p>
        </w:tc>
        <w:tc>
          <w:tcPr>
            <w:tcW w:w="1187" w:type="dxa"/>
          </w:tcPr>
          <w:p>
            <w:pPr>
              <w:pStyle w:val="TableParagraph"/>
              <w:spacing w:before="23"/>
              <w:ind w:left="94" w:right="81"/>
              <w:jc w:val="center"/>
              <w:rPr>
                <w:sz w:val="16"/>
              </w:rPr>
            </w:pPr>
            <w:r>
              <w:rPr>
                <w:sz w:val="16"/>
              </w:rPr>
              <w:t>0.71</w:t>
            </w:r>
          </w:p>
        </w:tc>
        <w:tc>
          <w:tcPr>
            <w:tcW w:w="1806" w:type="dxa"/>
          </w:tcPr>
          <w:p>
            <w:pPr>
              <w:pStyle w:val="TableParagraph"/>
              <w:spacing w:before="23"/>
              <w:ind w:left="34"/>
              <w:rPr>
                <w:sz w:val="16"/>
              </w:rPr>
            </w:pPr>
            <w:r>
              <w:rPr>
                <w:sz w:val="16"/>
              </w:rPr>
              <w:t>Chrysophyllum albidum</w:t>
            </w:r>
          </w:p>
        </w:tc>
        <w:tc>
          <w:tcPr>
            <w:tcW w:w="1187" w:type="dxa"/>
          </w:tcPr>
          <w:p>
            <w:pPr>
              <w:pStyle w:val="TableParagraph"/>
              <w:spacing w:before="23"/>
              <w:ind w:right="396"/>
              <w:jc w:val="right"/>
              <w:rPr>
                <w:sz w:val="16"/>
              </w:rPr>
            </w:pPr>
            <w:r>
              <w:rPr>
                <w:sz w:val="16"/>
              </w:rPr>
              <w:t>0.56*</w:t>
            </w:r>
          </w:p>
        </w:tc>
      </w:tr>
      <w:tr>
        <w:trPr>
          <w:trHeight w:val="244" w:hRule="atLeast"/>
        </w:trPr>
        <w:tc>
          <w:tcPr>
            <w:tcW w:w="1838" w:type="dxa"/>
          </w:tcPr>
          <w:p>
            <w:pPr>
              <w:pStyle w:val="TableParagraph"/>
              <w:spacing w:before="23"/>
              <w:ind w:left="30"/>
              <w:rPr>
                <w:sz w:val="16"/>
              </w:rPr>
            </w:pPr>
            <w:r>
              <w:rPr>
                <w:sz w:val="16"/>
              </w:rPr>
              <w:t>Calophyllum spp.</w:t>
            </w:r>
          </w:p>
        </w:tc>
        <w:tc>
          <w:tcPr>
            <w:tcW w:w="1161" w:type="dxa"/>
          </w:tcPr>
          <w:p>
            <w:pPr>
              <w:pStyle w:val="TableParagraph"/>
              <w:spacing w:before="23"/>
              <w:ind w:left="52" w:right="46"/>
              <w:jc w:val="center"/>
              <w:rPr>
                <w:sz w:val="16"/>
              </w:rPr>
            </w:pPr>
            <w:r>
              <w:rPr>
                <w:sz w:val="16"/>
              </w:rPr>
              <w:t>0.53</w:t>
            </w:r>
          </w:p>
        </w:tc>
        <w:tc>
          <w:tcPr>
            <w:tcW w:w="1833" w:type="dxa"/>
          </w:tcPr>
          <w:p>
            <w:pPr>
              <w:pStyle w:val="TableParagraph"/>
              <w:spacing w:before="23"/>
              <w:ind w:left="29"/>
              <w:rPr>
                <w:sz w:val="16"/>
              </w:rPr>
            </w:pPr>
            <w:r>
              <w:rPr>
                <w:sz w:val="16"/>
              </w:rPr>
              <w:t>Casuarina equisetifolia</w:t>
            </w:r>
          </w:p>
        </w:tc>
        <w:tc>
          <w:tcPr>
            <w:tcW w:w="1187" w:type="dxa"/>
          </w:tcPr>
          <w:p>
            <w:pPr>
              <w:pStyle w:val="TableParagraph"/>
              <w:spacing w:before="23"/>
              <w:ind w:left="94" w:right="80"/>
              <w:jc w:val="center"/>
              <w:rPr>
                <w:sz w:val="16"/>
              </w:rPr>
            </w:pPr>
            <w:r>
              <w:rPr>
                <w:sz w:val="16"/>
              </w:rPr>
              <w:t>0.81</w:t>
            </w:r>
          </w:p>
        </w:tc>
        <w:tc>
          <w:tcPr>
            <w:tcW w:w="1806" w:type="dxa"/>
          </w:tcPr>
          <w:p>
            <w:pPr>
              <w:pStyle w:val="TableParagraph"/>
              <w:spacing w:before="23"/>
              <w:ind w:left="34"/>
              <w:rPr>
                <w:sz w:val="16"/>
              </w:rPr>
            </w:pPr>
            <w:r>
              <w:rPr>
                <w:sz w:val="16"/>
              </w:rPr>
              <w:t>Cleistanthus mildbraedii</w:t>
            </w:r>
          </w:p>
        </w:tc>
        <w:tc>
          <w:tcPr>
            <w:tcW w:w="1187" w:type="dxa"/>
          </w:tcPr>
          <w:p>
            <w:pPr>
              <w:pStyle w:val="TableParagraph"/>
              <w:spacing w:before="23"/>
              <w:ind w:right="394"/>
              <w:jc w:val="right"/>
              <w:rPr>
                <w:sz w:val="16"/>
              </w:rPr>
            </w:pPr>
            <w:r>
              <w:rPr>
                <w:sz w:val="16"/>
              </w:rPr>
              <w:t>0.87*</w:t>
            </w:r>
          </w:p>
        </w:tc>
      </w:tr>
      <w:tr>
        <w:trPr>
          <w:trHeight w:val="246" w:hRule="atLeast"/>
        </w:trPr>
        <w:tc>
          <w:tcPr>
            <w:tcW w:w="1838" w:type="dxa"/>
          </w:tcPr>
          <w:p>
            <w:pPr>
              <w:pStyle w:val="TableParagraph"/>
              <w:spacing w:before="23"/>
              <w:ind w:left="30"/>
              <w:rPr>
                <w:sz w:val="16"/>
              </w:rPr>
            </w:pPr>
            <w:r>
              <w:rPr>
                <w:sz w:val="16"/>
              </w:rPr>
              <w:t>Calycarpa arborea</w:t>
            </w:r>
          </w:p>
        </w:tc>
        <w:tc>
          <w:tcPr>
            <w:tcW w:w="1161" w:type="dxa"/>
          </w:tcPr>
          <w:p>
            <w:pPr>
              <w:pStyle w:val="TableParagraph"/>
              <w:spacing w:before="23"/>
              <w:ind w:left="52" w:right="43"/>
              <w:jc w:val="center"/>
              <w:rPr>
                <w:sz w:val="16"/>
              </w:rPr>
            </w:pPr>
            <w:r>
              <w:rPr>
                <w:sz w:val="16"/>
              </w:rPr>
              <w:t>0.53</w:t>
            </w:r>
          </w:p>
        </w:tc>
        <w:tc>
          <w:tcPr>
            <w:tcW w:w="1833" w:type="dxa"/>
          </w:tcPr>
          <w:p>
            <w:pPr>
              <w:pStyle w:val="TableParagraph"/>
              <w:spacing w:before="23"/>
              <w:ind w:left="31"/>
              <w:rPr>
                <w:sz w:val="16"/>
              </w:rPr>
            </w:pPr>
            <w:r>
              <w:rPr>
                <w:sz w:val="16"/>
              </w:rPr>
              <w:t>Catostemma spp.</w:t>
            </w:r>
          </w:p>
        </w:tc>
        <w:tc>
          <w:tcPr>
            <w:tcW w:w="1187" w:type="dxa"/>
          </w:tcPr>
          <w:p>
            <w:pPr>
              <w:pStyle w:val="TableParagraph"/>
              <w:spacing w:before="23"/>
              <w:ind w:left="94" w:right="79"/>
              <w:jc w:val="center"/>
              <w:rPr>
                <w:sz w:val="16"/>
              </w:rPr>
            </w:pPr>
            <w:r>
              <w:rPr>
                <w:sz w:val="16"/>
              </w:rPr>
              <w:t>0.55</w:t>
            </w:r>
          </w:p>
        </w:tc>
        <w:tc>
          <w:tcPr>
            <w:tcW w:w="1806" w:type="dxa"/>
          </w:tcPr>
          <w:p>
            <w:pPr>
              <w:pStyle w:val="TableParagraph"/>
              <w:spacing w:before="23"/>
              <w:ind w:left="35"/>
              <w:rPr>
                <w:sz w:val="16"/>
              </w:rPr>
            </w:pPr>
            <w:r>
              <w:rPr>
                <w:sz w:val="16"/>
              </w:rPr>
              <w:t>Cleistopholis patens</w:t>
            </w:r>
          </w:p>
        </w:tc>
        <w:tc>
          <w:tcPr>
            <w:tcW w:w="1187" w:type="dxa"/>
          </w:tcPr>
          <w:p>
            <w:pPr>
              <w:pStyle w:val="TableParagraph"/>
              <w:spacing w:before="23"/>
              <w:ind w:right="395"/>
              <w:jc w:val="right"/>
              <w:rPr>
                <w:sz w:val="16"/>
              </w:rPr>
            </w:pPr>
            <w:r>
              <w:rPr>
                <w:sz w:val="16"/>
              </w:rPr>
              <w:t>0.36*</w:t>
            </w:r>
          </w:p>
        </w:tc>
      </w:tr>
      <w:tr>
        <w:trPr>
          <w:trHeight w:val="244" w:hRule="atLeast"/>
        </w:trPr>
        <w:tc>
          <w:tcPr>
            <w:tcW w:w="1838" w:type="dxa"/>
          </w:tcPr>
          <w:p>
            <w:pPr>
              <w:pStyle w:val="TableParagraph"/>
              <w:spacing w:before="23"/>
              <w:ind w:left="30"/>
              <w:rPr>
                <w:sz w:val="16"/>
              </w:rPr>
            </w:pPr>
            <w:r>
              <w:rPr>
                <w:sz w:val="16"/>
              </w:rPr>
              <w:t>Cananga odorata</w:t>
            </w:r>
          </w:p>
        </w:tc>
        <w:tc>
          <w:tcPr>
            <w:tcW w:w="1161" w:type="dxa"/>
          </w:tcPr>
          <w:p>
            <w:pPr>
              <w:pStyle w:val="TableParagraph"/>
              <w:spacing w:before="23"/>
              <w:ind w:left="52" w:right="46"/>
              <w:jc w:val="center"/>
              <w:rPr>
                <w:sz w:val="16"/>
              </w:rPr>
            </w:pPr>
            <w:r>
              <w:rPr>
                <w:sz w:val="16"/>
              </w:rPr>
              <w:t>0.29</w:t>
            </w:r>
          </w:p>
        </w:tc>
        <w:tc>
          <w:tcPr>
            <w:tcW w:w="1833" w:type="dxa"/>
          </w:tcPr>
          <w:p>
            <w:pPr>
              <w:pStyle w:val="TableParagraph"/>
              <w:spacing w:before="23"/>
              <w:ind w:left="29"/>
              <w:rPr>
                <w:sz w:val="16"/>
              </w:rPr>
            </w:pPr>
            <w:r>
              <w:rPr>
                <w:sz w:val="16"/>
              </w:rPr>
              <w:t>Cecropia spp.</w:t>
            </w:r>
          </w:p>
        </w:tc>
        <w:tc>
          <w:tcPr>
            <w:tcW w:w="1187" w:type="dxa"/>
          </w:tcPr>
          <w:p>
            <w:pPr>
              <w:pStyle w:val="TableParagraph"/>
              <w:spacing w:before="23"/>
              <w:ind w:left="94" w:right="83"/>
              <w:jc w:val="center"/>
              <w:rPr>
                <w:sz w:val="16"/>
              </w:rPr>
            </w:pPr>
            <w:r>
              <w:rPr>
                <w:sz w:val="16"/>
              </w:rPr>
              <w:t>0.36</w:t>
            </w:r>
          </w:p>
        </w:tc>
        <w:tc>
          <w:tcPr>
            <w:tcW w:w="1806" w:type="dxa"/>
          </w:tcPr>
          <w:p>
            <w:pPr>
              <w:pStyle w:val="TableParagraph"/>
              <w:spacing w:before="23"/>
              <w:ind w:left="33"/>
              <w:rPr>
                <w:sz w:val="16"/>
              </w:rPr>
            </w:pPr>
            <w:r>
              <w:rPr>
                <w:sz w:val="16"/>
              </w:rPr>
              <w:t>Coelocaryon preussii</w:t>
            </w:r>
          </w:p>
        </w:tc>
        <w:tc>
          <w:tcPr>
            <w:tcW w:w="1187" w:type="dxa"/>
          </w:tcPr>
          <w:p>
            <w:pPr>
              <w:pStyle w:val="TableParagraph"/>
              <w:spacing w:before="23"/>
              <w:ind w:right="404"/>
              <w:jc w:val="right"/>
              <w:rPr>
                <w:sz w:val="16"/>
              </w:rPr>
            </w:pPr>
            <w:r>
              <w:rPr>
                <w:sz w:val="16"/>
              </w:rPr>
              <w:t>0.56”</w:t>
            </w:r>
          </w:p>
        </w:tc>
      </w:tr>
      <w:tr>
        <w:trPr>
          <w:trHeight w:val="244" w:hRule="atLeast"/>
        </w:trPr>
        <w:tc>
          <w:tcPr>
            <w:tcW w:w="1838" w:type="dxa"/>
          </w:tcPr>
          <w:p>
            <w:pPr>
              <w:pStyle w:val="TableParagraph"/>
              <w:spacing w:before="23"/>
              <w:ind w:left="30"/>
              <w:rPr>
                <w:sz w:val="16"/>
              </w:rPr>
            </w:pPr>
            <w:r>
              <w:rPr>
                <w:sz w:val="16"/>
              </w:rPr>
              <w:t>Canarium spp.</w:t>
            </w:r>
          </w:p>
        </w:tc>
        <w:tc>
          <w:tcPr>
            <w:tcW w:w="1161" w:type="dxa"/>
          </w:tcPr>
          <w:p>
            <w:pPr>
              <w:pStyle w:val="TableParagraph"/>
              <w:spacing w:before="23"/>
              <w:ind w:left="52" w:right="47"/>
              <w:jc w:val="center"/>
              <w:rPr>
                <w:sz w:val="16"/>
              </w:rPr>
            </w:pPr>
            <w:r>
              <w:rPr>
                <w:sz w:val="16"/>
              </w:rPr>
              <w:t>0.44</w:t>
            </w:r>
          </w:p>
        </w:tc>
        <w:tc>
          <w:tcPr>
            <w:tcW w:w="1833" w:type="dxa"/>
          </w:tcPr>
          <w:p>
            <w:pPr>
              <w:pStyle w:val="TableParagraph"/>
              <w:spacing w:before="23"/>
              <w:ind w:left="28"/>
              <w:rPr>
                <w:sz w:val="16"/>
              </w:rPr>
            </w:pPr>
            <w:r>
              <w:rPr>
                <w:sz w:val="16"/>
              </w:rPr>
              <w:t>Cedrela spp.</w:t>
            </w:r>
          </w:p>
        </w:tc>
        <w:tc>
          <w:tcPr>
            <w:tcW w:w="1187" w:type="dxa"/>
          </w:tcPr>
          <w:p>
            <w:pPr>
              <w:pStyle w:val="TableParagraph"/>
              <w:spacing w:before="23"/>
              <w:ind w:left="90" w:right="83"/>
              <w:jc w:val="center"/>
              <w:rPr>
                <w:sz w:val="16"/>
              </w:rPr>
            </w:pPr>
            <w:r>
              <w:rPr>
                <w:sz w:val="16"/>
              </w:rPr>
              <w:t>0.40, 0.46+</w:t>
            </w:r>
          </w:p>
        </w:tc>
        <w:tc>
          <w:tcPr>
            <w:tcW w:w="1806" w:type="dxa"/>
          </w:tcPr>
          <w:p>
            <w:pPr>
              <w:pStyle w:val="TableParagraph"/>
              <w:spacing w:before="23"/>
              <w:ind w:left="33"/>
              <w:rPr>
                <w:sz w:val="16"/>
              </w:rPr>
            </w:pPr>
            <w:r>
              <w:rPr>
                <w:sz w:val="16"/>
              </w:rPr>
              <w:t>Cola sp.</w:t>
            </w:r>
          </w:p>
        </w:tc>
        <w:tc>
          <w:tcPr>
            <w:tcW w:w="1187" w:type="dxa"/>
          </w:tcPr>
          <w:p>
            <w:pPr>
              <w:pStyle w:val="TableParagraph"/>
              <w:spacing w:before="23"/>
              <w:ind w:right="404"/>
              <w:jc w:val="right"/>
              <w:rPr>
                <w:sz w:val="16"/>
              </w:rPr>
            </w:pPr>
            <w:r>
              <w:rPr>
                <w:sz w:val="16"/>
              </w:rPr>
              <w:t>0.70”</w:t>
            </w:r>
          </w:p>
        </w:tc>
      </w:tr>
      <w:tr>
        <w:trPr>
          <w:trHeight w:val="385" w:hRule="atLeast"/>
        </w:trPr>
        <w:tc>
          <w:tcPr>
            <w:tcW w:w="1838" w:type="dxa"/>
          </w:tcPr>
          <w:p>
            <w:pPr>
              <w:pStyle w:val="TableParagraph"/>
              <w:spacing w:before="95"/>
              <w:ind w:left="30"/>
              <w:rPr>
                <w:sz w:val="16"/>
              </w:rPr>
            </w:pPr>
            <w:r>
              <w:rPr>
                <w:sz w:val="16"/>
              </w:rPr>
              <w:t>Canthium monstrosum</w:t>
            </w:r>
          </w:p>
        </w:tc>
        <w:tc>
          <w:tcPr>
            <w:tcW w:w="1161" w:type="dxa"/>
          </w:tcPr>
          <w:p>
            <w:pPr>
              <w:pStyle w:val="TableParagraph"/>
              <w:spacing w:before="95"/>
              <w:ind w:left="51" w:right="47"/>
              <w:jc w:val="center"/>
              <w:rPr>
                <w:sz w:val="16"/>
              </w:rPr>
            </w:pPr>
            <w:r>
              <w:rPr>
                <w:sz w:val="16"/>
              </w:rPr>
              <w:t>0.42</w:t>
            </w:r>
          </w:p>
        </w:tc>
        <w:tc>
          <w:tcPr>
            <w:tcW w:w="1833" w:type="dxa"/>
          </w:tcPr>
          <w:p>
            <w:pPr>
              <w:pStyle w:val="TableParagraph"/>
              <w:spacing w:before="95"/>
              <w:ind w:left="28"/>
              <w:rPr>
                <w:sz w:val="16"/>
              </w:rPr>
            </w:pPr>
            <w:r>
              <w:rPr>
                <w:sz w:val="16"/>
              </w:rPr>
              <w:t>Cedrelinga catenaeformis</w:t>
            </w:r>
          </w:p>
        </w:tc>
        <w:tc>
          <w:tcPr>
            <w:tcW w:w="1187" w:type="dxa"/>
          </w:tcPr>
          <w:p>
            <w:pPr>
              <w:pStyle w:val="TableParagraph"/>
              <w:spacing w:before="95"/>
              <w:ind w:left="90" w:right="83"/>
              <w:jc w:val="center"/>
              <w:rPr>
                <w:sz w:val="16"/>
              </w:rPr>
            </w:pPr>
            <w:r>
              <w:rPr>
                <w:sz w:val="16"/>
              </w:rPr>
              <w:t>0.41, 0.53+</w:t>
            </w:r>
          </w:p>
        </w:tc>
        <w:tc>
          <w:tcPr>
            <w:tcW w:w="1806" w:type="dxa"/>
          </w:tcPr>
          <w:p>
            <w:pPr>
              <w:pStyle w:val="TableParagraph"/>
              <w:spacing w:line="180" w:lineRule="atLeast" w:before="4"/>
              <w:ind w:left="33" w:right="578"/>
              <w:rPr>
                <w:sz w:val="16"/>
              </w:rPr>
            </w:pPr>
            <w:r>
              <w:rPr>
                <w:sz w:val="16"/>
              </w:rPr>
              <w:t>Combretodendron macrocarpum</w:t>
            </w:r>
          </w:p>
        </w:tc>
        <w:tc>
          <w:tcPr>
            <w:tcW w:w="1187" w:type="dxa"/>
          </w:tcPr>
          <w:p>
            <w:pPr>
              <w:pStyle w:val="TableParagraph"/>
              <w:spacing w:before="95"/>
              <w:ind w:right="480"/>
              <w:jc w:val="right"/>
              <w:rPr>
                <w:sz w:val="16"/>
              </w:rPr>
            </w:pPr>
            <w:r>
              <w:rPr>
                <w:sz w:val="16"/>
              </w:rPr>
              <w:t>0.7</w:t>
            </w:r>
          </w:p>
        </w:tc>
      </w:tr>
      <w:tr>
        <w:trPr>
          <w:trHeight w:val="388" w:hRule="atLeast"/>
        </w:trPr>
        <w:tc>
          <w:tcPr>
            <w:tcW w:w="1838" w:type="dxa"/>
          </w:tcPr>
          <w:p>
            <w:pPr>
              <w:pStyle w:val="TableParagraph"/>
              <w:spacing w:before="95"/>
              <w:ind w:left="30"/>
              <w:rPr>
                <w:sz w:val="16"/>
              </w:rPr>
            </w:pPr>
            <w:r>
              <w:rPr>
                <w:sz w:val="16"/>
              </w:rPr>
              <w:t>Carallia calycina</w:t>
            </w:r>
          </w:p>
        </w:tc>
        <w:tc>
          <w:tcPr>
            <w:tcW w:w="1161" w:type="dxa"/>
          </w:tcPr>
          <w:p>
            <w:pPr>
              <w:pStyle w:val="TableParagraph"/>
              <w:spacing w:before="95"/>
              <w:ind w:left="52" w:right="39"/>
              <w:jc w:val="center"/>
              <w:rPr>
                <w:sz w:val="16"/>
              </w:rPr>
            </w:pPr>
            <w:r>
              <w:rPr>
                <w:sz w:val="16"/>
              </w:rPr>
              <w:t>0.66*</w:t>
            </w:r>
          </w:p>
        </w:tc>
        <w:tc>
          <w:tcPr>
            <w:tcW w:w="1833" w:type="dxa"/>
          </w:tcPr>
          <w:p>
            <w:pPr>
              <w:pStyle w:val="TableParagraph"/>
              <w:spacing w:before="95"/>
              <w:ind w:left="30"/>
              <w:rPr>
                <w:sz w:val="16"/>
              </w:rPr>
            </w:pPr>
            <w:r>
              <w:rPr>
                <w:sz w:val="16"/>
              </w:rPr>
              <w:t>Ceiba pentandra</w:t>
            </w:r>
          </w:p>
        </w:tc>
        <w:tc>
          <w:tcPr>
            <w:tcW w:w="1187" w:type="dxa"/>
          </w:tcPr>
          <w:p>
            <w:pPr>
              <w:pStyle w:val="TableParagraph"/>
              <w:spacing w:before="4"/>
              <w:ind w:left="94" w:right="83"/>
              <w:jc w:val="center"/>
              <w:rPr>
                <w:sz w:val="16"/>
              </w:rPr>
            </w:pPr>
            <w:r>
              <w:rPr>
                <w:sz w:val="16"/>
              </w:rPr>
              <w:t>0.23,0.24,0.25,</w:t>
            </w:r>
          </w:p>
          <w:p>
            <w:pPr>
              <w:pStyle w:val="TableParagraph"/>
              <w:spacing w:line="180" w:lineRule="exact" w:before="1"/>
              <w:ind w:left="91" w:right="83"/>
              <w:jc w:val="center"/>
              <w:rPr>
                <w:sz w:val="16"/>
              </w:rPr>
            </w:pPr>
            <w:r>
              <w:rPr>
                <w:sz w:val="16"/>
              </w:rPr>
              <w:t>0.29+</w:t>
            </w:r>
          </w:p>
        </w:tc>
        <w:tc>
          <w:tcPr>
            <w:tcW w:w="1806" w:type="dxa"/>
          </w:tcPr>
          <w:p>
            <w:pPr>
              <w:pStyle w:val="TableParagraph"/>
              <w:spacing w:before="95"/>
              <w:ind w:left="33"/>
              <w:rPr>
                <w:sz w:val="16"/>
              </w:rPr>
            </w:pPr>
            <w:r>
              <w:rPr>
                <w:sz w:val="16"/>
              </w:rPr>
              <w:t>Conopharyngia holstii</w:t>
            </w:r>
          </w:p>
        </w:tc>
        <w:tc>
          <w:tcPr>
            <w:tcW w:w="1187" w:type="dxa"/>
          </w:tcPr>
          <w:p>
            <w:pPr>
              <w:pStyle w:val="TableParagraph"/>
              <w:spacing w:before="95"/>
              <w:ind w:right="396"/>
              <w:jc w:val="right"/>
              <w:rPr>
                <w:sz w:val="16"/>
              </w:rPr>
            </w:pPr>
            <w:r>
              <w:rPr>
                <w:sz w:val="16"/>
              </w:rPr>
              <w:t>0.50*</w:t>
            </w:r>
          </w:p>
        </w:tc>
      </w:tr>
      <w:tr>
        <w:trPr>
          <w:trHeight w:val="736" w:hRule="atLeast"/>
        </w:trPr>
        <w:tc>
          <w:tcPr>
            <w:tcW w:w="9012" w:type="dxa"/>
            <w:gridSpan w:val="6"/>
          </w:tcPr>
          <w:p>
            <w:pPr>
              <w:pStyle w:val="TableParagraph"/>
              <w:spacing w:line="178" w:lineRule="exact"/>
              <w:ind w:left="30"/>
              <w:rPr>
                <w:sz w:val="16"/>
              </w:rPr>
            </w:pPr>
            <w:r>
              <w:rPr>
                <w:sz w:val="16"/>
              </w:rPr>
              <w:t>+ The wood densities specified pertain to more than one bibliographic source.</w:t>
            </w:r>
          </w:p>
          <w:p>
            <w:pPr>
              <w:pStyle w:val="TableParagraph"/>
              <w:spacing w:line="183" w:lineRule="exact"/>
              <w:ind w:left="30"/>
              <w:rPr>
                <w:sz w:val="16"/>
              </w:rPr>
            </w:pPr>
            <w:r>
              <w:rPr>
                <w:sz w:val="16"/>
              </w:rPr>
              <w:t>* Wood density value is derived from the regression equation in Reyes </w:t>
            </w:r>
            <w:r>
              <w:rPr>
                <w:i/>
                <w:sz w:val="16"/>
              </w:rPr>
              <w:t>et al. </w:t>
            </w:r>
            <w:r>
              <w:rPr>
                <w:sz w:val="16"/>
              </w:rPr>
              <w:t>(1992).</w:t>
            </w:r>
          </w:p>
          <w:p>
            <w:pPr>
              <w:pStyle w:val="TableParagraph"/>
              <w:spacing w:line="180" w:lineRule="atLeast" w:before="1"/>
              <w:ind w:left="30" w:right="189"/>
              <w:rPr>
                <w:sz w:val="16"/>
              </w:rPr>
            </w:pPr>
            <w:r>
              <w:rPr>
                <w:sz w:val="16"/>
              </w:rPr>
              <w:t>Source: Reyes, Gisel; Brown, Sandra; Chapman, Jonathan; Lugo, Ariel E. 1992. Wood densities of tropical tree species. Gen. Tech. Rep. SO-88 New Orleans, LA: U.S. Department of Agriculture, Forest Service, Southern Forest Experiment Station. 15pp.</w:t>
            </w:r>
          </w:p>
        </w:tc>
      </w:tr>
    </w:tbl>
    <w:p>
      <w:pPr>
        <w:spacing w:after="0" w:line="180" w:lineRule="atLeast"/>
        <w:rPr>
          <w:sz w:val="16"/>
        </w:rPr>
        <w:sectPr>
          <w:footerReference w:type="even" r:id="rId198"/>
          <w:footerReference w:type="default" r:id="rId199"/>
          <w:pgSz w:w="11900" w:h="16840"/>
          <w:pgMar w:footer="408" w:header="230" w:top="560" w:bottom="600" w:left="1200" w:right="1140"/>
          <w:pgNumType w:start="172"/>
        </w:sectPr>
      </w:pPr>
    </w:p>
    <w:p>
      <w:pPr>
        <w:pStyle w:val="BodyText"/>
      </w:pPr>
    </w:p>
    <w:p>
      <w:pPr>
        <w:pStyle w:val="BodyText"/>
        <w:spacing w:before="9"/>
        <w:rPr>
          <w:sz w:val="18"/>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5"/>
        <w:gridCol w:w="1205"/>
        <w:gridCol w:w="1834"/>
        <w:gridCol w:w="1188"/>
        <w:gridCol w:w="1807"/>
        <w:gridCol w:w="1188"/>
      </w:tblGrid>
      <w:tr>
        <w:trPr>
          <w:trHeight w:val="675" w:hRule="atLeast"/>
        </w:trPr>
        <w:tc>
          <w:tcPr>
            <w:tcW w:w="9017" w:type="dxa"/>
            <w:gridSpan w:val="6"/>
            <w:tcBorders>
              <w:bottom w:val="double" w:sz="1" w:space="0" w:color="000000"/>
            </w:tcBorders>
          </w:tcPr>
          <w:p>
            <w:pPr>
              <w:pStyle w:val="TableParagraph"/>
              <w:spacing w:line="196" w:lineRule="exact" w:before="28"/>
              <w:ind w:left="409" w:right="403"/>
              <w:jc w:val="center"/>
              <w:rPr>
                <w:b/>
                <w:sz w:val="18"/>
              </w:rPr>
            </w:pPr>
            <w:r>
              <w:rPr>
                <w:b/>
                <w:sz w:val="18"/>
              </w:rPr>
              <w:t>T</w:t>
            </w:r>
            <w:r>
              <w:rPr>
                <w:b/>
                <w:sz w:val="14"/>
              </w:rPr>
              <w:t>ABLE </w:t>
            </w:r>
            <w:r>
              <w:rPr>
                <w:b/>
                <w:sz w:val="18"/>
              </w:rPr>
              <w:t>3A.1.9-2 (C</w:t>
            </w:r>
            <w:r>
              <w:rPr>
                <w:b/>
                <w:sz w:val="14"/>
              </w:rPr>
              <w:t>ONTINUED</w:t>
            </w:r>
            <w:r>
              <w:rPr>
                <w:b/>
                <w:sz w:val="18"/>
              </w:rPr>
              <w:t>)</w:t>
            </w:r>
          </w:p>
          <w:p>
            <w:pPr>
              <w:pStyle w:val="TableParagraph"/>
              <w:spacing w:line="217" w:lineRule="exact"/>
              <w:ind w:left="448" w:right="403"/>
              <w:jc w:val="center"/>
              <w:rPr>
                <w:b/>
                <w:sz w:val="14"/>
              </w:rPr>
            </w:pPr>
            <w:r>
              <w:rPr>
                <w:b/>
                <w:sz w:val="18"/>
              </w:rPr>
              <w:t>B</w:t>
            </w:r>
            <w:r>
              <w:rPr>
                <w:b/>
                <w:sz w:val="14"/>
              </w:rPr>
              <w:t>ASIC WOOD DENSITIES </w:t>
            </w:r>
            <w:r>
              <w:rPr>
                <w:b/>
                <w:sz w:val="18"/>
              </w:rPr>
              <w:t>(D) </w:t>
            </w:r>
            <w:r>
              <w:rPr>
                <w:b/>
                <w:sz w:val="14"/>
              </w:rPr>
              <w:t>OF STEMWOOD </w:t>
            </w:r>
            <w:r>
              <w:rPr>
                <w:b/>
                <w:sz w:val="18"/>
              </w:rPr>
              <w:t>(tonnes dry matter/m</w:t>
            </w:r>
            <w:r>
              <w:rPr>
                <w:b/>
                <w:position w:val="8"/>
                <w:sz w:val="12"/>
              </w:rPr>
              <w:t>3 </w:t>
            </w:r>
            <w:r>
              <w:rPr>
                <w:b/>
                <w:sz w:val="18"/>
              </w:rPr>
              <w:t>fresh volume) </w:t>
            </w:r>
            <w:r>
              <w:rPr>
                <w:b/>
                <w:sz w:val="14"/>
              </w:rPr>
              <w:t>FOR TROPICAL TREE SPECIES</w:t>
            </w:r>
          </w:p>
          <w:p>
            <w:pPr>
              <w:pStyle w:val="TableParagraph"/>
              <w:spacing w:line="204" w:lineRule="exact"/>
              <w:ind w:left="412" w:right="403"/>
              <w:jc w:val="center"/>
              <w:rPr>
                <w:sz w:val="18"/>
              </w:rPr>
            </w:pPr>
            <w:r>
              <w:rPr>
                <w:sz w:val="18"/>
              </w:rPr>
              <w:t>(To be used for D in Equations 3.2.3., 3.2.5, 3.2.7, 3.2.8)</w:t>
            </w:r>
          </w:p>
        </w:tc>
      </w:tr>
      <w:tr>
        <w:trPr>
          <w:trHeight w:val="248" w:hRule="atLeast"/>
        </w:trPr>
        <w:tc>
          <w:tcPr>
            <w:tcW w:w="1795" w:type="dxa"/>
            <w:tcBorders>
              <w:top w:val="double" w:sz="1" w:space="0" w:color="000000"/>
            </w:tcBorders>
          </w:tcPr>
          <w:p>
            <w:pPr>
              <w:pStyle w:val="TableParagraph"/>
              <w:spacing w:before="27"/>
              <w:ind w:left="261"/>
              <w:rPr>
                <w:b/>
                <w:sz w:val="16"/>
              </w:rPr>
            </w:pPr>
            <w:r>
              <w:rPr>
                <w:b/>
                <w:sz w:val="16"/>
              </w:rPr>
              <w:t>TROPICAL ASIA</w:t>
            </w:r>
          </w:p>
        </w:tc>
        <w:tc>
          <w:tcPr>
            <w:tcW w:w="1205" w:type="dxa"/>
            <w:tcBorders>
              <w:top w:val="double" w:sz="1" w:space="0" w:color="000000"/>
            </w:tcBorders>
          </w:tcPr>
          <w:p>
            <w:pPr>
              <w:pStyle w:val="TableParagraph"/>
              <w:spacing w:before="27"/>
              <w:ind w:left="9"/>
              <w:jc w:val="center"/>
              <w:rPr>
                <w:b/>
                <w:sz w:val="16"/>
              </w:rPr>
            </w:pPr>
            <w:r>
              <w:rPr>
                <w:b/>
                <w:w w:val="100"/>
                <w:sz w:val="16"/>
              </w:rPr>
              <w:t>D</w:t>
            </w:r>
          </w:p>
        </w:tc>
        <w:tc>
          <w:tcPr>
            <w:tcW w:w="1834" w:type="dxa"/>
            <w:tcBorders>
              <w:top w:val="double" w:sz="1" w:space="0" w:color="000000"/>
            </w:tcBorders>
          </w:tcPr>
          <w:p>
            <w:pPr>
              <w:pStyle w:val="TableParagraph"/>
              <w:spacing w:before="27"/>
              <w:ind w:left="80"/>
              <w:rPr>
                <w:b/>
                <w:sz w:val="16"/>
              </w:rPr>
            </w:pPr>
            <w:r>
              <w:rPr>
                <w:b/>
                <w:sz w:val="16"/>
              </w:rPr>
              <w:t>TROPICAL AMERICA</w:t>
            </w:r>
          </w:p>
        </w:tc>
        <w:tc>
          <w:tcPr>
            <w:tcW w:w="1188" w:type="dxa"/>
            <w:tcBorders>
              <w:top w:val="double" w:sz="1" w:space="0" w:color="000000"/>
            </w:tcBorders>
          </w:tcPr>
          <w:p>
            <w:pPr>
              <w:pStyle w:val="TableParagraph"/>
              <w:spacing w:before="27"/>
              <w:ind w:left="4"/>
              <w:jc w:val="center"/>
              <w:rPr>
                <w:b/>
                <w:sz w:val="16"/>
              </w:rPr>
            </w:pPr>
            <w:r>
              <w:rPr>
                <w:b/>
                <w:w w:val="100"/>
                <w:sz w:val="16"/>
              </w:rPr>
              <w:t>D</w:t>
            </w:r>
          </w:p>
        </w:tc>
        <w:tc>
          <w:tcPr>
            <w:tcW w:w="1807" w:type="dxa"/>
            <w:tcBorders>
              <w:top w:val="double" w:sz="1" w:space="0" w:color="000000"/>
            </w:tcBorders>
          </w:tcPr>
          <w:p>
            <w:pPr>
              <w:pStyle w:val="TableParagraph"/>
              <w:spacing w:before="27"/>
              <w:ind w:left="149"/>
              <w:rPr>
                <w:b/>
                <w:sz w:val="16"/>
              </w:rPr>
            </w:pPr>
            <w:r>
              <w:rPr>
                <w:b/>
                <w:sz w:val="16"/>
              </w:rPr>
              <w:t>TROPICAL AFRICA</w:t>
            </w:r>
          </w:p>
        </w:tc>
        <w:tc>
          <w:tcPr>
            <w:tcW w:w="1188" w:type="dxa"/>
            <w:tcBorders>
              <w:top w:val="double" w:sz="1" w:space="0" w:color="000000"/>
            </w:tcBorders>
          </w:tcPr>
          <w:p>
            <w:pPr>
              <w:pStyle w:val="TableParagraph"/>
              <w:spacing w:before="27"/>
              <w:ind w:left="4"/>
              <w:jc w:val="center"/>
              <w:rPr>
                <w:b/>
                <w:sz w:val="16"/>
              </w:rPr>
            </w:pPr>
            <w:r>
              <w:rPr>
                <w:b/>
                <w:w w:val="100"/>
                <w:sz w:val="16"/>
              </w:rPr>
              <w:t>D</w:t>
            </w:r>
          </w:p>
        </w:tc>
      </w:tr>
      <w:tr>
        <w:trPr>
          <w:trHeight w:val="244" w:hRule="atLeast"/>
        </w:trPr>
        <w:tc>
          <w:tcPr>
            <w:tcW w:w="1795" w:type="dxa"/>
          </w:tcPr>
          <w:p>
            <w:pPr>
              <w:pStyle w:val="TableParagraph"/>
              <w:spacing w:before="23"/>
              <w:ind w:left="30"/>
              <w:rPr>
                <w:sz w:val="16"/>
              </w:rPr>
            </w:pPr>
            <w:r>
              <w:rPr>
                <w:sz w:val="16"/>
              </w:rPr>
              <w:t>Cassia javanica</w:t>
            </w:r>
          </w:p>
        </w:tc>
        <w:tc>
          <w:tcPr>
            <w:tcW w:w="1205" w:type="dxa"/>
          </w:tcPr>
          <w:p>
            <w:pPr>
              <w:pStyle w:val="TableParagraph"/>
              <w:spacing w:before="23"/>
              <w:ind w:left="38" w:right="26"/>
              <w:jc w:val="center"/>
              <w:rPr>
                <w:sz w:val="16"/>
              </w:rPr>
            </w:pPr>
            <w:r>
              <w:rPr>
                <w:sz w:val="16"/>
              </w:rPr>
              <w:t>0.69</w:t>
            </w:r>
          </w:p>
        </w:tc>
        <w:tc>
          <w:tcPr>
            <w:tcW w:w="1834" w:type="dxa"/>
          </w:tcPr>
          <w:p>
            <w:pPr>
              <w:pStyle w:val="TableParagraph"/>
              <w:spacing w:before="23"/>
              <w:ind w:left="29"/>
              <w:rPr>
                <w:sz w:val="16"/>
              </w:rPr>
            </w:pPr>
            <w:r>
              <w:rPr>
                <w:sz w:val="16"/>
              </w:rPr>
              <w:t>Centrolobium spp.</w:t>
            </w:r>
          </w:p>
        </w:tc>
        <w:tc>
          <w:tcPr>
            <w:tcW w:w="1188" w:type="dxa"/>
          </w:tcPr>
          <w:p>
            <w:pPr>
              <w:pStyle w:val="TableParagraph"/>
              <w:spacing w:before="23"/>
              <w:ind w:left="24" w:right="18"/>
              <w:jc w:val="center"/>
              <w:rPr>
                <w:sz w:val="16"/>
              </w:rPr>
            </w:pPr>
            <w:r>
              <w:rPr>
                <w:sz w:val="16"/>
              </w:rPr>
              <w:t>0.65</w:t>
            </w:r>
          </w:p>
        </w:tc>
        <w:tc>
          <w:tcPr>
            <w:tcW w:w="1807" w:type="dxa"/>
          </w:tcPr>
          <w:p>
            <w:pPr>
              <w:pStyle w:val="TableParagraph"/>
              <w:spacing w:before="23"/>
              <w:ind w:left="30"/>
              <w:rPr>
                <w:sz w:val="16"/>
              </w:rPr>
            </w:pPr>
            <w:r>
              <w:rPr>
                <w:sz w:val="16"/>
              </w:rPr>
              <w:t>Copaifera religiosa .</w:t>
            </w:r>
          </w:p>
        </w:tc>
        <w:tc>
          <w:tcPr>
            <w:tcW w:w="1188" w:type="dxa"/>
          </w:tcPr>
          <w:p>
            <w:pPr>
              <w:pStyle w:val="TableParagraph"/>
              <w:spacing w:before="23"/>
              <w:ind w:right="409"/>
              <w:jc w:val="right"/>
              <w:rPr>
                <w:sz w:val="16"/>
              </w:rPr>
            </w:pPr>
            <w:r>
              <w:rPr>
                <w:sz w:val="16"/>
              </w:rPr>
              <w:t>0.50”</w:t>
            </w:r>
          </w:p>
        </w:tc>
      </w:tr>
      <w:tr>
        <w:trPr>
          <w:trHeight w:val="244" w:hRule="atLeast"/>
        </w:trPr>
        <w:tc>
          <w:tcPr>
            <w:tcW w:w="1795" w:type="dxa"/>
          </w:tcPr>
          <w:p>
            <w:pPr>
              <w:pStyle w:val="TableParagraph"/>
              <w:spacing w:before="23"/>
              <w:ind w:left="30"/>
              <w:rPr>
                <w:sz w:val="16"/>
              </w:rPr>
            </w:pPr>
            <w:r>
              <w:rPr>
                <w:sz w:val="16"/>
              </w:rPr>
              <w:t>Castanopsis philippensis</w:t>
            </w:r>
          </w:p>
        </w:tc>
        <w:tc>
          <w:tcPr>
            <w:tcW w:w="1205" w:type="dxa"/>
          </w:tcPr>
          <w:p>
            <w:pPr>
              <w:pStyle w:val="TableParagraph"/>
              <w:spacing w:before="23"/>
              <w:ind w:left="36" w:right="26"/>
              <w:jc w:val="center"/>
              <w:rPr>
                <w:sz w:val="16"/>
              </w:rPr>
            </w:pPr>
            <w:r>
              <w:rPr>
                <w:sz w:val="16"/>
              </w:rPr>
              <w:t>0.51</w:t>
            </w:r>
          </w:p>
        </w:tc>
        <w:tc>
          <w:tcPr>
            <w:tcW w:w="1834" w:type="dxa"/>
          </w:tcPr>
          <w:p>
            <w:pPr>
              <w:pStyle w:val="TableParagraph"/>
              <w:spacing w:before="23"/>
              <w:ind w:left="28"/>
              <w:rPr>
                <w:sz w:val="16"/>
              </w:rPr>
            </w:pPr>
            <w:r>
              <w:rPr>
                <w:sz w:val="16"/>
              </w:rPr>
              <w:t>Cespedesia macrophylla</w:t>
            </w:r>
          </w:p>
        </w:tc>
        <w:tc>
          <w:tcPr>
            <w:tcW w:w="1188" w:type="dxa"/>
          </w:tcPr>
          <w:p>
            <w:pPr>
              <w:pStyle w:val="TableParagraph"/>
              <w:spacing w:before="23"/>
              <w:ind w:left="24" w:right="16"/>
              <w:jc w:val="center"/>
              <w:rPr>
                <w:sz w:val="16"/>
              </w:rPr>
            </w:pPr>
            <w:r>
              <w:rPr>
                <w:sz w:val="16"/>
              </w:rPr>
              <w:t>0.63</w:t>
            </w:r>
          </w:p>
        </w:tc>
        <w:tc>
          <w:tcPr>
            <w:tcW w:w="1807" w:type="dxa"/>
          </w:tcPr>
          <w:p>
            <w:pPr>
              <w:pStyle w:val="TableParagraph"/>
              <w:spacing w:before="23"/>
              <w:ind w:left="31"/>
              <w:rPr>
                <w:sz w:val="16"/>
              </w:rPr>
            </w:pPr>
            <w:r>
              <w:rPr>
                <w:sz w:val="16"/>
              </w:rPr>
              <w:t>Cordia millenii</w:t>
            </w:r>
          </w:p>
        </w:tc>
        <w:tc>
          <w:tcPr>
            <w:tcW w:w="1188" w:type="dxa"/>
          </w:tcPr>
          <w:p>
            <w:pPr>
              <w:pStyle w:val="TableParagraph"/>
              <w:spacing w:before="23"/>
              <w:ind w:right="441"/>
              <w:jc w:val="right"/>
              <w:rPr>
                <w:sz w:val="16"/>
              </w:rPr>
            </w:pPr>
            <w:r>
              <w:rPr>
                <w:sz w:val="16"/>
              </w:rPr>
              <w:t>0.34</w:t>
            </w:r>
          </w:p>
        </w:tc>
      </w:tr>
      <w:tr>
        <w:trPr>
          <w:trHeight w:val="388" w:hRule="atLeast"/>
        </w:trPr>
        <w:tc>
          <w:tcPr>
            <w:tcW w:w="1795" w:type="dxa"/>
          </w:tcPr>
          <w:p>
            <w:pPr>
              <w:pStyle w:val="TableParagraph"/>
              <w:spacing w:before="95"/>
              <w:ind w:left="30"/>
              <w:rPr>
                <w:sz w:val="16"/>
              </w:rPr>
            </w:pPr>
            <w:r>
              <w:rPr>
                <w:sz w:val="16"/>
              </w:rPr>
              <w:t>Casuarina equisetifolia</w:t>
            </w:r>
          </w:p>
        </w:tc>
        <w:tc>
          <w:tcPr>
            <w:tcW w:w="1205" w:type="dxa"/>
          </w:tcPr>
          <w:p>
            <w:pPr>
              <w:pStyle w:val="TableParagraph"/>
              <w:spacing w:before="95"/>
              <w:ind w:left="37" w:right="26"/>
              <w:jc w:val="center"/>
              <w:rPr>
                <w:sz w:val="16"/>
              </w:rPr>
            </w:pPr>
            <w:r>
              <w:rPr>
                <w:sz w:val="16"/>
              </w:rPr>
              <w:t>0.83</w:t>
            </w:r>
          </w:p>
        </w:tc>
        <w:tc>
          <w:tcPr>
            <w:tcW w:w="1834" w:type="dxa"/>
          </w:tcPr>
          <w:p>
            <w:pPr>
              <w:pStyle w:val="TableParagraph"/>
              <w:spacing w:line="180" w:lineRule="atLeast" w:before="4"/>
              <w:ind w:left="28" w:right="647"/>
              <w:rPr>
                <w:sz w:val="16"/>
              </w:rPr>
            </w:pPr>
            <w:r>
              <w:rPr>
                <w:sz w:val="16"/>
              </w:rPr>
              <w:t>Chaetocarpus schomburgkianus</w:t>
            </w:r>
          </w:p>
        </w:tc>
        <w:tc>
          <w:tcPr>
            <w:tcW w:w="1188" w:type="dxa"/>
          </w:tcPr>
          <w:p>
            <w:pPr>
              <w:pStyle w:val="TableParagraph"/>
              <w:spacing w:before="95"/>
              <w:ind w:left="24" w:right="20"/>
              <w:jc w:val="center"/>
              <w:rPr>
                <w:sz w:val="16"/>
              </w:rPr>
            </w:pPr>
            <w:r>
              <w:rPr>
                <w:sz w:val="16"/>
              </w:rPr>
              <w:t>0.8</w:t>
            </w:r>
          </w:p>
        </w:tc>
        <w:tc>
          <w:tcPr>
            <w:tcW w:w="1807" w:type="dxa"/>
          </w:tcPr>
          <w:p>
            <w:pPr>
              <w:pStyle w:val="TableParagraph"/>
              <w:spacing w:before="95"/>
              <w:ind w:left="30"/>
              <w:rPr>
                <w:sz w:val="16"/>
              </w:rPr>
            </w:pPr>
            <w:r>
              <w:rPr>
                <w:sz w:val="16"/>
              </w:rPr>
              <w:t>Cordia platythyrsa</w:t>
            </w:r>
          </w:p>
        </w:tc>
        <w:tc>
          <w:tcPr>
            <w:tcW w:w="1188" w:type="dxa"/>
          </w:tcPr>
          <w:p>
            <w:pPr>
              <w:pStyle w:val="TableParagraph"/>
              <w:spacing w:before="95"/>
              <w:ind w:right="409"/>
              <w:jc w:val="right"/>
              <w:rPr>
                <w:sz w:val="16"/>
              </w:rPr>
            </w:pPr>
            <w:r>
              <w:rPr>
                <w:sz w:val="16"/>
              </w:rPr>
              <w:t>0.36”</w:t>
            </w:r>
          </w:p>
        </w:tc>
      </w:tr>
      <w:tr>
        <w:trPr>
          <w:trHeight w:val="244" w:hRule="atLeast"/>
        </w:trPr>
        <w:tc>
          <w:tcPr>
            <w:tcW w:w="1795" w:type="dxa"/>
          </w:tcPr>
          <w:p>
            <w:pPr>
              <w:pStyle w:val="TableParagraph"/>
              <w:spacing w:before="23"/>
              <w:ind w:left="30"/>
              <w:rPr>
                <w:sz w:val="16"/>
              </w:rPr>
            </w:pPr>
            <w:r>
              <w:rPr>
                <w:sz w:val="16"/>
              </w:rPr>
              <w:t>Casuarina nodiflora</w:t>
            </w:r>
          </w:p>
        </w:tc>
        <w:tc>
          <w:tcPr>
            <w:tcW w:w="1205" w:type="dxa"/>
          </w:tcPr>
          <w:p>
            <w:pPr>
              <w:pStyle w:val="TableParagraph"/>
              <w:spacing w:before="23"/>
              <w:ind w:left="36" w:right="26"/>
              <w:jc w:val="center"/>
              <w:rPr>
                <w:sz w:val="16"/>
              </w:rPr>
            </w:pPr>
            <w:r>
              <w:rPr>
                <w:sz w:val="16"/>
              </w:rPr>
              <w:t>0.85</w:t>
            </w:r>
          </w:p>
        </w:tc>
        <w:tc>
          <w:tcPr>
            <w:tcW w:w="1834" w:type="dxa"/>
          </w:tcPr>
          <w:p>
            <w:pPr>
              <w:pStyle w:val="TableParagraph"/>
              <w:spacing w:before="23"/>
              <w:ind w:left="28"/>
              <w:rPr>
                <w:sz w:val="16"/>
              </w:rPr>
            </w:pPr>
            <w:r>
              <w:rPr>
                <w:sz w:val="16"/>
              </w:rPr>
              <w:t>Chlorophora tinctoria</w:t>
            </w:r>
          </w:p>
        </w:tc>
        <w:tc>
          <w:tcPr>
            <w:tcW w:w="1188" w:type="dxa"/>
          </w:tcPr>
          <w:p>
            <w:pPr>
              <w:pStyle w:val="TableParagraph"/>
              <w:spacing w:before="23"/>
              <w:ind w:left="24" w:right="15"/>
              <w:jc w:val="center"/>
              <w:rPr>
                <w:sz w:val="16"/>
              </w:rPr>
            </w:pPr>
            <w:r>
              <w:rPr>
                <w:sz w:val="16"/>
              </w:rPr>
              <w:t>0.71,0.75+</w:t>
            </w:r>
          </w:p>
        </w:tc>
        <w:tc>
          <w:tcPr>
            <w:tcW w:w="1807" w:type="dxa"/>
          </w:tcPr>
          <w:p>
            <w:pPr>
              <w:pStyle w:val="TableParagraph"/>
              <w:spacing w:before="23"/>
              <w:ind w:left="30"/>
              <w:rPr>
                <w:sz w:val="16"/>
              </w:rPr>
            </w:pPr>
            <w:r>
              <w:rPr>
                <w:sz w:val="16"/>
              </w:rPr>
              <w:t>Corynanthe pachyceras</w:t>
            </w:r>
          </w:p>
        </w:tc>
        <w:tc>
          <w:tcPr>
            <w:tcW w:w="1188" w:type="dxa"/>
          </w:tcPr>
          <w:p>
            <w:pPr>
              <w:pStyle w:val="TableParagraph"/>
              <w:spacing w:before="23"/>
              <w:ind w:right="409"/>
              <w:jc w:val="right"/>
              <w:rPr>
                <w:sz w:val="16"/>
              </w:rPr>
            </w:pPr>
            <w:r>
              <w:rPr>
                <w:sz w:val="16"/>
              </w:rPr>
              <w:t>0.63”</w:t>
            </w:r>
          </w:p>
        </w:tc>
      </w:tr>
      <w:tr>
        <w:trPr>
          <w:trHeight w:val="244" w:hRule="atLeast"/>
        </w:trPr>
        <w:tc>
          <w:tcPr>
            <w:tcW w:w="1795" w:type="dxa"/>
          </w:tcPr>
          <w:p>
            <w:pPr>
              <w:pStyle w:val="TableParagraph"/>
              <w:spacing w:before="23"/>
              <w:ind w:left="30"/>
              <w:rPr>
                <w:sz w:val="16"/>
              </w:rPr>
            </w:pPr>
            <w:r>
              <w:rPr>
                <w:sz w:val="16"/>
              </w:rPr>
              <w:t>Cedrela odorata</w:t>
            </w:r>
          </w:p>
        </w:tc>
        <w:tc>
          <w:tcPr>
            <w:tcW w:w="1205" w:type="dxa"/>
          </w:tcPr>
          <w:p>
            <w:pPr>
              <w:pStyle w:val="TableParagraph"/>
              <w:spacing w:before="23"/>
              <w:ind w:left="36" w:right="26"/>
              <w:jc w:val="center"/>
              <w:rPr>
                <w:sz w:val="16"/>
              </w:rPr>
            </w:pPr>
            <w:r>
              <w:rPr>
                <w:sz w:val="16"/>
              </w:rPr>
              <w:t>0.38</w:t>
            </w:r>
          </w:p>
        </w:tc>
        <w:tc>
          <w:tcPr>
            <w:tcW w:w="1834" w:type="dxa"/>
          </w:tcPr>
          <w:p>
            <w:pPr>
              <w:pStyle w:val="TableParagraph"/>
              <w:spacing w:before="23"/>
              <w:ind w:left="28"/>
              <w:rPr>
                <w:sz w:val="16"/>
              </w:rPr>
            </w:pPr>
            <w:r>
              <w:rPr>
                <w:sz w:val="16"/>
              </w:rPr>
              <w:t>Clarisia racemosa</w:t>
            </w:r>
          </w:p>
        </w:tc>
        <w:tc>
          <w:tcPr>
            <w:tcW w:w="1188" w:type="dxa"/>
          </w:tcPr>
          <w:p>
            <w:pPr>
              <w:pStyle w:val="TableParagraph"/>
              <w:spacing w:before="23"/>
              <w:ind w:left="24" w:right="13"/>
              <w:jc w:val="center"/>
              <w:rPr>
                <w:sz w:val="16"/>
              </w:rPr>
            </w:pPr>
            <w:r>
              <w:rPr>
                <w:sz w:val="16"/>
              </w:rPr>
              <w:t>0.53,0.57+</w:t>
            </w:r>
          </w:p>
        </w:tc>
        <w:tc>
          <w:tcPr>
            <w:tcW w:w="1807" w:type="dxa"/>
          </w:tcPr>
          <w:p>
            <w:pPr>
              <w:pStyle w:val="TableParagraph"/>
              <w:spacing w:before="23"/>
              <w:ind w:left="31"/>
              <w:rPr>
                <w:sz w:val="16"/>
              </w:rPr>
            </w:pPr>
            <w:r>
              <w:rPr>
                <w:sz w:val="16"/>
              </w:rPr>
              <w:t>Coda edulis</w:t>
            </w:r>
          </w:p>
        </w:tc>
        <w:tc>
          <w:tcPr>
            <w:tcW w:w="1188" w:type="dxa"/>
          </w:tcPr>
          <w:p>
            <w:pPr>
              <w:pStyle w:val="TableParagraph"/>
              <w:spacing w:before="23"/>
              <w:ind w:right="402"/>
              <w:jc w:val="right"/>
              <w:rPr>
                <w:sz w:val="16"/>
              </w:rPr>
            </w:pPr>
            <w:r>
              <w:rPr>
                <w:sz w:val="16"/>
              </w:rPr>
              <w:t>0.78*</w:t>
            </w:r>
          </w:p>
        </w:tc>
      </w:tr>
      <w:tr>
        <w:trPr>
          <w:trHeight w:val="246" w:hRule="atLeast"/>
        </w:trPr>
        <w:tc>
          <w:tcPr>
            <w:tcW w:w="1795" w:type="dxa"/>
          </w:tcPr>
          <w:p>
            <w:pPr>
              <w:pStyle w:val="TableParagraph"/>
              <w:spacing w:before="23"/>
              <w:ind w:left="30"/>
              <w:rPr>
                <w:sz w:val="16"/>
              </w:rPr>
            </w:pPr>
            <w:r>
              <w:rPr>
                <w:sz w:val="16"/>
              </w:rPr>
              <w:t>Cedrela spp.</w:t>
            </w:r>
          </w:p>
        </w:tc>
        <w:tc>
          <w:tcPr>
            <w:tcW w:w="1205" w:type="dxa"/>
          </w:tcPr>
          <w:p>
            <w:pPr>
              <w:pStyle w:val="TableParagraph"/>
              <w:spacing w:before="23"/>
              <w:ind w:left="35" w:right="26"/>
              <w:jc w:val="center"/>
              <w:rPr>
                <w:sz w:val="16"/>
              </w:rPr>
            </w:pPr>
            <w:r>
              <w:rPr>
                <w:sz w:val="16"/>
              </w:rPr>
              <w:t>0.42</w:t>
            </w:r>
          </w:p>
        </w:tc>
        <w:tc>
          <w:tcPr>
            <w:tcW w:w="1834" w:type="dxa"/>
          </w:tcPr>
          <w:p>
            <w:pPr>
              <w:pStyle w:val="TableParagraph"/>
              <w:spacing w:before="23"/>
              <w:ind w:left="28"/>
              <w:rPr>
                <w:sz w:val="16"/>
              </w:rPr>
            </w:pPr>
            <w:r>
              <w:rPr>
                <w:sz w:val="16"/>
              </w:rPr>
              <w:t>Clusia rosea</w:t>
            </w:r>
          </w:p>
        </w:tc>
        <w:tc>
          <w:tcPr>
            <w:tcW w:w="1188" w:type="dxa"/>
          </w:tcPr>
          <w:p>
            <w:pPr>
              <w:pStyle w:val="TableParagraph"/>
              <w:spacing w:before="23"/>
              <w:ind w:left="24" w:right="19"/>
              <w:jc w:val="center"/>
              <w:rPr>
                <w:sz w:val="16"/>
              </w:rPr>
            </w:pPr>
            <w:r>
              <w:rPr>
                <w:sz w:val="16"/>
              </w:rPr>
              <w:t>0.67</w:t>
            </w:r>
          </w:p>
        </w:tc>
        <w:tc>
          <w:tcPr>
            <w:tcW w:w="1807" w:type="dxa"/>
          </w:tcPr>
          <w:p>
            <w:pPr>
              <w:pStyle w:val="TableParagraph"/>
              <w:spacing w:before="23"/>
              <w:ind w:left="29"/>
              <w:rPr>
                <w:sz w:val="16"/>
              </w:rPr>
            </w:pPr>
            <w:r>
              <w:rPr>
                <w:sz w:val="16"/>
              </w:rPr>
              <w:t>Croton megalocarpus</w:t>
            </w:r>
          </w:p>
        </w:tc>
        <w:tc>
          <w:tcPr>
            <w:tcW w:w="1188" w:type="dxa"/>
          </w:tcPr>
          <w:p>
            <w:pPr>
              <w:pStyle w:val="TableParagraph"/>
              <w:spacing w:before="23"/>
              <w:ind w:right="442"/>
              <w:jc w:val="right"/>
              <w:rPr>
                <w:sz w:val="16"/>
              </w:rPr>
            </w:pPr>
            <w:r>
              <w:rPr>
                <w:sz w:val="16"/>
              </w:rPr>
              <w:t>0.57</w:t>
            </w:r>
          </w:p>
        </w:tc>
      </w:tr>
      <w:tr>
        <w:trPr>
          <w:trHeight w:val="385" w:hRule="atLeast"/>
        </w:trPr>
        <w:tc>
          <w:tcPr>
            <w:tcW w:w="1795" w:type="dxa"/>
          </w:tcPr>
          <w:p>
            <w:pPr>
              <w:pStyle w:val="TableParagraph"/>
              <w:spacing w:before="95"/>
              <w:ind w:left="30"/>
              <w:rPr>
                <w:sz w:val="16"/>
              </w:rPr>
            </w:pPr>
            <w:r>
              <w:rPr>
                <w:sz w:val="16"/>
              </w:rPr>
              <w:t>Cedrela toona</w:t>
            </w:r>
          </w:p>
        </w:tc>
        <w:tc>
          <w:tcPr>
            <w:tcW w:w="1205" w:type="dxa"/>
          </w:tcPr>
          <w:p>
            <w:pPr>
              <w:pStyle w:val="TableParagraph"/>
              <w:spacing w:before="95"/>
              <w:ind w:left="37" w:right="26"/>
              <w:jc w:val="center"/>
              <w:rPr>
                <w:sz w:val="16"/>
              </w:rPr>
            </w:pPr>
            <w:r>
              <w:rPr>
                <w:sz w:val="16"/>
              </w:rPr>
              <w:t>0.43</w:t>
            </w:r>
          </w:p>
        </w:tc>
        <w:tc>
          <w:tcPr>
            <w:tcW w:w="1834" w:type="dxa"/>
          </w:tcPr>
          <w:p>
            <w:pPr>
              <w:pStyle w:val="TableParagraph"/>
              <w:spacing w:line="182" w:lineRule="exact" w:before="7"/>
              <w:ind w:left="28" w:right="718"/>
              <w:rPr>
                <w:sz w:val="16"/>
              </w:rPr>
            </w:pPr>
            <w:r>
              <w:rPr>
                <w:sz w:val="16"/>
              </w:rPr>
              <w:t>Cochlospermum orinocensis</w:t>
            </w:r>
          </w:p>
        </w:tc>
        <w:tc>
          <w:tcPr>
            <w:tcW w:w="1188" w:type="dxa"/>
          </w:tcPr>
          <w:p>
            <w:pPr>
              <w:pStyle w:val="TableParagraph"/>
              <w:spacing w:before="95"/>
              <w:ind w:left="24" w:right="19"/>
              <w:jc w:val="center"/>
              <w:rPr>
                <w:sz w:val="16"/>
              </w:rPr>
            </w:pPr>
            <w:r>
              <w:rPr>
                <w:sz w:val="16"/>
              </w:rPr>
              <w:t>0.26</w:t>
            </w:r>
          </w:p>
        </w:tc>
        <w:tc>
          <w:tcPr>
            <w:tcW w:w="1807" w:type="dxa"/>
          </w:tcPr>
          <w:p>
            <w:pPr>
              <w:pStyle w:val="TableParagraph"/>
              <w:spacing w:before="95"/>
              <w:ind w:left="30"/>
              <w:rPr>
                <w:sz w:val="16"/>
              </w:rPr>
            </w:pPr>
            <w:r>
              <w:rPr>
                <w:sz w:val="16"/>
              </w:rPr>
              <w:t>Cryptosepalum staudtii</w:t>
            </w:r>
          </w:p>
        </w:tc>
        <w:tc>
          <w:tcPr>
            <w:tcW w:w="1188" w:type="dxa"/>
          </w:tcPr>
          <w:p>
            <w:pPr>
              <w:pStyle w:val="TableParagraph"/>
              <w:spacing w:before="95"/>
              <w:ind w:right="401"/>
              <w:jc w:val="right"/>
              <w:rPr>
                <w:sz w:val="16"/>
              </w:rPr>
            </w:pPr>
            <w:r>
              <w:rPr>
                <w:sz w:val="16"/>
              </w:rPr>
              <w:t>0.70*</w:t>
            </w:r>
          </w:p>
        </w:tc>
      </w:tr>
      <w:tr>
        <w:trPr>
          <w:trHeight w:val="244" w:hRule="atLeast"/>
        </w:trPr>
        <w:tc>
          <w:tcPr>
            <w:tcW w:w="1795" w:type="dxa"/>
          </w:tcPr>
          <w:p>
            <w:pPr>
              <w:pStyle w:val="TableParagraph"/>
              <w:spacing w:before="23"/>
              <w:ind w:left="30"/>
              <w:rPr>
                <w:sz w:val="16"/>
              </w:rPr>
            </w:pPr>
            <w:r>
              <w:rPr>
                <w:sz w:val="16"/>
              </w:rPr>
              <w:t>Ceiba pentandra</w:t>
            </w:r>
          </w:p>
        </w:tc>
        <w:tc>
          <w:tcPr>
            <w:tcW w:w="1205" w:type="dxa"/>
          </w:tcPr>
          <w:p>
            <w:pPr>
              <w:pStyle w:val="TableParagraph"/>
              <w:spacing w:before="23"/>
              <w:ind w:left="36" w:right="26"/>
              <w:jc w:val="center"/>
              <w:rPr>
                <w:sz w:val="16"/>
              </w:rPr>
            </w:pPr>
            <w:r>
              <w:rPr>
                <w:sz w:val="16"/>
              </w:rPr>
              <w:t>0.23</w:t>
            </w:r>
          </w:p>
        </w:tc>
        <w:tc>
          <w:tcPr>
            <w:tcW w:w="1834" w:type="dxa"/>
          </w:tcPr>
          <w:p>
            <w:pPr>
              <w:pStyle w:val="TableParagraph"/>
              <w:spacing w:before="23"/>
              <w:ind w:left="28"/>
              <w:rPr>
                <w:sz w:val="16"/>
              </w:rPr>
            </w:pPr>
            <w:r>
              <w:rPr>
                <w:sz w:val="16"/>
              </w:rPr>
              <w:t>Copaifera spp.</w:t>
            </w:r>
          </w:p>
        </w:tc>
        <w:tc>
          <w:tcPr>
            <w:tcW w:w="1188" w:type="dxa"/>
          </w:tcPr>
          <w:p>
            <w:pPr>
              <w:pStyle w:val="TableParagraph"/>
              <w:spacing w:before="23"/>
              <w:ind w:left="24" w:right="20"/>
              <w:jc w:val="center"/>
              <w:rPr>
                <w:sz w:val="16"/>
              </w:rPr>
            </w:pPr>
            <w:r>
              <w:rPr>
                <w:sz w:val="16"/>
              </w:rPr>
              <w:t>0.46, 0.55+</w:t>
            </w:r>
          </w:p>
        </w:tc>
        <w:tc>
          <w:tcPr>
            <w:tcW w:w="1807" w:type="dxa"/>
          </w:tcPr>
          <w:p>
            <w:pPr>
              <w:pStyle w:val="TableParagraph"/>
              <w:spacing w:before="23"/>
              <w:ind w:left="31"/>
              <w:rPr>
                <w:sz w:val="16"/>
              </w:rPr>
            </w:pPr>
            <w:r>
              <w:rPr>
                <w:sz w:val="16"/>
              </w:rPr>
              <w:t>Ctenolophon englerianus</w:t>
            </w:r>
          </w:p>
        </w:tc>
        <w:tc>
          <w:tcPr>
            <w:tcW w:w="1188" w:type="dxa"/>
          </w:tcPr>
          <w:p>
            <w:pPr>
              <w:pStyle w:val="TableParagraph"/>
              <w:spacing w:before="23"/>
              <w:ind w:right="400"/>
              <w:jc w:val="right"/>
              <w:rPr>
                <w:sz w:val="16"/>
              </w:rPr>
            </w:pPr>
            <w:r>
              <w:rPr>
                <w:sz w:val="16"/>
              </w:rPr>
              <w:t>0.78*</w:t>
            </w:r>
          </w:p>
        </w:tc>
      </w:tr>
      <w:tr>
        <w:trPr>
          <w:trHeight w:val="388" w:hRule="atLeast"/>
        </w:trPr>
        <w:tc>
          <w:tcPr>
            <w:tcW w:w="1795" w:type="dxa"/>
          </w:tcPr>
          <w:p>
            <w:pPr>
              <w:pStyle w:val="TableParagraph"/>
              <w:spacing w:before="95"/>
              <w:ind w:left="30"/>
              <w:rPr>
                <w:sz w:val="16"/>
              </w:rPr>
            </w:pPr>
            <w:r>
              <w:rPr>
                <w:sz w:val="16"/>
              </w:rPr>
              <w:t>Celtis luzonica</w:t>
            </w:r>
          </w:p>
        </w:tc>
        <w:tc>
          <w:tcPr>
            <w:tcW w:w="1205" w:type="dxa"/>
          </w:tcPr>
          <w:p>
            <w:pPr>
              <w:pStyle w:val="TableParagraph"/>
              <w:spacing w:before="95"/>
              <w:ind w:left="35" w:right="26"/>
              <w:jc w:val="center"/>
              <w:rPr>
                <w:sz w:val="16"/>
              </w:rPr>
            </w:pPr>
            <w:r>
              <w:rPr>
                <w:sz w:val="16"/>
              </w:rPr>
              <w:t>0.49</w:t>
            </w:r>
          </w:p>
        </w:tc>
        <w:tc>
          <w:tcPr>
            <w:tcW w:w="1834" w:type="dxa"/>
          </w:tcPr>
          <w:p>
            <w:pPr>
              <w:pStyle w:val="TableParagraph"/>
              <w:spacing w:line="180" w:lineRule="atLeast" w:before="4"/>
              <w:ind w:left="28" w:right="118"/>
              <w:rPr>
                <w:sz w:val="16"/>
              </w:rPr>
            </w:pPr>
            <w:r>
              <w:rPr>
                <w:sz w:val="16"/>
              </w:rPr>
              <w:t>Cordia spp. (gerascanthus group)</w:t>
            </w:r>
          </w:p>
        </w:tc>
        <w:tc>
          <w:tcPr>
            <w:tcW w:w="1188" w:type="dxa"/>
          </w:tcPr>
          <w:p>
            <w:pPr>
              <w:pStyle w:val="TableParagraph"/>
              <w:spacing w:before="95"/>
              <w:ind w:left="24" w:right="19"/>
              <w:jc w:val="center"/>
              <w:rPr>
                <w:sz w:val="16"/>
              </w:rPr>
            </w:pPr>
            <w:r>
              <w:rPr>
                <w:sz w:val="16"/>
              </w:rPr>
              <w:t>0.74</w:t>
            </w:r>
          </w:p>
        </w:tc>
        <w:tc>
          <w:tcPr>
            <w:tcW w:w="1807" w:type="dxa"/>
          </w:tcPr>
          <w:p>
            <w:pPr>
              <w:pStyle w:val="TableParagraph"/>
              <w:spacing w:before="95"/>
              <w:ind w:left="30"/>
              <w:rPr>
                <w:sz w:val="16"/>
              </w:rPr>
            </w:pPr>
            <w:r>
              <w:rPr>
                <w:sz w:val="16"/>
              </w:rPr>
              <w:t>Cylicodiscus gabonensis</w:t>
            </w:r>
          </w:p>
        </w:tc>
        <w:tc>
          <w:tcPr>
            <w:tcW w:w="1188" w:type="dxa"/>
          </w:tcPr>
          <w:p>
            <w:pPr>
              <w:pStyle w:val="TableParagraph"/>
              <w:spacing w:before="95"/>
              <w:ind w:right="484"/>
              <w:jc w:val="right"/>
              <w:rPr>
                <w:sz w:val="16"/>
              </w:rPr>
            </w:pPr>
            <w:r>
              <w:rPr>
                <w:sz w:val="16"/>
              </w:rPr>
              <w:t>0.8</w:t>
            </w:r>
          </w:p>
        </w:tc>
      </w:tr>
      <w:tr>
        <w:trPr>
          <w:trHeight w:val="385" w:hRule="atLeast"/>
        </w:trPr>
        <w:tc>
          <w:tcPr>
            <w:tcW w:w="1795" w:type="dxa"/>
          </w:tcPr>
          <w:p>
            <w:pPr>
              <w:pStyle w:val="TableParagraph"/>
              <w:spacing w:before="95"/>
              <w:ind w:left="30"/>
              <w:rPr>
                <w:sz w:val="16"/>
              </w:rPr>
            </w:pPr>
            <w:r>
              <w:rPr>
                <w:sz w:val="16"/>
              </w:rPr>
              <w:t>Chisocheton pentandrus</w:t>
            </w:r>
          </w:p>
        </w:tc>
        <w:tc>
          <w:tcPr>
            <w:tcW w:w="1205" w:type="dxa"/>
          </w:tcPr>
          <w:p>
            <w:pPr>
              <w:pStyle w:val="TableParagraph"/>
              <w:spacing w:before="95"/>
              <w:ind w:left="35" w:right="26"/>
              <w:jc w:val="center"/>
              <w:rPr>
                <w:sz w:val="16"/>
              </w:rPr>
            </w:pPr>
            <w:r>
              <w:rPr>
                <w:sz w:val="16"/>
              </w:rPr>
              <w:t>0.52</w:t>
            </w:r>
          </w:p>
        </w:tc>
        <w:tc>
          <w:tcPr>
            <w:tcW w:w="1834" w:type="dxa"/>
          </w:tcPr>
          <w:p>
            <w:pPr>
              <w:pStyle w:val="TableParagraph"/>
              <w:spacing w:line="182" w:lineRule="exact" w:before="7"/>
              <w:ind w:left="28" w:right="376"/>
              <w:rPr>
                <w:sz w:val="16"/>
              </w:rPr>
            </w:pPr>
            <w:r>
              <w:rPr>
                <w:sz w:val="16"/>
              </w:rPr>
              <w:t>Cordia spp. (alliodora group)</w:t>
            </w:r>
          </w:p>
        </w:tc>
        <w:tc>
          <w:tcPr>
            <w:tcW w:w="1188" w:type="dxa"/>
          </w:tcPr>
          <w:p>
            <w:pPr>
              <w:pStyle w:val="TableParagraph"/>
              <w:spacing w:before="95"/>
              <w:ind w:left="24" w:right="19"/>
              <w:jc w:val="center"/>
              <w:rPr>
                <w:sz w:val="16"/>
              </w:rPr>
            </w:pPr>
            <w:r>
              <w:rPr>
                <w:sz w:val="16"/>
              </w:rPr>
              <w:t>0.48</w:t>
            </w:r>
          </w:p>
        </w:tc>
        <w:tc>
          <w:tcPr>
            <w:tcW w:w="1807" w:type="dxa"/>
          </w:tcPr>
          <w:p>
            <w:pPr>
              <w:pStyle w:val="TableParagraph"/>
              <w:spacing w:before="95"/>
              <w:ind w:left="30"/>
              <w:rPr>
                <w:sz w:val="16"/>
              </w:rPr>
            </w:pPr>
            <w:r>
              <w:rPr>
                <w:sz w:val="16"/>
              </w:rPr>
              <w:t>Cynometra alexandri</w:t>
            </w:r>
          </w:p>
        </w:tc>
        <w:tc>
          <w:tcPr>
            <w:tcW w:w="1188" w:type="dxa"/>
          </w:tcPr>
          <w:p>
            <w:pPr>
              <w:pStyle w:val="TableParagraph"/>
              <w:spacing w:before="95"/>
              <w:ind w:right="441"/>
              <w:jc w:val="right"/>
              <w:rPr>
                <w:sz w:val="16"/>
              </w:rPr>
            </w:pPr>
            <w:r>
              <w:rPr>
                <w:sz w:val="16"/>
              </w:rPr>
              <w:t>0.74</w:t>
            </w:r>
          </w:p>
        </w:tc>
      </w:tr>
      <w:tr>
        <w:trPr>
          <w:trHeight w:val="244" w:hRule="atLeast"/>
        </w:trPr>
        <w:tc>
          <w:tcPr>
            <w:tcW w:w="1795" w:type="dxa"/>
          </w:tcPr>
          <w:p>
            <w:pPr>
              <w:pStyle w:val="TableParagraph"/>
              <w:spacing w:before="23"/>
              <w:ind w:left="30"/>
              <w:rPr>
                <w:sz w:val="16"/>
              </w:rPr>
            </w:pPr>
            <w:r>
              <w:rPr>
                <w:sz w:val="16"/>
              </w:rPr>
              <w:t>Chloroxylon swietenia</w:t>
            </w:r>
          </w:p>
        </w:tc>
        <w:tc>
          <w:tcPr>
            <w:tcW w:w="1205" w:type="dxa"/>
          </w:tcPr>
          <w:p>
            <w:pPr>
              <w:pStyle w:val="TableParagraph"/>
              <w:spacing w:before="23"/>
              <w:ind w:left="38" w:right="26"/>
              <w:jc w:val="center"/>
              <w:rPr>
                <w:sz w:val="16"/>
              </w:rPr>
            </w:pPr>
            <w:r>
              <w:rPr>
                <w:sz w:val="16"/>
              </w:rPr>
              <w:t>0.76, 0.79, 0.80+</w:t>
            </w:r>
          </w:p>
        </w:tc>
        <w:tc>
          <w:tcPr>
            <w:tcW w:w="1834" w:type="dxa"/>
          </w:tcPr>
          <w:p>
            <w:pPr>
              <w:pStyle w:val="TableParagraph"/>
              <w:spacing w:before="23"/>
              <w:ind w:left="29"/>
              <w:rPr>
                <w:sz w:val="16"/>
              </w:rPr>
            </w:pPr>
            <w:r>
              <w:rPr>
                <w:sz w:val="16"/>
              </w:rPr>
              <w:t>Couepia sp.</w:t>
            </w:r>
          </w:p>
        </w:tc>
        <w:tc>
          <w:tcPr>
            <w:tcW w:w="1188" w:type="dxa"/>
          </w:tcPr>
          <w:p>
            <w:pPr>
              <w:pStyle w:val="TableParagraph"/>
              <w:spacing w:before="23"/>
              <w:ind w:left="24" w:right="17"/>
              <w:jc w:val="center"/>
              <w:rPr>
                <w:sz w:val="16"/>
              </w:rPr>
            </w:pPr>
            <w:r>
              <w:rPr>
                <w:sz w:val="16"/>
              </w:rPr>
              <w:t>0.7</w:t>
            </w:r>
          </w:p>
        </w:tc>
        <w:tc>
          <w:tcPr>
            <w:tcW w:w="1807" w:type="dxa"/>
          </w:tcPr>
          <w:p>
            <w:pPr>
              <w:pStyle w:val="TableParagraph"/>
              <w:spacing w:before="23"/>
              <w:ind w:left="31"/>
              <w:rPr>
                <w:sz w:val="16"/>
              </w:rPr>
            </w:pPr>
            <w:r>
              <w:rPr>
                <w:sz w:val="16"/>
              </w:rPr>
              <w:t>Dacryodes spp.</w:t>
            </w:r>
          </w:p>
        </w:tc>
        <w:tc>
          <w:tcPr>
            <w:tcW w:w="1188" w:type="dxa"/>
          </w:tcPr>
          <w:p>
            <w:pPr>
              <w:pStyle w:val="TableParagraph"/>
              <w:spacing w:before="23"/>
              <w:ind w:right="440"/>
              <w:jc w:val="right"/>
              <w:rPr>
                <w:sz w:val="16"/>
              </w:rPr>
            </w:pPr>
            <w:r>
              <w:rPr>
                <w:sz w:val="16"/>
              </w:rPr>
              <w:t>0.61</w:t>
            </w:r>
          </w:p>
        </w:tc>
      </w:tr>
      <w:tr>
        <w:trPr>
          <w:trHeight w:val="246" w:hRule="atLeast"/>
        </w:trPr>
        <w:tc>
          <w:tcPr>
            <w:tcW w:w="1795" w:type="dxa"/>
          </w:tcPr>
          <w:p>
            <w:pPr>
              <w:pStyle w:val="TableParagraph"/>
              <w:spacing w:before="23"/>
              <w:ind w:left="30"/>
              <w:rPr>
                <w:sz w:val="16"/>
              </w:rPr>
            </w:pPr>
            <w:r>
              <w:rPr>
                <w:sz w:val="16"/>
              </w:rPr>
              <w:t>Chukrassia tabularis</w:t>
            </w:r>
          </w:p>
        </w:tc>
        <w:tc>
          <w:tcPr>
            <w:tcW w:w="1205" w:type="dxa"/>
          </w:tcPr>
          <w:p>
            <w:pPr>
              <w:pStyle w:val="TableParagraph"/>
              <w:spacing w:before="23"/>
              <w:ind w:left="35" w:right="26"/>
              <w:jc w:val="center"/>
              <w:rPr>
                <w:sz w:val="16"/>
              </w:rPr>
            </w:pPr>
            <w:r>
              <w:rPr>
                <w:sz w:val="16"/>
              </w:rPr>
              <w:t>0.57</w:t>
            </w:r>
          </w:p>
        </w:tc>
        <w:tc>
          <w:tcPr>
            <w:tcW w:w="1834" w:type="dxa"/>
          </w:tcPr>
          <w:p>
            <w:pPr>
              <w:pStyle w:val="TableParagraph"/>
              <w:spacing w:before="23"/>
              <w:ind w:left="27"/>
              <w:rPr>
                <w:sz w:val="16"/>
              </w:rPr>
            </w:pPr>
            <w:r>
              <w:rPr>
                <w:sz w:val="16"/>
              </w:rPr>
              <w:t>Couma macrocarpa</w:t>
            </w:r>
          </w:p>
        </w:tc>
        <w:tc>
          <w:tcPr>
            <w:tcW w:w="1188" w:type="dxa"/>
          </w:tcPr>
          <w:p>
            <w:pPr>
              <w:pStyle w:val="TableParagraph"/>
              <w:spacing w:before="23"/>
              <w:ind w:left="24" w:right="15"/>
              <w:jc w:val="center"/>
              <w:rPr>
                <w:sz w:val="16"/>
              </w:rPr>
            </w:pPr>
            <w:r>
              <w:rPr>
                <w:sz w:val="16"/>
              </w:rPr>
              <w:t>0.50,0.53+</w:t>
            </w:r>
          </w:p>
        </w:tc>
        <w:tc>
          <w:tcPr>
            <w:tcW w:w="1807" w:type="dxa"/>
          </w:tcPr>
          <w:p>
            <w:pPr>
              <w:pStyle w:val="TableParagraph"/>
              <w:spacing w:before="23"/>
              <w:ind w:left="30"/>
              <w:rPr>
                <w:sz w:val="16"/>
              </w:rPr>
            </w:pPr>
            <w:r>
              <w:rPr>
                <w:sz w:val="16"/>
              </w:rPr>
              <w:t>Daniellia ogea</w:t>
            </w:r>
          </w:p>
        </w:tc>
        <w:tc>
          <w:tcPr>
            <w:tcW w:w="1188" w:type="dxa"/>
          </w:tcPr>
          <w:p>
            <w:pPr>
              <w:pStyle w:val="TableParagraph"/>
              <w:spacing w:before="23"/>
              <w:ind w:right="402"/>
              <w:jc w:val="right"/>
              <w:rPr>
                <w:sz w:val="16"/>
              </w:rPr>
            </w:pPr>
            <w:r>
              <w:rPr>
                <w:sz w:val="16"/>
              </w:rPr>
              <w:t>0.40*</w:t>
            </w:r>
          </w:p>
        </w:tc>
      </w:tr>
      <w:tr>
        <w:trPr>
          <w:trHeight w:val="244" w:hRule="atLeast"/>
        </w:trPr>
        <w:tc>
          <w:tcPr>
            <w:tcW w:w="1795" w:type="dxa"/>
          </w:tcPr>
          <w:p>
            <w:pPr>
              <w:pStyle w:val="TableParagraph"/>
              <w:spacing w:before="23"/>
              <w:ind w:left="30"/>
              <w:rPr>
                <w:sz w:val="16"/>
              </w:rPr>
            </w:pPr>
            <w:r>
              <w:rPr>
                <w:sz w:val="16"/>
              </w:rPr>
              <w:t>Citrus grandis</w:t>
            </w:r>
          </w:p>
        </w:tc>
        <w:tc>
          <w:tcPr>
            <w:tcW w:w="1205" w:type="dxa"/>
          </w:tcPr>
          <w:p>
            <w:pPr>
              <w:pStyle w:val="TableParagraph"/>
              <w:spacing w:before="23"/>
              <w:ind w:left="35" w:right="26"/>
              <w:jc w:val="center"/>
              <w:rPr>
                <w:sz w:val="16"/>
              </w:rPr>
            </w:pPr>
            <w:r>
              <w:rPr>
                <w:sz w:val="16"/>
              </w:rPr>
              <w:t>0.59</w:t>
            </w:r>
          </w:p>
        </w:tc>
        <w:tc>
          <w:tcPr>
            <w:tcW w:w="1834" w:type="dxa"/>
          </w:tcPr>
          <w:p>
            <w:pPr>
              <w:pStyle w:val="TableParagraph"/>
              <w:spacing w:before="23"/>
              <w:ind w:left="27"/>
              <w:rPr>
                <w:sz w:val="16"/>
              </w:rPr>
            </w:pPr>
            <w:r>
              <w:rPr>
                <w:sz w:val="16"/>
              </w:rPr>
              <w:t>Couratari spp.</w:t>
            </w:r>
          </w:p>
        </w:tc>
        <w:tc>
          <w:tcPr>
            <w:tcW w:w="1188" w:type="dxa"/>
          </w:tcPr>
          <w:p>
            <w:pPr>
              <w:pStyle w:val="TableParagraph"/>
              <w:spacing w:before="23"/>
              <w:ind w:left="24" w:right="20"/>
              <w:jc w:val="center"/>
              <w:rPr>
                <w:sz w:val="16"/>
              </w:rPr>
            </w:pPr>
            <w:r>
              <w:rPr>
                <w:sz w:val="16"/>
              </w:rPr>
              <w:t>0.5</w:t>
            </w:r>
          </w:p>
        </w:tc>
        <w:tc>
          <w:tcPr>
            <w:tcW w:w="1807" w:type="dxa"/>
          </w:tcPr>
          <w:p>
            <w:pPr>
              <w:pStyle w:val="TableParagraph"/>
              <w:spacing w:before="23"/>
              <w:ind w:left="29"/>
              <w:rPr>
                <w:sz w:val="16"/>
              </w:rPr>
            </w:pPr>
            <w:r>
              <w:rPr>
                <w:sz w:val="16"/>
              </w:rPr>
              <w:t>Desbordesia pierreana</w:t>
            </w:r>
          </w:p>
        </w:tc>
        <w:tc>
          <w:tcPr>
            <w:tcW w:w="1188" w:type="dxa"/>
          </w:tcPr>
          <w:p>
            <w:pPr>
              <w:pStyle w:val="TableParagraph"/>
              <w:spacing w:before="23"/>
              <w:ind w:right="409"/>
              <w:jc w:val="right"/>
              <w:rPr>
                <w:sz w:val="16"/>
              </w:rPr>
            </w:pPr>
            <w:r>
              <w:rPr>
                <w:sz w:val="16"/>
              </w:rPr>
              <w:t>0.87”</w:t>
            </w:r>
          </w:p>
        </w:tc>
      </w:tr>
      <w:tr>
        <w:trPr>
          <w:trHeight w:val="244" w:hRule="atLeast"/>
        </w:trPr>
        <w:tc>
          <w:tcPr>
            <w:tcW w:w="1795" w:type="dxa"/>
          </w:tcPr>
          <w:p>
            <w:pPr>
              <w:pStyle w:val="TableParagraph"/>
              <w:spacing w:before="23"/>
              <w:ind w:left="30"/>
              <w:rPr>
                <w:sz w:val="16"/>
              </w:rPr>
            </w:pPr>
            <w:r>
              <w:rPr>
                <w:sz w:val="16"/>
              </w:rPr>
              <w:t>Cleidion speciflorum</w:t>
            </w:r>
          </w:p>
        </w:tc>
        <w:tc>
          <w:tcPr>
            <w:tcW w:w="1205" w:type="dxa"/>
          </w:tcPr>
          <w:p>
            <w:pPr>
              <w:pStyle w:val="TableParagraph"/>
              <w:spacing w:before="23"/>
              <w:ind w:left="34" w:right="26"/>
              <w:jc w:val="center"/>
              <w:rPr>
                <w:sz w:val="16"/>
              </w:rPr>
            </w:pPr>
            <w:r>
              <w:rPr>
                <w:sz w:val="16"/>
              </w:rPr>
              <w:t>0.5</w:t>
            </w:r>
          </w:p>
        </w:tc>
        <w:tc>
          <w:tcPr>
            <w:tcW w:w="1834" w:type="dxa"/>
          </w:tcPr>
          <w:p>
            <w:pPr>
              <w:pStyle w:val="TableParagraph"/>
              <w:spacing w:before="23"/>
              <w:ind w:left="28"/>
              <w:rPr>
                <w:sz w:val="16"/>
              </w:rPr>
            </w:pPr>
            <w:r>
              <w:rPr>
                <w:sz w:val="16"/>
              </w:rPr>
              <w:t>Croton xanthochloros</w:t>
            </w:r>
          </w:p>
        </w:tc>
        <w:tc>
          <w:tcPr>
            <w:tcW w:w="1188" w:type="dxa"/>
          </w:tcPr>
          <w:p>
            <w:pPr>
              <w:pStyle w:val="TableParagraph"/>
              <w:spacing w:before="23"/>
              <w:ind w:left="24" w:right="19"/>
              <w:jc w:val="center"/>
              <w:rPr>
                <w:sz w:val="16"/>
              </w:rPr>
            </w:pPr>
            <w:r>
              <w:rPr>
                <w:sz w:val="16"/>
              </w:rPr>
              <w:t>0.48</w:t>
            </w:r>
          </w:p>
        </w:tc>
        <w:tc>
          <w:tcPr>
            <w:tcW w:w="1807" w:type="dxa"/>
          </w:tcPr>
          <w:p>
            <w:pPr>
              <w:pStyle w:val="TableParagraph"/>
              <w:spacing w:before="23"/>
              <w:ind w:left="30"/>
              <w:rPr>
                <w:sz w:val="16"/>
              </w:rPr>
            </w:pPr>
            <w:r>
              <w:rPr>
                <w:sz w:val="16"/>
              </w:rPr>
              <w:t>Detarium senegalensis</w:t>
            </w:r>
          </w:p>
        </w:tc>
        <w:tc>
          <w:tcPr>
            <w:tcW w:w="1188" w:type="dxa"/>
          </w:tcPr>
          <w:p>
            <w:pPr>
              <w:pStyle w:val="TableParagraph"/>
              <w:spacing w:before="23"/>
              <w:ind w:right="401"/>
              <w:jc w:val="right"/>
              <w:rPr>
                <w:sz w:val="16"/>
              </w:rPr>
            </w:pPr>
            <w:r>
              <w:rPr>
                <w:sz w:val="16"/>
              </w:rPr>
              <w:t>0.63*</w:t>
            </w:r>
          </w:p>
        </w:tc>
      </w:tr>
      <w:tr>
        <w:trPr>
          <w:trHeight w:val="244" w:hRule="atLeast"/>
        </w:trPr>
        <w:tc>
          <w:tcPr>
            <w:tcW w:w="1795" w:type="dxa"/>
          </w:tcPr>
          <w:p>
            <w:pPr>
              <w:pStyle w:val="TableParagraph"/>
              <w:spacing w:before="23"/>
              <w:ind w:left="30"/>
              <w:rPr>
                <w:sz w:val="16"/>
              </w:rPr>
            </w:pPr>
            <w:r>
              <w:rPr>
                <w:sz w:val="16"/>
              </w:rPr>
              <w:t>Cleistanthus eollinus</w:t>
            </w:r>
          </w:p>
        </w:tc>
        <w:tc>
          <w:tcPr>
            <w:tcW w:w="1205" w:type="dxa"/>
          </w:tcPr>
          <w:p>
            <w:pPr>
              <w:pStyle w:val="TableParagraph"/>
              <w:spacing w:before="23"/>
              <w:ind w:left="34" w:right="26"/>
              <w:jc w:val="center"/>
              <w:rPr>
                <w:sz w:val="16"/>
              </w:rPr>
            </w:pPr>
            <w:r>
              <w:rPr>
                <w:sz w:val="16"/>
              </w:rPr>
              <w:t>0.88</w:t>
            </w:r>
          </w:p>
        </w:tc>
        <w:tc>
          <w:tcPr>
            <w:tcW w:w="1834" w:type="dxa"/>
          </w:tcPr>
          <w:p>
            <w:pPr>
              <w:pStyle w:val="TableParagraph"/>
              <w:spacing w:before="23"/>
              <w:ind w:left="27"/>
              <w:rPr>
                <w:sz w:val="16"/>
              </w:rPr>
            </w:pPr>
            <w:r>
              <w:rPr>
                <w:sz w:val="16"/>
              </w:rPr>
              <w:t>Cupressus lusitanica</w:t>
            </w:r>
          </w:p>
        </w:tc>
        <w:tc>
          <w:tcPr>
            <w:tcW w:w="1188" w:type="dxa"/>
          </w:tcPr>
          <w:p>
            <w:pPr>
              <w:pStyle w:val="TableParagraph"/>
              <w:spacing w:before="23"/>
              <w:ind w:left="21" w:right="20"/>
              <w:jc w:val="center"/>
              <w:rPr>
                <w:sz w:val="16"/>
              </w:rPr>
            </w:pPr>
            <w:r>
              <w:rPr>
                <w:sz w:val="16"/>
              </w:rPr>
              <w:t>0.43, 0.44+</w:t>
            </w:r>
          </w:p>
        </w:tc>
        <w:tc>
          <w:tcPr>
            <w:tcW w:w="1807" w:type="dxa"/>
          </w:tcPr>
          <w:p>
            <w:pPr>
              <w:pStyle w:val="TableParagraph"/>
              <w:spacing w:before="23"/>
              <w:ind w:left="29"/>
              <w:rPr>
                <w:sz w:val="16"/>
              </w:rPr>
            </w:pPr>
            <w:r>
              <w:rPr>
                <w:sz w:val="16"/>
              </w:rPr>
              <w:t>Dialium excelsum</w:t>
            </w:r>
          </w:p>
        </w:tc>
        <w:tc>
          <w:tcPr>
            <w:tcW w:w="1188" w:type="dxa"/>
          </w:tcPr>
          <w:p>
            <w:pPr>
              <w:pStyle w:val="TableParagraph"/>
              <w:spacing w:before="23"/>
              <w:ind w:right="402"/>
              <w:jc w:val="right"/>
              <w:rPr>
                <w:sz w:val="16"/>
              </w:rPr>
            </w:pPr>
            <w:r>
              <w:rPr>
                <w:sz w:val="16"/>
              </w:rPr>
              <w:t>0.78*</w:t>
            </w:r>
          </w:p>
        </w:tc>
      </w:tr>
      <w:tr>
        <w:trPr>
          <w:trHeight w:val="246" w:hRule="atLeast"/>
        </w:trPr>
        <w:tc>
          <w:tcPr>
            <w:tcW w:w="1795" w:type="dxa"/>
          </w:tcPr>
          <w:p>
            <w:pPr>
              <w:pStyle w:val="TableParagraph"/>
              <w:spacing w:before="23"/>
              <w:ind w:left="30"/>
              <w:rPr>
                <w:sz w:val="16"/>
              </w:rPr>
            </w:pPr>
            <w:r>
              <w:rPr>
                <w:sz w:val="16"/>
              </w:rPr>
              <w:t>Cleistocalyx spp.</w:t>
            </w:r>
          </w:p>
        </w:tc>
        <w:tc>
          <w:tcPr>
            <w:tcW w:w="1205" w:type="dxa"/>
          </w:tcPr>
          <w:p>
            <w:pPr>
              <w:pStyle w:val="TableParagraph"/>
              <w:spacing w:before="23"/>
              <w:ind w:left="35" w:right="26"/>
              <w:jc w:val="center"/>
              <w:rPr>
                <w:sz w:val="16"/>
              </w:rPr>
            </w:pPr>
            <w:r>
              <w:rPr>
                <w:sz w:val="16"/>
              </w:rPr>
              <w:t>0.76</w:t>
            </w:r>
          </w:p>
        </w:tc>
        <w:tc>
          <w:tcPr>
            <w:tcW w:w="1834" w:type="dxa"/>
          </w:tcPr>
          <w:p>
            <w:pPr>
              <w:pStyle w:val="TableParagraph"/>
              <w:spacing w:before="23"/>
              <w:ind w:left="27"/>
              <w:rPr>
                <w:sz w:val="16"/>
              </w:rPr>
            </w:pPr>
            <w:r>
              <w:rPr>
                <w:sz w:val="16"/>
              </w:rPr>
              <w:t>Cyrilla racemiflora</w:t>
            </w:r>
          </w:p>
        </w:tc>
        <w:tc>
          <w:tcPr>
            <w:tcW w:w="1188" w:type="dxa"/>
          </w:tcPr>
          <w:p>
            <w:pPr>
              <w:pStyle w:val="TableParagraph"/>
              <w:spacing w:before="23"/>
              <w:ind w:left="24" w:right="18"/>
              <w:jc w:val="center"/>
              <w:rPr>
                <w:sz w:val="16"/>
              </w:rPr>
            </w:pPr>
            <w:r>
              <w:rPr>
                <w:sz w:val="16"/>
              </w:rPr>
              <w:t>0.53</w:t>
            </w:r>
          </w:p>
        </w:tc>
        <w:tc>
          <w:tcPr>
            <w:tcW w:w="1807" w:type="dxa"/>
          </w:tcPr>
          <w:p>
            <w:pPr>
              <w:pStyle w:val="TableParagraph"/>
              <w:spacing w:before="23"/>
              <w:ind w:left="30"/>
              <w:rPr>
                <w:sz w:val="16"/>
              </w:rPr>
            </w:pPr>
            <w:r>
              <w:rPr>
                <w:sz w:val="16"/>
              </w:rPr>
              <w:t>Didelotia africana</w:t>
            </w:r>
          </w:p>
        </w:tc>
        <w:tc>
          <w:tcPr>
            <w:tcW w:w="1188" w:type="dxa"/>
          </w:tcPr>
          <w:p>
            <w:pPr>
              <w:pStyle w:val="TableParagraph"/>
              <w:spacing w:before="23"/>
              <w:ind w:right="409"/>
              <w:jc w:val="right"/>
              <w:rPr>
                <w:sz w:val="16"/>
              </w:rPr>
            </w:pPr>
            <w:r>
              <w:rPr>
                <w:sz w:val="16"/>
              </w:rPr>
              <w:t>0.78”</w:t>
            </w:r>
          </w:p>
        </w:tc>
      </w:tr>
      <w:tr>
        <w:trPr>
          <w:trHeight w:val="386" w:hRule="atLeast"/>
        </w:trPr>
        <w:tc>
          <w:tcPr>
            <w:tcW w:w="1795" w:type="dxa"/>
          </w:tcPr>
          <w:p>
            <w:pPr>
              <w:pStyle w:val="TableParagraph"/>
              <w:spacing w:line="182" w:lineRule="exact" w:before="7"/>
              <w:ind w:left="30" w:right="266"/>
              <w:rPr>
                <w:sz w:val="16"/>
              </w:rPr>
            </w:pPr>
            <w:r>
              <w:rPr>
                <w:sz w:val="16"/>
              </w:rPr>
              <w:t>Cochlospermum gossypium+religiosum</w:t>
            </w:r>
          </w:p>
        </w:tc>
        <w:tc>
          <w:tcPr>
            <w:tcW w:w="1205" w:type="dxa"/>
          </w:tcPr>
          <w:p>
            <w:pPr>
              <w:pStyle w:val="TableParagraph"/>
              <w:spacing w:before="95"/>
              <w:ind w:left="35" w:right="26"/>
              <w:jc w:val="center"/>
              <w:rPr>
                <w:sz w:val="16"/>
              </w:rPr>
            </w:pPr>
            <w:r>
              <w:rPr>
                <w:sz w:val="16"/>
              </w:rPr>
              <w:t>0.27</w:t>
            </w:r>
          </w:p>
        </w:tc>
        <w:tc>
          <w:tcPr>
            <w:tcW w:w="1834" w:type="dxa"/>
          </w:tcPr>
          <w:p>
            <w:pPr>
              <w:pStyle w:val="TableParagraph"/>
              <w:spacing w:before="95"/>
              <w:ind w:left="27"/>
              <w:rPr>
                <w:sz w:val="16"/>
              </w:rPr>
            </w:pPr>
            <w:r>
              <w:rPr>
                <w:sz w:val="16"/>
              </w:rPr>
              <w:t>Dactyodes colombiana</w:t>
            </w:r>
          </w:p>
        </w:tc>
        <w:tc>
          <w:tcPr>
            <w:tcW w:w="1188" w:type="dxa"/>
          </w:tcPr>
          <w:p>
            <w:pPr>
              <w:pStyle w:val="TableParagraph"/>
              <w:spacing w:before="95"/>
              <w:ind w:left="24" w:right="17"/>
              <w:jc w:val="center"/>
              <w:rPr>
                <w:sz w:val="16"/>
              </w:rPr>
            </w:pPr>
            <w:r>
              <w:rPr>
                <w:sz w:val="16"/>
              </w:rPr>
              <w:t>0.51</w:t>
            </w:r>
          </w:p>
        </w:tc>
        <w:tc>
          <w:tcPr>
            <w:tcW w:w="1807" w:type="dxa"/>
          </w:tcPr>
          <w:p>
            <w:pPr>
              <w:pStyle w:val="TableParagraph"/>
              <w:spacing w:before="95"/>
              <w:ind w:left="30"/>
              <w:rPr>
                <w:sz w:val="16"/>
              </w:rPr>
            </w:pPr>
            <w:r>
              <w:rPr>
                <w:sz w:val="16"/>
              </w:rPr>
              <w:t>Didelotia letouzeyi</w:t>
            </w:r>
          </w:p>
        </w:tc>
        <w:tc>
          <w:tcPr>
            <w:tcW w:w="1188" w:type="dxa"/>
          </w:tcPr>
          <w:p>
            <w:pPr>
              <w:pStyle w:val="TableParagraph"/>
              <w:spacing w:before="95"/>
              <w:ind w:right="482"/>
              <w:jc w:val="right"/>
              <w:rPr>
                <w:sz w:val="16"/>
              </w:rPr>
            </w:pPr>
            <w:r>
              <w:rPr>
                <w:sz w:val="16"/>
              </w:rPr>
              <w:t>0.5</w:t>
            </w:r>
          </w:p>
        </w:tc>
      </w:tr>
      <w:tr>
        <w:trPr>
          <w:trHeight w:val="244" w:hRule="atLeast"/>
        </w:trPr>
        <w:tc>
          <w:tcPr>
            <w:tcW w:w="1795" w:type="dxa"/>
          </w:tcPr>
          <w:p>
            <w:pPr>
              <w:pStyle w:val="TableParagraph"/>
              <w:spacing w:before="23"/>
              <w:ind w:left="30"/>
              <w:rPr>
                <w:sz w:val="16"/>
              </w:rPr>
            </w:pPr>
            <w:r>
              <w:rPr>
                <w:sz w:val="16"/>
              </w:rPr>
              <w:t>Cocos nucifera</w:t>
            </w:r>
          </w:p>
        </w:tc>
        <w:tc>
          <w:tcPr>
            <w:tcW w:w="1205" w:type="dxa"/>
          </w:tcPr>
          <w:p>
            <w:pPr>
              <w:pStyle w:val="TableParagraph"/>
              <w:spacing w:before="23"/>
              <w:ind w:left="35" w:right="26"/>
              <w:jc w:val="center"/>
              <w:rPr>
                <w:sz w:val="16"/>
              </w:rPr>
            </w:pPr>
            <w:r>
              <w:rPr>
                <w:sz w:val="16"/>
              </w:rPr>
              <w:t>0.5</w:t>
            </w:r>
          </w:p>
        </w:tc>
        <w:tc>
          <w:tcPr>
            <w:tcW w:w="1834" w:type="dxa"/>
          </w:tcPr>
          <w:p>
            <w:pPr>
              <w:pStyle w:val="TableParagraph"/>
              <w:spacing w:before="23"/>
              <w:ind w:left="28"/>
              <w:rPr>
                <w:sz w:val="16"/>
              </w:rPr>
            </w:pPr>
            <w:r>
              <w:rPr>
                <w:sz w:val="16"/>
              </w:rPr>
              <w:t>Dacryodes excelsa</w:t>
            </w:r>
          </w:p>
        </w:tc>
        <w:tc>
          <w:tcPr>
            <w:tcW w:w="1188" w:type="dxa"/>
          </w:tcPr>
          <w:p>
            <w:pPr>
              <w:pStyle w:val="TableParagraph"/>
              <w:spacing w:before="23"/>
              <w:ind w:left="24" w:right="19"/>
              <w:jc w:val="center"/>
              <w:rPr>
                <w:sz w:val="16"/>
              </w:rPr>
            </w:pPr>
            <w:r>
              <w:rPr>
                <w:sz w:val="16"/>
              </w:rPr>
              <w:t>0.52, 0.53+</w:t>
            </w:r>
          </w:p>
        </w:tc>
        <w:tc>
          <w:tcPr>
            <w:tcW w:w="1807" w:type="dxa"/>
          </w:tcPr>
          <w:p>
            <w:pPr>
              <w:pStyle w:val="TableParagraph"/>
              <w:spacing w:before="23"/>
              <w:ind w:left="31"/>
              <w:rPr>
                <w:sz w:val="16"/>
              </w:rPr>
            </w:pPr>
            <w:r>
              <w:rPr>
                <w:sz w:val="16"/>
              </w:rPr>
              <w:t>Diospyros spp.</w:t>
            </w:r>
          </w:p>
        </w:tc>
        <w:tc>
          <w:tcPr>
            <w:tcW w:w="1188" w:type="dxa"/>
          </w:tcPr>
          <w:p>
            <w:pPr>
              <w:pStyle w:val="TableParagraph"/>
              <w:spacing w:before="23"/>
              <w:ind w:right="442"/>
              <w:jc w:val="right"/>
              <w:rPr>
                <w:sz w:val="16"/>
              </w:rPr>
            </w:pPr>
            <w:r>
              <w:rPr>
                <w:sz w:val="16"/>
              </w:rPr>
              <w:t>0.82</w:t>
            </w:r>
          </w:p>
        </w:tc>
      </w:tr>
      <w:tr>
        <w:trPr>
          <w:trHeight w:val="244" w:hRule="atLeast"/>
        </w:trPr>
        <w:tc>
          <w:tcPr>
            <w:tcW w:w="1795" w:type="dxa"/>
          </w:tcPr>
          <w:p>
            <w:pPr>
              <w:pStyle w:val="TableParagraph"/>
              <w:spacing w:before="23"/>
              <w:ind w:left="30"/>
              <w:rPr>
                <w:sz w:val="16"/>
              </w:rPr>
            </w:pPr>
            <w:r>
              <w:rPr>
                <w:sz w:val="16"/>
              </w:rPr>
              <w:t>Colona serratifolia</w:t>
            </w:r>
          </w:p>
        </w:tc>
        <w:tc>
          <w:tcPr>
            <w:tcW w:w="1205" w:type="dxa"/>
          </w:tcPr>
          <w:p>
            <w:pPr>
              <w:pStyle w:val="TableParagraph"/>
              <w:spacing w:before="23"/>
              <w:ind w:left="37" w:right="26"/>
              <w:jc w:val="center"/>
              <w:rPr>
                <w:sz w:val="16"/>
              </w:rPr>
            </w:pPr>
            <w:r>
              <w:rPr>
                <w:sz w:val="16"/>
              </w:rPr>
              <w:t>0.33</w:t>
            </w:r>
          </w:p>
        </w:tc>
        <w:tc>
          <w:tcPr>
            <w:tcW w:w="1834" w:type="dxa"/>
          </w:tcPr>
          <w:p>
            <w:pPr>
              <w:pStyle w:val="TableParagraph"/>
              <w:spacing w:before="23"/>
              <w:ind w:left="29"/>
              <w:rPr>
                <w:sz w:val="16"/>
              </w:rPr>
            </w:pPr>
            <w:r>
              <w:rPr>
                <w:sz w:val="16"/>
              </w:rPr>
              <w:t>Dalbergia retusa.</w:t>
            </w:r>
          </w:p>
        </w:tc>
        <w:tc>
          <w:tcPr>
            <w:tcW w:w="1188" w:type="dxa"/>
          </w:tcPr>
          <w:p>
            <w:pPr>
              <w:pStyle w:val="TableParagraph"/>
              <w:spacing w:before="23"/>
              <w:ind w:left="24" w:right="16"/>
              <w:jc w:val="center"/>
              <w:rPr>
                <w:sz w:val="16"/>
              </w:rPr>
            </w:pPr>
            <w:r>
              <w:rPr>
                <w:sz w:val="16"/>
              </w:rPr>
              <w:t>0.89</w:t>
            </w:r>
          </w:p>
        </w:tc>
        <w:tc>
          <w:tcPr>
            <w:tcW w:w="1807" w:type="dxa"/>
          </w:tcPr>
          <w:p>
            <w:pPr>
              <w:pStyle w:val="TableParagraph"/>
              <w:spacing w:before="23"/>
              <w:ind w:left="31"/>
              <w:rPr>
                <w:sz w:val="16"/>
              </w:rPr>
            </w:pPr>
            <w:r>
              <w:rPr>
                <w:sz w:val="16"/>
              </w:rPr>
              <w:t>Discoglypremna caloneura</w:t>
            </w:r>
          </w:p>
        </w:tc>
        <w:tc>
          <w:tcPr>
            <w:tcW w:w="1188" w:type="dxa"/>
          </w:tcPr>
          <w:p>
            <w:pPr>
              <w:pStyle w:val="TableParagraph"/>
              <w:spacing w:before="23"/>
              <w:ind w:right="400"/>
              <w:jc w:val="right"/>
              <w:rPr>
                <w:sz w:val="16"/>
              </w:rPr>
            </w:pPr>
            <w:r>
              <w:rPr>
                <w:sz w:val="16"/>
              </w:rPr>
              <w:t>0.32*</w:t>
            </w:r>
          </w:p>
        </w:tc>
      </w:tr>
      <w:tr>
        <w:trPr>
          <w:trHeight w:val="369" w:hRule="atLeast"/>
        </w:trPr>
        <w:tc>
          <w:tcPr>
            <w:tcW w:w="1795" w:type="dxa"/>
          </w:tcPr>
          <w:p>
            <w:pPr>
              <w:pStyle w:val="TableParagraph"/>
              <w:spacing w:line="178" w:lineRule="exact"/>
              <w:ind w:left="30"/>
              <w:rPr>
                <w:sz w:val="16"/>
              </w:rPr>
            </w:pPr>
            <w:r>
              <w:rPr>
                <w:sz w:val="16"/>
              </w:rPr>
              <w:t>Combretodendron</w:t>
            </w:r>
          </w:p>
          <w:p>
            <w:pPr>
              <w:pStyle w:val="TableParagraph"/>
              <w:spacing w:line="170" w:lineRule="exact" w:before="1"/>
              <w:ind w:left="30"/>
              <w:rPr>
                <w:sz w:val="16"/>
              </w:rPr>
            </w:pPr>
            <w:r>
              <w:rPr>
                <w:sz w:val="16"/>
              </w:rPr>
              <w:t>quadrialatum</w:t>
            </w:r>
          </w:p>
        </w:tc>
        <w:tc>
          <w:tcPr>
            <w:tcW w:w="1205" w:type="dxa"/>
          </w:tcPr>
          <w:p>
            <w:pPr>
              <w:pStyle w:val="TableParagraph"/>
              <w:spacing w:before="85"/>
              <w:ind w:left="35" w:right="26"/>
              <w:jc w:val="center"/>
              <w:rPr>
                <w:sz w:val="16"/>
              </w:rPr>
            </w:pPr>
            <w:r>
              <w:rPr>
                <w:sz w:val="16"/>
              </w:rPr>
              <w:t>0.57</w:t>
            </w:r>
          </w:p>
        </w:tc>
        <w:tc>
          <w:tcPr>
            <w:tcW w:w="1834" w:type="dxa"/>
          </w:tcPr>
          <w:p>
            <w:pPr>
              <w:pStyle w:val="TableParagraph"/>
              <w:spacing w:before="85"/>
              <w:ind w:left="28"/>
              <w:rPr>
                <w:sz w:val="16"/>
              </w:rPr>
            </w:pPr>
            <w:r>
              <w:rPr>
                <w:sz w:val="16"/>
              </w:rPr>
              <w:t>Dalbergia stevensonii</w:t>
            </w:r>
          </w:p>
        </w:tc>
        <w:tc>
          <w:tcPr>
            <w:tcW w:w="1188" w:type="dxa"/>
          </w:tcPr>
          <w:p>
            <w:pPr>
              <w:pStyle w:val="TableParagraph"/>
              <w:spacing w:before="85"/>
              <w:ind w:left="24" w:right="18"/>
              <w:jc w:val="center"/>
              <w:rPr>
                <w:sz w:val="16"/>
              </w:rPr>
            </w:pPr>
            <w:r>
              <w:rPr>
                <w:sz w:val="16"/>
              </w:rPr>
              <w:t>0.82</w:t>
            </w:r>
          </w:p>
        </w:tc>
        <w:tc>
          <w:tcPr>
            <w:tcW w:w="1807" w:type="dxa"/>
          </w:tcPr>
          <w:p>
            <w:pPr>
              <w:pStyle w:val="TableParagraph"/>
              <w:spacing w:line="178" w:lineRule="exact"/>
              <w:ind w:left="30"/>
              <w:rPr>
                <w:sz w:val="16"/>
              </w:rPr>
            </w:pPr>
            <w:r>
              <w:rPr>
                <w:sz w:val="16"/>
              </w:rPr>
              <w:t>Distemonanthus</w:t>
            </w:r>
          </w:p>
          <w:p>
            <w:pPr>
              <w:pStyle w:val="TableParagraph"/>
              <w:spacing w:line="170" w:lineRule="exact" w:before="1"/>
              <w:ind w:left="30"/>
              <w:rPr>
                <w:sz w:val="16"/>
              </w:rPr>
            </w:pPr>
            <w:r>
              <w:rPr>
                <w:sz w:val="16"/>
              </w:rPr>
              <w:t>benthamianus</w:t>
            </w:r>
          </w:p>
        </w:tc>
        <w:tc>
          <w:tcPr>
            <w:tcW w:w="1188" w:type="dxa"/>
          </w:tcPr>
          <w:p>
            <w:pPr>
              <w:pStyle w:val="TableParagraph"/>
              <w:spacing w:before="85"/>
              <w:ind w:right="442"/>
              <w:jc w:val="right"/>
              <w:rPr>
                <w:sz w:val="16"/>
              </w:rPr>
            </w:pPr>
            <w:r>
              <w:rPr>
                <w:sz w:val="16"/>
              </w:rPr>
              <w:t>0.58</w:t>
            </w:r>
          </w:p>
        </w:tc>
      </w:tr>
      <w:tr>
        <w:trPr>
          <w:trHeight w:val="244" w:hRule="atLeast"/>
        </w:trPr>
        <w:tc>
          <w:tcPr>
            <w:tcW w:w="1795" w:type="dxa"/>
          </w:tcPr>
          <w:p>
            <w:pPr>
              <w:pStyle w:val="TableParagraph"/>
              <w:spacing w:before="23"/>
              <w:ind w:left="30"/>
              <w:rPr>
                <w:sz w:val="16"/>
              </w:rPr>
            </w:pPr>
            <w:r>
              <w:rPr>
                <w:sz w:val="16"/>
              </w:rPr>
              <w:t>Cordia spp.</w:t>
            </w:r>
          </w:p>
        </w:tc>
        <w:tc>
          <w:tcPr>
            <w:tcW w:w="1205" w:type="dxa"/>
          </w:tcPr>
          <w:p>
            <w:pPr>
              <w:pStyle w:val="TableParagraph"/>
              <w:spacing w:before="23"/>
              <w:ind w:left="35" w:right="26"/>
              <w:jc w:val="center"/>
              <w:rPr>
                <w:sz w:val="16"/>
              </w:rPr>
            </w:pPr>
            <w:r>
              <w:rPr>
                <w:sz w:val="16"/>
              </w:rPr>
              <w:t>0.53</w:t>
            </w:r>
          </w:p>
        </w:tc>
        <w:tc>
          <w:tcPr>
            <w:tcW w:w="1834" w:type="dxa"/>
          </w:tcPr>
          <w:p>
            <w:pPr>
              <w:pStyle w:val="TableParagraph"/>
              <w:spacing w:before="23"/>
              <w:ind w:left="27"/>
              <w:rPr>
                <w:sz w:val="16"/>
              </w:rPr>
            </w:pPr>
            <w:r>
              <w:rPr>
                <w:sz w:val="16"/>
              </w:rPr>
              <w:t>Declinanona calycina</w:t>
            </w:r>
          </w:p>
        </w:tc>
        <w:tc>
          <w:tcPr>
            <w:tcW w:w="1188" w:type="dxa"/>
          </w:tcPr>
          <w:p>
            <w:pPr>
              <w:pStyle w:val="TableParagraph"/>
              <w:spacing w:before="23"/>
              <w:ind w:left="24" w:right="18"/>
              <w:jc w:val="center"/>
              <w:rPr>
                <w:sz w:val="16"/>
              </w:rPr>
            </w:pPr>
            <w:r>
              <w:rPr>
                <w:sz w:val="16"/>
              </w:rPr>
              <w:t>0.47</w:t>
            </w:r>
          </w:p>
        </w:tc>
        <w:tc>
          <w:tcPr>
            <w:tcW w:w="1807" w:type="dxa"/>
          </w:tcPr>
          <w:p>
            <w:pPr>
              <w:pStyle w:val="TableParagraph"/>
              <w:spacing w:before="23"/>
              <w:ind w:left="30"/>
              <w:rPr>
                <w:sz w:val="16"/>
              </w:rPr>
            </w:pPr>
            <w:r>
              <w:rPr>
                <w:sz w:val="16"/>
              </w:rPr>
              <w:t>Drypetes sp.</w:t>
            </w:r>
          </w:p>
        </w:tc>
        <w:tc>
          <w:tcPr>
            <w:tcW w:w="1188" w:type="dxa"/>
          </w:tcPr>
          <w:p>
            <w:pPr>
              <w:pStyle w:val="TableParagraph"/>
              <w:spacing w:before="23"/>
              <w:ind w:right="402"/>
              <w:jc w:val="right"/>
              <w:rPr>
                <w:sz w:val="16"/>
              </w:rPr>
            </w:pPr>
            <w:r>
              <w:rPr>
                <w:sz w:val="16"/>
              </w:rPr>
              <w:t>0.63*</w:t>
            </w:r>
          </w:p>
        </w:tc>
      </w:tr>
      <w:tr>
        <w:trPr>
          <w:trHeight w:val="244" w:hRule="atLeast"/>
        </w:trPr>
        <w:tc>
          <w:tcPr>
            <w:tcW w:w="1795" w:type="dxa"/>
          </w:tcPr>
          <w:p>
            <w:pPr>
              <w:pStyle w:val="TableParagraph"/>
              <w:spacing w:before="23"/>
              <w:ind w:left="30"/>
              <w:rPr>
                <w:sz w:val="16"/>
              </w:rPr>
            </w:pPr>
            <w:r>
              <w:rPr>
                <w:sz w:val="16"/>
              </w:rPr>
              <w:t>Cotylelobium spp.</w:t>
            </w:r>
          </w:p>
        </w:tc>
        <w:tc>
          <w:tcPr>
            <w:tcW w:w="1205" w:type="dxa"/>
          </w:tcPr>
          <w:p>
            <w:pPr>
              <w:pStyle w:val="TableParagraph"/>
              <w:spacing w:before="23"/>
              <w:ind w:left="35" w:right="26"/>
              <w:jc w:val="center"/>
              <w:rPr>
                <w:sz w:val="16"/>
              </w:rPr>
            </w:pPr>
            <w:r>
              <w:rPr>
                <w:sz w:val="16"/>
              </w:rPr>
              <w:t>0.69</w:t>
            </w:r>
          </w:p>
        </w:tc>
        <w:tc>
          <w:tcPr>
            <w:tcW w:w="1834" w:type="dxa"/>
          </w:tcPr>
          <w:p>
            <w:pPr>
              <w:pStyle w:val="TableParagraph"/>
              <w:spacing w:before="23"/>
              <w:ind w:left="28"/>
              <w:rPr>
                <w:sz w:val="16"/>
              </w:rPr>
            </w:pPr>
            <w:r>
              <w:rPr>
                <w:sz w:val="16"/>
              </w:rPr>
              <w:t>Dialium guianensis</w:t>
            </w:r>
          </w:p>
        </w:tc>
        <w:tc>
          <w:tcPr>
            <w:tcW w:w="1188" w:type="dxa"/>
          </w:tcPr>
          <w:p>
            <w:pPr>
              <w:pStyle w:val="TableParagraph"/>
              <w:spacing w:before="23"/>
              <w:ind w:left="24" w:right="19"/>
              <w:jc w:val="center"/>
              <w:rPr>
                <w:sz w:val="16"/>
              </w:rPr>
            </w:pPr>
            <w:r>
              <w:rPr>
                <w:sz w:val="16"/>
              </w:rPr>
              <w:t>0.87</w:t>
            </w:r>
          </w:p>
        </w:tc>
        <w:tc>
          <w:tcPr>
            <w:tcW w:w="1807" w:type="dxa"/>
          </w:tcPr>
          <w:p>
            <w:pPr>
              <w:pStyle w:val="TableParagraph"/>
              <w:spacing w:before="23"/>
              <w:ind w:left="29"/>
              <w:rPr>
                <w:sz w:val="16"/>
              </w:rPr>
            </w:pPr>
            <w:r>
              <w:rPr>
                <w:sz w:val="16"/>
              </w:rPr>
              <w:t>Ehretia acuminata</w:t>
            </w:r>
          </w:p>
        </w:tc>
        <w:tc>
          <w:tcPr>
            <w:tcW w:w="1188" w:type="dxa"/>
          </w:tcPr>
          <w:p>
            <w:pPr>
              <w:pStyle w:val="TableParagraph"/>
              <w:spacing w:before="23"/>
              <w:ind w:right="401"/>
              <w:jc w:val="right"/>
              <w:rPr>
                <w:sz w:val="16"/>
              </w:rPr>
            </w:pPr>
            <w:r>
              <w:rPr>
                <w:sz w:val="16"/>
              </w:rPr>
              <w:t>0.51*</w:t>
            </w:r>
          </w:p>
        </w:tc>
      </w:tr>
      <w:tr>
        <w:trPr>
          <w:trHeight w:val="246" w:hRule="atLeast"/>
        </w:trPr>
        <w:tc>
          <w:tcPr>
            <w:tcW w:w="1795" w:type="dxa"/>
          </w:tcPr>
          <w:p>
            <w:pPr>
              <w:pStyle w:val="TableParagraph"/>
              <w:spacing w:before="23"/>
              <w:ind w:left="30"/>
              <w:rPr>
                <w:sz w:val="16"/>
              </w:rPr>
            </w:pPr>
            <w:r>
              <w:rPr>
                <w:sz w:val="16"/>
              </w:rPr>
              <w:t>Crataeva religiosa</w:t>
            </w:r>
          </w:p>
        </w:tc>
        <w:tc>
          <w:tcPr>
            <w:tcW w:w="1205" w:type="dxa"/>
          </w:tcPr>
          <w:p>
            <w:pPr>
              <w:pStyle w:val="TableParagraph"/>
              <w:spacing w:before="23"/>
              <w:ind w:left="38" w:right="22"/>
              <w:jc w:val="center"/>
              <w:rPr>
                <w:sz w:val="16"/>
              </w:rPr>
            </w:pPr>
            <w:r>
              <w:rPr>
                <w:sz w:val="16"/>
              </w:rPr>
              <w:t>0.53*</w:t>
            </w:r>
          </w:p>
        </w:tc>
        <w:tc>
          <w:tcPr>
            <w:tcW w:w="1834" w:type="dxa"/>
          </w:tcPr>
          <w:p>
            <w:pPr>
              <w:pStyle w:val="TableParagraph"/>
              <w:spacing w:before="23"/>
              <w:ind w:left="29"/>
              <w:rPr>
                <w:sz w:val="16"/>
              </w:rPr>
            </w:pPr>
            <w:r>
              <w:rPr>
                <w:sz w:val="16"/>
              </w:rPr>
              <w:t>Dialyanthera spp.</w:t>
            </w:r>
          </w:p>
        </w:tc>
        <w:tc>
          <w:tcPr>
            <w:tcW w:w="1188" w:type="dxa"/>
          </w:tcPr>
          <w:p>
            <w:pPr>
              <w:pStyle w:val="TableParagraph"/>
              <w:spacing w:before="23"/>
              <w:ind w:left="23" w:right="20"/>
              <w:jc w:val="center"/>
              <w:rPr>
                <w:sz w:val="16"/>
              </w:rPr>
            </w:pPr>
            <w:r>
              <w:rPr>
                <w:sz w:val="16"/>
              </w:rPr>
              <w:t>0.36, 0.48+</w:t>
            </w:r>
          </w:p>
        </w:tc>
        <w:tc>
          <w:tcPr>
            <w:tcW w:w="1807" w:type="dxa"/>
          </w:tcPr>
          <w:p>
            <w:pPr>
              <w:pStyle w:val="TableParagraph"/>
              <w:spacing w:before="23"/>
              <w:ind w:left="30"/>
              <w:rPr>
                <w:sz w:val="16"/>
              </w:rPr>
            </w:pPr>
            <w:r>
              <w:rPr>
                <w:sz w:val="16"/>
              </w:rPr>
              <w:t>Enantia chlorantha</w:t>
            </w:r>
          </w:p>
        </w:tc>
        <w:tc>
          <w:tcPr>
            <w:tcW w:w="1188" w:type="dxa"/>
          </w:tcPr>
          <w:p>
            <w:pPr>
              <w:pStyle w:val="TableParagraph"/>
              <w:spacing w:before="23"/>
              <w:ind w:right="409"/>
              <w:jc w:val="right"/>
              <w:rPr>
                <w:sz w:val="16"/>
              </w:rPr>
            </w:pPr>
            <w:r>
              <w:rPr>
                <w:sz w:val="16"/>
              </w:rPr>
              <w:t>0.42”</w:t>
            </w:r>
          </w:p>
        </w:tc>
      </w:tr>
      <w:tr>
        <w:trPr>
          <w:trHeight w:val="244" w:hRule="atLeast"/>
        </w:trPr>
        <w:tc>
          <w:tcPr>
            <w:tcW w:w="1795" w:type="dxa"/>
          </w:tcPr>
          <w:p>
            <w:pPr>
              <w:pStyle w:val="TableParagraph"/>
              <w:spacing w:before="23"/>
              <w:ind w:left="30"/>
              <w:rPr>
                <w:sz w:val="16"/>
              </w:rPr>
            </w:pPr>
            <w:r>
              <w:rPr>
                <w:sz w:val="16"/>
              </w:rPr>
              <w:t>Cratoxylon arborescens</w:t>
            </w:r>
          </w:p>
        </w:tc>
        <w:tc>
          <w:tcPr>
            <w:tcW w:w="1205" w:type="dxa"/>
          </w:tcPr>
          <w:p>
            <w:pPr>
              <w:pStyle w:val="TableParagraph"/>
              <w:spacing w:before="23"/>
              <w:ind w:left="35" w:right="26"/>
              <w:jc w:val="center"/>
              <w:rPr>
                <w:sz w:val="16"/>
              </w:rPr>
            </w:pPr>
            <w:r>
              <w:rPr>
                <w:sz w:val="16"/>
              </w:rPr>
              <w:t>0.4</w:t>
            </w:r>
          </w:p>
        </w:tc>
        <w:tc>
          <w:tcPr>
            <w:tcW w:w="1834" w:type="dxa"/>
          </w:tcPr>
          <w:p>
            <w:pPr>
              <w:pStyle w:val="TableParagraph"/>
              <w:spacing w:before="23"/>
              <w:ind w:left="28"/>
              <w:rPr>
                <w:sz w:val="16"/>
              </w:rPr>
            </w:pPr>
            <w:r>
              <w:rPr>
                <w:sz w:val="16"/>
              </w:rPr>
              <w:t>Dicorynia paraensis</w:t>
            </w:r>
          </w:p>
        </w:tc>
        <w:tc>
          <w:tcPr>
            <w:tcW w:w="1188" w:type="dxa"/>
          </w:tcPr>
          <w:p>
            <w:pPr>
              <w:pStyle w:val="TableParagraph"/>
              <w:spacing w:before="23"/>
              <w:ind w:left="24" w:right="18"/>
              <w:jc w:val="center"/>
              <w:rPr>
                <w:sz w:val="16"/>
              </w:rPr>
            </w:pPr>
            <w:r>
              <w:rPr>
                <w:sz w:val="16"/>
              </w:rPr>
              <w:t>0.6</w:t>
            </w:r>
          </w:p>
        </w:tc>
        <w:tc>
          <w:tcPr>
            <w:tcW w:w="1807" w:type="dxa"/>
          </w:tcPr>
          <w:p>
            <w:pPr>
              <w:pStyle w:val="TableParagraph"/>
              <w:spacing w:before="23"/>
              <w:ind w:left="31"/>
              <w:rPr>
                <w:sz w:val="16"/>
              </w:rPr>
            </w:pPr>
            <w:r>
              <w:rPr>
                <w:sz w:val="16"/>
              </w:rPr>
              <w:t>Endodesmia calophylloides</w:t>
            </w:r>
          </w:p>
        </w:tc>
        <w:tc>
          <w:tcPr>
            <w:tcW w:w="1188" w:type="dxa"/>
          </w:tcPr>
          <w:p>
            <w:pPr>
              <w:pStyle w:val="TableParagraph"/>
              <w:spacing w:before="23"/>
              <w:ind w:right="408"/>
              <w:jc w:val="right"/>
              <w:rPr>
                <w:sz w:val="16"/>
              </w:rPr>
            </w:pPr>
            <w:r>
              <w:rPr>
                <w:sz w:val="16"/>
              </w:rPr>
              <w:t>0.66”</w:t>
            </w:r>
          </w:p>
        </w:tc>
      </w:tr>
      <w:tr>
        <w:trPr>
          <w:trHeight w:val="244" w:hRule="atLeast"/>
        </w:trPr>
        <w:tc>
          <w:tcPr>
            <w:tcW w:w="1795" w:type="dxa"/>
          </w:tcPr>
          <w:p>
            <w:pPr>
              <w:pStyle w:val="TableParagraph"/>
              <w:spacing w:before="23"/>
              <w:ind w:left="30"/>
              <w:rPr>
                <w:sz w:val="16"/>
              </w:rPr>
            </w:pPr>
            <w:r>
              <w:rPr>
                <w:sz w:val="16"/>
              </w:rPr>
              <w:t>Cryptocarya spp.</w:t>
            </w:r>
          </w:p>
        </w:tc>
        <w:tc>
          <w:tcPr>
            <w:tcW w:w="1205" w:type="dxa"/>
          </w:tcPr>
          <w:p>
            <w:pPr>
              <w:pStyle w:val="TableParagraph"/>
              <w:spacing w:before="23"/>
              <w:ind w:left="37" w:right="26"/>
              <w:jc w:val="center"/>
              <w:rPr>
                <w:sz w:val="16"/>
              </w:rPr>
            </w:pPr>
            <w:r>
              <w:rPr>
                <w:sz w:val="16"/>
              </w:rPr>
              <w:t>0.59</w:t>
            </w:r>
          </w:p>
        </w:tc>
        <w:tc>
          <w:tcPr>
            <w:tcW w:w="1834" w:type="dxa"/>
          </w:tcPr>
          <w:p>
            <w:pPr>
              <w:pStyle w:val="TableParagraph"/>
              <w:spacing w:before="23"/>
              <w:ind w:left="29"/>
              <w:rPr>
                <w:sz w:val="16"/>
              </w:rPr>
            </w:pPr>
            <w:r>
              <w:rPr>
                <w:sz w:val="16"/>
              </w:rPr>
              <w:t>Didymopanax sp.</w:t>
            </w:r>
          </w:p>
        </w:tc>
        <w:tc>
          <w:tcPr>
            <w:tcW w:w="1188" w:type="dxa"/>
          </w:tcPr>
          <w:p>
            <w:pPr>
              <w:pStyle w:val="TableParagraph"/>
              <w:spacing w:before="23"/>
              <w:ind w:left="24" w:right="17"/>
              <w:jc w:val="center"/>
              <w:rPr>
                <w:sz w:val="16"/>
              </w:rPr>
            </w:pPr>
            <w:r>
              <w:rPr>
                <w:sz w:val="16"/>
              </w:rPr>
              <w:t>0.74</w:t>
            </w:r>
          </w:p>
        </w:tc>
        <w:tc>
          <w:tcPr>
            <w:tcW w:w="1807" w:type="dxa"/>
          </w:tcPr>
          <w:p>
            <w:pPr>
              <w:pStyle w:val="TableParagraph"/>
              <w:spacing w:before="23"/>
              <w:ind w:left="31"/>
              <w:rPr>
                <w:sz w:val="16"/>
              </w:rPr>
            </w:pPr>
            <w:r>
              <w:rPr>
                <w:sz w:val="16"/>
              </w:rPr>
              <w:t>Entandrophragma utile</w:t>
            </w:r>
          </w:p>
        </w:tc>
        <w:tc>
          <w:tcPr>
            <w:tcW w:w="1188" w:type="dxa"/>
          </w:tcPr>
          <w:p>
            <w:pPr>
              <w:pStyle w:val="TableParagraph"/>
              <w:spacing w:before="23"/>
              <w:ind w:right="441"/>
              <w:jc w:val="right"/>
              <w:rPr>
                <w:sz w:val="16"/>
              </w:rPr>
            </w:pPr>
            <w:r>
              <w:rPr>
                <w:sz w:val="16"/>
              </w:rPr>
              <w:t>0.53</w:t>
            </w:r>
          </w:p>
        </w:tc>
      </w:tr>
      <w:tr>
        <w:trPr>
          <w:trHeight w:val="244" w:hRule="atLeast"/>
        </w:trPr>
        <w:tc>
          <w:tcPr>
            <w:tcW w:w="1795" w:type="dxa"/>
          </w:tcPr>
          <w:p>
            <w:pPr>
              <w:pStyle w:val="TableParagraph"/>
              <w:spacing w:before="23"/>
              <w:ind w:left="30"/>
              <w:rPr>
                <w:sz w:val="16"/>
              </w:rPr>
            </w:pPr>
            <w:r>
              <w:rPr>
                <w:sz w:val="16"/>
              </w:rPr>
              <w:t>Cubilia cubili</w:t>
            </w:r>
          </w:p>
        </w:tc>
        <w:tc>
          <w:tcPr>
            <w:tcW w:w="1205" w:type="dxa"/>
          </w:tcPr>
          <w:p>
            <w:pPr>
              <w:pStyle w:val="TableParagraph"/>
              <w:spacing w:before="23"/>
              <w:ind w:left="34" w:right="26"/>
              <w:jc w:val="center"/>
              <w:rPr>
                <w:sz w:val="16"/>
              </w:rPr>
            </w:pPr>
            <w:r>
              <w:rPr>
                <w:sz w:val="16"/>
              </w:rPr>
              <w:t>0.49</w:t>
            </w:r>
          </w:p>
        </w:tc>
        <w:tc>
          <w:tcPr>
            <w:tcW w:w="1834" w:type="dxa"/>
          </w:tcPr>
          <w:p>
            <w:pPr>
              <w:pStyle w:val="TableParagraph"/>
              <w:spacing w:before="23"/>
              <w:ind w:left="27"/>
              <w:rPr>
                <w:sz w:val="16"/>
              </w:rPr>
            </w:pPr>
            <w:r>
              <w:rPr>
                <w:sz w:val="16"/>
              </w:rPr>
              <w:t>Dimorphandra mora</w:t>
            </w:r>
          </w:p>
        </w:tc>
        <w:tc>
          <w:tcPr>
            <w:tcW w:w="1188" w:type="dxa"/>
          </w:tcPr>
          <w:p>
            <w:pPr>
              <w:pStyle w:val="TableParagraph"/>
              <w:spacing w:before="23"/>
              <w:ind w:left="23" w:right="20"/>
              <w:jc w:val="center"/>
              <w:rPr>
                <w:sz w:val="16"/>
              </w:rPr>
            </w:pPr>
            <w:r>
              <w:rPr>
                <w:sz w:val="16"/>
              </w:rPr>
              <w:t>0.99*</w:t>
            </w:r>
          </w:p>
        </w:tc>
        <w:tc>
          <w:tcPr>
            <w:tcW w:w="1807" w:type="dxa"/>
          </w:tcPr>
          <w:p>
            <w:pPr>
              <w:pStyle w:val="TableParagraph"/>
              <w:spacing w:before="23"/>
              <w:ind w:left="28"/>
              <w:rPr>
                <w:sz w:val="16"/>
              </w:rPr>
            </w:pPr>
            <w:r>
              <w:rPr>
                <w:sz w:val="16"/>
              </w:rPr>
              <w:t>Eribroma oblongum</w:t>
            </w:r>
          </w:p>
        </w:tc>
        <w:tc>
          <w:tcPr>
            <w:tcW w:w="1188" w:type="dxa"/>
          </w:tcPr>
          <w:p>
            <w:pPr>
              <w:pStyle w:val="TableParagraph"/>
              <w:spacing w:before="23"/>
              <w:ind w:right="404"/>
              <w:jc w:val="right"/>
              <w:rPr>
                <w:sz w:val="16"/>
              </w:rPr>
            </w:pPr>
            <w:r>
              <w:rPr>
                <w:sz w:val="16"/>
              </w:rPr>
              <w:t>0.60*</w:t>
            </w:r>
          </w:p>
        </w:tc>
      </w:tr>
      <w:tr>
        <w:trPr>
          <w:trHeight w:val="246" w:hRule="atLeast"/>
        </w:trPr>
        <w:tc>
          <w:tcPr>
            <w:tcW w:w="1795" w:type="dxa"/>
          </w:tcPr>
          <w:p>
            <w:pPr>
              <w:pStyle w:val="TableParagraph"/>
              <w:spacing w:before="23"/>
              <w:ind w:left="30"/>
              <w:rPr>
                <w:sz w:val="16"/>
              </w:rPr>
            </w:pPr>
            <w:r>
              <w:rPr>
                <w:sz w:val="16"/>
              </w:rPr>
              <w:t>Cullenia excelsa</w:t>
            </w:r>
          </w:p>
        </w:tc>
        <w:tc>
          <w:tcPr>
            <w:tcW w:w="1205" w:type="dxa"/>
          </w:tcPr>
          <w:p>
            <w:pPr>
              <w:pStyle w:val="TableParagraph"/>
              <w:spacing w:before="23"/>
              <w:ind w:left="37" w:right="26"/>
              <w:jc w:val="center"/>
              <w:rPr>
                <w:sz w:val="16"/>
              </w:rPr>
            </w:pPr>
            <w:r>
              <w:rPr>
                <w:sz w:val="16"/>
              </w:rPr>
              <w:t>0.53</w:t>
            </w:r>
          </w:p>
        </w:tc>
        <w:tc>
          <w:tcPr>
            <w:tcW w:w="1834" w:type="dxa"/>
          </w:tcPr>
          <w:p>
            <w:pPr>
              <w:pStyle w:val="TableParagraph"/>
              <w:spacing w:before="23"/>
              <w:ind w:left="29"/>
              <w:rPr>
                <w:sz w:val="16"/>
              </w:rPr>
            </w:pPr>
            <w:r>
              <w:rPr>
                <w:sz w:val="16"/>
              </w:rPr>
              <w:t>Diplotropis purpurea</w:t>
            </w:r>
          </w:p>
        </w:tc>
        <w:tc>
          <w:tcPr>
            <w:tcW w:w="1188" w:type="dxa"/>
          </w:tcPr>
          <w:p>
            <w:pPr>
              <w:pStyle w:val="TableParagraph"/>
              <w:spacing w:before="23"/>
              <w:ind w:left="22" w:right="20"/>
              <w:jc w:val="center"/>
              <w:rPr>
                <w:sz w:val="16"/>
              </w:rPr>
            </w:pPr>
            <w:r>
              <w:rPr>
                <w:sz w:val="16"/>
              </w:rPr>
              <w:t>0.76, 0.77, 0.78+</w:t>
            </w:r>
          </w:p>
        </w:tc>
        <w:tc>
          <w:tcPr>
            <w:tcW w:w="1807" w:type="dxa"/>
          </w:tcPr>
          <w:p>
            <w:pPr>
              <w:pStyle w:val="TableParagraph"/>
              <w:spacing w:before="23"/>
              <w:ind w:left="30"/>
              <w:rPr>
                <w:sz w:val="16"/>
              </w:rPr>
            </w:pPr>
            <w:r>
              <w:rPr>
                <w:sz w:val="16"/>
              </w:rPr>
              <w:t>Eriocoelum microspermum</w:t>
            </w:r>
          </w:p>
        </w:tc>
        <w:tc>
          <w:tcPr>
            <w:tcW w:w="1188" w:type="dxa"/>
          </w:tcPr>
          <w:p>
            <w:pPr>
              <w:pStyle w:val="TableParagraph"/>
              <w:spacing w:before="23"/>
              <w:ind w:right="409"/>
              <w:jc w:val="right"/>
              <w:rPr>
                <w:sz w:val="16"/>
              </w:rPr>
            </w:pPr>
            <w:r>
              <w:rPr>
                <w:sz w:val="16"/>
              </w:rPr>
              <w:t>0.50”</w:t>
            </w:r>
          </w:p>
        </w:tc>
      </w:tr>
      <w:tr>
        <w:trPr>
          <w:trHeight w:val="244" w:hRule="atLeast"/>
        </w:trPr>
        <w:tc>
          <w:tcPr>
            <w:tcW w:w="1795" w:type="dxa"/>
          </w:tcPr>
          <w:p>
            <w:pPr>
              <w:pStyle w:val="TableParagraph"/>
              <w:spacing w:before="23"/>
              <w:ind w:left="30"/>
              <w:rPr>
                <w:sz w:val="16"/>
              </w:rPr>
            </w:pPr>
            <w:r>
              <w:rPr>
                <w:sz w:val="16"/>
              </w:rPr>
              <w:t>Cynometra spp.</w:t>
            </w:r>
          </w:p>
        </w:tc>
        <w:tc>
          <w:tcPr>
            <w:tcW w:w="1205" w:type="dxa"/>
          </w:tcPr>
          <w:p>
            <w:pPr>
              <w:pStyle w:val="TableParagraph"/>
              <w:spacing w:before="23"/>
              <w:ind w:left="35" w:right="26"/>
              <w:jc w:val="center"/>
              <w:rPr>
                <w:sz w:val="16"/>
              </w:rPr>
            </w:pPr>
            <w:r>
              <w:rPr>
                <w:sz w:val="16"/>
              </w:rPr>
              <w:t>0.8</w:t>
            </w:r>
          </w:p>
        </w:tc>
        <w:tc>
          <w:tcPr>
            <w:tcW w:w="1834" w:type="dxa"/>
          </w:tcPr>
          <w:p>
            <w:pPr>
              <w:pStyle w:val="TableParagraph"/>
              <w:spacing w:before="23"/>
              <w:ind w:left="28"/>
              <w:rPr>
                <w:sz w:val="16"/>
              </w:rPr>
            </w:pPr>
            <w:r>
              <w:rPr>
                <w:sz w:val="16"/>
              </w:rPr>
              <w:t>Dipterix odorata</w:t>
            </w:r>
          </w:p>
        </w:tc>
        <w:tc>
          <w:tcPr>
            <w:tcW w:w="1188" w:type="dxa"/>
          </w:tcPr>
          <w:p>
            <w:pPr>
              <w:pStyle w:val="TableParagraph"/>
              <w:spacing w:before="23"/>
              <w:ind w:left="24" w:right="19"/>
              <w:jc w:val="center"/>
              <w:rPr>
                <w:sz w:val="16"/>
              </w:rPr>
            </w:pPr>
            <w:r>
              <w:rPr>
                <w:sz w:val="16"/>
              </w:rPr>
              <w:t>0.81,0.86,0.89+</w:t>
            </w:r>
          </w:p>
        </w:tc>
        <w:tc>
          <w:tcPr>
            <w:tcW w:w="1807" w:type="dxa"/>
          </w:tcPr>
          <w:p>
            <w:pPr>
              <w:pStyle w:val="TableParagraph"/>
              <w:spacing w:before="23"/>
              <w:ind w:left="31"/>
              <w:rPr>
                <w:sz w:val="16"/>
              </w:rPr>
            </w:pPr>
            <w:r>
              <w:rPr>
                <w:sz w:val="16"/>
              </w:rPr>
              <w:t>Erismadelphus ensul</w:t>
            </w:r>
          </w:p>
        </w:tc>
        <w:tc>
          <w:tcPr>
            <w:tcW w:w="1188" w:type="dxa"/>
          </w:tcPr>
          <w:p>
            <w:pPr>
              <w:pStyle w:val="TableParagraph"/>
              <w:spacing w:before="23"/>
              <w:ind w:right="401"/>
              <w:jc w:val="right"/>
              <w:rPr>
                <w:sz w:val="16"/>
              </w:rPr>
            </w:pPr>
            <w:r>
              <w:rPr>
                <w:sz w:val="16"/>
              </w:rPr>
              <w:t>0.56*</w:t>
            </w:r>
          </w:p>
        </w:tc>
      </w:tr>
      <w:tr>
        <w:trPr>
          <w:trHeight w:val="244" w:hRule="atLeast"/>
        </w:trPr>
        <w:tc>
          <w:tcPr>
            <w:tcW w:w="1795" w:type="dxa"/>
          </w:tcPr>
          <w:p>
            <w:pPr>
              <w:pStyle w:val="TableParagraph"/>
              <w:spacing w:before="23"/>
              <w:ind w:left="30"/>
              <w:rPr>
                <w:sz w:val="16"/>
              </w:rPr>
            </w:pPr>
            <w:r>
              <w:rPr>
                <w:sz w:val="16"/>
              </w:rPr>
              <w:t>Dacrycarpus imbricatus</w:t>
            </w:r>
          </w:p>
        </w:tc>
        <w:tc>
          <w:tcPr>
            <w:tcW w:w="1205" w:type="dxa"/>
          </w:tcPr>
          <w:p>
            <w:pPr>
              <w:pStyle w:val="TableParagraph"/>
              <w:spacing w:before="23"/>
              <w:ind w:left="37" w:right="26"/>
              <w:jc w:val="center"/>
              <w:rPr>
                <w:sz w:val="16"/>
              </w:rPr>
            </w:pPr>
            <w:r>
              <w:rPr>
                <w:sz w:val="16"/>
              </w:rPr>
              <w:t>0.45, 0.47+</w:t>
            </w:r>
          </w:p>
        </w:tc>
        <w:tc>
          <w:tcPr>
            <w:tcW w:w="1834" w:type="dxa"/>
          </w:tcPr>
          <w:p>
            <w:pPr>
              <w:pStyle w:val="TableParagraph"/>
              <w:spacing w:before="23"/>
              <w:ind w:left="28"/>
              <w:rPr>
                <w:sz w:val="16"/>
              </w:rPr>
            </w:pPr>
            <w:r>
              <w:rPr>
                <w:sz w:val="16"/>
              </w:rPr>
              <w:t>Drypetes variabilis</w:t>
            </w:r>
          </w:p>
        </w:tc>
        <w:tc>
          <w:tcPr>
            <w:tcW w:w="1188" w:type="dxa"/>
          </w:tcPr>
          <w:p>
            <w:pPr>
              <w:pStyle w:val="TableParagraph"/>
              <w:spacing w:before="23"/>
              <w:ind w:left="24" w:right="20"/>
              <w:jc w:val="center"/>
              <w:rPr>
                <w:sz w:val="16"/>
              </w:rPr>
            </w:pPr>
            <w:r>
              <w:rPr>
                <w:sz w:val="16"/>
              </w:rPr>
              <w:t>0.69</w:t>
            </w:r>
          </w:p>
        </w:tc>
        <w:tc>
          <w:tcPr>
            <w:tcW w:w="1807" w:type="dxa"/>
          </w:tcPr>
          <w:p>
            <w:pPr>
              <w:pStyle w:val="TableParagraph"/>
              <w:spacing w:before="23"/>
              <w:ind w:left="30"/>
              <w:rPr>
                <w:sz w:val="16"/>
              </w:rPr>
            </w:pPr>
            <w:r>
              <w:rPr>
                <w:sz w:val="16"/>
              </w:rPr>
              <w:t>Erythrina vogelii</w:t>
            </w:r>
          </w:p>
        </w:tc>
        <w:tc>
          <w:tcPr>
            <w:tcW w:w="1188" w:type="dxa"/>
          </w:tcPr>
          <w:p>
            <w:pPr>
              <w:pStyle w:val="TableParagraph"/>
              <w:spacing w:before="23"/>
              <w:ind w:right="409"/>
              <w:jc w:val="right"/>
              <w:rPr>
                <w:sz w:val="16"/>
              </w:rPr>
            </w:pPr>
            <w:r>
              <w:rPr>
                <w:sz w:val="16"/>
              </w:rPr>
              <w:t>0.25”</w:t>
            </w:r>
          </w:p>
        </w:tc>
      </w:tr>
      <w:tr>
        <w:trPr>
          <w:trHeight w:val="244" w:hRule="atLeast"/>
        </w:trPr>
        <w:tc>
          <w:tcPr>
            <w:tcW w:w="1795" w:type="dxa"/>
          </w:tcPr>
          <w:p>
            <w:pPr>
              <w:pStyle w:val="TableParagraph"/>
              <w:spacing w:before="23"/>
              <w:ind w:left="30"/>
              <w:rPr>
                <w:sz w:val="16"/>
              </w:rPr>
            </w:pPr>
            <w:r>
              <w:rPr>
                <w:sz w:val="16"/>
              </w:rPr>
              <w:t>Dacrydium spp.</w:t>
            </w:r>
          </w:p>
        </w:tc>
        <w:tc>
          <w:tcPr>
            <w:tcW w:w="1205" w:type="dxa"/>
          </w:tcPr>
          <w:p>
            <w:pPr>
              <w:pStyle w:val="TableParagraph"/>
              <w:spacing w:before="23"/>
              <w:ind w:left="37" w:right="26"/>
              <w:jc w:val="center"/>
              <w:rPr>
                <w:sz w:val="16"/>
              </w:rPr>
            </w:pPr>
            <w:r>
              <w:rPr>
                <w:sz w:val="16"/>
              </w:rPr>
              <w:t>0.46</w:t>
            </w:r>
          </w:p>
        </w:tc>
        <w:tc>
          <w:tcPr>
            <w:tcW w:w="1834" w:type="dxa"/>
          </w:tcPr>
          <w:p>
            <w:pPr>
              <w:pStyle w:val="TableParagraph"/>
              <w:spacing w:before="23"/>
              <w:ind w:left="29"/>
              <w:rPr>
                <w:sz w:val="16"/>
              </w:rPr>
            </w:pPr>
            <w:r>
              <w:rPr>
                <w:sz w:val="16"/>
              </w:rPr>
              <w:t>Dussia lehmannii</w:t>
            </w:r>
          </w:p>
        </w:tc>
        <w:tc>
          <w:tcPr>
            <w:tcW w:w="1188" w:type="dxa"/>
          </w:tcPr>
          <w:p>
            <w:pPr>
              <w:pStyle w:val="TableParagraph"/>
              <w:spacing w:before="23"/>
              <w:ind w:left="24" w:right="16"/>
              <w:jc w:val="center"/>
              <w:rPr>
                <w:sz w:val="16"/>
              </w:rPr>
            </w:pPr>
            <w:r>
              <w:rPr>
                <w:sz w:val="16"/>
              </w:rPr>
              <w:t>0.59</w:t>
            </w:r>
          </w:p>
        </w:tc>
        <w:tc>
          <w:tcPr>
            <w:tcW w:w="1807" w:type="dxa"/>
          </w:tcPr>
          <w:p>
            <w:pPr>
              <w:pStyle w:val="TableParagraph"/>
              <w:spacing w:before="23"/>
              <w:ind w:left="31"/>
              <w:rPr>
                <w:sz w:val="16"/>
              </w:rPr>
            </w:pPr>
            <w:r>
              <w:rPr>
                <w:sz w:val="16"/>
              </w:rPr>
              <w:t>Erythrophleum ivorense</w:t>
            </w:r>
          </w:p>
        </w:tc>
        <w:tc>
          <w:tcPr>
            <w:tcW w:w="1188" w:type="dxa"/>
          </w:tcPr>
          <w:p>
            <w:pPr>
              <w:pStyle w:val="TableParagraph"/>
              <w:spacing w:before="23"/>
              <w:ind w:right="442"/>
              <w:jc w:val="right"/>
              <w:rPr>
                <w:sz w:val="16"/>
              </w:rPr>
            </w:pPr>
            <w:r>
              <w:rPr>
                <w:sz w:val="16"/>
              </w:rPr>
              <w:t>0.72</w:t>
            </w:r>
          </w:p>
        </w:tc>
      </w:tr>
      <w:tr>
        <w:trPr>
          <w:trHeight w:val="246" w:hRule="atLeast"/>
        </w:trPr>
        <w:tc>
          <w:tcPr>
            <w:tcW w:w="1795" w:type="dxa"/>
          </w:tcPr>
          <w:p>
            <w:pPr>
              <w:pStyle w:val="TableParagraph"/>
              <w:spacing w:before="23"/>
              <w:ind w:left="30"/>
              <w:rPr>
                <w:sz w:val="16"/>
              </w:rPr>
            </w:pPr>
            <w:r>
              <w:rPr>
                <w:sz w:val="16"/>
              </w:rPr>
              <w:t>Dacryodes spp.</w:t>
            </w:r>
          </w:p>
        </w:tc>
        <w:tc>
          <w:tcPr>
            <w:tcW w:w="1205" w:type="dxa"/>
          </w:tcPr>
          <w:p>
            <w:pPr>
              <w:pStyle w:val="TableParagraph"/>
              <w:spacing w:before="23"/>
              <w:ind w:left="36" w:right="26"/>
              <w:jc w:val="center"/>
              <w:rPr>
                <w:sz w:val="16"/>
              </w:rPr>
            </w:pPr>
            <w:r>
              <w:rPr>
                <w:sz w:val="16"/>
              </w:rPr>
              <w:t>0.61</w:t>
            </w:r>
          </w:p>
        </w:tc>
        <w:tc>
          <w:tcPr>
            <w:tcW w:w="1834" w:type="dxa"/>
          </w:tcPr>
          <w:p>
            <w:pPr>
              <w:pStyle w:val="TableParagraph"/>
              <w:spacing w:before="23"/>
              <w:ind w:left="28"/>
              <w:rPr>
                <w:sz w:val="16"/>
              </w:rPr>
            </w:pPr>
            <w:r>
              <w:rPr>
                <w:sz w:val="16"/>
              </w:rPr>
              <w:t>Ecclinusa guianensis</w:t>
            </w:r>
          </w:p>
        </w:tc>
        <w:tc>
          <w:tcPr>
            <w:tcW w:w="1188" w:type="dxa"/>
          </w:tcPr>
          <w:p>
            <w:pPr>
              <w:pStyle w:val="TableParagraph"/>
              <w:spacing w:before="23"/>
              <w:ind w:left="24" w:right="16"/>
              <w:jc w:val="center"/>
              <w:rPr>
                <w:sz w:val="16"/>
              </w:rPr>
            </w:pPr>
            <w:r>
              <w:rPr>
                <w:sz w:val="16"/>
              </w:rPr>
              <w:t>0.63</w:t>
            </w:r>
          </w:p>
        </w:tc>
        <w:tc>
          <w:tcPr>
            <w:tcW w:w="1807" w:type="dxa"/>
          </w:tcPr>
          <w:p>
            <w:pPr>
              <w:pStyle w:val="TableParagraph"/>
              <w:spacing w:before="23"/>
              <w:ind w:left="31"/>
              <w:rPr>
                <w:sz w:val="16"/>
              </w:rPr>
            </w:pPr>
            <w:r>
              <w:rPr>
                <w:sz w:val="16"/>
              </w:rPr>
              <w:t>Erythroxylum mannii</w:t>
            </w:r>
          </w:p>
        </w:tc>
        <w:tc>
          <w:tcPr>
            <w:tcW w:w="1188" w:type="dxa"/>
          </w:tcPr>
          <w:p>
            <w:pPr>
              <w:pStyle w:val="TableParagraph"/>
              <w:spacing w:before="23"/>
              <w:ind w:right="483"/>
              <w:jc w:val="right"/>
              <w:rPr>
                <w:sz w:val="16"/>
              </w:rPr>
            </w:pPr>
            <w:r>
              <w:rPr>
                <w:sz w:val="16"/>
              </w:rPr>
              <w:t>0.5</w:t>
            </w:r>
          </w:p>
        </w:tc>
      </w:tr>
      <w:tr>
        <w:trPr>
          <w:trHeight w:val="244" w:hRule="atLeast"/>
        </w:trPr>
        <w:tc>
          <w:tcPr>
            <w:tcW w:w="1795" w:type="dxa"/>
          </w:tcPr>
          <w:p>
            <w:pPr>
              <w:pStyle w:val="TableParagraph"/>
              <w:spacing w:before="23"/>
              <w:ind w:left="30"/>
              <w:rPr>
                <w:sz w:val="16"/>
              </w:rPr>
            </w:pPr>
            <w:r>
              <w:rPr>
                <w:sz w:val="16"/>
              </w:rPr>
              <w:t>Dalbergia paniculata</w:t>
            </w:r>
          </w:p>
        </w:tc>
        <w:tc>
          <w:tcPr>
            <w:tcW w:w="1205" w:type="dxa"/>
          </w:tcPr>
          <w:p>
            <w:pPr>
              <w:pStyle w:val="TableParagraph"/>
              <w:spacing w:before="23"/>
              <w:ind w:left="36" w:right="26"/>
              <w:jc w:val="center"/>
              <w:rPr>
                <w:sz w:val="16"/>
              </w:rPr>
            </w:pPr>
            <w:r>
              <w:rPr>
                <w:sz w:val="16"/>
              </w:rPr>
              <w:t>0.64</w:t>
            </w:r>
          </w:p>
        </w:tc>
        <w:tc>
          <w:tcPr>
            <w:tcW w:w="1834" w:type="dxa"/>
          </w:tcPr>
          <w:p>
            <w:pPr>
              <w:pStyle w:val="TableParagraph"/>
              <w:spacing w:before="23"/>
              <w:ind w:left="28"/>
              <w:rPr>
                <w:sz w:val="16"/>
              </w:rPr>
            </w:pPr>
            <w:r>
              <w:rPr>
                <w:sz w:val="16"/>
              </w:rPr>
              <w:t>Endlicheria cocvirey</w:t>
            </w:r>
          </w:p>
        </w:tc>
        <w:tc>
          <w:tcPr>
            <w:tcW w:w="1188" w:type="dxa"/>
          </w:tcPr>
          <w:p>
            <w:pPr>
              <w:pStyle w:val="TableParagraph"/>
              <w:spacing w:before="23"/>
              <w:ind w:left="24" w:right="17"/>
              <w:jc w:val="center"/>
              <w:rPr>
                <w:sz w:val="16"/>
              </w:rPr>
            </w:pPr>
            <w:r>
              <w:rPr>
                <w:sz w:val="16"/>
              </w:rPr>
              <w:t>0.39</w:t>
            </w:r>
          </w:p>
        </w:tc>
        <w:tc>
          <w:tcPr>
            <w:tcW w:w="1807" w:type="dxa"/>
          </w:tcPr>
          <w:p>
            <w:pPr>
              <w:pStyle w:val="TableParagraph"/>
              <w:spacing w:before="23"/>
              <w:ind w:left="30"/>
              <w:rPr>
                <w:sz w:val="16"/>
              </w:rPr>
            </w:pPr>
            <w:r>
              <w:rPr>
                <w:sz w:val="16"/>
              </w:rPr>
              <w:t>Fagara macrophylla</w:t>
            </w:r>
          </w:p>
        </w:tc>
        <w:tc>
          <w:tcPr>
            <w:tcW w:w="1188" w:type="dxa"/>
          </w:tcPr>
          <w:p>
            <w:pPr>
              <w:pStyle w:val="TableParagraph"/>
              <w:spacing w:before="23"/>
              <w:ind w:right="442"/>
              <w:jc w:val="right"/>
              <w:rPr>
                <w:sz w:val="16"/>
              </w:rPr>
            </w:pPr>
            <w:r>
              <w:rPr>
                <w:sz w:val="16"/>
              </w:rPr>
              <w:t>0.69</w:t>
            </w:r>
          </w:p>
        </w:tc>
      </w:tr>
      <w:tr>
        <w:trPr>
          <w:trHeight w:val="386" w:hRule="atLeast"/>
        </w:trPr>
        <w:tc>
          <w:tcPr>
            <w:tcW w:w="1795" w:type="dxa"/>
          </w:tcPr>
          <w:p>
            <w:pPr>
              <w:pStyle w:val="TableParagraph"/>
              <w:spacing w:before="95"/>
              <w:ind w:left="30"/>
              <w:rPr>
                <w:sz w:val="16"/>
              </w:rPr>
            </w:pPr>
            <w:r>
              <w:rPr>
                <w:sz w:val="16"/>
              </w:rPr>
              <w:t>Decussocarpus vitiensis</w:t>
            </w:r>
          </w:p>
        </w:tc>
        <w:tc>
          <w:tcPr>
            <w:tcW w:w="1205" w:type="dxa"/>
          </w:tcPr>
          <w:p>
            <w:pPr>
              <w:pStyle w:val="TableParagraph"/>
              <w:spacing w:before="95"/>
              <w:ind w:left="33" w:right="26"/>
              <w:jc w:val="center"/>
              <w:rPr>
                <w:sz w:val="16"/>
              </w:rPr>
            </w:pPr>
            <w:r>
              <w:rPr>
                <w:sz w:val="16"/>
              </w:rPr>
              <w:t>0.37</w:t>
            </w:r>
          </w:p>
        </w:tc>
        <w:tc>
          <w:tcPr>
            <w:tcW w:w="1834" w:type="dxa"/>
          </w:tcPr>
          <w:p>
            <w:pPr>
              <w:pStyle w:val="TableParagraph"/>
              <w:spacing w:line="182" w:lineRule="exact" w:before="7"/>
              <w:ind w:left="28" w:right="896"/>
              <w:rPr>
                <w:sz w:val="16"/>
              </w:rPr>
            </w:pPr>
            <w:r>
              <w:rPr>
                <w:sz w:val="16"/>
              </w:rPr>
              <w:t>Enterolobium schomburgkii</w:t>
            </w:r>
          </w:p>
        </w:tc>
        <w:tc>
          <w:tcPr>
            <w:tcW w:w="1188" w:type="dxa"/>
          </w:tcPr>
          <w:p>
            <w:pPr>
              <w:pStyle w:val="TableParagraph"/>
              <w:spacing w:before="95"/>
              <w:ind w:left="24" w:right="19"/>
              <w:jc w:val="center"/>
              <w:rPr>
                <w:sz w:val="16"/>
              </w:rPr>
            </w:pPr>
            <w:r>
              <w:rPr>
                <w:sz w:val="16"/>
              </w:rPr>
              <w:t>0.82</w:t>
            </w:r>
          </w:p>
        </w:tc>
        <w:tc>
          <w:tcPr>
            <w:tcW w:w="1807" w:type="dxa"/>
          </w:tcPr>
          <w:p>
            <w:pPr>
              <w:pStyle w:val="TableParagraph"/>
              <w:spacing w:before="95"/>
              <w:ind w:left="30"/>
              <w:rPr>
                <w:sz w:val="16"/>
              </w:rPr>
            </w:pPr>
            <w:r>
              <w:rPr>
                <w:sz w:val="16"/>
              </w:rPr>
              <w:t>Ficus iteophylla</w:t>
            </w:r>
          </w:p>
        </w:tc>
        <w:tc>
          <w:tcPr>
            <w:tcW w:w="1188" w:type="dxa"/>
          </w:tcPr>
          <w:p>
            <w:pPr>
              <w:pStyle w:val="TableParagraph"/>
              <w:spacing w:before="95"/>
              <w:ind w:right="409"/>
              <w:jc w:val="right"/>
              <w:rPr>
                <w:sz w:val="16"/>
              </w:rPr>
            </w:pPr>
            <w:r>
              <w:rPr>
                <w:sz w:val="16"/>
              </w:rPr>
              <w:t>0.40”</w:t>
            </w:r>
          </w:p>
        </w:tc>
      </w:tr>
      <w:tr>
        <w:trPr>
          <w:trHeight w:val="244" w:hRule="atLeast"/>
        </w:trPr>
        <w:tc>
          <w:tcPr>
            <w:tcW w:w="1795" w:type="dxa"/>
          </w:tcPr>
          <w:p>
            <w:pPr>
              <w:pStyle w:val="TableParagraph"/>
              <w:spacing w:before="23"/>
              <w:ind w:left="30"/>
              <w:rPr>
                <w:sz w:val="16"/>
              </w:rPr>
            </w:pPr>
            <w:r>
              <w:rPr>
                <w:sz w:val="16"/>
              </w:rPr>
              <w:t>Degeneria vitiensis</w:t>
            </w:r>
          </w:p>
        </w:tc>
        <w:tc>
          <w:tcPr>
            <w:tcW w:w="1205" w:type="dxa"/>
          </w:tcPr>
          <w:p>
            <w:pPr>
              <w:pStyle w:val="TableParagraph"/>
              <w:spacing w:before="23"/>
              <w:ind w:left="36" w:right="26"/>
              <w:jc w:val="center"/>
              <w:rPr>
                <w:sz w:val="16"/>
              </w:rPr>
            </w:pPr>
            <w:r>
              <w:rPr>
                <w:sz w:val="16"/>
              </w:rPr>
              <w:t>0.35</w:t>
            </w:r>
          </w:p>
        </w:tc>
        <w:tc>
          <w:tcPr>
            <w:tcW w:w="1834" w:type="dxa"/>
          </w:tcPr>
          <w:p>
            <w:pPr>
              <w:pStyle w:val="TableParagraph"/>
              <w:spacing w:before="23"/>
              <w:ind w:left="28"/>
              <w:rPr>
                <w:sz w:val="16"/>
              </w:rPr>
            </w:pPr>
            <w:r>
              <w:rPr>
                <w:sz w:val="16"/>
              </w:rPr>
              <w:t>Eperua spp.</w:t>
            </w:r>
          </w:p>
        </w:tc>
        <w:tc>
          <w:tcPr>
            <w:tcW w:w="1188" w:type="dxa"/>
          </w:tcPr>
          <w:p>
            <w:pPr>
              <w:pStyle w:val="TableParagraph"/>
              <w:spacing w:before="23"/>
              <w:ind w:left="24" w:right="18"/>
              <w:jc w:val="center"/>
              <w:rPr>
                <w:sz w:val="16"/>
              </w:rPr>
            </w:pPr>
            <w:r>
              <w:rPr>
                <w:sz w:val="16"/>
              </w:rPr>
              <w:t>0.78</w:t>
            </w:r>
          </w:p>
        </w:tc>
        <w:tc>
          <w:tcPr>
            <w:tcW w:w="1807" w:type="dxa"/>
          </w:tcPr>
          <w:p>
            <w:pPr>
              <w:pStyle w:val="TableParagraph"/>
              <w:spacing w:before="23"/>
              <w:ind w:left="30"/>
              <w:rPr>
                <w:sz w:val="16"/>
              </w:rPr>
            </w:pPr>
            <w:r>
              <w:rPr>
                <w:sz w:val="16"/>
              </w:rPr>
              <w:t>Fumtumia latifolia</w:t>
            </w:r>
          </w:p>
        </w:tc>
        <w:tc>
          <w:tcPr>
            <w:tcW w:w="1188" w:type="dxa"/>
          </w:tcPr>
          <w:p>
            <w:pPr>
              <w:pStyle w:val="TableParagraph"/>
              <w:spacing w:before="23"/>
              <w:ind w:right="401"/>
              <w:jc w:val="right"/>
              <w:rPr>
                <w:sz w:val="16"/>
              </w:rPr>
            </w:pPr>
            <w:r>
              <w:rPr>
                <w:sz w:val="16"/>
              </w:rPr>
              <w:t>0.45*</w:t>
            </w:r>
          </w:p>
        </w:tc>
      </w:tr>
      <w:tr>
        <w:trPr>
          <w:trHeight w:val="246" w:hRule="atLeast"/>
        </w:trPr>
        <w:tc>
          <w:tcPr>
            <w:tcW w:w="1795" w:type="dxa"/>
          </w:tcPr>
          <w:p>
            <w:pPr>
              <w:pStyle w:val="TableParagraph"/>
              <w:spacing w:before="23"/>
              <w:ind w:left="30"/>
              <w:rPr>
                <w:sz w:val="16"/>
              </w:rPr>
            </w:pPr>
            <w:r>
              <w:rPr>
                <w:sz w:val="16"/>
              </w:rPr>
              <w:t>Dehaasia triandra</w:t>
            </w:r>
          </w:p>
        </w:tc>
        <w:tc>
          <w:tcPr>
            <w:tcW w:w="1205" w:type="dxa"/>
          </w:tcPr>
          <w:p>
            <w:pPr>
              <w:pStyle w:val="TableParagraph"/>
              <w:spacing w:before="23"/>
              <w:ind w:left="35" w:right="26"/>
              <w:jc w:val="center"/>
              <w:rPr>
                <w:sz w:val="16"/>
              </w:rPr>
            </w:pPr>
            <w:r>
              <w:rPr>
                <w:sz w:val="16"/>
              </w:rPr>
              <w:t>0.64</w:t>
            </w:r>
          </w:p>
        </w:tc>
        <w:tc>
          <w:tcPr>
            <w:tcW w:w="1834" w:type="dxa"/>
          </w:tcPr>
          <w:p>
            <w:pPr>
              <w:pStyle w:val="TableParagraph"/>
              <w:spacing w:before="23"/>
              <w:ind w:left="28"/>
              <w:rPr>
                <w:sz w:val="16"/>
              </w:rPr>
            </w:pPr>
            <w:r>
              <w:rPr>
                <w:sz w:val="16"/>
              </w:rPr>
              <w:t>Eriotheca sp.</w:t>
            </w:r>
          </w:p>
        </w:tc>
        <w:tc>
          <w:tcPr>
            <w:tcW w:w="1188" w:type="dxa"/>
          </w:tcPr>
          <w:p>
            <w:pPr>
              <w:pStyle w:val="TableParagraph"/>
              <w:spacing w:before="23"/>
              <w:ind w:left="24" w:right="20"/>
              <w:jc w:val="center"/>
              <w:rPr>
                <w:sz w:val="16"/>
              </w:rPr>
            </w:pPr>
            <w:r>
              <w:rPr>
                <w:sz w:val="16"/>
              </w:rPr>
              <w:t>0.4</w:t>
            </w:r>
          </w:p>
        </w:tc>
        <w:tc>
          <w:tcPr>
            <w:tcW w:w="1807" w:type="dxa"/>
          </w:tcPr>
          <w:p>
            <w:pPr>
              <w:pStyle w:val="TableParagraph"/>
              <w:spacing w:before="23"/>
              <w:ind w:left="29"/>
              <w:rPr>
                <w:sz w:val="16"/>
              </w:rPr>
            </w:pPr>
            <w:r>
              <w:rPr>
                <w:sz w:val="16"/>
              </w:rPr>
              <w:t>Gambeya spp.</w:t>
            </w:r>
          </w:p>
        </w:tc>
        <w:tc>
          <w:tcPr>
            <w:tcW w:w="1188" w:type="dxa"/>
          </w:tcPr>
          <w:p>
            <w:pPr>
              <w:pStyle w:val="TableParagraph"/>
              <w:spacing w:before="23"/>
              <w:ind w:right="402"/>
              <w:jc w:val="right"/>
              <w:rPr>
                <w:sz w:val="16"/>
              </w:rPr>
            </w:pPr>
            <w:r>
              <w:rPr>
                <w:sz w:val="16"/>
              </w:rPr>
              <w:t>0.56*</w:t>
            </w:r>
          </w:p>
        </w:tc>
      </w:tr>
      <w:tr>
        <w:trPr>
          <w:trHeight w:val="244" w:hRule="atLeast"/>
        </w:trPr>
        <w:tc>
          <w:tcPr>
            <w:tcW w:w="1795" w:type="dxa"/>
          </w:tcPr>
          <w:p>
            <w:pPr>
              <w:pStyle w:val="TableParagraph"/>
              <w:spacing w:before="23"/>
              <w:ind w:left="30"/>
              <w:rPr>
                <w:sz w:val="16"/>
              </w:rPr>
            </w:pPr>
            <w:r>
              <w:rPr>
                <w:sz w:val="16"/>
              </w:rPr>
              <w:t>Dialium spp.</w:t>
            </w:r>
          </w:p>
        </w:tc>
        <w:tc>
          <w:tcPr>
            <w:tcW w:w="1205" w:type="dxa"/>
          </w:tcPr>
          <w:p>
            <w:pPr>
              <w:pStyle w:val="TableParagraph"/>
              <w:spacing w:before="23"/>
              <w:ind w:left="34" w:right="26"/>
              <w:jc w:val="center"/>
              <w:rPr>
                <w:sz w:val="16"/>
              </w:rPr>
            </w:pPr>
            <w:r>
              <w:rPr>
                <w:sz w:val="16"/>
              </w:rPr>
              <w:t>0.8</w:t>
            </w:r>
          </w:p>
        </w:tc>
        <w:tc>
          <w:tcPr>
            <w:tcW w:w="1834" w:type="dxa"/>
          </w:tcPr>
          <w:p>
            <w:pPr>
              <w:pStyle w:val="TableParagraph"/>
              <w:spacing w:before="23"/>
              <w:ind w:left="28"/>
              <w:rPr>
                <w:sz w:val="16"/>
              </w:rPr>
            </w:pPr>
            <w:r>
              <w:rPr>
                <w:sz w:val="16"/>
              </w:rPr>
              <w:t>Erisma uncinatum</w:t>
            </w:r>
          </w:p>
        </w:tc>
        <w:tc>
          <w:tcPr>
            <w:tcW w:w="1188" w:type="dxa"/>
          </w:tcPr>
          <w:p>
            <w:pPr>
              <w:pStyle w:val="TableParagraph"/>
              <w:spacing w:before="23"/>
              <w:ind w:left="22" w:right="20"/>
              <w:jc w:val="center"/>
              <w:rPr>
                <w:sz w:val="16"/>
              </w:rPr>
            </w:pPr>
            <w:r>
              <w:rPr>
                <w:sz w:val="16"/>
              </w:rPr>
              <w:t>0.42, 0.48+</w:t>
            </w:r>
          </w:p>
        </w:tc>
        <w:tc>
          <w:tcPr>
            <w:tcW w:w="1807" w:type="dxa"/>
          </w:tcPr>
          <w:p>
            <w:pPr>
              <w:pStyle w:val="TableParagraph"/>
              <w:spacing w:before="23"/>
              <w:ind w:left="30"/>
              <w:rPr>
                <w:sz w:val="16"/>
              </w:rPr>
            </w:pPr>
            <w:r>
              <w:rPr>
                <w:sz w:val="16"/>
              </w:rPr>
              <w:t>Garcinia punctata</w:t>
            </w:r>
          </w:p>
        </w:tc>
        <w:tc>
          <w:tcPr>
            <w:tcW w:w="1188" w:type="dxa"/>
          </w:tcPr>
          <w:p>
            <w:pPr>
              <w:pStyle w:val="TableParagraph"/>
              <w:spacing w:before="23"/>
              <w:ind w:right="409"/>
              <w:jc w:val="right"/>
              <w:rPr>
                <w:sz w:val="16"/>
              </w:rPr>
            </w:pPr>
            <w:r>
              <w:rPr>
                <w:sz w:val="16"/>
              </w:rPr>
              <w:t>0.78”</w:t>
            </w:r>
          </w:p>
        </w:tc>
      </w:tr>
      <w:tr>
        <w:trPr>
          <w:trHeight w:val="386" w:hRule="atLeast"/>
        </w:trPr>
        <w:tc>
          <w:tcPr>
            <w:tcW w:w="1795" w:type="dxa"/>
          </w:tcPr>
          <w:p>
            <w:pPr>
              <w:pStyle w:val="TableParagraph"/>
              <w:spacing w:before="95"/>
              <w:ind w:left="30"/>
              <w:rPr>
                <w:sz w:val="16"/>
              </w:rPr>
            </w:pPr>
            <w:r>
              <w:rPr>
                <w:sz w:val="16"/>
              </w:rPr>
              <w:t>Dillenia spp.</w:t>
            </w:r>
          </w:p>
        </w:tc>
        <w:tc>
          <w:tcPr>
            <w:tcW w:w="1205" w:type="dxa"/>
          </w:tcPr>
          <w:p>
            <w:pPr>
              <w:pStyle w:val="TableParagraph"/>
              <w:spacing w:before="95"/>
              <w:ind w:left="35" w:right="26"/>
              <w:jc w:val="center"/>
              <w:rPr>
                <w:sz w:val="16"/>
              </w:rPr>
            </w:pPr>
            <w:r>
              <w:rPr>
                <w:sz w:val="16"/>
              </w:rPr>
              <w:t>0.59</w:t>
            </w:r>
          </w:p>
        </w:tc>
        <w:tc>
          <w:tcPr>
            <w:tcW w:w="1834" w:type="dxa"/>
          </w:tcPr>
          <w:p>
            <w:pPr>
              <w:pStyle w:val="TableParagraph"/>
              <w:spacing w:before="95"/>
              <w:ind w:left="28"/>
              <w:rPr>
                <w:sz w:val="16"/>
              </w:rPr>
            </w:pPr>
            <w:r>
              <w:rPr>
                <w:sz w:val="16"/>
              </w:rPr>
              <w:t>Erythrina sp.</w:t>
            </w:r>
          </w:p>
        </w:tc>
        <w:tc>
          <w:tcPr>
            <w:tcW w:w="1188" w:type="dxa"/>
          </w:tcPr>
          <w:p>
            <w:pPr>
              <w:pStyle w:val="TableParagraph"/>
              <w:spacing w:before="95"/>
              <w:ind w:left="24" w:right="18"/>
              <w:jc w:val="center"/>
              <w:rPr>
                <w:sz w:val="16"/>
              </w:rPr>
            </w:pPr>
            <w:r>
              <w:rPr>
                <w:sz w:val="16"/>
              </w:rPr>
              <w:t>0.23</w:t>
            </w:r>
          </w:p>
        </w:tc>
        <w:tc>
          <w:tcPr>
            <w:tcW w:w="1807" w:type="dxa"/>
          </w:tcPr>
          <w:p>
            <w:pPr>
              <w:pStyle w:val="TableParagraph"/>
              <w:spacing w:line="180" w:lineRule="atLeast" w:before="4"/>
              <w:ind w:left="30" w:right="733"/>
              <w:rPr>
                <w:sz w:val="16"/>
              </w:rPr>
            </w:pPr>
            <w:r>
              <w:rPr>
                <w:sz w:val="16"/>
              </w:rPr>
              <w:t>Gilletiodendron mildbraedii</w:t>
            </w:r>
          </w:p>
        </w:tc>
        <w:tc>
          <w:tcPr>
            <w:tcW w:w="1188" w:type="dxa"/>
          </w:tcPr>
          <w:p>
            <w:pPr>
              <w:pStyle w:val="TableParagraph"/>
              <w:spacing w:before="95"/>
              <w:ind w:right="409"/>
              <w:jc w:val="right"/>
              <w:rPr>
                <w:sz w:val="16"/>
              </w:rPr>
            </w:pPr>
            <w:r>
              <w:rPr>
                <w:sz w:val="16"/>
              </w:rPr>
              <w:t>0.87”</w:t>
            </w:r>
          </w:p>
        </w:tc>
      </w:tr>
      <w:tr>
        <w:trPr>
          <w:trHeight w:val="388" w:hRule="atLeast"/>
        </w:trPr>
        <w:tc>
          <w:tcPr>
            <w:tcW w:w="1795" w:type="dxa"/>
          </w:tcPr>
          <w:p>
            <w:pPr>
              <w:pStyle w:val="TableParagraph"/>
              <w:spacing w:before="95"/>
              <w:ind w:left="30"/>
              <w:rPr>
                <w:sz w:val="16"/>
              </w:rPr>
            </w:pPr>
            <w:r>
              <w:rPr>
                <w:sz w:val="16"/>
              </w:rPr>
              <w:t>Diospyros spp.</w:t>
            </w:r>
          </w:p>
        </w:tc>
        <w:tc>
          <w:tcPr>
            <w:tcW w:w="1205" w:type="dxa"/>
          </w:tcPr>
          <w:p>
            <w:pPr>
              <w:pStyle w:val="TableParagraph"/>
              <w:spacing w:before="95"/>
              <w:ind w:left="33" w:right="26"/>
              <w:jc w:val="center"/>
              <w:rPr>
                <w:sz w:val="16"/>
              </w:rPr>
            </w:pPr>
            <w:r>
              <w:rPr>
                <w:sz w:val="16"/>
              </w:rPr>
              <w:t>0.7</w:t>
            </w:r>
          </w:p>
        </w:tc>
        <w:tc>
          <w:tcPr>
            <w:tcW w:w="1834" w:type="dxa"/>
          </w:tcPr>
          <w:p>
            <w:pPr>
              <w:pStyle w:val="TableParagraph"/>
              <w:spacing w:before="95"/>
              <w:ind w:left="27"/>
              <w:rPr>
                <w:sz w:val="16"/>
              </w:rPr>
            </w:pPr>
            <w:r>
              <w:rPr>
                <w:sz w:val="16"/>
              </w:rPr>
              <w:t>Eschweilera spp.</w:t>
            </w:r>
          </w:p>
        </w:tc>
        <w:tc>
          <w:tcPr>
            <w:tcW w:w="1188" w:type="dxa"/>
          </w:tcPr>
          <w:p>
            <w:pPr>
              <w:pStyle w:val="TableParagraph"/>
              <w:spacing w:before="95"/>
              <w:ind w:left="24" w:right="20"/>
              <w:jc w:val="center"/>
              <w:rPr>
                <w:sz w:val="16"/>
              </w:rPr>
            </w:pPr>
            <w:r>
              <w:rPr>
                <w:sz w:val="16"/>
              </w:rPr>
              <w:t>0.71,0.79,0.95+</w:t>
            </w:r>
          </w:p>
        </w:tc>
        <w:tc>
          <w:tcPr>
            <w:tcW w:w="1807" w:type="dxa"/>
          </w:tcPr>
          <w:p>
            <w:pPr>
              <w:pStyle w:val="TableParagraph"/>
              <w:spacing w:line="180" w:lineRule="atLeast" w:before="4"/>
              <w:ind w:left="30" w:right="422"/>
              <w:rPr>
                <w:sz w:val="16"/>
              </w:rPr>
            </w:pPr>
            <w:r>
              <w:rPr>
                <w:sz w:val="16"/>
              </w:rPr>
              <w:t>Gossweilerodendron balsamiferum</w:t>
            </w:r>
          </w:p>
        </w:tc>
        <w:tc>
          <w:tcPr>
            <w:tcW w:w="1188" w:type="dxa"/>
          </w:tcPr>
          <w:p>
            <w:pPr>
              <w:pStyle w:val="TableParagraph"/>
              <w:spacing w:before="95"/>
              <w:ind w:right="485"/>
              <w:jc w:val="right"/>
              <w:rPr>
                <w:sz w:val="16"/>
              </w:rPr>
            </w:pPr>
            <w:r>
              <w:rPr>
                <w:sz w:val="16"/>
              </w:rPr>
              <w:t>0.4</w:t>
            </w:r>
          </w:p>
        </w:tc>
      </w:tr>
      <w:tr>
        <w:trPr>
          <w:trHeight w:val="244" w:hRule="atLeast"/>
        </w:trPr>
        <w:tc>
          <w:tcPr>
            <w:tcW w:w="1795" w:type="dxa"/>
          </w:tcPr>
          <w:p>
            <w:pPr>
              <w:pStyle w:val="TableParagraph"/>
              <w:spacing w:before="23"/>
              <w:ind w:left="30"/>
              <w:rPr>
                <w:sz w:val="16"/>
              </w:rPr>
            </w:pPr>
            <w:r>
              <w:rPr>
                <w:sz w:val="16"/>
              </w:rPr>
              <w:t>Diplodiscus paniculatus</w:t>
            </w:r>
          </w:p>
        </w:tc>
        <w:tc>
          <w:tcPr>
            <w:tcW w:w="1205" w:type="dxa"/>
          </w:tcPr>
          <w:p>
            <w:pPr>
              <w:pStyle w:val="TableParagraph"/>
              <w:spacing w:before="23"/>
              <w:ind w:left="35" w:right="26"/>
              <w:jc w:val="center"/>
              <w:rPr>
                <w:sz w:val="16"/>
              </w:rPr>
            </w:pPr>
            <w:r>
              <w:rPr>
                <w:sz w:val="16"/>
              </w:rPr>
              <w:t>0.63</w:t>
            </w:r>
          </w:p>
        </w:tc>
        <w:tc>
          <w:tcPr>
            <w:tcW w:w="1834" w:type="dxa"/>
          </w:tcPr>
          <w:p>
            <w:pPr>
              <w:pStyle w:val="TableParagraph"/>
              <w:spacing w:before="23"/>
              <w:ind w:left="28"/>
              <w:rPr>
                <w:sz w:val="16"/>
              </w:rPr>
            </w:pPr>
            <w:r>
              <w:rPr>
                <w:sz w:val="16"/>
              </w:rPr>
              <w:t>Eucalyptus robusta</w:t>
            </w:r>
          </w:p>
        </w:tc>
        <w:tc>
          <w:tcPr>
            <w:tcW w:w="1188" w:type="dxa"/>
          </w:tcPr>
          <w:p>
            <w:pPr>
              <w:pStyle w:val="TableParagraph"/>
              <w:spacing w:before="23"/>
              <w:ind w:left="24" w:right="19"/>
              <w:jc w:val="center"/>
              <w:rPr>
                <w:sz w:val="16"/>
              </w:rPr>
            </w:pPr>
            <w:r>
              <w:rPr>
                <w:sz w:val="16"/>
              </w:rPr>
              <w:t>0.51</w:t>
            </w:r>
          </w:p>
        </w:tc>
        <w:tc>
          <w:tcPr>
            <w:tcW w:w="1807" w:type="dxa"/>
          </w:tcPr>
          <w:p>
            <w:pPr>
              <w:pStyle w:val="TableParagraph"/>
              <w:spacing w:before="23"/>
              <w:ind w:left="29"/>
              <w:rPr>
                <w:sz w:val="16"/>
              </w:rPr>
            </w:pPr>
            <w:r>
              <w:rPr>
                <w:sz w:val="16"/>
              </w:rPr>
              <w:t>Guarea thompsonii</w:t>
            </w:r>
          </w:p>
        </w:tc>
        <w:tc>
          <w:tcPr>
            <w:tcW w:w="1188" w:type="dxa"/>
          </w:tcPr>
          <w:p>
            <w:pPr>
              <w:pStyle w:val="TableParagraph"/>
              <w:spacing w:before="23"/>
              <w:ind w:right="409"/>
              <w:jc w:val="right"/>
              <w:rPr>
                <w:sz w:val="16"/>
              </w:rPr>
            </w:pPr>
            <w:r>
              <w:rPr>
                <w:sz w:val="16"/>
              </w:rPr>
              <w:t>0.55”</w:t>
            </w:r>
          </w:p>
        </w:tc>
      </w:tr>
      <w:tr>
        <w:trPr>
          <w:trHeight w:val="244" w:hRule="atLeast"/>
        </w:trPr>
        <w:tc>
          <w:tcPr>
            <w:tcW w:w="1795" w:type="dxa"/>
          </w:tcPr>
          <w:p>
            <w:pPr>
              <w:pStyle w:val="TableParagraph"/>
              <w:spacing w:before="23"/>
              <w:ind w:left="30"/>
              <w:rPr>
                <w:sz w:val="16"/>
              </w:rPr>
            </w:pPr>
            <w:r>
              <w:rPr>
                <w:sz w:val="16"/>
              </w:rPr>
              <w:t>Dipterocarpus caudatus</w:t>
            </w:r>
          </w:p>
        </w:tc>
        <w:tc>
          <w:tcPr>
            <w:tcW w:w="1205" w:type="dxa"/>
          </w:tcPr>
          <w:p>
            <w:pPr>
              <w:pStyle w:val="TableParagraph"/>
              <w:spacing w:before="23"/>
              <w:ind w:left="36" w:right="26"/>
              <w:jc w:val="center"/>
              <w:rPr>
                <w:sz w:val="16"/>
              </w:rPr>
            </w:pPr>
            <w:r>
              <w:rPr>
                <w:sz w:val="16"/>
              </w:rPr>
              <w:t>0.61</w:t>
            </w:r>
          </w:p>
        </w:tc>
        <w:tc>
          <w:tcPr>
            <w:tcW w:w="1834" w:type="dxa"/>
          </w:tcPr>
          <w:p>
            <w:pPr>
              <w:pStyle w:val="TableParagraph"/>
              <w:spacing w:before="23"/>
              <w:ind w:left="28"/>
              <w:rPr>
                <w:sz w:val="16"/>
              </w:rPr>
            </w:pPr>
            <w:r>
              <w:rPr>
                <w:sz w:val="16"/>
              </w:rPr>
              <w:t>Eugenia stahlii</w:t>
            </w:r>
          </w:p>
        </w:tc>
        <w:tc>
          <w:tcPr>
            <w:tcW w:w="1188" w:type="dxa"/>
          </w:tcPr>
          <w:p>
            <w:pPr>
              <w:pStyle w:val="TableParagraph"/>
              <w:spacing w:before="23"/>
              <w:ind w:left="24" w:right="17"/>
              <w:jc w:val="center"/>
              <w:rPr>
                <w:sz w:val="16"/>
              </w:rPr>
            </w:pPr>
            <w:r>
              <w:rPr>
                <w:sz w:val="16"/>
              </w:rPr>
              <w:t>0.73</w:t>
            </w:r>
          </w:p>
        </w:tc>
        <w:tc>
          <w:tcPr>
            <w:tcW w:w="1807" w:type="dxa"/>
          </w:tcPr>
          <w:p>
            <w:pPr>
              <w:pStyle w:val="TableParagraph"/>
              <w:spacing w:before="23"/>
              <w:ind w:left="30"/>
              <w:rPr>
                <w:sz w:val="16"/>
              </w:rPr>
            </w:pPr>
            <w:r>
              <w:rPr>
                <w:sz w:val="16"/>
              </w:rPr>
              <w:t>Guibourtia spp.</w:t>
            </w:r>
          </w:p>
        </w:tc>
        <w:tc>
          <w:tcPr>
            <w:tcW w:w="1188" w:type="dxa"/>
          </w:tcPr>
          <w:p>
            <w:pPr>
              <w:pStyle w:val="TableParagraph"/>
              <w:spacing w:before="23"/>
              <w:ind w:right="442"/>
              <w:jc w:val="right"/>
              <w:rPr>
                <w:sz w:val="16"/>
              </w:rPr>
            </w:pPr>
            <w:r>
              <w:rPr>
                <w:sz w:val="16"/>
              </w:rPr>
              <w:t>0.72</w:t>
            </w:r>
          </w:p>
        </w:tc>
      </w:tr>
      <w:tr>
        <w:trPr>
          <w:trHeight w:val="246" w:hRule="atLeast"/>
        </w:trPr>
        <w:tc>
          <w:tcPr>
            <w:tcW w:w="1795" w:type="dxa"/>
          </w:tcPr>
          <w:p>
            <w:pPr>
              <w:pStyle w:val="TableParagraph"/>
              <w:spacing w:before="23"/>
              <w:ind w:left="30"/>
              <w:rPr>
                <w:sz w:val="16"/>
              </w:rPr>
            </w:pPr>
            <w:r>
              <w:rPr>
                <w:sz w:val="16"/>
              </w:rPr>
              <w:t>Dipterocarpus eurynchus</w:t>
            </w:r>
          </w:p>
        </w:tc>
        <w:tc>
          <w:tcPr>
            <w:tcW w:w="1205" w:type="dxa"/>
          </w:tcPr>
          <w:p>
            <w:pPr>
              <w:pStyle w:val="TableParagraph"/>
              <w:spacing w:before="23"/>
              <w:ind w:left="35" w:right="26"/>
              <w:jc w:val="center"/>
              <w:rPr>
                <w:sz w:val="16"/>
              </w:rPr>
            </w:pPr>
            <w:r>
              <w:rPr>
                <w:sz w:val="16"/>
              </w:rPr>
              <w:t>0.56</w:t>
            </w:r>
          </w:p>
        </w:tc>
        <w:tc>
          <w:tcPr>
            <w:tcW w:w="1834" w:type="dxa"/>
          </w:tcPr>
          <w:p>
            <w:pPr>
              <w:pStyle w:val="TableParagraph"/>
              <w:spacing w:before="23"/>
              <w:ind w:left="28"/>
              <w:rPr>
                <w:sz w:val="16"/>
              </w:rPr>
            </w:pPr>
            <w:r>
              <w:rPr>
                <w:sz w:val="16"/>
              </w:rPr>
              <w:t>Euxylophora paraensis</w:t>
            </w:r>
          </w:p>
        </w:tc>
        <w:tc>
          <w:tcPr>
            <w:tcW w:w="1188" w:type="dxa"/>
          </w:tcPr>
          <w:p>
            <w:pPr>
              <w:pStyle w:val="TableParagraph"/>
              <w:spacing w:before="23"/>
              <w:ind w:left="24" w:right="17"/>
              <w:jc w:val="center"/>
              <w:rPr>
                <w:sz w:val="16"/>
              </w:rPr>
            </w:pPr>
            <w:r>
              <w:rPr>
                <w:sz w:val="16"/>
              </w:rPr>
              <w:t>0.68,0.70+</w:t>
            </w:r>
          </w:p>
        </w:tc>
        <w:tc>
          <w:tcPr>
            <w:tcW w:w="1807" w:type="dxa"/>
          </w:tcPr>
          <w:p>
            <w:pPr>
              <w:pStyle w:val="TableParagraph"/>
              <w:spacing w:before="23"/>
              <w:ind w:left="29"/>
              <w:rPr>
                <w:sz w:val="16"/>
              </w:rPr>
            </w:pPr>
            <w:r>
              <w:rPr>
                <w:sz w:val="16"/>
              </w:rPr>
              <w:t>Hannoa klaineana</w:t>
            </w:r>
          </w:p>
        </w:tc>
        <w:tc>
          <w:tcPr>
            <w:tcW w:w="1188" w:type="dxa"/>
          </w:tcPr>
          <w:p>
            <w:pPr>
              <w:pStyle w:val="TableParagraph"/>
              <w:spacing w:before="23"/>
              <w:ind w:right="409"/>
              <w:jc w:val="right"/>
              <w:rPr>
                <w:sz w:val="16"/>
              </w:rPr>
            </w:pPr>
            <w:r>
              <w:rPr>
                <w:sz w:val="16"/>
              </w:rPr>
              <w:t>0.28”</w:t>
            </w:r>
          </w:p>
        </w:tc>
      </w:tr>
      <w:tr>
        <w:trPr>
          <w:trHeight w:val="386" w:hRule="atLeast"/>
        </w:trPr>
        <w:tc>
          <w:tcPr>
            <w:tcW w:w="1795" w:type="dxa"/>
          </w:tcPr>
          <w:p>
            <w:pPr>
              <w:pStyle w:val="TableParagraph"/>
              <w:spacing w:before="95"/>
              <w:ind w:left="30"/>
              <w:rPr>
                <w:sz w:val="16"/>
              </w:rPr>
            </w:pPr>
            <w:r>
              <w:rPr>
                <w:sz w:val="16"/>
              </w:rPr>
              <w:t>Dipterocarpus gracilis</w:t>
            </w:r>
          </w:p>
        </w:tc>
        <w:tc>
          <w:tcPr>
            <w:tcW w:w="1205" w:type="dxa"/>
          </w:tcPr>
          <w:p>
            <w:pPr>
              <w:pStyle w:val="TableParagraph"/>
              <w:spacing w:before="95"/>
              <w:ind w:left="36" w:right="26"/>
              <w:jc w:val="center"/>
              <w:rPr>
                <w:sz w:val="16"/>
              </w:rPr>
            </w:pPr>
            <w:r>
              <w:rPr>
                <w:sz w:val="16"/>
              </w:rPr>
              <w:t>0.61</w:t>
            </w:r>
          </w:p>
        </w:tc>
        <w:tc>
          <w:tcPr>
            <w:tcW w:w="1834" w:type="dxa"/>
          </w:tcPr>
          <w:p>
            <w:pPr>
              <w:pStyle w:val="TableParagraph"/>
              <w:spacing w:before="95"/>
              <w:ind w:left="28"/>
              <w:rPr>
                <w:sz w:val="16"/>
              </w:rPr>
            </w:pPr>
            <w:r>
              <w:rPr>
                <w:sz w:val="16"/>
              </w:rPr>
              <w:t>Fagara spp.</w:t>
            </w:r>
          </w:p>
        </w:tc>
        <w:tc>
          <w:tcPr>
            <w:tcW w:w="1188" w:type="dxa"/>
          </w:tcPr>
          <w:p>
            <w:pPr>
              <w:pStyle w:val="TableParagraph"/>
              <w:spacing w:before="95"/>
              <w:ind w:left="24" w:right="19"/>
              <w:jc w:val="center"/>
              <w:rPr>
                <w:sz w:val="16"/>
              </w:rPr>
            </w:pPr>
            <w:r>
              <w:rPr>
                <w:sz w:val="16"/>
              </w:rPr>
              <w:t>0.69</w:t>
            </w:r>
          </w:p>
        </w:tc>
        <w:tc>
          <w:tcPr>
            <w:tcW w:w="1807" w:type="dxa"/>
          </w:tcPr>
          <w:p>
            <w:pPr>
              <w:pStyle w:val="TableParagraph"/>
              <w:spacing w:line="182" w:lineRule="exact" w:before="7"/>
              <w:ind w:left="30" w:right="627"/>
              <w:rPr>
                <w:sz w:val="16"/>
              </w:rPr>
            </w:pPr>
            <w:r>
              <w:rPr>
                <w:sz w:val="16"/>
              </w:rPr>
              <w:t>Harungana madagascariensis</w:t>
            </w:r>
          </w:p>
        </w:tc>
        <w:tc>
          <w:tcPr>
            <w:tcW w:w="1188" w:type="dxa"/>
          </w:tcPr>
          <w:p>
            <w:pPr>
              <w:pStyle w:val="TableParagraph"/>
              <w:spacing w:before="95"/>
              <w:ind w:right="409"/>
              <w:jc w:val="right"/>
              <w:rPr>
                <w:sz w:val="16"/>
              </w:rPr>
            </w:pPr>
            <w:r>
              <w:rPr>
                <w:sz w:val="16"/>
              </w:rPr>
              <w:t>0.45”</w:t>
            </w:r>
          </w:p>
        </w:tc>
      </w:tr>
      <w:tr>
        <w:trPr>
          <w:trHeight w:val="244" w:hRule="atLeast"/>
        </w:trPr>
        <w:tc>
          <w:tcPr>
            <w:tcW w:w="1795" w:type="dxa"/>
          </w:tcPr>
          <w:p>
            <w:pPr>
              <w:pStyle w:val="TableParagraph"/>
              <w:spacing w:before="23"/>
              <w:ind w:left="30"/>
              <w:rPr>
                <w:sz w:val="16"/>
              </w:rPr>
            </w:pPr>
            <w:r>
              <w:rPr>
                <w:sz w:val="16"/>
              </w:rPr>
              <w:t>Dipterocarpus grandiflorus</w:t>
            </w:r>
          </w:p>
        </w:tc>
        <w:tc>
          <w:tcPr>
            <w:tcW w:w="1205" w:type="dxa"/>
          </w:tcPr>
          <w:p>
            <w:pPr>
              <w:pStyle w:val="TableParagraph"/>
              <w:spacing w:before="23"/>
              <w:ind w:left="36" w:right="26"/>
              <w:jc w:val="center"/>
              <w:rPr>
                <w:sz w:val="16"/>
              </w:rPr>
            </w:pPr>
            <w:r>
              <w:rPr>
                <w:sz w:val="16"/>
              </w:rPr>
              <w:t>0.62</w:t>
            </w:r>
          </w:p>
        </w:tc>
        <w:tc>
          <w:tcPr>
            <w:tcW w:w="1834" w:type="dxa"/>
          </w:tcPr>
          <w:p>
            <w:pPr>
              <w:pStyle w:val="TableParagraph"/>
              <w:spacing w:before="23"/>
              <w:ind w:left="28"/>
              <w:rPr>
                <w:sz w:val="16"/>
              </w:rPr>
            </w:pPr>
            <w:r>
              <w:rPr>
                <w:sz w:val="16"/>
              </w:rPr>
              <w:t>Ficus sp.</w:t>
            </w:r>
          </w:p>
        </w:tc>
        <w:tc>
          <w:tcPr>
            <w:tcW w:w="1188" w:type="dxa"/>
          </w:tcPr>
          <w:p>
            <w:pPr>
              <w:pStyle w:val="TableParagraph"/>
              <w:spacing w:before="23"/>
              <w:ind w:left="24" w:right="17"/>
              <w:jc w:val="center"/>
              <w:rPr>
                <w:sz w:val="16"/>
              </w:rPr>
            </w:pPr>
            <w:r>
              <w:rPr>
                <w:sz w:val="16"/>
              </w:rPr>
              <w:t>0.32</w:t>
            </w:r>
          </w:p>
        </w:tc>
        <w:tc>
          <w:tcPr>
            <w:tcW w:w="1807" w:type="dxa"/>
          </w:tcPr>
          <w:p>
            <w:pPr>
              <w:pStyle w:val="TableParagraph"/>
              <w:spacing w:before="23"/>
              <w:ind w:left="31"/>
              <w:rPr>
                <w:sz w:val="16"/>
              </w:rPr>
            </w:pPr>
            <w:r>
              <w:rPr>
                <w:sz w:val="16"/>
              </w:rPr>
              <w:t>Hexalobus crispiflorus</w:t>
            </w:r>
          </w:p>
        </w:tc>
        <w:tc>
          <w:tcPr>
            <w:tcW w:w="1188" w:type="dxa"/>
          </w:tcPr>
          <w:p>
            <w:pPr>
              <w:pStyle w:val="TableParagraph"/>
              <w:spacing w:before="23"/>
              <w:ind w:right="408"/>
              <w:jc w:val="right"/>
              <w:rPr>
                <w:sz w:val="16"/>
              </w:rPr>
            </w:pPr>
            <w:r>
              <w:rPr>
                <w:sz w:val="16"/>
              </w:rPr>
              <w:t>0.48”</w:t>
            </w:r>
          </w:p>
        </w:tc>
      </w:tr>
      <w:tr>
        <w:trPr>
          <w:trHeight w:val="244" w:hRule="atLeast"/>
        </w:trPr>
        <w:tc>
          <w:tcPr>
            <w:tcW w:w="1795" w:type="dxa"/>
          </w:tcPr>
          <w:p>
            <w:pPr>
              <w:pStyle w:val="TableParagraph"/>
              <w:spacing w:before="23"/>
              <w:ind w:left="30"/>
              <w:rPr>
                <w:sz w:val="16"/>
              </w:rPr>
            </w:pPr>
            <w:r>
              <w:rPr>
                <w:sz w:val="16"/>
              </w:rPr>
              <w:t>Dipterocarpus kerrii</w:t>
            </w:r>
          </w:p>
        </w:tc>
        <w:tc>
          <w:tcPr>
            <w:tcW w:w="1205" w:type="dxa"/>
          </w:tcPr>
          <w:p>
            <w:pPr>
              <w:pStyle w:val="TableParagraph"/>
              <w:spacing w:before="23"/>
              <w:ind w:left="35" w:right="26"/>
              <w:jc w:val="center"/>
              <w:rPr>
                <w:sz w:val="16"/>
              </w:rPr>
            </w:pPr>
            <w:r>
              <w:rPr>
                <w:sz w:val="16"/>
              </w:rPr>
              <w:t>0.56</w:t>
            </w:r>
          </w:p>
        </w:tc>
        <w:tc>
          <w:tcPr>
            <w:tcW w:w="1834" w:type="dxa"/>
          </w:tcPr>
          <w:p>
            <w:pPr>
              <w:pStyle w:val="TableParagraph"/>
              <w:spacing w:before="23"/>
              <w:ind w:left="27"/>
              <w:rPr>
                <w:sz w:val="16"/>
              </w:rPr>
            </w:pPr>
            <w:r>
              <w:rPr>
                <w:sz w:val="16"/>
              </w:rPr>
              <w:t>Genipa spp.</w:t>
            </w:r>
          </w:p>
        </w:tc>
        <w:tc>
          <w:tcPr>
            <w:tcW w:w="1188" w:type="dxa"/>
          </w:tcPr>
          <w:p>
            <w:pPr>
              <w:pStyle w:val="TableParagraph"/>
              <w:spacing w:before="23"/>
              <w:ind w:left="23" w:right="20"/>
              <w:jc w:val="center"/>
              <w:rPr>
                <w:sz w:val="16"/>
              </w:rPr>
            </w:pPr>
            <w:r>
              <w:rPr>
                <w:sz w:val="16"/>
              </w:rPr>
              <w:t>0.75</w:t>
            </w:r>
          </w:p>
        </w:tc>
        <w:tc>
          <w:tcPr>
            <w:tcW w:w="1807" w:type="dxa"/>
          </w:tcPr>
          <w:p>
            <w:pPr>
              <w:pStyle w:val="TableParagraph"/>
              <w:spacing w:before="23"/>
              <w:ind w:left="28"/>
              <w:rPr>
                <w:sz w:val="16"/>
              </w:rPr>
            </w:pPr>
            <w:r>
              <w:rPr>
                <w:sz w:val="16"/>
              </w:rPr>
              <w:t>Holoptelea grandis</w:t>
            </w:r>
          </w:p>
        </w:tc>
        <w:tc>
          <w:tcPr>
            <w:tcW w:w="1188" w:type="dxa"/>
          </w:tcPr>
          <w:p>
            <w:pPr>
              <w:pStyle w:val="TableParagraph"/>
              <w:spacing w:before="23"/>
              <w:ind w:right="411"/>
              <w:jc w:val="right"/>
              <w:rPr>
                <w:sz w:val="16"/>
              </w:rPr>
            </w:pPr>
            <w:r>
              <w:rPr>
                <w:sz w:val="16"/>
              </w:rPr>
              <w:t>0.59”</w:t>
            </w:r>
          </w:p>
        </w:tc>
      </w:tr>
      <w:tr>
        <w:trPr>
          <w:trHeight w:val="784" w:hRule="atLeast"/>
        </w:trPr>
        <w:tc>
          <w:tcPr>
            <w:tcW w:w="9017" w:type="dxa"/>
            <w:gridSpan w:val="6"/>
          </w:tcPr>
          <w:p>
            <w:pPr>
              <w:pStyle w:val="TableParagraph"/>
              <w:spacing w:line="178" w:lineRule="exact"/>
              <w:ind w:left="30"/>
              <w:rPr>
                <w:sz w:val="16"/>
              </w:rPr>
            </w:pPr>
            <w:r>
              <w:rPr>
                <w:sz w:val="16"/>
              </w:rPr>
              <w:t>+ The wood densities specified pertain to more than one bibliographic source.</w:t>
            </w:r>
          </w:p>
          <w:p>
            <w:pPr>
              <w:pStyle w:val="TableParagraph"/>
              <w:spacing w:before="1"/>
              <w:ind w:left="30"/>
              <w:rPr>
                <w:sz w:val="16"/>
              </w:rPr>
            </w:pPr>
            <w:r>
              <w:rPr>
                <w:sz w:val="16"/>
              </w:rPr>
              <w:t>* Wood density value is derived from the regression equation in Reyes </w:t>
            </w:r>
            <w:r>
              <w:rPr>
                <w:i/>
                <w:sz w:val="16"/>
              </w:rPr>
              <w:t>et al. </w:t>
            </w:r>
            <w:r>
              <w:rPr>
                <w:sz w:val="16"/>
              </w:rPr>
              <w:t>(1992).</w:t>
            </w:r>
          </w:p>
          <w:p>
            <w:pPr>
              <w:pStyle w:val="TableParagraph"/>
              <w:ind w:left="30" w:right="194"/>
              <w:rPr>
                <w:sz w:val="16"/>
              </w:rPr>
            </w:pPr>
            <w:r>
              <w:rPr>
                <w:sz w:val="16"/>
              </w:rPr>
              <w:t>Source: Reyes, Gisel; Brown, Sandra; Chapman, Jonathan; Lugo, Ariel E. 1992. Wood densities of tropical tree species. Gen. Tech. Rep. SO-88 New Orleans, LA: U.S. Department of Agriculture, Forest Service, Southern Forest Experiment Station. 15pp.</w:t>
            </w:r>
          </w:p>
        </w:tc>
      </w:tr>
    </w:tbl>
    <w:p>
      <w:pPr>
        <w:spacing w:after="0"/>
        <w:rPr>
          <w:sz w:val="16"/>
        </w:rPr>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2"/>
        <w:gridCol w:w="1180"/>
        <w:gridCol w:w="1809"/>
        <w:gridCol w:w="1180"/>
        <w:gridCol w:w="1794"/>
        <w:gridCol w:w="1177"/>
      </w:tblGrid>
      <w:tr>
        <w:trPr>
          <w:trHeight w:val="675" w:hRule="atLeast"/>
        </w:trPr>
        <w:tc>
          <w:tcPr>
            <w:tcW w:w="8942" w:type="dxa"/>
            <w:gridSpan w:val="6"/>
            <w:tcBorders>
              <w:bottom w:val="double" w:sz="1" w:space="0" w:color="000000"/>
            </w:tcBorders>
          </w:tcPr>
          <w:p>
            <w:pPr>
              <w:pStyle w:val="TableParagraph"/>
              <w:spacing w:line="196" w:lineRule="exact" w:before="28"/>
              <w:ind w:left="373" w:right="364"/>
              <w:jc w:val="center"/>
              <w:rPr>
                <w:b/>
                <w:sz w:val="18"/>
              </w:rPr>
            </w:pPr>
            <w:r>
              <w:rPr>
                <w:b/>
                <w:sz w:val="18"/>
              </w:rPr>
              <w:t>T</w:t>
            </w:r>
            <w:r>
              <w:rPr>
                <w:b/>
                <w:sz w:val="14"/>
              </w:rPr>
              <w:t>ABLE </w:t>
            </w:r>
            <w:r>
              <w:rPr>
                <w:b/>
                <w:sz w:val="18"/>
              </w:rPr>
              <w:t>3A.1.9-2 (C</w:t>
            </w:r>
            <w:r>
              <w:rPr>
                <w:b/>
                <w:sz w:val="14"/>
              </w:rPr>
              <w:t>ONTINUED</w:t>
            </w:r>
            <w:r>
              <w:rPr>
                <w:b/>
                <w:sz w:val="18"/>
              </w:rPr>
              <w:t>)</w:t>
            </w:r>
          </w:p>
          <w:p>
            <w:pPr>
              <w:pStyle w:val="TableParagraph"/>
              <w:spacing w:line="217" w:lineRule="exact"/>
              <w:ind w:left="412" w:right="364"/>
              <w:jc w:val="center"/>
              <w:rPr>
                <w:b/>
                <w:sz w:val="14"/>
              </w:rPr>
            </w:pPr>
            <w:r>
              <w:rPr>
                <w:b/>
                <w:sz w:val="18"/>
              </w:rPr>
              <w:t>B</w:t>
            </w:r>
            <w:r>
              <w:rPr>
                <w:b/>
                <w:sz w:val="14"/>
              </w:rPr>
              <w:t>ASIC WOOD DENSITIES </w:t>
            </w:r>
            <w:r>
              <w:rPr>
                <w:b/>
                <w:sz w:val="18"/>
              </w:rPr>
              <w:t>(D) </w:t>
            </w:r>
            <w:r>
              <w:rPr>
                <w:b/>
                <w:sz w:val="14"/>
              </w:rPr>
              <w:t>OF STEMWOOD </w:t>
            </w:r>
            <w:r>
              <w:rPr>
                <w:b/>
                <w:sz w:val="18"/>
              </w:rPr>
              <w:t>(tonnes dry matter/m</w:t>
            </w:r>
            <w:r>
              <w:rPr>
                <w:b/>
                <w:position w:val="8"/>
                <w:sz w:val="12"/>
              </w:rPr>
              <w:t>3 </w:t>
            </w:r>
            <w:r>
              <w:rPr>
                <w:b/>
                <w:sz w:val="18"/>
              </w:rPr>
              <w:t>fresh volume) </w:t>
            </w:r>
            <w:r>
              <w:rPr>
                <w:b/>
                <w:sz w:val="14"/>
              </w:rPr>
              <w:t>FOR TROPICAL TREE SPECIES</w:t>
            </w:r>
          </w:p>
          <w:p>
            <w:pPr>
              <w:pStyle w:val="TableParagraph"/>
              <w:spacing w:line="204" w:lineRule="exact"/>
              <w:ind w:left="376" w:right="364"/>
              <w:jc w:val="center"/>
              <w:rPr>
                <w:sz w:val="18"/>
              </w:rPr>
            </w:pPr>
            <w:r>
              <w:rPr>
                <w:sz w:val="18"/>
              </w:rPr>
              <w:t>(To be used for D in Equations 3.2.3., 3.2.5, 3.2.7, 3.2.8)</w:t>
            </w:r>
          </w:p>
        </w:tc>
      </w:tr>
      <w:tr>
        <w:trPr>
          <w:trHeight w:val="227" w:hRule="atLeast"/>
        </w:trPr>
        <w:tc>
          <w:tcPr>
            <w:tcW w:w="1802" w:type="dxa"/>
            <w:tcBorders>
              <w:top w:val="double" w:sz="1" w:space="0" w:color="000000"/>
            </w:tcBorders>
          </w:tcPr>
          <w:p>
            <w:pPr>
              <w:pStyle w:val="TableParagraph"/>
              <w:spacing w:before="18"/>
              <w:ind w:left="263"/>
              <w:rPr>
                <w:b/>
                <w:sz w:val="16"/>
              </w:rPr>
            </w:pPr>
            <w:r>
              <w:rPr>
                <w:b/>
                <w:sz w:val="16"/>
              </w:rPr>
              <w:t>TROPICAL ASIA</w:t>
            </w:r>
          </w:p>
        </w:tc>
        <w:tc>
          <w:tcPr>
            <w:tcW w:w="1180" w:type="dxa"/>
            <w:tcBorders>
              <w:top w:val="double" w:sz="1" w:space="0" w:color="000000"/>
            </w:tcBorders>
          </w:tcPr>
          <w:p>
            <w:pPr>
              <w:pStyle w:val="TableParagraph"/>
              <w:spacing w:before="18"/>
              <w:ind w:left="5"/>
              <w:jc w:val="center"/>
              <w:rPr>
                <w:b/>
                <w:sz w:val="16"/>
              </w:rPr>
            </w:pPr>
            <w:r>
              <w:rPr>
                <w:b/>
                <w:w w:val="100"/>
                <w:sz w:val="16"/>
              </w:rPr>
              <w:t>D</w:t>
            </w:r>
          </w:p>
        </w:tc>
        <w:tc>
          <w:tcPr>
            <w:tcW w:w="1809" w:type="dxa"/>
            <w:tcBorders>
              <w:top w:val="double" w:sz="1" w:space="0" w:color="000000"/>
            </w:tcBorders>
          </w:tcPr>
          <w:p>
            <w:pPr>
              <w:pStyle w:val="TableParagraph"/>
              <w:spacing w:before="18"/>
              <w:ind w:left="70"/>
              <w:rPr>
                <w:b/>
                <w:sz w:val="16"/>
              </w:rPr>
            </w:pPr>
            <w:r>
              <w:rPr>
                <w:b/>
                <w:sz w:val="16"/>
              </w:rPr>
              <w:t>TROPICAL AMERICA</w:t>
            </w:r>
          </w:p>
        </w:tc>
        <w:tc>
          <w:tcPr>
            <w:tcW w:w="1180" w:type="dxa"/>
            <w:tcBorders>
              <w:top w:val="double" w:sz="1" w:space="0" w:color="000000"/>
            </w:tcBorders>
          </w:tcPr>
          <w:p>
            <w:pPr>
              <w:pStyle w:val="TableParagraph"/>
              <w:spacing w:before="18"/>
              <w:ind w:left="12"/>
              <w:jc w:val="center"/>
              <w:rPr>
                <w:b/>
                <w:sz w:val="16"/>
              </w:rPr>
            </w:pPr>
            <w:r>
              <w:rPr>
                <w:b/>
                <w:w w:val="100"/>
                <w:sz w:val="16"/>
              </w:rPr>
              <w:t>D</w:t>
            </w:r>
          </w:p>
        </w:tc>
        <w:tc>
          <w:tcPr>
            <w:tcW w:w="1794" w:type="dxa"/>
            <w:tcBorders>
              <w:top w:val="double" w:sz="1" w:space="0" w:color="000000"/>
            </w:tcBorders>
          </w:tcPr>
          <w:p>
            <w:pPr>
              <w:pStyle w:val="TableParagraph"/>
              <w:spacing w:before="18"/>
              <w:ind w:left="145"/>
              <w:rPr>
                <w:b/>
                <w:sz w:val="16"/>
              </w:rPr>
            </w:pPr>
            <w:r>
              <w:rPr>
                <w:b/>
                <w:sz w:val="16"/>
              </w:rPr>
              <w:t>TROPICAL AFRICA</w:t>
            </w:r>
          </w:p>
        </w:tc>
        <w:tc>
          <w:tcPr>
            <w:tcW w:w="1177" w:type="dxa"/>
            <w:tcBorders>
              <w:top w:val="double" w:sz="1" w:space="0" w:color="000000"/>
            </w:tcBorders>
          </w:tcPr>
          <w:p>
            <w:pPr>
              <w:pStyle w:val="TableParagraph"/>
              <w:spacing w:before="18"/>
              <w:ind w:left="13"/>
              <w:jc w:val="center"/>
              <w:rPr>
                <w:b/>
                <w:sz w:val="16"/>
              </w:rPr>
            </w:pPr>
            <w:r>
              <w:rPr>
                <w:b/>
                <w:w w:val="100"/>
                <w:sz w:val="16"/>
              </w:rPr>
              <w:t>D</w:t>
            </w:r>
          </w:p>
        </w:tc>
      </w:tr>
      <w:tr>
        <w:trPr>
          <w:trHeight w:val="244" w:hRule="atLeast"/>
        </w:trPr>
        <w:tc>
          <w:tcPr>
            <w:tcW w:w="1802" w:type="dxa"/>
          </w:tcPr>
          <w:p>
            <w:pPr>
              <w:pStyle w:val="TableParagraph"/>
              <w:spacing w:before="23"/>
              <w:ind w:left="28"/>
              <w:rPr>
                <w:sz w:val="16"/>
              </w:rPr>
            </w:pPr>
            <w:r>
              <w:rPr>
                <w:sz w:val="16"/>
              </w:rPr>
              <w:t>Dipterocarpus kunstlerii</w:t>
            </w:r>
          </w:p>
        </w:tc>
        <w:tc>
          <w:tcPr>
            <w:tcW w:w="1180" w:type="dxa"/>
          </w:tcPr>
          <w:p>
            <w:pPr>
              <w:pStyle w:val="TableParagraph"/>
              <w:spacing w:before="23"/>
              <w:ind w:left="20" w:right="14"/>
              <w:jc w:val="center"/>
              <w:rPr>
                <w:sz w:val="16"/>
              </w:rPr>
            </w:pPr>
            <w:r>
              <w:rPr>
                <w:sz w:val="16"/>
              </w:rPr>
              <w:t>0.57</w:t>
            </w:r>
          </w:p>
        </w:tc>
        <w:tc>
          <w:tcPr>
            <w:tcW w:w="1809" w:type="dxa"/>
          </w:tcPr>
          <w:p>
            <w:pPr>
              <w:pStyle w:val="TableParagraph"/>
              <w:spacing w:before="23"/>
              <w:ind w:left="29"/>
              <w:rPr>
                <w:sz w:val="16"/>
              </w:rPr>
            </w:pPr>
            <w:r>
              <w:rPr>
                <w:sz w:val="16"/>
              </w:rPr>
              <w:t>Goupia glabra</w:t>
            </w:r>
          </w:p>
        </w:tc>
        <w:tc>
          <w:tcPr>
            <w:tcW w:w="1180" w:type="dxa"/>
          </w:tcPr>
          <w:p>
            <w:pPr>
              <w:pStyle w:val="TableParagraph"/>
              <w:spacing w:before="23"/>
              <w:ind w:left="24" w:right="14"/>
              <w:jc w:val="center"/>
              <w:rPr>
                <w:sz w:val="16"/>
              </w:rPr>
            </w:pPr>
            <w:r>
              <w:rPr>
                <w:sz w:val="16"/>
              </w:rPr>
              <w:t>0.67, 0.72+</w:t>
            </w:r>
          </w:p>
        </w:tc>
        <w:tc>
          <w:tcPr>
            <w:tcW w:w="1794" w:type="dxa"/>
          </w:tcPr>
          <w:p>
            <w:pPr>
              <w:pStyle w:val="TableParagraph"/>
              <w:spacing w:before="23"/>
              <w:ind w:left="33"/>
              <w:rPr>
                <w:sz w:val="16"/>
              </w:rPr>
            </w:pPr>
            <w:r>
              <w:rPr>
                <w:sz w:val="16"/>
              </w:rPr>
              <w:t>Homalium spp.</w:t>
            </w:r>
          </w:p>
        </w:tc>
        <w:tc>
          <w:tcPr>
            <w:tcW w:w="1177" w:type="dxa"/>
          </w:tcPr>
          <w:p>
            <w:pPr>
              <w:pStyle w:val="TableParagraph"/>
              <w:spacing w:before="23"/>
              <w:ind w:left="470" w:right="456"/>
              <w:jc w:val="center"/>
              <w:rPr>
                <w:sz w:val="16"/>
              </w:rPr>
            </w:pPr>
            <w:r>
              <w:rPr>
                <w:sz w:val="16"/>
              </w:rPr>
              <w:t>0.7</w:t>
            </w:r>
          </w:p>
        </w:tc>
      </w:tr>
      <w:tr>
        <w:trPr>
          <w:trHeight w:val="244" w:hRule="atLeast"/>
        </w:trPr>
        <w:tc>
          <w:tcPr>
            <w:tcW w:w="1802" w:type="dxa"/>
          </w:tcPr>
          <w:p>
            <w:pPr>
              <w:pStyle w:val="TableParagraph"/>
              <w:spacing w:before="23"/>
              <w:ind w:left="28"/>
              <w:rPr>
                <w:sz w:val="16"/>
              </w:rPr>
            </w:pPr>
            <w:r>
              <w:rPr>
                <w:sz w:val="16"/>
              </w:rPr>
              <w:t>Dipterocarpus spp.</w:t>
            </w:r>
          </w:p>
        </w:tc>
        <w:tc>
          <w:tcPr>
            <w:tcW w:w="1180" w:type="dxa"/>
          </w:tcPr>
          <w:p>
            <w:pPr>
              <w:pStyle w:val="TableParagraph"/>
              <w:spacing w:before="23"/>
              <w:ind w:left="20" w:right="14"/>
              <w:jc w:val="center"/>
              <w:rPr>
                <w:sz w:val="16"/>
              </w:rPr>
            </w:pPr>
            <w:r>
              <w:rPr>
                <w:sz w:val="16"/>
              </w:rPr>
              <w:t>0.61</w:t>
            </w:r>
          </w:p>
        </w:tc>
        <w:tc>
          <w:tcPr>
            <w:tcW w:w="1809" w:type="dxa"/>
          </w:tcPr>
          <w:p>
            <w:pPr>
              <w:pStyle w:val="TableParagraph"/>
              <w:spacing w:before="23"/>
              <w:ind w:left="29"/>
              <w:rPr>
                <w:sz w:val="16"/>
              </w:rPr>
            </w:pPr>
            <w:r>
              <w:rPr>
                <w:sz w:val="16"/>
              </w:rPr>
              <w:t>Guarea chalde</w:t>
            </w:r>
          </w:p>
        </w:tc>
        <w:tc>
          <w:tcPr>
            <w:tcW w:w="1180" w:type="dxa"/>
          </w:tcPr>
          <w:p>
            <w:pPr>
              <w:pStyle w:val="TableParagraph"/>
              <w:spacing w:before="23"/>
              <w:ind w:left="25" w:right="11"/>
              <w:jc w:val="center"/>
              <w:rPr>
                <w:sz w:val="16"/>
              </w:rPr>
            </w:pPr>
            <w:r>
              <w:rPr>
                <w:sz w:val="16"/>
              </w:rPr>
              <w:t>0.52</w:t>
            </w:r>
          </w:p>
        </w:tc>
        <w:tc>
          <w:tcPr>
            <w:tcW w:w="1794" w:type="dxa"/>
          </w:tcPr>
          <w:p>
            <w:pPr>
              <w:pStyle w:val="TableParagraph"/>
              <w:spacing w:before="23"/>
              <w:ind w:left="33"/>
              <w:rPr>
                <w:sz w:val="16"/>
              </w:rPr>
            </w:pPr>
            <w:r>
              <w:rPr>
                <w:sz w:val="16"/>
              </w:rPr>
              <w:t>Hylodendron gabonense.</w:t>
            </w:r>
          </w:p>
        </w:tc>
        <w:tc>
          <w:tcPr>
            <w:tcW w:w="1177" w:type="dxa"/>
          </w:tcPr>
          <w:p>
            <w:pPr>
              <w:pStyle w:val="TableParagraph"/>
              <w:spacing w:before="23"/>
              <w:ind w:right="400"/>
              <w:jc w:val="right"/>
              <w:rPr>
                <w:sz w:val="16"/>
              </w:rPr>
            </w:pPr>
            <w:r>
              <w:rPr>
                <w:sz w:val="16"/>
              </w:rPr>
              <w:t>0.78”</w:t>
            </w:r>
          </w:p>
        </w:tc>
      </w:tr>
      <w:tr>
        <w:trPr>
          <w:trHeight w:val="244" w:hRule="atLeast"/>
        </w:trPr>
        <w:tc>
          <w:tcPr>
            <w:tcW w:w="1802" w:type="dxa"/>
          </w:tcPr>
          <w:p>
            <w:pPr>
              <w:pStyle w:val="TableParagraph"/>
              <w:spacing w:before="23"/>
              <w:ind w:left="28"/>
              <w:rPr>
                <w:sz w:val="16"/>
              </w:rPr>
            </w:pPr>
            <w:r>
              <w:rPr>
                <w:sz w:val="16"/>
              </w:rPr>
              <w:t>Dipterocarpus warburgii</w:t>
            </w:r>
          </w:p>
        </w:tc>
        <w:tc>
          <w:tcPr>
            <w:tcW w:w="1180" w:type="dxa"/>
          </w:tcPr>
          <w:p>
            <w:pPr>
              <w:pStyle w:val="TableParagraph"/>
              <w:spacing w:before="23"/>
              <w:ind w:left="19" w:right="14"/>
              <w:jc w:val="center"/>
              <w:rPr>
                <w:sz w:val="16"/>
              </w:rPr>
            </w:pPr>
            <w:r>
              <w:rPr>
                <w:sz w:val="16"/>
              </w:rPr>
              <w:t>0.52</w:t>
            </w:r>
          </w:p>
        </w:tc>
        <w:tc>
          <w:tcPr>
            <w:tcW w:w="1809" w:type="dxa"/>
          </w:tcPr>
          <w:p>
            <w:pPr>
              <w:pStyle w:val="TableParagraph"/>
              <w:spacing w:before="23"/>
              <w:ind w:left="29"/>
              <w:rPr>
                <w:sz w:val="16"/>
              </w:rPr>
            </w:pPr>
            <w:r>
              <w:rPr>
                <w:sz w:val="16"/>
              </w:rPr>
              <w:t>Guarea spp.</w:t>
            </w:r>
          </w:p>
        </w:tc>
        <w:tc>
          <w:tcPr>
            <w:tcW w:w="1180" w:type="dxa"/>
          </w:tcPr>
          <w:p>
            <w:pPr>
              <w:pStyle w:val="TableParagraph"/>
              <w:spacing w:before="23"/>
              <w:ind w:left="25" w:right="12"/>
              <w:jc w:val="center"/>
              <w:rPr>
                <w:sz w:val="16"/>
              </w:rPr>
            </w:pPr>
            <w:r>
              <w:rPr>
                <w:sz w:val="16"/>
              </w:rPr>
              <w:t>0.52</w:t>
            </w:r>
          </w:p>
        </w:tc>
        <w:tc>
          <w:tcPr>
            <w:tcW w:w="1794" w:type="dxa"/>
          </w:tcPr>
          <w:p>
            <w:pPr>
              <w:pStyle w:val="TableParagraph"/>
              <w:spacing w:before="23"/>
              <w:ind w:left="32"/>
              <w:rPr>
                <w:sz w:val="16"/>
              </w:rPr>
            </w:pPr>
            <w:r>
              <w:rPr>
                <w:sz w:val="16"/>
              </w:rPr>
              <w:t>Hymenostegia pellegrini</w:t>
            </w:r>
          </w:p>
        </w:tc>
        <w:tc>
          <w:tcPr>
            <w:tcW w:w="1177" w:type="dxa"/>
          </w:tcPr>
          <w:p>
            <w:pPr>
              <w:pStyle w:val="TableParagraph"/>
              <w:spacing w:before="23"/>
              <w:ind w:right="399"/>
              <w:jc w:val="right"/>
              <w:rPr>
                <w:sz w:val="16"/>
              </w:rPr>
            </w:pPr>
            <w:r>
              <w:rPr>
                <w:sz w:val="16"/>
              </w:rPr>
              <w:t>0.78”</w:t>
            </w:r>
          </w:p>
        </w:tc>
      </w:tr>
      <w:tr>
        <w:trPr>
          <w:trHeight w:val="246" w:hRule="atLeast"/>
        </w:trPr>
        <w:tc>
          <w:tcPr>
            <w:tcW w:w="1802" w:type="dxa"/>
          </w:tcPr>
          <w:p>
            <w:pPr>
              <w:pStyle w:val="TableParagraph"/>
              <w:spacing w:before="23"/>
              <w:ind w:left="28"/>
              <w:rPr>
                <w:sz w:val="16"/>
              </w:rPr>
            </w:pPr>
            <w:r>
              <w:rPr>
                <w:sz w:val="16"/>
              </w:rPr>
              <w:t>Dracontomelon spp.</w:t>
            </w:r>
          </w:p>
        </w:tc>
        <w:tc>
          <w:tcPr>
            <w:tcW w:w="1180" w:type="dxa"/>
          </w:tcPr>
          <w:p>
            <w:pPr>
              <w:pStyle w:val="TableParagraph"/>
              <w:spacing w:before="23"/>
              <w:ind w:left="19" w:right="14"/>
              <w:jc w:val="center"/>
              <w:rPr>
                <w:sz w:val="16"/>
              </w:rPr>
            </w:pPr>
            <w:r>
              <w:rPr>
                <w:sz w:val="16"/>
              </w:rPr>
              <w:t>0.5</w:t>
            </w:r>
          </w:p>
        </w:tc>
        <w:tc>
          <w:tcPr>
            <w:tcW w:w="1809" w:type="dxa"/>
          </w:tcPr>
          <w:p>
            <w:pPr>
              <w:pStyle w:val="TableParagraph"/>
              <w:spacing w:before="23"/>
              <w:ind w:left="29"/>
              <w:rPr>
                <w:sz w:val="16"/>
              </w:rPr>
            </w:pPr>
            <w:r>
              <w:rPr>
                <w:sz w:val="16"/>
              </w:rPr>
              <w:t>Guatteria spp.</w:t>
            </w:r>
          </w:p>
        </w:tc>
        <w:tc>
          <w:tcPr>
            <w:tcW w:w="1180" w:type="dxa"/>
          </w:tcPr>
          <w:p>
            <w:pPr>
              <w:pStyle w:val="TableParagraph"/>
              <w:spacing w:before="23"/>
              <w:ind w:left="25" w:right="12"/>
              <w:jc w:val="center"/>
              <w:rPr>
                <w:sz w:val="16"/>
              </w:rPr>
            </w:pPr>
            <w:r>
              <w:rPr>
                <w:sz w:val="16"/>
              </w:rPr>
              <w:t>0.36</w:t>
            </w:r>
          </w:p>
        </w:tc>
        <w:tc>
          <w:tcPr>
            <w:tcW w:w="1794" w:type="dxa"/>
          </w:tcPr>
          <w:p>
            <w:pPr>
              <w:pStyle w:val="TableParagraph"/>
              <w:spacing w:before="23"/>
              <w:ind w:left="33"/>
              <w:rPr>
                <w:sz w:val="16"/>
              </w:rPr>
            </w:pPr>
            <w:r>
              <w:rPr>
                <w:sz w:val="16"/>
              </w:rPr>
              <w:t>Irvingia grandifolia</w:t>
            </w:r>
          </w:p>
        </w:tc>
        <w:tc>
          <w:tcPr>
            <w:tcW w:w="1177" w:type="dxa"/>
          </w:tcPr>
          <w:p>
            <w:pPr>
              <w:pStyle w:val="TableParagraph"/>
              <w:spacing w:before="23"/>
              <w:ind w:right="399"/>
              <w:jc w:val="right"/>
              <w:rPr>
                <w:sz w:val="16"/>
              </w:rPr>
            </w:pPr>
            <w:r>
              <w:rPr>
                <w:sz w:val="16"/>
              </w:rPr>
              <w:t>0.78”</w:t>
            </w:r>
          </w:p>
        </w:tc>
      </w:tr>
      <w:tr>
        <w:trPr>
          <w:trHeight w:val="244" w:hRule="atLeast"/>
        </w:trPr>
        <w:tc>
          <w:tcPr>
            <w:tcW w:w="1802" w:type="dxa"/>
          </w:tcPr>
          <w:p>
            <w:pPr>
              <w:pStyle w:val="TableParagraph"/>
              <w:spacing w:before="23"/>
              <w:ind w:left="28"/>
              <w:rPr>
                <w:sz w:val="16"/>
              </w:rPr>
            </w:pPr>
            <w:r>
              <w:rPr>
                <w:sz w:val="16"/>
              </w:rPr>
              <w:t>Dryobalanops spp.</w:t>
            </w:r>
          </w:p>
        </w:tc>
        <w:tc>
          <w:tcPr>
            <w:tcW w:w="1180" w:type="dxa"/>
          </w:tcPr>
          <w:p>
            <w:pPr>
              <w:pStyle w:val="TableParagraph"/>
              <w:spacing w:before="23"/>
              <w:ind w:left="19" w:right="14"/>
              <w:jc w:val="center"/>
              <w:rPr>
                <w:sz w:val="16"/>
              </w:rPr>
            </w:pPr>
            <w:r>
              <w:rPr>
                <w:sz w:val="16"/>
              </w:rPr>
              <w:t>0.61</w:t>
            </w:r>
          </w:p>
        </w:tc>
        <w:tc>
          <w:tcPr>
            <w:tcW w:w="1809" w:type="dxa"/>
          </w:tcPr>
          <w:p>
            <w:pPr>
              <w:pStyle w:val="TableParagraph"/>
              <w:spacing w:before="23"/>
              <w:ind w:left="28"/>
              <w:rPr>
                <w:sz w:val="16"/>
              </w:rPr>
            </w:pPr>
            <w:r>
              <w:rPr>
                <w:sz w:val="16"/>
              </w:rPr>
              <w:t>Guazuma ulmifolia</w:t>
            </w:r>
          </w:p>
        </w:tc>
        <w:tc>
          <w:tcPr>
            <w:tcW w:w="1180" w:type="dxa"/>
          </w:tcPr>
          <w:p>
            <w:pPr>
              <w:pStyle w:val="TableParagraph"/>
              <w:spacing w:before="23"/>
              <w:ind w:left="23" w:right="14"/>
              <w:jc w:val="center"/>
              <w:rPr>
                <w:sz w:val="16"/>
              </w:rPr>
            </w:pPr>
            <w:r>
              <w:rPr>
                <w:sz w:val="16"/>
              </w:rPr>
              <w:t>0.52, 0.50+</w:t>
            </w:r>
          </w:p>
        </w:tc>
        <w:tc>
          <w:tcPr>
            <w:tcW w:w="1794" w:type="dxa"/>
          </w:tcPr>
          <w:p>
            <w:pPr>
              <w:pStyle w:val="TableParagraph"/>
              <w:spacing w:before="23"/>
              <w:ind w:left="33"/>
              <w:rPr>
                <w:sz w:val="16"/>
              </w:rPr>
            </w:pPr>
            <w:r>
              <w:rPr>
                <w:sz w:val="16"/>
              </w:rPr>
              <w:t>Julbernardia globiflora</w:t>
            </w:r>
          </w:p>
        </w:tc>
        <w:tc>
          <w:tcPr>
            <w:tcW w:w="1177" w:type="dxa"/>
          </w:tcPr>
          <w:p>
            <w:pPr>
              <w:pStyle w:val="TableParagraph"/>
              <w:spacing w:before="23"/>
              <w:ind w:right="432"/>
              <w:jc w:val="right"/>
              <w:rPr>
                <w:sz w:val="16"/>
              </w:rPr>
            </w:pPr>
            <w:r>
              <w:rPr>
                <w:sz w:val="16"/>
              </w:rPr>
              <w:t>0.78</w:t>
            </w:r>
          </w:p>
        </w:tc>
      </w:tr>
      <w:tr>
        <w:trPr>
          <w:trHeight w:val="244" w:hRule="atLeast"/>
        </w:trPr>
        <w:tc>
          <w:tcPr>
            <w:tcW w:w="1802" w:type="dxa"/>
          </w:tcPr>
          <w:p>
            <w:pPr>
              <w:pStyle w:val="TableParagraph"/>
              <w:spacing w:before="23"/>
              <w:ind w:left="28"/>
              <w:rPr>
                <w:sz w:val="16"/>
              </w:rPr>
            </w:pPr>
            <w:r>
              <w:rPr>
                <w:sz w:val="16"/>
              </w:rPr>
              <w:t>Dtypetes bordenii</w:t>
            </w:r>
          </w:p>
        </w:tc>
        <w:tc>
          <w:tcPr>
            <w:tcW w:w="1180" w:type="dxa"/>
          </w:tcPr>
          <w:p>
            <w:pPr>
              <w:pStyle w:val="TableParagraph"/>
              <w:spacing w:before="23"/>
              <w:ind w:left="19" w:right="14"/>
              <w:jc w:val="center"/>
              <w:rPr>
                <w:sz w:val="16"/>
              </w:rPr>
            </w:pPr>
            <w:r>
              <w:rPr>
                <w:sz w:val="16"/>
              </w:rPr>
              <w:t>0.75</w:t>
            </w:r>
          </w:p>
        </w:tc>
        <w:tc>
          <w:tcPr>
            <w:tcW w:w="1809" w:type="dxa"/>
          </w:tcPr>
          <w:p>
            <w:pPr>
              <w:pStyle w:val="TableParagraph"/>
              <w:spacing w:before="23"/>
              <w:ind w:left="28"/>
              <w:rPr>
                <w:sz w:val="16"/>
              </w:rPr>
            </w:pPr>
            <w:r>
              <w:rPr>
                <w:sz w:val="16"/>
              </w:rPr>
              <w:t>Guettarda scabra</w:t>
            </w:r>
          </w:p>
        </w:tc>
        <w:tc>
          <w:tcPr>
            <w:tcW w:w="1180" w:type="dxa"/>
          </w:tcPr>
          <w:p>
            <w:pPr>
              <w:pStyle w:val="TableParagraph"/>
              <w:spacing w:before="23"/>
              <w:ind w:left="25" w:right="13"/>
              <w:jc w:val="center"/>
              <w:rPr>
                <w:sz w:val="16"/>
              </w:rPr>
            </w:pPr>
            <w:r>
              <w:rPr>
                <w:sz w:val="16"/>
              </w:rPr>
              <w:t>0.65</w:t>
            </w:r>
          </w:p>
        </w:tc>
        <w:tc>
          <w:tcPr>
            <w:tcW w:w="1794" w:type="dxa"/>
          </w:tcPr>
          <w:p>
            <w:pPr>
              <w:pStyle w:val="TableParagraph"/>
              <w:spacing w:before="23"/>
              <w:ind w:left="32"/>
              <w:rPr>
                <w:sz w:val="16"/>
              </w:rPr>
            </w:pPr>
            <w:r>
              <w:rPr>
                <w:sz w:val="16"/>
              </w:rPr>
              <w:t>Khaya ivorensis</w:t>
            </w:r>
          </w:p>
        </w:tc>
        <w:tc>
          <w:tcPr>
            <w:tcW w:w="1177" w:type="dxa"/>
          </w:tcPr>
          <w:p>
            <w:pPr>
              <w:pStyle w:val="TableParagraph"/>
              <w:spacing w:before="23"/>
              <w:ind w:right="432"/>
              <w:jc w:val="right"/>
              <w:rPr>
                <w:sz w:val="16"/>
              </w:rPr>
            </w:pPr>
            <w:r>
              <w:rPr>
                <w:sz w:val="16"/>
              </w:rPr>
              <w:t>0.44</w:t>
            </w:r>
          </w:p>
        </w:tc>
      </w:tr>
      <w:tr>
        <w:trPr>
          <w:trHeight w:val="244" w:hRule="atLeast"/>
        </w:trPr>
        <w:tc>
          <w:tcPr>
            <w:tcW w:w="1802" w:type="dxa"/>
          </w:tcPr>
          <w:p>
            <w:pPr>
              <w:pStyle w:val="TableParagraph"/>
              <w:spacing w:before="23"/>
              <w:ind w:left="28"/>
              <w:rPr>
                <w:sz w:val="16"/>
              </w:rPr>
            </w:pPr>
            <w:r>
              <w:rPr>
                <w:sz w:val="16"/>
              </w:rPr>
              <w:t>Durio spp.</w:t>
            </w:r>
          </w:p>
        </w:tc>
        <w:tc>
          <w:tcPr>
            <w:tcW w:w="1180" w:type="dxa"/>
          </w:tcPr>
          <w:p>
            <w:pPr>
              <w:pStyle w:val="TableParagraph"/>
              <w:spacing w:before="23"/>
              <w:ind w:left="19" w:right="14"/>
              <w:jc w:val="center"/>
              <w:rPr>
                <w:sz w:val="16"/>
              </w:rPr>
            </w:pPr>
            <w:r>
              <w:rPr>
                <w:sz w:val="16"/>
              </w:rPr>
              <w:t>0.53</w:t>
            </w:r>
          </w:p>
        </w:tc>
        <w:tc>
          <w:tcPr>
            <w:tcW w:w="1809" w:type="dxa"/>
          </w:tcPr>
          <w:p>
            <w:pPr>
              <w:pStyle w:val="TableParagraph"/>
              <w:spacing w:before="23"/>
              <w:ind w:left="29"/>
              <w:rPr>
                <w:sz w:val="16"/>
              </w:rPr>
            </w:pPr>
            <w:r>
              <w:rPr>
                <w:sz w:val="16"/>
              </w:rPr>
              <w:t>Guillielma gasipae</w:t>
            </w:r>
          </w:p>
        </w:tc>
        <w:tc>
          <w:tcPr>
            <w:tcW w:w="1180" w:type="dxa"/>
          </w:tcPr>
          <w:p>
            <w:pPr>
              <w:pStyle w:val="TableParagraph"/>
              <w:spacing w:before="23"/>
              <w:ind w:left="24" w:right="14"/>
              <w:jc w:val="center"/>
              <w:rPr>
                <w:sz w:val="16"/>
              </w:rPr>
            </w:pPr>
            <w:r>
              <w:rPr>
                <w:sz w:val="16"/>
              </w:rPr>
              <w:t>0.95, 1.25+</w:t>
            </w:r>
          </w:p>
        </w:tc>
        <w:tc>
          <w:tcPr>
            <w:tcW w:w="1794" w:type="dxa"/>
          </w:tcPr>
          <w:p>
            <w:pPr>
              <w:pStyle w:val="TableParagraph"/>
              <w:spacing w:before="23"/>
              <w:ind w:left="33"/>
              <w:rPr>
                <w:sz w:val="16"/>
              </w:rPr>
            </w:pPr>
            <w:r>
              <w:rPr>
                <w:sz w:val="16"/>
              </w:rPr>
              <w:t>Klainedoxa gabonensis</w:t>
            </w:r>
          </w:p>
        </w:tc>
        <w:tc>
          <w:tcPr>
            <w:tcW w:w="1177" w:type="dxa"/>
          </w:tcPr>
          <w:p>
            <w:pPr>
              <w:pStyle w:val="TableParagraph"/>
              <w:spacing w:before="23"/>
              <w:ind w:right="432"/>
              <w:jc w:val="right"/>
              <w:rPr>
                <w:sz w:val="16"/>
              </w:rPr>
            </w:pPr>
            <w:r>
              <w:rPr>
                <w:sz w:val="16"/>
              </w:rPr>
              <w:t>0.87</w:t>
            </w:r>
          </w:p>
        </w:tc>
      </w:tr>
      <w:tr>
        <w:trPr>
          <w:trHeight w:val="246" w:hRule="atLeast"/>
        </w:trPr>
        <w:tc>
          <w:tcPr>
            <w:tcW w:w="1802" w:type="dxa"/>
          </w:tcPr>
          <w:p>
            <w:pPr>
              <w:pStyle w:val="TableParagraph"/>
              <w:spacing w:before="23"/>
              <w:ind w:left="28"/>
              <w:rPr>
                <w:sz w:val="16"/>
              </w:rPr>
            </w:pPr>
            <w:r>
              <w:rPr>
                <w:sz w:val="16"/>
              </w:rPr>
              <w:t>Dyera costulata</w:t>
            </w:r>
          </w:p>
        </w:tc>
        <w:tc>
          <w:tcPr>
            <w:tcW w:w="1180" w:type="dxa"/>
          </w:tcPr>
          <w:p>
            <w:pPr>
              <w:pStyle w:val="TableParagraph"/>
              <w:spacing w:before="23"/>
              <w:ind w:left="21" w:right="14"/>
              <w:jc w:val="center"/>
              <w:rPr>
                <w:sz w:val="16"/>
              </w:rPr>
            </w:pPr>
            <w:r>
              <w:rPr>
                <w:sz w:val="16"/>
              </w:rPr>
              <w:t>0.36</w:t>
            </w:r>
          </w:p>
        </w:tc>
        <w:tc>
          <w:tcPr>
            <w:tcW w:w="1809" w:type="dxa"/>
          </w:tcPr>
          <w:p>
            <w:pPr>
              <w:pStyle w:val="TableParagraph"/>
              <w:spacing w:before="23"/>
              <w:ind w:left="29"/>
              <w:rPr>
                <w:sz w:val="16"/>
              </w:rPr>
            </w:pPr>
            <w:r>
              <w:rPr>
                <w:sz w:val="16"/>
              </w:rPr>
              <w:t>Gwtavia sp.</w:t>
            </w:r>
          </w:p>
        </w:tc>
        <w:tc>
          <w:tcPr>
            <w:tcW w:w="1180" w:type="dxa"/>
          </w:tcPr>
          <w:p>
            <w:pPr>
              <w:pStyle w:val="TableParagraph"/>
              <w:spacing w:before="23"/>
              <w:ind w:left="25" w:right="10"/>
              <w:jc w:val="center"/>
              <w:rPr>
                <w:sz w:val="16"/>
              </w:rPr>
            </w:pPr>
            <w:r>
              <w:rPr>
                <w:sz w:val="16"/>
              </w:rPr>
              <w:t>0.56</w:t>
            </w:r>
          </w:p>
        </w:tc>
        <w:tc>
          <w:tcPr>
            <w:tcW w:w="1794" w:type="dxa"/>
          </w:tcPr>
          <w:p>
            <w:pPr>
              <w:pStyle w:val="TableParagraph"/>
              <w:spacing w:before="23"/>
              <w:ind w:left="33"/>
              <w:rPr>
                <w:sz w:val="16"/>
              </w:rPr>
            </w:pPr>
            <w:r>
              <w:rPr>
                <w:sz w:val="16"/>
              </w:rPr>
              <w:t>Lannea welwitschii</w:t>
            </w:r>
          </w:p>
        </w:tc>
        <w:tc>
          <w:tcPr>
            <w:tcW w:w="1177" w:type="dxa"/>
          </w:tcPr>
          <w:p>
            <w:pPr>
              <w:pStyle w:val="TableParagraph"/>
              <w:spacing w:before="23"/>
              <w:ind w:right="370"/>
              <w:jc w:val="right"/>
              <w:rPr>
                <w:sz w:val="16"/>
              </w:rPr>
            </w:pPr>
            <w:r>
              <w:rPr>
                <w:sz w:val="16"/>
              </w:rPr>
              <w:t>0.45”’</w:t>
            </w:r>
          </w:p>
        </w:tc>
      </w:tr>
      <w:tr>
        <w:trPr>
          <w:trHeight w:val="244" w:hRule="atLeast"/>
        </w:trPr>
        <w:tc>
          <w:tcPr>
            <w:tcW w:w="1802" w:type="dxa"/>
          </w:tcPr>
          <w:p>
            <w:pPr>
              <w:pStyle w:val="TableParagraph"/>
              <w:spacing w:before="23"/>
              <w:ind w:left="28"/>
              <w:rPr>
                <w:sz w:val="16"/>
              </w:rPr>
            </w:pPr>
            <w:r>
              <w:rPr>
                <w:sz w:val="16"/>
              </w:rPr>
              <w:t>Dysoxylum quercifolium</w:t>
            </w:r>
          </w:p>
        </w:tc>
        <w:tc>
          <w:tcPr>
            <w:tcW w:w="1180" w:type="dxa"/>
          </w:tcPr>
          <w:p>
            <w:pPr>
              <w:pStyle w:val="TableParagraph"/>
              <w:spacing w:before="23"/>
              <w:ind w:left="19" w:right="14"/>
              <w:jc w:val="center"/>
              <w:rPr>
                <w:sz w:val="16"/>
              </w:rPr>
            </w:pPr>
            <w:r>
              <w:rPr>
                <w:sz w:val="16"/>
              </w:rPr>
              <w:t>0.49</w:t>
            </w:r>
          </w:p>
        </w:tc>
        <w:tc>
          <w:tcPr>
            <w:tcW w:w="1809" w:type="dxa"/>
          </w:tcPr>
          <w:p>
            <w:pPr>
              <w:pStyle w:val="TableParagraph"/>
              <w:spacing w:before="23"/>
              <w:ind w:left="29"/>
              <w:rPr>
                <w:sz w:val="16"/>
              </w:rPr>
            </w:pPr>
            <w:r>
              <w:rPr>
                <w:sz w:val="16"/>
              </w:rPr>
              <w:t>Helicostylis tomentosa</w:t>
            </w:r>
          </w:p>
        </w:tc>
        <w:tc>
          <w:tcPr>
            <w:tcW w:w="1180" w:type="dxa"/>
          </w:tcPr>
          <w:p>
            <w:pPr>
              <w:pStyle w:val="TableParagraph"/>
              <w:spacing w:before="23"/>
              <w:ind w:left="24" w:right="14"/>
              <w:jc w:val="center"/>
              <w:rPr>
                <w:sz w:val="16"/>
              </w:rPr>
            </w:pPr>
            <w:r>
              <w:rPr>
                <w:sz w:val="16"/>
              </w:rPr>
              <w:t>0.68, 0.72+</w:t>
            </w:r>
          </w:p>
        </w:tc>
        <w:tc>
          <w:tcPr>
            <w:tcW w:w="1794" w:type="dxa"/>
          </w:tcPr>
          <w:p>
            <w:pPr>
              <w:pStyle w:val="TableParagraph"/>
              <w:spacing w:before="23"/>
              <w:ind w:left="33"/>
              <w:rPr>
                <w:sz w:val="16"/>
              </w:rPr>
            </w:pPr>
            <w:r>
              <w:rPr>
                <w:sz w:val="16"/>
              </w:rPr>
              <w:t>Lecomtedoxa klainenna</w:t>
            </w:r>
          </w:p>
        </w:tc>
        <w:tc>
          <w:tcPr>
            <w:tcW w:w="1177" w:type="dxa"/>
          </w:tcPr>
          <w:p>
            <w:pPr>
              <w:pStyle w:val="TableParagraph"/>
              <w:spacing w:before="23"/>
              <w:ind w:right="398"/>
              <w:jc w:val="right"/>
              <w:rPr>
                <w:sz w:val="16"/>
              </w:rPr>
            </w:pPr>
            <w:r>
              <w:rPr>
                <w:sz w:val="16"/>
              </w:rPr>
              <w:t>0.78”</w:t>
            </w:r>
          </w:p>
        </w:tc>
      </w:tr>
      <w:tr>
        <w:trPr>
          <w:trHeight w:val="244" w:hRule="atLeast"/>
        </w:trPr>
        <w:tc>
          <w:tcPr>
            <w:tcW w:w="1802" w:type="dxa"/>
          </w:tcPr>
          <w:p>
            <w:pPr>
              <w:pStyle w:val="TableParagraph"/>
              <w:spacing w:before="23"/>
              <w:ind w:left="28"/>
              <w:rPr>
                <w:sz w:val="16"/>
              </w:rPr>
            </w:pPr>
            <w:r>
              <w:rPr>
                <w:sz w:val="16"/>
              </w:rPr>
              <w:t>Elaeocarpus serratus</w:t>
            </w:r>
          </w:p>
        </w:tc>
        <w:tc>
          <w:tcPr>
            <w:tcW w:w="1180" w:type="dxa"/>
          </w:tcPr>
          <w:p>
            <w:pPr>
              <w:pStyle w:val="TableParagraph"/>
              <w:spacing w:before="23"/>
              <w:ind w:left="25" w:right="13"/>
              <w:jc w:val="center"/>
              <w:rPr>
                <w:sz w:val="16"/>
              </w:rPr>
            </w:pPr>
            <w:r>
              <w:rPr>
                <w:sz w:val="16"/>
              </w:rPr>
              <w:t>0.40*</w:t>
            </w:r>
          </w:p>
        </w:tc>
        <w:tc>
          <w:tcPr>
            <w:tcW w:w="1809" w:type="dxa"/>
          </w:tcPr>
          <w:p>
            <w:pPr>
              <w:pStyle w:val="TableParagraph"/>
              <w:spacing w:before="23"/>
              <w:ind w:left="30"/>
              <w:rPr>
                <w:sz w:val="16"/>
              </w:rPr>
            </w:pPr>
            <w:r>
              <w:rPr>
                <w:sz w:val="16"/>
              </w:rPr>
              <w:t>Hernandia Sonora</w:t>
            </w:r>
          </w:p>
        </w:tc>
        <w:tc>
          <w:tcPr>
            <w:tcW w:w="1180" w:type="dxa"/>
          </w:tcPr>
          <w:p>
            <w:pPr>
              <w:pStyle w:val="TableParagraph"/>
              <w:spacing w:before="23"/>
              <w:ind w:left="25" w:right="12"/>
              <w:jc w:val="center"/>
              <w:rPr>
                <w:sz w:val="16"/>
              </w:rPr>
            </w:pPr>
            <w:r>
              <w:rPr>
                <w:sz w:val="16"/>
              </w:rPr>
              <w:t>0.29</w:t>
            </w:r>
          </w:p>
        </w:tc>
        <w:tc>
          <w:tcPr>
            <w:tcW w:w="1794" w:type="dxa"/>
          </w:tcPr>
          <w:p>
            <w:pPr>
              <w:pStyle w:val="TableParagraph"/>
              <w:spacing w:before="23"/>
              <w:ind w:left="33"/>
              <w:rPr>
                <w:sz w:val="16"/>
              </w:rPr>
            </w:pPr>
            <w:r>
              <w:rPr>
                <w:sz w:val="16"/>
              </w:rPr>
              <w:t>Letestua durissima</w:t>
            </w:r>
          </w:p>
        </w:tc>
        <w:tc>
          <w:tcPr>
            <w:tcW w:w="1177" w:type="dxa"/>
          </w:tcPr>
          <w:p>
            <w:pPr>
              <w:pStyle w:val="TableParagraph"/>
              <w:spacing w:before="23"/>
              <w:ind w:right="399"/>
              <w:jc w:val="right"/>
              <w:rPr>
                <w:sz w:val="16"/>
              </w:rPr>
            </w:pPr>
            <w:r>
              <w:rPr>
                <w:sz w:val="16"/>
              </w:rPr>
              <w:t>0.87”</w:t>
            </w:r>
          </w:p>
        </w:tc>
      </w:tr>
      <w:tr>
        <w:trPr>
          <w:trHeight w:val="244" w:hRule="atLeast"/>
        </w:trPr>
        <w:tc>
          <w:tcPr>
            <w:tcW w:w="1802" w:type="dxa"/>
          </w:tcPr>
          <w:p>
            <w:pPr>
              <w:pStyle w:val="TableParagraph"/>
              <w:spacing w:before="23"/>
              <w:ind w:left="28"/>
              <w:rPr>
                <w:sz w:val="16"/>
              </w:rPr>
            </w:pPr>
            <w:r>
              <w:rPr>
                <w:sz w:val="16"/>
              </w:rPr>
              <w:t>Emblica officinalis</w:t>
            </w:r>
          </w:p>
        </w:tc>
        <w:tc>
          <w:tcPr>
            <w:tcW w:w="1180" w:type="dxa"/>
          </w:tcPr>
          <w:p>
            <w:pPr>
              <w:pStyle w:val="TableParagraph"/>
              <w:spacing w:before="23"/>
              <w:ind w:left="19" w:right="14"/>
              <w:jc w:val="center"/>
              <w:rPr>
                <w:sz w:val="16"/>
              </w:rPr>
            </w:pPr>
            <w:r>
              <w:rPr>
                <w:sz w:val="16"/>
              </w:rPr>
              <w:t>0.8</w:t>
            </w:r>
          </w:p>
        </w:tc>
        <w:tc>
          <w:tcPr>
            <w:tcW w:w="1809" w:type="dxa"/>
          </w:tcPr>
          <w:p>
            <w:pPr>
              <w:pStyle w:val="TableParagraph"/>
              <w:spacing w:before="23"/>
              <w:ind w:left="29"/>
              <w:rPr>
                <w:sz w:val="16"/>
              </w:rPr>
            </w:pPr>
            <w:r>
              <w:rPr>
                <w:sz w:val="16"/>
              </w:rPr>
              <w:t>Hevea brasiliense</w:t>
            </w:r>
          </w:p>
        </w:tc>
        <w:tc>
          <w:tcPr>
            <w:tcW w:w="1180" w:type="dxa"/>
          </w:tcPr>
          <w:p>
            <w:pPr>
              <w:pStyle w:val="TableParagraph"/>
              <w:spacing w:before="23"/>
              <w:ind w:left="25" w:right="11"/>
              <w:jc w:val="center"/>
              <w:rPr>
                <w:sz w:val="16"/>
              </w:rPr>
            </w:pPr>
            <w:r>
              <w:rPr>
                <w:sz w:val="16"/>
              </w:rPr>
              <w:t>0.49</w:t>
            </w:r>
          </w:p>
        </w:tc>
        <w:tc>
          <w:tcPr>
            <w:tcW w:w="1794" w:type="dxa"/>
          </w:tcPr>
          <w:p>
            <w:pPr>
              <w:pStyle w:val="TableParagraph"/>
              <w:spacing w:before="23"/>
              <w:ind w:left="33"/>
              <w:rPr>
                <w:sz w:val="16"/>
              </w:rPr>
            </w:pPr>
            <w:r>
              <w:rPr>
                <w:sz w:val="16"/>
              </w:rPr>
              <w:t>Lophira alata</w:t>
            </w:r>
          </w:p>
        </w:tc>
        <w:tc>
          <w:tcPr>
            <w:tcW w:w="1177" w:type="dxa"/>
          </w:tcPr>
          <w:p>
            <w:pPr>
              <w:pStyle w:val="TableParagraph"/>
              <w:spacing w:before="23"/>
              <w:ind w:right="398"/>
              <w:jc w:val="right"/>
              <w:rPr>
                <w:sz w:val="16"/>
              </w:rPr>
            </w:pPr>
            <w:r>
              <w:rPr>
                <w:sz w:val="16"/>
              </w:rPr>
              <w:t>0.87”</w:t>
            </w:r>
          </w:p>
        </w:tc>
      </w:tr>
      <w:tr>
        <w:trPr>
          <w:trHeight w:val="246" w:hRule="atLeast"/>
        </w:trPr>
        <w:tc>
          <w:tcPr>
            <w:tcW w:w="1802" w:type="dxa"/>
          </w:tcPr>
          <w:p>
            <w:pPr>
              <w:pStyle w:val="TableParagraph"/>
              <w:spacing w:before="23"/>
              <w:ind w:left="28"/>
              <w:rPr>
                <w:sz w:val="16"/>
              </w:rPr>
            </w:pPr>
            <w:r>
              <w:rPr>
                <w:sz w:val="16"/>
              </w:rPr>
              <w:t>Endiandra laxiflora</w:t>
            </w:r>
          </w:p>
        </w:tc>
        <w:tc>
          <w:tcPr>
            <w:tcW w:w="1180" w:type="dxa"/>
          </w:tcPr>
          <w:p>
            <w:pPr>
              <w:pStyle w:val="TableParagraph"/>
              <w:spacing w:before="23"/>
              <w:ind w:left="20" w:right="14"/>
              <w:jc w:val="center"/>
              <w:rPr>
                <w:sz w:val="16"/>
              </w:rPr>
            </w:pPr>
            <w:r>
              <w:rPr>
                <w:sz w:val="16"/>
              </w:rPr>
              <w:t>0.54</w:t>
            </w:r>
          </w:p>
        </w:tc>
        <w:tc>
          <w:tcPr>
            <w:tcW w:w="1809" w:type="dxa"/>
          </w:tcPr>
          <w:p>
            <w:pPr>
              <w:pStyle w:val="TableParagraph"/>
              <w:spacing w:before="23"/>
              <w:ind w:left="29"/>
              <w:rPr>
                <w:sz w:val="16"/>
              </w:rPr>
            </w:pPr>
            <w:r>
              <w:rPr>
                <w:sz w:val="16"/>
              </w:rPr>
              <w:t>Himatanthus articulata</w:t>
            </w:r>
          </w:p>
        </w:tc>
        <w:tc>
          <w:tcPr>
            <w:tcW w:w="1180" w:type="dxa"/>
          </w:tcPr>
          <w:p>
            <w:pPr>
              <w:pStyle w:val="TableParagraph"/>
              <w:spacing w:before="23"/>
              <w:ind w:left="25" w:right="9"/>
              <w:jc w:val="center"/>
              <w:rPr>
                <w:sz w:val="16"/>
              </w:rPr>
            </w:pPr>
            <w:r>
              <w:rPr>
                <w:sz w:val="16"/>
              </w:rPr>
              <w:t>0.40,0.54+</w:t>
            </w:r>
          </w:p>
        </w:tc>
        <w:tc>
          <w:tcPr>
            <w:tcW w:w="1794" w:type="dxa"/>
          </w:tcPr>
          <w:p>
            <w:pPr>
              <w:pStyle w:val="TableParagraph"/>
              <w:spacing w:before="23"/>
              <w:ind w:left="33"/>
              <w:rPr>
                <w:sz w:val="16"/>
              </w:rPr>
            </w:pPr>
            <w:r>
              <w:rPr>
                <w:sz w:val="16"/>
              </w:rPr>
              <w:t>Lovoa trichilioides</w:t>
            </w:r>
          </w:p>
        </w:tc>
        <w:tc>
          <w:tcPr>
            <w:tcW w:w="1177" w:type="dxa"/>
          </w:tcPr>
          <w:p>
            <w:pPr>
              <w:pStyle w:val="TableParagraph"/>
              <w:spacing w:before="23"/>
              <w:ind w:right="399"/>
              <w:jc w:val="right"/>
              <w:rPr>
                <w:sz w:val="16"/>
              </w:rPr>
            </w:pPr>
            <w:r>
              <w:rPr>
                <w:sz w:val="16"/>
              </w:rPr>
              <w:t>0.45”</w:t>
            </w:r>
          </w:p>
        </w:tc>
      </w:tr>
      <w:tr>
        <w:trPr>
          <w:trHeight w:val="386" w:hRule="atLeast"/>
        </w:trPr>
        <w:tc>
          <w:tcPr>
            <w:tcW w:w="1802" w:type="dxa"/>
          </w:tcPr>
          <w:p>
            <w:pPr>
              <w:pStyle w:val="TableParagraph"/>
              <w:spacing w:before="95"/>
              <w:ind w:left="28"/>
              <w:rPr>
                <w:sz w:val="16"/>
              </w:rPr>
            </w:pPr>
            <w:r>
              <w:rPr>
                <w:sz w:val="16"/>
              </w:rPr>
              <w:t>Endospermum spp.</w:t>
            </w:r>
          </w:p>
        </w:tc>
        <w:tc>
          <w:tcPr>
            <w:tcW w:w="1180" w:type="dxa"/>
          </w:tcPr>
          <w:p>
            <w:pPr>
              <w:pStyle w:val="TableParagraph"/>
              <w:spacing w:before="95"/>
              <w:ind w:left="20" w:right="14"/>
              <w:jc w:val="center"/>
              <w:rPr>
                <w:sz w:val="16"/>
              </w:rPr>
            </w:pPr>
            <w:r>
              <w:rPr>
                <w:sz w:val="16"/>
              </w:rPr>
              <w:t>0.38</w:t>
            </w:r>
          </w:p>
        </w:tc>
        <w:tc>
          <w:tcPr>
            <w:tcW w:w="1809" w:type="dxa"/>
          </w:tcPr>
          <w:p>
            <w:pPr>
              <w:pStyle w:val="TableParagraph"/>
              <w:spacing w:before="95"/>
              <w:ind w:left="29"/>
              <w:rPr>
                <w:sz w:val="16"/>
              </w:rPr>
            </w:pPr>
            <w:r>
              <w:rPr>
                <w:sz w:val="16"/>
              </w:rPr>
              <w:t>Hirtella davisii</w:t>
            </w:r>
          </w:p>
        </w:tc>
        <w:tc>
          <w:tcPr>
            <w:tcW w:w="1180" w:type="dxa"/>
          </w:tcPr>
          <w:p>
            <w:pPr>
              <w:pStyle w:val="TableParagraph"/>
              <w:spacing w:before="95"/>
              <w:ind w:left="25" w:right="11"/>
              <w:jc w:val="center"/>
              <w:rPr>
                <w:sz w:val="16"/>
              </w:rPr>
            </w:pPr>
            <w:r>
              <w:rPr>
                <w:sz w:val="16"/>
              </w:rPr>
              <w:t>0.74</w:t>
            </w:r>
          </w:p>
        </w:tc>
        <w:tc>
          <w:tcPr>
            <w:tcW w:w="1794" w:type="dxa"/>
          </w:tcPr>
          <w:p>
            <w:pPr>
              <w:pStyle w:val="TableParagraph"/>
              <w:spacing w:line="182" w:lineRule="exact" w:before="7"/>
              <w:ind w:left="33" w:right="638"/>
              <w:rPr>
                <w:sz w:val="16"/>
              </w:rPr>
            </w:pPr>
            <w:r>
              <w:rPr>
                <w:sz w:val="16"/>
              </w:rPr>
              <w:t>Macaranga kilimandscharica</w:t>
            </w:r>
          </w:p>
        </w:tc>
        <w:tc>
          <w:tcPr>
            <w:tcW w:w="1177" w:type="dxa"/>
          </w:tcPr>
          <w:p>
            <w:pPr>
              <w:pStyle w:val="TableParagraph"/>
              <w:spacing w:before="95"/>
              <w:ind w:right="391"/>
              <w:jc w:val="right"/>
              <w:rPr>
                <w:sz w:val="16"/>
              </w:rPr>
            </w:pPr>
            <w:r>
              <w:rPr>
                <w:sz w:val="16"/>
              </w:rPr>
              <w:t>0.40*</w:t>
            </w:r>
          </w:p>
        </w:tc>
      </w:tr>
      <w:tr>
        <w:trPr>
          <w:trHeight w:val="388" w:hRule="atLeast"/>
        </w:trPr>
        <w:tc>
          <w:tcPr>
            <w:tcW w:w="1802" w:type="dxa"/>
          </w:tcPr>
          <w:p>
            <w:pPr>
              <w:pStyle w:val="TableParagraph"/>
              <w:spacing w:line="180" w:lineRule="atLeast" w:before="4"/>
              <w:ind w:left="28" w:right="864"/>
              <w:rPr>
                <w:sz w:val="16"/>
              </w:rPr>
            </w:pPr>
            <w:r>
              <w:rPr>
                <w:sz w:val="16"/>
              </w:rPr>
              <w:t>Enterolobium cyclocarpum</w:t>
            </w:r>
          </w:p>
        </w:tc>
        <w:tc>
          <w:tcPr>
            <w:tcW w:w="1180" w:type="dxa"/>
          </w:tcPr>
          <w:p>
            <w:pPr>
              <w:pStyle w:val="TableParagraph"/>
              <w:spacing w:before="95"/>
              <w:ind w:left="19" w:right="14"/>
              <w:jc w:val="center"/>
              <w:rPr>
                <w:sz w:val="16"/>
              </w:rPr>
            </w:pPr>
            <w:r>
              <w:rPr>
                <w:sz w:val="16"/>
              </w:rPr>
              <w:t>0.35</w:t>
            </w:r>
          </w:p>
        </w:tc>
        <w:tc>
          <w:tcPr>
            <w:tcW w:w="1809" w:type="dxa"/>
          </w:tcPr>
          <w:p>
            <w:pPr>
              <w:pStyle w:val="TableParagraph"/>
              <w:spacing w:before="95"/>
              <w:ind w:left="28"/>
              <w:rPr>
                <w:sz w:val="16"/>
              </w:rPr>
            </w:pPr>
            <w:r>
              <w:rPr>
                <w:sz w:val="16"/>
              </w:rPr>
              <w:t>Humiria balsamifera</w:t>
            </w:r>
          </w:p>
        </w:tc>
        <w:tc>
          <w:tcPr>
            <w:tcW w:w="1180" w:type="dxa"/>
          </w:tcPr>
          <w:p>
            <w:pPr>
              <w:pStyle w:val="TableParagraph"/>
              <w:spacing w:before="95"/>
              <w:ind w:left="25" w:right="8"/>
              <w:jc w:val="center"/>
              <w:rPr>
                <w:sz w:val="16"/>
              </w:rPr>
            </w:pPr>
            <w:r>
              <w:rPr>
                <w:sz w:val="16"/>
              </w:rPr>
              <w:t>0.66,0.67+</w:t>
            </w:r>
          </w:p>
        </w:tc>
        <w:tc>
          <w:tcPr>
            <w:tcW w:w="1794" w:type="dxa"/>
          </w:tcPr>
          <w:p>
            <w:pPr>
              <w:pStyle w:val="TableParagraph"/>
              <w:spacing w:before="95"/>
              <w:ind w:left="33"/>
              <w:rPr>
                <w:sz w:val="16"/>
              </w:rPr>
            </w:pPr>
            <w:r>
              <w:rPr>
                <w:sz w:val="16"/>
              </w:rPr>
              <w:t>Maesopsis eminii</w:t>
            </w:r>
          </w:p>
        </w:tc>
        <w:tc>
          <w:tcPr>
            <w:tcW w:w="1177" w:type="dxa"/>
          </w:tcPr>
          <w:p>
            <w:pPr>
              <w:pStyle w:val="TableParagraph"/>
              <w:spacing w:before="95"/>
              <w:ind w:right="432"/>
              <w:jc w:val="right"/>
              <w:rPr>
                <w:sz w:val="16"/>
              </w:rPr>
            </w:pPr>
            <w:r>
              <w:rPr>
                <w:sz w:val="16"/>
              </w:rPr>
              <w:t>0.41</w:t>
            </w:r>
          </w:p>
        </w:tc>
      </w:tr>
      <w:tr>
        <w:trPr>
          <w:trHeight w:val="385" w:hRule="atLeast"/>
        </w:trPr>
        <w:tc>
          <w:tcPr>
            <w:tcW w:w="1802" w:type="dxa"/>
          </w:tcPr>
          <w:p>
            <w:pPr>
              <w:pStyle w:val="TableParagraph"/>
              <w:spacing w:before="95"/>
              <w:ind w:left="28"/>
              <w:rPr>
                <w:sz w:val="16"/>
              </w:rPr>
            </w:pPr>
            <w:r>
              <w:rPr>
                <w:sz w:val="16"/>
              </w:rPr>
              <w:t>Epicharis cumingiana</w:t>
            </w:r>
          </w:p>
        </w:tc>
        <w:tc>
          <w:tcPr>
            <w:tcW w:w="1180" w:type="dxa"/>
          </w:tcPr>
          <w:p>
            <w:pPr>
              <w:pStyle w:val="TableParagraph"/>
              <w:spacing w:before="95"/>
              <w:ind w:left="19" w:right="14"/>
              <w:jc w:val="center"/>
              <w:rPr>
                <w:sz w:val="16"/>
              </w:rPr>
            </w:pPr>
            <w:r>
              <w:rPr>
                <w:sz w:val="16"/>
              </w:rPr>
              <w:t>0.73</w:t>
            </w:r>
          </w:p>
        </w:tc>
        <w:tc>
          <w:tcPr>
            <w:tcW w:w="1809" w:type="dxa"/>
          </w:tcPr>
          <w:p>
            <w:pPr>
              <w:pStyle w:val="TableParagraph"/>
              <w:spacing w:before="95"/>
              <w:ind w:left="29"/>
              <w:rPr>
                <w:sz w:val="16"/>
              </w:rPr>
            </w:pPr>
            <w:r>
              <w:rPr>
                <w:sz w:val="16"/>
              </w:rPr>
              <w:t>Humiriastrum procera</w:t>
            </w:r>
          </w:p>
        </w:tc>
        <w:tc>
          <w:tcPr>
            <w:tcW w:w="1180" w:type="dxa"/>
          </w:tcPr>
          <w:p>
            <w:pPr>
              <w:pStyle w:val="TableParagraph"/>
              <w:spacing w:before="95"/>
              <w:ind w:left="25" w:right="12"/>
              <w:jc w:val="center"/>
              <w:rPr>
                <w:sz w:val="16"/>
              </w:rPr>
            </w:pPr>
            <w:r>
              <w:rPr>
                <w:sz w:val="16"/>
              </w:rPr>
              <w:t>0.7</w:t>
            </w:r>
          </w:p>
        </w:tc>
        <w:tc>
          <w:tcPr>
            <w:tcW w:w="1794" w:type="dxa"/>
          </w:tcPr>
          <w:p>
            <w:pPr>
              <w:pStyle w:val="TableParagraph"/>
              <w:spacing w:line="182" w:lineRule="exact" w:before="7"/>
              <w:ind w:left="33" w:right="504"/>
              <w:rPr>
                <w:sz w:val="16"/>
              </w:rPr>
            </w:pPr>
            <w:r>
              <w:rPr>
                <w:sz w:val="16"/>
              </w:rPr>
              <w:t>Malacantha sp. aff. alnifolia</w:t>
            </w:r>
          </w:p>
        </w:tc>
        <w:tc>
          <w:tcPr>
            <w:tcW w:w="1177" w:type="dxa"/>
          </w:tcPr>
          <w:p>
            <w:pPr>
              <w:pStyle w:val="TableParagraph"/>
              <w:spacing w:before="95"/>
              <w:ind w:right="399"/>
              <w:jc w:val="right"/>
              <w:rPr>
                <w:sz w:val="16"/>
              </w:rPr>
            </w:pPr>
            <w:r>
              <w:rPr>
                <w:sz w:val="16"/>
              </w:rPr>
              <w:t>0.45”</w:t>
            </w:r>
          </w:p>
        </w:tc>
      </w:tr>
      <w:tr>
        <w:trPr>
          <w:trHeight w:val="244" w:hRule="atLeast"/>
        </w:trPr>
        <w:tc>
          <w:tcPr>
            <w:tcW w:w="1802" w:type="dxa"/>
          </w:tcPr>
          <w:p>
            <w:pPr>
              <w:pStyle w:val="TableParagraph"/>
              <w:spacing w:before="23"/>
              <w:ind w:left="28"/>
              <w:rPr>
                <w:sz w:val="16"/>
              </w:rPr>
            </w:pPr>
            <w:r>
              <w:rPr>
                <w:sz w:val="16"/>
              </w:rPr>
              <w:t>Erythrina subumbrans</w:t>
            </w:r>
          </w:p>
        </w:tc>
        <w:tc>
          <w:tcPr>
            <w:tcW w:w="1180" w:type="dxa"/>
          </w:tcPr>
          <w:p>
            <w:pPr>
              <w:pStyle w:val="TableParagraph"/>
              <w:spacing w:before="23"/>
              <w:ind w:left="19" w:right="14"/>
              <w:jc w:val="center"/>
              <w:rPr>
                <w:sz w:val="16"/>
              </w:rPr>
            </w:pPr>
            <w:r>
              <w:rPr>
                <w:sz w:val="16"/>
              </w:rPr>
              <w:t>0.24</w:t>
            </w:r>
          </w:p>
        </w:tc>
        <w:tc>
          <w:tcPr>
            <w:tcW w:w="1809" w:type="dxa"/>
          </w:tcPr>
          <w:p>
            <w:pPr>
              <w:pStyle w:val="TableParagraph"/>
              <w:spacing w:before="23"/>
              <w:ind w:left="29"/>
              <w:rPr>
                <w:sz w:val="16"/>
              </w:rPr>
            </w:pPr>
            <w:r>
              <w:rPr>
                <w:sz w:val="16"/>
              </w:rPr>
              <w:t>Hura crepitans</w:t>
            </w:r>
          </w:p>
        </w:tc>
        <w:tc>
          <w:tcPr>
            <w:tcW w:w="1180" w:type="dxa"/>
          </w:tcPr>
          <w:p>
            <w:pPr>
              <w:pStyle w:val="TableParagraph"/>
              <w:spacing w:before="23"/>
              <w:ind w:left="25" w:right="14"/>
              <w:jc w:val="center"/>
              <w:rPr>
                <w:sz w:val="16"/>
              </w:rPr>
            </w:pPr>
            <w:r>
              <w:rPr>
                <w:sz w:val="16"/>
              </w:rPr>
              <w:t>0.36, 0.37, 0.38+</w:t>
            </w:r>
          </w:p>
        </w:tc>
        <w:tc>
          <w:tcPr>
            <w:tcW w:w="1794" w:type="dxa"/>
          </w:tcPr>
          <w:p>
            <w:pPr>
              <w:pStyle w:val="TableParagraph"/>
              <w:spacing w:before="23"/>
              <w:ind w:left="34"/>
              <w:rPr>
                <w:sz w:val="16"/>
              </w:rPr>
            </w:pPr>
            <w:r>
              <w:rPr>
                <w:sz w:val="16"/>
              </w:rPr>
              <w:t>Mammea africana</w:t>
            </w:r>
          </w:p>
        </w:tc>
        <w:tc>
          <w:tcPr>
            <w:tcW w:w="1177" w:type="dxa"/>
          </w:tcPr>
          <w:p>
            <w:pPr>
              <w:pStyle w:val="TableParagraph"/>
              <w:spacing w:before="23"/>
              <w:ind w:right="430"/>
              <w:jc w:val="right"/>
              <w:rPr>
                <w:sz w:val="16"/>
              </w:rPr>
            </w:pPr>
            <w:r>
              <w:rPr>
                <w:sz w:val="16"/>
              </w:rPr>
              <w:t>0.62</w:t>
            </w:r>
          </w:p>
        </w:tc>
      </w:tr>
      <w:tr>
        <w:trPr>
          <w:trHeight w:val="369" w:hRule="atLeast"/>
        </w:trPr>
        <w:tc>
          <w:tcPr>
            <w:tcW w:w="1802" w:type="dxa"/>
          </w:tcPr>
          <w:p>
            <w:pPr>
              <w:pStyle w:val="TableParagraph"/>
              <w:spacing w:line="178" w:lineRule="exact"/>
              <w:ind w:left="28"/>
              <w:rPr>
                <w:sz w:val="16"/>
              </w:rPr>
            </w:pPr>
            <w:r>
              <w:rPr>
                <w:sz w:val="16"/>
              </w:rPr>
              <w:t>Erythrophloeum</w:t>
            </w:r>
          </w:p>
          <w:p>
            <w:pPr>
              <w:pStyle w:val="TableParagraph"/>
              <w:spacing w:line="170" w:lineRule="exact" w:before="1"/>
              <w:ind w:left="28"/>
              <w:rPr>
                <w:sz w:val="16"/>
              </w:rPr>
            </w:pPr>
            <w:r>
              <w:rPr>
                <w:sz w:val="16"/>
              </w:rPr>
              <w:t>densiflorum</w:t>
            </w:r>
          </w:p>
        </w:tc>
        <w:tc>
          <w:tcPr>
            <w:tcW w:w="1180" w:type="dxa"/>
          </w:tcPr>
          <w:p>
            <w:pPr>
              <w:pStyle w:val="TableParagraph"/>
              <w:spacing w:before="85"/>
              <w:ind w:left="19" w:right="14"/>
              <w:jc w:val="center"/>
              <w:rPr>
                <w:sz w:val="16"/>
              </w:rPr>
            </w:pPr>
            <w:r>
              <w:rPr>
                <w:sz w:val="16"/>
              </w:rPr>
              <w:t>0.65</w:t>
            </w:r>
          </w:p>
        </w:tc>
        <w:tc>
          <w:tcPr>
            <w:tcW w:w="1809" w:type="dxa"/>
          </w:tcPr>
          <w:p>
            <w:pPr>
              <w:pStyle w:val="TableParagraph"/>
              <w:spacing w:before="85"/>
              <w:ind w:left="28"/>
              <w:rPr>
                <w:sz w:val="16"/>
              </w:rPr>
            </w:pPr>
            <w:r>
              <w:rPr>
                <w:sz w:val="16"/>
              </w:rPr>
              <w:t>Hyeronima alchorneoides</w:t>
            </w:r>
          </w:p>
        </w:tc>
        <w:tc>
          <w:tcPr>
            <w:tcW w:w="1180" w:type="dxa"/>
          </w:tcPr>
          <w:p>
            <w:pPr>
              <w:pStyle w:val="TableParagraph"/>
              <w:spacing w:before="85"/>
              <w:ind w:left="25" w:right="10"/>
              <w:jc w:val="center"/>
              <w:rPr>
                <w:sz w:val="16"/>
              </w:rPr>
            </w:pPr>
            <w:r>
              <w:rPr>
                <w:sz w:val="16"/>
              </w:rPr>
              <w:t>0.60,0.64+</w:t>
            </w:r>
          </w:p>
        </w:tc>
        <w:tc>
          <w:tcPr>
            <w:tcW w:w="1794" w:type="dxa"/>
          </w:tcPr>
          <w:p>
            <w:pPr>
              <w:pStyle w:val="TableParagraph"/>
              <w:spacing w:before="85"/>
              <w:ind w:left="32"/>
              <w:rPr>
                <w:sz w:val="16"/>
              </w:rPr>
            </w:pPr>
            <w:r>
              <w:rPr>
                <w:sz w:val="16"/>
              </w:rPr>
              <w:t>Manilkara lacera</w:t>
            </w:r>
          </w:p>
        </w:tc>
        <w:tc>
          <w:tcPr>
            <w:tcW w:w="1177" w:type="dxa"/>
          </w:tcPr>
          <w:p>
            <w:pPr>
              <w:pStyle w:val="TableParagraph"/>
              <w:spacing w:before="85"/>
              <w:ind w:right="399"/>
              <w:jc w:val="right"/>
              <w:rPr>
                <w:sz w:val="16"/>
              </w:rPr>
            </w:pPr>
            <w:r>
              <w:rPr>
                <w:sz w:val="16"/>
              </w:rPr>
              <w:t>0.78”</w:t>
            </w:r>
          </w:p>
        </w:tc>
      </w:tr>
      <w:tr>
        <w:trPr>
          <w:trHeight w:val="244" w:hRule="atLeast"/>
        </w:trPr>
        <w:tc>
          <w:tcPr>
            <w:tcW w:w="1802" w:type="dxa"/>
          </w:tcPr>
          <w:p>
            <w:pPr>
              <w:pStyle w:val="TableParagraph"/>
              <w:spacing w:before="23"/>
              <w:ind w:left="28"/>
              <w:rPr>
                <w:sz w:val="16"/>
              </w:rPr>
            </w:pPr>
            <w:r>
              <w:rPr>
                <w:sz w:val="16"/>
              </w:rPr>
              <w:t>Eucalyptus citriodora</w:t>
            </w:r>
          </w:p>
        </w:tc>
        <w:tc>
          <w:tcPr>
            <w:tcW w:w="1180" w:type="dxa"/>
          </w:tcPr>
          <w:p>
            <w:pPr>
              <w:pStyle w:val="TableParagraph"/>
              <w:spacing w:before="23"/>
              <w:ind w:left="19" w:right="14"/>
              <w:jc w:val="center"/>
              <w:rPr>
                <w:sz w:val="16"/>
              </w:rPr>
            </w:pPr>
            <w:r>
              <w:rPr>
                <w:sz w:val="16"/>
              </w:rPr>
              <w:t>0.64</w:t>
            </w:r>
          </w:p>
        </w:tc>
        <w:tc>
          <w:tcPr>
            <w:tcW w:w="1809" w:type="dxa"/>
          </w:tcPr>
          <w:p>
            <w:pPr>
              <w:pStyle w:val="TableParagraph"/>
              <w:spacing w:before="23"/>
              <w:ind w:left="28"/>
              <w:rPr>
                <w:sz w:val="16"/>
              </w:rPr>
            </w:pPr>
            <w:r>
              <w:rPr>
                <w:sz w:val="16"/>
              </w:rPr>
              <w:t>Hyeronima laxiflora</w:t>
            </w:r>
          </w:p>
        </w:tc>
        <w:tc>
          <w:tcPr>
            <w:tcW w:w="1180" w:type="dxa"/>
          </w:tcPr>
          <w:p>
            <w:pPr>
              <w:pStyle w:val="TableParagraph"/>
              <w:spacing w:before="23"/>
              <w:ind w:left="25" w:right="12"/>
              <w:jc w:val="center"/>
              <w:rPr>
                <w:sz w:val="16"/>
              </w:rPr>
            </w:pPr>
            <w:r>
              <w:rPr>
                <w:sz w:val="16"/>
              </w:rPr>
              <w:t>0.59</w:t>
            </w:r>
          </w:p>
        </w:tc>
        <w:tc>
          <w:tcPr>
            <w:tcW w:w="1794" w:type="dxa"/>
          </w:tcPr>
          <w:p>
            <w:pPr>
              <w:pStyle w:val="TableParagraph"/>
              <w:spacing w:before="23"/>
              <w:ind w:left="32"/>
              <w:rPr>
                <w:sz w:val="16"/>
              </w:rPr>
            </w:pPr>
            <w:r>
              <w:rPr>
                <w:sz w:val="16"/>
              </w:rPr>
              <w:t>Markhamia platycalyx</w:t>
            </w:r>
          </w:p>
        </w:tc>
        <w:tc>
          <w:tcPr>
            <w:tcW w:w="1177" w:type="dxa"/>
          </w:tcPr>
          <w:p>
            <w:pPr>
              <w:pStyle w:val="TableParagraph"/>
              <w:spacing w:before="23"/>
              <w:ind w:right="391"/>
              <w:jc w:val="right"/>
              <w:rPr>
                <w:sz w:val="16"/>
              </w:rPr>
            </w:pPr>
            <w:r>
              <w:rPr>
                <w:sz w:val="16"/>
              </w:rPr>
              <w:t>0.45*</w:t>
            </w:r>
          </w:p>
        </w:tc>
      </w:tr>
      <w:tr>
        <w:trPr>
          <w:trHeight w:val="244" w:hRule="atLeast"/>
        </w:trPr>
        <w:tc>
          <w:tcPr>
            <w:tcW w:w="1802" w:type="dxa"/>
          </w:tcPr>
          <w:p>
            <w:pPr>
              <w:pStyle w:val="TableParagraph"/>
              <w:spacing w:before="23"/>
              <w:ind w:left="28"/>
              <w:rPr>
                <w:sz w:val="16"/>
              </w:rPr>
            </w:pPr>
            <w:r>
              <w:rPr>
                <w:sz w:val="16"/>
              </w:rPr>
              <w:t>Eucalyptus deglupta</w:t>
            </w:r>
          </w:p>
        </w:tc>
        <w:tc>
          <w:tcPr>
            <w:tcW w:w="1180" w:type="dxa"/>
          </w:tcPr>
          <w:p>
            <w:pPr>
              <w:pStyle w:val="TableParagraph"/>
              <w:spacing w:before="23"/>
              <w:ind w:left="18" w:right="14"/>
              <w:jc w:val="center"/>
              <w:rPr>
                <w:sz w:val="16"/>
              </w:rPr>
            </w:pPr>
            <w:r>
              <w:rPr>
                <w:sz w:val="16"/>
              </w:rPr>
              <w:t>0.34</w:t>
            </w:r>
          </w:p>
        </w:tc>
        <w:tc>
          <w:tcPr>
            <w:tcW w:w="1809" w:type="dxa"/>
          </w:tcPr>
          <w:p>
            <w:pPr>
              <w:pStyle w:val="TableParagraph"/>
              <w:spacing w:before="23"/>
              <w:ind w:left="28"/>
              <w:rPr>
                <w:sz w:val="16"/>
              </w:rPr>
            </w:pPr>
            <w:r>
              <w:rPr>
                <w:sz w:val="16"/>
              </w:rPr>
              <w:t>Hymenaea davisii</w:t>
            </w:r>
          </w:p>
        </w:tc>
        <w:tc>
          <w:tcPr>
            <w:tcW w:w="1180" w:type="dxa"/>
          </w:tcPr>
          <w:p>
            <w:pPr>
              <w:pStyle w:val="TableParagraph"/>
              <w:spacing w:before="23"/>
              <w:ind w:left="25" w:right="13"/>
              <w:jc w:val="center"/>
              <w:rPr>
                <w:sz w:val="16"/>
              </w:rPr>
            </w:pPr>
            <w:r>
              <w:rPr>
                <w:sz w:val="16"/>
              </w:rPr>
              <w:t>0.67</w:t>
            </w:r>
          </w:p>
        </w:tc>
        <w:tc>
          <w:tcPr>
            <w:tcW w:w="1794" w:type="dxa"/>
          </w:tcPr>
          <w:p>
            <w:pPr>
              <w:pStyle w:val="TableParagraph"/>
              <w:spacing w:before="23"/>
              <w:ind w:left="32"/>
              <w:rPr>
                <w:sz w:val="16"/>
              </w:rPr>
            </w:pPr>
            <w:r>
              <w:rPr>
                <w:sz w:val="16"/>
              </w:rPr>
              <w:t>Memecylon capitellatum</w:t>
            </w:r>
          </w:p>
        </w:tc>
        <w:tc>
          <w:tcPr>
            <w:tcW w:w="1177" w:type="dxa"/>
          </w:tcPr>
          <w:p>
            <w:pPr>
              <w:pStyle w:val="TableParagraph"/>
              <w:spacing w:before="23"/>
              <w:ind w:right="398"/>
              <w:jc w:val="right"/>
              <w:rPr>
                <w:sz w:val="16"/>
              </w:rPr>
            </w:pPr>
            <w:r>
              <w:rPr>
                <w:sz w:val="16"/>
              </w:rPr>
              <w:t>0.77”</w:t>
            </w:r>
          </w:p>
        </w:tc>
      </w:tr>
      <w:tr>
        <w:trPr>
          <w:trHeight w:val="386" w:hRule="atLeast"/>
        </w:trPr>
        <w:tc>
          <w:tcPr>
            <w:tcW w:w="1802" w:type="dxa"/>
          </w:tcPr>
          <w:p>
            <w:pPr>
              <w:pStyle w:val="TableParagraph"/>
              <w:spacing w:before="95"/>
              <w:ind w:left="28"/>
              <w:rPr>
                <w:sz w:val="16"/>
              </w:rPr>
            </w:pPr>
            <w:r>
              <w:rPr>
                <w:sz w:val="16"/>
              </w:rPr>
              <w:t>Eugenia spp.</w:t>
            </w:r>
          </w:p>
        </w:tc>
        <w:tc>
          <w:tcPr>
            <w:tcW w:w="1180" w:type="dxa"/>
          </w:tcPr>
          <w:p>
            <w:pPr>
              <w:pStyle w:val="TableParagraph"/>
              <w:spacing w:before="95"/>
              <w:ind w:left="20" w:right="14"/>
              <w:jc w:val="center"/>
              <w:rPr>
                <w:sz w:val="16"/>
              </w:rPr>
            </w:pPr>
            <w:r>
              <w:rPr>
                <w:sz w:val="16"/>
              </w:rPr>
              <w:t>0.65</w:t>
            </w:r>
          </w:p>
        </w:tc>
        <w:tc>
          <w:tcPr>
            <w:tcW w:w="1809" w:type="dxa"/>
          </w:tcPr>
          <w:p>
            <w:pPr>
              <w:pStyle w:val="TableParagraph"/>
              <w:spacing w:before="95"/>
              <w:ind w:left="29"/>
              <w:rPr>
                <w:sz w:val="16"/>
              </w:rPr>
            </w:pPr>
            <w:r>
              <w:rPr>
                <w:sz w:val="16"/>
              </w:rPr>
              <w:t>Hymenolobium sp.</w:t>
            </w:r>
          </w:p>
        </w:tc>
        <w:tc>
          <w:tcPr>
            <w:tcW w:w="1180" w:type="dxa"/>
          </w:tcPr>
          <w:p>
            <w:pPr>
              <w:pStyle w:val="TableParagraph"/>
              <w:spacing w:before="95"/>
              <w:ind w:left="25" w:right="12"/>
              <w:jc w:val="center"/>
              <w:rPr>
                <w:sz w:val="16"/>
              </w:rPr>
            </w:pPr>
            <w:r>
              <w:rPr>
                <w:sz w:val="16"/>
              </w:rPr>
              <w:t>0.64</w:t>
            </w:r>
          </w:p>
        </w:tc>
        <w:tc>
          <w:tcPr>
            <w:tcW w:w="1794" w:type="dxa"/>
          </w:tcPr>
          <w:p>
            <w:pPr>
              <w:pStyle w:val="TableParagraph"/>
              <w:spacing w:line="180" w:lineRule="atLeast" w:before="4"/>
              <w:ind w:left="33" w:right="780"/>
              <w:rPr>
                <w:sz w:val="16"/>
              </w:rPr>
            </w:pPr>
            <w:r>
              <w:rPr>
                <w:sz w:val="16"/>
              </w:rPr>
              <w:t>Microberlinia brazzavillensis</w:t>
            </w:r>
          </w:p>
        </w:tc>
        <w:tc>
          <w:tcPr>
            <w:tcW w:w="1177" w:type="dxa"/>
          </w:tcPr>
          <w:p>
            <w:pPr>
              <w:pStyle w:val="TableParagraph"/>
              <w:spacing w:before="95"/>
              <w:ind w:left="470" w:right="456"/>
              <w:jc w:val="center"/>
              <w:rPr>
                <w:sz w:val="16"/>
              </w:rPr>
            </w:pPr>
            <w:r>
              <w:rPr>
                <w:sz w:val="16"/>
              </w:rPr>
              <w:t>0.7</w:t>
            </w:r>
          </w:p>
        </w:tc>
      </w:tr>
      <w:tr>
        <w:trPr>
          <w:trHeight w:val="388" w:hRule="atLeast"/>
        </w:trPr>
        <w:tc>
          <w:tcPr>
            <w:tcW w:w="1802" w:type="dxa"/>
          </w:tcPr>
          <w:p>
            <w:pPr>
              <w:pStyle w:val="TableParagraph"/>
              <w:spacing w:before="95"/>
              <w:ind w:left="28"/>
              <w:rPr>
                <w:sz w:val="16"/>
              </w:rPr>
            </w:pPr>
            <w:r>
              <w:rPr>
                <w:sz w:val="16"/>
              </w:rPr>
              <w:t>Fagraea spp.</w:t>
            </w:r>
          </w:p>
        </w:tc>
        <w:tc>
          <w:tcPr>
            <w:tcW w:w="1180" w:type="dxa"/>
          </w:tcPr>
          <w:p>
            <w:pPr>
              <w:pStyle w:val="TableParagraph"/>
              <w:spacing w:before="95"/>
              <w:ind w:left="19" w:right="14"/>
              <w:jc w:val="center"/>
              <w:rPr>
                <w:sz w:val="16"/>
              </w:rPr>
            </w:pPr>
            <w:r>
              <w:rPr>
                <w:sz w:val="16"/>
              </w:rPr>
              <w:t>0.73</w:t>
            </w:r>
          </w:p>
        </w:tc>
        <w:tc>
          <w:tcPr>
            <w:tcW w:w="1809" w:type="dxa"/>
          </w:tcPr>
          <w:p>
            <w:pPr>
              <w:pStyle w:val="TableParagraph"/>
              <w:spacing w:before="95"/>
              <w:ind w:left="28"/>
              <w:rPr>
                <w:sz w:val="16"/>
              </w:rPr>
            </w:pPr>
            <w:r>
              <w:rPr>
                <w:sz w:val="16"/>
              </w:rPr>
              <w:t>Inga sp.</w:t>
            </w:r>
          </w:p>
        </w:tc>
        <w:tc>
          <w:tcPr>
            <w:tcW w:w="1180" w:type="dxa"/>
          </w:tcPr>
          <w:p>
            <w:pPr>
              <w:pStyle w:val="TableParagraph"/>
              <w:spacing w:before="4"/>
              <w:ind w:left="24" w:right="14"/>
              <w:jc w:val="center"/>
              <w:rPr>
                <w:sz w:val="16"/>
              </w:rPr>
            </w:pPr>
            <w:r>
              <w:rPr>
                <w:sz w:val="16"/>
              </w:rPr>
              <w:t>0.49,0.52,0.58,</w:t>
            </w:r>
          </w:p>
          <w:p>
            <w:pPr>
              <w:pStyle w:val="TableParagraph"/>
              <w:spacing w:line="180" w:lineRule="exact" w:before="1"/>
              <w:ind w:left="24" w:right="14"/>
              <w:jc w:val="center"/>
              <w:rPr>
                <w:sz w:val="16"/>
              </w:rPr>
            </w:pPr>
            <w:r>
              <w:rPr>
                <w:sz w:val="16"/>
              </w:rPr>
              <w:t>0.64+</w:t>
            </w:r>
          </w:p>
        </w:tc>
        <w:tc>
          <w:tcPr>
            <w:tcW w:w="1794" w:type="dxa"/>
          </w:tcPr>
          <w:p>
            <w:pPr>
              <w:pStyle w:val="TableParagraph"/>
              <w:spacing w:before="95"/>
              <w:ind w:left="33"/>
              <w:rPr>
                <w:sz w:val="16"/>
              </w:rPr>
            </w:pPr>
            <w:r>
              <w:rPr>
                <w:sz w:val="16"/>
              </w:rPr>
              <w:t>Microcos coriaceus</w:t>
            </w:r>
          </w:p>
        </w:tc>
        <w:tc>
          <w:tcPr>
            <w:tcW w:w="1177" w:type="dxa"/>
          </w:tcPr>
          <w:p>
            <w:pPr>
              <w:pStyle w:val="TableParagraph"/>
              <w:spacing w:before="95"/>
              <w:ind w:right="398"/>
              <w:jc w:val="right"/>
              <w:rPr>
                <w:sz w:val="16"/>
              </w:rPr>
            </w:pPr>
            <w:r>
              <w:rPr>
                <w:sz w:val="16"/>
              </w:rPr>
              <w:t>0.42”</w:t>
            </w:r>
          </w:p>
        </w:tc>
      </w:tr>
      <w:tr>
        <w:trPr>
          <w:trHeight w:val="244" w:hRule="atLeast"/>
        </w:trPr>
        <w:tc>
          <w:tcPr>
            <w:tcW w:w="1802" w:type="dxa"/>
          </w:tcPr>
          <w:p>
            <w:pPr>
              <w:pStyle w:val="TableParagraph"/>
              <w:spacing w:before="23"/>
              <w:ind w:left="28"/>
              <w:rPr>
                <w:sz w:val="16"/>
              </w:rPr>
            </w:pPr>
            <w:r>
              <w:rPr>
                <w:sz w:val="16"/>
              </w:rPr>
              <w:t>Ficus benjamina</w:t>
            </w:r>
          </w:p>
        </w:tc>
        <w:tc>
          <w:tcPr>
            <w:tcW w:w="1180" w:type="dxa"/>
          </w:tcPr>
          <w:p>
            <w:pPr>
              <w:pStyle w:val="TableParagraph"/>
              <w:spacing w:before="23"/>
              <w:ind w:left="20" w:right="14"/>
              <w:jc w:val="center"/>
              <w:rPr>
                <w:sz w:val="16"/>
              </w:rPr>
            </w:pPr>
            <w:r>
              <w:rPr>
                <w:sz w:val="16"/>
              </w:rPr>
              <w:t>0.65</w:t>
            </w:r>
          </w:p>
        </w:tc>
        <w:tc>
          <w:tcPr>
            <w:tcW w:w="1809" w:type="dxa"/>
          </w:tcPr>
          <w:p>
            <w:pPr>
              <w:pStyle w:val="TableParagraph"/>
              <w:spacing w:before="23"/>
              <w:ind w:left="29"/>
              <w:rPr>
                <w:sz w:val="16"/>
              </w:rPr>
            </w:pPr>
            <w:r>
              <w:rPr>
                <w:sz w:val="16"/>
              </w:rPr>
              <w:t>Iryanthera spp.</w:t>
            </w:r>
          </w:p>
        </w:tc>
        <w:tc>
          <w:tcPr>
            <w:tcW w:w="1180" w:type="dxa"/>
          </w:tcPr>
          <w:p>
            <w:pPr>
              <w:pStyle w:val="TableParagraph"/>
              <w:spacing w:before="23"/>
              <w:ind w:left="25" w:right="12"/>
              <w:jc w:val="center"/>
              <w:rPr>
                <w:sz w:val="16"/>
              </w:rPr>
            </w:pPr>
            <w:r>
              <w:rPr>
                <w:sz w:val="16"/>
              </w:rPr>
              <w:t>0.46</w:t>
            </w:r>
          </w:p>
        </w:tc>
        <w:tc>
          <w:tcPr>
            <w:tcW w:w="1794" w:type="dxa"/>
          </w:tcPr>
          <w:p>
            <w:pPr>
              <w:pStyle w:val="TableParagraph"/>
              <w:spacing w:before="23"/>
              <w:ind w:left="32"/>
              <w:rPr>
                <w:sz w:val="16"/>
              </w:rPr>
            </w:pPr>
            <w:r>
              <w:rPr>
                <w:sz w:val="16"/>
              </w:rPr>
              <w:t>Milletia spp.</w:t>
            </w:r>
          </w:p>
        </w:tc>
        <w:tc>
          <w:tcPr>
            <w:tcW w:w="1177" w:type="dxa"/>
          </w:tcPr>
          <w:p>
            <w:pPr>
              <w:pStyle w:val="TableParagraph"/>
              <w:spacing w:before="23"/>
              <w:ind w:right="432"/>
              <w:jc w:val="right"/>
              <w:rPr>
                <w:sz w:val="16"/>
              </w:rPr>
            </w:pPr>
            <w:r>
              <w:rPr>
                <w:sz w:val="16"/>
              </w:rPr>
              <w:t>0.72</w:t>
            </w:r>
          </w:p>
        </w:tc>
      </w:tr>
      <w:tr>
        <w:trPr>
          <w:trHeight w:val="244" w:hRule="atLeast"/>
        </w:trPr>
        <w:tc>
          <w:tcPr>
            <w:tcW w:w="1802" w:type="dxa"/>
          </w:tcPr>
          <w:p>
            <w:pPr>
              <w:pStyle w:val="TableParagraph"/>
              <w:spacing w:before="23"/>
              <w:ind w:left="28"/>
              <w:rPr>
                <w:sz w:val="16"/>
              </w:rPr>
            </w:pPr>
            <w:r>
              <w:rPr>
                <w:sz w:val="16"/>
              </w:rPr>
              <w:t>Ficus spp.</w:t>
            </w:r>
          </w:p>
        </w:tc>
        <w:tc>
          <w:tcPr>
            <w:tcW w:w="1180" w:type="dxa"/>
          </w:tcPr>
          <w:p>
            <w:pPr>
              <w:pStyle w:val="TableParagraph"/>
              <w:spacing w:before="23"/>
              <w:ind w:left="20" w:right="14"/>
              <w:jc w:val="center"/>
              <w:rPr>
                <w:sz w:val="16"/>
              </w:rPr>
            </w:pPr>
            <w:r>
              <w:rPr>
                <w:sz w:val="16"/>
              </w:rPr>
              <w:t>0.39</w:t>
            </w:r>
          </w:p>
        </w:tc>
        <w:tc>
          <w:tcPr>
            <w:tcW w:w="1809" w:type="dxa"/>
          </w:tcPr>
          <w:p>
            <w:pPr>
              <w:pStyle w:val="TableParagraph"/>
              <w:spacing w:before="23"/>
              <w:ind w:left="29"/>
              <w:rPr>
                <w:sz w:val="16"/>
              </w:rPr>
            </w:pPr>
            <w:r>
              <w:rPr>
                <w:sz w:val="16"/>
              </w:rPr>
              <w:t>Jacaranda sp.</w:t>
            </w:r>
          </w:p>
        </w:tc>
        <w:tc>
          <w:tcPr>
            <w:tcW w:w="1180" w:type="dxa"/>
          </w:tcPr>
          <w:p>
            <w:pPr>
              <w:pStyle w:val="TableParagraph"/>
              <w:spacing w:before="23"/>
              <w:ind w:left="25" w:right="10"/>
              <w:jc w:val="center"/>
              <w:rPr>
                <w:sz w:val="16"/>
              </w:rPr>
            </w:pPr>
            <w:r>
              <w:rPr>
                <w:sz w:val="16"/>
              </w:rPr>
              <w:t>0.55</w:t>
            </w:r>
          </w:p>
        </w:tc>
        <w:tc>
          <w:tcPr>
            <w:tcW w:w="1794" w:type="dxa"/>
          </w:tcPr>
          <w:p>
            <w:pPr>
              <w:pStyle w:val="TableParagraph"/>
              <w:spacing w:before="23"/>
              <w:ind w:left="33"/>
              <w:rPr>
                <w:sz w:val="16"/>
              </w:rPr>
            </w:pPr>
            <w:r>
              <w:rPr>
                <w:sz w:val="16"/>
              </w:rPr>
              <w:t>Mitragyna stipulosa</w:t>
            </w:r>
          </w:p>
        </w:tc>
        <w:tc>
          <w:tcPr>
            <w:tcW w:w="1177" w:type="dxa"/>
          </w:tcPr>
          <w:p>
            <w:pPr>
              <w:pStyle w:val="TableParagraph"/>
              <w:spacing w:before="23"/>
              <w:ind w:right="432"/>
              <w:jc w:val="right"/>
              <w:rPr>
                <w:sz w:val="16"/>
              </w:rPr>
            </w:pPr>
            <w:r>
              <w:rPr>
                <w:sz w:val="16"/>
              </w:rPr>
              <w:t>0.47</w:t>
            </w:r>
          </w:p>
        </w:tc>
      </w:tr>
      <w:tr>
        <w:trPr>
          <w:trHeight w:val="388" w:hRule="atLeast"/>
        </w:trPr>
        <w:tc>
          <w:tcPr>
            <w:tcW w:w="1802" w:type="dxa"/>
          </w:tcPr>
          <w:p>
            <w:pPr>
              <w:pStyle w:val="TableParagraph"/>
              <w:spacing w:before="95"/>
              <w:ind w:left="28"/>
              <w:rPr>
                <w:sz w:val="16"/>
              </w:rPr>
            </w:pPr>
            <w:r>
              <w:rPr>
                <w:sz w:val="16"/>
              </w:rPr>
              <w:t>Ganua obovatifolia</w:t>
            </w:r>
          </w:p>
        </w:tc>
        <w:tc>
          <w:tcPr>
            <w:tcW w:w="1180" w:type="dxa"/>
          </w:tcPr>
          <w:p>
            <w:pPr>
              <w:pStyle w:val="TableParagraph"/>
              <w:spacing w:before="95"/>
              <w:ind w:left="21" w:right="14"/>
              <w:jc w:val="center"/>
              <w:rPr>
                <w:sz w:val="16"/>
              </w:rPr>
            </w:pPr>
            <w:r>
              <w:rPr>
                <w:sz w:val="16"/>
              </w:rPr>
              <w:t>0.59</w:t>
            </w:r>
          </w:p>
        </w:tc>
        <w:tc>
          <w:tcPr>
            <w:tcW w:w="1809" w:type="dxa"/>
          </w:tcPr>
          <w:p>
            <w:pPr>
              <w:pStyle w:val="TableParagraph"/>
              <w:spacing w:before="95"/>
              <w:ind w:left="30"/>
              <w:rPr>
                <w:sz w:val="16"/>
              </w:rPr>
            </w:pPr>
            <w:r>
              <w:rPr>
                <w:sz w:val="16"/>
              </w:rPr>
              <w:t>Joannesia heveoides</w:t>
            </w:r>
          </w:p>
        </w:tc>
        <w:tc>
          <w:tcPr>
            <w:tcW w:w="1180" w:type="dxa"/>
          </w:tcPr>
          <w:p>
            <w:pPr>
              <w:pStyle w:val="TableParagraph"/>
              <w:spacing w:before="95"/>
              <w:ind w:left="25" w:right="11"/>
              <w:jc w:val="center"/>
              <w:rPr>
                <w:sz w:val="16"/>
              </w:rPr>
            </w:pPr>
            <w:r>
              <w:rPr>
                <w:sz w:val="16"/>
              </w:rPr>
              <w:t>0.39</w:t>
            </w:r>
          </w:p>
        </w:tc>
        <w:tc>
          <w:tcPr>
            <w:tcW w:w="1794" w:type="dxa"/>
          </w:tcPr>
          <w:p>
            <w:pPr>
              <w:pStyle w:val="TableParagraph"/>
              <w:spacing w:line="180" w:lineRule="atLeast" w:before="4"/>
              <w:ind w:left="33" w:right="620"/>
              <w:rPr>
                <w:sz w:val="16"/>
              </w:rPr>
            </w:pPr>
            <w:r>
              <w:rPr>
                <w:sz w:val="16"/>
              </w:rPr>
              <w:t>Monopetalanthus pellegrinii</w:t>
            </w:r>
          </w:p>
        </w:tc>
        <w:tc>
          <w:tcPr>
            <w:tcW w:w="1177" w:type="dxa"/>
          </w:tcPr>
          <w:p>
            <w:pPr>
              <w:pStyle w:val="TableParagraph"/>
              <w:spacing w:before="95"/>
              <w:ind w:right="399"/>
              <w:jc w:val="right"/>
              <w:rPr>
                <w:sz w:val="16"/>
              </w:rPr>
            </w:pPr>
            <w:r>
              <w:rPr>
                <w:sz w:val="16"/>
              </w:rPr>
              <w:t>0.47”</w:t>
            </w:r>
          </w:p>
        </w:tc>
      </w:tr>
      <w:tr>
        <w:trPr>
          <w:trHeight w:val="244" w:hRule="atLeast"/>
        </w:trPr>
        <w:tc>
          <w:tcPr>
            <w:tcW w:w="1802" w:type="dxa"/>
          </w:tcPr>
          <w:p>
            <w:pPr>
              <w:pStyle w:val="TableParagraph"/>
              <w:spacing w:before="23"/>
              <w:ind w:left="28"/>
              <w:rPr>
                <w:sz w:val="16"/>
              </w:rPr>
            </w:pPr>
            <w:r>
              <w:rPr>
                <w:sz w:val="16"/>
              </w:rPr>
              <w:t>Garcinia myrtifolia</w:t>
            </w:r>
          </w:p>
        </w:tc>
        <w:tc>
          <w:tcPr>
            <w:tcW w:w="1180" w:type="dxa"/>
          </w:tcPr>
          <w:p>
            <w:pPr>
              <w:pStyle w:val="TableParagraph"/>
              <w:spacing w:before="23"/>
              <w:ind w:left="21" w:right="14"/>
              <w:jc w:val="center"/>
              <w:rPr>
                <w:sz w:val="16"/>
              </w:rPr>
            </w:pPr>
            <w:r>
              <w:rPr>
                <w:sz w:val="16"/>
              </w:rPr>
              <w:t>0.65</w:t>
            </w:r>
          </w:p>
        </w:tc>
        <w:tc>
          <w:tcPr>
            <w:tcW w:w="1809" w:type="dxa"/>
          </w:tcPr>
          <w:p>
            <w:pPr>
              <w:pStyle w:val="TableParagraph"/>
              <w:spacing w:before="23"/>
              <w:ind w:left="29"/>
              <w:rPr>
                <w:sz w:val="16"/>
              </w:rPr>
            </w:pPr>
            <w:r>
              <w:rPr>
                <w:sz w:val="16"/>
              </w:rPr>
              <w:t>Lachmellea speciosa</w:t>
            </w:r>
          </w:p>
        </w:tc>
        <w:tc>
          <w:tcPr>
            <w:tcW w:w="1180" w:type="dxa"/>
          </w:tcPr>
          <w:p>
            <w:pPr>
              <w:pStyle w:val="TableParagraph"/>
              <w:spacing w:before="23"/>
              <w:ind w:left="25" w:right="11"/>
              <w:jc w:val="center"/>
              <w:rPr>
                <w:sz w:val="16"/>
              </w:rPr>
            </w:pPr>
            <w:r>
              <w:rPr>
                <w:sz w:val="16"/>
              </w:rPr>
              <w:t>0.73</w:t>
            </w:r>
          </w:p>
        </w:tc>
        <w:tc>
          <w:tcPr>
            <w:tcW w:w="1794" w:type="dxa"/>
          </w:tcPr>
          <w:p>
            <w:pPr>
              <w:pStyle w:val="TableParagraph"/>
              <w:spacing w:before="23"/>
              <w:ind w:left="33"/>
              <w:rPr>
                <w:sz w:val="16"/>
              </w:rPr>
            </w:pPr>
            <w:r>
              <w:rPr>
                <w:sz w:val="16"/>
              </w:rPr>
              <w:t>Musanga cecropioides</w:t>
            </w:r>
          </w:p>
        </w:tc>
        <w:tc>
          <w:tcPr>
            <w:tcW w:w="1177" w:type="dxa"/>
          </w:tcPr>
          <w:p>
            <w:pPr>
              <w:pStyle w:val="TableParagraph"/>
              <w:spacing w:before="23"/>
              <w:ind w:right="432"/>
              <w:jc w:val="right"/>
              <w:rPr>
                <w:sz w:val="16"/>
              </w:rPr>
            </w:pPr>
            <w:r>
              <w:rPr>
                <w:sz w:val="16"/>
              </w:rPr>
              <w:t>0.23</w:t>
            </w:r>
          </w:p>
        </w:tc>
      </w:tr>
      <w:tr>
        <w:trPr>
          <w:trHeight w:val="244" w:hRule="atLeast"/>
        </w:trPr>
        <w:tc>
          <w:tcPr>
            <w:tcW w:w="1802" w:type="dxa"/>
          </w:tcPr>
          <w:p>
            <w:pPr>
              <w:pStyle w:val="TableParagraph"/>
              <w:spacing w:before="23"/>
              <w:ind w:left="28"/>
              <w:rPr>
                <w:sz w:val="16"/>
              </w:rPr>
            </w:pPr>
            <w:r>
              <w:rPr>
                <w:sz w:val="16"/>
              </w:rPr>
              <w:t>Garcinia spp.</w:t>
            </w:r>
          </w:p>
        </w:tc>
        <w:tc>
          <w:tcPr>
            <w:tcW w:w="1180" w:type="dxa"/>
          </w:tcPr>
          <w:p>
            <w:pPr>
              <w:pStyle w:val="TableParagraph"/>
              <w:spacing w:before="23"/>
              <w:ind w:left="19" w:right="14"/>
              <w:jc w:val="center"/>
              <w:rPr>
                <w:sz w:val="16"/>
              </w:rPr>
            </w:pPr>
            <w:r>
              <w:rPr>
                <w:sz w:val="16"/>
              </w:rPr>
              <w:t>0.75</w:t>
            </w:r>
          </w:p>
        </w:tc>
        <w:tc>
          <w:tcPr>
            <w:tcW w:w="1809" w:type="dxa"/>
          </w:tcPr>
          <w:p>
            <w:pPr>
              <w:pStyle w:val="TableParagraph"/>
              <w:spacing w:before="23"/>
              <w:ind w:left="29"/>
              <w:rPr>
                <w:sz w:val="16"/>
              </w:rPr>
            </w:pPr>
            <w:r>
              <w:rPr>
                <w:sz w:val="16"/>
              </w:rPr>
              <w:t>Laetia procera</w:t>
            </w:r>
          </w:p>
        </w:tc>
        <w:tc>
          <w:tcPr>
            <w:tcW w:w="1180" w:type="dxa"/>
          </w:tcPr>
          <w:p>
            <w:pPr>
              <w:pStyle w:val="TableParagraph"/>
              <w:spacing w:before="23"/>
              <w:ind w:left="25" w:right="11"/>
              <w:jc w:val="center"/>
              <w:rPr>
                <w:sz w:val="16"/>
              </w:rPr>
            </w:pPr>
            <w:r>
              <w:rPr>
                <w:sz w:val="16"/>
              </w:rPr>
              <w:t>0.68</w:t>
            </w:r>
          </w:p>
        </w:tc>
        <w:tc>
          <w:tcPr>
            <w:tcW w:w="1794" w:type="dxa"/>
          </w:tcPr>
          <w:p>
            <w:pPr>
              <w:pStyle w:val="TableParagraph"/>
              <w:spacing w:before="23"/>
              <w:ind w:left="33"/>
              <w:rPr>
                <w:sz w:val="16"/>
              </w:rPr>
            </w:pPr>
            <w:r>
              <w:rPr>
                <w:sz w:val="16"/>
              </w:rPr>
              <w:t>Nauclea diderrichii</w:t>
            </w:r>
          </w:p>
        </w:tc>
        <w:tc>
          <w:tcPr>
            <w:tcW w:w="1177" w:type="dxa"/>
          </w:tcPr>
          <w:p>
            <w:pPr>
              <w:pStyle w:val="TableParagraph"/>
              <w:spacing w:before="23"/>
              <w:ind w:right="431"/>
              <w:jc w:val="right"/>
              <w:rPr>
                <w:sz w:val="16"/>
              </w:rPr>
            </w:pPr>
            <w:r>
              <w:rPr>
                <w:sz w:val="16"/>
              </w:rPr>
              <w:t>0.63</w:t>
            </w:r>
          </w:p>
        </w:tc>
      </w:tr>
      <w:tr>
        <w:trPr>
          <w:trHeight w:val="246" w:hRule="atLeast"/>
        </w:trPr>
        <w:tc>
          <w:tcPr>
            <w:tcW w:w="1802" w:type="dxa"/>
          </w:tcPr>
          <w:p>
            <w:pPr>
              <w:pStyle w:val="TableParagraph"/>
              <w:spacing w:before="23"/>
              <w:ind w:left="28"/>
              <w:rPr>
                <w:sz w:val="16"/>
              </w:rPr>
            </w:pPr>
            <w:r>
              <w:rPr>
                <w:sz w:val="16"/>
              </w:rPr>
              <w:t>Gardenia turgida</w:t>
            </w:r>
          </w:p>
        </w:tc>
        <w:tc>
          <w:tcPr>
            <w:tcW w:w="1180" w:type="dxa"/>
          </w:tcPr>
          <w:p>
            <w:pPr>
              <w:pStyle w:val="TableParagraph"/>
              <w:spacing w:before="23"/>
              <w:ind w:left="21" w:right="14"/>
              <w:jc w:val="center"/>
              <w:rPr>
                <w:sz w:val="16"/>
              </w:rPr>
            </w:pPr>
            <w:r>
              <w:rPr>
                <w:sz w:val="16"/>
              </w:rPr>
              <w:t>0.64</w:t>
            </w:r>
          </w:p>
        </w:tc>
        <w:tc>
          <w:tcPr>
            <w:tcW w:w="1809" w:type="dxa"/>
          </w:tcPr>
          <w:p>
            <w:pPr>
              <w:pStyle w:val="TableParagraph"/>
              <w:spacing w:before="23"/>
              <w:ind w:left="29"/>
              <w:rPr>
                <w:sz w:val="16"/>
              </w:rPr>
            </w:pPr>
            <w:r>
              <w:rPr>
                <w:sz w:val="16"/>
              </w:rPr>
              <w:t>Lecythis spp.</w:t>
            </w:r>
          </w:p>
        </w:tc>
        <w:tc>
          <w:tcPr>
            <w:tcW w:w="1180" w:type="dxa"/>
          </w:tcPr>
          <w:p>
            <w:pPr>
              <w:pStyle w:val="TableParagraph"/>
              <w:spacing w:before="23"/>
              <w:ind w:left="25" w:right="13"/>
              <w:jc w:val="center"/>
              <w:rPr>
                <w:sz w:val="16"/>
              </w:rPr>
            </w:pPr>
            <w:r>
              <w:rPr>
                <w:sz w:val="16"/>
              </w:rPr>
              <w:t>0.77</w:t>
            </w:r>
          </w:p>
        </w:tc>
        <w:tc>
          <w:tcPr>
            <w:tcW w:w="1794" w:type="dxa"/>
          </w:tcPr>
          <w:p>
            <w:pPr>
              <w:pStyle w:val="TableParagraph"/>
              <w:spacing w:before="23"/>
              <w:ind w:left="32"/>
              <w:rPr>
                <w:sz w:val="16"/>
              </w:rPr>
            </w:pPr>
            <w:r>
              <w:rPr>
                <w:sz w:val="16"/>
              </w:rPr>
              <w:t>Neopoutonia macrocalyx</w:t>
            </w:r>
          </w:p>
        </w:tc>
        <w:tc>
          <w:tcPr>
            <w:tcW w:w="1177" w:type="dxa"/>
          </w:tcPr>
          <w:p>
            <w:pPr>
              <w:pStyle w:val="TableParagraph"/>
              <w:spacing w:before="23"/>
              <w:ind w:right="399"/>
              <w:jc w:val="right"/>
              <w:rPr>
                <w:sz w:val="16"/>
              </w:rPr>
            </w:pPr>
            <w:r>
              <w:rPr>
                <w:sz w:val="16"/>
              </w:rPr>
              <w:t>0.32”</w:t>
            </w:r>
          </w:p>
        </w:tc>
      </w:tr>
      <w:tr>
        <w:trPr>
          <w:trHeight w:val="385" w:hRule="atLeast"/>
        </w:trPr>
        <w:tc>
          <w:tcPr>
            <w:tcW w:w="1802" w:type="dxa"/>
          </w:tcPr>
          <w:p>
            <w:pPr>
              <w:pStyle w:val="TableParagraph"/>
              <w:spacing w:before="95"/>
              <w:ind w:left="28"/>
              <w:rPr>
                <w:sz w:val="16"/>
              </w:rPr>
            </w:pPr>
            <w:r>
              <w:rPr>
                <w:sz w:val="16"/>
              </w:rPr>
              <w:t>Garuga pinnata</w:t>
            </w:r>
          </w:p>
        </w:tc>
        <w:tc>
          <w:tcPr>
            <w:tcW w:w="1180" w:type="dxa"/>
          </w:tcPr>
          <w:p>
            <w:pPr>
              <w:pStyle w:val="TableParagraph"/>
              <w:spacing w:before="95"/>
              <w:ind w:left="20" w:right="14"/>
              <w:jc w:val="center"/>
              <w:rPr>
                <w:sz w:val="16"/>
              </w:rPr>
            </w:pPr>
            <w:r>
              <w:rPr>
                <w:sz w:val="16"/>
              </w:rPr>
              <w:t>0.51</w:t>
            </w:r>
          </w:p>
        </w:tc>
        <w:tc>
          <w:tcPr>
            <w:tcW w:w="1809" w:type="dxa"/>
          </w:tcPr>
          <w:p>
            <w:pPr>
              <w:pStyle w:val="TableParagraph"/>
              <w:spacing w:before="95"/>
              <w:ind w:left="29"/>
              <w:rPr>
                <w:sz w:val="16"/>
              </w:rPr>
            </w:pPr>
            <w:r>
              <w:rPr>
                <w:sz w:val="16"/>
              </w:rPr>
              <w:t>Licania spp.</w:t>
            </w:r>
          </w:p>
        </w:tc>
        <w:tc>
          <w:tcPr>
            <w:tcW w:w="1180" w:type="dxa"/>
          </w:tcPr>
          <w:p>
            <w:pPr>
              <w:pStyle w:val="TableParagraph"/>
              <w:spacing w:before="95"/>
              <w:ind w:left="25" w:right="11"/>
              <w:jc w:val="center"/>
              <w:rPr>
                <w:sz w:val="16"/>
              </w:rPr>
            </w:pPr>
            <w:r>
              <w:rPr>
                <w:sz w:val="16"/>
              </w:rPr>
              <w:t>0.78</w:t>
            </w:r>
          </w:p>
        </w:tc>
        <w:tc>
          <w:tcPr>
            <w:tcW w:w="1794" w:type="dxa"/>
          </w:tcPr>
          <w:p>
            <w:pPr>
              <w:pStyle w:val="TableParagraph"/>
              <w:spacing w:line="182" w:lineRule="exact" w:before="7"/>
              <w:ind w:left="33" w:right="833"/>
              <w:rPr>
                <w:sz w:val="16"/>
              </w:rPr>
            </w:pPr>
            <w:r>
              <w:rPr>
                <w:sz w:val="16"/>
              </w:rPr>
              <w:t>Nesogordonia papaverifera</w:t>
            </w:r>
          </w:p>
        </w:tc>
        <w:tc>
          <w:tcPr>
            <w:tcW w:w="1177" w:type="dxa"/>
          </w:tcPr>
          <w:p>
            <w:pPr>
              <w:pStyle w:val="TableParagraph"/>
              <w:spacing w:before="95"/>
              <w:ind w:right="431"/>
              <w:jc w:val="right"/>
              <w:rPr>
                <w:sz w:val="16"/>
              </w:rPr>
            </w:pPr>
            <w:r>
              <w:rPr>
                <w:sz w:val="16"/>
              </w:rPr>
              <w:t>0.65</w:t>
            </w:r>
          </w:p>
        </w:tc>
      </w:tr>
      <w:tr>
        <w:trPr>
          <w:trHeight w:val="244" w:hRule="atLeast"/>
        </w:trPr>
        <w:tc>
          <w:tcPr>
            <w:tcW w:w="1802" w:type="dxa"/>
          </w:tcPr>
          <w:p>
            <w:pPr>
              <w:pStyle w:val="TableParagraph"/>
              <w:spacing w:before="23"/>
              <w:ind w:left="28"/>
              <w:rPr>
                <w:sz w:val="16"/>
              </w:rPr>
            </w:pPr>
            <w:r>
              <w:rPr>
                <w:sz w:val="16"/>
              </w:rPr>
              <w:t>Gluta spp.</w:t>
            </w:r>
          </w:p>
        </w:tc>
        <w:tc>
          <w:tcPr>
            <w:tcW w:w="1180" w:type="dxa"/>
          </w:tcPr>
          <w:p>
            <w:pPr>
              <w:pStyle w:val="TableParagraph"/>
              <w:spacing w:before="23"/>
              <w:ind w:left="20" w:right="14"/>
              <w:jc w:val="center"/>
              <w:rPr>
                <w:sz w:val="16"/>
              </w:rPr>
            </w:pPr>
            <w:r>
              <w:rPr>
                <w:sz w:val="16"/>
              </w:rPr>
              <w:t>0.63</w:t>
            </w:r>
          </w:p>
        </w:tc>
        <w:tc>
          <w:tcPr>
            <w:tcW w:w="1809" w:type="dxa"/>
          </w:tcPr>
          <w:p>
            <w:pPr>
              <w:pStyle w:val="TableParagraph"/>
              <w:spacing w:before="23"/>
              <w:ind w:left="29"/>
              <w:rPr>
                <w:sz w:val="16"/>
              </w:rPr>
            </w:pPr>
            <w:r>
              <w:rPr>
                <w:sz w:val="16"/>
              </w:rPr>
              <w:t>Licaria spp.</w:t>
            </w:r>
          </w:p>
        </w:tc>
        <w:tc>
          <w:tcPr>
            <w:tcW w:w="1180" w:type="dxa"/>
          </w:tcPr>
          <w:p>
            <w:pPr>
              <w:pStyle w:val="TableParagraph"/>
              <w:spacing w:before="23"/>
              <w:ind w:left="25" w:right="11"/>
              <w:jc w:val="center"/>
              <w:rPr>
                <w:sz w:val="16"/>
              </w:rPr>
            </w:pPr>
            <w:r>
              <w:rPr>
                <w:sz w:val="16"/>
              </w:rPr>
              <w:t>0.82</w:t>
            </w:r>
          </w:p>
        </w:tc>
        <w:tc>
          <w:tcPr>
            <w:tcW w:w="1794" w:type="dxa"/>
          </w:tcPr>
          <w:p>
            <w:pPr>
              <w:pStyle w:val="TableParagraph"/>
              <w:spacing w:before="23"/>
              <w:ind w:left="33"/>
              <w:rPr>
                <w:sz w:val="16"/>
              </w:rPr>
            </w:pPr>
            <w:r>
              <w:rPr>
                <w:sz w:val="16"/>
              </w:rPr>
              <w:t>Ochtocosmus africanus</w:t>
            </w:r>
          </w:p>
        </w:tc>
        <w:tc>
          <w:tcPr>
            <w:tcW w:w="1177" w:type="dxa"/>
          </w:tcPr>
          <w:p>
            <w:pPr>
              <w:pStyle w:val="TableParagraph"/>
              <w:spacing w:before="23"/>
              <w:ind w:right="405"/>
              <w:jc w:val="right"/>
              <w:rPr>
                <w:sz w:val="16"/>
              </w:rPr>
            </w:pPr>
            <w:r>
              <w:rPr>
                <w:sz w:val="16"/>
              </w:rPr>
              <w:t>0.78’</w:t>
            </w:r>
          </w:p>
        </w:tc>
      </w:tr>
      <w:tr>
        <w:trPr>
          <w:trHeight w:val="244" w:hRule="atLeast"/>
        </w:trPr>
        <w:tc>
          <w:tcPr>
            <w:tcW w:w="1802" w:type="dxa"/>
          </w:tcPr>
          <w:p>
            <w:pPr>
              <w:pStyle w:val="TableParagraph"/>
              <w:spacing w:before="23"/>
              <w:ind w:left="28"/>
              <w:rPr>
                <w:sz w:val="16"/>
              </w:rPr>
            </w:pPr>
            <w:r>
              <w:rPr>
                <w:sz w:val="16"/>
              </w:rPr>
              <w:t>Gmelina arborea</w:t>
            </w:r>
          </w:p>
        </w:tc>
        <w:tc>
          <w:tcPr>
            <w:tcW w:w="1180" w:type="dxa"/>
          </w:tcPr>
          <w:p>
            <w:pPr>
              <w:pStyle w:val="TableParagraph"/>
              <w:spacing w:before="23"/>
              <w:ind w:left="24" w:right="14"/>
              <w:jc w:val="center"/>
              <w:rPr>
                <w:sz w:val="16"/>
              </w:rPr>
            </w:pPr>
            <w:r>
              <w:rPr>
                <w:sz w:val="16"/>
              </w:rPr>
              <w:t>0.41,0.45+</w:t>
            </w:r>
          </w:p>
        </w:tc>
        <w:tc>
          <w:tcPr>
            <w:tcW w:w="1809" w:type="dxa"/>
          </w:tcPr>
          <w:p>
            <w:pPr>
              <w:pStyle w:val="TableParagraph"/>
              <w:spacing w:before="23"/>
              <w:ind w:left="30"/>
              <w:rPr>
                <w:sz w:val="16"/>
              </w:rPr>
            </w:pPr>
            <w:r>
              <w:rPr>
                <w:sz w:val="16"/>
              </w:rPr>
              <w:t>Lindackeria sp.</w:t>
            </w:r>
          </w:p>
        </w:tc>
        <w:tc>
          <w:tcPr>
            <w:tcW w:w="1180" w:type="dxa"/>
          </w:tcPr>
          <w:p>
            <w:pPr>
              <w:pStyle w:val="TableParagraph"/>
              <w:spacing w:before="23"/>
              <w:ind w:left="25" w:right="9"/>
              <w:jc w:val="center"/>
              <w:rPr>
                <w:sz w:val="16"/>
              </w:rPr>
            </w:pPr>
            <w:r>
              <w:rPr>
                <w:sz w:val="16"/>
              </w:rPr>
              <w:t>0.41</w:t>
            </w:r>
          </w:p>
        </w:tc>
        <w:tc>
          <w:tcPr>
            <w:tcW w:w="1794" w:type="dxa"/>
          </w:tcPr>
          <w:p>
            <w:pPr>
              <w:pStyle w:val="TableParagraph"/>
              <w:spacing w:before="23"/>
              <w:ind w:left="34"/>
              <w:rPr>
                <w:sz w:val="16"/>
              </w:rPr>
            </w:pPr>
            <w:r>
              <w:rPr>
                <w:sz w:val="16"/>
              </w:rPr>
              <w:t>Odyendea spp.</w:t>
            </w:r>
          </w:p>
        </w:tc>
        <w:tc>
          <w:tcPr>
            <w:tcW w:w="1177" w:type="dxa"/>
          </w:tcPr>
          <w:p>
            <w:pPr>
              <w:pStyle w:val="TableParagraph"/>
              <w:spacing w:before="23"/>
              <w:ind w:right="432"/>
              <w:jc w:val="right"/>
              <w:rPr>
                <w:sz w:val="16"/>
              </w:rPr>
            </w:pPr>
            <w:r>
              <w:rPr>
                <w:sz w:val="16"/>
              </w:rPr>
              <w:t>0.32</w:t>
            </w:r>
          </w:p>
        </w:tc>
      </w:tr>
      <w:tr>
        <w:trPr>
          <w:trHeight w:val="246" w:hRule="atLeast"/>
        </w:trPr>
        <w:tc>
          <w:tcPr>
            <w:tcW w:w="1802" w:type="dxa"/>
          </w:tcPr>
          <w:p>
            <w:pPr>
              <w:pStyle w:val="TableParagraph"/>
              <w:spacing w:before="23"/>
              <w:ind w:left="28"/>
              <w:rPr>
                <w:sz w:val="16"/>
              </w:rPr>
            </w:pPr>
            <w:r>
              <w:rPr>
                <w:sz w:val="16"/>
              </w:rPr>
              <w:t>Gmelina vitiensis</w:t>
            </w:r>
          </w:p>
        </w:tc>
        <w:tc>
          <w:tcPr>
            <w:tcW w:w="1180" w:type="dxa"/>
          </w:tcPr>
          <w:p>
            <w:pPr>
              <w:pStyle w:val="TableParagraph"/>
              <w:spacing w:before="23"/>
              <w:ind w:left="20" w:right="14"/>
              <w:jc w:val="center"/>
              <w:rPr>
                <w:sz w:val="16"/>
              </w:rPr>
            </w:pPr>
            <w:r>
              <w:rPr>
                <w:sz w:val="16"/>
              </w:rPr>
              <w:t>0.54</w:t>
            </w:r>
          </w:p>
        </w:tc>
        <w:tc>
          <w:tcPr>
            <w:tcW w:w="1809" w:type="dxa"/>
          </w:tcPr>
          <w:p>
            <w:pPr>
              <w:pStyle w:val="TableParagraph"/>
              <w:spacing w:before="23"/>
              <w:ind w:left="29"/>
              <w:rPr>
                <w:sz w:val="16"/>
              </w:rPr>
            </w:pPr>
            <w:r>
              <w:rPr>
                <w:sz w:val="16"/>
              </w:rPr>
              <w:t>Linociera domingensis</w:t>
            </w:r>
          </w:p>
        </w:tc>
        <w:tc>
          <w:tcPr>
            <w:tcW w:w="1180" w:type="dxa"/>
          </w:tcPr>
          <w:p>
            <w:pPr>
              <w:pStyle w:val="TableParagraph"/>
              <w:spacing w:before="23"/>
              <w:ind w:left="25" w:right="12"/>
              <w:jc w:val="center"/>
              <w:rPr>
                <w:sz w:val="16"/>
              </w:rPr>
            </w:pPr>
            <w:r>
              <w:rPr>
                <w:sz w:val="16"/>
              </w:rPr>
              <w:t>0.81</w:t>
            </w:r>
          </w:p>
        </w:tc>
        <w:tc>
          <w:tcPr>
            <w:tcW w:w="1794" w:type="dxa"/>
          </w:tcPr>
          <w:p>
            <w:pPr>
              <w:pStyle w:val="TableParagraph"/>
              <w:spacing w:before="23"/>
              <w:ind w:left="33"/>
              <w:rPr>
                <w:sz w:val="16"/>
              </w:rPr>
            </w:pPr>
            <w:r>
              <w:rPr>
                <w:sz w:val="16"/>
              </w:rPr>
              <w:t>Oldfieldia africana</w:t>
            </w:r>
          </w:p>
        </w:tc>
        <w:tc>
          <w:tcPr>
            <w:tcW w:w="1177" w:type="dxa"/>
          </w:tcPr>
          <w:p>
            <w:pPr>
              <w:pStyle w:val="TableParagraph"/>
              <w:spacing w:before="23"/>
              <w:ind w:right="391"/>
              <w:jc w:val="right"/>
              <w:rPr>
                <w:sz w:val="16"/>
              </w:rPr>
            </w:pPr>
            <w:r>
              <w:rPr>
                <w:sz w:val="16"/>
              </w:rPr>
              <w:t>0.78*</w:t>
            </w:r>
          </w:p>
        </w:tc>
      </w:tr>
      <w:tr>
        <w:trPr>
          <w:trHeight w:val="244" w:hRule="atLeast"/>
        </w:trPr>
        <w:tc>
          <w:tcPr>
            <w:tcW w:w="1802" w:type="dxa"/>
          </w:tcPr>
          <w:p>
            <w:pPr>
              <w:pStyle w:val="TableParagraph"/>
              <w:spacing w:before="23"/>
              <w:ind w:left="28"/>
              <w:rPr>
                <w:sz w:val="16"/>
              </w:rPr>
            </w:pPr>
            <w:r>
              <w:rPr>
                <w:sz w:val="16"/>
              </w:rPr>
              <w:t>Gonocaryum calleryanum</w:t>
            </w:r>
          </w:p>
        </w:tc>
        <w:tc>
          <w:tcPr>
            <w:tcW w:w="1180" w:type="dxa"/>
          </w:tcPr>
          <w:p>
            <w:pPr>
              <w:pStyle w:val="TableParagraph"/>
              <w:spacing w:before="23"/>
              <w:ind w:left="21" w:right="14"/>
              <w:jc w:val="center"/>
              <w:rPr>
                <w:sz w:val="16"/>
              </w:rPr>
            </w:pPr>
            <w:r>
              <w:rPr>
                <w:sz w:val="16"/>
              </w:rPr>
              <w:t>0.64</w:t>
            </w:r>
          </w:p>
        </w:tc>
        <w:tc>
          <w:tcPr>
            <w:tcW w:w="1809" w:type="dxa"/>
          </w:tcPr>
          <w:p>
            <w:pPr>
              <w:pStyle w:val="TableParagraph"/>
              <w:spacing w:before="23"/>
              <w:ind w:left="30"/>
              <w:rPr>
                <w:sz w:val="16"/>
              </w:rPr>
            </w:pPr>
            <w:r>
              <w:rPr>
                <w:sz w:val="16"/>
              </w:rPr>
              <w:t>Lonchocarpus spp.</w:t>
            </w:r>
          </w:p>
        </w:tc>
        <w:tc>
          <w:tcPr>
            <w:tcW w:w="1180" w:type="dxa"/>
          </w:tcPr>
          <w:p>
            <w:pPr>
              <w:pStyle w:val="TableParagraph"/>
              <w:spacing w:before="23"/>
              <w:ind w:left="25" w:right="10"/>
              <w:jc w:val="center"/>
              <w:rPr>
                <w:sz w:val="16"/>
              </w:rPr>
            </w:pPr>
            <w:r>
              <w:rPr>
                <w:sz w:val="16"/>
              </w:rPr>
              <w:t>0.69</w:t>
            </w:r>
          </w:p>
        </w:tc>
        <w:tc>
          <w:tcPr>
            <w:tcW w:w="1794" w:type="dxa"/>
          </w:tcPr>
          <w:p>
            <w:pPr>
              <w:pStyle w:val="TableParagraph"/>
              <w:spacing w:before="23"/>
              <w:ind w:left="34"/>
              <w:rPr>
                <w:sz w:val="16"/>
              </w:rPr>
            </w:pPr>
            <w:r>
              <w:rPr>
                <w:sz w:val="16"/>
              </w:rPr>
              <w:t>Ongokea gore</w:t>
            </w:r>
          </w:p>
        </w:tc>
        <w:tc>
          <w:tcPr>
            <w:tcW w:w="1177" w:type="dxa"/>
          </w:tcPr>
          <w:p>
            <w:pPr>
              <w:pStyle w:val="TableParagraph"/>
              <w:spacing w:before="23"/>
              <w:ind w:right="431"/>
              <w:jc w:val="right"/>
              <w:rPr>
                <w:sz w:val="16"/>
              </w:rPr>
            </w:pPr>
            <w:r>
              <w:rPr>
                <w:sz w:val="16"/>
              </w:rPr>
              <w:t>0.72</w:t>
            </w:r>
          </w:p>
        </w:tc>
      </w:tr>
      <w:tr>
        <w:trPr>
          <w:trHeight w:val="244" w:hRule="atLeast"/>
        </w:trPr>
        <w:tc>
          <w:tcPr>
            <w:tcW w:w="1802" w:type="dxa"/>
          </w:tcPr>
          <w:p>
            <w:pPr>
              <w:pStyle w:val="TableParagraph"/>
              <w:spacing w:before="23"/>
              <w:ind w:left="28"/>
              <w:rPr>
                <w:sz w:val="16"/>
              </w:rPr>
            </w:pPr>
            <w:r>
              <w:rPr>
                <w:sz w:val="16"/>
              </w:rPr>
              <w:t>Gonystylus punctatus</w:t>
            </w:r>
          </w:p>
        </w:tc>
        <w:tc>
          <w:tcPr>
            <w:tcW w:w="1180" w:type="dxa"/>
          </w:tcPr>
          <w:p>
            <w:pPr>
              <w:pStyle w:val="TableParagraph"/>
              <w:spacing w:before="23"/>
              <w:ind w:left="20" w:right="14"/>
              <w:jc w:val="center"/>
              <w:rPr>
                <w:sz w:val="16"/>
              </w:rPr>
            </w:pPr>
            <w:r>
              <w:rPr>
                <w:sz w:val="16"/>
              </w:rPr>
              <w:t>0.57</w:t>
            </w:r>
          </w:p>
        </w:tc>
        <w:tc>
          <w:tcPr>
            <w:tcW w:w="1809" w:type="dxa"/>
          </w:tcPr>
          <w:p>
            <w:pPr>
              <w:pStyle w:val="TableParagraph"/>
              <w:spacing w:before="23"/>
              <w:ind w:left="29"/>
              <w:rPr>
                <w:sz w:val="16"/>
              </w:rPr>
            </w:pPr>
            <w:r>
              <w:rPr>
                <w:sz w:val="16"/>
              </w:rPr>
              <w:t>Loxopterygium sagotii</w:t>
            </w:r>
          </w:p>
        </w:tc>
        <w:tc>
          <w:tcPr>
            <w:tcW w:w="1180" w:type="dxa"/>
          </w:tcPr>
          <w:p>
            <w:pPr>
              <w:pStyle w:val="TableParagraph"/>
              <w:spacing w:before="23"/>
              <w:ind w:left="25" w:right="12"/>
              <w:jc w:val="center"/>
              <w:rPr>
                <w:sz w:val="16"/>
              </w:rPr>
            </w:pPr>
            <w:r>
              <w:rPr>
                <w:sz w:val="16"/>
              </w:rPr>
              <w:t>0.56</w:t>
            </w:r>
          </w:p>
        </w:tc>
        <w:tc>
          <w:tcPr>
            <w:tcW w:w="1794" w:type="dxa"/>
          </w:tcPr>
          <w:p>
            <w:pPr>
              <w:pStyle w:val="TableParagraph"/>
              <w:spacing w:before="23"/>
              <w:ind w:left="33"/>
              <w:rPr>
                <w:sz w:val="16"/>
              </w:rPr>
            </w:pPr>
            <w:r>
              <w:rPr>
                <w:sz w:val="16"/>
              </w:rPr>
              <w:t>Oxystigma oxyphyllum</w:t>
            </w:r>
          </w:p>
        </w:tc>
        <w:tc>
          <w:tcPr>
            <w:tcW w:w="1177" w:type="dxa"/>
          </w:tcPr>
          <w:p>
            <w:pPr>
              <w:pStyle w:val="TableParagraph"/>
              <w:spacing w:before="23"/>
              <w:ind w:right="431"/>
              <w:jc w:val="right"/>
              <w:rPr>
                <w:sz w:val="16"/>
              </w:rPr>
            </w:pPr>
            <w:r>
              <w:rPr>
                <w:sz w:val="16"/>
              </w:rPr>
              <w:t>0.53</w:t>
            </w:r>
          </w:p>
        </w:tc>
      </w:tr>
      <w:tr>
        <w:trPr>
          <w:trHeight w:val="244" w:hRule="atLeast"/>
        </w:trPr>
        <w:tc>
          <w:tcPr>
            <w:tcW w:w="1802" w:type="dxa"/>
          </w:tcPr>
          <w:p>
            <w:pPr>
              <w:pStyle w:val="TableParagraph"/>
              <w:spacing w:before="23"/>
              <w:ind w:left="28"/>
              <w:rPr>
                <w:sz w:val="16"/>
              </w:rPr>
            </w:pPr>
            <w:r>
              <w:rPr>
                <w:sz w:val="16"/>
              </w:rPr>
              <w:t>Grewia tiliaefolia</w:t>
            </w:r>
          </w:p>
        </w:tc>
        <w:tc>
          <w:tcPr>
            <w:tcW w:w="1180" w:type="dxa"/>
          </w:tcPr>
          <w:p>
            <w:pPr>
              <w:pStyle w:val="TableParagraph"/>
              <w:spacing w:before="23"/>
              <w:ind w:left="22" w:right="14"/>
              <w:jc w:val="center"/>
              <w:rPr>
                <w:sz w:val="16"/>
              </w:rPr>
            </w:pPr>
            <w:r>
              <w:rPr>
                <w:sz w:val="16"/>
              </w:rPr>
              <w:t>0.68</w:t>
            </w:r>
          </w:p>
        </w:tc>
        <w:tc>
          <w:tcPr>
            <w:tcW w:w="1809" w:type="dxa"/>
          </w:tcPr>
          <w:p>
            <w:pPr>
              <w:pStyle w:val="TableParagraph"/>
              <w:spacing w:before="23"/>
              <w:ind w:left="30"/>
              <w:rPr>
                <w:sz w:val="16"/>
              </w:rPr>
            </w:pPr>
            <w:r>
              <w:rPr>
                <w:sz w:val="16"/>
              </w:rPr>
              <w:t>Lucuma spp.</w:t>
            </w:r>
          </w:p>
        </w:tc>
        <w:tc>
          <w:tcPr>
            <w:tcW w:w="1180" w:type="dxa"/>
          </w:tcPr>
          <w:p>
            <w:pPr>
              <w:pStyle w:val="TableParagraph"/>
              <w:spacing w:before="23"/>
              <w:ind w:left="25" w:right="11"/>
              <w:jc w:val="center"/>
              <w:rPr>
                <w:sz w:val="16"/>
              </w:rPr>
            </w:pPr>
            <w:r>
              <w:rPr>
                <w:sz w:val="16"/>
              </w:rPr>
              <w:t>0.79</w:t>
            </w:r>
          </w:p>
        </w:tc>
        <w:tc>
          <w:tcPr>
            <w:tcW w:w="1794" w:type="dxa"/>
          </w:tcPr>
          <w:p>
            <w:pPr>
              <w:pStyle w:val="TableParagraph"/>
              <w:spacing w:before="23"/>
              <w:ind w:left="33"/>
              <w:rPr>
                <w:sz w:val="16"/>
              </w:rPr>
            </w:pPr>
            <w:r>
              <w:rPr>
                <w:sz w:val="16"/>
              </w:rPr>
              <w:t>Pachyelasma tessmannii</w:t>
            </w:r>
          </w:p>
        </w:tc>
        <w:tc>
          <w:tcPr>
            <w:tcW w:w="1177" w:type="dxa"/>
          </w:tcPr>
          <w:p>
            <w:pPr>
              <w:pStyle w:val="TableParagraph"/>
              <w:spacing w:before="23"/>
              <w:ind w:right="398"/>
              <w:jc w:val="right"/>
              <w:rPr>
                <w:sz w:val="16"/>
              </w:rPr>
            </w:pPr>
            <w:r>
              <w:rPr>
                <w:sz w:val="16"/>
              </w:rPr>
              <w:t>0.70”</w:t>
            </w:r>
          </w:p>
        </w:tc>
      </w:tr>
      <w:tr>
        <w:trPr>
          <w:trHeight w:val="246" w:hRule="atLeast"/>
        </w:trPr>
        <w:tc>
          <w:tcPr>
            <w:tcW w:w="1802" w:type="dxa"/>
          </w:tcPr>
          <w:p>
            <w:pPr>
              <w:pStyle w:val="TableParagraph"/>
              <w:spacing w:before="23"/>
              <w:ind w:left="28"/>
              <w:rPr>
                <w:sz w:val="16"/>
              </w:rPr>
            </w:pPr>
            <w:r>
              <w:rPr>
                <w:sz w:val="16"/>
              </w:rPr>
              <w:t>Hardwickia binata</w:t>
            </w:r>
          </w:p>
        </w:tc>
        <w:tc>
          <w:tcPr>
            <w:tcW w:w="1180" w:type="dxa"/>
          </w:tcPr>
          <w:p>
            <w:pPr>
              <w:pStyle w:val="TableParagraph"/>
              <w:spacing w:before="23"/>
              <w:ind w:left="20" w:right="14"/>
              <w:jc w:val="center"/>
              <w:rPr>
                <w:sz w:val="16"/>
              </w:rPr>
            </w:pPr>
            <w:r>
              <w:rPr>
                <w:sz w:val="16"/>
              </w:rPr>
              <w:t>0.73</w:t>
            </w:r>
          </w:p>
        </w:tc>
        <w:tc>
          <w:tcPr>
            <w:tcW w:w="1809" w:type="dxa"/>
          </w:tcPr>
          <w:p>
            <w:pPr>
              <w:pStyle w:val="TableParagraph"/>
              <w:spacing w:before="23"/>
              <w:ind w:left="29"/>
              <w:rPr>
                <w:sz w:val="16"/>
              </w:rPr>
            </w:pPr>
            <w:r>
              <w:rPr>
                <w:sz w:val="16"/>
              </w:rPr>
              <w:t>Luehea spp.</w:t>
            </w:r>
          </w:p>
        </w:tc>
        <w:tc>
          <w:tcPr>
            <w:tcW w:w="1180" w:type="dxa"/>
          </w:tcPr>
          <w:p>
            <w:pPr>
              <w:pStyle w:val="TableParagraph"/>
              <w:spacing w:before="23"/>
              <w:ind w:left="25" w:right="13"/>
              <w:jc w:val="center"/>
              <w:rPr>
                <w:sz w:val="16"/>
              </w:rPr>
            </w:pPr>
            <w:r>
              <w:rPr>
                <w:sz w:val="16"/>
              </w:rPr>
              <w:t>0.5</w:t>
            </w:r>
          </w:p>
        </w:tc>
        <w:tc>
          <w:tcPr>
            <w:tcW w:w="1794" w:type="dxa"/>
          </w:tcPr>
          <w:p>
            <w:pPr>
              <w:pStyle w:val="TableParagraph"/>
              <w:spacing w:before="23"/>
              <w:ind w:left="33"/>
              <w:rPr>
                <w:sz w:val="16"/>
              </w:rPr>
            </w:pPr>
            <w:r>
              <w:rPr>
                <w:sz w:val="16"/>
              </w:rPr>
              <w:t>Pachypodanthium staudtii</w:t>
            </w:r>
          </w:p>
        </w:tc>
        <w:tc>
          <w:tcPr>
            <w:tcW w:w="1177" w:type="dxa"/>
          </w:tcPr>
          <w:p>
            <w:pPr>
              <w:pStyle w:val="TableParagraph"/>
              <w:spacing w:before="23"/>
              <w:ind w:right="398"/>
              <w:jc w:val="right"/>
              <w:rPr>
                <w:sz w:val="16"/>
              </w:rPr>
            </w:pPr>
            <w:r>
              <w:rPr>
                <w:sz w:val="16"/>
              </w:rPr>
              <w:t>0.58”</w:t>
            </w:r>
          </w:p>
        </w:tc>
      </w:tr>
      <w:tr>
        <w:trPr>
          <w:trHeight w:val="244" w:hRule="atLeast"/>
        </w:trPr>
        <w:tc>
          <w:tcPr>
            <w:tcW w:w="1802" w:type="dxa"/>
          </w:tcPr>
          <w:p>
            <w:pPr>
              <w:pStyle w:val="TableParagraph"/>
              <w:spacing w:before="23"/>
              <w:ind w:left="28"/>
              <w:rPr>
                <w:sz w:val="16"/>
              </w:rPr>
            </w:pPr>
            <w:r>
              <w:rPr>
                <w:sz w:val="16"/>
              </w:rPr>
              <w:t>Harpullia arborea</w:t>
            </w:r>
          </w:p>
        </w:tc>
        <w:tc>
          <w:tcPr>
            <w:tcW w:w="1180" w:type="dxa"/>
          </w:tcPr>
          <w:p>
            <w:pPr>
              <w:pStyle w:val="TableParagraph"/>
              <w:spacing w:before="23"/>
              <w:ind w:left="20" w:right="14"/>
              <w:jc w:val="center"/>
              <w:rPr>
                <w:sz w:val="16"/>
              </w:rPr>
            </w:pPr>
            <w:r>
              <w:rPr>
                <w:sz w:val="16"/>
              </w:rPr>
              <w:t>0.62</w:t>
            </w:r>
          </w:p>
        </w:tc>
        <w:tc>
          <w:tcPr>
            <w:tcW w:w="1809" w:type="dxa"/>
          </w:tcPr>
          <w:p>
            <w:pPr>
              <w:pStyle w:val="TableParagraph"/>
              <w:spacing w:before="23"/>
              <w:ind w:left="29"/>
              <w:rPr>
                <w:sz w:val="16"/>
              </w:rPr>
            </w:pPr>
            <w:r>
              <w:rPr>
                <w:sz w:val="16"/>
              </w:rPr>
              <w:t>Lueheopsis duckeana</w:t>
            </w:r>
          </w:p>
        </w:tc>
        <w:tc>
          <w:tcPr>
            <w:tcW w:w="1180" w:type="dxa"/>
          </w:tcPr>
          <w:p>
            <w:pPr>
              <w:pStyle w:val="TableParagraph"/>
              <w:spacing w:before="23"/>
              <w:ind w:left="25" w:right="12"/>
              <w:jc w:val="center"/>
              <w:rPr>
                <w:sz w:val="16"/>
              </w:rPr>
            </w:pPr>
            <w:r>
              <w:rPr>
                <w:sz w:val="16"/>
              </w:rPr>
              <w:t>0.64</w:t>
            </w:r>
          </w:p>
        </w:tc>
        <w:tc>
          <w:tcPr>
            <w:tcW w:w="1794" w:type="dxa"/>
          </w:tcPr>
          <w:p>
            <w:pPr>
              <w:pStyle w:val="TableParagraph"/>
              <w:spacing w:before="23"/>
              <w:ind w:left="33"/>
              <w:rPr>
                <w:sz w:val="16"/>
              </w:rPr>
            </w:pPr>
            <w:r>
              <w:rPr>
                <w:sz w:val="16"/>
              </w:rPr>
              <w:t>Paraberlinia bifoliolata</w:t>
            </w:r>
          </w:p>
        </w:tc>
        <w:tc>
          <w:tcPr>
            <w:tcW w:w="1177" w:type="dxa"/>
          </w:tcPr>
          <w:p>
            <w:pPr>
              <w:pStyle w:val="TableParagraph"/>
              <w:spacing w:before="23"/>
              <w:ind w:right="399"/>
              <w:jc w:val="right"/>
              <w:rPr>
                <w:sz w:val="16"/>
              </w:rPr>
            </w:pPr>
            <w:r>
              <w:rPr>
                <w:sz w:val="16"/>
              </w:rPr>
              <w:t>0.56”</w:t>
            </w:r>
          </w:p>
        </w:tc>
      </w:tr>
      <w:tr>
        <w:trPr>
          <w:trHeight w:val="244" w:hRule="atLeast"/>
        </w:trPr>
        <w:tc>
          <w:tcPr>
            <w:tcW w:w="1802" w:type="dxa"/>
          </w:tcPr>
          <w:p>
            <w:pPr>
              <w:pStyle w:val="TableParagraph"/>
              <w:spacing w:before="23"/>
              <w:ind w:left="28"/>
              <w:rPr>
                <w:sz w:val="16"/>
              </w:rPr>
            </w:pPr>
            <w:r>
              <w:rPr>
                <w:sz w:val="16"/>
              </w:rPr>
              <w:t>Heritiera spp.</w:t>
            </w:r>
          </w:p>
        </w:tc>
        <w:tc>
          <w:tcPr>
            <w:tcW w:w="1180" w:type="dxa"/>
          </w:tcPr>
          <w:p>
            <w:pPr>
              <w:pStyle w:val="TableParagraph"/>
              <w:spacing w:before="23"/>
              <w:ind w:left="21" w:right="14"/>
              <w:jc w:val="center"/>
              <w:rPr>
                <w:sz w:val="16"/>
              </w:rPr>
            </w:pPr>
            <w:r>
              <w:rPr>
                <w:sz w:val="16"/>
              </w:rPr>
              <w:t>0.56</w:t>
            </w:r>
          </w:p>
        </w:tc>
        <w:tc>
          <w:tcPr>
            <w:tcW w:w="1809" w:type="dxa"/>
          </w:tcPr>
          <w:p>
            <w:pPr>
              <w:pStyle w:val="TableParagraph"/>
              <w:spacing w:before="23"/>
              <w:ind w:left="29"/>
              <w:rPr>
                <w:sz w:val="16"/>
              </w:rPr>
            </w:pPr>
            <w:r>
              <w:rPr>
                <w:sz w:val="16"/>
              </w:rPr>
              <w:t>Mabea piriri</w:t>
            </w:r>
          </w:p>
        </w:tc>
        <w:tc>
          <w:tcPr>
            <w:tcW w:w="1180" w:type="dxa"/>
          </w:tcPr>
          <w:p>
            <w:pPr>
              <w:pStyle w:val="TableParagraph"/>
              <w:spacing w:before="23"/>
              <w:ind w:left="25" w:right="12"/>
              <w:jc w:val="center"/>
              <w:rPr>
                <w:sz w:val="16"/>
              </w:rPr>
            </w:pPr>
            <w:r>
              <w:rPr>
                <w:sz w:val="16"/>
              </w:rPr>
              <w:t>0.59</w:t>
            </w:r>
          </w:p>
        </w:tc>
        <w:tc>
          <w:tcPr>
            <w:tcW w:w="1794" w:type="dxa"/>
          </w:tcPr>
          <w:p>
            <w:pPr>
              <w:pStyle w:val="TableParagraph"/>
              <w:spacing w:before="23"/>
              <w:ind w:left="32"/>
              <w:rPr>
                <w:sz w:val="16"/>
              </w:rPr>
            </w:pPr>
            <w:r>
              <w:rPr>
                <w:sz w:val="16"/>
              </w:rPr>
              <w:t>Parinari glabra</w:t>
            </w:r>
          </w:p>
        </w:tc>
        <w:tc>
          <w:tcPr>
            <w:tcW w:w="1177" w:type="dxa"/>
          </w:tcPr>
          <w:p>
            <w:pPr>
              <w:pStyle w:val="TableParagraph"/>
              <w:spacing w:before="23"/>
              <w:ind w:right="399"/>
              <w:jc w:val="right"/>
              <w:rPr>
                <w:sz w:val="16"/>
              </w:rPr>
            </w:pPr>
            <w:r>
              <w:rPr>
                <w:sz w:val="16"/>
              </w:rPr>
              <w:t>0.87”</w:t>
            </w:r>
          </w:p>
        </w:tc>
      </w:tr>
      <w:tr>
        <w:trPr>
          <w:trHeight w:val="244" w:hRule="atLeast"/>
        </w:trPr>
        <w:tc>
          <w:tcPr>
            <w:tcW w:w="1802" w:type="dxa"/>
          </w:tcPr>
          <w:p>
            <w:pPr>
              <w:pStyle w:val="TableParagraph"/>
              <w:spacing w:before="23"/>
              <w:ind w:left="28"/>
              <w:rPr>
                <w:sz w:val="16"/>
              </w:rPr>
            </w:pPr>
            <w:r>
              <w:rPr>
                <w:sz w:val="16"/>
              </w:rPr>
              <w:t>Hevea brasiliensis</w:t>
            </w:r>
          </w:p>
        </w:tc>
        <w:tc>
          <w:tcPr>
            <w:tcW w:w="1180" w:type="dxa"/>
          </w:tcPr>
          <w:p>
            <w:pPr>
              <w:pStyle w:val="TableParagraph"/>
              <w:spacing w:before="23"/>
              <w:ind w:left="21" w:right="14"/>
              <w:jc w:val="center"/>
              <w:rPr>
                <w:sz w:val="16"/>
              </w:rPr>
            </w:pPr>
            <w:r>
              <w:rPr>
                <w:sz w:val="16"/>
              </w:rPr>
              <w:t>0.53</w:t>
            </w:r>
          </w:p>
        </w:tc>
        <w:tc>
          <w:tcPr>
            <w:tcW w:w="1809" w:type="dxa"/>
          </w:tcPr>
          <w:p>
            <w:pPr>
              <w:pStyle w:val="TableParagraph"/>
              <w:spacing w:before="23"/>
              <w:ind w:left="30"/>
              <w:rPr>
                <w:sz w:val="16"/>
              </w:rPr>
            </w:pPr>
            <w:r>
              <w:rPr>
                <w:sz w:val="16"/>
              </w:rPr>
              <w:t>Machaerium spp.</w:t>
            </w:r>
          </w:p>
        </w:tc>
        <w:tc>
          <w:tcPr>
            <w:tcW w:w="1180" w:type="dxa"/>
          </w:tcPr>
          <w:p>
            <w:pPr>
              <w:pStyle w:val="TableParagraph"/>
              <w:spacing w:before="23"/>
              <w:ind w:left="25" w:right="11"/>
              <w:jc w:val="center"/>
              <w:rPr>
                <w:sz w:val="16"/>
              </w:rPr>
            </w:pPr>
            <w:r>
              <w:rPr>
                <w:sz w:val="16"/>
              </w:rPr>
              <w:t>0.7</w:t>
            </w:r>
          </w:p>
        </w:tc>
        <w:tc>
          <w:tcPr>
            <w:tcW w:w="1794" w:type="dxa"/>
          </w:tcPr>
          <w:p>
            <w:pPr>
              <w:pStyle w:val="TableParagraph"/>
              <w:spacing w:before="23"/>
              <w:ind w:left="34"/>
              <w:rPr>
                <w:sz w:val="16"/>
              </w:rPr>
            </w:pPr>
            <w:r>
              <w:rPr>
                <w:sz w:val="16"/>
              </w:rPr>
              <w:t>Parkia bicolor</w:t>
            </w:r>
          </w:p>
        </w:tc>
        <w:tc>
          <w:tcPr>
            <w:tcW w:w="1177" w:type="dxa"/>
          </w:tcPr>
          <w:p>
            <w:pPr>
              <w:pStyle w:val="TableParagraph"/>
              <w:spacing w:before="23"/>
              <w:ind w:right="398"/>
              <w:jc w:val="right"/>
              <w:rPr>
                <w:sz w:val="16"/>
              </w:rPr>
            </w:pPr>
            <w:r>
              <w:rPr>
                <w:sz w:val="16"/>
              </w:rPr>
              <w:t>0.36”</w:t>
            </w:r>
          </w:p>
        </w:tc>
      </w:tr>
      <w:tr>
        <w:trPr>
          <w:trHeight w:val="246" w:hRule="atLeast"/>
        </w:trPr>
        <w:tc>
          <w:tcPr>
            <w:tcW w:w="1802" w:type="dxa"/>
          </w:tcPr>
          <w:p>
            <w:pPr>
              <w:pStyle w:val="TableParagraph"/>
              <w:spacing w:before="23"/>
              <w:ind w:left="28"/>
              <w:rPr>
                <w:sz w:val="16"/>
              </w:rPr>
            </w:pPr>
            <w:r>
              <w:rPr>
                <w:sz w:val="16"/>
              </w:rPr>
              <w:t>Hibiscus tiliaceus</w:t>
            </w:r>
          </w:p>
        </w:tc>
        <w:tc>
          <w:tcPr>
            <w:tcW w:w="1180" w:type="dxa"/>
          </w:tcPr>
          <w:p>
            <w:pPr>
              <w:pStyle w:val="TableParagraph"/>
              <w:spacing w:before="23"/>
              <w:ind w:left="19" w:right="14"/>
              <w:jc w:val="center"/>
              <w:rPr>
                <w:sz w:val="16"/>
              </w:rPr>
            </w:pPr>
            <w:r>
              <w:rPr>
                <w:sz w:val="16"/>
              </w:rPr>
              <w:t>0.57</w:t>
            </w:r>
          </w:p>
        </w:tc>
        <w:tc>
          <w:tcPr>
            <w:tcW w:w="1809" w:type="dxa"/>
          </w:tcPr>
          <w:p>
            <w:pPr>
              <w:pStyle w:val="TableParagraph"/>
              <w:spacing w:before="23"/>
              <w:ind w:left="29"/>
              <w:rPr>
                <w:sz w:val="16"/>
              </w:rPr>
            </w:pPr>
            <w:r>
              <w:rPr>
                <w:sz w:val="16"/>
              </w:rPr>
              <w:t>Macoubea guianensis</w:t>
            </w:r>
          </w:p>
        </w:tc>
        <w:tc>
          <w:tcPr>
            <w:tcW w:w="1180" w:type="dxa"/>
          </w:tcPr>
          <w:p>
            <w:pPr>
              <w:pStyle w:val="TableParagraph"/>
              <w:spacing w:before="23"/>
              <w:ind w:left="25" w:right="13"/>
              <w:jc w:val="center"/>
              <w:rPr>
                <w:sz w:val="16"/>
              </w:rPr>
            </w:pPr>
            <w:r>
              <w:rPr>
                <w:sz w:val="16"/>
              </w:rPr>
              <w:t>0.40*</w:t>
            </w:r>
          </w:p>
        </w:tc>
        <w:tc>
          <w:tcPr>
            <w:tcW w:w="1794" w:type="dxa"/>
          </w:tcPr>
          <w:p>
            <w:pPr>
              <w:pStyle w:val="TableParagraph"/>
              <w:spacing w:before="23"/>
              <w:ind w:left="32"/>
              <w:rPr>
                <w:sz w:val="16"/>
              </w:rPr>
            </w:pPr>
            <w:r>
              <w:rPr>
                <w:sz w:val="16"/>
              </w:rPr>
              <w:t>Pausinystalia brachythyrsa</w:t>
            </w:r>
          </w:p>
        </w:tc>
        <w:tc>
          <w:tcPr>
            <w:tcW w:w="1177" w:type="dxa"/>
          </w:tcPr>
          <w:p>
            <w:pPr>
              <w:pStyle w:val="TableParagraph"/>
              <w:spacing w:before="23"/>
              <w:ind w:right="399"/>
              <w:jc w:val="right"/>
              <w:rPr>
                <w:sz w:val="16"/>
              </w:rPr>
            </w:pPr>
            <w:r>
              <w:rPr>
                <w:sz w:val="16"/>
              </w:rPr>
              <w:t>0.56”</w:t>
            </w:r>
          </w:p>
        </w:tc>
      </w:tr>
      <w:tr>
        <w:trPr>
          <w:trHeight w:val="244" w:hRule="atLeast"/>
        </w:trPr>
        <w:tc>
          <w:tcPr>
            <w:tcW w:w="1802" w:type="dxa"/>
          </w:tcPr>
          <w:p>
            <w:pPr>
              <w:pStyle w:val="TableParagraph"/>
              <w:spacing w:before="23"/>
              <w:ind w:left="28"/>
              <w:rPr>
                <w:sz w:val="16"/>
              </w:rPr>
            </w:pPr>
            <w:r>
              <w:rPr>
                <w:sz w:val="16"/>
              </w:rPr>
              <w:t>Homalanthus populneus</w:t>
            </w:r>
          </w:p>
        </w:tc>
        <w:tc>
          <w:tcPr>
            <w:tcW w:w="1180" w:type="dxa"/>
          </w:tcPr>
          <w:p>
            <w:pPr>
              <w:pStyle w:val="TableParagraph"/>
              <w:spacing w:before="23"/>
              <w:ind w:left="16" w:right="14"/>
              <w:jc w:val="center"/>
              <w:rPr>
                <w:sz w:val="16"/>
              </w:rPr>
            </w:pPr>
            <w:r>
              <w:rPr>
                <w:sz w:val="16"/>
              </w:rPr>
              <w:t>0.38</w:t>
            </w:r>
          </w:p>
        </w:tc>
        <w:tc>
          <w:tcPr>
            <w:tcW w:w="1809" w:type="dxa"/>
          </w:tcPr>
          <w:p>
            <w:pPr>
              <w:pStyle w:val="TableParagraph"/>
              <w:spacing w:before="23"/>
              <w:ind w:left="27"/>
              <w:rPr>
                <w:sz w:val="16"/>
              </w:rPr>
            </w:pPr>
            <w:r>
              <w:rPr>
                <w:sz w:val="16"/>
              </w:rPr>
              <w:t>Magnolia spp.</w:t>
            </w:r>
          </w:p>
        </w:tc>
        <w:tc>
          <w:tcPr>
            <w:tcW w:w="1180" w:type="dxa"/>
          </w:tcPr>
          <w:p>
            <w:pPr>
              <w:pStyle w:val="TableParagraph"/>
              <w:spacing w:before="23"/>
              <w:ind w:left="23" w:right="14"/>
              <w:jc w:val="center"/>
              <w:rPr>
                <w:sz w:val="16"/>
              </w:rPr>
            </w:pPr>
            <w:r>
              <w:rPr>
                <w:sz w:val="16"/>
              </w:rPr>
              <w:t>0.52</w:t>
            </w:r>
          </w:p>
        </w:tc>
        <w:tc>
          <w:tcPr>
            <w:tcW w:w="1794" w:type="dxa"/>
          </w:tcPr>
          <w:p>
            <w:pPr>
              <w:pStyle w:val="TableParagraph"/>
              <w:spacing w:before="23"/>
              <w:ind w:left="31"/>
              <w:rPr>
                <w:sz w:val="16"/>
              </w:rPr>
            </w:pPr>
            <w:r>
              <w:rPr>
                <w:sz w:val="16"/>
              </w:rPr>
              <w:t>Pausinystalia cf. talbotii</w:t>
            </w:r>
          </w:p>
        </w:tc>
        <w:tc>
          <w:tcPr>
            <w:tcW w:w="1177" w:type="dxa"/>
          </w:tcPr>
          <w:p>
            <w:pPr>
              <w:pStyle w:val="TableParagraph"/>
              <w:spacing w:before="23"/>
              <w:ind w:right="399"/>
              <w:jc w:val="right"/>
              <w:rPr>
                <w:sz w:val="16"/>
              </w:rPr>
            </w:pPr>
            <w:r>
              <w:rPr>
                <w:sz w:val="16"/>
              </w:rPr>
              <w:t>0.56”</w:t>
            </w:r>
          </w:p>
        </w:tc>
      </w:tr>
      <w:tr>
        <w:trPr>
          <w:trHeight w:val="244" w:hRule="atLeast"/>
        </w:trPr>
        <w:tc>
          <w:tcPr>
            <w:tcW w:w="1802" w:type="dxa"/>
          </w:tcPr>
          <w:p>
            <w:pPr>
              <w:pStyle w:val="TableParagraph"/>
              <w:spacing w:before="23"/>
              <w:ind w:left="28"/>
              <w:rPr>
                <w:sz w:val="16"/>
              </w:rPr>
            </w:pPr>
            <w:r>
              <w:rPr>
                <w:sz w:val="16"/>
              </w:rPr>
              <w:t>Homalium spp.</w:t>
            </w:r>
          </w:p>
        </w:tc>
        <w:tc>
          <w:tcPr>
            <w:tcW w:w="1180" w:type="dxa"/>
          </w:tcPr>
          <w:p>
            <w:pPr>
              <w:pStyle w:val="TableParagraph"/>
              <w:spacing w:before="23"/>
              <w:ind w:left="19" w:right="14"/>
              <w:jc w:val="center"/>
              <w:rPr>
                <w:sz w:val="16"/>
              </w:rPr>
            </w:pPr>
            <w:r>
              <w:rPr>
                <w:sz w:val="16"/>
              </w:rPr>
              <w:t>0.76</w:t>
            </w:r>
          </w:p>
        </w:tc>
        <w:tc>
          <w:tcPr>
            <w:tcW w:w="1809" w:type="dxa"/>
          </w:tcPr>
          <w:p>
            <w:pPr>
              <w:pStyle w:val="TableParagraph"/>
              <w:spacing w:before="23"/>
              <w:ind w:left="29"/>
              <w:rPr>
                <w:sz w:val="16"/>
              </w:rPr>
            </w:pPr>
            <w:r>
              <w:rPr>
                <w:sz w:val="16"/>
              </w:rPr>
              <w:t>Maguira sclerophylla</w:t>
            </w:r>
          </w:p>
        </w:tc>
        <w:tc>
          <w:tcPr>
            <w:tcW w:w="1180" w:type="dxa"/>
          </w:tcPr>
          <w:p>
            <w:pPr>
              <w:pStyle w:val="TableParagraph"/>
              <w:spacing w:before="23"/>
              <w:ind w:left="25" w:right="13"/>
              <w:jc w:val="center"/>
              <w:rPr>
                <w:sz w:val="16"/>
              </w:rPr>
            </w:pPr>
            <w:r>
              <w:rPr>
                <w:sz w:val="16"/>
              </w:rPr>
              <w:t>0.57</w:t>
            </w:r>
          </w:p>
        </w:tc>
        <w:tc>
          <w:tcPr>
            <w:tcW w:w="1794" w:type="dxa"/>
          </w:tcPr>
          <w:p>
            <w:pPr>
              <w:pStyle w:val="TableParagraph"/>
              <w:spacing w:before="23"/>
              <w:ind w:left="32"/>
              <w:rPr>
                <w:sz w:val="16"/>
              </w:rPr>
            </w:pPr>
            <w:r>
              <w:rPr>
                <w:sz w:val="16"/>
              </w:rPr>
              <w:t>Pentaclethra macrophylla</w:t>
            </w:r>
          </w:p>
        </w:tc>
        <w:tc>
          <w:tcPr>
            <w:tcW w:w="1177" w:type="dxa"/>
          </w:tcPr>
          <w:p>
            <w:pPr>
              <w:pStyle w:val="TableParagraph"/>
              <w:spacing w:before="23"/>
              <w:ind w:right="399"/>
              <w:jc w:val="right"/>
              <w:rPr>
                <w:sz w:val="16"/>
              </w:rPr>
            </w:pPr>
            <w:r>
              <w:rPr>
                <w:sz w:val="16"/>
              </w:rPr>
              <w:t>0.78”</w:t>
            </w:r>
          </w:p>
        </w:tc>
      </w:tr>
      <w:tr>
        <w:trPr>
          <w:trHeight w:val="244" w:hRule="atLeast"/>
        </w:trPr>
        <w:tc>
          <w:tcPr>
            <w:tcW w:w="1802" w:type="dxa"/>
          </w:tcPr>
          <w:p>
            <w:pPr>
              <w:pStyle w:val="TableParagraph"/>
              <w:spacing w:before="23"/>
              <w:ind w:left="28"/>
              <w:rPr>
                <w:sz w:val="16"/>
              </w:rPr>
            </w:pPr>
            <w:r>
              <w:rPr>
                <w:sz w:val="16"/>
              </w:rPr>
              <w:t>Hopea acuminata</w:t>
            </w:r>
          </w:p>
        </w:tc>
        <w:tc>
          <w:tcPr>
            <w:tcW w:w="1180" w:type="dxa"/>
          </w:tcPr>
          <w:p>
            <w:pPr>
              <w:pStyle w:val="TableParagraph"/>
              <w:spacing w:before="23"/>
              <w:ind w:left="20" w:right="14"/>
              <w:jc w:val="center"/>
              <w:rPr>
                <w:sz w:val="16"/>
              </w:rPr>
            </w:pPr>
            <w:r>
              <w:rPr>
                <w:sz w:val="16"/>
              </w:rPr>
              <w:t>0.62</w:t>
            </w:r>
          </w:p>
        </w:tc>
        <w:tc>
          <w:tcPr>
            <w:tcW w:w="1809" w:type="dxa"/>
          </w:tcPr>
          <w:p>
            <w:pPr>
              <w:pStyle w:val="TableParagraph"/>
              <w:spacing w:before="23"/>
              <w:ind w:left="29"/>
              <w:rPr>
                <w:sz w:val="16"/>
              </w:rPr>
            </w:pPr>
            <w:r>
              <w:rPr>
                <w:sz w:val="16"/>
              </w:rPr>
              <w:t>Mammea americana</w:t>
            </w:r>
          </w:p>
        </w:tc>
        <w:tc>
          <w:tcPr>
            <w:tcW w:w="1180" w:type="dxa"/>
          </w:tcPr>
          <w:p>
            <w:pPr>
              <w:pStyle w:val="TableParagraph"/>
              <w:spacing w:before="23"/>
              <w:ind w:left="25" w:right="11"/>
              <w:jc w:val="center"/>
              <w:rPr>
                <w:sz w:val="16"/>
              </w:rPr>
            </w:pPr>
            <w:r>
              <w:rPr>
                <w:sz w:val="16"/>
              </w:rPr>
              <w:t>0.62</w:t>
            </w:r>
          </w:p>
        </w:tc>
        <w:tc>
          <w:tcPr>
            <w:tcW w:w="1794" w:type="dxa"/>
          </w:tcPr>
          <w:p>
            <w:pPr>
              <w:pStyle w:val="TableParagraph"/>
              <w:spacing w:before="23"/>
              <w:ind w:left="33"/>
              <w:rPr>
                <w:sz w:val="16"/>
              </w:rPr>
            </w:pPr>
            <w:r>
              <w:rPr>
                <w:sz w:val="16"/>
              </w:rPr>
              <w:t>Pentadesma butyracea</w:t>
            </w:r>
          </w:p>
        </w:tc>
        <w:tc>
          <w:tcPr>
            <w:tcW w:w="1177" w:type="dxa"/>
          </w:tcPr>
          <w:p>
            <w:pPr>
              <w:pStyle w:val="TableParagraph"/>
              <w:spacing w:before="23"/>
              <w:ind w:right="398"/>
              <w:jc w:val="right"/>
              <w:rPr>
                <w:sz w:val="16"/>
              </w:rPr>
            </w:pPr>
            <w:r>
              <w:rPr>
                <w:sz w:val="16"/>
              </w:rPr>
              <w:t>0.78”</w:t>
            </w:r>
          </w:p>
        </w:tc>
      </w:tr>
      <w:tr>
        <w:trPr>
          <w:trHeight w:val="246" w:hRule="atLeast"/>
        </w:trPr>
        <w:tc>
          <w:tcPr>
            <w:tcW w:w="1802" w:type="dxa"/>
          </w:tcPr>
          <w:p>
            <w:pPr>
              <w:pStyle w:val="TableParagraph"/>
              <w:spacing w:before="23"/>
              <w:ind w:left="28"/>
              <w:rPr>
                <w:sz w:val="16"/>
              </w:rPr>
            </w:pPr>
            <w:r>
              <w:rPr>
                <w:sz w:val="16"/>
              </w:rPr>
              <w:t>Hopea spp.</w:t>
            </w:r>
          </w:p>
        </w:tc>
        <w:tc>
          <w:tcPr>
            <w:tcW w:w="1180" w:type="dxa"/>
          </w:tcPr>
          <w:p>
            <w:pPr>
              <w:pStyle w:val="TableParagraph"/>
              <w:spacing w:before="23"/>
              <w:ind w:left="20" w:right="14"/>
              <w:jc w:val="center"/>
              <w:rPr>
                <w:sz w:val="16"/>
              </w:rPr>
            </w:pPr>
            <w:r>
              <w:rPr>
                <w:sz w:val="16"/>
              </w:rPr>
              <w:t>0.64</w:t>
            </w:r>
          </w:p>
        </w:tc>
        <w:tc>
          <w:tcPr>
            <w:tcW w:w="1809" w:type="dxa"/>
          </w:tcPr>
          <w:p>
            <w:pPr>
              <w:pStyle w:val="TableParagraph"/>
              <w:spacing w:before="23"/>
              <w:ind w:left="29"/>
              <w:rPr>
                <w:sz w:val="16"/>
              </w:rPr>
            </w:pPr>
            <w:r>
              <w:rPr>
                <w:sz w:val="16"/>
              </w:rPr>
              <w:t>Mangifera indica</w:t>
            </w:r>
          </w:p>
        </w:tc>
        <w:tc>
          <w:tcPr>
            <w:tcW w:w="1180" w:type="dxa"/>
          </w:tcPr>
          <w:p>
            <w:pPr>
              <w:pStyle w:val="TableParagraph"/>
              <w:spacing w:before="23"/>
              <w:ind w:left="25" w:right="11"/>
              <w:jc w:val="center"/>
              <w:rPr>
                <w:sz w:val="16"/>
              </w:rPr>
            </w:pPr>
            <w:r>
              <w:rPr>
                <w:sz w:val="16"/>
              </w:rPr>
              <w:t>0.55</w:t>
            </w:r>
          </w:p>
        </w:tc>
        <w:tc>
          <w:tcPr>
            <w:tcW w:w="1794" w:type="dxa"/>
          </w:tcPr>
          <w:p>
            <w:pPr>
              <w:pStyle w:val="TableParagraph"/>
              <w:spacing w:before="23"/>
              <w:ind w:left="33"/>
              <w:rPr>
                <w:sz w:val="16"/>
              </w:rPr>
            </w:pPr>
            <w:r>
              <w:rPr>
                <w:sz w:val="16"/>
              </w:rPr>
              <w:t>Phyllanthus discoideus</w:t>
            </w:r>
          </w:p>
        </w:tc>
        <w:tc>
          <w:tcPr>
            <w:tcW w:w="1177" w:type="dxa"/>
          </w:tcPr>
          <w:p>
            <w:pPr>
              <w:pStyle w:val="TableParagraph"/>
              <w:spacing w:before="23"/>
              <w:ind w:right="399"/>
              <w:jc w:val="right"/>
              <w:rPr>
                <w:sz w:val="16"/>
              </w:rPr>
            </w:pPr>
            <w:r>
              <w:rPr>
                <w:sz w:val="16"/>
              </w:rPr>
              <w:t>0.76”</w:t>
            </w:r>
          </w:p>
        </w:tc>
      </w:tr>
      <w:tr>
        <w:trPr>
          <w:trHeight w:val="244" w:hRule="atLeast"/>
        </w:trPr>
        <w:tc>
          <w:tcPr>
            <w:tcW w:w="1802" w:type="dxa"/>
          </w:tcPr>
          <w:p>
            <w:pPr>
              <w:pStyle w:val="TableParagraph"/>
              <w:spacing w:before="23"/>
              <w:ind w:left="28"/>
              <w:rPr>
                <w:sz w:val="16"/>
              </w:rPr>
            </w:pPr>
            <w:r>
              <w:rPr>
                <w:sz w:val="16"/>
              </w:rPr>
              <w:t>Intsia palembanica</w:t>
            </w:r>
          </w:p>
        </w:tc>
        <w:tc>
          <w:tcPr>
            <w:tcW w:w="1180" w:type="dxa"/>
          </w:tcPr>
          <w:p>
            <w:pPr>
              <w:pStyle w:val="TableParagraph"/>
              <w:spacing w:before="23"/>
              <w:ind w:left="21" w:right="14"/>
              <w:jc w:val="center"/>
              <w:rPr>
                <w:sz w:val="16"/>
              </w:rPr>
            </w:pPr>
            <w:r>
              <w:rPr>
                <w:sz w:val="16"/>
              </w:rPr>
              <w:t>0.68</w:t>
            </w:r>
          </w:p>
        </w:tc>
        <w:tc>
          <w:tcPr>
            <w:tcW w:w="1809" w:type="dxa"/>
          </w:tcPr>
          <w:p>
            <w:pPr>
              <w:pStyle w:val="TableParagraph"/>
              <w:spacing w:before="23"/>
              <w:ind w:left="30"/>
              <w:rPr>
                <w:sz w:val="16"/>
              </w:rPr>
            </w:pPr>
            <w:r>
              <w:rPr>
                <w:sz w:val="16"/>
              </w:rPr>
              <w:t>Manilkara sp.</w:t>
            </w:r>
          </w:p>
        </w:tc>
        <w:tc>
          <w:tcPr>
            <w:tcW w:w="1180" w:type="dxa"/>
          </w:tcPr>
          <w:p>
            <w:pPr>
              <w:pStyle w:val="TableParagraph"/>
              <w:spacing w:before="23"/>
              <w:ind w:left="25" w:right="10"/>
              <w:jc w:val="center"/>
              <w:rPr>
                <w:sz w:val="16"/>
              </w:rPr>
            </w:pPr>
            <w:r>
              <w:rPr>
                <w:sz w:val="16"/>
              </w:rPr>
              <w:t>0.89</w:t>
            </w:r>
          </w:p>
        </w:tc>
        <w:tc>
          <w:tcPr>
            <w:tcW w:w="1794" w:type="dxa"/>
          </w:tcPr>
          <w:p>
            <w:pPr>
              <w:pStyle w:val="TableParagraph"/>
              <w:spacing w:before="23"/>
              <w:ind w:left="33"/>
              <w:rPr>
                <w:sz w:val="16"/>
              </w:rPr>
            </w:pPr>
            <w:r>
              <w:rPr>
                <w:sz w:val="16"/>
              </w:rPr>
              <w:t>Pierreodendron africanum</w:t>
            </w:r>
          </w:p>
        </w:tc>
        <w:tc>
          <w:tcPr>
            <w:tcW w:w="1177" w:type="dxa"/>
          </w:tcPr>
          <w:p>
            <w:pPr>
              <w:pStyle w:val="TableParagraph"/>
              <w:spacing w:before="23"/>
              <w:ind w:right="373"/>
              <w:jc w:val="right"/>
              <w:rPr>
                <w:sz w:val="16"/>
              </w:rPr>
            </w:pPr>
            <w:r>
              <w:rPr>
                <w:sz w:val="16"/>
              </w:rPr>
              <w:t>0.70;”</w:t>
            </w:r>
          </w:p>
        </w:tc>
      </w:tr>
      <w:tr>
        <w:trPr>
          <w:trHeight w:val="244" w:hRule="atLeast"/>
        </w:trPr>
        <w:tc>
          <w:tcPr>
            <w:tcW w:w="1802" w:type="dxa"/>
          </w:tcPr>
          <w:p>
            <w:pPr>
              <w:pStyle w:val="TableParagraph"/>
              <w:spacing w:before="23"/>
              <w:ind w:left="28"/>
              <w:rPr>
                <w:sz w:val="16"/>
              </w:rPr>
            </w:pPr>
            <w:r>
              <w:rPr>
                <w:sz w:val="16"/>
              </w:rPr>
              <w:t>Kayea garciae</w:t>
            </w:r>
          </w:p>
        </w:tc>
        <w:tc>
          <w:tcPr>
            <w:tcW w:w="1180" w:type="dxa"/>
          </w:tcPr>
          <w:p>
            <w:pPr>
              <w:pStyle w:val="TableParagraph"/>
              <w:spacing w:before="23"/>
              <w:ind w:left="21" w:right="14"/>
              <w:jc w:val="center"/>
              <w:rPr>
                <w:sz w:val="16"/>
              </w:rPr>
            </w:pPr>
            <w:r>
              <w:rPr>
                <w:sz w:val="16"/>
              </w:rPr>
              <w:t>0.53</w:t>
            </w:r>
          </w:p>
        </w:tc>
        <w:tc>
          <w:tcPr>
            <w:tcW w:w="1809" w:type="dxa"/>
          </w:tcPr>
          <w:p>
            <w:pPr>
              <w:pStyle w:val="TableParagraph"/>
              <w:spacing w:before="23"/>
              <w:ind w:left="29"/>
              <w:rPr>
                <w:sz w:val="16"/>
              </w:rPr>
            </w:pPr>
            <w:r>
              <w:rPr>
                <w:sz w:val="16"/>
              </w:rPr>
              <w:t>Marila sp.</w:t>
            </w:r>
          </w:p>
        </w:tc>
        <w:tc>
          <w:tcPr>
            <w:tcW w:w="1180" w:type="dxa"/>
          </w:tcPr>
          <w:p>
            <w:pPr>
              <w:pStyle w:val="TableParagraph"/>
              <w:spacing w:before="23"/>
              <w:ind w:left="25" w:right="11"/>
              <w:jc w:val="center"/>
              <w:rPr>
                <w:sz w:val="16"/>
              </w:rPr>
            </w:pPr>
            <w:r>
              <w:rPr>
                <w:sz w:val="16"/>
              </w:rPr>
              <w:t>0.63</w:t>
            </w:r>
          </w:p>
        </w:tc>
        <w:tc>
          <w:tcPr>
            <w:tcW w:w="1794" w:type="dxa"/>
          </w:tcPr>
          <w:p>
            <w:pPr>
              <w:pStyle w:val="TableParagraph"/>
              <w:spacing w:before="23"/>
              <w:ind w:left="33"/>
              <w:rPr>
                <w:sz w:val="16"/>
              </w:rPr>
            </w:pPr>
            <w:r>
              <w:rPr>
                <w:sz w:val="16"/>
              </w:rPr>
              <w:t>Piptadeniastrum africanum</w:t>
            </w:r>
          </w:p>
        </w:tc>
        <w:tc>
          <w:tcPr>
            <w:tcW w:w="1177" w:type="dxa"/>
          </w:tcPr>
          <w:p>
            <w:pPr>
              <w:pStyle w:val="TableParagraph"/>
              <w:spacing w:before="23"/>
              <w:ind w:right="431"/>
              <w:jc w:val="right"/>
              <w:rPr>
                <w:sz w:val="16"/>
              </w:rPr>
            </w:pPr>
            <w:r>
              <w:rPr>
                <w:sz w:val="16"/>
              </w:rPr>
              <w:t>0.56</w:t>
            </w:r>
          </w:p>
        </w:tc>
      </w:tr>
      <w:tr>
        <w:trPr>
          <w:trHeight w:val="837" w:hRule="atLeast"/>
        </w:trPr>
        <w:tc>
          <w:tcPr>
            <w:tcW w:w="8942" w:type="dxa"/>
            <w:gridSpan w:val="6"/>
          </w:tcPr>
          <w:p>
            <w:pPr>
              <w:pStyle w:val="TableParagraph"/>
              <w:spacing w:line="178" w:lineRule="exact"/>
              <w:ind w:left="28"/>
              <w:rPr>
                <w:sz w:val="16"/>
              </w:rPr>
            </w:pPr>
            <w:r>
              <w:rPr>
                <w:sz w:val="16"/>
              </w:rPr>
              <w:t>+ The wood densities specified pertain to more than one bibliographic source.</w:t>
            </w:r>
          </w:p>
          <w:p>
            <w:pPr>
              <w:pStyle w:val="TableParagraph"/>
              <w:spacing w:line="183" w:lineRule="exact" w:before="41"/>
              <w:ind w:left="28"/>
              <w:rPr>
                <w:sz w:val="16"/>
              </w:rPr>
            </w:pPr>
            <w:r>
              <w:rPr>
                <w:sz w:val="16"/>
              </w:rPr>
              <w:t>* Wood density value is derived from the regression equation in Reyes </w:t>
            </w:r>
            <w:r>
              <w:rPr>
                <w:i/>
                <w:sz w:val="16"/>
              </w:rPr>
              <w:t>et al. </w:t>
            </w:r>
            <w:r>
              <w:rPr>
                <w:sz w:val="16"/>
              </w:rPr>
              <w:t>(1992).</w:t>
            </w:r>
          </w:p>
          <w:p>
            <w:pPr>
              <w:pStyle w:val="TableParagraph"/>
              <w:ind w:left="28" w:right="83" w:firstLine="40"/>
              <w:rPr>
                <w:sz w:val="16"/>
              </w:rPr>
            </w:pPr>
            <w:r>
              <w:rPr>
                <w:sz w:val="16"/>
              </w:rPr>
              <w:t>Source: Reyes, Gisel; Brown, Sandra; Chapman, Jonathan; Lugo, Ariel E. 1992. Wood densities of tropical tree species. Gen. Tech. Rep. SO-88 New Orleans, LA: U.S. Department of Agriculture, Forest Service, Southern Forest Experiment Station. 15pp.</w:t>
            </w:r>
          </w:p>
        </w:tc>
      </w:tr>
    </w:tbl>
    <w:p>
      <w:pPr>
        <w:spacing w:after="0"/>
        <w:rPr>
          <w:sz w:val="16"/>
        </w:rPr>
        <w:sectPr>
          <w:pgSz w:w="11900" w:h="16840"/>
          <w:pgMar w:header="230" w:footer="408" w:top="560" w:bottom="600" w:left="1200" w:right="1140"/>
        </w:sectPr>
      </w:pPr>
    </w:p>
    <w:p>
      <w:pPr>
        <w:pStyle w:val="BodyText"/>
      </w:pPr>
    </w:p>
    <w:p>
      <w:pPr>
        <w:pStyle w:val="BodyText"/>
        <w:rPr>
          <w:sz w:val="19"/>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7"/>
        <w:gridCol w:w="1207"/>
        <w:gridCol w:w="1817"/>
        <w:gridCol w:w="1188"/>
        <w:gridCol w:w="1807"/>
        <w:gridCol w:w="1190"/>
      </w:tblGrid>
      <w:tr>
        <w:trPr>
          <w:trHeight w:val="676" w:hRule="atLeast"/>
        </w:trPr>
        <w:tc>
          <w:tcPr>
            <w:tcW w:w="9016" w:type="dxa"/>
            <w:gridSpan w:val="6"/>
            <w:tcBorders>
              <w:bottom w:val="double" w:sz="1" w:space="0" w:color="000000"/>
            </w:tcBorders>
          </w:tcPr>
          <w:p>
            <w:pPr>
              <w:pStyle w:val="TableParagraph"/>
              <w:spacing w:line="195" w:lineRule="exact" w:before="28"/>
              <w:ind w:left="409" w:right="402"/>
              <w:jc w:val="center"/>
              <w:rPr>
                <w:b/>
                <w:sz w:val="18"/>
              </w:rPr>
            </w:pPr>
            <w:r>
              <w:rPr>
                <w:b/>
                <w:sz w:val="18"/>
              </w:rPr>
              <w:t>T</w:t>
            </w:r>
            <w:r>
              <w:rPr>
                <w:b/>
                <w:sz w:val="14"/>
              </w:rPr>
              <w:t>ABLE </w:t>
            </w:r>
            <w:r>
              <w:rPr>
                <w:b/>
                <w:sz w:val="18"/>
              </w:rPr>
              <w:t>3A.1.9-2 (C</w:t>
            </w:r>
            <w:r>
              <w:rPr>
                <w:b/>
                <w:sz w:val="14"/>
              </w:rPr>
              <w:t>ONTINUED</w:t>
            </w:r>
            <w:r>
              <w:rPr>
                <w:b/>
                <w:sz w:val="18"/>
              </w:rPr>
              <w:t>)</w:t>
            </w:r>
          </w:p>
          <w:p>
            <w:pPr>
              <w:pStyle w:val="TableParagraph"/>
              <w:spacing w:line="216" w:lineRule="exact"/>
              <w:ind w:left="448" w:right="402"/>
              <w:jc w:val="center"/>
              <w:rPr>
                <w:b/>
                <w:sz w:val="14"/>
              </w:rPr>
            </w:pPr>
            <w:r>
              <w:rPr>
                <w:b/>
                <w:sz w:val="18"/>
              </w:rPr>
              <w:t>B</w:t>
            </w:r>
            <w:r>
              <w:rPr>
                <w:b/>
                <w:sz w:val="14"/>
              </w:rPr>
              <w:t>ASIC WOOD DENSITIES </w:t>
            </w:r>
            <w:r>
              <w:rPr>
                <w:b/>
                <w:sz w:val="18"/>
              </w:rPr>
              <w:t>(D) </w:t>
            </w:r>
            <w:r>
              <w:rPr>
                <w:b/>
                <w:sz w:val="14"/>
              </w:rPr>
              <w:t>OF STEMWOOD </w:t>
            </w:r>
            <w:r>
              <w:rPr>
                <w:b/>
                <w:sz w:val="18"/>
              </w:rPr>
              <w:t>(tonnes dry matter/m</w:t>
            </w:r>
            <w:r>
              <w:rPr>
                <w:b/>
                <w:position w:val="8"/>
                <w:sz w:val="12"/>
              </w:rPr>
              <w:t>3 </w:t>
            </w:r>
            <w:r>
              <w:rPr>
                <w:b/>
                <w:sz w:val="18"/>
              </w:rPr>
              <w:t>fresh volume) </w:t>
            </w:r>
            <w:r>
              <w:rPr>
                <w:b/>
                <w:sz w:val="14"/>
              </w:rPr>
              <w:t>FOR TROPICAL TREE SPECIES</w:t>
            </w:r>
          </w:p>
          <w:p>
            <w:pPr>
              <w:pStyle w:val="TableParagraph"/>
              <w:spacing w:line="204" w:lineRule="exact"/>
              <w:ind w:left="412" w:right="402"/>
              <w:jc w:val="center"/>
              <w:rPr>
                <w:sz w:val="18"/>
              </w:rPr>
            </w:pPr>
            <w:r>
              <w:rPr>
                <w:sz w:val="18"/>
              </w:rPr>
              <w:t>(To be used for D in Equations 3.2.3., 3.2.5, 3.2.7, 3.2.8)</w:t>
            </w:r>
          </w:p>
        </w:tc>
      </w:tr>
      <w:tr>
        <w:trPr>
          <w:trHeight w:val="246" w:hRule="atLeast"/>
        </w:trPr>
        <w:tc>
          <w:tcPr>
            <w:tcW w:w="1807" w:type="dxa"/>
            <w:tcBorders>
              <w:top w:val="double" w:sz="1" w:space="0" w:color="000000"/>
            </w:tcBorders>
          </w:tcPr>
          <w:p>
            <w:pPr>
              <w:pStyle w:val="TableParagraph"/>
              <w:spacing w:before="27"/>
              <w:ind w:left="268"/>
              <w:rPr>
                <w:b/>
                <w:sz w:val="16"/>
              </w:rPr>
            </w:pPr>
            <w:r>
              <w:rPr>
                <w:b/>
                <w:sz w:val="16"/>
              </w:rPr>
              <w:t>TROPICAL ASIA</w:t>
            </w:r>
          </w:p>
        </w:tc>
        <w:tc>
          <w:tcPr>
            <w:tcW w:w="1207" w:type="dxa"/>
            <w:tcBorders>
              <w:top w:val="double" w:sz="1" w:space="0" w:color="000000"/>
            </w:tcBorders>
          </w:tcPr>
          <w:p>
            <w:pPr>
              <w:pStyle w:val="TableParagraph"/>
              <w:spacing w:before="27"/>
              <w:ind w:left="12"/>
              <w:jc w:val="center"/>
              <w:rPr>
                <w:b/>
                <w:sz w:val="16"/>
              </w:rPr>
            </w:pPr>
            <w:r>
              <w:rPr>
                <w:b/>
                <w:w w:val="100"/>
                <w:sz w:val="16"/>
              </w:rPr>
              <w:t>D</w:t>
            </w:r>
          </w:p>
        </w:tc>
        <w:tc>
          <w:tcPr>
            <w:tcW w:w="1817" w:type="dxa"/>
            <w:tcBorders>
              <w:top w:val="double" w:sz="1" w:space="0" w:color="000000"/>
            </w:tcBorders>
          </w:tcPr>
          <w:p>
            <w:pPr>
              <w:pStyle w:val="TableParagraph"/>
              <w:spacing w:before="27"/>
              <w:ind w:left="71"/>
              <w:rPr>
                <w:b/>
                <w:sz w:val="16"/>
              </w:rPr>
            </w:pPr>
            <w:r>
              <w:rPr>
                <w:b/>
                <w:sz w:val="16"/>
              </w:rPr>
              <w:t>TROPICAL AMERICA</w:t>
            </w:r>
          </w:p>
        </w:tc>
        <w:tc>
          <w:tcPr>
            <w:tcW w:w="1188" w:type="dxa"/>
            <w:tcBorders>
              <w:top w:val="double" w:sz="1" w:space="0" w:color="000000"/>
            </w:tcBorders>
          </w:tcPr>
          <w:p>
            <w:pPr>
              <w:pStyle w:val="TableParagraph"/>
              <w:spacing w:before="27"/>
              <w:ind w:left="10"/>
              <w:jc w:val="center"/>
              <w:rPr>
                <w:b/>
                <w:sz w:val="16"/>
              </w:rPr>
            </w:pPr>
            <w:r>
              <w:rPr>
                <w:b/>
                <w:w w:val="100"/>
                <w:sz w:val="16"/>
              </w:rPr>
              <w:t>D</w:t>
            </w:r>
          </w:p>
        </w:tc>
        <w:tc>
          <w:tcPr>
            <w:tcW w:w="1807" w:type="dxa"/>
            <w:tcBorders>
              <w:top w:val="double" w:sz="1" w:space="0" w:color="000000"/>
            </w:tcBorders>
          </w:tcPr>
          <w:p>
            <w:pPr>
              <w:pStyle w:val="TableParagraph"/>
              <w:spacing w:before="27"/>
              <w:ind w:left="149"/>
              <w:rPr>
                <w:b/>
                <w:sz w:val="16"/>
              </w:rPr>
            </w:pPr>
            <w:r>
              <w:rPr>
                <w:b/>
                <w:sz w:val="16"/>
              </w:rPr>
              <w:t>TROPICAL AFRICA</w:t>
            </w:r>
          </w:p>
        </w:tc>
        <w:tc>
          <w:tcPr>
            <w:tcW w:w="1190" w:type="dxa"/>
            <w:tcBorders>
              <w:top w:val="double" w:sz="1" w:space="0" w:color="000000"/>
            </w:tcBorders>
          </w:tcPr>
          <w:p>
            <w:pPr>
              <w:pStyle w:val="TableParagraph"/>
              <w:spacing w:before="27"/>
              <w:ind w:left="3"/>
              <w:jc w:val="center"/>
              <w:rPr>
                <w:b/>
                <w:sz w:val="16"/>
              </w:rPr>
            </w:pPr>
            <w:r>
              <w:rPr>
                <w:b/>
                <w:w w:val="100"/>
                <w:sz w:val="16"/>
              </w:rPr>
              <w:t>D</w:t>
            </w:r>
          </w:p>
        </w:tc>
      </w:tr>
      <w:tr>
        <w:trPr>
          <w:trHeight w:val="388" w:hRule="atLeast"/>
        </w:trPr>
        <w:tc>
          <w:tcPr>
            <w:tcW w:w="1807" w:type="dxa"/>
          </w:tcPr>
          <w:p>
            <w:pPr>
              <w:pStyle w:val="TableParagraph"/>
              <w:spacing w:line="180" w:lineRule="atLeast" w:before="4"/>
              <w:ind w:left="30" w:right="778"/>
              <w:rPr>
                <w:sz w:val="16"/>
              </w:rPr>
            </w:pPr>
            <w:r>
              <w:rPr>
                <w:sz w:val="16"/>
              </w:rPr>
              <w:t>Kingiodendron alternifolium</w:t>
            </w:r>
          </w:p>
        </w:tc>
        <w:tc>
          <w:tcPr>
            <w:tcW w:w="1207" w:type="dxa"/>
          </w:tcPr>
          <w:p>
            <w:pPr>
              <w:pStyle w:val="TableParagraph"/>
              <w:spacing w:before="95"/>
              <w:ind w:left="217" w:right="206"/>
              <w:jc w:val="center"/>
              <w:rPr>
                <w:sz w:val="16"/>
              </w:rPr>
            </w:pPr>
            <w:r>
              <w:rPr>
                <w:sz w:val="16"/>
              </w:rPr>
              <w:t>0.48</w:t>
            </w:r>
          </w:p>
        </w:tc>
        <w:tc>
          <w:tcPr>
            <w:tcW w:w="1817" w:type="dxa"/>
          </w:tcPr>
          <w:p>
            <w:pPr>
              <w:pStyle w:val="TableParagraph"/>
              <w:spacing w:before="95"/>
              <w:ind w:left="28"/>
              <w:rPr>
                <w:sz w:val="16"/>
              </w:rPr>
            </w:pPr>
            <w:r>
              <w:rPr>
                <w:sz w:val="16"/>
              </w:rPr>
              <w:t>Marmaroxylon racemosum</w:t>
            </w:r>
          </w:p>
        </w:tc>
        <w:tc>
          <w:tcPr>
            <w:tcW w:w="1188" w:type="dxa"/>
          </w:tcPr>
          <w:p>
            <w:pPr>
              <w:pStyle w:val="TableParagraph"/>
              <w:spacing w:before="95"/>
              <w:ind w:left="24" w:right="13"/>
              <w:jc w:val="center"/>
              <w:rPr>
                <w:sz w:val="16"/>
              </w:rPr>
            </w:pPr>
            <w:r>
              <w:rPr>
                <w:sz w:val="16"/>
              </w:rPr>
              <w:t>0.78*</w:t>
            </w:r>
          </w:p>
        </w:tc>
        <w:tc>
          <w:tcPr>
            <w:tcW w:w="1807" w:type="dxa"/>
          </w:tcPr>
          <w:p>
            <w:pPr>
              <w:pStyle w:val="TableParagraph"/>
              <w:spacing w:before="95"/>
              <w:ind w:left="30"/>
              <w:rPr>
                <w:sz w:val="16"/>
              </w:rPr>
            </w:pPr>
            <w:r>
              <w:rPr>
                <w:sz w:val="16"/>
              </w:rPr>
              <w:t>Plagiostyles africana</w:t>
            </w:r>
          </w:p>
        </w:tc>
        <w:tc>
          <w:tcPr>
            <w:tcW w:w="1190" w:type="dxa"/>
          </w:tcPr>
          <w:p>
            <w:pPr>
              <w:pStyle w:val="TableParagraph"/>
              <w:spacing w:before="95"/>
              <w:ind w:right="407"/>
              <w:jc w:val="right"/>
              <w:rPr>
                <w:sz w:val="16"/>
              </w:rPr>
            </w:pPr>
            <w:r>
              <w:rPr>
                <w:sz w:val="16"/>
              </w:rPr>
              <w:t>0.70”</w:t>
            </w:r>
          </w:p>
        </w:tc>
      </w:tr>
      <w:tr>
        <w:trPr>
          <w:trHeight w:val="215" w:hRule="atLeast"/>
        </w:trPr>
        <w:tc>
          <w:tcPr>
            <w:tcW w:w="1807" w:type="dxa"/>
          </w:tcPr>
          <w:p>
            <w:pPr>
              <w:pStyle w:val="TableParagraph"/>
              <w:spacing w:before="11"/>
              <w:ind w:left="30"/>
              <w:rPr>
                <w:sz w:val="16"/>
              </w:rPr>
            </w:pPr>
            <w:r>
              <w:rPr>
                <w:sz w:val="16"/>
              </w:rPr>
              <w:t>Kleinhovia hospita</w:t>
            </w:r>
          </w:p>
        </w:tc>
        <w:tc>
          <w:tcPr>
            <w:tcW w:w="1207" w:type="dxa"/>
          </w:tcPr>
          <w:p>
            <w:pPr>
              <w:pStyle w:val="TableParagraph"/>
              <w:spacing w:before="11"/>
              <w:ind w:left="217" w:right="205"/>
              <w:jc w:val="center"/>
              <w:rPr>
                <w:sz w:val="16"/>
              </w:rPr>
            </w:pPr>
            <w:r>
              <w:rPr>
                <w:sz w:val="16"/>
              </w:rPr>
              <w:t>0.36</w:t>
            </w:r>
          </w:p>
        </w:tc>
        <w:tc>
          <w:tcPr>
            <w:tcW w:w="1817" w:type="dxa"/>
          </w:tcPr>
          <w:p>
            <w:pPr>
              <w:pStyle w:val="TableParagraph"/>
              <w:spacing w:before="11"/>
              <w:ind w:left="28"/>
              <w:rPr>
                <w:sz w:val="16"/>
              </w:rPr>
            </w:pPr>
            <w:r>
              <w:rPr>
                <w:sz w:val="16"/>
              </w:rPr>
              <w:t>Matayba domingensis</w:t>
            </w:r>
          </w:p>
        </w:tc>
        <w:tc>
          <w:tcPr>
            <w:tcW w:w="1188" w:type="dxa"/>
          </w:tcPr>
          <w:p>
            <w:pPr>
              <w:pStyle w:val="TableParagraph"/>
              <w:spacing w:before="11"/>
              <w:ind w:left="24" w:right="13"/>
              <w:jc w:val="center"/>
              <w:rPr>
                <w:sz w:val="16"/>
              </w:rPr>
            </w:pPr>
            <w:r>
              <w:rPr>
                <w:sz w:val="16"/>
              </w:rPr>
              <w:t>0.7</w:t>
            </w:r>
          </w:p>
        </w:tc>
        <w:tc>
          <w:tcPr>
            <w:tcW w:w="1807" w:type="dxa"/>
          </w:tcPr>
          <w:p>
            <w:pPr>
              <w:pStyle w:val="TableParagraph"/>
              <w:spacing w:before="11"/>
              <w:ind w:left="31"/>
              <w:rPr>
                <w:sz w:val="16"/>
              </w:rPr>
            </w:pPr>
            <w:r>
              <w:rPr>
                <w:sz w:val="16"/>
              </w:rPr>
              <w:t>Poga oleosa</w:t>
            </w:r>
          </w:p>
        </w:tc>
        <w:tc>
          <w:tcPr>
            <w:tcW w:w="1190" w:type="dxa"/>
          </w:tcPr>
          <w:p>
            <w:pPr>
              <w:pStyle w:val="TableParagraph"/>
              <w:spacing w:before="11"/>
              <w:ind w:right="443"/>
              <w:jc w:val="right"/>
              <w:rPr>
                <w:sz w:val="16"/>
              </w:rPr>
            </w:pPr>
            <w:r>
              <w:rPr>
                <w:sz w:val="16"/>
              </w:rPr>
              <w:t>0.36</w:t>
            </w:r>
          </w:p>
        </w:tc>
      </w:tr>
      <w:tr>
        <w:trPr>
          <w:trHeight w:val="217" w:hRule="atLeast"/>
        </w:trPr>
        <w:tc>
          <w:tcPr>
            <w:tcW w:w="1807" w:type="dxa"/>
          </w:tcPr>
          <w:p>
            <w:pPr>
              <w:pStyle w:val="TableParagraph"/>
              <w:spacing w:before="11"/>
              <w:ind w:left="30"/>
              <w:rPr>
                <w:sz w:val="16"/>
              </w:rPr>
            </w:pPr>
            <w:r>
              <w:rPr>
                <w:sz w:val="16"/>
              </w:rPr>
              <w:t>Knema spp.</w:t>
            </w:r>
          </w:p>
        </w:tc>
        <w:tc>
          <w:tcPr>
            <w:tcW w:w="1207" w:type="dxa"/>
          </w:tcPr>
          <w:p>
            <w:pPr>
              <w:pStyle w:val="TableParagraph"/>
              <w:spacing w:before="11"/>
              <w:ind w:left="217" w:right="205"/>
              <w:jc w:val="center"/>
              <w:rPr>
                <w:sz w:val="16"/>
              </w:rPr>
            </w:pPr>
            <w:r>
              <w:rPr>
                <w:sz w:val="16"/>
              </w:rPr>
              <w:t>0.53</w:t>
            </w:r>
          </w:p>
        </w:tc>
        <w:tc>
          <w:tcPr>
            <w:tcW w:w="1817" w:type="dxa"/>
          </w:tcPr>
          <w:p>
            <w:pPr>
              <w:pStyle w:val="TableParagraph"/>
              <w:spacing w:before="11"/>
              <w:ind w:left="28"/>
              <w:rPr>
                <w:sz w:val="16"/>
              </w:rPr>
            </w:pPr>
            <w:r>
              <w:rPr>
                <w:sz w:val="16"/>
              </w:rPr>
              <w:t>Matisia hirta</w:t>
            </w:r>
          </w:p>
        </w:tc>
        <w:tc>
          <w:tcPr>
            <w:tcW w:w="1188" w:type="dxa"/>
          </w:tcPr>
          <w:p>
            <w:pPr>
              <w:pStyle w:val="TableParagraph"/>
              <w:spacing w:before="11"/>
              <w:ind w:left="24" w:right="13"/>
              <w:jc w:val="center"/>
              <w:rPr>
                <w:sz w:val="16"/>
              </w:rPr>
            </w:pPr>
            <w:r>
              <w:rPr>
                <w:sz w:val="16"/>
              </w:rPr>
              <w:t>0.61</w:t>
            </w:r>
          </w:p>
        </w:tc>
        <w:tc>
          <w:tcPr>
            <w:tcW w:w="1807" w:type="dxa"/>
          </w:tcPr>
          <w:p>
            <w:pPr>
              <w:pStyle w:val="TableParagraph"/>
              <w:spacing w:before="11"/>
              <w:ind w:left="30"/>
              <w:rPr>
                <w:sz w:val="16"/>
              </w:rPr>
            </w:pPr>
            <w:r>
              <w:rPr>
                <w:sz w:val="16"/>
              </w:rPr>
              <w:t>Polyalthia suaveolens</w:t>
            </w:r>
          </w:p>
        </w:tc>
        <w:tc>
          <w:tcPr>
            <w:tcW w:w="1190" w:type="dxa"/>
          </w:tcPr>
          <w:p>
            <w:pPr>
              <w:pStyle w:val="TableParagraph"/>
              <w:spacing w:before="11"/>
              <w:ind w:right="408"/>
              <w:jc w:val="right"/>
              <w:rPr>
                <w:sz w:val="16"/>
              </w:rPr>
            </w:pPr>
            <w:r>
              <w:rPr>
                <w:sz w:val="16"/>
              </w:rPr>
              <w:t>0.66”</w:t>
            </w:r>
          </w:p>
        </w:tc>
      </w:tr>
      <w:tr>
        <w:trPr>
          <w:trHeight w:val="215" w:hRule="atLeast"/>
        </w:trPr>
        <w:tc>
          <w:tcPr>
            <w:tcW w:w="1807" w:type="dxa"/>
          </w:tcPr>
          <w:p>
            <w:pPr>
              <w:pStyle w:val="TableParagraph"/>
              <w:spacing w:before="11"/>
              <w:ind w:left="30"/>
              <w:rPr>
                <w:sz w:val="16"/>
              </w:rPr>
            </w:pPr>
            <w:r>
              <w:rPr>
                <w:sz w:val="16"/>
              </w:rPr>
              <w:t>Koompassia excelsa</w:t>
            </w:r>
          </w:p>
        </w:tc>
        <w:tc>
          <w:tcPr>
            <w:tcW w:w="1207" w:type="dxa"/>
          </w:tcPr>
          <w:p>
            <w:pPr>
              <w:pStyle w:val="TableParagraph"/>
              <w:spacing w:before="11"/>
              <w:ind w:left="217" w:right="204"/>
              <w:jc w:val="center"/>
              <w:rPr>
                <w:sz w:val="16"/>
              </w:rPr>
            </w:pPr>
            <w:r>
              <w:rPr>
                <w:sz w:val="16"/>
              </w:rPr>
              <w:t>0.63</w:t>
            </w:r>
          </w:p>
        </w:tc>
        <w:tc>
          <w:tcPr>
            <w:tcW w:w="1817" w:type="dxa"/>
          </w:tcPr>
          <w:p>
            <w:pPr>
              <w:pStyle w:val="TableParagraph"/>
              <w:spacing w:before="11"/>
              <w:ind w:left="29"/>
              <w:rPr>
                <w:sz w:val="16"/>
              </w:rPr>
            </w:pPr>
            <w:r>
              <w:rPr>
                <w:sz w:val="16"/>
              </w:rPr>
              <w:t>Maytenus spp.</w:t>
            </w:r>
          </w:p>
        </w:tc>
        <w:tc>
          <w:tcPr>
            <w:tcW w:w="1188" w:type="dxa"/>
          </w:tcPr>
          <w:p>
            <w:pPr>
              <w:pStyle w:val="TableParagraph"/>
              <w:spacing w:before="11"/>
              <w:ind w:left="24" w:right="12"/>
              <w:jc w:val="center"/>
              <w:rPr>
                <w:sz w:val="16"/>
              </w:rPr>
            </w:pPr>
            <w:r>
              <w:rPr>
                <w:sz w:val="16"/>
              </w:rPr>
              <w:t>0.71</w:t>
            </w:r>
          </w:p>
        </w:tc>
        <w:tc>
          <w:tcPr>
            <w:tcW w:w="1807" w:type="dxa"/>
          </w:tcPr>
          <w:p>
            <w:pPr>
              <w:pStyle w:val="TableParagraph"/>
              <w:spacing w:before="11"/>
              <w:ind w:left="30"/>
              <w:rPr>
                <w:sz w:val="16"/>
              </w:rPr>
            </w:pPr>
            <w:r>
              <w:rPr>
                <w:sz w:val="16"/>
              </w:rPr>
              <w:t>Premna angolensis</w:t>
            </w:r>
          </w:p>
        </w:tc>
        <w:tc>
          <w:tcPr>
            <w:tcW w:w="1190" w:type="dxa"/>
          </w:tcPr>
          <w:p>
            <w:pPr>
              <w:pStyle w:val="TableParagraph"/>
              <w:spacing w:before="11"/>
              <w:ind w:right="408"/>
              <w:jc w:val="right"/>
              <w:rPr>
                <w:sz w:val="16"/>
              </w:rPr>
            </w:pPr>
            <w:r>
              <w:rPr>
                <w:sz w:val="16"/>
              </w:rPr>
              <w:t>0.63”</w:t>
            </w:r>
          </w:p>
        </w:tc>
      </w:tr>
      <w:tr>
        <w:trPr>
          <w:trHeight w:val="359" w:hRule="atLeast"/>
        </w:trPr>
        <w:tc>
          <w:tcPr>
            <w:tcW w:w="1807" w:type="dxa"/>
          </w:tcPr>
          <w:p>
            <w:pPr>
              <w:pStyle w:val="TableParagraph"/>
              <w:spacing w:line="178" w:lineRule="exact"/>
              <w:ind w:left="30"/>
              <w:rPr>
                <w:sz w:val="16"/>
              </w:rPr>
            </w:pPr>
            <w:r>
              <w:rPr>
                <w:sz w:val="16"/>
              </w:rPr>
              <w:t>Koordersiodendron</w:t>
            </w:r>
          </w:p>
          <w:p>
            <w:pPr>
              <w:pStyle w:val="TableParagraph"/>
              <w:spacing w:line="160" w:lineRule="exact" w:before="1"/>
              <w:ind w:left="30"/>
              <w:rPr>
                <w:sz w:val="16"/>
              </w:rPr>
            </w:pPr>
            <w:r>
              <w:rPr>
                <w:sz w:val="16"/>
              </w:rPr>
              <w:t>pinnatum</w:t>
            </w:r>
          </w:p>
        </w:tc>
        <w:tc>
          <w:tcPr>
            <w:tcW w:w="1207" w:type="dxa"/>
          </w:tcPr>
          <w:p>
            <w:pPr>
              <w:pStyle w:val="TableParagraph"/>
              <w:spacing w:before="81"/>
              <w:ind w:left="217" w:right="208"/>
              <w:jc w:val="center"/>
              <w:rPr>
                <w:sz w:val="16"/>
              </w:rPr>
            </w:pPr>
            <w:r>
              <w:rPr>
                <w:sz w:val="16"/>
              </w:rPr>
              <w:t>0.65, 0.69+</w:t>
            </w:r>
          </w:p>
        </w:tc>
        <w:tc>
          <w:tcPr>
            <w:tcW w:w="1817" w:type="dxa"/>
          </w:tcPr>
          <w:p>
            <w:pPr>
              <w:pStyle w:val="TableParagraph"/>
              <w:spacing w:before="81"/>
              <w:ind w:left="29"/>
              <w:rPr>
                <w:sz w:val="16"/>
              </w:rPr>
            </w:pPr>
            <w:r>
              <w:rPr>
                <w:sz w:val="16"/>
              </w:rPr>
              <w:t>Mezilaurus lindaviana</w:t>
            </w:r>
          </w:p>
        </w:tc>
        <w:tc>
          <w:tcPr>
            <w:tcW w:w="1188" w:type="dxa"/>
          </w:tcPr>
          <w:p>
            <w:pPr>
              <w:pStyle w:val="TableParagraph"/>
              <w:spacing w:before="81"/>
              <w:ind w:left="24" w:right="11"/>
              <w:jc w:val="center"/>
              <w:rPr>
                <w:sz w:val="16"/>
              </w:rPr>
            </w:pPr>
            <w:r>
              <w:rPr>
                <w:sz w:val="16"/>
              </w:rPr>
              <w:t>0.68</w:t>
            </w:r>
          </w:p>
        </w:tc>
        <w:tc>
          <w:tcPr>
            <w:tcW w:w="1807" w:type="dxa"/>
          </w:tcPr>
          <w:p>
            <w:pPr>
              <w:pStyle w:val="TableParagraph"/>
              <w:spacing w:before="81"/>
              <w:ind w:left="31"/>
              <w:rPr>
                <w:sz w:val="16"/>
              </w:rPr>
            </w:pPr>
            <w:r>
              <w:rPr>
                <w:sz w:val="16"/>
              </w:rPr>
              <w:t>Pteleopsis hylodendron</w:t>
            </w:r>
          </w:p>
        </w:tc>
        <w:tc>
          <w:tcPr>
            <w:tcW w:w="1190" w:type="dxa"/>
          </w:tcPr>
          <w:p>
            <w:pPr>
              <w:pStyle w:val="TableParagraph"/>
              <w:spacing w:before="81"/>
              <w:ind w:right="400"/>
              <w:jc w:val="right"/>
              <w:rPr>
                <w:sz w:val="16"/>
              </w:rPr>
            </w:pPr>
            <w:r>
              <w:rPr>
                <w:sz w:val="16"/>
              </w:rPr>
              <w:t>0.63*</w:t>
            </w:r>
          </w:p>
        </w:tc>
      </w:tr>
      <w:tr>
        <w:trPr>
          <w:trHeight w:val="217" w:hRule="atLeast"/>
        </w:trPr>
        <w:tc>
          <w:tcPr>
            <w:tcW w:w="1807" w:type="dxa"/>
          </w:tcPr>
          <w:p>
            <w:pPr>
              <w:pStyle w:val="TableParagraph"/>
              <w:spacing w:before="11"/>
              <w:ind w:left="30"/>
              <w:rPr>
                <w:sz w:val="16"/>
              </w:rPr>
            </w:pPr>
            <w:r>
              <w:rPr>
                <w:sz w:val="16"/>
              </w:rPr>
              <w:t>Kydia calycina</w:t>
            </w:r>
          </w:p>
        </w:tc>
        <w:tc>
          <w:tcPr>
            <w:tcW w:w="1207" w:type="dxa"/>
          </w:tcPr>
          <w:p>
            <w:pPr>
              <w:pStyle w:val="TableParagraph"/>
              <w:spacing w:before="11"/>
              <w:ind w:left="217" w:right="204"/>
              <w:jc w:val="center"/>
              <w:rPr>
                <w:sz w:val="16"/>
              </w:rPr>
            </w:pPr>
            <w:r>
              <w:rPr>
                <w:sz w:val="16"/>
              </w:rPr>
              <w:t>0.72</w:t>
            </w:r>
          </w:p>
        </w:tc>
        <w:tc>
          <w:tcPr>
            <w:tcW w:w="1817" w:type="dxa"/>
          </w:tcPr>
          <w:p>
            <w:pPr>
              <w:pStyle w:val="TableParagraph"/>
              <w:spacing w:before="11"/>
              <w:ind w:left="29"/>
              <w:rPr>
                <w:sz w:val="16"/>
              </w:rPr>
            </w:pPr>
            <w:r>
              <w:rPr>
                <w:sz w:val="16"/>
              </w:rPr>
              <w:t>Michropholis spp.</w:t>
            </w:r>
          </w:p>
        </w:tc>
        <w:tc>
          <w:tcPr>
            <w:tcW w:w="1188" w:type="dxa"/>
          </w:tcPr>
          <w:p>
            <w:pPr>
              <w:pStyle w:val="TableParagraph"/>
              <w:spacing w:before="11"/>
              <w:ind w:left="24" w:right="12"/>
              <w:jc w:val="center"/>
              <w:rPr>
                <w:sz w:val="16"/>
              </w:rPr>
            </w:pPr>
            <w:r>
              <w:rPr>
                <w:sz w:val="16"/>
              </w:rPr>
              <w:t>0.61</w:t>
            </w:r>
          </w:p>
        </w:tc>
        <w:tc>
          <w:tcPr>
            <w:tcW w:w="1807" w:type="dxa"/>
          </w:tcPr>
          <w:p>
            <w:pPr>
              <w:pStyle w:val="TableParagraph"/>
              <w:spacing w:before="11"/>
              <w:ind w:left="30"/>
              <w:rPr>
                <w:sz w:val="16"/>
              </w:rPr>
            </w:pPr>
            <w:r>
              <w:rPr>
                <w:sz w:val="16"/>
              </w:rPr>
              <w:t>Pterocarpus soyauxii</w:t>
            </w:r>
          </w:p>
        </w:tc>
        <w:tc>
          <w:tcPr>
            <w:tcW w:w="1190" w:type="dxa"/>
          </w:tcPr>
          <w:p>
            <w:pPr>
              <w:pStyle w:val="TableParagraph"/>
              <w:spacing w:before="11"/>
              <w:ind w:right="444"/>
              <w:jc w:val="right"/>
              <w:rPr>
                <w:sz w:val="16"/>
              </w:rPr>
            </w:pPr>
            <w:r>
              <w:rPr>
                <w:sz w:val="16"/>
              </w:rPr>
              <w:t>0.61</w:t>
            </w:r>
          </w:p>
        </w:tc>
      </w:tr>
      <w:tr>
        <w:trPr>
          <w:trHeight w:val="215" w:hRule="atLeast"/>
        </w:trPr>
        <w:tc>
          <w:tcPr>
            <w:tcW w:w="1807" w:type="dxa"/>
          </w:tcPr>
          <w:p>
            <w:pPr>
              <w:pStyle w:val="TableParagraph"/>
              <w:spacing w:before="11"/>
              <w:ind w:left="30"/>
              <w:rPr>
                <w:sz w:val="16"/>
              </w:rPr>
            </w:pPr>
            <w:r>
              <w:rPr>
                <w:sz w:val="16"/>
              </w:rPr>
              <w:t>Lagerstroemia spp.</w:t>
            </w:r>
          </w:p>
        </w:tc>
        <w:tc>
          <w:tcPr>
            <w:tcW w:w="1207" w:type="dxa"/>
          </w:tcPr>
          <w:p>
            <w:pPr>
              <w:pStyle w:val="TableParagraph"/>
              <w:spacing w:before="11"/>
              <w:ind w:left="217" w:right="204"/>
              <w:jc w:val="center"/>
              <w:rPr>
                <w:sz w:val="16"/>
              </w:rPr>
            </w:pPr>
            <w:r>
              <w:rPr>
                <w:sz w:val="16"/>
              </w:rPr>
              <w:t>0.55</w:t>
            </w:r>
          </w:p>
        </w:tc>
        <w:tc>
          <w:tcPr>
            <w:tcW w:w="1817" w:type="dxa"/>
          </w:tcPr>
          <w:p>
            <w:pPr>
              <w:pStyle w:val="TableParagraph"/>
              <w:spacing w:before="11"/>
              <w:ind w:left="29"/>
              <w:rPr>
                <w:sz w:val="16"/>
              </w:rPr>
            </w:pPr>
            <w:r>
              <w:rPr>
                <w:sz w:val="16"/>
              </w:rPr>
              <w:t>Minquartia guianensis</w:t>
            </w:r>
          </w:p>
        </w:tc>
        <w:tc>
          <w:tcPr>
            <w:tcW w:w="1188" w:type="dxa"/>
          </w:tcPr>
          <w:p>
            <w:pPr>
              <w:pStyle w:val="TableParagraph"/>
              <w:spacing w:before="11"/>
              <w:ind w:left="24" w:right="8"/>
              <w:jc w:val="center"/>
              <w:rPr>
                <w:sz w:val="16"/>
              </w:rPr>
            </w:pPr>
            <w:r>
              <w:rPr>
                <w:sz w:val="16"/>
              </w:rPr>
              <w:t>0.76,0.79+</w:t>
            </w:r>
          </w:p>
        </w:tc>
        <w:tc>
          <w:tcPr>
            <w:tcW w:w="1807" w:type="dxa"/>
          </w:tcPr>
          <w:p>
            <w:pPr>
              <w:pStyle w:val="TableParagraph"/>
              <w:spacing w:before="11"/>
              <w:ind w:left="31"/>
              <w:rPr>
                <w:sz w:val="16"/>
              </w:rPr>
            </w:pPr>
            <w:r>
              <w:rPr>
                <w:sz w:val="16"/>
              </w:rPr>
              <w:t>Pterygota spp.</w:t>
            </w:r>
          </w:p>
        </w:tc>
        <w:tc>
          <w:tcPr>
            <w:tcW w:w="1190" w:type="dxa"/>
          </w:tcPr>
          <w:p>
            <w:pPr>
              <w:pStyle w:val="TableParagraph"/>
              <w:spacing w:before="11"/>
              <w:ind w:right="442"/>
              <w:jc w:val="right"/>
              <w:rPr>
                <w:sz w:val="16"/>
              </w:rPr>
            </w:pPr>
            <w:r>
              <w:rPr>
                <w:sz w:val="16"/>
              </w:rPr>
              <w:t>0.52</w:t>
            </w:r>
          </w:p>
        </w:tc>
      </w:tr>
      <w:tr>
        <w:trPr>
          <w:trHeight w:val="217" w:hRule="atLeast"/>
        </w:trPr>
        <w:tc>
          <w:tcPr>
            <w:tcW w:w="1807" w:type="dxa"/>
          </w:tcPr>
          <w:p>
            <w:pPr>
              <w:pStyle w:val="TableParagraph"/>
              <w:spacing w:before="11"/>
              <w:ind w:left="30"/>
              <w:rPr>
                <w:sz w:val="16"/>
              </w:rPr>
            </w:pPr>
            <w:r>
              <w:rPr>
                <w:sz w:val="16"/>
              </w:rPr>
              <w:t>Lannea grandis</w:t>
            </w:r>
          </w:p>
        </w:tc>
        <w:tc>
          <w:tcPr>
            <w:tcW w:w="1207" w:type="dxa"/>
          </w:tcPr>
          <w:p>
            <w:pPr>
              <w:pStyle w:val="TableParagraph"/>
              <w:spacing w:before="11"/>
              <w:ind w:left="217" w:right="205"/>
              <w:jc w:val="center"/>
              <w:rPr>
                <w:sz w:val="16"/>
              </w:rPr>
            </w:pPr>
            <w:r>
              <w:rPr>
                <w:sz w:val="16"/>
              </w:rPr>
              <w:t>0.5</w:t>
            </w:r>
          </w:p>
        </w:tc>
        <w:tc>
          <w:tcPr>
            <w:tcW w:w="1817" w:type="dxa"/>
          </w:tcPr>
          <w:p>
            <w:pPr>
              <w:pStyle w:val="TableParagraph"/>
              <w:spacing w:before="11"/>
              <w:ind w:left="29"/>
              <w:rPr>
                <w:sz w:val="16"/>
              </w:rPr>
            </w:pPr>
            <w:r>
              <w:rPr>
                <w:sz w:val="16"/>
              </w:rPr>
              <w:t>Mora sp.</w:t>
            </w:r>
          </w:p>
        </w:tc>
        <w:tc>
          <w:tcPr>
            <w:tcW w:w="1188" w:type="dxa"/>
          </w:tcPr>
          <w:p>
            <w:pPr>
              <w:pStyle w:val="TableParagraph"/>
              <w:spacing w:before="11"/>
              <w:ind w:left="24" w:right="12"/>
              <w:jc w:val="center"/>
              <w:rPr>
                <w:sz w:val="16"/>
              </w:rPr>
            </w:pPr>
            <w:r>
              <w:rPr>
                <w:sz w:val="16"/>
              </w:rPr>
              <w:t>0.71</w:t>
            </w:r>
          </w:p>
        </w:tc>
        <w:tc>
          <w:tcPr>
            <w:tcW w:w="1807" w:type="dxa"/>
          </w:tcPr>
          <w:p>
            <w:pPr>
              <w:pStyle w:val="TableParagraph"/>
              <w:spacing w:before="11"/>
              <w:ind w:left="31"/>
              <w:rPr>
                <w:sz w:val="16"/>
              </w:rPr>
            </w:pPr>
            <w:r>
              <w:rPr>
                <w:sz w:val="16"/>
              </w:rPr>
              <w:t>Pycnanthus angolensis</w:t>
            </w:r>
          </w:p>
        </w:tc>
        <w:tc>
          <w:tcPr>
            <w:tcW w:w="1190" w:type="dxa"/>
          </w:tcPr>
          <w:p>
            <w:pPr>
              <w:pStyle w:val="TableParagraph"/>
              <w:spacing w:before="11"/>
              <w:ind w:right="485"/>
              <w:jc w:val="right"/>
              <w:rPr>
                <w:sz w:val="16"/>
              </w:rPr>
            </w:pPr>
            <w:r>
              <w:rPr>
                <w:sz w:val="16"/>
              </w:rPr>
              <w:t>0.4</w:t>
            </w:r>
          </w:p>
        </w:tc>
      </w:tr>
      <w:tr>
        <w:trPr>
          <w:trHeight w:val="218" w:hRule="atLeast"/>
        </w:trPr>
        <w:tc>
          <w:tcPr>
            <w:tcW w:w="1807" w:type="dxa"/>
          </w:tcPr>
          <w:p>
            <w:pPr>
              <w:pStyle w:val="TableParagraph"/>
              <w:spacing w:before="11"/>
              <w:ind w:left="30"/>
              <w:rPr>
                <w:sz w:val="16"/>
              </w:rPr>
            </w:pPr>
            <w:r>
              <w:rPr>
                <w:sz w:val="16"/>
              </w:rPr>
              <w:t>Leucaena leucocephala</w:t>
            </w:r>
          </w:p>
        </w:tc>
        <w:tc>
          <w:tcPr>
            <w:tcW w:w="1207" w:type="dxa"/>
          </w:tcPr>
          <w:p>
            <w:pPr>
              <w:pStyle w:val="TableParagraph"/>
              <w:spacing w:before="11"/>
              <w:ind w:left="217" w:right="204"/>
              <w:jc w:val="center"/>
              <w:rPr>
                <w:sz w:val="16"/>
              </w:rPr>
            </w:pPr>
            <w:r>
              <w:rPr>
                <w:sz w:val="16"/>
              </w:rPr>
              <w:t>0.64</w:t>
            </w:r>
          </w:p>
        </w:tc>
        <w:tc>
          <w:tcPr>
            <w:tcW w:w="1817" w:type="dxa"/>
          </w:tcPr>
          <w:p>
            <w:pPr>
              <w:pStyle w:val="TableParagraph"/>
              <w:spacing w:before="11"/>
              <w:ind w:left="29"/>
              <w:rPr>
                <w:sz w:val="16"/>
              </w:rPr>
            </w:pPr>
            <w:r>
              <w:rPr>
                <w:sz w:val="16"/>
              </w:rPr>
              <w:t>Mouriria sideroxylon</w:t>
            </w:r>
          </w:p>
        </w:tc>
        <w:tc>
          <w:tcPr>
            <w:tcW w:w="1188" w:type="dxa"/>
          </w:tcPr>
          <w:p>
            <w:pPr>
              <w:pStyle w:val="TableParagraph"/>
              <w:spacing w:before="11"/>
              <w:ind w:left="24" w:right="13"/>
              <w:jc w:val="center"/>
              <w:rPr>
                <w:sz w:val="16"/>
              </w:rPr>
            </w:pPr>
            <w:r>
              <w:rPr>
                <w:sz w:val="16"/>
              </w:rPr>
              <w:t>0.88</w:t>
            </w:r>
          </w:p>
        </w:tc>
        <w:tc>
          <w:tcPr>
            <w:tcW w:w="1807" w:type="dxa"/>
          </w:tcPr>
          <w:p>
            <w:pPr>
              <w:pStyle w:val="TableParagraph"/>
              <w:spacing w:before="11"/>
              <w:ind w:left="30"/>
              <w:rPr>
                <w:sz w:val="16"/>
              </w:rPr>
            </w:pPr>
            <w:r>
              <w:rPr>
                <w:sz w:val="16"/>
              </w:rPr>
              <w:t>Randia cladantha</w:t>
            </w:r>
          </w:p>
        </w:tc>
        <w:tc>
          <w:tcPr>
            <w:tcW w:w="1190" w:type="dxa"/>
          </w:tcPr>
          <w:p>
            <w:pPr>
              <w:pStyle w:val="TableParagraph"/>
              <w:spacing w:before="11"/>
              <w:ind w:right="400"/>
              <w:jc w:val="right"/>
              <w:rPr>
                <w:sz w:val="16"/>
              </w:rPr>
            </w:pPr>
            <w:r>
              <w:rPr>
                <w:sz w:val="16"/>
              </w:rPr>
              <w:t>0.78*</w:t>
            </w:r>
          </w:p>
        </w:tc>
      </w:tr>
      <w:tr>
        <w:trPr>
          <w:trHeight w:val="357" w:hRule="atLeast"/>
        </w:trPr>
        <w:tc>
          <w:tcPr>
            <w:tcW w:w="1807" w:type="dxa"/>
          </w:tcPr>
          <w:p>
            <w:pPr>
              <w:pStyle w:val="TableParagraph"/>
              <w:spacing w:line="178" w:lineRule="exact"/>
              <w:ind w:left="30"/>
              <w:rPr>
                <w:sz w:val="16"/>
              </w:rPr>
            </w:pPr>
            <w:r>
              <w:rPr>
                <w:sz w:val="16"/>
              </w:rPr>
              <w:t>Litchi chinensis ssp.</w:t>
            </w:r>
          </w:p>
          <w:p>
            <w:pPr>
              <w:pStyle w:val="TableParagraph"/>
              <w:spacing w:line="160" w:lineRule="exact"/>
              <w:ind w:left="30"/>
              <w:rPr>
                <w:sz w:val="16"/>
              </w:rPr>
            </w:pPr>
            <w:r>
              <w:rPr>
                <w:sz w:val="16"/>
              </w:rPr>
              <w:t>philippinensis</w:t>
            </w:r>
          </w:p>
        </w:tc>
        <w:tc>
          <w:tcPr>
            <w:tcW w:w="1207" w:type="dxa"/>
          </w:tcPr>
          <w:p>
            <w:pPr>
              <w:pStyle w:val="TableParagraph"/>
              <w:spacing w:before="81"/>
              <w:ind w:left="217" w:right="206"/>
              <w:jc w:val="center"/>
              <w:rPr>
                <w:sz w:val="16"/>
              </w:rPr>
            </w:pPr>
            <w:r>
              <w:rPr>
                <w:sz w:val="16"/>
              </w:rPr>
              <w:t>0.88</w:t>
            </w:r>
          </w:p>
        </w:tc>
        <w:tc>
          <w:tcPr>
            <w:tcW w:w="1817" w:type="dxa"/>
          </w:tcPr>
          <w:p>
            <w:pPr>
              <w:pStyle w:val="TableParagraph"/>
              <w:spacing w:before="81"/>
              <w:ind w:left="28"/>
              <w:rPr>
                <w:sz w:val="16"/>
              </w:rPr>
            </w:pPr>
            <w:r>
              <w:rPr>
                <w:sz w:val="16"/>
              </w:rPr>
              <w:t>Myrciaria floribunda</w:t>
            </w:r>
          </w:p>
        </w:tc>
        <w:tc>
          <w:tcPr>
            <w:tcW w:w="1188" w:type="dxa"/>
          </w:tcPr>
          <w:p>
            <w:pPr>
              <w:pStyle w:val="TableParagraph"/>
              <w:spacing w:before="81"/>
              <w:ind w:left="24" w:right="12"/>
              <w:jc w:val="center"/>
              <w:rPr>
                <w:sz w:val="16"/>
              </w:rPr>
            </w:pPr>
            <w:r>
              <w:rPr>
                <w:sz w:val="16"/>
              </w:rPr>
              <w:t>0.73</w:t>
            </w:r>
          </w:p>
        </w:tc>
        <w:tc>
          <w:tcPr>
            <w:tcW w:w="1807" w:type="dxa"/>
          </w:tcPr>
          <w:p>
            <w:pPr>
              <w:pStyle w:val="TableParagraph"/>
              <w:spacing w:before="81"/>
              <w:ind w:left="31"/>
              <w:rPr>
                <w:sz w:val="16"/>
              </w:rPr>
            </w:pPr>
            <w:r>
              <w:rPr>
                <w:sz w:val="16"/>
              </w:rPr>
              <w:t>Rauwolfia macrophylla</w:t>
            </w:r>
          </w:p>
        </w:tc>
        <w:tc>
          <w:tcPr>
            <w:tcW w:w="1190" w:type="dxa"/>
          </w:tcPr>
          <w:p>
            <w:pPr>
              <w:pStyle w:val="TableParagraph"/>
              <w:spacing w:before="81"/>
              <w:ind w:right="400"/>
              <w:jc w:val="right"/>
              <w:rPr>
                <w:sz w:val="16"/>
              </w:rPr>
            </w:pPr>
            <w:r>
              <w:rPr>
                <w:sz w:val="16"/>
              </w:rPr>
              <w:t>0.47*</w:t>
            </w:r>
          </w:p>
        </w:tc>
      </w:tr>
      <w:tr>
        <w:trPr>
          <w:trHeight w:val="246" w:hRule="atLeast"/>
        </w:trPr>
        <w:tc>
          <w:tcPr>
            <w:tcW w:w="1807" w:type="dxa"/>
          </w:tcPr>
          <w:p>
            <w:pPr>
              <w:pStyle w:val="TableParagraph"/>
              <w:spacing w:before="23"/>
              <w:ind w:left="30"/>
              <w:rPr>
                <w:sz w:val="16"/>
              </w:rPr>
            </w:pPr>
            <w:r>
              <w:rPr>
                <w:sz w:val="16"/>
              </w:rPr>
              <w:t>Lithocarpus soleriana</w:t>
            </w:r>
          </w:p>
        </w:tc>
        <w:tc>
          <w:tcPr>
            <w:tcW w:w="1207" w:type="dxa"/>
          </w:tcPr>
          <w:p>
            <w:pPr>
              <w:pStyle w:val="TableParagraph"/>
              <w:spacing w:before="23"/>
              <w:ind w:left="217" w:right="202"/>
              <w:jc w:val="center"/>
              <w:rPr>
                <w:sz w:val="16"/>
              </w:rPr>
            </w:pPr>
            <w:r>
              <w:rPr>
                <w:sz w:val="16"/>
              </w:rPr>
              <w:t>0.63</w:t>
            </w:r>
          </w:p>
        </w:tc>
        <w:tc>
          <w:tcPr>
            <w:tcW w:w="1817" w:type="dxa"/>
          </w:tcPr>
          <w:p>
            <w:pPr>
              <w:pStyle w:val="TableParagraph"/>
              <w:spacing w:before="23"/>
              <w:ind w:left="30"/>
              <w:rPr>
                <w:sz w:val="16"/>
              </w:rPr>
            </w:pPr>
            <w:r>
              <w:rPr>
                <w:sz w:val="16"/>
              </w:rPr>
              <w:t>Myristica spp.</w:t>
            </w:r>
          </w:p>
        </w:tc>
        <w:tc>
          <w:tcPr>
            <w:tcW w:w="1188" w:type="dxa"/>
          </w:tcPr>
          <w:p>
            <w:pPr>
              <w:pStyle w:val="TableParagraph"/>
              <w:spacing w:before="23"/>
              <w:ind w:left="24" w:right="9"/>
              <w:jc w:val="center"/>
              <w:rPr>
                <w:sz w:val="16"/>
              </w:rPr>
            </w:pPr>
            <w:r>
              <w:rPr>
                <w:sz w:val="16"/>
              </w:rPr>
              <w:t>0.46</w:t>
            </w:r>
          </w:p>
        </w:tc>
        <w:tc>
          <w:tcPr>
            <w:tcW w:w="1807" w:type="dxa"/>
          </w:tcPr>
          <w:p>
            <w:pPr>
              <w:pStyle w:val="TableParagraph"/>
              <w:spacing w:before="23"/>
              <w:ind w:left="32"/>
              <w:rPr>
                <w:sz w:val="16"/>
              </w:rPr>
            </w:pPr>
            <w:r>
              <w:rPr>
                <w:sz w:val="16"/>
              </w:rPr>
              <w:t>Ricinodendron heudelotii</w:t>
            </w:r>
          </w:p>
        </w:tc>
        <w:tc>
          <w:tcPr>
            <w:tcW w:w="1190" w:type="dxa"/>
          </w:tcPr>
          <w:p>
            <w:pPr>
              <w:pStyle w:val="TableParagraph"/>
              <w:spacing w:before="23"/>
              <w:ind w:right="484"/>
              <w:jc w:val="right"/>
              <w:rPr>
                <w:sz w:val="16"/>
              </w:rPr>
            </w:pPr>
            <w:r>
              <w:rPr>
                <w:sz w:val="16"/>
              </w:rPr>
              <w:t>0.2</w:t>
            </w:r>
          </w:p>
        </w:tc>
      </w:tr>
      <w:tr>
        <w:trPr>
          <w:trHeight w:val="244" w:hRule="atLeast"/>
        </w:trPr>
        <w:tc>
          <w:tcPr>
            <w:tcW w:w="1807" w:type="dxa"/>
          </w:tcPr>
          <w:p>
            <w:pPr>
              <w:pStyle w:val="TableParagraph"/>
              <w:spacing w:before="23"/>
              <w:ind w:left="30"/>
              <w:rPr>
                <w:sz w:val="16"/>
              </w:rPr>
            </w:pPr>
            <w:r>
              <w:rPr>
                <w:sz w:val="16"/>
              </w:rPr>
              <w:t>Litsea spp.</w:t>
            </w:r>
          </w:p>
        </w:tc>
        <w:tc>
          <w:tcPr>
            <w:tcW w:w="1207" w:type="dxa"/>
          </w:tcPr>
          <w:p>
            <w:pPr>
              <w:pStyle w:val="TableParagraph"/>
              <w:spacing w:before="23"/>
              <w:ind w:left="217" w:right="206"/>
              <w:jc w:val="center"/>
              <w:rPr>
                <w:sz w:val="16"/>
              </w:rPr>
            </w:pPr>
            <w:r>
              <w:rPr>
                <w:sz w:val="16"/>
              </w:rPr>
              <w:t>0.4</w:t>
            </w:r>
          </w:p>
        </w:tc>
        <w:tc>
          <w:tcPr>
            <w:tcW w:w="1817" w:type="dxa"/>
          </w:tcPr>
          <w:p>
            <w:pPr>
              <w:pStyle w:val="TableParagraph"/>
              <w:spacing w:before="23"/>
              <w:ind w:left="28"/>
              <w:rPr>
                <w:sz w:val="16"/>
              </w:rPr>
            </w:pPr>
            <w:r>
              <w:rPr>
                <w:sz w:val="16"/>
              </w:rPr>
              <w:t>Myroxylon balsamum</w:t>
            </w:r>
          </w:p>
        </w:tc>
        <w:tc>
          <w:tcPr>
            <w:tcW w:w="1188" w:type="dxa"/>
          </w:tcPr>
          <w:p>
            <w:pPr>
              <w:pStyle w:val="TableParagraph"/>
              <w:spacing w:before="23"/>
              <w:ind w:left="24" w:right="17"/>
              <w:jc w:val="center"/>
              <w:rPr>
                <w:sz w:val="16"/>
              </w:rPr>
            </w:pPr>
            <w:r>
              <w:rPr>
                <w:sz w:val="16"/>
              </w:rPr>
              <w:t>0.74, 0.76, 0.78+</w:t>
            </w:r>
          </w:p>
        </w:tc>
        <w:tc>
          <w:tcPr>
            <w:tcW w:w="1807" w:type="dxa"/>
          </w:tcPr>
          <w:p>
            <w:pPr>
              <w:pStyle w:val="TableParagraph"/>
              <w:spacing w:before="23"/>
              <w:ind w:left="30"/>
              <w:rPr>
                <w:sz w:val="16"/>
              </w:rPr>
            </w:pPr>
            <w:r>
              <w:rPr>
                <w:sz w:val="16"/>
              </w:rPr>
              <w:t>Saccoglottis gabonensis</w:t>
            </w:r>
          </w:p>
        </w:tc>
        <w:tc>
          <w:tcPr>
            <w:tcW w:w="1190" w:type="dxa"/>
          </w:tcPr>
          <w:p>
            <w:pPr>
              <w:pStyle w:val="TableParagraph"/>
              <w:spacing w:before="23"/>
              <w:ind w:right="408"/>
              <w:jc w:val="right"/>
              <w:rPr>
                <w:sz w:val="16"/>
              </w:rPr>
            </w:pPr>
            <w:r>
              <w:rPr>
                <w:sz w:val="16"/>
              </w:rPr>
              <w:t>0.74”</w:t>
            </w:r>
          </w:p>
        </w:tc>
      </w:tr>
      <w:tr>
        <w:trPr>
          <w:trHeight w:val="244" w:hRule="atLeast"/>
        </w:trPr>
        <w:tc>
          <w:tcPr>
            <w:tcW w:w="1807" w:type="dxa"/>
          </w:tcPr>
          <w:p>
            <w:pPr>
              <w:pStyle w:val="TableParagraph"/>
              <w:spacing w:before="23"/>
              <w:ind w:left="30"/>
              <w:rPr>
                <w:sz w:val="16"/>
              </w:rPr>
            </w:pPr>
            <w:r>
              <w:rPr>
                <w:sz w:val="16"/>
              </w:rPr>
              <w:t>Lophopetalum spp.</w:t>
            </w:r>
          </w:p>
        </w:tc>
        <w:tc>
          <w:tcPr>
            <w:tcW w:w="1207" w:type="dxa"/>
          </w:tcPr>
          <w:p>
            <w:pPr>
              <w:pStyle w:val="TableParagraph"/>
              <w:spacing w:before="23"/>
              <w:ind w:left="217" w:right="206"/>
              <w:jc w:val="center"/>
              <w:rPr>
                <w:sz w:val="16"/>
              </w:rPr>
            </w:pPr>
            <w:r>
              <w:rPr>
                <w:sz w:val="16"/>
              </w:rPr>
              <w:t>0.46</w:t>
            </w:r>
          </w:p>
        </w:tc>
        <w:tc>
          <w:tcPr>
            <w:tcW w:w="1817" w:type="dxa"/>
          </w:tcPr>
          <w:p>
            <w:pPr>
              <w:pStyle w:val="TableParagraph"/>
              <w:spacing w:before="23"/>
              <w:ind w:left="28"/>
              <w:rPr>
                <w:sz w:val="16"/>
              </w:rPr>
            </w:pPr>
            <w:r>
              <w:rPr>
                <w:sz w:val="16"/>
              </w:rPr>
              <w:t>Nectandra spp.</w:t>
            </w:r>
          </w:p>
        </w:tc>
        <w:tc>
          <w:tcPr>
            <w:tcW w:w="1188" w:type="dxa"/>
          </w:tcPr>
          <w:p>
            <w:pPr>
              <w:pStyle w:val="TableParagraph"/>
              <w:spacing w:before="23"/>
              <w:ind w:left="24" w:right="12"/>
              <w:jc w:val="center"/>
              <w:rPr>
                <w:sz w:val="16"/>
              </w:rPr>
            </w:pPr>
            <w:r>
              <w:rPr>
                <w:sz w:val="16"/>
              </w:rPr>
              <w:t>0.52</w:t>
            </w:r>
          </w:p>
        </w:tc>
        <w:tc>
          <w:tcPr>
            <w:tcW w:w="1807" w:type="dxa"/>
          </w:tcPr>
          <w:p>
            <w:pPr>
              <w:pStyle w:val="TableParagraph"/>
              <w:spacing w:before="23"/>
              <w:ind w:left="31"/>
              <w:rPr>
                <w:sz w:val="16"/>
              </w:rPr>
            </w:pPr>
            <w:r>
              <w:rPr>
                <w:sz w:val="16"/>
              </w:rPr>
              <w:t>Santiria trimera</w:t>
            </w:r>
          </w:p>
        </w:tc>
        <w:tc>
          <w:tcPr>
            <w:tcW w:w="1190" w:type="dxa"/>
          </w:tcPr>
          <w:p>
            <w:pPr>
              <w:pStyle w:val="TableParagraph"/>
              <w:spacing w:before="23"/>
              <w:ind w:right="400"/>
              <w:jc w:val="right"/>
              <w:rPr>
                <w:sz w:val="16"/>
              </w:rPr>
            </w:pPr>
            <w:r>
              <w:rPr>
                <w:sz w:val="16"/>
              </w:rPr>
              <w:t>0.53*</w:t>
            </w:r>
          </w:p>
        </w:tc>
      </w:tr>
      <w:tr>
        <w:trPr>
          <w:trHeight w:val="244" w:hRule="atLeast"/>
        </w:trPr>
        <w:tc>
          <w:tcPr>
            <w:tcW w:w="1807" w:type="dxa"/>
          </w:tcPr>
          <w:p>
            <w:pPr>
              <w:pStyle w:val="TableParagraph"/>
              <w:spacing w:before="23"/>
              <w:ind w:left="30"/>
              <w:rPr>
                <w:sz w:val="16"/>
              </w:rPr>
            </w:pPr>
            <w:r>
              <w:rPr>
                <w:sz w:val="16"/>
              </w:rPr>
              <w:t>Macaranga denticulata</w:t>
            </w:r>
          </w:p>
        </w:tc>
        <w:tc>
          <w:tcPr>
            <w:tcW w:w="1207" w:type="dxa"/>
          </w:tcPr>
          <w:p>
            <w:pPr>
              <w:pStyle w:val="TableParagraph"/>
              <w:spacing w:before="23"/>
              <w:ind w:left="217" w:right="203"/>
              <w:jc w:val="center"/>
              <w:rPr>
                <w:sz w:val="16"/>
              </w:rPr>
            </w:pPr>
            <w:r>
              <w:rPr>
                <w:sz w:val="16"/>
              </w:rPr>
              <w:t>0.53</w:t>
            </w:r>
          </w:p>
        </w:tc>
        <w:tc>
          <w:tcPr>
            <w:tcW w:w="1817" w:type="dxa"/>
          </w:tcPr>
          <w:p>
            <w:pPr>
              <w:pStyle w:val="TableParagraph"/>
              <w:spacing w:before="23"/>
              <w:ind w:left="29"/>
              <w:rPr>
                <w:sz w:val="16"/>
              </w:rPr>
            </w:pPr>
            <w:r>
              <w:rPr>
                <w:sz w:val="16"/>
              </w:rPr>
              <w:t>O c o t e a spp.</w:t>
            </w:r>
          </w:p>
        </w:tc>
        <w:tc>
          <w:tcPr>
            <w:tcW w:w="1188" w:type="dxa"/>
          </w:tcPr>
          <w:p>
            <w:pPr>
              <w:pStyle w:val="TableParagraph"/>
              <w:spacing w:before="23"/>
              <w:ind w:left="24" w:right="9"/>
              <w:jc w:val="center"/>
              <w:rPr>
                <w:sz w:val="16"/>
              </w:rPr>
            </w:pPr>
            <w:r>
              <w:rPr>
                <w:sz w:val="16"/>
              </w:rPr>
              <w:t>0.51</w:t>
            </w:r>
          </w:p>
        </w:tc>
        <w:tc>
          <w:tcPr>
            <w:tcW w:w="1807" w:type="dxa"/>
          </w:tcPr>
          <w:p>
            <w:pPr>
              <w:pStyle w:val="TableParagraph"/>
              <w:spacing w:before="23"/>
              <w:ind w:left="32"/>
              <w:rPr>
                <w:sz w:val="16"/>
              </w:rPr>
            </w:pPr>
            <w:r>
              <w:rPr>
                <w:sz w:val="16"/>
              </w:rPr>
              <w:t>Sapium ellipticum</w:t>
            </w:r>
          </w:p>
        </w:tc>
        <w:tc>
          <w:tcPr>
            <w:tcW w:w="1190" w:type="dxa"/>
          </w:tcPr>
          <w:p>
            <w:pPr>
              <w:pStyle w:val="TableParagraph"/>
              <w:spacing w:before="23"/>
              <w:ind w:right="400"/>
              <w:jc w:val="right"/>
              <w:rPr>
                <w:sz w:val="16"/>
              </w:rPr>
            </w:pPr>
            <w:r>
              <w:rPr>
                <w:sz w:val="16"/>
              </w:rPr>
              <w:t>0.50*</w:t>
            </w:r>
          </w:p>
        </w:tc>
      </w:tr>
      <w:tr>
        <w:trPr>
          <w:trHeight w:val="388" w:hRule="atLeast"/>
        </w:trPr>
        <w:tc>
          <w:tcPr>
            <w:tcW w:w="1807" w:type="dxa"/>
          </w:tcPr>
          <w:p>
            <w:pPr>
              <w:pStyle w:val="TableParagraph"/>
              <w:spacing w:before="95"/>
              <w:ind w:left="30"/>
              <w:rPr>
                <w:sz w:val="16"/>
              </w:rPr>
            </w:pPr>
            <w:r>
              <w:rPr>
                <w:sz w:val="16"/>
              </w:rPr>
              <w:t>Madhuca oblongifolia</w:t>
            </w:r>
          </w:p>
        </w:tc>
        <w:tc>
          <w:tcPr>
            <w:tcW w:w="1207" w:type="dxa"/>
          </w:tcPr>
          <w:p>
            <w:pPr>
              <w:pStyle w:val="TableParagraph"/>
              <w:spacing w:before="95"/>
              <w:ind w:left="217" w:right="204"/>
              <w:jc w:val="center"/>
              <w:rPr>
                <w:sz w:val="16"/>
              </w:rPr>
            </w:pPr>
            <w:r>
              <w:rPr>
                <w:sz w:val="16"/>
              </w:rPr>
              <w:t>0.53</w:t>
            </w:r>
          </w:p>
        </w:tc>
        <w:tc>
          <w:tcPr>
            <w:tcW w:w="1817" w:type="dxa"/>
          </w:tcPr>
          <w:p>
            <w:pPr>
              <w:pStyle w:val="TableParagraph"/>
              <w:spacing w:line="180" w:lineRule="atLeast" w:before="4"/>
              <w:ind w:left="28" w:right="737"/>
              <w:rPr>
                <w:sz w:val="16"/>
              </w:rPr>
            </w:pPr>
            <w:r>
              <w:rPr>
                <w:sz w:val="16"/>
              </w:rPr>
              <w:t>Onychopetalum amazonicum</w:t>
            </w:r>
          </w:p>
        </w:tc>
        <w:tc>
          <w:tcPr>
            <w:tcW w:w="1188" w:type="dxa"/>
          </w:tcPr>
          <w:p>
            <w:pPr>
              <w:pStyle w:val="TableParagraph"/>
              <w:spacing w:before="95"/>
              <w:ind w:left="24" w:right="13"/>
              <w:jc w:val="center"/>
              <w:rPr>
                <w:sz w:val="16"/>
              </w:rPr>
            </w:pPr>
            <w:r>
              <w:rPr>
                <w:sz w:val="16"/>
              </w:rPr>
              <w:t>0.64</w:t>
            </w:r>
          </w:p>
        </w:tc>
        <w:tc>
          <w:tcPr>
            <w:tcW w:w="1807" w:type="dxa"/>
          </w:tcPr>
          <w:p>
            <w:pPr>
              <w:pStyle w:val="TableParagraph"/>
              <w:spacing w:before="95"/>
              <w:ind w:left="30"/>
              <w:rPr>
                <w:sz w:val="16"/>
              </w:rPr>
            </w:pPr>
            <w:r>
              <w:rPr>
                <w:sz w:val="16"/>
              </w:rPr>
              <w:t>Schrebera arborea</w:t>
            </w:r>
          </w:p>
        </w:tc>
        <w:tc>
          <w:tcPr>
            <w:tcW w:w="1190" w:type="dxa"/>
          </w:tcPr>
          <w:p>
            <w:pPr>
              <w:pStyle w:val="TableParagraph"/>
              <w:spacing w:before="95"/>
              <w:ind w:right="400"/>
              <w:jc w:val="right"/>
              <w:rPr>
                <w:sz w:val="16"/>
              </w:rPr>
            </w:pPr>
            <w:r>
              <w:rPr>
                <w:sz w:val="16"/>
              </w:rPr>
              <w:t>0.63*</w:t>
            </w:r>
          </w:p>
        </w:tc>
      </w:tr>
      <w:tr>
        <w:trPr>
          <w:trHeight w:val="244" w:hRule="atLeast"/>
        </w:trPr>
        <w:tc>
          <w:tcPr>
            <w:tcW w:w="1807" w:type="dxa"/>
          </w:tcPr>
          <w:p>
            <w:pPr>
              <w:pStyle w:val="TableParagraph"/>
              <w:spacing w:before="23"/>
              <w:ind w:left="30"/>
              <w:rPr>
                <w:sz w:val="16"/>
              </w:rPr>
            </w:pPr>
            <w:r>
              <w:rPr>
                <w:sz w:val="16"/>
              </w:rPr>
              <w:t>Mallotus philippensis</w:t>
            </w:r>
          </w:p>
        </w:tc>
        <w:tc>
          <w:tcPr>
            <w:tcW w:w="1207" w:type="dxa"/>
          </w:tcPr>
          <w:p>
            <w:pPr>
              <w:pStyle w:val="TableParagraph"/>
              <w:spacing w:before="23"/>
              <w:ind w:left="217" w:right="204"/>
              <w:jc w:val="center"/>
              <w:rPr>
                <w:sz w:val="16"/>
              </w:rPr>
            </w:pPr>
            <w:r>
              <w:rPr>
                <w:sz w:val="16"/>
              </w:rPr>
              <w:t>0.64</w:t>
            </w:r>
          </w:p>
        </w:tc>
        <w:tc>
          <w:tcPr>
            <w:tcW w:w="1817" w:type="dxa"/>
          </w:tcPr>
          <w:p>
            <w:pPr>
              <w:pStyle w:val="TableParagraph"/>
              <w:spacing w:before="23"/>
              <w:ind w:left="29"/>
              <w:rPr>
                <w:sz w:val="16"/>
              </w:rPr>
            </w:pPr>
            <w:r>
              <w:rPr>
                <w:sz w:val="16"/>
              </w:rPr>
              <w:t>Ormosia spp.</w:t>
            </w:r>
          </w:p>
        </w:tc>
        <w:tc>
          <w:tcPr>
            <w:tcW w:w="1188" w:type="dxa"/>
          </w:tcPr>
          <w:p>
            <w:pPr>
              <w:pStyle w:val="TableParagraph"/>
              <w:spacing w:before="23"/>
              <w:ind w:left="24" w:right="11"/>
              <w:jc w:val="center"/>
              <w:rPr>
                <w:sz w:val="16"/>
              </w:rPr>
            </w:pPr>
            <w:r>
              <w:rPr>
                <w:sz w:val="16"/>
              </w:rPr>
              <w:t>0.59</w:t>
            </w:r>
          </w:p>
        </w:tc>
        <w:tc>
          <w:tcPr>
            <w:tcW w:w="1807" w:type="dxa"/>
          </w:tcPr>
          <w:p>
            <w:pPr>
              <w:pStyle w:val="TableParagraph"/>
              <w:spacing w:before="23"/>
              <w:ind w:left="31"/>
              <w:rPr>
                <w:sz w:val="16"/>
              </w:rPr>
            </w:pPr>
            <w:r>
              <w:rPr>
                <w:sz w:val="16"/>
              </w:rPr>
              <w:t>Sclorodophloeus zenkeri</w:t>
            </w:r>
          </w:p>
        </w:tc>
        <w:tc>
          <w:tcPr>
            <w:tcW w:w="1190" w:type="dxa"/>
          </w:tcPr>
          <w:p>
            <w:pPr>
              <w:pStyle w:val="TableParagraph"/>
              <w:spacing w:before="23"/>
              <w:ind w:right="401"/>
              <w:jc w:val="right"/>
              <w:rPr>
                <w:sz w:val="16"/>
              </w:rPr>
            </w:pPr>
            <w:r>
              <w:rPr>
                <w:sz w:val="16"/>
              </w:rPr>
              <w:t>0.68*</w:t>
            </w:r>
          </w:p>
        </w:tc>
      </w:tr>
      <w:tr>
        <w:trPr>
          <w:trHeight w:val="244" w:hRule="atLeast"/>
        </w:trPr>
        <w:tc>
          <w:tcPr>
            <w:tcW w:w="1807" w:type="dxa"/>
          </w:tcPr>
          <w:p>
            <w:pPr>
              <w:pStyle w:val="TableParagraph"/>
              <w:spacing w:before="23"/>
              <w:ind w:left="30"/>
              <w:rPr>
                <w:sz w:val="16"/>
              </w:rPr>
            </w:pPr>
            <w:r>
              <w:rPr>
                <w:sz w:val="16"/>
              </w:rPr>
              <w:t>Mangifera spp.</w:t>
            </w:r>
          </w:p>
        </w:tc>
        <w:tc>
          <w:tcPr>
            <w:tcW w:w="1207" w:type="dxa"/>
          </w:tcPr>
          <w:p>
            <w:pPr>
              <w:pStyle w:val="TableParagraph"/>
              <w:spacing w:before="23"/>
              <w:ind w:left="217" w:right="205"/>
              <w:jc w:val="center"/>
              <w:rPr>
                <w:sz w:val="16"/>
              </w:rPr>
            </w:pPr>
            <w:r>
              <w:rPr>
                <w:sz w:val="16"/>
              </w:rPr>
              <w:t>0.52</w:t>
            </w:r>
          </w:p>
        </w:tc>
        <w:tc>
          <w:tcPr>
            <w:tcW w:w="1817" w:type="dxa"/>
          </w:tcPr>
          <w:p>
            <w:pPr>
              <w:pStyle w:val="TableParagraph"/>
              <w:spacing w:before="23"/>
              <w:ind w:left="28"/>
              <w:rPr>
                <w:sz w:val="16"/>
              </w:rPr>
            </w:pPr>
            <w:r>
              <w:rPr>
                <w:sz w:val="16"/>
              </w:rPr>
              <w:t>Ouratea sp.</w:t>
            </w:r>
          </w:p>
        </w:tc>
        <w:tc>
          <w:tcPr>
            <w:tcW w:w="1188" w:type="dxa"/>
          </w:tcPr>
          <w:p>
            <w:pPr>
              <w:pStyle w:val="TableParagraph"/>
              <w:spacing w:before="23"/>
              <w:ind w:left="24" w:right="13"/>
              <w:jc w:val="center"/>
              <w:rPr>
                <w:sz w:val="16"/>
              </w:rPr>
            </w:pPr>
            <w:r>
              <w:rPr>
                <w:sz w:val="16"/>
              </w:rPr>
              <w:t>0.66</w:t>
            </w:r>
          </w:p>
        </w:tc>
        <w:tc>
          <w:tcPr>
            <w:tcW w:w="1807" w:type="dxa"/>
          </w:tcPr>
          <w:p>
            <w:pPr>
              <w:pStyle w:val="TableParagraph"/>
              <w:spacing w:before="23"/>
              <w:ind w:left="30"/>
              <w:rPr>
                <w:sz w:val="16"/>
              </w:rPr>
            </w:pPr>
            <w:r>
              <w:rPr>
                <w:sz w:val="16"/>
              </w:rPr>
              <w:t>Scottellia coriacea</w:t>
            </w:r>
          </w:p>
        </w:tc>
        <w:tc>
          <w:tcPr>
            <w:tcW w:w="1190" w:type="dxa"/>
          </w:tcPr>
          <w:p>
            <w:pPr>
              <w:pStyle w:val="TableParagraph"/>
              <w:spacing w:before="23"/>
              <w:ind w:right="443"/>
              <w:jc w:val="right"/>
              <w:rPr>
                <w:sz w:val="16"/>
              </w:rPr>
            </w:pPr>
            <w:r>
              <w:rPr>
                <w:sz w:val="16"/>
              </w:rPr>
              <w:t>0.56</w:t>
            </w:r>
          </w:p>
        </w:tc>
      </w:tr>
      <w:tr>
        <w:trPr>
          <w:trHeight w:val="244" w:hRule="atLeast"/>
        </w:trPr>
        <w:tc>
          <w:tcPr>
            <w:tcW w:w="1807" w:type="dxa"/>
          </w:tcPr>
          <w:p>
            <w:pPr>
              <w:pStyle w:val="TableParagraph"/>
              <w:spacing w:before="23"/>
              <w:ind w:left="30"/>
              <w:rPr>
                <w:sz w:val="16"/>
              </w:rPr>
            </w:pPr>
            <w:r>
              <w:rPr>
                <w:sz w:val="16"/>
              </w:rPr>
              <w:t>Maniltoa minor</w:t>
            </w:r>
          </w:p>
        </w:tc>
        <w:tc>
          <w:tcPr>
            <w:tcW w:w="1207" w:type="dxa"/>
          </w:tcPr>
          <w:p>
            <w:pPr>
              <w:pStyle w:val="TableParagraph"/>
              <w:spacing w:before="23"/>
              <w:ind w:left="217" w:right="206"/>
              <w:jc w:val="center"/>
              <w:rPr>
                <w:sz w:val="16"/>
              </w:rPr>
            </w:pPr>
            <w:r>
              <w:rPr>
                <w:sz w:val="16"/>
              </w:rPr>
              <w:t>0.76</w:t>
            </w:r>
          </w:p>
        </w:tc>
        <w:tc>
          <w:tcPr>
            <w:tcW w:w="1817" w:type="dxa"/>
          </w:tcPr>
          <w:p>
            <w:pPr>
              <w:pStyle w:val="TableParagraph"/>
              <w:spacing w:before="23"/>
              <w:ind w:left="27"/>
              <w:rPr>
                <w:sz w:val="16"/>
              </w:rPr>
            </w:pPr>
            <w:r>
              <w:rPr>
                <w:sz w:val="16"/>
              </w:rPr>
              <w:t>Pachira acuatica</w:t>
            </w:r>
          </w:p>
        </w:tc>
        <w:tc>
          <w:tcPr>
            <w:tcW w:w="1188" w:type="dxa"/>
          </w:tcPr>
          <w:p>
            <w:pPr>
              <w:pStyle w:val="TableParagraph"/>
              <w:spacing w:before="23"/>
              <w:ind w:left="24" w:right="10"/>
              <w:jc w:val="center"/>
              <w:rPr>
                <w:sz w:val="16"/>
              </w:rPr>
            </w:pPr>
            <w:r>
              <w:rPr>
                <w:sz w:val="16"/>
              </w:rPr>
              <w:t>0.43</w:t>
            </w:r>
          </w:p>
        </w:tc>
        <w:tc>
          <w:tcPr>
            <w:tcW w:w="1807" w:type="dxa"/>
          </w:tcPr>
          <w:p>
            <w:pPr>
              <w:pStyle w:val="TableParagraph"/>
              <w:spacing w:before="23"/>
              <w:ind w:left="31"/>
              <w:rPr>
                <w:sz w:val="16"/>
              </w:rPr>
            </w:pPr>
            <w:r>
              <w:rPr>
                <w:sz w:val="16"/>
              </w:rPr>
              <w:t>Scyphocephalium ochocoa</w:t>
            </w:r>
          </w:p>
        </w:tc>
        <w:tc>
          <w:tcPr>
            <w:tcW w:w="1190" w:type="dxa"/>
          </w:tcPr>
          <w:p>
            <w:pPr>
              <w:pStyle w:val="TableParagraph"/>
              <w:spacing w:before="23"/>
              <w:ind w:right="443"/>
              <w:jc w:val="right"/>
              <w:rPr>
                <w:sz w:val="16"/>
              </w:rPr>
            </w:pPr>
            <w:r>
              <w:rPr>
                <w:sz w:val="16"/>
              </w:rPr>
              <w:t>0.48</w:t>
            </w:r>
          </w:p>
        </w:tc>
      </w:tr>
      <w:tr>
        <w:trPr>
          <w:trHeight w:val="246" w:hRule="atLeast"/>
        </w:trPr>
        <w:tc>
          <w:tcPr>
            <w:tcW w:w="1807" w:type="dxa"/>
          </w:tcPr>
          <w:p>
            <w:pPr>
              <w:pStyle w:val="TableParagraph"/>
              <w:spacing w:before="23"/>
              <w:ind w:left="30"/>
              <w:rPr>
                <w:sz w:val="16"/>
              </w:rPr>
            </w:pPr>
            <w:r>
              <w:rPr>
                <w:sz w:val="16"/>
              </w:rPr>
              <w:t>Mastixia philippinensis</w:t>
            </w:r>
          </w:p>
        </w:tc>
        <w:tc>
          <w:tcPr>
            <w:tcW w:w="1207" w:type="dxa"/>
          </w:tcPr>
          <w:p>
            <w:pPr>
              <w:pStyle w:val="TableParagraph"/>
              <w:spacing w:before="23"/>
              <w:ind w:left="217" w:right="205"/>
              <w:jc w:val="center"/>
              <w:rPr>
                <w:sz w:val="16"/>
              </w:rPr>
            </w:pPr>
            <w:r>
              <w:rPr>
                <w:sz w:val="16"/>
              </w:rPr>
              <w:t>0.47</w:t>
            </w:r>
          </w:p>
        </w:tc>
        <w:tc>
          <w:tcPr>
            <w:tcW w:w="1817" w:type="dxa"/>
          </w:tcPr>
          <w:p>
            <w:pPr>
              <w:pStyle w:val="TableParagraph"/>
              <w:spacing w:before="23"/>
              <w:ind w:left="28"/>
              <w:rPr>
                <w:sz w:val="16"/>
              </w:rPr>
            </w:pPr>
            <w:r>
              <w:rPr>
                <w:sz w:val="16"/>
              </w:rPr>
              <w:t>Paratecoma peroba</w:t>
            </w:r>
          </w:p>
        </w:tc>
        <w:tc>
          <w:tcPr>
            <w:tcW w:w="1188" w:type="dxa"/>
          </w:tcPr>
          <w:p>
            <w:pPr>
              <w:pStyle w:val="TableParagraph"/>
              <w:spacing w:before="23"/>
              <w:ind w:left="24" w:right="13"/>
              <w:jc w:val="center"/>
              <w:rPr>
                <w:sz w:val="16"/>
              </w:rPr>
            </w:pPr>
            <w:r>
              <w:rPr>
                <w:sz w:val="16"/>
              </w:rPr>
              <w:t>0.6</w:t>
            </w:r>
          </w:p>
        </w:tc>
        <w:tc>
          <w:tcPr>
            <w:tcW w:w="1807" w:type="dxa"/>
          </w:tcPr>
          <w:p>
            <w:pPr>
              <w:pStyle w:val="TableParagraph"/>
              <w:spacing w:before="23"/>
              <w:ind w:left="31"/>
              <w:rPr>
                <w:sz w:val="16"/>
              </w:rPr>
            </w:pPr>
            <w:r>
              <w:rPr>
                <w:sz w:val="16"/>
              </w:rPr>
              <w:t>Scytopetalum tieghemii</w:t>
            </w:r>
          </w:p>
        </w:tc>
        <w:tc>
          <w:tcPr>
            <w:tcW w:w="1190" w:type="dxa"/>
          </w:tcPr>
          <w:p>
            <w:pPr>
              <w:pStyle w:val="TableParagraph"/>
              <w:spacing w:before="23"/>
              <w:ind w:right="407"/>
              <w:jc w:val="right"/>
              <w:rPr>
                <w:sz w:val="16"/>
              </w:rPr>
            </w:pPr>
            <w:r>
              <w:rPr>
                <w:sz w:val="16"/>
              </w:rPr>
              <w:t>0.56”</w:t>
            </w:r>
          </w:p>
        </w:tc>
      </w:tr>
      <w:tr>
        <w:trPr>
          <w:trHeight w:val="244" w:hRule="atLeast"/>
        </w:trPr>
        <w:tc>
          <w:tcPr>
            <w:tcW w:w="1807" w:type="dxa"/>
          </w:tcPr>
          <w:p>
            <w:pPr>
              <w:pStyle w:val="TableParagraph"/>
              <w:spacing w:before="23"/>
              <w:ind w:left="30"/>
              <w:rPr>
                <w:sz w:val="16"/>
              </w:rPr>
            </w:pPr>
            <w:r>
              <w:rPr>
                <w:sz w:val="16"/>
              </w:rPr>
              <w:t>Melanorrhea spp.</w:t>
            </w:r>
          </w:p>
        </w:tc>
        <w:tc>
          <w:tcPr>
            <w:tcW w:w="1207" w:type="dxa"/>
          </w:tcPr>
          <w:p>
            <w:pPr>
              <w:pStyle w:val="TableParagraph"/>
              <w:spacing w:before="23"/>
              <w:ind w:left="217" w:right="205"/>
              <w:jc w:val="center"/>
              <w:rPr>
                <w:sz w:val="16"/>
              </w:rPr>
            </w:pPr>
            <w:r>
              <w:rPr>
                <w:sz w:val="16"/>
              </w:rPr>
              <w:t>0.63</w:t>
            </w:r>
          </w:p>
        </w:tc>
        <w:tc>
          <w:tcPr>
            <w:tcW w:w="1817" w:type="dxa"/>
          </w:tcPr>
          <w:p>
            <w:pPr>
              <w:pStyle w:val="TableParagraph"/>
              <w:spacing w:before="23"/>
              <w:ind w:left="28"/>
              <w:rPr>
                <w:sz w:val="16"/>
              </w:rPr>
            </w:pPr>
            <w:r>
              <w:rPr>
                <w:sz w:val="16"/>
              </w:rPr>
              <w:t>Parinari spp.</w:t>
            </w:r>
          </w:p>
        </w:tc>
        <w:tc>
          <w:tcPr>
            <w:tcW w:w="1188" w:type="dxa"/>
          </w:tcPr>
          <w:p>
            <w:pPr>
              <w:pStyle w:val="TableParagraph"/>
              <w:spacing w:before="23"/>
              <w:ind w:left="24" w:right="13"/>
              <w:jc w:val="center"/>
              <w:rPr>
                <w:sz w:val="16"/>
              </w:rPr>
            </w:pPr>
            <w:r>
              <w:rPr>
                <w:sz w:val="16"/>
              </w:rPr>
              <w:t>0.68</w:t>
            </w:r>
          </w:p>
        </w:tc>
        <w:tc>
          <w:tcPr>
            <w:tcW w:w="1807" w:type="dxa"/>
          </w:tcPr>
          <w:p>
            <w:pPr>
              <w:pStyle w:val="TableParagraph"/>
              <w:spacing w:before="23"/>
              <w:ind w:left="30"/>
              <w:rPr>
                <w:sz w:val="16"/>
              </w:rPr>
            </w:pPr>
            <w:r>
              <w:rPr>
                <w:sz w:val="16"/>
              </w:rPr>
              <w:t>Sindoropsis letestui</w:t>
            </w:r>
          </w:p>
        </w:tc>
        <w:tc>
          <w:tcPr>
            <w:tcW w:w="1190" w:type="dxa"/>
          </w:tcPr>
          <w:p>
            <w:pPr>
              <w:pStyle w:val="TableParagraph"/>
              <w:spacing w:before="23"/>
              <w:ind w:right="401"/>
              <w:jc w:val="right"/>
              <w:rPr>
                <w:sz w:val="16"/>
              </w:rPr>
            </w:pPr>
            <w:r>
              <w:rPr>
                <w:sz w:val="16"/>
              </w:rPr>
              <w:t>0.56*</w:t>
            </w:r>
          </w:p>
        </w:tc>
      </w:tr>
      <w:tr>
        <w:trPr>
          <w:trHeight w:val="244" w:hRule="atLeast"/>
        </w:trPr>
        <w:tc>
          <w:tcPr>
            <w:tcW w:w="1807" w:type="dxa"/>
          </w:tcPr>
          <w:p>
            <w:pPr>
              <w:pStyle w:val="TableParagraph"/>
              <w:spacing w:before="23"/>
              <w:ind w:left="30"/>
              <w:rPr>
                <w:sz w:val="16"/>
              </w:rPr>
            </w:pPr>
            <w:r>
              <w:rPr>
                <w:sz w:val="16"/>
              </w:rPr>
              <w:t>Melia dubia</w:t>
            </w:r>
          </w:p>
        </w:tc>
        <w:tc>
          <w:tcPr>
            <w:tcW w:w="1207" w:type="dxa"/>
          </w:tcPr>
          <w:p>
            <w:pPr>
              <w:pStyle w:val="TableParagraph"/>
              <w:spacing w:before="23"/>
              <w:ind w:left="217" w:right="206"/>
              <w:jc w:val="center"/>
              <w:rPr>
                <w:sz w:val="16"/>
              </w:rPr>
            </w:pPr>
            <w:r>
              <w:rPr>
                <w:sz w:val="16"/>
              </w:rPr>
              <w:t>0.4</w:t>
            </w:r>
          </w:p>
        </w:tc>
        <w:tc>
          <w:tcPr>
            <w:tcW w:w="1817" w:type="dxa"/>
          </w:tcPr>
          <w:p>
            <w:pPr>
              <w:pStyle w:val="TableParagraph"/>
              <w:spacing w:before="23"/>
              <w:ind w:left="28"/>
              <w:rPr>
                <w:sz w:val="16"/>
              </w:rPr>
            </w:pPr>
            <w:r>
              <w:rPr>
                <w:sz w:val="16"/>
              </w:rPr>
              <w:t>Parkia spp.</w:t>
            </w:r>
          </w:p>
        </w:tc>
        <w:tc>
          <w:tcPr>
            <w:tcW w:w="1188" w:type="dxa"/>
          </w:tcPr>
          <w:p>
            <w:pPr>
              <w:pStyle w:val="TableParagraph"/>
              <w:spacing w:before="23"/>
              <w:ind w:left="24" w:right="13"/>
              <w:jc w:val="center"/>
              <w:rPr>
                <w:sz w:val="16"/>
              </w:rPr>
            </w:pPr>
            <w:r>
              <w:rPr>
                <w:sz w:val="16"/>
              </w:rPr>
              <w:t>0.39</w:t>
            </w:r>
          </w:p>
        </w:tc>
        <w:tc>
          <w:tcPr>
            <w:tcW w:w="1807" w:type="dxa"/>
          </w:tcPr>
          <w:p>
            <w:pPr>
              <w:pStyle w:val="TableParagraph"/>
              <w:spacing w:before="23"/>
              <w:ind w:left="30"/>
              <w:rPr>
                <w:sz w:val="16"/>
              </w:rPr>
            </w:pPr>
            <w:r>
              <w:rPr>
                <w:sz w:val="16"/>
              </w:rPr>
              <w:t>Staudtia stipitata</w:t>
            </w:r>
          </w:p>
        </w:tc>
        <w:tc>
          <w:tcPr>
            <w:tcW w:w="1190" w:type="dxa"/>
          </w:tcPr>
          <w:p>
            <w:pPr>
              <w:pStyle w:val="TableParagraph"/>
              <w:spacing w:before="23"/>
              <w:ind w:right="443"/>
              <w:jc w:val="right"/>
              <w:rPr>
                <w:sz w:val="16"/>
              </w:rPr>
            </w:pPr>
            <w:r>
              <w:rPr>
                <w:sz w:val="16"/>
              </w:rPr>
              <w:t>0.75</w:t>
            </w:r>
          </w:p>
        </w:tc>
      </w:tr>
      <w:tr>
        <w:trPr>
          <w:trHeight w:val="244" w:hRule="atLeast"/>
        </w:trPr>
        <w:tc>
          <w:tcPr>
            <w:tcW w:w="1807" w:type="dxa"/>
          </w:tcPr>
          <w:p>
            <w:pPr>
              <w:pStyle w:val="TableParagraph"/>
              <w:spacing w:before="23"/>
              <w:ind w:left="30"/>
              <w:rPr>
                <w:sz w:val="16"/>
              </w:rPr>
            </w:pPr>
            <w:r>
              <w:rPr>
                <w:sz w:val="16"/>
              </w:rPr>
              <w:t>Melicope triphylla</w:t>
            </w:r>
          </w:p>
        </w:tc>
        <w:tc>
          <w:tcPr>
            <w:tcW w:w="1207" w:type="dxa"/>
          </w:tcPr>
          <w:p>
            <w:pPr>
              <w:pStyle w:val="TableParagraph"/>
              <w:spacing w:before="23"/>
              <w:ind w:left="217" w:right="204"/>
              <w:jc w:val="center"/>
              <w:rPr>
                <w:sz w:val="16"/>
              </w:rPr>
            </w:pPr>
            <w:r>
              <w:rPr>
                <w:sz w:val="16"/>
              </w:rPr>
              <w:t>0.37</w:t>
            </w:r>
          </w:p>
        </w:tc>
        <w:tc>
          <w:tcPr>
            <w:tcW w:w="1817" w:type="dxa"/>
          </w:tcPr>
          <w:p>
            <w:pPr>
              <w:pStyle w:val="TableParagraph"/>
              <w:spacing w:before="23"/>
              <w:ind w:left="29"/>
              <w:rPr>
                <w:sz w:val="16"/>
              </w:rPr>
            </w:pPr>
            <w:r>
              <w:rPr>
                <w:sz w:val="16"/>
              </w:rPr>
              <w:t>Peltogyne spp.</w:t>
            </w:r>
          </w:p>
        </w:tc>
        <w:tc>
          <w:tcPr>
            <w:tcW w:w="1188" w:type="dxa"/>
          </w:tcPr>
          <w:p>
            <w:pPr>
              <w:pStyle w:val="TableParagraph"/>
              <w:spacing w:before="23"/>
              <w:ind w:left="24" w:right="13"/>
              <w:jc w:val="center"/>
              <w:rPr>
                <w:sz w:val="16"/>
              </w:rPr>
            </w:pPr>
            <w:r>
              <w:rPr>
                <w:sz w:val="16"/>
              </w:rPr>
              <w:t>0.79</w:t>
            </w:r>
          </w:p>
        </w:tc>
        <w:tc>
          <w:tcPr>
            <w:tcW w:w="1807" w:type="dxa"/>
          </w:tcPr>
          <w:p>
            <w:pPr>
              <w:pStyle w:val="TableParagraph"/>
              <w:spacing w:before="23"/>
              <w:ind w:left="30"/>
              <w:rPr>
                <w:sz w:val="16"/>
              </w:rPr>
            </w:pPr>
            <w:r>
              <w:rPr>
                <w:sz w:val="16"/>
              </w:rPr>
              <w:t>Stemonocoleus micranthus</w:t>
            </w:r>
          </w:p>
        </w:tc>
        <w:tc>
          <w:tcPr>
            <w:tcW w:w="1190" w:type="dxa"/>
          </w:tcPr>
          <w:p>
            <w:pPr>
              <w:pStyle w:val="TableParagraph"/>
              <w:spacing w:before="23"/>
              <w:ind w:right="408"/>
              <w:jc w:val="right"/>
              <w:rPr>
                <w:sz w:val="16"/>
              </w:rPr>
            </w:pPr>
            <w:r>
              <w:rPr>
                <w:sz w:val="16"/>
              </w:rPr>
              <w:t>0.56”</w:t>
            </w:r>
          </w:p>
        </w:tc>
      </w:tr>
      <w:tr>
        <w:trPr>
          <w:trHeight w:val="246" w:hRule="atLeast"/>
        </w:trPr>
        <w:tc>
          <w:tcPr>
            <w:tcW w:w="1807" w:type="dxa"/>
          </w:tcPr>
          <w:p>
            <w:pPr>
              <w:pStyle w:val="TableParagraph"/>
              <w:spacing w:before="23"/>
              <w:ind w:left="30"/>
              <w:rPr>
                <w:sz w:val="16"/>
              </w:rPr>
            </w:pPr>
            <w:r>
              <w:rPr>
                <w:sz w:val="16"/>
              </w:rPr>
              <w:t>Meliosma macrophylla</w:t>
            </w:r>
          </w:p>
        </w:tc>
        <w:tc>
          <w:tcPr>
            <w:tcW w:w="1207" w:type="dxa"/>
          </w:tcPr>
          <w:p>
            <w:pPr>
              <w:pStyle w:val="TableParagraph"/>
              <w:spacing w:before="23"/>
              <w:ind w:left="217" w:right="206"/>
              <w:jc w:val="center"/>
              <w:rPr>
                <w:sz w:val="16"/>
              </w:rPr>
            </w:pPr>
            <w:r>
              <w:rPr>
                <w:sz w:val="16"/>
              </w:rPr>
              <w:t>0.27</w:t>
            </w:r>
          </w:p>
        </w:tc>
        <w:tc>
          <w:tcPr>
            <w:tcW w:w="1817" w:type="dxa"/>
          </w:tcPr>
          <w:p>
            <w:pPr>
              <w:pStyle w:val="TableParagraph"/>
              <w:spacing w:before="23"/>
              <w:ind w:left="27"/>
              <w:rPr>
                <w:sz w:val="16"/>
              </w:rPr>
            </w:pPr>
            <w:r>
              <w:rPr>
                <w:sz w:val="16"/>
              </w:rPr>
              <w:t>Pentaclethra macroloba</w:t>
            </w:r>
          </w:p>
        </w:tc>
        <w:tc>
          <w:tcPr>
            <w:tcW w:w="1188" w:type="dxa"/>
          </w:tcPr>
          <w:p>
            <w:pPr>
              <w:pStyle w:val="TableParagraph"/>
              <w:spacing w:before="23"/>
              <w:ind w:left="24" w:right="10"/>
              <w:jc w:val="center"/>
              <w:rPr>
                <w:sz w:val="16"/>
              </w:rPr>
            </w:pPr>
            <w:r>
              <w:rPr>
                <w:sz w:val="16"/>
              </w:rPr>
              <w:t>0.65,0.68+</w:t>
            </w:r>
          </w:p>
        </w:tc>
        <w:tc>
          <w:tcPr>
            <w:tcW w:w="1807" w:type="dxa"/>
          </w:tcPr>
          <w:p>
            <w:pPr>
              <w:pStyle w:val="TableParagraph"/>
              <w:spacing w:before="23"/>
              <w:ind w:left="30"/>
              <w:rPr>
                <w:sz w:val="16"/>
              </w:rPr>
            </w:pPr>
            <w:r>
              <w:rPr>
                <w:sz w:val="16"/>
              </w:rPr>
              <w:t>Sterculia rhinopetala</w:t>
            </w:r>
          </w:p>
        </w:tc>
        <w:tc>
          <w:tcPr>
            <w:tcW w:w="1190" w:type="dxa"/>
          </w:tcPr>
          <w:p>
            <w:pPr>
              <w:pStyle w:val="TableParagraph"/>
              <w:spacing w:before="23"/>
              <w:ind w:right="443"/>
              <w:jc w:val="right"/>
              <w:rPr>
                <w:sz w:val="16"/>
              </w:rPr>
            </w:pPr>
            <w:r>
              <w:rPr>
                <w:sz w:val="16"/>
              </w:rPr>
              <w:t>0.64</w:t>
            </w:r>
          </w:p>
        </w:tc>
      </w:tr>
      <w:tr>
        <w:trPr>
          <w:trHeight w:val="244" w:hRule="atLeast"/>
        </w:trPr>
        <w:tc>
          <w:tcPr>
            <w:tcW w:w="1807" w:type="dxa"/>
          </w:tcPr>
          <w:p>
            <w:pPr>
              <w:pStyle w:val="TableParagraph"/>
              <w:spacing w:before="23"/>
              <w:ind w:left="30"/>
              <w:rPr>
                <w:sz w:val="16"/>
              </w:rPr>
            </w:pPr>
            <w:r>
              <w:rPr>
                <w:sz w:val="16"/>
              </w:rPr>
              <w:t>Melochia umbellata</w:t>
            </w:r>
          </w:p>
        </w:tc>
        <w:tc>
          <w:tcPr>
            <w:tcW w:w="1207" w:type="dxa"/>
          </w:tcPr>
          <w:p>
            <w:pPr>
              <w:pStyle w:val="TableParagraph"/>
              <w:spacing w:before="23"/>
              <w:ind w:left="217" w:right="204"/>
              <w:jc w:val="center"/>
              <w:rPr>
                <w:sz w:val="16"/>
              </w:rPr>
            </w:pPr>
            <w:r>
              <w:rPr>
                <w:sz w:val="16"/>
              </w:rPr>
              <w:t>0.25</w:t>
            </w:r>
          </w:p>
        </w:tc>
        <w:tc>
          <w:tcPr>
            <w:tcW w:w="1817" w:type="dxa"/>
          </w:tcPr>
          <w:p>
            <w:pPr>
              <w:pStyle w:val="TableParagraph"/>
              <w:spacing w:before="23"/>
              <w:ind w:left="29"/>
              <w:rPr>
                <w:sz w:val="16"/>
              </w:rPr>
            </w:pPr>
            <w:r>
              <w:rPr>
                <w:sz w:val="16"/>
              </w:rPr>
              <w:t>Peru glabrata</w:t>
            </w:r>
          </w:p>
        </w:tc>
        <w:tc>
          <w:tcPr>
            <w:tcW w:w="1188" w:type="dxa"/>
          </w:tcPr>
          <w:p>
            <w:pPr>
              <w:pStyle w:val="TableParagraph"/>
              <w:spacing w:before="23"/>
              <w:ind w:left="24" w:right="11"/>
              <w:jc w:val="center"/>
              <w:rPr>
                <w:sz w:val="16"/>
              </w:rPr>
            </w:pPr>
            <w:r>
              <w:rPr>
                <w:sz w:val="16"/>
              </w:rPr>
              <w:t>0.65</w:t>
            </w:r>
          </w:p>
        </w:tc>
        <w:tc>
          <w:tcPr>
            <w:tcW w:w="1807" w:type="dxa"/>
          </w:tcPr>
          <w:p>
            <w:pPr>
              <w:pStyle w:val="TableParagraph"/>
              <w:spacing w:before="23"/>
              <w:ind w:left="31"/>
              <w:rPr>
                <w:sz w:val="16"/>
              </w:rPr>
            </w:pPr>
            <w:r>
              <w:rPr>
                <w:sz w:val="16"/>
              </w:rPr>
              <w:t>Strephonema pseudocola</w:t>
            </w:r>
          </w:p>
        </w:tc>
        <w:tc>
          <w:tcPr>
            <w:tcW w:w="1190" w:type="dxa"/>
          </w:tcPr>
          <w:p>
            <w:pPr>
              <w:pStyle w:val="TableParagraph"/>
              <w:spacing w:before="23"/>
              <w:ind w:right="400"/>
              <w:jc w:val="right"/>
              <w:rPr>
                <w:sz w:val="16"/>
              </w:rPr>
            </w:pPr>
            <w:r>
              <w:rPr>
                <w:sz w:val="16"/>
              </w:rPr>
              <w:t>0.56*</w:t>
            </w:r>
          </w:p>
        </w:tc>
      </w:tr>
      <w:tr>
        <w:trPr>
          <w:trHeight w:val="244" w:hRule="atLeast"/>
        </w:trPr>
        <w:tc>
          <w:tcPr>
            <w:tcW w:w="1807" w:type="dxa"/>
          </w:tcPr>
          <w:p>
            <w:pPr>
              <w:pStyle w:val="TableParagraph"/>
              <w:spacing w:before="23"/>
              <w:ind w:left="30"/>
              <w:rPr>
                <w:sz w:val="16"/>
              </w:rPr>
            </w:pPr>
            <w:r>
              <w:rPr>
                <w:sz w:val="16"/>
              </w:rPr>
              <w:t>Me&amp;a ferrea</w:t>
            </w:r>
          </w:p>
        </w:tc>
        <w:tc>
          <w:tcPr>
            <w:tcW w:w="1207" w:type="dxa"/>
          </w:tcPr>
          <w:p>
            <w:pPr>
              <w:pStyle w:val="TableParagraph"/>
              <w:spacing w:before="23"/>
              <w:ind w:left="217" w:right="202"/>
              <w:jc w:val="center"/>
              <w:rPr>
                <w:sz w:val="16"/>
              </w:rPr>
            </w:pPr>
            <w:r>
              <w:rPr>
                <w:sz w:val="16"/>
              </w:rPr>
              <w:t>0.83,0.85+</w:t>
            </w:r>
          </w:p>
        </w:tc>
        <w:tc>
          <w:tcPr>
            <w:tcW w:w="1817" w:type="dxa"/>
          </w:tcPr>
          <w:p>
            <w:pPr>
              <w:pStyle w:val="TableParagraph"/>
              <w:spacing w:before="23"/>
              <w:ind w:left="29"/>
              <w:rPr>
                <w:sz w:val="16"/>
              </w:rPr>
            </w:pPr>
            <w:r>
              <w:rPr>
                <w:sz w:val="16"/>
              </w:rPr>
              <w:t>Peru schomburgkiana</w:t>
            </w:r>
          </w:p>
        </w:tc>
        <w:tc>
          <w:tcPr>
            <w:tcW w:w="1188" w:type="dxa"/>
          </w:tcPr>
          <w:p>
            <w:pPr>
              <w:pStyle w:val="TableParagraph"/>
              <w:spacing w:before="23"/>
              <w:ind w:left="24" w:right="14"/>
              <w:jc w:val="center"/>
              <w:rPr>
                <w:sz w:val="16"/>
              </w:rPr>
            </w:pPr>
            <w:r>
              <w:rPr>
                <w:sz w:val="16"/>
              </w:rPr>
              <w:t>0.59</w:t>
            </w:r>
          </w:p>
        </w:tc>
        <w:tc>
          <w:tcPr>
            <w:tcW w:w="1807" w:type="dxa"/>
          </w:tcPr>
          <w:p>
            <w:pPr>
              <w:pStyle w:val="TableParagraph"/>
              <w:spacing w:before="23"/>
              <w:ind w:left="30"/>
              <w:rPr>
                <w:sz w:val="16"/>
              </w:rPr>
            </w:pPr>
            <w:r>
              <w:rPr>
                <w:sz w:val="16"/>
              </w:rPr>
              <w:t>Strombosiopsis tetrandra</w:t>
            </w:r>
          </w:p>
        </w:tc>
        <w:tc>
          <w:tcPr>
            <w:tcW w:w="1190" w:type="dxa"/>
          </w:tcPr>
          <w:p>
            <w:pPr>
              <w:pStyle w:val="TableParagraph"/>
              <w:spacing w:before="23"/>
              <w:ind w:right="410"/>
              <w:jc w:val="right"/>
              <w:rPr>
                <w:sz w:val="16"/>
              </w:rPr>
            </w:pPr>
            <w:r>
              <w:rPr>
                <w:sz w:val="16"/>
              </w:rPr>
              <w:t>0.63”</w:t>
            </w:r>
          </w:p>
        </w:tc>
      </w:tr>
      <w:tr>
        <w:trPr>
          <w:trHeight w:val="244" w:hRule="atLeast"/>
        </w:trPr>
        <w:tc>
          <w:tcPr>
            <w:tcW w:w="1807" w:type="dxa"/>
          </w:tcPr>
          <w:p>
            <w:pPr>
              <w:pStyle w:val="TableParagraph"/>
              <w:spacing w:before="23"/>
              <w:ind w:left="30"/>
              <w:rPr>
                <w:sz w:val="16"/>
              </w:rPr>
            </w:pPr>
            <w:r>
              <w:rPr>
                <w:sz w:val="16"/>
              </w:rPr>
              <w:t>Metrosideros collina</w:t>
            </w:r>
          </w:p>
        </w:tc>
        <w:tc>
          <w:tcPr>
            <w:tcW w:w="1207" w:type="dxa"/>
          </w:tcPr>
          <w:p>
            <w:pPr>
              <w:pStyle w:val="TableParagraph"/>
              <w:spacing w:before="23"/>
              <w:ind w:left="217" w:right="202"/>
              <w:jc w:val="center"/>
              <w:rPr>
                <w:sz w:val="16"/>
              </w:rPr>
            </w:pPr>
            <w:r>
              <w:rPr>
                <w:sz w:val="16"/>
              </w:rPr>
              <w:t>0.70,0.76+</w:t>
            </w:r>
          </w:p>
        </w:tc>
        <w:tc>
          <w:tcPr>
            <w:tcW w:w="1817" w:type="dxa"/>
          </w:tcPr>
          <w:p>
            <w:pPr>
              <w:pStyle w:val="TableParagraph"/>
              <w:spacing w:before="23"/>
              <w:ind w:left="28"/>
              <w:rPr>
                <w:sz w:val="16"/>
              </w:rPr>
            </w:pPr>
            <w:r>
              <w:rPr>
                <w:sz w:val="16"/>
              </w:rPr>
              <w:t>Persea spp.</w:t>
            </w:r>
          </w:p>
        </w:tc>
        <w:tc>
          <w:tcPr>
            <w:tcW w:w="1188" w:type="dxa"/>
          </w:tcPr>
          <w:p>
            <w:pPr>
              <w:pStyle w:val="TableParagraph"/>
              <w:spacing w:before="23"/>
              <w:ind w:left="24" w:right="10"/>
              <w:jc w:val="center"/>
              <w:rPr>
                <w:sz w:val="16"/>
              </w:rPr>
            </w:pPr>
            <w:r>
              <w:rPr>
                <w:sz w:val="16"/>
              </w:rPr>
              <w:t>0.40, 0.47,0.52+</w:t>
            </w:r>
          </w:p>
        </w:tc>
        <w:tc>
          <w:tcPr>
            <w:tcW w:w="1807" w:type="dxa"/>
          </w:tcPr>
          <w:p>
            <w:pPr>
              <w:pStyle w:val="TableParagraph"/>
              <w:spacing w:before="23"/>
              <w:ind w:left="30"/>
              <w:rPr>
                <w:sz w:val="16"/>
              </w:rPr>
            </w:pPr>
            <w:r>
              <w:rPr>
                <w:sz w:val="16"/>
              </w:rPr>
              <w:t>Swartzia fistuloides</w:t>
            </w:r>
          </w:p>
        </w:tc>
        <w:tc>
          <w:tcPr>
            <w:tcW w:w="1190" w:type="dxa"/>
          </w:tcPr>
          <w:p>
            <w:pPr>
              <w:pStyle w:val="TableParagraph"/>
              <w:spacing w:before="23"/>
              <w:ind w:right="444"/>
              <w:jc w:val="right"/>
              <w:rPr>
                <w:sz w:val="16"/>
              </w:rPr>
            </w:pPr>
            <w:r>
              <w:rPr>
                <w:sz w:val="16"/>
              </w:rPr>
              <w:t>0.82</w:t>
            </w:r>
          </w:p>
        </w:tc>
      </w:tr>
      <w:tr>
        <w:trPr>
          <w:trHeight w:val="246" w:hRule="atLeast"/>
        </w:trPr>
        <w:tc>
          <w:tcPr>
            <w:tcW w:w="1807" w:type="dxa"/>
          </w:tcPr>
          <w:p>
            <w:pPr>
              <w:pStyle w:val="TableParagraph"/>
              <w:spacing w:before="23"/>
              <w:ind w:left="30"/>
              <w:rPr>
                <w:sz w:val="16"/>
              </w:rPr>
            </w:pPr>
            <w:r>
              <w:rPr>
                <w:sz w:val="16"/>
              </w:rPr>
              <w:t>Michelia spp.</w:t>
            </w:r>
          </w:p>
        </w:tc>
        <w:tc>
          <w:tcPr>
            <w:tcW w:w="1207" w:type="dxa"/>
          </w:tcPr>
          <w:p>
            <w:pPr>
              <w:pStyle w:val="TableParagraph"/>
              <w:spacing w:before="23"/>
              <w:ind w:left="217" w:right="203"/>
              <w:jc w:val="center"/>
              <w:rPr>
                <w:sz w:val="16"/>
              </w:rPr>
            </w:pPr>
            <w:r>
              <w:rPr>
                <w:sz w:val="16"/>
              </w:rPr>
              <w:t>0.43</w:t>
            </w:r>
          </w:p>
        </w:tc>
        <w:tc>
          <w:tcPr>
            <w:tcW w:w="1817" w:type="dxa"/>
          </w:tcPr>
          <w:p>
            <w:pPr>
              <w:pStyle w:val="TableParagraph"/>
              <w:spacing w:before="23"/>
              <w:ind w:left="29"/>
              <w:rPr>
                <w:sz w:val="16"/>
              </w:rPr>
            </w:pPr>
            <w:r>
              <w:rPr>
                <w:sz w:val="16"/>
              </w:rPr>
              <w:t>Petitia domingensis</w:t>
            </w:r>
          </w:p>
        </w:tc>
        <w:tc>
          <w:tcPr>
            <w:tcW w:w="1188" w:type="dxa"/>
          </w:tcPr>
          <w:p>
            <w:pPr>
              <w:pStyle w:val="TableParagraph"/>
              <w:spacing w:before="23"/>
              <w:ind w:left="24" w:right="11"/>
              <w:jc w:val="center"/>
              <w:rPr>
                <w:sz w:val="16"/>
              </w:rPr>
            </w:pPr>
            <w:r>
              <w:rPr>
                <w:sz w:val="16"/>
              </w:rPr>
              <w:t>0.66</w:t>
            </w:r>
          </w:p>
        </w:tc>
        <w:tc>
          <w:tcPr>
            <w:tcW w:w="1807" w:type="dxa"/>
          </w:tcPr>
          <w:p>
            <w:pPr>
              <w:pStyle w:val="TableParagraph"/>
              <w:spacing w:before="23"/>
              <w:ind w:left="31"/>
              <w:rPr>
                <w:sz w:val="16"/>
              </w:rPr>
            </w:pPr>
            <w:r>
              <w:rPr>
                <w:sz w:val="16"/>
              </w:rPr>
              <w:t>Symphonia globulifera</w:t>
            </w:r>
          </w:p>
        </w:tc>
        <w:tc>
          <w:tcPr>
            <w:tcW w:w="1190" w:type="dxa"/>
          </w:tcPr>
          <w:p>
            <w:pPr>
              <w:pStyle w:val="TableParagraph"/>
              <w:spacing w:before="23"/>
              <w:ind w:right="408"/>
              <w:jc w:val="right"/>
              <w:rPr>
                <w:sz w:val="16"/>
              </w:rPr>
            </w:pPr>
            <w:r>
              <w:rPr>
                <w:sz w:val="16"/>
              </w:rPr>
              <w:t>0.58”</w:t>
            </w:r>
          </w:p>
        </w:tc>
      </w:tr>
      <w:tr>
        <w:trPr>
          <w:trHeight w:val="244" w:hRule="atLeast"/>
        </w:trPr>
        <w:tc>
          <w:tcPr>
            <w:tcW w:w="1807" w:type="dxa"/>
          </w:tcPr>
          <w:p>
            <w:pPr>
              <w:pStyle w:val="TableParagraph"/>
              <w:spacing w:before="23"/>
              <w:ind w:left="30"/>
              <w:rPr>
                <w:sz w:val="16"/>
              </w:rPr>
            </w:pPr>
            <w:r>
              <w:rPr>
                <w:sz w:val="16"/>
              </w:rPr>
              <w:t>Microcos stylocarpa</w:t>
            </w:r>
          </w:p>
        </w:tc>
        <w:tc>
          <w:tcPr>
            <w:tcW w:w="1207" w:type="dxa"/>
          </w:tcPr>
          <w:p>
            <w:pPr>
              <w:pStyle w:val="TableParagraph"/>
              <w:spacing w:before="23"/>
              <w:ind w:left="217" w:right="205"/>
              <w:jc w:val="center"/>
              <w:rPr>
                <w:sz w:val="16"/>
              </w:rPr>
            </w:pPr>
            <w:r>
              <w:rPr>
                <w:sz w:val="16"/>
              </w:rPr>
              <w:t>0.4</w:t>
            </w:r>
          </w:p>
        </w:tc>
        <w:tc>
          <w:tcPr>
            <w:tcW w:w="1817" w:type="dxa"/>
          </w:tcPr>
          <w:p>
            <w:pPr>
              <w:pStyle w:val="TableParagraph"/>
              <w:spacing w:before="23"/>
              <w:ind w:left="28"/>
              <w:rPr>
                <w:sz w:val="16"/>
              </w:rPr>
            </w:pPr>
            <w:r>
              <w:rPr>
                <w:sz w:val="16"/>
              </w:rPr>
              <w:t>Pinus caribaea</w:t>
            </w:r>
          </w:p>
        </w:tc>
        <w:tc>
          <w:tcPr>
            <w:tcW w:w="1188" w:type="dxa"/>
          </w:tcPr>
          <w:p>
            <w:pPr>
              <w:pStyle w:val="TableParagraph"/>
              <w:spacing w:before="23"/>
              <w:ind w:left="24" w:right="11"/>
              <w:jc w:val="center"/>
              <w:rPr>
                <w:sz w:val="16"/>
              </w:rPr>
            </w:pPr>
            <w:r>
              <w:rPr>
                <w:sz w:val="16"/>
              </w:rPr>
              <w:t>0.51</w:t>
            </w:r>
          </w:p>
        </w:tc>
        <w:tc>
          <w:tcPr>
            <w:tcW w:w="1807" w:type="dxa"/>
          </w:tcPr>
          <w:p>
            <w:pPr>
              <w:pStyle w:val="TableParagraph"/>
              <w:spacing w:before="23"/>
              <w:ind w:left="31"/>
              <w:rPr>
                <w:sz w:val="16"/>
              </w:rPr>
            </w:pPr>
            <w:r>
              <w:rPr>
                <w:sz w:val="16"/>
              </w:rPr>
              <w:t>Syzygium cordatum</w:t>
            </w:r>
          </w:p>
        </w:tc>
        <w:tc>
          <w:tcPr>
            <w:tcW w:w="1190" w:type="dxa"/>
          </w:tcPr>
          <w:p>
            <w:pPr>
              <w:pStyle w:val="TableParagraph"/>
              <w:spacing w:before="23"/>
              <w:ind w:right="401"/>
              <w:jc w:val="right"/>
              <w:rPr>
                <w:sz w:val="16"/>
              </w:rPr>
            </w:pPr>
            <w:r>
              <w:rPr>
                <w:sz w:val="16"/>
              </w:rPr>
              <w:t>0.59*</w:t>
            </w:r>
          </w:p>
        </w:tc>
      </w:tr>
      <w:tr>
        <w:trPr>
          <w:trHeight w:val="244" w:hRule="atLeast"/>
        </w:trPr>
        <w:tc>
          <w:tcPr>
            <w:tcW w:w="1807" w:type="dxa"/>
          </w:tcPr>
          <w:p>
            <w:pPr>
              <w:pStyle w:val="TableParagraph"/>
              <w:spacing w:before="23"/>
              <w:ind w:left="30"/>
              <w:rPr>
                <w:sz w:val="16"/>
              </w:rPr>
            </w:pPr>
            <w:r>
              <w:rPr>
                <w:sz w:val="16"/>
              </w:rPr>
              <w:t>Micromelum compressum</w:t>
            </w:r>
          </w:p>
        </w:tc>
        <w:tc>
          <w:tcPr>
            <w:tcW w:w="1207" w:type="dxa"/>
          </w:tcPr>
          <w:p>
            <w:pPr>
              <w:pStyle w:val="TableParagraph"/>
              <w:spacing w:before="23"/>
              <w:ind w:left="217" w:right="204"/>
              <w:jc w:val="center"/>
              <w:rPr>
                <w:sz w:val="16"/>
              </w:rPr>
            </w:pPr>
            <w:r>
              <w:rPr>
                <w:sz w:val="16"/>
              </w:rPr>
              <w:t>0.64</w:t>
            </w:r>
          </w:p>
        </w:tc>
        <w:tc>
          <w:tcPr>
            <w:tcW w:w="1817" w:type="dxa"/>
          </w:tcPr>
          <w:p>
            <w:pPr>
              <w:pStyle w:val="TableParagraph"/>
              <w:spacing w:before="23"/>
              <w:ind w:left="28"/>
              <w:rPr>
                <w:sz w:val="16"/>
              </w:rPr>
            </w:pPr>
            <w:r>
              <w:rPr>
                <w:sz w:val="16"/>
              </w:rPr>
              <w:t>Pinus oocarpa</w:t>
            </w:r>
          </w:p>
        </w:tc>
        <w:tc>
          <w:tcPr>
            <w:tcW w:w="1188" w:type="dxa"/>
          </w:tcPr>
          <w:p>
            <w:pPr>
              <w:pStyle w:val="TableParagraph"/>
              <w:spacing w:before="23"/>
              <w:ind w:left="24" w:right="11"/>
              <w:jc w:val="center"/>
              <w:rPr>
                <w:sz w:val="16"/>
              </w:rPr>
            </w:pPr>
            <w:r>
              <w:rPr>
                <w:sz w:val="16"/>
              </w:rPr>
              <w:t>0.55</w:t>
            </w:r>
          </w:p>
        </w:tc>
        <w:tc>
          <w:tcPr>
            <w:tcW w:w="1807" w:type="dxa"/>
          </w:tcPr>
          <w:p>
            <w:pPr>
              <w:pStyle w:val="TableParagraph"/>
              <w:spacing w:before="23"/>
              <w:ind w:left="31"/>
              <w:rPr>
                <w:sz w:val="16"/>
              </w:rPr>
            </w:pPr>
            <w:r>
              <w:rPr>
                <w:sz w:val="16"/>
              </w:rPr>
              <w:t>Terminalia superba</w:t>
            </w:r>
          </w:p>
        </w:tc>
        <w:tc>
          <w:tcPr>
            <w:tcW w:w="1190" w:type="dxa"/>
          </w:tcPr>
          <w:p>
            <w:pPr>
              <w:pStyle w:val="TableParagraph"/>
              <w:spacing w:before="23"/>
              <w:ind w:right="443"/>
              <w:jc w:val="right"/>
              <w:rPr>
                <w:sz w:val="16"/>
              </w:rPr>
            </w:pPr>
            <w:r>
              <w:rPr>
                <w:sz w:val="16"/>
              </w:rPr>
              <w:t>0.45</w:t>
            </w:r>
          </w:p>
        </w:tc>
      </w:tr>
      <w:tr>
        <w:trPr>
          <w:trHeight w:val="244" w:hRule="atLeast"/>
        </w:trPr>
        <w:tc>
          <w:tcPr>
            <w:tcW w:w="1807" w:type="dxa"/>
          </w:tcPr>
          <w:p>
            <w:pPr>
              <w:pStyle w:val="TableParagraph"/>
              <w:spacing w:before="23"/>
              <w:ind w:left="30"/>
              <w:rPr>
                <w:sz w:val="16"/>
              </w:rPr>
            </w:pPr>
            <w:r>
              <w:rPr>
                <w:sz w:val="16"/>
              </w:rPr>
              <w:t>Milliusa velutina</w:t>
            </w:r>
          </w:p>
        </w:tc>
        <w:tc>
          <w:tcPr>
            <w:tcW w:w="1207" w:type="dxa"/>
          </w:tcPr>
          <w:p>
            <w:pPr>
              <w:pStyle w:val="TableParagraph"/>
              <w:spacing w:before="23"/>
              <w:ind w:left="217" w:right="205"/>
              <w:jc w:val="center"/>
              <w:rPr>
                <w:sz w:val="16"/>
              </w:rPr>
            </w:pPr>
            <w:r>
              <w:rPr>
                <w:sz w:val="16"/>
              </w:rPr>
              <w:t>0.63</w:t>
            </w:r>
          </w:p>
        </w:tc>
        <w:tc>
          <w:tcPr>
            <w:tcW w:w="1817" w:type="dxa"/>
          </w:tcPr>
          <w:p>
            <w:pPr>
              <w:pStyle w:val="TableParagraph"/>
              <w:spacing w:before="23"/>
              <w:ind w:left="28"/>
              <w:rPr>
                <w:sz w:val="16"/>
              </w:rPr>
            </w:pPr>
            <w:r>
              <w:rPr>
                <w:sz w:val="16"/>
              </w:rPr>
              <w:t>Pinus patula</w:t>
            </w:r>
          </w:p>
        </w:tc>
        <w:tc>
          <w:tcPr>
            <w:tcW w:w="1188" w:type="dxa"/>
          </w:tcPr>
          <w:p>
            <w:pPr>
              <w:pStyle w:val="TableParagraph"/>
              <w:spacing w:before="23"/>
              <w:ind w:left="24" w:right="15"/>
              <w:jc w:val="center"/>
              <w:rPr>
                <w:sz w:val="16"/>
              </w:rPr>
            </w:pPr>
            <w:r>
              <w:rPr>
                <w:sz w:val="16"/>
              </w:rPr>
              <w:t>0.45</w:t>
            </w:r>
          </w:p>
        </w:tc>
        <w:tc>
          <w:tcPr>
            <w:tcW w:w="1807" w:type="dxa"/>
          </w:tcPr>
          <w:p>
            <w:pPr>
              <w:pStyle w:val="TableParagraph"/>
              <w:spacing w:before="23"/>
              <w:ind w:left="29"/>
              <w:rPr>
                <w:sz w:val="16"/>
              </w:rPr>
            </w:pPr>
            <w:r>
              <w:rPr>
                <w:sz w:val="16"/>
              </w:rPr>
              <w:t>Tessmania africana</w:t>
            </w:r>
          </w:p>
        </w:tc>
        <w:tc>
          <w:tcPr>
            <w:tcW w:w="1190" w:type="dxa"/>
          </w:tcPr>
          <w:p>
            <w:pPr>
              <w:pStyle w:val="TableParagraph"/>
              <w:spacing w:before="23"/>
              <w:ind w:right="408"/>
              <w:jc w:val="right"/>
              <w:rPr>
                <w:sz w:val="16"/>
              </w:rPr>
            </w:pPr>
            <w:r>
              <w:rPr>
                <w:sz w:val="16"/>
              </w:rPr>
              <w:t>0.85”</w:t>
            </w:r>
          </w:p>
        </w:tc>
      </w:tr>
      <w:tr>
        <w:trPr>
          <w:trHeight w:val="246" w:hRule="atLeast"/>
        </w:trPr>
        <w:tc>
          <w:tcPr>
            <w:tcW w:w="1807" w:type="dxa"/>
          </w:tcPr>
          <w:p>
            <w:pPr>
              <w:pStyle w:val="TableParagraph"/>
              <w:spacing w:before="23"/>
              <w:ind w:left="30"/>
              <w:rPr>
                <w:sz w:val="16"/>
              </w:rPr>
            </w:pPr>
            <w:r>
              <w:rPr>
                <w:sz w:val="16"/>
              </w:rPr>
              <w:t>Mimusops elengi</w:t>
            </w:r>
          </w:p>
        </w:tc>
        <w:tc>
          <w:tcPr>
            <w:tcW w:w="1207" w:type="dxa"/>
          </w:tcPr>
          <w:p>
            <w:pPr>
              <w:pStyle w:val="TableParagraph"/>
              <w:spacing w:before="23"/>
              <w:ind w:left="217" w:right="206"/>
              <w:jc w:val="center"/>
              <w:rPr>
                <w:sz w:val="16"/>
              </w:rPr>
            </w:pPr>
            <w:r>
              <w:rPr>
                <w:sz w:val="16"/>
              </w:rPr>
              <w:t>0.72*</w:t>
            </w:r>
          </w:p>
        </w:tc>
        <w:tc>
          <w:tcPr>
            <w:tcW w:w="1817" w:type="dxa"/>
          </w:tcPr>
          <w:p>
            <w:pPr>
              <w:pStyle w:val="TableParagraph"/>
              <w:spacing w:before="23"/>
              <w:ind w:left="28"/>
              <w:rPr>
                <w:sz w:val="16"/>
              </w:rPr>
            </w:pPr>
            <w:r>
              <w:rPr>
                <w:sz w:val="16"/>
              </w:rPr>
              <w:t>Piptadenia sp.</w:t>
            </w:r>
          </w:p>
        </w:tc>
        <w:tc>
          <w:tcPr>
            <w:tcW w:w="1188" w:type="dxa"/>
          </w:tcPr>
          <w:p>
            <w:pPr>
              <w:pStyle w:val="TableParagraph"/>
              <w:spacing w:before="23"/>
              <w:ind w:left="24" w:right="12"/>
              <w:jc w:val="center"/>
              <w:rPr>
                <w:sz w:val="16"/>
              </w:rPr>
            </w:pPr>
            <w:r>
              <w:rPr>
                <w:sz w:val="16"/>
              </w:rPr>
              <w:t>0.58</w:t>
            </w:r>
          </w:p>
        </w:tc>
        <w:tc>
          <w:tcPr>
            <w:tcW w:w="1807" w:type="dxa"/>
          </w:tcPr>
          <w:p>
            <w:pPr>
              <w:pStyle w:val="TableParagraph"/>
              <w:spacing w:before="23"/>
              <w:ind w:left="30"/>
              <w:rPr>
                <w:sz w:val="16"/>
              </w:rPr>
            </w:pPr>
            <w:r>
              <w:rPr>
                <w:sz w:val="16"/>
              </w:rPr>
              <w:t>Testulea gabonensis</w:t>
            </w:r>
          </w:p>
        </w:tc>
        <w:tc>
          <w:tcPr>
            <w:tcW w:w="1190" w:type="dxa"/>
          </w:tcPr>
          <w:p>
            <w:pPr>
              <w:pStyle w:val="TableParagraph"/>
              <w:spacing w:before="23"/>
              <w:ind w:right="486"/>
              <w:jc w:val="right"/>
              <w:rPr>
                <w:sz w:val="16"/>
              </w:rPr>
            </w:pPr>
            <w:r>
              <w:rPr>
                <w:sz w:val="16"/>
              </w:rPr>
              <w:t>0.6</w:t>
            </w:r>
          </w:p>
        </w:tc>
      </w:tr>
      <w:tr>
        <w:trPr>
          <w:trHeight w:val="244" w:hRule="atLeast"/>
        </w:trPr>
        <w:tc>
          <w:tcPr>
            <w:tcW w:w="1807" w:type="dxa"/>
          </w:tcPr>
          <w:p>
            <w:pPr>
              <w:pStyle w:val="TableParagraph"/>
              <w:spacing w:before="23"/>
              <w:ind w:left="30"/>
              <w:rPr>
                <w:sz w:val="16"/>
              </w:rPr>
            </w:pPr>
            <w:r>
              <w:rPr>
                <w:sz w:val="16"/>
              </w:rPr>
              <w:t>Mitragyna parviflora</w:t>
            </w:r>
          </w:p>
        </w:tc>
        <w:tc>
          <w:tcPr>
            <w:tcW w:w="1207" w:type="dxa"/>
          </w:tcPr>
          <w:p>
            <w:pPr>
              <w:pStyle w:val="TableParagraph"/>
              <w:spacing w:before="23"/>
              <w:ind w:left="217" w:right="204"/>
              <w:jc w:val="center"/>
              <w:rPr>
                <w:sz w:val="16"/>
              </w:rPr>
            </w:pPr>
            <w:r>
              <w:rPr>
                <w:sz w:val="16"/>
              </w:rPr>
              <w:t>0.56</w:t>
            </w:r>
          </w:p>
        </w:tc>
        <w:tc>
          <w:tcPr>
            <w:tcW w:w="1817" w:type="dxa"/>
          </w:tcPr>
          <w:p>
            <w:pPr>
              <w:pStyle w:val="TableParagraph"/>
              <w:spacing w:before="23"/>
              <w:ind w:left="29"/>
              <w:rPr>
                <w:sz w:val="16"/>
              </w:rPr>
            </w:pPr>
            <w:r>
              <w:rPr>
                <w:sz w:val="16"/>
              </w:rPr>
              <w:t>Piranhea longepedunculata</w:t>
            </w:r>
          </w:p>
        </w:tc>
        <w:tc>
          <w:tcPr>
            <w:tcW w:w="1188" w:type="dxa"/>
          </w:tcPr>
          <w:p>
            <w:pPr>
              <w:pStyle w:val="TableParagraph"/>
              <w:spacing w:before="23"/>
              <w:ind w:left="24" w:right="13"/>
              <w:jc w:val="center"/>
              <w:rPr>
                <w:sz w:val="16"/>
              </w:rPr>
            </w:pPr>
            <w:r>
              <w:rPr>
                <w:sz w:val="16"/>
              </w:rPr>
              <w:t>0.9</w:t>
            </w:r>
          </w:p>
        </w:tc>
        <w:tc>
          <w:tcPr>
            <w:tcW w:w="1807" w:type="dxa"/>
          </w:tcPr>
          <w:p>
            <w:pPr>
              <w:pStyle w:val="TableParagraph"/>
              <w:spacing w:before="23"/>
              <w:ind w:left="30"/>
              <w:rPr>
                <w:sz w:val="16"/>
              </w:rPr>
            </w:pPr>
            <w:r>
              <w:rPr>
                <w:sz w:val="16"/>
              </w:rPr>
              <w:t>Tetraberlinia tubmaniana</w:t>
            </w:r>
          </w:p>
        </w:tc>
        <w:tc>
          <w:tcPr>
            <w:tcW w:w="1190" w:type="dxa"/>
          </w:tcPr>
          <w:p>
            <w:pPr>
              <w:pStyle w:val="TableParagraph"/>
              <w:spacing w:before="23"/>
              <w:ind w:right="408"/>
              <w:jc w:val="right"/>
              <w:rPr>
                <w:sz w:val="16"/>
              </w:rPr>
            </w:pPr>
            <w:r>
              <w:rPr>
                <w:sz w:val="16"/>
              </w:rPr>
              <w:t>0.60”</w:t>
            </w:r>
          </w:p>
        </w:tc>
      </w:tr>
      <w:tr>
        <w:trPr>
          <w:trHeight w:val="244" w:hRule="atLeast"/>
        </w:trPr>
        <w:tc>
          <w:tcPr>
            <w:tcW w:w="1807" w:type="dxa"/>
          </w:tcPr>
          <w:p>
            <w:pPr>
              <w:pStyle w:val="TableParagraph"/>
              <w:spacing w:before="23"/>
              <w:ind w:left="30"/>
              <w:rPr>
                <w:sz w:val="16"/>
              </w:rPr>
            </w:pPr>
            <w:r>
              <w:rPr>
                <w:sz w:val="16"/>
              </w:rPr>
              <w:t>Myristica spp.</w:t>
            </w:r>
          </w:p>
        </w:tc>
        <w:tc>
          <w:tcPr>
            <w:tcW w:w="1207" w:type="dxa"/>
          </w:tcPr>
          <w:p>
            <w:pPr>
              <w:pStyle w:val="TableParagraph"/>
              <w:spacing w:before="23"/>
              <w:ind w:left="217" w:right="205"/>
              <w:jc w:val="center"/>
              <w:rPr>
                <w:sz w:val="16"/>
              </w:rPr>
            </w:pPr>
            <w:r>
              <w:rPr>
                <w:sz w:val="16"/>
              </w:rPr>
              <w:t>0.53</w:t>
            </w:r>
          </w:p>
        </w:tc>
        <w:tc>
          <w:tcPr>
            <w:tcW w:w="1817" w:type="dxa"/>
          </w:tcPr>
          <w:p>
            <w:pPr>
              <w:pStyle w:val="TableParagraph"/>
              <w:spacing w:before="23"/>
              <w:ind w:left="28"/>
              <w:rPr>
                <w:sz w:val="16"/>
              </w:rPr>
            </w:pPr>
            <w:r>
              <w:rPr>
                <w:sz w:val="16"/>
              </w:rPr>
              <w:t>Piratinera guianensis</w:t>
            </w:r>
          </w:p>
        </w:tc>
        <w:tc>
          <w:tcPr>
            <w:tcW w:w="1188" w:type="dxa"/>
          </w:tcPr>
          <w:p>
            <w:pPr>
              <w:pStyle w:val="TableParagraph"/>
              <w:spacing w:before="23"/>
              <w:ind w:left="24" w:right="15"/>
              <w:jc w:val="center"/>
              <w:rPr>
                <w:sz w:val="16"/>
              </w:rPr>
            </w:pPr>
            <w:r>
              <w:rPr>
                <w:sz w:val="16"/>
              </w:rPr>
              <w:t>0.96</w:t>
            </w:r>
          </w:p>
        </w:tc>
        <w:tc>
          <w:tcPr>
            <w:tcW w:w="1807" w:type="dxa"/>
          </w:tcPr>
          <w:p>
            <w:pPr>
              <w:pStyle w:val="TableParagraph"/>
              <w:spacing w:before="23"/>
              <w:ind w:left="29"/>
              <w:rPr>
                <w:sz w:val="16"/>
              </w:rPr>
            </w:pPr>
            <w:r>
              <w:rPr>
                <w:sz w:val="16"/>
              </w:rPr>
              <w:t>Tetrapleura tetraptera</w:t>
            </w:r>
          </w:p>
        </w:tc>
        <w:tc>
          <w:tcPr>
            <w:tcW w:w="1190" w:type="dxa"/>
          </w:tcPr>
          <w:p>
            <w:pPr>
              <w:pStyle w:val="TableParagraph"/>
              <w:spacing w:before="23"/>
              <w:ind w:right="409"/>
              <w:jc w:val="right"/>
              <w:rPr>
                <w:sz w:val="16"/>
              </w:rPr>
            </w:pPr>
            <w:r>
              <w:rPr>
                <w:sz w:val="16"/>
              </w:rPr>
              <w:t>0.50”</w:t>
            </w:r>
          </w:p>
        </w:tc>
      </w:tr>
      <w:tr>
        <w:trPr>
          <w:trHeight w:val="359" w:hRule="atLeast"/>
        </w:trPr>
        <w:tc>
          <w:tcPr>
            <w:tcW w:w="1807" w:type="dxa"/>
          </w:tcPr>
          <w:p>
            <w:pPr>
              <w:pStyle w:val="TableParagraph"/>
              <w:spacing w:before="81"/>
              <w:ind w:left="30"/>
              <w:rPr>
                <w:sz w:val="16"/>
              </w:rPr>
            </w:pPr>
            <w:r>
              <w:rPr>
                <w:sz w:val="16"/>
              </w:rPr>
              <w:t>Neesia spp.</w:t>
            </w:r>
          </w:p>
        </w:tc>
        <w:tc>
          <w:tcPr>
            <w:tcW w:w="1207" w:type="dxa"/>
          </w:tcPr>
          <w:p>
            <w:pPr>
              <w:pStyle w:val="TableParagraph"/>
              <w:spacing w:before="81"/>
              <w:ind w:left="217" w:right="205"/>
              <w:jc w:val="center"/>
              <w:rPr>
                <w:sz w:val="16"/>
              </w:rPr>
            </w:pPr>
            <w:r>
              <w:rPr>
                <w:sz w:val="16"/>
              </w:rPr>
              <w:t>0.53</w:t>
            </w:r>
          </w:p>
        </w:tc>
        <w:tc>
          <w:tcPr>
            <w:tcW w:w="1817" w:type="dxa"/>
          </w:tcPr>
          <w:p>
            <w:pPr>
              <w:pStyle w:val="TableParagraph"/>
              <w:spacing w:line="178" w:lineRule="exact"/>
              <w:ind w:left="28"/>
              <w:rPr>
                <w:sz w:val="16"/>
              </w:rPr>
            </w:pPr>
            <w:r>
              <w:rPr>
                <w:sz w:val="16"/>
              </w:rPr>
              <w:t>Pithecellobium guachapele</w:t>
            </w:r>
          </w:p>
          <w:p>
            <w:pPr>
              <w:pStyle w:val="TableParagraph"/>
              <w:spacing w:line="160" w:lineRule="exact" w:before="1"/>
              <w:ind w:left="28"/>
              <w:rPr>
                <w:sz w:val="16"/>
              </w:rPr>
            </w:pPr>
            <w:r>
              <w:rPr>
                <w:sz w:val="16"/>
              </w:rPr>
              <w:t>(syn. Pseudosamea)</w:t>
            </w:r>
          </w:p>
        </w:tc>
        <w:tc>
          <w:tcPr>
            <w:tcW w:w="1188" w:type="dxa"/>
          </w:tcPr>
          <w:p>
            <w:pPr>
              <w:pStyle w:val="TableParagraph"/>
              <w:spacing w:before="81"/>
              <w:ind w:left="24" w:right="13"/>
              <w:jc w:val="center"/>
              <w:rPr>
                <w:sz w:val="16"/>
              </w:rPr>
            </w:pPr>
            <w:r>
              <w:rPr>
                <w:sz w:val="16"/>
              </w:rPr>
              <w:t>0.56</w:t>
            </w:r>
          </w:p>
        </w:tc>
        <w:tc>
          <w:tcPr>
            <w:tcW w:w="1807" w:type="dxa"/>
          </w:tcPr>
          <w:p>
            <w:pPr>
              <w:pStyle w:val="TableParagraph"/>
              <w:spacing w:before="81"/>
              <w:ind w:left="30"/>
              <w:rPr>
                <w:sz w:val="16"/>
              </w:rPr>
            </w:pPr>
            <w:r>
              <w:rPr>
                <w:sz w:val="16"/>
              </w:rPr>
              <w:t>Tieghemella heckelii</w:t>
            </w:r>
          </w:p>
        </w:tc>
        <w:tc>
          <w:tcPr>
            <w:tcW w:w="1190" w:type="dxa"/>
          </w:tcPr>
          <w:p>
            <w:pPr>
              <w:pStyle w:val="TableParagraph"/>
              <w:spacing w:before="81"/>
              <w:ind w:right="408"/>
              <w:jc w:val="right"/>
              <w:rPr>
                <w:sz w:val="16"/>
              </w:rPr>
            </w:pPr>
            <w:r>
              <w:rPr>
                <w:sz w:val="16"/>
              </w:rPr>
              <w:t>0.55”</w:t>
            </w:r>
          </w:p>
        </w:tc>
      </w:tr>
      <w:tr>
        <w:trPr>
          <w:trHeight w:val="218" w:hRule="atLeast"/>
        </w:trPr>
        <w:tc>
          <w:tcPr>
            <w:tcW w:w="1807" w:type="dxa"/>
          </w:tcPr>
          <w:p>
            <w:pPr>
              <w:pStyle w:val="TableParagraph"/>
              <w:spacing w:before="11"/>
              <w:ind w:left="30"/>
              <w:rPr>
                <w:sz w:val="16"/>
              </w:rPr>
            </w:pPr>
            <w:r>
              <w:rPr>
                <w:sz w:val="16"/>
              </w:rPr>
              <w:t>Neonauclea bernardoi</w:t>
            </w:r>
          </w:p>
        </w:tc>
        <w:tc>
          <w:tcPr>
            <w:tcW w:w="1207" w:type="dxa"/>
          </w:tcPr>
          <w:p>
            <w:pPr>
              <w:pStyle w:val="TableParagraph"/>
              <w:spacing w:before="11"/>
              <w:ind w:left="217" w:right="205"/>
              <w:jc w:val="center"/>
              <w:rPr>
                <w:sz w:val="16"/>
              </w:rPr>
            </w:pPr>
            <w:r>
              <w:rPr>
                <w:sz w:val="16"/>
              </w:rPr>
              <w:t>0.62</w:t>
            </w:r>
          </w:p>
        </w:tc>
        <w:tc>
          <w:tcPr>
            <w:tcW w:w="1817" w:type="dxa"/>
          </w:tcPr>
          <w:p>
            <w:pPr>
              <w:pStyle w:val="TableParagraph"/>
              <w:spacing w:before="11"/>
              <w:ind w:left="28"/>
              <w:rPr>
                <w:sz w:val="16"/>
              </w:rPr>
            </w:pPr>
            <w:r>
              <w:rPr>
                <w:sz w:val="16"/>
              </w:rPr>
              <w:t>Platonia insignis</w:t>
            </w:r>
          </w:p>
        </w:tc>
        <w:tc>
          <w:tcPr>
            <w:tcW w:w="1188" w:type="dxa"/>
          </w:tcPr>
          <w:p>
            <w:pPr>
              <w:pStyle w:val="TableParagraph"/>
              <w:spacing w:before="11"/>
              <w:ind w:left="24" w:right="10"/>
              <w:jc w:val="center"/>
              <w:rPr>
                <w:sz w:val="16"/>
              </w:rPr>
            </w:pPr>
            <w:r>
              <w:rPr>
                <w:sz w:val="16"/>
              </w:rPr>
              <w:t>0.70’</w:t>
            </w:r>
          </w:p>
        </w:tc>
        <w:tc>
          <w:tcPr>
            <w:tcW w:w="1807" w:type="dxa"/>
          </w:tcPr>
          <w:p>
            <w:pPr>
              <w:pStyle w:val="TableParagraph"/>
              <w:spacing w:before="11"/>
              <w:ind w:left="30"/>
              <w:rPr>
                <w:sz w:val="16"/>
              </w:rPr>
            </w:pPr>
            <w:r>
              <w:rPr>
                <w:sz w:val="16"/>
              </w:rPr>
              <w:t>Trema sp.</w:t>
            </w:r>
          </w:p>
        </w:tc>
        <w:tc>
          <w:tcPr>
            <w:tcW w:w="1190" w:type="dxa"/>
          </w:tcPr>
          <w:p>
            <w:pPr>
              <w:pStyle w:val="TableParagraph"/>
              <w:spacing w:before="11"/>
              <w:ind w:right="401"/>
              <w:jc w:val="right"/>
              <w:rPr>
                <w:sz w:val="16"/>
              </w:rPr>
            </w:pPr>
            <w:r>
              <w:rPr>
                <w:sz w:val="16"/>
              </w:rPr>
              <w:t>0.40*</w:t>
            </w:r>
          </w:p>
        </w:tc>
      </w:tr>
      <w:tr>
        <w:trPr>
          <w:trHeight w:val="215" w:hRule="atLeast"/>
        </w:trPr>
        <w:tc>
          <w:tcPr>
            <w:tcW w:w="1807" w:type="dxa"/>
          </w:tcPr>
          <w:p>
            <w:pPr>
              <w:pStyle w:val="TableParagraph"/>
              <w:spacing w:before="11"/>
              <w:ind w:left="30"/>
              <w:rPr>
                <w:sz w:val="16"/>
              </w:rPr>
            </w:pPr>
            <w:r>
              <w:rPr>
                <w:sz w:val="16"/>
              </w:rPr>
              <w:t>Neotrewia cumingii</w:t>
            </w:r>
          </w:p>
        </w:tc>
        <w:tc>
          <w:tcPr>
            <w:tcW w:w="1207" w:type="dxa"/>
          </w:tcPr>
          <w:p>
            <w:pPr>
              <w:pStyle w:val="TableParagraph"/>
              <w:spacing w:before="11"/>
              <w:ind w:left="217" w:right="205"/>
              <w:jc w:val="center"/>
              <w:rPr>
                <w:sz w:val="16"/>
              </w:rPr>
            </w:pPr>
            <w:r>
              <w:rPr>
                <w:sz w:val="16"/>
              </w:rPr>
              <w:t>0.55</w:t>
            </w:r>
          </w:p>
        </w:tc>
        <w:tc>
          <w:tcPr>
            <w:tcW w:w="1817" w:type="dxa"/>
          </w:tcPr>
          <w:p>
            <w:pPr>
              <w:pStyle w:val="TableParagraph"/>
              <w:spacing w:before="11"/>
              <w:ind w:left="28"/>
              <w:rPr>
                <w:sz w:val="16"/>
              </w:rPr>
            </w:pPr>
            <w:r>
              <w:rPr>
                <w:sz w:val="16"/>
              </w:rPr>
              <w:t>Platymiscium spp.</w:t>
            </w:r>
          </w:p>
        </w:tc>
        <w:tc>
          <w:tcPr>
            <w:tcW w:w="1188" w:type="dxa"/>
          </w:tcPr>
          <w:p>
            <w:pPr>
              <w:pStyle w:val="TableParagraph"/>
              <w:spacing w:before="11"/>
              <w:ind w:left="24" w:right="16"/>
              <w:jc w:val="center"/>
              <w:rPr>
                <w:sz w:val="16"/>
              </w:rPr>
            </w:pPr>
            <w:r>
              <w:rPr>
                <w:sz w:val="16"/>
              </w:rPr>
              <w:t>0.71, 0.84+</w:t>
            </w:r>
          </w:p>
        </w:tc>
        <w:tc>
          <w:tcPr>
            <w:tcW w:w="1807" w:type="dxa"/>
          </w:tcPr>
          <w:p>
            <w:pPr>
              <w:pStyle w:val="TableParagraph"/>
              <w:spacing w:before="11"/>
              <w:ind w:left="30"/>
              <w:rPr>
                <w:sz w:val="16"/>
              </w:rPr>
            </w:pPr>
            <w:r>
              <w:rPr>
                <w:sz w:val="16"/>
              </w:rPr>
              <w:t>Trichilia prieureana</w:t>
            </w:r>
          </w:p>
        </w:tc>
        <w:tc>
          <w:tcPr>
            <w:tcW w:w="1190" w:type="dxa"/>
          </w:tcPr>
          <w:p>
            <w:pPr>
              <w:pStyle w:val="TableParagraph"/>
              <w:spacing w:before="11"/>
              <w:ind w:right="409"/>
              <w:jc w:val="right"/>
              <w:rPr>
                <w:sz w:val="16"/>
              </w:rPr>
            </w:pPr>
            <w:r>
              <w:rPr>
                <w:sz w:val="16"/>
              </w:rPr>
              <w:t>0.63”</w:t>
            </w:r>
          </w:p>
        </w:tc>
      </w:tr>
      <w:tr>
        <w:trPr>
          <w:trHeight w:val="218" w:hRule="atLeast"/>
        </w:trPr>
        <w:tc>
          <w:tcPr>
            <w:tcW w:w="1807" w:type="dxa"/>
          </w:tcPr>
          <w:p>
            <w:pPr>
              <w:pStyle w:val="TableParagraph"/>
              <w:spacing w:before="11"/>
              <w:ind w:left="30"/>
              <w:rPr>
                <w:sz w:val="16"/>
              </w:rPr>
            </w:pPr>
            <w:r>
              <w:rPr>
                <w:sz w:val="16"/>
              </w:rPr>
              <w:t>Ochna foxworthyi</w:t>
            </w:r>
          </w:p>
        </w:tc>
        <w:tc>
          <w:tcPr>
            <w:tcW w:w="1207" w:type="dxa"/>
          </w:tcPr>
          <w:p>
            <w:pPr>
              <w:pStyle w:val="TableParagraph"/>
              <w:spacing w:before="11"/>
              <w:ind w:left="217" w:right="205"/>
              <w:jc w:val="center"/>
              <w:rPr>
                <w:sz w:val="16"/>
              </w:rPr>
            </w:pPr>
            <w:r>
              <w:rPr>
                <w:sz w:val="16"/>
              </w:rPr>
              <w:t>0.86</w:t>
            </w:r>
          </w:p>
        </w:tc>
        <w:tc>
          <w:tcPr>
            <w:tcW w:w="1817" w:type="dxa"/>
          </w:tcPr>
          <w:p>
            <w:pPr>
              <w:pStyle w:val="TableParagraph"/>
              <w:spacing w:before="11"/>
              <w:ind w:left="28"/>
              <w:rPr>
                <w:sz w:val="16"/>
              </w:rPr>
            </w:pPr>
            <w:r>
              <w:rPr>
                <w:sz w:val="16"/>
              </w:rPr>
              <w:t>Podocarpus spp.</w:t>
            </w:r>
          </w:p>
        </w:tc>
        <w:tc>
          <w:tcPr>
            <w:tcW w:w="1188" w:type="dxa"/>
          </w:tcPr>
          <w:p>
            <w:pPr>
              <w:pStyle w:val="TableParagraph"/>
              <w:spacing w:before="11"/>
              <w:ind w:left="24" w:right="13"/>
              <w:jc w:val="center"/>
              <w:rPr>
                <w:sz w:val="16"/>
              </w:rPr>
            </w:pPr>
            <w:r>
              <w:rPr>
                <w:sz w:val="16"/>
              </w:rPr>
              <w:t>0.46</w:t>
            </w:r>
          </w:p>
        </w:tc>
        <w:tc>
          <w:tcPr>
            <w:tcW w:w="1807" w:type="dxa"/>
          </w:tcPr>
          <w:p>
            <w:pPr>
              <w:pStyle w:val="TableParagraph"/>
              <w:spacing w:before="11"/>
              <w:ind w:left="30"/>
              <w:rPr>
                <w:sz w:val="16"/>
              </w:rPr>
            </w:pPr>
            <w:r>
              <w:rPr>
                <w:sz w:val="16"/>
              </w:rPr>
              <w:t>Trichoscypha arborea</w:t>
            </w:r>
          </w:p>
        </w:tc>
        <w:tc>
          <w:tcPr>
            <w:tcW w:w="1190" w:type="dxa"/>
          </w:tcPr>
          <w:p>
            <w:pPr>
              <w:pStyle w:val="TableParagraph"/>
              <w:spacing w:before="11"/>
              <w:ind w:right="408"/>
              <w:jc w:val="right"/>
              <w:rPr>
                <w:sz w:val="16"/>
              </w:rPr>
            </w:pPr>
            <w:r>
              <w:rPr>
                <w:sz w:val="16"/>
              </w:rPr>
              <w:t>0.59”</w:t>
            </w:r>
          </w:p>
        </w:tc>
      </w:tr>
      <w:tr>
        <w:trPr>
          <w:trHeight w:val="215" w:hRule="atLeast"/>
        </w:trPr>
        <w:tc>
          <w:tcPr>
            <w:tcW w:w="1807" w:type="dxa"/>
          </w:tcPr>
          <w:p>
            <w:pPr>
              <w:pStyle w:val="TableParagraph"/>
              <w:spacing w:before="11"/>
              <w:ind w:left="30"/>
              <w:rPr>
                <w:sz w:val="16"/>
              </w:rPr>
            </w:pPr>
            <w:r>
              <w:rPr>
                <w:sz w:val="16"/>
              </w:rPr>
              <w:t>Ochroma pyramidale</w:t>
            </w:r>
          </w:p>
        </w:tc>
        <w:tc>
          <w:tcPr>
            <w:tcW w:w="1207" w:type="dxa"/>
          </w:tcPr>
          <w:p>
            <w:pPr>
              <w:pStyle w:val="TableParagraph"/>
              <w:spacing w:before="11"/>
              <w:ind w:left="217" w:right="205"/>
              <w:jc w:val="center"/>
              <w:rPr>
                <w:sz w:val="16"/>
              </w:rPr>
            </w:pPr>
            <w:r>
              <w:rPr>
                <w:sz w:val="16"/>
              </w:rPr>
              <w:t>0.3</w:t>
            </w:r>
          </w:p>
        </w:tc>
        <w:tc>
          <w:tcPr>
            <w:tcW w:w="1817" w:type="dxa"/>
          </w:tcPr>
          <w:p>
            <w:pPr>
              <w:pStyle w:val="TableParagraph"/>
              <w:spacing w:before="11"/>
              <w:ind w:left="29"/>
              <w:rPr>
                <w:sz w:val="16"/>
              </w:rPr>
            </w:pPr>
            <w:r>
              <w:rPr>
                <w:sz w:val="16"/>
              </w:rPr>
              <w:t>Pourouma aff. melinonii</w:t>
            </w:r>
          </w:p>
        </w:tc>
        <w:tc>
          <w:tcPr>
            <w:tcW w:w="1188" w:type="dxa"/>
          </w:tcPr>
          <w:p>
            <w:pPr>
              <w:pStyle w:val="TableParagraph"/>
              <w:spacing w:before="11"/>
              <w:ind w:left="24" w:right="12"/>
              <w:jc w:val="center"/>
              <w:rPr>
                <w:sz w:val="16"/>
              </w:rPr>
            </w:pPr>
            <w:r>
              <w:rPr>
                <w:sz w:val="16"/>
              </w:rPr>
              <w:t>0.32</w:t>
            </w:r>
          </w:p>
        </w:tc>
        <w:tc>
          <w:tcPr>
            <w:tcW w:w="1807" w:type="dxa"/>
          </w:tcPr>
          <w:p>
            <w:pPr>
              <w:pStyle w:val="TableParagraph"/>
              <w:spacing w:before="11"/>
              <w:ind w:left="30"/>
              <w:rPr>
                <w:sz w:val="16"/>
              </w:rPr>
            </w:pPr>
            <w:r>
              <w:rPr>
                <w:sz w:val="16"/>
              </w:rPr>
              <w:t>Triplochiton scleroxylon.</w:t>
            </w:r>
          </w:p>
        </w:tc>
        <w:tc>
          <w:tcPr>
            <w:tcW w:w="1190" w:type="dxa"/>
          </w:tcPr>
          <w:p>
            <w:pPr>
              <w:pStyle w:val="TableParagraph"/>
              <w:spacing w:before="11"/>
              <w:ind w:right="443"/>
              <w:jc w:val="right"/>
              <w:rPr>
                <w:sz w:val="16"/>
              </w:rPr>
            </w:pPr>
            <w:r>
              <w:rPr>
                <w:sz w:val="16"/>
              </w:rPr>
              <w:t>0.32</w:t>
            </w:r>
          </w:p>
        </w:tc>
      </w:tr>
      <w:tr>
        <w:trPr>
          <w:trHeight w:val="217" w:hRule="atLeast"/>
        </w:trPr>
        <w:tc>
          <w:tcPr>
            <w:tcW w:w="1807" w:type="dxa"/>
          </w:tcPr>
          <w:p>
            <w:pPr>
              <w:pStyle w:val="TableParagraph"/>
              <w:spacing w:before="11"/>
              <w:ind w:left="30"/>
              <w:rPr>
                <w:sz w:val="16"/>
              </w:rPr>
            </w:pPr>
            <w:r>
              <w:rPr>
                <w:sz w:val="16"/>
              </w:rPr>
              <w:t>Octomeles sumatrana</w:t>
            </w:r>
          </w:p>
        </w:tc>
        <w:tc>
          <w:tcPr>
            <w:tcW w:w="1207" w:type="dxa"/>
          </w:tcPr>
          <w:p>
            <w:pPr>
              <w:pStyle w:val="TableParagraph"/>
              <w:spacing w:before="11"/>
              <w:ind w:left="217" w:right="208"/>
              <w:jc w:val="center"/>
              <w:rPr>
                <w:sz w:val="16"/>
              </w:rPr>
            </w:pPr>
            <w:r>
              <w:rPr>
                <w:sz w:val="16"/>
              </w:rPr>
              <w:t>0.27, 0.32+</w:t>
            </w:r>
          </w:p>
        </w:tc>
        <w:tc>
          <w:tcPr>
            <w:tcW w:w="1817" w:type="dxa"/>
          </w:tcPr>
          <w:p>
            <w:pPr>
              <w:pStyle w:val="TableParagraph"/>
              <w:spacing w:before="11"/>
              <w:ind w:left="29"/>
              <w:rPr>
                <w:sz w:val="16"/>
              </w:rPr>
            </w:pPr>
            <w:r>
              <w:rPr>
                <w:sz w:val="16"/>
              </w:rPr>
              <w:t>Pouteria spp.</w:t>
            </w:r>
          </w:p>
        </w:tc>
        <w:tc>
          <w:tcPr>
            <w:tcW w:w="1188" w:type="dxa"/>
          </w:tcPr>
          <w:p>
            <w:pPr>
              <w:pStyle w:val="TableParagraph"/>
              <w:spacing w:before="11"/>
              <w:ind w:left="24" w:right="15"/>
              <w:jc w:val="center"/>
              <w:rPr>
                <w:sz w:val="16"/>
              </w:rPr>
            </w:pPr>
            <w:r>
              <w:rPr>
                <w:sz w:val="16"/>
              </w:rPr>
              <w:t>0.64, 0.67+</w:t>
            </w:r>
          </w:p>
        </w:tc>
        <w:tc>
          <w:tcPr>
            <w:tcW w:w="1807" w:type="dxa"/>
          </w:tcPr>
          <w:p>
            <w:pPr>
              <w:pStyle w:val="TableParagraph"/>
              <w:spacing w:before="11"/>
              <w:ind w:left="31"/>
              <w:rPr>
                <w:sz w:val="16"/>
              </w:rPr>
            </w:pPr>
            <w:r>
              <w:rPr>
                <w:sz w:val="16"/>
              </w:rPr>
              <w:t>Uapaca spp.</w:t>
            </w:r>
          </w:p>
        </w:tc>
        <w:tc>
          <w:tcPr>
            <w:tcW w:w="1190" w:type="dxa"/>
          </w:tcPr>
          <w:p>
            <w:pPr>
              <w:pStyle w:val="TableParagraph"/>
              <w:spacing w:before="11"/>
              <w:ind w:right="484"/>
              <w:jc w:val="right"/>
              <w:rPr>
                <w:sz w:val="16"/>
              </w:rPr>
            </w:pPr>
            <w:r>
              <w:rPr>
                <w:sz w:val="16"/>
              </w:rPr>
              <w:t>0.6</w:t>
            </w:r>
          </w:p>
        </w:tc>
      </w:tr>
      <w:tr>
        <w:trPr>
          <w:trHeight w:val="215" w:hRule="atLeast"/>
        </w:trPr>
        <w:tc>
          <w:tcPr>
            <w:tcW w:w="1807" w:type="dxa"/>
          </w:tcPr>
          <w:p>
            <w:pPr>
              <w:pStyle w:val="TableParagraph"/>
              <w:spacing w:before="11"/>
              <w:ind w:left="30"/>
              <w:rPr>
                <w:sz w:val="16"/>
              </w:rPr>
            </w:pPr>
            <w:r>
              <w:rPr>
                <w:sz w:val="16"/>
              </w:rPr>
              <w:t>Oroxylon indicum</w:t>
            </w:r>
          </w:p>
        </w:tc>
        <w:tc>
          <w:tcPr>
            <w:tcW w:w="1207" w:type="dxa"/>
          </w:tcPr>
          <w:p>
            <w:pPr>
              <w:pStyle w:val="TableParagraph"/>
              <w:spacing w:before="11"/>
              <w:ind w:left="217" w:right="206"/>
              <w:jc w:val="center"/>
              <w:rPr>
                <w:sz w:val="16"/>
              </w:rPr>
            </w:pPr>
            <w:r>
              <w:rPr>
                <w:sz w:val="16"/>
              </w:rPr>
              <w:t>0.32</w:t>
            </w:r>
          </w:p>
        </w:tc>
        <w:tc>
          <w:tcPr>
            <w:tcW w:w="1817" w:type="dxa"/>
          </w:tcPr>
          <w:p>
            <w:pPr>
              <w:pStyle w:val="TableParagraph"/>
              <w:spacing w:before="11"/>
              <w:ind w:left="27"/>
              <w:rPr>
                <w:sz w:val="16"/>
              </w:rPr>
            </w:pPr>
            <w:r>
              <w:rPr>
                <w:sz w:val="16"/>
              </w:rPr>
              <w:t>Prioria copaifera</w:t>
            </w:r>
          </w:p>
        </w:tc>
        <w:tc>
          <w:tcPr>
            <w:tcW w:w="1188" w:type="dxa"/>
          </w:tcPr>
          <w:p>
            <w:pPr>
              <w:pStyle w:val="TableParagraph"/>
              <w:spacing w:before="11"/>
              <w:ind w:left="24" w:right="9"/>
              <w:jc w:val="center"/>
              <w:rPr>
                <w:sz w:val="16"/>
              </w:rPr>
            </w:pPr>
            <w:r>
              <w:rPr>
                <w:sz w:val="16"/>
              </w:rPr>
              <w:t>0.40,0.41+</w:t>
            </w:r>
          </w:p>
        </w:tc>
        <w:tc>
          <w:tcPr>
            <w:tcW w:w="1807" w:type="dxa"/>
          </w:tcPr>
          <w:p>
            <w:pPr>
              <w:pStyle w:val="TableParagraph"/>
              <w:spacing w:before="11"/>
              <w:ind w:left="31"/>
              <w:rPr>
                <w:sz w:val="16"/>
              </w:rPr>
            </w:pPr>
            <w:r>
              <w:rPr>
                <w:sz w:val="16"/>
              </w:rPr>
              <w:t>Vepris undulata</w:t>
            </w:r>
          </w:p>
        </w:tc>
        <w:tc>
          <w:tcPr>
            <w:tcW w:w="1190" w:type="dxa"/>
          </w:tcPr>
          <w:p>
            <w:pPr>
              <w:pStyle w:val="TableParagraph"/>
              <w:spacing w:before="11"/>
              <w:ind w:right="408"/>
              <w:jc w:val="right"/>
              <w:rPr>
                <w:sz w:val="16"/>
              </w:rPr>
            </w:pPr>
            <w:r>
              <w:rPr>
                <w:sz w:val="16"/>
              </w:rPr>
              <w:t>0.70”</w:t>
            </w:r>
          </w:p>
        </w:tc>
      </w:tr>
      <w:tr>
        <w:trPr>
          <w:trHeight w:val="217" w:hRule="atLeast"/>
        </w:trPr>
        <w:tc>
          <w:tcPr>
            <w:tcW w:w="1807" w:type="dxa"/>
          </w:tcPr>
          <w:p>
            <w:pPr>
              <w:pStyle w:val="TableParagraph"/>
              <w:spacing w:before="11"/>
              <w:ind w:left="30"/>
              <w:rPr>
                <w:sz w:val="16"/>
              </w:rPr>
            </w:pPr>
            <w:r>
              <w:rPr>
                <w:sz w:val="16"/>
              </w:rPr>
              <w:t>Ougenia dalbergiodes</w:t>
            </w:r>
          </w:p>
        </w:tc>
        <w:tc>
          <w:tcPr>
            <w:tcW w:w="1207" w:type="dxa"/>
          </w:tcPr>
          <w:p>
            <w:pPr>
              <w:pStyle w:val="TableParagraph"/>
              <w:spacing w:before="11"/>
              <w:ind w:left="217" w:right="206"/>
              <w:jc w:val="center"/>
              <w:rPr>
                <w:sz w:val="16"/>
              </w:rPr>
            </w:pPr>
            <w:r>
              <w:rPr>
                <w:sz w:val="16"/>
              </w:rPr>
              <w:t>0.7</w:t>
            </w:r>
          </w:p>
        </w:tc>
        <w:tc>
          <w:tcPr>
            <w:tcW w:w="1817" w:type="dxa"/>
          </w:tcPr>
          <w:p>
            <w:pPr>
              <w:pStyle w:val="TableParagraph"/>
              <w:spacing w:before="11"/>
              <w:ind w:left="28"/>
              <w:rPr>
                <w:sz w:val="16"/>
              </w:rPr>
            </w:pPr>
            <w:r>
              <w:rPr>
                <w:sz w:val="16"/>
              </w:rPr>
              <w:t>Protium spp.</w:t>
            </w:r>
          </w:p>
        </w:tc>
        <w:tc>
          <w:tcPr>
            <w:tcW w:w="1188" w:type="dxa"/>
          </w:tcPr>
          <w:p>
            <w:pPr>
              <w:pStyle w:val="TableParagraph"/>
              <w:spacing w:before="11"/>
              <w:ind w:left="24" w:right="10"/>
              <w:jc w:val="center"/>
              <w:rPr>
                <w:sz w:val="16"/>
              </w:rPr>
            </w:pPr>
            <w:r>
              <w:rPr>
                <w:sz w:val="16"/>
              </w:rPr>
              <w:t>0.53,0.64+</w:t>
            </w:r>
          </w:p>
        </w:tc>
        <w:tc>
          <w:tcPr>
            <w:tcW w:w="1807" w:type="dxa"/>
          </w:tcPr>
          <w:p>
            <w:pPr>
              <w:pStyle w:val="TableParagraph"/>
              <w:spacing w:before="11"/>
              <w:ind w:left="30"/>
              <w:rPr>
                <w:sz w:val="16"/>
              </w:rPr>
            </w:pPr>
            <w:r>
              <w:rPr>
                <w:sz w:val="16"/>
              </w:rPr>
              <w:t>Vitex doniana</w:t>
            </w:r>
          </w:p>
        </w:tc>
        <w:tc>
          <w:tcPr>
            <w:tcW w:w="1190" w:type="dxa"/>
          </w:tcPr>
          <w:p>
            <w:pPr>
              <w:pStyle w:val="TableParagraph"/>
              <w:spacing w:before="11"/>
              <w:ind w:right="485"/>
              <w:jc w:val="right"/>
              <w:rPr>
                <w:sz w:val="16"/>
              </w:rPr>
            </w:pPr>
            <w:r>
              <w:rPr>
                <w:sz w:val="16"/>
              </w:rPr>
              <w:t>0.4</w:t>
            </w:r>
          </w:p>
        </w:tc>
      </w:tr>
      <w:tr>
        <w:trPr>
          <w:trHeight w:val="218" w:hRule="atLeast"/>
        </w:trPr>
        <w:tc>
          <w:tcPr>
            <w:tcW w:w="1807" w:type="dxa"/>
          </w:tcPr>
          <w:p>
            <w:pPr>
              <w:pStyle w:val="TableParagraph"/>
              <w:spacing w:before="11"/>
              <w:ind w:left="30"/>
              <w:rPr>
                <w:sz w:val="16"/>
              </w:rPr>
            </w:pPr>
            <w:r>
              <w:rPr>
                <w:sz w:val="16"/>
              </w:rPr>
              <w:t>Palaquium spp.</w:t>
            </w:r>
          </w:p>
        </w:tc>
        <w:tc>
          <w:tcPr>
            <w:tcW w:w="1207" w:type="dxa"/>
          </w:tcPr>
          <w:p>
            <w:pPr>
              <w:pStyle w:val="TableParagraph"/>
              <w:spacing w:before="11"/>
              <w:ind w:left="217" w:right="205"/>
              <w:jc w:val="center"/>
              <w:rPr>
                <w:sz w:val="16"/>
              </w:rPr>
            </w:pPr>
            <w:r>
              <w:rPr>
                <w:sz w:val="16"/>
              </w:rPr>
              <w:t>0.55</w:t>
            </w:r>
          </w:p>
        </w:tc>
        <w:tc>
          <w:tcPr>
            <w:tcW w:w="1817" w:type="dxa"/>
          </w:tcPr>
          <w:p>
            <w:pPr>
              <w:pStyle w:val="TableParagraph"/>
              <w:spacing w:before="11"/>
              <w:ind w:left="28"/>
              <w:rPr>
                <w:sz w:val="16"/>
              </w:rPr>
            </w:pPr>
            <w:r>
              <w:rPr>
                <w:sz w:val="16"/>
              </w:rPr>
              <w:t>Pseudolmedia laevigata</w:t>
            </w:r>
          </w:p>
        </w:tc>
        <w:tc>
          <w:tcPr>
            <w:tcW w:w="1188" w:type="dxa"/>
          </w:tcPr>
          <w:p>
            <w:pPr>
              <w:pStyle w:val="TableParagraph"/>
              <w:spacing w:before="11"/>
              <w:ind w:left="24" w:right="11"/>
              <w:jc w:val="center"/>
              <w:rPr>
                <w:sz w:val="16"/>
              </w:rPr>
            </w:pPr>
            <w:r>
              <w:rPr>
                <w:sz w:val="16"/>
              </w:rPr>
              <w:t>0.64</w:t>
            </w:r>
          </w:p>
        </w:tc>
        <w:tc>
          <w:tcPr>
            <w:tcW w:w="1807" w:type="dxa"/>
          </w:tcPr>
          <w:p>
            <w:pPr>
              <w:pStyle w:val="TableParagraph"/>
              <w:spacing w:before="11"/>
              <w:ind w:left="31"/>
              <w:rPr>
                <w:sz w:val="16"/>
              </w:rPr>
            </w:pPr>
            <w:r>
              <w:rPr>
                <w:sz w:val="16"/>
              </w:rPr>
              <w:t>Xylopia staudtii</w:t>
            </w:r>
          </w:p>
        </w:tc>
        <w:tc>
          <w:tcPr>
            <w:tcW w:w="1190" w:type="dxa"/>
          </w:tcPr>
          <w:p>
            <w:pPr>
              <w:pStyle w:val="TableParagraph"/>
              <w:spacing w:before="11"/>
              <w:ind w:right="400"/>
              <w:jc w:val="right"/>
              <w:rPr>
                <w:sz w:val="16"/>
              </w:rPr>
            </w:pPr>
            <w:r>
              <w:rPr>
                <w:sz w:val="16"/>
              </w:rPr>
              <w:t>0.36*</w:t>
            </w:r>
          </w:p>
        </w:tc>
      </w:tr>
      <w:tr>
        <w:trPr>
          <w:trHeight w:val="215" w:hRule="atLeast"/>
        </w:trPr>
        <w:tc>
          <w:tcPr>
            <w:tcW w:w="1807" w:type="dxa"/>
          </w:tcPr>
          <w:p>
            <w:pPr>
              <w:pStyle w:val="TableParagraph"/>
              <w:spacing w:before="11"/>
              <w:ind w:left="30"/>
              <w:rPr>
                <w:sz w:val="16"/>
              </w:rPr>
            </w:pPr>
            <w:r>
              <w:rPr>
                <w:sz w:val="16"/>
              </w:rPr>
              <w:t>Pangium edule</w:t>
            </w:r>
          </w:p>
        </w:tc>
        <w:tc>
          <w:tcPr>
            <w:tcW w:w="1207" w:type="dxa"/>
          </w:tcPr>
          <w:p>
            <w:pPr>
              <w:pStyle w:val="TableParagraph"/>
              <w:spacing w:before="11"/>
              <w:ind w:left="217" w:right="207"/>
              <w:jc w:val="center"/>
              <w:rPr>
                <w:sz w:val="16"/>
              </w:rPr>
            </w:pPr>
            <w:r>
              <w:rPr>
                <w:sz w:val="16"/>
              </w:rPr>
              <w:t>0.5</w:t>
            </w:r>
          </w:p>
        </w:tc>
        <w:tc>
          <w:tcPr>
            <w:tcW w:w="1817" w:type="dxa"/>
          </w:tcPr>
          <w:p>
            <w:pPr>
              <w:pStyle w:val="TableParagraph"/>
              <w:spacing w:before="11"/>
              <w:ind w:left="28"/>
              <w:rPr>
                <w:sz w:val="16"/>
              </w:rPr>
            </w:pPr>
            <w:r>
              <w:rPr>
                <w:sz w:val="16"/>
              </w:rPr>
              <w:t>Pterocarpus spp.</w:t>
            </w:r>
          </w:p>
        </w:tc>
        <w:tc>
          <w:tcPr>
            <w:tcW w:w="1188" w:type="dxa"/>
          </w:tcPr>
          <w:p>
            <w:pPr>
              <w:pStyle w:val="TableParagraph"/>
              <w:spacing w:before="11"/>
              <w:ind w:left="24" w:right="12"/>
              <w:jc w:val="center"/>
              <w:rPr>
                <w:sz w:val="16"/>
              </w:rPr>
            </w:pPr>
            <w:r>
              <w:rPr>
                <w:sz w:val="16"/>
              </w:rPr>
              <w:t>0.44</w:t>
            </w:r>
          </w:p>
        </w:tc>
        <w:tc>
          <w:tcPr>
            <w:tcW w:w="1807" w:type="dxa"/>
          </w:tcPr>
          <w:p>
            <w:pPr>
              <w:pStyle w:val="TableParagraph"/>
              <w:rPr>
                <w:sz w:val="14"/>
              </w:rPr>
            </w:pPr>
          </w:p>
        </w:tc>
        <w:tc>
          <w:tcPr>
            <w:tcW w:w="1190" w:type="dxa"/>
          </w:tcPr>
          <w:p>
            <w:pPr>
              <w:pStyle w:val="TableParagraph"/>
              <w:rPr>
                <w:sz w:val="14"/>
              </w:rPr>
            </w:pPr>
          </w:p>
        </w:tc>
      </w:tr>
      <w:tr>
        <w:trPr>
          <w:trHeight w:val="218" w:hRule="atLeast"/>
        </w:trPr>
        <w:tc>
          <w:tcPr>
            <w:tcW w:w="1807" w:type="dxa"/>
          </w:tcPr>
          <w:p>
            <w:pPr>
              <w:pStyle w:val="TableParagraph"/>
              <w:spacing w:before="11"/>
              <w:ind w:left="30"/>
              <w:rPr>
                <w:sz w:val="16"/>
              </w:rPr>
            </w:pPr>
            <w:r>
              <w:rPr>
                <w:sz w:val="16"/>
              </w:rPr>
              <w:t>Parashorea malaanonan</w:t>
            </w:r>
          </w:p>
        </w:tc>
        <w:tc>
          <w:tcPr>
            <w:tcW w:w="1207" w:type="dxa"/>
          </w:tcPr>
          <w:p>
            <w:pPr>
              <w:pStyle w:val="TableParagraph"/>
              <w:spacing w:before="11"/>
              <w:ind w:left="217" w:right="204"/>
              <w:jc w:val="center"/>
              <w:rPr>
                <w:sz w:val="16"/>
              </w:rPr>
            </w:pPr>
            <w:r>
              <w:rPr>
                <w:sz w:val="16"/>
              </w:rPr>
              <w:t>0.51</w:t>
            </w:r>
          </w:p>
        </w:tc>
        <w:tc>
          <w:tcPr>
            <w:tcW w:w="1817" w:type="dxa"/>
          </w:tcPr>
          <w:p>
            <w:pPr>
              <w:pStyle w:val="TableParagraph"/>
              <w:spacing w:before="11"/>
              <w:ind w:left="29"/>
              <w:rPr>
                <w:sz w:val="16"/>
              </w:rPr>
            </w:pPr>
            <w:r>
              <w:rPr>
                <w:sz w:val="16"/>
              </w:rPr>
              <w:t>Pterogyne nitens</w:t>
            </w:r>
          </w:p>
        </w:tc>
        <w:tc>
          <w:tcPr>
            <w:tcW w:w="1188" w:type="dxa"/>
          </w:tcPr>
          <w:p>
            <w:pPr>
              <w:pStyle w:val="TableParagraph"/>
              <w:spacing w:before="11"/>
              <w:ind w:left="24" w:right="12"/>
              <w:jc w:val="center"/>
              <w:rPr>
                <w:sz w:val="16"/>
              </w:rPr>
            </w:pPr>
            <w:r>
              <w:rPr>
                <w:sz w:val="16"/>
              </w:rPr>
              <w:t>0.66</w:t>
            </w:r>
          </w:p>
        </w:tc>
        <w:tc>
          <w:tcPr>
            <w:tcW w:w="1807" w:type="dxa"/>
          </w:tcPr>
          <w:p>
            <w:pPr>
              <w:pStyle w:val="TableParagraph"/>
              <w:rPr>
                <w:sz w:val="14"/>
              </w:rPr>
            </w:pPr>
          </w:p>
        </w:tc>
        <w:tc>
          <w:tcPr>
            <w:tcW w:w="1190" w:type="dxa"/>
          </w:tcPr>
          <w:p>
            <w:pPr>
              <w:pStyle w:val="TableParagraph"/>
              <w:rPr>
                <w:sz w:val="14"/>
              </w:rPr>
            </w:pPr>
          </w:p>
        </w:tc>
      </w:tr>
      <w:tr>
        <w:trPr>
          <w:trHeight w:val="215" w:hRule="atLeast"/>
        </w:trPr>
        <w:tc>
          <w:tcPr>
            <w:tcW w:w="1807" w:type="dxa"/>
          </w:tcPr>
          <w:p>
            <w:pPr>
              <w:pStyle w:val="TableParagraph"/>
              <w:spacing w:before="11"/>
              <w:ind w:left="30"/>
              <w:rPr>
                <w:sz w:val="16"/>
              </w:rPr>
            </w:pPr>
            <w:r>
              <w:rPr>
                <w:sz w:val="16"/>
              </w:rPr>
              <w:t>Parashorea stellata</w:t>
            </w:r>
          </w:p>
        </w:tc>
        <w:tc>
          <w:tcPr>
            <w:tcW w:w="1207" w:type="dxa"/>
          </w:tcPr>
          <w:p>
            <w:pPr>
              <w:pStyle w:val="TableParagraph"/>
              <w:spacing w:before="11"/>
              <w:ind w:left="217" w:right="205"/>
              <w:jc w:val="center"/>
              <w:rPr>
                <w:sz w:val="16"/>
              </w:rPr>
            </w:pPr>
            <w:r>
              <w:rPr>
                <w:sz w:val="16"/>
              </w:rPr>
              <w:t>0.59</w:t>
            </w:r>
          </w:p>
        </w:tc>
        <w:tc>
          <w:tcPr>
            <w:tcW w:w="1817" w:type="dxa"/>
          </w:tcPr>
          <w:p>
            <w:pPr>
              <w:pStyle w:val="TableParagraph"/>
              <w:spacing w:before="11"/>
              <w:ind w:left="28"/>
              <w:rPr>
                <w:sz w:val="16"/>
              </w:rPr>
            </w:pPr>
            <w:r>
              <w:rPr>
                <w:sz w:val="16"/>
              </w:rPr>
              <w:t>Qualea albiflora</w:t>
            </w:r>
          </w:p>
        </w:tc>
        <w:tc>
          <w:tcPr>
            <w:tcW w:w="1188" w:type="dxa"/>
          </w:tcPr>
          <w:p>
            <w:pPr>
              <w:pStyle w:val="TableParagraph"/>
              <w:spacing w:before="11"/>
              <w:ind w:left="24" w:right="12"/>
              <w:jc w:val="center"/>
              <w:rPr>
                <w:sz w:val="16"/>
              </w:rPr>
            </w:pPr>
            <w:r>
              <w:rPr>
                <w:sz w:val="16"/>
              </w:rPr>
              <w:t>0.5</w:t>
            </w:r>
          </w:p>
        </w:tc>
        <w:tc>
          <w:tcPr>
            <w:tcW w:w="1807" w:type="dxa"/>
          </w:tcPr>
          <w:p>
            <w:pPr>
              <w:pStyle w:val="TableParagraph"/>
              <w:rPr>
                <w:sz w:val="14"/>
              </w:rPr>
            </w:pPr>
          </w:p>
        </w:tc>
        <w:tc>
          <w:tcPr>
            <w:tcW w:w="1190" w:type="dxa"/>
          </w:tcPr>
          <w:p>
            <w:pPr>
              <w:pStyle w:val="TableParagraph"/>
              <w:rPr>
                <w:sz w:val="14"/>
              </w:rPr>
            </w:pPr>
          </w:p>
        </w:tc>
      </w:tr>
      <w:tr>
        <w:trPr>
          <w:trHeight w:val="217" w:hRule="atLeast"/>
        </w:trPr>
        <w:tc>
          <w:tcPr>
            <w:tcW w:w="1807" w:type="dxa"/>
          </w:tcPr>
          <w:p>
            <w:pPr>
              <w:pStyle w:val="TableParagraph"/>
              <w:spacing w:before="11"/>
              <w:ind w:left="30"/>
              <w:rPr>
                <w:sz w:val="16"/>
              </w:rPr>
            </w:pPr>
            <w:r>
              <w:rPr>
                <w:sz w:val="16"/>
              </w:rPr>
              <w:t>Paratrophis glabra</w:t>
            </w:r>
          </w:p>
        </w:tc>
        <w:tc>
          <w:tcPr>
            <w:tcW w:w="1207" w:type="dxa"/>
          </w:tcPr>
          <w:p>
            <w:pPr>
              <w:pStyle w:val="TableParagraph"/>
              <w:spacing w:before="11"/>
              <w:ind w:left="217" w:right="205"/>
              <w:jc w:val="center"/>
              <w:rPr>
                <w:sz w:val="16"/>
              </w:rPr>
            </w:pPr>
            <w:r>
              <w:rPr>
                <w:sz w:val="16"/>
              </w:rPr>
              <w:t>0.77</w:t>
            </w:r>
          </w:p>
        </w:tc>
        <w:tc>
          <w:tcPr>
            <w:tcW w:w="1817" w:type="dxa"/>
          </w:tcPr>
          <w:p>
            <w:pPr>
              <w:pStyle w:val="TableParagraph"/>
              <w:spacing w:before="11"/>
              <w:ind w:left="28"/>
              <w:rPr>
                <w:sz w:val="16"/>
              </w:rPr>
            </w:pPr>
            <w:r>
              <w:rPr>
                <w:sz w:val="16"/>
              </w:rPr>
              <w:t>Qualea cf. lancifolia</w:t>
            </w:r>
          </w:p>
        </w:tc>
        <w:tc>
          <w:tcPr>
            <w:tcW w:w="1188" w:type="dxa"/>
          </w:tcPr>
          <w:p>
            <w:pPr>
              <w:pStyle w:val="TableParagraph"/>
              <w:spacing w:before="11"/>
              <w:ind w:left="24" w:right="12"/>
              <w:jc w:val="center"/>
              <w:rPr>
                <w:sz w:val="16"/>
              </w:rPr>
            </w:pPr>
            <w:r>
              <w:rPr>
                <w:sz w:val="16"/>
              </w:rPr>
              <w:t>0.58</w:t>
            </w:r>
          </w:p>
        </w:tc>
        <w:tc>
          <w:tcPr>
            <w:tcW w:w="1807" w:type="dxa"/>
          </w:tcPr>
          <w:p>
            <w:pPr>
              <w:pStyle w:val="TableParagraph"/>
              <w:rPr>
                <w:sz w:val="14"/>
              </w:rPr>
            </w:pPr>
          </w:p>
        </w:tc>
        <w:tc>
          <w:tcPr>
            <w:tcW w:w="1190" w:type="dxa"/>
          </w:tcPr>
          <w:p>
            <w:pPr>
              <w:pStyle w:val="TableParagraph"/>
              <w:rPr>
                <w:sz w:val="14"/>
              </w:rPr>
            </w:pPr>
          </w:p>
        </w:tc>
      </w:tr>
      <w:tr>
        <w:trPr>
          <w:trHeight w:val="218" w:hRule="atLeast"/>
        </w:trPr>
        <w:tc>
          <w:tcPr>
            <w:tcW w:w="1807" w:type="dxa"/>
          </w:tcPr>
          <w:p>
            <w:pPr>
              <w:pStyle w:val="TableParagraph"/>
              <w:spacing w:before="11"/>
              <w:ind w:left="30"/>
              <w:rPr>
                <w:sz w:val="16"/>
              </w:rPr>
            </w:pPr>
            <w:r>
              <w:rPr>
                <w:sz w:val="16"/>
              </w:rPr>
              <w:t>Parinari spp.</w:t>
            </w:r>
          </w:p>
        </w:tc>
        <w:tc>
          <w:tcPr>
            <w:tcW w:w="1207" w:type="dxa"/>
          </w:tcPr>
          <w:p>
            <w:pPr>
              <w:pStyle w:val="TableParagraph"/>
              <w:spacing w:before="11"/>
              <w:ind w:left="217" w:right="205"/>
              <w:jc w:val="center"/>
              <w:rPr>
                <w:sz w:val="16"/>
              </w:rPr>
            </w:pPr>
            <w:r>
              <w:rPr>
                <w:sz w:val="16"/>
              </w:rPr>
              <w:t>0.68</w:t>
            </w:r>
          </w:p>
        </w:tc>
        <w:tc>
          <w:tcPr>
            <w:tcW w:w="1817" w:type="dxa"/>
          </w:tcPr>
          <w:p>
            <w:pPr>
              <w:pStyle w:val="TableParagraph"/>
              <w:spacing w:before="11"/>
              <w:ind w:left="28"/>
              <w:rPr>
                <w:sz w:val="16"/>
              </w:rPr>
            </w:pPr>
            <w:r>
              <w:rPr>
                <w:sz w:val="16"/>
              </w:rPr>
              <w:t>Qualea dinizii</w:t>
            </w:r>
          </w:p>
        </w:tc>
        <w:tc>
          <w:tcPr>
            <w:tcW w:w="1188" w:type="dxa"/>
          </w:tcPr>
          <w:p>
            <w:pPr>
              <w:pStyle w:val="TableParagraph"/>
              <w:spacing w:before="11"/>
              <w:ind w:left="24" w:right="13"/>
              <w:jc w:val="center"/>
              <w:rPr>
                <w:sz w:val="16"/>
              </w:rPr>
            </w:pPr>
            <w:r>
              <w:rPr>
                <w:sz w:val="16"/>
              </w:rPr>
              <w:t>0.58</w:t>
            </w:r>
          </w:p>
        </w:tc>
        <w:tc>
          <w:tcPr>
            <w:tcW w:w="1807" w:type="dxa"/>
          </w:tcPr>
          <w:p>
            <w:pPr>
              <w:pStyle w:val="TableParagraph"/>
              <w:rPr>
                <w:sz w:val="14"/>
              </w:rPr>
            </w:pPr>
          </w:p>
        </w:tc>
        <w:tc>
          <w:tcPr>
            <w:tcW w:w="1190" w:type="dxa"/>
          </w:tcPr>
          <w:p>
            <w:pPr>
              <w:pStyle w:val="TableParagraph"/>
              <w:rPr>
                <w:sz w:val="14"/>
              </w:rPr>
            </w:pPr>
          </w:p>
        </w:tc>
      </w:tr>
      <w:tr>
        <w:trPr>
          <w:trHeight w:val="849" w:hRule="atLeast"/>
        </w:trPr>
        <w:tc>
          <w:tcPr>
            <w:tcW w:w="9016" w:type="dxa"/>
            <w:gridSpan w:val="6"/>
          </w:tcPr>
          <w:p>
            <w:pPr>
              <w:pStyle w:val="TableParagraph"/>
              <w:spacing w:line="183" w:lineRule="exact" w:before="52"/>
              <w:ind w:left="30"/>
              <w:rPr>
                <w:sz w:val="16"/>
              </w:rPr>
            </w:pPr>
            <w:r>
              <w:rPr>
                <w:sz w:val="16"/>
              </w:rPr>
              <w:t>+ The wood densities specified pertain to more than one bibliographic source.</w:t>
            </w:r>
          </w:p>
          <w:p>
            <w:pPr>
              <w:pStyle w:val="TableParagraph"/>
              <w:spacing w:line="183" w:lineRule="exact"/>
              <w:ind w:left="30"/>
              <w:rPr>
                <w:sz w:val="16"/>
              </w:rPr>
            </w:pPr>
            <w:r>
              <w:rPr>
                <w:sz w:val="16"/>
              </w:rPr>
              <w:t>* Wood density value is derived from the regression equation in Reyes </w:t>
            </w:r>
            <w:r>
              <w:rPr>
                <w:i/>
                <w:sz w:val="16"/>
              </w:rPr>
              <w:t>et al. </w:t>
            </w:r>
            <w:r>
              <w:rPr>
                <w:sz w:val="16"/>
              </w:rPr>
              <w:t>(1992).</w:t>
            </w:r>
          </w:p>
          <w:p>
            <w:pPr>
              <w:pStyle w:val="TableParagraph"/>
              <w:spacing w:before="1"/>
              <w:ind w:left="30" w:right="155" w:firstLine="40"/>
              <w:rPr>
                <w:sz w:val="16"/>
              </w:rPr>
            </w:pPr>
            <w:r>
              <w:rPr>
                <w:sz w:val="16"/>
              </w:rPr>
              <w:t>Source: Reyes, Gisel; Brown, Sandra; Chapman, Jonathan; Lugo, Ariel E. 1992. Wood densities of tropical tree species. Gen. Tech. Rep. SO-88 New Orleans, LA: U.S. Department of Agriculture, Forest Service, Southern Forest Experiment Station. 15pp.</w:t>
            </w:r>
          </w:p>
        </w:tc>
      </w:tr>
    </w:tbl>
    <w:p>
      <w:pPr>
        <w:spacing w:after="0"/>
        <w:rPr>
          <w:sz w:val="16"/>
        </w:rPr>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7"/>
        <w:gridCol w:w="1164"/>
        <w:gridCol w:w="1860"/>
        <w:gridCol w:w="1188"/>
        <w:gridCol w:w="1807"/>
        <w:gridCol w:w="1190"/>
      </w:tblGrid>
      <w:tr>
        <w:trPr>
          <w:trHeight w:val="675" w:hRule="atLeast"/>
        </w:trPr>
        <w:tc>
          <w:tcPr>
            <w:tcW w:w="9016" w:type="dxa"/>
            <w:gridSpan w:val="6"/>
            <w:tcBorders>
              <w:bottom w:val="double" w:sz="1" w:space="0" w:color="000000"/>
            </w:tcBorders>
          </w:tcPr>
          <w:p>
            <w:pPr>
              <w:pStyle w:val="TableParagraph"/>
              <w:spacing w:line="196" w:lineRule="exact" w:before="28"/>
              <w:ind w:left="409" w:right="402"/>
              <w:jc w:val="center"/>
              <w:rPr>
                <w:b/>
                <w:sz w:val="18"/>
              </w:rPr>
            </w:pPr>
            <w:r>
              <w:rPr>
                <w:b/>
                <w:sz w:val="18"/>
              </w:rPr>
              <w:t>T</w:t>
            </w:r>
            <w:r>
              <w:rPr>
                <w:b/>
                <w:sz w:val="14"/>
              </w:rPr>
              <w:t>ABLE </w:t>
            </w:r>
            <w:r>
              <w:rPr>
                <w:b/>
                <w:sz w:val="18"/>
              </w:rPr>
              <w:t>3A.1.9-2 (C</w:t>
            </w:r>
            <w:r>
              <w:rPr>
                <w:b/>
                <w:sz w:val="14"/>
              </w:rPr>
              <w:t>ONTINUED</w:t>
            </w:r>
            <w:r>
              <w:rPr>
                <w:b/>
                <w:sz w:val="18"/>
              </w:rPr>
              <w:t>)</w:t>
            </w:r>
          </w:p>
          <w:p>
            <w:pPr>
              <w:pStyle w:val="TableParagraph"/>
              <w:spacing w:line="217" w:lineRule="exact"/>
              <w:ind w:left="448" w:right="402"/>
              <w:jc w:val="center"/>
              <w:rPr>
                <w:b/>
                <w:sz w:val="14"/>
              </w:rPr>
            </w:pPr>
            <w:r>
              <w:rPr>
                <w:b/>
                <w:sz w:val="18"/>
              </w:rPr>
              <w:t>B</w:t>
            </w:r>
            <w:r>
              <w:rPr>
                <w:b/>
                <w:sz w:val="14"/>
              </w:rPr>
              <w:t>ASIC WOOD DENSITIES </w:t>
            </w:r>
            <w:r>
              <w:rPr>
                <w:b/>
                <w:sz w:val="18"/>
              </w:rPr>
              <w:t>(D) </w:t>
            </w:r>
            <w:r>
              <w:rPr>
                <w:b/>
                <w:sz w:val="14"/>
              </w:rPr>
              <w:t>OF STEMWOOD </w:t>
            </w:r>
            <w:r>
              <w:rPr>
                <w:b/>
                <w:sz w:val="18"/>
              </w:rPr>
              <w:t>(tonnes dry matter/m</w:t>
            </w:r>
            <w:r>
              <w:rPr>
                <w:b/>
                <w:position w:val="8"/>
                <w:sz w:val="12"/>
              </w:rPr>
              <w:t>3 </w:t>
            </w:r>
            <w:r>
              <w:rPr>
                <w:b/>
                <w:sz w:val="18"/>
              </w:rPr>
              <w:t>fresh volume) </w:t>
            </w:r>
            <w:r>
              <w:rPr>
                <w:b/>
                <w:sz w:val="14"/>
              </w:rPr>
              <w:t>FOR TROPICAL TREE SPECIES</w:t>
            </w:r>
          </w:p>
          <w:p>
            <w:pPr>
              <w:pStyle w:val="TableParagraph"/>
              <w:spacing w:line="204" w:lineRule="exact"/>
              <w:ind w:left="412" w:right="402"/>
              <w:jc w:val="center"/>
              <w:rPr>
                <w:sz w:val="18"/>
              </w:rPr>
            </w:pPr>
            <w:r>
              <w:rPr>
                <w:sz w:val="18"/>
              </w:rPr>
              <w:t>(To be used for D in Equations 3.2.3., 3.2.5, 3.2.7, 3.2.8)</w:t>
            </w:r>
          </w:p>
        </w:tc>
      </w:tr>
      <w:tr>
        <w:trPr>
          <w:trHeight w:val="248" w:hRule="atLeast"/>
        </w:trPr>
        <w:tc>
          <w:tcPr>
            <w:tcW w:w="1807" w:type="dxa"/>
            <w:tcBorders>
              <w:top w:val="double" w:sz="1" w:space="0" w:color="000000"/>
            </w:tcBorders>
          </w:tcPr>
          <w:p>
            <w:pPr>
              <w:pStyle w:val="TableParagraph"/>
              <w:spacing w:before="27"/>
              <w:ind w:left="268"/>
              <w:rPr>
                <w:b/>
                <w:sz w:val="16"/>
              </w:rPr>
            </w:pPr>
            <w:r>
              <w:rPr>
                <w:b/>
                <w:sz w:val="16"/>
              </w:rPr>
              <w:t>TROPICAL ASIA</w:t>
            </w:r>
          </w:p>
        </w:tc>
        <w:tc>
          <w:tcPr>
            <w:tcW w:w="1164" w:type="dxa"/>
            <w:tcBorders>
              <w:top w:val="double" w:sz="1" w:space="0" w:color="000000"/>
            </w:tcBorders>
          </w:tcPr>
          <w:p>
            <w:pPr>
              <w:pStyle w:val="TableParagraph"/>
              <w:spacing w:before="27"/>
              <w:ind w:left="11"/>
              <w:jc w:val="center"/>
              <w:rPr>
                <w:b/>
                <w:sz w:val="16"/>
              </w:rPr>
            </w:pPr>
            <w:r>
              <w:rPr>
                <w:b/>
                <w:w w:val="100"/>
                <w:sz w:val="16"/>
              </w:rPr>
              <w:t>D</w:t>
            </w:r>
          </w:p>
        </w:tc>
        <w:tc>
          <w:tcPr>
            <w:tcW w:w="1860" w:type="dxa"/>
            <w:tcBorders>
              <w:top w:val="double" w:sz="1" w:space="0" w:color="000000"/>
            </w:tcBorders>
          </w:tcPr>
          <w:p>
            <w:pPr>
              <w:pStyle w:val="TableParagraph"/>
              <w:spacing w:before="27"/>
              <w:ind w:left="95"/>
              <w:rPr>
                <w:b/>
                <w:sz w:val="16"/>
              </w:rPr>
            </w:pPr>
            <w:r>
              <w:rPr>
                <w:b/>
                <w:sz w:val="16"/>
              </w:rPr>
              <w:t>TROPICAL AMERICA</w:t>
            </w:r>
          </w:p>
        </w:tc>
        <w:tc>
          <w:tcPr>
            <w:tcW w:w="1188" w:type="dxa"/>
            <w:tcBorders>
              <w:top w:val="double" w:sz="1" w:space="0" w:color="000000"/>
            </w:tcBorders>
          </w:tcPr>
          <w:p>
            <w:pPr>
              <w:pStyle w:val="TableParagraph"/>
              <w:spacing w:before="27"/>
              <w:ind w:left="10"/>
              <w:jc w:val="center"/>
              <w:rPr>
                <w:b/>
                <w:sz w:val="16"/>
              </w:rPr>
            </w:pPr>
            <w:r>
              <w:rPr>
                <w:b/>
                <w:w w:val="100"/>
                <w:sz w:val="16"/>
              </w:rPr>
              <w:t>D</w:t>
            </w:r>
          </w:p>
        </w:tc>
        <w:tc>
          <w:tcPr>
            <w:tcW w:w="1807" w:type="dxa"/>
            <w:tcBorders>
              <w:top w:val="double" w:sz="1" w:space="0" w:color="000000"/>
            </w:tcBorders>
          </w:tcPr>
          <w:p>
            <w:pPr>
              <w:pStyle w:val="TableParagraph"/>
              <w:spacing w:before="27"/>
              <w:ind w:left="150"/>
              <w:rPr>
                <w:b/>
                <w:sz w:val="16"/>
              </w:rPr>
            </w:pPr>
            <w:r>
              <w:rPr>
                <w:b/>
                <w:sz w:val="16"/>
              </w:rPr>
              <w:t>TROPICAL AFRICA</w:t>
            </w:r>
          </w:p>
        </w:tc>
        <w:tc>
          <w:tcPr>
            <w:tcW w:w="1190" w:type="dxa"/>
            <w:tcBorders>
              <w:top w:val="double" w:sz="1" w:space="0" w:color="000000"/>
            </w:tcBorders>
          </w:tcPr>
          <w:p>
            <w:pPr>
              <w:pStyle w:val="TableParagraph"/>
              <w:spacing w:before="27"/>
              <w:ind w:left="3"/>
              <w:jc w:val="center"/>
              <w:rPr>
                <w:b/>
                <w:sz w:val="16"/>
              </w:rPr>
            </w:pPr>
            <w:r>
              <w:rPr>
                <w:b/>
                <w:w w:val="100"/>
                <w:sz w:val="16"/>
              </w:rPr>
              <w:t>D</w:t>
            </w:r>
          </w:p>
        </w:tc>
      </w:tr>
      <w:tr>
        <w:trPr>
          <w:trHeight w:val="244" w:hRule="atLeast"/>
        </w:trPr>
        <w:tc>
          <w:tcPr>
            <w:tcW w:w="1807" w:type="dxa"/>
          </w:tcPr>
          <w:p>
            <w:pPr>
              <w:pStyle w:val="TableParagraph"/>
              <w:spacing w:line="170" w:lineRule="exact" w:before="54"/>
              <w:ind w:left="30"/>
              <w:rPr>
                <w:sz w:val="16"/>
              </w:rPr>
            </w:pPr>
            <w:r>
              <w:rPr>
                <w:sz w:val="16"/>
              </w:rPr>
              <w:t>Parkia roxburghii</w:t>
            </w:r>
          </w:p>
        </w:tc>
        <w:tc>
          <w:tcPr>
            <w:tcW w:w="1164" w:type="dxa"/>
          </w:tcPr>
          <w:p>
            <w:pPr>
              <w:pStyle w:val="TableParagraph"/>
              <w:spacing w:line="170" w:lineRule="exact" w:before="54"/>
              <w:ind w:left="196" w:right="185"/>
              <w:jc w:val="center"/>
              <w:rPr>
                <w:sz w:val="16"/>
              </w:rPr>
            </w:pPr>
            <w:r>
              <w:rPr>
                <w:sz w:val="16"/>
              </w:rPr>
              <w:t>0.34</w:t>
            </w:r>
          </w:p>
        </w:tc>
        <w:tc>
          <w:tcPr>
            <w:tcW w:w="1860" w:type="dxa"/>
          </w:tcPr>
          <w:p>
            <w:pPr>
              <w:pStyle w:val="TableParagraph"/>
              <w:spacing w:line="170" w:lineRule="exact" w:before="54"/>
              <w:ind w:left="30"/>
              <w:rPr>
                <w:sz w:val="16"/>
              </w:rPr>
            </w:pPr>
            <w:r>
              <w:rPr>
                <w:sz w:val="16"/>
              </w:rPr>
              <w:t>Qualea spp.</w:t>
            </w:r>
          </w:p>
        </w:tc>
        <w:tc>
          <w:tcPr>
            <w:tcW w:w="1188" w:type="dxa"/>
          </w:tcPr>
          <w:p>
            <w:pPr>
              <w:pStyle w:val="TableParagraph"/>
              <w:spacing w:line="170" w:lineRule="exact" w:before="54"/>
              <w:ind w:left="24" w:right="14"/>
              <w:jc w:val="center"/>
              <w:rPr>
                <w:sz w:val="16"/>
              </w:rPr>
            </w:pPr>
            <w:r>
              <w:rPr>
                <w:sz w:val="16"/>
              </w:rPr>
              <w:t>0.55</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Payena spp.</w:t>
            </w:r>
          </w:p>
        </w:tc>
        <w:tc>
          <w:tcPr>
            <w:tcW w:w="1164" w:type="dxa"/>
          </w:tcPr>
          <w:p>
            <w:pPr>
              <w:pStyle w:val="TableParagraph"/>
              <w:spacing w:before="23"/>
              <w:ind w:left="196" w:right="185"/>
              <w:jc w:val="center"/>
              <w:rPr>
                <w:sz w:val="16"/>
              </w:rPr>
            </w:pPr>
            <w:r>
              <w:rPr>
                <w:sz w:val="16"/>
              </w:rPr>
              <w:t>0.55</w:t>
            </w:r>
          </w:p>
        </w:tc>
        <w:tc>
          <w:tcPr>
            <w:tcW w:w="1860" w:type="dxa"/>
          </w:tcPr>
          <w:p>
            <w:pPr>
              <w:pStyle w:val="TableParagraph"/>
              <w:spacing w:before="23"/>
              <w:ind w:left="30"/>
              <w:rPr>
                <w:sz w:val="16"/>
              </w:rPr>
            </w:pPr>
            <w:r>
              <w:rPr>
                <w:sz w:val="16"/>
              </w:rPr>
              <w:t>Quararibaea guianensis</w:t>
            </w:r>
          </w:p>
        </w:tc>
        <w:tc>
          <w:tcPr>
            <w:tcW w:w="1188" w:type="dxa"/>
          </w:tcPr>
          <w:p>
            <w:pPr>
              <w:pStyle w:val="TableParagraph"/>
              <w:spacing w:before="23"/>
              <w:ind w:left="24" w:right="12"/>
              <w:jc w:val="center"/>
              <w:rPr>
                <w:sz w:val="16"/>
              </w:rPr>
            </w:pPr>
            <w:r>
              <w:rPr>
                <w:sz w:val="16"/>
              </w:rPr>
              <w:t>0.54</w:t>
            </w:r>
          </w:p>
        </w:tc>
        <w:tc>
          <w:tcPr>
            <w:tcW w:w="1807" w:type="dxa"/>
          </w:tcPr>
          <w:p>
            <w:pPr>
              <w:pStyle w:val="TableParagraph"/>
              <w:rPr>
                <w:sz w:val="16"/>
              </w:rPr>
            </w:pPr>
          </w:p>
        </w:tc>
        <w:tc>
          <w:tcPr>
            <w:tcW w:w="1190" w:type="dxa"/>
          </w:tcPr>
          <w:p>
            <w:pPr>
              <w:pStyle w:val="TableParagraph"/>
              <w:rPr>
                <w:sz w:val="16"/>
              </w:rPr>
            </w:pPr>
          </w:p>
        </w:tc>
      </w:tr>
      <w:tr>
        <w:trPr>
          <w:trHeight w:val="246" w:hRule="atLeast"/>
        </w:trPr>
        <w:tc>
          <w:tcPr>
            <w:tcW w:w="1807" w:type="dxa"/>
          </w:tcPr>
          <w:p>
            <w:pPr>
              <w:pStyle w:val="TableParagraph"/>
              <w:spacing w:before="23"/>
              <w:ind w:left="30"/>
              <w:rPr>
                <w:sz w:val="16"/>
              </w:rPr>
            </w:pPr>
            <w:r>
              <w:rPr>
                <w:sz w:val="16"/>
              </w:rPr>
              <w:t>Peltophorum pterocarpum</w:t>
            </w:r>
          </w:p>
        </w:tc>
        <w:tc>
          <w:tcPr>
            <w:tcW w:w="1164" w:type="dxa"/>
          </w:tcPr>
          <w:p>
            <w:pPr>
              <w:pStyle w:val="TableParagraph"/>
              <w:spacing w:before="23"/>
              <w:ind w:left="196" w:right="184"/>
              <w:jc w:val="center"/>
              <w:rPr>
                <w:sz w:val="16"/>
              </w:rPr>
            </w:pPr>
            <w:r>
              <w:rPr>
                <w:sz w:val="16"/>
              </w:rPr>
              <w:t>0.62</w:t>
            </w:r>
          </w:p>
        </w:tc>
        <w:tc>
          <w:tcPr>
            <w:tcW w:w="1860" w:type="dxa"/>
          </w:tcPr>
          <w:p>
            <w:pPr>
              <w:pStyle w:val="TableParagraph"/>
              <w:spacing w:before="23"/>
              <w:ind w:left="31"/>
              <w:rPr>
                <w:sz w:val="16"/>
              </w:rPr>
            </w:pPr>
            <w:r>
              <w:rPr>
                <w:sz w:val="16"/>
              </w:rPr>
              <w:t>Quercus alata</w:t>
            </w:r>
          </w:p>
        </w:tc>
        <w:tc>
          <w:tcPr>
            <w:tcW w:w="1188" w:type="dxa"/>
          </w:tcPr>
          <w:p>
            <w:pPr>
              <w:pStyle w:val="TableParagraph"/>
              <w:spacing w:before="23"/>
              <w:ind w:left="24" w:right="10"/>
              <w:jc w:val="center"/>
              <w:rPr>
                <w:sz w:val="16"/>
              </w:rPr>
            </w:pPr>
            <w:r>
              <w:rPr>
                <w:sz w:val="16"/>
              </w:rPr>
              <w:t>0.71</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Pentace spp.</w:t>
            </w:r>
          </w:p>
        </w:tc>
        <w:tc>
          <w:tcPr>
            <w:tcW w:w="1164" w:type="dxa"/>
          </w:tcPr>
          <w:p>
            <w:pPr>
              <w:pStyle w:val="TableParagraph"/>
              <w:spacing w:before="23"/>
              <w:ind w:left="196" w:right="184"/>
              <w:jc w:val="center"/>
              <w:rPr>
                <w:sz w:val="16"/>
              </w:rPr>
            </w:pPr>
            <w:r>
              <w:rPr>
                <w:sz w:val="16"/>
              </w:rPr>
              <w:t>0.56</w:t>
            </w:r>
          </w:p>
        </w:tc>
        <w:tc>
          <w:tcPr>
            <w:tcW w:w="1860" w:type="dxa"/>
          </w:tcPr>
          <w:p>
            <w:pPr>
              <w:pStyle w:val="TableParagraph"/>
              <w:spacing w:before="23"/>
              <w:ind w:left="30"/>
              <w:rPr>
                <w:sz w:val="16"/>
              </w:rPr>
            </w:pPr>
            <w:r>
              <w:rPr>
                <w:sz w:val="16"/>
              </w:rPr>
              <w:t>Quercus costaricensis</w:t>
            </w:r>
          </w:p>
        </w:tc>
        <w:tc>
          <w:tcPr>
            <w:tcW w:w="1188" w:type="dxa"/>
          </w:tcPr>
          <w:p>
            <w:pPr>
              <w:pStyle w:val="TableParagraph"/>
              <w:spacing w:before="23"/>
              <w:ind w:left="24" w:right="12"/>
              <w:jc w:val="center"/>
              <w:rPr>
                <w:sz w:val="16"/>
              </w:rPr>
            </w:pPr>
            <w:r>
              <w:rPr>
                <w:sz w:val="16"/>
              </w:rPr>
              <w:t>0.61</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Phaeanthus ebracteolatus</w:t>
            </w:r>
          </w:p>
        </w:tc>
        <w:tc>
          <w:tcPr>
            <w:tcW w:w="1164" w:type="dxa"/>
          </w:tcPr>
          <w:p>
            <w:pPr>
              <w:pStyle w:val="TableParagraph"/>
              <w:spacing w:before="23"/>
              <w:ind w:left="196" w:right="184"/>
              <w:jc w:val="center"/>
              <w:rPr>
                <w:sz w:val="16"/>
              </w:rPr>
            </w:pPr>
            <w:r>
              <w:rPr>
                <w:sz w:val="16"/>
              </w:rPr>
              <w:t>0.56</w:t>
            </w:r>
          </w:p>
        </w:tc>
        <w:tc>
          <w:tcPr>
            <w:tcW w:w="1860" w:type="dxa"/>
          </w:tcPr>
          <w:p>
            <w:pPr>
              <w:pStyle w:val="TableParagraph"/>
              <w:spacing w:before="23"/>
              <w:ind w:left="30"/>
              <w:rPr>
                <w:sz w:val="16"/>
              </w:rPr>
            </w:pPr>
            <w:r>
              <w:rPr>
                <w:sz w:val="16"/>
              </w:rPr>
              <w:t>Quercus eugeniaefolia</w:t>
            </w:r>
          </w:p>
        </w:tc>
        <w:tc>
          <w:tcPr>
            <w:tcW w:w="1188" w:type="dxa"/>
          </w:tcPr>
          <w:p>
            <w:pPr>
              <w:pStyle w:val="TableParagraph"/>
              <w:spacing w:before="23"/>
              <w:ind w:left="24" w:right="12"/>
              <w:jc w:val="center"/>
              <w:rPr>
                <w:sz w:val="16"/>
              </w:rPr>
            </w:pPr>
            <w:r>
              <w:rPr>
                <w:sz w:val="16"/>
              </w:rPr>
              <w:t>0.67</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Phyllocladus hypophyllus</w:t>
            </w:r>
          </w:p>
        </w:tc>
        <w:tc>
          <w:tcPr>
            <w:tcW w:w="1164" w:type="dxa"/>
          </w:tcPr>
          <w:p>
            <w:pPr>
              <w:pStyle w:val="TableParagraph"/>
              <w:spacing w:before="23"/>
              <w:ind w:left="196" w:right="184"/>
              <w:jc w:val="center"/>
              <w:rPr>
                <w:sz w:val="16"/>
              </w:rPr>
            </w:pPr>
            <w:r>
              <w:rPr>
                <w:sz w:val="16"/>
              </w:rPr>
              <w:t>0.53</w:t>
            </w:r>
          </w:p>
        </w:tc>
        <w:tc>
          <w:tcPr>
            <w:tcW w:w="1860" w:type="dxa"/>
          </w:tcPr>
          <w:p>
            <w:pPr>
              <w:pStyle w:val="TableParagraph"/>
              <w:spacing w:before="23"/>
              <w:ind w:left="31"/>
              <w:rPr>
                <w:sz w:val="16"/>
              </w:rPr>
            </w:pPr>
            <w:r>
              <w:rPr>
                <w:sz w:val="16"/>
              </w:rPr>
              <w:t>Quercus spp.</w:t>
            </w:r>
          </w:p>
        </w:tc>
        <w:tc>
          <w:tcPr>
            <w:tcW w:w="1188" w:type="dxa"/>
          </w:tcPr>
          <w:p>
            <w:pPr>
              <w:pStyle w:val="TableParagraph"/>
              <w:spacing w:before="23"/>
              <w:ind w:left="24" w:right="13"/>
              <w:jc w:val="center"/>
              <w:rPr>
                <w:sz w:val="16"/>
              </w:rPr>
            </w:pPr>
            <w:r>
              <w:rPr>
                <w:sz w:val="16"/>
              </w:rPr>
              <w:t>0.7</w:t>
            </w:r>
          </w:p>
        </w:tc>
        <w:tc>
          <w:tcPr>
            <w:tcW w:w="1807" w:type="dxa"/>
          </w:tcPr>
          <w:p>
            <w:pPr>
              <w:pStyle w:val="TableParagraph"/>
              <w:rPr>
                <w:sz w:val="16"/>
              </w:rPr>
            </w:pPr>
          </w:p>
        </w:tc>
        <w:tc>
          <w:tcPr>
            <w:tcW w:w="1190" w:type="dxa"/>
          </w:tcPr>
          <w:p>
            <w:pPr>
              <w:pStyle w:val="TableParagraph"/>
              <w:rPr>
                <w:sz w:val="16"/>
              </w:rPr>
            </w:pPr>
          </w:p>
        </w:tc>
      </w:tr>
      <w:tr>
        <w:trPr>
          <w:trHeight w:val="246" w:hRule="atLeast"/>
        </w:trPr>
        <w:tc>
          <w:tcPr>
            <w:tcW w:w="1807" w:type="dxa"/>
          </w:tcPr>
          <w:p>
            <w:pPr>
              <w:pStyle w:val="TableParagraph"/>
              <w:spacing w:before="23"/>
              <w:ind w:left="30"/>
              <w:rPr>
                <w:sz w:val="16"/>
              </w:rPr>
            </w:pPr>
            <w:r>
              <w:rPr>
                <w:sz w:val="16"/>
              </w:rPr>
              <w:t>Pinus caribaea</w:t>
            </w:r>
          </w:p>
        </w:tc>
        <w:tc>
          <w:tcPr>
            <w:tcW w:w="1164" w:type="dxa"/>
          </w:tcPr>
          <w:p>
            <w:pPr>
              <w:pStyle w:val="TableParagraph"/>
              <w:spacing w:before="23"/>
              <w:ind w:left="196" w:right="182"/>
              <w:jc w:val="center"/>
              <w:rPr>
                <w:sz w:val="16"/>
              </w:rPr>
            </w:pPr>
            <w:r>
              <w:rPr>
                <w:sz w:val="16"/>
              </w:rPr>
              <w:t>0.48</w:t>
            </w:r>
          </w:p>
        </w:tc>
        <w:tc>
          <w:tcPr>
            <w:tcW w:w="1860" w:type="dxa"/>
          </w:tcPr>
          <w:p>
            <w:pPr>
              <w:pStyle w:val="TableParagraph"/>
              <w:spacing w:before="23"/>
              <w:ind w:left="31"/>
              <w:rPr>
                <w:sz w:val="16"/>
              </w:rPr>
            </w:pPr>
            <w:r>
              <w:rPr>
                <w:sz w:val="16"/>
              </w:rPr>
              <w:t>Raputia sp.</w:t>
            </w:r>
          </w:p>
        </w:tc>
        <w:tc>
          <w:tcPr>
            <w:tcW w:w="1188" w:type="dxa"/>
          </w:tcPr>
          <w:p>
            <w:pPr>
              <w:pStyle w:val="TableParagraph"/>
              <w:spacing w:before="23"/>
              <w:ind w:left="24" w:right="11"/>
              <w:jc w:val="center"/>
              <w:rPr>
                <w:sz w:val="16"/>
              </w:rPr>
            </w:pPr>
            <w:r>
              <w:rPr>
                <w:sz w:val="16"/>
              </w:rPr>
              <w:t>0.55</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Pinus insularis</w:t>
            </w:r>
          </w:p>
        </w:tc>
        <w:tc>
          <w:tcPr>
            <w:tcW w:w="1164" w:type="dxa"/>
          </w:tcPr>
          <w:p>
            <w:pPr>
              <w:pStyle w:val="TableParagraph"/>
              <w:spacing w:before="23"/>
              <w:ind w:left="196" w:right="181"/>
              <w:jc w:val="center"/>
              <w:rPr>
                <w:sz w:val="16"/>
              </w:rPr>
            </w:pPr>
            <w:r>
              <w:rPr>
                <w:sz w:val="16"/>
              </w:rPr>
              <w:t>0.47,0.48+</w:t>
            </w:r>
          </w:p>
        </w:tc>
        <w:tc>
          <w:tcPr>
            <w:tcW w:w="1860" w:type="dxa"/>
          </w:tcPr>
          <w:p>
            <w:pPr>
              <w:pStyle w:val="TableParagraph"/>
              <w:spacing w:before="23"/>
              <w:ind w:left="31"/>
              <w:rPr>
                <w:sz w:val="16"/>
              </w:rPr>
            </w:pPr>
            <w:r>
              <w:rPr>
                <w:sz w:val="16"/>
              </w:rPr>
              <w:t>Rheedia spp.</w:t>
            </w:r>
          </w:p>
        </w:tc>
        <w:tc>
          <w:tcPr>
            <w:tcW w:w="1188" w:type="dxa"/>
          </w:tcPr>
          <w:p>
            <w:pPr>
              <w:pStyle w:val="TableParagraph"/>
              <w:spacing w:before="23"/>
              <w:ind w:left="24" w:right="13"/>
              <w:jc w:val="center"/>
              <w:rPr>
                <w:sz w:val="16"/>
              </w:rPr>
            </w:pPr>
            <w:r>
              <w:rPr>
                <w:sz w:val="16"/>
              </w:rPr>
              <w:t>0.72</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Pinus merkusii</w:t>
            </w:r>
          </w:p>
        </w:tc>
        <w:tc>
          <w:tcPr>
            <w:tcW w:w="1164" w:type="dxa"/>
          </w:tcPr>
          <w:p>
            <w:pPr>
              <w:pStyle w:val="TableParagraph"/>
              <w:spacing w:before="23"/>
              <w:ind w:left="196" w:right="185"/>
              <w:jc w:val="center"/>
              <w:rPr>
                <w:sz w:val="16"/>
              </w:rPr>
            </w:pPr>
            <w:r>
              <w:rPr>
                <w:sz w:val="16"/>
              </w:rPr>
              <w:t>0.54</w:t>
            </w:r>
          </w:p>
        </w:tc>
        <w:tc>
          <w:tcPr>
            <w:tcW w:w="1860" w:type="dxa"/>
          </w:tcPr>
          <w:p>
            <w:pPr>
              <w:pStyle w:val="TableParagraph"/>
              <w:spacing w:before="23"/>
              <w:ind w:left="30"/>
              <w:rPr>
                <w:sz w:val="16"/>
              </w:rPr>
            </w:pPr>
            <w:r>
              <w:rPr>
                <w:sz w:val="16"/>
              </w:rPr>
              <w:t>Rollinia spp.</w:t>
            </w:r>
          </w:p>
        </w:tc>
        <w:tc>
          <w:tcPr>
            <w:tcW w:w="1188" w:type="dxa"/>
          </w:tcPr>
          <w:p>
            <w:pPr>
              <w:pStyle w:val="TableParagraph"/>
              <w:spacing w:before="23"/>
              <w:ind w:left="24" w:right="13"/>
              <w:jc w:val="center"/>
              <w:rPr>
                <w:sz w:val="16"/>
              </w:rPr>
            </w:pPr>
            <w:r>
              <w:rPr>
                <w:sz w:val="16"/>
              </w:rPr>
              <w:t>0.36</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Pisonia umbellifera</w:t>
            </w:r>
          </w:p>
        </w:tc>
        <w:tc>
          <w:tcPr>
            <w:tcW w:w="1164" w:type="dxa"/>
          </w:tcPr>
          <w:p>
            <w:pPr>
              <w:pStyle w:val="TableParagraph"/>
              <w:spacing w:before="23"/>
              <w:ind w:left="196" w:right="185"/>
              <w:jc w:val="center"/>
              <w:rPr>
                <w:sz w:val="16"/>
              </w:rPr>
            </w:pPr>
            <w:r>
              <w:rPr>
                <w:sz w:val="16"/>
              </w:rPr>
              <w:t>0.21</w:t>
            </w:r>
          </w:p>
        </w:tc>
        <w:tc>
          <w:tcPr>
            <w:tcW w:w="1860" w:type="dxa"/>
          </w:tcPr>
          <w:p>
            <w:pPr>
              <w:pStyle w:val="TableParagraph"/>
              <w:spacing w:before="23"/>
              <w:ind w:left="30"/>
              <w:rPr>
                <w:sz w:val="16"/>
              </w:rPr>
            </w:pPr>
            <w:r>
              <w:rPr>
                <w:sz w:val="16"/>
              </w:rPr>
              <w:t>Saccoglottis cydonioides</w:t>
            </w:r>
          </w:p>
        </w:tc>
        <w:tc>
          <w:tcPr>
            <w:tcW w:w="1188" w:type="dxa"/>
          </w:tcPr>
          <w:p>
            <w:pPr>
              <w:pStyle w:val="TableParagraph"/>
              <w:spacing w:before="23"/>
              <w:ind w:left="24" w:right="10"/>
              <w:jc w:val="center"/>
              <w:rPr>
                <w:sz w:val="16"/>
              </w:rPr>
            </w:pPr>
            <w:r>
              <w:rPr>
                <w:sz w:val="16"/>
              </w:rPr>
              <w:t>0.72</w:t>
            </w:r>
          </w:p>
        </w:tc>
        <w:tc>
          <w:tcPr>
            <w:tcW w:w="1807" w:type="dxa"/>
          </w:tcPr>
          <w:p>
            <w:pPr>
              <w:pStyle w:val="TableParagraph"/>
              <w:rPr>
                <w:sz w:val="16"/>
              </w:rPr>
            </w:pPr>
          </w:p>
        </w:tc>
        <w:tc>
          <w:tcPr>
            <w:tcW w:w="1190" w:type="dxa"/>
          </w:tcPr>
          <w:p>
            <w:pPr>
              <w:pStyle w:val="TableParagraph"/>
              <w:rPr>
                <w:sz w:val="16"/>
              </w:rPr>
            </w:pPr>
          </w:p>
        </w:tc>
      </w:tr>
      <w:tr>
        <w:trPr>
          <w:trHeight w:val="246" w:hRule="atLeast"/>
        </w:trPr>
        <w:tc>
          <w:tcPr>
            <w:tcW w:w="1807" w:type="dxa"/>
          </w:tcPr>
          <w:p>
            <w:pPr>
              <w:pStyle w:val="TableParagraph"/>
              <w:spacing w:before="23"/>
              <w:ind w:left="30"/>
              <w:rPr>
                <w:sz w:val="16"/>
              </w:rPr>
            </w:pPr>
            <w:r>
              <w:rPr>
                <w:sz w:val="16"/>
              </w:rPr>
              <w:t>Pittosporum pentandrum</w:t>
            </w:r>
          </w:p>
        </w:tc>
        <w:tc>
          <w:tcPr>
            <w:tcW w:w="1164" w:type="dxa"/>
          </w:tcPr>
          <w:p>
            <w:pPr>
              <w:pStyle w:val="TableParagraph"/>
              <w:spacing w:before="23"/>
              <w:ind w:left="196" w:right="186"/>
              <w:jc w:val="center"/>
              <w:rPr>
                <w:sz w:val="16"/>
              </w:rPr>
            </w:pPr>
            <w:r>
              <w:rPr>
                <w:sz w:val="16"/>
              </w:rPr>
              <w:t>0.51</w:t>
            </w:r>
          </w:p>
        </w:tc>
        <w:tc>
          <w:tcPr>
            <w:tcW w:w="1860" w:type="dxa"/>
          </w:tcPr>
          <w:p>
            <w:pPr>
              <w:pStyle w:val="TableParagraph"/>
              <w:spacing w:before="23"/>
              <w:ind w:left="30"/>
              <w:rPr>
                <w:sz w:val="16"/>
              </w:rPr>
            </w:pPr>
            <w:r>
              <w:rPr>
                <w:sz w:val="16"/>
              </w:rPr>
              <w:t>Sapium ssp.</w:t>
            </w:r>
          </w:p>
        </w:tc>
        <w:tc>
          <w:tcPr>
            <w:tcW w:w="1188" w:type="dxa"/>
          </w:tcPr>
          <w:p>
            <w:pPr>
              <w:pStyle w:val="TableParagraph"/>
              <w:spacing w:before="23"/>
              <w:ind w:left="24" w:right="11"/>
              <w:jc w:val="center"/>
              <w:rPr>
                <w:sz w:val="16"/>
              </w:rPr>
            </w:pPr>
            <w:r>
              <w:rPr>
                <w:sz w:val="16"/>
              </w:rPr>
              <w:t>0.47,0.72+</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Planchonia spp.</w:t>
            </w:r>
          </w:p>
        </w:tc>
        <w:tc>
          <w:tcPr>
            <w:tcW w:w="1164" w:type="dxa"/>
          </w:tcPr>
          <w:p>
            <w:pPr>
              <w:pStyle w:val="TableParagraph"/>
              <w:spacing w:before="23"/>
              <w:ind w:left="196" w:right="184"/>
              <w:jc w:val="center"/>
              <w:rPr>
                <w:sz w:val="16"/>
              </w:rPr>
            </w:pPr>
            <w:r>
              <w:rPr>
                <w:sz w:val="16"/>
              </w:rPr>
              <w:t>0.59</w:t>
            </w:r>
          </w:p>
        </w:tc>
        <w:tc>
          <w:tcPr>
            <w:tcW w:w="1860" w:type="dxa"/>
          </w:tcPr>
          <w:p>
            <w:pPr>
              <w:pStyle w:val="TableParagraph"/>
              <w:spacing w:before="23"/>
              <w:ind w:left="30"/>
              <w:rPr>
                <w:sz w:val="16"/>
              </w:rPr>
            </w:pPr>
            <w:r>
              <w:rPr>
                <w:sz w:val="16"/>
              </w:rPr>
              <w:t>Schinopsis spp.</w:t>
            </w:r>
          </w:p>
        </w:tc>
        <w:tc>
          <w:tcPr>
            <w:tcW w:w="1188" w:type="dxa"/>
          </w:tcPr>
          <w:p>
            <w:pPr>
              <w:pStyle w:val="TableParagraph"/>
              <w:spacing w:before="23"/>
              <w:ind w:left="10"/>
              <w:jc w:val="center"/>
              <w:rPr>
                <w:sz w:val="16"/>
              </w:rPr>
            </w:pPr>
            <w:r>
              <w:rPr>
                <w:w w:val="100"/>
                <w:sz w:val="16"/>
              </w:rPr>
              <w:t>1</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Podocarpus spp.</w:t>
            </w:r>
          </w:p>
        </w:tc>
        <w:tc>
          <w:tcPr>
            <w:tcW w:w="1164" w:type="dxa"/>
          </w:tcPr>
          <w:p>
            <w:pPr>
              <w:pStyle w:val="TableParagraph"/>
              <w:spacing w:before="23"/>
              <w:ind w:left="196" w:right="184"/>
              <w:jc w:val="center"/>
              <w:rPr>
                <w:sz w:val="16"/>
              </w:rPr>
            </w:pPr>
            <w:r>
              <w:rPr>
                <w:sz w:val="16"/>
              </w:rPr>
              <w:t>0.43</w:t>
            </w:r>
          </w:p>
        </w:tc>
        <w:tc>
          <w:tcPr>
            <w:tcW w:w="1860" w:type="dxa"/>
          </w:tcPr>
          <w:p>
            <w:pPr>
              <w:pStyle w:val="TableParagraph"/>
              <w:spacing w:before="23"/>
              <w:ind w:left="31"/>
              <w:rPr>
                <w:sz w:val="16"/>
              </w:rPr>
            </w:pPr>
            <w:r>
              <w:rPr>
                <w:sz w:val="16"/>
              </w:rPr>
              <w:t>Sclerobium spp.</w:t>
            </w:r>
          </w:p>
        </w:tc>
        <w:tc>
          <w:tcPr>
            <w:tcW w:w="1188" w:type="dxa"/>
          </w:tcPr>
          <w:p>
            <w:pPr>
              <w:pStyle w:val="TableParagraph"/>
              <w:spacing w:before="23"/>
              <w:ind w:left="24" w:right="14"/>
              <w:jc w:val="center"/>
              <w:rPr>
                <w:sz w:val="16"/>
              </w:rPr>
            </w:pPr>
            <w:r>
              <w:rPr>
                <w:sz w:val="16"/>
              </w:rPr>
              <w:t>0.47</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Polyalthia flava</w:t>
            </w:r>
          </w:p>
        </w:tc>
        <w:tc>
          <w:tcPr>
            <w:tcW w:w="1164" w:type="dxa"/>
          </w:tcPr>
          <w:p>
            <w:pPr>
              <w:pStyle w:val="TableParagraph"/>
              <w:spacing w:before="23"/>
              <w:ind w:left="196" w:right="183"/>
              <w:jc w:val="center"/>
              <w:rPr>
                <w:sz w:val="16"/>
              </w:rPr>
            </w:pPr>
            <w:r>
              <w:rPr>
                <w:sz w:val="16"/>
              </w:rPr>
              <w:t>0.51</w:t>
            </w:r>
          </w:p>
        </w:tc>
        <w:tc>
          <w:tcPr>
            <w:tcW w:w="1860" w:type="dxa"/>
          </w:tcPr>
          <w:p>
            <w:pPr>
              <w:pStyle w:val="TableParagraph"/>
              <w:spacing w:before="23"/>
              <w:ind w:left="31"/>
              <w:rPr>
                <w:sz w:val="16"/>
              </w:rPr>
            </w:pPr>
            <w:r>
              <w:rPr>
                <w:sz w:val="16"/>
              </w:rPr>
              <w:t>Sickingia spp.</w:t>
            </w:r>
          </w:p>
        </w:tc>
        <w:tc>
          <w:tcPr>
            <w:tcW w:w="1188" w:type="dxa"/>
          </w:tcPr>
          <w:p>
            <w:pPr>
              <w:pStyle w:val="TableParagraph"/>
              <w:spacing w:before="23"/>
              <w:ind w:left="24" w:right="11"/>
              <w:jc w:val="center"/>
              <w:rPr>
                <w:sz w:val="16"/>
              </w:rPr>
            </w:pPr>
            <w:r>
              <w:rPr>
                <w:sz w:val="16"/>
              </w:rPr>
              <w:t>0.52</w:t>
            </w:r>
          </w:p>
        </w:tc>
        <w:tc>
          <w:tcPr>
            <w:tcW w:w="1807" w:type="dxa"/>
          </w:tcPr>
          <w:p>
            <w:pPr>
              <w:pStyle w:val="TableParagraph"/>
              <w:rPr>
                <w:sz w:val="16"/>
              </w:rPr>
            </w:pPr>
          </w:p>
        </w:tc>
        <w:tc>
          <w:tcPr>
            <w:tcW w:w="1190" w:type="dxa"/>
          </w:tcPr>
          <w:p>
            <w:pPr>
              <w:pStyle w:val="TableParagraph"/>
              <w:rPr>
                <w:sz w:val="16"/>
              </w:rPr>
            </w:pPr>
          </w:p>
        </w:tc>
      </w:tr>
      <w:tr>
        <w:trPr>
          <w:trHeight w:val="246" w:hRule="atLeast"/>
        </w:trPr>
        <w:tc>
          <w:tcPr>
            <w:tcW w:w="1807" w:type="dxa"/>
          </w:tcPr>
          <w:p>
            <w:pPr>
              <w:pStyle w:val="TableParagraph"/>
              <w:spacing w:before="23"/>
              <w:ind w:left="30"/>
              <w:rPr>
                <w:sz w:val="16"/>
              </w:rPr>
            </w:pPr>
            <w:r>
              <w:rPr>
                <w:sz w:val="16"/>
              </w:rPr>
              <w:t>Polyscias nodosa</w:t>
            </w:r>
          </w:p>
        </w:tc>
        <w:tc>
          <w:tcPr>
            <w:tcW w:w="1164" w:type="dxa"/>
          </w:tcPr>
          <w:p>
            <w:pPr>
              <w:pStyle w:val="TableParagraph"/>
              <w:spacing w:before="23"/>
              <w:ind w:left="196" w:right="184"/>
              <w:jc w:val="center"/>
              <w:rPr>
                <w:sz w:val="16"/>
              </w:rPr>
            </w:pPr>
            <w:r>
              <w:rPr>
                <w:sz w:val="16"/>
              </w:rPr>
              <w:t>0.38</w:t>
            </w:r>
          </w:p>
        </w:tc>
        <w:tc>
          <w:tcPr>
            <w:tcW w:w="1860" w:type="dxa"/>
          </w:tcPr>
          <w:p>
            <w:pPr>
              <w:pStyle w:val="TableParagraph"/>
              <w:spacing w:before="23"/>
              <w:ind w:left="31"/>
              <w:rPr>
                <w:sz w:val="16"/>
              </w:rPr>
            </w:pPr>
            <w:r>
              <w:rPr>
                <w:sz w:val="16"/>
              </w:rPr>
              <w:t>Simaba multiflora</w:t>
            </w:r>
          </w:p>
        </w:tc>
        <w:tc>
          <w:tcPr>
            <w:tcW w:w="1188" w:type="dxa"/>
          </w:tcPr>
          <w:p>
            <w:pPr>
              <w:pStyle w:val="TableParagraph"/>
              <w:spacing w:before="23"/>
              <w:ind w:left="24" w:right="11"/>
              <w:jc w:val="center"/>
              <w:rPr>
                <w:sz w:val="16"/>
              </w:rPr>
            </w:pPr>
            <w:r>
              <w:rPr>
                <w:sz w:val="16"/>
              </w:rPr>
              <w:t>0.51</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Pometia spp.</w:t>
            </w:r>
          </w:p>
        </w:tc>
        <w:tc>
          <w:tcPr>
            <w:tcW w:w="1164" w:type="dxa"/>
          </w:tcPr>
          <w:p>
            <w:pPr>
              <w:pStyle w:val="TableParagraph"/>
              <w:spacing w:before="23"/>
              <w:ind w:left="196" w:right="184"/>
              <w:jc w:val="center"/>
              <w:rPr>
                <w:sz w:val="16"/>
              </w:rPr>
            </w:pPr>
            <w:r>
              <w:rPr>
                <w:sz w:val="16"/>
              </w:rPr>
              <w:t>0.54</w:t>
            </w:r>
          </w:p>
        </w:tc>
        <w:tc>
          <w:tcPr>
            <w:tcW w:w="1860" w:type="dxa"/>
          </w:tcPr>
          <w:p>
            <w:pPr>
              <w:pStyle w:val="TableParagraph"/>
              <w:spacing w:before="23"/>
              <w:ind w:left="30"/>
              <w:rPr>
                <w:sz w:val="16"/>
              </w:rPr>
            </w:pPr>
            <w:r>
              <w:rPr>
                <w:sz w:val="16"/>
              </w:rPr>
              <w:t>Simarouba amara</w:t>
            </w:r>
          </w:p>
        </w:tc>
        <w:tc>
          <w:tcPr>
            <w:tcW w:w="1188" w:type="dxa"/>
          </w:tcPr>
          <w:p>
            <w:pPr>
              <w:pStyle w:val="TableParagraph"/>
              <w:spacing w:before="23"/>
              <w:ind w:left="24" w:right="8"/>
              <w:jc w:val="center"/>
              <w:rPr>
                <w:sz w:val="16"/>
              </w:rPr>
            </w:pPr>
            <w:r>
              <w:rPr>
                <w:sz w:val="16"/>
              </w:rPr>
              <w:t>0.32, 0.34,0.38+</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Pouteria villamilii</w:t>
            </w:r>
          </w:p>
        </w:tc>
        <w:tc>
          <w:tcPr>
            <w:tcW w:w="1164" w:type="dxa"/>
          </w:tcPr>
          <w:p>
            <w:pPr>
              <w:pStyle w:val="TableParagraph"/>
              <w:spacing w:before="23"/>
              <w:ind w:left="196" w:right="183"/>
              <w:jc w:val="center"/>
              <w:rPr>
                <w:sz w:val="16"/>
              </w:rPr>
            </w:pPr>
            <w:r>
              <w:rPr>
                <w:sz w:val="16"/>
              </w:rPr>
              <w:t>0.47</w:t>
            </w:r>
          </w:p>
        </w:tc>
        <w:tc>
          <w:tcPr>
            <w:tcW w:w="1860" w:type="dxa"/>
          </w:tcPr>
          <w:p>
            <w:pPr>
              <w:pStyle w:val="TableParagraph"/>
              <w:spacing w:before="23"/>
              <w:ind w:left="31"/>
              <w:rPr>
                <w:sz w:val="16"/>
              </w:rPr>
            </w:pPr>
            <w:r>
              <w:rPr>
                <w:sz w:val="16"/>
              </w:rPr>
              <w:t>Sloanea guianensis</w:t>
            </w:r>
          </w:p>
        </w:tc>
        <w:tc>
          <w:tcPr>
            <w:tcW w:w="1188" w:type="dxa"/>
          </w:tcPr>
          <w:p>
            <w:pPr>
              <w:pStyle w:val="TableParagraph"/>
              <w:spacing w:before="23"/>
              <w:ind w:left="24" w:right="12"/>
              <w:jc w:val="center"/>
              <w:rPr>
                <w:sz w:val="16"/>
              </w:rPr>
            </w:pPr>
            <w:r>
              <w:rPr>
                <w:sz w:val="16"/>
              </w:rPr>
              <w:t>0.79</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Premna tomentosa</w:t>
            </w:r>
          </w:p>
        </w:tc>
        <w:tc>
          <w:tcPr>
            <w:tcW w:w="1164" w:type="dxa"/>
          </w:tcPr>
          <w:p>
            <w:pPr>
              <w:pStyle w:val="TableParagraph"/>
              <w:spacing w:before="23"/>
              <w:ind w:left="196" w:right="184"/>
              <w:jc w:val="center"/>
              <w:rPr>
                <w:sz w:val="16"/>
              </w:rPr>
            </w:pPr>
            <w:r>
              <w:rPr>
                <w:sz w:val="16"/>
              </w:rPr>
              <w:t>0.96</w:t>
            </w:r>
          </w:p>
        </w:tc>
        <w:tc>
          <w:tcPr>
            <w:tcW w:w="1860" w:type="dxa"/>
          </w:tcPr>
          <w:p>
            <w:pPr>
              <w:pStyle w:val="TableParagraph"/>
              <w:spacing w:before="23"/>
              <w:ind w:left="30"/>
              <w:rPr>
                <w:sz w:val="16"/>
              </w:rPr>
            </w:pPr>
            <w:r>
              <w:rPr>
                <w:sz w:val="16"/>
              </w:rPr>
              <w:t>Spondias mombin</w:t>
            </w:r>
          </w:p>
        </w:tc>
        <w:tc>
          <w:tcPr>
            <w:tcW w:w="1188" w:type="dxa"/>
          </w:tcPr>
          <w:p>
            <w:pPr>
              <w:pStyle w:val="TableParagraph"/>
              <w:spacing w:before="23"/>
              <w:ind w:left="24" w:right="10"/>
              <w:jc w:val="center"/>
              <w:rPr>
                <w:sz w:val="16"/>
              </w:rPr>
            </w:pPr>
            <w:r>
              <w:rPr>
                <w:sz w:val="16"/>
              </w:rPr>
              <w:t>0.30, 0.40,0.41+</w:t>
            </w:r>
          </w:p>
        </w:tc>
        <w:tc>
          <w:tcPr>
            <w:tcW w:w="1807" w:type="dxa"/>
          </w:tcPr>
          <w:p>
            <w:pPr>
              <w:pStyle w:val="TableParagraph"/>
              <w:rPr>
                <w:sz w:val="16"/>
              </w:rPr>
            </w:pPr>
          </w:p>
        </w:tc>
        <w:tc>
          <w:tcPr>
            <w:tcW w:w="1190" w:type="dxa"/>
          </w:tcPr>
          <w:p>
            <w:pPr>
              <w:pStyle w:val="TableParagraph"/>
              <w:rPr>
                <w:sz w:val="16"/>
              </w:rPr>
            </w:pPr>
          </w:p>
        </w:tc>
      </w:tr>
      <w:tr>
        <w:trPr>
          <w:trHeight w:val="246" w:hRule="atLeast"/>
        </w:trPr>
        <w:tc>
          <w:tcPr>
            <w:tcW w:w="1807" w:type="dxa"/>
          </w:tcPr>
          <w:p>
            <w:pPr>
              <w:pStyle w:val="TableParagraph"/>
              <w:spacing w:before="23"/>
              <w:ind w:left="30"/>
              <w:rPr>
                <w:sz w:val="16"/>
              </w:rPr>
            </w:pPr>
            <w:r>
              <w:rPr>
                <w:sz w:val="16"/>
              </w:rPr>
              <w:t>Pterocarpus marsupium</w:t>
            </w:r>
          </w:p>
        </w:tc>
        <w:tc>
          <w:tcPr>
            <w:tcW w:w="1164" w:type="dxa"/>
          </w:tcPr>
          <w:p>
            <w:pPr>
              <w:pStyle w:val="TableParagraph"/>
              <w:spacing w:before="23"/>
              <w:ind w:left="196" w:right="184"/>
              <w:jc w:val="center"/>
              <w:rPr>
                <w:sz w:val="16"/>
              </w:rPr>
            </w:pPr>
            <w:r>
              <w:rPr>
                <w:sz w:val="16"/>
              </w:rPr>
              <w:t>0.67</w:t>
            </w:r>
          </w:p>
        </w:tc>
        <w:tc>
          <w:tcPr>
            <w:tcW w:w="1860" w:type="dxa"/>
          </w:tcPr>
          <w:p>
            <w:pPr>
              <w:pStyle w:val="TableParagraph"/>
              <w:spacing w:before="23"/>
              <w:ind w:left="30"/>
              <w:rPr>
                <w:sz w:val="16"/>
              </w:rPr>
            </w:pPr>
            <w:r>
              <w:rPr>
                <w:sz w:val="16"/>
              </w:rPr>
              <w:t>Sterculia spp.</w:t>
            </w:r>
          </w:p>
        </w:tc>
        <w:tc>
          <w:tcPr>
            <w:tcW w:w="1188" w:type="dxa"/>
          </w:tcPr>
          <w:p>
            <w:pPr>
              <w:pStyle w:val="TableParagraph"/>
              <w:spacing w:before="23"/>
              <w:ind w:left="24" w:right="11"/>
              <w:jc w:val="center"/>
              <w:rPr>
                <w:sz w:val="16"/>
              </w:rPr>
            </w:pPr>
            <w:r>
              <w:rPr>
                <w:sz w:val="16"/>
              </w:rPr>
              <w:t>0.55</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Pterocymbium tinctorium</w:t>
            </w:r>
          </w:p>
        </w:tc>
        <w:tc>
          <w:tcPr>
            <w:tcW w:w="1164" w:type="dxa"/>
          </w:tcPr>
          <w:p>
            <w:pPr>
              <w:pStyle w:val="TableParagraph"/>
              <w:spacing w:before="23"/>
              <w:ind w:left="196" w:right="184"/>
              <w:jc w:val="center"/>
              <w:rPr>
                <w:sz w:val="16"/>
              </w:rPr>
            </w:pPr>
            <w:r>
              <w:rPr>
                <w:sz w:val="16"/>
              </w:rPr>
              <w:t>0.28</w:t>
            </w:r>
          </w:p>
        </w:tc>
        <w:tc>
          <w:tcPr>
            <w:tcW w:w="1860" w:type="dxa"/>
          </w:tcPr>
          <w:p>
            <w:pPr>
              <w:pStyle w:val="TableParagraph"/>
              <w:spacing w:before="23"/>
              <w:ind w:left="30"/>
              <w:rPr>
                <w:sz w:val="16"/>
              </w:rPr>
            </w:pPr>
            <w:r>
              <w:rPr>
                <w:sz w:val="16"/>
              </w:rPr>
              <w:t>Stylogyne spp.</w:t>
            </w:r>
          </w:p>
        </w:tc>
        <w:tc>
          <w:tcPr>
            <w:tcW w:w="1188" w:type="dxa"/>
          </w:tcPr>
          <w:p>
            <w:pPr>
              <w:pStyle w:val="TableParagraph"/>
              <w:spacing w:before="23"/>
              <w:ind w:left="24" w:right="12"/>
              <w:jc w:val="center"/>
              <w:rPr>
                <w:sz w:val="16"/>
              </w:rPr>
            </w:pPr>
            <w:r>
              <w:rPr>
                <w:sz w:val="16"/>
              </w:rPr>
              <w:t>0.69</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Pyge’um vulgare</w:t>
            </w:r>
          </w:p>
        </w:tc>
        <w:tc>
          <w:tcPr>
            <w:tcW w:w="1164" w:type="dxa"/>
          </w:tcPr>
          <w:p>
            <w:pPr>
              <w:pStyle w:val="TableParagraph"/>
              <w:spacing w:before="23"/>
              <w:ind w:left="196" w:right="184"/>
              <w:jc w:val="center"/>
              <w:rPr>
                <w:sz w:val="16"/>
              </w:rPr>
            </w:pPr>
            <w:r>
              <w:rPr>
                <w:sz w:val="16"/>
              </w:rPr>
              <w:t>0.57</w:t>
            </w:r>
          </w:p>
        </w:tc>
        <w:tc>
          <w:tcPr>
            <w:tcW w:w="1860" w:type="dxa"/>
          </w:tcPr>
          <w:p>
            <w:pPr>
              <w:pStyle w:val="TableParagraph"/>
              <w:spacing w:before="23"/>
              <w:ind w:left="30"/>
              <w:rPr>
                <w:sz w:val="16"/>
              </w:rPr>
            </w:pPr>
            <w:r>
              <w:rPr>
                <w:sz w:val="16"/>
              </w:rPr>
              <w:t>Swartzia spp.</w:t>
            </w:r>
          </w:p>
        </w:tc>
        <w:tc>
          <w:tcPr>
            <w:tcW w:w="1188" w:type="dxa"/>
          </w:tcPr>
          <w:p>
            <w:pPr>
              <w:pStyle w:val="TableParagraph"/>
              <w:spacing w:before="23"/>
              <w:ind w:left="24" w:right="12"/>
              <w:jc w:val="center"/>
              <w:rPr>
                <w:sz w:val="16"/>
              </w:rPr>
            </w:pPr>
            <w:r>
              <w:rPr>
                <w:sz w:val="16"/>
              </w:rPr>
              <w:t>0.95</w:t>
            </w:r>
          </w:p>
        </w:tc>
        <w:tc>
          <w:tcPr>
            <w:tcW w:w="1807" w:type="dxa"/>
          </w:tcPr>
          <w:p>
            <w:pPr>
              <w:pStyle w:val="TableParagraph"/>
              <w:rPr>
                <w:sz w:val="16"/>
              </w:rPr>
            </w:pPr>
          </w:p>
        </w:tc>
        <w:tc>
          <w:tcPr>
            <w:tcW w:w="1190" w:type="dxa"/>
          </w:tcPr>
          <w:p>
            <w:pPr>
              <w:pStyle w:val="TableParagraph"/>
              <w:rPr>
                <w:sz w:val="16"/>
              </w:rPr>
            </w:pPr>
          </w:p>
        </w:tc>
      </w:tr>
      <w:tr>
        <w:trPr>
          <w:trHeight w:val="388" w:hRule="atLeast"/>
        </w:trPr>
        <w:tc>
          <w:tcPr>
            <w:tcW w:w="1807" w:type="dxa"/>
          </w:tcPr>
          <w:p>
            <w:pPr>
              <w:pStyle w:val="TableParagraph"/>
              <w:spacing w:before="95"/>
              <w:ind w:left="30"/>
              <w:rPr>
                <w:sz w:val="16"/>
              </w:rPr>
            </w:pPr>
            <w:r>
              <w:rPr>
                <w:sz w:val="16"/>
              </w:rPr>
              <w:t>Quercus spp.</w:t>
            </w:r>
          </w:p>
        </w:tc>
        <w:tc>
          <w:tcPr>
            <w:tcW w:w="1164" w:type="dxa"/>
          </w:tcPr>
          <w:p>
            <w:pPr>
              <w:pStyle w:val="TableParagraph"/>
              <w:spacing w:before="95"/>
              <w:ind w:left="196" w:right="186"/>
              <w:jc w:val="center"/>
              <w:rPr>
                <w:sz w:val="16"/>
              </w:rPr>
            </w:pPr>
            <w:r>
              <w:rPr>
                <w:sz w:val="16"/>
              </w:rPr>
              <w:t>0.7</w:t>
            </w:r>
          </w:p>
        </w:tc>
        <w:tc>
          <w:tcPr>
            <w:tcW w:w="1860" w:type="dxa"/>
          </w:tcPr>
          <w:p>
            <w:pPr>
              <w:pStyle w:val="TableParagraph"/>
              <w:spacing w:before="95"/>
              <w:ind w:left="30"/>
              <w:rPr>
                <w:sz w:val="16"/>
              </w:rPr>
            </w:pPr>
            <w:r>
              <w:rPr>
                <w:sz w:val="16"/>
              </w:rPr>
              <w:t>Swietenia macrophylla</w:t>
            </w:r>
          </w:p>
        </w:tc>
        <w:tc>
          <w:tcPr>
            <w:tcW w:w="1188" w:type="dxa"/>
          </w:tcPr>
          <w:p>
            <w:pPr>
              <w:pStyle w:val="TableParagraph"/>
              <w:spacing w:before="4"/>
              <w:ind w:left="24" w:right="15"/>
              <w:jc w:val="center"/>
              <w:rPr>
                <w:sz w:val="16"/>
              </w:rPr>
            </w:pPr>
            <w:r>
              <w:rPr>
                <w:sz w:val="16"/>
              </w:rPr>
              <w:t>0.42,0.45,0.46,</w:t>
            </w:r>
          </w:p>
          <w:p>
            <w:pPr>
              <w:pStyle w:val="TableParagraph"/>
              <w:spacing w:line="180" w:lineRule="exact" w:before="1"/>
              <w:ind w:left="24" w:right="15"/>
              <w:jc w:val="center"/>
              <w:rPr>
                <w:sz w:val="16"/>
              </w:rPr>
            </w:pPr>
            <w:r>
              <w:rPr>
                <w:sz w:val="16"/>
              </w:rPr>
              <w:t>0.54+</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Radermachera pinnata</w:t>
            </w:r>
          </w:p>
        </w:tc>
        <w:tc>
          <w:tcPr>
            <w:tcW w:w="1164" w:type="dxa"/>
          </w:tcPr>
          <w:p>
            <w:pPr>
              <w:pStyle w:val="TableParagraph"/>
              <w:spacing w:before="23"/>
              <w:ind w:left="196" w:right="181"/>
              <w:jc w:val="center"/>
              <w:rPr>
                <w:sz w:val="16"/>
              </w:rPr>
            </w:pPr>
            <w:r>
              <w:rPr>
                <w:sz w:val="16"/>
              </w:rPr>
              <w:t>0.51</w:t>
            </w:r>
          </w:p>
        </w:tc>
        <w:tc>
          <w:tcPr>
            <w:tcW w:w="1860" w:type="dxa"/>
          </w:tcPr>
          <w:p>
            <w:pPr>
              <w:pStyle w:val="TableParagraph"/>
              <w:spacing w:before="23"/>
              <w:ind w:left="32"/>
              <w:rPr>
                <w:sz w:val="16"/>
              </w:rPr>
            </w:pPr>
            <w:r>
              <w:rPr>
                <w:sz w:val="16"/>
              </w:rPr>
              <w:t>Symphonia globulifera</w:t>
            </w:r>
          </w:p>
        </w:tc>
        <w:tc>
          <w:tcPr>
            <w:tcW w:w="1188" w:type="dxa"/>
          </w:tcPr>
          <w:p>
            <w:pPr>
              <w:pStyle w:val="TableParagraph"/>
              <w:spacing w:before="23"/>
              <w:ind w:left="24" w:right="11"/>
              <w:jc w:val="center"/>
              <w:rPr>
                <w:sz w:val="16"/>
              </w:rPr>
            </w:pPr>
            <w:r>
              <w:rPr>
                <w:sz w:val="16"/>
              </w:rPr>
              <w:t>0.68</w:t>
            </w:r>
          </w:p>
        </w:tc>
        <w:tc>
          <w:tcPr>
            <w:tcW w:w="1807" w:type="dxa"/>
          </w:tcPr>
          <w:p>
            <w:pPr>
              <w:pStyle w:val="TableParagraph"/>
              <w:rPr>
                <w:sz w:val="16"/>
              </w:rPr>
            </w:pPr>
          </w:p>
        </w:tc>
        <w:tc>
          <w:tcPr>
            <w:tcW w:w="1190" w:type="dxa"/>
          </w:tcPr>
          <w:p>
            <w:pPr>
              <w:pStyle w:val="TableParagraph"/>
              <w:rPr>
                <w:sz w:val="16"/>
              </w:rPr>
            </w:pPr>
          </w:p>
        </w:tc>
      </w:tr>
      <w:tr>
        <w:trPr>
          <w:trHeight w:val="385" w:hRule="atLeast"/>
        </w:trPr>
        <w:tc>
          <w:tcPr>
            <w:tcW w:w="1807" w:type="dxa"/>
          </w:tcPr>
          <w:p>
            <w:pPr>
              <w:pStyle w:val="TableParagraph"/>
              <w:spacing w:before="95"/>
              <w:ind w:left="30"/>
              <w:rPr>
                <w:sz w:val="16"/>
              </w:rPr>
            </w:pPr>
            <w:r>
              <w:rPr>
                <w:sz w:val="16"/>
              </w:rPr>
              <w:t>Salmalia malabarica</w:t>
            </w:r>
          </w:p>
        </w:tc>
        <w:tc>
          <w:tcPr>
            <w:tcW w:w="1164" w:type="dxa"/>
          </w:tcPr>
          <w:p>
            <w:pPr>
              <w:pStyle w:val="TableParagraph"/>
              <w:spacing w:before="95"/>
              <w:ind w:left="196" w:right="181"/>
              <w:jc w:val="center"/>
              <w:rPr>
                <w:sz w:val="16"/>
              </w:rPr>
            </w:pPr>
            <w:r>
              <w:rPr>
                <w:sz w:val="16"/>
              </w:rPr>
              <w:t>0.32,0.33+</w:t>
            </w:r>
          </w:p>
        </w:tc>
        <w:tc>
          <w:tcPr>
            <w:tcW w:w="1860" w:type="dxa"/>
          </w:tcPr>
          <w:p>
            <w:pPr>
              <w:pStyle w:val="TableParagraph"/>
              <w:spacing w:line="182" w:lineRule="exact" w:before="7"/>
              <w:ind w:left="31" w:right="310"/>
              <w:rPr>
                <w:sz w:val="16"/>
              </w:rPr>
            </w:pPr>
            <w:r>
              <w:rPr>
                <w:sz w:val="16"/>
              </w:rPr>
              <w:t>Tabebuia spp. (lapacho group)</w:t>
            </w:r>
          </w:p>
        </w:tc>
        <w:tc>
          <w:tcPr>
            <w:tcW w:w="1188" w:type="dxa"/>
          </w:tcPr>
          <w:p>
            <w:pPr>
              <w:pStyle w:val="TableParagraph"/>
              <w:spacing w:before="95"/>
              <w:ind w:left="24" w:right="12"/>
              <w:jc w:val="center"/>
              <w:rPr>
                <w:sz w:val="16"/>
              </w:rPr>
            </w:pPr>
            <w:r>
              <w:rPr>
                <w:sz w:val="16"/>
              </w:rPr>
              <w:t>0.91</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Samanea saman</w:t>
            </w:r>
          </w:p>
        </w:tc>
        <w:tc>
          <w:tcPr>
            <w:tcW w:w="1164" w:type="dxa"/>
          </w:tcPr>
          <w:p>
            <w:pPr>
              <w:pStyle w:val="TableParagraph"/>
              <w:spacing w:before="23"/>
              <w:ind w:left="196" w:right="187"/>
              <w:jc w:val="center"/>
              <w:rPr>
                <w:sz w:val="16"/>
              </w:rPr>
            </w:pPr>
            <w:r>
              <w:rPr>
                <w:sz w:val="16"/>
              </w:rPr>
              <w:t>0.45, 0.46+</w:t>
            </w:r>
          </w:p>
        </w:tc>
        <w:tc>
          <w:tcPr>
            <w:tcW w:w="1860" w:type="dxa"/>
          </w:tcPr>
          <w:p>
            <w:pPr>
              <w:pStyle w:val="TableParagraph"/>
              <w:spacing w:before="23"/>
              <w:ind w:left="31"/>
              <w:rPr>
                <w:sz w:val="16"/>
              </w:rPr>
            </w:pPr>
            <w:r>
              <w:rPr>
                <w:sz w:val="16"/>
              </w:rPr>
              <w:t>Tabebuia spp. (roble)</w:t>
            </w:r>
          </w:p>
        </w:tc>
        <w:tc>
          <w:tcPr>
            <w:tcW w:w="1188" w:type="dxa"/>
          </w:tcPr>
          <w:p>
            <w:pPr>
              <w:pStyle w:val="TableParagraph"/>
              <w:spacing w:before="23"/>
              <w:ind w:left="24" w:right="11"/>
              <w:jc w:val="center"/>
              <w:rPr>
                <w:sz w:val="16"/>
              </w:rPr>
            </w:pPr>
            <w:r>
              <w:rPr>
                <w:sz w:val="16"/>
              </w:rPr>
              <w:t>0.52</w:t>
            </w:r>
          </w:p>
        </w:tc>
        <w:tc>
          <w:tcPr>
            <w:tcW w:w="1807" w:type="dxa"/>
          </w:tcPr>
          <w:p>
            <w:pPr>
              <w:pStyle w:val="TableParagraph"/>
              <w:rPr>
                <w:sz w:val="16"/>
              </w:rPr>
            </w:pPr>
          </w:p>
        </w:tc>
        <w:tc>
          <w:tcPr>
            <w:tcW w:w="1190" w:type="dxa"/>
          </w:tcPr>
          <w:p>
            <w:pPr>
              <w:pStyle w:val="TableParagraph"/>
              <w:rPr>
                <w:sz w:val="16"/>
              </w:rPr>
            </w:pPr>
          </w:p>
        </w:tc>
      </w:tr>
      <w:tr>
        <w:trPr>
          <w:trHeight w:val="246" w:hRule="atLeast"/>
        </w:trPr>
        <w:tc>
          <w:tcPr>
            <w:tcW w:w="1807" w:type="dxa"/>
          </w:tcPr>
          <w:p>
            <w:pPr>
              <w:pStyle w:val="TableParagraph"/>
              <w:spacing w:before="23"/>
              <w:ind w:left="30"/>
              <w:rPr>
                <w:sz w:val="16"/>
              </w:rPr>
            </w:pPr>
            <w:r>
              <w:rPr>
                <w:sz w:val="16"/>
              </w:rPr>
              <w:t>Sandoricum vidalii</w:t>
            </w:r>
          </w:p>
        </w:tc>
        <w:tc>
          <w:tcPr>
            <w:tcW w:w="1164" w:type="dxa"/>
          </w:tcPr>
          <w:p>
            <w:pPr>
              <w:pStyle w:val="TableParagraph"/>
              <w:spacing w:before="23"/>
              <w:ind w:left="196" w:right="184"/>
              <w:jc w:val="center"/>
              <w:rPr>
                <w:sz w:val="16"/>
              </w:rPr>
            </w:pPr>
            <w:r>
              <w:rPr>
                <w:sz w:val="16"/>
              </w:rPr>
              <w:t>0.43</w:t>
            </w:r>
          </w:p>
        </w:tc>
        <w:tc>
          <w:tcPr>
            <w:tcW w:w="1860" w:type="dxa"/>
          </w:tcPr>
          <w:p>
            <w:pPr>
              <w:pStyle w:val="TableParagraph"/>
              <w:spacing w:before="23"/>
              <w:ind w:left="30"/>
              <w:rPr>
                <w:sz w:val="16"/>
              </w:rPr>
            </w:pPr>
            <w:r>
              <w:rPr>
                <w:sz w:val="16"/>
              </w:rPr>
              <w:t>Tabebuia spp. (white cedar)</w:t>
            </w:r>
          </w:p>
        </w:tc>
        <w:tc>
          <w:tcPr>
            <w:tcW w:w="1188" w:type="dxa"/>
          </w:tcPr>
          <w:p>
            <w:pPr>
              <w:pStyle w:val="TableParagraph"/>
              <w:spacing w:before="23"/>
              <w:ind w:left="24" w:right="12"/>
              <w:jc w:val="center"/>
              <w:rPr>
                <w:sz w:val="16"/>
              </w:rPr>
            </w:pPr>
            <w:r>
              <w:rPr>
                <w:sz w:val="16"/>
              </w:rPr>
              <w:t>0.57</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Sapindus saponaria</w:t>
            </w:r>
          </w:p>
        </w:tc>
        <w:tc>
          <w:tcPr>
            <w:tcW w:w="1164" w:type="dxa"/>
          </w:tcPr>
          <w:p>
            <w:pPr>
              <w:pStyle w:val="TableParagraph"/>
              <w:spacing w:before="23"/>
              <w:ind w:left="196" w:right="186"/>
              <w:jc w:val="center"/>
              <w:rPr>
                <w:sz w:val="16"/>
              </w:rPr>
            </w:pPr>
            <w:r>
              <w:rPr>
                <w:sz w:val="16"/>
              </w:rPr>
              <w:t>0.58</w:t>
            </w:r>
          </w:p>
        </w:tc>
        <w:tc>
          <w:tcPr>
            <w:tcW w:w="1860" w:type="dxa"/>
          </w:tcPr>
          <w:p>
            <w:pPr>
              <w:pStyle w:val="TableParagraph"/>
              <w:spacing w:before="23"/>
              <w:ind w:left="30"/>
              <w:rPr>
                <w:sz w:val="16"/>
              </w:rPr>
            </w:pPr>
            <w:r>
              <w:rPr>
                <w:sz w:val="16"/>
              </w:rPr>
              <w:t>Tabebuia stenocalyx</w:t>
            </w:r>
          </w:p>
        </w:tc>
        <w:tc>
          <w:tcPr>
            <w:tcW w:w="1188" w:type="dxa"/>
          </w:tcPr>
          <w:p>
            <w:pPr>
              <w:pStyle w:val="TableParagraph"/>
              <w:spacing w:before="23"/>
              <w:ind w:left="24" w:right="10"/>
              <w:jc w:val="center"/>
              <w:rPr>
                <w:sz w:val="16"/>
              </w:rPr>
            </w:pPr>
            <w:r>
              <w:rPr>
                <w:sz w:val="16"/>
              </w:rPr>
              <w:t>0.55,0.57+</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Sapium luzontcum</w:t>
            </w:r>
          </w:p>
        </w:tc>
        <w:tc>
          <w:tcPr>
            <w:tcW w:w="1164" w:type="dxa"/>
          </w:tcPr>
          <w:p>
            <w:pPr>
              <w:pStyle w:val="TableParagraph"/>
              <w:spacing w:before="23"/>
              <w:ind w:left="196" w:right="186"/>
              <w:jc w:val="center"/>
              <w:rPr>
                <w:sz w:val="16"/>
              </w:rPr>
            </w:pPr>
            <w:r>
              <w:rPr>
                <w:sz w:val="16"/>
              </w:rPr>
              <w:t>0.4</w:t>
            </w:r>
          </w:p>
        </w:tc>
        <w:tc>
          <w:tcPr>
            <w:tcW w:w="1860" w:type="dxa"/>
          </w:tcPr>
          <w:p>
            <w:pPr>
              <w:pStyle w:val="TableParagraph"/>
              <w:spacing w:before="23"/>
              <w:ind w:left="30"/>
              <w:rPr>
                <w:sz w:val="16"/>
              </w:rPr>
            </w:pPr>
            <w:r>
              <w:rPr>
                <w:sz w:val="16"/>
              </w:rPr>
              <w:t>Tachigalia myrmecophylla</w:t>
            </w:r>
          </w:p>
        </w:tc>
        <w:tc>
          <w:tcPr>
            <w:tcW w:w="1188" w:type="dxa"/>
          </w:tcPr>
          <w:p>
            <w:pPr>
              <w:pStyle w:val="TableParagraph"/>
              <w:spacing w:before="23"/>
              <w:ind w:left="24" w:right="10"/>
              <w:jc w:val="center"/>
              <w:rPr>
                <w:sz w:val="16"/>
              </w:rPr>
            </w:pPr>
            <w:r>
              <w:rPr>
                <w:sz w:val="16"/>
              </w:rPr>
              <w:t>0.56</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Schleichera oleosa</w:t>
            </w:r>
          </w:p>
        </w:tc>
        <w:tc>
          <w:tcPr>
            <w:tcW w:w="1164" w:type="dxa"/>
          </w:tcPr>
          <w:p>
            <w:pPr>
              <w:pStyle w:val="TableParagraph"/>
              <w:spacing w:before="23"/>
              <w:ind w:left="196" w:right="184"/>
              <w:jc w:val="center"/>
              <w:rPr>
                <w:sz w:val="16"/>
              </w:rPr>
            </w:pPr>
            <w:r>
              <w:rPr>
                <w:sz w:val="16"/>
              </w:rPr>
              <w:t>0.96</w:t>
            </w:r>
          </w:p>
        </w:tc>
        <w:tc>
          <w:tcPr>
            <w:tcW w:w="1860" w:type="dxa"/>
          </w:tcPr>
          <w:p>
            <w:pPr>
              <w:pStyle w:val="TableParagraph"/>
              <w:spacing w:before="23"/>
              <w:ind w:left="31"/>
              <w:rPr>
                <w:sz w:val="16"/>
              </w:rPr>
            </w:pPr>
            <w:r>
              <w:rPr>
                <w:sz w:val="16"/>
              </w:rPr>
              <w:t>Talisia sp.</w:t>
            </w:r>
          </w:p>
        </w:tc>
        <w:tc>
          <w:tcPr>
            <w:tcW w:w="1188" w:type="dxa"/>
          </w:tcPr>
          <w:p>
            <w:pPr>
              <w:pStyle w:val="TableParagraph"/>
              <w:spacing w:before="23"/>
              <w:ind w:left="24" w:right="11"/>
              <w:jc w:val="center"/>
              <w:rPr>
                <w:sz w:val="16"/>
              </w:rPr>
            </w:pPr>
            <w:r>
              <w:rPr>
                <w:sz w:val="16"/>
              </w:rPr>
              <w:t>0.84</w:t>
            </w:r>
          </w:p>
        </w:tc>
        <w:tc>
          <w:tcPr>
            <w:tcW w:w="1807" w:type="dxa"/>
          </w:tcPr>
          <w:p>
            <w:pPr>
              <w:pStyle w:val="TableParagraph"/>
              <w:rPr>
                <w:sz w:val="16"/>
              </w:rPr>
            </w:pPr>
          </w:p>
        </w:tc>
        <w:tc>
          <w:tcPr>
            <w:tcW w:w="1190" w:type="dxa"/>
          </w:tcPr>
          <w:p>
            <w:pPr>
              <w:pStyle w:val="TableParagraph"/>
              <w:rPr>
                <w:sz w:val="16"/>
              </w:rPr>
            </w:pPr>
          </w:p>
        </w:tc>
      </w:tr>
      <w:tr>
        <w:trPr>
          <w:trHeight w:val="246" w:hRule="atLeast"/>
        </w:trPr>
        <w:tc>
          <w:tcPr>
            <w:tcW w:w="1807" w:type="dxa"/>
          </w:tcPr>
          <w:p>
            <w:pPr>
              <w:pStyle w:val="TableParagraph"/>
              <w:spacing w:before="23"/>
              <w:ind w:left="30"/>
              <w:rPr>
                <w:sz w:val="16"/>
              </w:rPr>
            </w:pPr>
            <w:r>
              <w:rPr>
                <w:sz w:val="16"/>
              </w:rPr>
              <w:t>Schrebera swietenoides</w:t>
            </w:r>
          </w:p>
        </w:tc>
        <w:tc>
          <w:tcPr>
            <w:tcW w:w="1164" w:type="dxa"/>
          </w:tcPr>
          <w:p>
            <w:pPr>
              <w:pStyle w:val="TableParagraph"/>
              <w:spacing w:before="23"/>
              <w:ind w:left="196" w:right="184"/>
              <w:jc w:val="center"/>
              <w:rPr>
                <w:sz w:val="16"/>
              </w:rPr>
            </w:pPr>
            <w:r>
              <w:rPr>
                <w:sz w:val="16"/>
              </w:rPr>
              <w:t>0.82</w:t>
            </w:r>
          </w:p>
        </w:tc>
        <w:tc>
          <w:tcPr>
            <w:tcW w:w="1860" w:type="dxa"/>
          </w:tcPr>
          <w:p>
            <w:pPr>
              <w:pStyle w:val="TableParagraph"/>
              <w:spacing w:before="23"/>
              <w:ind w:left="31"/>
              <w:rPr>
                <w:sz w:val="16"/>
              </w:rPr>
            </w:pPr>
            <w:r>
              <w:rPr>
                <w:sz w:val="16"/>
              </w:rPr>
              <w:t>Tapirira guianensis</w:t>
            </w:r>
          </w:p>
        </w:tc>
        <w:tc>
          <w:tcPr>
            <w:tcW w:w="1188" w:type="dxa"/>
          </w:tcPr>
          <w:p>
            <w:pPr>
              <w:pStyle w:val="TableParagraph"/>
              <w:spacing w:before="23"/>
              <w:ind w:left="24" w:right="13"/>
              <w:jc w:val="center"/>
              <w:rPr>
                <w:sz w:val="16"/>
              </w:rPr>
            </w:pPr>
            <w:r>
              <w:rPr>
                <w:sz w:val="16"/>
              </w:rPr>
              <w:t>0.47*</w:t>
            </w:r>
          </w:p>
        </w:tc>
        <w:tc>
          <w:tcPr>
            <w:tcW w:w="1807" w:type="dxa"/>
          </w:tcPr>
          <w:p>
            <w:pPr>
              <w:pStyle w:val="TableParagraph"/>
              <w:rPr>
                <w:sz w:val="16"/>
              </w:rPr>
            </w:pPr>
          </w:p>
        </w:tc>
        <w:tc>
          <w:tcPr>
            <w:tcW w:w="1190" w:type="dxa"/>
          </w:tcPr>
          <w:p>
            <w:pPr>
              <w:pStyle w:val="TableParagraph"/>
              <w:rPr>
                <w:sz w:val="16"/>
              </w:rPr>
            </w:pPr>
          </w:p>
        </w:tc>
      </w:tr>
      <w:tr>
        <w:trPr>
          <w:trHeight w:val="386" w:hRule="atLeast"/>
        </w:trPr>
        <w:tc>
          <w:tcPr>
            <w:tcW w:w="1807" w:type="dxa"/>
          </w:tcPr>
          <w:p>
            <w:pPr>
              <w:pStyle w:val="TableParagraph"/>
              <w:spacing w:before="95"/>
              <w:ind w:left="30"/>
              <w:rPr>
                <w:sz w:val="16"/>
              </w:rPr>
            </w:pPr>
            <w:r>
              <w:rPr>
                <w:sz w:val="16"/>
              </w:rPr>
              <w:t>Semicarpus anacardium</w:t>
            </w:r>
          </w:p>
        </w:tc>
        <w:tc>
          <w:tcPr>
            <w:tcW w:w="1164" w:type="dxa"/>
          </w:tcPr>
          <w:p>
            <w:pPr>
              <w:pStyle w:val="TableParagraph"/>
              <w:spacing w:before="95"/>
              <w:ind w:left="196" w:right="183"/>
              <w:jc w:val="center"/>
              <w:rPr>
                <w:sz w:val="16"/>
              </w:rPr>
            </w:pPr>
            <w:r>
              <w:rPr>
                <w:sz w:val="16"/>
              </w:rPr>
              <w:t>0.64</w:t>
            </w:r>
          </w:p>
        </w:tc>
        <w:tc>
          <w:tcPr>
            <w:tcW w:w="1860" w:type="dxa"/>
          </w:tcPr>
          <w:p>
            <w:pPr>
              <w:pStyle w:val="TableParagraph"/>
              <w:spacing w:before="95"/>
              <w:ind w:left="31"/>
              <w:rPr>
                <w:sz w:val="16"/>
              </w:rPr>
            </w:pPr>
            <w:r>
              <w:rPr>
                <w:sz w:val="16"/>
              </w:rPr>
              <w:t>Terminalia sp.</w:t>
            </w:r>
          </w:p>
        </w:tc>
        <w:tc>
          <w:tcPr>
            <w:tcW w:w="1188" w:type="dxa"/>
          </w:tcPr>
          <w:p>
            <w:pPr>
              <w:pStyle w:val="TableParagraph"/>
              <w:spacing w:line="183" w:lineRule="exact" w:before="4"/>
              <w:ind w:left="24" w:right="13"/>
              <w:jc w:val="center"/>
              <w:rPr>
                <w:sz w:val="16"/>
              </w:rPr>
            </w:pPr>
            <w:r>
              <w:rPr>
                <w:sz w:val="16"/>
              </w:rPr>
              <w:t>0.50, 0.51,</w:t>
            </w:r>
          </w:p>
          <w:p>
            <w:pPr>
              <w:pStyle w:val="TableParagraph"/>
              <w:spacing w:line="179" w:lineRule="exact"/>
              <w:ind w:left="24" w:right="15"/>
              <w:jc w:val="center"/>
              <w:rPr>
                <w:sz w:val="16"/>
              </w:rPr>
            </w:pPr>
            <w:r>
              <w:rPr>
                <w:sz w:val="16"/>
              </w:rPr>
              <w:t>0.58+</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Serialbizia acle</w:t>
            </w:r>
          </w:p>
        </w:tc>
        <w:tc>
          <w:tcPr>
            <w:tcW w:w="1164" w:type="dxa"/>
          </w:tcPr>
          <w:p>
            <w:pPr>
              <w:pStyle w:val="TableParagraph"/>
              <w:spacing w:before="23"/>
              <w:ind w:left="196" w:right="184"/>
              <w:jc w:val="center"/>
              <w:rPr>
                <w:sz w:val="16"/>
              </w:rPr>
            </w:pPr>
            <w:r>
              <w:rPr>
                <w:sz w:val="16"/>
              </w:rPr>
              <w:t>0.57</w:t>
            </w:r>
          </w:p>
        </w:tc>
        <w:tc>
          <w:tcPr>
            <w:tcW w:w="1860" w:type="dxa"/>
          </w:tcPr>
          <w:p>
            <w:pPr>
              <w:pStyle w:val="TableParagraph"/>
              <w:spacing w:before="23"/>
              <w:ind w:left="30"/>
              <w:rPr>
                <w:sz w:val="16"/>
              </w:rPr>
            </w:pPr>
            <w:r>
              <w:rPr>
                <w:sz w:val="16"/>
              </w:rPr>
              <w:t>Tetragastris altisima</w:t>
            </w:r>
          </w:p>
        </w:tc>
        <w:tc>
          <w:tcPr>
            <w:tcW w:w="1188" w:type="dxa"/>
          </w:tcPr>
          <w:p>
            <w:pPr>
              <w:pStyle w:val="TableParagraph"/>
              <w:spacing w:before="23"/>
              <w:ind w:left="24" w:right="9"/>
              <w:jc w:val="center"/>
              <w:rPr>
                <w:sz w:val="16"/>
              </w:rPr>
            </w:pPr>
            <w:r>
              <w:rPr>
                <w:sz w:val="16"/>
              </w:rPr>
              <w:t>0.61</w:t>
            </w:r>
          </w:p>
        </w:tc>
        <w:tc>
          <w:tcPr>
            <w:tcW w:w="1807" w:type="dxa"/>
          </w:tcPr>
          <w:p>
            <w:pPr>
              <w:pStyle w:val="TableParagraph"/>
              <w:rPr>
                <w:sz w:val="16"/>
              </w:rPr>
            </w:pPr>
          </w:p>
        </w:tc>
        <w:tc>
          <w:tcPr>
            <w:tcW w:w="1190" w:type="dxa"/>
          </w:tcPr>
          <w:p>
            <w:pPr>
              <w:pStyle w:val="TableParagraph"/>
              <w:rPr>
                <w:sz w:val="16"/>
              </w:rPr>
            </w:pPr>
          </w:p>
        </w:tc>
      </w:tr>
      <w:tr>
        <w:trPr>
          <w:trHeight w:val="246" w:hRule="atLeast"/>
        </w:trPr>
        <w:tc>
          <w:tcPr>
            <w:tcW w:w="1807" w:type="dxa"/>
          </w:tcPr>
          <w:p>
            <w:pPr>
              <w:pStyle w:val="TableParagraph"/>
              <w:spacing w:before="23"/>
              <w:ind w:left="30"/>
              <w:rPr>
                <w:sz w:val="16"/>
              </w:rPr>
            </w:pPr>
            <w:r>
              <w:rPr>
                <w:sz w:val="16"/>
              </w:rPr>
              <w:t>Serianthes melanesica</w:t>
            </w:r>
          </w:p>
        </w:tc>
        <w:tc>
          <w:tcPr>
            <w:tcW w:w="1164" w:type="dxa"/>
          </w:tcPr>
          <w:p>
            <w:pPr>
              <w:pStyle w:val="TableParagraph"/>
              <w:spacing w:before="23"/>
              <w:ind w:left="196" w:right="184"/>
              <w:jc w:val="center"/>
              <w:rPr>
                <w:sz w:val="16"/>
              </w:rPr>
            </w:pPr>
            <w:r>
              <w:rPr>
                <w:sz w:val="16"/>
              </w:rPr>
              <w:t>0.48</w:t>
            </w:r>
          </w:p>
        </w:tc>
        <w:tc>
          <w:tcPr>
            <w:tcW w:w="1860" w:type="dxa"/>
          </w:tcPr>
          <w:p>
            <w:pPr>
              <w:pStyle w:val="TableParagraph"/>
              <w:spacing w:before="23"/>
              <w:ind w:left="30"/>
              <w:rPr>
                <w:sz w:val="16"/>
              </w:rPr>
            </w:pPr>
            <w:r>
              <w:rPr>
                <w:sz w:val="16"/>
              </w:rPr>
              <w:t>Toluifera balsamum</w:t>
            </w:r>
          </w:p>
        </w:tc>
        <w:tc>
          <w:tcPr>
            <w:tcW w:w="1188" w:type="dxa"/>
          </w:tcPr>
          <w:p>
            <w:pPr>
              <w:pStyle w:val="TableParagraph"/>
              <w:spacing w:before="23"/>
              <w:ind w:left="24" w:right="12"/>
              <w:jc w:val="center"/>
              <w:rPr>
                <w:sz w:val="16"/>
              </w:rPr>
            </w:pPr>
            <w:r>
              <w:rPr>
                <w:sz w:val="16"/>
              </w:rPr>
              <w:t>0.74</w:t>
            </w:r>
          </w:p>
        </w:tc>
        <w:tc>
          <w:tcPr>
            <w:tcW w:w="1807" w:type="dxa"/>
          </w:tcPr>
          <w:p>
            <w:pPr>
              <w:pStyle w:val="TableParagraph"/>
              <w:rPr>
                <w:sz w:val="16"/>
              </w:rPr>
            </w:pPr>
          </w:p>
        </w:tc>
        <w:tc>
          <w:tcPr>
            <w:tcW w:w="1190" w:type="dxa"/>
          </w:tcPr>
          <w:p>
            <w:pPr>
              <w:pStyle w:val="TableParagraph"/>
              <w:rPr>
                <w:sz w:val="16"/>
              </w:rPr>
            </w:pPr>
          </w:p>
        </w:tc>
      </w:tr>
      <w:tr>
        <w:trPr>
          <w:trHeight w:val="244" w:hRule="atLeast"/>
        </w:trPr>
        <w:tc>
          <w:tcPr>
            <w:tcW w:w="1807" w:type="dxa"/>
          </w:tcPr>
          <w:p>
            <w:pPr>
              <w:pStyle w:val="TableParagraph"/>
              <w:spacing w:before="23"/>
              <w:ind w:left="30"/>
              <w:rPr>
                <w:sz w:val="16"/>
              </w:rPr>
            </w:pPr>
            <w:r>
              <w:rPr>
                <w:sz w:val="16"/>
              </w:rPr>
              <w:t>Sesbania grandiflora</w:t>
            </w:r>
          </w:p>
        </w:tc>
        <w:tc>
          <w:tcPr>
            <w:tcW w:w="1164" w:type="dxa"/>
          </w:tcPr>
          <w:p>
            <w:pPr>
              <w:pStyle w:val="TableParagraph"/>
              <w:spacing w:before="23"/>
              <w:ind w:left="196" w:right="184"/>
              <w:jc w:val="center"/>
              <w:rPr>
                <w:sz w:val="16"/>
              </w:rPr>
            </w:pPr>
            <w:r>
              <w:rPr>
                <w:sz w:val="16"/>
              </w:rPr>
              <w:t>0.4</w:t>
            </w:r>
          </w:p>
        </w:tc>
        <w:tc>
          <w:tcPr>
            <w:tcW w:w="1860" w:type="dxa"/>
          </w:tcPr>
          <w:p>
            <w:pPr>
              <w:pStyle w:val="TableParagraph"/>
              <w:spacing w:before="23"/>
              <w:ind w:left="31"/>
              <w:rPr>
                <w:sz w:val="16"/>
              </w:rPr>
            </w:pPr>
            <w:r>
              <w:rPr>
                <w:sz w:val="16"/>
              </w:rPr>
              <w:t>Torrubia sp.</w:t>
            </w:r>
          </w:p>
        </w:tc>
        <w:tc>
          <w:tcPr>
            <w:tcW w:w="1188" w:type="dxa"/>
          </w:tcPr>
          <w:p>
            <w:pPr>
              <w:pStyle w:val="TableParagraph"/>
              <w:spacing w:before="23"/>
              <w:ind w:left="24" w:right="12"/>
              <w:jc w:val="center"/>
              <w:rPr>
                <w:sz w:val="16"/>
              </w:rPr>
            </w:pPr>
            <w:r>
              <w:rPr>
                <w:sz w:val="16"/>
              </w:rPr>
              <w:t>0.52</w:t>
            </w:r>
          </w:p>
        </w:tc>
        <w:tc>
          <w:tcPr>
            <w:tcW w:w="1807" w:type="dxa"/>
          </w:tcPr>
          <w:p>
            <w:pPr>
              <w:pStyle w:val="TableParagraph"/>
              <w:rPr>
                <w:sz w:val="16"/>
              </w:rPr>
            </w:pPr>
          </w:p>
        </w:tc>
        <w:tc>
          <w:tcPr>
            <w:tcW w:w="1190" w:type="dxa"/>
          </w:tcPr>
          <w:p>
            <w:pPr>
              <w:pStyle w:val="TableParagraph"/>
              <w:rPr>
                <w:sz w:val="16"/>
              </w:rPr>
            </w:pPr>
          </w:p>
        </w:tc>
      </w:tr>
      <w:tr>
        <w:trPr>
          <w:trHeight w:val="385" w:hRule="atLeast"/>
        </w:trPr>
        <w:tc>
          <w:tcPr>
            <w:tcW w:w="1807" w:type="dxa"/>
          </w:tcPr>
          <w:p>
            <w:pPr>
              <w:pStyle w:val="TableParagraph"/>
              <w:spacing w:line="182" w:lineRule="exact" w:before="7"/>
              <w:ind w:left="30" w:right="263"/>
              <w:rPr>
                <w:sz w:val="16"/>
              </w:rPr>
            </w:pPr>
            <w:r>
              <w:rPr>
                <w:sz w:val="16"/>
              </w:rPr>
              <w:t>Shorea assamica forma philippinensis</w:t>
            </w:r>
          </w:p>
        </w:tc>
        <w:tc>
          <w:tcPr>
            <w:tcW w:w="1164" w:type="dxa"/>
          </w:tcPr>
          <w:p>
            <w:pPr>
              <w:pStyle w:val="TableParagraph"/>
              <w:spacing w:before="95"/>
              <w:ind w:left="196" w:right="184"/>
              <w:jc w:val="center"/>
              <w:rPr>
                <w:sz w:val="16"/>
              </w:rPr>
            </w:pPr>
            <w:r>
              <w:rPr>
                <w:sz w:val="16"/>
              </w:rPr>
              <w:t>0.41</w:t>
            </w:r>
          </w:p>
        </w:tc>
        <w:tc>
          <w:tcPr>
            <w:tcW w:w="1860" w:type="dxa"/>
          </w:tcPr>
          <w:p>
            <w:pPr>
              <w:pStyle w:val="TableParagraph"/>
              <w:spacing w:before="95"/>
              <w:ind w:left="30"/>
              <w:rPr>
                <w:sz w:val="16"/>
              </w:rPr>
            </w:pPr>
            <w:r>
              <w:rPr>
                <w:sz w:val="16"/>
              </w:rPr>
              <w:t>Toulicia pulvinata</w:t>
            </w:r>
          </w:p>
        </w:tc>
        <w:tc>
          <w:tcPr>
            <w:tcW w:w="1188" w:type="dxa"/>
          </w:tcPr>
          <w:p>
            <w:pPr>
              <w:pStyle w:val="TableParagraph"/>
              <w:spacing w:before="95"/>
              <w:ind w:left="24" w:right="10"/>
              <w:jc w:val="center"/>
              <w:rPr>
                <w:sz w:val="16"/>
              </w:rPr>
            </w:pPr>
            <w:r>
              <w:rPr>
                <w:sz w:val="16"/>
              </w:rPr>
              <w:t>0.63</w:t>
            </w:r>
          </w:p>
        </w:tc>
        <w:tc>
          <w:tcPr>
            <w:tcW w:w="1807" w:type="dxa"/>
          </w:tcPr>
          <w:p>
            <w:pPr>
              <w:pStyle w:val="TableParagraph"/>
              <w:rPr>
                <w:sz w:val="16"/>
              </w:rPr>
            </w:pPr>
          </w:p>
        </w:tc>
        <w:tc>
          <w:tcPr>
            <w:tcW w:w="1190" w:type="dxa"/>
          </w:tcPr>
          <w:p>
            <w:pPr>
              <w:pStyle w:val="TableParagraph"/>
              <w:rPr>
                <w:sz w:val="16"/>
              </w:rPr>
            </w:pPr>
          </w:p>
        </w:tc>
      </w:tr>
      <w:tr>
        <w:trPr>
          <w:trHeight w:val="246" w:hRule="atLeast"/>
        </w:trPr>
        <w:tc>
          <w:tcPr>
            <w:tcW w:w="1807" w:type="dxa"/>
          </w:tcPr>
          <w:p>
            <w:pPr>
              <w:pStyle w:val="TableParagraph"/>
              <w:spacing w:before="23"/>
              <w:ind w:left="30"/>
              <w:rPr>
                <w:sz w:val="16"/>
              </w:rPr>
            </w:pPr>
            <w:r>
              <w:rPr>
                <w:sz w:val="16"/>
              </w:rPr>
              <w:t>Shorea astylosa</w:t>
            </w:r>
          </w:p>
        </w:tc>
        <w:tc>
          <w:tcPr>
            <w:tcW w:w="1164" w:type="dxa"/>
          </w:tcPr>
          <w:p>
            <w:pPr>
              <w:pStyle w:val="TableParagraph"/>
              <w:spacing w:before="23"/>
              <w:ind w:left="196" w:right="184"/>
              <w:jc w:val="center"/>
              <w:rPr>
                <w:sz w:val="16"/>
              </w:rPr>
            </w:pPr>
            <w:r>
              <w:rPr>
                <w:sz w:val="16"/>
              </w:rPr>
              <w:t>0.73</w:t>
            </w:r>
          </w:p>
        </w:tc>
        <w:tc>
          <w:tcPr>
            <w:tcW w:w="1860" w:type="dxa"/>
          </w:tcPr>
          <w:p>
            <w:pPr>
              <w:pStyle w:val="TableParagraph"/>
              <w:spacing w:before="23"/>
              <w:ind w:left="31"/>
              <w:rPr>
                <w:sz w:val="16"/>
              </w:rPr>
            </w:pPr>
            <w:r>
              <w:rPr>
                <w:sz w:val="16"/>
              </w:rPr>
              <w:t>Tovomita guianensis</w:t>
            </w:r>
          </w:p>
        </w:tc>
        <w:tc>
          <w:tcPr>
            <w:tcW w:w="1188" w:type="dxa"/>
          </w:tcPr>
          <w:p>
            <w:pPr>
              <w:pStyle w:val="TableParagraph"/>
              <w:spacing w:before="23"/>
              <w:ind w:left="24" w:right="13"/>
              <w:jc w:val="center"/>
              <w:rPr>
                <w:sz w:val="16"/>
              </w:rPr>
            </w:pPr>
            <w:r>
              <w:rPr>
                <w:sz w:val="16"/>
              </w:rPr>
              <w:t>0.6</w:t>
            </w:r>
          </w:p>
        </w:tc>
        <w:tc>
          <w:tcPr>
            <w:tcW w:w="1807" w:type="dxa"/>
          </w:tcPr>
          <w:p>
            <w:pPr>
              <w:pStyle w:val="TableParagraph"/>
              <w:rPr>
                <w:sz w:val="16"/>
              </w:rPr>
            </w:pPr>
          </w:p>
        </w:tc>
        <w:tc>
          <w:tcPr>
            <w:tcW w:w="1190" w:type="dxa"/>
          </w:tcPr>
          <w:p>
            <w:pPr>
              <w:pStyle w:val="TableParagraph"/>
              <w:rPr>
                <w:sz w:val="16"/>
              </w:rPr>
            </w:pPr>
          </w:p>
        </w:tc>
      </w:tr>
      <w:tr>
        <w:trPr>
          <w:trHeight w:val="253" w:hRule="atLeast"/>
        </w:trPr>
        <w:tc>
          <w:tcPr>
            <w:tcW w:w="1807" w:type="dxa"/>
          </w:tcPr>
          <w:p>
            <w:pPr>
              <w:pStyle w:val="TableParagraph"/>
              <w:spacing w:before="28"/>
              <w:ind w:left="30"/>
              <w:rPr>
                <w:sz w:val="16"/>
              </w:rPr>
            </w:pPr>
            <w:r>
              <w:rPr>
                <w:sz w:val="16"/>
              </w:rPr>
              <w:t>Shorea ciliata</w:t>
            </w:r>
          </w:p>
        </w:tc>
        <w:tc>
          <w:tcPr>
            <w:tcW w:w="1164" w:type="dxa"/>
          </w:tcPr>
          <w:p>
            <w:pPr>
              <w:pStyle w:val="TableParagraph"/>
              <w:spacing w:before="28"/>
              <w:ind w:left="196" w:right="183"/>
              <w:jc w:val="center"/>
              <w:rPr>
                <w:sz w:val="16"/>
              </w:rPr>
            </w:pPr>
            <w:r>
              <w:rPr>
                <w:sz w:val="16"/>
              </w:rPr>
              <w:t>0.75</w:t>
            </w:r>
          </w:p>
        </w:tc>
        <w:tc>
          <w:tcPr>
            <w:tcW w:w="1860" w:type="dxa"/>
          </w:tcPr>
          <w:p>
            <w:pPr>
              <w:pStyle w:val="TableParagraph"/>
              <w:spacing w:before="28"/>
              <w:ind w:left="31"/>
              <w:rPr>
                <w:sz w:val="16"/>
              </w:rPr>
            </w:pPr>
            <w:r>
              <w:rPr>
                <w:sz w:val="16"/>
              </w:rPr>
              <w:t>Trattinickia sp.</w:t>
            </w:r>
          </w:p>
        </w:tc>
        <w:tc>
          <w:tcPr>
            <w:tcW w:w="1188" w:type="dxa"/>
          </w:tcPr>
          <w:p>
            <w:pPr>
              <w:pStyle w:val="TableParagraph"/>
              <w:spacing w:before="28"/>
              <w:ind w:left="24" w:right="10"/>
              <w:jc w:val="center"/>
              <w:rPr>
                <w:sz w:val="16"/>
              </w:rPr>
            </w:pPr>
            <w:r>
              <w:rPr>
                <w:sz w:val="16"/>
              </w:rPr>
              <w:t>0.38</w:t>
            </w:r>
          </w:p>
        </w:tc>
        <w:tc>
          <w:tcPr>
            <w:tcW w:w="1807" w:type="dxa"/>
          </w:tcPr>
          <w:p>
            <w:pPr>
              <w:pStyle w:val="TableParagraph"/>
              <w:rPr>
                <w:sz w:val="16"/>
              </w:rPr>
            </w:pPr>
          </w:p>
        </w:tc>
        <w:tc>
          <w:tcPr>
            <w:tcW w:w="1190" w:type="dxa"/>
          </w:tcPr>
          <w:p>
            <w:pPr>
              <w:pStyle w:val="TableParagraph"/>
              <w:rPr>
                <w:sz w:val="16"/>
              </w:rPr>
            </w:pPr>
          </w:p>
        </w:tc>
      </w:tr>
      <w:tr>
        <w:trPr>
          <w:trHeight w:val="253" w:hRule="atLeast"/>
        </w:trPr>
        <w:tc>
          <w:tcPr>
            <w:tcW w:w="1807" w:type="dxa"/>
          </w:tcPr>
          <w:p>
            <w:pPr>
              <w:pStyle w:val="TableParagraph"/>
              <w:spacing w:before="28"/>
              <w:ind w:left="30"/>
              <w:rPr>
                <w:sz w:val="16"/>
              </w:rPr>
            </w:pPr>
            <w:r>
              <w:rPr>
                <w:sz w:val="16"/>
              </w:rPr>
              <w:t>Shorea contorta</w:t>
            </w:r>
          </w:p>
        </w:tc>
        <w:tc>
          <w:tcPr>
            <w:tcW w:w="1164" w:type="dxa"/>
          </w:tcPr>
          <w:p>
            <w:pPr>
              <w:pStyle w:val="TableParagraph"/>
              <w:spacing w:before="28"/>
              <w:ind w:left="196" w:right="184"/>
              <w:jc w:val="center"/>
              <w:rPr>
                <w:sz w:val="16"/>
              </w:rPr>
            </w:pPr>
            <w:r>
              <w:rPr>
                <w:sz w:val="16"/>
              </w:rPr>
              <w:t>0.44</w:t>
            </w:r>
          </w:p>
        </w:tc>
        <w:tc>
          <w:tcPr>
            <w:tcW w:w="1860" w:type="dxa"/>
          </w:tcPr>
          <w:p>
            <w:pPr>
              <w:pStyle w:val="TableParagraph"/>
              <w:spacing w:before="28"/>
              <w:ind w:left="31"/>
              <w:rPr>
                <w:sz w:val="16"/>
              </w:rPr>
            </w:pPr>
            <w:r>
              <w:rPr>
                <w:sz w:val="16"/>
              </w:rPr>
              <w:t>Trichilia propingua</w:t>
            </w:r>
          </w:p>
        </w:tc>
        <w:tc>
          <w:tcPr>
            <w:tcW w:w="1188" w:type="dxa"/>
          </w:tcPr>
          <w:p>
            <w:pPr>
              <w:pStyle w:val="TableParagraph"/>
              <w:spacing w:before="28"/>
              <w:ind w:left="24" w:right="12"/>
              <w:jc w:val="center"/>
              <w:rPr>
                <w:sz w:val="16"/>
              </w:rPr>
            </w:pPr>
            <w:r>
              <w:rPr>
                <w:sz w:val="16"/>
              </w:rPr>
              <w:t>0.58</w:t>
            </w:r>
          </w:p>
        </w:tc>
        <w:tc>
          <w:tcPr>
            <w:tcW w:w="1807" w:type="dxa"/>
          </w:tcPr>
          <w:p>
            <w:pPr>
              <w:pStyle w:val="TableParagraph"/>
              <w:rPr>
                <w:sz w:val="16"/>
              </w:rPr>
            </w:pPr>
          </w:p>
        </w:tc>
        <w:tc>
          <w:tcPr>
            <w:tcW w:w="1190" w:type="dxa"/>
          </w:tcPr>
          <w:p>
            <w:pPr>
              <w:pStyle w:val="TableParagraph"/>
              <w:rPr>
                <w:sz w:val="16"/>
              </w:rPr>
            </w:pPr>
          </w:p>
        </w:tc>
      </w:tr>
      <w:tr>
        <w:trPr>
          <w:trHeight w:val="256" w:hRule="atLeast"/>
        </w:trPr>
        <w:tc>
          <w:tcPr>
            <w:tcW w:w="1807" w:type="dxa"/>
          </w:tcPr>
          <w:p>
            <w:pPr>
              <w:pStyle w:val="TableParagraph"/>
              <w:spacing w:before="28"/>
              <w:ind w:left="30"/>
              <w:rPr>
                <w:sz w:val="16"/>
              </w:rPr>
            </w:pPr>
            <w:r>
              <w:rPr>
                <w:sz w:val="16"/>
              </w:rPr>
              <w:t>Shorea gisok</w:t>
            </w:r>
          </w:p>
        </w:tc>
        <w:tc>
          <w:tcPr>
            <w:tcW w:w="1164" w:type="dxa"/>
          </w:tcPr>
          <w:p>
            <w:pPr>
              <w:pStyle w:val="TableParagraph"/>
              <w:spacing w:before="28"/>
              <w:ind w:left="196" w:right="185"/>
              <w:jc w:val="center"/>
              <w:rPr>
                <w:sz w:val="16"/>
              </w:rPr>
            </w:pPr>
            <w:r>
              <w:rPr>
                <w:sz w:val="16"/>
              </w:rPr>
              <w:t>0.76</w:t>
            </w:r>
          </w:p>
        </w:tc>
        <w:tc>
          <w:tcPr>
            <w:tcW w:w="1860" w:type="dxa"/>
          </w:tcPr>
          <w:p>
            <w:pPr>
              <w:pStyle w:val="TableParagraph"/>
              <w:spacing w:before="28"/>
              <w:ind w:left="30"/>
              <w:rPr>
                <w:sz w:val="16"/>
              </w:rPr>
            </w:pPr>
            <w:r>
              <w:rPr>
                <w:sz w:val="16"/>
              </w:rPr>
              <w:t>Trichosperma mexicanum</w:t>
            </w:r>
          </w:p>
        </w:tc>
        <w:tc>
          <w:tcPr>
            <w:tcW w:w="1188" w:type="dxa"/>
          </w:tcPr>
          <w:p>
            <w:pPr>
              <w:pStyle w:val="TableParagraph"/>
              <w:spacing w:before="28"/>
              <w:ind w:left="24" w:right="12"/>
              <w:jc w:val="center"/>
              <w:rPr>
                <w:sz w:val="16"/>
              </w:rPr>
            </w:pPr>
            <w:r>
              <w:rPr>
                <w:sz w:val="16"/>
              </w:rPr>
              <w:t>0.41</w:t>
            </w:r>
          </w:p>
        </w:tc>
        <w:tc>
          <w:tcPr>
            <w:tcW w:w="1807" w:type="dxa"/>
          </w:tcPr>
          <w:p>
            <w:pPr>
              <w:pStyle w:val="TableParagraph"/>
              <w:rPr>
                <w:sz w:val="16"/>
              </w:rPr>
            </w:pPr>
          </w:p>
        </w:tc>
        <w:tc>
          <w:tcPr>
            <w:tcW w:w="1190" w:type="dxa"/>
          </w:tcPr>
          <w:p>
            <w:pPr>
              <w:pStyle w:val="TableParagraph"/>
              <w:rPr>
                <w:sz w:val="16"/>
              </w:rPr>
            </w:pPr>
          </w:p>
        </w:tc>
      </w:tr>
      <w:tr>
        <w:trPr>
          <w:trHeight w:val="253" w:hRule="atLeast"/>
        </w:trPr>
        <w:tc>
          <w:tcPr>
            <w:tcW w:w="1807" w:type="dxa"/>
          </w:tcPr>
          <w:p>
            <w:pPr>
              <w:pStyle w:val="TableParagraph"/>
              <w:spacing w:before="28"/>
              <w:ind w:left="30"/>
              <w:rPr>
                <w:sz w:val="16"/>
              </w:rPr>
            </w:pPr>
            <w:r>
              <w:rPr>
                <w:sz w:val="16"/>
              </w:rPr>
              <w:t>Shorea guiso</w:t>
            </w:r>
          </w:p>
        </w:tc>
        <w:tc>
          <w:tcPr>
            <w:tcW w:w="1164" w:type="dxa"/>
          </w:tcPr>
          <w:p>
            <w:pPr>
              <w:pStyle w:val="TableParagraph"/>
              <w:spacing w:before="28"/>
              <w:ind w:left="196" w:right="184"/>
              <w:jc w:val="center"/>
              <w:rPr>
                <w:sz w:val="16"/>
              </w:rPr>
            </w:pPr>
            <w:r>
              <w:rPr>
                <w:sz w:val="16"/>
              </w:rPr>
              <w:t>0.68</w:t>
            </w:r>
          </w:p>
        </w:tc>
        <w:tc>
          <w:tcPr>
            <w:tcW w:w="1860" w:type="dxa"/>
          </w:tcPr>
          <w:p>
            <w:pPr>
              <w:pStyle w:val="TableParagraph"/>
              <w:spacing w:before="28"/>
              <w:ind w:left="31"/>
              <w:rPr>
                <w:sz w:val="16"/>
              </w:rPr>
            </w:pPr>
            <w:r>
              <w:rPr>
                <w:sz w:val="16"/>
              </w:rPr>
              <w:t>Triplaris spp.</w:t>
            </w:r>
          </w:p>
        </w:tc>
        <w:tc>
          <w:tcPr>
            <w:tcW w:w="1188" w:type="dxa"/>
          </w:tcPr>
          <w:p>
            <w:pPr>
              <w:pStyle w:val="TableParagraph"/>
              <w:spacing w:before="28"/>
              <w:ind w:left="24" w:right="13"/>
              <w:jc w:val="center"/>
              <w:rPr>
                <w:sz w:val="16"/>
              </w:rPr>
            </w:pPr>
            <w:r>
              <w:rPr>
                <w:sz w:val="16"/>
              </w:rPr>
              <w:t>0.56</w:t>
            </w:r>
          </w:p>
        </w:tc>
        <w:tc>
          <w:tcPr>
            <w:tcW w:w="1807" w:type="dxa"/>
          </w:tcPr>
          <w:p>
            <w:pPr>
              <w:pStyle w:val="TableParagraph"/>
              <w:rPr>
                <w:sz w:val="16"/>
              </w:rPr>
            </w:pPr>
          </w:p>
        </w:tc>
        <w:tc>
          <w:tcPr>
            <w:tcW w:w="1190" w:type="dxa"/>
          </w:tcPr>
          <w:p>
            <w:pPr>
              <w:pStyle w:val="TableParagraph"/>
              <w:rPr>
                <w:sz w:val="16"/>
              </w:rPr>
            </w:pPr>
          </w:p>
        </w:tc>
      </w:tr>
      <w:tr>
        <w:trPr>
          <w:trHeight w:val="256" w:hRule="atLeast"/>
        </w:trPr>
        <w:tc>
          <w:tcPr>
            <w:tcW w:w="1807" w:type="dxa"/>
          </w:tcPr>
          <w:p>
            <w:pPr>
              <w:pStyle w:val="TableParagraph"/>
              <w:spacing w:before="28"/>
              <w:ind w:left="30"/>
              <w:rPr>
                <w:sz w:val="16"/>
              </w:rPr>
            </w:pPr>
            <w:r>
              <w:rPr>
                <w:sz w:val="16"/>
              </w:rPr>
              <w:t>Shorea hopeifolia</w:t>
            </w:r>
          </w:p>
        </w:tc>
        <w:tc>
          <w:tcPr>
            <w:tcW w:w="1164" w:type="dxa"/>
          </w:tcPr>
          <w:p>
            <w:pPr>
              <w:pStyle w:val="TableParagraph"/>
              <w:spacing w:before="28"/>
              <w:ind w:left="196" w:right="184"/>
              <w:jc w:val="center"/>
              <w:rPr>
                <w:sz w:val="16"/>
              </w:rPr>
            </w:pPr>
            <w:r>
              <w:rPr>
                <w:sz w:val="16"/>
              </w:rPr>
              <w:t>0.44</w:t>
            </w:r>
          </w:p>
        </w:tc>
        <w:tc>
          <w:tcPr>
            <w:tcW w:w="1860" w:type="dxa"/>
          </w:tcPr>
          <w:p>
            <w:pPr>
              <w:pStyle w:val="TableParagraph"/>
              <w:spacing w:before="28"/>
              <w:ind w:left="31"/>
              <w:rPr>
                <w:sz w:val="16"/>
              </w:rPr>
            </w:pPr>
            <w:r>
              <w:rPr>
                <w:sz w:val="16"/>
              </w:rPr>
              <w:t>Trophis sp.</w:t>
            </w:r>
          </w:p>
        </w:tc>
        <w:tc>
          <w:tcPr>
            <w:tcW w:w="1188" w:type="dxa"/>
          </w:tcPr>
          <w:p>
            <w:pPr>
              <w:pStyle w:val="TableParagraph"/>
              <w:spacing w:before="28"/>
              <w:ind w:left="24" w:right="12"/>
              <w:jc w:val="center"/>
              <w:rPr>
                <w:sz w:val="16"/>
              </w:rPr>
            </w:pPr>
            <w:r>
              <w:rPr>
                <w:sz w:val="16"/>
              </w:rPr>
              <w:t>0.54</w:t>
            </w:r>
          </w:p>
        </w:tc>
        <w:tc>
          <w:tcPr>
            <w:tcW w:w="1807" w:type="dxa"/>
          </w:tcPr>
          <w:p>
            <w:pPr>
              <w:pStyle w:val="TableParagraph"/>
              <w:rPr>
                <w:sz w:val="16"/>
              </w:rPr>
            </w:pPr>
          </w:p>
        </w:tc>
        <w:tc>
          <w:tcPr>
            <w:tcW w:w="1190" w:type="dxa"/>
          </w:tcPr>
          <w:p>
            <w:pPr>
              <w:pStyle w:val="TableParagraph"/>
              <w:rPr>
                <w:sz w:val="16"/>
              </w:rPr>
            </w:pPr>
          </w:p>
        </w:tc>
      </w:tr>
      <w:tr>
        <w:trPr>
          <w:trHeight w:val="254" w:hRule="atLeast"/>
        </w:trPr>
        <w:tc>
          <w:tcPr>
            <w:tcW w:w="1807" w:type="dxa"/>
          </w:tcPr>
          <w:p>
            <w:pPr>
              <w:pStyle w:val="TableParagraph"/>
              <w:spacing w:before="28"/>
              <w:ind w:left="30"/>
              <w:rPr>
                <w:sz w:val="16"/>
              </w:rPr>
            </w:pPr>
            <w:r>
              <w:rPr>
                <w:sz w:val="16"/>
              </w:rPr>
              <w:t>Shorea malibato</w:t>
            </w:r>
          </w:p>
        </w:tc>
        <w:tc>
          <w:tcPr>
            <w:tcW w:w="1164" w:type="dxa"/>
          </w:tcPr>
          <w:p>
            <w:pPr>
              <w:pStyle w:val="TableParagraph"/>
              <w:spacing w:before="28"/>
              <w:ind w:left="196" w:right="184"/>
              <w:jc w:val="center"/>
              <w:rPr>
                <w:sz w:val="16"/>
              </w:rPr>
            </w:pPr>
            <w:r>
              <w:rPr>
                <w:sz w:val="16"/>
              </w:rPr>
              <w:t>0.78</w:t>
            </w:r>
          </w:p>
        </w:tc>
        <w:tc>
          <w:tcPr>
            <w:tcW w:w="1860" w:type="dxa"/>
          </w:tcPr>
          <w:p>
            <w:pPr>
              <w:pStyle w:val="TableParagraph"/>
              <w:spacing w:before="28"/>
              <w:ind w:left="30"/>
              <w:rPr>
                <w:sz w:val="16"/>
              </w:rPr>
            </w:pPr>
            <w:r>
              <w:rPr>
                <w:sz w:val="16"/>
              </w:rPr>
              <w:t>Vatairea spp.</w:t>
            </w:r>
          </w:p>
        </w:tc>
        <w:tc>
          <w:tcPr>
            <w:tcW w:w="1188" w:type="dxa"/>
          </w:tcPr>
          <w:p>
            <w:pPr>
              <w:pStyle w:val="TableParagraph"/>
              <w:spacing w:before="28"/>
              <w:ind w:left="24" w:right="14"/>
              <w:jc w:val="center"/>
              <w:rPr>
                <w:sz w:val="16"/>
              </w:rPr>
            </w:pPr>
            <w:r>
              <w:rPr>
                <w:sz w:val="16"/>
              </w:rPr>
              <w:t>0.6</w:t>
            </w:r>
          </w:p>
        </w:tc>
        <w:tc>
          <w:tcPr>
            <w:tcW w:w="1807" w:type="dxa"/>
          </w:tcPr>
          <w:p>
            <w:pPr>
              <w:pStyle w:val="TableParagraph"/>
              <w:rPr>
                <w:sz w:val="16"/>
              </w:rPr>
            </w:pPr>
          </w:p>
        </w:tc>
        <w:tc>
          <w:tcPr>
            <w:tcW w:w="1190" w:type="dxa"/>
          </w:tcPr>
          <w:p>
            <w:pPr>
              <w:pStyle w:val="TableParagraph"/>
              <w:rPr>
                <w:sz w:val="16"/>
              </w:rPr>
            </w:pPr>
          </w:p>
        </w:tc>
      </w:tr>
      <w:tr>
        <w:trPr>
          <w:trHeight w:val="366" w:hRule="atLeast"/>
        </w:trPr>
        <w:tc>
          <w:tcPr>
            <w:tcW w:w="1807" w:type="dxa"/>
          </w:tcPr>
          <w:p>
            <w:pPr>
              <w:pStyle w:val="TableParagraph"/>
              <w:spacing w:before="85"/>
              <w:ind w:left="30"/>
              <w:rPr>
                <w:sz w:val="16"/>
              </w:rPr>
            </w:pPr>
            <w:r>
              <w:rPr>
                <w:sz w:val="16"/>
              </w:rPr>
              <w:t>Shorea negrosensis</w:t>
            </w:r>
          </w:p>
        </w:tc>
        <w:tc>
          <w:tcPr>
            <w:tcW w:w="1164" w:type="dxa"/>
          </w:tcPr>
          <w:p>
            <w:pPr>
              <w:pStyle w:val="TableParagraph"/>
              <w:spacing w:before="85"/>
              <w:ind w:left="196" w:right="186"/>
              <w:jc w:val="center"/>
              <w:rPr>
                <w:sz w:val="16"/>
              </w:rPr>
            </w:pPr>
            <w:r>
              <w:rPr>
                <w:sz w:val="16"/>
              </w:rPr>
              <w:t>0.44</w:t>
            </w:r>
          </w:p>
        </w:tc>
        <w:tc>
          <w:tcPr>
            <w:tcW w:w="1860" w:type="dxa"/>
          </w:tcPr>
          <w:p>
            <w:pPr>
              <w:pStyle w:val="TableParagraph"/>
              <w:spacing w:before="85"/>
              <w:ind w:left="30"/>
              <w:rPr>
                <w:sz w:val="16"/>
              </w:rPr>
            </w:pPr>
            <w:r>
              <w:rPr>
                <w:sz w:val="16"/>
              </w:rPr>
              <w:t>Virola spp.</w:t>
            </w:r>
          </w:p>
        </w:tc>
        <w:tc>
          <w:tcPr>
            <w:tcW w:w="1188" w:type="dxa"/>
          </w:tcPr>
          <w:p>
            <w:pPr>
              <w:pStyle w:val="TableParagraph"/>
              <w:spacing w:line="178" w:lineRule="exact"/>
              <w:ind w:left="24" w:right="13"/>
              <w:jc w:val="center"/>
              <w:rPr>
                <w:sz w:val="16"/>
              </w:rPr>
            </w:pPr>
            <w:r>
              <w:rPr>
                <w:sz w:val="16"/>
              </w:rPr>
              <w:t>0.40, 0.44,</w:t>
            </w:r>
          </w:p>
          <w:p>
            <w:pPr>
              <w:pStyle w:val="TableParagraph"/>
              <w:spacing w:line="168" w:lineRule="exact" w:before="1"/>
              <w:ind w:left="24" w:right="15"/>
              <w:jc w:val="center"/>
              <w:rPr>
                <w:sz w:val="16"/>
              </w:rPr>
            </w:pPr>
            <w:r>
              <w:rPr>
                <w:sz w:val="16"/>
              </w:rPr>
              <w:t>0.48+</w:t>
            </w:r>
          </w:p>
        </w:tc>
        <w:tc>
          <w:tcPr>
            <w:tcW w:w="1807" w:type="dxa"/>
          </w:tcPr>
          <w:p>
            <w:pPr>
              <w:pStyle w:val="TableParagraph"/>
              <w:rPr>
                <w:sz w:val="16"/>
              </w:rPr>
            </w:pPr>
          </w:p>
        </w:tc>
        <w:tc>
          <w:tcPr>
            <w:tcW w:w="1190" w:type="dxa"/>
          </w:tcPr>
          <w:p>
            <w:pPr>
              <w:pStyle w:val="TableParagraph"/>
              <w:rPr>
                <w:sz w:val="16"/>
              </w:rPr>
            </w:pPr>
          </w:p>
        </w:tc>
      </w:tr>
      <w:tr>
        <w:trPr>
          <w:trHeight w:val="256" w:hRule="atLeast"/>
        </w:trPr>
        <w:tc>
          <w:tcPr>
            <w:tcW w:w="1807" w:type="dxa"/>
          </w:tcPr>
          <w:p>
            <w:pPr>
              <w:pStyle w:val="TableParagraph"/>
              <w:spacing w:before="28"/>
              <w:ind w:left="30"/>
              <w:rPr>
                <w:sz w:val="16"/>
              </w:rPr>
            </w:pPr>
            <w:r>
              <w:rPr>
                <w:sz w:val="16"/>
              </w:rPr>
              <w:t>Shorea palosapis</w:t>
            </w:r>
          </w:p>
        </w:tc>
        <w:tc>
          <w:tcPr>
            <w:tcW w:w="1164" w:type="dxa"/>
          </w:tcPr>
          <w:p>
            <w:pPr>
              <w:pStyle w:val="TableParagraph"/>
              <w:spacing w:before="28"/>
              <w:ind w:left="196" w:right="184"/>
              <w:jc w:val="center"/>
              <w:rPr>
                <w:sz w:val="16"/>
              </w:rPr>
            </w:pPr>
            <w:r>
              <w:rPr>
                <w:sz w:val="16"/>
              </w:rPr>
              <w:t>0.39</w:t>
            </w:r>
          </w:p>
        </w:tc>
        <w:tc>
          <w:tcPr>
            <w:tcW w:w="1860" w:type="dxa"/>
          </w:tcPr>
          <w:p>
            <w:pPr>
              <w:pStyle w:val="TableParagraph"/>
              <w:spacing w:before="28"/>
              <w:ind w:left="30"/>
              <w:rPr>
                <w:sz w:val="16"/>
              </w:rPr>
            </w:pPr>
            <w:r>
              <w:rPr>
                <w:sz w:val="16"/>
              </w:rPr>
              <w:t>Vismia spp.</w:t>
            </w:r>
          </w:p>
        </w:tc>
        <w:tc>
          <w:tcPr>
            <w:tcW w:w="1188" w:type="dxa"/>
          </w:tcPr>
          <w:p>
            <w:pPr>
              <w:pStyle w:val="TableParagraph"/>
              <w:spacing w:before="28"/>
              <w:ind w:left="24" w:right="13"/>
              <w:jc w:val="center"/>
              <w:rPr>
                <w:sz w:val="16"/>
              </w:rPr>
            </w:pPr>
            <w:r>
              <w:rPr>
                <w:sz w:val="16"/>
              </w:rPr>
              <w:t>0.41</w:t>
            </w:r>
          </w:p>
        </w:tc>
        <w:tc>
          <w:tcPr>
            <w:tcW w:w="1807" w:type="dxa"/>
          </w:tcPr>
          <w:p>
            <w:pPr>
              <w:pStyle w:val="TableParagraph"/>
              <w:rPr>
                <w:sz w:val="16"/>
              </w:rPr>
            </w:pPr>
          </w:p>
        </w:tc>
        <w:tc>
          <w:tcPr>
            <w:tcW w:w="1190" w:type="dxa"/>
          </w:tcPr>
          <w:p>
            <w:pPr>
              <w:pStyle w:val="TableParagraph"/>
              <w:rPr>
                <w:sz w:val="16"/>
              </w:rPr>
            </w:pPr>
          </w:p>
        </w:tc>
      </w:tr>
      <w:tr>
        <w:trPr>
          <w:trHeight w:val="366" w:hRule="atLeast"/>
        </w:trPr>
        <w:tc>
          <w:tcPr>
            <w:tcW w:w="1807" w:type="dxa"/>
          </w:tcPr>
          <w:p>
            <w:pPr>
              <w:pStyle w:val="TableParagraph"/>
              <w:spacing w:before="85"/>
              <w:ind w:left="30"/>
              <w:rPr>
                <w:sz w:val="16"/>
              </w:rPr>
            </w:pPr>
            <w:r>
              <w:rPr>
                <w:sz w:val="16"/>
              </w:rPr>
              <w:t>Shorea plagata</w:t>
            </w:r>
          </w:p>
        </w:tc>
        <w:tc>
          <w:tcPr>
            <w:tcW w:w="1164" w:type="dxa"/>
          </w:tcPr>
          <w:p>
            <w:pPr>
              <w:pStyle w:val="TableParagraph"/>
              <w:spacing w:before="85"/>
              <w:ind w:left="196" w:right="184"/>
              <w:jc w:val="center"/>
              <w:rPr>
                <w:sz w:val="16"/>
              </w:rPr>
            </w:pPr>
            <w:r>
              <w:rPr>
                <w:sz w:val="16"/>
              </w:rPr>
              <w:t>0.7</w:t>
            </w:r>
          </w:p>
        </w:tc>
        <w:tc>
          <w:tcPr>
            <w:tcW w:w="1860" w:type="dxa"/>
          </w:tcPr>
          <w:p>
            <w:pPr>
              <w:pStyle w:val="TableParagraph"/>
              <w:spacing w:before="85"/>
              <w:ind w:left="31"/>
              <w:rPr>
                <w:sz w:val="16"/>
              </w:rPr>
            </w:pPr>
            <w:r>
              <w:rPr>
                <w:sz w:val="16"/>
              </w:rPr>
              <w:t>Vitex spp.</w:t>
            </w:r>
          </w:p>
        </w:tc>
        <w:tc>
          <w:tcPr>
            <w:tcW w:w="1188" w:type="dxa"/>
          </w:tcPr>
          <w:p>
            <w:pPr>
              <w:pStyle w:val="TableParagraph"/>
              <w:spacing w:line="178" w:lineRule="exact"/>
              <w:ind w:left="24" w:right="12"/>
              <w:jc w:val="center"/>
              <w:rPr>
                <w:sz w:val="16"/>
              </w:rPr>
            </w:pPr>
            <w:r>
              <w:rPr>
                <w:sz w:val="16"/>
              </w:rPr>
              <w:t>0.52,0.56,</w:t>
            </w:r>
          </w:p>
          <w:p>
            <w:pPr>
              <w:pStyle w:val="TableParagraph"/>
              <w:spacing w:line="169" w:lineRule="exact"/>
              <w:ind w:left="24" w:right="15"/>
              <w:jc w:val="center"/>
              <w:rPr>
                <w:sz w:val="16"/>
              </w:rPr>
            </w:pPr>
            <w:r>
              <w:rPr>
                <w:sz w:val="16"/>
              </w:rPr>
              <w:t>0.57+</w:t>
            </w:r>
          </w:p>
        </w:tc>
        <w:tc>
          <w:tcPr>
            <w:tcW w:w="1807" w:type="dxa"/>
          </w:tcPr>
          <w:p>
            <w:pPr>
              <w:pStyle w:val="TableParagraph"/>
              <w:rPr>
                <w:sz w:val="16"/>
              </w:rPr>
            </w:pPr>
          </w:p>
        </w:tc>
        <w:tc>
          <w:tcPr>
            <w:tcW w:w="1190" w:type="dxa"/>
          </w:tcPr>
          <w:p>
            <w:pPr>
              <w:pStyle w:val="TableParagraph"/>
              <w:rPr>
                <w:sz w:val="16"/>
              </w:rPr>
            </w:pPr>
          </w:p>
        </w:tc>
      </w:tr>
      <w:tr>
        <w:trPr>
          <w:trHeight w:val="736" w:hRule="atLeast"/>
        </w:trPr>
        <w:tc>
          <w:tcPr>
            <w:tcW w:w="9016" w:type="dxa"/>
            <w:gridSpan w:val="6"/>
          </w:tcPr>
          <w:p>
            <w:pPr>
              <w:pStyle w:val="TableParagraph"/>
              <w:spacing w:line="178" w:lineRule="exact"/>
              <w:ind w:left="30"/>
              <w:rPr>
                <w:sz w:val="16"/>
              </w:rPr>
            </w:pPr>
            <w:r>
              <w:rPr>
                <w:sz w:val="16"/>
              </w:rPr>
              <w:t>+ The wood densities specified pertain to more than one bibliographic source.</w:t>
            </w:r>
          </w:p>
          <w:p>
            <w:pPr>
              <w:pStyle w:val="TableParagraph"/>
              <w:spacing w:line="183" w:lineRule="exact" w:before="1"/>
              <w:ind w:left="30"/>
              <w:rPr>
                <w:sz w:val="16"/>
              </w:rPr>
            </w:pPr>
            <w:r>
              <w:rPr>
                <w:sz w:val="16"/>
              </w:rPr>
              <w:t>* Wood density value is derived from the regression equation in Reyes </w:t>
            </w:r>
            <w:r>
              <w:rPr>
                <w:i/>
                <w:sz w:val="16"/>
              </w:rPr>
              <w:t>et al. </w:t>
            </w:r>
            <w:r>
              <w:rPr>
                <w:sz w:val="16"/>
              </w:rPr>
              <w:t>(1992).</w:t>
            </w:r>
          </w:p>
          <w:p>
            <w:pPr>
              <w:pStyle w:val="TableParagraph"/>
              <w:spacing w:line="184" w:lineRule="exact" w:before="1"/>
              <w:ind w:left="30" w:right="193"/>
              <w:rPr>
                <w:sz w:val="16"/>
              </w:rPr>
            </w:pPr>
            <w:r>
              <w:rPr>
                <w:sz w:val="16"/>
              </w:rPr>
              <w:t>Source: Reyes, Gisel; Brown, Sandra; Chapman, Jonathan; Lugo, Ariel E. 1992. Wood densities of tropical tree species. Gen. Tech. Rep. SO-88 New Orleans, LA: U.S. Department of Agriculture, Forest Service, Southern Forest Experiment Station. 15pp.</w:t>
            </w:r>
          </w:p>
        </w:tc>
      </w:tr>
    </w:tbl>
    <w:p>
      <w:pPr>
        <w:spacing w:after="0" w:line="184" w:lineRule="exact"/>
        <w:rPr>
          <w:sz w:val="16"/>
        </w:rPr>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5"/>
        <w:gridCol w:w="1191"/>
        <w:gridCol w:w="1834"/>
        <w:gridCol w:w="1176"/>
        <w:gridCol w:w="1819"/>
        <w:gridCol w:w="1190"/>
      </w:tblGrid>
      <w:tr>
        <w:trPr>
          <w:trHeight w:val="675" w:hRule="atLeast"/>
        </w:trPr>
        <w:tc>
          <w:tcPr>
            <w:tcW w:w="9015" w:type="dxa"/>
            <w:gridSpan w:val="6"/>
            <w:tcBorders>
              <w:bottom w:val="double" w:sz="1" w:space="0" w:color="000000"/>
            </w:tcBorders>
          </w:tcPr>
          <w:p>
            <w:pPr>
              <w:pStyle w:val="TableParagraph"/>
              <w:spacing w:line="196" w:lineRule="exact" w:before="28"/>
              <w:ind w:left="127" w:right="123"/>
              <w:jc w:val="center"/>
              <w:rPr>
                <w:b/>
                <w:sz w:val="18"/>
              </w:rPr>
            </w:pPr>
            <w:r>
              <w:rPr>
                <w:b/>
                <w:sz w:val="18"/>
              </w:rPr>
              <w:t>T</w:t>
            </w:r>
            <w:r>
              <w:rPr>
                <w:b/>
                <w:sz w:val="14"/>
              </w:rPr>
              <w:t>ABLE </w:t>
            </w:r>
            <w:r>
              <w:rPr>
                <w:b/>
                <w:sz w:val="18"/>
              </w:rPr>
              <w:t>3A.1.9-2 (C</w:t>
            </w:r>
            <w:r>
              <w:rPr>
                <w:b/>
                <w:sz w:val="14"/>
              </w:rPr>
              <w:t>ONTINUED</w:t>
            </w:r>
            <w:r>
              <w:rPr>
                <w:b/>
                <w:sz w:val="18"/>
              </w:rPr>
              <w:t>)</w:t>
            </w:r>
          </w:p>
          <w:p>
            <w:pPr>
              <w:pStyle w:val="TableParagraph"/>
              <w:spacing w:line="217" w:lineRule="exact"/>
              <w:ind w:left="131" w:right="89"/>
              <w:jc w:val="center"/>
              <w:rPr>
                <w:b/>
                <w:sz w:val="14"/>
              </w:rPr>
            </w:pPr>
            <w:r>
              <w:rPr>
                <w:b/>
                <w:sz w:val="18"/>
              </w:rPr>
              <w:t>B</w:t>
            </w:r>
            <w:r>
              <w:rPr>
                <w:b/>
                <w:sz w:val="14"/>
              </w:rPr>
              <w:t>ASIC WOOD DENSITIES </w:t>
            </w:r>
            <w:r>
              <w:rPr>
                <w:b/>
                <w:sz w:val="18"/>
              </w:rPr>
              <w:t>(D) </w:t>
            </w:r>
            <w:r>
              <w:rPr>
                <w:b/>
                <w:sz w:val="14"/>
              </w:rPr>
              <w:t>OF STEMWOOD </w:t>
            </w:r>
            <w:r>
              <w:rPr>
                <w:b/>
                <w:sz w:val="18"/>
              </w:rPr>
              <w:t>(tonnes dry matter/m</w:t>
            </w:r>
            <w:r>
              <w:rPr>
                <w:b/>
                <w:position w:val="8"/>
                <w:sz w:val="12"/>
              </w:rPr>
              <w:t>3 </w:t>
            </w:r>
            <w:r>
              <w:rPr>
                <w:b/>
                <w:sz w:val="18"/>
              </w:rPr>
              <w:t>fresh volume) </w:t>
            </w:r>
            <w:r>
              <w:rPr>
                <w:b/>
                <w:sz w:val="14"/>
              </w:rPr>
              <w:t>FOR TROPICAL TREE SPECIES</w:t>
            </w:r>
          </w:p>
          <w:p>
            <w:pPr>
              <w:pStyle w:val="TableParagraph"/>
              <w:spacing w:line="204" w:lineRule="exact"/>
              <w:ind w:left="130" w:right="123"/>
              <w:jc w:val="center"/>
              <w:rPr>
                <w:sz w:val="18"/>
              </w:rPr>
            </w:pPr>
            <w:r>
              <w:rPr>
                <w:sz w:val="18"/>
              </w:rPr>
              <w:t>(To be used for D in Equations 3.2.3., 3.2.5, 3.2.7, 3.2.8)</w:t>
            </w:r>
          </w:p>
        </w:tc>
      </w:tr>
      <w:tr>
        <w:trPr>
          <w:trHeight w:val="248" w:hRule="atLeast"/>
        </w:trPr>
        <w:tc>
          <w:tcPr>
            <w:tcW w:w="1805" w:type="dxa"/>
            <w:tcBorders>
              <w:top w:val="double" w:sz="1" w:space="0" w:color="000000"/>
            </w:tcBorders>
          </w:tcPr>
          <w:p>
            <w:pPr>
              <w:pStyle w:val="TableParagraph"/>
              <w:spacing w:before="27"/>
              <w:ind w:left="266"/>
              <w:rPr>
                <w:b/>
                <w:sz w:val="16"/>
              </w:rPr>
            </w:pPr>
            <w:r>
              <w:rPr>
                <w:b/>
                <w:sz w:val="16"/>
              </w:rPr>
              <w:t>TROPICAL ASIA</w:t>
            </w:r>
          </w:p>
        </w:tc>
        <w:tc>
          <w:tcPr>
            <w:tcW w:w="1191" w:type="dxa"/>
            <w:tcBorders>
              <w:top w:val="double" w:sz="1" w:space="0" w:color="000000"/>
            </w:tcBorders>
          </w:tcPr>
          <w:p>
            <w:pPr>
              <w:pStyle w:val="TableParagraph"/>
              <w:spacing w:before="27"/>
              <w:ind w:left="8"/>
              <w:jc w:val="center"/>
              <w:rPr>
                <w:b/>
                <w:sz w:val="16"/>
              </w:rPr>
            </w:pPr>
            <w:r>
              <w:rPr>
                <w:b/>
                <w:w w:val="100"/>
                <w:sz w:val="16"/>
              </w:rPr>
              <w:t>D</w:t>
            </w:r>
          </w:p>
        </w:tc>
        <w:tc>
          <w:tcPr>
            <w:tcW w:w="1834" w:type="dxa"/>
            <w:tcBorders>
              <w:top w:val="double" w:sz="1" w:space="0" w:color="000000"/>
            </w:tcBorders>
          </w:tcPr>
          <w:p>
            <w:pPr>
              <w:pStyle w:val="TableParagraph"/>
              <w:spacing w:before="27"/>
              <w:ind w:left="82"/>
              <w:rPr>
                <w:b/>
                <w:sz w:val="16"/>
              </w:rPr>
            </w:pPr>
            <w:r>
              <w:rPr>
                <w:b/>
                <w:sz w:val="16"/>
              </w:rPr>
              <w:t>TROPICAL AMERICA</w:t>
            </w:r>
          </w:p>
        </w:tc>
        <w:tc>
          <w:tcPr>
            <w:tcW w:w="1176" w:type="dxa"/>
            <w:tcBorders>
              <w:top w:val="double" w:sz="1" w:space="0" w:color="000000"/>
            </w:tcBorders>
          </w:tcPr>
          <w:p>
            <w:pPr>
              <w:pStyle w:val="TableParagraph"/>
              <w:spacing w:before="27"/>
              <w:ind w:left="5"/>
              <w:jc w:val="center"/>
              <w:rPr>
                <w:b/>
                <w:sz w:val="16"/>
              </w:rPr>
            </w:pPr>
            <w:r>
              <w:rPr>
                <w:b/>
                <w:w w:val="100"/>
                <w:sz w:val="16"/>
              </w:rPr>
              <w:t>D</w:t>
            </w:r>
          </w:p>
        </w:tc>
        <w:tc>
          <w:tcPr>
            <w:tcW w:w="1819" w:type="dxa"/>
            <w:tcBorders>
              <w:top w:val="double" w:sz="1" w:space="0" w:color="000000"/>
            </w:tcBorders>
          </w:tcPr>
          <w:p>
            <w:pPr>
              <w:pStyle w:val="TableParagraph"/>
              <w:spacing w:before="27"/>
              <w:ind w:left="150"/>
              <w:rPr>
                <w:b/>
                <w:sz w:val="16"/>
              </w:rPr>
            </w:pPr>
            <w:r>
              <w:rPr>
                <w:b/>
                <w:sz w:val="16"/>
              </w:rPr>
              <w:t>TROPICAL AFRICA</w:t>
            </w:r>
          </w:p>
        </w:tc>
        <w:tc>
          <w:tcPr>
            <w:tcW w:w="1190" w:type="dxa"/>
            <w:tcBorders>
              <w:top w:val="double" w:sz="1" w:space="0" w:color="000000"/>
            </w:tcBorders>
          </w:tcPr>
          <w:p>
            <w:pPr>
              <w:pStyle w:val="TableParagraph"/>
              <w:spacing w:before="27"/>
              <w:ind w:left="5"/>
              <w:jc w:val="center"/>
              <w:rPr>
                <w:b/>
                <w:sz w:val="16"/>
              </w:rPr>
            </w:pPr>
            <w:r>
              <w:rPr>
                <w:b/>
                <w:w w:val="100"/>
                <w:sz w:val="16"/>
              </w:rPr>
              <w:t>D</w:t>
            </w:r>
          </w:p>
        </w:tc>
      </w:tr>
      <w:tr>
        <w:trPr>
          <w:trHeight w:val="244" w:hRule="atLeast"/>
        </w:trPr>
        <w:tc>
          <w:tcPr>
            <w:tcW w:w="1805" w:type="dxa"/>
          </w:tcPr>
          <w:p>
            <w:pPr>
              <w:pStyle w:val="TableParagraph"/>
              <w:spacing w:before="23"/>
              <w:ind w:left="28"/>
              <w:rPr>
                <w:sz w:val="16"/>
              </w:rPr>
            </w:pPr>
            <w:r>
              <w:rPr>
                <w:sz w:val="16"/>
              </w:rPr>
              <w:t>Shorea polita</w:t>
            </w:r>
          </w:p>
        </w:tc>
        <w:tc>
          <w:tcPr>
            <w:tcW w:w="1191" w:type="dxa"/>
          </w:tcPr>
          <w:p>
            <w:pPr>
              <w:pStyle w:val="TableParagraph"/>
              <w:spacing w:before="23"/>
              <w:ind w:left="48" w:right="40"/>
              <w:jc w:val="center"/>
              <w:rPr>
                <w:sz w:val="16"/>
              </w:rPr>
            </w:pPr>
            <w:r>
              <w:rPr>
                <w:sz w:val="16"/>
              </w:rPr>
              <w:t>0.47</w:t>
            </w:r>
          </w:p>
        </w:tc>
        <w:tc>
          <w:tcPr>
            <w:tcW w:w="1834" w:type="dxa"/>
          </w:tcPr>
          <w:p>
            <w:pPr>
              <w:pStyle w:val="TableParagraph"/>
              <w:spacing w:before="23"/>
              <w:ind w:left="29"/>
              <w:rPr>
                <w:sz w:val="16"/>
              </w:rPr>
            </w:pPr>
            <w:r>
              <w:rPr>
                <w:sz w:val="16"/>
              </w:rPr>
              <w:t>Vitex stahelii</w:t>
            </w:r>
          </w:p>
        </w:tc>
        <w:tc>
          <w:tcPr>
            <w:tcW w:w="1176" w:type="dxa"/>
          </w:tcPr>
          <w:p>
            <w:pPr>
              <w:pStyle w:val="TableParagraph"/>
              <w:spacing w:before="23"/>
              <w:ind w:left="485"/>
              <w:rPr>
                <w:sz w:val="16"/>
              </w:rPr>
            </w:pPr>
            <w:r>
              <w:rPr>
                <w:sz w:val="16"/>
              </w:rPr>
              <w:t>0.6</w:t>
            </w:r>
          </w:p>
        </w:tc>
        <w:tc>
          <w:tcPr>
            <w:tcW w:w="1819" w:type="dxa"/>
          </w:tcPr>
          <w:p>
            <w:pPr>
              <w:pStyle w:val="TableParagraph"/>
              <w:rPr>
                <w:sz w:val="16"/>
              </w:rPr>
            </w:pPr>
          </w:p>
        </w:tc>
        <w:tc>
          <w:tcPr>
            <w:tcW w:w="1190" w:type="dxa"/>
          </w:tcPr>
          <w:p>
            <w:pPr>
              <w:pStyle w:val="TableParagraph"/>
              <w:rPr>
                <w:sz w:val="16"/>
              </w:rPr>
            </w:pPr>
          </w:p>
        </w:tc>
      </w:tr>
      <w:tr>
        <w:trPr>
          <w:trHeight w:val="388" w:hRule="atLeast"/>
        </w:trPr>
        <w:tc>
          <w:tcPr>
            <w:tcW w:w="1805" w:type="dxa"/>
          </w:tcPr>
          <w:p>
            <w:pPr>
              <w:pStyle w:val="TableParagraph"/>
              <w:spacing w:before="95"/>
              <w:ind w:left="28"/>
              <w:rPr>
                <w:sz w:val="16"/>
              </w:rPr>
            </w:pPr>
            <w:r>
              <w:rPr>
                <w:sz w:val="16"/>
              </w:rPr>
              <w:t>Shorea polysperma</w:t>
            </w:r>
          </w:p>
        </w:tc>
        <w:tc>
          <w:tcPr>
            <w:tcW w:w="1191" w:type="dxa"/>
          </w:tcPr>
          <w:p>
            <w:pPr>
              <w:pStyle w:val="TableParagraph"/>
              <w:spacing w:before="95"/>
              <w:ind w:left="47" w:right="40"/>
              <w:jc w:val="center"/>
              <w:rPr>
                <w:sz w:val="16"/>
              </w:rPr>
            </w:pPr>
            <w:r>
              <w:rPr>
                <w:sz w:val="16"/>
              </w:rPr>
              <w:t>0.47</w:t>
            </w:r>
          </w:p>
        </w:tc>
        <w:tc>
          <w:tcPr>
            <w:tcW w:w="1834" w:type="dxa"/>
          </w:tcPr>
          <w:p>
            <w:pPr>
              <w:pStyle w:val="TableParagraph"/>
              <w:spacing w:before="95"/>
              <w:ind w:left="29"/>
              <w:rPr>
                <w:sz w:val="16"/>
              </w:rPr>
            </w:pPr>
            <w:r>
              <w:rPr>
                <w:sz w:val="16"/>
              </w:rPr>
              <w:t>Vochysia spp.</w:t>
            </w:r>
          </w:p>
        </w:tc>
        <w:tc>
          <w:tcPr>
            <w:tcW w:w="1176" w:type="dxa"/>
          </w:tcPr>
          <w:p>
            <w:pPr>
              <w:pStyle w:val="TableParagraph"/>
              <w:spacing w:before="4"/>
              <w:ind w:left="87" w:right="75"/>
              <w:jc w:val="center"/>
              <w:rPr>
                <w:sz w:val="16"/>
              </w:rPr>
            </w:pPr>
            <w:r>
              <w:rPr>
                <w:sz w:val="16"/>
              </w:rPr>
              <w:t>0.40,0.47,</w:t>
            </w:r>
          </w:p>
          <w:p>
            <w:pPr>
              <w:pStyle w:val="TableParagraph"/>
              <w:spacing w:line="180" w:lineRule="exact" w:before="1"/>
              <w:ind w:left="87" w:right="79"/>
              <w:jc w:val="center"/>
              <w:rPr>
                <w:sz w:val="16"/>
              </w:rPr>
            </w:pPr>
            <w:r>
              <w:rPr>
                <w:sz w:val="16"/>
              </w:rPr>
              <w:t>0.79+</w:t>
            </w: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Shorea robusta</w:t>
            </w:r>
          </w:p>
        </w:tc>
        <w:tc>
          <w:tcPr>
            <w:tcW w:w="1191" w:type="dxa"/>
          </w:tcPr>
          <w:p>
            <w:pPr>
              <w:pStyle w:val="TableParagraph"/>
              <w:spacing w:before="23"/>
              <w:ind w:left="48" w:right="40"/>
              <w:jc w:val="center"/>
              <w:rPr>
                <w:sz w:val="16"/>
              </w:rPr>
            </w:pPr>
            <w:r>
              <w:rPr>
                <w:sz w:val="16"/>
              </w:rPr>
              <w:t>0.72</w:t>
            </w:r>
          </w:p>
        </w:tc>
        <w:tc>
          <w:tcPr>
            <w:tcW w:w="1834" w:type="dxa"/>
          </w:tcPr>
          <w:p>
            <w:pPr>
              <w:pStyle w:val="TableParagraph"/>
              <w:spacing w:before="23"/>
              <w:ind w:left="29"/>
              <w:rPr>
                <w:sz w:val="16"/>
              </w:rPr>
            </w:pPr>
            <w:r>
              <w:rPr>
                <w:sz w:val="16"/>
              </w:rPr>
              <w:t>Vouacapoua americana</w:t>
            </w:r>
          </w:p>
        </w:tc>
        <w:tc>
          <w:tcPr>
            <w:tcW w:w="1176" w:type="dxa"/>
          </w:tcPr>
          <w:p>
            <w:pPr>
              <w:pStyle w:val="TableParagraph"/>
              <w:spacing w:before="23"/>
              <w:ind w:left="445"/>
              <w:rPr>
                <w:sz w:val="16"/>
              </w:rPr>
            </w:pPr>
            <w:r>
              <w:rPr>
                <w:sz w:val="16"/>
              </w:rPr>
              <w:t>0.79</w:t>
            </w: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Shorea spp. balau group</w:t>
            </w:r>
          </w:p>
        </w:tc>
        <w:tc>
          <w:tcPr>
            <w:tcW w:w="1191" w:type="dxa"/>
          </w:tcPr>
          <w:p>
            <w:pPr>
              <w:pStyle w:val="TableParagraph"/>
              <w:spacing w:before="23"/>
              <w:ind w:left="46" w:right="40"/>
              <w:jc w:val="center"/>
              <w:rPr>
                <w:sz w:val="16"/>
              </w:rPr>
            </w:pPr>
            <w:r>
              <w:rPr>
                <w:sz w:val="16"/>
              </w:rPr>
              <w:t>0.7</w:t>
            </w:r>
          </w:p>
        </w:tc>
        <w:tc>
          <w:tcPr>
            <w:tcW w:w="1834" w:type="dxa"/>
          </w:tcPr>
          <w:p>
            <w:pPr>
              <w:pStyle w:val="TableParagraph"/>
              <w:spacing w:before="23"/>
              <w:ind w:left="29"/>
              <w:rPr>
                <w:sz w:val="16"/>
              </w:rPr>
            </w:pPr>
            <w:r>
              <w:rPr>
                <w:sz w:val="16"/>
              </w:rPr>
              <w:t>Warszewicsia coccinea</w:t>
            </w:r>
          </w:p>
        </w:tc>
        <w:tc>
          <w:tcPr>
            <w:tcW w:w="1176" w:type="dxa"/>
          </w:tcPr>
          <w:p>
            <w:pPr>
              <w:pStyle w:val="TableParagraph"/>
              <w:spacing w:before="23"/>
              <w:ind w:left="446"/>
              <w:rPr>
                <w:sz w:val="16"/>
              </w:rPr>
            </w:pPr>
            <w:r>
              <w:rPr>
                <w:sz w:val="16"/>
              </w:rPr>
              <w:t>0.56</w:t>
            </w:r>
          </w:p>
        </w:tc>
        <w:tc>
          <w:tcPr>
            <w:tcW w:w="1819" w:type="dxa"/>
          </w:tcPr>
          <w:p>
            <w:pPr>
              <w:pStyle w:val="TableParagraph"/>
              <w:rPr>
                <w:sz w:val="16"/>
              </w:rPr>
            </w:pPr>
          </w:p>
        </w:tc>
        <w:tc>
          <w:tcPr>
            <w:tcW w:w="1190" w:type="dxa"/>
          </w:tcPr>
          <w:p>
            <w:pPr>
              <w:pStyle w:val="TableParagraph"/>
              <w:rPr>
                <w:sz w:val="16"/>
              </w:rPr>
            </w:pPr>
          </w:p>
        </w:tc>
      </w:tr>
      <w:tr>
        <w:trPr>
          <w:trHeight w:val="385" w:hRule="atLeast"/>
        </w:trPr>
        <w:tc>
          <w:tcPr>
            <w:tcW w:w="1805" w:type="dxa"/>
          </w:tcPr>
          <w:p>
            <w:pPr>
              <w:pStyle w:val="TableParagraph"/>
              <w:spacing w:line="180" w:lineRule="atLeast" w:before="4"/>
              <w:ind w:left="28" w:right="431"/>
              <w:rPr>
                <w:sz w:val="16"/>
              </w:rPr>
            </w:pPr>
            <w:r>
              <w:rPr>
                <w:sz w:val="16"/>
              </w:rPr>
              <w:t>Shorea spp. dark red meranti</w:t>
            </w:r>
          </w:p>
        </w:tc>
        <w:tc>
          <w:tcPr>
            <w:tcW w:w="1191" w:type="dxa"/>
          </w:tcPr>
          <w:p>
            <w:pPr>
              <w:pStyle w:val="TableParagraph"/>
              <w:spacing w:before="95"/>
              <w:ind w:left="48" w:right="40"/>
              <w:jc w:val="center"/>
              <w:rPr>
                <w:sz w:val="16"/>
              </w:rPr>
            </w:pPr>
            <w:r>
              <w:rPr>
                <w:sz w:val="16"/>
              </w:rPr>
              <w:t>0.55</w:t>
            </w:r>
          </w:p>
        </w:tc>
        <w:tc>
          <w:tcPr>
            <w:tcW w:w="1834" w:type="dxa"/>
          </w:tcPr>
          <w:p>
            <w:pPr>
              <w:pStyle w:val="TableParagraph"/>
              <w:spacing w:before="95"/>
              <w:ind w:left="30"/>
              <w:rPr>
                <w:sz w:val="16"/>
              </w:rPr>
            </w:pPr>
            <w:r>
              <w:rPr>
                <w:sz w:val="16"/>
              </w:rPr>
              <w:t>Xanthoxylum martinicensis</w:t>
            </w:r>
          </w:p>
        </w:tc>
        <w:tc>
          <w:tcPr>
            <w:tcW w:w="1176" w:type="dxa"/>
          </w:tcPr>
          <w:p>
            <w:pPr>
              <w:pStyle w:val="TableParagraph"/>
              <w:spacing w:before="95"/>
              <w:ind w:left="445"/>
              <w:rPr>
                <w:sz w:val="16"/>
              </w:rPr>
            </w:pPr>
            <w:r>
              <w:rPr>
                <w:sz w:val="16"/>
              </w:rPr>
              <w:t>0.46</w:t>
            </w:r>
          </w:p>
        </w:tc>
        <w:tc>
          <w:tcPr>
            <w:tcW w:w="1819" w:type="dxa"/>
          </w:tcPr>
          <w:p>
            <w:pPr>
              <w:pStyle w:val="TableParagraph"/>
              <w:rPr>
                <w:sz w:val="16"/>
              </w:rPr>
            </w:pPr>
          </w:p>
        </w:tc>
        <w:tc>
          <w:tcPr>
            <w:tcW w:w="1190" w:type="dxa"/>
          </w:tcPr>
          <w:p>
            <w:pPr>
              <w:pStyle w:val="TableParagraph"/>
              <w:rPr>
                <w:sz w:val="16"/>
              </w:rPr>
            </w:pPr>
          </w:p>
        </w:tc>
      </w:tr>
      <w:tr>
        <w:trPr>
          <w:trHeight w:val="388" w:hRule="atLeast"/>
        </w:trPr>
        <w:tc>
          <w:tcPr>
            <w:tcW w:w="1805" w:type="dxa"/>
          </w:tcPr>
          <w:p>
            <w:pPr>
              <w:pStyle w:val="TableParagraph"/>
              <w:spacing w:line="180" w:lineRule="atLeast" w:before="4"/>
              <w:ind w:left="28" w:right="422"/>
              <w:rPr>
                <w:sz w:val="16"/>
              </w:rPr>
            </w:pPr>
            <w:r>
              <w:rPr>
                <w:sz w:val="16"/>
              </w:rPr>
              <w:t>Shorea spp. light red meranti</w:t>
            </w:r>
          </w:p>
        </w:tc>
        <w:tc>
          <w:tcPr>
            <w:tcW w:w="1191" w:type="dxa"/>
          </w:tcPr>
          <w:p>
            <w:pPr>
              <w:pStyle w:val="TableParagraph"/>
              <w:spacing w:before="95"/>
              <w:ind w:left="47" w:right="40"/>
              <w:jc w:val="center"/>
              <w:rPr>
                <w:sz w:val="16"/>
              </w:rPr>
            </w:pPr>
            <w:r>
              <w:rPr>
                <w:sz w:val="16"/>
              </w:rPr>
              <w:t>0.4</w:t>
            </w:r>
          </w:p>
        </w:tc>
        <w:tc>
          <w:tcPr>
            <w:tcW w:w="1834" w:type="dxa"/>
          </w:tcPr>
          <w:p>
            <w:pPr>
              <w:pStyle w:val="TableParagraph"/>
              <w:spacing w:before="95"/>
              <w:ind w:left="30"/>
              <w:rPr>
                <w:sz w:val="16"/>
              </w:rPr>
            </w:pPr>
            <w:r>
              <w:rPr>
                <w:sz w:val="16"/>
              </w:rPr>
              <w:t>Xanthoxylum spp.</w:t>
            </w:r>
          </w:p>
        </w:tc>
        <w:tc>
          <w:tcPr>
            <w:tcW w:w="1176" w:type="dxa"/>
          </w:tcPr>
          <w:p>
            <w:pPr>
              <w:pStyle w:val="TableParagraph"/>
              <w:spacing w:before="95"/>
              <w:ind w:left="444"/>
              <w:rPr>
                <w:sz w:val="16"/>
              </w:rPr>
            </w:pPr>
            <w:r>
              <w:rPr>
                <w:sz w:val="16"/>
              </w:rPr>
              <w:t>0.44</w:t>
            </w: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Shorea spp. white meranti</w:t>
            </w:r>
          </w:p>
        </w:tc>
        <w:tc>
          <w:tcPr>
            <w:tcW w:w="1191" w:type="dxa"/>
          </w:tcPr>
          <w:p>
            <w:pPr>
              <w:pStyle w:val="TableParagraph"/>
              <w:spacing w:before="23"/>
              <w:ind w:left="48" w:right="40"/>
              <w:jc w:val="center"/>
              <w:rPr>
                <w:sz w:val="16"/>
              </w:rPr>
            </w:pPr>
            <w:r>
              <w:rPr>
                <w:sz w:val="16"/>
              </w:rPr>
              <w:t>0.48</w:t>
            </w:r>
          </w:p>
        </w:tc>
        <w:tc>
          <w:tcPr>
            <w:tcW w:w="1834" w:type="dxa"/>
          </w:tcPr>
          <w:p>
            <w:pPr>
              <w:pStyle w:val="TableParagraph"/>
              <w:spacing w:before="23"/>
              <w:ind w:left="29"/>
              <w:rPr>
                <w:sz w:val="16"/>
              </w:rPr>
            </w:pPr>
            <w:r>
              <w:rPr>
                <w:sz w:val="16"/>
              </w:rPr>
              <w:t>Xylopia frutescens</w:t>
            </w:r>
          </w:p>
        </w:tc>
        <w:tc>
          <w:tcPr>
            <w:tcW w:w="1176" w:type="dxa"/>
          </w:tcPr>
          <w:p>
            <w:pPr>
              <w:pStyle w:val="TableParagraph"/>
              <w:spacing w:before="23"/>
              <w:ind w:left="410"/>
              <w:rPr>
                <w:sz w:val="16"/>
              </w:rPr>
            </w:pPr>
            <w:r>
              <w:rPr>
                <w:sz w:val="16"/>
              </w:rPr>
              <w:t>0 64”</w:t>
            </w:r>
          </w:p>
        </w:tc>
        <w:tc>
          <w:tcPr>
            <w:tcW w:w="1819" w:type="dxa"/>
          </w:tcPr>
          <w:p>
            <w:pPr>
              <w:pStyle w:val="TableParagraph"/>
              <w:rPr>
                <w:sz w:val="16"/>
              </w:rPr>
            </w:pPr>
          </w:p>
        </w:tc>
        <w:tc>
          <w:tcPr>
            <w:tcW w:w="1190" w:type="dxa"/>
          </w:tcPr>
          <w:p>
            <w:pPr>
              <w:pStyle w:val="TableParagraph"/>
              <w:rPr>
                <w:sz w:val="16"/>
              </w:rPr>
            </w:pPr>
          </w:p>
        </w:tc>
      </w:tr>
      <w:tr>
        <w:trPr>
          <w:trHeight w:val="388" w:hRule="atLeast"/>
        </w:trPr>
        <w:tc>
          <w:tcPr>
            <w:tcW w:w="1805" w:type="dxa"/>
          </w:tcPr>
          <w:p>
            <w:pPr>
              <w:pStyle w:val="TableParagraph"/>
              <w:spacing w:line="180" w:lineRule="atLeast" w:before="4"/>
              <w:ind w:left="28" w:right="524"/>
              <w:rPr>
                <w:sz w:val="16"/>
              </w:rPr>
            </w:pPr>
            <w:r>
              <w:rPr>
                <w:sz w:val="16"/>
              </w:rPr>
              <w:t>Shorea spp. yellow meranti</w:t>
            </w:r>
          </w:p>
        </w:tc>
        <w:tc>
          <w:tcPr>
            <w:tcW w:w="1191" w:type="dxa"/>
          </w:tcPr>
          <w:p>
            <w:pPr>
              <w:pStyle w:val="TableParagraph"/>
              <w:spacing w:before="95"/>
              <w:ind w:left="48" w:right="40"/>
              <w:jc w:val="center"/>
              <w:rPr>
                <w:sz w:val="16"/>
              </w:rPr>
            </w:pPr>
            <w:r>
              <w:rPr>
                <w:sz w:val="16"/>
              </w:rPr>
              <w:t>0.46</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Shorea virescens</w:t>
            </w:r>
          </w:p>
        </w:tc>
        <w:tc>
          <w:tcPr>
            <w:tcW w:w="1191" w:type="dxa"/>
          </w:tcPr>
          <w:p>
            <w:pPr>
              <w:pStyle w:val="TableParagraph"/>
              <w:spacing w:before="23"/>
              <w:ind w:left="48" w:right="40"/>
              <w:jc w:val="center"/>
              <w:rPr>
                <w:sz w:val="16"/>
              </w:rPr>
            </w:pPr>
            <w:r>
              <w:rPr>
                <w:sz w:val="16"/>
              </w:rPr>
              <w:t>0.42</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Sloanea javanica</w:t>
            </w:r>
          </w:p>
        </w:tc>
        <w:tc>
          <w:tcPr>
            <w:tcW w:w="1191" w:type="dxa"/>
          </w:tcPr>
          <w:p>
            <w:pPr>
              <w:pStyle w:val="TableParagraph"/>
              <w:spacing w:before="23"/>
              <w:ind w:left="49" w:right="39"/>
              <w:jc w:val="center"/>
              <w:rPr>
                <w:sz w:val="16"/>
              </w:rPr>
            </w:pPr>
            <w:r>
              <w:rPr>
                <w:sz w:val="16"/>
              </w:rPr>
              <w:t>0.53</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Soymida febrifuga</w:t>
            </w:r>
          </w:p>
        </w:tc>
        <w:tc>
          <w:tcPr>
            <w:tcW w:w="1191" w:type="dxa"/>
          </w:tcPr>
          <w:p>
            <w:pPr>
              <w:pStyle w:val="TableParagraph"/>
              <w:spacing w:before="23"/>
              <w:ind w:left="49" w:right="40"/>
              <w:jc w:val="center"/>
              <w:rPr>
                <w:sz w:val="16"/>
              </w:rPr>
            </w:pPr>
            <w:r>
              <w:rPr>
                <w:sz w:val="16"/>
              </w:rPr>
              <w:t>0.97</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6" w:hRule="atLeast"/>
        </w:trPr>
        <w:tc>
          <w:tcPr>
            <w:tcW w:w="1805" w:type="dxa"/>
          </w:tcPr>
          <w:p>
            <w:pPr>
              <w:pStyle w:val="TableParagraph"/>
              <w:spacing w:before="23"/>
              <w:ind w:left="28"/>
              <w:rPr>
                <w:sz w:val="16"/>
              </w:rPr>
            </w:pPr>
            <w:r>
              <w:rPr>
                <w:sz w:val="16"/>
              </w:rPr>
              <w:t>Spathodea campanulata</w:t>
            </w:r>
          </w:p>
        </w:tc>
        <w:tc>
          <w:tcPr>
            <w:tcW w:w="1191" w:type="dxa"/>
          </w:tcPr>
          <w:p>
            <w:pPr>
              <w:pStyle w:val="TableParagraph"/>
              <w:spacing w:before="23"/>
              <w:ind w:left="49" w:right="40"/>
              <w:jc w:val="center"/>
              <w:rPr>
                <w:sz w:val="16"/>
              </w:rPr>
            </w:pPr>
            <w:r>
              <w:rPr>
                <w:sz w:val="16"/>
              </w:rPr>
              <w:t>0.25</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Stemonurus luzoniensis</w:t>
            </w:r>
          </w:p>
        </w:tc>
        <w:tc>
          <w:tcPr>
            <w:tcW w:w="1191" w:type="dxa"/>
          </w:tcPr>
          <w:p>
            <w:pPr>
              <w:pStyle w:val="TableParagraph"/>
              <w:spacing w:before="23"/>
              <w:ind w:left="48" w:right="40"/>
              <w:jc w:val="center"/>
              <w:rPr>
                <w:sz w:val="16"/>
              </w:rPr>
            </w:pPr>
            <w:r>
              <w:rPr>
                <w:sz w:val="16"/>
              </w:rPr>
              <w:t>0.37</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Sterculia vitiensis</w:t>
            </w:r>
          </w:p>
        </w:tc>
        <w:tc>
          <w:tcPr>
            <w:tcW w:w="1191" w:type="dxa"/>
          </w:tcPr>
          <w:p>
            <w:pPr>
              <w:pStyle w:val="TableParagraph"/>
              <w:spacing w:before="23"/>
              <w:ind w:left="49" w:right="40"/>
              <w:jc w:val="center"/>
              <w:rPr>
                <w:sz w:val="16"/>
              </w:rPr>
            </w:pPr>
            <w:r>
              <w:rPr>
                <w:sz w:val="16"/>
              </w:rPr>
              <w:t>0.31</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385" w:hRule="atLeast"/>
        </w:trPr>
        <w:tc>
          <w:tcPr>
            <w:tcW w:w="1805" w:type="dxa"/>
          </w:tcPr>
          <w:p>
            <w:pPr>
              <w:pStyle w:val="TableParagraph"/>
              <w:spacing w:line="180" w:lineRule="atLeast" w:before="4"/>
              <w:ind w:left="28" w:right="742"/>
              <w:rPr>
                <w:sz w:val="16"/>
              </w:rPr>
            </w:pPr>
            <w:r>
              <w:rPr>
                <w:sz w:val="16"/>
              </w:rPr>
              <w:t>Stereospermum suaveolens</w:t>
            </w:r>
          </w:p>
        </w:tc>
        <w:tc>
          <w:tcPr>
            <w:tcW w:w="1191" w:type="dxa"/>
          </w:tcPr>
          <w:p>
            <w:pPr>
              <w:pStyle w:val="TableParagraph"/>
              <w:spacing w:before="95"/>
              <w:ind w:left="48" w:right="40"/>
              <w:jc w:val="center"/>
              <w:rPr>
                <w:sz w:val="16"/>
              </w:rPr>
            </w:pPr>
            <w:r>
              <w:rPr>
                <w:sz w:val="16"/>
              </w:rPr>
              <w:t>0.62</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6" w:hRule="atLeast"/>
        </w:trPr>
        <w:tc>
          <w:tcPr>
            <w:tcW w:w="1805" w:type="dxa"/>
          </w:tcPr>
          <w:p>
            <w:pPr>
              <w:pStyle w:val="TableParagraph"/>
              <w:spacing w:before="23"/>
              <w:ind w:left="28"/>
              <w:rPr>
                <w:sz w:val="16"/>
              </w:rPr>
            </w:pPr>
            <w:r>
              <w:rPr>
                <w:sz w:val="16"/>
              </w:rPr>
              <w:t>Strombosia philippinensis</w:t>
            </w:r>
          </w:p>
        </w:tc>
        <w:tc>
          <w:tcPr>
            <w:tcW w:w="1191" w:type="dxa"/>
          </w:tcPr>
          <w:p>
            <w:pPr>
              <w:pStyle w:val="TableParagraph"/>
              <w:spacing w:before="23"/>
              <w:ind w:left="48" w:right="40"/>
              <w:jc w:val="center"/>
              <w:rPr>
                <w:sz w:val="16"/>
              </w:rPr>
            </w:pPr>
            <w:r>
              <w:rPr>
                <w:sz w:val="16"/>
              </w:rPr>
              <w:t>0.71</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Strychnos potatorum</w:t>
            </w:r>
          </w:p>
        </w:tc>
        <w:tc>
          <w:tcPr>
            <w:tcW w:w="1191" w:type="dxa"/>
          </w:tcPr>
          <w:p>
            <w:pPr>
              <w:pStyle w:val="TableParagraph"/>
              <w:spacing w:before="23"/>
              <w:ind w:left="49" w:right="40"/>
              <w:jc w:val="center"/>
              <w:rPr>
                <w:sz w:val="16"/>
              </w:rPr>
            </w:pPr>
            <w:r>
              <w:rPr>
                <w:sz w:val="16"/>
              </w:rPr>
              <w:t>0.88</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Swietenia macrophylla</w:t>
            </w:r>
          </w:p>
        </w:tc>
        <w:tc>
          <w:tcPr>
            <w:tcW w:w="1191" w:type="dxa"/>
          </w:tcPr>
          <w:p>
            <w:pPr>
              <w:pStyle w:val="TableParagraph"/>
              <w:spacing w:before="23"/>
              <w:ind w:left="49" w:right="38"/>
              <w:jc w:val="center"/>
              <w:rPr>
                <w:sz w:val="16"/>
              </w:rPr>
            </w:pPr>
            <w:r>
              <w:rPr>
                <w:sz w:val="16"/>
              </w:rPr>
              <w:t>0.49,0.53+</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Swintonia foxworthyi</w:t>
            </w:r>
          </w:p>
        </w:tc>
        <w:tc>
          <w:tcPr>
            <w:tcW w:w="1191" w:type="dxa"/>
          </w:tcPr>
          <w:p>
            <w:pPr>
              <w:pStyle w:val="TableParagraph"/>
              <w:spacing w:before="23"/>
              <w:ind w:left="48" w:right="40"/>
              <w:jc w:val="center"/>
              <w:rPr>
                <w:sz w:val="16"/>
              </w:rPr>
            </w:pPr>
            <w:r>
              <w:rPr>
                <w:sz w:val="16"/>
              </w:rPr>
              <w:t>0.62</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6" w:hRule="atLeast"/>
        </w:trPr>
        <w:tc>
          <w:tcPr>
            <w:tcW w:w="1805" w:type="dxa"/>
          </w:tcPr>
          <w:p>
            <w:pPr>
              <w:pStyle w:val="TableParagraph"/>
              <w:spacing w:before="23"/>
              <w:ind w:left="28"/>
              <w:rPr>
                <w:sz w:val="16"/>
              </w:rPr>
            </w:pPr>
            <w:r>
              <w:rPr>
                <w:sz w:val="16"/>
              </w:rPr>
              <w:t>Swintonia spp.</w:t>
            </w:r>
          </w:p>
        </w:tc>
        <w:tc>
          <w:tcPr>
            <w:tcW w:w="1191" w:type="dxa"/>
          </w:tcPr>
          <w:p>
            <w:pPr>
              <w:pStyle w:val="TableParagraph"/>
              <w:spacing w:before="23"/>
              <w:ind w:left="48" w:right="40"/>
              <w:jc w:val="center"/>
              <w:rPr>
                <w:sz w:val="16"/>
              </w:rPr>
            </w:pPr>
            <w:r>
              <w:rPr>
                <w:sz w:val="16"/>
              </w:rPr>
              <w:t>0.61</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Sycopsis dunni</w:t>
            </w:r>
          </w:p>
        </w:tc>
        <w:tc>
          <w:tcPr>
            <w:tcW w:w="1191" w:type="dxa"/>
          </w:tcPr>
          <w:p>
            <w:pPr>
              <w:pStyle w:val="TableParagraph"/>
              <w:spacing w:before="23"/>
              <w:ind w:left="48" w:right="40"/>
              <w:jc w:val="center"/>
              <w:rPr>
                <w:sz w:val="16"/>
              </w:rPr>
            </w:pPr>
            <w:r>
              <w:rPr>
                <w:sz w:val="16"/>
              </w:rPr>
              <w:t>0.63</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Syzygium spp.</w:t>
            </w:r>
          </w:p>
        </w:tc>
        <w:tc>
          <w:tcPr>
            <w:tcW w:w="1191" w:type="dxa"/>
          </w:tcPr>
          <w:p>
            <w:pPr>
              <w:pStyle w:val="TableParagraph"/>
              <w:spacing w:before="23"/>
              <w:ind w:left="49" w:right="40"/>
              <w:jc w:val="center"/>
              <w:rPr>
                <w:sz w:val="16"/>
              </w:rPr>
            </w:pPr>
            <w:r>
              <w:rPr>
                <w:sz w:val="16"/>
              </w:rPr>
              <w:t>0.69, 0.76+</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Tamarindus indica</w:t>
            </w:r>
          </w:p>
        </w:tc>
        <w:tc>
          <w:tcPr>
            <w:tcW w:w="1191" w:type="dxa"/>
          </w:tcPr>
          <w:p>
            <w:pPr>
              <w:pStyle w:val="TableParagraph"/>
              <w:spacing w:before="23"/>
              <w:ind w:left="49" w:right="40"/>
              <w:jc w:val="center"/>
              <w:rPr>
                <w:sz w:val="16"/>
              </w:rPr>
            </w:pPr>
            <w:r>
              <w:rPr>
                <w:sz w:val="16"/>
              </w:rPr>
              <w:t>0.75</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6" w:hRule="atLeast"/>
        </w:trPr>
        <w:tc>
          <w:tcPr>
            <w:tcW w:w="1805" w:type="dxa"/>
          </w:tcPr>
          <w:p>
            <w:pPr>
              <w:pStyle w:val="TableParagraph"/>
              <w:spacing w:before="23"/>
              <w:ind w:left="28"/>
              <w:rPr>
                <w:sz w:val="16"/>
              </w:rPr>
            </w:pPr>
            <w:r>
              <w:rPr>
                <w:sz w:val="16"/>
              </w:rPr>
              <w:t>Tectona grandis</w:t>
            </w:r>
          </w:p>
        </w:tc>
        <w:tc>
          <w:tcPr>
            <w:tcW w:w="1191" w:type="dxa"/>
          </w:tcPr>
          <w:p>
            <w:pPr>
              <w:pStyle w:val="TableParagraph"/>
              <w:spacing w:before="23"/>
              <w:ind w:left="49" w:right="38"/>
              <w:jc w:val="center"/>
              <w:rPr>
                <w:sz w:val="16"/>
              </w:rPr>
            </w:pPr>
            <w:r>
              <w:rPr>
                <w:sz w:val="16"/>
              </w:rPr>
              <w:t>0.50,0.55+</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386" w:hRule="atLeast"/>
        </w:trPr>
        <w:tc>
          <w:tcPr>
            <w:tcW w:w="1805" w:type="dxa"/>
          </w:tcPr>
          <w:p>
            <w:pPr>
              <w:pStyle w:val="TableParagraph"/>
              <w:spacing w:line="182" w:lineRule="exact" w:before="7"/>
              <w:ind w:left="28" w:right="422"/>
              <w:rPr>
                <w:sz w:val="16"/>
              </w:rPr>
            </w:pPr>
            <w:r>
              <w:rPr>
                <w:sz w:val="16"/>
              </w:rPr>
              <w:t>Teijsmanniodendron ahernianum</w:t>
            </w:r>
          </w:p>
        </w:tc>
        <w:tc>
          <w:tcPr>
            <w:tcW w:w="1191" w:type="dxa"/>
          </w:tcPr>
          <w:p>
            <w:pPr>
              <w:pStyle w:val="TableParagraph"/>
              <w:spacing w:before="95"/>
              <w:ind w:left="47" w:right="40"/>
              <w:jc w:val="center"/>
              <w:rPr>
                <w:sz w:val="16"/>
              </w:rPr>
            </w:pPr>
            <w:r>
              <w:rPr>
                <w:sz w:val="16"/>
              </w:rPr>
              <w:t>0.9</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Terminalia citrina</w:t>
            </w:r>
          </w:p>
        </w:tc>
        <w:tc>
          <w:tcPr>
            <w:tcW w:w="1191" w:type="dxa"/>
          </w:tcPr>
          <w:p>
            <w:pPr>
              <w:pStyle w:val="TableParagraph"/>
              <w:spacing w:before="23"/>
              <w:ind w:left="49" w:right="40"/>
              <w:jc w:val="center"/>
              <w:rPr>
                <w:sz w:val="16"/>
              </w:rPr>
            </w:pPr>
            <w:r>
              <w:rPr>
                <w:sz w:val="16"/>
              </w:rPr>
              <w:t>0.71</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6" w:hRule="atLeast"/>
        </w:trPr>
        <w:tc>
          <w:tcPr>
            <w:tcW w:w="1805" w:type="dxa"/>
          </w:tcPr>
          <w:p>
            <w:pPr>
              <w:pStyle w:val="TableParagraph"/>
              <w:spacing w:before="23"/>
              <w:ind w:left="28"/>
              <w:rPr>
                <w:sz w:val="16"/>
              </w:rPr>
            </w:pPr>
            <w:r>
              <w:rPr>
                <w:sz w:val="16"/>
              </w:rPr>
              <w:t>Terminalia copelandii</w:t>
            </w:r>
          </w:p>
        </w:tc>
        <w:tc>
          <w:tcPr>
            <w:tcW w:w="1191" w:type="dxa"/>
          </w:tcPr>
          <w:p>
            <w:pPr>
              <w:pStyle w:val="TableParagraph"/>
              <w:spacing w:before="23"/>
              <w:ind w:left="49" w:right="40"/>
              <w:jc w:val="center"/>
              <w:rPr>
                <w:sz w:val="16"/>
              </w:rPr>
            </w:pPr>
            <w:r>
              <w:rPr>
                <w:sz w:val="16"/>
              </w:rPr>
              <w:t>0.46</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Terminalia foetidissima</w:t>
            </w:r>
          </w:p>
        </w:tc>
        <w:tc>
          <w:tcPr>
            <w:tcW w:w="1191" w:type="dxa"/>
          </w:tcPr>
          <w:p>
            <w:pPr>
              <w:pStyle w:val="TableParagraph"/>
              <w:spacing w:before="23"/>
              <w:ind w:left="49" w:right="40"/>
              <w:jc w:val="center"/>
              <w:rPr>
                <w:sz w:val="16"/>
              </w:rPr>
            </w:pPr>
            <w:r>
              <w:rPr>
                <w:sz w:val="16"/>
              </w:rPr>
              <w:t>0.55</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Terminalia microcarpa</w:t>
            </w:r>
          </w:p>
        </w:tc>
        <w:tc>
          <w:tcPr>
            <w:tcW w:w="1191" w:type="dxa"/>
          </w:tcPr>
          <w:p>
            <w:pPr>
              <w:pStyle w:val="TableParagraph"/>
              <w:spacing w:before="23"/>
              <w:ind w:left="49" w:right="40"/>
              <w:jc w:val="center"/>
              <w:rPr>
                <w:sz w:val="16"/>
              </w:rPr>
            </w:pPr>
            <w:r>
              <w:rPr>
                <w:sz w:val="16"/>
              </w:rPr>
              <w:t>0.53</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Terminalia nitens</w:t>
            </w:r>
          </w:p>
        </w:tc>
        <w:tc>
          <w:tcPr>
            <w:tcW w:w="1191" w:type="dxa"/>
          </w:tcPr>
          <w:p>
            <w:pPr>
              <w:pStyle w:val="TableParagraph"/>
              <w:spacing w:before="23"/>
              <w:ind w:left="48" w:right="40"/>
              <w:jc w:val="center"/>
              <w:rPr>
                <w:sz w:val="16"/>
              </w:rPr>
            </w:pPr>
            <w:r>
              <w:rPr>
                <w:sz w:val="16"/>
              </w:rPr>
              <w:t>0.58</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6" w:hRule="atLeast"/>
        </w:trPr>
        <w:tc>
          <w:tcPr>
            <w:tcW w:w="1805" w:type="dxa"/>
          </w:tcPr>
          <w:p>
            <w:pPr>
              <w:pStyle w:val="TableParagraph"/>
              <w:spacing w:before="23"/>
              <w:ind w:left="28"/>
              <w:rPr>
                <w:sz w:val="16"/>
              </w:rPr>
            </w:pPr>
            <w:r>
              <w:rPr>
                <w:sz w:val="16"/>
              </w:rPr>
              <w:t>Terminalia pterocarpa</w:t>
            </w:r>
          </w:p>
        </w:tc>
        <w:tc>
          <w:tcPr>
            <w:tcW w:w="1191" w:type="dxa"/>
          </w:tcPr>
          <w:p>
            <w:pPr>
              <w:pStyle w:val="TableParagraph"/>
              <w:spacing w:before="23"/>
              <w:ind w:left="49" w:right="40"/>
              <w:jc w:val="center"/>
              <w:rPr>
                <w:sz w:val="16"/>
              </w:rPr>
            </w:pPr>
            <w:r>
              <w:rPr>
                <w:sz w:val="16"/>
              </w:rPr>
              <w:t>0.48</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Terminalia tomentosa</w:t>
            </w:r>
          </w:p>
        </w:tc>
        <w:tc>
          <w:tcPr>
            <w:tcW w:w="1191" w:type="dxa"/>
          </w:tcPr>
          <w:p>
            <w:pPr>
              <w:pStyle w:val="TableParagraph"/>
              <w:spacing w:before="23"/>
              <w:ind w:left="49" w:right="40"/>
              <w:jc w:val="center"/>
              <w:rPr>
                <w:sz w:val="16"/>
              </w:rPr>
            </w:pPr>
            <w:r>
              <w:rPr>
                <w:sz w:val="16"/>
              </w:rPr>
              <w:t>0.73,0.76, 0.77+</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Ternstroemia megacarpa</w:t>
            </w:r>
          </w:p>
        </w:tc>
        <w:tc>
          <w:tcPr>
            <w:tcW w:w="1191" w:type="dxa"/>
          </w:tcPr>
          <w:p>
            <w:pPr>
              <w:pStyle w:val="TableParagraph"/>
              <w:spacing w:before="23"/>
              <w:ind w:left="49" w:right="39"/>
              <w:jc w:val="center"/>
              <w:rPr>
                <w:sz w:val="16"/>
              </w:rPr>
            </w:pPr>
            <w:r>
              <w:rPr>
                <w:sz w:val="16"/>
              </w:rPr>
              <w:t>0.53</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Tetrameles nudiflora</w:t>
            </w:r>
          </w:p>
        </w:tc>
        <w:tc>
          <w:tcPr>
            <w:tcW w:w="1191" w:type="dxa"/>
          </w:tcPr>
          <w:p>
            <w:pPr>
              <w:pStyle w:val="TableParagraph"/>
              <w:spacing w:before="23"/>
              <w:ind w:left="47" w:right="40"/>
              <w:jc w:val="center"/>
              <w:rPr>
                <w:sz w:val="16"/>
              </w:rPr>
            </w:pPr>
            <w:r>
              <w:rPr>
                <w:sz w:val="16"/>
              </w:rPr>
              <w:t>0.3</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6" w:hRule="atLeast"/>
        </w:trPr>
        <w:tc>
          <w:tcPr>
            <w:tcW w:w="1805" w:type="dxa"/>
          </w:tcPr>
          <w:p>
            <w:pPr>
              <w:pStyle w:val="TableParagraph"/>
              <w:spacing w:before="23"/>
              <w:ind w:left="28"/>
              <w:rPr>
                <w:sz w:val="16"/>
              </w:rPr>
            </w:pPr>
            <w:r>
              <w:rPr>
                <w:sz w:val="16"/>
              </w:rPr>
              <w:t>Tetramerista glabra</w:t>
            </w:r>
          </w:p>
        </w:tc>
        <w:tc>
          <w:tcPr>
            <w:tcW w:w="1191" w:type="dxa"/>
          </w:tcPr>
          <w:p>
            <w:pPr>
              <w:pStyle w:val="TableParagraph"/>
              <w:spacing w:before="23"/>
              <w:ind w:left="49" w:right="39"/>
              <w:jc w:val="center"/>
              <w:rPr>
                <w:sz w:val="16"/>
              </w:rPr>
            </w:pPr>
            <w:r>
              <w:rPr>
                <w:sz w:val="16"/>
              </w:rPr>
              <w:t>0.61</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Thespesia populnea</w:t>
            </w:r>
          </w:p>
        </w:tc>
        <w:tc>
          <w:tcPr>
            <w:tcW w:w="1191" w:type="dxa"/>
          </w:tcPr>
          <w:p>
            <w:pPr>
              <w:pStyle w:val="TableParagraph"/>
              <w:spacing w:before="23"/>
              <w:ind w:left="49" w:right="40"/>
              <w:jc w:val="center"/>
              <w:rPr>
                <w:sz w:val="16"/>
              </w:rPr>
            </w:pPr>
            <w:r>
              <w:rPr>
                <w:sz w:val="16"/>
              </w:rPr>
              <w:t>0.52</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Toona calantas</w:t>
            </w:r>
          </w:p>
        </w:tc>
        <w:tc>
          <w:tcPr>
            <w:tcW w:w="1191" w:type="dxa"/>
          </w:tcPr>
          <w:p>
            <w:pPr>
              <w:pStyle w:val="TableParagraph"/>
              <w:spacing w:before="23"/>
              <w:ind w:left="49" w:right="39"/>
              <w:jc w:val="center"/>
              <w:rPr>
                <w:sz w:val="16"/>
              </w:rPr>
            </w:pPr>
            <w:r>
              <w:rPr>
                <w:sz w:val="16"/>
              </w:rPr>
              <w:t>0.29</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244" w:hRule="atLeast"/>
        </w:trPr>
        <w:tc>
          <w:tcPr>
            <w:tcW w:w="1805" w:type="dxa"/>
          </w:tcPr>
          <w:p>
            <w:pPr>
              <w:pStyle w:val="TableParagraph"/>
              <w:spacing w:before="23"/>
              <w:ind w:left="28"/>
              <w:rPr>
                <w:sz w:val="16"/>
              </w:rPr>
            </w:pPr>
            <w:r>
              <w:rPr>
                <w:sz w:val="16"/>
              </w:rPr>
              <w:t>Trema orientalis</w:t>
            </w:r>
          </w:p>
        </w:tc>
        <w:tc>
          <w:tcPr>
            <w:tcW w:w="1191" w:type="dxa"/>
          </w:tcPr>
          <w:p>
            <w:pPr>
              <w:pStyle w:val="TableParagraph"/>
              <w:spacing w:before="23"/>
              <w:ind w:left="48" w:right="40"/>
              <w:jc w:val="center"/>
              <w:rPr>
                <w:sz w:val="16"/>
              </w:rPr>
            </w:pPr>
            <w:r>
              <w:rPr>
                <w:sz w:val="16"/>
              </w:rPr>
              <w:t>0.31</w:t>
            </w:r>
          </w:p>
        </w:tc>
        <w:tc>
          <w:tcPr>
            <w:tcW w:w="1834" w:type="dxa"/>
          </w:tcPr>
          <w:p>
            <w:pPr>
              <w:pStyle w:val="TableParagraph"/>
              <w:rPr>
                <w:sz w:val="16"/>
              </w:rPr>
            </w:pPr>
          </w:p>
        </w:tc>
        <w:tc>
          <w:tcPr>
            <w:tcW w:w="1176" w:type="dxa"/>
          </w:tcPr>
          <w:p>
            <w:pPr>
              <w:pStyle w:val="TableParagraph"/>
              <w:rPr>
                <w:sz w:val="16"/>
              </w:rPr>
            </w:pPr>
          </w:p>
        </w:tc>
        <w:tc>
          <w:tcPr>
            <w:tcW w:w="1819" w:type="dxa"/>
          </w:tcPr>
          <w:p>
            <w:pPr>
              <w:pStyle w:val="TableParagraph"/>
              <w:rPr>
                <w:sz w:val="16"/>
              </w:rPr>
            </w:pPr>
          </w:p>
        </w:tc>
        <w:tc>
          <w:tcPr>
            <w:tcW w:w="1190" w:type="dxa"/>
          </w:tcPr>
          <w:p>
            <w:pPr>
              <w:pStyle w:val="TableParagraph"/>
              <w:rPr>
                <w:sz w:val="16"/>
              </w:rPr>
            </w:pPr>
          </w:p>
        </w:tc>
      </w:tr>
      <w:tr>
        <w:trPr>
          <w:trHeight w:val="736" w:hRule="atLeast"/>
        </w:trPr>
        <w:tc>
          <w:tcPr>
            <w:tcW w:w="9015" w:type="dxa"/>
            <w:gridSpan w:val="6"/>
          </w:tcPr>
          <w:p>
            <w:pPr>
              <w:pStyle w:val="TableParagraph"/>
              <w:spacing w:line="178" w:lineRule="exact"/>
              <w:ind w:left="28"/>
              <w:rPr>
                <w:sz w:val="16"/>
              </w:rPr>
            </w:pPr>
            <w:r>
              <w:rPr>
                <w:sz w:val="16"/>
              </w:rPr>
              <w:t>+ The wood densities specified pertain to more than one bibliographic source.</w:t>
            </w:r>
          </w:p>
          <w:p>
            <w:pPr>
              <w:pStyle w:val="TableParagraph"/>
              <w:spacing w:before="1"/>
              <w:ind w:left="28"/>
              <w:rPr>
                <w:sz w:val="16"/>
              </w:rPr>
            </w:pPr>
            <w:r>
              <w:rPr>
                <w:sz w:val="16"/>
              </w:rPr>
              <w:t>* Wood density value is derived from the regression equation in Reyes </w:t>
            </w:r>
            <w:r>
              <w:rPr>
                <w:i/>
                <w:sz w:val="16"/>
              </w:rPr>
              <w:t>et al. </w:t>
            </w:r>
            <w:r>
              <w:rPr>
                <w:sz w:val="16"/>
              </w:rPr>
              <w:t>(1992).</w:t>
            </w:r>
          </w:p>
          <w:p>
            <w:pPr>
              <w:pStyle w:val="TableParagraph"/>
              <w:spacing w:line="182" w:lineRule="exact" w:before="4"/>
              <w:ind w:left="28" w:right="195"/>
              <w:rPr>
                <w:sz w:val="16"/>
              </w:rPr>
            </w:pPr>
            <w:r>
              <w:rPr>
                <w:sz w:val="16"/>
              </w:rPr>
              <w:t>Source: Reyes, Gisel; Brown, Sandra; Chapman, Jonathan; Lugo, Ariel E. 1992. Wood densities of tropical tree species. Gen. Tech. Rep. SO-88 New Orleans, LA: U.S. Department of Agriculture, Forest Service, Southern Forest Experiment Station. 15pp.</w:t>
            </w:r>
          </w:p>
        </w:tc>
      </w:tr>
    </w:tbl>
    <w:p>
      <w:pPr>
        <w:spacing w:after="0" w:line="182" w:lineRule="exact"/>
        <w:rPr>
          <w:sz w:val="16"/>
        </w:rPr>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3"/>
        <w:gridCol w:w="1191"/>
        <w:gridCol w:w="1849"/>
        <w:gridCol w:w="1189"/>
        <w:gridCol w:w="1808"/>
        <w:gridCol w:w="1191"/>
      </w:tblGrid>
      <w:tr>
        <w:trPr>
          <w:trHeight w:val="740" w:hRule="atLeast"/>
        </w:trPr>
        <w:tc>
          <w:tcPr>
            <w:tcW w:w="9021" w:type="dxa"/>
            <w:gridSpan w:val="6"/>
            <w:tcBorders>
              <w:bottom w:val="double" w:sz="1" w:space="0" w:color="000000"/>
            </w:tcBorders>
          </w:tcPr>
          <w:p>
            <w:pPr>
              <w:pStyle w:val="TableParagraph"/>
              <w:spacing w:line="196" w:lineRule="exact" w:before="59"/>
              <w:ind w:left="409" w:right="407"/>
              <w:jc w:val="center"/>
              <w:rPr>
                <w:b/>
                <w:sz w:val="18"/>
              </w:rPr>
            </w:pPr>
            <w:r>
              <w:rPr>
                <w:b/>
                <w:sz w:val="18"/>
              </w:rPr>
              <w:t>T</w:t>
            </w:r>
            <w:r>
              <w:rPr>
                <w:b/>
                <w:sz w:val="14"/>
              </w:rPr>
              <w:t>ABLE </w:t>
            </w:r>
            <w:r>
              <w:rPr>
                <w:b/>
                <w:sz w:val="18"/>
              </w:rPr>
              <w:t>3A.1.9-2 (C</w:t>
            </w:r>
            <w:r>
              <w:rPr>
                <w:b/>
                <w:sz w:val="14"/>
              </w:rPr>
              <w:t>ONTINUED</w:t>
            </w:r>
            <w:r>
              <w:rPr>
                <w:b/>
                <w:sz w:val="18"/>
              </w:rPr>
              <w:t>)</w:t>
            </w:r>
          </w:p>
          <w:p>
            <w:pPr>
              <w:pStyle w:val="TableParagraph"/>
              <w:spacing w:line="217" w:lineRule="exact"/>
              <w:ind w:left="448" w:right="407"/>
              <w:jc w:val="center"/>
              <w:rPr>
                <w:b/>
                <w:sz w:val="14"/>
              </w:rPr>
            </w:pPr>
            <w:r>
              <w:rPr>
                <w:b/>
                <w:sz w:val="18"/>
              </w:rPr>
              <w:t>B</w:t>
            </w:r>
            <w:r>
              <w:rPr>
                <w:b/>
                <w:sz w:val="14"/>
              </w:rPr>
              <w:t>ASIC WOOD DENSITIES </w:t>
            </w:r>
            <w:r>
              <w:rPr>
                <w:b/>
                <w:sz w:val="18"/>
              </w:rPr>
              <w:t>(D) </w:t>
            </w:r>
            <w:r>
              <w:rPr>
                <w:b/>
                <w:sz w:val="14"/>
              </w:rPr>
              <w:t>OF STEMWOOD </w:t>
            </w:r>
            <w:r>
              <w:rPr>
                <w:b/>
                <w:sz w:val="18"/>
              </w:rPr>
              <w:t>(tonnes dry matter/m</w:t>
            </w:r>
            <w:r>
              <w:rPr>
                <w:b/>
                <w:position w:val="8"/>
                <w:sz w:val="12"/>
              </w:rPr>
              <w:t>3 </w:t>
            </w:r>
            <w:r>
              <w:rPr>
                <w:b/>
                <w:sz w:val="18"/>
              </w:rPr>
              <w:t>fresh volume) </w:t>
            </w:r>
            <w:r>
              <w:rPr>
                <w:b/>
                <w:sz w:val="14"/>
              </w:rPr>
              <w:t>FOR TROPICAL TREE SPECIES</w:t>
            </w:r>
          </w:p>
          <w:p>
            <w:pPr>
              <w:pStyle w:val="TableParagraph"/>
              <w:spacing w:line="204" w:lineRule="exact"/>
              <w:ind w:left="412" w:right="407"/>
              <w:jc w:val="center"/>
              <w:rPr>
                <w:sz w:val="18"/>
              </w:rPr>
            </w:pPr>
            <w:r>
              <w:rPr>
                <w:sz w:val="18"/>
              </w:rPr>
              <w:t>(To be used for D in Equations 3.2.3., 3.2.5, 3.2.7, 3.2.8)</w:t>
            </w:r>
          </w:p>
        </w:tc>
      </w:tr>
      <w:tr>
        <w:trPr>
          <w:trHeight w:val="248" w:hRule="atLeast"/>
        </w:trPr>
        <w:tc>
          <w:tcPr>
            <w:tcW w:w="1793" w:type="dxa"/>
            <w:tcBorders>
              <w:top w:val="double" w:sz="1" w:space="0" w:color="000000"/>
            </w:tcBorders>
          </w:tcPr>
          <w:p>
            <w:pPr>
              <w:pStyle w:val="TableParagraph"/>
              <w:spacing w:before="27"/>
              <w:ind w:left="261"/>
              <w:rPr>
                <w:b/>
                <w:sz w:val="16"/>
              </w:rPr>
            </w:pPr>
            <w:r>
              <w:rPr>
                <w:b/>
                <w:sz w:val="16"/>
              </w:rPr>
              <w:t>TROPICAL ASIA</w:t>
            </w:r>
          </w:p>
        </w:tc>
        <w:tc>
          <w:tcPr>
            <w:tcW w:w="1191" w:type="dxa"/>
            <w:tcBorders>
              <w:top w:val="double" w:sz="1" w:space="0" w:color="000000"/>
            </w:tcBorders>
          </w:tcPr>
          <w:p>
            <w:pPr>
              <w:pStyle w:val="TableParagraph"/>
              <w:spacing w:before="27"/>
              <w:ind w:left="7"/>
              <w:jc w:val="center"/>
              <w:rPr>
                <w:b/>
                <w:sz w:val="16"/>
              </w:rPr>
            </w:pPr>
            <w:r>
              <w:rPr>
                <w:b/>
                <w:w w:val="100"/>
                <w:sz w:val="16"/>
              </w:rPr>
              <w:t>D</w:t>
            </w:r>
          </w:p>
        </w:tc>
        <w:tc>
          <w:tcPr>
            <w:tcW w:w="1849" w:type="dxa"/>
            <w:tcBorders>
              <w:top w:val="double" w:sz="1" w:space="0" w:color="000000"/>
            </w:tcBorders>
          </w:tcPr>
          <w:p>
            <w:pPr>
              <w:pStyle w:val="TableParagraph"/>
              <w:spacing w:before="27"/>
              <w:ind w:left="89"/>
              <w:rPr>
                <w:b/>
                <w:sz w:val="16"/>
              </w:rPr>
            </w:pPr>
            <w:r>
              <w:rPr>
                <w:b/>
                <w:sz w:val="16"/>
              </w:rPr>
              <w:t>TROPICAL AMERICA</w:t>
            </w:r>
          </w:p>
        </w:tc>
        <w:tc>
          <w:tcPr>
            <w:tcW w:w="1189" w:type="dxa"/>
            <w:tcBorders>
              <w:top w:val="double" w:sz="1" w:space="0" w:color="000000"/>
            </w:tcBorders>
          </w:tcPr>
          <w:p>
            <w:pPr>
              <w:pStyle w:val="TableParagraph"/>
              <w:spacing w:before="27"/>
              <w:ind w:left="5"/>
              <w:jc w:val="center"/>
              <w:rPr>
                <w:b/>
                <w:sz w:val="16"/>
              </w:rPr>
            </w:pPr>
            <w:r>
              <w:rPr>
                <w:b/>
                <w:w w:val="100"/>
                <w:sz w:val="16"/>
              </w:rPr>
              <w:t>D</w:t>
            </w:r>
          </w:p>
        </w:tc>
        <w:tc>
          <w:tcPr>
            <w:tcW w:w="1808" w:type="dxa"/>
            <w:tcBorders>
              <w:top w:val="double" w:sz="1" w:space="0" w:color="000000"/>
            </w:tcBorders>
          </w:tcPr>
          <w:p>
            <w:pPr>
              <w:pStyle w:val="TableParagraph"/>
              <w:spacing w:before="27"/>
              <w:ind w:left="147"/>
              <w:rPr>
                <w:b/>
                <w:sz w:val="16"/>
              </w:rPr>
            </w:pPr>
            <w:r>
              <w:rPr>
                <w:b/>
                <w:sz w:val="16"/>
              </w:rPr>
              <w:t>TROPICAL AFRICA</w:t>
            </w:r>
          </w:p>
        </w:tc>
        <w:tc>
          <w:tcPr>
            <w:tcW w:w="1191" w:type="dxa"/>
            <w:tcBorders>
              <w:top w:val="double" w:sz="1" w:space="0" w:color="000000"/>
            </w:tcBorders>
          </w:tcPr>
          <w:p>
            <w:pPr>
              <w:pStyle w:val="TableParagraph"/>
              <w:spacing w:before="27"/>
              <w:ind w:right="3"/>
              <w:jc w:val="center"/>
              <w:rPr>
                <w:b/>
                <w:sz w:val="16"/>
              </w:rPr>
            </w:pPr>
            <w:r>
              <w:rPr>
                <w:b/>
                <w:w w:val="100"/>
                <w:sz w:val="16"/>
              </w:rPr>
              <w:t>D</w:t>
            </w:r>
          </w:p>
        </w:tc>
      </w:tr>
      <w:tr>
        <w:trPr>
          <w:trHeight w:val="244" w:hRule="atLeast"/>
        </w:trPr>
        <w:tc>
          <w:tcPr>
            <w:tcW w:w="1793" w:type="dxa"/>
          </w:tcPr>
          <w:p>
            <w:pPr>
              <w:pStyle w:val="TableParagraph"/>
              <w:spacing w:before="23"/>
              <w:ind w:left="30"/>
              <w:rPr>
                <w:sz w:val="16"/>
              </w:rPr>
            </w:pPr>
            <w:r>
              <w:rPr>
                <w:sz w:val="16"/>
              </w:rPr>
              <w:t>Trichospermum richii</w:t>
            </w:r>
          </w:p>
        </w:tc>
        <w:tc>
          <w:tcPr>
            <w:tcW w:w="1191" w:type="dxa"/>
          </w:tcPr>
          <w:p>
            <w:pPr>
              <w:pStyle w:val="TableParagraph"/>
              <w:spacing w:before="23"/>
              <w:ind w:left="49" w:right="40"/>
              <w:jc w:val="center"/>
              <w:rPr>
                <w:sz w:val="16"/>
              </w:rPr>
            </w:pPr>
            <w:r>
              <w:rPr>
                <w:sz w:val="16"/>
              </w:rPr>
              <w:t>0.32</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4" w:hRule="atLeast"/>
        </w:trPr>
        <w:tc>
          <w:tcPr>
            <w:tcW w:w="1793" w:type="dxa"/>
          </w:tcPr>
          <w:p>
            <w:pPr>
              <w:pStyle w:val="TableParagraph"/>
              <w:spacing w:before="23"/>
              <w:ind w:left="30"/>
              <w:rPr>
                <w:sz w:val="16"/>
              </w:rPr>
            </w:pPr>
            <w:r>
              <w:rPr>
                <w:sz w:val="16"/>
              </w:rPr>
              <w:t>Tristania spp.</w:t>
            </w:r>
          </w:p>
        </w:tc>
        <w:tc>
          <w:tcPr>
            <w:tcW w:w="1191" w:type="dxa"/>
          </w:tcPr>
          <w:p>
            <w:pPr>
              <w:pStyle w:val="TableParagraph"/>
              <w:spacing w:before="23"/>
              <w:ind w:left="49" w:right="40"/>
              <w:jc w:val="center"/>
              <w:rPr>
                <w:sz w:val="16"/>
              </w:rPr>
            </w:pPr>
            <w:r>
              <w:rPr>
                <w:sz w:val="16"/>
              </w:rPr>
              <w:t>0.80</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4" w:hRule="atLeast"/>
        </w:trPr>
        <w:tc>
          <w:tcPr>
            <w:tcW w:w="1793" w:type="dxa"/>
          </w:tcPr>
          <w:p>
            <w:pPr>
              <w:pStyle w:val="TableParagraph"/>
              <w:spacing w:before="23"/>
              <w:ind w:left="30"/>
              <w:rPr>
                <w:sz w:val="16"/>
              </w:rPr>
            </w:pPr>
            <w:r>
              <w:rPr>
                <w:sz w:val="16"/>
              </w:rPr>
              <w:t>Turpinia ovalifolia</w:t>
            </w:r>
          </w:p>
        </w:tc>
        <w:tc>
          <w:tcPr>
            <w:tcW w:w="1191" w:type="dxa"/>
          </w:tcPr>
          <w:p>
            <w:pPr>
              <w:pStyle w:val="TableParagraph"/>
              <w:spacing w:before="23"/>
              <w:ind w:left="47" w:right="40"/>
              <w:jc w:val="center"/>
              <w:rPr>
                <w:sz w:val="16"/>
              </w:rPr>
            </w:pPr>
            <w:r>
              <w:rPr>
                <w:sz w:val="16"/>
              </w:rPr>
              <w:t>0.36</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6" w:hRule="atLeast"/>
        </w:trPr>
        <w:tc>
          <w:tcPr>
            <w:tcW w:w="1793" w:type="dxa"/>
          </w:tcPr>
          <w:p>
            <w:pPr>
              <w:pStyle w:val="TableParagraph"/>
              <w:spacing w:before="23"/>
              <w:ind w:left="30"/>
              <w:rPr>
                <w:sz w:val="16"/>
              </w:rPr>
            </w:pPr>
            <w:r>
              <w:rPr>
                <w:sz w:val="16"/>
              </w:rPr>
              <w:t>Vateria indica</w:t>
            </w:r>
          </w:p>
        </w:tc>
        <w:tc>
          <w:tcPr>
            <w:tcW w:w="1191" w:type="dxa"/>
          </w:tcPr>
          <w:p>
            <w:pPr>
              <w:pStyle w:val="TableParagraph"/>
              <w:spacing w:before="23"/>
              <w:ind w:left="49" w:right="36"/>
              <w:jc w:val="center"/>
              <w:rPr>
                <w:sz w:val="16"/>
              </w:rPr>
            </w:pPr>
            <w:r>
              <w:rPr>
                <w:sz w:val="16"/>
              </w:rPr>
              <w:t>0.47*</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4" w:hRule="atLeast"/>
        </w:trPr>
        <w:tc>
          <w:tcPr>
            <w:tcW w:w="1793" w:type="dxa"/>
          </w:tcPr>
          <w:p>
            <w:pPr>
              <w:pStyle w:val="TableParagraph"/>
              <w:spacing w:before="23"/>
              <w:ind w:left="30"/>
              <w:rPr>
                <w:sz w:val="16"/>
              </w:rPr>
            </w:pPr>
            <w:r>
              <w:rPr>
                <w:sz w:val="16"/>
              </w:rPr>
              <w:t>Vatica spp.</w:t>
            </w:r>
          </w:p>
        </w:tc>
        <w:tc>
          <w:tcPr>
            <w:tcW w:w="1191" w:type="dxa"/>
          </w:tcPr>
          <w:p>
            <w:pPr>
              <w:pStyle w:val="TableParagraph"/>
              <w:spacing w:before="23"/>
              <w:ind w:left="49" w:right="40"/>
              <w:jc w:val="center"/>
              <w:rPr>
                <w:sz w:val="16"/>
              </w:rPr>
            </w:pPr>
            <w:r>
              <w:rPr>
                <w:sz w:val="16"/>
              </w:rPr>
              <w:t>0.69</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4" w:hRule="atLeast"/>
        </w:trPr>
        <w:tc>
          <w:tcPr>
            <w:tcW w:w="1793" w:type="dxa"/>
          </w:tcPr>
          <w:p>
            <w:pPr>
              <w:pStyle w:val="TableParagraph"/>
              <w:spacing w:before="23"/>
              <w:ind w:left="30"/>
              <w:rPr>
                <w:sz w:val="16"/>
              </w:rPr>
            </w:pPr>
            <w:r>
              <w:rPr>
                <w:sz w:val="16"/>
              </w:rPr>
              <w:t>Vitex spp.</w:t>
            </w:r>
          </w:p>
        </w:tc>
        <w:tc>
          <w:tcPr>
            <w:tcW w:w="1191" w:type="dxa"/>
          </w:tcPr>
          <w:p>
            <w:pPr>
              <w:pStyle w:val="TableParagraph"/>
              <w:spacing w:before="23"/>
              <w:ind w:left="48" w:right="40"/>
              <w:jc w:val="center"/>
              <w:rPr>
                <w:sz w:val="16"/>
              </w:rPr>
            </w:pPr>
            <w:r>
              <w:rPr>
                <w:sz w:val="16"/>
              </w:rPr>
              <w:t>0.65</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386" w:hRule="atLeast"/>
        </w:trPr>
        <w:tc>
          <w:tcPr>
            <w:tcW w:w="1793" w:type="dxa"/>
          </w:tcPr>
          <w:p>
            <w:pPr>
              <w:pStyle w:val="TableParagraph"/>
              <w:spacing w:line="180" w:lineRule="atLeast" w:before="4"/>
              <w:ind w:left="30" w:right="604"/>
              <w:rPr>
                <w:sz w:val="16"/>
              </w:rPr>
            </w:pPr>
            <w:r>
              <w:rPr>
                <w:sz w:val="16"/>
              </w:rPr>
              <w:t>Wallaceodendron celebicum</w:t>
            </w:r>
          </w:p>
        </w:tc>
        <w:tc>
          <w:tcPr>
            <w:tcW w:w="1191" w:type="dxa"/>
          </w:tcPr>
          <w:p>
            <w:pPr>
              <w:pStyle w:val="TableParagraph"/>
              <w:spacing w:before="95"/>
              <w:ind w:left="49" w:right="39"/>
              <w:jc w:val="center"/>
              <w:rPr>
                <w:sz w:val="16"/>
              </w:rPr>
            </w:pPr>
            <w:r>
              <w:rPr>
                <w:sz w:val="16"/>
              </w:rPr>
              <w:t>0.55, 0.57+</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6" w:hRule="atLeast"/>
        </w:trPr>
        <w:tc>
          <w:tcPr>
            <w:tcW w:w="1793" w:type="dxa"/>
          </w:tcPr>
          <w:p>
            <w:pPr>
              <w:pStyle w:val="TableParagraph"/>
              <w:spacing w:before="23"/>
              <w:ind w:left="30"/>
              <w:rPr>
                <w:sz w:val="16"/>
              </w:rPr>
            </w:pPr>
            <w:r>
              <w:rPr>
                <w:sz w:val="16"/>
              </w:rPr>
              <w:t>Weinmannia luzoniensis</w:t>
            </w:r>
          </w:p>
        </w:tc>
        <w:tc>
          <w:tcPr>
            <w:tcW w:w="1191" w:type="dxa"/>
          </w:tcPr>
          <w:p>
            <w:pPr>
              <w:pStyle w:val="TableParagraph"/>
              <w:spacing w:before="23"/>
              <w:ind w:left="48" w:right="40"/>
              <w:jc w:val="center"/>
              <w:rPr>
                <w:sz w:val="16"/>
              </w:rPr>
            </w:pPr>
            <w:r>
              <w:rPr>
                <w:sz w:val="16"/>
              </w:rPr>
              <w:t>0.49</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4" w:hRule="atLeast"/>
        </w:trPr>
        <w:tc>
          <w:tcPr>
            <w:tcW w:w="1793" w:type="dxa"/>
          </w:tcPr>
          <w:p>
            <w:pPr>
              <w:pStyle w:val="TableParagraph"/>
              <w:spacing w:before="23"/>
              <w:ind w:left="30"/>
              <w:rPr>
                <w:sz w:val="16"/>
              </w:rPr>
            </w:pPr>
            <w:r>
              <w:rPr>
                <w:sz w:val="16"/>
              </w:rPr>
              <w:t>Wrightia tinctorea</w:t>
            </w:r>
          </w:p>
        </w:tc>
        <w:tc>
          <w:tcPr>
            <w:tcW w:w="1191" w:type="dxa"/>
          </w:tcPr>
          <w:p>
            <w:pPr>
              <w:pStyle w:val="TableParagraph"/>
              <w:spacing w:before="23"/>
              <w:ind w:left="49" w:right="40"/>
              <w:jc w:val="center"/>
              <w:rPr>
                <w:sz w:val="16"/>
              </w:rPr>
            </w:pPr>
            <w:r>
              <w:rPr>
                <w:sz w:val="16"/>
              </w:rPr>
              <w:t>0.75</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4" w:hRule="atLeast"/>
        </w:trPr>
        <w:tc>
          <w:tcPr>
            <w:tcW w:w="1793" w:type="dxa"/>
          </w:tcPr>
          <w:p>
            <w:pPr>
              <w:pStyle w:val="TableParagraph"/>
              <w:spacing w:before="23"/>
              <w:ind w:left="30"/>
              <w:rPr>
                <w:sz w:val="16"/>
              </w:rPr>
            </w:pPr>
            <w:r>
              <w:rPr>
                <w:sz w:val="16"/>
              </w:rPr>
              <w:t>Xanthophyllum excelsum</w:t>
            </w:r>
          </w:p>
        </w:tc>
        <w:tc>
          <w:tcPr>
            <w:tcW w:w="1191" w:type="dxa"/>
          </w:tcPr>
          <w:p>
            <w:pPr>
              <w:pStyle w:val="TableParagraph"/>
              <w:spacing w:before="23"/>
              <w:ind w:left="49" w:right="40"/>
              <w:jc w:val="center"/>
              <w:rPr>
                <w:sz w:val="16"/>
              </w:rPr>
            </w:pPr>
            <w:r>
              <w:rPr>
                <w:sz w:val="16"/>
              </w:rPr>
              <w:t>0.63</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388" w:hRule="atLeast"/>
        </w:trPr>
        <w:tc>
          <w:tcPr>
            <w:tcW w:w="1793" w:type="dxa"/>
          </w:tcPr>
          <w:p>
            <w:pPr>
              <w:pStyle w:val="TableParagraph"/>
              <w:spacing w:line="180" w:lineRule="atLeast" w:before="4"/>
              <w:ind w:left="30" w:right="790"/>
              <w:rPr>
                <w:sz w:val="16"/>
              </w:rPr>
            </w:pPr>
            <w:r>
              <w:rPr>
                <w:sz w:val="16"/>
              </w:rPr>
              <w:t>Xanthostemon verdugonianus</w:t>
            </w:r>
          </w:p>
        </w:tc>
        <w:tc>
          <w:tcPr>
            <w:tcW w:w="1191" w:type="dxa"/>
          </w:tcPr>
          <w:p>
            <w:pPr>
              <w:pStyle w:val="TableParagraph"/>
              <w:spacing w:before="95"/>
              <w:ind w:left="48" w:right="40"/>
              <w:jc w:val="center"/>
              <w:rPr>
                <w:sz w:val="16"/>
              </w:rPr>
            </w:pPr>
            <w:r>
              <w:rPr>
                <w:sz w:val="16"/>
              </w:rPr>
              <w:t>1.04</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4" w:hRule="atLeast"/>
        </w:trPr>
        <w:tc>
          <w:tcPr>
            <w:tcW w:w="1793" w:type="dxa"/>
          </w:tcPr>
          <w:p>
            <w:pPr>
              <w:pStyle w:val="TableParagraph"/>
              <w:spacing w:before="23"/>
              <w:ind w:left="30"/>
              <w:rPr>
                <w:sz w:val="16"/>
              </w:rPr>
            </w:pPr>
            <w:r>
              <w:rPr>
                <w:sz w:val="16"/>
              </w:rPr>
              <w:t>Xylia xylocarpa</w:t>
            </w:r>
          </w:p>
        </w:tc>
        <w:tc>
          <w:tcPr>
            <w:tcW w:w="1191" w:type="dxa"/>
          </w:tcPr>
          <w:p>
            <w:pPr>
              <w:pStyle w:val="TableParagraph"/>
              <w:spacing w:before="23"/>
              <w:ind w:left="49" w:right="38"/>
              <w:jc w:val="center"/>
              <w:rPr>
                <w:sz w:val="16"/>
              </w:rPr>
            </w:pPr>
            <w:r>
              <w:rPr>
                <w:sz w:val="16"/>
              </w:rPr>
              <w:t>0.73,0.81+</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4" w:hRule="atLeast"/>
        </w:trPr>
        <w:tc>
          <w:tcPr>
            <w:tcW w:w="1793" w:type="dxa"/>
          </w:tcPr>
          <w:p>
            <w:pPr>
              <w:pStyle w:val="TableParagraph"/>
              <w:spacing w:before="23"/>
              <w:ind w:left="30"/>
              <w:rPr>
                <w:sz w:val="16"/>
              </w:rPr>
            </w:pPr>
            <w:r>
              <w:rPr>
                <w:sz w:val="16"/>
              </w:rPr>
              <w:t>Zanthoxylum rhetsa</w:t>
            </w:r>
          </w:p>
        </w:tc>
        <w:tc>
          <w:tcPr>
            <w:tcW w:w="1191" w:type="dxa"/>
          </w:tcPr>
          <w:p>
            <w:pPr>
              <w:pStyle w:val="TableParagraph"/>
              <w:spacing w:before="23"/>
              <w:ind w:left="48" w:right="40"/>
              <w:jc w:val="center"/>
              <w:rPr>
                <w:sz w:val="16"/>
              </w:rPr>
            </w:pPr>
            <w:r>
              <w:rPr>
                <w:sz w:val="16"/>
              </w:rPr>
              <w:t>0.33</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244" w:hRule="atLeast"/>
        </w:trPr>
        <w:tc>
          <w:tcPr>
            <w:tcW w:w="1793" w:type="dxa"/>
          </w:tcPr>
          <w:p>
            <w:pPr>
              <w:pStyle w:val="TableParagraph"/>
              <w:spacing w:before="23"/>
              <w:ind w:left="30"/>
              <w:rPr>
                <w:sz w:val="16"/>
              </w:rPr>
            </w:pPr>
            <w:r>
              <w:rPr>
                <w:sz w:val="16"/>
              </w:rPr>
              <w:t>Zizyphus spp.</w:t>
            </w:r>
          </w:p>
        </w:tc>
        <w:tc>
          <w:tcPr>
            <w:tcW w:w="1191" w:type="dxa"/>
          </w:tcPr>
          <w:p>
            <w:pPr>
              <w:pStyle w:val="TableParagraph"/>
              <w:spacing w:before="23"/>
              <w:ind w:left="48" w:right="40"/>
              <w:jc w:val="center"/>
              <w:rPr>
                <w:sz w:val="16"/>
              </w:rPr>
            </w:pPr>
            <w:r>
              <w:rPr>
                <w:sz w:val="16"/>
              </w:rPr>
              <w:t>0.76</w:t>
            </w:r>
          </w:p>
        </w:tc>
        <w:tc>
          <w:tcPr>
            <w:tcW w:w="1849" w:type="dxa"/>
          </w:tcPr>
          <w:p>
            <w:pPr>
              <w:pStyle w:val="TableParagraph"/>
              <w:rPr>
                <w:sz w:val="16"/>
              </w:rPr>
            </w:pPr>
          </w:p>
        </w:tc>
        <w:tc>
          <w:tcPr>
            <w:tcW w:w="1189" w:type="dxa"/>
          </w:tcPr>
          <w:p>
            <w:pPr>
              <w:pStyle w:val="TableParagraph"/>
              <w:rPr>
                <w:sz w:val="16"/>
              </w:rPr>
            </w:pPr>
          </w:p>
        </w:tc>
        <w:tc>
          <w:tcPr>
            <w:tcW w:w="1808" w:type="dxa"/>
          </w:tcPr>
          <w:p>
            <w:pPr>
              <w:pStyle w:val="TableParagraph"/>
              <w:rPr>
                <w:sz w:val="16"/>
              </w:rPr>
            </w:pPr>
          </w:p>
        </w:tc>
        <w:tc>
          <w:tcPr>
            <w:tcW w:w="1191" w:type="dxa"/>
          </w:tcPr>
          <w:p>
            <w:pPr>
              <w:pStyle w:val="TableParagraph"/>
              <w:rPr>
                <w:sz w:val="16"/>
              </w:rPr>
            </w:pPr>
          </w:p>
        </w:tc>
      </w:tr>
      <w:tr>
        <w:trPr>
          <w:trHeight w:val="976" w:hRule="atLeast"/>
        </w:trPr>
        <w:tc>
          <w:tcPr>
            <w:tcW w:w="9021" w:type="dxa"/>
            <w:gridSpan w:val="6"/>
          </w:tcPr>
          <w:p>
            <w:pPr>
              <w:pStyle w:val="TableParagraph"/>
              <w:spacing w:before="23"/>
              <w:ind w:left="30"/>
              <w:rPr>
                <w:sz w:val="16"/>
              </w:rPr>
            </w:pPr>
            <w:r>
              <w:rPr>
                <w:sz w:val="16"/>
              </w:rPr>
              <w:t>+ The wood densities specified pertain to more than one bibliographic source.</w:t>
            </w:r>
          </w:p>
          <w:p>
            <w:pPr>
              <w:pStyle w:val="TableParagraph"/>
              <w:spacing w:before="1"/>
              <w:ind w:left="30"/>
              <w:rPr>
                <w:sz w:val="16"/>
              </w:rPr>
            </w:pPr>
            <w:r>
              <w:rPr>
                <w:sz w:val="16"/>
              </w:rPr>
              <w:t>* Wood density value is derived from the regression equation in Reyes </w:t>
            </w:r>
            <w:r>
              <w:rPr>
                <w:i/>
                <w:sz w:val="16"/>
              </w:rPr>
              <w:t>et al. </w:t>
            </w:r>
            <w:r>
              <w:rPr>
                <w:sz w:val="16"/>
              </w:rPr>
              <w:t>(1992).</w:t>
            </w:r>
          </w:p>
          <w:p>
            <w:pPr>
              <w:pStyle w:val="TableParagraph"/>
              <w:spacing w:before="10"/>
              <w:rPr>
                <w:sz w:val="15"/>
              </w:rPr>
            </w:pPr>
          </w:p>
          <w:p>
            <w:pPr>
              <w:pStyle w:val="TableParagraph"/>
              <w:ind w:left="30" w:right="198"/>
              <w:rPr>
                <w:sz w:val="16"/>
              </w:rPr>
            </w:pPr>
            <w:r>
              <w:rPr>
                <w:sz w:val="16"/>
              </w:rPr>
              <w:t>Source: Reyes, Gisel; Brown, Sandra; Chapman, Jonathan; Lugo, Ariel E. 1992. Wood densities of tropical tree species. Gen. Tech. Rep. SO-88 New Orleans, LA: U.S. Department of Agriculture, Forest Service, Southern Forest Experiment Station. 15pp.</w:t>
            </w:r>
          </w:p>
        </w:tc>
      </w:tr>
    </w:tbl>
    <w:p>
      <w:pPr>
        <w:pStyle w:val="BodyText"/>
        <w:spacing w:before="5" w:after="1"/>
        <w:rPr>
          <w:sz w:val="26"/>
        </w:rPr>
      </w:pPr>
    </w:p>
    <w:tbl>
      <w:tblPr>
        <w:tblW w:w="0" w:type="auto"/>
        <w:jc w:val="left"/>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0"/>
        <w:gridCol w:w="1392"/>
        <w:gridCol w:w="1337"/>
        <w:gridCol w:w="2530"/>
        <w:gridCol w:w="2446"/>
      </w:tblGrid>
      <w:tr>
        <w:trPr>
          <w:trHeight w:val="899" w:hRule="atLeast"/>
        </w:trPr>
        <w:tc>
          <w:tcPr>
            <w:tcW w:w="9015" w:type="dxa"/>
            <w:gridSpan w:val="5"/>
            <w:tcBorders>
              <w:bottom w:val="double" w:sz="1" w:space="0" w:color="000000"/>
            </w:tcBorders>
          </w:tcPr>
          <w:p>
            <w:pPr>
              <w:pStyle w:val="TableParagraph"/>
              <w:spacing w:line="207" w:lineRule="exact" w:before="59"/>
              <w:ind w:left="130" w:right="123"/>
              <w:jc w:val="center"/>
              <w:rPr>
                <w:b/>
                <w:sz w:val="18"/>
              </w:rPr>
            </w:pPr>
            <w:r>
              <w:rPr>
                <w:b/>
                <w:sz w:val="18"/>
              </w:rPr>
              <w:t>T</w:t>
            </w:r>
            <w:r>
              <w:rPr>
                <w:b/>
                <w:sz w:val="14"/>
              </w:rPr>
              <w:t>ABLE </w:t>
            </w:r>
            <w:r>
              <w:rPr>
                <w:b/>
                <w:sz w:val="18"/>
              </w:rPr>
              <w:t>3A.1.10</w:t>
            </w:r>
          </w:p>
          <w:p>
            <w:pPr>
              <w:pStyle w:val="TableParagraph"/>
              <w:spacing w:line="207" w:lineRule="exact"/>
              <w:ind w:left="2327"/>
              <w:rPr>
                <w:b/>
                <w:sz w:val="18"/>
              </w:rPr>
            </w:pPr>
            <w:r>
              <w:rPr>
                <w:b/>
                <w:sz w:val="18"/>
              </w:rPr>
              <w:t>D</w:t>
            </w:r>
            <w:r>
              <w:rPr>
                <w:b/>
                <w:sz w:val="14"/>
              </w:rPr>
              <w:t>EFAULT VALUES OF BIOMASS EXPANSION FACTORS </w:t>
            </w:r>
            <w:r>
              <w:rPr>
                <w:b/>
                <w:sz w:val="18"/>
              </w:rPr>
              <w:t>(BEF</w:t>
            </w:r>
            <w:r>
              <w:rPr>
                <w:b/>
                <w:sz w:val="14"/>
              </w:rPr>
              <w:t>S</w:t>
            </w:r>
            <w:r>
              <w:rPr>
                <w:b/>
                <w:sz w:val="18"/>
              </w:rPr>
              <w:t>)</w:t>
            </w:r>
          </w:p>
          <w:p>
            <w:pPr>
              <w:pStyle w:val="TableParagraph"/>
              <w:spacing w:line="184" w:lineRule="exact" w:before="76"/>
              <w:ind w:left="1821" w:right="1815"/>
              <w:jc w:val="center"/>
              <w:rPr>
                <w:sz w:val="16"/>
              </w:rPr>
            </w:pPr>
            <w:r>
              <w:rPr>
                <w:position w:val="2"/>
                <w:sz w:val="16"/>
              </w:rPr>
              <w:t>(BEF </w:t>
            </w:r>
            <w:r>
              <w:rPr>
                <w:sz w:val="10"/>
              </w:rPr>
              <w:t>2 </w:t>
            </w:r>
            <w:r>
              <w:rPr>
                <w:position w:val="2"/>
                <w:sz w:val="16"/>
              </w:rPr>
              <w:t>to be used in connection with growing stock biomass data in Equation 3.2.3; and BEF </w:t>
            </w:r>
            <w:r>
              <w:rPr>
                <w:sz w:val="10"/>
              </w:rPr>
              <w:t>1 </w:t>
            </w:r>
            <w:r>
              <w:rPr>
                <w:position w:val="2"/>
                <w:sz w:val="16"/>
              </w:rPr>
              <w:t>to be used in connection with increment data in Equation 3.2.5)</w:t>
            </w:r>
          </w:p>
        </w:tc>
      </w:tr>
      <w:tr>
        <w:trPr>
          <w:trHeight w:val="615" w:hRule="atLeast"/>
        </w:trPr>
        <w:tc>
          <w:tcPr>
            <w:tcW w:w="1310" w:type="dxa"/>
            <w:tcBorders>
              <w:top w:val="double" w:sz="1" w:space="0" w:color="000000"/>
            </w:tcBorders>
          </w:tcPr>
          <w:p>
            <w:pPr>
              <w:pStyle w:val="TableParagraph"/>
              <w:rPr>
                <w:sz w:val="17"/>
              </w:rPr>
            </w:pPr>
          </w:p>
          <w:p>
            <w:pPr>
              <w:pStyle w:val="TableParagraph"/>
              <w:ind w:left="126"/>
              <w:rPr>
                <w:b/>
                <w:sz w:val="18"/>
              </w:rPr>
            </w:pPr>
            <w:r>
              <w:rPr>
                <w:b/>
                <w:sz w:val="18"/>
              </w:rPr>
              <w:t>Climatic zone</w:t>
            </w:r>
          </w:p>
        </w:tc>
        <w:tc>
          <w:tcPr>
            <w:tcW w:w="1392" w:type="dxa"/>
            <w:tcBorders>
              <w:top w:val="double" w:sz="1" w:space="0" w:color="000000"/>
            </w:tcBorders>
          </w:tcPr>
          <w:p>
            <w:pPr>
              <w:pStyle w:val="TableParagraph"/>
              <w:rPr>
                <w:sz w:val="17"/>
              </w:rPr>
            </w:pPr>
          </w:p>
          <w:p>
            <w:pPr>
              <w:pStyle w:val="TableParagraph"/>
              <w:ind w:left="243" w:right="233"/>
              <w:jc w:val="center"/>
              <w:rPr>
                <w:b/>
                <w:sz w:val="18"/>
              </w:rPr>
            </w:pPr>
            <w:r>
              <w:rPr>
                <w:b/>
                <w:sz w:val="18"/>
              </w:rPr>
              <w:t>Forest type</w:t>
            </w:r>
          </w:p>
        </w:tc>
        <w:tc>
          <w:tcPr>
            <w:tcW w:w="1337" w:type="dxa"/>
            <w:tcBorders>
              <w:top w:val="double" w:sz="1" w:space="0" w:color="000000"/>
            </w:tcBorders>
          </w:tcPr>
          <w:p>
            <w:pPr>
              <w:pStyle w:val="TableParagraph"/>
              <w:spacing w:before="92"/>
              <w:ind w:left="494" w:right="81" w:hanging="384"/>
              <w:rPr>
                <w:b/>
                <w:sz w:val="18"/>
              </w:rPr>
            </w:pPr>
            <w:r>
              <w:rPr>
                <w:b/>
                <w:sz w:val="18"/>
              </w:rPr>
              <w:t>Minimum dbh (cm)</w:t>
            </w:r>
          </w:p>
        </w:tc>
        <w:tc>
          <w:tcPr>
            <w:tcW w:w="2530" w:type="dxa"/>
            <w:tcBorders>
              <w:top w:val="double" w:sz="1" w:space="0" w:color="000000"/>
            </w:tcBorders>
          </w:tcPr>
          <w:p>
            <w:pPr>
              <w:pStyle w:val="TableParagraph"/>
              <w:spacing w:line="205" w:lineRule="exact" w:before="11"/>
              <w:ind w:left="599"/>
              <w:rPr>
                <w:b/>
                <w:sz w:val="18"/>
              </w:rPr>
            </w:pPr>
            <w:r>
              <w:rPr>
                <w:b/>
                <w:sz w:val="18"/>
              </w:rPr>
              <w:t>BEF</w:t>
            </w:r>
            <w:r>
              <w:rPr>
                <w:b/>
                <w:sz w:val="18"/>
                <w:vertAlign w:val="subscript"/>
              </w:rPr>
              <w:t>2</w:t>
            </w:r>
            <w:r>
              <w:rPr>
                <w:b/>
                <w:sz w:val="18"/>
                <w:vertAlign w:val="baseline"/>
              </w:rPr>
              <w:t> (overbark)</w:t>
            </w:r>
          </w:p>
          <w:p>
            <w:pPr>
              <w:pStyle w:val="TableParagraph"/>
              <w:ind w:left="117" w:right="105" w:hanging="3"/>
              <w:jc w:val="center"/>
              <w:rPr>
                <w:sz w:val="16"/>
              </w:rPr>
            </w:pPr>
            <w:r>
              <w:rPr>
                <w:sz w:val="16"/>
              </w:rPr>
              <w:t>to be used in connection to growing stock biomass data (Equation 3.2.3)</w:t>
            </w:r>
          </w:p>
        </w:tc>
        <w:tc>
          <w:tcPr>
            <w:tcW w:w="2446" w:type="dxa"/>
            <w:tcBorders>
              <w:top w:val="double" w:sz="1" w:space="0" w:color="000000"/>
            </w:tcBorders>
          </w:tcPr>
          <w:p>
            <w:pPr>
              <w:pStyle w:val="TableParagraph"/>
              <w:spacing w:line="205" w:lineRule="exact" w:before="11"/>
              <w:ind w:left="580"/>
              <w:rPr>
                <w:b/>
                <w:sz w:val="18"/>
              </w:rPr>
            </w:pPr>
            <w:r>
              <w:rPr>
                <w:b/>
                <w:sz w:val="18"/>
              </w:rPr>
              <w:t>BEF</w:t>
            </w:r>
            <w:r>
              <w:rPr>
                <w:b/>
                <w:sz w:val="18"/>
                <w:vertAlign w:val="subscript"/>
              </w:rPr>
              <w:t>1</w:t>
            </w:r>
            <w:r>
              <w:rPr>
                <w:b/>
                <w:sz w:val="18"/>
                <w:vertAlign w:val="baseline"/>
              </w:rPr>
              <w:t> (overbark)</w:t>
            </w:r>
          </w:p>
          <w:p>
            <w:pPr>
              <w:pStyle w:val="TableParagraph"/>
              <w:ind w:left="205" w:right="193" w:hanging="2"/>
              <w:jc w:val="center"/>
              <w:rPr>
                <w:sz w:val="16"/>
              </w:rPr>
            </w:pPr>
            <w:r>
              <w:rPr>
                <w:sz w:val="16"/>
              </w:rPr>
              <w:t>to be used in connection to increment data (Equation 3.2.5)</w:t>
            </w:r>
          </w:p>
        </w:tc>
      </w:tr>
      <w:tr>
        <w:trPr>
          <w:trHeight w:val="273" w:hRule="atLeast"/>
        </w:trPr>
        <w:tc>
          <w:tcPr>
            <w:tcW w:w="1310" w:type="dxa"/>
            <w:vMerge w:val="restart"/>
          </w:tcPr>
          <w:p>
            <w:pPr>
              <w:pStyle w:val="TableParagraph"/>
              <w:spacing w:before="165"/>
              <w:ind w:left="414"/>
              <w:rPr>
                <w:sz w:val="18"/>
              </w:rPr>
            </w:pPr>
            <w:r>
              <w:rPr>
                <w:sz w:val="18"/>
              </w:rPr>
              <w:t>Boreal</w:t>
            </w:r>
          </w:p>
        </w:tc>
        <w:tc>
          <w:tcPr>
            <w:tcW w:w="1392" w:type="dxa"/>
          </w:tcPr>
          <w:p>
            <w:pPr>
              <w:pStyle w:val="TableParagraph"/>
              <w:spacing w:before="28"/>
              <w:ind w:left="243" w:right="233"/>
              <w:jc w:val="center"/>
              <w:rPr>
                <w:sz w:val="18"/>
              </w:rPr>
            </w:pPr>
            <w:r>
              <w:rPr>
                <w:sz w:val="18"/>
              </w:rPr>
              <w:t>Conifers</w:t>
            </w:r>
          </w:p>
        </w:tc>
        <w:tc>
          <w:tcPr>
            <w:tcW w:w="1337" w:type="dxa"/>
          </w:tcPr>
          <w:p>
            <w:pPr>
              <w:pStyle w:val="TableParagraph"/>
              <w:spacing w:before="28"/>
              <w:ind w:right="469"/>
              <w:jc w:val="right"/>
              <w:rPr>
                <w:sz w:val="18"/>
              </w:rPr>
            </w:pPr>
            <w:r>
              <w:rPr>
                <w:sz w:val="18"/>
              </w:rPr>
              <w:t>0-8.0</w:t>
            </w:r>
          </w:p>
        </w:tc>
        <w:tc>
          <w:tcPr>
            <w:tcW w:w="2530" w:type="dxa"/>
          </w:tcPr>
          <w:p>
            <w:pPr>
              <w:pStyle w:val="TableParagraph"/>
              <w:spacing w:before="28"/>
              <w:ind w:right="712"/>
              <w:jc w:val="right"/>
              <w:rPr>
                <w:sz w:val="18"/>
              </w:rPr>
            </w:pPr>
            <w:r>
              <w:rPr>
                <w:sz w:val="18"/>
              </w:rPr>
              <w:t>1.35 (1.15-3.8)</w:t>
            </w:r>
          </w:p>
        </w:tc>
        <w:tc>
          <w:tcPr>
            <w:tcW w:w="2446" w:type="dxa"/>
          </w:tcPr>
          <w:p>
            <w:pPr>
              <w:pStyle w:val="TableParagraph"/>
              <w:spacing w:before="28"/>
              <w:ind w:right="760"/>
              <w:jc w:val="right"/>
              <w:rPr>
                <w:sz w:val="18"/>
              </w:rPr>
            </w:pPr>
            <w:r>
              <w:rPr>
                <w:sz w:val="18"/>
              </w:rPr>
              <w:t>1.15 (1-1.3)</w:t>
            </w:r>
          </w:p>
        </w:tc>
      </w:tr>
      <w:tr>
        <w:trPr>
          <w:trHeight w:val="273" w:hRule="atLeast"/>
        </w:trPr>
        <w:tc>
          <w:tcPr>
            <w:tcW w:w="1310" w:type="dxa"/>
            <w:vMerge/>
            <w:tcBorders>
              <w:top w:val="nil"/>
            </w:tcBorders>
          </w:tcPr>
          <w:p>
            <w:pPr>
              <w:rPr>
                <w:sz w:val="2"/>
                <w:szCs w:val="2"/>
              </w:rPr>
            </w:pPr>
          </w:p>
        </w:tc>
        <w:tc>
          <w:tcPr>
            <w:tcW w:w="1392" w:type="dxa"/>
          </w:tcPr>
          <w:p>
            <w:pPr>
              <w:pStyle w:val="TableParagraph"/>
              <w:spacing w:before="28"/>
              <w:ind w:left="243" w:right="233"/>
              <w:jc w:val="center"/>
              <w:rPr>
                <w:sz w:val="18"/>
              </w:rPr>
            </w:pPr>
            <w:r>
              <w:rPr>
                <w:sz w:val="18"/>
              </w:rPr>
              <w:t>Broadleaf</w:t>
            </w:r>
          </w:p>
        </w:tc>
        <w:tc>
          <w:tcPr>
            <w:tcW w:w="1337" w:type="dxa"/>
          </w:tcPr>
          <w:p>
            <w:pPr>
              <w:pStyle w:val="TableParagraph"/>
              <w:spacing w:before="28"/>
              <w:ind w:right="468"/>
              <w:jc w:val="right"/>
              <w:rPr>
                <w:sz w:val="18"/>
              </w:rPr>
            </w:pPr>
            <w:r>
              <w:rPr>
                <w:sz w:val="18"/>
              </w:rPr>
              <w:t>0-8.0</w:t>
            </w:r>
          </w:p>
        </w:tc>
        <w:tc>
          <w:tcPr>
            <w:tcW w:w="2530" w:type="dxa"/>
          </w:tcPr>
          <w:p>
            <w:pPr>
              <w:pStyle w:val="TableParagraph"/>
              <w:spacing w:before="28"/>
              <w:ind w:right="757"/>
              <w:jc w:val="right"/>
              <w:rPr>
                <w:sz w:val="18"/>
              </w:rPr>
            </w:pPr>
            <w:r>
              <w:rPr>
                <w:sz w:val="18"/>
              </w:rPr>
              <w:t>1.3 (1.15-4.2)</w:t>
            </w:r>
          </w:p>
        </w:tc>
        <w:tc>
          <w:tcPr>
            <w:tcW w:w="2446" w:type="dxa"/>
          </w:tcPr>
          <w:p>
            <w:pPr>
              <w:pStyle w:val="TableParagraph"/>
              <w:spacing w:before="28"/>
              <w:ind w:right="806"/>
              <w:jc w:val="right"/>
              <w:rPr>
                <w:sz w:val="18"/>
              </w:rPr>
            </w:pPr>
            <w:r>
              <w:rPr>
                <w:sz w:val="18"/>
              </w:rPr>
              <w:t>1.1 (1-1.3)</w:t>
            </w:r>
          </w:p>
        </w:tc>
      </w:tr>
      <w:tr>
        <w:trPr>
          <w:trHeight w:val="443" w:hRule="atLeast"/>
        </w:trPr>
        <w:tc>
          <w:tcPr>
            <w:tcW w:w="1310" w:type="dxa"/>
            <w:vMerge w:val="restart"/>
          </w:tcPr>
          <w:p>
            <w:pPr>
              <w:pStyle w:val="TableParagraph"/>
              <w:rPr>
                <w:sz w:val="20"/>
              </w:rPr>
            </w:pPr>
          </w:p>
          <w:p>
            <w:pPr>
              <w:pStyle w:val="TableParagraph"/>
              <w:spacing w:before="163"/>
              <w:ind w:left="270"/>
              <w:rPr>
                <w:sz w:val="18"/>
              </w:rPr>
            </w:pPr>
            <w:r>
              <w:rPr>
                <w:sz w:val="18"/>
              </w:rPr>
              <w:t>Temperate</w:t>
            </w:r>
          </w:p>
        </w:tc>
        <w:tc>
          <w:tcPr>
            <w:tcW w:w="1392" w:type="dxa"/>
            <w:vMerge w:val="restart"/>
          </w:tcPr>
          <w:p>
            <w:pPr>
              <w:pStyle w:val="TableParagraph"/>
              <w:spacing w:before="9"/>
              <w:ind w:left="331" w:right="318" w:hanging="5"/>
              <w:jc w:val="center"/>
              <w:rPr>
                <w:sz w:val="18"/>
              </w:rPr>
            </w:pPr>
            <w:r>
              <w:rPr>
                <w:sz w:val="18"/>
              </w:rPr>
              <w:t>Conifers: Spruce-fir</w:t>
            </w:r>
          </w:p>
          <w:p>
            <w:pPr>
              <w:pStyle w:val="TableParagraph"/>
              <w:spacing w:before="59"/>
              <w:ind w:left="241" w:right="233"/>
              <w:jc w:val="center"/>
              <w:rPr>
                <w:sz w:val="18"/>
              </w:rPr>
            </w:pPr>
            <w:r>
              <w:rPr>
                <w:sz w:val="18"/>
              </w:rPr>
              <w:t>Pines</w:t>
            </w:r>
          </w:p>
        </w:tc>
        <w:tc>
          <w:tcPr>
            <w:tcW w:w="1337" w:type="dxa"/>
          </w:tcPr>
          <w:p>
            <w:pPr>
              <w:pStyle w:val="TableParagraph"/>
              <w:spacing w:before="5"/>
              <w:rPr>
                <w:sz w:val="17"/>
              </w:rPr>
            </w:pPr>
          </w:p>
          <w:p>
            <w:pPr>
              <w:pStyle w:val="TableParagraph"/>
              <w:spacing w:before="1"/>
              <w:ind w:right="422"/>
              <w:jc w:val="right"/>
              <w:rPr>
                <w:sz w:val="18"/>
              </w:rPr>
            </w:pPr>
            <w:r>
              <w:rPr>
                <w:sz w:val="18"/>
              </w:rPr>
              <w:t>0-12.5</w:t>
            </w:r>
          </w:p>
        </w:tc>
        <w:tc>
          <w:tcPr>
            <w:tcW w:w="2530" w:type="dxa"/>
          </w:tcPr>
          <w:p>
            <w:pPr>
              <w:pStyle w:val="TableParagraph"/>
              <w:spacing w:before="5"/>
              <w:rPr>
                <w:sz w:val="17"/>
              </w:rPr>
            </w:pPr>
          </w:p>
          <w:p>
            <w:pPr>
              <w:pStyle w:val="TableParagraph"/>
              <w:spacing w:before="1"/>
              <w:ind w:right="757"/>
              <w:jc w:val="right"/>
              <w:rPr>
                <w:sz w:val="18"/>
              </w:rPr>
            </w:pPr>
            <w:r>
              <w:rPr>
                <w:sz w:val="18"/>
              </w:rPr>
              <w:t>1.3 (1.15-4.2)</w:t>
            </w:r>
          </w:p>
        </w:tc>
        <w:tc>
          <w:tcPr>
            <w:tcW w:w="2446" w:type="dxa"/>
          </w:tcPr>
          <w:p>
            <w:pPr>
              <w:pStyle w:val="TableParagraph"/>
              <w:spacing w:before="5"/>
              <w:rPr>
                <w:sz w:val="17"/>
              </w:rPr>
            </w:pPr>
          </w:p>
          <w:p>
            <w:pPr>
              <w:pStyle w:val="TableParagraph"/>
              <w:spacing w:before="1"/>
              <w:ind w:right="762"/>
              <w:jc w:val="right"/>
              <w:rPr>
                <w:sz w:val="18"/>
              </w:rPr>
            </w:pPr>
            <w:r>
              <w:rPr>
                <w:sz w:val="18"/>
              </w:rPr>
              <w:t>1.15 (1-1.3)</w:t>
            </w:r>
          </w:p>
        </w:tc>
      </w:tr>
      <w:tr>
        <w:trPr>
          <w:trHeight w:val="275" w:hRule="atLeast"/>
        </w:trPr>
        <w:tc>
          <w:tcPr>
            <w:tcW w:w="1310" w:type="dxa"/>
            <w:vMerge/>
            <w:tcBorders>
              <w:top w:val="nil"/>
            </w:tcBorders>
          </w:tcPr>
          <w:p>
            <w:pPr>
              <w:rPr>
                <w:sz w:val="2"/>
                <w:szCs w:val="2"/>
              </w:rPr>
            </w:pPr>
          </w:p>
        </w:tc>
        <w:tc>
          <w:tcPr>
            <w:tcW w:w="1392" w:type="dxa"/>
            <w:vMerge/>
            <w:tcBorders>
              <w:top w:val="nil"/>
            </w:tcBorders>
          </w:tcPr>
          <w:p>
            <w:pPr>
              <w:rPr>
                <w:sz w:val="2"/>
                <w:szCs w:val="2"/>
              </w:rPr>
            </w:pPr>
          </w:p>
        </w:tc>
        <w:tc>
          <w:tcPr>
            <w:tcW w:w="1337" w:type="dxa"/>
          </w:tcPr>
          <w:p>
            <w:pPr>
              <w:pStyle w:val="TableParagraph"/>
              <w:spacing w:before="28"/>
              <w:ind w:right="422"/>
              <w:jc w:val="right"/>
              <w:rPr>
                <w:sz w:val="18"/>
              </w:rPr>
            </w:pPr>
            <w:r>
              <w:rPr>
                <w:sz w:val="18"/>
              </w:rPr>
              <w:t>0-12.5</w:t>
            </w:r>
          </w:p>
        </w:tc>
        <w:tc>
          <w:tcPr>
            <w:tcW w:w="2530" w:type="dxa"/>
          </w:tcPr>
          <w:p>
            <w:pPr>
              <w:pStyle w:val="TableParagraph"/>
              <w:spacing w:before="28"/>
              <w:ind w:right="757"/>
              <w:jc w:val="right"/>
              <w:rPr>
                <w:sz w:val="18"/>
              </w:rPr>
            </w:pPr>
            <w:r>
              <w:rPr>
                <w:sz w:val="18"/>
              </w:rPr>
              <w:t>1.3 (1.15-3.4)</w:t>
            </w:r>
          </w:p>
        </w:tc>
        <w:tc>
          <w:tcPr>
            <w:tcW w:w="2446" w:type="dxa"/>
          </w:tcPr>
          <w:p>
            <w:pPr>
              <w:pStyle w:val="TableParagraph"/>
              <w:spacing w:before="28"/>
              <w:ind w:right="783"/>
              <w:jc w:val="right"/>
              <w:rPr>
                <w:sz w:val="18"/>
              </w:rPr>
            </w:pPr>
            <w:r>
              <w:rPr>
                <w:sz w:val="18"/>
              </w:rPr>
              <w:t>1.05 (1-1.2)</w:t>
            </w:r>
          </w:p>
        </w:tc>
      </w:tr>
      <w:tr>
        <w:trPr>
          <w:trHeight w:val="273" w:hRule="atLeast"/>
        </w:trPr>
        <w:tc>
          <w:tcPr>
            <w:tcW w:w="1310" w:type="dxa"/>
            <w:vMerge/>
            <w:tcBorders>
              <w:top w:val="nil"/>
            </w:tcBorders>
          </w:tcPr>
          <w:p>
            <w:pPr>
              <w:rPr>
                <w:sz w:val="2"/>
                <w:szCs w:val="2"/>
              </w:rPr>
            </w:pPr>
          </w:p>
        </w:tc>
        <w:tc>
          <w:tcPr>
            <w:tcW w:w="1392" w:type="dxa"/>
          </w:tcPr>
          <w:p>
            <w:pPr>
              <w:pStyle w:val="TableParagraph"/>
              <w:spacing w:before="28"/>
              <w:ind w:left="243" w:right="233"/>
              <w:jc w:val="center"/>
              <w:rPr>
                <w:sz w:val="18"/>
              </w:rPr>
            </w:pPr>
            <w:r>
              <w:rPr>
                <w:sz w:val="18"/>
              </w:rPr>
              <w:t>Broadleaf</w:t>
            </w:r>
          </w:p>
        </w:tc>
        <w:tc>
          <w:tcPr>
            <w:tcW w:w="1337" w:type="dxa"/>
          </w:tcPr>
          <w:p>
            <w:pPr>
              <w:pStyle w:val="TableParagraph"/>
              <w:spacing w:before="28"/>
              <w:ind w:right="421"/>
              <w:jc w:val="right"/>
              <w:rPr>
                <w:sz w:val="18"/>
              </w:rPr>
            </w:pPr>
            <w:r>
              <w:rPr>
                <w:sz w:val="18"/>
              </w:rPr>
              <w:t>0-12.5</w:t>
            </w:r>
          </w:p>
        </w:tc>
        <w:tc>
          <w:tcPr>
            <w:tcW w:w="2530" w:type="dxa"/>
          </w:tcPr>
          <w:p>
            <w:pPr>
              <w:pStyle w:val="TableParagraph"/>
              <w:spacing w:before="28"/>
              <w:ind w:right="757"/>
              <w:jc w:val="right"/>
              <w:rPr>
                <w:sz w:val="18"/>
              </w:rPr>
            </w:pPr>
            <w:r>
              <w:rPr>
                <w:sz w:val="18"/>
              </w:rPr>
              <w:t>1.4 (1.15-3.2)</w:t>
            </w:r>
          </w:p>
        </w:tc>
        <w:tc>
          <w:tcPr>
            <w:tcW w:w="2446" w:type="dxa"/>
          </w:tcPr>
          <w:p>
            <w:pPr>
              <w:pStyle w:val="TableParagraph"/>
              <w:spacing w:before="28"/>
              <w:ind w:right="759"/>
              <w:jc w:val="right"/>
              <w:rPr>
                <w:sz w:val="18"/>
              </w:rPr>
            </w:pPr>
            <w:r>
              <w:rPr>
                <w:sz w:val="18"/>
              </w:rPr>
              <w:t>1.2 (1.1-1.3)</w:t>
            </w:r>
          </w:p>
        </w:tc>
      </w:tr>
      <w:tr>
        <w:trPr>
          <w:trHeight w:val="273" w:hRule="atLeast"/>
        </w:trPr>
        <w:tc>
          <w:tcPr>
            <w:tcW w:w="1310" w:type="dxa"/>
            <w:vMerge w:val="restart"/>
          </w:tcPr>
          <w:p>
            <w:pPr>
              <w:pStyle w:val="TableParagraph"/>
              <w:spacing w:before="165"/>
              <w:ind w:left="350"/>
              <w:rPr>
                <w:sz w:val="18"/>
              </w:rPr>
            </w:pPr>
            <w:r>
              <w:rPr>
                <w:sz w:val="18"/>
              </w:rPr>
              <w:t>Tropical</w:t>
            </w:r>
          </w:p>
        </w:tc>
        <w:tc>
          <w:tcPr>
            <w:tcW w:w="1392" w:type="dxa"/>
          </w:tcPr>
          <w:p>
            <w:pPr>
              <w:pStyle w:val="TableParagraph"/>
              <w:spacing w:before="28"/>
              <w:ind w:left="241" w:right="233"/>
              <w:jc w:val="center"/>
              <w:rPr>
                <w:sz w:val="18"/>
              </w:rPr>
            </w:pPr>
            <w:r>
              <w:rPr>
                <w:sz w:val="18"/>
              </w:rPr>
              <w:t>Pines</w:t>
            </w:r>
          </w:p>
        </w:tc>
        <w:tc>
          <w:tcPr>
            <w:tcW w:w="1337" w:type="dxa"/>
          </w:tcPr>
          <w:p>
            <w:pPr>
              <w:pStyle w:val="TableParagraph"/>
              <w:spacing w:before="28"/>
              <w:ind w:right="500"/>
              <w:jc w:val="right"/>
              <w:rPr>
                <w:sz w:val="18"/>
              </w:rPr>
            </w:pPr>
            <w:r>
              <w:rPr>
                <w:sz w:val="18"/>
              </w:rPr>
              <w:t>10.0</w:t>
            </w:r>
          </w:p>
        </w:tc>
        <w:tc>
          <w:tcPr>
            <w:tcW w:w="2530" w:type="dxa"/>
          </w:tcPr>
          <w:p>
            <w:pPr>
              <w:pStyle w:val="TableParagraph"/>
              <w:spacing w:before="28"/>
              <w:ind w:right="800"/>
              <w:jc w:val="right"/>
              <w:rPr>
                <w:sz w:val="18"/>
              </w:rPr>
            </w:pPr>
            <w:r>
              <w:rPr>
                <w:sz w:val="18"/>
              </w:rPr>
              <w:t>1.3 (1.2-4.0)</w:t>
            </w:r>
          </w:p>
        </w:tc>
        <w:tc>
          <w:tcPr>
            <w:tcW w:w="2446" w:type="dxa"/>
          </w:tcPr>
          <w:p>
            <w:pPr>
              <w:pStyle w:val="TableParagraph"/>
              <w:spacing w:before="28"/>
              <w:ind w:right="759"/>
              <w:jc w:val="right"/>
              <w:rPr>
                <w:sz w:val="18"/>
              </w:rPr>
            </w:pPr>
            <w:r>
              <w:rPr>
                <w:sz w:val="18"/>
              </w:rPr>
              <w:t>1.2 (1.1-1.3)</w:t>
            </w:r>
          </w:p>
        </w:tc>
      </w:tr>
      <w:tr>
        <w:trPr>
          <w:trHeight w:val="275" w:hRule="atLeast"/>
        </w:trPr>
        <w:tc>
          <w:tcPr>
            <w:tcW w:w="1310" w:type="dxa"/>
            <w:vMerge/>
            <w:tcBorders>
              <w:top w:val="nil"/>
            </w:tcBorders>
          </w:tcPr>
          <w:p>
            <w:pPr>
              <w:rPr>
                <w:sz w:val="2"/>
                <w:szCs w:val="2"/>
              </w:rPr>
            </w:pPr>
          </w:p>
        </w:tc>
        <w:tc>
          <w:tcPr>
            <w:tcW w:w="1392" w:type="dxa"/>
          </w:tcPr>
          <w:p>
            <w:pPr>
              <w:pStyle w:val="TableParagraph"/>
              <w:spacing w:before="28"/>
              <w:ind w:left="243" w:right="233"/>
              <w:jc w:val="center"/>
              <w:rPr>
                <w:sz w:val="18"/>
              </w:rPr>
            </w:pPr>
            <w:r>
              <w:rPr>
                <w:sz w:val="18"/>
              </w:rPr>
              <w:t>Broadleaf</w:t>
            </w:r>
          </w:p>
        </w:tc>
        <w:tc>
          <w:tcPr>
            <w:tcW w:w="1337" w:type="dxa"/>
          </w:tcPr>
          <w:p>
            <w:pPr>
              <w:pStyle w:val="TableParagraph"/>
              <w:spacing w:before="28"/>
              <w:ind w:right="500"/>
              <w:jc w:val="right"/>
              <w:rPr>
                <w:sz w:val="18"/>
              </w:rPr>
            </w:pPr>
            <w:r>
              <w:rPr>
                <w:sz w:val="18"/>
              </w:rPr>
              <w:t>10.0</w:t>
            </w:r>
          </w:p>
        </w:tc>
        <w:tc>
          <w:tcPr>
            <w:tcW w:w="2530" w:type="dxa"/>
          </w:tcPr>
          <w:p>
            <w:pPr>
              <w:pStyle w:val="TableParagraph"/>
              <w:spacing w:before="28"/>
              <w:ind w:right="800"/>
              <w:jc w:val="right"/>
              <w:rPr>
                <w:sz w:val="18"/>
              </w:rPr>
            </w:pPr>
            <w:r>
              <w:rPr>
                <w:sz w:val="18"/>
              </w:rPr>
              <w:t>3.4 (2.0-9.0)</w:t>
            </w:r>
          </w:p>
        </w:tc>
        <w:tc>
          <w:tcPr>
            <w:tcW w:w="2446" w:type="dxa"/>
          </w:tcPr>
          <w:p>
            <w:pPr>
              <w:pStyle w:val="TableParagraph"/>
              <w:spacing w:before="28"/>
              <w:ind w:right="759"/>
              <w:jc w:val="right"/>
              <w:rPr>
                <w:sz w:val="18"/>
              </w:rPr>
            </w:pPr>
            <w:r>
              <w:rPr>
                <w:sz w:val="18"/>
              </w:rPr>
              <w:t>1.5 (1.3-1.7)</w:t>
            </w:r>
          </w:p>
        </w:tc>
      </w:tr>
      <w:tr>
        <w:trPr>
          <w:trHeight w:val="1302" w:hRule="atLeast"/>
        </w:trPr>
        <w:tc>
          <w:tcPr>
            <w:tcW w:w="9015" w:type="dxa"/>
            <w:gridSpan w:val="5"/>
          </w:tcPr>
          <w:p>
            <w:pPr>
              <w:pStyle w:val="TableParagraph"/>
              <w:spacing w:line="235" w:lineRule="auto" w:before="37"/>
              <w:ind w:left="107" w:right="124"/>
              <w:rPr>
                <w:sz w:val="16"/>
              </w:rPr>
            </w:pPr>
            <w:r>
              <w:rPr>
                <w:position w:val="2"/>
                <w:sz w:val="16"/>
              </w:rPr>
              <w:t>Note: BEF</w:t>
            </w:r>
            <w:r>
              <w:rPr>
                <w:sz w:val="10"/>
              </w:rPr>
              <w:t>2</w:t>
            </w:r>
            <w:r>
              <w:rPr>
                <w:position w:val="2"/>
                <w:sz w:val="16"/>
              </w:rPr>
              <w:t>s given here represent averages for average growing stock or age, the upper limit of the range represents young forests or </w:t>
            </w:r>
            <w:r>
              <w:rPr>
                <w:sz w:val="16"/>
              </w:rPr>
              <w:t>forests with low growing stock; lower limits of the range approximate mature forests or those with high growing stock. The values apply to growing stock biomass (dry weight) including bark and for given minimum diameter at breast height; Minimum top diameters and treatment of branches is unspecified. Result is above-ground tree biomass.</w:t>
            </w:r>
          </w:p>
          <w:p>
            <w:pPr>
              <w:pStyle w:val="TableParagraph"/>
              <w:spacing w:before="105"/>
              <w:ind w:left="107" w:right="240"/>
              <w:rPr>
                <w:sz w:val="16"/>
              </w:rPr>
            </w:pPr>
            <w:r>
              <w:rPr>
                <w:sz w:val="16"/>
              </w:rPr>
              <w:t>Sources: Isaev </w:t>
            </w:r>
            <w:r>
              <w:rPr>
                <w:i/>
                <w:sz w:val="16"/>
              </w:rPr>
              <w:t>et al.</w:t>
            </w:r>
            <w:r>
              <w:rPr>
                <w:sz w:val="16"/>
              </w:rPr>
              <w:t>, 1993; Brown, 1997; Brown and Schroeder, 1999; Schoene, 1999; ECE/FAO TBFRA, 2000; Lowe </w:t>
            </w:r>
            <w:r>
              <w:rPr>
                <w:i/>
                <w:sz w:val="16"/>
              </w:rPr>
              <w:t>et al.</w:t>
            </w:r>
            <w:r>
              <w:rPr>
                <w:sz w:val="16"/>
              </w:rPr>
              <w:t>, 2000; please also refer to FRA Working Paper 68 and 69 for average values for developing countries ( </w:t>
            </w:r>
            <w:hyperlink r:id="rId200">
              <w:r>
                <w:rPr>
                  <w:sz w:val="16"/>
                </w:rPr>
                <w:t>http://www.fao.org/forestry/index.jsp)</w:t>
              </w:r>
            </w:hyperlink>
          </w:p>
        </w:tc>
      </w:tr>
    </w:tbl>
    <w:p>
      <w:pPr>
        <w:pStyle w:val="BodyText"/>
      </w:pPr>
    </w:p>
    <w:p>
      <w:pPr>
        <w:pStyle w:val="BodyText"/>
        <w:spacing w:before="5"/>
        <w:rPr>
          <w:sz w:val="10"/>
        </w:rPr>
      </w:pPr>
    </w:p>
    <w:tbl>
      <w:tblPr>
        <w:tblW w:w="0" w:type="auto"/>
        <w:jc w:val="left"/>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22"/>
        <w:gridCol w:w="3718"/>
      </w:tblGrid>
      <w:tr>
        <w:trPr>
          <w:trHeight w:val="860" w:hRule="atLeast"/>
        </w:trPr>
        <w:tc>
          <w:tcPr>
            <w:tcW w:w="7940" w:type="dxa"/>
            <w:gridSpan w:val="2"/>
            <w:tcBorders>
              <w:bottom w:val="double" w:sz="1" w:space="0" w:color="000000"/>
            </w:tcBorders>
          </w:tcPr>
          <w:p>
            <w:pPr>
              <w:pStyle w:val="TableParagraph"/>
              <w:spacing w:line="207" w:lineRule="exact" w:before="59"/>
              <w:ind w:left="539" w:right="532"/>
              <w:jc w:val="center"/>
              <w:rPr>
                <w:b/>
                <w:sz w:val="18"/>
              </w:rPr>
            </w:pPr>
            <w:r>
              <w:rPr>
                <w:b/>
                <w:sz w:val="18"/>
              </w:rPr>
              <w:t>T</w:t>
            </w:r>
            <w:r>
              <w:rPr>
                <w:b/>
                <w:sz w:val="14"/>
              </w:rPr>
              <w:t>ABLE </w:t>
            </w:r>
            <w:r>
              <w:rPr>
                <w:b/>
                <w:sz w:val="18"/>
              </w:rPr>
              <w:t>3A.1.11</w:t>
            </w:r>
          </w:p>
          <w:p>
            <w:pPr>
              <w:pStyle w:val="TableParagraph"/>
              <w:spacing w:line="224" w:lineRule="exact"/>
              <w:ind w:left="543" w:right="532"/>
              <w:jc w:val="center"/>
              <w:rPr>
                <w:b/>
                <w:sz w:val="12"/>
              </w:rPr>
            </w:pPr>
            <w:r>
              <w:rPr>
                <w:b/>
                <w:sz w:val="18"/>
              </w:rPr>
              <w:t>D</w:t>
            </w:r>
            <w:r>
              <w:rPr>
                <w:b/>
                <w:sz w:val="14"/>
              </w:rPr>
              <w:t>EFAULT VALUES FOR FRACTION OUT OF TOTAL HARVEST LEFT TO DECAY IN THE FOREST</w:t>
            </w:r>
            <w:r>
              <w:rPr>
                <w:b/>
                <w:sz w:val="18"/>
              </w:rPr>
              <w:t>, f</w:t>
            </w:r>
            <w:r>
              <w:rPr>
                <w:b/>
                <w:position w:val="-2"/>
                <w:sz w:val="12"/>
              </w:rPr>
              <w:t>BL</w:t>
            </w:r>
          </w:p>
          <w:p>
            <w:pPr>
              <w:pStyle w:val="TableParagraph"/>
              <w:spacing w:before="98"/>
              <w:ind w:left="541" w:right="532"/>
              <w:jc w:val="center"/>
              <w:rPr>
                <w:sz w:val="18"/>
              </w:rPr>
            </w:pPr>
            <w:r>
              <w:rPr>
                <w:sz w:val="18"/>
              </w:rPr>
              <w:t>(To be used only for f</w:t>
            </w:r>
            <w:r>
              <w:rPr>
                <w:sz w:val="18"/>
                <w:vertAlign w:val="subscript"/>
              </w:rPr>
              <w:t>BL</w:t>
            </w:r>
            <w:r>
              <w:rPr>
                <w:sz w:val="18"/>
                <w:vertAlign w:val="baseline"/>
              </w:rPr>
              <w:t> in Equation 3.2.7)</w:t>
            </w:r>
          </w:p>
        </w:tc>
      </w:tr>
      <w:tr>
        <w:trPr>
          <w:trHeight w:val="253" w:hRule="atLeast"/>
        </w:trPr>
        <w:tc>
          <w:tcPr>
            <w:tcW w:w="4222" w:type="dxa"/>
            <w:tcBorders>
              <w:top w:val="double" w:sz="1" w:space="0" w:color="000000"/>
            </w:tcBorders>
          </w:tcPr>
          <w:p>
            <w:pPr>
              <w:pStyle w:val="TableParagraph"/>
              <w:spacing w:before="23"/>
              <w:ind w:left="1819" w:right="1812"/>
              <w:jc w:val="center"/>
              <w:rPr>
                <w:b/>
                <w:sz w:val="18"/>
              </w:rPr>
            </w:pPr>
            <w:r>
              <w:rPr>
                <w:b/>
                <w:sz w:val="18"/>
              </w:rPr>
              <w:t>Region</w:t>
            </w:r>
          </w:p>
        </w:tc>
        <w:tc>
          <w:tcPr>
            <w:tcW w:w="3718" w:type="dxa"/>
            <w:tcBorders>
              <w:top w:val="double" w:sz="1" w:space="0" w:color="000000"/>
            </w:tcBorders>
          </w:tcPr>
          <w:p>
            <w:pPr>
              <w:pStyle w:val="TableParagraph"/>
              <w:spacing w:line="209" w:lineRule="exact" w:before="24"/>
              <w:ind w:left="1746"/>
              <w:rPr>
                <w:b/>
                <w:sz w:val="12"/>
              </w:rPr>
            </w:pPr>
            <w:r>
              <w:rPr>
                <w:b/>
                <w:position w:val="3"/>
                <w:sz w:val="18"/>
              </w:rPr>
              <w:t>f</w:t>
            </w:r>
            <w:r>
              <w:rPr>
                <w:b/>
                <w:sz w:val="12"/>
              </w:rPr>
              <w:t>BL</w:t>
            </w:r>
          </w:p>
        </w:tc>
      </w:tr>
      <w:tr>
        <w:trPr>
          <w:trHeight w:val="273" w:hRule="atLeast"/>
        </w:trPr>
        <w:tc>
          <w:tcPr>
            <w:tcW w:w="4222" w:type="dxa"/>
          </w:tcPr>
          <w:p>
            <w:pPr>
              <w:pStyle w:val="TableParagraph"/>
              <w:spacing w:line="198" w:lineRule="exact" w:before="55"/>
              <w:ind w:left="107"/>
              <w:rPr>
                <w:sz w:val="18"/>
              </w:rPr>
            </w:pPr>
            <w:r>
              <w:rPr>
                <w:sz w:val="18"/>
              </w:rPr>
              <w:t>Boreal intensively managed</w:t>
            </w:r>
          </w:p>
        </w:tc>
        <w:tc>
          <w:tcPr>
            <w:tcW w:w="3718" w:type="dxa"/>
          </w:tcPr>
          <w:p>
            <w:pPr>
              <w:pStyle w:val="TableParagraph"/>
              <w:spacing w:line="198" w:lineRule="exact" w:before="55"/>
              <w:ind w:left="1698"/>
              <w:rPr>
                <w:sz w:val="18"/>
              </w:rPr>
            </w:pPr>
            <w:r>
              <w:rPr>
                <w:sz w:val="18"/>
              </w:rPr>
              <w:t>0.07</w:t>
            </w:r>
          </w:p>
        </w:tc>
      </w:tr>
      <w:tr>
        <w:trPr>
          <w:trHeight w:val="275" w:hRule="atLeast"/>
        </w:trPr>
        <w:tc>
          <w:tcPr>
            <w:tcW w:w="4222" w:type="dxa"/>
          </w:tcPr>
          <w:p>
            <w:pPr>
              <w:pStyle w:val="TableParagraph"/>
              <w:spacing w:line="201" w:lineRule="exact" w:before="55"/>
              <w:ind w:left="107"/>
              <w:rPr>
                <w:sz w:val="18"/>
              </w:rPr>
            </w:pPr>
            <w:r>
              <w:rPr>
                <w:sz w:val="18"/>
              </w:rPr>
              <w:t>Temperate intensively managed</w:t>
            </w:r>
          </w:p>
        </w:tc>
        <w:tc>
          <w:tcPr>
            <w:tcW w:w="3718" w:type="dxa"/>
          </w:tcPr>
          <w:p>
            <w:pPr>
              <w:pStyle w:val="TableParagraph"/>
              <w:spacing w:line="201" w:lineRule="exact" w:before="55"/>
              <w:ind w:left="1745"/>
              <w:rPr>
                <w:sz w:val="18"/>
              </w:rPr>
            </w:pPr>
            <w:r>
              <w:rPr>
                <w:sz w:val="18"/>
              </w:rPr>
              <w:t>0.1</w:t>
            </w:r>
          </w:p>
        </w:tc>
      </w:tr>
      <w:tr>
        <w:trPr>
          <w:trHeight w:val="273" w:hRule="atLeast"/>
        </w:trPr>
        <w:tc>
          <w:tcPr>
            <w:tcW w:w="4222" w:type="dxa"/>
          </w:tcPr>
          <w:p>
            <w:pPr>
              <w:pStyle w:val="TableParagraph"/>
              <w:spacing w:line="198" w:lineRule="exact" w:before="55"/>
              <w:ind w:left="107"/>
              <w:rPr>
                <w:sz w:val="18"/>
              </w:rPr>
            </w:pPr>
            <w:r>
              <w:rPr>
                <w:sz w:val="18"/>
              </w:rPr>
              <w:t>Temperate semi natural forests</w:t>
            </w:r>
          </w:p>
        </w:tc>
        <w:tc>
          <w:tcPr>
            <w:tcW w:w="3718" w:type="dxa"/>
          </w:tcPr>
          <w:p>
            <w:pPr>
              <w:pStyle w:val="TableParagraph"/>
              <w:spacing w:line="198" w:lineRule="exact" w:before="55"/>
              <w:ind w:left="1697"/>
              <w:rPr>
                <w:sz w:val="18"/>
              </w:rPr>
            </w:pPr>
            <w:r>
              <w:rPr>
                <w:sz w:val="18"/>
              </w:rPr>
              <w:t>0.15</w:t>
            </w:r>
          </w:p>
        </w:tc>
      </w:tr>
      <w:tr>
        <w:trPr>
          <w:trHeight w:val="273" w:hRule="atLeast"/>
        </w:trPr>
        <w:tc>
          <w:tcPr>
            <w:tcW w:w="4222" w:type="dxa"/>
          </w:tcPr>
          <w:p>
            <w:pPr>
              <w:pStyle w:val="TableParagraph"/>
              <w:spacing w:line="198" w:lineRule="exact" w:before="55"/>
              <w:ind w:left="107"/>
              <w:rPr>
                <w:sz w:val="18"/>
              </w:rPr>
            </w:pPr>
            <w:r>
              <w:rPr>
                <w:sz w:val="18"/>
              </w:rPr>
              <w:t>Tropical plantation</w:t>
            </w:r>
          </w:p>
        </w:tc>
        <w:tc>
          <w:tcPr>
            <w:tcW w:w="3718" w:type="dxa"/>
          </w:tcPr>
          <w:p>
            <w:pPr>
              <w:pStyle w:val="TableParagraph"/>
              <w:spacing w:line="198" w:lineRule="exact" w:before="55"/>
              <w:ind w:left="1698"/>
              <w:rPr>
                <w:sz w:val="18"/>
              </w:rPr>
            </w:pPr>
            <w:r>
              <w:rPr>
                <w:sz w:val="18"/>
              </w:rPr>
              <w:t>0.25</w:t>
            </w:r>
          </w:p>
        </w:tc>
      </w:tr>
      <w:tr>
        <w:trPr>
          <w:trHeight w:val="275" w:hRule="atLeast"/>
        </w:trPr>
        <w:tc>
          <w:tcPr>
            <w:tcW w:w="4222" w:type="dxa"/>
          </w:tcPr>
          <w:p>
            <w:pPr>
              <w:pStyle w:val="TableParagraph"/>
              <w:spacing w:line="201" w:lineRule="exact" w:before="55"/>
              <w:ind w:left="107"/>
              <w:rPr>
                <w:sz w:val="18"/>
              </w:rPr>
            </w:pPr>
            <w:r>
              <w:rPr>
                <w:sz w:val="18"/>
              </w:rPr>
              <w:t>Tropical selective logging in primary forests</w:t>
            </w:r>
          </w:p>
        </w:tc>
        <w:tc>
          <w:tcPr>
            <w:tcW w:w="3718" w:type="dxa"/>
          </w:tcPr>
          <w:p>
            <w:pPr>
              <w:pStyle w:val="TableParagraph"/>
              <w:spacing w:line="201" w:lineRule="exact" w:before="55"/>
              <w:ind w:left="1745"/>
              <w:rPr>
                <w:sz w:val="18"/>
              </w:rPr>
            </w:pPr>
            <w:r>
              <w:rPr>
                <w:sz w:val="18"/>
              </w:rPr>
              <w:t>0.4</w:t>
            </w:r>
          </w:p>
        </w:tc>
      </w:tr>
    </w:tbl>
    <w:p>
      <w:pPr>
        <w:spacing w:after="0" w:line="201" w:lineRule="exact"/>
        <w:rPr>
          <w:sz w:val="18"/>
        </w:rPr>
        <w:sectPr>
          <w:pgSz w:w="11900" w:h="16840"/>
          <w:pgMar w:header="230" w:footer="408" w:top="560" w:bottom="600" w:left="1200" w:right="1140"/>
        </w:sectPr>
      </w:pPr>
    </w:p>
    <w:p>
      <w:pPr>
        <w:pStyle w:val="BodyText"/>
      </w:pPr>
    </w:p>
    <w:p>
      <w:pPr>
        <w:pStyle w:val="BodyText"/>
        <w:rPr>
          <w:sz w:val="19"/>
        </w:rPr>
      </w:pPr>
    </w:p>
    <w:tbl>
      <w:tblPr>
        <w:tblW w:w="0" w:type="auto"/>
        <w:jc w:val="left"/>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0"/>
        <w:gridCol w:w="2109"/>
        <w:gridCol w:w="784"/>
        <w:gridCol w:w="782"/>
        <w:gridCol w:w="604"/>
        <w:gridCol w:w="1173"/>
        <w:gridCol w:w="559"/>
        <w:gridCol w:w="1389"/>
      </w:tblGrid>
      <w:tr>
        <w:trPr>
          <w:trHeight w:val="935" w:hRule="atLeast"/>
        </w:trPr>
        <w:tc>
          <w:tcPr>
            <w:tcW w:w="9010" w:type="dxa"/>
            <w:gridSpan w:val="8"/>
            <w:tcBorders>
              <w:bottom w:val="double" w:sz="1" w:space="0" w:color="000000"/>
            </w:tcBorders>
          </w:tcPr>
          <w:p>
            <w:pPr>
              <w:pStyle w:val="TableParagraph"/>
              <w:spacing w:line="207" w:lineRule="exact" w:before="59"/>
              <w:ind w:left="1218" w:right="1206"/>
              <w:jc w:val="center"/>
              <w:rPr>
                <w:b/>
                <w:sz w:val="18"/>
              </w:rPr>
            </w:pPr>
            <w:r>
              <w:rPr>
                <w:b/>
                <w:sz w:val="18"/>
              </w:rPr>
              <w:t>T</w:t>
            </w:r>
            <w:r>
              <w:rPr>
                <w:b/>
                <w:sz w:val="14"/>
              </w:rPr>
              <w:t>ABLE </w:t>
            </w:r>
            <w:r>
              <w:rPr>
                <w:b/>
                <w:sz w:val="18"/>
              </w:rPr>
              <w:t>3A.1.12</w:t>
            </w:r>
          </w:p>
          <w:p>
            <w:pPr>
              <w:pStyle w:val="TableParagraph"/>
              <w:ind w:left="1223" w:right="1206"/>
              <w:jc w:val="center"/>
              <w:rPr>
                <w:b/>
                <w:sz w:val="18"/>
              </w:rPr>
            </w:pPr>
            <w:r>
              <w:rPr>
                <w:b/>
                <w:sz w:val="18"/>
              </w:rPr>
              <w:t>C</w:t>
            </w:r>
            <w:r>
              <w:rPr>
                <w:b/>
                <w:sz w:val="14"/>
              </w:rPr>
              <w:t>OMBUSTION FACTOR VALUES </w:t>
            </w:r>
            <w:r>
              <w:rPr>
                <w:b/>
                <w:sz w:val="18"/>
              </w:rPr>
              <w:t>(</w:t>
            </w:r>
            <w:r>
              <w:rPr>
                <w:b/>
                <w:sz w:val="14"/>
              </w:rPr>
              <w:t>PROPORTION OF PREFIRE BIOMASS CONSUMED</w:t>
            </w:r>
            <w:r>
              <w:rPr>
                <w:b/>
                <w:sz w:val="18"/>
              </w:rPr>
              <w:t>) </w:t>
            </w:r>
            <w:r>
              <w:rPr>
                <w:b/>
                <w:sz w:val="14"/>
              </w:rPr>
              <w:t>FOR FIRES IN A RANGE OF VEGETATION TYPES</w:t>
            </w:r>
            <w:r>
              <w:rPr>
                <w:b/>
                <w:sz w:val="18"/>
              </w:rPr>
              <w:t>.</w:t>
            </w:r>
          </w:p>
          <w:p>
            <w:pPr>
              <w:pStyle w:val="TableParagraph"/>
              <w:spacing w:line="170" w:lineRule="exact" w:before="65"/>
              <w:ind w:left="1042" w:right="1030"/>
              <w:jc w:val="center"/>
              <w:rPr>
                <w:sz w:val="16"/>
              </w:rPr>
            </w:pPr>
            <w:r>
              <w:rPr>
                <w:position w:val="2"/>
                <w:sz w:val="16"/>
              </w:rPr>
              <w:t>(Values in column ‘mean’ are to be used for (1-f</w:t>
            </w:r>
            <w:r>
              <w:rPr>
                <w:sz w:val="10"/>
              </w:rPr>
              <w:t>BL</w:t>
            </w:r>
            <w:r>
              <w:rPr>
                <w:position w:val="2"/>
                <w:sz w:val="16"/>
              </w:rPr>
              <w:t>) in Equation 3.2.9 and for </w:t>
            </w:r>
            <w:r>
              <w:rPr>
                <w:rFonts w:ascii="Symbol" w:hAnsi="Symbol"/>
                <w:position w:val="2"/>
                <w:sz w:val="17"/>
              </w:rPr>
              <w:t>ρ</w:t>
            </w:r>
            <w:r>
              <w:rPr>
                <w:sz w:val="10"/>
              </w:rPr>
              <w:t>burned on site </w:t>
            </w:r>
            <w:r>
              <w:rPr>
                <w:position w:val="2"/>
                <w:sz w:val="16"/>
              </w:rPr>
              <w:t>in Equation 3.3.10)</w:t>
            </w:r>
          </w:p>
        </w:tc>
      </w:tr>
      <w:tr>
        <w:trPr>
          <w:trHeight w:val="255" w:hRule="atLeast"/>
        </w:trPr>
        <w:tc>
          <w:tcPr>
            <w:tcW w:w="1610" w:type="dxa"/>
            <w:tcBorders>
              <w:top w:val="double" w:sz="1" w:space="0" w:color="000000"/>
            </w:tcBorders>
          </w:tcPr>
          <w:p>
            <w:pPr>
              <w:pStyle w:val="TableParagraph"/>
              <w:spacing w:line="177" w:lineRule="exact" w:before="59"/>
              <w:ind w:left="242"/>
              <w:rPr>
                <w:b/>
                <w:sz w:val="16"/>
              </w:rPr>
            </w:pPr>
            <w:r>
              <w:rPr>
                <w:b/>
                <w:sz w:val="16"/>
              </w:rPr>
              <w:t>Vegetation Type</w:t>
            </w:r>
          </w:p>
        </w:tc>
        <w:tc>
          <w:tcPr>
            <w:tcW w:w="2109" w:type="dxa"/>
            <w:tcBorders>
              <w:top w:val="double" w:sz="1" w:space="0" w:color="000000"/>
            </w:tcBorders>
          </w:tcPr>
          <w:p>
            <w:pPr>
              <w:pStyle w:val="TableParagraph"/>
              <w:spacing w:line="177" w:lineRule="exact" w:before="59"/>
              <w:ind w:left="600"/>
              <w:rPr>
                <w:b/>
                <w:sz w:val="16"/>
              </w:rPr>
            </w:pPr>
            <w:r>
              <w:rPr>
                <w:b/>
                <w:sz w:val="16"/>
              </w:rPr>
              <w:t>Sub-category</w:t>
            </w:r>
          </w:p>
        </w:tc>
        <w:tc>
          <w:tcPr>
            <w:tcW w:w="784" w:type="dxa"/>
            <w:tcBorders>
              <w:top w:val="double" w:sz="1" w:space="0" w:color="000000"/>
            </w:tcBorders>
          </w:tcPr>
          <w:p>
            <w:pPr>
              <w:pStyle w:val="TableParagraph"/>
              <w:spacing w:line="177" w:lineRule="exact" w:before="59"/>
              <w:ind w:left="194"/>
              <w:rPr>
                <w:b/>
                <w:sz w:val="16"/>
              </w:rPr>
            </w:pPr>
            <w:r>
              <w:rPr>
                <w:b/>
                <w:sz w:val="16"/>
              </w:rPr>
              <w:t>Mean</w:t>
            </w:r>
          </w:p>
        </w:tc>
        <w:tc>
          <w:tcPr>
            <w:tcW w:w="782" w:type="dxa"/>
            <w:tcBorders>
              <w:top w:val="double" w:sz="1" w:space="0" w:color="000000"/>
            </w:tcBorders>
          </w:tcPr>
          <w:p>
            <w:pPr>
              <w:pStyle w:val="TableParagraph"/>
              <w:spacing w:line="177" w:lineRule="exact" w:before="59"/>
              <w:ind w:left="188" w:right="178"/>
              <w:jc w:val="center"/>
              <w:rPr>
                <w:b/>
                <w:sz w:val="16"/>
              </w:rPr>
            </w:pPr>
            <w:r>
              <w:rPr>
                <w:b/>
                <w:sz w:val="16"/>
              </w:rPr>
              <w:t>SD</w:t>
            </w:r>
          </w:p>
        </w:tc>
        <w:tc>
          <w:tcPr>
            <w:tcW w:w="604" w:type="dxa"/>
            <w:tcBorders>
              <w:top w:val="double" w:sz="1" w:space="0" w:color="000000"/>
            </w:tcBorders>
          </w:tcPr>
          <w:p>
            <w:pPr>
              <w:pStyle w:val="TableParagraph"/>
              <w:spacing w:line="177" w:lineRule="exact" w:before="59"/>
              <w:ind w:left="54" w:right="38"/>
              <w:jc w:val="center"/>
              <w:rPr>
                <w:b/>
                <w:sz w:val="16"/>
              </w:rPr>
            </w:pPr>
            <w:r>
              <w:rPr>
                <w:b/>
                <w:sz w:val="16"/>
              </w:rPr>
              <w:t>No. m</w:t>
            </w:r>
            <w:r>
              <w:rPr>
                <w:b/>
                <w:sz w:val="16"/>
                <w:vertAlign w:val="superscript"/>
              </w:rPr>
              <w:t>1</w:t>
            </w:r>
          </w:p>
        </w:tc>
        <w:tc>
          <w:tcPr>
            <w:tcW w:w="1173" w:type="dxa"/>
            <w:tcBorders>
              <w:top w:val="double" w:sz="1" w:space="0" w:color="000000"/>
            </w:tcBorders>
          </w:tcPr>
          <w:p>
            <w:pPr>
              <w:pStyle w:val="TableParagraph"/>
              <w:spacing w:line="177" w:lineRule="exact" w:before="59"/>
              <w:ind w:left="167" w:right="155"/>
              <w:jc w:val="center"/>
              <w:rPr>
                <w:b/>
                <w:sz w:val="16"/>
              </w:rPr>
            </w:pPr>
            <w:r>
              <w:rPr>
                <w:b/>
                <w:sz w:val="16"/>
              </w:rPr>
              <w:t>Range</w:t>
            </w:r>
          </w:p>
        </w:tc>
        <w:tc>
          <w:tcPr>
            <w:tcW w:w="559" w:type="dxa"/>
            <w:tcBorders>
              <w:top w:val="double" w:sz="1" w:space="0" w:color="000000"/>
            </w:tcBorders>
          </w:tcPr>
          <w:p>
            <w:pPr>
              <w:pStyle w:val="TableParagraph"/>
              <w:spacing w:line="177" w:lineRule="exact" w:before="59"/>
              <w:ind w:left="43" w:right="24"/>
              <w:jc w:val="center"/>
              <w:rPr>
                <w:b/>
                <w:sz w:val="16"/>
              </w:rPr>
            </w:pPr>
            <w:r>
              <w:rPr>
                <w:b/>
                <w:sz w:val="16"/>
              </w:rPr>
              <w:t>No. r</w:t>
            </w:r>
            <w:r>
              <w:rPr>
                <w:b/>
                <w:sz w:val="16"/>
                <w:vertAlign w:val="superscript"/>
              </w:rPr>
              <w:t>2</w:t>
            </w:r>
          </w:p>
        </w:tc>
        <w:tc>
          <w:tcPr>
            <w:tcW w:w="1389" w:type="dxa"/>
            <w:tcBorders>
              <w:top w:val="double" w:sz="1" w:space="0" w:color="000000"/>
            </w:tcBorders>
          </w:tcPr>
          <w:p>
            <w:pPr>
              <w:pStyle w:val="TableParagraph"/>
              <w:spacing w:line="177" w:lineRule="exact" w:before="59"/>
              <w:ind w:left="325"/>
              <w:rPr>
                <w:b/>
                <w:sz w:val="16"/>
              </w:rPr>
            </w:pPr>
            <w:r>
              <w:rPr>
                <w:b/>
                <w:sz w:val="16"/>
              </w:rPr>
              <w:t>References</w:t>
            </w:r>
          </w:p>
        </w:tc>
      </w:tr>
      <w:tr>
        <w:trPr>
          <w:trHeight w:val="453" w:hRule="atLeast"/>
        </w:trPr>
        <w:tc>
          <w:tcPr>
            <w:tcW w:w="1610" w:type="dxa"/>
            <w:vMerge w:val="restart"/>
          </w:tcPr>
          <w:p>
            <w:pPr>
              <w:pStyle w:val="TableParagraph"/>
              <w:rPr>
                <w:sz w:val="18"/>
              </w:rPr>
            </w:pPr>
          </w:p>
          <w:p>
            <w:pPr>
              <w:pStyle w:val="TableParagraph"/>
              <w:spacing w:before="159"/>
              <w:ind w:left="107" w:right="388"/>
              <w:jc w:val="both"/>
              <w:rPr>
                <w:sz w:val="16"/>
              </w:rPr>
            </w:pPr>
            <w:r>
              <w:rPr>
                <w:sz w:val="16"/>
              </w:rPr>
              <w:t>Primary Tropical Forest (slash and burn)</w:t>
            </w:r>
          </w:p>
        </w:tc>
        <w:tc>
          <w:tcPr>
            <w:tcW w:w="2109" w:type="dxa"/>
          </w:tcPr>
          <w:p>
            <w:pPr>
              <w:pStyle w:val="TableParagraph"/>
              <w:spacing w:before="129"/>
              <w:ind w:left="108"/>
              <w:rPr>
                <w:sz w:val="16"/>
              </w:rPr>
            </w:pPr>
            <w:r>
              <w:rPr>
                <w:sz w:val="16"/>
              </w:rPr>
              <w:t>Primary tropical forest</w:t>
            </w:r>
          </w:p>
        </w:tc>
        <w:tc>
          <w:tcPr>
            <w:tcW w:w="784" w:type="dxa"/>
          </w:tcPr>
          <w:p>
            <w:pPr>
              <w:pStyle w:val="TableParagraph"/>
              <w:spacing w:before="129"/>
              <w:ind w:left="252"/>
              <w:rPr>
                <w:sz w:val="16"/>
              </w:rPr>
            </w:pPr>
            <w:r>
              <w:rPr>
                <w:sz w:val="16"/>
              </w:rPr>
              <w:t>0.32</w:t>
            </w:r>
          </w:p>
        </w:tc>
        <w:tc>
          <w:tcPr>
            <w:tcW w:w="782" w:type="dxa"/>
          </w:tcPr>
          <w:p>
            <w:pPr>
              <w:pStyle w:val="TableParagraph"/>
              <w:spacing w:before="129"/>
              <w:ind w:left="192" w:right="177"/>
              <w:jc w:val="center"/>
              <w:rPr>
                <w:sz w:val="16"/>
              </w:rPr>
            </w:pPr>
            <w:r>
              <w:rPr>
                <w:sz w:val="16"/>
              </w:rPr>
              <w:t>0.12</w:t>
            </w:r>
          </w:p>
        </w:tc>
        <w:tc>
          <w:tcPr>
            <w:tcW w:w="604" w:type="dxa"/>
          </w:tcPr>
          <w:p>
            <w:pPr>
              <w:pStyle w:val="TableParagraph"/>
              <w:spacing w:before="129"/>
              <w:ind w:left="53" w:right="38"/>
              <w:jc w:val="center"/>
              <w:rPr>
                <w:sz w:val="16"/>
              </w:rPr>
            </w:pPr>
            <w:r>
              <w:rPr>
                <w:sz w:val="16"/>
              </w:rPr>
              <w:t>14</w:t>
            </w:r>
          </w:p>
        </w:tc>
        <w:tc>
          <w:tcPr>
            <w:tcW w:w="1173" w:type="dxa"/>
          </w:tcPr>
          <w:p>
            <w:pPr>
              <w:pStyle w:val="TableParagraph"/>
              <w:spacing w:before="129"/>
              <w:ind w:left="165" w:right="155"/>
              <w:jc w:val="center"/>
              <w:rPr>
                <w:sz w:val="16"/>
              </w:rPr>
            </w:pPr>
            <w:r>
              <w:rPr>
                <w:sz w:val="16"/>
              </w:rPr>
              <w:t>0.20 – 0.62</w:t>
            </w:r>
          </w:p>
        </w:tc>
        <w:tc>
          <w:tcPr>
            <w:tcW w:w="559" w:type="dxa"/>
          </w:tcPr>
          <w:p>
            <w:pPr>
              <w:pStyle w:val="TableParagraph"/>
              <w:spacing w:before="129"/>
              <w:ind w:left="41" w:right="27"/>
              <w:jc w:val="center"/>
              <w:rPr>
                <w:sz w:val="16"/>
              </w:rPr>
            </w:pPr>
            <w:r>
              <w:rPr>
                <w:sz w:val="16"/>
              </w:rPr>
              <w:t>17</w:t>
            </w:r>
          </w:p>
        </w:tc>
        <w:tc>
          <w:tcPr>
            <w:tcW w:w="1389" w:type="dxa"/>
          </w:tcPr>
          <w:p>
            <w:pPr>
              <w:pStyle w:val="TableParagraph"/>
              <w:spacing w:line="183" w:lineRule="exact" w:before="37"/>
              <w:ind w:left="111"/>
              <w:rPr>
                <w:sz w:val="16"/>
              </w:rPr>
            </w:pPr>
            <w:r>
              <w:rPr>
                <w:sz w:val="16"/>
              </w:rPr>
              <w:t>7, 8, 15, 56, 66, 3,</w:t>
            </w:r>
          </w:p>
          <w:p>
            <w:pPr>
              <w:pStyle w:val="TableParagraph"/>
              <w:spacing w:line="183" w:lineRule="exact"/>
              <w:ind w:left="111"/>
              <w:rPr>
                <w:sz w:val="16"/>
              </w:rPr>
            </w:pPr>
            <w:r>
              <w:rPr>
                <w:sz w:val="16"/>
              </w:rPr>
              <w:t>16, 53, 17, 45,</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Primary open tropical forest</w:t>
            </w:r>
          </w:p>
        </w:tc>
        <w:tc>
          <w:tcPr>
            <w:tcW w:w="784" w:type="dxa"/>
          </w:tcPr>
          <w:p>
            <w:pPr>
              <w:pStyle w:val="TableParagraph"/>
              <w:spacing w:before="37"/>
              <w:ind w:left="252"/>
              <w:rPr>
                <w:sz w:val="16"/>
              </w:rPr>
            </w:pPr>
            <w:r>
              <w:rPr>
                <w:sz w:val="16"/>
              </w:rPr>
              <w:t>0.45</w:t>
            </w:r>
          </w:p>
        </w:tc>
        <w:tc>
          <w:tcPr>
            <w:tcW w:w="782" w:type="dxa"/>
          </w:tcPr>
          <w:p>
            <w:pPr>
              <w:pStyle w:val="TableParagraph"/>
              <w:spacing w:before="37"/>
              <w:ind w:left="192" w:right="177"/>
              <w:jc w:val="center"/>
              <w:rPr>
                <w:sz w:val="16"/>
              </w:rPr>
            </w:pPr>
            <w:r>
              <w:rPr>
                <w:sz w:val="16"/>
              </w:rPr>
              <w:t>0.09</w:t>
            </w:r>
          </w:p>
        </w:tc>
        <w:tc>
          <w:tcPr>
            <w:tcW w:w="604" w:type="dxa"/>
          </w:tcPr>
          <w:p>
            <w:pPr>
              <w:pStyle w:val="TableParagraph"/>
              <w:spacing w:before="37"/>
              <w:ind w:left="14"/>
              <w:jc w:val="center"/>
              <w:rPr>
                <w:sz w:val="16"/>
              </w:rPr>
            </w:pPr>
            <w:r>
              <w:rPr>
                <w:w w:val="100"/>
                <w:sz w:val="16"/>
              </w:rPr>
              <w:t>3</w:t>
            </w:r>
          </w:p>
        </w:tc>
        <w:tc>
          <w:tcPr>
            <w:tcW w:w="1173" w:type="dxa"/>
          </w:tcPr>
          <w:p>
            <w:pPr>
              <w:pStyle w:val="TableParagraph"/>
              <w:spacing w:before="37"/>
              <w:ind w:left="165" w:right="155"/>
              <w:jc w:val="center"/>
              <w:rPr>
                <w:sz w:val="16"/>
              </w:rPr>
            </w:pPr>
            <w:r>
              <w:rPr>
                <w:sz w:val="16"/>
              </w:rPr>
              <w:t>0.36 – 0.54</w:t>
            </w:r>
          </w:p>
        </w:tc>
        <w:tc>
          <w:tcPr>
            <w:tcW w:w="559" w:type="dxa"/>
          </w:tcPr>
          <w:p>
            <w:pPr>
              <w:pStyle w:val="TableParagraph"/>
              <w:spacing w:before="37"/>
              <w:ind w:left="13"/>
              <w:jc w:val="center"/>
              <w:rPr>
                <w:sz w:val="16"/>
              </w:rPr>
            </w:pPr>
            <w:r>
              <w:rPr>
                <w:w w:val="100"/>
                <w:sz w:val="16"/>
              </w:rPr>
              <w:t>3</w:t>
            </w:r>
          </w:p>
        </w:tc>
        <w:tc>
          <w:tcPr>
            <w:tcW w:w="1389" w:type="dxa"/>
          </w:tcPr>
          <w:p>
            <w:pPr>
              <w:pStyle w:val="TableParagraph"/>
              <w:spacing w:before="37"/>
              <w:ind w:left="111"/>
              <w:rPr>
                <w:sz w:val="16"/>
              </w:rPr>
            </w:pPr>
            <w:r>
              <w:rPr>
                <w:sz w:val="16"/>
              </w:rPr>
              <w:t>21</w:t>
            </w:r>
          </w:p>
        </w:tc>
      </w:tr>
      <w:tr>
        <w:trPr>
          <w:trHeight w:val="275"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Primary tropical moist forest</w:t>
            </w:r>
          </w:p>
        </w:tc>
        <w:tc>
          <w:tcPr>
            <w:tcW w:w="784" w:type="dxa"/>
          </w:tcPr>
          <w:p>
            <w:pPr>
              <w:pStyle w:val="TableParagraph"/>
              <w:spacing w:before="37"/>
              <w:ind w:left="252"/>
              <w:rPr>
                <w:sz w:val="16"/>
              </w:rPr>
            </w:pPr>
            <w:r>
              <w:rPr>
                <w:sz w:val="16"/>
              </w:rPr>
              <w:t>0.50</w:t>
            </w:r>
          </w:p>
        </w:tc>
        <w:tc>
          <w:tcPr>
            <w:tcW w:w="782" w:type="dxa"/>
          </w:tcPr>
          <w:p>
            <w:pPr>
              <w:pStyle w:val="TableParagraph"/>
              <w:spacing w:before="37"/>
              <w:ind w:left="192" w:right="176"/>
              <w:jc w:val="center"/>
              <w:rPr>
                <w:sz w:val="16"/>
              </w:rPr>
            </w:pPr>
            <w:r>
              <w:rPr>
                <w:sz w:val="16"/>
              </w:rPr>
              <w:t>0.03</w:t>
            </w:r>
          </w:p>
        </w:tc>
        <w:tc>
          <w:tcPr>
            <w:tcW w:w="604" w:type="dxa"/>
          </w:tcPr>
          <w:p>
            <w:pPr>
              <w:pStyle w:val="TableParagraph"/>
              <w:spacing w:before="37"/>
              <w:ind w:left="16"/>
              <w:jc w:val="center"/>
              <w:rPr>
                <w:sz w:val="16"/>
              </w:rPr>
            </w:pPr>
            <w:r>
              <w:rPr>
                <w:w w:val="100"/>
                <w:sz w:val="16"/>
              </w:rPr>
              <w:t>2</w:t>
            </w:r>
          </w:p>
        </w:tc>
        <w:tc>
          <w:tcPr>
            <w:tcW w:w="1173" w:type="dxa"/>
          </w:tcPr>
          <w:p>
            <w:pPr>
              <w:pStyle w:val="TableParagraph"/>
              <w:spacing w:before="37"/>
              <w:ind w:left="167" w:right="155"/>
              <w:jc w:val="center"/>
              <w:rPr>
                <w:sz w:val="16"/>
              </w:rPr>
            </w:pPr>
            <w:r>
              <w:rPr>
                <w:sz w:val="16"/>
              </w:rPr>
              <w:t>0.39 – 0.54</w:t>
            </w:r>
          </w:p>
        </w:tc>
        <w:tc>
          <w:tcPr>
            <w:tcW w:w="559" w:type="dxa"/>
          </w:tcPr>
          <w:p>
            <w:pPr>
              <w:pStyle w:val="TableParagraph"/>
              <w:spacing w:before="37"/>
              <w:ind w:left="15"/>
              <w:jc w:val="center"/>
              <w:rPr>
                <w:sz w:val="16"/>
              </w:rPr>
            </w:pPr>
            <w:r>
              <w:rPr>
                <w:w w:val="100"/>
                <w:sz w:val="16"/>
              </w:rPr>
              <w:t>2</w:t>
            </w:r>
          </w:p>
        </w:tc>
        <w:tc>
          <w:tcPr>
            <w:tcW w:w="1389" w:type="dxa"/>
          </w:tcPr>
          <w:p>
            <w:pPr>
              <w:pStyle w:val="TableParagraph"/>
              <w:spacing w:before="37"/>
              <w:ind w:left="112"/>
              <w:rPr>
                <w:sz w:val="16"/>
              </w:rPr>
            </w:pPr>
            <w:r>
              <w:rPr>
                <w:sz w:val="16"/>
              </w:rPr>
              <w:t>37, 73</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Primary tropical dry forest</w:t>
            </w:r>
          </w:p>
        </w:tc>
        <w:tc>
          <w:tcPr>
            <w:tcW w:w="784" w:type="dxa"/>
          </w:tcPr>
          <w:p>
            <w:pPr>
              <w:pStyle w:val="TableParagraph"/>
              <w:spacing w:before="37"/>
              <w:ind w:left="12"/>
              <w:jc w:val="center"/>
              <w:rPr>
                <w:sz w:val="16"/>
              </w:rPr>
            </w:pPr>
            <w:r>
              <w:rPr>
                <w:w w:val="100"/>
                <w:sz w:val="16"/>
              </w:rPr>
              <w:t>-</w:t>
            </w:r>
          </w:p>
        </w:tc>
        <w:tc>
          <w:tcPr>
            <w:tcW w:w="782" w:type="dxa"/>
          </w:tcPr>
          <w:p>
            <w:pPr>
              <w:pStyle w:val="TableParagraph"/>
              <w:spacing w:before="37"/>
              <w:ind w:left="16"/>
              <w:jc w:val="center"/>
              <w:rPr>
                <w:sz w:val="16"/>
              </w:rPr>
            </w:pPr>
            <w:r>
              <w:rPr>
                <w:w w:val="100"/>
                <w:sz w:val="16"/>
              </w:rPr>
              <w:t>-</w:t>
            </w:r>
          </w:p>
        </w:tc>
        <w:tc>
          <w:tcPr>
            <w:tcW w:w="604" w:type="dxa"/>
          </w:tcPr>
          <w:p>
            <w:pPr>
              <w:pStyle w:val="TableParagraph"/>
              <w:spacing w:before="37"/>
              <w:ind w:left="15"/>
              <w:jc w:val="center"/>
              <w:rPr>
                <w:sz w:val="16"/>
              </w:rPr>
            </w:pPr>
            <w:r>
              <w:rPr>
                <w:w w:val="100"/>
                <w:sz w:val="16"/>
              </w:rPr>
              <w:t>0</w:t>
            </w:r>
          </w:p>
        </w:tc>
        <w:tc>
          <w:tcPr>
            <w:tcW w:w="1173" w:type="dxa"/>
          </w:tcPr>
          <w:p>
            <w:pPr>
              <w:pStyle w:val="TableParagraph"/>
              <w:spacing w:before="37"/>
              <w:ind w:left="166" w:right="155"/>
              <w:jc w:val="center"/>
              <w:rPr>
                <w:sz w:val="16"/>
              </w:rPr>
            </w:pPr>
            <w:r>
              <w:rPr>
                <w:sz w:val="16"/>
              </w:rPr>
              <w:t>0.78 – 0.95</w:t>
            </w:r>
          </w:p>
        </w:tc>
        <w:tc>
          <w:tcPr>
            <w:tcW w:w="559" w:type="dxa"/>
          </w:tcPr>
          <w:p>
            <w:pPr>
              <w:pStyle w:val="TableParagraph"/>
              <w:spacing w:before="37"/>
              <w:ind w:left="14"/>
              <w:jc w:val="center"/>
              <w:rPr>
                <w:sz w:val="16"/>
              </w:rPr>
            </w:pPr>
            <w:r>
              <w:rPr>
                <w:w w:val="100"/>
                <w:sz w:val="16"/>
              </w:rPr>
              <w:t>1</w:t>
            </w:r>
          </w:p>
        </w:tc>
        <w:tc>
          <w:tcPr>
            <w:tcW w:w="1389" w:type="dxa"/>
          </w:tcPr>
          <w:p>
            <w:pPr>
              <w:pStyle w:val="TableParagraph"/>
              <w:spacing w:before="37"/>
              <w:ind w:left="111"/>
              <w:rPr>
                <w:sz w:val="16"/>
              </w:rPr>
            </w:pPr>
            <w:r>
              <w:rPr>
                <w:sz w:val="16"/>
              </w:rPr>
              <w:t>66</w:t>
            </w:r>
          </w:p>
        </w:tc>
      </w:tr>
      <w:tr>
        <w:trPr>
          <w:trHeight w:val="273" w:hRule="atLeast"/>
        </w:trPr>
        <w:tc>
          <w:tcPr>
            <w:tcW w:w="3719" w:type="dxa"/>
            <w:gridSpan w:val="2"/>
          </w:tcPr>
          <w:p>
            <w:pPr>
              <w:pStyle w:val="TableParagraph"/>
              <w:spacing w:before="40"/>
              <w:ind w:left="107"/>
              <w:rPr>
                <w:b/>
                <w:sz w:val="16"/>
              </w:rPr>
            </w:pPr>
            <w:r>
              <w:rPr>
                <w:b/>
                <w:sz w:val="16"/>
              </w:rPr>
              <w:t>All primary tropical forests</w:t>
            </w:r>
          </w:p>
        </w:tc>
        <w:tc>
          <w:tcPr>
            <w:tcW w:w="784" w:type="dxa"/>
          </w:tcPr>
          <w:p>
            <w:pPr>
              <w:pStyle w:val="TableParagraph"/>
              <w:spacing w:before="40"/>
              <w:ind w:left="251"/>
              <w:rPr>
                <w:b/>
                <w:sz w:val="16"/>
              </w:rPr>
            </w:pPr>
            <w:r>
              <w:rPr>
                <w:b/>
                <w:sz w:val="16"/>
              </w:rPr>
              <w:t>0.36</w:t>
            </w:r>
          </w:p>
        </w:tc>
        <w:tc>
          <w:tcPr>
            <w:tcW w:w="782" w:type="dxa"/>
          </w:tcPr>
          <w:p>
            <w:pPr>
              <w:pStyle w:val="TableParagraph"/>
              <w:spacing w:before="40"/>
              <w:ind w:left="192" w:right="178"/>
              <w:jc w:val="center"/>
              <w:rPr>
                <w:b/>
                <w:sz w:val="16"/>
              </w:rPr>
            </w:pPr>
            <w:r>
              <w:rPr>
                <w:b/>
                <w:sz w:val="16"/>
              </w:rPr>
              <w:t>0.13</w:t>
            </w:r>
          </w:p>
        </w:tc>
        <w:tc>
          <w:tcPr>
            <w:tcW w:w="604" w:type="dxa"/>
          </w:tcPr>
          <w:p>
            <w:pPr>
              <w:pStyle w:val="TableParagraph"/>
              <w:spacing w:before="40"/>
              <w:ind w:left="53" w:right="38"/>
              <w:jc w:val="center"/>
              <w:rPr>
                <w:b/>
                <w:sz w:val="16"/>
              </w:rPr>
            </w:pPr>
            <w:r>
              <w:rPr>
                <w:b/>
                <w:sz w:val="16"/>
              </w:rPr>
              <w:t>19</w:t>
            </w:r>
          </w:p>
        </w:tc>
        <w:tc>
          <w:tcPr>
            <w:tcW w:w="1173" w:type="dxa"/>
          </w:tcPr>
          <w:p>
            <w:pPr>
              <w:pStyle w:val="TableParagraph"/>
              <w:spacing w:before="40"/>
              <w:ind w:left="165" w:right="155"/>
              <w:jc w:val="center"/>
              <w:rPr>
                <w:b/>
                <w:sz w:val="16"/>
              </w:rPr>
            </w:pPr>
            <w:r>
              <w:rPr>
                <w:b/>
                <w:sz w:val="16"/>
              </w:rPr>
              <w:t>0.19 – 0.95</w:t>
            </w:r>
          </w:p>
        </w:tc>
        <w:tc>
          <w:tcPr>
            <w:tcW w:w="559" w:type="dxa"/>
          </w:tcPr>
          <w:p>
            <w:pPr>
              <w:pStyle w:val="TableParagraph"/>
              <w:spacing w:before="40"/>
              <w:ind w:left="41" w:right="27"/>
              <w:jc w:val="center"/>
              <w:rPr>
                <w:b/>
                <w:sz w:val="16"/>
              </w:rPr>
            </w:pPr>
            <w:r>
              <w:rPr>
                <w:b/>
                <w:sz w:val="16"/>
              </w:rPr>
              <w:t>23</w:t>
            </w:r>
          </w:p>
        </w:tc>
        <w:tc>
          <w:tcPr>
            <w:tcW w:w="1389" w:type="dxa"/>
          </w:tcPr>
          <w:p>
            <w:pPr>
              <w:pStyle w:val="TableParagraph"/>
              <w:rPr>
                <w:sz w:val="16"/>
              </w:rPr>
            </w:pPr>
          </w:p>
        </w:tc>
      </w:tr>
      <w:tr>
        <w:trPr>
          <w:trHeight w:val="443" w:hRule="atLeast"/>
        </w:trPr>
        <w:tc>
          <w:tcPr>
            <w:tcW w:w="1610" w:type="dxa"/>
            <w:vMerge w:val="restart"/>
          </w:tcPr>
          <w:p>
            <w:pPr>
              <w:pStyle w:val="TableParagraph"/>
              <w:rPr>
                <w:sz w:val="18"/>
              </w:rPr>
            </w:pPr>
          </w:p>
          <w:p>
            <w:pPr>
              <w:pStyle w:val="TableParagraph"/>
              <w:spacing w:before="8"/>
              <w:rPr>
                <w:sz w:val="15"/>
              </w:rPr>
            </w:pPr>
          </w:p>
          <w:p>
            <w:pPr>
              <w:pStyle w:val="TableParagraph"/>
              <w:ind w:left="107" w:right="269"/>
              <w:rPr>
                <w:sz w:val="16"/>
              </w:rPr>
            </w:pPr>
            <w:r>
              <w:rPr>
                <w:sz w:val="16"/>
              </w:rPr>
              <w:t>Secondary tropical forest (slash and burn)</w:t>
            </w:r>
          </w:p>
        </w:tc>
        <w:tc>
          <w:tcPr>
            <w:tcW w:w="2109" w:type="dxa"/>
          </w:tcPr>
          <w:p>
            <w:pPr>
              <w:pStyle w:val="TableParagraph"/>
              <w:spacing w:before="33"/>
              <w:ind w:left="108" w:right="318"/>
              <w:rPr>
                <w:sz w:val="16"/>
              </w:rPr>
            </w:pPr>
            <w:r>
              <w:rPr>
                <w:sz w:val="16"/>
              </w:rPr>
              <w:t>Young secondary tropical forest (3-5 yrs)</w:t>
            </w:r>
          </w:p>
        </w:tc>
        <w:tc>
          <w:tcPr>
            <w:tcW w:w="784" w:type="dxa"/>
          </w:tcPr>
          <w:p>
            <w:pPr>
              <w:pStyle w:val="TableParagraph"/>
              <w:spacing w:before="124"/>
              <w:ind w:left="250"/>
              <w:rPr>
                <w:sz w:val="16"/>
              </w:rPr>
            </w:pPr>
            <w:r>
              <w:rPr>
                <w:sz w:val="16"/>
              </w:rPr>
              <w:t>0.46</w:t>
            </w:r>
          </w:p>
        </w:tc>
        <w:tc>
          <w:tcPr>
            <w:tcW w:w="782" w:type="dxa"/>
          </w:tcPr>
          <w:p>
            <w:pPr>
              <w:pStyle w:val="TableParagraph"/>
              <w:spacing w:before="124"/>
              <w:ind w:left="14"/>
              <w:jc w:val="center"/>
              <w:rPr>
                <w:sz w:val="16"/>
              </w:rPr>
            </w:pPr>
            <w:r>
              <w:rPr>
                <w:w w:val="100"/>
                <w:sz w:val="16"/>
              </w:rPr>
              <w:t>-</w:t>
            </w:r>
          </w:p>
        </w:tc>
        <w:tc>
          <w:tcPr>
            <w:tcW w:w="604" w:type="dxa"/>
          </w:tcPr>
          <w:p>
            <w:pPr>
              <w:pStyle w:val="TableParagraph"/>
              <w:spacing w:before="124"/>
              <w:ind w:left="13"/>
              <w:jc w:val="center"/>
              <w:rPr>
                <w:sz w:val="16"/>
              </w:rPr>
            </w:pPr>
            <w:r>
              <w:rPr>
                <w:w w:val="100"/>
                <w:sz w:val="16"/>
              </w:rPr>
              <w:t>1</w:t>
            </w:r>
          </w:p>
        </w:tc>
        <w:tc>
          <w:tcPr>
            <w:tcW w:w="1173" w:type="dxa"/>
          </w:tcPr>
          <w:p>
            <w:pPr>
              <w:pStyle w:val="TableParagraph"/>
              <w:spacing w:before="124"/>
              <w:ind w:left="164" w:right="155"/>
              <w:jc w:val="center"/>
              <w:rPr>
                <w:sz w:val="16"/>
              </w:rPr>
            </w:pPr>
            <w:r>
              <w:rPr>
                <w:sz w:val="16"/>
              </w:rPr>
              <w:t>0.43 – 0.52</w:t>
            </w:r>
          </w:p>
        </w:tc>
        <w:tc>
          <w:tcPr>
            <w:tcW w:w="559" w:type="dxa"/>
          </w:tcPr>
          <w:p>
            <w:pPr>
              <w:pStyle w:val="TableParagraph"/>
              <w:spacing w:before="124"/>
              <w:ind w:left="12"/>
              <w:jc w:val="center"/>
              <w:rPr>
                <w:sz w:val="16"/>
              </w:rPr>
            </w:pPr>
            <w:r>
              <w:rPr>
                <w:w w:val="100"/>
                <w:sz w:val="16"/>
              </w:rPr>
              <w:t>1</w:t>
            </w:r>
          </w:p>
        </w:tc>
        <w:tc>
          <w:tcPr>
            <w:tcW w:w="1389" w:type="dxa"/>
          </w:tcPr>
          <w:p>
            <w:pPr>
              <w:pStyle w:val="TableParagraph"/>
              <w:spacing w:before="124"/>
              <w:ind w:left="111"/>
              <w:rPr>
                <w:sz w:val="16"/>
              </w:rPr>
            </w:pPr>
            <w:r>
              <w:rPr>
                <w:sz w:val="16"/>
              </w:rPr>
              <w:t>61</w:t>
            </w:r>
          </w:p>
        </w:tc>
      </w:tr>
      <w:tr>
        <w:trPr>
          <w:trHeight w:val="446" w:hRule="atLeast"/>
        </w:trPr>
        <w:tc>
          <w:tcPr>
            <w:tcW w:w="1610" w:type="dxa"/>
            <w:vMerge/>
            <w:tcBorders>
              <w:top w:val="nil"/>
            </w:tcBorders>
          </w:tcPr>
          <w:p>
            <w:pPr>
              <w:rPr>
                <w:sz w:val="2"/>
                <w:szCs w:val="2"/>
              </w:rPr>
            </w:pPr>
          </w:p>
        </w:tc>
        <w:tc>
          <w:tcPr>
            <w:tcW w:w="2109" w:type="dxa"/>
          </w:tcPr>
          <w:p>
            <w:pPr>
              <w:pStyle w:val="TableParagraph"/>
              <w:spacing w:before="33"/>
              <w:ind w:left="108" w:right="402"/>
              <w:rPr>
                <w:sz w:val="16"/>
              </w:rPr>
            </w:pPr>
            <w:r>
              <w:rPr>
                <w:sz w:val="16"/>
              </w:rPr>
              <w:t>Intermediate secondary tropical forest (6-10 yrs)</w:t>
            </w:r>
          </w:p>
        </w:tc>
        <w:tc>
          <w:tcPr>
            <w:tcW w:w="784" w:type="dxa"/>
          </w:tcPr>
          <w:p>
            <w:pPr>
              <w:pStyle w:val="TableParagraph"/>
              <w:spacing w:before="124"/>
              <w:ind w:left="250"/>
              <w:rPr>
                <w:sz w:val="16"/>
              </w:rPr>
            </w:pPr>
            <w:r>
              <w:rPr>
                <w:sz w:val="16"/>
              </w:rPr>
              <w:t>0.67</w:t>
            </w:r>
          </w:p>
        </w:tc>
        <w:tc>
          <w:tcPr>
            <w:tcW w:w="782" w:type="dxa"/>
          </w:tcPr>
          <w:p>
            <w:pPr>
              <w:pStyle w:val="TableParagraph"/>
              <w:spacing w:before="124"/>
              <w:ind w:left="191" w:right="178"/>
              <w:jc w:val="center"/>
              <w:rPr>
                <w:sz w:val="16"/>
              </w:rPr>
            </w:pPr>
            <w:r>
              <w:rPr>
                <w:sz w:val="16"/>
              </w:rPr>
              <w:t>0.21</w:t>
            </w:r>
          </w:p>
        </w:tc>
        <w:tc>
          <w:tcPr>
            <w:tcW w:w="604" w:type="dxa"/>
          </w:tcPr>
          <w:p>
            <w:pPr>
              <w:pStyle w:val="TableParagraph"/>
              <w:spacing w:before="124"/>
              <w:ind w:left="12"/>
              <w:jc w:val="center"/>
              <w:rPr>
                <w:sz w:val="16"/>
              </w:rPr>
            </w:pPr>
            <w:r>
              <w:rPr>
                <w:w w:val="100"/>
                <w:sz w:val="16"/>
              </w:rPr>
              <w:t>2</w:t>
            </w:r>
          </w:p>
        </w:tc>
        <w:tc>
          <w:tcPr>
            <w:tcW w:w="1173" w:type="dxa"/>
          </w:tcPr>
          <w:p>
            <w:pPr>
              <w:pStyle w:val="TableParagraph"/>
              <w:spacing w:before="124"/>
              <w:ind w:left="164" w:right="155"/>
              <w:jc w:val="center"/>
              <w:rPr>
                <w:sz w:val="16"/>
              </w:rPr>
            </w:pPr>
            <w:r>
              <w:rPr>
                <w:sz w:val="16"/>
              </w:rPr>
              <w:t>0.46 – 0.90</w:t>
            </w:r>
          </w:p>
        </w:tc>
        <w:tc>
          <w:tcPr>
            <w:tcW w:w="559" w:type="dxa"/>
          </w:tcPr>
          <w:p>
            <w:pPr>
              <w:pStyle w:val="TableParagraph"/>
              <w:spacing w:before="124"/>
              <w:ind w:left="12"/>
              <w:jc w:val="center"/>
              <w:rPr>
                <w:sz w:val="16"/>
              </w:rPr>
            </w:pPr>
            <w:r>
              <w:rPr>
                <w:w w:val="100"/>
                <w:sz w:val="16"/>
              </w:rPr>
              <w:t>2</w:t>
            </w:r>
          </w:p>
        </w:tc>
        <w:tc>
          <w:tcPr>
            <w:tcW w:w="1389" w:type="dxa"/>
          </w:tcPr>
          <w:p>
            <w:pPr>
              <w:pStyle w:val="TableParagraph"/>
              <w:spacing w:before="124"/>
              <w:ind w:left="110"/>
              <w:rPr>
                <w:sz w:val="16"/>
              </w:rPr>
            </w:pPr>
            <w:r>
              <w:rPr>
                <w:sz w:val="16"/>
              </w:rPr>
              <w:t>61, 35</w:t>
            </w:r>
          </w:p>
        </w:tc>
      </w:tr>
      <w:tr>
        <w:trPr>
          <w:trHeight w:val="443" w:hRule="atLeast"/>
        </w:trPr>
        <w:tc>
          <w:tcPr>
            <w:tcW w:w="1610" w:type="dxa"/>
            <w:vMerge/>
            <w:tcBorders>
              <w:top w:val="nil"/>
            </w:tcBorders>
          </w:tcPr>
          <w:p>
            <w:pPr>
              <w:rPr>
                <w:sz w:val="2"/>
                <w:szCs w:val="2"/>
              </w:rPr>
            </w:pPr>
          </w:p>
        </w:tc>
        <w:tc>
          <w:tcPr>
            <w:tcW w:w="2109" w:type="dxa"/>
          </w:tcPr>
          <w:p>
            <w:pPr>
              <w:pStyle w:val="TableParagraph"/>
              <w:spacing w:before="33"/>
              <w:ind w:left="108" w:right="105"/>
              <w:rPr>
                <w:sz w:val="16"/>
              </w:rPr>
            </w:pPr>
            <w:r>
              <w:rPr>
                <w:sz w:val="16"/>
              </w:rPr>
              <w:t>Advanced secondary tropical forest (14-17 yrs)</w:t>
            </w:r>
          </w:p>
        </w:tc>
        <w:tc>
          <w:tcPr>
            <w:tcW w:w="784" w:type="dxa"/>
          </w:tcPr>
          <w:p>
            <w:pPr>
              <w:pStyle w:val="TableParagraph"/>
              <w:spacing w:before="124"/>
              <w:ind w:left="250"/>
              <w:rPr>
                <w:sz w:val="16"/>
              </w:rPr>
            </w:pPr>
            <w:r>
              <w:rPr>
                <w:sz w:val="16"/>
              </w:rPr>
              <w:t>0.50</w:t>
            </w:r>
          </w:p>
        </w:tc>
        <w:tc>
          <w:tcPr>
            <w:tcW w:w="782" w:type="dxa"/>
          </w:tcPr>
          <w:p>
            <w:pPr>
              <w:pStyle w:val="TableParagraph"/>
              <w:spacing w:before="124"/>
              <w:ind w:left="191" w:right="178"/>
              <w:jc w:val="center"/>
              <w:rPr>
                <w:sz w:val="16"/>
              </w:rPr>
            </w:pPr>
            <w:r>
              <w:rPr>
                <w:sz w:val="16"/>
              </w:rPr>
              <w:t>0.10</w:t>
            </w:r>
          </w:p>
        </w:tc>
        <w:tc>
          <w:tcPr>
            <w:tcW w:w="604" w:type="dxa"/>
          </w:tcPr>
          <w:p>
            <w:pPr>
              <w:pStyle w:val="TableParagraph"/>
              <w:spacing w:before="124"/>
              <w:ind w:left="12"/>
              <w:jc w:val="center"/>
              <w:rPr>
                <w:sz w:val="16"/>
              </w:rPr>
            </w:pPr>
            <w:r>
              <w:rPr>
                <w:w w:val="100"/>
                <w:sz w:val="16"/>
              </w:rPr>
              <w:t>2</w:t>
            </w:r>
          </w:p>
        </w:tc>
        <w:tc>
          <w:tcPr>
            <w:tcW w:w="1173" w:type="dxa"/>
          </w:tcPr>
          <w:p>
            <w:pPr>
              <w:pStyle w:val="TableParagraph"/>
              <w:spacing w:before="124"/>
              <w:ind w:left="164" w:right="155"/>
              <w:jc w:val="center"/>
              <w:rPr>
                <w:sz w:val="16"/>
              </w:rPr>
            </w:pPr>
            <w:r>
              <w:rPr>
                <w:sz w:val="16"/>
              </w:rPr>
              <w:t>0.36 – 0.79</w:t>
            </w:r>
          </w:p>
        </w:tc>
        <w:tc>
          <w:tcPr>
            <w:tcW w:w="559" w:type="dxa"/>
          </w:tcPr>
          <w:p>
            <w:pPr>
              <w:pStyle w:val="TableParagraph"/>
              <w:spacing w:before="124"/>
              <w:ind w:left="12"/>
              <w:jc w:val="center"/>
              <w:rPr>
                <w:sz w:val="16"/>
              </w:rPr>
            </w:pPr>
            <w:r>
              <w:rPr>
                <w:w w:val="100"/>
                <w:sz w:val="16"/>
              </w:rPr>
              <w:t>2</w:t>
            </w:r>
          </w:p>
        </w:tc>
        <w:tc>
          <w:tcPr>
            <w:tcW w:w="1389" w:type="dxa"/>
          </w:tcPr>
          <w:p>
            <w:pPr>
              <w:pStyle w:val="TableParagraph"/>
              <w:spacing w:before="124"/>
              <w:ind w:left="110"/>
              <w:rPr>
                <w:sz w:val="16"/>
              </w:rPr>
            </w:pPr>
            <w:r>
              <w:rPr>
                <w:sz w:val="16"/>
              </w:rPr>
              <w:t>61, 73</w:t>
            </w:r>
          </w:p>
        </w:tc>
      </w:tr>
      <w:tr>
        <w:trPr>
          <w:trHeight w:val="282" w:hRule="atLeast"/>
        </w:trPr>
        <w:tc>
          <w:tcPr>
            <w:tcW w:w="3719" w:type="dxa"/>
            <w:gridSpan w:val="2"/>
          </w:tcPr>
          <w:p>
            <w:pPr>
              <w:pStyle w:val="TableParagraph"/>
              <w:spacing w:before="45"/>
              <w:ind w:left="107"/>
              <w:rPr>
                <w:b/>
                <w:sz w:val="16"/>
              </w:rPr>
            </w:pPr>
            <w:r>
              <w:rPr>
                <w:b/>
                <w:sz w:val="16"/>
              </w:rPr>
              <w:t>All secondary tropical forests</w:t>
            </w:r>
          </w:p>
        </w:tc>
        <w:tc>
          <w:tcPr>
            <w:tcW w:w="784" w:type="dxa"/>
          </w:tcPr>
          <w:p>
            <w:pPr>
              <w:pStyle w:val="TableParagraph"/>
              <w:spacing w:before="45"/>
              <w:ind w:left="251"/>
              <w:rPr>
                <w:b/>
                <w:sz w:val="16"/>
              </w:rPr>
            </w:pPr>
            <w:r>
              <w:rPr>
                <w:b/>
                <w:sz w:val="16"/>
              </w:rPr>
              <w:t>0.55</w:t>
            </w:r>
          </w:p>
        </w:tc>
        <w:tc>
          <w:tcPr>
            <w:tcW w:w="782" w:type="dxa"/>
          </w:tcPr>
          <w:p>
            <w:pPr>
              <w:pStyle w:val="TableParagraph"/>
              <w:spacing w:before="45"/>
              <w:ind w:left="192" w:right="178"/>
              <w:jc w:val="center"/>
              <w:rPr>
                <w:b/>
                <w:sz w:val="16"/>
              </w:rPr>
            </w:pPr>
            <w:r>
              <w:rPr>
                <w:b/>
                <w:sz w:val="16"/>
              </w:rPr>
              <w:t>0.06</w:t>
            </w:r>
          </w:p>
        </w:tc>
        <w:tc>
          <w:tcPr>
            <w:tcW w:w="604" w:type="dxa"/>
          </w:tcPr>
          <w:p>
            <w:pPr>
              <w:pStyle w:val="TableParagraph"/>
              <w:spacing w:before="45"/>
              <w:ind w:left="14"/>
              <w:jc w:val="center"/>
              <w:rPr>
                <w:b/>
                <w:sz w:val="16"/>
              </w:rPr>
            </w:pPr>
            <w:r>
              <w:rPr>
                <w:b/>
                <w:w w:val="100"/>
                <w:sz w:val="16"/>
              </w:rPr>
              <w:t>8</w:t>
            </w:r>
          </w:p>
        </w:tc>
        <w:tc>
          <w:tcPr>
            <w:tcW w:w="1173" w:type="dxa"/>
          </w:tcPr>
          <w:p>
            <w:pPr>
              <w:pStyle w:val="TableParagraph"/>
              <w:spacing w:before="45"/>
              <w:ind w:left="165" w:right="155"/>
              <w:jc w:val="center"/>
              <w:rPr>
                <w:b/>
                <w:sz w:val="16"/>
              </w:rPr>
            </w:pPr>
            <w:r>
              <w:rPr>
                <w:b/>
                <w:sz w:val="16"/>
              </w:rPr>
              <w:t>0.36 – 0.90</w:t>
            </w:r>
          </w:p>
        </w:tc>
        <w:tc>
          <w:tcPr>
            <w:tcW w:w="559" w:type="dxa"/>
          </w:tcPr>
          <w:p>
            <w:pPr>
              <w:pStyle w:val="TableParagraph"/>
              <w:spacing w:before="45"/>
              <w:ind w:left="13"/>
              <w:jc w:val="center"/>
              <w:rPr>
                <w:b/>
                <w:sz w:val="16"/>
              </w:rPr>
            </w:pPr>
            <w:r>
              <w:rPr>
                <w:b/>
                <w:w w:val="100"/>
                <w:sz w:val="16"/>
              </w:rPr>
              <w:t>9</w:t>
            </w:r>
          </w:p>
        </w:tc>
        <w:tc>
          <w:tcPr>
            <w:tcW w:w="1389" w:type="dxa"/>
          </w:tcPr>
          <w:p>
            <w:pPr>
              <w:pStyle w:val="TableParagraph"/>
              <w:spacing w:before="42"/>
              <w:ind w:left="111"/>
              <w:rPr>
                <w:sz w:val="16"/>
              </w:rPr>
            </w:pPr>
            <w:r>
              <w:rPr>
                <w:sz w:val="16"/>
              </w:rPr>
              <w:t>56, 66, 34, 30</w:t>
            </w:r>
          </w:p>
        </w:tc>
      </w:tr>
      <w:tr>
        <w:trPr>
          <w:trHeight w:val="285" w:hRule="atLeast"/>
        </w:trPr>
        <w:tc>
          <w:tcPr>
            <w:tcW w:w="3719" w:type="dxa"/>
            <w:gridSpan w:val="2"/>
          </w:tcPr>
          <w:p>
            <w:pPr>
              <w:pStyle w:val="TableParagraph"/>
              <w:spacing w:before="45"/>
              <w:ind w:left="107"/>
              <w:rPr>
                <w:b/>
                <w:sz w:val="16"/>
              </w:rPr>
            </w:pPr>
            <w:r>
              <w:rPr>
                <w:b/>
                <w:sz w:val="16"/>
              </w:rPr>
              <w:t>All Tertiary tropical forest</w:t>
            </w:r>
          </w:p>
        </w:tc>
        <w:tc>
          <w:tcPr>
            <w:tcW w:w="784" w:type="dxa"/>
          </w:tcPr>
          <w:p>
            <w:pPr>
              <w:pStyle w:val="TableParagraph"/>
              <w:spacing w:before="45"/>
              <w:ind w:left="252"/>
              <w:rPr>
                <w:b/>
                <w:sz w:val="16"/>
              </w:rPr>
            </w:pPr>
            <w:r>
              <w:rPr>
                <w:b/>
                <w:sz w:val="16"/>
              </w:rPr>
              <w:t>0.59</w:t>
            </w:r>
          </w:p>
        </w:tc>
        <w:tc>
          <w:tcPr>
            <w:tcW w:w="782" w:type="dxa"/>
          </w:tcPr>
          <w:p>
            <w:pPr>
              <w:pStyle w:val="TableParagraph"/>
              <w:spacing w:before="45"/>
              <w:ind w:left="16"/>
              <w:jc w:val="center"/>
              <w:rPr>
                <w:b/>
                <w:sz w:val="16"/>
              </w:rPr>
            </w:pPr>
            <w:r>
              <w:rPr>
                <w:b/>
                <w:w w:val="100"/>
                <w:sz w:val="16"/>
              </w:rPr>
              <w:t>-</w:t>
            </w:r>
          </w:p>
        </w:tc>
        <w:tc>
          <w:tcPr>
            <w:tcW w:w="604" w:type="dxa"/>
          </w:tcPr>
          <w:p>
            <w:pPr>
              <w:pStyle w:val="TableParagraph"/>
              <w:spacing w:before="45"/>
              <w:ind w:left="15"/>
              <w:jc w:val="center"/>
              <w:rPr>
                <w:b/>
                <w:sz w:val="16"/>
              </w:rPr>
            </w:pPr>
            <w:r>
              <w:rPr>
                <w:b/>
                <w:w w:val="100"/>
                <w:sz w:val="16"/>
              </w:rPr>
              <w:t>1</w:t>
            </w:r>
          </w:p>
        </w:tc>
        <w:tc>
          <w:tcPr>
            <w:tcW w:w="1173" w:type="dxa"/>
          </w:tcPr>
          <w:p>
            <w:pPr>
              <w:pStyle w:val="TableParagraph"/>
              <w:spacing w:before="45"/>
              <w:ind w:left="166" w:right="155"/>
              <w:jc w:val="center"/>
              <w:rPr>
                <w:b/>
                <w:sz w:val="16"/>
              </w:rPr>
            </w:pPr>
            <w:r>
              <w:rPr>
                <w:b/>
                <w:sz w:val="16"/>
              </w:rPr>
              <w:t>0.47 – 0.88</w:t>
            </w:r>
          </w:p>
        </w:tc>
        <w:tc>
          <w:tcPr>
            <w:tcW w:w="559" w:type="dxa"/>
          </w:tcPr>
          <w:p>
            <w:pPr>
              <w:pStyle w:val="TableParagraph"/>
              <w:spacing w:before="45"/>
              <w:ind w:left="14"/>
              <w:jc w:val="center"/>
              <w:rPr>
                <w:b/>
                <w:sz w:val="16"/>
              </w:rPr>
            </w:pPr>
            <w:r>
              <w:rPr>
                <w:b/>
                <w:w w:val="100"/>
                <w:sz w:val="16"/>
              </w:rPr>
              <w:t>2</w:t>
            </w:r>
          </w:p>
        </w:tc>
        <w:tc>
          <w:tcPr>
            <w:tcW w:w="1389" w:type="dxa"/>
          </w:tcPr>
          <w:p>
            <w:pPr>
              <w:pStyle w:val="TableParagraph"/>
              <w:spacing w:before="42"/>
              <w:ind w:left="111"/>
              <w:rPr>
                <w:sz w:val="16"/>
              </w:rPr>
            </w:pPr>
            <w:r>
              <w:rPr>
                <w:sz w:val="16"/>
              </w:rPr>
              <w:t>66, 30</w:t>
            </w:r>
          </w:p>
        </w:tc>
      </w:tr>
      <w:tr>
        <w:trPr>
          <w:trHeight w:val="282" w:hRule="atLeast"/>
        </w:trPr>
        <w:tc>
          <w:tcPr>
            <w:tcW w:w="1610" w:type="dxa"/>
            <w:vMerge w:val="restart"/>
          </w:tcPr>
          <w:p>
            <w:pPr>
              <w:pStyle w:val="TableParagraph"/>
              <w:rPr>
                <w:sz w:val="18"/>
              </w:rPr>
            </w:pPr>
          </w:p>
          <w:p>
            <w:pPr>
              <w:pStyle w:val="TableParagraph"/>
              <w:rPr>
                <w:sz w:val="18"/>
              </w:rPr>
            </w:pPr>
          </w:p>
          <w:p>
            <w:pPr>
              <w:pStyle w:val="TableParagraph"/>
              <w:spacing w:before="4"/>
              <w:rPr>
                <w:sz w:val="18"/>
              </w:rPr>
            </w:pPr>
          </w:p>
          <w:p>
            <w:pPr>
              <w:pStyle w:val="TableParagraph"/>
              <w:ind w:left="107"/>
              <w:rPr>
                <w:sz w:val="16"/>
              </w:rPr>
            </w:pPr>
            <w:r>
              <w:rPr>
                <w:sz w:val="16"/>
              </w:rPr>
              <w:t>Boreal Forest</w:t>
            </w:r>
          </w:p>
        </w:tc>
        <w:tc>
          <w:tcPr>
            <w:tcW w:w="2109" w:type="dxa"/>
          </w:tcPr>
          <w:p>
            <w:pPr>
              <w:pStyle w:val="TableParagraph"/>
              <w:spacing w:before="42"/>
              <w:ind w:left="108"/>
              <w:rPr>
                <w:sz w:val="16"/>
              </w:rPr>
            </w:pPr>
            <w:r>
              <w:rPr>
                <w:sz w:val="16"/>
              </w:rPr>
              <w:t>Wildfire (general)</w:t>
            </w:r>
          </w:p>
        </w:tc>
        <w:tc>
          <w:tcPr>
            <w:tcW w:w="784" w:type="dxa"/>
          </w:tcPr>
          <w:p>
            <w:pPr>
              <w:pStyle w:val="TableParagraph"/>
              <w:spacing w:before="42"/>
              <w:ind w:left="251"/>
              <w:rPr>
                <w:sz w:val="16"/>
              </w:rPr>
            </w:pPr>
            <w:r>
              <w:rPr>
                <w:sz w:val="16"/>
              </w:rPr>
              <w:t>0.40</w:t>
            </w:r>
          </w:p>
        </w:tc>
        <w:tc>
          <w:tcPr>
            <w:tcW w:w="782" w:type="dxa"/>
          </w:tcPr>
          <w:p>
            <w:pPr>
              <w:pStyle w:val="TableParagraph"/>
              <w:spacing w:before="42"/>
              <w:ind w:left="192" w:right="178"/>
              <w:jc w:val="center"/>
              <w:rPr>
                <w:sz w:val="16"/>
              </w:rPr>
            </w:pPr>
            <w:r>
              <w:rPr>
                <w:sz w:val="16"/>
              </w:rPr>
              <w:t>0.06</w:t>
            </w:r>
          </w:p>
        </w:tc>
        <w:tc>
          <w:tcPr>
            <w:tcW w:w="604" w:type="dxa"/>
          </w:tcPr>
          <w:p>
            <w:pPr>
              <w:pStyle w:val="TableParagraph"/>
              <w:spacing w:before="42"/>
              <w:ind w:left="13"/>
              <w:jc w:val="center"/>
              <w:rPr>
                <w:sz w:val="16"/>
              </w:rPr>
            </w:pPr>
            <w:r>
              <w:rPr>
                <w:w w:val="100"/>
                <w:sz w:val="16"/>
              </w:rPr>
              <w:t>2</w:t>
            </w:r>
          </w:p>
        </w:tc>
        <w:tc>
          <w:tcPr>
            <w:tcW w:w="1173" w:type="dxa"/>
          </w:tcPr>
          <w:p>
            <w:pPr>
              <w:pStyle w:val="TableParagraph"/>
              <w:spacing w:before="42"/>
              <w:ind w:left="165" w:right="155"/>
              <w:jc w:val="center"/>
              <w:rPr>
                <w:sz w:val="16"/>
              </w:rPr>
            </w:pPr>
            <w:r>
              <w:rPr>
                <w:sz w:val="16"/>
              </w:rPr>
              <w:t>0.36 – 0.45</w:t>
            </w:r>
          </w:p>
        </w:tc>
        <w:tc>
          <w:tcPr>
            <w:tcW w:w="559" w:type="dxa"/>
          </w:tcPr>
          <w:p>
            <w:pPr>
              <w:pStyle w:val="TableParagraph"/>
              <w:spacing w:before="42"/>
              <w:ind w:left="13"/>
              <w:jc w:val="center"/>
              <w:rPr>
                <w:sz w:val="16"/>
              </w:rPr>
            </w:pPr>
            <w:r>
              <w:rPr>
                <w:w w:val="100"/>
                <w:sz w:val="16"/>
              </w:rPr>
              <w:t>2</w:t>
            </w:r>
          </w:p>
        </w:tc>
        <w:tc>
          <w:tcPr>
            <w:tcW w:w="1389" w:type="dxa"/>
          </w:tcPr>
          <w:p>
            <w:pPr>
              <w:pStyle w:val="TableParagraph"/>
              <w:spacing w:before="42"/>
              <w:ind w:left="111"/>
              <w:rPr>
                <w:sz w:val="16"/>
              </w:rPr>
            </w:pPr>
            <w:r>
              <w:rPr>
                <w:sz w:val="16"/>
              </w:rPr>
              <w:t>33</w:t>
            </w:r>
          </w:p>
        </w:tc>
      </w:tr>
      <w:tr>
        <w:trPr>
          <w:trHeight w:val="285" w:hRule="atLeast"/>
        </w:trPr>
        <w:tc>
          <w:tcPr>
            <w:tcW w:w="1610" w:type="dxa"/>
            <w:vMerge/>
            <w:tcBorders>
              <w:top w:val="nil"/>
            </w:tcBorders>
          </w:tcPr>
          <w:p>
            <w:pPr>
              <w:rPr>
                <w:sz w:val="2"/>
                <w:szCs w:val="2"/>
              </w:rPr>
            </w:pPr>
          </w:p>
        </w:tc>
        <w:tc>
          <w:tcPr>
            <w:tcW w:w="2109" w:type="dxa"/>
          </w:tcPr>
          <w:p>
            <w:pPr>
              <w:pStyle w:val="TableParagraph"/>
              <w:spacing w:before="42"/>
              <w:ind w:left="108"/>
              <w:rPr>
                <w:sz w:val="16"/>
              </w:rPr>
            </w:pPr>
            <w:r>
              <w:rPr>
                <w:sz w:val="16"/>
              </w:rPr>
              <w:t>Crown fire</w:t>
            </w:r>
          </w:p>
        </w:tc>
        <w:tc>
          <w:tcPr>
            <w:tcW w:w="784" w:type="dxa"/>
          </w:tcPr>
          <w:p>
            <w:pPr>
              <w:pStyle w:val="TableParagraph"/>
              <w:spacing w:before="42"/>
              <w:ind w:left="250"/>
              <w:rPr>
                <w:sz w:val="16"/>
              </w:rPr>
            </w:pPr>
            <w:r>
              <w:rPr>
                <w:sz w:val="16"/>
              </w:rPr>
              <w:t>0.43</w:t>
            </w:r>
          </w:p>
        </w:tc>
        <w:tc>
          <w:tcPr>
            <w:tcW w:w="782" w:type="dxa"/>
          </w:tcPr>
          <w:p>
            <w:pPr>
              <w:pStyle w:val="TableParagraph"/>
              <w:spacing w:before="42"/>
              <w:ind w:left="190" w:right="178"/>
              <w:jc w:val="center"/>
              <w:rPr>
                <w:sz w:val="16"/>
              </w:rPr>
            </w:pPr>
            <w:r>
              <w:rPr>
                <w:sz w:val="16"/>
              </w:rPr>
              <w:t>0..21</w:t>
            </w:r>
          </w:p>
        </w:tc>
        <w:tc>
          <w:tcPr>
            <w:tcW w:w="604" w:type="dxa"/>
          </w:tcPr>
          <w:p>
            <w:pPr>
              <w:pStyle w:val="TableParagraph"/>
              <w:spacing w:before="42"/>
              <w:ind w:left="13"/>
              <w:jc w:val="center"/>
              <w:rPr>
                <w:sz w:val="16"/>
              </w:rPr>
            </w:pPr>
            <w:r>
              <w:rPr>
                <w:w w:val="100"/>
                <w:sz w:val="16"/>
              </w:rPr>
              <w:t>3</w:t>
            </w:r>
          </w:p>
        </w:tc>
        <w:tc>
          <w:tcPr>
            <w:tcW w:w="1173" w:type="dxa"/>
          </w:tcPr>
          <w:p>
            <w:pPr>
              <w:pStyle w:val="TableParagraph"/>
              <w:spacing w:before="42"/>
              <w:ind w:left="164" w:right="155"/>
              <w:jc w:val="center"/>
              <w:rPr>
                <w:sz w:val="16"/>
              </w:rPr>
            </w:pPr>
            <w:r>
              <w:rPr>
                <w:sz w:val="16"/>
              </w:rPr>
              <w:t>0.18 – 0.76</w:t>
            </w:r>
          </w:p>
        </w:tc>
        <w:tc>
          <w:tcPr>
            <w:tcW w:w="559" w:type="dxa"/>
          </w:tcPr>
          <w:p>
            <w:pPr>
              <w:pStyle w:val="TableParagraph"/>
              <w:spacing w:before="42"/>
              <w:ind w:left="11"/>
              <w:jc w:val="center"/>
              <w:rPr>
                <w:sz w:val="16"/>
              </w:rPr>
            </w:pPr>
            <w:r>
              <w:rPr>
                <w:w w:val="100"/>
                <w:sz w:val="16"/>
              </w:rPr>
              <w:t>6</w:t>
            </w:r>
          </w:p>
        </w:tc>
        <w:tc>
          <w:tcPr>
            <w:tcW w:w="1389" w:type="dxa"/>
          </w:tcPr>
          <w:p>
            <w:pPr>
              <w:pStyle w:val="TableParagraph"/>
              <w:spacing w:before="42"/>
              <w:ind w:left="110"/>
              <w:rPr>
                <w:sz w:val="16"/>
              </w:rPr>
            </w:pPr>
            <w:r>
              <w:rPr>
                <w:sz w:val="16"/>
              </w:rPr>
              <w:t>66, 41, 64, 63</w:t>
            </w:r>
          </w:p>
        </w:tc>
      </w:tr>
      <w:tr>
        <w:trPr>
          <w:trHeight w:val="282" w:hRule="atLeast"/>
        </w:trPr>
        <w:tc>
          <w:tcPr>
            <w:tcW w:w="1610" w:type="dxa"/>
            <w:vMerge/>
            <w:tcBorders>
              <w:top w:val="nil"/>
            </w:tcBorders>
          </w:tcPr>
          <w:p>
            <w:pPr>
              <w:rPr>
                <w:sz w:val="2"/>
                <w:szCs w:val="2"/>
              </w:rPr>
            </w:pPr>
          </w:p>
        </w:tc>
        <w:tc>
          <w:tcPr>
            <w:tcW w:w="2109" w:type="dxa"/>
          </w:tcPr>
          <w:p>
            <w:pPr>
              <w:pStyle w:val="TableParagraph"/>
              <w:spacing w:before="42"/>
              <w:ind w:left="108"/>
              <w:rPr>
                <w:sz w:val="16"/>
              </w:rPr>
            </w:pPr>
            <w:r>
              <w:rPr>
                <w:sz w:val="16"/>
              </w:rPr>
              <w:t>surface fire</w:t>
            </w:r>
          </w:p>
        </w:tc>
        <w:tc>
          <w:tcPr>
            <w:tcW w:w="784" w:type="dxa"/>
          </w:tcPr>
          <w:p>
            <w:pPr>
              <w:pStyle w:val="TableParagraph"/>
              <w:spacing w:before="42"/>
              <w:ind w:left="251"/>
              <w:rPr>
                <w:sz w:val="16"/>
              </w:rPr>
            </w:pPr>
            <w:r>
              <w:rPr>
                <w:sz w:val="16"/>
              </w:rPr>
              <w:t>0.15</w:t>
            </w:r>
          </w:p>
        </w:tc>
        <w:tc>
          <w:tcPr>
            <w:tcW w:w="782" w:type="dxa"/>
          </w:tcPr>
          <w:p>
            <w:pPr>
              <w:pStyle w:val="TableParagraph"/>
              <w:spacing w:before="42"/>
              <w:ind w:left="191" w:right="178"/>
              <w:jc w:val="center"/>
              <w:rPr>
                <w:sz w:val="16"/>
              </w:rPr>
            </w:pPr>
            <w:r>
              <w:rPr>
                <w:sz w:val="16"/>
              </w:rPr>
              <w:t>0.08</w:t>
            </w:r>
          </w:p>
        </w:tc>
        <w:tc>
          <w:tcPr>
            <w:tcW w:w="604" w:type="dxa"/>
          </w:tcPr>
          <w:p>
            <w:pPr>
              <w:pStyle w:val="TableParagraph"/>
              <w:spacing w:before="42"/>
              <w:ind w:left="13"/>
              <w:jc w:val="center"/>
              <w:rPr>
                <w:sz w:val="16"/>
              </w:rPr>
            </w:pPr>
            <w:r>
              <w:rPr>
                <w:w w:val="100"/>
                <w:sz w:val="16"/>
              </w:rPr>
              <w:t>3</w:t>
            </w:r>
          </w:p>
        </w:tc>
        <w:tc>
          <w:tcPr>
            <w:tcW w:w="1173" w:type="dxa"/>
          </w:tcPr>
          <w:p>
            <w:pPr>
              <w:pStyle w:val="TableParagraph"/>
              <w:spacing w:before="42"/>
              <w:ind w:left="163" w:right="155"/>
              <w:jc w:val="center"/>
              <w:rPr>
                <w:sz w:val="16"/>
              </w:rPr>
            </w:pPr>
            <w:r>
              <w:rPr>
                <w:sz w:val="16"/>
              </w:rPr>
              <w:t>0.05 – 0.73</w:t>
            </w:r>
          </w:p>
        </w:tc>
        <w:tc>
          <w:tcPr>
            <w:tcW w:w="559" w:type="dxa"/>
          </w:tcPr>
          <w:p>
            <w:pPr>
              <w:pStyle w:val="TableParagraph"/>
              <w:spacing w:before="42"/>
              <w:ind w:left="11"/>
              <w:jc w:val="center"/>
              <w:rPr>
                <w:sz w:val="16"/>
              </w:rPr>
            </w:pPr>
            <w:r>
              <w:rPr>
                <w:w w:val="100"/>
                <w:sz w:val="16"/>
              </w:rPr>
              <w:t>3</w:t>
            </w:r>
          </w:p>
        </w:tc>
        <w:tc>
          <w:tcPr>
            <w:tcW w:w="1389" w:type="dxa"/>
          </w:tcPr>
          <w:p>
            <w:pPr>
              <w:pStyle w:val="TableParagraph"/>
              <w:spacing w:before="42"/>
              <w:ind w:left="110"/>
              <w:rPr>
                <w:sz w:val="16"/>
              </w:rPr>
            </w:pPr>
            <w:r>
              <w:rPr>
                <w:sz w:val="16"/>
              </w:rPr>
              <w:t>64, 63</w:t>
            </w:r>
          </w:p>
        </w:tc>
      </w:tr>
      <w:tr>
        <w:trPr>
          <w:trHeight w:val="285" w:hRule="atLeast"/>
        </w:trPr>
        <w:tc>
          <w:tcPr>
            <w:tcW w:w="1610" w:type="dxa"/>
            <w:vMerge/>
            <w:tcBorders>
              <w:top w:val="nil"/>
            </w:tcBorders>
          </w:tcPr>
          <w:p>
            <w:pPr>
              <w:rPr>
                <w:sz w:val="2"/>
                <w:szCs w:val="2"/>
              </w:rPr>
            </w:pPr>
          </w:p>
        </w:tc>
        <w:tc>
          <w:tcPr>
            <w:tcW w:w="2109" w:type="dxa"/>
          </w:tcPr>
          <w:p>
            <w:pPr>
              <w:pStyle w:val="TableParagraph"/>
              <w:spacing w:before="42"/>
              <w:ind w:left="108"/>
              <w:rPr>
                <w:sz w:val="16"/>
              </w:rPr>
            </w:pPr>
            <w:r>
              <w:rPr>
                <w:sz w:val="16"/>
              </w:rPr>
              <w:t>Post logging slash burn</w:t>
            </w:r>
          </w:p>
        </w:tc>
        <w:tc>
          <w:tcPr>
            <w:tcW w:w="784" w:type="dxa"/>
          </w:tcPr>
          <w:p>
            <w:pPr>
              <w:pStyle w:val="TableParagraph"/>
              <w:spacing w:before="42"/>
              <w:ind w:left="250"/>
              <w:rPr>
                <w:sz w:val="16"/>
              </w:rPr>
            </w:pPr>
            <w:r>
              <w:rPr>
                <w:sz w:val="16"/>
              </w:rPr>
              <w:t>0.33</w:t>
            </w:r>
          </w:p>
        </w:tc>
        <w:tc>
          <w:tcPr>
            <w:tcW w:w="782" w:type="dxa"/>
          </w:tcPr>
          <w:p>
            <w:pPr>
              <w:pStyle w:val="TableParagraph"/>
              <w:spacing w:before="42"/>
              <w:ind w:left="190" w:right="178"/>
              <w:jc w:val="center"/>
              <w:rPr>
                <w:sz w:val="16"/>
              </w:rPr>
            </w:pPr>
            <w:r>
              <w:rPr>
                <w:sz w:val="16"/>
              </w:rPr>
              <w:t>0.13</w:t>
            </w:r>
          </w:p>
        </w:tc>
        <w:tc>
          <w:tcPr>
            <w:tcW w:w="604" w:type="dxa"/>
          </w:tcPr>
          <w:p>
            <w:pPr>
              <w:pStyle w:val="TableParagraph"/>
              <w:spacing w:before="42"/>
              <w:ind w:left="13"/>
              <w:jc w:val="center"/>
              <w:rPr>
                <w:sz w:val="16"/>
              </w:rPr>
            </w:pPr>
            <w:r>
              <w:rPr>
                <w:w w:val="100"/>
                <w:sz w:val="16"/>
              </w:rPr>
              <w:t>4</w:t>
            </w:r>
          </w:p>
        </w:tc>
        <w:tc>
          <w:tcPr>
            <w:tcW w:w="1173" w:type="dxa"/>
          </w:tcPr>
          <w:p>
            <w:pPr>
              <w:pStyle w:val="TableParagraph"/>
              <w:spacing w:before="42"/>
              <w:ind w:left="163" w:right="155"/>
              <w:jc w:val="center"/>
              <w:rPr>
                <w:sz w:val="16"/>
              </w:rPr>
            </w:pPr>
            <w:r>
              <w:rPr>
                <w:sz w:val="16"/>
              </w:rPr>
              <w:t>0.20 – 0.58</w:t>
            </w:r>
          </w:p>
        </w:tc>
        <w:tc>
          <w:tcPr>
            <w:tcW w:w="559" w:type="dxa"/>
          </w:tcPr>
          <w:p>
            <w:pPr>
              <w:pStyle w:val="TableParagraph"/>
              <w:spacing w:before="42"/>
              <w:ind w:left="13"/>
              <w:jc w:val="center"/>
              <w:rPr>
                <w:sz w:val="16"/>
              </w:rPr>
            </w:pPr>
            <w:r>
              <w:rPr>
                <w:w w:val="100"/>
                <w:sz w:val="16"/>
              </w:rPr>
              <w:t>4</w:t>
            </w:r>
          </w:p>
        </w:tc>
        <w:tc>
          <w:tcPr>
            <w:tcW w:w="1389" w:type="dxa"/>
          </w:tcPr>
          <w:p>
            <w:pPr>
              <w:pStyle w:val="TableParagraph"/>
              <w:spacing w:before="42"/>
              <w:ind w:left="111"/>
              <w:rPr>
                <w:sz w:val="16"/>
              </w:rPr>
            </w:pPr>
            <w:r>
              <w:rPr>
                <w:sz w:val="16"/>
              </w:rPr>
              <w:t>49, 40, 18</w:t>
            </w:r>
          </w:p>
        </w:tc>
      </w:tr>
      <w:tr>
        <w:trPr>
          <w:trHeight w:val="282" w:hRule="atLeast"/>
        </w:trPr>
        <w:tc>
          <w:tcPr>
            <w:tcW w:w="1610" w:type="dxa"/>
            <w:vMerge/>
            <w:tcBorders>
              <w:top w:val="nil"/>
            </w:tcBorders>
          </w:tcPr>
          <w:p>
            <w:pPr>
              <w:rPr>
                <w:sz w:val="2"/>
                <w:szCs w:val="2"/>
              </w:rPr>
            </w:pPr>
          </w:p>
        </w:tc>
        <w:tc>
          <w:tcPr>
            <w:tcW w:w="2109" w:type="dxa"/>
          </w:tcPr>
          <w:p>
            <w:pPr>
              <w:pStyle w:val="TableParagraph"/>
              <w:spacing w:before="42"/>
              <w:ind w:left="108"/>
              <w:rPr>
                <w:sz w:val="16"/>
              </w:rPr>
            </w:pPr>
            <w:r>
              <w:rPr>
                <w:sz w:val="16"/>
              </w:rPr>
              <w:t>Land clearing fire</w:t>
            </w:r>
          </w:p>
        </w:tc>
        <w:tc>
          <w:tcPr>
            <w:tcW w:w="784" w:type="dxa"/>
          </w:tcPr>
          <w:p>
            <w:pPr>
              <w:pStyle w:val="TableParagraph"/>
              <w:spacing w:before="42"/>
              <w:ind w:left="250"/>
              <w:rPr>
                <w:sz w:val="16"/>
              </w:rPr>
            </w:pPr>
            <w:r>
              <w:rPr>
                <w:sz w:val="16"/>
              </w:rPr>
              <w:t>0.59</w:t>
            </w:r>
          </w:p>
        </w:tc>
        <w:tc>
          <w:tcPr>
            <w:tcW w:w="782" w:type="dxa"/>
          </w:tcPr>
          <w:p>
            <w:pPr>
              <w:pStyle w:val="TableParagraph"/>
              <w:spacing w:before="42"/>
              <w:ind w:left="14"/>
              <w:jc w:val="center"/>
              <w:rPr>
                <w:sz w:val="16"/>
              </w:rPr>
            </w:pPr>
            <w:r>
              <w:rPr>
                <w:w w:val="100"/>
                <w:sz w:val="16"/>
              </w:rPr>
              <w:t>-</w:t>
            </w:r>
          </w:p>
        </w:tc>
        <w:tc>
          <w:tcPr>
            <w:tcW w:w="604" w:type="dxa"/>
          </w:tcPr>
          <w:p>
            <w:pPr>
              <w:pStyle w:val="TableParagraph"/>
              <w:spacing w:before="42"/>
              <w:ind w:left="13"/>
              <w:jc w:val="center"/>
              <w:rPr>
                <w:sz w:val="16"/>
              </w:rPr>
            </w:pPr>
            <w:r>
              <w:rPr>
                <w:w w:val="100"/>
                <w:sz w:val="16"/>
              </w:rPr>
              <w:t>1</w:t>
            </w:r>
          </w:p>
        </w:tc>
        <w:tc>
          <w:tcPr>
            <w:tcW w:w="1173" w:type="dxa"/>
          </w:tcPr>
          <w:p>
            <w:pPr>
              <w:pStyle w:val="TableParagraph"/>
              <w:spacing w:before="42"/>
              <w:ind w:left="165" w:right="155"/>
              <w:jc w:val="center"/>
              <w:rPr>
                <w:sz w:val="16"/>
              </w:rPr>
            </w:pPr>
            <w:r>
              <w:rPr>
                <w:sz w:val="16"/>
              </w:rPr>
              <w:t>0.50 – 0.70</w:t>
            </w:r>
          </w:p>
        </w:tc>
        <w:tc>
          <w:tcPr>
            <w:tcW w:w="559" w:type="dxa"/>
          </w:tcPr>
          <w:p>
            <w:pPr>
              <w:pStyle w:val="TableParagraph"/>
              <w:spacing w:before="42"/>
              <w:ind w:left="13"/>
              <w:jc w:val="center"/>
              <w:rPr>
                <w:sz w:val="16"/>
              </w:rPr>
            </w:pPr>
            <w:r>
              <w:rPr>
                <w:w w:val="100"/>
                <w:sz w:val="16"/>
              </w:rPr>
              <w:t>1</w:t>
            </w:r>
          </w:p>
        </w:tc>
        <w:tc>
          <w:tcPr>
            <w:tcW w:w="1389" w:type="dxa"/>
          </w:tcPr>
          <w:p>
            <w:pPr>
              <w:pStyle w:val="TableParagraph"/>
              <w:spacing w:before="42"/>
              <w:ind w:left="111"/>
              <w:rPr>
                <w:sz w:val="16"/>
              </w:rPr>
            </w:pPr>
            <w:r>
              <w:rPr>
                <w:sz w:val="16"/>
              </w:rPr>
              <w:t>67</w:t>
            </w:r>
          </w:p>
        </w:tc>
      </w:tr>
      <w:tr>
        <w:trPr>
          <w:trHeight w:val="285" w:hRule="atLeast"/>
        </w:trPr>
        <w:tc>
          <w:tcPr>
            <w:tcW w:w="3719" w:type="dxa"/>
            <w:gridSpan w:val="2"/>
          </w:tcPr>
          <w:p>
            <w:pPr>
              <w:pStyle w:val="TableParagraph"/>
              <w:spacing w:before="45"/>
              <w:ind w:left="107"/>
              <w:rPr>
                <w:b/>
                <w:sz w:val="16"/>
              </w:rPr>
            </w:pPr>
            <w:r>
              <w:rPr>
                <w:b/>
                <w:sz w:val="16"/>
              </w:rPr>
              <w:t>All Boreal Forest</w:t>
            </w:r>
          </w:p>
        </w:tc>
        <w:tc>
          <w:tcPr>
            <w:tcW w:w="784" w:type="dxa"/>
          </w:tcPr>
          <w:p>
            <w:pPr>
              <w:pStyle w:val="TableParagraph"/>
              <w:spacing w:before="45"/>
              <w:ind w:left="251"/>
              <w:rPr>
                <w:b/>
                <w:sz w:val="16"/>
              </w:rPr>
            </w:pPr>
            <w:r>
              <w:rPr>
                <w:b/>
                <w:sz w:val="16"/>
              </w:rPr>
              <w:t>0.34</w:t>
            </w:r>
          </w:p>
        </w:tc>
        <w:tc>
          <w:tcPr>
            <w:tcW w:w="782" w:type="dxa"/>
          </w:tcPr>
          <w:p>
            <w:pPr>
              <w:pStyle w:val="TableParagraph"/>
              <w:spacing w:before="45"/>
              <w:ind w:left="192" w:right="177"/>
              <w:jc w:val="center"/>
              <w:rPr>
                <w:b/>
                <w:sz w:val="16"/>
              </w:rPr>
            </w:pPr>
            <w:r>
              <w:rPr>
                <w:b/>
                <w:sz w:val="16"/>
              </w:rPr>
              <w:t>0.17</w:t>
            </w:r>
          </w:p>
        </w:tc>
        <w:tc>
          <w:tcPr>
            <w:tcW w:w="604" w:type="dxa"/>
          </w:tcPr>
          <w:p>
            <w:pPr>
              <w:pStyle w:val="TableParagraph"/>
              <w:spacing w:before="45"/>
              <w:ind w:left="53" w:right="38"/>
              <w:jc w:val="center"/>
              <w:rPr>
                <w:b/>
                <w:sz w:val="16"/>
              </w:rPr>
            </w:pPr>
            <w:r>
              <w:rPr>
                <w:b/>
                <w:sz w:val="16"/>
              </w:rPr>
              <w:t>15</w:t>
            </w:r>
          </w:p>
        </w:tc>
        <w:tc>
          <w:tcPr>
            <w:tcW w:w="1173" w:type="dxa"/>
          </w:tcPr>
          <w:p>
            <w:pPr>
              <w:pStyle w:val="TableParagraph"/>
              <w:spacing w:before="45"/>
              <w:ind w:left="165" w:right="155"/>
              <w:jc w:val="center"/>
              <w:rPr>
                <w:b/>
                <w:sz w:val="16"/>
              </w:rPr>
            </w:pPr>
            <w:r>
              <w:rPr>
                <w:b/>
                <w:sz w:val="16"/>
              </w:rPr>
              <w:t>0.05 – 0.76</w:t>
            </w:r>
          </w:p>
        </w:tc>
        <w:tc>
          <w:tcPr>
            <w:tcW w:w="559" w:type="dxa"/>
          </w:tcPr>
          <w:p>
            <w:pPr>
              <w:pStyle w:val="TableParagraph"/>
              <w:spacing w:before="45"/>
              <w:ind w:left="40" w:right="27"/>
              <w:jc w:val="center"/>
              <w:rPr>
                <w:b/>
                <w:sz w:val="16"/>
              </w:rPr>
            </w:pPr>
            <w:r>
              <w:rPr>
                <w:b/>
                <w:sz w:val="16"/>
              </w:rPr>
              <w:t>16</w:t>
            </w:r>
          </w:p>
        </w:tc>
        <w:tc>
          <w:tcPr>
            <w:tcW w:w="1389" w:type="dxa"/>
          </w:tcPr>
          <w:p>
            <w:pPr>
              <w:pStyle w:val="TableParagraph"/>
              <w:spacing w:before="42"/>
              <w:ind w:left="111"/>
              <w:rPr>
                <w:sz w:val="16"/>
              </w:rPr>
            </w:pPr>
            <w:r>
              <w:rPr>
                <w:sz w:val="16"/>
              </w:rPr>
              <w:t>45, 47</w:t>
            </w:r>
          </w:p>
        </w:tc>
      </w:tr>
      <w:tr>
        <w:trPr>
          <w:trHeight w:val="282" w:hRule="atLeast"/>
        </w:trPr>
        <w:tc>
          <w:tcPr>
            <w:tcW w:w="1610" w:type="dxa"/>
            <w:vMerge w:val="restart"/>
          </w:tcPr>
          <w:p>
            <w:pPr>
              <w:pStyle w:val="TableParagraph"/>
              <w:rPr>
                <w:sz w:val="18"/>
              </w:rPr>
            </w:pPr>
          </w:p>
          <w:p>
            <w:pPr>
              <w:pStyle w:val="TableParagraph"/>
              <w:rPr>
                <w:sz w:val="18"/>
              </w:rPr>
            </w:pPr>
          </w:p>
          <w:p>
            <w:pPr>
              <w:pStyle w:val="TableParagraph"/>
              <w:spacing w:before="144"/>
              <w:ind w:left="107"/>
              <w:rPr>
                <w:sz w:val="16"/>
              </w:rPr>
            </w:pPr>
            <w:r>
              <w:rPr>
                <w:sz w:val="16"/>
              </w:rPr>
              <w:t>Eucalyptus forests</w:t>
            </w:r>
          </w:p>
        </w:tc>
        <w:tc>
          <w:tcPr>
            <w:tcW w:w="2109" w:type="dxa"/>
          </w:tcPr>
          <w:p>
            <w:pPr>
              <w:pStyle w:val="TableParagraph"/>
              <w:spacing w:before="42"/>
              <w:ind w:left="108"/>
              <w:rPr>
                <w:sz w:val="16"/>
              </w:rPr>
            </w:pPr>
            <w:r>
              <w:rPr>
                <w:sz w:val="16"/>
              </w:rPr>
              <w:t>Wildfire</w:t>
            </w:r>
          </w:p>
        </w:tc>
        <w:tc>
          <w:tcPr>
            <w:tcW w:w="784" w:type="dxa"/>
          </w:tcPr>
          <w:p>
            <w:pPr>
              <w:pStyle w:val="TableParagraph"/>
              <w:spacing w:before="42"/>
              <w:ind w:left="11"/>
              <w:jc w:val="center"/>
              <w:rPr>
                <w:sz w:val="16"/>
              </w:rPr>
            </w:pPr>
            <w:r>
              <w:rPr>
                <w:w w:val="100"/>
                <w:sz w:val="16"/>
              </w:rPr>
              <w:t>-</w:t>
            </w:r>
          </w:p>
        </w:tc>
        <w:tc>
          <w:tcPr>
            <w:tcW w:w="782" w:type="dxa"/>
          </w:tcPr>
          <w:p>
            <w:pPr>
              <w:pStyle w:val="TableParagraph"/>
              <w:spacing w:before="42"/>
              <w:ind w:left="15"/>
              <w:jc w:val="center"/>
              <w:rPr>
                <w:sz w:val="16"/>
              </w:rPr>
            </w:pPr>
            <w:r>
              <w:rPr>
                <w:w w:val="100"/>
                <w:sz w:val="16"/>
              </w:rPr>
              <w:t>-</w:t>
            </w:r>
          </w:p>
        </w:tc>
        <w:tc>
          <w:tcPr>
            <w:tcW w:w="604" w:type="dxa"/>
          </w:tcPr>
          <w:p>
            <w:pPr>
              <w:pStyle w:val="TableParagraph"/>
              <w:spacing w:before="42"/>
              <w:ind w:left="14"/>
              <w:jc w:val="center"/>
              <w:rPr>
                <w:sz w:val="16"/>
              </w:rPr>
            </w:pPr>
            <w:r>
              <w:rPr>
                <w:w w:val="100"/>
                <w:sz w:val="16"/>
              </w:rPr>
              <w:t>0</w:t>
            </w:r>
          </w:p>
        </w:tc>
        <w:tc>
          <w:tcPr>
            <w:tcW w:w="1173" w:type="dxa"/>
          </w:tcPr>
          <w:p>
            <w:pPr>
              <w:pStyle w:val="TableParagraph"/>
              <w:spacing w:before="42"/>
              <w:ind w:left="14"/>
              <w:jc w:val="center"/>
              <w:rPr>
                <w:sz w:val="16"/>
              </w:rPr>
            </w:pPr>
            <w:r>
              <w:rPr>
                <w:w w:val="100"/>
                <w:sz w:val="16"/>
              </w:rPr>
              <w:t>-</w:t>
            </w:r>
          </w:p>
        </w:tc>
        <w:tc>
          <w:tcPr>
            <w:tcW w:w="559" w:type="dxa"/>
          </w:tcPr>
          <w:p>
            <w:pPr>
              <w:pStyle w:val="TableParagraph"/>
              <w:spacing w:before="42"/>
              <w:ind w:left="13"/>
              <w:jc w:val="center"/>
              <w:rPr>
                <w:sz w:val="16"/>
              </w:rPr>
            </w:pPr>
            <w:r>
              <w:rPr>
                <w:w w:val="100"/>
                <w:sz w:val="16"/>
              </w:rPr>
              <w:t>0</w:t>
            </w:r>
          </w:p>
        </w:tc>
        <w:tc>
          <w:tcPr>
            <w:tcW w:w="1389" w:type="dxa"/>
          </w:tcPr>
          <w:p>
            <w:pPr>
              <w:pStyle w:val="TableParagraph"/>
              <w:rPr>
                <w:sz w:val="16"/>
              </w:rPr>
            </w:pPr>
          </w:p>
        </w:tc>
      </w:tr>
      <w:tr>
        <w:trPr>
          <w:trHeight w:val="285" w:hRule="atLeast"/>
        </w:trPr>
        <w:tc>
          <w:tcPr>
            <w:tcW w:w="1610" w:type="dxa"/>
            <w:vMerge/>
            <w:tcBorders>
              <w:top w:val="nil"/>
            </w:tcBorders>
          </w:tcPr>
          <w:p>
            <w:pPr>
              <w:rPr>
                <w:sz w:val="2"/>
                <w:szCs w:val="2"/>
              </w:rPr>
            </w:pPr>
          </w:p>
        </w:tc>
        <w:tc>
          <w:tcPr>
            <w:tcW w:w="2109" w:type="dxa"/>
          </w:tcPr>
          <w:p>
            <w:pPr>
              <w:pStyle w:val="TableParagraph"/>
              <w:spacing w:before="42"/>
              <w:ind w:left="108"/>
              <w:rPr>
                <w:sz w:val="16"/>
              </w:rPr>
            </w:pPr>
            <w:r>
              <w:rPr>
                <w:sz w:val="16"/>
              </w:rPr>
              <w:t>Prescribed fire – (surface)</w:t>
            </w:r>
          </w:p>
        </w:tc>
        <w:tc>
          <w:tcPr>
            <w:tcW w:w="784" w:type="dxa"/>
          </w:tcPr>
          <w:p>
            <w:pPr>
              <w:pStyle w:val="TableParagraph"/>
              <w:spacing w:before="42"/>
              <w:ind w:left="251"/>
              <w:rPr>
                <w:sz w:val="16"/>
              </w:rPr>
            </w:pPr>
            <w:r>
              <w:rPr>
                <w:sz w:val="16"/>
              </w:rPr>
              <w:t>0.61</w:t>
            </w:r>
          </w:p>
        </w:tc>
        <w:tc>
          <w:tcPr>
            <w:tcW w:w="782" w:type="dxa"/>
          </w:tcPr>
          <w:p>
            <w:pPr>
              <w:pStyle w:val="TableParagraph"/>
              <w:spacing w:before="42"/>
              <w:ind w:left="191" w:right="178"/>
              <w:jc w:val="center"/>
              <w:rPr>
                <w:sz w:val="16"/>
              </w:rPr>
            </w:pPr>
            <w:r>
              <w:rPr>
                <w:sz w:val="16"/>
              </w:rPr>
              <w:t>0.11</w:t>
            </w:r>
          </w:p>
        </w:tc>
        <w:tc>
          <w:tcPr>
            <w:tcW w:w="604" w:type="dxa"/>
          </w:tcPr>
          <w:p>
            <w:pPr>
              <w:pStyle w:val="TableParagraph"/>
              <w:spacing w:before="42"/>
              <w:ind w:left="12"/>
              <w:jc w:val="center"/>
              <w:rPr>
                <w:sz w:val="16"/>
              </w:rPr>
            </w:pPr>
            <w:r>
              <w:rPr>
                <w:w w:val="100"/>
                <w:sz w:val="16"/>
              </w:rPr>
              <w:t>6</w:t>
            </w:r>
          </w:p>
        </w:tc>
        <w:tc>
          <w:tcPr>
            <w:tcW w:w="1173" w:type="dxa"/>
          </w:tcPr>
          <w:p>
            <w:pPr>
              <w:pStyle w:val="TableParagraph"/>
              <w:spacing w:before="42"/>
              <w:ind w:left="168" w:right="155"/>
              <w:jc w:val="center"/>
              <w:rPr>
                <w:sz w:val="16"/>
              </w:rPr>
            </w:pPr>
            <w:r>
              <w:rPr>
                <w:sz w:val="16"/>
              </w:rPr>
              <w:t>0.50 – 0.77*</w:t>
            </w:r>
          </w:p>
        </w:tc>
        <w:tc>
          <w:tcPr>
            <w:tcW w:w="559" w:type="dxa"/>
          </w:tcPr>
          <w:p>
            <w:pPr>
              <w:pStyle w:val="TableParagraph"/>
              <w:spacing w:before="42"/>
              <w:ind w:left="11"/>
              <w:jc w:val="center"/>
              <w:rPr>
                <w:sz w:val="16"/>
              </w:rPr>
            </w:pPr>
            <w:r>
              <w:rPr>
                <w:w w:val="100"/>
                <w:sz w:val="16"/>
              </w:rPr>
              <w:t>6</w:t>
            </w:r>
          </w:p>
        </w:tc>
        <w:tc>
          <w:tcPr>
            <w:tcW w:w="1389" w:type="dxa"/>
          </w:tcPr>
          <w:p>
            <w:pPr>
              <w:pStyle w:val="TableParagraph"/>
              <w:spacing w:before="42"/>
              <w:ind w:left="110"/>
              <w:rPr>
                <w:sz w:val="16"/>
              </w:rPr>
            </w:pPr>
            <w:r>
              <w:rPr>
                <w:sz w:val="16"/>
              </w:rPr>
              <w:t>72, 54, 60, 9</w:t>
            </w:r>
          </w:p>
        </w:tc>
      </w:tr>
      <w:tr>
        <w:trPr>
          <w:trHeight w:val="282" w:hRule="atLeast"/>
        </w:trPr>
        <w:tc>
          <w:tcPr>
            <w:tcW w:w="1610" w:type="dxa"/>
            <w:vMerge/>
            <w:tcBorders>
              <w:top w:val="nil"/>
            </w:tcBorders>
          </w:tcPr>
          <w:p>
            <w:pPr>
              <w:rPr>
                <w:sz w:val="2"/>
                <w:szCs w:val="2"/>
              </w:rPr>
            </w:pPr>
          </w:p>
        </w:tc>
        <w:tc>
          <w:tcPr>
            <w:tcW w:w="2109" w:type="dxa"/>
          </w:tcPr>
          <w:p>
            <w:pPr>
              <w:pStyle w:val="TableParagraph"/>
              <w:spacing w:before="42"/>
              <w:ind w:left="108"/>
              <w:rPr>
                <w:sz w:val="16"/>
              </w:rPr>
            </w:pPr>
            <w:r>
              <w:rPr>
                <w:sz w:val="16"/>
              </w:rPr>
              <w:t>Post logging slash burn</w:t>
            </w:r>
          </w:p>
        </w:tc>
        <w:tc>
          <w:tcPr>
            <w:tcW w:w="784" w:type="dxa"/>
          </w:tcPr>
          <w:p>
            <w:pPr>
              <w:pStyle w:val="TableParagraph"/>
              <w:spacing w:before="42"/>
              <w:ind w:left="250"/>
              <w:rPr>
                <w:sz w:val="16"/>
              </w:rPr>
            </w:pPr>
            <w:r>
              <w:rPr>
                <w:sz w:val="16"/>
              </w:rPr>
              <w:t>0.68</w:t>
            </w:r>
          </w:p>
        </w:tc>
        <w:tc>
          <w:tcPr>
            <w:tcW w:w="782" w:type="dxa"/>
          </w:tcPr>
          <w:p>
            <w:pPr>
              <w:pStyle w:val="TableParagraph"/>
              <w:spacing w:before="42"/>
              <w:ind w:left="190" w:right="178"/>
              <w:jc w:val="center"/>
              <w:rPr>
                <w:sz w:val="16"/>
              </w:rPr>
            </w:pPr>
            <w:r>
              <w:rPr>
                <w:sz w:val="16"/>
              </w:rPr>
              <w:t>0.14</w:t>
            </w:r>
          </w:p>
        </w:tc>
        <w:tc>
          <w:tcPr>
            <w:tcW w:w="604" w:type="dxa"/>
          </w:tcPr>
          <w:p>
            <w:pPr>
              <w:pStyle w:val="TableParagraph"/>
              <w:spacing w:before="42"/>
              <w:ind w:left="13"/>
              <w:jc w:val="center"/>
              <w:rPr>
                <w:sz w:val="16"/>
              </w:rPr>
            </w:pPr>
            <w:r>
              <w:rPr>
                <w:w w:val="100"/>
                <w:sz w:val="16"/>
              </w:rPr>
              <w:t>5</w:t>
            </w:r>
          </w:p>
        </w:tc>
        <w:tc>
          <w:tcPr>
            <w:tcW w:w="1173" w:type="dxa"/>
          </w:tcPr>
          <w:p>
            <w:pPr>
              <w:pStyle w:val="TableParagraph"/>
              <w:spacing w:before="42"/>
              <w:ind w:left="163" w:right="155"/>
              <w:jc w:val="center"/>
              <w:rPr>
                <w:sz w:val="16"/>
              </w:rPr>
            </w:pPr>
            <w:r>
              <w:rPr>
                <w:sz w:val="16"/>
              </w:rPr>
              <w:t>0.49 – 0.82</w:t>
            </w:r>
          </w:p>
        </w:tc>
        <w:tc>
          <w:tcPr>
            <w:tcW w:w="559" w:type="dxa"/>
          </w:tcPr>
          <w:p>
            <w:pPr>
              <w:pStyle w:val="TableParagraph"/>
              <w:spacing w:before="42"/>
              <w:ind w:left="13"/>
              <w:jc w:val="center"/>
              <w:rPr>
                <w:sz w:val="16"/>
              </w:rPr>
            </w:pPr>
            <w:r>
              <w:rPr>
                <w:w w:val="100"/>
                <w:sz w:val="16"/>
              </w:rPr>
              <w:t>5</w:t>
            </w:r>
          </w:p>
        </w:tc>
        <w:tc>
          <w:tcPr>
            <w:tcW w:w="1389" w:type="dxa"/>
          </w:tcPr>
          <w:p>
            <w:pPr>
              <w:pStyle w:val="TableParagraph"/>
              <w:spacing w:before="42"/>
              <w:ind w:left="111"/>
              <w:rPr>
                <w:sz w:val="16"/>
              </w:rPr>
            </w:pPr>
            <w:r>
              <w:rPr>
                <w:sz w:val="16"/>
              </w:rPr>
              <w:t>25, 58, 46</w:t>
            </w:r>
          </w:p>
        </w:tc>
      </w:tr>
      <w:tr>
        <w:trPr>
          <w:trHeight w:val="443" w:hRule="atLeast"/>
        </w:trPr>
        <w:tc>
          <w:tcPr>
            <w:tcW w:w="1610" w:type="dxa"/>
            <w:vMerge/>
            <w:tcBorders>
              <w:top w:val="nil"/>
            </w:tcBorders>
          </w:tcPr>
          <w:p>
            <w:pPr>
              <w:rPr>
                <w:sz w:val="2"/>
                <w:szCs w:val="2"/>
              </w:rPr>
            </w:pPr>
          </w:p>
        </w:tc>
        <w:tc>
          <w:tcPr>
            <w:tcW w:w="2109" w:type="dxa"/>
          </w:tcPr>
          <w:p>
            <w:pPr>
              <w:pStyle w:val="TableParagraph"/>
              <w:spacing w:before="33"/>
              <w:ind w:left="108" w:right="393"/>
              <w:rPr>
                <w:sz w:val="16"/>
              </w:rPr>
            </w:pPr>
            <w:r>
              <w:rPr>
                <w:sz w:val="16"/>
              </w:rPr>
              <w:t>Felled and burned (land- clearing fire)</w:t>
            </w:r>
          </w:p>
        </w:tc>
        <w:tc>
          <w:tcPr>
            <w:tcW w:w="784" w:type="dxa"/>
          </w:tcPr>
          <w:p>
            <w:pPr>
              <w:pStyle w:val="TableParagraph"/>
              <w:spacing w:before="124"/>
              <w:ind w:left="250"/>
              <w:rPr>
                <w:sz w:val="16"/>
              </w:rPr>
            </w:pPr>
            <w:r>
              <w:rPr>
                <w:sz w:val="16"/>
              </w:rPr>
              <w:t>0.49</w:t>
            </w:r>
          </w:p>
        </w:tc>
        <w:tc>
          <w:tcPr>
            <w:tcW w:w="782" w:type="dxa"/>
          </w:tcPr>
          <w:p>
            <w:pPr>
              <w:pStyle w:val="TableParagraph"/>
              <w:spacing w:before="124"/>
              <w:ind w:left="14"/>
              <w:jc w:val="center"/>
              <w:rPr>
                <w:sz w:val="16"/>
              </w:rPr>
            </w:pPr>
            <w:r>
              <w:rPr>
                <w:w w:val="100"/>
                <w:sz w:val="16"/>
              </w:rPr>
              <w:t>-</w:t>
            </w:r>
          </w:p>
        </w:tc>
        <w:tc>
          <w:tcPr>
            <w:tcW w:w="604" w:type="dxa"/>
          </w:tcPr>
          <w:p>
            <w:pPr>
              <w:pStyle w:val="TableParagraph"/>
              <w:spacing w:before="124"/>
              <w:ind w:left="13"/>
              <w:jc w:val="center"/>
              <w:rPr>
                <w:sz w:val="16"/>
              </w:rPr>
            </w:pPr>
            <w:r>
              <w:rPr>
                <w:w w:val="100"/>
                <w:sz w:val="16"/>
              </w:rPr>
              <w:t>1</w:t>
            </w:r>
          </w:p>
        </w:tc>
        <w:tc>
          <w:tcPr>
            <w:tcW w:w="1173" w:type="dxa"/>
          </w:tcPr>
          <w:p>
            <w:pPr>
              <w:pStyle w:val="TableParagraph"/>
              <w:spacing w:before="124"/>
              <w:ind w:left="14"/>
              <w:jc w:val="center"/>
              <w:rPr>
                <w:sz w:val="16"/>
              </w:rPr>
            </w:pPr>
            <w:r>
              <w:rPr>
                <w:w w:val="100"/>
                <w:sz w:val="16"/>
              </w:rPr>
              <w:t>-</w:t>
            </w:r>
          </w:p>
        </w:tc>
        <w:tc>
          <w:tcPr>
            <w:tcW w:w="559" w:type="dxa"/>
          </w:tcPr>
          <w:p>
            <w:pPr>
              <w:pStyle w:val="TableParagraph"/>
              <w:spacing w:before="124"/>
              <w:ind w:left="13"/>
              <w:jc w:val="center"/>
              <w:rPr>
                <w:sz w:val="16"/>
              </w:rPr>
            </w:pPr>
            <w:r>
              <w:rPr>
                <w:w w:val="100"/>
                <w:sz w:val="16"/>
              </w:rPr>
              <w:t>1</w:t>
            </w:r>
          </w:p>
        </w:tc>
        <w:tc>
          <w:tcPr>
            <w:tcW w:w="1389" w:type="dxa"/>
          </w:tcPr>
          <w:p>
            <w:pPr>
              <w:pStyle w:val="TableParagraph"/>
              <w:spacing w:before="124"/>
              <w:ind w:left="111"/>
              <w:rPr>
                <w:sz w:val="16"/>
              </w:rPr>
            </w:pPr>
            <w:r>
              <w:rPr>
                <w:sz w:val="16"/>
              </w:rPr>
              <w:t>62</w:t>
            </w:r>
          </w:p>
        </w:tc>
      </w:tr>
      <w:tr>
        <w:trPr>
          <w:trHeight w:val="285" w:hRule="atLeast"/>
        </w:trPr>
        <w:tc>
          <w:tcPr>
            <w:tcW w:w="3719" w:type="dxa"/>
            <w:gridSpan w:val="2"/>
          </w:tcPr>
          <w:p>
            <w:pPr>
              <w:pStyle w:val="TableParagraph"/>
              <w:spacing w:before="45"/>
              <w:ind w:left="107"/>
              <w:rPr>
                <w:b/>
                <w:sz w:val="16"/>
              </w:rPr>
            </w:pPr>
            <w:r>
              <w:rPr>
                <w:b/>
                <w:sz w:val="16"/>
              </w:rPr>
              <w:t>All Eucalyptus Forests</w:t>
            </w:r>
          </w:p>
        </w:tc>
        <w:tc>
          <w:tcPr>
            <w:tcW w:w="784" w:type="dxa"/>
          </w:tcPr>
          <w:p>
            <w:pPr>
              <w:pStyle w:val="TableParagraph"/>
              <w:spacing w:before="45"/>
              <w:ind w:left="250"/>
              <w:rPr>
                <w:b/>
                <w:sz w:val="16"/>
              </w:rPr>
            </w:pPr>
            <w:r>
              <w:rPr>
                <w:b/>
                <w:sz w:val="16"/>
              </w:rPr>
              <w:t>0.63</w:t>
            </w:r>
          </w:p>
        </w:tc>
        <w:tc>
          <w:tcPr>
            <w:tcW w:w="782" w:type="dxa"/>
          </w:tcPr>
          <w:p>
            <w:pPr>
              <w:pStyle w:val="TableParagraph"/>
              <w:spacing w:before="45"/>
              <w:ind w:left="191" w:right="178"/>
              <w:jc w:val="center"/>
              <w:rPr>
                <w:b/>
                <w:sz w:val="16"/>
              </w:rPr>
            </w:pPr>
            <w:r>
              <w:rPr>
                <w:b/>
                <w:sz w:val="16"/>
              </w:rPr>
              <w:t>0.13</w:t>
            </w:r>
          </w:p>
        </w:tc>
        <w:tc>
          <w:tcPr>
            <w:tcW w:w="604" w:type="dxa"/>
          </w:tcPr>
          <w:p>
            <w:pPr>
              <w:pStyle w:val="TableParagraph"/>
              <w:spacing w:before="45"/>
              <w:ind w:left="52" w:right="38"/>
              <w:jc w:val="center"/>
              <w:rPr>
                <w:b/>
                <w:sz w:val="16"/>
              </w:rPr>
            </w:pPr>
            <w:r>
              <w:rPr>
                <w:b/>
                <w:sz w:val="16"/>
              </w:rPr>
              <w:t>12</w:t>
            </w:r>
          </w:p>
        </w:tc>
        <w:tc>
          <w:tcPr>
            <w:tcW w:w="1173" w:type="dxa"/>
          </w:tcPr>
          <w:p>
            <w:pPr>
              <w:pStyle w:val="TableParagraph"/>
              <w:spacing w:before="45"/>
              <w:ind w:left="164" w:right="155"/>
              <w:jc w:val="center"/>
              <w:rPr>
                <w:b/>
                <w:sz w:val="16"/>
              </w:rPr>
            </w:pPr>
            <w:r>
              <w:rPr>
                <w:b/>
                <w:sz w:val="16"/>
              </w:rPr>
              <w:t>0.49 – 0.82</w:t>
            </w:r>
          </w:p>
        </w:tc>
        <w:tc>
          <w:tcPr>
            <w:tcW w:w="559" w:type="dxa"/>
          </w:tcPr>
          <w:p>
            <w:pPr>
              <w:pStyle w:val="TableParagraph"/>
              <w:spacing w:before="45"/>
              <w:ind w:left="40" w:right="27"/>
              <w:jc w:val="center"/>
              <w:rPr>
                <w:b/>
                <w:sz w:val="16"/>
              </w:rPr>
            </w:pPr>
            <w:r>
              <w:rPr>
                <w:b/>
                <w:sz w:val="16"/>
              </w:rPr>
              <w:t>12</w:t>
            </w:r>
          </w:p>
        </w:tc>
        <w:tc>
          <w:tcPr>
            <w:tcW w:w="1389" w:type="dxa"/>
          </w:tcPr>
          <w:p>
            <w:pPr>
              <w:pStyle w:val="TableParagraph"/>
              <w:rPr>
                <w:sz w:val="16"/>
              </w:rPr>
            </w:pPr>
          </w:p>
        </w:tc>
      </w:tr>
      <w:tr>
        <w:trPr>
          <w:trHeight w:val="273" w:hRule="atLeast"/>
        </w:trPr>
        <w:tc>
          <w:tcPr>
            <w:tcW w:w="1610" w:type="dxa"/>
            <w:vMerge w:val="restart"/>
          </w:tcPr>
          <w:p>
            <w:pPr>
              <w:pStyle w:val="TableParagraph"/>
              <w:spacing w:before="8"/>
              <w:rPr>
                <w:sz w:val="14"/>
              </w:rPr>
            </w:pPr>
          </w:p>
          <w:p>
            <w:pPr>
              <w:pStyle w:val="TableParagraph"/>
              <w:ind w:left="107" w:right="438"/>
              <w:rPr>
                <w:sz w:val="16"/>
              </w:rPr>
            </w:pPr>
            <w:r>
              <w:rPr>
                <w:sz w:val="16"/>
              </w:rPr>
              <w:t>Other temperate forests</w:t>
            </w:r>
          </w:p>
        </w:tc>
        <w:tc>
          <w:tcPr>
            <w:tcW w:w="2109" w:type="dxa"/>
          </w:tcPr>
          <w:p>
            <w:pPr>
              <w:pStyle w:val="TableParagraph"/>
              <w:spacing w:before="37"/>
              <w:ind w:left="108"/>
              <w:rPr>
                <w:sz w:val="16"/>
              </w:rPr>
            </w:pPr>
            <w:r>
              <w:rPr>
                <w:sz w:val="16"/>
              </w:rPr>
              <w:t>Post logging slash burn</w:t>
            </w:r>
          </w:p>
        </w:tc>
        <w:tc>
          <w:tcPr>
            <w:tcW w:w="784" w:type="dxa"/>
          </w:tcPr>
          <w:p>
            <w:pPr>
              <w:pStyle w:val="TableParagraph"/>
              <w:spacing w:before="37"/>
              <w:ind w:left="250"/>
              <w:rPr>
                <w:sz w:val="16"/>
              </w:rPr>
            </w:pPr>
            <w:r>
              <w:rPr>
                <w:sz w:val="16"/>
              </w:rPr>
              <w:t>0.62</w:t>
            </w:r>
          </w:p>
        </w:tc>
        <w:tc>
          <w:tcPr>
            <w:tcW w:w="782" w:type="dxa"/>
          </w:tcPr>
          <w:p>
            <w:pPr>
              <w:pStyle w:val="TableParagraph"/>
              <w:spacing w:before="37"/>
              <w:ind w:left="190" w:right="178"/>
              <w:jc w:val="center"/>
              <w:rPr>
                <w:sz w:val="16"/>
              </w:rPr>
            </w:pPr>
            <w:r>
              <w:rPr>
                <w:sz w:val="16"/>
              </w:rPr>
              <w:t>0.12</w:t>
            </w:r>
          </w:p>
        </w:tc>
        <w:tc>
          <w:tcPr>
            <w:tcW w:w="604" w:type="dxa"/>
          </w:tcPr>
          <w:p>
            <w:pPr>
              <w:pStyle w:val="TableParagraph"/>
              <w:spacing w:before="37"/>
              <w:ind w:left="13"/>
              <w:jc w:val="center"/>
              <w:rPr>
                <w:sz w:val="16"/>
              </w:rPr>
            </w:pPr>
            <w:r>
              <w:rPr>
                <w:w w:val="100"/>
                <w:sz w:val="16"/>
              </w:rPr>
              <w:t>7</w:t>
            </w:r>
          </w:p>
        </w:tc>
        <w:tc>
          <w:tcPr>
            <w:tcW w:w="1173" w:type="dxa"/>
          </w:tcPr>
          <w:p>
            <w:pPr>
              <w:pStyle w:val="TableParagraph"/>
              <w:spacing w:before="37"/>
              <w:ind w:left="163" w:right="155"/>
              <w:jc w:val="center"/>
              <w:rPr>
                <w:sz w:val="16"/>
              </w:rPr>
            </w:pPr>
            <w:r>
              <w:rPr>
                <w:sz w:val="16"/>
              </w:rPr>
              <w:t>0.48 – 0.84</w:t>
            </w:r>
          </w:p>
        </w:tc>
        <w:tc>
          <w:tcPr>
            <w:tcW w:w="559" w:type="dxa"/>
          </w:tcPr>
          <w:p>
            <w:pPr>
              <w:pStyle w:val="TableParagraph"/>
              <w:spacing w:before="37"/>
              <w:ind w:left="13"/>
              <w:jc w:val="center"/>
              <w:rPr>
                <w:sz w:val="16"/>
              </w:rPr>
            </w:pPr>
            <w:r>
              <w:rPr>
                <w:w w:val="100"/>
                <w:sz w:val="16"/>
              </w:rPr>
              <w:t>7</w:t>
            </w:r>
          </w:p>
        </w:tc>
        <w:tc>
          <w:tcPr>
            <w:tcW w:w="1389" w:type="dxa"/>
          </w:tcPr>
          <w:p>
            <w:pPr>
              <w:pStyle w:val="TableParagraph"/>
              <w:spacing w:before="37"/>
              <w:ind w:left="111"/>
              <w:rPr>
                <w:sz w:val="16"/>
              </w:rPr>
            </w:pPr>
            <w:r>
              <w:rPr>
                <w:sz w:val="16"/>
              </w:rPr>
              <w:t>55, 19, 27, 14</w:t>
            </w:r>
          </w:p>
        </w:tc>
      </w:tr>
      <w:tr>
        <w:trPr>
          <w:trHeight w:val="443" w:hRule="atLeast"/>
        </w:trPr>
        <w:tc>
          <w:tcPr>
            <w:tcW w:w="1610" w:type="dxa"/>
            <w:vMerge/>
            <w:tcBorders>
              <w:top w:val="nil"/>
            </w:tcBorders>
          </w:tcPr>
          <w:p>
            <w:pPr>
              <w:rPr>
                <w:sz w:val="2"/>
                <w:szCs w:val="2"/>
              </w:rPr>
            </w:pPr>
          </w:p>
        </w:tc>
        <w:tc>
          <w:tcPr>
            <w:tcW w:w="2109" w:type="dxa"/>
          </w:tcPr>
          <w:p>
            <w:pPr>
              <w:pStyle w:val="TableParagraph"/>
              <w:spacing w:before="33"/>
              <w:ind w:left="108" w:right="393"/>
              <w:rPr>
                <w:sz w:val="16"/>
              </w:rPr>
            </w:pPr>
            <w:r>
              <w:rPr>
                <w:sz w:val="16"/>
              </w:rPr>
              <w:t>Felled and burned (land- clearing fire)</w:t>
            </w:r>
          </w:p>
        </w:tc>
        <w:tc>
          <w:tcPr>
            <w:tcW w:w="784" w:type="dxa"/>
          </w:tcPr>
          <w:p>
            <w:pPr>
              <w:pStyle w:val="TableParagraph"/>
              <w:spacing w:before="124"/>
              <w:ind w:left="250"/>
              <w:rPr>
                <w:sz w:val="16"/>
              </w:rPr>
            </w:pPr>
            <w:r>
              <w:rPr>
                <w:sz w:val="16"/>
              </w:rPr>
              <w:t>0.51</w:t>
            </w:r>
          </w:p>
        </w:tc>
        <w:tc>
          <w:tcPr>
            <w:tcW w:w="782" w:type="dxa"/>
          </w:tcPr>
          <w:p>
            <w:pPr>
              <w:pStyle w:val="TableParagraph"/>
              <w:spacing w:before="124"/>
              <w:ind w:left="13"/>
              <w:jc w:val="center"/>
              <w:rPr>
                <w:sz w:val="16"/>
              </w:rPr>
            </w:pPr>
            <w:r>
              <w:rPr>
                <w:w w:val="100"/>
                <w:sz w:val="16"/>
              </w:rPr>
              <w:t>-</w:t>
            </w:r>
          </w:p>
        </w:tc>
        <w:tc>
          <w:tcPr>
            <w:tcW w:w="604" w:type="dxa"/>
          </w:tcPr>
          <w:p>
            <w:pPr>
              <w:pStyle w:val="TableParagraph"/>
              <w:spacing w:before="124"/>
              <w:ind w:left="12"/>
              <w:jc w:val="center"/>
              <w:rPr>
                <w:sz w:val="16"/>
              </w:rPr>
            </w:pPr>
            <w:r>
              <w:rPr>
                <w:w w:val="100"/>
                <w:sz w:val="16"/>
              </w:rPr>
              <w:t>1</w:t>
            </w:r>
          </w:p>
        </w:tc>
        <w:tc>
          <w:tcPr>
            <w:tcW w:w="1173" w:type="dxa"/>
          </w:tcPr>
          <w:p>
            <w:pPr>
              <w:pStyle w:val="TableParagraph"/>
              <w:spacing w:before="124"/>
              <w:ind w:left="163" w:right="155"/>
              <w:jc w:val="center"/>
              <w:rPr>
                <w:sz w:val="16"/>
              </w:rPr>
            </w:pPr>
            <w:r>
              <w:rPr>
                <w:sz w:val="16"/>
              </w:rPr>
              <w:t>0.16 – 0.58</w:t>
            </w:r>
          </w:p>
        </w:tc>
        <w:tc>
          <w:tcPr>
            <w:tcW w:w="559" w:type="dxa"/>
          </w:tcPr>
          <w:p>
            <w:pPr>
              <w:pStyle w:val="TableParagraph"/>
              <w:spacing w:before="124"/>
              <w:ind w:left="11"/>
              <w:jc w:val="center"/>
              <w:rPr>
                <w:sz w:val="16"/>
              </w:rPr>
            </w:pPr>
            <w:r>
              <w:rPr>
                <w:w w:val="100"/>
                <w:sz w:val="16"/>
              </w:rPr>
              <w:t>3</w:t>
            </w:r>
          </w:p>
        </w:tc>
        <w:tc>
          <w:tcPr>
            <w:tcW w:w="1389" w:type="dxa"/>
          </w:tcPr>
          <w:p>
            <w:pPr>
              <w:pStyle w:val="TableParagraph"/>
              <w:spacing w:before="124"/>
              <w:ind w:left="110"/>
              <w:rPr>
                <w:sz w:val="16"/>
              </w:rPr>
            </w:pPr>
            <w:r>
              <w:rPr>
                <w:sz w:val="16"/>
              </w:rPr>
              <w:t>53, 24, 71</w:t>
            </w:r>
          </w:p>
        </w:tc>
      </w:tr>
      <w:tr>
        <w:trPr>
          <w:trHeight w:val="275" w:hRule="atLeast"/>
        </w:trPr>
        <w:tc>
          <w:tcPr>
            <w:tcW w:w="3719" w:type="dxa"/>
            <w:gridSpan w:val="2"/>
          </w:tcPr>
          <w:p>
            <w:pPr>
              <w:pStyle w:val="TableParagraph"/>
              <w:spacing w:before="40"/>
              <w:ind w:left="107"/>
              <w:rPr>
                <w:b/>
                <w:sz w:val="16"/>
              </w:rPr>
            </w:pPr>
            <w:r>
              <w:rPr>
                <w:b/>
                <w:sz w:val="16"/>
              </w:rPr>
              <w:t>All “other” temperate forests</w:t>
            </w:r>
          </w:p>
        </w:tc>
        <w:tc>
          <w:tcPr>
            <w:tcW w:w="784" w:type="dxa"/>
          </w:tcPr>
          <w:p>
            <w:pPr>
              <w:pStyle w:val="TableParagraph"/>
              <w:spacing w:before="40"/>
              <w:ind w:left="251"/>
              <w:rPr>
                <w:b/>
                <w:sz w:val="16"/>
              </w:rPr>
            </w:pPr>
            <w:r>
              <w:rPr>
                <w:b/>
                <w:sz w:val="16"/>
              </w:rPr>
              <w:t>0.45</w:t>
            </w:r>
          </w:p>
        </w:tc>
        <w:tc>
          <w:tcPr>
            <w:tcW w:w="782" w:type="dxa"/>
          </w:tcPr>
          <w:p>
            <w:pPr>
              <w:pStyle w:val="TableParagraph"/>
              <w:spacing w:before="40"/>
              <w:ind w:left="192" w:right="178"/>
              <w:jc w:val="center"/>
              <w:rPr>
                <w:b/>
                <w:sz w:val="16"/>
              </w:rPr>
            </w:pPr>
            <w:r>
              <w:rPr>
                <w:b/>
                <w:sz w:val="16"/>
              </w:rPr>
              <w:t>0.16</w:t>
            </w:r>
          </w:p>
        </w:tc>
        <w:tc>
          <w:tcPr>
            <w:tcW w:w="604" w:type="dxa"/>
          </w:tcPr>
          <w:p>
            <w:pPr>
              <w:pStyle w:val="TableParagraph"/>
              <w:spacing w:before="40"/>
              <w:ind w:left="53" w:right="38"/>
              <w:jc w:val="center"/>
              <w:rPr>
                <w:b/>
                <w:sz w:val="16"/>
              </w:rPr>
            </w:pPr>
            <w:r>
              <w:rPr>
                <w:b/>
                <w:sz w:val="16"/>
              </w:rPr>
              <w:t>19</w:t>
            </w:r>
          </w:p>
        </w:tc>
        <w:tc>
          <w:tcPr>
            <w:tcW w:w="1173" w:type="dxa"/>
          </w:tcPr>
          <w:p>
            <w:pPr>
              <w:pStyle w:val="TableParagraph"/>
              <w:spacing w:before="40"/>
              <w:ind w:left="165" w:right="155"/>
              <w:jc w:val="center"/>
              <w:rPr>
                <w:b/>
                <w:sz w:val="16"/>
              </w:rPr>
            </w:pPr>
            <w:r>
              <w:rPr>
                <w:b/>
                <w:sz w:val="16"/>
              </w:rPr>
              <w:t>0.16 – 0.84</w:t>
            </w:r>
          </w:p>
        </w:tc>
        <w:tc>
          <w:tcPr>
            <w:tcW w:w="559" w:type="dxa"/>
          </w:tcPr>
          <w:p>
            <w:pPr>
              <w:pStyle w:val="TableParagraph"/>
              <w:spacing w:before="40"/>
              <w:ind w:left="41" w:right="27"/>
              <w:jc w:val="center"/>
              <w:rPr>
                <w:b/>
                <w:sz w:val="16"/>
              </w:rPr>
            </w:pPr>
            <w:r>
              <w:rPr>
                <w:b/>
                <w:sz w:val="16"/>
              </w:rPr>
              <w:t>17</w:t>
            </w:r>
          </w:p>
        </w:tc>
        <w:tc>
          <w:tcPr>
            <w:tcW w:w="1389" w:type="dxa"/>
          </w:tcPr>
          <w:p>
            <w:pPr>
              <w:pStyle w:val="TableParagraph"/>
              <w:spacing w:before="37"/>
              <w:ind w:left="111"/>
              <w:rPr>
                <w:sz w:val="16"/>
              </w:rPr>
            </w:pPr>
            <w:r>
              <w:rPr>
                <w:sz w:val="16"/>
              </w:rPr>
              <w:t>53, 56</w:t>
            </w:r>
          </w:p>
        </w:tc>
      </w:tr>
      <w:tr>
        <w:trPr>
          <w:trHeight w:val="273" w:hRule="atLeast"/>
        </w:trPr>
        <w:tc>
          <w:tcPr>
            <w:tcW w:w="1610" w:type="dxa"/>
            <w:vMerge w:val="restart"/>
          </w:tcPr>
          <w:p>
            <w:pPr>
              <w:pStyle w:val="TableParagraph"/>
              <w:rPr>
                <w:sz w:val="18"/>
              </w:rPr>
            </w:pPr>
          </w:p>
          <w:p>
            <w:pPr>
              <w:pStyle w:val="TableParagraph"/>
              <w:spacing w:before="111"/>
              <w:ind w:left="107"/>
              <w:rPr>
                <w:sz w:val="16"/>
              </w:rPr>
            </w:pPr>
            <w:r>
              <w:rPr>
                <w:sz w:val="16"/>
              </w:rPr>
              <w:t>Shrublands</w:t>
            </w:r>
          </w:p>
        </w:tc>
        <w:tc>
          <w:tcPr>
            <w:tcW w:w="2109" w:type="dxa"/>
          </w:tcPr>
          <w:p>
            <w:pPr>
              <w:pStyle w:val="TableParagraph"/>
              <w:spacing w:before="37"/>
              <w:ind w:left="108"/>
              <w:rPr>
                <w:sz w:val="16"/>
              </w:rPr>
            </w:pPr>
            <w:r>
              <w:rPr>
                <w:sz w:val="16"/>
              </w:rPr>
              <w:t>Shrubland (general)</w:t>
            </w:r>
          </w:p>
        </w:tc>
        <w:tc>
          <w:tcPr>
            <w:tcW w:w="784" w:type="dxa"/>
          </w:tcPr>
          <w:p>
            <w:pPr>
              <w:pStyle w:val="TableParagraph"/>
              <w:spacing w:before="37"/>
              <w:ind w:left="251"/>
              <w:rPr>
                <w:sz w:val="16"/>
              </w:rPr>
            </w:pPr>
            <w:r>
              <w:rPr>
                <w:sz w:val="16"/>
              </w:rPr>
              <w:t>0.95</w:t>
            </w:r>
          </w:p>
        </w:tc>
        <w:tc>
          <w:tcPr>
            <w:tcW w:w="782" w:type="dxa"/>
          </w:tcPr>
          <w:p>
            <w:pPr>
              <w:pStyle w:val="TableParagraph"/>
              <w:spacing w:before="37"/>
              <w:ind w:left="15"/>
              <w:jc w:val="center"/>
              <w:rPr>
                <w:sz w:val="16"/>
              </w:rPr>
            </w:pPr>
            <w:r>
              <w:rPr>
                <w:w w:val="100"/>
                <w:sz w:val="16"/>
              </w:rPr>
              <w:t>-</w:t>
            </w:r>
          </w:p>
        </w:tc>
        <w:tc>
          <w:tcPr>
            <w:tcW w:w="604" w:type="dxa"/>
          </w:tcPr>
          <w:p>
            <w:pPr>
              <w:pStyle w:val="TableParagraph"/>
              <w:spacing w:before="37"/>
              <w:ind w:left="14"/>
              <w:jc w:val="center"/>
              <w:rPr>
                <w:sz w:val="16"/>
              </w:rPr>
            </w:pPr>
            <w:r>
              <w:rPr>
                <w:w w:val="100"/>
                <w:sz w:val="16"/>
              </w:rPr>
              <w:t>1</w:t>
            </w:r>
          </w:p>
        </w:tc>
        <w:tc>
          <w:tcPr>
            <w:tcW w:w="1173" w:type="dxa"/>
          </w:tcPr>
          <w:p>
            <w:pPr>
              <w:pStyle w:val="TableParagraph"/>
              <w:spacing w:before="37"/>
              <w:ind w:left="15"/>
              <w:jc w:val="center"/>
              <w:rPr>
                <w:sz w:val="16"/>
              </w:rPr>
            </w:pPr>
            <w:r>
              <w:rPr>
                <w:w w:val="100"/>
                <w:sz w:val="16"/>
              </w:rPr>
              <w:t>-</w:t>
            </w:r>
          </w:p>
        </w:tc>
        <w:tc>
          <w:tcPr>
            <w:tcW w:w="559" w:type="dxa"/>
          </w:tcPr>
          <w:p>
            <w:pPr>
              <w:pStyle w:val="TableParagraph"/>
              <w:spacing w:before="37"/>
              <w:ind w:left="14"/>
              <w:jc w:val="center"/>
              <w:rPr>
                <w:sz w:val="16"/>
              </w:rPr>
            </w:pPr>
            <w:r>
              <w:rPr>
                <w:w w:val="100"/>
                <w:sz w:val="16"/>
              </w:rPr>
              <w:t>1</w:t>
            </w:r>
          </w:p>
        </w:tc>
        <w:tc>
          <w:tcPr>
            <w:tcW w:w="1389" w:type="dxa"/>
          </w:tcPr>
          <w:p>
            <w:pPr>
              <w:pStyle w:val="TableParagraph"/>
              <w:spacing w:before="37"/>
              <w:ind w:left="111"/>
              <w:rPr>
                <w:sz w:val="16"/>
              </w:rPr>
            </w:pPr>
            <w:r>
              <w:rPr>
                <w:sz w:val="16"/>
              </w:rPr>
              <w:t>44</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i/>
                <w:sz w:val="16"/>
              </w:rPr>
              <w:t>Calluna </w:t>
            </w:r>
            <w:r>
              <w:rPr>
                <w:sz w:val="16"/>
              </w:rPr>
              <w:t>heath</w:t>
            </w:r>
          </w:p>
        </w:tc>
        <w:tc>
          <w:tcPr>
            <w:tcW w:w="784" w:type="dxa"/>
          </w:tcPr>
          <w:p>
            <w:pPr>
              <w:pStyle w:val="TableParagraph"/>
              <w:spacing w:before="37"/>
              <w:ind w:left="250"/>
              <w:rPr>
                <w:sz w:val="16"/>
              </w:rPr>
            </w:pPr>
            <w:r>
              <w:rPr>
                <w:sz w:val="16"/>
              </w:rPr>
              <w:t>0.71</w:t>
            </w:r>
          </w:p>
        </w:tc>
        <w:tc>
          <w:tcPr>
            <w:tcW w:w="782" w:type="dxa"/>
          </w:tcPr>
          <w:p>
            <w:pPr>
              <w:pStyle w:val="TableParagraph"/>
              <w:spacing w:before="37"/>
              <w:ind w:left="191" w:right="178"/>
              <w:jc w:val="center"/>
              <w:rPr>
                <w:sz w:val="16"/>
              </w:rPr>
            </w:pPr>
            <w:r>
              <w:rPr>
                <w:sz w:val="16"/>
              </w:rPr>
              <w:t>0.30</w:t>
            </w:r>
          </w:p>
        </w:tc>
        <w:tc>
          <w:tcPr>
            <w:tcW w:w="604" w:type="dxa"/>
          </w:tcPr>
          <w:p>
            <w:pPr>
              <w:pStyle w:val="TableParagraph"/>
              <w:spacing w:before="37"/>
              <w:ind w:left="12"/>
              <w:jc w:val="center"/>
              <w:rPr>
                <w:sz w:val="16"/>
              </w:rPr>
            </w:pPr>
            <w:r>
              <w:rPr>
                <w:w w:val="100"/>
                <w:sz w:val="16"/>
              </w:rPr>
              <w:t>4</w:t>
            </w:r>
          </w:p>
        </w:tc>
        <w:tc>
          <w:tcPr>
            <w:tcW w:w="1173" w:type="dxa"/>
          </w:tcPr>
          <w:p>
            <w:pPr>
              <w:pStyle w:val="TableParagraph"/>
              <w:spacing w:before="37"/>
              <w:ind w:left="164" w:right="155"/>
              <w:jc w:val="center"/>
              <w:rPr>
                <w:sz w:val="16"/>
              </w:rPr>
            </w:pPr>
            <w:r>
              <w:rPr>
                <w:sz w:val="16"/>
              </w:rPr>
              <w:t>0.27 – 0.98</w:t>
            </w:r>
          </w:p>
        </w:tc>
        <w:tc>
          <w:tcPr>
            <w:tcW w:w="559" w:type="dxa"/>
          </w:tcPr>
          <w:p>
            <w:pPr>
              <w:pStyle w:val="TableParagraph"/>
              <w:spacing w:before="37"/>
              <w:ind w:left="11"/>
              <w:jc w:val="center"/>
              <w:rPr>
                <w:sz w:val="16"/>
              </w:rPr>
            </w:pPr>
            <w:r>
              <w:rPr>
                <w:w w:val="100"/>
                <w:sz w:val="16"/>
              </w:rPr>
              <w:t>4</w:t>
            </w:r>
          </w:p>
        </w:tc>
        <w:tc>
          <w:tcPr>
            <w:tcW w:w="1389" w:type="dxa"/>
          </w:tcPr>
          <w:p>
            <w:pPr>
              <w:pStyle w:val="TableParagraph"/>
              <w:spacing w:before="37"/>
              <w:ind w:left="110"/>
              <w:rPr>
                <w:sz w:val="16"/>
              </w:rPr>
            </w:pPr>
            <w:r>
              <w:rPr>
                <w:sz w:val="16"/>
              </w:rPr>
              <w:t>26, 56, 39</w:t>
            </w:r>
          </w:p>
        </w:tc>
      </w:tr>
      <w:tr>
        <w:trPr>
          <w:trHeight w:val="275"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Fynbos</w:t>
            </w:r>
          </w:p>
        </w:tc>
        <w:tc>
          <w:tcPr>
            <w:tcW w:w="784" w:type="dxa"/>
          </w:tcPr>
          <w:p>
            <w:pPr>
              <w:pStyle w:val="TableParagraph"/>
              <w:spacing w:before="37"/>
              <w:ind w:left="250"/>
              <w:rPr>
                <w:sz w:val="16"/>
              </w:rPr>
            </w:pPr>
            <w:r>
              <w:rPr>
                <w:sz w:val="16"/>
              </w:rPr>
              <w:t>0.61</w:t>
            </w:r>
          </w:p>
        </w:tc>
        <w:tc>
          <w:tcPr>
            <w:tcW w:w="782" w:type="dxa"/>
          </w:tcPr>
          <w:p>
            <w:pPr>
              <w:pStyle w:val="TableParagraph"/>
              <w:spacing w:before="37"/>
              <w:ind w:left="190" w:right="178"/>
              <w:jc w:val="center"/>
              <w:rPr>
                <w:sz w:val="16"/>
              </w:rPr>
            </w:pPr>
            <w:r>
              <w:rPr>
                <w:sz w:val="16"/>
              </w:rPr>
              <w:t>0.16</w:t>
            </w:r>
          </w:p>
        </w:tc>
        <w:tc>
          <w:tcPr>
            <w:tcW w:w="604" w:type="dxa"/>
          </w:tcPr>
          <w:p>
            <w:pPr>
              <w:pStyle w:val="TableParagraph"/>
              <w:spacing w:before="37"/>
              <w:ind w:left="12"/>
              <w:jc w:val="center"/>
              <w:rPr>
                <w:sz w:val="16"/>
              </w:rPr>
            </w:pPr>
            <w:r>
              <w:rPr>
                <w:w w:val="100"/>
                <w:sz w:val="16"/>
              </w:rPr>
              <w:t>2</w:t>
            </w:r>
          </w:p>
        </w:tc>
        <w:tc>
          <w:tcPr>
            <w:tcW w:w="1173" w:type="dxa"/>
          </w:tcPr>
          <w:p>
            <w:pPr>
              <w:pStyle w:val="TableParagraph"/>
              <w:spacing w:before="37"/>
              <w:ind w:left="163" w:right="155"/>
              <w:jc w:val="center"/>
              <w:rPr>
                <w:sz w:val="16"/>
              </w:rPr>
            </w:pPr>
            <w:r>
              <w:rPr>
                <w:sz w:val="16"/>
              </w:rPr>
              <w:t>0.50 – 0.87</w:t>
            </w:r>
          </w:p>
        </w:tc>
        <w:tc>
          <w:tcPr>
            <w:tcW w:w="559" w:type="dxa"/>
          </w:tcPr>
          <w:p>
            <w:pPr>
              <w:pStyle w:val="TableParagraph"/>
              <w:spacing w:before="37"/>
              <w:ind w:left="11"/>
              <w:jc w:val="center"/>
              <w:rPr>
                <w:sz w:val="16"/>
              </w:rPr>
            </w:pPr>
            <w:r>
              <w:rPr>
                <w:w w:val="100"/>
                <w:sz w:val="16"/>
              </w:rPr>
              <w:t>2</w:t>
            </w:r>
          </w:p>
        </w:tc>
        <w:tc>
          <w:tcPr>
            <w:tcW w:w="1389" w:type="dxa"/>
          </w:tcPr>
          <w:p>
            <w:pPr>
              <w:pStyle w:val="TableParagraph"/>
              <w:spacing w:before="37"/>
              <w:ind w:left="110"/>
              <w:rPr>
                <w:sz w:val="16"/>
              </w:rPr>
            </w:pPr>
            <w:r>
              <w:rPr>
                <w:sz w:val="16"/>
              </w:rPr>
              <w:t>70, 44</w:t>
            </w:r>
          </w:p>
        </w:tc>
      </w:tr>
      <w:tr>
        <w:trPr>
          <w:trHeight w:val="273" w:hRule="atLeast"/>
        </w:trPr>
        <w:tc>
          <w:tcPr>
            <w:tcW w:w="3719" w:type="dxa"/>
            <w:gridSpan w:val="2"/>
          </w:tcPr>
          <w:p>
            <w:pPr>
              <w:pStyle w:val="TableParagraph"/>
              <w:spacing w:before="40"/>
              <w:ind w:left="107"/>
              <w:rPr>
                <w:b/>
                <w:sz w:val="16"/>
              </w:rPr>
            </w:pPr>
            <w:r>
              <w:rPr>
                <w:b/>
                <w:sz w:val="16"/>
              </w:rPr>
              <w:t>All Shrublands</w:t>
            </w:r>
          </w:p>
        </w:tc>
        <w:tc>
          <w:tcPr>
            <w:tcW w:w="784" w:type="dxa"/>
          </w:tcPr>
          <w:p>
            <w:pPr>
              <w:pStyle w:val="TableParagraph"/>
              <w:spacing w:before="40"/>
              <w:ind w:left="250"/>
              <w:rPr>
                <w:b/>
                <w:sz w:val="16"/>
              </w:rPr>
            </w:pPr>
            <w:r>
              <w:rPr>
                <w:b/>
                <w:sz w:val="16"/>
              </w:rPr>
              <w:t>0.72</w:t>
            </w:r>
          </w:p>
        </w:tc>
        <w:tc>
          <w:tcPr>
            <w:tcW w:w="782" w:type="dxa"/>
          </w:tcPr>
          <w:p>
            <w:pPr>
              <w:pStyle w:val="TableParagraph"/>
              <w:spacing w:before="40"/>
              <w:ind w:left="191" w:right="178"/>
              <w:jc w:val="center"/>
              <w:rPr>
                <w:b/>
                <w:sz w:val="16"/>
              </w:rPr>
            </w:pPr>
            <w:r>
              <w:rPr>
                <w:b/>
                <w:sz w:val="16"/>
              </w:rPr>
              <w:t>0.25</w:t>
            </w:r>
          </w:p>
        </w:tc>
        <w:tc>
          <w:tcPr>
            <w:tcW w:w="604" w:type="dxa"/>
          </w:tcPr>
          <w:p>
            <w:pPr>
              <w:pStyle w:val="TableParagraph"/>
              <w:spacing w:before="40"/>
              <w:ind w:left="13"/>
              <w:jc w:val="center"/>
              <w:rPr>
                <w:b/>
                <w:sz w:val="16"/>
              </w:rPr>
            </w:pPr>
            <w:r>
              <w:rPr>
                <w:b/>
                <w:w w:val="100"/>
                <w:sz w:val="16"/>
              </w:rPr>
              <w:t>7</w:t>
            </w:r>
          </w:p>
        </w:tc>
        <w:tc>
          <w:tcPr>
            <w:tcW w:w="1173" w:type="dxa"/>
          </w:tcPr>
          <w:p>
            <w:pPr>
              <w:pStyle w:val="TableParagraph"/>
              <w:spacing w:before="40"/>
              <w:ind w:left="164" w:right="155"/>
              <w:jc w:val="center"/>
              <w:rPr>
                <w:b/>
                <w:sz w:val="16"/>
              </w:rPr>
            </w:pPr>
            <w:r>
              <w:rPr>
                <w:b/>
                <w:sz w:val="16"/>
              </w:rPr>
              <w:t>0.27 – 0.98</w:t>
            </w:r>
          </w:p>
        </w:tc>
        <w:tc>
          <w:tcPr>
            <w:tcW w:w="559" w:type="dxa"/>
          </w:tcPr>
          <w:p>
            <w:pPr>
              <w:pStyle w:val="TableParagraph"/>
              <w:spacing w:before="40"/>
              <w:ind w:left="13"/>
              <w:jc w:val="center"/>
              <w:rPr>
                <w:b/>
                <w:sz w:val="16"/>
              </w:rPr>
            </w:pPr>
            <w:r>
              <w:rPr>
                <w:b/>
                <w:w w:val="100"/>
                <w:sz w:val="16"/>
              </w:rPr>
              <w:t>7</w:t>
            </w:r>
          </w:p>
        </w:tc>
        <w:tc>
          <w:tcPr>
            <w:tcW w:w="1389" w:type="dxa"/>
          </w:tcPr>
          <w:p>
            <w:pPr>
              <w:pStyle w:val="TableParagraph"/>
              <w:rPr>
                <w:sz w:val="16"/>
              </w:rPr>
            </w:pPr>
          </w:p>
        </w:tc>
      </w:tr>
      <w:tr>
        <w:trPr>
          <w:trHeight w:val="273" w:hRule="atLeast"/>
        </w:trPr>
        <w:tc>
          <w:tcPr>
            <w:tcW w:w="1610" w:type="dxa"/>
            <w:vMerge w:val="restart"/>
          </w:tcPr>
          <w:p>
            <w:pPr>
              <w:pStyle w:val="TableParagraph"/>
              <w:spacing w:before="133"/>
              <w:ind w:left="107" w:right="162"/>
              <w:rPr>
                <w:sz w:val="16"/>
              </w:rPr>
            </w:pPr>
            <w:r>
              <w:rPr>
                <w:sz w:val="16"/>
              </w:rPr>
              <w:t>Savanna Woodlands (early dry season burns)*</w:t>
            </w:r>
          </w:p>
        </w:tc>
        <w:tc>
          <w:tcPr>
            <w:tcW w:w="2109" w:type="dxa"/>
          </w:tcPr>
          <w:p>
            <w:pPr>
              <w:pStyle w:val="TableParagraph"/>
              <w:spacing w:before="37"/>
              <w:ind w:left="108"/>
              <w:rPr>
                <w:sz w:val="16"/>
              </w:rPr>
            </w:pPr>
            <w:r>
              <w:rPr>
                <w:sz w:val="16"/>
              </w:rPr>
              <w:t>Savanna woodland</w:t>
            </w:r>
            <w:r>
              <w:rPr>
                <w:sz w:val="16"/>
                <w:vertAlign w:val="superscript"/>
              </w:rPr>
              <w:t>@</w:t>
            </w:r>
          </w:p>
        </w:tc>
        <w:tc>
          <w:tcPr>
            <w:tcW w:w="784" w:type="dxa"/>
          </w:tcPr>
          <w:p>
            <w:pPr>
              <w:pStyle w:val="TableParagraph"/>
              <w:spacing w:before="37"/>
              <w:ind w:left="250"/>
              <w:rPr>
                <w:sz w:val="16"/>
              </w:rPr>
            </w:pPr>
            <w:r>
              <w:rPr>
                <w:sz w:val="16"/>
              </w:rPr>
              <w:t>0.22</w:t>
            </w:r>
          </w:p>
        </w:tc>
        <w:tc>
          <w:tcPr>
            <w:tcW w:w="782" w:type="dxa"/>
          </w:tcPr>
          <w:p>
            <w:pPr>
              <w:pStyle w:val="TableParagraph"/>
              <w:spacing w:before="37"/>
              <w:ind w:left="14"/>
              <w:jc w:val="center"/>
              <w:rPr>
                <w:sz w:val="16"/>
              </w:rPr>
            </w:pPr>
            <w:r>
              <w:rPr>
                <w:w w:val="100"/>
                <w:sz w:val="16"/>
              </w:rPr>
              <w:t>-</w:t>
            </w:r>
          </w:p>
        </w:tc>
        <w:tc>
          <w:tcPr>
            <w:tcW w:w="604" w:type="dxa"/>
          </w:tcPr>
          <w:p>
            <w:pPr>
              <w:pStyle w:val="TableParagraph"/>
              <w:spacing w:before="37"/>
              <w:ind w:left="13"/>
              <w:jc w:val="center"/>
              <w:rPr>
                <w:sz w:val="16"/>
              </w:rPr>
            </w:pPr>
            <w:r>
              <w:rPr>
                <w:w w:val="100"/>
                <w:sz w:val="16"/>
              </w:rPr>
              <w:t>1</w:t>
            </w:r>
          </w:p>
        </w:tc>
        <w:tc>
          <w:tcPr>
            <w:tcW w:w="1173" w:type="dxa"/>
          </w:tcPr>
          <w:p>
            <w:pPr>
              <w:pStyle w:val="TableParagraph"/>
              <w:spacing w:before="37"/>
              <w:ind w:left="164" w:right="155"/>
              <w:jc w:val="center"/>
              <w:rPr>
                <w:sz w:val="16"/>
              </w:rPr>
            </w:pPr>
            <w:r>
              <w:rPr>
                <w:sz w:val="16"/>
              </w:rPr>
              <w:t>0.01 – 0.47</w:t>
            </w:r>
          </w:p>
        </w:tc>
        <w:tc>
          <w:tcPr>
            <w:tcW w:w="559" w:type="dxa"/>
          </w:tcPr>
          <w:p>
            <w:pPr>
              <w:pStyle w:val="TableParagraph"/>
              <w:spacing w:before="37"/>
              <w:ind w:left="12"/>
              <w:jc w:val="center"/>
              <w:rPr>
                <w:sz w:val="16"/>
              </w:rPr>
            </w:pPr>
            <w:r>
              <w:rPr>
                <w:w w:val="100"/>
                <w:sz w:val="16"/>
              </w:rPr>
              <w:t>1</w:t>
            </w:r>
          </w:p>
        </w:tc>
        <w:tc>
          <w:tcPr>
            <w:tcW w:w="1389" w:type="dxa"/>
          </w:tcPr>
          <w:p>
            <w:pPr>
              <w:pStyle w:val="TableParagraph"/>
              <w:spacing w:before="37"/>
              <w:ind w:left="111"/>
              <w:rPr>
                <w:sz w:val="16"/>
              </w:rPr>
            </w:pPr>
            <w:r>
              <w:rPr>
                <w:sz w:val="16"/>
              </w:rPr>
              <w:t>28</w:t>
            </w:r>
          </w:p>
        </w:tc>
      </w:tr>
      <w:tr>
        <w:trPr>
          <w:trHeight w:val="275"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Savanna parkland</w:t>
            </w:r>
          </w:p>
        </w:tc>
        <w:tc>
          <w:tcPr>
            <w:tcW w:w="784" w:type="dxa"/>
          </w:tcPr>
          <w:p>
            <w:pPr>
              <w:pStyle w:val="TableParagraph"/>
              <w:spacing w:before="37"/>
              <w:ind w:left="250"/>
              <w:rPr>
                <w:sz w:val="16"/>
              </w:rPr>
            </w:pPr>
            <w:r>
              <w:rPr>
                <w:sz w:val="16"/>
              </w:rPr>
              <w:t>0.73</w:t>
            </w:r>
          </w:p>
        </w:tc>
        <w:tc>
          <w:tcPr>
            <w:tcW w:w="782" w:type="dxa"/>
          </w:tcPr>
          <w:p>
            <w:pPr>
              <w:pStyle w:val="TableParagraph"/>
              <w:spacing w:before="37"/>
              <w:ind w:left="14"/>
              <w:jc w:val="center"/>
              <w:rPr>
                <w:sz w:val="16"/>
              </w:rPr>
            </w:pPr>
            <w:r>
              <w:rPr>
                <w:w w:val="100"/>
                <w:sz w:val="16"/>
              </w:rPr>
              <w:t>-</w:t>
            </w:r>
          </w:p>
        </w:tc>
        <w:tc>
          <w:tcPr>
            <w:tcW w:w="604" w:type="dxa"/>
          </w:tcPr>
          <w:p>
            <w:pPr>
              <w:pStyle w:val="TableParagraph"/>
              <w:spacing w:before="37"/>
              <w:ind w:left="14"/>
              <w:jc w:val="center"/>
              <w:rPr>
                <w:sz w:val="16"/>
              </w:rPr>
            </w:pPr>
            <w:r>
              <w:rPr>
                <w:w w:val="100"/>
                <w:sz w:val="16"/>
              </w:rPr>
              <w:t>1</w:t>
            </w:r>
          </w:p>
        </w:tc>
        <w:tc>
          <w:tcPr>
            <w:tcW w:w="1173" w:type="dxa"/>
          </w:tcPr>
          <w:p>
            <w:pPr>
              <w:pStyle w:val="TableParagraph"/>
              <w:spacing w:before="37"/>
              <w:ind w:left="165" w:right="155"/>
              <w:jc w:val="center"/>
              <w:rPr>
                <w:sz w:val="16"/>
              </w:rPr>
            </w:pPr>
            <w:r>
              <w:rPr>
                <w:sz w:val="16"/>
              </w:rPr>
              <w:t>0.44 – 0.87</w:t>
            </w:r>
          </w:p>
        </w:tc>
        <w:tc>
          <w:tcPr>
            <w:tcW w:w="559" w:type="dxa"/>
          </w:tcPr>
          <w:p>
            <w:pPr>
              <w:pStyle w:val="TableParagraph"/>
              <w:spacing w:before="37"/>
              <w:ind w:left="13"/>
              <w:jc w:val="center"/>
              <w:rPr>
                <w:sz w:val="16"/>
              </w:rPr>
            </w:pPr>
            <w:r>
              <w:rPr>
                <w:w w:val="100"/>
                <w:sz w:val="16"/>
              </w:rPr>
              <w:t>1</w:t>
            </w:r>
          </w:p>
        </w:tc>
        <w:tc>
          <w:tcPr>
            <w:tcW w:w="1389" w:type="dxa"/>
          </w:tcPr>
          <w:p>
            <w:pPr>
              <w:pStyle w:val="TableParagraph"/>
              <w:spacing w:before="37"/>
              <w:ind w:left="111"/>
              <w:rPr>
                <w:sz w:val="16"/>
              </w:rPr>
            </w:pPr>
            <w:r>
              <w:rPr>
                <w:sz w:val="16"/>
              </w:rPr>
              <w:t>57</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Other savanna woodlands</w:t>
            </w:r>
          </w:p>
        </w:tc>
        <w:tc>
          <w:tcPr>
            <w:tcW w:w="784" w:type="dxa"/>
          </w:tcPr>
          <w:p>
            <w:pPr>
              <w:pStyle w:val="TableParagraph"/>
              <w:spacing w:before="37"/>
              <w:ind w:left="250"/>
              <w:rPr>
                <w:sz w:val="16"/>
              </w:rPr>
            </w:pPr>
            <w:r>
              <w:rPr>
                <w:sz w:val="16"/>
              </w:rPr>
              <w:t>0.37</w:t>
            </w:r>
          </w:p>
        </w:tc>
        <w:tc>
          <w:tcPr>
            <w:tcW w:w="782" w:type="dxa"/>
          </w:tcPr>
          <w:p>
            <w:pPr>
              <w:pStyle w:val="TableParagraph"/>
              <w:spacing w:before="37"/>
              <w:ind w:left="191" w:right="178"/>
              <w:jc w:val="center"/>
              <w:rPr>
                <w:sz w:val="16"/>
              </w:rPr>
            </w:pPr>
            <w:r>
              <w:rPr>
                <w:sz w:val="16"/>
              </w:rPr>
              <w:t>0.19</w:t>
            </w:r>
          </w:p>
        </w:tc>
        <w:tc>
          <w:tcPr>
            <w:tcW w:w="604" w:type="dxa"/>
          </w:tcPr>
          <w:p>
            <w:pPr>
              <w:pStyle w:val="TableParagraph"/>
              <w:spacing w:before="37"/>
              <w:ind w:left="13"/>
              <w:jc w:val="center"/>
              <w:rPr>
                <w:sz w:val="16"/>
              </w:rPr>
            </w:pPr>
            <w:r>
              <w:rPr>
                <w:w w:val="100"/>
                <w:sz w:val="16"/>
              </w:rPr>
              <w:t>4</w:t>
            </w:r>
          </w:p>
        </w:tc>
        <w:tc>
          <w:tcPr>
            <w:tcW w:w="1173" w:type="dxa"/>
          </w:tcPr>
          <w:p>
            <w:pPr>
              <w:pStyle w:val="TableParagraph"/>
              <w:spacing w:before="37"/>
              <w:ind w:left="164" w:right="155"/>
              <w:jc w:val="center"/>
              <w:rPr>
                <w:sz w:val="16"/>
              </w:rPr>
            </w:pPr>
            <w:r>
              <w:rPr>
                <w:sz w:val="16"/>
              </w:rPr>
              <w:t>0.14 – 0.63</w:t>
            </w:r>
          </w:p>
        </w:tc>
        <w:tc>
          <w:tcPr>
            <w:tcW w:w="559" w:type="dxa"/>
          </w:tcPr>
          <w:p>
            <w:pPr>
              <w:pStyle w:val="TableParagraph"/>
              <w:spacing w:before="37"/>
              <w:ind w:left="12"/>
              <w:jc w:val="center"/>
              <w:rPr>
                <w:sz w:val="16"/>
              </w:rPr>
            </w:pPr>
            <w:r>
              <w:rPr>
                <w:w w:val="100"/>
                <w:sz w:val="16"/>
              </w:rPr>
              <w:t>4</w:t>
            </w:r>
          </w:p>
        </w:tc>
        <w:tc>
          <w:tcPr>
            <w:tcW w:w="1389" w:type="dxa"/>
          </w:tcPr>
          <w:p>
            <w:pPr>
              <w:pStyle w:val="TableParagraph"/>
              <w:spacing w:before="37"/>
              <w:ind w:left="111"/>
              <w:rPr>
                <w:sz w:val="16"/>
              </w:rPr>
            </w:pPr>
            <w:r>
              <w:rPr>
                <w:sz w:val="16"/>
              </w:rPr>
              <w:t>22, 29</w:t>
            </w:r>
          </w:p>
        </w:tc>
      </w:tr>
      <w:tr>
        <w:trPr>
          <w:trHeight w:val="273" w:hRule="atLeast"/>
        </w:trPr>
        <w:tc>
          <w:tcPr>
            <w:tcW w:w="3719" w:type="dxa"/>
            <w:gridSpan w:val="2"/>
          </w:tcPr>
          <w:p>
            <w:pPr>
              <w:pStyle w:val="TableParagraph"/>
              <w:spacing w:before="40"/>
              <w:ind w:left="107"/>
              <w:rPr>
                <w:b/>
                <w:sz w:val="16"/>
              </w:rPr>
            </w:pPr>
            <w:r>
              <w:rPr>
                <w:b/>
                <w:sz w:val="16"/>
              </w:rPr>
              <w:t>All savanna woodlands (early dry season burns)</w:t>
            </w:r>
          </w:p>
        </w:tc>
        <w:tc>
          <w:tcPr>
            <w:tcW w:w="784" w:type="dxa"/>
          </w:tcPr>
          <w:p>
            <w:pPr>
              <w:pStyle w:val="TableParagraph"/>
              <w:spacing w:before="40"/>
              <w:ind w:left="250"/>
              <w:rPr>
                <w:b/>
                <w:sz w:val="16"/>
              </w:rPr>
            </w:pPr>
            <w:r>
              <w:rPr>
                <w:b/>
                <w:sz w:val="16"/>
              </w:rPr>
              <w:t>0.40</w:t>
            </w:r>
          </w:p>
        </w:tc>
        <w:tc>
          <w:tcPr>
            <w:tcW w:w="782" w:type="dxa"/>
          </w:tcPr>
          <w:p>
            <w:pPr>
              <w:pStyle w:val="TableParagraph"/>
              <w:spacing w:before="40"/>
              <w:ind w:left="190" w:right="178"/>
              <w:jc w:val="center"/>
              <w:rPr>
                <w:b/>
                <w:sz w:val="16"/>
              </w:rPr>
            </w:pPr>
            <w:r>
              <w:rPr>
                <w:b/>
                <w:sz w:val="16"/>
              </w:rPr>
              <w:t>0.22</w:t>
            </w:r>
          </w:p>
        </w:tc>
        <w:tc>
          <w:tcPr>
            <w:tcW w:w="604" w:type="dxa"/>
          </w:tcPr>
          <w:p>
            <w:pPr>
              <w:pStyle w:val="TableParagraph"/>
              <w:spacing w:before="40"/>
              <w:ind w:left="12"/>
              <w:jc w:val="center"/>
              <w:rPr>
                <w:b/>
                <w:sz w:val="16"/>
              </w:rPr>
            </w:pPr>
            <w:r>
              <w:rPr>
                <w:b/>
                <w:w w:val="100"/>
                <w:sz w:val="16"/>
              </w:rPr>
              <w:t>6</w:t>
            </w:r>
          </w:p>
        </w:tc>
        <w:tc>
          <w:tcPr>
            <w:tcW w:w="1173" w:type="dxa"/>
          </w:tcPr>
          <w:p>
            <w:pPr>
              <w:pStyle w:val="TableParagraph"/>
              <w:spacing w:before="40"/>
              <w:ind w:left="163" w:right="155"/>
              <w:jc w:val="center"/>
              <w:rPr>
                <w:b/>
                <w:sz w:val="16"/>
              </w:rPr>
            </w:pPr>
            <w:r>
              <w:rPr>
                <w:b/>
                <w:sz w:val="16"/>
              </w:rPr>
              <w:t>0.01 – 0.87</w:t>
            </w:r>
          </w:p>
        </w:tc>
        <w:tc>
          <w:tcPr>
            <w:tcW w:w="559" w:type="dxa"/>
          </w:tcPr>
          <w:p>
            <w:pPr>
              <w:pStyle w:val="TableParagraph"/>
              <w:spacing w:before="40"/>
              <w:ind w:left="11"/>
              <w:jc w:val="center"/>
              <w:rPr>
                <w:b/>
                <w:sz w:val="16"/>
              </w:rPr>
            </w:pPr>
            <w:r>
              <w:rPr>
                <w:b/>
                <w:w w:val="100"/>
                <w:sz w:val="16"/>
              </w:rPr>
              <w:t>6</w:t>
            </w:r>
          </w:p>
        </w:tc>
        <w:tc>
          <w:tcPr>
            <w:tcW w:w="1389" w:type="dxa"/>
          </w:tcPr>
          <w:p>
            <w:pPr>
              <w:pStyle w:val="TableParagraph"/>
              <w:rPr>
                <w:sz w:val="16"/>
              </w:rPr>
            </w:pPr>
          </w:p>
        </w:tc>
      </w:tr>
      <w:tr>
        <w:trPr>
          <w:trHeight w:val="275" w:hRule="atLeast"/>
        </w:trPr>
        <w:tc>
          <w:tcPr>
            <w:tcW w:w="1610" w:type="dxa"/>
            <w:vMerge w:val="restart"/>
          </w:tcPr>
          <w:p>
            <w:pPr>
              <w:pStyle w:val="TableParagraph"/>
              <w:spacing w:before="10"/>
              <w:rPr>
                <w:sz w:val="23"/>
              </w:rPr>
            </w:pPr>
          </w:p>
          <w:p>
            <w:pPr>
              <w:pStyle w:val="TableParagraph"/>
              <w:ind w:left="107" w:right="177"/>
              <w:jc w:val="both"/>
              <w:rPr>
                <w:sz w:val="16"/>
              </w:rPr>
            </w:pPr>
            <w:r>
              <w:rPr>
                <w:sz w:val="16"/>
              </w:rPr>
              <w:t>Savanna Woodlands (mid/late dry season burns)*</w:t>
            </w:r>
          </w:p>
        </w:tc>
        <w:tc>
          <w:tcPr>
            <w:tcW w:w="2109" w:type="dxa"/>
          </w:tcPr>
          <w:p>
            <w:pPr>
              <w:pStyle w:val="TableParagraph"/>
              <w:spacing w:before="37"/>
              <w:ind w:left="108"/>
              <w:rPr>
                <w:sz w:val="16"/>
              </w:rPr>
            </w:pPr>
            <w:r>
              <w:rPr>
                <w:sz w:val="16"/>
              </w:rPr>
              <w:t>Savanna woodland </w:t>
            </w:r>
            <w:r>
              <w:rPr>
                <w:sz w:val="16"/>
                <w:vertAlign w:val="superscript"/>
              </w:rPr>
              <w:t>@</w:t>
            </w:r>
          </w:p>
        </w:tc>
        <w:tc>
          <w:tcPr>
            <w:tcW w:w="784" w:type="dxa"/>
          </w:tcPr>
          <w:p>
            <w:pPr>
              <w:pStyle w:val="TableParagraph"/>
              <w:spacing w:before="37"/>
              <w:ind w:left="250"/>
              <w:rPr>
                <w:sz w:val="16"/>
              </w:rPr>
            </w:pPr>
            <w:r>
              <w:rPr>
                <w:sz w:val="16"/>
              </w:rPr>
              <w:t>0.72</w:t>
            </w:r>
          </w:p>
        </w:tc>
        <w:tc>
          <w:tcPr>
            <w:tcW w:w="782" w:type="dxa"/>
          </w:tcPr>
          <w:p>
            <w:pPr>
              <w:pStyle w:val="TableParagraph"/>
              <w:spacing w:before="37"/>
              <w:ind w:left="13"/>
              <w:jc w:val="center"/>
              <w:rPr>
                <w:sz w:val="16"/>
              </w:rPr>
            </w:pPr>
            <w:r>
              <w:rPr>
                <w:w w:val="100"/>
                <w:sz w:val="16"/>
              </w:rPr>
              <w:t>-</w:t>
            </w:r>
          </w:p>
        </w:tc>
        <w:tc>
          <w:tcPr>
            <w:tcW w:w="604" w:type="dxa"/>
          </w:tcPr>
          <w:p>
            <w:pPr>
              <w:pStyle w:val="TableParagraph"/>
              <w:spacing w:before="37"/>
              <w:ind w:left="13"/>
              <w:jc w:val="center"/>
              <w:rPr>
                <w:sz w:val="16"/>
              </w:rPr>
            </w:pPr>
            <w:r>
              <w:rPr>
                <w:w w:val="100"/>
                <w:sz w:val="16"/>
              </w:rPr>
              <w:t>1</w:t>
            </w:r>
          </w:p>
        </w:tc>
        <w:tc>
          <w:tcPr>
            <w:tcW w:w="1173" w:type="dxa"/>
          </w:tcPr>
          <w:p>
            <w:pPr>
              <w:pStyle w:val="TableParagraph"/>
              <w:spacing w:before="37"/>
              <w:ind w:left="164" w:right="155"/>
              <w:jc w:val="center"/>
              <w:rPr>
                <w:sz w:val="16"/>
              </w:rPr>
            </w:pPr>
            <w:r>
              <w:rPr>
                <w:sz w:val="16"/>
              </w:rPr>
              <w:t>0.71 – 0.88</w:t>
            </w:r>
          </w:p>
        </w:tc>
        <w:tc>
          <w:tcPr>
            <w:tcW w:w="559" w:type="dxa"/>
          </w:tcPr>
          <w:p>
            <w:pPr>
              <w:pStyle w:val="TableParagraph"/>
              <w:spacing w:before="37"/>
              <w:ind w:left="12"/>
              <w:jc w:val="center"/>
              <w:rPr>
                <w:sz w:val="16"/>
              </w:rPr>
            </w:pPr>
            <w:r>
              <w:rPr>
                <w:w w:val="100"/>
                <w:sz w:val="16"/>
              </w:rPr>
              <w:t>2</w:t>
            </w:r>
          </w:p>
        </w:tc>
        <w:tc>
          <w:tcPr>
            <w:tcW w:w="1389" w:type="dxa"/>
          </w:tcPr>
          <w:p>
            <w:pPr>
              <w:pStyle w:val="TableParagraph"/>
              <w:spacing w:before="37"/>
              <w:ind w:left="111"/>
              <w:rPr>
                <w:sz w:val="16"/>
              </w:rPr>
            </w:pPr>
            <w:r>
              <w:rPr>
                <w:sz w:val="16"/>
              </w:rPr>
              <w:t>66, 57</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Savanna parkland</w:t>
            </w:r>
          </w:p>
        </w:tc>
        <w:tc>
          <w:tcPr>
            <w:tcW w:w="784" w:type="dxa"/>
          </w:tcPr>
          <w:p>
            <w:pPr>
              <w:pStyle w:val="TableParagraph"/>
              <w:spacing w:before="37"/>
              <w:ind w:left="250"/>
              <w:rPr>
                <w:sz w:val="16"/>
              </w:rPr>
            </w:pPr>
            <w:r>
              <w:rPr>
                <w:sz w:val="16"/>
              </w:rPr>
              <w:t>0.82</w:t>
            </w:r>
          </w:p>
        </w:tc>
        <w:tc>
          <w:tcPr>
            <w:tcW w:w="782" w:type="dxa"/>
          </w:tcPr>
          <w:p>
            <w:pPr>
              <w:pStyle w:val="TableParagraph"/>
              <w:spacing w:before="37"/>
              <w:ind w:left="191" w:right="178"/>
              <w:jc w:val="center"/>
              <w:rPr>
                <w:sz w:val="16"/>
              </w:rPr>
            </w:pPr>
            <w:r>
              <w:rPr>
                <w:sz w:val="16"/>
              </w:rPr>
              <w:t>0.07</w:t>
            </w:r>
          </w:p>
        </w:tc>
        <w:tc>
          <w:tcPr>
            <w:tcW w:w="604" w:type="dxa"/>
          </w:tcPr>
          <w:p>
            <w:pPr>
              <w:pStyle w:val="TableParagraph"/>
              <w:spacing w:before="37"/>
              <w:ind w:left="13"/>
              <w:jc w:val="center"/>
              <w:rPr>
                <w:sz w:val="16"/>
              </w:rPr>
            </w:pPr>
            <w:r>
              <w:rPr>
                <w:w w:val="100"/>
                <w:sz w:val="16"/>
              </w:rPr>
              <w:t>6</w:t>
            </w:r>
          </w:p>
        </w:tc>
        <w:tc>
          <w:tcPr>
            <w:tcW w:w="1173" w:type="dxa"/>
          </w:tcPr>
          <w:p>
            <w:pPr>
              <w:pStyle w:val="TableParagraph"/>
              <w:spacing w:before="37"/>
              <w:ind w:left="164" w:right="155"/>
              <w:jc w:val="center"/>
              <w:rPr>
                <w:sz w:val="16"/>
              </w:rPr>
            </w:pPr>
            <w:r>
              <w:rPr>
                <w:sz w:val="16"/>
              </w:rPr>
              <w:t>0.49 – 0.96</w:t>
            </w:r>
          </w:p>
        </w:tc>
        <w:tc>
          <w:tcPr>
            <w:tcW w:w="559" w:type="dxa"/>
          </w:tcPr>
          <w:p>
            <w:pPr>
              <w:pStyle w:val="TableParagraph"/>
              <w:spacing w:before="37"/>
              <w:ind w:left="12"/>
              <w:jc w:val="center"/>
              <w:rPr>
                <w:sz w:val="16"/>
              </w:rPr>
            </w:pPr>
            <w:r>
              <w:rPr>
                <w:w w:val="100"/>
                <w:sz w:val="16"/>
              </w:rPr>
              <w:t>6</w:t>
            </w:r>
          </w:p>
        </w:tc>
        <w:tc>
          <w:tcPr>
            <w:tcW w:w="1389" w:type="dxa"/>
          </w:tcPr>
          <w:p>
            <w:pPr>
              <w:pStyle w:val="TableParagraph"/>
              <w:spacing w:before="37"/>
              <w:ind w:left="110"/>
              <w:rPr>
                <w:sz w:val="16"/>
              </w:rPr>
            </w:pPr>
            <w:r>
              <w:rPr>
                <w:sz w:val="16"/>
              </w:rPr>
              <w:t>57, 6, 51</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Tropical savanna</w:t>
            </w:r>
            <w:r>
              <w:rPr>
                <w:sz w:val="16"/>
                <w:vertAlign w:val="superscript"/>
              </w:rPr>
              <w:t>#</w:t>
            </w:r>
          </w:p>
        </w:tc>
        <w:tc>
          <w:tcPr>
            <w:tcW w:w="784" w:type="dxa"/>
          </w:tcPr>
          <w:p>
            <w:pPr>
              <w:pStyle w:val="TableParagraph"/>
              <w:spacing w:before="37"/>
              <w:ind w:left="250"/>
              <w:rPr>
                <w:sz w:val="16"/>
              </w:rPr>
            </w:pPr>
            <w:r>
              <w:rPr>
                <w:sz w:val="16"/>
              </w:rPr>
              <w:t>0.73</w:t>
            </w:r>
          </w:p>
        </w:tc>
        <w:tc>
          <w:tcPr>
            <w:tcW w:w="782" w:type="dxa"/>
          </w:tcPr>
          <w:p>
            <w:pPr>
              <w:pStyle w:val="TableParagraph"/>
              <w:spacing w:before="37"/>
              <w:ind w:left="190" w:right="178"/>
              <w:jc w:val="center"/>
              <w:rPr>
                <w:sz w:val="16"/>
              </w:rPr>
            </w:pPr>
            <w:r>
              <w:rPr>
                <w:sz w:val="16"/>
              </w:rPr>
              <w:t>0.04</w:t>
            </w:r>
          </w:p>
        </w:tc>
        <w:tc>
          <w:tcPr>
            <w:tcW w:w="604" w:type="dxa"/>
          </w:tcPr>
          <w:p>
            <w:pPr>
              <w:pStyle w:val="TableParagraph"/>
              <w:spacing w:before="37"/>
              <w:ind w:left="12"/>
              <w:jc w:val="center"/>
              <w:rPr>
                <w:sz w:val="16"/>
              </w:rPr>
            </w:pPr>
            <w:r>
              <w:rPr>
                <w:w w:val="100"/>
                <w:sz w:val="16"/>
              </w:rPr>
              <w:t>3</w:t>
            </w:r>
          </w:p>
        </w:tc>
        <w:tc>
          <w:tcPr>
            <w:tcW w:w="1173" w:type="dxa"/>
          </w:tcPr>
          <w:p>
            <w:pPr>
              <w:pStyle w:val="TableParagraph"/>
              <w:spacing w:before="37"/>
              <w:ind w:left="163" w:right="155"/>
              <w:jc w:val="center"/>
              <w:rPr>
                <w:sz w:val="16"/>
              </w:rPr>
            </w:pPr>
            <w:r>
              <w:rPr>
                <w:sz w:val="16"/>
              </w:rPr>
              <w:t>0.63 – 0.94</w:t>
            </w:r>
          </w:p>
        </w:tc>
        <w:tc>
          <w:tcPr>
            <w:tcW w:w="559" w:type="dxa"/>
          </w:tcPr>
          <w:p>
            <w:pPr>
              <w:pStyle w:val="TableParagraph"/>
              <w:spacing w:before="37"/>
              <w:ind w:left="11"/>
              <w:jc w:val="center"/>
              <w:rPr>
                <w:sz w:val="16"/>
              </w:rPr>
            </w:pPr>
            <w:r>
              <w:rPr>
                <w:w w:val="100"/>
                <w:sz w:val="16"/>
              </w:rPr>
              <w:t>5</w:t>
            </w:r>
          </w:p>
        </w:tc>
        <w:tc>
          <w:tcPr>
            <w:tcW w:w="1389" w:type="dxa"/>
          </w:tcPr>
          <w:p>
            <w:pPr>
              <w:pStyle w:val="TableParagraph"/>
              <w:spacing w:before="37"/>
              <w:ind w:left="110"/>
              <w:rPr>
                <w:sz w:val="16"/>
              </w:rPr>
            </w:pPr>
            <w:r>
              <w:rPr>
                <w:sz w:val="16"/>
              </w:rPr>
              <w:t>52, 73, 66, 12</w:t>
            </w:r>
          </w:p>
        </w:tc>
      </w:tr>
      <w:tr>
        <w:trPr>
          <w:trHeight w:val="275"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Other savanna woodlands</w:t>
            </w:r>
          </w:p>
        </w:tc>
        <w:tc>
          <w:tcPr>
            <w:tcW w:w="784" w:type="dxa"/>
          </w:tcPr>
          <w:p>
            <w:pPr>
              <w:pStyle w:val="TableParagraph"/>
              <w:spacing w:before="37"/>
              <w:ind w:left="250"/>
              <w:rPr>
                <w:sz w:val="16"/>
              </w:rPr>
            </w:pPr>
            <w:r>
              <w:rPr>
                <w:sz w:val="16"/>
              </w:rPr>
              <w:t>0.68</w:t>
            </w:r>
          </w:p>
        </w:tc>
        <w:tc>
          <w:tcPr>
            <w:tcW w:w="782" w:type="dxa"/>
          </w:tcPr>
          <w:p>
            <w:pPr>
              <w:pStyle w:val="TableParagraph"/>
              <w:spacing w:before="37"/>
              <w:ind w:left="190" w:right="178"/>
              <w:jc w:val="center"/>
              <w:rPr>
                <w:sz w:val="16"/>
              </w:rPr>
            </w:pPr>
            <w:r>
              <w:rPr>
                <w:sz w:val="16"/>
              </w:rPr>
              <w:t>0.19</w:t>
            </w:r>
          </w:p>
        </w:tc>
        <w:tc>
          <w:tcPr>
            <w:tcW w:w="604" w:type="dxa"/>
          </w:tcPr>
          <w:p>
            <w:pPr>
              <w:pStyle w:val="TableParagraph"/>
              <w:spacing w:before="37"/>
              <w:ind w:left="11"/>
              <w:jc w:val="center"/>
              <w:rPr>
                <w:sz w:val="16"/>
              </w:rPr>
            </w:pPr>
            <w:r>
              <w:rPr>
                <w:w w:val="100"/>
                <w:sz w:val="16"/>
              </w:rPr>
              <w:t>7</w:t>
            </w:r>
          </w:p>
        </w:tc>
        <w:tc>
          <w:tcPr>
            <w:tcW w:w="1173" w:type="dxa"/>
          </w:tcPr>
          <w:p>
            <w:pPr>
              <w:pStyle w:val="TableParagraph"/>
              <w:spacing w:before="37"/>
              <w:ind w:left="162" w:right="155"/>
              <w:jc w:val="center"/>
              <w:rPr>
                <w:sz w:val="16"/>
              </w:rPr>
            </w:pPr>
            <w:r>
              <w:rPr>
                <w:sz w:val="16"/>
              </w:rPr>
              <w:t>0.38 – 0.96</w:t>
            </w:r>
          </w:p>
        </w:tc>
        <w:tc>
          <w:tcPr>
            <w:tcW w:w="559" w:type="dxa"/>
          </w:tcPr>
          <w:p>
            <w:pPr>
              <w:pStyle w:val="TableParagraph"/>
              <w:spacing w:before="37"/>
              <w:ind w:left="10"/>
              <w:jc w:val="center"/>
              <w:rPr>
                <w:sz w:val="16"/>
              </w:rPr>
            </w:pPr>
            <w:r>
              <w:rPr>
                <w:w w:val="100"/>
                <w:sz w:val="16"/>
              </w:rPr>
              <w:t>7</w:t>
            </w:r>
          </w:p>
        </w:tc>
        <w:tc>
          <w:tcPr>
            <w:tcW w:w="1389" w:type="dxa"/>
          </w:tcPr>
          <w:p>
            <w:pPr>
              <w:pStyle w:val="TableParagraph"/>
              <w:spacing w:before="37"/>
              <w:ind w:left="110"/>
              <w:rPr>
                <w:sz w:val="16"/>
              </w:rPr>
            </w:pPr>
            <w:r>
              <w:rPr>
                <w:sz w:val="16"/>
              </w:rPr>
              <w:t>22, 29, 44, 31, 57</w:t>
            </w:r>
          </w:p>
        </w:tc>
      </w:tr>
      <w:tr>
        <w:trPr>
          <w:trHeight w:val="443" w:hRule="atLeast"/>
        </w:trPr>
        <w:tc>
          <w:tcPr>
            <w:tcW w:w="3719" w:type="dxa"/>
            <w:gridSpan w:val="2"/>
          </w:tcPr>
          <w:p>
            <w:pPr>
              <w:pStyle w:val="TableParagraph"/>
              <w:spacing w:before="124"/>
              <w:ind w:left="107"/>
              <w:rPr>
                <w:sz w:val="16"/>
              </w:rPr>
            </w:pPr>
            <w:r>
              <w:rPr>
                <w:b/>
                <w:sz w:val="16"/>
              </w:rPr>
              <w:t>All savanna woodlands (mid/late dry season burns)</w:t>
            </w:r>
            <w:r>
              <w:rPr>
                <w:sz w:val="16"/>
              </w:rPr>
              <w:t>*</w:t>
            </w:r>
          </w:p>
        </w:tc>
        <w:tc>
          <w:tcPr>
            <w:tcW w:w="784" w:type="dxa"/>
          </w:tcPr>
          <w:p>
            <w:pPr>
              <w:pStyle w:val="TableParagraph"/>
              <w:spacing w:before="126"/>
              <w:ind w:left="250"/>
              <w:rPr>
                <w:b/>
                <w:sz w:val="16"/>
              </w:rPr>
            </w:pPr>
            <w:r>
              <w:rPr>
                <w:b/>
                <w:sz w:val="16"/>
              </w:rPr>
              <w:t>0.74</w:t>
            </w:r>
          </w:p>
        </w:tc>
        <w:tc>
          <w:tcPr>
            <w:tcW w:w="782" w:type="dxa"/>
          </w:tcPr>
          <w:p>
            <w:pPr>
              <w:pStyle w:val="TableParagraph"/>
              <w:spacing w:before="126"/>
              <w:ind w:left="191" w:right="178"/>
              <w:jc w:val="center"/>
              <w:rPr>
                <w:b/>
                <w:sz w:val="16"/>
              </w:rPr>
            </w:pPr>
            <w:r>
              <w:rPr>
                <w:b/>
                <w:sz w:val="16"/>
              </w:rPr>
              <w:t>0.14</w:t>
            </w:r>
          </w:p>
        </w:tc>
        <w:tc>
          <w:tcPr>
            <w:tcW w:w="604" w:type="dxa"/>
          </w:tcPr>
          <w:p>
            <w:pPr>
              <w:pStyle w:val="TableParagraph"/>
              <w:spacing w:before="126"/>
              <w:ind w:left="52" w:right="38"/>
              <w:jc w:val="center"/>
              <w:rPr>
                <w:b/>
                <w:sz w:val="16"/>
              </w:rPr>
            </w:pPr>
            <w:r>
              <w:rPr>
                <w:b/>
                <w:sz w:val="16"/>
              </w:rPr>
              <w:t>17</w:t>
            </w:r>
          </w:p>
        </w:tc>
        <w:tc>
          <w:tcPr>
            <w:tcW w:w="1173" w:type="dxa"/>
          </w:tcPr>
          <w:p>
            <w:pPr>
              <w:pStyle w:val="TableParagraph"/>
              <w:spacing w:before="126"/>
              <w:ind w:left="164" w:right="155"/>
              <w:jc w:val="center"/>
              <w:rPr>
                <w:b/>
                <w:sz w:val="16"/>
              </w:rPr>
            </w:pPr>
            <w:r>
              <w:rPr>
                <w:b/>
                <w:sz w:val="16"/>
              </w:rPr>
              <w:t>0.29 – 0.96</w:t>
            </w:r>
          </w:p>
        </w:tc>
        <w:tc>
          <w:tcPr>
            <w:tcW w:w="559" w:type="dxa"/>
          </w:tcPr>
          <w:p>
            <w:pPr>
              <w:pStyle w:val="TableParagraph"/>
              <w:spacing w:before="126"/>
              <w:ind w:left="40" w:right="27"/>
              <w:jc w:val="center"/>
              <w:rPr>
                <w:b/>
                <w:sz w:val="16"/>
              </w:rPr>
            </w:pPr>
            <w:r>
              <w:rPr>
                <w:b/>
                <w:sz w:val="16"/>
              </w:rPr>
              <w:t>20</w:t>
            </w:r>
          </w:p>
        </w:tc>
        <w:tc>
          <w:tcPr>
            <w:tcW w:w="1389" w:type="dxa"/>
          </w:tcPr>
          <w:p>
            <w:pPr>
              <w:pStyle w:val="TableParagraph"/>
              <w:rPr>
                <w:sz w:val="16"/>
              </w:rPr>
            </w:pPr>
          </w:p>
        </w:tc>
      </w:tr>
      <w:tr>
        <w:trPr>
          <w:trHeight w:val="897" w:hRule="atLeast"/>
        </w:trPr>
        <w:tc>
          <w:tcPr>
            <w:tcW w:w="9010" w:type="dxa"/>
            <w:gridSpan w:val="8"/>
          </w:tcPr>
          <w:p>
            <w:pPr>
              <w:pStyle w:val="TableParagraph"/>
              <w:spacing w:line="190" w:lineRule="exact" w:before="38"/>
              <w:ind w:left="107"/>
              <w:rPr>
                <w:sz w:val="16"/>
              </w:rPr>
            </w:pPr>
            <w:r>
              <w:rPr>
                <w:position w:val="7"/>
                <w:sz w:val="10"/>
              </w:rPr>
              <w:t>1 </w:t>
            </w:r>
            <w:r>
              <w:rPr>
                <w:sz w:val="16"/>
              </w:rPr>
              <w:t>No. m = the number of observations for the mean</w:t>
            </w:r>
          </w:p>
          <w:p>
            <w:pPr>
              <w:pStyle w:val="TableParagraph"/>
              <w:spacing w:line="190" w:lineRule="exact"/>
              <w:ind w:left="107"/>
              <w:rPr>
                <w:sz w:val="16"/>
              </w:rPr>
            </w:pPr>
            <w:r>
              <w:rPr>
                <w:position w:val="7"/>
                <w:sz w:val="10"/>
              </w:rPr>
              <w:t>2 </w:t>
            </w:r>
            <w:r>
              <w:rPr>
                <w:sz w:val="16"/>
              </w:rPr>
              <w:t>No. r = the number of observations for the range</w:t>
            </w:r>
          </w:p>
          <w:p>
            <w:pPr>
              <w:pStyle w:val="TableParagraph"/>
              <w:spacing w:line="195" w:lineRule="exact" w:before="1"/>
              <w:ind w:left="107"/>
              <w:rPr>
                <w:sz w:val="16"/>
              </w:rPr>
            </w:pPr>
            <w:r>
              <w:rPr>
                <w:sz w:val="18"/>
              </w:rPr>
              <w:t>* </w:t>
            </w:r>
            <w:r>
              <w:rPr>
                <w:sz w:val="16"/>
              </w:rPr>
              <w:t>Surface layer combustion only, </w:t>
            </w:r>
            <w:r>
              <w:rPr>
                <w:sz w:val="16"/>
                <w:vertAlign w:val="superscript"/>
              </w:rPr>
              <w:t>#</w:t>
            </w:r>
            <w:r>
              <w:rPr>
                <w:sz w:val="16"/>
                <w:vertAlign w:val="baseline"/>
              </w:rPr>
              <w:t> campo cerrado, cerrado sensu stricto, </w:t>
            </w:r>
            <w:r>
              <w:rPr>
                <w:sz w:val="16"/>
                <w:vertAlign w:val="superscript"/>
              </w:rPr>
              <w:t>$</w:t>
            </w:r>
            <w:r>
              <w:rPr>
                <w:sz w:val="16"/>
                <w:vertAlign w:val="baseline"/>
              </w:rPr>
              <w:t> campo sujo, campo limpo, dambo, </w:t>
            </w:r>
            <w:r>
              <w:rPr>
                <w:sz w:val="16"/>
                <w:vertAlign w:val="superscript"/>
              </w:rPr>
              <w:t>@</w:t>
            </w:r>
            <w:r>
              <w:rPr>
                <w:sz w:val="16"/>
                <w:vertAlign w:val="baseline"/>
              </w:rPr>
              <w:t> miombo</w:t>
            </w:r>
          </w:p>
          <w:p>
            <w:pPr>
              <w:pStyle w:val="TableParagraph"/>
              <w:spacing w:line="214" w:lineRule="exact"/>
              <w:ind w:left="107"/>
              <w:rPr>
                <w:sz w:val="16"/>
              </w:rPr>
            </w:pPr>
            <w:r>
              <w:rPr>
                <w:position w:val="8"/>
                <w:sz w:val="12"/>
              </w:rPr>
              <w:t>~ </w:t>
            </w:r>
            <w:r>
              <w:rPr>
                <w:sz w:val="16"/>
              </w:rPr>
              <w:t>derived from slashed tropical forest (includes unburned woody material)</w:t>
            </w:r>
          </w:p>
        </w:tc>
      </w:tr>
    </w:tbl>
    <w:p>
      <w:pPr>
        <w:spacing w:after="0" w:line="214" w:lineRule="exact"/>
        <w:rPr>
          <w:sz w:val="16"/>
        </w:rPr>
        <w:sectPr>
          <w:pgSz w:w="11900" w:h="16840"/>
          <w:pgMar w:header="230" w:footer="408" w:top="560" w:bottom="600" w:left="1200" w:right="1140"/>
        </w:sectPr>
      </w:pPr>
    </w:p>
    <w:p>
      <w:pPr>
        <w:pStyle w:val="BodyText"/>
      </w:pPr>
    </w:p>
    <w:p>
      <w:pPr>
        <w:pStyle w:val="BodyText"/>
        <w:spacing w:before="9"/>
        <w:rPr>
          <w:sz w:val="18"/>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0"/>
        <w:gridCol w:w="2085"/>
        <w:gridCol w:w="782"/>
        <w:gridCol w:w="784"/>
        <w:gridCol w:w="587"/>
        <w:gridCol w:w="1187"/>
        <w:gridCol w:w="546"/>
        <w:gridCol w:w="1427"/>
      </w:tblGrid>
      <w:tr>
        <w:trPr>
          <w:trHeight w:val="937" w:hRule="atLeast"/>
        </w:trPr>
        <w:tc>
          <w:tcPr>
            <w:tcW w:w="9008" w:type="dxa"/>
            <w:gridSpan w:val="8"/>
            <w:tcBorders>
              <w:bottom w:val="double" w:sz="1" w:space="0" w:color="000000"/>
            </w:tcBorders>
          </w:tcPr>
          <w:p>
            <w:pPr>
              <w:pStyle w:val="TableParagraph"/>
              <w:spacing w:before="59"/>
              <w:ind w:left="1217" w:right="1204"/>
              <w:jc w:val="center"/>
              <w:rPr>
                <w:b/>
                <w:sz w:val="18"/>
              </w:rPr>
            </w:pPr>
            <w:r>
              <w:rPr>
                <w:b/>
                <w:sz w:val="18"/>
              </w:rPr>
              <w:t>T</w:t>
            </w:r>
            <w:r>
              <w:rPr>
                <w:b/>
                <w:sz w:val="14"/>
              </w:rPr>
              <w:t>ABLE </w:t>
            </w:r>
            <w:r>
              <w:rPr>
                <w:b/>
                <w:sz w:val="18"/>
              </w:rPr>
              <w:t>3A.1.12 (C</w:t>
            </w:r>
            <w:r>
              <w:rPr>
                <w:b/>
                <w:sz w:val="14"/>
              </w:rPr>
              <w:t>ONTINUED</w:t>
            </w:r>
            <w:r>
              <w:rPr>
                <w:b/>
                <w:sz w:val="18"/>
              </w:rPr>
              <w:t>)</w:t>
            </w:r>
          </w:p>
          <w:p>
            <w:pPr>
              <w:pStyle w:val="TableParagraph"/>
              <w:spacing w:before="2"/>
              <w:ind w:left="1223" w:right="1204"/>
              <w:jc w:val="center"/>
              <w:rPr>
                <w:b/>
                <w:sz w:val="18"/>
              </w:rPr>
            </w:pPr>
            <w:r>
              <w:rPr>
                <w:b/>
                <w:sz w:val="18"/>
              </w:rPr>
              <w:t>C</w:t>
            </w:r>
            <w:r>
              <w:rPr>
                <w:b/>
                <w:sz w:val="14"/>
              </w:rPr>
              <w:t>OMBUSTION FACTOR VALUES </w:t>
            </w:r>
            <w:r>
              <w:rPr>
                <w:b/>
                <w:sz w:val="18"/>
              </w:rPr>
              <w:t>(</w:t>
            </w:r>
            <w:r>
              <w:rPr>
                <w:b/>
                <w:sz w:val="14"/>
              </w:rPr>
              <w:t>PROPORTION OF PREFIRE BIOMASS CONSUMED</w:t>
            </w:r>
            <w:r>
              <w:rPr>
                <w:b/>
                <w:sz w:val="18"/>
              </w:rPr>
              <w:t>) </w:t>
            </w:r>
            <w:r>
              <w:rPr>
                <w:b/>
                <w:sz w:val="14"/>
              </w:rPr>
              <w:t>FOR FIRES IN A RANGE OF VEGETATION TYPES</w:t>
            </w:r>
            <w:r>
              <w:rPr>
                <w:b/>
                <w:sz w:val="18"/>
              </w:rPr>
              <w:t>.</w:t>
            </w:r>
          </w:p>
          <w:p>
            <w:pPr>
              <w:pStyle w:val="TableParagraph"/>
              <w:spacing w:line="170" w:lineRule="exact" w:before="65"/>
              <w:ind w:left="1042" w:right="1028"/>
              <w:jc w:val="center"/>
              <w:rPr>
                <w:sz w:val="16"/>
              </w:rPr>
            </w:pPr>
            <w:r>
              <w:rPr>
                <w:position w:val="2"/>
                <w:sz w:val="16"/>
              </w:rPr>
              <w:t>(Values in column ‘mean’ are to be used for (1-f</w:t>
            </w:r>
            <w:r>
              <w:rPr>
                <w:sz w:val="10"/>
              </w:rPr>
              <w:t>BL</w:t>
            </w:r>
            <w:r>
              <w:rPr>
                <w:position w:val="2"/>
                <w:sz w:val="16"/>
              </w:rPr>
              <w:t>) in Equation 3.2.9 and for </w:t>
            </w:r>
            <w:r>
              <w:rPr>
                <w:rFonts w:ascii="Symbol" w:hAnsi="Symbol"/>
                <w:position w:val="2"/>
                <w:sz w:val="17"/>
              </w:rPr>
              <w:t>ρ</w:t>
            </w:r>
            <w:r>
              <w:rPr>
                <w:sz w:val="10"/>
              </w:rPr>
              <w:t>burned on site </w:t>
            </w:r>
            <w:r>
              <w:rPr>
                <w:position w:val="2"/>
                <w:sz w:val="16"/>
              </w:rPr>
              <w:t>in Equation 3.3.10)</w:t>
            </w:r>
          </w:p>
        </w:tc>
      </w:tr>
      <w:tr>
        <w:trPr>
          <w:trHeight w:val="424" w:hRule="atLeast"/>
        </w:trPr>
        <w:tc>
          <w:tcPr>
            <w:tcW w:w="1610" w:type="dxa"/>
            <w:tcBorders>
              <w:top w:val="double" w:sz="1" w:space="0" w:color="000000"/>
            </w:tcBorders>
          </w:tcPr>
          <w:p>
            <w:pPr>
              <w:pStyle w:val="TableParagraph"/>
              <w:spacing w:before="116"/>
              <w:ind w:left="242"/>
              <w:rPr>
                <w:b/>
                <w:sz w:val="16"/>
              </w:rPr>
            </w:pPr>
            <w:r>
              <w:rPr>
                <w:b/>
                <w:sz w:val="16"/>
              </w:rPr>
              <w:t>Vegetation Type</w:t>
            </w:r>
          </w:p>
        </w:tc>
        <w:tc>
          <w:tcPr>
            <w:tcW w:w="2085" w:type="dxa"/>
            <w:tcBorders>
              <w:top w:val="double" w:sz="1" w:space="0" w:color="000000"/>
            </w:tcBorders>
          </w:tcPr>
          <w:p>
            <w:pPr>
              <w:pStyle w:val="TableParagraph"/>
              <w:spacing w:before="116"/>
              <w:ind w:left="588"/>
              <w:rPr>
                <w:b/>
                <w:sz w:val="16"/>
              </w:rPr>
            </w:pPr>
            <w:r>
              <w:rPr>
                <w:b/>
                <w:sz w:val="16"/>
              </w:rPr>
              <w:t>Sub-category</w:t>
            </w:r>
          </w:p>
        </w:tc>
        <w:tc>
          <w:tcPr>
            <w:tcW w:w="782" w:type="dxa"/>
            <w:tcBorders>
              <w:top w:val="double" w:sz="1" w:space="0" w:color="000000"/>
            </w:tcBorders>
          </w:tcPr>
          <w:p>
            <w:pPr>
              <w:pStyle w:val="TableParagraph"/>
              <w:spacing w:before="116"/>
              <w:ind w:left="195"/>
              <w:rPr>
                <w:b/>
                <w:sz w:val="16"/>
              </w:rPr>
            </w:pPr>
            <w:r>
              <w:rPr>
                <w:b/>
                <w:sz w:val="16"/>
              </w:rPr>
              <w:t>Mean</w:t>
            </w:r>
          </w:p>
        </w:tc>
        <w:tc>
          <w:tcPr>
            <w:tcW w:w="784" w:type="dxa"/>
            <w:tcBorders>
              <w:top w:val="double" w:sz="1" w:space="0" w:color="000000"/>
            </w:tcBorders>
          </w:tcPr>
          <w:p>
            <w:pPr>
              <w:pStyle w:val="TableParagraph"/>
              <w:spacing w:before="116"/>
              <w:ind w:left="175" w:right="163"/>
              <w:jc w:val="center"/>
              <w:rPr>
                <w:b/>
                <w:sz w:val="16"/>
              </w:rPr>
            </w:pPr>
            <w:r>
              <w:rPr>
                <w:b/>
                <w:sz w:val="16"/>
              </w:rPr>
              <w:t>SD</w:t>
            </w:r>
          </w:p>
        </w:tc>
        <w:tc>
          <w:tcPr>
            <w:tcW w:w="587" w:type="dxa"/>
            <w:tcBorders>
              <w:top w:val="double" w:sz="1" w:space="0" w:color="000000"/>
            </w:tcBorders>
          </w:tcPr>
          <w:p>
            <w:pPr>
              <w:pStyle w:val="TableParagraph"/>
              <w:spacing w:before="130"/>
              <w:ind w:left="90" w:right="78"/>
              <w:jc w:val="center"/>
              <w:rPr>
                <w:b/>
                <w:sz w:val="14"/>
              </w:rPr>
            </w:pPr>
            <w:r>
              <w:rPr>
                <w:b/>
                <w:sz w:val="14"/>
              </w:rPr>
              <w:t>No.m</w:t>
            </w:r>
            <w:r>
              <w:rPr>
                <w:b/>
                <w:sz w:val="14"/>
                <w:vertAlign w:val="superscript"/>
              </w:rPr>
              <w:t>1</w:t>
            </w:r>
          </w:p>
        </w:tc>
        <w:tc>
          <w:tcPr>
            <w:tcW w:w="1187" w:type="dxa"/>
            <w:tcBorders>
              <w:top w:val="double" w:sz="1" w:space="0" w:color="000000"/>
            </w:tcBorders>
          </w:tcPr>
          <w:p>
            <w:pPr>
              <w:pStyle w:val="TableParagraph"/>
              <w:spacing w:before="116"/>
              <w:ind w:left="94" w:right="77"/>
              <w:jc w:val="center"/>
              <w:rPr>
                <w:b/>
                <w:sz w:val="16"/>
              </w:rPr>
            </w:pPr>
            <w:r>
              <w:rPr>
                <w:b/>
                <w:sz w:val="16"/>
              </w:rPr>
              <w:t>Range</w:t>
            </w:r>
          </w:p>
        </w:tc>
        <w:tc>
          <w:tcPr>
            <w:tcW w:w="546" w:type="dxa"/>
            <w:tcBorders>
              <w:top w:val="double" w:sz="1" w:space="0" w:color="000000"/>
            </w:tcBorders>
          </w:tcPr>
          <w:p>
            <w:pPr>
              <w:pStyle w:val="TableParagraph"/>
              <w:spacing w:before="130"/>
              <w:ind w:left="100" w:right="81"/>
              <w:jc w:val="center"/>
              <w:rPr>
                <w:b/>
                <w:sz w:val="14"/>
              </w:rPr>
            </w:pPr>
            <w:r>
              <w:rPr>
                <w:b/>
                <w:sz w:val="14"/>
              </w:rPr>
              <w:t>No.r</w:t>
            </w:r>
            <w:r>
              <w:rPr>
                <w:b/>
                <w:sz w:val="14"/>
                <w:vertAlign w:val="superscript"/>
              </w:rPr>
              <w:t>2</w:t>
            </w:r>
          </w:p>
        </w:tc>
        <w:tc>
          <w:tcPr>
            <w:tcW w:w="1427" w:type="dxa"/>
            <w:tcBorders>
              <w:top w:val="double" w:sz="1" w:space="0" w:color="000000"/>
            </w:tcBorders>
          </w:tcPr>
          <w:p>
            <w:pPr>
              <w:pStyle w:val="TableParagraph"/>
              <w:spacing w:before="116"/>
              <w:ind w:left="343"/>
              <w:rPr>
                <w:b/>
                <w:sz w:val="16"/>
              </w:rPr>
            </w:pPr>
            <w:r>
              <w:rPr>
                <w:b/>
                <w:sz w:val="16"/>
              </w:rPr>
              <w:t>References</w:t>
            </w:r>
          </w:p>
        </w:tc>
      </w:tr>
      <w:tr>
        <w:trPr>
          <w:trHeight w:val="443" w:hRule="atLeast"/>
        </w:trPr>
        <w:tc>
          <w:tcPr>
            <w:tcW w:w="1610" w:type="dxa"/>
            <w:vMerge w:val="restart"/>
          </w:tcPr>
          <w:p>
            <w:pPr>
              <w:pStyle w:val="TableParagraph"/>
              <w:spacing w:before="76"/>
              <w:ind w:left="107" w:right="104"/>
              <w:rPr>
                <w:sz w:val="16"/>
              </w:rPr>
            </w:pPr>
            <w:r>
              <w:rPr>
                <w:sz w:val="16"/>
              </w:rPr>
              <w:t>Savanna Grasslands / Pastures (early dry season burns)*</w:t>
            </w:r>
          </w:p>
        </w:tc>
        <w:tc>
          <w:tcPr>
            <w:tcW w:w="2085" w:type="dxa"/>
          </w:tcPr>
          <w:p>
            <w:pPr>
              <w:pStyle w:val="TableParagraph"/>
              <w:spacing w:before="54"/>
              <w:ind w:left="108" w:right="596"/>
              <w:rPr>
                <w:sz w:val="16"/>
              </w:rPr>
            </w:pPr>
            <w:r>
              <w:rPr>
                <w:sz w:val="16"/>
              </w:rPr>
              <w:t>Tropical/sub-tropical grassland</w:t>
            </w:r>
            <w:r>
              <w:rPr>
                <w:sz w:val="16"/>
                <w:vertAlign w:val="superscript"/>
              </w:rPr>
              <w:t>$</w:t>
            </w:r>
          </w:p>
        </w:tc>
        <w:tc>
          <w:tcPr>
            <w:tcW w:w="782" w:type="dxa"/>
          </w:tcPr>
          <w:p>
            <w:pPr>
              <w:pStyle w:val="TableParagraph"/>
              <w:spacing w:before="124"/>
              <w:ind w:left="250"/>
              <w:rPr>
                <w:sz w:val="16"/>
              </w:rPr>
            </w:pPr>
            <w:r>
              <w:rPr>
                <w:sz w:val="16"/>
              </w:rPr>
              <w:t>0.74</w:t>
            </w:r>
          </w:p>
        </w:tc>
        <w:tc>
          <w:tcPr>
            <w:tcW w:w="784" w:type="dxa"/>
          </w:tcPr>
          <w:p>
            <w:pPr>
              <w:pStyle w:val="TableParagraph"/>
              <w:spacing w:before="124"/>
              <w:ind w:left="11"/>
              <w:jc w:val="center"/>
              <w:rPr>
                <w:sz w:val="16"/>
              </w:rPr>
            </w:pPr>
            <w:r>
              <w:rPr>
                <w:w w:val="100"/>
                <w:sz w:val="16"/>
              </w:rPr>
              <w:t>-</w:t>
            </w:r>
          </w:p>
        </w:tc>
        <w:tc>
          <w:tcPr>
            <w:tcW w:w="587" w:type="dxa"/>
          </w:tcPr>
          <w:p>
            <w:pPr>
              <w:pStyle w:val="TableParagraph"/>
              <w:spacing w:before="124"/>
              <w:ind w:left="11"/>
              <w:jc w:val="center"/>
              <w:rPr>
                <w:sz w:val="16"/>
              </w:rPr>
            </w:pPr>
            <w:r>
              <w:rPr>
                <w:w w:val="100"/>
                <w:sz w:val="16"/>
              </w:rPr>
              <w:t>1</w:t>
            </w:r>
          </w:p>
        </w:tc>
        <w:tc>
          <w:tcPr>
            <w:tcW w:w="1187" w:type="dxa"/>
          </w:tcPr>
          <w:p>
            <w:pPr>
              <w:pStyle w:val="TableParagraph"/>
              <w:spacing w:before="124"/>
              <w:ind w:left="94" w:right="79"/>
              <w:jc w:val="center"/>
              <w:rPr>
                <w:sz w:val="16"/>
              </w:rPr>
            </w:pPr>
            <w:r>
              <w:rPr>
                <w:sz w:val="16"/>
              </w:rPr>
              <w:t>0.44 – 0.98</w:t>
            </w:r>
          </w:p>
        </w:tc>
        <w:tc>
          <w:tcPr>
            <w:tcW w:w="546" w:type="dxa"/>
          </w:tcPr>
          <w:p>
            <w:pPr>
              <w:pStyle w:val="TableParagraph"/>
              <w:spacing w:before="124"/>
              <w:ind w:left="17"/>
              <w:jc w:val="center"/>
              <w:rPr>
                <w:sz w:val="16"/>
              </w:rPr>
            </w:pPr>
            <w:r>
              <w:rPr>
                <w:w w:val="100"/>
                <w:sz w:val="16"/>
              </w:rPr>
              <w:t>1</w:t>
            </w:r>
          </w:p>
        </w:tc>
        <w:tc>
          <w:tcPr>
            <w:tcW w:w="1427" w:type="dxa"/>
          </w:tcPr>
          <w:p>
            <w:pPr>
              <w:pStyle w:val="TableParagraph"/>
              <w:spacing w:before="124"/>
              <w:ind w:left="112"/>
              <w:rPr>
                <w:sz w:val="16"/>
              </w:rPr>
            </w:pPr>
            <w:r>
              <w:rPr>
                <w:sz w:val="16"/>
              </w:rPr>
              <w:t>28</w:t>
            </w:r>
          </w:p>
        </w:tc>
      </w:tr>
      <w:tr>
        <w:trPr>
          <w:trHeight w:val="273" w:hRule="atLeast"/>
        </w:trPr>
        <w:tc>
          <w:tcPr>
            <w:tcW w:w="1610" w:type="dxa"/>
            <w:vMerge/>
            <w:tcBorders>
              <w:top w:val="nil"/>
            </w:tcBorders>
          </w:tcPr>
          <w:p>
            <w:pPr>
              <w:rPr>
                <w:sz w:val="2"/>
                <w:szCs w:val="2"/>
              </w:rPr>
            </w:pPr>
          </w:p>
        </w:tc>
        <w:tc>
          <w:tcPr>
            <w:tcW w:w="2085" w:type="dxa"/>
          </w:tcPr>
          <w:p>
            <w:pPr>
              <w:pStyle w:val="TableParagraph"/>
              <w:spacing w:before="54"/>
              <w:ind w:left="108"/>
              <w:rPr>
                <w:sz w:val="16"/>
              </w:rPr>
            </w:pPr>
            <w:r>
              <w:rPr>
                <w:sz w:val="16"/>
              </w:rPr>
              <w:t>Grassland</w:t>
            </w:r>
          </w:p>
        </w:tc>
        <w:tc>
          <w:tcPr>
            <w:tcW w:w="782" w:type="dxa"/>
          </w:tcPr>
          <w:p>
            <w:pPr>
              <w:pStyle w:val="TableParagraph"/>
              <w:spacing w:before="54"/>
              <w:ind w:left="14"/>
              <w:jc w:val="center"/>
              <w:rPr>
                <w:sz w:val="16"/>
              </w:rPr>
            </w:pPr>
            <w:r>
              <w:rPr>
                <w:w w:val="100"/>
                <w:sz w:val="16"/>
              </w:rPr>
              <w:t>-</w:t>
            </w:r>
          </w:p>
        </w:tc>
        <w:tc>
          <w:tcPr>
            <w:tcW w:w="784" w:type="dxa"/>
          </w:tcPr>
          <w:p>
            <w:pPr>
              <w:pStyle w:val="TableParagraph"/>
              <w:spacing w:before="54"/>
              <w:ind w:left="13"/>
              <w:jc w:val="center"/>
              <w:rPr>
                <w:sz w:val="16"/>
              </w:rPr>
            </w:pPr>
            <w:r>
              <w:rPr>
                <w:w w:val="100"/>
                <w:sz w:val="16"/>
              </w:rPr>
              <w:t>-</w:t>
            </w:r>
          </w:p>
        </w:tc>
        <w:tc>
          <w:tcPr>
            <w:tcW w:w="587" w:type="dxa"/>
          </w:tcPr>
          <w:p>
            <w:pPr>
              <w:pStyle w:val="TableParagraph"/>
              <w:spacing w:before="54"/>
              <w:ind w:left="13"/>
              <w:jc w:val="center"/>
              <w:rPr>
                <w:sz w:val="16"/>
              </w:rPr>
            </w:pPr>
            <w:r>
              <w:rPr>
                <w:w w:val="100"/>
                <w:sz w:val="16"/>
              </w:rPr>
              <w:t>0</w:t>
            </w:r>
          </w:p>
        </w:tc>
        <w:tc>
          <w:tcPr>
            <w:tcW w:w="1187" w:type="dxa"/>
          </w:tcPr>
          <w:p>
            <w:pPr>
              <w:pStyle w:val="TableParagraph"/>
              <w:spacing w:before="54"/>
              <w:ind w:left="94" w:right="77"/>
              <w:jc w:val="center"/>
              <w:rPr>
                <w:sz w:val="16"/>
              </w:rPr>
            </w:pPr>
            <w:r>
              <w:rPr>
                <w:sz w:val="16"/>
              </w:rPr>
              <w:t>0.18 – 0.78</w:t>
            </w:r>
          </w:p>
        </w:tc>
        <w:tc>
          <w:tcPr>
            <w:tcW w:w="546" w:type="dxa"/>
          </w:tcPr>
          <w:p>
            <w:pPr>
              <w:pStyle w:val="TableParagraph"/>
              <w:spacing w:before="54"/>
              <w:ind w:left="19"/>
              <w:jc w:val="center"/>
              <w:rPr>
                <w:sz w:val="16"/>
              </w:rPr>
            </w:pPr>
            <w:r>
              <w:rPr>
                <w:w w:val="100"/>
                <w:sz w:val="16"/>
              </w:rPr>
              <w:t>1</w:t>
            </w:r>
          </w:p>
        </w:tc>
        <w:tc>
          <w:tcPr>
            <w:tcW w:w="1427" w:type="dxa"/>
          </w:tcPr>
          <w:p>
            <w:pPr>
              <w:pStyle w:val="TableParagraph"/>
              <w:spacing w:before="54"/>
              <w:ind w:left="113"/>
              <w:rPr>
                <w:sz w:val="16"/>
              </w:rPr>
            </w:pPr>
            <w:r>
              <w:rPr>
                <w:sz w:val="16"/>
              </w:rPr>
              <w:t>48</w:t>
            </w:r>
          </w:p>
        </w:tc>
      </w:tr>
      <w:tr>
        <w:trPr>
          <w:trHeight w:val="275" w:hRule="atLeast"/>
        </w:trPr>
        <w:tc>
          <w:tcPr>
            <w:tcW w:w="3695" w:type="dxa"/>
            <w:gridSpan w:val="2"/>
          </w:tcPr>
          <w:p>
            <w:pPr>
              <w:pStyle w:val="TableParagraph"/>
              <w:spacing w:before="57"/>
              <w:ind w:left="107"/>
              <w:rPr>
                <w:b/>
                <w:sz w:val="16"/>
              </w:rPr>
            </w:pPr>
            <w:r>
              <w:rPr>
                <w:b/>
                <w:sz w:val="16"/>
              </w:rPr>
              <w:t>All savanna grasslands (early dry season burns)*</w:t>
            </w:r>
          </w:p>
        </w:tc>
        <w:tc>
          <w:tcPr>
            <w:tcW w:w="782" w:type="dxa"/>
          </w:tcPr>
          <w:p>
            <w:pPr>
              <w:pStyle w:val="TableParagraph"/>
              <w:spacing w:before="57"/>
              <w:ind w:left="250"/>
              <w:rPr>
                <w:b/>
                <w:sz w:val="16"/>
              </w:rPr>
            </w:pPr>
            <w:r>
              <w:rPr>
                <w:b/>
                <w:sz w:val="16"/>
              </w:rPr>
              <w:t>0.74</w:t>
            </w:r>
          </w:p>
        </w:tc>
        <w:tc>
          <w:tcPr>
            <w:tcW w:w="784" w:type="dxa"/>
          </w:tcPr>
          <w:p>
            <w:pPr>
              <w:pStyle w:val="TableParagraph"/>
              <w:spacing w:before="57"/>
              <w:ind w:left="10"/>
              <w:jc w:val="center"/>
              <w:rPr>
                <w:b/>
                <w:sz w:val="16"/>
              </w:rPr>
            </w:pPr>
            <w:r>
              <w:rPr>
                <w:b/>
                <w:w w:val="100"/>
                <w:sz w:val="16"/>
              </w:rPr>
              <w:t>-</w:t>
            </w:r>
          </w:p>
        </w:tc>
        <w:tc>
          <w:tcPr>
            <w:tcW w:w="587" w:type="dxa"/>
          </w:tcPr>
          <w:p>
            <w:pPr>
              <w:pStyle w:val="TableParagraph"/>
              <w:spacing w:before="57"/>
              <w:ind w:left="10"/>
              <w:jc w:val="center"/>
              <w:rPr>
                <w:b/>
                <w:sz w:val="16"/>
              </w:rPr>
            </w:pPr>
            <w:r>
              <w:rPr>
                <w:b/>
                <w:w w:val="100"/>
                <w:sz w:val="16"/>
              </w:rPr>
              <w:t>1</w:t>
            </w:r>
          </w:p>
        </w:tc>
        <w:tc>
          <w:tcPr>
            <w:tcW w:w="1187" w:type="dxa"/>
          </w:tcPr>
          <w:p>
            <w:pPr>
              <w:pStyle w:val="TableParagraph"/>
              <w:spacing w:before="57"/>
              <w:ind w:left="94" w:right="80"/>
              <w:jc w:val="center"/>
              <w:rPr>
                <w:b/>
                <w:sz w:val="16"/>
              </w:rPr>
            </w:pPr>
            <w:r>
              <w:rPr>
                <w:b/>
                <w:sz w:val="16"/>
              </w:rPr>
              <w:t>0.18 – 0.98</w:t>
            </w:r>
          </w:p>
        </w:tc>
        <w:tc>
          <w:tcPr>
            <w:tcW w:w="546" w:type="dxa"/>
          </w:tcPr>
          <w:p>
            <w:pPr>
              <w:pStyle w:val="TableParagraph"/>
              <w:spacing w:before="57"/>
              <w:ind w:left="16"/>
              <w:jc w:val="center"/>
              <w:rPr>
                <w:b/>
                <w:sz w:val="16"/>
              </w:rPr>
            </w:pPr>
            <w:r>
              <w:rPr>
                <w:b/>
                <w:w w:val="100"/>
                <w:sz w:val="16"/>
              </w:rPr>
              <w:t>2</w:t>
            </w:r>
          </w:p>
        </w:tc>
        <w:tc>
          <w:tcPr>
            <w:tcW w:w="1427" w:type="dxa"/>
          </w:tcPr>
          <w:p>
            <w:pPr>
              <w:pStyle w:val="TableParagraph"/>
              <w:rPr>
                <w:sz w:val="16"/>
              </w:rPr>
            </w:pPr>
          </w:p>
        </w:tc>
      </w:tr>
      <w:tr>
        <w:trPr>
          <w:trHeight w:val="443" w:hRule="atLeast"/>
        </w:trPr>
        <w:tc>
          <w:tcPr>
            <w:tcW w:w="1610" w:type="dxa"/>
            <w:vMerge w:val="restart"/>
          </w:tcPr>
          <w:p>
            <w:pPr>
              <w:pStyle w:val="TableParagraph"/>
              <w:rPr>
                <w:sz w:val="18"/>
              </w:rPr>
            </w:pPr>
          </w:p>
          <w:p>
            <w:pPr>
              <w:pStyle w:val="TableParagraph"/>
              <w:spacing w:before="2"/>
              <w:rPr>
                <w:sz w:val="18"/>
              </w:rPr>
            </w:pPr>
          </w:p>
          <w:p>
            <w:pPr>
              <w:pStyle w:val="TableParagraph"/>
              <w:spacing w:before="1"/>
              <w:ind w:left="107" w:right="119"/>
              <w:rPr>
                <w:sz w:val="16"/>
              </w:rPr>
            </w:pPr>
            <w:r>
              <w:rPr>
                <w:sz w:val="16"/>
              </w:rPr>
              <w:t>Savanna Grasslands / Pastures (mid/late dry season</w:t>
            </w:r>
            <w:r>
              <w:rPr>
                <w:spacing w:val="-2"/>
                <w:sz w:val="16"/>
              </w:rPr>
              <w:t> </w:t>
            </w:r>
            <w:r>
              <w:rPr>
                <w:sz w:val="16"/>
              </w:rPr>
              <w:t>burns)*</w:t>
            </w:r>
          </w:p>
        </w:tc>
        <w:tc>
          <w:tcPr>
            <w:tcW w:w="2085" w:type="dxa"/>
          </w:tcPr>
          <w:p>
            <w:pPr>
              <w:pStyle w:val="TableParagraph"/>
              <w:spacing w:before="54"/>
              <w:ind w:left="108" w:right="596"/>
              <w:rPr>
                <w:sz w:val="16"/>
              </w:rPr>
            </w:pPr>
            <w:r>
              <w:rPr>
                <w:sz w:val="16"/>
              </w:rPr>
              <w:t>Tropical/sub-tropical grassland</w:t>
            </w:r>
            <w:r>
              <w:rPr>
                <w:sz w:val="16"/>
                <w:vertAlign w:val="superscript"/>
              </w:rPr>
              <w:t>$</w:t>
            </w:r>
          </w:p>
        </w:tc>
        <w:tc>
          <w:tcPr>
            <w:tcW w:w="782" w:type="dxa"/>
          </w:tcPr>
          <w:p>
            <w:pPr>
              <w:pStyle w:val="TableParagraph"/>
              <w:spacing w:before="124"/>
              <w:ind w:left="250"/>
              <w:rPr>
                <w:sz w:val="16"/>
              </w:rPr>
            </w:pPr>
            <w:r>
              <w:rPr>
                <w:sz w:val="16"/>
              </w:rPr>
              <w:t>0.92</w:t>
            </w:r>
          </w:p>
        </w:tc>
        <w:tc>
          <w:tcPr>
            <w:tcW w:w="784" w:type="dxa"/>
          </w:tcPr>
          <w:p>
            <w:pPr>
              <w:pStyle w:val="TableParagraph"/>
              <w:spacing w:before="124"/>
              <w:ind w:left="175" w:right="166"/>
              <w:jc w:val="center"/>
              <w:rPr>
                <w:sz w:val="16"/>
              </w:rPr>
            </w:pPr>
            <w:r>
              <w:rPr>
                <w:sz w:val="16"/>
              </w:rPr>
              <w:t>0.11</w:t>
            </w:r>
          </w:p>
        </w:tc>
        <w:tc>
          <w:tcPr>
            <w:tcW w:w="587" w:type="dxa"/>
          </w:tcPr>
          <w:p>
            <w:pPr>
              <w:pStyle w:val="TableParagraph"/>
              <w:spacing w:before="124"/>
              <w:ind w:left="9"/>
              <w:jc w:val="center"/>
              <w:rPr>
                <w:sz w:val="16"/>
              </w:rPr>
            </w:pPr>
            <w:r>
              <w:rPr>
                <w:w w:val="100"/>
                <w:sz w:val="16"/>
              </w:rPr>
              <w:t>7</w:t>
            </w:r>
          </w:p>
        </w:tc>
        <w:tc>
          <w:tcPr>
            <w:tcW w:w="1187" w:type="dxa"/>
          </w:tcPr>
          <w:p>
            <w:pPr>
              <w:pStyle w:val="TableParagraph"/>
              <w:spacing w:before="124"/>
              <w:ind w:left="94" w:right="81"/>
              <w:jc w:val="center"/>
              <w:rPr>
                <w:sz w:val="16"/>
              </w:rPr>
            </w:pPr>
            <w:r>
              <w:rPr>
                <w:sz w:val="16"/>
              </w:rPr>
              <w:t>0.71 – 1.00</w:t>
            </w:r>
          </w:p>
        </w:tc>
        <w:tc>
          <w:tcPr>
            <w:tcW w:w="546" w:type="dxa"/>
          </w:tcPr>
          <w:p>
            <w:pPr>
              <w:pStyle w:val="TableParagraph"/>
              <w:spacing w:before="124"/>
              <w:ind w:left="15"/>
              <w:jc w:val="center"/>
              <w:rPr>
                <w:sz w:val="16"/>
              </w:rPr>
            </w:pPr>
            <w:r>
              <w:rPr>
                <w:w w:val="100"/>
                <w:sz w:val="16"/>
              </w:rPr>
              <w:t>8</w:t>
            </w:r>
          </w:p>
        </w:tc>
        <w:tc>
          <w:tcPr>
            <w:tcW w:w="1427" w:type="dxa"/>
          </w:tcPr>
          <w:p>
            <w:pPr>
              <w:pStyle w:val="TableParagraph"/>
              <w:spacing w:before="124"/>
              <w:ind w:left="111"/>
              <w:rPr>
                <w:sz w:val="16"/>
              </w:rPr>
            </w:pPr>
            <w:r>
              <w:rPr>
                <w:sz w:val="16"/>
              </w:rPr>
              <w:t>44, 73, 66, 12, 57</w:t>
            </w:r>
          </w:p>
        </w:tc>
      </w:tr>
      <w:tr>
        <w:trPr>
          <w:trHeight w:val="273" w:hRule="atLeast"/>
        </w:trPr>
        <w:tc>
          <w:tcPr>
            <w:tcW w:w="1610" w:type="dxa"/>
            <w:vMerge/>
            <w:tcBorders>
              <w:top w:val="nil"/>
            </w:tcBorders>
          </w:tcPr>
          <w:p>
            <w:pPr>
              <w:rPr>
                <w:sz w:val="2"/>
                <w:szCs w:val="2"/>
              </w:rPr>
            </w:pPr>
          </w:p>
        </w:tc>
        <w:tc>
          <w:tcPr>
            <w:tcW w:w="2085" w:type="dxa"/>
          </w:tcPr>
          <w:p>
            <w:pPr>
              <w:pStyle w:val="TableParagraph"/>
              <w:spacing w:before="54"/>
              <w:ind w:left="108"/>
              <w:rPr>
                <w:sz w:val="16"/>
              </w:rPr>
            </w:pPr>
            <w:r>
              <w:rPr>
                <w:sz w:val="16"/>
              </w:rPr>
              <w:t>Tropical pasture</w:t>
            </w:r>
            <w:r>
              <w:rPr>
                <w:sz w:val="16"/>
                <w:vertAlign w:val="superscript"/>
              </w:rPr>
              <w:t>~</w:t>
            </w:r>
          </w:p>
        </w:tc>
        <w:tc>
          <w:tcPr>
            <w:tcW w:w="782" w:type="dxa"/>
          </w:tcPr>
          <w:p>
            <w:pPr>
              <w:pStyle w:val="TableParagraph"/>
              <w:spacing w:before="54"/>
              <w:ind w:left="250"/>
              <w:rPr>
                <w:sz w:val="16"/>
              </w:rPr>
            </w:pPr>
            <w:r>
              <w:rPr>
                <w:sz w:val="16"/>
              </w:rPr>
              <w:t>0.35</w:t>
            </w:r>
          </w:p>
        </w:tc>
        <w:tc>
          <w:tcPr>
            <w:tcW w:w="784" w:type="dxa"/>
          </w:tcPr>
          <w:p>
            <w:pPr>
              <w:pStyle w:val="TableParagraph"/>
              <w:spacing w:before="54"/>
              <w:ind w:left="175" w:right="166"/>
              <w:jc w:val="center"/>
              <w:rPr>
                <w:sz w:val="16"/>
              </w:rPr>
            </w:pPr>
            <w:r>
              <w:rPr>
                <w:sz w:val="16"/>
              </w:rPr>
              <w:t>0.21</w:t>
            </w:r>
          </w:p>
        </w:tc>
        <w:tc>
          <w:tcPr>
            <w:tcW w:w="587" w:type="dxa"/>
          </w:tcPr>
          <w:p>
            <w:pPr>
              <w:pStyle w:val="TableParagraph"/>
              <w:spacing w:before="54"/>
              <w:ind w:left="9"/>
              <w:jc w:val="center"/>
              <w:rPr>
                <w:sz w:val="16"/>
              </w:rPr>
            </w:pPr>
            <w:r>
              <w:rPr>
                <w:w w:val="100"/>
                <w:sz w:val="16"/>
              </w:rPr>
              <w:t>6</w:t>
            </w:r>
          </w:p>
        </w:tc>
        <w:tc>
          <w:tcPr>
            <w:tcW w:w="1187" w:type="dxa"/>
          </w:tcPr>
          <w:p>
            <w:pPr>
              <w:pStyle w:val="TableParagraph"/>
              <w:spacing w:before="54"/>
              <w:ind w:left="94" w:right="81"/>
              <w:jc w:val="center"/>
              <w:rPr>
                <w:sz w:val="16"/>
              </w:rPr>
            </w:pPr>
            <w:r>
              <w:rPr>
                <w:sz w:val="16"/>
              </w:rPr>
              <w:t>0.19 – 0.81</w:t>
            </w:r>
          </w:p>
        </w:tc>
        <w:tc>
          <w:tcPr>
            <w:tcW w:w="546" w:type="dxa"/>
          </w:tcPr>
          <w:p>
            <w:pPr>
              <w:pStyle w:val="TableParagraph"/>
              <w:spacing w:before="54"/>
              <w:ind w:left="15"/>
              <w:jc w:val="center"/>
              <w:rPr>
                <w:sz w:val="16"/>
              </w:rPr>
            </w:pPr>
            <w:r>
              <w:rPr>
                <w:w w:val="100"/>
                <w:sz w:val="16"/>
              </w:rPr>
              <w:t>7</w:t>
            </w:r>
          </w:p>
        </w:tc>
        <w:tc>
          <w:tcPr>
            <w:tcW w:w="1427" w:type="dxa"/>
          </w:tcPr>
          <w:p>
            <w:pPr>
              <w:pStyle w:val="TableParagraph"/>
              <w:spacing w:before="54"/>
              <w:ind w:left="111"/>
              <w:rPr>
                <w:sz w:val="16"/>
              </w:rPr>
            </w:pPr>
            <w:r>
              <w:rPr>
                <w:sz w:val="16"/>
              </w:rPr>
              <w:t>4, 23, 38, 66</w:t>
            </w:r>
          </w:p>
        </w:tc>
      </w:tr>
      <w:tr>
        <w:trPr>
          <w:trHeight w:val="671" w:hRule="atLeast"/>
        </w:trPr>
        <w:tc>
          <w:tcPr>
            <w:tcW w:w="1610" w:type="dxa"/>
            <w:vMerge/>
            <w:tcBorders>
              <w:top w:val="nil"/>
            </w:tcBorders>
          </w:tcPr>
          <w:p>
            <w:pPr>
              <w:rPr>
                <w:sz w:val="2"/>
                <w:szCs w:val="2"/>
              </w:rPr>
            </w:pPr>
          </w:p>
        </w:tc>
        <w:tc>
          <w:tcPr>
            <w:tcW w:w="2085" w:type="dxa"/>
          </w:tcPr>
          <w:p>
            <w:pPr>
              <w:pStyle w:val="TableParagraph"/>
              <w:spacing w:before="6"/>
              <w:rPr>
                <w:sz w:val="20"/>
              </w:rPr>
            </w:pPr>
          </w:p>
          <w:p>
            <w:pPr>
              <w:pStyle w:val="TableParagraph"/>
              <w:spacing w:before="1"/>
              <w:ind w:left="108"/>
              <w:rPr>
                <w:sz w:val="16"/>
              </w:rPr>
            </w:pPr>
            <w:r>
              <w:rPr>
                <w:sz w:val="16"/>
              </w:rPr>
              <w:t>Savanna</w:t>
            </w:r>
          </w:p>
        </w:tc>
        <w:tc>
          <w:tcPr>
            <w:tcW w:w="782" w:type="dxa"/>
          </w:tcPr>
          <w:p>
            <w:pPr>
              <w:pStyle w:val="TableParagraph"/>
              <w:spacing w:before="6"/>
              <w:rPr>
                <w:sz w:val="20"/>
              </w:rPr>
            </w:pPr>
          </w:p>
          <w:p>
            <w:pPr>
              <w:pStyle w:val="TableParagraph"/>
              <w:spacing w:before="1"/>
              <w:ind w:left="250"/>
              <w:rPr>
                <w:sz w:val="16"/>
              </w:rPr>
            </w:pPr>
            <w:r>
              <w:rPr>
                <w:sz w:val="16"/>
              </w:rPr>
              <w:t>0.86</w:t>
            </w:r>
          </w:p>
        </w:tc>
        <w:tc>
          <w:tcPr>
            <w:tcW w:w="784" w:type="dxa"/>
          </w:tcPr>
          <w:p>
            <w:pPr>
              <w:pStyle w:val="TableParagraph"/>
              <w:spacing w:before="6"/>
              <w:rPr>
                <w:sz w:val="20"/>
              </w:rPr>
            </w:pPr>
          </w:p>
          <w:p>
            <w:pPr>
              <w:pStyle w:val="TableParagraph"/>
              <w:spacing w:before="1"/>
              <w:ind w:left="175" w:right="164"/>
              <w:jc w:val="center"/>
              <w:rPr>
                <w:sz w:val="16"/>
              </w:rPr>
            </w:pPr>
            <w:r>
              <w:rPr>
                <w:sz w:val="16"/>
              </w:rPr>
              <w:t>0.12</w:t>
            </w:r>
          </w:p>
        </w:tc>
        <w:tc>
          <w:tcPr>
            <w:tcW w:w="587" w:type="dxa"/>
          </w:tcPr>
          <w:p>
            <w:pPr>
              <w:pStyle w:val="TableParagraph"/>
              <w:spacing w:before="6"/>
              <w:rPr>
                <w:sz w:val="20"/>
              </w:rPr>
            </w:pPr>
          </w:p>
          <w:p>
            <w:pPr>
              <w:pStyle w:val="TableParagraph"/>
              <w:spacing w:before="1"/>
              <w:ind w:left="90" w:right="78"/>
              <w:jc w:val="center"/>
              <w:rPr>
                <w:sz w:val="16"/>
              </w:rPr>
            </w:pPr>
            <w:r>
              <w:rPr>
                <w:sz w:val="16"/>
              </w:rPr>
              <w:t>16</w:t>
            </w:r>
          </w:p>
        </w:tc>
        <w:tc>
          <w:tcPr>
            <w:tcW w:w="1187" w:type="dxa"/>
          </w:tcPr>
          <w:p>
            <w:pPr>
              <w:pStyle w:val="TableParagraph"/>
              <w:spacing w:before="6"/>
              <w:rPr>
                <w:sz w:val="20"/>
              </w:rPr>
            </w:pPr>
          </w:p>
          <w:p>
            <w:pPr>
              <w:pStyle w:val="TableParagraph"/>
              <w:spacing w:before="1"/>
              <w:ind w:left="94" w:right="79"/>
              <w:jc w:val="center"/>
              <w:rPr>
                <w:sz w:val="16"/>
              </w:rPr>
            </w:pPr>
            <w:r>
              <w:rPr>
                <w:sz w:val="16"/>
              </w:rPr>
              <w:t>0.44 – 1.00</w:t>
            </w:r>
          </w:p>
        </w:tc>
        <w:tc>
          <w:tcPr>
            <w:tcW w:w="546" w:type="dxa"/>
          </w:tcPr>
          <w:p>
            <w:pPr>
              <w:pStyle w:val="TableParagraph"/>
              <w:spacing w:before="6"/>
              <w:rPr>
                <w:sz w:val="20"/>
              </w:rPr>
            </w:pPr>
          </w:p>
          <w:p>
            <w:pPr>
              <w:pStyle w:val="TableParagraph"/>
              <w:spacing w:before="1"/>
              <w:ind w:left="99" w:right="81"/>
              <w:jc w:val="center"/>
              <w:rPr>
                <w:sz w:val="16"/>
              </w:rPr>
            </w:pPr>
            <w:r>
              <w:rPr>
                <w:sz w:val="16"/>
              </w:rPr>
              <w:t>23</w:t>
            </w:r>
          </w:p>
        </w:tc>
        <w:tc>
          <w:tcPr>
            <w:tcW w:w="1427" w:type="dxa"/>
          </w:tcPr>
          <w:p>
            <w:pPr>
              <w:pStyle w:val="TableParagraph"/>
              <w:spacing w:before="54"/>
              <w:ind w:left="113"/>
              <w:rPr>
                <w:sz w:val="16"/>
              </w:rPr>
            </w:pPr>
            <w:r>
              <w:rPr>
                <w:sz w:val="16"/>
              </w:rPr>
              <w:t>53, 5, 56, 42,</w:t>
            </w:r>
            <w:r>
              <w:rPr>
                <w:spacing w:val="-5"/>
                <w:sz w:val="16"/>
              </w:rPr>
              <w:t> </w:t>
            </w:r>
            <w:r>
              <w:rPr>
                <w:sz w:val="16"/>
              </w:rPr>
              <w:t>50,</w:t>
            </w:r>
          </w:p>
          <w:p>
            <w:pPr>
              <w:pStyle w:val="TableParagraph"/>
              <w:spacing w:line="183" w:lineRule="exact" w:before="1"/>
              <w:ind w:left="113"/>
              <w:rPr>
                <w:sz w:val="16"/>
              </w:rPr>
            </w:pPr>
            <w:r>
              <w:rPr>
                <w:sz w:val="16"/>
              </w:rPr>
              <w:t>6, 45, 13, 44,</w:t>
            </w:r>
            <w:r>
              <w:rPr>
                <w:spacing w:val="-3"/>
                <w:sz w:val="16"/>
              </w:rPr>
              <w:t> </w:t>
            </w:r>
            <w:r>
              <w:rPr>
                <w:sz w:val="16"/>
              </w:rPr>
              <w:t>65,</w:t>
            </w:r>
          </w:p>
          <w:p>
            <w:pPr>
              <w:pStyle w:val="TableParagraph"/>
              <w:spacing w:line="183" w:lineRule="exact"/>
              <w:ind w:left="113"/>
              <w:rPr>
                <w:sz w:val="16"/>
              </w:rPr>
            </w:pPr>
            <w:r>
              <w:rPr>
                <w:sz w:val="16"/>
              </w:rPr>
              <w:t>66</w:t>
            </w:r>
          </w:p>
        </w:tc>
      </w:tr>
      <w:tr>
        <w:trPr>
          <w:trHeight w:val="443" w:hRule="atLeast"/>
        </w:trPr>
        <w:tc>
          <w:tcPr>
            <w:tcW w:w="3695" w:type="dxa"/>
            <w:gridSpan w:val="2"/>
          </w:tcPr>
          <w:p>
            <w:pPr>
              <w:pStyle w:val="TableParagraph"/>
              <w:spacing w:line="180" w:lineRule="atLeast" w:before="57"/>
              <w:ind w:left="107" w:right="575"/>
              <w:rPr>
                <w:b/>
                <w:sz w:val="16"/>
              </w:rPr>
            </w:pPr>
            <w:r>
              <w:rPr>
                <w:b/>
                <w:sz w:val="16"/>
              </w:rPr>
              <w:t>All savanna grasslands (mid/late dry season burns)*</w:t>
            </w:r>
          </w:p>
        </w:tc>
        <w:tc>
          <w:tcPr>
            <w:tcW w:w="782" w:type="dxa"/>
          </w:tcPr>
          <w:p>
            <w:pPr>
              <w:pStyle w:val="TableParagraph"/>
              <w:spacing w:before="126"/>
              <w:ind w:left="250"/>
              <w:rPr>
                <w:b/>
                <w:sz w:val="16"/>
              </w:rPr>
            </w:pPr>
            <w:r>
              <w:rPr>
                <w:b/>
                <w:sz w:val="16"/>
              </w:rPr>
              <w:t>0.77</w:t>
            </w:r>
          </w:p>
        </w:tc>
        <w:tc>
          <w:tcPr>
            <w:tcW w:w="784" w:type="dxa"/>
          </w:tcPr>
          <w:p>
            <w:pPr>
              <w:pStyle w:val="TableParagraph"/>
              <w:spacing w:before="126"/>
              <w:ind w:left="175" w:right="165"/>
              <w:jc w:val="center"/>
              <w:rPr>
                <w:b/>
                <w:sz w:val="16"/>
              </w:rPr>
            </w:pPr>
            <w:r>
              <w:rPr>
                <w:b/>
                <w:sz w:val="16"/>
              </w:rPr>
              <w:t>0.26</w:t>
            </w:r>
          </w:p>
        </w:tc>
        <w:tc>
          <w:tcPr>
            <w:tcW w:w="587" w:type="dxa"/>
          </w:tcPr>
          <w:p>
            <w:pPr>
              <w:pStyle w:val="TableParagraph"/>
              <w:spacing w:before="126"/>
              <w:ind w:left="90" w:right="78"/>
              <w:jc w:val="center"/>
              <w:rPr>
                <w:b/>
                <w:sz w:val="16"/>
              </w:rPr>
            </w:pPr>
            <w:r>
              <w:rPr>
                <w:b/>
                <w:sz w:val="16"/>
              </w:rPr>
              <w:t>29</w:t>
            </w:r>
          </w:p>
        </w:tc>
        <w:tc>
          <w:tcPr>
            <w:tcW w:w="1187" w:type="dxa"/>
          </w:tcPr>
          <w:p>
            <w:pPr>
              <w:pStyle w:val="TableParagraph"/>
              <w:spacing w:before="126"/>
              <w:ind w:left="94" w:right="79"/>
              <w:jc w:val="center"/>
              <w:rPr>
                <w:b/>
                <w:sz w:val="16"/>
              </w:rPr>
            </w:pPr>
            <w:r>
              <w:rPr>
                <w:b/>
                <w:sz w:val="16"/>
              </w:rPr>
              <w:t>0.19 – 1.00</w:t>
            </w:r>
          </w:p>
        </w:tc>
        <w:tc>
          <w:tcPr>
            <w:tcW w:w="546" w:type="dxa"/>
          </w:tcPr>
          <w:p>
            <w:pPr>
              <w:pStyle w:val="TableParagraph"/>
              <w:spacing w:before="126"/>
              <w:ind w:left="99" w:right="81"/>
              <w:jc w:val="center"/>
              <w:rPr>
                <w:b/>
                <w:sz w:val="16"/>
              </w:rPr>
            </w:pPr>
            <w:r>
              <w:rPr>
                <w:b/>
                <w:sz w:val="16"/>
              </w:rPr>
              <w:t>38</w:t>
            </w:r>
          </w:p>
        </w:tc>
        <w:tc>
          <w:tcPr>
            <w:tcW w:w="1427" w:type="dxa"/>
          </w:tcPr>
          <w:p>
            <w:pPr>
              <w:pStyle w:val="TableParagraph"/>
              <w:rPr>
                <w:sz w:val="16"/>
              </w:rPr>
            </w:pPr>
          </w:p>
        </w:tc>
      </w:tr>
      <w:tr>
        <w:trPr>
          <w:trHeight w:val="275" w:hRule="atLeast"/>
        </w:trPr>
        <w:tc>
          <w:tcPr>
            <w:tcW w:w="1610" w:type="dxa"/>
            <w:vMerge w:val="restart"/>
          </w:tcPr>
          <w:p>
            <w:pPr>
              <w:pStyle w:val="TableParagraph"/>
              <w:spacing w:before="83"/>
              <w:ind w:left="107" w:right="366"/>
              <w:rPr>
                <w:sz w:val="16"/>
              </w:rPr>
            </w:pPr>
            <w:r>
              <w:rPr>
                <w:sz w:val="16"/>
              </w:rPr>
              <w:t>Other Vegetation Types</w:t>
            </w:r>
          </w:p>
        </w:tc>
        <w:tc>
          <w:tcPr>
            <w:tcW w:w="2085" w:type="dxa"/>
          </w:tcPr>
          <w:p>
            <w:pPr>
              <w:pStyle w:val="TableParagraph"/>
              <w:spacing w:before="54"/>
              <w:ind w:left="108"/>
              <w:rPr>
                <w:sz w:val="16"/>
              </w:rPr>
            </w:pPr>
            <w:r>
              <w:rPr>
                <w:sz w:val="16"/>
              </w:rPr>
              <w:t>Peatland</w:t>
            </w:r>
          </w:p>
        </w:tc>
        <w:tc>
          <w:tcPr>
            <w:tcW w:w="782" w:type="dxa"/>
          </w:tcPr>
          <w:p>
            <w:pPr>
              <w:pStyle w:val="TableParagraph"/>
              <w:spacing w:before="54"/>
              <w:ind w:left="250"/>
              <w:rPr>
                <w:sz w:val="16"/>
              </w:rPr>
            </w:pPr>
            <w:r>
              <w:rPr>
                <w:sz w:val="16"/>
              </w:rPr>
              <w:t>0.50</w:t>
            </w:r>
          </w:p>
        </w:tc>
        <w:tc>
          <w:tcPr>
            <w:tcW w:w="784" w:type="dxa"/>
          </w:tcPr>
          <w:p>
            <w:pPr>
              <w:pStyle w:val="TableParagraph"/>
              <w:spacing w:before="54"/>
              <w:ind w:left="12"/>
              <w:jc w:val="center"/>
              <w:rPr>
                <w:sz w:val="16"/>
              </w:rPr>
            </w:pPr>
            <w:r>
              <w:rPr>
                <w:w w:val="100"/>
                <w:sz w:val="16"/>
              </w:rPr>
              <w:t>-</w:t>
            </w:r>
          </w:p>
        </w:tc>
        <w:tc>
          <w:tcPr>
            <w:tcW w:w="587" w:type="dxa"/>
          </w:tcPr>
          <w:p>
            <w:pPr>
              <w:pStyle w:val="TableParagraph"/>
              <w:spacing w:before="54"/>
              <w:ind w:left="12"/>
              <w:jc w:val="center"/>
              <w:rPr>
                <w:sz w:val="16"/>
              </w:rPr>
            </w:pPr>
            <w:r>
              <w:rPr>
                <w:w w:val="100"/>
                <w:sz w:val="16"/>
              </w:rPr>
              <w:t>1</w:t>
            </w:r>
          </w:p>
        </w:tc>
        <w:tc>
          <w:tcPr>
            <w:tcW w:w="1187" w:type="dxa"/>
          </w:tcPr>
          <w:p>
            <w:pPr>
              <w:pStyle w:val="TableParagraph"/>
              <w:spacing w:before="54"/>
              <w:ind w:left="94" w:right="79"/>
              <w:jc w:val="center"/>
              <w:rPr>
                <w:sz w:val="16"/>
              </w:rPr>
            </w:pPr>
            <w:r>
              <w:rPr>
                <w:sz w:val="16"/>
              </w:rPr>
              <w:t>0.50 – 0.68</w:t>
            </w:r>
          </w:p>
        </w:tc>
        <w:tc>
          <w:tcPr>
            <w:tcW w:w="546" w:type="dxa"/>
          </w:tcPr>
          <w:p>
            <w:pPr>
              <w:pStyle w:val="TableParagraph"/>
              <w:spacing w:before="54"/>
              <w:ind w:left="17"/>
              <w:jc w:val="center"/>
              <w:rPr>
                <w:sz w:val="16"/>
              </w:rPr>
            </w:pPr>
            <w:r>
              <w:rPr>
                <w:w w:val="100"/>
                <w:sz w:val="16"/>
              </w:rPr>
              <w:t>2</w:t>
            </w:r>
          </w:p>
        </w:tc>
        <w:tc>
          <w:tcPr>
            <w:tcW w:w="1427" w:type="dxa"/>
          </w:tcPr>
          <w:p>
            <w:pPr>
              <w:pStyle w:val="TableParagraph"/>
              <w:spacing w:before="54"/>
              <w:ind w:left="113"/>
              <w:rPr>
                <w:sz w:val="16"/>
              </w:rPr>
            </w:pPr>
            <w:r>
              <w:rPr>
                <w:sz w:val="16"/>
              </w:rPr>
              <w:t>20, 44</w:t>
            </w:r>
          </w:p>
        </w:tc>
      </w:tr>
      <w:tr>
        <w:trPr>
          <w:trHeight w:val="273" w:hRule="atLeast"/>
        </w:trPr>
        <w:tc>
          <w:tcPr>
            <w:tcW w:w="1610" w:type="dxa"/>
            <w:vMerge/>
            <w:tcBorders>
              <w:top w:val="nil"/>
            </w:tcBorders>
          </w:tcPr>
          <w:p>
            <w:pPr>
              <w:rPr>
                <w:sz w:val="2"/>
                <w:szCs w:val="2"/>
              </w:rPr>
            </w:pPr>
          </w:p>
        </w:tc>
        <w:tc>
          <w:tcPr>
            <w:tcW w:w="2085" w:type="dxa"/>
          </w:tcPr>
          <w:p>
            <w:pPr>
              <w:pStyle w:val="TableParagraph"/>
              <w:spacing w:before="54"/>
              <w:ind w:left="108"/>
              <w:rPr>
                <w:sz w:val="16"/>
              </w:rPr>
            </w:pPr>
            <w:r>
              <w:rPr>
                <w:sz w:val="16"/>
              </w:rPr>
              <w:t>Tropical Wetlands</w:t>
            </w:r>
          </w:p>
        </w:tc>
        <w:tc>
          <w:tcPr>
            <w:tcW w:w="782" w:type="dxa"/>
          </w:tcPr>
          <w:p>
            <w:pPr>
              <w:pStyle w:val="TableParagraph"/>
              <w:spacing w:before="54"/>
              <w:ind w:left="251"/>
              <w:rPr>
                <w:sz w:val="16"/>
              </w:rPr>
            </w:pPr>
            <w:r>
              <w:rPr>
                <w:sz w:val="16"/>
              </w:rPr>
              <w:t>0.70</w:t>
            </w:r>
          </w:p>
        </w:tc>
        <w:tc>
          <w:tcPr>
            <w:tcW w:w="784" w:type="dxa"/>
          </w:tcPr>
          <w:p>
            <w:pPr>
              <w:pStyle w:val="TableParagraph"/>
              <w:spacing w:before="54"/>
              <w:ind w:left="13"/>
              <w:jc w:val="center"/>
              <w:rPr>
                <w:sz w:val="16"/>
              </w:rPr>
            </w:pPr>
            <w:r>
              <w:rPr>
                <w:w w:val="100"/>
                <w:sz w:val="16"/>
              </w:rPr>
              <w:t>-</w:t>
            </w:r>
          </w:p>
        </w:tc>
        <w:tc>
          <w:tcPr>
            <w:tcW w:w="587" w:type="dxa"/>
          </w:tcPr>
          <w:p>
            <w:pPr>
              <w:pStyle w:val="TableParagraph"/>
              <w:spacing w:before="54"/>
              <w:ind w:left="13"/>
              <w:jc w:val="center"/>
              <w:rPr>
                <w:sz w:val="16"/>
              </w:rPr>
            </w:pPr>
            <w:r>
              <w:rPr>
                <w:w w:val="100"/>
                <w:sz w:val="16"/>
              </w:rPr>
              <w:t>1</w:t>
            </w:r>
          </w:p>
        </w:tc>
        <w:tc>
          <w:tcPr>
            <w:tcW w:w="1187" w:type="dxa"/>
          </w:tcPr>
          <w:p>
            <w:pPr>
              <w:pStyle w:val="TableParagraph"/>
              <w:spacing w:before="54"/>
              <w:ind w:left="21"/>
              <w:jc w:val="center"/>
              <w:rPr>
                <w:sz w:val="16"/>
              </w:rPr>
            </w:pPr>
            <w:r>
              <w:rPr>
                <w:w w:val="100"/>
                <w:sz w:val="16"/>
              </w:rPr>
              <w:t>-</w:t>
            </w:r>
          </w:p>
        </w:tc>
        <w:tc>
          <w:tcPr>
            <w:tcW w:w="546" w:type="dxa"/>
          </w:tcPr>
          <w:p>
            <w:pPr>
              <w:pStyle w:val="TableParagraph"/>
              <w:spacing w:before="54"/>
              <w:ind w:left="19"/>
              <w:jc w:val="center"/>
              <w:rPr>
                <w:sz w:val="16"/>
              </w:rPr>
            </w:pPr>
            <w:r>
              <w:rPr>
                <w:w w:val="100"/>
                <w:sz w:val="16"/>
              </w:rPr>
              <w:t>1</w:t>
            </w:r>
          </w:p>
        </w:tc>
        <w:tc>
          <w:tcPr>
            <w:tcW w:w="1427" w:type="dxa"/>
          </w:tcPr>
          <w:p>
            <w:pPr>
              <w:pStyle w:val="TableParagraph"/>
              <w:spacing w:before="54"/>
              <w:ind w:left="113"/>
              <w:rPr>
                <w:sz w:val="16"/>
              </w:rPr>
            </w:pPr>
            <w:r>
              <w:rPr>
                <w:sz w:val="16"/>
              </w:rPr>
              <w:t>44</w:t>
            </w:r>
          </w:p>
        </w:tc>
      </w:tr>
      <w:tr>
        <w:trPr>
          <w:trHeight w:val="837" w:hRule="atLeast"/>
        </w:trPr>
        <w:tc>
          <w:tcPr>
            <w:tcW w:w="9008" w:type="dxa"/>
            <w:gridSpan w:val="8"/>
          </w:tcPr>
          <w:p>
            <w:pPr>
              <w:pStyle w:val="TableParagraph"/>
              <w:spacing w:line="191" w:lineRule="exact" w:before="9"/>
              <w:ind w:left="107"/>
              <w:rPr>
                <w:sz w:val="16"/>
              </w:rPr>
            </w:pPr>
            <w:r>
              <w:rPr>
                <w:position w:val="7"/>
                <w:sz w:val="10"/>
              </w:rPr>
              <w:t>1 </w:t>
            </w:r>
            <w:r>
              <w:rPr>
                <w:sz w:val="16"/>
              </w:rPr>
              <w:t>No. m = the number of observations for the mean</w:t>
            </w:r>
          </w:p>
          <w:p>
            <w:pPr>
              <w:pStyle w:val="TableParagraph"/>
              <w:spacing w:line="191" w:lineRule="exact"/>
              <w:ind w:left="107"/>
              <w:rPr>
                <w:sz w:val="16"/>
              </w:rPr>
            </w:pPr>
            <w:r>
              <w:rPr>
                <w:position w:val="7"/>
                <w:sz w:val="10"/>
              </w:rPr>
              <w:t>2 </w:t>
            </w:r>
            <w:r>
              <w:rPr>
                <w:sz w:val="16"/>
              </w:rPr>
              <w:t>No. r = the number of observations for the range</w:t>
            </w:r>
          </w:p>
          <w:p>
            <w:pPr>
              <w:pStyle w:val="TableParagraph"/>
              <w:spacing w:line="194" w:lineRule="exact"/>
              <w:ind w:left="107"/>
              <w:rPr>
                <w:sz w:val="16"/>
              </w:rPr>
            </w:pPr>
            <w:r>
              <w:rPr>
                <w:sz w:val="18"/>
              </w:rPr>
              <w:t>* </w:t>
            </w:r>
            <w:r>
              <w:rPr>
                <w:sz w:val="16"/>
              </w:rPr>
              <w:t>Surface layer combustion only, </w:t>
            </w:r>
            <w:r>
              <w:rPr>
                <w:sz w:val="16"/>
                <w:vertAlign w:val="superscript"/>
              </w:rPr>
              <w:t>#</w:t>
            </w:r>
            <w:r>
              <w:rPr>
                <w:sz w:val="16"/>
                <w:vertAlign w:val="baseline"/>
              </w:rPr>
              <w:t> campo cerrado, cerrado sensu stricto, </w:t>
            </w:r>
            <w:r>
              <w:rPr>
                <w:sz w:val="16"/>
                <w:vertAlign w:val="superscript"/>
              </w:rPr>
              <w:t>$</w:t>
            </w:r>
            <w:r>
              <w:rPr>
                <w:sz w:val="16"/>
                <w:vertAlign w:val="baseline"/>
              </w:rPr>
              <w:t> campo sujo, campo limpo, dambo, </w:t>
            </w:r>
            <w:r>
              <w:rPr>
                <w:sz w:val="16"/>
                <w:vertAlign w:val="superscript"/>
              </w:rPr>
              <w:t>@</w:t>
            </w:r>
            <w:r>
              <w:rPr>
                <w:sz w:val="16"/>
                <w:vertAlign w:val="baseline"/>
              </w:rPr>
              <w:t> miombo</w:t>
            </w:r>
          </w:p>
          <w:p>
            <w:pPr>
              <w:pStyle w:val="TableParagraph"/>
              <w:spacing w:line="214" w:lineRule="exact"/>
              <w:ind w:left="107"/>
              <w:rPr>
                <w:sz w:val="16"/>
              </w:rPr>
            </w:pPr>
            <w:r>
              <w:rPr>
                <w:position w:val="8"/>
                <w:sz w:val="12"/>
              </w:rPr>
              <w:t>~ </w:t>
            </w:r>
            <w:r>
              <w:rPr>
                <w:sz w:val="16"/>
              </w:rPr>
              <w:t>derived from slashed tropical forest (includes unburned woody material)</w:t>
            </w:r>
          </w:p>
        </w:tc>
      </w:tr>
    </w:tbl>
    <w:p>
      <w:pPr>
        <w:pStyle w:val="BodyText"/>
        <w:spacing w:before="9"/>
        <w:rPr>
          <w:sz w:val="24"/>
        </w:rPr>
      </w:pPr>
    </w:p>
    <w:tbl>
      <w:tblPr>
        <w:tblW w:w="0" w:type="auto"/>
        <w:jc w:val="left"/>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08"/>
        <w:gridCol w:w="2114"/>
        <w:gridCol w:w="784"/>
        <w:gridCol w:w="782"/>
        <w:gridCol w:w="604"/>
        <w:gridCol w:w="1142"/>
        <w:gridCol w:w="573"/>
        <w:gridCol w:w="1403"/>
      </w:tblGrid>
      <w:tr>
        <w:trPr>
          <w:trHeight w:val="663" w:hRule="atLeast"/>
        </w:trPr>
        <w:tc>
          <w:tcPr>
            <w:tcW w:w="9010" w:type="dxa"/>
            <w:gridSpan w:val="8"/>
            <w:tcBorders>
              <w:bottom w:val="double" w:sz="1" w:space="0" w:color="000000"/>
            </w:tcBorders>
          </w:tcPr>
          <w:p>
            <w:pPr>
              <w:pStyle w:val="TableParagraph"/>
              <w:spacing w:line="207" w:lineRule="exact" w:before="28"/>
              <w:ind w:left="1218" w:right="1206"/>
              <w:jc w:val="center"/>
              <w:rPr>
                <w:b/>
                <w:sz w:val="18"/>
              </w:rPr>
            </w:pPr>
            <w:r>
              <w:rPr>
                <w:b/>
                <w:sz w:val="18"/>
              </w:rPr>
              <w:t>T</w:t>
            </w:r>
            <w:r>
              <w:rPr>
                <w:b/>
                <w:sz w:val="14"/>
              </w:rPr>
              <w:t>ABLE </w:t>
            </w:r>
            <w:r>
              <w:rPr>
                <w:b/>
                <w:sz w:val="18"/>
              </w:rPr>
              <w:t>3A.1.13</w:t>
            </w:r>
          </w:p>
          <w:p>
            <w:pPr>
              <w:pStyle w:val="TableParagraph"/>
              <w:spacing w:line="207" w:lineRule="exact"/>
              <w:ind w:left="1223" w:right="1173"/>
              <w:jc w:val="center"/>
              <w:rPr>
                <w:b/>
                <w:sz w:val="14"/>
              </w:rPr>
            </w:pPr>
            <w:r>
              <w:rPr>
                <w:b/>
                <w:sz w:val="18"/>
              </w:rPr>
              <w:t>B</w:t>
            </w:r>
            <w:r>
              <w:rPr>
                <w:b/>
                <w:sz w:val="14"/>
              </w:rPr>
              <w:t>IOMASS CONSUMPTION </w:t>
            </w:r>
            <w:r>
              <w:rPr>
                <w:b/>
                <w:sz w:val="18"/>
              </w:rPr>
              <w:t>(t/ha) </w:t>
            </w:r>
            <w:r>
              <w:rPr>
                <w:b/>
                <w:sz w:val="14"/>
              </w:rPr>
              <w:t>VALUES FOR FIRES IN A RANGE OF VEGETATION TYPES</w:t>
            </w:r>
          </w:p>
          <w:p>
            <w:pPr>
              <w:pStyle w:val="TableParagraph"/>
              <w:spacing w:line="197" w:lineRule="exact" w:before="6"/>
              <w:ind w:left="1221" w:right="1206"/>
              <w:jc w:val="center"/>
              <w:rPr>
                <w:sz w:val="16"/>
              </w:rPr>
            </w:pPr>
            <w:r>
              <w:rPr>
                <w:position w:val="2"/>
                <w:sz w:val="16"/>
              </w:rPr>
              <w:t>(To be used in Equation 3.2.9. for the part of the equation: ‘B</w:t>
            </w:r>
            <w:r>
              <w:rPr>
                <w:sz w:val="10"/>
              </w:rPr>
              <w:t>W </w:t>
            </w:r>
            <w:r>
              <w:rPr>
                <w:rFonts w:ascii="Symbol" w:hAnsi="Symbol"/>
                <w:position w:val="2"/>
                <w:sz w:val="16"/>
              </w:rPr>
              <w:t>• </w:t>
            </w:r>
            <w:r>
              <w:rPr>
                <w:position w:val="2"/>
                <w:sz w:val="16"/>
              </w:rPr>
              <w:t>(1- f</w:t>
            </w:r>
            <w:r>
              <w:rPr>
                <w:sz w:val="10"/>
              </w:rPr>
              <w:t>BL</w:t>
            </w:r>
            <w:r>
              <w:rPr>
                <w:position w:val="2"/>
                <w:sz w:val="16"/>
              </w:rPr>
              <w:t>)’ , i.e., an absolute amount)</w:t>
            </w:r>
          </w:p>
        </w:tc>
      </w:tr>
      <w:tr>
        <w:trPr>
          <w:trHeight w:val="256" w:hRule="atLeast"/>
        </w:trPr>
        <w:tc>
          <w:tcPr>
            <w:tcW w:w="1608" w:type="dxa"/>
            <w:tcBorders>
              <w:top w:val="double" w:sz="1" w:space="0" w:color="000000"/>
            </w:tcBorders>
          </w:tcPr>
          <w:p>
            <w:pPr>
              <w:pStyle w:val="TableParagraph"/>
              <w:spacing w:before="32"/>
              <w:ind w:left="242"/>
              <w:rPr>
                <w:b/>
                <w:sz w:val="16"/>
              </w:rPr>
            </w:pPr>
            <w:r>
              <w:rPr>
                <w:b/>
                <w:sz w:val="16"/>
              </w:rPr>
              <w:t>Vegetation Type</w:t>
            </w:r>
          </w:p>
        </w:tc>
        <w:tc>
          <w:tcPr>
            <w:tcW w:w="2114" w:type="dxa"/>
            <w:tcBorders>
              <w:top w:val="double" w:sz="1" w:space="0" w:color="000000"/>
            </w:tcBorders>
          </w:tcPr>
          <w:p>
            <w:pPr>
              <w:pStyle w:val="TableParagraph"/>
              <w:spacing w:before="32"/>
              <w:ind w:left="602"/>
              <w:rPr>
                <w:b/>
                <w:sz w:val="16"/>
              </w:rPr>
            </w:pPr>
            <w:r>
              <w:rPr>
                <w:b/>
                <w:sz w:val="16"/>
              </w:rPr>
              <w:t>Sub-category</w:t>
            </w:r>
          </w:p>
        </w:tc>
        <w:tc>
          <w:tcPr>
            <w:tcW w:w="784" w:type="dxa"/>
            <w:tcBorders>
              <w:top w:val="double" w:sz="1" w:space="0" w:color="000000"/>
            </w:tcBorders>
          </w:tcPr>
          <w:p>
            <w:pPr>
              <w:pStyle w:val="TableParagraph"/>
              <w:spacing w:before="32"/>
              <w:ind w:left="175" w:right="167"/>
              <w:jc w:val="center"/>
              <w:rPr>
                <w:b/>
                <w:sz w:val="16"/>
              </w:rPr>
            </w:pPr>
            <w:r>
              <w:rPr>
                <w:b/>
                <w:sz w:val="16"/>
              </w:rPr>
              <w:t>Mean</w:t>
            </w:r>
          </w:p>
        </w:tc>
        <w:tc>
          <w:tcPr>
            <w:tcW w:w="782" w:type="dxa"/>
            <w:tcBorders>
              <w:top w:val="double" w:sz="1" w:space="0" w:color="000000"/>
            </w:tcBorders>
          </w:tcPr>
          <w:p>
            <w:pPr>
              <w:pStyle w:val="TableParagraph"/>
              <w:spacing w:before="32"/>
              <w:ind w:left="183" w:right="178"/>
              <w:jc w:val="center"/>
              <w:rPr>
                <w:b/>
                <w:sz w:val="16"/>
              </w:rPr>
            </w:pPr>
            <w:r>
              <w:rPr>
                <w:b/>
                <w:sz w:val="16"/>
              </w:rPr>
              <w:t>SE</w:t>
            </w:r>
          </w:p>
        </w:tc>
        <w:tc>
          <w:tcPr>
            <w:tcW w:w="604" w:type="dxa"/>
            <w:tcBorders>
              <w:top w:val="double" w:sz="1" w:space="0" w:color="000000"/>
            </w:tcBorders>
          </w:tcPr>
          <w:p>
            <w:pPr>
              <w:pStyle w:val="TableParagraph"/>
              <w:spacing w:before="32"/>
              <w:ind w:left="53" w:right="38"/>
              <w:jc w:val="center"/>
              <w:rPr>
                <w:b/>
                <w:sz w:val="16"/>
              </w:rPr>
            </w:pPr>
            <w:r>
              <w:rPr>
                <w:b/>
                <w:sz w:val="16"/>
              </w:rPr>
              <w:t>No. m</w:t>
            </w:r>
            <w:r>
              <w:rPr>
                <w:b/>
                <w:sz w:val="16"/>
                <w:vertAlign w:val="superscript"/>
              </w:rPr>
              <w:t>1</w:t>
            </w:r>
          </w:p>
        </w:tc>
        <w:tc>
          <w:tcPr>
            <w:tcW w:w="1142" w:type="dxa"/>
            <w:tcBorders>
              <w:top w:val="double" w:sz="1" w:space="0" w:color="000000"/>
            </w:tcBorders>
          </w:tcPr>
          <w:p>
            <w:pPr>
              <w:pStyle w:val="TableParagraph"/>
              <w:spacing w:before="32"/>
              <w:ind w:left="111" w:right="98"/>
              <w:jc w:val="center"/>
              <w:rPr>
                <w:b/>
                <w:sz w:val="16"/>
              </w:rPr>
            </w:pPr>
            <w:r>
              <w:rPr>
                <w:b/>
                <w:sz w:val="16"/>
              </w:rPr>
              <w:t>Range</w:t>
            </w:r>
          </w:p>
        </w:tc>
        <w:tc>
          <w:tcPr>
            <w:tcW w:w="573" w:type="dxa"/>
            <w:tcBorders>
              <w:top w:val="double" w:sz="1" w:space="0" w:color="000000"/>
            </w:tcBorders>
          </w:tcPr>
          <w:p>
            <w:pPr>
              <w:pStyle w:val="TableParagraph"/>
              <w:spacing w:before="32"/>
              <w:ind w:left="49" w:right="34"/>
              <w:jc w:val="center"/>
              <w:rPr>
                <w:b/>
                <w:sz w:val="16"/>
              </w:rPr>
            </w:pPr>
            <w:r>
              <w:rPr>
                <w:b/>
                <w:sz w:val="16"/>
              </w:rPr>
              <w:t>No. r </w:t>
            </w:r>
            <w:r>
              <w:rPr>
                <w:b/>
                <w:sz w:val="16"/>
                <w:vertAlign w:val="superscript"/>
              </w:rPr>
              <w:t>2</w:t>
            </w:r>
          </w:p>
        </w:tc>
        <w:tc>
          <w:tcPr>
            <w:tcW w:w="1403" w:type="dxa"/>
            <w:tcBorders>
              <w:top w:val="double" w:sz="1" w:space="0" w:color="000000"/>
            </w:tcBorders>
          </w:tcPr>
          <w:p>
            <w:pPr>
              <w:pStyle w:val="TableParagraph"/>
              <w:spacing w:before="32"/>
              <w:ind w:left="331"/>
              <w:rPr>
                <w:b/>
                <w:sz w:val="16"/>
              </w:rPr>
            </w:pPr>
            <w:r>
              <w:rPr>
                <w:b/>
                <w:sz w:val="16"/>
              </w:rPr>
              <w:t>References</w:t>
            </w:r>
          </w:p>
        </w:tc>
      </w:tr>
      <w:tr>
        <w:trPr>
          <w:trHeight w:val="443" w:hRule="atLeast"/>
        </w:trPr>
        <w:tc>
          <w:tcPr>
            <w:tcW w:w="1608" w:type="dxa"/>
            <w:vMerge w:val="restart"/>
          </w:tcPr>
          <w:p>
            <w:pPr>
              <w:pStyle w:val="TableParagraph"/>
              <w:rPr>
                <w:sz w:val="18"/>
              </w:rPr>
            </w:pPr>
          </w:p>
          <w:p>
            <w:pPr>
              <w:pStyle w:val="TableParagraph"/>
              <w:spacing w:before="154"/>
              <w:ind w:left="107" w:right="386"/>
              <w:jc w:val="both"/>
              <w:rPr>
                <w:sz w:val="16"/>
              </w:rPr>
            </w:pPr>
            <w:r>
              <w:rPr>
                <w:sz w:val="16"/>
              </w:rPr>
              <w:t>Primary Tropical Forest (slash and burn)</w:t>
            </w:r>
          </w:p>
        </w:tc>
        <w:tc>
          <w:tcPr>
            <w:tcW w:w="2114" w:type="dxa"/>
          </w:tcPr>
          <w:p>
            <w:pPr>
              <w:pStyle w:val="TableParagraph"/>
              <w:spacing w:before="124"/>
              <w:ind w:left="107"/>
              <w:rPr>
                <w:sz w:val="16"/>
              </w:rPr>
            </w:pPr>
            <w:r>
              <w:rPr>
                <w:sz w:val="16"/>
              </w:rPr>
              <w:t>Primary tropical forest</w:t>
            </w:r>
          </w:p>
        </w:tc>
        <w:tc>
          <w:tcPr>
            <w:tcW w:w="784" w:type="dxa"/>
          </w:tcPr>
          <w:p>
            <w:pPr>
              <w:pStyle w:val="TableParagraph"/>
              <w:spacing w:before="124"/>
              <w:ind w:left="175" w:right="164"/>
              <w:jc w:val="center"/>
              <w:rPr>
                <w:sz w:val="16"/>
              </w:rPr>
            </w:pPr>
            <w:r>
              <w:rPr>
                <w:sz w:val="16"/>
              </w:rPr>
              <w:t>83.9</w:t>
            </w:r>
          </w:p>
        </w:tc>
        <w:tc>
          <w:tcPr>
            <w:tcW w:w="782" w:type="dxa"/>
          </w:tcPr>
          <w:p>
            <w:pPr>
              <w:pStyle w:val="TableParagraph"/>
              <w:spacing w:before="124"/>
              <w:ind w:left="192" w:right="178"/>
              <w:jc w:val="center"/>
              <w:rPr>
                <w:sz w:val="16"/>
              </w:rPr>
            </w:pPr>
            <w:r>
              <w:rPr>
                <w:sz w:val="16"/>
              </w:rPr>
              <w:t>25.8</w:t>
            </w:r>
          </w:p>
        </w:tc>
        <w:tc>
          <w:tcPr>
            <w:tcW w:w="604" w:type="dxa"/>
          </w:tcPr>
          <w:p>
            <w:pPr>
              <w:pStyle w:val="TableParagraph"/>
              <w:spacing w:before="124"/>
              <w:ind w:left="14"/>
              <w:jc w:val="center"/>
              <w:rPr>
                <w:sz w:val="16"/>
              </w:rPr>
            </w:pPr>
            <w:r>
              <w:rPr>
                <w:w w:val="100"/>
                <w:sz w:val="16"/>
              </w:rPr>
              <w:t>6</w:t>
            </w:r>
          </w:p>
        </w:tc>
        <w:tc>
          <w:tcPr>
            <w:tcW w:w="1142" w:type="dxa"/>
          </w:tcPr>
          <w:p>
            <w:pPr>
              <w:pStyle w:val="TableParagraph"/>
              <w:spacing w:before="124"/>
              <w:ind w:left="112" w:right="98"/>
              <w:jc w:val="center"/>
              <w:rPr>
                <w:sz w:val="16"/>
              </w:rPr>
            </w:pPr>
            <w:r>
              <w:rPr>
                <w:sz w:val="16"/>
              </w:rPr>
              <w:t>10 – 228</w:t>
            </w:r>
          </w:p>
        </w:tc>
        <w:tc>
          <w:tcPr>
            <w:tcW w:w="573" w:type="dxa"/>
          </w:tcPr>
          <w:p>
            <w:pPr>
              <w:pStyle w:val="TableParagraph"/>
              <w:spacing w:before="124"/>
              <w:ind w:left="12"/>
              <w:jc w:val="center"/>
              <w:rPr>
                <w:sz w:val="16"/>
              </w:rPr>
            </w:pPr>
            <w:r>
              <w:rPr>
                <w:w w:val="100"/>
                <w:sz w:val="16"/>
              </w:rPr>
              <w:t>9</w:t>
            </w:r>
          </w:p>
        </w:tc>
        <w:tc>
          <w:tcPr>
            <w:tcW w:w="1403" w:type="dxa"/>
          </w:tcPr>
          <w:p>
            <w:pPr>
              <w:pStyle w:val="TableParagraph"/>
              <w:spacing w:line="183" w:lineRule="exact" w:before="33"/>
              <w:ind w:left="111"/>
              <w:rPr>
                <w:sz w:val="16"/>
              </w:rPr>
            </w:pPr>
            <w:r>
              <w:rPr>
                <w:sz w:val="16"/>
              </w:rPr>
              <w:t>7, 15, 66, 3, 16,</w:t>
            </w:r>
          </w:p>
          <w:p>
            <w:pPr>
              <w:pStyle w:val="TableParagraph"/>
              <w:spacing w:line="183" w:lineRule="exact"/>
              <w:ind w:left="111"/>
              <w:rPr>
                <w:sz w:val="16"/>
              </w:rPr>
            </w:pPr>
            <w:r>
              <w:rPr>
                <w:sz w:val="16"/>
              </w:rPr>
              <w:t>17, 45</w:t>
            </w:r>
          </w:p>
        </w:tc>
      </w:tr>
      <w:tr>
        <w:trPr>
          <w:trHeight w:val="273" w:hRule="atLeast"/>
        </w:trPr>
        <w:tc>
          <w:tcPr>
            <w:tcW w:w="1608" w:type="dxa"/>
            <w:vMerge/>
            <w:tcBorders>
              <w:top w:val="nil"/>
            </w:tcBorders>
          </w:tcPr>
          <w:p>
            <w:pPr>
              <w:rPr>
                <w:sz w:val="2"/>
                <w:szCs w:val="2"/>
              </w:rPr>
            </w:pPr>
          </w:p>
        </w:tc>
        <w:tc>
          <w:tcPr>
            <w:tcW w:w="2114" w:type="dxa"/>
          </w:tcPr>
          <w:p>
            <w:pPr>
              <w:pStyle w:val="TableParagraph"/>
              <w:spacing w:before="37"/>
              <w:ind w:left="107"/>
              <w:rPr>
                <w:sz w:val="16"/>
              </w:rPr>
            </w:pPr>
            <w:r>
              <w:rPr>
                <w:sz w:val="16"/>
              </w:rPr>
              <w:t>Primary open tropical forest</w:t>
            </w:r>
          </w:p>
        </w:tc>
        <w:tc>
          <w:tcPr>
            <w:tcW w:w="784" w:type="dxa"/>
          </w:tcPr>
          <w:p>
            <w:pPr>
              <w:pStyle w:val="TableParagraph"/>
              <w:spacing w:before="37"/>
              <w:ind w:left="175" w:right="163"/>
              <w:jc w:val="center"/>
              <w:rPr>
                <w:sz w:val="16"/>
              </w:rPr>
            </w:pPr>
            <w:r>
              <w:rPr>
                <w:sz w:val="16"/>
              </w:rPr>
              <w:t>163.6</w:t>
            </w:r>
          </w:p>
        </w:tc>
        <w:tc>
          <w:tcPr>
            <w:tcW w:w="782" w:type="dxa"/>
          </w:tcPr>
          <w:p>
            <w:pPr>
              <w:pStyle w:val="TableParagraph"/>
              <w:spacing w:before="37"/>
              <w:ind w:left="192" w:right="178"/>
              <w:jc w:val="center"/>
              <w:rPr>
                <w:sz w:val="16"/>
              </w:rPr>
            </w:pPr>
            <w:r>
              <w:rPr>
                <w:sz w:val="16"/>
              </w:rPr>
              <w:t>52.1</w:t>
            </w:r>
          </w:p>
        </w:tc>
        <w:tc>
          <w:tcPr>
            <w:tcW w:w="604" w:type="dxa"/>
          </w:tcPr>
          <w:p>
            <w:pPr>
              <w:pStyle w:val="TableParagraph"/>
              <w:spacing w:before="37"/>
              <w:ind w:left="14"/>
              <w:jc w:val="center"/>
              <w:rPr>
                <w:sz w:val="16"/>
              </w:rPr>
            </w:pPr>
            <w:r>
              <w:rPr>
                <w:w w:val="100"/>
                <w:sz w:val="16"/>
              </w:rPr>
              <w:t>3</w:t>
            </w:r>
          </w:p>
        </w:tc>
        <w:tc>
          <w:tcPr>
            <w:tcW w:w="1142" w:type="dxa"/>
          </w:tcPr>
          <w:p>
            <w:pPr>
              <w:pStyle w:val="TableParagraph"/>
              <w:spacing w:before="37"/>
              <w:ind w:left="113" w:right="98"/>
              <w:jc w:val="center"/>
              <w:rPr>
                <w:sz w:val="16"/>
              </w:rPr>
            </w:pPr>
            <w:r>
              <w:rPr>
                <w:sz w:val="16"/>
              </w:rPr>
              <w:t>109.9 – 214</w:t>
            </w:r>
          </w:p>
        </w:tc>
        <w:tc>
          <w:tcPr>
            <w:tcW w:w="573" w:type="dxa"/>
          </w:tcPr>
          <w:p>
            <w:pPr>
              <w:pStyle w:val="TableParagraph"/>
              <w:spacing w:before="37"/>
              <w:ind w:left="12"/>
              <w:jc w:val="center"/>
              <w:rPr>
                <w:sz w:val="16"/>
              </w:rPr>
            </w:pPr>
            <w:r>
              <w:rPr>
                <w:w w:val="100"/>
                <w:sz w:val="16"/>
              </w:rPr>
              <w:t>3</w:t>
            </w:r>
          </w:p>
        </w:tc>
        <w:tc>
          <w:tcPr>
            <w:tcW w:w="1403" w:type="dxa"/>
          </w:tcPr>
          <w:p>
            <w:pPr>
              <w:pStyle w:val="TableParagraph"/>
              <w:spacing w:before="37"/>
              <w:ind w:left="111"/>
              <w:rPr>
                <w:sz w:val="16"/>
              </w:rPr>
            </w:pPr>
            <w:r>
              <w:rPr>
                <w:sz w:val="16"/>
              </w:rPr>
              <w:t>21,</w:t>
            </w:r>
          </w:p>
        </w:tc>
      </w:tr>
      <w:tr>
        <w:trPr>
          <w:trHeight w:val="275" w:hRule="atLeast"/>
        </w:trPr>
        <w:tc>
          <w:tcPr>
            <w:tcW w:w="1608" w:type="dxa"/>
            <w:vMerge/>
            <w:tcBorders>
              <w:top w:val="nil"/>
            </w:tcBorders>
          </w:tcPr>
          <w:p>
            <w:pPr>
              <w:rPr>
                <w:sz w:val="2"/>
                <w:szCs w:val="2"/>
              </w:rPr>
            </w:pPr>
          </w:p>
        </w:tc>
        <w:tc>
          <w:tcPr>
            <w:tcW w:w="2114" w:type="dxa"/>
          </w:tcPr>
          <w:p>
            <w:pPr>
              <w:pStyle w:val="TableParagraph"/>
              <w:spacing w:before="37"/>
              <w:ind w:left="107"/>
              <w:rPr>
                <w:sz w:val="16"/>
              </w:rPr>
            </w:pPr>
            <w:r>
              <w:rPr>
                <w:sz w:val="16"/>
              </w:rPr>
              <w:t>Primary tropical moist forest</w:t>
            </w:r>
          </w:p>
        </w:tc>
        <w:tc>
          <w:tcPr>
            <w:tcW w:w="784" w:type="dxa"/>
          </w:tcPr>
          <w:p>
            <w:pPr>
              <w:pStyle w:val="TableParagraph"/>
              <w:spacing w:before="37"/>
              <w:ind w:left="175" w:right="162"/>
              <w:jc w:val="center"/>
              <w:rPr>
                <w:sz w:val="16"/>
              </w:rPr>
            </w:pPr>
            <w:r>
              <w:rPr>
                <w:sz w:val="16"/>
              </w:rPr>
              <w:t>160.4</w:t>
            </w:r>
          </w:p>
        </w:tc>
        <w:tc>
          <w:tcPr>
            <w:tcW w:w="782" w:type="dxa"/>
          </w:tcPr>
          <w:p>
            <w:pPr>
              <w:pStyle w:val="TableParagraph"/>
              <w:spacing w:before="37"/>
              <w:ind w:left="192" w:right="177"/>
              <w:jc w:val="center"/>
              <w:rPr>
                <w:sz w:val="16"/>
              </w:rPr>
            </w:pPr>
            <w:r>
              <w:rPr>
                <w:sz w:val="16"/>
              </w:rPr>
              <w:t>11.8</w:t>
            </w:r>
          </w:p>
        </w:tc>
        <w:tc>
          <w:tcPr>
            <w:tcW w:w="604" w:type="dxa"/>
          </w:tcPr>
          <w:p>
            <w:pPr>
              <w:pStyle w:val="TableParagraph"/>
              <w:spacing w:before="37"/>
              <w:ind w:left="15"/>
              <w:jc w:val="center"/>
              <w:rPr>
                <w:sz w:val="16"/>
              </w:rPr>
            </w:pPr>
            <w:r>
              <w:rPr>
                <w:w w:val="100"/>
                <w:sz w:val="16"/>
              </w:rPr>
              <w:t>2</w:t>
            </w:r>
          </w:p>
        </w:tc>
        <w:tc>
          <w:tcPr>
            <w:tcW w:w="1142" w:type="dxa"/>
          </w:tcPr>
          <w:p>
            <w:pPr>
              <w:pStyle w:val="TableParagraph"/>
              <w:spacing w:before="37"/>
              <w:ind w:left="114" w:right="98"/>
              <w:jc w:val="center"/>
              <w:rPr>
                <w:sz w:val="16"/>
              </w:rPr>
            </w:pPr>
            <w:r>
              <w:rPr>
                <w:sz w:val="16"/>
              </w:rPr>
              <w:t>115.7 – 216.6</w:t>
            </w:r>
          </w:p>
        </w:tc>
        <w:tc>
          <w:tcPr>
            <w:tcW w:w="573" w:type="dxa"/>
          </w:tcPr>
          <w:p>
            <w:pPr>
              <w:pStyle w:val="TableParagraph"/>
              <w:spacing w:before="37"/>
              <w:ind w:left="13"/>
              <w:jc w:val="center"/>
              <w:rPr>
                <w:sz w:val="16"/>
              </w:rPr>
            </w:pPr>
            <w:r>
              <w:rPr>
                <w:w w:val="100"/>
                <w:sz w:val="16"/>
              </w:rPr>
              <w:t>2</w:t>
            </w:r>
          </w:p>
        </w:tc>
        <w:tc>
          <w:tcPr>
            <w:tcW w:w="1403" w:type="dxa"/>
          </w:tcPr>
          <w:p>
            <w:pPr>
              <w:pStyle w:val="TableParagraph"/>
              <w:spacing w:before="37"/>
              <w:ind w:left="111"/>
              <w:rPr>
                <w:sz w:val="16"/>
              </w:rPr>
            </w:pPr>
            <w:r>
              <w:rPr>
                <w:sz w:val="16"/>
              </w:rPr>
              <w:t>37, 73</w:t>
            </w:r>
          </w:p>
        </w:tc>
      </w:tr>
      <w:tr>
        <w:trPr>
          <w:trHeight w:val="273" w:hRule="atLeast"/>
        </w:trPr>
        <w:tc>
          <w:tcPr>
            <w:tcW w:w="1608" w:type="dxa"/>
            <w:vMerge/>
            <w:tcBorders>
              <w:top w:val="nil"/>
            </w:tcBorders>
          </w:tcPr>
          <w:p>
            <w:pPr>
              <w:rPr>
                <w:sz w:val="2"/>
                <w:szCs w:val="2"/>
              </w:rPr>
            </w:pPr>
          </w:p>
        </w:tc>
        <w:tc>
          <w:tcPr>
            <w:tcW w:w="2114" w:type="dxa"/>
          </w:tcPr>
          <w:p>
            <w:pPr>
              <w:pStyle w:val="TableParagraph"/>
              <w:spacing w:before="37"/>
              <w:ind w:left="107"/>
              <w:rPr>
                <w:sz w:val="16"/>
              </w:rPr>
            </w:pPr>
            <w:r>
              <w:rPr>
                <w:sz w:val="16"/>
              </w:rPr>
              <w:t>Primary tropical dry forest</w:t>
            </w:r>
          </w:p>
        </w:tc>
        <w:tc>
          <w:tcPr>
            <w:tcW w:w="784" w:type="dxa"/>
          </w:tcPr>
          <w:p>
            <w:pPr>
              <w:pStyle w:val="TableParagraph"/>
              <w:spacing w:before="37"/>
              <w:ind w:left="11"/>
              <w:jc w:val="center"/>
              <w:rPr>
                <w:sz w:val="16"/>
              </w:rPr>
            </w:pPr>
            <w:r>
              <w:rPr>
                <w:w w:val="100"/>
                <w:sz w:val="16"/>
              </w:rPr>
              <w:t>-</w:t>
            </w:r>
          </w:p>
        </w:tc>
        <w:tc>
          <w:tcPr>
            <w:tcW w:w="782" w:type="dxa"/>
          </w:tcPr>
          <w:p>
            <w:pPr>
              <w:pStyle w:val="TableParagraph"/>
              <w:spacing w:before="37"/>
              <w:ind w:left="15"/>
              <w:jc w:val="center"/>
              <w:rPr>
                <w:sz w:val="16"/>
              </w:rPr>
            </w:pPr>
            <w:r>
              <w:rPr>
                <w:w w:val="100"/>
                <w:sz w:val="16"/>
              </w:rPr>
              <w:t>-</w:t>
            </w:r>
          </w:p>
        </w:tc>
        <w:tc>
          <w:tcPr>
            <w:tcW w:w="604" w:type="dxa"/>
          </w:tcPr>
          <w:p>
            <w:pPr>
              <w:pStyle w:val="TableParagraph"/>
              <w:spacing w:before="37"/>
              <w:ind w:left="14"/>
              <w:jc w:val="center"/>
              <w:rPr>
                <w:sz w:val="16"/>
              </w:rPr>
            </w:pPr>
            <w:r>
              <w:rPr>
                <w:w w:val="100"/>
                <w:sz w:val="16"/>
              </w:rPr>
              <w:t>0</w:t>
            </w:r>
          </w:p>
        </w:tc>
        <w:tc>
          <w:tcPr>
            <w:tcW w:w="1142" w:type="dxa"/>
          </w:tcPr>
          <w:p>
            <w:pPr>
              <w:pStyle w:val="TableParagraph"/>
              <w:spacing w:before="37"/>
              <w:ind w:left="110" w:right="98"/>
              <w:jc w:val="center"/>
              <w:rPr>
                <w:sz w:val="16"/>
              </w:rPr>
            </w:pPr>
            <w:r>
              <w:rPr>
                <w:sz w:val="16"/>
              </w:rPr>
              <w:t>57 – 70</w:t>
            </w:r>
          </w:p>
        </w:tc>
        <w:tc>
          <w:tcPr>
            <w:tcW w:w="573" w:type="dxa"/>
          </w:tcPr>
          <w:p>
            <w:pPr>
              <w:pStyle w:val="TableParagraph"/>
              <w:spacing w:before="37"/>
              <w:ind w:left="13"/>
              <w:jc w:val="center"/>
              <w:rPr>
                <w:sz w:val="16"/>
              </w:rPr>
            </w:pPr>
            <w:r>
              <w:rPr>
                <w:w w:val="100"/>
                <w:sz w:val="16"/>
              </w:rPr>
              <w:t>1</w:t>
            </w:r>
          </w:p>
        </w:tc>
        <w:tc>
          <w:tcPr>
            <w:tcW w:w="1403" w:type="dxa"/>
          </w:tcPr>
          <w:p>
            <w:pPr>
              <w:pStyle w:val="TableParagraph"/>
              <w:spacing w:before="37"/>
              <w:ind w:left="111"/>
              <w:rPr>
                <w:sz w:val="16"/>
              </w:rPr>
            </w:pPr>
            <w:r>
              <w:rPr>
                <w:sz w:val="16"/>
              </w:rPr>
              <w:t>66</w:t>
            </w:r>
          </w:p>
        </w:tc>
      </w:tr>
      <w:tr>
        <w:trPr>
          <w:trHeight w:val="273" w:hRule="atLeast"/>
        </w:trPr>
        <w:tc>
          <w:tcPr>
            <w:tcW w:w="3722" w:type="dxa"/>
            <w:gridSpan w:val="2"/>
          </w:tcPr>
          <w:p>
            <w:pPr>
              <w:pStyle w:val="TableParagraph"/>
              <w:spacing w:before="40"/>
              <w:ind w:left="107"/>
              <w:rPr>
                <w:b/>
                <w:sz w:val="16"/>
              </w:rPr>
            </w:pPr>
            <w:r>
              <w:rPr>
                <w:b/>
                <w:sz w:val="16"/>
              </w:rPr>
              <w:t>All primary tropical forests</w:t>
            </w:r>
          </w:p>
        </w:tc>
        <w:tc>
          <w:tcPr>
            <w:tcW w:w="784" w:type="dxa"/>
          </w:tcPr>
          <w:p>
            <w:pPr>
              <w:pStyle w:val="TableParagraph"/>
              <w:spacing w:before="40"/>
              <w:ind w:left="175" w:right="165"/>
              <w:jc w:val="center"/>
              <w:rPr>
                <w:b/>
                <w:sz w:val="16"/>
              </w:rPr>
            </w:pPr>
            <w:r>
              <w:rPr>
                <w:b/>
                <w:sz w:val="16"/>
              </w:rPr>
              <w:t>119.6</w:t>
            </w:r>
          </w:p>
        </w:tc>
        <w:tc>
          <w:tcPr>
            <w:tcW w:w="782" w:type="dxa"/>
          </w:tcPr>
          <w:p>
            <w:pPr>
              <w:pStyle w:val="TableParagraph"/>
              <w:spacing w:before="40"/>
              <w:ind w:left="191" w:right="178"/>
              <w:jc w:val="center"/>
              <w:rPr>
                <w:b/>
                <w:sz w:val="16"/>
              </w:rPr>
            </w:pPr>
            <w:r>
              <w:rPr>
                <w:b/>
                <w:sz w:val="16"/>
              </w:rPr>
              <w:t>50.7</w:t>
            </w:r>
          </w:p>
        </w:tc>
        <w:tc>
          <w:tcPr>
            <w:tcW w:w="604" w:type="dxa"/>
          </w:tcPr>
          <w:p>
            <w:pPr>
              <w:pStyle w:val="TableParagraph"/>
              <w:spacing w:before="40"/>
              <w:ind w:left="52" w:right="38"/>
              <w:jc w:val="center"/>
              <w:rPr>
                <w:b/>
                <w:sz w:val="16"/>
              </w:rPr>
            </w:pPr>
            <w:r>
              <w:rPr>
                <w:b/>
                <w:sz w:val="16"/>
              </w:rPr>
              <w:t>11</w:t>
            </w:r>
          </w:p>
        </w:tc>
        <w:tc>
          <w:tcPr>
            <w:tcW w:w="1142" w:type="dxa"/>
          </w:tcPr>
          <w:p>
            <w:pPr>
              <w:pStyle w:val="TableParagraph"/>
              <w:spacing w:before="40"/>
              <w:ind w:left="111" w:right="98"/>
              <w:jc w:val="center"/>
              <w:rPr>
                <w:b/>
                <w:sz w:val="16"/>
              </w:rPr>
            </w:pPr>
            <w:r>
              <w:rPr>
                <w:b/>
                <w:sz w:val="16"/>
              </w:rPr>
              <w:t>10 – 228</w:t>
            </w:r>
          </w:p>
        </w:tc>
        <w:tc>
          <w:tcPr>
            <w:tcW w:w="573" w:type="dxa"/>
          </w:tcPr>
          <w:p>
            <w:pPr>
              <w:pStyle w:val="TableParagraph"/>
              <w:spacing w:before="40"/>
              <w:ind w:left="47" w:right="34"/>
              <w:jc w:val="center"/>
              <w:rPr>
                <w:b/>
                <w:sz w:val="16"/>
              </w:rPr>
            </w:pPr>
            <w:r>
              <w:rPr>
                <w:b/>
                <w:sz w:val="16"/>
              </w:rPr>
              <w:t>15</w:t>
            </w:r>
          </w:p>
        </w:tc>
        <w:tc>
          <w:tcPr>
            <w:tcW w:w="1403" w:type="dxa"/>
          </w:tcPr>
          <w:p>
            <w:pPr>
              <w:pStyle w:val="TableParagraph"/>
              <w:rPr>
                <w:sz w:val="16"/>
              </w:rPr>
            </w:pPr>
          </w:p>
        </w:tc>
      </w:tr>
      <w:tr>
        <w:trPr>
          <w:trHeight w:val="443" w:hRule="atLeast"/>
        </w:trPr>
        <w:tc>
          <w:tcPr>
            <w:tcW w:w="1608" w:type="dxa"/>
            <w:vMerge w:val="restart"/>
          </w:tcPr>
          <w:p>
            <w:pPr>
              <w:pStyle w:val="TableParagraph"/>
              <w:rPr>
                <w:sz w:val="18"/>
              </w:rPr>
            </w:pPr>
          </w:p>
          <w:p>
            <w:pPr>
              <w:pStyle w:val="TableParagraph"/>
              <w:spacing w:before="8"/>
              <w:rPr>
                <w:sz w:val="15"/>
              </w:rPr>
            </w:pPr>
          </w:p>
          <w:p>
            <w:pPr>
              <w:pStyle w:val="TableParagraph"/>
              <w:ind w:left="107" w:right="267"/>
              <w:rPr>
                <w:sz w:val="16"/>
              </w:rPr>
            </w:pPr>
            <w:r>
              <w:rPr>
                <w:sz w:val="16"/>
              </w:rPr>
              <w:t>Secondary tropical forest (slash and burn)</w:t>
            </w:r>
          </w:p>
        </w:tc>
        <w:tc>
          <w:tcPr>
            <w:tcW w:w="2114" w:type="dxa"/>
          </w:tcPr>
          <w:p>
            <w:pPr>
              <w:pStyle w:val="TableParagraph"/>
              <w:spacing w:before="33"/>
              <w:ind w:left="107"/>
              <w:rPr>
                <w:sz w:val="16"/>
              </w:rPr>
            </w:pPr>
            <w:r>
              <w:rPr>
                <w:sz w:val="16"/>
              </w:rPr>
              <w:t>Young secondary tropical forest (3-5 yrs)</w:t>
            </w:r>
          </w:p>
        </w:tc>
        <w:tc>
          <w:tcPr>
            <w:tcW w:w="784" w:type="dxa"/>
          </w:tcPr>
          <w:p>
            <w:pPr>
              <w:pStyle w:val="TableParagraph"/>
              <w:spacing w:before="124"/>
              <w:ind w:left="174" w:right="167"/>
              <w:jc w:val="center"/>
              <w:rPr>
                <w:sz w:val="16"/>
              </w:rPr>
            </w:pPr>
            <w:r>
              <w:rPr>
                <w:sz w:val="16"/>
              </w:rPr>
              <w:t>8.1</w:t>
            </w:r>
          </w:p>
        </w:tc>
        <w:tc>
          <w:tcPr>
            <w:tcW w:w="782" w:type="dxa"/>
          </w:tcPr>
          <w:p>
            <w:pPr>
              <w:pStyle w:val="TableParagraph"/>
              <w:spacing w:before="124"/>
              <w:ind w:left="13"/>
              <w:jc w:val="center"/>
              <w:rPr>
                <w:sz w:val="16"/>
              </w:rPr>
            </w:pPr>
            <w:r>
              <w:rPr>
                <w:w w:val="100"/>
                <w:sz w:val="16"/>
              </w:rPr>
              <w:t>-</w:t>
            </w:r>
          </w:p>
        </w:tc>
        <w:tc>
          <w:tcPr>
            <w:tcW w:w="604" w:type="dxa"/>
          </w:tcPr>
          <w:p>
            <w:pPr>
              <w:pStyle w:val="TableParagraph"/>
              <w:spacing w:before="124"/>
              <w:ind w:left="12"/>
              <w:jc w:val="center"/>
              <w:rPr>
                <w:sz w:val="16"/>
              </w:rPr>
            </w:pPr>
            <w:r>
              <w:rPr>
                <w:w w:val="100"/>
                <w:sz w:val="16"/>
              </w:rPr>
              <w:t>1</w:t>
            </w:r>
          </w:p>
        </w:tc>
        <w:tc>
          <w:tcPr>
            <w:tcW w:w="1142" w:type="dxa"/>
          </w:tcPr>
          <w:p>
            <w:pPr>
              <w:pStyle w:val="TableParagraph"/>
              <w:spacing w:before="124"/>
              <w:ind w:left="111" w:right="98"/>
              <w:jc w:val="center"/>
              <w:rPr>
                <w:sz w:val="16"/>
              </w:rPr>
            </w:pPr>
            <w:r>
              <w:rPr>
                <w:sz w:val="16"/>
              </w:rPr>
              <w:t>7.2 – 9.4</w:t>
            </w:r>
          </w:p>
        </w:tc>
        <w:tc>
          <w:tcPr>
            <w:tcW w:w="573" w:type="dxa"/>
          </w:tcPr>
          <w:p>
            <w:pPr>
              <w:pStyle w:val="TableParagraph"/>
              <w:spacing w:before="124"/>
              <w:ind w:left="12"/>
              <w:jc w:val="center"/>
              <w:rPr>
                <w:sz w:val="16"/>
              </w:rPr>
            </w:pPr>
            <w:r>
              <w:rPr>
                <w:w w:val="100"/>
                <w:sz w:val="16"/>
              </w:rPr>
              <w:t>1</w:t>
            </w:r>
          </w:p>
        </w:tc>
        <w:tc>
          <w:tcPr>
            <w:tcW w:w="1403" w:type="dxa"/>
          </w:tcPr>
          <w:p>
            <w:pPr>
              <w:pStyle w:val="TableParagraph"/>
              <w:spacing w:before="124"/>
              <w:ind w:left="111"/>
              <w:rPr>
                <w:sz w:val="16"/>
              </w:rPr>
            </w:pPr>
            <w:r>
              <w:rPr>
                <w:sz w:val="16"/>
              </w:rPr>
              <w:t>61</w:t>
            </w:r>
          </w:p>
        </w:tc>
      </w:tr>
      <w:tr>
        <w:trPr>
          <w:trHeight w:val="445" w:hRule="atLeast"/>
        </w:trPr>
        <w:tc>
          <w:tcPr>
            <w:tcW w:w="1608" w:type="dxa"/>
            <w:vMerge/>
            <w:tcBorders>
              <w:top w:val="nil"/>
            </w:tcBorders>
          </w:tcPr>
          <w:p>
            <w:pPr>
              <w:rPr>
                <w:sz w:val="2"/>
                <w:szCs w:val="2"/>
              </w:rPr>
            </w:pPr>
          </w:p>
        </w:tc>
        <w:tc>
          <w:tcPr>
            <w:tcW w:w="2114" w:type="dxa"/>
          </w:tcPr>
          <w:p>
            <w:pPr>
              <w:pStyle w:val="TableParagraph"/>
              <w:tabs>
                <w:tab w:pos="1358" w:val="left" w:leader="none"/>
              </w:tabs>
              <w:spacing w:before="33"/>
              <w:ind w:left="107" w:right="94"/>
              <w:rPr>
                <w:sz w:val="16"/>
              </w:rPr>
            </w:pPr>
            <w:r>
              <w:rPr>
                <w:sz w:val="16"/>
              </w:rPr>
              <w:t>Intermediate</w:t>
              <w:tab/>
            </w:r>
            <w:r>
              <w:rPr>
                <w:spacing w:val="-3"/>
                <w:sz w:val="16"/>
              </w:rPr>
              <w:t>secondary </w:t>
            </w:r>
            <w:r>
              <w:rPr>
                <w:sz w:val="16"/>
              </w:rPr>
              <w:t>tropical forest (6-10</w:t>
            </w:r>
            <w:r>
              <w:rPr>
                <w:spacing w:val="-1"/>
                <w:sz w:val="16"/>
              </w:rPr>
              <w:t> </w:t>
            </w:r>
            <w:r>
              <w:rPr>
                <w:sz w:val="16"/>
              </w:rPr>
              <w:t>yrs)</w:t>
            </w:r>
          </w:p>
        </w:tc>
        <w:tc>
          <w:tcPr>
            <w:tcW w:w="784" w:type="dxa"/>
          </w:tcPr>
          <w:p>
            <w:pPr>
              <w:pStyle w:val="TableParagraph"/>
              <w:spacing w:before="124"/>
              <w:ind w:left="175" w:right="167"/>
              <w:jc w:val="center"/>
              <w:rPr>
                <w:sz w:val="16"/>
              </w:rPr>
            </w:pPr>
            <w:r>
              <w:rPr>
                <w:sz w:val="16"/>
              </w:rPr>
              <w:t>41.1</w:t>
            </w:r>
          </w:p>
        </w:tc>
        <w:tc>
          <w:tcPr>
            <w:tcW w:w="782" w:type="dxa"/>
          </w:tcPr>
          <w:p>
            <w:pPr>
              <w:pStyle w:val="TableParagraph"/>
              <w:spacing w:before="124"/>
              <w:ind w:left="190" w:right="178"/>
              <w:jc w:val="center"/>
              <w:rPr>
                <w:sz w:val="16"/>
              </w:rPr>
            </w:pPr>
            <w:r>
              <w:rPr>
                <w:sz w:val="16"/>
              </w:rPr>
              <w:t>27.4</w:t>
            </w:r>
          </w:p>
        </w:tc>
        <w:tc>
          <w:tcPr>
            <w:tcW w:w="604" w:type="dxa"/>
          </w:tcPr>
          <w:p>
            <w:pPr>
              <w:pStyle w:val="TableParagraph"/>
              <w:spacing w:before="124"/>
              <w:ind w:left="12"/>
              <w:jc w:val="center"/>
              <w:rPr>
                <w:sz w:val="16"/>
              </w:rPr>
            </w:pPr>
            <w:r>
              <w:rPr>
                <w:w w:val="100"/>
                <w:sz w:val="16"/>
              </w:rPr>
              <w:t>2</w:t>
            </w:r>
          </w:p>
        </w:tc>
        <w:tc>
          <w:tcPr>
            <w:tcW w:w="1142" w:type="dxa"/>
          </w:tcPr>
          <w:p>
            <w:pPr>
              <w:pStyle w:val="TableParagraph"/>
              <w:spacing w:before="124"/>
              <w:ind w:left="109" w:right="98"/>
              <w:jc w:val="center"/>
              <w:rPr>
                <w:sz w:val="16"/>
              </w:rPr>
            </w:pPr>
            <w:r>
              <w:rPr>
                <w:sz w:val="16"/>
              </w:rPr>
              <w:t>18.8 – 66</w:t>
            </w:r>
          </w:p>
        </w:tc>
        <w:tc>
          <w:tcPr>
            <w:tcW w:w="573" w:type="dxa"/>
          </w:tcPr>
          <w:p>
            <w:pPr>
              <w:pStyle w:val="TableParagraph"/>
              <w:spacing w:before="124"/>
              <w:ind w:left="12"/>
              <w:jc w:val="center"/>
              <w:rPr>
                <w:sz w:val="16"/>
              </w:rPr>
            </w:pPr>
            <w:r>
              <w:rPr>
                <w:w w:val="100"/>
                <w:sz w:val="16"/>
              </w:rPr>
              <w:t>2</w:t>
            </w:r>
          </w:p>
        </w:tc>
        <w:tc>
          <w:tcPr>
            <w:tcW w:w="1403" w:type="dxa"/>
          </w:tcPr>
          <w:p>
            <w:pPr>
              <w:pStyle w:val="TableParagraph"/>
              <w:spacing w:before="124"/>
              <w:ind w:left="111"/>
              <w:rPr>
                <w:sz w:val="16"/>
              </w:rPr>
            </w:pPr>
            <w:r>
              <w:rPr>
                <w:sz w:val="16"/>
              </w:rPr>
              <w:t>61, 35</w:t>
            </w:r>
          </w:p>
        </w:tc>
      </w:tr>
      <w:tr>
        <w:trPr>
          <w:trHeight w:val="443" w:hRule="atLeast"/>
        </w:trPr>
        <w:tc>
          <w:tcPr>
            <w:tcW w:w="1608" w:type="dxa"/>
            <w:vMerge/>
            <w:tcBorders>
              <w:top w:val="nil"/>
            </w:tcBorders>
          </w:tcPr>
          <w:p>
            <w:pPr>
              <w:rPr>
                <w:sz w:val="2"/>
                <w:szCs w:val="2"/>
              </w:rPr>
            </w:pPr>
          </w:p>
        </w:tc>
        <w:tc>
          <w:tcPr>
            <w:tcW w:w="2114" w:type="dxa"/>
          </w:tcPr>
          <w:p>
            <w:pPr>
              <w:pStyle w:val="TableParagraph"/>
              <w:spacing w:before="33"/>
              <w:ind w:left="107"/>
              <w:rPr>
                <w:sz w:val="16"/>
              </w:rPr>
            </w:pPr>
            <w:r>
              <w:rPr>
                <w:sz w:val="16"/>
              </w:rPr>
              <w:t>Advanced secondary tropical forest (14-17 yrs)</w:t>
            </w:r>
          </w:p>
        </w:tc>
        <w:tc>
          <w:tcPr>
            <w:tcW w:w="784" w:type="dxa"/>
          </w:tcPr>
          <w:p>
            <w:pPr>
              <w:pStyle w:val="TableParagraph"/>
              <w:spacing w:before="124"/>
              <w:ind w:left="175" w:right="167"/>
              <w:jc w:val="center"/>
              <w:rPr>
                <w:sz w:val="16"/>
              </w:rPr>
            </w:pPr>
            <w:r>
              <w:rPr>
                <w:sz w:val="16"/>
              </w:rPr>
              <w:t>46.4</w:t>
            </w:r>
          </w:p>
        </w:tc>
        <w:tc>
          <w:tcPr>
            <w:tcW w:w="782" w:type="dxa"/>
          </w:tcPr>
          <w:p>
            <w:pPr>
              <w:pStyle w:val="TableParagraph"/>
              <w:spacing w:before="124"/>
              <w:ind w:left="189" w:right="178"/>
              <w:jc w:val="center"/>
              <w:rPr>
                <w:sz w:val="16"/>
              </w:rPr>
            </w:pPr>
            <w:r>
              <w:rPr>
                <w:sz w:val="16"/>
              </w:rPr>
              <w:t>8.0</w:t>
            </w:r>
          </w:p>
        </w:tc>
        <w:tc>
          <w:tcPr>
            <w:tcW w:w="604" w:type="dxa"/>
          </w:tcPr>
          <w:p>
            <w:pPr>
              <w:pStyle w:val="TableParagraph"/>
              <w:spacing w:before="124"/>
              <w:ind w:left="12"/>
              <w:jc w:val="center"/>
              <w:rPr>
                <w:sz w:val="16"/>
              </w:rPr>
            </w:pPr>
            <w:r>
              <w:rPr>
                <w:w w:val="100"/>
                <w:sz w:val="16"/>
              </w:rPr>
              <w:t>2</w:t>
            </w:r>
          </w:p>
        </w:tc>
        <w:tc>
          <w:tcPr>
            <w:tcW w:w="1142" w:type="dxa"/>
          </w:tcPr>
          <w:p>
            <w:pPr>
              <w:pStyle w:val="TableParagraph"/>
              <w:spacing w:before="124"/>
              <w:ind w:left="108" w:right="98"/>
              <w:jc w:val="center"/>
              <w:rPr>
                <w:sz w:val="16"/>
              </w:rPr>
            </w:pPr>
            <w:r>
              <w:rPr>
                <w:sz w:val="16"/>
              </w:rPr>
              <w:t>29.1 – 63.2</w:t>
            </w:r>
          </w:p>
        </w:tc>
        <w:tc>
          <w:tcPr>
            <w:tcW w:w="573" w:type="dxa"/>
          </w:tcPr>
          <w:p>
            <w:pPr>
              <w:pStyle w:val="TableParagraph"/>
              <w:spacing w:before="124"/>
              <w:ind w:left="12"/>
              <w:jc w:val="center"/>
              <w:rPr>
                <w:sz w:val="16"/>
              </w:rPr>
            </w:pPr>
            <w:r>
              <w:rPr>
                <w:w w:val="100"/>
                <w:sz w:val="16"/>
              </w:rPr>
              <w:t>2</w:t>
            </w:r>
          </w:p>
        </w:tc>
        <w:tc>
          <w:tcPr>
            <w:tcW w:w="1403" w:type="dxa"/>
          </w:tcPr>
          <w:p>
            <w:pPr>
              <w:pStyle w:val="TableParagraph"/>
              <w:spacing w:before="124"/>
              <w:ind w:left="111"/>
              <w:rPr>
                <w:sz w:val="16"/>
              </w:rPr>
            </w:pPr>
            <w:r>
              <w:rPr>
                <w:sz w:val="16"/>
              </w:rPr>
              <w:t>61, 73</w:t>
            </w:r>
          </w:p>
        </w:tc>
      </w:tr>
      <w:tr>
        <w:trPr>
          <w:trHeight w:val="282" w:hRule="atLeast"/>
        </w:trPr>
        <w:tc>
          <w:tcPr>
            <w:tcW w:w="3722" w:type="dxa"/>
            <w:gridSpan w:val="2"/>
          </w:tcPr>
          <w:p>
            <w:pPr>
              <w:pStyle w:val="TableParagraph"/>
              <w:spacing w:before="45"/>
              <w:ind w:left="107"/>
              <w:rPr>
                <w:b/>
                <w:sz w:val="16"/>
              </w:rPr>
            </w:pPr>
            <w:r>
              <w:rPr>
                <w:b/>
                <w:sz w:val="16"/>
              </w:rPr>
              <w:t>All secondary tropical forests</w:t>
            </w:r>
          </w:p>
        </w:tc>
        <w:tc>
          <w:tcPr>
            <w:tcW w:w="784" w:type="dxa"/>
          </w:tcPr>
          <w:p>
            <w:pPr>
              <w:pStyle w:val="TableParagraph"/>
              <w:spacing w:before="45"/>
              <w:ind w:left="175" w:right="165"/>
              <w:jc w:val="center"/>
              <w:rPr>
                <w:b/>
                <w:sz w:val="16"/>
              </w:rPr>
            </w:pPr>
            <w:r>
              <w:rPr>
                <w:b/>
                <w:sz w:val="16"/>
              </w:rPr>
              <w:t>42.2</w:t>
            </w:r>
          </w:p>
        </w:tc>
        <w:tc>
          <w:tcPr>
            <w:tcW w:w="782" w:type="dxa"/>
          </w:tcPr>
          <w:p>
            <w:pPr>
              <w:pStyle w:val="TableParagraph"/>
              <w:spacing w:before="45"/>
              <w:ind w:left="192" w:right="178"/>
              <w:jc w:val="center"/>
              <w:rPr>
                <w:b/>
                <w:sz w:val="16"/>
              </w:rPr>
            </w:pPr>
            <w:r>
              <w:rPr>
                <w:b/>
                <w:sz w:val="16"/>
              </w:rPr>
              <w:t>23.6</w:t>
            </w:r>
          </w:p>
        </w:tc>
        <w:tc>
          <w:tcPr>
            <w:tcW w:w="604" w:type="dxa"/>
          </w:tcPr>
          <w:p>
            <w:pPr>
              <w:pStyle w:val="TableParagraph"/>
              <w:spacing w:before="45"/>
              <w:ind w:left="14"/>
              <w:jc w:val="center"/>
              <w:rPr>
                <w:b/>
                <w:sz w:val="16"/>
              </w:rPr>
            </w:pPr>
            <w:r>
              <w:rPr>
                <w:b/>
                <w:w w:val="100"/>
                <w:sz w:val="16"/>
              </w:rPr>
              <w:t>5</w:t>
            </w:r>
          </w:p>
        </w:tc>
        <w:tc>
          <w:tcPr>
            <w:tcW w:w="1142" w:type="dxa"/>
          </w:tcPr>
          <w:p>
            <w:pPr>
              <w:pStyle w:val="TableParagraph"/>
              <w:spacing w:before="45"/>
              <w:ind w:left="113" w:right="98"/>
              <w:jc w:val="center"/>
              <w:rPr>
                <w:b/>
                <w:sz w:val="16"/>
              </w:rPr>
            </w:pPr>
            <w:r>
              <w:rPr>
                <w:b/>
                <w:sz w:val="16"/>
              </w:rPr>
              <w:t>7.2 – 93.6</w:t>
            </w:r>
          </w:p>
        </w:tc>
        <w:tc>
          <w:tcPr>
            <w:tcW w:w="573" w:type="dxa"/>
          </w:tcPr>
          <w:p>
            <w:pPr>
              <w:pStyle w:val="TableParagraph"/>
              <w:spacing w:before="45"/>
              <w:ind w:left="13"/>
              <w:jc w:val="center"/>
              <w:rPr>
                <w:b/>
                <w:sz w:val="16"/>
              </w:rPr>
            </w:pPr>
            <w:r>
              <w:rPr>
                <w:b/>
                <w:w w:val="100"/>
                <w:sz w:val="16"/>
              </w:rPr>
              <w:t>5</w:t>
            </w:r>
          </w:p>
        </w:tc>
        <w:tc>
          <w:tcPr>
            <w:tcW w:w="1403" w:type="dxa"/>
          </w:tcPr>
          <w:p>
            <w:pPr>
              <w:pStyle w:val="TableParagraph"/>
              <w:spacing w:before="42"/>
              <w:ind w:left="111"/>
              <w:rPr>
                <w:sz w:val="16"/>
              </w:rPr>
            </w:pPr>
            <w:r>
              <w:rPr>
                <w:sz w:val="16"/>
              </w:rPr>
              <w:t>66, 30</w:t>
            </w:r>
          </w:p>
        </w:tc>
      </w:tr>
      <w:tr>
        <w:trPr>
          <w:trHeight w:val="285" w:hRule="atLeast"/>
        </w:trPr>
        <w:tc>
          <w:tcPr>
            <w:tcW w:w="3722" w:type="dxa"/>
            <w:gridSpan w:val="2"/>
          </w:tcPr>
          <w:p>
            <w:pPr>
              <w:pStyle w:val="TableParagraph"/>
              <w:spacing w:before="45"/>
              <w:ind w:left="107"/>
              <w:rPr>
                <w:b/>
                <w:sz w:val="16"/>
              </w:rPr>
            </w:pPr>
            <w:r>
              <w:rPr>
                <w:b/>
                <w:sz w:val="16"/>
              </w:rPr>
              <w:t>All Tertiary tropical forest</w:t>
            </w:r>
          </w:p>
        </w:tc>
        <w:tc>
          <w:tcPr>
            <w:tcW w:w="784" w:type="dxa"/>
          </w:tcPr>
          <w:p>
            <w:pPr>
              <w:pStyle w:val="TableParagraph"/>
              <w:spacing w:before="45"/>
              <w:ind w:left="175" w:right="162"/>
              <w:jc w:val="center"/>
              <w:rPr>
                <w:b/>
                <w:sz w:val="16"/>
              </w:rPr>
            </w:pPr>
            <w:r>
              <w:rPr>
                <w:b/>
                <w:sz w:val="16"/>
              </w:rPr>
              <w:t>54.1</w:t>
            </w:r>
          </w:p>
        </w:tc>
        <w:tc>
          <w:tcPr>
            <w:tcW w:w="782" w:type="dxa"/>
          </w:tcPr>
          <w:p>
            <w:pPr>
              <w:pStyle w:val="TableParagraph"/>
              <w:spacing w:before="45"/>
              <w:ind w:left="17"/>
              <w:jc w:val="center"/>
              <w:rPr>
                <w:b/>
                <w:sz w:val="16"/>
              </w:rPr>
            </w:pPr>
            <w:r>
              <w:rPr>
                <w:b/>
                <w:w w:val="100"/>
                <w:sz w:val="16"/>
              </w:rPr>
              <w:t>-</w:t>
            </w:r>
          </w:p>
        </w:tc>
        <w:tc>
          <w:tcPr>
            <w:tcW w:w="604" w:type="dxa"/>
          </w:tcPr>
          <w:p>
            <w:pPr>
              <w:pStyle w:val="TableParagraph"/>
              <w:spacing w:before="45"/>
              <w:ind w:left="17"/>
              <w:jc w:val="center"/>
              <w:rPr>
                <w:b/>
                <w:sz w:val="16"/>
              </w:rPr>
            </w:pPr>
            <w:r>
              <w:rPr>
                <w:b/>
                <w:w w:val="100"/>
                <w:sz w:val="16"/>
              </w:rPr>
              <w:t>1</w:t>
            </w:r>
          </w:p>
        </w:tc>
        <w:tc>
          <w:tcPr>
            <w:tcW w:w="1142" w:type="dxa"/>
          </w:tcPr>
          <w:p>
            <w:pPr>
              <w:pStyle w:val="TableParagraph"/>
              <w:spacing w:before="45"/>
              <w:ind w:left="114" w:right="96"/>
              <w:jc w:val="center"/>
              <w:rPr>
                <w:b/>
                <w:sz w:val="16"/>
              </w:rPr>
            </w:pPr>
            <w:r>
              <w:rPr>
                <w:b/>
                <w:sz w:val="16"/>
              </w:rPr>
              <w:t>4.5 – 53</w:t>
            </w:r>
          </w:p>
        </w:tc>
        <w:tc>
          <w:tcPr>
            <w:tcW w:w="573" w:type="dxa"/>
          </w:tcPr>
          <w:p>
            <w:pPr>
              <w:pStyle w:val="TableParagraph"/>
              <w:spacing w:before="45"/>
              <w:ind w:left="14"/>
              <w:jc w:val="center"/>
              <w:rPr>
                <w:b/>
                <w:sz w:val="16"/>
              </w:rPr>
            </w:pPr>
            <w:r>
              <w:rPr>
                <w:b/>
                <w:w w:val="100"/>
                <w:sz w:val="16"/>
              </w:rPr>
              <w:t>2</w:t>
            </w:r>
          </w:p>
        </w:tc>
        <w:tc>
          <w:tcPr>
            <w:tcW w:w="1403" w:type="dxa"/>
          </w:tcPr>
          <w:p>
            <w:pPr>
              <w:pStyle w:val="TableParagraph"/>
              <w:spacing w:before="42"/>
              <w:ind w:left="111"/>
              <w:rPr>
                <w:sz w:val="16"/>
              </w:rPr>
            </w:pPr>
            <w:r>
              <w:rPr>
                <w:sz w:val="16"/>
              </w:rPr>
              <w:t>66, 30</w:t>
            </w:r>
          </w:p>
        </w:tc>
      </w:tr>
      <w:tr>
        <w:trPr>
          <w:trHeight w:val="282" w:hRule="atLeast"/>
        </w:trPr>
        <w:tc>
          <w:tcPr>
            <w:tcW w:w="1608" w:type="dxa"/>
            <w:vMerge w:val="restart"/>
          </w:tcPr>
          <w:p>
            <w:pPr>
              <w:pStyle w:val="TableParagraph"/>
              <w:rPr>
                <w:sz w:val="18"/>
              </w:rPr>
            </w:pPr>
          </w:p>
          <w:p>
            <w:pPr>
              <w:pStyle w:val="TableParagraph"/>
              <w:rPr>
                <w:sz w:val="18"/>
              </w:rPr>
            </w:pPr>
          </w:p>
          <w:p>
            <w:pPr>
              <w:pStyle w:val="TableParagraph"/>
              <w:rPr>
                <w:sz w:val="18"/>
              </w:rPr>
            </w:pPr>
          </w:p>
          <w:p>
            <w:pPr>
              <w:pStyle w:val="TableParagraph"/>
              <w:spacing w:before="156"/>
              <w:ind w:left="107"/>
              <w:rPr>
                <w:sz w:val="16"/>
              </w:rPr>
            </w:pPr>
            <w:r>
              <w:rPr>
                <w:sz w:val="16"/>
              </w:rPr>
              <w:t>Boreal Forest</w:t>
            </w:r>
          </w:p>
        </w:tc>
        <w:tc>
          <w:tcPr>
            <w:tcW w:w="2114" w:type="dxa"/>
          </w:tcPr>
          <w:p>
            <w:pPr>
              <w:pStyle w:val="TableParagraph"/>
              <w:spacing w:before="42"/>
              <w:ind w:left="107"/>
              <w:rPr>
                <w:sz w:val="16"/>
              </w:rPr>
            </w:pPr>
            <w:r>
              <w:rPr>
                <w:sz w:val="16"/>
              </w:rPr>
              <w:t>Wildfire (general)</w:t>
            </w:r>
          </w:p>
        </w:tc>
        <w:tc>
          <w:tcPr>
            <w:tcW w:w="784" w:type="dxa"/>
          </w:tcPr>
          <w:p>
            <w:pPr>
              <w:pStyle w:val="TableParagraph"/>
              <w:spacing w:before="42"/>
              <w:ind w:left="175" w:right="166"/>
              <w:jc w:val="center"/>
              <w:rPr>
                <w:sz w:val="16"/>
              </w:rPr>
            </w:pPr>
            <w:r>
              <w:rPr>
                <w:sz w:val="16"/>
              </w:rPr>
              <w:t>52.8</w:t>
            </w:r>
          </w:p>
        </w:tc>
        <w:tc>
          <w:tcPr>
            <w:tcW w:w="782" w:type="dxa"/>
          </w:tcPr>
          <w:p>
            <w:pPr>
              <w:pStyle w:val="TableParagraph"/>
              <w:spacing w:before="42"/>
              <w:ind w:left="191" w:right="178"/>
              <w:jc w:val="center"/>
              <w:rPr>
                <w:sz w:val="16"/>
              </w:rPr>
            </w:pPr>
            <w:r>
              <w:rPr>
                <w:sz w:val="16"/>
              </w:rPr>
              <w:t>48.4</w:t>
            </w:r>
          </w:p>
        </w:tc>
        <w:tc>
          <w:tcPr>
            <w:tcW w:w="604" w:type="dxa"/>
          </w:tcPr>
          <w:p>
            <w:pPr>
              <w:pStyle w:val="TableParagraph"/>
              <w:spacing w:before="42"/>
              <w:ind w:left="13"/>
              <w:jc w:val="center"/>
              <w:rPr>
                <w:sz w:val="16"/>
              </w:rPr>
            </w:pPr>
            <w:r>
              <w:rPr>
                <w:w w:val="100"/>
                <w:sz w:val="16"/>
              </w:rPr>
              <w:t>6</w:t>
            </w:r>
          </w:p>
        </w:tc>
        <w:tc>
          <w:tcPr>
            <w:tcW w:w="1142" w:type="dxa"/>
          </w:tcPr>
          <w:p>
            <w:pPr>
              <w:pStyle w:val="TableParagraph"/>
              <w:spacing w:before="42"/>
              <w:ind w:left="111" w:right="98"/>
              <w:jc w:val="center"/>
              <w:rPr>
                <w:sz w:val="16"/>
              </w:rPr>
            </w:pPr>
            <w:r>
              <w:rPr>
                <w:sz w:val="16"/>
              </w:rPr>
              <w:t>18 – 149</w:t>
            </w:r>
          </w:p>
        </w:tc>
        <w:tc>
          <w:tcPr>
            <w:tcW w:w="573" w:type="dxa"/>
          </w:tcPr>
          <w:p>
            <w:pPr>
              <w:pStyle w:val="TableParagraph"/>
              <w:spacing w:before="42"/>
              <w:ind w:left="11"/>
              <w:jc w:val="center"/>
              <w:rPr>
                <w:sz w:val="16"/>
              </w:rPr>
            </w:pPr>
            <w:r>
              <w:rPr>
                <w:w w:val="100"/>
                <w:sz w:val="16"/>
              </w:rPr>
              <w:t>6</w:t>
            </w:r>
          </w:p>
        </w:tc>
        <w:tc>
          <w:tcPr>
            <w:tcW w:w="1403" w:type="dxa"/>
          </w:tcPr>
          <w:p>
            <w:pPr>
              <w:pStyle w:val="TableParagraph"/>
              <w:spacing w:before="42"/>
              <w:ind w:left="110"/>
              <w:rPr>
                <w:sz w:val="16"/>
              </w:rPr>
            </w:pPr>
            <w:r>
              <w:rPr>
                <w:sz w:val="16"/>
              </w:rPr>
              <w:t>2, 33, 66</w:t>
            </w:r>
          </w:p>
        </w:tc>
      </w:tr>
      <w:tr>
        <w:trPr>
          <w:trHeight w:val="443" w:hRule="atLeast"/>
        </w:trPr>
        <w:tc>
          <w:tcPr>
            <w:tcW w:w="1608" w:type="dxa"/>
            <w:vMerge/>
            <w:tcBorders>
              <w:top w:val="nil"/>
            </w:tcBorders>
          </w:tcPr>
          <w:p>
            <w:pPr>
              <w:rPr>
                <w:sz w:val="2"/>
                <w:szCs w:val="2"/>
              </w:rPr>
            </w:pPr>
          </w:p>
        </w:tc>
        <w:tc>
          <w:tcPr>
            <w:tcW w:w="2114" w:type="dxa"/>
          </w:tcPr>
          <w:p>
            <w:pPr>
              <w:pStyle w:val="TableParagraph"/>
              <w:spacing w:before="124"/>
              <w:ind w:left="107"/>
              <w:rPr>
                <w:sz w:val="16"/>
              </w:rPr>
            </w:pPr>
            <w:r>
              <w:rPr>
                <w:sz w:val="16"/>
              </w:rPr>
              <w:t>Crown fire</w:t>
            </w:r>
          </w:p>
        </w:tc>
        <w:tc>
          <w:tcPr>
            <w:tcW w:w="784" w:type="dxa"/>
          </w:tcPr>
          <w:p>
            <w:pPr>
              <w:pStyle w:val="TableParagraph"/>
              <w:spacing w:before="124"/>
              <w:ind w:left="175" w:right="166"/>
              <w:jc w:val="center"/>
              <w:rPr>
                <w:sz w:val="16"/>
              </w:rPr>
            </w:pPr>
            <w:r>
              <w:rPr>
                <w:sz w:val="16"/>
              </w:rPr>
              <w:t>25.1</w:t>
            </w:r>
          </w:p>
        </w:tc>
        <w:tc>
          <w:tcPr>
            <w:tcW w:w="782" w:type="dxa"/>
          </w:tcPr>
          <w:p>
            <w:pPr>
              <w:pStyle w:val="TableParagraph"/>
              <w:spacing w:before="124"/>
              <w:ind w:left="190" w:right="178"/>
              <w:jc w:val="center"/>
              <w:rPr>
                <w:sz w:val="16"/>
              </w:rPr>
            </w:pPr>
            <w:r>
              <w:rPr>
                <w:sz w:val="16"/>
              </w:rPr>
              <w:t>7.9</w:t>
            </w:r>
          </w:p>
        </w:tc>
        <w:tc>
          <w:tcPr>
            <w:tcW w:w="604" w:type="dxa"/>
          </w:tcPr>
          <w:p>
            <w:pPr>
              <w:pStyle w:val="TableParagraph"/>
              <w:spacing w:before="124"/>
              <w:ind w:left="52" w:right="38"/>
              <w:jc w:val="center"/>
              <w:rPr>
                <w:sz w:val="16"/>
              </w:rPr>
            </w:pPr>
            <w:r>
              <w:rPr>
                <w:sz w:val="16"/>
              </w:rPr>
              <w:t>10</w:t>
            </w:r>
          </w:p>
        </w:tc>
        <w:tc>
          <w:tcPr>
            <w:tcW w:w="1142" w:type="dxa"/>
          </w:tcPr>
          <w:p>
            <w:pPr>
              <w:pStyle w:val="TableParagraph"/>
              <w:spacing w:before="124"/>
              <w:ind w:left="109" w:right="98"/>
              <w:jc w:val="center"/>
              <w:rPr>
                <w:sz w:val="16"/>
              </w:rPr>
            </w:pPr>
            <w:r>
              <w:rPr>
                <w:sz w:val="16"/>
              </w:rPr>
              <w:t>15 – 43</w:t>
            </w:r>
          </w:p>
        </w:tc>
        <w:tc>
          <w:tcPr>
            <w:tcW w:w="573" w:type="dxa"/>
          </w:tcPr>
          <w:p>
            <w:pPr>
              <w:pStyle w:val="TableParagraph"/>
              <w:spacing w:before="124"/>
              <w:ind w:left="47" w:right="34"/>
              <w:jc w:val="center"/>
              <w:rPr>
                <w:sz w:val="16"/>
              </w:rPr>
            </w:pPr>
            <w:r>
              <w:rPr>
                <w:sz w:val="16"/>
              </w:rPr>
              <w:t>10</w:t>
            </w:r>
          </w:p>
        </w:tc>
        <w:tc>
          <w:tcPr>
            <w:tcW w:w="1403" w:type="dxa"/>
          </w:tcPr>
          <w:p>
            <w:pPr>
              <w:pStyle w:val="TableParagraph"/>
              <w:spacing w:before="33"/>
              <w:ind w:left="111"/>
              <w:rPr>
                <w:sz w:val="16"/>
              </w:rPr>
            </w:pPr>
            <w:r>
              <w:rPr>
                <w:sz w:val="16"/>
              </w:rPr>
              <w:t>11, 43, 66, 41, 63,</w:t>
            </w:r>
          </w:p>
          <w:p>
            <w:pPr>
              <w:pStyle w:val="TableParagraph"/>
              <w:ind w:left="111"/>
              <w:rPr>
                <w:sz w:val="16"/>
              </w:rPr>
            </w:pPr>
            <w:r>
              <w:rPr>
                <w:sz w:val="16"/>
              </w:rPr>
              <w:t>64</w:t>
            </w:r>
          </w:p>
        </w:tc>
      </w:tr>
      <w:tr>
        <w:trPr>
          <w:trHeight w:val="445" w:hRule="atLeast"/>
        </w:trPr>
        <w:tc>
          <w:tcPr>
            <w:tcW w:w="1608" w:type="dxa"/>
            <w:vMerge/>
            <w:tcBorders>
              <w:top w:val="nil"/>
            </w:tcBorders>
          </w:tcPr>
          <w:p>
            <w:pPr>
              <w:rPr>
                <w:sz w:val="2"/>
                <w:szCs w:val="2"/>
              </w:rPr>
            </w:pPr>
          </w:p>
        </w:tc>
        <w:tc>
          <w:tcPr>
            <w:tcW w:w="2114" w:type="dxa"/>
          </w:tcPr>
          <w:p>
            <w:pPr>
              <w:pStyle w:val="TableParagraph"/>
              <w:spacing w:before="124"/>
              <w:ind w:left="107"/>
              <w:rPr>
                <w:sz w:val="16"/>
              </w:rPr>
            </w:pPr>
            <w:r>
              <w:rPr>
                <w:sz w:val="16"/>
              </w:rPr>
              <w:t>Surface fire</w:t>
            </w:r>
          </w:p>
        </w:tc>
        <w:tc>
          <w:tcPr>
            <w:tcW w:w="784" w:type="dxa"/>
          </w:tcPr>
          <w:p>
            <w:pPr>
              <w:pStyle w:val="TableParagraph"/>
              <w:spacing w:before="124"/>
              <w:ind w:left="175" w:right="164"/>
              <w:jc w:val="center"/>
              <w:rPr>
                <w:sz w:val="16"/>
              </w:rPr>
            </w:pPr>
            <w:r>
              <w:rPr>
                <w:sz w:val="16"/>
              </w:rPr>
              <w:t>21.6</w:t>
            </w:r>
          </w:p>
        </w:tc>
        <w:tc>
          <w:tcPr>
            <w:tcW w:w="782" w:type="dxa"/>
          </w:tcPr>
          <w:p>
            <w:pPr>
              <w:pStyle w:val="TableParagraph"/>
              <w:spacing w:before="124"/>
              <w:ind w:left="192" w:right="177"/>
              <w:jc w:val="center"/>
              <w:rPr>
                <w:sz w:val="16"/>
              </w:rPr>
            </w:pPr>
            <w:r>
              <w:rPr>
                <w:sz w:val="16"/>
              </w:rPr>
              <w:t>25.1</w:t>
            </w:r>
          </w:p>
        </w:tc>
        <w:tc>
          <w:tcPr>
            <w:tcW w:w="604" w:type="dxa"/>
          </w:tcPr>
          <w:p>
            <w:pPr>
              <w:pStyle w:val="TableParagraph"/>
              <w:spacing w:before="124"/>
              <w:ind w:left="54" w:right="38"/>
              <w:jc w:val="center"/>
              <w:rPr>
                <w:sz w:val="16"/>
              </w:rPr>
            </w:pPr>
            <w:r>
              <w:rPr>
                <w:sz w:val="16"/>
              </w:rPr>
              <w:t>12</w:t>
            </w:r>
          </w:p>
        </w:tc>
        <w:tc>
          <w:tcPr>
            <w:tcW w:w="1142" w:type="dxa"/>
          </w:tcPr>
          <w:p>
            <w:pPr>
              <w:pStyle w:val="TableParagraph"/>
              <w:spacing w:before="124"/>
              <w:ind w:left="111" w:right="98"/>
              <w:jc w:val="center"/>
              <w:rPr>
                <w:sz w:val="16"/>
              </w:rPr>
            </w:pPr>
            <w:r>
              <w:rPr>
                <w:sz w:val="16"/>
              </w:rPr>
              <w:t>1.0 – 148</w:t>
            </w:r>
          </w:p>
        </w:tc>
        <w:tc>
          <w:tcPr>
            <w:tcW w:w="573" w:type="dxa"/>
          </w:tcPr>
          <w:p>
            <w:pPr>
              <w:pStyle w:val="TableParagraph"/>
              <w:spacing w:before="124"/>
              <w:ind w:left="48" w:right="34"/>
              <w:jc w:val="center"/>
              <w:rPr>
                <w:sz w:val="16"/>
              </w:rPr>
            </w:pPr>
            <w:r>
              <w:rPr>
                <w:sz w:val="16"/>
              </w:rPr>
              <w:t>13</w:t>
            </w:r>
          </w:p>
        </w:tc>
        <w:tc>
          <w:tcPr>
            <w:tcW w:w="1403" w:type="dxa"/>
          </w:tcPr>
          <w:p>
            <w:pPr>
              <w:pStyle w:val="TableParagraph"/>
              <w:spacing w:before="33"/>
              <w:ind w:left="111"/>
              <w:rPr>
                <w:sz w:val="16"/>
              </w:rPr>
            </w:pPr>
            <w:r>
              <w:rPr>
                <w:sz w:val="16"/>
              </w:rPr>
              <w:t>43, 69, 66, 63, 64,</w:t>
            </w:r>
          </w:p>
          <w:p>
            <w:pPr>
              <w:pStyle w:val="TableParagraph"/>
              <w:ind w:left="111"/>
              <w:rPr>
                <w:sz w:val="16"/>
              </w:rPr>
            </w:pPr>
            <w:r>
              <w:rPr>
                <w:w w:val="100"/>
                <w:sz w:val="16"/>
              </w:rPr>
              <w:t>1</w:t>
            </w:r>
          </w:p>
        </w:tc>
      </w:tr>
      <w:tr>
        <w:trPr>
          <w:trHeight w:val="273" w:hRule="atLeast"/>
        </w:trPr>
        <w:tc>
          <w:tcPr>
            <w:tcW w:w="1608" w:type="dxa"/>
            <w:vMerge/>
            <w:tcBorders>
              <w:top w:val="nil"/>
            </w:tcBorders>
          </w:tcPr>
          <w:p>
            <w:pPr>
              <w:rPr>
                <w:sz w:val="2"/>
                <w:szCs w:val="2"/>
              </w:rPr>
            </w:pPr>
          </w:p>
        </w:tc>
        <w:tc>
          <w:tcPr>
            <w:tcW w:w="2114" w:type="dxa"/>
          </w:tcPr>
          <w:p>
            <w:pPr>
              <w:pStyle w:val="TableParagraph"/>
              <w:spacing w:before="37"/>
              <w:ind w:left="107"/>
              <w:rPr>
                <w:sz w:val="16"/>
              </w:rPr>
            </w:pPr>
            <w:r>
              <w:rPr>
                <w:sz w:val="16"/>
              </w:rPr>
              <w:t>Post logging slash burn</w:t>
            </w:r>
          </w:p>
        </w:tc>
        <w:tc>
          <w:tcPr>
            <w:tcW w:w="784" w:type="dxa"/>
          </w:tcPr>
          <w:p>
            <w:pPr>
              <w:pStyle w:val="TableParagraph"/>
              <w:spacing w:before="37"/>
              <w:ind w:left="174" w:right="167"/>
              <w:jc w:val="center"/>
              <w:rPr>
                <w:sz w:val="16"/>
              </w:rPr>
            </w:pPr>
            <w:r>
              <w:rPr>
                <w:sz w:val="16"/>
              </w:rPr>
              <w:t>69.6</w:t>
            </w:r>
          </w:p>
        </w:tc>
        <w:tc>
          <w:tcPr>
            <w:tcW w:w="782" w:type="dxa"/>
          </w:tcPr>
          <w:p>
            <w:pPr>
              <w:pStyle w:val="TableParagraph"/>
              <w:spacing w:before="37"/>
              <w:ind w:left="189" w:right="178"/>
              <w:jc w:val="center"/>
              <w:rPr>
                <w:sz w:val="16"/>
              </w:rPr>
            </w:pPr>
            <w:r>
              <w:rPr>
                <w:sz w:val="16"/>
              </w:rPr>
              <w:t>44.8</w:t>
            </w:r>
          </w:p>
        </w:tc>
        <w:tc>
          <w:tcPr>
            <w:tcW w:w="604" w:type="dxa"/>
          </w:tcPr>
          <w:p>
            <w:pPr>
              <w:pStyle w:val="TableParagraph"/>
              <w:spacing w:before="37"/>
              <w:ind w:left="12"/>
              <w:jc w:val="center"/>
              <w:rPr>
                <w:sz w:val="16"/>
              </w:rPr>
            </w:pPr>
            <w:r>
              <w:rPr>
                <w:w w:val="100"/>
                <w:sz w:val="16"/>
              </w:rPr>
              <w:t>7</w:t>
            </w:r>
          </w:p>
        </w:tc>
        <w:tc>
          <w:tcPr>
            <w:tcW w:w="1142" w:type="dxa"/>
          </w:tcPr>
          <w:p>
            <w:pPr>
              <w:pStyle w:val="TableParagraph"/>
              <w:spacing w:before="37"/>
              <w:ind w:left="109" w:right="98"/>
              <w:jc w:val="center"/>
              <w:rPr>
                <w:sz w:val="16"/>
              </w:rPr>
            </w:pPr>
            <w:r>
              <w:rPr>
                <w:sz w:val="16"/>
              </w:rPr>
              <w:t>7 – 202</w:t>
            </w:r>
          </w:p>
        </w:tc>
        <w:tc>
          <w:tcPr>
            <w:tcW w:w="573" w:type="dxa"/>
          </w:tcPr>
          <w:p>
            <w:pPr>
              <w:pStyle w:val="TableParagraph"/>
              <w:spacing w:before="37"/>
              <w:ind w:left="12"/>
              <w:jc w:val="center"/>
              <w:rPr>
                <w:sz w:val="16"/>
              </w:rPr>
            </w:pPr>
            <w:r>
              <w:rPr>
                <w:w w:val="100"/>
                <w:sz w:val="16"/>
              </w:rPr>
              <w:t>9</w:t>
            </w:r>
          </w:p>
        </w:tc>
        <w:tc>
          <w:tcPr>
            <w:tcW w:w="1403" w:type="dxa"/>
          </w:tcPr>
          <w:p>
            <w:pPr>
              <w:pStyle w:val="TableParagraph"/>
              <w:spacing w:before="37"/>
              <w:ind w:left="111"/>
              <w:rPr>
                <w:sz w:val="16"/>
              </w:rPr>
            </w:pPr>
            <w:r>
              <w:rPr>
                <w:sz w:val="16"/>
              </w:rPr>
              <w:t>49, 40, 66, 18</w:t>
            </w:r>
          </w:p>
        </w:tc>
      </w:tr>
      <w:tr>
        <w:trPr>
          <w:trHeight w:val="273" w:hRule="atLeast"/>
        </w:trPr>
        <w:tc>
          <w:tcPr>
            <w:tcW w:w="1608" w:type="dxa"/>
            <w:vMerge/>
            <w:tcBorders>
              <w:top w:val="nil"/>
            </w:tcBorders>
          </w:tcPr>
          <w:p>
            <w:pPr>
              <w:rPr>
                <w:sz w:val="2"/>
                <w:szCs w:val="2"/>
              </w:rPr>
            </w:pPr>
          </w:p>
        </w:tc>
        <w:tc>
          <w:tcPr>
            <w:tcW w:w="2114" w:type="dxa"/>
          </w:tcPr>
          <w:p>
            <w:pPr>
              <w:pStyle w:val="TableParagraph"/>
              <w:spacing w:before="37"/>
              <w:ind w:left="107"/>
              <w:rPr>
                <w:sz w:val="16"/>
              </w:rPr>
            </w:pPr>
            <w:r>
              <w:rPr>
                <w:sz w:val="16"/>
              </w:rPr>
              <w:t>Land clearing fire</w:t>
            </w:r>
          </w:p>
        </w:tc>
        <w:tc>
          <w:tcPr>
            <w:tcW w:w="784" w:type="dxa"/>
          </w:tcPr>
          <w:p>
            <w:pPr>
              <w:pStyle w:val="TableParagraph"/>
              <w:spacing w:before="37"/>
              <w:ind w:left="175" w:right="166"/>
              <w:jc w:val="center"/>
              <w:rPr>
                <w:sz w:val="16"/>
              </w:rPr>
            </w:pPr>
            <w:r>
              <w:rPr>
                <w:sz w:val="16"/>
              </w:rPr>
              <w:t>87.5</w:t>
            </w:r>
          </w:p>
        </w:tc>
        <w:tc>
          <w:tcPr>
            <w:tcW w:w="782" w:type="dxa"/>
          </w:tcPr>
          <w:p>
            <w:pPr>
              <w:pStyle w:val="TableParagraph"/>
              <w:spacing w:before="37"/>
              <w:ind w:left="191" w:right="178"/>
              <w:jc w:val="center"/>
              <w:rPr>
                <w:sz w:val="16"/>
              </w:rPr>
            </w:pPr>
            <w:r>
              <w:rPr>
                <w:sz w:val="16"/>
              </w:rPr>
              <w:t>35.0</w:t>
            </w:r>
          </w:p>
        </w:tc>
        <w:tc>
          <w:tcPr>
            <w:tcW w:w="604" w:type="dxa"/>
          </w:tcPr>
          <w:p>
            <w:pPr>
              <w:pStyle w:val="TableParagraph"/>
              <w:spacing w:before="37"/>
              <w:ind w:left="13"/>
              <w:jc w:val="center"/>
              <w:rPr>
                <w:sz w:val="16"/>
              </w:rPr>
            </w:pPr>
            <w:r>
              <w:rPr>
                <w:w w:val="100"/>
                <w:sz w:val="16"/>
              </w:rPr>
              <w:t>3</w:t>
            </w:r>
          </w:p>
        </w:tc>
        <w:tc>
          <w:tcPr>
            <w:tcW w:w="1142" w:type="dxa"/>
          </w:tcPr>
          <w:p>
            <w:pPr>
              <w:pStyle w:val="TableParagraph"/>
              <w:spacing w:before="37"/>
              <w:ind w:left="111" w:right="98"/>
              <w:jc w:val="center"/>
              <w:rPr>
                <w:sz w:val="16"/>
              </w:rPr>
            </w:pPr>
            <w:r>
              <w:rPr>
                <w:sz w:val="16"/>
              </w:rPr>
              <w:t>48 – 136</w:t>
            </w:r>
          </w:p>
        </w:tc>
        <w:tc>
          <w:tcPr>
            <w:tcW w:w="573" w:type="dxa"/>
          </w:tcPr>
          <w:p>
            <w:pPr>
              <w:pStyle w:val="TableParagraph"/>
              <w:spacing w:before="37"/>
              <w:ind w:left="12"/>
              <w:jc w:val="center"/>
              <w:rPr>
                <w:sz w:val="16"/>
              </w:rPr>
            </w:pPr>
            <w:r>
              <w:rPr>
                <w:w w:val="100"/>
                <w:sz w:val="16"/>
              </w:rPr>
              <w:t>3</w:t>
            </w:r>
          </w:p>
        </w:tc>
        <w:tc>
          <w:tcPr>
            <w:tcW w:w="1403" w:type="dxa"/>
          </w:tcPr>
          <w:p>
            <w:pPr>
              <w:pStyle w:val="TableParagraph"/>
              <w:spacing w:before="37"/>
              <w:ind w:left="111"/>
              <w:rPr>
                <w:sz w:val="16"/>
              </w:rPr>
            </w:pPr>
            <w:r>
              <w:rPr>
                <w:sz w:val="16"/>
              </w:rPr>
              <w:t>10, 67</w:t>
            </w:r>
          </w:p>
        </w:tc>
      </w:tr>
      <w:tr>
        <w:trPr>
          <w:trHeight w:val="275" w:hRule="atLeast"/>
        </w:trPr>
        <w:tc>
          <w:tcPr>
            <w:tcW w:w="3722" w:type="dxa"/>
            <w:gridSpan w:val="2"/>
          </w:tcPr>
          <w:p>
            <w:pPr>
              <w:pStyle w:val="TableParagraph"/>
              <w:spacing w:before="40"/>
              <w:ind w:left="107"/>
              <w:rPr>
                <w:b/>
                <w:sz w:val="16"/>
              </w:rPr>
            </w:pPr>
            <w:r>
              <w:rPr>
                <w:b/>
                <w:sz w:val="16"/>
              </w:rPr>
              <w:t>All Boreal Forest</w:t>
            </w:r>
          </w:p>
        </w:tc>
        <w:tc>
          <w:tcPr>
            <w:tcW w:w="784" w:type="dxa"/>
          </w:tcPr>
          <w:p>
            <w:pPr>
              <w:pStyle w:val="TableParagraph"/>
              <w:spacing w:before="40"/>
              <w:ind w:left="175" w:right="163"/>
              <w:jc w:val="center"/>
              <w:rPr>
                <w:b/>
                <w:sz w:val="16"/>
              </w:rPr>
            </w:pPr>
            <w:r>
              <w:rPr>
                <w:b/>
                <w:sz w:val="16"/>
              </w:rPr>
              <w:t>41.0</w:t>
            </w:r>
          </w:p>
        </w:tc>
        <w:tc>
          <w:tcPr>
            <w:tcW w:w="782" w:type="dxa"/>
          </w:tcPr>
          <w:p>
            <w:pPr>
              <w:pStyle w:val="TableParagraph"/>
              <w:spacing w:before="40"/>
              <w:ind w:left="192" w:right="177"/>
              <w:jc w:val="center"/>
              <w:rPr>
                <w:b/>
                <w:sz w:val="16"/>
              </w:rPr>
            </w:pPr>
            <w:r>
              <w:rPr>
                <w:b/>
                <w:sz w:val="16"/>
              </w:rPr>
              <w:t>36.5</w:t>
            </w:r>
          </w:p>
        </w:tc>
        <w:tc>
          <w:tcPr>
            <w:tcW w:w="604" w:type="dxa"/>
          </w:tcPr>
          <w:p>
            <w:pPr>
              <w:pStyle w:val="TableParagraph"/>
              <w:spacing w:before="40"/>
              <w:ind w:left="54" w:right="38"/>
              <w:jc w:val="center"/>
              <w:rPr>
                <w:b/>
                <w:sz w:val="16"/>
              </w:rPr>
            </w:pPr>
            <w:r>
              <w:rPr>
                <w:b/>
                <w:sz w:val="16"/>
              </w:rPr>
              <w:t>44</w:t>
            </w:r>
          </w:p>
        </w:tc>
        <w:tc>
          <w:tcPr>
            <w:tcW w:w="1142" w:type="dxa"/>
          </w:tcPr>
          <w:p>
            <w:pPr>
              <w:pStyle w:val="TableParagraph"/>
              <w:spacing w:before="40"/>
              <w:ind w:left="111" w:right="98"/>
              <w:jc w:val="center"/>
              <w:rPr>
                <w:b/>
                <w:sz w:val="16"/>
              </w:rPr>
            </w:pPr>
            <w:r>
              <w:rPr>
                <w:b/>
                <w:sz w:val="16"/>
              </w:rPr>
              <w:t>1.0 – 202</w:t>
            </w:r>
          </w:p>
        </w:tc>
        <w:tc>
          <w:tcPr>
            <w:tcW w:w="573" w:type="dxa"/>
          </w:tcPr>
          <w:p>
            <w:pPr>
              <w:pStyle w:val="TableParagraph"/>
              <w:spacing w:before="40"/>
              <w:ind w:left="48" w:right="34"/>
              <w:jc w:val="center"/>
              <w:rPr>
                <w:b/>
                <w:sz w:val="16"/>
              </w:rPr>
            </w:pPr>
            <w:r>
              <w:rPr>
                <w:b/>
                <w:sz w:val="16"/>
              </w:rPr>
              <w:t>49</w:t>
            </w:r>
          </w:p>
        </w:tc>
        <w:tc>
          <w:tcPr>
            <w:tcW w:w="1403" w:type="dxa"/>
          </w:tcPr>
          <w:p>
            <w:pPr>
              <w:pStyle w:val="TableParagraph"/>
              <w:spacing w:before="37"/>
              <w:ind w:left="111"/>
              <w:rPr>
                <w:sz w:val="16"/>
              </w:rPr>
            </w:pPr>
            <w:r>
              <w:rPr>
                <w:sz w:val="16"/>
              </w:rPr>
              <w:t>43, 45, 69, 47</w:t>
            </w:r>
          </w:p>
        </w:tc>
      </w:tr>
      <w:tr>
        <w:trPr>
          <w:trHeight w:val="273" w:hRule="atLeast"/>
        </w:trPr>
        <w:tc>
          <w:tcPr>
            <w:tcW w:w="1608" w:type="dxa"/>
            <w:vMerge w:val="restart"/>
          </w:tcPr>
          <w:p>
            <w:pPr>
              <w:pStyle w:val="TableParagraph"/>
              <w:rPr>
                <w:sz w:val="18"/>
              </w:rPr>
            </w:pPr>
          </w:p>
          <w:p>
            <w:pPr>
              <w:pStyle w:val="TableParagraph"/>
              <w:rPr>
                <w:sz w:val="18"/>
              </w:rPr>
            </w:pPr>
          </w:p>
          <w:p>
            <w:pPr>
              <w:pStyle w:val="TableParagraph"/>
              <w:spacing w:before="130"/>
              <w:ind w:left="107"/>
              <w:rPr>
                <w:sz w:val="16"/>
              </w:rPr>
            </w:pPr>
            <w:r>
              <w:rPr>
                <w:sz w:val="16"/>
              </w:rPr>
              <w:t>Eucalypt forests</w:t>
            </w:r>
          </w:p>
        </w:tc>
        <w:tc>
          <w:tcPr>
            <w:tcW w:w="2114" w:type="dxa"/>
          </w:tcPr>
          <w:p>
            <w:pPr>
              <w:pStyle w:val="TableParagraph"/>
              <w:spacing w:before="37"/>
              <w:ind w:left="107"/>
              <w:rPr>
                <w:sz w:val="16"/>
              </w:rPr>
            </w:pPr>
            <w:r>
              <w:rPr>
                <w:sz w:val="16"/>
              </w:rPr>
              <w:t>Wildfire</w:t>
            </w:r>
          </w:p>
        </w:tc>
        <w:tc>
          <w:tcPr>
            <w:tcW w:w="784" w:type="dxa"/>
          </w:tcPr>
          <w:p>
            <w:pPr>
              <w:pStyle w:val="TableParagraph"/>
              <w:spacing w:before="37"/>
              <w:ind w:left="175" w:right="166"/>
              <w:jc w:val="center"/>
              <w:rPr>
                <w:sz w:val="16"/>
              </w:rPr>
            </w:pPr>
            <w:r>
              <w:rPr>
                <w:sz w:val="16"/>
              </w:rPr>
              <w:t>53.0</w:t>
            </w:r>
          </w:p>
        </w:tc>
        <w:tc>
          <w:tcPr>
            <w:tcW w:w="782" w:type="dxa"/>
          </w:tcPr>
          <w:p>
            <w:pPr>
              <w:pStyle w:val="TableParagraph"/>
              <w:spacing w:before="37"/>
              <w:ind w:left="190" w:right="178"/>
              <w:jc w:val="center"/>
              <w:rPr>
                <w:sz w:val="16"/>
              </w:rPr>
            </w:pPr>
            <w:r>
              <w:rPr>
                <w:sz w:val="16"/>
              </w:rPr>
              <w:t>53.6</w:t>
            </w:r>
          </w:p>
        </w:tc>
        <w:tc>
          <w:tcPr>
            <w:tcW w:w="604" w:type="dxa"/>
          </w:tcPr>
          <w:p>
            <w:pPr>
              <w:pStyle w:val="TableParagraph"/>
              <w:spacing w:before="37"/>
              <w:ind w:left="12"/>
              <w:jc w:val="center"/>
              <w:rPr>
                <w:sz w:val="16"/>
              </w:rPr>
            </w:pPr>
            <w:r>
              <w:rPr>
                <w:w w:val="100"/>
                <w:sz w:val="16"/>
              </w:rPr>
              <w:t>8</w:t>
            </w:r>
          </w:p>
        </w:tc>
        <w:tc>
          <w:tcPr>
            <w:tcW w:w="1142" w:type="dxa"/>
          </w:tcPr>
          <w:p>
            <w:pPr>
              <w:pStyle w:val="TableParagraph"/>
              <w:spacing w:before="37"/>
              <w:ind w:left="111" w:right="98"/>
              <w:jc w:val="center"/>
              <w:rPr>
                <w:sz w:val="16"/>
              </w:rPr>
            </w:pPr>
            <w:r>
              <w:rPr>
                <w:sz w:val="16"/>
              </w:rPr>
              <w:t>20 – 179</w:t>
            </w:r>
          </w:p>
        </w:tc>
        <w:tc>
          <w:tcPr>
            <w:tcW w:w="573" w:type="dxa"/>
          </w:tcPr>
          <w:p>
            <w:pPr>
              <w:pStyle w:val="TableParagraph"/>
              <w:spacing w:before="37"/>
              <w:ind w:left="12"/>
              <w:jc w:val="center"/>
              <w:rPr>
                <w:sz w:val="16"/>
              </w:rPr>
            </w:pPr>
            <w:r>
              <w:rPr>
                <w:w w:val="100"/>
                <w:sz w:val="16"/>
              </w:rPr>
              <w:t>8</w:t>
            </w:r>
          </w:p>
        </w:tc>
        <w:tc>
          <w:tcPr>
            <w:tcW w:w="1403" w:type="dxa"/>
          </w:tcPr>
          <w:p>
            <w:pPr>
              <w:pStyle w:val="TableParagraph"/>
              <w:spacing w:before="37"/>
              <w:ind w:left="110"/>
              <w:rPr>
                <w:sz w:val="16"/>
              </w:rPr>
            </w:pPr>
            <w:r>
              <w:rPr>
                <w:sz w:val="16"/>
              </w:rPr>
              <w:t>66, 32, 9</w:t>
            </w:r>
          </w:p>
        </w:tc>
      </w:tr>
      <w:tr>
        <w:trPr>
          <w:trHeight w:val="273" w:hRule="atLeast"/>
        </w:trPr>
        <w:tc>
          <w:tcPr>
            <w:tcW w:w="1608" w:type="dxa"/>
            <w:vMerge/>
            <w:tcBorders>
              <w:top w:val="nil"/>
            </w:tcBorders>
          </w:tcPr>
          <w:p>
            <w:pPr>
              <w:rPr>
                <w:sz w:val="2"/>
                <w:szCs w:val="2"/>
              </w:rPr>
            </w:pPr>
          </w:p>
        </w:tc>
        <w:tc>
          <w:tcPr>
            <w:tcW w:w="2114" w:type="dxa"/>
          </w:tcPr>
          <w:p>
            <w:pPr>
              <w:pStyle w:val="TableParagraph"/>
              <w:spacing w:before="37"/>
              <w:ind w:left="107"/>
              <w:rPr>
                <w:sz w:val="16"/>
              </w:rPr>
            </w:pPr>
            <w:r>
              <w:rPr>
                <w:sz w:val="16"/>
              </w:rPr>
              <w:t>Prescribed fire – (surface)</w:t>
            </w:r>
          </w:p>
        </w:tc>
        <w:tc>
          <w:tcPr>
            <w:tcW w:w="784" w:type="dxa"/>
          </w:tcPr>
          <w:p>
            <w:pPr>
              <w:pStyle w:val="TableParagraph"/>
              <w:spacing w:before="37"/>
              <w:ind w:left="175" w:right="166"/>
              <w:jc w:val="center"/>
              <w:rPr>
                <w:sz w:val="16"/>
              </w:rPr>
            </w:pPr>
            <w:r>
              <w:rPr>
                <w:sz w:val="16"/>
              </w:rPr>
              <w:t>16.0</w:t>
            </w:r>
          </w:p>
        </w:tc>
        <w:tc>
          <w:tcPr>
            <w:tcW w:w="782" w:type="dxa"/>
          </w:tcPr>
          <w:p>
            <w:pPr>
              <w:pStyle w:val="TableParagraph"/>
              <w:spacing w:before="37"/>
              <w:ind w:left="191" w:right="178"/>
              <w:jc w:val="center"/>
              <w:rPr>
                <w:sz w:val="16"/>
              </w:rPr>
            </w:pPr>
            <w:r>
              <w:rPr>
                <w:sz w:val="16"/>
              </w:rPr>
              <w:t>13.7</w:t>
            </w:r>
          </w:p>
        </w:tc>
        <w:tc>
          <w:tcPr>
            <w:tcW w:w="604" w:type="dxa"/>
          </w:tcPr>
          <w:p>
            <w:pPr>
              <w:pStyle w:val="TableParagraph"/>
              <w:spacing w:before="37"/>
              <w:ind w:left="13"/>
              <w:jc w:val="center"/>
              <w:rPr>
                <w:sz w:val="16"/>
              </w:rPr>
            </w:pPr>
            <w:r>
              <w:rPr>
                <w:w w:val="100"/>
                <w:sz w:val="16"/>
              </w:rPr>
              <w:t>8</w:t>
            </w:r>
          </w:p>
        </w:tc>
        <w:tc>
          <w:tcPr>
            <w:tcW w:w="1142" w:type="dxa"/>
          </w:tcPr>
          <w:p>
            <w:pPr>
              <w:pStyle w:val="TableParagraph"/>
              <w:spacing w:before="37"/>
              <w:ind w:left="112" w:right="98"/>
              <w:jc w:val="center"/>
              <w:rPr>
                <w:sz w:val="16"/>
              </w:rPr>
            </w:pPr>
            <w:r>
              <w:rPr>
                <w:sz w:val="16"/>
              </w:rPr>
              <w:t>4.2 – 17</w:t>
            </w:r>
          </w:p>
        </w:tc>
        <w:tc>
          <w:tcPr>
            <w:tcW w:w="573" w:type="dxa"/>
          </w:tcPr>
          <w:p>
            <w:pPr>
              <w:pStyle w:val="TableParagraph"/>
              <w:spacing w:before="37"/>
              <w:ind w:left="10"/>
              <w:jc w:val="center"/>
              <w:rPr>
                <w:sz w:val="16"/>
              </w:rPr>
            </w:pPr>
            <w:r>
              <w:rPr>
                <w:w w:val="100"/>
                <w:sz w:val="16"/>
              </w:rPr>
              <w:t>8</w:t>
            </w:r>
          </w:p>
        </w:tc>
        <w:tc>
          <w:tcPr>
            <w:tcW w:w="1403" w:type="dxa"/>
          </w:tcPr>
          <w:p>
            <w:pPr>
              <w:pStyle w:val="TableParagraph"/>
              <w:spacing w:before="37"/>
              <w:ind w:left="110"/>
              <w:rPr>
                <w:sz w:val="16"/>
              </w:rPr>
            </w:pPr>
            <w:r>
              <w:rPr>
                <w:sz w:val="16"/>
              </w:rPr>
              <w:t>66, 72, 54, 60, 9</w:t>
            </w:r>
          </w:p>
        </w:tc>
      </w:tr>
      <w:tr>
        <w:trPr>
          <w:trHeight w:val="275" w:hRule="atLeast"/>
        </w:trPr>
        <w:tc>
          <w:tcPr>
            <w:tcW w:w="1608" w:type="dxa"/>
            <w:vMerge/>
            <w:tcBorders>
              <w:top w:val="nil"/>
            </w:tcBorders>
          </w:tcPr>
          <w:p>
            <w:pPr>
              <w:rPr>
                <w:sz w:val="2"/>
                <w:szCs w:val="2"/>
              </w:rPr>
            </w:pPr>
          </w:p>
        </w:tc>
        <w:tc>
          <w:tcPr>
            <w:tcW w:w="2114" w:type="dxa"/>
          </w:tcPr>
          <w:p>
            <w:pPr>
              <w:pStyle w:val="TableParagraph"/>
              <w:spacing w:before="37"/>
              <w:ind w:left="107"/>
              <w:rPr>
                <w:sz w:val="16"/>
              </w:rPr>
            </w:pPr>
            <w:r>
              <w:rPr>
                <w:sz w:val="16"/>
              </w:rPr>
              <w:t>Post logging slash burn</w:t>
            </w:r>
          </w:p>
        </w:tc>
        <w:tc>
          <w:tcPr>
            <w:tcW w:w="784" w:type="dxa"/>
          </w:tcPr>
          <w:p>
            <w:pPr>
              <w:pStyle w:val="TableParagraph"/>
              <w:spacing w:before="37"/>
              <w:ind w:left="175" w:right="166"/>
              <w:jc w:val="center"/>
              <w:rPr>
                <w:sz w:val="16"/>
              </w:rPr>
            </w:pPr>
            <w:r>
              <w:rPr>
                <w:sz w:val="16"/>
              </w:rPr>
              <w:t>168.4</w:t>
            </w:r>
          </w:p>
        </w:tc>
        <w:tc>
          <w:tcPr>
            <w:tcW w:w="782" w:type="dxa"/>
          </w:tcPr>
          <w:p>
            <w:pPr>
              <w:pStyle w:val="TableParagraph"/>
              <w:spacing w:before="37"/>
              <w:ind w:left="191" w:right="178"/>
              <w:jc w:val="center"/>
              <w:rPr>
                <w:sz w:val="16"/>
              </w:rPr>
            </w:pPr>
            <w:r>
              <w:rPr>
                <w:sz w:val="16"/>
              </w:rPr>
              <w:t>168.8</w:t>
            </w:r>
          </w:p>
        </w:tc>
        <w:tc>
          <w:tcPr>
            <w:tcW w:w="604" w:type="dxa"/>
          </w:tcPr>
          <w:p>
            <w:pPr>
              <w:pStyle w:val="TableParagraph"/>
              <w:spacing w:before="37"/>
              <w:ind w:left="12"/>
              <w:jc w:val="center"/>
              <w:rPr>
                <w:sz w:val="16"/>
              </w:rPr>
            </w:pPr>
            <w:r>
              <w:rPr>
                <w:w w:val="100"/>
                <w:sz w:val="16"/>
              </w:rPr>
              <w:t>5</w:t>
            </w:r>
          </w:p>
        </w:tc>
        <w:tc>
          <w:tcPr>
            <w:tcW w:w="1142" w:type="dxa"/>
          </w:tcPr>
          <w:p>
            <w:pPr>
              <w:pStyle w:val="TableParagraph"/>
              <w:spacing w:before="37"/>
              <w:ind w:left="110" w:right="98"/>
              <w:jc w:val="center"/>
              <w:rPr>
                <w:sz w:val="16"/>
              </w:rPr>
            </w:pPr>
            <w:r>
              <w:rPr>
                <w:sz w:val="16"/>
              </w:rPr>
              <w:t>34 – 453</w:t>
            </w:r>
          </w:p>
        </w:tc>
        <w:tc>
          <w:tcPr>
            <w:tcW w:w="573" w:type="dxa"/>
          </w:tcPr>
          <w:p>
            <w:pPr>
              <w:pStyle w:val="TableParagraph"/>
              <w:spacing w:before="37"/>
              <w:ind w:left="12"/>
              <w:jc w:val="center"/>
              <w:rPr>
                <w:sz w:val="16"/>
              </w:rPr>
            </w:pPr>
            <w:r>
              <w:rPr>
                <w:w w:val="100"/>
                <w:sz w:val="16"/>
              </w:rPr>
              <w:t>5</w:t>
            </w:r>
          </w:p>
        </w:tc>
        <w:tc>
          <w:tcPr>
            <w:tcW w:w="1403" w:type="dxa"/>
          </w:tcPr>
          <w:p>
            <w:pPr>
              <w:pStyle w:val="TableParagraph"/>
              <w:spacing w:before="37"/>
              <w:ind w:left="111"/>
              <w:rPr>
                <w:sz w:val="16"/>
              </w:rPr>
            </w:pPr>
            <w:r>
              <w:rPr>
                <w:sz w:val="16"/>
              </w:rPr>
              <w:t>25, 58, 46</w:t>
            </w:r>
          </w:p>
        </w:tc>
      </w:tr>
      <w:tr>
        <w:trPr>
          <w:trHeight w:val="443" w:hRule="atLeast"/>
        </w:trPr>
        <w:tc>
          <w:tcPr>
            <w:tcW w:w="1608" w:type="dxa"/>
            <w:vMerge/>
            <w:tcBorders>
              <w:top w:val="nil"/>
            </w:tcBorders>
          </w:tcPr>
          <w:p>
            <w:pPr>
              <w:rPr>
                <w:sz w:val="2"/>
                <w:szCs w:val="2"/>
              </w:rPr>
            </w:pPr>
          </w:p>
        </w:tc>
        <w:tc>
          <w:tcPr>
            <w:tcW w:w="2114" w:type="dxa"/>
          </w:tcPr>
          <w:p>
            <w:pPr>
              <w:pStyle w:val="TableParagraph"/>
              <w:spacing w:before="33"/>
              <w:ind w:left="107"/>
              <w:rPr>
                <w:sz w:val="16"/>
              </w:rPr>
            </w:pPr>
            <w:r>
              <w:rPr>
                <w:sz w:val="16"/>
              </w:rPr>
              <w:t>Felled and burned (land- clearing fire)</w:t>
            </w:r>
          </w:p>
        </w:tc>
        <w:tc>
          <w:tcPr>
            <w:tcW w:w="784" w:type="dxa"/>
          </w:tcPr>
          <w:p>
            <w:pPr>
              <w:pStyle w:val="TableParagraph"/>
              <w:spacing w:before="124"/>
              <w:ind w:left="175" w:right="166"/>
              <w:jc w:val="center"/>
              <w:rPr>
                <w:sz w:val="16"/>
              </w:rPr>
            </w:pPr>
            <w:r>
              <w:rPr>
                <w:sz w:val="16"/>
              </w:rPr>
              <w:t>132.6</w:t>
            </w:r>
          </w:p>
        </w:tc>
        <w:tc>
          <w:tcPr>
            <w:tcW w:w="782" w:type="dxa"/>
          </w:tcPr>
          <w:p>
            <w:pPr>
              <w:pStyle w:val="TableParagraph"/>
              <w:spacing w:before="124"/>
              <w:ind w:left="12"/>
              <w:jc w:val="center"/>
              <w:rPr>
                <w:sz w:val="16"/>
              </w:rPr>
            </w:pPr>
            <w:r>
              <w:rPr>
                <w:w w:val="100"/>
                <w:sz w:val="16"/>
              </w:rPr>
              <w:t>-</w:t>
            </w:r>
          </w:p>
        </w:tc>
        <w:tc>
          <w:tcPr>
            <w:tcW w:w="604" w:type="dxa"/>
          </w:tcPr>
          <w:p>
            <w:pPr>
              <w:pStyle w:val="TableParagraph"/>
              <w:spacing w:before="124"/>
              <w:ind w:left="11"/>
              <w:jc w:val="center"/>
              <w:rPr>
                <w:sz w:val="16"/>
              </w:rPr>
            </w:pPr>
            <w:r>
              <w:rPr>
                <w:w w:val="100"/>
                <w:sz w:val="16"/>
              </w:rPr>
              <w:t>1</w:t>
            </w:r>
          </w:p>
        </w:tc>
        <w:tc>
          <w:tcPr>
            <w:tcW w:w="1142" w:type="dxa"/>
          </w:tcPr>
          <w:p>
            <w:pPr>
              <w:pStyle w:val="TableParagraph"/>
              <w:spacing w:before="124"/>
              <w:ind w:left="110" w:right="98"/>
              <w:jc w:val="center"/>
              <w:rPr>
                <w:sz w:val="16"/>
              </w:rPr>
            </w:pPr>
            <w:r>
              <w:rPr>
                <w:sz w:val="16"/>
              </w:rPr>
              <w:t>50 – 133</w:t>
            </w:r>
          </w:p>
        </w:tc>
        <w:tc>
          <w:tcPr>
            <w:tcW w:w="573" w:type="dxa"/>
          </w:tcPr>
          <w:p>
            <w:pPr>
              <w:pStyle w:val="TableParagraph"/>
              <w:spacing w:before="124"/>
              <w:ind w:left="11"/>
              <w:jc w:val="center"/>
              <w:rPr>
                <w:sz w:val="16"/>
              </w:rPr>
            </w:pPr>
            <w:r>
              <w:rPr>
                <w:w w:val="100"/>
                <w:sz w:val="16"/>
              </w:rPr>
              <w:t>2</w:t>
            </w:r>
          </w:p>
        </w:tc>
        <w:tc>
          <w:tcPr>
            <w:tcW w:w="1403" w:type="dxa"/>
          </w:tcPr>
          <w:p>
            <w:pPr>
              <w:pStyle w:val="TableParagraph"/>
              <w:spacing w:before="124"/>
              <w:ind w:left="110"/>
              <w:rPr>
                <w:sz w:val="16"/>
              </w:rPr>
            </w:pPr>
            <w:r>
              <w:rPr>
                <w:sz w:val="16"/>
              </w:rPr>
              <w:t>62, 9</w:t>
            </w:r>
          </w:p>
        </w:tc>
      </w:tr>
      <w:tr>
        <w:trPr>
          <w:trHeight w:val="273" w:hRule="atLeast"/>
        </w:trPr>
        <w:tc>
          <w:tcPr>
            <w:tcW w:w="3722" w:type="dxa"/>
            <w:gridSpan w:val="2"/>
          </w:tcPr>
          <w:p>
            <w:pPr>
              <w:pStyle w:val="TableParagraph"/>
              <w:spacing w:before="40"/>
              <w:ind w:left="107"/>
              <w:rPr>
                <w:b/>
                <w:sz w:val="16"/>
              </w:rPr>
            </w:pPr>
            <w:r>
              <w:rPr>
                <w:b/>
                <w:sz w:val="16"/>
              </w:rPr>
              <w:t>All Eucalypt Forests</w:t>
            </w:r>
          </w:p>
        </w:tc>
        <w:tc>
          <w:tcPr>
            <w:tcW w:w="784" w:type="dxa"/>
          </w:tcPr>
          <w:p>
            <w:pPr>
              <w:pStyle w:val="TableParagraph"/>
              <w:spacing w:before="40"/>
              <w:ind w:left="175" w:right="165"/>
              <w:jc w:val="center"/>
              <w:rPr>
                <w:b/>
                <w:sz w:val="16"/>
              </w:rPr>
            </w:pPr>
            <w:r>
              <w:rPr>
                <w:b/>
                <w:sz w:val="16"/>
              </w:rPr>
              <w:t>69.4</w:t>
            </w:r>
          </w:p>
        </w:tc>
        <w:tc>
          <w:tcPr>
            <w:tcW w:w="782" w:type="dxa"/>
          </w:tcPr>
          <w:p>
            <w:pPr>
              <w:pStyle w:val="TableParagraph"/>
              <w:spacing w:before="40"/>
              <w:ind w:left="192" w:right="177"/>
              <w:jc w:val="center"/>
              <w:rPr>
                <w:b/>
                <w:sz w:val="16"/>
              </w:rPr>
            </w:pPr>
            <w:r>
              <w:rPr>
                <w:b/>
                <w:sz w:val="16"/>
              </w:rPr>
              <w:t>100.8</w:t>
            </w:r>
          </w:p>
        </w:tc>
        <w:tc>
          <w:tcPr>
            <w:tcW w:w="604" w:type="dxa"/>
          </w:tcPr>
          <w:p>
            <w:pPr>
              <w:pStyle w:val="TableParagraph"/>
              <w:spacing w:before="40"/>
              <w:ind w:left="53" w:right="38"/>
              <w:jc w:val="center"/>
              <w:rPr>
                <w:b/>
                <w:sz w:val="16"/>
              </w:rPr>
            </w:pPr>
            <w:r>
              <w:rPr>
                <w:b/>
                <w:sz w:val="16"/>
              </w:rPr>
              <w:t>22</w:t>
            </w:r>
          </w:p>
        </w:tc>
        <w:tc>
          <w:tcPr>
            <w:tcW w:w="1142" w:type="dxa"/>
          </w:tcPr>
          <w:p>
            <w:pPr>
              <w:pStyle w:val="TableParagraph"/>
              <w:spacing w:before="40"/>
              <w:ind w:left="110" w:right="98"/>
              <w:jc w:val="center"/>
              <w:rPr>
                <w:b/>
                <w:sz w:val="16"/>
              </w:rPr>
            </w:pPr>
            <w:r>
              <w:rPr>
                <w:b/>
                <w:sz w:val="16"/>
              </w:rPr>
              <w:t>4.2 – 453</w:t>
            </w:r>
          </w:p>
        </w:tc>
        <w:tc>
          <w:tcPr>
            <w:tcW w:w="573" w:type="dxa"/>
          </w:tcPr>
          <w:p>
            <w:pPr>
              <w:pStyle w:val="TableParagraph"/>
              <w:spacing w:before="40"/>
              <w:ind w:left="47" w:right="34"/>
              <w:jc w:val="center"/>
              <w:rPr>
                <w:b/>
                <w:sz w:val="16"/>
              </w:rPr>
            </w:pPr>
            <w:r>
              <w:rPr>
                <w:b/>
                <w:sz w:val="16"/>
              </w:rPr>
              <w:t>23</w:t>
            </w:r>
          </w:p>
        </w:tc>
        <w:tc>
          <w:tcPr>
            <w:tcW w:w="1403" w:type="dxa"/>
          </w:tcPr>
          <w:p>
            <w:pPr>
              <w:pStyle w:val="TableParagraph"/>
              <w:rPr>
                <w:sz w:val="16"/>
              </w:rPr>
            </w:pPr>
          </w:p>
        </w:tc>
      </w:tr>
    </w:tbl>
    <w:p>
      <w:pPr>
        <w:spacing w:after="0"/>
        <w:rPr>
          <w:sz w:val="16"/>
        </w:rPr>
        <w:sectPr>
          <w:footerReference w:type="default" r:id="rId201"/>
          <w:footerReference w:type="even" r:id="rId202"/>
          <w:pgSz w:w="11900" w:h="16840"/>
          <w:pgMar w:footer="408" w:header="230" w:top="560" w:bottom="600" w:left="1200" w:right="1140"/>
        </w:sectPr>
      </w:pPr>
    </w:p>
    <w:p>
      <w:pPr>
        <w:pStyle w:val="BodyText"/>
      </w:pPr>
    </w:p>
    <w:p>
      <w:pPr>
        <w:pStyle w:val="BodyText"/>
      </w:pPr>
    </w:p>
    <w:p>
      <w:pPr>
        <w:pStyle w:val="BodyText"/>
        <w:spacing w:before="3"/>
      </w:pPr>
    </w:p>
    <w:tbl>
      <w:tblPr>
        <w:tblW w:w="0" w:type="auto"/>
        <w:jc w:val="left"/>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0"/>
        <w:gridCol w:w="2109"/>
        <w:gridCol w:w="784"/>
        <w:gridCol w:w="782"/>
        <w:gridCol w:w="604"/>
        <w:gridCol w:w="1173"/>
        <w:gridCol w:w="559"/>
        <w:gridCol w:w="1389"/>
      </w:tblGrid>
      <w:tr>
        <w:trPr>
          <w:trHeight w:val="663" w:hRule="atLeast"/>
        </w:trPr>
        <w:tc>
          <w:tcPr>
            <w:tcW w:w="9010" w:type="dxa"/>
            <w:gridSpan w:val="8"/>
            <w:tcBorders>
              <w:bottom w:val="double" w:sz="1" w:space="0" w:color="000000"/>
            </w:tcBorders>
          </w:tcPr>
          <w:p>
            <w:pPr>
              <w:pStyle w:val="TableParagraph"/>
              <w:spacing w:before="26"/>
              <w:ind w:left="1217" w:right="1206"/>
              <w:jc w:val="center"/>
              <w:rPr>
                <w:b/>
                <w:sz w:val="18"/>
              </w:rPr>
            </w:pPr>
            <w:r>
              <w:rPr>
                <w:b/>
                <w:sz w:val="18"/>
              </w:rPr>
              <w:t>T</w:t>
            </w:r>
            <w:r>
              <w:rPr>
                <w:b/>
                <w:sz w:val="14"/>
              </w:rPr>
              <w:t>ABLE </w:t>
            </w:r>
            <w:r>
              <w:rPr>
                <w:b/>
                <w:sz w:val="18"/>
              </w:rPr>
              <w:t>3A.1.13 (C</w:t>
            </w:r>
            <w:r>
              <w:rPr>
                <w:b/>
                <w:sz w:val="14"/>
              </w:rPr>
              <w:t>ONTINUED</w:t>
            </w:r>
            <w:r>
              <w:rPr>
                <w:b/>
                <w:sz w:val="18"/>
              </w:rPr>
              <w:t>)</w:t>
            </w:r>
          </w:p>
          <w:p>
            <w:pPr>
              <w:pStyle w:val="TableParagraph"/>
              <w:spacing w:before="2"/>
              <w:ind w:left="1223" w:right="1173"/>
              <w:jc w:val="center"/>
              <w:rPr>
                <w:b/>
                <w:sz w:val="14"/>
              </w:rPr>
            </w:pPr>
            <w:r>
              <w:rPr>
                <w:b/>
                <w:sz w:val="18"/>
              </w:rPr>
              <w:t>B</w:t>
            </w:r>
            <w:r>
              <w:rPr>
                <w:b/>
                <w:sz w:val="14"/>
              </w:rPr>
              <w:t>IOMASS CONSUMPTION </w:t>
            </w:r>
            <w:r>
              <w:rPr>
                <w:b/>
                <w:sz w:val="18"/>
              </w:rPr>
              <w:t>(t/ha) </w:t>
            </w:r>
            <w:r>
              <w:rPr>
                <w:b/>
                <w:sz w:val="14"/>
              </w:rPr>
              <w:t>VALUES FOR FIRES IN A RANGE OF VEGETATION TYPES</w:t>
            </w:r>
          </w:p>
          <w:p>
            <w:pPr>
              <w:pStyle w:val="TableParagraph"/>
              <w:spacing w:line="197" w:lineRule="exact" w:before="5"/>
              <w:ind w:left="1221" w:right="1206"/>
              <w:jc w:val="center"/>
              <w:rPr>
                <w:sz w:val="16"/>
              </w:rPr>
            </w:pPr>
            <w:r>
              <w:rPr>
                <w:position w:val="2"/>
                <w:sz w:val="16"/>
              </w:rPr>
              <w:t>(To be used in Equation 3.2.9. for the part of the equation: ‘B</w:t>
            </w:r>
            <w:r>
              <w:rPr>
                <w:sz w:val="10"/>
              </w:rPr>
              <w:t>W </w:t>
            </w:r>
            <w:r>
              <w:rPr>
                <w:rFonts w:ascii="Symbol" w:hAnsi="Symbol"/>
                <w:position w:val="2"/>
                <w:sz w:val="16"/>
              </w:rPr>
              <w:t>• </w:t>
            </w:r>
            <w:r>
              <w:rPr>
                <w:position w:val="2"/>
                <w:sz w:val="16"/>
              </w:rPr>
              <w:t>(1- f</w:t>
            </w:r>
            <w:r>
              <w:rPr>
                <w:sz w:val="10"/>
              </w:rPr>
              <w:t>BL</w:t>
            </w:r>
            <w:r>
              <w:rPr>
                <w:position w:val="2"/>
                <w:sz w:val="16"/>
              </w:rPr>
              <w:t>)’ , i.e., an absolute amount)</w:t>
            </w:r>
          </w:p>
        </w:tc>
      </w:tr>
      <w:tr>
        <w:trPr>
          <w:trHeight w:val="253" w:hRule="atLeast"/>
        </w:trPr>
        <w:tc>
          <w:tcPr>
            <w:tcW w:w="1610" w:type="dxa"/>
            <w:tcBorders>
              <w:top w:val="double" w:sz="1" w:space="0" w:color="000000"/>
            </w:tcBorders>
          </w:tcPr>
          <w:p>
            <w:pPr>
              <w:pStyle w:val="TableParagraph"/>
              <w:spacing w:before="32"/>
              <w:ind w:left="242"/>
              <w:rPr>
                <w:b/>
                <w:sz w:val="16"/>
              </w:rPr>
            </w:pPr>
            <w:r>
              <w:rPr>
                <w:b/>
                <w:sz w:val="16"/>
              </w:rPr>
              <w:t>Vegetation Type</w:t>
            </w:r>
          </w:p>
        </w:tc>
        <w:tc>
          <w:tcPr>
            <w:tcW w:w="2109" w:type="dxa"/>
            <w:tcBorders>
              <w:top w:val="double" w:sz="1" w:space="0" w:color="000000"/>
            </w:tcBorders>
          </w:tcPr>
          <w:p>
            <w:pPr>
              <w:pStyle w:val="TableParagraph"/>
              <w:spacing w:before="32"/>
              <w:ind w:left="600"/>
              <w:rPr>
                <w:b/>
                <w:sz w:val="16"/>
              </w:rPr>
            </w:pPr>
            <w:r>
              <w:rPr>
                <w:b/>
                <w:sz w:val="16"/>
              </w:rPr>
              <w:t>Sub-category</w:t>
            </w:r>
          </w:p>
        </w:tc>
        <w:tc>
          <w:tcPr>
            <w:tcW w:w="784" w:type="dxa"/>
            <w:tcBorders>
              <w:top w:val="double" w:sz="1" w:space="0" w:color="000000"/>
            </w:tcBorders>
          </w:tcPr>
          <w:p>
            <w:pPr>
              <w:pStyle w:val="TableParagraph"/>
              <w:spacing w:before="32"/>
              <w:ind w:left="194"/>
              <w:rPr>
                <w:b/>
                <w:sz w:val="16"/>
              </w:rPr>
            </w:pPr>
            <w:r>
              <w:rPr>
                <w:b/>
                <w:sz w:val="16"/>
              </w:rPr>
              <w:t>Mean</w:t>
            </w:r>
          </w:p>
        </w:tc>
        <w:tc>
          <w:tcPr>
            <w:tcW w:w="782" w:type="dxa"/>
            <w:tcBorders>
              <w:top w:val="double" w:sz="1" w:space="0" w:color="000000"/>
            </w:tcBorders>
          </w:tcPr>
          <w:p>
            <w:pPr>
              <w:pStyle w:val="TableParagraph"/>
              <w:spacing w:before="32"/>
              <w:ind w:left="184" w:right="178"/>
              <w:jc w:val="center"/>
              <w:rPr>
                <w:b/>
                <w:sz w:val="16"/>
              </w:rPr>
            </w:pPr>
            <w:r>
              <w:rPr>
                <w:b/>
                <w:sz w:val="16"/>
              </w:rPr>
              <w:t>SE</w:t>
            </w:r>
          </w:p>
        </w:tc>
        <w:tc>
          <w:tcPr>
            <w:tcW w:w="604" w:type="dxa"/>
            <w:tcBorders>
              <w:top w:val="double" w:sz="1" w:space="0" w:color="000000"/>
            </w:tcBorders>
          </w:tcPr>
          <w:p>
            <w:pPr>
              <w:pStyle w:val="TableParagraph"/>
              <w:spacing w:before="32"/>
              <w:ind w:left="54" w:right="38"/>
              <w:jc w:val="center"/>
              <w:rPr>
                <w:b/>
                <w:sz w:val="16"/>
              </w:rPr>
            </w:pPr>
            <w:r>
              <w:rPr>
                <w:b/>
                <w:sz w:val="16"/>
              </w:rPr>
              <w:t>No. m</w:t>
            </w:r>
            <w:r>
              <w:rPr>
                <w:b/>
                <w:sz w:val="16"/>
                <w:vertAlign w:val="superscript"/>
              </w:rPr>
              <w:t>1</w:t>
            </w:r>
          </w:p>
        </w:tc>
        <w:tc>
          <w:tcPr>
            <w:tcW w:w="1173" w:type="dxa"/>
            <w:tcBorders>
              <w:top w:val="double" w:sz="1" w:space="0" w:color="000000"/>
            </w:tcBorders>
          </w:tcPr>
          <w:p>
            <w:pPr>
              <w:pStyle w:val="TableParagraph"/>
              <w:spacing w:before="32"/>
              <w:ind w:left="167" w:right="155"/>
              <w:jc w:val="center"/>
              <w:rPr>
                <w:b/>
                <w:sz w:val="16"/>
              </w:rPr>
            </w:pPr>
            <w:r>
              <w:rPr>
                <w:b/>
                <w:sz w:val="16"/>
              </w:rPr>
              <w:t>Range</w:t>
            </w:r>
          </w:p>
        </w:tc>
        <w:tc>
          <w:tcPr>
            <w:tcW w:w="559" w:type="dxa"/>
            <w:tcBorders>
              <w:top w:val="double" w:sz="1" w:space="0" w:color="000000"/>
            </w:tcBorders>
          </w:tcPr>
          <w:p>
            <w:pPr>
              <w:pStyle w:val="TableParagraph"/>
              <w:spacing w:before="32"/>
              <w:ind w:left="43" w:right="27"/>
              <w:jc w:val="center"/>
              <w:rPr>
                <w:b/>
                <w:sz w:val="16"/>
              </w:rPr>
            </w:pPr>
            <w:r>
              <w:rPr>
                <w:b/>
                <w:sz w:val="16"/>
              </w:rPr>
              <w:t>No. r </w:t>
            </w:r>
            <w:r>
              <w:rPr>
                <w:b/>
                <w:sz w:val="16"/>
                <w:vertAlign w:val="superscript"/>
              </w:rPr>
              <w:t>2</w:t>
            </w:r>
          </w:p>
        </w:tc>
        <w:tc>
          <w:tcPr>
            <w:tcW w:w="1389" w:type="dxa"/>
            <w:tcBorders>
              <w:top w:val="double" w:sz="1" w:space="0" w:color="000000"/>
            </w:tcBorders>
          </w:tcPr>
          <w:p>
            <w:pPr>
              <w:pStyle w:val="TableParagraph"/>
              <w:spacing w:before="32"/>
              <w:ind w:left="325"/>
              <w:rPr>
                <w:b/>
                <w:sz w:val="16"/>
              </w:rPr>
            </w:pPr>
            <w:r>
              <w:rPr>
                <w:b/>
                <w:sz w:val="16"/>
              </w:rPr>
              <w:t>References</w:t>
            </w:r>
          </w:p>
        </w:tc>
      </w:tr>
      <w:tr>
        <w:trPr>
          <w:trHeight w:val="275" w:hRule="atLeast"/>
        </w:trPr>
        <w:tc>
          <w:tcPr>
            <w:tcW w:w="1610" w:type="dxa"/>
            <w:vMerge w:val="restart"/>
          </w:tcPr>
          <w:p>
            <w:pPr>
              <w:pStyle w:val="TableParagraph"/>
              <w:rPr>
                <w:sz w:val="18"/>
              </w:rPr>
            </w:pPr>
          </w:p>
          <w:p>
            <w:pPr>
              <w:pStyle w:val="TableParagraph"/>
              <w:spacing w:before="4"/>
              <w:rPr>
                <w:sz w:val="16"/>
              </w:rPr>
            </w:pPr>
          </w:p>
          <w:p>
            <w:pPr>
              <w:pStyle w:val="TableParagraph"/>
              <w:ind w:left="107" w:right="438"/>
              <w:rPr>
                <w:sz w:val="16"/>
              </w:rPr>
            </w:pPr>
            <w:r>
              <w:rPr>
                <w:sz w:val="16"/>
              </w:rPr>
              <w:t>Other temperate forests</w:t>
            </w:r>
          </w:p>
        </w:tc>
        <w:tc>
          <w:tcPr>
            <w:tcW w:w="2109" w:type="dxa"/>
          </w:tcPr>
          <w:p>
            <w:pPr>
              <w:pStyle w:val="TableParagraph"/>
              <w:spacing w:before="37"/>
              <w:ind w:left="108"/>
              <w:rPr>
                <w:sz w:val="16"/>
              </w:rPr>
            </w:pPr>
            <w:r>
              <w:rPr>
                <w:sz w:val="16"/>
              </w:rPr>
              <w:t>Wildfire</w:t>
            </w:r>
          </w:p>
        </w:tc>
        <w:tc>
          <w:tcPr>
            <w:tcW w:w="784" w:type="dxa"/>
          </w:tcPr>
          <w:p>
            <w:pPr>
              <w:pStyle w:val="TableParagraph"/>
              <w:spacing w:before="37"/>
              <w:ind w:left="250"/>
              <w:rPr>
                <w:sz w:val="16"/>
              </w:rPr>
            </w:pPr>
            <w:r>
              <w:rPr>
                <w:sz w:val="16"/>
              </w:rPr>
              <w:t>19.8</w:t>
            </w:r>
          </w:p>
        </w:tc>
        <w:tc>
          <w:tcPr>
            <w:tcW w:w="782" w:type="dxa"/>
          </w:tcPr>
          <w:p>
            <w:pPr>
              <w:pStyle w:val="TableParagraph"/>
              <w:spacing w:before="37"/>
              <w:ind w:left="191" w:right="178"/>
              <w:jc w:val="center"/>
              <w:rPr>
                <w:sz w:val="16"/>
              </w:rPr>
            </w:pPr>
            <w:r>
              <w:rPr>
                <w:sz w:val="16"/>
              </w:rPr>
              <w:t>6.3</w:t>
            </w:r>
          </w:p>
        </w:tc>
        <w:tc>
          <w:tcPr>
            <w:tcW w:w="604" w:type="dxa"/>
          </w:tcPr>
          <w:p>
            <w:pPr>
              <w:pStyle w:val="TableParagraph"/>
              <w:spacing w:before="37"/>
              <w:ind w:left="13"/>
              <w:jc w:val="center"/>
              <w:rPr>
                <w:sz w:val="16"/>
              </w:rPr>
            </w:pPr>
            <w:r>
              <w:rPr>
                <w:w w:val="100"/>
                <w:sz w:val="16"/>
              </w:rPr>
              <w:t>4</w:t>
            </w:r>
          </w:p>
        </w:tc>
        <w:tc>
          <w:tcPr>
            <w:tcW w:w="1173" w:type="dxa"/>
          </w:tcPr>
          <w:p>
            <w:pPr>
              <w:pStyle w:val="TableParagraph"/>
              <w:spacing w:before="37"/>
              <w:ind w:left="167" w:right="155"/>
              <w:jc w:val="center"/>
              <w:rPr>
                <w:sz w:val="16"/>
              </w:rPr>
            </w:pPr>
            <w:r>
              <w:rPr>
                <w:sz w:val="16"/>
              </w:rPr>
              <w:t>11 - 25</w:t>
            </w:r>
          </w:p>
        </w:tc>
        <w:tc>
          <w:tcPr>
            <w:tcW w:w="559" w:type="dxa"/>
          </w:tcPr>
          <w:p>
            <w:pPr>
              <w:pStyle w:val="TableParagraph"/>
              <w:spacing w:before="37"/>
              <w:ind w:left="13"/>
              <w:jc w:val="center"/>
              <w:rPr>
                <w:sz w:val="16"/>
              </w:rPr>
            </w:pPr>
            <w:r>
              <w:rPr>
                <w:w w:val="100"/>
                <w:sz w:val="16"/>
              </w:rPr>
              <w:t>4</w:t>
            </w:r>
          </w:p>
        </w:tc>
        <w:tc>
          <w:tcPr>
            <w:tcW w:w="1389" w:type="dxa"/>
          </w:tcPr>
          <w:p>
            <w:pPr>
              <w:pStyle w:val="TableParagraph"/>
              <w:spacing w:before="37"/>
              <w:ind w:left="477" w:right="462"/>
              <w:jc w:val="center"/>
              <w:rPr>
                <w:sz w:val="16"/>
              </w:rPr>
            </w:pPr>
            <w:r>
              <w:rPr>
                <w:sz w:val="16"/>
              </w:rPr>
              <w:t>32, 66</w:t>
            </w:r>
          </w:p>
        </w:tc>
      </w:tr>
      <w:tr>
        <w:trPr>
          <w:trHeight w:val="443" w:hRule="atLeast"/>
        </w:trPr>
        <w:tc>
          <w:tcPr>
            <w:tcW w:w="1610" w:type="dxa"/>
            <w:vMerge/>
            <w:tcBorders>
              <w:top w:val="nil"/>
            </w:tcBorders>
          </w:tcPr>
          <w:p>
            <w:pPr>
              <w:rPr>
                <w:sz w:val="2"/>
                <w:szCs w:val="2"/>
              </w:rPr>
            </w:pPr>
          </w:p>
        </w:tc>
        <w:tc>
          <w:tcPr>
            <w:tcW w:w="2109" w:type="dxa"/>
          </w:tcPr>
          <w:p>
            <w:pPr>
              <w:pStyle w:val="TableParagraph"/>
              <w:spacing w:before="124"/>
              <w:ind w:left="108"/>
              <w:rPr>
                <w:sz w:val="16"/>
              </w:rPr>
            </w:pPr>
            <w:r>
              <w:rPr>
                <w:sz w:val="16"/>
              </w:rPr>
              <w:t>Post logging slash burn</w:t>
            </w:r>
          </w:p>
        </w:tc>
        <w:tc>
          <w:tcPr>
            <w:tcW w:w="784" w:type="dxa"/>
          </w:tcPr>
          <w:p>
            <w:pPr>
              <w:pStyle w:val="TableParagraph"/>
              <w:spacing w:before="124"/>
              <w:ind w:left="250"/>
              <w:rPr>
                <w:sz w:val="16"/>
              </w:rPr>
            </w:pPr>
            <w:r>
              <w:rPr>
                <w:sz w:val="16"/>
              </w:rPr>
              <w:t>77.5</w:t>
            </w:r>
          </w:p>
        </w:tc>
        <w:tc>
          <w:tcPr>
            <w:tcW w:w="782" w:type="dxa"/>
          </w:tcPr>
          <w:p>
            <w:pPr>
              <w:pStyle w:val="TableParagraph"/>
              <w:spacing w:before="124"/>
              <w:ind w:left="190" w:right="178"/>
              <w:jc w:val="center"/>
              <w:rPr>
                <w:sz w:val="16"/>
              </w:rPr>
            </w:pPr>
            <w:r>
              <w:rPr>
                <w:sz w:val="16"/>
              </w:rPr>
              <w:t>65.0</w:t>
            </w:r>
          </w:p>
        </w:tc>
        <w:tc>
          <w:tcPr>
            <w:tcW w:w="604" w:type="dxa"/>
          </w:tcPr>
          <w:p>
            <w:pPr>
              <w:pStyle w:val="TableParagraph"/>
              <w:spacing w:before="124"/>
              <w:ind w:left="13"/>
              <w:jc w:val="center"/>
              <w:rPr>
                <w:sz w:val="16"/>
              </w:rPr>
            </w:pPr>
            <w:r>
              <w:rPr>
                <w:w w:val="100"/>
                <w:sz w:val="16"/>
              </w:rPr>
              <w:t>7</w:t>
            </w:r>
          </w:p>
        </w:tc>
        <w:tc>
          <w:tcPr>
            <w:tcW w:w="1173" w:type="dxa"/>
          </w:tcPr>
          <w:p>
            <w:pPr>
              <w:pStyle w:val="TableParagraph"/>
              <w:spacing w:before="124"/>
              <w:ind w:left="166" w:right="155"/>
              <w:jc w:val="center"/>
              <w:rPr>
                <w:sz w:val="16"/>
              </w:rPr>
            </w:pPr>
            <w:r>
              <w:rPr>
                <w:sz w:val="16"/>
              </w:rPr>
              <w:t>15 – 220</w:t>
            </w:r>
          </w:p>
        </w:tc>
        <w:tc>
          <w:tcPr>
            <w:tcW w:w="559" w:type="dxa"/>
          </w:tcPr>
          <w:p>
            <w:pPr>
              <w:pStyle w:val="TableParagraph"/>
              <w:spacing w:before="124"/>
              <w:ind w:left="13"/>
              <w:jc w:val="center"/>
              <w:rPr>
                <w:sz w:val="16"/>
              </w:rPr>
            </w:pPr>
            <w:r>
              <w:rPr>
                <w:w w:val="100"/>
                <w:sz w:val="16"/>
              </w:rPr>
              <w:t>8</w:t>
            </w:r>
          </w:p>
        </w:tc>
        <w:tc>
          <w:tcPr>
            <w:tcW w:w="1389" w:type="dxa"/>
          </w:tcPr>
          <w:p>
            <w:pPr>
              <w:pStyle w:val="TableParagraph"/>
              <w:spacing w:before="124"/>
              <w:ind w:left="135"/>
              <w:rPr>
                <w:sz w:val="16"/>
              </w:rPr>
            </w:pPr>
            <w:r>
              <w:rPr>
                <w:sz w:val="16"/>
              </w:rPr>
              <w:t>55, 19, 14, 27, 66</w:t>
            </w:r>
          </w:p>
        </w:tc>
      </w:tr>
      <w:tr>
        <w:trPr>
          <w:trHeight w:val="443" w:hRule="atLeast"/>
        </w:trPr>
        <w:tc>
          <w:tcPr>
            <w:tcW w:w="1610" w:type="dxa"/>
            <w:vMerge/>
            <w:tcBorders>
              <w:top w:val="nil"/>
            </w:tcBorders>
          </w:tcPr>
          <w:p>
            <w:pPr>
              <w:rPr>
                <w:sz w:val="2"/>
                <w:szCs w:val="2"/>
              </w:rPr>
            </w:pPr>
          </w:p>
        </w:tc>
        <w:tc>
          <w:tcPr>
            <w:tcW w:w="2109" w:type="dxa"/>
          </w:tcPr>
          <w:p>
            <w:pPr>
              <w:pStyle w:val="TableParagraph"/>
              <w:spacing w:before="33"/>
              <w:ind w:left="108" w:right="393"/>
              <w:rPr>
                <w:sz w:val="16"/>
              </w:rPr>
            </w:pPr>
            <w:r>
              <w:rPr>
                <w:sz w:val="16"/>
              </w:rPr>
              <w:t>Felled and burned (land- clearing fire)</w:t>
            </w:r>
          </w:p>
        </w:tc>
        <w:tc>
          <w:tcPr>
            <w:tcW w:w="784" w:type="dxa"/>
          </w:tcPr>
          <w:p>
            <w:pPr>
              <w:pStyle w:val="TableParagraph"/>
              <w:spacing w:before="124"/>
              <w:ind w:left="250"/>
              <w:rPr>
                <w:sz w:val="16"/>
              </w:rPr>
            </w:pPr>
            <w:r>
              <w:rPr>
                <w:sz w:val="16"/>
              </w:rPr>
              <w:t>48.4</w:t>
            </w:r>
          </w:p>
        </w:tc>
        <w:tc>
          <w:tcPr>
            <w:tcW w:w="782" w:type="dxa"/>
          </w:tcPr>
          <w:p>
            <w:pPr>
              <w:pStyle w:val="TableParagraph"/>
              <w:spacing w:before="124"/>
              <w:ind w:left="192" w:right="178"/>
              <w:jc w:val="center"/>
              <w:rPr>
                <w:sz w:val="16"/>
              </w:rPr>
            </w:pPr>
            <w:r>
              <w:rPr>
                <w:sz w:val="16"/>
              </w:rPr>
              <w:t>62.7</w:t>
            </w:r>
          </w:p>
        </w:tc>
        <w:tc>
          <w:tcPr>
            <w:tcW w:w="604" w:type="dxa"/>
          </w:tcPr>
          <w:p>
            <w:pPr>
              <w:pStyle w:val="TableParagraph"/>
              <w:spacing w:before="124"/>
              <w:ind w:left="14"/>
              <w:jc w:val="center"/>
              <w:rPr>
                <w:sz w:val="16"/>
              </w:rPr>
            </w:pPr>
            <w:r>
              <w:rPr>
                <w:w w:val="100"/>
                <w:sz w:val="16"/>
              </w:rPr>
              <w:t>2</w:t>
            </w:r>
          </w:p>
        </w:tc>
        <w:tc>
          <w:tcPr>
            <w:tcW w:w="1173" w:type="dxa"/>
          </w:tcPr>
          <w:p>
            <w:pPr>
              <w:pStyle w:val="TableParagraph"/>
              <w:spacing w:before="124"/>
              <w:ind w:left="165" w:right="155"/>
              <w:jc w:val="center"/>
              <w:rPr>
                <w:sz w:val="16"/>
              </w:rPr>
            </w:pPr>
            <w:r>
              <w:rPr>
                <w:sz w:val="16"/>
              </w:rPr>
              <w:t>3 – 130</w:t>
            </w:r>
          </w:p>
        </w:tc>
        <w:tc>
          <w:tcPr>
            <w:tcW w:w="559" w:type="dxa"/>
          </w:tcPr>
          <w:p>
            <w:pPr>
              <w:pStyle w:val="TableParagraph"/>
              <w:spacing w:before="124"/>
              <w:ind w:left="13"/>
              <w:jc w:val="center"/>
              <w:rPr>
                <w:sz w:val="16"/>
              </w:rPr>
            </w:pPr>
            <w:r>
              <w:rPr>
                <w:w w:val="100"/>
                <w:sz w:val="16"/>
              </w:rPr>
              <w:t>3</w:t>
            </w:r>
          </w:p>
        </w:tc>
        <w:tc>
          <w:tcPr>
            <w:tcW w:w="1389" w:type="dxa"/>
          </w:tcPr>
          <w:p>
            <w:pPr>
              <w:pStyle w:val="TableParagraph"/>
              <w:spacing w:before="124"/>
              <w:ind w:left="375"/>
              <w:rPr>
                <w:sz w:val="16"/>
              </w:rPr>
            </w:pPr>
            <w:r>
              <w:rPr>
                <w:sz w:val="16"/>
              </w:rPr>
              <w:t>53, 24, 71</w:t>
            </w:r>
          </w:p>
        </w:tc>
      </w:tr>
      <w:tr>
        <w:trPr>
          <w:trHeight w:val="273" w:hRule="atLeast"/>
        </w:trPr>
        <w:tc>
          <w:tcPr>
            <w:tcW w:w="3719" w:type="dxa"/>
            <w:gridSpan w:val="2"/>
          </w:tcPr>
          <w:p>
            <w:pPr>
              <w:pStyle w:val="TableParagraph"/>
              <w:spacing w:before="40"/>
              <w:ind w:left="107"/>
              <w:rPr>
                <w:b/>
                <w:sz w:val="16"/>
              </w:rPr>
            </w:pPr>
            <w:r>
              <w:rPr>
                <w:b/>
                <w:sz w:val="16"/>
              </w:rPr>
              <w:t>All “other” temperate forests</w:t>
            </w:r>
          </w:p>
        </w:tc>
        <w:tc>
          <w:tcPr>
            <w:tcW w:w="784" w:type="dxa"/>
          </w:tcPr>
          <w:p>
            <w:pPr>
              <w:pStyle w:val="TableParagraph"/>
              <w:spacing w:before="40"/>
              <w:ind w:left="250"/>
              <w:rPr>
                <w:b/>
                <w:sz w:val="16"/>
              </w:rPr>
            </w:pPr>
            <w:r>
              <w:rPr>
                <w:b/>
                <w:sz w:val="16"/>
              </w:rPr>
              <w:t>50.4</w:t>
            </w:r>
          </w:p>
        </w:tc>
        <w:tc>
          <w:tcPr>
            <w:tcW w:w="782" w:type="dxa"/>
          </w:tcPr>
          <w:p>
            <w:pPr>
              <w:pStyle w:val="TableParagraph"/>
              <w:spacing w:before="40"/>
              <w:ind w:left="191" w:right="178"/>
              <w:jc w:val="center"/>
              <w:rPr>
                <w:b/>
                <w:sz w:val="16"/>
              </w:rPr>
            </w:pPr>
            <w:r>
              <w:rPr>
                <w:b/>
                <w:sz w:val="16"/>
              </w:rPr>
              <w:t>53.7</w:t>
            </w:r>
          </w:p>
        </w:tc>
        <w:tc>
          <w:tcPr>
            <w:tcW w:w="604" w:type="dxa"/>
          </w:tcPr>
          <w:p>
            <w:pPr>
              <w:pStyle w:val="TableParagraph"/>
              <w:spacing w:before="40"/>
              <w:ind w:left="52" w:right="38"/>
              <w:jc w:val="center"/>
              <w:rPr>
                <w:b/>
                <w:sz w:val="16"/>
              </w:rPr>
            </w:pPr>
            <w:r>
              <w:rPr>
                <w:b/>
                <w:sz w:val="16"/>
              </w:rPr>
              <w:t>15</w:t>
            </w:r>
          </w:p>
        </w:tc>
        <w:tc>
          <w:tcPr>
            <w:tcW w:w="1173" w:type="dxa"/>
          </w:tcPr>
          <w:p>
            <w:pPr>
              <w:pStyle w:val="TableParagraph"/>
              <w:spacing w:before="40"/>
              <w:ind w:left="165" w:right="155"/>
              <w:jc w:val="center"/>
              <w:rPr>
                <w:b/>
                <w:sz w:val="16"/>
              </w:rPr>
            </w:pPr>
            <w:r>
              <w:rPr>
                <w:b/>
                <w:sz w:val="16"/>
              </w:rPr>
              <w:t>3 – 220</w:t>
            </w:r>
          </w:p>
        </w:tc>
        <w:tc>
          <w:tcPr>
            <w:tcW w:w="559" w:type="dxa"/>
          </w:tcPr>
          <w:p>
            <w:pPr>
              <w:pStyle w:val="TableParagraph"/>
              <w:spacing w:before="40"/>
              <w:ind w:left="41" w:right="27"/>
              <w:jc w:val="center"/>
              <w:rPr>
                <w:b/>
                <w:sz w:val="16"/>
              </w:rPr>
            </w:pPr>
            <w:r>
              <w:rPr>
                <w:b/>
                <w:sz w:val="16"/>
              </w:rPr>
              <w:t>18</w:t>
            </w:r>
          </w:p>
        </w:tc>
        <w:tc>
          <w:tcPr>
            <w:tcW w:w="1389" w:type="dxa"/>
          </w:tcPr>
          <w:p>
            <w:pPr>
              <w:pStyle w:val="TableParagraph"/>
              <w:spacing w:before="37"/>
              <w:ind w:left="477" w:right="462"/>
              <w:jc w:val="center"/>
              <w:rPr>
                <w:sz w:val="16"/>
              </w:rPr>
            </w:pPr>
            <w:r>
              <w:rPr>
                <w:sz w:val="16"/>
              </w:rPr>
              <w:t>43, 56</w:t>
            </w:r>
          </w:p>
        </w:tc>
      </w:tr>
      <w:tr>
        <w:trPr>
          <w:trHeight w:val="275" w:hRule="atLeast"/>
        </w:trPr>
        <w:tc>
          <w:tcPr>
            <w:tcW w:w="1610" w:type="dxa"/>
            <w:vMerge w:val="restart"/>
          </w:tcPr>
          <w:p>
            <w:pPr>
              <w:pStyle w:val="TableParagraph"/>
              <w:rPr>
                <w:sz w:val="18"/>
              </w:rPr>
            </w:pPr>
          </w:p>
          <w:p>
            <w:pPr>
              <w:pStyle w:val="TableParagraph"/>
              <w:rPr>
                <w:sz w:val="22"/>
              </w:rPr>
            </w:pPr>
          </w:p>
          <w:p>
            <w:pPr>
              <w:pStyle w:val="TableParagraph"/>
              <w:ind w:left="107"/>
              <w:rPr>
                <w:sz w:val="16"/>
              </w:rPr>
            </w:pPr>
            <w:r>
              <w:rPr>
                <w:sz w:val="16"/>
              </w:rPr>
              <w:t>Shrublands</w:t>
            </w:r>
          </w:p>
        </w:tc>
        <w:tc>
          <w:tcPr>
            <w:tcW w:w="2109" w:type="dxa"/>
          </w:tcPr>
          <w:p>
            <w:pPr>
              <w:pStyle w:val="TableParagraph"/>
              <w:spacing w:before="37"/>
              <w:ind w:left="108"/>
              <w:rPr>
                <w:sz w:val="16"/>
              </w:rPr>
            </w:pPr>
            <w:r>
              <w:rPr>
                <w:sz w:val="16"/>
              </w:rPr>
              <w:t>Shrubland (general)</w:t>
            </w:r>
          </w:p>
        </w:tc>
        <w:tc>
          <w:tcPr>
            <w:tcW w:w="784" w:type="dxa"/>
          </w:tcPr>
          <w:p>
            <w:pPr>
              <w:pStyle w:val="TableParagraph"/>
              <w:spacing w:before="37"/>
              <w:ind w:left="251"/>
              <w:rPr>
                <w:sz w:val="16"/>
              </w:rPr>
            </w:pPr>
            <w:r>
              <w:rPr>
                <w:sz w:val="16"/>
              </w:rPr>
              <w:t>26.7</w:t>
            </w:r>
          </w:p>
        </w:tc>
        <w:tc>
          <w:tcPr>
            <w:tcW w:w="782" w:type="dxa"/>
          </w:tcPr>
          <w:p>
            <w:pPr>
              <w:pStyle w:val="TableParagraph"/>
              <w:spacing w:before="37"/>
              <w:ind w:left="192" w:right="178"/>
              <w:jc w:val="center"/>
              <w:rPr>
                <w:sz w:val="16"/>
              </w:rPr>
            </w:pPr>
            <w:r>
              <w:rPr>
                <w:sz w:val="16"/>
              </w:rPr>
              <w:t>4.2</w:t>
            </w:r>
          </w:p>
        </w:tc>
        <w:tc>
          <w:tcPr>
            <w:tcW w:w="604" w:type="dxa"/>
          </w:tcPr>
          <w:p>
            <w:pPr>
              <w:pStyle w:val="TableParagraph"/>
              <w:spacing w:before="37"/>
              <w:ind w:left="14"/>
              <w:jc w:val="center"/>
              <w:rPr>
                <w:sz w:val="16"/>
              </w:rPr>
            </w:pPr>
            <w:r>
              <w:rPr>
                <w:w w:val="100"/>
                <w:sz w:val="16"/>
              </w:rPr>
              <w:t>3</w:t>
            </w:r>
          </w:p>
        </w:tc>
        <w:tc>
          <w:tcPr>
            <w:tcW w:w="1173" w:type="dxa"/>
          </w:tcPr>
          <w:p>
            <w:pPr>
              <w:pStyle w:val="TableParagraph"/>
              <w:spacing w:before="37"/>
              <w:ind w:left="166" w:right="155"/>
              <w:jc w:val="center"/>
              <w:rPr>
                <w:sz w:val="16"/>
              </w:rPr>
            </w:pPr>
            <w:r>
              <w:rPr>
                <w:sz w:val="16"/>
              </w:rPr>
              <w:t>22 – 30</w:t>
            </w:r>
          </w:p>
        </w:tc>
        <w:tc>
          <w:tcPr>
            <w:tcW w:w="559" w:type="dxa"/>
          </w:tcPr>
          <w:p>
            <w:pPr>
              <w:pStyle w:val="TableParagraph"/>
              <w:spacing w:before="37"/>
              <w:ind w:left="14"/>
              <w:jc w:val="center"/>
              <w:rPr>
                <w:sz w:val="16"/>
              </w:rPr>
            </w:pPr>
            <w:r>
              <w:rPr>
                <w:w w:val="100"/>
                <w:sz w:val="16"/>
              </w:rPr>
              <w:t>3</w:t>
            </w:r>
          </w:p>
        </w:tc>
        <w:tc>
          <w:tcPr>
            <w:tcW w:w="1389" w:type="dxa"/>
          </w:tcPr>
          <w:p>
            <w:pPr>
              <w:pStyle w:val="TableParagraph"/>
              <w:spacing w:before="37"/>
              <w:ind w:left="477" w:right="462"/>
              <w:jc w:val="center"/>
              <w:rPr>
                <w:sz w:val="16"/>
              </w:rPr>
            </w:pPr>
            <w:r>
              <w:rPr>
                <w:sz w:val="16"/>
              </w:rPr>
              <w:t>43</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i/>
                <w:sz w:val="16"/>
              </w:rPr>
              <w:t>Calluna </w:t>
            </w:r>
            <w:r>
              <w:rPr>
                <w:sz w:val="16"/>
              </w:rPr>
              <w:t>heath</w:t>
            </w:r>
          </w:p>
        </w:tc>
        <w:tc>
          <w:tcPr>
            <w:tcW w:w="784" w:type="dxa"/>
          </w:tcPr>
          <w:p>
            <w:pPr>
              <w:pStyle w:val="TableParagraph"/>
              <w:spacing w:before="37"/>
              <w:ind w:left="250"/>
              <w:rPr>
                <w:sz w:val="16"/>
              </w:rPr>
            </w:pPr>
            <w:r>
              <w:rPr>
                <w:sz w:val="16"/>
              </w:rPr>
              <w:t>11.5</w:t>
            </w:r>
          </w:p>
        </w:tc>
        <w:tc>
          <w:tcPr>
            <w:tcW w:w="782" w:type="dxa"/>
          </w:tcPr>
          <w:p>
            <w:pPr>
              <w:pStyle w:val="TableParagraph"/>
              <w:spacing w:before="37"/>
              <w:ind w:left="191" w:right="178"/>
              <w:jc w:val="center"/>
              <w:rPr>
                <w:sz w:val="16"/>
              </w:rPr>
            </w:pPr>
            <w:r>
              <w:rPr>
                <w:sz w:val="16"/>
              </w:rPr>
              <w:t>4.3</w:t>
            </w:r>
          </w:p>
        </w:tc>
        <w:tc>
          <w:tcPr>
            <w:tcW w:w="604" w:type="dxa"/>
          </w:tcPr>
          <w:p>
            <w:pPr>
              <w:pStyle w:val="TableParagraph"/>
              <w:spacing w:before="37"/>
              <w:ind w:left="14"/>
              <w:jc w:val="center"/>
              <w:rPr>
                <w:sz w:val="16"/>
              </w:rPr>
            </w:pPr>
            <w:r>
              <w:rPr>
                <w:w w:val="100"/>
                <w:sz w:val="16"/>
              </w:rPr>
              <w:t>3</w:t>
            </w:r>
          </w:p>
        </w:tc>
        <w:tc>
          <w:tcPr>
            <w:tcW w:w="1173" w:type="dxa"/>
          </w:tcPr>
          <w:p>
            <w:pPr>
              <w:pStyle w:val="TableParagraph"/>
              <w:spacing w:before="37"/>
              <w:ind w:left="168" w:right="154"/>
              <w:jc w:val="center"/>
              <w:rPr>
                <w:sz w:val="16"/>
              </w:rPr>
            </w:pPr>
            <w:r>
              <w:rPr>
                <w:sz w:val="16"/>
              </w:rPr>
              <w:t>6.5 – 21</w:t>
            </w:r>
          </w:p>
        </w:tc>
        <w:tc>
          <w:tcPr>
            <w:tcW w:w="559" w:type="dxa"/>
          </w:tcPr>
          <w:p>
            <w:pPr>
              <w:pStyle w:val="TableParagraph"/>
              <w:spacing w:before="37"/>
              <w:ind w:left="13"/>
              <w:jc w:val="center"/>
              <w:rPr>
                <w:sz w:val="16"/>
              </w:rPr>
            </w:pPr>
            <w:r>
              <w:rPr>
                <w:w w:val="100"/>
                <w:sz w:val="16"/>
              </w:rPr>
              <w:t>3</w:t>
            </w:r>
          </w:p>
        </w:tc>
        <w:tc>
          <w:tcPr>
            <w:tcW w:w="1389" w:type="dxa"/>
          </w:tcPr>
          <w:p>
            <w:pPr>
              <w:pStyle w:val="TableParagraph"/>
              <w:spacing w:before="37"/>
              <w:ind w:left="111"/>
              <w:rPr>
                <w:sz w:val="16"/>
              </w:rPr>
            </w:pPr>
            <w:r>
              <w:rPr>
                <w:sz w:val="16"/>
              </w:rPr>
              <w:t>26, 39</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Sagebrush</w:t>
            </w:r>
          </w:p>
        </w:tc>
        <w:tc>
          <w:tcPr>
            <w:tcW w:w="784" w:type="dxa"/>
          </w:tcPr>
          <w:p>
            <w:pPr>
              <w:pStyle w:val="TableParagraph"/>
              <w:spacing w:before="37"/>
              <w:ind w:left="291"/>
              <w:rPr>
                <w:sz w:val="16"/>
              </w:rPr>
            </w:pPr>
            <w:r>
              <w:rPr>
                <w:sz w:val="16"/>
              </w:rPr>
              <w:t>5.7</w:t>
            </w:r>
          </w:p>
        </w:tc>
        <w:tc>
          <w:tcPr>
            <w:tcW w:w="782" w:type="dxa"/>
          </w:tcPr>
          <w:p>
            <w:pPr>
              <w:pStyle w:val="TableParagraph"/>
              <w:spacing w:before="37"/>
              <w:ind w:left="190" w:right="178"/>
              <w:jc w:val="center"/>
              <w:rPr>
                <w:sz w:val="16"/>
              </w:rPr>
            </w:pPr>
            <w:r>
              <w:rPr>
                <w:sz w:val="16"/>
              </w:rPr>
              <w:t>3.8</w:t>
            </w:r>
          </w:p>
        </w:tc>
        <w:tc>
          <w:tcPr>
            <w:tcW w:w="604" w:type="dxa"/>
          </w:tcPr>
          <w:p>
            <w:pPr>
              <w:pStyle w:val="TableParagraph"/>
              <w:spacing w:before="37"/>
              <w:ind w:left="13"/>
              <w:jc w:val="center"/>
              <w:rPr>
                <w:sz w:val="16"/>
              </w:rPr>
            </w:pPr>
            <w:r>
              <w:rPr>
                <w:w w:val="100"/>
                <w:sz w:val="16"/>
              </w:rPr>
              <w:t>3</w:t>
            </w:r>
          </w:p>
        </w:tc>
        <w:tc>
          <w:tcPr>
            <w:tcW w:w="1173" w:type="dxa"/>
          </w:tcPr>
          <w:p>
            <w:pPr>
              <w:pStyle w:val="TableParagraph"/>
              <w:spacing w:before="37"/>
              <w:ind w:left="168" w:right="155"/>
              <w:jc w:val="center"/>
              <w:rPr>
                <w:sz w:val="16"/>
              </w:rPr>
            </w:pPr>
            <w:r>
              <w:rPr>
                <w:sz w:val="16"/>
              </w:rPr>
              <w:t>1.1 – 18</w:t>
            </w:r>
          </w:p>
        </w:tc>
        <w:tc>
          <w:tcPr>
            <w:tcW w:w="559" w:type="dxa"/>
          </w:tcPr>
          <w:p>
            <w:pPr>
              <w:pStyle w:val="TableParagraph"/>
              <w:spacing w:before="37"/>
              <w:ind w:left="13"/>
              <w:jc w:val="center"/>
              <w:rPr>
                <w:sz w:val="16"/>
              </w:rPr>
            </w:pPr>
            <w:r>
              <w:rPr>
                <w:w w:val="100"/>
                <w:sz w:val="16"/>
              </w:rPr>
              <w:t>4</w:t>
            </w:r>
          </w:p>
        </w:tc>
        <w:tc>
          <w:tcPr>
            <w:tcW w:w="1389" w:type="dxa"/>
          </w:tcPr>
          <w:p>
            <w:pPr>
              <w:pStyle w:val="TableParagraph"/>
              <w:spacing w:before="37"/>
              <w:ind w:left="111"/>
              <w:rPr>
                <w:sz w:val="16"/>
              </w:rPr>
            </w:pPr>
            <w:r>
              <w:rPr>
                <w:sz w:val="16"/>
              </w:rPr>
              <w:t>66</w:t>
            </w:r>
          </w:p>
        </w:tc>
      </w:tr>
      <w:tr>
        <w:trPr>
          <w:trHeight w:val="275"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Fynbos</w:t>
            </w:r>
          </w:p>
        </w:tc>
        <w:tc>
          <w:tcPr>
            <w:tcW w:w="784" w:type="dxa"/>
          </w:tcPr>
          <w:p>
            <w:pPr>
              <w:pStyle w:val="TableParagraph"/>
              <w:spacing w:before="37"/>
              <w:ind w:left="250"/>
              <w:rPr>
                <w:sz w:val="16"/>
              </w:rPr>
            </w:pPr>
            <w:r>
              <w:rPr>
                <w:sz w:val="16"/>
              </w:rPr>
              <w:t>12.9</w:t>
            </w:r>
          </w:p>
        </w:tc>
        <w:tc>
          <w:tcPr>
            <w:tcW w:w="782" w:type="dxa"/>
          </w:tcPr>
          <w:p>
            <w:pPr>
              <w:pStyle w:val="TableParagraph"/>
              <w:spacing w:before="37"/>
              <w:ind w:left="190" w:right="178"/>
              <w:jc w:val="center"/>
              <w:rPr>
                <w:sz w:val="16"/>
              </w:rPr>
            </w:pPr>
            <w:r>
              <w:rPr>
                <w:sz w:val="16"/>
              </w:rPr>
              <w:t>0.1</w:t>
            </w:r>
          </w:p>
        </w:tc>
        <w:tc>
          <w:tcPr>
            <w:tcW w:w="604" w:type="dxa"/>
          </w:tcPr>
          <w:p>
            <w:pPr>
              <w:pStyle w:val="TableParagraph"/>
              <w:spacing w:before="37"/>
              <w:ind w:left="13"/>
              <w:jc w:val="center"/>
              <w:rPr>
                <w:sz w:val="16"/>
              </w:rPr>
            </w:pPr>
            <w:r>
              <w:rPr>
                <w:w w:val="100"/>
                <w:sz w:val="16"/>
              </w:rPr>
              <w:t>2</w:t>
            </w:r>
          </w:p>
        </w:tc>
        <w:tc>
          <w:tcPr>
            <w:tcW w:w="1173" w:type="dxa"/>
          </w:tcPr>
          <w:p>
            <w:pPr>
              <w:pStyle w:val="TableParagraph"/>
              <w:spacing w:before="37"/>
              <w:ind w:left="168" w:right="155"/>
              <w:jc w:val="center"/>
              <w:rPr>
                <w:sz w:val="16"/>
              </w:rPr>
            </w:pPr>
            <w:r>
              <w:rPr>
                <w:sz w:val="16"/>
              </w:rPr>
              <w:t>5.9 – 23</w:t>
            </w:r>
          </w:p>
        </w:tc>
        <w:tc>
          <w:tcPr>
            <w:tcW w:w="559" w:type="dxa"/>
          </w:tcPr>
          <w:p>
            <w:pPr>
              <w:pStyle w:val="TableParagraph"/>
              <w:spacing w:before="37"/>
              <w:ind w:left="12"/>
              <w:jc w:val="center"/>
              <w:rPr>
                <w:sz w:val="16"/>
              </w:rPr>
            </w:pPr>
            <w:r>
              <w:rPr>
                <w:w w:val="100"/>
                <w:sz w:val="16"/>
              </w:rPr>
              <w:t>2</w:t>
            </w:r>
          </w:p>
        </w:tc>
        <w:tc>
          <w:tcPr>
            <w:tcW w:w="1389" w:type="dxa"/>
          </w:tcPr>
          <w:p>
            <w:pPr>
              <w:pStyle w:val="TableParagraph"/>
              <w:spacing w:before="37"/>
              <w:ind w:left="111"/>
              <w:rPr>
                <w:sz w:val="16"/>
              </w:rPr>
            </w:pPr>
            <w:r>
              <w:rPr>
                <w:sz w:val="16"/>
              </w:rPr>
              <w:t>70, 66</w:t>
            </w:r>
          </w:p>
        </w:tc>
      </w:tr>
      <w:tr>
        <w:trPr>
          <w:trHeight w:val="273" w:hRule="atLeast"/>
        </w:trPr>
        <w:tc>
          <w:tcPr>
            <w:tcW w:w="3719" w:type="dxa"/>
            <w:gridSpan w:val="2"/>
          </w:tcPr>
          <w:p>
            <w:pPr>
              <w:pStyle w:val="TableParagraph"/>
              <w:spacing w:before="40"/>
              <w:ind w:left="107"/>
              <w:rPr>
                <w:b/>
                <w:sz w:val="16"/>
              </w:rPr>
            </w:pPr>
            <w:r>
              <w:rPr>
                <w:b/>
                <w:sz w:val="16"/>
              </w:rPr>
              <w:t>All Shrublands</w:t>
            </w:r>
          </w:p>
        </w:tc>
        <w:tc>
          <w:tcPr>
            <w:tcW w:w="784" w:type="dxa"/>
          </w:tcPr>
          <w:p>
            <w:pPr>
              <w:pStyle w:val="TableParagraph"/>
              <w:spacing w:before="40"/>
              <w:ind w:left="250"/>
              <w:rPr>
                <w:b/>
                <w:sz w:val="16"/>
              </w:rPr>
            </w:pPr>
            <w:r>
              <w:rPr>
                <w:b/>
                <w:sz w:val="16"/>
              </w:rPr>
              <w:t>14.3</w:t>
            </w:r>
          </w:p>
        </w:tc>
        <w:tc>
          <w:tcPr>
            <w:tcW w:w="782" w:type="dxa"/>
          </w:tcPr>
          <w:p>
            <w:pPr>
              <w:pStyle w:val="TableParagraph"/>
              <w:spacing w:before="40"/>
              <w:ind w:left="191" w:right="178"/>
              <w:jc w:val="center"/>
              <w:rPr>
                <w:b/>
                <w:sz w:val="16"/>
              </w:rPr>
            </w:pPr>
            <w:r>
              <w:rPr>
                <w:b/>
                <w:sz w:val="16"/>
              </w:rPr>
              <w:t>9.0</w:t>
            </w:r>
          </w:p>
        </w:tc>
        <w:tc>
          <w:tcPr>
            <w:tcW w:w="604" w:type="dxa"/>
          </w:tcPr>
          <w:p>
            <w:pPr>
              <w:pStyle w:val="TableParagraph"/>
              <w:spacing w:before="40"/>
              <w:ind w:left="53" w:right="38"/>
              <w:jc w:val="center"/>
              <w:rPr>
                <w:b/>
                <w:sz w:val="16"/>
              </w:rPr>
            </w:pPr>
            <w:r>
              <w:rPr>
                <w:b/>
                <w:sz w:val="16"/>
              </w:rPr>
              <w:t>11</w:t>
            </w:r>
          </w:p>
        </w:tc>
        <w:tc>
          <w:tcPr>
            <w:tcW w:w="1173" w:type="dxa"/>
          </w:tcPr>
          <w:p>
            <w:pPr>
              <w:pStyle w:val="TableParagraph"/>
              <w:spacing w:before="40"/>
              <w:ind w:left="168" w:right="154"/>
              <w:jc w:val="center"/>
              <w:rPr>
                <w:b/>
                <w:sz w:val="16"/>
              </w:rPr>
            </w:pPr>
            <w:r>
              <w:rPr>
                <w:b/>
                <w:sz w:val="16"/>
              </w:rPr>
              <w:t>1.1 – 30</w:t>
            </w:r>
          </w:p>
        </w:tc>
        <w:tc>
          <w:tcPr>
            <w:tcW w:w="559" w:type="dxa"/>
          </w:tcPr>
          <w:p>
            <w:pPr>
              <w:pStyle w:val="TableParagraph"/>
              <w:spacing w:before="40"/>
              <w:ind w:left="41" w:right="27"/>
              <w:jc w:val="center"/>
              <w:rPr>
                <w:b/>
                <w:sz w:val="16"/>
              </w:rPr>
            </w:pPr>
            <w:r>
              <w:rPr>
                <w:b/>
                <w:sz w:val="16"/>
              </w:rPr>
              <w:t>12</w:t>
            </w:r>
          </w:p>
        </w:tc>
        <w:tc>
          <w:tcPr>
            <w:tcW w:w="1389" w:type="dxa"/>
          </w:tcPr>
          <w:p>
            <w:pPr>
              <w:pStyle w:val="TableParagraph"/>
              <w:rPr>
                <w:sz w:val="16"/>
              </w:rPr>
            </w:pPr>
          </w:p>
        </w:tc>
      </w:tr>
      <w:tr>
        <w:trPr>
          <w:trHeight w:val="330" w:hRule="atLeast"/>
        </w:trPr>
        <w:tc>
          <w:tcPr>
            <w:tcW w:w="1610" w:type="dxa"/>
            <w:vMerge w:val="restart"/>
          </w:tcPr>
          <w:p>
            <w:pPr>
              <w:pStyle w:val="TableParagraph"/>
              <w:spacing w:before="47"/>
              <w:ind w:left="107" w:right="162"/>
              <w:rPr>
                <w:sz w:val="16"/>
              </w:rPr>
            </w:pPr>
            <w:r>
              <w:rPr>
                <w:sz w:val="16"/>
              </w:rPr>
              <w:t>Savanna Woodlands (early dry season burns)*</w:t>
            </w:r>
          </w:p>
        </w:tc>
        <w:tc>
          <w:tcPr>
            <w:tcW w:w="2109" w:type="dxa"/>
          </w:tcPr>
          <w:p>
            <w:pPr>
              <w:pStyle w:val="TableParagraph"/>
              <w:spacing w:before="66"/>
              <w:ind w:left="108"/>
              <w:rPr>
                <w:sz w:val="16"/>
              </w:rPr>
            </w:pPr>
            <w:r>
              <w:rPr>
                <w:sz w:val="16"/>
              </w:rPr>
              <w:t>Savanna woodland</w:t>
            </w:r>
            <w:r>
              <w:rPr>
                <w:sz w:val="16"/>
                <w:vertAlign w:val="superscript"/>
              </w:rPr>
              <w:t>@</w:t>
            </w:r>
          </w:p>
        </w:tc>
        <w:tc>
          <w:tcPr>
            <w:tcW w:w="784" w:type="dxa"/>
          </w:tcPr>
          <w:p>
            <w:pPr>
              <w:pStyle w:val="TableParagraph"/>
              <w:spacing w:before="66"/>
              <w:ind w:left="291"/>
              <w:rPr>
                <w:sz w:val="16"/>
              </w:rPr>
            </w:pPr>
            <w:r>
              <w:rPr>
                <w:sz w:val="16"/>
              </w:rPr>
              <w:t>2.5</w:t>
            </w:r>
          </w:p>
        </w:tc>
        <w:tc>
          <w:tcPr>
            <w:tcW w:w="782" w:type="dxa"/>
          </w:tcPr>
          <w:p>
            <w:pPr>
              <w:pStyle w:val="TableParagraph"/>
              <w:spacing w:before="66"/>
              <w:ind w:left="14"/>
              <w:jc w:val="center"/>
              <w:rPr>
                <w:sz w:val="16"/>
              </w:rPr>
            </w:pPr>
            <w:r>
              <w:rPr>
                <w:w w:val="100"/>
                <w:sz w:val="16"/>
              </w:rPr>
              <w:t>-</w:t>
            </w:r>
          </w:p>
        </w:tc>
        <w:tc>
          <w:tcPr>
            <w:tcW w:w="604" w:type="dxa"/>
          </w:tcPr>
          <w:p>
            <w:pPr>
              <w:pStyle w:val="TableParagraph"/>
              <w:spacing w:before="66"/>
              <w:ind w:left="13"/>
              <w:jc w:val="center"/>
              <w:rPr>
                <w:sz w:val="16"/>
              </w:rPr>
            </w:pPr>
            <w:r>
              <w:rPr>
                <w:w w:val="100"/>
                <w:sz w:val="16"/>
              </w:rPr>
              <w:t>1</w:t>
            </w:r>
          </w:p>
        </w:tc>
        <w:tc>
          <w:tcPr>
            <w:tcW w:w="1173" w:type="dxa"/>
          </w:tcPr>
          <w:p>
            <w:pPr>
              <w:pStyle w:val="TableParagraph"/>
              <w:spacing w:before="66"/>
              <w:ind w:left="167" w:right="155"/>
              <w:jc w:val="center"/>
              <w:rPr>
                <w:sz w:val="16"/>
              </w:rPr>
            </w:pPr>
            <w:r>
              <w:rPr>
                <w:sz w:val="16"/>
              </w:rPr>
              <w:t>0.1 – 5.3</w:t>
            </w:r>
          </w:p>
        </w:tc>
        <w:tc>
          <w:tcPr>
            <w:tcW w:w="559" w:type="dxa"/>
          </w:tcPr>
          <w:p>
            <w:pPr>
              <w:pStyle w:val="TableParagraph"/>
              <w:spacing w:before="66"/>
              <w:ind w:left="13"/>
              <w:jc w:val="center"/>
              <w:rPr>
                <w:sz w:val="16"/>
              </w:rPr>
            </w:pPr>
            <w:r>
              <w:rPr>
                <w:w w:val="100"/>
                <w:sz w:val="16"/>
              </w:rPr>
              <w:t>1</w:t>
            </w:r>
          </w:p>
        </w:tc>
        <w:tc>
          <w:tcPr>
            <w:tcW w:w="1389" w:type="dxa"/>
          </w:tcPr>
          <w:p>
            <w:pPr>
              <w:pStyle w:val="TableParagraph"/>
              <w:spacing w:before="66"/>
              <w:ind w:left="477" w:right="462"/>
              <w:jc w:val="center"/>
              <w:rPr>
                <w:sz w:val="16"/>
              </w:rPr>
            </w:pPr>
            <w:r>
              <w:rPr>
                <w:sz w:val="16"/>
              </w:rPr>
              <w:t>28</w:t>
            </w:r>
          </w:p>
        </w:tc>
      </w:tr>
      <w:tr>
        <w:trPr>
          <w:trHeight w:val="328" w:hRule="atLeast"/>
        </w:trPr>
        <w:tc>
          <w:tcPr>
            <w:tcW w:w="1610" w:type="dxa"/>
            <w:vMerge/>
            <w:tcBorders>
              <w:top w:val="nil"/>
            </w:tcBorders>
          </w:tcPr>
          <w:p>
            <w:pPr>
              <w:rPr>
                <w:sz w:val="2"/>
                <w:szCs w:val="2"/>
              </w:rPr>
            </w:pPr>
          </w:p>
        </w:tc>
        <w:tc>
          <w:tcPr>
            <w:tcW w:w="2109" w:type="dxa"/>
          </w:tcPr>
          <w:p>
            <w:pPr>
              <w:pStyle w:val="TableParagraph"/>
              <w:spacing w:before="66"/>
              <w:ind w:left="108"/>
              <w:rPr>
                <w:sz w:val="16"/>
              </w:rPr>
            </w:pPr>
            <w:r>
              <w:rPr>
                <w:sz w:val="16"/>
              </w:rPr>
              <w:t>Savanna parkland</w:t>
            </w:r>
          </w:p>
        </w:tc>
        <w:tc>
          <w:tcPr>
            <w:tcW w:w="784" w:type="dxa"/>
          </w:tcPr>
          <w:p>
            <w:pPr>
              <w:pStyle w:val="TableParagraph"/>
              <w:spacing w:before="66"/>
              <w:ind w:left="291"/>
              <w:rPr>
                <w:sz w:val="16"/>
              </w:rPr>
            </w:pPr>
            <w:r>
              <w:rPr>
                <w:sz w:val="16"/>
              </w:rPr>
              <w:t>2.7</w:t>
            </w:r>
          </w:p>
        </w:tc>
        <w:tc>
          <w:tcPr>
            <w:tcW w:w="782" w:type="dxa"/>
          </w:tcPr>
          <w:p>
            <w:pPr>
              <w:pStyle w:val="TableParagraph"/>
              <w:spacing w:before="66"/>
              <w:ind w:left="15"/>
              <w:jc w:val="center"/>
              <w:rPr>
                <w:sz w:val="16"/>
              </w:rPr>
            </w:pPr>
            <w:r>
              <w:rPr>
                <w:w w:val="100"/>
                <w:sz w:val="16"/>
              </w:rPr>
              <w:t>-</w:t>
            </w:r>
          </w:p>
        </w:tc>
        <w:tc>
          <w:tcPr>
            <w:tcW w:w="604" w:type="dxa"/>
          </w:tcPr>
          <w:p>
            <w:pPr>
              <w:pStyle w:val="TableParagraph"/>
              <w:spacing w:before="66"/>
              <w:ind w:left="14"/>
              <w:jc w:val="center"/>
              <w:rPr>
                <w:sz w:val="16"/>
              </w:rPr>
            </w:pPr>
            <w:r>
              <w:rPr>
                <w:w w:val="100"/>
                <w:sz w:val="16"/>
              </w:rPr>
              <w:t>1</w:t>
            </w:r>
          </w:p>
        </w:tc>
        <w:tc>
          <w:tcPr>
            <w:tcW w:w="1173" w:type="dxa"/>
          </w:tcPr>
          <w:p>
            <w:pPr>
              <w:pStyle w:val="TableParagraph"/>
              <w:spacing w:before="66"/>
              <w:ind w:left="168" w:right="155"/>
              <w:jc w:val="center"/>
              <w:rPr>
                <w:sz w:val="16"/>
              </w:rPr>
            </w:pPr>
            <w:r>
              <w:rPr>
                <w:sz w:val="16"/>
              </w:rPr>
              <w:t>1.4 – 3.9</w:t>
            </w:r>
          </w:p>
        </w:tc>
        <w:tc>
          <w:tcPr>
            <w:tcW w:w="559" w:type="dxa"/>
          </w:tcPr>
          <w:p>
            <w:pPr>
              <w:pStyle w:val="TableParagraph"/>
              <w:spacing w:before="66"/>
              <w:ind w:left="13"/>
              <w:jc w:val="center"/>
              <w:rPr>
                <w:sz w:val="16"/>
              </w:rPr>
            </w:pPr>
            <w:r>
              <w:rPr>
                <w:w w:val="100"/>
                <w:sz w:val="16"/>
              </w:rPr>
              <w:t>1</w:t>
            </w:r>
          </w:p>
        </w:tc>
        <w:tc>
          <w:tcPr>
            <w:tcW w:w="1389" w:type="dxa"/>
          </w:tcPr>
          <w:p>
            <w:pPr>
              <w:pStyle w:val="TableParagraph"/>
              <w:spacing w:before="66"/>
              <w:ind w:left="111"/>
              <w:rPr>
                <w:sz w:val="16"/>
              </w:rPr>
            </w:pPr>
            <w:r>
              <w:rPr>
                <w:sz w:val="16"/>
              </w:rPr>
              <w:t>57</w:t>
            </w:r>
          </w:p>
        </w:tc>
      </w:tr>
      <w:tr>
        <w:trPr>
          <w:trHeight w:val="275" w:hRule="atLeast"/>
        </w:trPr>
        <w:tc>
          <w:tcPr>
            <w:tcW w:w="3719" w:type="dxa"/>
            <w:gridSpan w:val="2"/>
          </w:tcPr>
          <w:p>
            <w:pPr>
              <w:pStyle w:val="TableParagraph"/>
              <w:spacing w:before="37"/>
              <w:ind w:left="107"/>
              <w:rPr>
                <w:sz w:val="16"/>
              </w:rPr>
            </w:pPr>
            <w:r>
              <w:rPr>
                <w:b/>
                <w:sz w:val="16"/>
              </w:rPr>
              <w:t>All savanna woodlands </w:t>
            </w:r>
            <w:r>
              <w:rPr>
                <w:sz w:val="16"/>
              </w:rPr>
              <w:t>(early dry season burns)</w:t>
            </w:r>
          </w:p>
        </w:tc>
        <w:tc>
          <w:tcPr>
            <w:tcW w:w="784" w:type="dxa"/>
          </w:tcPr>
          <w:p>
            <w:pPr>
              <w:pStyle w:val="TableParagraph"/>
              <w:spacing w:before="40"/>
              <w:ind w:left="291"/>
              <w:rPr>
                <w:b/>
                <w:sz w:val="16"/>
              </w:rPr>
            </w:pPr>
            <w:r>
              <w:rPr>
                <w:b/>
                <w:sz w:val="16"/>
              </w:rPr>
              <w:t>2.6</w:t>
            </w:r>
          </w:p>
        </w:tc>
        <w:tc>
          <w:tcPr>
            <w:tcW w:w="782" w:type="dxa"/>
          </w:tcPr>
          <w:p>
            <w:pPr>
              <w:pStyle w:val="TableParagraph"/>
              <w:spacing w:before="40"/>
              <w:ind w:left="190" w:right="178"/>
              <w:jc w:val="center"/>
              <w:rPr>
                <w:b/>
                <w:sz w:val="16"/>
              </w:rPr>
            </w:pPr>
            <w:r>
              <w:rPr>
                <w:b/>
                <w:sz w:val="16"/>
              </w:rPr>
              <w:t>0.1</w:t>
            </w:r>
          </w:p>
        </w:tc>
        <w:tc>
          <w:tcPr>
            <w:tcW w:w="604" w:type="dxa"/>
          </w:tcPr>
          <w:p>
            <w:pPr>
              <w:pStyle w:val="TableParagraph"/>
              <w:spacing w:before="40"/>
              <w:ind w:left="13"/>
              <w:jc w:val="center"/>
              <w:rPr>
                <w:b/>
                <w:sz w:val="16"/>
              </w:rPr>
            </w:pPr>
            <w:r>
              <w:rPr>
                <w:b/>
                <w:w w:val="100"/>
                <w:sz w:val="16"/>
              </w:rPr>
              <w:t>2</w:t>
            </w:r>
          </w:p>
        </w:tc>
        <w:tc>
          <w:tcPr>
            <w:tcW w:w="1173" w:type="dxa"/>
          </w:tcPr>
          <w:p>
            <w:pPr>
              <w:pStyle w:val="TableParagraph"/>
              <w:spacing w:before="40"/>
              <w:ind w:left="167" w:right="155"/>
              <w:jc w:val="center"/>
              <w:rPr>
                <w:b/>
                <w:sz w:val="16"/>
              </w:rPr>
            </w:pPr>
            <w:r>
              <w:rPr>
                <w:b/>
                <w:sz w:val="16"/>
              </w:rPr>
              <w:t>0.07 – 3.9</w:t>
            </w:r>
          </w:p>
        </w:tc>
        <w:tc>
          <w:tcPr>
            <w:tcW w:w="559" w:type="dxa"/>
          </w:tcPr>
          <w:p>
            <w:pPr>
              <w:pStyle w:val="TableParagraph"/>
              <w:spacing w:before="40"/>
              <w:ind w:left="12"/>
              <w:jc w:val="center"/>
              <w:rPr>
                <w:b/>
                <w:sz w:val="16"/>
              </w:rPr>
            </w:pPr>
            <w:r>
              <w:rPr>
                <w:b/>
                <w:w w:val="100"/>
                <w:sz w:val="16"/>
              </w:rPr>
              <w:t>2</w:t>
            </w:r>
          </w:p>
        </w:tc>
        <w:tc>
          <w:tcPr>
            <w:tcW w:w="1389" w:type="dxa"/>
          </w:tcPr>
          <w:p>
            <w:pPr>
              <w:pStyle w:val="TableParagraph"/>
              <w:rPr>
                <w:sz w:val="16"/>
              </w:rPr>
            </w:pPr>
          </w:p>
        </w:tc>
      </w:tr>
      <w:tr>
        <w:trPr>
          <w:trHeight w:val="273" w:hRule="atLeast"/>
        </w:trPr>
        <w:tc>
          <w:tcPr>
            <w:tcW w:w="1610" w:type="dxa"/>
            <w:vMerge w:val="restart"/>
          </w:tcPr>
          <w:p>
            <w:pPr>
              <w:pStyle w:val="TableParagraph"/>
              <w:spacing w:before="10"/>
              <w:rPr>
                <w:sz w:val="23"/>
              </w:rPr>
            </w:pPr>
          </w:p>
          <w:p>
            <w:pPr>
              <w:pStyle w:val="TableParagraph"/>
              <w:ind w:left="107" w:right="177"/>
              <w:jc w:val="both"/>
              <w:rPr>
                <w:sz w:val="16"/>
              </w:rPr>
            </w:pPr>
            <w:r>
              <w:rPr>
                <w:sz w:val="16"/>
              </w:rPr>
              <w:t>Savanna Woodlands (mid/late dry season burns)*</w:t>
            </w:r>
          </w:p>
        </w:tc>
        <w:tc>
          <w:tcPr>
            <w:tcW w:w="2109" w:type="dxa"/>
          </w:tcPr>
          <w:p>
            <w:pPr>
              <w:pStyle w:val="TableParagraph"/>
              <w:spacing w:before="37"/>
              <w:ind w:left="108"/>
              <w:rPr>
                <w:sz w:val="16"/>
              </w:rPr>
            </w:pPr>
            <w:r>
              <w:rPr>
                <w:sz w:val="16"/>
              </w:rPr>
              <w:t>Savanna woodland </w:t>
            </w:r>
            <w:r>
              <w:rPr>
                <w:sz w:val="16"/>
                <w:vertAlign w:val="superscript"/>
              </w:rPr>
              <w:t>@</w:t>
            </w:r>
          </w:p>
        </w:tc>
        <w:tc>
          <w:tcPr>
            <w:tcW w:w="784" w:type="dxa"/>
          </w:tcPr>
          <w:p>
            <w:pPr>
              <w:pStyle w:val="TableParagraph"/>
              <w:spacing w:before="37"/>
              <w:ind w:left="291"/>
              <w:rPr>
                <w:sz w:val="16"/>
              </w:rPr>
            </w:pPr>
            <w:r>
              <w:rPr>
                <w:sz w:val="16"/>
              </w:rPr>
              <w:t>3.3</w:t>
            </w:r>
          </w:p>
        </w:tc>
        <w:tc>
          <w:tcPr>
            <w:tcW w:w="782" w:type="dxa"/>
          </w:tcPr>
          <w:p>
            <w:pPr>
              <w:pStyle w:val="TableParagraph"/>
              <w:spacing w:before="37"/>
              <w:ind w:left="14"/>
              <w:jc w:val="center"/>
              <w:rPr>
                <w:sz w:val="16"/>
              </w:rPr>
            </w:pPr>
            <w:r>
              <w:rPr>
                <w:w w:val="100"/>
                <w:sz w:val="16"/>
              </w:rPr>
              <w:t>-</w:t>
            </w:r>
          </w:p>
        </w:tc>
        <w:tc>
          <w:tcPr>
            <w:tcW w:w="604" w:type="dxa"/>
          </w:tcPr>
          <w:p>
            <w:pPr>
              <w:pStyle w:val="TableParagraph"/>
              <w:spacing w:before="37"/>
              <w:ind w:left="13"/>
              <w:jc w:val="center"/>
              <w:rPr>
                <w:sz w:val="16"/>
              </w:rPr>
            </w:pPr>
            <w:r>
              <w:rPr>
                <w:w w:val="100"/>
                <w:sz w:val="16"/>
              </w:rPr>
              <w:t>1</w:t>
            </w:r>
          </w:p>
        </w:tc>
        <w:tc>
          <w:tcPr>
            <w:tcW w:w="1173" w:type="dxa"/>
          </w:tcPr>
          <w:p>
            <w:pPr>
              <w:pStyle w:val="TableParagraph"/>
              <w:spacing w:before="37"/>
              <w:ind w:left="167" w:right="155"/>
              <w:jc w:val="center"/>
              <w:rPr>
                <w:sz w:val="16"/>
              </w:rPr>
            </w:pPr>
            <w:r>
              <w:rPr>
                <w:sz w:val="16"/>
              </w:rPr>
              <w:t>3.2 – 3.3</w:t>
            </w:r>
          </w:p>
        </w:tc>
        <w:tc>
          <w:tcPr>
            <w:tcW w:w="559" w:type="dxa"/>
          </w:tcPr>
          <w:p>
            <w:pPr>
              <w:pStyle w:val="TableParagraph"/>
              <w:spacing w:before="37"/>
              <w:ind w:left="13"/>
              <w:jc w:val="center"/>
              <w:rPr>
                <w:sz w:val="16"/>
              </w:rPr>
            </w:pPr>
            <w:r>
              <w:rPr>
                <w:w w:val="100"/>
                <w:sz w:val="16"/>
              </w:rPr>
              <w:t>1</w:t>
            </w:r>
          </w:p>
        </w:tc>
        <w:tc>
          <w:tcPr>
            <w:tcW w:w="1389" w:type="dxa"/>
          </w:tcPr>
          <w:p>
            <w:pPr>
              <w:pStyle w:val="TableParagraph"/>
              <w:spacing w:before="37"/>
              <w:ind w:left="477" w:right="462"/>
              <w:jc w:val="center"/>
              <w:rPr>
                <w:sz w:val="16"/>
              </w:rPr>
            </w:pPr>
            <w:r>
              <w:rPr>
                <w:sz w:val="16"/>
              </w:rPr>
              <w:t>57</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Savanna parkland</w:t>
            </w:r>
          </w:p>
        </w:tc>
        <w:tc>
          <w:tcPr>
            <w:tcW w:w="784" w:type="dxa"/>
          </w:tcPr>
          <w:p>
            <w:pPr>
              <w:pStyle w:val="TableParagraph"/>
              <w:spacing w:before="37"/>
              <w:ind w:left="291"/>
              <w:rPr>
                <w:sz w:val="16"/>
              </w:rPr>
            </w:pPr>
            <w:r>
              <w:rPr>
                <w:sz w:val="16"/>
              </w:rPr>
              <w:t>4.0</w:t>
            </w:r>
          </w:p>
        </w:tc>
        <w:tc>
          <w:tcPr>
            <w:tcW w:w="782" w:type="dxa"/>
          </w:tcPr>
          <w:p>
            <w:pPr>
              <w:pStyle w:val="TableParagraph"/>
              <w:spacing w:before="37"/>
              <w:ind w:left="190" w:right="178"/>
              <w:jc w:val="center"/>
              <w:rPr>
                <w:sz w:val="16"/>
              </w:rPr>
            </w:pPr>
            <w:r>
              <w:rPr>
                <w:sz w:val="16"/>
              </w:rPr>
              <w:t>1.1</w:t>
            </w:r>
          </w:p>
        </w:tc>
        <w:tc>
          <w:tcPr>
            <w:tcW w:w="604" w:type="dxa"/>
          </w:tcPr>
          <w:p>
            <w:pPr>
              <w:pStyle w:val="TableParagraph"/>
              <w:spacing w:before="37"/>
              <w:ind w:left="13"/>
              <w:jc w:val="center"/>
              <w:rPr>
                <w:sz w:val="16"/>
              </w:rPr>
            </w:pPr>
            <w:r>
              <w:rPr>
                <w:w w:val="100"/>
                <w:sz w:val="16"/>
              </w:rPr>
              <w:t>6</w:t>
            </w:r>
          </w:p>
        </w:tc>
        <w:tc>
          <w:tcPr>
            <w:tcW w:w="1173" w:type="dxa"/>
          </w:tcPr>
          <w:p>
            <w:pPr>
              <w:pStyle w:val="TableParagraph"/>
              <w:spacing w:before="37"/>
              <w:ind w:left="168" w:right="155"/>
              <w:jc w:val="center"/>
              <w:rPr>
                <w:sz w:val="16"/>
              </w:rPr>
            </w:pPr>
            <w:r>
              <w:rPr>
                <w:sz w:val="16"/>
              </w:rPr>
              <w:t>1 – 10.6</w:t>
            </w:r>
          </w:p>
        </w:tc>
        <w:tc>
          <w:tcPr>
            <w:tcW w:w="559" w:type="dxa"/>
          </w:tcPr>
          <w:p>
            <w:pPr>
              <w:pStyle w:val="TableParagraph"/>
              <w:spacing w:before="37"/>
              <w:ind w:left="13"/>
              <w:jc w:val="center"/>
              <w:rPr>
                <w:sz w:val="16"/>
              </w:rPr>
            </w:pPr>
            <w:r>
              <w:rPr>
                <w:w w:val="100"/>
                <w:sz w:val="16"/>
              </w:rPr>
              <w:t>6</w:t>
            </w:r>
          </w:p>
        </w:tc>
        <w:tc>
          <w:tcPr>
            <w:tcW w:w="1389" w:type="dxa"/>
          </w:tcPr>
          <w:p>
            <w:pPr>
              <w:pStyle w:val="TableParagraph"/>
              <w:spacing w:before="37"/>
              <w:ind w:left="111"/>
              <w:rPr>
                <w:sz w:val="16"/>
              </w:rPr>
            </w:pPr>
            <w:r>
              <w:rPr>
                <w:sz w:val="16"/>
              </w:rPr>
              <w:t>57, 6, 51</w:t>
            </w:r>
          </w:p>
        </w:tc>
      </w:tr>
      <w:tr>
        <w:trPr>
          <w:trHeight w:val="275"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Tropical savanna</w:t>
            </w:r>
            <w:r>
              <w:rPr>
                <w:sz w:val="16"/>
                <w:vertAlign w:val="superscript"/>
              </w:rPr>
              <w:t>#</w:t>
            </w:r>
          </w:p>
        </w:tc>
        <w:tc>
          <w:tcPr>
            <w:tcW w:w="784" w:type="dxa"/>
          </w:tcPr>
          <w:p>
            <w:pPr>
              <w:pStyle w:val="TableParagraph"/>
              <w:spacing w:before="37"/>
              <w:ind w:left="8"/>
              <w:jc w:val="center"/>
              <w:rPr>
                <w:sz w:val="16"/>
              </w:rPr>
            </w:pPr>
            <w:r>
              <w:rPr>
                <w:w w:val="100"/>
                <w:sz w:val="16"/>
              </w:rPr>
              <w:t>6</w:t>
            </w:r>
          </w:p>
        </w:tc>
        <w:tc>
          <w:tcPr>
            <w:tcW w:w="782" w:type="dxa"/>
          </w:tcPr>
          <w:p>
            <w:pPr>
              <w:pStyle w:val="TableParagraph"/>
              <w:spacing w:before="37"/>
              <w:ind w:left="190" w:right="178"/>
              <w:jc w:val="center"/>
              <w:rPr>
                <w:sz w:val="16"/>
              </w:rPr>
            </w:pPr>
            <w:r>
              <w:rPr>
                <w:sz w:val="16"/>
              </w:rPr>
              <w:t>1.8</w:t>
            </w:r>
          </w:p>
        </w:tc>
        <w:tc>
          <w:tcPr>
            <w:tcW w:w="604" w:type="dxa"/>
          </w:tcPr>
          <w:p>
            <w:pPr>
              <w:pStyle w:val="TableParagraph"/>
              <w:spacing w:before="37"/>
              <w:ind w:left="13"/>
              <w:jc w:val="center"/>
              <w:rPr>
                <w:sz w:val="16"/>
              </w:rPr>
            </w:pPr>
            <w:r>
              <w:rPr>
                <w:w w:val="100"/>
                <w:sz w:val="16"/>
              </w:rPr>
              <w:t>2</w:t>
            </w:r>
          </w:p>
        </w:tc>
        <w:tc>
          <w:tcPr>
            <w:tcW w:w="1173" w:type="dxa"/>
          </w:tcPr>
          <w:p>
            <w:pPr>
              <w:pStyle w:val="TableParagraph"/>
              <w:spacing w:before="37"/>
              <w:ind w:left="167" w:right="155"/>
              <w:jc w:val="center"/>
              <w:rPr>
                <w:sz w:val="16"/>
              </w:rPr>
            </w:pPr>
            <w:r>
              <w:rPr>
                <w:sz w:val="16"/>
              </w:rPr>
              <w:t>3.7 – 8.4</w:t>
            </w:r>
          </w:p>
        </w:tc>
        <w:tc>
          <w:tcPr>
            <w:tcW w:w="559" w:type="dxa"/>
          </w:tcPr>
          <w:p>
            <w:pPr>
              <w:pStyle w:val="TableParagraph"/>
              <w:spacing w:before="37"/>
              <w:ind w:left="12"/>
              <w:jc w:val="center"/>
              <w:rPr>
                <w:sz w:val="16"/>
              </w:rPr>
            </w:pPr>
            <w:r>
              <w:rPr>
                <w:w w:val="100"/>
                <w:sz w:val="16"/>
              </w:rPr>
              <w:t>2</w:t>
            </w:r>
          </w:p>
        </w:tc>
        <w:tc>
          <w:tcPr>
            <w:tcW w:w="1389" w:type="dxa"/>
          </w:tcPr>
          <w:p>
            <w:pPr>
              <w:pStyle w:val="TableParagraph"/>
              <w:spacing w:before="37"/>
              <w:ind w:left="111"/>
              <w:rPr>
                <w:sz w:val="16"/>
              </w:rPr>
            </w:pPr>
            <w:r>
              <w:rPr>
                <w:sz w:val="16"/>
              </w:rPr>
              <w:t>52, 73</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Other savanna woodlands</w:t>
            </w:r>
          </w:p>
        </w:tc>
        <w:tc>
          <w:tcPr>
            <w:tcW w:w="784" w:type="dxa"/>
          </w:tcPr>
          <w:p>
            <w:pPr>
              <w:pStyle w:val="TableParagraph"/>
              <w:spacing w:before="37"/>
              <w:ind w:left="291"/>
              <w:rPr>
                <w:sz w:val="16"/>
              </w:rPr>
            </w:pPr>
            <w:r>
              <w:rPr>
                <w:sz w:val="16"/>
              </w:rPr>
              <w:t>5.3</w:t>
            </w:r>
          </w:p>
        </w:tc>
        <w:tc>
          <w:tcPr>
            <w:tcW w:w="782" w:type="dxa"/>
          </w:tcPr>
          <w:p>
            <w:pPr>
              <w:pStyle w:val="TableParagraph"/>
              <w:spacing w:before="37"/>
              <w:ind w:left="190" w:right="178"/>
              <w:jc w:val="center"/>
              <w:rPr>
                <w:sz w:val="16"/>
              </w:rPr>
            </w:pPr>
            <w:r>
              <w:rPr>
                <w:sz w:val="16"/>
              </w:rPr>
              <w:t>1.7</w:t>
            </w:r>
          </w:p>
        </w:tc>
        <w:tc>
          <w:tcPr>
            <w:tcW w:w="604" w:type="dxa"/>
          </w:tcPr>
          <w:p>
            <w:pPr>
              <w:pStyle w:val="TableParagraph"/>
              <w:spacing w:before="37"/>
              <w:ind w:left="13"/>
              <w:jc w:val="center"/>
              <w:rPr>
                <w:sz w:val="16"/>
              </w:rPr>
            </w:pPr>
            <w:r>
              <w:rPr>
                <w:w w:val="100"/>
                <w:sz w:val="16"/>
              </w:rPr>
              <w:t>3</w:t>
            </w:r>
          </w:p>
        </w:tc>
        <w:tc>
          <w:tcPr>
            <w:tcW w:w="1173" w:type="dxa"/>
          </w:tcPr>
          <w:p>
            <w:pPr>
              <w:pStyle w:val="TableParagraph"/>
              <w:spacing w:before="37"/>
              <w:ind w:left="167" w:right="155"/>
              <w:jc w:val="center"/>
              <w:rPr>
                <w:sz w:val="16"/>
              </w:rPr>
            </w:pPr>
            <w:r>
              <w:rPr>
                <w:sz w:val="16"/>
              </w:rPr>
              <w:t>3.7 – 7.6</w:t>
            </w:r>
          </w:p>
        </w:tc>
        <w:tc>
          <w:tcPr>
            <w:tcW w:w="559" w:type="dxa"/>
          </w:tcPr>
          <w:p>
            <w:pPr>
              <w:pStyle w:val="TableParagraph"/>
              <w:spacing w:before="37"/>
              <w:ind w:left="12"/>
              <w:jc w:val="center"/>
              <w:rPr>
                <w:sz w:val="16"/>
              </w:rPr>
            </w:pPr>
            <w:r>
              <w:rPr>
                <w:w w:val="100"/>
                <w:sz w:val="16"/>
              </w:rPr>
              <w:t>3</w:t>
            </w:r>
          </w:p>
        </w:tc>
        <w:tc>
          <w:tcPr>
            <w:tcW w:w="1389" w:type="dxa"/>
          </w:tcPr>
          <w:p>
            <w:pPr>
              <w:pStyle w:val="TableParagraph"/>
              <w:spacing w:before="37"/>
              <w:ind w:left="111"/>
              <w:rPr>
                <w:sz w:val="16"/>
              </w:rPr>
            </w:pPr>
            <w:r>
              <w:rPr>
                <w:sz w:val="16"/>
              </w:rPr>
              <w:t>59, 57, 31</w:t>
            </w:r>
          </w:p>
        </w:tc>
      </w:tr>
      <w:tr>
        <w:trPr>
          <w:trHeight w:val="273" w:hRule="atLeast"/>
        </w:trPr>
        <w:tc>
          <w:tcPr>
            <w:tcW w:w="3719" w:type="dxa"/>
            <w:gridSpan w:val="2"/>
          </w:tcPr>
          <w:p>
            <w:pPr>
              <w:pStyle w:val="TableParagraph"/>
              <w:spacing w:before="37"/>
              <w:ind w:left="107"/>
              <w:rPr>
                <w:b/>
                <w:sz w:val="16"/>
              </w:rPr>
            </w:pPr>
            <w:r>
              <w:rPr>
                <w:b/>
                <w:sz w:val="16"/>
              </w:rPr>
              <w:t>All savanna woodlands </w:t>
            </w:r>
            <w:r>
              <w:rPr>
                <w:sz w:val="16"/>
              </w:rPr>
              <w:t>(mid/late dry season burns)</w:t>
            </w:r>
            <w:r>
              <w:rPr>
                <w:b/>
                <w:sz w:val="16"/>
              </w:rPr>
              <w:t>*</w:t>
            </w:r>
          </w:p>
        </w:tc>
        <w:tc>
          <w:tcPr>
            <w:tcW w:w="784" w:type="dxa"/>
          </w:tcPr>
          <w:p>
            <w:pPr>
              <w:pStyle w:val="TableParagraph"/>
              <w:spacing w:before="40"/>
              <w:ind w:left="291"/>
              <w:rPr>
                <w:b/>
                <w:sz w:val="16"/>
              </w:rPr>
            </w:pPr>
            <w:r>
              <w:rPr>
                <w:b/>
                <w:sz w:val="16"/>
              </w:rPr>
              <w:t>4.6</w:t>
            </w:r>
          </w:p>
        </w:tc>
        <w:tc>
          <w:tcPr>
            <w:tcW w:w="782" w:type="dxa"/>
          </w:tcPr>
          <w:p>
            <w:pPr>
              <w:pStyle w:val="TableParagraph"/>
              <w:spacing w:before="40"/>
              <w:ind w:left="190" w:right="178"/>
              <w:jc w:val="center"/>
              <w:rPr>
                <w:b/>
                <w:sz w:val="16"/>
              </w:rPr>
            </w:pPr>
            <w:r>
              <w:rPr>
                <w:b/>
                <w:sz w:val="16"/>
              </w:rPr>
              <w:t>1.5</w:t>
            </w:r>
          </w:p>
        </w:tc>
        <w:tc>
          <w:tcPr>
            <w:tcW w:w="604" w:type="dxa"/>
          </w:tcPr>
          <w:p>
            <w:pPr>
              <w:pStyle w:val="TableParagraph"/>
              <w:spacing w:before="40"/>
              <w:ind w:left="52" w:right="38"/>
              <w:jc w:val="center"/>
              <w:rPr>
                <w:b/>
                <w:sz w:val="16"/>
              </w:rPr>
            </w:pPr>
            <w:r>
              <w:rPr>
                <w:b/>
                <w:sz w:val="16"/>
              </w:rPr>
              <w:t>12</w:t>
            </w:r>
          </w:p>
        </w:tc>
        <w:tc>
          <w:tcPr>
            <w:tcW w:w="1173" w:type="dxa"/>
          </w:tcPr>
          <w:p>
            <w:pPr>
              <w:pStyle w:val="TableParagraph"/>
              <w:spacing w:before="40"/>
              <w:ind w:left="168" w:right="155"/>
              <w:jc w:val="center"/>
              <w:rPr>
                <w:b/>
                <w:sz w:val="16"/>
              </w:rPr>
            </w:pPr>
            <w:r>
              <w:rPr>
                <w:b/>
                <w:sz w:val="16"/>
              </w:rPr>
              <w:t>1.0 – 10.6</w:t>
            </w:r>
          </w:p>
        </w:tc>
        <w:tc>
          <w:tcPr>
            <w:tcW w:w="559" w:type="dxa"/>
          </w:tcPr>
          <w:p>
            <w:pPr>
              <w:pStyle w:val="TableParagraph"/>
              <w:spacing w:before="40"/>
              <w:ind w:left="42" w:right="27"/>
              <w:jc w:val="center"/>
              <w:rPr>
                <w:b/>
                <w:sz w:val="16"/>
              </w:rPr>
            </w:pPr>
            <w:r>
              <w:rPr>
                <w:b/>
                <w:sz w:val="16"/>
              </w:rPr>
              <w:t>12</w:t>
            </w:r>
          </w:p>
        </w:tc>
        <w:tc>
          <w:tcPr>
            <w:tcW w:w="1389" w:type="dxa"/>
          </w:tcPr>
          <w:p>
            <w:pPr>
              <w:pStyle w:val="TableParagraph"/>
              <w:rPr>
                <w:sz w:val="16"/>
              </w:rPr>
            </w:pPr>
          </w:p>
        </w:tc>
      </w:tr>
      <w:tr>
        <w:trPr>
          <w:trHeight w:val="446" w:hRule="atLeast"/>
        </w:trPr>
        <w:tc>
          <w:tcPr>
            <w:tcW w:w="1610" w:type="dxa"/>
            <w:vMerge w:val="restart"/>
          </w:tcPr>
          <w:p>
            <w:pPr>
              <w:pStyle w:val="TableParagraph"/>
              <w:spacing w:before="76"/>
              <w:ind w:left="107" w:right="104"/>
              <w:rPr>
                <w:sz w:val="16"/>
              </w:rPr>
            </w:pPr>
            <w:r>
              <w:rPr>
                <w:sz w:val="16"/>
              </w:rPr>
              <w:t>Savanna Grasslands / Pastures (early dry season burns)*</w:t>
            </w:r>
          </w:p>
        </w:tc>
        <w:tc>
          <w:tcPr>
            <w:tcW w:w="2109" w:type="dxa"/>
          </w:tcPr>
          <w:p>
            <w:pPr>
              <w:pStyle w:val="TableParagraph"/>
              <w:spacing w:before="33"/>
              <w:ind w:left="108" w:right="620"/>
              <w:rPr>
                <w:sz w:val="16"/>
              </w:rPr>
            </w:pPr>
            <w:r>
              <w:rPr>
                <w:sz w:val="16"/>
              </w:rPr>
              <w:t>Tropical/sub-tropical grassland</w:t>
            </w:r>
            <w:r>
              <w:rPr>
                <w:sz w:val="16"/>
                <w:vertAlign w:val="superscript"/>
              </w:rPr>
              <w:t>$</w:t>
            </w:r>
          </w:p>
        </w:tc>
        <w:tc>
          <w:tcPr>
            <w:tcW w:w="784" w:type="dxa"/>
          </w:tcPr>
          <w:p>
            <w:pPr>
              <w:pStyle w:val="TableParagraph"/>
              <w:spacing w:before="124"/>
              <w:ind w:left="291"/>
              <w:rPr>
                <w:sz w:val="16"/>
              </w:rPr>
            </w:pPr>
            <w:r>
              <w:rPr>
                <w:sz w:val="16"/>
              </w:rPr>
              <w:t>2.1</w:t>
            </w:r>
          </w:p>
        </w:tc>
        <w:tc>
          <w:tcPr>
            <w:tcW w:w="782" w:type="dxa"/>
          </w:tcPr>
          <w:p>
            <w:pPr>
              <w:pStyle w:val="TableParagraph"/>
              <w:spacing w:before="124"/>
              <w:ind w:left="14"/>
              <w:jc w:val="center"/>
              <w:rPr>
                <w:sz w:val="16"/>
              </w:rPr>
            </w:pPr>
            <w:r>
              <w:rPr>
                <w:w w:val="100"/>
                <w:sz w:val="16"/>
              </w:rPr>
              <w:t>-</w:t>
            </w:r>
          </w:p>
        </w:tc>
        <w:tc>
          <w:tcPr>
            <w:tcW w:w="604" w:type="dxa"/>
          </w:tcPr>
          <w:p>
            <w:pPr>
              <w:pStyle w:val="TableParagraph"/>
              <w:spacing w:before="124"/>
              <w:ind w:left="13"/>
              <w:jc w:val="center"/>
              <w:rPr>
                <w:sz w:val="16"/>
              </w:rPr>
            </w:pPr>
            <w:r>
              <w:rPr>
                <w:w w:val="100"/>
                <w:sz w:val="16"/>
              </w:rPr>
              <w:t>1</w:t>
            </w:r>
          </w:p>
        </w:tc>
        <w:tc>
          <w:tcPr>
            <w:tcW w:w="1173" w:type="dxa"/>
          </w:tcPr>
          <w:p>
            <w:pPr>
              <w:pStyle w:val="TableParagraph"/>
              <w:spacing w:before="124"/>
              <w:ind w:left="167" w:right="155"/>
              <w:jc w:val="center"/>
              <w:rPr>
                <w:sz w:val="16"/>
              </w:rPr>
            </w:pPr>
            <w:r>
              <w:rPr>
                <w:sz w:val="16"/>
              </w:rPr>
              <w:t>1.4 – 3.1</w:t>
            </w:r>
          </w:p>
        </w:tc>
        <w:tc>
          <w:tcPr>
            <w:tcW w:w="559" w:type="dxa"/>
          </w:tcPr>
          <w:p>
            <w:pPr>
              <w:pStyle w:val="TableParagraph"/>
              <w:spacing w:before="124"/>
              <w:ind w:left="13"/>
              <w:jc w:val="center"/>
              <w:rPr>
                <w:sz w:val="16"/>
              </w:rPr>
            </w:pPr>
            <w:r>
              <w:rPr>
                <w:w w:val="100"/>
                <w:sz w:val="16"/>
              </w:rPr>
              <w:t>1</w:t>
            </w:r>
          </w:p>
        </w:tc>
        <w:tc>
          <w:tcPr>
            <w:tcW w:w="1389" w:type="dxa"/>
          </w:tcPr>
          <w:p>
            <w:pPr>
              <w:pStyle w:val="TableParagraph"/>
              <w:spacing w:before="124"/>
              <w:ind w:left="477" w:right="462"/>
              <w:jc w:val="center"/>
              <w:rPr>
                <w:sz w:val="16"/>
              </w:rPr>
            </w:pPr>
            <w:r>
              <w:rPr>
                <w:sz w:val="16"/>
              </w:rPr>
              <w:t>28</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Grassland</w:t>
            </w:r>
          </w:p>
        </w:tc>
        <w:tc>
          <w:tcPr>
            <w:tcW w:w="784" w:type="dxa"/>
          </w:tcPr>
          <w:p>
            <w:pPr>
              <w:pStyle w:val="TableParagraph"/>
              <w:spacing w:before="37"/>
              <w:ind w:left="12"/>
              <w:jc w:val="center"/>
              <w:rPr>
                <w:sz w:val="16"/>
              </w:rPr>
            </w:pPr>
            <w:r>
              <w:rPr>
                <w:w w:val="100"/>
                <w:sz w:val="16"/>
              </w:rPr>
              <w:t>-</w:t>
            </w:r>
          </w:p>
        </w:tc>
        <w:tc>
          <w:tcPr>
            <w:tcW w:w="782" w:type="dxa"/>
          </w:tcPr>
          <w:p>
            <w:pPr>
              <w:pStyle w:val="TableParagraph"/>
              <w:spacing w:before="37"/>
              <w:ind w:left="16"/>
              <w:jc w:val="center"/>
              <w:rPr>
                <w:sz w:val="16"/>
              </w:rPr>
            </w:pPr>
            <w:r>
              <w:rPr>
                <w:w w:val="100"/>
                <w:sz w:val="16"/>
              </w:rPr>
              <w:t>-</w:t>
            </w:r>
          </w:p>
        </w:tc>
        <w:tc>
          <w:tcPr>
            <w:tcW w:w="604" w:type="dxa"/>
          </w:tcPr>
          <w:p>
            <w:pPr>
              <w:pStyle w:val="TableParagraph"/>
              <w:spacing w:before="37"/>
              <w:ind w:left="17"/>
              <w:jc w:val="center"/>
              <w:rPr>
                <w:sz w:val="16"/>
              </w:rPr>
            </w:pPr>
            <w:r>
              <w:rPr>
                <w:w w:val="100"/>
                <w:sz w:val="16"/>
              </w:rPr>
              <w:t>-</w:t>
            </w:r>
          </w:p>
        </w:tc>
        <w:tc>
          <w:tcPr>
            <w:tcW w:w="1173" w:type="dxa"/>
          </w:tcPr>
          <w:p>
            <w:pPr>
              <w:pStyle w:val="TableParagraph"/>
              <w:spacing w:before="37"/>
              <w:ind w:left="168" w:right="153"/>
              <w:jc w:val="center"/>
              <w:rPr>
                <w:sz w:val="16"/>
              </w:rPr>
            </w:pPr>
            <w:r>
              <w:rPr>
                <w:sz w:val="16"/>
              </w:rPr>
              <w:t>1.2 – 11</w:t>
            </w:r>
          </w:p>
        </w:tc>
        <w:tc>
          <w:tcPr>
            <w:tcW w:w="559" w:type="dxa"/>
          </w:tcPr>
          <w:p>
            <w:pPr>
              <w:pStyle w:val="TableParagraph"/>
              <w:spacing w:before="37"/>
              <w:ind w:left="14"/>
              <w:jc w:val="center"/>
              <w:rPr>
                <w:sz w:val="16"/>
              </w:rPr>
            </w:pPr>
            <w:r>
              <w:rPr>
                <w:w w:val="100"/>
                <w:sz w:val="16"/>
              </w:rPr>
              <w:t>1</w:t>
            </w:r>
          </w:p>
        </w:tc>
        <w:tc>
          <w:tcPr>
            <w:tcW w:w="1389" w:type="dxa"/>
          </w:tcPr>
          <w:p>
            <w:pPr>
              <w:pStyle w:val="TableParagraph"/>
              <w:spacing w:before="37"/>
              <w:ind w:left="112"/>
              <w:rPr>
                <w:sz w:val="16"/>
              </w:rPr>
            </w:pPr>
            <w:r>
              <w:rPr>
                <w:sz w:val="16"/>
              </w:rPr>
              <w:t>48</w:t>
            </w:r>
          </w:p>
        </w:tc>
      </w:tr>
      <w:tr>
        <w:trPr>
          <w:trHeight w:val="273" w:hRule="atLeast"/>
        </w:trPr>
        <w:tc>
          <w:tcPr>
            <w:tcW w:w="3719" w:type="dxa"/>
            <w:gridSpan w:val="2"/>
          </w:tcPr>
          <w:p>
            <w:pPr>
              <w:pStyle w:val="TableParagraph"/>
              <w:spacing w:before="40"/>
              <w:ind w:left="107"/>
              <w:rPr>
                <w:b/>
                <w:sz w:val="16"/>
              </w:rPr>
            </w:pPr>
            <w:r>
              <w:rPr>
                <w:b/>
                <w:sz w:val="16"/>
              </w:rPr>
              <w:t>All savanna grasslands (early dry season burns)*</w:t>
            </w:r>
          </w:p>
        </w:tc>
        <w:tc>
          <w:tcPr>
            <w:tcW w:w="784" w:type="dxa"/>
          </w:tcPr>
          <w:p>
            <w:pPr>
              <w:pStyle w:val="TableParagraph"/>
              <w:spacing w:before="40"/>
              <w:ind w:left="290"/>
              <w:rPr>
                <w:b/>
                <w:sz w:val="16"/>
              </w:rPr>
            </w:pPr>
            <w:r>
              <w:rPr>
                <w:b/>
                <w:sz w:val="16"/>
              </w:rPr>
              <w:t>2.1</w:t>
            </w:r>
          </w:p>
        </w:tc>
        <w:tc>
          <w:tcPr>
            <w:tcW w:w="782" w:type="dxa"/>
          </w:tcPr>
          <w:p>
            <w:pPr>
              <w:pStyle w:val="TableParagraph"/>
              <w:spacing w:before="40"/>
              <w:ind w:left="13"/>
              <w:jc w:val="center"/>
              <w:rPr>
                <w:b/>
                <w:sz w:val="16"/>
              </w:rPr>
            </w:pPr>
            <w:r>
              <w:rPr>
                <w:b/>
                <w:w w:val="100"/>
                <w:sz w:val="16"/>
              </w:rPr>
              <w:t>-</w:t>
            </w:r>
          </w:p>
        </w:tc>
        <w:tc>
          <w:tcPr>
            <w:tcW w:w="604" w:type="dxa"/>
          </w:tcPr>
          <w:p>
            <w:pPr>
              <w:pStyle w:val="TableParagraph"/>
              <w:spacing w:before="40"/>
              <w:ind w:left="12"/>
              <w:jc w:val="center"/>
              <w:rPr>
                <w:b/>
                <w:sz w:val="16"/>
              </w:rPr>
            </w:pPr>
            <w:r>
              <w:rPr>
                <w:b/>
                <w:w w:val="100"/>
                <w:sz w:val="16"/>
              </w:rPr>
              <w:t>1</w:t>
            </w:r>
          </w:p>
        </w:tc>
        <w:tc>
          <w:tcPr>
            <w:tcW w:w="1173" w:type="dxa"/>
          </w:tcPr>
          <w:p>
            <w:pPr>
              <w:pStyle w:val="TableParagraph"/>
              <w:spacing w:before="40"/>
              <w:ind w:left="167" w:right="155"/>
              <w:jc w:val="center"/>
              <w:rPr>
                <w:b/>
                <w:sz w:val="16"/>
              </w:rPr>
            </w:pPr>
            <w:r>
              <w:rPr>
                <w:b/>
                <w:sz w:val="16"/>
              </w:rPr>
              <w:t>1.2 – 11</w:t>
            </w:r>
          </w:p>
        </w:tc>
        <w:tc>
          <w:tcPr>
            <w:tcW w:w="559" w:type="dxa"/>
          </w:tcPr>
          <w:p>
            <w:pPr>
              <w:pStyle w:val="TableParagraph"/>
              <w:spacing w:before="40"/>
              <w:ind w:left="11"/>
              <w:jc w:val="center"/>
              <w:rPr>
                <w:b/>
                <w:sz w:val="16"/>
              </w:rPr>
            </w:pPr>
            <w:r>
              <w:rPr>
                <w:b/>
                <w:w w:val="100"/>
                <w:sz w:val="16"/>
              </w:rPr>
              <w:t>2</w:t>
            </w:r>
          </w:p>
        </w:tc>
        <w:tc>
          <w:tcPr>
            <w:tcW w:w="1389" w:type="dxa"/>
          </w:tcPr>
          <w:p>
            <w:pPr>
              <w:pStyle w:val="TableParagraph"/>
              <w:rPr>
                <w:sz w:val="16"/>
              </w:rPr>
            </w:pPr>
          </w:p>
        </w:tc>
      </w:tr>
      <w:tr>
        <w:trPr>
          <w:trHeight w:val="443" w:hRule="atLeast"/>
        </w:trPr>
        <w:tc>
          <w:tcPr>
            <w:tcW w:w="1610" w:type="dxa"/>
            <w:vMerge w:val="restart"/>
          </w:tcPr>
          <w:p>
            <w:pPr>
              <w:pStyle w:val="TableParagraph"/>
              <w:rPr>
                <w:sz w:val="18"/>
              </w:rPr>
            </w:pPr>
          </w:p>
          <w:p>
            <w:pPr>
              <w:pStyle w:val="TableParagraph"/>
              <w:spacing w:before="8"/>
              <w:rPr>
                <w:sz w:val="20"/>
              </w:rPr>
            </w:pPr>
          </w:p>
          <w:p>
            <w:pPr>
              <w:pStyle w:val="TableParagraph"/>
              <w:ind w:left="107" w:right="119"/>
              <w:rPr>
                <w:sz w:val="16"/>
              </w:rPr>
            </w:pPr>
            <w:r>
              <w:rPr>
                <w:sz w:val="16"/>
              </w:rPr>
              <w:t>Savanna Grasslands / Pastures (mid/late dry season</w:t>
            </w:r>
            <w:r>
              <w:rPr>
                <w:spacing w:val="-2"/>
                <w:sz w:val="16"/>
              </w:rPr>
              <w:t> </w:t>
            </w:r>
            <w:r>
              <w:rPr>
                <w:sz w:val="16"/>
              </w:rPr>
              <w:t>burns)*</w:t>
            </w:r>
          </w:p>
        </w:tc>
        <w:tc>
          <w:tcPr>
            <w:tcW w:w="2109" w:type="dxa"/>
          </w:tcPr>
          <w:p>
            <w:pPr>
              <w:pStyle w:val="TableParagraph"/>
              <w:spacing w:before="33"/>
              <w:ind w:left="108" w:right="620"/>
              <w:rPr>
                <w:sz w:val="16"/>
              </w:rPr>
            </w:pPr>
            <w:r>
              <w:rPr>
                <w:sz w:val="16"/>
              </w:rPr>
              <w:t>Tropical/sub-tropical grassland</w:t>
            </w:r>
            <w:r>
              <w:rPr>
                <w:sz w:val="16"/>
                <w:vertAlign w:val="superscript"/>
              </w:rPr>
              <w:t>$</w:t>
            </w:r>
          </w:p>
        </w:tc>
        <w:tc>
          <w:tcPr>
            <w:tcW w:w="784" w:type="dxa"/>
          </w:tcPr>
          <w:p>
            <w:pPr>
              <w:pStyle w:val="TableParagraph"/>
              <w:spacing w:before="124"/>
              <w:ind w:left="291"/>
              <w:rPr>
                <w:sz w:val="16"/>
              </w:rPr>
            </w:pPr>
            <w:r>
              <w:rPr>
                <w:sz w:val="16"/>
              </w:rPr>
              <w:t>5.2</w:t>
            </w:r>
          </w:p>
        </w:tc>
        <w:tc>
          <w:tcPr>
            <w:tcW w:w="782" w:type="dxa"/>
          </w:tcPr>
          <w:p>
            <w:pPr>
              <w:pStyle w:val="TableParagraph"/>
              <w:spacing w:before="124"/>
              <w:ind w:left="189" w:right="178"/>
              <w:jc w:val="center"/>
              <w:rPr>
                <w:sz w:val="16"/>
              </w:rPr>
            </w:pPr>
            <w:r>
              <w:rPr>
                <w:sz w:val="16"/>
              </w:rPr>
              <w:t>1.7</w:t>
            </w:r>
          </w:p>
        </w:tc>
        <w:tc>
          <w:tcPr>
            <w:tcW w:w="604" w:type="dxa"/>
          </w:tcPr>
          <w:p>
            <w:pPr>
              <w:pStyle w:val="TableParagraph"/>
              <w:spacing w:before="124"/>
              <w:ind w:left="12"/>
              <w:jc w:val="center"/>
              <w:rPr>
                <w:sz w:val="16"/>
              </w:rPr>
            </w:pPr>
            <w:r>
              <w:rPr>
                <w:w w:val="100"/>
                <w:sz w:val="16"/>
              </w:rPr>
              <w:t>6</w:t>
            </w:r>
          </w:p>
        </w:tc>
        <w:tc>
          <w:tcPr>
            <w:tcW w:w="1173" w:type="dxa"/>
          </w:tcPr>
          <w:p>
            <w:pPr>
              <w:pStyle w:val="TableParagraph"/>
              <w:spacing w:before="124"/>
              <w:ind w:left="166" w:right="155"/>
              <w:jc w:val="center"/>
              <w:rPr>
                <w:sz w:val="16"/>
              </w:rPr>
            </w:pPr>
            <w:r>
              <w:rPr>
                <w:sz w:val="16"/>
              </w:rPr>
              <w:t>2.5 – 7.1</w:t>
            </w:r>
          </w:p>
        </w:tc>
        <w:tc>
          <w:tcPr>
            <w:tcW w:w="559" w:type="dxa"/>
          </w:tcPr>
          <w:p>
            <w:pPr>
              <w:pStyle w:val="TableParagraph"/>
              <w:spacing w:before="124"/>
              <w:ind w:left="11"/>
              <w:jc w:val="center"/>
              <w:rPr>
                <w:sz w:val="16"/>
              </w:rPr>
            </w:pPr>
            <w:r>
              <w:rPr>
                <w:w w:val="100"/>
                <w:sz w:val="16"/>
              </w:rPr>
              <w:t>6</w:t>
            </w:r>
          </w:p>
        </w:tc>
        <w:tc>
          <w:tcPr>
            <w:tcW w:w="1389" w:type="dxa"/>
          </w:tcPr>
          <w:p>
            <w:pPr>
              <w:pStyle w:val="TableParagraph"/>
              <w:spacing w:before="124"/>
              <w:ind w:left="295"/>
              <w:rPr>
                <w:sz w:val="16"/>
              </w:rPr>
            </w:pPr>
            <w:r>
              <w:rPr>
                <w:sz w:val="16"/>
              </w:rPr>
              <w:t>9, 73, 12, 57</w:t>
            </w:r>
          </w:p>
        </w:tc>
      </w:tr>
      <w:tr>
        <w:trPr>
          <w:trHeight w:val="275"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Grassland</w:t>
            </w:r>
          </w:p>
        </w:tc>
        <w:tc>
          <w:tcPr>
            <w:tcW w:w="784" w:type="dxa"/>
          </w:tcPr>
          <w:p>
            <w:pPr>
              <w:pStyle w:val="TableParagraph"/>
              <w:spacing w:before="37"/>
              <w:ind w:left="292"/>
              <w:rPr>
                <w:sz w:val="16"/>
              </w:rPr>
            </w:pPr>
            <w:r>
              <w:rPr>
                <w:sz w:val="16"/>
              </w:rPr>
              <w:t>4.1</w:t>
            </w:r>
          </w:p>
        </w:tc>
        <w:tc>
          <w:tcPr>
            <w:tcW w:w="782" w:type="dxa"/>
          </w:tcPr>
          <w:p>
            <w:pPr>
              <w:pStyle w:val="TableParagraph"/>
              <w:spacing w:before="37"/>
              <w:ind w:left="192" w:right="178"/>
              <w:jc w:val="center"/>
              <w:rPr>
                <w:sz w:val="16"/>
              </w:rPr>
            </w:pPr>
            <w:r>
              <w:rPr>
                <w:sz w:val="16"/>
              </w:rPr>
              <w:t>3.1</w:t>
            </w:r>
          </w:p>
        </w:tc>
        <w:tc>
          <w:tcPr>
            <w:tcW w:w="604" w:type="dxa"/>
          </w:tcPr>
          <w:p>
            <w:pPr>
              <w:pStyle w:val="TableParagraph"/>
              <w:spacing w:before="37"/>
              <w:ind w:left="14"/>
              <w:jc w:val="center"/>
              <w:rPr>
                <w:sz w:val="16"/>
              </w:rPr>
            </w:pPr>
            <w:r>
              <w:rPr>
                <w:w w:val="100"/>
                <w:sz w:val="16"/>
              </w:rPr>
              <w:t>6</w:t>
            </w:r>
          </w:p>
        </w:tc>
        <w:tc>
          <w:tcPr>
            <w:tcW w:w="1173" w:type="dxa"/>
          </w:tcPr>
          <w:p>
            <w:pPr>
              <w:pStyle w:val="TableParagraph"/>
              <w:spacing w:before="37"/>
              <w:ind w:left="168" w:right="154"/>
              <w:jc w:val="center"/>
              <w:rPr>
                <w:sz w:val="16"/>
              </w:rPr>
            </w:pPr>
            <w:r>
              <w:rPr>
                <w:sz w:val="16"/>
              </w:rPr>
              <w:t>1.5 – 10</w:t>
            </w:r>
          </w:p>
        </w:tc>
        <w:tc>
          <w:tcPr>
            <w:tcW w:w="559" w:type="dxa"/>
          </w:tcPr>
          <w:p>
            <w:pPr>
              <w:pStyle w:val="TableParagraph"/>
              <w:spacing w:before="37"/>
              <w:ind w:left="13"/>
              <w:jc w:val="center"/>
              <w:rPr>
                <w:sz w:val="16"/>
              </w:rPr>
            </w:pPr>
            <w:r>
              <w:rPr>
                <w:w w:val="100"/>
                <w:sz w:val="16"/>
              </w:rPr>
              <w:t>6</w:t>
            </w:r>
          </w:p>
        </w:tc>
        <w:tc>
          <w:tcPr>
            <w:tcW w:w="1389" w:type="dxa"/>
          </w:tcPr>
          <w:p>
            <w:pPr>
              <w:pStyle w:val="TableParagraph"/>
              <w:spacing w:before="37"/>
              <w:ind w:left="111"/>
              <w:rPr>
                <w:sz w:val="16"/>
              </w:rPr>
            </w:pPr>
            <w:r>
              <w:rPr>
                <w:sz w:val="16"/>
              </w:rPr>
              <w:t>43, 9</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Tropical pasture</w:t>
            </w:r>
            <w:r>
              <w:rPr>
                <w:sz w:val="16"/>
                <w:vertAlign w:val="superscript"/>
              </w:rPr>
              <w:t>~</w:t>
            </w:r>
          </w:p>
        </w:tc>
        <w:tc>
          <w:tcPr>
            <w:tcW w:w="784" w:type="dxa"/>
          </w:tcPr>
          <w:p>
            <w:pPr>
              <w:pStyle w:val="TableParagraph"/>
              <w:spacing w:before="37"/>
              <w:ind w:left="250"/>
              <w:rPr>
                <w:sz w:val="16"/>
              </w:rPr>
            </w:pPr>
            <w:r>
              <w:rPr>
                <w:sz w:val="16"/>
              </w:rPr>
              <w:t>23.7</w:t>
            </w:r>
          </w:p>
        </w:tc>
        <w:tc>
          <w:tcPr>
            <w:tcW w:w="782" w:type="dxa"/>
          </w:tcPr>
          <w:p>
            <w:pPr>
              <w:pStyle w:val="TableParagraph"/>
              <w:spacing w:before="37"/>
              <w:ind w:left="191" w:right="178"/>
              <w:jc w:val="center"/>
              <w:rPr>
                <w:sz w:val="16"/>
              </w:rPr>
            </w:pPr>
            <w:r>
              <w:rPr>
                <w:sz w:val="16"/>
              </w:rPr>
              <w:t>11.8</w:t>
            </w:r>
          </w:p>
        </w:tc>
        <w:tc>
          <w:tcPr>
            <w:tcW w:w="604" w:type="dxa"/>
          </w:tcPr>
          <w:p>
            <w:pPr>
              <w:pStyle w:val="TableParagraph"/>
              <w:spacing w:before="37"/>
              <w:ind w:left="14"/>
              <w:jc w:val="center"/>
              <w:rPr>
                <w:sz w:val="16"/>
              </w:rPr>
            </w:pPr>
            <w:r>
              <w:rPr>
                <w:w w:val="100"/>
                <w:sz w:val="16"/>
              </w:rPr>
              <w:t>6</w:t>
            </w:r>
          </w:p>
        </w:tc>
        <w:tc>
          <w:tcPr>
            <w:tcW w:w="1173" w:type="dxa"/>
          </w:tcPr>
          <w:p>
            <w:pPr>
              <w:pStyle w:val="TableParagraph"/>
              <w:spacing w:before="37"/>
              <w:ind w:left="168" w:right="155"/>
              <w:jc w:val="center"/>
              <w:rPr>
                <w:sz w:val="16"/>
              </w:rPr>
            </w:pPr>
            <w:r>
              <w:rPr>
                <w:sz w:val="16"/>
              </w:rPr>
              <w:t>4.7 – 45</w:t>
            </w:r>
          </w:p>
        </w:tc>
        <w:tc>
          <w:tcPr>
            <w:tcW w:w="559" w:type="dxa"/>
          </w:tcPr>
          <w:p>
            <w:pPr>
              <w:pStyle w:val="TableParagraph"/>
              <w:spacing w:before="37"/>
              <w:ind w:left="12"/>
              <w:jc w:val="center"/>
              <w:rPr>
                <w:sz w:val="16"/>
              </w:rPr>
            </w:pPr>
            <w:r>
              <w:rPr>
                <w:w w:val="100"/>
                <w:sz w:val="16"/>
              </w:rPr>
              <w:t>7</w:t>
            </w:r>
          </w:p>
        </w:tc>
        <w:tc>
          <w:tcPr>
            <w:tcW w:w="1389" w:type="dxa"/>
          </w:tcPr>
          <w:p>
            <w:pPr>
              <w:pStyle w:val="TableParagraph"/>
              <w:spacing w:before="37"/>
              <w:ind w:left="110"/>
              <w:rPr>
                <w:sz w:val="16"/>
              </w:rPr>
            </w:pPr>
            <w:r>
              <w:rPr>
                <w:sz w:val="16"/>
              </w:rPr>
              <w:t>4, 23, 38, 66</w:t>
            </w:r>
          </w:p>
        </w:tc>
      </w:tr>
      <w:tr>
        <w:trPr>
          <w:trHeight w:val="443" w:hRule="atLeast"/>
        </w:trPr>
        <w:tc>
          <w:tcPr>
            <w:tcW w:w="1610" w:type="dxa"/>
            <w:vMerge/>
            <w:tcBorders>
              <w:top w:val="nil"/>
            </w:tcBorders>
          </w:tcPr>
          <w:p>
            <w:pPr>
              <w:rPr>
                <w:sz w:val="2"/>
                <w:szCs w:val="2"/>
              </w:rPr>
            </w:pPr>
          </w:p>
        </w:tc>
        <w:tc>
          <w:tcPr>
            <w:tcW w:w="2109" w:type="dxa"/>
          </w:tcPr>
          <w:p>
            <w:pPr>
              <w:pStyle w:val="TableParagraph"/>
              <w:spacing w:before="124"/>
              <w:ind w:left="108"/>
              <w:rPr>
                <w:sz w:val="16"/>
              </w:rPr>
            </w:pPr>
            <w:r>
              <w:rPr>
                <w:sz w:val="16"/>
              </w:rPr>
              <w:t>Savanna</w:t>
            </w:r>
          </w:p>
        </w:tc>
        <w:tc>
          <w:tcPr>
            <w:tcW w:w="784" w:type="dxa"/>
          </w:tcPr>
          <w:p>
            <w:pPr>
              <w:pStyle w:val="TableParagraph"/>
              <w:spacing w:before="124"/>
              <w:ind w:left="291"/>
              <w:rPr>
                <w:sz w:val="16"/>
              </w:rPr>
            </w:pPr>
            <w:r>
              <w:rPr>
                <w:sz w:val="16"/>
              </w:rPr>
              <w:t>7.0</w:t>
            </w:r>
          </w:p>
        </w:tc>
        <w:tc>
          <w:tcPr>
            <w:tcW w:w="782" w:type="dxa"/>
          </w:tcPr>
          <w:p>
            <w:pPr>
              <w:pStyle w:val="TableParagraph"/>
              <w:spacing w:before="124"/>
              <w:ind w:left="191" w:right="178"/>
              <w:jc w:val="center"/>
              <w:rPr>
                <w:sz w:val="16"/>
              </w:rPr>
            </w:pPr>
            <w:r>
              <w:rPr>
                <w:sz w:val="16"/>
              </w:rPr>
              <w:t>2.7</w:t>
            </w:r>
          </w:p>
        </w:tc>
        <w:tc>
          <w:tcPr>
            <w:tcW w:w="604" w:type="dxa"/>
          </w:tcPr>
          <w:p>
            <w:pPr>
              <w:pStyle w:val="TableParagraph"/>
              <w:spacing w:before="124"/>
              <w:ind w:left="14"/>
              <w:jc w:val="center"/>
              <w:rPr>
                <w:sz w:val="16"/>
              </w:rPr>
            </w:pPr>
            <w:r>
              <w:rPr>
                <w:w w:val="100"/>
                <w:sz w:val="16"/>
              </w:rPr>
              <w:t>6</w:t>
            </w:r>
          </w:p>
        </w:tc>
        <w:tc>
          <w:tcPr>
            <w:tcW w:w="1173" w:type="dxa"/>
          </w:tcPr>
          <w:p>
            <w:pPr>
              <w:pStyle w:val="TableParagraph"/>
              <w:spacing w:before="124"/>
              <w:ind w:left="168" w:right="154"/>
              <w:jc w:val="center"/>
              <w:rPr>
                <w:sz w:val="16"/>
              </w:rPr>
            </w:pPr>
            <w:r>
              <w:rPr>
                <w:sz w:val="16"/>
              </w:rPr>
              <w:t>0.5 – 18</w:t>
            </w:r>
          </w:p>
        </w:tc>
        <w:tc>
          <w:tcPr>
            <w:tcW w:w="559" w:type="dxa"/>
          </w:tcPr>
          <w:p>
            <w:pPr>
              <w:pStyle w:val="TableParagraph"/>
              <w:spacing w:before="124"/>
              <w:ind w:left="41" w:right="27"/>
              <w:jc w:val="center"/>
              <w:rPr>
                <w:sz w:val="16"/>
              </w:rPr>
            </w:pPr>
            <w:r>
              <w:rPr>
                <w:sz w:val="16"/>
              </w:rPr>
              <w:t>10</w:t>
            </w:r>
          </w:p>
        </w:tc>
        <w:tc>
          <w:tcPr>
            <w:tcW w:w="1389" w:type="dxa"/>
          </w:tcPr>
          <w:p>
            <w:pPr>
              <w:pStyle w:val="TableParagraph"/>
              <w:spacing w:before="33"/>
              <w:ind w:left="111"/>
              <w:rPr>
                <w:sz w:val="16"/>
              </w:rPr>
            </w:pPr>
            <w:r>
              <w:rPr>
                <w:sz w:val="16"/>
              </w:rPr>
              <w:t>42, 50, 6, 45, 13,</w:t>
            </w:r>
          </w:p>
          <w:p>
            <w:pPr>
              <w:pStyle w:val="TableParagraph"/>
              <w:ind w:left="111"/>
              <w:rPr>
                <w:sz w:val="16"/>
              </w:rPr>
            </w:pPr>
            <w:r>
              <w:rPr>
                <w:sz w:val="16"/>
              </w:rPr>
              <w:t>65</w:t>
            </w:r>
          </w:p>
        </w:tc>
      </w:tr>
      <w:tr>
        <w:trPr>
          <w:trHeight w:val="443" w:hRule="atLeast"/>
        </w:trPr>
        <w:tc>
          <w:tcPr>
            <w:tcW w:w="3719" w:type="dxa"/>
            <w:gridSpan w:val="2"/>
          </w:tcPr>
          <w:p>
            <w:pPr>
              <w:pStyle w:val="TableParagraph"/>
              <w:spacing w:before="35"/>
              <w:ind w:left="107" w:right="599"/>
              <w:rPr>
                <w:b/>
                <w:sz w:val="16"/>
              </w:rPr>
            </w:pPr>
            <w:r>
              <w:rPr>
                <w:b/>
                <w:sz w:val="16"/>
              </w:rPr>
              <w:t>All savanna grasslands (mid/late dry season burns)*</w:t>
            </w:r>
          </w:p>
        </w:tc>
        <w:tc>
          <w:tcPr>
            <w:tcW w:w="784" w:type="dxa"/>
          </w:tcPr>
          <w:p>
            <w:pPr>
              <w:pStyle w:val="TableParagraph"/>
              <w:spacing w:before="124"/>
              <w:ind w:left="250"/>
              <w:rPr>
                <w:sz w:val="16"/>
              </w:rPr>
            </w:pPr>
            <w:r>
              <w:rPr>
                <w:sz w:val="16"/>
              </w:rPr>
              <w:t>10.0</w:t>
            </w:r>
          </w:p>
        </w:tc>
        <w:tc>
          <w:tcPr>
            <w:tcW w:w="782" w:type="dxa"/>
          </w:tcPr>
          <w:p>
            <w:pPr>
              <w:pStyle w:val="TableParagraph"/>
              <w:spacing w:before="124"/>
              <w:ind w:left="192" w:right="178"/>
              <w:jc w:val="center"/>
              <w:rPr>
                <w:sz w:val="16"/>
              </w:rPr>
            </w:pPr>
            <w:r>
              <w:rPr>
                <w:sz w:val="16"/>
              </w:rPr>
              <w:t>10.1</w:t>
            </w:r>
          </w:p>
        </w:tc>
        <w:tc>
          <w:tcPr>
            <w:tcW w:w="604" w:type="dxa"/>
          </w:tcPr>
          <w:p>
            <w:pPr>
              <w:pStyle w:val="TableParagraph"/>
              <w:spacing w:before="124"/>
              <w:ind w:left="54" w:right="38"/>
              <w:jc w:val="center"/>
              <w:rPr>
                <w:sz w:val="16"/>
              </w:rPr>
            </w:pPr>
            <w:r>
              <w:rPr>
                <w:sz w:val="16"/>
              </w:rPr>
              <w:t>24</w:t>
            </w:r>
          </w:p>
        </w:tc>
        <w:tc>
          <w:tcPr>
            <w:tcW w:w="1173" w:type="dxa"/>
          </w:tcPr>
          <w:p>
            <w:pPr>
              <w:pStyle w:val="TableParagraph"/>
              <w:spacing w:before="124"/>
              <w:ind w:left="168" w:right="154"/>
              <w:jc w:val="center"/>
              <w:rPr>
                <w:sz w:val="16"/>
              </w:rPr>
            </w:pPr>
            <w:r>
              <w:rPr>
                <w:sz w:val="16"/>
              </w:rPr>
              <w:t>0.5 – 45</w:t>
            </w:r>
          </w:p>
        </w:tc>
        <w:tc>
          <w:tcPr>
            <w:tcW w:w="559" w:type="dxa"/>
          </w:tcPr>
          <w:p>
            <w:pPr>
              <w:pStyle w:val="TableParagraph"/>
              <w:spacing w:before="124"/>
              <w:ind w:left="42" w:right="27"/>
              <w:jc w:val="center"/>
              <w:rPr>
                <w:sz w:val="16"/>
              </w:rPr>
            </w:pPr>
            <w:r>
              <w:rPr>
                <w:sz w:val="16"/>
              </w:rPr>
              <w:t>29</w:t>
            </w:r>
          </w:p>
        </w:tc>
        <w:tc>
          <w:tcPr>
            <w:tcW w:w="1389" w:type="dxa"/>
          </w:tcPr>
          <w:p>
            <w:pPr>
              <w:pStyle w:val="TableParagraph"/>
              <w:rPr>
                <w:sz w:val="16"/>
              </w:rPr>
            </w:pPr>
          </w:p>
        </w:tc>
      </w:tr>
      <w:tr>
        <w:trPr>
          <w:trHeight w:val="275" w:hRule="atLeast"/>
        </w:trPr>
        <w:tc>
          <w:tcPr>
            <w:tcW w:w="1610" w:type="dxa"/>
            <w:vMerge w:val="restart"/>
          </w:tcPr>
          <w:p>
            <w:pPr>
              <w:pStyle w:val="TableParagraph"/>
              <w:spacing w:before="83"/>
              <w:ind w:left="107" w:right="366"/>
              <w:rPr>
                <w:sz w:val="16"/>
              </w:rPr>
            </w:pPr>
            <w:r>
              <w:rPr>
                <w:sz w:val="16"/>
              </w:rPr>
              <w:t>Other Vegetation Types</w:t>
            </w:r>
          </w:p>
        </w:tc>
        <w:tc>
          <w:tcPr>
            <w:tcW w:w="2109" w:type="dxa"/>
          </w:tcPr>
          <w:p>
            <w:pPr>
              <w:pStyle w:val="TableParagraph"/>
              <w:spacing w:before="37"/>
              <w:ind w:left="108"/>
              <w:rPr>
                <w:sz w:val="16"/>
              </w:rPr>
            </w:pPr>
            <w:r>
              <w:rPr>
                <w:sz w:val="16"/>
              </w:rPr>
              <w:t>Peatland</w:t>
            </w:r>
          </w:p>
        </w:tc>
        <w:tc>
          <w:tcPr>
            <w:tcW w:w="784" w:type="dxa"/>
          </w:tcPr>
          <w:p>
            <w:pPr>
              <w:pStyle w:val="TableParagraph"/>
              <w:spacing w:before="37"/>
              <w:ind w:left="175" w:right="165"/>
              <w:jc w:val="center"/>
              <w:rPr>
                <w:sz w:val="16"/>
              </w:rPr>
            </w:pPr>
            <w:r>
              <w:rPr>
                <w:sz w:val="16"/>
              </w:rPr>
              <w:t>41</w:t>
            </w:r>
          </w:p>
        </w:tc>
        <w:tc>
          <w:tcPr>
            <w:tcW w:w="782" w:type="dxa"/>
          </w:tcPr>
          <w:p>
            <w:pPr>
              <w:pStyle w:val="TableParagraph"/>
              <w:spacing w:before="37"/>
              <w:ind w:left="191" w:right="178"/>
              <w:jc w:val="center"/>
              <w:rPr>
                <w:sz w:val="16"/>
              </w:rPr>
            </w:pPr>
            <w:r>
              <w:rPr>
                <w:sz w:val="16"/>
              </w:rPr>
              <w:t>1.4</w:t>
            </w:r>
          </w:p>
        </w:tc>
        <w:tc>
          <w:tcPr>
            <w:tcW w:w="604" w:type="dxa"/>
          </w:tcPr>
          <w:p>
            <w:pPr>
              <w:pStyle w:val="TableParagraph"/>
              <w:spacing w:before="37"/>
              <w:ind w:left="14"/>
              <w:jc w:val="center"/>
              <w:rPr>
                <w:sz w:val="16"/>
              </w:rPr>
            </w:pPr>
            <w:r>
              <w:rPr>
                <w:w w:val="100"/>
                <w:sz w:val="16"/>
              </w:rPr>
              <w:t>2</w:t>
            </w:r>
          </w:p>
        </w:tc>
        <w:tc>
          <w:tcPr>
            <w:tcW w:w="1173" w:type="dxa"/>
          </w:tcPr>
          <w:p>
            <w:pPr>
              <w:pStyle w:val="TableParagraph"/>
              <w:spacing w:before="37"/>
              <w:ind w:left="165" w:right="155"/>
              <w:jc w:val="center"/>
              <w:rPr>
                <w:sz w:val="16"/>
              </w:rPr>
            </w:pPr>
            <w:r>
              <w:rPr>
                <w:sz w:val="16"/>
              </w:rPr>
              <w:t>40 – 42</w:t>
            </w:r>
          </w:p>
        </w:tc>
        <w:tc>
          <w:tcPr>
            <w:tcW w:w="559" w:type="dxa"/>
          </w:tcPr>
          <w:p>
            <w:pPr>
              <w:pStyle w:val="TableParagraph"/>
              <w:spacing w:before="37"/>
              <w:ind w:left="13"/>
              <w:jc w:val="center"/>
              <w:rPr>
                <w:sz w:val="16"/>
              </w:rPr>
            </w:pPr>
            <w:r>
              <w:rPr>
                <w:w w:val="100"/>
                <w:sz w:val="16"/>
              </w:rPr>
              <w:t>2</w:t>
            </w:r>
          </w:p>
        </w:tc>
        <w:tc>
          <w:tcPr>
            <w:tcW w:w="1389" w:type="dxa"/>
          </w:tcPr>
          <w:p>
            <w:pPr>
              <w:pStyle w:val="TableParagraph"/>
              <w:spacing w:before="37"/>
              <w:ind w:left="111"/>
              <w:rPr>
                <w:sz w:val="16"/>
              </w:rPr>
            </w:pPr>
            <w:r>
              <w:rPr>
                <w:sz w:val="16"/>
              </w:rPr>
              <w:t>68, 33</w:t>
            </w:r>
          </w:p>
        </w:tc>
      </w:tr>
      <w:tr>
        <w:trPr>
          <w:trHeight w:val="273" w:hRule="atLeast"/>
        </w:trPr>
        <w:tc>
          <w:tcPr>
            <w:tcW w:w="1610" w:type="dxa"/>
            <w:vMerge/>
            <w:tcBorders>
              <w:top w:val="nil"/>
            </w:tcBorders>
          </w:tcPr>
          <w:p>
            <w:pPr>
              <w:rPr>
                <w:sz w:val="2"/>
                <w:szCs w:val="2"/>
              </w:rPr>
            </w:pPr>
          </w:p>
        </w:tc>
        <w:tc>
          <w:tcPr>
            <w:tcW w:w="2109" w:type="dxa"/>
          </w:tcPr>
          <w:p>
            <w:pPr>
              <w:pStyle w:val="TableParagraph"/>
              <w:spacing w:before="37"/>
              <w:ind w:left="108"/>
              <w:rPr>
                <w:sz w:val="16"/>
              </w:rPr>
            </w:pPr>
            <w:r>
              <w:rPr>
                <w:sz w:val="16"/>
              </w:rPr>
              <w:t>Tundra</w:t>
            </w:r>
          </w:p>
        </w:tc>
        <w:tc>
          <w:tcPr>
            <w:tcW w:w="784" w:type="dxa"/>
          </w:tcPr>
          <w:p>
            <w:pPr>
              <w:pStyle w:val="TableParagraph"/>
              <w:spacing w:before="37"/>
              <w:ind w:left="175" w:right="165"/>
              <w:jc w:val="center"/>
              <w:rPr>
                <w:sz w:val="16"/>
              </w:rPr>
            </w:pPr>
            <w:r>
              <w:rPr>
                <w:sz w:val="16"/>
              </w:rPr>
              <w:t>10</w:t>
            </w:r>
          </w:p>
        </w:tc>
        <w:tc>
          <w:tcPr>
            <w:tcW w:w="782" w:type="dxa"/>
          </w:tcPr>
          <w:p>
            <w:pPr>
              <w:pStyle w:val="TableParagraph"/>
              <w:spacing w:before="37"/>
              <w:ind w:left="14"/>
              <w:jc w:val="center"/>
              <w:rPr>
                <w:sz w:val="16"/>
              </w:rPr>
            </w:pPr>
            <w:r>
              <w:rPr>
                <w:w w:val="100"/>
                <w:sz w:val="16"/>
              </w:rPr>
              <w:t>-</w:t>
            </w:r>
          </w:p>
        </w:tc>
        <w:tc>
          <w:tcPr>
            <w:tcW w:w="604" w:type="dxa"/>
          </w:tcPr>
          <w:p>
            <w:pPr>
              <w:pStyle w:val="TableParagraph"/>
              <w:spacing w:before="37"/>
              <w:ind w:left="14"/>
              <w:jc w:val="center"/>
              <w:rPr>
                <w:sz w:val="16"/>
              </w:rPr>
            </w:pPr>
            <w:r>
              <w:rPr>
                <w:w w:val="100"/>
                <w:sz w:val="16"/>
              </w:rPr>
              <w:t>1</w:t>
            </w:r>
          </w:p>
        </w:tc>
        <w:tc>
          <w:tcPr>
            <w:tcW w:w="1173" w:type="dxa"/>
          </w:tcPr>
          <w:p>
            <w:pPr>
              <w:pStyle w:val="TableParagraph"/>
              <w:spacing w:before="37"/>
              <w:ind w:left="14"/>
              <w:jc w:val="center"/>
              <w:rPr>
                <w:sz w:val="16"/>
              </w:rPr>
            </w:pPr>
            <w:r>
              <w:rPr>
                <w:w w:val="100"/>
                <w:sz w:val="16"/>
              </w:rPr>
              <w:t>-</w:t>
            </w:r>
          </w:p>
        </w:tc>
        <w:tc>
          <w:tcPr>
            <w:tcW w:w="559" w:type="dxa"/>
          </w:tcPr>
          <w:p>
            <w:pPr>
              <w:pStyle w:val="TableParagraph"/>
              <w:spacing w:before="37"/>
              <w:ind w:left="15"/>
              <w:jc w:val="center"/>
              <w:rPr>
                <w:sz w:val="16"/>
              </w:rPr>
            </w:pPr>
            <w:r>
              <w:rPr>
                <w:w w:val="100"/>
                <w:sz w:val="16"/>
              </w:rPr>
              <w:t>-</w:t>
            </w:r>
          </w:p>
        </w:tc>
        <w:tc>
          <w:tcPr>
            <w:tcW w:w="1389" w:type="dxa"/>
          </w:tcPr>
          <w:p>
            <w:pPr>
              <w:pStyle w:val="TableParagraph"/>
              <w:spacing w:before="37"/>
              <w:ind w:left="111"/>
              <w:rPr>
                <w:sz w:val="16"/>
              </w:rPr>
            </w:pPr>
            <w:r>
              <w:rPr>
                <w:sz w:val="16"/>
              </w:rPr>
              <w:t>33</w:t>
            </w:r>
          </w:p>
        </w:tc>
      </w:tr>
      <w:tr>
        <w:trPr>
          <w:trHeight w:val="1067" w:hRule="atLeast"/>
        </w:trPr>
        <w:tc>
          <w:tcPr>
            <w:tcW w:w="9010" w:type="dxa"/>
            <w:gridSpan w:val="8"/>
          </w:tcPr>
          <w:p>
            <w:pPr>
              <w:pStyle w:val="TableParagraph"/>
              <w:spacing w:before="64"/>
              <w:ind w:left="107"/>
              <w:rPr>
                <w:sz w:val="16"/>
              </w:rPr>
            </w:pPr>
            <w:r>
              <w:rPr>
                <w:position w:val="7"/>
                <w:sz w:val="10"/>
              </w:rPr>
              <w:t>1 </w:t>
            </w:r>
            <w:r>
              <w:rPr>
                <w:sz w:val="16"/>
              </w:rPr>
              <w:t>No. m = the number of observations for the mean</w:t>
            </w:r>
          </w:p>
          <w:p>
            <w:pPr>
              <w:pStyle w:val="TableParagraph"/>
              <w:spacing w:before="85"/>
              <w:ind w:left="107"/>
              <w:rPr>
                <w:sz w:val="16"/>
              </w:rPr>
            </w:pPr>
            <w:r>
              <w:rPr>
                <w:position w:val="7"/>
                <w:sz w:val="10"/>
              </w:rPr>
              <w:t>2 </w:t>
            </w:r>
            <w:r>
              <w:rPr>
                <w:sz w:val="16"/>
              </w:rPr>
              <w:t>No. r = the number of observations for the range</w:t>
            </w:r>
          </w:p>
          <w:p>
            <w:pPr>
              <w:pStyle w:val="TableParagraph"/>
              <w:spacing w:line="195" w:lineRule="exact" w:before="62"/>
              <w:ind w:left="107"/>
              <w:rPr>
                <w:sz w:val="16"/>
              </w:rPr>
            </w:pPr>
            <w:r>
              <w:rPr>
                <w:sz w:val="18"/>
              </w:rPr>
              <w:t>* </w:t>
            </w:r>
            <w:r>
              <w:rPr>
                <w:sz w:val="16"/>
              </w:rPr>
              <w:t>Surface layer combustion only, </w:t>
            </w:r>
            <w:r>
              <w:rPr>
                <w:sz w:val="16"/>
                <w:vertAlign w:val="superscript"/>
              </w:rPr>
              <w:t>#</w:t>
            </w:r>
            <w:r>
              <w:rPr>
                <w:sz w:val="16"/>
                <w:vertAlign w:val="baseline"/>
              </w:rPr>
              <w:t> campo cerrado, cerrado sensu stricto, </w:t>
            </w:r>
            <w:r>
              <w:rPr>
                <w:sz w:val="16"/>
                <w:vertAlign w:val="superscript"/>
              </w:rPr>
              <w:t>$</w:t>
            </w:r>
            <w:r>
              <w:rPr>
                <w:sz w:val="16"/>
                <w:vertAlign w:val="baseline"/>
              </w:rPr>
              <w:t> campo sujo, campo limpo, dambo,</w:t>
            </w:r>
          </w:p>
          <w:p>
            <w:pPr>
              <w:pStyle w:val="TableParagraph"/>
              <w:spacing w:line="214" w:lineRule="exact"/>
              <w:ind w:left="107"/>
              <w:rPr>
                <w:sz w:val="16"/>
              </w:rPr>
            </w:pPr>
            <w:r>
              <w:rPr>
                <w:position w:val="8"/>
                <w:sz w:val="12"/>
              </w:rPr>
              <w:t>@ </w:t>
            </w:r>
            <w:r>
              <w:rPr>
                <w:sz w:val="16"/>
              </w:rPr>
              <w:t>miombo</w:t>
            </w:r>
            <w:r>
              <w:rPr>
                <w:sz w:val="16"/>
                <w:vertAlign w:val="superscript"/>
              </w:rPr>
              <w:t>~</w:t>
            </w:r>
            <w:r>
              <w:rPr>
                <w:sz w:val="16"/>
                <w:vertAlign w:val="baseline"/>
              </w:rPr>
              <w:t> derived from slashed tropical forest (includes unburned woody material)</w:t>
            </w:r>
          </w:p>
        </w:tc>
      </w:tr>
    </w:tbl>
    <w:p>
      <w:pPr>
        <w:pStyle w:val="BodyText"/>
      </w:pPr>
    </w:p>
    <w:p>
      <w:pPr>
        <w:pStyle w:val="BodyText"/>
        <w:spacing w:before="9"/>
      </w:pPr>
    </w:p>
    <w:p>
      <w:pPr>
        <w:pStyle w:val="Heading6"/>
        <w:ind w:left="219"/>
      </w:pPr>
      <w:r>
        <w:rPr/>
        <w:t>References to Tables 3A.1.12 and 3A.1.13</w:t>
      </w:r>
    </w:p>
    <w:p>
      <w:pPr>
        <w:pStyle w:val="ListParagraph"/>
        <w:numPr>
          <w:ilvl w:val="0"/>
          <w:numId w:val="96"/>
        </w:numPr>
        <w:tabs>
          <w:tab w:pos="576" w:val="left" w:leader="none"/>
          <w:tab w:pos="577" w:val="left" w:leader="none"/>
        </w:tabs>
        <w:spacing w:line="240" w:lineRule="auto" w:before="115" w:after="0"/>
        <w:ind w:left="576" w:right="0" w:hanging="357"/>
        <w:jc w:val="left"/>
        <w:rPr>
          <w:sz w:val="16"/>
        </w:rPr>
      </w:pPr>
      <w:r>
        <w:rPr>
          <w:sz w:val="16"/>
        </w:rPr>
        <w:t>Alexander, M., </w:t>
      </w:r>
      <w:r>
        <w:rPr>
          <w:i/>
          <w:sz w:val="16"/>
        </w:rPr>
        <w:t>Calculating and interpreting forest fire intensities. </w:t>
      </w:r>
      <w:r>
        <w:rPr>
          <w:sz w:val="16"/>
        </w:rPr>
        <w:t>CANADIAN JOURNAL OF BOTANY, 1978. </w:t>
      </w:r>
      <w:r>
        <w:rPr>
          <w:b/>
          <w:sz w:val="16"/>
        </w:rPr>
        <w:t>60</w:t>
      </w:r>
      <w:r>
        <w:rPr>
          <w:sz w:val="16"/>
        </w:rPr>
        <w:t>: p.</w:t>
      </w:r>
      <w:r>
        <w:rPr>
          <w:spacing w:val="-29"/>
          <w:sz w:val="16"/>
        </w:rPr>
        <w:t> </w:t>
      </w:r>
      <w:r>
        <w:rPr>
          <w:sz w:val="16"/>
        </w:rPr>
        <w:t>349-357.</w:t>
      </w:r>
    </w:p>
    <w:p>
      <w:pPr>
        <w:pStyle w:val="ListParagraph"/>
        <w:numPr>
          <w:ilvl w:val="0"/>
          <w:numId w:val="96"/>
        </w:numPr>
        <w:tabs>
          <w:tab w:pos="576" w:val="left" w:leader="none"/>
          <w:tab w:pos="577" w:val="left" w:leader="none"/>
        </w:tabs>
        <w:spacing w:line="240" w:lineRule="auto" w:before="121" w:after="0"/>
        <w:ind w:left="576" w:right="651" w:hanging="357"/>
        <w:jc w:val="left"/>
        <w:rPr>
          <w:sz w:val="16"/>
        </w:rPr>
      </w:pPr>
      <w:r>
        <w:rPr>
          <w:sz w:val="16"/>
        </w:rPr>
        <w:t>Amiro, B., J. Todd, and B. Wotton, </w:t>
      </w:r>
      <w:r>
        <w:rPr>
          <w:i/>
          <w:sz w:val="16"/>
        </w:rPr>
        <w:t>Direct carbon emissions from Canadian forest fires, 1959-1999. </w:t>
      </w:r>
      <w:r>
        <w:rPr>
          <w:sz w:val="16"/>
        </w:rPr>
        <w:t>CANADIAN JOURNAL OF FOREST RESEARCH, 2001. </w:t>
      </w:r>
      <w:r>
        <w:rPr>
          <w:b/>
          <w:sz w:val="16"/>
        </w:rPr>
        <w:t>31</w:t>
      </w:r>
      <w:r>
        <w:rPr>
          <w:sz w:val="16"/>
        </w:rPr>
        <w:t>: p.</w:t>
      </w:r>
      <w:r>
        <w:rPr>
          <w:spacing w:val="-8"/>
          <w:sz w:val="16"/>
        </w:rPr>
        <w:t> </w:t>
      </w:r>
      <w:r>
        <w:rPr>
          <w:sz w:val="16"/>
        </w:rPr>
        <w:t>512-525.</w:t>
      </w:r>
    </w:p>
    <w:p>
      <w:pPr>
        <w:pStyle w:val="ListParagraph"/>
        <w:numPr>
          <w:ilvl w:val="0"/>
          <w:numId w:val="96"/>
        </w:numPr>
        <w:tabs>
          <w:tab w:pos="576" w:val="left" w:leader="none"/>
          <w:tab w:pos="577" w:val="left" w:leader="none"/>
        </w:tabs>
        <w:spacing w:line="240" w:lineRule="auto" w:before="119" w:after="0"/>
        <w:ind w:left="576" w:right="493" w:hanging="357"/>
        <w:jc w:val="left"/>
        <w:rPr>
          <w:sz w:val="16"/>
        </w:rPr>
      </w:pPr>
      <w:r>
        <w:rPr>
          <w:sz w:val="16"/>
        </w:rPr>
        <w:t>Araújo, T., J. Carvalho, N. Higuchi, A. Brasil, and A. Mesquita, </w:t>
      </w:r>
      <w:r>
        <w:rPr>
          <w:i/>
          <w:sz w:val="16"/>
        </w:rPr>
        <w:t>A tropical rainforest clearing experiment by biomass burning in the state of Pará, Brazil. </w:t>
      </w:r>
      <w:r>
        <w:rPr>
          <w:sz w:val="16"/>
        </w:rPr>
        <w:t>ATMOSPHERIC ENVIRONMENT, 1999. </w:t>
      </w:r>
      <w:r>
        <w:rPr>
          <w:b/>
          <w:sz w:val="16"/>
        </w:rPr>
        <w:t>33</w:t>
      </w:r>
      <w:r>
        <w:rPr>
          <w:sz w:val="16"/>
        </w:rPr>
        <w:t>: p.</w:t>
      </w:r>
      <w:r>
        <w:rPr>
          <w:spacing w:val="-6"/>
          <w:sz w:val="16"/>
        </w:rPr>
        <w:t> </w:t>
      </w:r>
      <w:r>
        <w:rPr>
          <w:sz w:val="16"/>
        </w:rPr>
        <w:t>1991-1998.</w:t>
      </w:r>
    </w:p>
    <w:p>
      <w:pPr>
        <w:pStyle w:val="ListParagraph"/>
        <w:numPr>
          <w:ilvl w:val="0"/>
          <w:numId w:val="96"/>
        </w:numPr>
        <w:tabs>
          <w:tab w:pos="576" w:val="left" w:leader="none"/>
          <w:tab w:pos="577" w:val="left" w:leader="none"/>
        </w:tabs>
        <w:spacing w:line="240" w:lineRule="auto" w:before="119" w:after="0"/>
        <w:ind w:left="576" w:right="1149" w:hanging="357"/>
        <w:jc w:val="left"/>
        <w:rPr>
          <w:sz w:val="16"/>
        </w:rPr>
      </w:pPr>
      <w:r>
        <w:rPr>
          <w:sz w:val="16"/>
        </w:rPr>
        <w:t>Barbosa, R. and P. Fearnside, </w:t>
      </w:r>
      <w:r>
        <w:rPr>
          <w:i/>
          <w:sz w:val="16"/>
        </w:rPr>
        <w:t>Pasture burning in Amazonia: Dynamics of residual biomass and the storage and release of aboveground carbon. </w:t>
      </w:r>
      <w:r>
        <w:rPr>
          <w:sz w:val="16"/>
        </w:rPr>
        <w:t>JOURNAL OF GEOPHYSICAL RESEARCH, 1996. </w:t>
      </w:r>
      <w:r>
        <w:rPr>
          <w:b/>
          <w:sz w:val="16"/>
        </w:rPr>
        <w:t>101</w:t>
      </w:r>
      <w:r>
        <w:rPr>
          <w:sz w:val="16"/>
        </w:rPr>
        <w:t>(D20): p.</w:t>
      </w:r>
      <w:r>
        <w:rPr>
          <w:spacing w:val="-16"/>
          <w:sz w:val="16"/>
        </w:rPr>
        <w:t> </w:t>
      </w:r>
      <w:r>
        <w:rPr>
          <w:sz w:val="16"/>
        </w:rPr>
        <w:t>25847-25857.</w:t>
      </w:r>
    </w:p>
    <w:p>
      <w:pPr>
        <w:pStyle w:val="ListParagraph"/>
        <w:numPr>
          <w:ilvl w:val="0"/>
          <w:numId w:val="96"/>
        </w:numPr>
        <w:tabs>
          <w:tab w:pos="576" w:val="left" w:leader="none"/>
          <w:tab w:pos="577" w:val="left" w:leader="none"/>
        </w:tabs>
        <w:spacing w:line="240" w:lineRule="auto" w:before="119" w:after="0"/>
        <w:ind w:left="576" w:right="413" w:hanging="357"/>
        <w:jc w:val="left"/>
        <w:rPr>
          <w:sz w:val="16"/>
        </w:rPr>
      </w:pPr>
      <w:r>
        <w:rPr>
          <w:sz w:val="16"/>
        </w:rPr>
        <w:t>Bilbao, B. and E. Medina, </w:t>
      </w:r>
      <w:r>
        <w:rPr>
          <w:i/>
          <w:sz w:val="16"/>
        </w:rPr>
        <w:t>Types of grassland fires and nitrogen volatilization in tropical savannas of calabozo</w:t>
      </w:r>
      <w:r>
        <w:rPr>
          <w:sz w:val="16"/>
        </w:rPr>
        <w:t>, in </w:t>
      </w:r>
      <w:r>
        <w:rPr>
          <w:i/>
          <w:sz w:val="16"/>
        </w:rPr>
        <w:t>Biomass Burning and Global Change: Volume 2. Biomass burning in South America, Southeast Asia, and temperate and boreal ecosystems, and the oil fires of Kuwait</w:t>
      </w:r>
      <w:r>
        <w:rPr>
          <w:sz w:val="16"/>
        </w:rPr>
        <w:t>, J. Levine, Editor. 1996, MIT Press: Cambridge. p.</w:t>
      </w:r>
      <w:r>
        <w:rPr>
          <w:spacing w:val="-10"/>
          <w:sz w:val="16"/>
        </w:rPr>
        <w:t> </w:t>
      </w:r>
      <w:r>
        <w:rPr>
          <w:sz w:val="16"/>
        </w:rPr>
        <w:t>569-574.</w:t>
      </w:r>
    </w:p>
    <w:p>
      <w:pPr>
        <w:spacing w:after="0" w:line="240" w:lineRule="auto"/>
        <w:jc w:val="left"/>
        <w:rPr>
          <w:sz w:val="16"/>
        </w:rPr>
        <w:sectPr>
          <w:pgSz w:w="11900" w:h="16840"/>
          <w:pgMar w:header="230" w:footer="408" w:top="560" w:bottom="600" w:left="1200" w:right="1140"/>
        </w:sectPr>
      </w:pPr>
    </w:p>
    <w:p>
      <w:pPr>
        <w:pStyle w:val="BodyText"/>
      </w:pPr>
    </w:p>
    <w:p>
      <w:pPr>
        <w:pStyle w:val="BodyText"/>
        <w:spacing w:before="3"/>
        <w:rPr>
          <w:sz w:val="18"/>
        </w:rPr>
      </w:pPr>
    </w:p>
    <w:p>
      <w:pPr>
        <w:pStyle w:val="ListParagraph"/>
        <w:numPr>
          <w:ilvl w:val="0"/>
          <w:numId w:val="96"/>
        </w:numPr>
        <w:tabs>
          <w:tab w:pos="576" w:val="left" w:leader="none"/>
          <w:tab w:pos="577" w:val="left" w:leader="none"/>
        </w:tabs>
        <w:spacing w:line="240" w:lineRule="auto" w:before="0" w:after="0"/>
        <w:ind w:left="576" w:right="524" w:hanging="357"/>
        <w:jc w:val="left"/>
        <w:rPr>
          <w:sz w:val="16"/>
        </w:rPr>
      </w:pPr>
      <w:r>
        <w:rPr>
          <w:sz w:val="16"/>
        </w:rPr>
        <w:t>Cachier, H., C. Liousse, M. Pertusiot, A. Gaudichet, F. Echalar, and J. Lacaux, </w:t>
      </w:r>
      <w:r>
        <w:rPr>
          <w:i/>
          <w:sz w:val="16"/>
        </w:rPr>
        <w:t>African fire Particulate emissions and atmospheric influence</w:t>
      </w:r>
      <w:r>
        <w:rPr>
          <w:sz w:val="16"/>
        </w:rPr>
        <w:t>, in </w:t>
      </w:r>
      <w:r>
        <w:rPr>
          <w:i/>
          <w:sz w:val="16"/>
        </w:rPr>
        <w:t>Biomass Burning and Global Change: Volume 1. Remote Sensing, Modeling and Inventory Development, and Biomass Burning in Africa</w:t>
      </w:r>
      <w:r>
        <w:rPr>
          <w:sz w:val="16"/>
        </w:rPr>
        <w:t>, J. Levine, Editor. 1996, MIT Press: Cambridge. p.</w:t>
      </w:r>
      <w:r>
        <w:rPr>
          <w:spacing w:val="-10"/>
          <w:sz w:val="16"/>
        </w:rPr>
        <w:t> </w:t>
      </w:r>
      <w:r>
        <w:rPr>
          <w:sz w:val="16"/>
        </w:rPr>
        <w:t>428-440.</w:t>
      </w:r>
    </w:p>
    <w:p>
      <w:pPr>
        <w:pStyle w:val="ListParagraph"/>
        <w:numPr>
          <w:ilvl w:val="0"/>
          <w:numId w:val="96"/>
        </w:numPr>
        <w:tabs>
          <w:tab w:pos="576" w:val="left" w:leader="none"/>
          <w:tab w:pos="577" w:val="left" w:leader="none"/>
        </w:tabs>
        <w:spacing w:line="240" w:lineRule="auto" w:before="121" w:after="0"/>
        <w:ind w:left="576" w:right="0" w:hanging="357"/>
        <w:jc w:val="left"/>
        <w:rPr>
          <w:i/>
          <w:sz w:val="16"/>
        </w:rPr>
      </w:pPr>
      <w:r>
        <w:rPr>
          <w:sz w:val="16"/>
        </w:rPr>
        <w:t>Carvalho,</w:t>
      </w:r>
      <w:r>
        <w:rPr>
          <w:spacing w:val="-1"/>
          <w:sz w:val="16"/>
        </w:rPr>
        <w:t> </w:t>
      </w:r>
      <w:r>
        <w:rPr>
          <w:sz w:val="16"/>
        </w:rPr>
        <w:t>J.,</w:t>
      </w:r>
      <w:r>
        <w:rPr>
          <w:spacing w:val="-1"/>
          <w:sz w:val="16"/>
        </w:rPr>
        <w:t> </w:t>
      </w:r>
      <w:r>
        <w:rPr>
          <w:sz w:val="16"/>
        </w:rPr>
        <w:t>N.</w:t>
      </w:r>
      <w:r>
        <w:rPr>
          <w:spacing w:val="-1"/>
          <w:sz w:val="16"/>
        </w:rPr>
        <w:t> </w:t>
      </w:r>
      <w:r>
        <w:rPr>
          <w:sz w:val="16"/>
        </w:rPr>
        <w:t>Higuchi,</w:t>
      </w:r>
      <w:r>
        <w:rPr>
          <w:spacing w:val="-3"/>
          <w:sz w:val="16"/>
        </w:rPr>
        <w:t> </w:t>
      </w:r>
      <w:r>
        <w:rPr>
          <w:sz w:val="16"/>
        </w:rPr>
        <w:t>T. Araujo,</w:t>
      </w:r>
      <w:r>
        <w:rPr>
          <w:spacing w:val="-3"/>
          <w:sz w:val="16"/>
        </w:rPr>
        <w:t> </w:t>
      </w:r>
      <w:r>
        <w:rPr>
          <w:sz w:val="16"/>
        </w:rPr>
        <w:t>and</w:t>
      </w:r>
      <w:r>
        <w:rPr>
          <w:spacing w:val="-3"/>
          <w:sz w:val="16"/>
        </w:rPr>
        <w:t> </w:t>
      </w:r>
      <w:r>
        <w:rPr>
          <w:sz w:val="16"/>
        </w:rPr>
        <w:t>J. Santos,</w:t>
      </w:r>
      <w:r>
        <w:rPr>
          <w:spacing w:val="-3"/>
          <w:sz w:val="16"/>
        </w:rPr>
        <w:t> </w:t>
      </w:r>
      <w:r>
        <w:rPr>
          <w:i/>
          <w:sz w:val="16"/>
        </w:rPr>
        <w:t>Combustion</w:t>
      </w:r>
      <w:r>
        <w:rPr>
          <w:i/>
          <w:spacing w:val="-3"/>
          <w:sz w:val="16"/>
        </w:rPr>
        <w:t> </w:t>
      </w:r>
      <w:r>
        <w:rPr>
          <w:i/>
          <w:sz w:val="16"/>
        </w:rPr>
        <w:t>completeness</w:t>
      </w:r>
      <w:r>
        <w:rPr>
          <w:i/>
          <w:spacing w:val="-2"/>
          <w:sz w:val="16"/>
        </w:rPr>
        <w:t> </w:t>
      </w:r>
      <w:r>
        <w:rPr>
          <w:i/>
          <w:sz w:val="16"/>
        </w:rPr>
        <w:t>in</w:t>
      </w:r>
      <w:r>
        <w:rPr>
          <w:i/>
          <w:spacing w:val="-2"/>
          <w:sz w:val="16"/>
        </w:rPr>
        <w:t> </w:t>
      </w:r>
      <w:r>
        <w:rPr>
          <w:i/>
          <w:sz w:val="16"/>
        </w:rPr>
        <w:t>a rainforest</w:t>
      </w:r>
      <w:r>
        <w:rPr>
          <w:i/>
          <w:spacing w:val="-3"/>
          <w:sz w:val="16"/>
        </w:rPr>
        <w:t> </w:t>
      </w:r>
      <w:r>
        <w:rPr>
          <w:i/>
          <w:sz w:val="16"/>
        </w:rPr>
        <w:t>clearing</w:t>
      </w:r>
      <w:r>
        <w:rPr>
          <w:i/>
          <w:spacing w:val="-2"/>
          <w:sz w:val="16"/>
        </w:rPr>
        <w:t> </w:t>
      </w:r>
      <w:r>
        <w:rPr>
          <w:i/>
          <w:sz w:val="16"/>
        </w:rPr>
        <w:t>experiment</w:t>
      </w:r>
      <w:r>
        <w:rPr>
          <w:i/>
          <w:spacing w:val="-3"/>
          <w:sz w:val="16"/>
        </w:rPr>
        <w:t> </w:t>
      </w:r>
      <w:r>
        <w:rPr>
          <w:i/>
          <w:sz w:val="16"/>
        </w:rPr>
        <w:t>in Manaus,</w:t>
      </w:r>
      <w:r>
        <w:rPr>
          <w:i/>
          <w:spacing w:val="-1"/>
          <w:sz w:val="16"/>
        </w:rPr>
        <w:t> </w:t>
      </w:r>
      <w:r>
        <w:rPr>
          <w:i/>
          <w:sz w:val="16"/>
        </w:rPr>
        <w:t>Brazil.</w:t>
      </w:r>
    </w:p>
    <w:p>
      <w:pPr>
        <w:spacing w:before="0"/>
        <w:ind w:left="576" w:right="0" w:firstLine="0"/>
        <w:jc w:val="left"/>
        <w:rPr>
          <w:sz w:val="16"/>
        </w:rPr>
      </w:pPr>
      <w:r>
        <w:rPr>
          <w:sz w:val="16"/>
        </w:rPr>
        <w:t>JOURNAL OF GEOPHYSICAL RESEARCH, 1998. </w:t>
      </w:r>
      <w:r>
        <w:rPr>
          <w:b/>
          <w:sz w:val="16"/>
        </w:rPr>
        <w:t>103</w:t>
      </w:r>
      <w:r>
        <w:rPr>
          <w:sz w:val="16"/>
        </w:rPr>
        <w:t>(D11): p. 13195.</w:t>
      </w:r>
    </w:p>
    <w:p>
      <w:pPr>
        <w:pStyle w:val="ListParagraph"/>
        <w:numPr>
          <w:ilvl w:val="0"/>
          <w:numId w:val="96"/>
        </w:numPr>
        <w:tabs>
          <w:tab w:pos="576" w:val="left" w:leader="none"/>
          <w:tab w:pos="577" w:val="left" w:leader="none"/>
        </w:tabs>
        <w:spacing w:line="240" w:lineRule="auto" w:before="119" w:after="0"/>
        <w:ind w:left="576" w:right="607" w:hanging="357"/>
        <w:jc w:val="left"/>
        <w:rPr>
          <w:sz w:val="16"/>
        </w:rPr>
      </w:pPr>
      <w:r>
        <w:rPr>
          <w:sz w:val="16"/>
        </w:rPr>
        <w:t>Carvalho, J., F. Costa, C. Veras</w:t>
      </w:r>
      <w:r>
        <w:rPr>
          <w:i/>
          <w:sz w:val="16"/>
        </w:rPr>
        <w:t>, et al.</w:t>
      </w:r>
      <w:r>
        <w:rPr>
          <w:sz w:val="16"/>
        </w:rPr>
        <w:t>, </w:t>
      </w:r>
      <w:r>
        <w:rPr>
          <w:i/>
          <w:sz w:val="16"/>
        </w:rPr>
        <w:t>Biomass fire consumption and carbon release rates of rainforest-clearing experiments conducted in northern Mato Grosso, Brazil. </w:t>
      </w:r>
      <w:r>
        <w:rPr>
          <w:sz w:val="16"/>
        </w:rPr>
        <w:t>JOURNAL OF GEOPHYSICAL RESEARCH-ATMOSPHERES, 2001. </w:t>
      </w:r>
      <w:r>
        <w:rPr>
          <w:b/>
          <w:sz w:val="16"/>
        </w:rPr>
        <w:t>106</w:t>
      </w:r>
      <w:r>
        <w:rPr>
          <w:sz w:val="16"/>
        </w:rPr>
        <w:t>(D16): p. 17877-17887.</w:t>
      </w:r>
    </w:p>
    <w:p>
      <w:pPr>
        <w:pStyle w:val="ListParagraph"/>
        <w:numPr>
          <w:ilvl w:val="0"/>
          <w:numId w:val="96"/>
        </w:numPr>
        <w:tabs>
          <w:tab w:pos="576" w:val="left" w:leader="none"/>
          <w:tab w:pos="577" w:val="left" w:leader="none"/>
        </w:tabs>
        <w:spacing w:line="240" w:lineRule="auto" w:before="120" w:after="0"/>
        <w:ind w:left="576" w:right="636" w:hanging="357"/>
        <w:jc w:val="left"/>
        <w:rPr>
          <w:sz w:val="16"/>
        </w:rPr>
      </w:pPr>
      <w:r>
        <w:rPr>
          <w:sz w:val="16"/>
        </w:rPr>
        <w:t>Cheyney, N., R. Raison, and P. Khana, </w:t>
      </w:r>
      <w:r>
        <w:rPr>
          <w:i/>
          <w:sz w:val="16"/>
        </w:rPr>
        <w:t>Release of carbon to the atmosphere in Australian vegetation fires</w:t>
      </w:r>
      <w:r>
        <w:rPr>
          <w:sz w:val="16"/>
        </w:rPr>
        <w:t>, in </w:t>
      </w:r>
      <w:r>
        <w:rPr>
          <w:i/>
          <w:sz w:val="16"/>
        </w:rPr>
        <w:t>Carbon Dioxide </w:t>
      </w:r>
      <w:r>
        <w:rPr>
          <w:i/>
          <w:spacing w:val="-2"/>
          <w:sz w:val="16"/>
        </w:rPr>
        <w:t>and </w:t>
      </w:r>
      <w:r>
        <w:rPr>
          <w:i/>
          <w:sz w:val="16"/>
        </w:rPr>
        <w:t>Climate: Australian Research</w:t>
      </w:r>
      <w:r>
        <w:rPr>
          <w:sz w:val="16"/>
        </w:rPr>
        <w:t>, G. Pearman, Editor. 1980, Australian Academy of Science: Canberra. p.</w:t>
      </w:r>
      <w:r>
        <w:rPr>
          <w:spacing w:val="-18"/>
          <w:sz w:val="16"/>
        </w:rPr>
        <w:t> </w:t>
      </w:r>
      <w:r>
        <w:rPr>
          <w:sz w:val="16"/>
        </w:rPr>
        <w:t>153-158.</w:t>
      </w:r>
    </w:p>
    <w:p>
      <w:pPr>
        <w:pStyle w:val="ListParagraph"/>
        <w:numPr>
          <w:ilvl w:val="0"/>
          <w:numId w:val="96"/>
        </w:numPr>
        <w:tabs>
          <w:tab w:pos="577" w:val="left" w:leader="none"/>
        </w:tabs>
        <w:spacing w:line="240" w:lineRule="auto" w:before="119" w:after="0"/>
        <w:ind w:left="576" w:right="1150" w:hanging="357"/>
        <w:jc w:val="left"/>
        <w:rPr>
          <w:sz w:val="16"/>
        </w:rPr>
      </w:pPr>
      <w:r>
        <w:rPr>
          <w:sz w:val="16"/>
        </w:rPr>
        <w:t>Cofer, W., J. Levine, E. Winstead, and B. Stocks, </w:t>
      </w:r>
      <w:r>
        <w:rPr>
          <w:i/>
          <w:sz w:val="16"/>
        </w:rPr>
        <w:t>Gaseous emissions from Canadian boreal forest fires. </w:t>
      </w:r>
      <w:r>
        <w:rPr>
          <w:sz w:val="16"/>
        </w:rPr>
        <w:t>ATMOSPHERIC ENVIRONMENT, 1990. </w:t>
      </w:r>
      <w:r>
        <w:rPr>
          <w:b/>
          <w:sz w:val="16"/>
        </w:rPr>
        <w:t>24A</w:t>
      </w:r>
      <w:r>
        <w:rPr>
          <w:sz w:val="16"/>
        </w:rPr>
        <w:t>(7): p.</w:t>
      </w:r>
      <w:r>
        <w:rPr>
          <w:spacing w:val="-4"/>
          <w:sz w:val="16"/>
        </w:rPr>
        <w:t> </w:t>
      </w:r>
      <w:r>
        <w:rPr>
          <w:sz w:val="16"/>
        </w:rPr>
        <w:t>1653-1659.</w:t>
      </w:r>
    </w:p>
    <w:p>
      <w:pPr>
        <w:pStyle w:val="ListParagraph"/>
        <w:numPr>
          <w:ilvl w:val="0"/>
          <w:numId w:val="96"/>
        </w:numPr>
        <w:tabs>
          <w:tab w:pos="578" w:val="left" w:leader="none"/>
        </w:tabs>
        <w:spacing w:line="228" w:lineRule="auto" w:before="129" w:after="0"/>
        <w:ind w:left="576" w:right="567" w:hanging="357"/>
        <w:jc w:val="left"/>
        <w:rPr>
          <w:sz w:val="16"/>
        </w:rPr>
      </w:pPr>
      <w:r>
        <w:rPr>
          <w:position w:val="2"/>
          <w:sz w:val="16"/>
        </w:rPr>
        <w:t>Cofer, W., E. Winstead, B. Stocks, J. Goldammer, and D. Cahoon, </w:t>
      </w:r>
      <w:r>
        <w:rPr>
          <w:i/>
          <w:position w:val="2"/>
          <w:sz w:val="16"/>
        </w:rPr>
        <w:t>Crown fire emissions of CO</w:t>
      </w:r>
      <w:r>
        <w:rPr>
          <w:i/>
          <w:sz w:val="10"/>
        </w:rPr>
        <w:t>2</w:t>
      </w:r>
      <w:r>
        <w:rPr>
          <w:i/>
          <w:position w:val="2"/>
          <w:sz w:val="16"/>
        </w:rPr>
        <w:t>, CO, H</w:t>
      </w:r>
      <w:r>
        <w:rPr>
          <w:i/>
          <w:sz w:val="10"/>
        </w:rPr>
        <w:t>2</w:t>
      </w:r>
      <w:r>
        <w:rPr>
          <w:i/>
          <w:position w:val="2"/>
          <w:sz w:val="16"/>
        </w:rPr>
        <w:t>, CH</w:t>
      </w:r>
      <w:r>
        <w:rPr>
          <w:i/>
          <w:sz w:val="10"/>
        </w:rPr>
        <w:t>4</w:t>
      </w:r>
      <w:r>
        <w:rPr>
          <w:i/>
          <w:position w:val="2"/>
          <w:sz w:val="16"/>
        </w:rPr>
        <w:t>, and TNMHC from a</w:t>
      </w:r>
      <w:r>
        <w:rPr>
          <w:i/>
          <w:sz w:val="16"/>
        </w:rPr>
        <w:t> dense jack pine boreal forest fire. </w:t>
      </w:r>
      <w:r>
        <w:rPr>
          <w:sz w:val="16"/>
        </w:rPr>
        <w:t>GEOPHYSICAL RESEARCH LETTERS, 1998. </w:t>
      </w:r>
      <w:r>
        <w:rPr>
          <w:b/>
          <w:sz w:val="16"/>
        </w:rPr>
        <w:t>25</w:t>
      </w:r>
      <w:r>
        <w:rPr>
          <w:sz w:val="16"/>
        </w:rPr>
        <w:t>(21): p.</w:t>
      </w:r>
      <w:r>
        <w:rPr>
          <w:spacing w:val="-15"/>
          <w:sz w:val="16"/>
        </w:rPr>
        <w:t> </w:t>
      </w:r>
      <w:r>
        <w:rPr>
          <w:sz w:val="16"/>
        </w:rPr>
        <w:t>3919-3922.</w:t>
      </w:r>
    </w:p>
    <w:p>
      <w:pPr>
        <w:pStyle w:val="ListParagraph"/>
        <w:numPr>
          <w:ilvl w:val="0"/>
          <w:numId w:val="96"/>
        </w:numPr>
        <w:tabs>
          <w:tab w:pos="577" w:val="left" w:leader="none"/>
        </w:tabs>
        <w:spacing w:line="240" w:lineRule="auto" w:before="123" w:after="0"/>
        <w:ind w:left="576" w:right="302" w:hanging="357"/>
        <w:jc w:val="left"/>
        <w:rPr>
          <w:sz w:val="16"/>
        </w:rPr>
      </w:pPr>
      <w:r>
        <w:rPr>
          <w:sz w:val="16"/>
        </w:rPr>
        <w:t>De Castro, E.A. and J.B. Kauffman, </w:t>
      </w:r>
      <w:r>
        <w:rPr>
          <w:i/>
          <w:sz w:val="16"/>
        </w:rPr>
        <w:t>Ecosystem structure in the Brazilian Cerrado: a vegetation gradient of aboveground biomass, root mass and consumption by fire. </w:t>
      </w:r>
      <w:r>
        <w:rPr>
          <w:sz w:val="16"/>
        </w:rPr>
        <w:t>Journal of Tropical Ecology, 1998. </w:t>
      </w:r>
      <w:r>
        <w:rPr>
          <w:b/>
          <w:sz w:val="16"/>
        </w:rPr>
        <w:t>14</w:t>
      </w:r>
      <w:r>
        <w:rPr>
          <w:sz w:val="16"/>
        </w:rPr>
        <w:t>(3): p.</w:t>
      </w:r>
      <w:r>
        <w:rPr>
          <w:spacing w:val="-16"/>
          <w:sz w:val="16"/>
        </w:rPr>
        <w:t> </w:t>
      </w:r>
      <w:r>
        <w:rPr>
          <w:sz w:val="16"/>
        </w:rPr>
        <w:t>263-283.</w:t>
      </w:r>
    </w:p>
    <w:p>
      <w:pPr>
        <w:pStyle w:val="ListParagraph"/>
        <w:numPr>
          <w:ilvl w:val="0"/>
          <w:numId w:val="96"/>
        </w:numPr>
        <w:tabs>
          <w:tab w:pos="577" w:val="left" w:leader="none"/>
        </w:tabs>
        <w:spacing w:line="240" w:lineRule="auto" w:before="119" w:after="0"/>
        <w:ind w:left="576" w:right="0" w:hanging="357"/>
        <w:jc w:val="left"/>
        <w:rPr>
          <w:i/>
          <w:sz w:val="16"/>
        </w:rPr>
      </w:pPr>
      <w:r>
        <w:rPr>
          <w:sz w:val="16"/>
        </w:rPr>
        <w:t>Delmas,</w:t>
      </w:r>
      <w:r>
        <w:rPr>
          <w:spacing w:val="-1"/>
          <w:sz w:val="16"/>
        </w:rPr>
        <w:t> </w:t>
      </w:r>
      <w:r>
        <w:rPr>
          <w:sz w:val="16"/>
        </w:rPr>
        <w:t>R.,</w:t>
      </w:r>
      <w:r>
        <w:rPr>
          <w:spacing w:val="-2"/>
          <w:sz w:val="16"/>
        </w:rPr>
        <w:t> </w:t>
      </w:r>
      <w:r>
        <w:rPr>
          <w:i/>
          <w:sz w:val="16"/>
        </w:rPr>
        <w:t>On</w:t>
      </w:r>
      <w:r>
        <w:rPr>
          <w:i/>
          <w:spacing w:val="-2"/>
          <w:sz w:val="16"/>
        </w:rPr>
        <w:t> </w:t>
      </w:r>
      <w:r>
        <w:rPr>
          <w:i/>
          <w:sz w:val="16"/>
        </w:rPr>
        <w:t>the</w:t>
      </w:r>
      <w:r>
        <w:rPr>
          <w:i/>
          <w:spacing w:val="-2"/>
          <w:sz w:val="16"/>
        </w:rPr>
        <w:t> </w:t>
      </w:r>
      <w:r>
        <w:rPr>
          <w:i/>
          <w:sz w:val="16"/>
        </w:rPr>
        <w:t>emission</w:t>
      </w:r>
      <w:r>
        <w:rPr>
          <w:i/>
          <w:spacing w:val="-3"/>
          <w:sz w:val="16"/>
        </w:rPr>
        <w:t> </w:t>
      </w:r>
      <w:r>
        <w:rPr>
          <w:i/>
          <w:sz w:val="16"/>
        </w:rPr>
        <w:t>of</w:t>
      </w:r>
      <w:r>
        <w:rPr>
          <w:i/>
          <w:spacing w:val="-2"/>
          <w:sz w:val="16"/>
        </w:rPr>
        <w:t> </w:t>
      </w:r>
      <w:r>
        <w:rPr>
          <w:i/>
          <w:sz w:val="16"/>
        </w:rPr>
        <w:t>carbon,</w:t>
      </w:r>
      <w:r>
        <w:rPr>
          <w:i/>
          <w:spacing w:val="-2"/>
          <w:sz w:val="16"/>
        </w:rPr>
        <w:t> </w:t>
      </w:r>
      <w:r>
        <w:rPr>
          <w:i/>
          <w:sz w:val="16"/>
        </w:rPr>
        <w:t>nitrogen</w:t>
      </w:r>
      <w:r>
        <w:rPr>
          <w:i/>
          <w:spacing w:val="-2"/>
          <w:sz w:val="16"/>
        </w:rPr>
        <w:t> </w:t>
      </w:r>
      <w:r>
        <w:rPr>
          <w:i/>
          <w:sz w:val="16"/>
        </w:rPr>
        <w:t>and sulfur</w:t>
      </w:r>
      <w:r>
        <w:rPr>
          <w:i/>
          <w:spacing w:val="-3"/>
          <w:sz w:val="16"/>
        </w:rPr>
        <w:t> </w:t>
      </w:r>
      <w:r>
        <w:rPr>
          <w:i/>
          <w:sz w:val="16"/>
        </w:rPr>
        <w:t>in</w:t>
      </w:r>
      <w:r>
        <w:rPr>
          <w:i/>
          <w:spacing w:val="-2"/>
          <w:sz w:val="16"/>
        </w:rPr>
        <w:t> </w:t>
      </w:r>
      <w:r>
        <w:rPr>
          <w:i/>
          <w:sz w:val="16"/>
        </w:rPr>
        <w:t>the</w:t>
      </w:r>
      <w:r>
        <w:rPr>
          <w:i/>
          <w:spacing w:val="-2"/>
          <w:sz w:val="16"/>
        </w:rPr>
        <w:t> </w:t>
      </w:r>
      <w:r>
        <w:rPr>
          <w:i/>
          <w:sz w:val="16"/>
        </w:rPr>
        <w:t>atmosphere</w:t>
      </w:r>
      <w:r>
        <w:rPr>
          <w:i/>
          <w:spacing w:val="-1"/>
          <w:sz w:val="16"/>
        </w:rPr>
        <w:t> </w:t>
      </w:r>
      <w:r>
        <w:rPr>
          <w:i/>
          <w:sz w:val="16"/>
        </w:rPr>
        <w:t>during</w:t>
      </w:r>
      <w:r>
        <w:rPr>
          <w:i/>
          <w:spacing w:val="-2"/>
          <w:sz w:val="16"/>
        </w:rPr>
        <w:t> </w:t>
      </w:r>
      <w:r>
        <w:rPr>
          <w:i/>
          <w:sz w:val="16"/>
        </w:rPr>
        <w:t>bushfires</w:t>
      </w:r>
      <w:r>
        <w:rPr>
          <w:i/>
          <w:spacing w:val="-3"/>
          <w:sz w:val="16"/>
        </w:rPr>
        <w:t> </w:t>
      </w:r>
      <w:r>
        <w:rPr>
          <w:i/>
          <w:sz w:val="16"/>
        </w:rPr>
        <w:t>in</w:t>
      </w:r>
      <w:r>
        <w:rPr>
          <w:i/>
          <w:spacing w:val="-2"/>
          <w:sz w:val="16"/>
        </w:rPr>
        <w:t> </w:t>
      </w:r>
      <w:r>
        <w:rPr>
          <w:i/>
          <w:sz w:val="16"/>
        </w:rPr>
        <w:t>intertropical</w:t>
      </w:r>
      <w:r>
        <w:rPr>
          <w:i/>
          <w:spacing w:val="-1"/>
          <w:sz w:val="16"/>
        </w:rPr>
        <w:t> </w:t>
      </w:r>
      <w:r>
        <w:rPr>
          <w:i/>
          <w:sz w:val="16"/>
        </w:rPr>
        <w:t>savannah</w:t>
      </w:r>
      <w:r>
        <w:rPr>
          <w:i/>
          <w:spacing w:val="1"/>
          <w:sz w:val="16"/>
        </w:rPr>
        <w:t> </w:t>
      </w:r>
      <w:r>
        <w:rPr>
          <w:i/>
          <w:sz w:val="16"/>
        </w:rPr>
        <w:t>zones.</w:t>
      </w:r>
    </w:p>
    <w:p>
      <w:pPr>
        <w:spacing w:before="1"/>
        <w:ind w:left="576" w:right="0" w:firstLine="0"/>
        <w:jc w:val="left"/>
        <w:rPr>
          <w:sz w:val="16"/>
        </w:rPr>
      </w:pPr>
      <w:r>
        <w:rPr>
          <w:sz w:val="16"/>
        </w:rPr>
        <w:t>GEOPHYSICAL RESEARCH LETTERS, 1982. </w:t>
      </w:r>
      <w:r>
        <w:rPr>
          <w:b/>
          <w:sz w:val="16"/>
        </w:rPr>
        <w:t>9</w:t>
      </w:r>
      <w:r>
        <w:rPr>
          <w:sz w:val="16"/>
        </w:rPr>
        <w:t>(7): p. 761-764.</w:t>
      </w:r>
    </w:p>
    <w:p>
      <w:pPr>
        <w:pStyle w:val="ListParagraph"/>
        <w:numPr>
          <w:ilvl w:val="0"/>
          <w:numId w:val="96"/>
        </w:numPr>
        <w:tabs>
          <w:tab w:pos="577" w:val="left" w:leader="none"/>
        </w:tabs>
        <w:spacing w:line="240" w:lineRule="auto" w:before="119" w:after="0"/>
        <w:ind w:left="576" w:right="328" w:hanging="357"/>
        <w:jc w:val="left"/>
        <w:rPr>
          <w:sz w:val="16"/>
        </w:rPr>
      </w:pPr>
      <w:r>
        <w:rPr>
          <w:sz w:val="16"/>
        </w:rPr>
        <w:t>Einfeld, W., D. Ward, and C. Hardy, </w:t>
      </w:r>
      <w:r>
        <w:rPr>
          <w:i/>
          <w:sz w:val="16"/>
        </w:rPr>
        <w:t>Effects of fire behaviour on prescribed fire smoke characteristics: A case study</w:t>
      </w:r>
      <w:r>
        <w:rPr>
          <w:sz w:val="16"/>
        </w:rPr>
        <w:t>, in </w:t>
      </w:r>
      <w:r>
        <w:rPr>
          <w:i/>
          <w:sz w:val="16"/>
        </w:rPr>
        <w:t>Global Biomass</w:t>
      </w:r>
      <w:r>
        <w:rPr>
          <w:i/>
          <w:spacing w:val="-6"/>
          <w:sz w:val="16"/>
        </w:rPr>
        <w:t> </w:t>
      </w:r>
      <w:r>
        <w:rPr>
          <w:i/>
          <w:sz w:val="16"/>
        </w:rPr>
        <w:t>Burning:</w:t>
      </w:r>
      <w:r>
        <w:rPr>
          <w:i/>
          <w:spacing w:val="-4"/>
          <w:sz w:val="16"/>
        </w:rPr>
        <w:t> </w:t>
      </w:r>
      <w:r>
        <w:rPr>
          <w:i/>
          <w:sz w:val="16"/>
        </w:rPr>
        <w:t>Atmospheric,</w:t>
      </w:r>
      <w:r>
        <w:rPr>
          <w:i/>
          <w:spacing w:val="-4"/>
          <w:sz w:val="16"/>
        </w:rPr>
        <w:t> </w:t>
      </w:r>
      <w:r>
        <w:rPr>
          <w:i/>
          <w:sz w:val="16"/>
        </w:rPr>
        <w:t>Climatic,</w:t>
      </w:r>
      <w:r>
        <w:rPr>
          <w:i/>
          <w:spacing w:val="-5"/>
          <w:sz w:val="16"/>
        </w:rPr>
        <w:t> </w:t>
      </w:r>
      <w:r>
        <w:rPr>
          <w:i/>
          <w:sz w:val="16"/>
        </w:rPr>
        <w:t>and</w:t>
      </w:r>
      <w:r>
        <w:rPr>
          <w:i/>
          <w:spacing w:val="-1"/>
          <w:sz w:val="16"/>
        </w:rPr>
        <w:t> </w:t>
      </w:r>
      <w:r>
        <w:rPr>
          <w:i/>
          <w:sz w:val="16"/>
        </w:rPr>
        <w:t>Biospheric</w:t>
      </w:r>
      <w:r>
        <w:rPr>
          <w:i/>
          <w:spacing w:val="-3"/>
          <w:sz w:val="16"/>
        </w:rPr>
        <w:t> </w:t>
      </w:r>
      <w:r>
        <w:rPr>
          <w:i/>
          <w:sz w:val="16"/>
        </w:rPr>
        <w:t>Implications</w:t>
      </w:r>
      <w:r>
        <w:rPr>
          <w:sz w:val="16"/>
        </w:rPr>
        <w:t>,</w:t>
      </w:r>
      <w:r>
        <w:rPr>
          <w:spacing w:val="-5"/>
          <w:sz w:val="16"/>
        </w:rPr>
        <w:t> </w:t>
      </w:r>
      <w:r>
        <w:rPr>
          <w:sz w:val="16"/>
        </w:rPr>
        <w:t>J.</w:t>
      </w:r>
      <w:r>
        <w:rPr>
          <w:spacing w:val="-2"/>
          <w:sz w:val="16"/>
        </w:rPr>
        <w:t> </w:t>
      </w:r>
      <w:r>
        <w:rPr>
          <w:sz w:val="16"/>
        </w:rPr>
        <w:t>Levine,</w:t>
      </w:r>
      <w:r>
        <w:rPr>
          <w:spacing w:val="-3"/>
          <w:sz w:val="16"/>
        </w:rPr>
        <w:t> </w:t>
      </w:r>
      <w:r>
        <w:rPr>
          <w:sz w:val="16"/>
        </w:rPr>
        <w:t>Editor.</w:t>
      </w:r>
      <w:r>
        <w:rPr>
          <w:spacing w:val="-4"/>
          <w:sz w:val="16"/>
        </w:rPr>
        <w:t> </w:t>
      </w:r>
      <w:r>
        <w:rPr>
          <w:sz w:val="16"/>
        </w:rPr>
        <w:t>1991,</w:t>
      </w:r>
      <w:r>
        <w:rPr>
          <w:spacing w:val="-5"/>
          <w:sz w:val="16"/>
        </w:rPr>
        <w:t> </w:t>
      </w:r>
      <w:r>
        <w:rPr>
          <w:sz w:val="16"/>
        </w:rPr>
        <w:t>MIT</w:t>
      </w:r>
      <w:r>
        <w:rPr>
          <w:spacing w:val="-5"/>
          <w:sz w:val="16"/>
        </w:rPr>
        <w:t> </w:t>
      </w:r>
      <w:r>
        <w:rPr>
          <w:sz w:val="16"/>
        </w:rPr>
        <w:t>Press:</w:t>
      </w:r>
      <w:r>
        <w:rPr>
          <w:spacing w:val="-5"/>
          <w:sz w:val="16"/>
        </w:rPr>
        <w:t> </w:t>
      </w:r>
      <w:r>
        <w:rPr>
          <w:sz w:val="16"/>
        </w:rPr>
        <w:t>Massechusetts.</w:t>
      </w:r>
      <w:r>
        <w:rPr>
          <w:spacing w:val="-4"/>
          <w:sz w:val="16"/>
        </w:rPr>
        <w:t> </w:t>
      </w:r>
      <w:r>
        <w:rPr>
          <w:sz w:val="16"/>
        </w:rPr>
        <w:t>p.</w:t>
      </w:r>
      <w:r>
        <w:rPr>
          <w:spacing w:val="-5"/>
          <w:sz w:val="16"/>
        </w:rPr>
        <w:t> </w:t>
      </w:r>
      <w:r>
        <w:rPr>
          <w:sz w:val="16"/>
        </w:rPr>
        <w:t>412-419.</w:t>
      </w:r>
    </w:p>
    <w:p>
      <w:pPr>
        <w:pStyle w:val="ListParagraph"/>
        <w:numPr>
          <w:ilvl w:val="0"/>
          <w:numId w:val="96"/>
        </w:numPr>
        <w:tabs>
          <w:tab w:pos="577" w:val="left" w:leader="none"/>
        </w:tabs>
        <w:spacing w:line="240" w:lineRule="auto" w:before="119" w:after="0"/>
        <w:ind w:left="576" w:right="712" w:hanging="357"/>
        <w:jc w:val="left"/>
        <w:rPr>
          <w:sz w:val="16"/>
        </w:rPr>
      </w:pPr>
      <w:r>
        <w:rPr>
          <w:sz w:val="16"/>
        </w:rPr>
        <w:t>Fearnside, P., N. Filho, and F. Fernandes, </w:t>
      </w:r>
      <w:r>
        <w:rPr>
          <w:i/>
          <w:sz w:val="16"/>
        </w:rPr>
        <w:t>Rainforest burning and the global carbon budget: biomass, combustion efficiency and charcoal formation in the Brazilian Amazon. </w:t>
      </w:r>
      <w:r>
        <w:rPr>
          <w:sz w:val="16"/>
        </w:rPr>
        <w:t>JOURNAL OF GEOPHYSICAL RESEARCH-ATMOSPHERES, 1993. </w:t>
      </w:r>
      <w:r>
        <w:rPr>
          <w:b/>
          <w:sz w:val="16"/>
        </w:rPr>
        <w:t>98</w:t>
      </w:r>
      <w:r>
        <w:rPr>
          <w:sz w:val="16"/>
        </w:rPr>
        <w:t>(D9): p. 16733-16743.</w:t>
      </w:r>
    </w:p>
    <w:p>
      <w:pPr>
        <w:pStyle w:val="ListParagraph"/>
        <w:numPr>
          <w:ilvl w:val="0"/>
          <w:numId w:val="96"/>
        </w:numPr>
        <w:tabs>
          <w:tab w:pos="577" w:val="left" w:leader="none"/>
        </w:tabs>
        <w:spacing w:line="240" w:lineRule="auto" w:before="120" w:after="0"/>
        <w:ind w:left="576" w:right="452" w:hanging="357"/>
        <w:jc w:val="left"/>
        <w:rPr>
          <w:sz w:val="16"/>
        </w:rPr>
      </w:pPr>
      <w:r>
        <w:rPr>
          <w:sz w:val="16"/>
        </w:rPr>
        <w:t>Fearnside, P., P. Graca, N. Filho, J. Rodrigues, and J. Robinson, </w:t>
      </w:r>
      <w:r>
        <w:rPr>
          <w:i/>
          <w:sz w:val="16"/>
        </w:rPr>
        <w:t>Tropical forest burning in Brazilian Amazonia: measurement of biomass loading, burning efficiency and charcoal formation at Altamira, Para. </w:t>
      </w:r>
      <w:r>
        <w:rPr>
          <w:sz w:val="16"/>
        </w:rPr>
        <w:t>FOREST ECOLOGY AND MANAGEMENT, 1999. </w:t>
      </w:r>
      <w:r>
        <w:rPr>
          <w:b/>
          <w:sz w:val="16"/>
        </w:rPr>
        <w:t>123</w:t>
      </w:r>
      <w:r>
        <w:rPr>
          <w:sz w:val="16"/>
        </w:rPr>
        <w:t>: p.</w:t>
      </w:r>
      <w:r>
        <w:rPr>
          <w:spacing w:val="-2"/>
          <w:sz w:val="16"/>
        </w:rPr>
        <w:t> </w:t>
      </w:r>
      <w:r>
        <w:rPr>
          <w:sz w:val="16"/>
        </w:rPr>
        <w:t>65-79.</w:t>
      </w:r>
    </w:p>
    <w:p>
      <w:pPr>
        <w:pStyle w:val="ListParagraph"/>
        <w:numPr>
          <w:ilvl w:val="0"/>
          <w:numId w:val="96"/>
        </w:numPr>
        <w:tabs>
          <w:tab w:pos="577" w:val="left" w:leader="none"/>
        </w:tabs>
        <w:spacing w:line="240" w:lineRule="auto" w:before="120" w:after="0"/>
        <w:ind w:left="576" w:right="721" w:hanging="357"/>
        <w:jc w:val="left"/>
        <w:rPr>
          <w:sz w:val="16"/>
        </w:rPr>
      </w:pPr>
      <w:r>
        <w:rPr>
          <w:sz w:val="16"/>
        </w:rPr>
        <w:t>Fearnside, P., P. Graca, and J. Rodrigues, </w:t>
      </w:r>
      <w:r>
        <w:rPr>
          <w:i/>
          <w:sz w:val="16"/>
        </w:rPr>
        <w:t>Burning of Amazonian rainforests: burning efficiency and charcoal formation in forest cleared for cattle pasture near Manaus, Brazil. </w:t>
      </w:r>
      <w:r>
        <w:rPr>
          <w:sz w:val="16"/>
        </w:rPr>
        <w:t>FOREST ECOLOGY AND MANAGEMENT, 2001. </w:t>
      </w:r>
      <w:r>
        <w:rPr>
          <w:b/>
          <w:sz w:val="16"/>
        </w:rPr>
        <w:t>146</w:t>
      </w:r>
      <w:r>
        <w:rPr>
          <w:sz w:val="16"/>
        </w:rPr>
        <w:t>: p.</w:t>
      </w:r>
      <w:r>
        <w:rPr>
          <w:spacing w:val="-17"/>
          <w:sz w:val="16"/>
        </w:rPr>
        <w:t> </w:t>
      </w:r>
      <w:r>
        <w:rPr>
          <w:sz w:val="16"/>
        </w:rPr>
        <w:t>115-128.</w:t>
      </w:r>
    </w:p>
    <w:p>
      <w:pPr>
        <w:pStyle w:val="ListParagraph"/>
        <w:numPr>
          <w:ilvl w:val="0"/>
          <w:numId w:val="96"/>
        </w:numPr>
        <w:tabs>
          <w:tab w:pos="577" w:val="left" w:leader="none"/>
        </w:tabs>
        <w:spacing w:line="240" w:lineRule="auto" w:before="119" w:after="0"/>
        <w:ind w:left="576" w:right="661" w:hanging="357"/>
        <w:jc w:val="left"/>
        <w:rPr>
          <w:sz w:val="16"/>
        </w:rPr>
      </w:pPr>
      <w:r>
        <w:rPr>
          <w:sz w:val="16"/>
        </w:rPr>
        <w:t>Feller, M. </w:t>
      </w:r>
      <w:r>
        <w:rPr>
          <w:i/>
          <w:sz w:val="16"/>
        </w:rPr>
        <w:t>The influence of fire severity, not fire intensity, on understory vegetation biomass in British Columbia</w:t>
      </w:r>
      <w:r>
        <w:rPr>
          <w:sz w:val="16"/>
        </w:rPr>
        <w:t>. in </w:t>
      </w:r>
      <w:r>
        <w:rPr>
          <w:i/>
          <w:sz w:val="16"/>
        </w:rPr>
        <w:t>13th Fire and Forest Meteorology Conference</w:t>
      </w:r>
      <w:r>
        <w:rPr>
          <w:sz w:val="16"/>
        </w:rPr>
        <w:t>. 1998. Lorne, Australia:</w:t>
      </w:r>
      <w:r>
        <w:rPr>
          <w:spacing w:val="-1"/>
          <w:sz w:val="16"/>
        </w:rPr>
        <w:t> </w:t>
      </w:r>
      <w:r>
        <w:rPr>
          <w:sz w:val="16"/>
        </w:rPr>
        <w:t>IAWF.</w:t>
      </w:r>
    </w:p>
    <w:p>
      <w:pPr>
        <w:pStyle w:val="ListParagraph"/>
        <w:numPr>
          <w:ilvl w:val="0"/>
          <w:numId w:val="96"/>
        </w:numPr>
        <w:tabs>
          <w:tab w:pos="577" w:val="left" w:leader="none"/>
        </w:tabs>
        <w:spacing w:line="240" w:lineRule="auto" w:before="120" w:after="0"/>
        <w:ind w:left="576" w:right="791" w:hanging="357"/>
        <w:jc w:val="left"/>
        <w:rPr>
          <w:sz w:val="16"/>
        </w:rPr>
      </w:pPr>
      <w:r>
        <w:rPr>
          <w:sz w:val="16"/>
        </w:rPr>
        <w:t>Flinn,</w:t>
      </w:r>
      <w:r>
        <w:rPr>
          <w:spacing w:val="-1"/>
          <w:sz w:val="16"/>
        </w:rPr>
        <w:t> </w:t>
      </w:r>
      <w:r>
        <w:rPr>
          <w:sz w:val="16"/>
        </w:rPr>
        <w:t>D.,</w:t>
      </w:r>
      <w:r>
        <w:rPr>
          <w:spacing w:val="-4"/>
          <w:sz w:val="16"/>
        </w:rPr>
        <w:t> </w:t>
      </w:r>
      <w:r>
        <w:rPr>
          <w:sz w:val="16"/>
        </w:rPr>
        <w:t>P.</w:t>
      </w:r>
      <w:r>
        <w:rPr>
          <w:spacing w:val="-2"/>
          <w:sz w:val="16"/>
        </w:rPr>
        <w:t> </w:t>
      </w:r>
      <w:r>
        <w:rPr>
          <w:sz w:val="16"/>
        </w:rPr>
        <w:t>Hopmans,</w:t>
      </w:r>
      <w:r>
        <w:rPr>
          <w:spacing w:val="-2"/>
          <w:sz w:val="16"/>
        </w:rPr>
        <w:t> </w:t>
      </w:r>
      <w:r>
        <w:rPr>
          <w:sz w:val="16"/>
        </w:rPr>
        <w:t>P. Farell,</w:t>
      </w:r>
      <w:r>
        <w:rPr>
          <w:spacing w:val="-2"/>
          <w:sz w:val="16"/>
        </w:rPr>
        <w:t> </w:t>
      </w:r>
      <w:r>
        <w:rPr>
          <w:sz w:val="16"/>
        </w:rPr>
        <w:t>and</w:t>
      </w:r>
      <w:r>
        <w:rPr>
          <w:spacing w:val="-3"/>
          <w:sz w:val="16"/>
        </w:rPr>
        <w:t> </w:t>
      </w:r>
      <w:r>
        <w:rPr>
          <w:sz w:val="16"/>
        </w:rPr>
        <w:t>J.</w:t>
      </w:r>
      <w:r>
        <w:rPr>
          <w:spacing w:val="-2"/>
          <w:sz w:val="16"/>
        </w:rPr>
        <w:t> </w:t>
      </w:r>
      <w:r>
        <w:rPr>
          <w:sz w:val="16"/>
        </w:rPr>
        <w:t>James,</w:t>
      </w:r>
      <w:r>
        <w:rPr>
          <w:spacing w:val="-4"/>
          <w:sz w:val="16"/>
        </w:rPr>
        <w:t> </w:t>
      </w:r>
      <w:r>
        <w:rPr>
          <w:i/>
          <w:sz w:val="16"/>
        </w:rPr>
        <w:t>Nutrient</w:t>
      </w:r>
      <w:r>
        <w:rPr>
          <w:i/>
          <w:spacing w:val="-3"/>
          <w:sz w:val="16"/>
        </w:rPr>
        <w:t> </w:t>
      </w:r>
      <w:r>
        <w:rPr>
          <w:i/>
          <w:sz w:val="16"/>
        </w:rPr>
        <w:t>loss</w:t>
      </w:r>
      <w:r>
        <w:rPr>
          <w:i/>
          <w:spacing w:val="-4"/>
          <w:sz w:val="16"/>
        </w:rPr>
        <w:t> </w:t>
      </w:r>
      <w:r>
        <w:rPr>
          <w:i/>
          <w:sz w:val="16"/>
        </w:rPr>
        <w:t>from</w:t>
      </w:r>
      <w:r>
        <w:rPr>
          <w:i/>
          <w:spacing w:val="-5"/>
          <w:sz w:val="16"/>
        </w:rPr>
        <w:t> </w:t>
      </w:r>
      <w:r>
        <w:rPr>
          <w:i/>
          <w:sz w:val="16"/>
        </w:rPr>
        <w:t>the</w:t>
      </w:r>
      <w:r>
        <w:rPr>
          <w:i/>
          <w:spacing w:val="-2"/>
          <w:sz w:val="16"/>
        </w:rPr>
        <w:t> </w:t>
      </w:r>
      <w:r>
        <w:rPr>
          <w:i/>
          <w:sz w:val="16"/>
        </w:rPr>
        <w:t>burning</w:t>
      </w:r>
      <w:r>
        <w:rPr>
          <w:i/>
          <w:spacing w:val="-3"/>
          <w:sz w:val="16"/>
        </w:rPr>
        <w:t> </w:t>
      </w:r>
      <w:r>
        <w:rPr>
          <w:i/>
          <w:sz w:val="16"/>
        </w:rPr>
        <w:t>of</w:t>
      </w:r>
      <w:r>
        <w:rPr>
          <w:i/>
          <w:spacing w:val="-1"/>
          <w:sz w:val="16"/>
        </w:rPr>
        <w:t> </w:t>
      </w:r>
      <w:r>
        <w:rPr>
          <w:i/>
          <w:sz w:val="16"/>
        </w:rPr>
        <w:t>Pinus</w:t>
      </w:r>
      <w:r>
        <w:rPr>
          <w:i/>
          <w:spacing w:val="-4"/>
          <w:sz w:val="16"/>
        </w:rPr>
        <w:t> </w:t>
      </w:r>
      <w:r>
        <w:rPr>
          <w:i/>
          <w:sz w:val="16"/>
        </w:rPr>
        <w:t>radiata</w:t>
      </w:r>
      <w:r>
        <w:rPr>
          <w:i/>
          <w:spacing w:val="-2"/>
          <w:sz w:val="16"/>
        </w:rPr>
        <w:t> </w:t>
      </w:r>
      <w:r>
        <w:rPr>
          <w:i/>
          <w:sz w:val="16"/>
        </w:rPr>
        <w:t>logging</w:t>
      </w:r>
      <w:r>
        <w:rPr>
          <w:i/>
          <w:spacing w:val="-1"/>
          <w:sz w:val="16"/>
        </w:rPr>
        <w:t> </w:t>
      </w:r>
      <w:r>
        <w:rPr>
          <w:i/>
          <w:sz w:val="16"/>
        </w:rPr>
        <w:t>residue.</w:t>
      </w:r>
      <w:r>
        <w:rPr>
          <w:i/>
          <w:spacing w:val="-6"/>
          <w:sz w:val="16"/>
        </w:rPr>
        <w:t> </w:t>
      </w:r>
      <w:r>
        <w:rPr>
          <w:sz w:val="16"/>
        </w:rPr>
        <w:t>AUSTRALIAN FOREST RESEARCH, 1979. </w:t>
      </w:r>
      <w:r>
        <w:rPr>
          <w:b/>
          <w:sz w:val="16"/>
        </w:rPr>
        <w:t>9</w:t>
      </w:r>
      <w:r>
        <w:rPr>
          <w:sz w:val="16"/>
        </w:rPr>
        <w:t>: p.</w:t>
      </w:r>
      <w:r>
        <w:rPr>
          <w:spacing w:val="-5"/>
          <w:sz w:val="16"/>
        </w:rPr>
        <w:t> </w:t>
      </w:r>
      <w:r>
        <w:rPr>
          <w:sz w:val="16"/>
        </w:rPr>
        <w:t>17-23.</w:t>
      </w:r>
    </w:p>
    <w:p>
      <w:pPr>
        <w:pStyle w:val="ListParagraph"/>
        <w:numPr>
          <w:ilvl w:val="0"/>
          <w:numId w:val="96"/>
        </w:numPr>
        <w:tabs>
          <w:tab w:pos="577" w:val="left" w:leader="none"/>
        </w:tabs>
        <w:spacing w:line="183" w:lineRule="exact" w:before="121" w:after="0"/>
        <w:ind w:left="576" w:right="0" w:hanging="357"/>
        <w:jc w:val="left"/>
        <w:rPr>
          <w:i/>
          <w:sz w:val="16"/>
        </w:rPr>
      </w:pPr>
      <w:r>
        <w:rPr>
          <w:sz w:val="16"/>
        </w:rPr>
        <w:t>Garnett, M., P. Ineson, and A. Stevenson, </w:t>
      </w:r>
      <w:r>
        <w:rPr>
          <w:i/>
          <w:sz w:val="16"/>
        </w:rPr>
        <w:t>Effects of burning and grazing on carbon sequestration in a Pennine blanket bog,</w:t>
      </w:r>
      <w:r>
        <w:rPr>
          <w:i/>
          <w:spacing w:val="-24"/>
          <w:sz w:val="16"/>
        </w:rPr>
        <w:t> </w:t>
      </w:r>
      <w:r>
        <w:rPr>
          <w:i/>
          <w:spacing w:val="-2"/>
          <w:sz w:val="16"/>
        </w:rPr>
        <w:t>UK.</w:t>
      </w:r>
    </w:p>
    <w:p>
      <w:pPr>
        <w:spacing w:line="183" w:lineRule="exact" w:before="0"/>
        <w:ind w:left="576" w:right="0" w:firstLine="0"/>
        <w:jc w:val="left"/>
        <w:rPr>
          <w:sz w:val="16"/>
        </w:rPr>
      </w:pPr>
      <w:r>
        <w:rPr>
          <w:sz w:val="16"/>
        </w:rPr>
        <w:t>HOLOCENE, 2000. </w:t>
      </w:r>
      <w:r>
        <w:rPr>
          <w:b/>
          <w:sz w:val="16"/>
        </w:rPr>
        <w:t>10</w:t>
      </w:r>
      <w:r>
        <w:rPr>
          <w:sz w:val="16"/>
        </w:rPr>
        <w:t>(6): p. 729-736.</w:t>
      </w:r>
    </w:p>
    <w:p>
      <w:pPr>
        <w:pStyle w:val="ListParagraph"/>
        <w:numPr>
          <w:ilvl w:val="0"/>
          <w:numId w:val="96"/>
        </w:numPr>
        <w:tabs>
          <w:tab w:pos="577" w:val="left" w:leader="none"/>
        </w:tabs>
        <w:spacing w:line="240" w:lineRule="auto" w:before="121" w:after="0"/>
        <w:ind w:left="576" w:right="438" w:hanging="357"/>
        <w:jc w:val="left"/>
        <w:rPr>
          <w:sz w:val="16"/>
        </w:rPr>
      </w:pPr>
      <w:r>
        <w:rPr>
          <w:sz w:val="16"/>
        </w:rPr>
        <w:t>Graca, P., P. Fearnside, and C. Cerri, </w:t>
      </w:r>
      <w:r>
        <w:rPr>
          <w:i/>
          <w:sz w:val="16"/>
        </w:rPr>
        <w:t>Burning of Amazonian forest in Ariquemes, Rondonia, Brazil: biomass, charcoal formation and burning efficiency. </w:t>
      </w:r>
      <w:r>
        <w:rPr>
          <w:sz w:val="16"/>
        </w:rPr>
        <w:t>FOREST ECOLOGY AND MANAGEMENT, 1999. </w:t>
      </w:r>
      <w:r>
        <w:rPr>
          <w:b/>
          <w:sz w:val="16"/>
        </w:rPr>
        <w:t>120</w:t>
      </w:r>
      <w:r>
        <w:rPr>
          <w:sz w:val="16"/>
        </w:rPr>
        <w:t>: p.</w:t>
      </w:r>
      <w:r>
        <w:rPr>
          <w:spacing w:val="-6"/>
          <w:sz w:val="16"/>
        </w:rPr>
        <w:t> </w:t>
      </w:r>
      <w:r>
        <w:rPr>
          <w:sz w:val="16"/>
        </w:rPr>
        <w:t>179-191.</w:t>
      </w:r>
    </w:p>
    <w:p>
      <w:pPr>
        <w:pStyle w:val="ListParagraph"/>
        <w:numPr>
          <w:ilvl w:val="0"/>
          <w:numId w:val="96"/>
        </w:numPr>
        <w:tabs>
          <w:tab w:pos="577" w:val="left" w:leader="none"/>
        </w:tabs>
        <w:spacing w:line="240" w:lineRule="auto" w:before="119" w:after="0"/>
        <w:ind w:left="576" w:right="348" w:hanging="357"/>
        <w:jc w:val="left"/>
        <w:rPr>
          <w:sz w:val="16"/>
        </w:rPr>
      </w:pPr>
      <w:r>
        <w:rPr>
          <w:sz w:val="16"/>
        </w:rPr>
        <w:t>Griffin, G. and M. Friedel, </w:t>
      </w:r>
      <w:r>
        <w:rPr>
          <w:i/>
          <w:sz w:val="16"/>
        </w:rPr>
        <w:t>Effects of fire on central Australian rangelands. I Fire and fuel characteristics and changes in herbage and nutrients. </w:t>
      </w:r>
      <w:r>
        <w:rPr>
          <w:sz w:val="16"/>
        </w:rPr>
        <w:t>AUSTRALIAN JOURNAL OF ECOLOGY, 1984. </w:t>
      </w:r>
      <w:r>
        <w:rPr>
          <w:b/>
          <w:sz w:val="16"/>
        </w:rPr>
        <w:t>9</w:t>
      </w:r>
      <w:r>
        <w:rPr>
          <w:sz w:val="16"/>
        </w:rPr>
        <w:t>: p.</w:t>
      </w:r>
      <w:r>
        <w:rPr>
          <w:spacing w:val="-9"/>
          <w:sz w:val="16"/>
        </w:rPr>
        <w:t> </w:t>
      </w:r>
      <w:r>
        <w:rPr>
          <w:sz w:val="16"/>
        </w:rPr>
        <w:t>381-393.</w:t>
      </w:r>
    </w:p>
    <w:p>
      <w:pPr>
        <w:pStyle w:val="ListParagraph"/>
        <w:numPr>
          <w:ilvl w:val="0"/>
          <w:numId w:val="96"/>
        </w:numPr>
        <w:tabs>
          <w:tab w:pos="577" w:val="left" w:leader="none"/>
        </w:tabs>
        <w:spacing w:line="240" w:lineRule="auto" w:before="119" w:after="0"/>
        <w:ind w:left="576" w:right="392" w:hanging="357"/>
        <w:jc w:val="left"/>
        <w:rPr>
          <w:sz w:val="16"/>
        </w:rPr>
      </w:pPr>
      <w:r>
        <w:rPr>
          <w:sz w:val="16"/>
        </w:rPr>
        <w:t>Guild, L., J. Kauffman, </w:t>
      </w:r>
      <w:r>
        <w:rPr>
          <w:spacing w:val="-3"/>
          <w:sz w:val="16"/>
        </w:rPr>
        <w:t>L. </w:t>
      </w:r>
      <w:r>
        <w:rPr>
          <w:sz w:val="16"/>
        </w:rPr>
        <w:t>Ellingson, and D. Cummings, </w:t>
      </w:r>
      <w:r>
        <w:rPr>
          <w:i/>
          <w:sz w:val="16"/>
        </w:rPr>
        <w:t>Dynamics associated with total aboveground biomass, C, nutrient pools, and biomass burning of primary forest and pasture in Rondonia, Brazil during SCAR-B. </w:t>
      </w:r>
      <w:r>
        <w:rPr>
          <w:sz w:val="16"/>
        </w:rPr>
        <w:t>JOURNAL OF GEOPHYSICAL RESEARCH- ATMOSPHERES, 1998. </w:t>
      </w:r>
      <w:r>
        <w:rPr>
          <w:b/>
          <w:sz w:val="16"/>
        </w:rPr>
        <w:t>103</w:t>
      </w:r>
      <w:r>
        <w:rPr>
          <w:sz w:val="16"/>
        </w:rPr>
        <w:t>(D24): p.</w:t>
      </w:r>
      <w:r>
        <w:rPr>
          <w:spacing w:val="-7"/>
          <w:sz w:val="16"/>
        </w:rPr>
        <w:t> </w:t>
      </w:r>
      <w:r>
        <w:rPr>
          <w:sz w:val="16"/>
        </w:rPr>
        <w:t>32091-32100.</w:t>
      </w:r>
    </w:p>
    <w:p>
      <w:pPr>
        <w:pStyle w:val="ListParagraph"/>
        <w:numPr>
          <w:ilvl w:val="0"/>
          <w:numId w:val="96"/>
        </w:numPr>
        <w:tabs>
          <w:tab w:pos="577" w:val="left" w:leader="none"/>
        </w:tabs>
        <w:spacing w:line="240" w:lineRule="auto" w:before="120" w:after="0"/>
        <w:ind w:left="576" w:right="582" w:hanging="357"/>
        <w:jc w:val="left"/>
        <w:rPr>
          <w:sz w:val="16"/>
        </w:rPr>
      </w:pPr>
      <w:r>
        <w:rPr>
          <w:sz w:val="16"/>
        </w:rPr>
        <w:t>Gupta, P., V. Prasad, C. Sharma, A. Sarkar, Y. Kant, K. Badarinath, and A. Mitra, </w:t>
      </w:r>
      <w:r>
        <w:rPr>
          <w:i/>
          <w:sz w:val="16"/>
        </w:rPr>
        <w:t>CH4 emissions from biomass burning of shifting cultivation areas of tropical deciduous forests - experimental results from ground - based measurements. </w:t>
      </w:r>
      <w:r>
        <w:rPr>
          <w:sz w:val="16"/>
        </w:rPr>
        <w:t>CHEMOSPHERE - GLOBAL CHANGE SCIENCE, 2001. </w:t>
      </w:r>
      <w:r>
        <w:rPr>
          <w:b/>
          <w:sz w:val="16"/>
        </w:rPr>
        <w:t>3</w:t>
      </w:r>
      <w:r>
        <w:rPr>
          <w:sz w:val="16"/>
        </w:rPr>
        <w:t>: p.</w:t>
      </w:r>
      <w:r>
        <w:rPr>
          <w:spacing w:val="-6"/>
          <w:sz w:val="16"/>
        </w:rPr>
        <w:t> </w:t>
      </w:r>
      <w:r>
        <w:rPr>
          <w:sz w:val="16"/>
        </w:rPr>
        <w:t>133-143.</w:t>
      </w:r>
    </w:p>
    <w:p>
      <w:pPr>
        <w:pStyle w:val="ListParagraph"/>
        <w:numPr>
          <w:ilvl w:val="0"/>
          <w:numId w:val="96"/>
        </w:numPr>
        <w:tabs>
          <w:tab w:pos="534" w:val="left" w:leader="none"/>
        </w:tabs>
        <w:spacing w:line="240" w:lineRule="auto" w:before="121" w:after="0"/>
        <w:ind w:left="576" w:right="263" w:hanging="357"/>
        <w:jc w:val="left"/>
        <w:rPr>
          <w:sz w:val="16"/>
        </w:rPr>
      </w:pPr>
      <w:r>
        <w:rPr>
          <w:sz w:val="16"/>
        </w:rPr>
        <w:t>Harwood, C. and W. Jackson, </w:t>
      </w:r>
      <w:r>
        <w:rPr>
          <w:i/>
          <w:sz w:val="16"/>
        </w:rPr>
        <w:t>Atmospheric losses of four plant nutrients during a forest fire. </w:t>
      </w:r>
      <w:r>
        <w:rPr>
          <w:sz w:val="16"/>
        </w:rPr>
        <w:t>AUSTRALIAN FORESTRY, 1975. </w:t>
      </w:r>
      <w:r>
        <w:rPr>
          <w:b/>
          <w:sz w:val="16"/>
        </w:rPr>
        <w:t>38</w:t>
      </w:r>
      <w:r>
        <w:rPr>
          <w:sz w:val="16"/>
        </w:rPr>
        <w:t>(2): p.</w:t>
      </w:r>
      <w:r>
        <w:rPr>
          <w:spacing w:val="-1"/>
          <w:sz w:val="16"/>
        </w:rPr>
        <w:t> </w:t>
      </w:r>
      <w:r>
        <w:rPr>
          <w:sz w:val="16"/>
        </w:rPr>
        <w:t>92-99.</w:t>
      </w:r>
    </w:p>
    <w:p>
      <w:pPr>
        <w:pStyle w:val="ListParagraph"/>
        <w:numPr>
          <w:ilvl w:val="0"/>
          <w:numId w:val="96"/>
        </w:numPr>
        <w:tabs>
          <w:tab w:pos="577" w:val="left" w:leader="none"/>
        </w:tabs>
        <w:spacing w:line="240" w:lineRule="auto" w:before="119" w:after="0"/>
        <w:ind w:left="576" w:right="0" w:hanging="357"/>
        <w:jc w:val="left"/>
        <w:rPr>
          <w:sz w:val="16"/>
        </w:rPr>
      </w:pPr>
      <w:r>
        <w:rPr>
          <w:sz w:val="16"/>
        </w:rPr>
        <w:t>Hobbs,</w:t>
      </w:r>
      <w:r>
        <w:rPr>
          <w:spacing w:val="-3"/>
          <w:sz w:val="16"/>
        </w:rPr>
        <w:t> </w:t>
      </w:r>
      <w:r>
        <w:rPr>
          <w:sz w:val="16"/>
        </w:rPr>
        <w:t>P.</w:t>
      </w:r>
      <w:r>
        <w:rPr>
          <w:spacing w:val="-2"/>
          <w:sz w:val="16"/>
        </w:rPr>
        <w:t> </w:t>
      </w:r>
      <w:r>
        <w:rPr>
          <w:sz w:val="16"/>
        </w:rPr>
        <w:t>and</w:t>
      </w:r>
      <w:r>
        <w:rPr>
          <w:spacing w:val="-2"/>
          <w:sz w:val="16"/>
        </w:rPr>
        <w:t> </w:t>
      </w:r>
      <w:r>
        <w:rPr>
          <w:sz w:val="16"/>
        </w:rPr>
        <w:t>C. Gimingham,</w:t>
      </w:r>
      <w:r>
        <w:rPr>
          <w:spacing w:val="-2"/>
          <w:sz w:val="16"/>
        </w:rPr>
        <w:t> </w:t>
      </w:r>
      <w:r>
        <w:rPr>
          <w:i/>
          <w:sz w:val="16"/>
        </w:rPr>
        <w:t>Studies</w:t>
      </w:r>
      <w:r>
        <w:rPr>
          <w:i/>
          <w:spacing w:val="-3"/>
          <w:sz w:val="16"/>
        </w:rPr>
        <w:t> </w:t>
      </w:r>
      <w:r>
        <w:rPr>
          <w:i/>
          <w:sz w:val="16"/>
        </w:rPr>
        <w:t>on</w:t>
      </w:r>
      <w:r>
        <w:rPr>
          <w:i/>
          <w:spacing w:val="1"/>
          <w:sz w:val="16"/>
        </w:rPr>
        <w:t> </w:t>
      </w:r>
      <w:r>
        <w:rPr>
          <w:i/>
          <w:sz w:val="16"/>
        </w:rPr>
        <w:t>fire</w:t>
      </w:r>
      <w:r>
        <w:rPr>
          <w:i/>
          <w:spacing w:val="-2"/>
          <w:sz w:val="16"/>
        </w:rPr>
        <w:t> </w:t>
      </w:r>
      <w:r>
        <w:rPr>
          <w:i/>
          <w:sz w:val="16"/>
        </w:rPr>
        <w:t>in</w:t>
      </w:r>
      <w:r>
        <w:rPr>
          <w:i/>
          <w:spacing w:val="-2"/>
          <w:sz w:val="16"/>
        </w:rPr>
        <w:t> </w:t>
      </w:r>
      <w:r>
        <w:rPr>
          <w:i/>
          <w:sz w:val="16"/>
        </w:rPr>
        <w:t>Scottish</w:t>
      </w:r>
      <w:r>
        <w:rPr>
          <w:i/>
          <w:spacing w:val="-3"/>
          <w:sz w:val="16"/>
        </w:rPr>
        <w:t> </w:t>
      </w:r>
      <w:r>
        <w:rPr>
          <w:i/>
          <w:sz w:val="16"/>
        </w:rPr>
        <w:t>heathland</w:t>
      </w:r>
      <w:r>
        <w:rPr>
          <w:i/>
          <w:spacing w:val="1"/>
          <w:sz w:val="16"/>
        </w:rPr>
        <w:t> </w:t>
      </w:r>
      <w:r>
        <w:rPr>
          <w:i/>
          <w:sz w:val="16"/>
        </w:rPr>
        <w:t>communities.</w:t>
      </w:r>
      <w:r>
        <w:rPr>
          <w:i/>
          <w:spacing w:val="-2"/>
          <w:sz w:val="16"/>
        </w:rPr>
        <w:t> </w:t>
      </w:r>
      <w:r>
        <w:rPr>
          <w:sz w:val="16"/>
        </w:rPr>
        <w:t>JOURNAL</w:t>
      </w:r>
      <w:r>
        <w:rPr>
          <w:spacing w:val="-5"/>
          <w:sz w:val="16"/>
        </w:rPr>
        <w:t> </w:t>
      </w:r>
      <w:r>
        <w:rPr>
          <w:sz w:val="16"/>
        </w:rPr>
        <w:t>OF</w:t>
      </w:r>
      <w:r>
        <w:rPr>
          <w:spacing w:val="-4"/>
          <w:sz w:val="16"/>
        </w:rPr>
        <w:t> </w:t>
      </w:r>
      <w:r>
        <w:rPr>
          <w:sz w:val="16"/>
        </w:rPr>
        <w:t>ECOLOGY, 1984.</w:t>
      </w:r>
      <w:r>
        <w:rPr>
          <w:spacing w:val="-2"/>
          <w:sz w:val="16"/>
        </w:rPr>
        <w:t> </w:t>
      </w:r>
      <w:r>
        <w:rPr>
          <w:b/>
          <w:sz w:val="16"/>
        </w:rPr>
        <w:t>72</w:t>
      </w:r>
      <w:r>
        <w:rPr>
          <w:sz w:val="16"/>
        </w:rPr>
        <w:t>:</w:t>
      </w:r>
      <w:r>
        <w:rPr>
          <w:spacing w:val="-2"/>
          <w:sz w:val="16"/>
        </w:rPr>
        <w:t> </w:t>
      </w:r>
      <w:r>
        <w:rPr>
          <w:sz w:val="16"/>
        </w:rPr>
        <w:t>p.</w:t>
      </w:r>
      <w:r>
        <w:rPr>
          <w:spacing w:val="-2"/>
          <w:sz w:val="16"/>
        </w:rPr>
        <w:t> </w:t>
      </w:r>
      <w:r>
        <w:rPr>
          <w:sz w:val="16"/>
        </w:rPr>
        <w:t>223-240.</w:t>
      </w:r>
    </w:p>
    <w:p>
      <w:pPr>
        <w:pStyle w:val="ListParagraph"/>
        <w:numPr>
          <w:ilvl w:val="0"/>
          <w:numId w:val="96"/>
        </w:numPr>
        <w:tabs>
          <w:tab w:pos="577" w:val="left" w:leader="none"/>
        </w:tabs>
        <w:spacing w:line="240" w:lineRule="auto" w:before="121" w:after="0"/>
        <w:ind w:left="576" w:right="337" w:hanging="357"/>
        <w:jc w:val="left"/>
        <w:rPr>
          <w:sz w:val="16"/>
        </w:rPr>
      </w:pPr>
      <w:r>
        <w:rPr>
          <w:sz w:val="16"/>
        </w:rPr>
        <w:t>Hobbs, P., J. Reid, J. Herring</w:t>
      </w:r>
      <w:r>
        <w:rPr>
          <w:i/>
          <w:sz w:val="16"/>
        </w:rPr>
        <w:t>, et al.</w:t>
      </w:r>
      <w:r>
        <w:rPr>
          <w:sz w:val="16"/>
        </w:rPr>
        <w:t>, </w:t>
      </w:r>
      <w:r>
        <w:rPr>
          <w:i/>
          <w:sz w:val="16"/>
        </w:rPr>
        <w:t>Particle and trace-gas measurements from prescribed burns of forest products in the Pacific Northwest</w:t>
      </w:r>
      <w:r>
        <w:rPr>
          <w:sz w:val="16"/>
        </w:rPr>
        <w:t>, in </w:t>
      </w:r>
      <w:r>
        <w:rPr>
          <w:i/>
          <w:sz w:val="16"/>
        </w:rPr>
        <w:t>Biomass Burning and Global Change: Volume 2. Biomass burning in South America, Southeast Asia, and temperate and boreal ecosystems, and the oil fires of Kuwait</w:t>
      </w:r>
      <w:r>
        <w:rPr>
          <w:sz w:val="16"/>
        </w:rPr>
        <w:t>, J. Levine, Editor. 1996, MIT Press: Cambridge. p.</w:t>
      </w:r>
      <w:r>
        <w:rPr>
          <w:spacing w:val="-18"/>
          <w:sz w:val="16"/>
        </w:rPr>
        <w:t> </w:t>
      </w:r>
      <w:r>
        <w:rPr>
          <w:sz w:val="16"/>
        </w:rPr>
        <w:t>697-715.</w:t>
      </w:r>
    </w:p>
    <w:p>
      <w:pPr>
        <w:pStyle w:val="ListParagraph"/>
        <w:numPr>
          <w:ilvl w:val="0"/>
          <w:numId w:val="96"/>
        </w:numPr>
        <w:tabs>
          <w:tab w:pos="577" w:val="left" w:leader="none"/>
        </w:tabs>
        <w:spacing w:line="240" w:lineRule="auto" w:before="117" w:after="0"/>
        <w:ind w:left="576" w:right="816" w:hanging="357"/>
        <w:jc w:val="left"/>
        <w:rPr>
          <w:sz w:val="16"/>
        </w:rPr>
      </w:pPr>
      <w:r>
        <w:rPr>
          <w:sz w:val="16"/>
        </w:rPr>
        <w:t>Hoffa, E., D. Ward, W. Hao, R. Susott, and R. Wakimoto, </w:t>
      </w:r>
      <w:r>
        <w:rPr>
          <w:i/>
          <w:sz w:val="16"/>
        </w:rPr>
        <w:t>Seasonality of carbon emissions from biomass burning in a Zambian savanna. </w:t>
      </w:r>
      <w:r>
        <w:rPr>
          <w:sz w:val="16"/>
        </w:rPr>
        <w:t>JOURNAL OF GEOPHYSICAL RESEARCH-ATMOSPHERES, 1999. </w:t>
      </w:r>
      <w:r>
        <w:rPr>
          <w:b/>
          <w:sz w:val="16"/>
        </w:rPr>
        <w:t>104</w:t>
      </w:r>
      <w:r>
        <w:rPr>
          <w:sz w:val="16"/>
        </w:rPr>
        <w:t>(D11): p.</w:t>
      </w:r>
      <w:r>
        <w:rPr>
          <w:spacing w:val="-14"/>
          <w:sz w:val="16"/>
        </w:rPr>
        <w:t> </w:t>
      </w:r>
      <w:r>
        <w:rPr>
          <w:sz w:val="16"/>
        </w:rPr>
        <w:t>13841-13853.</w:t>
      </w:r>
    </w:p>
    <w:p>
      <w:pPr>
        <w:pStyle w:val="ListParagraph"/>
        <w:numPr>
          <w:ilvl w:val="0"/>
          <w:numId w:val="96"/>
        </w:numPr>
        <w:tabs>
          <w:tab w:pos="577" w:val="left" w:leader="none"/>
        </w:tabs>
        <w:spacing w:line="183" w:lineRule="exact" w:before="122" w:after="0"/>
        <w:ind w:left="576" w:right="0" w:hanging="357"/>
        <w:jc w:val="left"/>
        <w:rPr>
          <w:sz w:val="16"/>
        </w:rPr>
      </w:pPr>
      <w:r>
        <w:rPr>
          <w:sz w:val="16"/>
        </w:rPr>
        <w:t>Hopkins,</w:t>
      </w:r>
      <w:r>
        <w:rPr>
          <w:spacing w:val="-3"/>
          <w:sz w:val="16"/>
        </w:rPr>
        <w:t> </w:t>
      </w:r>
      <w:r>
        <w:rPr>
          <w:sz w:val="16"/>
        </w:rPr>
        <w:t>B., </w:t>
      </w:r>
      <w:r>
        <w:rPr>
          <w:i/>
          <w:sz w:val="16"/>
        </w:rPr>
        <w:t>Observations</w:t>
      </w:r>
      <w:r>
        <w:rPr>
          <w:i/>
          <w:spacing w:val="-3"/>
          <w:sz w:val="16"/>
        </w:rPr>
        <w:t> </w:t>
      </w:r>
      <w:r>
        <w:rPr>
          <w:i/>
          <w:sz w:val="16"/>
        </w:rPr>
        <w:t>on</w:t>
      </w:r>
      <w:r>
        <w:rPr>
          <w:i/>
          <w:spacing w:val="-3"/>
          <w:sz w:val="16"/>
        </w:rPr>
        <w:t> </w:t>
      </w:r>
      <w:r>
        <w:rPr>
          <w:i/>
          <w:sz w:val="16"/>
        </w:rPr>
        <w:t>savanna</w:t>
      </w:r>
      <w:r>
        <w:rPr>
          <w:i/>
          <w:spacing w:val="-2"/>
          <w:sz w:val="16"/>
        </w:rPr>
        <w:t> </w:t>
      </w:r>
      <w:r>
        <w:rPr>
          <w:i/>
          <w:sz w:val="16"/>
        </w:rPr>
        <w:t>burning</w:t>
      </w:r>
      <w:r>
        <w:rPr>
          <w:i/>
          <w:spacing w:val="-2"/>
          <w:sz w:val="16"/>
        </w:rPr>
        <w:t> </w:t>
      </w:r>
      <w:r>
        <w:rPr>
          <w:i/>
          <w:sz w:val="16"/>
        </w:rPr>
        <w:t>in</w:t>
      </w:r>
      <w:r>
        <w:rPr>
          <w:i/>
          <w:spacing w:val="-3"/>
          <w:sz w:val="16"/>
        </w:rPr>
        <w:t> </w:t>
      </w:r>
      <w:r>
        <w:rPr>
          <w:i/>
          <w:sz w:val="16"/>
        </w:rPr>
        <w:t>the</w:t>
      </w:r>
      <w:r>
        <w:rPr>
          <w:i/>
          <w:spacing w:val="-2"/>
          <w:sz w:val="16"/>
        </w:rPr>
        <w:t> </w:t>
      </w:r>
      <w:r>
        <w:rPr>
          <w:i/>
          <w:sz w:val="16"/>
        </w:rPr>
        <w:t>Olokemeji</w:t>
      </w:r>
      <w:r>
        <w:rPr>
          <w:i/>
          <w:spacing w:val="-2"/>
          <w:sz w:val="16"/>
        </w:rPr>
        <w:t> </w:t>
      </w:r>
      <w:r>
        <w:rPr>
          <w:i/>
          <w:sz w:val="16"/>
        </w:rPr>
        <w:t>forest</w:t>
      </w:r>
      <w:r>
        <w:rPr>
          <w:i/>
          <w:spacing w:val="-1"/>
          <w:sz w:val="16"/>
        </w:rPr>
        <w:t> </w:t>
      </w:r>
      <w:r>
        <w:rPr>
          <w:i/>
          <w:sz w:val="16"/>
        </w:rPr>
        <w:t>reserve,</w:t>
      </w:r>
      <w:r>
        <w:rPr>
          <w:i/>
          <w:spacing w:val="-2"/>
          <w:sz w:val="16"/>
        </w:rPr>
        <w:t> </w:t>
      </w:r>
      <w:r>
        <w:rPr>
          <w:i/>
          <w:sz w:val="16"/>
        </w:rPr>
        <w:t>Nigeria.</w:t>
      </w:r>
      <w:r>
        <w:rPr>
          <w:i/>
          <w:spacing w:val="-2"/>
          <w:sz w:val="16"/>
        </w:rPr>
        <w:t> </w:t>
      </w:r>
      <w:r>
        <w:rPr>
          <w:sz w:val="16"/>
        </w:rPr>
        <w:t>JOURNAL</w:t>
      </w:r>
      <w:r>
        <w:rPr>
          <w:spacing w:val="-5"/>
          <w:sz w:val="16"/>
        </w:rPr>
        <w:t> </w:t>
      </w:r>
      <w:r>
        <w:rPr>
          <w:sz w:val="16"/>
        </w:rPr>
        <w:t>OF</w:t>
      </w:r>
      <w:r>
        <w:rPr>
          <w:spacing w:val="-2"/>
          <w:sz w:val="16"/>
        </w:rPr>
        <w:t> </w:t>
      </w:r>
      <w:r>
        <w:rPr>
          <w:sz w:val="16"/>
        </w:rPr>
        <w:t>APPLIED</w:t>
      </w:r>
      <w:r>
        <w:rPr>
          <w:spacing w:val="-2"/>
          <w:sz w:val="16"/>
        </w:rPr>
        <w:t> </w:t>
      </w:r>
      <w:r>
        <w:rPr>
          <w:sz w:val="16"/>
        </w:rPr>
        <w:t>ECOLOGY, 1965.</w:t>
      </w:r>
    </w:p>
    <w:p>
      <w:pPr>
        <w:spacing w:line="183" w:lineRule="exact" w:before="0"/>
        <w:ind w:left="576" w:right="0" w:firstLine="0"/>
        <w:jc w:val="left"/>
        <w:rPr>
          <w:sz w:val="16"/>
        </w:rPr>
      </w:pPr>
      <w:r>
        <w:rPr>
          <w:b/>
          <w:sz w:val="16"/>
        </w:rPr>
        <w:t>2</w:t>
      </w:r>
      <w:r>
        <w:rPr>
          <w:sz w:val="16"/>
        </w:rPr>
        <w:t>(2): p. 367-381.</w:t>
      </w:r>
    </w:p>
    <w:p>
      <w:pPr>
        <w:pStyle w:val="ListParagraph"/>
        <w:numPr>
          <w:ilvl w:val="0"/>
          <w:numId w:val="96"/>
        </w:numPr>
        <w:tabs>
          <w:tab w:pos="578" w:val="left" w:leader="none"/>
        </w:tabs>
        <w:spacing w:line="240" w:lineRule="auto" w:before="121" w:after="0"/>
        <w:ind w:left="576" w:right="1024" w:hanging="357"/>
        <w:jc w:val="left"/>
        <w:rPr>
          <w:sz w:val="16"/>
        </w:rPr>
      </w:pPr>
      <w:r>
        <w:rPr>
          <w:sz w:val="16"/>
        </w:rPr>
        <w:t>Hughes, R., J. Kauffman, and D. Cummings, </w:t>
      </w:r>
      <w:r>
        <w:rPr>
          <w:i/>
          <w:sz w:val="16"/>
        </w:rPr>
        <w:t>Fire in the Brazilian Amazon 3. Dynamics of biomass, C, and nutrient pools in regenerating forests. </w:t>
      </w:r>
      <w:r>
        <w:rPr>
          <w:sz w:val="16"/>
        </w:rPr>
        <w:t>OECOLOGIA, 2000. </w:t>
      </w:r>
      <w:r>
        <w:rPr>
          <w:b/>
          <w:sz w:val="16"/>
        </w:rPr>
        <w:t>124</w:t>
      </w:r>
      <w:r>
        <w:rPr>
          <w:sz w:val="16"/>
        </w:rPr>
        <w:t>(4): p.</w:t>
      </w:r>
      <w:r>
        <w:rPr>
          <w:spacing w:val="-3"/>
          <w:sz w:val="16"/>
        </w:rPr>
        <w:t> </w:t>
      </w:r>
      <w:r>
        <w:rPr>
          <w:sz w:val="16"/>
        </w:rPr>
        <w:t>574-588.</w:t>
      </w:r>
    </w:p>
    <w:p>
      <w:pPr>
        <w:pStyle w:val="ListParagraph"/>
        <w:numPr>
          <w:ilvl w:val="0"/>
          <w:numId w:val="96"/>
        </w:numPr>
        <w:tabs>
          <w:tab w:pos="578" w:val="left" w:leader="none"/>
        </w:tabs>
        <w:spacing w:line="240" w:lineRule="auto" w:before="119" w:after="0"/>
        <w:ind w:left="576" w:right="751" w:hanging="357"/>
        <w:jc w:val="left"/>
        <w:rPr>
          <w:sz w:val="16"/>
        </w:rPr>
      </w:pPr>
      <w:r>
        <w:rPr>
          <w:sz w:val="16"/>
        </w:rPr>
        <w:t>Hurst,</w:t>
      </w:r>
      <w:r>
        <w:rPr>
          <w:spacing w:val="-3"/>
          <w:sz w:val="16"/>
        </w:rPr>
        <w:t> </w:t>
      </w:r>
      <w:r>
        <w:rPr>
          <w:sz w:val="16"/>
        </w:rPr>
        <w:t>D.,</w:t>
      </w:r>
      <w:r>
        <w:rPr>
          <w:spacing w:val="-1"/>
          <w:sz w:val="16"/>
        </w:rPr>
        <w:t> </w:t>
      </w:r>
      <w:r>
        <w:rPr>
          <w:sz w:val="16"/>
        </w:rPr>
        <w:t>W.</w:t>
      </w:r>
      <w:r>
        <w:rPr>
          <w:spacing w:val="-1"/>
          <w:sz w:val="16"/>
        </w:rPr>
        <w:t> </w:t>
      </w:r>
      <w:r>
        <w:rPr>
          <w:sz w:val="16"/>
        </w:rPr>
        <w:t>Griffith,</w:t>
      </w:r>
      <w:r>
        <w:rPr>
          <w:spacing w:val="-2"/>
          <w:sz w:val="16"/>
        </w:rPr>
        <w:t> </w:t>
      </w:r>
      <w:r>
        <w:rPr>
          <w:sz w:val="16"/>
        </w:rPr>
        <w:t>and G.</w:t>
      </w:r>
      <w:r>
        <w:rPr>
          <w:spacing w:val="-1"/>
          <w:sz w:val="16"/>
        </w:rPr>
        <w:t> </w:t>
      </w:r>
      <w:r>
        <w:rPr>
          <w:sz w:val="16"/>
        </w:rPr>
        <w:t>Cook,</w:t>
      </w:r>
      <w:r>
        <w:rPr>
          <w:spacing w:val="-1"/>
          <w:sz w:val="16"/>
        </w:rPr>
        <w:t> </w:t>
      </w:r>
      <w:r>
        <w:rPr>
          <w:i/>
          <w:sz w:val="16"/>
        </w:rPr>
        <w:t>Trace</w:t>
      </w:r>
      <w:r>
        <w:rPr>
          <w:i/>
          <w:spacing w:val="-2"/>
          <w:sz w:val="16"/>
        </w:rPr>
        <w:t> </w:t>
      </w:r>
      <w:r>
        <w:rPr>
          <w:i/>
          <w:sz w:val="16"/>
        </w:rPr>
        <w:t>gas</w:t>
      </w:r>
      <w:r>
        <w:rPr>
          <w:i/>
          <w:spacing w:val="-4"/>
          <w:sz w:val="16"/>
        </w:rPr>
        <w:t> </w:t>
      </w:r>
      <w:r>
        <w:rPr>
          <w:i/>
          <w:sz w:val="16"/>
        </w:rPr>
        <w:t>emissions</w:t>
      </w:r>
      <w:r>
        <w:rPr>
          <w:i/>
          <w:spacing w:val="-4"/>
          <w:sz w:val="16"/>
        </w:rPr>
        <w:t> </w:t>
      </w:r>
      <w:r>
        <w:rPr>
          <w:i/>
          <w:sz w:val="16"/>
        </w:rPr>
        <w:t>from</w:t>
      </w:r>
      <w:r>
        <w:rPr>
          <w:i/>
          <w:spacing w:val="-4"/>
          <w:sz w:val="16"/>
        </w:rPr>
        <w:t> </w:t>
      </w:r>
      <w:r>
        <w:rPr>
          <w:i/>
          <w:sz w:val="16"/>
        </w:rPr>
        <w:t>biomass</w:t>
      </w:r>
      <w:r>
        <w:rPr>
          <w:i/>
          <w:spacing w:val="-4"/>
          <w:sz w:val="16"/>
        </w:rPr>
        <w:t> </w:t>
      </w:r>
      <w:r>
        <w:rPr>
          <w:i/>
          <w:sz w:val="16"/>
        </w:rPr>
        <w:t>burning</w:t>
      </w:r>
      <w:r>
        <w:rPr>
          <w:i/>
          <w:spacing w:val="-3"/>
          <w:sz w:val="16"/>
        </w:rPr>
        <w:t> </w:t>
      </w:r>
      <w:r>
        <w:rPr>
          <w:i/>
          <w:sz w:val="16"/>
        </w:rPr>
        <w:t>in</w:t>
      </w:r>
      <w:r>
        <w:rPr>
          <w:i/>
          <w:spacing w:val="-2"/>
          <w:sz w:val="16"/>
        </w:rPr>
        <w:t> </w:t>
      </w:r>
      <w:r>
        <w:rPr>
          <w:i/>
          <w:sz w:val="16"/>
        </w:rPr>
        <w:t>tropical</w:t>
      </w:r>
      <w:r>
        <w:rPr>
          <w:i/>
          <w:spacing w:val="-3"/>
          <w:sz w:val="16"/>
        </w:rPr>
        <w:t> </w:t>
      </w:r>
      <w:r>
        <w:rPr>
          <w:i/>
          <w:sz w:val="16"/>
        </w:rPr>
        <w:t>Australian savannas.</w:t>
      </w:r>
      <w:r>
        <w:rPr>
          <w:i/>
          <w:spacing w:val="-5"/>
          <w:sz w:val="16"/>
        </w:rPr>
        <w:t> </w:t>
      </w:r>
      <w:r>
        <w:rPr>
          <w:sz w:val="16"/>
        </w:rPr>
        <w:t>JOURNAL</w:t>
      </w:r>
      <w:r>
        <w:rPr>
          <w:spacing w:val="-6"/>
          <w:sz w:val="16"/>
        </w:rPr>
        <w:t> </w:t>
      </w:r>
      <w:r>
        <w:rPr>
          <w:sz w:val="16"/>
        </w:rPr>
        <w:t>OF GEOPHYSICAL RESEARCH, 1994. </w:t>
      </w:r>
      <w:r>
        <w:rPr>
          <w:b/>
          <w:sz w:val="16"/>
        </w:rPr>
        <w:t>99</w:t>
      </w:r>
      <w:r>
        <w:rPr>
          <w:sz w:val="16"/>
        </w:rPr>
        <w:t>(D8): p.</w:t>
      </w:r>
      <w:r>
        <w:rPr>
          <w:spacing w:val="-5"/>
          <w:sz w:val="16"/>
        </w:rPr>
        <w:t> </w:t>
      </w:r>
      <w:r>
        <w:rPr>
          <w:sz w:val="16"/>
        </w:rPr>
        <w:t>16441-16456.</w:t>
      </w:r>
    </w:p>
    <w:p>
      <w:pPr>
        <w:pStyle w:val="ListParagraph"/>
        <w:numPr>
          <w:ilvl w:val="0"/>
          <w:numId w:val="96"/>
        </w:numPr>
        <w:tabs>
          <w:tab w:pos="577" w:val="left" w:leader="none"/>
        </w:tabs>
        <w:spacing w:line="240" w:lineRule="auto" w:before="119" w:after="0"/>
        <w:ind w:left="576" w:right="343" w:hanging="357"/>
        <w:jc w:val="left"/>
        <w:rPr>
          <w:sz w:val="16"/>
        </w:rPr>
      </w:pPr>
      <w:r>
        <w:rPr>
          <w:sz w:val="16"/>
        </w:rPr>
        <w:t>Jackson, W., </w:t>
      </w:r>
      <w:r>
        <w:rPr>
          <w:i/>
          <w:sz w:val="16"/>
        </w:rPr>
        <w:t>Nutrient stocks in Tasmanian vegetation and approximate losses due to fire. </w:t>
      </w:r>
      <w:r>
        <w:rPr>
          <w:sz w:val="16"/>
        </w:rPr>
        <w:t>Papers and proceedings of the Royal Society of Tasmania, 2000. </w:t>
      </w:r>
      <w:r>
        <w:rPr>
          <w:b/>
          <w:sz w:val="16"/>
        </w:rPr>
        <w:t>134</w:t>
      </w:r>
      <w:r>
        <w:rPr>
          <w:sz w:val="16"/>
        </w:rPr>
        <w:t>: p.</w:t>
      </w:r>
      <w:r>
        <w:rPr>
          <w:spacing w:val="-6"/>
          <w:sz w:val="16"/>
        </w:rPr>
        <w:t> </w:t>
      </w:r>
      <w:r>
        <w:rPr>
          <w:sz w:val="16"/>
        </w:rPr>
        <w:t>1-18.</w:t>
      </w:r>
    </w:p>
    <w:p>
      <w:pPr>
        <w:spacing w:after="0" w:line="240" w:lineRule="auto"/>
        <w:jc w:val="left"/>
        <w:rPr>
          <w:sz w:val="16"/>
        </w:rPr>
        <w:sectPr>
          <w:footerReference w:type="even" r:id="rId203"/>
          <w:footerReference w:type="default" r:id="rId204"/>
          <w:pgSz w:w="11900" w:h="16840"/>
          <w:pgMar w:footer="408" w:header="230" w:top="560" w:bottom="600" w:left="1200" w:right="1140"/>
          <w:pgNumType w:start="182"/>
        </w:sectPr>
      </w:pPr>
    </w:p>
    <w:p>
      <w:pPr>
        <w:pStyle w:val="BodyText"/>
      </w:pPr>
    </w:p>
    <w:p>
      <w:pPr>
        <w:pStyle w:val="BodyText"/>
        <w:spacing w:before="3"/>
        <w:rPr>
          <w:sz w:val="18"/>
        </w:rPr>
      </w:pPr>
    </w:p>
    <w:p>
      <w:pPr>
        <w:pStyle w:val="ListParagraph"/>
        <w:numPr>
          <w:ilvl w:val="0"/>
          <w:numId w:val="96"/>
        </w:numPr>
        <w:tabs>
          <w:tab w:pos="577" w:val="left" w:leader="none"/>
        </w:tabs>
        <w:spacing w:line="240" w:lineRule="auto" w:before="0" w:after="0"/>
        <w:ind w:left="576" w:right="499" w:hanging="357"/>
        <w:jc w:val="left"/>
        <w:rPr>
          <w:sz w:val="16"/>
        </w:rPr>
      </w:pPr>
      <w:r>
        <w:rPr>
          <w:sz w:val="16"/>
        </w:rPr>
        <w:t>Kasischke, E., N. French, </w:t>
      </w:r>
      <w:r>
        <w:rPr>
          <w:spacing w:val="-3"/>
          <w:sz w:val="16"/>
        </w:rPr>
        <w:t>L. </w:t>
      </w:r>
      <w:r>
        <w:rPr>
          <w:sz w:val="16"/>
        </w:rPr>
        <w:t>Bourgeau-Chavez, and N. Christensen, </w:t>
      </w:r>
      <w:r>
        <w:rPr>
          <w:i/>
          <w:sz w:val="16"/>
        </w:rPr>
        <w:t>Estimating release of carbon from 1990 and 1991 forest fires in Alaska. </w:t>
      </w:r>
      <w:r>
        <w:rPr>
          <w:sz w:val="16"/>
        </w:rPr>
        <w:t>JOURNAL OF GEOPHYSICAL RESEARCH-ATMOSPHERES, 1995. </w:t>
      </w:r>
      <w:r>
        <w:rPr>
          <w:b/>
          <w:sz w:val="16"/>
        </w:rPr>
        <w:t>100</w:t>
      </w:r>
      <w:r>
        <w:rPr>
          <w:sz w:val="16"/>
        </w:rPr>
        <w:t>(D2): p.</w:t>
      </w:r>
      <w:r>
        <w:rPr>
          <w:spacing w:val="-11"/>
          <w:sz w:val="16"/>
        </w:rPr>
        <w:t> </w:t>
      </w:r>
      <w:r>
        <w:rPr>
          <w:sz w:val="16"/>
        </w:rPr>
        <w:t>2941-2951.</w:t>
      </w:r>
    </w:p>
    <w:p>
      <w:pPr>
        <w:pStyle w:val="ListParagraph"/>
        <w:numPr>
          <w:ilvl w:val="0"/>
          <w:numId w:val="96"/>
        </w:numPr>
        <w:tabs>
          <w:tab w:pos="577" w:val="left" w:leader="none"/>
        </w:tabs>
        <w:spacing w:line="240" w:lineRule="auto" w:before="122" w:after="0"/>
        <w:ind w:left="576" w:right="423" w:hanging="357"/>
        <w:jc w:val="left"/>
        <w:rPr>
          <w:sz w:val="16"/>
        </w:rPr>
      </w:pPr>
      <w:r>
        <w:rPr>
          <w:sz w:val="16"/>
        </w:rPr>
        <w:t>Kauffman, J. and C. Uhl, </w:t>
      </w:r>
      <w:r>
        <w:rPr>
          <w:i/>
          <w:sz w:val="16"/>
        </w:rPr>
        <w:t>8 interactions of anthropogenic activities, fire, and rain forests in the Amazon Basin</w:t>
      </w:r>
      <w:r>
        <w:rPr>
          <w:sz w:val="16"/>
        </w:rPr>
        <w:t>, in </w:t>
      </w:r>
      <w:r>
        <w:rPr>
          <w:i/>
          <w:sz w:val="16"/>
        </w:rPr>
        <w:t>Fire in the Tropical Biota: Ecosystem Processes and Global Changes</w:t>
      </w:r>
      <w:r>
        <w:rPr>
          <w:sz w:val="16"/>
        </w:rPr>
        <w:t>, J. Goldammer, Editor. 1990, Springer-Verlag: Berlin. p.</w:t>
      </w:r>
      <w:r>
        <w:rPr>
          <w:spacing w:val="-22"/>
          <w:sz w:val="16"/>
        </w:rPr>
        <w:t> </w:t>
      </w:r>
      <w:r>
        <w:rPr>
          <w:sz w:val="16"/>
        </w:rPr>
        <w:t>117-134.</w:t>
      </w:r>
    </w:p>
    <w:p>
      <w:pPr>
        <w:pStyle w:val="ListParagraph"/>
        <w:numPr>
          <w:ilvl w:val="0"/>
          <w:numId w:val="96"/>
        </w:numPr>
        <w:tabs>
          <w:tab w:pos="577" w:val="left" w:leader="none"/>
        </w:tabs>
        <w:spacing w:line="240" w:lineRule="auto" w:before="119" w:after="0"/>
        <w:ind w:left="576" w:right="608" w:hanging="357"/>
        <w:jc w:val="left"/>
        <w:rPr>
          <w:sz w:val="16"/>
        </w:rPr>
      </w:pPr>
      <w:r>
        <w:rPr>
          <w:sz w:val="16"/>
        </w:rPr>
        <w:t>Kauffman, J., R. Sanford, D. Cummings, </w:t>
      </w:r>
      <w:r>
        <w:rPr>
          <w:spacing w:val="-3"/>
          <w:sz w:val="16"/>
        </w:rPr>
        <w:t>I. </w:t>
      </w:r>
      <w:r>
        <w:rPr>
          <w:sz w:val="16"/>
        </w:rPr>
        <w:t>Salcedo, and E. Sampaio, </w:t>
      </w:r>
      <w:r>
        <w:rPr>
          <w:i/>
          <w:sz w:val="16"/>
        </w:rPr>
        <w:t>Biomass and nutrient dynamics associated with slash fires in neotropical dry forests. </w:t>
      </w:r>
      <w:r>
        <w:rPr>
          <w:sz w:val="16"/>
        </w:rPr>
        <w:t>ECOLOGY, 1993. </w:t>
      </w:r>
      <w:r>
        <w:rPr>
          <w:b/>
          <w:sz w:val="16"/>
        </w:rPr>
        <w:t>74</w:t>
      </w:r>
      <w:r>
        <w:rPr>
          <w:sz w:val="16"/>
        </w:rPr>
        <w:t>(1): p.</w:t>
      </w:r>
      <w:r>
        <w:rPr>
          <w:spacing w:val="-5"/>
          <w:sz w:val="16"/>
        </w:rPr>
        <w:t> </w:t>
      </w:r>
      <w:r>
        <w:rPr>
          <w:sz w:val="16"/>
        </w:rPr>
        <w:t>140-151.</w:t>
      </w:r>
    </w:p>
    <w:p>
      <w:pPr>
        <w:pStyle w:val="ListParagraph"/>
        <w:numPr>
          <w:ilvl w:val="0"/>
          <w:numId w:val="96"/>
        </w:numPr>
        <w:tabs>
          <w:tab w:pos="577" w:val="left" w:leader="none"/>
        </w:tabs>
        <w:spacing w:line="240" w:lineRule="auto" w:before="120" w:after="0"/>
        <w:ind w:left="576" w:right="601" w:hanging="357"/>
        <w:jc w:val="left"/>
        <w:rPr>
          <w:sz w:val="16"/>
        </w:rPr>
      </w:pPr>
      <w:r>
        <w:rPr>
          <w:sz w:val="16"/>
        </w:rPr>
        <w:t>Kauffman, J., D. Cummings, and D. Ward, </w:t>
      </w:r>
      <w:r>
        <w:rPr>
          <w:i/>
          <w:sz w:val="16"/>
        </w:rPr>
        <w:t>Relationships of fire, biomass and nutrient dynamics along a vegetation gradient in the Brazilian cerrado. </w:t>
      </w:r>
      <w:r>
        <w:rPr>
          <w:sz w:val="16"/>
        </w:rPr>
        <w:t>JOURNAL OF ECOLOGY, 1994. </w:t>
      </w:r>
      <w:r>
        <w:rPr>
          <w:b/>
          <w:sz w:val="16"/>
        </w:rPr>
        <w:t>82</w:t>
      </w:r>
      <w:r>
        <w:rPr>
          <w:sz w:val="16"/>
        </w:rPr>
        <w:t>: p.</w:t>
      </w:r>
      <w:r>
        <w:rPr>
          <w:spacing w:val="-13"/>
          <w:sz w:val="16"/>
        </w:rPr>
        <w:t> </w:t>
      </w:r>
      <w:r>
        <w:rPr>
          <w:sz w:val="16"/>
        </w:rPr>
        <w:t>519-531.</w:t>
      </w:r>
    </w:p>
    <w:p>
      <w:pPr>
        <w:pStyle w:val="ListParagraph"/>
        <w:numPr>
          <w:ilvl w:val="0"/>
          <w:numId w:val="96"/>
        </w:numPr>
        <w:tabs>
          <w:tab w:pos="577" w:val="left" w:leader="none"/>
        </w:tabs>
        <w:spacing w:line="240" w:lineRule="auto" w:before="119" w:after="0"/>
        <w:ind w:left="576" w:right="386" w:hanging="357"/>
        <w:jc w:val="left"/>
        <w:rPr>
          <w:sz w:val="16"/>
        </w:rPr>
      </w:pPr>
      <w:r>
        <w:rPr>
          <w:sz w:val="16"/>
        </w:rPr>
        <w:t>Kauffman, J., D. Cummings, D. Ward, and R. Babbitt, </w:t>
      </w:r>
      <w:r>
        <w:rPr>
          <w:i/>
          <w:sz w:val="16"/>
        </w:rPr>
        <w:t>Fire in the Brazilian Amazon: 1. Biomass, nutrient pools, and losses in slashed primary forests. </w:t>
      </w:r>
      <w:r>
        <w:rPr>
          <w:sz w:val="16"/>
        </w:rPr>
        <w:t>OECOLOGIA, 1995. </w:t>
      </w:r>
      <w:r>
        <w:rPr>
          <w:b/>
          <w:sz w:val="16"/>
        </w:rPr>
        <w:t>104</w:t>
      </w:r>
      <w:r>
        <w:rPr>
          <w:sz w:val="16"/>
        </w:rPr>
        <w:t>: p.</w:t>
      </w:r>
      <w:r>
        <w:rPr>
          <w:spacing w:val="-6"/>
          <w:sz w:val="16"/>
        </w:rPr>
        <w:t> </w:t>
      </w:r>
      <w:r>
        <w:rPr>
          <w:sz w:val="16"/>
        </w:rPr>
        <w:t>397-408.</w:t>
      </w:r>
    </w:p>
    <w:p>
      <w:pPr>
        <w:pStyle w:val="ListParagraph"/>
        <w:numPr>
          <w:ilvl w:val="0"/>
          <w:numId w:val="96"/>
        </w:numPr>
        <w:tabs>
          <w:tab w:pos="577" w:val="left" w:leader="none"/>
        </w:tabs>
        <w:spacing w:line="240" w:lineRule="auto" w:before="119" w:after="0"/>
        <w:ind w:left="576" w:right="0" w:hanging="357"/>
        <w:jc w:val="left"/>
        <w:rPr>
          <w:i/>
          <w:sz w:val="16"/>
        </w:rPr>
      </w:pPr>
      <w:r>
        <w:rPr>
          <w:sz w:val="16"/>
        </w:rPr>
        <w:t>Kauffman, J., D.</w:t>
      </w:r>
      <w:r>
        <w:rPr>
          <w:spacing w:val="-2"/>
          <w:sz w:val="16"/>
        </w:rPr>
        <w:t> </w:t>
      </w:r>
      <w:r>
        <w:rPr>
          <w:sz w:val="16"/>
        </w:rPr>
        <w:t>Cummings,</w:t>
      </w:r>
      <w:r>
        <w:rPr>
          <w:spacing w:val="1"/>
          <w:sz w:val="16"/>
        </w:rPr>
        <w:t> </w:t>
      </w:r>
      <w:r>
        <w:rPr>
          <w:sz w:val="16"/>
        </w:rPr>
        <w:t>and D.</w:t>
      </w:r>
      <w:r>
        <w:rPr>
          <w:spacing w:val="-5"/>
          <w:sz w:val="16"/>
        </w:rPr>
        <w:t> </w:t>
      </w:r>
      <w:r>
        <w:rPr>
          <w:sz w:val="16"/>
        </w:rPr>
        <w:t>Ward, </w:t>
      </w:r>
      <w:r>
        <w:rPr>
          <w:i/>
          <w:sz w:val="16"/>
        </w:rPr>
        <w:t>Fire</w:t>
      </w:r>
      <w:r>
        <w:rPr>
          <w:i/>
          <w:spacing w:val="-1"/>
          <w:sz w:val="16"/>
        </w:rPr>
        <w:t> </w:t>
      </w:r>
      <w:r>
        <w:rPr>
          <w:i/>
          <w:sz w:val="16"/>
        </w:rPr>
        <w:t>in</w:t>
      </w:r>
      <w:r>
        <w:rPr>
          <w:i/>
          <w:spacing w:val="-2"/>
          <w:sz w:val="16"/>
        </w:rPr>
        <w:t> </w:t>
      </w:r>
      <w:r>
        <w:rPr>
          <w:i/>
          <w:sz w:val="16"/>
        </w:rPr>
        <w:t>the</w:t>
      </w:r>
      <w:r>
        <w:rPr>
          <w:i/>
          <w:spacing w:val="-2"/>
          <w:sz w:val="16"/>
        </w:rPr>
        <w:t> </w:t>
      </w:r>
      <w:r>
        <w:rPr>
          <w:i/>
          <w:sz w:val="16"/>
        </w:rPr>
        <w:t>Brazilian</w:t>
      </w:r>
      <w:r>
        <w:rPr>
          <w:i/>
          <w:spacing w:val="-1"/>
          <w:sz w:val="16"/>
        </w:rPr>
        <w:t> </w:t>
      </w:r>
      <w:r>
        <w:rPr>
          <w:i/>
          <w:sz w:val="16"/>
        </w:rPr>
        <w:t>Amazon:</w:t>
      </w:r>
      <w:r>
        <w:rPr>
          <w:i/>
          <w:spacing w:val="-4"/>
          <w:sz w:val="16"/>
        </w:rPr>
        <w:t> </w:t>
      </w:r>
      <w:r>
        <w:rPr>
          <w:i/>
          <w:sz w:val="16"/>
        </w:rPr>
        <w:t>2.</w:t>
      </w:r>
      <w:r>
        <w:rPr>
          <w:i/>
          <w:spacing w:val="-2"/>
          <w:sz w:val="16"/>
        </w:rPr>
        <w:t> </w:t>
      </w:r>
      <w:r>
        <w:rPr>
          <w:i/>
          <w:sz w:val="16"/>
        </w:rPr>
        <w:t>Biomass,</w:t>
      </w:r>
      <w:r>
        <w:rPr>
          <w:i/>
          <w:spacing w:val="-2"/>
          <w:sz w:val="16"/>
        </w:rPr>
        <w:t> </w:t>
      </w:r>
      <w:r>
        <w:rPr>
          <w:i/>
          <w:sz w:val="16"/>
        </w:rPr>
        <w:t>nutrient</w:t>
      </w:r>
      <w:r>
        <w:rPr>
          <w:i/>
          <w:spacing w:val="-1"/>
          <w:sz w:val="16"/>
        </w:rPr>
        <w:t> </w:t>
      </w:r>
      <w:r>
        <w:rPr>
          <w:i/>
          <w:sz w:val="16"/>
        </w:rPr>
        <w:t>pools</w:t>
      </w:r>
      <w:r>
        <w:rPr>
          <w:i/>
          <w:spacing w:val="-3"/>
          <w:sz w:val="16"/>
        </w:rPr>
        <w:t> </w:t>
      </w:r>
      <w:r>
        <w:rPr>
          <w:i/>
          <w:sz w:val="16"/>
        </w:rPr>
        <w:t>and</w:t>
      </w:r>
      <w:r>
        <w:rPr>
          <w:i/>
          <w:spacing w:val="-2"/>
          <w:sz w:val="16"/>
        </w:rPr>
        <w:t> </w:t>
      </w:r>
      <w:r>
        <w:rPr>
          <w:i/>
          <w:sz w:val="16"/>
        </w:rPr>
        <w:t>losses</w:t>
      </w:r>
      <w:r>
        <w:rPr>
          <w:i/>
          <w:spacing w:val="-2"/>
          <w:sz w:val="16"/>
        </w:rPr>
        <w:t> </w:t>
      </w:r>
      <w:r>
        <w:rPr>
          <w:i/>
          <w:sz w:val="16"/>
        </w:rPr>
        <w:t>in</w:t>
      </w:r>
      <w:r>
        <w:rPr>
          <w:i/>
          <w:spacing w:val="-2"/>
          <w:sz w:val="16"/>
        </w:rPr>
        <w:t> </w:t>
      </w:r>
      <w:r>
        <w:rPr>
          <w:i/>
          <w:sz w:val="16"/>
        </w:rPr>
        <w:t>cattle</w:t>
      </w:r>
      <w:r>
        <w:rPr>
          <w:i/>
          <w:spacing w:val="-2"/>
          <w:sz w:val="16"/>
        </w:rPr>
        <w:t> </w:t>
      </w:r>
      <w:r>
        <w:rPr>
          <w:i/>
          <w:sz w:val="16"/>
        </w:rPr>
        <w:t>pastures.</w:t>
      </w:r>
    </w:p>
    <w:p>
      <w:pPr>
        <w:spacing w:before="1"/>
        <w:ind w:left="576" w:right="0" w:firstLine="0"/>
        <w:jc w:val="left"/>
        <w:rPr>
          <w:sz w:val="16"/>
        </w:rPr>
      </w:pPr>
      <w:r>
        <w:rPr>
          <w:sz w:val="16"/>
        </w:rPr>
        <w:t>OECOLOGIA, 1998. </w:t>
      </w:r>
      <w:r>
        <w:rPr>
          <w:b/>
          <w:sz w:val="16"/>
        </w:rPr>
        <w:t>113</w:t>
      </w:r>
      <w:r>
        <w:rPr>
          <w:sz w:val="16"/>
        </w:rPr>
        <w:t>: p. 415-427.</w:t>
      </w:r>
    </w:p>
    <w:p>
      <w:pPr>
        <w:pStyle w:val="ListParagraph"/>
        <w:numPr>
          <w:ilvl w:val="0"/>
          <w:numId w:val="96"/>
        </w:numPr>
        <w:tabs>
          <w:tab w:pos="578" w:val="left" w:leader="none"/>
        </w:tabs>
        <w:spacing w:line="240" w:lineRule="auto" w:before="121" w:after="0"/>
        <w:ind w:left="577" w:right="0" w:hanging="358"/>
        <w:jc w:val="left"/>
        <w:rPr>
          <w:sz w:val="16"/>
        </w:rPr>
      </w:pPr>
      <w:r>
        <w:rPr>
          <w:sz w:val="16"/>
        </w:rPr>
        <w:t>Kayll, A., </w:t>
      </w:r>
      <w:r>
        <w:rPr>
          <w:i/>
          <w:sz w:val="16"/>
        </w:rPr>
        <w:t>Some characteristics of heath fires in north-east Scotland. </w:t>
      </w:r>
      <w:r>
        <w:rPr>
          <w:sz w:val="16"/>
        </w:rPr>
        <w:t>JOURNAL OF APPLIED ECOLOGY, 1966. </w:t>
      </w:r>
      <w:r>
        <w:rPr>
          <w:b/>
          <w:sz w:val="16"/>
        </w:rPr>
        <w:t>3</w:t>
      </w:r>
      <w:r>
        <w:rPr>
          <w:sz w:val="16"/>
        </w:rPr>
        <w:t>(1): p.</w:t>
      </w:r>
      <w:r>
        <w:rPr>
          <w:spacing w:val="-26"/>
          <w:sz w:val="16"/>
        </w:rPr>
        <w:t> </w:t>
      </w:r>
      <w:r>
        <w:rPr>
          <w:sz w:val="16"/>
        </w:rPr>
        <w:t>29-40.</w:t>
      </w:r>
    </w:p>
    <w:p>
      <w:pPr>
        <w:pStyle w:val="ListParagraph"/>
        <w:numPr>
          <w:ilvl w:val="0"/>
          <w:numId w:val="96"/>
        </w:numPr>
        <w:tabs>
          <w:tab w:pos="577" w:val="left" w:leader="none"/>
        </w:tabs>
        <w:spacing w:line="240" w:lineRule="auto" w:before="118" w:after="0"/>
        <w:ind w:left="576" w:right="323" w:hanging="357"/>
        <w:jc w:val="left"/>
        <w:rPr>
          <w:sz w:val="16"/>
        </w:rPr>
      </w:pPr>
      <w:r>
        <w:rPr>
          <w:sz w:val="16"/>
        </w:rPr>
        <w:t>Kiil, A., </w:t>
      </w:r>
      <w:r>
        <w:rPr>
          <w:i/>
          <w:sz w:val="16"/>
        </w:rPr>
        <w:t>Fuel consumption by a prescribed burn in spruce-fir logging slash in Alberta. </w:t>
      </w:r>
      <w:r>
        <w:rPr>
          <w:sz w:val="16"/>
        </w:rPr>
        <w:t>THE FORESTRY CHRONICLE, 1969: p. 100- 102.</w:t>
      </w:r>
    </w:p>
    <w:p>
      <w:pPr>
        <w:pStyle w:val="ListParagraph"/>
        <w:numPr>
          <w:ilvl w:val="0"/>
          <w:numId w:val="96"/>
        </w:numPr>
        <w:tabs>
          <w:tab w:pos="577" w:val="left" w:leader="none"/>
        </w:tabs>
        <w:spacing w:line="240" w:lineRule="auto" w:before="119" w:after="0"/>
        <w:ind w:left="576" w:right="286" w:hanging="357"/>
        <w:jc w:val="left"/>
        <w:rPr>
          <w:sz w:val="16"/>
        </w:rPr>
      </w:pPr>
      <w:r>
        <w:rPr>
          <w:sz w:val="16"/>
        </w:rPr>
        <w:t>Kiil, A., </w:t>
      </w:r>
      <w:r>
        <w:rPr>
          <w:i/>
          <w:sz w:val="16"/>
        </w:rPr>
        <w:t>Fire spread in a black spruce stand. </w:t>
      </w:r>
      <w:r>
        <w:rPr>
          <w:sz w:val="16"/>
        </w:rPr>
        <w:t>CANADIAN FORESTRY SERVICE BI-MONTHLY RESEARCH NOTES, 1975. </w:t>
      </w:r>
      <w:r>
        <w:rPr>
          <w:b/>
          <w:sz w:val="16"/>
        </w:rPr>
        <w:t>31</w:t>
      </w:r>
      <w:r>
        <w:rPr>
          <w:sz w:val="16"/>
        </w:rPr>
        <w:t>(1): p.</w:t>
      </w:r>
      <w:r>
        <w:rPr>
          <w:spacing w:val="-1"/>
          <w:sz w:val="16"/>
        </w:rPr>
        <w:t> </w:t>
      </w:r>
      <w:r>
        <w:rPr>
          <w:sz w:val="16"/>
        </w:rPr>
        <w:t>2-3.</w:t>
      </w:r>
    </w:p>
    <w:p>
      <w:pPr>
        <w:pStyle w:val="ListParagraph"/>
        <w:numPr>
          <w:ilvl w:val="0"/>
          <w:numId w:val="96"/>
        </w:numPr>
        <w:tabs>
          <w:tab w:pos="577" w:val="left" w:leader="none"/>
        </w:tabs>
        <w:spacing w:line="240" w:lineRule="auto" w:before="122" w:after="0"/>
        <w:ind w:left="576" w:right="281" w:hanging="357"/>
        <w:jc w:val="left"/>
        <w:rPr>
          <w:sz w:val="16"/>
        </w:rPr>
      </w:pPr>
      <w:r>
        <w:rPr>
          <w:sz w:val="16"/>
        </w:rPr>
        <w:t>Lacaux, J., H. Cachier, and R. Delmas, </w:t>
      </w:r>
      <w:r>
        <w:rPr>
          <w:i/>
          <w:sz w:val="16"/>
        </w:rPr>
        <w:t>Biomass burning in Africa: an overview of its impact on atmospheric chemistry</w:t>
      </w:r>
      <w:r>
        <w:rPr>
          <w:sz w:val="16"/>
        </w:rPr>
        <w:t>, in </w:t>
      </w:r>
      <w:r>
        <w:rPr>
          <w:i/>
          <w:sz w:val="16"/>
        </w:rPr>
        <w:t>Fire in the Environment: The Ecological, Atmospheric, and Climatic Importance of Vegetation Fires</w:t>
      </w:r>
      <w:r>
        <w:rPr>
          <w:sz w:val="16"/>
        </w:rPr>
        <w:t>, P. Crutzen and J. Goldammer, Editors. 1993, John Wiley &amp; Sons: Chichester. p.</w:t>
      </w:r>
      <w:r>
        <w:rPr>
          <w:spacing w:val="-8"/>
          <w:sz w:val="16"/>
        </w:rPr>
        <w:t> </w:t>
      </w:r>
      <w:r>
        <w:rPr>
          <w:sz w:val="16"/>
        </w:rPr>
        <w:t>159-191.</w:t>
      </w:r>
    </w:p>
    <w:p>
      <w:pPr>
        <w:pStyle w:val="ListParagraph"/>
        <w:numPr>
          <w:ilvl w:val="0"/>
          <w:numId w:val="96"/>
        </w:numPr>
        <w:tabs>
          <w:tab w:pos="577" w:val="left" w:leader="none"/>
        </w:tabs>
        <w:spacing w:line="240" w:lineRule="auto" w:before="118" w:after="0"/>
        <w:ind w:left="576" w:right="294" w:hanging="357"/>
        <w:jc w:val="left"/>
        <w:rPr>
          <w:sz w:val="16"/>
        </w:rPr>
      </w:pPr>
      <w:r>
        <w:rPr>
          <w:sz w:val="16"/>
        </w:rPr>
        <w:t>Lavoue, D., C. Liousse, H. Cachier, B. Stocks, and J. Goldammer, </w:t>
      </w:r>
      <w:r>
        <w:rPr>
          <w:i/>
          <w:sz w:val="16"/>
        </w:rPr>
        <w:t>Modeling of carbonaceous particles emitted by boreal and temperate wildfires at northern latitudes. </w:t>
      </w:r>
      <w:r>
        <w:rPr>
          <w:sz w:val="16"/>
        </w:rPr>
        <w:t>JOURNAL OF GEOPHYSICAL RESEARCH-ATMOSPHERES, 2000. </w:t>
      </w:r>
      <w:r>
        <w:rPr>
          <w:b/>
          <w:sz w:val="16"/>
        </w:rPr>
        <w:t>105</w:t>
      </w:r>
      <w:r>
        <w:rPr>
          <w:sz w:val="16"/>
        </w:rPr>
        <w:t>(D22): p. 26871- 26890.</w:t>
      </w:r>
    </w:p>
    <w:p>
      <w:pPr>
        <w:pStyle w:val="ListParagraph"/>
        <w:numPr>
          <w:ilvl w:val="0"/>
          <w:numId w:val="96"/>
        </w:numPr>
        <w:tabs>
          <w:tab w:pos="577" w:val="left" w:leader="none"/>
        </w:tabs>
        <w:spacing w:line="240" w:lineRule="auto" w:before="120" w:after="0"/>
        <w:ind w:left="576" w:right="371" w:hanging="357"/>
        <w:jc w:val="left"/>
        <w:rPr>
          <w:sz w:val="16"/>
        </w:rPr>
      </w:pPr>
      <w:r>
        <w:rPr>
          <w:sz w:val="16"/>
        </w:rPr>
        <w:t>Levine, J., </w:t>
      </w:r>
      <w:r>
        <w:rPr>
          <w:i/>
          <w:sz w:val="16"/>
        </w:rPr>
        <w:t>Global biomass burning: a case study of the gaseous and particulate emissions released to the atmosphere during the 1997 fires in Kalimantan and Sumatra, Indonesia</w:t>
      </w:r>
      <w:r>
        <w:rPr>
          <w:sz w:val="16"/>
        </w:rPr>
        <w:t>, in </w:t>
      </w:r>
      <w:r>
        <w:rPr>
          <w:i/>
          <w:sz w:val="16"/>
        </w:rPr>
        <w:t>Biomass Burning and its Inter-relationships with the Climate System</w:t>
      </w:r>
      <w:r>
        <w:rPr>
          <w:sz w:val="16"/>
        </w:rPr>
        <w:t>, J. Innes, M. Beniston, and M. Verstraete, Editors. 2000, Kluwer Academic Publishers: Dordrecht. p.</w:t>
      </w:r>
      <w:r>
        <w:rPr>
          <w:spacing w:val="-9"/>
          <w:sz w:val="16"/>
        </w:rPr>
        <w:t> </w:t>
      </w:r>
      <w:r>
        <w:rPr>
          <w:sz w:val="16"/>
        </w:rPr>
        <w:t>15-31.</w:t>
      </w:r>
    </w:p>
    <w:p>
      <w:pPr>
        <w:pStyle w:val="ListParagraph"/>
        <w:numPr>
          <w:ilvl w:val="0"/>
          <w:numId w:val="96"/>
        </w:numPr>
        <w:tabs>
          <w:tab w:pos="577" w:val="left" w:leader="none"/>
        </w:tabs>
        <w:spacing w:line="240" w:lineRule="auto" w:before="120" w:after="0"/>
        <w:ind w:left="576" w:right="784" w:hanging="357"/>
        <w:jc w:val="left"/>
        <w:rPr>
          <w:sz w:val="16"/>
        </w:rPr>
      </w:pPr>
      <w:r>
        <w:rPr>
          <w:sz w:val="16"/>
        </w:rPr>
        <w:t>Levine, J. and W. Cofer, </w:t>
      </w:r>
      <w:r>
        <w:rPr>
          <w:i/>
          <w:sz w:val="16"/>
        </w:rPr>
        <w:t>Boreal forest fire emissions and the chemistry of the atmosphere</w:t>
      </w:r>
      <w:r>
        <w:rPr>
          <w:sz w:val="16"/>
        </w:rPr>
        <w:t>, in </w:t>
      </w:r>
      <w:r>
        <w:rPr>
          <w:i/>
          <w:sz w:val="16"/>
        </w:rPr>
        <w:t>Fire, Climate Change and Carbon Cycling in the Boreal Forest</w:t>
      </w:r>
      <w:r>
        <w:rPr>
          <w:sz w:val="16"/>
        </w:rPr>
        <w:t>, E. Kasischke and B. Stocks, Editors. 2000, Springer-Verlag: New York. p.</w:t>
      </w:r>
      <w:r>
        <w:rPr>
          <w:spacing w:val="-24"/>
          <w:sz w:val="16"/>
        </w:rPr>
        <w:t> </w:t>
      </w:r>
      <w:r>
        <w:rPr>
          <w:sz w:val="16"/>
        </w:rPr>
        <w:t>31-48.</w:t>
      </w:r>
    </w:p>
    <w:p>
      <w:pPr>
        <w:pStyle w:val="ListParagraph"/>
        <w:numPr>
          <w:ilvl w:val="0"/>
          <w:numId w:val="96"/>
        </w:numPr>
        <w:tabs>
          <w:tab w:pos="577" w:val="left" w:leader="none"/>
        </w:tabs>
        <w:spacing w:line="240" w:lineRule="auto" w:before="119" w:after="0"/>
        <w:ind w:left="576" w:right="426" w:hanging="357"/>
        <w:jc w:val="left"/>
        <w:rPr>
          <w:sz w:val="16"/>
        </w:rPr>
      </w:pPr>
      <w:r>
        <w:rPr>
          <w:sz w:val="16"/>
        </w:rPr>
        <w:t>Marsdon-Smedley, J. and A. Slijepcevic, </w:t>
      </w:r>
      <w:r>
        <w:rPr>
          <w:i/>
          <w:sz w:val="16"/>
        </w:rPr>
        <w:t>Fuel characteristics and low intensity burning inEucalyptus obliqua wet forest at the Warra LTER site. </w:t>
      </w:r>
      <w:r>
        <w:rPr>
          <w:sz w:val="16"/>
        </w:rPr>
        <w:t>TASFORESTS, 2001. </w:t>
      </w:r>
      <w:r>
        <w:rPr>
          <w:b/>
          <w:sz w:val="16"/>
        </w:rPr>
        <w:t>13</w:t>
      </w:r>
      <w:r>
        <w:rPr>
          <w:sz w:val="16"/>
        </w:rPr>
        <w:t>(2): p.</w:t>
      </w:r>
      <w:r>
        <w:rPr>
          <w:spacing w:val="-4"/>
          <w:sz w:val="16"/>
        </w:rPr>
        <w:t> </w:t>
      </w:r>
      <w:r>
        <w:rPr>
          <w:sz w:val="16"/>
        </w:rPr>
        <w:t>261-279.</w:t>
      </w:r>
    </w:p>
    <w:p>
      <w:pPr>
        <w:pStyle w:val="ListParagraph"/>
        <w:numPr>
          <w:ilvl w:val="0"/>
          <w:numId w:val="96"/>
        </w:numPr>
        <w:tabs>
          <w:tab w:pos="577" w:val="left" w:leader="none"/>
        </w:tabs>
        <w:spacing w:line="240" w:lineRule="auto" w:before="119" w:after="0"/>
        <w:ind w:left="576" w:right="328" w:hanging="357"/>
        <w:jc w:val="left"/>
        <w:rPr>
          <w:sz w:val="16"/>
        </w:rPr>
      </w:pPr>
      <w:r>
        <w:rPr>
          <w:sz w:val="16"/>
        </w:rPr>
        <w:t>Mazurek, M., W. Cofer, and J. Levine, </w:t>
      </w:r>
      <w:r>
        <w:rPr>
          <w:i/>
          <w:sz w:val="16"/>
        </w:rPr>
        <w:t>Carbonaceous aerosols from prescribed burning of a boreal forest ecosystem</w:t>
      </w:r>
      <w:r>
        <w:rPr>
          <w:sz w:val="16"/>
        </w:rPr>
        <w:t>, in </w:t>
      </w:r>
      <w:r>
        <w:rPr>
          <w:i/>
          <w:sz w:val="16"/>
        </w:rPr>
        <w:t>Global Biomass</w:t>
      </w:r>
      <w:r>
        <w:rPr>
          <w:i/>
          <w:spacing w:val="-6"/>
          <w:sz w:val="16"/>
        </w:rPr>
        <w:t> </w:t>
      </w:r>
      <w:r>
        <w:rPr>
          <w:i/>
          <w:sz w:val="16"/>
        </w:rPr>
        <w:t>Burning:</w:t>
      </w:r>
      <w:r>
        <w:rPr>
          <w:i/>
          <w:spacing w:val="-4"/>
          <w:sz w:val="16"/>
        </w:rPr>
        <w:t> </w:t>
      </w:r>
      <w:r>
        <w:rPr>
          <w:i/>
          <w:sz w:val="16"/>
        </w:rPr>
        <w:t>Atmospheric,</w:t>
      </w:r>
      <w:r>
        <w:rPr>
          <w:i/>
          <w:spacing w:val="-4"/>
          <w:sz w:val="16"/>
        </w:rPr>
        <w:t> </w:t>
      </w:r>
      <w:r>
        <w:rPr>
          <w:i/>
          <w:sz w:val="16"/>
        </w:rPr>
        <w:t>Climatic,</w:t>
      </w:r>
      <w:r>
        <w:rPr>
          <w:i/>
          <w:spacing w:val="-5"/>
          <w:sz w:val="16"/>
        </w:rPr>
        <w:t> </w:t>
      </w:r>
      <w:r>
        <w:rPr>
          <w:i/>
          <w:sz w:val="16"/>
        </w:rPr>
        <w:t>and</w:t>
      </w:r>
      <w:r>
        <w:rPr>
          <w:i/>
          <w:spacing w:val="-1"/>
          <w:sz w:val="16"/>
        </w:rPr>
        <w:t> </w:t>
      </w:r>
      <w:r>
        <w:rPr>
          <w:i/>
          <w:sz w:val="16"/>
        </w:rPr>
        <w:t>Biospheric</w:t>
      </w:r>
      <w:r>
        <w:rPr>
          <w:i/>
          <w:spacing w:val="-3"/>
          <w:sz w:val="16"/>
        </w:rPr>
        <w:t> </w:t>
      </w:r>
      <w:r>
        <w:rPr>
          <w:i/>
          <w:sz w:val="16"/>
        </w:rPr>
        <w:t>Implications</w:t>
      </w:r>
      <w:r>
        <w:rPr>
          <w:sz w:val="16"/>
        </w:rPr>
        <w:t>,</w:t>
      </w:r>
      <w:r>
        <w:rPr>
          <w:spacing w:val="-5"/>
          <w:sz w:val="16"/>
        </w:rPr>
        <w:t> </w:t>
      </w:r>
      <w:r>
        <w:rPr>
          <w:sz w:val="16"/>
        </w:rPr>
        <w:t>J.</w:t>
      </w:r>
      <w:r>
        <w:rPr>
          <w:spacing w:val="-2"/>
          <w:sz w:val="16"/>
        </w:rPr>
        <w:t> </w:t>
      </w:r>
      <w:r>
        <w:rPr>
          <w:sz w:val="16"/>
        </w:rPr>
        <w:t>Levine,</w:t>
      </w:r>
      <w:r>
        <w:rPr>
          <w:spacing w:val="-3"/>
          <w:sz w:val="16"/>
        </w:rPr>
        <w:t> </w:t>
      </w:r>
      <w:r>
        <w:rPr>
          <w:sz w:val="16"/>
        </w:rPr>
        <w:t>Editor.</w:t>
      </w:r>
      <w:r>
        <w:rPr>
          <w:spacing w:val="-4"/>
          <w:sz w:val="16"/>
        </w:rPr>
        <w:t> </w:t>
      </w:r>
      <w:r>
        <w:rPr>
          <w:sz w:val="16"/>
        </w:rPr>
        <w:t>1991,</w:t>
      </w:r>
      <w:r>
        <w:rPr>
          <w:spacing w:val="-5"/>
          <w:sz w:val="16"/>
        </w:rPr>
        <w:t> </w:t>
      </w:r>
      <w:r>
        <w:rPr>
          <w:sz w:val="16"/>
        </w:rPr>
        <w:t>MIT</w:t>
      </w:r>
      <w:r>
        <w:rPr>
          <w:spacing w:val="-5"/>
          <w:sz w:val="16"/>
        </w:rPr>
        <w:t> </w:t>
      </w:r>
      <w:r>
        <w:rPr>
          <w:sz w:val="16"/>
        </w:rPr>
        <w:t>Press:</w:t>
      </w:r>
      <w:r>
        <w:rPr>
          <w:spacing w:val="-5"/>
          <w:sz w:val="16"/>
        </w:rPr>
        <w:t> </w:t>
      </w:r>
      <w:r>
        <w:rPr>
          <w:sz w:val="16"/>
        </w:rPr>
        <w:t>Massechusetts.</w:t>
      </w:r>
      <w:r>
        <w:rPr>
          <w:spacing w:val="-4"/>
          <w:sz w:val="16"/>
        </w:rPr>
        <w:t> </w:t>
      </w:r>
      <w:r>
        <w:rPr>
          <w:sz w:val="16"/>
        </w:rPr>
        <w:t>p.</w:t>
      </w:r>
      <w:r>
        <w:rPr>
          <w:spacing w:val="-5"/>
          <w:sz w:val="16"/>
        </w:rPr>
        <w:t> </w:t>
      </w:r>
      <w:r>
        <w:rPr>
          <w:sz w:val="16"/>
        </w:rPr>
        <w:t>258-263.</w:t>
      </w:r>
    </w:p>
    <w:p>
      <w:pPr>
        <w:pStyle w:val="ListParagraph"/>
        <w:numPr>
          <w:ilvl w:val="0"/>
          <w:numId w:val="96"/>
        </w:numPr>
        <w:tabs>
          <w:tab w:pos="578" w:val="left" w:leader="none"/>
        </w:tabs>
        <w:spacing w:line="240" w:lineRule="auto" w:before="122" w:after="0"/>
        <w:ind w:left="576" w:right="951" w:hanging="357"/>
        <w:jc w:val="left"/>
        <w:rPr>
          <w:sz w:val="16"/>
        </w:rPr>
      </w:pPr>
      <w:r>
        <w:rPr>
          <w:sz w:val="16"/>
        </w:rPr>
        <w:t>McNaughton,</w:t>
      </w:r>
      <w:r>
        <w:rPr>
          <w:spacing w:val="-3"/>
          <w:sz w:val="16"/>
        </w:rPr>
        <w:t> </w:t>
      </w:r>
      <w:r>
        <w:rPr>
          <w:sz w:val="16"/>
        </w:rPr>
        <w:t>S.,</w:t>
      </w:r>
      <w:r>
        <w:rPr>
          <w:spacing w:val="-4"/>
          <w:sz w:val="16"/>
        </w:rPr>
        <w:t> </w:t>
      </w:r>
      <w:r>
        <w:rPr>
          <w:sz w:val="16"/>
        </w:rPr>
        <w:t>N.</w:t>
      </w:r>
      <w:r>
        <w:rPr>
          <w:spacing w:val="-2"/>
          <w:sz w:val="16"/>
        </w:rPr>
        <w:t> </w:t>
      </w:r>
      <w:r>
        <w:rPr>
          <w:sz w:val="16"/>
        </w:rPr>
        <w:t>Stronach,</w:t>
      </w:r>
      <w:r>
        <w:rPr>
          <w:spacing w:val="-2"/>
          <w:sz w:val="16"/>
        </w:rPr>
        <w:t> </w:t>
      </w:r>
      <w:r>
        <w:rPr>
          <w:sz w:val="16"/>
        </w:rPr>
        <w:t>and</w:t>
      </w:r>
      <w:r>
        <w:rPr>
          <w:spacing w:val="-1"/>
          <w:sz w:val="16"/>
        </w:rPr>
        <w:t> </w:t>
      </w:r>
      <w:r>
        <w:rPr>
          <w:sz w:val="16"/>
        </w:rPr>
        <w:t>N.</w:t>
      </w:r>
      <w:r>
        <w:rPr>
          <w:spacing w:val="-6"/>
          <w:sz w:val="16"/>
        </w:rPr>
        <w:t> </w:t>
      </w:r>
      <w:r>
        <w:rPr>
          <w:sz w:val="16"/>
        </w:rPr>
        <w:t>Georgiadis,</w:t>
      </w:r>
      <w:r>
        <w:rPr>
          <w:spacing w:val="-4"/>
          <w:sz w:val="16"/>
        </w:rPr>
        <w:t> </w:t>
      </w:r>
      <w:r>
        <w:rPr>
          <w:i/>
          <w:sz w:val="16"/>
        </w:rPr>
        <w:t>Combustion</w:t>
      </w:r>
      <w:r>
        <w:rPr>
          <w:i/>
          <w:spacing w:val="-4"/>
          <w:sz w:val="16"/>
        </w:rPr>
        <w:t> </w:t>
      </w:r>
      <w:r>
        <w:rPr>
          <w:i/>
          <w:sz w:val="16"/>
        </w:rPr>
        <w:t>in</w:t>
      </w:r>
      <w:r>
        <w:rPr>
          <w:i/>
          <w:spacing w:val="-4"/>
          <w:sz w:val="16"/>
        </w:rPr>
        <w:t> </w:t>
      </w:r>
      <w:r>
        <w:rPr>
          <w:i/>
          <w:sz w:val="16"/>
        </w:rPr>
        <w:t>natural</w:t>
      </w:r>
      <w:r>
        <w:rPr>
          <w:i/>
          <w:spacing w:val="-4"/>
          <w:sz w:val="16"/>
        </w:rPr>
        <w:t> </w:t>
      </w:r>
      <w:r>
        <w:rPr>
          <w:i/>
          <w:sz w:val="16"/>
        </w:rPr>
        <w:t>fires</w:t>
      </w:r>
      <w:r>
        <w:rPr>
          <w:i/>
          <w:spacing w:val="-4"/>
          <w:sz w:val="16"/>
        </w:rPr>
        <w:t> </w:t>
      </w:r>
      <w:r>
        <w:rPr>
          <w:i/>
          <w:sz w:val="16"/>
        </w:rPr>
        <w:t>and</w:t>
      </w:r>
      <w:r>
        <w:rPr>
          <w:i/>
          <w:spacing w:val="-4"/>
          <w:sz w:val="16"/>
        </w:rPr>
        <w:t> </w:t>
      </w:r>
      <w:r>
        <w:rPr>
          <w:i/>
          <w:sz w:val="16"/>
        </w:rPr>
        <w:t>global</w:t>
      </w:r>
      <w:r>
        <w:rPr>
          <w:i/>
          <w:spacing w:val="-2"/>
          <w:sz w:val="16"/>
        </w:rPr>
        <w:t> </w:t>
      </w:r>
      <w:r>
        <w:rPr>
          <w:i/>
          <w:sz w:val="16"/>
        </w:rPr>
        <w:t>emissions</w:t>
      </w:r>
      <w:r>
        <w:rPr>
          <w:i/>
          <w:spacing w:val="-5"/>
          <w:sz w:val="16"/>
        </w:rPr>
        <w:t> </w:t>
      </w:r>
      <w:r>
        <w:rPr>
          <w:i/>
          <w:sz w:val="16"/>
        </w:rPr>
        <w:t>budgets.</w:t>
      </w:r>
      <w:r>
        <w:rPr>
          <w:i/>
          <w:spacing w:val="-4"/>
          <w:sz w:val="16"/>
        </w:rPr>
        <w:t> </w:t>
      </w:r>
      <w:r>
        <w:rPr>
          <w:sz w:val="16"/>
        </w:rPr>
        <w:t>ECOLOGICAL APPLICATIONS, 1998. </w:t>
      </w:r>
      <w:r>
        <w:rPr>
          <w:b/>
          <w:sz w:val="16"/>
        </w:rPr>
        <w:t>8</w:t>
      </w:r>
      <w:r>
        <w:rPr>
          <w:sz w:val="16"/>
        </w:rPr>
        <w:t>(2): p.</w:t>
      </w:r>
      <w:r>
        <w:rPr>
          <w:spacing w:val="-3"/>
          <w:sz w:val="16"/>
        </w:rPr>
        <w:t> </w:t>
      </w:r>
      <w:r>
        <w:rPr>
          <w:sz w:val="16"/>
        </w:rPr>
        <w:t>464-468.</w:t>
      </w:r>
    </w:p>
    <w:p>
      <w:pPr>
        <w:pStyle w:val="ListParagraph"/>
        <w:numPr>
          <w:ilvl w:val="0"/>
          <w:numId w:val="96"/>
        </w:numPr>
        <w:tabs>
          <w:tab w:pos="578" w:val="left" w:leader="none"/>
        </w:tabs>
        <w:spacing w:line="240" w:lineRule="auto" w:before="119" w:after="0"/>
        <w:ind w:left="576" w:right="315" w:hanging="357"/>
        <w:jc w:val="left"/>
        <w:rPr>
          <w:sz w:val="16"/>
        </w:rPr>
      </w:pPr>
      <w:r>
        <w:rPr>
          <w:sz w:val="16"/>
        </w:rPr>
        <w:t>McRae, D. and B. Stocks. </w:t>
      </w:r>
      <w:r>
        <w:rPr>
          <w:i/>
          <w:sz w:val="16"/>
        </w:rPr>
        <w:t>Large-scale convection burning in Ontario</w:t>
      </w:r>
      <w:r>
        <w:rPr>
          <w:sz w:val="16"/>
        </w:rPr>
        <w:t>. in </w:t>
      </w:r>
      <w:r>
        <w:rPr>
          <w:i/>
          <w:sz w:val="16"/>
        </w:rPr>
        <w:t>Ninth Conference on Fire and Forest Metearology</w:t>
      </w:r>
      <w:r>
        <w:rPr>
          <w:sz w:val="16"/>
        </w:rPr>
        <w:t>. 1987. </w:t>
      </w:r>
      <w:r>
        <w:rPr>
          <w:spacing w:val="-2"/>
          <w:sz w:val="16"/>
        </w:rPr>
        <w:t>San </w:t>
      </w:r>
      <w:r>
        <w:rPr>
          <w:sz w:val="16"/>
        </w:rPr>
        <w:t>Diego, California: American Meterological</w:t>
      </w:r>
      <w:r>
        <w:rPr>
          <w:spacing w:val="-3"/>
          <w:sz w:val="16"/>
        </w:rPr>
        <w:t> </w:t>
      </w:r>
      <w:r>
        <w:rPr>
          <w:sz w:val="16"/>
        </w:rPr>
        <w:t>Society.</w:t>
      </w:r>
    </w:p>
    <w:p>
      <w:pPr>
        <w:pStyle w:val="ListParagraph"/>
        <w:numPr>
          <w:ilvl w:val="0"/>
          <w:numId w:val="96"/>
        </w:numPr>
        <w:tabs>
          <w:tab w:pos="577" w:val="left" w:leader="none"/>
        </w:tabs>
        <w:spacing w:line="240" w:lineRule="auto" w:before="119" w:after="0"/>
        <w:ind w:left="576" w:right="577" w:hanging="357"/>
        <w:jc w:val="left"/>
        <w:rPr>
          <w:sz w:val="16"/>
        </w:rPr>
      </w:pPr>
      <w:r>
        <w:rPr>
          <w:sz w:val="16"/>
        </w:rPr>
        <w:t>Moula, M., J. Brustet, H. Eva, J. Lacaux, J. Gregoire, and J. Fontan, </w:t>
      </w:r>
      <w:r>
        <w:rPr>
          <w:i/>
          <w:sz w:val="16"/>
        </w:rPr>
        <w:t>Contribution of the Spread-Fire Model in the study of savanna fires</w:t>
      </w:r>
      <w:r>
        <w:rPr>
          <w:sz w:val="16"/>
        </w:rPr>
        <w:t>, in </w:t>
      </w:r>
      <w:r>
        <w:rPr>
          <w:i/>
          <w:sz w:val="16"/>
        </w:rPr>
        <w:t>Biomass Burning and Global Change: Volume 1. Remote Sensing, Modeling and Inventory Development, and Biomass Burning in Africa</w:t>
      </w:r>
      <w:r>
        <w:rPr>
          <w:sz w:val="16"/>
        </w:rPr>
        <w:t>, J. Levine, Editor. 1996, MIT Press: Cambridge. p.</w:t>
      </w:r>
      <w:r>
        <w:rPr>
          <w:spacing w:val="-10"/>
          <w:sz w:val="16"/>
        </w:rPr>
        <w:t> </w:t>
      </w:r>
      <w:r>
        <w:rPr>
          <w:sz w:val="16"/>
        </w:rPr>
        <w:t>270-277.</w:t>
      </w:r>
    </w:p>
    <w:p>
      <w:pPr>
        <w:pStyle w:val="ListParagraph"/>
        <w:numPr>
          <w:ilvl w:val="0"/>
          <w:numId w:val="96"/>
        </w:numPr>
        <w:tabs>
          <w:tab w:pos="578" w:val="left" w:leader="none"/>
        </w:tabs>
        <w:spacing w:line="240" w:lineRule="auto" w:before="120" w:after="0"/>
        <w:ind w:left="576" w:right="1156" w:hanging="357"/>
        <w:jc w:val="left"/>
        <w:rPr>
          <w:sz w:val="16"/>
        </w:rPr>
      </w:pPr>
      <w:r>
        <w:rPr>
          <w:sz w:val="16"/>
        </w:rPr>
        <w:t>Neil, R., N. Stronach, and S. McNaughton, </w:t>
      </w:r>
      <w:r>
        <w:rPr>
          <w:i/>
          <w:sz w:val="16"/>
        </w:rPr>
        <w:t>Grassland fire dynamics in the Serengeti ecosystem, and a potential method of retrospectively estimating fire energy. </w:t>
      </w:r>
      <w:r>
        <w:rPr>
          <w:sz w:val="16"/>
        </w:rPr>
        <w:t>JOURNAL OF APPLIED ECOLOGY, 1989. </w:t>
      </w:r>
      <w:r>
        <w:rPr>
          <w:b/>
          <w:sz w:val="16"/>
        </w:rPr>
        <w:t>26</w:t>
      </w:r>
      <w:r>
        <w:rPr>
          <w:sz w:val="16"/>
        </w:rPr>
        <w:t>: p.</w:t>
      </w:r>
      <w:r>
        <w:rPr>
          <w:spacing w:val="-21"/>
          <w:sz w:val="16"/>
        </w:rPr>
        <w:t> </w:t>
      </w:r>
      <w:r>
        <w:rPr>
          <w:sz w:val="16"/>
        </w:rPr>
        <w:t>1025-1033.</w:t>
      </w:r>
    </w:p>
    <w:p>
      <w:pPr>
        <w:pStyle w:val="ListParagraph"/>
        <w:numPr>
          <w:ilvl w:val="0"/>
          <w:numId w:val="96"/>
        </w:numPr>
        <w:tabs>
          <w:tab w:pos="578" w:val="left" w:leader="none"/>
        </w:tabs>
        <w:spacing w:line="240" w:lineRule="auto" w:before="119" w:after="0"/>
        <w:ind w:left="576" w:right="940" w:hanging="357"/>
        <w:jc w:val="left"/>
        <w:rPr>
          <w:sz w:val="16"/>
        </w:rPr>
      </w:pPr>
      <w:r>
        <w:rPr>
          <w:sz w:val="16"/>
        </w:rPr>
        <w:t>Pivello, V. and </w:t>
      </w:r>
      <w:r>
        <w:rPr>
          <w:spacing w:val="-3"/>
          <w:sz w:val="16"/>
        </w:rPr>
        <w:t>L. </w:t>
      </w:r>
      <w:r>
        <w:rPr>
          <w:sz w:val="16"/>
        </w:rPr>
        <w:t>Coutinho, </w:t>
      </w:r>
      <w:r>
        <w:rPr>
          <w:i/>
          <w:sz w:val="16"/>
        </w:rPr>
        <w:t>Transfer of macro-nutrients to the atmosphere during experimental burnings in an open cerrado (Brazilian savanna). </w:t>
      </w:r>
      <w:r>
        <w:rPr>
          <w:sz w:val="16"/>
        </w:rPr>
        <w:t>JOURNAL OF TROPICAL ECOLOGY, 1992. </w:t>
      </w:r>
      <w:r>
        <w:rPr>
          <w:b/>
          <w:sz w:val="16"/>
        </w:rPr>
        <w:t>8</w:t>
      </w:r>
      <w:r>
        <w:rPr>
          <w:sz w:val="16"/>
        </w:rPr>
        <w:t>: p.</w:t>
      </w:r>
      <w:r>
        <w:rPr>
          <w:spacing w:val="-10"/>
          <w:sz w:val="16"/>
        </w:rPr>
        <w:t> </w:t>
      </w:r>
      <w:r>
        <w:rPr>
          <w:sz w:val="16"/>
        </w:rPr>
        <w:t>487-497.</w:t>
      </w:r>
    </w:p>
    <w:p>
      <w:pPr>
        <w:pStyle w:val="ListParagraph"/>
        <w:numPr>
          <w:ilvl w:val="0"/>
          <w:numId w:val="96"/>
        </w:numPr>
        <w:tabs>
          <w:tab w:pos="577" w:val="left" w:leader="none"/>
        </w:tabs>
        <w:spacing w:line="240" w:lineRule="auto" w:before="120" w:after="0"/>
        <w:ind w:left="576" w:right="499" w:hanging="357"/>
        <w:jc w:val="left"/>
        <w:rPr>
          <w:sz w:val="16"/>
        </w:rPr>
      </w:pPr>
      <w:r>
        <w:rPr>
          <w:sz w:val="16"/>
        </w:rPr>
        <w:t>Prasad, V., Y. Kant, P. Gupta, C. Sharma, A. Mitra, and K. Badarinath, </w:t>
      </w:r>
      <w:r>
        <w:rPr>
          <w:i/>
          <w:sz w:val="16"/>
        </w:rPr>
        <w:t>Biomass and combustion characteristics of secondary mixed deciduous forests in Eastern Ghats of India. </w:t>
      </w:r>
      <w:r>
        <w:rPr>
          <w:sz w:val="16"/>
        </w:rPr>
        <w:t>ATMOSPHERIC ENVIRONMENT, 2001. </w:t>
      </w:r>
      <w:r>
        <w:rPr>
          <w:b/>
          <w:sz w:val="16"/>
        </w:rPr>
        <w:t>35</w:t>
      </w:r>
      <w:r>
        <w:rPr>
          <w:sz w:val="16"/>
        </w:rPr>
        <w:t>(18): p.</w:t>
      </w:r>
      <w:r>
        <w:rPr>
          <w:spacing w:val="-11"/>
          <w:sz w:val="16"/>
        </w:rPr>
        <w:t> </w:t>
      </w:r>
      <w:r>
        <w:rPr>
          <w:sz w:val="16"/>
        </w:rPr>
        <w:t>3085-3095.</w:t>
      </w:r>
    </w:p>
    <w:p>
      <w:pPr>
        <w:pStyle w:val="ListParagraph"/>
        <w:numPr>
          <w:ilvl w:val="0"/>
          <w:numId w:val="96"/>
        </w:numPr>
        <w:tabs>
          <w:tab w:pos="577" w:val="left" w:leader="none"/>
        </w:tabs>
        <w:spacing w:line="240" w:lineRule="auto" w:before="119" w:after="0"/>
        <w:ind w:left="576" w:right="468" w:hanging="357"/>
        <w:jc w:val="left"/>
        <w:rPr>
          <w:sz w:val="16"/>
        </w:rPr>
      </w:pPr>
      <w:r>
        <w:rPr>
          <w:sz w:val="16"/>
        </w:rPr>
        <w:t>Raison, R., P. Khana, and P. Woods, </w:t>
      </w:r>
      <w:r>
        <w:rPr>
          <w:i/>
          <w:sz w:val="16"/>
        </w:rPr>
        <w:t>Transfer of elements to the atmosphere during low intensity prescribed fires in three Australian subalpine eucalypt forests. </w:t>
      </w:r>
      <w:r>
        <w:rPr>
          <w:sz w:val="16"/>
        </w:rPr>
        <w:t>CANADIAN JOURNAL OF FOREST RESEARCH, 1985. </w:t>
      </w:r>
      <w:r>
        <w:rPr>
          <w:b/>
          <w:sz w:val="16"/>
        </w:rPr>
        <w:t>15</w:t>
      </w:r>
      <w:r>
        <w:rPr>
          <w:sz w:val="16"/>
        </w:rPr>
        <w:t>: p.</w:t>
      </w:r>
      <w:r>
        <w:rPr>
          <w:spacing w:val="-19"/>
          <w:sz w:val="16"/>
        </w:rPr>
        <w:t> </w:t>
      </w:r>
      <w:r>
        <w:rPr>
          <w:sz w:val="16"/>
        </w:rPr>
        <w:t>657-664.</w:t>
      </w:r>
    </w:p>
    <w:p>
      <w:pPr>
        <w:pStyle w:val="ListParagraph"/>
        <w:numPr>
          <w:ilvl w:val="0"/>
          <w:numId w:val="96"/>
        </w:numPr>
        <w:tabs>
          <w:tab w:pos="577" w:val="left" w:leader="none"/>
        </w:tabs>
        <w:spacing w:line="240" w:lineRule="auto" w:before="122" w:after="0"/>
        <w:ind w:left="576" w:right="345" w:hanging="357"/>
        <w:jc w:val="left"/>
        <w:rPr>
          <w:sz w:val="16"/>
        </w:rPr>
      </w:pPr>
      <w:r>
        <w:rPr>
          <w:sz w:val="16"/>
        </w:rPr>
        <w:t>Robertson, K., </w:t>
      </w:r>
      <w:r>
        <w:rPr>
          <w:i/>
          <w:sz w:val="16"/>
        </w:rPr>
        <w:t>Loss of organic matter and carbon during slash burns in New Zealand exotic forests. </w:t>
      </w:r>
      <w:r>
        <w:rPr>
          <w:sz w:val="16"/>
        </w:rPr>
        <w:t>NEW ZEALAND JOURNAL OF FORESTRY SCIENCE, 1998. </w:t>
      </w:r>
      <w:r>
        <w:rPr>
          <w:b/>
          <w:sz w:val="16"/>
        </w:rPr>
        <w:t>28</w:t>
      </w:r>
      <w:r>
        <w:rPr>
          <w:sz w:val="16"/>
        </w:rPr>
        <w:t>(2): p.</w:t>
      </w:r>
      <w:r>
        <w:rPr>
          <w:spacing w:val="-7"/>
          <w:sz w:val="16"/>
        </w:rPr>
        <w:t> </w:t>
      </w:r>
      <w:r>
        <w:rPr>
          <w:sz w:val="16"/>
        </w:rPr>
        <w:t>221-241.</w:t>
      </w:r>
    </w:p>
    <w:p>
      <w:pPr>
        <w:pStyle w:val="ListParagraph"/>
        <w:numPr>
          <w:ilvl w:val="0"/>
          <w:numId w:val="96"/>
        </w:numPr>
        <w:tabs>
          <w:tab w:pos="577" w:val="left" w:leader="none"/>
        </w:tabs>
        <w:spacing w:line="240" w:lineRule="auto" w:before="119" w:after="0"/>
        <w:ind w:left="576" w:right="431" w:hanging="357"/>
        <w:jc w:val="left"/>
        <w:rPr>
          <w:sz w:val="16"/>
        </w:rPr>
      </w:pPr>
      <w:r>
        <w:rPr>
          <w:sz w:val="16"/>
        </w:rPr>
        <w:t>Robinson, J., </w:t>
      </w:r>
      <w:r>
        <w:rPr>
          <w:i/>
          <w:sz w:val="16"/>
        </w:rPr>
        <w:t>On uncertainty in the computation of global emissions from biomass burning. </w:t>
      </w:r>
      <w:r>
        <w:rPr>
          <w:sz w:val="16"/>
        </w:rPr>
        <w:t>CLIMATIC CHANGE, 1989. </w:t>
      </w:r>
      <w:r>
        <w:rPr>
          <w:b/>
          <w:sz w:val="16"/>
        </w:rPr>
        <w:t>14</w:t>
      </w:r>
      <w:r>
        <w:rPr>
          <w:sz w:val="16"/>
        </w:rPr>
        <w:t>: p. 243- 262.</w:t>
      </w:r>
    </w:p>
    <w:p>
      <w:pPr>
        <w:pStyle w:val="ListParagraph"/>
        <w:numPr>
          <w:ilvl w:val="0"/>
          <w:numId w:val="96"/>
        </w:numPr>
        <w:tabs>
          <w:tab w:pos="577" w:val="left" w:leader="none"/>
        </w:tabs>
        <w:spacing w:line="240" w:lineRule="auto" w:before="119" w:after="0"/>
        <w:ind w:left="576" w:right="510" w:hanging="357"/>
        <w:jc w:val="left"/>
        <w:rPr>
          <w:sz w:val="16"/>
        </w:rPr>
      </w:pPr>
      <w:r>
        <w:rPr>
          <w:sz w:val="16"/>
        </w:rPr>
        <w:t>Shea, R., B. Shea, J. Kauffman, D. Ward, C. Haskins, and M. Scholes, </w:t>
      </w:r>
      <w:r>
        <w:rPr>
          <w:i/>
          <w:sz w:val="16"/>
        </w:rPr>
        <w:t>Fuel biomass and combustion factors associated with fires in savanna</w:t>
      </w:r>
      <w:r>
        <w:rPr>
          <w:i/>
          <w:spacing w:val="-3"/>
          <w:sz w:val="16"/>
        </w:rPr>
        <w:t> </w:t>
      </w:r>
      <w:r>
        <w:rPr>
          <w:i/>
          <w:sz w:val="16"/>
        </w:rPr>
        <w:t>ecosystems</w:t>
      </w:r>
      <w:r>
        <w:rPr>
          <w:i/>
          <w:spacing w:val="-3"/>
          <w:sz w:val="16"/>
        </w:rPr>
        <w:t> </w:t>
      </w:r>
      <w:r>
        <w:rPr>
          <w:i/>
          <w:sz w:val="16"/>
        </w:rPr>
        <w:t>of</w:t>
      </w:r>
      <w:r>
        <w:rPr>
          <w:i/>
          <w:spacing w:val="-3"/>
          <w:sz w:val="16"/>
        </w:rPr>
        <w:t> </w:t>
      </w:r>
      <w:r>
        <w:rPr>
          <w:i/>
          <w:sz w:val="16"/>
        </w:rPr>
        <w:t>South</w:t>
      </w:r>
      <w:r>
        <w:rPr>
          <w:i/>
          <w:spacing w:val="1"/>
          <w:sz w:val="16"/>
        </w:rPr>
        <w:t> </w:t>
      </w:r>
      <w:r>
        <w:rPr>
          <w:i/>
          <w:sz w:val="16"/>
        </w:rPr>
        <w:t>Africa</w:t>
      </w:r>
      <w:r>
        <w:rPr>
          <w:i/>
          <w:spacing w:val="-3"/>
          <w:sz w:val="16"/>
        </w:rPr>
        <w:t> </w:t>
      </w:r>
      <w:r>
        <w:rPr>
          <w:i/>
          <w:sz w:val="16"/>
        </w:rPr>
        <w:t>and</w:t>
      </w:r>
      <w:r>
        <w:rPr>
          <w:i/>
          <w:spacing w:val="-2"/>
          <w:sz w:val="16"/>
        </w:rPr>
        <w:t> </w:t>
      </w:r>
      <w:r>
        <w:rPr>
          <w:i/>
          <w:sz w:val="16"/>
        </w:rPr>
        <w:t>Zambia.</w:t>
      </w:r>
      <w:r>
        <w:rPr>
          <w:i/>
          <w:spacing w:val="-2"/>
          <w:sz w:val="16"/>
        </w:rPr>
        <w:t> </w:t>
      </w:r>
      <w:r>
        <w:rPr>
          <w:sz w:val="16"/>
        </w:rPr>
        <w:t>JOURNAL</w:t>
      </w:r>
      <w:r>
        <w:rPr>
          <w:spacing w:val="-6"/>
          <w:sz w:val="16"/>
        </w:rPr>
        <w:t> </w:t>
      </w:r>
      <w:r>
        <w:rPr>
          <w:sz w:val="16"/>
        </w:rPr>
        <w:t>OF</w:t>
      </w:r>
      <w:r>
        <w:rPr>
          <w:spacing w:val="-1"/>
          <w:sz w:val="16"/>
        </w:rPr>
        <w:t> </w:t>
      </w:r>
      <w:r>
        <w:rPr>
          <w:sz w:val="16"/>
        </w:rPr>
        <w:t>GEOPHYSICAL</w:t>
      </w:r>
      <w:r>
        <w:rPr>
          <w:spacing w:val="-5"/>
          <w:sz w:val="16"/>
        </w:rPr>
        <w:t> </w:t>
      </w:r>
      <w:r>
        <w:rPr>
          <w:sz w:val="16"/>
        </w:rPr>
        <w:t>RESEARCH,</w:t>
      </w:r>
      <w:r>
        <w:rPr>
          <w:spacing w:val="-1"/>
          <w:sz w:val="16"/>
        </w:rPr>
        <w:t> </w:t>
      </w:r>
      <w:r>
        <w:rPr>
          <w:sz w:val="16"/>
        </w:rPr>
        <w:t>1996.</w:t>
      </w:r>
      <w:r>
        <w:rPr>
          <w:spacing w:val="-2"/>
          <w:sz w:val="16"/>
        </w:rPr>
        <w:t> </w:t>
      </w:r>
      <w:r>
        <w:rPr>
          <w:b/>
          <w:sz w:val="16"/>
        </w:rPr>
        <w:t>101</w:t>
      </w:r>
      <w:r>
        <w:rPr>
          <w:sz w:val="16"/>
        </w:rPr>
        <w:t>(D19):</w:t>
      </w:r>
      <w:r>
        <w:rPr>
          <w:spacing w:val="-3"/>
          <w:sz w:val="16"/>
        </w:rPr>
        <w:t> </w:t>
      </w:r>
      <w:r>
        <w:rPr>
          <w:sz w:val="16"/>
        </w:rPr>
        <w:t>p.</w:t>
      </w:r>
      <w:r>
        <w:rPr>
          <w:spacing w:val="-2"/>
          <w:sz w:val="16"/>
        </w:rPr>
        <w:t> </w:t>
      </w:r>
      <w:r>
        <w:rPr>
          <w:sz w:val="16"/>
        </w:rPr>
        <w:t>23551-23568.</w:t>
      </w:r>
    </w:p>
    <w:p>
      <w:pPr>
        <w:pStyle w:val="ListParagraph"/>
        <w:numPr>
          <w:ilvl w:val="0"/>
          <w:numId w:val="96"/>
        </w:numPr>
        <w:tabs>
          <w:tab w:pos="577" w:val="left" w:leader="none"/>
        </w:tabs>
        <w:spacing w:line="240" w:lineRule="auto" w:before="119" w:after="0"/>
        <w:ind w:left="576" w:right="285" w:hanging="357"/>
        <w:jc w:val="left"/>
        <w:rPr>
          <w:sz w:val="16"/>
        </w:rPr>
      </w:pPr>
      <w:r>
        <w:rPr>
          <w:sz w:val="16"/>
        </w:rPr>
        <w:t>Slijepcevic, A., </w:t>
      </w:r>
      <w:r>
        <w:rPr>
          <w:i/>
          <w:sz w:val="16"/>
        </w:rPr>
        <w:t>Loss of carbon during controlled regeneration burns in Eucalyptus obliqua forest. </w:t>
      </w:r>
      <w:r>
        <w:rPr>
          <w:sz w:val="16"/>
        </w:rPr>
        <w:t>TASFORESTS, 2001. </w:t>
      </w:r>
      <w:r>
        <w:rPr>
          <w:b/>
          <w:sz w:val="16"/>
        </w:rPr>
        <w:t>13</w:t>
      </w:r>
      <w:r>
        <w:rPr>
          <w:sz w:val="16"/>
        </w:rPr>
        <w:t>(2): p. 281- 289.</w:t>
      </w:r>
    </w:p>
    <w:p>
      <w:pPr>
        <w:pStyle w:val="ListParagraph"/>
        <w:numPr>
          <w:ilvl w:val="0"/>
          <w:numId w:val="96"/>
        </w:numPr>
        <w:tabs>
          <w:tab w:pos="577" w:val="left" w:leader="none"/>
        </w:tabs>
        <w:spacing w:line="240" w:lineRule="auto" w:before="120" w:after="0"/>
        <w:ind w:left="576" w:right="503" w:hanging="357"/>
        <w:jc w:val="left"/>
        <w:rPr>
          <w:sz w:val="16"/>
        </w:rPr>
      </w:pPr>
      <w:r>
        <w:rPr>
          <w:sz w:val="16"/>
        </w:rPr>
        <w:t>Smith, D. and T. James, </w:t>
      </w:r>
      <w:r>
        <w:rPr>
          <w:i/>
          <w:sz w:val="16"/>
        </w:rPr>
        <w:t>Characteristics of prescribed burns andresultant short-term environmental changes in Populus tremuloides woodland in southern Ontario. </w:t>
      </w:r>
      <w:r>
        <w:rPr>
          <w:sz w:val="16"/>
        </w:rPr>
        <w:t>CANADIAN JOURNAL OF BOTANY, 1978. </w:t>
      </w:r>
      <w:r>
        <w:rPr>
          <w:b/>
          <w:sz w:val="16"/>
        </w:rPr>
        <w:t>56</w:t>
      </w:r>
      <w:r>
        <w:rPr>
          <w:sz w:val="16"/>
        </w:rPr>
        <w:t>: p.</w:t>
      </w:r>
      <w:r>
        <w:rPr>
          <w:spacing w:val="-16"/>
          <w:sz w:val="16"/>
        </w:rPr>
        <w:t> </w:t>
      </w:r>
      <w:r>
        <w:rPr>
          <w:sz w:val="16"/>
        </w:rPr>
        <w:t>1782-1791.</w:t>
      </w:r>
    </w:p>
    <w:p>
      <w:pPr>
        <w:pStyle w:val="ListParagraph"/>
        <w:numPr>
          <w:ilvl w:val="0"/>
          <w:numId w:val="96"/>
        </w:numPr>
        <w:tabs>
          <w:tab w:pos="577" w:val="left" w:leader="none"/>
        </w:tabs>
        <w:spacing w:line="240" w:lineRule="auto" w:before="121" w:after="0"/>
        <w:ind w:left="576" w:right="741" w:hanging="357"/>
        <w:jc w:val="left"/>
        <w:rPr>
          <w:sz w:val="16"/>
        </w:rPr>
      </w:pPr>
      <w:r>
        <w:rPr>
          <w:sz w:val="16"/>
        </w:rPr>
        <w:t>Soares, R. and G. Ribeiro. </w:t>
      </w:r>
      <w:r>
        <w:rPr>
          <w:i/>
          <w:sz w:val="16"/>
        </w:rPr>
        <w:t>Fire behaviour and tree stumps sprouting in Eucalyptus prescribed burnings in southern Brazil</w:t>
      </w:r>
      <w:r>
        <w:rPr>
          <w:sz w:val="16"/>
        </w:rPr>
        <w:t>. in </w:t>
      </w:r>
      <w:r>
        <w:rPr>
          <w:i/>
          <w:sz w:val="16"/>
        </w:rPr>
        <w:t>III International Conference on Forest Fire Research / 14th Conference on Fire and Forest Meteorology</w:t>
      </w:r>
      <w:r>
        <w:rPr>
          <w:sz w:val="16"/>
        </w:rPr>
        <w:t>. 1998.</w:t>
      </w:r>
      <w:r>
        <w:rPr>
          <w:spacing w:val="-25"/>
          <w:sz w:val="16"/>
        </w:rPr>
        <w:t> </w:t>
      </w:r>
      <w:r>
        <w:rPr>
          <w:sz w:val="16"/>
        </w:rPr>
        <w:t>Luso.</w:t>
      </w:r>
    </w:p>
    <w:p>
      <w:pPr>
        <w:spacing w:after="0" w:line="240" w:lineRule="auto"/>
        <w:jc w:val="left"/>
        <w:rPr>
          <w:sz w:val="16"/>
        </w:rPr>
        <w:sectPr>
          <w:pgSz w:w="11900" w:h="16840"/>
          <w:pgMar w:header="230" w:footer="408" w:top="560" w:bottom="600" w:left="1200" w:right="1140"/>
        </w:sectPr>
      </w:pPr>
    </w:p>
    <w:p>
      <w:pPr>
        <w:pStyle w:val="BodyText"/>
      </w:pPr>
    </w:p>
    <w:p>
      <w:pPr>
        <w:pStyle w:val="BodyText"/>
        <w:spacing w:before="3"/>
        <w:rPr>
          <w:sz w:val="18"/>
        </w:rPr>
      </w:pPr>
    </w:p>
    <w:p>
      <w:pPr>
        <w:pStyle w:val="ListParagraph"/>
        <w:numPr>
          <w:ilvl w:val="0"/>
          <w:numId w:val="96"/>
        </w:numPr>
        <w:tabs>
          <w:tab w:pos="577" w:val="left" w:leader="none"/>
        </w:tabs>
        <w:spacing w:line="240" w:lineRule="auto" w:before="0" w:after="0"/>
        <w:ind w:left="576" w:right="521" w:hanging="357"/>
        <w:jc w:val="left"/>
        <w:rPr>
          <w:sz w:val="16"/>
        </w:rPr>
      </w:pPr>
      <w:r>
        <w:rPr>
          <w:sz w:val="16"/>
        </w:rPr>
        <w:t>Sorrensen, C., </w:t>
      </w:r>
      <w:r>
        <w:rPr>
          <w:i/>
          <w:sz w:val="16"/>
        </w:rPr>
        <w:t>Linking smallholder land use and fire activity: examining biomass burning in the Brazilian Lower Amazon. </w:t>
      </w:r>
      <w:r>
        <w:rPr>
          <w:sz w:val="16"/>
        </w:rPr>
        <w:t>FOREST ECOLOGY AND MANAGEMENT, 2000. </w:t>
      </w:r>
      <w:r>
        <w:rPr>
          <w:b/>
          <w:sz w:val="16"/>
        </w:rPr>
        <w:t>128</w:t>
      </w:r>
      <w:r>
        <w:rPr>
          <w:sz w:val="16"/>
        </w:rPr>
        <w:t>(1-2): p.</w:t>
      </w:r>
      <w:r>
        <w:rPr>
          <w:spacing w:val="-5"/>
          <w:sz w:val="16"/>
        </w:rPr>
        <w:t> </w:t>
      </w:r>
      <w:r>
        <w:rPr>
          <w:sz w:val="16"/>
        </w:rPr>
        <w:t>11-25.</w:t>
      </w:r>
    </w:p>
    <w:p>
      <w:pPr>
        <w:pStyle w:val="ListParagraph"/>
        <w:numPr>
          <w:ilvl w:val="0"/>
          <w:numId w:val="96"/>
        </w:numPr>
        <w:tabs>
          <w:tab w:pos="578" w:val="left" w:leader="none"/>
        </w:tabs>
        <w:spacing w:line="240" w:lineRule="auto" w:before="122" w:after="0"/>
        <w:ind w:left="576" w:right="283" w:hanging="357"/>
        <w:jc w:val="left"/>
        <w:rPr>
          <w:sz w:val="16"/>
        </w:rPr>
      </w:pPr>
      <w:r>
        <w:rPr>
          <w:sz w:val="16"/>
        </w:rPr>
        <w:t>Stewart, H. and D. Flinn, </w:t>
      </w:r>
      <w:r>
        <w:rPr>
          <w:i/>
          <w:sz w:val="16"/>
        </w:rPr>
        <w:t>Nutrient losses from broadcast burning of Eucalyptus debris in north-east Victoria. </w:t>
      </w:r>
      <w:r>
        <w:rPr>
          <w:sz w:val="16"/>
        </w:rPr>
        <w:t>AUSTRALIAN FOREST RESEARCH, 1985. </w:t>
      </w:r>
      <w:r>
        <w:rPr>
          <w:b/>
          <w:sz w:val="16"/>
        </w:rPr>
        <w:t>15</w:t>
      </w:r>
      <w:r>
        <w:rPr>
          <w:sz w:val="16"/>
        </w:rPr>
        <w:t>: p.</w:t>
      </w:r>
      <w:r>
        <w:rPr>
          <w:spacing w:val="-8"/>
          <w:sz w:val="16"/>
        </w:rPr>
        <w:t> </w:t>
      </w:r>
      <w:r>
        <w:rPr>
          <w:sz w:val="16"/>
        </w:rPr>
        <w:t>321-332.</w:t>
      </w:r>
    </w:p>
    <w:p>
      <w:pPr>
        <w:pStyle w:val="ListParagraph"/>
        <w:numPr>
          <w:ilvl w:val="0"/>
          <w:numId w:val="96"/>
        </w:numPr>
        <w:tabs>
          <w:tab w:pos="577" w:val="left" w:leader="none"/>
        </w:tabs>
        <w:spacing w:line="240" w:lineRule="auto" w:before="119" w:after="0"/>
        <w:ind w:left="576" w:right="0" w:hanging="357"/>
        <w:jc w:val="left"/>
        <w:rPr>
          <w:sz w:val="16"/>
        </w:rPr>
      </w:pPr>
      <w:r>
        <w:rPr>
          <w:sz w:val="16"/>
        </w:rPr>
        <w:t>Stocks,</w:t>
      </w:r>
      <w:r>
        <w:rPr>
          <w:spacing w:val="-1"/>
          <w:sz w:val="16"/>
        </w:rPr>
        <w:t> </w:t>
      </w:r>
      <w:r>
        <w:rPr>
          <w:sz w:val="16"/>
        </w:rPr>
        <w:t>B.,</w:t>
      </w:r>
      <w:r>
        <w:rPr>
          <w:spacing w:val="-2"/>
          <w:sz w:val="16"/>
        </w:rPr>
        <w:t> </w:t>
      </w:r>
      <w:r>
        <w:rPr>
          <w:i/>
          <w:sz w:val="16"/>
        </w:rPr>
        <w:t>Fire</w:t>
      </w:r>
      <w:r>
        <w:rPr>
          <w:i/>
          <w:spacing w:val="-3"/>
          <w:sz w:val="16"/>
        </w:rPr>
        <w:t> </w:t>
      </w:r>
      <w:r>
        <w:rPr>
          <w:i/>
          <w:sz w:val="16"/>
        </w:rPr>
        <w:t>behaviour</w:t>
      </w:r>
      <w:r>
        <w:rPr>
          <w:i/>
          <w:spacing w:val="-1"/>
          <w:sz w:val="16"/>
        </w:rPr>
        <w:t> </w:t>
      </w:r>
      <w:r>
        <w:rPr>
          <w:i/>
          <w:sz w:val="16"/>
        </w:rPr>
        <w:t>in</w:t>
      </w:r>
      <w:r>
        <w:rPr>
          <w:i/>
          <w:spacing w:val="-3"/>
          <w:sz w:val="16"/>
        </w:rPr>
        <w:t> </w:t>
      </w:r>
      <w:r>
        <w:rPr>
          <w:i/>
          <w:sz w:val="16"/>
        </w:rPr>
        <w:t>immature jack</w:t>
      </w:r>
      <w:r>
        <w:rPr>
          <w:i/>
          <w:spacing w:val="-3"/>
          <w:sz w:val="16"/>
        </w:rPr>
        <w:t> </w:t>
      </w:r>
      <w:r>
        <w:rPr>
          <w:i/>
          <w:sz w:val="16"/>
        </w:rPr>
        <w:t>pine. </w:t>
      </w:r>
      <w:r>
        <w:rPr>
          <w:sz w:val="16"/>
        </w:rPr>
        <w:t>CANADIAN</w:t>
      </w:r>
      <w:r>
        <w:rPr>
          <w:spacing w:val="-2"/>
          <w:sz w:val="16"/>
        </w:rPr>
        <w:t> </w:t>
      </w:r>
      <w:r>
        <w:rPr>
          <w:sz w:val="16"/>
        </w:rPr>
        <w:t>JOURNAL</w:t>
      </w:r>
      <w:r>
        <w:rPr>
          <w:spacing w:val="-2"/>
          <w:sz w:val="16"/>
        </w:rPr>
        <w:t> </w:t>
      </w:r>
      <w:r>
        <w:rPr>
          <w:sz w:val="16"/>
        </w:rPr>
        <w:t>OF</w:t>
      </w:r>
      <w:r>
        <w:rPr>
          <w:spacing w:val="-1"/>
          <w:sz w:val="16"/>
        </w:rPr>
        <w:t> </w:t>
      </w:r>
      <w:r>
        <w:rPr>
          <w:sz w:val="16"/>
        </w:rPr>
        <w:t>FOREST</w:t>
      </w:r>
      <w:r>
        <w:rPr>
          <w:spacing w:val="-4"/>
          <w:sz w:val="16"/>
        </w:rPr>
        <w:t> </w:t>
      </w:r>
      <w:r>
        <w:rPr>
          <w:sz w:val="16"/>
        </w:rPr>
        <w:t>RESEARCH, 1987.</w:t>
      </w:r>
      <w:r>
        <w:rPr>
          <w:spacing w:val="-3"/>
          <w:sz w:val="16"/>
        </w:rPr>
        <w:t> </w:t>
      </w:r>
      <w:r>
        <w:rPr>
          <w:b/>
          <w:sz w:val="16"/>
        </w:rPr>
        <w:t>17</w:t>
      </w:r>
      <w:r>
        <w:rPr>
          <w:sz w:val="16"/>
        </w:rPr>
        <w:t>:</w:t>
      </w:r>
      <w:r>
        <w:rPr>
          <w:spacing w:val="-5"/>
          <w:sz w:val="16"/>
        </w:rPr>
        <w:t> </w:t>
      </w:r>
      <w:r>
        <w:rPr>
          <w:sz w:val="16"/>
        </w:rPr>
        <w:t>p.</w:t>
      </w:r>
      <w:r>
        <w:rPr>
          <w:spacing w:val="-2"/>
          <w:sz w:val="16"/>
        </w:rPr>
        <w:t> </w:t>
      </w:r>
      <w:r>
        <w:rPr>
          <w:sz w:val="16"/>
        </w:rPr>
        <w:t>80-86.</w:t>
      </w:r>
    </w:p>
    <w:p>
      <w:pPr>
        <w:pStyle w:val="ListParagraph"/>
        <w:numPr>
          <w:ilvl w:val="0"/>
          <w:numId w:val="96"/>
        </w:numPr>
        <w:tabs>
          <w:tab w:pos="577" w:val="left" w:leader="none"/>
        </w:tabs>
        <w:spacing w:line="240" w:lineRule="auto" w:before="119" w:after="0"/>
        <w:ind w:left="576" w:right="0" w:hanging="357"/>
        <w:jc w:val="left"/>
        <w:rPr>
          <w:sz w:val="16"/>
        </w:rPr>
      </w:pPr>
      <w:r>
        <w:rPr>
          <w:sz w:val="16"/>
        </w:rPr>
        <w:t>Stocks,</w:t>
      </w:r>
      <w:r>
        <w:rPr>
          <w:spacing w:val="-1"/>
          <w:sz w:val="16"/>
        </w:rPr>
        <w:t> </w:t>
      </w:r>
      <w:r>
        <w:rPr>
          <w:sz w:val="16"/>
        </w:rPr>
        <w:t>B.,</w:t>
      </w:r>
      <w:r>
        <w:rPr>
          <w:spacing w:val="-3"/>
          <w:sz w:val="16"/>
        </w:rPr>
        <w:t> </w:t>
      </w:r>
      <w:r>
        <w:rPr>
          <w:i/>
          <w:sz w:val="16"/>
        </w:rPr>
        <w:t>Fire</w:t>
      </w:r>
      <w:r>
        <w:rPr>
          <w:i/>
          <w:spacing w:val="-2"/>
          <w:sz w:val="16"/>
        </w:rPr>
        <w:t> </w:t>
      </w:r>
      <w:r>
        <w:rPr>
          <w:i/>
          <w:sz w:val="16"/>
        </w:rPr>
        <w:t>behaviour</w:t>
      </w:r>
      <w:r>
        <w:rPr>
          <w:i/>
          <w:spacing w:val="-2"/>
          <w:sz w:val="16"/>
        </w:rPr>
        <w:t> </w:t>
      </w:r>
      <w:r>
        <w:rPr>
          <w:i/>
          <w:sz w:val="16"/>
        </w:rPr>
        <w:t>in</w:t>
      </w:r>
      <w:r>
        <w:rPr>
          <w:i/>
          <w:spacing w:val="-1"/>
          <w:sz w:val="16"/>
        </w:rPr>
        <w:t> </w:t>
      </w:r>
      <w:r>
        <w:rPr>
          <w:i/>
          <w:sz w:val="16"/>
        </w:rPr>
        <w:t>mature</w:t>
      </w:r>
      <w:r>
        <w:rPr>
          <w:i/>
          <w:spacing w:val="-2"/>
          <w:sz w:val="16"/>
        </w:rPr>
        <w:t> </w:t>
      </w:r>
      <w:r>
        <w:rPr>
          <w:i/>
          <w:sz w:val="16"/>
        </w:rPr>
        <w:t>jack</w:t>
      </w:r>
      <w:r>
        <w:rPr>
          <w:i/>
          <w:spacing w:val="-3"/>
          <w:sz w:val="16"/>
        </w:rPr>
        <w:t> </w:t>
      </w:r>
      <w:r>
        <w:rPr>
          <w:i/>
          <w:sz w:val="16"/>
        </w:rPr>
        <w:t>pine.</w:t>
      </w:r>
      <w:r>
        <w:rPr>
          <w:i/>
          <w:spacing w:val="-3"/>
          <w:sz w:val="16"/>
        </w:rPr>
        <w:t> </w:t>
      </w:r>
      <w:r>
        <w:rPr>
          <w:sz w:val="16"/>
        </w:rPr>
        <w:t>CANADIAN</w:t>
      </w:r>
      <w:r>
        <w:rPr>
          <w:spacing w:val="-2"/>
          <w:sz w:val="16"/>
        </w:rPr>
        <w:t> </w:t>
      </w:r>
      <w:r>
        <w:rPr>
          <w:sz w:val="16"/>
        </w:rPr>
        <w:t>JOURNAL</w:t>
      </w:r>
      <w:r>
        <w:rPr>
          <w:spacing w:val="-4"/>
          <w:sz w:val="16"/>
        </w:rPr>
        <w:t> </w:t>
      </w:r>
      <w:r>
        <w:rPr>
          <w:sz w:val="16"/>
        </w:rPr>
        <w:t>OF</w:t>
      </w:r>
      <w:r>
        <w:rPr>
          <w:spacing w:val="-1"/>
          <w:sz w:val="16"/>
        </w:rPr>
        <w:t> </w:t>
      </w:r>
      <w:r>
        <w:rPr>
          <w:sz w:val="16"/>
        </w:rPr>
        <w:t>FOREST</w:t>
      </w:r>
      <w:r>
        <w:rPr>
          <w:spacing w:val="-4"/>
          <w:sz w:val="16"/>
        </w:rPr>
        <w:t> </w:t>
      </w:r>
      <w:r>
        <w:rPr>
          <w:sz w:val="16"/>
        </w:rPr>
        <w:t>RESEARCH,</w:t>
      </w:r>
      <w:r>
        <w:rPr>
          <w:spacing w:val="-1"/>
          <w:sz w:val="16"/>
        </w:rPr>
        <w:t> </w:t>
      </w:r>
      <w:r>
        <w:rPr>
          <w:sz w:val="16"/>
        </w:rPr>
        <w:t>1989.</w:t>
      </w:r>
      <w:r>
        <w:rPr>
          <w:spacing w:val="-2"/>
          <w:sz w:val="16"/>
        </w:rPr>
        <w:t> </w:t>
      </w:r>
      <w:r>
        <w:rPr>
          <w:b/>
          <w:sz w:val="16"/>
        </w:rPr>
        <w:t>19</w:t>
      </w:r>
      <w:r>
        <w:rPr>
          <w:sz w:val="16"/>
        </w:rPr>
        <w:t>:</w:t>
      </w:r>
      <w:r>
        <w:rPr>
          <w:spacing w:val="-6"/>
          <w:sz w:val="16"/>
        </w:rPr>
        <w:t> </w:t>
      </w:r>
      <w:r>
        <w:rPr>
          <w:sz w:val="16"/>
        </w:rPr>
        <w:t>p.</w:t>
      </w:r>
      <w:r>
        <w:rPr>
          <w:spacing w:val="-2"/>
          <w:sz w:val="16"/>
        </w:rPr>
        <w:t> </w:t>
      </w:r>
      <w:r>
        <w:rPr>
          <w:sz w:val="16"/>
        </w:rPr>
        <w:t>783-790.</w:t>
      </w:r>
    </w:p>
    <w:p>
      <w:pPr>
        <w:pStyle w:val="ListParagraph"/>
        <w:numPr>
          <w:ilvl w:val="0"/>
          <w:numId w:val="96"/>
        </w:numPr>
        <w:tabs>
          <w:tab w:pos="577" w:val="left" w:leader="none"/>
        </w:tabs>
        <w:spacing w:line="240" w:lineRule="auto" w:before="121" w:after="0"/>
        <w:ind w:left="576" w:right="473" w:hanging="357"/>
        <w:jc w:val="left"/>
        <w:rPr>
          <w:sz w:val="16"/>
        </w:rPr>
      </w:pPr>
      <w:r>
        <w:rPr>
          <w:sz w:val="16"/>
        </w:rPr>
        <w:t>Stocks, B., B. van Wilgen, W. Trollope, D. McRae, J. Mason, F. Weirich, and A. Potgieter, </w:t>
      </w:r>
      <w:r>
        <w:rPr>
          <w:i/>
          <w:sz w:val="16"/>
        </w:rPr>
        <w:t>Fuels and fire behaviour dynamics on large-scale savanna fires in Kruger National Park, South Africa. </w:t>
      </w:r>
      <w:r>
        <w:rPr>
          <w:sz w:val="16"/>
        </w:rPr>
        <w:t>JOURNAL OF GEOPHYSICAL RESEARCH, 1996. </w:t>
      </w:r>
      <w:r>
        <w:rPr>
          <w:b/>
          <w:sz w:val="16"/>
        </w:rPr>
        <w:t>101</w:t>
      </w:r>
      <w:r>
        <w:rPr>
          <w:sz w:val="16"/>
        </w:rPr>
        <w:t>(D19): p. 23541-23550.</w:t>
      </w:r>
    </w:p>
    <w:p>
      <w:pPr>
        <w:pStyle w:val="ListParagraph"/>
        <w:numPr>
          <w:ilvl w:val="0"/>
          <w:numId w:val="96"/>
        </w:numPr>
        <w:tabs>
          <w:tab w:pos="577" w:val="left" w:leader="none"/>
        </w:tabs>
        <w:spacing w:line="240" w:lineRule="auto" w:before="120" w:after="0"/>
        <w:ind w:left="576" w:right="389" w:hanging="357"/>
        <w:jc w:val="left"/>
        <w:rPr>
          <w:sz w:val="16"/>
        </w:rPr>
      </w:pPr>
      <w:r>
        <w:rPr>
          <w:sz w:val="16"/>
        </w:rPr>
        <w:t>Stocks, B. and J. Kauffman, </w:t>
      </w:r>
      <w:r>
        <w:rPr>
          <w:i/>
          <w:sz w:val="16"/>
        </w:rPr>
        <w:t>Biomass consumption and behaviour of wildland fires in boreal, temperate, and tropical ecosystems: parameters necessary to interpret historic fire regimes and future fire scenarios</w:t>
      </w:r>
      <w:r>
        <w:rPr>
          <w:sz w:val="16"/>
        </w:rPr>
        <w:t>, in </w:t>
      </w:r>
      <w:r>
        <w:rPr>
          <w:i/>
          <w:sz w:val="16"/>
        </w:rPr>
        <w:t>Sediment Records of Biomass Burning and Global Change</w:t>
      </w:r>
      <w:r>
        <w:rPr>
          <w:sz w:val="16"/>
        </w:rPr>
        <w:t>, J. Clark, </w:t>
      </w:r>
      <w:r>
        <w:rPr>
          <w:i/>
          <w:sz w:val="16"/>
        </w:rPr>
        <w:t>et al</w:t>
      </w:r>
      <w:r>
        <w:rPr>
          <w:sz w:val="16"/>
        </w:rPr>
        <w:t>., Editors. 1997, Springer-Verlag: Berlin. p.</w:t>
      </w:r>
      <w:r>
        <w:rPr>
          <w:spacing w:val="-11"/>
          <w:sz w:val="16"/>
        </w:rPr>
        <w:t> </w:t>
      </w:r>
      <w:r>
        <w:rPr>
          <w:sz w:val="16"/>
        </w:rPr>
        <w:t>169-188.</w:t>
      </w:r>
    </w:p>
    <w:p>
      <w:pPr>
        <w:pStyle w:val="ListParagraph"/>
        <w:numPr>
          <w:ilvl w:val="0"/>
          <w:numId w:val="96"/>
        </w:numPr>
        <w:tabs>
          <w:tab w:pos="577" w:val="left" w:leader="none"/>
        </w:tabs>
        <w:spacing w:line="240" w:lineRule="auto" w:before="120" w:after="0"/>
        <w:ind w:left="576" w:right="318" w:hanging="357"/>
        <w:jc w:val="left"/>
        <w:rPr>
          <w:sz w:val="16"/>
        </w:rPr>
      </w:pPr>
      <w:r>
        <w:rPr>
          <w:sz w:val="16"/>
        </w:rPr>
        <w:t>Susott, R., D. Ward, R. Babbitt, and D. Latham, </w:t>
      </w:r>
      <w:r>
        <w:rPr>
          <w:i/>
          <w:sz w:val="16"/>
        </w:rPr>
        <w:t>The measurement of trace emissions and combustion characteristics for a mass fire</w:t>
      </w:r>
      <w:r>
        <w:rPr>
          <w:sz w:val="16"/>
        </w:rPr>
        <w:t>, in </w:t>
      </w:r>
      <w:r>
        <w:rPr>
          <w:i/>
          <w:sz w:val="16"/>
        </w:rPr>
        <w:t>Global Biomass Burning: Atmospheric, Climatic, and Biospheric Implications</w:t>
      </w:r>
      <w:r>
        <w:rPr>
          <w:sz w:val="16"/>
        </w:rPr>
        <w:t>, J. Levine, Editor. 1991, MIT Press: Massechusetts. p. 245-257.</w:t>
      </w:r>
    </w:p>
    <w:p>
      <w:pPr>
        <w:pStyle w:val="ListParagraph"/>
        <w:numPr>
          <w:ilvl w:val="0"/>
          <w:numId w:val="96"/>
        </w:numPr>
        <w:tabs>
          <w:tab w:pos="577" w:val="left" w:leader="none"/>
        </w:tabs>
        <w:spacing w:line="240" w:lineRule="auto" w:before="117" w:after="0"/>
        <w:ind w:left="576" w:right="796" w:hanging="357"/>
        <w:jc w:val="left"/>
        <w:rPr>
          <w:sz w:val="16"/>
        </w:rPr>
      </w:pPr>
      <w:r>
        <w:rPr>
          <w:sz w:val="16"/>
        </w:rPr>
        <w:t>Turetsky, M. and R. Wieder, </w:t>
      </w:r>
      <w:r>
        <w:rPr>
          <w:i/>
          <w:sz w:val="16"/>
        </w:rPr>
        <w:t>A direct approach to quantifying organic matter lost as a result of peatland wildfire. </w:t>
      </w:r>
      <w:r>
        <w:rPr>
          <w:sz w:val="16"/>
        </w:rPr>
        <w:t>CANADIAN JOURNAL OF FOREST RESEARCH, 2001. </w:t>
      </w:r>
      <w:r>
        <w:rPr>
          <w:b/>
          <w:sz w:val="16"/>
        </w:rPr>
        <w:t>31</w:t>
      </w:r>
      <w:r>
        <w:rPr>
          <w:sz w:val="16"/>
        </w:rPr>
        <w:t>(2): p.</w:t>
      </w:r>
      <w:r>
        <w:rPr>
          <w:spacing w:val="-9"/>
          <w:sz w:val="16"/>
        </w:rPr>
        <w:t> </w:t>
      </w:r>
      <w:r>
        <w:rPr>
          <w:sz w:val="16"/>
        </w:rPr>
        <w:t>363-366.</w:t>
      </w:r>
    </w:p>
    <w:p>
      <w:pPr>
        <w:pStyle w:val="ListParagraph"/>
        <w:numPr>
          <w:ilvl w:val="0"/>
          <w:numId w:val="96"/>
        </w:numPr>
        <w:tabs>
          <w:tab w:pos="577" w:val="left" w:leader="none"/>
        </w:tabs>
        <w:spacing w:line="240" w:lineRule="auto" w:before="122" w:after="0"/>
        <w:ind w:left="576" w:right="347" w:hanging="357"/>
        <w:jc w:val="left"/>
        <w:rPr>
          <w:sz w:val="16"/>
        </w:rPr>
      </w:pPr>
      <w:r>
        <w:rPr>
          <w:sz w:val="16"/>
        </w:rPr>
        <w:t>Van Wagner, C., </w:t>
      </w:r>
      <w:r>
        <w:rPr>
          <w:i/>
          <w:sz w:val="16"/>
        </w:rPr>
        <w:t>Duff consumption by fire in eastern pine stands. </w:t>
      </w:r>
      <w:r>
        <w:rPr>
          <w:sz w:val="16"/>
        </w:rPr>
        <w:t>CANADIAN JOURNAL OF FOREST RESEARCH, 1972. </w:t>
      </w:r>
      <w:r>
        <w:rPr>
          <w:b/>
          <w:sz w:val="16"/>
        </w:rPr>
        <w:t>2</w:t>
      </w:r>
      <w:r>
        <w:rPr>
          <w:sz w:val="16"/>
        </w:rPr>
        <w:t>: p. 34- 39.</w:t>
      </w:r>
    </w:p>
    <w:p>
      <w:pPr>
        <w:pStyle w:val="ListParagraph"/>
        <w:numPr>
          <w:ilvl w:val="0"/>
          <w:numId w:val="96"/>
        </w:numPr>
        <w:tabs>
          <w:tab w:pos="577" w:val="left" w:leader="none"/>
        </w:tabs>
        <w:spacing w:line="240" w:lineRule="auto" w:before="119" w:after="0"/>
        <w:ind w:left="576" w:right="758" w:hanging="357"/>
        <w:jc w:val="left"/>
        <w:rPr>
          <w:sz w:val="16"/>
        </w:rPr>
      </w:pPr>
      <w:r>
        <w:rPr>
          <w:sz w:val="16"/>
        </w:rPr>
        <w:t>van Wilgen, B., D. Le Maitre, and F. Kruger, </w:t>
      </w:r>
      <w:r>
        <w:rPr>
          <w:i/>
          <w:sz w:val="16"/>
        </w:rPr>
        <w:t>Fire behaviour in South African fynbos (macchia) vegetation and predictions from Rothermel's fire model. </w:t>
      </w:r>
      <w:r>
        <w:rPr>
          <w:sz w:val="16"/>
        </w:rPr>
        <w:t>JOURNAL OF APPLIED ECOLOGY, 1985. </w:t>
      </w:r>
      <w:r>
        <w:rPr>
          <w:b/>
          <w:sz w:val="16"/>
        </w:rPr>
        <w:t>22</w:t>
      </w:r>
      <w:r>
        <w:rPr>
          <w:sz w:val="16"/>
        </w:rPr>
        <w:t>: p.</w:t>
      </w:r>
      <w:r>
        <w:rPr>
          <w:spacing w:val="-13"/>
          <w:sz w:val="16"/>
        </w:rPr>
        <w:t> </w:t>
      </w:r>
      <w:r>
        <w:rPr>
          <w:sz w:val="16"/>
        </w:rPr>
        <w:t>207-216.</w:t>
      </w:r>
    </w:p>
    <w:p>
      <w:pPr>
        <w:pStyle w:val="ListParagraph"/>
        <w:numPr>
          <w:ilvl w:val="0"/>
          <w:numId w:val="96"/>
        </w:numPr>
        <w:tabs>
          <w:tab w:pos="577" w:val="left" w:leader="none"/>
        </w:tabs>
        <w:spacing w:line="240" w:lineRule="auto" w:before="119" w:after="0"/>
        <w:ind w:left="576" w:right="625" w:hanging="357"/>
        <w:jc w:val="left"/>
        <w:rPr>
          <w:sz w:val="16"/>
        </w:rPr>
      </w:pPr>
      <w:r>
        <w:rPr>
          <w:sz w:val="16"/>
        </w:rPr>
        <w:t>Vose, J. and W. Swank, </w:t>
      </w:r>
      <w:r>
        <w:rPr>
          <w:i/>
          <w:sz w:val="16"/>
        </w:rPr>
        <w:t>Site preparation burning to improve southern Appalachian pine-hardwood stands: aboveground biomass, forest</w:t>
      </w:r>
      <w:r>
        <w:rPr>
          <w:i/>
          <w:spacing w:val="-3"/>
          <w:sz w:val="16"/>
        </w:rPr>
        <w:t> </w:t>
      </w:r>
      <w:r>
        <w:rPr>
          <w:i/>
          <w:sz w:val="16"/>
        </w:rPr>
        <w:t>floor</w:t>
      </w:r>
      <w:r>
        <w:rPr>
          <w:i/>
          <w:spacing w:val="-1"/>
          <w:sz w:val="16"/>
        </w:rPr>
        <w:t> </w:t>
      </w:r>
      <w:r>
        <w:rPr>
          <w:i/>
          <w:sz w:val="16"/>
        </w:rPr>
        <w:t>mass,</w:t>
      </w:r>
      <w:r>
        <w:rPr>
          <w:i/>
          <w:spacing w:val="-3"/>
          <w:sz w:val="16"/>
        </w:rPr>
        <w:t> </w:t>
      </w:r>
      <w:r>
        <w:rPr>
          <w:i/>
          <w:sz w:val="16"/>
        </w:rPr>
        <w:t>and</w:t>
      </w:r>
      <w:r>
        <w:rPr>
          <w:i/>
          <w:spacing w:val="-2"/>
          <w:sz w:val="16"/>
        </w:rPr>
        <w:t> </w:t>
      </w:r>
      <w:r>
        <w:rPr>
          <w:i/>
          <w:sz w:val="16"/>
        </w:rPr>
        <w:t>nitrogen</w:t>
      </w:r>
      <w:r>
        <w:rPr>
          <w:i/>
          <w:spacing w:val="-3"/>
          <w:sz w:val="16"/>
        </w:rPr>
        <w:t> </w:t>
      </w:r>
      <w:r>
        <w:rPr>
          <w:i/>
          <w:sz w:val="16"/>
        </w:rPr>
        <w:t>and</w:t>
      </w:r>
      <w:r>
        <w:rPr>
          <w:i/>
          <w:spacing w:val="-2"/>
          <w:sz w:val="16"/>
        </w:rPr>
        <w:t> </w:t>
      </w:r>
      <w:r>
        <w:rPr>
          <w:i/>
          <w:sz w:val="16"/>
        </w:rPr>
        <w:t>carbon</w:t>
      </w:r>
      <w:r>
        <w:rPr>
          <w:i/>
          <w:spacing w:val="-3"/>
          <w:sz w:val="16"/>
        </w:rPr>
        <w:t> </w:t>
      </w:r>
      <w:r>
        <w:rPr>
          <w:i/>
          <w:sz w:val="16"/>
        </w:rPr>
        <w:t>pools.</w:t>
      </w:r>
      <w:r>
        <w:rPr>
          <w:i/>
          <w:spacing w:val="-2"/>
          <w:sz w:val="16"/>
        </w:rPr>
        <w:t> </w:t>
      </w:r>
      <w:r>
        <w:rPr>
          <w:sz w:val="16"/>
        </w:rPr>
        <w:t>CANADIAN</w:t>
      </w:r>
      <w:r>
        <w:rPr>
          <w:spacing w:val="-2"/>
          <w:sz w:val="16"/>
        </w:rPr>
        <w:t> </w:t>
      </w:r>
      <w:r>
        <w:rPr>
          <w:sz w:val="16"/>
        </w:rPr>
        <w:t>JOURNAL</w:t>
      </w:r>
      <w:r>
        <w:rPr>
          <w:spacing w:val="-4"/>
          <w:sz w:val="16"/>
        </w:rPr>
        <w:t> </w:t>
      </w:r>
      <w:r>
        <w:rPr>
          <w:sz w:val="16"/>
        </w:rPr>
        <w:t>OF</w:t>
      </w:r>
      <w:r>
        <w:rPr>
          <w:spacing w:val="-1"/>
          <w:sz w:val="16"/>
        </w:rPr>
        <w:t> </w:t>
      </w:r>
      <w:r>
        <w:rPr>
          <w:sz w:val="16"/>
        </w:rPr>
        <w:t>FOREST</w:t>
      </w:r>
      <w:r>
        <w:rPr>
          <w:spacing w:val="-4"/>
          <w:sz w:val="16"/>
        </w:rPr>
        <w:t> </w:t>
      </w:r>
      <w:r>
        <w:rPr>
          <w:sz w:val="16"/>
        </w:rPr>
        <w:t>RESEARCH, 1993.</w:t>
      </w:r>
      <w:r>
        <w:rPr>
          <w:spacing w:val="-3"/>
          <w:sz w:val="16"/>
        </w:rPr>
        <w:t> </w:t>
      </w:r>
      <w:r>
        <w:rPr>
          <w:b/>
          <w:sz w:val="16"/>
        </w:rPr>
        <w:t>23</w:t>
      </w:r>
      <w:r>
        <w:rPr>
          <w:sz w:val="16"/>
        </w:rPr>
        <w:t>:</w:t>
      </w:r>
      <w:r>
        <w:rPr>
          <w:spacing w:val="-4"/>
          <w:sz w:val="16"/>
        </w:rPr>
        <w:t> </w:t>
      </w:r>
      <w:r>
        <w:rPr>
          <w:sz w:val="16"/>
        </w:rPr>
        <w:t>p.</w:t>
      </w:r>
      <w:r>
        <w:rPr>
          <w:spacing w:val="-3"/>
          <w:sz w:val="16"/>
        </w:rPr>
        <w:t> </w:t>
      </w:r>
      <w:r>
        <w:rPr>
          <w:sz w:val="16"/>
        </w:rPr>
        <w:t>2255-2262.</w:t>
      </w:r>
    </w:p>
    <w:p>
      <w:pPr>
        <w:pStyle w:val="ListParagraph"/>
        <w:numPr>
          <w:ilvl w:val="0"/>
          <w:numId w:val="96"/>
        </w:numPr>
        <w:tabs>
          <w:tab w:pos="577" w:val="left" w:leader="none"/>
        </w:tabs>
        <w:spacing w:line="240" w:lineRule="auto" w:before="120" w:after="0"/>
        <w:ind w:left="576" w:right="471" w:hanging="357"/>
        <w:jc w:val="left"/>
        <w:rPr>
          <w:sz w:val="16"/>
        </w:rPr>
      </w:pPr>
      <w:r>
        <w:rPr>
          <w:sz w:val="16"/>
        </w:rPr>
        <w:t>Walker, J., </w:t>
      </w:r>
      <w:r>
        <w:rPr>
          <w:i/>
          <w:sz w:val="16"/>
        </w:rPr>
        <w:t>Fuel dynamics in Australian vegetation</w:t>
      </w:r>
      <w:r>
        <w:rPr>
          <w:sz w:val="16"/>
        </w:rPr>
        <w:t>, in </w:t>
      </w:r>
      <w:r>
        <w:rPr>
          <w:i/>
          <w:sz w:val="16"/>
        </w:rPr>
        <w:t>Fire and the Australian Biota</w:t>
      </w:r>
      <w:r>
        <w:rPr>
          <w:sz w:val="16"/>
        </w:rPr>
        <w:t>, A. Gill, R. Groves, and </w:t>
      </w:r>
      <w:r>
        <w:rPr>
          <w:spacing w:val="-3"/>
          <w:sz w:val="16"/>
        </w:rPr>
        <w:t>I. </w:t>
      </w:r>
      <w:r>
        <w:rPr>
          <w:sz w:val="16"/>
        </w:rPr>
        <w:t>Noble, Editors. 1981, Australian Academy of Science: Canberra. p.</w:t>
      </w:r>
      <w:r>
        <w:rPr>
          <w:spacing w:val="-7"/>
          <w:sz w:val="16"/>
        </w:rPr>
        <w:t> </w:t>
      </w:r>
      <w:r>
        <w:rPr>
          <w:sz w:val="16"/>
        </w:rPr>
        <w:t>101-127.</w:t>
      </w:r>
    </w:p>
    <w:p>
      <w:pPr>
        <w:pStyle w:val="ListParagraph"/>
        <w:numPr>
          <w:ilvl w:val="0"/>
          <w:numId w:val="96"/>
        </w:numPr>
        <w:tabs>
          <w:tab w:pos="577" w:val="left" w:leader="none"/>
        </w:tabs>
        <w:spacing w:line="240" w:lineRule="auto" w:before="119" w:after="0"/>
        <w:ind w:left="576" w:right="825" w:hanging="357"/>
        <w:jc w:val="left"/>
        <w:rPr>
          <w:sz w:val="16"/>
        </w:rPr>
      </w:pPr>
      <w:r>
        <w:rPr>
          <w:sz w:val="16"/>
        </w:rPr>
        <w:t>Ward, D., R. Susott, J. Kauffman</w:t>
      </w:r>
      <w:r>
        <w:rPr>
          <w:i/>
          <w:sz w:val="16"/>
        </w:rPr>
        <w:t>, et al.</w:t>
      </w:r>
      <w:r>
        <w:rPr>
          <w:sz w:val="16"/>
        </w:rPr>
        <w:t>, </w:t>
      </w:r>
      <w:r>
        <w:rPr>
          <w:i/>
          <w:sz w:val="16"/>
        </w:rPr>
        <w:t>Smoke and fire characteristics for Cerrado and deforestation burns in Brazil: BASE-B Experiment. </w:t>
      </w:r>
      <w:r>
        <w:rPr>
          <w:sz w:val="16"/>
        </w:rPr>
        <w:t>JOURNAL OF GEOPHYSICAL RESEARCH, 1992. </w:t>
      </w:r>
      <w:r>
        <w:rPr>
          <w:b/>
          <w:sz w:val="16"/>
        </w:rPr>
        <w:t>97</w:t>
      </w:r>
      <w:r>
        <w:rPr>
          <w:sz w:val="16"/>
        </w:rPr>
        <w:t>(D13): p.</w:t>
      </w:r>
      <w:r>
        <w:rPr>
          <w:spacing w:val="-14"/>
          <w:sz w:val="16"/>
        </w:rPr>
        <w:t> </w:t>
      </w:r>
      <w:r>
        <w:rPr>
          <w:sz w:val="16"/>
        </w:rPr>
        <w:t>14601-14619.</w:t>
      </w:r>
    </w:p>
    <w:p>
      <w:pPr>
        <w:pStyle w:val="BodyText"/>
      </w:pPr>
    </w:p>
    <w:p>
      <w:pPr>
        <w:pStyle w:val="BodyText"/>
      </w:pPr>
    </w:p>
    <w:p>
      <w:pPr>
        <w:pStyle w:val="BodyText"/>
        <w:spacing w:before="10" w:after="1"/>
        <w:rPr>
          <w:sz w:val="25"/>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93"/>
        <w:gridCol w:w="953"/>
        <w:gridCol w:w="953"/>
        <w:gridCol w:w="955"/>
        <w:gridCol w:w="953"/>
        <w:gridCol w:w="955"/>
        <w:gridCol w:w="953"/>
      </w:tblGrid>
      <w:tr>
        <w:trPr>
          <w:trHeight w:val="947" w:hRule="atLeast"/>
        </w:trPr>
        <w:tc>
          <w:tcPr>
            <w:tcW w:w="9015" w:type="dxa"/>
            <w:gridSpan w:val="7"/>
            <w:tcBorders>
              <w:bottom w:val="double" w:sz="1" w:space="0" w:color="000000"/>
            </w:tcBorders>
          </w:tcPr>
          <w:p>
            <w:pPr>
              <w:pStyle w:val="TableParagraph"/>
              <w:spacing w:line="207" w:lineRule="exact" w:before="59"/>
              <w:ind w:left="130" w:right="123"/>
              <w:jc w:val="center"/>
              <w:rPr>
                <w:b/>
                <w:sz w:val="18"/>
              </w:rPr>
            </w:pPr>
            <w:r>
              <w:rPr>
                <w:b/>
                <w:sz w:val="18"/>
              </w:rPr>
              <w:t>T</w:t>
            </w:r>
            <w:r>
              <w:rPr>
                <w:b/>
                <w:sz w:val="14"/>
              </w:rPr>
              <w:t>ABLE </w:t>
            </w:r>
            <w:r>
              <w:rPr>
                <w:b/>
                <w:sz w:val="18"/>
              </w:rPr>
              <w:t>3A.1.14</w:t>
            </w:r>
          </w:p>
          <w:p>
            <w:pPr>
              <w:pStyle w:val="TableParagraph"/>
              <w:spacing w:line="283" w:lineRule="auto"/>
              <w:ind w:left="131" w:right="123"/>
              <w:jc w:val="center"/>
              <w:rPr>
                <w:b/>
                <w:sz w:val="14"/>
              </w:rPr>
            </w:pPr>
            <w:r>
              <w:rPr>
                <w:b/>
                <w:sz w:val="18"/>
              </w:rPr>
              <w:t>C</w:t>
            </w:r>
            <w:r>
              <w:rPr>
                <w:b/>
                <w:sz w:val="14"/>
              </w:rPr>
              <w:t>OMBUSTION EFFICIENCY </w:t>
            </w:r>
            <w:r>
              <w:rPr>
                <w:b/>
                <w:sz w:val="18"/>
              </w:rPr>
              <w:t>(</w:t>
            </w:r>
            <w:r>
              <w:rPr>
                <w:b/>
                <w:sz w:val="14"/>
              </w:rPr>
              <w:t>PROPORTION OF AVAILABLE FUEL ACTUALLY BURNT</w:t>
            </w:r>
            <w:r>
              <w:rPr>
                <w:b/>
                <w:sz w:val="18"/>
              </w:rPr>
              <w:t>) </w:t>
            </w:r>
            <w:r>
              <w:rPr>
                <w:b/>
                <w:sz w:val="14"/>
              </w:rPr>
              <w:t>RELEVANT TO LAND</w:t>
            </w:r>
            <w:r>
              <w:rPr>
                <w:b/>
                <w:sz w:val="18"/>
              </w:rPr>
              <w:t>-</w:t>
            </w:r>
            <w:r>
              <w:rPr>
                <w:b/>
                <w:sz w:val="14"/>
              </w:rPr>
              <w:t>CLEARING BURNS</w:t>
            </w:r>
            <w:r>
              <w:rPr>
                <w:b/>
                <w:sz w:val="18"/>
              </w:rPr>
              <w:t>, </w:t>
            </w:r>
            <w:r>
              <w:rPr>
                <w:b/>
                <w:sz w:val="14"/>
              </w:rPr>
              <w:t>AND BURNS IN HEAVY LOGGING SLASH FOR A RANGE OF VEGETATION TYPES AND BURNING CONDITIONS</w:t>
            </w:r>
          </w:p>
          <w:p>
            <w:pPr>
              <w:pStyle w:val="TableParagraph"/>
              <w:spacing w:line="193" w:lineRule="exact" w:before="34"/>
              <w:ind w:left="131" w:right="122"/>
              <w:jc w:val="center"/>
              <w:rPr>
                <w:sz w:val="16"/>
              </w:rPr>
            </w:pPr>
            <w:r>
              <w:rPr>
                <w:sz w:val="18"/>
              </w:rPr>
              <w:t>(</w:t>
            </w:r>
            <w:r>
              <w:rPr>
                <w:sz w:val="16"/>
              </w:rPr>
              <w:t>To be used in sections ‘forest lands converted to cropland’, ‘converted to grassland’, or ‘converted to settlements or other lands’)</w:t>
            </w:r>
          </w:p>
        </w:tc>
      </w:tr>
      <w:tr>
        <w:trPr>
          <w:trHeight w:val="253" w:hRule="atLeast"/>
        </w:trPr>
        <w:tc>
          <w:tcPr>
            <w:tcW w:w="3293" w:type="dxa"/>
            <w:vMerge w:val="restart"/>
            <w:tcBorders>
              <w:top w:val="double" w:sz="1" w:space="0" w:color="000000"/>
            </w:tcBorders>
          </w:tcPr>
          <w:p>
            <w:pPr>
              <w:pStyle w:val="TableParagraph"/>
              <w:rPr>
                <w:sz w:val="22"/>
              </w:rPr>
            </w:pPr>
          </w:p>
          <w:p>
            <w:pPr>
              <w:pStyle w:val="TableParagraph"/>
              <w:ind w:left="1129" w:right="1119"/>
              <w:jc w:val="center"/>
              <w:rPr>
                <w:b/>
                <w:sz w:val="18"/>
              </w:rPr>
            </w:pPr>
            <w:r>
              <w:rPr>
                <w:b/>
                <w:sz w:val="18"/>
              </w:rPr>
              <w:t>Forest Types</w:t>
            </w:r>
          </w:p>
        </w:tc>
        <w:tc>
          <w:tcPr>
            <w:tcW w:w="5722" w:type="dxa"/>
            <w:gridSpan w:val="6"/>
            <w:tcBorders>
              <w:top w:val="double" w:sz="1" w:space="0" w:color="000000"/>
            </w:tcBorders>
          </w:tcPr>
          <w:p>
            <w:pPr>
              <w:pStyle w:val="TableParagraph"/>
              <w:spacing w:before="23"/>
              <w:ind w:left="1458"/>
              <w:rPr>
                <w:b/>
                <w:sz w:val="18"/>
              </w:rPr>
            </w:pPr>
            <w:r>
              <w:rPr>
                <w:b/>
                <w:sz w:val="18"/>
              </w:rPr>
              <w:t>Burn type and drying time (Months)</w:t>
            </w:r>
          </w:p>
        </w:tc>
      </w:tr>
      <w:tr>
        <w:trPr>
          <w:trHeight w:val="273" w:hRule="atLeast"/>
        </w:trPr>
        <w:tc>
          <w:tcPr>
            <w:tcW w:w="3293" w:type="dxa"/>
            <w:vMerge/>
            <w:tcBorders>
              <w:top w:val="nil"/>
            </w:tcBorders>
          </w:tcPr>
          <w:p>
            <w:pPr>
              <w:rPr>
                <w:sz w:val="2"/>
                <w:szCs w:val="2"/>
              </w:rPr>
            </w:pPr>
          </w:p>
        </w:tc>
        <w:tc>
          <w:tcPr>
            <w:tcW w:w="1906" w:type="dxa"/>
            <w:gridSpan w:val="2"/>
          </w:tcPr>
          <w:p>
            <w:pPr>
              <w:pStyle w:val="TableParagraph"/>
              <w:spacing w:before="33"/>
              <w:ind w:left="563"/>
              <w:rPr>
                <w:b/>
                <w:sz w:val="18"/>
              </w:rPr>
            </w:pPr>
            <w:r>
              <w:rPr>
                <w:b/>
                <w:sz w:val="18"/>
              </w:rPr>
              <w:t>Broadcast</w:t>
            </w:r>
          </w:p>
        </w:tc>
        <w:tc>
          <w:tcPr>
            <w:tcW w:w="1908" w:type="dxa"/>
            <w:gridSpan w:val="2"/>
          </w:tcPr>
          <w:p>
            <w:pPr>
              <w:pStyle w:val="TableParagraph"/>
              <w:spacing w:before="33"/>
              <w:ind w:left="586"/>
              <w:rPr>
                <w:b/>
                <w:sz w:val="18"/>
              </w:rPr>
            </w:pPr>
            <w:r>
              <w:rPr>
                <w:b/>
                <w:sz w:val="18"/>
              </w:rPr>
              <w:t>Windrow</w:t>
            </w:r>
          </w:p>
        </w:tc>
        <w:tc>
          <w:tcPr>
            <w:tcW w:w="1908" w:type="dxa"/>
            <w:gridSpan w:val="2"/>
          </w:tcPr>
          <w:p>
            <w:pPr>
              <w:pStyle w:val="TableParagraph"/>
              <w:spacing w:before="33"/>
              <w:ind w:left="243"/>
              <w:rPr>
                <w:b/>
                <w:sz w:val="18"/>
              </w:rPr>
            </w:pPr>
            <w:r>
              <w:rPr>
                <w:b/>
                <w:sz w:val="18"/>
              </w:rPr>
              <w:t>Windrow+Stoking</w:t>
            </w:r>
          </w:p>
        </w:tc>
      </w:tr>
      <w:tr>
        <w:trPr>
          <w:trHeight w:val="275" w:hRule="atLeast"/>
        </w:trPr>
        <w:tc>
          <w:tcPr>
            <w:tcW w:w="3293" w:type="dxa"/>
          </w:tcPr>
          <w:p>
            <w:pPr>
              <w:pStyle w:val="TableParagraph"/>
              <w:rPr>
                <w:sz w:val="16"/>
              </w:rPr>
            </w:pPr>
          </w:p>
        </w:tc>
        <w:tc>
          <w:tcPr>
            <w:tcW w:w="953" w:type="dxa"/>
          </w:tcPr>
          <w:p>
            <w:pPr>
              <w:pStyle w:val="TableParagraph"/>
              <w:spacing w:before="28"/>
              <w:ind w:left="151" w:right="147"/>
              <w:jc w:val="center"/>
              <w:rPr>
                <w:sz w:val="18"/>
              </w:rPr>
            </w:pPr>
            <w:r>
              <w:rPr>
                <w:sz w:val="18"/>
              </w:rPr>
              <w:t>&lt;6</w:t>
            </w:r>
          </w:p>
        </w:tc>
        <w:tc>
          <w:tcPr>
            <w:tcW w:w="953" w:type="dxa"/>
          </w:tcPr>
          <w:p>
            <w:pPr>
              <w:pStyle w:val="TableParagraph"/>
              <w:spacing w:before="28"/>
              <w:ind w:left="156" w:right="147"/>
              <w:jc w:val="center"/>
              <w:rPr>
                <w:sz w:val="18"/>
              </w:rPr>
            </w:pPr>
            <w:r>
              <w:rPr>
                <w:sz w:val="18"/>
              </w:rPr>
              <w:t>&gt;6</w:t>
            </w:r>
          </w:p>
        </w:tc>
        <w:tc>
          <w:tcPr>
            <w:tcW w:w="955" w:type="dxa"/>
          </w:tcPr>
          <w:p>
            <w:pPr>
              <w:pStyle w:val="TableParagraph"/>
              <w:spacing w:before="28"/>
              <w:ind w:left="354" w:right="353"/>
              <w:jc w:val="center"/>
              <w:rPr>
                <w:sz w:val="18"/>
              </w:rPr>
            </w:pPr>
            <w:r>
              <w:rPr>
                <w:sz w:val="18"/>
              </w:rPr>
              <w:t>&lt;6</w:t>
            </w:r>
          </w:p>
        </w:tc>
        <w:tc>
          <w:tcPr>
            <w:tcW w:w="953" w:type="dxa"/>
          </w:tcPr>
          <w:p>
            <w:pPr>
              <w:pStyle w:val="TableParagraph"/>
              <w:spacing w:before="28"/>
              <w:ind w:left="151" w:right="147"/>
              <w:jc w:val="center"/>
              <w:rPr>
                <w:sz w:val="18"/>
              </w:rPr>
            </w:pPr>
            <w:r>
              <w:rPr>
                <w:sz w:val="18"/>
              </w:rPr>
              <w:t>&gt;6</w:t>
            </w:r>
          </w:p>
        </w:tc>
        <w:tc>
          <w:tcPr>
            <w:tcW w:w="955" w:type="dxa"/>
          </w:tcPr>
          <w:p>
            <w:pPr>
              <w:pStyle w:val="TableParagraph"/>
              <w:spacing w:before="28"/>
              <w:ind w:left="357" w:right="351"/>
              <w:jc w:val="center"/>
              <w:rPr>
                <w:sz w:val="18"/>
              </w:rPr>
            </w:pPr>
            <w:r>
              <w:rPr>
                <w:sz w:val="18"/>
              </w:rPr>
              <w:t>&lt;6</w:t>
            </w:r>
          </w:p>
        </w:tc>
        <w:tc>
          <w:tcPr>
            <w:tcW w:w="953" w:type="dxa"/>
          </w:tcPr>
          <w:p>
            <w:pPr>
              <w:pStyle w:val="TableParagraph"/>
              <w:spacing w:before="28"/>
              <w:ind w:left="156" w:right="147"/>
              <w:jc w:val="center"/>
              <w:rPr>
                <w:sz w:val="18"/>
              </w:rPr>
            </w:pPr>
            <w:r>
              <w:rPr>
                <w:sz w:val="18"/>
              </w:rPr>
              <w:t>&gt;6</w:t>
            </w:r>
          </w:p>
        </w:tc>
      </w:tr>
      <w:tr>
        <w:trPr>
          <w:trHeight w:val="273" w:hRule="atLeast"/>
        </w:trPr>
        <w:tc>
          <w:tcPr>
            <w:tcW w:w="3293" w:type="dxa"/>
          </w:tcPr>
          <w:p>
            <w:pPr>
              <w:pStyle w:val="TableParagraph"/>
              <w:spacing w:before="33"/>
              <w:ind w:left="107"/>
              <w:rPr>
                <w:b/>
                <w:sz w:val="18"/>
              </w:rPr>
            </w:pPr>
            <w:r>
              <w:rPr>
                <w:b/>
                <w:sz w:val="18"/>
              </w:rPr>
              <w:t>Tropical moist</w:t>
            </w:r>
          </w:p>
        </w:tc>
        <w:tc>
          <w:tcPr>
            <w:tcW w:w="953" w:type="dxa"/>
          </w:tcPr>
          <w:p>
            <w:pPr>
              <w:pStyle w:val="TableParagraph"/>
              <w:rPr>
                <w:sz w:val="16"/>
              </w:rPr>
            </w:pPr>
          </w:p>
        </w:tc>
        <w:tc>
          <w:tcPr>
            <w:tcW w:w="953" w:type="dxa"/>
          </w:tcPr>
          <w:p>
            <w:pPr>
              <w:pStyle w:val="TableParagraph"/>
              <w:rPr>
                <w:sz w:val="16"/>
              </w:rPr>
            </w:pPr>
          </w:p>
        </w:tc>
        <w:tc>
          <w:tcPr>
            <w:tcW w:w="955" w:type="dxa"/>
          </w:tcPr>
          <w:p>
            <w:pPr>
              <w:pStyle w:val="TableParagraph"/>
              <w:rPr>
                <w:sz w:val="16"/>
              </w:rPr>
            </w:pPr>
          </w:p>
        </w:tc>
        <w:tc>
          <w:tcPr>
            <w:tcW w:w="953" w:type="dxa"/>
          </w:tcPr>
          <w:p>
            <w:pPr>
              <w:pStyle w:val="TableParagraph"/>
              <w:rPr>
                <w:sz w:val="16"/>
              </w:rPr>
            </w:pPr>
          </w:p>
        </w:tc>
        <w:tc>
          <w:tcPr>
            <w:tcW w:w="955" w:type="dxa"/>
          </w:tcPr>
          <w:p>
            <w:pPr>
              <w:pStyle w:val="TableParagraph"/>
              <w:rPr>
                <w:sz w:val="16"/>
              </w:rPr>
            </w:pPr>
          </w:p>
        </w:tc>
        <w:tc>
          <w:tcPr>
            <w:tcW w:w="953" w:type="dxa"/>
          </w:tcPr>
          <w:p>
            <w:pPr>
              <w:pStyle w:val="TableParagraph"/>
              <w:rPr>
                <w:sz w:val="16"/>
              </w:rPr>
            </w:pPr>
          </w:p>
        </w:tc>
      </w:tr>
      <w:tr>
        <w:trPr>
          <w:trHeight w:val="273" w:hRule="atLeast"/>
        </w:trPr>
        <w:tc>
          <w:tcPr>
            <w:tcW w:w="3293" w:type="dxa"/>
          </w:tcPr>
          <w:p>
            <w:pPr>
              <w:pStyle w:val="TableParagraph"/>
              <w:spacing w:before="28"/>
              <w:ind w:left="333"/>
              <w:rPr>
                <w:sz w:val="18"/>
              </w:rPr>
            </w:pPr>
            <w:r>
              <w:rPr>
                <w:sz w:val="18"/>
              </w:rPr>
              <w:t>- primary </w:t>
            </w:r>
            <w:r>
              <w:rPr>
                <w:sz w:val="18"/>
                <w:vertAlign w:val="superscript"/>
              </w:rPr>
              <w:t>a</w:t>
            </w:r>
          </w:p>
        </w:tc>
        <w:tc>
          <w:tcPr>
            <w:tcW w:w="953" w:type="dxa"/>
          </w:tcPr>
          <w:p>
            <w:pPr>
              <w:pStyle w:val="TableParagraph"/>
              <w:spacing w:before="28"/>
              <w:ind w:left="156" w:right="147"/>
              <w:jc w:val="center"/>
              <w:rPr>
                <w:sz w:val="18"/>
              </w:rPr>
            </w:pPr>
            <w:r>
              <w:rPr>
                <w:sz w:val="18"/>
              </w:rPr>
              <w:t>0.15-0.3</w:t>
            </w:r>
          </w:p>
        </w:tc>
        <w:tc>
          <w:tcPr>
            <w:tcW w:w="953" w:type="dxa"/>
          </w:tcPr>
          <w:p>
            <w:pPr>
              <w:pStyle w:val="TableParagraph"/>
              <w:spacing w:before="28"/>
              <w:ind w:left="156" w:right="142"/>
              <w:jc w:val="center"/>
              <w:rPr>
                <w:sz w:val="18"/>
              </w:rPr>
            </w:pPr>
            <w:r>
              <w:rPr>
                <w:sz w:val="18"/>
              </w:rPr>
              <w:t>~0.30</w:t>
            </w:r>
          </w:p>
        </w:tc>
        <w:tc>
          <w:tcPr>
            <w:tcW w:w="955" w:type="dxa"/>
          </w:tcPr>
          <w:p>
            <w:pPr>
              <w:pStyle w:val="TableParagraph"/>
              <w:rPr>
                <w:sz w:val="16"/>
              </w:rPr>
            </w:pPr>
          </w:p>
        </w:tc>
        <w:tc>
          <w:tcPr>
            <w:tcW w:w="953" w:type="dxa"/>
          </w:tcPr>
          <w:p>
            <w:pPr>
              <w:pStyle w:val="TableParagraph"/>
              <w:rPr>
                <w:sz w:val="16"/>
              </w:rPr>
            </w:pPr>
          </w:p>
        </w:tc>
        <w:tc>
          <w:tcPr>
            <w:tcW w:w="955" w:type="dxa"/>
          </w:tcPr>
          <w:p>
            <w:pPr>
              <w:pStyle w:val="TableParagraph"/>
              <w:rPr>
                <w:sz w:val="16"/>
              </w:rPr>
            </w:pPr>
          </w:p>
        </w:tc>
        <w:tc>
          <w:tcPr>
            <w:tcW w:w="953" w:type="dxa"/>
          </w:tcPr>
          <w:p>
            <w:pPr>
              <w:pStyle w:val="TableParagraph"/>
              <w:rPr>
                <w:sz w:val="16"/>
              </w:rPr>
            </w:pPr>
          </w:p>
        </w:tc>
      </w:tr>
      <w:tr>
        <w:trPr>
          <w:trHeight w:val="275" w:hRule="atLeast"/>
        </w:trPr>
        <w:tc>
          <w:tcPr>
            <w:tcW w:w="3293" w:type="dxa"/>
          </w:tcPr>
          <w:p>
            <w:pPr>
              <w:pStyle w:val="TableParagraph"/>
              <w:spacing w:before="28"/>
              <w:ind w:left="333"/>
              <w:rPr>
                <w:sz w:val="18"/>
              </w:rPr>
            </w:pPr>
            <w:r>
              <w:rPr>
                <w:sz w:val="18"/>
              </w:rPr>
              <w:t>- secondary </w:t>
            </w:r>
            <w:r>
              <w:rPr>
                <w:sz w:val="18"/>
                <w:vertAlign w:val="superscript"/>
              </w:rPr>
              <w:t>b</w:t>
            </w:r>
          </w:p>
        </w:tc>
        <w:tc>
          <w:tcPr>
            <w:tcW w:w="953" w:type="dxa"/>
          </w:tcPr>
          <w:p>
            <w:pPr>
              <w:pStyle w:val="TableParagraph"/>
              <w:rPr>
                <w:sz w:val="16"/>
              </w:rPr>
            </w:pPr>
          </w:p>
        </w:tc>
        <w:tc>
          <w:tcPr>
            <w:tcW w:w="953" w:type="dxa"/>
          </w:tcPr>
          <w:p>
            <w:pPr>
              <w:pStyle w:val="TableParagraph"/>
              <w:spacing w:before="28"/>
              <w:ind w:left="156" w:right="147"/>
              <w:jc w:val="center"/>
              <w:rPr>
                <w:sz w:val="18"/>
              </w:rPr>
            </w:pPr>
            <w:r>
              <w:rPr>
                <w:sz w:val="18"/>
              </w:rPr>
              <w:t>0.40</w:t>
            </w:r>
          </w:p>
        </w:tc>
        <w:tc>
          <w:tcPr>
            <w:tcW w:w="955" w:type="dxa"/>
          </w:tcPr>
          <w:p>
            <w:pPr>
              <w:pStyle w:val="TableParagraph"/>
              <w:rPr>
                <w:sz w:val="16"/>
              </w:rPr>
            </w:pPr>
          </w:p>
        </w:tc>
        <w:tc>
          <w:tcPr>
            <w:tcW w:w="953" w:type="dxa"/>
          </w:tcPr>
          <w:p>
            <w:pPr>
              <w:pStyle w:val="TableParagraph"/>
              <w:rPr>
                <w:sz w:val="16"/>
              </w:rPr>
            </w:pPr>
          </w:p>
        </w:tc>
        <w:tc>
          <w:tcPr>
            <w:tcW w:w="955" w:type="dxa"/>
          </w:tcPr>
          <w:p>
            <w:pPr>
              <w:pStyle w:val="TableParagraph"/>
              <w:rPr>
                <w:sz w:val="16"/>
              </w:rPr>
            </w:pPr>
          </w:p>
        </w:tc>
        <w:tc>
          <w:tcPr>
            <w:tcW w:w="953" w:type="dxa"/>
          </w:tcPr>
          <w:p>
            <w:pPr>
              <w:pStyle w:val="TableParagraph"/>
              <w:rPr>
                <w:sz w:val="16"/>
              </w:rPr>
            </w:pPr>
          </w:p>
        </w:tc>
      </w:tr>
      <w:tr>
        <w:trPr>
          <w:trHeight w:val="273" w:hRule="atLeast"/>
        </w:trPr>
        <w:tc>
          <w:tcPr>
            <w:tcW w:w="3293" w:type="dxa"/>
          </w:tcPr>
          <w:p>
            <w:pPr>
              <w:pStyle w:val="TableParagraph"/>
              <w:spacing w:before="33"/>
              <w:ind w:left="107"/>
              <w:rPr>
                <w:b/>
                <w:sz w:val="18"/>
              </w:rPr>
            </w:pPr>
            <w:r>
              <w:rPr>
                <w:b/>
                <w:sz w:val="18"/>
              </w:rPr>
              <w:t>Tropical dry</w:t>
            </w:r>
          </w:p>
        </w:tc>
        <w:tc>
          <w:tcPr>
            <w:tcW w:w="953" w:type="dxa"/>
          </w:tcPr>
          <w:p>
            <w:pPr>
              <w:pStyle w:val="TableParagraph"/>
              <w:rPr>
                <w:sz w:val="16"/>
              </w:rPr>
            </w:pPr>
          </w:p>
        </w:tc>
        <w:tc>
          <w:tcPr>
            <w:tcW w:w="953" w:type="dxa"/>
          </w:tcPr>
          <w:p>
            <w:pPr>
              <w:pStyle w:val="TableParagraph"/>
              <w:rPr>
                <w:sz w:val="16"/>
              </w:rPr>
            </w:pPr>
          </w:p>
        </w:tc>
        <w:tc>
          <w:tcPr>
            <w:tcW w:w="955" w:type="dxa"/>
          </w:tcPr>
          <w:p>
            <w:pPr>
              <w:pStyle w:val="TableParagraph"/>
              <w:rPr>
                <w:sz w:val="16"/>
              </w:rPr>
            </w:pPr>
          </w:p>
        </w:tc>
        <w:tc>
          <w:tcPr>
            <w:tcW w:w="953" w:type="dxa"/>
          </w:tcPr>
          <w:p>
            <w:pPr>
              <w:pStyle w:val="TableParagraph"/>
              <w:rPr>
                <w:sz w:val="16"/>
              </w:rPr>
            </w:pPr>
          </w:p>
        </w:tc>
        <w:tc>
          <w:tcPr>
            <w:tcW w:w="955" w:type="dxa"/>
          </w:tcPr>
          <w:p>
            <w:pPr>
              <w:pStyle w:val="TableParagraph"/>
              <w:rPr>
                <w:sz w:val="16"/>
              </w:rPr>
            </w:pPr>
          </w:p>
        </w:tc>
        <w:tc>
          <w:tcPr>
            <w:tcW w:w="953" w:type="dxa"/>
          </w:tcPr>
          <w:p>
            <w:pPr>
              <w:pStyle w:val="TableParagraph"/>
              <w:rPr>
                <w:sz w:val="16"/>
              </w:rPr>
            </w:pPr>
          </w:p>
        </w:tc>
      </w:tr>
      <w:tr>
        <w:trPr>
          <w:trHeight w:val="273" w:hRule="atLeast"/>
        </w:trPr>
        <w:tc>
          <w:tcPr>
            <w:tcW w:w="3293" w:type="dxa"/>
          </w:tcPr>
          <w:p>
            <w:pPr>
              <w:pStyle w:val="TableParagraph"/>
              <w:spacing w:before="28"/>
              <w:ind w:left="333"/>
              <w:rPr>
                <w:sz w:val="18"/>
              </w:rPr>
            </w:pPr>
            <w:r>
              <w:rPr>
                <w:sz w:val="18"/>
              </w:rPr>
              <w:t>- Mixed species </w:t>
            </w:r>
            <w:r>
              <w:rPr>
                <w:sz w:val="18"/>
                <w:vertAlign w:val="superscript"/>
              </w:rPr>
              <w:t>c</w:t>
            </w:r>
          </w:p>
        </w:tc>
        <w:tc>
          <w:tcPr>
            <w:tcW w:w="953" w:type="dxa"/>
          </w:tcPr>
          <w:p>
            <w:pPr>
              <w:pStyle w:val="TableParagraph"/>
              <w:rPr>
                <w:sz w:val="16"/>
              </w:rPr>
            </w:pPr>
          </w:p>
        </w:tc>
        <w:tc>
          <w:tcPr>
            <w:tcW w:w="953" w:type="dxa"/>
          </w:tcPr>
          <w:p>
            <w:pPr>
              <w:pStyle w:val="TableParagraph"/>
              <w:spacing w:before="28"/>
              <w:ind w:left="156" w:right="144"/>
              <w:jc w:val="center"/>
              <w:rPr>
                <w:sz w:val="18"/>
              </w:rPr>
            </w:pPr>
            <w:r>
              <w:rPr>
                <w:sz w:val="18"/>
              </w:rPr>
              <w:t>&gt;0.9</w:t>
            </w:r>
          </w:p>
        </w:tc>
        <w:tc>
          <w:tcPr>
            <w:tcW w:w="955" w:type="dxa"/>
          </w:tcPr>
          <w:p>
            <w:pPr>
              <w:pStyle w:val="TableParagraph"/>
              <w:rPr>
                <w:sz w:val="16"/>
              </w:rPr>
            </w:pPr>
          </w:p>
        </w:tc>
        <w:tc>
          <w:tcPr>
            <w:tcW w:w="953" w:type="dxa"/>
          </w:tcPr>
          <w:p>
            <w:pPr>
              <w:pStyle w:val="TableParagraph"/>
              <w:rPr>
                <w:sz w:val="16"/>
              </w:rPr>
            </w:pPr>
          </w:p>
        </w:tc>
        <w:tc>
          <w:tcPr>
            <w:tcW w:w="955" w:type="dxa"/>
          </w:tcPr>
          <w:p>
            <w:pPr>
              <w:pStyle w:val="TableParagraph"/>
              <w:rPr>
                <w:sz w:val="16"/>
              </w:rPr>
            </w:pPr>
          </w:p>
        </w:tc>
        <w:tc>
          <w:tcPr>
            <w:tcW w:w="953" w:type="dxa"/>
          </w:tcPr>
          <w:p>
            <w:pPr>
              <w:pStyle w:val="TableParagraph"/>
              <w:rPr>
                <w:sz w:val="16"/>
              </w:rPr>
            </w:pPr>
          </w:p>
        </w:tc>
      </w:tr>
      <w:tr>
        <w:trPr>
          <w:trHeight w:val="275" w:hRule="atLeast"/>
        </w:trPr>
        <w:tc>
          <w:tcPr>
            <w:tcW w:w="3293" w:type="dxa"/>
          </w:tcPr>
          <w:p>
            <w:pPr>
              <w:pStyle w:val="TableParagraph"/>
              <w:spacing w:before="28"/>
              <w:ind w:left="333"/>
              <w:rPr>
                <w:sz w:val="18"/>
              </w:rPr>
            </w:pPr>
            <w:r>
              <w:rPr>
                <w:sz w:val="18"/>
              </w:rPr>
              <w:t>- Acacia </w:t>
            </w:r>
            <w:r>
              <w:rPr>
                <w:sz w:val="18"/>
                <w:vertAlign w:val="superscript"/>
              </w:rPr>
              <w:t>d</w:t>
            </w:r>
          </w:p>
        </w:tc>
        <w:tc>
          <w:tcPr>
            <w:tcW w:w="953" w:type="dxa"/>
          </w:tcPr>
          <w:p>
            <w:pPr>
              <w:pStyle w:val="TableParagraph"/>
              <w:rPr>
                <w:sz w:val="16"/>
              </w:rPr>
            </w:pPr>
          </w:p>
        </w:tc>
        <w:tc>
          <w:tcPr>
            <w:tcW w:w="953" w:type="dxa"/>
          </w:tcPr>
          <w:p>
            <w:pPr>
              <w:pStyle w:val="TableParagraph"/>
              <w:rPr>
                <w:sz w:val="16"/>
              </w:rPr>
            </w:pPr>
          </w:p>
        </w:tc>
        <w:tc>
          <w:tcPr>
            <w:tcW w:w="955" w:type="dxa"/>
          </w:tcPr>
          <w:p>
            <w:pPr>
              <w:pStyle w:val="TableParagraph"/>
              <w:spacing w:before="28"/>
              <w:ind w:left="6"/>
              <w:jc w:val="center"/>
              <w:rPr>
                <w:sz w:val="18"/>
              </w:rPr>
            </w:pPr>
            <w:r>
              <w:rPr>
                <w:sz w:val="18"/>
              </w:rPr>
              <w:t>-</w:t>
            </w:r>
          </w:p>
        </w:tc>
        <w:tc>
          <w:tcPr>
            <w:tcW w:w="953" w:type="dxa"/>
          </w:tcPr>
          <w:p>
            <w:pPr>
              <w:pStyle w:val="TableParagraph"/>
              <w:spacing w:before="28"/>
              <w:ind w:left="155" w:right="147"/>
              <w:jc w:val="center"/>
              <w:rPr>
                <w:sz w:val="18"/>
              </w:rPr>
            </w:pPr>
            <w:r>
              <w:rPr>
                <w:sz w:val="18"/>
              </w:rPr>
              <w:t>0.8</w:t>
            </w:r>
          </w:p>
        </w:tc>
        <w:tc>
          <w:tcPr>
            <w:tcW w:w="955" w:type="dxa"/>
          </w:tcPr>
          <w:p>
            <w:pPr>
              <w:pStyle w:val="TableParagraph"/>
              <w:spacing w:before="28"/>
              <w:ind w:left="11"/>
              <w:jc w:val="center"/>
              <w:rPr>
                <w:sz w:val="18"/>
              </w:rPr>
            </w:pPr>
            <w:r>
              <w:rPr>
                <w:sz w:val="18"/>
              </w:rPr>
              <w:t>-</w:t>
            </w:r>
          </w:p>
        </w:tc>
        <w:tc>
          <w:tcPr>
            <w:tcW w:w="953" w:type="dxa"/>
          </w:tcPr>
          <w:p>
            <w:pPr>
              <w:pStyle w:val="TableParagraph"/>
              <w:spacing w:before="28"/>
              <w:ind w:left="156" w:right="143"/>
              <w:jc w:val="center"/>
              <w:rPr>
                <w:sz w:val="18"/>
              </w:rPr>
            </w:pPr>
            <w:r>
              <w:rPr>
                <w:sz w:val="18"/>
              </w:rPr>
              <w:t>~0.95</w:t>
            </w:r>
          </w:p>
        </w:tc>
      </w:tr>
      <w:tr>
        <w:trPr>
          <w:trHeight w:val="273" w:hRule="atLeast"/>
        </w:trPr>
        <w:tc>
          <w:tcPr>
            <w:tcW w:w="3293" w:type="dxa"/>
          </w:tcPr>
          <w:p>
            <w:pPr>
              <w:pStyle w:val="TableParagraph"/>
              <w:spacing w:before="28"/>
              <w:ind w:left="333"/>
              <w:rPr>
                <w:sz w:val="18"/>
              </w:rPr>
            </w:pPr>
            <w:r>
              <w:rPr>
                <w:sz w:val="18"/>
              </w:rPr>
              <w:t>Temperate Eucalyptus </w:t>
            </w:r>
            <w:r>
              <w:rPr>
                <w:sz w:val="18"/>
                <w:vertAlign w:val="superscript"/>
              </w:rPr>
              <w:t>e</w:t>
            </w:r>
          </w:p>
        </w:tc>
        <w:tc>
          <w:tcPr>
            <w:tcW w:w="953" w:type="dxa"/>
          </w:tcPr>
          <w:p>
            <w:pPr>
              <w:pStyle w:val="TableParagraph"/>
              <w:spacing w:before="28"/>
              <w:ind w:left="156" w:right="147"/>
              <w:jc w:val="center"/>
              <w:rPr>
                <w:sz w:val="18"/>
              </w:rPr>
            </w:pPr>
            <w:r>
              <w:rPr>
                <w:sz w:val="18"/>
              </w:rPr>
              <w:t>0.3</w:t>
            </w:r>
          </w:p>
        </w:tc>
        <w:tc>
          <w:tcPr>
            <w:tcW w:w="953" w:type="dxa"/>
          </w:tcPr>
          <w:p>
            <w:pPr>
              <w:pStyle w:val="TableParagraph"/>
              <w:spacing w:before="28"/>
              <w:ind w:left="156" w:right="144"/>
              <w:jc w:val="center"/>
              <w:rPr>
                <w:sz w:val="18"/>
              </w:rPr>
            </w:pPr>
            <w:r>
              <w:rPr>
                <w:sz w:val="18"/>
              </w:rPr>
              <w:t>0.5-0.6</w:t>
            </w:r>
          </w:p>
        </w:tc>
        <w:tc>
          <w:tcPr>
            <w:tcW w:w="955" w:type="dxa"/>
          </w:tcPr>
          <w:p>
            <w:pPr>
              <w:pStyle w:val="TableParagraph"/>
              <w:rPr>
                <w:sz w:val="16"/>
              </w:rPr>
            </w:pPr>
          </w:p>
        </w:tc>
        <w:tc>
          <w:tcPr>
            <w:tcW w:w="953" w:type="dxa"/>
          </w:tcPr>
          <w:p>
            <w:pPr>
              <w:pStyle w:val="TableParagraph"/>
              <w:rPr>
                <w:sz w:val="16"/>
              </w:rPr>
            </w:pPr>
          </w:p>
        </w:tc>
        <w:tc>
          <w:tcPr>
            <w:tcW w:w="955" w:type="dxa"/>
          </w:tcPr>
          <w:p>
            <w:pPr>
              <w:pStyle w:val="TableParagraph"/>
              <w:rPr>
                <w:sz w:val="16"/>
              </w:rPr>
            </w:pPr>
          </w:p>
        </w:tc>
        <w:tc>
          <w:tcPr>
            <w:tcW w:w="953" w:type="dxa"/>
          </w:tcPr>
          <w:p>
            <w:pPr>
              <w:pStyle w:val="TableParagraph"/>
              <w:rPr>
                <w:sz w:val="16"/>
              </w:rPr>
            </w:pPr>
          </w:p>
        </w:tc>
      </w:tr>
      <w:tr>
        <w:trPr>
          <w:trHeight w:val="273" w:hRule="atLeast"/>
        </w:trPr>
        <w:tc>
          <w:tcPr>
            <w:tcW w:w="3293" w:type="dxa"/>
          </w:tcPr>
          <w:p>
            <w:pPr>
              <w:pStyle w:val="TableParagraph"/>
              <w:spacing w:before="14"/>
              <w:ind w:left="333"/>
              <w:rPr>
                <w:sz w:val="20"/>
              </w:rPr>
            </w:pPr>
            <w:r>
              <w:rPr>
                <w:sz w:val="20"/>
              </w:rPr>
              <w:t>Boreal forest </w:t>
            </w:r>
            <w:r>
              <w:rPr>
                <w:sz w:val="20"/>
                <w:vertAlign w:val="superscript"/>
              </w:rPr>
              <w:t>f</w:t>
            </w:r>
          </w:p>
        </w:tc>
        <w:tc>
          <w:tcPr>
            <w:tcW w:w="1906" w:type="dxa"/>
            <w:gridSpan w:val="2"/>
          </w:tcPr>
          <w:p>
            <w:pPr>
              <w:pStyle w:val="TableParagraph"/>
              <w:spacing w:before="14"/>
              <w:ind w:left="756" w:right="750"/>
              <w:jc w:val="center"/>
              <w:rPr>
                <w:sz w:val="20"/>
              </w:rPr>
            </w:pPr>
            <w:r>
              <w:rPr>
                <w:sz w:val="20"/>
              </w:rPr>
              <w:t>0.25</w:t>
            </w:r>
          </w:p>
        </w:tc>
        <w:tc>
          <w:tcPr>
            <w:tcW w:w="955" w:type="dxa"/>
          </w:tcPr>
          <w:p>
            <w:pPr>
              <w:pStyle w:val="TableParagraph"/>
              <w:rPr>
                <w:sz w:val="16"/>
              </w:rPr>
            </w:pPr>
          </w:p>
        </w:tc>
        <w:tc>
          <w:tcPr>
            <w:tcW w:w="953" w:type="dxa"/>
          </w:tcPr>
          <w:p>
            <w:pPr>
              <w:pStyle w:val="TableParagraph"/>
              <w:rPr>
                <w:sz w:val="16"/>
              </w:rPr>
            </w:pPr>
          </w:p>
        </w:tc>
        <w:tc>
          <w:tcPr>
            <w:tcW w:w="955" w:type="dxa"/>
          </w:tcPr>
          <w:p>
            <w:pPr>
              <w:pStyle w:val="TableParagraph"/>
              <w:rPr>
                <w:sz w:val="16"/>
              </w:rPr>
            </w:pPr>
          </w:p>
        </w:tc>
        <w:tc>
          <w:tcPr>
            <w:tcW w:w="953" w:type="dxa"/>
          </w:tcPr>
          <w:p>
            <w:pPr>
              <w:pStyle w:val="TableParagraph"/>
              <w:rPr>
                <w:sz w:val="16"/>
              </w:rPr>
            </w:pPr>
          </w:p>
        </w:tc>
      </w:tr>
      <w:tr>
        <w:trPr>
          <w:trHeight w:val="1293" w:hRule="atLeast"/>
        </w:trPr>
        <w:tc>
          <w:tcPr>
            <w:tcW w:w="9015" w:type="dxa"/>
            <w:gridSpan w:val="7"/>
          </w:tcPr>
          <w:p>
            <w:pPr>
              <w:pStyle w:val="TableParagraph"/>
              <w:spacing w:before="35"/>
              <w:ind w:left="107" w:right="373"/>
              <w:rPr>
                <w:sz w:val="16"/>
              </w:rPr>
            </w:pPr>
            <w:r>
              <w:rPr>
                <w:sz w:val="16"/>
              </w:rPr>
              <w:t>Note: The combustion efficiency or fraction of biomass combusted, is a critical number in the calculation of emissions, that is highly variable depending on fuel arrangement (e.g. broadcast v heaped), vegetation type affecting the (size of fuel components and flammability) and burning conditions (especially fuel moisture).</w:t>
            </w:r>
          </w:p>
          <w:p>
            <w:pPr>
              <w:pStyle w:val="TableParagraph"/>
              <w:spacing w:line="183" w:lineRule="exact" w:before="101"/>
              <w:ind w:left="107"/>
              <w:rPr>
                <w:i/>
                <w:sz w:val="16"/>
              </w:rPr>
            </w:pPr>
            <w:r>
              <w:rPr>
                <w:sz w:val="16"/>
              </w:rPr>
              <w:t>Sources: </w:t>
            </w:r>
            <w:r>
              <w:rPr>
                <w:sz w:val="16"/>
                <w:vertAlign w:val="superscript"/>
              </w:rPr>
              <w:t>a</w:t>
            </w:r>
            <w:r>
              <w:rPr>
                <w:sz w:val="16"/>
                <w:vertAlign w:val="baseline"/>
              </w:rPr>
              <w:t>Fearnside (1990), Wei Min Hao </w:t>
            </w:r>
            <w:r>
              <w:rPr>
                <w:i/>
                <w:sz w:val="16"/>
                <w:vertAlign w:val="baseline"/>
              </w:rPr>
              <w:t>et. al </w:t>
            </w:r>
            <w:r>
              <w:rPr>
                <w:sz w:val="16"/>
                <w:vertAlign w:val="baseline"/>
              </w:rPr>
              <w:t>(1990); </w:t>
            </w:r>
            <w:r>
              <w:rPr>
                <w:sz w:val="16"/>
                <w:vertAlign w:val="superscript"/>
              </w:rPr>
              <w:t>b</w:t>
            </w:r>
            <w:r>
              <w:rPr>
                <w:sz w:val="16"/>
                <w:vertAlign w:val="baseline"/>
              </w:rPr>
              <w:t>Wei Min Hao </w:t>
            </w:r>
            <w:r>
              <w:rPr>
                <w:i/>
                <w:sz w:val="16"/>
                <w:vertAlign w:val="baseline"/>
              </w:rPr>
              <w:t>et. al </w:t>
            </w:r>
            <w:r>
              <w:rPr>
                <w:sz w:val="16"/>
                <w:vertAlign w:val="baseline"/>
              </w:rPr>
              <w:t>(1990); </w:t>
            </w:r>
            <w:r>
              <w:rPr>
                <w:sz w:val="16"/>
                <w:vertAlign w:val="superscript"/>
              </w:rPr>
              <w:t>c</w:t>
            </w:r>
            <w:r>
              <w:rPr>
                <w:sz w:val="16"/>
                <w:vertAlign w:val="baseline"/>
              </w:rPr>
              <w:t>Kauffmann and Uhl; </w:t>
            </w:r>
            <w:r>
              <w:rPr>
                <w:i/>
                <w:sz w:val="16"/>
                <w:vertAlign w:val="baseline"/>
              </w:rPr>
              <w:t>et. al </w:t>
            </w:r>
            <w:r>
              <w:rPr>
                <w:sz w:val="16"/>
                <w:vertAlign w:val="baseline"/>
              </w:rPr>
              <w:t>(1990); </w:t>
            </w:r>
            <w:r>
              <w:rPr>
                <w:sz w:val="16"/>
                <w:vertAlign w:val="superscript"/>
              </w:rPr>
              <w:t>d</w:t>
            </w:r>
            <w:r>
              <w:rPr>
                <w:sz w:val="16"/>
                <w:vertAlign w:val="baseline"/>
              </w:rPr>
              <w:t>Williams </w:t>
            </w:r>
            <w:r>
              <w:rPr>
                <w:i/>
                <w:sz w:val="16"/>
                <w:vertAlign w:val="baseline"/>
              </w:rPr>
              <w:t>et. al</w:t>
            </w:r>
          </w:p>
          <w:p>
            <w:pPr>
              <w:pStyle w:val="TableParagraph"/>
              <w:spacing w:line="177" w:lineRule="exact"/>
              <w:ind w:left="107"/>
              <w:rPr>
                <w:sz w:val="16"/>
              </w:rPr>
            </w:pPr>
            <w:r>
              <w:rPr>
                <w:sz w:val="16"/>
              </w:rPr>
              <w:t>(1970), Cheney (pers. comm. 2002); </w:t>
            </w:r>
            <w:r>
              <w:rPr>
                <w:sz w:val="16"/>
                <w:vertAlign w:val="superscript"/>
              </w:rPr>
              <w:t>e</w:t>
            </w:r>
            <w:r>
              <w:rPr>
                <w:sz w:val="16"/>
                <w:vertAlign w:val="baseline"/>
              </w:rPr>
              <w:t> McArthur (1969), Harwood &amp; Jackson (1975), Slijepcevic (2001), Stewart &amp; Flinn (1985); and</w:t>
            </w:r>
          </w:p>
          <w:p>
            <w:pPr>
              <w:pStyle w:val="TableParagraph"/>
              <w:spacing w:line="191" w:lineRule="exact"/>
              <w:ind w:left="107"/>
              <w:rPr>
                <w:sz w:val="16"/>
              </w:rPr>
            </w:pPr>
            <w:r>
              <w:rPr>
                <w:position w:val="7"/>
                <w:sz w:val="10"/>
              </w:rPr>
              <w:t>f </w:t>
            </w:r>
            <w:r>
              <w:rPr>
                <w:sz w:val="16"/>
              </w:rPr>
              <w:t>French </w:t>
            </w:r>
            <w:r>
              <w:rPr>
                <w:i/>
                <w:sz w:val="16"/>
              </w:rPr>
              <w:t>et. al </w:t>
            </w:r>
            <w:r>
              <w:rPr>
                <w:sz w:val="16"/>
              </w:rPr>
              <w:t>(2000)</w:t>
            </w:r>
          </w:p>
        </w:tc>
      </w:tr>
    </w:tbl>
    <w:p>
      <w:pPr>
        <w:spacing w:after="0" w:line="191" w:lineRule="exact"/>
        <w:rPr>
          <w:sz w:val="16"/>
        </w:rPr>
        <w:sectPr>
          <w:pgSz w:w="11900" w:h="16840"/>
          <w:pgMar w:header="230" w:footer="408" w:top="560" w:bottom="600" w:left="1200" w:right="1140"/>
        </w:sectPr>
      </w:pPr>
    </w:p>
    <w:p>
      <w:pPr>
        <w:pStyle w:val="BodyText"/>
      </w:pPr>
    </w:p>
    <w:p>
      <w:pPr>
        <w:pStyle w:val="BodyText"/>
      </w:pPr>
    </w:p>
    <w:p>
      <w:pPr>
        <w:pStyle w:val="BodyText"/>
        <w:spacing w:before="7"/>
        <w:rPr>
          <w:sz w:val="23"/>
        </w:rPr>
      </w:pPr>
    </w:p>
    <w:tbl>
      <w:tblPr>
        <w:tblW w:w="0" w:type="auto"/>
        <w:jc w:val="left"/>
        <w:tblInd w:w="1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30"/>
        <w:gridCol w:w="4173"/>
      </w:tblGrid>
      <w:tr>
        <w:trPr>
          <w:trHeight w:val="795" w:hRule="atLeast"/>
        </w:trPr>
        <w:tc>
          <w:tcPr>
            <w:tcW w:w="6803" w:type="dxa"/>
            <w:gridSpan w:val="2"/>
            <w:tcBorders>
              <w:bottom w:val="double" w:sz="1" w:space="0" w:color="000000"/>
            </w:tcBorders>
          </w:tcPr>
          <w:p>
            <w:pPr>
              <w:pStyle w:val="TableParagraph"/>
              <w:spacing w:line="207" w:lineRule="exact" w:before="88"/>
              <w:ind w:left="19" w:right="12"/>
              <w:jc w:val="center"/>
              <w:rPr>
                <w:b/>
                <w:sz w:val="18"/>
              </w:rPr>
            </w:pPr>
            <w:r>
              <w:rPr>
                <w:b/>
                <w:sz w:val="18"/>
              </w:rPr>
              <w:t>T</w:t>
            </w:r>
            <w:r>
              <w:rPr>
                <w:b/>
                <w:sz w:val="14"/>
              </w:rPr>
              <w:t>ABLE </w:t>
            </w:r>
            <w:r>
              <w:rPr>
                <w:b/>
                <w:sz w:val="18"/>
              </w:rPr>
              <w:t>3A.1.15</w:t>
            </w:r>
          </w:p>
          <w:p>
            <w:pPr>
              <w:pStyle w:val="TableParagraph"/>
              <w:spacing w:line="207" w:lineRule="exact"/>
              <w:ind w:left="19" w:right="10"/>
              <w:jc w:val="center"/>
              <w:rPr>
                <w:b/>
                <w:sz w:val="14"/>
              </w:rPr>
            </w:pPr>
            <w:r>
              <w:rPr>
                <w:b/>
                <w:sz w:val="18"/>
              </w:rPr>
              <w:t>E</w:t>
            </w:r>
            <w:r>
              <w:rPr>
                <w:b/>
                <w:sz w:val="14"/>
              </w:rPr>
              <w:t>MISSION RATIOS FOR OPEN BURNING OF CLEARED FORESTS</w:t>
            </w:r>
          </w:p>
          <w:p>
            <w:pPr>
              <w:pStyle w:val="TableParagraph"/>
              <w:spacing w:before="55"/>
              <w:ind w:left="19" w:right="9"/>
              <w:jc w:val="center"/>
              <w:rPr>
                <w:sz w:val="18"/>
              </w:rPr>
            </w:pPr>
            <w:r>
              <w:rPr>
                <w:sz w:val="18"/>
              </w:rPr>
              <w:t>(To be applied to Equation 3.2.19)</w:t>
            </w:r>
          </w:p>
        </w:tc>
      </w:tr>
      <w:tr>
        <w:trPr>
          <w:trHeight w:val="253" w:hRule="atLeast"/>
        </w:trPr>
        <w:tc>
          <w:tcPr>
            <w:tcW w:w="2630" w:type="dxa"/>
            <w:tcBorders>
              <w:top w:val="double" w:sz="1" w:space="0" w:color="000000"/>
            </w:tcBorders>
          </w:tcPr>
          <w:p>
            <w:pPr>
              <w:pStyle w:val="TableParagraph"/>
              <w:spacing w:before="23"/>
              <w:ind w:left="364" w:right="355"/>
              <w:jc w:val="center"/>
              <w:rPr>
                <w:b/>
                <w:sz w:val="18"/>
              </w:rPr>
            </w:pPr>
            <w:r>
              <w:rPr>
                <w:b/>
                <w:sz w:val="18"/>
              </w:rPr>
              <w:t>Compound</w:t>
            </w:r>
          </w:p>
        </w:tc>
        <w:tc>
          <w:tcPr>
            <w:tcW w:w="4173" w:type="dxa"/>
            <w:tcBorders>
              <w:top w:val="double" w:sz="1" w:space="0" w:color="000000"/>
            </w:tcBorders>
          </w:tcPr>
          <w:p>
            <w:pPr>
              <w:pStyle w:val="TableParagraph"/>
              <w:spacing w:before="23"/>
              <w:ind w:left="1321" w:right="1308"/>
              <w:jc w:val="center"/>
              <w:rPr>
                <w:b/>
                <w:sz w:val="18"/>
              </w:rPr>
            </w:pPr>
            <w:r>
              <w:rPr>
                <w:b/>
                <w:sz w:val="18"/>
              </w:rPr>
              <w:t>Emission Ratios</w:t>
            </w:r>
          </w:p>
        </w:tc>
      </w:tr>
      <w:tr>
        <w:trPr>
          <w:trHeight w:val="321" w:hRule="atLeast"/>
        </w:trPr>
        <w:tc>
          <w:tcPr>
            <w:tcW w:w="2630" w:type="dxa"/>
            <w:tcBorders>
              <w:bottom w:val="nil"/>
            </w:tcBorders>
          </w:tcPr>
          <w:p>
            <w:pPr>
              <w:pStyle w:val="TableParagraph"/>
              <w:spacing w:before="55"/>
              <w:ind w:left="362" w:right="355"/>
              <w:jc w:val="center"/>
              <w:rPr>
                <w:sz w:val="18"/>
              </w:rPr>
            </w:pPr>
            <w:r>
              <w:rPr>
                <w:sz w:val="18"/>
              </w:rPr>
              <w:t>CH</w:t>
            </w:r>
            <w:r>
              <w:rPr>
                <w:sz w:val="18"/>
                <w:vertAlign w:val="subscript"/>
              </w:rPr>
              <w:t>4</w:t>
            </w:r>
          </w:p>
        </w:tc>
        <w:tc>
          <w:tcPr>
            <w:tcW w:w="4173" w:type="dxa"/>
            <w:tcBorders>
              <w:bottom w:val="nil"/>
            </w:tcBorders>
          </w:tcPr>
          <w:p>
            <w:pPr>
              <w:pStyle w:val="TableParagraph"/>
              <w:spacing w:before="55"/>
              <w:ind w:left="1321" w:right="1310"/>
              <w:jc w:val="center"/>
              <w:rPr>
                <w:sz w:val="18"/>
              </w:rPr>
            </w:pPr>
            <w:r>
              <w:rPr>
                <w:sz w:val="18"/>
              </w:rPr>
              <w:t>0.012 (0.009-0.015)</w:t>
            </w:r>
            <w:r>
              <w:rPr>
                <w:sz w:val="18"/>
                <w:vertAlign w:val="superscript"/>
              </w:rPr>
              <w:t>a</w:t>
            </w:r>
          </w:p>
        </w:tc>
      </w:tr>
      <w:tr>
        <w:trPr>
          <w:trHeight w:val="317" w:hRule="atLeast"/>
        </w:trPr>
        <w:tc>
          <w:tcPr>
            <w:tcW w:w="2630" w:type="dxa"/>
            <w:tcBorders>
              <w:top w:val="nil"/>
              <w:bottom w:val="nil"/>
            </w:tcBorders>
          </w:tcPr>
          <w:p>
            <w:pPr>
              <w:pStyle w:val="TableParagraph"/>
              <w:spacing w:before="59"/>
              <w:ind w:left="360" w:right="355"/>
              <w:jc w:val="center"/>
              <w:rPr>
                <w:sz w:val="18"/>
              </w:rPr>
            </w:pPr>
            <w:r>
              <w:rPr>
                <w:sz w:val="18"/>
              </w:rPr>
              <w:t>CO</w:t>
            </w:r>
          </w:p>
        </w:tc>
        <w:tc>
          <w:tcPr>
            <w:tcW w:w="4173" w:type="dxa"/>
            <w:tcBorders>
              <w:top w:val="nil"/>
              <w:bottom w:val="nil"/>
            </w:tcBorders>
          </w:tcPr>
          <w:p>
            <w:pPr>
              <w:pStyle w:val="TableParagraph"/>
              <w:spacing w:before="59"/>
              <w:ind w:left="1321" w:right="1306"/>
              <w:jc w:val="center"/>
              <w:rPr>
                <w:sz w:val="18"/>
              </w:rPr>
            </w:pPr>
            <w:r>
              <w:rPr>
                <w:sz w:val="18"/>
              </w:rPr>
              <w:t>0.06 (0.04-0.08)</w:t>
            </w:r>
            <w:r>
              <w:rPr>
                <w:sz w:val="18"/>
                <w:vertAlign w:val="superscript"/>
              </w:rPr>
              <w:t>b</w:t>
            </w:r>
          </w:p>
        </w:tc>
      </w:tr>
      <w:tr>
        <w:trPr>
          <w:trHeight w:val="336" w:hRule="atLeast"/>
        </w:trPr>
        <w:tc>
          <w:tcPr>
            <w:tcW w:w="2630" w:type="dxa"/>
            <w:tcBorders>
              <w:top w:val="nil"/>
              <w:bottom w:val="nil"/>
            </w:tcBorders>
          </w:tcPr>
          <w:p>
            <w:pPr>
              <w:pStyle w:val="TableParagraph"/>
              <w:spacing w:before="68"/>
              <w:ind w:left="362" w:right="355"/>
              <w:jc w:val="center"/>
              <w:rPr>
                <w:sz w:val="18"/>
              </w:rPr>
            </w:pPr>
            <w:r>
              <w:rPr>
                <w:sz w:val="18"/>
              </w:rPr>
              <w:t>N</w:t>
            </w:r>
            <w:r>
              <w:rPr>
                <w:sz w:val="18"/>
                <w:vertAlign w:val="subscript"/>
              </w:rPr>
              <w:t>2</w:t>
            </w:r>
            <w:r>
              <w:rPr>
                <w:sz w:val="18"/>
                <w:vertAlign w:val="baseline"/>
              </w:rPr>
              <w:t>O</w:t>
            </w:r>
          </w:p>
        </w:tc>
        <w:tc>
          <w:tcPr>
            <w:tcW w:w="4173" w:type="dxa"/>
            <w:tcBorders>
              <w:top w:val="nil"/>
              <w:bottom w:val="nil"/>
            </w:tcBorders>
          </w:tcPr>
          <w:p>
            <w:pPr>
              <w:pStyle w:val="TableParagraph"/>
              <w:spacing w:before="68"/>
              <w:ind w:left="1321" w:right="1310"/>
              <w:jc w:val="center"/>
              <w:rPr>
                <w:sz w:val="18"/>
              </w:rPr>
            </w:pPr>
            <w:r>
              <w:rPr>
                <w:sz w:val="18"/>
              </w:rPr>
              <w:t>0.007 (0.005-0.009)</w:t>
            </w:r>
            <w:r>
              <w:rPr>
                <w:sz w:val="18"/>
                <w:vertAlign w:val="superscript"/>
              </w:rPr>
              <w:t>c</w:t>
            </w:r>
          </w:p>
        </w:tc>
      </w:tr>
      <w:tr>
        <w:trPr>
          <w:trHeight w:val="331" w:hRule="atLeast"/>
        </w:trPr>
        <w:tc>
          <w:tcPr>
            <w:tcW w:w="2630" w:type="dxa"/>
            <w:tcBorders>
              <w:top w:val="nil"/>
            </w:tcBorders>
          </w:tcPr>
          <w:p>
            <w:pPr>
              <w:pStyle w:val="TableParagraph"/>
              <w:spacing w:before="61"/>
              <w:ind w:left="362" w:right="355"/>
              <w:jc w:val="center"/>
              <w:rPr>
                <w:sz w:val="18"/>
              </w:rPr>
            </w:pPr>
            <w:r>
              <w:rPr>
                <w:sz w:val="18"/>
              </w:rPr>
              <w:t>NO</w:t>
            </w:r>
            <w:r>
              <w:rPr>
                <w:sz w:val="18"/>
                <w:vertAlign w:val="subscript"/>
              </w:rPr>
              <w:t>x</w:t>
            </w:r>
          </w:p>
        </w:tc>
        <w:tc>
          <w:tcPr>
            <w:tcW w:w="4173" w:type="dxa"/>
            <w:tcBorders>
              <w:top w:val="nil"/>
            </w:tcBorders>
          </w:tcPr>
          <w:p>
            <w:pPr>
              <w:pStyle w:val="TableParagraph"/>
              <w:spacing w:before="61"/>
              <w:ind w:left="1321" w:right="1310"/>
              <w:jc w:val="center"/>
              <w:rPr>
                <w:sz w:val="18"/>
              </w:rPr>
            </w:pPr>
            <w:r>
              <w:rPr>
                <w:sz w:val="18"/>
              </w:rPr>
              <w:t>0.121 (0.094-0.148)</w:t>
            </w:r>
            <w:r>
              <w:rPr>
                <w:sz w:val="18"/>
                <w:vertAlign w:val="superscript"/>
              </w:rPr>
              <w:t>c</w:t>
            </w:r>
          </w:p>
        </w:tc>
      </w:tr>
      <w:tr>
        <w:trPr>
          <w:trHeight w:val="897" w:hRule="atLeast"/>
        </w:trPr>
        <w:tc>
          <w:tcPr>
            <w:tcW w:w="6803" w:type="dxa"/>
            <w:gridSpan w:val="2"/>
          </w:tcPr>
          <w:p>
            <w:pPr>
              <w:pStyle w:val="TableParagraph"/>
              <w:spacing w:line="235" w:lineRule="auto" w:before="38"/>
              <w:ind w:left="107" w:right="99"/>
              <w:rPr>
                <w:sz w:val="16"/>
              </w:rPr>
            </w:pPr>
            <w:r>
              <w:rPr>
                <w:sz w:val="16"/>
              </w:rPr>
              <w:t>Source: </w:t>
            </w:r>
            <w:r>
              <w:rPr>
                <w:sz w:val="16"/>
                <w:vertAlign w:val="superscript"/>
              </w:rPr>
              <w:t>a</w:t>
            </w:r>
            <w:r>
              <w:rPr>
                <w:sz w:val="16"/>
                <w:vertAlign w:val="baseline"/>
              </w:rPr>
              <w:t>Delmas, 1993, </w:t>
            </w:r>
            <w:r>
              <w:rPr>
                <w:sz w:val="16"/>
                <w:vertAlign w:val="superscript"/>
              </w:rPr>
              <w:t>b</w:t>
            </w:r>
            <w:r>
              <w:rPr>
                <w:sz w:val="16"/>
                <w:vertAlign w:val="baseline"/>
              </w:rPr>
              <w:t>Lacaux </w:t>
            </w:r>
            <w:r>
              <w:rPr>
                <w:i/>
                <w:sz w:val="16"/>
                <w:vertAlign w:val="baseline"/>
              </w:rPr>
              <w:t>et al.</w:t>
            </w:r>
            <w:r>
              <w:rPr>
                <w:sz w:val="16"/>
                <w:vertAlign w:val="baseline"/>
              </w:rPr>
              <w:t>, 1993, and Crutzen and Andreae, 1990. Note: Ratios for carbon </w:t>
            </w:r>
            <w:r>
              <w:rPr>
                <w:position w:val="2"/>
                <w:sz w:val="16"/>
                <w:vertAlign w:val="baseline"/>
              </w:rPr>
              <w:t>compounds, i.e. CH</w:t>
            </w:r>
            <w:r>
              <w:rPr>
                <w:sz w:val="10"/>
                <w:vertAlign w:val="baseline"/>
              </w:rPr>
              <w:t>4 </w:t>
            </w:r>
            <w:r>
              <w:rPr>
                <w:position w:val="2"/>
                <w:sz w:val="16"/>
                <w:vertAlign w:val="baseline"/>
              </w:rPr>
              <w:t>and CO, are mass of carbon compound released (in units of C) relative to mass of </w:t>
            </w:r>
            <w:r>
              <w:rPr>
                <w:sz w:val="16"/>
                <w:vertAlign w:val="baseline"/>
              </w:rPr>
              <w:t>total carbon released from burning. Those for the nitrogen compounds are expressed as the ratios of emission (in units of N) relative to total nitrogen released from the fuel.</w:t>
            </w:r>
          </w:p>
        </w:tc>
      </w:tr>
    </w:tbl>
    <w:p>
      <w:pPr>
        <w:pStyle w:val="BodyText"/>
      </w:pPr>
    </w:p>
    <w:p>
      <w:pPr>
        <w:pStyle w:val="BodyText"/>
      </w:pPr>
    </w:p>
    <w:p>
      <w:pPr>
        <w:pStyle w:val="BodyText"/>
      </w:pPr>
    </w:p>
    <w:p>
      <w:pPr>
        <w:pStyle w:val="BodyText"/>
      </w:pPr>
    </w:p>
    <w:p>
      <w:pPr>
        <w:pStyle w:val="BodyText"/>
        <w:spacing w:before="2"/>
        <w:rPr>
          <w:sz w:val="11"/>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2"/>
        <w:gridCol w:w="1147"/>
        <w:gridCol w:w="823"/>
        <w:gridCol w:w="732"/>
        <w:gridCol w:w="821"/>
        <w:gridCol w:w="859"/>
        <w:gridCol w:w="897"/>
        <w:gridCol w:w="1862"/>
      </w:tblGrid>
      <w:tr>
        <w:trPr>
          <w:trHeight w:val="1002" w:hRule="atLeast"/>
        </w:trPr>
        <w:tc>
          <w:tcPr>
            <w:tcW w:w="9013" w:type="dxa"/>
            <w:gridSpan w:val="8"/>
            <w:tcBorders>
              <w:bottom w:val="double" w:sz="1" w:space="0" w:color="000000"/>
            </w:tcBorders>
          </w:tcPr>
          <w:p>
            <w:pPr>
              <w:pStyle w:val="TableParagraph"/>
              <w:spacing w:line="207" w:lineRule="exact" w:before="88"/>
              <w:ind w:left="781" w:right="772"/>
              <w:jc w:val="center"/>
              <w:rPr>
                <w:b/>
                <w:sz w:val="18"/>
              </w:rPr>
            </w:pPr>
            <w:r>
              <w:rPr>
                <w:b/>
                <w:sz w:val="18"/>
              </w:rPr>
              <w:t>T</w:t>
            </w:r>
            <w:r>
              <w:rPr>
                <w:b/>
                <w:sz w:val="14"/>
              </w:rPr>
              <w:t>ABLE </w:t>
            </w:r>
            <w:r>
              <w:rPr>
                <w:b/>
                <w:sz w:val="18"/>
              </w:rPr>
              <w:t>3A.1.16</w:t>
            </w:r>
          </w:p>
          <w:p>
            <w:pPr>
              <w:pStyle w:val="TableParagraph"/>
              <w:spacing w:line="285" w:lineRule="auto"/>
              <w:ind w:left="1715" w:right="1686" w:firstLine="847"/>
              <w:rPr>
                <w:b/>
                <w:sz w:val="14"/>
              </w:rPr>
            </w:pPr>
            <w:r>
              <w:rPr>
                <w:b/>
                <w:sz w:val="18"/>
              </w:rPr>
              <w:t>E</w:t>
            </w:r>
            <w:r>
              <w:rPr>
                <w:b/>
                <w:sz w:val="14"/>
              </w:rPr>
              <w:t>MISSION FACTORS </w:t>
            </w:r>
            <w:r>
              <w:rPr>
                <w:b/>
                <w:sz w:val="18"/>
              </w:rPr>
              <w:t>(</w:t>
            </w:r>
            <w:r>
              <w:rPr>
                <w:b/>
                <w:sz w:val="14"/>
              </w:rPr>
              <w:t>G</w:t>
            </w:r>
            <w:r>
              <w:rPr>
                <w:b/>
                <w:sz w:val="18"/>
              </w:rPr>
              <w:t>/</w:t>
            </w:r>
            <w:r>
              <w:rPr>
                <w:b/>
                <w:sz w:val="14"/>
              </w:rPr>
              <w:t>KG DRY MATTER COMBUSTED</w:t>
            </w:r>
            <w:r>
              <w:rPr>
                <w:b/>
                <w:sz w:val="18"/>
              </w:rPr>
              <w:t>) </w:t>
            </w:r>
            <w:r>
              <w:rPr>
                <w:b/>
                <w:sz w:val="14"/>
              </w:rPr>
              <w:t>APPLICABLE TO FUELS COMBUSTED IN VARIOUS TYPES OF VEGETATION FIRES</w:t>
            </w:r>
          </w:p>
          <w:p>
            <w:pPr>
              <w:pStyle w:val="TableParagraph"/>
              <w:spacing w:before="32"/>
              <w:ind w:left="781" w:right="772"/>
              <w:jc w:val="center"/>
              <w:rPr>
                <w:sz w:val="18"/>
              </w:rPr>
            </w:pPr>
            <w:r>
              <w:rPr>
                <w:sz w:val="18"/>
              </w:rPr>
              <w:t>(To be used in connection with Equation 3.2.20)</w:t>
            </w:r>
          </w:p>
        </w:tc>
      </w:tr>
      <w:tr>
        <w:trPr>
          <w:trHeight w:val="311" w:hRule="atLeast"/>
        </w:trPr>
        <w:tc>
          <w:tcPr>
            <w:tcW w:w="1872" w:type="dxa"/>
            <w:tcBorders>
              <w:top w:val="double" w:sz="1" w:space="0" w:color="000000"/>
            </w:tcBorders>
          </w:tcPr>
          <w:p>
            <w:pPr>
              <w:pStyle w:val="TableParagraph"/>
              <w:rPr>
                <w:sz w:val="16"/>
              </w:rPr>
            </w:pPr>
          </w:p>
        </w:tc>
        <w:tc>
          <w:tcPr>
            <w:tcW w:w="1147" w:type="dxa"/>
            <w:tcBorders>
              <w:top w:val="double" w:sz="1" w:space="0" w:color="000000"/>
            </w:tcBorders>
          </w:tcPr>
          <w:p>
            <w:pPr>
              <w:pStyle w:val="TableParagraph"/>
              <w:spacing w:before="52"/>
              <w:ind w:left="94" w:right="87"/>
              <w:jc w:val="center"/>
              <w:rPr>
                <w:b/>
                <w:sz w:val="18"/>
              </w:rPr>
            </w:pPr>
            <w:r>
              <w:rPr>
                <w:b/>
                <w:sz w:val="18"/>
              </w:rPr>
              <w:t>CO</w:t>
            </w:r>
            <w:r>
              <w:rPr>
                <w:b/>
                <w:sz w:val="18"/>
                <w:vertAlign w:val="subscript"/>
              </w:rPr>
              <w:t>2</w:t>
            </w:r>
          </w:p>
        </w:tc>
        <w:tc>
          <w:tcPr>
            <w:tcW w:w="823" w:type="dxa"/>
            <w:tcBorders>
              <w:top w:val="double" w:sz="1" w:space="0" w:color="000000"/>
            </w:tcBorders>
          </w:tcPr>
          <w:p>
            <w:pPr>
              <w:pStyle w:val="TableParagraph"/>
              <w:spacing w:before="52"/>
              <w:ind w:left="124" w:right="117"/>
              <w:jc w:val="center"/>
              <w:rPr>
                <w:b/>
                <w:sz w:val="18"/>
              </w:rPr>
            </w:pPr>
            <w:r>
              <w:rPr>
                <w:b/>
                <w:sz w:val="18"/>
              </w:rPr>
              <w:t>CO</w:t>
            </w:r>
          </w:p>
        </w:tc>
        <w:tc>
          <w:tcPr>
            <w:tcW w:w="732" w:type="dxa"/>
            <w:tcBorders>
              <w:top w:val="double" w:sz="1" w:space="0" w:color="000000"/>
            </w:tcBorders>
          </w:tcPr>
          <w:p>
            <w:pPr>
              <w:pStyle w:val="TableParagraph"/>
              <w:spacing w:before="52"/>
              <w:ind w:left="181" w:right="171"/>
              <w:jc w:val="center"/>
              <w:rPr>
                <w:b/>
                <w:sz w:val="18"/>
              </w:rPr>
            </w:pPr>
            <w:r>
              <w:rPr>
                <w:b/>
                <w:sz w:val="18"/>
              </w:rPr>
              <w:t>CH</w:t>
            </w:r>
            <w:r>
              <w:rPr>
                <w:b/>
                <w:sz w:val="18"/>
                <w:vertAlign w:val="subscript"/>
              </w:rPr>
              <w:t>4</w:t>
            </w:r>
          </w:p>
        </w:tc>
        <w:tc>
          <w:tcPr>
            <w:tcW w:w="821" w:type="dxa"/>
            <w:tcBorders>
              <w:top w:val="double" w:sz="1" w:space="0" w:color="000000"/>
            </w:tcBorders>
          </w:tcPr>
          <w:p>
            <w:pPr>
              <w:pStyle w:val="TableParagraph"/>
              <w:spacing w:before="52"/>
              <w:ind w:left="135" w:right="121"/>
              <w:jc w:val="center"/>
              <w:rPr>
                <w:b/>
                <w:sz w:val="18"/>
              </w:rPr>
            </w:pPr>
            <w:r>
              <w:rPr>
                <w:b/>
                <w:sz w:val="18"/>
              </w:rPr>
              <w:t>NO</w:t>
            </w:r>
            <w:r>
              <w:rPr>
                <w:b/>
                <w:sz w:val="18"/>
                <w:vertAlign w:val="subscript"/>
              </w:rPr>
              <w:t>x</w:t>
            </w:r>
          </w:p>
        </w:tc>
        <w:tc>
          <w:tcPr>
            <w:tcW w:w="859" w:type="dxa"/>
            <w:tcBorders>
              <w:top w:val="double" w:sz="1" w:space="0" w:color="000000"/>
            </w:tcBorders>
          </w:tcPr>
          <w:p>
            <w:pPr>
              <w:pStyle w:val="TableParagraph"/>
              <w:spacing w:before="52"/>
              <w:ind w:left="198" w:right="192"/>
              <w:jc w:val="center"/>
              <w:rPr>
                <w:b/>
                <w:sz w:val="18"/>
              </w:rPr>
            </w:pPr>
            <w:r>
              <w:rPr>
                <w:b/>
                <w:sz w:val="18"/>
              </w:rPr>
              <w:t>N</w:t>
            </w:r>
            <w:r>
              <w:rPr>
                <w:b/>
                <w:sz w:val="18"/>
                <w:vertAlign w:val="subscript"/>
              </w:rPr>
              <w:t>2</w:t>
            </w:r>
            <w:r>
              <w:rPr>
                <w:b/>
                <w:sz w:val="18"/>
                <w:vertAlign w:val="baseline"/>
              </w:rPr>
              <w:t>O*</w:t>
            </w:r>
          </w:p>
        </w:tc>
        <w:tc>
          <w:tcPr>
            <w:tcW w:w="897" w:type="dxa"/>
            <w:tcBorders>
              <w:top w:val="double" w:sz="1" w:space="0" w:color="000000"/>
            </w:tcBorders>
          </w:tcPr>
          <w:p>
            <w:pPr>
              <w:pStyle w:val="TableParagraph"/>
              <w:spacing w:before="52"/>
              <w:ind w:left="92" w:right="81"/>
              <w:jc w:val="center"/>
              <w:rPr>
                <w:b/>
                <w:sz w:val="18"/>
              </w:rPr>
            </w:pPr>
            <w:r>
              <w:rPr>
                <w:b/>
                <w:sz w:val="18"/>
              </w:rPr>
              <w:t>NMHC </w:t>
            </w:r>
            <w:r>
              <w:rPr>
                <w:b/>
                <w:sz w:val="18"/>
                <w:vertAlign w:val="superscript"/>
              </w:rPr>
              <w:t>2</w:t>
            </w:r>
          </w:p>
        </w:tc>
        <w:tc>
          <w:tcPr>
            <w:tcW w:w="1862" w:type="dxa"/>
            <w:tcBorders>
              <w:top w:val="double" w:sz="1" w:space="0" w:color="000000"/>
            </w:tcBorders>
          </w:tcPr>
          <w:p>
            <w:pPr>
              <w:pStyle w:val="TableParagraph"/>
              <w:spacing w:before="52"/>
              <w:ind w:left="647" w:right="635"/>
              <w:jc w:val="center"/>
              <w:rPr>
                <w:b/>
                <w:sz w:val="18"/>
              </w:rPr>
            </w:pPr>
            <w:r>
              <w:rPr>
                <w:b/>
                <w:sz w:val="18"/>
              </w:rPr>
              <w:t>Source</w:t>
            </w:r>
          </w:p>
        </w:tc>
      </w:tr>
      <w:tr>
        <w:trPr>
          <w:trHeight w:val="443" w:hRule="atLeast"/>
        </w:trPr>
        <w:tc>
          <w:tcPr>
            <w:tcW w:w="1872" w:type="dxa"/>
          </w:tcPr>
          <w:p>
            <w:pPr>
              <w:pStyle w:val="TableParagraph"/>
              <w:spacing w:before="9"/>
              <w:ind w:left="333" w:right="180" w:hanging="226"/>
              <w:rPr>
                <w:sz w:val="18"/>
              </w:rPr>
            </w:pPr>
            <w:r>
              <w:rPr>
                <w:sz w:val="18"/>
              </w:rPr>
              <w:t>Moist/infertile broad- leaved savanna</w:t>
            </w:r>
          </w:p>
        </w:tc>
        <w:tc>
          <w:tcPr>
            <w:tcW w:w="1147" w:type="dxa"/>
          </w:tcPr>
          <w:p>
            <w:pPr>
              <w:pStyle w:val="TableParagraph"/>
              <w:spacing w:before="112"/>
              <w:ind w:left="95" w:right="86"/>
              <w:jc w:val="center"/>
              <w:rPr>
                <w:sz w:val="18"/>
              </w:rPr>
            </w:pPr>
            <w:r>
              <w:rPr>
                <w:sz w:val="18"/>
              </w:rPr>
              <w:t>1 523</w:t>
            </w:r>
          </w:p>
        </w:tc>
        <w:tc>
          <w:tcPr>
            <w:tcW w:w="823" w:type="dxa"/>
          </w:tcPr>
          <w:p>
            <w:pPr>
              <w:pStyle w:val="TableParagraph"/>
              <w:spacing w:before="112"/>
              <w:ind w:left="124" w:right="118"/>
              <w:jc w:val="center"/>
              <w:rPr>
                <w:sz w:val="18"/>
              </w:rPr>
            </w:pPr>
            <w:r>
              <w:rPr>
                <w:sz w:val="18"/>
              </w:rPr>
              <w:t>92</w:t>
            </w:r>
          </w:p>
        </w:tc>
        <w:tc>
          <w:tcPr>
            <w:tcW w:w="732" w:type="dxa"/>
          </w:tcPr>
          <w:p>
            <w:pPr>
              <w:pStyle w:val="TableParagraph"/>
              <w:spacing w:before="112"/>
              <w:ind w:left="5"/>
              <w:jc w:val="center"/>
              <w:rPr>
                <w:sz w:val="18"/>
              </w:rPr>
            </w:pPr>
            <w:r>
              <w:rPr>
                <w:sz w:val="18"/>
              </w:rPr>
              <w:t>3</w:t>
            </w:r>
          </w:p>
        </w:tc>
        <w:tc>
          <w:tcPr>
            <w:tcW w:w="821" w:type="dxa"/>
          </w:tcPr>
          <w:p>
            <w:pPr>
              <w:pStyle w:val="TableParagraph"/>
              <w:spacing w:before="112"/>
              <w:ind w:left="7"/>
              <w:jc w:val="center"/>
              <w:rPr>
                <w:sz w:val="18"/>
              </w:rPr>
            </w:pPr>
            <w:r>
              <w:rPr>
                <w:sz w:val="18"/>
              </w:rPr>
              <w:t>6</w:t>
            </w:r>
          </w:p>
        </w:tc>
        <w:tc>
          <w:tcPr>
            <w:tcW w:w="859" w:type="dxa"/>
          </w:tcPr>
          <w:p>
            <w:pPr>
              <w:pStyle w:val="TableParagraph"/>
              <w:spacing w:before="112"/>
              <w:ind w:left="198" w:right="191"/>
              <w:jc w:val="center"/>
              <w:rPr>
                <w:sz w:val="18"/>
              </w:rPr>
            </w:pPr>
            <w:r>
              <w:rPr>
                <w:sz w:val="18"/>
              </w:rPr>
              <w:t>0.11</w:t>
            </w:r>
          </w:p>
        </w:tc>
        <w:tc>
          <w:tcPr>
            <w:tcW w:w="897" w:type="dxa"/>
          </w:tcPr>
          <w:p>
            <w:pPr>
              <w:pStyle w:val="TableParagraph"/>
              <w:spacing w:before="112"/>
              <w:ind w:left="7"/>
              <w:jc w:val="center"/>
              <w:rPr>
                <w:sz w:val="18"/>
              </w:rPr>
            </w:pPr>
            <w:r>
              <w:rPr>
                <w:sz w:val="18"/>
              </w:rPr>
              <w:t>-</w:t>
            </w:r>
          </w:p>
        </w:tc>
        <w:tc>
          <w:tcPr>
            <w:tcW w:w="1862" w:type="dxa"/>
          </w:tcPr>
          <w:p>
            <w:pPr>
              <w:pStyle w:val="TableParagraph"/>
              <w:spacing w:before="112"/>
              <w:ind w:left="108"/>
              <w:rPr>
                <w:sz w:val="18"/>
              </w:rPr>
            </w:pPr>
            <w:r>
              <w:rPr>
                <w:sz w:val="18"/>
              </w:rPr>
              <w:t>Scholes (1995)</w:t>
            </w:r>
          </w:p>
        </w:tc>
      </w:tr>
      <w:tr>
        <w:trPr>
          <w:trHeight w:val="443" w:hRule="atLeast"/>
        </w:trPr>
        <w:tc>
          <w:tcPr>
            <w:tcW w:w="1872" w:type="dxa"/>
          </w:tcPr>
          <w:p>
            <w:pPr>
              <w:pStyle w:val="TableParagraph"/>
              <w:spacing w:before="9"/>
              <w:ind w:left="333" w:right="414" w:hanging="226"/>
              <w:rPr>
                <w:sz w:val="18"/>
              </w:rPr>
            </w:pPr>
            <w:r>
              <w:rPr>
                <w:sz w:val="18"/>
              </w:rPr>
              <w:t>Arid fertile fine- leaved savanna</w:t>
            </w:r>
          </w:p>
        </w:tc>
        <w:tc>
          <w:tcPr>
            <w:tcW w:w="1147" w:type="dxa"/>
          </w:tcPr>
          <w:p>
            <w:pPr>
              <w:pStyle w:val="TableParagraph"/>
              <w:spacing w:before="112"/>
              <w:ind w:left="95" w:right="86"/>
              <w:jc w:val="center"/>
              <w:rPr>
                <w:sz w:val="18"/>
              </w:rPr>
            </w:pPr>
            <w:r>
              <w:rPr>
                <w:sz w:val="18"/>
              </w:rPr>
              <w:t>1 524</w:t>
            </w:r>
          </w:p>
        </w:tc>
        <w:tc>
          <w:tcPr>
            <w:tcW w:w="823" w:type="dxa"/>
          </w:tcPr>
          <w:p>
            <w:pPr>
              <w:pStyle w:val="TableParagraph"/>
              <w:spacing w:before="112"/>
              <w:ind w:left="124" w:right="118"/>
              <w:jc w:val="center"/>
              <w:rPr>
                <w:sz w:val="18"/>
              </w:rPr>
            </w:pPr>
            <w:r>
              <w:rPr>
                <w:sz w:val="18"/>
              </w:rPr>
              <w:t>73</w:t>
            </w:r>
          </w:p>
        </w:tc>
        <w:tc>
          <w:tcPr>
            <w:tcW w:w="732" w:type="dxa"/>
          </w:tcPr>
          <w:p>
            <w:pPr>
              <w:pStyle w:val="TableParagraph"/>
              <w:spacing w:before="112"/>
              <w:ind w:left="5"/>
              <w:jc w:val="center"/>
              <w:rPr>
                <w:sz w:val="18"/>
              </w:rPr>
            </w:pPr>
            <w:r>
              <w:rPr>
                <w:sz w:val="18"/>
              </w:rPr>
              <w:t>2</w:t>
            </w:r>
          </w:p>
        </w:tc>
        <w:tc>
          <w:tcPr>
            <w:tcW w:w="821" w:type="dxa"/>
          </w:tcPr>
          <w:p>
            <w:pPr>
              <w:pStyle w:val="TableParagraph"/>
              <w:spacing w:before="112"/>
              <w:ind w:left="7"/>
              <w:jc w:val="center"/>
              <w:rPr>
                <w:sz w:val="18"/>
              </w:rPr>
            </w:pPr>
            <w:r>
              <w:rPr>
                <w:sz w:val="18"/>
              </w:rPr>
              <w:t>5</w:t>
            </w:r>
          </w:p>
        </w:tc>
        <w:tc>
          <w:tcPr>
            <w:tcW w:w="859" w:type="dxa"/>
          </w:tcPr>
          <w:p>
            <w:pPr>
              <w:pStyle w:val="TableParagraph"/>
              <w:spacing w:before="112"/>
              <w:ind w:left="198" w:right="191"/>
              <w:jc w:val="center"/>
              <w:rPr>
                <w:sz w:val="18"/>
              </w:rPr>
            </w:pPr>
            <w:r>
              <w:rPr>
                <w:sz w:val="18"/>
              </w:rPr>
              <w:t>0.11</w:t>
            </w:r>
          </w:p>
        </w:tc>
        <w:tc>
          <w:tcPr>
            <w:tcW w:w="897" w:type="dxa"/>
          </w:tcPr>
          <w:p>
            <w:pPr>
              <w:pStyle w:val="TableParagraph"/>
              <w:spacing w:before="112"/>
              <w:ind w:left="7"/>
              <w:jc w:val="center"/>
              <w:rPr>
                <w:sz w:val="18"/>
              </w:rPr>
            </w:pPr>
            <w:r>
              <w:rPr>
                <w:sz w:val="18"/>
              </w:rPr>
              <w:t>-</w:t>
            </w:r>
          </w:p>
        </w:tc>
        <w:tc>
          <w:tcPr>
            <w:tcW w:w="1862" w:type="dxa"/>
          </w:tcPr>
          <w:p>
            <w:pPr>
              <w:pStyle w:val="TableParagraph"/>
              <w:spacing w:before="112"/>
              <w:ind w:left="108"/>
              <w:rPr>
                <w:sz w:val="18"/>
              </w:rPr>
            </w:pPr>
            <w:r>
              <w:rPr>
                <w:sz w:val="18"/>
              </w:rPr>
              <w:t>Scholes (1995)</w:t>
            </w:r>
          </w:p>
        </w:tc>
      </w:tr>
      <w:tr>
        <w:trPr>
          <w:trHeight w:val="446" w:hRule="atLeast"/>
        </w:trPr>
        <w:tc>
          <w:tcPr>
            <w:tcW w:w="1872" w:type="dxa"/>
          </w:tcPr>
          <w:p>
            <w:pPr>
              <w:pStyle w:val="TableParagraph"/>
              <w:spacing w:before="9"/>
              <w:ind w:left="333" w:right="640" w:hanging="226"/>
              <w:rPr>
                <w:sz w:val="18"/>
              </w:rPr>
            </w:pPr>
            <w:r>
              <w:rPr>
                <w:sz w:val="18"/>
              </w:rPr>
              <w:t>Moist- infertile grassland</w:t>
            </w:r>
          </w:p>
        </w:tc>
        <w:tc>
          <w:tcPr>
            <w:tcW w:w="1147" w:type="dxa"/>
          </w:tcPr>
          <w:p>
            <w:pPr>
              <w:pStyle w:val="TableParagraph"/>
              <w:spacing w:before="112"/>
              <w:ind w:left="95" w:right="86"/>
              <w:jc w:val="center"/>
              <w:rPr>
                <w:sz w:val="18"/>
              </w:rPr>
            </w:pPr>
            <w:r>
              <w:rPr>
                <w:sz w:val="18"/>
              </w:rPr>
              <w:t>1 498</w:t>
            </w:r>
          </w:p>
        </w:tc>
        <w:tc>
          <w:tcPr>
            <w:tcW w:w="823" w:type="dxa"/>
          </w:tcPr>
          <w:p>
            <w:pPr>
              <w:pStyle w:val="TableParagraph"/>
              <w:spacing w:before="112"/>
              <w:ind w:left="124" w:right="118"/>
              <w:jc w:val="center"/>
              <w:rPr>
                <w:sz w:val="18"/>
              </w:rPr>
            </w:pPr>
            <w:r>
              <w:rPr>
                <w:sz w:val="18"/>
              </w:rPr>
              <w:t>59</w:t>
            </w:r>
          </w:p>
        </w:tc>
        <w:tc>
          <w:tcPr>
            <w:tcW w:w="732" w:type="dxa"/>
          </w:tcPr>
          <w:p>
            <w:pPr>
              <w:pStyle w:val="TableParagraph"/>
              <w:spacing w:before="112"/>
              <w:ind w:left="5"/>
              <w:jc w:val="center"/>
              <w:rPr>
                <w:sz w:val="18"/>
              </w:rPr>
            </w:pPr>
            <w:r>
              <w:rPr>
                <w:sz w:val="18"/>
              </w:rPr>
              <w:t>2</w:t>
            </w:r>
          </w:p>
        </w:tc>
        <w:tc>
          <w:tcPr>
            <w:tcW w:w="821" w:type="dxa"/>
          </w:tcPr>
          <w:p>
            <w:pPr>
              <w:pStyle w:val="TableParagraph"/>
              <w:spacing w:before="112"/>
              <w:ind w:left="7"/>
              <w:jc w:val="center"/>
              <w:rPr>
                <w:sz w:val="18"/>
              </w:rPr>
            </w:pPr>
            <w:r>
              <w:rPr>
                <w:sz w:val="18"/>
              </w:rPr>
              <w:t>4</w:t>
            </w:r>
          </w:p>
        </w:tc>
        <w:tc>
          <w:tcPr>
            <w:tcW w:w="859" w:type="dxa"/>
          </w:tcPr>
          <w:p>
            <w:pPr>
              <w:pStyle w:val="TableParagraph"/>
              <w:spacing w:before="112"/>
              <w:ind w:left="198" w:right="191"/>
              <w:jc w:val="center"/>
              <w:rPr>
                <w:sz w:val="18"/>
              </w:rPr>
            </w:pPr>
            <w:r>
              <w:rPr>
                <w:sz w:val="18"/>
              </w:rPr>
              <w:t>0.10</w:t>
            </w:r>
          </w:p>
        </w:tc>
        <w:tc>
          <w:tcPr>
            <w:tcW w:w="897" w:type="dxa"/>
          </w:tcPr>
          <w:p>
            <w:pPr>
              <w:pStyle w:val="TableParagraph"/>
              <w:spacing w:before="112"/>
              <w:ind w:left="7"/>
              <w:jc w:val="center"/>
              <w:rPr>
                <w:sz w:val="18"/>
              </w:rPr>
            </w:pPr>
            <w:r>
              <w:rPr>
                <w:sz w:val="18"/>
              </w:rPr>
              <w:t>-</w:t>
            </w:r>
          </w:p>
        </w:tc>
        <w:tc>
          <w:tcPr>
            <w:tcW w:w="1862" w:type="dxa"/>
          </w:tcPr>
          <w:p>
            <w:pPr>
              <w:pStyle w:val="TableParagraph"/>
              <w:spacing w:before="112"/>
              <w:ind w:left="108"/>
              <w:rPr>
                <w:sz w:val="18"/>
              </w:rPr>
            </w:pPr>
            <w:r>
              <w:rPr>
                <w:sz w:val="18"/>
              </w:rPr>
              <w:t>Scholes (1995)</w:t>
            </w:r>
          </w:p>
        </w:tc>
      </w:tr>
      <w:tr>
        <w:trPr>
          <w:trHeight w:val="273" w:hRule="atLeast"/>
        </w:trPr>
        <w:tc>
          <w:tcPr>
            <w:tcW w:w="1872" w:type="dxa"/>
          </w:tcPr>
          <w:p>
            <w:pPr>
              <w:pStyle w:val="TableParagraph"/>
              <w:spacing w:before="28"/>
              <w:ind w:left="107"/>
              <w:rPr>
                <w:sz w:val="18"/>
              </w:rPr>
            </w:pPr>
            <w:r>
              <w:rPr>
                <w:sz w:val="18"/>
              </w:rPr>
              <w:t>Arid-fertile grassland</w:t>
            </w:r>
          </w:p>
        </w:tc>
        <w:tc>
          <w:tcPr>
            <w:tcW w:w="1147" w:type="dxa"/>
          </w:tcPr>
          <w:p>
            <w:pPr>
              <w:pStyle w:val="TableParagraph"/>
              <w:spacing w:before="28"/>
              <w:ind w:left="95" w:right="79"/>
              <w:jc w:val="center"/>
              <w:rPr>
                <w:sz w:val="18"/>
              </w:rPr>
            </w:pPr>
            <w:r>
              <w:rPr>
                <w:sz w:val="18"/>
              </w:rPr>
              <w:t>1 540</w:t>
            </w:r>
          </w:p>
        </w:tc>
        <w:tc>
          <w:tcPr>
            <w:tcW w:w="823" w:type="dxa"/>
          </w:tcPr>
          <w:p>
            <w:pPr>
              <w:pStyle w:val="TableParagraph"/>
              <w:spacing w:before="28"/>
              <w:ind w:left="124" w:right="113"/>
              <w:jc w:val="center"/>
              <w:rPr>
                <w:sz w:val="18"/>
              </w:rPr>
            </w:pPr>
            <w:r>
              <w:rPr>
                <w:sz w:val="18"/>
              </w:rPr>
              <w:t>97</w:t>
            </w:r>
          </w:p>
        </w:tc>
        <w:tc>
          <w:tcPr>
            <w:tcW w:w="732" w:type="dxa"/>
          </w:tcPr>
          <w:p>
            <w:pPr>
              <w:pStyle w:val="TableParagraph"/>
              <w:spacing w:before="28"/>
              <w:ind w:left="9"/>
              <w:jc w:val="center"/>
              <w:rPr>
                <w:sz w:val="18"/>
              </w:rPr>
            </w:pPr>
            <w:r>
              <w:rPr>
                <w:sz w:val="18"/>
              </w:rPr>
              <w:t>3</w:t>
            </w:r>
          </w:p>
        </w:tc>
        <w:tc>
          <w:tcPr>
            <w:tcW w:w="821" w:type="dxa"/>
          </w:tcPr>
          <w:p>
            <w:pPr>
              <w:pStyle w:val="TableParagraph"/>
              <w:spacing w:before="28"/>
              <w:ind w:left="11"/>
              <w:jc w:val="center"/>
              <w:rPr>
                <w:sz w:val="18"/>
              </w:rPr>
            </w:pPr>
            <w:r>
              <w:rPr>
                <w:sz w:val="18"/>
              </w:rPr>
              <w:t>7</w:t>
            </w:r>
          </w:p>
        </w:tc>
        <w:tc>
          <w:tcPr>
            <w:tcW w:w="859" w:type="dxa"/>
          </w:tcPr>
          <w:p>
            <w:pPr>
              <w:pStyle w:val="TableParagraph"/>
              <w:spacing w:before="28"/>
              <w:ind w:left="198" w:right="189"/>
              <w:jc w:val="center"/>
              <w:rPr>
                <w:sz w:val="18"/>
              </w:rPr>
            </w:pPr>
            <w:r>
              <w:rPr>
                <w:sz w:val="18"/>
              </w:rPr>
              <w:t>0.11</w:t>
            </w:r>
          </w:p>
        </w:tc>
        <w:tc>
          <w:tcPr>
            <w:tcW w:w="897" w:type="dxa"/>
          </w:tcPr>
          <w:p>
            <w:pPr>
              <w:pStyle w:val="TableParagraph"/>
              <w:spacing w:before="28"/>
              <w:ind w:left="8"/>
              <w:jc w:val="center"/>
              <w:rPr>
                <w:sz w:val="18"/>
              </w:rPr>
            </w:pPr>
            <w:r>
              <w:rPr>
                <w:sz w:val="18"/>
              </w:rPr>
              <w:t>-</w:t>
            </w:r>
          </w:p>
        </w:tc>
        <w:tc>
          <w:tcPr>
            <w:tcW w:w="1862" w:type="dxa"/>
          </w:tcPr>
          <w:p>
            <w:pPr>
              <w:pStyle w:val="TableParagraph"/>
              <w:spacing w:before="28"/>
              <w:ind w:left="109"/>
              <w:rPr>
                <w:sz w:val="18"/>
              </w:rPr>
            </w:pPr>
            <w:r>
              <w:rPr>
                <w:sz w:val="18"/>
              </w:rPr>
              <w:t>Scholes (1995)</w:t>
            </w:r>
          </w:p>
        </w:tc>
      </w:tr>
      <w:tr>
        <w:trPr>
          <w:trHeight w:val="273" w:hRule="atLeast"/>
        </w:trPr>
        <w:tc>
          <w:tcPr>
            <w:tcW w:w="1872" w:type="dxa"/>
          </w:tcPr>
          <w:p>
            <w:pPr>
              <w:pStyle w:val="TableParagraph"/>
              <w:spacing w:before="28"/>
              <w:ind w:left="107"/>
              <w:rPr>
                <w:sz w:val="18"/>
              </w:rPr>
            </w:pPr>
            <w:r>
              <w:rPr>
                <w:sz w:val="18"/>
              </w:rPr>
              <w:t>Wetland</w:t>
            </w:r>
          </w:p>
        </w:tc>
        <w:tc>
          <w:tcPr>
            <w:tcW w:w="1147" w:type="dxa"/>
          </w:tcPr>
          <w:p>
            <w:pPr>
              <w:pStyle w:val="TableParagraph"/>
              <w:spacing w:before="28"/>
              <w:ind w:left="95" w:right="84"/>
              <w:jc w:val="center"/>
              <w:rPr>
                <w:sz w:val="18"/>
              </w:rPr>
            </w:pPr>
            <w:r>
              <w:rPr>
                <w:sz w:val="18"/>
              </w:rPr>
              <w:t>1 554</w:t>
            </w:r>
          </w:p>
        </w:tc>
        <w:tc>
          <w:tcPr>
            <w:tcW w:w="823" w:type="dxa"/>
          </w:tcPr>
          <w:p>
            <w:pPr>
              <w:pStyle w:val="TableParagraph"/>
              <w:spacing w:before="28"/>
              <w:ind w:left="124" w:right="116"/>
              <w:jc w:val="center"/>
              <w:rPr>
                <w:sz w:val="18"/>
              </w:rPr>
            </w:pPr>
            <w:r>
              <w:rPr>
                <w:sz w:val="18"/>
              </w:rPr>
              <w:t>58</w:t>
            </w:r>
          </w:p>
        </w:tc>
        <w:tc>
          <w:tcPr>
            <w:tcW w:w="732" w:type="dxa"/>
          </w:tcPr>
          <w:p>
            <w:pPr>
              <w:pStyle w:val="TableParagraph"/>
              <w:spacing w:before="28"/>
              <w:ind w:left="7"/>
              <w:jc w:val="center"/>
              <w:rPr>
                <w:sz w:val="18"/>
              </w:rPr>
            </w:pPr>
            <w:r>
              <w:rPr>
                <w:sz w:val="18"/>
              </w:rPr>
              <w:t>2</w:t>
            </w:r>
          </w:p>
        </w:tc>
        <w:tc>
          <w:tcPr>
            <w:tcW w:w="821" w:type="dxa"/>
          </w:tcPr>
          <w:p>
            <w:pPr>
              <w:pStyle w:val="TableParagraph"/>
              <w:spacing w:before="28"/>
              <w:ind w:left="9"/>
              <w:jc w:val="center"/>
              <w:rPr>
                <w:sz w:val="18"/>
              </w:rPr>
            </w:pPr>
            <w:r>
              <w:rPr>
                <w:sz w:val="18"/>
              </w:rPr>
              <w:t>4</w:t>
            </w:r>
          </w:p>
        </w:tc>
        <w:tc>
          <w:tcPr>
            <w:tcW w:w="859" w:type="dxa"/>
          </w:tcPr>
          <w:p>
            <w:pPr>
              <w:pStyle w:val="TableParagraph"/>
              <w:spacing w:before="28"/>
              <w:ind w:left="198" w:right="190"/>
              <w:jc w:val="center"/>
              <w:rPr>
                <w:sz w:val="18"/>
              </w:rPr>
            </w:pPr>
            <w:r>
              <w:rPr>
                <w:sz w:val="18"/>
              </w:rPr>
              <w:t>0.11</w:t>
            </w:r>
          </w:p>
        </w:tc>
        <w:tc>
          <w:tcPr>
            <w:tcW w:w="897" w:type="dxa"/>
          </w:tcPr>
          <w:p>
            <w:pPr>
              <w:pStyle w:val="TableParagraph"/>
              <w:spacing w:before="28"/>
              <w:ind w:left="8"/>
              <w:jc w:val="center"/>
              <w:rPr>
                <w:sz w:val="18"/>
              </w:rPr>
            </w:pPr>
            <w:r>
              <w:rPr>
                <w:sz w:val="18"/>
              </w:rPr>
              <w:t>-</w:t>
            </w:r>
          </w:p>
        </w:tc>
        <w:tc>
          <w:tcPr>
            <w:tcW w:w="1862" w:type="dxa"/>
          </w:tcPr>
          <w:p>
            <w:pPr>
              <w:pStyle w:val="TableParagraph"/>
              <w:spacing w:before="28"/>
              <w:ind w:left="108"/>
              <w:rPr>
                <w:sz w:val="18"/>
              </w:rPr>
            </w:pPr>
            <w:r>
              <w:rPr>
                <w:sz w:val="18"/>
              </w:rPr>
              <w:t>Scholes (1995)</w:t>
            </w:r>
          </w:p>
        </w:tc>
      </w:tr>
      <w:tr>
        <w:trPr>
          <w:trHeight w:val="275" w:hRule="atLeast"/>
        </w:trPr>
        <w:tc>
          <w:tcPr>
            <w:tcW w:w="1872" w:type="dxa"/>
          </w:tcPr>
          <w:p>
            <w:pPr>
              <w:pStyle w:val="TableParagraph"/>
              <w:spacing w:before="28"/>
              <w:ind w:left="107"/>
              <w:rPr>
                <w:sz w:val="18"/>
              </w:rPr>
            </w:pPr>
            <w:r>
              <w:rPr>
                <w:sz w:val="18"/>
              </w:rPr>
              <w:t>All vegetation types </w:t>
            </w:r>
            <w:r>
              <w:rPr>
                <w:sz w:val="18"/>
                <w:vertAlign w:val="superscript"/>
              </w:rPr>
              <w:t>l</w:t>
            </w:r>
          </w:p>
        </w:tc>
        <w:tc>
          <w:tcPr>
            <w:tcW w:w="1147" w:type="dxa"/>
          </w:tcPr>
          <w:p>
            <w:pPr>
              <w:pStyle w:val="TableParagraph"/>
              <w:spacing w:before="28"/>
              <w:ind w:left="95" w:right="87"/>
              <w:jc w:val="center"/>
              <w:rPr>
                <w:sz w:val="18"/>
              </w:rPr>
            </w:pPr>
            <w:r>
              <w:rPr>
                <w:sz w:val="18"/>
              </w:rPr>
              <w:t>1 403 -1 503</w:t>
            </w:r>
          </w:p>
        </w:tc>
        <w:tc>
          <w:tcPr>
            <w:tcW w:w="823" w:type="dxa"/>
          </w:tcPr>
          <w:p>
            <w:pPr>
              <w:pStyle w:val="TableParagraph"/>
              <w:spacing w:before="28"/>
              <w:ind w:left="124" w:right="116"/>
              <w:jc w:val="center"/>
              <w:rPr>
                <w:sz w:val="18"/>
              </w:rPr>
            </w:pPr>
            <w:r>
              <w:rPr>
                <w:sz w:val="18"/>
              </w:rPr>
              <w:t>67-120</w:t>
            </w:r>
          </w:p>
        </w:tc>
        <w:tc>
          <w:tcPr>
            <w:tcW w:w="732" w:type="dxa"/>
          </w:tcPr>
          <w:p>
            <w:pPr>
              <w:pStyle w:val="TableParagraph"/>
              <w:spacing w:before="28"/>
              <w:ind w:left="179" w:right="171"/>
              <w:jc w:val="center"/>
              <w:rPr>
                <w:sz w:val="18"/>
              </w:rPr>
            </w:pPr>
            <w:r>
              <w:rPr>
                <w:sz w:val="18"/>
              </w:rPr>
              <w:t>4-7</w:t>
            </w:r>
          </w:p>
        </w:tc>
        <w:tc>
          <w:tcPr>
            <w:tcW w:w="821" w:type="dxa"/>
          </w:tcPr>
          <w:p>
            <w:pPr>
              <w:pStyle w:val="TableParagraph"/>
              <w:spacing w:before="28"/>
              <w:ind w:left="135" w:right="125"/>
              <w:jc w:val="center"/>
              <w:rPr>
                <w:sz w:val="18"/>
              </w:rPr>
            </w:pPr>
            <w:r>
              <w:rPr>
                <w:sz w:val="18"/>
              </w:rPr>
              <w:t>0.5-0.8</w:t>
            </w:r>
          </w:p>
        </w:tc>
        <w:tc>
          <w:tcPr>
            <w:tcW w:w="859" w:type="dxa"/>
          </w:tcPr>
          <w:p>
            <w:pPr>
              <w:pStyle w:val="TableParagraph"/>
              <w:spacing w:before="28"/>
              <w:ind w:left="198" w:right="189"/>
              <w:jc w:val="center"/>
              <w:rPr>
                <w:sz w:val="18"/>
              </w:rPr>
            </w:pPr>
            <w:r>
              <w:rPr>
                <w:sz w:val="18"/>
              </w:rPr>
              <w:t>0.10</w:t>
            </w:r>
          </w:p>
        </w:tc>
        <w:tc>
          <w:tcPr>
            <w:tcW w:w="897" w:type="dxa"/>
          </w:tcPr>
          <w:p>
            <w:pPr>
              <w:pStyle w:val="TableParagraph"/>
              <w:spacing w:before="28"/>
              <w:ind w:left="9"/>
              <w:jc w:val="center"/>
              <w:rPr>
                <w:sz w:val="18"/>
              </w:rPr>
            </w:pPr>
            <w:r>
              <w:rPr>
                <w:sz w:val="18"/>
              </w:rPr>
              <w:t>-</w:t>
            </w:r>
          </w:p>
        </w:tc>
        <w:tc>
          <w:tcPr>
            <w:tcW w:w="1862" w:type="dxa"/>
          </w:tcPr>
          <w:p>
            <w:pPr>
              <w:pStyle w:val="TableParagraph"/>
              <w:spacing w:before="28"/>
              <w:ind w:left="109"/>
              <w:rPr>
                <w:sz w:val="18"/>
              </w:rPr>
            </w:pPr>
            <w:r>
              <w:rPr>
                <w:sz w:val="18"/>
              </w:rPr>
              <w:t>IPCC (1994)</w:t>
            </w:r>
          </w:p>
        </w:tc>
      </w:tr>
      <w:tr>
        <w:trPr>
          <w:trHeight w:val="273" w:hRule="atLeast"/>
        </w:trPr>
        <w:tc>
          <w:tcPr>
            <w:tcW w:w="1872" w:type="dxa"/>
          </w:tcPr>
          <w:p>
            <w:pPr>
              <w:pStyle w:val="TableParagraph"/>
              <w:spacing w:before="28"/>
              <w:ind w:left="107"/>
              <w:rPr>
                <w:sz w:val="18"/>
              </w:rPr>
            </w:pPr>
            <w:r>
              <w:rPr>
                <w:sz w:val="18"/>
              </w:rPr>
              <w:t>Forest fires</w:t>
            </w:r>
          </w:p>
        </w:tc>
        <w:tc>
          <w:tcPr>
            <w:tcW w:w="1147" w:type="dxa"/>
          </w:tcPr>
          <w:p>
            <w:pPr>
              <w:pStyle w:val="TableParagraph"/>
              <w:spacing w:before="28"/>
              <w:ind w:left="95" w:right="85"/>
              <w:jc w:val="center"/>
              <w:rPr>
                <w:sz w:val="18"/>
              </w:rPr>
            </w:pPr>
            <w:r>
              <w:rPr>
                <w:sz w:val="18"/>
              </w:rPr>
              <w:t>1 531</w:t>
            </w:r>
          </w:p>
        </w:tc>
        <w:tc>
          <w:tcPr>
            <w:tcW w:w="823" w:type="dxa"/>
          </w:tcPr>
          <w:p>
            <w:pPr>
              <w:pStyle w:val="TableParagraph"/>
              <w:spacing w:before="28"/>
              <w:ind w:left="124" w:right="117"/>
              <w:jc w:val="center"/>
              <w:rPr>
                <w:sz w:val="18"/>
              </w:rPr>
            </w:pPr>
            <w:r>
              <w:rPr>
                <w:sz w:val="18"/>
              </w:rPr>
              <w:t>112</w:t>
            </w:r>
          </w:p>
        </w:tc>
        <w:tc>
          <w:tcPr>
            <w:tcW w:w="732" w:type="dxa"/>
          </w:tcPr>
          <w:p>
            <w:pPr>
              <w:pStyle w:val="TableParagraph"/>
              <w:spacing w:before="28"/>
              <w:ind w:left="181" w:right="171"/>
              <w:jc w:val="center"/>
              <w:rPr>
                <w:sz w:val="18"/>
              </w:rPr>
            </w:pPr>
            <w:r>
              <w:rPr>
                <w:sz w:val="18"/>
              </w:rPr>
              <w:t>7.1</w:t>
            </w:r>
          </w:p>
        </w:tc>
        <w:tc>
          <w:tcPr>
            <w:tcW w:w="821" w:type="dxa"/>
          </w:tcPr>
          <w:p>
            <w:pPr>
              <w:pStyle w:val="TableParagraph"/>
              <w:spacing w:before="28"/>
              <w:ind w:left="135" w:right="124"/>
              <w:jc w:val="center"/>
              <w:rPr>
                <w:sz w:val="18"/>
              </w:rPr>
            </w:pPr>
            <w:r>
              <w:rPr>
                <w:sz w:val="18"/>
              </w:rPr>
              <w:t>0.6-0.8</w:t>
            </w:r>
          </w:p>
        </w:tc>
        <w:tc>
          <w:tcPr>
            <w:tcW w:w="859" w:type="dxa"/>
          </w:tcPr>
          <w:p>
            <w:pPr>
              <w:pStyle w:val="TableParagraph"/>
              <w:spacing w:before="28"/>
              <w:ind w:left="198" w:right="188"/>
              <w:jc w:val="center"/>
              <w:rPr>
                <w:sz w:val="18"/>
              </w:rPr>
            </w:pPr>
            <w:r>
              <w:rPr>
                <w:sz w:val="18"/>
              </w:rPr>
              <w:t>0.11</w:t>
            </w:r>
          </w:p>
        </w:tc>
        <w:tc>
          <w:tcPr>
            <w:tcW w:w="897" w:type="dxa"/>
          </w:tcPr>
          <w:p>
            <w:pPr>
              <w:pStyle w:val="TableParagraph"/>
              <w:spacing w:before="28"/>
              <w:ind w:left="92" w:right="81"/>
              <w:jc w:val="center"/>
              <w:rPr>
                <w:sz w:val="18"/>
              </w:rPr>
            </w:pPr>
            <w:r>
              <w:rPr>
                <w:sz w:val="18"/>
              </w:rPr>
              <w:t>8-12</w:t>
            </w:r>
          </w:p>
        </w:tc>
        <w:tc>
          <w:tcPr>
            <w:tcW w:w="1862" w:type="dxa"/>
          </w:tcPr>
          <w:p>
            <w:pPr>
              <w:pStyle w:val="TableParagraph"/>
              <w:spacing w:before="28"/>
              <w:ind w:left="109"/>
              <w:rPr>
                <w:sz w:val="18"/>
              </w:rPr>
            </w:pPr>
            <w:r>
              <w:rPr>
                <w:sz w:val="18"/>
              </w:rPr>
              <w:t>Kaufman </w:t>
            </w:r>
            <w:r>
              <w:rPr>
                <w:i/>
                <w:sz w:val="18"/>
              </w:rPr>
              <w:t>et al. </w:t>
            </w:r>
            <w:r>
              <w:rPr>
                <w:sz w:val="18"/>
              </w:rPr>
              <w:t>(1992)</w:t>
            </w:r>
          </w:p>
        </w:tc>
      </w:tr>
      <w:tr>
        <w:trPr>
          <w:trHeight w:val="273" w:hRule="atLeast"/>
        </w:trPr>
        <w:tc>
          <w:tcPr>
            <w:tcW w:w="1872" w:type="dxa"/>
          </w:tcPr>
          <w:p>
            <w:pPr>
              <w:pStyle w:val="TableParagraph"/>
              <w:spacing w:before="28"/>
              <w:ind w:left="107"/>
              <w:rPr>
                <w:sz w:val="18"/>
              </w:rPr>
            </w:pPr>
            <w:r>
              <w:rPr>
                <w:sz w:val="18"/>
              </w:rPr>
              <w:t>Savanna fires</w:t>
            </w:r>
          </w:p>
        </w:tc>
        <w:tc>
          <w:tcPr>
            <w:tcW w:w="1147" w:type="dxa"/>
          </w:tcPr>
          <w:p>
            <w:pPr>
              <w:pStyle w:val="TableParagraph"/>
              <w:spacing w:before="28"/>
              <w:ind w:left="95" w:right="86"/>
              <w:jc w:val="center"/>
              <w:rPr>
                <w:sz w:val="18"/>
              </w:rPr>
            </w:pPr>
            <w:r>
              <w:rPr>
                <w:sz w:val="18"/>
              </w:rPr>
              <w:t>1 612</w:t>
            </w:r>
          </w:p>
        </w:tc>
        <w:tc>
          <w:tcPr>
            <w:tcW w:w="823" w:type="dxa"/>
          </w:tcPr>
          <w:p>
            <w:pPr>
              <w:pStyle w:val="TableParagraph"/>
              <w:spacing w:before="28"/>
              <w:ind w:left="124" w:right="117"/>
              <w:jc w:val="center"/>
              <w:rPr>
                <w:sz w:val="18"/>
              </w:rPr>
            </w:pPr>
            <w:r>
              <w:rPr>
                <w:sz w:val="18"/>
              </w:rPr>
              <w:t>152</w:t>
            </w:r>
          </w:p>
        </w:tc>
        <w:tc>
          <w:tcPr>
            <w:tcW w:w="732" w:type="dxa"/>
          </w:tcPr>
          <w:p>
            <w:pPr>
              <w:pStyle w:val="TableParagraph"/>
              <w:spacing w:before="28"/>
              <w:ind w:left="176" w:right="171"/>
              <w:jc w:val="center"/>
              <w:rPr>
                <w:sz w:val="18"/>
              </w:rPr>
            </w:pPr>
            <w:r>
              <w:rPr>
                <w:sz w:val="18"/>
              </w:rPr>
              <w:t>10.8</w:t>
            </w:r>
          </w:p>
        </w:tc>
        <w:tc>
          <w:tcPr>
            <w:tcW w:w="821" w:type="dxa"/>
          </w:tcPr>
          <w:p>
            <w:pPr>
              <w:pStyle w:val="TableParagraph"/>
              <w:spacing w:before="28"/>
              <w:ind w:left="11"/>
              <w:jc w:val="center"/>
              <w:rPr>
                <w:sz w:val="18"/>
              </w:rPr>
            </w:pPr>
            <w:r>
              <w:rPr>
                <w:sz w:val="18"/>
              </w:rPr>
              <w:t>-</w:t>
            </w:r>
          </w:p>
        </w:tc>
        <w:tc>
          <w:tcPr>
            <w:tcW w:w="859" w:type="dxa"/>
          </w:tcPr>
          <w:p>
            <w:pPr>
              <w:pStyle w:val="TableParagraph"/>
              <w:spacing w:before="28"/>
              <w:ind w:left="198" w:right="191"/>
              <w:jc w:val="center"/>
              <w:rPr>
                <w:sz w:val="18"/>
              </w:rPr>
            </w:pPr>
            <w:r>
              <w:rPr>
                <w:sz w:val="18"/>
              </w:rPr>
              <w:t>0.11</w:t>
            </w:r>
          </w:p>
        </w:tc>
        <w:tc>
          <w:tcPr>
            <w:tcW w:w="897" w:type="dxa"/>
          </w:tcPr>
          <w:p>
            <w:pPr>
              <w:pStyle w:val="TableParagraph"/>
              <w:spacing w:before="28"/>
              <w:ind w:left="7"/>
              <w:jc w:val="center"/>
              <w:rPr>
                <w:sz w:val="18"/>
              </w:rPr>
            </w:pPr>
            <w:r>
              <w:rPr>
                <w:sz w:val="18"/>
              </w:rPr>
              <w:t>-</w:t>
            </w:r>
          </w:p>
        </w:tc>
        <w:tc>
          <w:tcPr>
            <w:tcW w:w="1862" w:type="dxa"/>
          </w:tcPr>
          <w:p>
            <w:pPr>
              <w:pStyle w:val="TableParagraph"/>
              <w:spacing w:before="28"/>
              <w:ind w:left="108"/>
              <w:rPr>
                <w:sz w:val="18"/>
              </w:rPr>
            </w:pPr>
            <w:r>
              <w:rPr>
                <w:sz w:val="18"/>
              </w:rPr>
              <w:t>Ward </w:t>
            </w:r>
            <w:r>
              <w:rPr>
                <w:i/>
                <w:sz w:val="18"/>
              </w:rPr>
              <w:t>et al. </w:t>
            </w:r>
            <w:r>
              <w:rPr>
                <w:sz w:val="18"/>
              </w:rPr>
              <w:t>(1992)</w:t>
            </w:r>
          </w:p>
        </w:tc>
      </w:tr>
      <w:tr>
        <w:trPr>
          <w:trHeight w:val="275" w:hRule="atLeast"/>
        </w:trPr>
        <w:tc>
          <w:tcPr>
            <w:tcW w:w="1872" w:type="dxa"/>
          </w:tcPr>
          <w:p>
            <w:pPr>
              <w:pStyle w:val="TableParagraph"/>
              <w:spacing w:before="28"/>
              <w:ind w:left="107"/>
              <w:rPr>
                <w:sz w:val="18"/>
              </w:rPr>
            </w:pPr>
            <w:r>
              <w:rPr>
                <w:sz w:val="18"/>
              </w:rPr>
              <w:t>Forest fires</w:t>
            </w:r>
          </w:p>
        </w:tc>
        <w:tc>
          <w:tcPr>
            <w:tcW w:w="1147" w:type="dxa"/>
          </w:tcPr>
          <w:p>
            <w:pPr>
              <w:pStyle w:val="TableParagraph"/>
              <w:spacing w:before="28"/>
              <w:ind w:left="95" w:right="86"/>
              <w:jc w:val="center"/>
              <w:rPr>
                <w:sz w:val="18"/>
              </w:rPr>
            </w:pPr>
            <w:r>
              <w:rPr>
                <w:sz w:val="18"/>
              </w:rPr>
              <w:t>1 580</w:t>
            </w:r>
          </w:p>
        </w:tc>
        <w:tc>
          <w:tcPr>
            <w:tcW w:w="823" w:type="dxa"/>
          </w:tcPr>
          <w:p>
            <w:pPr>
              <w:pStyle w:val="TableParagraph"/>
              <w:spacing w:before="28"/>
              <w:ind w:left="124" w:right="118"/>
              <w:jc w:val="center"/>
              <w:rPr>
                <w:sz w:val="18"/>
              </w:rPr>
            </w:pPr>
            <w:r>
              <w:rPr>
                <w:sz w:val="18"/>
              </w:rPr>
              <w:t>130</w:t>
            </w:r>
          </w:p>
        </w:tc>
        <w:tc>
          <w:tcPr>
            <w:tcW w:w="732" w:type="dxa"/>
          </w:tcPr>
          <w:p>
            <w:pPr>
              <w:pStyle w:val="TableParagraph"/>
              <w:spacing w:before="28"/>
              <w:ind w:left="5"/>
              <w:jc w:val="center"/>
              <w:rPr>
                <w:sz w:val="18"/>
              </w:rPr>
            </w:pPr>
            <w:r>
              <w:rPr>
                <w:sz w:val="18"/>
              </w:rPr>
              <w:t>9</w:t>
            </w:r>
          </w:p>
        </w:tc>
        <w:tc>
          <w:tcPr>
            <w:tcW w:w="821" w:type="dxa"/>
          </w:tcPr>
          <w:p>
            <w:pPr>
              <w:pStyle w:val="TableParagraph"/>
              <w:spacing w:before="28"/>
              <w:ind w:left="135" w:right="124"/>
              <w:jc w:val="center"/>
              <w:rPr>
                <w:sz w:val="18"/>
              </w:rPr>
            </w:pPr>
            <w:r>
              <w:rPr>
                <w:sz w:val="18"/>
              </w:rPr>
              <w:t>0.7</w:t>
            </w:r>
          </w:p>
        </w:tc>
        <w:tc>
          <w:tcPr>
            <w:tcW w:w="859" w:type="dxa"/>
          </w:tcPr>
          <w:p>
            <w:pPr>
              <w:pStyle w:val="TableParagraph"/>
              <w:spacing w:before="28"/>
              <w:ind w:left="198" w:right="190"/>
              <w:jc w:val="center"/>
              <w:rPr>
                <w:sz w:val="18"/>
              </w:rPr>
            </w:pPr>
            <w:r>
              <w:rPr>
                <w:sz w:val="18"/>
              </w:rPr>
              <w:t>0.11</w:t>
            </w:r>
          </w:p>
        </w:tc>
        <w:tc>
          <w:tcPr>
            <w:tcW w:w="897" w:type="dxa"/>
          </w:tcPr>
          <w:p>
            <w:pPr>
              <w:pStyle w:val="TableParagraph"/>
              <w:spacing w:before="28"/>
              <w:ind w:left="91" w:right="81"/>
              <w:jc w:val="center"/>
              <w:rPr>
                <w:sz w:val="18"/>
              </w:rPr>
            </w:pPr>
            <w:r>
              <w:rPr>
                <w:sz w:val="18"/>
              </w:rPr>
              <w:t>10</w:t>
            </w:r>
          </w:p>
        </w:tc>
        <w:tc>
          <w:tcPr>
            <w:tcW w:w="1862" w:type="dxa"/>
          </w:tcPr>
          <w:p>
            <w:pPr>
              <w:pStyle w:val="TableParagraph"/>
              <w:spacing w:before="28"/>
              <w:ind w:left="108"/>
              <w:rPr>
                <w:sz w:val="18"/>
              </w:rPr>
            </w:pPr>
            <w:r>
              <w:rPr>
                <w:sz w:val="18"/>
              </w:rPr>
              <w:t>Delmas </w:t>
            </w:r>
            <w:r>
              <w:rPr>
                <w:i/>
                <w:sz w:val="18"/>
              </w:rPr>
              <w:t>et al. </w:t>
            </w:r>
            <w:r>
              <w:rPr>
                <w:sz w:val="18"/>
              </w:rPr>
              <w:t>(1995)</w:t>
            </w:r>
          </w:p>
        </w:tc>
      </w:tr>
      <w:tr>
        <w:trPr>
          <w:trHeight w:val="273" w:hRule="atLeast"/>
        </w:trPr>
        <w:tc>
          <w:tcPr>
            <w:tcW w:w="1872" w:type="dxa"/>
          </w:tcPr>
          <w:p>
            <w:pPr>
              <w:pStyle w:val="TableParagraph"/>
              <w:spacing w:before="14"/>
              <w:ind w:left="107"/>
              <w:rPr>
                <w:sz w:val="20"/>
              </w:rPr>
            </w:pPr>
            <w:r>
              <w:rPr>
                <w:sz w:val="20"/>
              </w:rPr>
              <w:t>Savanna fires</w:t>
            </w:r>
          </w:p>
        </w:tc>
        <w:tc>
          <w:tcPr>
            <w:tcW w:w="1147" w:type="dxa"/>
          </w:tcPr>
          <w:p>
            <w:pPr>
              <w:pStyle w:val="TableParagraph"/>
              <w:spacing w:before="28"/>
              <w:ind w:left="95" w:right="86"/>
              <w:jc w:val="center"/>
              <w:rPr>
                <w:sz w:val="18"/>
              </w:rPr>
            </w:pPr>
            <w:r>
              <w:rPr>
                <w:sz w:val="18"/>
              </w:rPr>
              <w:t>1 640</w:t>
            </w:r>
          </w:p>
        </w:tc>
        <w:tc>
          <w:tcPr>
            <w:tcW w:w="823" w:type="dxa"/>
          </w:tcPr>
          <w:p>
            <w:pPr>
              <w:pStyle w:val="TableParagraph"/>
              <w:spacing w:before="28"/>
              <w:ind w:left="124" w:right="118"/>
              <w:jc w:val="center"/>
              <w:rPr>
                <w:sz w:val="18"/>
              </w:rPr>
            </w:pPr>
            <w:r>
              <w:rPr>
                <w:sz w:val="18"/>
              </w:rPr>
              <w:t>65</w:t>
            </w:r>
          </w:p>
        </w:tc>
        <w:tc>
          <w:tcPr>
            <w:tcW w:w="732" w:type="dxa"/>
          </w:tcPr>
          <w:p>
            <w:pPr>
              <w:pStyle w:val="TableParagraph"/>
              <w:spacing w:before="28"/>
              <w:ind w:left="180" w:right="171"/>
              <w:jc w:val="center"/>
              <w:rPr>
                <w:sz w:val="18"/>
              </w:rPr>
            </w:pPr>
            <w:r>
              <w:rPr>
                <w:sz w:val="18"/>
              </w:rPr>
              <w:t>2.4</w:t>
            </w:r>
          </w:p>
        </w:tc>
        <w:tc>
          <w:tcPr>
            <w:tcW w:w="821" w:type="dxa"/>
          </w:tcPr>
          <w:p>
            <w:pPr>
              <w:pStyle w:val="TableParagraph"/>
              <w:spacing w:before="28"/>
              <w:ind w:left="135" w:right="123"/>
              <w:jc w:val="center"/>
              <w:rPr>
                <w:sz w:val="18"/>
              </w:rPr>
            </w:pPr>
            <w:r>
              <w:rPr>
                <w:sz w:val="18"/>
              </w:rPr>
              <w:t>3.1</w:t>
            </w:r>
          </w:p>
        </w:tc>
        <w:tc>
          <w:tcPr>
            <w:tcW w:w="859" w:type="dxa"/>
          </w:tcPr>
          <w:p>
            <w:pPr>
              <w:pStyle w:val="TableParagraph"/>
              <w:spacing w:before="28"/>
              <w:ind w:left="198" w:right="189"/>
              <w:jc w:val="center"/>
              <w:rPr>
                <w:sz w:val="18"/>
              </w:rPr>
            </w:pPr>
            <w:r>
              <w:rPr>
                <w:sz w:val="18"/>
              </w:rPr>
              <w:t>0.15</w:t>
            </w:r>
          </w:p>
        </w:tc>
        <w:tc>
          <w:tcPr>
            <w:tcW w:w="897" w:type="dxa"/>
          </w:tcPr>
          <w:p>
            <w:pPr>
              <w:pStyle w:val="TableParagraph"/>
              <w:spacing w:before="28"/>
              <w:ind w:left="90" w:right="81"/>
              <w:jc w:val="center"/>
              <w:rPr>
                <w:sz w:val="18"/>
              </w:rPr>
            </w:pPr>
            <w:r>
              <w:rPr>
                <w:sz w:val="18"/>
              </w:rPr>
              <w:t>3.1</w:t>
            </w:r>
          </w:p>
        </w:tc>
        <w:tc>
          <w:tcPr>
            <w:tcW w:w="1862" w:type="dxa"/>
          </w:tcPr>
          <w:p>
            <w:pPr>
              <w:pStyle w:val="TableParagraph"/>
              <w:spacing w:before="28"/>
              <w:ind w:left="109"/>
              <w:rPr>
                <w:sz w:val="18"/>
              </w:rPr>
            </w:pPr>
            <w:r>
              <w:rPr>
                <w:sz w:val="18"/>
              </w:rPr>
              <w:t>Delmas </w:t>
            </w:r>
            <w:r>
              <w:rPr>
                <w:i/>
                <w:sz w:val="18"/>
              </w:rPr>
              <w:t>et al. </w:t>
            </w:r>
            <w:r>
              <w:rPr>
                <w:sz w:val="18"/>
              </w:rPr>
              <w:t>(1995)</w:t>
            </w:r>
          </w:p>
        </w:tc>
      </w:tr>
      <w:tr>
        <w:trPr>
          <w:trHeight w:val="669" w:hRule="atLeast"/>
        </w:trPr>
        <w:tc>
          <w:tcPr>
            <w:tcW w:w="9013" w:type="dxa"/>
            <w:gridSpan w:val="8"/>
          </w:tcPr>
          <w:p>
            <w:pPr>
              <w:pStyle w:val="TableParagraph"/>
              <w:spacing w:line="191" w:lineRule="exact" w:before="38"/>
              <w:ind w:left="107"/>
              <w:rPr>
                <w:sz w:val="16"/>
              </w:rPr>
            </w:pPr>
            <w:r>
              <w:rPr>
                <w:position w:val="7"/>
                <w:sz w:val="10"/>
              </w:rPr>
              <w:t>l </w:t>
            </w:r>
            <w:r>
              <w:rPr>
                <w:sz w:val="16"/>
              </w:rPr>
              <w:t>Assuming 41-45% C content, 85-100% combustion completeness.</w:t>
            </w:r>
          </w:p>
          <w:p>
            <w:pPr>
              <w:pStyle w:val="TableParagraph"/>
              <w:spacing w:line="191" w:lineRule="exact"/>
              <w:ind w:left="107"/>
              <w:rPr>
                <w:sz w:val="16"/>
              </w:rPr>
            </w:pPr>
            <w:r>
              <w:rPr>
                <w:position w:val="7"/>
                <w:sz w:val="10"/>
              </w:rPr>
              <w:t>2 </w:t>
            </w:r>
            <w:r>
              <w:rPr>
                <w:sz w:val="16"/>
              </w:rPr>
              <w:t>NMHC non methane hydrocarbons.</w:t>
            </w:r>
          </w:p>
          <w:p>
            <w:pPr>
              <w:pStyle w:val="TableParagraph"/>
              <w:spacing w:line="183" w:lineRule="exact"/>
              <w:ind w:left="107"/>
              <w:rPr>
                <w:sz w:val="16"/>
              </w:rPr>
            </w:pPr>
            <w:r>
              <w:rPr>
                <w:sz w:val="16"/>
              </w:rPr>
              <w:t>* Calculated from data of Crutzen and Andreae (1990) assuming an N/C ratio of 0.01, except for savanna fires.</w:t>
            </w:r>
          </w:p>
        </w:tc>
      </w:tr>
    </w:tbl>
    <w:p>
      <w:pPr>
        <w:spacing w:after="0" w:line="183" w:lineRule="exact"/>
        <w:rPr>
          <w:sz w:val="16"/>
        </w:rPr>
        <w:sectPr>
          <w:pgSz w:w="11900" w:h="16840"/>
          <w:pgMar w:header="230" w:footer="408" w:top="560" w:bottom="600" w:left="1200" w:right="1140"/>
        </w:sectPr>
      </w:pPr>
    </w:p>
    <w:p>
      <w:pPr>
        <w:pStyle w:val="BodyText"/>
        <w:spacing w:before="4"/>
        <w:rPr>
          <w:sz w:val="17"/>
        </w:rPr>
      </w:pPr>
    </w:p>
    <w:p>
      <w:pPr>
        <w:spacing w:after="0"/>
        <w:rPr>
          <w:sz w:val="17"/>
        </w:rPr>
        <w:sectPr>
          <w:headerReference w:type="default" r:id="rId205"/>
          <w:footerReference w:type="default" r:id="rId206"/>
          <w:pgSz w:w="11900" w:h="16840"/>
          <w:pgMar w:header="0" w:footer="0" w:top="1600" w:bottom="280" w:left="1200" w:right="1140"/>
        </w:sectPr>
      </w:pPr>
    </w:p>
    <w:p>
      <w:pPr>
        <w:pStyle w:val="BodyText"/>
        <w:spacing w:before="61"/>
        <w:ind w:right="266"/>
        <w:jc w:val="right"/>
      </w:pPr>
      <w:r>
        <w:rPr/>
        <w:pict>
          <v:line style="position:absolute;mso-position-horizontal-relative:page;mso-position-vertical-relative:paragraph;z-index:11528;mso-wrap-distance-left:0;mso-wrap-distance-right:0" from="70.960999pt,20.306219pt" to="524.440999pt,20.306219pt" stroked="true" strokeweight=".75pt" strokecolor="#010101">
            <v:stroke dashstyle="solid"/>
            <w10:wrap type="topAndBottom"/>
          </v:line>
        </w:pict>
      </w:r>
      <w:r>
        <w:rPr/>
        <w:t>Reporting Tables and Worksheets</w:t>
      </w:r>
    </w:p>
    <w:p>
      <w:pPr>
        <w:pStyle w:val="BodyText"/>
      </w:pPr>
    </w:p>
    <w:p>
      <w:pPr>
        <w:pStyle w:val="BodyText"/>
      </w:pPr>
    </w:p>
    <w:p>
      <w:pPr>
        <w:pStyle w:val="Heading2"/>
        <w:tabs>
          <w:tab w:pos="2028" w:val="left" w:leader="none"/>
        </w:tabs>
        <w:spacing w:before="255"/>
        <w:ind w:left="219" w:firstLine="0"/>
      </w:pPr>
      <w:r>
        <w:rPr/>
        <w:t>Annex</w:t>
      </w:r>
      <w:r>
        <w:rPr>
          <w:spacing w:val="-3"/>
        </w:rPr>
        <w:t> </w:t>
      </w:r>
      <w:r>
        <w:rPr/>
        <w:t>3A.2</w:t>
        <w:tab/>
        <w:t>Reporting Tables and</w:t>
      </w:r>
      <w:r>
        <w:rPr>
          <w:spacing w:val="-2"/>
        </w:rPr>
        <w:t> </w:t>
      </w:r>
      <w:r>
        <w:rPr/>
        <w:t>Worksheets</w:t>
      </w:r>
    </w:p>
    <w:p>
      <w:pPr>
        <w:pStyle w:val="BodyText"/>
        <w:spacing w:before="176"/>
        <w:ind w:left="219" w:right="264"/>
        <w:jc w:val="both"/>
      </w:pPr>
      <w:r>
        <w:rPr/>
        <w:t>All users should report their inventory information in the format prescribed by the Reporting Tables. Users are, of course, required to fill in only those cells in the tables that relate to the gases and source/sink categories they have estimated and included in their inventory.</w:t>
      </w:r>
    </w:p>
    <w:p>
      <w:pPr>
        <w:pStyle w:val="BodyText"/>
        <w:spacing w:before="119"/>
        <w:ind w:left="219" w:right="264"/>
        <w:jc w:val="both"/>
      </w:pPr>
      <w:r>
        <w:rPr/>
        <w:t>Equations to estimate emissions and removals of CO</w:t>
      </w:r>
      <w:r>
        <w:rPr>
          <w:vertAlign w:val="subscript"/>
        </w:rPr>
        <w:t>2</w:t>
      </w:r>
      <w:r>
        <w:rPr>
          <w:vertAlign w:val="baseline"/>
        </w:rPr>
        <w:t> and non-CO</w:t>
      </w:r>
      <w:r>
        <w:rPr>
          <w:vertAlign w:val="subscript"/>
        </w:rPr>
        <w:t>2</w:t>
      </w:r>
      <w:r>
        <w:rPr>
          <w:vertAlign w:val="baseline"/>
        </w:rPr>
        <w:t> greenhouse gases, from different land-use categories in Chapter 3 (LUCF Sector Good Practice Guidance), are translated into different Worksheets. Resulting estimates of emissions and removals in the Worksheets are compiled into the Compilation Worksheets and finally to the Reporting Tables. The Reporting Tables were designed, using the same format as in the </w:t>
      </w:r>
      <w:r>
        <w:rPr>
          <w:i/>
          <w:vertAlign w:val="baseline"/>
        </w:rPr>
        <w:t>IPCC Guidelines </w:t>
      </w:r>
      <w:r>
        <w:rPr>
          <w:vertAlign w:val="baseline"/>
        </w:rPr>
        <w:t>wherever possible.</w:t>
      </w:r>
    </w:p>
    <w:p>
      <w:pPr>
        <w:pStyle w:val="BodyText"/>
        <w:spacing w:before="120"/>
        <w:ind w:left="219" w:right="264"/>
        <w:jc w:val="both"/>
      </w:pPr>
      <w:r>
        <w:rPr/>
        <w:pict>
          <v:shape style="position:absolute;margin-left:91.960999pt;margin-top:116.377197pt;width:411.5pt;height:167.4pt;mso-position-horizontal-relative:page;mso-position-vertical-relative:paragraph;z-index:11552;mso-wrap-distance-left:0;mso-wrap-distance-right:0" type="#_x0000_t202" filled="false" stroked="true" strokeweight="1.44pt" strokecolor="#000000">
            <v:textbox inset="0,0,0,0">
              <w:txbxContent>
                <w:p>
                  <w:pPr>
                    <w:spacing w:before="100"/>
                    <w:ind w:left="1019" w:right="0" w:firstLine="0"/>
                    <w:jc w:val="left"/>
                    <w:rPr>
                      <w:b/>
                      <w:sz w:val="18"/>
                    </w:rPr>
                  </w:pPr>
                  <w:r>
                    <w:rPr>
                      <w:b/>
                      <w:sz w:val="18"/>
                    </w:rPr>
                    <w:t>B</w:t>
                  </w:r>
                  <w:r>
                    <w:rPr>
                      <w:b/>
                      <w:sz w:val="14"/>
                    </w:rPr>
                    <w:t>OX </w:t>
                  </w:r>
                  <w:r>
                    <w:rPr>
                      <w:b/>
                      <w:sz w:val="18"/>
                    </w:rPr>
                    <w:t>3A.2.1 S</w:t>
                  </w:r>
                  <w:r>
                    <w:rPr>
                      <w:b/>
                      <w:sz w:val="14"/>
                    </w:rPr>
                    <w:t>TRUCTURE OF THE WORKSHEETS </w:t>
                  </w:r>
                  <w:r>
                    <w:rPr>
                      <w:b/>
                      <w:sz w:val="18"/>
                    </w:rPr>
                    <w:t>(E</w:t>
                  </w:r>
                  <w:r>
                    <w:rPr>
                      <w:b/>
                      <w:sz w:val="14"/>
                    </w:rPr>
                    <w:t>XAMPLE GIVEN FOR </w:t>
                  </w:r>
                  <w:r>
                    <w:rPr>
                      <w:b/>
                      <w:sz w:val="18"/>
                    </w:rPr>
                    <w:t>F</w:t>
                  </w:r>
                  <w:r>
                    <w:rPr>
                      <w:b/>
                      <w:sz w:val="14"/>
                    </w:rPr>
                    <w:t>OREST </w:t>
                  </w:r>
                  <w:r>
                    <w:rPr>
                      <w:b/>
                      <w:sz w:val="18"/>
                    </w:rPr>
                    <w:t>L</w:t>
                  </w:r>
                  <w:r>
                    <w:rPr>
                      <w:b/>
                      <w:sz w:val="14"/>
                    </w:rPr>
                    <w:t>AND</w:t>
                  </w:r>
                  <w:r>
                    <w:rPr>
                      <w:b/>
                      <w:sz w:val="18"/>
                    </w:rPr>
                    <w:t>)</w:t>
                  </w:r>
                </w:p>
                <w:p>
                  <w:pPr>
                    <w:spacing w:before="116"/>
                    <w:ind w:left="127" w:right="0" w:firstLine="0"/>
                    <w:jc w:val="left"/>
                    <w:rPr>
                      <w:sz w:val="20"/>
                    </w:rPr>
                  </w:pPr>
                  <w:r>
                    <w:rPr>
                      <w:b/>
                      <w:sz w:val="20"/>
                    </w:rPr>
                    <w:t>Module</w:t>
                  </w:r>
                  <w:r>
                    <w:rPr>
                      <w:sz w:val="20"/>
                    </w:rPr>
                    <w:t>: Forest Land</w:t>
                  </w:r>
                </w:p>
                <w:p>
                  <w:pPr>
                    <w:spacing w:before="118"/>
                    <w:ind w:left="127" w:right="0" w:firstLine="0"/>
                    <w:jc w:val="left"/>
                    <w:rPr>
                      <w:sz w:val="20"/>
                    </w:rPr>
                  </w:pPr>
                  <w:r>
                    <w:rPr>
                      <w:b/>
                      <w:sz w:val="20"/>
                    </w:rPr>
                    <w:t>Sub-module</w:t>
                  </w:r>
                  <w:r>
                    <w:rPr>
                      <w:sz w:val="20"/>
                    </w:rPr>
                    <w:t>: Forest Land Remaining Forest Land</w:t>
                  </w:r>
                </w:p>
                <w:p>
                  <w:pPr>
                    <w:spacing w:before="120"/>
                    <w:ind w:left="127" w:right="0" w:firstLine="0"/>
                    <w:jc w:val="left"/>
                    <w:rPr>
                      <w:sz w:val="20"/>
                    </w:rPr>
                  </w:pPr>
                  <w:r>
                    <w:rPr>
                      <w:b/>
                      <w:sz w:val="20"/>
                    </w:rPr>
                    <w:t>Worksheets</w:t>
                  </w:r>
                  <w:r>
                    <w:rPr>
                      <w:sz w:val="20"/>
                    </w:rPr>
                    <w:t>:</w:t>
                  </w:r>
                </w:p>
                <w:p>
                  <w:pPr>
                    <w:pStyle w:val="BodyText"/>
                    <w:numPr>
                      <w:ilvl w:val="0"/>
                      <w:numId w:val="97"/>
                    </w:numPr>
                    <w:tabs>
                      <w:tab w:pos="375" w:val="left" w:leader="none"/>
                    </w:tabs>
                    <w:spacing w:line="240" w:lineRule="auto" w:before="120" w:after="0"/>
                    <w:ind w:left="470" w:right="126" w:hanging="343"/>
                    <w:jc w:val="left"/>
                  </w:pPr>
                  <w:r>
                    <w:rPr/>
                    <w:t>FL-1a (FL for Forest Land; 1 for Forest Land Remaining Forest Land; 2 will mean Land Converted to Forest Land; and “a” for</w:t>
                  </w:r>
                  <w:r>
                    <w:rPr>
                      <w:spacing w:val="2"/>
                    </w:rPr>
                    <w:t> </w:t>
                  </w:r>
                  <w:r>
                    <w:rPr/>
                    <w:t>biomass)</w:t>
                  </w:r>
                </w:p>
                <w:p>
                  <w:pPr>
                    <w:pStyle w:val="BodyText"/>
                    <w:numPr>
                      <w:ilvl w:val="0"/>
                      <w:numId w:val="97"/>
                    </w:numPr>
                    <w:tabs>
                      <w:tab w:pos="344" w:val="left" w:leader="none"/>
                    </w:tabs>
                    <w:spacing w:line="240" w:lineRule="auto" w:before="119" w:after="0"/>
                    <w:ind w:left="343" w:right="0" w:hanging="216"/>
                    <w:jc w:val="left"/>
                  </w:pPr>
                  <w:r>
                    <w:rPr/>
                    <w:t>FL-1b (“b” for dead organic matter</w:t>
                  </w:r>
                  <w:r>
                    <w:rPr>
                      <w:spacing w:val="6"/>
                    </w:rPr>
                    <w:t> </w:t>
                  </w:r>
                  <w:r>
                    <w:rPr/>
                    <w:t>(DOM))</w:t>
                  </w:r>
                </w:p>
                <w:p>
                  <w:pPr>
                    <w:pStyle w:val="BodyText"/>
                    <w:numPr>
                      <w:ilvl w:val="0"/>
                      <w:numId w:val="97"/>
                    </w:numPr>
                    <w:tabs>
                      <w:tab w:pos="358" w:val="left" w:leader="none"/>
                    </w:tabs>
                    <w:spacing w:line="240" w:lineRule="auto" w:before="120" w:after="0"/>
                    <w:ind w:left="470" w:right="124" w:hanging="343"/>
                    <w:jc w:val="left"/>
                  </w:pPr>
                  <w:r>
                    <w:rPr/>
                    <w:t>FL-1c1 (“c” for soils (SOM) which is further subdivided into c1 for mineral soil, c2 for organic soil,</w:t>
                  </w:r>
                  <w:r>
                    <w:rPr>
                      <w:spacing w:val="-1"/>
                    </w:rPr>
                    <w:t> </w:t>
                  </w:r>
                  <w:r>
                    <w:rPr/>
                    <w:t>etc)</w:t>
                  </w:r>
                </w:p>
                <w:p>
                  <w:pPr>
                    <w:pStyle w:val="BodyText"/>
                    <w:numPr>
                      <w:ilvl w:val="0"/>
                      <w:numId w:val="97"/>
                    </w:numPr>
                    <w:tabs>
                      <w:tab w:pos="293" w:val="left" w:leader="none"/>
                    </w:tabs>
                    <w:spacing w:line="240" w:lineRule="auto" w:before="124" w:after="0"/>
                    <w:ind w:left="292" w:right="0" w:hanging="165"/>
                    <w:jc w:val="left"/>
                  </w:pPr>
                  <w:r>
                    <w:rPr/>
                    <w:t>FL-1d (”d” for non-CO</w:t>
                  </w:r>
                  <w:r>
                    <w:rPr>
                      <w:vertAlign w:val="subscript"/>
                    </w:rPr>
                    <w:t>2</w:t>
                  </w:r>
                  <w:r>
                    <w:rPr>
                      <w:vertAlign w:val="baseline"/>
                    </w:rPr>
                    <w:t> greenhouse</w:t>
                  </w:r>
                  <w:r>
                    <w:rPr>
                      <w:spacing w:val="6"/>
                      <w:vertAlign w:val="baseline"/>
                    </w:rPr>
                    <w:t> </w:t>
                  </w:r>
                  <w:r>
                    <w:rPr>
                      <w:vertAlign w:val="baseline"/>
                    </w:rPr>
                    <w:t>gases)</w:t>
                  </w:r>
                </w:p>
              </w:txbxContent>
            </v:textbox>
            <v:stroke dashstyle="solid"/>
            <w10:wrap type="topAndBottom"/>
          </v:shape>
        </w:pict>
      </w:r>
      <w:r>
        <w:rPr/>
        <w:t>Worksheets are presented in modules, and each module corresponds to specific land-use category (see Box 3A.2.1). A module is divided into two sub-modules to distinguish between those lands that remain in the same land-use category and those lands converted to other land-use categories. Each sub-module consists of worksheets which are mainly grouped into four: living biomass worksheets; dead organic matter worksheets; soils worksheets (which are further sub-grouped into mineral soils and organic soils); and non-CO</w:t>
      </w:r>
      <w:r>
        <w:rPr>
          <w:vertAlign w:val="subscript"/>
        </w:rPr>
        <w:t>2</w:t>
      </w:r>
      <w:r>
        <w:rPr>
          <w:vertAlign w:val="baseline"/>
        </w:rPr>
        <w:t> greenhouse gas emissions worksheets. The worksheets are largely based on Tier 1 methods, but they are supplemented with higher tier methods where appropriate. Symbols of the variables or parameters used in the equations in the main text are included in the Worksheets to facilitate their use. Note that the Worksheets also cover sources and land- use categories for which reporting is optional.</w:t>
      </w:r>
    </w:p>
    <w:p>
      <w:pPr>
        <w:pStyle w:val="BodyText"/>
        <w:spacing w:before="83"/>
        <w:ind w:left="219" w:right="266"/>
        <w:jc w:val="both"/>
      </w:pPr>
      <w:r>
        <w:rPr/>
        <w:t>Two sets of Compilation Worksheets are provided to compile separately the CO</w:t>
      </w:r>
      <w:r>
        <w:rPr>
          <w:vertAlign w:val="subscript"/>
        </w:rPr>
        <w:t>2</w:t>
      </w:r>
      <w:r>
        <w:rPr>
          <w:vertAlign w:val="baseline"/>
        </w:rPr>
        <w:t> emissions and removals and  the non-CO</w:t>
      </w:r>
      <w:r>
        <w:rPr>
          <w:vertAlign w:val="subscript"/>
        </w:rPr>
        <w:t>2</w:t>
      </w:r>
      <w:r>
        <w:rPr>
          <w:vertAlign w:val="baseline"/>
        </w:rPr>
        <w:t> greenhouse gas emissions. The tables are designed to compile emissions and removals by land-use category and by carbon pool (i.e. living biomass, dead organic matter, and soils). In case of non-CO</w:t>
      </w:r>
      <w:r>
        <w:rPr>
          <w:vertAlign w:val="subscript"/>
        </w:rPr>
        <w:t>2</w:t>
      </w:r>
      <w:r>
        <w:rPr>
          <w:vertAlign w:val="baseline"/>
        </w:rPr>
        <w:t> gas emissions, carbon pools are grouped into biomass and</w:t>
      </w:r>
      <w:r>
        <w:rPr>
          <w:spacing w:val="-2"/>
          <w:vertAlign w:val="baseline"/>
        </w:rPr>
        <w:t> </w:t>
      </w:r>
      <w:r>
        <w:rPr>
          <w:vertAlign w:val="baseline"/>
        </w:rPr>
        <w:t>soils.</w:t>
      </w:r>
    </w:p>
    <w:p>
      <w:pPr>
        <w:pStyle w:val="BodyText"/>
        <w:spacing w:before="120"/>
        <w:ind w:left="219" w:right="266"/>
        <w:jc w:val="both"/>
      </w:pPr>
      <w:r>
        <w:rPr/>
        <w:t>The Reporting Tables come in two types. The first type of table is used for reporting emissions and removals of CO</w:t>
      </w:r>
      <w:r>
        <w:rPr>
          <w:vertAlign w:val="subscript"/>
        </w:rPr>
        <w:t>2</w:t>
      </w:r>
      <w:r>
        <w:rPr>
          <w:vertAlign w:val="baseline"/>
        </w:rPr>
        <w:t> and non-CO</w:t>
      </w:r>
      <w:r>
        <w:rPr>
          <w:vertAlign w:val="subscript"/>
        </w:rPr>
        <w:t>2</w:t>
      </w:r>
      <w:r>
        <w:rPr>
          <w:vertAlign w:val="baseline"/>
        </w:rPr>
        <w:t> greenhouse gases from all land-use categories, including emissions and removals from land converted to any other land-use category. The second type of table is a subset of this, and designed to report, using the information from first table, emissions and removals of CO</w:t>
      </w:r>
      <w:r>
        <w:rPr>
          <w:vertAlign w:val="subscript"/>
        </w:rPr>
        <w:t>2</w:t>
      </w:r>
      <w:r>
        <w:rPr>
          <w:vertAlign w:val="baseline"/>
        </w:rPr>
        <w:t> and non-CO</w:t>
      </w:r>
      <w:r>
        <w:rPr>
          <w:vertAlign w:val="subscript"/>
        </w:rPr>
        <w:t>2</w:t>
      </w:r>
      <w:r>
        <w:rPr>
          <w:vertAlign w:val="baseline"/>
        </w:rPr>
        <w:t> greenhouse gases due to conversion of Forest Land and Grassland to any other land-use categories.</w:t>
      </w:r>
    </w:p>
    <w:p>
      <w:pPr>
        <w:pStyle w:val="BodyText"/>
        <w:spacing w:before="117"/>
        <w:ind w:left="219" w:right="266"/>
        <w:jc w:val="both"/>
      </w:pPr>
      <w:r>
        <w:rPr/>
        <w:t>When compiling emissions and sinks estimates from land use, land-use change and forestry with other elements of national greenhouse gas inventories, signs (+/-) must be used consistently. In Reporting Tables, emissions (decrease in the carbon stock, non-CO</w:t>
      </w:r>
      <w:r>
        <w:rPr>
          <w:vertAlign w:val="subscript"/>
        </w:rPr>
        <w:t>2</w:t>
      </w:r>
      <w:r>
        <w:rPr>
          <w:vertAlign w:val="baseline"/>
        </w:rPr>
        <w:t> greenhouse gas emissions) are always positive (+) and removals (increase in the carbon stock) are negative (-). For calculating initial estimates, the convention used in Chapter 5 of the </w:t>
      </w:r>
      <w:r>
        <w:rPr>
          <w:i/>
          <w:vertAlign w:val="baseline"/>
        </w:rPr>
        <w:t>IPCC Guidelines </w:t>
      </w:r>
      <w:r>
        <w:rPr>
          <w:vertAlign w:val="baseline"/>
        </w:rPr>
        <w:t>in which net increases of carbon stocks are positive (+) and net decreases are negative (-) is used also here. As in the </w:t>
      </w:r>
      <w:r>
        <w:rPr>
          <w:i/>
          <w:vertAlign w:val="baseline"/>
        </w:rPr>
        <w:t>IPCC Guidelines</w:t>
      </w:r>
      <w:r>
        <w:rPr>
          <w:vertAlign w:val="baseline"/>
        </w:rPr>
        <w:t>, the signs of these values need to be converted in the final reporting tables in order to maintain consistency with other sections of national inventory</w:t>
      </w:r>
      <w:r>
        <w:rPr>
          <w:spacing w:val="-10"/>
          <w:vertAlign w:val="baseline"/>
        </w:rPr>
        <w:t> </w:t>
      </w:r>
      <w:r>
        <w:rPr>
          <w:vertAlign w:val="baseline"/>
        </w:rPr>
        <w:t>reports.</w:t>
      </w:r>
    </w:p>
    <w:p>
      <w:pPr>
        <w:pStyle w:val="BodyText"/>
        <w:spacing w:before="120"/>
        <w:ind w:left="219" w:right="265"/>
        <w:jc w:val="both"/>
      </w:pPr>
      <w:r>
        <w:rPr>
          <w:b/>
        </w:rPr>
        <w:t>Units </w:t>
      </w:r>
      <w:r>
        <w:rPr/>
        <w:t>- CO</w:t>
      </w:r>
      <w:r>
        <w:rPr>
          <w:vertAlign w:val="subscript"/>
        </w:rPr>
        <w:t>2</w:t>
      </w:r>
      <w:r>
        <w:rPr>
          <w:vertAlign w:val="baseline"/>
        </w:rPr>
        <w:t> emissions/removals and emissions of non-CO</w:t>
      </w:r>
      <w:r>
        <w:rPr>
          <w:vertAlign w:val="subscript"/>
        </w:rPr>
        <w:t>2</w:t>
      </w:r>
      <w:r>
        <w:rPr>
          <w:vertAlign w:val="baseline"/>
        </w:rPr>
        <w:t> greenhouse gases are reported in gigagrams (Gg) in the Reporting Tables. To convert tonnes C to Gg CO</w:t>
      </w:r>
      <w:r>
        <w:rPr>
          <w:vertAlign w:val="subscript"/>
        </w:rPr>
        <w:t>2</w:t>
      </w:r>
      <w:r>
        <w:rPr>
          <w:vertAlign w:val="baseline"/>
        </w:rPr>
        <w:t>, multiply the value by 44/12 and then by 10</w:t>
      </w:r>
      <w:r>
        <w:rPr>
          <w:vertAlign w:val="superscript"/>
        </w:rPr>
        <w:t>-3</w:t>
      </w:r>
      <w:r>
        <w:rPr>
          <w:vertAlign w:val="baseline"/>
        </w:rPr>
        <w:t>. To convert kg N</w:t>
      </w:r>
      <w:r>
        <w:rPr>
          <w:vertAlign w:val="subscript"/>
        </w:rPr>
        <w:t>2</w:t>
      </w:r>
      <w:r>
        <w:rPr>
          <w:vertAlign w:val="baseline"/>
        </w:rPr>
        <w:t>O-N to Gg N</w:t>
      </w:r>
      <w:r>
        <w:rPr>
          <w:vertAlign w:val="subscript"/>
        </w:rPr>
        <w:t>2</w:t>
      </w:r>
      <w:r>
        <w:rPr>
          <w:vertAlign w:val="baseline"/>
        </w:rPr>
        <w:t>O, multiply the value by 44/28 and then by 10</w:t>
      </w:r>
      <w:r>
        <w:rPr>
          <w:vertAlign w:val="superscript"/>
        </w:rPr>
        <w:t>-6</w:t>
      </w:r>
      <w:r>
        <w:rPr>
          <w:vertAlign w:val="baseline"/>
        </w:rPr>
        <w:t>.</w:t>
      </w:r>
    </w:p>
    <w:p>
      <w:pPr>
        <w:pStyle w:val="BodyText"/>
        <w:spacing w:before="119"/>
        <w:ind w:left="219" w:right="268" w:hanging="1"/>
        <w:jc w:val="both"/>
      </w:pPr>
      <w:r>
        <w:rPr>
          <w:b/>
        </w:rPr>
        <w:t>Convention </w:t>
      </w:r>
      <w:r>
        <w:rPr/>
        <w:t>- For the purpose of reporting, which is consistent with the </w:t>
      </w:r>
      <w:r>
        <w:rPr>
          <w:i/>
        </w:rPr>
        <w:t>IPCC Guidelines</w:t>
      </w:r>
      <w:r>
        <w:rPr/>
        <w:t>, the signs are always (+) for emissions and (-) for removals (uptake).</w:t>
      </w:r>
    </w:p>
    <w:p>
      <w:pPr>
        <w:spacing w:after="0"/>
        <w:jc w:val="both"/>
        <w:sectPr>
          <w:headerReference w:type="default" r:id="rId207"/>
          <w:footerReference w:type="default" r:id="rId208"/>
          <w:pgSz w:w="11900" w:h="16840"/>
          <w:pgMar w:header="0" w:footer="408" w:top="160" w:bottom="600" w:left="1200" w:right="1140"/>
          <w:pgNumType w:start="187"/>
        </w:sectPr>
      </w:pPr>
    </w:p>
    <w:p>
      <w:pPr>
        <w:pStyle w:val="BodyText"/>
        <w:spacing w:before="4"/>
        <w:rPr>
          <w:sz w:val="17"/>
        </w:rPr>
      </w:pPr>
    </w:p>
    <w:p>
      <w:pPr>
        <w:spacing w:after="0"/>
        <w:rPr>
          <w:sz w:val="17"/>
        </w:rPr>
        <w:sectPr>
          <w:headerReference w:type="default" r:id="rId209"/>
          <w:footerReference w:type="default" r:id="rId210"/>
          <w:pgSz w:w="11900" w:h="16840"/>
          <w:pgMar w:header="0" w:footer="0" w:top="1600" w:bottom="280" w:left="1200" w:right="1140"/>
        </w:sectPr>
      </w:pPr>
    </w:p>
    <w:p>
      <w:pPr>
        <w:pStyle w:val="BodyText"/>
        <w:spacing w:before="2"/>
        <w:rPr>
          <w:sz w:val="15"/>
        </w:rPr>
      </w:pPr>
    </w:p>
    <w:tbl>
      <w:tblPr>
        <w:tblW w:w="0" w:type="auto"/>
        <w:jc w:val="left"/>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
        <w:gridCol w:w="893"/>
        <w:gridCol w:w="1222"/>
        <w:gridCol w:w="108"/>
        <w:gridCol w:w="1071"/>
        <w:gridCol w:w="1414"/>
        <w:gridCol w:w="1536"/>
        <w:gridCol w:w="1358"/>
        <w:gridCol w:w="1629"/>
        <w:gridCol w:w="1087"/>
        <w:gridCol w:w="1265"/>
        <w:gridCol w:w="1267"/>
        <w:gridCol w:w="1449"/>
      </w:tblGrid>
      <w:tr>
        <w:trPr>
          <w:trHeight w:val="680" w:hRule="atLeast"/>
        </w:trPr>
        <w:tc>
          <w:tcPr>
            <w:tcW w:w="14407" w:type="dxa"/>
            <w:gridSpan w:val="13"/>
            <w:tcBorders>
              <w:bottom w:val="double" w:sz="1" w:space="0" w:color="000000"/>
            </w:tcBorders>
          </w:tcPr>
          <w:p>
            <w:pPr>
              <w:pStyle w:val="TableParagraph"/>
              <w:spacing w:before="88"/>
              <w:ind w:left="2622" w:right="2611"/>
              <w:jc w:val="center"/>
              <w:rPr>
                <w:b/>
                <w:sz w:val="18"/>
              </w:rPr>
            </w:pPr>
            <w:r>
              <w:rPr>
                <w:b/>
                <w:sz w:val="18"/>
              </w:rPr>
              <w:t>T</w:t>
            </w:r>
            <w:r>
              <w:rPr>
                <w:b/>
                <w:sz w:val="14"/>
              </w:rPr>
              <w:t>ABLE </w:t>
            </w:r>
            <w:r>
              <w:rPr>
                <w:b/>
                <w:sz w:val="18"/>
              </w:rPr>
              <w:t>3A.2.1A</w:t>
            </w:r>
          </w:p>
          <w:p>
            <w:pPr>
              <w:pStyle w:val="TableParagraph"/>
              <w:spacing w:before="120"/>
              <w:ind w:left="2622" w:right="2615"/>
              <w:jc w:val="center"/>
              <w:rPr>
                <w:b/>
                <w:sz w:val="14"/>
              </w:rPr>
            </w:pPr>
            <w:r>
              <w:rPr>
                <w:b/>
                <w:sz w:val="18"/>
              </w:rPr>
              <w:t>R</w:t>
            </w:r>
            <w:r>
              <w:rPr>
                <w:b/>
                <w:sz w:val="14"/>
              </w:rPr>
              <w:t>EPORTING </w:t>
            </w:r>
            <w:r>
              <w:rPr>
                <w:b/>
                <w:sz w:val="18"/>
              </w:rPr>
              <w:t>T</w:t>
            </w:r>
            <w:r>
              <w:rPr>
                <w:b/>
                <w:sz w:val="14"/>
              </w:rPr>
              <w:t>ABLE FOR </w:t>
            </w:r>
            <w:r>
              <w:rPr>
                <w:b/>
                <w:sz w:val="18"/>
              </w:rPr>
              <w:t>E</w:t>
            </w:r>
            <w:r>
              <w:rPr>
                <w:b/>
                <w:sz w:val="14"/>
              </w:rPr>
              <w:t>MISSIONS AND </w:t>
            </w:r>
            <w:r>
              <w:rPr>
                <w:b/>
                <w:sz w:val="18"/>
              </w:rPr>
              <w:t>R</w:t>
            </w:r>
            <w:r>
              <w:rPr>
                <w:b/>
                <w:sz w:val="14"/>
              </w:rPr>
              <w:t>EMOVALS OF </w:t>
            </w:r>
            <w:r>
              <w:rPr>
                <w:b/>
                <w:sz w:val="18"/>
              </w:rPr>
              <w:t>CO</w:t>
            </w:r>
            <w:r>
              <w:rPr>
                <w:b/>
                <w:position w:val="-2"/>
                <w:sz w:val="12"/>
              </w:rPr>
              <w:t>2 </w:t>
            </w:r>
            <w:r>
              <w:rPr>
                <w:b/>
                <w:sz w:val="14"/>
              </w:rPr>
              <w:t>AND NON</w:t>
            </w:r>
            <w:r>
              <w:rPr>
                <w:b/>
                <w:sz w:val="18"/>
              </w:rPr>
              <w:t>-CO</w:t>
            </w:r>
            <w:r>
              <w:rPr>
                <w:b/>
                <w:position w:val="-2"/>
                <w:sz w:val="12"/>
              </w:rPr>
              <w:t>2 </w:t>
            </w:r>
            <w:r>
              <w:rPr>
                <w:b/>
                <w:sz w:val="18"/>
              </w:rPr>
              <w:t>G</w:t>
            </w:r>
            <w:r>
              <w:rPr>
                <w:b/>
                <w:sz w:val="14"/>
              </w:rPr>
              <w:t>ASES FROM </w:t>
            </w:r>
            <w:r>
              <w:rPr>
                <w:b/>
                <w:sz w:val="18"/>
              </w:rPr>
              <w:t>LULUCF </w:t>
            </w:r>
            <w:r>
              <w:rPr>
                <w:b/>
                <w:sz w:val="14"/>
              </w:rPr>
              <w:t>IN THE </w:t>
            </w:r>
            <w:r>
              <w:rPr>
                <w:b/>
                <w:sz w:val="18"/>
              </w:rPr>
              <w:t>R</w:t>
            </w:r>
            <w:r>
              <w:rPr>
                <w:b/>
                <w:sz w:val="14"/>
              </w:rPr>
              <w:t>EPORTING </w:t>
            </w:r>
            <w:r>
              <w:rPr>
                <w:b/>
                <w:sz w:val="18"/>
              </w:rPr>
              <w:t>Y</w:t>
            </w:r>
            <w:r>
              <w:rPr>
                <w:b/>
                <w:sz w:val="14"/>
              </w:rPr>
              <w:t>EAR</w:t>
            </w:r>
          </w:p>
        </w:tc>
      </w:tr>
      <w:tr>
        <w:trPr>
          <w:trHeight w:val="395" w:hRule="atLeast"/>
        </w:trPr>
        <w:tc>
          <w:tcPr>
            <w:tcW w:w="2223" w:type="dxa"/>
            <w:gridSpan w:val="3"/>
            <w:tcBorders>
              <w:top w:val="double" w:sz="1" w:space="0" w:color="000000"/>
            </w:tcBorders>
            <w:shd w:val="clear" w:color="auto" w:fill="BFBFBF"/>
          </w:tcPr>
          <w:p>
            <w:pPr>
              <w:pStyle w:val="TableParagraph"/>
              <w:spacing w:line="180" w:lineRule="atLeast" w:before="25"/>
              <w:ind w:left="789" w:right="779"/>
              <w:jc w:val="center"/>
              <w:rPr>
                <w:b/>
                <w:sz w:val="16"/>
              </w:rPr>
            </w:pPr>
            <w:r>
              <w:rPr>
                <w:b/>
                <w:sz w:val="16"/>
              </w:rPr>
              <w:t>Land-use Category</w:t>
            </w:r>
          </w:p>
        </w:tc>
        <w:tc>
          <w:tcPr>
            <w:tcW w:w="108" w:type="dxa"/>
            <w:vMerge w:val="restart"/>
            <w:tcBorders>
              <w:top w:val="double" w:sz="1" w:space="0" w:color="000000"/>
              <w:right w:val="nil"/>
            </w:tcBorders>
            <w:shd w:val="clear" w:color="auto" w:fill="BFBFBF"/>
          </w:tcPr>
          <w:p>
            <w:pPr>
              <w:pStyle w:val="TableParagraph"/>
              <w:rPr>
                <w:sz w:val="16"/>
              </w:rPr>
            </w:pPr>
          </w:p>
        </w:tc>
        <w:tc>
          <w:tcPr>
            <w:tcW w:w="1071" w:type="dxa"/>
            <w:tcBorders>
              <w:top w:val="double" w:sz="1" w:space="0" w:color="000000"/>
              <w:left w:val="nil"/>
              <w:bottom w:val="nil"/>
            </w:tcBorders>
            <w:shd w:val="clear" w:color="auto" w:fill="BFBFBF"/>
          </w:tcPr>
          <w:p>
            <w:pPr>
              <w:pStyle w:val="TableParagraph"/>
              <w:spacing w:before="27"/>
              <w:ind w:left="62" w:right="156"/>
              <w:jc w:val="center"/>
              <w:rPr>
                <w:rFonts w:ascii="TimesNewRomanPS-BoldItalicMT"/>
                <w:b/>
                <w:i/>
                <w:sz w:val="16"/>
              </w:rPr>
            </w:pPr>
            <w:r>
              <w:rPr>
                <w:rFonts w:ascii="TimesNewRomanPS-BoldItalicMT"/>
                <w:b/>
                <w:i/>
                <w:sz w:val="16"/>
              </w:rPr>
              <w:t>IPCC</w:t>
            </w:r>
          </w:p>
          <w:p>
            <w:pPr>
              <w:pStyle w:val="TableParagraph"/>
              <w:spacing w:line="144" w:lineRule="exact" w:before="20"/>
              <w:ind w:left="62" w:right="160"/>
              <w:jc w:val="center"/>
              <w:rPr>
                <w:b/>
                <w:sz w:val="16"/>
              </w:rPr>
            </w:pPr>
            <w:r>
              <w:rPr>
                <w:rFonts w:ascii="TimesNewRomanPS-BoldItalicMT"/>
                <w:b/>
                <w:i/>
                <w:sz w:val="16"/>
              </w:rPr>
              <w:t>Guidelines </w:t>
            </w:r>
            <w:r>
              <w:rPr>
                <w:b/>
                <w:sz w:val="16"/>
                <w:vertAlign w:val="superscript"/>
              </w:rPr>
              <w:t>1</w:t>
            </w:r>
          </w:p>
        </w:tc>
        <w:tc>
          <w:tcPr>
            <w:tcW w:w="5937" w:type="dxa"/>
            <w:gridSpan w:val="4"/>
            <w:tcBorders>
              <w:top w:val="double" w:sz="1" w:space="0" w:color="000000"/>
            </w:tcBorders>
            <w:shd w:val="clear" w:color="auto" w:fill="BFBFBF"/>
          </w:tcPr>
          <w:p>
            <w:pPr>
              <w:pStyle w:val="TableParagraph"/>
              <w:spacing w:before="24"/>
              <w:ind w:left="1568"/>
              <w:rPr>
                <w:b/>
                <w:sz w:val="10"/>
              </w:rPr>
            </w:pPr>
            <w:r>
              <w:rPr>
                <w:b/>
                <w:position w:val="2"/>
                <w:sz w:val="16"/>
              </w:rPr>
              <w:t>Annual change in carbon stocks, Gg CO</w:t>
            </w:r>
            <w:r>
              <w:rPr>
                <w:b/>
                <w:sz w:val="10"/>
              </w:rPr>
              <w:t>2</w:t>
            </w:r>
          </w:p>
        </w:tc>
        <w:tc>
          <w:tcPr>
            <w:tcW w:w="1087" w:type="dxa"/>
            <w:tcBorders>
              <w:top w:val="double" w:sz="1" w:space="0" w:color="000000"/>
              <w:bottom w:val="nil"/>
            </w:tcBorders>
            <w:shd w:val="clear" w:color="auto" w:fill="BFBFBF"/>
          </w:tcPr>
          <w:p>
            <w:pPr>
              <w:pStyle w:val="TableParagraph"/>
              <w:spacing w:before="24"/>
              <w:ind w:left="89" w:right="81"/>
              <w:jc w:val="center"/>
              <w:rPr>
                <w:b/>
                <w:sz w:val="10"/>
              </w:rPr>
            </w:pPr>
            <w:r>
              <w:rPr>
                <w:b/>
                <w:position w:val="2"/>
                <w:sz w:val="16"/>
              </w:rPr>
              <w:t>CH</w:t>
            </w:r>
            <w:r>
              <w:rPr>
                <w:b/>
                <w:sz w:val="10"/>
              </w:rPr>
              <w:t>4</w:t>
            </w:r>
          </w:p>
        </w:tc>
        <w:tc>
          <w:tcPr>
            <w:tcW w:w="1265" w:type="dxa"/>
            <w:tcBorders>
              <w:top w:val="double" w:sz="1" w:space="0" w:color="000000"/>
              <w:bottom w:val="nil"/>
            </w:tcBorders>
            <w:shd w:val="clear" w:color="auto" w:fill="BFBFBF"/>
          </w:tcPr>
          <w:p>
            <w:pPr>
              <w:pStyle w:val="TableParagraph"/>
              <w:spacing w:before="24"/>
              <w:ind w:left="454" w:right="446"/>
              <w:jc w:val="center"/>
              <w:rPr>
                <w:b/>
                <w:sz w:val="16"/>
              </w:rPr>
            </w:pPr>
            <w:r>
              <w:rPr>
                <w:b/>
                <w:position w:val="2"/>
                <w:sz w:val="16"/>
              </w:rPr>
              <w:t>N</w:t>
            </w:r>
            <w:r>
              <w:rPr>
                <w:b/>
                <w:sz w:val="10"/>
              </w:rPr>
              <w:t>2</w:t>
            </w:r>
            <w:r>
              <w:rPr>
                <w:b/>
                <w:position w:val="2"/>
                <w:sz w:val="16"/>
              </w:rPr>
              <w:t>O</w:t>
            </w:r>
          </w:p>
        </w:tc>
        <w:tc>
          <w:tcPr>
            <w:tcW w:w="1267" w:type="dxa"/>
            <w:tcBorders>
              <w:top w:val="double" w:sz="1" w:space="0" w:color="000000"/>
              <w:bottom w:val="nil"/>
            </w:tcBorders>
            <w:shd w:val="clear" w:color="auto" w:fill="BFBFBF"/>
          </w:tcPr>
          <w:p>
            <w:pPr>
              <w:pStyle w:val="TableParagraph"/>
              <w:spacing w:before="3"/>
              <w:ind w:left="438"/>
              <w:rPr>
                <w:b/>
                <w:sz w:val="12"/>
              </w:rPr>
            </w:pPr>
            <w:r>
              <w:rPr>
                <w:b/>
                <w:position w:val="2"/>
                <w:sz w:val="16"/>
              </w:rPr>
              <w:t>NO</w:t>
            </w:r>
            <w:r>
              <w:rPr>
                <w:b/>
                <w:sz w:val="10"/>
              </w:rPr>
              <w:t>x </w:t>
            </w:r>
            <w:r>
              <w:rPr>
                <w:b/>
                <w:position w:val="10"/>
                <w:sz w:val="12"/>
              </w:rPr>
              <w:t>3</w:t>
            </w:r>
          </w:p>
        </w:tc>
        <w:tc>
          <w:tcPr>
            <w:tcW w:w="1449" w:type="dxa"/>
            <w:tcBorders>
              <w:top w:val="double" w:sz="1" w:space="0" w:color="000000"/>
              <w:bottom w:val="nil"/>
            </w:tcBorders>
            <w:shd w:val="clear" w:color="auto" w:fill="BFBFBF"/>
          </w:tcPr>
          <w:p>
            <w:pPr>
              <w:pStyle w:val="TableParagraph"/>
              <w:spacing w:before="47"/>
              <w:ind w:left="107" w:right="103"/>
              <w:jc w:val="center"/>
              <w:rPr>
                <w:b/>
                <w:sz w:val="16"/>
              </w:rPr>
            </w:pPr>
            <w:r>
              <w:rPr>
                <w:b/>
                <w:sz w:val="16"/>
              </w:rPr>
              <w:t>CO </w:t>
            </w:r>
            <w:r>
              <w:rPr>
                <w:b/>
                <w:sz w:val="16"/>
                <w:vertAlign w:val="superscript"/>
              </w:rPr>
              <w:t>3</w:t>
            </w:r>
          </w:p>
        </w:tc>
      </w:tr>
      <w:tr>
        <w:trPr>
          <w:trHeight w:val="1144" w:hRule="atLeast"/>
        </w:trPr>
        <w:tc>
          <w:tcPr>
            <w:tcW w:w="108" w:type="dxa"/>
            <w:tcBorders>
              <w:right w:val="nil"/>
            </w:tcBorders>
            <w:shd w:val="clear" w:color="auto" w:fill="E4E4E4"/>
          </w:tcPr>
          <w:p>
            <w:pPr>
              <w:pStyle w:val="TableParagraph"/>
              <w:rPr>
                <w:sz w:val="16"/>
              </w:rPr>
            </w:pPr>
          </w:p>
        </w:tc>
        <w:tc>
          <w:tcPr>
            <w:tcW w:w="893" w:type="dxa"/>
            <w:tcBorders>
              <w:left w:val="nil"/>
            </w:tcBorders>
            <w:shd w:val="clear" w:color="auto" w:fill="E4E4E4"/>
          </w:tcPr>
          <w:p>
            <w:pPr>
              <w:pStyle w:val="TableParagraph"/>
              <w:spacing w:before="25"/>
              <w:ind w:left="76" w:right="167" w:firstLine="110"/>
              <w:rPr>
                <w:b/>
                <w:sz w:val="16"/>
              </w:rPr>
            </w:pPr>
            <w:r>
              <w:rPr>
                <w:b/>
                <w:sz w:val="16"/>
              </w:rPr>
              <w:t>Initial Land-use</w:t>
            </w:r>
          </w:p>
        </w:tc>
        <w:tc>
          <w:tcPr>
            <w:tcW w:w="1222" w:type="dxa"/>
            <w:shd w:val="clear" w:color="auto" w:fill="E4E4E4"/>
          </w:tcPr>
          <w:p>
            <w:pPr>
              <w:pStyle w:val="TableParagraph"/>
              <w:spacing w:before="25"/>
              <w:ind w:left="285" w:right="275" w:firstLine="2"/>
              <w:jc w:val="center"/>
              <w:rPr>
                <w:b/>
                <w:sz w:val="16"/>
              </w:rPr>
            </w:pPr>
            <w:r>
              <w:rPr>
                <w:b/>
                <w:sz w:val="16"/>
              </w:rPr>
              <w:t>Land-use during reporting Year</w:t>
            </w:r>
          </w:p>
        </w:tc>
        <w:tc>
          <w:tcPr>
            <w:tcW w:w="108" w:type="dxa"/>
            <w:vMerge/>
            <w:tcBorders>
              <w:top w:val="nil"/>
              <w:right w:val="nil"/>
            </w:tcBorders>
            <w:shd w:val="clear" w:color="auto" w:fill="BFBFBF"/>
          </w:tcPr>
          <w:p>
            <w:pPr>
              <w:rPr>
                <w:sz w:val="2"/>
                <w:szCs w:val="2"/>
              </w:rPr>
            </w:pPr>
          </w:p>
        </w:tc>
        <w:tc>
          <w:tcPr>
            <w:tcW w:w="1071" w:type="dxa"/>
            <w:tcBorders>
              <w:top w:val="nil"/>
              <w:left w:val="nil"/>
            </w:tcBorders>
            <w:shd w:val="clear" w:color="auto" w:fill="BFBFBF"/>
          </w:tcPr>
          <w:p>
            <w:pPr>
              <w:pStyle w:val="TableParagraph"/>
              <w:rPr>
                <w:sz w:val="16"/>
              </w:rPr>
            </w:pPr>
          </w:p>
        </w:tc>
        <w:tc>
          <w:tcPr>
            <w:tcW w:w="1414" w:type="dxa"/>
            <w:shd w:val="clear" w:color="auto" w:fill="E4E4E4"/>
          </w:tcPr>
          <w:p>
            <w:pPr>
              <w:pStyle w:val="TableParagraph"/>
              <w:spacing w:before="25"/>
              <w:ind w:left="158" w:right="152"/>
              <w:jc w:val="center"/>
              <w:rPr>
                <w:b/>
                <w:sz w:val="16"/>
              </w:rPr>
            </w:pPr>
            <w:r>
              <w:rPr>
                <w:b/>
                <w:sz w:val="16"/>
              </w:rPr>
              <w:t>Living Biomass</w:t>
            </w:r>
          </w:p>
          <w:p>
            <w:pPr>
              <w:pStyle w:val="TableParagraph"/>
              <w:rPr>
                <w:sz w:val="18"/>
              </w:rPr>
            </w:pPr>
          </w:p>
          <w:p>
            <w:pPr>
              <w:pStyle w:val="TableParagraph"/>
              <w:rPr>
                <w:sz w:val="18"/>
              </w:rPr>
            </w:pPr>
          </w:p>
          <w:p>
            <w:pPr>
              <w:pStyle w:val="TableParagraph"/>
              <w:rPr>
                <w:sz w:val="18"/>
              </w:rPr>
            </w:pPr>
          </w:p>
          <w:p>
            <w:pPr>
              <w:pStyle w:val="TableParagraph"/>
              <w:spacing w:line="180" w:lineRule="exact" w:before="115"/>
              <w:ind w:left="5"/>
              <w:jc w:val="center"/>
              <w:rPr>
                <w:b/>
                <w:sz w:val="16"/>
              </w:rPr>
            </w:pPr>
            <w:r>
              <w:rPr>
                <w:b/>
                <w:w w:val="100"/>
                <w:sz w:val="16"/>
              </w:rPr>
              <w:t>A</w:t>
            </w:r>
          </w:p>
        </w:tc>
        <w:tc>
          <w:tcPr>
            <w:tcW w:w="1536" w:type="dxa"/>
            <w:shd w:val="clear" w:color="auto" w:fill="E4E4E4"/>
          </w:tcPr>
          <w:p>
            <w:pPr>
              <w:pStyle w:val="TableParagraph"/>
              <w:spacing w:before="25"/>
              <w:ind w:left="286" w:right="282"/>
              <w:jc w:val="center"/>
              <w:rPr>
                <w:b/>
                <w:sz w:val="16"/>
              </w:rPr>
            </w:pPr>
            <w:r>
              <w:rPr>
                <w:b/>
                <w:sz w:val="16"/>
              </w:rPr>
              <w:t>Dead Organic Matter</w:t>
            </w:r>
          </w:p>
          <w:p>
            <w:pPr>
              <w:pStyle w:val="TableParagraph"/>
              <w:rPr>
                <w:sz w:val="18"/>
              </w:rPr>
            </w:pPr>
          </w:p>
          <w:p>
            <w:pPr>
              <w:pStyle w:val="TableParagraph"/>
              <w:rPr>
                <w:sz w:val="18"/>
              </w:rPr>
            </w:pPr>
          </w:p>
          <w:p>
            <w:pPr>
              <w:pStyle w:val="TableParagraph"/>
              <w:spacing w:line="180" w:lineRule="exact" w:before="138"/>
              <w:ind w:left="3"/>
              <w:jc w:val="center"/>
              <w:rPr>
                <w:b/>
                <w:sz w:val="16"/>
              </w:rPr>
            </w:pPr>
            <w:r>
              <w:rPr>
                <w:b/>
                <w:w w:val="100"/>
                <w:sz w:val="16"/>
              </w:rPr>
              <w:t>B</w:t>
            </w:r>
          </w:p>
        </w:tc>
        <w:tc>
          <w:tcPr>
            <w:tcW w:w="1358" w:type="dxa"/>
            <w:shd w:val="clear" w:color="auto" w:fill="E4E4E4"/>
          </w:tcPr>
          <w:p>
            <w:pPr>
              <w:pStyle w:val="TableParagraph"/>
              <w:spacing w:before="25"/>
              <w:ind w:left="497" w:right="490"/>
              <w:jc w:val="center"/>
              <w:rPr>
                <w:b/>
                <w:sz w:val="16"/>
              </w:rPr>
            </w:pPr>
            <w:r>
              <w:rPr>
                <w:b/>
                <w:sz w:val="16"/>
              </w:rPr>
              <w:t>Soils</w:t>
            </w:r>
          </w:p>
          <w:p>
            <w:pPr>
              <w:pStyle w:val="TableParagraph"/>
              <w:rPr>
                <w:sz w:val="18"/>
              </w:rPr>
            </w:pPr>
          </w:p>
          <w:p>
            <w:pPr>
              <w:pStyle w:val="TableParagraph"/>
              <w:rPr>
                <w:sz w:val="18"/>
              </w:rPr>
            </w:pPr>
          </w:p>
          <w:p>
            <w:pPr>
              <w:pStyle w:val="TableParagraph"/>
              <w:rPr>
                <w:sz w:val="18"/>
              </w:rPr>
            </w:pPr>
          </w:p>
          <w:p>
            <w:pPr>
              <w:pStyle w:val="TableParagraph"/>
              <w:spacing w:line="180" w:lineRule="exact" w:before="115"/>
              <w:ind w:left="7"/>
              <w:jc w:val="center"/>
              <w:rPr>
                <w:b/>
                <w:sz w:val="16"/>
              </w:rPr>
            </w:pPr>
            <w:r>
              <w:rPr>
                <w:b/>
                <w:w w:val="100"/>
                <w:sz w:val="16"/>
              </w:rPr>
              <w:t>C</w:t>
            </w:r>
          </w:p>
        </w:tc>
        <w:tc>
          <w:tcPr>
            <w:tcW w:w="1629" w:type="dxa"/>
            <w:shd w:val="clear" w:color="auto" w:fill="E4E4E4"/>
          </w:tcPr>
          <w:p>
            <w:pPr>
              <w:pStyle w:val="TableParagraph"/>
              <w:spacing w:line="232" w:lineRule="auto" w:before="29"/>
              <w:ind w:left="154" w:right="148"/>
              <w:jc w:val="center"/>
              <w:rPr>
                <w:b/>
                <w:sz w:val="16"/>
              </w:rPr>
            </w:pPr>
            <w:r>
              <w:rPr>
                <w:b/>
                <w:position w:val="2"/>
                <w:sz w:val="16"/>
              </w:rPr>
              <w:t>CO</w:t>
            </w:r>
            <w:r>
              <w:rPr>
                <w:b/>
                <w:sz w:val="10"/>
              </w:rPr>
              <w:t>2 </w:t>
            </w:r>
            <w:r>
              <w:rPr>
                <w:b/>
                <w:position w:val="2"/>
                <w:sz w:val="16"/>
              </w:rPr>
              <w:t>Emissions/ </w:t>
            </w:r>
            <w:r>
              <w:rPr>
                <w:b/>
                <w:sz w:val="16"/>
              </w:rPr>
              <w:t>Removals </w:t>
            </w:r>
            <w:r>
              <w:rPr>
                <w:b/>
                <w:sz w:val="16"/>
                <w:vertAlign w:val="superscript"/>
              </w:rPr>
              <w:t>2</w:t>
            </w:r>
          </w:p>
          <w:p>
            <w:pPr>
              <w:pStyle w:val="TableParagraph"/>
              <w:spacing w:line="350" w:lineRule="atLeast" w:before="44"/>
              <w:ind w:left="159" w:right="148"/>
              <w:jc w:val="center"/>
              <w:rPr>
                <w:b/>
                <w:sz w:val="16"/>
              </w:rPr>
            </w:pPr>
            <w:r>
              <w:rPr>
                <w:b/>
                <w:sz w:val="16"/>
              </w:rPr>
              <w:t>D = (A+B+C) </w:t>
            </w:r>
            <w:r>
              <w:rPr>
                <w:rFonts w:ascii="Symbol" w:hAnsi="Symbol"/>
                <w:sz w:val="16"/>
              </w:rPr>
              <w:t>• </w:t>
            </w:r>
            <w:r>
              <w:rPr>
                <w:b/>
                <w:sz w:val="16"/>
              </w:rPr>
              <w:t>(-1) D</w:t>
            </w:r>
          </w:p>
        </w:tc>
        <w:tc>
          <w:tcPr>
            <w:tcW w:w="1087" w:type="dxa"/>
            <w:tcBorders>
              <w:top w:val="nil"/>
            </w:tcBorders>
            <w:shd w:val="clear" w:color="auto" w:fill="BFBFBF"/>
          </w:tcPr>
          <w:p>
            <w:pPr>
              <w:pStyle w:val="TableParagraph"/>
              <w:spacing w:line="171" w:lineRule="exact"/>
              <w:ind w:left="89" w:right="83"/>
              <w:jc w:val="center"/>
              <w:rPr>
                <w:b/>
                <w:sz w:val="16"/>
              </w:rPr>
            </w:pPr>
            <w:r>
              <w:rPr>
                <w:b/>
                <w:sz w:val="16"/>
              </w:rPr>
              <w:t>(Gg)</w:t>
            </w:r>
          </w:p>
        </w:tc>
        <w:tc>
          <w:tcPr>
            <w:tcW w:w="1265" w:type="dxa"/>
            <w:tcBorders>
              <w:top w:val="nil"/>
            </w:tcBorders>
            <w:shd w:val="clear" w:color="auto" w:fill="BFBFBF"/>
          </w:tcPr>
          <w:p>
            <w:pPr>
              <w:pStyle w:val="TableParagraph"/>
              <w:spacing w:line="171" w:lineRule="exact"/>
              <w:ind w:left="457" w:right="446"/>
              <w:jc w:val="center"/>
              <w:rPr>
                <w:b/>
                <w:sz w:val="16"/>
              </w:rPr>
            </w:pPr>
            <w:r>
              <w:rPr>
                <w:b/>
                <w:sz w:val="16"/>
              </w:rPr>
              <w:t>(Gg)</w:t>
            </w:r>
          </w:p>
        </w:tc>
        <w:tc>
          <w:tcPr>
            <w:tcW w:w="1267" w:type="dxa"/>
            <w:tcBorders>
              <w:top w:val="nil"/>
            </w:tcBorders>
            <w:shd w:val="clear" w:color="auto" w:fill="BFBFBF"/>
          </w:tcPr>
          <w:p>
            <w:pPr>
              <w:pStyle w:val="TableParagraph"/>
              <w:spacing w:before="11"/>
              <w:ind w:left="476"/>
              <w:rPr>
                <w:b/>
                <w:sz w:val="16"/>
              </w:rPr>
            </w:pPr>
            <w:r>
              <w:rPr>
                <w:b/>
                <w:sz w:val="16"/>
              </w:rPr>
              <w:t>(Gg)</w:t>
            </w:r>
          </w:p>
        </w:tc>
        <w:tc>
          <w:tcPr>
            <w:tcW w:w="1449" w:type="dxa"/>
            <w:tcBorders>
              <w:top w:val="nil"/>
            </w:tcBorders>
            <w:shd w:val="clear" w:color="auto" w:fill="BFBFBF"/>
          </w:tcPr>
          <w:p>
            <w:pPr>
              <w:pStyle w:val="TableParagraph"/>
              <w:spacing w:before="11"/>
              <w:ind w:left="108" w:right="103"/>
              <w:jc w:val="center"/>
              <w:rPr>
                <w:b/>
                <w:sz w:val="16"/>
              </w:rPr>
            </w:pPr>
            <w:r>
              <w:rPr>
                <w:b/>
                <w:sz w:val="16"/>
              </w:rPr>
              <w:t>(Gg)</w:t>
            </w:r>
          </w:p>
        </w:tc>
      </w:tr>
      <w:tr>
        <w:trPr>
          <w:trHeight w:val="210" w:hRule="atLeast"/>
        </w:trPr>
        <w:tc>
          <w:tcPr>
            <w:tcW w:w="1001" w:type="dxa"/>
            <w:gridSpan w:val="2"/>
          </w:tcPr>
          <w:p>
            <w:pPr>
              <w:pStyle w:val="TableParagraph"/>
              <w:spacing w:line="168" w:lineRule="exact" w:before="23"/>
              <w:ind w:left="107"/>
              <w:rPr>
                <w:sz w:val="16"/>
              </w:rPr>
            </w:pPr>
            <w:r>
              <w:rPr>
                <w:sz w:val="16"/>
              </w:rPr>
              <w:t>Forest Land</w:t>
            </w:r>
          </w:p>
        </w:tc>
        <w:tc>
          <w:tcPr>
            <w:tcW w:w="1222" w:type="dxa"/>
          </w:tcPr>
          <w:p>
            <w:pPr>
              <w:pStyle w:val="TableParagraph"/>
              <w:spacing w:line="168" w:lineRule="exact" w:before="23"/>
              <w:ind w:left="107"/>
              <w:rPr>
                <w:sz w:val="16"/>
              </w:rPr>
            </w:pPr>
            <w:r>
              <w:rPr>
                <w:sz w:val="16"/>
              </w:rPr>
              <w:t>Forest Land</w:t>
            </w:r>
          </w:p>
        </w:tc>
        <w:tc>
          <w:tcPr>
            <w:tcW w:w="1179" w:type="dxa"/>
            <w:gridSpan w:val="2"/>
          </w:tcPr>
          <w:p>
            <w:pPr>
              <w:pStyle w:val="TableParagraph"/>
              <w:spacing w:line="168" w:lineRule="exact" w:before="23"/>
              <w:ind w:left="470" w:right="463"/>
              <w:jc w:val="center"/>
              <w:rPr>
                <w:sz w:val="16"/>
              </w:rPr>
            </w:pPr>
            <w:r>
              <w:rPr>
                <w:sz w:val="16"/>
              </w:rPr>
              <w:t>5A</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318" w:hRule="atLeast"/>
        </w:trPr>
        <w:tc>
          <w:tcPr>
            <w:tcW w:w="1001" w:type="dxa"/>
            <w:gridSpan w:val="2"/>
          </w:tcPr>
          <w:p>
            <w:pPr>
              <w:pStyle w:val="TableParagraph"/>
              <w:spacing w:before="76"/>
              <w:ind w:left="107"/>
              <w:rPr>
                <w:sz w:val="16"/>
              </w:rPr>
            </w:pPr>
            <w:r>
              <w:rPr>
                <w:sz w:val="16"/>
              </w:rPr>
              <w:t>Cropland</w:t>
            </w:r>
          </w:p>
        </w:tc>
        <w:tc>
          <w:tcPr>
            <w:tcW w:w="1222" w:type="dxa"/>
          </w:tcPr>
          <w:p>
            <w:pPr>
              <w:pStyle w:val="TableParagraph"/>
              <w:spacing w:before="76"/>
              <w:ind w:left="107"/>
              <w:rPr>
                <w:sz w:val="16"/>
              </w:rPr>
            </w:pPr>
            <w:r>
              <w:rPr>
                <w:sz w:val="16"/>
              </w:rPr>
              <w:t>Forest Land</w:t>
            </w:r>
          </w:p>
        </w:tc>
        <w:tc>
          <w:tcPr>
            <w:tcW w:w="1179" w:type="dxa"/>
            <w:gridSpan w:val="2"/>
          </w:tcPr>
          <w:p>
            <w:pPr>
              <w:pStyle w:val="TableParagraph"/>
              <w:spacing w:before="76"/>
              <w:ind w:left="217"/>
              <w:rPr>
                <w:sz w:val="16"/>
              </w:rPr>
            </w:pPr>
            <w:r>
              <w:rPr>
                <w:sz w:val="16"/>
              </w:rPr>
              <w:t>5A, 5C, 5D</w:t>
            </w:r>
          </w:p>
        </w:tc>
        <w:tc>
          <w:tcPr>
            <w:tcW w:w="1414" w:type="dxa"/>
          </w:tcPr>
          <w:p>
            <w:pPr>
              <w:pStyle w:val="TableParagraph"/>
              <w:spacing w:line="71" w:lineRule="exact" w:before="22"/>
              <w:ind w:right="313"/>
              <w:jc w:val="right"/>
              <w:rPr>
                <w:b/>
                <w:sz w:val="12"/>
              </w:rPr>
            </w:pPr>
            <w:r>
              <w:rPr>
                <w:b/>
                <w:sz w:val="12"/>
              </w:rPr>
              <w:t>5</w:t>
            </w:r>
          </w:p>
          <w:p>
            <w:pPr>
              <w:pStyle w:val="TableParagraph"/>
              <w:spacing w:line="153" w:lineRule="auto"/>
              <w:ind w:left="322"/>
              <w:rPr>
                <w:b/>
                <w:sz w:val="13"/>
              </w:rPr>
            </w:pPr>
            <w:r>
              <w:rPr>
                <w:b/>
                <w:sz w:val="20"/>
              </w:rPr>
              <w:t>∆C</w:t>
            </w:r>
            <w:r>
              <w:rPr>
                <w:b/>
                <w:sz w:val="20"/>
                <w:vertAlign w:val="subscript"/>
              </w:rPr>
              <w:t>LF</w:t>
            </w:r>
            <w:r>
              <w:rPr>
                <w:b/>
                <w:position w:val="-8"/>
                <w:sz w:val="13"/>
                <w:vertAlign w:val="baseline"/>
              </w:rPr>
              <w:t>LB</w:t>
            </w:r>
          </w:p>
        </w:tc>
        <w:tc>
          <w:tcPr>
            <w:tcW w:w="1536" w:type="dxa"/>
          </w:tcPr>
          <w:p>
            <w:pPr>
              <w:pStyle w:val="TableParagraph"/>
              <w:spacing w:line="271" w:lineRule="exact" w:before="28"/>
              <w:ind w:left="391"/>
              <w:rPr>
                <w:b/>
                <w:sz w:val="13"/>
              </w:rPr>
            </w:pPr>
            <w:r>
              <w:rPr>
                <w:b/>
                <w:position w:val="9"/>
                <w:sz w:val="20"/>
              </w:rPr>
              <w:t>∆C</w:t>
            </w:r>
            <w:r>
              <w:rPr>
                <w:b/>
                <w:position w:val="6"/>
                <w:sz w:val="13"/>
              </w:rPr>
              <w:t>LF</w:t>
            </w:r>
            <w:r>
              <w:rPr>
                <w:b/>
                <w:sz w:val="13"/>
              </w:rPr>
              <w:t>DOM</w:t>
            </w:r>
          </w:p>
        </w:tc>
        <w:tc>
          <w:tcPr>
            <w:tcW w:w="1358" w:type="dxa"/>
          </w:tcPr>
          <w:p>
            <w:pPr>
              <w:pStyle w:val="TableParagraph"/>
              <w:spacing w:line="271" w:lineRule="exact" w:before="28"/>
              <w:ind w:left="312"/>
              <w:rPr>
                <w:b/>
                <w:sz w:val="13"/>
              </w:rPr>
            </w:pPr>
            <w:r>
              <w:rPr>
                <w:b/>
                <w:position w:val="9"/>
                <w:sz w:val="20"/>
              </w:rPr>
              <w:t>∆C</w:t>
            </w:r>
            <w:r>
              <w:rPr>
                <w:b/>
                <w:position w:val="6"/>
                <w:sz w:val="13"/>
              </w:rPr>
              <w:t>LF</w:t>
            </w:r>
            <w:r>
              <w:rPr>
                <w:b/>
                <w:sz w:val="13"/>
              </w:rPr>
              <w:t>SOM</w:t>
            </w:r>
          </w:p>
        </w:tc>
        <w:tc>
          <w:tcPr>
            <w:tcW w:w="1629" w:type="dxa"/>
          </w:tcPr>
          <w:p>
            <w:pPr>
              <w:pStyle w:val="TableParagraph"/>
              <w:rPr>
                <w:sz w:val="16"/>
              </w:rPr>
            </w:pPr>
          </w:p>
        </w:tc>
        <w:tc>
          <w:tcPr>
            <w:tcW w:w="1087" w:type="dxa"/>
          </w:tcPr>
          <w:p>
            <w:pPr>
              <w:pStyle w:val="TableParagraph"/>
              <w:rPr>
                <w:sz w:val="16"/>
              </w:rPr>
            </w:pPr>
          </w:p>
        </w:tc>
        <w:tc>
          <w:tcPr>
            <w:tcW w:w="1265" w:type="dxa"/>
          </w:tcPr>
          <w:p>
            <w:pPr>
              <w:pStyle w:val="TableParagraph"/>
              <w:rPr>
                <w:sz w:val="16"/>
              </w:rPr>
            </w:pPr>
          </w:p>
        </w:tc>
        <w:tc>
          <w:tcPr>
            <w:tcW w:w="1267" w:type="dxa"/>
          </w:tcPr>
          <w:p>
            <w:pPr>
              <w:pStyle w:val="TableParagraph"/>
              <w:rPr>
                <w:sz w:val="16"/>
              </w:rPr>
            </w:pPr>
          </w:p>
        </w:tc>
        <w:tc>
          <w:tcPr>
            <w:tcW w:w="1449" w:type="dxa"/>
          </w:tcPr>
          <w:p>
            <w:pPr>
              <w:pStyle w:val="TableParagraph"/>
              <w:rPr>
                <w:sz w:val="16"/>
              </w:rPr>
            </w:pPr>
          </w:p>
        </w:tc>
      </w:tr>
      <w:tr>
        <w:trPr>
          <w:trHeight w:val="210" w:hRule="atLeast"/>
        </w:trPr>
        <w:tc>
          <w:tcPr>
            <w:tcW w:w="1001" w:type="dxa"/>
            <w:gridSpan w:val="2"/>
          </w:tcPr>
          <w:p>
            <w:pPr>
              <w:pStyle w:val="TableParagraph"/>
              <w:spacing w:line="168" w:lineRule="exact" w:before="23"/>
              <w:ind w:left="107"/>
              <w:rPr>
                <w:sz w:val="16"/>
              </w:rPr>
            </w:pPr>
            <w:r>
              <w:rPr>
                <w:sz w:val="16"/>
              </w:rPr>
              <w:t>Grassland</w:t>
            </w:r>
          </w:p>
        </w:tc>
        <w:tc>
          <w:tcPr>
            <w:tcW w:w="1222" w:type="dxa"/>
          </w:tcPr>
          <w:p>
            <w:pPr>
              <w:pStyle w:val="TableParagraph"/>
              <w:spacing w:line="168" w:lineRule="exact" w:before="23"/>
              <w:ind w:left="107"/>
              <w:rPr>
                <w:sz w:val="16"/>
              </w:rPr>
            </w:pPr>
            <w:r>
              <w:rPr>
                <w:sz w:val="16"/>
              </w:rPr>
              <w:t>Forest Land</w:t>
            </w:r>
          </w:p>
        </w:tc>
        <w:tc>
          <w:tcPr>
            <w:tcW w:w="1179" w:type="dxa"/>
            <w:gridSpan w:val="2"/>
          </w:tcPr>
          <w:p>
            <w:pPr>
              <w:pStyle w:val="TableParagraph"/>
              <w:spacing w:line="168" w:lineRule="exact" w:before="23"/>
              <w:ind w:left="217"/>
              <w:rPr>
                <w:sz w:val="16"/>
              </w:rPr>
            </w:pPr>
            <w:r>
              <w:rPr>
                <w:sz w:val="16"/>
              </w:rPr>
              <w:t>5A, 5C,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Wetlands</w:t>
            </w:r>
          </w:p>
        </w:tc>
        <w:tc>
          <w:tcPr>
            <w:tcW w:w="1222" w:type="dxa"/>
          </w:tcPr>
          <w:p>
            <w:pPr>
              <w:pStyle w:val="TableParagraph"/>
              <w:spacing w:line="170" w:lineRule="exact" w:before="23"/>
              <w:ind w:left="107"/>
              <w:rPr>
                <w:sz w:val="16"/>
              </w:rPr>
            </w:pPr>
            <w:r>
              <w:rPr>
                <w:sz w:val="16"/>
              </w:rPr>
              <w:t>Forest Land</w:t>
            </w:r>
          </w:p>
        </w:tc>
        <w:tc>
          <w:tcPr>
            <w:tcW w:w="1179" w:type="dxa"/>
            <w:gridSpan w:val="2"/>
          </w:tcPr>
          <w:p>
            <w:pPr>
              <w:pStyle w:val="TableParagraph"/>
              <w:spacing w:line="170" w:lineRule="exact" w:before="23"/>
              <w:ind w:left="217"/>
              <w:rPr>
                <w:sz w:val="16"/>
              </w:rPr>
            </w:pPr>
            <w:r>
              <w:rPr>
                <w:sz w:val="16"/>
              </w:rPr>
              <w:t>5A, 5C,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Settlements</w:t>
            </w:r>
          </w:p>
        </w:tc>
        <w:tc>
          <w:tcPr>
            <w:tcW w:w="1222" w:type="dxa"/>
          </w:tcPr>
          <w:p>
            <w:pPr>
              <w:pStyle w:val="TableParagraph"/>
              <w:spacing w:line="168" w:lineRule="exact" w:before="23"/>
              <w:ind w:left="107"/>
              <w:rPr>
                <w:sz w:val="16"/>
              </w:rPr>
            </w:pPr>
            <w:r>
              <w:rPr>
                <w:sz w:val="16"/>
              </w:rPr>
              <w:t>Forest Land</w:t>
            </w:r>
          </w:p>
        </w:tc>
        <w:tc>
          <w:tcPr>
            <w:tcW w:w="1179" w:type="dxa"/>
            <w:gridSpan w:val="2"/>
          </w:tcPr>
          <w:p>
            <w:pPr>
              <w:pStyle w:val="TableParagraph"/>
              <w:spacing w:line="168" w:lineRule="exact" w:before="23"/>
              <w:ind w:left="217"/>
              <w:rPr>
                <w:sz w:val="16"/>
              </w:rPr>
            </w:pPr>
            <w:r>
              <w:rPr>
                <w:sz w:val="16"/>
              </w:rPr>
              <w:t>5A, 5C,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Other Land</w:t>
            </w:r>
          </w:p>
        </w:tc>
        <w:tc>
          <w:tcPr>
            <w:tcW w:w="1222" w:type="dxa"/>
          </w:tcPr>
          <w:p>
            <w:pPr>
              <w:pStyle w:val="TableParagraph"/>
              <w:spacing w:line="170" w:lineRule="exact" w:before="23"/>
              <w:ind w:left="107"/>
              <w:rPr>
                <w:sz w:val="16"/>
              </w:rPr>
            </w:pPr>
            <w:r>
              <w:rPr>
                <w:sz w:val="16"/>
              </w:rPr>
              <w:t>Forest Land</w:t>
            </w:r>
          </w:p>
        </w:tc>
        <w:tc>
          <w:tcPr>
            <w:tcW w:w="1179" w:type="dxa"/>
            <w:gridSpan w:val="2"/>
          </w:tcPr>
          <w:p>
            <w:pPr>
              <w:pStyle w:val="TableParagraph"/>
              <w:spacing w:line="170" w:lineRule="exact" w:before="23"/>
              <w:ind w:left="217"/>
              <w:rPr>
                <w:sz w:val="16"/>
              </w:rPr>
            </w:pPr>
            <w:r>
              <w:rPr>
                <w:sz w:val="16"/>
              </w:rPr>
              <w:t>5A, 5C,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shd w:val="clear" w:color="auto" w:fill="BFBFBF"/>
          </w:tcPr>
          <w:p>
            <w:pPr>
              <w:pStyle w:val="TableParagraph"/>
              <w:rPr>
                <w:sz w:val="14"/>
              </w:rPr>
            </w:pPr>
          </w:p>
        </w:tc>
        <w:tc>
          <w:tcPr>
            <w:tcW w:w="2401" w:type="dxa"/>
            <w:gridSpan w:val="3"/>
          </w:tcPr>
          <w:p>
            <w:pPr>
              <w:pStyle w:val="TableParagraph"/>
              <w:spacing w:line="165" w:lineRule="exact" w:before="25"/>
              <w:ind w:left="107"/>
              <w:rPr>
                <w:b/>
                <w:sz w:val="16"/>
              </w:rPr>
            </w:pPr>
            <w:r>
              <w:rPr>
                <w:b/>
                <w:sz w:val="16"/>
              </w:rPr>
              <w:t>Sub-Total for Forest Land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Cropland</w:t>
            </w:r>
          </w:p>
        </w:tc>
        <w:tc>
          <w:tcPr>
            <w:tcW w:w="1222" w:type="dxa"/>
          </w:tcPr>
          <w:p>
            <w:pPr>
              <w:pStyle w:val="TableParagraph"/>
              <w:spacing w:line="170" w:lineRule="exact" w:before="23"/>
              <w:ind w:left="107"/>
              <w:rPr>
                <w:sz w:val="16"/>
              </w:rPr>
            </w:pPr>
            <w:r>
              <w:rPr>
                <w:sz w:val="16"/>
              </w:rPr>
              <w:t>Cropland</w:t>
            </w:r>
          </w:p>
        </w:tc>
        <w:tc>
          <w:tcPr>
            <w:tcW w:w="1179" w:type="dxa"/>
            <w:gridSpan w:val="2"/>
          </w:tcPr>
          <w:p>
            <w:pPr>
              <w:pStyle w:val="TableParagraph"/>
              <w:spacing w:line="170" w:lineRule="exact" w:before="23"/>
              <w:ind w:left="349"/>
              <w:rPr>
                <w:sz w:val="16"/>
              </w:rPr>
            </w:pPr>
            <w:r>
              <w:rPr>
                <w:sz w:val="16"/>
              </w:rPr>
              <w:t>5A,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Forest Land</w:t>
            </w:r>
          </w:p>
        </w:tc>
        <w:tc>
          <w:tcPr>
            <w:tcW w:w="1222" w:type="dxa"/>
          </w:tcPr>
          <w:p>
            <w:pPr>
              <w:pStyle w:val="TableParagraph"/>
              <w:spacing w:line="168" w:lineRule="exact" w:before="23"/>
              <w:ind w:left="107"/>
              <w:rPr>
                <w:sz w:val="16"/>
              </w:rPr>
            </w:pPr>
            <w:r>
              <w:rPr>
                <w:sz w:val="16"/>
              </w:rPr>
              <w:t>Cropland</w:t>
            </w:r>
          </w:p>
        </w:tc>
        <w:tc>
          <w:tcPr>
            <w:tcW w:w="1179" w:type="dxa"/>
            <w:gridSpan w:val="2"/>
          </w:tcPr>
          <w:p>
            <w:pPr>
              <w:pStyle w:val="TableParagraph"/>
              <w:spacing w:line="168" w:lineRule="exact" w:before="23"/>
              <w:ind w:left="354"/>
              <w:rPr>
                <w:sz w:val="16"/>
              </w:rPr>
            </w:pPr>
            <w:r>
              <w:rPr>
                <w:sz w:val="16"/>
              </w:rPr>
              <w:t>5B,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Grassland</w:t>
            </w:r>
          </w:p>
        </w:tc>
        <w:tc>
          <w:tcPr>
            <w:tcW w:w="1222" w:type="dxa"/>
          </w:tcPr>
          <w:p>
            <w:pPr>
              <w:pStyle w:val="TableParagraph"/>
              <w:spacing w:line="168" w:lineRule="exact" w:before="23"/>
              <w:ind w:left="107"/>
              <w:rPr>
                <w:sz w:val="16"/>
              </w:rPr>
            </w:pPr>
            <w:r>
              <w:rPr>
                <w:sz w:val="16"/>
              </w:rPr>
              <w:t>Cropland</w:t>
            </w:r>
          </w:p>
        </w:tc>
        <w:tc>
          <w:tcPr>
            <w:tcW w:w="1179" w:type="dxa"/>
            <w:gridSpan w:val="2"/>
          </w:tcPr>
          <w:p>
            <w:pPr>
              <w:pStyle w:val="TableParagraph"/>
              <w:spacing w:line="168" w:lineRule="exact" w:before="23"/>
              <w:ind w:left="354"/>
              <w:rPr>
                <w:sz w:val="16"/>
              </w:rPr>
            </w:pPr>
            <w:r>
              <w:rPr>
                <w:sz w:val="16"/>
              </w:rPr>
              <w:t>5B,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Wetlands</w:t>
            </w:r>
          </w:p>
        </w:tc>
        <w:tc>
          <w:tcPr>
            <w:tcW w:w="1222" w:type="dxa"/>
          </w:tcPr>
          <w:p>
            <w:pPr>
              <w:pStyle w:val="TableParagraph"/>
              <w:spacing w:line="170" w:lineRule="exact" w:before="23"/>
              <w:ind w:left="107"/>
              <w:rPr>
                <w:sz w:val="16"/>
              </w:rPr>
            </w:pPr>
            <w:r>
              <w:rPr>
                <w:sz w:val="16"/>
              </w:rPr>
              <w:t>Cropland</w:t>
            </w:r>
          </w:p>
        </w:tc>
        <w:tc>
          <w:tcPr>
            <w:tcW w:w="1179" w:type="dxa"/>
            <w:gridSpan w:val="2"/>
          </w:tcPr>
          <w:p>
            <w:pPr>
              <w:pStyle w:val="TableParagraph"/>
              <w:spacing w:line="170" w:lineRule="exact" w:before="23"/>
              <w:ind w:left="470" w:right="463"/>
              <w:jc w:val="center"/>
              <w:rPr>
                <w:sz w:val="16"/>
              </w:rPr>
            </w:pPr>
            <w:r>
              <w:rPr>
                <w:sz w:val="16"/>
              </w:rPr>
              <w:t>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Settlements</w:t>
            </w:r>
          </w:p>
        </w:tc>
        <w:tc>
          <w:tcPr>
            <w:tcW w:w="1222" w:type="dxa"/>
          </w:tcPr>
          <w:p>
            <w:pPr>
              <w:pStyle w:val="TableParagraph"/>
              <w:spacing w:line="168" w:lineRule="exact" w:before="23"/>
              <w:ind w:left="108"/>
              <w:rPr>
                <w:sz w:val="16"/>
              </w:rPr>
            </w:pPr>
            <w:r>
              <w:rPr>
                <w:sz w:val="16"/>
              </w:rPr>
              <w:t>Cropland</w:t>
            </w:r>
          </w:p>
        </w:tc>
        <w:tc>
          <w:tcPr>
            <w:tcW w:w="1179" w:type="dxa"/>
            <w:gridSpan w:val="2"/>
          </w:tcPr>
          <w:p>
            <w:pPr>
              <w:pStyle w:val="TableParagraph"/>
              <w:spacing w:line="168" w:lineRule="exact" w:before="23"/>
              <w:ind w:left="470" w:right="463"/>
              <w:jc w:val="center"/>
              <w:rPr>
                <w:sz w:val="16"/>
              </w:rPr>
            </w:pPr>
            <w:r>
              <w:rPr>
                <w:sz w:val="16"/>
              </w:rPr>
              <w:t>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Other Land</w:t>
            </w:r>
          </w:p>
        </w:tc>
        <w:tc>
          <w:tcPr>
            <w:tcW w:w="1222" w:type="dxa"/>
          </w:tcPr>
          <w:p>
            <w:pPr>
              <w:pStyle w:val="TableParagraph"/>
              <w:spacing w:line="170" w:lineRule="exact" w:before="23"/>
              <w:ind w:left="107"/>
              <w:rPr>
                <w:sz w:val="16"/>
              </w:rPr>
            </w:pPr>
            <w:r>
              <w:rPr>
                <w:sz w:val="16"/>
              </w:rPr>
              <w:t>Cropland</w:t>
            </w:r>
          </w:p>
        </w:tc>
        <w:tc>
          <w:tcPr>
            <w:tcW w:w="1179" w:type="dxa"/>
            <w:gridSpan w:val="2"/>
          </w:tcPr>
          <w:p>
            <w:pPr>
              <w:pStyle w:val="TableParagraph"/>
              <w:spacing w:line="170" w:lineRule="exact" w:before="23"/>
              <w:ind w:left="470" w:right="463"/>
              <w:jc w:val="center"/>
              <w:rPr>
                <w:sz w:val="16"/>
              </w:rPr>
            </w:pPr>
            <w:r>
              <w:rPr>
                <w:sz w:val="16"/>
              </w:rPr>
              <w:t>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shd w:val="clear" w:color="auto" w:fill="BFBFBF"/>
          </w:tcPr>
          <w:p>
            <w:pPr>
              <w:pStyle w:val="TableParagraph"/>
              <w:rPr>
                <w:sz w:val="14"/>
              </w:rPr>
            </w:pPr>
          </w:p>
        </w:tc>
        <w:tc>
          <w:tcPr>
            <w:tcW w:w="2401" w:type="dxa"/>
            <w:gridSpan w:val="3"/>
          </w:tcPr>
          <w:p>
            <w:pPr>
              <w:pStyle w:val="TableParagraph"/>
              <w:spacing w:line="165" w:lineRule="exact" w:before="25"/>
              <w:ind w:left="107"/>
              <w:rPr>
                <w:b/>
                <w:sz w:val="16"/>
              </w:rPr>
            </w:pPr>
            <w:r>
              <w:rPr>
                <w:b/>
                <w:sz w:val="16"/>
              </w:rPr>
              <w:t>Sub-Total for Cropland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Grassland</w:t>
            </w:r>
          </w:p>
        </w:tc>
        <w:tc>
          <w:tcPr>
            <w:tcW w:w="1222" w:type="dxa"/>
          </w:tcPr>
          <w:p>
            <w:pPr>
              <w:pStyle w:val="TableParagraph"/>
              <w:spacing w:line="170" w:lineRule="exact" w:before="23"/>
              <w:ind w:left="107"/>
              <w:rPr>
                <w:sz w:val="16"/>
              </w:rPr>
            </w:pPr>
            <w:r>
              <w:rPr>
                <w:sz w:val="16"/>
              </w:rPr>
              <w:t>Grassland</w:t>
            </w:r>
          </w:p>
        </w:tc>
        <w:tc>
          <w:tcPr>
            <w:tcW w:w="1179" w:type="dxa"/>
            <w:gridSpan w:val="2"/>
          </w:tcPr>
          <w:p>
            <w:pPr>
              <w:pStyle w:val="TableParagraph"/>
              <w:spacing w:line="170" w:lineRule="exact" w:before="23"/>
              <w:ind w:left="349"/>
              <w:rPr>
                <w:sz w:val="16"/>
              </w:rPr>
            </w:pPr>
            <w:r>
              <w:rPr>
                <w:sz w:val="16"/>
              </w:rPr>
              <w:t>5A,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Forest Land</w:t>
            </w:r>
          </w:p>
        </w:tc>
        <w:tc>
          <w:tcPr>
            <w:tcW w:w="1222" w:type="dxa"/>
          </w:tcPr>
          <w:p>
            <w:pPr>
              <w:pStyle w:val="TableParagraph"/>
              <w:spacing w:line="168" w:lineRule="exact" w:before="23"/>
              <w:ind w:left="108"/>
              <w:rPr>
                <w:sz w:val="16"/>
              </w:rPr>
            </w:pPr>
            <w:r>
              <w:rPr>
                <w:sz w:val="16"/>
              </w:rPr>
              <w:t>Grassland</w:t>
            </w:r>
          </w:p>
        </w:tc>
        <w:tc>
          <w:tcPr>
            <w:tcW w:w="1179" w:type="dxa"/>
            <w:gridSpan w:val="2"/>
          </w:tcPr>
          <w:p>
            <w:pPr>
              <w:pStyle w:val="TableParagraph"/>
              <w:spacing w:line="168" w:lineRule="exact" w:before="23"/>
              <w:ind w:left="354"/>
              <w:rPr>
                <w:sz w:val="16"/>
              </w:rPr>
            </w:pPr>
            <w:r>
              <w:rPr>
                <w:sz w:val="16"/>
              </w:rPr>
              <w:t>5B,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Cropland</w:t>
            </w:r>
          </w:p>
        </w:tc>
        <w:tc>
          <w:tcPr>
            <w:tcW w:w="1222" w:type="dxa"/>
          </w:tcPr>
          <w:p>
            <w:pPr>
              <w:pStyle w:val="TableParagraph"/>
              <w:spacing w:line="168" w:lineRule="exact" w:before="23"/>
              <w:ind w:left="107"/>
              <w:rPr>
                <w:sz w:val="16"/>
              </w:rPr>
            </w:pPr>
            <w:r>
              <w:rPr>
                <w:sz w:val="16"/>
              </w:rPr>
              <w:t>Grassland</w:t>
            </w:r>
          </w:p>
        </w:tc>
        <w:tc>
          <w:tcPr>
            <w:tcW w:w="1179" w:type="dxa"/>
            <w:gridSpan w:val="2"/>
          </w:tcPr>
          <w:p>
            <w:pPr>
              <w:pStyle w:val="TableParagraph"/>
              <w:spacing w:line="168" w:lineRule="exact" w:before="23"/>
              <w:ind w:left="354"/>
              <w:rPr>
                <w:sz w:val="16"/>
              </w:rPr>
            </w:pPr>
            <w:r>
              <w:rPr>
                <w:sz w:val="16"/>
              </w:rPr>
              <w:t>5C,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Wetlands</w:t>
            </w:r>
          </w:p>
        </w:tc>
        <w:tc>
          <w:tcPr>
            <w:tcW w:w="1222" w:type="dxa"/>
          </w:tcPr>
          <w:p>
            <w:pPr>
              <w:pStyle w:val="TableParagraph"/>
              <w:spacing w:line="170" w:lineRule="exact" w:before="23"/>
              <w:ind w:left="106"/>
              <w:rPr>
                <w:sz w:val="16"/>
              </w:rPr>
            </w:pPr>
            <w:r>
              <w:rPr>
                <w:sz w:val="16"/>
              </w:rPr>
              <w:t>Grassland</w:t>
            </w:r>
          </w:p>
        </w:tc>
        <w:tc>
          <w:tcPr>
            <w:tcW w:w="1179" w:type="dxa"/>
            <w:gridSpan w:val="2"/>
          </w:tcPr>
          <w:p>
            <w:pPr>
              <w:pStyle w:val="TableParagraph"/>
              <w:spacing w:line="170" w:lineRule="exact" w:before="23"/>
              <w:ind w:left="354"/>
              <w:rPr>
                <w:sz w:val="16"/>
              </w:rPr>
            </w:pPr>
            <w:r>
              <w:rPr>
                <w:sz w:val="16"/>
              </w:rPr>
              <w:t>5C,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Settlements</w:t>
            </w:r>
          </w:p>
        </w:tc>
        <w:tc>
          <w:tcPr>
            <w:tcW w:w="1222" w:type="dxa"/>
          </w:tcPr>
          <w:p>
            <w:pPr>
              <w:pStyle w:val="TableParagraph"/>
              <w:spacing w:line="168" w:lineRule="exact" w:before="23"/>
              <w:ind w:left="108"/>
              <w:rPr>
                <w:sz w:val="16"/>
              </w:rPr>
            </w:pPr>
            <w:r>
              <w:rPr>
                <w:sz w:val="16"/>
              </w:rPr>
              <w:t>Grassland</w:t>
            </w:r>
          </w:p>
        </w:tc>
        <w:tc>
          <w:tcPr>
            <w:tcW w:w="1179" w:type="dxa"/>
            <w:gridSpan w:val="2"/>
          </w:tcPr>
          <w:p>
            <w:pPr>
              <w:pStyle w:val="TableParagraph"/>
              <w:spacing w:line="168" w:lineRule="exact" w:before="23"/>
              <w:ind w:left="354"/>
              <w:rPr>
                <w:sz w:val="16"/>
              </w:rPr>
            </w:pPr>
            <w:r>
              <w:rPr>
                <w:sz w:val="16"/>
              </w:rPr>
              <w:t>5C,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Other Land</w:t>
            </w:r>
          </w:p>
        </w:tc>
        <w:tc>
          <w:tcPr>
            <w:tcW w:w="1222" w:type="dxa"/>
          </w:tcPr>
          <w:p>
            <w:pPr>
              <w:pStyle w:val="TableParagraph"/>
              <w:spacing w:line="170" w:lineRule="exact" w:before="23"/>
              <w:ind w:left="107"/>
              <w:rPr>
                <w:sz w:val="16"/>
              </w:rPr>
            </w:pPr>
            <w:r>
              <w:rPr>
                <w:sz w:val="16"/>
              </w:rPr>
              <w:t>Grassland</w:t>
            </w:r>
          </w:p>
        </w:tc>
        <w:tc>
          <w:tcPr>
            <w:tcW w:w="1179" w:type="dxa"/>
            <w:gridSpan w:val="2"/>
          </w:tcPr>
          <w:p>
            <w:pPr>
              <w:pStyle w:val="TableParagraph"/>
              <w:spacing w:line="170" w:lineRule="exact" w:before="23"/>
              <w:ind w:left="354"/>
              <w:rPr>
                <w:sz w:val="16"/>
              </w:rPr>
            </w:pPr>
            <w:r>
              <w:rPr>
                <w:sz w:val="16"/>
              </w:rPr>
              <w:t>5C,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shd w:val="clear" w:color="auto" w:fill="BFBFBF"/>
          </w:tcPr>
          <w:p>
            <w:pPr>
              <w:pStyle w:val="TableParagraph"/>
              <w:rPr>
                <w:sz w:val="14"/>
              </w:rPr>
            </w:pPr>
          </w:p>
        </w:tc>
        <w:tc>
          <w:tcPr>
            <w:tcW w:w="2401" w:type="dxa"/>
            <w:gridSpan w:val="3"/>
          </w:tcPr>
          <w:p>
            <w:pPr>
              <w:pStyle w:val="TableParagraph"/>
              <w:spacing w:line="165" w:lineRule="exact" w:before="25"/>
              <w:ind w:left="107"/>
              <w:rPr>
                <w:b/>
                <w:sz w:val="16"/>
              </w:rPr>
            </w:pPr>
            <w:r>
              <w:rPr>
                <w:b/>
                <w:sz w:val="16"/>
              </w:rPr>
              <w:t>Sub-Total for Grassland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Wetlands</w:t>
            </w:r>
          </w:p>
        </w:tc>
        <w:tc>
          <w:tcPr>
            <w:tcW w:w="1222" w:type="dxa"/>
          </w:tcPr>
          <w:p>
            <w:pPr>
              <w:pStyle w:val="TableParagraph"/>
              <w:spacing w:line="170" w:lineRule="exact" w:before="23"/>
              <w:ind w:left="107"/>
              <w:rPr>
                <w:sz w:val="16"/>
              </w:rPr>
            </w:pPr>
            <w:r>
              <w:rPr>
                <w:sz w:val="16"/>
              </w:rPr>
              <w:t>Wetlands</w:t>
            </w:r>
          </w:p>
        </w:tc>
        <w:tc>
          <w:tcPr>
            <w:tcW w:w="1179" w:type="dxa"/>
            <w:gridSpan w:val="2"/>
          </w:tcPr>
          <w:p>
            <w:pPr>
              <w:pStyle w:val="TableParagraph"/>
              <w:spacing w:line="170" w:lineRule="exact" w:before="23"/>
              <w:ind w:left="359"/>
              <w:rPr>
                <w:sz w:val="16"/>
              </w:rPr>
            </w:pPr>
            <w:r>
              <w:rPr>
                <w:sz w:val="16"/>
              </w:rPr>
              <w:t>5A, 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Forest Land</w:t>
            </w:r>
          </w:p>
        </w:tc>
        <w:tc>
          <w:tcPr>
            <w:tcW w:w="1222" w:type="dxa"/>
          </w:tcPr>
          <w:p>
            <w:pPr>
              <w:pStyle w:val="TableParagraph"/>
              <w:spacing w:line="168" w:lineRule="exact" w:before="23"/>
              <w:ind w:left="107"/>
              <w:rPr>
                <w:sz w:val="16"/>
              </w:rPr>
            </w:pPr>
            <w:r>
              <w:rPr>
                <w:sz w:val="16"/>
              </w:rPr>
              <w:t>Wetlands</w:t>
            </w:r>
          </w:p>
        </w:tc>
        <w:tc>
          <w:tcPr>
            <w:tcW w:w="1179" w:type="dxa"/>
            <w:gridSpan w:val="2"/>
          </w:tcPr>
          <w:p>
            <w:pPr>
              <w:pStyle w:val="TableParagraph"/>
              <w:spacing w:line="168"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Cropland</w:t>
            </w:r>
          </w:p>
        </w:tc>
        <w:tc>
          <w:tcPr>
            <w:tcW w:w="1222" w:type="dxa"/>
          </w:tcPr>
          <w:p>
            <w:pPr>
              <w:pStyle w:val="TableParagraph"/>
              <w:spacing w:line="168" w:lineRule="exact" w:before="23"/>
              <w:ind w:left="107"/>
              <w:rPr>
                <w:sz w:val="16"/>
              </w:rPr>
            </w:pPr>
            <w:r>
              <w:rPr>
                <w:sz w:val="16"/>
              </w:rPr>
              <w:t>Wetlands</w:t>
            </w:r>
          </w:p>
        </w:tc>
        <w:tc>
          <w:tcPr>
            <w:tcW w:w="1179" w:type="dxa"/>
            <w:gridSpan w:val="2"/>
          </w:tcPr>
          <w:p>
            <w:pPr>
              <w:pStyle w:val="TableParagraph"/>
              <w:spacing w:line="168" w:lineRule="exact" w:before="23"/>
              <w:ind w:left="467" w:right="463"/>
              <w:jc w:val="center"/>
              <w:rPr>
                <w:sz w:val="16"/>
              </w:rPr>
            </w:pPr>
            <w:r>
              <w:rPr>
                <w:sz w:val="16"/>
              </w:rPr>
              <w:t>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Grassland</w:t>
            </w:r>
          </w:p>
        </w:tc>
        <w:tc>
          <w:tcPr>
            <w:tcW w:w="1222" w:type="dxa"/>
          </w:tcPr>
          <w:p>
            <w:pPr>
              <w:pStyle w:val="TableParagraph"/>
              <w:spacing w:line="170" w:lineRule="exact" w:before="23"/>
              <w:ind w:left="108"/>
              <w:rPr>
                <w:sz w:val="16"/>
              </w:rPr>
            </w:pPr>
            <w:r>
              <w:rPr>
                <w:sz w:val="16"/>
              </w:rPr>
              <w:t>Wetlands</w:t>
            </w:r>
          </w:p>
        </w:tc>
        <w:tc>
          <w:tcPr>
            <w:tcW w:w="1179" w:type="dxa"/>
            <w:gridSpan w:val="2"/>
          </w:tcPr>
          <w:p>
            <w:pPr>
              <w:pStyle w:val="TableParagraph"/>
              <w:spacing w:line="170"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Settlements</w:t>
            </w:r>
          </w:p>
        </w:tc>
        <w:tc>
          <w:tcPr>
            <w:tcW w:w="1222" w:type="dxa"/>
          </w:tcPr>
          <w:p>
            <w:pPr>
              <w:pStyle w:val="TableParagraph"/>
              <w:spacing w:line="168" w:lineRule="exact" w:before="23"/>
              <w:ind w:left="107"/>
              <w:rPr>
                <w:sz w:val="16"/>
              </w:rPr>
            </w:pPr>
            <w:r>
              <w:rPr>
                <w:sz w:val="16"/>
              </w:rPr>
              <w:t>Wetlands</w:t>
            </w:r>
          </w:p>
        </w:tc>
        <w:tc>
          <w:tcPr>
            <w:tcW w:w="1179" w:type="dxa"/>
            <w:gridSpan w:val="2"/>
          </w:tcPr>
          <w:p>
            <w:pPr>
              <w:pStyle w:val="TableParagraph"/>
              <w:spacing w:line="168" w:lineRule="exact" w:before="23"/>
              <w:ind w:left="467" w:right="463"/>
              <w:jc w:val="center"/>
              <w:rPr>
                <w:sz w:val="16"/>
              </w:rPr>
            </w:pPr>
            <w:r>
              <w:rPr>
                <w:sz w:val="16"/>
              </w:rPr>
              <w:t>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Other Land</w:t>
            </w:r>
          </w:p>
        </w:tc>
        <w:tc>
          <w:tcPr>
            <w:tcW w:w="1222" w:type="dxa"/>
          </w:tcPr>
          <w:p>
            <w:pPr>
              <w:pStyle w:val="TableParagraph"/>
              <w:spacing w:line="170" w:lineRule="exact" w:before="23"/>
              <w:ind w:left="107"/>
              <w:rPr>
                <w:sz w:val="16"/>
              </w:rPr>
            </w:pPr>
            <w:r>
              <w:rPr>
                <w:sz w:val="16"/>
              </w:rPr>
              <w:t>Wetlands</w:t>
            </w:r>
          </w:p>
        </w:tc>
        <w:tc>
          <w:tcPr>
            <w:tcW w:w="1179" w:type="dxa"/>
            <w:gridSpan w:val="2"/>
          </w:tcPr>
          <w:p>
            <w:pPr>
              <w:pStyle w:val="TableParagraph"/>
              <w:spacing w:line="170" w:lineRule="exact" w:before="23"/>
              <w:ind w:left="467" w:right="463"/>
              <w:jc w:val="center"/>
              <w:rPr>
                <w:sz w:val="16"/>
              </w:rPr>
            </w:pPr>
            <w:r>
              <w:rPr>
                <w:sz w:val="16"/>
              </w:rPr>
              <w:t>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shd w:val="clear" w:color="auto" w:fill="BFBFBF"/>
          </w:tcPr>
          <w:p>
            <w:pPr>
              <w:pStyle w:val="TableParagraph"/>
              <w:rPr>
                <w:sz w:val="14"/>
              </w:rPr>
            </w:pPr>
          </w:p>
        </w:tc>
        <w:tc>
          <w:tcPr>
            <w:tcW w:w="2401" w:type="dxa"/>
            <w:gridSpan w:val="3"/>
          </w:tcPr>
          <w:p>
            <w:pPr>
              <w:pStyle w:val="TableParagraph"/>
              <w:spacing w:line="165" w:lineRule="exact" w:before="25"/>
              <w:ind w:left="388"/>
              <w:rPr>
                <w:b/>
                <w:sz w:val="16"/>
              </w:rPr>
            </w:pPr>
            <w:r>
              <w:rPr>
                <w:b/>
                <w:sz w:val="16"/>
              </w:rPr>
              <w:t>Sub-Total for Wetlands</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bl>
    <w:p>
      <w:pPr>
        <w:pStyle w:val="Heading5"/>
        <w:spacing w:line="273" w:lineRule="exact"/>
        <w:ind w:left="3002"/>
      </w:pPr>
      <w:r>
        <w:rPr/>
        <w:t>(SEE CONTINUATION OF ROWS FOR OTHER CATEGORIES ON BACK PAGE)</w:t>
      </w:r>
    </w:p>
    <w:p>
      <w:pPr>
        <w:spacing w:after="0" w:line="273" w:lineRule="exact"/>
        <w:sectPr>
          <w:headerReference w:type="even" r:id="rId211"/>
          <w:headerReference w:type="default" r:id="rId212"/>
          <w:footerReference w:type="even" r:id="rId213"/>
          <w:footerReference w:type="default" r:id="rId214"/>
          <w:pgSz w:w="16840" w:h="11900" w:orient="landscape"/>
          <w:pgMar w:header="1034" w:footer="288" w:top="1340" w:bottom="480" w:left="1200" w:right="460"/>
        </w:sectPr>
      </w:pPr>
    </w:p>
    <w:p>
      <w:pPr>
        <w:pStyle w:val="BodyText"/>
        <w:spacing w:before="3"/>
        <w:rPr>
          <w:sz w:val="4"/>
        </w:rPr>
      </w:pPr>
    </w:p>
    <w:p>
      <w:pPr>
        <w:pStyle w:val="BodyText"/>
        <w:spacing w:line="20" w:lineRule="exact"/>
        <w:ind w:left="181"/>
        <w:rPr>
          <w:sz w:val="2"/>
        </w:rPr>
      </w:pPr>
      <w:r>
        <w:rPr>
          <w:sz w:val="2"/>
        </w:rPr>
        <w:pict>
          <v:group style="width:722.9pt;height:.75pt;mso-position-horizontal-relative:char;mso-position-vertical-relative:line" coordorigin="0,0" coordsize="14458,15">
            <v:line style="position:absolute" from="0,8" to="14458,8" stroked="true" strokeweight=".75pt" strokecolor="#010101">
              <v:stroke dashstyle="solid"/>
            </v:line>
          </v:group>
        </w:pict>
      </w:r>
      <w:r>
        <w:rPr>
          <w:sz w:val="2"/>
        </w:rPr>
      </w:r>
    </w:p>
    <w:p>
      <w:pPr>
        <w:pStyle w:val="BodyText"/>
      </w:pPr>
    </w:p>
    <w:p>
      <w:pPr>
        <w:pStyle w:val="BodyText"/>
      </w:pPr>
    </w:p>
    <w:p>
      <w:pPr>
        <w:pStyle w:val="BodyText"/>
      </w:pPr>
    </w:p>
    <w:p>
      <w:pPr>
        <w:pStyle w:val="BodyText"/>
        <w:spacing w:before="10"/>
        <w:rPr>
          <w:sz w:val="17"/>
        </w:rPr>
      </w:pPr>
    </w:p>
    <w:tbl>
      <w:tblPr>
        <w:tblW w:w="0" w:type="auto"/>
        <w:jc w:val="left"/>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
        <w:gridCol w:w="893"/>
        <w:gridCol w:w="1222"/>
        <w:gridCol w:w="108"/>
        <w:gridCol w:w="1071"/>
        <w:gridCol w:w="1414"/>
        <w:gridCol w:w="1536"/>
        <w:gridCol w:w="1358"/>
        <w:gridCol w:w="1629"/>
        <w:gridCol w:w="1087"/>
        <w:gridCol w:w="1265"/>
        <w:gridCol w:w="1267"/>
        <w:gridCol w:w="1449"/>
      </w:tblGrid>
      <w:tr>
        <w:trPr>
          <w:trHeight w:val="680" w:hRule="atLeast"/>
        </w:trPr>
        <w:tc>
          <w:tcPr>
            <w:tcW w:w="14407" w:type="dxa"/>
            <w:gridSpan w:val="13"/>
            <w:tcBorders>
              <w:bottom w:val="double" w:sz="1" w:space="0" w:color="000000"/>
            </w:tcBorders>
          </w:tcPr>
          <w:p>
            <w:pPr>
              <w:pStyle w:val="TableParagraph"/>
              <w:spacing w:before="88"/>
              <w:ind w:left="2622" w:right="2613"/>
              <w:jc w:val="center"/>
              <w:rPr>
                <w:b/>
                <w:sz w:val="18"/>
              </w:rPr>
            </w:pPr>
            <w:r>
              <w:rPr>
                <w:b/>
                <w:sz w:val="18"/>
              </w:rPr>
              <w:t>T</w:t>
            </w:r>
            <w:r>
              <w:rPr>
                <w:b/>
                <w:sz w:val="14"/>
              </w:rPr>
              <w:t>ABLE </w:t>
            </w:r>
            <w:r>
              <w:rPr>
                <w:b/>
                <w:sz w:val="18"/>
              </w:rPr>
              <w:t>3A.2.1A (C</w:t>
            </w:r>
            <w:r>
              <w:rPr>
                <w:b/>
                <w:sz w:val="14"/>
              </w:rPr>
              <w:t>ONTINUED</w:t>
            </w:r>
            <w:r>
              <w:rPr>
                <w:b/>
                <w:sz w:val="18"/>
              </w:rPr>
              <w:t>)</w:t>
            </w:r>
          </w:p>
          <w:p>
            <w:pPr>
              <w:pStyle w:val="TableParagraph"/>
              <w:spacing w:before="120"/>
              <w:ind w:left="2622" w:right="2615"/>
              <w:jc w:val="center"/>
              <w:rPr>
                <w:b/>
                <w:sz w:val="14"/>
              </w:rPr>
            </w:pPr>
            <w:r>
              <w:rPr>
                <w:b/>
                <w:sz w:val="18"/>
              </w:rPr>
              <w:t>R</w:t>
            </w:r>
            <w:r>
              <w:rPr>
                <w:b/>
                <w:sz w:val="14"/>
              </w:rPr>
              <w:t>EPORTING </w:t>
            </w:r>
            <w:r>
              <w:rPr>
                <w:b/>
                <w:sz w:val="18"/>
              </w:rPr>
              <w:t>T</w:t>
            </w:r>
            <w:r>
              <w:rPr>
                <w:b/>
                <w:sz w:val="14"/>
              </w:rPr>
              <w:t>ABLE FOR </w:t>
            </w:r>
            <w:r>
              <w:rPr>
                <w:b/>
                <w:sz w:val="18"/>
              </w:rPr>
              <w:t>E</w:t>
            </w:r>
            <w:r>
              <w:rPr>
                <w:b/>
                <w:sz w:val="14"/>
              </w:rPr>
              <w:t>MISSIONS AND </w:t>
            </w:r>
            <w:r>
              <w:rPr>
                <w:b/>
                <w:sz w:val="18"/>
              </w:rPr>
              <w:t>R</w:t>
            </w:r>
            <w:r>
              <w:rPr>
                <w:b/>
                <w:sz w:val="14"/>
              </w:rPr>
              <w:t>EMOVALS OF </w:t>
            </w:r>
            <w:r>
              <w:rPr>
                <w:b/>
                <w:sz w:val="18"/>
              </w:rPr>
              <w:t>CO</w:t>
            </w:r>
            <w:r>
              <w:rPr>
                <w:b/>
                <w:position w:val="-2"/>
                <w:sz w:val="12"/>
              </w:rPr>
              <w:t>2 </w:t>
            </w:r>
            <w:r>
              <w:rPr>
                <w:b/>
                <w:sz w:val="14"/>
              </w:rPr>
              <w:t>AND NON</w:t>
            </w:r>
            <w:r>
              <w:rPr>
                <w:b/>
                <w:sz w:val="18"/>
              </w:rPr>
              <w:t>-CO</w:t>
            </w:r>
            <w:r>
              <w:rPr>
                <w:b/>
                <w:position w:val="-2"/>
                <w:sz w:val="12"/>
              </w:rPr>
              <w:t>2 </w:t>
            </w:r>
            <w:r>
              <w:rPr>
                <w:b/>
                <w:sz w:val="18"/>
              </w:rPr>
              <w:t>G</w:t>
            </w:r>
            <w:r>
              <w:rPr>
                <w:b/>
                <w:sz w:val="14"/>
              </w:rPr>
              <w:t>ASES FROM </w:t>
            </w:r>
            <w:r>
              <w:rPr>
                <w:b/>
                <w:sz w:val="18"/>
              </w:rPr>
              <w:t>LULUCF </w:t>
            </w:r>
            <w:r>
              <w:rPr>
                <w:b/>
                <w:sz w:val="14"/>
              </w:rPr>
              <w:t>IN THE </w:t>
            </w:r>
            <w:r>
              <w:rPr>
                <w:b/>
                <w:sz w:val="18"/>
              </w:rPr>
              <w:t>R</w:t>
            </w:r>
            <w:r>
              <w:rPr>
                <w:b/>
                <w:sz w:val="14"/>
              </w:rPr>
              <w:t>EPORTING </w:t>
            </w:r>
            <w:r>
              <w:rPr>
                <w:b/>
                <w:sz w:val="18"/>
              </w:rPr>
              <w:t>Y</w:t>
            </w:r>
            <w:r>
              <w:rPr>
                <w:b/>
                <w:sz w:val="14"/>
              </w:rPr>
              <w:t>EAR</w:t>
            </w:r>
          </w:p>
        </w:tc>
      </w:tr>
      <w:tr>
        <w:trPr>
          <w:trHeight w:val="395" w:hRule="atLeast"/>
        </w:trPr>
        <w:tc>
          <w:tcPr>
            <w:tcW w:w="2223" w:type="dxa"/>
            <w:gridSpan w:val="3"/>
            <w:tcBorders>
              <w:top w:val="double" w:sz="1" w:space="0" w:color="000000"/>
            </w:tcBorders>
            <w:shd w:val="clear" w:color="auto" w:fill="BFBFBF"/>
          </w:tcPr>
          <w:p>
            <w:pPr>
              <w:pStyle w:val="TableParagraph"/>
              <w:spacing w:line="180" w:lineRule="atLeast" w:before="25"/>
              <w:ind w:left="789" w:right="779"/>
              <w:jc w:val="center"/>
              <w:rPr>
                <w:b/>
                <w:sz w:val="16"/>
              </w:rPr>
            </w:pPr>
            <w:r>
              <w:rPr>
                <w:b/>
                <w:sz w:val="16"/>
              </w:rPr>
              <w:t>Land-use Category</w:t>
            </w:r>
          </w:p>
        </w:tc>
        <w:tc>
          <w:tcPr>
            <w:tcW w:w="108" w:type="dxa"/>
            <w:vMerge w:val="restart"/>
            <w:tcBorders>
              <w:top w:val="double" w:sz="1" w:space="0" w:color="000000"/>
              <w:right w:val="nil"/>
            </w:tcBorders>
            <w:shd w:val="clear" w:color="auto" w:fill="BFBFBF"/>
          </w:tcPr>
          <w:p>
            <w:pPr>
              <w:pStyle w:val="TableParagraph"/>
              <w:rPr>
                <w:sz w:val="16"/>
              </w:rPr>
            </w:pPr>
          </w:p>
        </w:tc>
        <w:tc>
          <w:tcPr>
            <w:tcW w:w="1071" w:type="dxa"/>
            <w:tcBorders>
              <w:top w:val="double" w:sz="1" w:space="0" w:color="000000"/>
              <w:left w:val="nil"/>
              <w:bottom w:val="nil"/>
            </w:tcBorders>
            <w:shd w:val="clear" w:color="auto" w:fill="BFBFBF"/>
          </w:tcPr>
          <w:p>
            <w:pPr>
              <w:pStyle w:val="TableParagraph"/>
              <w:spacing w:before="27"/>
              <w:ind w:left="62" w:right="156"/>
              <w:jc w:val="center"/>
              <w:rPr>
                <w:rFonts w:ascii="TimesNewRomanPS-BoldItalicMT"/>
                <w:b/>
                <w:i/>
                <w:sz w:val="16"/>
              </w:rPr>
            </w:pPr>
            <w:r>
              <w:rPr>
                <w:rFonts w:ascii="TimesNewRomanPS-BoldItalicMT"/>
                <w:b/>
                <w:i/>
                <w:sz w:val="16"/>
              </w:rPr>
              <w:t>IPCC</w:t>
            </w:r>
          </w:p>
          <w:p>
            <w:pPr>
              <w:pStyle w:val="TableParagraph"/>
              <w:spacing w:line="144" w:lineRule="exact" w:before="20"/>
              <w:ind w:left="62" w:right="160"/>
              <w:jc w:val="center"/>
              <w:rPr>
                <w:b/>
                <w:sz w:val="16"/>
              </w:rPr>
            </w:pPr>
            <w:r>
              <w:rPr>
                <w:rFonts w:ascii="TimesNewRomanPS-BoldItalicMT"/>
                <w:b/>
                <w:i/>
                <w:sz w:val="16"/>
              </w:rPr>
              <w:t>Guidelines </w:t>
            </w:r>
            <w:r>
              <w:rPr>
                <w:b/>
                <w:sz w:val="16"/>
                <w:vertAlign w:val="superscript"/>
              </w:rPr>
              <w:t>1</w:t>
            </w:r>
          </w:p>
        </w:tc>
        <w:tc>
          <w:tcPr>
            <w:tcW w:w="5937" w:type="dxa"/>
            <w:gridSpan w:val="4"/>
            <w:tcBorders>
              <w:top w:val="double" w:sz="1" w:space="0" w:color="000000"/>
            </w:tcBorders>
            <w:shd w:val="clear" w:color="auto" w:fill="BFBFBF"/>
          </w:tcPr>
          <w:p>
            <w:pPr>
              <w:pStyle w:val="TableParagraph"/>
              <w:spacing w:before="24"/>
              <w:ind w:left="1568"/>
              <w:rPr>
                <w:b/>
                <w:sz w:val="10"/>
              </w:rPr>
            </w:pPr>
            <w:r>
              <w:rPr>
                <w:b/>
                <w:position w:val="2"/>
                <w:sz w:val="16"/>
              </w:rPr>
              <w:t>Annual change in carbon stocks, Gg CO</w:t>
            </w:r>
            <w:r>
              <w:rPr>
                <w:b/>
                <w:sz w:val="10"/>
              </w:rPr>
              <w:t>2</w:t>
            </w:r>
          </w:p>
        </w:tc>
        <w:tc>
          <w:tcPr>
            <w:tcW w:w="1087" w:type="dxa"/>
            <w:tcBorders>
              <w:top w:val="double" w:sz="1" w:space="0" w:color="000000"/>
              <w:bottom w:val="nil"/>
            </w:tcBorders>
            <w:shd w:val="clear" w:color="auto" w:fill="BFBFBF"/>
          </w:tcPr>
          <w:p>
            <w:pPr>
              <w:pStyle w:val="TableParagraph"/>
              <w:spacing w:before="24"/>
              <w:ind w:left="89" w:right="81"/>
              <w:jc w:val="center"/>
              <w:rPr>
                <w:b/>
                <w:sz w:val="10"/>
              </w:rPr>
            </w:pPr>
            <w:r>
              <w:rPr>
                <w:b/>
                <w:position w:val="2"/>
                <w:sz w:val="16"/>
              </w:rPr>
              <w:t>CH</w:t>
            </w:r>
            <w:r>
              <w:rPr>
                <w:b/>
                <w:sz w:val="10"/>
              </w:rPr>
              <w:t>4</w:t>
            </w:r>
          </w:p>
        </w:tc>
        <w:tc>
          <w:tcPr>
            <w:tcW w:w="1265" w:type="dxa"/>
            <w:tcBorders>
              <w:top w:val="double" w:sz="1" w:space="0" w:color="000000"/>
              <w:bottom w:val="nil"/>
            </w:tcBorders>
            <w:shd w:val="clear" w:color="auto" w:fill="BFBFBF"/>
          </w:tcPr>
          <w:p>
            <w:pPr>
              <w:pStyle w:val="TableParagraph"/>
              <w:spacing w:before="24"/>
              <w:ind w:left="454" w:right="446"/>
              <w:jc w:val="center"/>
              <w:rPr>
                <w:b/>
                <w:sz w:val="16"/>
              </w:rPr>
            </w:pPr>
            <w:r>
              <w:rPr>
                <w:b/>
                <w:position w:val="2"/>
                <w:sz w:val="16"/>
              </w:rPr>
              <w:t>N</w:t>
            </w:r>
            <w:r>
              <w:rPr>
                <w:b/>
                <w:sz w:val="10"/>
              </w:rPr>
              <w:t>2</w:t>
            </w:r>
            <w:r>
              <w:rPr>
                <w:b/>
                <w:position w:val="2"/>
                <w:sz w:val="16"/>
              </w:rPr>
              <w:t>O</w:t>
            </w:r>
          </w:p>
        </w:tc>
        <w:tc>
          <w:tcPr>
            <w:tcW w:w="1267" w:type="dxa"/>
            <w:tcBorders>
              <w:top w:val="double" w:sz="1" w:space="0" w:color="000000"/>
              <w:bottom w:val="nil"/>
            </w:tcBorders>
            <w:shd w:val="clear" w:color="auto" w:fill="BFBFBF"/>
          </w:tcPr>
          <w:p>
            <w:pPr>
              <w:pStyle w:val="TableParagraph"/>
              <w:spacing w:before="3"/>
              <w:ind w:left="438"/>
              <w:rPr>
                <w:b/>
                <w:sz w:val="12"/>
              </w:rPr>
            </w:pPr>
            <w:r>
              <w:rPr>
                <w:b/>
                <w:position w:val="2"/>
                <w:sz w:val="16"/>
              </w:rPr>
              <w:t>NO</w:t>
            </w:r>
            <w:r>
              <w:rPr>
                <w:b/>
                <w:sz w:val="10"/>
              </w:rPr>
              <w:t>x </w:t>
            </w:r>
            <w:r>
              <w:rPr>
                <w:b/>
                <w:position w:val="10"/>
                <w:sz w:val="12"/>
              </w:rPr>
              <w:t>3</w:t>
            </w:r>
          </w:p>
        </w:tc>
        <w:tc>
          <w:tcPr>
            <w:tcW w:w="1449" w:type="dxa"/>
            <w:tcBorders>
              <w:top w:val="double" w:sz="1" w:space="0" w:color="000000"/>
              <w:bottom w:val="nil"/>
            </w:tcBorders>
            <w:shd w:val="clear" w:color="auto" w:fill="BFBFBF"/>
          </w:tcPr>
          <w:p>
            <w:pPr>
              <w:pStyle w:val="TableParagraph"/>
              <w:spacing w:before="47"/>
              <w:ind w:left="107" w:right="103"/>
              <w:jc w:val="center"/>
              <w:rPr>
                <w:b/>
                <w:sz w:val="16"/>
              </w:rPr>
            </w:pPr>
            <w:r>
              <w:rPr>
                <w:b/>
                <w:sz w:val="16"/>
              </w:rPr>
              <w:t>CO </w:t>
            </w:r>
            <w:r>
              <w:rPr>
                <w:b/>
                <w:sz w:val="16"/>
                <w:vertAlign w:val="superscript"/>
              </w:rPr>
              <w:t>3</w:t>
            </w:r>
          </w:p>
        </w:tc>
      </w:tr>
      <w:tr>
        <w:trPr>
          <w:trHeight w:val="1144" w:hRule="atLeast"/>
        </w:trPr>
        <w:tc>
          <w:tcPr>
            <w:tcW w:w="108" w:type="dxa"/>
            <w:tcBorders>
              <w:right w:val="nil"/>
            </w:tcBorders>
            <w:shd w:val="clear" w:color="auto" w:fill="E4E4E4"/>
          </w:tcPr>
          <w:p>
            <w:pPr>
              <w:pStyle w:val="TableParagraph"/>
              <w:rPr>
                <w:sz w:val="16"/>
              </w:rPr>
            </w:pPr>
          </w:p>
        </w:tc>
        <w:tc>
          <w:tcPr>
            <w:tcW w:w="893" w:type="dxa"/>
            <w:tcBorders>
              <w:left w:val="nil"/>
            </w:tcBorders>
            <w:shd w:val="clear" w:color="auto" w:fill="E4E4E4"/>
          </w:tcPr>
          <w:p>
            <w:pPr>
              <w:pStyle w:val="TableParagraph"/>
              <w:spacing w:before="25"/>
              <w:ind w:left="76" w:right="167" w:firstLine="110"/>
              <w:rPr>
                <w:b/>
                <w:sz w:val="16"/>
              </w:rPr>
            </w:pPr>
            <w:r>
              <w:rPr>
                <w:b/>
                <w:sz w:val="16"/>
              </w:rPr>
              <w:t>Initial Land-use</w:t>
            </w:r>
          </w:p>
        </w:tc>
        <w:tc>
          <w:tcPr>
            <w:tcW w:w="1222" w:type="dxa"/>
            <w:shd w:val="clear" w:color="auto" w:fill="E4E4E4"/>
          </w:tcPr>
          <w:p>
            <w:pPr>
              <w:pStyle w:val="TableParagraph"/>
              <w:spacing w:before="25"/>
              <w:ind w:left="285" w:right="275" w:firstLine="2"/>
              <w:jc w:val="center"/>
              <w:rPr>
                <w:b/>
                <w:sz w:val="16"/>
              </w:rPr>
            </w:pPr>
            <w:r>
              <w:rPr>
                <w:b/>
                <w:sz w:val="16"/>
              </w:rPr>
              <w:t>Land-use during reporting Year</w:t>
            </w:r>
          </w:p>
        </w:tc>
        <w:tc>
          <w:tcPr>
            <w:tcW w:w="108" w:type="dxa"/>
            <w:vMerge/>
            <w:tcBorders>
              <w:top w:val="nil"/>
              <w:right w:val="nil"/>
            </w:tcBorders>
            <w:shd w:val="clear" w:color="auto" w:fill="BFBFBF"/>
          </w:tcPr>
          <w:p>
            <w:pPr>
              <w:rPr>
                <w:sz w:val="2"/>
                <w:szCs w:val="2"/>
              </w:rPr>
            </w:pPr>
          </w:p>
        </w:tc>
        <w:tc>
          <w:tcPr>
            <w:tcW w:w="1071" w:type="dxa"/>
            <w:tcBorders>
              <w:top w:val="nil"/>
              <w:left w:val="nil"/>
            </w:tcBorders>
            <w:shd w:val="clear" w:color="auto" w:fill="BFBFBF"/>
          </w:tcPr>
          <w:p>
            <w:pPr>
              <w:pStyle w:val="TableParagraph"/>
              <w:rPr>
                <w:sz w:val="16"/>
              </w:rPr>
            </w:pPr>
          </w:p>
        </w:tc>
        <w:tc>
          <w:tcPr>
            <w:tcW w:w="1414" w:type="dxa"/>
            <w:shd w:val="clear" w:color="auto" w:fill="E4E4E4"/>
          </w:tcPr>
          <w:p>
            <w:pPr>
              <w:pStyle w:val="TableParagraph"/>
              <w:spacing w:before="25"/>
              <w:ind w:left="158" w:right="152"/>
              <w:jc w:val="center"/>
              <w:rPr>
                <w:b/>
                <w:sz w:val="16"/>
              </w:rPr>
            </w:pPr>
            <w:r>
              <w:rPr>
                <w:b/>
                <w:sz w:val="16"/>
              </w:rPr>
              <w:t>Living Biomass</w:t>
            </w:r>
          </w:p>
          <w:p>
            <w:pPr>
              <w:pStyle w:val="TableParagraph"/>
              <w:rPr>
                <w:sz w:val="18"/>
              </w:rPr>
            </w:pPr>
          </w:p>
          <w:p>
            <w:pPr>
              <w:pStyle w:val="TableParagraph"/>
              <w:rPr>
                <w:sz w:val="18"/>
              </w:rPr>
            </w:pPr>
          </w:p>
          <w:p>
            <w:pPr>
              <w:pStyle w:val="TableParagraph"/>
              <w:rPr>
                <w:sz w:val="18"/>
              </w:rPr>
            </w:pPr>
          </w:p>
          <w:p>
            <w:pPr>
              <w:pStyle w:val="TableParagraph"/>
              <w:spacing w:line="180" w:lineRule="exact" w:before="115"/>
              <w:ind w:left="5"/>
              <w:jc w:val="center"/>
              <w:rPr>
                <w:b/>
                <w:sz w:val="16"/>
              </w:rPr>
            </w:pPr>
            <w:r>
              <w:rPr>
                <w:b/>
                <w:w w:val="100"/>
                <w:sz w:val="16"/>
              </w:rPr>
              <w:t>A</w:t>
            </w:r>
          </w:p>
        </w:tc>
        <w:tc>
          <w:tcPr>
            <w:tcW w:w="1536" w:type="dxa"/>
            <w:shd w:val="clear" w:color="auto" w:fill="E4E4E4"/>
          </w:tcPr>
          <w:p>
            <w:pPr>
              <w:pStyle w:val="TableParagraph"/>
              <w:spacing w:before="25"/>
              <w:ind w:left="286" w:right="282"/>
              <w:jc w:val="center"/>
              <w:rPr>
                <w:b/>
                <w:sz w:val="16"/>
              </w:rPr>
            </w:pPr>
            <w:r>
              <w:rPr>
                <w:b/>
                <w:sz w:val="16"/>
              </w:rPr>
              <w:t>Dead Organic Matter</w:t>
            </w:r>
          </w:p>
          <w:p>
            <w:pPr>
              <w:pStyle w:val="TableParagraph"/>
              <w:rPr>
                <w:sz w:val="18"/>
              </w:rPr>
            </w:pPr>
          </w:p>
          <w:p>
            <w:pPr>
              <w:pStyle w:val="TableParagraph"/>
              <w:rPr>
                <w:sz w:val="18"/>
              </w:rPr>
            </w:pPr>
          </w:p>
          <w:p>
            <w:pPr>
              <w:pStyle w:val="TableParagraph"/>
              <w:spacing w:line="180" w:lineRule="exact" w:before="138"/>
              <w:ind w:left="3"/>
              <w:jc w:val="center"/>
              <w:rPr>
                <w:b/>
                <w:sz w:val="16"/>
              </w:rPr>
            </w:pPr>
            <w:r>
              <w:rPr>
                <w:b/>
                <w:w w:val="100"/>
                <w:sz w:val="16"/>
              </w:rPr>
              <w:t>B</w:t>
            </w:r>
          </w:p>
        </w:tc>
        <w:tc>
          <w:tcPr>
            <w:tcW w:w="1358" w:type="dxa"/>
            <w:shd w:val="clear" w:color="auto" w:fill="E4E4E4"/>
          </w:tcPr>
          <w:p>
            <w:pPr>
              <w:pStyle w:val="TableParagraph"/>
              <w:spacing w:before="25"/>
              <w:ind w:left="497" w:right="490"/>
              <w:jc w:val="center"/>
              <w:rPr>
                <w:b/>
                <w:sz w:val="16"/>
              </w:rPr>
            </w:pPr>
            <w:r>
              <w:rPr>
                <w:b/>
                <w:sz w:val="16"/>
              </w:rPr>
              <w:t>Soils</w:t>
            </w:r>
          </w:p>
          <w:p>
            <w:pPr>
              <w:pStyle w:val="TableParagraph"/>
              <w:rPr>
                <w:sz w:val="18"/>
              </w:rPr>
            </w:pPr>
          </w:p>
          <w:p>
            <w:pPr>
              <w:pStyle w:val="TableParagraph"/>
              <w:rPr>
                <w:sz w:val="18"/>
              </w:rPr>
            </w:pPr>
          </w:p>
          <w:p>
            <w:pPr>
              <w:pStyle w:val="TableParagraph"/>
              <w:rPr>
                <w:sz w:val="18"/>
              </w:rPr>
            </w:pPr>
          </w:p>
          <w:p>
            <w:pPr>
              <w:pStyle w:val="TableParagraph"/>
              <w:spacing w:line="180" w:lineRule="exact" w:before="115"/>
              <w:ind w:left="7"/>
              <w:jc w:val="center"/>
              <w:rPr>
                <w:b/>
                <w:sz w:val="16"/>
              </w:rPr>
            </w:pPr>
            <w:r>
              <w:rPr>
                <w:b/>
                <w:w w:val="100"/>
                <w:sz w:val="16"/>
              </w:rPr>
              <w:t>C</w:t>
            </w:r>
          </w:p>
        </w:tc>
        <w:tc>
          <w:tcPr>
            <w:tcW w:w="1629" w:type="dxa"/>
            <w:shd w:val="clear" w:color="auto" w:fill="E4E4E4"/>
          </w:tcPr>
          <w:p>
            <w:pPr>
              <w:pStyle w:val="TableParagraph"/>
              <w:spacing w:line="232" w:lineRule="auto" w:before="29"/>
              <w:ind w:left="154" w:right="148"/>
              <w:jc w:val="center"/>
              <w:rPr>
                <w:b/>
                <w:sz w:val="16"/>
              </w:rPr>
            </w:pPr>
            <w:r>
              <w:rPr>
                <w:b/>
                <w:position w:val="2"/>
                <w:sz w:val="16"/>
              </w:rPr>
              <w:t>CO</w:t>
            </w:r>
            <w:r>
              <w:rPr>
                <w:b/>
                <w:sz w:val="10"/>
              </w:rPr>
              <w:t>2 </w:t>
            </w:r>
            <w:r>
              <w:rPr>
                <w:b/>
                <w:position w:val="2"/>
                <w:sz w:val="16"/>
              </w:rPr>
              <w:t>Emissions/ </w:t>
            </w:r>
            <w:r>
              <w:rPr>
                <w:b/>
                <w:sz w:val="16"/>
              </w:rPr>
              <w:t>Removals </w:t>
            </w:r>
            <w:r>
              <w:rPr>
                <w:b/>
                <w:sz w:val="16"/>
                <w:vertAlign w:val="superscript"/>
              </w:rPr>
              <w:t>2</w:t>
            </w:r>
          </w:p>
          <w:p>
            <w:pPr>
              <w:pStyle w:val="TableParagraph"/>
              <w:spacing w:line="350" w:lineRule="atLeast" w:before="44"/>
              <w:ind w:left="159" w:right="148"/>
              <w:jc w:val="center"/>
              <w:rPr>
                <w:b/>
                <w:sz w:val="16"/>
              </w:rPr>
            </w:pPr>
            <w:r>
              <w:rPr>
                <w:b/>
                <w:sz w:val="16"/>
              </w:rPr>
              <w:t>D = (A+B+C) </w:t>
            </w:r>
            <w:r>
              <w:rPr>
                <w:rFonts w:ascii="Symbol" w:hAnsi="Symbol"/>
                <w:sz w:val="16"/>
              </w:rPr>
              <w:t>• </w:t>
            </w:r>
            <w:r>
              <w:rPr>
                <w:b/>
                <w:sz w:val="16"/>
              </w:rPr>
              <w:t>(-1) D</w:t>
            </w:r>
          </w:p>
        </w:tc>
        <w:tc>
          <w:tcPr>
            <w:tcW w:w="1087" w:type="dxa"/>
            <w:tcBorders>
              <w:top w:val="nil"/>
            </w:tcBorders>
            <w:shd w:val="clear" w:color="auto" w:fill="BFBFBF"/>
          </w:tcPr>
          <w:p>
            <w:pPr>
              <w:pStyle w:val="TableParagraph"/>
              <w:spacing w:line="171" w:lineRule="exact"/>
              <w:ind w:left="89" w:right="83"/>
              <w:jc w:val="center"/>
              <w:rPr>
                <w:b/>
                <w:sz w:val="16"/>
              </w:rPr>
            </w:pPr>
            <w:r>
              <w:rPr>
                <w:b/>
                <w:sz w:val="16"/>
              </w:rPr>
              <w:t>(Gg)</w:t>
            </w:r>
          </w:p>
        </w:tc>
        <w:tc>
          <w:tcPr>
            <w:tcW w:w="1265" w:type="dxa"/>
            <w:tcBorders>
              <w:top w:val="nil"/>
            </w:tcBorders>
            <w:shd w:val="clear" w:color="auto" w:fill="BFBFBF"/>
          </w:tcPr>
          <w:p>
            <w:pPr>
              <w:pStyle w:val="TableParagraph"/>
              <w:spacing w:line="171" w:lineRule="exact"/>
              <w:ind w:left="457" w:right="446"/>
              <w:jc w:val="center"/>
              <w:rPr>
                <w:b/>
                <w:sz w:val="16"/>
              </w:rPr>
            </w:pPr>
            <w:r>
              <w:rPr>
                <w:b/>
                <w:sz w:val="16"/>
              </w:rPr>
              <w:t>(Gg)</w:t>
            </w:r>
          </w:p>
        </w:tc>
        <w:tc>
          <w:tcPr>
            <w:tcW w:w="1267" w:type="dxa"/>
            <w:tcBorders>
              <w:top w:val="nil"/>
            </w:tcBorders>
            <w:shd w:val="clear" w:color="auto" w:fill="BFBFBF"/>
          </w:tcPr>
          <w:p>
            <w:pPr>
              <w:pStyle w:val="TableParagraph"/>
              <w:spacing w:before="11"/>
              <w:ind w:left="476"/>
              <w:rPr>
                <w:b/>
                <w:sz w:val="16"/>
              </w:rPr>
            </w:pPr>
            <w:r>
              <w:rPr>
                <w:b/>
                <w:sz w:val="16"/>
              </w:rPr>
              <w:t>(Gg)</w:t>
            </w:r>
          </w:p>
        </w:tc>
        <w:tc>
          <w:tcPr>
            <w:tcW w:w="1449" w:type="dxa"/>
            <w:tcBorders>
              <w:top w:val="nil"/>
            </w:tcBorders>
            <w:shd w:val="clear" w:color="auto" w:fill="BFBFBF"/>
          </w:tcPr>
          <w:p>
            <w:pPr>
              <w:pStyle w:val="TableParagraph"/>
              <w:spacing w:before="11"/>
              <w:ind w:left="108" w:right="103"/>
              <w:jc w:val="center"/>
              <w:rPr>
                <w:b/>
                <w:sz w:val="16"/>
              </w:rPr>
            </w:pPr>
            <w:r>
              <w:rPr>
                <w:b/>
                <w:sz w:val="16"/>
              </w:rPr>
              <w:t>(Gg)</w:t>
            </w:r>
          </w:p>
        </w:tc>
      </w:tr>
      <w:tr>
        <w:trPr>
          <w:trHeight w:val="210" w:hRule="atLeast"/>
        </w:trPr>
        <w:tc>
          <w:tcPr>
            <w:tcW w:w="1001" w:type="dxa"/>
            <w:gridSpan w:val="2"/>
          </w:tcPr>
          <w:p>
            <w:pPr>
              <w:pStyle w:val="TableParagraph"/>
              <w:spacing w:line="168" w:lineRule="exact" w:before="23"/>
              <w:ind w:left="107"/>
              <w:rPr>
                <w:sz w:val="16"/>
              </w:rPr>
            </w:pPr>
            <w:r>
              <w:rPr>
                <w:sz w:val="16"/>
              </w:rPr>
              <w:t>Settlements</w:t>
            </w:r>
          </w:p>
        </w:tc>
        <w:tc>
          <w:tcPr>
            <w:tcW w:w="1222" w:type="dxa"/>
          </w:tcPr>
          <w:p>
            <w:pPr>
              <w:pStyle w:val="TableParagraph"/>
              <w:spacing w:line="168" w:lineRule="exact" w:before="23"/>
              <w:ind w:left="107"/>
              <w:rPr>
                <w:sz w:val="16"/>
              </w:rPr>
            </w:pPr>
            <w:r>
              <w:rPr>
                <w:sz w:val="16"/>
              </w:rPr>
              <w:t>Settlements</w:t>
            </w:r>
          </w:p>
        </w:tc>
        <w:tc>
          <w:tcPr>
            <w:tcW w:w="1179" w:type="dxa"/>
            <w:gridSpan w:val="2"/>
          </w:tcPr>
          <w:p>
            <w:pPr>
              <w:pStyle w:val="TableParagraph"/>
              <w:spacing w:line="168" w:lineRule="exact" w:before="23"/>
              <w:ind w:left="470" w:right="463"/>
              <w:jc w:val="center"/>
              <w:rPr>
                <w:sz w:val="16"/>
              </w:rPr>
            </w:pPr>
            <w:r>
              <w:rPr>
                <w:sz w:val="16"/>
              </w:rPr>
              <w:t>5A</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Forest Land</w:t>
            </w:r>
          </w:p>
        </w:tc>
        <w:tc>
          <w:tcPr>
            <w:tcW w:w="1222" w:type="dxa"/>
          </w:tcPr>
          <w:p>
            <w:pPr>
              <w:pStyle w:val="TableParagraph"/>
              <w:spacing w:line="170" w:lineRule="exact" w:before="23"/>
              <w:ind w:left="107"/>
              <w:rPr>
                <w:sz w:val="16"/>
              </w:rPr>
            </w:pPr>
            <w:r>
              <w:rPr>
                <w:sz w:val="16"/>
              </w:rPr>
              <w:t>Settlements</w:t>
            </w:r>
          </w:p>
        </w:tc>
        <w:tc>
          <w:tcPr>
            <w:tcW w:w="1179" w:type="dxa"/>
            <w:gridSpan w:val="2"/>
          </w:tcPr>
          <w:p>
            <w:pPr>
              <w:pStyle w:val="TableParagraph"/>
              <w:spacing w:line="170"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Cropland</w:t>
            </w:r>
          </w:p>
        </w:tc>
        <w:tc>
          <w:tcPr>
            <w:tcW w:w="1222" w:type="dxa"/>
          </w:tcPr>
          <w:p>
            <w:pPr>
              <w:pStyle w:val="TableParagraph"/>
              <w:spacing w:line="168" w:lineRule="exact" w:before="23"/>
              <w:ind w:left="107"/>
              <w:rPr>
                <w:sz w:val="16"/>
              </w:rPr>
            </w:pPr>
            <w:r>
              <w:rPr>
                <w:sz w:val="16"/>
              </w:rPr>
              <w:t>Settlements</w:t>
            </w:r>
          </w:p>
        </w:tc>
        <w:tc>
          <w:tcPr>
            <w:tcW w:w="1179" w:type="dxa"/>
            <w:gridSpan w:val="2"/>
          </w:tcPr>
          <w:p>
            <w:pPr>
              <w:pStyle w:val="TableParagraph"/>
              <w:spacing w:line="168" w:lineRule="exact" w:before="23"/>
              <w:ind w:left="467" w:right="463"/>
              <w:jc w:val="center"/>
              <w:rPr>
                <w:sz w:val="16"/>
              </w:rPr>
            </w:pPr>
            <w:r>
              <w:rPr>
                <w:sz w:val="16"/>
              </w:rPr>
              <w:t>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Grassland</w:t>
            </w:r>
          </w:p>
        </w:tc>
        <w:tc>
          <w:tcPr>
            <w:tcW w:w="1222" w:type="dxa"/>
          </w:tcPr>
          <w:p>
            <w:pPr>
              <w:pStyle w:val="TableParagraph"/>
              <w:spacing w:line="170" w:lineRule="exact" w:before="23"/>
              <w:ind w:left="107"/>
              <w:rPr>
                <w:sz w:val="16"/>
              </w:rPr>
            </w:pPr>
            <w:r>
              <w:rPr>
                <w:sz w:val="16"/>
              </w:rPr>
              <w:t>Settlements</w:t>
            </w:r>
          </w:p>
        </w:tc>
        <w:tc>
          <w:tcPr>
            <w:tcW w:w="1179" w:type="dxa"/>
            <w:gridSpan w:val="2"/>
          </w:tcPr>
          <w:p>
            <w:pPr>
              <w:pStyle w:val="TableParagraph"/>
              <w:spacing w:line="170"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Wetlands</w:t>
            </w:r>
          </w:p>
        </w:tc>
        <w:tc>
          <w:tcPr>
            <w:tcW w:w="1222" w:type="dxa"/>
          </w:tcPr>
          <w:p>
            <w:pPr>
              <w:pStyle w:val="TableParagraph"/>
              <w:spacing w:line="168" w:lineRule="exact" w:before="23"/>
              <w:ind w:left="107"/>
              <w:rPr>
                <w:sz w:val="16"/>
              </w:rPr>
            </w:pPr>
            <w:r>
              <w:rPr>
                <w:sz w:val="16"/>
              </w:rPr>
              <w:t>Settlements</w:t>
            </w:r>
          </w:p>
        </w:tc>
        <w:tc>
          <w:tcPr>
            <w:tcW w:w="1179" w:type="dxa"/>
            <w:gridSpan w:val="2"/>
          </w:tcPr>
          <w:p>
            <w:pPr>
              <w:pStyle w:val="TableParagraph"/>
              <w:spacing w:line="168" w:lineRule="exact" w:before="23"/>
              <w:ind w:left="467" w:right="463"/>
              <w:jc w:val="center"/>
              <w:rPr>
                <w:sz w:val="16"/>
              </w:rPr>
            </w:pPr>
            <w:r>
              <w:rPr>
                <w:sz w:val="16"/>
              </w:rPr>
              <w:t>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Other Land</w:t>
            </w:r>
          </w:p>
        </w:tc>
        <w:tc>
          <w:tcPr>
            <w:tcW w:w="1222" w:type="dxa"/>
          </w:tcPr>
          <w:p>
            <w:pPr>
              <w:pStyle w:val="TableParagraph"/>
              <w:spacing w:line="170" w:lineRule="exact" w:before="23"/>
              <w:ind w:left="107"/>
              <w:rPr>
                <w:sz w:val="16"/>
              </w:rPr>
            </w:pPr>
            <w:r>
              <w:rPr>
                <w:sz w:val="16"/>
              </w:rPr>
              <w:t>Settlements</w:t>
            </w:r>
          </w:p>
        </w:tc>
        <w:tc>
          <w:tcPr>
            <w:tcW w:w="1179" w:type="dxa"/>
            <w:gridSpan w:val="2"/>
          </w:tcPr>
          <w:p>
            <w:pPr>
              <w:pStyle w:val="TableParagraph"/>
              <w:spacing w:line="170" w:lineRule="exact" w:before="23"/>
              <w:ind w:left="467" w:right="463"/>
              <w:jc w:val="center"/>
              <w:rPr>
                <w:sz w:val="16"/>
              </w:rPr>
            </w:pPr>
            <w:r>
              <w:rPr>
                <w:sz w:val="16"/>
              </w:rPr>
              <w:t>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shd w:val="clear" w:color="auto" w:fill="BFBFBF"/>
          </w:tcPr>
          <w:p>
            <w:pPr>
              <w:pStyle w:val="TableParagraph"/>
              <w:rPr>
                <w:sz w:val="14"/>
              </w:rPr>
            </w:pPr>
          </w:p>
        </w:tc>
        <w:tc>
          <w:tcPr>
            <w:tcW w:w="2401" w:type="dxa"/>
            <w:gridSpan w:val="3"/>
          </w:tcPr>
          <w:p>
            <w:pPr>
              <w:pStyle w:val="TableParagraph"/>
              <w:spacing w:line="165" w:lineRule="exact" w:before="25"/>
              <w:ind w:left="318"/>
              <w:rPr>
                <w:b/>
                <w:sz w:val="16"/>
              </w:rPr>
            </w:pPr>
            <w:r>
              <w:rPr>
                <w:b/>
                <w:sz w:val="16"/>
              </w:rPr>
              <w:t>Sub-Total for Settlements</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Other Land</w:t>
            </w:r>
          </w:p>
        </w:tc>
        <w:tc>
          <w:tcPr>
            <w:tcW w:w="1222" w:type="dxa"/>
          </w:tcPr>
          <w:p>
            <w:pPr>
              <w:pStyle w:val="TableParagraph"/>
              <w:spacing w:line="168" w:lineRule="exact" w:before="23"/>
              <w:ind w:left="107"/>
              <w:rPr>
                <w:sz w:val="16"/>
              </w:rPr>
            </w:pPr>
            <w:r>
              <w:rPr>
                <w:sz w:val="16"/>
              </w:rPr>
              <w:t>Other Land</w:t>
            </w:r>
          </w:p>
        </w:tc>
        <w:tc>
          <w:tcPr>
            <w:tcW w:w="1179" w:type="dxa"/>
            <w:gridSpan w:val="2"/>
          </w:tcPr>
          <w:p>
            <w:pPr>
              <w:pStyle w:val="TableParagraph"/>
              <w:spacing w:line="168" w:lineRule="exact" w:before="23"/>
              <w:ind w:left="470" w:right="463"/>
              <w:jc w:val="center"/>
              <w:rPr>
                <w:sz w:val="16"/>
              </w:rPr>
            </w:pPr>
            <w:r>
              <w:rPr>
                <w:sz w:val="16"/>
              </w:rPr>
              <w:t>5A</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Forest Land</w:t>
            </w:r>
          </w:p>
        </w:tc>
        <w:tc>
          <w:tcPr>
            <w:tcW w:w="1222" w:type="dxa"/>
          </w:tcPr>
          <w:p>
            <w:pPr>
              <w:pStyle w:val="TableParagraph"/>
              <w:spacing w:line="170" w:lineRule="exact" w:before="23"/>
              <w:ind w:left="107"/>
              <w:rPr>
                <w:sz w:val="16"/>
              </w:rPr>
            </w:pPr>
            <w:r>
              <w:rPr>
                <w:sz w:val="16"/>
              </w:rPr>
              <w:t>Other Land</w:t>
            </w:r>
          </w:p>
        </w:tc>
        <w:tc>
          <w:tcPr>
            <w:tcW w:w="1179" w:type="dxa"/>
            <w:gridSpan w:val="2"/>
          </w:tcPr>
          <w:p>
            <w:pPr>
              <w:pStyle w:val="TableParagraph"/>
              <w:spacing w:line="170"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Cropland</w:t>
            </w:r>
          </w:p>
        </w:tc>
        <w:tc>
          <w:tcPr>
            <w:tcW w:w="1222" w:type="dxa"/>
          </w:tcPr>
          <w:p>
            <w:pPr>
              <w:pStyle w:val="TableParagraph"/>
              <w:spacing w:line="168" w:lineRule="exact" w:before="23"/>
              <w:ind w:left="108"/>
              <w:rPr>
                <w:sz w:val="16"/>
              </w:rPr>
            </w:pPr>
            <w:r>
              <w:rPr>
                <w:sz w:val="16"/>
              </w:rPr>
              <w:t>Other Land</w:t>
            </w:r>
          </w:p>
        </w:tc>
        <w:tc>
          <w:tcPr>
            <w:tcW w:w="1179" w:type="dxa"/>
            <w:gridSpan w:val="2"/>
          </w:tcPr>
          <w:p>
            <w:pPr>
              <w:pStyle w:val="TableParagraph"/>
              <w:spacing w:line="168" w:lineRule="exact" w:before="23"/>
              <w:ind w:left="467" w:right="463"/>
              <w:jc w:val="center"/>
              <w:rPr>
                <w:sz w:val="16"/>
              </w:rPr>
            </w:pPr>
            <w:r>
              <w:rPr>
                <w:sz w:val="16"/>
              </w:rPr>
              <w:t>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Grassland</w:t>
            </w:r>
          </w:p>
        </w:tc>
        <w:tc>
          <w:tcPr>
            <w:tcW w:w="1222" w:type="dxa"/>
          </w:tcPr>
          <w:p>
            <w:pPr>
              <w:pStyle w:val="TableParagraph"/>
              <w:spacing w:line="170" w:lineRule="exact" w:before="23"/>
              <w:ind w:left="108"/>
              <w:rPr>
                <w:sz w:val="16"/>
              </w:rPr>
            </w:pPr>
            <w:r>
              <w:rPr>
                <w:sz w:val="16"/>
              </w:rPr>
              <w:t>Other Land</w:t>
            </w:r>
          </w:p>
        </w:tc>
        <w:tc>
          <w:tcPr>
            <w:tcW w:w="1179" w:type="dxa"/>
            <w:gridSpan w:val="2"/>
          </w:tcPr>
          <w:p>
            <w:pPr>
              <w:pStyle w:val="TableParagraph"/>
              <w:spacing w:line="170"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Wetlands</w:t>
            </w:r>
          </w:p>
        </w:tc>
        <w:tc>
          <w:tcPr>
            <w:tcW w:w="1222" w:type="dxa"/>
          </w:tcPr>
          <w:p>
            <w:pPr>
              <w:pStyle w:val="TableParagraph"/>
              <w:spacing w:line="168" w:lineRule="exact" w:before="23"/>
              <w:ind w:left="108"/>
              <w:rPr>
                <w:sz w:val="16"/>
              </w:rPr>
            </w:pPr>
            <w:r>
              <w:rPr>
                <w:sz w:val="16"/>
              </w:rPr>
              <w:t>Other Land</w:t>
            </w:r>
          </w:p>
        </w:tc>
        <w:tc>
          <w:tcPr>
            <w:tcW w:w="1179" w:type="dxa"/>
            <w:gridSpan w:val="2"/>
          </w:tcPr>
          <w:p>
            <w:pPr>
              <w:pStyle w:val="TableParagraph"/>
              <w:spacing w:line="168" w:lineRule="exact" w:before="23"/>
              <w:ind w:left="467" w:right="463"/>
              <w:jc w:val="center"/>
              <w:rPr>
                <w:sz w:val="16"/>
              </w:rPr>
            </w:pPr>
            <w:r>
              <w:rPr>
                <w:sz w:val="16"/>
              </w:rPr>
              <w:t>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Settlements</w:t>
            </w:r>
          </w:p>
        </w:tc>
        <w:tc>
          <w:tcPr>
            <w:tcW w:w="1222" w:type="dxa"/>
          </w:tcPr>
          <w:p>
            <w:pPr>
              <w:pStyle w:val="TableParagraph"/>
              <w:spacing w:line="170" w:lineRule="exact" w:before="23"/>
              <w:ind w:left="108"/>
              <w:rPr>
                <w:sz w:val="16"/>
              </w:rPr>
            </w:pPr>
            <w:r>
              <w:rPr>
                <w:sz w:val="16"/>
              </w:rPr>
              <w:t>Other Land</w:t>
            </w:r>
          </w:p>
        </w:tc>
        <w:tc>
          <w:tcPr>
            <w:tcW w:w="1179" w:type="dxa"/>
            <w:gridSpan w:val="2"/>
          </w:tcPr>
          <w:p>
            <w:pPr>
              <w:pStyle w:val="TableParagraph"/>
              <w:spacing w:line="170" w:lineRule="exact" w:before="23"/>
              <w:ind w:left="467" w:right="463"/>
              <w:jc w:val="center"/>
              <w:rPr>
                <w:sz w:val="16"/>
              </w:rPr>
            </w:pPr>
            <w:r>
              <w:rPr>
                <w:sz w:val="16"/>
              </w:rPr>
              <w:t>5E</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shd w:val="clear" w:color="auto" w:fill="BFBFBF"/>
          </w:tcPr>
          <w:p>
            <w:pPr>
              <w:pStyle w:val="TableParagraph"/>
              <w:rPr>
                <w:sz w:val="14"/>
              </w:rPr>
            </w:pPr>
          </w:p>
        </w:tc>
        <w:tc>
          <w:tcPr>
            <w:tcW w:w="2401" w:type="dxa"/>
            <w:gridSpan w:val="3"/>
          </w:tcPr>
          <w:p>
            <w:pPr>
              <w:pStyle w:val="TableParagraph"/>
              <w:spacing w:line="165" w:lineRule="exact" w:before="25"/>
              <w:ind w:left="306"/>
              <w:rPr>
                <w:b/>
                <w:sz w:val="16"/>
              </w:rPr>
            </w:pPr>
            <w:r>
              <w:rPr>
                <w:b/>
                <w:sz w:val="16"/>
              </w:rPr>
              <w:t>Sub-Total for Other Land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580" w:hRule="atLeast"/>
        </w:trPr>
        <w:tc>
          <w:tcPr>
            <w:tcW w:w="1001" w:type="dxa"/>
            <w:gridSpan w:val="2"/>
          </w:tcPr>
          <w:p>
            <w:pPr>
              <w:pStyle w:val="TableParagraph"/>
              <w:spacing w:before="23"/>
              <w:ind w:left="107"/>
              <w:rPr>
                <w:sz w:val="16"/>
              </w:rPr>
            </w:pPr>
            <w:r>
              <w:rPr>
                <w:sz w:val="16"/>
              </w:rPr>
              <w:t>Other </w:t>
            </w:r>
            <w:r>
              <w:rPr>
                <w:sz w:val="16"/>
                <w:vertAlign w:val="superscript"/>
              </w:rPr>
              <w:t>4</w:t>
            </w:r>
          </w:p>
          <w:p>
            <w:pPr>
              <w:pStyle w:val="TableParagraph"/>
              <w:spacing w:line="182" w:lineRule="exact" w:before="5"/>
              <w:ind w:left="107" w:right="348"/>
              <w:rPr>
                <w:sz w:val="16"/>
              </w:rPr>
            </w:pPr>
            <w:r>
              <w:rPr>
                <w:sz w:val="16"/>
              </w:rPr>
              <w:t>(pls. specify)</w:t>
            </w:r>
          </w:p>
        </w:tc>
        <w:tc>
          <w:tcPr>
            <w:tcW w:w="1222" w:type="dxa"/>
          </w:tcPr>
          <w:p>
            <w:pPr>
              <w:pStyle w:val="TableParagraph"/>
              <w:rPr>
                <w:sz w:val="16"/>
              </w:rPr>
            </w:pPr>
          </w:p>
        </w:tc>
        <w:tc>
          <w:tcPr>
            <w:tcW w:w="1179" w:type="dxa"/>
            <w:gridSpan w:val="2"/>
          </w:tcPr>
          <w:p>
            <w:pPr>
              <w:pStyle w:val="TableParagraph"/>
              <w:rPr>
                <w:sz w:val="16"/>
              </w:rPr>
            </w:pPr>
          </w:p>
        </w:tc>
        <w:tc>
          <w:tcPr>
            <w:tcW w:w="1414" w:type="dxa"/>
          </w:tcPr>
          <w:p>
            <w:pPr>
              <w:pStyle w:val="TableParagraph"/>
              <w:rPr>
                <w:sz w:val="16"/>
              </w:rPr>
            </w:pPr>
          </w:p>
        </w:tc>
        <w:tc>
          <w:tcPr>
            <w:tcW w:w="1536" w:type="dxa"/>
          </w:tcPr>
          <w:p>
            <w:pPr>
              <w:pStyle w:val="TableParagraph"/>
              <w:rPr>
                <w:sz w:val="16"/>
              </w:rPr>
            </w:pPr>
          </w:p>
        </w:tc>
        <w:tc>
          <w:tcPr>
            <w:tcW w:w="1358" w:type="dxa"/>
          </w:tcPr>
          <w:p>
            <w:pPr>
              <w:pStyle w:val="TableParagraph"/>
              <w:rPr>
                <w:sz w:val="16"/>
              </w:rPr>
            </w:pPr>
          </w:p>
        </w:tc>
        <w:tc>
          <w:tcPr>
            <w:tcW w:w="1629" w:type="dxa"/>
          </w:tcPr>
          <w:p>
            <w:pPr>
              <w:pStyle w:val="TableParagraph"/>
              <w:rPr>
                <w:sz w:val="16"/>
              </w:rPr>
            </w:pPr>
          </w:p>
        </w:tc>
        <w:tc>
          <w:tcPr>
            <w:tcW w:w="1087" w:type="dxa"/>
          </w:tcPr>
          <w:p>
            <w:pPr>
              <w:pStyle w:val="TableParagraph"/>
              <w:rPr>
                <w:sz w:val="16"/>
              </w:rPr>
            </w:pPr>
          </w:p>
        </w:tc>
        <w:tc>
          <w:tcPr>
            <w:tcW w:w="1265" w:type="dxa"/>
          </w:tcPr>
          <w:p>
            <w:pPr>
              <w:pStyle w:val="TableParagraph"/>
              <w:rPr>
                <w:sz w:val="16"/>
              </w:rPr>
            </w:pPr>
          </w:p>
        </w:tc>
        <w:tc>
          <w:tcPr>
            <w:tcW w:w="1267" w:type="dxa"/>
          </w:tcPr>
          <w:p>
            <w:pPr>
              <w:pStyle w:val="TableParagraph"/>
              <w:rPr>
                <w:sz w:val="16"/>
              </w:rPr>
            </w:pPr>
          </w:p>
        </w:tc>
        <w:tc>
          <w:tcPr>
            <w:tcW w:w="1449" w:type="dxa"/>
          </w:tcPr>
          <w:p>
            <w:pPr>
              <w:pStyle w:val="TableParagraph"/>
              <w:rPr>
                <w:sz w:val="16"/>
              </w:rPr>
            </w:pPr>
          </w:p>
        </w:tc>
      </w:tr>
      <w:tr>
        <w:trPr>
          <w:trHeight w:val="210" w:hRule="atLeast"/>
        </w:trPr>
        <w:tc>
          <w:tcPr>
            <w:tcW w:w="1001" w:type="dxa"/>
            <w:gridSpan w:val="2"/>
          </w:tcPr>
          <w:p>
            <w:pPr>
              <w:pStyle w:val="TableParagraph"/>
              <w:rPr>
                <w:sz w:val="14"/>
              </w:rPr>
            </w:pPr>
          </w:p>
        </w:tc>
        <w:tc>
          <w:tcPr>
            <w:tcW w:w="1222" w:type="dxa"/>
          </w:tcPr>
          <w:p>
            <w:pPr>
              <w:pStyle w:val="TableParagraph"/>
              <w:rPr>
                <w:sz w:val="14"/>
              </w:rPr>
            </w:pPr>
          </w:p>
        </w:tc>
        <w:tc>
          <w:tcPr>
            <w:tcW w:w="1179" w:type="dxa"/>
            <w:gridSpan w:val="2"/>
          </w:tcPr>
          <w:p>
            <w:pPr>
              <w:pStyle w:val="TableParagraph"/>
              <w:rPr>
                <w:sz w:val="14"/>
              </w:rPr>
            </w:pP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8" w:type="dxa"/>
            <w:tcBorders>
              <w:right w:val="nil"/>
            </w:tcBorders>
            <w:shd w:val="clear" w:color="auto" w:fill="BFBFBF"/>
          </w:tcPr>
          <w:p>
            <w:pPr>
              <w:pStyle w:val="TableParagraph"/>
              <w:rPr>
                <w:sz w:val="14"/>
              </w:rPr>
            </w:pPr>
          </w:p>
        </w:tc>
        <w:tc>
          <w:tcPr>
            <w:tcW w:w="893" w:type="dxa"/>
            <w:tcBorders>
              <w:left w:val="nil"/>
            </w:tcBorders>
            <w:shd w:val="clear" w:color="auto" w:fill="BFBFBF"/>
          </w:tcPr>
          <w:p>
            <w:pPr>
              <w:pStyle w:val="TableParagraph"/>
              <w:rPr>
                <w:sz w:val="14"/>
              </w:rPr>
            </w:pPr>
          </w:p>
        </w:tc>
        <w:tc>
          <w:tcPr>
            <w:tcW w:w="2401" w:type="dxa"/>
            <w:gridSpan w:val="3"/>
          </w:tcPr>
          <w:p>
            <w:pPr>
              <w:pStyle w:val="TableParagraph"/>
              <w:spacing w:line="168" w:lineRule="exact" w:before="25"/>
              <w:ind w:left="508"/>
              <w:rPr>
                <w:b/>
                <w:sz w:val="16"/>
              </w:rPr>
            </w:pPr>
            <w:r>
              <w:rPr>
                <w:b/>
                <w:sz w:val="16"/>
              </w:rPr>
              <w:t>Sub-Total for Other</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8" w:type="dxa"/>
            <w:tcBorders>
              <w:right w:val="nil"/>
            </w:tcBorders>
            <w:shd w:val="clear" w:color="auto" w:fill="BFBFBF"/>
          </w:tcPr>
          <w:p>
            <w:pPr>
              <w:pStyle w:val="TableParagraph"/>
              <w:rPr>
                <w:sz w:val="14"/>
              </w:rPr>
            </w:pPr>
          </w:p>
        </w:tc>
        <w:tc>
          <w:tcPr>
            <w:tcW w:w="893" w:type="dxa"/>
            <w:tcBorders>
              <w:left w:val="nil"/>
              <w:right w:val="nil"/>
            </w:tcBorders>
            <w:shd w:val="clear" w:color="auto" w:fill="BFBFBF"/>
          </w:tcPr>
          <w:p>
            <w:pPr>
              <w:pStyle w:val="TableParagraph"/>
              <w:rPr>
                <w:sz w:val="14"/>
              </w:rPr>
            </w:pPr>
          </w:p>
        </w:tc>
        <w:tc>
          <w:tcPr>
            <w:tcW w:w="2401" w:type="dxa"/>
            <w:gridSpan w:val="3"/>
            <w:tcBorders>
              <w:left w:val="nil"/>
            </w:tcBorders>
            <w:shd w:val="clear" w:color="auto" w:fill="BFBFBF"/>
          </w:tcPr>
          <w:p>
            <w:pPr>
              <w:pStyle w:val="TableParagraph"/>
              <w:spacing w:line="165" w:lineRule="exact" w:before="25"/>
              <w:ind w:left="520"/>
              <w:rPr>
                <w:b/>
                <w:sz w:val="16"/>
              </w:rPr>
            </w:pPr>
            <w:r>
              <w:rPr>
                <w:b/>
                <w:sz w:val="16"/>
              </w:rPr>
              <w:t>Total</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267" w:hRule="atLeast"/>
        </w:trPr>
        <w:tc>
          <w:tcPr>
            <w:tcW w:w="14407" w:type="dxa"/>
            <w:gridSpan w:val="13"/>
          </w:tcPr>
          <w:p>
            <w:pPr>
              <w:pStyle w:val="TableParagraph"/>
              <w:spacing w:before="10"/>
              <w:rPr>
                <w:sz w:val="16"/>
              </w:rPr>
            </w:pPr>
          </w:p>
          <w:p>
            <w:pPr>
              <w:pStyle w:val="TableParagraph"/>
              <w:ind w:left="287" w:hanging="180"/>
              <w:rPr>
                <w:sz w:val="16"/>
              </w:rPr>
            </w:pPr>
            <w:r>
              <w:rPr>
                <w:position w:val="7"/>
                <w:sz w:val="10"/>
              </w:rPr>
              <w:t>1 </w:t>
            </w:r>
            <w:r>
              <w:rPr>
                <w:sz w:val="16"/>
              </w:rPr>
              <w:t>Headings from the </w:t>
            </w:r>
            <w:r>
              <w:rPr>
                <w:i/>
                <w:sz w:val="16"/>
              </w:rPr>
              <w:t>IPCC Guidelines </w:t>
            </w:r>
            <w:r>
              <w:rPr>
                <w:sz w:val="16"/>
              </w:rPr>
              <w:t>Reporting Instructions p.1.14 - 1.16: 5A - Changes in Forest and Other Woody Biomass Stocks; 5B - Forest and Grassland Conversion; 5C - Abandonment of Managed Lands; 5D - Emissions and Removals from Soils, and 5E - Other.</w:t>
            </w:r>
          </w:p>
          <w:p>
            <w:pPr>
              <w:pStyle w:val="TableParagraph"/>
              <w:spacing w:line="228" w:lineRule="auto" w:before="33"/>
              <w:ind w:left="107"/>
              <w:rPr>
                <w:sz w:val="16"/>
              </w:rPr>
            </w:pPr>
            <w:r>
              <w:rPr>
                <w:position w:val="9"/>
                <w:sz w:val="10"/>
              </w:rPr>
              <w:t>2 </w:t>
            </w:r>
            <w:r>
              <w:rPr>
                <w:position w:val="2"/>
                <w:sz w:val="16"/>
              </w:rPr>
              <w:t>For the purpose of reporting, it is necessary to reverse the sign so that the resulting value is expressed as (-) for removal or uptake and (+) for emission. Thus, negative 1 is multiplied to the resulting CO</w:t>
            </w:r>
            <w:r>
              <w:rPr>
                <w:sz w:val="10"/>
              </w:rPr>
              <w:t>2 </w:t>
            </w:r>
            <w:r>
              <w:rPr>
                <w:position w:val="2"/>
                <w:sz w:val="16"/>
              </w:rPr>
              <w:t>emission or </w:t>
            </w:r>
            <w:r>
              <w:rPr>
                <w:sz w:val="16"/>
              </w:rPr>
              <w:t>removal.</w:t>
            </w:r>
          </w:p>
          <w:p>
            <w:pPr>
              <w:pStyle w:val="TableParagraph"/>
              <w:spacing w:line="228" w:lineRule="auto" w:before="98"/>
              <w:ind w:left="107"/>
              <w:rPr>
                <w:sz w:val="16"/>
              </w:rPr>
            </w:pPr>
            <w:r>
              <w:rPr>
                <w:position w:val="9"/>
                <w:sz w:val="10"/>
              </w:rPr>
              <w:t>3 </w:t>
            </w:r>
            <w:r>
              <w:rPr>
                <w:position w:val="2"/>
                <w:sz w:val="16"/>
              </w:rPr>
              <w:t>The </w:t>
            </w:r>
            <w:r>
              <w:rPr>
                <w:i/>
                <w:position w:val="2"/>
                <w:sz w:val="16"/>
              </w:rPr>
              <w:t>IPCC Guidelines </w:t>
            </w:r>
            <w:r>
              <w:rPr>
                <w:position w:val="2"/>
                <w:sz w:val="16"/>
              </w:rPr>
              <w:t>and this report provide methodology to estimate NO</w:t>
            </w:r>
            <w:r>
              <w:rPr>
                <w:sz w:val="10"/>
              </w:rPr>
              <w:t>x </w:t>
            </w:r>
            <w:r>
              <w:rPr>
                <w:position w:val="2"/>
                <w:sz w:val="16"/>
              </w:rPr>
              <w:t>and CO emissions for Land Use, Land-Use Change and Forestry for emissions from fires only. If you have reported additional data, you should </w:t>
            </w:r>
            <w:r>
              <w:rPr>
                <w:sz w:val="16"/>
              </w:rPr>
              <w:t>provide additional information (method, activity data, and emission factors) used to make these estimates.</w:t>
            </w:r>
          </w:p>
          <w:p>
            <w:pPr>
              <w:pStyle w:val="TableParagraph"/>
              <w:spacing w:before="87"/>
              <w:ind w:left="107"/>
              <w:rPr>
                <w:sz w:val="16"/>
              </w:rPr>
            </w:pPr>
            <w:r>
              <w:rPr>
                <w:position w:val="7"/>
                <w:sz w:val="10"/>
              </w:rPr>
              <w:t>4 </w:t>
            </w:r>
            <w:r>
              <w:rPr>
                <w:sz w:val="16"/>
              </w:rPr>
              <w:t>This may include other non-specified sources or sinks such as HWP, etc.</w:t>
            </w:r>
          </w:p>
          <w:p>
            <w:pPr>
              <w:pStyle w:val="TableParagraph"/>
              <w:spacing w:before="88"/>
              <w:ind w:left="107" w:right="109"/>
              <w:rPr>
                <w:sz w:val="16"/>
              </w:rPr>
            </w:pPr>
            <w:r>
              <w:rPr>
                <w:position w:val="7"/>
                <w:sz w:val="10"/>
              </w:rPr>
              <w:t>5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pgSz w:w="16840" w:h="11900" w:orient="landscape"/>
          <w:pgMar w:header="346" w:footer="1082" w:top="560" w:bottom="1280" w:left="1200" w:right="460"/>
        </w:sectPr>
      </w:pPr>
    </w:p>
    <w:p>
      <w:pPr>
        <w:pStyle w:val="BodyText"/>
      </w:pPr>
    </w:p>
    <w:p>
      <w:pPr>
        <w:pStyle w:val="BodyText"/>
        <w:spacing w:before="6" w:after="1"/>
        <w:rPr>
          <w:sz w:val="23"/>
        </w:rPr>
      </w:pPr>
    </w:p>
    <w:tbl>
      <w:tblPr>
        <w:tblW w:w="0" w:type="auto"/>
        <w:jc w:val="left"/>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
        <w:gridCol w:w="893"/>
        <w:gridCol w:w="1222"/>
        <w:gridCol w:w="108"/>
        <w:gridCol w:w="1071"/>
        <w:gridCol w:w="1414"/>
        <w:gridCol w:w="1536"/>
        <w:gridCol w:w="1358"/>
        <w:gridCol w:w="1629"/>
        <w:gridCol w:w="1087"/>
        <w:gridCol w:w="1265"/>
        <w:gridCol w:w="1267"/>
        <w:gridCol w:w="1449"/>
      </w:tblGrid>
      <w:tr>
        <w:trPr>
          <w:trHeight w:val="901" w:hRule="atLeast"/>
        </w:trPr>
        <w:tc>
          <w:tcPr>
            <w:tcW w:w="14407" w:type="dxa"/>
            <w:gridSpan w:val="13"/>
            <w:tcBorders>
              <w:bottom w:val="double" w:sz="1" w:space="0" w:color="000000"/>
            </w:tcBorders>
          </w:tcPr>
          <w:p>
            <w:pPr>
              <w:pStyle w:val="TableParagraph"/>
              <w:spacing w:before="88"/>
              <w:ind w:left="2622" w:right="2615"/>
              <w:jc w:val="center"/>
              <w:rPr>
                <w:b/>
                <w:sz w:val="18"/>
              </w:rPr>
            </w:pPr>
            <w:r>
              <w:rPr>
                <w:b/>
                <w:sz w:val="18"/>
              </w:rPr>
              <w:t>T</w:t>
            </w:r>
            <w:r>
              <w:rPr>
                <w:b/>
                <w:sz w:val="14"/>
              </w:rPr>
              <w:t>ABLE </w:t>
            </w:r>
            <w:r>
              <w:rPr>
                <w:b/>
                <w:sz w:val="18"/>
              </w:rPr>
              <w:t>3A.2.1B</w:t>
            </w:r>
          </w:p>
          <w:p>
            <w:pPr>
              <w:pStyle w:val="TableParagraph"/>
              <w:spacing w:line="220" w:lineRule="auto" w:before="132"/>
              <w:ind w:left="2625" w:right="2615"/>
              <w:jc w:val="center"/>
              <w:rPr>
                <w:b/>
                <w:sz w:val="14"/>
              </w:rPr>
            </w:pPr>
            <w:r>
              <w:rPr>
                <w:b/>
                <w:sz w:val="18"/>
              </w:rPr>
              <w:t>R</w:t>
            </w:r>
            <w:r>
              <w:rPr>
                <w:b/>
                <w:sz w:val="14"/>
              </w:rPr>
              <w:t>EPORTING </w:t>
            </w:r>
            <w:r>
              <w:rPr>
                <w:b/>
                <w:sz w:val="18"/>
              </w:rPr>
              <w:t>T</w:t>
            </w:r>
            <w:r>
              <w:rPr>
                <w:b/>
                <w:sz w:val="14"/>
              </w:rPr>
              <w:t>ABLE FOR </w:t>
            </w:r>
            <w:r>
              <w:rPr>
                <w:b/>
                <w:sz w:val="18"/>
              </w:rPr>
              <w:t>E</w:t>
            </w:r>
            <w:r>
              <w:rPr>
                <w:b/>
                <w:sz w:val="14"/>
              </w:rPr>
              <w:t>MISSIONS AND </w:t>
            </w:r>
            <w:r>
              <w:rPr>
                <w:b/>
                <w:sz w:val="18"/>
              </w:rPr>
              <w:t>R</w:t>
            </w:r>
            <w:r>
              <w:rPr>
                <w:b/>
                <w:sz w:val="14"/>
              </w:rPr>
              <w:t>EMOVALS OF </w:t>
            </w:r>
            <w:r>
              <w:rPr>
                <w:b/>
                <w:sz w:val="18"/>
              </w:rPr>
              <w:t>CO</w:t>
            </w:r>
            <w:r>
              <w:rPr>
                <w:b/>
                <w:position w:val="-2"/>
                <w:sz w:val="12"/>
              </w:rPr>
              <w:t>2 </w:t>
            </w:r>
            <w:r>
              <w:rPr>
                <w:b/>
                <w:sz w:val="14"/>
              </w:rPr>
              <w:t>AND </w:t>
            </w:r>
            <w:r>
              <w:rPr>
                <w:b/>
                <w:sz w:val="18"/>
              </w:rPr>
              <w:t>N</w:t>
            </w:r>
            <w:r>
              <w:rPr>
                <w:b/>
                <w:sz w:val="14"/>
              </w:rPr>
              <w:t>ON</w:t>
            </w:r>
            <w:r>
              <w:rPr>
                <w:b/>
                <w:sz w:val="18"/>
              </w:rPr>
              <w:t>-CO</w:t>
            </w:r>
            <w:r>
              <w:rPr>
                <w:b/>
                <w:position w:val="-2"/>
                <w:sz w:val="12"/>
              </w:rPr>
              <w:t>2 </w:t>
            </w:r>
            <w:r>
              <w:rPr>
                <w:b/>
                <w:sz w:val="18"/>
              </w:rPr>
              <w:t>G</w:t>
            </w:r>
            <w:r>
              <w:rPr>
                <w:b/>
                <w:sz w:val="14"/>
              </w:rPr>
              <w:t>ASES DUE TO </w:t>
            </w:r>
            <w:r>
              <w:rPr>
                <w:b/>
                <w:sz w:val="18"/>
              </w:rPr>
              <w:t>C</w:t>
            </w:r>
            <w:r>
              <w:rPr>
                <w:b/>
                <w:sz w:val="14"/>
              </w:rPr>
              <w:t>ONVERSION OF </w:t>
            </w:r>
            <w:r>
              <w:rPr>
                <w:b/>
                <w:sz w:val="18"/>
              </w:rPr>
              <w:t>F</w:t>
            </w:r>
            <w:r>
              <w:rPr>
                <w:b/>
                <w:sz w:val="14"/>
              </w:rPr>
              <w:t>OREST </w:t>
            </w:r>
            <w:r>
              <w:rPr>
                <w:b/>
                <w:sz w:val="18"/>
              </w:rPr>
              <w:t>L</w:t>
            </w:r>
            <w:r>
              <w:rPr>
                <w:b/>
                <w:sz w:val="14"/>
              </w:rPr>
              <w:t>AND AND </w:t>
            </w:r>
            <w:r>
              <w:rPr>
                <w:b/>
                <w:sz w:val="18"/>
              </w:rPr>
              <w:t>G</w:t>
            </w:r>
            <w:r>
              <w:rPr>
                <w:b/>
                <w:sz w:val="14"/>
              </w:rPr>
              <w:t>RASSLAND TO </w:t>
            </w:r>
            <w:r>
              <w:rPr>
                <w:b/>
                <w:sz w:val="18"/>
              </w:rPr>
              <w:t>O</w:t>
            </w:r>
            <w:r>
              <w:rPr>
                <w:b/>
                <w:sz w:val="14"/>
              </w:rPr>
              <w:t>THER </w:t>
            </w:r>
            <w:r>
              <w:rPr>
                <w:b/>
                <w:sz w:val="18"/>
              </w:rPr>
              <w:t>L</w:t>
            </w:r>
            <w:r>
              <w:rPr>
                <w:b/>
                <w:sz w:val="14"/>
              </w:rPr>
              <w:t>AND </w:t>
            </w:r>
            <w:r>
              <w:rPr>
                <w:b/>
                <w:sz w:val="18"/>
              </w:rPr>
              <w:t>C</w:t>
            </w:r>
            <w:r>
              <w:rPr>
                <w:b/>
                <w:sz w:val="14"/>
              </w:rPr>
              <w:t>ATEGORIES IN THE </w:t>
            </w:r>
            <w:r>
              <w:rPr>
                <w:b/>
                <w:sz w:val="18"/>
              </w:rPr>
              <w:t>R</w:t>
            </w:r>
            <w:r>
              <w:rPr>
                <w:b/>
                <w:sz w:val="14"/>
              </w:rPr>
              <w:t>EPORTING </w:t>
            </w:r>
            <w:r>
              <w:rPr>
                <w:b/>
                <w:sz w:val="18"/>
              </w:rPr>
              <w:t>Y</w:t>
            </w:r>
            <w:r>
              <w:rPr>
                <w:b/>
                <w:sz w:val="14"/>
              </w:rPr>
              <w:t>EAR</w:t>
            </w:r>
          </w:p>
        </w:tc>
      </w:tr>
      <w:tr>
        <w:trPr>
          <w:trHeight w:val="383" w:hRule="atLeast"/>
        </w:trPr>
        <w:tc>
          <w:tcPr>
            <w:tcW w:w="2223" w:type="dxa"/>
            <w:gridSpan w:val="3"/>
            <w:tcBorders>
              <w:top w:val="double" w:sz="1" w:space="0" w:color="000000"/>
            </w:tcBorders>
            <w:shd w:val="clear" w:color="auto" w:fill="BFBFBF"/>
          </w:tcPr>
          <w:p>
            <w:pPr>
              <w:pStyle w:val="TableParagraph"/>
              <w:spacing w:line="180" w:lineRule="atLeast" w:before="11"/>
              <w:ind w:left="789" w:right="779"/>
              <w:jc w:val="center"/>
              <w:rPr>
                <w:b/>
                <w:sz w:val="16"/>
              </w:rPr>
            </w:pPr>
            <w:r>
              <w:rPr>
                <w:b/>
                <w:sz w:val="16"/>
              </w:rPr>
              <w:t>Land-use Category</w:t>
            </w:r>
          </w:p>
        </w:tc>
        <w:tc>
          <w:tcPr>
            <w:tcW w:w="108" w:type="dxa"/>
            <w:vMerge w:val="restart"/>
            <w:tcBorders>
              <w:top w:val="double" w:sz="1" w:space="0" w:color="000000"/>
              <w:right w:val="nil"/>
            </w:tcBorders>
            <w:shd w:val="clear" w:color="auto" w:fill="BFBFBF"/>
          </w:tcPr>
          <w:p>
            <w:pPr>
              <w:pStyle w:val="TableParagraph"/>
              <w:rPr>
                <w:sz w:val="16"/>
              </w:rPr>
            </w:pPr>
          </w:p>
        </w:tc>
        <w:tc>
          <w:tcPr>
            <w:tcW w:w="1071" w:type="dxa"/>
            <w:tcBorders>
              <w:top w:val="double" w:sz="1" w:space="0" w:color="000000"/>
              <w:left w:val="nil"/>
              <w:bottom w:val="nil"/>
            </w:tcBorders>
            <w:shd w:val="clear" w:color="auto" w:fill="BFBFBF"/>
          </w:tcPr>
          <w:p>
            <w:pPr>
              <w:pStyle w:val="TableParagraph"/>
              <w:spacing w:before="13"/>
              <w:ind w:left="62" w:right="156"/>
              <w:jc w:val="center"/>
              <w:rPr>
                <w:rFonts w:ascii="TimesNewRomanPS-BoldItalicMT"/>
                <w:b/>
                <w:i/>
                <w:sz w:val="16"/>
              </w:rPr>
            </w:pPr>
            <w:r>
              <w:rPr>
                <w:rFonts w:ascii="TimesNewRomanPS-BoldItalicMT"/>
                <w:b/>
                <w:i/>
                <w:sz w:val="16"/>
              </w:rPr>
              <w:t>IPCC</w:t>
            </w:r>
          </w:p>
          <w:p>
            <w:pPr>
              <w:pStyle w:val="TableParagraph"/>
              <w:spacing w:line="146" w:lineRule="exact" w:before="20"/>
              <w:ind w:left="62" w:right="160"/>
              <w:jc w:val="center"/>
              <w:rPr>
                <w:b/>
                <w:sz w:val="16"/>
              </w:rPr>
            </w:pPr>
            <w:r>
              <w:rPr>
                <w:rFonts w:ascii="TimesNewRomanPS-BoldItalicMT"/>
                <w:b/>
                <w:i/>
                <w:sz w:val="16"/>
              </w:rPr>
              <w:t>Guidelines </w:t>
            </w:r>
            <w:r>
              <w:rPr>
                <w:b/>
                <w:sz w:val="16"/>
                <w:vertAlign w:val="superscript"/>
              </w:rPr>
              <w:t>1</w:t>
            </w:r>
          </w:p>
        </w:tc>
        <w:tc>
          <w:tcPr>
            <w:tcW w:w="5937" w:type="dxa"/>
            <w:gridSpan w:val="4"/>
            <w:tcBorders>
              <w:top w:val="double" w:sz="1" w:space="0" w:color="000000"/>
            </w:tcBorders>
            <w:shd w:val="clear" w:color="auto" w:fill="BFBFBF"/>
          </w:tcPr>
          <w:p>
            <w:pPr>
              <w:pStyle w:val="TableParagraph"/>
              <w:spacing w:before="10"/>
              <w:ind w:left="1568"/>
              <w:rPr>
                <w:b/>
                <w:sz w:val="10"/>
              </w:rPr>
            </w:pPr>
            <w:r>
              <w:rPr>
                <w:b/>
                <w:position w:val="2"/>
                <w:sz w:val="16"/>
              </w:rPr>
              <w:t>Annual change in carbon stocks, Gg CO</w:t>
            </w:r>
            <w:r>
              <w:rPr>
                <w:b/>
                <w:sz w:val="10"/>
              </w:rPr>
              <w:t>2</w:t>
            </w:r>
          </w:p>
        </w:tc>
        <w:tc>
          <w:tcPr>
            <w:tcW w:w="1087" w:type="dxa"/>
            <w:tcBorders>
              <w:top w:val="double" w:sz="1" w:space="0" w:color="000000"/>
              <w:bottom w:val="nil"/>
            </w:tcBorders>
            <w:shd w:val="clear" w:color="auto" w:fill="BFBFBF"/>
          </w:tcPr>
          <w:p>
            <w:pPr>
              <w:pStyle w:val="TableParagraph"/>
              <w:spacing w:before="10"/>
              <w:ind w:left="89" w:right="81"/>
              <w:jc w:val="center"/>
              <w:rPr>
                <w:b/>
                <w:sz w:val="10"/>
              </w:rPr>
            </w:pPr>
            <w:r>
              <w:rPr>
                <w:b/>
                <w:position w:val="2"/>
                <w:sz w:val="16"/>
              </w:rPr>
              <w:t>CH</w:t>
            </w:r>
            <w:r>
              <w:rPr>
                <w:b/>
                <w:sz w:val="10"/>
              </w:rPr>
              <w:t>4</w:t>
            </w:r>
          </w:p>
        </w:tc>
        <w:tc>
          <w:tcPr>
            <w:tcW w:w="1265" w:type="dxa"/>
            <w:tcBorders>
              <w:top w:val="double" w:sz="1" w:space="0" w:color="000000"/>
              <w:bottom w:val="nil"/>
            </w:tcBorders>
            <w:shd w:val="clear" w:color="auto" w:fill="BFBFBF"/>
          </w:tcPr>
          <w:p>
            <w:pPr>
              <w:pStyle w:val="TableParagraph"/>
              <w:spacing w:before="10"/>
              <w:ind w:left="454" w:right="446"/>
              <w:jc w:val="center"/>
              <w:rPr>
                <w:b/>
                <w:sz w:val="16"/>
              </w:rPr>
            </w:pPr>
            <w:r>
              <w:rPr>
                <w:b/>
                <w:position w:val="2"/>
                <w:sz w:val="16"/>
              </w:rPr>
              <w:t>N</w:t>
            </w:r>
            <w:r>
              <w:rPr>
                <w:b/>
                <w:sz w:val="10"/>
              </w:rPr>
              <w:t>2</w:t>
            </w:r>
            <w:r>
              <w:rPr>
                <w:b/>
                <w:position w:val="2"/>
                <w:sz w:val="16"/>
              </w:rPr>
              <w:t>O</w:t>
            </w:r>
          </w:p>
        </w:tc>
        <w:tc>
          <w:tcPr>
            <w:tcW w:w="1267" w:type="dxa"/>
            <w:tcBorders>
              <w:top w:val="double" w:sz="1" w:space="0" w:color="000000"/>
              <w:bottom w:val="nil"/>
            </w:tcBorders>
            <w:shd w:val="clear" w:color="auto" w:fill="BFBFBF"/>
          </w:tcPr>
          <w:p>
            <w:pPr>
              <w:pStyle w:val="TableParagraph"/>
              <w:spacing w:line="223" w:lineRule="exact"/>
              <w:ind w:left="438"/>
              <w:rPr>
                <w:b/>
                <w:sz w:val="12"/>
              </w:rPr>
            </w:pPr>
            <w:r>
              <w:rPr>
                <w:b/>
                <w:position w:val="2"/>
                <w:sz w:val="16"/>
              </w:rPr>
              <w:t>NO</w:t>
            </w:r>
            <w:r>
              <w:rPr>
                <w:b/>
                <w:sz w:val="10"/>
              </w:rPr>
              <w:t>x </w:t>
            </w:r>
            <w:r>
              <w:rPr>
                <w:b/>
                <w:position w:val="10"/>
                <w:sz w:val="12"/>
              </w:rPr>
              <w:t>3</w:t>
            </w:r>
          </w:p>
        </w:tc>
        <w:tc>
          <w:tcPr>
            <w:tcW w:w="1449" w:type="dxa"/>
            <w:tcBorders>
              <w:top w:val="double" w:sz="1" w:space="0" w:color="000000"/>
              <w:bottom w:val="nil"/>
            </w:tcBorders>
            <w:shd w:val="clear" w:color="auto" w:fill="BFBFBF"/>
          </w:tcPr>
          <w:p>
            <w:pPr>
              <w:pStyle w:val="TableParagraph"/>
              <w:spacing w:before="32"/>
              <w:ind w:left="109" w:right="103"/>
              <w:jc w:val="center"/>
              <w:rPr>
                <w:b/>
                <w:sz w:val="16"/>
              </w:rPr>
            </w:pPr>
            <w:r>
              <w:rPr>
                <w:b/>
                <w:sz w:val="16"/>
              </w:rPr>
              <w:t>CO </w:t>
            </w:r>
            <w:r>
              <w:rPr>
                <w:b/>
                <w:sz w:val="16"/>
                <w:vertAlign w:val="superscript"/>
              </w:rPr>
              <w:t>3</w:t>
            </w:r>
          </w:p>
        </w:tc>
      </w:tr>
      <w:tr>
        <w:trPr>
          <w:trHeight w:val="1142" w:hRule="atLeast"/>
        </w:trPr>
        <w:tc>
          <w:tcPr>
            <w:tcW w:w="108" w:type="dxa"/>
            <w:tcBorders>
              <w:right w:val="nil"/>
            </w:tcBorders>
            <w:shd w:val="clear" w:color="auto" w:fill="E4E4E4"/>
          </w:tcPr>
          <w:p>
            <w:pPr>
              <w:pStyle w:val="TableParagraph"/>
              <w:rPr>
                <w:sz w:val="16"/>
              </w:rPr>
            </w:pPr>
          </w:p>
        </w:tc>
        <w:tc>
          <w:tcPr>
            <w:tcW w:w="893" w:type="dxa"/>
            <w:tcBorders>
              <w:left w:val="nil"/>
            </w:tcBorders>
            <w:shd w:val="clear" w:color="auto" w:fill="E4E4E4"/>
          </w:tcPr>
          <w:p>
            <w:pPr>
              <w:pStyle w:val="TableParagraph"/>
              <w:spacing w:before="25"/>
              <w:ind w:left="76" w:right="167" w:firstLine="110"/>
              <w:rPr>
                <w:b/>
                <w:sz w:val="16"/>
              </w:rPr>
            </w:pPr>
            <w:r>
              <w:rPr>
                <w:b/>
                <w:sz w:val="16"/>
              </w:rPr>
              <w:t>Initial Land-use</w:t>
            </w:r>
          </w:p>
        </w:tc>
        <w:tc>
          <w:tcPr>
            <w:tcW w:w="1222" w:type="dxa"/>
            <w:shd w:val="clear" w:color="auto" w:fill="E4E4E4"/>
          </w:tcPr>
          <w:p>
            <w:pPr>
              <w:pStyle w:val="TableParagraph"/>
              <w:spacing w:before="25"/>
              <w:ind w:left="285" w:right="275" w:firstLine="2"/>
              <w:jc w:val="center"/>
              <w:rPr>
                <w:b/>
                <w:sz w:val="16"/>
              </w:rPr>
            </w:pPr>
            <w:r>
              <w:rPr>
                <w:b/>
                <w:sz w:val="16"/>
              </w:rPr>
              <w:t>Land-use during reporting Year</w:t>
            </w:r>
          </w:p>
        </w:tc>
        <w:tc>
          <w:tcPr>
            <w:tcW w:w="108" w:type="dxa"/>
            <w:vMerge/>
            <w:tcBorders>
              <w:top w:val="nil"/>
              <w:right w:val="nil"/>
            </w:tcBorders>
            <w:shd w:val="clear" w:color="auto" w:fill="BFBFBF"/>
          </w:tcPr>
          <w:p>
            <w:pPr>
              <w:rPr>
                <w:sz w:val="2"/>
                <w:szCs w:val="2"/>
              </w:rPr>
            </w:pPr>
          </w:p>
        </w:tc>
        <w:tc>
          <w:tcPr>
            <w:tcW w:w="1071" w:type="dxa"/>
            <w:tcBorders>
              <w:top w:val="nil"/>
              <w:left w:val="nil"/>
            </w:tcBorders>
            <w:shd w:val="clear" w:color="auto" w:fill="BFBFBF"/>
          </w:tcPr>
          <w:p>
            <w:pPr>
              <w:pStyle w:val="TableParagraph"/>
              <w:rPr>
                <w:sz w:val="16"/>
              </w:rPr>
            </w:pPr>
          </w:p>
        </w:tc>
        <w:tc>
          <w:tcPr>
            <w:tcW w:w="1414" w:type="dxa"/>
            <w:shd w:val="clear" w:color="auto" w:fill="E4E4E4"/>
          </w:tcPr>
          <w:p>
            <w:pPr>
              <w:pStyle w:val="TableParagraph"/>
              <w:spacing w:before="25"/>
              <w:ind w:left="158" w:right="152"/>
              <w:jc w:val="center"/>
              <w:rPr>
                <w:b/>
                <w:sz w:val="16"/>
              </w:rPr>
            </w:pPr>
            <w:r>
              <w:rPr>
                <w:b/>
                <w:sz w:val="16"/>
              </w:rPr>
              <w:t>Living Biomass</w:t>
            </w:r>
          </w:p>
          <w:p>
            <w:pPr>
              <w:pStyle w:val="TableParagraph"/>
              <w:rPr>
                <w:sz w:val="18"/>
              </w:rPr>
            </w:pPr>
          </w:p>
          <w:p>
            <w:pPr>
              <w:pStyle w:val="TableParagraph"/>
              <w:rPr>
                <w:sz w:val="18"/>
              </w:rPr>
            </w:pPr>
          </w:p>
          <w:p>
            <w:pPr>
              <w:pStyle w:val="TableParagraph"/>
              <w:rPr>
                <w:sz w:val="18"/>
              </w:rPr>
            </w:pPr>
          </w:p>
          <w:p>
            <w:pPr>
              <w:pStyle w:val="TableParagraph"/>
              <w:spacing w:line="177" w:lineRule="exact" w:before="115"/>
              <w:ind w:left="5"/>
              <w:jc w:val="center"/>
              <w:rPr>
                <w:b/>
                <w:sz w:val="16"/>
              </w:rPr>
            </w:pPr>
            <w:r>
              <w:rPr>
                <w:b/>
                <w:w w:val="100"/>
                <w:sz w:val="16"/>
              </w:rPr>
              <w:t>A</w:t>
            </w:r>
          </w:p>
        </w:tc>
        <w:tc>
          <w:tcPr>
            <w:tcW w:w="1536" w:type="dxa"/>
            <w:shd w:val="clear" w:color="auto" w:fill="E4E4E4"/>
          </w:tcPr>
          <w:p>
            <w:pPr>
              <w:pStyle w:val="TableParagraph"/>
              <w:spacing w:before="25"/>
              <w:ind w:left="286" w:right="282"/>
              <w:jc w:val="center"/>
              <w:rPr>
                <w:b/>
                <w:sz w:val="16"/>
              </w:rPr>
            </w:pPr>
            <w:r>
              <w:rPr>
                <w:b/>
                <w:sz w:val="16"/>
              </w:rPr>
              <w:t>Dead Organic Matter</w:t>
            </w:r>
          </w:p>
          <w:p>
            <w:pPr>
              <w:pStyle w:val="TableParagraph"/>
              <w:rPr>
                <w:sz w:val="18"/>
              </w:rPr>
            </w:pPr>
          </w:p>
          <w:p>
            <w:pPr>
              <w:pStyle w:val="TableParagraph"/>
              <w:rPr>
                <w:sz w:val="18"/>
              </w:rPr>
            </w:pPr>
          </w:p>
          <w:p>
            <w:pPr>
              <w:pStyle w:val="TableParagraph"/>
              <w:spacing w:line="177" w:lineRule="exact" w:before="138"/>
              <w:ind w:left="3"/>
              <w:jc w:val="center"/>
              <w:rPr>
                <w:b/>
                <w:sz w:val="16"/>
              </w:rPr>
            </w:pPr>
            <w:r>
              <w:rPr>
                <w:b/>
                <w:w w:val="100"/>
                <w:sz w:val="16"/>
              </w:rPr>
              <w:t>B</w:t>
            </w:r>
          </w:p>
        </w:tc>
        <w:tc>
          <w:tcPr>
            <w:tcW w:w="1358" w:type="dxa"/>
            <w:shd w:val="clear" w:color="auto" w:fill="E4E4E4"/>
          </w:tcPr>
          <w:p>
            <w:pPr>
              <w:pStyle w:val="TableParagraph"/>
              <w:spacing w:before="25"/>
              <w:ind w:left="497" w:right="490"/>
              <w:jc w:val="center"/>
              <w:rPr>
                <w:b/>
                <w:sz w:val="16"/>
              </w:rPr>
            </w:pPr>
            <w:r>
              <w:rPr>
                <w:b/>
                <w:sz w:val="16"/>
              </w:rPr>
              <w:t>Soils</w:t>
            </w:r>
          </w:p>
          <w:p>
            <w:pPr>
              <w:pStyle w:val="TableParagraph"/>
              <w:rPr>
                <w:sz w:val="18"/>
              </w:rPr>
            </w:pPr>
          </w:p>
          <w:p>
            <w:pPr>
              <w:pStyle w:val="TableParagraph"/>
              <w:rPr>
                <w:sz w:val="18"/>
              </w:rPr>
            </w:pPr>
          </w:p>
          <w:p>
            <w:pPr>
              <w:pStyle w:val="TableParagraph"/>
              <w:rPr>
                <w:sz w:val="18"/>
              </w:rPr>
            </w:pPr>
          </w:p>
          <w:p>
            <w:pPr>
              <w:pStyle w:val="TableParagraph"/>
              <w:spacing w:line="177" w:lineRule="exact" w:before="115"/>
              <w:ind w:left="7"/>
              <w:jc w:val="center"/>
              <w:rPr>
                <w:b/>
                <w:sz w:val="16"/>
              </w:rPr>
            </w:pPr>
            <w:r>
              <w:rPr>
                <w:b/>
                <w:w w:val="100"/>
                <w:sz w:val="16"/>
              </w:rPr>
              <w:t>C</w:t>
            </w:r>
          </w:p>
        </w:tc>
        <w:tc>
          <w:tcPr>
            <w:tcW w:w="1629" w:type="dxa"/>
            <w:shd w:val="clear" w:color="auto" w:fill="E4E4E4"/>
          </w:tcPr>
          <w:p>
            <w:pPr>
              <w:pStyle w:val="TableParagraph"/>
              <w:spacing w:line="228" w:lineRule="auto" w:before="33"/>
              <w:ind w:left="154" w:right="148"/>
              <w:jc w:val="center"/>
              <w:rPr>
                <w:b/>
                <w:sz w:val="16"/>
              </w:rPr>
            </w:pPr>
            <w:r>
              <w:rPr>
                <w:b/>
                <w:position w:val="2"/>
                <w:sz w:val="16"/>
              </w:rPr>
              <w:t>CO</w:t>
            </w:r>
            <w:r>
              <w:rPr>
                <w:b/>
                <w:sz w:val="10"/>
              </w:rPr>
              <w:t>2 </w:t>
            </w:r>
            <w:r>
              <w:rPr>
                <w:b/>
                <w:position w:val="2"/>
                <w:sz w:val="16"/>
              </w:rPr>
              <w:t>Emissions/ </w:t>
            </w:r>
            <w:r>
              <w:rPr>
                <w:b/>
                <w:sz w:val="16"/>
              </w:rPr>
              <w:t>Removals </w:t>
            </w:r>
            <w:r>
              <w:rPr>
                <w:b/>
                <w:sz w:val="16"/>
                <w:vertAlign w:val="superscript"/>
              </w:rPr>
              <w:t>2</w:t>
            </w:r>
          </w:p>
          <w:p>
            <w:pPr>
              <w:pStyle w:val="TableParagraph"/>
              <w:spacing w:line="350" w:lineRule="atLeast" w:before="47"/>
              <w:ind w:left="159" w:right="148"/>
              <w:jc w:val="center"/>
              <w:rPr>
                <w:b/>
                <w:sz w:val="16"/>
              </w:rPr>
            </w:pPr>
            <w:r>
              <w:rPr>
                <w:b/>
                <w:sz w:val="16"/>
              </w:rPr>
              <w:t>D = (A+B+C) </w:t>
            </w:r>
            <w:r>
              <w:rPr>
                <w:rFonts w:ascii="Symbol" w:hAnsi="Symbol"/>
                <w:sz w:val="16"/>
              </w:rPr>
              <w:t>• </w:t>
            </w:r>
            <w:r>
              <w:rPr>
                <w:b/>
                <w:sz w:val="16"/>
              </w:rPr>
              <w:t>(-1) D</w:t>
            </w:r>
          </w:p>
        </w:tc>
        <w:tc>
          <w:tcPr>
            <w:tcW w:w="1087" w:type="dxa"/>
            <w:tcBorders>
              <w:top w:val="nil"/>
            </w:tcBorders>
            <w:shd w:val="clear" w:color="auto" w:fill="BFBFBF"/>
          </w:tcPr>
          <w:p>
            <w:pPr>
              <w:pStyle w:val="TableParagraph"/>
              <w:spacing w:line="171" w:lineRule="exact"/>
              <w:ind w:left="89" w:right="83"/>
              <w:jc w:val="center"/>
              <w:rPr>
                <w:b/>
                <w:sz w:val="16"/>
              </w:rPr>
            </w:pPr>
            <w:r>
              <w:rPr>
                <w:b/>
                <w:sz w:val="16"/>
              </w:rPr>
              <w:t>(Gg)</w:t>
            </w:r>
          </w:p>
        </w:tc>
        <w:tc>
          <w:tcPr>
            <w:tcW w:w="1265" w:type="dxa"/>
            <w:tcBorders>
              <w:top w:val="nil"/>
            </w:tcBorders>
            <w:shd w:val="clear" w:color="auto" w:fill="BFBFBF"/>
          </w:tcPr>
          <w:p>
            <w:pPr>
              <w:pStyle w:val="TableParagraph"/>
              <w:spacing w:line="171" w:lineRule="exact"/>
              <w:ind w:left="457" w:right="446"/>
              <w:jc w:val="center"/>
              <w:rPr>
                <w:b/>
                <w:sz w:val="16"/>
              </w:rPr>
            </w:pPr>
            <w:r>
              <w:rPr>
                <w:b/>
                <w:sz w:val="16"/>
              </w:rPr>
              <w:t>(Gg)</w:t>
            </w:r>
          </w:p>
        </w:tc>
        <w:tc>
          <w:tcPr>
            <w:tcW w:w="1267" w:type="dxa"/>
            <w:tcBorders>
              <w:top w:val="nil"/>
            </w:tcBorders>
            <w:shd w:val="clear" w:color="auto" w:fill="BFBFBF"/>
          </w:tcPr>
          <w:p>
            <w:pPr>
              <w:pStyle w:val="TableParagraph"/>
              <w:spacing w:before="9"/>
              <w:ind w:left="476"/>
              <w:rPr>
                <w:b/>
                <w:sz w:val="16"/>
              </w:rPr>
            </w:pPr>
            <w:r>
              <w:rPr>
                <w:b/>
                <w:sz w:val="16"/>
              </w:rPr>
              <w:t>(Gg)</w:t>
            </w:r>
          </w:p>
        </w:tc>
        <w:tc>
          <w:tcPr>
            <w:tcW w:w="1449" w:type="dxa"/>
            <w:tcBorders>
              <w:top w:val="nil"/>
            </w:tcBorders>
            <w:shd w:val="clear" w:color="auto" w:fill="BFBFBF"/>
          </w:tcPr>
          <w:p>
            <w:pPr>
              <w:pStyle w:val="TableParagraph"/>
              <w:spacing w:before="9"/>
              <w:ind w:left="108" w:right="103"/>
              <w:jc w:val="center"/>
              <w:rPr>
                <w:b/>
                <w:sz w:val="16"/>
              </w:rPr>
            </w:pPr>
            <w:r>
              <w:rPr>
                <w:b/>
                <w:sz w:val="16"/>
              </w:rPr>
              <w:t>(Gg)</w:t>
            </w:r>
          </w:p>
        </w:tc>
      </w:tr>
      <w:tr>
        <w:trPr>
          <w:trHeight w:val="213" w:hRule="atLeast"/>
        </w:trPr>
        <w:tc>
          <w:tcPr>
            <w:tcW w:w="1001" w:type="dxa"/>
            <w:gridSpan w:val="2"/>
          </w:tcPr>
          <w:p>
            <w:pPr>
              <w:pStyle w:val="TableParagraph"/>
              <w:spacing w:line="170" w:lineRule="exact" w:before="23"/>
              <w:ind w:left="107"/>
              <w:rPr>
                <w:sz w:val="16"/>
              </w:rPr>
            </w:pPr>
            <w:r>
              <w:rPr>
                <w:sz w:val="16"/>
              </w:rPr>
              <w:t>Forest Land</w:t>
            </w:r>
          </w:p>
        </w:tc>
        <w:tc>
          <w:tcPr>
            <w:tcW w:w="1222" w:type="dxa"/>
          </w:tcPr>
          <w:p>
            <w:pPr>
              <w:pStyle w:val="TableParagraph"/>
              <w:spacing w:line="170" w:lineRule="exact" w:before="23"/>
              <w:ind w:left="107"/>
              <w:rPr>
                <w:sz w:val="16"/>
              </w:rPr>
            </w:pPr>
            <w:r>
              <w:rPr>
                <w:sz w:val="16"/>
              </w:rPr>
              <w:t>Cropland</w:t>
            </w:r>
          </w:p>
        </w:tc>
        <w:tc>
          <w:tcPr>
            <w:tcW w:w="1179" w:type="dxa"/>
            <w:gridSpan w:val="2"/>
          </w:tcPr>
          <w:p>
            <w:pPr>
              <w:pStyle w:val="TableParagraph"/>
              <w:spacing w:line="170" w:lineRule="exact" w:before="23"/>
              <w:ind w:left="354"/>
              <w:rPr>
                <w:sz w:val="16"/>
              </w:rPr>
            </w:pPr>
            <w:r>
              <w:rPr>
                <w:sz w:val="16"/>
              </w:rPr>
              <w:t>5B,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316" w:hRule="atLeast"/>
        </w:trPr>
        <w:tc>
          <w:tcPr>
            <w:tcW w:w="1001" w:type="dxa"/>
            <w:gridSpan w:val="2"/>
          </w:tcPr>
          <w:p>
            <w:pPr>
              <w:pStyle w:val="TableParagraph"/>
              <w:spacing w:before="23"/>
              <w:ind w:left="107"/>
              <w:rPr>
                <w:sz w:val="16"/>
              </w:rPr>
            </w:pPr>
            <w:r>
              <w:rPr>
                <w:sz w:val="16"/>
              </w:rPr>
              <w:t>Forest Land</w:t>
            </w:r>
          </w:p>
        </w:tc>
        <w:tc>
          <w:tcPr>
            <w:tcW w:w="1222" w:type="dxa"/>
          </w:tcPr>
          <w:p>
            <w:pPr>
              <w:pStyle w:val="TableParagraph"/>
              <w:spacing w:before="23"/>
              <w:ind w:left="108"/>
              <w:rPr>
                <w:sz w:val="16"/>
              </w:rPr>
            </w:pPr>
            <w:r>
              <w:rPr>
                <w:sz w:val="16"/>
              </w:rPr>
              <w:t>Grassland</w:t>
            </w:r>
          </w:p>
        </w:tc>
        <w:tc>
          <w:tcPr>
            <w:tcW w:w="1179" w:type="dxa"/>
            <w:gridSpan w:val="2"/>
          </w:tcPr>
          <w:p>
            <w:pPr>
              <w:pStyle w:val="TableParagraph"/>
              <w:spacing w:before="23"/>
              <w:ind w:left="354"/>
              <w:rPr>
                <w:sz w:val="16"/>
              </w:rPr>
            </w:pPr>
            <w:r>
              <w:rPr>
                <w:sz w:val="16"/>
              </w:rPr>
              <w:t>5B, 5D</w:t>
            </w:r>
          </w:p>
        </w:tc>
        <w:tc>
          <w:tcPr>
            <w:tcW w:w="1414" w:type="dxa"/>
          </w:tcPr>
          <w:p>
            <w:pPr>
              <w:pStyle w:val="TableParagraph"/>
              <w:spacing w:line="71" w:lineRule="exact" w:before="22"/>
              <w:ind w:right="321"/>
              <w:jc w:val="right"/>
              <w:rPr>
                <w:b/>
                <w:sz w:val="12"/>
              </w:rPr>
            </w:pPr>
            <w:r>
              <w:rPr>
                <w:b/>
                <w:sz w:val="12"/>
              </w:rPr>
              <w:t>4</w:t>
            </w:r>
          </w:p>
          <w:p>
            <w:pPr>
              <w:pStyle w:val="TableParagraph"/>
              <w:spacing w:line="153" w:lineRule="auto"/>
              <w:ind w:left="327"/>
              <w:rPr>
                <w:b/>
                <w:sz w:val="13"/>
              </w:rPr>
            </w:pPr>
            <w:r>
              <w:rPr>
                <w:b/>
                <w:sz w:val="20"/>
              </w:rPr>
              <w:t>∆C</w:t>
            </w:r>
            <w:r>
              <w:rPr>
                <w:b/>
                <w:sz w:val="20"/>
                <w:vertAlign w:val="subscript"/>
              </w:rPr>
              <w:t>LG</w:t>
            </w:r>
            <w:r>
              <w:rPr>
                <w:b/>
                <w:position w:val="-8"/>
                <w:sz w:val="13"/>
                <w:vertAlign w:val="baseline"/>
              </w:rPr>
              <w:t>LB</w:t>
            </w:r>
          </w:p>
        </w:tc>
        <w:tc>
          <w:tcPr>
            <w:tcW w:w="1536" w:type="dxa"/>
          </w:tcPr>
          <w:p>
            <w:pPr>
              <w:pStyle w:val="TableParagraph"/>
              <w:spacing w:line="269" w:lineRule="exact" w:before="28"/>
              <w:ind w:left="379"/>
              <w:rPr>
                <w:b/>
                <w:sz w:val="13"/>
              </w:rPr>
            </w:pPr>
            <w:r>
              <w:rPr>
                <w:b/>
                <w:position w:val="9"/>
                <w:sz w:val="20"/>
              </w:rPr>
              <w:t>∆C</w:t>
            </w:r>
            <w:r>
              <w:rPr>
                <w:b/>
                <w:position w:val="6"/>
                <w:sz w:val="13"/>
              </w:rPr>
              <w:t>LG</w:t>
            </w:r>
            <w:r>
              <w:rPr>
                <w:b/>
                <w:sz w:val="13"/>
              </w:rPr>
              <w:t>DOM</w:t>
            </w:r>
          </w:p>
        </w:tc>
        <w:tc>
          <w:tcPr>
            <w:tcW w:w="1358" w:type="dxa"/>
          </w:tcPr>
          <w:p>
            <w:pPr>
              <w:pStyle w:val="TableParagraph"/>
              <w:spacing w:line="269" w:lineRule="exact" w:before="28"/>
              <w:ind w:left="302"/>
              <w:rPr>
                <w:b/>
                <w:sz w:val="13"/>
              </w:rPr>
            </w:pPr>
            <w:r>
              <w:rPr>
                <w:b/>
                <w:position w:val="9"/>
                <w:sz w:val="20"/>
              </w:rPr>
              <w:t>∆C</w:t>
            </w:r>
            <w:r>
              <w:rPr>
                <w:b/>
                <w:position w:val="6"/>
                <w:sz w:val="13"/>
              </w:rPr>
              <w:t>LG</w:t>
            </w:r>
            <w:r>
              <w:rPr>
                <w:b/>
                <w:sz w:val="13"/>
              </w:rPr>
              <w:t>SOM</w:t>
            </w:r>
          </w:p>
        </w:tc>
        <w:tc>
          <w:tcPr>
            <w:tcW w:w="1629" w:type="dxa"/>
          </w:tcPr>
          <w:p>
            <w:pPr>
              <w:pStyle w:val="TableParagraph"/>
              <w:rPr>
                <w:sz w:val="16"/>
              </w:rPr>
            </w:pPr>
          </w:p>
        </w:tc>
        <w:tc>
          <w:tcPr>
            <w:tcW w:w="1087" w:type="dxa"/>
          </w:tcPr>
          <w:p>
            <w:pPr>
              <w:pStyle w:val="TableParagraph"/>
              <w:rPr>
                <w:sz w:val="16"/>
              </w:rPr>
            </w:pPr>
          </w:p>
        </w:tc>
        <w:tc>
          <w:tcPr>
            <w:tcW w:w="1265" w:type="dxa"/>
          </w:tcPr>
          <w:p>
            <w:pPr>
              <w:pStyle w:val="TableParagraph"/>
              <w:rPr>
                <w:sz w:val="16"/>
              </w:rPr>
            </w:pPr>
          </w:p>
        </w:tc>
        <w:tc>
          <w:tcPr>
            <w:tcW w:w="1267" w:type="dxa"/>
          </w:tcPr>
          <w:p>
            <w:pPr>
              <w:pStyle w:val="TableParagraph"/>
              <w:rPr>
                <w:sz w:val="16"/>
              </w:rPr>
            </w:pPr>
          </w:p>
        </w:tc>
        <w:tc>
          <w:tcPr>
            <w:tcW w:w="1449" w:type="dxa"/>
          </w:tcPr>
          <w:p>
            <w:pPr>
              <w:pStyle w:val="TableParagraph"/>
              <w:rPr>
                <w:sz w:val="16"/>
              </w:rPr>
            </w:pPr>
          </w:p>
        </w:tc>
      </w:tr>
      <w:tr>
        <w:trPr>
          <w:trHeight w:val="213" w:hRule="atLeast"/>
        </w:trPr>
        <w:tc>
          <w:tcPr>
            <w:tcW w:w="1001" w:type="dxa"/>
            <w:gridSpan w:val="2"/>
          </w:tcPr>
          <w:p>
            <w:pPr>
              <w:pStyle w:val="TableParagraph"/>
              <w:spacing w:line="170" w:lineRule="exact" w:before="23"/>
              <w:ind w:left="107"/>
              <w:rPr>
                <w:sz w:val="16"/>
              </w:rPr>
            </w:pPr>
            <w:r>
              <w:rPr>
                <w:sz w:val="16"/>
              </w:rPr>
              <w:t>Forest Land</w:t>
            </w:r>
          </w:p>
        </w:tc>
        <w:tc>
          <w:tcPr>
            <w:tcW w:w="1222" w:type="dxa"/>
          </w:tcPr>
          <w:p>
            <w:pPr>
              <w:pStyle w:val="TableParagraph"/>
              <w:spacing w:line="170" w:lineRule="exact" w:before="23"/>
              <w:ind w:left="107"/>
              <w:rPr>
                <w:sz w:val="16"/>
              </w:rPr>
            </w:pPr>
            <w:r>
              <w:rPr>
                <w:sz w:val="16"/>
              </w:rPr>
              <w:t>Wetlands</w:t>
            </w:r>
          </w:p>
        </w:tc>
        <w:tc>
          <w:tcPr>
            <w:tcW w:w="1179" w:type="dxa"/>
            <w:gridSpan w:val="2"/>
          </w:tcPr>
          <w:p>
            <w:pPr>
              <w:pStyle w:val="TableParagraph"/>
              <w:spacing w:line="170"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Forest Land</w:t>
            </w:r>
          </w:p>
        </w:tc>
        <w:tc>
          <w:tcPr>
            <w:tcW w:w="1222" w:type="dxa"/>
          </w:tcPr>
          <w:p>
            <w:pPr>
              <w:pStyle w:val="TableParagraph"/>
              <w:spacing w:line="168" w:lineRule="exact" w:before="23"/>
              <w:ind w:left="107"/>
              <w:rPr>
                <w:sz w:val="16"/>
              </w:rPr>
            </w:pPr>
            <w:r>
              <w:rPr>
                <w:sz w:val="16"/>
              </w:rPr>
              <w:t>Settlements</w:t>
            </w:r>
          </w:p>
        </w:tc>
        <w:tc>
          <w:tcPr>
            <w:tcW w:w="1179" w:type="dxa"/>
            <w:gridSpan w:val="2"/>
          </w:tcPr>
          <w:p>
            <w:pPr>
              <w:pStyle w:val="TableParagraph"/>
              <w:spacing w:line="168"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Forest Land</w:t>
            </w:r>
          </w:p>
        </w:tc>
        <w:tc>
          <w:tcPr>
            <w:tcW w:w="1222" w:type="dxa"/>
          </w:tcPr>
          <w:p>
            <w:pPr>
              <w:pStyle w:val="TableParagraph"/>
              <w:spacing w:line="170" w:lineRule="exact" w:before="23"/>
              <w:ind w:left="107"/>
              <w:rPr>
                <w:sz w:val="16"/>
              </w:rPr>
            </w:pPr>
            <w:r>
              <w:rPr>
                <w:sz w:val="16"/>
              </w:rPr>
              <w:t>Other Land</w:t>
            </w:r>
          </w:p>
        </w:tc>
        <w:tc>
          <w:tcPr>
            <w:tcW w:w="1179" w:type="dxa"/>
            <w:gridSpan w:val="2"/>
          </w:tcPr>
          <w:p>
            <w:pPr>
              <w:pStyle w:val="TableParagraph"/>
              <w:spacing w:line="170"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shd w:val="clear" w:color="auto" w:fill="BFBFBF"/>
          </w:tcPr>
          <w:p>
            <w:pPr>
              <w:pStyle w:val="TableParagraph"/>
              <w:rPr>
                <w:sz w:val="14"/>
              </w:rPr>
            </w:pPr>
          </w:p>
        </w:tc>
        <w:tc>
          <w:tcPr>
            <w:tcW w:w="2401" w:type="dxa"/>
            <w:gridSpan w:val="3"/>
          </w:tcPr>
          <w:p>
            <w:pPr>
              <w:pStyle w:val="TableParagraph"/>
              <w:spacing w:line="165" w:lineRule="exact" w:before="25"/>
              <w:ind w:left="107"/>
              <w:rPr>
                <w:b/>
                <w:sz w:val="16"/>
              </w:rPr>
            </w:pPr>
            <w:r>
              <w:rPr>
                <w:b/>
                <w:sz w:val="16"/>
              </w:rPr>
              <w:t>Sub-Total for Forest Land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Grassland</w:t>
            </w:r>
          </w:p>
        </w:tc>
        <w:tc>
          <w:tcPr>
            <w:tcW w:w="1222" w:type="dxa"/>
          </w:tcPr>
          <w:p>
            <w:pPr>
              <w:pStyle w:val="TableParagraph"/>
              <w:spacing w:line="168" w:lineRule="exact" w:before="23"/>
              <w:ind w:left="106"/>
              <w:rPr>
                <w:sz w:val="16"/>
              </w:rPr>
            </w:pPr>
            <w:r>
              <w:rPr>
                <w:sz w:val="16"/>
              </w:rPr>
              <w:t>Forest Land</w:t>
            </w:r>
          </w:p>
        </w:tc>
        <w:tc>
          <w:tcPr>
            <w:tcW w:w="1179" w:type="dxa"/>
            <w:gridSpan w:val="2"/>
          </w:tcPr>
          <w:p>
            <w:pPr>
              <w:pStyle w:val="TableParagraph"/>
              <w:spacing w:line="168" w:lineRule="exact" w:before="23"/>
              <w:ind w:left="217"/>
              <w:rPr>
                <w:sz w:val="16"/>
              </w:rPr>
            </w:pPr>
            <w:r>
              <w:rPr>
                <w:sz w:val="16"/>
              </w:rPr>
              <w:t>5A, 5C,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Grassland</w:t>
            </w:r>
          </w:p>
        </w:tc>
        <w:tc>
          <w:tcPr>
            <w:tcW w:w="1222" w:type="dxa"/>
          </w:tcPr>
          <w:p>
            <w:pPr>
              <w:pStyle w:val="TableParagraph"/>
              <w:spacing w:line="170" w:lineRule="exact" w:before="23"/>
              <w:ind w:left="107"/>
              <w:rPr>
                <w:sz w:val="16"/>
              </w:rPr>
            </w:pPr>
            <w:r>
              <w:rPr>
                <w:sz w:val="16"/>
              </w:rPr>
              <w:t>Cropland</w:t>
            </w:r>
          </w:p>
        </w:tc>
        <w:tc>
          <w:tcPr>
            <w:tcW w:w="1179" w:type="dxa"/>
            <w:gridSpan w:val="2"/>
          </w:tcPr>
          <w:p>
            <w:pPr>
              <w:pStyle w:val="TableParagraph"/>
              <w:spacing w:line="170" w:lineRule="exact" w:before="23"/>
              <w:ind w:left="354"/>
              <w:rPr>
                <w:sz w:val="16"/>
              </w:rPr>
            </w:pPr>
            <w:r>
              <w:rPr>
                <w:sz w:val="16"/>
              </w:rPr>
              <w:t>5B, 5D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Grassland</w:t>
            </w:r>
          </w:p>
        </w:tc>
        <w:tc>
          <w:tcPr>
            <w:tcW w:w="1222" w:type="dxa"/>
          </w:tcPr>
          <w:p>
            <w:pPr>
              <w:pStyle w:val="TableParagraph"/>
              <w:spacing w:line="168" w:lineRule="exact" w:before="23"/>
              <w:ind w:left="108"/>
              <w:rPr>
                <w:sz w:val="16"/>
              </w:rPr>
            </w:pPr>
            <w:r>
              <w:rPr>
                <w:sz w:val="16"/>
              </w:rPr>
              <w:t>Wetlands</w:t>
            </w:r>
          </w:p>
        </w:tc>
        <w:tc>
          <w:tcPr>
            <w:tcW w:w="1179" w:type="dxa"/>
            <w:gridSpan w:val="2"/>
          </w:tcPr>
          <w:p>
            <w:pPr>
              <w:pStyle w:val="TableParagraph"/>
              <w:spacing w:line="168"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01" w:type="dxa"/>
            <w:gridSpan w:val="2"/>
          </w:tcPr>
          <w:p>
            <w:pPr>
              <w:pStyle w:val="TableParagraph"/>
              <w:spacing w:line="170" w:lineRule="exact" w:before="23"/>
              <w:ind w:left="107"/>
              <w:rPr>
                <w:sz w:val="16"/>
              </w:rPr>
            </w:pPr>
            <w:r>
              <w:rPr>
                <w:sz w:val="16"/>
              </w:rPr>
              <w:t>Grassland</w:t>
            </w:r>
          </w:p>
        </w:tc>
        <w:tc>
          <w:tcPr>
            <w:tcW w:w="1222" w:type="dxa"/>
          </w:tcPr>
          <w:p>
            <w:pPr>
              <w:pStyle w:val="TableParagraph"/>
              <w:spacing w:line="170" w:lineRule="exact" w:before="23"/>
              <w:ind w:left="107"/>
              <w:rPr>
                <w:sz w:val="16"/>
              </w:rPr>
            </w:pPr>
            <w:r>
              <w:rPr>
                <w:sz w:val="16"/>
              </w:rPr>
              <w:t>Settlements</w:t>
            </w:r>
          </w:p>
        </w:tc>
        <w:tc>
          <w:tcPr>
            <w:tcW w:w="1179" w:type="dxa"/>
            <w:gridSpan w:val="2"/>
          </w:tcPr>
          <w:p>
            <w:pPr>
              <w:pStyle w:val="TableParagraph"/>
              <w:spacing w:line="170"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01" w:type="dxa"/>
            <w:gridSpan w:val="2"/>
          </w:tcPr>
          <w:p>
            <w:pPr>
              <w:pStyle w:val="TableParagraph"/>
              <w:spacing w:line="168" w:lineRule="exact" w:before="23"/>
              <w:ind w:left="107"/>
              <w:rPr>
                <w:sz w:val="16"/>
              </w:rPr>
            </w:pPr>
            <w:r>
              <w:rPr>
                <w:sz w:val="16"/>
              </w:rPr>
              <w:t>Grassland</w:t>
            </w:r>
          </w:p>
        </w:tc>
        <w:tc>
          <w:tcPr>
            <w:tcW w:w="1222" w:type="dxa"/>
          </w:tcPr>
          <w:p>
            <w:pPr>
              <w:pStyle w:val="TableParagraph"/>
              <w:spacing w:line="168" w:lineRule="exact" w:before="23"/>
              <w:ind w:left="108"/>
              <w:rPr>
                <w:sz w:val="16"/>
              </w:rPr>
            </w:pPr>
            <w:r>
              <w:rPr>
                <w:sz w:val="16"/>
              </w:rPr>
              <w:t>Other Land</w:t>
            </w:r>
          </w:p>
        </w:tc>
        <w:tc>
          <w:tcPr>
            <w:tcW w:w="1179" w:type="dxa"/>
            <w:gridSpan w:val="2"/>
          </w:tcPr>
          <w:p>
            <w:pPr>
              <w:pStyle w:val="TableParagraph"/>
              <w:spacing w:line="168" w:lineRule="exact" w:before="23"/>
              <w:ind w:left="466" w:right="463"/>
              <w:jc w:val="center"/>
              <w:rPr>
                <w:sz w:val="16"/>
              </w:rPr>
            </w:pPr>
            <w:r>
              <w:rPr>
                <w:sz w:val="16"/>
              </w:rPr>
              <w:t>5B</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3" w:hRule="atLeast"/>
        </w:trPr>
        <w:tc>
          <w:tcPr>
            <w:tcW w:w="108" w:type="dxa"/>
            <w:tcBorders>
              <w:right w:val="nil"/>
            </w:tcBorders>
            <w:shd w:val="clear" w:color="auto" w:fill="BFBFBF"/>
          </w:tcPr>
          <w:p>
            <w:pPr>
              <w:pStyle w:val="TableParagraph"/>
              <w:rPr>
                <w:sz w:val="14"/>
              </w:rPr>
            </w:pPr>
          </w:p>
        </w:tc>
        <w:tc>
          <w:tcPr>
            <w:tcW w:w="893" w:type="dxa"/>
            <w:tcBorders>
              <w:left w:val="nil"/>
            </w:tcBorders>
            <w:shd w:val="clear" w:color="auto" w:fill="BFBFBF"/>
          </w:tcPr>
          <w:p>
            <w:pPr>
              <w:pStyle w:val="TableParagraph"/>
              <w:rPr>
                <w:sz w:val="14"/>
              </w:rPr>
            </w:pPr>
          </w:p>
        </w:tc>
        <w:tc>
          <w:tcPr>
            <w:tcW w:w="2401" w:type="dxa"/>
            <w:gridSpan w:val="3"/>
          </w:tcPr>
          <w:p>
            <w:pPr>
              <w:pStyle w:val="TableParagraph"/>
              <w:spacing w:line="168" w:lineRule="exact" w:before="25"/>
              <w:ind w:left="107"/>
              <w:rPr>
                <w:b/>
                <w:sz w:val="16"/>
              </w:rPr>
            </w:pPr>
            <w:r>
              <w:rPr>
                <w:b/>
                <w:sz w:val="16"/>
              </w:rPr>
              <w:t>Sub-Total from Grassland</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210" w:hRule="atLeast"/>
        </w:trPr>
        <w:tc>
          <w:tcPr>
            <w:tcW w:w="108" w:type="dxa"/>
            <w:tcBorders>
              <w:right w:val="nil"/>
            </w:tcBorders>
            <w:shd w:val="clear" w:color="auto" w:fill="BFBFBF"/>
          </w:tcPr>
          <w:p>
            <w:pPr>
              <w:pStyle w:val="TableParagraph"/>
              <w:rPr>
                <w:sz w:val="14"/>
              </w:rPr>
            </w:pPr>
          </w:p>
        </w:tc>
        <w:tc>
          <w:tcPr>
            <w:tcW w:w="893" w:type="dxa"/>
            <w:tcBorders>
              <w:left w:val="nil"/>
              <w:right w:val="nil"/>
            </w:tcBorders>
            <w:shd w:val="clear" w:color="auto" w:fill="BFBFBF"/>
          </w:tcPr>
          <w:p>
            <w:pPr>
              <w:pStyle w:val="TableParagraph"/>
              <w:rPr>
                <w:sz w:val="14"/>
              </w:rPr>
            </w:pPr>
          </w:p>
        </w:tc>
        <w:tc>
          <w:tcPr>
            <w:tcW w:w="2401" w:type="dxa"/>
            <w:gridSpan w:val="3"/>
            <w:tcBorders>
              <w:left w:val="nil"/>
            </w:tcBorders>
            <w:shd w:val="clear" w:color="auto" w:fill="BFBFBF"/>
          </w:tcPr>
          <w:p>
            <w:pPr>
              <w:pStyle w:val="TableParagraph"/>
              <w:spacing w:line="165" w:lineRule="exact" w:before="25"/>
              <w:ind w:left="520"/>
              <w:rPr>
                <w:b/>
                <w:sz w:val="16"/>
              </w:rPr>
            </w:pPr>
            <w:r>
              <w:rPr>
                <w:b/>
                <w:sz w:val="16"/>
              </w:rPr>
              <w:t>Total</w:t>
            </w:r>
          </w:p>
        </w:tc>
        <w:tc>
          <w:tcPr>
            <w:tcW w:w="1414" w:type="dxa"/>
          </w:tcPr>
          <w:p>
            <w:pPr>
              <w:pStyle w:val="TableParagraph"/>
              <w:rPr>
                <w:sz w:val="14"/>
              </w:rPr>
            </w:pPr>
          </w:p>
        </w:tc>
        <w:tc>
          <w:tcPr>
            <w:tcW w:w="1536" w:type="dxa"/>
          </w:tcPr>
          <w:p>
            <w:pPr>
              <w:pStyle w:val="TableParagraph"/>
              <w:rPr>
                <w:sz w:val="14"/>
              </w:rPr>
            </w:pPr>
          </w:p>
        </w:tc>
        <w:tc>
          <w:tcPr>
            <w:tcW w:w="1358" w:type="dxa"/>
          </w:tcPr>
          <w:p>
            <w:pPr>
              <w:pStyle w:val="TableParagraph"/>
              <w:rPr>
                <w:sz w:val="14"/>
              </w:rPr>
            </w:pPr>
          </w:p>
        </w:tc>
        <w:tc>
          <w:tcPr>
            <w:tcW w:w="1629" w:type="dxa"/>
          </w:tcPr>
          <w:p>
            <w:pPr>
              <w:pStyle w:val="TableParagraph"/>
              <w:rPr>
                <w:sz w:val="14"/>
              </w:rPr>
            </w:pPr>
          </w:p>
        </w:tc>
        <w:tc>
          <w:tcPr>
            <w:tcW w:w="1087" w:type="dxa"/>
          </w:tcPr>
          <w:p>
            <w:pPr>
              <w:pStyle w:val="TableParagraph"/>
              <w:rPr>
                <w:sz w:val="14"/>
              </w:rPr>
            </w:pPr>
          </w:p>
        </w:tc>
        <w:tc>
          <w:tcPr>
            <w:tcW w:w="1265" w:type="dxa"/>
          </w:tcPr>
          <w:p>
            <w:pPr>
              <w:pStyle w:val="TableParagraph"/>
              <w:rPr>
                <w:sz w:val="14"/>
              </w:rPr>
            </w:pPr>
          </w:p>
        </w:tc>
        <w:tc>
          <w:tcPr>
            <w:tcW w:w="1267" w:type="dxa"/>
          </w:tcPr>
          <w:p>
            <w:pPr>
              <w:pStyle w:val="TableParagraph"/>
              <w:rPr>
                <w:sz w:val="14"/>
              </w:rPr>
            </w:pPr>
          </w:p>
        </w:tc>
        <w:tc>
          <w:tcPr>
            <w:tcW w:w="1449" w:type="dxa"/>
          </w:tcPr>
          <w:p>
            <w:pPr>
              <w:pStyle w:val="TableParagraph"/>
              <w:rPr>
                <w:sz w:val="14"/>
              </w:rPr>
            </w:pPr>
          </w:p>
        </w:tc>
      </w:tr>
      <w:tr>
        <w:trPr>
          <w:trHeight w:val="1984" w:hRule="atLeast"/>
        </w:trPr>
        <w:tc>
          <w:tcPr>
            <w:tcW w:w="14407" w:type="dxa"/>
            <w:gridSpan w:val="13"/>
          </w:tcPr>
          <w:p>
            <w:pPr>
              <w:pStyle w:val="TableParagraph"/>
              <w:spacing w:before="10"/>
              <w:rPr>
                <w:sz w:val="16"/>
              </w:rPr>
            </w:pPr>
          </w:p>
          <w:p>
            <w:pPr>
              <w:pStyle w:val="TableParagraph"/>
              <w:ind w:left="287" w:hanging="180"/>
              <w:rPr>
                <w:sz w:val="16"/>
              </w:rPr>
            </w:pPr>
            <w:r>
              <w:rPr>
                <w:position w:val="7"/>
                <w:sz w:val="10"/>
              </w:rPr>
              <w:t>1 </w:t>
            </w:r>
            <w:r>
              <w:rPr>
                <w:sz w:val="16"/>
              </w:rPr>
              <w:t>Headings from the </w:t>
            </w:r>
            <w:r>
              <w:rPr>
                <w:i/>
                <w:sz w:val="16"/>
              </w:rPr>
              <w:t>IPCC Guidelines </w:t>
            </w:r>
            <w:r>
              <w:rPr>
                <w:sz w:val="16"/>
              </w:rPr>
              <w:t>Reporting Instructions p.1.14 - 1.16: 5A - Changes in Forest and Other Woody Biomass Stocks; 5B - Forest and Grassland Conversion; 5C - Abandonment of Managed Lands; 5D - Emissions and Removals from Soils, and 5E - Other.</w:t>
            </w:r>
          </w:p>
          <w:p>
            <w:pPr>
              <w:pStyle w:val="TableParagraph"/>
              <w:spacing w:line="228" w:lineRule="auto" w:before="33"/>
              <w:ind w:left="107"/>
              <w:rPr>
                <w:sz w:val="16"/>
              </w:rPr>
            </w:pPr>
            <w:r>
              <w:rPr>
                <w:position w:val="9"/>
                <w:sz w:val="10"/>
              </w:rPr>
              <w:t>2 </w:t>
            </w:r>
            <w:r>
              <w:rPr>
                <w:position w:val="2"/>
                <w:sz w:val="16"/>
              </w:rPr>
              <w:t>For the purpose of reporting, it is necessary to reverse the sign so that the resulting value is expressed as (-) for removal or uptake and (+) for emission. Thus, negative 1 is multiplied to the resulting CO</w:t>
            </w:r>
            <w:r>
              <w:rPr>
                <w:sz w:val="10"/>
              </w:rPr>
              <w:t>2 </w:t>
            </w:r>
            <w:r>
              <w:rPr>
                <w:position w:val="2"/>
                <w:sz w:val="16"/>
              </w:rPr>
              <w:t>emission or </w:t>
            </w:r>
            <w:r>
              <w:rPr>
                <w:sz w:val="16"/>
              </w:rPr>
              <w:t>removal.</w:t>
            </w:r>
          </w:p>
          <w:p>
            <w:pPr>
              <w:pStyle w:val="TableParagraph"/>
              <w:spacing w:line="228" w:lineRule="auto" w:before="98"/>
              <w:ind w:left="107"/>
              <w:rPr>
                <w:sz w:val="16"/>
              </w:rPr>
            </w:pPr>
            <w:r>
              <w:rPr>
                <w:position w:val="9"/>
                <w:sz w:val="10"/>
              </w:rPr>
              <w:t>3 </w:t>
            </w:r>
            <w:r>
              <w:rPr>
                <w:position w:val="2"/>
                <w:sz w:val="16"/>
              </w:rPr>
              <w:t>The </w:t>
            </w:r>
            <w:r>
              <w:rPr>
                <w:i/>
                <w:position w:val="2"/>
                <w:sz w:val="16"/>
              </w:rPr>
              <w:t>IPCC Guidelines </w:t>
            </w:r>
            <w:r>
              <w:rPr>
                <w:position w:val="2"/>
                <w:sz w:val="16"/>
              </w:rPr>
              <w:t>and this report provide methodology to estimate NO</w:t>
            </w:r>
            <w:r>
              <w:rPr>
                <w:sz w:val="10"/>
              </w:rPr>
              <w:t>x </w:t>
            </w:r>
            <w:r>
              <w:rPr>
                <w:position w:val="2"/>
                <w:sz w:val="16"/>
              </w:rPr>
              <w:t>and CO emissions for Land Use, Land-Use Change and Forestry for emissions from fires only. If you have reported additional data, you should </w:t>
            </w:r>
            <w:r>
              <w:rPr>
                <w:sz w:val="16"/>
              </w:rPr>
              <w:t>provide additional information (method, activity data, and emission factors) used to make these estimates.</w:t>
            </w:r>
          </w:p>
          <w:p>
            <w:pPr>
              <w:pStyle w:val="TableParagraph"/>
              <w:spacing w:before="90"/>
              <w:ind w:left="107" w:right="109"/>
              <w:rPr>
                <w:sz w:val="16"/>
              </w:rPr>
            </w:pPr>
            <w:r>
              <w:rPr>
                <w:position w:val="7"/>
                <w:sz w:val="10"/>
              </w:rPr>
              <w:t>4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footerReference w:type="even" r:id="rId215"/>
          <w:footerReference w:type="default" r:id="rId216"/>
          <w:pgSz w:w="16840" w:h="11900" w:orient="landscape"/>
          <w:pgMar w:footer="288" w:header="1034" w:top="1340" w:bottom="48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
        <w:gridCol w:w="901"/>
        <w:gridCol w:w="1266"/>
        <w:gridCol w:w="894"/>
        <w:gridCol w:w="1253"/>
        <w:gridCol w:w="1253"/>
        <w:gridCol w:w="1253"/>
        <w:gridCol w:w="1253"/>
        <w:gridCol w:w="1253"/>
        <w:gridCol w:w="1253"/>
        <w:gridCol w:w="1251"/>
        <w:gridCol w:w="1253"/>
        <w:gridCol w:w="1255"/>
      </w:tblGrid>
      <w:tr>
        <w:trPr>
          <w:trHeight w:val="667" w:hRule="atLeast"/>
        </w:trPr>
        <w:tc>
          <w:tcPr>
            <w:tcW w:w="14446" w:type="dxa"/>
            <w:gridSpan w:val="13"/>
            <w:tcBorders>
              <w:bottom w:val="single" w:sz="34" w:space="0" w:color="BFBFBF"/>
            </w:tcBorders>
          </w:tcPr>
          <w:p>
            <w:pPr>
              <w:pStyle w:val="TableParagraph"/>
              <w:spacing w:before="88"/>
              <w:ind w:left="4254" w:right="4248"/>
              <w:jc w:val="center"/>
              <w:rPr>
                <w:b/>
                <w:sz w:val="18"/>
              </w:rPr>
            </w:pPr>
            <w:r>
              <w:rPr>
                <w:b/>
                <w:sz w:val="18"/>
              </w:rPr>
              <w:t>T</w:t>
            </w:r>
            <w:r>
              <w:rPr>
                <w:b/>
                <w:sz w:val="14"/>
              </w:rPr>
              <w:t>ABLE </w:t>
            </w:r>
            <w:r>
              <w:rPr>
                <w:b/>
                <w:sz w:val="18"/>
              </w:rPr>
              <w:t>3A.2.2A</w:t>
            </w:r>
          </w:p>
          <w:p>
            <w:pPr>
              <w:pStyle w:val="TableParagraph"/>
              <w:spacing w:before="96"/>
              <w:ind w:left="4254" w:right="4250"/>
              <w:jc w:val="center"/>
              <w:rPr>
                <w:b/>
                <w:sz w:val="12"/>
              </w:rPr>
            </w:pPr>
            <w:r>
              <w:rPr>
                <w:b/>
                <w:sz w:val="18"/>
              </w:rPr>
              <w:t>C</w:t>
            </w:r>
            <w:r>
              <w:rPr>
                <w:b/>
                <w:sz w:val="14"/>
              </w:rPr>
              <w:t>OMPILATION </w:t>
            </w:r>
            <w:r>
              <w:rPr>
                <w:b/>
                <w:sz w:val="18"/>
              </w:rPr>
              <w:t>W</w:t>
            </w:r>
            <w:r>
              <w:rPr>
                <w:b/>
                <w:sz w:val="14"/>
              </w:rPr>
              <w:t>ORKSHEETS FOR </w:t>
            </w:r>
            <w:r>
              <w:rPr>
                <w:b/>
                <w:sz w:val="18"/>
              </w:rPr>
              <w:t>R</w:t>
            </w:r>
            <w:r>
              <w:rPr>
                <w:b/>
                <w:sz w:val="14"/>
              </w:rPr>
              <w:t>EPORTING </w:t>
            </w:r>
            <w:r>
              <w:rPr>
                <w:b/>
                <w:sz w:val="18"/>
              </w:rPr>
              <w:t>CO</w:t>
            </w:r>
            <w:r>
              <w:rPr>
                <w:b/>
                <w:position w:val="-2"/>
                <w:sz w:val="12"/>
              </w:rPr>
              <w:t>2 </w:t>
            </w:r>
            <w:r>
              <w:rPr>
                <w:b/>
                <w:sz w:val="18"/>
              </w:rPr>
              <w:t>E</w:t>
            </w:r>
            <w:r>
              <w:rPr>
                <w:b/>
                <w:sz w:val="14"/>
              </w:rPr>
              <w:t>MISSIONS AND </w:t>
            </w:r>
            <w:r>
              <w:rPr>
                <w:b/>
                <w:sz w:val="18"/>
              </w:rPr>
              <w:t>R</w:t>
            </w:r>
            <w:r>
              <w:rPr>
                <w:b/>
                <w:sz w:val="14"/>
              </w:rPr>
              <w:t>EMOVALS </w:t>
            </w:r>
            <w:r>
              <w:rPr>
                <w:b/>
                <w:position w:val="8"/>
                <w:sz w:val="12"/>
              </w:rPr>
              <w:t>1</w:t>
            </w:r>
          </w:p>
        </w:tc>
      </w:tr>
      <w:tr>
        <w:trPr>
          <w:trHeight w:val="221" w:hRule="atLeast"/>
        </w:trPr>
        <w:tc>
          <w:tcPr>
            <w:tcW w:w="108" w:type="dxa"/>
            <w:tcBorders>
              <w:top w:val="single" w:sz="24" w:space="0" w:color="BFBFBF"/>
              <w:left w:val="single" w:sz="4" w:space="0" w:color="BFBFBF"/>
              <w:right w:val="nil"/>
            </w:tcBorders>
          </w:tcPr>
          <w:p>
            <w:pPr>
              <w:pStyle w:val="TableParagraph"/>
              <w:rPr>
                <w:sz w:val="14"/>
              </w:rPr>
            </w:pPr>
          </w:p>
        </w:tc>
        <w:tc>
          <w:tcPr>
            <w:tcW w:w="2167" w:type="dxa"/>
            <w:gridSpan w:val="2"/>
            <w:tcBorders>
              <w:top w:val="double" w:sz="1" w:space="0" w:color="000000"/>
              <w:left w:val="nil"/>
            </w:tcBorders>
            <w:shd w:val="clear" w:color="auto" w:fill="BFBFBF"/>
          </w:tcPr>
          <w:p>
            <w:pPr>
              <w:pStyle w:val="TableParagraph"/>
              <w:spacing w:line="177" w:lineRule="exact"/>
              <w:ind w:left="323"/>
              <w:rPr>
                <w:b/>
                <w:sz w:val="16"/>
              </w:rPr>
            </w:pPr>
            <w:r>
              <w:rPr>
                <w:b/>
                <w:sz w:val="16"/>
              </w:rPr>
              <w:t>Land-use Category </w:t>
            </w:r>
            <w:r>
              <w:rPr>
                <w:b/>
                <w:sz w:val="16"/>
                <w:vertAlign w:val="superscript"/>
              </w:rPr>
              <w:t>2</w:t>
            </w:r>
          </w:p>
        </w:tc>
        <w:tc>
          <w:tcPr>
            <w:tcW w:w="894" w:type="dxa"/>
            <w:vMerge w:val="restart"/>
            <w:tcBorders>
              <w:top w:val="double" w:sz="1" w:space="0" w:color="000000"/>
              <w:bottom w:val="nil"/>
            </w:tcBorders>
            <w:shd w:val="clear" w:color="auto" w:fill="BFBFBF"/>
          </w:tcPr>
          <w:p>
            <w:pPr>
              <w:pStyle w:val="TableParagraph"/>
              <w:spacing w:line="167" w:lineRule="exact"/>
              <w:ind w:left="254"/>
              <w:rPr>
                <w:b/>
                <w:sz w:val="16"/>
              </w:rPr>
            </w:pPr>
            <w:r>
              <w:rPr>
                <w:b/>
                <w:sz w:val="16"/>
              </w:rPr>
              <w:t>Land</w:t>
            </w:r>
          </w:p>
          <w:p>
            <w:pPr>
              <w:pStyle w:val="TableParagraph"/>
              <w:spacing w:line="480" w:lineRule="auto" w:before="1"/>
              <w:ind w:left="299" w:right="259" w:hanging="32"/>
              <w:rPr>
                <w:b/>
                <w:sz w:val="16"/>
              </w:rPr>
            </w:pPr>
            <w:r>
              <w:rPr>
                <w:b/>
                <w:sz w:val="16"/>
              </w:rPr>
              <w:t>Area (ha)</w:t>
            </w:r>
          </w:p>
        </w:tc>
        <w:tc>
          <w:tcPr>
            <w:tcW w:w="3759" w:type="dxa"/>
            <w:gridSpan w:val="3"/>
            <w:tcBorders>
              <w:top w:val="double" w:sz="1" w:space="0" w:color="000000"/>
            </w:tcBorders>
            <w:shd w:val="clear" w:color="auto" w:fill="BFBFBF"/>
          </w:tcPr>
          <w:p>
            <w:pPr>
              <w:pStyle w:val="TableParagraph"/>
              <w:spacing w:line="177" w:lineRule="exact"/>
              <w:ind w:left="1327" w:right="1327"/>
              <w:jc w:val="center"/>
              <w:rPr>
                <w:b/>
                <w:sz w:val="16"/>
              </w:rPr>
            </w:pPr>
            <w:r>
              <w:rPr>
                <w:b/>
                <w:sz w:val="16"/>
              </w:rPr>
              <w:t>Living Biomass</w:t>
            </w:r>
          </w:p>
        </w:tc>
        <w:tc>
          <w:tcPr>
            <w:tcW w:w="3759" w:type="dxa"/>
            <w:gridSpan w:val="3"/>
            <w:tcBorders>
              <w:top w:val="double" w:sz="1" w:space="0" w:color="000000"/>
            </w:tcBorders>
            <w:shd w:val="clear" w:color="auto" w:fill="BFBFBF"/>
          </w:tcPr>
          <w:p>
            <w:pPr>
              <w:pStyle w:val="TableParagraph"/>
              <w:spacing w:line="177" w:lineRule="exact"/>
              <w:ind w:left="1126"/>
              <w:rPr>
                <w:b/>
                <w:sz w:val="16"/>
              </w:rPr>
            </w:pPr>
            <w:r>
              <w:rPr>
                <w:b/>
                <w:sz w:val="16"/>
              </w:rPr>
              <w:t>Dead Organic Matter</w:t>
            </w:r>
          </w:p>
        </w:tc>
        <w:tc>
          <w:tcPr>
            <w:tcW w:w="3759" w:type="dxa"/>
            <w:gridSpan w:val="3"/>
            <w:tcBorders>
              <w:top w:val="double" w:sz="1" w:space="0" w:color="000000"/>
            </w:tcBorders>
            <w:shd w:val="clear" w:color="auto" w:fill="BFBFBF"/>
          </w:tcPr>
          <w:p>
            <w:pPr>
              <w:pStyle w:val="TableParagraph"/>
              <w:ind w:left="1317" w:right="1327"/>
              <w:jc w:val="center"/>
              <w:rPr>
                <w:sz w:val="16"/>
              </w:rPr>
            </w:pPr>
            <w:r>
              <w:rPr>
                <w:b/>
                <w:sz w:val="16"/>
              </w:rPr>
              <w:t>Soils</w:t>
            </w:r>
            <w:r>
              <w:rPr>
                <w:sz w:val="16"/>
                <w:vertAlign w:val="superscript"/>
              </w:rPr>
              <w:t>3</w:t>
            </w:r>
          </w:p>
        </w:tc>
      </w:tr>
      <w:tr>
        <w:trPr>
          <w:trHeight w:val="942" w:hRule="atLeast"/>
        </w:trPr>
        <w:tc>
          <w:tcPr>
            <w:tcW w:w="1009" w:type="dxa"/>
            <w:gridSpan w:val="2"/>
            <w:tcBorders>
              <w:bottom w:val="nil"/>
            </w:tcBorders>
            <w:shd w:val="clear" w:color="auto" w:fill="E6E6E6"/>
          </w:tcPr>
          <w:p>
            <w:pPr>
              <w:pStyle w:val="TableParagraph"/>
              <w:spacing w:before="23"/>
              <w:ind w:left="206" w:right="193" w:firstLine="105"/>
              <w:rPr>
                <w:sz w:val="16"/>
              </w:rPr>
            </w:pPr>
            <w:r>
              <w:rPr>
                <w:sz w:val="16"/>
              </w:rPr>
              <w:t>Initial Land-use</w:t>
            </w:r>
          </w:p>
        </w:tc>
        <w:tc>
          <w:tcPr>
            <w:tcW w:w="1266" w:type="dxa"/>
            <w:tcBorders>
              <w:bottom w:val="nil"/>
              <w:right w:val="single" w:sz="48" w:space="0" w:color="BFBFBF"/>
            </w:tcBorders>
            <w:shd w:val="clear" w:color="auto" w:fill="E6E6E6"/>
          </w:tcPr>
          <w:p>
            <w:pPr>
              <w:pStyle w:val="TableParagraph"/>
              <w:spacing w:before="23"/>
              <w:ind w:left="154" w:right="105" w:hanging="3"/>
              <w:jc w:val="center"/>
              <w:rPr>
                <w:sz w:val="16"/>
              </w:rPr>
            </w:pPr>
            <w:r>
              <w:rPr>
                <w:sz w:val="16"/>
              </w:rPr>
              <w:t>Land-use during reporting Year</w:t>
            </w:r>
          </w:p>
        </w:tc>
        <w:tc>
          <w:tcPr>
            <w:tcW w:w="894" w:type="dxa"/>
            <w:vMerge/>
            <w:tcBorders>
              <w:top w:val="nil"/>
              <w:bottom w:val="nil"/>
            </w:tcBorders>
            <w:shd w:val="clear" w:color="auto" w:fill="BFBFBF"/>
          </w:tcPr>
          <w:p>
            <w:pPr>
              <w:rPr>
                <w:sz w:val="2"/>
                <w:szCs w:val="2"/>
              </w:rPr>
            </w:pPr>
          </w:p>
        </w:tc>
        <w:tc>
          <w:tcPr>
            <w:tcW w:w="1253" w:type="dxa"/>
            <w:tcBorders>
              <w:bottom w:val="nil"/>
            </w:tcBorders>
            <w:shd w:val="clear" w:color="auto" w:fill="E6E6E6"/>
          </w:tcPr>
          <w:p>
            <w:pPr>
              <w:pStyle w:val="TableParagraph"/>
              <w:spacing w:before="23"/>
              <w:ind w:left="112" w:right="104"/>
              <w:jc w:val="center"/>
              <w:rPr>
                <w:sz w:val="16"/>
              </w:rPr>
            </w:pPr>
            <w:r>
              <w:rPr>
                <w:sz w:val="16"/>
              </w:rPr>
              <w:t>Annual</w:t>
            </w:r>
            <w:r>
              <w:rPr>
                <w:spacing w:val="-9"/>
                <w:sz w:val="16"/>
              </w:rPr>
              <w:t> </w:t>
            </w:r>
            <w:r>
              <w:rPr>
                <w:sz w:val="16"/>
              </w:rPr>
              <w:t>increase in carbon stocks</w:t>
            </w:r>
          </w:p>
          <w:p>
            <w:pPr>
              <w:pStyle w:val="TableParagraph"/>
              <w:spacing w:line="184" w:lineRule="exact" w:before="2"/>
              <w:ind w:left="315" w:right="307"/>
              <w:jc w:val="center"/>
              <w:rPr>
                <w:sz w:val="16"/>
              </w:rPr>
            </w:pPr>
            <w:r>
              <w:rPr>
                <w:sz w:val="16"/>
              </w:rPr>
              <w:t>(tonnes C yr</w:t>
            </w:r>
            <w:r>
              <w:rPr>
                <w:sz w:val="16"/>
                <w:vertAlign w:val="superscript"/>
              </w:rPr>
              <w:t>-1</w:t>
            </w:r>
            <w:r>
              <w:rPr>
                <w:sz w:val="16"/>
                <w:vertAlign w:val="baseline"/>
              </w:rPr>
              <w:t>)</w:t>
            </w:r>
          </w:p>
        </w:tc>
        <w:tc>
          <w:tcPr>
            <w:tcW w:w="1253" w:type="dxa"/>
            <w:tcBorders>
              <w:bottom w:val="nil"/>
            </w:tcBorders>
            <w:shd w:val="clear" w:color="auto" w:fill="E6E6E6"/>
          </w:tcPr>
          <w:p>
            <w:pPr>
              <w:pStyle w:val="TableParagraph"/>
              <w:spacing w:before="23"/>
              <w:ind w:left="57" w:right="51"/>
              <w:jc w:val="center"/>
              <w:rPr>
                <w:sz w:val="16"/>
              </w:rPr>
            </w:pPr>
            <w:r>
              <w:rPr>
                <w:sz w:val="16"/>
              </w:rPr>
              <w:t>Annual decrease in carbon stocks (tonnes C</w:t>
            </w:r>
          </w:p>
          <w:p>
            <w:pPr>
              <w:pStyle w:val="TableParagraph"/>
              <w:ind w:left="309" w:right="307"/>
              <w:jc w:val="center"/>
              <w:rPr>
                <w:sz w:val="16"/>
              </w:rPr>
            </w:pPr>
            <w:r>
              <w:rPr>
                <w:sz w:val="16"/>
              </w:rPr>
              <w:t>yr</w:t>
            </w:r>
            <w:r>
              <w:rPr>
                <w:sz w:val="16"/>
                <w:vertAlign w:val="superscript"/>
              </w:rPr>
              <w:t>-1</w:t>
            </w:r>
            <w:r>
              <w:rPr>
                <w:sz w:val="16"/>
                <w:vertAlign w:val="baseline"/>
              </w:rPr>
              <w:t>)</w:t>
            </w:r>
          </w:p>
        </w:tc>
        <w:tc>
          <w:tcPr>
            <w:tcW w:w="1253" w:type="dxa"/>
            <w:tcBorders>
              <w:bottom w:val="nil"/>
            </w:tcBorders>
            <w:shd w:val="clear" w:color="auto" w:fill="E6E6E6"/>
          </w:tcPr>
          <w:p>
            <w:pPr>
              <w:pStyle w:val="TableParagraph"/>
              <w:spacing w:before="23"/>
              <w:ind w:left="63" w:right="54"/>
              <w:jc w:val="center"/>
              <w:rPr>
                <w:sz w:val="10"/>
              </w:rPr>
            </w:pPr>
            <w:r>
              <w:rPr>
                <w:sz w:val="16"/>
              </w:rPr>
              <w:t>Annual change</w:t>
            </w:r>
            <w:r>
              <w:rPr>
                <w:spacing w:val="-9"/>
                <w:sz w:val="16"/>
              </w:rPr>
              <w:t> </w:t>
            </w:r>
            <w:r>
              <w:rPr>
                <w:sz w:val="16"/>
              </w:rPr>
              <w:t>in carbon stocks </w:t>
            </w:r>
            <w:r>
              <w:rPr>
                <w:position w:val="2"/>
                <w:sz w:val="16"/>
              </w:rPr>
              <w:t>(Gg</w:t>
            </w:r>
            <w:r>
              <w:rPr>
                <w:spacing w:val="-2"/>
                <w:position w:val="2"/>
                <w:sz w:val="16"/>
              </w:rPr>
              <w:t> </w:t>
            </w:r>
            <w:r>
              <w:rPr>
                <w:position w:val="2"/>
                <w:sz w:val="16"/>
              </w:rPr>
              <w:t>CO</w:t>
            </w:r>
            <w:r>
              <w:rPr>
                <w:sz w:val="10"/>
              </w:rPr>
              <w:t>2</w:t>
            </w:r>
          </w:p>
          <w:p>
            <w:pPr>
              <w:pStyle w:val="TableParagraph"/>
              <w:spacing w:line="177" w:lineRule="exact"/>
              <w:ind w:left="314" w:right="307"/>
              <w:jc w:val="center"/>
              <w:rPr>
                <w:sz w:val="16"/>
              </w:rPr>
            </w:pPr>
            <w:r>
              <w:rPr>
                <w:sz w:val="16"/>
              </w:rPr>
              <w:t>yr</w:t>
            </w:r>
            <w:r>
              <w:rPr>
                <w:sz w:val="16"/>
                <w:vertAlign w:val="superscript"/>
              </w:rPr>
              <w:t>-1</w:t>
            </w:r>
            <w:r>
              <w:rPr>
                <w:sz w:val="16"/>
                <w:vertAlign w:val="baseline"/>
              </w:rPr>
              <w:t>)</w:t>
            </w:r>
          </w:p>
        </w:tc>
        <w:tc>
          <w:tcPr>
            <w:tcW w:w="1253" w:type="dxa"/>
            <w:tcBorders>
              <w:bottom w:val="nil"/>
            </w:tcBorders>
            <w:shd w:val="clear" w:color="auto" w:fill="E6E6E6"/>
          </w:tcPr>
          <w:p>
            <w:pPr>
              <w:pStyle w:val="TableParagraph"/>
              <w:spacing w:before="23"/>
              <w:ind w:left="122" w:right="115" w:firstLine="1"/>
              <w:jc w:val="center"/>
              <w:rPr>
                <w:sz w:val="16"/>
              </w:rPr>
            </w:pPr>
            <w:r>
              <w:rPr>
                <w:sz w:val="16"/>
              </w:rPr>
              <w:t>Carbon stock change in</w:t>
            </w:r>
            <w:r>
              <w:rPr>
                <w:spacing w:val="-5"/>
                <w:sz w:val="16"/>
              </w:rPr>
              <w:t> </w:t>
            </w:r>
            <w:r>
              <w:rPr>
                <w:sz w:val="16"/>
              </w:rPr>
              <w:t>dead wood</w:t>
            </w:r>
          </w:p>
          <w:p>
            <w:pPr>
              <w:pStyle w:val="TableParagraph"/>
              <w:spacing w:line="184" w:lineRule="exact" w:before="2"/>
              <w:ind w:left="314" w:right="307"/>
              <w:jc w:val="center"/>
              <w:rPr>
                <w:sz w:val="16"/>
              </w:rPr>
            </w:pPr>
            <w:r>
              <w:rPr>
                <w:sz w:val="16"/>
              </w:rPr>
              <w:t>(tonnes </w:t>
            </w:r>
            <w:r>
              <w:rPr>
                <w:spacing w:val="-14"/>
                <w:sz w:val="16"/>
              </w:rPr>
              <w:t>C </w:t>
            </w:r>
            <w:r>
              <w:rPr>
                <w:sz w:val="16"/>
              </w:rPr>
              <w:t>yr</w:t>
            </w:r>
            <w:r>
              <w:rPr>
                <w:sz w:val="16"/>
                <w:vertAlign w:val="superscript"/>
              </w:rPr>
              <w:t>-1</w:t>
            </w:r>
            <w:r>
              <w:rPr>
                <w:sz w:val="16"/>
                <w:vertAlign w:val="baseline"/>
              </w:rPr>
              <w:t>)</w:t>
            </w:r>
          </w:p>
        </w:tc>
        <w:tc>
          <w:tcPr>
            <w:tcW w:w="1253" w:type="dxa"/>
            <w:tcBorders>
              <w:bottom w:val="nil"/>
            </w:tcBorders>
            <w:shd w:val="clear" w:color="auto" w:fill="E6E6E6"/>
          </w:tcPr>
          <w:p>
            <w:pPr>
              <w:pStyle w:val="TableParagraph"/>
              <w:spacing w:before="23"/>
              <w:ind w:left="141" w:right="138" w:firstLine="1"/>
              <w:jc w:val="center"/>
              <w:rPr>
                <w:sz w:val="16"/>
              </w:rPr>
            </w:pPr>
            <w:r>
              <w:rPr>
                <w:sz w:val="16"/>
              </w:rPr>
              <w:t>Carbon stock change in litter (tonnes C</w:t>
            </w:r>
          </w:p>
          <w:p>
            <w:pPr>
              <w:pStyle w:val="TableParagraph"/>
              <w:ind w:left="308" w:right="307"/>
              <w:jc w:val="center"/>
              <w:rPr>
                <w:sz w:val="16"/>
              </w:rPr>
            </w:pPr>
            <w:r>
              <w:rPr>
                <w:sz w:val="16"/>
              </w:rPr>
              <w:t>yr</w:t>
            </w:r>
            <w:r>
              <w:rPr>
                <w:sz w:val="16"/>
                <w:vertAlign w:val="superscript"/>
              </w:rPr>
              <w:t>-1</w:t>
            </w:r>
            <w:r>
              <w:rPr>
                <w:sz w:val="16"/>
                <w:vertAlign w:val="baseline"/>
              </w:rPr>
              <w:t>)</w:t>
            </w:r>
          </w:p>
        </w:tc>
        <w:tc>
          <w:tcPr>
            <w:tcW w:w="1253" w:type="dxa"/>
            <w:tcBorders>
              <w:bottom w:val="nil"/>
            </w:tcBorders>
            <w:shd w:val="clear" w:color="auto" w:fill="E6E6E6"/>
          </w:tcPr>
          <w:p>
            <w:pPr>
              <w:pStyle w:val="TableParagraph"/>
              <w:spacing w:before="23"/>
              <w:ind w:left="57" w:right="54"/>
              <w:jc w:val="center"/>
              <w:rPr>
                <w:sz w:val="16"/>
              </w:rPr>
            </w:pPr>
            <w:r>
              <w:rPr>
                <w:sz w:val="16"/>
              </w:rPr>
              <w:t>Annual change in carbon stock</w:t>
            </w:r>
          </w:p>
          <w:p>
            <w:pPr>
              <w:pStyle w:val="TableParagraph"/>
              <w:spacing w:line="187" w:lineRule="exact"/>
              <w:ind w:left="307" w:right="307"/>
              <w:jc w:val="center"/>
              <w:rPr>
                <w:sz w:val="10"/>
              </w:rPr>
            </w:pPr>
            <w:r>
              <w:rPr>
                <w:position w:val="2"/>
                <w:sz w:val="16"/>
              </w:rPr>
              <w:t>(Gg CO</w:t>
            </w:r>
            <w:r>
              <w:rPr>
                <w:sz w:val="10"/>
              </w:rPr>
              <w:t>2</w:t>
            </w:r>
          </w:p>
          <w:p>
            <w:pPr>
              <w:pStyle w:val="TableParagraph"/>
              <w:spacing w:line="181" w:lineRule="exact"/>
              <w:ind w:left="308" w:right="307"/>
              <w:jc w:val="center"/>
              <w:rPr>
                <w:sz w:val="16"/>
              </w:rPr>
            </w:pPr>
            <w:r>
              <w:rPr>
                <w:sz w:val="16"/>
              </w:rPr>
              <w:t>yr</w:t>
            </w:r>
            <w:r>
              <w:rPr>
                <w:sz w:val="16"/>
                <w:vertAlign w:val="superscript"/>
              </w:rPr>
              <w:t>-1</w:t>
            </w:r>
            <w:r>
              <w:rPr>
                <w:sz w:val="16"/>
                <w:vertAlign w:val="baseline"/>
              </w:rPr>
              <w:t>)</w:t>
            </w:r>
          </w:p>
        </w:tc>
        <w:tc>
          <w:tcPr>
            <w:tcW w:w="1251" w:type="dxa"/>
            <w:tcBorders>
              <w:bottom w:val="nil"/>
            </w:tcBorders>
            <w:shd w:val="clear" w:color="auto" w:fill="E6E6E6"/>
          </w:tcPr>
          <w:p>
            <w:pPr>
              <w:pStyle w:val="TableParagraph"/>
              <w:spacing w:before="23"/>
              <w:ind w:left="196" w:right="191"/>
              <w:jc w:val="center"/>
              <w:rPr>
                <w:sz w:val="16"/>
              </w:rPr>
            </w:pPr>
            <w:r>
              <w:rPr>
                <w:sz w:val="16"/>
              </w:rPr>
              <w:t>Carbon stock change in mineral soils (tonnes C</w:t>
            </w:r>
          </w:p>
          <w:p>
            <w:pPr>
              <w:pStyle w:val="TableParagraph"/>
              <w:spacing w:line="163" w:lineRule="exact" w:before="1"/>
              <w:ind w:left="193" w:right="191"/>
              <w:jc w:val="center"/>
              <w:rPr>
                <w:sz w:val="16"/>
              </w:rPr>
            </w:pPr>
            <w:r>
              <w:rPr>
                <w:sz w:val="16"/>
              </w:rPr>
              <w:t>yr</w:t>
            </w:r>
            <w:r>
              <w:rPr>
                <w:sz w:val="16"/>
                <w:vertAlign w:val="superscript"/>
              </w:rPr>
              <w:t>-1</w:t>
            </w:r>
            <w:r>
              <w:rPr>
                <w:sz w:val="16"/>
                <w:vertAlign w:val="baseline"/>
              </w:rPr>
              <w:t>)</w:t>
            </w:r>
          </w:p>
        </w:tc>
        <w:tc>
          <w:tcPr>
            <w:tcW w:w="1253" w:type="dxa"/>
            <w:tcBorders>
              <w:bottom w:val="nil"/>
            </w:tcBorders>
            <w:shd w:val="clear" w:color="auto" w:fill="E6E6E6"/>
          </w:tcPr>
          <w:p>
            <w:pPr>
              <w:pStyle w:val="TableParagraph"/>
              <w:spacing w:before="23"/>
              <w:ind w:left="54" w:right="47" w:hanging="1"/>
              <w:jc w:val="center"/>
              <w:rPr>
                <w:sz w:val="16"/>
              </w:rPr>
            </w:pPr>
            <w:r>
              <w:rPr>
                <w:sz w:val="16"/>
              </w:rPr>
              <w:t>Carbon stock change in</w:t>
            </w:r>
            <w:r>
              <w:rPr>
                <w:spacing w:val="-6"/>
                <w:sz w:val="16"/>
              </w:rPr>
              <w:t> </w:t>
            </w:r>
            <w:r>
              <w:rPr>
                <w:sz w:val="16"/>
              </w:rPr>
              <w:t>organic soils</w:t>
            </w:r>
          </w:p>
          <w:p>
            <w:pPr>
              <w:pStyle w:val="TableParagraph"/>
              <w:spacing w:line="184" w:lineRule="exact" w:before="2"/>
              <w:ind w:left="313" w:right="309"/>
              <w:jc w:val="center"/>
              <w:rPr>
                <w:sz w:val="16"/>
              </w:rPr>
            </w:pPr>
            <w:r>
              <w:rPr>
                <w:sz w:val="16"/>
              </w:rPr>
              <w:t>(tonnes </w:t>
            </w:r>
            <w:r>
              <w:rPr>
                <w:spacing w:val="-15"/>
                <w:sz w:val="16"/>
              </w:rPr>
              <w:t>C </w:t>
            </w:r>
            <w:r>
              <w:rPr>
                <w:sz w:val="16"/>
              </w:rPr>
              <w:t>yr</w:t>
            </w:r>
            <w:r>
              <w:rPr>
                <w:sz w:val="16"/>
                <w:vertAlign w:val="superscript"/>
              </w:rPr>
              <w:t>-1</w:t>
            </w:r>
            <w:r>
              <w:rPr>
                <w:sz w:val="16"/>
                <w:vertAlign w:val="baseline"/>
              </w:rPr>
              <w:t>)</w:t>
            </w:r>
          </w:p>
        </w:tc>
        <w:tc>
          <w:tcPr>
            <w:tcW w:w="1255" w:type="dxa"/>
            <w:tcBorders>
              <w:bottom w:val="nil"/>
            </w:tcBorders>
            <w:shd w:val="clear" w:color="auto" w:fill="E6E6E6"/>
          </w:tcPr>
          <w:p>
            <w:pPr>
              <w:pStyle w:val="TableParagraph"/>
              <w:spacing w:before="23"/>
              <w:ind w:left="59" w:right="54"/>
              <w:jc w:val="center"/>
              <w:rPr>
                <w:sz w:val="16"/>
              </w:rPr>
            </w:pPr>
            <w:r>
              <w:rPr>
                <w:sz w:val="16"/>
              </w:rPr>
              <w:t>Annual change in carbon stock</w:t>
            </w:r>
          </w:p>
          <w:p>
            <w:pPr>
              <w:pStyle w:val="TableParagraph"/>
              <w:spacing w:line="187" w:lineRule="exact"/>
              <w:ind w:left="55" w:right="54"/>
              <w:jc w:val="center"/>
              <w:rPr>
                <w:sz w:val="10"/>
              </w:rPr>
            </w:pPr>
            <w:r>
              <w:rPr>
                <w:position w:val="2"/>
                <w:sz w:val="16"/>
              </w:rPr>
              <w:t>(Gg CO</w:t>
            </w:r>
            <w:r>
              <w:rPr>
                <w:sz w:val="10"/>
              </w:rPr>
              <w:t>2</w:t>
            </w:r>
          </w:p>
          <w:p>
            <w:pPr>
              <w:pStyle w:val="TableParagraph"/>
              <w:spacing w:line="181" w:lineRule="exact"/>
              <w:ind w:left="56" w:right="54"/>
              <w:jc w:val="center"/>
              <w:rPr>
                <w:sz w:val="16"/>
              </w:rPr>
            </w:pPr>
            <w:r>
              <w:rPr>
                <w:sz w:val="16"/>
              </w:rPr>
              <w:t>yr</w:t>
            </w:r>
            <w:r>
              <w:rPr>
                <w:sz w:val="16"/>
                <w:vertAlign w:val="superscript"/>
              </w:rPr>
              <w:t>-1</w:t>
            </w:r>
            <w:r>
              <w:rPr>
                <w:sz w:val="16"/>
                <w:vertAlign w:val="baseline"/>
              </w:rPr>
              <w:t>)</w:t>
            </w:r>
          </w:p>
        </w:tc>
      </w:tr>
      <w:tr>
        <w:trPr>
          <w:trHeight w:val="479" w:hRule="atLeast"/>
        </w:trPr>
        <w:tc>
          <w:tcPr>
            <w:tcW w:w="1009" w:type="dxa"/>
            <w:gridSpan w:val="2"/>
            <w:tcBorders>
              <w:top w:val="nil"/>
              <w:bottom w:val="nil"/>
            </w:tcBorders>
            <w:shd w:val="clear" w:color="auto" w:fill="E6E6E6"/>
          </w:tcPr>
          <w:p>
            <w:pPr>
              <w:pStyle w:val="TableParagraph"/>
              <w:rPr>
                <w:sz w:val="16"/>
              </w:rPr>
            </w:pPr>
          </w:p>
        </w:tc>
        <w:tc>
          <w:tcPr>
            <w:tcW w:w="1266" w:type="dxa"/>
            <w:tcBorders>
              <w:top w:val="nil"/>
              <w:bottom w:val="nil"/>
              <w:right w:val="single" w:sz="48" w:space="0" w:color="BFBFBF"/>
            </w:tcBorders>
            <w:shd w:val="clear" w:color="auto" w:fill="E6E6E6"/>
          </w:tcPr>
          <w:p>
            <w:pPr>
              <w:pStyle w:val="TableParagraph"/>
              <w:rPr>
                <w:sz w:val="16"/>
              </w:rPr>
            </w:pPr>
          </w:p>
        </w:tc>
        <w:tc>
          <w:tcPr>
            <w:tcW w:w="894" w:type="dxa"/>
            <w:tcBorders>
              <w:top w:val="nil"/>
              <w:bottom w:val="nil"/>
            </w:tcBorders>
            <w:shd w:val="clear" w:color="auto" w:fill="BFBFBF"/>
          </w:tcPr>
          <w:p>
            <w:pPr>
              <w:pStyle w:val="TableParagraph"/>
              <w:rPr>
                <w:sz w:val="16"/>
              </w:rPr>
            </w:pPr>
          </w:p>
        </w:tc>
        <w:tc>
          <w:tcPr>
            <w:tcW w:w="1253" w:type="dxa"/>
            <w:tcBorders>
              <w:top w:val="nil"/>
              <w:bottom w:val="nil"/>
            </w:tcBorders>
            <w:shd w:val="clear" w:color="auto" w:fill="E6E6E6"/>
          </w:tcPr>
          <w:p>
            <w:pPr>
              <w:pStyle w:val="TableParagraph"/>
              <w:rPr>
                <w:sz w:val="16"/>
              </w:rPr>
            </w:pPr>
          </w:p>
        </w:tc>
        <w:tc>
          <w:tcPr>
            <w:tcW w:w="1253" w:type="dxa"/>
            <w:tcBorders>
              <w:top w:val="nil"/>
              <w:bottom w:val="nil"/>
            </w:tcBorders>
            <w:shd w:val="clear" w:color="auto" w:fill="E6E6E6"/>
          </w:tcPr>
          <w:p>
            <w:pPr>
              <w:pStyle w:val="TableParagraph"/>
              <w:rPr>
                <w:sz w:val="16"/>
              </w:rPr>
            </w:pPr>
          </w:p>
        </w:tc>
        <w:tc>
          <w:tcPr>
            <w:tcW w:w="1253" w:type="dxa"/>
            <w:tcBorders>
              <w:top w:val="nil"/>
              <w:bottom w:val="nil"/>
            </w:tcBorders>
            <w:shd w:val="clear" w:color="auto" w:fill="E6E6E6"/>
          </w:tcPr>
          <w:p>
            <w:pPr>
              <w:pStyle w:val="TableParagraph"/>
              <w:spacing w:line="197" w:lineRule="exact" w:before="9"/>
              <w:ind w:left="238"/>
              <w:rPr>
                <w:rFonts w:ascii="Symbol" w:hAnsi="Symbol"/>
                <w:sz w:val="16"/>
              </w:rPr>
            </w:pPr>
            <w:r>
              <w:rPr>
                <w:sz w:val="16"/>
              </w:rPr>
              <w:t>C = (A-B)</w:t>
            </w:r>
            <w:r>
              <w:rPr>
                <w:spacing w:val="-4"/>
                <w:sz w:val="16"/>
              </w:rPr>
              <w:t> </w:t>
            </w:r>
            <w:r>
              <w:rPr>
                <w:rFonts w:ascii="Symbol" w:hAnsi="Symbol"/>
                <w:sz w:val="16"/>
              </w:rPr>
              <w:t>•</w:t>
            </w:r>
          </w:p>
          <w:p>
            <w:pPr>
              <w:pStyle w:val="TableParagraph"/>
              <w:ind w:left="243"/>
              <w:rPr>
                <w:sz w:val="16"/>
              </w:rPr>
            </w:pPr>
            <w:r>
              <w:rPr>
                <w:sz w:val="16"/>
              </w:rPr>
              <w:t>10</w:t>
            </w:r>
            <w:r>
              <w:rPr>
                <w:sz w:val="16"/>
                <w:vertAlign w:val="superscript"/>
              </w:rPr>
              <w:t>-3</w:t>
            </w:r>
            <w:r>
              <w:rPr>
                <w:sz w:val="16"/>
                <w:vertAlign w:val="baseline"/>
              </w:rPr>
              <w:t> </w:t>
            </w:r>
            <w:r>
              <w:rPr>
                <w:rFonts w:ascii="Symbol" w:hAnsi="Symbol"/>
                <w:sz w:val="16"/>
                <w:vertAlign w:val="baseline"/>
              </w:rPr>
              <w:t>•</w:t>
            </w:r>
            <w:r>
              <w:rPr>
                <w:rFonts w:ascii="Symbol" w:hAnsi="Symbol"/>
                <w:spacing w:val="-4"/>
                <w:sz w:val="16"/>
                <w:vertAlign w:val="baseline"/>
              </w:rPr>
              <w:t> </w:t>
            </w:r>
            <w:r>
              <w:rPr>
                <w:sz w:val="16"/>
                <w:vertAlign w:val="baseline"/>
              </w:rPr>
              <w:t>44/12</w:t>
            </w:r>
          </w:p>
        </w:tc>
        <w:tc>
          <w:tcPr>
            <w:tcW w:w="1253" w:type="dxa"/>
            <w:tcBorders>
              <w:top w:val="nil"/>
              <w:bottom w:val="nil"/>
            </w:tcBorders>
            <w:shd w:val="clear" w:color="auto" w:fill="E6E6E6"/>
          </w:tcPr>
          <w:p>
            <w:pPr>
              <w:pStyle w:val="TableParagraph"/>
              <w:rPr>
                <w:sz w:val="16"/>
              </w:rPr>
            </w:pPr>
          </w:p>
        </w:tc>
        <w:tc>
          <w:tcPr>
            <w:tcW w:w="1253" w:type="dxa"/>
            <w:tcBorders>
              <w:top w:val="nil"/>
              <w:bottom w:val="nil"/>
            </w:tcBorders>
            <w:shd w:val="clear" w:color="auto" w:fill="E6E6E6"/>
          </w:tcPr>
          <w:p>
            <w:pPr>
              <w:pStyle w:val="TableParagraph"/>
              <w:rPr>
                <w:sz w:val="16"/>
              </w:rPr>
            </w:pPr>
          </w:p>
        </w:tc>
        <w:tc>
          <w:tcPr>
            <w:tcW w:w="1253" w:type="dxa"/>
            <w:tcBorders>
              <w:top w:val="nil"/>
              <w:bottom w:val="nil"/>
            </w:tcBorders>
            <w:shd w:val="clear" w:color="auto" w:fill="E6E6E6"/>
          </w:tcPr>
          <w:p>
            <w:pPr>
              <w:pStyle w:val="TableParagraph"/>
              <w:spacing w:before="9"/>
              <w:ind w:left="240" w:right="226" w:hanging="10"/>
              <w:rPr>
                <w:sz w:val="16"/>
              </w:rPr>
            </w:pPr>
            <w:r>
              <w:rPr>
                <w:sz w:val="16"/>
              </w:rPr>
              <w:t>F = (D+E) </w:t>
            </w:r>
            <w:r>
              <w:rPr>
                <w:rFonts w:ascii="Symbol" w:hAnsi="Symbol"/>
                <w:sz w:val="16"/>
              </w:rPr>
              <w:t>• </w:t>
            </w:r>
            <w:r>
              <w:rPr>
                <w:sz w:val="16"/>
              </w:rPr>
              <w:t>10</w:t>
            </w:r>
            <w:r>
              <w:rPr>
                <w:sz w:val="16"/>
                <w:vertAlign w:val="superscript"/>
              </w:rPr>
              <w:t>-3</w:t>
            </w:r>
            <w:r>
              <w:rPr>
                <w:sz w:val="16"/>
                <w:vertAlign w:val="baseline"/>
              </w:rPr>
              <w:t> </w:t>
            </w:r>
            <w:r>
              <w:rPr>
                <w:rFonts w:ascii="Symbol" w:hAnsi="Symbol"/>
                <w:sz w:val="16"/>
                <w:vertAlign w:val="baseline"/>
              </w:rPr>
              <w:t>• </w:t>
            </w:r>
            <w:r>
              <w:rPr>
                <w:sz w:val="16"/>
                <w:vertAlign w:val="baseline"/>
              </w:rPr>
              <w:t>44/12</w:t>
            </w:r>
          </w:p>
        </w:tc>
        <w:tc>
          <w:tcPr>
            <w:tcW w:w="1251" w:type="dxa"/>
            <w:tcBorders>
              <w:top w:val="nil"/>
              <w:bottom w:val="nil"/>
            </w:tcBorders>
            <w:shd w:val="clear" w:color="auto" w:fill="E6E6E6"/>
          </w:tcPr>
          <w:p>
            <w:pPr>
              <w:pStyle w:val="TableParagraph"/>
              <w:rPr>
                <w:sz w:val="16"/>
              </w:rPr>
            </w:pPr>
          </w:p>
        </w:tc>
        <w:tc>
          <w:tcPr>
            <w:tcW w:w="1253" w:type="dxa"/>
            <w:tcBorders>
              <w:top w:val="nil"/>
              <w:bottom w:val="nil"/>
            </w:tcBorders>
            <w:shd w:val="clear" w:color="auto" w:fill="E6E6E6"/>
          </w:tcPr>
          <w:p>
            <w:pPr>
              <w:pStyle w:val="TableParagraph"/>
              <w:rPr>
                <w:sz w:val="16"/>
              </w:rPr>
            </w:pPr>
          </w:p>
        </w:tc>
        <w:tc>
          <w:tcPr>
            <w:tcW w:w="1255" w:type="dxa"/>
            <w:tcBorders>
              <w:top w:val="nil"/>
              <w:bottom w:val="nil"/>
            </w:tcBorders>
            <w:shd w:val="clear" w:color="auto" w:fill="E6E6E6"/>
          </w:tcPr>
          <w:p>
            <w:pPr>
              <w:pStyle w:val="TableParagraph"/>
              <w:spacing w:line="197" w:lineRule="exact" w:before="9"/>
              <w:ind w:left="241"/>
              <w:rPr>
                <w:rFonts w:ascii="Symbol" w:hAnsi="Symbol"/>
                <w:sz w:val="16"/>
              </w:rPr>
            </w:pPr>
            <w:r>
              <w:rPr>
                <w:sz w:val="16"/>
              </w:rPr>
              <w:t>I = (G+H)</w:t>
            </w:r>
            <w:r>
              <w:rPr>
                <w:spacing w:val="-5"/>
                <w:sz w:val="16"/>
              </w:rPr>
              <w:t> </w:t>
            </w:r>
            <w:r>
              <w:rPr>
                <w:rFonts w:ascii="Symbol" w:hAnsi="Symbol"/>
                <w:sz w:val="16"/>
              </w:rPr>
              <w:t>•</w:t>
            </w:r>
          </w:p>
          <w:p>
            <w:pPr>
              <w:pStyle w:val="TableParagraph"/>
              <w:ind w:left="241"/>
              <w:rPr>
                <w:sz w:val="16"/>
              </w:rPr>
            </w:pPr>
            <w:r>
              <w:rPr>
                <w:sz w:val="16"/>
              </w:rPr>
              <w:t>10</w:t>
            </w:r>
            <w:r>
              <w:rPr>
                <w:sz w:val="16"/>
                <w:vertAlign w:val="superscript"/>
              </w:rPr>
              <w:t>-3</w:t>
            </w:r>
            <w:r>
              <w:rPr>
                <w:sz w:val="16"/>
                <w:vertAlign w:val="baseline"/>
              </w:rPr>
              <w:t> </w:t>
            </w:r>
            <w:r>
              <w:rPr>
                <w:rFonts w:ascii="Symbol" w:hAnsi="Symbol"/>
                <w:sz w:val="16"/>
                <w:vertAlign w:val="baseline"/>
              </w:rPr>
              <w:t>•</w:t>
            </w:r>
            <w:r>
              <w:rPr>
                <w:rFonts w:ascii="Symbol" w:hAnsi="Symbol"/>
                <w:spacing w:val="-4"/>
                <w:sz w:val="16"/>
                <w:vertAlign w:val="baseline"/>
              </w:rPr>
              <w:t> </w:t>
            </w:r>
            <w:r>
              <w:rPr>
                <w:sz w:val="16"/>
                <w:vertAlign w:val="baseline"/>
              </w:rPr>
              <w:t>44/12</w:t>
            </w:r>
          </w:p>
        </w:tc>
      </w:tr>
      <w:tr>
        <w:trPr>
          <w:trHeight w:val="257" w:hRule="atLeast"/>
        </w:trPr>
        <w:tc>
          <w:tcPr>
            <w:tcW w:w="1009" w:type="dxa"/>
            <w:gridSpan w:val="2"/>
            <w:tcBorders>
              <w:top w:val="nil"/>
            </w:tcBorders>
            <w:shd w:val="clear" w:color="auto" w:fill="E6E6E6"/>
          </w:tcPr>
          <w:p>
            <w:pPr>
              <w:pStyle w:val="TableParagraph"/>
              <w:rPr>
                <w:sz w:val="16"/>
              </w:rPr>
            </w:pPr>
          </w:p>
        </w:tc>
        <w:tc>
          <w:tcPr>
            <w:tcW w:w="1266" w:type="dxa"/>
            <w:tcBorders>
              <w:top w:val="nil"/>
              <w:right w:val="single" w:sz="48" w:space="0" w:color="C0C0C0"/>
            </w:tcBorders>
            <w:shd w:val="clear" w:color="auto" w:fill="E6E6E6"/>
          </w:tcPr>
          <w:p>
            <w:pPr>
              <w:pStyle w:val="TableParagraph"/>
              <w:rPr>
                <w:sz w:val="16"/>
              </w:rPr>
            </w:pPr>
          </w:p>
        </w:tc>
        <w:tc>
          <w:tcPr>
            <w:tcW w:w="894" w:type="dxa"/>
            <w:tcBorders>
              <w:top w:val="nil"/>
              <w:left w:val="single" w:sz="48" w:space="0" w:color="C0C0C0"/>
            </w:tcBorders>
            <w:shd w:val="clear" w:color="auto" w:fill="BFBFBF"/>
          </w:tcPr>
          <w:p>
            <w:pPr>
              <w:pStyle w:val="TableParagraph"/>
              <w:rPr>
                <w:sz w:val="16"/>
              </w:rPr>
            </w:pPr>
          </w:p>
        </w:tc>
        <w:tc>
          <w:tcPr>
            <w:tcW w:w="1253" w:type="dxa"/>
            <w:tcBorders>
              <w:top w:val="nil"/>
            </w:tcBorders>
            <w:shd w:val="clear" w:color="auto" w:fill="E6E6E6"/>
          </w:tcPr>
          <w:p>
            <w:pPr>
              <w:pStyle w:val="TableParagraph"/>
              <w:spacing w:line="168" w:lineRule="exact" w:before="70"/>
              <w:ind w:left="8"/>
              <w:jc w:val="center"/>
              <w:rPr>
                <w:sz w:val="16"/>
              </w:rPr>
            </w:pPr>
            <w:r>
              <w:rPr>
                <w:w w:val="100"/>
                <w:sz w:val="16"/>
              </w:rPr>
              <w:t>A</w:t>
            </w:r>
          </w:p>
        </w:tc>
        <w:tc>
          <w:tcPr>
            <w:tcW w:w="1253" w:type="dxa"/>
            <w:tcBorders>
              <w:top w:val="nil"/>
            </w:tcBorders>
            <w:shd w:val="clear" w:color="auto" w:fill="E6E6E6"/>
          </w:tcPr>
          <w:p>
            <w:pPr>
              <w:pStyle w:val="TableParagraph"/>
              <w:spacing w:line="168" w:lineRule="exact" w:before="70"/>
              <w:ind w:left="3"/>
              <w:jc w:val="center"/>
              <w:rPr>
                <w:sz w:val="16"/>
              </w:rPr>
            </w:pPr>
            <w:r>
              <w:rPr>
                <w:w w:val="100"/>
                <w:sz w:val="16"/>
              </w:rPr>
              <w:t>B</w:t>
            </w:r>
          </w:p>
        </w:tc>
        <w:tc>
          <w:tcPr>
            <w:tcW w:w="1253" w:type="dxa"/>
            <w:tcBorders>
              <w:top w:val="nil"/>
            </w:tcBorders>
            <w:shd w:val="clear" w:color="auto" w:fill="E6E6E6"/>
          </w:tcPr>
          <w:p>
            <w:pPr>
              <w:pStyle w:val="TableParagraph"/>
              <w:spacing w:line="168" w:lineRule="exact" w:before="70"/>
              <w:ind w:left="3"/>
              <w:jc w:val="center"/>
              <w:rPr>
                <w:sz w:val="16"/>
              </w:rPr>
            </w:pPr>
            <w:r>
              <w:rPr>
                <w:w w:val="100"/>
                <w:sz w:val="16"/>
              </w:rPr>
              <w:t>C</w:t>
            </w:r>
          </w:p>
        </w:tc>
        <w:tc>
          <w:tcPr>
            <w:tcW w:w="1253" w:type="dxa"/>
            <w:tcBorders>
              <w:top w:val="nil"/>
            </w:tcBorders>
            <w:shd w:val="clear" w:color="auto" w:fill="E6E6E6"/>
          </w:tcPr>
          <w:p>
            <w:pPr>
              <w:pStyle w:val="TableParagraph"/>
              <w:spacing w:line="168" w:lineRule="exact" w:before="70"/>
              <w:ind w:left="7"/>
              <w:jc w:val="center"/>
              <w:rPr>
                <w:sz w:val="16"/>
              </w:rPr>
            </w:pPr>
            <w:r>
              <w:rPr>
                <w:w w:val="100"/>
                <w:sz w:val="16"/>
              </w:rPr>
              <w:t>D</w:t>
            </w:r>
          </w:p>
        </w:tc>
        <w:tc>
          <w:tcPr>
            <w:tcW w:w="1253" w:type="dxa"/>
            <w:tcBorders>
              <w:top w:val="nil"/>
            </w:tcBorders>
            <w:shd w:val="clear" w:color="auto" w:fill="E6E6E6"/>
          </w:tcPr>
          <w:p>
            <w:pPr>
              <w:pStyle w:val="TableParagraph"/>
              <w:spacing w:line="168" w:lineRule="exact" w:before="70"/>
              <w:ind w:left="3"/>
              <w:jc w:val="center"/>
              <w:rPr>
                <w:sz w:val="16"/>
              </w:rPr>
            </w:pPr>
            <w:r>
              <w:rPr>
                <w:w w:val="100"/>
                <w:sz w:val="16"/>
              </w:rPr>
              <w:t>E</w:t>
            </w:r>
          </w:p>
        </w:tc>
        <w:tc>
          <w:tcPr>
            <w:tcW w:w="1253" w:type="dxa"/>
            <w:tcBorders>
              <w:top w:val="nil"/>
            </w:tcBorders>
            <w:shd w:val="clear" w:color="auto" w:fill="E6E6E6"/>
          </w:tcPr>
          <w:p>
            <w:pPr>
              <w:pStyle w:val="TableParagraph"/>
              <w:spacing w:line="168" w:lineRule="exact" w:before="70"/>
              <w:ind w:left="8"/>
              <w:jc w:val="center"/>
              <w:rPr>
                <w:sz w:val="16"/>
              </w:rPr>
            </w:pPr>
            <w:r>
              <w:rPr>
                <w:w w:val="100"/>
                <w:sz w:val="16"/>
              </w:rPr>
              <w:t>F</w:t>
            </w:r>
          </w:p>
        </w:tc>
        <w:tc>
          <w:tcPr>
            <w:tcW w:w="1251" w:type="dxa"/>
            <w:tcBorders>
              <w:top w:val="nil"/>
            </w:tcBorders>
            <w:shd w:val="clear" w:color="auto" w:fill="E6E6E6"/>
          </w:tcPr>
          <w:p>
            <w:pPr>
              <w:pStyle w:val="TableParagraph"/>
              <w:spacing w:line="168" w:lineRule="exact" w:before="70"/>
              <w:ind w:left="7"/>
              <w:jc w:val="center"/>
              <w:rPr>
                <w:sz w:val="16"/>
              </w:rPr>
            </w:pPr>
            <w:r>
              <w:rPr>
                <w:w w:val="100"/>
                <w:sz w:val="16"/>
              </w:rPr>
              <w:t>G</w:t>
            </w:r>
          </w:p>
        </w:tc>
        <w:tc>
          <w:tcPr>
            <w:tcW w:w="1253" w:type="dxa"/>
            <w:tcBorders>
              <w:top w:val="nil"/>
            </w:tcBorders>
            <w:shd w:val="clear" w:color="auto" w:fill="E6E6E6"/>
          </w:tcPr>
          <w:p>
            <w:pPr>
              <w:pStyle w:val="TableParagraph"/>
              <w:spacing w:line="168" w:lineRule="exact" w:before="70"/>
              <w:ind w:left="4"/>
              <w:jc w:val="center"/>
              <w:rPr>
                <w:sz w:val="16"/>
              </w:rPr>
            </w:pPr>
            <w:r>
              <w:rPr>
                <w:w w:val="100"/>
                <w:sz w:val="16"/>
              </w:rPr>
              <w:t>H</w:t>
            </w:r>
          </w:p>
        </w:tc>
        <w:tc>
          <w:tcPr>
            <w:tcW w:w="1255" w:type="dxa"/>
            <w:tcBorders>
              <w:top w:val="nil"/>
            </w:tcBorders>
            <w:shd w:val="clear" w:color="auto" w:fill="E6E6E6"/>
          </w:tcPr>
          <w:p>
            <w:pPr>
              <w:pStyle w:val="TableParagraph"/>
              <w:spacing w:line="168" w:lineRule="exact" w:before="70"/>
              <w:ind w:left="2"/>
              <w:jc w:val="center"/>
              <w:rPr>
                <w:sz w:val="16"/>
              </w:rPr>
            </w:pPr>
            <w:r>
              <w:rPr>
                <w:w w:val="100"/>
                <w:sz w:val="16"/>
              </w:rPr>
              <w:t>I</w:t>
            </w:r>
          </w:p>
        </w:tc>
      </w:tr>
      <w:tr>
        <w:trPr>
          <w:trHeight w:val="184" w:hRule="atLeast"/>
        </w:trPr>
        <w:tc>
          <w:tcPr>
            <w:tcW w:w="1009" w:type="dxa"/>
            <w:gridSpan w:val="2"/>
          </w:tcPr>
          <w:p>
            <w:pPr>
              <w:pStyle w:val="TableParagraph"/>
              <w:spacing w:line="164" w:lineRule="exact"/>
              <w:ind w:left="117"/>
              <w:rPr>
                <w:sz w:val="16"/>
              </w:rPr>
            </w:pPr>
            <w:r>
              <w:rPr>
                <w:sz w:val="16"/>
              </w:rPr>
              <w:t>Forest Land</w:t>
            </w:r>
          </w:p>
        </w:tc>
        <w:tc>
          <w:tcPr>
            <w:tcW w:w="1266" w:type="dxa"/>
          </w:tcPr>
          <w:p>
            <w:pPr>
              <w:pStyle w:val="TableParagraph"/>
              <w:spacing w:line="164" w:lineRule="exact"/>
              <w:ind w:left="106"/>
              <w:rPr>
                <w:sz w:val="16"/>
              </w:rPr>
            </w:pPr>
            <w:r>
              <w:rPr>
                <w:sz w:val="16"/>
              </w:rPr>
              <w:t>Forest 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244" w:hRule="atLeast"/>
        </w:trPr>
        <w:tc>
          <w:tcPr>
            <w:tcW w:w="1009" w:type="dxa"/>
            <w:gridSpan w:val="2"/>
          </w:tcPr>
          <w:p>
            <w:pPr>
              <w:pStyle w:val="TableParagraph"/>
              <w:spacing w:before="23"/>
              <w:ind w:left="107"/>
              <w:rPr>
                <w:sz w:val="16"/>
              </w:rPr>
            </w:pPr>
            <w:r>
              <w:rPr>
                <w:sz w:val="16"/>
              </w:rPr>
              <w:t>Cropland</w:t>
            </w:r>
          </w:p>
        </w:tc>
        <w:tc>
          <w:tcPr>
            <w:tcW w:w="1266" w:type="dxa"/>
          </w:tcPr>
          <w:p>
            <w:pPr>
              <w:pStyle w:val="TableParagraph"/>
              <w:spacing w:before="23"/>
              <w:ind w:left="106"/>
              <w:rPr>
                <w:sz w:val="16"/>
              </w:rPr>
            </w:pPr>
            <w:r>
              <w:rPr>
                <w:sz w:val="16"/>
              </w:rPr>
              <w:t>Forest Land</w:t>
            </w:r>
          </w:p>
        </w:tc>
        <w:tc>
          <w:tcPr>
            <w:tcW w:w="894" w:type="dxa"/>
          </w:tcPr>
          <w:p>
            <w:pPr>
              <w:pStyle w:val="TableParagraph"/>
              <w:rPr>
                <w:sz w:val="16"/>
              </w:rPr>
            </w:pPr>
          </w:p>
        </w:tc>
        <w:tc>
          <w:tcPr>
            <w:tcW w:w="1253" w:type="dxa"/>
          </w:tcPr>
          <w:p>
            <w:pPr>
              <w:pStyle w:val="TableParagraph"/>
              <w:spacing w:line="160" w:lineRule="exact"/>
              <w:ind w:left="363"/>
              <w:rPr>
                <w:b/>
                <w:sz w:val="10"/>
              </w:rPr>
            </w:pPr>
            <w:r>
              <w:rPr>
                <w:b/>
                <w:position w:val="2"/>
                <w:sz w:val="16"/>
              </w:rPr>
              <w:t>∆C</w:t>
            </w:r>
            <w:r>
              <w:rPr>
                <w:b/>
                <w:sz w:val="10"/>
              </w:rPr>
              <w:t>LF </w:t>
            </w:r>
            <w:r>
              <w:rPr>
                <w:b/>
                <w:position w:val="9"/>
                <w:sz w:val="10"/>
              </w:rPr>
              <w:t>4</w:t>
            </w:r>
          </w:p>
          <w:p>
            <w:pPr>
              <w:pStyle w:val="TableParagraph"/>
              <w:spacing w:line="65" w:lineRule="exact"/>
              <w:ind w:left="244"/>
              <w:jc w:val="center"/>
              <w:rPr>
                <w:b/>
                <w:sz w:val="10"/>
              </w:rPr>
            </w:pPr>
            <w:r>
              <w:rPr>
                <w:b/>
                <w:w w:val="100"/>
                <w:sz w:val="10"/>
              </w:rPr>
              <w:t>G</w:t>
            </w:r>
          </w:p>
        </w:tc>
        <w:tc>
          <w:tcPr>
            <w:tcW w:w="1253" w:type="dxa"/>
          </w:tcPr>
          <w:p>
            <w:pPr>
              <w:pStyle w:val="TableParagraph"/>
              <w:spacing w:line="160" w:lineRule="exact"/>
              <w:ind w:left="251" w:right="307"/>
              <w:jc w:val="center"/>
              <w:rPr>
                <w:b/>
                <w:sz w:val="10"/>
              </w:rPr>
            </w:pPr>
            <w:r>
              <w:rPr>
                <w:b/>
                <w:position w:val="2"/>
                <w:sz w:val="16"/>
              </w:rPr>
              <w:t>∆C</w:t>
            </w:r>
            <w:r>
              <w:rPr>
                <w:b/>
                <w:sz w:val="10"/>
              </w:rPr>
              <w:t>LF</w:t>
            </w:r>
          </w:p>
          <w:p>
            <w:pPr>
              <w:pStyle w:val="TableParagraph"/>
              <w:spacing w:line="65" w:lineRule="exact"/>
              <w:ind w:left="761"/>
              <w:rPr>
                <w:b/>
                <w:sz w:val="10"/>
              </w:rPr>
            </w:pPr>
            <w:r>
              <w:rPr>
                <w:b/>
                <w:w w:val="100"/>
                <w:sz w:val="10"/>
              </w:rPr>
              <w:t>L</w:t>
            </w:r>
          </w:p>
        </w:tc>
        <w:tc>
          <w:tcPr>
            <w:tcW w:w="1253" w:type="dxa"/>
            <w:shd w:val="clear" w:color="auto" w:fill="D5D5D5"/>
          </w:tcPr>
          <w:p>
            <w:pPr>
              <w:pStyle w:val="TableParagraph"/>
              <w:spacing w:line="160" w:lineRule="exact"/>
              <w:ind w:left="384"/>
              <w:rPr>
                <w:b/>
                <w:sz w:val="10"/>
              </w:rPr>
            </w:pPr>
            <w:r>
              <w:rPr>
                <w:b/>
                <w:position w:val="2"/>
                <w:sz w:val="16"/>
              </w:rPr>
              <w:t>∆C</w:t>
            </w:r>
            <w:r>
              <w:rPr>
                <w:b/>
                <w:sz w:val="10"/>
              </w:rPr>
              <w:t>LF</w:t>
            </w:r>
          </w:p>
          <w:p>
            <w:pPr>
              <w:pStyle w:val="TableParagraph"/>
              <w:spacing w:line="65" w:lineRule="exact"/>
              <w:ind w:left="725"/>
              <w:rPr>
                <w:b/>
                <w:sz w:val="10"/>
              </w:rPr>
            </w:pPr>
            <w:r>
              <w:rPr>
                <w:b/>
                <w:sz w:val="10"/>
              </w:rPr>
              <w:t>LB</w:t>
            </w:r>
          </w:p>
        </w:tc>
        <w:tc>
          <w:tcPr>
            <w:tcW w:w="1253" w:type="dxa"/>
          </w:tcPr>
          <w:p>
            <w:pPr>
              <w:pStyle w:val="TableParagraph"/>
              <w:spacing w:line="160" w:lineRule="exact"/>
              <w:ind w:left="367"/>
              <w:rPr>
                <w:b/>
                <w:sz w:val="10"/>
              </w:rPr>
            </w:pPr>
            <w:r>
              <w:rPr>
                <w:b/>
                <w:position w:val="2"/>
                <w:sz w:val="16"/>
              </w:rPr>
              <w:t>∆C</w:t>
            </w:r>
            <w:r>
              <w:rPr>
                <w:b/>
                <w:sz w:val="10"/>
              </w:rPr>
              <w:t>LF</w:t>
            </w:r>
          </w:p>
          <w:p>
            <w:pPr>
              <w:pStyle w:val="TableParagraph"/>
              <w:spacing w:line="65" w:lineRule="exact"/>
              <w:ind w:left="708"/>
              <w:rPr>
                <w:b/>
                <w:sz w:val="10"/>
              </w:rPr>
            </w:pPr>
            <w:r>
              <w:rPr>
                <w:b/>
                <w:sz w:val="10"/>
              </w:rPr>
              <w:t>DW</w:t>
            </w:r>
          </w:p>
        </w:tc>
        <w:tc>
          <w:tcPr>
            <w:tcW w:w="1253" w:type="dxa"/>
          </w:tcPr>
          <w:p>
            <w:pPr>
              <w:pStyle w:val="TableParagraph"/>
              <w:spacing w:line="160" w:lineRule="exact"/>
              <w:ind w:left="386"/>
              <w:rPr>
                <w:b/>
                <w:sz w:val="10"/>
              </w:rPr>
            </w:pPr>
            <w:r>
              <w:rPr>
                <w:b/>
                <w:position w:val="2"/>
                <w:sz w:val="16"/>
              </w:rPr>
              <w:t>∆C</w:t>
            </w:r>
            <w:r>
              <w:rPr>
                <w:b/>
                <w:sz w:val="10"/>
              </w:rPr>
              <w:t>LF</w:t>
            </w:r>
          </w:p>
          <w:p>
            <w:pPr>
              <w:pStyle w:val="TableParagraph"/>
              <w:spacing w:line="65" w:lineRule="exact"/>
              <w:ind w:left="727"/>
              <w:rPr>
                <w:b/>
                <w:sz w:val="10"/>
              </w:rPr>
            </w:pPr>
            <w:r>
              <w:rPr>
                <w:b/>
                <w:sz w:val="10"/>
              </w:rPr>
              <w:t>LT</w:t>
            </w:r>
          </w:p>
        </w:tc>
        <w:tc>
          <w:tcPr>
            <w:tcW w:w="1253" w:type="dxa"/>
            <w:shd w:val="clear" w:color="auto" w:fill="D5D5D5"/>
          </w:tcPr>
          <w:p>
            <w:pPr>
              <w:pStyle w:val="TableParagraph"/>
              <w:spacing w:line="160" w:lineRule="exact"/>
              <w:ind w:left="328"/>
              <w:rPr>
                <w:b/>
                <w:sz w:val="10"/>
              </w:rPr>
            </w:pPr>
            <w:r>
              <w:rPr>
                <w:b/>
                <w:position w:val="2"/>
                <w:sz w:val="16"/>
              </w:rPr>
              <w:t>∆C</w:t>
            </w:r>
            <w:r>
              <w:rPr>
                <w:b/>
                <w:sz w:val="10"/>
              </w:rPr>
              <w:t>LF</w:t>
            </w:r>
          </w:p>
          <w:p>
            <w:pPr>
              <w:pStyle w:val="TableParagraph"/>
              <w:spacing w:line="65" w:lineRule="exact"/>
              <w:ind w:left="669"/>
              <w:rPr>
                <w:b/>
                <w:sz w:val="10"/>
              </w:rPr>
            </w:pPr>
            <w:r>
              <w:rPr>
                <w:b/>
                <w:sz w:val="10"/>
              </w:rPr>
              <w:t>DOM</w:t>
            </w:r>
          </w:p>
        </w:tc>
        <w:tc>
          <w:tcPr>
            <w:tcW w:w="1251" w:type="dxa"/>
          </w:tcPr>
          <w:p>
            <w:pPr>
              <w:pStyle w:val="TableParagraph"/>
              <w:spacing w:line="160" w:lineRule="exact"/>
              <w:ind w:left="278"/>
              <w:rPr>
                <w:b/>
                <w:sz w:val="10"/>
              </w:rPr>
            </w:pPr>
            <w:r>
              <w:rPr>
                <w:b/>
                <w:position w:val="2"/>
                <w:sz w:val="16"/>
              </w:rPr>
              <w:t>∆C</w:t>
            </w:r>
            <w:r>
              <w:rPr>
                <w:b/>
                <w:sz w:val="10"/>
              </w:rPr>
              <w:t>LF</w:t>
            </w:r>
          </w:p>
          <w:p>
            <w:pPr>
              <w:pStyle w:val="TableParagraph"/>
              <w:spacing w:line="65" w:lineRule="exact"/>
              <w:ind w:left="619"/>
              <w:rPr>
                <w:b/>
                <w:sz w:val="10"/>
              </w:rPr>
            </w:pPr>
            <w:r>
              <w:rPr>
                <w:b/>
                <w:sz w:val="10"/>
              </w:rPr>
              <w:t>Mineral</w:t>
            </w:r>
          </w:p>
        </w:tc>
        <w:tc>
          <w:tcPr>
            <w:tcW w:w="1253" w:type="dxa"/>
          </w:tcPr>
          <w:p>
            <w:pPr>
              <w:pStyle w:val="TableParagraph"/>
              <w:spacing w:line="160" w:lineRule="exact"/>
              <w:ind w:left="275"/>
              <w:rPr>
                <w:b/>
                <w:sz w:val="10"/>
              </w:rPr>
            </w:pPr>
            <w:r>
              <w:rPr>
                <w:b/>
                <w:position w:val="2"/>
                <w:sz w:val="16"/>
              </w:rPr>
              <w:t>∆C</w:t>
            </w:r>
            <w:r>
              <w:rPr>
                <w:b/>
                <w:sz w:val="10"/>
              </w:rPr>
              <w:t>LF</w:t>
            </w:r>
          </w:p>
          <w:p>
            <w:pPr>
              <w:pStyle w:val="TableParagraph"/>
              <w:spacing w:line="65" w:lineRule="exact"/>
              <w:ind w:left="616"/>
              <w:rPr>
                <w:b/>
                <w:sz w:val="10"/>
              </w:rPr>
            </w:pPr>
            <w:r>
              <w:rPr>
                <w:b/>
                <w:sz w:val="10"/>
              </w:rPr>
              <w:t>Organic</w:t>
            </w:r>
          </w:p>
        </w:tc>
        <w:tc>
          <w:tcPr>
            <w:tcW w:w="1255" w:type="dxa"/>
            <w:shd w:val="clear" w:color="auto" w:fill="D5D5D5"/>
          </w:tcPr>
          <w:p>
            <w:pPr>
              <w:pStyle w:val="TableParagraph"/>
              <w:spacing w:line="160" w:lineRule="exact"/>
              <w:ind w:left="351"/>
              <w:rPr>
                <w:b/>
                <w:sz w:val="10"/>
              </w:rPr>
            </w:pPr>
            <w:r>
              <w:rPr>
                <w:b/>
                <w:position w:val="2"/>
                <w:sz w:val="16"/>
              </w:rPr>
              <w:t>∆C</w:t>
            </w:r>
            <w:r>
              <w:rPr>
                <w:b/>
                <w:sz w:val="10"/>
              </w:rPr>
              <w:t>LF</w:t>
            </w:r>
          </w:p>
          <w:p>
            <w:pPr>
              <w:pStyle w:val="TableParagraph"/>
              <w:spacing w:line="65" w:lineRule="exact"/>
              <w:ind w:left="692"/>
              <w:rPr>
                <w:b/>
                <w:sz w:val="10"/>
              </w:rPr>
            </w:pPr>
            <w:r>
              <w:rPr>
                <w:b/>
                <w:sz w:val="10"/>
              </w:rPr>
              <w:t>Soils</w:t>
            </w:r>
          </w:p>
        </w:tc>
      </w:tr>
      <w:tr>
        <w:trPr>
          <w:trHeight w:val="184" w:hRule="atLeast"/>
        </w:trPr>
        <w:tc>
          <w:tcPr>
            <w:tcW w:w="1009" w:type="dxa"/>
            <w:gridSpan w:val="2"/>
          </w:tcPr>
          <w:p>
            <w:pPr>
              <w:pStyle w:val="TableParagraph"/>
              <w:spacing w:line="164" w:lineRule="exact"/>
              <w:ind w:left="107"/>
              <w:rPr>
                <w:sz w:val="16"/>
              </w:rPr>
            </w:pPr>
            <w:r>
              <w:rPr>
                <w:sz w:val="16"/>
              </w:rPr>
              <w:t>Grassland</w:t>
            </w:r>
          </w:p>
        </w:tc>
        <w:tc>
          <w:tcPr>
            <w:tcW w:w="1266" w:type="dxa"/>
          </w:tcPr>
          <w:p>
            <w:pPr>
              <w:pStyle w:val="TableParagraph"/>
              <w:spacing w:line="164" w:lineRule="exact"/>
              <w:ind w:left="106"/>
              <w:rPr>
                <w:sz w:val="16"/>
              </w:rPr>
            </w:pPr>
            <w:r>
              <w:rPr>
                <w:sz w:val="16"/>
              </w:rPr>
              <w:t>Forest 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1" w:hRule="atLeast"/>
        </w:trPr>
        <w:tc>
          <w:tcPr>
            <w:tcW w:w="1009" w:type="dxa"/>
            <w:gridSpan w:val="2"/>
          </w:tcPr>
          <w:p>
            <w:pPr>
              <w:pStyle w:val="TableParagraph"/>
              <w:spacing w:line="162" w:lineRule="exact"/>
              <w:ind w:left="107"/>
              <w:rPr>
                <w:sz w:val="16"/>
              </w:rPr>
            </w:pPr>
            <w:r>
              <w:rPr>
                <w:sz w:val="16"/>
              </w:rPr>
              <w:t>Wetlands</w:t>
            </w:r>
          </w:p>
        </w:tc>
        <w:tc>
          <w:tcPr>
            <w:tcW w:w="1266" w:type="dxa"/>
          </w:tcPr>
          <w:p>
            <w:pPr>
              <w:pStyle w:val="TableParagraph"/>
              <w:spacing w:line="162" w:lineRule="exact"/>
              <w:ind w:left="106"/>
              <w:rPr>
                <w:sz w:val="16"/>
              </w:rPr>
            </w:pPr>
            <w:r>
              <w:rPr>
                <w:sz w:val="16"/>
              </w:rPr>
              <w:t>Forest 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Settlements</w:t>
            </w:r>
          </w:p>
        </w:tc>
        <w:tc>
          <w:tcPr>
            <w:tcW w:w="1266" w:type="dxa"/>
          </w:tcPr>
          <w:p>
            <w:pPr>
              <w:pStyle w:val="TableParagraph"/>
              <w:spacing w:line="164" w:lineRule="exact"/>
              <w:ind w:left="106"/>
              <w:rPr>
                <w:sz w:val="16"/>
              </w:rPr>
            </w:pPr>
            <w:r>
              <w:rPr>
                <w:sz w:val="16"/>
              </w:rPr>
              <w:t>Forest 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Other Land</w:t>
            </w:r>
          </w:p>
        </w:tc>
        <w:tc>
          <w:tcPr>
            <w:tcW w:w="1266" w:type="dxa"/>
          </w:tcPr>
          <w:p>
            <w:pPr>
              <w:pStyle w:val="TableParagraph"/>
              <w:spacing w:line="164" w:lineRule="exact"/>
              <w:ind w:left="106"/>
              <w:rPr>
                <w:sz w:val="16"/>
              </w:rPr>
            </w:pPr>
            <w:r>
              <w:rPr>
                <w:sz w:val="16"/>
              </w:rPr>
              <w:t>Forest 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shd w:val="clear" w:color="auto" w:fill="BFBFBF"/>
          </w:tcPr>
          <w:p>
            <w:pPr>
              <w:pStyle w:val="TableParagraph"/>
              <w:rPr>
                <w:sz w:val="12"/>
              </w:rPr>
            </w:pPr>
          </w:p>
        </w:tc>
        <w:tc>
          <w:tcPr>
            <w:tcW w:w="2160" w:type="dxa"/>
            <w:gridSpan w:val="2"/>
          </w:tcPr>
          <w:p>
            <w:pPr>
              <w:pStyle w:val="TableParagraph"/>
              <w:spacing w:line="164" w:lineRule="exact"/>
              <w:ind w:left="106"/>
              <w:rPr>
                <w:b/>
                <w:sz w:val="16"/>
              </w:rPr>
            </w:pPr>
            <w:r>
              <w:rPr>
                <w:b/>
                <w:sz w:val="16"/>
              </w:rPr>
              <w:t>Sub-total for Forest Land</w:t>
            </w: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1" w:hRule="atLeast"/>
        </w:trPr>
        <w:tc>
          <w:tcPr>
            <w:tcW w:w="1009" w:type="dxa"/>
            <w:gridSpan w:val="2"/>
          </w:tcPr>
          <w:p>
            <w:pPr>
              <w:pStyle w:val="TableParagraph"/>
              <w:spacing w:line="162" w:lineRule="exact"/>
              <w:ind w:left="107"/>
              <w:rPr>
                <w:sz w:val="16"/>
              </w:rPr>
            </w:pPr>
            <w:r>
              <w:rPr>
                <w:sz w:val="16"/>
              </w:rPr>
              <w:t>Cropland</w:t>
            </w:r>
          </w:p>
        </w:tc>
        <w:tc>
          <w:tcPr>
            <w:tcW w:w="1266" w:type="dxa"/>
          </w:tcPr>
          <w:p>
            <w:pPr>
              <w:pStyle w:val="TableParagraph"/>
              <w:spacing w:line="162" w:lineRule="exact"/>
              <w:ind w:left="106"/>
              <w:rPr>
                <w:sz w:val="16"/>
              </w:rPr>
            </w:pPr>
            <w:r>
              <w:rPr>
                <w:sz w:val="16"/>
              </w:rPr>
              <w:t>Cropland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Forest Land</w:t>
            </w:r>
          </w:p>
        </w:tc>
        <w:tc>
          <w:tcPr>
            <w:tcW w:w="1266" w:type="dxa"/>
          </w:tcPr>
          <w:p>
            <w:pPr>
              <w:pStyle w:val="TableParagraph"/>
              <w:spacing w:line="164" w:lineRule="exact"/>
              <w:ind w:left="106"/>
              <w:rPr>
                <w:sz w:val="16"/>
              </w:rPr>
            </w:pPr>
            <w:r>
              <w:rPr>
                <w:sz w:val="16"/>
              </w:rPr>
              <w:t>Cropland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Grassland</w:t>
            </w:r>
          </w:p>
        </w:tc>
        <w:tc>
          <w:tcPr>
            <w:tcW w:w="1266" w:type="dxa"/>
          </w:tcPr>
          <w:p>
            <w:pPr>
              <w:pStyle w:val="TableParagraph"/>
              <w:spacing w:line="164" w:lineRule="exact"/>
              <w:ind w:left="106"/>
              <w:rPr>
                <w:sz w:val="16"/>
              </w:rPr>
            </w:pPr>
            <w:r>
              <w:rPr>
                <w:sz w:val="16"/>
              </w:rPr>
              <w:t>Cropland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Wetlands</w:t>
            </w:r>
          </w:p>
        </w:tc>
        <w:tc>
          <w:tcPr>
            <w:tcW w:w="1266" w:type="dxa"/>
          </w:tcPr>
          <w:p>
            <w:pPr>
              <w:pStyle w:val="TableParagraph"/>
              <w:spacing w:line="164" w:lineRule="exact"/>
              <w:ind w:left="106"/>
              <w:rPr>
                <w:sz w:val="16"/>
              </w:rPr>
            </w:pPr>
            <w:r>
              <w:rPr>
                <w:sz w:val="16"/>
              </w:rPr>
              <w:t>Cropland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Settlements</w:t>
            </w:r>
          </w:p>
        </w:tc>
        <w:tc>
          <w:tcPr>
            <w:tcW w:w="1266" w:type="dxa"/>
          </w:tcPr>
          <w:p>
            <w:pPr>
              <w:pStyle w:val="TableParagraph"/>
              <w:spacing w:line="164" w:lineRule="exact"/>
              <w:ind w:left="106"/>
              <w:rPr>
                <w:sz w:val="16"/>
              </w:rPr>
            </w:pPr>
            <w:r>
              <w:rPr>
                <w:sz w:val="16"/>
              </w:rPr>
              <w:t>Cropland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2" w:hRule="atLeast"/>
        </w:trPr>
        <w:tc>
          <w:tcPr>
            <w:tcW w:w="1009" w:type="dxa"/>
            <w:gridSpan w:val="2"/>
          </w:tcPr>
          <w:p>
            <w:pPr>
              <w:pStyle w:val="TableParagraph"/>
              <w:spacing w:line="162" w:lineRule="exact"/>
              <w:ind w:left="107"/>
              <w:rPr>
                <w:sz w:val="16"/>
              </w:rPr>
            </w:pPr>
            <w:r>
              <w:rPr>
                <w:sz w:val="16"/>
              </w:rPr>
              <w:t>Other Land</w:t>
            </w:r>
          </w:p>
        </w:tc>
        <w:tc>
          <w:tcPr>
            <w:tcW w:w="1266" w:type="dxa"/>
          </w:tcPr>
          <w:p>
            <w:pPr>
              <w:pStyle w:val="TableParagraph"/>
              <w:spacing w:line="162" w:lineRule="exact"/>
              <w:ind w:left="106"/>
              <w:rPr>
                <w:sz w:val="16"/>
              </w:rPr>
            </w:pPr>
            <w:r>
              <w:rPr>
                <w:sz w:val="16"/>
              </w:rPr>
              <w:t>Cropland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shd w:val="clear" w:color="auto" w:fill="BFBFBF"/>
          </w:tcPr>
          <w:p>
            <w:pPr>
              <w:pStyle w:val="TableParagraph"/>
              <w:rPr>
                <w:sz w:val="12"/>
              </w:rPr>
            </w:pPr>
          </w:p>
        </w:tc>
        <w:tc>
          <w:tcPr>
            <w:tcW w:w="2160" w:type="dxa"/>
            <w:gridSpan w:val="2"/>
          </w:tcPr>
          <w:p>
            <w:pPr>
              <w:pStyle w:val="TableParagraph"/>
              <w:spacing w:line="164" w:lineRule="exact"/>
              <w:ind w:left="106"/>
              <w:rPr>
                <w:b/>
                <w:sz w:val="16"/>
              </w:rPr>
            </w:pPr>
            <w:r>
              <w:rPr>
                <w:b/>
                <w:sz w:val="16"/>
              </w:rPr>
              <w:t>Sub-total for Cropland</w:t>
            </w: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Grassland</w:t>
            </w:r>
          </w:p>
        </w:tc>
        <w:tc>
          <w:tcPr>
            <w:tcW w:w="1266" w:type="dxa"/>
          </w:tcPr>
          <w:p>
            <w:pPr>
              <w:pStyle w:val="TableParagraph"/>
              <w:spacing w:line="164" w:lineRule="exact"/>
              <w:ind w:left="106"/>
              <w:rPr>
                <w:sz w:val="16"/>
              </w:rPr>
            </w:pPr>
            <w:r>
              <w:rPr>
                <w:sz w:val="16"/>
              </w:rPr>
              <w:t>Grassland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Forest Land</w:t>
            </w:r>
          </w:p>
        </w:tc>
        <w:tc>
          <w:tcPr>
            <w:tcW w:w="1266" w:type="dxa"/>
          </w:tcPr>
          <w:p>
            <w:pPr>
              <w:pStyle w:val="TableParagraph"/>
              <w:spacing w:line="164" w:lineRule="exact"/>
              <w:ind w:left="107"/>
              <w:rPr>
                <w:sz w:val="16"/>
              </w:rPr>
            </w:pPr>
            <w:r>
              <w:rPr>
                <w:sz w:val="16"/>
              </w:rPr>
              <w:t>Grassland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1" w:hRule="atLeast"/>
        </w:trPr>
        <w:tc>
          <w:tcPr>
            <w:tcW w:w="1009" w:type="dxa"/>
            <w:gridSpan w:val="2"/>
          </w:tcPr>
          <w:p>
            <w:pPr>
              <w:pStyle w:val="TableParagraph"/>
              <w:spacing w:line="162" w:lineRule="exact"/>
              <w:ind w:left="107"/>
              <w:rPr>
                <w:sz w:val="16"/>
              </w:rPr>
            </w:pPr>
            <w:r>
              <w:rPr>
                <w:sz w:val="16"/>
              </w:rPr>
              <w:t>Cropland</w:t>
            </w:r>
          </w:p>
        </w:tc>
        <w:tc>
          <w:tcPr>
            <w:tcW w:w="1266" w:type="dxa"/>
          </w:tcPr>
          <w:p>
            <w:pPr>
              <w:pStyle w:val="TableParagraph"/>
              <w:spacing w:line="162" w:lineRule="exact"/>
              <w:ind w:left="106"/>
              <w:rPr>
                <w:sz w:val="16"/>
              </w:rPr>
            </w:pPr>
            <w:r>
              <w:rPr>
                <w:sz w:val="16"/>
              </w:rPr>
              <w:t>Grassland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Wetlands</w:t>
            </w:r>
          </w:p>
        </w:tc>
        <w:tc>
          <w:tcPr>
            <w:tcW w:w="1266" w:type="dxa"/>
          </w:tcPr>
          <w:p>
            <w:pPr>
              <w:pStyle w:val="TableParagraph"/>
              <w:spacing w:line="164" w:lineRule="exact"/>
              <w:ind w:left="106"/>
              <w:rPr>
                <w:sz w:val="16"/>
              </w:rPr>
            </w:pPr>
            <w:r>
              <w:rPr>
                <w:sz w:val="16"/>
              </w:rPr>
              <w:t>Grassland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Settlements</w:t>
            </w:r>
          </w:p>
        </w:tc>
        <w:tc>
          <w:tcPr>
            <w:tcW w:w="1266" w:type="dxa"/>
          </w:tcPr>
          <w:p>
            <w:pPr>
              <w:pStyle w:val="TableParagraph"/>
              <w:spacing w:line="164" w:lineRule="exact"/>
              <w:ind w:left="106"/>
              <w:rPr>
                <w:sz w:val="16"/>
              </w:rPr>
            </w:pPr>
            <w:r>
              <w:rPr>
                <w:sz w:val="16"/>
              </w:rPr>
              <w:t>Grassland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Other Land</w:t>
            </w:r>
          </w:p>
        </w:tc>
        <w:tc>
          <w:tcPr>
            <w:tcW w:w="1266" w:type="dxa"/>
          </w:tcPr>
          <w:p>
            <w:pPr>
              <w:pStyle w:val="TableParagraph"/>
              <w:spacing w:line="164" w:lineRule="exact"/>
              <w:ind w:left="106"/>
              <w:rPr>
                <w:sz w:val="16"/>
              </w:rPr>
            </w:pPr>
            <w:r>
              <w:rPr>
                <w:sz w:val="16"/>
              </w:rPr>
              <w:t>Grassland</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2" w:hRule="atLeast"/>
        </w:trPr>
        <w:tc>
          <w:tcPr>
            <w:tcW w:w="1009" w:type="dxa"/>
            <w:gridSpan w:val="2"/>
            <w:shd w:val="clear" w:color="auto" w:fill="BFBFBF"/>
          </w:tcPr>
          <w:p>
            <w:pPr>
              <w:pStyle w:val="TableParagraph"/>
              <w:rPr>
                <w:sz w:val="12"/>
              </w:rPr>
            </w:pPr>
          </w:p>
        </w:tc>
        <w:tc>
          <w:tcPr>
            <w:tcW w:w="2160" w:type="dxa"/>
            <w:gridSpan w:val="2"/>
          </w:tcPr>
          <w:p>
            <w:pPr>
              <w:pStyle w:val="TableParagraph"/>
              <w:spacing w:line="162" w:lineRule="exact"/>
              <w:ind w:left="106"/>
              <w:rPr>
                <w:b/>
                <w:sz w:val="16"/>
              </w:rPr>
            </w:pPr>
            <w:r>
              <w:rPr>
                <w:b/>
                <w:sz w:val="16"/>
              </w:rPr>
              <w:t>Sub-total for Grassland</w:t>
            </w: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Wetlands</w:t>
            </w:r>
          </w:p>
        </w:tc>
        <w:tc>
          <w:tcPr>
            <w:tcW w:w="1266" w:type="dxa"/>
          </w:tcPr>
          <w:p>
            <w:pPr>
              <w:pStyle w:val="TableParagraph"/>
              <w:spacing w:line="164" w:lineRule="exact"/>
              <w:ind w:left="107"/>
              <w:rPr>
                <w:sz w:val="16"/>
              </w:rPr>
            </w:pPr>
            <w:r>
              <w:rPr>
                <w:sz w:val="16"/>
              </w:rPr>
              <w:t>Wetlands</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Forest Land</w:t>
            </w:r>
          </w:p>
        </w:tc>
        <w:tc>
          <w:tcPr>
            <w:tcW w:w="1266" w:type="dxa"/>
          </w:tcPr>
          <w:p>
            <w:pPr>
              <w:pStyle w:val="TableParagraph"/>
              <w:spacing w:line="164" w:lineRule="exact"/>
              <w:ind w:left="106"/>
              <w:rPr>
                <w:sz w:val="16"/>
              </w:rPr>
            </w:pPr>
            <w:r>
              <w:rPr>
                <w:sz w:val="16"/>
              </w:rPr>
              <w:t>Wetlands</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Cropland</w:t>
            </w:r>
          </w:p>
        </w:tc>
        <w:tc>
          <w:tcPr>
            <w:tcW w:w="1266" w:type="dxa"/>
          </w:tcPr>
          <w:p>
            <w:pPr>
              <w:pStyle w:val="TableParagraph"/>
              <w:spacing w:line="164" w:lineRule="exact"/>
              <w:ind w:left="106"/>
              <w:rPr>
                <w:sz w:val="16"/>
              </w:rPr>
            </w:pPr>
            <w:r>
              <w:rPr>
                <w:sz w:val="16"/>
              </w:rPr>
              <w:t>Wetlands</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Grassland</w:t>
            </w:r>
          </w:p>
        </w:tc>
        <w:tc>
          <w:tcPr>
            <w:tcW w:w="1266" w:type="dxa"/>
          </w:tcPr>
          <w:p>
            <w:pPr>
              <w:pStyle w:val="TableParagraph"/>
              <w:spacing w:line="164" w:lineRule="exact"/>
              <w:ind w:left="107"/>
              <w:rPr>
                <w:sz w:val="16"/>
              </w:rPr>
            </w:pPr>
            <w:r>
              <w:rPr>
                <w:sz w:val="16"/>
              </w:rPr>
              <w:t>Wetlands</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1" w:hRule="atLeast"/>
        </w:trPr>
        <w:tc>
          <w:tcPr>
            <w:tcW w:w="1009" w:type="dxa"/>
            <w:gridSpan w:val="2"/>
          </w:tcPr>
          <w:p>
            <w:pPr>
              <w:pStyle w:val="TableParagraph"/>
              <w:spacing w:line="162" w:lineRule="exact"/>
              <w:ind w:left="107"/>
              <w:rPr>
                <w:sz w:val="16"/>
              </w:rPr>
            </w:pPr>
            <w:r>
              <w:rPr>
                <w:sz w:val="16"/>
              </w:rPr>
              <w:t>Settlements</w:t>
            </w:r>
          </w:p>
        </w:tc>
        <w:tc>
          <w:tcPr>
            <w:tcW w:w="1266" w:type="dxa"/>
          </w:tcPr>
          <w:p>
            <w:pPr>
              <w:pStyle w:val="TableParagraph"/>
              <w:spacing w:line="162" w:lineRule="exact"/>
              <w:ind w:left="107"/>
              <w:rPr>
                <w:sz w:val="16"/>
              </w:rPr>
            </w:pPr>
            <w:r>
              <w:rPr>
                <w:sz w:val="16"/>
              </w:rPr>
              <w:t>Wetlands</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Other Land</w:t>
            </w:r>
          </w:p>
        </w:tc>
        <w:tc>
          <w:tcPr>
            <w:tcW w:w="1266" w:type="dxa"/>
          </w:tcPr>
          <w:p>
            <w:pPr>
              <w:pStyle w:val="TableParagraph"/>
              <w:spacing w:line="164" w:lineRule="exact"/>
              <w:ind w:left="106"/>
              <w:rPr>
                <w:sz w:val="16"/>
              </w:rPr>
            </w:pPr>
            <w:r>
              <w:rPr>
                <w:sz w:val="16"/>
              </w:rPr>
              <w:t>Wetlands</w:t>
            </w:r>
          </w:p>
        </w:tc>
        <w:tc>
          <w:tcPr>
            <w:tcW w:w="894"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r>
        <w:trPr>
          <w:trHeight w:val="184" w:hRule="atLeast"/>
        </w:trPr>
        <w:tc>
          <w:tcPr>
            <w:tcW w:w="1009" w:type="dxa"/>
            <w:gridSpan w:val="2"/>
            <w:shd w:val="clear" w:color="auto" w:fill="BFBFBF"/>
          </w:tcPr>
          <w:p>
            <w:pPr>
              <w:pStyle w:val="TableParagraph"/>
              <w:rPr>
                <w:sz w:val="12"/>
              </w:rPr>
            </w:pPr>
          </w:p>
        </w:tc>
        <w:tc>
          <w:tcPr>
            <w:tcW w:w="2160" w:type="dxa"/>
            <w:gridSpan w:val="2"/>
          </w:tcPr>
          <w:p>
            <w:pPr>
              <w:pStyle w:val="TableParagraph"/>
              <w:spacing w:line="164" w:lineRule="exact"/>
              <w:ind w:left="106"/>
              <w:rPr>
                <w:b/>
                <w:sz w:val="16"/>
              </w:rPr>
            </w:pPr>
            <w:r>
              <w:rPr>
                <w:b/>
                <w:sz w:val="16"/>
              </w:rPr>
              <w:t>Sub-total for Wetlands</w:t>
            </w: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55" w:type="dxa"/>
          </w:tcPr>
          <w:p>
            <w:pPr>
              <w:pStyle w:val="TableParagraph"/>
              <w:rPr>
                <w:sz w:val="12"/>
              </w:rPr>
            </w:pPr>
          </w:p>
        </w:tc>
      </w:tr>
    </w:tbl>
    <w:p>
      <w:pPr>
        <w:pStyle w:val="BodyText"/>
        <w:spacing w:before="10"/>
        <w:rPr>
          <w:sz w:val="15"/>
        </w:rPr>
      </w:pPr>
    </w:p>
    <w:p>
      <w:pPr>
        <w:spacing w:before="90"/>
        <w:ind w:left="3002" w:right="0" w:firstLine="0"/>
        <w:jc w:val="left"/>
        <w:rPr>
          <w:b/>
          <w:sz w:val="24"/>
        </w:rPr>
      </w:pPr>
      <w:r>
        <w:rPr>
          <w:b/>
          <w:sz w:val="24"/>
        </w:rPr>
        <w:t>(SEE CONTINUATION OF ROWS FOR OTHER CATEGORIES ON BACK PAGE)</w:t>
      </w:r>
    </w:p>
    <w:p>
      <w:pPr>
        <w:spacing w:after="0"/>
        <w:jc w:val="left"/>
        <w:rPr>
          <w:sz w:val="24"/>
        </w:rPr>
        <w:sectPr>
          <w:headerReference w:type="default" r:id="rId217"/>
          <w:headerReference w:type="even" r:id="rId218"/>
          <w:pgSz w:w="16840" w:h="11900" w:orient="landscape"/>
          <w:pgMar w:header="458" w:footer="1128" w:top="740" w:bottom="1320" w:left="1200" w:right="460"/>
        </w:sectPr>
      </w:pPr>
    </w:p>
    <w:p>
      <w:pPr>
        <w:pStyle w:val="BodyText"/>
        <w:spacing w:before="10" w:after="1"/>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
        <w:gridCol w:w="901"/>
        <w:gridCol w:w="1271"/>
        <w:gridCol w:w="893"/>
        <w:gridCol w:w="1251"/>
        <w:gridCol w:w="1253"/>
        <w:gridCol w:w="1248"/>
        <w:gridCol w:w="1246"/>
        <w:gridCol w:w="1248"/>
        <w:gridCol w:w="1248"/>
        <w:gridCol w:w="1248"/>
        <w:gridCol w:w="1248"/>
        <w:gridCol w:w="1248"/>
      </w:tblGrid>
      <w:tr>
        <w:trPr>
          <w:trHeight w:val="647" w:hRule="atLeast"/>
        </w:trPr>
        <w:tc>
          <w:tcPr>
            <w:tcW w:w="14411" w:type="dxa"/>
            <w:gridSpan w:val="13"/>
            <w:tcBorders>
              <w:bottom w:val="thickThinMediumGap" w:sz="9" w:space="0" w:color="BFBFBF"/>
            </w:tcBorders>
          </w:tcPr>
          <w:p>
            <w:pPr>
              <w:pStyle w:val="TableParagraph"/>
              <w:spacing w:before="59"/>
              <w:ind w:left="4237" w:right="4232"/>
              <w:jc w:val="center"/>
              <w:rPr>
                <w:b/>
                <w:sz w:val="18"/>
              </w:rPr>
            </w:pPr>
            <w:r>
              <w:rPr>
                <w:b/>
                <w:sz w:val="18"/>
              </w:rPr>
              <w:t>T</w:t>
            </w:r>
            <w:r>
              <w:rPr>
                <w:b/>
                <w:sz w:val="14"/>
              </w:rPr>
              <w:t>ABLE </w:t>
            </w:r>
            <w:r>
              <w:rPr>
                <w:b/>
                <w:sz w:val="18"/>
              </w:rPr>
              <w:t>3A.2.2A (C</w:t>
            </w:r>
            <w:r>
              <w:rPr>
                <w:b/>
                <w:sz w:val="14"/>
              </w:rPr>
              <w:t>ONTINUED</w:t>
            </w:r>
            <w:r>
              <w:rPr>
                <w:b/>
                <w:sz w:val="18"/>
              </w:rPr>
              <w:t>)</w:t>
            </w:r>
          </w:p>
          <w:p>
            <w:pPr>
              <w:pStyle w:val="TableParagraph"/>
              <w:spacing w:before="96"/>
              <w:ind w:left="4237" w:right="4232"/>
              <w:jc w:val="center"/>
              <w:rPr>
                <w:b/>
                <w:sz w:val="12"/>
              </w:rPr>
            </w:pPr>
            <w:r>
              <w:rPr>
                <w:b/>
                <w:sz w:val="18"/>
              </w:rPr>
              <w:t>C</w:t>
            </w:r>
            <w:r>
              <w:rPr>
                <w:b/>
                <w:sz w:val="14"/>
              </w:rPr>
              <w:t>OMPILATION </w:t>
            </w:r>
            <w:r>
              <w:rPr>
                <w:b/>
                <w:sz w:val="18"/>
              </w:rPr>
              <w:t>W</w:t>
            </w:r>
            <w:r>
              <w:rPr>
                <w:b/>
                <w:sz w:val="14"/>
              </w:rPr>
              <w:t>ORKSHEETS FOR </w:t>
            </w:r>
            <w:r>
              <w:rPr>
                <w:b/>
                <w:sz w:val="18"/>
              </w:rPr>
              <w:t>R</w:t>
            </w:r>
            <w:r>
              <w:rPr>
                <w:b/>
                <w:sz w:val="14"/>
              </w:rPr>
              <w:t>EPORTING </w:t>
            </w:r>
            <w:r>
              <w:rPr>
                <w:b/>
                <w:sz w:val="18"/>
              </w:rPr>
              <w:t>CO</w:t>
            </w:r>
            <w:r>
              <w:rPr>
                <w:b/>
                <w:position w:val="-2"/>
                <w:sz w:val="12"/>
              </w:rPr>
              <w:t>2 </w:t>
            </w:r>
            <w:r>
              <w:rPr>
                <w:b/>
                <w:sz w:val="18"/>
              </w:rPr>
              <w:t>E</w:t>
            </w:r>
            <w:r>
              <w:rPr>
                <w:b/>
                <w:sz w:val="14"/>
              </w:rPr>
              <w:t>MISSIONS AND </w:t>
            </w:r>
            <w:r>
              <w:rPr>
                <w:b/>
                <w:sz w:val="18"/>
              </w:rPr>
              <w:t>R</w:t>
            </w:r>
            <w:r>
              <w:rPr>
                <w:b/>
                <w:sz w:val="14"/>
              </w:rPr>
              <w:t>EMOVALS </w:t>
            </w:r>
            <w:r>
              <w:rPr>
                <w:b/>
                <w:position w:val="8"/>
                <w:sz w:val="12"/>
              </w:rPr>
              <w:t>1</w:t>
            </w:r>
          </w:p>
        </w:tc>
      </w:tr>
      <w:tr>
        <w:trPr>
          <w:trHeight w:val="208" w:hRule="atLeast"/>
        </w:trPr>
        <w:tc>
          <w:tcPr>
            <w:tcW w:w="108" w:type="dxa"/>
            <w:tcBorders>
              <w:top w:val="thinThickMediumGap" w:sz="9" w:space="0" w:color="BFBFBF"/>
              <w:left w:val="single" w:sz="4" w:space="0" w:color="BFBFBF"/>
              <w:right w:val="nil"/>
            </w:tcBorders>
          </w:tcPr>
          <w:p>
            <w:pPr>
              <w:pStyle w:val="TableParagraph"/>
              <w:rPr>
                <w:sz w:val="14"/>
              </w:rPr>
            </w:pPr>
          </w:p>
        </w:tc>
        <w:tc>
          <w:tcPr>
            <w:tcW w:w="2172" w:type="dxa"/>
            <w:gridSpan w:val="2"/>
            <w:tcBorders>
              <w:top w:val="double" w:sz="1" w:space="0" w:color="000000"/>
              <w:left w:val="nil"/>
            </w:tcBorders>
            <w:shd w:val="clear" w:color="auto" w:fill="BFBFBF"/>
          </w:tcPr>
          <w:p>
            <w:pPr>
              <w:pStyle w:val="TableParagraph"/>
              <w:spacing w:line="176" w:lineRule="exact"/>
              <w:ind w:left="369"/>
              <w:rPr>
                <w:b/>
                <w:sz w:val="16"/>
              </w:rPr>
            </w:pPr>
            <w:r>
              <w:rPr>
                <w:b/>
                <w:sz w:val="16"/>
              </w:rPr>
              <w:t>Land-use Category</w:t>
            </w:r>
          </w:p>
        </w:tc>
        <w:tc>
          <w:tcPr>
            <w:tcW w:w="893" w:type="dxa"/>
            <w:vMerge w:val="restart"/>
            <w:tcBorders>
              <w:top w:val="double" w:sz="1" w:space="0" w:color="000000"/>
              <w:bottom w:val="nil"/>
            </w:tcBorders>
            <w:shd w:val="clear" w:color="auto" w:fill="BFBFBF"/>
          </w:tcPr>
          <w:p>
            <w:pPr>
              <w:pStyle w:val="TableParagraph"/>
              <w:ind w:left="251" w:right="262"/>
              <w:jc w:val="center"/>
              <w:rPr>
                <w:b/>
                <w:sz w:val="16"/>
              </w:rPr>
            </w:pPr>
            <w:r>
              <w:rPr>
                <w:b/>
                <w:sz w:val="16"/>
              </w:rPr>
              <w:t>Land Area</w:t>
            </w:r>
          </w:p>
          <w:p>
            <w:pPr>
              <w:pStyle w:val="TableParagraph"/>
              <w:spacing w:before="3"/>
              <w:rPr>
                <w:sz w:val="15"/>
              </w:rPr>
            </w:pPr>
          </w:p>
          <w:p>
            <w:pPr>
              <w:pStyle w:val="TableParagraph"/>
              <w:ind w:left="251" w:right="260"/>
              <w:jc w:val="center"/>
              <w:rPr>
                <w:b/>
                <w:sz w:val="16"/>
              </w:rPr>
            </w:pPr>
            <w:r>
              <w:rPr>
                <w:b/>
                <w:sz w:val="16"/>
              </w:rPr>
              <w:t>(ha)</w:t>
            </w:r>
          </w:p>
        </w:tc>
        <w:tc>
          <w:tcPr>
            <w:tcW w:w="3752" w:type="dxa"/>
            <w:gridSpan w:val="3"/>
            <w:tcBorders>
              <w:top w:val="double" w:sz="1" w:space="0" w:color="000000"/>
            </w:tcBorders>
            <w:shd w:val="clear" w:color="auto" w:fill="BFBFBF"/>
          </w:tcPr>
          <w:p>
            <w:pPr>
              <w:pStyle w:val="TableParagraph"/>
              <w:spacing w:line="176" w:lineRule="exact"/>
              <w:ind w:left="1325" w:right="1322"/>
              <w:jc w:val="center"/>
              <w:rPr>
                <w:b/>
                <w:sz w:val="16"/>
              </w:rPr>
            </w:pPr>
            <w:r>
              <w:rPr>
                <w:b/>
                <w:sz w:val="16"/>
              </w:rPr>
              <w:t>Living Biomass</w:t>
            </w:r>
          </w:p>
        </w:tc>
        <w:tc>
          <w:tcPr>
            <w:tcW w:w="3742" w:type="dxa"/>
            <w:gridSpan w:val="3"/>
            <w:tcBorders>
              <w:top w:val="double" w:sz="1" w:space="0" w:color="000000"/>
            </w:tcBorders>
            <w:shd w:val="clear" w:color="auto" w:fill="BFBFBF"/>
          </w:tcPr>
          <w:p>
            <w:pPr>
              <w:pStyle w:val="TableParagraph"/>
              <w:spacing w:line="176" w:lineRule="exact"/>
              <w:ind w:left="1129"/>
              <w:rPr>
                <w:b/>
                <w:sz w:val="16"/>
              </w:rPr>
            </w:pPr>
            <w:r>
              <w:rPr>
                <w:b/>
                <w:sz w:val="16"/>
              </w:rPr>
              <w:t>Dead Organic Matter</w:t>
            </w:r>
          </w:p>
        </w:tc>
        <w:tc>
          <w:tcPr>
            <w:tcW w:w="3744" w:type="dxa"/>
            <w:gridSpan w:val="3"/>
            <w:tcBorders>
              <w:top w:val="double" w:sz="1" w:space="0" w:color="000000"/>
            </w:tcBorders>
            <w:shd w:val="clear" w:color="auto" w:fill="BFBFBF"/>
          </w:tcPr>
          <w:p>
            <w:pPr>
              <w:pStyle w:val="TableParagraph"/>
              <w:spacing w:line="176" w:lineRule="exact"/>
              <w:ind w:left="1641" w:right="1640"/>
              <w:jc w:val="center"/>
              <w:rPr>
                <w:b/>
                <w:sz w:val="16"/>
              </w:rPr>
            </w:pPr>
            <w:r>
              <w:rPr>
                <w:b/>
                <w:sz w:val="16"/>
              </w:rPr>
              <w:t>Soils </w:t>
            </w:r>
            <w:r>
              <w:rPr>
                <w:b/>
                <w:sz w:val="16"/>
                <w:vertAlign w:val="superscript"/>
              </w:rPr>
              <w:t>3</w:t>
            </w:r>
          </w:p>
        </w:tc>
      </w:tr>
      <w:tr>
        <w:trPr>
          <w:trHeight w:val="941" w:hRule="atLeast"/>
        </w:trPr>
        <w:tc>
          <w:tcPr>
            <w:tcW w:w="1009" w:type="dxa"/>
            <w:gridSpan w:val="2"/>
            <w:tcBorders>
              <w:bottom w:val="nil"/>
            </w:tcBorders>
            <w:shd w:val="clear" w:color="auto" w:fill="E4E4E4"/>
          </w:tcPr>
          <w:p>
            <w:pPr>
              <w:pStyle w:val="TableParagraph"/>
              <w:spacing w:before="23"/>
              <w:ind w:left="206" w:right="193" w:firstLine="105"/>
              <w:rPr>
                <w:sz w:val="16"/>
              </w:rPr>
            </w:pPr>
            <w:r>
              <w:rPr>
                <w:sz w:val="16"/>
              </w:rPr>
              <w:t>Initial Land-use</w:t>
            </w:r>
          </w:p>
        </w:tc>
        <w:tc>
          <w:tcPr>
            <w:tcW w:w="1271" w:type="dxa"/>
            <w:tcBorders>
              <w:bottom w:val="nil"/>
              <w:right w:val="single" w:sz="48" w:space="0" w:color="BFBFBF"/>
            </w:tcBorders>
            <w:shd w:val="clear" w:color="auto" w:fill="E4E4E4"/>
          </w:tcPr>
          <w:p>
            <w:pPr>
              <w:pStyle w:val="TableParagraph"/>
              <w:spacing w:before="23"/>
              <w:ind w:left="154" w:right="110" w:firstLine="2"/>
              <w:jc w:val="center"/>
              <w:rPr>
                <w:sz w:val="16"/>
              </w:rPr>
            </w:pPr>
            <w:r>
              <w:rPr>
                <w:sz w:val="16"/>
              </w:rPr>
              <w:t>Land-use during reporting Year</w:t>
            </w:r>
          </w:p>
        </w:tc>
        <w:tc>
          <w:tcPr>
            <w:tcW w:w="893" w:type="dxa"/>
            <w:vMerge/>
            <w:tcBorders>
              <w:top w:val="nil"/>
              <w:bottom w:val="nil"/>
            </w:tcBorders>
            <w:shd w:val="clear" w:color="auto" w:fill="BFBFBF"/>
          </w:tcPr>
          <w:p>
            <w:pPr>
              <w:rPr>
                <w:sz w:val="2"/>
                <w:szCs w:val="2"/>
              </w:rPr>
            </w:pPr>
          </w:p>
        </w:tc>
        <w:tc>
          <w:tcPr>
            <w:tcW w:w="1251" w:type="dxa"/>
            <w:tcBorders>
              <w:bottom w:val="nil"/>
            </w:tcBorders>
            <w:shd w:val="clear" w:color="auto" w:fill="E4E4E4"/>
          </w:tcPr>
          <w:p>
            <w:pPr>
              <w:pStyle w:val="TableParagraph"/>
              <w:spacing w:before="23"/>
              <w:ind w:left="181" w:right="177" w:firstLine="3"/>
              <w:jc w:val="center"/>
              <w:rPr>
                <w:sz w:val="16"/>
              </w:rPr>
            </w:pPr>
            <w:r>
              <w:rPr>
                <w:sz w:val="16"/>
              </w:rPr>
              <w:t>Annual increase in carbon stocks (tonnes C</w:t>
            </w:r>
          </w:p>
          <w:p>
            <w:pPr>
              <w:pStyle w:val="TableParagraph"/>
              <w:spacing w:line="162" w:lineRule="exact"/>
              <w:ind w:left="193" w:right="191"/>
              <w:jc w:val="center"/>
              <w:rPr>
                <w:sz w:val="16"/>
              </w:rPr>
            </w:pPr>
            <w:r>
              <w:rPr>
                <w:sz w:val="16"/>
              </w:rPr>
              <w:t>yr</w:t>
            </w:r>
            <w:r>
              <w:rPr>
                <w:sz w:val="16"/>
                <w:vertAlign w:val="superscript"/>
              </w:rPr>
              <w:t>-1</w:t>
            </w:r>
            <w:r>
              <w:rPr>
                <w:sz w:val="16"/>
                <w:vertAlign w:val="baseline"/>
              </w:rPr>
              <w:t>)</w:t>
            </w:r>
          </w:p>
        </w:tc>
        <w:tc>
          <w:tcPr>
            <w:tcW w:w="1253" w:type="dxa"/>
            <w:tcBorders>
              <w:bottom w:val="nil"/>
            </w:tcBorders>
            <w:shd w:val="clear" w:color="auto" w:fill="E4E4E4"/>
          </w:tcPr>
          <w:p>
            <w:pPr>
              <w:pStyle w:val="TableParagraph"/>
              <w:spacing w:before="23"/>
              <w:ind w:left="57" w:right="50"/>
              <w:jc w:val="center"/>
              <w:rPr>
                <w:sz w:val="16"/>
              </w:rPr>
            </w:pPr>
            <w:r>
              <w:rPr>
                <w:sz w:val="16"/>
              </w:rPr>
              <w:t>Annual decrease in carbon stocks (tonnes C</w:t>
            </w:r>
          </w:p>
          <w:p>
            <w:pPr>
              <w:pStyle w:val="TableParagraph"/>
              <w:ind w:left="310" w:right="307"/>
              <w:jc w:val="center"/>
              <w:rPr>
                <w:sz w:val="16"/>
              </w:rPr>
            </w:pPr>
            <w:r>
              <w:rPr>
                <w:sz w:val="16"/>
              </w:rPr>
              <w:t>yr</w:t>
            </w:r>
            <w:r>
              <w:rPr>
                <w:sz w:val="16"/>
                <w:vertAlign w:val="superscript"/>
              </w:rPr>
              <w:t>-1</w:t>
            </w:r>
            <w:r>
              <w:rPr>
                <w:sz w:val="16"/>
                <w:vertAlign w:val="baseline"/>
              </w:rPr>
              <w:t>)</w:t>
            </w:r>
          </w:p>
        </w:tc>
        <w:tc>
          <w:tcPr>
            <w:tcW w:w="1248" w:type="dxa"/>
            <w:tcBorders>
              <w:bottom w:val="nil"/>
            </w:tcBorders>
            <w:shd w:val="clear" w:color="auto" w:fill="E4E4E4"/>
          </w:tcPr>
          <w:p>
            <w:pPr>
              <w:pStyle w:val="TableParagraph"/>
              <w:spacing w:before="23"/>
              <w:ind w:left="56" w:right="56"/>
              <w:jc w:val="center"/>
              <w:rPr>
                <w:sz w:val="10"/>
              </w:rPr>
            </w:pPr>
            <w:r>
              <w:rPr>
                <w:sz w:val="16"/>
              </w:rPr>
              <w:t>Annual change</w:t>
            </w:r>
            <w:r>
              <w:rPr>
                <w:spacing w:val="-9"/>
                <w:sz w:val="16"/>
              </w:rPr>
              <w:t> </w:t>
            </w:r>
            <w:r>
              <w:rPr>
                <w:sz w:val="16"/>
              </w:rPr>
              <w:t>in carbon stocks </w:t>
            </w:r>
            <w:r>
              <w:rPr>
                <w:position w:val="2"/>
                <w:sz w:val="16"/>
              </w:rPr>
              <w:t>(Gg</w:t>
            </w:r>
            <w:r>
              <w:rPr>
                <w:spacing w:val="-2"/>
                <w:position w:val="2"/>
                <w:sz w:val="16"/>
              </w:rPr>
              <w:t> </w:t>
            </w:r>
            <w:r>
              <w:rPr>
                <w:position w:val="2"/>
                <w:sz w:val="16"/>
              </w:rPr>
              <w:t>CO</w:t>
            </w:r>
            <w:r>
              <w:rPr>
                <w:sz w:val="10"/>
              </w:rPr>
              <w:t>2</w:t>
            </w:r>
          </w:p>
          <w:p>
            <w:pPr>
              <w:pStyle w:val="TableParagraph"/>
              <w:spacing w:line="177" w:lineRule="exact"/>
              <w:ind w:left="193" w:right="190"/>
              <w:jc w:val="center"/>
              <w:rPr>
                <w:sz w:val="16"/>
              </w:rPr>
            </w:pPr>
            <w:r>
              <w:rPr>
                <w:sz w:val="16"/>
              </w:rPr>
              <w:t>yr</w:t>
            </w:r>
            <w:r>
              <w:rPr>
                <w:sz w:val="16"/>
                <w:vertAlign w:val="superscript"/>
              </w:rPr>
              <w:t>-1</w:t>
            </w:r>
            <w:r>
              <w:rPr>
                <w:sz w:val="16"/>
                <w:vertAlign w:val="baseline"/>
              </w:rPr>
              <w:t>)</w:t>
            </w:r>
          </w:p>
        </w:tc>
        <w:tc>
          <w:tcPr>
            <w:tcW w:w="1246" w:type="dxa"/>
            <w:tcBorders>
              <w:bottom w:val="nil"/>
            </w:tcBorders>
            <w:shd w:val="clear" w:color="auto" w:fill="E4E4E4"/>
          </w:tcPr>
          <w:p>
            <w:pPr>
              <w:pStyle w:val="TableParagraph"/>
              <w:spacing w:before="23"/>
              <w:ind w:left="118" w:right="112" w:firstLine="1"/>
              <w:jc w:val="center"/>
              <w:rPr>
                <w:sz w:val="16"/>
              </w:rPr>
            </w:pPr>
            <w:r>
              <w:rPr>
                <w:sz w:val="16"/>
              </w:rPr>
              <w:t>Carbon stock change in</w:t>
            </w:r>
            <w:r>
              <w:rPr>
                <w:spacing w:val="-5"/>
                <w:sz w:val="16"/>
              </w:rPr>
              <w:t> </w:t>
            </w:r>
            <w:r>
              <w:rPr>
                <w:sz w:val="16"/>
              </w:rPr>
              <w:t>dead wood</w:t>
            </w:r>
          </w:p>
          <w:p>
            <w:pPr>
              <w:pStyle w:val="TableParagraph"/>
              <w:spacing w:line="182" w:lineRule="exact" w:before="4"/>
              <w:ind w:left="310" w:right="305"/>
              <w:jc w:val="center"/>
              <w:rPr>
                <w:sz w:val="16"/>
              </w:rPr>
            </w:pPr>
            <w:r>
              <w:rPr>
                <w:sz w:val="16"/>
              </w:rPr>
              <w:t>(tonnes </w:t>
            </w:r>
            <w:r>
              <w:rPr>
                <w:spacing w:val="-15"/>
                <w:sz w:val="16"/>
              </w:rPr>
              <w:t>C </w:t>
            </w:r>
            <w:r>
              <w:rPr>
                <w:sz w:val="16"/>
              </w:rPr>
              <w:t>yr</w:t>
            </w:r>
            <w:r>
              <w:rPr>
                <w:sz w:val="16"/>
                <w:vertAlign w:val="superscript"/>
              </w:rPr>
              <w:t>-1</w:t>
            </w:r>
            <w:r>
              <w:rPr>
                <w:sz w:val="16"/>
                <w:vertAlign w:val="baseline"/>
              </w:rPr>
              <w:t>)</w:t>
            </w:r>
          </w:p>
        </w:tc>
        <w:tc>
          <w:tcPr>
            <w:tcW w:w="1248" w:type="dxa"/>
            <w:tcBorders>
              <w:bottom w:val="nil"/>
            </w:tcBorders>
            <w:shd w:val="clear" w:color="auto" w:fill="E4E4E4"/>
          </w:tcPr>
          <w:p>
            <w:pPr>
              <w:pStyle w:val="TableParagraph"/>
              <w:spacing w:before="23"/>
              <w:ind w:left="139" w:right="135" w:firstLine="1"/>
              <w:jc w:val="center"/>
              <w:rPr>
                <w:sz w:val="16"/>
              </w:rPr>
            </w:pPr>
            <w:r>
              <w:rPr>
                <w:sz w:val="16"/>
              </w:rPr>
              <w:t>Carbon stock change in litter (tonnes C</w:t>
            </w:r>
          </w:p>
          <w:p>
            <w:pPr>
              <w:pStyle w:val="TableParagraph"/>
              <w:ind w:left="192" w:right="190"/>
              <w:jc w:val="center"/>
              <w:rPr>
                <w:sz w:val="16"/>
              </w:rPr>
            </w:pPr>
            <w:r>
              <w:rPr>
                <w:sz w:val="16"/>
              </w:rPr>
              <w:t>yr</w:t>
            </w:r>
            <w:r>
              <w:rPr>
                <w:sz w:val="16"/>
                <w:vertAlign w:val="superscript"/>
              </w:rPr>
              <w:t>-1</w:t>
            </w:r>
            <w:r>
              <w:rPr>
                <w:sz w:val="16"/>
                <w:vertAlign w:val="baseline"/>
              </w:rPr>
              <w:t>)</w:t>
            </w:r>
          </w:p>
        </w:tc>
        <w:tc>
          <w:tcPr>
            <w:tcW w:w="1248" w:type="dxa"/>
            <w:tcBorders>
              <w:bottom w:val="nil"/>
            </w:tcBorders>
            <w:shd w:val="clear" w:color="auto" w:fill="E4E4E4"/>
          </w:tcPr>
          <w:p>
            <w:pPr>
              <w:pStyle w:val="TableParagraph"/>
              <w:spacing w:before="23"/>
              <w:ind w:left="130" w:right="127" w:firstLine="2"/>
              <w:jc w:val="center"/>
              <w:rPr>
                <w:sz w:val="10"/>
              </w:rPr>
            </w:pPr>
            <w:r>
              <w:rPr>
                <w:sz w:val="16"/>
              </w:rPr>
              <w:t>Annual change in carbon stock </w:t>
            </w:r>
            <w:r>
              <w:rPr>
                <w:position w:val="2"/>
                <w:sz w:val="16"/>
              </w:rPr>
              <w:t>(Gg CO</w:t>
            </w:r>
            <w:r>
              <w:rPr>
                <w:sz w:val="10"/>
              </w:rPr>
              <w:t>2</w:t>
            </w:r>
          </w:p>
          <w:p>
            <w:pPr>
              <w:pStyle w:val="TableParagraph"/>
              <w:spacing w:line="177" w:lineRule="exact"/>
              <w:ind w:left="192" w:right="190"/>
              <w:jc w:val="center"/>
              <w:rPr>
                <w:sz w:val="16"/>
              </w:rPr>
            </w:pPr>
            <w:r>
              <w:rPr>
                <w:sz w:val="16"/>
              </w:rPr>
              <w:t>yr</w:t>
            </w:r>
            <w:r>
              <w:rPr>
                <w:sz w:val="16"/>
                <w:vertAlign w:val="superscript"/>
              </w:rPr>
              <w:t>-1</w:t>
            </w:r>
            <w:r>
              <w:rPr>
                <w:sz w:val="16"/>
                <w:vertAlign w:val="baseline"/>
              </w:rPr>
              <w:t>)</w:t>
            </w:r>
          </w:p>
        </w:tc>
        <w:tc>
          <w:tcPr>
            <w:tcW w:w="1248" w:type="dxa"/>
            <w:tcBorders>
              <w:bottom w:val="nil"/>
            </w:tcBorders>
            <w:shd w:val="clear" w:color="auto" w:fill="E4E4E4"/>
          </w:tcPr>
          <w:p>
            <w:pPr>
              <w:pStyle w:val="TableParagraph"/>
              <w:spacing w:before="23"/>
              <w:ind w:left="195" w:right="190"/>
              <w:jc w:val="center"/>
              <w:rPr>
                <w:sz w:val="16"/>
              </w:rPr>
            </w:pPr>
            <w:r>
              <w:rPr>
                <w:sz w:val="16"/>
              </w:rPr>
              <w:t>Carbon stock change in mineral soils (tonnes C</w:t>
            </w:r>
          </w:p>
          <w:p>
            <w:pPr>
              <w:pStyle w:val="TableParagraph"/>
              <w:spacing w:line="162" w:lineRule="exact"/>
              <w:ind w:left="192" w:right="190"/>
              <w:jc w:val="center"/>
              <w:rPr>
                <w:sz w:val="16"/>
              </w:rPr>
            </w:pPr>
            <w:r>
              <w:rPr>
                <w:sz w:val="16"/>
              </w:rPr>
              <w:t>yr</w:t>
            </w:r>
            <w:r>
              <w:rPr>
                <w:sz w:val="16"/>
                <w:vertAlign w:val="superscript"/>
              </w:rPr>
              <w:t>-1</w:t>
            </w:r>
            <w:r>
              <w:rPr>
                <w:sz w:val="16"/>
                <w:vertAlign w:val="baseline"/>
              </w:rPr>
              <w:t>)</w:t>
            </w:r>
          </w:p>
        </w:tc>
        <w:tc>
          <w:tcPr>
            <w:tcW w:w="1248" w:type="dxa"/>
            <w:tcBorders>
              <w:bottom w:val="nil"/>
            </w:tcBorders>
            <w:shd w:val="clear" w:color="auto" w:fill="E4E4E4"/>
          </w:tcPr>
          <w:p>
            <w:pPr>
              <w:pStyle w:val="TableParagraph"/>
              <w:spacing w:before="23"/>
              <w:ind w:left="195" w:right="190"/>
              <w:jc w:val="center"/>
              <w:rPr>
                <w:sz w:val="16"/>
              </w:rPr>
            </w:pPr>
            <w:r>
              <w:rPr>
                <w:sz w:val="16"/>
              </w:rPr>
              <w:t>Carbon stock change in organic soils (tonnes C</w:t>
            </w:r>
          </w:p>
          <w:p>
            <w:pPr>
              <w:pStyle w:val="TableParagraph"/>
              <w:spacing w:line="162" w:lineRule="exact"/>
              <w:ind w:left="192" w:right="190"/>
              <w:jc w:val="center"/>
              <w:rPr>
                <w:sz w:val="16"/>
              </w:rPr>
            </w:pPr>
            <w:r>
              <w:rPr>
                <w:sz w:val="16"/>
              </w:rPr>
              <w:t>yr</w:t>
            </w:r>
            <w:r>
              <w:rPr>
                <w:sz w:val="16"/>
                <w:vertAlign w:val="superscript"/>
              </w:rPr>
              <w:t>-1</w:t>
            </w:r>
            <w:r>
              <w:rPr>
                <w:sz w:val="16"/>
                <w:vertAlign w:val="baseline"/>
              </w:rPr>
              <w:t>)</w:t>
            </w:r>
          </w:p>
        </w:tc>
        <w:tc>
          <w:tcPr>
            <w:tcW w:w="1248" w:type="dxa"/>
            <w:tcBorders>
              <w:bottom w:val="nil"/>
            </w:tcBorders>
            <w:shd w:val="clear" w:color="auto" w:fill="E4E4E4"/>
          </w:tcPr>
          <w:p>
            <w:pPr>
              <w:pStyle w:val="TableParagraph"/>
              <w:spacing w:before="23"/>
              <w:ind w:left="53" w:right="53"/>
              <w:jc w:val="center"/>
              <w:rPr>
                <w:sz w:val="16"/>
              </w:rPr>
            </w:pPr>
            <w:r>
              <w:rPr>
                <w:sz w:val="16"/>
              </w:rPr>
              <w:t>Annual change in carbon stock</w:t>
            </w:r>
          </w:p>
          <w:p>
            <w:pPr>
              <w:pStyle w:val="TableParagraph"/>
              <w:spacing w:line="187" w:lineRule="exact"/>
              <w:ind w:left="191" w:right="190"/>
              <w:jc w:val="center"/>
              <w:rPr>
                <w:sz w:val="10"/>
              </w:rPr>
            </w:pPr>
            <w:r>
              <w:rPr>
                <w:position w:val="2"/>
                <w:sz w:val="16"/>
              </w:rPr>
              <w:t>(Gg CO</w:t>
            </w:r>
            <w:r>
              <w:rPr>
                <w:sz w:val="10"/>
              </w:rPr>
              <w:t>2</w:t>
            </w:r>
          </w:p>
          <w:p>
            <w:pPr>
              <w:pStyle w:val="TableParagraph"/>
              <w:spacing w:line="181" w:lineRule="exact"/>
              <w:ind w:left="192" w:right="190"/>
              <w:jc w:val="center"/>
              <w:rPr>
                <w:sz w:val="16"/>
              </w:rPr>
            </w:pPr>
            <w:r>
              <w:rPr>
                <w:sz w:val="16"/>
              </w:rPr>
              <w:t>yr</w:t>
            </w:r>
            <w:r>
              <w:rPr>
                <w:sz w:val="16"/>
                <w:vertAlign w:val="superscript"/>
              </w:rPr>
              <w:t>-1</w:t>
            </w:r>
            <w:r>
              <w:rPr>
                <w:sz w:val="16"/>
                <w:vertAlign w:val="baseline"/>
              </w:rPr>
              <w:t>)</w:t>
            </w:r>
          </w:p>
        </w:tc>
      </w:tr>
      <w:tr>
        <w:trPr>
          <w:trHeight w:val="481" w:hRule="atLeast"/>
        </w:trPr>
        <w:tc>
          <w:tcPr>
            <w:tcW w:w="1009" w:type="dxa"/>
            <w:gridSpan w:val="2"/>
            <w:tcBorders>
              <w:top w:val="nil"/>
              <w:bottom w:val="nil"/>
            </w:tcBorders>
            <w:shd w:val="clear" w:color="auto" w:fill="E4E4E4"/>
          </w:tcPr>
          <w:p>
            <w:pPr>
              <w:pStyle w:val="TableParagraph"/>
              <w:rPr>
                <w:sz w:val="16"/>
              </w:rPr>
            </w:pPr>
          </w:p>
        </w:tc>
        <w:tc>
          <w:tcPr>
            <w:tcW w:w="1271" w:type="dxa"/>
            <w:tcBorders>
              <w:top w:val="nil"/>
              <w:bottom w:val="nil"/>
              <w:right w:val="single" w:sz="48" w:space="0" w:color="BFBFBF"/>
            </w:tcBorders>
            <w:shd w:val="clear" w:color="auto" w:fill="E4E4E4"/>
          </w:tcPr>
          <w:p>
            <w:pPr>
              <w:pStyle w:val="TableParagraph"/>
              <w:rPr>
                <w:sz w:val="16"/>
              </w:rPr>
            </w:pPr>
          </w:p>
        </w:tc>
        <w:tc>
          <w:tcPr>
            <w:tcW w:w="893" w:type="dxa"/>
            <w:tcBorders>
              <w:top w:val="nil"/>
              <w:bottom w:val="nil"/>
            </w:tcBorders>
            <w:shd w:val="clear" w:color="auto" w:fill="BFBFBF"/>
          </w:tcPr>
          <w:p>
            <w:pPr>
              <w:pStyle w:val="TableParagraph"/>
              <w:rPr>
                <w:sz w:val="16"/>
              </w:rPr>
            </w:pPr>
          </w:p>
        </w:tc>
        <w:tc>
          <w:tcPr>
            <w:tcW w:w="1251" w:type="dxa"/>
            <w:tcBorders>
              <w:top w:val="nil"/>
              <w:bottom w:val="nil"/>
            </w:tcBorders>
            <w:shd w:val="clear" w:color="auto" w:fill="E4E4E4"/>
          </w:tcPr>
          <w:p>
            <w:pPr>
              <w:pStyle w:val="TableParagraph"/>
              <w:rPr>
                <w:sz w:val="16"/>
              </w:rPr>
            </w:pPr>
          </w:p>
        </w:tc>
        <w:tc>
          <w:tcPr>
            <w:tcW w:w="1253" w:type="dxa"/>
            <w:tcBorders>
              <w:top w:val="nil"/>
              <w:bottom w:val="nil"/>
            </w:tcBorders>
            <w:shd w:val="clear" w:color="auto" w:fill="E4E4E4"/>
          </w:tcPr>
          <w:p>
            <w:pPr>
              <w:pStyle w:val="TableParagraph"/>
              <w:rPr>
                <w:sz w:val="16"/>
              </w:rPr>
            </w:pPr>
          </w:p>
        </w:tc>
        <w:tc>
          <w:tcPr>
            <w:tcW w:w="1248" w:type="dxa"/>
            <w:tcBorders>
              <w:top w:val="nil"/>
              <w:bottom w:val="nil"/>
            </w:tcBorders>
            <w:shd w:val="clear" w:color="auto" w:fill="E4E4E4"/>
          </w:tcPr>
          <w:p>
            <w:pPr>
              <w:pStyle w:val="TableParagraph"/>
              <w:spacing w:line="197" w:lineRule="exact" w:before="11"/>
              <w:ind w:left="233"/>
              <w:rPr>
                <w:rFonts w:ascii="Symbol" w:hAnsi="Symbol"/>
                <w:sz w:val="16"/>
              </w:rPr>
            </w:pPr>
            <w:r>
              <w:rPr>
                <w:sz w:val="16"/>
              </w:rPr>
              <w:t>C = (A-B)</w:t>
            </w:r>
            <w:r>
              <w:rPr>
                <w:spacing w:val="-4"/>
                <w:sz w:val="16"/>
              </w:rPr>
              <w:t> </w:t>
            </w:r>
            <w:r>
              <w:rPr>
                <w:rFonts w:ascii="Symbol" w:hAnsi="Symbol"/>
                <w:sz w:val="16"/>
              </w:rPr>
              <w:t>•</w:t>
            </w:r>
          </w:p>
          <w:p>
            <w:pPr>
              <w:pStyle w:val="TableParagraph"/>
              <w:ind w:left="238"/>
              <w:rPr>
                <w:sz w:val="16"/>
              </w:rPr>
            </w:pPr>
            <w:r>
              <w:rPr>
                <w:sz w:val="16"/>
              </w:rPr>
              <w:t>10</w:t>
            </w:r>
            <w:r>
              <w:rPr>
                <w:sz w:val="16"/>
                <w:vertAlign w:val="superscript"/>
              </w:rPr>
              <w:t>-3</w:t>
            </w:r>
            <w:r>
              <w:rPr>
                <w:sz w:val="16"/>
                <w:vertAlign w:val="baseline"/>
              </w:rPr>
              <w:t> </w:t>
            </w:r>
            <w:r>
              <w:rPr>
                <w:rFonts w:ascii="Symbol" w:hAnsi="Symbol"/>
                <w:sz w:val="16"/>
                <w:vertAlign w:val="baseline"/>
              </w:rPr>
              <w:t>•</w:t>
            </w:r>
            <w:r>
              <w:rPr>
                <w:rFonts w:ascii="Symbol" w:hAnsi="Symbol"/>
                <w:spacing w:val="-4"/>
                <w:sz w:val="16"/>
                <w:vertAlign w:val="baseline"/>
              </w:rPr>
              <w:t> </w:t>
            </w:r>
            <w:r>
              <w:rPr>
                <w:sz w:val="16"/>
                <w:vertAlign w:val="baseline"/>
              </w:rPr>
              <w:t>44/12</w:t>
            </w:r>
          </w:p>
        </w:tc>
        <w:tc>
          <w:tcPr>
            <w:tcW w:w="1246" w:type="dxa"/>
            <w:tcBorders>
              <w:top w:val="nil"/>
              <w:bottom w:val="nil"/>
            </w:tcBorders>
            <w:shd w:val="clear" w:color="auto" w:fill="E4E4E4"/>
          </w:tcPr>
          <w:p>
            <w:pPr>
              <w:pStyle w:val="TableParagraph"/>
              <w:rPr>
                <w:sz w:val="16"/>
              </w:rPr>
            </w:pPr>
          </w:p>
        </w:tc>
        <w:tc>
          <w:tcPr>
            <w:tcW w:w="1248" w:type="dxa"/>
            <w:tcBorders>
              <w:top w:val="nil"/>
              <w:bottom w:val="nil"/>
            </w:tcBorders>
            <w:shd w:val="clear" w:color="auto" w:fill="E4E4E4"/>
          </w:tcPr>
          <w:p>
            <w:pPr>
              <w:pStyle w:val="TableParagraph"/>
              <w:rPr>
                <w:sz w:val="16"/>
              </w:rPr>
            </w:pPr>
          </w:p>
        </w:tc>
        <w:tc>
          <w:tcPr>
            <w:tcW w:w="1248" w:type="dxa"/>
            <w:tcBorders>
              <w:top w:val="nil"/>
              <w:bottom w:val="nil"/>
            </w:tcBorders>
            <w:shd w:val="clear" w:color="auto" w:fill="E4E4E4"/>
          </w:tcPr>
          <w:p>
            <w:pPr>
              <w:pStyle w:val="TableParagraph"/>
              <w:spacing w:before="11"/>
              <w:ind w:left="238" w:right="225" w:hanging="12"/>
              <w:rPr>
                <w:sz w:val="16"/>
              </w:rPr>
            </w:pPr>
            <w:r>
              <w:rPr>
                <w:sz w:val="16"/>
              </w:rPr>
              <w:t>F = (D+E) </w:t>
            </w:r>
            <w:r>
              <w:rPr>
                <w:rFonts w:ascii="Symbol" w:hAnsi="Symbol"/>
                <w:sz w:val="16"/>
              </w:rPr>
              <w:t>• </w:t>
            </w:r>
            <w:r>
              <w:rPr>
                <w:sz w:val="16"/>
              </w:rPr>
              <w:t>10</w:t>
            </w:r>
            <w:r>
              <w:rPr>
                <w:sz w:val="16"/>
                <w:vertAlign w:val="superscript"/>
              </w:rPr>
              <w:t>-3</w:t>
            </w:r>
            <w:r>
              <w:rPr>
                <w:sz w:val="16"/>
                <w:vertAlign w:val="baseline"/>
              </w:rPr>
              <w:t> </w:t>
            </w:r>
            <w:r>
              <w:rPr>
                <w:rFonts w:ascii="Symbol" w:hAnsi="Symbol"/>
                <w:sz w:val="16"/>
                <w:vertAlign w:val="baseline"/>
              </w:rPr>
              <w:t>• </w:t>
            </w:r>
            <w:r>
              <w:rPr>
                <w:sz w:val="16"/>
                <w:vertAlign w:val="baseline"/>
              </w:rPr>
              <w:t>44/12</w:t>
            </w:r>
          </w:p>
        </w:tc>
        <w:tc>
          <w:tcPr>
            <w:tcW w:w="1248" w:type="dxa"/>
            <w:tcBorders>
              <w:top w:val="nil"/>
              <w:bottom w:val="nil"/>
            </w:tcBorders>
            <w:shd w:val="clear" w:color="auto" w:fill="E4E4E4"/>
          </w:tcPr>
          <w:p>
            <w:pPr>
              <w:pStyle w:val="TableParagraph"/>
              <w:rPr>
                <w:sz w:val="16"/>
              </w:rPr>
            </w:pPr>
          </w:p>
        </w:tc>
        <w:tc>
          <w:tcPr>
            <w:tcW w:w="1248" w:type="dxa"/>
            <w:tcBorders>
              <w:top w:val="nil"/>
              <w:bottom w:val="nil"/>
            </w:tcBorders>
            <w:shd w:val="clear" w:color="auto" w:fill="E4E4E4"/>
          </w:tcPr>
          <w:p>
            <w:pPr>
              <w:pStyle w:val="TableParagraph"/>
              <w:rPr>
                <w:sz w:val="16"/>
              </w:rPr>
            </w:pPr>
          </w:p>
        </w:tc>
        <w:tc>
          <w:tcPr>
            <w:tcW w:w="1248" w:type="dxa"/>
            <w:tcBorders>
              <w:top w:val="nil"/>
              <w:bottom w:val="nil"/>
            </w:tcBorders>
            <w:shd w:val="clear" w:color="auto" w:fill="E4E4E4"/>
          </w:tcPr>
          <w:p>
            <w:pPr>
              <w:pStyle w:val="TableParagraph"/>
              <w:spacing w:line="197" w:lineRule="exact" w:before="11"/>
              <w:ind w:left="238"/>
              <w:rPr>
                <w:rFonts w:ascii="Symbol" w:hAnsi="Symbol"/>
                <w:sz w:val="16"/>
              </w:rPr>
            </w:pPr>
            <w:r>
              <w:rPr>
                <w:sz w:val="16"/>
              </w:rPr>
              <w:t>I = (G+H)</w:t>
            </w:r>
            <w:r>
              <w:rPr>
                <w:spacing w:val="-5"/>
                <w:sz w:val="16"/>
              </w:rPr>
              <w:t> </w:t>
            </w:r>
            <w:r>
              <w:rPr>
                <w:rFonts w:ascii="Symbol" w:hAnsi="Symbol"/>
                <w:sz w:val="16"/>
              </w:rPr>
              <w:t>•</w:t>
            </w:r>
          </w:p>
          <w:p>
            <w:pPr>
              <w:pStyle w:val="TableParagraph"/>
              <w:ind w:left="238"/>
              <w:rPr>
                <w:sz w:val="16"/>
              </w:rPr>
            </w:pPr>
            <w:r>
              <w:rPr>
                <w:sz w:val="16"/>
              </w:rPr>
              <w:t>10</w:t>
            </w:r>
            <w:r>
              <w:rPr>
                <w:sz w:val="16"/>
                <w:vertAlign w:val="superscript"/>
              </w:rPr>
              <w:t>-3</w:t>
            </w:r>
            <w:r>
              <w:rPr>
                <w:sz w:val="16"/>
                <w:vertAlign w:val="baseline"/>
              </w:rPr>
              <w:t> </w:t>
            </w:r>
            <w:r>
              <w:rPr>
                <w:rFonts w:ascii="Symbol" w:hAnsi="Symbol"/>
                <w:sz w:val="16"/>
                <w:vertAlign w:val="baseline"/>
              </w:rPr>
              <w:t>•</w:t>
            </w:r>
            <w:r>
              <w:rPr>
                <w:rFonts w:ascii="Symbol" w:hAnsi="Symbol"/>
                <w:spacing w:val="-4"/>
                <w:sz w:val="16"/>
                <w:vertAlign w:val="baseline"/>
              </w:rPr>
              <w:t> </w:t>
            </w:r>
            <w:r>
              <w:rPr>
                <w:sz w:val="16"/>
                <w:vertAlign w:val="baseline"/>
              </w:rPr>
              <w:t>44/12</w:t>
            </w:r>
          </w:p>
        </w:tc>
      </w:tr>
      <w:tr>
        <w:trPr>
          <w:trHeight w:val="257" w:hRule="atLeast"/>
        </w:trPr>
        <w:tc>
          <w:tcPr>
            <w:tcW w:w="1009" w:type="dxa"/>
            <w:gridSpan w:val="2"/>
            <w:tcBorders>
              <w:top w:val="nil"/>
            </w:tcBorders>
            <w:shd w:val="clear" w:color="auto" w:fill="E4E4E4"/>
          </w:tcPr>
          <w:p>
            <w:pPr>
              <w:pStyle w:val="TableParagraph"/>
              <w:rPr>
                <w:sz w:val="16"/>
              </w:rPr>
            </w:pPr>
          </w:p>
        </w:tc>
        <w:tc>
          <w:tcPr>
            <w:tcW w:w="1271" w:type="dxa"/>
            <w:tcBorders>
              <w:top w:val="nil"/>
              <w:right w:val="single" w:sz="48" w:space="0" w:color="C0C0C0"/>
            </w:tcBorders>
            <w:shd w:val="clear" w:color="auto" w:fill="E4E4E4"/>
          </w:tcPr>
          <w:p>
            <w:pPr>
              <w:pStyle w:val="TableParagraph"/>
              <w:rPr>
                <w:sz w:val="16"/>
              </w:rPr>
            </w:pPr>
          </w:p>
        </w:tc>
        <w:tc>
          <w:tcPr>
            <w:tcW w:w="893" w:type="dxa"/>
            <w:tcBorders>
              <w:top w:val="nil"/>
              <w:left w:val="single" w:sz="48" w:space="0" w:color="C0C0C0"/>
            </w:tcBorders>
            <w:shd w:val="clear" w:color="auto" w:fill="BFBFBF"/>
          </w:tcPr>
          <w:p>
            <w:pPr>
              <w:pStyle w:val="TableParagraph"/>
              <w:rPr>
                <w:sz w:val="16"/>
              </w:rPr>
            </w:pPr>
          </w:p>
        </w:tc>
        <w:tc>
          <w:tcPr>
            <w:tcW w:w="1251" w:type="dxa"/>
            <w:tcBorders>
              <w:top w:val="nil"/>
            </w:tcBorders>
            <w:shd w:val="clear" w:color="auto" w:fill="E4E4E4"/>
          </w:tcPr>
          <w:p>
            <w:pPr>
              <w:pStyle w:val="TableParagraph"/>
              <w:spacing w:line="168" w:lineRule="exact" w:before="70"/>
              <w:ind w:left="7"/>
              <w:jc w:val="center"/>
              <w:rPr>
                <w:sz w:val="16"/>
              </w:rPr>
            </w:pPr>
            <w:r>
              <w:rPr>
                <w:w w:val="100"/>
                <w:sz w:val="16"/>
              </w:rPr>
              <w:t>A</w:t>
            </w:r>
          </w:p>
        </w:tc>
        <w:tc>
          <w:tcPr>
            <w:tcW w:w="1253" w:type="dxa"/>
            <w:tcBorders>
              <w:top w:val="nil"/>
            </w:tcBorders>
            <w:shd w:val="clear" w:color="auto" w:fill="E4E4E4"/>
          </w:tcPr>
          <w:p>
            <w:pPr>
              <w:pStyle w:val="TableParagraph"/>
              <w:spacing w:line="168" w:lineRule="exact" w:before="70"/>
              <w:jc w:val="center"/>
              <w:rPr>
                <w:sz w:val="16"/>
              </w:rPr>
            </w:pPr>
            <w:r>
              <w:rPr>
                <w:w w:val="100"/>
                <w:sz w:val="16"/>
              </w:rPr>
              <w:t>B</w:t>
            </w:r>
          </w:p>
        </w:tc>
        <w:tc>
          <w:tcPr>
            <w:tcW w:w="1248" w:type="dxa"/>
            <w:tcBorders>
              <w:top w:val="nil"/>
            </w:tcBorders>
            <w:shd w:val="clear" w:color="auto" w:fill="E4E4E4"/>
          </w:tcPr>
          <w:p>
            <w:pPr>
              <w:pStyle w:val="TableParagraph"/>
              <w:spacing w:line="168" w:lineRule="exact" w:before="70"/>
              <w:jc w:val="center"/>
              <w:rPr>
                <w:sz w:val="16"/>
              </w:rPr>
            </w:pPr>
            <w:r>
              <w:rPr>
                <w:w w:val="100"/>
                <w:sz w:val="16"/>
              </w:rPr>
              <w:t>C</w:t>
            </w:r>
          </w:p>
        </w:tc>
        <w:tc>
          <w:tcPr>
            <w:tcW w:w="1246" w:type="dxa"/>
            <w:tcBorders>
              <w:top w:val="nil"/>
            </w:tcBorders>
            <w:shd w:val="clear" w:color="auto" w:fill="E4E4E4"/>
          </w:tcPr>
          <w:p>
            <w:pPr>
              <w:pStyle w:val="TableParagraph"/>
              <w:spacing w:line="168" w:lineRule="exact" w:before="70"/>
              <w:ind w:left="5"/>
              <w:jc w:val="center"/>
              <w:rPr>
                <w:sz w:val="16"/>
              </w:rPr>
            </w:pPr>
            <w:r>
              <w:rPr>
                <w:w w:val="100"/>
                <w:sz w:val="16"/>
              </w:rPr>
              <w:t>D</w:t>
            </w:r>
          </w:p>
        </w:tc>
        <w:tc>
          <w:tcPr>
            <w:tcW w:w="1248" w:type="dxa"/>
            <w:tcBorders>
              <w:top w:val="nil"/>
            </w:tcBorders>
            <w:shd w:val="clear" w:color="auto" w:fill="E4E4E4"/>
          </w:tcPr>
          <w:p>
            <w:pPr>
              <w:pStyle w:val="TableParagraph"/>
              <w:spacing w:line="168" w:lineRule="exact" w:before="70"/>
              <w:jc w:val="center"/>
              <w:rPr>
                <w:sz w:val="16"/>
              </w:rPr>
            </w:pPr>
            <w:r>
              <w:rPr>
                <w:w w:val="100"/>
                <w:sz w:val="16"/>
              </w:rPr>
              <w:t>E</w:t>
            </w:r>
          </w:p>
        </w:tc>
        <w:tc>
          <w:tcPr>
            <w:tcW w:w="1248" w:type="dxa"/>
            <w:tcBorders>
              <w:top w:val="nil"/>
            </w:tcBorders>
            <w:shd w:val="clear" w:color="auto" w:fill="E4E4E4"/>
          </w:tcPr>
          <w:p>
            <w:pPr>
              <w:pStyle w:val="TableParagraph"/>
              <w:spacing w:line="168" w:lineRule="exact" w:before="70"/>
              <w:ind w:left="5"/>
              <w:jc w:val="center"/>
              <w:rPr>
                <w:sz w:val="16"/>
              </w:rPr>
            </w:pPr>
            <w:r>
              <w:rPr>
                <w:w w:val="100"/>
                <w:sz w:val="16"/>
              </w:rPr>
              <w:t>F</w:t>
            </w:r>
          </w:p>
        </w:tc>
        <w:tc>
          <w:tcPr>
            <w:tcW w:w="1248" w:type="dxa"/>
            <w:tcBorders>
              <w:top w:val="nil"/>
            </w:tcBorders>
            <w:shd w:val="clear" w:color="auto" w:fill="E4E4E4"/>
          </w:tcPr>
          <w:p>
            <w:pPr>
              <w:pStyle w:val="TableParagraph"/>
              <w:spacing w:line="168" w:lineRule="exact" w:before="70"/>
              <w:ind w:left="2"/>
              <w:jc w:val="center"/>
              <w:rPr>
                <w:sz w:val="16"/>
              </w:rPr>
            </w:pPr>
            <w:r>
              <w:rPr>
                <w:w w:val="100"/>
                <w:sz w:val="16"/>
              </w:rPr>
              <w:t>G</w:t>
            </w:r>
          </w:p>
        </w:tc>
        <w:tc>
          <w:tcPr>
            <w:tcW w:w="1248" w:type="dxa"/>
            <w:tcBorders>
              <w:top w:val="nil"/>
            </w:tcBorders>
            <w:shd w:val="clear" w:color="auto" w:fill="E4E4E4"/>
          </w:tcPr>
          <w:p>
            <w:pPr>
              <w:pStyle w:val="TableParagraph"/>
              <w:spacing w:line="168" w:lineRule="exact" w:before="70"/>
              <w:ind w:left="2"/>
              <w:jc w:val="center"/>
              <w:rPr>
                <w:sz w:val="16"/>
              </w:rPr>
            </w:pPr>
            <w:r>
              <w:rPr>
                <w:w w:val="100"/>
                <w:sz w:val="16"/>
              </w:rPr>
              <w:t>H</w:t>
            </w:r>
          </w:p>
        </w:tc>
        <w:tc>
          <w:tcPr>
            <w:tcW w:w="1248" w:type="dxa"/>
            <w:tcBorders>
              <w:top w:val="nil"/>
            </w:tcBorders>
            <w:shd w:val="clear" w:color="auto" w:fill="E4E4E4"/>
          </w:tcPr>
          <w:p>
            <w:pPr>
              <w:pStyle w:val="TableParagraph"/>
              <w:spacing w:line="168" w:lineRule="exact" w:before="70"/>
              <w:ind w:left="2"/>
              <w:jc w:val="center"/>
              <w:rPr>
                <w:sz w:val="16"/>
              </w:rPr>
            </w:pPr>
            <w:r>
              <w:rPr>
                <w:w w:val="100"/>
                <w:sz w:val="16"/>
              </w:rPr>
              <w:t>I</w:t>
            </w:r>
          </w:p>
        </w:tc>
      </w:tr>
      <w:tr>
        <w:trPr>
          <w:trHeight w:val="184" w:hRule="atLeast"/>
        </w:trPr>
        <w:tc>
          <w:tcPr>
            <w:tcW w:w="1009" w:type="dxa"/>
            <w:gridSpan w:val="2"/>
          </w:tcPr>
          <w:p>
            <w:pPr>
              <w:pStyle w:val="TableParagraph"/>
              <w:spacing w:line="164" w:lineRule="exact"/>
              <w:ind w:left="107"/>
              <w:rPr>
                <w:sz w:val="16"/>
              </w:rPr>
            </w:pPr>
            <w:r>
              <w:rPr>
                <w:sz w:val="16"/>
              </w:rPr>
              <w:t>Settlements</w:t>
            </w:r>
          </w:p>
        </w:tc>
        <w:tc>
          <w:tcPr>
            <w:tcW w:w="1271" w:type="dxa"/>
          </w:tcPr>
          <w:p>
            <w:pPr>
              <w:pStyle w:val="TableParagraph"/>
              <w:spacing w:line="164" w:lineRule="exact"/>
              <w:ind w:left="107"/>
              <w:rPr>
                <w:sz w:val="16"/>
              </w:rPr>
            </w:pPr>
            <w:r>
              <w:rPr>
                <w:sz w:val="16"/>
              </w:rPr>
              <w:t>Settlements</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Forest Land</w:t>
            </w:r>
          </w:p>
        </w:tc>
        <w:tc>
          <w:tcPr>
            <w:tcW w:w="1271" w:type="dxa"/>
          </w:tcPr>
          <w:p>
            <w:pPr>
              <w:pStyle w:val="TableParagraph"/>
              <w:spacing w:line="164" w:lineRule="exact"/>
              <w:ind w:left="106"/>
              <w:rPr>
                <w:sz w:val="16"/>
              </w:rPr>
            </w:pPr>
            <w:r>
              <w:rPr>
                <w:sz w:val="16"/>
              </w:rPr>
              <w:t>Settlements</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1" w:hRule="atLeast"/>
        </w:trPr>
        <w:tc>
          <w:tcPr>
            <w:tcW w:w="1009" w:type="dxa"/>
            <w:gridSpan w:val="2"/>
          </w:tcPr>
          <w:p>
            <w:pPr>
              <w:pStyle w:val="TableParagraph"/>
              <w:spacing w:line="162" w:lineRule="exact"/>
              <w:ind w:left="107"/>
              <w:rPr>
                <w:sz w:val="16"/>
              </w:rPr>
            </w:pPr>
            <w:r>
              <w:rPr>
                <w:sz w:val="16"/>
              </w:rPr>
              <w:t>Cropland</w:t>
            </w:r>
          </w:p>
        </w:tc>
        <w:tc>
          <w:tcPr>
            <w:tcW w:w="1271" w:type="dxa"/>
          </w:tcPr>
          <w:p>
            <w:pPr>
              <w:pStyle w:val="TableParagraph"/>
              <w:spacing w:line="162" w:lineRule="exact"/>
              <w:ind w:left="106"/>
              <w:rPr>
                <w:sz w:val="16"/>
              </w:rPr>
            </w:pPr>
            <w:r>
              <w:rPr>
                <w:sz w:val="16"/>
              </w:rPr>
              <w:t>Settlements</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Grassland</w:t>
            </w:r>
          </w:p>
        </w:tc>
        <w:tc>
          <w:tcPr>
            <w:tcW w:w="1271" w:type="dxa"/>
          </w:tcPr>
          <w:p>
            <w:pPr>
              <w:pStyle w:val="TableParagraph"/>
              <w:spacing w:line="164" w:lineRule="exact"/>
              <w:ind w:left="107"/>
              <w:rPr>
                <w:sz w:val="16"/>
              </w:rPr>
            </w:pPr>
            <w:r>
              <w:rPr>
                <w:sz w:val="16"/>
              </w:rPr>
              <w:t>Settlements</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Wetlands</w:t>
            </w:r>
          </w:p>
        </w:tc>
        <w:tc>
          <w:tcPr>
            <w:tcW w:w="1271" w:type="dxa"/>
          </w:tcPr>
          <w:p>
            <w:pPr>
              <w:pStyle w:val="TableParagraph"/>
              <w:spacing w:line="164" w:lineRule="exact"/>
              <w:ind w:left="107"/>
              <w:rPr>
                <w:sz w:val="16"/>
              </w:rPr>
            </w:pPr>
            <w:r>
              <w:rPr>
                <w:sz w:val="16"/>
              </w:rPr>
              <w:t>Settlements</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Other Land</w:t>
            </w:r>
          </w:p>
        </w:tc>
        <w:tc>
          <w:tcPr>
            <w:tcW w:w="1271" w:type="dxa"/>
          </w:tcPr>
          <w:p>
            <w:pPr>
              <w:pStyle w:val="TableParagraph"/>
              <w:spacing w:line="164" w:lineRule="exact"/>
              <w:ind w:left="106"/>
              <w:rPr>
                <w:sz w:val="16"/>
              </w:rPr>
            </w:pPr>
            <w:r>
              <w:rPr>
                <w:sz w:val="16"/>
              </w:rPr>
              <w:t>Settlements</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2" w:hRule="atLeast"/>
        </w:trPr>
        <w:tc>
          <w:tcPr>
            <w:tcW w:w="1009" w:type="dxa"/>
            <w:gridSpan w:val="2"/>
            <w:shd w:val="clear" w:color="auto" w:fill="BFBFBF"/>
          </w:tcPr>
          <w:p>
            <w:pPr>
              <w:pStyle w:val="TableParagraph"/>
              <w:rPr>
                <w:sz w:val="12"/>
              </w:rPr>
            </w:pPr>
          </w:p>
        </w:tc>
        <w:tc>
          <w:tcPr>
            <w:tcW w:w="2164" w:type="dxa"/>
            <w:gridSpan w:val="2"/>
          </w:tcPr>
          <w:p>
            <w:pPr>
              <w:pStyle w:val="TableParagraph"/>
              <w:spacing w:line="162" w:lineRule="exact"/>
              <w:ind w:left="106"/>
              <w:rPr>
                <w:b/>
                <w:sz w:val="16"/>
              </w:rPr>
            </w:pPr>
            <w:r>
              <w:rPr>
                <w:b/>
                <w:sz w:val="16"/>
              </w:rPr>
              <w:t>Sub-total for Settlements</w:t>
            </w: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Other Land</w:t>
            </w:r>
          </w:p>
        </w:tc>
        <w:tc>
          <w:tcPr>
            <w:tcW w:w="1271" w:type="dxa"/>
          </w:tcPr>
          <w:p>
            <w:pPr>
              <w:pStyle w:val="TableParagraph"/>
              <w:spacing w:line="164" w:lineRule="exact"/>
              <w:ind w:left="106"/>
              <w:rPr>
                <w:sz w:val="16"/>
              </w:rPr>
            </w:pPr>
            <w:r>
              <w:rPr>
                <w:sz w:val="16"/>
              </w:rPr>
              <w:t>Other Land</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Forest Land</w:t>
            </w:r>
          </w:p>
        </w:tc>
        <w:tc>
          <w:tcPr>
            <w:tcW w:w="1271" w:type="dxa"/>
          </w:tcPr>
          <w:p>
            <w:pPr>
              <w:pStyle w:val="TableParagraph"/>
              <w:spacing w:line="164" w:lineRule="exact"/>
              <w:ind w:left="106"/>
              <w:rPr>
                <w:sz w:val="16"/>
              </w:rPr>
            </w:pPr>
            <w:r>
              <w:rPr>
                <w:sz w:val="16"/>
              </w:rPr>
              <w:t>Other Land</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Cropland</w:t>
            </w:r>
          </w:p>
        </w:tc>
        <w:tc>
          <w:tcPr>
            <w:tcW w:w="1271" w:type="dxa"/>
          </w:tcPr>
          <w:p>
            <w:pPr>
              <w:pStyle w:val="TableParagraph"/>
              <w:spacing w:line="164" w:lineRule="exact"/>
              <w:ind w:left="107"/>
              <w:rPr>
                <w:sz w:val="16"/>
              </w:rPr>
            </w:pPr>
            <w:r>
              <w:rPr>
                <w:sz w:val="16"/>
              </w:rPr>
              <w:t>Other Land</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Grassland</w:t>
            </w:r>
          </w:p>
        </w:tc>
        <w:tc>
          <w:tcPr>
            <w:tcW w:w="1271" w:type="dxa"/>
          </w:tcPr>
          <w:p>
            <w:pPr>
              <w:pStyle w:val="TableParagraph"/>
              <w:spacing w:line="164" w:lineRule="exact"/>
              <w:ind w:left="107"/>
              <w:rPr>
                <w:sz w:val="16"/>
              </w:rPr>
            </w:pPr>
            <w:r>
              <w:rPr>
                <w:sz w:val="16"/>
              </w:rPr>
              <w:t>Other Land</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1" w:hRule="atLeast"/>
        </w:trPr>
        <w:tc>
          <w:tcPr>
            <w:tcW w:w="1009" w:type="dxa"/>
            <w:gridSpan w:val="2"/>
          </w:tcPr>
          <w:p>
            <w:pPr>
              <w:pStyle w:val="TableParagraph"/>
              <w:spacing w:line="162" w:lineRule="exact"/>
              <w:ind w:left="107"/>
              <w:rPr>
                <w:sz w:val="16"/>
              </w:rPr>
            </w:pPr>
            <w:r>
              <w:rPr>
                <w:sz w:val="16"/>
              </w:rPr>
              <w:t>Wetlands</w:t>
            </w:r>
          </w:p>
        </w:tc>
        <w:tc>
          <w:tcPr>
            <w:tcW w:w="1271" w:type="dxa"/>
          </w:tcPr>
          <w:p>
            <w:pPr>
              <w:pStyle w:val="TableParagraph"/>
              <w:spacing w:line="162" w:lineRule="exact"/>
              <w:ind w:left="107"/>
              <w:rPr>
                <w:sz w:val="16"/>
              </w:rPr>
            </w:pPr>
            <w:r>
              <w:rPr>
                <w:sz w:val="16"/>
              </w:rPr>
              <w:t>Other Land</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tcPr>
          <w:p>
            <w:pPr>
              <w:pStyle w:val="TableParagraph"/>
              <w:spacing w:line="164" w:lineRule="exact"/>
              <w:ind w:left="107"/>
              <w:rPr>
                <w:sz w:val="16"/>
              </w:rPr>
            </w:pPr>
            <w:r>
              <w:rPr>
                <w:sz w:val="16"/>
              </w:rPr>
              <w:t>Settlements</w:t>
            </w:r>
          </w:p>
        </w:tc>
        <w:tc>
          <w:tcPr>
            <w:tcW w:w="1271" w:type="dxa"/>
          </w:tcPr>
          <w:p>
            <w:pPr>
              <w:pStyle w:val="TableParagraph"/>
              <w:spacing w:line="164" w:lineRule="exact"/>
              <w:ind w:left="107"/>
              <w:rPr>
                <w:sz w:val="16"/>
              </w:rPr>
            </w:pPr>
            <w:r>
              <w:rPr>
                <w:sz w:val="16"/>
              </w:rPr>
              <w:t>Other Land</w:t>
            </w: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1009" w:type="dxa"/>
            <w:gridSpan w:val="2"/>
            <w:shd w:val="clear" w:color="auto" w:fill="BFBFBF"/>
          </w:tcPr>
          <w:p>
            <w:pPr>
              <w:pStyle w:val="TableParagraph"/>
              <w:rPr>
                <w:sz w:val="12"/>
              </w:rPr>
            </w:pPr>
          </w:p>
        </w:tc>
        <w:tc>
          <w:tcPr>
            <w:tcW w:w="2164" w:type="dxa"/>
            <w:gridSpan w:val="2"/>
          </w:tcPr>
          <w:p>
            <w:pPr>
              <w:pStyle w:val="TableParagraph"/>
              <w:spacing w:line="164" w:lineRule="exact"/>
              <w:ind w:left="106"/>
              <w:rPr>
                <w:b/>
                <w:sz w:val="16"/>
              </w:rPr>
            </w:pPr>
            <w:r>
              <w:rPr>
                <w:b/>
                <w:sz w:val="16"/>
              </w:rPr>
              <w:t>Sub-total for Other Land</w:t>
            </w: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390" w:hRule="atLeast"/>
        </w:trPr>
        <w:tc>
          <w:tcPr>
            <w:tcW w:w="1009" w:type="dxa"/>
            <w:gridSpan w:val="2"/>
          </w:tcPr>
          <w:p>
            <w:pPr>
              <w:pStyle w:val="TableParagraph"/>
              <w:spacing w:line="178" w:lineRule="exact"/>
              <w:ind w:left="107"/>
              <w:rPr>
                <w:sz w:val="16"/>
              </w:rPr>
            </w:pPr>
            <w:r>
              <w:rPr>
                <w:sz w:val="16"/>
              </w:rPr>
              <w:t>Other (pls.</w:t>
            </w:r>
          </w:p>
          <w:p>
            <w:pPr>
              <w:pStyle w:val="TableParagraph"/>
              <w:spacing w:line="175" w:lineRule="exact" w:before="17"/>
              <w:ind w:left="107"/>
              <w:rPr>
                <w:sz w:val="16"/>
              </w:rPr>
            </w:pPr>
            <w:r>
              <w:rPr>
                <w:sz w:val="16"/>
              </w:rPr>
              <w:t>specify) </w:t>
            </w:r>
            <w:r>
              <w:rPr>
                <w:sz w:val="16"/>
                <w:vertAlign w:val="superscript"/>
              </w:rPr>
              <w:t>2</w:t>
            </w:r>
          </w:p>
        </w:tc>
        <w:tc>
          <w:tcPr>
            <w:tcW w:w="1271" w:type="dxa"/>
          </w:tcPr>
          <w:p>
            <w:pPr>
              <w:pStyle w:val="TableParagraph"/>
              <w:rPr>
                <w:sz w:val="16"/>
              </w:rPr>
            </w:pPr>
          </w:p>
        </w:tc>
        <w:tc>
          <w:tcPr>
            <w:tcW w:w="893" w:type="dxa"/>
          </w:tcPr>
          <w:p>
            <w:pPr>
              <w:pStyle w:val="TableParagraph"/>
              <w:rPr>
                <w:sz w:val="16"/>
              </w:rPr>
            </w:pPr>
          </w:p>
        </w:tc>
        <w:tc>
          <w:tcPr>
            <w:tcW w:w="1251" w:type="dxa"/>
          </w:tcPr>
          <w:p>
            <w:pPr>
              <w:pStyle w:val="TableParagraph"/>
              <w:rPr>
                <w:sz w:val="16"/>
              </w:rPr>
            </w:pPr>
          </w:p>
        </w:tc>
        <w:tc>
          <w:tcPr>
            <w:tcW w:w="1253" w:type="dxa"/>
          </w:tcPr>
          <w:p>
            <w:pPr>
              <w:pStyle w:val="TableParagraph"/>
              <w:rPr>
                <w:sz w:val="16"/>
              </w:rPr>
            </w:pPr>
          </w:p>
        </w:tc>
        <w:tc>
          <w:tcPr>
            <w:tcW w:w="1248" w:type="dxa"/>
          </w:tcPr>
          <w:p>
            <w:pPr>
              <w:pStyle w:val="TableParagraph"/>
              <w:rPr>
                <w:sz w:val="16"/>
              </w:rPr>
            </w:pPr>
          </w:p>
        </w:tc>
        <w:tc>
          <w:tcPr>
            <w:tcW w:w="1246" w:type="dxa"/>
          </w:tcPr>
          <w:p>
            <w:pPr>
              <w:pStyle w:val="TableParagraph"/>
              <w:rPr>
                <w:sz w:val="16"/>
              </w:rPr>
            </w:pPr>
          </w:p>
        </w:tc>
        <w:tc>
          <w:tcPr>
            <w:tcW w:w="1248" w:type="dxa"/>
          </w:tcPr>
          <w:p>
            <w:pPr>
              <w:pStyle w:val="TableParagraph"/>
              <w:rPr>
                <w:sz w:val="16"/>
              </w:rPr>
            </w:pPr>
          </w:p>
        </w:tc>
        <w:tc>
          <w:tcPr>
            <w:tcW w:w="1248" w:type="dxa"/>
          </w:tcPr>
          <w:p>
            <w:pPr>
              <w:pStyle w:val="TableParagraph"/>
              <w:rPr>
                <w:sz w:val="16"/>
              </w:rPr>
            </w:pPr>
          </w:p>
        </w:tc>
        <w:tc>
          <w:tcPr>
            <w:tcW w:w="1248" w:type="dxa"/>
          </w:tcPr>
          <w:p>
            <w:pPr>
              <w:pStyle w:val="TableParagraph"/>
              <w:rPr>
                <w:sz w:val="16"/>
              </w:rPr>
            </w:pPr>
          </w:p>
        </w:tc>
        <w:tc>
          <w:tcPr>
            <w:tcW w:w="1248" w:type="dxa"/>
          </w:tcPr>
          <w:p>
            <w:pPr>
              <w:pStyle w:val="TableParagraph"/>
              <w:rPr>
                <w:sz w:val="16"/>
              </w:rPr>
            </w:pPr>
          </w:p>
        </w:tc>
        <w:tc>
          <w:tcPr>
            <w:tcW w:w="1248" w:type="dxa"/>
          </w:tcPr>
          <w:p>
            <w:pPr>
              <w:pStyle w:val="TableParagraph"/>
              <w:rPr>
                <w:sz w:val="16"/>
              </w:rPr>
            </w:pPr>
          </w:p>
        </w:tc>
      </w:tr>
      <w:tr>
        <w:trPr>
          <w:trHeight w:val="184" w:hRule="atLeast"/>
        </w:trPr>
        <w:tc>
          <w:tcPr>
            <w:tcW w:w="1009" w:type="dxa"/>
            <w:gridSpan w:val="2"/>
          </w:tcPr>
          <w:p>
            <w:pPr>
              <w:pStyle w:val="TableParagraph"/>
              <w:rPr>
                <w:sz w:val="12"/>
              </w:rPr>
            </w:pPr>
          </w:p>
        </w:tc>
        <w:tc>
          <w:tcPr>
            <w:tcW w:w="1271" w:type="dxa"/>
          </w:tcPr>
          <w:p>
            <w:pPr>
              <w:pStyle w:val="TableParagraph"/>
              <w:rPr>
                <w:sz w:val="12"/>
              </w:rPr>
            </w:pPr>
          </w:p>
        </w:tc>
        <w:tc>
          <w:tcPr>
            <w:tcW w:w="893" w:type="dxa"/>
          </w:tcPr>
          <w:p>
            <w:pPr>
              <w:pStyle w:val="TableParagraph"/>
              <w:rPr>
                <w:sz w:val="12"/>
              </w:rPr>
            </w:pP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1" w:hRule="atLeast"/>
        </w:trPr>
        <w:tc>
          <w:tcPr>
            <w:tcW w:w="1009" w:type="dxa"/>
            <w:gridSpan w:val="2"/>
            <w:shd w:val="clear" w:color="auto" w:fill="BFBFBF"/>
          </w:tcPr>
          <w:p>
            <w:pPr>
              <w:pStyle w:val="TableParagraph"/>
              <w:rPr>
                <w:sz w:val="12"/>
              </w:rPr>
            </w:pPr>
          </w:p>
        </w:tc>
        <w:tc>
          <w:tcPr>
            <w:tcW w:w="2164" w:type="dxa"/>
            <w:gridSpan w:val="2"/>
          </w:tcPr>
          <w:p>
            <w:pPr>
              <w:pStyle w:val="TableParagraph"/>
              <w:spacing w:line="162" w:lineRule="exact"/>
              <w:ind w:left="106"/>
              <w:rPr>
                <w:b/>
                <w:sz w:val="16"/>
              </w:rPr>
            </w:pPr>
            <w:r>
              <w:rPr>
                <w:b/>
                <w:sz w:val="16"/>
              </w:rPr>
              <w:t>Sub-total for Other</w:t>
            </w: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84" w:hRule="atLeast"/>
        </w:trPr>
        <w:tc>
          <w:tcPr>
            <w:tcW w:w="3173" w:type="dxa"/>
            <w:gridSpan w:val="4"/>
            <w:shd w:val="clear" w:color="auto" w:fill="BFBFBF"/>
          </w:tcPr>
          <w:p>
            <w:pPr>
              <w:pStyle w:val="TableParagraph"/>
              <w:spacing w:line="164" w:lineRule="exact"/>
              <w:ind w:left="1382" w:right="1376"/>
              <w:jc w:val="center"/>
              <w:rPr>
                <w:b/>
                <w:sz w:val="16"/>
              </w:rPr>
            </w:pPr>
            <w:r>
              <w:rPr>
                <w:b/>
                <w:sz w:val="16"/>
              </w:rPr>
              <w:t>Total</w:t>
            </w:r>
          </w:p>
        </w:tc>
        <w:tc>
          <w:tcPr>
            <w:tcW w:w="1251" w:type="dxa"/>
          </w:tcPr>
          <w:p>
            <w:pPr>
              <w:pStyle w:val="TableParagraph"/>
              <w:rPr>
                <w:sz w:val="12"/>
              </w:rPr>
            </w:pPr>
          </w:p>
        </w:tc>
        <w:tc>
          <w:tcPr>
            <w:tcW w:w="1253" w:type="dxa"/>
          </w:tcPr>
          <w:p>
            <w:pPr>
              <w:pStyle w:val="TableParagraph"/>
              <w:rPr>
                <w:sz w:val="12"/>
              </w:rPr>
            </w:pPr>
          </w:p>
        </w:tc>
        <w:tc>
          <w:tcPr>
            <w:tcW w:w="1248" w:type="dxa"/>
          </w:tcPr>
          <w:p>
            <w:pPr>
              <w:pStyle w:val="TableParagraph"/>
              <w:rPr>
                <w:sz w:val="12"/>
              </w:rPr>
            </w:pPr>
          </w:p>
        </w:tc>
        <w:tc>
          <w:tcPr>
            <w:tcW w:w="1246"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c>
          <w:tcPr>
            <w:tcW w:w="1248" w:type="dxa"/>
          </w:tcPr>
          <w:p>
            <w:pPr>
              <w:pStyle w:val="TableParagraph"/>
              <w:rPr>
                <w:sz w:val="12"/>
              </w:rPr>
            </w:pPr>
          </w:p>
        </w:tc>
      </w:tr>
      <w:tr>
        <w:trPr>
          <w:trHeight w:val="1319" w:hRule="atLeast"/>
        </w:trPr>
        <w:tc>
          <w:tcPr>
            <w:tcW w:w="14411" w:type="dxa"/>
            <w:gridSpan w:val="13"/>
          </w:tcPr>
          <w:p>
            <w:pPr>
              <w:pStyle w:val="TableParagraph"/>
              <w:spacing w:before="21"/>
              <w:ind w:left="107"/>
              <w:rPr>
                <w:sz w:val="16"/>
              </w:rPr>
            </w:pPr>
            <w:r>
              <w:rPr>
                <w:position w:val="7"/>
                <w:sz w:val="10"/>
              </w:rPr>
              <w:t>1 </w:t>
            </w:r>
            <w:r>
              <w:rPr>
                <w:sz w:val="16"/>
              </w:rPr>
              <w:t>The sign convention for net carbon changes in columns C, F, and I are: net gain (+) and net loss (-).</w:t>
            </w:r>
          </w:p>
          <w:p>
            <w:pPr>
              <w:pStyle w:val="TableParagraph"/>
              <w:spacing w:before="85"/>
              <w:ind w:left="107"/>
              <w:rPr>
                <w:sz w:val="16"/>
              </w:rPr>
            </w:pPr>
            <w:r>
              <w:rPr>
                <w:position w:val="7"/>
                <w:sz w:val="10"/>
              </w:rPr>
              <w:t>2 </w:t>
            </w:r>
            <w:r>
              <w:rPr>
                <w:sz w:val="16"/>
              </w:rPr>
              <w:t>May include other non-specified sources or sinks such as HWP, etc.</w:t>
            </w:r>
          </w:p>
          <w:p>
            <w:pPr>
              <w:pStyle w:val="TableParagraph"/>
              <w:spacing w:before="88"/>
              <w:ind w:left="107"/>
              <w:rPr>
                <w:sz w:val="16"/>
              </w:rPr>
            </w:pPr>
            <w:r>
              <w:rPr>
                <w:position w:val="7"/>
                <w:sz w:val="10"/>
              </w:rPr>
              <w:t>3 </w:t>
            </w:r>
            <w:r>
              <w:rPr>
                <w:sz w:val="16"/>
              </w:rPr>
              <w:t>An additional column can be added to include the change in carbon stock in soils due to liming.</w:t>
            </w:r>
          </w:p>
          <w:p>
            <w:pPr>
              <w:pStyle w:val="TableParagraph"/>
              <w:spacing w:before="85"/>
              <w:ind w:left="182" w:right="113" w:hanging="75"/>
              <w:rPr>
                <w:sz w:val="16"/>
              </w:rPr>
            </w:pPr>
            <w:r>
              <w:rPr>
                <w:position w:val="7"/>
                <w:sz w:val="10"/>
              </w:rPr>
              <w:t>4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footerReference w:type="default" r:id="rId219"/>
          <w:footerReference w:type="even" r:id="rId220"/>
          <w:pgSz w:w="16840" w:h="11900" w:orient="landscape"/>
          <w:pgMar w:footer="439" w:header="458" w:top="1200" w:bottom="620" w:left="1200" w:right="460"/>
          <w:pgNumType w:start="193"/>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020"/>
        <w:gridCol w:w="958"/>
        <w:gridCol w:w="934"/>
        <w:gridCol w:w="934"/>
        <w:gridCol w:w="934"/>
        <w:gridCol w:w="934"/>
        <w:gridCol w:w="934"/>
        <w:gridCol w:w="934"/>
        <w:gridCol w:w="934"/>
        <w:gridCol w:w="934"/>
        <w:gridCol w:w="934"/>
        <w:gridCol w:w="934"/>
        <w:gridCol w:w="934"/>
        <w:gridCol w:w="936"/>
      </w:tblGrid>
      <w:tr>
        <w:trPr>
          <w:trHeight w:val="680" w:hRule="atLeast"/>
        </w:trPr>
        <w:tc>
          <w:tcPr>
            <w:tcW w:w="14448" w:type="dxa"/>
            <w:gridSpan w:val="15"/>
            <w:tcBorders>
              <w:bottom w:val="double" w:sz="1" w:space="0" w:color="000000"/>
            </w:tcBorders>
          </w:tcPr>
          <w:p>
            <w:pPr>
              <w:pStyle w:val="TableParagraph"/>
              <w:spacing w:before="88"/>
              <w:ind w:left="4671" w:right="4671"/>
              <w:jc w:val="center"/>
              <w:rPr>
                <w:b/>
                <w:sz w:val="18"/>
              </w:rPr>
            </w:pPr>
            <w:r>
              <w:rPr>
                <w:b/>
                <w:sz w:val="18"/>
              </w:rPr>
              <w:t>T</w:t>
            </w:r>
            <w:r>
              <w:rPr>
                <w:b/>
                <w:sz w:val="14"/>
              </w:rPr>
              <w:t>ABLE </w:t>
            </w:r>
            <w:r>
              <w:rPr>
                <w:b/>
                <w:sz w:val="18"/>
              </w:rPr>
              <w:t>3A.2.2B</w:t>
            </w:r>
          </w:p>
          <w:p>
            <w:pPr>
              <w:pStyle w:val="TableParagraph"/>
              <w:spacing w:before="96"/>
              <w:ind w:left="4675" w:right="4671"/>
              <w:jc w:val="center"/>
              <w:rPr>
                <w:b/>
                <w:sz w:val="12"/>
              </w:rPr>
            </w:pPr>
            <w:r>
              <w:rPr>
                <w:b/>
                <w:sz w:val="18"/>
              </w:rPr>
              <w:t>C</w:t>
            </w:r>
            <w:r>
              <w:rPr>
                <w:b/>
                <w:sz w:val="14"/>
              </w:rPr>
              <w:t>OMPILATION </w:t>
            </w:r>
            <w:r>
              <w:rPr>
                <w:b/>
                <w:sz w:val="18"/>
              </w:rPr>
              <w:t>W</w:t>
            </w:r>
            <w:r>
              <w:rPr>
                <w:b/>
                <w:sz w:val="14"/>
              </w:rPr>
              <w:t>ORKSHEETS FOR </w:t>
            </w:r>
            <w:r>
              <w:rPr>
                <w:b/>
                <w:sz w:val="18"/>
              </w:rPr>
              <w:t>R</w:t>
            </w:r>
            <w:r>
              <w:rPr>
                <w:b/>
                <w:sz w:val="14"/>
              </w:rPr>
              <w:t>EPORTING NON</w:t>
            </w:r>
            <w:r>
              <w:rPr>
                <w:b/>
                <w:sz w:val="18"/>
              </w:rPr>
              <w:t>-CO</w:t>
            </w:r>
            <w:r>
              <w:rPr>
                <w:b/>
                <w:position w:val="-2"/>
                <w:sz w:val="12"/>
              </w:rPr>
              <w:t>2 </w:t>
            </w:r>
            <w:r>
              <w:rPr>
                <w:b/>
                <w:sz w:val="18"/>
              </w:rPr>
              <w:t>E</w:t>
            </w:r>
            <w:r>
              <w:rPr>
                <w:b/>
                <w:sz w:val="14"/>
              </w:rPr>
              <w:t>MISSIONS </w:t>
            </w:r>
            <w:r>
              <w:rPr>
                <w:b/>
                <w:position w:val="8"/>
                <w:sz w:val="12"/>
              </w:rPr>
              <w:t>1</w:t>
            </w:r>
          </w:p>
        </w:tc>
      </w:tr>
      <w:tr>
        <w:trPr>
          <w:trHeight w:val="368" w:hRule="atLeast"/>
        </w:trPr>
        <w:tc>
          <w:tcPr>
            <w:tcW w:w="2280" w:type="dxa"/>
            <w:gridSpan w:val="2"/>
            <w:tcBorders>
              <w:top w:val="double" w:sz="1" w:space="0" w:color="000000"/>
            </w:tcBorders>
            <w:shd w:val="clear" w:color="auto" w:fill="BFBFBF"/>
          </w:tcPr>
          <w:p>
            <w:pPr>
              <w:pStyle w:val="TableParagraph"/>
              <w:spacing w:line="184" w:lineRule="exact" w:before="1"/>
              <w:ind w:left="818" w:right="807"/>
              <w:jc w:val="center"/>
              <w:rPr>
                <w:b/>
                <w:sz w:val="16"/>
              </w:rPr>
            </w:pPr>
            <w:r>
              <w:rPr>
                <w:b/>
                <w:sz w:val="16"/>
              </w:rPr>
              <w:t>Land-use Category</w:t>
            </w:r>
          </w:p>
        </w:tc>
        <w:tc>
          <w:tcPr>
            <w:tcW w:w="958" w:type="dxa"/>
            <w:tcBorders>
              <w:top w:val="double" w:sz="1" w:space="0" w:color="000000"/>
              <w:bottom w:val="nil"/>
            </w:tcBorders>
            <w:shd w:val="clear" w:color="auto" w:fill="BFBFBF"/>
          </w:tcPr>
          <w:p>
            <w:pPr>
              <w:pStyle w:val="TableParagraph"/>
              <w:spacing w:line="184" w:lineRule="exact" w:before="1"/>
              <w:ind w:left="306" w:right="269" w:hanging="12"/>
              <w:rPr>
                <w:b/>
                <w:sz w:val="16"/>
              </w:rPr>
            </w:pPr>
            <w:r>
              <w:rPr>
                <w:b/>
                <w:sz w:val="16"/>
              </w:rPr>
              <w:t>Land Area</w:t>
            </w:r>
          </w:p>
        </w:tc>
        <w:tc>
          <w:tcPr>
            <w:tcW w:w="2802" w:type="dxa"/>
            <w:gridSpan w:val="3"/>
            <w:tcBorders>
              <w:top w:val="double" w:sz="1" w:space="0" w:color="000000"/>
            </w:tcBorders>
            <w:shd w:val="clear" w:color="auto" w:fill="BFBFBF"/>
          </w:tcPr>
          <w:p>
            <w:pPr>
              <w:pStyle w:val="TableParagraph"/>
              <w:spacing w:line="166" w:lineRule="exact" w:before="34"/>
              <w:ind w:left="1242" w:right="1234" w:firstLine="1"/>
              <w:jc w:val="center"/>
              <w:rPr>
                <w:b/>
                <w:sz w:val="16"/>
              </w:rPr>
            </w:pPr>
            <w:r>
              <w:rPr>
                <w:b/>
                <w:position w:val="2"/>
                <w:sz w:val="16"/>
              </w:rPr>
              <w:t>CH</w:t>
            </w:r>
            <w:r>
              <w:rPr>
                <w:b/>
                <w:sz w:val="10"/>
              </w:rPr>
              <w:t>4 </w:t>
            </w:r>
            <w:r>
              <w:rPr>
                <w:b/>
                <w:sz w:val="16"/>
              </w:rPr>
              <w:t>(Gg)</w:t>
            </w:r>
          </w:p>
        </w:tc>
        <w:tc>
          <w:tcPr>
            <w:tcW w:w="2802" w:type="dxa"/>
            <w:gridSpan w:val="3"/>
            <w:tcBorders>
              <w:top w:val="double" w:sz="1" w:space="0" w:color="000000"/>
            </w:tcBorders>
            <w:shd w:val="clear" w:color="auto" w:fill="BFBFBF"/>
          </w:tcPr>
          <w:p>
            <w:pPr>
              <w:pStyle w:val="TableParagraph"/>
              <w:spacing w:line="166" w:lineRule="exact" w:before="34"/>
              <w:ind w:left="1241" w:right="1235" w:firstLine="1"/>
              <w:jc w:val="center"/>
              <w:rPr>
                <w:b/>
                <w:sz w:val="16"/>
              </w:rPr>
            </w:pPr>
            <w:r>
              <w:rPr>
                <w:b/>
                <w:position w:val="2"/>
                <w:sz w:val="16"/>
              </w:rPr>
              <w:t>N</w:t>
            </w:r>
            <w:r>
              <w:rPr>
                <w:b/>
                <w:sz w:val="10"/>
              </w:rPr>
              <w:t>2</w:t>
            </w:r>
            <w:r>
              <w:rPr>
                <w:b/>
                <w:position w:val="2"/>
                <w:sz w:val="16"/>
              </w:rPr>
              <w:t>O </w:t>
            </w:r>
            <w:r>
              <w:rPr>
                <w:b/>
                <w:sz w:val="16"/>
              </w:rPr>
              <w:t>(Gg)</w:t>
            </w:r>
          </w:p>
        </w:tc>
        <w:tc>
          <w:tcPr>
            <w:tcW w:w="2802" w:type="dxa"/>
            <w:gridSpan w:val="3"/>
            <w:tcBorders>
              <w:top w:val="double" w:sz="1" w:space="0" w:color="000000"/>
            </w:tcBorders>
            <w:shd w:val="clear" w:color="auto" w:fill="BFBFBF"/>
          </w:tcPr>
          <w:p>
            <w:pPr>
              <w:pStyle w:val="TableParagraph"/>
              <w:spacing w:line="166" w:lineRule="exact" w:before="34"/>
              <w:ind w:left="1240" w:right="1237" w:firstLine="1"/>
              <w:jc w:val="center"/>
              <w:rPr>
                <w:b/>
                <w:sz w:val="16"/>
              </w:rPr>
            </w:pPr>
            <w:r>
              <w:rPr>
                <w:b/>
                <w:position w:val="2"/>
                <w:sz w:val="16"/>
              </w:rPr>
              <w:t>NO</w:t>
            </w:r>
            <w:r>
              <w:rPr>
                <w:b/>
                <w:sz w:val="10"/>
              </w:rPr>
              <w:t>x </w:t>
            </w:r>
            <w:r>
              <w:rPr>
                <w:b/>
                <w:sz w:val="16"/>
              </w:rPr>
              <w:t>(Gg)</w:t>
            </w:r>
          </w:p>
        </w:tc>
        <w:tc>
          <w:tcPr>
            <w:tcW w:w="2804" w:type="dxa"/>
            <w:gridSpan w:val="3"/>
            <w:tcBorders>
              <w:top w:val="double" w:sz="1" w:space="0" w:color="000000"/>
            </w:tcBorders>
            <w:shd w:val="clear" w:color="auto" w:fill="BFBFBF"/>
          </w:tcPr>
          <w:p>
            <w:pPr>
              <w:pStyle w:val="TableParagraph"/>
              <w:spacing w:line="184" w:lineRule="exact" w:before="1"/>
              <w:ind w:left="1238" w:right="1240" w:hanging="1"/>
              <w:jc w:val="center"/>
              <w:rPr>
                <w:b/>
                <w:sz w:val="16"/>
              </w:rPr>
            </w:pPr>
            <w:r>
              <w:rPr>
                <w:b/>
                <w:sz w:val="16"/>
              </w:rPr>
              <w:t>CO (Gg)</w:t>
            </w:r>
          </w:p>
        </w:tc>
      </w:tr>
      <w:tr>
        <w:trPr>
          <w:trHeight w:val="551" w:hRule="atLeast"/>
        </w:trPr>
        <w:tc>
          <w:tcPr>
            <w:tcW w:w="1260" w:type="dxa"/>
            <w:shd w:val="clear" w:color="auto" w:fill="E4E4E4"/>
          </w:tcPr>
          <w:p>
            <w:pPr>
              <w:pStyle w:val="TableParagraph"/>
              <w:spacing w:line="237" w:lineRule="auto"/>
              <w:ind w:left="518" w:right="163" w:hanging="327"/>
              <w:rPr>
                <w:b/>
                <w:sz w:val="16"/>
              </w:rPr>
            </w:pPr>
            <w:r>
              <w:rPr>
                <w:b/>
                <w:sz w:val="16"/>
              </w:rPr>
              <w:t>Initial Land- use</w:t>
            </w:r>
          </w:p>
        </w:tc>
        <w:tc>
          <w:tcPr>
            <w:tcW w:w="1020" w:type="dxa"/>
            <w:shd w:val="clear" w:color="auto" w:fill="E4E4E4"/>
          </w:tcPr>
          <w:p>
            <w:pPr>
              <w:pStyle w:val="TableParagraph"/>
              <w:spacing w:line="237" w:lineRule="auto"/>
              <w:ind w:left="116" w:right="106"/>
              <w:jc w:val="center"/>
              <w:rPr>
                <w:b/>
                <w:sz w:val="16"/>
              </w:rPr>
            </w:pPr>
            <w:r>
              <w:rPr>
                <w:b/>
                <w:sz w:val="16"/>
              </w:rPr>
              <w:t>Land-use; reporting</w:t>
            </w:r>
          </w:p>
          <w:p>
            <w:pPr>
              <w:pStyle w:val="TableParagraph"/>
              <w:spacing w:line="168" w:lineRule="exact"/>
              <w:ind w:left="115" w:right="109"/>
              <w:jc w:val="center"/>
              <w:rPr>
                <w:b/>
                <w:sz w:val="16"/>
              </w:rPr>
            </w:pPr>
            <w:r>
              <w:rPr>
                <w:b/>
                <w:sz w:val="16"/>
              </w:rPr>
              <w:t>Year</w:t>
            </w:r>
          </w:p>
        </w:tc>
        <w:tc>
          <w:tcPr>
            <w:tcW w:w="958" w:type="dxa"/>
            <w:tcBorders>
              <w:top w:val="nil"/>
            </w:tcBorders>
            <w:shd w:val="clear" w:color="auto" w:fill="BFBFBF"/>
          </w:tcPr>
          <w:p>
            <w:pPr>
              <w:pStyle w:val="TableParagraph"/>
              <w:spacing w:before="10"/>
              <w:rPr>
                <w:sz w:val="14"/>
              </w:rPr>
            </w:pPr>
          </w:p>
          <w:p>
            <w:pPr>
              <w:pStyle w:val="TableParagraph"/>
              <w:spacing w:before="1"/>
              <w:ind w:left="292" w:right="283"/>
              <w:jc w:val="center"/>
              <w:rPr>
                <w:b/>
                <w:sz w:val="16"/>
              </w:rPr>
            </w:pPr>
            <w:r>
              <w:rPr>
                <w:b/>
                <w:sz w:val="16"/>
              </w:rPr>
              <w:t>(ha)</w:t>
            </w:r>
          </w:p>
        </w:tc>
        <w:tc>
          <w:tcPr>
            <w:tcW w:w="934" w:type="dxa"/>
            <w:shd w:val="clear" w:color="auto" w:fill="E4E4E4"/>
          </w:tcPr>
          <w:p>
            <w:pPr>
              <w:pStyle w:val="TableParagraph"/>
              <w:spacing w:before="6"/>
              <w:rPr>
                <w:sz w:val="15"/>
              </w:rPr>
            </w:pPr>
          </w:p>
          <w:p>
            <w:pPr>
              <w:pStyle w:val="TableParagraph"/>
              <w:ind w:left="155"/>
              <w:rPr>
                <w:b/>
                <w:sz w:val="16"/>
              </w:rPr>
            </w:pPr>
            <w:r>
              <w:rPr>
                <w:b/>
                <w:sz w:val="16"/>
              </w:rPr>
              <w:t>Biomass</w:t>
            </w:r>
            <w:r>
              <w:rPr>
                <w:b/>
                <w:sz w:val="16"/>
                <w:vertAlign w:val="superscript"/>
              </w:rPr>
              <w:t>2</w:t>
            </w:r>
          </w:p>
        </w:tc>
        <w:tc>
          <w:tcPr>
            <w:tcW w:w="934" w:type="dxa"/>
            <w:shd w:val="clear" w:color="auto" w:fill="E4E4E4"/>
          </w:tcPr>
          <w:p>
            <w:pPr>
              <w:pStyle w:val="TableParagraph"/>
              <w:spacing w:before="6"/>
              <w:rPr>
                <w:sz w:val="15"/>
              </w:rPr>
            </w:pPr>
          </w:p>
          <w:p>
            <w:pPr>
              <w:pStyle w:val="TableParagraph"/>
              <w:ind w:left="303"/>
              <w:rPr>
                <w:b/>
                <w:sz w:val="16"/>
              </w:rPr>
            </w:pPr>
            <w:r>
              <w:rPr>
                <w:b/>
                <w:sz w:val="16"/>
              </w:rPr>
              <w:t>Soils</w:t>
            </w:r>
          </w:p>
        </w:tc>
        <w:tc>
          <w:tcPr>
            <w:tcW w:w="934" w:type="dxa"/>
            <w:shd w:val="clear" w:color="auto" w:fill="E4E4E4"/>
          </w:tcPr>
          <w:p>
            <w:pPr>
              <w:pStyle w:val="TableParagraph"/>
              <w:spacing w:before="6"/>
              <w:rPr>
                <w:sz w:val="15"/>
              </w:rPr>
            </w:pPr>
          </w:p>
          <w:p>
            <w:pPr>
              <w:pStyle w:val="TableParagraph"/>
              <w:ind w:left="281"/>
              <w:rPr>
                <w:b/>
                <w:sz w:val="16"/>
              </w:rPr>
            </w:pPr>
            <w:r>
              <w:rPr>
                <w:b/>
                <w:sz w:val="16"/>
              </w:rPr>
              <w:t>Total</w:t>
            </w:r>
          </w:p>
        </w:tc>
        <w:tc>
          <w:tcPr>
            <w:tcW w:w="934" w:type="dxa"/>
            <w:shd w:val="clear" w:color="auto" w:fill="E4E4E4"/>
          </w:tcPr>
          <w:p>
            <w:pPr>
              <w:pStyle w:val="TableParagraph"/>
              <w:spacing w:before="6"/>
              <w:rPr>
                <w:sz w:val="15"/>
              </w:rPr>
            </w:pPr>
          </w:p>
          <w:p>
            <w:pPr>
              <w:pStyle w:val="TableParagraph"/>
              <w:ind w:left="154"/>
              <w:rPr>
                <w:b/>
                <w:sz w:val="16"/>
              </w:rPr>
            </w:pPr>
            <w:r>
              <w:rPr>
                <w:b/>
                <w:sz w:val="16"/>
              </w:rPr>
              <w:t>Biomass</w:t>
            </w:r>
            <w:r>
              <w:rPr>
                <w:b/>
                <w:sz w:val="16"/>
                <w:vertAlign w:val="superscript"/>
              </w:rPr>
              <w:t>2</w:t>
            </w:r>
          </w:p>
        </w:tc>
        <w:tc>
          <w:tcPr>
            <w:tcW w:w="934" w:type="dxa"/>
            <w:shd w:val="clear" w:color="auto" w:fill="E4E4E4"/>
          </w:tcPr>
          <w:p>
            <w:pPr>
              <w:pStyle w:val="TableParagraph"/>
              <w:spacing w:before="6"/>
              <w:rPr>
                <w:sz w:val="15"/>
              </w:rPr>
            </w:pPr>
          </w:p>
          <w:p>
            <w:pPr>
              <w:pStyle w:val="TableParagraph"/>
              <w:ind w:left="278"/>
              <w:rPr>
                <w:b/>
                <w:sz w:val="16"/>
              </w:rPr>
            </w:pPr>
            <w:r>
              <w:rPr>
                <w:b/>
                <w:sz w:val="16"/>
              </w:rPr>
              <w:t>Soils</w:t>
            </w:r>
            <w:r>
              <w:rPr>
                <w:b/>
                <w:sz w:val="16"/>
                <w:vertAlign w:val="superscript"/>
              </w:rPr>
              <w:t>3</w:t>
            </w:r>
          </w:p>
        </w:tc>
        <w:tc>
          <w:tcPr>
            <w:tcW w:w="934" w:type="dxa"/>
            <w:shd w:val="clear" w:color="auto" w:fill="E4E4E4"/>
          </w:tcPr>
          <w:p>
            <w:pPr>
              <w:pStyle w:val="TableParagraph"/>
              <w:spacing w:before="6"/>
              <w:rPr>
                <w:sz w:val="15"/>
              </w:rPr>
            </w:pPr>
          </w:p>
          <w:p>
            <w:pPr>
              <w:pStyle w:val="TableParagraph"/>
              <w:ind w:left="280"/>
              <w:rPr>
                <w:b/>
                <w:sz w:val="16"/>
              </w:rPr>
            </w:pPr>
            <w:r>
              <w:rPr>
                <w:b/>
                <w:sz w:val="16"/>
              </w:rPr>
              <w:t>Total</w:t>
            </w:r>
          </w:p>
        </w:tc>
        <w:tc>
          <w:tcPr>
            <w:tcW w:w="934" w:type="dxa"/>
            <w:shd w:val="clear" w:color="auto" w:fill="E4E4E4"/>
          </w:tcPr>
          <w:p>
            <w:pPr>
              <w:pStyle w:val="TableParagraph"/>
              <w:spacing w:before="6"/>
              <w:rPr>
                <w:sz w:val="15"/>
              </w:rPr>
            </w:pPr>
          </w:p>
          <w:p>
            <w:pPr>
              <w:pStyle w:val="TableParagraph"/>
              <w:ind w:left="152"/>
              <w:rPr>
                <w:b/>
                <w:sz w:val="16"/>
              </w:rPr>
            </w:pPr>
            <w:r>
              <w:rPr>
                <w:b/>
                <w:sz w:val="16"/>
              </w:rPr>
              <w:t>Biomass</w:t>
            </w:r>
            <w:r>
              <w:rPr>
                <w:b/>
                <w:sz w:val="16"/>
                <w:vertAlign w:val="superscript"/>
              </w:rPr>
              <w:t>2</w:t>
            </w:r>
          </w:p>
        </w:tc>
        <w:tc>
          <w:tcPr>
            <w:tcW w:w="934" w:type="dxa"/>
            <w:shd w:val="clear" w:color="auto" w:fill="E4E4E4"/>
          </w:tcPr>
          <w:p>
            <w:pPr>
              <w:pStyle w:val="TableParagraph"/>
              <w:spacing w:before="6"/>
              <w:rPr>
                <w:sz w:val="15"/>
              </w:rPr>
            </w:pPr>
          </w:p>
          <w:p>
            <w:pPr>
              <w:pStyle w:val="TableParagraph"/>
              <w:ind w:left="301"/>
              <w:rPr>
                <w:b/>
                <w:sz w:val="16"/>
              </w:rPr>
            </w:pPr>
            <w:r>
              <w:rPr>
                <w:b/>
                <w:sz w:val="16"/>
              </w:rPr>
              <w:t>Soils</w:t>
            </w:r>
          </w:p>
        </w:tc>
        <w:tc>
          <w:tcPr>
            <w:tcW w:w="934" w:type="dxa"/>
            <w:shd w:val="clear" w:color="auto" w:fill="E4E4E4"/>
          </w:tcPr>
          <w:p>
            <w:pPr>
              <w:pStyle w:val="TableParagraph"/>
              <w:spacing w:before="6"/>
              <w:rPr>
                <w:sz w:val="15"/>
              </w:rPr>
            </w:pPr>
          </w:p>
          <w:p>
            <w:pPr>
              <w:pStyle w:val="TableParagraph"/>
              <w:ind w:left="279"/>
              <w:rPr>
                <w:b/>
                <w:sz w:val="16"/>
              </w:rPr>
            </w:pPr>
            <w:r>
              <w:rPr>
                <w:b/>
                <w:sz w:val="16"/>
              </w:rPr>
              <w:t>Total</w:t>
            </w:r>
          </w:p>
        </w:tc>
        <w:tc>
          <w:tcPr>
            <w:tcW w:w="934" w:type="dxa"/>
            <w:shd w:val="clear" w:color="auto" w:fill="E4E4E4"/>
          </w:tcPr>
          <w:p>
            <w:pPr>
              <w:pStyle w:val="TableParagraph"/>
              <w:spacing w:before="6"/>
              <w:rPr>
                <w:sz w:val="15"/>
              </w:rPr>
            </w:pPr>
          </w:p>
          <w:p>
            <w:pPr>
              <w:pStyle w:val="TableParagraph"/>
              <w:ind w:left="151"/>
              <w:rPr>
                <w:b/>
                <w:sz w:val="16"/>
              </w:rPr>
            </w:pPr>
            <w:r>
              <w:rPr>
                <w:b/>
                <w:sz w:val="16"/>
              </w:rPr>
              <w:t>Biomass</w:t>
            </w:r>
            <w:r>
              <w:rPr>
                <w:b/>
                <w:sz w:val="16"/>
                <w:vertAlign w:val="superscript"/>
              </w:rPr>
              <w:t>2</w:t>
            </w:r>
          </w:p>
        </w:tc>
        <w:tc>
          <w:tcPr>
            <w:tcW w:w="934" w:type="dxa"/>
            <w:shd w:val="clear" w:color="auto" w:fill="E4E4E4"/>
          </w:tcPr>
          <w:p>
            <w:pPr>
              <w:pStyle w:val="TableParagraph"/>
              <w:spacing w:before="6"/>
              <w:rPr>
                <w:sz w:val="15"/>
              </w:rPr>
            </w:pPr>
          </w:p>
          <w:p>
            <w:pPr>
              <w:pStyle w:val="TableParagraph"/>
              <w:ind w:left="300"/>
              <w:rPr>
                <w:b/>
                <w:sz w:val="16"/>
              </w:rPr>
            </w:pPr>
            <w:r>
              <w:rPr>
                <w:b/>
                <w:sz w:val="16"/>
              </w:rPr>
              <w:t>Soils</w:t>
            </w:r>
          </w:p>
        </w:tc>
        <w:tc>
          <w:tcPr>
            <w:tcW w:w="936" w:type="dxa"/>
            <w:shd w:val="clear" w:color="auto" w:fill="E4E4E4"/>
          </w:tcPr>
          <w:p>
            <w:pPr>
              <w:pStyle w:val="TableParagraph"/>
              <w:spacing w:before="6"/>
              <w:rPr>
                <w:sz w:val="15"/>
              </w:rPr>
            </w:pPr>
          </w:p>
          <w:p>
            <w:pPr>
              <w:pStyle w:val="TableParagraph"/>
              <w:ind w:left="278"/>
              <w:rPr>
                <w:b/>
                <w:sz w:val="16"/>
              </w:rPr>
            </w:pPr>
            <w:r>
              <w:rPr>
                <w:b/>
                <w:sz w:val="16"/>
              </w:rPr>
              <w:t>Total</w:t>
            </w:r>
          </w:p>
        </w:tc>
      </w:tr>
      <w:tr>
        <w:trPr>
          <w:trHeight w:val="184" w:hRule="atLeast"/>
        </w:trPr>
        <w:tc>
          <w:tcPr>
            <w:tcW w:w="1260" w:type="dxa"/>
          </w:tcPr>
          <w:p>
            <w:pPr>
              <w:pStyle w:val="TableParagraph"/>
              <w:spacing w:line="164" w:lineRule="exact"/>
              <w:ind w:left="107"/>
              <w:rPr>
                <w:sz w:val="16"/>
              </w:rPr>
            </w:pPr>
            <w:r>
              <w:rPr>
                <w:sz w:val="16"/>
              </w:rPr>
              <w:t>Forest Land</w:t>
            </w:r>
          </w:p>
        </w:tc>
        <w:tc>
          <w:tcPr>
            <w:tcW w:w="1020" w:type="dxa"/>
          </w:tcPr>
          <w:p>
            <w:pPr>
              <w:pStyle w:val="TableParagraph"/>
              <w:spacing w:line="164" w:lineRule="exact"/>
              <w:ind w:left="107"/>
              <w:rPr>
                <w:sz w:val="16"/>
              </w:rPr>
            </w:pPr>
            <w:r>
              <w:rPr>
                <w:sz w:val="16"/>
              </w:rPr>
              <w:t>Forest 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2" w:hRule="atLeast"/>
        </w:trPr>
        <w:tc>
          <w:tcPr>
            <w:tcW w:w="1260" w:type="dxa"/>
          </w:tcPr>
          <w:p>
            <w:pPr>
              <w:pStyle w:val="TableParagraph"/>
              <w:spacing w:line="162" w:lineRule="exact"/>
              <w:ind w:left="107"/>
              <w:rPr>
                <w:sz w:val="16"/>
              </w:rPr>
            </w:pPr>
            <w:r>
              <w:rPr>
                <w:sz w:val="16"/>
              </w:rPr>
              <w:t>Cropland</w:t>
            </w:r>
          </w:p>
        </w:tc>
        <w:tc>
          <w:tcPr>
            <w:tcW w:w="1020" w:type="dxa"/>
          </w:tcPr>
          <w:p>
            <w:pPr>
              <w:pStyle w:val="TableParagraph"/>
              <w:spacing w:line="162" w:lineRule="exact"/>
              <w:ind w:left="107"/>
              <w:rPr>
                <w:sz w:val="16"/>
              </w:rPr>
            </w:pPr>
            <w:r>
              <w:rPr>
                <w:sz w:val="16"/>
              </w:rPr>
              <w:t>Forest 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Grassland</w:t>
            </w:r>
          </w:p>
        </w:tc>
        <w:tc>
          <w:tcPr>
            <w:tcW w:w="1020" w:type="dxa"/>
          </w:tcPr>
          <w:p>
            <w:pPr>
              <w:pStyle w:val="TableParagraph"/>
              <w:spacing w:line="164" w:lineRule="exact"/>
              <w:ind w:left="107"/>
              <w:rPr>
                <w:sz w:val="16"/>
              </w:rPr>
            </w:pPr>
            <w:r>
              <w:rPr>
                <w:sz w:val="16"/>
              </w:rPr>
              <w:t>Forest 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Wetlands</w:t>
            </w:r>
          </w:p>
        </w:tc>
        <w:tc>
          <w:tcPr>
            <w:tcW w:w="1020" w:type="dxa"/>
          </w:tcPr>
          <w:p>
            <w:pPr>
              <w:pStyle w:val="TableParagraph"/>
              <w:spacing w:line="164" w:lineRule="exact"/>
              <w:ind w:left="107"/>
              <w:rPr>
                <w:sz w:val="16"/>
              </w:rPr>
            </w:pPr>
            <w:r>
              <w:rPr>
                <w:sz w:val="16"/>
              </w:rPr>
              <w:t>Forest 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Settlements</w:t>
            </w:r>
          </w:p>
        </w:tc>
        <w:tc>
          <w:tcPr>
            <w:tcW w:w="1020" w:type="dxa"/>
          </w:tcPr>
          <w:p>
            <w:pPr>
              <w:pStyle w:val="TableParagraph"/>
              <w:spacing w:line="164" w:lineRule="exact"/>
              <w:ind w:left="107"/>
              <w:rPr>
                <w:sz w:val="16"/>
              </w:rPr>
            </w:pPr>
            <w:r>
              <w:rPr>
                <w:sz w:val="16"/>
              </w:rPr>
              <w:t>Forest 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2" w:hRule="atLeast"/>
        </w:trPr>
        <w:tc>
          <w:tcPr>
            <w:tcW w:w="1260" w:type="dxa"/>
          </w:tcPr>
          <w:p>
            <w:pPr>
              <w:pStyle w:val="TableParagraph"/>
              <w:spacing w:line="162" w:lineRule="exact"/>
              <w:ind w:left="107"/>
              <w:rPr>
                <w:sz w:val="16"/>
              </w:rPr>
            </w:pPr>
            <w:r>
              <w:rPr>
                <w:sz w:val="16"/>
              </w:rPr>
              <w:t>Other Land</w:t>
            </w:r>
          </w:p>
        </w:tc>
        <w:tc>
          <w:tcPr>
            <w:tcW w:w="1020" w:type="dxa"/>
          </w:tcPr>
          <w:p>
            <w:pPr>
              <w:pStyle w:val="TableParagraph"/>
              <w:spacing w:line="162" w:lineRule="exact"/>
              <w:ind w:left="107"/>
              <w:rPr>
                <w:sz w:val="16"/>
              </w:rPr>
            </w:pPr>
            <w:r>
              <w:rPr>
                <w:sz w:val="16"/>
              </w:rPr>
              <w:t>Forest 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shd w:val="clear" w:color="auto" w:fill="BFBFBF"/>
          </w:tcPr>
          <w:p>
            <w:pPr>
              <w:pStyle w:val="TableParagraph"/>
              <w:rPr>
                <w:sz w:val="12"/>
              </w:rPr>
            </w:pPr>
          </w:p>
        </w:tc>
        <w:tc>
          <w:tcPr>
            <w:tcW w:w="1978" w:type="dxa"/>
            <w:gridSpan w:val="2"/>
          </w:tcPr>
          <w:p>
            <w:pPr>
              <w:pStyle w:val="TableParagraph"/>
              <w:spacing w:line="164" w:lineRule="exact"/>
              <w:ind w:left="107"/>
              <w:rPr>
                <w:b/>
                <w:sz w:val="16"/>
              </w:rPr>
            </w:pPr>
            <w:r>
              <w:rPr>
                <w:b/>
                <w:sz w:val="16"/>
              </w:rPr>
              <w:t>Sub-total for Forest Land</w:t>
            </w: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Cropland</w:t>
            </w:r>
          </w:p>
        </w:tc>
        <w:tc>
          <w:tcPr>
            <w:tcW w:w="1020" w:type="dxa"/>
          </w:tcPr>
          <w:p>
            <w:pPr>
              <w:pStyle w:val="TableParagraph"/>
              <w:spacing w:line="164" w:lineRule="exact"/>
              <w:ind w:left="107"/>
              <w:rPr>
                <w:sz w:val="16"/>
              </w:rPr>
            </w:pPr>
            <w:r>
              <w:rPr>
                <w:sz w:val="16"/>
              </w:rPr>
              <w:t>Cropland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Forest Land</w:t>
            </w:r>
          </w:p>
        </w:tc>
        <w:tc>
          <w:tcPr>
            <w:tcW w:w="1020" w:type="dxa"/>
          </w:tcPr>
          <w:p>
            <w:pPr>
              <w:pStyle w:val="TableParagraph"/>
              <w:spacing w:line="164" w:lineRule="exact"/>
              <w:ind w:left="107"/>
              <w:rPr>
                <w:sz w:val="16"/>
              </w:rPr>
            </w:pPr>
            <w:r>
              <w:rPr>
                <w:sz w:val="16"/>
              </w:rPr>
              <w:t>Cropland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2" w:hRule="atLeast"/>
        </w:trPr>
        <w:tc>
          <w:tcPr>
            <w:tcW w:w="1260" w:type="dxa"/>
          </w:tcPr>
          <w:p>
            <w:pPr>
              <w:pStyle w:val="TableParagraph"/>
              <w:spacing w:line="162" w:lineRule="exact"/>
              <w:ind w:left="107"/>
              <w:rPr>
                <w:sz w:val="16"/>
              </w:rPr>
            </w:pPr>
            <w:r>
              <w:rPr>
                <w:sz w:val="16"/>
              </w:rPr>
              <w:t>Grassland</w:t>
            </w:r>
          </w:p>
        </w:tc>
        <w:tc>
          <w:tcPr>
            <w:tcW w:w="1020" w:type="dxa"/>
          </w:tcPr>
          <w:p>
            <w:pPr>
              <w:pStyle w:val="TableParagraph"/>
              <w:spacing w:line="162" w:lineRule="exact"/>
              <w:ind w:left="107"/>
              <w:rPr>
                <w:sz w:val="16"/>
              </w:rPr>
            </w:pPr>
            <w:r>
              <w:rPr>
                <w:sz w:val="16"/>
              </w:rPr>
              <w:t>Cropland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Wetlands</w:t>
            </w:r>
          </w:p>
        </w:tc>
        <w:tc>
          <w:tcPr>
            <w:tcW w:w="1020" w:type="dxa"/>
          </w:tcPr>
          <w:p>
            <w:pPr>
              <w:pStyle w:val="TableParagraph"/>
              <w:spacing w:line="164" w:lineRule="exact"/>
              <w:ind w:left="107"/>
              <w:rPr>
                <w:sz w:val="16"/>
              </w:rPr>
            </w:pPr>
            <w:r>
              <w:rPr>
                <w:sz w:val="16"/>
              </w:rPr>
              <w:t>Cropland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Settlements</w:t>
            </w:r>
          </w:p>
        </w:tc>
        <w:tc>
          <w:tcPr>
            <w:tcW w:w="1020" w:type="dxa"/>
          </w:tcPr>
          <w:p>
            <w:pPr>
              <w:pStyle w:val="TableParagraph"/>
              <w:spacing w:line="164" w:lineRule="exact"/>
              <w:ind w:left="107"/>
              <w:rPr>
                <w:sz w:val="16"/>
              </w:rPr>
            </w:pPr>
            <w:r>
              <w:rPr>
                <w:sz w:val="16"/>
              </w:rPr>
              <w:t>Cropland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Other Land</w:t>
            </w:r>
          </w:p>
        </w:tc>
        <w:tc>
          <w:tcPr>
            <w:tcW w:w="1020" w:type="dxa"/>
          </w:tcPr>
          <w:p>
            <w:pPr>
              <w:pStyle w:val="TableParagraph"/>
              <w:spacing w:line="164" w:lineRule="exact"/>
              <w:ind w:left="107"/>
              <w:rPr>
                <w:sz w:val="16"/>
              </w:rPr>
            </w:pPr>
            <w:r>
              <w:rPr>
                <w:sz w:val="16"/>
              </w:rPr>
              <w:t>Cropland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shd w:val="clear" w:color="auto" w:fill="BFBFBF"/>
          </w:tcPr>
          <w:p>
            <w:pPr>
              <w:pStyle w:val="TableParagraph"/>
              <w:rPr>
                <w:sz w:val="12"/>
              </w:rPr>
            </w:pPr>
          </w:p>
        </w:tc>
        <w:tc>
          <w:tcPr>
            <w:tcW w:w="1978" w:type="dxa"/>
            <w:gridSpan w:val="2"/>
          </w:tcPr>
          <w:p>
            <w:pPr>
              <w:pStyle w:val="TableParagraph"/>
              <w:spacing w:line="164" w:lineRule="exact"/>
              <w:ind w:left="107"/>
              <w:rPr>
                <w:b/>
                <w:sz w:val="16"/>
              </w:rPr>
            </w:pPr>
            <w:r>
              <w:rPr>
                <w:b/>
                <w:sz w:val="16"/>
              </w:rPr>
              <w:t>Sub-total for Cropland</w:t>
            </w: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2" w:hRule="atLeast"/>
        </w:trPr>
        <w:tc>
          <w:tcPr>
            <w:tcW w:w="1260" w:type="dxa"/>
          </w:tcPr>
          <w:p>
            <w:pPr>
              <w:pStyle w:val="TableParagraph"/>
              <w:spacing w:line="162" w:lineRule="exact"/>
              <w:ind w:left="107"/>
              <w:rPr>
                <w:sz w:val="16"/>
              </w:rPr>
            </w:pPr>
            <w:r>
              <w:rPr>
                <w:sz w:val="16"/>
              </w:rPr>
              <w:t>Grassland</w:t>
            </w:r>
          </w:p>
        </w:tc>
        <w:tc>
          <w:tcPr>
            <w:tcW w:w="1020" w:type="dxa"/>
          </w:tcPr>
          <w:p>
            <w:pPr>
              <w:pStyle w:val="TableParagraph"/>
              <w:spacing w:line="162" w:lineRule="exact"/>
              <w:ind w:left="107"/>
              <w:rPr>
                <w:sz w:val="16"/>
              </w:rPr>
            </w:pPr>
            <w:r>
              <w:rPr>
                <w:sz w:val="16"/>
              </w:rPr>
              <w:t>Grassland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Forest Land</w:t>
            </w:r>
          </w:p>
        </w:tc>
        <w:tc>
          <w:tcPr>
            <w:tcW w:w="1020" w:type="dxa"/>
          </w:tcPr>
          <w:p>
            <w:pPr>
              <w:pStyle w:val="TableParagraph"/>
              <w:spacing w:line="164" w:lineRule="exact"/>
              <w:ind w:left="108"/>
              <w:rPr>
                <w:sz w:val="16"/>
              </w:rPr>
            </w:pPr>
            <w:r>
              <w:rPr>
                <w:sz w:val="16"/>
              </w:rPr>
              <w:t>Grassland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Cropland</w:t>
            </w:r>
          </w:p>
        </w:tc>
        <w:tc>
          <w:tcPr>
            <w:tcW w:w="1020" w:type="dxa"/>
          </w:tcPr>
          <w:p>
            <w:pPr>
              <w:pStyle w:val="TableParagraph"/>
              <w:spacing w:line="164" w:lineRule="exact"/>
              <w:ind w:left="107"/>
              <w:rPr>
                <w:sz w:val="16"/>
              </w:rPr>
            </w:pPr>
            <w:r>
              <w:rPr>
                <w:sz w:val="16"/>
              </w:rPr>
              <w:t>Grassland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Wetlands</w:t>
            </w:r>
          </w:p>
        </w:tc>
        <w:tc>
          <w:tcPr>
            <w:tcW w:w="1020" w:type="dxa"/>
          </w:tcPr>
          <w:p>
            <w:pPr>
              <w:pStyle w:val="TableParagraph"/>
              <w:spacing w:line="164" w:lineRule="exact"/>
              <w:ind w:left="107"/>
              <w:rPr>
                <w:sz w:val="16"/>
              </w:rPr>
            </w:pPr>
            <w:r>
              <w:rPr>
                <w:sz w:val="16"/>
              </w:rPr>
              <w:t>Grassland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2" w:hRule="atLeast"/>
        </w:trPr>
        <w:tc>
          <w:tcPr>
            <w:tcW w:w="1260" w:type="dxa"/>
          </w:tcPr>
          <w:p>
            <w:pPr>
              <w:pStyle w:val="TableParagraph"/>
              <w:spacing w:line="162" w:lineRule="exact"/>
              <w:ind w:left="107"/>
              <w:rPr>
                <w:sz w:val="16"/>
              </w:rPr>
            </w:pPr>
            <w:r>
              <w:rPr>
                <w:sz w:val="16"/>
              </w:rPr>
              <w:t>Settlements</w:t>
            </w:r>
          </w:p>
        </w:tc>
        <w:tc>
          <w:tcPr>
            <w:tcW w:w="1020" w:type="dxa"/>
          </w:tcPr>
          <w:p>
            <w:pPr>
              <w:pStyle w:val="TableParagraph"/>
              <w:spacing w:line="162" w:lineRule="exact"/>
              <w:ind w:left="107"/>
              <w:rPr>
                <w:sz w:val="16"/>
              </w:rPr>
            </w:pPr>
            <w:r>
              <w:rPr>
                <w:sz w:val="16"/>
              </w:rPr>
              <w:t>Grassland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Other Land</w:t>
            </w:r>
          </w:p>
        </w:tc>
        <w:tc>
          <w:tcPr>
            <w:tcW w:w="1020" w:type="dxa"/>
          </w:tcPr>
          <w:p>
            <w:pPr>
              <w:pStyle w:val="TableParagraph"/>
              <w:spacing w:line="164" w:lineRule="exact"/>
              <w:ind w:left="107"/>
              <w:rPr>
                <w:sz w:val="16"/>
              </w:rPr>
            </w:pPr>
            <w:r>
              <w:rPr>
                <w:sz w:val="16"/>
              </w:rPr>
              <w:t>Grassland</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shd w:val="clear" w:color="auto" w:fill="BFBFBF"/>
          </w:tcPr>
          <w:p>
            <w:pPr>
              <w:pStyle w:val="TableParagraph"/>
              <w:rPr>
                <w:sz w:val="12"/>
              </w:rPr>
            </w:pPr>
          </w:p>
        </w:tc>
        <w:tc>
          <w:tcPr>
            <w:tcW w:w="1978" w:type="dxa"/>
            <w:gridSpan w:val="2"/>
          </w:tcPr>
          <w:p>
            <w:pPr>
              <w:pStyle w:val="TableParagraph"/>
              <w:spacing w:line="164" w:lineRule="exact"/>
              <w:ind w:left="107"/>
              <w:rPr>
                <w:b/>
                <w:sz w:val="16"/>
              </w:rPr>
            </w:pPr>
            <w:r>
              <w:rPr>
                <w:b/>
                <w:sz w:val="16"/>
              </w:rPr>
              <w:t>Sub-total for Grassland</w:t>
            </w: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Wetlands</w:t>
            </w:r>
          </w:p>
        </w:tc>
        <w:tc>
          <w:tcPr>
            <w:tcW w:w="1020" w:type="dxa"/>
          </w:tcPr>
          <w:p>
            <w:pPr>
              <w:pStyle w:val="TableParagraph"/>
              <w:spacing w:line="164" w:lineRule="exact"/>
              <w:ind w:left="108"/>
              <w:rPr>
                <w:sz w:val="16"/>
              </w:rPr>
            </w:pPr>
            <w:r>
              <w:rPr>
                <w:sz w:val="16"/>
              </w:rPr>
              <w:t>Wetlands</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2" w:hRule="atLeast"/>
        </w:trPr>
        <w:tc>
          <w:tcPr>
            <w:tcW w:w="1260" w:type="dxa"/>
          </w:tcPr>
          <w:p>
            <w:pPr>
              <w:pStyle w:val="TableParagraph"/>
              <w:spacing w:line="162" w:lineRule="exact"/>
              <w:ind w:left="107"/>
              <w:rPr>
                <w:sz w:val="16"/>
              </w:rPr>
            </w:pPr>
            <w:r>
              <w:rPr>
                <w:sz w:val="16"/>
              </w:rPr>
              <w:t>Forest Land</w:t>
            </w:r>
          </w:p>
        </w:tc>
        <w:tc>
          <w:tcPr>
            <w:tcW w:w="1020" w:type="dxa"/>
          </w:tcPr>
          <w:p>
            <w:pPr>
              <w:pStyle w:val="TableParagraph"/>
              <w:spacing w:line="162" w:lineRule="exact"/>
              <w:ind w:left="107"/>
              <w:rPr>
                <w:sz w:val="16"/>
              </w:rPr>
            </w:pPr>
            <w:r>
              <w:rPr>
                <w:sz w:val="16"/>
              </w:rPr>
              <w:t>Wetlands</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Cropland</w:t>
            </w:r>
          </w:p>
        </w:tc>
        <w:tc>
          <w:tcPr>
            <w:tcW w:w="1020" w:type="dxa"/>
          </w:tcPr>
          <w:p>
            <w:pPr>
              <w:pStyle w:val="TableParagraph"/>
              <w:spacing w:line="164" w:lineRule="exact"/>
              <w:ind w:left="107"/>
              <w:rPr>
                <w:sz w:val="16"/>
              </w:rPr>
            </w:pPr>
            <w:r>
              <w:rPr>
                <w:sz w:val="16"/>
              </w:rPr>
              <w:t>Wetlands</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Grassland</w:t>
            </w:r>
          </w:p>
        </w:tc>
        <w:tc>
          <w:tcPr>
            <w:tcW w:w="1020" w:type="dxa"/>
          </w:tcPr>
          <w:p>
            <w:pPr>
              <w:pStyle w:val="TableParagraph"/>
              <w:spacing w:line="164" w:lineRule="exact"/>
              <w:ind w:left="108"/>
              <w:rPr>
                <w:sz w:val="16"/>
              </w:rPr>
            </w:pPr>
            <w:r>
              <w:rPr>
                <w:sz w:val="16"/>
              </w:rPr>
              <w:t>Wetlands</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Settlements</w:t>
            </w:r>
          </w:p>
        </w:tc>
        <w:tc>
          <w:tcPr>
            <w:tcW w:w="1020" w:type="dxa"/>
          </w:tcPr>
          <w:p>
            <w:pPr>
              <w:pStyle w:val="TableParagraph"/>
              <w:spacing w:line="164" w:lineRule="exact"/>
              <w:ind w:left="108"/>
              <w:rPr>
                <w:sz w:val="16"/>
              </w:rPr>
            </w:pPr>
            <w:r>
              <w:rPr>
                <w:sz w:val="16"/>
              </w:rPr>
              <w:t>Wetlands</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Other Land</w:t>
            </w:r>
          </w:p>
        </w:tc>
        <w:tc>
          <w:tcPr>
            <w:tcW w:w="1020" w:type="dxa"/>
          </w:tcPr>
          <w:p>
            <w:pPr>
              <w:pStyle w:val="TableParagraph"/>
              <w:spacing w:line="164" w:lineRule="exact"/>
              <w:ind w:left="107"/>
              <w:rPr>
                <w:sz w:val="16"/>
              </w:rPr>
            </w:pPr>
            <w:r>
              <w:rPr>
                <w:sz w:val="16"/>
              </w:rPr>
              <w:t>Wetlands</w:t>
            </w:r>
          </w:p>
        </w:tc>
        <w:tc>
          <w:tcPr>
            <w:tcW w:w="958"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r>
        <w:trPr>
          <w:trHeight w:val="182" w:hRule="atLeast"/>
        </w:trPr>
        <w:tc>
          <w:tcPr>
            <w:tcW w:w="1260" w:type="dxa"/>
            <w:shd w:val="clear" w:color="auto" w:fill="BFBFBF"/>
          </w:tcPr>
          <w:p>
            <w:pPr>
              <w:pStyle w:val="TableParagraph"/>
              <w:rPr>
                <w:sz w:val="12"/>
              </w:rPr>
            </w:pPr>
          </w:p>
        </w:tc>
        <w:tc>
          <w:tcPr>
            <w:tcW w:w="1978" w:type="dxa"/>
            <w:gridSpan w:val="2"/>
          </w:tcPr>
          <w:p>
            <w:pPr>
              <w:pStyle w:val="TableParagraph"/>
              <w:spacing w:line="162" w:lineRule="exact"/>
              <w:ind w:left="107"/>
              <w:rPr>
                <w:b/>
                <w:sz w:val="16"/>
              </w:rPr>
            </w:pPr>
            <w:r>
              <w:rPr>
                <w:b/>
                <w:sz w:val="16"/>
              </w:rPr>
              <w:t>Sub-total for Wetlands</w:t>
            </w: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4" w:type="dxa"/>
          </w:tcPr>
          <w:p>
            <w:pPr>
              <w:pStyle w:val="TableParagraph"/>
              <w:rPr>
                <w:sz w:val="12"/>
              </w:rPr>
            </w:pPr>
          </w:p>
        </w:tc>
        <w:tc>
          <w:tcPr>
            <w:tcW w:w="936" w:type="dxa"/>
          </w:tcPr>
          <w:p>
            <w:pPr>
              <w:pStyle w:val="TableParagraph"/>
              <w:rPr>
                <w:sz w:val="12"/>
              </w:rPr>
            </w:pPr>
          </w:p>
        </w:tc>
      </w:tr>
    </w:tbl>
    <w:p>
      <w:pPr>
        <w:spacing w:after="0"/>
        <w:rPr>
          <w:sz w:val="12"/>
        </w:rPr>
        <w:sectPr>
          <w:pgSz w:w="16840" w:h="11900" w:orient="landscape"/>
          <w:pgMar w:header="919" w:footer="1128" w:top="740" w:bottom="1320" w:left="1200" w:right="460"/>
        </w:sectPr>
      </w:pPr>
    </w:p>
    <w:p>
      <w:pPr>
        <w:pStyle w:val="BodyText"/>
        <w:spacing w:before="10" w:after="1"/>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020"/>
        <w:gridCol w:w="958"/>
        <w:gridCol w:w="932"/>
        <w:gridCol w:w="932"/>
        <w:gridCol w:w="932"/>
        <w:gridCol w:w="930"/>
        <w:gridCol w:w="932"/>
        <w:gridCol w:w="932"/>
        <w:gridCol w:w="932"/>
        <w:gridCol w:w="932"/>
        <w:gridCol w:w="930"/>
        <w:gridCol w:w="932"/>
        <w:gridCol w:w="932"/>
        <w:gridCol w:w="932"/>
      </w:tblGrid>
      <w:tr>
        <w:trPr>
          <w:trHeight w:val="651" w:hRule="atLeast"/>
        </w:trPr>
        <w:tc>
          <w:tcPr>
            <w:tcW w:w="14418" w:type="dxa"/>
            <w:gridSpan w:val="15"/>
            <w:tcBorders>
              <w:bottom w:val="double" w:sz="1" w:space="0" w:color="000000"/>
            </w:tcBorders>
          </w:tcPr>
          <w:p>
            <w:pPr>
              <w:pStyle w:val="TableParagraph"/>
              <w:spacing w:before="59"/>
              <w:ind w:left="4658" w:right="4659"/>
              <w:jc w:val="center"/>
              <w:rPr>
                <w:b/>
                <w:sz w:val="18"/>
              </w:rPr>
            </w:pPr>
            <w:r>
              <w:rPr>
                <w:b/>
                <w:sz w:val="18"/>
              </w:rPr>
              <w:t>T</w:t>
            </w:r>
            <w:r>
              <w:rPr>
                <w:b/>
                <w:sz w:val="14"/>
              </w:rPr>
              <w:t>ABLE </w:t>
            </w:r>
            <w:r>
              <w:rPr>
                <w:b/>
                <w:sz w:val="18"/>
              </w:rPr>
              <w:t>3A.2.2B (C</w:t>
            </w:r>
            <w:r>
              <w:rPr>
                <w:b/>
                <w:sz w:val="14"/>
              </w:rPr>
              <w:t>ONTINUED</w:t>
            </w:r>
            <w:r>
              <w:rPr>
                <w:b/>
                <w:sz w:val="18"/>
              </w:rPr>
              <w:t>)</w:t>
            </w:r>
          </w:p>
          <w:p>
            <w:pPr>
              <w:pStyle w:val="TableParagraph"/>
              <w:spacing w:before="96"/>
              <w:ind w:left="4658" w:right="4659"/>
              <w:jc w:val="center"/>
              <w:rPr>
                <w:b/>
                <w:sz w:val="12"/>
              </w:rPr>
            </w:pPr>
            <w:r>
              <w:rPr>
                <w:b/>
                <w:sz w:val="18"/>
              </w:rPr>
              <w:t>C</w:t>
            </w:r>
            <w:r>
              <w:rPr>
                <w:b/>
                <w:sz w:val="14"/>
              </w:rPr>
              <w:t>OMPILATION </w:t>
            </w:r>
            <w:r>
              <w:rPr>
                <w:b/>
                <w:sz w:val="18"/>
              </w:rPr>
              <w:t>W</w:t>
            </w:r>
            <w:r>
              <w:rPr>
                <w:b/>
                <w:sz w:val="14"/>
              </w:rPr>
              <w:t>ORKSHEETS FOR </w:t>
            </w:r>
            <w:r>
              <w:rPr>
                <w:b/>
                <w:sz w:val="18"/>
              </w:rPr>
              <w:t>R</w:t>
            </w:r>
            <w:r>
              <w:rPr>
                <w:b/>
                <w:sz w:val="14"/>
              </w:rPr>
              <w:t>EPORTING NON</w:t>
            </w:r>
            <w:r>
              <w:rPr>
                <w:b/>
                <w:sz w:val="18"/>
              </w:rPr>
              <w:t>-CO</w:t>
            </w:r>
            <w:r>
              <w:rPr>
                <w:b/>
                <w:position w:val="-2"/>
                <w:sz w:val="12"/>
              </w:rPr>
              <w:t>2 </w:t>
            </w:r>
            <w:r>
              <w:rPr>
                <w:b/>
                <w:sz w:val="18"/>
              </w:rPr>
              <w:t>E</w:t>
            </w:r>
            <w:r>
              <w:rPr>
                <w:b/>
                <w:sz w:val="14"/>
              </w:rPr>
              <w:t>MISSIONS </w:t>
            </w:r>
            <w:r>
              <w:rPr>
                <w:b/>
                <w:position w:val="8"/>
                <w:sz w:val="12"/>
              </w:rPr>
              <w:t>1</w:t>
            </w:r>
          </w:p>
        </w:tc>
      </w:tr>
      <w:tr>
        <w:trPr>
          <w:trHeight w:val="424" w:hRule="atLeast"/>
        </w:trPr>
        <w:tc>
          <w:tcPr>
            <w:tcW w:w="2280" w:type="dxa"/>
            <w:gridSpan w:val="2"/>
            <w:tcBorders>
              <w:top w:val="double" w:sz="1" w:space="0" w:color="000000"/>
            </w:tcBorders>
            <w:shd w:val="clear" w:color="auto" w:fill="BFBFBF"/>
          </w:tcPr>
          <w:p>
            <w:pPr>
              <w:pStyle w:val="TableParagraph"/>
              <w:spacing w:before="25"/>
              <w:ind w:left="818" w:right="807"/>
              <w:jc w:val="center"/>
              <w:rPr>
                <w:b/>
                <w:sz w:val="16"/>
              </w:rPr>
            </w:pPr>
            <w:r>
              <w:rPr>
                <w:b/>
                <w:sz w:val="16"/>
              </w:rPr>
              <w:t>Land-use Category</w:t>
            </w:r>
          </w:p>
        </w:tc>
        <w:tc>
          <w:tcPr>
            <w:tcW w:w="958" w:type="dxa"/>
            <w:vMerge w:val="restart"/>
            <w:tcBorders>
              <w:top w:val="double" w:sz="1" w:space="0" w:color="000000"/>
            </w:tcBorders>
            <w:shd w:val="clear" w:color="auto" w:fill="BFBFBF"/>
          </w:tcPr>
          <w:p>
            <w:pPr>
              <w:pStyle w:val="TableParagraph"/>
              <w:spacing w:before="25"/>
              <w:ind w:left="294" w:right="283"/>
              <w:jc w:val="center"/>
              <w:rPr>
                <w:b/>
                <w:sz w:val="16"/>
              </w:rPr>
            </w:pPr>
            <w:r>
              <w:rPr>
                <w:b/>
                <w:sz w:val="16"/>
              </w:rPr>
              <w:t>Land Area</w:t>
            </w:r>
          </w:p>
          <w:p>
            <w:pPr>
              <w:pStyle w:val="TableParagraph"/>
              <w:rPr>
                <w:sz w:val="16"/>
              </w:rPr>
            </w:pPr>
          </w:p>
          <w:p>
            <w:pPr>
              <w:pStyle w:val="TableParagraph"/>
              <w:ind w:left="292" w:right="283"/>
              <w:jc w:val="center"/>
              <w:rPr>
                <w:b/>
                <w:sz w:val="16"/>
              </w:rPr>
            </w:pPr>
            <w:r>
              <w:rPr>
                <w:b/>
                <w:sz w:val="16"/>
              </w:rPr>
              <w:t>(ha)</w:t>
            </w:r>
          </w:p>
        </w:tc>
        <w:tc>
          <w:tcPr>
            <w:tcW w:w="2796" w:type="dxa"/>
            <w:gridSpan w:val="3"/>
            <w:tcBorders>
              <w:top w:val="double" w:sz="1" w:space="0" w:color="000000"/>
            </w:tcBorders>
            <w:shd w:val="clear" w:color="auto" w:fill="BFBFBF"/>
          </w:tcPr>
          <w:p>
            <w:pPr>
              <w:pStyle w:val="TableParagraph"/>
              <w:spacing w:line="232" w:lineRule="auto" w:before="29"/>
              <w:ind w:left="1237" w:right="1233" w:firstLine="1"/>
              <w:jc w:val="center"/>
              <w:rPr>
                <w:b/>
                <w:sz w:val="16"/>
              </w:rPr>
            </w:pPr>
            <w:r>
              <w:rPr>
                <w:b/>
                <w:position w:val="2"/>
                <w:sz w:val="16"/>
              </w:rPr>
              <w:t>CH</w:t>
            </w:r>
            <w:r>
              <w:rPr>
                <w:b/>
                <w:sz w:val="10"/>
              </w:rPr>
              <w:t>4 </w:t>
            </w:r>
            <w:r>
              <w:rPr>
                <w:b/>
                <w:sz w:val="16"/>
              </w:rPr>
              <w:t>(Gg)</w:t>
            </w:r>
          </w:p>
        </w:tc>
        <w:tc>
          <w:tcPr>
            <w:tcW w:w="2794" w:type="dxa"/>
            <w:gridSpan w:val="3"/>
            <w:tcBorders>
              <w:top w:val="double" w:sz="1" w:space="0" w:color="000000"/>
            </w:tcBorders>
            <w:shd w:val="clear" w:color="auto" w:fill="BFBFBF"/>
          </w:tcPr>
          <w:p>
            <w:pPr>
              <w:pStyle w:val="TableParagraph"/>
              <w:spacing w:line="232" w:lineRule="auto" w:before="29"/>
              <w:ind w:left="1235" w:right="1233" w:firstLine="1"/>
              <w:jc w:val="center"/>
              <w:rPr>
                <w:b/>
                <w:sz w:val="16"/>
              </w:rPr>
            </w:pPr>
            <w:r>
              <w:rPr>
                <w:b/>
                <w:position w:val="2"/>
                <w:sz w:val="16"/>
              </w:rPr>
              <w:t>N</w:t>
            </w:r>
            <w:r>
              <w:rPr>
                <w:b/>
                <w:sz w:val="10"/>
              </w:rPr>
              <w:t>2</w:t>
            </w:r>
            <w:r>
              <w:rPr>
                <w:b/>
                <w:position w:val="2"/>
                <w:sz w:val="16"/>
              </w:rPr>
              <w:t>O </w:t>
            </w:r>
            <w:r>
              <w:rPr>
                <w:b/>
                <w:sz w:val="16"/>
              </w:rPr>
              <w:t>(Gg)</w:t>
            </w:r>
          </w:p>
        </w:tc>
        <w:tc>
          <w:tcPr>
            <w:tcW w:w="2794" w:type="dxa"/>
            <w:gridSpan w:val="3"/>
            <w:tcBorders>
              <w:top w:val="double" w:sz="1" w:space="0" w:color="000000"/>
            </w:tcBorders>
            <w:shd w:val="clear" w:color="auto" w:fill="BFBFBF"/>
          </w:tcPr>
          <w:p>
            <w:pPr>
              <w:pStyle w:val="TableParagraph"/>
              <w:spacing w:line="232" w:lineRule="auto" w:before="29"/>
              <w:ind w:left="1232" w:right="1236" w:firstLine="1"/>
              <w:jc w:val="center"/>
              <w:rPr>
                <w:b/>
                <w:sz w:val="16"/>
              </w:rPr>
            </w:pPr>
            <w:r>
              <w:rPr>
                <w:b/>
                <w:position w:val="2"/>
                <w:sz w:val="16"/>
              </w:rPr>
              <w:t>NO</w:t>
            </w:r>
            <w:r>
              <w:rPr>
                <w:b/>
                <w:sz w:val="10"/>
              </w:rPr>
              <w:t>x </w:t>
            </w:r>
            <w:r>
              <w:rPr>
                <w:b/>
                <w:sz w:val="16"/>
              </w:rPr>
              <w:t>(Gg)</w:t>
            </w:r>
          </w:p>
        </w:tc>
        <w:tc>
          <w:tcPr>
            <w:tcW w:w="2796" w:type="dxa"/>
            <w:gridSpan w:val="3"/>
            <w:tcBorders>
              <w:top w:val="double" w:sz="1" w:space="0" w:color="000000"/>
            </w:tcBorders>
            <w:shd w:val="clear" w:color="auto" w:fill="BFBFBF"/>
          </w:tcPr>
          <w:p>
            <w:pPr>
              <w:pStyle w:val="TableParagraph"/>
              <w:spacing w:before="25"/>
              <w:ind w:left="1232" w:right="1239" w:hanging="1"/>
              <w:jc w:val="center"/>
              <w:rPr>
                <w:b/>
                <w:sz w:val="16"/>
              </w:rPr>
            </w:pPr>
            <w:r>
              <w:rPr>
                <w:b/>
                <w:sz w:val="16"/>
              </w:rPr>
              <w:t>CO (Gg)</w:t>
            </w:r>
          </w:p>
        </w:tc>
      </w:tr>
      <w:tr>
        <w:trPr>
          <w:trHeight w:val="609" w:hRule="atLeast"/>
        </w:trPr>
        <w:tc>
          <w:tcPr>
            <w:tcW w:w="1260" w:type="dxa"/>
            <w:shd w:val="clear" w:color="auto" w:fill="E4E4E4"/>
          </w:tcPr>
          <w:p>
            <w:pPr>
              <w:pStyle w:val="TableParagraph"/>
              <w:spacing w:before="25"/>
              <w:ind w:left="518" w:right="163" w:hanging="327"/>
              <w:rPr>
                <w:b/>
                <w:sz w:val="16"/>
              </w:rPr>
            </w:pPr>
            <w:r>
              <w:rPr>
                <w:b/>
                <w:sz w:val="16"/>
              </w:rPr>
              <w:t>Initial Land- use</w:t>
            </w:r>
          </w:p>
        </w:tc>
        <w:tc>
          <w:tcPr>
            <w:tcW w:w="1020" w:type="dxa"/>
            <w:shd w:val="clear" w:color="auto" w:fill="E4E4E4"/>
          </w:tcPr>
          <w:p>
            <w:pPr>
              <w:pStyle w:val="TableParagraph"/>
              <w:spacing w:before="25"/>
              <w:ind w:left="116" w:right="106"/>
              <w:jc w:val="center"/>
              <w:rPr>
                <w:b/>
                <w:sz w:val="16"/>
              </w:rPr>
            </w:pPr>
            <w:r>
              <w:rPr>
                <w:b/>
                <w:sz w:val="16"/>
              </w:rPr>
              <w:t>Land-use; reporting Year</w:t>
            </w:r>
          </w:p>
        </w:tc>
        <w:tc>
          <w:tcPr>
            <w:tcW w:w="958" w:type="dxa"/>
            <w:vMerge/>
            <w:tcBorders>
              <w:top w:val="nil"/>
            </w:tcBorders>
            <w:shd w:val="clear" w:color="auto" w:fill="BFBFBF"/>
          </w:tcPr>
          <w:p>
            <w:pPr>
              <w:rPr>
                <w:sz w:val="2"/>
                <w:szCs w:val="2"/>
              </w:rPr>
            </w:pPr>
          </w:p>
        </w:tc>
        <w:tc>
          <w:tcPr>
            <w:tcW w:w="932" w:type="dxa"/>
            <w:shd w:val="clear" w:color="auto" w:fill="E4E4E4"/>
          </w:tcPr>
          <w:p>
            <w:pPr>
              <w:pStyle w:val="TableParagraph"/>
              <w:spacing w:before="3"/>
              <w:rPr>
                <w:sz w:val="18"/>
              </w:rPr>
            </w:pPr>
          </w:p>
          <w:p>
            <w:pPr>
              <w:pStyle w:val="TableParagraph"/>
              <w:ind w:left="152"/>
              <w:rPr>
                <w:b/>
                <w:sz w:val="16"/>
              </w:rPr>
            </w:pPr>
            <w:r>
              <w:rPr>
                <w:b/>
                <w:sz w:val="16"/>
              </w:rPr>
              <w:t>Biomass</w:t>
            </w:r>
            <w:r>
              <w:rPr>
                <w:b/>
                <w:sz w:val="16"/>
                <w:vertAlign w:val="superscript"/>
              </w:rPr>
              <w:t>2</w:t>
            </w:r>
          </w:p>
        </w:tc>
        <w:tc>
          <w:tcPr>
            <w:tcW w:w="932" w:type="dxa"/>
            <w:shd w:val="clear" w:color="auto" w:fill="E4E4E4"/>
          </w:tcPr>
          <w:p>
            <w:pPr>
              <w:pStyle w:val="TableParagraph"/>
              <w:spacing w:before="3"/>
              <w:rPr>
                <w:sz w:val="18"/>
              </w:rPr>
            </w:pPr>
          </w:p>
          <w:p>
            <w:pPr>
              <w:pStyle w:val="TableParagraph"/>
              <w:ind w:left="303"/>
              <w:rPr>
                <w:b/>
                <w:sz w:val="16"/>
              </w:rPr>
            </w:pPr>
            <w:r>
              <w:rPr>
                <w:b/>
                <w:sz w:val="16"/>
              </w:rPr>
              <w:t>Soils</w:t>
            </w:r>
          </w:p>
        </w:tc>
        <w:tc>
          <w:tcPr>
            <w:tcW w:w="932" w:type="dxa"/>
            <w:shd w:val="clear" w:color="auto" w:fill="E4E4E4"/>
          </w:tcPr>
          <w:p>
            <w:pPr>
              <w:pStyle w:val="TableParagraph"/>
              <w:spacing w:before="3"/>
              <w:rPr>
                <w:sz w:val="18"/>
              </w:rPr>
            </w:pPr>
          </w:p>
          <w:p>
            <w:pPr>
              <w:pStyle w:val="TableParagraph"/>
              <w:ind w:left="278"/>
              <w:rPr>
                <w:b/>
                <w:sz w:val="16"/>
              </w:rPr>
            </w:pPr>
            <w:r>
              <w:rPr>
                <w:b/>
                <w:sz w:val="16"/>
              </w:rPr>
              <w:t>Total</w:t>
            </w:r>
          </w:p>
        </w:tc>
        <w:tc>
          <w:tcPr>
            <w:tcW w:w="930" w:type="dxa"/>
            <w:shd w:val="clear" w:color="auto" w:fill="E4E4E4"/>
          </w:tcPr>
          <w:p>
            <w:pPr>
              <w:pStyle w:val="TableParagraph"/>
              <w:spacing w:before="3"/>
              <w:rPr>
                <w:sz w:val="18"/>
              </w:rPr>
            </w:pPr>
          </w:p>
          <w:p>
            <w:pPr>
              <w:pStyle w:val="TableParagraph"/>
              <w:ind w:left="152"/>
              <w:rPr>
                <w:b/>
                <w:sz w:val="16"/>
              </w:rPr>
            </w:pPr>
            <w:r>
              <w:rPr>
                <w:b/>
                <w:sz w:val="16"/>
              </w:rPr>
              <w:t>Biomass</w:t>
            </w:r>
            <w:r>
              <w:rPr>
                <w:b/>
                <w:sz w:val="16"/>
                <w:vertAlign w:val="superscript"/>
              </w:rPr>
              <w:t>2</w:t>
            </w:r>
          </w:p>
        </w:tc>
        <w:tc>
          <w:tcPr>
            <w:tcW w:w="932" w:type="dxa"/>
            <w:shd w:val="clear" w:color="auto" w:fill="E4E4E4"/>
          </w:tcPr>
          <w:p>
            <w:pPr>
              <w:pStyle w:val="TableParagraph"/>
              <w:spacing w:before="3"/>
              <w:rPr>
                <w:sz w:val="18"/>
              </w:rPr>
            </w:pPr>
          </w:p>
          <w:p>
            <w:pPr>
              <w:pStyle w:val="TableParagraph"/>
              <w:ind w:left="274"/>
              <w:rPr>
                <w:b/>
                <w:sz w:val="16"/>
              </w:rPr>
            </w:pPr>
            <w:r>
              <w:rPr>
                <w:b/>
                <w:sz w:val="16"/>
              </w:rPr>
              <w:t>Soils</w:t>
            </w:r>
            <w:r>
              <w:rPr>
                <w:b/>
                <w:sz w:val="16"/>
                <w:vertAlign w:val="superscript"/>
              </w:rPr>
              <w:t>3</w:t>
            </w:r>
          </w:p>
        </w:tc>
        <w:tc>
          <w:tcPr>
            <w:tcW w:w="932" w:type="dxa"/>
            <w:shd w:val="clear" w:color="auto" w:fill="E4E4E4"/>
          </w:tcPr>
          <w:p>
            <w:pPr>
              <w:pStyle w:val="TableParagraph"/>
              <w:spacing w:before="3"/>
              <w:rPr>
                <w:sz w:val="18"/>
              </w:rPr>
            </w:pPr>
          </w:p>
          <w:p>
            <w:pPr>
              <w:pStyle w:val="TableParagraph"/>
              <w:ind w:left="275"/>
              <w:rPr>
                <w:b/>
                <w:sz w:val="16"/>
              </w:rPr>
            </w:pPr>
            <w:r>
              <w:rPr>
                <w:b/>
                <w:sz w:val="16"/>
              </w:rPr>
              <w:t>Total</w:t>
            </w:r>
          </w:p>
        </w:tc>
        <w:tc>
          <w:tcPr>
            <w:tcW w:w="932" w:type="dxa"/>
            <w:shd w:val="clear" w:color="auto" w:fill="E4E4E4"/>
          </w:tcPr>
          <w:p>
            <w:pPr>
              <w:pStyle w:val="TableParagraph"/>
              <w:spacing w:before="3"/>
              <w:rPr>
                <w:sz w:val="18"/>
              </w:rPr>
            </w:pPr>
          </w:p>
          <w:p>
            <w:pPr>
              <w:pStyle w:val="TableParagraph"/>
              <w:ind w:left="150"/>
              <w:rPr>
                <w:b/>
                <w:sz w:val="16"/>
              </w:rPr>
            </w:pPr>
            <w:r>
              <w:rPr>
                <w:b/>
                <w:sz w:val="16"/>
              </w:rPr>
              <w:t>Biomass</w:t>
            </w:r>
            <w:r>
              <w:rPr>
                <w:b/>
                <w:sz w:val="16"/>
                <w:vertAlign w:val="superscript"/>
              </w:rPr>
              <w:t>2</w:t>
            </w:r>
          </w:p>
        </w:tc>
        <w:tc>
          <w:tcPr>
            <w:tcW w:w="932" w:type="dxa"/>
            <w:shd w:val="clear" w:color="auto" w:fill="E4E4E4"/>
          </w:tcPr>
          <w:p>
            <w:pPr>
              <w:pStyle w:val="TableParagraph"/>
              <w:spacing w:before="3"/>
              <w:rPr>
                <w:sz w:val="18"/>
              </w:rPr>
            </w:pPr>
          </w:p>
          <w:p>
            <w:pPr>
              <w:pStyle w:val="TableParagraph"/>
              <w:ind w:left="298"/>
              <w:rPr>
                <w:b/>
                <w:sz w:val="16"/>
              </w:rPr>
            </w:pPr>
            <w:r>
              <w:rPr>
                <w:b/>
                <w:sz w:val="16"/>
              </w:rPr>
              <w:t>Soils</w:t>
            </w:r>
          </w:p>
        </w:tc>
        <w:tc>
          <w:tcPr>
            <w:tcW w:w="930" w:type="dxa"/>
            <w:shd w:val="clear" w:color="auto" w:fill="E4E4E4"/>
          </w:tcPr>
          <w:p>
            <w:pPr>
              <w:pStyle w:val="TableParagraph"/>
              <w:spacing w:before="3"/>
              <w:rPr>
                <w:sz w:val="18"/>
              </w:rPr>
            </w:pPr>
          </w:p>
          <w:p>
            <w:pPr>
              <w:pStyle w:val="TableParagraph"/>
              <w:ind w:left="273"/>
              <w:rPr>
                <w:b/>
                <w:sz w:val="16"/>
              </w:rPr>
            </w:pPr>
            <w:r>
              <w:rPr>
                <w:b/>
                <w:sz w:val="16"/>
              </w:rPr>
              <w:t>Total</w:t>
            </w:r>
          </w:p>
        </w:tc>
        <w:tc>
          <w:tcPr>
            <w:tcW w:w="932" w:type="dxa"/>
            <w:shd w:val="clear" w:color="auto" w:fill="E4E4E4"/>
          </w:tcPr>
          <w:p>
            <w:pPr>
              <w:pStyle w:val="TableParagraph"/>
              <w:spacing w:before="3"/>
              <w:rPr>
                <w:sz w:val="18"/>
              </w:rPr>
            </w:pPr>
          </w:p>
          <w:p>
            <w:pPr>
              <w:pStyle w:val="TableParagraph"/>
              <w:ind w:left="147"/>
              <w:rPr>
                <w:b/>
                <w:sz w:val="16"/>
              </w:rPr>
            </w:pPr>
            <w:r>
              <w:rPr>
                <w:b/>
                <w:sz w:val="16"/>
              </w:rPr>
              <w:t>Biomass</w:t>
            </w:r>
            <w:r>
              <w:rPr>
                <w:b/>
                <w:sz w:val="16"/>
                <w:vertAlign w:val="superscript"/>
              </w:rPr>
              <w:t>2</w:t>
            </w:r>
          </w:p>
        </w:tc>
        <w:tc>
          <w:tcPr>
            <w:tcW w:w="932" w:type="dxa"/>
            <w:shd w:val="clear" w:color="auto" w:fill="E4E4E4"/>
          </w:tcPr>
          <w:p>
            <w:pPr>
              <w:pStyle w:val="TableParagraph"/>
              <w:spacing w:before="3"/>
              <w:rPr>
                <w:sz w:val="18"/>
              </w:rPr>
            </w:pPr>
          </w:p>
          <w:p>
            <w:pPr>
              <w:pStyle w:val="TableParagraph"/>
              <w:ind w:left="295"/>
              <w:rPr>
                <w:b/>
                <w:sz w:val="16"/>
              </w:rPr>
            </w:pPr>
            <w:r>
              <w:rPr>
                <w:b/>
                <w:sz w:val="16"/>
              </w:rPr>
              <w:t>Soils</w:t>
            </w:r>
          </w:p>
        </w:tc>
        <w:tc>
          <w:tcPr>
            <w:tcW w:w="932" w:type="dxa"/>
            <w:shd w:val="clear" w:color="auto" w:fill="E4E4E4"/>
          </w:tcPr>
          <w:p>
            <w:pPr>
              <w:pStyle w:val="TableParagraph"/>
              <w:spacing w:before="3"/>
              <w:rPr>
                <w:sz w:val="18"/>
              </w:rPr>
            </w:pPr>
          </w:p>
          <w:p>
            <w:pPr>
              <w:pStyle w:val="TableParagraph"/>
              <w:ind w:left="270"/>
              <w:rPr>
                <w:b/>
                <w:sz w:val="16"/>
              </w:rPr>
            </w:pPr>
            <w:r>
              <w:rPr>
                <w:b/>
                <w:sz w:val="16"/>
              </w:rPr>
              <w:t>Total</w:t>
            </w:r>
          </w:p>
        </w:tc>
      </w:tr>
      <w:tr>
        <w:trPr>
          <w:trHeight w:val="184" w:hRule="atLeast"/>
        </w:trPr>
        <w:tc>
          <w:tcPr>
            <w:tcW w:w="1260" w:type="dxa"/>
          </w:tcPr>
          <w:p>
            <w:pPr>
              <w:pStyle w:val="TableParagraph"/>
              <w:spacing w:line="164" w:lineRule="exact"/>
              <w:ind w:left="107"/>
              <w:rPr>
                <w:sz w:val="16"/>
              </w:rPr>
            </w:pPr>
            <w:r>
              <w:rPr>
                <w:sz w:val="16"/>
              </w:rPr>
              <w:t>Settlements</w:t>
            </w:r>
          </w:p>
        </w:tc>
        <w:tc>
          <w:tcPr>
            <w:tcW w:w="1020" w:type="dxa"/>
          </w:tcPr>
          <w:p>
            <w:pPr>
              <w:pStyle w:val="TableParagraph"/>
              <w:spacing w:line="164" w:lineRule="exact"/>
              <w:ind w:left="108"/>
              <w:rPr>
                <w:sz w:val="16"/>
              </w:rPr>
            </w:pPr>
            <w:r>
              <w:rPr>
                <w:sz w:val="16"/>
              </w:rPr>
              <w:t>Settlements</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2" w:hRule="atLeast"/>
        </w:trPr>
        <w:tc>
          <w:tcPr>
            <w:tcW w:w="1260" w:type="dxa"/>
          </w:tcPr>
          <w:p>
            <w:pPr>
              <w:pStyle w:val="TableParagraph"/>
              <w:spacing w:line="162" w:lineRule="exact"/>
              <w:ind w:left="107"/>
              <w:rPr>
                <w:sz w:val="16"/>
              </w:rPr>
            </w:pPr>
            <w:r>
              <w:rPr>
                <w:sz w:val="16"/>
              </w:rPr>
              <w:t>Forest Land</w:t>
            </w:r>
          </w:p>
        </w:tc>
        <w:tc>
          <w:tcPr>
            <w:tcW w:w="1020" w:type="dxa"/>
          </w:tcPr>
          <w:p>
            <w:pPr>
              <w:pStyle w:val="TableParagraph"/>
              <w:spacing w:line="162" w:lineRule="exact"/>
              <w:ind w:left="107"/>
              <w:rPr>
                <w:sz w:val="16"/>
              </w:rPr>
            </w:pPr>
            <w:r>
              <w:rPr>
                <w:sz w:val="16"/>
              </w:rPr>
              <w:t>Settlements</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Cropland</w:t>
            </w:r>
          </w:p>
        </w:tc>
        <w:tc>
          <w:tcPr>
            <w:tcW w:w="1020" w:type="dxa"/>
          </w:tcPr>
          <w:p>
            <w:pPr>
              <w:pStyle w:val="TableParagraph"/>
              <w:spacing w:line="164" w:lineRule="exact"/>
              <w:ind w:left="107"/>
              <w:rPr>
                <w:sz w:val="16"/>
              </w:rPr>
            </w:pPr>
            <w:r>
              <w:rPr>
                <w:sz w:val="16"/>
              </w:rPr>
              <w:t>Settlements</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Grassland</w:t>
            </w:r>
          </w:p>
        </w:tc>
        <w:tc>
          <w:tcPr>
            <w:tcW w:w="1020" w:type="dxa"/>
          </w:tcPr>
          <w:p>
            <w:pPr>
              <w:pStyle w:val="TableParagraph"/>
              <w:spacing w:line="164" w:lineRule="exact"/>
              <w:ind w:left="108"/>
              <w:rPr>
                <w:sz w:val="16"/>
              </w:rPr>
            </w:pPr>
            <w:r>
              <w:rPr>
                <w:sz w:val="16"/>
              </w:rPr>
              <w:t>Settlements</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Wetlands</w:t>
            </w:r>
          </w:p>
        </w:tc>
        <w:tc>
          <w:tcPr>
            <w:tcW w:w="1020" w:type="dxa"/>
          </w:tcPr>
          <w:p>
            <w:pPr>
              <w:pStyle w:val="TableParagraph"/>
              <w:spacing w:line="164" w:lineRule="exact"/>
              <w:ind w:left="108"/>
              <w:rPr>
                <w:sz w:val="16"/>
              </w:rPr>
            </w:pPr>
            <w:r>
              <w:rPr>
                <w:sz w:val="16"/>
              </w:rPr>
              <w:t>Settlements</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2" w:hRule="atLeast"/>
        </w:trPr>
        <w:tc>
          <w:tcPr>
            <w:tcW w:w="1260" w:type="dxa"/>
          </w:tcPr>
          <w:p>
            <w:pPr>
              <w:pStyle w:val="TableParagraph"/>
              <w:spacing w:line="162" w:lineRule="exact"/>
              <w:ind w:left="107"/>
              <w:rPr>
                <w:sz w:val="16"/>
              </w:rPr>
            </w:pPr>
            <w:r>
              <w:rPr>
                <w:sz w:val="16"/>
              </w:rPr>
              <w:t>Other Land</w:t>
            </w:r>
          </w:p>
        </w:tc>
        <w:tc>
          <w:tcPr>
            <w:tcW w:w="1020" w:type="dxa"/>
          </w:tcPr>
          <w:p>
            <w:pPr>
              <w:pStyle w:val="TableParagraph"/>
              <w:spacing w:line="162" w:lineRule="exact"/>
              <w:ind w:left="107"/>
              <w:rPr>
                <w:sz w:val="16"/>
              </w:rPr>
            </w:pPr>
            <w:r>
              <w:rPr>
                <w:sz w:val="16"/>
              </w:rPr>
              <w:t>Settlements</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shd w:val="clear" w:color="auto" w:fill="BFBFBF"/>
          </w:tcPr>
          <w:p>
            <w:pPr>
              <w:pStyle w:val="TableParagraph"/>
              <w:rPr>
                <w:sz w:val="12"/>
              </w:rPr>
            </w:pPr>
          </w:p>
        </w:tc>
        <w:tc>
          <w:tcPr>
            <w:tcW w:w="1978" w:type="dxa"/>
            <w:gridSpan w:val="2"/>
          </w:tcPr>
          <w:p>
            <w:pPr>
              <w:pStyle w:val="TableParagraph"/>
              <w:spacing w:line="164" w:lineRule="exact"/>
              <w:ind w:left="107"/>
              <w:rPr>
                <w:b/>
                <w:sz w:val="16"/>
              </w:rPr>
            </w:pPr>
            <w:r>
              <w:rPr>
                <w:b/>
                <w:sz w:val="16"/>
              </w:rPr>
              <w:t>Sub-total for Settlements</w:t>
            </w: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Other Land</w:t>
            </w:r>
          </w:p>
        </w:tc>
        <w:tc>
          <w:tcPr>
            <w:tcW w:w="1020" w:type="dxa"/>
          </w:tcPr>
          <w:p>
            <w:pPr>
              <w:pStyle w:val="TableParagraph"/>
              <w:spacing w:line="164" w:lineRule="exact"/>
              <w:ind w:left="107"/>
              <w:rPr>
                <w:sz w:val="16"/>
              </w:rPr>
            </w:pPr>
            <w:r>
              <w:rPr>
                <w:sz w:val="16"/>
              </w:rPr>
              <w:t>Other Land</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Forest Land</w:t>
            </w:r>
          </w:p>
        </w:tc>
        <w:tc>
          <w:tcPr>
            <w:tcW w:w="1020" w:type="dxa"/>
          </w:tcPr>
          <w:p>
            <w:pPr>
              <w:pStyle w:val="TableParagraph"/>
              <w:spacing w:line="164" w:lineRule="exact"/>
              <w:ind w:left="107"/>
              <w:rPr>
                <w:sz w:val="16"/>
              </w:rPr>
            </w:pPr>
            <w:r>
              <w:rPr>
                <w:sz w:val="16"/>
              </w:rPr>
              <w:t>Other Land</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2" w:hRule="atLeast"/>
        </w:trPr>
        <w:tc>
          <w:tcPr>
            <w:tcW w:w="1260" w:type="dxa"/>
          </w:tcPr>
          <w:p>
            <w:pPr>
              <w:pStyle w:val="TableParagraph"/>
              <w:spacing w:line="162" w:lineRule="exact"/>
              <w:ind w:left="107"/>
              <w:rPr>
                <w:sz w:val="16"/>
              </w:rPr>
            </w:pPr>
            <w:r>
              <w:rPr>
                <w:sz w:val="16"/>
              </w:rPr>
              <w:t>Cropland</w:t>
            </w:r>
          </w:p>
        </w:tc>
        <w:tc>
          <w:tcPr>
            <w:tcW w:w="1020" w:type="dxa"/>
          </w:tcPr>
          <w:p>
            <w:pPr>
              <w:pStyle w:val="TableParagraph"/>
              <w:spacing w:line="162" w:lineRule="exact"/>
              <w:ind w:left="108"/>
              <w:rPr>
                <w:sz w:val="16"/>
              </w:rPr>
            </w:pPr>
            <w:r>
              <w:rPr>
                <w:sz w:val="16"/>
              </w:rPr>
              <w:t>Other Land</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Grassland</w:t>
            </w:r>
          </w:p>
        </w:tc>
        <w:tc>
          <w:tcPr>
            <w:tcW w:w="1020" w:type="dxa"/>
          </w:tcPr>
          <w:p>
            <w:pPr>
              <w:pStyle w:val="TableParagraph"/>
              <w:spacing w:line="164" w:lineRule="exact"/>
              <w:ind w:left="108"/>
              <w:rPr>
                <w:sz w:val="16"/>
              </w:rPr>
            </w:pPr>
            <w:r>
              <w:rPr>
                <w:sz w:val="16"/>
              </w:rPr>
              <w:t>Other Land</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Wetlands</w:t>
            </w:r>
          </w:p>
        </w:tc>
        <w:tc>
          <w:tcPr>
            <w:tcW w:w="1020" w:type="dxa"/>
          </w:tcPr>
          <w:p>
            <w:pPr>
              <w:pStyle w:val="TableParagraph"/>
              <w:spacing w:line="164" w:lineRule="exact"/>
              <w:ind w:left="108"/>
              <w:rPr>
                <w:sz w:val="16"/>
              </w:rPr>
            </w:pPr>
            <w:r>
              <w:rPr>
                <w:sz w:val="16"/>
              </w:rPr>
              <w:t>Other Land</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tcPr>
          <w:p>
            <w:pPr>
              <w:pStyle w:val="TableParagraph"/>
              <w:spacing w:line="164" w:lineRule="exact"/>
              <w:ind w:left="107"/>
              <w:rPr>
                <w:sz w:val="16"/>
              </w:rPr>
            </w:pPr>
            <w:r>
              <w:rPr>
                <w:sz w:val="16"/>
              </w:rPr>
              <w:t>Settlements</w:t>
            </w:r>
          </w:p>
        </w:tc>
        <w:tc>
          <w:tcPr>
            <w:tcW w:w="1020" w:type="dxa"/>
          </w:tcPr>
          <w:p>
            <w:pPr>
              <w:pStyle w:val="TableParagraph"/>
              <w:spacing w:line="164" w:lineRule="exact"/>
              <w:ind w:left="108"/>
              <w:rPr>
                <w:sz w:val="16"/>
              </w:rPr>
            </w:pPr>
            <w:r>
              <w:rPr>
                <w:sz w:val="16"/>
              </w:rPr>
              <w:t>Other Land</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shd w:val="clear" w:color="auto" w:fill="BFBFBF"/>
          </w:tcPr>
          <w:p>
            <w:pPr>
              <w:pStyle w:val="TableParagraph"/>
              <w:rPr>
                <w:sz w:val="12"/>
              </w:rPr>
            </w:pPr>
          </w:p>
        </w:tc>
        <w:tc>
          <w:tcPr>
            <w:tcW w:w="1978" w:type="dxa"/>
            <w:gridSpan w:val="2"/>
          </w:tcPr>
          <w:p>
            <w:pPr>
              <w:pStyle w:val="TableParagraph"/>
              <w:spacing w:line="164" w:lineRule="exact"/>
              <w:ind w:left="107"/>
              <w:rPr>
                <w:b/>
                <w:sz w:val="16"/>
              </w:rPr>
            </w:pPr>
            <w:r>
              <w:rPr>
                <w:b/>
                <w:sz w:val="16"/>
              </w:rPr>
              <w:t>Sub-total for Other Land</w:t>
            </w: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2" w:hRule="atLeast"/>
        </w:trPr>
        <w:tc>
          <w:tcPr>
            <w:tcW w:w="2280" w:type="dxa"/>
            <w:gridSpan w:val="2"/>
          </w:tcPr>
          <w:p>
            <w:pPr>
              <w:pStyle w:val="TableParagraph"/>
              <w:spacing w:line="162" w:lineRule="exact"/>
              <w:ind w:left="107"/>
              <w:rPr>
                <w:sz w:val="16"/>
              </w:rPr>
            </w:pPr>
            <w:r>
              <w:rPr>
                <w:sz w:val="16"/>
              </w:rPr>
              <w:t>Other (pls. specify)</w:t>
            </w: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tcPr>
          <w:p>
            <w:pPr>
              <w:pStyle w:val="TableParagraph"/>
              <w:rPr>
                <w:sz w:val="12"/>
              </w:rPr>
            </w:pPr>
          </w:p>
        </w:tc>
        <w:tc>
          <w:tcPr>
            <w:tcW w:w="1020" w:type="dxa"/>
          </w:tcPr>
          <w:p>
            <w:pPr>
              <w:pStyle w:val="TableParagraph"/>
              <w:rPr>
                <w:sz w:val="12"/>
              </w:rPr>
            </w:pPr>
          </w:p>
        </w:tc>
        <w:tc>
          <w:tcPr>
            <w:tcW w:w="958"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1260" w:type="dxa"/>
            <w:shd w:val="clear" w:color="auto" w:fill="BFBFBF"/>
          </w:tcPr>
          <w:p>
            <w:pPr>
              <w:pStyle w:val="TableParagraph"/>
              <w:rPr>
                <w:sz w:val="12"/>
              </w:rPr>
            </w:pPr>
          </w:p>
        </w:tc>
        <w:tc>
          <w:tcPr>
            <w:tcW w:w="1978" w:type="dxa"/>
            <w:gridSpan w:val="2"/>
          </w:tcPr>
          <w:p>
            <w:pPr>
              <w:pStyle w:val="TableParagraph"/>
              <w:spacing w:line="164" w:lineRule="exact"/>
              <w:ind w:left="107"/>
              <w:rPr>
                <w:b/>
                <w:sz w:val="16"/>
              </w:rPr>
            </w:pPr>
            <w:r>
              <w:rPr>
                <w:b/>
                <w:sz w:val="16"/>
              </w:rPr>
              <w:t>Sub-total for Other</w:t>
            </w: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84" w:hRule="atLeast"/>
        </w:trPr>
        <w:tc>
          <w:tcPr>
            <w:tcW w:w="3238" w:type="dxa"/>
            <w:gridSpan w:val="3"/>
            <w:shd w:val="clear" w:color="auto" w:fill="BFBFBF"/>
          </w:tcPr>
          <w:p>
            <w:pPr>
              <w:pStyle w:val="TableParagraph"/>
              <w:spacing w:line="164" w:lineRule="exact"/>
              <w:ind w:left="1415" w:right="1407"/>
              <w:jc w:val="center"/>
              <w:rPr>
                <w:b/>
                <w:sz w:val="16"/>
              </w:rPr>
            </w:pPr>
            <w:r>
              <w:rPr>
                <w:b/>
                <w:sz w:val="16"/>
              </w:rPr>
              <w:t>Total</w:t>
            </w: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0"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c>
          <w:tcPr>
            <w:tcW w:w="932" w:type="dxa"/>
          </w:tcPr>
          <w:p>
            <w:pPr>
              <w:pStyle w:val="TableParagraph"/>
              <w:rPr>
                <w:sz w:val="12"/>
              </w:rPr>
            </w:pPr>
          </w:p>
        </w:tc>
      </w:tr>
      <w:tr>
        <w:trPr>
          <w:trHeight w:val="1062" w:hRule="atLeast"/>
        </w:trPr>
        <w:tc>
          <w:tcPr>
            <w:tcW w:w="14418" w:type="dxa"/>
            <w:gridSpan w:val="15"/>
          </w:tcPr>
          <w:p>
            <w:pPr>
              <w:pStyle w:val="TableParagraph"/>
              <w:spacing w:line="213" w:lineRule="auto" w:before="65"/>
              <w:ind w:left="182" w:hanging="75"/>
              <w:rPr>
                <w:sz w:val="16"/>
              </w:rPr>
            </w:pPr>
            <w:r>
              <w:rPr>
                <w:position w:val="9"/>
                <w:sz w:val="10"/>
              </w:rPr>
              <w:t>1 </w:t>
            </w:r>
            <w:r>
              <w:rPr>
                <w:position w:val="2"/>
                <w:sz w:val="16"/>
              </w:rPr>
              <w:t>All units should be reported in gigagram (Gg). To convert unit from “kg N</w:t>
            </w:r>
            <w:r>
              <w:rPr>
                <w:sz w:val="10"/>
              </w:rPr>
              <w:t>2</w:t>
            </w:r>
            <w:r>
              <w:rPr>
                <w:position w:val="2"/>
                <w:sz w:val="16"/>
              </w:rPr>
              <w:t>O-N” to Gg N</w:t>
            </w:r>
            <w:r>
              <w:rPr>
                <w:sz w:val="10"/>
              </w:rPr>
              <w:t>2</w:t>
            </w:r>
            <w:r>
              <w:rPr>
                <w:position w:val="2"/>
                <w:sz w:val="16"/>
              </w:rPr>
              <w:t>O, multiply the value (from the worksheets) by 44/28 and 10</w:t>
            </w:r>
            <w:r>
              <w:rPr>
                <w:position w:val="2"/>
                <w:sz w:val="16"/>
                <w:vertAlign w:val="superscript"/>
              </w:rPr>
              <w:t>-6</w:t>
            </w:r>
            <w:r>
              <w:rPr>
                <w:position w:val="2"/>
                <w:sz w:val="16"/>
                <w:vertAlign w:val="baseline"/>
              </w:rPr>
              <w:t>. Similar to the convention used in the worksheets, the sign for </w:t>
            </w:r>
            <w:r>
              <w:rPr>
                <w:sz w:val="16"/>
                <w:vertAlign w:val="baseline"/>
              </w:rPr>
              <w:t>removal (uptake) is positive (+) and for emission is negative (-).</w:t>
            </w:r>
          </w:p>
          <w:p>
            <w:pPr>
              <w:pStyle w:val="TableParagraph"/>
              <w:spacing w:before="89"/>
              <w:ind w:left="107"/>
              <w:rPr>
                <w:sz w:val="16"/>
              </w:rPr>
            </w:pPr>
            <w:r>
              <w:rPr>
                <w:position w:val="7"/>
                <w:sz w:val="10"/>
              </w:rPr>
              <w:t>2 </w:t>
            </w:r>
            <w:r>
              <w:rPr>
                <w:sz w:val="16"/>
              </w:rPr>
              <w:t>Disturbances to woody biomass growth may occur only in forest land and grassland. Non-CO2 emissions from prescribed burning of savanna (grassland) are reported in Chapter 4 of the </w:t>
            </w:r>
            <w:r>
              <w:rPr>
                <w:i/>
                <w:sz w:val="16"/>
              </w:rPr>
              <w:t>IPCC Guidelines</w:t>
            </w:r>
            <w:r>
              <w:rPr>
                <w:sz w:val="16"/>
              </w:rPr>
              <w:t>.</w:t>
            </w:r>
          </w:p>
          <w:p>
            <w:pPr>
              <w:pStyle w:val="TableParagraph"/>
              <w:spacing w:before="87"/>
              <w:ind w:left="107"/>
              <w:rPr>
                <w:sz w:val="16"/>
              </w:rPr>
            </w:pPr>
            <w:r>
              <w:rPr>
                <w:position w:val="9"/>
                <w:sz w:val="10"/>
              </w:rPr>
              <w:t>3 </w:t>
            </w:r>
            <w:r>
              <w:rPr>
                <w:position w:val="2"/>
                <w:sz w:val="16"/>
              </w:rPr>
              <w:t>Fertilisation is practiced in forest land, cropland, and grassland. N</w:t>
            </w:r>
            <w:r>
              <w:rPr>
                <w:sz w:val="10"/>
              </w:rPr>
              <w:t>2</w:t>
            </w:r>
            <w:r>
              <w:rPr>
                <w:position w:val="2"/>
                <w:sz w:val="16"/>
              </w:rPr>
              <w:t>O emissions from the use of N-fertilisers in cropland are reported in Chapter 4 of the </w:t>
            </w:r>
            <w:r>
              <w:rPr>
                <w:i/>
                <w:position w:val="2"/>
                <w:sz w:val="16"/>
              </w:rPr>
              <w:t>IPCC Guidelines</w:t>
            </w:r>
            <w:r>
              <w:rPr>
                <w:position w:val="2"/>
                <w:sz w:val="16"/>
              </w:rPr>
              <w:t>.</w:t>
            </w:r>
          </w:p>
        </w:tc>
      </w:tr>
    </w:tbl>
    <w:p>
      <w:pPr>
        <w:spacing w:after="0"/>
        <w:rPr>
          <w:sz w:val="16"/>
        </w:rPr>
        <w:sectPr>
          <w:pgSz w:w="16840" w:h="11900" w:orient="landscape"/>
          <w:pgMar w:header="458" w:footer="439" w:top="120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938"/>
        <w:gridCol w:w="1113"/>
        <w:gridCol w:w="1439"/>
        <w:gridCol w:w="1439"/>
        <w:gridCol w:w="1619"/>
        <w:gridCol w:w="1979"/>
        <w:gridCol w:w="1619"/>
        <w:gridCol w:w="1799"/>
        <w:gridCol w:w="179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06" w:type="dxa"/>
            <w:gridSpan w:val="8"/>
          </w:tcPr>
          <w:p>
            <w:pPr>
              <w:pStyle w:val="TableParagraph"/>
              <w:spacing w:before="26"/>
              <w:ind w:left="108"/>
              <w:rPr>
                <w:b/>
                <w:sz w:val="20"/>
              </w:rPr>
            </w:pPr>
            <w:r>
              <w:rPr>
                <w:b/>
                <w:sz w:val="20"/>
              </w:rPr>
              <w:t>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06" w:type="dxa"/>
            <w:gridSpan w:val="8"/>
          </w:tcPr>
          <w:p>
            <w:pPr>
              <w:pStyle w:val="TableParagraph"/>
              <w:spacing w:before="26"/>
              <w:ind w:left="107"/>
              <w:rPr>
                <w:b/>
                <w:sz w:val="20"/>
              </w:rPr>
            </w:pPr>
            <w:r>
              <w:rPr>
                <w:b/>
                <w:sz w:val="20"/>
              </w:rPr>
              <w:t>Forest Land Remaining 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06" w:type="dxa"/>
            <w:gridSpan w:val="8"/>
          </w:tcPr>
          <w:p>
            <w:pPr>
              <w:pStyle w:val="TableParagraph"/>
              <w:spacing w:before="26"/>
              <w:ind w:left="108"/>
              <w:rPr>
                <w:b/>
                <w:sz w:val="20"/>
              </w:rPr>
            </w:pPr>
            <w:r>
              <w:rPr>
                <w:b/>
                <w:sz w:val="20"/>
              </w:rPr>
              <w:t>FL-1a: Annual change in carbon stocks in living biomass (includes above and below ground biomass)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06" w:type="dxa"/>
            <w:gridSpan w:val="8"/>
          </w:tcPr>
          <w:p>
            <w:pPr>
              <w:pStyle w:val="TableParagraph"/>
              <w:spacing w:before="26"/>
              <w:ind w:left="108"/>
              <w:rPr>
                <w:b/>
                <w:sz w:val="20"/>
              </w:rPr>
            </w:pPr>
            <w:r>
              <w:rPr>
                <w:b/>
                <w:sz w:val="20"/>
              </w:rPr>
              <w:t>1 of 4</w:t>
            </w:r>
          </w:p>
        </w:tc>
      </w:tr>
      <w:tr>
        <w:trPr>
          <w:trHeight w:val="424" w:hRule="atLeast"/>
        </w:trPr>
        <w:tc>
          <w:tcPr>
            <w:tcW w:w="1874" w:type="dxa"/>
            <w:gridSpan w:val="2"/>
            <w:shd w:val="clear" w:color="auto" w:fill="E4E4E4"/>
          </w:tcPr>
          <w:p>
            <w:pPr>
              <w:pStyle w:val="TableParagraph"/>
              <w:spacing w:before="23"/>
              <w:ind w:left="599" w:right="65" w:firstLine="38"/>
              <w:rPr>
                <w:sz w:val="16"/>
              </w:rPr>
            </w:pPr>
            <w:r>
              <w:rPr>
                <w:sz w:val="16"/>
              </w:rPr>
              <w:t>Land-use Category </w:t>
            </w:r>
            <w:r>
              <w:rPr>
                <w:sz w:val="16"/>
                <w:vertAlign w:val="superscript"/>
              </w:rPr>
              <w:t>2</w:t>
            </w:r>
          </w:p>
        </w:tc>
        <w:tc>
          <w:tcPr>
            <w:tcW w:w="1113" w:type="dxa"/>
            <w:vMerge w:val="restart"/>
            <w:shd w:val="clear" w:color="auto" w:fill="E4E4E4"/>
          </w:tcPr>
          <w:p>
            <w:pPr>
              <w:pStyle w:val="TableParagraph"/>
              <w:spacing w:before="23"/>
              <w:ind w:left="120" w:right="106" w:firstLine="3"/>
              <w:jc w:val="center"/>
              <w:rPr>
                <w:sz w:val="16"/>
              </w:rPr>
            </w:pPr>
            <w:r>
              <w:rPr>
                <w:sz w:val="16"/>
              </w:rPr>
              <w:t>Sub- categories for Reporting Year </w:t>
            </w:r>
            <w:r>
              <w:rPr>
                <w:sz w:val="16"/>
                <w:vertAlign w:val="superscript"/>
              </w:rPr>
              <w:t>3</w:t>
            </w:r>
          </w:p>
        </w:tc>
        <w:tc>
          <w:tcPr>
            <w:tcW w:w="1439" w:type="dxa"/>
            <w:vMerge w:val="restart"/>
            <w:shd w:val="clear" w:color="auto" w:fill="E4E4E4"/>
          </w:tcPr>
          <w:p>
            <w:pPr>
              <w:pStyle w:val="TableParagraph"/>
              <w:spacing w:before="23"/>
              <w:ind w:left="118" w:right="101"/>
              <w:jc w:val="center"/>
              <w:rPr>
                <w:sz w:val="16"/>
              </w:rPr>
            </w:pPr>
            <w:r>
              <w:rPr>
                <w:sz w:val="16"/>
              </w:rPr>
              <w:t>Area of forest</w:t>
            </w:r>
            <w:r>
              <w:rPr>
                <w:spacing w:val="-6"/>
                <w:sz w:val="16"/>
              </w:rPr>
              <w:t> </w:t>
            </w:r>
            <w:r>
              <w:rPr>
                <w:sz w:val="16"/>
              </w:rPr>
              <w:t>land remaining forest land</w:t>
            </w:r>
          </w:p>
          <w:p>
            <w:pPr>
              <w:pStyle w:val="TableParagraph"/>
              <w:spacing w:before="10"/>
              <w:rPr>
                <w:sz w:val="15"/>
              </w:rPr>
            </w:pPr>
          </w:p>
          <w:p>
            <w:pPr>
              <w:pStyle w:val="TableParagraph"/>
              <w:ind w:left="114" w:right="101"/>
              <w:jc w:val="center"/>
              <w:rPr>
                <w:sz w:val="16"/>
              </w:rPr>
            </w:pPr>
            <w:r>
              <w:rPr>
                <w:sz w:val="16"/>
              </w:rPr>
              <w:t>(ha)</w:t>
            </w:r>
          </w:p>
          <w:p>
            <w:pPr>
              <w:pStyle w:val="TableParagraph"/>
              <w:rPr>
                <w:sz w:val="18"/>
              </w:rPr>
            </w:pPr>
          </w:p>
          <w:p>
            <w:pPr>
              <w:pStyle w:val="TableParagraph"/>
              <w:rPr>
                <w:sz w:val="18"/>
              </w:rPr>
            </w:pPr>
          </w:p>
          <w:p>
            <w:pPr>
              <w:pStyle w:val="TableParagraph"/>
              <w:spacing w:before="10"/>
              <w:rPr>
                <w:sz w:val="16"/>
              </w:rPr>
            </w:pPr>
          </w:p>
          <w:p>
            <w:pPr>
              <w:pStyle w:val="TableParagraph"/>
              <w:spacing w:line="168" w:lineRule="exact"/>
              <w:ind w:left="13"/>
              <w:jc w:val="center"/>
              <w:rPr>
                <w:sz w:val="16"/>
              </w:rPr>
            </w:pPr>
            <w:r>
              <w:rPr>
                <w:w w:val="100"/>
                <w:sz w:val="16"/>
              </w:rPr>
              <w:t>A</w:t>
            </w:r>
          </w:p>
        </w:tc>
        <w:tc>
          <w:tcPr>
            <w:tcW w:w="1439" w:type="dxa"/>
            <w:vMerge w:val="restart"/>
            <w:shd w:val="clear" w:color="auto" w:fill="E4E4E4"/>
          </w:tcPr>
          <w:p>
            <w:pPr>
              <w:pStyle w:val="TableParagraph"/>
              <w:spacing w:before="23"/>
              <w:ind w:left="200" w:right="186" w:firstLine="2"/>
              <w:jc w:val="center"/>
              <w:rPr>
                <w:sz w:val="16"/>
              </w:rPr>
            </w:pPr>
            <w:r>
              <w:rPr>
                <w:sz w:val="16"/>
              </w:rPr>
              <w:t>Average annual net increment in volume suitable for industrial processing</w:t>
            </w:r>
          </w:p>
          <w:p>
            <w:pPr>
              <w:pStyle w:val="TableParagraph"/>
              <w:rPr>
                <w:sz w:val="16"/>
              </w:rPr>
            </w:pPr>
          </w:p>
          <w:p>
            <w:pPr>
              <w:pStyle w:val="TableParagraph"/>
              <w:ind w:left="116" w:right="101"/>
              <w:jc w:val="center"/>
              <w:rPr>
                <w:sz w:val="16"/>
              </w:rPr>
            </w:pPr>
            <w:r>
              <w:rPr>
                <w:sz w:val="16"/>
              </w:rPr>
              <w:t>(m</w:t>
            </w:r>
            <w:r>
              <w:rPr>
                <w:sz w:val="16"/>
                <w:vertAlign w:val="superscript"/>
              </w:rPr>
              <w:t>3</w:t>
            </w:r>
            <w:r>
              <w:rPr>
                <w:sz w:val="16"/>
                <w:vertAlign w:val="baseline"/>
              </w:rPr>
              <w:t>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spacing w:before="8"/>
              <w:rPr>
                <w:sz w:val="20"/>
              </w:rPr>
            </w:pPr>
          </w:p>
          <w:p>
            <w:pPr>
              <w:pStyle w:val="TableParagraph"/>
              <w:spacing w:line="168" w:lineRule="exact"/>
              <w:ind w:left="11"/>
              <w:jc w:val="center"/>
              <w:rPr>
                <w:sz w:val="16"/>
              </w:rPr>
            </w:pPr>
            <w:r>
              <w:rPr>
                <w:w w:val="100"/>
                <w:sz w:val="16"/>
              </w:rPr>
              <w:t>B</w:t>
            </w:r>
          </w:p>
        </w:tc>
        <w:tc>
          <w:tcPr>
            <w:tcW w:w="1619" w:type="dxa"/>
            <w:vMerge w:val="restart"/>
            <w:shd w:val="clear" w:color="auto" w:fill="E4E4E4"/>
          </w:tcPr>
          <w:p>
            <w:pPr>
              <w:pStyle w:val="TableParagraph"/>
              <w:spacing w:before="23"/>
              <w:ind w:left="98" w:right="80"/>
              <w:jc w:val="center"/>
              <w:rPr>
                <w:sz w:val="16"/>
              </w:rPr>
            </w:pPr>
            <w:r>
              <w:rPr>
                <w:sz w:val="16"/>
              </w:rPr>
              <w:t>Basic wood density</w:t>
            </w:r>
          </w:p>
          <w:p>
            <w:pPr>
              <w:pStyle w:val="TableParagraph"/>
              <w:spacing w:before="10"/>
              <w:rPr>
                <w:sz w:val="15"/>
              </w:rPr>
            </w:pPr>
          </w:p>
          <w:p>
            <w:pPr>
              <w:pStyle w:val="TableParagraph"/>
              <w:spacing w:before="1"/>
              <w:ind w:left="94" w:right="81"/>
              <w:jc w:val="center"/>
              <w:rPr>
                <w:sz w:val="16"/>
              </w:rPr>
            </w:pPr>
            <w:r>
              <w:rPr>
                <w:sz w:val="16"/>
              </w:rPr>
              <w:t>(tonnes d.m.</w:t>
            </w:r>
          </w:p>
          <w:p>
            <w:pPr>
              <w:pStyle w:val="TableParagraph"/>
              <w:ind w:left="98" w:right="81"/>
              <w:jc w:val="center"/>
              <w:rPr>
                <w:sz w:val="16"/>
              </w:rPr>
            </w:pPr>
            <w:r>
              <w:rPr>
                <w:sz w:val="16"/>
              </w:rPr>
              <w:t>per m</w:t>
            </w:r>
            <w:r>
              <w:rPr>
                <w:sz w:val="16"/>
                <w:vertAlign w:val="superscript"/>
              </w:rPr>
              <w:t>-3</w:t>
            </w:r>
            <w:r>
              <w:rPr>
                <w:sz w:val="16"/>
                <w:vertAlign w:val="baseline"/>
              </w:rPr>
              <w:t> fresh volume)</w:t>
            </w:r>
          </w:p>
          <w:p>
            <w:pPr>
              <w:pStyle w:val="TableParagraph"/>
              <w:rPr>
                <w:sz w:val="18"/>
              </w:rPr>
            </w:pPr>
          </w:p>
          <w:p>
            <w:pPr>
              <w:pStyle w:val="TableParagraph"/>
              <w:rPr>
                <w:sz w:val="18"/>
              </w:rPr>
            </w:pPr>
          </w:p>
          <w:p>
            <w:pPr>
              <w:pStyle w:val="TableParagraph"/>
              <w:rPr>
                <w:sz w:val="18"/>
              </w:rPr>
            </w:pPr>
          </w:p>
          <w:p>
            <w:pPr>
              <w:pStyle w:val="TableParagraph"/>
              <w:spacing w:before="9"/>
              <w:rPr>
                <w:sz w:val="14"/>
              </w:rPr>
            </w:pPr>
          </w:p>
          <w:p>
            <w:pPr>
              <w:pStyle w:val="TableParagraph"/>
              <w:spacing w:line="168" w:lineRule="exact"/>
              <w:ind w:left="15"/>
              <w:jc w:val="center"/>
              <w:rPr>
                <w:sz w:val="16"/>
              </w:rPr>
            </w:pPr>
            <w:r>
              <w:rPr>
                <w:w w:val="100"/>
                <w:sz w:val="16"/>
              </w:rPr>
              <w:t>C</w:t>
            </w:r>
          </w:p>
        </w:tc>
        <w:tc>
          <w:tcPr>
            <w:tcW w:w="1979" w:type="dxa"/>
            <w:vMerge w:val="restart"/>
            <w:shd w:val="clear" w:color="auto" w:fill="E4E4E4"/>
          </w:tcPr>
          <w:p>
            <w:pPr>
              <w:pStyle w:val="TableParagraph"/>
              <w:spacing w:before="23"/>
              <w:ind w:left="145" w:right="125" w:hanging="3"/>
              <w:jc w:val="center"/>
              <w:rPr>
                <w:sz w:val="16"/>
              </w:rPr>
            </w:pPr>
            <w:r>
              <w:rPr>
                <w:sz w:val="16"/>
              </w:rPr>
              <w:t>Biomass Expansion factor for conversion of annual net increment (including bark) to above ground tree biomass increment</w:t>
            </w:r>
          </w:p>
          <w:p>
            <w:pPr>
              <w:pStyle w:val="TableParagraph"/>
              <w:rPr>
                <w:sz w:val="16"/>
              </w:rPr>
            </w:pPr>
          </w:p>
          <w:p>
            <w:pPr>
              <w:pStyle w:val="TableParagraph"/>
              <w:ind w:left="164" w:right="149"/>
              <w:jc w:val="center"/>
              <w:rPr>
                <w:sz w:val="16"/>
              </w:rPr>
            </w:pPr>
            <w:r>
              <w:rPr>
                <w:sz w:val="16"/>
              </w:rPr>
              <w:t>(dimensionless)</w:t>
            </w:r>
          </w:p>
          <w:p>
            <w:pPr>
              <w:pStyle w:val="TableParagraph"/>
              <w:spacing w:before="8"/>
              <w:rPr>
                <w:sz w:val="20"/>
              </w:rPr>
            </w:pPr>
          </w:p>
          <w:p>
            <w:pPr>
              <w:pStyle w:val="TableParagraph"/>
              <w:spacing w:line="168" w:lineRule="exact"/>
              <w:ind w:left="17"/>
              <w:jc w:val="center"/>
              <w:rPr>
                <w:sz w:val="16"/>
              </w:rPr>
            </w:pPr>
            <w:r>
              <w:rPr>
                <w:w w:val="100"/>
                <w:sz w:val="16"/>
              </w:rPr>
              <w:t>D</w:t>
            </w:r>
          </w:p>
        </w:tc>
        <w:tc>
          <w:tcPr>
            <w:tcW w:w="1619" w:type="dxa"/>
            <w:vMerge w:val="restart"/>
            <w:shd w:val="clear" w:color="auto" w:fill="E4E4E4"/>
          </w:tcPr>
          <w:p>
            <w:pPr>
              <w:pStyle w:val="TableParagraph"/>
              <w:spacing w:before="23"/>
              <w:ind w:left="112" w:right="92" w:firstLine="4"/>
              <w:jc w:val="center"/>
              <w:rPr>
                <w:sz w:val="16"/>
              </w:rPr>
            </w:pPr>
            <w:r>
              <w:rPr>
                <w:sz w:val="16"/>
              </w:rPr>
              <w:t>Average annual aboveground biomass increment</w:t>
            </w:r>
          </w:p>
          <w:p>
            <w:pPr>
              <w:pStyle w:val="TableParagraph"/>
              <w:spacing w:before="10"/>
              <w:rPr>
                <w:sz w:val="15"/>
              </w:rPr>
            </w:pPr>
          </w:p>
          <w:p>
            <w:pPr>
              <w:pStyle w:val="TableParagraph"/>
              <w:spacing w:line="496" w:lineRule="auto"/>
              <w:ind w:left="98" w:right="77"/>
              <w:jc w:val="center"/>
              <w:rPr>
                <w:sz w:val="16"/>
              </w:rPr>
            </w:pPr>
            <w:r>
              <w:rPr>
                <w:sz w:val="16"/>
              </w:rPr>
              <w:t>(tonnes d.m. ha</w:t>
            </w:r>
            <w:r>
              <w:rPr>
                <w:sz w:val="16"/>
                <w:vertAlign w:val="superscript"/>
              </w:rPr>
              <w:t>-1</w:t>
            </w:r>
            <w:r>
              <w:rPr>
                <w:sz w:val="16"/>
                <w:vertAlign w:val="baseline"/>
              </w:rPr>
              <w:t> yr</w:t>
            </w:r>
            <w:r>
              <w:rPr>
                <w:sz w:val="16"/>
                <w:vertAlign w:val="superscript"/>
              </w:rPr>
              <w:t>-1</w:t>
            </w:r>
            <w:r>
              <w:rPr>
                <w:sz w:val="16"/>
                <w:vertAlign w:val="baseline"/>
              </w:rPr>
              <w:t>) E = B </w:t>
            </w:r>
            <w:r>
              <w:rPr>
                <w:rFonts w:ascii="Symbol" w:hAnsi="Symbol"/>
                <w:sz w:val="16"/>
                <w:vertAlign w:val="baseline"/>
              </w:rPr>
              <w:t>• </w:t>
            </w:r>
            <w:r>
              <w:rPr>
                <w:sz w:val="16"/>
                <w:vertAlign w:val="baseline"/>
              </w:rPr>
              <w:t>C </w:t>
            </w:r>
            <w:r>
              <w:rPr>
                <w:rFonts w:ascii="Symbol" w:hAnsi="Symbol"/>
                <w:sz w:val="16"/>
                <w:vertAlign w:val="baseline"/>
              </w:rPr>
              <w:t>• </w:t>
            </w:r>
            <w:r>
              <w:rPr>
                <w:sz w:val="16"/>
                <w:vertAlign w:val="baseline"/>
              </w:rPr>
              <w:t>D</w:t>
            </w:r>
          </w:p>
          <w:p>
            <w:pPr>
              <w:pStyle w:val="TableParagraph"/>
              <w:spacing w:line="168" w:lineRule="exact" w:before="17"/>
              <w:ind w:left="20"/>
              <w:jc w:val="center"/>
              <w:rPr>
                <w:sz w:val="16"/>
              </w:rPr>
            </w:pPr>
            <w:r>
              <w:rPr>
                <w:w w:val="100"/>
                <w:sz w:val="16"/>
              </w:rPr>
              <w:t>E</w:t>
            </w:r>
          </w:p>
        </w:tc>
        <w:tc>
          <w:tcPr>
            <w:tcW w:w="1799" w:type="dxa"/>
            <w:vMerge w:val="restart"/>
            <w:shd w:val="clear" w:color="auto" w:fill="E4E4E4"/>
          </w:tcPr>
          <w:p>
            <w:pPr>
              <w:pStyle w:val="TableParagraph"/>
              <w:spacing w:before="23"/>
              <w:ind w:left="235" w:right="209"/>
              <w:jc w:val="center"/>
              <w:rPr>
                <w:sz w:val="16"/>
              </w:rPr>
            </w:pPr>
            <w:r>
              <w:rPr>
                <w:sz w:val="16"/>
              </w:rPr>
              <w:t>Root-shoot ratio appropriate to increments</w:t>
            </w:r>
          </w:p>
          <w:p>
            <w:pPr>
              <w:pStyle w:val="TableParagraph"/>
              <w:spacing w:before="10"/>
              <w:rPr>
                <w:sz w:val="15"/>
              </w:rPr>
            </w:pPr>
          </w:p>
          <w:p>
            <w:pPr>
              <w:pStyle w:val="TableParagraph"/>
              <w:ind w:left="231" w:right="209"/>
              <w:jc w:val="center"/>
              <w:rPr>
                <w:sz w:val="16"/>
              </w:rPr>
            </w:pPr>
            <w:r>
              <w:rPr>
                <w:sz w:val="16"/>
              </w:rPr>
              <w:t>(dimensionless)</w:t>
            </w:r>
          </w:p>
          <w:p>
            <w:pPr>
              <w:pStyle w:val="TableParagraph"/>
              <w:rPr>
                <w:sz w:val="18"/>
              </w:rPr>
            </w:pPr>
          </w:p>
          <w:p>
            <w:pPr>
              <w:pStyle w:val="TableParagraph"/>
              <w:rPr>
                <w:sz w:val="18"/>
              </w:rPr>
            </w:pPr>
          </w:p>
          <w:p>
            <w:pPr>
              <w:pStyle w:val="TableParagraph"/>
              <w:spacing w:before="10"/>
              <w:rPr>
                <w:sz w:val="16"/>
              </w:rPr>
            </w:pPr>
          </w:p>
          <w:p>
            <w:pPr>
              <w:pStyle w:val="TableParagraph"/>
              <w:spacing w:line="168" w:lineRule="exact"/>
              <w:ind w:left="25"/>
              <w:jc w:val="center"/>
              <w:rPr>
                <w:sz w:val="16"/>
              </w:rPr>
            </w:pPr>
            <w:r>
              <w:rPr>
                <w:w w:val="100"/>
                <w:sz w:val="16"/>
              </w:rPr>
              <w:t>F</w:t>
            </w:r>
          </w:p>
        </w:tc>
        <w:tc>
          <w:tcPr>
            <w:tcW w:w="1799" w:type="dxa"/>
            <w:vMerge w:val="restart"/>
            <w:shd w:val="clear" w:color="auto" w:fill="E4E4E4"/>
          </w:tcPr>
          <w:p>
            <w:pPr>
              <w:pStyle w:val="TableParagraph"/>
              <w:spacing w:before="23"/>
              <w:ind w:left="119" w:right="93"/>
              <w:jc w:val="center"/>
              <w:rPr>
                <w:sz w:val="16"/>
              </w:rPr>
            </w:pPr>
            <w:r>
              <w:rPr>
                <w:sz w:val="16"/>
              </w:rPr>
              <w:t>Average annual</w:t>
            </w:r>
            <w:r>
              <w:rPr>
                <w:spacing w:val="-10"/>
                <w:sz w:val="16"/>
              </w:rPr>
              <w:t> </w:t>
            </w:r>
            <w:r>
              <w:rPr>
                <w:sz w:val="16"/>
              </w:rPr>
              <w:t>biomass increment above and below</w:t>
            </w:r>
            <w:r>
              <w:rPr>
                <w:spacing w:val="-3"/>
                <w:sz w:val="16"/>
              </w:rPr>
              <w:t> </w:t>
            </w:r>
            <w:r>
              <w:rPr>
                <w:sz w:val="16"/>
              </w:rPr>
              <w:t>ground</w:t>
            </w:r>
          </w:p>
          <w:p>
            <w:pPr>
              <w:pStyle w:val="TableParagraph"/>
              <w:spacing w:before="10"/>
              <w:rPr>
                <w:sz w:val="15"/>
              </w:rPr>
            </w:pPr>
          </w:p>
          <w:p>
            <w:pPr>
              <w:pStyle w:val="TableParagraph"/>
              <w:spacing w:line="496" w:lineRule="auto"/>
              <w:ind w:left="237" w:right="209"/>
              <w:jc w:val="center"/>
              <w:rPr>
                <w:sz w:val="16"/>
              </w:rPr>
            </w:pPr>
            <w:r>
              <w:rPr>
                <w:sz w:val="16"/>
              </w:rPr>
              <w:t>(tonnes d.m ha</w:t>
            </w:r>
            <w:r>
              <w:rPr>
                <w:sz w:val="16"/>
                <w:vertAlign w:val="superscript"/>
              </w:rPr>
              <w:t>-1</w:t>
            </w:r>
            <w:r>
              <w:rPr>
                <w:sz w:val="16"/>
                <w:vertAlign w:val="baseline"/>
              </w:rPr>
              <w:t> </w:t>
            </w:r>
            <w:r>
              <w:rPr>
                <w:spacing w:val="-7"/>
                <w:sz w:val="16"/>
                <w:vertAlign w:val="baseline"/>
              </w:rPr>
              <w:t>yr</w:t>
            </w:r>
            <w:r>
              <w:rPr>
                <w:spacing w:val="-7"/>
                <w:sz w:val="16"/>
                <w:vertAlign w:val="superscript"/>
              </w:rPr>
              <w:t>-1</w:t>
            </w:r>
            <w:r>
              <w:rPr>
                <w:spacing w:val="-7"/>
                <w:sz w:val="16"/>
                <w:vertAlign w:val="baseline"/>
              </w:rPr>
              <w:t>) </w:t>
            </w:r>
            <w:r>
              <w:rPr>
                <w:sz w:val="16"/>
                <w:vertAlign w:val="baseline"/>
              </w:rPr>
              <w:t>G = E </w:t>
            </w:r>
            <w:r>
              <w:rPr>
                <w:rFonts w:ascii="Symbol" w:hAnsi="Symbol"/>
                <w:sz w:val="16"/>
                <w:vertAlign w:val="baseline"/>
              </w:rPr>
              <w:t>•</w:t>
            </w:r>
            <w:r>
              <w:rPr>
                <w:rFonts w:ascii="Symbol" w:hAnsi="Symbol"/>
                <w:spacing w:val="-2"/>
                <w:sz w:val="16"/>
                <w:vertAlign w:val="baseline"/>
              </w:rPr>
              <w:t> </w:t>
            </w:r>
            <w:r>
              <w:rPr>
                <w:sz w:val="16"/>
                <w:vertAlign w:val="baseline"/>
              </w:rPr>
              <w:t>(1+F)</w:t>
            </w:r>
          </w:p>
          <w:p>
            <w:pPr>
              <w:pStyle w:val="TableParagraph"/>
              <w:spacing w:line="168" w:lineRule="exact" w:before="17"/>
              <w:ind w:left="25"/>
              <w:jc w:val="center"/>
              <w:rPr>
                <w:sz w:val="16"/>
              </w:rPr>
            </w:pPr>
            <w:r>
              <w:rPr>
                <w:w w:val="100"/>
                <w:sz w:val="16"/>
              </w:rPr>
              <w:t>G</w:t>
            </w:r>
          </w:p>
        </w:tc>
      </w:tr>
      <w:tr>
        <w:trPr>
          <w:trHeight w:val="1302" w:hRule="atLeast"/>
        </w:trPr>
        <w:tc>
          <w:tcPr>
            <w:tcW w:w="936" w:type="dxa"/>
            <w:shd w:val="clear" w:color="auto" w:fill="E4E4E4"/>
          </w:tcPr>
          <w:p>
            <w:pPr>
              <w:pStyle w:val="TableParagraph"/>
              <w:spacing w:before="23"/>
              <w:ind w:left="174" w:right="149" w:firstLine="100"/>
              <w:rPr>
                <w:sz w:val="16"/>
              </w:rPr>
            </w:pPr>
            <w:r>
              <w:rPr>
                <w:sz w:val="16"/>
              </w:rPr>
              <w:t>Initial Land use</w:t>
            </w:r>
          </w:p>
        </w:tc>
        <w:tc>
          <w:tcPr>
            <w:tcW w:w="938" w:type="dxa"/>
            <w:shd w:val="clear" w:color="auto" w:fill="E4E4E4"/>
          </w:tcPr>
          <w:p>
            <w:pPr>
              <w:pStyle w:val="TableParagraph"/>
              <w:spacing w:before="23"/>
              <w:ind w:left="170" w:right="158"/>
              <w:jc w:val="center"/>
              <w:rPr>
                <w:sz w:val="16"/>
              </w:rPr>
            </w:pPr>
            <w:r>
              <w:rPr>
                <w:sz w:val="16"/>
              </w:rPr>
              <w:t>Land-use during reporting Year</w:t>
            </w:r>
          </w:p>
        </w:tc>
        <w:tc>
          <w:tcPr>
            <w:tcW w:w="1113" w:type="dxa"/>
            <w:vMerge/>
            <w:tcBorders>
              <w:top w:val="nil"/>
            </w:tcBorders>
            <w:shd w:val="clear" w:color="auto" w:fill="E4E4E4"/>
          </w:tcPr>
          <w:p>
            <w:pPr>
              <w:rPr>
                <w:sz w:val="2"/>
                <w:szCs w:val="2"/>
              </w:rPr>
            </w:pPr>
          </w:p>
        </w:tc>
        <w:tc>
          <w:tcPr>
            <w:tcW w:w="1439" w:type="dxa"/>
            <w:vMerge/>
            <w:tcBorders>
              <w:top w:val="nil"/>
            </w:tcBorders>
            <w:shd w:val="clear" w:color="auto" w:fill="E4E4E4"/>
          </w:tcPr>
          <w:p>
            <w:pPr>
              <w:rPr>
                <w:sz w:val="2"/>
                <w:szCs w:val="2"/>
              </w:rPr>
            </w:pPr>
          </w:p>
        </w:tc>
        <w:tc>
          <w:tcPr>
            <w:tcW w:w="1439" w:type="dxa"/>
            <w:vMerge/>
            <w:tcBorders>
              <w:top w:val="nil"/>
            </w:tcBorders>
            <w:shd w:val="clear" w:color="auto" w:fill="E4E4E4"/>
          </w:tcPr>
          <w:p>
            <w:pPr>
              <w:rPr>
                <w:sz w:val="2"/>
                <w:szCs w:val="2"/>
              </w:rPr>
            </w:pPr>
          </w:p>
        </w:tc>
        <w:tc>
          <w:tcPr>
            <w:tcW w:w="1619" w:type="dxa"/>
            <w:vMerge/>
            <w:tcBorders>
              <w:top w:val="nil"/>
            </w:tcBorders>
            <w:shd w:val="clear" w:color="auto" w:fill="E4E4E4"/>
          </w:tcPr>
          <w:p>
            <w:pPr>
              <w:rPr>
                <w:sz w:val="2"/>
                <w:szCs w:val="2"/>
              </w:rPr>
            </w:pPr>
          </w:p>
        </w:tc>
        <w:tc>
          <w:tcPr>
            <w:tcW w:w="1979" w:type="dxa"/>
            <w:vMerge/>
            <w:tcBorders>
              <w:top w:val="nil"/>
            </w:tcBorders>
            <w:shd w:val="clear" w:color="auto" w:fill="E4E4E4"/>
          </w:tcPr>
          <w:p>
            <w:pPr>
              <w:rPr>
                <w:sz w:val="2"/>
                <w:szCs w:val="2"/>
              </w:rPr>
            </w:pPr>
          </w:p>
        </w:tc>
        <w:tc>
          <w:tcPr>
            <w:tcW w:w="1619" w:type="dxa"/>
            <w:vMerge/>
            <w:tcBorders>
              <w:top w:val="nil"/>
            </w:tcBorders>
            <w:shd w:val="clear" w:color="auto" w:fill="E4E4E4"/>
          </w:tcPr>
          <w:p>
            <w:pPr>
              <w:rPr>
                <w:sz w:val="2"/>
                <w:szCs w:val="2"/>
              </w:rPr>
            </w:pPr>
          </w:p>
        </w:tc>
        <w:tc>
          <w:tcPr>
            <w:tcW w:w="1799" w:type="dxa"/>
            <w:vMerge/>
            <w:tcBorders>
              <w:top w:val="nil"/>
            </w:tcBorders>
            <w:shd w:val="clear" w:color="auto" w:fill="E4E4E4"/>
          </w:tcPr>
          <w:p>
            <w:pPr>
              <w:rPr>
                <w:sz w:val="2"/>
                <w:szCs w:val="2"/>
              </w:rPr>
            </w:pPr>
          </w:p>
        </w:tc>
        <w:tc>
          <w:tcPr>
            <w:tcW w:w="1799" w:type="dxa"/>
            <w:vMerge/>
            <w:tcBorders>
              <w:top w:val="nil"/>
            </w:tcBorders>
            <w:shd w:val="clear" w:color="auto" w:fill="E4E4E4"/>
          </w:tcPr>
          <w:p>
            <w:pPr>
              <w:rPr>
                <w:sz w:val="2"/>
                <w:szCs w:val="2"/>
              </w:rPr>
            </w:pPr>
          </w:p>
        </w:tc>
      </w:tr>
      <w:tr>
        <w:trPr>
          <w:trHeight w:val="242" w:hRule="atLeast"/>
        </w:trPr>
        <w:tc>
          <w:tcPr>
            <w:tcW w:w="936" w:type="dxa"/>
          </w:tcPr>
          <w:p>
            <w:pPr>
              <w:pStyle w:val="TableParagraph"/>
              <w:spacing w:before="23"/>
              <w:ind w:left="107"/>
              <w:rPr>
                <w:sz w:val="16"/>
              </w:rPr>
            </w:pPr>
            <w:r>
              <w:rPr>
                <w:sz w:val="16"/>
              </w:rPr>
              <w:t>FL</w:t>
            </w:r>
          </w:p>
        </w:tc>
        <w:tc>
          <w:tcPr>
            <w:tcW w:w="938" w:type="dxa"/>
          </w:tcPr>
          <w:p>
            <w:pPr>
              <w:pStyle w:val="TableParagraph"/>
              <w:spacing w:before="23"/>
              <w:ind w:left="107"/>
              <w:rPr>
                <w:sz w:val="16"/>
              </w:rPr>
            </w:pPr>
            <w:r>
              <w:rPr>
                <w:sz w:val="16"/>
              </w:rPr>
              <w:t>FL</w:t>
            </w:r>
          </w:p>
        </w:tc>
        <w:tc>
          <w:tcPr>
            <w:tcW w:w="1113" w:type="dxa"/>
          </w:tcPr>
          <w:p>
            <w:pPr>
              <w:pStyle w:val="TableParagraph"/>
              <w:spacing w:before="23"/>
              <w:ind w:left="107"/>
              <w:rPr>
                <w:sz w:val="16"/>
              </w:rPr>
            </w:pPr>
            <w:r>
              <w:rPr>
                <w:sz w:val="16"/>
              </w:rPr>
              <w:t>(a)</w:t>
            </w: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spacing w:before="23"/>
              <w:ind w:left="108"/>
              <w:rPr>
                <w:sz w:val="16"/>
              </w:rPr>
            </w:pPr>
            <w:r>
              <w:rPr>
                <w:sz w:val="16"/>
              </w:rPr>
              <w:t>(b)</w:t>
            </w:r>
          </w:p>
        </w:tc>
        <w:tc>
          <w:tcPr>
            <w:tcW w:w="1439" w:type="dxa"/>
          </w:tcPr>
          <w:p>
            <w:pPr>
              <w:pStyle w:val="TableParagraph"/>
              <w:spacing w:before="25"/>
              <w:ind w:left="13"/>
              <w:jc w:val="center"/>
              <w:rPr>
                <w:b/>
                <w:sz w:val="16"/>
              </w:rPr>
            </w:pPr>
            <w:r>
              <w:rPr>
                <w:b/>
                <w:w w:val="100"/>
                <w:sz w:val="16"/>
              </w:rPr>
              <w:t>A</w:t>
            </w:r>
          </w:p>
        </w:tc>
        <w:tc>
          <w:tcPr>
            <w:tcW w:w="1439" w:type="dxa"/>
          </w:tcPr>
          <w:p>
            <w:pPr>
              <w:pStyle w:val="TableParagraph"/>
              <w:spacing w:before="25"/>
              <w:ind w:left="116" w:right="101"/>
              <w:jc w:val="center"/>
              <w:rPr>
                <w:b/>
                <w:sz w:val="10"/>
              </w:rPr>
            </w:pPr>
            <w:r>
              <w:rPr>
                <w:b/>
                <w:position w:val="2"/>
                <w:sz w:val="16"/>
              </w:rPr>
              <w:t>I</w:t>
            </w:r>
            <w:r>
              <w:rPr>
                <w:b/>
                <w:sz w:val="10"/>
              </w:rPr>
              <w:t>V</w:t>
            </w:r>
          </w:p>
        </w:tc>
        <w:tc>
          <w:tcPr>
            <w:tcW w:w="1619" w:type="dxa"/>
          </w:tcPr>
          <w:p>
            <w:pPr>
              <w:pStyle w:val="TableParagraph"/>
              <w:spacing w:before="25"/>
              <w:ind w:left="15"/>
              <w:jc w:val="center"/>
              <w:rPr>
                <w:b/>
                <w:sz w:val="16"/>
              </w:rPr>
            </w:pPr>
            <w:r>
              <w:rPr>
                <w:b/>
                <w:w w:val="100"/>
                <w:sz w:val="16"/>
              </w:rPr>
              <w:t>D</w:t>
            </w:r>
          </w:p>
        </w:tc>
        <w:tc>
          <w:tcPr>
            <w:tcW w:w="1979" w:type="dxa"/>
          </w:tcPr>
          <w:p>
            <w:pPr>
              <w:pStyle w:val="TableParagraph"/>
              <w:spacing w:before="25"/>
              <w:ind w:left="165" w:right="149"/>
              <w:jc w:val="center"/>
              <w:rPr>
                <w:b/>
                <w:sz w:val="10"/>
              </w:rPr>
            </w:pPr>
            <w:r>
              <w:rPr>
                <w:b/>
                <w:position w:val="2"/>
                <w:sz w:val="16"/>
              </w:rPr>
              <w:t>BEF</w:t>
            </w:r>
            <w:r>
              <w:rPr>
                <w:b/>
                <w:sz w:val="10"/>
              </w:rPr>
              <w:t>1</w:t>
            </w:r>
          </w:p>
        </w:tc>
        <w:tc>
          <w:tcPr>
            <w:tcW w:w="1619" w:type="dxa"/>
          </w:tcPr>
          <w:p>
            <w:pPr>
              <w:pStyle w:val="TableParagraph"/>
              <w:spacing w:before="25"/>
              <w:ind w:left="98" w:right="80"/>
              <w:jc w:val="center"/>
              <w:rPr>
                <w:b/>
                <w:sz w:val="10"/>
              </w:rPr>
            </w:pPr>
            <w:r>
              <w:rPr>
                <w:b/>
                <w:position w:val="2"/>
                <w:sz w:val="16"/>
              </w:rPr>
              <w:t>G</w:t>
            </w:r>
            <w:r>
              <w:rPr>
                <w:b/>
                <w:sz w:val="10"/>
              </w:rPr>
              <w:t>W</w:t>
            </w:r>
          </w:p>
        </w:tc>
        <w:tc>
          <w:tcPr>
            <w:tcW w:w="1799" w:type="dxa"/>
          </w:tcPr>
          <w:p>
            <w:pPr>
              <w:pStyle w:val="TableParagraph"/>
              <w:spacing w:before="25"/>
              <w:ind w:left="23"/>
              <w:jc w:val="center"/>
              <w:rPr>
                <w:b/>
                <w:sz w:val="16"/>
              </w:rPr>
            </w:pPr>
            <w:r>
              <w:rPr>
                <w:b/>
                <w:w w:val="100"/>
                <w:sz w:val="16"/>
              </w:rPr>
              <w:t>R</w:t>
            </w:r>
          </w:p>
        </w:tc>
        <w:tc>
          <w:tcPr>
            <w:tcW w:w="1799" w:type="dxa"/>
          </w:tcPr>
          <w:p>
            <w:pPr>
              <w:pStyle w:val="TableParagraph"/>
              <w:spacing w:before="25"/>
              <w:ind w:left="231" w:right="209"/>
              <w:jc w:val="center"/>
              <w:rPr>
                <w:b/>
                <w:sz w:val="10"/>
              </w:rPr>
            </w:pPr>
            <w:r>
              <w:rPr>
                <w:b/>
                <w:position w:val="2"/>
                <w:sz w:val="16"/>
              </w:rPr>
              <w:t>G</w:t>
            </w:r>
            <w:r>
              <w:rPr>
                <w:b/>
                <w:sz w:val="10"/>
              </w:rPr>
              <w:t>TOTAL</w:t>
            </w: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spacing w:before="23"/>
              <w:ind w:left="108"/>
              <w:rPr>
                <w:sz w:val="16"/>
              </w:rPr>
            </w:pPr>
            <w:r>
              <w:rPr>
                <w:sz w:val="16"/>
              </w:rPr>
              <w:t>(c)</w:t>
            </w: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spacing w:before="23"/>
              <w:ind w:left="108"/>
              <w:rPr>
                <w:sz w:val="16"/>
              </w:rPr>
            </w:pPr>
            <w:r>
              <w:rPr>
                <w:sz w:val="16"/>
              </w:rPr>
              <w:t>Sub-total</w:t>
            </w: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41"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36" w:type="dxa"/>
          </w:tcPr>
          <w:p>
            <w:pPr>
              <w:pStyle w:val="TableParagraph"/>
              <w:spacing w:before="25"/>
              <w:ind w:left="107"/>
              <w:rPr>
                <w:b/>
                <w:sz w:val="16"/>
              </w:rPr>
            </w:pPr>
            <w:r>
              <w:rPr>
                <w:b/>
                <w:sz w:val="16"/>
              </w:rPr>
              <w:t>Total</w:t>
            </w:r>
          </w:p>
        </w:tc>
        <w:tc>
          <w:tcPr>
            <w:tcW w:w="938"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880" w:hRule="atLeast"/>
        </w:trPr>
        <w:tc>
          <w:tcPr>
            <w:tcW w:w="14680" w:type="dxa"/>
            <w:gridSpan w:val="10"/>
          </w:tcPr>
          <w:p>
            <w:pPr>
              <w:pStyle w:val="TableParagraph"/>
              <w:spacing w:before="50"/>
              <w:ind w:left="107"/>
              <w:rPr>
                <w:sz w:val="16"/>
              </w:rPr>
            </w:pPr>
            <w:r>
              <w:rPr>
                <w:position w:val="7"/>
                <w:sz w:val="10"/>
              </w:rPr>
              <w:t>1 </w:t>
            </w:r>
            <w:r>
              <w:rPr>
                <w:sz w:val="16"/>
              </w:rPr>
              <w:t>Calculations are based on default method (see Section 3.2.1.1)</w:t>
            </w:r>
          </w:p>
          <w:p>
            <w:pPr>
              <w:pStyle w:val="TableParagraph"/>
              <w:spacing w:before="85"/>
              <w:ind w:left="107"/>
              <w:rPr>
                <w:sz w:val="16"/>
              </w:rPr>
            </w:pPr>
            <w:r>
              <w:rPr>
                <w:position w:val="7"/>
                <w:sz w:val="10"/>
              </w:rPr>
              <w:t>2 </w:t>
            </w:r>
            <w:r>
              <w:rPr>
                <w:sz w:val="16"/>
              </w:rPr>
              <w:t>FL stands for forest land. See Chapter 2 for approaches in representing land areas.</w:t>
            </w:r>
          </w:p>
          <w:p>
            <w:pPr>
              <w:pStyle w:val="TableParagraph"/>
              <w:spacing w:before="85"/>
              <w:ind w:left="107"/>
              <w:rPr>
                <w:sz w:val="16"/>
              </w:rPr>
            </w:pPr>
            <w:r>
              <w:rPr>
                <w:position w:val="7"/>
                <w:sz w:val="10"/>
              </w:rPr>
              <w:t>3 </w:t>
            </w:r>
            <w:r>
              <w:rPr>
                <w:sz w:val="16"/>
              </w:rPr>
              <w:t>Land use should be further divided according to forest type and climatic zones in the country.</w:t>
            </w:r>
          </w:p>
        </w:tc>
      </w:tr>
    </w:tbl>
    <w:p>
      <w:pPr>
        <w:spacing w:after="0"/>
        <w:rPr>
          <w:sz w:val="16"/>
        </w:rPr>
        <w:sectPr>
          <w:pgSz w:w="16840" w:h="11900" w:orient="landscape"/>
          <w:pgMar w:header="919"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052"/>
        <w:gridCol w:w="1728"/>
        <w:gridCol w:w="1980"/>
        <w:gridCol w:w="2086"/>
        <w:gridCol w:w="1875"/>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4" w:type="dxa"/>
            <w:gridSpan w:val="7"/>
          </w:tcPr>
          <w:p>
            <w:pPr>
              <w:pStyle w:val="TableParagraph"/>
              <w:spacing w:before="26"/>
              <w:ind w:left="108"/>
              <w:rPr>
                <w:b/>
                <w:sz w:val="20"/>
              </w:rPr>
            </w:pPr>
            <w:r>
              <w:rPr>
                <w:b/>
                <w:sz w:val="20"/>
              </w:rPr>
              <w:t>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4" w:type="dxa"/>
            <w:gridSpan w:val="7"/>
          </w:tcPr>
          <w:p>
            <w:pPr>
              <w:pStyle w:val="TableParagraph"/>
              <w:spacing w:before="26"/>
              <w:ind w:left="107"/>
              <w:rPr>
                <w:b/>
                <w:sz w:val="20"/>
              </w:rPr>
            </w:pPr>
            <w:r>
              <w:rPr>
                <w:b/>
                <w:sz w:val="20"/>
              </w:rPr>
              <w:t>Forest Land Remaining 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4" w:type="dxa"/>
            <w:gridSpan w:val="7"/>
          </w:tcPr>
          <w:p>
            <w:pPr>
              <w:pStyle w:val="TableParagraph"/>
              <w:spacing w:before="26"/>
              <w:ind w:left="108"/>
              <w:rPr>
                <w:b/>
                <w:sz w:val="20"/>
              </w:rPr>
            </w:pPr>
            <w:r>
              <w:rPr>
                <w:b/>
                <w:sz w:val="20"/>
              </w:rPr>
              <w:t>FL-1a: Annual change in carbon stocks in living biomass (includes above and below ground biomass)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4" w:type="dxa"/>
            <w:gridSpan w:val="7"/>
          </w:tcPr>
          <w:p>
            <w:pPr>
              <w:pStyle w:val="TableParagraph"/>
              <w:spacing w:before="26"/>
              <w:ind w:left="108"/>
              <w:rPr>
                <w:b/>
                <w:sz w:val="20"/>
              </w:rPr>
            </w:pPr>
            <w:r>
              <w:rPr>
                <w:b/>
                <w:sz w:val="20"/>
              </w:rPr>
              <w:t>2 of 4</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39" w:right="122"/>
              <w:jc w:val="center"/>
              <w:rPr>
                <w:sz w:val="16"/>
              </w:rPr>
            </w:pPr>
            <w:r>
              <w:rPr>
                <w:sz w:val="16"/>
              </w:rPr>
              <w:t>Carbon fraction of dry matter</w:t>
            </w:r>
          </w:p>
          <w:p>
            <w:pPr>
              <w:pStyle w:val="TableParagraph"/>
              <w:rPr>
                <w:sz w:val="16"/>
              </w:rPr>
            </w:pPr>
          </w:p>
          <w:p>
            <w:pPr>
              <w:pStyle w:val="TableParagraph"/>
              <w:spacing w:line="480" w:lineRule="auto"/>
              <w:ind w:left="295" w:right="263" w:firstLine="268"/>
              <w:rPr>
                <w:sz w:val="16"/>
              </w:rPr>
            </w:pPr>
            <w:r>
              <w:rPr>
                <w:sz w:val="16"/>
              </w:rPr>
              <w:t>(default is 0.5) (tonnes C tonne d.m.</w:t>
            </w:r>
            <w:r>
              <w:rPr>
                <w:sz w:val="16"/>
                <w:vertAlign w:val="superscript"/>
              </w:rPr>
              <w:t>-1</w:t>
            </w:r>
            <w:r>
              <w:rPr>
                <w:sz w:val="16"/>
                <w:vertAlign w:val="baseline"/>
              </w:rPr>
              <w:t>)</w:t>
            </w:r>
          </w:p>
          <w:p>
            <w:pPr>
              <w:pStyle w:val="TableParagraph"/>
              <w:spacing w:before="11"/>
              <w:rPr>
                <w:sz w:val="15"/>
              </w:rPr>
            </w:pPr>
          </w:p>
          <w:p>
            <w:pPr>
              <w:pStyle w:val="TableParagraph"/>
              <w:spacing w:line="168" w:lineRule="exact"/>
              <w:ind w:left="9"/>
              <w:jc w:val="center"/>
              <w:rPr>
                <w:sz w:val="16"/>
              </w:rPr>
            </w:pPr>
            <w:r>
              <w:rPr>
                <w:w w:val="100"/>
                <w:sz w:val="16"/>
              </w:rPr>
              <w:t>H</w:t>
            </w:r>
          </w:p>
        </w:tc>
        <w:tc>
          <w:tcPr>
            <w:tcW w:w="2052" w:type="dxa"/>
            <w:vMerge w:val="restart"/>
            <w:shd w:val="clear" w:color="auto" w:fill="E4E4E4"/>
          </w:tcPr>
          <w:p>
            <w:pPr>
              <w:pStyle w:val="TableParagraph"/>
              <w:spacing w:before="23"/>
              <w:ind w:left="187" w:right="175"/>
              <w:jc w:val="center"/>
              <w:rPr>
                <w:sz w:val="16"/>
              </w:rPr>
            </w:pPr>
            <w:r>
              <w:rPr>
                <w:sz w:val="16"/>
              </w:rPr>
              <w:t>Annual increase in carbon due to biomass increment</w:t>
            </w:r>
          </w:p>
          <w:p>
            <w:pPr>
              <w:pStyle w:val="TableParagraph"/>
              <w:rPr>
                <w:sz w:val="16"/>
              </w:rPr>
            </w:pPr>
          </w:p>
          <w:p>
            <w:pPr>
              <w:pStyle w:val="TableParagraph"/>
              <w:spacing w:line="494" w:lineRule="auto"/>
              <w:ind w:left="555" w:right="543"/>
              <w:jc w:val="center"/>
              <w:rPr>
                <w:sz w:val="16"/>
              </w:rPr>
            </w:pPr>
            <w:r>
              <w:rPr>
                <w:sz w:val="16"/>
              </w:rPr>
              <w:t>(tonnes C yr</w:t>
            </w:r>
            <w:r>
              <w:rPr>
                <w:sz w:val="16"/>
                <w:vertAlign w:val="superscript"/>
              </w:rPr>
              <w:t>-1</w:t>
            </w:r>
            <w:r>
              <w:rPr>
                <w:sz w:val="16"/>
                <w:vertAlign w:val="baseline"/>
              </w:rPr>
              <w:t>) I = A </w:t>
            </w:r>
            <w:r>
              <w:rPr>
                <w:rFonts w:ascii="Symbol" w:hAnsi="Symbol"/>
                <w:sz w:val="16"/>
                <w:vertAlign w:val="baseline"/>
              </w:rPr>
              <w:t>• </w:t>
            </w:r>
            <w:r>
              <w:rPr>
                <w:sz w:val="16"/>
                <w:vertAlign w:val="baseline"/>
              </w:rPr>
              <w:t>G </w:t>
            </w:r>
            <w:r>
              <w:rPr>
                <w:rFonts w:ascii="Symbol" w:hAnsi="Symbol"/>
                <w:sz w:val="16"/>
                <w:vertAlign w:val="baseline"/>
              </w:rPr>
              <w:t>• </w:t>
            </w:r>
            <w:r>
              <w:rPr>
                <w:sz w:val="16"/>
                <w:vertAlign w:val="baseline"/>
              </w:rPr>
              <w:t>H</w:t>
            </w:r>
          </w:p>
          <w:p>
            <w:pPr>
              <w:pStyle w:val="TableParagraph"/>
              <w:spacing w:line="168" w:lineRule="exact" w:before="148"/>
              <w:ind w:left="14"/>
              <w:jc w:val="center"/>
              <w:rPr>
                <w:sz w:val="16"/>
              </w:rPr>
            </w:pPr>
            <w:r>
              <w:rPr>
                <w:w w:val="100"/>
                <w:sz w:val="16"/>
              </w:rPr>
              <w:t>I</w:t>
            </w:r>
          </w:p>
        </w:tc>
        <w:tc>
          <w:tcPr>
            <w:tcW w:w="1728" w:type="dxa"/>
            <w:vMerge w:val="restart"/>
            <w:shd w:val="clear" w:color="auto" w:fill="E4E4E4"/>
          </w:tcPr>
          <w:p>
            <w:pPr>
              <w:pStyle w:val="TableParagraph"/>
              <w:spacing w:before="23"/>
              <w:ind w:left="133" w:right="121"/>
              <w:jc w:val="center"/>
              <w:rPr>
                <w:sz w:val="16"/>
              </w:rPr>
            </w:pPr>
            <w:r>
              <w:rPr>
                <w:sz w:val="16"/>
              </w:rPr>
              <w:t>Annually extracted volume of roundwood</w:t>
            </w:r>
          </w:p>
          <w:p>
            <w:pPr>
              <w:pStyle w:val="TableParagraph"/>
              <w:rPr>
                <w:sz w:val="16"/>
              </w:rPr>
            </w:pPr>
          </w:p>
          <w:p>
            <w:pPr>
              <w:pStyle w:val="TableParagraph"/>
              <w:ind w:left="130" w:right="121"/>
              <w:jc w:val="center"/>
              <w:rPr>
                <w:sz w:val="16"/>
              </w:rPr>
            </w:pPr>
            <w:r>
              <w:rPr>
                <w:sz w:val="16"/>
              </w:rPr>
              <w:t>(m</w:t>
            </w:r>
            <w:r>
              <w:rPr>
                <w:sz w:val="16"/>
                <w:vertAlign w:val="superscript"/>
              </w:rPr>
              <w:t>3</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11"/>
              <w:jc w:val="center"/>
              <w:rPr>
                <w:sz w:val="16"/>
              </w:rPr>
            </w:pPr>
            <w:r>
              <w:rPr>
                <w:w w:val="100"/>
                <w:sz w:val="16"/>
              </w:rPr>
              <w:t>J</w:t>
            </w:r>
          </w:p>
        </w:tc>
        <w:tc>
          <w:tcPr>
            <w:tcW w:w="1980" w:type="dxa"/>
            <w:vMerge w:val="restart"/>
            <w:shd w:val="clear" w:color="auto" w:fill="E4E4E4"/>
          </w:tcPr>
          <w:p>
            <w:pPr>
              <w:pStyle w:val="TableParagraph"/>
              <w:spacing w:before="23"/>
              <w:ind w:left="151" w:right="135"/>
              <w:jc w:val="center"/>
              <w:rPr>
                <w:sz w:val="16"/>
              </w:rPr>
            </w:pPr>
            <w:r>
              <w:rPr>
                <w:sz w:val="16"/>
              </w:rPr>
              <w:t>Biomass density</w:t>
            </w:r>
          </w:p>
          <w:p>
            <w:pPr>
              <w:pStyle w:val="TableParagraph"/>
              <w:spacing w:before="10"/>
              <w:rPr>
                <w:sz w:val="15"/>
              </w:rPr>
            </w:pPr>
          </w:p>
          <w:p>
            <w:pPr>
              <w:pStyle w:val="TableParagraph"/>
              <w:spacing w:before="1"/>
              <w:ind w:left="146" w:right="138"/>
              <w:jc w:val="center"/>
              <w:rPr>
                <w:sz w:val="16"/>
              </w:rPr>
            </w:pPr>
            <w:r>
              <w:rPr>
                <w:sz w:val="16"/>
              </w:rPr>
              <w:t>(tonnes d.m.</w:t>
            </w:r>
          </w:p>
          <w:p>
            <w:pPr>
              <w:pStyle w:val="TableParagraph"/>
              <w:ind w:left="151" w:right="58"/>
              <w:jc w:val="center"/>
              <w:rPr>
                <w:sz w:val="16"/>
              </w:rPr>
            </w:pPr>
            <w:r>
              <w:rPr>
                <w:sz w:val="16"/>
              </w:rPr>
              <w:t>m</w:t>
            </w:r>
            <w:r>
              <w:rPr>
                <w:sz w:val="16"/>
                <w:vertAlign w:val="superscript"/>
              </w:rPr>
              <w:t>-3</w:t>
            </w:r>
            <w:r>
              <w:rPr>
                <w:sz w:val="16"/>
                <w:vertAlign w:val="baseline"/>
              </w:rPr>
              <w:t> fresh volume)</w:t>
            </w:r>
          </w:p>
          <w:p>
            <w:pPr>
              <w:pStyle w:val="TableParagraph"/>
              <w:rPr>
                <w:sz w:val="18"/>
              </w:rPr>
            </w:pPr>
          </w:p>
          <w:p>
            <w:pPr>
              <w:pStyle w:val="TableParagraph"/>
              <w:rPr>
                <w:sz w:val="18"/>
              </w:rPr>
            </w:pPr>
          </w:p>
          <w:p>
            <w:pPr>
              <w:pStyle w:val="TableParagraph"/>
              <w:rPr>
                <w:sz w:val="18"/>
              </w:rPr>
            </w:pPr>
          </w:p>
          <w:p>
            <w:pPr>
              <w:pStyle w:val="TableParagraph"/>
              <w:spacing w:line="168" w:lineRule="exact" w:before="115"/>
              <w:ind w:left="14"/>
              <w:jc w:val="center"/>
              <w:rPr>
                <w:sz w:val="16"/>
              </w:rPr>
            </w:pPr>
            <w:r>
              <w:rPr>
                <w:w w:val="100"/>
                <w:sz w:val="16"/>
              </w:rPr>
              <w:t>K</w:t>
            </w:r>
          </w:p>
        </w:tc>
        <w:tc>
          <w:tcPr>
            <w:tcW w:w="2086" w:type="dxa"/>
            <w:vMerge w:val="restart"/>
            <w:shd w:val="clear" w:color="auto" w:fill="E4E4E4"/>
          </w:tcPr>
          <w:p>
            <w:pPr>
              <w:pStyle w:val="TableParagraph"/>
              <w:spacing w:before="23"/>
              <w:ind w:left="120" w:right="105" w:hanging="3"/>
              <w:jc w:val="center"/>
              <w:rPr>
                <w:sz w:val="16"/>
              </w:rPr>
            </w:pPr>
            <w:r>
              <w:rPr>
                <w:sz w:val="16"/>
              </w:rPr>
              <w:t>Biomass expansion factor for converting volumes of extracted roundwood to</w:t>
            </w:r>
            <w:r>
              <w:rPr>
                <w:spacing w:val="-12"/>
                <w:sz w:val="16"/>
              </w:rPr>
              <w:t> </w:t>
            </w:r>
            <w:r>
              <w:rPr>
                <w:sz w:val="16"/>
              </w:rPr>
              <w:t>total aboveground biomass (including</w:t>
            </w:r>
            <w:r>
              <w:rPr>
                <w:spacing w:val="-3"/>
                <w:sz w:val="16"/>
              </w:rPr>
              <w:t> </w:t>
            </w:r>
            <w:r>
              <w:rPr>
                <w:sz w:val="16"/>
              </w:rPr>
              <w:t>bark)</w:t>
            </w:r>
          </w:p>
          <w:p>
            <w:pPr>
              <w:pStyle w:val="TableParagraph"/>
              <w:spacing w:line="360" w:lineRule="atLeast" w:before="8"/>
              <w:ind w:left="535" w:right="525"/>
              <w:jc w:val="center"/>
              <w:rPr>
                <w:sz w:val="16"/>
              </w:rPr>
            </w:pPr>
            <w:r>
              <w:rPr>
                <w:sz w:val="16"/>
              </w:rPr>
              <w:t>(dimensionless) L</w:t>
            </w:r>
          </w:p>
        </w:tc>
        <w:tc>
          <w:tcPr>
            <w:tcW w:w="1875" w:type="dxa"/>
            <w:vMerge w:val="restart"/>
            <w:shd w:val="clear" w:color="auto" w:fill="E4E4E4"/>
          </w:tcPr>
          <w:p>
            <w:pPr>
              <w:pStyle w:val="TableParagraph"/>
              <w:spacing w:before="23"/>
              <w:ind w:left="137" w:right="126"/>
              <w:jc w:val="center"/>
              <w:rPr>
                <w:sz w:val="16"/>
              </w:rPr>
            </w:pPr>
            <w:r>
              <w:rPr>
                <w:sz w:val="16"/>
              </w:rPr>
              <w:t>Fraction of biomass left to decay in forest</w:t>
            </w:r>
          </w:p>
          <w:p>
            <w:pPr>
              <w:pStyle w:val="TableParagraph"/>
              <w:rPr>
                <w:sz w:val="16"/>
              </w:rPr>
            </w:pPr>
          </w:p>
          <w:p>
            <w:pPr>
              <w:pStyle w:val="TableParagraph"/>
              <w:ind w:left="133" w:right="126"/>
              <w:jc w:val="center"/>
              <w:rPr>
                <w:sz w:val="16"/>
              </w:rPr>
            </w:pPr>
            <w:r>
              <w:rPr>
                <w:sz w:val="16"/>
              </w:rPr>
              <w:t>(dimensionless)</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6"/>
              <w:jc w:val="center"/>
              <w:rPr>
                <w:sz w:val="16"/>
              </w:rPr>
            </w:pPr>
            <w:r>
              <w:rPr>
                <w:w w:val="100"/>
                <w:sz w:val="16"/>
              </w:rPr>
              <w:t>M</w:t>
            </w:r>
          </w:p>
        </w:tc>
      </w:tr>
      <w:tr>
        <w:trPr>
          <w:trHeight w:val="127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052" w:type="dxa"/>
            <w:vMerge/>
            <w:tcBorders>
              <w:top w:val="nil"/>
            </w:tcBorders>
            <w:shd w:val="clear" w:color="auto" w:fill="E4E4E4"/>
          </w:tcPr>
          <w:p>
            <w:pPr>
              <w:rPr>
                <w:sz w:val="2"/>
                <w:szCs w:val="2"/>
              </w:rPr>
            </w:pPr>
          </w:p>
        </w:tc>
        <w:tc>
          <w:tcPr>
            <w:tcW w:w="1728"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086" w:type="dxa"/>
            <w:vMerge/>
            <w:tcBorders>
              <w:top w:val="nil"/>
            </w:tcBorders>
            <w:shd w:val="clear" w:color="auto" w:fill="E4E4E4"/>
          </w:tcPr>
          <w:p>
            <w:pPr>
              <w:rPr>
                <w:sz w:val="2"/>
                <w:szCs w:val="2"/>
              </w:rPr>
            </w:pPr>
          </w:p>
        </w:tc>
        <w:tc>
          <w:tcPr>
            <w:tcW w:w="1875"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FL</w:t>
            </w:r>
          </w:p>
        </w:tc>
        <w:tc>
          <w:tcPr>
            <w:tcW w:w="1027" w:type="dxa"/>
          </w:tcPr>
          <w:p>
            <w:pPr>
              <w:pStyle w:val="TableParagraph"/>
              <w:spacing w:before="23"/>
              <w:ind w:left="107"/>
              <w:rPr>
                <w:sz w:val="16"/>
              </w:rPr>
            </w:pPr>
            <w:r>
              <w:rPr>
                <w:sz w:val="16"/>
              </w:rPr>
              <w:t>(a)</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4"/>
              <w:ind w:left="139" w:right="129"/>
              <w:jc w:val="center"/>
              <w:rPr>
                <w:b/>
                <w:sz w:val="16"/>
              </w:rPr>
            </w:pPr>
            <w:r>
              <w:rPr>
                <w:b/>
                <w:sz w:val="16"/>
              </w:rPr>
              <w:t>CF</w:t>
            </w:r>
          </w:p>
        </w:tc>
        <w:tc>
          <w:tcPr>
            <w:tcW w:w="2052" w:type="dxa"/>
            <w:shd w:val="clear" w:color="auto" w:fill="D5D5D5"/>
          </w:tcPr>
          <w:p>
            <w:pPr>
              <w:pStyle w:val="TableParagraph"/>
              <w:spacing w:line="164" w:lineRule="exact" w:before="25"/>
              <w:ind w:left="108" w:right="175"/>
              <w:jc w:val="center"/>
              <w:rPr>
                <w:b/>
                <w:sz w:val="10"/>
              </w:rPr>
            </w:pPr>
            <w:r>
              <w:rPr>
                <w:b/>
                <w:position w:val="2"/>
                <w:sz w:val="16"/>
              </w:rPr>
              <w:t>∆C</w:t>
            </w:r>
            <w:r>
              <w:rPr>
                <w:b/>
                <w:sz w:val="10"/>
              </w:rPr>
              <w:t>FF</w:t>
            </w:r>
          </w:p>
          <w:p>
            <w:pPr>
              <w:pStyle w:val="TableParagraph"/>
              <w:spacing w:line="87" w:lineRule="exact"/>
              <w:ind w:left="341"/>
              <w:jc w:val="center"/>
              <w:rPr>
                <w:b/>
                <w:sz w:val="10"/>
              </w:rPr>
            </w:pPr>
            <w:r>
              <w:rPr>
                <w:b/>
                <w:w w:val="100"/>
                <w:sz w:val="10"/>
              </w:rPr>
              <w:t>G</w:t>
            </w:r>
          </w:p>
        </w:tc>
        <w:tc>
          <w:tcPr>
            <w:tcW w:w="1728" w:type="dxa"/>
          </w:tcPr>
          <w:p>
            <w:pPr>
              <w:pStyle w:val="TableParagraph"/>
              <w:spacing w:before="54"/>
              <w:ind w:left="11"/>
              <w:jc w:val="center"/>
              <w:rPr>
                <w:b/>
                <w:sz w:val="16"/>
              </w:rPr>
            </w:pPr>
            <w:r>
              <w:rPr>
                <w:b/>
                <w:w w:val="100"/>
                <w:sz w:val="16"/>
              </w:rPr>
              <w:t>H</w:t>
            </w:r>
          </w:p>
        </w:tc>
        <w:tc>
          <w:tcPr>
            <w:tcW w:w="1980" w:type="dxa"/>
          </w:tcPr>
          <w:p>
            <w:pPr>
              <w:pStyle w:val="TableParagraph"/>
              <w:spacing w:before="54"/>
              <w:ind w:left="9"/>
              <w:jc w:val="center"/>
              <w:rPr>
                <w:b/>
                <w:sz w:val="16"/>
              </w:rPr>
            </w:pPr>
            <w:r>
              <w:rPr>
                <w:b/>
                <w:w w:val="100"/>
                <w:sz w:val="16"/>
              </w:rPr>
              <w:t>D</w:t>
            </w:r>
          </w:p>
        </w:tc>
        <w:tc>
          <w:tcPr>
            <w:tcW w:w="2086" w:type="dxa"/>
          </w:tcPr>
          <w:p>
            <w:pPr>
              <w:pStyle w:val="TableParagraph"/>
              <w:spacing w:before="53"/>
              <w:ind w:left="533" w:right="525"/>
              <w:jc w:val="center"/>
              <w:rPr>
                <w:b/>
                <w:sz w:val="10"/>
              </w:rPr>
            </w:pPr>
            <w:r>
              <w:rPr>
                <w:b/>
                <w:position w:val="2"/>
                <w:sz w:val="16"/>
              </w:rPr>
              <w:t>BEF</w:t>
            </w:r>
            <w:r>
              <w:rPr>
                <w:b/>
                <w:sz w:val="10"/>
              </w:rPr>
              <w:t>2</w:t>
            </w:r>
          </w:p>
        </w:tc>
        <w:tc>
          <w:tcPr>
            <w:tcW w:w="1875" w:type="dxa"/>
          </w:tcPr>
          <w:p>
            <w:pPr>
              <w:pStyle w:val="TableParagraph"/>
              <w:spacing w:before="53"/>
              <w:ind w:left="138" w:right="126"/>
              <w:jc w:val="center"/>
              <w:rPr>
                <w:b/>
                <w:sz w:val="10"/>
              </w:rPr>
            </w:pPr>
            <w:r>
              <w:rPr>
                <w:b/>
                <w:position w:val="2"/>
                <w:sz w:val="16"/>
              </w:rPr>
              <w:t>f</w:t>
            </w:r>
            <w:r>
              <w:rPr>
                <w:b/>
                <w:sz w:val="10"/>
              </w:rPr>
              <w:t>BL</w:t>
            </w: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41"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bl>
    <w:p>
      <w:pPr>
        <w:spacing w:after="0"/>
        <w:rPr>
          <w:sz w:val="16"/>
        </w:rPr>
        <w:sectPr>
          <w:headerReference w:type="even" r:id="rId221"/>
          <w:headerReference w:type="default" r:id="rId222"/>
          <w:pgSz w:w="16840" w:h="11900" w:orient="landscape"/>
          <w:pgMar w:header="1150" w:footer="1128"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1913"/>
        <w:gridCol w:w="1447"/>
        <w:gridCol w:w="1449"/>
        <w:gridCol w:w="1989"/>
        <w:gridCol w:w="1991"/>
        <w:gridCol w:w="1626"/>
        <w:gridCol w:w="1628"/>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3070" w:type="dxa"/>
            <w:gridSpan w:val="8"/>
          </w:tcPr>
          <w:p>
            <w:pPr>
              <w:pStyle w:val="TableParagraph"/>
              <w:spacing w:before="26"/>
              <w:ind w:left="108"/>
              <w:rPr>
                <w:b/>
                <w:sz w:val="20"/>
              </w:rPr>
            </w:pPr>
            <w:r>
              <w:rPr>
                <w:b/>
                <w:sz w:val="20"/>
              </w:rPr>
              <w:t>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3070" w:type="dxa"/>
            <w:gridSpan w:val="8"/>
          </w:tcPr>
          <w:p>
            <w:pPr>
              <w:pStyle w:val="TableParagraph"/>
              <w:spacing w:before="26"/>
              <w:ind w:left="107"/>
              <w:rPr>
                <w:b/>
                <w:sz w:val="20"/>
              </w:rPr>
            </w:pPr>
            <w:r>
              <w:rPr>
                <w:b/>
                <w:sz w:val="20"/>
              </w:rPr>
              <w:t>Forest Land Remaining 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3070" w:type="dxa"/>
            <w:gridSpan w:val="8"/>
          </w:tcPr>
          <w:p>
            <w:pPr>
              <w:pStyle w:val="TableParagraph"/>
              <w:spacing w:before="26"/>
              <w:ind w:left="108"/>
              <w:rPr>
                <w:b/>
                <w:sz w:val="20"/>
              </w:rPr>
            </w:pPr>
            <w:r>
              <w:rPr>
                <w:b/>
                <w:sz w:val="20"/>
              </w:rPr>
              <w:t>FL-1a: Annual change in carbon stocks in living biomass (includes above and below ground biomass)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3070" w:type="dxa"/>
            <w:gridSpan w:val="8"/>
          </w:tcPr>
          <w:p>
            <w:pPr>
              <w:pStyle w:val="TableParagraph"/>
              <w:spacing w:before="26"/>
              <w:ind w:left="108"/>
              <w:rPr>
                <w:b/>
                <w:sz w:val="20"/>
              </w:rPr>
            </w:pPr>
            <w:r>
              <w:rPr>
                <w:b/>
                <w:sz w:val="20"/>
              </w:rPr>
              <w:t>3 of 4</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1913" w:type="dxa"/>
            <w:vMerge w:val="restart"/>
            <w:shd w:val="clear" w:color="auto" w:fill="E4E4E4"/>
          </w:tcPr>
          <w:p>
            <w:pPr>
              <w:pStyle w:val="TableParagraph"/>
              <w:spacing w:before="23"/>
              <w:ind w:left="99" w:right="84"/>
              <w:jc w:val="center"/>
              <w:rPr>
                <w:sz w:val="16"/>
              </w:rPr>
            </w:pPr>
            <w:r>
              <w:rPr>
                <w:sz w:val="16"/>
              </w:rPr>
              <w:t>Annual carbon loss due to commercial fellings</w:t>
            </w:r>
          </w:p>
          <w:p>
            <w:pPr>
              <w:pStyle w:val="TableParagraph"/>
              <w:rPr>
                <w:sz w:val="16"/>
              </w:rPr>
            </w:pPr>
          </w:p>
          <w:p>
            <w:pPr>
              <w:pStyle w:val="TableParagraph"/>
              <w:ind w:left="98" w:right="90"/>
              <w:jc w:val="center"/>
              <w:rPr>
                <w:sz w:val="16"/>
              </w:rPr>
            </w:pPr>
            <w:r>
              <w:rPr>
                <w:sz w:val="16"/>
              </w:rPr>
              <w:t>(tonnes C yr</w:t>
            </w:r>
            <w:r>
              <w:rPr>
                <w:sz w:val="16"/>
                <w:vertAlign w:val="superscript"/>
              </w:rPr>
              <w:t>-1</w:t>
            </w:r>
            <w:r>
              <w:rPr>
                <w:sz w:val="16"/>
                <w:vertAlign w:val="baseline"/>
              </w:rPr>
              <w:t>)</w:t>
            </w:r>
          </w:p>
          <w:p>
            <w:pPr>
              <w:pStyle w:val="TableParagraph"/>
              <w:rPr>
                <w:sz w:val="17"/>
              </w:rPr>
            </w:pPr>
          </w:p>
          <w:p>
            <w:pPr>
              <w:pStyle w:val="TableParagraph"/>
              <w:ind w:left="99" w:right="90"/>
              <w:jc w:val="center"/>
              <w:rPr>
                <w:sz w:val="16"/>
              </w:rPr>
            </w:pPr>
            <w:r>
              <w:rPr>
                <w:sz w:val="16"/>
              </w:rPr>
              <w:t>N = J </w:t>
            </w:r>
            <w:r>
              <w:rPr>
                <w:rFonts w:ascii="Symbol" w:hAnsi="Symbol"/>
                <w:sz w:val="16"/>
              </w:rPr>
              <w:t>• </w:t>
            </w:r>
            <w:r>
              <w:rPr>
                <w:sz w:val="16"/>
              </w:rPr>
              <w:t>K </w:t>
            </w:r>
            <w:r>
              <w:rPr>
                <w:rFonts w:ascii="Symbol" w:hAnsi="Symbol"/>
                <w:sz w:val="16"/>
              </w:rPr>
              <w:t>• </w:t>
            </w:r>
            <w:r>
              <w:rPr>
                <w:sz w:val="16"/>
              </w:rPr>
              <w:t>L </w:t>
            </w:r>
            <w:r>
              <w:rPr>
                <w:rFonts w:ascii="Symbol" w:hAnsi="Symbol"/>
                <w:sz w:val="16"/>
              </w:rPr>
              <w:t>• </w:t>
            </w:r>
            <w:r>
              <w:rPr>
                <w:sz w:val="16"/>
              </w:rPr>
              <w:t>(1-M) </w:t>
            </w:r>
            <w:r>
              <w:rPr>
                <w:rFonts w:ascii="Symbol" w:hAnsi="Symbol"/>
                <w:sz w:val="16"/>
              </w:rPr>
              <w:t>• </w:t>
            </w:r>
            <w:r>
              <w:rPr>
                <w:sz w:val="16"/>
              </w:rPr>
              <w:t>H</w:t>
            </w:r>
          </w:p>
          <w:p>
            <w:pPr>
              <w:pStyle w:val="TableParagraph"/>
              <w:rPr>
                <w:sz w:val="20"/>
              </w:rPr>
            </w:pPr>
          </w:p>
          <w:p>
            <w:pPr>
              <w:pStyle w:val="TableParagraph"/>
              <w:spacing w:line="168" w:lineRule="exact" w:before="125"/>
              <w:ind w:left="9"/>
              <w:jc w:val="center"/>
              <w:rPr>
                <w:sz w:val="16"/>
              </w:rPr>
            </w:pPr>
            <w:r>
              <w:rPr>
                <w:w w:val="100"/>
                <w:sz w:val="16"/>
              </w:rPr>
              <w:t>N</w:t>
            </w:r>
          </w:p>
        </w:tc>
        <w:tc>
          <w:tcPr>
            <w:tcW w:w="1447" w:type="dxa"/>
            <w:vMerge w:val="restart"/>
            <w:shd w:val="clear" w:color="auto" w:fill="E4E4E4"/>
          </w:tcPr>
          <w:p>
            <w:pPr>
              <w:pStyle w:val="TableParagraph"/>
              <w:spacing w:before="23"/>
              <w:ind w:left="141" w:right="128"/>
              <w:jc w:val="center"/>
              <w:rPr>
                <w:sz w:val="16"/>
              </w:rPr>
            </w:pPr>
            <w:r>
              <w:rPr>
                <w:sz w:val="16"/>
              </w:rPr>
              <w:t>Annual volume </w:t>
            </w:r>
            <w:r>
              <w:rPr>
                <w:spacing w:val="-10"/>
                <w:sz w:val="16"/>
              </w:rPr>
              <w:t>of </w:t>
            </w:r>
            <w:r>
              <w:rPr>
                <w:sz w:val="16"/>
              </w:rPr>
              <w:t>fuelwood gathering</w:t>
            </w:r>
          </w:p>
          <w:p>
            <w:pPr>
              <w:pStyle w:val="TableParagraph"/>
              <w:spacing w:before="10"/>
              <w:rPr>
                <w:sz w:val="15"/>
              </w:rPr>
            </w:pPr>
          </w:p>
          <w:p>
            <w:pPr>
              <w:pStyle w:val="TableParagraph"/>
              <w:ind w:left="139" w:right="128"/>
              <w:jc w:val="center"/>
              <w:rPr>
                <w:sz w:val="16"/>
              </w:rPr>
            </w:pPr>
            <w:r>
              <w:rPr>
                <w:sz w:val="16"/>
              </w:rPr>
              <w:t>(m</w:t>
            </w:r>
            <w:r>
              <w:rPr>
                <w:sz w:val="16"/>
                <w:vertAlign w:val="superscript"/>
              </w:rPr>
              <w:t>3</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9"/>
              <w:jc w:val="center"/>
              <w:rPr>
                <w:sz w:val="16"/>
              </w:rPr>
            </w:pPr>
            <w:r>
              <w:rPr>
                <w:w w:val="100"/>
                <w:sz w:val="16"/>
              </w:rPr>
              <w:t>O</w:t>
            </w:r>
          </w:p>
        </w:tc>
        <w:tc>
          <w:tcPr>
            <w:tcW w:w="1449" w:type="dxa"/>
            <w:vMerge w:val="restart"/>
            <w:shd w:val="clear" w:color="auto" w:fill="E4E4E4"/>
          </w:tcPr>
          <w:p>
            <w:pPr>
              <w:pStyle w:val="TableParagraph"/>
              <w:spacing w:before="23"/>
              <w:ind w:left="116" w:right="103"/>
              <w:jc w:val="center"/>
              <w:rPr>
                <w:sz w:val="16"/>
              </w:rPr>
            </w:pPr>
            <w:r>
              <w:rPr>
                <w:sz w:val="16"/>
              </w:rPr>
              <w:t>Biomass density</w:t>
            </w:r>
          </w:p>
          <w:p>
            <w:pPr>
              <w:pStyle w:val="TableParagraph"/>
              <w:spacing w:before="10"/>
              <w:rPr>
                <w:sz w:val="15"/>
              </w:rPr>
            </w:pPr>
          </w:p>
          <w:p>
            <w:pPr>
              <w:pStyle w:val="TableParagraph"/>
              <w:spacing w:before="1"/>
              <w:ind w:left="109" w:right="103"/>
              <w:jc w:val="center"/>
              <w:rPr>
                <w:sz w:val="16"/>
              </w:rPr>
            </w:pPr>
            <w:r>
              <w:rPr>
                <w:sz w:val="16"/>
              </w:rPr>
              <w:t>(tonnes d.m.</w:t>
            </w:r>
          </w:p>
          <w:p>
            <w:pPr>
              <w:pStyle w:val="TableParagraph"/>
              <w:ind w:left="150" w:right="103"/>
              <w:jc w:val="center"/>
              <w:rPr>
                <w:sz w:val="16"/>
              </w:rPr>
            </w:pPr>
            <w:r>
              <w:rPr>
                <w:sz w:val="16"/>
              </w:rPr>
              <w:t>m</w:t>
            </w:r>
            <w:r>
              <w:rPr>
                <w:sz w:val="16"/>
                <w:vertAlign w:val="superscript"/>
              </w:rPr>
              <w:t>-3</w:t>
            </w:r>
            <w:r>
              <w:rPr>
                <w:sz w:val="16"/>
                <w:vertAlign w:val="baseline"/>
              </w:rPr>
              <w:t> fresh volume)</w:t>
            </w:r>
          </w:p>
          <w:p>
            <w:pPr>
              <w:pStyle w:val="TableParagraph"/>
              <w:rPr>
                <w:sz w:val="18"/>
              </w:rPr>
            </w:pPr>
          </w:p>
          <w:p>
            <w:pPr>
              <w:pStyle w:val="TableParagraph"/>
              <w:rPr>
                <w:sz w:val="18"/>
              </w:rPr>
            </w:pPr>
          </w:p>
          <w:p>
            <w:pPr>
              <w:pStyle w:val="TableParagraph"/>
              <w:rPr>
                <w:sz w:val="18"/>
              </w:rPr>
            </w:pPr>
          </w:p>
          <w:p>
            <w:pPr>
              <w:pStyle w:val="TableParagraph"/>
              <w:spacing w:line="168" w:lineRule="exact" w:before="127"/>
              <w:ind w:left="9"/>
              <w:jc w:val="center"/>
              <w:rPr>
                <w:sz w:val="16"/>
              </w:rPr>
            </w:pPr>
            <w:r>
              <w:rPr>
                <w:w w:val="100"/>
                <w:sz w:val="16"/>
              </w:rPr>
              <w:t>P</w:t>
            </w:r>
          </w:p>
        </w:tc>
        <w:tc>
          <w:tcPr>
            <w:tcW w:w="1989" w:type="dxa"/>
            <w:vMerge w:val="restart"/>
            <w:shd w:val="clear" w:color="auto" w:fill="E4E4E4"/>
          </w:tcPr>
          <w:p>
            <w:pPr>
              <w:pStyle w:val="TableParagraph"/>
              <w:spacing w:before="23"/>
              <w:ind w:left="132" w:right="115" w:hanging="3"/>
              <w:jc w:val="center"/>
              <w:rPr>
                <w:sz w:val="16"/>
              </w:rPr>
            </w:pPr>
            <w:r>
              <w:rPr>
                <w:sz w:val="16"/>
              </w:rPr>
              <w:t>Biomass expansion factor for converting volumes of extracted roundwood to total aboveground biomass (including bark)</w:t>
            </w:r>
          </w:p>
          <w:p>
            <w:pPr>
              <w:pStyle w:val="TableParagraph"/>
              <w:spacing w:line="380" w:lineRule="exact" w:before="29"/>
              <w:ind w:left="490" w:right="473"/>
              <w:jc w:val="center"/>
              <w:rPr>
                <w:sz w:val="16"/>
              </w:rPr>
            </w:pPr>
            <w:r>
              <w:rPr>
                <w:sz w:val="16"/>
              </w:rPr>
              <w:t>(dimensionless) Q</w:t>
            </w:r>
          </w:p>
        </w:tc>
        <w:tc>
          <w:tcPr>
            <w:tcW w:w="1991" w:type="dxa"/>
            <w:vMerge w:val="restart"/>
            <w:shd w:val="clear" w:color="auto" w:fill="E4E4E4"/>
          </w:tcPr>
          <w:p>
            <w:pPr>
              <w:pStyle w:val="TableParagraph"/>
              <w:spacing w:before="23"/>
              <w:ind w:left="159" w:right="144"/>
              <w:jc w:val="center"/>
              <w:rPr>
                <w:sz w:val="16"/>
              </w:rPr>
            </w:pPr>
            <w:r>
              <w:rPr>
                <w:sz w:val="16"/>
              </w:rPr>
              <w:t>Annual carbon loss due to fuelwood gathering</w:t>
            </w:r>
          </w:p>
          <w:p>
            <w:pPr>
              <w:pStyle w:val="TableParagraph"/>
              <w:rPr>
                <w:sz w:val="16"/>
              </w:rPr>
            </w:pPr>
          </w:p>
          <w:p>
            <w:pPr>
              <w:pStyle w:val="TableParagraph"/>
              <w:spacing w:line="494" w:lineRule="auto"/>
              <w:ind w:left="409" w:right="392" w:firstLine="124"/>
              <w:rPr>
                <w:sz w:val="16"/>
              </w:rPr>
            </w:pPr>
            <w:r>
              <w:rPr>
                <w:sz w:val="16"/>
              </w:rPr>
              <w:t>(tonnes C yr</w:t>
            </w:r>
            <w:r>
              <w:rPr>
                <w:sz w:val="16"/>
                <w:vertAlign w:val="superscript"/>
              </w:rPr>
              <w:t>-1</w:t>
            </w:r>
            <w:r>
              <w:rPr>
                <w:sz w:val="16"/>
                <w:vertAlign w:val="baseline"/>
              </w:rPr>
              <w:t>) R = O </w:t>
            </w:r>
            <w:r>
              <w:rPr>
                <w:rFonts w:ascii="Symbol" w:hAnsi="Symbol"/>
                <w:sz w:val="16"/>
                <w:vertAlign w:val="baseline"/>
              </w:rPr>
              <w:t>• </w:t>
            </w:r>
            <w:r>
              <w:rPr>
                <w:sz w:val="16"/>
                <w:vertAlign w:val="baseline"/>
              </w:rPr>
              <w:t>P </w:t>
            </w:r>
            <w:r>
              <w:rPr>
                <w:rFonts w:ascii="Symbol" w:hAnsi="Symbol"/>
                <w:sz w:val="16"/>
                <w:vertAlign w:val="baseline"/>
              </w:rPr>
              <w:t>• </w:t>
            </w:r>
            <w:r>
              <w:rPr>
                <w:sz w:val="16"/>
                <w:vertAlign w:val="baseline"/>
              </w:rPr>
              <w:t>Q </w:t>
            </w:r>
            <w:r>
              <w:rPr>
                <w:rFonts w:ascii="Symbol" w:hAnsi="Symbol"/>
                <w:sz w:val="16"/>
                <w:vertAlign w:val="baseline"/>
              </w:rPr>
              <w:t>•</w:t>
            </w:r>
            <w:r>
              <w:rPr>
                <w:rFonts w:ascii="Symbol" w:hAnsi="Symbol"/>
                <w:spacing w:val="-1"/>
                <w:sz w:val="16"/>
                <w:vertAlign w:val="baseline"/>
              </w:rPr>
              <w:t> </w:t>
            </w:r>
            <w:r>
              <w:rPr>
                <w:spacing w:val="-13"/>
                <w:sz w:val="16"/>
                <w:vertAlign w:val="baseline"/>
              </w:rPr>
              <w:t>H</w:t>
            </w:r>
          </w:p>
          <w:p>
            <w:pPr>
              <w:pStyle w:val="TableParagraph"/>
              <w:spacing w:line="168" w:lineRule="exact" w:before="160"/>
              <w:ind w:left="11"/>
              <w:jc w:val="center"/>
              <w:rPr>
                <w:sz w:val="16"/>
              </w:rPr>
            </w:pPr>
            <w:r>
              <w:rPr>
                <w:w w:val="100"/>
                <w:sz w:val="16"/>
              </w:rPr>
              <w:t>R</w:t>
            </w:r>
          </w:p>
        </w:tc>
        <w:tc>
          <w:tcPr>
            <w:tcW w:w="1626" w:type="dxa"/>
            <w:vMerge w:val="restart"/>
            <w:shd w:val="clear" w:color="auto" w:fill="E4E4E4"/>
          </w:tcPr>
          <w:p>
            <w:pPr>
              <w:pStyle w:val="TableParagraph"/>
              <w:spacing w:before="23"/>
              <w:ind w:left="153" w:right="136"/>
              <w:jc w:val="center"/>
              <w:rPr>
                <w:sz w:val="16"/>
              </w:rPr>
            </w:pPr>
            <w:r>
              <w:rPr>
                <w:sz w:val="16"/>
              </w:rPr>
              <w:t>Forest areas affected by disturbances</w:t>
            </w:r>
          </w:p>
          <w:p>
            <w:pPr>
              <w:pStyle w:val="TableParagraph"/>
              <w:rPr>
                <w:sz w:val="16"/>
              </w:rPr>
            </w:pPr>
          </w:p>
          <w:p>
            <w:pPr>
              <w:pStyle w:val="TableParagraph"/>
              <w:ind w:left="153" w:right="136"/>
              <w:jc w:val="center"/>
              <w:rPr>
                <w:sz w:val="16"/>
              </w:rPr>
            </w:pPr>
            <w:r>
              <w:rPr>
                <w:sz w:val="16"/>
              </w:rPr>
              <w:t>(ha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26"/>
              <w:ind w:left="19"/>
              <w:jc w:val="center"/>
              <w:rPr>
                <w:sz w:val="16"/>
              </w:rPr>
            </w:pPr>
            <w:r>
              <w:rPr>
                <w:w w:val="100"/>
                <w:sz w:val="16"/>
              </w:rPr>
              <w:t>S</w:t>
            </w:r>
          </w:p>
        </w:tc>
        <w:tc>
          <w:tcPr>
            <w:tcW w:w="1628" w:type="dxa"/>
            <w:vMerge w:val="restart"/>
            <w:shd w:val="clear" w:color="auto" w:fill="E4E4E4"/>
          </w:tcPr>
          <w:p>
            <w:pPr>
              <w:pStyle w:val="TableParagraph"/>
              <w:spacing w:before="23"/>
              <w:ind w:left="176" w:right="155" w:hanging="2"/>
              <w:jc w:val="center"/>
              <w:rPr>
                <w:sz w:val="16"/>
              </w:rPr>
            </w:pPr>
            <w:r>
              <w:rPr>
                <w:sz w:val="16"/>
              </w:rPr>
              <w:t>Average biomass stock of forest areas</w:t>
            </w:r>
          </w:p>
          <w:p>
            <w:pPr>
              <w:pStyle w:val="TableParagraph"/>
              <w:rPr>
                <w:sz w:val="16"/>
              </w:rPr>
            </w:pPr>
          </w:p>
          <w:p>
            <w:pPr>
              <w:pStyle w:val="TableParagraph"/>
              <w:ind w:left="235" w:right="216"/>
              <w:jc w:val="center"/>
              <w:rPr>
                <w:sz w:val="16"/>
              </w:rPr>
            </w:pPr>
            <w:r>
              <w:rPr>
                <w:sz w:val="16"/>
              </w:rPr>
              <w:t>(tonnes d.m.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26"/>
              <w:ind w:left="19"/>
              <w:jc w:val="center"/>
              <w:rPr>
                <w:sz w:val="16"/>
              </w:rPr>
            </w:pPr>
            <w:r>
              <w:rPr>
                <w:w w:val="100"/>
                <w:sz w:val="16"/>
              </w:rPr>
              <w:t>T</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1913" w:type="dxa"/>
            <w:vMerge/>
            <w:tcBorders>
              <w:top w:val="nil"/>
            </w:tcBorders>
            <w:shd w:val="clear" w:color="auto" w:fill="E4E4E4"/>
          </w:tcPr>
          <w:p>
            <w:pPr>
              <w:rPr>
                <w:sz w:val="2"/>
                <w:szCs w:val="2"/>
              </w:rPr>
            </w:pPr>
          </w:p>
        </w:tc>
        <w:tc>
          <w:tcPr>
            <w:tcW w:w="1447" w:type="dxa"/>
            <w:vMerge/>
            <w:tcBorders>
              <w:top w:val="nil"/>
            </w:tcBorders>
            <w:shd w:val="clear" w:color="auto" w:fill="E4E4E4"/>
          </w:tcPr>
          <w:p>
            <w:pPr>
              <w:rPr>
                <w:sz w:val="2"/>
                <w:szCs w:val="2"/>
              </w:rPr>
            </w:pPr>
          </w:p>
        </w:tc>
        <w:tc>
          <w:tcPr>
            <w:tcW w:w="1449" w:type="dxa"/>
            <w:vMerge/>
            <w:tcBorders>
              <w:top w:val="nil"/>
            </w:tcBorders>
            <w:shd w:val="clear" w:color="auto" w:fill="E4E4E4"/>
          </w:tcPr>
          <w:p>
            <w:pPr>
              <w:rPr>
                <w:sz w:val="2"/>
                <w:szCs w:val="2"/>
              </w:rPr>
            </w:pPr>
          </w:p>
        </w:tc>
        <w:tc>
          <w:tcPr>
            <w:tcW w:w="1989" w:type="dxa"/>
            <w:vMerge/>
            <w:tcBorders>
              <w:top w:val="nil"/>
            </w:tcBorders>
            <w:shd w:val="clear" w:color="auto" w:fill="E4E4E4"/>
          </w:tcPr>
          <w:p>
            <w:pPr>
              <w:rPr>
                <w:sz w:val="2"/>
                <w:szCs w:val="2"/>
              </w:rPr>
            </w:pPr>
          </w:p>
        </w:tc>
        <w:tc>
          <w:tcPr>
            <w:tcW w:w="1991" w:type="dxa"/>
            <w:vMerge/>
            <w:tcBorders>
              <w:top w:val="nil"/>
            </w:tcBorders>
            <w:shd w:val="clear" w:color="auto" w:fill="E4E4E4"/>
          </w:tcPr>
          <w:p>
            <w:pPr>
              <w:rPr>
                <w:sz w:val="2"/>
                <w:szCs w:val="2"/>
              </w:rPr>
            </w:pPr>
          </w:p>
        </w:tc>
        <w:tc>
          <w:tcPr>
            <w:tcW w:w="1626" w:type="dxa"/>
            <w:vMerge/>
            <w:tcBorders>
              <w:top w:val="nil"/>
            </w:tcBorders>
            <w:shd w:val="clear" w:color="auto" w:fill="E4E4E4"/>
          </w:tcPr>
          <w:p>
            <w:pPr>
              <w:rPr>
                <w:sz w:val="2"/>
                <w:szCs w:val="2"/>
              </w:rPr>
            </w:pPr>
          </w:p>
        </w:tc>
        <w:tc>
          <w:tcPr>
            <w:tcW w:w="1628" w:type="dxa"/>
            <w:vMerge/>
            <w:tcBorders>
              <w:top w:val="nil"/>
            </w:tcBorders>
            <w:shd w:val="clear" w:color="auto" w:fill="E4E4E4"/>
          </w:tcPr>
          <w:p>
            <w:pPr>
              <w:rPr>
                <w:sz w:val="2"/>
                <w:szCs w:val="2"/>
              </w:rPr>
            </w:pPr>
          </w:p>
        </w:tc>
      </w:tr>
      <w:tr>
        <w:trPr>
          <w:trHeight w:val="201" w:hRule="atLeast"/>
        </w:trPr>
        <w:tc>
          <w:tcPr>
            <w:tcW w:w="924" w:type="dxa"/>
          </w:tcPr>
          <w:p>
            <w:pPr>
              <w:pStyle w:val="TableParagraph"/>
              <w:spacing w:line="169" w:lineRule="exact"/>
              <w:ind w:left="107"/>
              <w:rPr>
                <w:sz w:val="16"/>
              </w:rPr>
            </w:pPr>
            <w:r>
              <w:rPr>
                <w:sz w:val="16"/>
              </w:rPr>
              <w:t>FL</w:t>
            </w:r>
          </w:p>
        </w:tc>
        <w:tc>
          <w:tcPr>
            <w:tcW w:w="950" w:type="dxa"/>
          </w:tcPr>
          <w:p>
            <w:pPr>
              <w:pStyle w:val="TableParagraph"/>
              <w:spacing w:line="169" w:lineRule="exact"/>
              <w:ind w:left="107"/>
              <w:rPr>
                <w:sz w:val="16"/>
              </w:rPr>
            </w:pPr>
            <w:r>
              <w:rPr>
                <w:sz w:val="16"/>
              </w:rPr>
              <w:t>FL</w:t>
            </w:r>
          </w:p>
        </w:tc>
        <w:tc>
          <w:tcPr>
            <w:tcW w:w="1027" w:type="dxa"/>
          </w:tcPr>
          <w:p>
            <w:pPr>
              <w:pStyle w:val="TableParagraph"/>
              <w:spacing w:line="169" w:lineRule="exact"/>
              <w:ind w:left="107"/>
              <w:rPr>
                <w:sz w:val="16"/>
              </w:rPr>
            </w:pPr>
            <w:r>
              <w:rPr>
                <w:sz w:val="16"/>
              </w:rPr>
              <w:t>(a)</w:t>
            </w:r>
          </w:p>
        </w:tc>
        <w:tc>
          <w:tcPr>
            <w:tcW w:w="1913" w:type="dxa"/>
          </w:tcPr>
          <w:p>
            <w:pPr>
              <w:pStyle w:val="TableParagraph"/>
              <w:rPr>
                <w:sz w:val="14"/>
              </w:rPr>
            </w:pPr>
          </w:p>
        </w:tc>
        <w:tc>
          <w:tcPr>
            <w:tcW w:w="1447" w:type="dxa"/>
          </w:tcPr>
          <w:p>
            <w:pPr>
              <w:pStyle w:val="TableParagraph"/>
              <w:rPr>
                <w:sz w:val="14"/>
              </w:rPr>
            </w:pPr>
          </w:p>
        </w:tc>
        <w:tc>
          <w:tcPr>
            <w:tcW w:w="1449" w:type="dxa"/>
          </w:tcPr>
          <w:p>
            <w:pPr>
              <w:pStyle w:val="TableParagraph"/>
              <w:rPr>
                <w:sz w:val="14"/>
              </w:rPr>
            </w:pPr>
          </w:p>
        </w:tc>
        <w:tc>
          <w:tcPr>
            <w:tcW w:w="1989" w:type="dxa"/>
          </w:tcPr>
          <w:p>
            <w:pPr>
              <w:pStyle w:val="TableParagraph"/>
              <w:rPr>
                <w:sz w:val="14"/>
              </w:rPr>
            </w:pPr>
          </w:p>
        </w:tc>
        <w:tc>
          <w:tcPr>
            <w:tcW w:w="1991" w:type="dxa"/>
          </w:tcPr>
          <w:p>
            <w:pPr>
              <w:pStyle w:val="TableParagraph"/>
              <w:rPr>
                <w:sz w:val="14"/>
              </w:rPr>
            </w:pPr>
          </w:p>
        </w:tc>
        <w:tc>
          <w:tcPr>
            <w:tcW w:w="1626" w:type="dxa"/>
          </w:tcPr>
          <w:p>
            <w:pPr>
              <w:pStyle w:val="TableParagraph"/>
              <w:rPr>
                <w:sz w:val="14"/>
              </w:rPr>
            </w:pPr>
          </w:p>
        </w:tc>
        <w:tc>
          <w:tcPr>
            <w:tcW w:w="1628" w:type="dxa"/>
          </w:tcPr>
          <w:p>
            <w:pPr>
              <w:pStyle w:val="TableParagraph"/>
              <w:rPr>
                <w:sz w:val="14"/>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1913" w:type="dxa"/>
          </w:tcPr>
          <w:p>
            <w:pPr>
              <w:pStyle w:val="TableParagraph"/>
              <w:spacing w:before="25"/>
              <w:ind w:left="99" w:right="88"/>
              <w:jc w:val="center"/>
              <w:rPr>
                <w:b/>
                <w:sz w:val="10"/>
              </w:rPr>
            </w:pPr>
            <w:r>
              <w:rPr>
                <w:b/>
                <w:position w:val="2"/>
                <w:sz w:val="16"/>
              </w:rPr>
              <w:t>L</w:t>
            </w:r>
            <w:r>
              <w:rPr>
                <w:b/>
                <w:sz w:val="10"/>
              </w:rPr>
              <w:t>fellings</w:t>
            </w:r>
          </w:p>
        </w:tc>
        <w:tc>
          <w:tcPr>
            <w:tcW w:w="1447" w:type="dxa"/>
          </w:tcPr>
          <w:p>
            <w:pPr>
              <w:pStyle w:val="TableParagraph"/>
              <w:spacing w:before="25"/>
              <w:ind w:left="139" w:right="128"/>
              <w:jc w:val="center"/>
              <w:rPr>
                <w:b/>
                <w:sz w:val="16"/>
              </w:rPr>
            </w:pPr>
            <w:r>
              <w:rPr>
                <w:b/>
                <w:sz w:val="16"/>
              </w:rPr>
              <w:t>FG</w:t>
            </w:r>
          </w:p>
        </w:tc>
        <w:tc>
          <w:tcPr>
            <w:tcW w:w="1449" w:type="dxa"/>
          </w:tcPr>
          <w:p>
            <w:pPr>
              <w:pStyle w:val="TableParagraph"/>
              <w:spacing w:before="25"/>
              <w:ind w:left="8"/>
              <w:jc w:val="center"/>
              <w:rPr>
                <w:b/>
                <w:sz w:val="16"/>
              </w:rPr>
            </w:pPr>
            <w:r>
              <w:rPr>
                <w:b/>
                <w:w w:val="100"/>
                <w:sz w:val="16"/>
              </w:rPr>
              <w:t>D</w:t>
            </w:r>
          </w:p>
        </w:tc>
        <w:tc>
          <w:tcPr>
            <w:tcW w:w="1989" w:type="dxa"/>
          </w:tcPr>
          <w:p>
            <w:pPr>
              <w:pStyle w:val="TableParagraph"/>
              <w:spacing w:before="25"/>
              <w:ind w:left="488" w:right="473"/>
              <w:jc w:val="center"/>
              <w:rPr>
                <w:b/>
                <w:sz w:val="10"/>
              </w:rPr>
            </w:pPr>
            <w:r>
              <w:rPr>
                <w:b/>
                <w:position w:val="2"/>
                <w:sz w:val="16"/>
              </w:rPr>
              <w:t>BEF</w:t>
            </w:r>
            <w:r>
              <w:rPr>
                <w:b/>
                <w:sz w:val="10"/>
              </w:rPr>
              <w:t>2</w:t>
            </w:r>
          </w:p>
        </w:tc>
        <w:tc>
          <w:tcPr>
            <w:tcW w:w="1991" w:type="dxa"/>
          </w:tcPr>
          <w:p>
            <w:pPr>
              <w:pStyle w:val="TableParagraph"/>
              <w:spacing w:before="25"/>
              <w:ind w:left="159" w:right="144"/>
              <w:jc w:val="center"/>
              <w:rPr>
                <w:b/>
                <w:sz w:val="10"/>
              </w:rPr>
            </w:pPr>
            <w:r>
              <w:rPr>
                <w:b/>
                <w:position w:val="2"/>
                <w:sz w:val="16"/>
              </w:rPr>
              <w:t>L</w:t>
            </w:r>
            <w:r>
              <w:rPr>
                <w:b/>
                <w:sz w:val="10"/>
              </w:rPr>
              <w:t>fuelwood</w:t>
            </w:r>
          </w:p>
        </w:tc>
        <w:tc>
          <w:tcPr>
            <w:tcW w:w="1626" w:type="dxa"/>
          </w:tcPr>
          <w:p>
            <w:pPr>
              <w:pStyle w:val="TableParagraph"/>
              <w:spacing w:before="25"/>
              <w:ind w:left="506"/>
              <w:rPr>
                <w:b/>
                <w:sz w:val="10"/>
              </w:rPr>
            </w:pPr>
            <w:r>
              <w:rPr>
                <w:b/>
                <w:position w:val="2"/>
                <w:sz w:val="16"/>
              </w:rPr>
              <w:t>A</w:t>
            </w:r>
            <w:r>
              <w:rPr>
                <w:b/>
                <w:sz w:val="10"/>
              </w:rPr>
              <w:t>disturbance</w:t>
            </w:r>
          </w:p>
        </w:tc>
        <w:tc>
          <w:tcPr>
            <w:tcW w:w="1628" w:type="dxa"/>
          </w:tcPr>
          <w:p>
            <w:pPr>
              <w:pStyle w:val="TableParagraph"/>
              <w:spacing w:before="25"/>
              <w:ind w:left="235" w:right="216"/>
              <w:jc w:val="center"/>
              <w:rPr>
                <w:b/>
                <w:sz w:val="10"/>
              </w:rPr>
            </w:pPr>
            <w:r>
              <w:rPr>
                <w:b/>
                <w:position w:val="2"/>
                <w:sz w:val="16"/>
              </w:rPr>
              <w:t>B</w:t>
            </w:r>
            <w:r>
              <w:rPr>
                <w:b/>
                <w:sz w:val="10"/>
              </w:rPr>
              <w:t>W</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r>
        <w:trPr>
          <w:trHeight w:val="241"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1913" w:type="dxa"/>
          </w:tcPr>
          <w:p>
            <w:pPr>
              <w:pStyle w:val="TableParagraph"/>
              <w:rPr>
                <w:sz w:val="16"/>
              </w:rPr>
            </w:pPr>
          </w:p>
        </w:tc>
        <w:tc>
          <w:tcPr>
            <w:tcW w:w="1447" w:type="dxa"/>
          </w:tcPr>
          <w:p>
            <w:pPr>
              <w:pStyle w:val="TableParagraph"/>
              <w:rPr>
                <w:sz w:val="16"/>
              </w:rPr>
            </w:pPr>
          </w:p>
        </w:tc>
        <w:tc>
          <w:tcPr>
            <w:tcW w:w="1449" w:type="dxa"/>
          </w:tcPr>
          <w:p>
            <w:pPr>
              <w:pStyle w:val="TableParagraph"/>
              <w:rPr>
                <w:sz w:val="16"/>
              </w:rPr>
            </w:pPr>
          </w:p>
        </w:tc>
        <w:tc>
          <w:tcPr>
            <w:tcW w:w="1989" w:type="dxa"/>
          </w:tcPr>
          <w:p>
            <w:pPr>
              <w:pStyle w:val="TableParagraph"/>
              <w:rPr>
                <w:sz w:val="16"/>
              </w:rPr>
            </w:pPr>
          </w:p>
        </w:tc>
        <w:tc>
          <w:tcPr>
            <w:tcW w:w="1991" w:type="dxa"/>
          </w:tcPr>
          <w:p>
            <w:pPr>
              <w:pStyle w:val="TableParagraph"/>
              <w:rPr>
                <w:sz w:val="16"/>
              </w:rPr>
            </w:pPr>
          </w:p>
        </w:tc>
        <w:tc>
          <w:tcPr>
            <w:tcW w:w="1626" w:type="dxa"/>
          </w:tcPr>
          <w:p>
            <w:pPr>
              <w:pStyle w:val="TableParagraph"/>
              <w:rPr>
                <w:sz w:val="16"/>
              </w:rPr>
            </w:pPr>
          </w:p>
        </w:tc>
        <w:tc>
          <w:tcPr>
            <w:tcW w:w="1628" w:type="dxa"/>
          </w:tcPr>
          <w:p>
            <w:pPr>
              <w:pStyle w:val="TableParagraph"/>
              <w:rPr>
                <w:sz w:val="16"/>
              </w:rPr>
            </w:pPr>
          </w:p>
        </w:tc>
      </w:tr>
    </w:tbl>
    <w:p>
      <w:pPr>
        <w:spacing w:after="0"/>
        <w:rPr>
          <w:sz w:val="16"/>
        </w:rPr>
        <w:sectPr>
          <w:pgSz w:w="16840" w:h="11900" w:orient="landscape"/>
          <w:pgMar w:header="458" w:footer="439"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491"/>
        <w:gridCol w:w="3077"/>
        <w:gridCol w:w="2895"/>
        <w:gridCol w:w="32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50" w:type="dxa"/>
            <w:gridSpan w:val="5"/>
          </w:tcPr>
          <w:p>
            <w:pPr>
              <w:pStyle w:val="TableParagraph"/>
              <w:spacing w:before="26"/>
              <w:ind w:left="108"/>
              <w:rPr>
                <w:b/>
                <w:sz w:val="20"/>
              </w:rPr>
            </w:pPr>
            <w:r>
              <w:rPr>
                <w:b/>
                <w:sz w:val="20"/>
              </w:rPr>
              <w:t>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50" w:type="dxa"/>
            <w:gridSpan w:val="5"/>
          </w:tcPr>
          <w:p>
            <w:pPr>
              <w:pStyle w:val="TableParagraph"/>
              <w:spacing w:before="26"/>
              <w:ind w:left="107"/>
              <w:rPr>
                <w:b/>
                <w:sz w:val="20"/>
              </w:rPr>
            </w:pPr>
            <w:r>
              <w:rPr>
                <w:b/>
                <w:sz w:val="20"/>
              </w:rPr>
              <w:t>Forest Land Remaining 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50" w:type="dxa"/>
            <w:gridSpan w:val="5"/>
          </w:tcPr>
          <w:p>
            <w:pPr>
              <w:pStyle w:val="TableParagraph"/>
              <w:spacing w:before="26"/>
              <w:ind w:left="108"/>
              <w:rPr>
                <w:b/>
                <w:sz w:val="20"/>
              </w:rPr>
            </w:pPr>
            <w:r>
              <w:rPr>
                <w:b/>
                <w:sz w:val="20"/>
              </w:rPr>
              <w:t>FL-1a: Annual change in carbon stocks in living biomass (includes above and below ground biomass)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50" w:type="dxa"/>
            <w:gridSpan w:val="5"/>
          </w:tcPr>
          <w:p>
            <w:pPr>
              <w:pStyle w:val="TableParagraph"/>
              <w:spacing w:before="26"/>
              <w:ind w:left="108"/>
              <w:rPr>
                <w:b/>
                <w:sz w:val="20"/>
              </w:rPr>
            </w:pPr>
            <w:r>
              <w:rPr>
                <w:b/>
                <w:sz w:val="20"/>
              </w:rPr>
              <w:t>4 of 4</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491" w:type="dxa"/>
            <w:vMerge w:val="restart"/>
            <w:shd w:val="clear" w:color="auto" w:fill="E4E4E4"/>
          </w:tcPr>
          <w:p>
            <w:pPr>
              <w:pStyle w:val="TableParagraph"/>
              <w:spacing w:before="23"/>
              <w:ind w:left="110" w:right="100"/>
              <w:jc w:val="center"/>
              <w:rPr>
                <w:sz w:val="16"/>
              </w:rPr>
            </w:pPr>
            <w:r>
              <w:rPr>
                <w:sz w:val="16"/>
              </w:rPr>
              <w:t>Fraction of biomass left to decay in forest</w:t>
            </w:r>
          </w:p>
          <w:p>
            <w:pPr>
              <w:pStyle w:val="TableParagraph"/>
              <w:rPr>
                <w:sz w:val="16"/>
              </w:rPr>
            </w:pPr>
          </w:p>
          <w:p>
            <w:pPr>
              <w:pStyle w:val="TableParagraph"/>
              <w:ind w:left="105" w:right="100"/>
              <w:jc w:val="center"/>
              <w:rPr>
                <w:sz w:val="16"/>
              </w:rPr>
            </w:pPr>
            <w:r>
              <w:rPr>
                <w:sz w:val="16"/>
              </w:rPr>
              <w:t>(dimensionless)</w:t>
            </w:r>
          </w:p>
          <w:p>
            <w:pPr>
              <w:pStyle w:val="TableParagraph"/>
              <w:rPr>
                <w:sz w:val="18"/>
              </w:rPr>
            </w:pPr>
          </w:p>
          <w:p>
            <w:pPr>
              <w:pStyle w:val="TableParagraph"/>
              <w:rPr>
                <w:sz w:val="18"/>
              </w:rPr>
            </w:pPr>
          </w:p>
          <w:p>
            <w:pPr>
              <w:pStyle w:val="TableParagraph"/>
              <w:spacing w:line="170" w:lineRule="exact" w:before="148"/>
              <w:ind w:left="7"/>
              <w:jc w:val="center"/>
              <w:rPr>
                <w:sz w:val="16"/>
              </w:rPr>
            </w:pPr>
            <w:r>
              <w:rPr>
                <w:w w:val="100"/>
                <w:sz w:val="16"/>
              </w:rPr>
              <w:t>U</w:t>
            </w:r>
          </w:p>
        </w:tc>
        <w:tc>
          <w:tcPr>
            <w:tcW w:w="3077" w:type="dxa"/>
            <w:vMerge w:val="restart"/>
            <w:shd w:val="clear" w:color="auto" w:fill="E4E4E4"/>
          </w:tcPr>
          <w:p>
            <w:pPr>
              <w:pStyle w:val="TableParagraph"/>
              <w:spacing w:line="480" w:lineRule="auto" w:before="23"/>
              <w:ind w:left="581" w:right="571"/>
              <w:jc w:val="center"/>
              <w:rPr>
                <w:sz w:val="16"/>
              </w:rPr>
            </w:pPr>
            <w:r>
              <w:rPr>
                <w:sz w:val="16"/>
              </w:rPr>
              <w:t>Annual other losses of carbon (tonnes C yr</w:t>
            </w:r>
            <w:r>
              <w:rPr>
                <w:sz w:val="16"/>
                <w:vertAlign w:val="superscript"/>
              </w:rPr>
              <w:t>-1</w:t>
            </w:r>
            <w:r>
              <w:rPr>
                <w:sz w:val="16"/>
                <w:vertAlign w:val="baseline"/>
              </w:rPr>
              <w:t>)</w:t>
            </w:r>
          </w:p>
          <w:p>
            <w:pPr>
              <w:pStyle w:val="TableParagraph"/>
              <w:spacing w:before="10"/>
              <w:ind w:left="162" w:right="151"/>
              <w:jc w:val="center"/>
              <w:rPr>
                <w:sz w:val="16"/>
              </w:rPr>
            </w:pPr>
            <w:r>
              <w:rPr>
                <w:sz w:val="16"/>
              </w:rPr>
              <w:t>V = S </w:t>
            </w:r>
            <w:r>
              <w:rPr>
                <w:rFonts w:ascii="Symbol" w:hAnsi="Symbol"/>
                <w:sz w:val="16"/>
              </w:rPr>
              <w:t>• </w:t>
            </w:r>
            <w:r>
              <w:rPr>
                <w:sz w:val="16"/>
              </w:rPr>
              <w:t>T </w:t>
            </w:r>
            <w:r>
              <w:rPr>
                <w:rFonts w:ascii="Symbol" w:hAnsi="Symbol"/>
                <w:sz w:val="16"/>
              </w:rPr>
              <w:t>• </w:t>
            </w:r>
            <w:r>
              <w:rPr>
                <w:sz w:val="16"/>
              </w:rPr>
              <w:t>(1-U) </w:t>
            </w:r>
            <w:r>
              <w:rPr>
                <w:rFonts w:ascii="Symbol" w:hAnsi="Symbol"/>
                <w:sz w:val="16"/>
              </w:rPr>
              <w:t>• </w:t>
            </w:r>
            <w:r>
              <w:rPr>
                <w:sz w:val="16"/>
              </w:rPr>
              <w:t>H</w:t>
            </w:r>
          </w:p>
          <w:p>
            <w:pPr>
              <w:pStyle w:val="TableParagraph"/>
              <w:rPr>
                <w:sz w:val="20"/>
              </w:rPr>
            </w:pPr>
          </w:p>
          <w:p>
            <w:pPr>
              <w:pStyle w:val="TableParagraph"/>
              <w:spacing w:line="170" w:lineRule="exact" w:before="125"/>
              <w:ind w:left="11"/>
              <w:jc w:val="center"/>
              <w:rPr>
                <w:sz w:val="16"/>
              </w:rPr>
            </w:pPr>
            <w:r>
              <w:rPr>
                <w:w w:val="100"/>
                <w:sz w:val="16"/>
              </w:rPr>
              <w:t>V</w:t>
            </w:r>
          </w:p>
        </w:tc>
        <w:tc>
          <w:tcPr>
            <w:tcW w:w="2895" w:type="dxa"/>
            <w:vMerge w:val="restart"/>
            <w:shd w:val="clear" w:color="auto" w:fill="E4E4E4"/>
          </w:tcPr>
          <w:p>
            <w:pPr>
              <w:pStyle w:val="TableParagraph"/>
              <w:spacing w:before="23"/>
              <w:ind w:left="115" w:right="103"/>
              <w:jc w:val="center"/>
              <w:rPr>
                <w:sz w:val="16"/>
              </w:rPr>
            </w:pPr>
            <w:r>
              <w:rPr>
                <w:sz w:val="16"/>
              </w:rPr>
              <w:t>Annualdecrease in carbon due to biomass loss</w:t>
            </w:r>
          </w:p>
          <w:p>
            <w:pPr>
              <w:pStyle w:val="TableParagraph"/>
              <w:rPr>
                <w:sz w:val="16"/>
              </w:rPr>
            </w:pPr>
          </w:p>
          <w:p>
            <w:pPr>
              <w:pStyle w:val="TableParagraph"/>
              <w:spacing w:line="480" w:lineRule="auto"/>
              <w:ind w:left="963" w:right="950"/>
              <w:jc w:val="center"/>
              <w:rPr>
                <w:sz w:val="16"/>
              </w:rPr>
            </w:pPr>
            <w:r>
              <w:rPr>
                <w:sz w:val="16"/>
              </w:rPr>
              <w:t>(tonnes C yr</w:t>
            </w:r>
            <w:r>
              <w:rPr>
                <w:sz w:val="16"/>
                <w:vertAlign w:val="superscript"/>
              </w:rPr>
              <w:t>-1</w:t>
            </w:r>
            <w:r>
              <w:rPr>
                <w:sz w:val="16"/>
                <w:vertAlign w:val="baseline"/>
              </w:rPr>
              <w:t>) W = N+R+V</w:t>
            </w:r>
          </w:p>
          <w:p>
            <w:pPr>
              <w:pStyle w:val="TableParagraph"/>
              <w:spacing w:line="170" w:lineRule="exact" w:before="10"/>
              <w:ind w:left="13"/>
              <w:jc w:val="center"/>
              <w:rPr>
                <w:sz w:val="16"/>
              </w:rPr>
            </w:pPr>
            <w:r>
              <w:rPr>
                <w:w w:val="100"/>
                <w:sz w:val="16"/>
              </w:rPr>
              <w:t>W</w:t>
            </w:r>
          </w:p>
        </w:tc>
        <w:tc>
          <w:tcPr>
            <w:tcW w:w="3260" w:type="dxa"/>
            <w:vMerge w:val="restart"/>
            <w:shd w:val="clear" w:color="auto" w:fill="E4E4E4"/>
          </w:tcPr>
          <w:p>
            <w:pPr>
              <w:pStyle w:val="TableParagraph"/>
              <w:spacing w:before="23"/>
              <w:ind w:left="316" w:right="306"/>
              <w:jc w:val="center"/>
              <w:rPr>
                <w:sz w:val="16"/>
              </w:rPr>
            </w:pPr>
            <w:r>
              <w:rPr>
                <w:sz w:val="16"/>
              </w:rPr>
              <w:t>Annual change in carbon stocks in</w:t>
            </w:r>
            <w:r>
              <w:rPr>
                <w:spacing w:val="-17"/>
                <w:sz w:val="16"/>
              </w:rPr>
              <w:t> </w:t>
            </w:r>
            <w:r>
              <w:rPr>
                <w:sz w:val="16"/>
              </w:rPr>
              <w:t>living biomass</w:t>
            </w:r>
          </w:p>
          <w:p>
            <w:pPr>
              <w:pStyle w:val="TableParagraph"/>
              <w:rPr>
                <w:sz w:val="16"/>
              </w:rPr>
            </w:pPr>
          </w:p>
          <w:p>
            <w:pPr>
              <w:pStyle w:val="TableParagraph"/>
              <w:spacing w:line="480" w:lineRule="auto"/>
              <w:ind w:left="1163" w:right="1151"/>
              <w:jc w:val="center"/>
              <w:rPr>
                <w:sz w:val="16"/>
              </w:rPr>
            </w:pPr>
            <w:r>
              <w:rPr>
                <w:sz w:val="16"/>
              </w:rPr>
              <w:t>(tonnes C </w:t>
            </w:r>
            <w:r>
              <w:rPr>
                <w:spacing w:val="-6"/>
                <w:sz w:val="16"/>
              </w:rPr>
              <w:t>yr</w:t>
            </w:r>
            <w:r>
              <w:rPr>
                <w:spacing w:val="-6"/>
                <w:sz w:val="16"/>
                <w:vertAlign w:val="superscript"/>
              </w:rPr>
              <w:t>-1</w:t>
            </w:r>
            <w:r>
              <w:rPr>
                <w:spacing w:val="-6"/>
                <w:sz w:val="16"/>
                <w:vertAlign w:val="baseline"/>
              </w:rPr>
              <w:t>) </w:t>
            </w:r>
            <w:r>
              <w:rPr>
                <w:sz w:val="16"/>
                <w:vertAlign w:val="baseline"/>
              </w:rPr>
              <w:t>X =</w:t>
            </w:r>
            <w:r>
              <w:rPr>
                <w:spacing w:val="-1"/>
                <w:sz w:val="16"/>
                <w:vertAlign w:val="baseline"/>
              </w:rPr>
              <w:t> </w:t>
            </w:r>
            <w:r>
              <w:rPr>
                <w:sz w:val="16"/>
                <w:vertAlign w:val="baseline"/>
              </w:rPr>
              <w:t>I-W</w:t>
            </w:r>
          </w:p>
          <w:p>
            <w:pPr>
              <w:pStyle w:val="TableParagraph"/>
              <w:spacing w:line="170" w:lineRule="exact" w:before="10"/>
              <w:ind w:left="9"/>
              <w:jc w:val="center"/>
              <w:rPr>
                <w:sz w:val="16"/>
              </w:rPr>
            </w:pPr>
            <w:r>
              <w:rPr>
                <w:w w:val="100"/>
                <w:sz w:val="16"/>
              </w:rPr>
              <w:t>X</w:t>
            </w:r>
          </w:p>
        </w:tc>
      </w:tr>
      <w:tr>
        <w:trPr>
          <w:trHeight w:val="110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491"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2895" w:type="dxa"/>
            <w:vMerge/>
            <w:tcBorders>
              <w:top w:val="nil"/>
            </w:tcBorders>
            <w:shd w:val="clear" w:color="auto" w:fill="E4E4E4"/>
          </w:tcPr>
          <w:p>
            <w:pPr>
              <w:rPr>
                <w:sz w:val="2"/>
                <w:szCs w:val="2"/>
              </w:rPr>
            </w:pPr>
          </w:p>
        </w:tc>
        <w:tc>
          <w:tcPr>
            <w:tcW w:w="32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FL</w:t>
            </w:r>
          </w:p>
        </w:tc>
        <w:tc>
          <w:tcPr>
            <w:tcW w:w="1027" w:type="dxa"/>
          </w:tcPr>
          <w:p>
            <w:pPr>
              <w:pStyle w:val="TableParagraph"/>
              <w:spacing w:before="23"/>
              <w:ind w:left="107"/>
              <w:rPr>
                <w:sz w:val="16"/>
              </w:rPr>
            </w:pPr>
            <w:r>
              <w:rPr>
                <w:sz w:val="16"/>
              </w:rPr>
              <w:t>(a)</w:t>
            </w: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491" w:type="dxa"/>
          </w:tcPr>
          <w:p>
            <w:pPr>
              <w:pStyle w:val="TableParagraph"/>
              <w:spacing w:before="53"/>
              <w:ind w:left="110" w:right="100"/>
              <w:jc w:val="center"/>
              <w:rPr>
                <w:b/>
                <w:sz w:val="10"/>
              </w:rPr>
            </w:pPr>
            <w:r>
              <w:rPr>
                <w:b/>
                <w:position w:val="2"/>
                <w:sz w:val="16"/>
              </w:rPr>
              <w:t>f</w:t>
            </w:r>
            <w:r>
              <w:rPr>
                <w:b/>
                <w:sz w:val="10"/>
              </w:rPr>
              <w:t>BL</w:t>
            </w:r>
          </w:p>
        </w:tc>
        <w:tc>
          <w:tcPr>
            <w:tcW w:w="3077" w:type="dxa"/>
          </w:tcPr>
          <w:p>
            <w:pPr>
              <w:pStyle w:val="TableParagraph"/>
              <w:spacing w:before="53"/>
              <w:ind w:left="160" w:right="151"/>
              <w:jc w:val="center"/>
              <w:rPr>
                <w:b/>
                <w:sz w:val="10"/>
              </w:rPr>
            </w:pPr>
            <w:r>
              <w:rPr>
                <w:b/>
                <w:position w:val="2"/>
                <w:sz w:val="16"/>
              </w:rPr>
              <w:t>L</w:t>
            </w:r>
            <w:r>
              <w:rPr>
                <w:b/>
                <w:sz w:val="10"/>
              </w:rPr>
              <w:t>other losses</w:t>
            </w:r>
          </w:p>
        </w:tc>
        <w:tc>
          <w:tcPr>
            <w:tcW w:w="2895" w:type="dxa"/>
            <w:shd w:val="clear" w:color="auto" w:fill="D5D5D5"/>
          </w:tcPr>
          <w:p>
            <w:pPr>
              <w:pStyle w:val="TableParagraph"/>
              <w:spacing w:line="164" w:lineRule="exact" w:before="25"/>
              <w:ind w:left="51" w:right="103"/>
              <w:jc w:val="center"/>
              <w:rPr>
                <w:b/>
                <w:sz w:val="10"/>
              </w:rPr>
            </w:pPr>
            <w:r>
              <w:rPr>
                <w:b/>
                <w:position w:val="2"/>
                <w:sz w:val="16"/>
              </w:rPr>
              <w:t>∆C</w:t>
            </w:r>
            <w:r>
              <w:rPr>
                <w:b/>
                <w:sz w:val="10"/>
              </w:rPr>
              <w:t>FF</w:t>
            </w:r>
          </w:p>
          <w:p>
            <w:pPr>
              <w:pStyle w:val="TableParagraph"/>
              <w:spacing w:line="87" w:lineRule="exact"/>
              <w:ind w:left="346"/>
              <w:jc w:val="center"/>
              <w:rPr>
                <w:b/>
                <w:sz w:val="10"/>
              </w:rPr>
            </w:pPr>
            <w:r>
              <w:rPr>
                <w:b/>
                <w:w w:val="100"/>
                <w:sz w:val="10"/>
              </w:rPr>
              <w:t>L</w:t>
            </w:r>
          </w:p>
        </w:tc>
        <w:tc>
          <w:tcPr>
            <w:tcW w:w="3260" w:type="dxa"/>
            <w:shd w:val="clear" w:color="auto" w:fill="D5D5D5"/>
          </w:tcPr>
          <w:p>
            <w:pPr>
              <w:pStyle w:val="TableParagraph"/>
              <w:spacing w:line="164" w:lineRule="exact" w:before="25"/>
              <w:ind w:left="181" w:right="306"/>
              <w:jc w:val="center"/>
              <w:rPr>
                <w:b/>
                <w:sz w:val="10"/>
              </w:rPr>
            </w:pPr>
            <w:r>
              <w:rPr>
                <w:b/>
                <w:position w:val="2"/>
                <w:sz w:val="16"/>
              </w:rPr>
              <w:t>∆C</w:t>
            </w:r>
            <w:r>
              <w:rPr>
                <w:b/>
                <w:sz w:val="10"/>
              </w:rPr>
              <w:t>FF</w:t>
            </w:r>
          </w:p>
          <w:p>
            <w:pPr>
              <w:pStyle w:val="TableParagraph"/>
              <w:spacing w:line="87" w:lineRule="exact"/>
              <w:ind w:left="645" w:right="306"/>
              <w:jc w:val="center"/>
              <w:rPr>
                <w:b/>
                <w:sz w:val="10"/>
              </w:rPr>
            </w:pPr>
            <w:r>
              <w:rPr>
                <w:b/>
                <w:sz w:val="10"/>
              </w:rPr>
              <w:t>LB</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bl>
    <w:p>
      <w:pPr>
        <w:spacing w:after="0"/>
        <w:rPr>
          <w:sz w:val="16"/>
        </w:rPr>
        <w:sectPr>
          <w:pgSz w:w="16840" w:h="11900" w:orient="landscape"/>
          <w:pgMar w:header="1150" w:footer="1128"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052"/>
        <w:gridCol w:w="1728"/>
        <w:gridCol w:w="1980"/>
        <w:gridCol w:w="2086"/>
        <w:gridCol w:w="1875"/>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4" w:type="dxa"/>
            <w:gridSpan w:val="7"/>
          </w:tcPr>
          <w:p>
            <w:pPr>
              <w:pStyle w:val="TableParagraph"/>
              <w:spacing w:before="26"/>
              <w:ind w:left="108"/>
              <w:rPr>
                <w:b/>
                <w:sz w:val="20"/>
              </w:rPr>
            </w:pPr>
            <w:r>
              <w:rPr>
                <w:b/>
                <w:sz w:val="20"/>
              </w:rPr>
              <w:t>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4" w:type="dxa"/>
            <w:gridSpan w:val="7"/>
          </w:tcPr>
          <w:p>
            <w:pPr>
              <w:pStyle w:val="TableParagraph"/>
              <w:spacing w:before="26"/>
              <w:ind w:left="107"/>
              <w:rPr>
                <w:b/>
                <w:sz w:val="20"/>
              </w:rPr>
            </w:pPr>
            <w:r>
              <w:rPr>
                <w:b/>
                <w:sz w:val="20"/>
              </w:rPr>
              <w:t>Forest Land Remaining 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4" w:type="dxa"/>
            <w:gridSpan w:val="7"/>
          </w:tcPr>
          <w:p>
            <w:pPr>
              <w:pStyle w:val="TableParagraph"/>
              <w:spacing w:before="26"/>
              <w:ind w:left="108"/>
              <w:rPr>
                <w:b/>
                <w:sz w:val="20"/>
              </w:rPr>
            </w:pPr>
            <w:r>
              <w:rPr>
                <w:b/>
                <w:sz w:val="20"/>
              </w:rPr>
              <w:t>FL-1b: Annual change in carbon stocks in dead organic matter (dead wood and litter)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4" w:type="dxa"/>
            <w:gridSpan w:val="7"/>
          </w:tcPr>
          <w:p>
            <w:pPr>
              <w:pStyle w:val="TableParagraph"/>
              <w:spacing w:before="26"/>
              <w:ind w:left="108"/>
              <w:rPr>
                <w:b/>
                <w:sz w:val="20"/>
              </w:rPr>
            </w:pPr>
            <w:r>
              <w:rPr>
                <w:b/>
                <w:sz w:val="20"/>
              </w:rPr>
              <w:t>1 of 3</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10" w:right="102"/>
              <w:jc w:val="center"/>
              <w:rPr>
                <w:sz w:val="16"/>
              </w:rPr>
            </w:pPr>
            <w:r>
              <w:rPr>
                <w:sz w:val="16"/>
              </w:rPr>
              <w:t>Area of managed forest land remaining forest land</w:t>
            </w:r>
          </w:p>
          <w:p>
            <w:pPr>
              <w:pStyle w:val="TableParagraph"/>
              <w:rPr>
                <w:sz w:val="16"/>
              </w:rPr>
            </w:pPr>
          </w:p>
          <w:p>
            <w:pPr>
              <w:pStyle w:val="TableParagraph"/>
              <w:ind w:left="138" w:right="129"/>
              <w:jc w:val="center"/>
              <w:rPr>
                <w:sz w:val="16"/>
              </w:rPr>
            </w:pPr>
            <w:r>
              <w:rPr>
                <w:sz w:val="16"/>
              </w:rPr>
              <w:t>(ha)</w:t>
            </w:r>
          </w:p>
          <w:p>
            <w:pPr>
              <w:pStyle w:val="TableParagraph"/>
              <w:rPr>
                <w:sz w:val="18"/>
              </w:rPr>
            </w:pPr>
          </w:p>
          <w:p>
            <w:pPr>
              <w:pStyle w:val="TableParagraph"/>
              <w:rPr>
                <w:sz w:val="18"/>
              </w:rPr>
            </w:pPr>
          </w:p>
          <w:p>
            <w:pPr>
              <w:pStyle w:val="TableParagraph"/>
              <w:spacing w:line="170" w:lineRule="exact" w:before="148"/>
              <w:ind w:left="14"/>
              <w:jc w:val="center"/>
              <w:rPr>
                <w:sz w:val="16"/>
              </w:rPr>
            </w:pPr>
            <w:r>
              <w:rPr>
                <w:w w:val="100"/>
                <w:sz w:val="16"/>
              </w:rPr>
              <w:t>A</w:t>
            </w:r>
          </w:p>
        </w:tc>
        <w:tc>
          <w:tcPr>
            <w:tcW w:w="2052" w:type="dxa"/>
            <w:vMerge w:val="restart"/>
            <w:shd w:val="clear" w:color="auto" w:fill="E4E4E4"/>
          </w:tcPr>
          <w:p>
            <w:pPr>
              <w:pStyle w:val="TableParagraph"/>
              <w:spacing w:before="23"/>
              <w:ind w:left="185" w:right="175"/>
              <w:jc w:val="center"/>
              <w:rPr>
                <w:sz w:val="16"/>
              </w:rPr>
            </w:pPr>
            <w:r>
              <w:rPr>
                <w:sz w:val="16"/>
              </w:rPr>
              <w:t>Annual transfer into dead wood</w:t>
            </w:r>
          </w:p>
          <w:p>
            <w:pPr>
              <w:pStyle w:val="TableParagraph"/>
              <w:spacing w:line="183" w:lineRule="exact"/>
              <w:ind w:left="184" w:right="175"/>
              <w:jc w:val="center"/>
              <w:rPr>
                <w:sz w:val="16"/>
              </w:rPr>
            </w:pPr>
            <w:r>
              <w:rPr>
                <w:sz w:val="16"/>
              </w:rPr>
              <w:t>(tonnes d.m.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26"/>
              <w:ind w:left="10"/>
              <w:jc w:val="center"/>
              <w:rPr>
                <w:sz w:val="16"/>
              </w:rPr>
            </w:pPr>
            <w:r>
              <w:rPr>
                <w:w w:val="100"/>
                <w:sz w:val="16"/>
              </w:rPr>
              <w:t>B</w:t>
            </w:r>
          </w:p>
        </w:tc>
        <w:tc>
          <w:tcPr>
            <w:tcW w:w="1728" w:type="dxa"/>
            <w:vMerge w:val="restart"/>
            <w:shd w:val="clear" w:color="auto" w:fill="E4E4E4"/>
          </w:tcPr>
          <w:p>
            <w:pPr>
              <w:pStyle w:val="TableParagraph"/>
              <w:spacing w:before="23"/>
              <w:ind w:left="466" w:right="126" w:hanging="312"/>
              <w:rPr>
                <w:sz w:val="16"/>
              </w:rPr>
            </w:pPr>
            <w:r>
              <w:rPr>
                <w:sz w:val="16"/>
              </w:rPr>
              <w:t>Annual transfer out of dead wood (tonnes d.m.</w:t>
            </w:r>
          </w:p>
          <w:p>
            <w:pPr>
              <w:pStyle w:val="TableParagraph"/>
              <w:ind w:left="133" w:right="121"/>
              <w:jc w:val="center"/>
              <w:rPr>
                <w:sz w:val="16"/>
              </w:rPr>
            </w:pPr>
            <w:r>
              <w:rPr>
                <w:sz w:val="16"/>
              </w:rPr>
              <w:t>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8"/>
              <w:ind w:left="8"/>
              <w:jc w:val="center"/>
              <w:rPr>
                <w:sz w:val="16"/>
              </w:rPr>
            </w:pPr>
            <w:r>
              <w:rPr>
                <w:w w:val="100"/>
                <w:sz w:val="16"/>
              </w:rPr>
              <w:t>C</w:t>
            </w:r>
          </w:p>
        </w:tc>
        <w:tc>
          <w:tcPr>
            <w:tcW w:w="1980" w:type="dxa"/>
            <w:vMerge w:val="restart"/>
            <w:shd w:val="clear" w:color="auto" w:fill="E4E4E4"/>
          </w:tcPr>
          <w:p>
            <w:pPr>
              <w:pStyle w:val="TableParagraph"/>
              <w:spacing w:before="23"/>
              <w:ind w:left="151" w:right="134"/>
              <w:jc w:val="center"/>
              <w:rPr>
                <w:sz w:val="16"/>
              </w:rPr>
            </w:pPr>
            <w:r>
              <w:rPr>
                <w:sz w:val="16"/>
              </w:rPr>
              <w:t>Carbon fraction of dry matter</w:t>
            </w:r>
          </w:p>
          <w:p>
            <w:pPr>
              <w:pStyle w:val="TableParagraph"/>
              <w:rPr>
                <w:sz w:val="16"/>
              </w:rPr>
            </w:pPr>
          </w:p>
          <w:p>
            <w:pPr>
              <w:pStyle w:val="TableParagraph"/>
              <w:spacing w:line="480" w:lineRule="auto"/>
              <w:ind w:left="197" w:right="168" w:firstLine="324"/>
              <w:rPr>
                <w:sz w:val="16"/>
              </w:rPr>
            </w:pPr>
            <w:r>
              <w:rPr>
                <w:sz w:val="16"/>
              </w:rPr>
              <w:t>(default is 0.5) (tonnes C (tonne d.m.)</w:t>
            </w:r>
            <w:r>
              <w:rPr>
                <w:sz w:val="16"/>
                <w:vertAlign w:val="superscript"/>
              </w:rPr>
              <w:t>-1</w:t>
            </w:r>
            <w:r>
              <w:rPr>
                <w:sz w:val="16"/>
                <w:vertAlign w:val="baseline"/>
              </w:rPr>
              <w:t>)</w:t>
            </w:r>
          </w:p>
          <w:p>
            <w:pPr>
              <w:pStyle w:val="TableParagraph"/>
              <w:spacing w:line="170" w:lineRule="exact" w:before="10"/>
              <w:ind w:left="10"/>
              <w:jc w:val="center"/>
              <w:rPr>
                <w:sz w:val="16"/>
              </w:rPr>
            </w:pPr>
            <w:r>
              <w:rPr>
                <w:w w:val="100"/>
                <w:sz w:val="16"/>
              </w:rPr>
              <w:t>D</w:t>
            </w:r>
          </w:p>
        </w:tc>
        <w:tc>
          <w:tcPr>
            <w:tcW w:w="2086" w:type="dxa"/>
            <w:vMerge w:val="restart"/>
            <w:shd w:val="clear" w:color="auto" w:fill="E4E4E4"/>
          </w:tcPr>
          <w:p>
            <w:pPr>
              <w:pStyle w:val="TableParagraph"/>
              <w:spacing w:before="23"/>
              <w:ind w:left="135" w:right="120"/>
              <w:jc w:val="center"/>
              <w:rPr>
                <w:sz w:val="16"/>
              </w:rPr>
            </w:pPr>
            <w:r>
              <w:rPr>
                <w:sz w:val="16"/>
              </w:rPr>
              <w:t>Annual change of carbon in dead wood</w:t>
            </w:r>
          </w:p>
          <w:p>
            <w:pPr>
              <w:pStyle w:val="TableParagraph"/>
              <w:rPr>
                <w:sz w:val="16"/>
              </w:rPr>
            </w:pPr>
          </w:p>
          <w:p>
            <w:pPr>
              <w:pStyle w:val="TableParagraph"/>
              <w:spacing w:line="494" w:lineRule="auto"/>
              <w:ind w:left="451" w:right="440" w:firstLine="127"/>
              <w:rPr>
                <w:sz w:val="16"/>
              </w:rPr>
            </w:pPr>
            <w:r>
              <w:rPr>
                <w:sz w:val="16"/>
              </w:rPr>
              <w:t>(tonnes C yr</w:t>
            </w:r>
            <w:r>
              <w:rPr>
                <w:sz w:val="16"/>
                <w:vertAlign w:val="superscript"/>
              </w:rPr>
              <w:t>-1</w:t>
            </w:r>
            <w:r>
              <w:rPr>
                <w:sz w:val="16"/>
                <w:vertAlign w:val="baseline"/>
              </w:rPr>
              <w:t>) E = A </w:t>
            </w:r>
            <w:r>
              <w:rPr>
                <w:rFonts w:ascii="Symbol" w:hAnsi="Symbol"/>
                <w:sz w:val="16"/>
                <w:vertAlign w:val="baseline"/>
              </w:rPr>
              <w:t>• </w:t>
            </w:r>
            <w:r>
              <w:rPr>
                <w:sz w:val="16"/>
                <w:vertAlign w:val="baseline"/>
              </w:rPr>
              <w:t>(B-C) </w:t>
            </w:r>
            <w:r>
              <w:rPr>
                <w:rFonts w:ascii="Symbol" w:hAnsi="Symbol"/>
                <w:sz w:val="16"/>
                <w:vertAlign w:val="baseline"/>
              </w:rPr>
              <w:t>•</w:t>
            </w:r>
            <w:r>
              <w:rPr>
                <w:rFonts w:ascii="Symbol" w:hAnsi="Symbol"/>
                <w:spacing w:val="-2"/>
                <w:sz w:val="16"/>
                <w:vertAlign w:val="baseline"/>
              </w:rPr>
              <w:t> </w:t>
            </w:r>
            <w:r>
              <w:rPr>
                <w:spacing w:val="-13"/>
                <w:sz w:val="16"/>
                <w:vertAlign w:val="baseline"/>
              </w:rPr>
              <w:t>D</w:t>
            </w:r>
          </w:p>
          <w:p>
            <w:pPr>
              <w:pStyle w:val="TableParagraph"/>
              <w:spacing w:line="145" w:lineRule="exact"/>
              <w:ind w:left="11"/>
              <w:jc w:val="center"/>
              <w:rPr>
                <w:sz w:val="16"/>
              </w:rPr>
            </w:pPr>
            <w:r>
              <w:rPr>
                <w:w w:val="100"/>
                <w:sz w:val="16"/>
              </w:rPr>
              <w:t>E</w:t>
            </w:r>
          </w:p>
        </w:tc>
        <w:tc>
          <w:tcPr>
            <w:tcW w:w="1875" w:type="dxa"/>
            <w:vMerge w:val="restart"/>
            <w:shd w:val="clear" w:color="auto" w:fill="E4E4E4"/>
          </w:tcPr>
          <w:p>
            <w:pPr>
              <w:pStyle w:val="TableParagraph"/>
              <w:spacing w:before="23"/>
              <w:ind w:left="129" w:right="119" w:firstLine="1"/>
              <w:jc w:val="center"/>
              <w:rPr>
                <w:i/>
                <w:sz w:val="16"/>
              </w:rPr>
            </w:pPr>
            <w:r>
              <w:rPr>
                <w:sz w:val="16"/>
              </w:rPr>
              <w:t>Reference stock of litter under native, unmanaged forest corresponding to state </w:t>
            </w:r>
            <w:r>
              <w:rPr>
                <w:i/>
                <w:sz w:val="16"/>
              </w:rPr>
              <w:t>i</w:t>
            </w:r>
          </w:p>
          <w:p>
            <w:pPr>
              <w:pStyle w:val="TableParagraph"/>
              <w:spacing w:line="380" w:lineRule="exact" w:before="29"/>
              <w:ind w:left="463" w:right="450"/>
              <w:jc w:val="center"/>
              <w:rPr>
                <w:sz w:val="16"/>
              </w:rPr>
            </w:pPr>
            <w:r>
              <w:rPr>
                <w:sz w:val="16"/>
              </w:rPr>
              <w:t>(tonnes C ha</w:t>
            </w:r>
            <w:r>
              <w:rPr>
                <w:sz w:val="16"/>
                <w:vertAlign w:val="superscript"/>
              </w:rPr>
              <w:t>-1</w:t>
            </w:r>
            <w:r>
              <w:rPr>
                <w:sz w:val="16"/>
                <w:vertAlign w:val="baseline"/>
              </w:rPr>
              <w:t>) F</w:t>
            </w:r>
          </w:p>
        </w:tc>
      </w:tr>
      <w:tr>
        <w:trPr>
          <w:trHeight w:val="110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052" w:type="dxa"/>
            <w:vMerge/>
            <w:tcBorders>
              <w:top w:val="nil"/>
            </w:tcBorders>
            <w:shd w:val="clear" w:color="auto" w:fill="E4E4E4"/>
          </w:tcPr>
          <w:p>
            <w:pPr>
              <w:rPr>
                <w:sz w:val="2"/>
                <w:szCs w:val="2"/>
              </w:rPr>
            </w:pPr>
          </w:p>
        </w:tc>
        <w:tc>
          <w:tcPr>
            <w:tcW w:w="1728"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086" w:type="dxa"/>
            <w:vMerge/>
            <w:tcBorders>
              <w:top w:val="nil"/>
            </w:tcBorders>
            <w:shd w:val="clear" w:color="auto" w:fill="E4E4E4"/>
          </w:tcPr>
          <w:p>
            <w:pPr>
              <w:rPr>
                <w:sz w:val="2"/>
                <w:szCs w:val="2"/>
              </w:rPr>
            </w:pPr>
          </w:p>
        </w:tc>
        <w:tc>
          <w:tcPr>
            <w:tcW w:w="1875" w:type="dxa"/>
            <w:vMerge/>
            <w:tcBorders>
              <w:top w:val="nil"/>
            </w:tcBorders>
            <w:shd w:val="clear" w:color="auto" w:fill="E4E4E4"/>
          </w:tcPr>
          <w:p>
            <w:pPr>
              <w:rPr>
                <w:sz w:val="2"/>
                <w:szCs w:val="2"/>
              </w:rPr>
            </w:pPr>
          </w:p>
        </w:tc>
      </w:tr>
      <w:tr>
        <w:trPr>
          <w:trHeight w:val="203" w:hRule="atLeast"/>
        </w:trPr>
        <w:tc>
          <w:tcPr>
            <w:tcW w:w="924" w:type="dxa"/>
          </w:tcPr>
          <w:p>
            <w:pPr>
              <w:pStyle w:val="TableParagraph"/>
              <w:spacing w:line="171" w:lineRule="exact"/>
              <w:ind w:left="107"/>
              <w:rPr>
                <w:sz w:val="16"/>
              </w:rPr>
            </w:pPr>
            <w:r>
              <w:rPr>
                <w:sz w:val="16"/>
              </w:rPr>
              <w:t>FL</w:t>
            </w:r>
          </w:p>
        </w:tc>
        <w:tc>
          <w:tcPr>
            <w:tcW w:w="950" w:type="dxa"/>
          </w:tcPr>
          <w:p>
            <w:pPr>
              <w:pStyle w:val="TableParagraph"/>
              <w:spacing w:line="171" w:lineRule="exact"/>
              <w:ind w:left="107"/>
              <w:rPr>
                <w:sz w:val="16"/>
              </w:rPr>
            </w:pPr>
            <w:r>
              <w:rPr>
                <w:sz w:val="16"/>
              </w:rPr>
              <w:t>FL</w:t>
            </w:r>
          </w:p>
        </w:tc>
        <w:tc>
          <w:tcPr>
            <w:tcW w:w="1027" w:type="dxa"/>
          </w:tcPr>
          <w:p>
            <w:pPr>
              <w:pStyle w:val="TableParagraph"/>
              <w:spacing w:line="171" w:lineRule="exact"/>
              <w:ind w:left="107"/>
              <w:rPr>
                <w:sz w:val="16"/>
              </w:rPr>
            </w:pPr>
            <w:r>
              <w:rPr>
                <w:sz w:val="16"/>
              </w:rPr>
              <w:t>(a)</w:t>
            </w:r>
          </w:p>
        </w:tc>
        <w:tc>
          <w:tcPr>
            <w:tcW w:w="2066" w:type="dxa"/>
          </w:tcPr>
          <w:p>
            <w:pPr>
              <w:pStyle w:val="TableParagraph"/>
              <w:rPr>
                <w:sz w:val="14"/>
              </w:rPr>
            </w:pPr>
          </w:p>
        </w:tc>
        <w:tc>
          <w:tcPr>
            <w:tcW w:w="2052" w:type="dxa"/>
          </w:tcPr>
          <w:p>
            <w:pPr>
              <w:pStyle w:val="TableParagraph"/>
              <w:rPr>
                <w:sz w:val="14"/>
              </w:rPr>
            </w:pPr>
          </w:p>
        </w:tc>
        <w:tc>
          <w:tcPr>
            <w:tcW w:w="1728" w:type="dxa"/>
          </w:tcPr>
          <w:p>
            <w:pPr>
              <w:pStyle w:val="TableParagraph"/>
              <w:rPr>
                <w:sz w:val="14"/>
              </w:rPr>
            </w:pPr>
          </w:p>
        </w:tc>
        <w:tc>
          <w:tcPr>
            <w:tcW w:w="1980" w:type="dxa"/>
          </w:tcPr>
          <w:p>
            <w:pPr>
              <w:pStyle w:val="TableParagraph"/>
              <w:rPr>
                <w:sz w:val="14"/>
              </w:rPr>
            </w:pPr>
          </w:p>
        </w:tc>
        <w:tc>
          <w:tcPr>
            <w:tcW w:w="2086" w:type="dxa"/>
          </w:tcPr>
          <w:p>
            <w:pPr>
              <w:pStyle w:val="TableParagraph"/>
              <w:rPr>
                <w:sz w:val="14"/>
              </w:rPr>
            </w:pPr>
          </w:p>
        </w:tc>
        <w:tc>
          <w:tcPr>
            <w:tcW w:w="1875" w:type="dxa"/>
          </w:tcPr>
          <w:p>
            <w:pPr>
              <w:pStyle w:val="TableParagraph"/>
              <w:rPr>
                <w:sz w:val="14"/>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4"/>
              <w:ind w:left="9"/>
              <w:jc w:val="center"/>
              <w:rPr>
                <w:b/>
                <w:sz w:val="16"/>
              </w:rPr>
            </w:pPr>
            <w:r>
              <w:rPr>
                <w:b/>
                <w:w w:val="100"/>
                <w:sz w:val="16"/>
              </w:rPr>
              <w:t>A</w:t>
            </w:r>
          </w:p>
        </w:tc>
        <w:tc>
          <w:tcPr>
            <w:tcW w:w="2052" w:type="dxa"/>
          </w:tcPr>
          <w:p>
            <w:pPr>
              <w:pStyle w:val="TableParagraph"/>
              <w:spacing w:before="53"/>
              <w:ind w:left="186" w:right="175"/>
              <w:jc w:val="center"/>
              <w:rPr>
                <w:b/>
                <w:sz w:val="10"/>
              </w:rPr>
            </w:pPr>
            <w:r>
              <w:rPr>
                <w:b/>
                <w:position w:val="2"/>
                <w:sz w:val="16"/>
              </w:rPr>
              <w:t>B</w:t>
            </w:r>
            <w:r>
              <w:rPr>
                <w:b/>
                <w:sz w:val="10"/>
              </w:rPr>
              <w:t>into</w:t>
            </w:r>
          </w:p>
        </w:tc>
        <w:tc>
          <w:tcPr>
            <w:tcW w:w="1728" w:type="dxa"/>
          </w:tcPr>
          <w:p>
            <w:pPr>
              <w:pStyle w:val="TableParagraph"/>
              <w:spacing w:before="53"/>
              <w:ind w:left="130" w:right="121"/>
              <w:jc w:val="center"/>
              <w:rPr>
                <w:b/>
                <w:sz w:val="10"/>
              </w:rPr>
            </w:pPr>
            <w:r>
              <w:rPr>
                <w:b/>
                <w:position w:val="2"/>
                <w:sz w:val="16"/>
              </w:rPr>
              <w:t>B</w:t>
            </w:r>
            <w:r>
              <w:rPr>
                <w:b/>
                <w:sz w:val="10"/>
              </w:rPr>
              <w:t>out</w:t>
            </w:r>
          </w:p>
        </w:tc>
        <w:tc>
          <w:tcPr>
            <w:tcW w:w="1980" w:type="dxa"/>
          </w:tcPr>
          <w:p>
            <w:pPr>
              <w:pStyle w:val="TableParagraph"/>
              <w:spacing w:before="54"/>
              <w:ind w:left="148" w:right="138"/>
              <w:jc w:val="center"/>
              <w:rPr>
                <w:b/>
                <w:sz w:val="16"/>
              </w:rPr>
            </w:pPr>
            <w:r>
              <w:rPr>
                <w:b/>
                <w:sz w:val="16"/>
              </w:rPr>
              <w:t>CF</w:t>
            </w:r>
          </w:p>
        </w:tc>
        <w:tc>
          <w:tcPr>
            <w:tcW w:w="2086" w:type="dxa"/>
            <w:shd w:val="clear" w:color="auto" w:fill="D5D5D5"/>
          </w:tcPr>
          <w:p>
            <w:pPr>
              <w:pStyle w:val="TableParagraph"/>
              <w:spacing w:line="164" w:lineRule="exact" w:before="25"/>
              <w:ind w:left="366" w:right="525"/>
              <w:jc w:val="center"/>
              <w:rPr>
                <w:b/>
                <w:sz w:val="10"/>
              </w:rPr>
            </w:pPr>
            <w:r>
              <w:rPr>
                <w:b/>
                <w:position w:val="2"/>
                <w:sz w:val="16"/>
              </w:rPr>
              <w:t>∆C</w:t>
            </w:r>
            <w:r>
              <w:rPr>
                <w:b/>
                <w:sz w:val="10"/>
              </w:rPr>
              <w:t>FF</w:t>
            </w:r>
          </w:p>
          <w:p>
            <w:pPr>
              <w:pStyle w:val="TableParagraph"/>
              <w:spacing w:line="87" w:lineRule="exact"/>
              <w:ind w:left="535" w:right="192"/>
              <w:jc w:val="center"/>
              <w:rPr>
                <w:b/>
                <w:sz w:val="10"/>
              </w:rPr>
            </w:pPr>
            <w:r>
              <w:rPr>
                <w:b/>
                <w:sz w:val="10"/>
              </w:rPr>
              <w:t>DW</w:t>
            </w:r>
          </w:p>
        </w:tc>
        <w:tc>
          <w:tcPr>
            <w:tcW w:w="1875" w:type="dxa"/>
          </w:tcPr>
          <w:p>
            <w:pPr>
              <w:pStyle w:val="TableParagraph"/>
              <w:spacing w:before="53"/>
              <w:ind w:left="133" w:right="126"/>
              <w:jc w:val="center"/>
              <w:rPr>
                <w:b/>
                <w:sz w:val="10"/>
              </w:rPr>
            </w:pPr>
            <w:r>
              <w:rPr>
                <w:b/>
                <w:position w:val="2"/>
                <w:sz w:val="16"/>
              </w:rPr>
              <w:t>LT</w:t>
            </w:r>
            <w:r>
              <w:rPr>
                <w:b/>
                <w:sz w:val="10"/>
              </w:rPr>
              <w:t>ref(</w:t>
            </w:r>
            <w:r>
              <w:rPr>
                <w:rFonts w:ascii="TimesNewRomanPS-BoldItalicMT"/>
                <w:b/>
                <w:i/>
                <w:sz w:val="10"/>
              </w:rPr>
              <w:t>i</w:t>
            </w:r>
            <w:r>
              <w:rPr>
                <w:b/>
                <w:sz w:val="10"/>
              </w:rPr>
              <w:t>)</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311" w:hRule="atLeast"/>
        </w:trPr>
        <w:tc>
          <w:tcPr>
            <w:tcW w:w="14688" w:type="dxa"/>
            <w:gridSpan w:val="9"/>
          </w:tcPr>
          <w:p>
            <w:pPr>
              <w:pStyle w:val="TableParagraph"/>
              <w:spacing w:before="50"/>
              <w:ind w:left="107"/>
              <w:rPr>
                <w:sz w:val="16"/>
              </w:rPr>
            </w:pPr>
            <w:r>
              <w:rPr>
                <w:position w:val="7"/>
                <w:sz w:val="10"/>
              </w:rPr>
              <w:t>1 </w:t>
            </w:r>
            <w:r>
              <w:rPr>
                <w:sz w:val="16"/>
              </w:rPr>
              <w:t>The calculation is based on Tier 2 since Tier 1 assumes that the net change in carbon in dead wood and litter is zero.</w:t>
            </w:r>
          </w:p>
        </w:tc>
      </w:tr>
    </w:tbl>
    <w:p>
      <w:pPr>
        <w:spacing w:after="0"/>
        <w:rPr>
          <w:sz w:val="16"/>
        </w:rPr>
        <w:sectPr>
          <w:pgSz w:w="16840" w:h="11900" w:orient="landscape"/>
          <w:pgMar w:header="458" w:footer="439"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052"/>
        <w:gridCol w:w="1728"/>
        <w:gridCol w:w="1980"/>
        <w:gridCol w:w="2086"/>
        <w:gridCol w:w="1875"/>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4" w:type="dxa"/>
            <w:gridSpan w:val="7"/>
          </w:tcPr>
          <w:p>
            <w:pPr>
              <w:pStyle w:val="TableParagraph"/>
              <w:spacing w:before="26"/>
              <w:ind w:left="108"/>
              <w:rPr>
                <w:b/>
                <w:sz w:val="20"/>
              </w:rPr>
            </w:pPr>
            <w:r>
              <w:rPr>
                <w:b/>
                <w:sz w:val="20"/>
              </w:rPr>
              <w:t>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4" w:type="dxa"/>
            <w:gridSpan w:val="7"/>
          </w:tcPr>
          <w:p>
            <w:pPr>
              <w:pStyle w:val="TableParagraph"/>
              <w:spacing w:before="26"/>
              <w:ind w:left="107"/>
              <w:rPr>
                <w:b/>
                <w:sz w:val="20"/>
              </w:rPr>
            </w:pPr>
            <w:r>
              <w:rPr>
                <w:b/>
                <w:sz w:val="20"/>
              </w:rPr>
              <w:t>Forest Land Remaining 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4" w:type="dxa"/>
            <w:gridSpan w:val="7"/>
          </w:tcPr>
          <w:p>
            <w:pPr>
              <w:pStyle w:val="TableParagraph"/>
              <w:spacing w:before="26"/>
              <w:ind w:left="108"/>
              <w:rPr>
                <w:b/>
                <w:sz w:val="20"/>
              </w:rPr>
            </w:pPr>
            <w:r>
              <w:rPr>
                <w:b/>
                <w:sz w:val="20"/>
              </w:rPr>
              <w:t>FL-1b: Annual change in carbon stocks in dead organic matter (dead wood and litter)</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4" w:type="dxa"/>
            <w:gridSpan w:val="7"/>
          </w:tcPr>
          <w:p>
            <w:pPr>
              <w:pStyle w:val="TableParagraph"/>
              <w:spacing w:before="26"/>
              <w:ind w:left="108"/>
              <w:rPr>
                <w:b/>
                <w:sz w:val="20"/>
              </w:rPr>
            </w:pPr>
            <w:r>
              <w:rPr>
                <w:b/>
                <w:sz w:val="20"/>
              </w:rPr>
              <w:t>2 of 3</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14" w:right="102"/>
              <w:jc w:val="center"/>
              <w:rPr>
                <w:i/>
                <w:sz w:val="16"/>
              </w:rPr>
            </w:pPr>
            <w:r>
              <w:rPr>
                <w:sz w:val="16"/>
              </w:rPr>
              <w:t>Adjustment factor</w:t>
            </w:r>
            <w:r>
              <w:rPr>
                <w:spacing w:val="-13"/>
                <w:sz w:val="16"/>
              </w:rPr>
              <w:t> </w:t>
            </w:r>
            <w:r>
              <w:rPr>
                <w:sz w:val="16"/>
              </w:rPr>
              <w:t>reflecting the effect of management intensity or practices on </w:t>
            </w:r>
            <w:r>
              <w:rPr>
                <w:position w:val="2"/>
                <w:sz w:val="16"/>
              </w:rPr>
              <w:t>LT</w:t>
            </w:r>
            <w:r>
              <w:rPr>
                <w:sz w:val="10"/>
              </w:rPr>
              <w:t>ref(</w:t>
            </w:r>
            <w:r>
              <w:rPr>
                <w:i/>
                <w:sz w:val="10"/>
              </w:rPr>
              <w:t>i</w:t>
            </w:r>
            <w:r>
              <w:rPr>
                <w:sz w:val="10"/>
              </w:rPr>
              <w:t>) </w:t>
            </w:r>
            <w:r>
              <w:rPr>
                <w:position w:val="2"/>
                <w:sz w:val="16"/>
              </w:rPr>
              <w:t>in state</w:t>
            </w:r>
            <w:r>
              <w:rPr>
                <w:spacing w:val="-3"/>
                <w:position w:val="2"/>
                <w:sz w:val="16"/>
              </w:rPr>
              <w:t> </w:t>
            </w:r>
            <w:r>
              <w:rPr>
                <w:i/>
                <w:position w:val="2"/>
                <w:sz w:val="16"/>
              </w:rPr>
              <w:t>i</w:t>
            </w:r>
          </w:p>
          <w:p>
            <w:pPr>
              <w:pStyle w:val="TableParagraph"/>
              <w:spacing w:before="3"/>
              <w:rPr>
                <w:sz w:val="15"/>
              </w:rPr>
            </w:pPr>
          </w:p>
          <w:p>
            <w:pPr>
              <w:pStyle w:val="TableParagraph"/>
              <w:spacing w:before="1"/>
              <w:ind w:left="137" w:right="129"/>
              <w:jc w:val="center"/>
              <w:rPr>
                <w:sz w:val="16"/>
              </w:rPr>
            </w:pPr>
            <w:r>
              <w:rPr>
                <w:sz w:val="16"/>
              </w:rPr>
              <w:t>(dimensionless)</w:t>
            </w:r>
          </w:p>
          <w:p>
            <w:pPr>
              <w:pStyle w:val="TableParagraph"/>
              <w:rPr>
                <w:sz w:val="18"/>
              </w:rPr>
            </w:pPr>
          </w:p>
          <w:p>
            <w:pPr>
              <w:pStyle w:val="TableParagraph"/>
              <w:spacing w:line="168" w:lineRule="exact" w:before="161"/>
              <w:ind w:left="14"/>
              <w:jc w:val="center"/>
              <w:rPr>
                <w:sz w:val="16"/>
              </w:rPr>
            </w:pPr>
            <w:r>
              <w:rPr>
                <w:w w:val="100"/>
                <w:sz w:val="16"/>
              </w:rPr>
              <w:t>G</w:t>
            </w:r>
          </w:p>
        </w:tc>
        <w:tc>
          <w:tcPr>
            <w:tcW w:w="2052" w:type="dxa"/>
            <w:vMerge w:val="restart"/>
            <w:shd w:val="clear" w:color="auto" w:fill="E4E4E4"/>
          </w:tcPr>
          <w:p>
            <w:pPr>
              <w:pStyle w:val="TableParagraph"/>
              <w:spacing w:before="23"/>
              <w:ind w:left="154" w:right="106" w:hanging="36"/>
              <w:jc w:val="both"/>
              <w:rPr>
                <w:i/>
                <w:sz w:val="16"/>
              </w:rPr>
            </w:pPr>
            <w:r>
              <w:rPr>
                <w:sz w:val="16"/>
              </w:rPr>
              <w:t>Adjustment factor reflecting a change in the disturbance </w:t>
            </w:r>
            <w:r>
              <w:rPr>
                <w:position w:val="2"/>
                <w:sz w:val="16"/>
              </w:rPr>
              <w:t>regime on LT</w:t>
            </w:r>
            <w:r>
              <w:rPr>
                <w:sz w:val="10"/>
              </w:rPr>
              <w:t>ref (</w:t>
            </w:r>
            <w:r>
              <w:rPr>
                <w:i/>
                <w:sz w:val="10"/>
              </w:rPr>
              <w:t>i</w:t>
            </w:r>
            <w:r>
              <w:rPr>
                <w:sz w:val="10"/>
              </w:rPr>
              <w:t>) </w:t>
            </w:r>
            <w:r>
              <w:rPr>
                <w:position w:val="2"/>
                <w:sz w:val="16"/>
              </w:rPr>
              <w:t>in state </w:t>
            </w:r>
            <w:r>
              <w:rPr>
                <w:i/>
                <w:position w:val="2"/>
                <w:sz w:val="16"/>
              </w:rPr>
              <w:t>i</w:t>
            </w:r>
          </w:p>
          <w:p>
            <w:pPr>
              <w:pStyle w:val="TableParagraph"/>
              <w:spacing w:before="3"/>
              <w:rPr>
                <w:sz w:val="15"/>
              </w:rPr>
            </w:pPr>
          </w:p>
          <w:p>
            <w:pPr>
              <w:pStyle w:val="TableParagraph"/>
              <w:ind w:left="183" w:right="175"/>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39"/>
              <w:ind w:left="10"/>
              <w:jc w:val="center"/>
              <w:rPr>
                <w:sz w:val="16"/>
              </w:rPr>
            </w:pPr>
            <w:r>
              <w:rPr>
                <w:w w:val="100"/>
                <w:sz w:val="16"/>
              </w:rPr>
              <w:t>H</w:t>
            </w:r>
          </w:p>
        </w:tc>
        <w:tc>
          <w:tcPr>
            <w:tcW w:w="1728" w:type="dxa"/>
            <w:vMerge w:val="restart"/>
            <w:shd w:val="clear" w:color="auto" w:fill="E4E4E4"/>
          </w:tcPr>
          <w:p>
            <w:pPr>
              <w:pStyle w:val="TableParagraph"/>
              <w:spacing w:before="23"/>
              <w:ind w:left="175" w:right="165" w:firstLine="2"/>
              <w:jc w:val="center"/>
              <w:rPr>
                <w:i/>
                <w:sz w:val="16"/>
              </w:rPr>
            </w:pPr>
            <w:r>
              <w:rPr>
                <w:sz w:val="16"/>
              </w:rPr>
              <w:t>Stable litter stock under previous state </w:t>
            </w:r>
            <w:r>
              <w:rPr>
                <w:i/>
                <w:sz w:val="16"/>
              </w:rPr>
              <w:t>i</w:t>
            </w:r>
          </w:p>
          <w:p>
            <w:pPr>
              <w:pStyle w:val="TableParagraph"/>
              <w:rPr>
                <w:sz w:val="16"/>
              </w:rPr>
            </w:pPr>
          </w:p>
          <w:p>
            <w:pPr>
              <w:pStyle w:val="TableParagraph"/>
              <w:spacing w:line="494" w:lineRule="auto"/>
              <w:ind w:left="389" w:right="377"/>
              <w:jc w:val="center"/>
              <w:rPr>
                <w:sz w:val="16"/>
              </w:rPr>
            </w:pPr>
            <w:r>
              <w:rPr>
                <w:sz w:val="16"/>
              </w:rPr>
              <w:t>(tonnes C ha</w:t>
            </w:r>
            <w:r>
              <w:rPr>
                <w:sz w:val="16"/>
                <w:vertAlign w:val="superscript"/>
              </w:rPr>
              <w:t>-1</w:t>
            </w:r>
            <w:r>
              <w:rPr>
                <w:sz w:val="16"/>
                <w:vertAlign w:val="baseline"/>
              </w:rPr>
              <w:t>) I = F </w:t>
            </w:r>
            <w:r>
              <w:rPr>
                <w:rFonts w:ascii="Symbol" w:hAnsi="Symbol"/>
                <w:sz w:val="16"/>
                <w:vertAlign w:val="baseline"/>
              </w:rPr>
              <w:t>• </w:t>
            </w:r>
            <w:r>
              <w:rPr>
                <w:sz w:val="16"/>
                <w:vertAlign w:val="baseline"/>
              </w:rPr>
              <w:t>G </w:t>
            </w:r>
            <w:r>
              <w:rPr>
                <w:rFonts w:ascii="Symbol" w:hAnsi="Symbol"/>
                <w:sz w:val="16"/>
                <w:vertAlign w:val="baseline"/>
              </w:rPr>
              <w:t>• </w:t>
            </w:r>
            <w:r>
              <w:rPr>
                <w:sz w:val="16"/>
                <w:vertAlign w:val="baseline"/>
              </w:rPr>
              <w:t>H</w:t>
            </w:r>
          </w:p>
          <w:p>
            <w:pPr>
              <w:pStyle w:val="TableParagraph"/>
              <w:spacing w:line="168" w:lineRule="exact" w:before="148"/>
              <w:ind w:left="12"/>
              <w:jc w:val="center"/>
              <w:rPr>
                <w:sz w:val="16"/>
              </w:rPr>
            </w:pPr>
            <w:r>
              <w:rPr>
                <w:w w:val="100"/>
                <w:sz w:val="16"/>
              </w:rPr>
              <w:t>I</w:t>
            </w:r>
          </w:p>
        </w:tc>
        <w:tc>
          <w:tcPr>
            <w:tcW w:w="1980" w:type="dxa"/>
            <w:vMerge w:val="restart"/>
            <w:shd w:val="clear" w:color="auto" w:fill="E4E4E4"/>
          </w:tcPr>
          <w:p>
            <w:pPr>
              <w:pStyle w:val="TableParagraph"/>
              <w:spacing w:before="23"/>
              <w:ind w:left="151" w:right="137"/>
              <w:jc w:val="center"/>
              <w:rPr>
                <w:i/>
                <w:sz w:val="16"/>
              </w:rPr>
            </w:pPr>
            <w:r>
              <w:rPr>
                <w:sz w:val="16"/>
              </w:rPr>
              <w:t>Reference stock of litter under previous state </w:t>
            </w:r>
            <w:r>
              <w:rPr>
                <w:i/>
                <w:sz w:val="16"/>
              </w:rPr>
              <w:t>j</w:t>
            </w:r>
          </w:p>
          <w:p>
            <w:pPr>
              <w:pStyle w:val="TableParagraph"/>
              <w:rPr>
                <w:sz w:val="16"/>
              </w:rPr>
            </w:pPr>
          </w:p>
          <w:p>
            <w:pPr>
              <w:pStyle w:val="TableParagraph"/>
              <w:ind w:left="150" w:right="138"/>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9"/>
              <w:jc w:val="center"/>
              <w:rPr>
                <w:sz w:val="16"/>
              </w:rPr>
            </w:pPr>
            <w:r>
              <w:rPr>
                <w:w w:val="100"/>
                <w:sz w:val="16"/>
              </w:rPr>
              <w:t>J</w:t>
            </w:r>
          </w:p>
        </w:tc>
        <w:tc>
          <w:tcPr>
            <w:tcW w:w="2086" w:type="dxa"/>
            <w:vMerge w:val="restart"/>
            <w:shd w:val="clear" w:color="auto" w:fill="E4E4E4"/>
          </w:tcPr>
          <w:p>
            <w:pPr>
              <w:pStyle w:val="TableParagraph"/>
              <w:spacing w:before="23"/>
              <w:ind w:left="135" w:right="123"/>
              <w:jc w:val="center"/>
              <w:rPr>
                <w:sz w:val="10"/>
              </w:rPr>
            </w:pPr>
            <w:r>
              <w:rPr>
                <w:sz w:val="16"/>
              </w:rPr>
              <w:t>Adjustment factor reflecting the effect of management intensity or practices on </w:t>
            </w:r>
            <w:r>
              <w:rPr>
                <w:position w:val="2"/>
                <w:sz w:val="16"/>
              </w:rPr>
              <w:t>LT</w:t>
            </w:r>
            <w:r>
              <w:rPr>
                <w:sz w:val="10"/>
              </w:rPr>
              <w:t>ref (</w:t>
            </w:r>
            <w:r>
              <w:rPr>
                <w:i/>
                <w:sz w:val="10"/>
              </w:rPr>
              <w:t>j</w:t>
            </w:r>
            <w:r>
              <w:rPr>
                <w:sz w:val="10"/>
              </w:rPr>
              <w:t>)</w:t>
            </w:r>
          </w:p>
          <w:p>
            <w:pPr>
              <w:pStyle w:val="TableParagraph"/>
              <w:spacing w:line="175" w:lineRule="exact"/>
              <w:ind w:left="535" w:firstLine="235"/>
              <w:rPr>
                <w:i/>
                <w:sz w:val="16"/>
              </w:rPr>
            </w:pPr>
            <w:r>
              <w:rPr>
                <w:sz w:val="16"/>
              </w:rPr>
              <w:t>in state </w:t>
            </w:r>
            <w:r>
              <w:rPr>
                <w:i/>
                <w:sz w:val="16"/>
              </w:rPr>
              <w:t>j</w:t>
            </w:r>
          </w:p>
          <w:p>
            <w:pPr>
              <w:pStyle w:val="TableParagraph"/>
              <w:spacing w:line="360" w:lineRule="atLeast" w:before="10"/>
              <w:ind w:left="535" w:right="525"/>
              <w:jc w:val="center"/>
              <w:rPr>
                <w:sz w:val="16"/>
              </w:rPr>
            </w:pPr>
            <w:r>
              <w:rPr>
                <w:sz w:val="16"/>
              </w:rPr>
              <w:t>(dimensionless) K</w:t>
            </w:r>
          </w:p>
        </w:tc>
        <w:tc>
          <w:tcPr>
            <w:tcW w:w="1875" w:type="dxa"/>
            <w:vMerge w:val="restart"/>
            <w:shd w:val="clear" w:color="auto" w:fill="E4E4E4"/>
          </w:tcPr>
          <w:p>
            <w:pPr>
              <w:pStyle w:val="TableParagraph"/>
              <w:spacing w:before="23"/>
              <w:ind w:left="127" w:right="115" w:hanging="2"/>
              <w:jc w:val="center"/>
              <w:rPr>
                <w:sz w:val="10"/>
              </w:rPr>
            </w:pPr>
            <w:r>
              <w:rPr>
                <w:sz w:val="16"/>
              </w:rPr>
              <w:t>Adjustment factor reflecting a change in the disturbance regime on </w:t>
            </w:r>
            <w:r>
              <w:rPr>
                <w:position w:val="2"/>
                <w:sz w:val="16"/>
              </w:rPr>
              <w:t>LT</w:t>
            </w:r>
            <w:r>
              <w:rPr>
                <w:sz w:val="10"/>
              </w:rPr>
              <w:t>ref (</w:t>
            </w:r>
            <w:r>
              <w:rPr>
                <w:i/>
                <w:sz w:val="10"/>
              </w:rPr>
              <w:t>j</w:t>
            </w:r>
            <w:r>
              <w:rPr>
                <w:sz w:val="10"/>
              </w:rPr>
              <w:t>)</w:t>
            </w:r>
          </w:p>
          <w:p>
            <w:pPr>
              <w:pStyle w:val="TableParagraph"/>
              <w:spacing w:line="175" w:lineRule="exact"/>
              <w:ind w:left="429" w:firstLine="235"/>
              <w:rPr>
                <w:i/>
                <w:sz w:val="16"/>
              </w:rPr>
            </w:pPr>
            <w:r>
              <w:rPr>
                <w:sz w:val="16"/>
              </w:rPr>
              <w:t>in state </w:t>
            </w:r>
            <w:r>
              <w:rPr>
                <w:i/>
                <w:sz w:val="16"/>
              </w:rPr>
              <w:t>j</w:t>
            </w:r>
          </w:p>
          <w:p>
            <w:pPr>
              <w:pStyle w:val="TableParagraph"/>
              <w:spacing w:line="360" w:lineRule="atLeast" w:before="10"/>
              <w:ind w:left="429" w:right="420"/>
              <w:jc w:val="center"/>
              <w:rPr>
                <w:sz w:val="16"/>
              </w:rPr>
            </w:pPr>
            <w:r>
              <w:rPr>
                <w:sz w:val="16"/>
              </w:rPr>
              <w:t>(dimensionless) L</w:t>
            </w:r>
          </w:p>
        </w:tc>
      </w:tr>
      <w:tr>
        <w:trPr>
          <w:trHeight w:val="127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052" w:type="dxa"/>
            <w:vMerge/>
            <w:tcBorders>
              <w:top w:val="nil"/>
            </w:tcBorders>
            <w:shd w:val="clear" w:color="auto" w:fill="E4E4E4"/>
          </w:tcPr>
          <w:p>
            <w:pPr>
              <w:rPr>
                <w:sz w:val="2"/>
                <w:szCs w:val="2"/>
              </w:rPr>
            </w:pPr>
          </w:p>
        </w:tc>
        <w:tc>
          <w:tcPr>
            <w:tcW w:w="1728"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086" w:type="dxa"/>
            <w:vMerge/>
            <w:tcBorders>
              <w:top w:val="nil"/>
            </w:tcBorders>
            <w:shd w:val="clear" w:color="auto" w:fill="E4E4E4"/>
          </w:tcPr>
          <w:p>
            <w:pPr>
              <w:rPr>
                <w:sz w:val="2"/>
                <w:szCs w:val="2"/>
              </w:rPr>
            </w:pPr>
          </w:p>
        </w:tc>
        <w:tc>
          <w:tcPr>
            <w:tcW w:w="1875"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FL</w:t>
            </w:r>
          </w:p>
        </w:tc>
        <w:tc>
          <w:tcPr>
            <w:tcW w:w="1027" w:type="dxa"/>
          </w:tcPr>
          <w:p>
            <w:pPr>
              <w:pStyle w:val="TableParagraph"/>
              <w:spacing w:before="23"/>
              <w:ind w:left="107"/>
              <w:rPr>
                <w:sz w:val="16"/>
              </w:rPr>
            </w:pPr>
            <w:r>
              <w:rPr>
                <w:sz w:val="16"/>
              </w:rPr>
              <w:t>(a)</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spacing w:before="25"/>
              <w:ind w:left="686"/>
              <w:rPr>
                <w:rFonts w:ascii="TimesNewRomanPS-BoldItalicMT"/>
                <w:b/>
                <w:i/>
                <w:sz w:val="10"/>
              </w:rPr>
            </w:pPr>
            <w:r>
              <w:rPr>
                <w:b/>
                <w:position w:val="2"/>
                <w:sz w:val="16"/>
              </w:rPr>
              <w:t>f</w:t>
            </w:r>
            <w:r>
              <w:rPr>
                <w:b/>
                <w:sz w:val="10"/>
              </w:rPr>
              <w:t>mgt_intensity </w:t>
            </w:r>
            <w:r>
              <w:rPr>
                <w:rFonts w:ascii="TimesNewRomanPS-BoldItalicMT"/>
                <w:b/>
                <w:i/>
                <w:sz w:val="10"/>
              </w:rPr>
              <w:t>i</w:t>
            </w:r>
          </w:p>
        </w:tc>
        <w:tc>
          <w:tcPr>
            <w:tcW w:w="2052" w:type="dxa"/>
          </w:tcPr>
          <w:p>
            <w:pPr>
              <w:pStyle w:val="TableParagraph"/>
              <w:spacing w:before="25"/>
              <w:ind w:left="185" w:right="175"/>
              <w:jc w:val="center"/>
              <w:rPr>
                <w:rFonts w:ascii="TimesNewRomanPS-BoldItalicMT"/>
                <w:b/>
                <w:i/>
                <w:sz w:val="10"/>
              </w:rPr>
            </w:pPr>
            <w:r>
              <w:rPr>
                <w:b/>
                <w:position w:val="2"/>
                <w:sz w:val="16"/>
              </w:rPr>
              <w:t>f</w:t>
            </w:r>
            <w:r>
              <w:rPr>
                <w:b/>
                <w:sz w:val="10"/>
              </w:rPr>
              <w:t>dist_regime </w:t>
            </w:r>
            <w:r>
              <w:rPr>
                <w:rFonts w:ascii="TimesNewRomanPS-BoldItalicMT"/>
                <w:b/>
                <w:i/>
                <w:sz w:val="10"/>
              </w:rPr>
              <w:t>i</w:t>
            </w:r>
          </w:p>
        </w:tc>
        <w:tc>
          <w:tcPr>
            <w:tcW w:w="1728" w:type="dxa"/>
          </w:tcPr>
          <w:p>
            <w:pPr>
              <w:pStyle w:val="TableParagraph"/>
              <w:spacing w:before="25"/>
              <w:ind w:left="131" w:right="121"/>
              <w:jc w:val="center"/>
              <w:rPr>
                <w:rFonts w:ascii="TimesNewRomanPS-BoldItalicMT"/>
                <w:b/>
                <w:i/>
                <w:sz w:val="10"/>
              </w:rPr>
            </w:pPr>
            <w:r>
              <w:rPr>
                <w:b/>
                <w:position w:val="2"/>
                <w:sz w:val="16"/>
              </w:rPr>
              <w:t>C</w:t>
            </w:r>
            <w:r>
              <w:rPr>
                <w:rFonts w:ascii="TimesNewRomanPS-BoldItalicMT"/>
                <w:b/>
                <w:i/>
                <w:sz w:val="10"/>
              </w:rPr>
              <w:t>i</w:t>
            </w:r>
          </w:p>
        </w:tc>
        <w:tc>
          <w:tcPr>
            <w:tcW w:w="1980" w:type="dxa"/>
          </w:tcPr>
          <w:p>
            <w:pPr>
              <w:pStyle w:val="TableParagraph"/>
              <w:spacing w:before="25"/>
              <w:ind w:left="149" w:right="138"/>
              <w:jc w:val="center"/>
              <w:rPr>
                <w:b/>
                <w:sz w:val="10"/>
              </w:rPr>
            </w:pPr>
            <w:r>
              <w:rPr>
                <w:b/>
                <w:position w:val="2"/>
                <w:sz w:val="16"/>
              </w:rPr>
              <w:t>LT</w:t>
            </w:r>
            <w:r>
              <w:rPr>
                <w:b/>
                <w:sz w:val="10"/>
              </w:rPr>
              <w:t>ref (</w:t>
            </w:r>
            <w:r>
              <w:rPr>
                <w:rFonts w:ascii="TimesNewRomanPS-BoldItalicMT"/>
                <w:b/>
                <w:i/>
                <w:sz w:val="10"/>
              </w:rPr>
              <w:t>j</w:t>
            </w:r>
            <w:r>
              <w:rPr>
                <w:b/>
                <w:sz w:val="10"/>
              </w:rPr>
              <w:t>)</w:t>
            </w:r>
          </w:p>
        </w:tc>
        <w:tc>
          <w:tcPr>
            <w:tcW w:w="2086" w:type="dxa"/>
          </w:tcPr>
          <w:p>
            <w:pPr>
              <w:pStyle w:val="TableParagraph"/>
              <w:spacing w:before="25"/>
              <w:ind w:left="696"/>
              <w:rPr>
                <w:rFonts w:ascii="TimesNewRomanPS-BoldItalicMT"/>
                <w:b/>
                <w:i/>
                <w:sz w:val="10"/>
              </w:rPr>
            </w:pPr>
            <w:r>
              <w:rPr>
                <w:b/>
                <w:position w:val="2"/>
                <w:sz w:val="16"/>
              </w:rPr>
              <w:t>f</w:t>
            </w:r>
            <w:r>
              <w:rPr>
                <w:b/>
                <w:sz w:val="10"/>
              </w:rPr>
              <w:t>mgt_intensity </w:t>
            </w:r>
            <w:r>
              <w:rPr>
                <w:rFonts w:ascii="TimesNewRomanPS-BoldItalicMT"/>
                <w:b/>
                <w:i/>
                <w:sz w:val="10"/>
              </w:rPr>
              <w:t>j</w:t>
            </w:r>
          </w:p>
        </w:tc>
        <w:tc>
          <w:tcPr>
            <w:tcW w:w="1875" w:type="dxa"/>
          </w:tcPr>
          <w:p>
            <w:pPr>
              <w:pStyle w:val="TableParagraph"/>
              <w:spacing w:before="25"/>
              <w:ind w:left="135" w:right="126"/>
              <w:jc w:val="center"/>
              <w:rPr>
                <w:rFonts w:ascii="TimesNewRomanPS-BoldItalicMT"/>
                <w:b/>
                <w:i/>
                <w:sz w:val="10"/>
              </w:rPr>
            </w:pPr>
            <w:r>
              <w:rPr>
                <w:b/>
                <w:position w:val="2"/>
                <w:sz w:val="16"/>
              </w:rPr>
              <w:t>f</w:t>
            </w:r>
            <w:r>
              <w:rPr>
                <w:b/>
                <w:sz w:val="10"/>
              </w:rPr>
              <w:t>dist_regime </w:t>
            </w:r>
            <w:r>
              <w:rPr>
                <w:rFonts w:ascii="TimesNewRomanPS-BoldItalicMT"/>
                <w:b/>
                <w:i/>
                <w:sz w:val="10"/>
              </w:rPr>
              <w:t>j</w:t>
            </w: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41"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bl>
    <w:p>
      <w:pPr>
        <w:spacing w:after="0"/>
        <w:rPr>
          <w:sz w:val="16"/>
        </w:rPr>
        <w:sectPr>
          <w:pgSz w:w="16840" w:h="11900" w:orient="landscape"/>
          <w:pgMar w:header="1150" w:footer="1128"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052"/>
        <w:gridCol w:w="1728"/>
        <w:gridCol w:w="1980"/>
        <w:gridCol w:w="2232"/>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1085" w:type="dxa"/>
            <w:gridSpan w:val="6"/>
          </w:tcPr>
          <w:p>
            <w:pPr>
              <w:pStyle w:val="TableParagraph"/>
              <w:spacing w:before="26"/>
              <w:ind w:left="108"/>
              <w:rPr>
                <w:b/>
                <w:sz w:val="20"/>
              </w:rPr>
            </w:pPr>
            <w:r>
              <w:rPr>
                <w:b/>
                <w:sz w:val="20"/>
              </w:rPr>
              <w:t>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1085" w:type="dxa"/>
            <w:gridSpan w:val="6"/>
          </w:tcPr>
          <w:p>
            <w:pPr>
              <w:pStyle w:val="TableParagraph"/>
              <w:spacing w:before="26"/>
              <w:ind w:left="107"/>
              <w:rPr>
                <w:b/>
                <w:sz w:val="20"/>
              </w:rPr>
            </w:pPr>
            <w:r>
              <w:rPr>
                <w:b/>
                <w:sz w:val="20"/>
              </w:rPr>
              <w:t>Forest Land Remaining 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1085" w:type="dxa"/>
            <w:gridSpan w:val="6"/>
          </w:tcPr>
          <w:p>
            <w:pPr>
              <w:pStyle w:val="TableParagraph"/>
              <w:spacing w:before="26"/>
              <w:ind w:left="108"/>
              <w:rPr>
                <w:b/>
                <w:sz w:val="20"/>
              </w:rPr>
            </w:pPr>
            <w:r>
              <w:rPr>
                <w:b/>
                <w:sz w:val="20"/>
              </w:rPr>
              <w:t>FL-1b: Annual change in carbon stocks in dead organic matter (dead wood and litter)</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1085" w:type="dxa"/>
            <w:gridSpan w:val="6"/>
          </w:tcPr>
          <w:p>
            <w:pPr>
              <w:pStyle w:val="TableParagraph"/>
              <w:spacing w:before="26"/>
              <w:ind w:left="108"/>
              <w:rPr>
                <w:b/>
                <w:sz w:val="20"/>
              </w:rPr>
            </w:pPr>
            <w:r>
              <w:rPr>
                <w:b/>
                <w:sz w:val="20"/>
              </w:rPr>
              <w:t>3 of 3</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39" w:right="125"/>
              <w:jc w:val="center"/>
              <w:rPr>
                <w:i/>
                <w:sz w:val="16"/>
              </w:rPr>
            </w:pPr>
            <w:r>
              <w:rPr>
                <w:sz w:val="16"/>
              </w:rPr>
              <w:t>Stable litter stock</w:t>
            </w:r>
            <w:r>
              <w:rPr>
                <w:spacing w:val="-15"/>
                <w:sz w:val="16"/>
              </w:rPr>
              <w:t> </w:t>
            </w:r>
            <w:r>
              <w:rPr>
                <w:sz w:val="16"/>
              </w:rPr>
              <w:t>under previous state</w:t>
            </w:r>
            <w:r>
              <w:rPr>
                <w:spacing w:val="-3"/>
                <w:sz w:val="16"/>
              </w:rPr>
              <w:t> </w:t>
            </w:r>
            <w:r>
              <w:rPr>
                <w:i/>
                <w:sz w:val="16"/>
              </w:rPr>
              <w:t>j</w:t>
            </w:r>
          </w:p>
          <w:p>
            <w:pPr>
              <w:pStyle w:val="TableParagraph"/>
              <w:rPr>
                <w:sz w:val="16"/>
              </w:rPr>
            </w:pPr>
          </w:p>
          <w:p>
            <w:pPr>
              <w:pStyle w:val="TableParagraph"/>
              <w:spacing w:line="494" w:lineRule="auto"/>
              <w:ind w:left="559" w:right="545"/>
              <w:jc w:val="center"/>
              <w:rPr>
                <w:sz w:val="16"/>
              </w:rPr>
            </w:pPr>
            <w:r>
              <w:rPr>
                <w:sz w:val="16"/>
              </w:rPr>
              <w:t>(tonnes C </w:t>
            </w:r>
            <w:r>
              <w:rPr>
                <w:spacing w:val="-5"/>
                <w:sz w:val="16"/>
              </w:rPr>
              <w:t>ha</w:t>
            </w:r>
            <w:r>
              <w:rPr>
                <w:spacing w:val="-5"/>
                <w:sz w:val="16"/>
                <w:vertAlign w:val="superscript"/>
              </w:rPr>
              <w:t>-1</w:t>
            </w:r>
            <w:r>
              <w:rPr>
                <w:spacing w:val="-5"/>
                <w:sz w:val="16"/>
                <w:vertAlign w:val="baseline"/>
              </w:rPr>
              <w:t>) </w:t>
            </w:r>
            <w:r>
              <w:rPr>
                <w:sz w:val="16"/>
                <w:vertAlign w:val="baseline"/>
              </w:rPr>
              <w:t>M = J </w:t>
            </w:r>
            <w:r>
              <w:rPr>
                <w:rFonts w:ascii="Symbol" w:hAnsi="Symbol"/>
                <w:sz w:val="16"/>
                <w:vertAlign w:val="baseline"/>
              </w:rPr>
              <w:t>• </w:t>
            </w:r>
            <w:r>
              <w:rPr>
                <w:sz w:val="16"/>
                <w:vertAlign w:val="baseline"/>
              </w:rPr>
              <w:t>K </w:t>
            </w:r>
            <w:r>
              <w:rPr>
                <w:rFonts w:ascii="Symbol" w:hAnsi="Symbol"/>
                <w:sz w:val="16"/>
                <w:vertAlign w:val="baseline"/>
              </w:rPr>
              <w:t>•</w:t>
            </w:r>
            <w:r>
              <w:rPr>
                <w:rFonts w:ascii="Symbol" w:hAnsi="Symbol"/>
                <w:spacing w:val="-1"/>
                <w:sz w:val="16"/>
                <w:vertAlign w:val="baseline"/>
              </w:rPr>
              <w:t> </w:t>
            </w:r>
            <w:r>
              <w:rPr>
                <w:sz w:val="16"/>
                <w:vertAlign w:val="baseline"/>
              </w:rPr>
              <w:t>L</w:t>
            </w:r>
          </w:p>
          <w:p>
            <w:pPr>
              <w:pStyle w:val="TableParagraph"/>
              <w:spacing w:line="168" w:lineRule="exact" w:before="148"/>
              <w:ind w:left="7"/>
              <w:jc w:val="center"/>
              <w:rPr>
                <w:sz w:val="16"/>
              </w:rPr>
            </w:pPr>
            <w:r>
              <w:rPr>
                <w:w w:val="100"/>
                <w:sz w:val="16"/>
              </w:rPr>
              <w:t>M</w:t>
            </w:r>
          </w:p>
        </w:tc>
        <w:tc>
          <w:tcPr>
            <w:tcW w:w="2052" w:type="dxa"/>
            <w:vMerge w:val="restart"/>
            <w:shd w:val="clear" w:color="auto" w:fill="E4E4E4"/>
          </w:tcPr>
          <w:p>
            <w:pPr>
              <w:pStyle w:val="TableParagraph"/>
              <w:spacing w:before="23"/>
              <w:ind w:left="214" w:right="201" w:hanging="3"/>
              <w:jc w:val="center"/>
              <w:rPr>
                <w:i/>
                <w:sz w:val="16"/>
              </w:rPr>
            </w:pPr>
            <w:r>
              <w:rPr>
                <w:sz w:val="16"/>
              </w:rPr>
              <w:t>Forest area undergoing a transition from state </w:t>
            </w:r>
            <w:r>
              <w:rPr>
                <w:i/>
                <w:sz w:val="16"/>
              </w:rPr>
              <w:t>i </w:t>
            </w:r>
            <w:r>
              <w:rPr>
                <w:sz w:val="16"/>
              </w:rPr>
              <w:t>to </w:t>
            </w:r>
            <w:r>
              <w:rPr>
                <w:i/>
                <w:sz w:val="16"/>
              </w:rPr>
              <w:t>j</w:t>
            </w:r>
          </w:p>
          <w:p>
            <w:pPr>
              <w:pStyle w:val="TableParagraph"/>
              <w:rPr>
                <w:sz w:val="16"/>
              </w:rPr>
            </w:pPr>
          </w:p>
          <w:p>
            <w:pPr>
              <w:pStyle w:val="TableParagraph"/>
              <w:ind w:left="184" w:right="175"/>
              <w:jc w:val="center"/>
              <w:rPr>
                <w:sz w:val="16"/>
              </w:rPr>
            </w:pPr>
            <w:r>
              <w:rPr>
                <w:sz w:val="16"/>
              </w:rPr>
              <w:t>(ha)</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10"/>
              <w:jc w:val="center"/>
              <w:rPr>
                <w:sz w:val="16"/>
              </w:rPr>
            </w:pPr>
            <w:r>
              <w:rPr>
                <w:w w:val="100"/>
                <w:sz w:val="16"/>
              </w:rPr>
              <w:t>N</w:t>
            </w:r>
          </w:p>
        </w:tc>
        <w:tc>
          <w:tcPr>
            <w:tcW w:w="1728" w:type="dxa"/>
            <w:vMerge w:val="restart"/>
            <w:shd w:val="clear" w:color="auto" w:fill="E4E4E4"/>
          </w:tcPr>
          <w:p>
            <w:pPr>
              <w:pStyle w:val="TableParagraph"/>
              <w:spacing w:before="23"/>
              <w:ind w:left="175" w:right="165" w:firstLine="4"/>
              <w:jc w:val="center"/>
              <w:rPr>
                <w:i/>
                <w:sz w:val="16"/>
              </w:rPr>
            </w:pPr>
            <w:r>
              <w:rPr>
                <w:sz w:val="16"/>
              </w:rPr>
              <w:t>Time period of the transition from state</w:t>
            </w:r>
            <w:r>
              <w:rPr>
                <w:spacing w:val="-11"/>
                <w:sz w:val="16"/>
              </w:rPr>
              <w:t> </w:t>
            </w:r>
            <w:r>
              <w:rPr>
                <w:i/>
                <w:sz w:val="16"/>
              </w:rPr>
              <w:t>i </w:t>
            </w:r>
            <w:r>
              <w:rPr>
                <w:sz w:val="16"/>
              </w:rPr>
              <w:t>to</w:t>
            </w:r>
            <w:r>
              <w:rPr>
                <w:spacing w:val="-1"/>
                <w:sz w:val="16"/>
              </w:rPr>
              <w:t> </w:t>
            </w:r>
            <w:r>
              <w:rPr>
                <w:i/>
                <w:sz w:val="16"/>
              </w:rPr>
              <w:t>j</w:t>
            </w:r>
          </w:p>
          <w:p>
            <w:pPr>
              <w:pStyle w:val="TableParagraph"/>
              <w:spacing w:before="10"/>
              <w:rPr>
                <w:sz w:val="15"/>
              </w:rPr>
            </w:pPr>
          </w:p>
          <w:p>
            <w:pPr>
              <w:pStyle w:val="TableParagraph"/>
              <w:spacing w:line="482" w:lineRule="auto"/>
              <w:ind w:left="334" w:right="320"/>
              <w:jc w:val="center"/>
              <w:rPr>
                <w:sz w:val="16"/>
              </w:rPr>
            </w:pPr>
            <w:r>
              <w:rPr>
                <w:sz w:val="16"/>
              </w:rPr>
              <w:t>Default is 20 </w:t>
            </w:r>
            <w:r>
              <w:rPr>
                <w:spacing w:val="-7"/>
                <w:sz w:val="16"/>
              </w:rPr>
              <w:t>yrs </w:t>
            </w:r>
            <w:r>
              <w:rPr>
                <w:sz w:val="16"/>
              </w:rPr>
              <w:t>(yr)</w:t>
            </w:r>
          </w:p>
          <w:p>
            <w:pPr>
              <w:pStyle w:val="TableParagraph"/>
              <w:spacing w:line="165" w:lineRule="exact"/>
              <w:ind w:left="12"/>
              <w:jc w:val="center"/>
              <w:rPr>
                <w:sz w:val="16"/>
              </w:rPr>
            </w:pPr>
            <w:r>
              <w:rPr>
                <w:w w:val="100"/>
                <w:sz w:val="16"/>
              </w:rPr>
              <w:t>O</w:t>
            </w:r>
          </w:p>
        </w:tc>
        <w:tc>
          <w:tcPr>
            <w:tcW w:w="1980" w:type="dxa"/>
            <w:vMerge w:val="restart"/>
            <w:shd w:val="clear" w:color="auto" w:fill="E4E4E4"/>
          </w:tcPr>
          <w:p>
            <w:pPr>
              <w:pStyle w:val="TableParagraph"/>
              <w:spacing w:before="23"/>
              <w:ind w:left="150" w:right="138"/>
              <w:jc w:val="center"/>
              <w:rPr>
                <w:sz w:val="16"/>
              </w:rPr>
            </w:pPr>
            <w:r>
              <w:rPr>
                <w:sz w:val="16"/>
              </w:rPr>
              <w:t>Annual litter carbon stock change</w:t>
            </w:r>
          </w:p>
          <w:p>
            <w:pPr>
              <w:pStyle w:val="TableParagraph"/>
              <w:rPr>
                <w:sz w:val="16"/>
              </w:rPr>
            </w:pPr>
          </w:p>
          <w:p>
            <w:pPr>
              <w:pStyle w:val="TableParagraph"/>
              <w:spacing w:line="494" w:lineRule="auto"/>
              <w:ind w:left="427" w:right="413" w:firstLine="98"/>
              <w:rPr>
                <w:sz w:val="16"/>
              </w:rPr>
            </w:pPr>
            <w:r>
              <w:rPr>
                <w:sz w:val="16"/>
              </w:rPr>
              <w:t>(tonnes C yr</w:t>
            </w:r>
            <w:r>
              <w:rPr>
                <w:sz w:val="16"/>
                <w:vertAlign w:val="superscript"/>
              </w:rPr>
              <w:t>-1</w:t>
            </w:r>
            <w:r>
              <w:rPr>
                <w:sz w:val="16"/>
                <w:vertAlign w:val="baseline"/>
              </w:rPr>
              <w:t>) P = (M-I) </w:t>
            </w:r>
            <w:r>
              <w:rPr>
                <w:rFonts w:ascii="Symbol" w:hAnsi="Symbol"/>
                <w:sz w:val="16"/>
                <w:vertAlign w:val="baseline"/>
              </w:rPr>
              <w:t>• </w:t>
            </w:r>
            <w:r>
              <w:rPr>
                <w:sz w:val="16"/>
                <w:vertAlign w:val="baseline"/>
              </w:rPr>
              <w:t>N /</w:t>
            </w:r>
            <w:r>
              <w:rPr>
                <w:spacing w:val="-1"/>
                <w:sz w:val="16"/>
                <w:vertAlign w:val="baseline"/>
              </w:rPr>
              <w:t> </w:t>
            </w:r>
            <w:r>
              <w:rPr>
                <w:spacing w:val="-13"/>
                <w:sz w:val="16"/>
                <w:vertAlign w:val="baseline"/>
              </w:rPr>
              <w:t>O</w:t>
            </w:r>
          </w:p>
          <w:p>
            <w:pPr>
              <w:pStyle w:val="TableParagraph"/>
              <w:spacing w:line="168" w:lineRule="exact" w:before="148"/>
              <w:ind w:left="12"/>
              <w:jc w:val="center"/>
              <w:rPr>
                <w:sz w:val="16"/>
              </w:rPr>
            </w:pPr>
            <w:r>
              <w:rPr>
                <w:w w:val="100"/>
                <w:sz w:val="16"/>
              </w:rPr>
              <w:t>P</w:t>
            </w:r>
          </w:p>
        </w:tc>
        <w:tc>
          <w:tcPr>
            <w:tcW w:w="2232" w:type="dxa"/>
            <w:vMerge w:val="restart"/>
            <w:shd w:val="clear" w:color="auto" w:fill="E4E4E4"/>
          </w:tcPr>
          <w:p>
            <w:pPr>
              <w:pStyle w:val="TableParagraph"/>
              <w:spacing w:before="23"/>
              <w:ind w:left="178" w:right="165" w:hanging="4"/>
              <w:jc w:val="center"/>
              <w:rPr>
                <w:sz w:val="16"/>
              </w:rPr>
            </w:pPr>
            <w:r>
              <w:rPr>
                <w:sz w:val="16"/>
              </w:rPr>
              <w:t>Annual change in carbon stocks in dead organic matter</w:t>
            </w:r>
          </w:p>
          <w:p>
            <w:pPr>
              <w:pStyle w:val="TableParagraph"/>
              <w:rPr>
                <w:sz w:val="16"/>
              </w:rPr>
            </w:pPr>
          </w:p>
          <w:p>
            <w:pPr>
              <w:pStyle w:val="TableParagraph"/>
              <w:spacing w:line="480" w:lineRule="auto"/>
              <w:ind w:left="632" w:right="618"/>
              <w:jc w:val="center"/>
              <w:rPr>
                <w:sz w:val="16"/>
              </w:rPr>
            </w:pPr>
            <w:r>
              <w:rPr>
                <w:sz w:val="16"/>
              </w:rPr>
              <w:t>(tonnes C yr</w:t>
            </w:r>
            <w:r>
              <w:rPr>
                <w:sz w:val="16"/>
                <w:vertAlign w:val="superscript"/>
              </w:rPr>
              <w:t>-1</w:t>
            </w:r>
            <w:r>
              <w:rPr>
                <w:sz w:val="16"/>
                <w:vertAlign w:val="baseline"/>
              </w:rPr>
              <w:t>) Q = E+P</w:t>
            </w:r>
          </w:p>
          <w:p>
            <w:pPr>
              <w:pStyle w:val="TableParagraph"/>
              <w:spacing w:before="11"/>
              <w:rPr>
                <w:sz w:val="15"/>
              </w:rPr>
            </w:pPr>
          </w:p>
          <w:p>
            <w:pPr>
              <w:pStyle w:val="TableParagraph"/>
              <w:spacing w:line="168" w:lineRule="exact"/>
              <w:ind w:left="12"/>
              <w:jc w:val="center"/>
              <w:rPr>
                <w:sz w:val="16"/>
              </w:rPr>
            </w:pPr>
            <w:r>
              <w:rPr>
                <w:w w:val="100"/>
                <w:sz w:val="16"/>
              </w:rPr>
              <w:t>Q</w:t>
            </w:r>
          </w:p>
        </w:tc>
      </w:tr>
      <w:tr>
        <w:trPr>
          <w:trHeight w:val="127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052" w:type="dxa"/>
            <w:vMerge/>
            <w:tcBorders>
              <w:top w:val="nil"/>
            </w:tcBorders>
            <w:shd w:val="clear" w:color="auto" w:fill="E4E4E4"/>
          </w:tcPr>
          <w:p>
            <w:pPr>
              <w:rPr>
                <w:sz w:val="2"/>
                <w:szCs w:val="2"/>
              </w:rPr>
            </w:pPr>
          </w:p>
        </w:tc>
        <w:tc>
          <w:tcPr>
            <w:tcW w:w="1728"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232"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FL</w:t>
            </w:r>
          </w:p>
        </w:tc>
        <w:tc>
          <w:tcPr>
            <w:tcW w:w="1027" w:type="dxa"/>
          </w:tcPr>
          <w:p>
            <w:pPr>
              <w:pStyle w:val="TableParagraph"/>
              <w:spacing w:before="23"/>
              <w:ind w:left="107"/>
              <w:rPr>
                <w:sz w:val="16"/>
              </w:rPr>
            </w:pPr>
            <w:r>
              <w:rPr>
                <w:sz w:val="16"/>
              </w:rPr>
              <w:t>(a)</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7" w:right="129"/>
              <w:jc w:val="center"/>
              <w:rPr>
                <w:b/>
                <w:sz w:val="10"/>
              </w:rPr>
            </w:pPr>
            <w:r>
              <w:rPr>
                <w:b/>
                <w:position w:val="2"/>
                <w:sz w:val="16"/>
              </w:rPr>
              <w:t>C</w:t>
            </w:r>
            <w:r>
              <w:rPr>
                <w:b/>
                <w:sz w:val="10"/>
              </w:rPr>
              <w:t>j</w:t>
            </w:r>
          </w:p>
        </w:tc>
        <w:tc>
          <w:tcPr>
            <w:tcW w:w="2052" w:type="dxa"/>
          </w:tcPr>
          <w:p>
            <w:pPr>
              <w:pStyle w:val="TableParagraph"/>
              <w:spacing w:before="53"/>
              <w:ind w:left="184" w:right="175"/>
              <w:jc w:val="center"/>
              <w:rPr>
                <w:rFonts w:ascii="TimesNewRomanPS-BoldItalicMT"/>
                <w:b/>
                <w:i/>
                <w:sz w:val="10"/>
              </w:rPr>
            </w:pPr>
            <w:r>
              <w:rPr>
                <w:b/>
                <w:position w:val="2"/>
                <w:sz w:val="16"/>
              </w:rPr>
              <w:t>A</w:t>
            </w:r>
            <w:r>
              <w:rPr>
                <w:rFonts w:ascii="TimesNewRomanPS-BoldItalicMT"/>
                <w:b/>
                <w:i/>
                <w:sz w:val="10"/>
              </w:rPr>
              <w:t>ij</w:t>
            </w:r>
          </w:p>
        </w:tc>
        <w:tc>
          <w:tcPr>
            <w:tcW w:w="1728" w:type="dxa"/>
          </w:tcPr>
          <w:p>
            <w:pPr>
              <w:pStyle w:val="TableParagraph"/>
              <w:spacing w:before="53"/>
              <w:ind w:left="130" w:right="121"/>
              <w:jc w:val="center"/>
              <w:rPr>
                <w:rFonts w:ascii="TimesNewRomanPS-BoldItalicMT"/>
                <w:b/>
                <w:i/>
                <w:sz w:val="10"/>
              </w:rPr>
            </w:pPr>
            <w:r>
              <w:rPr>
                <w:b/>
                <w:position w:val="2"/>
                <w:sz w:val="16"/>
              </w:rPr>
              <w:t>T</w:t>
            </w:r>
            <w:r>
              <w:rPr>
                <w:rFonts w:ascii="TimesNewRomanPS-BoldItalicMT"/>
                <w:b/>
                <w:i/>
                <w:sz w:val="10"/>
              </w:rPr>
              <w:t>ij</w:t>
            </w:r>
          </w:p>
        </w:tc>
        <w:tc>
          <w:tcPr>
            <w:tcW w:w="1980" w:type="dxa"/>
            <w:shd w:val="clear" w:color="auto" w:fill="D5D5D5"/>
          </w:tcPr>
          <w:p>
            <w:pPr>
              <w:pStyle w:val="TableParagraph"/>
              <w:spacing w:line="164" w:lineRule="exact" w:before="25"/>
              <w:ind w:left="18" w:right="138"/>
              <w:jc w:val="center"/>
              <w:rPr>
                <w:b/>
                <w:sz w:val="10"/>
              </w:rPr>
            </w:pPr>
            <w:r>
              <w:rPr>
                <w:b/>
                <w:position w:val="2"/>
                <w:sz w:val="16"/>
              </w:rPr>
              <w:t>∆C</w:t>
            </w:r>
            <w:r>
              <w:rPr>
                <w:b/>
                <w:sz w:val="10"/>
              </w:rPr>
              <w:t>FF</w:t>
            </w:r>
          </w:p>
          <w:p>
            <w:pPr>
              <w:pStyle w:val="TableParagraph"/>
              <w:spacing w:line="87" w:lineRule="exact"/>
              <w:ind w:left="483" w:right="138"/>
              <w:jc w:val="center"/>
              <w:rPr>
                <w:b/>
                <w:sz w:val="10"/>
              </w:rPr>
            </w:pPr>
            <w:r>
              <w:rPr>
                <w:b/>
                <w:sz w:val="10"/>
              </w:rPr>
              <w:t>LT</w:t>
            </w:r>
          </w:p>
        </w:tc>
        <w:tc>
          <w:tcPr>
            <w:tcW w:w="2232" w:type="dxa"/>
            <w:shd w:val="clear" w:color="auto" w:fill="D5D5D5"/>
          </w:tcPr>
          <w:p>
            <w:pPr>
              <w:pStyle w:val="TableParagraph"/>
              <w:spacing w:line="164" w:lineRule="exact" w:before="25"/>
              <w:ind w:left="385" w:right="618"/>
              <w:jc w:val="center"/>
              <w:rPr>
                <w:b/>
                <w:sz w:val="10"/>
              </w:rPr>
            </w:pPr>
            <w:r>
              <w:rPr>
                <w:b/>
                <w:position w:val="2"/>
                <w:sz w:val="16"/>
              </w:rPr>
              <w:t>∆C</w:t>
            </w:r>
            <w:r>
              <w:rPr>
                <w:b/>
                <w:sz w:val="10"/>
              </w:rPr>
              <w:t>FF</w:t>
            </w:r>
          </w:p>
          <w:p>
            <w:pPr>
              <w:pStyle w:val="TableParagraph"/>
              <w:spacing w:line="87" w:lineRule="exact"/>
              <w:ind w:left="632" w:right="288"/>
              <w:jc w:val="center"/>
              <w:rPr>
                <w:b/>
                <w:sz w:val="10"/>
              </w:rPr>
            </w:pPr>
            <w:r>
              <w:rPr>
                <w:b/>
                <w:sz w:val="10"/>
              </w:rPr>
              <w:t>DOM</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r>
        <w:trPr>
          <w:trHeight w:val="241"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232" w:type="dxa"/>
          </w:tcPr>
          <w:p>
            <w:pPr>
              <w:pStyle w:val="TableParagraph"/>
              <w:rPr>
                <w:sz w:val="16"/>
              </w:rPr>
            </w:pPr>
          </w:p>
        </w:tc>
      </w:tr>
    </w:tbl>
    <w:p>
      <w:pPr>
        <w:spacing w:after="0"/>
        <w:rPr>
          <w:sz w:val="16"/>
        </w:rPr>
        <w:sectPr>
          <w:pgSz w:w="16840" w:h="11900" w:orient="landscape"/>
          <w:pgMar w:header="458" w:footer="439"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113"/>
        <w:gridCol w:w="1439"/>
        <w:gridCol w:w="1439"/>
        <w:gridCol w:w="1619"/>
        <w:gridCol w:w="1979"/>
        <w:gridCol w:w="1619"/>
        <w:gridCol w:w="1799"/>
        <w:gridCol w:w="179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06" w:type="dxa"/>
            <w:gridSpan w:val="8"/>
          </w:tcPr>
          <w:p>
            <w:pPr>
              <w:pStyle w:val="TableParagraph"/>
              <w:spacing w:before="26"/>
              <w:ind w:left="108"/>
              <w:rPr>
                <w:b/>
                <w:sz w:val="20"/>
              </w:rPr>
            </w:pPr>
            <w:r>
              <w:rPr>
                <w:b/>
                <w:sz w:val="20"/>
              </w:rPr>
              <w:t>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06" w:type="dxa"/>
            <w:gridSpan w:val="8"/>
          </w:tcPr>
          <w:p>
            <w:pPr>
              <w:pStyle w:val="TableParagraph"/>
              <w:spacing w:before="26"/>
              <w:ind w:left="107"/>
              <w:rPr>
                <w:b/>
                <w:sz w:val="20"/>
              </w:rPr>
            </w:pPr>
            <w:r>
              <w:rPr>
                <w:b/>
                <w:sz w:val="20"/>
              </w:rPr>
              <w:t>Forest Land Remaining 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06" w:type="dxa"/>
            <w:gridSpan w:val="8"/>
          </w:tcPr>
          <w:p>
            <w:pPr>
              <w:pStyle w:val="TableParagraph"/>
              <w:spacing w:before="26"/>
              <w:ind w:left="108"/>
              <w:rPr>
                <w:b/>
                <w:sz w:val="20"/>
              </w:rPr>
            </w:pPr>
            <w:r>
              <w:rPr>
                <w:b/>
                <w:sz w:val="20"/>
              </w:rPr>
              <w:t>FL-1c1: Annual change in carbon stocks in mineral soils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06" w:type="dxa"/>
            <w:gridSpan w:val="8"/>
          </w:tcPr>
          <w:p>
            <w:pPr>
              <w:pStyle w:val="TableParagraph"/>
              <w:spacing w:before="26"/>
              <w:ind w:left="108"/>
              <w:rPr>
                <w:b/>
                <w:sz w:val="20"/>
              </w:rPr>
            </w:pPr>
            <w:r>
              <w:rPr>
                <w:b/>
                <w:sz w:val="20"/>
              </w:rPr>
              <w:t>1 of 2</w:t>
            </w:r>
          </w:p>
        </w:tc>
      </w:tr>
      <w:tr>
        <w:trPr>
          <w:trHeight w:val="395" w:hRule="atLeast"/>
        </w:trPr>
        <w:tc>
          <w:tcPr>
            <w:tcW w:w="1874" w:type="dxa"/>
            <w:gridSpan w:val="2"/>
            <w:shd w:val="clear" w:color="auto" w:fill="E4E4E4"/>
          </w:tcPr>
          <w:p>
            <w:pPr>
              <w:pStyle w:val="TableParagraph"/>
              <w:spacing w:line="180" w:lineRule="atLeast" w:before="23"/>
              <w:ind w:left="599" w:right="65" w:firstLine="38"/>
              <w:rPr>
                <w:sz w:val="16"/>
              </w:rPr>
            </w:pPr>
            <w:r>
              <w:rPr>
                <w:sz w:val="16"/>
              </w:rPr>
              <w:t>Land-use Category </w:t>
            </w:r>
            <w:r>
              <w:rPr>
                <w:sz w:val="16"/>
                <w:vertAlign w:val="superscript"/>
              </w:rPr>
              <w:t>2</w:t>
            </w:r>
          </w:p>
        </w:tc>
        <w:tc>
          <w:tcPr>
            <w:tcW w:w="1113" w:type="dxa"/>
            <w:vMerge w:val="restart"/>
            <w:shd w:val="clear" w:color="auto" w:fill="E4E4E4"/>
          </w:tcPr>
          <w:p>
            <w:pPr>
              <w:pStyle w:val="TableParagraph"/>
              <w:spacing w:before="23"/>
              <w:ind w:left="120" w:right="106" w:firstLine="3"/>
              <w:jc w:val="center"/>
              <w:rPr>
                <w:sz w:val="16"/>
              </w:rPr>
            </w:pPr>
            <w:r>
              <w:rPr>
                <w:sz w:val="16"/>
              </w:rPr>
              <w:t>Sub- categories for Reporting Year </w:t>
            </w:r>
            <w:r>
              <w:rPr>
                <w:sz w:val="16"/>
                <w:vertAlign w:val="superscript"/>
              </w:rPr>
              <w:t>3</w:t>
            </w:r>
          </w:p>
        </w:tc>
        <w:tc>
          <w:tcPr>
            <w:tcW w:w="1439" w:type="dxa"/>
            <w:vMerge w:val="restart"/>
            <w:shd w:val="clear" w:color="auto" w:fill="E4E4E4"/>
          </w:tcPr>
          <w:p>
            <w:pPr>
              <w:pStyle w:val="TableParagraph"/>
              <w:spacing w:before="23"/>
              <w:ind w:left="240" w:right="229" w:firstLine="2"/>
              <w:jc w:val="center"/>
              <w:rPr>
                <w:i/>
                <w:sz w:val="16"/>
              </w:rPr>
            </w:pPr>
            <w:r>
              <w:rPr>
                <w:sz w:val="16"/>
              </w:rPr>
              <w:t>Forest area undergoing a transition from state </w:t>
            </w:r>
            <w:r>
              <w:rPr>
                <w:i/>
                <w:sz w:val="16"/>
              </w:rPr>
              <w:t>i </w:t>
            </w:r>
            <w:r>
              <w:rPr>
                <w:sz w:val="16"/>
              </w:rPr>
              <w:t>to </w:t>
            </w:r>
            <w:r>
              <w:rPr>
                <w:i/>
                <w:sz w:val="16"/>
              </w:rPr>
              <w:t>j</w:t>
            </w:r>
          </w:p>
          <w:p>
            <w:pPr>
              <w:pStyle w:val="TableParagraph"/>
              <w:spacing w:before="11"/>
              <w:rPr>
                <w:sz w:val="15"/>
              </w:rPr>
            </w:pPr>
          </w:p>
          <w:p>
            <w:pPr>
              <w:pStyle w:val="TableParagraph"/>
              <w:ind w:left="114" w:right="101"/>
              <w:jc w:val="center"/>
              <w:rPr>
                <w:sz w:val="16"/>
              </w:rPr>
            </w:pPr>
            <w:r>
              <w:rPr>
                <w:sz w:val="16"/>
              </w:rPr>
              <w:t>(ha)</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13"/>
              <w:jc w:val="center"/>
              <w:rPr>
                <w:sz w:val="16"/>
              </w:rPr>
            </w:pPr>
            <w:r>
              <w:rPr>
                <w:w w:val="100"/>
                <w:sz w:val="16"/>
              </w:rPr>
              <w:t>A</w:t>
            </w:r>
          </w:p>
        </w:tc>
        <w:tc>
          <w:tcPr>
            <w:tcW w:w="1439" w:type="dxa"/>
            <w:vMerge w:val="restart"/>
            <w:shd w:val="clear" w:color="auto" w:fill="E4E4E4"/>
          </w:tcPr>
          <w:p>
            <w:pPr>
              <w:pStyle w:val="TableParagraph"/>
              <w:spacing w:before="23"/>
              <w:ind w:left="118" w:right="100"/>
              <w:jc w:val="center"/>
              <w:rPr>
                <w:i/>
                <w:sz w:val="10"/>
              </w:rPr>
            </w:pPr>
            <w:r>
              <w:rPr>
                <w:sz w:val="16"/>
              </w:rPr>
              <w:t>Time period of the transition from </w:t>
            </w:r>
            <w:r>
              <w:rPr>
                <w:position w:val="2"/>
                <w:sz w:val="16"/>
              </w:rPr>
              <w:t>SOC</w:t>
            </w:r>
            <w:r>
              <w:rPr>
                <w:i/>
                <w:sz w:val="10"/>
              </w:rPr>
              <w:t>i </w:t>
            </w:r>
            <w:r>
              <w:rPr>
                <w:position w:val="2"/>
                <w:sz w:val="16"/>
              </w:rPr>
              <w:t>to SOC</w:t>
            </w:r>
            <w:r>
              <w:rPr>
                <w:i/>
                <w:sz w:val="10"/>
              </w:rPr>
              <w:t>j</w:t>
            </w:r>
          </w:p>
          <w:p>
            <w:pPr>
              <w:pStyle w:val="TableParagraph"/>
              <w:spacing w:before="3"/>
              <w:rPr>
                <w:sz w:val="15"/>
              </w:rPr>
            </w:pPr>
          </w:p>
          <w:p>
            <w:pPr>
              <w:pStyle w:val="TableParagraph"/>
              <w:ind w:left="397" w:right="384"/>
              <w:jc w:val="center"/>
              <w:rPr>
                <w:sz w:val="16"/>
              </w:rPr>
            </w:pPr>
            <w:r>
              <w:rPr>
                <w:sz w:val="16"/>
              </w:rPr>
              <w:t>(default is 20 yr)</w:t>
            </w:r>
          </w:p>
          <w:p>
            <w:pPr>
              <w:pStyle w:val="TableParagraph"/>
              <w:rPr>
                <w:sz w:val="16"/>
              </w:rPr>
            </w:pPr>
          </w:p>
          <w:p>
            <w:pPr>
              <w:pStyle w:val="TableParagraph"/>
              <w:ind w:left="113" w:right="101"/>
              <w:jc w:val="center"/>
              <w:rPr>
                <w:sz w:val="16"/>
              </w:rPr>
            </w:pPr>
            <w:r>
              <w:rPr>
                <w:sz w:val="16"/>
              </w:rPr>
              <w:t>(yr)</w:t>
            </w:r>
          </w:p>
          <w:p>
            <w:pPr>
              <w:pStyle w:val="TableParagraph"/>
              <w:rPr>
                <w:sz w:val="18"/>
              </w:rPr>
            </w:pPr>
          </w:p>
          <w:p>
            <w:pPr>
              <w:pStyle w:val="TableParagraph"/>
              <w:spacing w:line="168" w:lineRule="exact" w:before="161"/>
              <w:ind w:left="11"/>
              <w:jc w:val="center"/>
              <w:rPr>
                <w:sz w:val="16"/>
              </w:rPr>
            </w:pPr>
            <w:r>
              <w:rPr>
                <w:w w:val="100"/>
                <w:sz w:val="16"/>
              </w:rPr>
              <w:t>B</w:t>
            </w:r>
          </w:p>
        </w:tc>
        <w:tc>
          <w:tcPr>
            <w:tcW w:w="1619" w:type="dxa"/>
            <w:vMerge w:val="restart"/>
            <w:shd w:val="clear" w:color="auto" w:fill="E4E4E4"/>
          </w:tcPr>
          <w:p>
            <w:pPr>
              <w:pStyle w:val="TableParagraph"/>
              <w:spacing w:before="23"/>
              <w:ind w:left="139" w:right="125" w:firstLine="4"/>
              <w:jc w:val="center"/>
              <w:rPr>
                <w:sz w:val="16"/>
              </w:rPr>
            </w:pPr>
            <w:r>
              <w:rPr>
                <w:sz w:val="16"/>
              </w:rPr>
              <w:t>Reference carbon stock under native, unmanaged forest on a given soil</w:t>
            </w:r>
          </w:p>
          <w:p>
            <w:pPr>
              <w:pStyle w:val="TableParagraph"/>
              <w:spacing w:before="11"/>
              <w:rPr>
                <w:sz w:val="15"/>
              </w:rPr>
            </w:pPr>
          </w:p>
          <w:p>
            <w:pPr>
              <w:pStyle w:val="TableParagraph"/>
              <w:ind w:left="98" w:right="81"/>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15"/>
              <w:jc w:val="center"/>
              <w:rPr>
                <w:sz w:val="16"/>
              </w:rPr>
            </w:pPr>
            <w:r>
              <w:rPr>
                <w:w w:val="100"/>
                <w:sz w:val="16"/>
              </w:rPr>
              <w:t>C</w:t>
            </w:r>
          </w:p>
        </w:tc>
        <w:tc>
          <w:tcPr>
            <w:tcW w:w="1979" w:type="dxa"/>
            <w:vMerge w:val="restart"/>
            <w:shd w:val="clear" w:color="auto" w:fill="E4E4E4"/>
          </w:tcPr>
          <w:p>
            <w:pPr>
              <w:pStyle w:val="TableParagraph"/>
              <w:spacing w:before="23"/>
              <w:ind w:left="166" w:right="149"/>
              <w:jc w:val="center"/>
              <w:rPr>
                <w:i/>
                <w:sz w:val="16"/>
              </w:rPr>
            </w:pPr>
            <w:r>
              <w:rPr>
                <w:sz w:val="16"/>
              </w:rPr>
              <w:t>Adjustment factor reflecting the effect of a change from the native forest to the forest type in state </w:t>
            </w:r>
            <w:r>
              <w:rPr>
                <w:i/>
                <w:sz w:val="16"/>
              </w:rPr>
              <w:t>i</w:t>
            </w:r>
          </w:p>
          <w:p>
            <w:pPr>
              <w:pStyle w:val="TableParagraph"/>
              <w:rPr>
                <w:sz w:val="16"/>
              </w:rPr>
            </w:pPr>
          </w:p>
          <w:p>
            <w:pPr>
              <w:pStyle w:val="TableParagraph"/>
              <w:ind w:left="164" w:right="149"/>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36"/>
              <w:ind w:left="17"/>
              <w:jc w:val="center"/>
              <w:rPr>
                <w:sz w:val="16"/>
              </w:rPr>
            </w:pPr>
            <w:r>
              <w:rPr>
                <w:w w:val="100"/>
                <w:sz w:val="16"/>
              </w:rPr>
              <w:t>D</w:t>
            </w:r>
          </w:p>
        </w:tc>
        <w:tc>
          <w:tcPr>
            <w:tcW w:w="1619" w:type="dxa"/>
            <w:vMerge w:val="restart"/>
            <w:shd w:val="clear" w:color="auto" w:fill="E4E4E4"/>
          </w:tcPr>
          <w:p>
            <w:pPr>
              <w:pStyle w:val="TableParagraph"/>
              <w:spacing w:before="23"/>
              <w:ind w:left="146" w:right="125" w:hanging="1"/>
              <w:jc w:val="center"/>
              <w:rPr>
                <w:i/>
                <w:sz w:val="16"/>
              </w:rPr>
            </w:pPr>
            <w:r>
              <w:rPr>
                <w:sz w:val="16"/>
              </w:rPr>
              <w:t>Adjustment factor reflecting the effect of management intensity or practices on forest in state </w:t>
            </w:r>
            <w:r>
              <w:rPr>
                <w:i/>
                <w:sz w:val="16"/>
              </w:rPr>
              <w:t>i</w:t>
            </w:r>
          </w:p>
          <w:p>
            <w:pPr>
              <w:pStyle w:val="TableParagraph"/>
              <w:rPr>
                <w:sz w:val="16"/>
              </w:rPr>
            </w:pPr>
          </w:p>
          <w:p>
            <w:pPr>
              <w:pStyle w:val="TableParagraph"/>
              <w:ind w:left="98" w:right="81"/>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36"/>
              <w:ind w:left="20"/>
              <w:jc w:val="center"/>
              <w:rPr>
                <w:sz w:val="16"/>
              </w:rPr>
            </w:pPr>
            <w:r>
              <w:rPr>
                <w:w w:val="100"/>
                <w:sz w:val="16"/>
              </w:rPr>
              <w:t>E</w:t>
            </w:r>
          </w:p>
        </w:tc>
        <w:tc>
          <w:tcPr>
            <w:tcW w:w="1799" w:type="dxa"/>
            <w:vMerge w:val="restart"/>
            <w:shd w:val="clear" w:color="auto" w:fill="E4E4E4"/>
          </w:tcPr>
          <w:p>
            <w:pPr>
              <w:pStyle w:val="TableParagraph"/>
              <w:spacing w:before="23"/>
              <w:ind w:left="135" w:right="113" w:firstLine="2"/>
              <w:jc w:val="center"/>
              <w:rPr>
                <w:sz w:val="16"/>
              </w:rPr>
            </w:pPr>
            <w:r>
              <w:rPr>
                <w:sz w:val="16"/>
              </w:rPr>
              <w:t>Adjustment factor reflecting the effect of</w:t>
            </w:r>
            <w:r>
              <w:rPr>
                <w:spacing w:val="-8"/>
                <w:sz w:val="16"/>
              </w:rPr>
              <w:t> </w:t>
            </w:r>
            <w:r>
              <w:rPr>
                <w:sz w:val="16"/>
              </w:rPr>
              <w:t>a change in the disturbance regime to state </w:t>
            </w:r>
            <w:r>
              <w:rPr>
                <w:i/>
                <w:sz w:val="16"/>
              </w:rPr>
              <w:t>i </w:t>
            </w:r>
            <w:r>
              <w:rPr>
                <w:sz w:val="16"/>
              </w:rPr>
              <w:t>with respect to the native</w:t>
            </w:r>
            <w:r>
              <w:rPr>
                <w:spacing w:val="-7"/>
                <w:sz w:val="16"/>
              </w:rPr>
              <w:t> </w:t>
            </w:r>
            <w:r>
              <w:rPr>
                <w:sz w:val="16"/>
              </w:rPr>
              <w:t>forest</w:t>
            </w:r>
          </w:p>
          <w:p>
            <w:pPr>
              <w:pStyle w:val="TableParagraph"/>
              <w:spacing w:before="10"/>
              <w:rPr>
                <w:sz w:val="15"/>
              </w:rPr>
            </w:pPr>
          </w:p>
          <w:p>
            <w:pPr>
              <w:pStyle w:val="TableParagraph"/>
              <w:ind w:left="231" w:right="209"/>
              <w:jc w:val="center"/>
              <w:rPr>
                <w:sz w:val="16"/>
              </w:rPr>
            </w:pPr>
            <w:r>
              <w:rPr>
                <w:sz w:val="16"/>
              </w:rPr>
              <w:t>(dimensionless)</w:t>
            </w:r>
          </w:p>
          <w:p>
            <w:pPr>
              <w:pStyle w:val="TableParagraph"/>
              <w:rPr>
                <w:sz w:val="18"/>
              </w:rPr>
            </w:pPr>
          </w:p>
          <w:p>
            <w:pPr>
              <w:pStyle w:val="TableParagraph"/>
              <w:spacing w:line="168" w:lineRule="exact" w:before="161"/>
              <w:ind w:left="25"/>
              <w:jc w:val="center"/>
              <w:rPr>
                <w:sz w:val="16"/>
              </w:rPr>
            </w:pPr>
            <w:r>
              <w:rPr>
                <w:w w:val="100"/>
                <w:sz w:val="16"/>
              </w:rPr>
              <w:t>F</w:t>
            </w:r>
          </w:p>
        </w:tc>
        <w:tc>
          <w:tcPr>
            <w:tcW w:w="1799" w:type="dxa"/>
            <w:vMerge w:val="restart"/>
            <w:shd w:val="clear" w:color="auto" w:fill="E4E4E4"/>
          </w:tcPr>
          <w:p>
            <w:pPr>
              <w:pStyle w:val="TableParagraph"/>
              <w:spacing w:before="23"/>
              <w:ind w:left="297" w:right="272" w:hanging="1"/>
              <w:jc w:val="center"/>
              <w:rPr>
                <w:i/>
                <w:sz w:val="16"/>
              </w:rPr>
            </w:pPr>
            <w:r>
              <w:rPr>
                <w:sz w:val="16"/>
              </w:rPr>
              <w:t>Stable soil organic carbon stock under previous state </w:t>
            </w:r>
            <w:r>
              <w:rPr>
                <w:i/>
                <w:sz w:val="16"/>
              </w:rPr>
              <w:t>i</w:t>
            </w:r>
          </w:p>
          <w:p>
            <w:pPr>
              <w:pStyle w:val="TableParagraph"/>
              <w:spacing w:before="10"/>
              <w:rPr>
                <w:sz w:val="15"/>
              </w:rPr>
            </w:pPr>
          </w:p>
          <w:p>
            <w:pPr>
              <w:pStyle w:val="TableParagraph"/>
              <w:spacing w:line="496" w:lineRule="auto"/>
              <w:ind w:left="328" w:right="293" w:firstLine="103"/>
              <w:rPr>
                <w:sz w:val="16"/>
              </w:rPr>
            </w:pPr>
            <w:r>
              <w:rPr>
                <w:sz w:val="16"/>
              </w:rPr>
              <w:t>(tonnes C ha</w:t>
            </w:r>
            <w:r>
              <w:rPr>
                <w:sz w:val="16"/>
                <w:vertAlign w:val="superscript"/>
              </w:rPr>
              <w:t>-1</w:t>
            </w:r>
            <w:r>
              <w:rPr>
                <w:sz w:val="16"/>
                <w:vertAlign w:val="baseline"/>
              </w:rPr>
              <w:t>) G = C </w:t>
            </w:r>
            <w:r>
              <w:rPr>
                <w:rFonts w:ascii="Symbol" w:hAnsi="Symbol"/>
                <w:sz w:val="16"/>
                <w:vertAlign w:val="baseline"/>
              </w:rPr>
              <w:t>• </w:t>
            </w:r>
            <w:r>
              <w:rPr>
                <w:sz w:val="16"/>
                <w:vertAlign w:val="baseline"/>
              </w:rPr>
              <w:t>D </w:t>
            </w:r>
            <w:r>
              <w:rPr>
                <w:rFonts w:ascii="Symbol" w:hAnsi="Symbol"/>
                <w:sz w:val="16"/>
                <w:vertAlign w:val="baseline"/>
              </w:rPr>
              <w:t>• </w:t>
            </w:r>
            <w:r>
              <w:rPr>
                <w:sz w:val="16"/>
                <w:vertAlign w:val="baseline"/>
              </w:rPr>
              <w:t>E </w:t>
            </w:r>
            <w:r>
              <w:rPr>
                <w:rFonts w:ascii="Symbol" w:hAnsi="Symbol"/>
                <w:sz w:val="16"/>
                <w:vertAlign w:val="baseline"/>
              </w:rPr>
              <w:t>• </w:t>
            </w:r>
            <w:r>
              <w:rPr>
                <w:sz w:val="16"/>
                <w:vertAlign w:val="baseline"/>
              </w:rPr>
              <w:t>F</w:t>
            </w:r>
          </w:p>
          <w:p>
            <w:pPr>
              <w:pStyle w:val="TableParagraph"/>
              <w:spacing w:before="7"/>
              <w:rPr>
                <w:sz w:val="28"/>
              </w:rPr>
            </w:pPr>
          </w:p>
          <w:p>
            <w:pPr>
              <w:pStyle w:val="TableParagraph"/>
              <w:spacing w:line="168" w:lineRule="exact"/>
              <w:ind w:left="25"/>
              <w:jc w:val="center"/>
              <w:rPr>
                <w:sz w:val="16"/>
              </w:rPr>
            </w:pPr>
            <w:r>
              <w:rPr>
                <w:w w:val="100"/>
                <w:sz w:val="16"/>
              </w:rPr>
              <w:t>G</w:t>
            </w:r>
          </w:p>
        </w:tc>
      </w:tr>
      <w:tr>
        <w:trPr>
          <w:trHeight w:val="1643"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113" w:type="dxa"/>
            <w:vMerge/>
            <w:tcBorders>
              <w:top w:val="nil"/>
            </w:tcBorders>
            <w:shd w:val="clear" w:color="auto" w:fill="E4E4E4"/>
          </w:tcPr>
          <w:p>
            <w:pPr>
              <w:rPr>
                <w:sz w:val="2"/>
                <w:szCs w:val="2"/>
              </w:rPr>
            </w:pPr>
          </w:p>
        </w:tc>
        <w:tc>
          <w:tcPr>
            <w:tcW w:w="1439" w:type="dxa"/>
            <w:vMerge/>
            <w:tcBorders>
              <w:top w:val="nil"/>
            </w:tcBorders>
            <w:shd w:val="clear" w:color="auto" w:fill="E4E4E4"/>
          </w:tcPr>
          <w:p>
            <w:pPr>
              <w:rPr>
                <w:sz w:val="2"/>
                <w:szCs w:val="2"/>
              </w:rPr>
            </w:pPr>
          </w:p>
        </w:tc>
        <w:tc>
          <w:tcPr>
            <w:tcW w:w="1439" w:type="dxa"/>
            <w:vMerge/>
            <w:tcBorders>
              <w:top w:val="nil"/>
            </w:tcBorders>
            <w:shd w:val="clear" w:color="auto" w:fill="E4E4E4"/>
          </w:tcPr>
          <w:p>
            <w:pPr>
              <w:rPr>
                <w:sz w:val="2"/>
                <w:szCs w:val="2"/>
              </w:rPr>
            </w:pPr>
          </w:p>
        </w:tc>
        <w:tc>
          <w:tcPr>
            <w:tcW w:w="1619" w:type="dxa"/>
            <w:vMerge/>
            <w:tcBorders>
              <w:top w:val="nil"/>
            </w:tcBorders>
            <w:shd w:val="clear" w:color="auto" w:fill="E4E4E4"/>
          </w:tcPr>
          <w:p>
            <w:pPr>
              <w:rPr>
                <w:sz w:val="2"/>
                <w:szCs w:val="2"/>
              </w:rPr>
            </w:pPr>
          </w:p>
        </w:tc>
        <w:tc>
          <w:tcPr>
            <w:tcW w:w="1979" w:type="dxa"/>
            <w:vMerge/>
            <w:tcBorders>
              <w:top w:val="nil"/>
            </w:tcBorders>
            <w:shd w:val="clear" w:color="auto" w:fill="E4E4E4"/>
          </w:tcPr>
          <w:p>
            <w:pPr>
              <w:rPr>
                <w:sz w:val="2"/>
                <w:szCs w:val="2"/>
              </w:rPr>
            </w:pPr>
          </w:p>
        </w:tc>
        <w:tc>
          <w:tcPr>
            <w:tcW w:w="1619" w:type="dxa"/>
            <w:vMerge/>
            <w:tcBorders>
              <w:top w:val="nil"/>
            </w:tcBorders>
            <w:shd w:val="clear" w:color="auto" w:fill="E4E4E4"/>
          </w:tcPr>
          <w:p>
            <w:pPr>
              <w:rPr>
                <w:sz w:val="2"/>
                <w:szCs w:val="2"/>
              </w:rPr>
            </w:pPr>
          </w:p>
        </w:tc>
        <w:tc>
          <w:tcPr>
            <w:tcW w:w="1799" w:type="dxa"/>
            <w:vMerge/>
            <w:tcBorders>
              <w:top w:val="nil"/>
            </w:tcBorders>
            <w:shd w:val="clear" w:color="auto" w:fill="E4E4E4"/>
          </w:tcPr>
          <w:p>
            <w:pPr>
              <w:rPr>
                <w:sz w:val="2"/>
                <w:szCs w:val="2"/>
              </w:rPr>
            </w:pPr>
          </w:p>
        </w:tc>
        <w:tc>
          <w:tcPr>
            <w:tcW w:w="1799" w:type="dxa"/>
            <w:vMerge/>
            <w:tcBorders>
              <w:top w:val="nil"/>
            </w:tcBorders>
            <w:shd w:val="clear" w:color="auto" w:fill="E4E4E4"/>
          </w:tcPr>
          <w:p>
            <w:pPr>
              <w:rPr>
                <w:sz w:val="2"/>
                <w:szCs w:val="2"/>
              </w:rPr>
            </w:pPr>
          </w:p>
        </w:tc>
      </w:tr>
      <w:tr>
        <w:trPr>
          <w:trHeight w:val="241"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FL</w:t>
            </w:r>
          </w:p>
        </w:tc>
        <w:tc>
          <w:tcPr>
            <w:tcW w:w="1113" w:type="dxa"/>
          </w:tcPr>
          <w:p>
            <w:pPr>
              <w:pStyle w:val="TableParagraph"/>
              <w:spacing w:before="23"/>
              <w:ind w:left="107"/>
              <w:rPr>
                <w:sz w:val="16"/>
              </w:rPr>
            </w:pPr>
            <w:r>
              <w:rPr>
                <w:sz w:val="16"/>
              </w:rPr>
              <w:t>(a)</w:t>
            </w: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spacing w:before="52"/>
              <w:ind w:left="108"/>
              <w:rPr>
                <w:sz w:val="16"/>
              </w:rPr>
            </w:pPr>
            <w:r>
              <w:rPr>
                <w:sz w:val="16"/>
              </w:rPr>
              <w:t>(b)</w:t>
            </w:r>
          </w:p>
        </w:tc>
        <w:tc>
          <w:tcPr>
            <w:tcW w:w="1439" w:type="dxa"/>
          </w:tcPr>
          <w:p>
            <w:pPr>
              <w:pStyle w:val="TableParagraph"/>
              <w:spacing w:before="53"/>
              <w:ind w:left="113" w:right="101"/>
              <w:jc w:val="center"/>
              <w:rPr>
                <w:rFonts w:ascii="TimesNewRomanPS-BoldItalicMT"/>
                <w:b/>
                <w:i/>
                <w:sz w:val="10"/>
              </w:rPr>
            </w:pPr>
            <w:r>
              <w:rPr>
                <w:b/>
                <w:position w:val="2"/>
                <w:sz w:val="16"/>
              </w:rPr>
              <w:t>A</w:t>
            </w:r>
            <w:r>
              <w:rPr>
                <w:rFonts w:ascii="TimesNewRomanPS-BoldItalicMT"/>
                <w:b/>
                <w:i/>
                <w:sz w:val="10"/>
              </w:rPr>
              <w:t>ij</w:t>
            </w:r>
          </w:p>
        </w:tc>
        <w:tc>
          <w:tcPr>
            <w:tcW w:w="1439" w:type="dxa"/>
          </w:tcPr>
          <w:p>
            <w:pPr>
              <w:pStyle w:val="TableParagraph"/>
              <w:spacing w:before="53"/>
              <w:ind w:left="113" w:right="101"/>
              <w:jc w:val="center"/>
              <w:rPr>
                <w:rFonts w:ascii="TimesNewRomanPS-BoldItalicMT"/>
                <w:b/>
                <w:i/>
                <w:sz w:val="10"/>
              </w:rPr>
            </w:pPr>
            <w:r>
              <w:rPr>
                <w:b/>
                <w:position w:val="2"/>
                <w:sz w:val="16"/>
              </w:rPr>
              <w:t>T</w:t>
            </w:r>
            <w:r>
              <w:rPr>
                <w:rFonts w:ascii="TimesNewRomanPS-BoldItalicMT"/>
                <w:b/>
                <w:i/>
                <w:sz w:val="10"/>
              </w:rPr>
              <w:t>ij</w:t>
            </w:r>
          </w:p>
        </w:tc>
        <w:tc>
          <w:tcPr>
            <w:tcW w:w="1619" w:type="dxa"/>
          </w:tcPr>
          <w:p>
            <w:pPr>
              <w:pStyle w:val="TableParagraph"/>
              <w:spacing w:before="53"/>
              <w:ind w:left="547"/>
              <w:rPr>
                <w:b/>
                <w:sz w:val="10"/>
              </w:rPr>
            </w:pPr>
            <w:r>
              <w:rPr>
                <w:b/>
                <w:position w:val="2"/>
                <w:sz w:val="16"/>
              </w:rPr>
              <w:t>SOC</w:t>
            </w:r>
            <w:r>
              <w:rPr>
                <w:b/>
                <w:sz w:val="10"/>
              </w:rPr>
              <w:t>REF</w:t>
            </w:r>
          </w:p>
        </w:tc>
        <w:tc>
          <w:tcPr>
            <w:tcW w:w="1979" w:type="dxa"/>
          </w:tcPr>
          <w:p>
            <w:pPr>
              <w:pStyle w:val="TableParagraph"/>
              <w:spacing w:line="164" w:lineRule="exact" w:before="27"/>
              <w:ind w:left="143" w:right="149"/>
              <w:jc w:val="center"/>
              <w:rPr>
                <w:b/>
                <w:sz w:val="10"/>
              </w:rPr>
            </w:pPr>
            <w:r>
              <w:rPr>
                <w:b/>
                <w:position w:val="2"/>
                <w:sz w:val="16"/>
              </w:rPr>
              <w:t>f</w:t>
            </w:r>
            <w:r>
              <w:rPr>
                <w:b/>
                <w:sz w:val="10"/>
              </w:rPr>
              <w:t>forest type</w:t>
            </w:r>
          </w:p>
          <w:p>
            <w:pPr>
              <w:pStyle w:val="TableParagraph"/>
              <w:spacing w:line="87" w:lineRule="exact"/>
              <w:ind w:left="524"/>
              <w:jc w:val="center"/>
              <w:rPr>
                <w:rFonts w:ascii="TimesNewRomanPS-BoldItalicMT"/>
                <w:b/>
                <w:i/>
                <w:sz w:val="10"/>
              </w:rPr>
            </w:pPr>
            <w:r>
              <w:rPr>
                <w:rFonts w:ascii="TimesNewRomanPS-BoldItalicMT"/>
                <w:b/>
                <w:i/>
                <w:w w:val="100"/>
                <w:sz w:val="10"/>
              </w:rPr>
              <w:t>i</w:t>
            </w:r>
          </w:p>
        </w:tc>
        <w:tc>
          <w:tcPr>
            <w:tcW w:w="1619" w:type="dxa"/>
          </w:tcPr>
          <w:p>
            <w:pPr>
              <w:pStyle w:val="TableParagraph"/>
              <w:spacing w:line="164" w:lineRule="exact" w:before="27"/>
              <w:ind w:right="488"/>
              <w:jc w:val="right"/>
              <w:rPr>
                <w:b/>
                <w:sz w:val="10"/>
              </w:rPr>
            </w:pPr>
            <w:r>
              <w:rPr>
                <w:b/>
                <w:position w:val="2"/>
                <w:sz w:val="16"/>
              </w:rPr>
              <w:t>f</w:t>
            </w:r>
            <w:r>
              <w:rPr>
                <w:b/>
                <w:sz w:val="10"/>
              </w:rPr>
              <w:t>man intensity</w:t>
            </w:r>
          </w:p>
          <w:p>
            <w:pPr>
              <w:pStyle w:val="TableParagraph"/>
              <w:spacing w:line="87" w:lineRule="exact"/>
              <w:ind w:right="460"/>
              <w:jc w:val="right"/>
              <w:rPr>
                <w:rFonts w:ascii="TimesNewRomanPS-BoldItalicMT"/>
                <w:b/>
                <w:i/>
                <w:sz w:val="10"/>
              </w:rPr>
            </w:pPr>
            <w:r>
              <w:rPr>
                <w:rFonts w:ascii="TimesNewRomanPS-BoldItalicMT"/>
                <w:b/>
                <w:i/>
                <w:w w:val="100"/>
                <w:sz w:val="10"/>
              </w:rPr>
              <w:t>i</w:t>
            </w:r>
          </w:p>
        </w:tc>
        <w:tc>
          <w:tcPr>
            <w:tcW w:w="1799" w:type="dxa"/>
          </w:tcPr>
          <w:p>
            <w:pPr>
              <w:pStyle w:val="TableParagraph"/>
              <w:spacing w:line="164" w:lineRule="exact" w:before="27"/>
              <w:ind w:left="202" w:right="209"/>
              <w:jc w:val="center"/>
              <w:rPr>
                <w:b/>
                <w:sz w:val="10"/>
              </w:rPr>
            </w:pPr>
            <w:r>
              <w:rPr>
                <w:b/>
                <w:position w:val="2"/>
                <w:sz w:val="16"/>
              </w:rPr>
              <w:t>f</w:t>
            </w:r>
            <w:r>
              <w:rPr>
                <w:b/>
                <w:sz w:val="10"/>
              </w:rPr>
              <w:t>dist regime</w:t>
            </w:r>
          </w:p>
          <w:p>
            <w:pPr>
              <w:pStyle w:val="TableParagraph"/>
              <w:spacing w:line="87" w:lineRule="exact"/>
              <w:ind w:left="549"/>
              <w:jc w:val="center"/>
              <w:rPr>
                <w:rFonts w:ascii="TimesNewRomanPS-BoldItalicMT"/>
                <w:b/>
                <w:i/>
                <w:sz w:val="10"/>
              </w:rPr>
            </w:pPr>
            <w:r>
              <w:rPr>
                <w:rFonts w:ascii="TimesNewRomanPS-BoldItalicMT"/>
                <w:b/>
                <w:i/>
                <w:w w:val="100"/>
                <w:sz w:val="10"/>
              </w:rPr>
              <w:t>i</w:t>
            </w:r>
          </w:p>
        </w:tc>
        <w:tc>
          <w:tcPr>
            <w:tcW w:w="1799" w:type="dxa"/>
          </w:tcPr>
          <w:p>
            <w:pPr>
              <w:pStyle w:val="TableParagraph"/>
              <w:spacing w:before="53"/>
              <w:ind w:left="232" w:right="209"/>
              <w:jc w:val="center"/>
              <w:rPr>
                <w:rFonts w:ascii="TimesNewRomanPS-BoldItalicMT"/>
                <w:b/>
                <w:i/>
                <w:sz w:val="10"/>
              </w:rPr>
            </w:pPr>
            <w:r>
              <w:rPr>
                <w:b/>
                <w:position w:val="2"/>
                <w:sz w:val="16"/>
              </w:rPr>
              <w:t>SOC </w:t>
            </w:r>
            <w:r>
              <w:rPr>
                <w:rFonts w:ascii="TimesNewRomanPS-BoldItalicMT"/>
                <w:b/>
                <w:i/>
                <w:sz w:val="10"/>
              </w:rPr>
              <w:t>i</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spacing w:before="23"/>
              <w:ind w:left="108"/>
              <w:rPr>
                <w:sz w:val="16"/>
              </w:rPr>
            </w:pPr>
            <w:r>
              <w:rPr>
                <w:sz w:val="16"/>
              </w:rPr>
              <w:t>(c)</w:t>
            </w: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spacing w:before="23"/>
              <w:ind w:left="108"/>
              <w:rPr>
                <w:sz w:val="16"/>
              </w:rPr>
            </w:pPr>
            <w:r>
              <w:rPr>
                <w:sz w:val="16"/>
              </w:rPr>
              <w:t>Sub-total</w:t>
            </w: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113" w:type="dxa"/>
          </w:tcPr>
          <w:p>
            <w:pPr>
              <w:pStyle w:val="TableParagraph"/>
              <w:rPr>
                <w:sz w:val="16"/>
              </w:rPr>
            </w:pPr>
          </w:p>
        </w:tc>
        <w:tc>
          <w:tcPr>
            <w:tcW w:w="1439" w:type="dxa"/>
          </w:tcPr>
          <w:p>
            <w:pPr>
              <w:pStyle w:val="TableParagraph"/>
              <w:rPr>
                <w:sz w:val="16"/>
              </w:rPr>
            </w:pPr>
          </w:p>
        </w:tc>
        <w:tc>
          <w:tcPr>
            <w:tcW w:w="1439" w:type="dxa"/>
          </w:tcPr>
          <w:p>
            <w:pPr>
              <w:pStyle w:val="TableParagraph"/>
              <w:rPr>
                <w:sz w:val="16"/>
              </w:rPr>
            </w:pPr>
          </w:p>
        </w:tc>
        <w:tc>
          <w:tcPr>
            <w:tcW w:w="1619" w:type="dxa"/>
          </w:tcPr>
          <w:p>
            <w:pPr>
              <w:pStyle w:val="TableParagraph"/>
              <w:rPr>
                <w:sz w:val="16"/>
              </w:rPr>
            </w:pPr>
          </w:p>
        </w:tc>
        <w:tc>
          <w:tcPr>
            <w:tcW w:w="1979" w:type="dxa"/>
          </w:tcPr>
          <w:p>
            <w:pPr>
              <w:pStyle w:val="TableParagraph"/>
              <w:rPr>
                <w:sz w:val="16"/>
              </w:rPr>
            </w:pPr>
          </w:p>
        </w:tc>
        <w:tc>
          <w:tcPr>
            <w:tcW w:w="1619" w:type="dxa"/>
          </w:tcPr>
          <w:p>
            <w:pPr>
              <w:pStyle w:val="TableParagraph"/>
              <w:rPr>
                <w:sz w:val="16"/>
              </w:rPr>
            </w:pPr>
          </w:p>
        </w:tc>
        <w:tc>
          <w:tcPr>
            <w:tcW w:w="1799" w:type="dxa"/>
          </w:tcPr>
          <w:p>
            <w:pPr>
              <w:pStyle w:val="TableParagraph"/>
              <w:rPr>
                <w:sz w:val="16"/>
              </w:rPr>
            </w:pPr>
          </w:p>
        </w:tc>
        <w:tc>
          <w:tcPr>
            <w:tcW w:w="1799" w:type="dxa"/>
          </w:tcPr>
          <w:p>
            <w:pPr>
              <w:pStyle w:val="TableParagraph"/>
              <w:rPr>
                <w:sz w:val="16"/>
              </w:rPr>
            </w:pPr>
          </w:p>
        </w:tc>
      </w:tr>
      <w:tr>
        <w:trPr>
          <w:trHeight w:val="880" w:hRule="atLeast"/>
        </w:trPr>
        <w:tc>
          <w:tcPr>
            <w:tcW w:w="14680" w:type="dxa"/>
            <w:gridSpan w:val="10"/>
          </w:tcPr>
          <w:p>
            <w:pPr>
              <w:pStyle w:val="TableParagraph"/>
              <w:spacing w:before="50"/>
              <w:ind w:left="107"/>
              <w:rPr>
                <w:sz w:val="16"/>
              </w:rPr>
            </w:pPr>
            <w:r>
              <w:rPr>
                <w:position w:val="7"/>
                <w:sz w:val="10"/>
              </w:rPr>
              <w:t>1 </w:t>
            </w:r>
            <w:r>
              <w:rPr>
                <w:sz w:val="16"/>
              </w:rPr>
              <w:t>The calculation is based on Tier 2 since Tier 1 assumes that the net change in carbon in mineral soil, for forest land remaining forest land is zero.</w:t>
            </w:r>
          </w:p>
          <w:p>
            <w:pPr>
              <w:pStyle w:val="TableParagraph"/>
              <w:spacing w:before="85"/>
              <w:ind w:left="107"/>
              <w:rPr>
                <w:sz w:val="16"/>
              </w:rPr>
            </w:pPr>
            <w:r>
              <w:rPr>
                <w:position w:val="7"/>
                <w:sz w:val="10"/>
              </w:rPr>
              <w:t>2 </w:t>
            </w:r>
            <w:r>
              <w:rPr>
                <w:sz w:val="16"/>
              </w:rPr>
              <w:t>FL stands for forest land. See Chapter 2 for approaches in representing land areas.</w:t>
            </w:r>
          </w:p>
          <w:p>
            <w:pPr>
              <w:pStyle w:val="TableParagraph"/>
              <w:spacing w:before="85"/>
              <w:ind w:left="107"/>
              <w:rPr>
                <w:sz w:val="16"/>
              </w:rPr>
            </w:pPr>
            <w:r>
              <w:rPr>
                <w:position w:val="7"/>
                <w:sz w:val="10"/>
              </w:rPr>
              <w:t>3 </w:t>
            </w:r>
            <w:r>
              <w:rPr>
                <w:sz w:val="16"/>
              </w:rPr>
              <w:t>Land use may be further divided according to forest type or tree species, national land classification system, or ecological zones.</w:t>
            </w:r>
          </w:p>
        </w:tc>
      </w:tr>
    </w:tbl>
    <w:p>
      <w:pPr>
        <w:spacing w:after="0"/>
        <w:rPr>
          <w:sz w:val="16"/>
        </w:rPr>
        <w:sectPr>
          <w:pgSz w:w="16840" w:h="11900" w:orient="landscape"/>
          <w:pgMar w:header="1150" w:footer="1128"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052"/>
        <w:gridCol w:w="1728"/>
        <w:gridCol w:w="1980"/>
        <w:gridCol w:w="2086"/>
        <w:gridCol w:w="1875"/>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4" w:type="dxa"/>
            <w:gridSpan w:val="7"/>
          </w:tcPr>
          <w:p>
            <w:pPr>
              <w:pStyle w:val="TableParagraph"/>
              <w:spacing w:before="26"/>
              <w:ind w:left="108"/>
              <w:rPr>
                <w:b/>
                <w:sz w:val="20"/>
              </w:rPr>
            </w:pPr>
            <w:r>
              <w:rPr>
                <w:b/>
                <w:sz w:val="20"/>
              </w:rPr>
              <w:t>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4" w:type="dxa"/>
            <w:gridSpan w:val="7"/>
          </w:tcPr>
          <w:p>
            <w:pPr>
              <w:pStyle w:val="TableParagraph"/>
              <w:spacing w:before="26"/>
              <w:ind w:left="107"/>
              <w:rPr>
                <w:b/>
                <w:sz w:val="20"/>
              </w:rPr>
            </w:pPr>
            <w:r>
              <w:rPr>
                <w:b/>
                <w:sz w:val="20"/>
              </w:rPr>
              <w:t>Forest Land Remaining 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4" w:type="dxa"/>
            <w:gridSpan w:val="7"/>
          </w:tcPr>
          <w:p>
            <w:pPr>
              <w:pStyle w:val="TableParagraph"/>
              <w:spacing w:before="26"/>
              <w:ind w:left="108"/>
              <w:rPr>
                <w:b/>
                <w:sz w:val="20"/>
              </w:rPr>
            </w:pPr>
            <w:r>
              <w:rPr>
                <w:b/>
                <w:sz w:val="20"/>
              </w:rPr>
              <w:t>FL-1c1: Annual change in carbon stocks in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4" w:type="dxa"/>
            <w:gridSpan w:val="7"/>
          </w:tcPr>
          <w:p>
            <w:pPr>
              <w:pStyle w:val="TableParagraph"/>
              <w:spacing w:before="26"/>
              <w:ind w:left="108"/>
              <w:rPr>
                <w:b/>
                <w:sz w:val="20"/>
              </w:rPr>
            </w:pPr>
            <w:r>
              <w:rPr>
                <w:b/>
                <w:sz w:val="20"/>
              </w:rPr>
              <w:t>2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225" w:right="214" w:firstLine="1"/>
              <w:jc w:val="center"/>
              <w:rPr>
                <w:sz w:val="16"/>
              </w:rPr>
            </w:pPr>
            <w:r>
              <w:rPr>
                <w:sz w:val="16"/>
              </w:rPr>
              <w:t>Reference carbon stock under native, unmanaged forest on a given soil</w:t>
            </w:r>
          </w:p>
          <w:p>
            <w:pPr>
              <w:pStyle w:val="TableParagraph"/>
              <w:spacing w:line="552" w:lineRule="exact" w:before="75"/>
              <w:ind w:left="559" w:right="545"/>
              <w:jc w:val="center"/>
              <w:rPr>
                <w:sz w:val="16"/>
              </w:rPr>
            </w:pPr>
            <w:r>
              <w:rPr>
                <w:sz w:val="16"/>
              </w:rPr>
              <w:t>(tonnes C ha</w:t>
            </w:r>
            <w:r>
              <w:rPr>
                <w:sz w:val="16"/>
                <w:vertAlign w:val="superscript"/>
              </w:rPr>
              <w:t>-1</w:t>
            </w:r>
            <w:r>
              <w:rPr>
                <w:sz w:val="16"/>
                <w:vertAlign w:val="baseline"/>
              </w:rPr>
              <w:t>) H (= C)</w:t>
            </w:r>
          </w:p>
        </w:tc>
        <w:tc>
          <w:tcPr>
            <w:tcW w:w="2052" w:type="dxa"/>
            <w:vMerge w:val="restart"/>
            <w:shd w:val="clear" w:color="auto" w:fill="E4E4E4"/>
          </w:tcPr>
          <w:p>
            <w:pPr>
              <w:pStyle w:val="TableParagraph"/>
              <w:spacing w:before="23"/>
              <w:ind w:left="108" w:right="96" w:hanging="1"/>
              <w:jc w:val="center"/>
              <w:rPr>
                <w:i/>
                <w:sz w:val="16"/>
              </w:rPr>
            </w:pPr>
            <w:r>
              <w:rPr>
                <w:sz w:val="16"/>
              </w:rPr>
              <w:t>Adjustment factor reflecting the effect of a change from the native forest to the forest type in state </w:t>
            </w:r>
            <w:r>
              <w:rPr>
                <w:i/>
                <w:sz w:val="16"/>
              </w:rPr>
              <w:t>j</w:t>
            </w:r>
          </w:p>
          <w:p>
            <w:pPr>
              <w:pStyle w:val="TableParagraph"/>
              <w:spacing w:before="11"/>
              <w:rPr>
                <w:sz w:val="15"/>
              </w:rPr>
            </w:pPr>
          </w:p>
          <w:p>
            <w:pPr>
              <w:pStyle w:val="TableParagraph"/>
              <w:ind w:left="183" w:right="175"/>
              <w:jc w:val="center"/>
              <w:rPr>
                <w:sz w:val="16"/>
              </w:rPr>
            </w:pPr>
            <w:r>
              <w:rPr>
                <w:sz w:val="16"/>
              </w:rPr>
              <w:t>(dimensionless)</w:t>
            </w:r>
          </w:p>
          <w:p>
            <w:pPr>
              <w:pStyle w:val="TableParagraph"/>
              <w:rPr>
                <w:sz w:val="18"/>
              </w:rPr>
            </w:pPr>
          </w:p>
          <w:p>
            <w:pPr>
              <w:pStyle w:val="TableParagraph"/>
              <w:spacing w:line="168" w:lineRule="exact" w:before="161"/>
              <w:ind w:left="14"/>
              <w:jc w:val="center"/>
              <w:rPr>
                <w:sz w:val="16"/>
              </w:rPr>
            </w:pPr>
            <w:r>
              <w:rPr>
                <w:w w:val="100"/>
                <w:sz w:val="16"/>
              </w:rPr>
              <w:t>I</w:t>
            </w:r>
          </w:p>
        </w:tc>
        <w:tc>
          <w:tcPr>
            <w:tcW w:w="1728" w:type="dxa"/>
            <w:vMerge w:val="restart"/>
            <w:shd w:val="clear" w:color="auto" w:fill="E4E4E4"/>
          </w:tcPr>
          <w:p>
            <w:pPr>
              <w:pStyle w:val="TableParagraph"/>
              <w:spacing w:before="23"/>
              <w:ind w:left="108" w:right="96" w:firstLine="1"/>
              <w:jc w:val="center"/>
              <w:rPr>
                <w:i/>
                <w:sz w:val="16"/>
              </w:rPr>
            </w:pPr>
            <w:r>
              <w:rPr>
                <w:sz w:val="16"/>
              </w:rPr>
              <w:t>Adjustment factor reflecting the effect of management intensity or practices on forest in state </w:t>
            </w:r>
            <w:r>
              <w:rPr>
                <w:i/>
                <w:sz w:val="16"/>
              </w:rPr>
              <w:t>j</w:t>
            </w:r>
          </w:p>
          <w:p>
            <w:pPr>
              <w:pStyle w:val="TableParagraph"/>
              <w:spacing w:line="360" w:lineRule="atLeast" w:before="8"/>
              <w:ind w:left="358" w:right="345"/>
              <w:jc w:val="center"/>
              <w:rPr>
                <w:sz w:val="16"/>
              </w:rPr>
            </w:pPr>
            <w:r>
              <w:rPr>
                <w:sz w:val="16"/>
              </w:rPr>
              <w:t>(dimensionless) J</w:t>
            </w:r>
          </w:p>
        </w:tc>
        <w:tc>
          <w:tcPr>
            <w:tcW w:w="1980" w:type="dxa"/>
            <w:vMerge w:val="restart"/>
            <w:shd w:val="clear" w:color="auto" w:fill="E4E4E4"/>
          </w:tcPr>
          <w:p>
            <w:pPr>
              <w:pStyle w:val="TableParagraph"/>
              <w:spacing w:before="23"/>
              <w:ind w:left="147" w:right="134" w:hanging="2"/>
              <w:jc w:val="center"/>
              <w:rPr>
                <w:sz w:val="16"/>
              </w:rPr>
            </w:pPr>
            <w:r>
              <w:rPr>
                <w:sz w:val="16"/>
              </w:rPr>
              <w:t>Adjustment factor reflecting the effect of a change in the disturbance regime to state </w:t>
            </w:r>
            <w:r>
              <w:rPr>
                <w:i/>
                <w:sz w:val="16"/>
              </w:rPr>
              <w:t>j </w:t>
            </w:r>
            <w:r>
              <w:rPr>
                <w:sz w:val="16"/>
              </w:rPr>
              <w:t>with respect to the native forest</w:t>
            </w:r>
          </w:p>
          <w:p>
            <w:pPr>
              <w:pStyle w:val="TableParagraph"/>
              <w:spacing w:line="360" w:lineRule="atLeast" w:before="8"/>
              <w:ind w:left="483" w:right="472"/>
              <w:jc w:val="center"/>
              <w:rPr>
                <w:sz w:val="16"/>
              </w:rPr>
            </w:pPr>
            <w:r>
              <w:rPr>
                <w:sz w:val="16"/>
              </w:rPr>
              <w:t>(dimensionless) K</w:t>
            </w:r>
          </w:p>
        </w:tc>
        <w:tc>
          <w:tcPr>
            <w:tcW w:w="2086" w:type="dxa"/>
            <w:vMerge w:val="restart"/>
            <w:shd w:val="clear" w:color="auto" w:fill="E4E4E4"/>
          </w:tcPr>
          <w:p>
            <w:pPr>
              <w:pStyle w:val="TableParagraph"/>
              <w:spacing w:before="23"/>
              <w:ind w:left="135" w:right="123"/>
              <w:jc w:val="center"/>
              <w:rPr>
                <w:i/>
                <w:sz w:val="16"/>
              </w:rPr>
            </w:pPr>
            <w:r>
              <w:rPr>
                <w:sz w:val="16"/>
              </w:rPr>
              <w:t>Stable soil organic carbon stock under current state </w:t>
            </w:r>
            <w:r>
              <w:rPr>
                <w:i/>
                <w:sz w:val="16"/>
              </w:rPr>
              <w:t>j</w:t>
            </w:r>
          </w:p>
          <w:p>
            <w:pPr>
              <w:pStyle w:val="TableParagraph"/>
              <w:rPr>
                <w:sz w:val="16"/>
              </w:rPr>
            </w:pPr>
          </w:p>
          <w:p>
            <w:pPr>
              <w:pStyle w:val="TableParagraph"/>
              <w:spacing w:line="494" w:lineRule="auto"/>
              <w:ind w:left="504" w:right="490" w:hanging="1"/>
              <w:jc w:val="center"/>
              <w:rPr>
                <w:sz w:val="16"/>
              </w:rPr>
            </w:pPr>
            <w:r>
              <w:rPr>
                <w:sz w:val="16"/>
              </w:rPr>
              <w:t>(tonnes C ha</w:t>
            </w:r>
            <w:r>
              <w:rPr>
                <w:sz w:val="16"/>
                <w:vertAlign w:val="superscript"/>
              </w:rPr>
              <w:t>-1</w:t>
            </w:r>
            <w:r>
              <w:rPr>
                <w:sz w:val="16"/>
                <w:vertAlign w:val="baseline"/>
              </w:rPr>
              <w:t>) L = H </w:t>
            </w:r>
            <w:r>
              <w:rPr>
                <w:rFonts w:ascii="Symbol" w:hAnsi="Symbol"/>
                <w:sz w:val="16"/>
                <w:vertAlign w:val="baseline"/>
              </w:rPr>
              <w:t>• </w:t>
            </w:r>
            <w:r>
              <w:rPr>
                <w:sz w:val="16"/>
                <w:vertAlign w:val="baseline"/>
              </w:rPr>
              <w:t>I </w:t>
            </w:r>
            <w:r>
              <w:rPr>
                <w:rFonts w:ascii="Symbol" w:hAnsi="Symbol"/>
                <w:sz w:val="16"/>
                <w:vertAlign w:val="baseline"/>
              </w:rPr>
              <w:t>• </w:t>
            </w:r>
            <w:r>
              <w:rPr>
                <w:sz w:val="16"/>
                <w:vertAlign w:val="baseline"/>
              </w:rPr>
              <w:t>J </w:t>
            </w:r>
            <w:r>
              <w:rPr>
                <w:rFonts w:ascii="Symbol" w:hAnsi="Symbol"/>
                <w:sz w:val="16"/>
                <w:vertAlign w:val="baseline"/>
              </w:rPr>
              <w:t>• </w:t>
            </w:r>
            <w:r>
              <w:rPr>
                <w:spacing w:val="-14"/>
                <w:sz w:val="16"/>
                <w:vertAlign w:val="baseline"/>
              </w:rPr>
              <w:t>K</w:t>
            </w:r>
          </w:p>
          <w:p>
            <w:pPr>
              <w:pStyle w:val="TableParagraph"/>
              <w:spacing w:line="168" w:lineRule="exact" w:before="148"/>
              <w:ind w:left="11"/>
              <w:jc w:val="center"/>
              <w:rPr>
                <w:sz w:val="16"/>
              </w:rPr>
            </w:pPr>
            <w:r>
              <w:rPr>
                <w:w w:val="100"/>
                <w:sz w:val="16"/>
              </w:rPr>
              <w:t>L</w:t>
            </w:r>
          </w:p>
        </w:tc>
        <w:tc>
          <w:tcPr>
            <w:tcW w:w="1875" w:type="dxa"/>
            <w:vMerge w:val="restart"/>
            <w:shd w:val="clear" w:color="auto" w:fill="E4E4E4"/>
          </w:tcPr>
          <w:p>
            <w:pPr>
              <w:pStyle w:val="TableParagraph"/>
              <w:spacing w:before="23"/>
              <w:ind w:left="139" w:right="126"/>
              <w:jc w:val="center"/>
              <w:rPr>
                <w:sz w:val="16"/>
              </w:rPr>
            </w:pPr>
            <w:r>
              <w:rPr>
                <w:sz w:val="16"/>
              </w:rPr>
              <w:t>Annual soil carbon stock change</w:t>
            </w:r>
          </w:p>
          <w:p>
            <w:pPr>
              <w:pStyle w:val="TableParagraph"/>
              <w:rPr>
                <w:sz w:val="16"/>
              </w:rPr>
            </w:pPr>
          </w:p>
          <w:p>
            <w:pPr>
              <w:pStyle w:val="TableParagraph"/>
              <w:spacing w:line="494" w:lineRule="auto"/>
              <w:ind w:left="362" w:right="337" w:firstLine="110"/>
              <w:rPr>
                <w:sz w:val="16"/>
              </w:rPr>
            </w:pPr>
            <w:r>
              <w:rPr>
                <w:sz w:val="16"/>
              </w:rPr>
              <w:t>(tonnes C yr</w:t>
            </w:r>
            <w:r>
              <w:rPr>
                <w:sz w:val="16"/>
                <w:vertAlign w:val="superscript"/>
              </w:rPr>
              <w:t>-1</w:t>
            </w:r>
            <w:r>
              <w:rPr>
                <w:sz w:val="16"/>
                <w:vertAlign w:val="baseline"/>
              </w:rPr>
              <w:t>) M = (L-G) </w:t>
            </w:r>
            <w:r>
              <w:rPr>
                <w:rFonts w:ascii="Symbol" w:hAnsi="Symbol"/>
                <w:sz w:val="16"/>
                <w:vertAlign w:val="baseline"/>
              </w:rPr>
              <w:t>• </w:t>
            </w:r>
            <w:r>
              <w:rPr>
                <w:sz w:val="16"/>
                <w:vertAlign w:val="baseline"/>
              </w:rPr>
              <w:t>A /B</w:t>
            </w:r>
          </w:p>
          <w:p>
            <w:pPr>
              <w:pStyle w:val="TableParagraph"/>
              <w:spacing w:line="168" w:lineRule="exact" w:before="148"/>
              <w:ind w:left="6"/>
              <w:jc w:val="center"/>
              <w:rPr>
                <w:sz w:val="16"/>
              </w:rPr>
            </w:pPr>
            <w:r>
              <w:rPr>
                <w:w w:val="100"/>
                <w:sz w:val="16"/>
              </w:rPr>
              <w:t>M</w:t>
            </w:r>
          </w:p>
        </w:tc>
      </w:tr>
      <w:tr>
        <w:trPr>
          <w:trHeight w:val="127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052" w:type="dxa"/>
            <w:vMerge/>
            <w:tcBorders>
              <w:top w:val="nil"/>
            </w:tcBorders>
            <w:shd w:val="clear" w:color="auto" w:fill="E4E4E4"/>
          </w:tcPr>
          <w:p>
            <w:pPr>
              <w:rPr>
                <w:sz w:val="2"/>
                <w:szCs w:val="2"/>
              </w:rPr>
            </w:pPr>
          </w:p>
        </w:tc>
        <w:tc>
          <w:tcPr>
            <w:tcW w:w="1728"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086" w:type="dxa"/>
            <w:vMerge/>
            <w:tcBorders>
              <w:top w:val="nil"/>
            </w:tcBorders>
            <w:shd w:val="clear" w:color="auto" w:fill="E4E4E4"/>
          </w:tcPr>
          <w:p>
            <w:pPr>
              <w:rPr>
                <w:sz w:val="2"/>
                <w:szCs w:val="2"/>
              </w:rPr>
            </w:pPr>
          </w:p>
        </w:tc>
        <w:tc>
          <w:tcPr>
            <w:tcW w:w="1875" w:type="dxa"/>
            <w:vMerge/>
            <w:tcBorders>
              <w:top w:val="nil"/>
            </w:tcBorders>
            <w:shd w:val="clear" w:color="auto" w:fill="E4E4E4"/>
          </w:tcPr>
          <w:p>
            <w:pPr>
              <w:rPr>
                <w:sz w:val="2"/>
                <w:szCs w:val="2"/>
              </w:rPr>
            </w:pPr>
          </w:p>
        </w:tc>
      </w:tr>
      <w:tr>
        <w:trPr>
          <w:trHeight w:val="167" w:hRule="atLeast"/>
        </w:trPr>
        <w:tc>
          <w:tcPr>
            <w:tcW w:w="924" w:type="dxa"/>
          </w:tcPr>
          <w:p>
            <w:pPr>
              <w:pStyle w:val="TableParagraph"/>
              <w:spacing w:line="135" w:lineRule="exact"/>
              <w:ind w:left="107"/>
              <w:rPr>
                <w:sz w:val="16"/>
              </w:rPr>
            </w:pPr>
            <w:r>
              <w:rPr>
                <w:sz w:val="16"/>
              </w:rPr>
              <w:t>FL</w:t>
            </w:r>
          </w:p>
        </w:tc>
        <w:tc>
          <w:tcPr>
            <w:tcW w:w="950" w:type="dxa"/>
          </w:tcPr>
          <w:p>
            <w:pPr>
              <w:pStyle w:val="TableParagraph"/>
              <w:spacing w:line="135" w:lineRule="exact"/>
              <w:ind w:left="107"/>
              <w:rPr>
                <w:sz w:val="16"/>
              </w:rPr>
            </w:pPr>
            <w:r>
              <w:rPr>
                <w:sz w:val="16"/>
              </w:rPr>
              <w:t>FL</w:t>
            </w:r>
          </w:p>
        </w:tc>
        <w:tc>
          <w:tcPr>
            <w:tcW w:w="1027" w:type="dxa"/>
          </w:tcPr>
          <w:p>
            <w:pPr>
              <w:pStyle w:val="TableParagraph"/>
              <w:spacing w:line="135" w:lineRule="exact"/>
              <w:ind w:left="107"/>
              <w:rPr>
                <w:sz w:val="16"/>
              </w:rPr>
            </w:pPr>
            <w:r>
              <w:rPr>
                <w:sz w:val="16"/>
              </w:rPr>
              <w:t>(a)</w:t>
            </w:r>
          </w:p>
        </w:tc>
        <w:tc>
          <w:tcPr>
            <w:tcW w:w="2066" w:type="dxa"/>
          </w:tcPr>
          <w:p>
            <w:pPr>
              <w:pStyle w:val="TableParagraph"/>
              <w:rPr>
                <w:sz w:val="10"/>
              </w:rPr>
            </w:pPr>
          </w:p>
        </w:tc>
        <w:tc>
          <w:tcPr>
            <w:tcW w:w="2052" w:type="dxa"/>
          </w:tcPr>
          <w:p>
            <w:pPr>
              <w:pStyle w:val="TableParagraph"/>
              <w:rPr>
                <w:sz w:val="10"/>
              </w:rPr>
            </w:pPr>
          </w:p>
        </w:tc>
        <w:tc>
          <w:tcPr>
            <w:tcW w:w="1728" w:type="dxa"/>
          </w:tcPr>
          <w:p>
            <w:pPr>
              <w:pStyle w:val="TableParagraph"/>
              <w:rPr>
                <w:sz w:val="10"/>
              </w:rPr>
            </w:pPr>
          </w:p>
        </w:tc>
        <w:tc>
          <w:tcPr>
            <w:tcW w:w="1980" w:type="dxa"/>
          </w:tcPr>
          <w:p>
            <w:pPr>
              <w:pStyle w:val="TableParagraph"/>
              <w:rPr>
                <w:sz w:val="10"/>
              </w:rPr>
            </w:pPr>
          </w:p>
        </w:tc>
        <w:tc>
          <w:tcPr>
            <w:tcW w:w="2086" w:type="dxa"/>
          </w:tcPr>
          <w:p>
            <w:pPr>
              <w:pStyle w:val="TableParagraph"/>
              <w:rPr>
                <w:sz w:val="10"/>
              </w:rPr>
            </w:pPr>
          </w:p>
        </w:tc>
        <w:tc>
          <w:tcPr>
            <w:tcW w:w="1875" w:type="dxa"/>
          </w:tcPr>
          <w:p>
            <w:pPr>
              <w:pStyle w:val="TableParagraph"/>
              <w:rPr>
                <w:sz w:val="10"/>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9" w:right="129"/>
              <w:jc w:val="center"/>
              <w:rPr>
                <w:b/>
                <w:sz w:val="10"/>
              </w:rPr>
            </w:pPr>
            <w:r>
              <w:rPr>
                <w:b/>
                <w:position w:val="2"/>
                <w:sz w:val="16"/>
              </w:rPr>
              <w:t>SOC</w:t>
            </w:r>
            <w:r>
              <w:rPr>
                <w:b/>
                <w:sz w:val="10"/>
              </w:rPr>
              <w:t>REF</w:t>
            </w:r>
          </w:p>
        </w:tc>
        <w:tc>
          <w:tcPr>
            <w:tcW w:w="2052" w:type="dxa"/>
          </w:tcPr>
          <w:p>
            <w:pPr>
              <w:pStyle w:val="TableParagraph"/>
              <w:spacing w:line="164" w:lineRule="exact" w:before="27"/>
              <w:ind w:left="162" w:right="175"/>
              <w:jc w:val="center"/>
              <w:rPr>
                <w:b/>
                <w:sz w:val="10"/>
              </w:rPr>
            </w:pPr>
            <w:r>
              <w:rPr>
                <w:b/>
                <w:position w:val="2"/>
                <w:sz w:val="16"/>
              </w:rPr>
              <w:t>f</w:t>
            </w:r>
            <w:r>
              <w:rPr>
                <w:b/>
                <w:sz w:val="10"/>
              </w:rPr>
              <w:t>forest type</w:t>
            </w:r>
          </w:p>
          <w:p>
            <w:pPr>
              <w:pStyle w:val="TableParagraph"/>
              <w:spacing w:line="87" w:lineRule="exact"/>
              <w:ind w:left="517"/>
              <w:jc w:val="center"/>
              <w:rPr>
                <w:rFonts w:ascii="TimesNewRomanPS-BoldItalicMT"/>
                <w:b/>
                <w:i/>
                <w:sz w:val="10"/>
              </w:rPr>
            </w:pPr>
            <w:r>
              <w:rPr>
                <w:rFonts w:ascii="TimesNewRomanPS-BoldItalicMT"/>
                <w:b/>
                <w:i/>
                <w:w w:val="100"/>
                <w:sz w:val="10"/>
              </w:rPr>
              <w:t>j</w:t>
            </w:r>
          </w:p>
        </w:tc>
        <w:tc>
          <w:tcPr>
            <w:tcW w:w="1728" w:type="dxa"/>
          </w:tcPr>
          <w:p>
            <w:pPr>
              <w:pStyle w:val="TableParagraph"/>
              <w:spacing w:line="164" w:lineRule="exact" w:before="27"/>
              <w:ind w:right="548"/>
              <w:jc w:val="right"/>
              <w:rPr>
                <w:b/>
                <w:sz w:val="10"/>
              </w:rPr>
            </w:pPr>
            <w:r>
              <w:rPr>
                <w:b/>
                <w:position w:val="2"/>
                <w:sz w:val="16"/>
              </w:rPr>
              <w:t>f</w:t>
            </w:r>
            <w:r>
              <w:rPr>
                <w:b/>
                <w:sz w:val="10"/>
              </w:rPr>
              <w:t>man intensity</w:t>
            </w:r>
          </w:p>
          <w:p>
            <w:pPr>
              <w:pStyle w:val="TableParagraph"/>
              <w:spacing w:line="87" w:lineRule="exact"/>
              <w:ind w:right="520"/>
              <w:jc w:val="right"/>
              <w:rPr>
                <w:rFonts w:ascii="TimesNewRomanPS-BoldItalicMT"/>
                <w:b/>
                <w:i/>
                <w:sz w:val="10"/>
              </w:rPr>
            </w:pPr>
            <w:r>
              <w:rPr>
                <w:rFonts w:ascii="TimesNewRomanPS-BoldItalicMT"/>
                <w:b/>
                <w:i/>
                <w:w w:val="100"/>
                <w:sz w:val="10"/>
              </w:rPr>
              <w:t>j</w:t>
            </w:r>
          </w:p>
        </w:tc>
        <w:tc>
          <w:tcPr>
            <w:tcW w:w="1980" w:type="dxa"/>
          </w:tcPr>
          <w:p>
            <w:pPr>
              <w:pStyle w:val="TableParagraph"/>
              <w:spacing w:line="164" w:lineRule="exact" w:before="27"/>
              <w:ind w:left="122" w:right="138"/>
              <w:jc w:val="center"/>
              <w:rPr>
                <w:b/>
                <w:sz w:val="10"/>
              </w:rPr>
            </w:pPr>
            <w:r>
              <w:rPr>
                <w:b/>
                <w:position w:val="2"/>
                <w:sz w:val="16"/>
              </w:rPr>
              <w:t>f</w:t>
            </w:r>
            <w:r>
              <w:rPr>
                <w:b/>
                <w:sz w:val="10"/>
              </w:rPr>
              <w:t>dist regime</w:t>
            </w:r>
          </w:p>
          <w:p>
            <w:pPr>
              <w:pStyle w:val="TableParagraph"/>
              <w:spacing w:line="87" w:lineRule="exact"/>
              <w:ind w:left="541"/>
              <w:jc w:val="center"/>
              <w:rPr>
                <w:rFonts w:ascii="TimesNewRomanPS-BoldItalicMT"/>
                <w:b/>
                <w:i/>
                <w:sz w:val="10"/>
              </w:rPr>
            </w:pPr>
            <w:r>
              <w:rPr>
                <w:rFonts w:ascii="TimesNewRomanPS-BoldItalicMT"/>
                <w:b/>
                <w:i/>
                <w:w w:val="100"/>
                <w:sz w:val="10"/>
              </w:rPr>
              <w:t>j</w:t>
            </w:r>
          </w:p>
        </w:tc>
        <w:tc>
          <w:tcPr>
            <w:tcW w:w="2086" w:type="dxa"/>
          </w:tcPr>
          <w:p>
            <w:pPr>
              <w:pStyle w:val="TableParagraph"/>
              <w:spacing w:before="53"/>
              <w:ind w:left="532" w:right="525"/>
              <w:jc w:val="center"/>
              <w:rPr>
                <w:rFonts w:ascii="TimesNewRomanPS-BoldItalicMT"/>
                <w:b/>
                <w:i/>
                <w:sz w:val="10"/>
              </w:rPr>
            </w:pPr>
            <w:r>
              <w:rPr>
                <w:b/>
                <w:position w:val="2"/>
                <w:sz w:val="16"/>
              </w:rPr>
              <w:t>SOC </w:t>
            </w:r>
            <w:r>
              <w:rPr>
                <w:rFonts w:ascii="TimesNewRomanPS-BoldItalicMT"/>
                <w:b/>
                <w:i/>
                <w:sz w:val="10"/>
              </w:rPr>
              <w:t>j</w:t>
            </w:r>
          </w:p>
        </w:tc>
        <w:tc>
          <w:tcPr>
            <w:tcW w:w="1875" w:type="dxa"/>
            <w:shd w:val="clear" w:color="auto" w:fill="D5D5D5"/>
          </w:tcPr>
          <w:p>
            <w:pPr>
              <w:pStyle w:val="TableParagraph"/>
              <w:spacing w:line="164" w:lineRule="exact" w:before="25"/>
              <w:ind w:left="595"/>
              <w:rPr>
                <w:b/>
                <w:sz w:val="10"/>
              </w:rPr>
            </w:pPr>
            <w:r>
              <w:rPr>
                <w:b/>
                <w:position w:val="2"/>
                <w:sz w:val="16"/>
              </w:rPr>
              <w:t>∆C</w:t>
            </w:r>
            <w:r>
              <w:rPr>
                <w:b/>
                <w:sz w:val="10"/>
              </w:rPr>
              <w:t>FF</w:t>
            </w:r>
          </w:p>
          <w:p>
            <w:pPr>
              <w:pStyle w:val="TableParagraph"/>
              <w:spacing w:line="87" w:lineRule="exact"/>
              <w:ind w:left="929"/>
              <w:rPr>
                <w:b/>
                <w:sz w:val="10"/>
              </w:rPr>
            </w:pPr>
            <w:r>
              <w:rPr>
                <w:b/>
                <w:sz w:val="10"/>
              </w:rPr>
              <w:t>Mineral</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r>
        <w:trPr>
          <w:trHeight w:val="241"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052" w:type="dxa"/>
          </w:tcPr>
          <w:p>
            <w:pPr>
              <w:pStyle w:val="TableParagraph"/>
              <w:rPr>
                <w:sz w:val="16"/>
              </w:rPr>
            </w:pPr>
          </w:p>
        </w:tc>
        <w:tc>
          <w:tcPr>
            <w:tcW w:w="1728" w:type="dxa"/>
          </w:tcPr>
          <w:p>
            <w:pPr>
              <w:pStyle w:val="TableParagraph"/>
              <w:rPr>
                <w:sz w:val="16"/>
              </w:rPr>
            </w:pPr>
          </w:p>
        </w:tc>
        <w:tc>
          <w:tcPr>
            <w:tcW w:w="1980" w:type="dxa"/>
          </w:tcPr>
          <w:p>
            <w:pPr>
              <w:pStyle w:val="TableParagraph"/>
              <w:rPr>
                <w:sz w:val="16"/>
              </w:rPr>
            </w:pPr>
          </w:p>
        </w:tc>
        <w:tc>
          <w:tcPr>
            <w:tcW w:w="2086" w:type="dxa"/>
          </w:tcPr>
          <w:p>
            <w:pPr>
              <w:pStyle w:val="TableParagraph"/>
              <w:rPr>
                <w:sz w:val="16"/>
              </w:rPr>
            </w:pPr>
          </w:p>
        </w:tc>
        <w:tc>
          <w:tcPr>
            <w:tcW w:w="1875" w:type="dxa"/>
          </w:tcPr>
          <w:p>
            <w:pPr>
              <w:pStyle w:val="TableParagraph"/>
              <w:rPr>
                <w:sz w:val="16"/>
              </w:rPr>
            </w:pPr>
          </w:p>
        </w:tc>
      </w:tr>
    </w:tbl>
    <w:p>
      <w:pPr>
        <w:spacing w:after="0"/>
        <w:rPr>
          <w:sz w:val="16"/>
        </w:rPr>
        <w:sectPr>
          <w:pgSz w:w="16840" w:h="11900" w:orient="landscape"/>
          <w:pgMar w:header="458" w:footer="439"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4118"/>
        <w:gridCol w:w="4164"/>
        <w:gridCol w:w="36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928" w:type="dxa"/>
            <w:gridSpan w:val="4"/>
          </w:tcPr>
          <w:p>
            <w:pPr>
              <w:pStyle w:val="TableParagraph"/>
              <w:spacing w:before="26"/>
              <w:ind w:left="108"/>
              <w:rPr>
                <w:b/>
                <w:sz w:val="20"/>
              </w:rPr>
            </w:pPr>
            <w:r>
              <w:rPr>
                <w:b/>
                <w:sz w:val="20"/>
              </w:rPr>
              <w:t>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928" w:type="dxa"/>
            <w:gridSpan w:val="4"/>
          </w:tcPr>
          <w:p>
            <w:pPr>
              <w:pStyle w:val="TableParagraph"/>
              <w:spacing w:before="26"/>
              <w:ind w:left="107"/>
              <w:rPr>
                <w:b/>
                <w:sz w:val="20"/>
              </w:rPr>
            </w:pPr>
            <w:r>
              <w:rPr>
                <w:b/>
                <w:sz w:val="20"/>
              </w:rPr>
              <w:t>Forest Land Remaining 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928" w:type="dxa"/>
            <w:gridSpan w:val="4"/>
          </w:tcPr>
          <w:p>
            <w:pPr>
              <w:pStyle w:val="TableParagraph"/>
              <w:spacing w:before="26"/>
              <w:ind w:left="108"/>
              <w:rPr>
                <w:b/>
                <w:sz w:val="20"/>
              </w:rPr>
            </w:pPr>
            <w:r>
              <w:rPr>
                <w:b/>
                <w:sz w:val="20"/>
              </w:rPr>
              <w:t>FL-1c2: Annual change in carbon stocks in organic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928" w:type="dxa"/>
            <w:gridSpan w:val="4"/>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4118" w:type="dxa"/>
            <w:vMerge w:val="restart"/>
            <w:shd w:val="clear" w:color="auto" w:fill="E4E4E4"/>
          </w:tcPr>
          <w:p>
            <w:pPr>
              <w:pStyle w:val="TableParagraph"/>
              <w:spacing w:line="480" w:lineRule="auto" w:before="23"/>
              <w:ind w:left="926" w:right="916"/>
              <w:jc w:val="center"/>
              <w:rPr>
                <w:sz w:val="16"/>
              </w:rPr>
            </w:pPr>
            <w:r>
              <w:rPr>
                <w:sz w:val="16"/>
              </w:rPr>
              <w:t>Area of drained organic forest soils (ha)</w:t>
            </w:r>
          </w:p>
          <w:p>
            <w:pPr>
              <w:pStyle w:val="TableParagraph"/>
              <w:rPr>
                <w:sz w:val="18"/>
              </w:rPr>
            </w:pPr>
          </w:p>
          <w:p>
            <w:pPr>
              <w:pStyle w:val="TableParagraph"/>
              <w:spacing w:before="1"/>
              <w:rPr>
                <w:sz w:val="17"/>
              </w:rPr>
            </w:pPr>
          </w:p>
          <w:p>
            <w:pPr>
              <w:pStyle w:val="TableParagraph"/>
              <w:spacing w:line="170" w:lineRule="exact" w:before="1"/>
              <w:ind w:left="12"/>
              <w:jc w:val="center"/>
              <w:rPr>
                <w:sz w:val="16"/>
              </w:rPr>
            </w:pPr>
            <w:r>
              <w:rPr>
                <w:w w:val="100"/>
                <w:sz w:val="16"/>
              </w:rPr>
              <w:t>A</w:t>
            </w:r>
          </w:p>
        </w:tc>
        <w:tc>
          <w:tcPr>
            <w:tcW w:w="4164" w:type="dxa"/>
            <w:vMerge w:val="restart"/>
            <w:shd w:val="clear" w:color="auto" w:fill="E4E4E4"/>
          </w:tcPr>
          <w:p>
            <w:pPr>
              <w:pStyle w:val="TableParagraph"/>
              <w:spacing w:line="470" w:lineRule="auto" w:before="22"/>
              <w:ind w:left="123" w:right="113"/>
              <w:jc w:val="center"/>
              <w:rPr>
                <w:sz w:val="16"/>
              </w:rPr>
            </w:pPr>
            <w:r>
              <w:rPr>
                <w:position w:val="2"/>
                <w:sz w:val="16"/>
              </w:rPr>
              <w:t>Emission factor for CO</w:t>
            </w:r>
            <w:r>
              <w:rPr>
                <w:sz w:val="10"/>
              </w:rPr>
              <w:t>2 </w:t>
            </w:r>
            <w:r>
              <w:rPr>
                <w:position w:val="2"/>
                <w:sz w:val="16"/>
              </w:rPr>
              <w:t>from drained organic forest soils </w:t>
            </w:r>
            <w:r>
              <w:rPr>
                <w:sz w:val="16"/>
              </w:rPr>
              <w:t>(tonnes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spacing w:before="10"/>
              <w:rPr>
                <w:sz w:val="17"/>
              </w:rPr>
            </w:pPr>
          </w:p>
          <w:p>
            <w:pPr>
              <w:pStyle w:val="TableParagraph"/>
              <w:spacing w:line="170" w:lineRule="exact"/>
              <w:ind w:left="10"/>
              <w:jc w:val="center"/>
              <w:rPr>
                <w:sz w:val="16"/>
              </w:rPr>
            </w:pPr>
            <w:r>
              <w:rPr>
                <w:w w:val="100"/>
                <w:sz w:val="16"/>
              </w:rPr>
              <w:t>B</w:t>
            </w:r>
          </w:p>
        </w:tc>
        <w:tc>
          <w:tcPr>
            <w:tcW w:w="3619" w:type="dxa"/>
            <w:vMerge w:val="restart"/>
            <w:shd w:val="clear" w:color="auto" w:fill="E4E4E4"/>
          </w:tcPr>
          <w:p>
            <w:pPr>
              <w:pStyle w:val="TableParagraph"/>
              <w:spacing w:line="470" w:lineRule="auto" w:before="22"/>
              <w:ind w:left="274" w:right="261"/>
              <w:jc w:val="center"/>
              <w:rPr>
                <w:sz w:val="16"/>
              </w:rPr>
            </w:pPr>
            <w:r>
              <w:rPr>
                <w:position w:val="2"/>
                <w:sz w:val="16"/>
              </w:rPr>
              <w:t>CO</w:t>
            </w:r>
            <w:r>
              <w:rPr>
                <w:sz w:val="10"/>
              </w:rPr>
              <w:t>2 </w:t>
            </w:r>
            <w:r>
              <w:rPr>
                <w:position w:val="2"/>
                <w:sz w:val="16"/>
              </w:rPr>
              <w:t>emissions from drained organic forest soils </w:t>
            </w:r>
            <w:r>
              <w:rPr>
                <w:sz w:val="16"/>
              </w:rPr>
              <w:t>(tonnes C yr</w:t>
            </w:r>
            <w:r>
              <w:rPr>
                <w:sz w:val="16"/>
                <w:vertAlign w:val="superscript"/>
              </w:rPr>
              <w:t>-1</w:t>
            </w:r>
            <w:r>
              <w:rPr>
                <w:sz w:val="16"/>
                <w:vertAlign w:val="baseline"/>
              </w:rPr>
              <w:t>)</w:t>
            </w:r>
          </w:p>
          <w:p>
            <w:pPr>
              <w:pStyle w:val="TableParagraph"/>
              <w:spacing w:before="19"/>
              <w:ind w:left="269" w:right="261"/>
              <w:jc w:val="center"/>
              <w:rPr>
                <w:sz w:val="16"/>
              </w:rPr>
            </w:pPr>
            <w:r>
              <w:rPr>
                <w:sz w:val="16"/>
              </w:rPr>
              <w:t>C = A </w:t>
            </w:r>
            <w:r>
              <w:rPr>
                <w:rFonts w:ascii="Symbol" w:hAnsi="Symbol"/>
                <w:sz w:val="16"/>
              </w:rPr>
              <w:t>• </w:t>
            </w:r>
            <w:r>
              <w:rPr>
                <w:sz w:val="16"/>
              </w:rPr>
              <w:t>B</w:t>
            </w:r>
          </w:p>
          <w:p>
            <w:pPr>
              <w:pStyle w:val="TableParagraph"/>
              <w:spacing w:before="1"/>
              <w:rPr>
                <w:sz w:val="17"/>
              </w:rPr>
            </w:pPr>
          </w:p>
          <w:p>
            <w:pPr>
              <w:pStyle w:val="TableParagraph"/>
              <w:spacing w:line="170" w:lineRule="exact"/>
              <w:ind w:left="8"/>
              <w:jc w:val="center"/>
              <w:rPr>
                <w:sz w:val="16"/>
              </w:rPr>
            </w:pPr>
            <w:r>
              <w:rPr>
                <w:w w:val="100"/>
                <w:sz w:val="16"/>
              </w:rPr>
              <w:t>C</w:t>
            </w:r>
          </w:p>
        </w:tc>
      </w:tr>
      <w:tr>
        <w:trPr>
          <w:trHeight w:val="947"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4118" w:type="dxa"/>
            <w:vMerge/>
            <w:tcBorders>
              <w:top w:val="nil"/>
            </w:tcBorders>
            <w:shd w:val="clear" w:color="auto" w:fill="E4E4E4"/>
          </w:tcPr>
          <w:p>
            <w:pPr>
              <w:rPr>
                <w:sz w:val="2"/>
                <w:szCs w:val="2"/>
              </w:rPr>
            </w:pPr>
          </w:p>
        </w:tc>
        <w:tc>
          <w:tcPr>
            <w:tcW w:w="4164" w:type="dxa"/>
            <w:vMerge/>
            <w:tcBorders>
              <w:top w:val="nil"/>
            </w:tcBorders>
            <w:shd w:val="clear" w:color="auto" w:fill="E4E4E4"/>
          </w:tcPr>
          <w:p>
            <w:pPr>
              <w:rPr>
                <w:sz w:val="2"/>
                <w:szCs w:val="2"/>
              </w:rPr>
            </w:pPr>
          </w:p>
        </w:tc>
        <w:tc>
          <w:tcPr>
            <w:tcW w:w="3619"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FL</w:t>
            </w:r>
          </w:p>
        </w:tc>
        <w:tc>
          <w:tcPr>
            <w:tcW w:w="1027" w:type="dxa"/>
          </w:tcPr>
          <w:p>
            <w:pPr>
              <w:pStyle w:val="TableParagraph"/>
              <w:spacing w:before="23"/>
              <w:ind w:left="107"/>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4118" w:type="dxa"/>
          </w:tcPr>
          <w:p>
            <w:pPr>
              <w:pStyle w:val="TableParagraph"/>
              <w:spacing w:before="53"/>
              <w:ind w:left="925" w:right="916"/>
              <w:jc w:val="center"/>
              <w:rPr>
                <w:b/>
                <w:sz w:val="10"/>
              </w:rPr>
            </w:pPr>
            <w:r>
              <w:rPr>
                <w:b/>
                <w:position w:val="2"/>
                <w:sz w:val="16"/>
              </w:rPr>
              <w:t>A</w:t>
            </w:r>
            <w:r>
              <w:rPr>
                <w:b/>
                <w:sz w:val="10"/>
              </w:rPr>
              <w:t>Drained</w:t>
            </w:r>
          </w:p>
        </w:tc>
        <w:tc>
          <w:tcPr>
            <w:tcW w:w="4164" w:type="dxa"/>
          </w:tcPr>
          <w:p>
            <w:pPr>
              <w:pStyle w:val="TableParagraph"/>
              <w:spacing w:before="53"/>
              <w:ind w:left="123" w:right="113"/>
              <w:jc w:val="center"/>
              <w:rPr>
                <w:b/>
                <w:sz w:val="10"/>
              </w:rPr>
            </w:pPr>
            <w:r>
              <w:rPr>
                <w:b/>
                <w:position w:val="2"/>
                <w:sz w:val="16"/>
              </w:rPr>
              <w:t>EF</w:t>
            </w:r>
            <w:r>
              <w:rPr>
                <w:b/>
                <w:sz w:val="10"/>
              </w:rPr>
              <w:t>Drainage</w:t>
            </w:r>
          </w:p>
        </w:tc>
        <w:tc>
          <w:tcPr>
            <w:tcW w:w="3619" w:type="dxa"/>
            <w:shd w:val="clear" w:color="auto" w:fill="D5D5D5"/>
          </w:tcPr>
          <w:p>
            <w:pPr>
              <w:pStyle w:val="TableParagraph"/>
              <w:spacing w:line="164" w:lineRule="exact" w:before="25"/>
              <w:ind w:left="274" w:right="617"/>
              <w:jc w:val="center"/>
              <w:rPr>
                <w:b/>
                <w:sz w:val="10"/>
              </w:rPr>
            </w:pPr>
            <w:r>
              <w:rPr>
                <w:b/>
                <w:position w:val="2"/>
                <w:sz w:val="16"/>
              </w:rPr>
              <w:t>∆C</w:t>
            </w:r>
            <w:r>
              <w:rPr>
                <w:b/>
                <w:sz w:val="10"/>
              </w:rPr>
              <w:t>FF</w:t>
            </w:r>
          </w:p>
          <w:p>
            <w:pPr>
              <w:pStyle w:val="TableParagraph"/>
              <w:spacing w:line="87" w:lineRule="exact"/>
              <w:ind w:left="604" w:right="261"/>
              <w:jc w:val="center"/>
              <w:rPr>
                <w:b/>
                <w:sz w:val="10"/>
              </w:rPr>
            </w:pPr>
            <w:r>
              <w:rPr>
                <w:b/>
                <w:sz w:val="10"/>
              </w:rPr>
              <w:t>Organic</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bl>
    <w:p>
      <w:pPr>
        <w:spacing w:after="0"/>
        <w:rPr>
          <w:sz w:val="16"/>
        </w:rPr>
        <w:sectPr>
          <w:pgSz w:w="16840" w:h="11900" w:orient="landscape"/>
          <w:pgMar w:header="1150" w:footer="1128"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4"/>
        <w:gridCol w:w="2244"/>
        <w:gridCol w:w="4164"/>
        <w:gridCol w:w="3773"/>
      </w:tblGrid>
      <w:tr>
        <w:trPr>
          <w:trHeight w:val="285" w:hRule="atLeast"/>
        </w:trPr>
        <w:tc>
          <w:tcPr>
            <w:tcW w:w="1874" w:type="dxa"/>
            <w:shd w:val="clear" w:color="auto" w:fill="BFBFBF"/>
          </w:tcPr>
          <w:p>
            <w:pPr>
              <w:pStyle w:val="TableParagraph"/>
              <w:spacing w:before="26"/>
              <w:ind w:left="107"/>
              <w:rPr>
                <w:b/>
                <w:sz w:val="20"/>
              </w:rPr>
            </w:pPr>
            <w:r>
              <w:rPr>
                <w:b/>
                <w:sz w:val="20"/>
              </w:rPr>
              <w:t>Module</w:t>
            </w:r>
          </w:p>
        </w:tc>
        <w:tc>
          <w:tcPr>
            <w:tcW w:w="10181" w:type="dxa"/>
            <w:gridSpan w:val="3"/>
          </w:tcPr>
          <w:p>
            <w:pPr>
              <w:pStyle w:val="TableParagraph"/>
              <w:spacing w:before="26"/>
              <w:ind w:left="108"/>
              <w:rPr>
                <w:b/>
                <w:sz w:val="20"/>
              </w:rPr>
            </w:pPr>
            <w:r>
              <w:rPr>
                <w:b/>
                <w:sz w:val="20"/>
              </w:rPr>
              <w:t>Forest Land</w:t>
            </w:r>
          </w:p>
        </w:tc>
      </w:tr>
      <w:tr>
        <w:trPr>
          <w:trHeight w:val="285" w:hRule="atLeast"/>
        </w:trPr>
        <w:tc>
          <w:tcPr>
            <w:tcW w:w="1874" w:type="dxa"/>
            <w:shd w:val="clear" w:color="auto" w:fill="BFBFBF"/>
          </w:tcPr>
          <w:p>
            <w:pPr>
              <w:pStyle w:val="TableParagraph"/>
              <w:spacing w:before="26"/>
              <w:ind w:left="107"/>
              <w:rPr>
                <w:b/>
                <w:sz w:val="20"/>
              </w:rPr>
            </w:pPr>
            <w:r>
              <w:rPr>
                <w:b/>
                <w:sz w:val="20"/>
              </w:rPr>
              <w:t>Sub-module</w:t>
            </w:r>
          </w:p>
        </w:tc>
        <w:tc>
          <w:tcPr>
            <w:tcW w:w="10181" w:type="dxa"/>
            <w:gridSpan w:val="3"/>
          </w:tcPr>
          <w:p>
            <w:pPr>
              <w:pStyle w:val="TableParagraph"/>
              <w:spacing w:before="26"/>
              <w:ind w:left="107"/>
              <w:rPr>
                <w:b/>
                <w:sz w:val="20"/>
              </w:rPr>
            </w:pPr>
            <w:r>
              <w:rPr>
                <w:b/>
                <w:sz w:val="20"/>
              </w:rPr>
              <w:t>Forest Land Remaining Forest Land</w:t>
            </w:r>
          </w:p>
        </w:tc>
      </w:tr>
      <w:tr>
        <w:trPr>
          <w:trHeight w:val="287" w:hRule="atLeast"/>
        </w:trPr>
        <w:tc>
          <w:tcPr>
            <w:tcW w:w="1874" w:type="dxa"/>
            <w:shd w:val="clear" w:color="auto" w:fill="BFBFBF"/>
          </w:tcPr>
          <w:p>
            <w:pPr>
              <w:pStyle w:val="TableParagraph"/>
              <w:spacing w:before="26"/>
              <w:ind w:left="107"/>
              <w:rPr>
                <w:b/>
                <w:sz w:val="20"/>
              </w:rPr>
            </w:pPr>
            <w:r>
              <w:rPr>
                <w:b/>
                <w:sz w:val="20"/>
              </w:rPr>
              <w:t>Worksheet</w:t>
            </w:r>
          </w:p>
        </w:tc>
        <w:tc>
          <w:tcPr>
            <w:tcW w:w="10181" w:type="dxa"/>
            <w:gridSpan w:val="3"/>
          </w:tcPr>
          <w:p>
            <w:pPr>
              <w:pStyle w:val="TableParagraph"/>
              <w:spacing w:before="26"/>
              <w:ind w:left="108"/>
              <w:rPr>
                <w:b/>
                <w:sz w:val="20"/>
              </w:rPr>
            </w:pPr>
            <w:r>
              <w:rPr>
                <w:b/>
                <w:sz w:val="20"/>
              </w:rPr>
              <w:t>FL-1c3: Annual change in carbon stocks in soils (summary worksheet)</w:t>
            </w:r>
          </w:p>
        </w:tc>
      </w:tr>
      <w:tr>
        <w:trPr>
          <w:trHeight w:val="285" w:hRule="atLeast"/>
        </w:trPr>
        <w:tc>
          <w:tcPr>
            <w:tcW w:w="1874" w:type="dxa"/>
            <w:shd w:val="clear" w:color="auto" w:fill="BFBFBF"/>
          </w:tcPr>
          <w:p>
            <w:pPr>
              <w:pStyle w:val="TableParagraph"/>
              <w:spacing w:before="26"/>
              <w:ind w:left="107"/>
              <w:rPr>
                <w:b/>
                <w:sz w:val="20"/>
              </w:rPr>
            </w:pPr>
            <w:r>
              <w:rPr>
                <w:b/>
                <w:sz w:val="20"/>
              </w:rPr>
              <w:t>Sheet</w:t>
            </w:r>
          </w:p>
        </w:tc>
        <w:tc>
          <w:tcPr>
            <w:tcW w:w="10181" w:type="dxa"/>
            <w:gridSpan w:val="3"/>
          </w:tcPr>
          <w:p>
            <w:pPr>
              <w:pStyle w:val="TableParagraph"/>
              <w:spacing w:before="26"/>
              <w:ind w:left="108"/>
              <w:rPr>
                <w:b/>
                <w:sz w:val="20"/>
              </w:rPr>
            </w:pPr>
            <w:r>
              <w:rPr>
                <w:b/>
                <w:sz w:val="20"/>
              </w:rPr>
              <w:t>1 of 1</w:t>
            </w:r>
          </w:p>
        </w:tc>
      </w:tr>
      <w:tr>
        <w:trPr>
          <w:trHeight w:val="669" w:hRule="atLeast"/>
        </w:trPr>
        <w:tc>
          <w:tcPr>
            <w:tcW w:w="4118" w:type="dxa"/>
            <w:gridSpan w:val="2"/>
            <w:tcBorders>
              <w:bottom w:val="nil"/>
            </w:tcBorders>
            <w:shd w:val="clear" w:color="auto" w:fill="E4E4E4"/>
          </w:tcPr>
          <w:p>
            <w:pPr>
              <w:pStyle w:val="TableParagraph"/>
              <w:spacing w:before="23"/>
              <w:ind w:left="109" w:right="100"/>
              <w:jc w:val="center"/>
              <w:rPr>
                <w:sz w:val="16"/>
              </w:rPr>
            </w:pPr>
            <w:r>
              <w:rPr>
                <w:sz w:val="16"/>
              </w:rPr>
              <w:t>Annual change in carbon stock change in mineral soils</w:t>
            </w:r>
          </w:p>
          <w:p>
            <w:pPr>
              <w:pStyle w:val="TableParagraph"/>
              <w:spacing w:before="10"/>
              <w:rPr>
                <w:sz w:val="15"/>
              </w:rPr>
            </w:pPr>
          </w:p>
          <w:p>
            <w:pPr>
              <w:pStyle w:val="TableParagraph"/>
              <w:spacing w:before="1"/>
              <w:ind w:left="926" w:right="916"/>
              <w:jc w:val="center"/>
              <w:rPr>
                <w:sz w:val="16"/>
              </w:rPr>
            </w:pPr>
            <w:r>
              <w:rPr>
                <w:sz w:val="16"/>
              </w:rPr>
              <w:t>(tonnes C yr</w:t>
            </w:r>
            <w:r>
              <w:rPr>
                <w:sz w:val="16"/>
                <w:vertAlign w:val="superscript"/>
              </w:rPr>
              <w:t>-1</w:t>
            </w:r>
            <w:r>
              <w:rPr>
                <w:sz w:val="16"/>
                <w:vertAlign w:val="baseline"/>
              </w:rPr>
              <w:t>)</w:t>
            </w:r>
          </w:p>
        </w:tc>
        <w:tc>
          <w:tcPr>
            <w:tcW w:w="4164" w:type="dxa"/>
            <w:tcBorders>
              <w:bottom w:val="nil"/>
            </w:tcBorders>
            <w:shd w:val="clear" w:color="auto" w:fill="E4E4E4"/>
          </w:tcPr>
          <w:p>
            <w:pPr>
              <w:pStyle w:val="TableParagraph"/>
              <w:spacing w:before="22"/>
              <w:ind w:left="123" w:right="113"/>
              <w:jc w:val="center"/>
              <w:rPr>
                <w:sz w:val="16"/>
              </w:rPr>
            </w:pPr>
            <w:r>
              <w:rPr>
                <w:position w:val="2"/>
                <w:sz w:val="16"/>
              </w:rPr>
              <w:t>CO</w:t>
            </w:r>
            <w:r>
              <w:rPr>
                <w:sz w:val="10"/>
              </w:rPr>
              <w:t>2 </w:t>
            </w:r>
            <w:r>
              <w:rPr>
                <w:position w:val="2"/>
                <w:sz w:val="16"/>
              </w:rPr>
              <w:t>emissions from drained organic soils</w:t>
            </w:r>
          </w:p>
          <w:p>
            <w:pPr>
              <w:pStyle w:val="TableParagraph"/>
              <w:spacing w:before="4"/>
              <w:rPr>
                <w:sz w:val="15"/>
              </w:rPr>
            </w:pPr>
          </w:p>
          <w:p>
            <w:pPr>
              <w:pStyle w:val="TableParagraph"/>
              <w:spacing w:before="1"/>
              <w:ind w:left="122" w:right="114"/>
              <w:jc w:val="center"/>
              <w:rPr>
                <w:sz w:val="16"/>
              </w:rPr>
            </w:pPr>
            <w:r>
              <w:rPr>
                <w:sz w:val="16"/>
              </w:rPr>
              <w:t>(tonnes C yr</w:t>
            </w:r>
            <w:r>
              <w:rPr>
                <w:sz w:val="16"/>
                <w:vertAlign w:val="superscript"/>
              </w:rPr>
              <w:t>-1</w:t>
            </w:r>
            <w:r>
              <w:rPr>
                <w:sz w:val="16"/>
                <w:vertAlign w:val="baseline"/>
              </w:rPr>
              <w:t>)</w:t>
            </w:r>
          </w:p>
        </w:tc>
        <w:tc>
          <w:tcPr>
            <w:tcW w:w="3773" w:type="dxa"/>
            <w:tcBorders>
              <w:bottom w:val="nil"/>
            </w:tcBorders>
            <w:shd w:val="clear" w:color="auto" w:fill="E4E4E4"/>
          </w:tcPr>
          <w:p>
            <w:pPr>
              <w:pStyle w:val="TableParagraph"/>
              <w:spacing w:before="23"/>
              <w:ind w:left="594" w:right="587"/>
              <w:jc w:val="center"/>
              <w:rPr>
                <w:sz w:val="16"/>
              </w:rPr>
            </w:pPr>
            <w:r>
              <w:rPr>
                <w:sz w:val="16"/>
              </w:rPr>
              <w:t>Annual change in carbon stock in soils</w:t>
            </w:r>
          </w:p>
          <w:p>
            <w:pPr>
              <w:pStyle w:val="TableParagraph"/>
              <w:spacing w:before="10"/>
              <w:rPr>
                <w:sz w:val="15"/>
              </w:rPr>
            </w:pPr>
          </w:p>
          <w:p>
            <w:pPr>
              <w:pStyle w:val="TableParagraph"/>
              <w:spacing w:before="1"/>
              <w:ind w:left="594" w:right="584"/>
              <w:jc w:val="center"/>
              <w:rPr>
                <w:sz w:val="16"/>
              </w:rPr>
            </w:pPr>
            <w:r>
              <w:rPr>
                <w:sz w:val="16"/>
              </w:rPr>
              <w:t>(tonnes C yr</w:t>
            </w:r>
            <w:r>
              <w:rPr>
                <w:sz w:val="16"/>
                <w:vertAlign w:val="superscript"/>
              </w:rPr>
              <w:t>-1</w:t>
            </w:r>
            <w:r>
              <w:rPr>
                <w:sz w:val="16"/>
                <w:vertAlign w:val="baseline"/>
              </w:rPr>
              <w:t>)</w:t>
            </w:r>
          </w:p>
        </w:tc>
      </w:tr>
      <w:tr>
        <w:trPr>
          <w:trHeight w:val="367" w:hRule="atLeast"/>
        </w:trPr>
        <w:tc>
          <w:tcPr>
            <w:tcW w:w="4118" w:type="dxa"/>
            <w:gridSpan w:val="2"/>
            <w:tcBorders>
              <w:top w:val="nil"/>
              <w:bottom w:val="nil"/>
            </w:tcBorders>
            <w:shd w:val="clear" w:color="auto" w:fill="E4E4E4"/>
          </w:tcPr>
          <w:p>
            <w:pPr>
              <w:pStyle w:val="TableParagraph"/>
              <w:rPr>
                <w:sz w:val="16"/>
              </w:rPr>
            </w:pPr>
          </w:p>
        </w:tc>
        <w:tc>
          <w:tcPr>
            <w:tcW w:w="4164" w:type="dxa"/>
            <w:tcBorders>
              <w:top w:val="nil"/>
              <w:bottom w:val="nil"/>
            </w:tcBorders>
            <w:shd w:val="clear" w:color="auto" w:fill="E4E4E4"/>
          </w:tcPr>
          <w:p>
            <w:pPr>
              <w:pStyle w:val="TableParagraph"/>
              <w:rPr>
                <w:sz w:val="16"/>
              </w:rPr>
            </w:pPr>
          </w:p>
        </w:tc>
        <w:tc>
          <w:tcPr>
            <w:tcW w:w="3773" w:type="dxa"/>
            <w:tcBorders>
              <w:top w:val="nil"/>
              <w:bottom w:val="nil"/>
            </w:tcBorders>
            <w:shd w:val="clear" w:color="auto" w:fill="E4E4E4"/>
          </w:tcPr>
          <w:p>
            <w:pPr>
              <w:pStyle w:val="TableParagraph"/>
              <w:spacing w:before="88"/>
              <w:ind w:left="594" w:right="585"/>
              <w:jc w:val="center"/>
              <w:rPr>
                <w:sz w:val="16"/>
              </w:rPr>
            </w:pPr>
            <w:r>
              <w:rPr>
                <w:sz w:val="16"/>
              </w:rPr>
              <w:t>C = A+B</w:t>
            </w:r>
          </w:p>
        </w:tc>
      </w:tr>
      <w:tr>
        <w:trPr>
          <w:trHeight w:val="278" w:hRule="atLeast"/>
        </w:trPr>
        <w:tc>
          <w:tcPr>
            <w:tcW w:w="4118" w:type="dxa"/>
            <w:gridSpan w:val="2"/>
            <w:tcBorders>
              <w:top w:val="nil"/>
            </w:tcBorders>
            <w:shd w:val="clear" w:color="auto" w:fill="E4E4E4"/>
          </w:tcPr>
          <w:p>
            <w:pPr>
              <w:pStyle w:val="TableParagraph"/>
              <w:spacing w:line="170" w:lineRule="exact" w:before="88"/>
              <w:ind w:left="10"/>
              <w:jc w:val="center"/>
              <w:rPr>
                <w:sz w:val="16"/>
              </w:rPr>
            </w:pPr>
            <w:r>
              <w:rPr>
                <w:w w:val="100"/>
                <w:sz w:val="16"/>
              </w:rPr>
              <w:t>A</w:t>
            </w:r>
          </w:p>
        </w:tc>
        <w:tc>
          <w:tcPr>
            <w:tcW w:w="4164" w:type="dxa"/>
            <w:tcBorders>
              <w:top w:val="nil"/>
            </w:tcBorders>
            <w:shd w:val="clear" w:color="auto" w:fill="E4E4E4"/>
          </w:tcPr>
          <w:p>
            <w:pPr>
              <w:pStyle w:val="TableParagraph"/>
              <w:spacing w:line="170" w:lineRule="exact" w:before="88"/>
              <w:ind w:left="9"/>
              <w:jc w:val="center"/>
              <w:rPr>
                <w:sz w:val="16"/>
              </w:rPr>
            </w:pPr>
            <w:r>
              <w:rPr>
                <w:w w:val="100"/>
                <w:sz w:val="16"/>
              </w:rPr>
              <w:t>B</w:t>
            </w:r>
          </w:p>
        </w:tc>
        <w:tc>
          <w:tcPr>
            <w:tcW w:w="3773" w:type="dxa"/>
            <w:tcBorders>
              <w:top w:val="nil"/>
            </w:tcBorders>
            <w:shd w:val="clear" w:color="auto" w:fill="E4E4E4"/>
          </w:tcPr>
          <w:p>
            <w:pPr>
              <w:pStyle w:val="TableParagraph"/>
              <w:spacing w:line="170" w:lineRule="exact" w:before="88"/>
              <w:ind w:left="7"/>
              <w:jc w:val="center"/>
              <w:rPr>
                <w:sz w:val="16"/>
              </w:rPr>
            </w:pPr>
            <w:r>
              <w:rPr>
                <w:w w:val="100"/>
                <w:sz w:val="16"/>
              </w:rPr>
              <w:t>C</w:t>
            </w:r>
          </w:p>
        </w:tc>
      </w:tr>
      <w:tr>
        <w:trPr>
          <w:trHeight w:val="239" w:hRule="atLeast"/>
        </w:trPr>
        <w:tc>
          <w:tcPr>
            <w:tcW w:w="4118" w:type="dxa"/>
            <w:gridSpan w:val="2"/>
          </w:tcPr>
          <w:p>
            <w:pPr>
              <w:pStyle w:val="TableParagraph"/>
              <w:rPr>
                <w:sz w:val="16"/>
              </w:rPr>
            </w:pPr>
          </w:p>
        </w:tc>
        <w:tc>
          <w:tcPr>
            <w:tcW w:w="4164" w:type="dxa"/>
          </w:tcPr>
          <w:p>
            <w:pPr>
              <w:pStyle w:val="TableParagraph"/>
              <w:rPr>
                <w:sz w:val="16"/>
              </w:rPr>
            </w:pPr>
          </w:p>
        </w:tc>
        <w:tc>
          <w:tcPr>
            <w:tcW w:w="3773" w:type="dxa"/>
          </w:tcPr>
          <w:p>
            <w:pPr>
              <w:pStyle w:val="TableParagraph"/>
              <w:rPr>
                <w:sz w:val="16"/>
              </w:rPr>
            </w:pPr>
          </w:p>
        </w:tc>
      </w:tr>
      <w:tr>
        <w:trPr>
          <w:trHeight w:val="299" w:hRule="atLeast"/>
        </w:trPr>
        <w:tc>
          <w:tcPr>
            <w:tcW w:w="4118" w:type="dxa"/>
            <w:gridSpan w:val="2"/>
            <w:shd w:val="clear" w:color="auto" w:fill="D5D5D5"/>
          </w:tcPr>
          <w:p>
            <w:pPr>
              <w:pStyle w:val="TableParagraph"/>
              <w:spacing w:line="164" w:lineRule="exact" w:before="25"/>
              <w:ind w:left="581" w:right="916"/>
              <w:jc w:val="center"/>
              <w:rPr>
                <w:b/>
                <w:sz w:val="10"/>
              </w:rPr>
            </w:pPr>
            <w:r>
              <w:rPr>
                <w:b/>
                <w:position w:val="2"/>
                <w:sz w:val="16"/>
              </w:rPr>
              <w:t>∆C</w:t>
            </w:r>
            <w:r>
              <w:rPr>
                <w:b/>
                <w:sz w:val="10"/>
              </w:rPr>
              <w:t>FF</w:t>
            </w:r>
          </w:p>
          <w:p>
            <w:pPr>
              <w:pStyle w:val="TableParagraph"/>
              <w:spacing w:line="87" w:lineRule="exact"/>
              <w:ind w:left="926" w:right="584"/>
              <w:jc w:val="center"/>
              <w:rPr>
                <w:b/>
                <w:sz w:val="10"/>
              </w:rPr>
            </w:pPr>
            <w:r>
              <w:rPr>
                <w:b/>
                <w:sz w:val="10"/>
              </w:rPr>
              <w:t>Mineral</w:t>
            </w:r>
          </w:p>
        </w:tc>
        <w:tc>
          <w:tcPr>
            <w:tcW w:w="4164" w:type="dxa"/>
            <w:shd w:val="clear" w:color="auto" w:fill="D5D5D5"/>
          </w:tcPr>
          <w:p>
            <w:pPr>
              <w:pStyle w:val="TableParagraph"/>
              <w:spacing w:line="164" w:lineRule="exact" w:before="25"/>
              <w:ind w:left="123" w:right="465"/>
              <w:jc w:val="center"/>
              <w:rPr>
                <w:b/>
                <w:sz w:val="10"/>
              </w:rPr>
            </w:pPr>
            <w:r>
              <w:rPr>
                <w:b/>
                <w:position w:val="2"/>
                <w:sz w:val="16"/>
              </w:rPr>
              <w:t>∆C</w:t>
            </w:r>
            <w:r>
              <w:rPr>
                <w:b/>
                <w:sz w:val="10"/>
              </w:rPr>
              <w:t>FF</w:t>
            </w:r>
          </w:p>
          <w:p>
            <w:pPr>
              <w:pStyle w:val="TableParagraph"/>
              <w:spacing w:line="87" w:lineRule="exact"/>
              <w:ind w:left="458" w:right="114"/>
              <w:jc w:val="center"/>
              <w:rPr>
                <w:b/>
                <w:sz w:val="10"/>
              </w:rPr>
            </w:pPr>
            <w:r>
              <w:rPr>
                <w:b/>
                <w:sz w:val="10"/>
              </w:rPr>
              <w:t>Organic</w:t>
            </w:r>
          </w:p>
        </w:tc>
        <w:tc>
          <w:tcPr>
            <w:tcW w:w="3773" w:type="dxa"/>
            <w:shd w:val="clear" w:color="auto" w:fill="D5D5D5"/>
          </w:tcPr>
          <w:p>
            <w:pPr>
              <w:pStyle w:val="TableParagraph"/>
              <w:spacing w:line="164" w:lineRule="exact" w:before="25"/>
              <w:ind w:left="396" w:right="587"/>
              <w:jc w:val="center"/>
              <w:rPr>
                <w:b/>
                <w:sz w:val="10"/>
              </w:rPr>
            </w:pPr>
            <w:r>
              <w:rPr>
                <w:b/>
                <w:position w:val="2"/>
                <w:sz w:val="16"/>
              </w:rPr>
              <w:t>∆C</w:t>
            </w:r>
            <w:r>
              <w:rPr>
                <w:b/>
                <w:sz w:val="10"/>
              </w:rPr>
              <w:t>FF</w:t>
            </w:r>
          </w:p>
          <w:p>
            <w:pPr>
              <w:pStyle w:val="TableParagraph"/>
              <w:spacing w:line="87" w:lineRule="exact"/>
              <w:ind w:left="594" w:right="251"/>
              <w:jc w:val="center"/>
              <w:rPr>
                <w:b/>
                <w:sz w:val="10"/>
              </w:rPr>
            </w:pPr>
            <w:r>
              <w:rPr>
                <w:b/>
                <w:sz w:val="10"/>
              </w:rPr>
              <w:t>Soils</w:t>
            </w:r>
          </w:p>
        </w:tc>
      </w:tr>
      <w:tr>
        <w:trPr>
          <w:trHeight w:val="239" w:hRule="atLeast"/>
        </w:trPr>
        <w:tc>
          <w:tcPr>
            <w:tcW w:w="4118" w:type="dxa"/>
            <w:gridSpan w:val="2"/>
          </w:tcPr>
          <w:p>
            <w:pPr>
              <w:pStyle w:val="TableParagraph"/>
              <w:rPr>
                <w:sz w:val="16"/>
              </w:rPr>
            </w:pPr>
          </w:p>
        </w:tc>
        <w:tc>
          <w:tcPr>
            <w:tcW w:w="4164" w:type="dxa"/>
          </w:tcPr>
          <w:p>
            <w:pPr>
              <w:pStyle w:val="TableParagraph"/>
              <w:rPr>
                <w:sz w:val="16"/>
              </w:rPr>
            </w:pPr>
          </w:p>
        </w:tc>
        <w:tc>
          <w:tcPr>
            <w:tcW w:w="3773" w:type="dxa"/>
          </w:tcPr>
          <w:p>
            <w:pPr>
              <w:pStyle w:val="TableParagraph"/>
              <w:rPr>
                <w:sz w:val="16"/>
              </w:rPr>
            </w:pPr>
          </w:p>
        </w:tc>
      </w:tr>
    </w:tbl>
    <w:p>
      <w:pPr>
        <w:spacing w:after="0"/>
        <w:rPr>
          <w:sz w:val="16"/>
        </w:rPr>
        <w:sectPr>
          <w:pgSz w:w="16840" w:h="11900" w:orient="landscape"/>
          <w:pgMar w:header="458" w:footer="439"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1224"/>
        <w:gridCol w:w="1630"/>
        <w:gridCol w:w="1448"/>
        <w:gridCol w:w="1448"/>
        <w:gridCol w:w="109"/>
        <w:gridCol w:w="1386"/>
        <w:gridCol w:w="1494"/>
        <w:gridCol w:w="109"/>
        <w:gridCol w:w="1386"/>
        <w:gridCol w:w="109"/>
        <w:gridCol w:w="138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59" w:type="dxa"/>
            <w:gridSpan w:val="12"/>
          </w:tcPr>
          <w:p>
            <w:pPr>
              <w:pStyle w:val="TableParagraph"/>
              <w:spacing w:before="26"/>
              <w:ind w:left="108"/>
              <w:rPr>
                <w:b/>
                <w:sz w:val="20"/>
              </w:rPr>
            </w:pPr>
            <w:r>
              <w:rPr>
                <w:b/>
                <w:sz w:val="20"/>
              </w:rPr>
              <w:t>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59" w:type="dxa"/>
            <w:gridSpan w:val="12"/>
          </w:tcPr>
          <w:p>
            <w:pPr>
              <w:pStyle w:val="TableParagraph"/>
              <w:spacing w:before="26"/>
              <w:ind w:left="107"/>
              <w:rPr>
                <w:b/>
                <w:sz w:val="20"/>
              </w:rPr>
            </w:pPr>
            <w:r>
              <w:rPr>
                <w:b/>
                <w:sz w:val="20"/>
              </w:rPr>
              <w:t>Forest Land Remaining 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59" w:type="dxa"/>
            <w:gridSpan w:val="12"/>
          </w:tcPr>
          <w:p>
            <w:pPr>
              <w:pStyle w:val="TableParagraph"/>
              <w:spacing w:before="26"/>
              <w:ind w:left="108"/>
              <w:rPr>
                <w:b/>
                <w:sz w:val="20"/>
              </w:rPr>
            </w:pPr>
            <w:r>
              <w:rPr>
                <w:b/>
                <w:sz w:val="20"/>
              </w:rPr>
              <w:t>FL-1d: Non-CO</w:t>
            </w:r>
            <w:r>
              <w:rPr>
                <w:b/>
                <w:sz w:val="20"/>
                <w:vertAlign w:val="subscript"/>
              </w:rPr>
              <w:t>2</w:t>
            </w:r>
            <w:r>
              <w:rPr>
                <w:b/>
                <w:sz w:val="20"/>
                <w:vertAlign w:val="baseline"/>
              </w:rPr>
              <w:t> emissions from vegetation fires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59" w:type="dxa"/>
            <w:gridSpan w:val="12"/>
          </w:tcPr>
          <w:p>
            <w:pPr>
              <w:pStyle w:val="TableParagraph"/>
              <w:spacing w:before="26"/>
              <w:ind w:left="109"/>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1224" w:type="dxa"/>
            <w:vMerge w:val="restart"/>
            <w:shd w:val="clear" w:color="auto" w:fill="E4E4E4"/>
          </w:tcPr>
          <w:p>
            <w:pPr>
              <w:pStyle w:val="TableParagraph"/>
              <w:spacing w:line="480" w:lineRule="auto" w:before="23"/>
              <w:ind w:left="266" w:right="254"/>
              <w:jc w:val="center"/>
              <w:rPr>
                <w:sz w:val="16"/>
              </w:rPr>
            </w:pPr>
            <w:r>
              <w:rPr>
                <w:sz w:val="16"/>
              </w:rPr>
              <w:t>Area burnt (ha)</w:t>
            </w:r>
          </w:p>
          <w:p>
            <w:pPr>
              <w:pStyle w:val="TableParagraph"/>
              <w:rPr>
                <w:sz w:val="18"/>
              </w:rPr>
            </w:pPr>
          </w:p>
          <w:p>
            <w:pPr>
              <w:pStyle w:val="TableParagraph"/>
              <w:rPr>
                <w:sz w:val="18"/>
              </w:rPr>
            </w:pPr>
          </w:p>
          <w:p>
            <w:pPr>
              <w:pStyle w:val="TableParagraph"/>
              <w:rPr>
                <w:sz w:val="18"/>
              </w:rPr>
            </w:pPr>
          </w:p>
          <w:p>
            <w:pPr>
              <w:pStyle w:val="TableParagraph"/>
              <w:spacing w:line="168" w:lineRule="exact" w:before="138"/>
              <w:ind w:left="11"/>
              <w:jc w:val="center"/>
              <w:rPr>
                <w:sz w:val="16"/>
              </w:rPr>
            </w:pPr>
            <w:r>
              <w:rPr>
                <w:w w:val="100"/>
                <w:sz w:val="16"/>
              </w:rPr>
              <w:t>A</w:t>
            </w:r>
          </w:p>
        </w:tc>
        <w:tc>
          <w:tcPr>
            <w:tcW w:w="1630" w:type="dxa"/>
            <w:vMerge w:val="restart"/>
            <w:shd w:val="clear" w:color="auto" w:fill="E4E4E4"/>
          </w:tcPr>
          <w:p>
            <w:pPr>
              <w:pStyle w:val="TableParagraph"/>
              <w:spacing w:before="23"/>
              <w:ind w:left="249" w:right="238"/>
              <w:jc w:val="center"/>
              <w:rPr>
                <w:sz w:val="16"/>
              </w:rPr>
            </w:pPr>
            <w:r>
              <w:rPr>
                <w:sz w:val="16"/>
              </w:rPr>
              <w:t>Mass of available fuel</w:t>
            </w:r>
          </w:p>
          <w:p>
            <w:pPr>
              <w:pStyle w:val="TableParagraph"/>
              <w:spacing w:line="183" w:lineRule="exact"/>
              <w:ind w:left="249" w:right="238"/>
              <w:jc w:val="center"/>
              <w:rPr>
                <w:sz w:val="16"/>
              </w:rPr>
            </w:pPr>
            <w:r>
              <w:rPr>
                <w:sz w:val="16"/>
              </w:rPr>
              <w:t>(kg d.m.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line="168" w:lineRule="exact" w:before="116"/>
              <w:ind w:left="9"/>
              <w:jc w:val="center"/>
              <w:rPr>
                <w:sz w:val="16"/>
              </w:rPr>
            </w:pPr>
            <w:r>
              <w:rPr>
                <w:w w:val="100"/>
                <w:sz w:val="16"/>
              </w:rPr>
              <w:t>B</w:t>
            </w:r>
          </w:p>
        </w:tc>
        <w:tc>
          <w:tcPr>
            <w:tcW w:w="1448" w:type="dxa"/>
            <w:vMerge w:val="restart"/>
            <w:shd w:val="clear" w:color="auto" w:fill="E4E4E4"/>
          </w:tcPr>
          <w:p>
            <w:pPr>
              <w:pStyle w:val="TableParagraph"/>
              <w:spacing w:before="23"/>
              <w:ind w:left="189" w:right="181" w:firstLine="1"/>
              <w:jc w:val="center"/>
              <w:rPr>
                <w:sz w:val="16"/>
              </w:rPr>
            </w:pPr>
            <w:r>
              <w:rPr>
                <w:sz w:val="16"/>
              </w:rPr>
              <w:t>Combustion efficiency or fraction of biomass combusted (dimension-less)</w:t>
            </w:r>
          </w:p>
          <w:p>
            <w:pPr>
              <w:pStyle w:val="TableParagraph"/>
              <w:rPr>
                <w:sz w:val="18"/>
              </w:rPr>
            </w:pPr>
          </w:p>
          <w:p>
            <w:pPr>
              <w:pStyle w:val="TableParagraph"/>
              <w:rPr>
                <w:sz w:val="16"/>
              </w:rPr>
            </w:pPr>
          </w:p>
          <w:p>
            <w:pPr>
              <w:pStyle w:val="TableParagraph"/>
              <w:spacing w:line="168" w:lineRule="exact"/>
              <w:ind w:left="8"/>
              <w:jc w:val="center"/>
              <w:rPr>
                <w:sz w:val="16"/>
              </w:rPr>
            </w:pPr>
            <w:r>
              <w:rPr>
                <w:w w:val="100"/>
                <w:sz w:val="16"/>
              </w:rPr>
              <w:t>C</w:t>
            </w:r>
          </w:p>
        </w:tc>
        <w:tc>
          <w:tcPr>
            <w:tcW w:w="1448" w:type="dxa"/>
            <w:vMerge w:val="restart"/>
            <w:shd w:val="clear" w:color="auto" w:fill="E4E4E4"/>
          </w:tcPr>
          <w:p>
            <w:pPr>
              <w:pStyle w:val="TableParagraph"/>
              <w:spacing w:before="23"/>
              <w:ind w:left="217" w:right="206"/>
              <w:jc w:val="center"/>
              <w:rPr>
                <w:sz w:val="16"/>
              </w:rPr>
            </w:pPr>
            <w:r>
              <w:rPr>
                <w:sz w:val="16"/>
              </w:rPr>
              <w:t>Emission factor for each GHG (g /kg d.m.)</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line="168" w:lineRule="exact" w:before="115"/>
              <w:ind w:left="6"/>
              <w:jc w:val="center"/>
              <w:rPr>
                <w:sz w:val="16"/>
              </w:rPr>
            </w:pPr>
            <w:r>
              <w:rPr>
                <w:w w:val="100"/>
                <w:sz w:val="16"/>
              </w:rPr>
              <w:t>D</w:t>
            </w:r>
          </w:p>
        </w:tc>
        <w:tc>
          <w:tcPr>
            <w:tcW w:w="1495" w:type="dxa"/>
            <w:gridSpan w:val="2"/>
            <w:vMerge w:val="restart"/>
            <w:shd w:val="clear" w:color="auto" w:fill="E4E4E4"/>
          </w:tcPr>
          <w:p>
            <w:pPr>
              <w:pStyle w:val="TableParagraph"/>
              <w:spacing w:line="232" w:lineRule="auto" w:before="27"/>
              <w:ind w:left="131" w:right="127"/>
              <w:jc w:val="center"/>
              <w:rPr>
                <w:sz w:val="16"/>
              </w:rPr>
            </w:pPr>
            <w:r>
              <w:rPr>
                <w:position w:val="2"/>
                <w:sz w:val="16"/>
              </w:rPr>
              <w:t>CH</w:t>
            </w:r>
            <w:r>
              <w:rPr>
                <w:sz w:val="10"/>
              </w:rPr>
              <w:t>4 </w:t>
            </w:r>
            <w:r>
              <w:rPr>
                <w:position w:val="2"/>
                <w:sz w:val="16"/>
              </w:rPr>
              <w:t>Emissions </w:t>
            </w:r>
            <w:r>
              <w:rPr>
                <w:sz w:val="16"/>
              </w:rPr>
              <w:t>from fires</w:t>
            </w:r>
          </w:p>
          <w:p>
            <w:pPr>
              <w:pStyle w:val="TableParagraph"/>
              <w:spacing w:before="11"/>
              <w:rPr>
                <w:sz w:val="15"/>
              </w:rPr>
            </w:pPr>
          </w:p>
          <w:p>
            <w:pPr>
              <w:pStyle w:val="TableParagraph"/>
              <w:ind w:left="129" w:right="127"/>
              <w:jc w:val="center"/>
              <w:rPr>
                <w:sz w:val="16"/>
              </w:rPr>
            </w:pPr>
            <w:r>
              <w:rPr>
                <w:position w:val="2"/>
                <w:sz w:val="16"/>
              </w:rPr>
              <w:t>(tonnes CH</w:t>
            </w:r>
            <w:r>
              <w:rPr>
                <w:sz w:val="10"/>
              </w:rPr>
              <w:t>4</w:t>
            </w:r>
            <w:r>
              <w:rPr>
                <w:position w:val="2"/>
                <w:sz w:val="16"/>
              </w:rPr>
              <w:t>)</w:t>
            </w:r>
          </w:p>
          <w:p>
            <w:pPr>
              <w:pStyle w:val="TableParagraph"/>
              <w:spacing w:before="5"/>
              <w:rPr>
                <w:sz w:val="16"/>
              </w:rPr>
            </w:pPr>
          </w:p>
          <w:p>
            <w:pPr>
              <w:pStyle w:val="TableParagraph"/>
              <w:spacing w:line="197" w:lineRule="exact"/>
              <w:ind w:left="132" w:right="127"/>
              <w:jc w:val="center"/>
              <w:rPr>
                <w:sz w:val="16"/>
              </w:rPr>
            </w:pPr>
            <w:r>
              <w:rPr>
                <w:sz w:val="16"/>
              </w:rPr>
              <w:t>E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98"/>
              </w:numPr>
              <w:tabs>
                <w:tab w:pos="680" w:val="left" w:leader="none"/>
              </w:tabs>
              <w:spacing w:line="240" w:lineRule="auto" w:before="0" w:after="0"/>
              <w:ind w:left="679" w:right="0" w:hanging="115"/>
              <w:jc w:val="left"/>
              <w:rPr>
                <w:sz w:val="16"/>
              </w:rPr>
            </w:pPr>
            <w:r>
              <w:rPr>
                <w:sz w:val="16"/>
              </w:rPr>
              <w:t>10</w:t>
            </w:r>
            <w:r>
              <w:rPr>
                <w:sz w:val="16"/>
                <w:vertAlign w:val="superscript"/>
              </w:rPr>
              <w:t>-6</w:t>
            </w:r>
          </w:p>
          <w:p>
            <w:pPr>
              <w:pStyle w:val="TableParagraph"/>
              <w:spacing w:line="168" w:lineRule="exact" w:before="170"/>
              <w:ind w:left="2"/>
              <w:jc w:val="center"/>
              <w:rPr>
                <w:sz w:val="16"/>
              </w:rPr>
            </w:pPr>
            <w:r>
              <w:rPr>
                <w:w w:val="100"/>
                <w:sz w:val="16"/>
              </w:rPr>
              <w:t>E</w:t>
            </w:r>
          </w:p>
        </w:tc>
        <w:tc>
          <w:tcPr>
            <w:tcW w:w="1494" w:type="dxa"/>
            <w:vMerge w:val="restart"/>
            <w:shd w:val="clear" w:color="auto" w:fill="E4E4E4"/>
          </w:tcPr>
          <w:p>
            <w:pPr>
              <w:pStyle w:val="TableParagraph"/>
              <w:spacing w:before="23"/>
              <w:ind w:left="106" w:right="102"/>
              <w:jc w:val="center"/>
              <w:rPr>
                <w:sz w:val="16"/>
              </w:rPr>
            </w:pPr>
            <w:r>
              <w:rPr>
                <w:sz w:val="16"/>
              </w:rPr>
              <w:t>CO Emissions from fires</w:t>
            </w:r>
          </w:p>
          <w:p>
            <w:pPr>
              <w:pStyle w:val="TableParagraph"/>
              <w:rPr>
                <w:sz w:val="16"/>
              </w:rPr>
            </w:pPr>
          </w:p>
          <w:p>
            <w:pPr>
              <w:pStyle w:val="TableParagraph"/>
              <w:ind w:left="104" w:right="102"/>
              <w:jc w:val="center"/>
              <w:rPr>
                <w:sz w:val="16"/>
              </w:rPr>
            </w:pPr>
            <w:r>
              <w:rPr>
                <w:sz w:val="16"/>
              </w:rPr>
              <w:t>(tonnes CO)</w:t>
            </w:r>
          </w:p>
          <w:p>
            <w:pPr>
              <w:pStyle w:val="TableParagraph"/>
              <w:rPr>
                <w:sz w:val="17"/>
              </w:rPr>
            </w:pPr>
          </w:p>
          <w:p>
            <w:pPr>
              <w:pStyle w:val="TableParagraph"/>
              <w:spacing w:line="197" w:lineRule="exact"/>
              <w:ind w:left="104" w:right="102"/>
              <w:jc w:val="center"/>
              <w:rPr>
                <w:sz w:val="16"/>
              </w:rPr>
            </w:pPr>
            <w:r>
              <w:rPr>
                <w:sz w:val="16"/>
              </w:rPr>
              <w:t>F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99"/>
              </w:numPr>
              <w:tabs>
                <w:tab w:pos="678" w:val="left" w:leader="none"/>
              </w:tabs>
              <w:spacing w:line="240" w:lineRule="auto" w:before="0" w:after="0"/>
              <w:ind w:left="677" w:right="0" w:hanging="115"/>
              <w:jc w:val="left"/>
              <w:rPr>
                <w:sz w:val="16"/>
              </w:rPr>
            </w:pPr>
            <w:r>
              <w:rPr>
                <w:sz w:val="16"/>
              </w:rPr>
              <w:t>10</w:t>
            </w:r>
            <w:r>
              <w:rPr>
                <w:sz w:val="16"/>
                <w:vertAlign w:val="superscript"/>
              </w:rPr>
              <w:t>-6</w:t>
            </w:r>
          </w:p>
          <w:p>
            <w:pPr>
              <w:pStyle w:val="TableParagraph"/>
              <w:spacing w:line="168" w:lineRule="exact" w:before="170"/>
              <w:ind w:left="4"/>
              <w:jc w:val="center"/>
              <w:rPr>
                <w:sz w:val="16"/>
              </w:rPr>
            </w:pPr>
            <w:r>
              <w:rPr>
                <w:w w:val="100"/>
                <w:sz w:val="16"/>
              </w:rPr>
              <w:t>F</w:t>
            </w:r>
          </w:p>
        </w:tc>
        <w:tc>
          <w:tcPr>
            <w:tcW w:w="1495" w:type="dxa"/>
            <w:gridSpan w:val="2"/>
            <w:vMerge w:val="restart"/>
            <w:shd w:val="clear" w:color="auto" w:fill="E4E4E4"/>
          </w:tcPr>
          <w:p>
            <w:pPr>
              <w:pStyle w:val="TableParagraph"/>
              <w:spacing w:line="232" w:lineRule="auto" w:before="27"/>
              <w:ind w:left="125" w:right="127"/>
              <w:jc w:val="center"/>
              <w:rPr>
                <w:sz w:val="16"/>
              </w:rPr>
            </w:pPr>
            <w:r>
              <w:rPr>
                <w:position w:val="2"/>
                <w:sz w:val="16"/>
              </w:rPr>
              <w:t>N</w:t>
            </w:r>
            <w:r>
              <w:rPr>
                <w:sz w:val="10"/>
              </w:rPr>
              <w:t>2</w:t>
            </w:r>
            <w:r>
              <w:rPr>
                <w:position w:val="2"/>
                <w:sz w:val="16"/>
              </w:rPr>
              <w:t>O Emissions </w:t>
            </w:r>
            <w:r>
              <w:rPr>
                <w:sz w:val="16"/>
              </w:rPr>
              <w:t>from fires</w:t>
            </w:r>
          </w:p>
          <w:p>
            <w:pPr>
              <w:pStyle w:val="TableParagraph"/>
              <w:spacing w:before="11"/>
              <w:rPr>
                <w:sz w:val="15"/>
              </w:rPr>
            </w:pPr>
          </w:p>
          <w:p>
            <w:pPr>
              <w:pStyle w:val="TableParagraph"/>
              <w:ind w:left="125" w:right="127"/>
              <w:jc w:val="center"/>
              <w:rPr>
                <w:sz w:val="16"/>
              </w:rPr>
            </w:pPr>
            <w:r>
              <w:rPr>
                <w:position w:val="2"/>
                <w:sz w:val="16"/>
              </w:rPr>
              <w:t>(tonnes N</w:t>
            </w:r>
            <w:r>
              <w:rPr>
                <w:sz w:val="10"/>
              </w:rPr>
              <w:t>2</w:t>
            </w:r>
            <w:r>
              <w:rPr>
                <w:position w:val="2"/>
                <w:sz w:val="16"/>
              </w:rPr>
              <w:t>O)</w:t>
            </w:r>
          </w:p>
          <w:p>
            <w:pPr>
              <w:pStyle w:val="TableParagraph"/>
              <w:spacing w:before="5"/>
              <w:rPr>
                <w:sz w:val="16"/>
              </w:rPr>
            </w:pPr>
          </w:p>
          <w:p>
            <w:pPr>
              <w:pStyle w:val="TableParagraph"/>
              <w:spacing w:line="197" w:lineRule="exact"/>
              <w:ind w:left="126" w:right="127"/>
              <w:jc w:val="center"/>
              <w:rPr>
                <w:sz w:val="16"/>
              </w:rPr>
            </w:pPr>
            <w:r>
              <w:rPr>
                <w:sz w:val="16"/>
              </w:rPr>
              <w:t>G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0"/>
              </w:numPr>
              <w:tabs>
                <w:tab w:pos="677" w:val="left" w:leader="none"/>
              </w:tabs>
              <w:spacing w:line="240" w:lineRule="auto" w:before="0" w:after="0"/>
              <w:ind w:left="676" w:right="0" w:hanging="115"/>
              <w:jc w:val="left"/>
              <w:rPr>
                <w:sz w:val="16"/>
              </w:rPr>
            </w:pPr>
            <w:r>
              <w:rPr>
                <w:sz w:val="16"/>
              </w:rPr>
              <w:t>10</w:t>
            </w:r>
            <w:r>
              <w:rPr>
                <w:sz w:val="16"/>
                <w:vertAlign w:val="superscript"/>
              </w:rPr>
              <w:t>-6</w:t>
            </w:r>
          </w:p>
          <w:p>
            <w:pPr>
              <w:pStyle w:val="TableParagraph"/>
              <w:spacing w:line="168" w:lineRule="exact" w:before="170"/>
              <w:ind w:right="1"/>
              <w:jc w:val="center"/>
              <w:rPr>
                <w:sz w:val="16"/>
              </w:rPr>
            </w:pPr>
            <w:r>
              <w:rPr>
                <w:w w:val="100"/>
                <w:sz w:val="16"/>
              </w:rPr>
              <w:t>G</w:t>
            </w:r>
          </w:p>
        </w:tc>
        <w:tc>
          <w:tcPr>
            <w:tcW w:w="1498" w:type="dxa"/>
            <w:gridSpan w:val="2"/>
            <w:vMerge w:val="restart"/>
            <w:shd w:val="clear" w:color="auto" w:fill="E4E4E4"/>
          </w:tcPr>
          <w:p>
            <w:pPr>
              <w:pStyle w:val="TableParagraph"/>
              <w:spacing w:line="232" w:lineRule="auto" w:before="27"/>
              <w:ind w:left="122" w:right="132"/>
              <w:jc w:val="center"/>
              <w:rPr>
                <w:sz w:val="16"/>
              </w:rPr>
            </w:pPr>
            <w:r>
              <w:rPr>
                <w:position w:val="2"/>
                <w:sz w:val="16"/>
              </w:rPr>
              <w:t>NO</w:t>
            </w:r>
            <w:r>
              <w:rPr>
                <w:sz w:val="10"/>
              </w:rPr>
              <w:t>x </w:t>
            </w:r>
            <w:r>
              <w:rPr>
                <w:position w:val="2"/>
                <w:sz w:val="16"/>
              </w:rPr>
              <w:t>Emissions </w:t>
            </w:r>
            <w:r>
              <w:rPr>
                <w:sz w:val="16"/>
              </w:rPr>
              <w:t>from fires</w:t>
            </w:r>
          </w:p>
          <w:p>
            <w:pPr>
              <w:pStyle w:val="TableParagraph"/>
              <w:spacing w:line="360" w:lineRule="exact" w:before="65"/>
              <w:ind w:left="220" w:right="214" w:firstLine="93"/>
              <w:rPr>
                <w:rFonts w:ascii="Symbol" w:hAnsi="Symbol"/>
                <w:sz w:val="16"/>
              </w:rPr>
            </w:pPr>
            <w:r>
              <w:rPr>
                <w:position w:val="2"/>
                <w:sz w:val="16"/>
              </w:rPr>
              <w:t>(tonnes NO</w:t>
            </w:r>
            <w:r>
              <w:rPr>
                <w:sz w:val="10"/>
              </w:rPr>
              <w:t>x</w:t>
            </w:r>
            <w:r>
              <w:rPr>
                <w:position w:val="2"/>
                <w:sz w:val="16"/>
              </w:rPr>
              <w:t>) </w:t>
            </w:r>
            <w:r>
              <w:rPr>
                <w:sz w:val="16"/>
              </w:rPr>
              <w:t>H = A </w:t>
            </w:r>
            <w:r>
              <w:rPr>
                <w:rFonts w:ascii="Symbol" w:hAnsi="Symbol"/>
                <w:sz w:val="16"/>
              </w:rPr>
              <w:t>• </w:t>
            </w:r>
            <w:r>
              <w:rPr>
                <w:sz w:val="16"/>
              </w:rPr>
              <w:t>B </w:t>
            </w:r>
            <w:r>
              <w:rPr>
                <w:rFonts w:ascii="Symbol" w:hAnsi="Symbol"/>
                <w:sz w:val="16"/>
              </w:rPr>
              <w:t>• </w:t>
            </w:r>
            <w:r>
              <w:rPr>
                <w:sz w:val="16"/>
              </w:rPr>
              <w:t>C </w:t>
            </w:r>
            <w:r>
              <w:rPr>
                <w:rFonts w:ascii="Symbol" w:hAnsi="Symbol"/>
                <w:sz w:val="16"/>
              </w:rPr>
              <w:t>•</w:t>
            </w:r>
          </w:p>
          <w:p>
            <w:pPr>
              <w:pStyle w:val="TableParagraph"/>
              <w:spacing w:line="173" w:lineRule="exact"/>
              <w:ind w:left="123" w:right="132"/>
              <w:jc w:val="center"/>
              <w:rPr>
                <w:sz w:val="16"/>
              </w:rPr>
            </w:pPr>
            <w:r>
              <w:rPr>
                <w:sz w:val="16"/>
              </w:rPr>
              <w:t>D </w:t>
            </w:r>
            <w:r>
              <w:rPr>
                <w:rFonts w:ascii="Symbol" w:hAnsi="Symbol"/>
                <w:sz w:val="16"/>
              </w:rPr>
              <w:t>• </w:t>
            </w:r>
            <w:r>
              <w:rPr>
                <w:sz w:val="16"/>
              </w:rPr>
              <w:t>10</w:t>
            </w:r>
            <w:r>
              <w:rPr>
                <w:sz w:val="16"/>
                <w:vertAlign w:val="superscript"/>
              </w:rPr>
              <w:t>-6</w:t>
            </w:r>
          </w:p>
          <w:p>
            <w:pPr>
              <w:pStyle w:val="TableParagraph"/>
              <w:spacing w:line="168" w:lineRule="exact" w:before="170"/>
              <w:ind w:right="6"/>
              <w:jc w:val="center"/>
              <w:rPr>
                <w:sz w:val="16"/>
              </w:rPr>
            </w:pPr>
            <w:r>
              <w:rPr>
                <w:w w:val="100"/>
                <w:sz w:val="16"/>
              </w:rPr>
              <w:t>H</w:t>
            </w:r>
          </w:p>
        </w:tc>
      </w:tr>
      <w:tr>
        <w:trPr>
          <w:trHeight w:val="1300"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1224" w:type="dxa"/>
            <w:vMerge/>
            <w:tcBorders>
              <w:top w:val="nil"/>
            </w:tcBorders>
            <w:shd w:val="clear" w:color="auto" w:fill="E4E4E4"/>
          </w:tcPr>
          <w:p>
            <w:pPr>
              <w:rPr>
                <w:sz w:val="2"/>
                <w:szCs w:val="2"/>
              </w:rPr>
            </w:pPr>
          </w:p>
        </w:tc>
        <w:tc>
          <w:tcPr>
            <w:tcW w:w="1630" w:type="dxa"/>
            <w:vMerge/>
            <w:tcBorders>
              <w:top w:val="nil"/>
            </w:tcBorders>
            <w:shd w:val="clear" w:color="auto" w:fill="E4E4E4"/>
          </w:tcPr>
          <w:p>
            <w:pPr>
              <w:rPr>
                <w:sz w:val="2"/>
                <w:szCs w:val="2"/>
              </w:rPr>
            </w:pPr>
          </w:p>
        </w:tc>
        <w:tc>
          <w:tcPr>
            <w:tcW w:w="1448" w:type="dxa"/>
            <w:vMerge/>
            <w:tcBorders>
              <w:top w:val="nil"/>
            </w:tcBorders>
            <w:shd w:val="clear" w:color="auto" w:fill="E4E4E4"/>
          </w:tcPr>
          <w:p>
            <w:pPr>
              <w:rPr>
                <w:sz w:val="2"/>
                <w:szCs w:val="2"/>
              </w:rPr>
            </w:pPr>
          </w:p>
        </w:tc>
        <w:tc>
          <w:tcPr>
            <w:tcW w:w="1448" w:type="dxa"/>
            <w:vMerge/>
            <w:tcBorders>
              <w:top w:val="nil"/>
            </w:tcBorders>
            <w:shd w:val="clear" w:color="auto" w:fill="E4E4E4"/>
          </w:tcPr>
          <w:p>
            <w:pPr>
              <w:rPr>
                <w:sz w:val="2"/>
                <w:szCs w:val="2"/>
              </w:rPr>
            </w:pPr>
          </w:p>
        </w:tc>
        <w:tc>
          <w:tcPr>
            <w:tcW w:w="1495" w:type="dxa"/>
            <w:gridSpan w:val="2"/>
            <w:vMerge/>
            <w:tcBorders>
              <w:top w:val="nil"/>
            </w:tcBorders>
            <w:shd w:val="clear" w:color="auto" w:fill="E4E4E4"/>
          </w:tcPr>
          <w:p>
            <w:pPr>
              <w:rPr>
                <w:sz w:val="2"/>
                <w:szCs w:val="2"/>
              </w:rPr>
            </w:pPr>
          </w:p>
        </w:tc>
        <w:tc>
          <w:tcPr>
            <w:tcW w:w="1494" w:type="dxa"/>
            <w:vMerge/>
            <w:tcBorders>
              <w:top w:val="nil"/>
            </w:tcBorders>
            <w:shd w:val="clear" w:color="auto" w:fill="E4E4E4"/>
          </w:tcPr>
          <w:p>
            <w:pPr>
              <w:rPr>
                <w:sz w:val="2"/>
                <w:szCs w:val="2"/>
              </w:rPr>
            </w:pPr>
          </w:p>
        </w:tc>
        <w:tc>
          <w:tcPr>
            <w:tcW w:w="1495" w:type="dxa"/>
            <w:gridSpan w:val="2"/>
            <w:vMerge/>
            <w:tcBorders>
              <w:top w:val="nil"/>
            </w:tcBorders>
            <w:shd w:val="clear" w:color="auto" w:fill="E4E4E4"/>
          </w:tcPr>
          <w:p>
            <w:pPr>
              <w:rPr>
                <w:sz w:val="2"/>
                <w:szCs w:val="2"/>
              </w:rPr>
            </w:pPr>
          </w:p>
        </w:tc>
        <w:tc>
          <w:tcPr>
            <w:tcW w:w="1498" w:type="dxa"/>
            <w:gridSpan w:val="2"/>
            <w:vMerge/>
            <w:tcBorders>
              <w:top w:val="nil"/>
            </w:tcBorders>
            <w:shd w:val="clear" w:color="auto" w:fill="E4E4E4"/>
          </w:tcPr>
          <w:p>
            <w:pPr>
              <w:rPr>
                <w:sz w:val="2"/>
                <w:szCs w:val="2"/>
              </w:rPr>
            </w:pPr>
          </w:p>
        </w:tc>
      </w:tr>
      <w:tr>
        <w:trPr>
          <w:trHeight w:val="242"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FL</w:t>
            </w: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77"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42"/>
              <w:ind w:left="108"/>
              <w:rPr>
                <w:sz w:val="16"/>
              </w:rPr>
            </w:pPr>
            <w:r>
              <w:rPr>
                <w:sz w:val="16"/>
              </w:rPr>
              <w:t>(a)</w:t>
            </w:r>
          </w:p>
        </w:tc>
        <w:tc>
          <w:tcPr>
            <w:tcW w:w="1224" w:type="dxa"/>
          </w:tcPr>
          <w:p>
            <w:pPr>
              <w:pStyle w:val="TableParagraph"/>
              <w:spacing w:before="45"/>
              <w:ind w:left="11"/>
              <w:jc w:val="center"/>
              <w:rPr>
                <w:b/>
                <w:sz w:val="16"/>
              </w:rPr>
            </w:pPr>
            <w:r>
              <w:rPr>
                <w:b/>
                <w:w w:val="100"/>
                <w:sz w:val="16"/>
              </w:rPr>
              <w:t>A</w:t>
            </w:r>
          </w:p>
        </w:tc>
        <w:tc>
          <w:tcPr>
            <w:tcW w:w="1630" w:type="dxa"/>
          </w:tcPr>
          <w:p>
            <w:pPr>
              <w:pStyle w:val="TableParagraph"/>
              <w:spacing w:before="45"/>
              <w:ind w:left="9"/>
              <w:jc w:val="center"/>
              <w:rPr>
                <w:b/>
                <w:sz w:val="16"/>
              </w:rPr>
            </w:pPr>
            <w:r>
              <w:rPr>
                <w:b/>
                <w:w w:val="100"/>
                <w:sz w:val="16"/>
              </w:rPr>
              <w:t>B</w:t>
            </w:r>
          </w:p>
        </w:tc>
        <w:tc>
          <w:tcPr>
            <w:tcW w:w="1448" w:type="dxa"/>
          </w:tcPr>
          <w:p>
            <w:pPr>
              <w:pStyle w:val="TableParagraph"/>
              <w:spacing w:before="45"/>
              <w:ind w:left="7"/>
              <w:jc w:val="center"/>
              <w:rPr>
                <w:b/>
                <w:sz w:val="16"/>
              </w:rPr>
            </w:pPr>
            <w:r>
              <w:rPr>
                <w:b/>
                <w:w w:val="100"/>
                <w:sz w:val="16"/>
              </w:rPr>
              <w:t>C</w:t>
            </w:r>
          </w:p>
        </w:tc>
        <w:tc>
          <w:tcPr>
            <w:tcW w:w="1448" w:type="dxa"/>
          </w:tcPr>
          <w:p>
            <w:pPr>
              <w:pStyle w:val="TableParagraph"/>
              <w:spacing w:before="25"/>
              <w:ind w:left="563"/>
              <w:rPr>
                <w:b/>
                <w:sz w:val="10"/>
              </w:rPr>
            </w:pPr>
            <w:r>
              <w:rPr>
                <w:b/>
                <w:position w:val="2"/>
                <w:sz w:val="16"/>
              </w:rPr>
              <w:t>D</w:t>
            </w:r>
            <w:r>
              <w:rPr>
                <w:b/>
                <w:sz w:val="10"/>
              </w:rPr>
              <w:t>CH</w:t>
            </w:r>
            <w:r>
              <w:rPr>
                <w:b/>
                <w:position w:val="-3"/>
                <w:sz w:val="10"/>
              </w:rPr>
              <w:t>4</w:t>
            </w:r>
          </w:p>
        </w:tc>
        <w:tc>
          <w:tcPr>
            <w:tcW w:w="109" w:type="dxa"/>
            <w:tcBorders>
              <w:right w:val="nil"/>
            </w:tcBorders>
          </w:tcPr>
          <w:p>
            <w:pPr>
              <w:pStyle w:val="TableParagraph"/>
              <w:rPr>
                <w:sz w:val="16"/>
              </w:rPr>
            </w:pPr>
          </w:p>
        </w:tc>
        <w:tc>
          <w:tcPr>
            <w:tcW w:w="1386" w:type="dxa"/>
            <w:tcBorders>
              <w:left w:val="nil"/>
            </w:tcBorders>
          </w:tcPr>
          <w:p>
            <w:pPr>
              <w:pStyle w:val="TableParagraph"/>
              <w:spacing w:before="44"/>
              <w:ind w:left="472" w:right="571"/>
              <w:jc w:val="center"/>
              <w:rPr>
                <w:b/>
                <w:sz w:val="10"/>
              </w:rPr>
            </w:pPr>
            <w:r>
              <w:rPr>
                <w:b/>
                <w:position w:val="2"/>
                <w:sz w:val="16"/>
              </w:rPr>
              <w:t>CH</w:t>
            </w:r>
            <w:r>
              <w:rPr>
                <w:b/>
                <w:sz w:val="10"/>
              </w:rPr>
              <w:t>4</w:t>
            </w:r>
          </w:p>
        </w:tc>
        <w:tc>
          <w:tcPr>
            <w:tcW w:w="1494" w:type="dxa"/>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89"/>
              <w:rPr>
                <w:b/>
                <w:sz w:val="10"/>
              </w:rPr>
            </w:pPr>
            <w:r>
              <w:rPr>
                <w:b/>
                <w:position w:val="2"/>
                <w:sz w:val="16"/>
              </w:rPr>
              <w:t>D</w:t>
            </w:r>
            <w:r>
              <w:rPr>
                <w:b/>
                <w:sz w:val="10"/>
              </w:rPr>
              <w:t>CO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tcPr>
          <w:p>
            <w:pPr>
              <w:pStyle w:val="TableParagraph"/>
              <w:spacing w:before="25"/>
              <w:ind w:left="102" w:right="102"/>
              <w:jc w:val="center"/>
              <w:rPr>
                <w:b/>
                <w:sz w:val="16"/>
              </w:rPr>
            </w:pPr>
            <w:r>
              <w:rPr>
                <w:b/>
                <w:sz w:val="16"/>
              </w:rPr>
              <w:t>CO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80"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63"/>
              <w:rPr>
                <w:b/>
                <w:sz w:val="10"/>
              </w:rPr>
            </w:pPr>
            <w:r>
              <w:rPr>
                <w:b/>
                <w:position w:val="2"/>
                <w:sz w:val="16"/>
              </w:rPr>
              <w:t>D</w:t>
            </w:r>
            <w:r>
              <w:rPr>
                <w:b/>
                <w:sz w:val="10"/>
              </w:rPr>
              <w:t>N</w:t>
            </w:r>
            <w:r>
              <w:rPr>
                <w:b/>
                <w:position w:val="-3"/>
                <w:sz w:val="10"/>
              </w:rPr>
              <w:t>2</w:t>
            </w:r>
            <w:r>
              <w:rPr>
                <w:b/>
                <w:sz w:val="10"/>
              </w:rPr>
              <w:t>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shd w:val="clear" w:color="auto" w:fill="7F7F7F"/>
          </w:tcPr>
          <w:p>
            <w:pPr>
              <w:pStyle w:val="TableParagraph"/>
              <w:rPr>
                <w:sz w:val="16"/>
              </w:rPr>
            </w:pPr>
          </w:p>
        </w:tc>
        <w:tc>
          <w:tcPr>
            <w:tcW w:w="109" w:type="dxa"/>
            <w:tcBorders>
              <w:right w:val="nil"/>
            </w:tcBorders>
          </w:tcPr>
          <w:p>
            <w:pPr>
              <w:pStyle w:val="TableParagraph"/>
              <w:rPr>
                <w:sz w:val="16"/>
              </w:rPr>
            </w:pPr>
          </w:p>
        </w:tc>
        <w:tc>
          <w:tcPr>
            <w:tcW w:w="1386" w:type="dxa"/>
            <w:tcBorders>
              <w:left w:val="nil"/>
            </w:tcBorders>
          </w:tcPr>
          <w:p>
            <w:pPr>
              <w:pStyle w:val="TableParagraph"/>
              <w:spacing w:before="44"/>
              <w:ind w:left="469" w:right="575"/>
              <w:jc w:val="center"/>
              <w:rPr>
                <w:b/>
                <w:sz w:val="16"/>
              </w:rPr>
            </w:pPr>
            <w:r>
              <w:rPr>
                <w:b/>
                <w:position w:val="2"/>
                <w:sz w:val="16"/>
              </w:rPr>
              <w:t>N</w:t>
            </w:r>
            <w:r>
              <w:rPr>
                <w:b/>
                <w:sz w:val="10"/>
              </w:rPr>
              <w:t>2</w:t>
            </w:r>
            <w:r>
              <w:rPr>
                <w:b/>
                <w:position w:val="2"/>
                <w:sz w:val="16"/>
              </w:rPr>
              <w:t>O</w:t>
            </w: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80"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65"/>
              <w:rPr>
                <w:b/>
                <w:sz w:val="10"/>
              </w:rPr>
            </w:pPr>
            <w:r>
              <w:rPr>
                <w:b/>
                <w:position w:val="2"/>
                <w:sz w:val="16"/>
              </w:rPr>
              <w:t>D</w:t>
            </w:r>
            <w:r>
              <w:rPr>
                <w:b/>
                <w:sz w:val="10"/>
              </w:rPr>
              <w:t>NO</w:t>
            </w:r>
            <w:r>
              <w:rPr>
                <w:b/>
                <w:position w:val="-3"/>
                <w:sz w:val="10"/>
              </w:rPr>
              <w:t>x</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tcPr>
          <w:p>
            <w:pPr>
              <w:pStyle w:val="TableParagraph"/>
              <w:rPr>
                <w:sz w:val="16"/>
              </w:rPr>
            </w:pPr>
          </w:p>
        </w:tc>
        <w:tc>
          <w:tcPr>
            <w:tcW w:w="1389" w:type="dxa"/>
            <w:tcBorders>
              <w:left w:val="nil"/>
            </w:tcBorders>
          </w:tcPr>
          <w:p>
            <w:pPr>
              <w:pStyle w:val="TableParagraph"/>
              <w:spacing w:before="44"/>
              <w:ind w:left="472" w:right="581"/>
              <w:jc w:val="center"/>
              <w:rPr>
                <w:b/>
                <w:sz w:val="10"/>
              </w:rPr>
            </w:pPr>
            <w:r>
              <w:rPr>
                <w:b/>
                <w:position w:val="2"/>
                <w:sz w:val="16"/>
              </w:rPr>
              <w:t>NO</w:t>
            </w:r>
            <w:r>
              <w:rPr>
                <w:b/>
                <w:sz w:val="10"/>
              </w:rPr>
              <w:t>x</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bl>
    <w:p>
      <w:pPr>
        <w:spacing w:after="0"/>
        <w:rPr>
          <w:sz w:val="16"/>
        </w:rPr>
        <w:sectPr>
          <w:pgSz w:w="16840" w:h="11900" w:orient="landscape"/>
          <w:pgMar w:header="1150" w:footer="1128"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4"/>
        <w:gridCol w:w="2244"/>
        <w:gridCol w:w="4164"/>
        <w:gridCol w:w="3773"/>
      </w:tblGrid>
      <w:tr>
        <w:trPr>
          <w:trHeight w:val="285" w:hRule="atLeast"/>
        </w:trPr>
        <w:tc>
          <w:tcPr>
            <w:tcW w:w="1874" w:type="dxa"/>
            <w:shd w:val="clear" w:color="auto" w:fill="BFBFBF"/>
          </w:tcPr>
          <w:p>
            <w:pPr>
              <w:pStyle w:val="TableParagraph"/>
              <w:spacing w:before="26"/>
              <w:ind w:left="107"/>
              <w:rPr>
                <w:b/>
                <w:sz w:val="20"/>
              </w:rPr>
            </w:pPr>
            <w:r>
              <w:rPr>
                <w:b/>
                <w:sz w:val="20"/>
              </w:rPr>
              <w:t>Module</w:t>
            </w:r>
          </w:p>
        </w:tc>
        <w:tc>
          <w:tcPr>
            <w:tcW w:w="10181" w:type="dxa"/>
            <w:gridSpan w:val="3"/>
          </w:tcPr>
          <w:p>
            <w:pPr>
              <w:pStyle w:val="TableParagraph"/>
              <w:spacing w:before="26"/>
              <w:ind w:left="108"/>
              <w:rPr>
                <w:b/>
                <w:sz w:val="20"/>
              </w:rPr>
            </w:pPr>
            <w:r>
              <w:rPr>
                <w:b/>
                <w:sz w:val="20"/>
              </w:rPr>
              <w:t>Forest Land</w:t>
            </w:r>
          </w:p>
        </w:tc>
      </w:tr>
      <w:tr>
        <w:trPr>
          <w:trHeight w:val="285" w:hRule="atLeast"/>
        </w:trPr>
        <w:tc>
          <w:tcPr>
            <w:tcW w:w="1874" w:type="dxa"/>
            <w:shd w:val="clear" w:color="auto" w:fill="BFBFBF"/>
          </w:tcPr>
          <w:p>
            <w:pPr>
              <w:pStyle w:val="TableParagraph"/>
              <w:spacing w:before="26"/>
              <w:ind w:left="107"/>
              <w:rPr>
                <w:b/>
                <w:sz w:val="20"/>
              </w:rPr>
            </w:pPr>
            <w:r>
              <w:rPr>
                <w:b/>
                <w:sz w:val="20"/>
              </w:rPr>
              <w:t>Sub-module</w:t>
            </w:r>
          </w:p>
        </w:tc>
        <w:tc>
          <w:tcPr>
            <w:tcW w:w="10181" w:type="dxa"/>
            <w:gridSpan w:val="3"/>
          </w:tcPr>
          <w:p>
            <w:pPr>
              <w:pStyle w:val="TableParagraph"/>
              <w:spacing w:before="26"/>
              <w:ind w:left="108"/>
              <w:rPr>
                <w:b/>
                <w:sz w:val="20"/>
              </w:rPr>
            </w:pPr>
            <w:r>
              <w:rPr>
                <w:b/>
                <w:sz w:val="20"/>
              </w:rPr>
              <w:t>Land Converted to Forest Land</w:t>
            </w:r>
          </w:p>
        </w:tc>
      </w:tr>
      <w:tr>
        <w:trPr>
          <w:trHeight w:val="287" w:hRule="atLeast"/>
        </w:trPr>
        <w:tc>
          <w:tcPr>
            <w:tcW w:w="1874" w:type="dxa"/>
            <w:shd w:val="clear" w:color="auto" w:fill="BFBFBF"/>
          </w:tcPr>
          <w:p>
            <w:pPr>
              <w:pStyle w:val="TableParagraph"/>
              <w:spacing w:before="26"/>
              <w:ind w:left="107"/>
              <w:rPr>
                <w:b/>
                <w:sz w:val="20"/>
              </w:rPr>
            </w:pPr>
            <w:r>
              <w:rPr>
                <w:b/>
                <w:sz w:val="20"/>
              </w:rPr>
              <w:t>Worksheet</w:t>
            </w:r>
          </w:p>
        </w:tc>
        <w:tc>
          <w:tcPr>
            <w:tcW w:w="10181" w:type="dxa"/>
            <w:gridSpan w:val="3"/>
          </w:tcPr>
          <w:p>
            <w:pPr>
              <w:pStyle w:val="TableParagraph"/>
              <w:spacing w:before="26"/>
              <w:ind w:left="108"/>
              <w:rPr>
                <w:b/>
                <w:sz w:val="20"/>
              </w:rPr>
            </w:pPr>
            <w:r>
              <w:rPr>
                <w:b/>
                <w:sz w:val="20"/>
              </w:rPr>
              <w:t>FL-2a: Annual change in carbon stocks in living biomass (includes above and below ground biomass)</w:t>
            </w:r>
          </w:p>
        </w:tc>
      </w:tr>
      <w:tr>
        <w:trPr>
          <w:trHeight w:val="285" w:hRule="atLeast"/>
        </w:trPr>
        <w:tc>
          <w:tcPr>
            <w:tcW w:w="1874" w:type="dxa"/>
            <w:shd w:val="clear" w:color="auto" w:fill="BFBFBF"/>
          </w:tcPr>
          <w:p>
            <w:pPr>
              <w:pStyle w:val="TableParagraph"/>
              <w:spacing w:before="26"/>
              <w:ind w:left="107"/>
              <w:rPr>
                <w:b/>
                <w:sz w:val="20"/>
              </w:rPr>
            </w:pPr>
            <w:r>
              <w:rPr>
                <w:b/>
                <w:sz w:val="20"/>
              </w:rPr>
              <w:t>Sheet</w:t>
            </w:r>
          </w:p>
        </w:tc>
        <w:tc>
          <w:tcPr>
            <w:tcW w:w="10181" w:type="dxa"/>
            <w:gridSpan w:val="3"/>
          </w:tcPr>
          <w:p>
            <w:pPr>
              <w:pStyle w:val="TableParagraph"/>
              <w:spacing w:before="26"/>
              <w:ind w:left="108"/>
              <w:rPr>
                <w:b/>
                <w:sz w:val="20"/>
              </w:rPr>
            </w:pPr>
            <w:r>
              <w:rPr>
                <w:b/>
                <w:sz w:val="20"/>
              </w:rPr>
              <w:t>1 of 1</w:t>
            </w:r>
          </w:p>
        </w:tc>
      </w:tr>
      <w:tr>
        <w:trPr>
          <w:trHeight w:val="855" w:hRule="atLeast"/>
        </w:trPr>
        <w:tc>
          <w:tcPr>
            <w:tcW w:w="4118" w:type="dxa"/>
            <w:gridSpan w:val="2"/>
            <w:tcBorders>
              <w:bottom w:val="nil"/>
            </w:tcBorders>
            <w:shd w:val="clear" w:color="auto" w:fill="E4E4E4"/>
          </w:tcPr>
          <w:p>
            <w:pPr>
              <w:pStyle w:val="TableParagraph"/>
              <w:spacing w:before="25"/>
              <w:ind w:left="1139"/>
              <w:rPr>
                <w:b/>
                <w:sz w:val="16"/>
              </w:rPr>
            </w:pPr>
            <w:r>
              <w:rPr>
                <w:b/>
                <w:sz w:val="16"/>
              </w:rPr>
              <w:t>Method follows Worksheet</w:t>
            </w:r>
          </w:p>
          <w:p>
            <w:pPr>
              <w:pStyle w:val="TableParagraph"/>
              <w:spacing w:before="1"/>
              <w:ind w:left="189" w:right="177" w:hanging="2"/>
              <w:jc w:val="center"/>
              <w:rPr>
                <w:b/>
                <w:sz w:val="16"/>
              </w:rPr>
            </w:pPr>
            <w:r>
              <w:rPr>
                <w:b/>
                <w:sz w:val="16"/>
              </w:rPr>
              <w:t>FL-1a: Annual change in carbon stocks in living biomass (includes above and below ground biomass) in Forest Land Remaining Forest Land</w:t>
            </w:r>
          </w:p>
        </w:tc>
        <w:tc>
          <w:tcPr>
            <w:tcW w:w="4164" w:type="dxa"/>
            <w:tcBorders>
              <w:bottom w:val="nil"/>
            </w:tcBorders>
            <w:shd w:val="clear" w:color="auto" w:fill="E4E4E4"/>
          </w:tcPr>
          <w:p>
            <w:pPr>
              <w:pStyle w:val="TableParagraph"/>
              <w:spacing w:before="25"/>
              <w:ind w:left="1161"/>
              <w:rPr>
                <w:b/>
                <w:sz w:val="16"/>
              </w:rPr>
            </w:pPr>
            <w:r>
              <w:rPr>
                <w:b/>
                <w:sz w:val="16"/>
              </w:rPr>
              <w:t>Method follows Worksheet</w:t>
            </w:r>
          </w:p>
          <w:p>
            <w:pPr>
              <w:pStyle w:val="TableParagraph"/>
              <w:spacing w:before="1"/>
              <w:ind w:left="123" w:right="114"/>
              <w:jc w:val="center"/>
              <w:rPr>
                <w:b/>
                <w:sz w:val="16"/>
              </w:rPr>
            </w:pPr>
            <w:r>
              <w:rPr>
                <w:b/>
                <w:sz w:val="16"/>
              </w:rPr>
              <w:t>FL-1a: Annual change in carbon stocks in living biomass (includes above and below ground biomass) in Forest Land Remaining Forest Land</w:t>
            </w:r>
          </w:p>
        </w:tc>
        <w:tc>
          <w:tcPr>
            <w:tcW w:w="3773" w:type="dxa"/>
            <w:tcBorders>
              <w:bottom w:val="nil"/>
            </w:tcBorders>
            <w:shd w:val="clear" w:color="auto" w:fill="E4E4E4"/>
          </w:tcPr>
          <w:p>
            <w:pPr>
              <w:pStyle w:val="TableParagraph"/>
              <w:spacing w:before="23"/>
              <w:ind w:left="139" w:right="127"/>
              <w:jc w:val="center"/>
              <w:rPr>
                <w:sz w:val="16"/>
              </w:rPr>
            </w:pPr>
            <w:r>
              <w:rPr>
                <w:sz w:val="16"/>
              </w:rPr>
              <w:t>Annual change in carbon stocks in biomass from land- use conversion to forest land</w:t>
            </w:r>
          </w:p>
          <w:p>
            <w:pPr>
              <w:pStyle w:val="TableParagraph"/>
              <w:rPr>
                <w:sz w:val="16"/>
              </w:rPr>
            </w:pPr>
          </w:p>
          <w:p>
            <w:pPr>
              <w:pStyle w:val="TableParagraph"/>
              <w:ind w:left="594" w:right="584"/>
              <w:jc w:val="center"/>
              <w:rPr>
                <w:sz w:val="16"/>
              </w:rPr>
            </w:pPr>
            <w:r>
              <w:rPr>
                <w:sz w:val="16"/>
              </w:rPr>
              <w:t>(tonnes C yr</w:t>
            </w:r>
            <w:r>
              <w:rPr>
                <w:sz w:val="16"/>
                <w:vertAlign w:val="superscript"/>
              </w:rPr>
              <w:t>-1</w:t>
            </w:r>
            <w:r>
              <w:rPr>
                <w:sz w:val="16"/>
                <w:vertAlign w:val="baseline"/>
              </w:rPr>
              <w:t>)</w:t>
            </w:r>
          </w:p>
        </w:tc>
      </w:tr>
      <w:tr>
        <w:trPr>
          <w:trHeight w:val="366" w:hRule="atLeast"/>
        </w:trPr>
        <w:tc>
          <w:tcPr>
            <w:tcW w:w="4118" w:type="dxa"/>
            <w:gridSpan w:val="2"/>
            <w:tcBorders>
              <w:top w:val="nil"/>
              <w:bottom w:val="nil"/>
            </w:tcBorders>
            <w:shd w:val="clear" w:color="auto" w:fill="E4E4E4"/>
          </w:tcPr>
          <w:p>
            <w:pPr>
              <w:pStyle w:val="TableParagraph"/>
              <w:rPr>
                <w:sz w:val="16"/>
              </w:rPr>
            </w:pPr>
          </w:p>
        </w:tc>
        <w:tc>
          <w:tcPr>
            <w:tcW w:w="4164" w:type="dxa"/>
            <w:tcBorders>
              <w:top w:val="nil"/>
              <w:bottom w:val="nil"/>
            </w:tcBorders>
            <w:shd w:val="clear" w:color="auto" w:fill="E4E4E4"/>
          </w:tcPr>
          <w:p>
            <w:pPr>
              <w:pStyle w:val="TableParagraph"/>
              <w:rPr>
                <w:sz w:val="16"/>
              </w:rPr>
            </w:pPr>
          </w:p>
        </w:tc>
        <w:tc>
          <w:tcPr>
            <w:tcW w:w="3773" w:type="dxa"/>
            <w:tcBorders>
              <w:top w:val="nil"/>
              <w:bottom w:val="nil"/>
            </w:tcBorders>
            <w:shd w:val="clear" w:color="auto" w:fill="E4E4E4"/>
          </w:tcPr>
          <w:p>
            <w:pPr>
              <w:pStyle w:val="TableParagraph"/>
              <w:spacing w:before="87"/>
              <w:ind w:left="594" w:right="585"/>
              <w:jc w:val="center"/>
              <w:rPr>
                <w:sz w:val="16"/>
              </w:rPr>
            </w:pPr>
            <w:r>
              <w:rPr>
                <w:sz w:val="16"/>
              </w:rPr>
              <w:t>C = A+B</w:t>
            </w:r>
          </w:p>
        </w:tc>
      </w:tr>
      <w:tr>
        <w:trPr>
          <w:trHeight w:val="278" w:hRule="atLeast"/>
        </w:trPr>
        <w:tc>
          <w:tcPr>
            <w:tcW w:w="4118" w:type="dxa"/>
            <w:gridSpan w:val="2"/>
            <w:tcBorders>
              <w:top w:val="nil"/>
            </w:tcBorders>
            <w:shd w:val="clear" w:color="auto" w:fill="E4E4E4"/>
          </w:tcPr>
          <w:p>
            <w:pPr>
              <w:pStyle w:val="TableParagraph"/>
              <w:spacing w:line="170" w:lineRule="exact" w:before="88"/>
              <w:ind w:left="10"/>
              <w:jc w:val="center"/>
              <w:rPr>
                <w:sz w:val="16"/>
              </w:rPr>
            </w:pPr>
            <w:r>
              <w:rPr>
                <w:w w:val="100"/>
                <w:sz w:val="16"/>
              </w:rPr>
              <w:t>A</w:t>
            </w:r>
          </w:p>
        </w:tc>
        <w:tc>
          <w:tcPr>
            <w:tcW w:w="4164" w:type="dxa"/>
            <w:tcBorders>
              <w:top w:val="nil"/>
            </w:tcBorders>
            <w:shd w:val="clear" w:color="auto" w:fill="E4E4E4"/>
          </w:tcPr>
          <w:p>
            <w:pPr>
              <w:pStyle w:val="TableParagraph"/>
              <w:spacing w:line="170" w:lineRule="exact" w:before="88"/>
              <w:ind w:left="9"/>
              <w:jc w:val="center"/>
              <w:rPr>
                <w:sz w:val="16"/>
              </w:rPr>
            </w:pPr>
            <w:r>
              <w:rPr>
                <w:w w:val="100"/>
                <w:sz w:val="16"/>
              </w:rPr>
              <w:t>B</w:t>
            </w:r>
          </w:p>
        </w:tc>
        <w:tc>
          <w:tcPr>
            <w:tcW w:w="3773" w:type="dxa"/>
            <w:tcBorders>
              <w:top w:val="nil"/>
            </w:tcBorders>
            <w:shd w:val="clear" w:color="auto" w:fill="E4E4E4"/>
          </w:tcPr>
          <w:p>
            <w:pPr>
              <w:pStyle w:val="TableParagraph"/>
              <w:spacing w:line="170" w:lineRule="exact" w:before="88"/>
              <w:ind w:left="7"/>
              <w:jc w:val="center"/>
              <w:rPr>
                <w:sz w:val="16"/>
              </w:rPr>
            </w:pPr>
            <w:r>
              <w:rPr>
                <w:w w:val="100"/>
                <w:sz w:val="16"/>
              </w:rPr>
              <w:t>C</w:t>
            </w:r>
          </w:p>
        </w:tc>
      </w:tr>
      <w:tr>
        <w:trPr>
          <w:trHeight w:val="239" w:hRule="atLeast"/>
        </w:trPr>
        <w:tc>
          <w:tcPr>
            <w:tcW w:w="4118" w:type="dxa"/>
            <w:gridSpan w:val="2"/>
          </w:tcPr>
          <w:p>
            <w:pPr>
              <w:pStyle w:val="TableParagraph"/>
              <w:rPr>
                <w:sz w:val="16"/>
              </w:rPr>
            </w:pPr>
          </w:p>
        </w:tc>
        <w:tc>
          <w:tcPr>
            <w:tcW w:w="4164" w:type="dxa"/>
          </w:tcPr>
          <w:p>
            <w:pPr>
              <w:pStyle w:val="TableParagraph"/>
              <w:rPr>
                <w:sz w:val="16"/>
              </w:rPr>
            </w:pPr>
          </w:p>
        </w:tc>
        <w:tc>
          <w:tcPr>
            <w:tcW w:w="3773" w:type="dxa"/>
          </w:tcPr>
          <w:p>
            <w:pPr>
              <w:pStyle w:val="TableParagraph"/>
              <w:rPr>
                <w:sz w:val="16"/>
              </w:rPr>
            </w:pPr>
          </w:p>
        </w:tc>
      </w:tr>
      <w:tr>
        <w:trPr>
          <w:trHeight w:val="299" w:hRule="atLeast"/>
        </w:trPr>
        <w:tc>
          <w:tcPr>
            <w:tcW w:w="4118" w:type="dxa"/>
            <w:gridSpan w:val="2"/>
            <w:shd w:val="clear" w:color="auto" w:fill="D5D5D5"/>
          </w:tcPr>
          <w:p>
            <w:pPr>
              <w:pStyle w:val="TableParagraph"/>
              <w:spacing w:line="164" w:lineRule="exact" w:before="25"/>
              <w:ind w:left="848" w:right="916"/>
              <w:jc w:val="center"/>
              <w:rPr>
                <w:b/>
                <w:sz w:val="10"/>
              </w:rPr>
            </w:pPr>
            <w:r>
              <w:rPr>
                <w:b/>
                <w:position w:val="2"/>
                <w:sz w:val="16"/>
              </w:rPr>
              <w:t>∆C</w:t>
            </w:r>
            <w:r>
              <w:rPr>
                <w:b/>
                <w:sz w:val="10"/>
              </w:rPr>
              <w:t>LF</w:t>
            </w:r>
          </w:p>
          <w:p>
            <w:pPr>
              <w:pStyle w:val="TableParagraph"/>
              <w:spacing w:line="87" w:lineRule="exact"/>
              <w:ind w:left="347"/>
              <w:jc w:val="center"/>
              <w:rPr>
                <w:b/>
                <w:sz w:val="10"/>
              </w:rPr>
            </w:pPr>
            <w:r>
              <w:rPr>
                <w:b/>
                <w:w w:val="100"/>
                <w:sz w:val="10"/>
              </w:rPr>
              <w:t>G</w:t>
            </w:r>
          </w:p>
        </w:tc>
        <w:tc>
          <w:tcPr>
            <w:tcW w:w="4164" w:type="dxa"/>
            <w:shd w:val="clear" w:color="auto" w:fill="D5D5D5"/>
          </w:tcPr>
          <w:p>
            <w:pPr>
              <w:pStyle w:val="TableParagraph"/>
              <w:spacing w:line="164" w:lineRule="exact" w:before="25"/>
              <w:ind w:left="59" w:right="114"/>
              <w:jc w:val="center"/>
              <w:rPr>
                <w:b/>
                <w:sz w:val="10"/>
              </w:rPr>
            </w:pPr>
            <w:r>
              <w:rPr>
                <w:b/>
                <w:position w:val="2"/>
                <w:sz w:val="16"/>
              </w:rPr>
              <w:t>∆C</w:t>
            </w:r>
            <w:r>
              <w:rPr>
                <w:b/>
                <w:sz w:val="10"/>
              </w:rPr>
              <w:t>LF</w:t>
            </w:r>
          </w:p>
          <w:p>
            <w:pPr>
              <w:pStyle w:val="TableParagraph"/>
              <w:spacing w:line="87" w:lineRule="exact"/>
              <w:ind w:left="348"/>
              <w:jc w:val="center"/>
              <w:rPr>
                <w:b/>
                <w:sz w:val="10"/>
              </w:rPr>
            </w:pPr>
            <w:r>
              <w:rPr>
                <w:b/>
                <w:w w:val="100"/>
                <w:sz w:val="10"/>
              </w:rPr>
              <w:t>L</w:t>
            </w:r>
          </w:p>
        </w:tc>
        <w:tc>
          <w:tcPr>
            <w:tcW w:w="3773" w:type="dxa"/>
            <w:shd w:val="clear" w:color="auto" w:fill="D5D5D5"/>
          </w:tcPr>
          <w:p>
            <w:pPr>
              <w:pStyle w:val="TableParagraph"/>
              <w:spacing w:line="164" w:lineRule="exact" w:before="25"/>
              <w:ind w:left="462" w:right="587"/>
              <w:jc w:val="center"/>
              <w:rPr>
                <w:b/>
                <w:sz w:val="10"/>
              </w:rPr>
            </w:pPr>
            <w:r>
              <w:rPr>
                <w:b/>
                <w:position w:val="2"/>
                <w:sz w:val="16"/>
              </w:rPr>
              <w:t>∆C</w:t>
            </w:r>
            <w:r>
              <w:rPr>
                <w:b/>
                <w:sz w:val="10"/>
              </w:rPr>
              <w:t>LF</w:t>
            </w:r>
          </w:p>
          <w:p>
            <w:pPr>
              <w:pStyle w:val="TableParagraph"/>
              <w:spacing w:line="87" w:lineRule="exact"/>
              <w:ind w:left="594" w:right="248"/>
              <w:jc w:val="center"/>
              <w:rPr>
                <w:b/>
                <w:sz w:val="10"/>
              </w:rPr>
            </w:pPr>
            <w:r>
              <w:rPr>
                <w:b/>
                <w:sz w:val="10"/>
              </w:rPr>
              <w:t>LB</w:t>
            </w:r>
          </w:p>
        </w:tc>
      </w:tr>
      <w:tr>
        <w:trPr>
          <w:trHeight w:val="239" w:hRule="atLeast"/>
        </w:trPr>
        <w:tc>
          <w:tcPr>
            <w:tcW w:w="4118" w:type="dxa"/>
            <w:gridSpan w:val="2"/>
          </w:tcPr>
          <w:p>
            <w:pPr>
              <w:pStyle w:val="TableParagraph"/>
              <w:rPr>
                <w:sz w:val="16"/>
              </w:rPr>
            </w:pPr>
          </w:p>
        </w:tc>
        <w:tc>
          <w:tcPr>
            <w:tcW w:w="4164" w:type="dxa"/>
          </w:tcPr>
          <w:p>
            <w:pPr>
              <w:pStyle w:val="TableParagraph"/>
              <w:rPr>
                <w:sz w:val="16"/>
              </w:rPr>
            </w:pPr>
          </w:p>
        </w:tc>
        <w:tc>
          <w:tcPr>
            <w:tcW w:w="3773" w:type="dxa"/>
          </w:tcPr>
          <w:p>
            <w:pPr>
              <w:pStyle w:val="TableParagraph"/>
              <w:rPr>
                <w:sz w:val="16"/>
              </w:rPr>
            </w:pPr>
          </w:p>
        </w:tc>
      </w:tr>
    </w:tbl>
    <w:p>
      <w:pPr>
        <w:spacing w:after="0"/>
        <w:rPr>
          <w:sz w:val="16"/>
        </w:rPr>
        <w:sectPr>
          <w:pgSz w:w="16840" w:h="11900" w:orient="landscape"/>
          <w:pgMar w:header="458" w:footer="439"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938"/>
        <w:gridCol w:w="1027"/>
        <w:gridCol w:w="1166"/>
        <w:gridCol w:w="1260"/>
        <w:gridCol w:w="1260"/>
        <w:gridCol w:w="1260"/>
        <w:gridCol w:w="1440"/>
        <w:gridCol w:w="1260"/>
        <w:gridCol w:w="1440"/>
        <w:gridCol w:w="1260"/>
        <w:gridCol w:w="144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10"/>
          </w:tcPr>
          <w:p>
            <w:pPr>
              <w:pStyle w:val="TableParagraph"/>
              <w:spacing w:before="26"/>
              <w:ind w:left="108"/>
              <w:rPr>
                <w:b/>
                <w:sz w:val="20"/>
              </w:rPr>
            </w:pPr>
            <w:r>
              <w:rPr>
                <w:b/>
                <w:sz w:val="20"/>
              </w:rPr>
              <w:t>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10"/>
          </w:tcPr>
          <w:p>
            <w:pPr>
              <w:pStyle w:val="TableParagraph"/>
              <w:spacing w:before="26"/>
              <w:ind w:left="108"/>
              <w:rPr>
                <w:b/>
                <w:sz w:val="20"/>
              </w:rPr>
            </w:pPr>
            <w:r>
              <w:rPr>
                <w:b/>
                <w:sz w:val="20"/>
              </w:rPr>
              <w:t>Land Converted to 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10"/>
          </w:tcPr>
          <w:p>
            <w:pPr>
              <w:pStyle w:val="TableParagraph"/>
              <w:spacing w:before="26"/>
              <w:ind w:left="108"/>
              <w:rPr>
                <w:b/>
                <w:sz w:val="20"/>
              </w:rPr>
            </w:pPr>
            <w:r>
              <w:rPr>
                <w:b/>
                <w:sz w:val="20"/>
              </w:rPr>
              <w:t>FL-2b: Annual change in carbon stocks in dead organic matter (dead wood and litter)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10"/>
          </w:tcPr>
          <w:p>
            <w:pPr>
              <w:pStyle w:val="TableParagraph"/>
              <w:spacing w:before="26"/>
              <w:ind w:left="109"/>
              <w:rPr>
                <w:b/>
                <w:sz w:val="20"/>
              </w:rPr>
            </w:pPr>
            <w:r>
              <w:rPr>
                <w:b/>
                <w:sz w:val="20"/>
              </w:rPr>
              <w:t>1 of 2</w:t>
            </w:r>
          </w:p>
        </w:tc>
      </w:tr>
      <w:tr>
        <w:trPr>
          <w:trHeight w:val="395" w:hRule="atLeast"/>
        </w:trPr>
        <w:tc>
          <w:tcPr>
            <w:tcW w:w="1874" w:type="dxa"/>
            <w:gridSpan w:val="2"/>
            <w:shd w:val="clear" w:color="auto" w:fill="E4E4E4"/>
          </w:tcPr>
          <w:p>
            <w:pPr>
              <w:pStyle w:val="TableParagraph"/>
              <w:spacing w:line="180" w:lineRule="atLeast" w:before="23"/>
              <w:ind w:left="599" w:right="65" w:firstLine="38"/>
              <w:rPr>
                <w:sz w:val="16"/>
              </w:rPr>
            </w:pPr>
            <w:r>
              <w:rPr>
                <w:sz w:val="16"/>
              </w:rPr>
              <w:t>Land-use Category </w:t>
            </w:r>
            <w:r>
              <w:rPr>
                <w:sz w:val="16"/>
                <w:vertAlign w:val="superscript"/>
              </w:rPr>
              <w:t>2</w:t>
            </w:r>
          </w:p>
        </w:tc>
        <w:tc>
          <w:tcPr>
            <w:tcW w:w="1027" w:type="dxa"/>
            <w:vMerge w:val="restart"/>
            <w:tcBorders>
              <w:bottom w:val="nil"/>
            </w:tcBorders>
            <w:shd w:val="clear" w:color="auto" w:fill="E4E4E4"/>
          </w:tcPr>
          <w:p>
            <w:pPr>
              <w:pStyle w:val="TableParagraph"/>
              <w:spacing w:before="23"/>
              <w:ind w:left="189" w:right="177" w:firstLine="5"/>
              <w:jc w:val="center"/>
              <w:rPr>
                <w:sz w:val="16"/>
              </w:rPr>
            </w:pPr>
            <w:r>
              <w:rPr>
                <w:sz w:val="16"/>
              </w:rPr>
              <w:t>Sub- categories for  Reporting Year </w:t>
            </w:r>
            <w:r>
              <w:rPr>
                <w:sz w:val="16"/>
                <w:vertAlign w:val="superscript"/>
              </w:rPr>
              <w:t>3</w:t>
            </w:r>
          </w:p>
        </w:tc>
        <w:tc>
          <w:tcPr>
            <w:tcW w:w="1166" w:type="dxa"/>
            <w:vMerge w:val="restart"/>
            <w:tcBorders>
              <w:bottom w:val="nil"/>
            </w:tcBorders>
            <w:shd w:val="clear" w:color="auto" w:fill="E4E4E4"/>
          </w:tcPr>
          <w:p>
            <w:pPr>
              <w:pStyle w:val="TableParagraph"/>
              <w:spacing w:before="23"/>
              <w:ind w:left="91" w:right="76" w:hanging="3"/>
              <w:jc w:val="center"/>
              <w:rPr>
                <w:sz w:val="16"/>
              </w:rPr>
            </w:pPr>
            <w:r>
              <w:rPr>
                <w:sz w:val="16"/>
              </w:rPr>
              <w:t>Area of land converted to forest land through natural regeneration</w:t>
            </w:r>
          </w:p>
          <w:p>
            <w:pPr>
              <w:pStyle w:val="TableParagraph"/>
              <w:rPr>
                <w:sz w:val="16"/>
              </w:rPr>
            </w:pPr>
          </w:p>
          <w:p>
            <w:pPr>
              <w:pStyle w:val="TableParagraph"/>
              <w:spacing w:line="161" w:lineRule="exact"/>
              <w:ind w:left="390" w:right="379"/>
              <w:jc w:val="center"/>
              <w:rPr>
                <w:sz w:val="16"/>
              </w:rPr>
            </w:pPr>
            <w:r>
              <w:rPr>
                <w:sz w:val="16"/>
              </w:rPr>
              <w:t>(ha)</w:t>
            </w:r>
          </w:p>
        </w:tc>
        <w:tc>
          <w:tcPr>
            <w:tcW w:w="1260" w:type="dxa"/>
            <w:vMerge w:val="restart"/>
            <w:tcBorders>
              <w:bottom w:val="nil"/>
            </w:tcBorders>
            <w:shd w:val="clear" w:color="auto" w:fill="E4E4E4"/>
          </w:tcPr>
          <w:p>
            <w:pPr>
              <w:pStyle w:val="TableParagraph"/>
              <w:spacing w:before="23"/>
              <w:ind w:left="178" w:right="167" w:firstLine="1"/>
              <w:jc w:val="center"/>
              <w:rPr>
                <w:sz w:val="16"/>
              </w:rPr>
            </w:pPr>
            <w:r>
              <w:rPr>
                <w:sz w:val="16"/>
              </w:rPr>
              <w:t>Standing biomass stock in terms of carbon in naturally</w:t>
            </w:r>
          </w:p>
          <w:p>
            <w:pPr>
              <w:pStyle w:val="TableParagraph"/>
              <w:spacing w:line="184" w:lineRule="exact" w:before="1"/>
              <w:ind w:left="184" w:right="172"/>
              <w:jc w:val="center"/>
              <w:rPr>
                <w:sz w:val="16"/>
              </w:rPr>
            </w:pPr>
            <w:r>
              <w:rPr>
                <w:sz w:val="16"/>
              </w:rPr>
              <w:t>regenerated forest</w:t>
            </w:r>
          </w:p>
        </w:tc>
        <w:tc>
          <w:tcPr>
            <w:tcW w:w="1260" w:type="dxa"/>
            <w:vMerge w:val="restart"/>
            <w:shd w:val="clear" w:color="auto" w:fill="E4E4E4"/>
          </w:tcPr>
          <w:p>
            <w:pPr>
              <w:pStyle w:val="TableParagraph"/>
              <w:spacing w:before="23"/>
              <w:ind w:left="187" w:right="172"/>
              <w:jc w:val="center"/>
              <w:rPr>
                <w:sz w:val="16"/>
              </w:rPr>
            </w:pPr>
            <w:r>
              <w:rPr>
                <w:sz w:val="16"/>
              </w:rPr>
              <w:t>Mortality</w:t>
            </w:r>
            <w:r>
              <w:rPr>
                <w:spacing w:val="-4"/>
                <w:sz w:val="16"/>
              </w:rPr>
              <w:t> </w:t>
            </w:r>
            <w:r>
              <w:rPr>
                <w:sz w:val="16"/>
              </w:rPr>
              <w:t>rate in naturally regenerated forest</w:t>
            </w:r>
          </w:p>
          <w:p>
            <w:pPr>
              <w:pStyle w:val="TableParagraph"/>
              <w:spacing w:before="11"/>
              <w:rPr>
                <w:sz w:val="15"/>
              </w:rPr>
            </w:pPr>
          </w:p>
          <w:p>
            <w:pPr>
              <w:pStyle w:val="TableParagraph"/>
              <w:ind w:left="187" w:right="172"/>
              <w:jc w:val="center"/>
              <w:rPr>
                <w:sz w:val="16"/>
              </w:rPr>
            </w:pPr>
            <w:r>
              <w:rPr>
                <w:spacing w:val="-1"/>
                <w:sz w:val="16"/>
              </w:rPr>
              <w:t>(dimension- </w:t>
            </w:r>
            <w:r>
              <w:rPr>
                <w:sz w:val="16"/>
              </w:rPr>
              <w:t>less)</w:t>
            </w:r>
          </w:p>
          <w:p>
            <w:pPr>
              <w:pStyle w:val="TableParagraph"/>
              <w:rPr>
                <w:sz w:val="18"/>
              </w:rPr>
            </w:pPr>
          </w:p>
          <w:p>
            <w:pPr>
              <w:pStyle w:val="TableParagraph"/>
              <w:rPr>
                <w:sz w:val="18"/>
              </w:rPr>
            </w:pPr>
          </w:p>
          <w:p>
            <w:pPr>
              <w:pStyle w:val="TableParagraph"/>
              <w:rPr>
                <w:sz w:val="18"/>
              </w:rPr>
            </w:pPr>
          </w:p>
          <w:p>
            <w:pPr>
              <w:pStyle w:val="TableParagraph"/>
              <w:spacing w:line="168" w:lineRule="exact" w:before="127"/>
              <w:ind w:left="10"/>
              <w:jc w:val="center"/>
              <w:rPr>
                <w:sz w:val="16"/>
              </w:rPr>
            </w:pPr>
            <w:r>
              <w:rPr>
                <w:w w:val="100"/>
                <w:sz w:val="16"/>
              </w:rPr>
              <w:t>C</w:t>
            </w:r>
          </w:p>
        </w:tc>
        <w:tc>
          <w:tcPr>
            <w:tcW w:w="1260" w:type="dxa"/>
            <w:vMerge w:val="restart"/>
            <w:shd w:val="clear" w:color="auto" w:fill="E4E4E4"/>
          </w:tcPr>
          <w:p>
            <w:pPr>
              <w:pStyle w:val="TableParagraph"/>
              <w:spacing w:before="23"/>
              <w:ind w:left="103" w:right="88"/>
              <w:jc w:val="center"/>
              <w:rPr>
                <w:sz w:val="16"/>
              </w:rPr>
            </w:pPr>
            <w:r>
              <w:rPr>
                <w:sz w:val="16"/>
              </w:rPr>
              <w:t>Annual transfer into dead wood for naturally regenerated forest area</w:t>
            </w:r>
          </w:p>
          <w:p>
            <w:pPr>
              <w:pStyle w:val="TableParagraph"/>
              <w:rPr>
                <w:sz w:val="16"/>
              </w:rPr>
            </w:pPr>
          </w:p>
          <w:p>
            <w:pPr>
              <w:pStyle w:val="TableParagraph"/>
              <w:ind w:left="231" w:right="220"/>
              <w:jc w:val="center"/>
              <w:rPr>
                <w:sz w:val="16"/>
              </w:rPr>
            </w:pPr>
            <w:r>
              <w:rPr>
                <w:sz w:val="16"/>
              </w:rPr>
              <w:t>(tonnes d.m.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spacing w:line="350" w:lineRule="atLeast" w:before="41"/>
              <w:ind w:left="303" w:right="290"/>
              <w:jc w:val="center"/>
              <w:rPr>
                <w:sz w:val="16"/>
              </w:rPr>
            </w:pPr>
            <w:r>
              <w:rPr>
                <w:sz w:val="16"/>
              </w:rPr>
              <w:t>D = B </w:t>
            </w:r>
            <w:r>
              <w:rPr>
                <w:rFonts w:ascii="Symbol" w:hAnsi="Symbol"/>
                <w:sz w:val="16"/>
              </w:rPr>
              <w:t>• </w:t>
            </w:r>
            <w:r>
              <w:rPr>
                <w:sz w:val="16"/>
              </w:rPr>
              <w:t>C D</w:t>
            </w:r>
          </w:p>
        </w:tc>
        <w:tc>
          <w:tcPr>
            <w:tcW w:w="1440" w:type="dxa"/>
            <w:vMerge w:val="restart"/>
            <w:shd w:val="clear" w:color="auto" w:fill="E4E4E4"/>
          </w:tcPr>
          <w:p>
            <w:pPr>
              <w:pStyle w:val="TableParagraph"/>
              <w:spacing w:before="23"/>
              <w:ind w:left="142" w:right="134" w:firstLine="4"/>
              <w:jc w:val="center"/>
              <w:rPr>
                <w:sz w:val="16"/>
              </w:rPr>
            </w:pPr>
            <w:r>
              <w:rPr>
                <w:sz w:val="16"/>
              </w:rPr>
              <w:t>Annual transfer out of dead wood for naturally regenerated forest area</w:t>
            </w:r>
          </w:p>
          <w:p>
            <w:pPr>
              <w:pStyle w:val="TableParagraph"/>
              <w:rPr>
                <w:sz w:val="16"/>
              </w:rPr>
            </w:pPr>
          </w:p>
          <w:p>
            <w:pPr>
              <w:pStyle w:val="TableParagraph"/>
              <w:ind w:left="322" w:right="309"/>
              <w:jc w:val="center"/>
              <w:rPr>
                <w:sz w:val="16"/>
              </w:rPr>
            </w:pPr>
            <w:r>
              <w:rPr>
                <w:sz w:val="16"/>
              </w:rPr>
              <w:t>(tonnes d.m.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49"/>
              <w:ind w:left="9"/>
              <w:jc w:val="center"/>
              <w:rPr>
                <w:sz w:val="16"/>
              </w:rPr>
            </w:pPr>
            <w:r>
              <w:rPr>
                <w:w w:val="100"/>
                <w:sz w:val="16"/>
              </w:rPr>
              <w:t>E</w:t>
            </w:r>
          </w:p>
        </w:tc>
        <w:tc>
          <w:tcPr>
            <w:tcW w:w="1260" w:type="dxa"/>
            <w:vMerge w:val="restart"/>
            <w:tcBorders>
              <w:bottom w:val="nil"/>
            </w:tcBorders>
            <w:shd w:val="clear" w:color="auto" w:fill="E4E4E4"/>
          </w:tcPr>
          <w:p>
            <w:pPr>
              <w:pStyle w:val="TableParagraph"/>
              <w:spacing w:before="23"/>
              <w:ind w:left="103" w:right="89"/>
              <w:jc w:val="center"/>
              <w:rPr>
                <w:sz w:val="16"/>
              </w:rPr>
            </w:pPr>
            <w:r>
              <w:rPr>
                <w:sz w:val="16"/>
              </w:rPr>
              <w:t>Area of land converted into forest land through establishment of plantations</w:t>
            </w:r>
          </w:p>
        </w:tc>
        <w:tc>
          <w:tcPr>
            <w:tcW w:w="1440" w:type="dxa"/>
            <w:vMerge w:val="restart"/>
            <w:shd w:val="clear" w:color="auto" w:fill="E4E4E4"/>
          </w:tcPr>
          <w:p>
            <w:pPr>
              <w:pStyle w:val="TableParagraph"/>
              <w:spacing w:before="23"/>
              <w:ind w:left="135" w:right="125"/>
              <w:jc w:val="center"/>
              <w:rPr>
                <w:sz w:val="16"/>
              </w:rPr>
            </w:pPr>
            <w:r>
              <w:rPr>
                <w:sz w:val="16"/>
              </w:rPr>
              <w:t>Standing biomass stock in terms of carbon in artificially regenerated</w:t>
            </w:r>
            <w:r>
              <w:rPr>
                <w:spacing w:val="3"/>
                <w:sz w:val="16"/>
              </w:rPr>
              <w:t> </w:t>
            </w:r>
            <w:r>
              <w:rPr>
                <w:spacing w:val="-4"/>
                <w:sz w:val="16"/>
              </w:rPr>
              <w:t>forest</w:t>
            </w:r>
          </w:p>
          <w:p>
            <w:pPr>
              <w:pStyle w:val="TableParagraph"/>
              <w:rPr>
                <w:sz w:val="16"/>
              </w:rPr>
            </w:pPr>
          </w:p>
          <w:p>
            <w:pPr>
              <w:pStyle w:val="TableParagraph"/>
              <w:ind w:left="135" w:right="126"/>
              <w:jc w:val="center"/>
              <w:rPr>
                <w:sz w:val="16"/>
              </w:rPr>
            </w:pPr>
            <w:r>
              <w:rPr>
                <w:sz w:val="16"/>
              </w:rPr>
              <w:t>(tonnes d.m.</w:t>
            </w:r>
            <w:r>
              <w:rPr>
                <w:spacing w:val="2"/>
                <w:sz w:val="16"/>
              </w:rPr>
              <w:t> </w:t>
            </w:r>
            <w:r>
              <w:rPr>
                <w:sz w:val="16"/>
              </w:rPr>
              <w:t>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26"/>
              <w:ind w:left="12"/>
              <w:jc w:val="center"/>
              <w:rPr>
                <w:sz w:val="16"/>
              </w:rPr>
            </w:pPr>
            <w:r>
              <w:rPr>
                <w:w w:val="100"/>
                <w:sz w:val="16"/>
              </w:rPr>
              <w:t>G</w:t>
            </w:r>
          </w:p>
        </w:tc>
        <w:tc>
          <w:tcPr>
            <w:tcW w:w="1260" w:type="dxa"/>
            <w:vMerge w:val="restart"/>
            <w:shd w:val="clear" w:color="auto" w:fill="E4E4E4"/>
          </w:tcPr>
          <w:p>
            <w:pPr>
              <w:pStyle w:val="TableParagraph"/>
              <w:spacing w:before="23"/>
              <w:ind w:left="103" w:right="88"/>
              <w:jc w:val="center"/>
              <w:rPr>
                <w:sz w:val="16"/>
              </w:rPr>
            </w:pPr>
            <w:r>
              <w:rPr>
                <w:sz w:val="16"/>
              </w:rPr>
              <w:t>Mortality rate in artificially regenerated forest</w:t>
            </w:r>
          </w:p>
          <w:p>
            <w:pPr>
              <w:pStyle w:val="TableParagraph"/>
              <w:spacing w:before="11"/>
              <w:rPr>
                <w:sz w:val="15"/>
              </w:rPr>
            </w:pPr>
          </w:p>
          <w:p>
            <w:pPr>
              <w:pStyle w:val="TableParagraph"/>
              <w:ind w:left="102" w:right="89"/>
              <w:jc w:val="center"/>
              <w:rPr>
                <w:sz w:val="16"/>
              </w:rPr>
            </w:pPr>
            <w:r>
              <w:rPr>
                <w:sz w:val="16"/>
              </w:rPr>
              <w:t>(dimensionless)</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line="168" w:lineRule="exact" w:before="104"/>
              <w:ind w:left="10"/>
              <w:jc w:val="center"/>
              <w:rPr>
                <w:sz w:val="16"/>
              </w:rPr>
            </w:pPr>
            <w:r>
              <w:rPr>
                <w:w w:val="100"/>
                <w:sz w:val="16"/>
              </w:rPr>
              <w:t>H</w:t>
            </w:r>
          </w:p>
        </w:tc>
        <w:tc>
          <w:tcPr>
            <w:tcW w:w="1440" w:type="dxa"/>
            <w:vMerge w:val="restart"/>
            <w:shd w:val="clear" w:color="auto" w:fill="E4E4E4"/>
          </w:tcPr>
          <w:p>
            <w:pPr>
              <w:pStyle w:val="TableParagraph"/>
              <w:spacing w:before="23"/>
              <w:ind w:left="75" w:right="59"/>
              <w:jc w:val="center"/>
              <w:rPr>
                <w:sz w:val="16"/>
              </w:rPr>
            </w:pPr>
            <w:r>
              <w:rPr>
                <w:sz w:val="16"/>
              </w:rPr>
              <w:t>Annual transfer into dead wood for artificially regenerated forest area</w:t>
            </w:r>
          </w:p>
          <w:p>
            <w:pPr>
              <w:pStyle w:val="TableParagraph"/>
              <w:rPr>
                <w:sz w:val="16"/>
              </w:rPr>
            </w:pPr>
          </w:p>
          <w:p>
            <w:pPr>
              <w:pStyle w:val="TableParagraph"/>
              <w:ind w:left="322" w:right="309"/>
              <w:jc w:val="center"/>
              <w:rPr>
                <w:sz w:val="16"/>
              </w:rPr>
            </w:pPr>
            <w:r>
              <w:rPr>
                <w:sz w:val="16"/>
              </w:rPr>
              <w:t>(tonnes d.m.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spacing w:line="350" w:lineRule="atLeast" w:before="41"/>
              <w:ind w:left="418" w:right="401"/>
              <w:jc w:val="center"/>
              <w:rPr>
                <w:sz w:val="16"/>
              </w:rPr>
            </w:pPr>
            <w:r>
              <w:rPr>
                <w:sz w:val="16"/>
              </w:rPr>
              <w:t>I = G </w:t>
            </w:r>
            <w:r>
              <w:rPr>
                <w:rFonts w:ascii="Symbol" w:hAnsi="Symbol"/>
                <w:sz w:val="16"/>
              </w:rPr>
              <w:t>• </w:t>
            </w:r>
            <w:r>
              <w:rPr>
                <w:sz w:val="16"/>
              </w:rPr>
              <w:t>H I</w:t>
            </w:r>
          </w:p>
        </w:tc>
      </w:tr>
      <w:tr>
        <w:trPr>
          <w:trHeight w:val="902" w:hRule="atLeast"/>
        </w:trPr>
        <w:tc>
          <w:tcPr>
            <w:tcW w:w="936" w:type="dxa"/>
            <w:tcBorders>
              <w:bottom w:val="nil"/>
            </w:tcBorders>
            <w:shd w:val="clear" w:color="auto" w:fill="E4E4E4"/>
          </w:tcPr>
          <w:p>
            <w:pPr>
              <w:pStyle w:val="TableParagraph"/>
              <w:spacing w:before="23"/>
              <w:ind w:left="174" w:right="149" w:firstLine="100"/>
              <w:rPr>
                <w:sz w:val="16"/>
              </w:rPr>
            </w:pPr>
            <w:r>
              <w:rPr>
                <w:sz w:val="16"/>
              </w:rPr>
              <w:t>Initial Land use</w:t>
            </w:r>
          </w:p>
        </w:tc>
        <w:tc>
          <w:tcPr>
            <w:tcW w:w="938" w:type="dxa"/>
            <w:tcBorders>
              <w:bottom w:val="nil"/>
            </w:tcBorders>
            <w:shd w:val="clear" w:color="auto" w:fill="E4E4E4"/>
          </w:tcPr>
          <w:p>
            <w:pPr>
              <w:pStyle w:val="TableParagraph"/>
              <w:spacing w:before="23"/>
              <w:ind w:left="170" w:right="158"/>
              <w:jc w:val="center"/>
              <w:rPr>
                <w:sz w:val="16"/>
              </w:rPr>
            </w:pPr>
            <w:r>
              <w:rPr>
                <w:sz w:val="16"/>
              </w:rPr>
              <w:t>Land use during reporting Year</w:t>
            </w:r>
          </w:p>
        </w:tc>
        <w:tc>
          <w:tcPr>
            <w:tcW w:w="1027" w:type="dxa"/>
            <w:vMerge/>
            <w:tcBorders>
              <w:top w:val="nil"/>
              <w:bottom w:val="nil"/>
            </w:tcBorders>
            <w:shd w:val="clear" w:color="auto" w:fill="E4E4E4"/>
          </w:tcPr>
          <w:p>
            <w:pPr>
              <w:rPr>
                <w:sz w:val="2"/>
                <w:szCs w:val="2"/>
              </w:rPr>
            </w:pPr>
          </w:p>
        </w:tc>
        <w:tc>
          <w:tcPr>
            <w:tcW w:w="1166" w:type="dxa"/>
            <w:vMerge/>
            <w:tcBorders>
              <w:top w:val="nil"/>
              <w:bottom w:val="nil"/>
            </w:tcBorders>
            <w:shd w:val="clear" w:color="auto" w:fill="E4E4E4"/>
          </w:tcPr>
          <w:p>
            <w:pPr>
              <w:rPr>
                <w:sz w:val="2"/>
                <w:szCs w:val="2"/>
              </w:rPr>
            </w:pPr>
          </w:p>
        </w:tc>
        <w:tc>
          <w:tcPr>
            <w:tcW w:w="1260" w:type="dxa"/>
            <w:vMerge/>
            <w:tcBorders>
              <w:top w:val="nil"/>
              <w:bottom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440" w:type="dxa"/>
            <w:vMerge/>
            <w:tcBorders>
              <w:top w:val="nil"/>
            </w:tcBorders>
            <w:shd w:val="clear" w:color="auto" w:fill="E4E4E4"/>
          </w:tcPr>
          <w:p>
            <w:pPr>
              <w:rPr>
                <w:sz w:val="2"/>
                <w:szCs w:val="2"/>
              </w:rPr>
            </w:pPr>
          </w:p>
        </w:tc>
        <w:tc>
          <w:tcPr>
            <w:tcW w:w="1260" w:type="dxa"/>
            <w:vMerge/>
            <w:tcBorders>
              <w:top w:val="nil"/>
              <w:bottom w:val="nil"/>
            </w:tcBorders>
            <w:shd w:val="clear" w:color="auto" w:fill="E4E4E4"/>
          </w:tcPr>
          <w:p>
            <w:pPr>
              <w:rPr>
                <w:sz w:val="2"/>
                <w:szCs w:val="2"/>
              </w:rPr>
            </w:pPr>
          </w:p>
        </w:tc>
        <w:tc>
          <w:tcPr>
            <w:tcW w:w="1440" w:type="dxa"/>
            <w:vMerge/>
            <w:tcBorders>
              <w:top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440" w:type="dxa"/>
            <w:vMerge/>
            <w:tcBorders>
              <w:top w:val="nil"/>
            </w:tcBorders>
            <w:shd w:val="clear" w:color="auto" w:fill="E4E4E4"/>
          </w:tcPr>
          <w:p>
            <w:pPr>
              <w:rPr>
                <w:sz w:val="2"/>
                <w:szCs w:val="2"/>
              </w:rPr>
            </w:pPr>
          </w:p>
        </w:tc>
      </w:tr>
      <w:tr>
        <w:trPr>
          <w:trHeight w:val="170" w:hRule="atLeast"/>
        </w:trPr>
        <w:tc>
          <w:tcPr>
            <w:tcW w:w="936" w:type="dxa"/>
            <w:tcBorders>
              <w:top w:val="nil"/>
              <w:bottom w:val="nil"/>
            </w:tcBorders>
            <w:shd w:val="clear" w:color="auto" w:fill="E4E4E4"/>
          </w:tcPr>
          <w:p>
            <w:pPr>
              <w:pStyle w:val="TableParagraph"/>
              <w:rPr>
                <w:sz w:val="10"/>
              </w:rPr>
            </w:pPr>
          </w:p>
        </w:tc>
        <w:tc>
          <w:tcPr>
            <w:tcW w:w="938" w:type="dxa"/>
            <w:tcBorders>
              <w:top w:val="nil"/>
              <w:bottom w:val="nil"/>
            </w:tcBorders>
            <w:shd w:val="clear" w:color="auto" w:fill="E4E4E4"/>
          </w:tcPr>
          <w:p>
            <w:pPr>
              <w:pStyle w:val="TableParagraph"/>
              <w:rPr>
                <w:sz w:val="10"/>
              </w:rPr>
            </w:pPr>
          </w:p>
        </w:tc>
        <w:tc>
          <w:tcPr>
            <w:tcW w:w="1027" w:type="dxa"/>
            <w:tcBorders>
              <w:top w:val="nil"/>
              <w:bottom w:val="nil"/>
            </w:tcBorders>
            <w:shd w:val="clear" w:color="auto" w:fill="E4E4E4"/>
          </w:tcPr>
          <w:p>
            <w:pPr>
              <w:pStyle w:val="TableParagraph"/>
              <w:rPr>
                <w:sz w:val="10"/>
              </w:rPr>
            </w:pPr>
          </w:p>
        </w:tc>
        <w:tc>
          <w:tcPr>
            <w:tcW w:w="1166" w:type="dxa"/>
            <w:tcBorders>
              <w:top w:val="nil"/>
              <w:bottom w:val="nil"/>
            </w:tcBorders>
            <w:shd w:val="clear" w:color="auto" w:fill="E4E4E4"/>
          </w:tcPr>
          <w:p>
            <w:pPr>
              <w:pStyle w:val="TableParagraph"/>
              <w:rPr>
                <w:sz w:val="10"/>
              </w:rPr>
            </w:pPr>
          </w:p>
        </w:tc>
        <w:tc>
          <w:tcPr>
            <w:tcW w:w="1260" w:type="dxa"/>
            <w:tcBorders>
              <w:top w:val="nil"/>
              <w:bottom w:val="nil"/>
            </w:tcBorders>
            <w:shd w:val="clear" w:color="auto" w:fill="E4E4E4"/>
          </w:tcPr>
          <w:p>
            <w:pPr>
              <w:pStyle w:val="TableParagraph"/>
              <w:rPr>
                <w:sz w:val="10"/>
              </w:rPr>
            </w:pPr>
          </w:p>
        </w:tc>
        <w:tc>
          <w:tcPr>
            <w:tcW w:w="1260" w:type="dxa"/>
            <w:vMerge/>
            <w:tcBorders>
              <w:top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440" w:type="dxa"/>
            <w:vMerge/>
            <w:tcBorders>
              <w:top w:val="nil"/>
            </w:tcBorders>
            <w:shd w:val="clear" w:color="auto" w:fill="E4E4E4"/>
          </w:tcPr>
          <w:p>
            <w:pPr>
              <w:rPr>
                <w:sz w:val="2"/>
                <w:szCs w:val="2"/>
              </w:rPr>
            </w:pPr>
          </w:p>
        </w:tc>
        <w:tc>
          <w:tcPr>
            <w:tcW w:w="1260" w:type="dxa"/>
            <w:tcBorders>
              <w:top w:val="nil"/>
              <w:bottom w:val="nil"/>
            </w:tcBorders>
            <w:shd w:val="clear" w:color="auto" w:fill="E4E4E4"/>
          </w:tcPr>
          <w:p>
            <w:pPr>
              <w:pStyle w:val="TableParagraph"/>
              <w:spacing w:line="150" w:lineRule="exact"/>
              <w:ind w:left="186" w:right="172"/>
              <w:jc w:val="center"/>
              <w:rPr>
                <w:sz w:val="16"/>
              </w:rPr>
            </w:pPr>
            <w:r>
              <w:rPr>
                <w:sz w:val="16"/>
              </w:rPr>
              <w:t>(ha)</w:t>
            </w:r>
          </w:p>
        </w:tc>
        <w:tc>
          <w:tcPr>
            <w:tcW w:w="1440" w:type="dxa"/>
            <w:vMerge/>
            <w:tcBorders>
              <w:top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440" w:type="dxa"/>
            <w:vMerge/>
            <w:tcBorders>
              <w:top w:val="nil"/>
            </w:tcBorders>
            <w:shd w:val="clear" w:color="auto" w:fill="E4E4E4"/>
          </w:tcPr>
          <w:p>
            <w:pPr>
              <w:rPr>
                <w:sz w:val="2"/>
                <w:szCs w:val="2"/>
              </w:rPr>
            </w:pPr>
          </w:p>
        </w:tc>
      </w:tr>
      <w:tr>
        <w:trPr>
          <w:trHeight w:val="455" w:hRule="atLeast"/>
        </w:trPr>
        <w:tc>
          <w:tcPr>
            <w:tcW w:w="936" w:type="dxa"/>
            <w:tcBorders>
              <w:top w:val="nil"/>
              <w:bottom w:val="nil"/>
            </w:tcBorders>
            <w:shd w:val="clear" w:color="auto" w:fill="E4E4E4"/>
          </w:tcPr>
          <w:p>
            <w:pPr>
              <w:pStyle w:val="TableParagraph"/>
              <w:rPr>
                <w:sz w:val="16"/>
              </w:rPr>
            </w:pPr>
          </w:p>
        </w:tc>
        <w:tc>
          <w:tcPr>
            <w:tcW w:w="938" w:type="dxa"/>
            <w:tcBorders>
              <w:top w:val="nil"/>
              <w:bottom w:val="nil"/>
            </w:tcBorders>
            <w:shd w:val="clear" w:color="auto" w:fill="E4E4E4"/>
          </w:tcPr>
          <w:p>
            <w:pPr>
              <w:pStyle w:val="TableParagraph"/>
              <w:rPr>
                <w:sz w:val="16"/>
              </w:rPr>
            </w:pPr>
          </w:p>
        </w:tc>
        <w:tc>
          <w:tcPr>
            <w:tcW w:w="1027" w:type="dxa"/>
            <w:tcBorders>
              <w:top w:val="nil"/>
              <w:bottom w:val="nil"/>
            </w:tcBorders>
            <w:shd w:val="clear" w:color="auto" w:fill="E4E4E4"/>
          </w:tcPr>
          <w:p>
            <w:pPr>
              <w:pStyle w:val="TableParagraph"/>
              <w:rPr>
                <w:sz w:val="16"/>
              </w:rPr>
            </w:pPr>
          </w:p>
        </w:tc>
        <w:tc>
          <w:tcPr>
            <w:tcW w:w="1166" w:type="dxa"/>
            <w:tcBorders>
              <w:top w:val="nil"/>
              <w:bottom w:val="nil"/>
            </w:tcBorders>
            <w:shd w:val="clear" w:color="auto" w:fill="E4E4E4"/>
          </w:tcPr>
          <w:p>
            <w:pPr>
              <w:pStyle w:val="TableParagraph"/>
              <w:rPr>
                <w:sz w:val="16"/>
              </w:rPr>
            </w:pPr>
          </w:p>
        </w:tc>
        <w:tc>
          <w:tcPr>
            <w:tcW w:w="1260" w:type="dxa"/>
            <w:tcBorders>
              <w:top w:val="nil"/>
              <w:bottom w:val="nil"/>
            </w:tcBorders>
            <w:shd w:val="clear" w:color="auto" w:fill="E4E4E4"/>
          </w:tcPr>
          <w:p>
            <w:pPr>
              <w:pStyle w:val="TableParagraph"/>
              <w:spacing w:line="237" w:lineRule="auto"/>
              <w:ind w:left="485" w:right="220" w:hanging="255"/>
              <w:rPr>
                <w:sz w:val="16"/>
              </w:rPr>
            </w:pPr>
            <w:r>
              <w:rPr>
                <w:sz w:val="16"/>
              </w:rPr>
              <w:t>(tonnes d.m. ha</w:t>
            </w:r>
            <w:r>
              <w:rPr>
                <w:sz w:val="16"/>
                <w:vertAlign w:val="superscript"/>
              </w:rPr>
              <w:t>-1</w:t>
            </w:r>
            <w:r>
              <w:rPr>
                <w:sz w:val="16"/>
                <w:vertAlign w:val="baseline"/>
              </w:rPr>
              <w:t>)</w:t>
            </w:r>
          </w:p>
        </w:tc>
        <w:tc>
          <w:tcPr>
            <w:tcW w:w="1260" w:type="dxa"/>
            <w:vMerge/>
            <w:tcBorders>
              <w:top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440" w:type="dxa"/>
            <w:vMerge/>
            <w:tcBorders>
              <w:top w:val="nil"/>
            </w:tcBorders>
            <w:shd w:val="clear" w:color="auto" w:fill="E4E4E4"/>
          </w:tcPr>
          <w:p>
            <w:pPr>
              <w:rPr>
                <w:sz w:val="2"/>
                <w:szCs w:val="2"/>
              </w:rPr>
            </w:pPr>
          </w:p>
        </w:tc>
        <w:tc>
          <w:tcPr>
            <w:tcW w:w="1260" w:type="dxa"/>
            <w:tcBorders>
              <w:top w:val="nil"/>
              <w:bottom w:val="nil"/>
            </w:tcBorders>
            <w:shd w:val="clear" w:color="auto" w:fill="E4E4E4"/>
          </w:tcPr>
          <w:p>
            <w:pPr>
              <w:pStyle w:val="TableParagraph"/>
              <w:rPr>
                <w:sz w:val="16"/>
              </w:rPr>
            </w:pPr>
          </w:p>
        </w:tc>
        <w:tc>
          <w:tcPr>
            <w:tcW w:w="1440" w:type="dxa"/>
            <w:vMerge/>
            <w:tcBorders>
              <w:top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440" w:type="dxa"/>
            <w:vMerge/>
            <w:tcBorders>
              <w:top w:val="nil"/>
            </w:tcBorders>
            <w:shd w:val="clear" w:color="auto" w:fill="E4E4E4"/>
          </w:tcPr>
          <w:p>
            <w:pPr>
              <w:rPr>
                <w:sz w:val="2"/>
                <w:szCs w:val="2"/>
              </w:rPr>
            </w:pPr>
          </w:p>
        </w:tc>
      </w:tr>
      <w:tr>
        <w:trPr>
          <w:trHeight w:val="278" w:hRule="atLeast"/>
        </w:trPr>
        <w:tc>
          <w:tcPr>
            <w:tcW w:w="936" w:type="dxa"/>
            <w:tcBorders>
              <w:top w:val="nil"/>
            </w:tcBorders>
            <w:shd w:val="clear" w:color="auto" w:fill="E4E4E4"/>
          </w:tcPr>
          <w:p>
            <w:pPr>
              <w:pStyle w:val="TableParagraph"/>
              <w:rPr>
                <w:sz w:val="16"/>
              </w:rPr>
            </w:pPr>
          </w:p>
        </w:tc>
        <w:tc>
          <w:tcPr>
            <w:tcW w:w="938" w:type="dxa"/>
            <w:tcBorders>
              <w:top w:val="nil"/>
            </w:tcBorders>
            <w:shd w:val="clear" w:color="auto" w:fill="E4E4E4"/>
          </w:tcPr>
          <w:p>
            <w:pPr>
              <w:pStyle w:val="TableParagraph"/>
              <w:rPr>
                <w:sz w:val="16"/>
              </w:rPr>
            </w:pPr>
          </w:p>
        </w:tc>
        <w:tc>
          <w:tcPr>
            <w:tcW w:w="1027" w:type="dxa"/>
            <w:tcBorders>
              <w:top w:val="nil"/>
            </w:tcBorders>
            <w:shd w:val="clear" w:color="auto" w:fill="E4E4E4"/>
          </w:tcPr>
          <w:p>
            <w:pPr>
              <w:pStyle w:val="TableParagraph"/>
              <w:rPr>
                <w:sz w:val="16"/>
              </w:rPr>
            </w:pPr>
          </w:p>
        </w:tc>
        <w:tc>
          <w:tcPr>
            <w:tcW w:w="1166" w:type="dxa"/>
            <w:tcBorders>
              <w:top w:val="nil"/>
            </w:tcBorders>
            <w:shd w:val="clear" w:color="auto" w:fill="E4E4E4"/>
          </w:tcPr>
          <w:p>
            <w:pPr>
              <w:pStyle w:val="TableParagraph"/>
              <w:spacing w:line="168" w:lineRule="exact" w:before="90"/>
              <w:ind w:left="12"/>
              <w:jc w:val="center"/>
              <w:rPr>
                <w:sz w:val="16"/>
              </w:rPr>
            </w:pPr>
            <w:r>
              <w:rPr>
                <w:w w:val="100"/>
                <w:sz w:val="16"/>
              </w:rPr>
              <w:t>A</w:t>
            </w:r>
          </w:p>
        </w:tc>
        <w:tc>
          <w:tcPr>
            <w:tcW w:w="1260" w:type="dxa"/>
            <w:tcBorders>
              <w:top w:val="nil"/>
            </w:tcBorders>
            <w:shd w:val="clear" w:color="auto" w:fill="E4E4E4"/>
          </w:tcPr>
          <w:p>
            <w:pPr>
              <w:pStyle w:val="TableParagraph"/>
              <w:spacing w:line="168" w:lineRule="exact" w:before="90"/>
              <w:ind w:left="10"/>
              <w:jc w:val="center"/>
              <w:rPr>
                <w:sz w:val="16"/>
              </w:rPr>
            </w:pPr>
            <w:r>
              <w:rPr>
                <w:w w:val="100"/>
                <w:sz w:val="16"/>
              </w:rPr>
              <w:t>B</w:t>
            </w:r>
          </w:p>
        </w:tc>
        <w:tc>
          <w:tcPr>
            <w:tcW w:w="1260" w:type="dxa"/>
            <w:vMerge/>
            <w:tcBorders>
              <w:top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440" w:type="dxa"/>
            <w:vMerge/>
            <w:tcBorders>
              <w:top w:val="nil"/>
            </w:tcBorders>
            <w:shd w:val="clear" w:color="auto" w:fill="E4E4E4"/>
          </w:tcPr>
          <w:p>
            <w:pPr>
              <w:rPr>
                <w:sz w:val="2"/>
                <w:szCs w:val="2"/>
              </w:rPr>
            </w:pPr>
          </w:p>
        </w:tc>
        <w:tc>
          <w:tcPr>
            <w:tcW w:w="1260" w:type="dxa"/>
            <w:tcBorders>
              <w:top w:val="nil"/>
            </w:tcBorders>
            <w:shd w:val="clear" w:color="auto" w:fill="E4E4E4"/>
          </w:tcPr>
          <w:p>
            <w:pPr>
              <w:pStyle w:val="TableParagraph"/>
              <w:spacing w:line="168" w:lineRule="exact" w:before="90"/>
              <w:ind w:left="12"/>
              <w:jc w:val="center"/>
              <w:rPr>
                <w:sz w:val="16"/>
              </w:rPr>
            </w:pPr>
            <w:r>
              <w:rPr>
                <w:w w:val="100"/>
                <w:sz w:val="16"/>
              </w:rPr>
              <w:t>F</w:t>
            </w:r>
          </w:p>
        </w:tc>
        <w:tc>
          <w:tcPr>
            <w:tcW w:w="1440" w:type="dxa"/>
            <w:vMerge/>
            <w:tcBorders>
              <w:top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440" w:type="dxa"/>
            <w:vMerge/>
            <w:tcBorders>
              <w:top w:val="nil"/>
            </w:tcBorders>
            <w:shd w:val="clear" w:color="auto" w:fill="E4E4E4"/>
          </w:tcPr>
          <w:p>
            <w:pPr>
              <w:rPr>
                <w:sz w:val="2"/>
                <w:szCs w:val="2"/>
              </w:rPr>
            </w:pPr>
          </w:p>
        </w:tc>
      </w:tr>
      <w:tr>
        <w:trPr>
          <w:trHeight w:val="239" w:hRule="atLeast"/>
        </w:trPr>
        <w:tc>
          <w:tcPr>
            <w:tcW w:w="936" w:type="dxa"/>
          </w:tcPr>
          <w:p>
            <w:pPr>
              <w:pStyle w:val="TableParagraph"/>
              <w:spacing w:before="23"/>
              <w:ind w:left="107"/>
              <w:rPr>
                <w:sz w:val="16"/>
              </w:rPr>
            </w:pPr>
            <w:r>
              <w:rPr>
                <w:sz w:val="16"/>
              </w:rPr>
              <w:t>CL</w:t>
            </w:r>
          </w:p>
        </w:tc>
        <w:tc>
          <w:tcPr>
            <w:tcW w:w="938" w:type="dxa"/>
          </w:tcPr>
          <w:p>
            <w:pPr>
              <w:pStyle w:val="TableParagraph"/>
              <w:spacing w:before="23"/>
              <w:ind w:left="107"/>
              <w:rPr>
                <w:sz w:val="16"/>
              </w:rPr>
            </w:pPr>
            <w:r>
              <w:rPr>
                <w:sz w:val="16"/>
              </w:rPr>
              <w:t>FL</w:t>
            </w:r>
          </w:p>
        </w:tc>
        <w:tc>
          <w:tcPr>
            <w:tcW w:w="1027" w:type="dxa"/>
          </w:tcPr>
          <w:p>
            <w:pPr>
              <w:pStyle w:val="TableParagraph"/>
              <w:spacing w:before="23"/>
              <w:ind w:left="108"/>
              <w:rPr>
                <w:sz w:val="16"/>
              </w:rPr>
            </w:pPr>
            <w:r>
              <w:rPr>
                <w:sz w:val="16"/>
              </w:rPr>
              <w:t>(a)</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1166" w:type="dxa"/>
          </w:tcPr>
          <w:p>
            <w:pPr>
              <w:pStyle w:val="TableParagraph"/>
              <w:spacing w:before="25"/>
              <w:ind w:left="390" w:right="381"/>
              <w:jc w:val="center"/>
              <w:rPr>
                <w:b/>
                <w:sz w:val="10"/>
              </w:rPr>
            </w:pPr>
            <w:r>
              <w:rPr>
                <w:b/>
                <w:position w:val="2"/>
                <w:sz w:val="16"/>
              </w:rPr>
              <w:t>A</w:t>
            </w:r>
            <w:r>
              <w:rPr>
                <w:b/>
                <w:sz w:val="10"/>
              </w:rPr>
              <w:t>NatR</w:t>
            </w:r>
          </w:p>
        </w:tc>
        <w:tc>
          <w:tcPr>
            <w:tcW w:w="1260" w:type="dxa"/>
          </w:tcPr>
          <w:p>
            <w:pPr>
              <w:pStyle w:val="TableParagraph"/>
              <w:spacing w:before="25"/>
              <w:ind w:left="184" w:right="172"/>
              <w:jc w:val="center"/>
              <w:rPr>
                <w:b/>
                <w:sz w:val="10"/>
              </w:rPr>
            </w:pPr>
            <w:r>
              <w:rPr>
                <w:b/>
                <w:position w:val="2"/>
                <w:sz w:val="16"/>
              </w:rPr>
              <w:t>B</w:t>
            </w:r>
            <w:r>
              <w:rPr>
                <w:b/>
                <w:sz w:val="10"/>
              </w:rPr>
              <w:t>standingNatR</w:t>
            </w:r>
          </w:p>
        </w:tc>
        <w:tc>
          <w:tcPr>
            <w:tcW w:w="1260" w:type="dxa"/>
          </w:tcPr>
          <w:p>
            <w:pPr>
              <w:pStyle w:val="TableParagraph"/>
              <w:spacing w:before="25"/>
              <w:ind w:left="181" w:right="172"/>
              <w:jc w:val="center"/>
              <w:rPr>
                <w:b/>
                <w:sz w:val="10"/>
              </w:rPr>
            </w:pPr>
            <w:r>
              <w:rPr>
                <w:b/>
                <w:position w:val="2"/>
                <w:sz w:val="16"/>
              </w:rPr>
              <w:t>M</w:t>
            </w:r>
            <w:r>
              <w:rPr>
                <w:b/>
                <w:sz w:val="10"/>
              </w:rPr>
              <w:t>NatR</w:t>
            </w:r>
          </w:p>
        </w:tc>
        <w:tc>
          <w:tcPr>
            <w:tcW w:w="1260" w:type="dxa"/>
          </w:tcPr>
          <w:p>
            <w:pPr>
              <w:pStyle w:val="TableParagraph"/>
              <w:spacing w:before="25"/>
              <w:ind w:left="379"/>
              <w:rPr>
                <w:b/>
                <w:sz w:val="10"/>
              </w:rPr>
            </w:pPr>
            <w:r>
              <w:rPr>
                <w:b/>
                <w:position w:val="2"/>
                <w:sz w:val="16"/>
              </w:rPr>
              <w:t>B</w:t>
            </w:r>
            <w:r>
              <w:rPr>
                <w:b/>
                <w:sz w:val="10"/>
              </w:rPr>
              <w:t>intoNatR</w:t>
            </w:r>
          </w:p>
        </w:tc>
        <w:tc>
          <w:tcPr>
            <w:tcW w:w="1440" w:type="dxa"/>
          </w:tcPr>
          <w:p>
            <w:pPr>
              <w:pStyle w:val="TableParagraph"/>
              <w:spacing w:before="25"/>
              <w:ind w:left="485"/>
              <w:rPr>
                <w:b/>
                <w:sz w:val="10"/>
              </w:rPr>
            </w:pPr>
            <w:r>
              <w:rPr>
                <w:b/>
                <w:position w:val="2"/>
                <w:sz w:val="16"/>
              </w:rPr>
              <w:t>B</w:t>
            </w:r>
            <w:r>
              <w:rPr>
                <w:b/>
                <w:sz w:val="10"/>
              </w:rPr>
              <w:t>outNatR</w:t>
            </w:r>
          </w:p>
        </w:tc>
        <w:tc>
          <w:tcPr>
            <w:tcW w:w="1260" w:type="dxa"/>
          </w:tcPr>
          <w:p>
            <w:pPr>
              <w:pStyle w:val="TableParagraph"/>
              <w:spacing w:before="25"/>
              <w:ind w:left="184" w:right="172"/>
              <w:jc w:val="center"/>
              <w:rPr>
                <w:b/>
                <w:sz w:val="10"/>
              </w:rPr>
            </w:pPr>
            <w:r>
              <w:rPr>
                <w:b/>
                <w:position w:val="2"/>
                <w:sz w:val="16"/>
              </w:rPr>
              <w:t>A</w:t>
            </w:r>
            <w:r>
              <w:rPr>
                <w:b/>
                <w:sz w:val="10"/>
              </w:rPr>
              <w:t>ArtR</w:t>
            </w:r>
          </w:p>
        </w:tc>
        <w:tc>
          <w:tcPr>
            <w:tcW w:w="1440" w:type="dxa"/>
          </w:tcPr>
          <w:p>
            <w:pPr>
              <w:pStyle w:val="TableParagraph"/>
              <w:spacing w:before="25"/>
              <w:ind w:left="370"/>
              <w:rPr>
                <w:b/>
                <w:sz w:val="10"/>
              </w:rPr>
            </w:pPr>
            <w:r>
              <w:rPr>
                <w:b/>
                <w:position w:val="2"/>
                <w:sz w:val="16"/>
              </w:rPr>
              <w:t>B</w:t>
            </w:r>
            <w:r>
              <w:rPr>
                <w:b/>
                <w:sz w:val="10"/>
              </w:rPr>
              <w:t>standingArtR</w:t>
            </w:r>
          </w:p>
        </w:tc>
        <w:tc>
          <w:tcPr>
            <w:tcW w:w="1260" w:type="dxa"/>
          </w:tcPr>
          <w:p>
            <w:pPr>
              <w:pStyle w:val="TableParagraph"/>
              <w:spacing w:before="25"/>
              <w:ind w:left="181" w:right="172"/>
              <w:jc w:val="center"/>
              <w:rPr>
                <w:b/>
                <w:sz w:val="10"/>
              </w:rPr>
            </w:pPr>
            <w:r>
              <w:rPr>
                <w:b/>
                <w:position w:val="2"/>
                <w:sz w:val="16"/>
              </w:rPr>
              <w:t>M</w:t>
            </w:r>
            <w:r>
              <w:rPr>
                <w:b/>
                <w:sz w:val="10"/>
              </w:rPr>
              <w:t>ArtR</w:t>
            </w:r>
          </w:p>
        </w:tc>
        <w:tc>
          <w:tcPr>
            <w:tcW w:w="1440" w:type="dxa"/>
          </w:tcPr>
          <w:p>
            <w:pPr>
              <w:pStyle w:val="TableParagraph"/>
              <w:spacing w:before="25"/>
              <w:ind w:left="471"/>
              <w:rPr>
                <w:b/>
                <w:sz w:val="10"/>
              </w:rPr>
            </w:pPr>
            <w:r>
              <w:rPr>
                <w:b/>
                <w:position w:val="2"/>
                <w:sz w:val="16"/>
              </w:rPr>
              <w:t>B</w:t>
            </w:r>
            <w:r>
              <w:rPr>
                <w:b/>
                <w:sz w:val="10"/>
              </w:rPr>
              <w:t>intoArtR</w:t>
            </w: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42"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39" w:hRule="atLeast"/>
        </w:trPr>
        <w:tc>
          <w:tcPr>
            <w:tcW w:w="936" w:type="dxa"/>
          </w:tcPr>
          <w:p>
            <w:pPr>
              <w:pStyle w:val="TableParagraph"/>
              <w:spacing w:before="23"/>
              <w:ind w:left="107"/>
              <w:rPr>
                <w:sz w:val="16"/>
              </w:rPr>
            </w:pPr>
            <w:r>
              <w:rPr>
                <w:sz w:val="16"/>
              </w:rPr>
              <w:t>GL</w:t>
            </w:r>
          </w:p>
        </w:tc>
        <w:tc>
          <w:tcPr>
            <w:tcW w:w="938" w:type="dxa"/>
          </w:tcPr>
          <w:p>
            <w:pPr>
              <w:pStyle w:val="TableParagraph"/>
              <w:spacing w:before="23"/>
              <w:ind w:left="107"/>
              <w:rPr>
                <w:sz w:val="16"/>
              </w:rPr>
            </w:pPr>
            <w:r>
              <w:rPr>
                <w:sz w:val="16"/>
              </w:rPr>
              <w:t>FL</w:t>
            </w:r>
          </w:p>
        </w:tc>
        <w:tc>
          <w:tcPr>
            <w:tcW w:w="1027" w:type="dxa"/>
          </w:tcPr>
          <w:p>
            <w:pPr>
              <w:pStyle w:val="TableParagraph"/>
              <w:spacing w:before="23"/>
              <w:ind w:left="108"/>
              <w:rPr>
                <w:sz w:val="16"/>
              </w:rPr>
            </w:pPr>
            <w:r>
              <w:rPr>
                <w:sz w:val="16"/>
              </w:rPr>
              <w:t>(a)</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424" w:hRule="atLeast"/>
        </w:trPr>
        <w:tc>
          <w:tcPr>
            <w:tcW w:w="936" w:type="dxa"/>
          </w:tcPr>
          <w:p>
            <w:pPr>
              <w:pStyle w:val="TableParagraph"/>
              <w:spacing w:before="23"/>
              <w:ind w:left="107" w:right="149"/>
              <w:rPr>
                <w:sz w:val="16"/>
              </w:rPr>
            </w:pPr>
            <w:r>
              <w:rPr>
                <w:sz w:val="16"/>
              </w:rPr>
              <w:t>WL, SL, OL</w:t>
            </w:r>
          </w:p>
        </w:tc>
        <w:tc>
          <w:tcPr>
            <w:tcW w:w="938" w:type="dxa"/>
          </w:tcPr>
          <w:p>
            <w:pPr>
              <w:pStyle w:val="TableParagraph"/>
              <w:spacing w:before="114"/>
              <w:ind w:left="107"/>
              <w:rPr>
                <w:sz w:val="16"/>
              </w:rPr>
            </w:pPr>
            <w:r>
              <w:rPr>
                <w:sz w:val="16"/>
              </w:rPr>
              <w:t>FL</w:t>
            </w:r>
          </w:p>
        </w:tc>
        <w:tc>
          <w:tcPr>
            <w:tcW w:w="1027" w:type="dxa"/>
          </w:tcPr>
          <w:p>
            <w:pPr>
              <w:pStyle w:val="TableParagraph"/>
              <w:spacing w:before="114"/>
              <w:ind w:left="108"/>
              <w:rPr>
                <w:sz w:val="16"/>
              </w:rPr>
            </w:pPr>
            <w:r>
              <w:rPr>
                <w:sz w:val="16"/>
              </w:rPr>
              <w:t>(a)</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239" w:hRule="atLeast"/>
        </w:trPr>
        <w:tc>
          <w:tcPr>
            <w:tcW w:w="936" w:type="dxa"/>
          </w:tcPr>
          <w:p>
            <w:pPr>
              <w:pStyle w:val="TableParagraph"/>
              <w:spacing w:before="25"/>
              <w:ind w:left="107"/>
              <w:rPr>
                <w:b/>
                <w:sz w:val="16"/>
              </w:rPr>
            </w:pPr>
            <w:r>
              <w:rPr>
                <w:b/>
                <w:sz w:val="16"/>
              </w:rPr>
              <w:t>Total</w:t>
            </w:r>
          </w:p>
        </w:tc>
        <w:tc>
          <w:tcPr>
            <w:tcW w:w="938" w:type="dxa"/>
          </w:tcPr>
          <w:p>
            <w:pPr>
              <w:pStyle w:val="TableParagraph"/>
              <w:rPr>
                <w:sz w:val="16"/>
              </w:rPr>
            </w:pPr>
          </w:p>
        </w:tc>
        <w:tc>
          <w:tcPr>
            <w:tcW w:w="1027" w:type="dxa"/>
          </w:tcPr>
          <w:p>
            <w:pPr>
              <w:pStyle w:val="TableParagraph"/>
              <w:rPr>
                <w:sz w:val="16"/>
              </w:rPr>
            </w:pPr>
          </w:p>
        </w:tc>
        <w:tc>
          <w:tcPr>
            <w:tcW w:w="1166"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c>
          <w:tcPr>
            <w:tcW w:w="1260" w:type="dxa"/>
          </w:tcPr>
          <w:p>
            <w:pPr>
              <w:pStyle w:val="TableParagraph"/>
              <w:rPr>
                <w:sz w:val="16"/>
              </w:rPr>
            </w:pPr>
          </w:p>
        </w:tc>
        <w:tc>
          <w:tcPr>
            <w:tcW w:w="1440" w:type="dxa"/>
          </w:tcPr>
          <w:p>
            <w:pPr>
              <w:pStyle w:val="TableParagraph"/>
              <w:rPr>
                <w:sz w:val="16"/>
              </w:rPr>
            </w:pPr>
          </w:p>
        </w:tc>
      </w:tr>
      <w:tr>
        <w:trPr>
          <w:trHeight w:val="880" w:hRule="atLeast"/>
        </w:trPr>
        <w:tc>
          <w:tcPr>
            <w:tcW w:w="14687" w:type="dxa"/>
            <w:gridSpan w:val="12"/>
          </w:tcPr>
          <w:p>
            <w:pPr>
              <w:pStyle w:val="TableParagraph"/>
              <w:spacing w:before="50"/>
              <w:ind w:left="107"/>
              <w:rPr>
                <w:sz w:val="16"/>
              </w:rPr>
            </w:pPr>
            <w:r>
              <w:rPr>
                <w:position w:val="7"/>
                <w:sz w:val="10"/>
              </w:rPr>
              <w:t>1 </w:t>
            </w:r>
            <w:r>
              <w:rPr>
                <w:sz w:val="16"/>
              </w:rPr>
              <w:t>The calculation is based on Tier 2 since Tier 1 assumes that the net change in carbon in dead wood and litter is zero.</w:t>
            </w:r>
          </w:p>
          <w:p>
            <w:pPr>
              <w:pStyle w:val="TableParagraph"/>
              <w:spacing w:before="85"/>
              <w:ind w:left="107"/>
              <w:rPr>
                <w:sz w:val="16"/>
              </w:rPr>
            </w:pPr>
            <w:r>
              <w:rPr>
                <w:position w:val="7"/>
                <w:sz w:val="10"/>
              </w:rPr>
              <w:t>2 </w:t>
            </w:r>
            <w:r>
              <w:rPr>
                <w:sz w:val="16"/>
              </w:rPr>
              <w:t>FL stands for forest land; CL for cropland; GL for grassland; WL for wetlands, SL settlements, and OL for other lands. See Chapter 2 for approaches in representing land areas.</w:t>
            </w:r>
          </w:p>
          <w:p>
            <w:pPr>
              <w:pStyle w:val="TableParagraph"/>
              <w:spacing w:before="88"/>
              <w:ind w:left="107"/>
              <w:rPr>
                <w:sz w:val="16"/>
              </w:rPr>
            </w:pPr>
            <w:r>
              <w:rPr>
                <w:position w:val="7"/>
                <w:sz w:val="10"/>
              </w:rPr>
              <w:t>3 </w:t>
            </w:r>
            <w:r>
              <w:rPr>
                <w:sz w:val="16"/>
              </w:rPr>
              <w:t>Land use may be further divided according to forest type or tree species, national land classification system, or ecological zones.</w:t>
            </w:r>
          </w:p>
        </w:tc>
      </w:tr>
    </w:tbl>
    <w:p>
      <w:pPr>
        <w:spacing w:after="0"/>
        <w:rPr>
          <w:sz w:val="16"/>
        </w:rPr>
        <w:sectPr>
          <w:pgSz w:w="16840" w:h="11900" w:orient="landscape"/>
          <w:pgMar w:header="1150" w:footer="1128"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938"/>
        <w:gridCol w:w="1027"/>
        <w:gridCol w:w="1526"/>
        <w:gridCol w:w="1260"/>
        <w:gridCol w:w="1800"/>
        <w:gridCol w:w="1980"/>
        <w:gridCol w:w="1800"/>
        <w:gridCol w:w="1620"/>
        <w:gridCol w:w="180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8"/>
          </w:tcPr>
          <w:p>
            <w:pPr>
              <w:pStyle w:val="TableParagraph"/>
              <w:spacing w:before="26"/>
              <w:ind w:left="108"/>
              <w:rPr>
                <w:b/>
                <w:sz w:val="20"/>
              </w:rPr>
            </w:pPr>
            <w:r>
              <w:rPr>
                <w:b/>
                <w:sz w:val="20"/>
              </w:rPr>
              <w:t>1B - Land Converted to 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8"/>
          </w:tcPr>
          <w:p>
            <w:pPr>
              <w:pStyle w:val="TableParagraph"/>
              <w:spacing w:before="26"/>
              <w:ind w:left="108"/>
              <w:rPr>
                <w:b/>
                <w:sz w:val="20"/>
              </w:rPr>
            </w:pPr>
            <w:r>
              <w:rPr>
                <w:b/>
                <w:sz w:val="20"/>
              </w:rPr>
              <w:t>Land Converted to 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8"/>
          </w:tcPr>
          <w:p>
            <w:pPr>
              <w:pStyle w:val="TableParagraph"/>
              <w:spacing w:before="26"/>
              <w:ind w:left="108"/>
              <w:rPr>
                <w:b/>
                <w:sz w:val="20"/>
              </w:rPr>
            </w:pPr>
            <w:r>
              <w:rPr>
                <w:b/>
                <w:sz w:val="20"/>
              </w:rPr>
              <w:t>FL-2b: Annual change in carbon stocks in dead organic matter (dead wood and litter)</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8"/>
          </w:tcPr>
          <w:p>
            <w:pPr>
              <w:pStyle w:val="TableParagraph"/>
              <w:spacing w:before="26"/>
              <w:ind w:left="108"/>
              <w:rPr>
                <w:b/>
                <w:sz w:val="20"/>
              </w:rPr>
            </w:pPr>
            <w:r>
              <w:rPr>
                <w:b/>
                <w:sz w:val="20"/>
              </w:rPr>
              <w:t>2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1526" w:type="dxa"/>
            <w:vMerge w:val="restart"/>
            <w:shd w:val="clear" w:color="auto" w:fill="E4E4E4"/>
          </w:tcPr>
          <w:p>
            <w:pPr>
              <w:pStyle w:val="TableParagraph"/>
              <w:spacing w:before="23"/>
              <w:ind w:left="139" w:right="129"/>
              <w:jc w:val="center"/>
              <w:rPr>
                <w:sz w:val="16"/>
              </w:rPr>
            </w:pPr>
            <w:r>
              <w:rPr>
                <w:sz w:val="16"/>
              </w:rPr>
              <w:t>Annual transfer</w:t>
            </w:r>
            <w:r>
              <w:rPr>
                <w:spacing w:val="-11"/>
                <w:sz w:val="16"/>
              </w:rPr>
              <w:t> </w:t>
            </w:r>
            <w:r>
              <w:rPr>
                <w:sz w:val="16"/>
              </w:rPr>
              <w:t>out of dead wood </w:t>
            </w:r>
            <w:r>
              <w:rPr>
                <w:spacing w:val="-2"/>
                <w:sz w:val="16"/>
              </w:rPr>
              <w:t>for </w:t>
            </w:r>
            <w:r>
              <w:rPr>
                <w:sz w:val="16"/>
              </w:rPr>
              <w:t>artificially regenerated forest area</w:t>
            </w:r>
          </w:p>
          <w:p>
            <w:pPr>
              <w:pStyle w:val="TableParagraph"/>
              <w:rPr>
                <w:sz w:val="16"/>
              </w:rPr>
            </w:pPr>
          </w:p>
          <w:p>
            <w:pPr>
              <w:pStyle w:val="TableParagraph"/>
              <w:ind w:left="228" w:right="212"/>
              <w:jc w:val="center"/>
              <w:rPr>
                <w:sz w:val="16"/>
              </w:rPr>
            </w:pPr>
            <w:r>
              <w:rPr>
                <w:sz w:val="16"/>
              </w:rPr>
              <w:t>(tonnes d.m. </w:t>
            </w:r>
            <w:r>
              <w:rPr>
                <w:spacing w:val="-5"/>
                <w:sz w:val="16"/>
              </w:rPr>
              <w:t>ha</w:t>
            </w:r>
            <w:r>
              <w:rPr>
                <w:spacing w:val="-5"/>
                <w:sz w:val="16"/>
                <w:vertAlign w:val="superscript"/>
              </w:rPr>
              <w:t>-1</w:t>
            </w:r>
            <w:r>
              <w:rPr>
                <w:spacing w:val="-5"/>
                <w:sz w:val="16"/>
                <w:vertAlign w:val="baseline"/>
              </w:rPr>
              <w:t> </w:t>
            </w:r>
            <w:r>
              <w:rPr>
                <w:sz w:val="16"/>
                <w:vertAlign w:val="baseline"/>
              </w:rPr>
              <w:t>yr</w:t>
            </w:r>
            <w:r>
              <w:rPr>
                <w:sz w:val="16"/>
                <w:vertAlign w:val="superscript"/>
              </w:rPr>
              <w:t>-1</w:t>
            </w:r>
            <w:r>
              <w:rPr>
                <w:sz w:val="16"/>
                <w:vertAlign w:val="baseline"/>
              </w:rPr>
              <w:t>)</w:t>
            </w:r>
          </w:p>
          <w:p>
            <w:pPr>
              <w:pStyle w:val="TableParagraph"/>
              <w:spacing w:before="10"/>
              <w:rPr>
                <w:sz w:val="17"/>
              </w:rPr>
            </w:pPr>
          </w:p>
          <w:p>
            <w:pPr>
              <w:pStyle w:val="TableParagraph"/>
              <w:spacing w:line="170" w:lineRule="exact"/>
              <w:ind w:left="11"/>
              <w:jc w:val="center"/>
              <w:rPr>
                <w:sz w:val="16"/>
              </w:rPr>
            </w:pPr>
            <w:r>
              <w:rPr>
                <w:w w:val="100"/>
                <w:sz w:val="16"/>
              </w:rPr>
              <w:t>J</w:t>
            </w:r>
          </w:p>
        </w:tc>
        <w:tc>
          <w:tcPr>
            <w:tcW w:w="1260" w:type="dxa"/>
            <w:vMerge w:val="restart"/>
            <w:shd w:val="clear" w:color="auto" w:fill="E4E4E4"/>
          </w:tcPr>
          <w:p>
            <w:pPr>
              <w:pStyle w:val="TableParagraph"/>
              <w:spacing w:before="23"/>
              <w:ind w:left="101" w:right="89"/>
              <w:jc w:val="center"/>
              <w:rPr>
                <w:sz w:val="16"/>
              </w:rPr>
            </w:pPr>
            <w:r>
              <w:rPr>
                <w:sz w:val="16"/>
              </w:rPr>
              <w:t>Carbon fraction of dry matter</w:t>
            </w:r>
          </w:p>
          <w:p>
            <w:pPr>
              <w:pStyle w:val="TableParagraph"/>
              <w:rPr>
                <w:sz w:val="16"/>
              </w:rPr>
            </w:pPr>
          </w:p>
          <w:p>
            <w:pPr>
              <w:pStyle w:val="TableParagraph"/>
              <w:ind w:left="319" w:hanging="159"/>
              <w:rPr>
                <w:sz w:val="16"/>
              </w:rPr>
            </w:pPr>
            <w:r>
              <w:rPr>
                <w:sz w:val="16"/>
              </w:rPr>
              <w:t>(default is</w:t>
            </w:r>
            <w:r>
              <w:rPr>
                <w:spacing w:val="-5"/>
                <w:sz w:val="16"/>
              </w:rPr>
              <w:t> </w:t>
            </w:r>
            <w:r>
              <w:rPr>
                <w:sz w:val="16"/>
              </w:rPr>
              <w:t>0.5)</w:t>
            </w:r>
          </w:p>
          <w:p>
            <w:pPr>
              <w:pStyle w:val="TableParagraph"/>
              <w:spacing w:before="11"/>
              <w:rPr>
                <w:sz w:val="15"/>
              </w:rPr>
            </w:pPr>
          </w:p>
          <w:p>
            <w:pPr>
              <w:pStyle w:val="TableParagraph"/>
              <w:ind w:left="147" w:right="135" w:hanging="2"/>
              <w:jc w:val="center"/>
              <w:rPr>
                <w:sz w:val="16"/>
              </w:rPr>
            </w:pPr>
            <w:r>
              <w:rPr>
                <w:sz w:val="16"/>
              </w:rPr>
              <w:t>(tonnes C (tonne d.m.)</w:t>
            </w:r>
            <w:r>
              <w:rPr>
                <w:sz w:val="16"/>
                <w:vertAlign w:val="superscript"/>
              </w:rPr>
              <w:t>-1</w:t>
            </w:r>
            <w:r>
              <w:rPr>
                <w:spacing w:val="-1"/>
                <w:sz w:val="16"/>
                <w:vertAlign w:val="baseline"/>
              </w:rPr>
              <w:t> </w:t>
            </w:r>
            <w:r>
              <w:rPr>
                <w:spacing w:val="-18"/>
                <w:sz w:val="16"/>
                <w:vertAlign w:val="baseline"/>
              </w:rPr>
              <w:t>)</w:t>
            </w:r>
          </w:p>
          <w:p>
            <w:pPr>
              <w:pStyle w:val="TableParagraph"/>
              <w:rPr>
                <w:sz w:val="18"/>
              </w:rPr>
            </w:pPr>
          </w:p>
          <w:p>
            <w:pPr>
              <w:pStyle w:val="TableParagraph"/>
              <w:spacing w:before="10"/>
              <w:rPr>
                <w:sz w:val="15"/>
              </w:rPr>
            </w:pPr>
          </w:p>
          <w:p>
            <w:pPr>
              <w:pStyle w:val="TableParagraph"/>
              <w:spacing w:line="170" w:lineRule="exact" w:before="1"/>
              <w:ind w:left="14"/>
              <w:jc w:val="center"/>
              <w:rPr>
                <w:sz w:val="16"/>
              </w:rPr>
            </w:pPr>
            <w:r>
              <w:rPr>
                <w:w w:val="100"/>
                <w:sz w:val="16"/>
              </w:rPr>
              <w:t>K</w:t>
            </w:r>
          </w:p>
        </w:tc>
        <w:tc>
          <w:tcPr>
            <w:tcW w:w="1800" w:type="dxa"/>
            <w:vMerge w:val="restart"/>
            <w:shd w:val="clear" w:color="auto" w:fill="E4E4E4"/>
          </w:tcPr>
          <w:p>
            <w:pPr>
              <w:pStyle w:val="TableParagraph"/>
              <w:spacing w:before="23"/>
              <w:ind w:left="209" w:right="193" w:hanging="7"/>
              <w:jc w:val="center"/>
              <w:rPr>
                <w:sz w:val="16"/>
              </w:rPr>
            </w:pPr>
            <w:r>
              <w:rPr>
                <w:sz w:val="16"/>
              </w:rPr>
              <w:t>Annual change in carbon stocks in dead wood</w:t>
            </w:r>
          </w:p>
          <w:p>
            <w:pPr>
              <w:pStyle w:val="TableParagraph"/>
              <w:spacing w:before="10"/>
              <w:rPr>
                <w:sz w:val="15"/>
              </w:rPr>
            </w:pPr>
          </w:p>
          <w:p>
            <w:pPr>
              <w:pStyle w:val="TableParagraph"/>
              <w:ind w:left="132" w:right="120"/>
              <w:jc w:val="center"/>
              <w:rPr>
                <w:sz w:val="16"/>
              </w:rPr>
            </w:pPr>
            <w:r>
              <w:rPr>
                <w:sz w:val="16"/>
              </w:rPr>
              <w:t>(tonnes C yr</w:t>
            </w:r>
            <w:r>
              <w:rPr>
                <w:sz w:val="16"/>
                <w:vertAlign w:val="superscript"/>
              </w:rPr>
              <w:t>-1</w:t>
            </w:r>
            <w:r>
              <w:rPr>
                <w:sz w:val="16"/>
                <w:vertAlign w:val="baseline"/>
              </w:rPr>
              <w:t>)</w:t>
            </w:r>
          </w:p>
          <w:p>
            <w:pPr>
              <w:pStyle w:val="TableParagraph"/>
              <w:spacing w:before="2"/>
              <w:rPr>
                <w:sz w:val="17"/>
              </w:rPr>
            </w:pPr>
          </w:p>
          <w:p>
            <w:pPr>
              <w:pStyle w:val="TableParagraph"/>
              <w:spacing w:line="196" w:lineRule="exact"/>
              <w:ind w:left="128" w:right="120"/>
              <w:jc w:val="center"/>
              <w:rPr>
                <w:rFonts w:ascii="Symbol" w:hAnsi="Symbol"/>
                <w:sz w:val="16"/>
              </w:rPr>
            </w:pPr>
            <w:r>
              <w:rPr>
                <w:sz w:val="16"/>
              </w:rPr>
              <w:t>L = [A </w:t>
            </w:r>
            <w:r>
              <w:rPr>
                <w:rFonts w:ascii="Symbol" w:hAnsi="Symbol"/>
                <w:sz w:val="16"/>
              </w:rPr>
              <w:t>• </w:t>
            </w:r>
            <w:r>
              <w:rPr>
                <w:sz w:val="16"/>
              </w:rPr>
              <w:t>(D-E) + F </w:t>
            </w:r>
            <w:r>
              <w:rPr>
                <w:rFonts w:ascii="Symbol" w:hAnsi="Symbol"/>
                <w:sz w:val="16"/>
              </w:rPr>
              <w:t>•</w:t>
            </w:r>
          </w:p>
          <w:p>
            <w:pPr>
              <w:pStyle w:val="TableParagraph"/>
              <w:spacing w:line="196" w:lineRule="exact"/>
              <w:ind w:left="132" w:right="120"/>
              <w:jc w:val="center"/>
              <w:rPr>
                <w:sz w:val="16"/>
              </w:rPr>
            </w:pPr>
            <w:r>
              <w:rPr>
                <w:sz w:val="16"/>
              </w:rPr>
              <w:t>(I-J)] </w:t>
            </w:r>
            <w:r>
              <w:rPr>
                <w:rFonts w:ascii="Symbol" w:hAnsi="Symbol"/>
                <w:sz w:val="16"/>
              </w:rPr>
              <w:t>• </w:t>
            </w:r>
            <w:r>
              <w:rPr>
                <w:sz w:val="16"/>
              </w:rPr>
              <w:t>K</w:t>
            </w:r>
          </w:p>
          <w:p>
            <w:pPr>
              <w:pStyle w:val="TableParagraph"/>
              <w:spacing w:line="170" w:lineRule="exact" w:before="170"/>
              <w:ind w:left="13"/>
              <w:jc w:val="center"/>
              <w:rPr>
                <w:sz w:val="16"/>
              </w:rPr>
            </w:pPr>
            <w:r>
              <w:rPr>
                <w:w w:val="100"/>
                <w:sz w:val="16"/>
              </w:rPr>
              <w:t>L</w:t>
            </w:r>
          </w:p>
        </w:tc>
        <w:tc>
          <w:tcPr>
            <w:tcW w:w="1980" w:type="dxa"/>
            <w:vMerge w:val="restart"/>
            <w:shd w:val="clear" w:color="auto" w:fill="E4E4E4"/>
          </w:tcPr>
          <w:p>
            <w:pPr>
              <w:pStyle w:val="TableParagraph"/>
              <w:spacing w:before="23"/>
              <w:ind w:left="151" w:right="137"/>
              <w:jc w:val="center"/>
              <w:rPr>
                <w:sz w:val="16"/>
              </w:rPr>
            </w:pPr>
            <w:r>
              <w:rPr>
                <w:sz w:val="16"/>
              </w:rPr>
              <w:t>Annual change in</w:t>
            </w:r>
            <w:r>
              <w:rPr>
                <w:spacing w:val="-11"/>
                <w:sz w:val="16"/>
              </w:rPr>
              <w:t> </w:t>
            </w:r>
            <w:r>
              <w:rPr>
                <w:sz w:val="16"/>
              </w:rPr>
              <w:t>litter carbon for naturally regenerated forest</w:t>
            </w:r>
          </w:p>
          <w:p>
            <w:pPr>
              <w:pStyle w:val="TableParagraph"/>
              <w:spacing w:before="10"/>
              <w:rPr>
                <w:sz w:val="15"/>
              </w:rPr>
            </w:pPr>
          </w:p>
          <w:p>
            <w:pPr>
              <w:pStyle w:val="TableParagraph"/>
              <w:ind w:left="147" w:right="138"/>
              <w:jc w:val="center"/>
              <w:rPr>
                <w:sz w:val="16"/>
              </w:rPr>
            </w:pPr>
            <w:r>
              <w:rPr>
                <w:sz w:val="16"/>
              </w:rPr>
              <w:t>(tonnes C ha</w:t>
            </w:r>
            <w:r>
              <w:rPr>
                <w:sz w:val="16"/>
                <w:vertAlign w:val="superscript"/>
              </w:rPr>
              <w:t>-1</w:t>
            </w:r>
            <w:r>
              <w:rPr>
                <w:spacing w:val="-1"/>
                <w:sz w:val="16"/>
                <w:vertAlign w:val="baseline"/>
              </w:rPr>
              <w:t> </w:t>
            </w:r>
            <w:r>
              <w:rPr>
                <w:sz w:val="16"/>
                <w:vertAlign w:val="baseline"/>
              </w:rPr>
              <w:t>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38"/>
              <w:ind w:left="8"/>
              <w:jc w:val="center"/>
              <w:rPr>
                <w:sz w:val="16"/>
              </w:rPr>
            </w:pPr>
            <w:r>
              <w:rPr>
                <w:w w:val="100"/>
                <w:sz w:val="16"/>
              </w:rPr>
              <w:t>M</w:t>
            </w:r>
          </w:p>
        </w:tc>
        <w:tc>
          <w:tcPr>
            <w:tcW w:w="1800" w:type="dxa"/>
            <w:vMerge w:val="restart"/>
            <w:shd w:val="clear" w:color="auto" w:fill="E4E4E4"/>
          </w:tcPr>
          <w:p>
            <w:pPr>
              <w:pStyle w:val="TableParagraph"/>
              <w:spacing w:before="23"/>
              <w:ind w:left="131" w:right="120"/>
              <w:jc w:val="center"/>
              <w:rPr>
                <w:sz w:val="16"/>
              </w:rPr>
            </w:pPr>
            <w:r>
              <w:rPr>
                <w:sz w:val="16"/>
              </w:rPr>
              <w:t>Annual change in</w:t>
            </w:r>
            <w:r>
              <w:rPr>
                <w:spacing w:val="-11"/>
                <w:sz w:val="16"/>
              </w:rPr>
              <w:t> </w:t>
            </w:r>
            <w:r>
              <w:rPr>
                <w:sz w:val="16"/>
              </w:rPr>
              <w:t>litter carbon for artificially regenerated</w:t>
            </w:r>
            <w:r>
              <w:rPr>
                <w:spacing w:val="-1"/>
                <w:sz w:val="16"/>
              </w:rPr>
              <w:t> </w:t>
            </w:r>
            <w:r>
              <w:rPr>
                <w:sz w:val="16"/>
              </w:rPr>
              <w:t>forest</w:t>
            </w:r>
          </w:p>
          <w:p>
            <w:pPr>
              <w:pStyle w:val="TableParagraph"/>
              <w:spacing w:before="10"/>
              <w:rPr>
                <w:sz w:val="15"/>
              </w:rPr>
            </w:pPr>
          </w:p>
          <w:p>
            <w:pPr>
              <w:pStyle w:val="TableParagraph"/>
              <w:ind w:left="132" w:right="120"/>
              <w:jc w:val="center"/>
              <w:rPr>
                <w:sz w:val="16"/>
              </w:rPr>
            </w:pPr>
            <w:r>
              <w:rPr>
                <w:sz w:val="16"/>
              </w:rPr>
              <w:t>(tonnes C ha</w:t>
            </w:r>
            <w:r>
              <w:rPr>
                <w:sz w:val="16"/>
                <w:vertAlign w:val="superscript"/>
              </w:rPr>
              <w:t>-1</w:t>
            </w:r>
            <w:r>
              <w:rPr>
                <w:spacing w:val="-1"/>
                <w:sz w:val="16"/>
                <w:vertAlign w:val="baseline"/>
              </w:rPr>
              <w:t> </w:t>
            </w:r>
            <w:r>
              <w:rPr>
                <w:sz w:val="16"/>
                <w:vertAlign w:val="baseline"/>
              </w:rPr>
              <w:t>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38"/>
              <w:ind w:left="12"/>
              <w:jc w:val="center"/>
              <w:rPr>
                <w:sz w:val="16"/>
              </w:rPr>
            </w:pPr>
            <w:r>
              <w:rPr>
                <w:w w:val="100"/>
                <w:sz w:val="16"/>
              </w:rPr>
              <w:t>N</w:t>
            </w:r>
          </w:p>
        </w:tc>
        <w:tc>
          <w:tcPr>
            <w:tcW w:w="1620" w:type="dxa"/>
            <w:vMerge w:val="restart"/>
            <w:shd w:val="clear" w:color="auto" w:fill="E4E4E4"/>
          </w:tcPr>
          <w:p>
            <w:pPr>
              <w:pStyle w:val="TableParagraph"/>
              <w:spacing w:before="23"/>
              <w:ind w:left="118" w:right="106"/>
              <w:jc w:val="center"/>
              <w:rPr>
                <w:sz w:val="16"/>
              </w:rPr>
            </w:pPr>
            <w:r>
              <w:rPr>
                <w:sz w:val="16"/>
              </w:rPr>
              <w:t>Annual change in carbon stocks in litter</w:t>
            </w:r>
          </w:p>
          <w:p>
            <w:pPr>
              <w:pStyle w:val="TableParagraph"/>
              <w:rPr>
                <w:sz w:val="18"/>
              </w:rPr>
            </w:pPr>
          </w:p>
          <w:p>
            <w:pPr>
              <w:pStyle w:val="TableParagraph"/>
              <w:spacing w:before="159"/>
              <w:ind w:left="363" w:hanging="17"/>
              <w:rPr>
                <w:sz w:val="16"/>
              </w:rPr>
            </w:pPr>
            <w:r>
              <w:rPr>
                <w:sz w:val="16"/>
              </w:rPr>
              <w:t>(tonnes C yr</w:t>
            </w:r>
            <w:r>
              <w:rPr>
                <w:sz w:val="16"/>
                <w:vertAlign w:val="superscript"/>
              </w:rPr>
              <w:t>-1</w:t>
            </w:r>
            <w:r>
              <w:rPr>
                <w:sz w:val="16"/>
                <w:vertAlign w:val="baseline"/>
              </w:rPr>
              <w:t>)</w:t>
            </w:r>
          </w:p>
          <w:p>
            <w:pPr>
              <w:pStyle w:val="TableParagraph"/>
              <w:spacing w:before="4"/>
              <w:rPr>
                <w:sz w:val="17"/>
              </w:rPr>
            </w:pPr>
          </w:p>
          <w:p>
            <w:pPr>
              <w:pStyle w:val="TableParagraph"/>
              <w:spacing w:line="237" w:lineRule="auto"/>
              <w:ind w:left="363" w:right="350"/>
              <w:jc w:val="center"/>
              <w:rPr>
                <w:sz w:val="16"/>
              </w:rPr>
            </w:pPr>
            <w:r>
              <w:rPr>
                <w:sz w:val="16"/>
              </w:rPr>
              <w:t>O = (A </w:t>
            </w:r>
            <w:r>
              <w:rPr>
                <w:rFonts w:ascii="Symbol" w:hAnsi="Symbol"/>
                <w:sz w:val="16"/>
              </w:rPr>
              <w:t>• </w:t>
            </w:r>
            <w:r>
              <w:rPr>
                <w:sz w:val="16"/>
              </w:rPr>
              <w:t>M)+ (F </w:t>
            </w:r>
            <w:r>
              <w:rPr>
                <w:rFonts w:ascii="Symbol" w:hAnsi="Symbol"/>
                <w:sz w:val="16"/>
              </w:rPr>
              <w:t>• </w:t>
            </w:r>
            <w:r>
              <w:rPr>
                <w:sz w:val="16"/>
              </w:rPr>
              <w:t>N)</w:t>
            </w:r>
          </w:p>
          <w:p>
            <w:pPr>
              <w:pStyle w:val="TableParagraph"/>
              <w:spacing w:line="170" w:lineRule="exact" w:before="169"/>
              <w:ind w:left="10"/>
              <w:jc w:val="center"/>
              <w:rPr>
                <w:sz w:val="16"/>
              </w:rPr>
            </w:pPr>
            <w:r>
              <w:rPr>
                <w:w w:val="100"/>
                <w:sz w:val="16"/>
              </w:rPr>
              <w:t>O</w:t>
            </w:r>
          </w:p>
        </w:tc>
        <w:tc>
          <w:tcPr>
            <w:tcW w:w="1800" w:type="dxa"/>
            <w:vMerge w:val="restart"/>
            <w:shd w:val="clear" w:color="auto" w:fill="E4E4E4"/>
          </w:tcPr>
          <w:p>
            <w:pPr>
              <w:pStyle w:val="TableParagraph"/>
              <w:spacing w:before="23"/>
              <w:ind w:left="209" w:right="193" w:hanging="7"/>
              <w:jc w:val="center"/>
              <w:rPr>
                <w:sz w:val="16"/>
              </w:rPr>
            </w:pPr>
            <w:r>
              <w:rPr>
                <w:sz w:val="16"/>
              </w:rPr>
              <w:t>Annual change in carbon stocks in</w:t>
            </w:r>
            <w:r>
              <w:rPr>
                <w:spacing w:val="-10"/>
                <w:sz w:val="16"/>
              </w:rPr>
              <w:t> </w:t>
            </w:r>
            <w:r>
              <w:rPr>
                <w:sz w:val="16"/>
              </w:rPr>
              <w:t>dead organic</w:t>
            </w:r>
            <w:r>
              <w:rPr>
                <w:spacing w:val="-3"/>
                <w:sz w:val="16"/>
              </w:rPr>
              <w:t> </w:t>
            </w:r>
            <w:r>
              <w:rPr>
                <w:sz w:val="16"/>
              </w:rPr>
              <w:t>matter</w:t>
            </w:r>
          </w:p>
          <w:p>
            <w:pPr>
              <w:pStyle w:val="TableParagraph"/>
              <w:spacing w:before="10"/>
              <w:rPr>
                <w:sz w:val="15"/>
              </w:rPr>
            </w:pPr>
          </w:p>
          <w:p>
            <w:pPr>
              <w:pStyle w:val="TableParagraph"/>
              <w:ind w:left="437"/>
              <w:rPr>
                <w:sz w:val="16"/>
              </w:rPr>
            </w:pPr>
            <w:r>
              <w:rPr>
                <w:sz w:val="16"/>
              </w:rPr>
              <w:t>(tonnes C</w:t>
            </w:r>
            <w:r>
              <w:rPr>
                <w:spacing w:val="-2"/>
                <w:sz w:val="16"/>
              </w:rPr>
              <w:t> </w:t>
            </w:r>
            <w:r>
              <w:rPr>
                <w:sz w:val="16"/>
              </w:rPr>
              <w:t>yr</w:t>
            </w:r>
            <w:r>
              <w:rPr>
                <w:sz w:val="16"/>
                <w:vertAlign w:val="superscript"/>
              </w:rPr>
              <w:t>-1</w:t>
            </w:r>
            <w:r>
              <w:rPr>
                <w:sz w:val="16"/>
                <w:vertAlign w:val="baseline"/>
              </w:rPr>
              <w:t>)</w:t>
            </w:r>
          </w:p>
          <w:p>
            <w:pPr>
              <w:pStyle w:val="TableParagraph"/>
              <w:spacing w:before="1"/>
              <w:rPr>
                <w:sz w:val="14"/>
              </w:rPr>
            </w:pPr>
          </w:p>
          <w:p>
            <w:pPr>
              <w:pStyle w:val="TableParagraph"/>
              <w:spacing w:line="390" w:lineRule="atLeast"/>
              <w:ind w:left="639" w:right="627"/>
              <w:jc w:val="center"/>
              <w:rPr>
                <w:sz w:val="16"/>
              </w:rPr>
            </w:pPr>
            <w:r>
              <w:rPr>
                <w:sz w:val="16"/>
              </w:rPr>
              <w:t>P= L+O P</w:t>
            </w:r>
          </w:p>
        </w:tc>
      </w:tr>
      <w:tr>
        <w:trPr>
          <w:trHeight w:val="1485" w:hRule="atLeast"/>
        </w:trPr>
        <w:tc>
          <w:tcPr>
            <w:tcW w:w="936" w:type="dxa"/>
            <w:shd w:val="clear" w:color="auto" w:fill="E4E4E4"/>
          </w:tcPr>
          <w:p>
            <w:pPr>
              <w:pStyle w:val="TableParagraph"/>
              <w:spacing w:before="23"/>
              <w:ind w:left="174" w:right="149" w:firstLine="100"/>
              <w:rPr>
                <w:sz w:val="16"/>
              </w:rPr>
            </w:pPr>
            <w:r>
              <w:rPr>
                <w:sz w:val="16"/>
              </w:rPr>
              <w:t>Initial Land use</w:t>
            </w:r>
          </w:p>
        </w:tc>
        <w:tc>
          <w:tcPr>
            <w:tcW w:w="938" w:type="dxa"/>
            <w:shd w:val="clear" w:color="auto" w:fill="E4E4E4"/>
          </w:tcPr>
          <w:p>
            <w:pPr>
              <w:pStyle w:val="TableParagraph"/>
              <w:spacing w:before="23"/>
              <w:ind w:left="170" w:right="158"/>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1526" w:type="dxa"/>
            <w:vMerge/>
            <w:tcBorders>
              <w:top w:val="nil"/>
            </w:tcBorders>
            <w:shd w:val="clear" w:color="auto" w:fill="E4E4E4"/>
          </w:tcPr>
          <w:p>
            <w:pPr>
              <w:rPr>
                <w:sz w:val="2"/>
                <w:szCs w:val="2"/>
              </w:rPr>
            </w:pPr>
          </w:p>
        </w:tc>
        <w:tc>
          <w:tcPr>
            <w:tcW w:w="126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62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r>
      <w:tr>
        <w:trPr>
          <w:trHeight w:val="239" w:hRule="atLeast"/>
        </w:trPr>
        <w:tc>
          <w:tcPr>
            <w:tcW w:w="936" w:type="dxa"/>
          </w:tcPr>
          <w:p>
            <w:pPr>
              <w:pStyle w:val="TableParagraph"/>
              <w:spacing w:before="23"/>
              <w:ind w:left="107"/>
              <w:rPr>
                <w:sz w:val="16"/>
              </w:rPr>
            </w:pPr>
            <w:r>
              <w:rPr>
                <w:sz w:val="16"/>
              </w:rPr>
              <w:t>CL</w:t>
            </w:r>
          </w:p>
        </w:tc>
        <w:tc>
          <w:tcPr>
            <w:tcW w:w="938" w:type="dxa"/>
          </w:tcPr>
          <w:p>
            <w:pPr>
              <w:pStyle w:val="TableParagraph"/>
              <w:spacing w:before="23"/>
              <w:ind w:left="107"/>
              <w:rPr>
                <w:sz w:val="16"/>
              </w:rPr>
            </w:pPr>
            <w:r>
              <w:rPr>
                <w:sz w:val="16"/>
              </w:rPr>
              <w:t>FL</w:t>
            </w:r>
          </w:p>
        </w:tc>
        <w:tc>
          <w:tcPr>
            <w:tcW w:w="1027" w:type="dxa"/>
          </w:tcPr>
          <w:p>
            <w:pPr>
              <w:pStyle w:val="TableParagraph"/>
              <w:spacing w:before="23"/>
              <w:ind w:left="108"/>
              <w:rPr>
                <w:sz w:val="16"/>
              </w:rPr>
            </w:pPr>
            <w:r>
              <w:rPr>
                <w:sz w:val="16"/>
              </w:rPr>
              <w:t>(a)</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9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52"/>
              <w:ind w:left="108"/>
              <w:rPr>
                <w:sz w:val="16"/>
              </w:rPr>
            </w:pPr>
            <w:r>
              <w:rPr>
                <w:sz w:val="16"/>
              </w:rPr>
              <w:t>(b)</w:t>
            </w:r>
          </w:p>
        </w:tc>
        <w:tc>
          <w:tcPr>
            <w:tcW w:w="1526" w:type="dxa"/>
          </w:tcPr>
          <w:p>
            <w:pPr>
              <w:pStyle w:val="TableParagraph"/>
              <w:spacing w:before="53"/>
              <w:ind w:left="138" w:right="129"/>
              <w:jc w:val="center"/>
              <w:rPr>
                <w:b/>
                <w:sz w:val="10"/>
              </w:rPr>
            </w:pPr>
            <w:r>
              <w:rPr>
                <w:b/>
                <w:position w:val="2"/>
                <w:sz w:val="16"/>
              </w:rPr>
              <w:t>B</w:t>
            </w:r>
            <w:r>
              <w:rPr>
                <w:b/>
                <w:sz w:val="10"/>
              </w:rPr>
              <w:t>out ArtR</w:t>
            </w:r>
          </w:p>
        </w:tc>
        <w:tc>
          <w:tcPr>
            <w:tcW w:w="1260" w:type="dxa"/>
          </w:tcPr>
          <w:p>
            <w:pPr>
              <w:pStyle w:val="TableParagraph"/>
              <w:spacing w:before="54"/>
              <w:ind w:left="182" w:right="172"/>
              <w:jc w:val="center"/>
              <w:rPr>
                <w:b/>
                <w:sz w:val="16"/>
              </w:rPr>
            </w:pPr>
            <w:r>
              <w:rPr>
                <w:b/>
                <w:sz w:val="16"/>
              </w:rPr>
              <w:t>CF</w:t>
            </w:r>
          </w:p>
        </w:tc>
        <w:tc>
          <w:tcPr>
            <w:tcW w:w="1800" w:type="dxa"/>
            <w:shd w:val="clear" w:color="auto" w:fill="D5D5D5"/>
          </w:tcPr>
          <w:p>
            <w:pPr>
              <w:pStyle w:val="TableParagraph"/>
              <w:tabs>
                <w:tab w:pos="1207" w:val="right" w:leader="none"/>
              </w:tabs>
              <w:spacing w:line="177" w:lineRule="exact" w:before="11"/>
              <w:ind w:left="591"/>
              <w:rPr>
                <w:b/>
                <w:sz w:val="10"/>
              </w:rPr>
            </w:pPr>
            <w:r>
              <w:rPr>
                <w:b/>
                <w:position w:val="2"/>
                <w:sz w:val="16"/>
              </w:rPr>
              <w:t>∆C</w:t>
            </w:r>
            <w:r>
              <w:rPr>
                <w:b/>
                <w:sz w:val="10"/>
              </w:rPr>
              <w:t>LF</w:t>
              <w:tab/>
            </w:r>
            <w:r>
              <w:rPr>
                <w:b/>
                <w:position w:val="9"/>
                <w:sz w:val="10"/>
              </w:rPr>
              <w:t>1</w:t>
            </w:r>
          </w:p>
          <w:p>
            <w:pPr>
              <w:pStyle w:val="TableParagraph"/>
              <w:spacing w:line="87" w:lineRule="exact"/>
              <w:ind w:left="365" w:right="120"/>
              <w:jc w:val="center"/>
              <w:rPr>
                <w:b/>
                <w:sz w:val="10"/>
              </w:rPr>
            </w:pPr>
            <w:r>
              <w:rPr>
                <w:b/>
                <w:sz w:val="10"/>
              </w:rPr>
              <w:t>DW</w:t>
            </w:r>
          </w:p>
        </w:tc>
        <w:tc>
          <w:tcPr>
            <w:tcW w:w="1980" w:type="dxa"/>
          </w:tcPr>
          <w:p>
            <w:pPr>
              <w:pStyle w:val="TableParagraph"/>
              <w:spacing w:before="53"/>
              <w:ind w:left="147" w:right="138"/>
              <w:jc w:val="center"/>
              <w:rPr>
                <w:b/>
                <w:sz w:val="10"/>
              </w:rPr>
            </w:pPr>
            <w:r>
              <w:rPr>
                <w:b/>
                <w:position w:val="2"/>
                <w:sz w:val="16"/>
              </w:rPr>
              <w:t>∆C</w:t>
            </w:r>
            <w:r>
              <w:rPr>
                <w:b/>
                <w:sz w:val="10"/>
              </w:rPr>
              <w:t>NatR</w:t>
            </w:r>
          </w:p>
        </w:tc>
        <w:tc>
          <w:tcPr>
            <w:tcW w:w="1800" w:type="dxa"/>
          </w:tcPr>
          <w:p>
            <w:pPr>
              <w:pStyle w:val="TableParagraph"/>
              <w:spacing w:before="53"/>
              <w:ind w:left="132" w:right="120"/>
              <w:jc w:val="center"/>
              <w:rPr>
                <w:b/>
                <w:sz w:val="10"/>
              </w:rPr>
            </w:pPr>
            <w:r>
              <w:rPr>
                <w:b/>
                <w:position w:val="2"/>
                <w:sz w:val="16"/>
              </w:rPr>
              <w:t>∆C</w:t>
            </w:r>
            <w:r>
              <w:rPr>
                <w:b/>
                <w:sz w:val="10"/>
              </w:rPr>
              <w:t>ArtR</w:t>
            </w:r>
          </w:p>
        </w:tc>
        <w:tc>
          <w:tcPr>
            <w:tcW w:w="1620" w:type="dxa"/>
            <w:shd w:val="clear" w:color="auto" w:fill="D5D5D5"/>
          </w:tcPr>
          <w:p>
            <w:pPr>
              <w:pStyle w:val="TableParagraph"/>
              <w:spacing w:line="164" w:lineRule="exact" w:before="25"/>
              <w:ind w:left="118" w:right="239"/>
              <w:jc w:val="center"/>
              <w:rPr>
                <w:b/>
                <w:sz w:val="10"/>
              </w:rPr>
            </w:pPr>
            <w:r>
              <w:rPr>
                <w:b/>
                <w:position w:val="2"/>
                <w:sz w:val="16"/>
              </w:rPr>
              <w:t>∆C</w:t>
            </w:r>
            <w:r>
              <w:rPr>
                <w:b/>
                <w:sz w:val="10"/>
              </w:rPr>
              <w:t>LF</w:t>
            </w:r>
          </w:p>
          <w:p>
            <w:pPr>
              <w:pStyle w:val="TableParagraph"/>
              <w:spacing w:line="87" w:lineRule="exact"/>
              <w:ind w:left="363" w:right="14"/>
              <w:jc w:val="center"/>
              <w:rPr>
                <w:b/>
                <w:sz w:val="10"/>
              </w:rPr>
            </w:pPr>
            <w:r>
              <w:rPr>
                <w:b/>
                <w:sz w:val="10"/>
              </w:rPr>
              <w:t>LT</w:t>
            </w:r>
          </w:p>
        </w:tc>
        <w:tc>
          <w:tcPr>
            <w:tcW w:w="1800" w:type="dxa"/>
            <w:shd w:val="clear" w:color="auto" w:fill="D5D5D5"/>
          </w:tcPr>
          <w:p>
            <w:pPr>
              <w:pStyle w:val="TableParagraph"/>
              <w:spacing w:line="164" w:lineRule="exact" w:before="25"/>
              <w:ind w:left="132" w:right="366"/>
              <w:jc w:val="center"/>
              <w:rPr>
                <w:b/>
                <w:sz w:val="10"/>
              </w:rPr>
            </w:pPr>
            <w:r>
              <w:rPr>
                <w:b/>
                <w:position w:val="2"/>
                <w:sz w:val="16"/>
              </w:rPr>
              <w:t>∆C</w:t>
            </w:r>
            <w:r>
              <w:rPr>
                <w:b/>
                <w:sz w:val="10"/>
              </w:rPr>
              <w:t>LF</w:t>
            </w:r>
          </w:p>
          <w:p>
            <w:pPr>
              <w:pStyle w:val="TableParagraph"/>
              <w:spacing w:line="87" w:lineRule="exact"/>
              <w:ind w:left="469" w:right="120"/>
              <w:jc w:val="center"/>
              <w:rPr>
                <w:b/>
                <w:sz w:val="10"/>
              </w:rPr>
            </w:pPr>
            <w:r>
              <w:rPr>
                <w:b/>
                <w:sz w:val="10"/>
              </w:rPr>
              <w:t>DOM</w:t>
            </w: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39" w:hRule="atLeast"/>
        </w:trPr>
        <w:tc>
          <w:tcPr>
            <w:tcW w:w="936" w:type="dxa"/>
          </w:tcPr>
          <w:p>
            <w:pPr>
              <w:pStyle w:val="TableParagraph"/>
              <w:spacing w:before="23"/>
              <w:ind w:left="107"/>
              <w:rPr>
                <w:sz w:val="16"/>
              </w:rPr>
            </w:pPr>
            <w:r>
              <w:rPr>
                <w:sz w:val="16"/>
              </w:rPr>
              <w:t>GL</w:t>
            </w:r>
          </w:p>
        </w:tc>
        <w:tc>
          <w:tcPr>
            <w:tcW w:w="938" w:type="dxa"/>
          </w:tcPr>
          <w:p>
            <w:pPr>
              <w:pStyle w:val="TableParagraph"/>
              <w:spacing w:before="23"/>
              <w:ind w:left="107"/>
              <w:rPr>
                <w:sz w:val="16"/>
              </w:rPr>
            </w:pPr>
            <w:r>
              <w:rPr>
                <w:sz w:val="16"/>
              </w:rPr>
              <w:t>FL</w:t>
            </w:r>
          </w:p>
        </w:tc>
        <w:tc>
          <w:tcPr>
            <w:tcW w:w="1027" w:type="dxa"/>
          </w:tcPr>
          <w:p>
            <w:pPr>
              <w:pStyle w:val="TableParagraph"/>
              <w:spacing w:before="23"/>
              <w:ind w:left="108"/>
              <w:rPr>
                <w:sz w:val="16"/>
              </w:rPr>
            </w:pPr>
            <w:r>
              <w:rPr>
                <w:sz w:val="16"/>
              </w:rPr>
              <w:t>(a)</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41"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422" w:hRule="atLeast"/>
        </w:trPr>
        <w:tc>
          <w:tcPr>
            <w:tcW w:w="936" w:type="dxa"/>
          </w:tcPr>
          <w:p>
            <w:pPr>
              <w:pStyle w:val="TableParagraph"/>
              <w:spacing w:before="23"/>
              <w:ind w:left="107" w:right="149"/>
              <w:rPr>
                <w:sz w:val="16"/>
              </w:rPr>
            </w:pPr>
            <w:r>
              <w:rPr>
                <w:sz w:val="16"/>
              </w:rPr>
              <w:t>WL, SL, OL</w:t>
            </w:r>
          </w:p>
        </w:tc>
        <w:tc>
          <w:tcPr>
            <w:tcW w:w="938" w:type="dxa"/>
          </w:tcPr>
          <w:p>
            <w:pPr>
              <w:pStyle w:val="TableParagraph"/>
              <w:spacing w:before="114"/>
              <w:ind w:left="107"/>
              <w:rPr>
                <w:sz w:val="16"/>
              </w:rPr>
            </w:pPr>
            <w:r>
              <w:rPr>
                <w:sz w:val="16"/>
              </w:rPr>
              <w:t>FL</w:t>
            </w:r>
          </w:p>
        </w:tc>
        <w:tc>
          <w:tcPr>
            <w:tcW w:w="1027" w:type="dxa"/>
          </w:tcPr>
          <w:p>
            <w:pPr>
              <w:pStyle w:val="TableParagraph"/>
              <w:spacing w:before="114"/>
              <w:ind w:left="108"/>
              <w:rPr>
                <w:sz w:val="16"/>
              </w:rPr>
            </w:pPr>
            <w:r>
              <w:rPr>
                <w:sz w:val="16"/>
              </w:rPr>
              <w:t>(a)</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42"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239" w:hRule="atLeast"/>
        </w:trPr>
        <w:tc>
          <w:tcPr>
            <w:tcW w:w="936" w:type="dxa"/>
          </w:tcPr>
          <w:p>
            <w:pPr>
              <w:pStyle w:val="TableParagraph"/>
              <w:spacing w:before="25"/>
              <w:ind w:left="107"/>
              <w:rPr>
                <w:b/>
                <w:sz w:val="16"/>
              </w:rPr>
            </w:pPr>
            <w:r>
              <w:rPr>
                <w:b/>
                <w:sz w:val="16"/>
              </w:rPr>
              <w:t>Total</w:t>
            </w:r>
          </w:p>
        </w:tc>
        <w:tc>
          <w:tcPr>
            <w:tcW w:w="938" w:type="dxa"/>
          </w:tcPr>
          <w:p>
            <w:pPr>
              <w:pStyle w:val="TableParagraph"/>
              <w:rPr>
                <w:sz w:val="16"/>
              </w:rPr>
            </w:pPr>
          </w:p>
        </w:tc>
        <w:tc>
          <w:tcPr>
            <w:tcW w:w="1027" w:type="dxa"/>
          </w:tcPr>
          <w:p>
            <w:pPr>
              <w:pStyle w:val="TableParagraph"/>
              <w:rPr>
                <w:sz w:val="16"/>
              </w:rPr>
            </w:pPr>
          </w:p>
        </w:tc>
        <w:tc>
          <w:tcPr>
            <w:tcW w:w="1526" w:type="dxa"/>
          </w:tcPr>
          <w:p>
            <w:pPr>
              <w:pStyle w:val="TableParagraph"/>
              <w:rPr>
                <w:sz w:val="16"/>
              </w:rPr>
            </w:pPr>
          </w:p>
        </w:tc>
        <w:tc>
          <w:tcPr>
            <w:tcW w:w="126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620" w:type="dxa"/>
          </w:tcPr>
          <w:p>
            <w:pPr>
              <w:pStyle w:val="TableParagraph"/>
              <w:rPr>
                <w:sz w:val="16"/>
              </w:rPr>
            </w:pPr>
          </w:p>
        </w:tc>
        <w:tc>
          <w:tcPr>
            <w:tcW w:w="1800" w:type="dxa"/>
          </w:tcPr>
          <w:p>
            <w:pPr>
              <w:pStyle w:val="TableParagraph"/>
              <w:rPr>
                <w:sz w:val="16"/>
              </w:rPr>
            </w:pPr>
          </w:p>
        </w:tc>
      </w:tr>
      <w:tr>
        <w:trPr>
          <w:trHeight w:val="496" w:hRule="atLeast"/>
        </w:trPr>
        <w:tc>
          <w:tcPr>
            <w:tcW w:w="14687" w:type="dxa"/>
            <w:gridSpan w:val="10"/>
          </w:tcPr>
          <w:p>
            <w:pPr>
              <w:pStyle w:val="TableParagraph"/>
              <w:spacing w:before="50"/>
              <w:ind w:left="182" w:right="362" w:hanging="75"/>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footerReference w:type="default" r:id="rId223"/>
          <w:footerReference w:type="even" r:id="rId224"/>
          <w:pgSz w:w="16840" w:h="11900" w:orient="landscape"/>
          <w:pgMar w:footer="1128" w:header="45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938"/>
        <w:gridCol w:w="1027"/>
        <w:gridCol w:w="2066"/>
        <w:gridCol w:w="1980"/>
        <w:gridCol w:w="2520"/>
        <w:gridCol w:w="2700"/>
        <w:gridCol w:w="252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6"/>
          </w:tcPr>
          <w:p>
            <w:pPr>
              <w:pStyle w:val="TableParagraph"/>
              <w:spacing w:before="26"/>
              <w:ind w:left="108"/>
              <w:rPr>
                <w:b/>
                <w:sz w:val="20"/>
              </w:rPr>
            </w:pPr>
            <w:r>
              <w:rPr>
                <w:b/>
                <w:sz w:val="20"/>
              </w:rPr>
              <w:t>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6"/>
          </w:tcPr>
          <w:p>
            <w:pPr>
              <w:pStyle w:val="TableParagraph"/>
              <w:spacing w:before="26"/>
              <w:ind w:left="108"/>
              <w:rPr>
                <w:b/>
                <w:sz w:val="20"/>
              </w:rPr>
            </w:pPr>
            <w:r>
              <w:rPr>
                <w:b/>
                <w:sz w:val="20"/>
              </w:rPr>
              <w:t>Land Converted to 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6"/>
          </w:tcPr>
          <w:p>
            <w:pPr>
              <w:pStyle w:val="TableParagraph"/>
              <w:spacing w:before="26"/>
              <w:ind w:left="108"/>
              <w:rPr>
                <w:b/>
                <w:sz w:val="20"/>
              </w:rPr>
            </w:pPr>
            <w:r>
              <w:rPr>
                <w:b/>
                <w:sz w:val="20"/>
              </w:rPr>
              <w:t>FL-2c1: Annual change in carbon stocks in mineral soils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6"/>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343" w:right="331" w:firstLine="21"/>
              <w:jc w:val="both"/>
              <w:rPr>
                <w:sz w:val="16"/>
              </w:rPr>
            </w:pPr>
            <w:r>
              <w:rPr>
                <w:sz w:val="16"/>
              </w:rPr>
              <w:t>Total afforested land derived from former cropland or grassland</w:t>
            </w:r>
          </w:p>
          <w:p>
            <w:pPr>
              <w:pStyle w:val="TableParagraph"/>
              <w:spacing w:before="10"/>
              <w:rPr>
                <w:sz w:val="15"/>
              </w:rPr>
            </w:pPr>
          </w:p>
          <w:p>
            <w:pPr>
              <w:pStyle w:val="TableParagraph"/>
              <w:ind w:left="138" w:right="129"/>
              <w:jc w:val="center"/>
              <w:rPr>
                <w:sz w:val="16"/>
              </w:rPr>
            </w:pPr>
            <w:r>
              <w:rPr>
                <w:sz w:val="16"/>
              </w:rPr>
              <w:t>(ha)</w:t>
            </w:r>
          </w:p>
          <w:p>
            <w:pPr>
              <w:pStyle w:val="TableParagraph"/>
              <w:rPr>
                <w:sz w:val="18"/>
              </w:rPr>
            </w:pPr>
          </w:p>
          <w:p>
            <w:pPr>
              <w:pStyle w:val="TableParagraph"/>
              <w:rPr>
                <w:sz w:val="15"/>
              </w:rPr>
            </w:pPr>
          </w:p>
          <w:p>
            <w:pPr>
              <w:pStyle w:val="TableParagraph"/>
              <w:spacing w:line="170" w:lineRule="exact"/>
              <w:ind w:left="14"/>
              <w:jc w:val="center"/>
              <w:rPr>
                <w:sz w:val="16"/>
              </w:rPr>
            </w:pPr>
            <w:r>
              <w:rPr>
                <w:w w:val="100"/>
                <w:sz w:val="16"/>
              </w:rPr>
              <w:t>A</w:t>
            </w:r>
          </w:p>
        </w:tc>
        <w:tc>
          <w:tcPr>
            <w:tcW w:w="1980" w:type="dxa"/>
            <w:vMerge w:val="restart"/>
            <w:shd w:val="clear" w:color="auto" w:fill="E4E4E4"/>
          </w:tcPr>
          <w:p>
            <w:pPr>
              <w:pStyle w:val="TableParagraph"/>
              <w:spacing w:before="23"/>
              <w:ind w:left="183" w:right="171" w:firstLine="1"/>
              <w:jc w:val="center"/>
              <w:rPr>
                <w:sz w:val="16"/>
              </w:rPr>
            </w:pPr>
            <w:r>
              <w:rPr>
                <w:sz w:val="16"/>
              </w:rPr>
              <w:t>Reference carbon stock under native, unmanaged forest on a given soil,</w:t>
            </w:r>
          </w:p>
          <w:p>
            <w:pPr>
              <w:pStyle w:val="TableParagraph"/>
              <w:spacing w:line="470" w:lineRule="auto"/>
              <w:ind w:left="516" w:right="485" w:firstLine="261"/>
              <w:rPr>
                <w:sz w:val="16"/>
              </w:rPr>
            </w:pPr>
            <w:r>
              <w:rPr>
                <w:position w:val="2"/>
                <w:sz w:val="16"/>
              </w:rPr>
              <w:t>SOC</w:t>
            </w:r>
            <w:r>
              <w:rPr>
                <w:sz w:val="10"/>
              </w:rPr>
              <w:t>ref </w:t>
            </w:r>
            <w:r>
              <w:rPr>
                <w:sz w:val="16"/>
              </w:rPr>
              <w:t>(tonnes C ha</w:t>
            </w:r>
            <w:r>
              <w:rPr>
                <w:sz w:val="16"/>
                <w:vertAlign w:val="superscript"/>
              </w:rPr>
              <w:t>-1</w:t>
            </w:r>
            <w:r>
              <w:rPr>
                <w:sz w:val="16"/>
                <w:vertAlign w:val="baseline"/>
              </w:rPr>
              <w:t>)</w:t>
            </w:r>
          </w:p>
          <w:p>
            <w:pPr>
              <w:pStyle w:val="TableParagraph"/>
              <w:spacing w:line="170" w:lineRule="exact" w:before="18"/>
              <w:ind w:left="10"/>
              <w:jc w:val="center"/>
              <w:rPr>
                <w:sz w:val="16"/>
              </w:rPr>
            </w:pPr>
            <w:r>
              <w:rPr>
                <w:w w:val="100"/>
                <w:sz w:val="16"/>
              </w:rPr>
              <w:t>B</w:t>
            </w:r>
          </w:p>
        </w:tc>
        <w:tc>
          <w:tcPr>
            <w:tcW w:w="2520" w:type="dxa"/>
            <w:vMerge w:val="restart"/>
            <w:shd w:val="clear" w:color="auto" w:fill="E4E4E4"/>
          </w:tcPr>
          <w:p>
            <w:pPr>
              <w:pStyle w:val="TableParagraph"/>
              <w:spacing w:before="23"/>
              <w:ind w:left="178" w:right="163" w:hanging="2"/>
              <w:jc w:val="center"/>
              <w:rPr>
                <w:sz w:val="10"/>
              </w:rPr>
            </w:pPr>
            <w:r>
              <w:rPr>
                <w:sz w:val="16"/>
              </w:rPr>
              <w:t>Stable soil organic carbon on previous land use, either cropland </w:t>
            </w:r>
            <w:r>
              <w:rPr>
                <w:position w:val="2"/>
                <w:sz w:val="16"/>
              </w:rPr>
              <w:t>or grassland, SOC</w:t>
            </w:r>
            <w:r>
              <w:rPr>
                <w:sz w:val="10"/>
              </w:rPr>
              <w:t>Non-forest Land</w:t>
            </w:r>
          </w:p>
          <w:p>
            <w:pPr>
              <w:pStyle w:val="TableParagraph"/>
              <w:spacing w:before="3"/>
              <w:rPr>
                <w:sz w:val="15"/>
              </w:rPr>
            </w:pPr>
          </w:p>
          <w:p>
            <w:pPr>
              <w:pStyle w:val="TableParagraph"/>
              <w:ind w:left="119" w:right="110"/>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5"/>
              </w:rPr>
            </w:pPr>
          </w:p>
          <w:p>
            <w:pPr>
              <w:pStyle w:val="TableParagraph"/>
              <w:spacing w:line="170" w:lineRule="exact"/>
              <w:ind w:left="8"/>
              <w:jc w:val="center"/>
              <w:rPr>
                <w:sz w:val="16"/>
              </w:rPr>
            </w:pPr>
            <w:r>
              <w:rPr>
                <w:w w:val="100"/>
                <w:sz w:val="16"/>
              </w:rPr>
              <w:t>C</w:t>
            </w:r>
          </w:p>
        </w:tc>
        <w:tc>
          <w:tcPr>
            <w:tcW w:w="2700" w:type="dxa"/>
            <w:vMerge w:val="restart"/>
            <w:shd w:val="clear" w:color="auto" w:fill="E4E4E4"/>
          </w:tcPr>
          <w:p>
            <w:pPr>
              <w:pStyle w:val="TableParagraph"/>
              <w:spacing w:before="23"/>
              <w:ind w:left="363" w:right="351"/>
              <w:jc w:val="center"/>
              <w:rPr>
                <w:sz w:val="10"/>
              </w:rPr>
            </w:pPr>
            <w:r>
              <w:rPr>
                <w:sz w:val="16"/>
              </w:rPr>
              <w:t>Duration of the transition from </w:t>
            </w:r>
            <w:r>
              <w:rPr>
                <w:position w:val="2"/>
                <w:sz w:val="16"/>
              </w:rPr>
              <w:t>SOC</w:t>
            </w:r>
            <w:r>
              <w:rPr>
                <w:sz w:val="10"/>
              </w:rPr>
              <w:t>Non-forest Land </w:t>
            </w:r>
            <w:r>
              <w:rPr>
                <w:position w:val="2"/>
                <w:sz w:val="16"/>
              </w:rPr>
              <w:t>to SOC</w:t>
            </w:r>
            <w:r>
              <w:rPr>
                <w:sz w:val="10"/>
              </w:rPr>
              <w:t>ref</w:t>
            </w:r>
          </w:p>
          <w:p>
            <w:pPr>
              <w:pStyle w:val="TableParagraph"/>
              <w:spacing w:before="4"/>
              <w:rPr>
                <w:sz w:val="15"/>
              </w:rPr>
            </w:pPr>
          </w:p>
          <w:p>
            <w:pPr>
              <w:pStyle w:val="TableParagraph"/>
              <w:ind w:left="362" w:right="351"/>
              <w:jc w:val="center"/>
              <w:rPr>
                <w:sz w:val="16"/>
              </w:rPr>
            </w:pPr>
            <w:r>
              <w:rPr>
                <w:sz w:val="16"/>
              </w:rPr>
              <w:t>(yr)</w:t>
            </w:r>
          </w:p>
          <w:p>
            <w:pPr>
              <w:pStyle w:val="TableParagraph"/>
              <w:rPr>
                <w:sz w:val="18"/>
              </w:rPr>
            </w:pPr>
          </w:p>
          <w:p>
            <w:pPr>
              <w:pStyle w:val="TableParagraph"/>
              <w:rPr>
                <w:sz w:val="18"/>
              </w:rPr>
            </w:pPr>
          </w:p>
          <w:p>
            <w:pPr>
              <w:pStyle w:val="TableParagraph"/>
              <w:spacing w:line="170" w:lineRule="exact" w:before="149"/>
              <w:ind w:left="10"/>
              <w:jc w:val="center"/>
              <w:rPr>
                <w:sz w:val="16"/>
              </w:rPr>
            </w:pPr>
            <w:r>
              <w:rPr>
                <w:w w:val="100"/>
                <w:sz w:val="16"/>
              </w:rPr>
              <w:t>D</w:t>
            </w:r>
          </w:p>
        </w:tc>
        <w:tc>
          <w:tcPr>
            <w:tcW w:w="2520" w:type="dxa"/>
            <w:vMerge w:val="restart"/>
            <w:shd w:val="clear" w:color="auto" w:fill="E4E4E4"/>
          </w:tcPr>
          <w:p>
            <w:pPr>
              <w:pStyle w:val="TableParagraph"/>
              <w:spacing w:before="23"/>
              <w:ind w:left="120" w:right="107"/>
              <w:jc w:val="center"/>
              <w:rPr>
                <w:sz w:val="16"/>
              </w:rPr>
            </w:pPr>
            <w:r>
              <w:rPr>
                <w:sz w:val="16"/>
              </w:rPr>
              <w:t>Change in carbon stock in mineral soils</w:t>
            </w:r>
          </w:p>
          <w:p>
            <w:pPr>
              <w:pStyle w:val="TableParagraph"/>
              <w:rPr>
                <w:sz w:val="16"/>
              </w:rPr>
            </w:pPr>
          </w:p>
          <w:p>
            <w:pPr>
              <w:pStyle w:val="TableParagraph"/>
              <w:spacing w:line="494" w:lineRule="auto"/>
              <w:ind w:left="684" w:right="670" w:firstLine="112"/>
              <w:rPr>
                <w:sz w:val="16"/>
              </w:rPr>
            </w:pPr>
            <w:r>
              <w:rPr>
                <w:sz w:val="16"/>
              </w:rPr>
              <w:t>(tonnes C yr</w:t>
            </w:r>
            <w:r>
              <w:rPr>
                <w:sz w:val="16"/>
                <w:vertAlign w:val="superscript"/>
              </w:rPr>
              <w:t>-1</w:t>
            </w:r>
            <w:r>
              <w:rPr>
                <w:sz w:val="16"/>
                <w:vertAlign w:val="baseline"/>
              </w:rPr>
              <w:t>) E = (B-C) </w:t>
            </w:r>
            <w:r>
              <w:rPr>
                <w:rFonts w:ascii="Symbol" w:hAnsi="Symbol"/>
                <w:sz w:val="16"/>
                <w:vertAlign w:val="baseline"/>
              </w:rPr>
              <w:t>• </w:t>
            </w:r>
            <w:r>
              <w:rPr>
                <w:sz w:val="16"/>
                <w:vertAlign w:val="baseline"/>
              </w:rPr>
              <w:t>A /</w:t>
            </w:r>
            <w:r>
              <w:rPr>
                <w:spacing w:val="-3"/>
                <w:sz w:val="16"/>
                <w:vertAlign w:val="baseline"/>
              </w:rPr>
              <w:t> </w:t>
            </w:r>
            <w:r>
              <w:rPr>
                <w:spacing w:val="-12"/>
                <w:sz w:val="16"/>
                <w:vertAlign w:val="baseline"/>
              </w:rPr>
              <w:t>D</w:t>
            </w:r>
          </w:p>
          <w:p>
            <w:pPr>
              <w:pStyle w:val="TableParagraph"/>
              <w:spacing w:line="145" w:lineRule="exact"/>
              <w:ind w:left="9"/>
              <w:jc w:val="center"/>
              <w:rPr>
                <w:sz w:val="16"/>
              </w:rPr>
            </w:pPr>
            <w:r>
              <w:rPr>
                <w:w w:val="100"/>
                <w:sz w:val="16"/>
              </w:rPr>
              <w:t>E</w:t>
            </w:r>
          </w:p>
        </w:tc>
      </w:tr>
      <w:tr>
        <w:trPr>
          <w:trHeight w:val="1106" w:hRule="atLeast"/>
        </w:trPr>
        <w:tc>
          <w:tcPr>
            <w:tcW w:w="936" w:type="dxa"/>
            <w:shd w:val="clear" w:color="auto" w:fill="E4E4E4"/>
          </w:tcPr>
          <w:p>
            <w:pPr>
              <w:pStyle w:val="TableParagraph"/>
              <w:spacing w:before="23"/>
              <w:ind w:left="174" w:right="149" w:firstLine="100"/>
              <w:rPr>
                <w:sz w:val="16"/>
              </w:rPr>
            </w:pPr>
            <w:r>
              <w:rPr>
                <w:sz w:val="16"/>
              </w:rPr>
              <w:t>Initial Land use</w:t>
            </w:r>
          </w:p>
        </w:tc>
        <w:tc>
          <w:tcPr>
            <w:tcW w:w="938" w:type="dxa"/>
            <w:shd w:val="clear" w:color="auto" w:fill="E4E4E4"/>
          </w:tcPr>
          <w:p>
            <w:pPr>
              <w:pStyle w:val="TableParagraph"/>
              <w:spacing w:before="23"/>
              <w:ind w:left="170" w:right="158"/>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c>
          <w:tcPr>
            <w:tcW w:w="270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r>
      <w:tr>
        <w:trPr>
          <w:trHeight w:val="239" w:hRule="atLeast"/>
        </w:trPr>
        <w:tc>
          <w:tcPr>
            <w:tcW w:w="936" w:type="dxa"/>
          </w:tcPr>
          <w:p>
            <w:pPr>
              <w:pStyle w:val="TableParagraph"/>
              <w:spacing w:before="23"/>
              <w:ind w:left="107"/>
              <w:rPr>
                <w:sz w:val="16"/>
              </w:rPr>
            </w:pPr>
            <w:r>
              <w:rPr>
                <w:sz w:val="16"/>
              </w:rPr>
              <w:t>CL</w:t>
            </w:r>
          </w:p>
        </w:tc>
        <w:tc>
          <w:tcPr>
            <w:tcW w:w="938" w:type="dxa"/>
          </w:tcPr>
          <w:p>
            <w:pPr>
              <w:pStyle w:val="TableParagraph"/>
              <w:spacing w:before="23"/>
              <w:ind w:left="107"/>
              <w:rPr>
                <w:sz w:val="16"/>
              </w:rPr>
            </w:pPr>
            <w:r>
              <w:rPr>
                <w:sz w:val="16"/>
              </w:rPr>
              <w:t>FL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9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9" w:right="126"/>
              <w:jc w:val="center"/>
              <w:rPr>
                <w:b/>
                <w:sz w:val="10"/>
              </w:rPr>
            </w:pPr>
            <w:r>
              <w:rPr>
                <w:b/>
                <w:position w:val="2"/>
                <w:sz w:val="16"/>
              </w:rPr>
              <w:t>A</w:t>
            </w:r>
            <w:r>
              <w:rPr>
                <w:b/>
                <w:sz w:val="10"/>
              </w:rPr>
              <w:t>AFF,x</w:t>
            </w:r>
          </w:p>
        </w:tc>
        <w:tc>
          <w:tcPr>
            <w:tcW w:w="1980" w:type="dxa"/>
          </w:tcPr>
          <w:p>
            <w:pPr>
              <w:pStyle w:val="TableParagraph"/>
              <w:spacing w:before="53"/>
              <w:ind w:left="150" w:right="138"/>
              <w:jc w:val="center"/>
              <w:rPr>
                <w:b/>
                <w:sz w:val="10"/>
              </w:rPr>
            </w:pPr>
            <w:r>
              <w:rPr>
                <w:b/>
                <w:position w:val="2"/>
                <w:sz w:val="16"/>
              </w:rPr>
              <w:t>SOC</w:t>
            </w:r>
            <w:r>
              <w:rPr>
                <w:b/>
                <w:sz w:val="10"/>
              </w:rPr>
              <w:t>ref</w:t>
            </w:r>
          </w:p>
        </w:tc>
        <w:tc>
          <w:tcPr>
            <w:tcW w:w="2520" w:type="dxa"/>
          </w:tcPr>
          <w:p>
            <w:pPr>
              <w:pStyle w:val="TableParagraph"/>
              <w:spacing w:before="53"/>
              <w:ind w:left="747"/>
              <w:rPr>
                <w:b/>
                <w:sz w:val="10"/>
              </w:rPr>
            </w:pPr>
            <w:r>
              <w:rPr>
                <w:b/>
                <w:position w:val="2"/>
                <w:sz w:val="16"/>
              </w:rPr>
              <w:t>SOC</w:t>
            </w:r>
            <w:r>
              <w:rPr>
                <w:b/>
                <w:sz w:val="10"/>
              </w:rPr>
              <w:t>Non-forest_land</w:t>
            </w:r>
          </w:p>
        </w:tc>
        <w:tc>
          <w:tcPr>
            <w:tcW w:w="2700" w:type="dxa"/>
          </w:tcPr>
          <w:p>
            <w:pPr>
              <w:pStyle w:val="TableParagraph"/>
              <w:spacing w:before="53"/>
              <w:ind w:left="363" w:right="350"/>
              <w:jc w:val="center"/>
              <w:rPr>
                <w:b/>
                <w:sz w:val="10"/>
              </w:rPr>
            </w:pPr>
            <w:r>
              <w:rPr>
                <w:b/>
                <w:position w:val="2"/>
                <w:sz w:val="16"/>
              </w:rPr>
              <w:t>T</w:t>
            </w:r>
            <w:r>
              <w:rPr>
                <w:b/>
                <w:sz w:val="10"/>
              </w:rPr>
              <w:t>AFF</w:t>
            </w:r>
          </w:p>
        </w:tc>
        <w:tc>
          <w:tcPr>
            <w:tcW w:w="2520" w:type="dxa"/>
            <w:shd w:val="clear" w:color="auto" w:fill="D5D5D5"/>
          </w:tcPr>
          <w:p>
            <w:pPr>
              <w:pStyle w:val="TableParagraph"/>
              <w:tabs>
                <w:tab w:pos="798" w:val="right" w:leader="none"/>
              </w:tabs>
              <w:spacing w:line="177" w:lineRule="exact" w:before="11"/>
              <w:ind w:left="11"/>
              <w:jc w:val="center"/>
              <w:rPr>
                <w:b/>
                <w:sz w:val="10"/>
              </w:rPr>
            </w:pPr>
            <w:r>
              <w:rPr>
                <w:b/>
                <w:position w:val="2"/>
                <w:sz w:val="16"/>
              </w:rPr>
              <w:t>∆C</w:t>
            </w:r>
            <w:r>
              <w:rPr>
                <w:b/>
                <w:sz w:val="10"/>
              </w:rPr>
              <w:t>LF</w:t>
              <w:tab/>
            </w:r>
            <w:r>
              <w:rPr>
                <w:b/>
                <w:position w:val="9"/>
                <w:sz w:val="10"/>
              </w:rPr>
              <w:t>2</w:t>
            </w:r>
          </w:p>
          <w:p>
            <w:pPr>
              <w:pStyle w:val="TableParagraph"/>
              <w:spacing w:line="87" w:lineRule="exact"/>
              <w:ind w:left="363" w:right="110"/>
              <w:jc w:val="center"/>
              <w:rPr>
                <w:b/>
                <w:sz w:val="10"/>
              </w:rPr>
            </w:pPr>
            <w:r>
              <w:rPr>
                <w:b/>
                <w:sz w:val="10"/>
              </w:rPr>
              <w:t>Mineral</w:t>
            </w: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36" w:type="dxa"/>
          </w:tcPr>
          <w:p>
            <w:pPr>
              <w:pStyle w:val="TableParagraph"/>
              <w:spacing w:before="23"/>
              <w:ind w:left="107"/>
              <w:rPr>
                <w:sz w:val="16"/>
              </w:rPr>
            </w:pPr>
            <w:r>
              <w:rPr>
                <w:sz w:val="16"/>
              </w:rPr>
              <w:t>GL</w:t>
            </w:r>
          </w:p>
        </w:tc>
        <w:tc>
          <w:tcPr>
            <w:tcW w:w="938" w:type="dxa"/>
          </w:tcPr>
          <w:p>
            <w:pPr>
              <w:pStyle w:val="TableParagraph"/>
              <w:spacing w:before="23"/>
              <w:ind w:left="107"/>
              <w:rPr>
                <w:sz w:val="16"/>
              </w:rPr>
            </w:pPr>
            <w:r>
              <w:rPr>
                <w:sz w:val="16"/>
              </w:rPr>
              <w:t>FL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42"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36" w:type="dxa"/>
          </w:tcPr>
          <w:p>
            <w:pPr>
              <w:pStyle w:val="TableParagraph"/>
              <w:spacing w:before="25"/>
              <w:ind w:left="107"/>
              <w:rPr>
                <w:b/>
                <w:sz w:val="16"/>
              </w:rPr>
            </w:pPr>
            <w:r>
              <w:rPr>
                <w:b/>
                <w:sz w:val="16"/>
              </w:rPr>
              <w:t>Total</w:t>
            </w:r>
          </w:p>
        </w:tc>
        <w:tc>
          <w:tcPr>
            <w:tcW w:w="938"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779" w:hRule="atLeast"/>
        </w:trPr>
        <w:tc>
          <w:tcPr>
            <w:tcW w:w="14687" w:type="dxa"/>
            <w:gridSpan w:val="8"/>
          </w:tcPr>
          <w:p>
            <w:pPr>
              <w:pStyle w:val="TableParagraph"/>
              <w:spacing w:before="50"/>
              <w:ind w:left="33"/>
              <w:rPr>
                <w:sz w:val="16"/>
              </w:rPr>
            </w:pPr>
            <w:r>
              <w:rPr>
                <w:position w:val="7"/>
                <w:sz w:val="10"/>
              </w:rPr>
              <w:t>1 </w:t>
            </w:r>
            <w:r>
              <w:rPr>
                <w:sz w:val="16"/>
              </w:rPr>
              <w:t>This </w:t>
            </w:r>
            <w:r>
              <w:rPr>
                <w:i/>
                <w:sz w:val="16"/>
              </w:rPr>
              <w:t>LULUCF Good Practice Guidance </w:t>
            </w:r>
            <w:r>
              <w:rPr>
                <w:sz w:val="16"/>
              </w:rPr>
              <w:t>provides default values only for cropland and grassland converted into forest land.</w:t>
            </w:r>
          </w:p>
          <w:p>
            <w:pPr>
              <w:pStyle w:val="TableParagraph"/>
              <w:spacing w:before="85"/>
              <w:ind w:left="107" w:hanging="75"/>
              <w:rPr>
                <w:sz w:val="16"/>
              </w:rPr>
            </w:pPr>
            <w:r>
              <w:rPr>
                <w:position w:val="7"/>
                <w:sz w:val="10"/>
              </w:rPr>
              <w:t>2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pgSz w:w="16840" w:h="11900" w:orient="landscape"/>
          <w:pgMar w:header="1150"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938"/>
        <w:gridCol w:w="1027"/>
        <w:gridCol w:w="4118"/>
        <w:gridCol w:w="4164"/>
        <w:gridCol w:w="36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928" w:type="dxa"/>
            <w:gridSpan w:val="4"/>
          </w:tcPr>
          <w:p>
            <w:pPr>
              <w:pStyle w:val="TableParagraph"/>
              <w:spacing w:before="26"/>
              <w:ind w:left="108"/>
              <w:rPr>
                <w:b/>
                <w:sz w:val="20"/>
              </w:rPr>
            </w:pPr>
            <w:r>
              <w:rPr>
                <w:b/>
                <w:sz w:val="20"/>
              </w:rPr>
              <w:t>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928" w:type="dxa"/>
            <w:gridSpan w:val="4"/>
          </w:tcPr>
          <w:p>
            <w:pPr>
              <w:pStyle w:val="TableParagraph"/>
              <w:spacing w:before="26"/>
              <w:ind w:left="108"/>
              <w:rPr>
                <w:b/>
                <w:sz w:val="20"/>
              </w:rPr>
            </w:pPr>
            <w:r>
              <w:rPr>
                <w:b/>
                <w:sz w:val="20"/>
              </w:rPr>
              <w:t>Land Converted to 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928" w:type="dxa"/>
            <w:gridSpan w:val="4"/>
          </w:tcPr>
          <w:p>
            <w:pPr>
              <w:pStyle w:val="TableParagraph"/>
              <w:spacing w:before="26"/>
              <w:ind w:left="108"/>
              <w:rPr>
                <w:b/>
                <w:sz w:val="20"/>
              </w:rPr>
            </w:pPr>
            <w:r>
              <w:rPr>
                <w:b/>
                <w:sz w:val="20"/>
              </w:rPr>
              <w:t>FL-2c2: Annual change in carbon stocks in organic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928" w:type="dxa"/>
            <w:gridSpan w:val="4"/>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4118" w:type="dxa"/>
            <w:vMerge w:val="restart"/>
            <w:shd w:val="clear" w:color="auto" w:fill="E4E4E4"/>
          </w:tcPr>
          <w:p>
            <w:pPr>
              <w:pStyle w:val="TableParagraph"/>
              <w:spacing w:line="480" w:lineRule="auto" w:before="23"/>
              <w:ind w:left="110" w:right="100"/>
              <w:jc w:val="center"/>
              <w:rPr>
                <w:sz w:val="16"/>
              </w:rPr>
            </w:pPr>
            <w:r>
              <w:rPr>
                <w:sz w:val="16"/>
              </w:rPr>
              <w:t>Area of drained organic soils in land converted to forest land (ha)</w:t>
            </w:r>
          </w:p>
          <w:p>
            <w:pPr>
              <w:pStyle w:val="TableParagraph"/>
              <w:rPr>
                <w:sz w:val="18"/>
              </w:rPr>
            </w:pPr>
          </w:p>
          <w:p>
            <w:pPr>
              <w:pStyle w:val="TableParagraph"/>
              <w:spacing w:before="1"/>
              <w:rPr>
                <w:sz w:val="17"/>
              </w:rPr>
            </w:pPr>
          </w:p>
          <w:p>
            <w:pPr>
              <w:pStyle w:val="TableParagraph"/>
              <w:spacing w:line="170" w:lineRule="exact" w:before="1"/>
              <w:ind w:left="12"/>
              <w:jc w:val="center"/>
              <w:rPr>
                <w:sz w:val="16"/>
              </w:rPr>
            </w:pPr>
            <w:r>
              <w:rPr>
                <w:w w:val="100"/>
                <w:sz w:val="16"/>
              </w:rPr>
              <w:t>A</w:t>
            </w:r>
          </w:p>
        </w:tc>
        <w:tc>
          <w:tcPr>
            <w:tcW w:w="4164" w:type="dxa"/>
            <w:vMerge w:val="restart"/>
            <w:shd w:val="clear" w:color="auto" w:fill="E4E4E4"/>
          </w:tcPr>
          <w:p>
            <w:pPr>
              <w:pStyle w:val="TableParagraph"/>
              <w:spacing w:line="232" w:lineRule="auto" w:before="27"/>
              <w:ind w:left="871" w:right="859"/>
              <w:jc w:val="center"/>
              <w:rPr>
                <w:sz w:val="16"/>
              </w:rPr>
            </w:pPr>
            <w:r>
              <w:rPr>
                <w:position w:val="2"/>
                <w:sz w:val="16"/>
              </w:rPr>
              <w:t>Emission factor for CO</w:t>
            </w:r>
            <w:r>
              <w:rPr>
                <w:sz w:val="10"/>
              </w:rPr>
              <w:t>2 </w:t>
            </w:r>
            <w:r>
              <w:rPr>
                <w:position w:val="2"/>
                <w:sz w:val="16"/>
              </w:rPr>
              <w:t>from drained </w:t>
            </w:r>
            <w:r>
              <w:rPr>
                <w:sz w:val="16"/>
              </w:rPr>
              <w:t>organic forest</w:t>
            </w:r>
            <w:r>
              <w:rPr>
                <w:spacing w:val="-1"/>
                <w:sz w:val="16"/>
              </w:rPr>
              <w:t> </w:t>
            </w:r>
            <w:r>
              <w:rPr>
                <w:sz w:val="16"/>
              </w:rPr>
              <w:t>soils</w:t>
            </w:r>
          </w:p>
          <w:p>
            <w:pPr>
              <w:pStyle w:val="TableParagraph"/>
              <w:rPr>
                <w:sz w:val="16"/>
              </w:rPr>
            </w:pPr>
          </w:p>
          <w:p>
            <w:pPr>
              <w:pStyle w:val="TableParagraph"/>
              <w:ind w:left="123" w:right="114"/>
              <w:jc w:val="center"/>
              <w:rPr>
                <w:sz w:val="16"/>
              </w:rPr>
            </w:pPr>
            <w:r>
              <w:rPr>
                <w:sz w:val="16"/>
              </w:rPr>
              <w:t>(tonnes C ha</w:t>
            </w:r>
            <w:r>
              <w:rPr>
                <w:sz w:val="16"/>
                <w:vertAlign w:val="superscript"/>
              </w:rPr>
              <w:t>-1</w:t>
            </w:r>
            <w:r>
              <w:rPr>
                <w:spacing w:val="-1"/>
                <w:sz w:val="16"/>
                <w:vertAlign w:val="baseline"/>
              </w:rPr>
              <w:t> </w:t>
            </w:r>
            <w:r>
              <w:rPr>
                <w:sz w:val="16"/>
                <w:vertAlign w:val="baseline"/>
              </w:rPr>
              <w:t>yr</w:t>
            </w:r>
            <w:r>
              <w:rPr>
                <w:sz w:val="16"/>
                <w:vertAlign w:val="superscript"/>
              </w:rPr>
              <w:t>-1</w:t>
            </w:r>
            <w:r>
              <w:rPr>
                <w:sz w:val="16"/>
                <w:vertAlign w:val="baseline"/>
              </w:rPr>
              <w:t>)</w:t>
            </w:r>
          </w:p>
          <w:p>
            <w:pPr>
              <w:pStyle w:val="TableParagraph"/>
              <w:rPr>
                <w:sz w:val="18"/>
              </w:rPr>
            </w:pPr>
          </w:p>
          <w:p>
            <w:pPr>
              <w:pStyle w:val="TableParagraph"/>
              <w:spacing w:before="1"/>
              <w:rPr>
                <w:sz w:val="17"/>
              </w:rPr>
            </w:pPr>
          </w:p>
          <w:p>
            <w:pPr>
              <w:pStyle w:val="TableParagraph"/>
              <w:spacing w:line="170" w:lineRule="exact" w:before="1"/>
              <w:ind w:left="10"/>
              <w:jc w:val="center"/>
              <w:rPr>
                <w:sz w:val="16"/>
              </w:rPr>
            </w:pPr>
            <w:r>
              <w:rPr>
                <w:w w:val="100"/>
                <w:sz w:val="16"/>
              </w:rPr>
              <w:t>B</w:t>
            </w:r>
          </w:p>
        </w:tc>
        <w:tc>
          <w:tcPr>
            <w:tcW w:w="3619" w:type="dxa"/>
            <w:vMerge w:val="restart"/>
            <w:shd w:val="clear" w:color="auto" w:fill="E4E4E4"/>
          </w:tcPr>
          <w:p>
            <w:pPr>
              <w:pStyle w:val="TableParagraph"/>
              <w:spacing w:line="470" w:lineRule="auto" w:before="22"/>
              <w:ind w:left="272" w:right="261"/>
              <w:jc w:val="center"/>
              <w:rPr>
                <w:sz w:val="16"/>
              </w:rPr>
            </w:pPr>
            <w:r>
              <w:rPr>
                <w:position w:val="2"/>
                <w:sz w:val="16"/>
              </w:rPr>
              <w:t>CO</w:t>
            </w:r>
            <w:r>
              <w:rPr>
                <w:sz w:val="10"/>
              </w:rPr>
              <w:t>2 </w:t>
            </w:r>
            <w:r>
              <w:rPr>
                <w:position w:val="2"/>
                <w:sz w:val="16"/>
              </w:rPr>
              <w:t>emissions from drained organic soils </w:t>
            </w:r>
            <w:r>
              <w:rPr>
                <w:sz w:val="16"/>
              </w:rPr>
              <w:t>(tonnes C yr</w:t>
            </w:r>
            <w:r>
              <w:rPr>
                <w:sz w:val="16"/>
                <w:vertAlign w:val="superscript"/>
              </w:rPr>
              <w:t>-1</w:t>
            </w:r>
            <w:r>
              <w:rPr>
                <w:sz w:val="16"/>
                <w:vertAlign w:val="baseline"/>
              </w:rPr>
              <w:t>)</w:t>
            </w:r>
          </w:p>
          <w:p>
            <w:pPr>
              <w:pStyle w:val="TableParagraph"/>
              <w:spacing w:before="19"/>
              <w:ind w:left="269" w:right="261"/>
              <w:jc w:val="center"/>
              <w:rPr>
                <w:sz w:val="16"/>
              </w:rPr>
            </w:pPr>
            <w:r>
              <w:rPr>
                <w:sz w:val="16"/>
              </w:rPr>
              <w:t>C = A </w:t>
            </w:r>
            <w:r>
              <w:rPr>
                <w:rFonts w:ascii="Symbol" w:hAnsi="Symbol"/>
                <w:sz w:val="16"/>
              </w:rPr>
              <w:t>• </w:t>
            </w:r>
            <w:r>
              <w:rPr>
                <w:sz w:val="16"/>
              </w:rPr>
              <w:t>B</w:t>
            </w:r>
          </w:p>
          <w:p>
            <w:pPr>
              <w:pStyle w:val="TableParagraph"/>
              <w:spacing w:before="1"/>
              <w:rPr>
                <w:sz w:val="17"/>
              </w:rPr>
            </w:pPr>
          </w:p>
          <w:p>
            <w:pPr>
              <w:pStyle w:val="TableParagraph"/>
              <w:spacing w:line="170" w:lineRule="exact"/>
              <w:ind w:left="8"/>
              <w:jc w:val="center"/>
              <w:rPr>
                <w:sz w:val="16"/>
              </w:rPr>
            </w:pPr>
            <w:r>
              <w:rPr>
                <w:w w:val="100"/>
                <w:sz w:val="16"/>
              </w:rPr>
              <w:t>C</w:t>
            </w:r>
          </w:p>
        </w:tc>
      </w:tr>
      <w:tr>
        <w:trPr>
          <w:trHeight w:val="947" w:hRule="atLeast"/>
        </w:trPr>
        <w:tc>
          <w:tcPr>
            <w:tcW w:w="936" w:type="dxa"/>
            <w:shd w:val="clear" w:color="auto" w:fill="E4E4E4"/>
          </w:tcPr>
          <w:p>
            <w:pPr>
              <w:pStyle w:val="TableParagraph"/>
              <w:spacing w:before="23"/>
              <w:ind w:left="174" w:right="149" w:firstLine="100"/>
              <w:rPr>
                <w:sz w:val="16"/>
              </w:rPr>
            </w:pPr>
            <w:r>
              <w:rPr>
                <w:sz w:val="16"/>
              </w:rPr>
              <w:t>Initial Land use</w:t>
            </w:r>
          </w:p>
        </w:tc>
        <w:tc>
          <w:tcPr>
            <w:tcW w:w="938" w:type="dxa"/>
            <w:shd w:val="clear" w:color="auto" w:fill="E4E4E4"/>
          </w:tcPr>
          <w:p>
            <w:pPr>
              <w:pStyle w:val="TableParagraph"/>
              <w:spacing w:before="23"/>
              <w:ind w:left="170" w:right="158"/>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4118" w:type="dxa"/>
            <w:vMerge/>
            <w:tcBorders>
              <w:top w:val="nil"/>
            </w:tcBorders>
            <w:shd w:val="clear" w:color="auto" w:fill="E4E4E4"/>
          </w:tcPr>
          <w:p>
            <w:pPr>
              <w:rPr>
                <w:sz w:val="2"/>
                <w:szCs w:val="2"/>
              </w:rPr>
            </w:pPr>
          </w:p>
        </w:tc>
        <w:tc>
          <w:tcPr>
            <w:tcW w:w="4164" w:type="dxa"/>
            <w:vMerge/>
            <w:tcBorders>
              <w:top w:val="nil"/>
            </w:tcBorders>
            <w:shd w:val="clear" w:color="auto" w:fill="E4E4E4"/>
          </w:tcPr>
          <w:p>
            <w:pPr>
              <w:rPr>
                <w:sz w:val="2"/>
                <w:szCs w:val="2"/>
              </w:rPr>
            </w:pPr>
          </w:p>
        </w:tc>
        <w:tc>
          <w:tcPr>
            <w:tcW w:w="3619" w:type="dxa"/>
            <w:vMerge/>
            <w:tcBorders>
              <w:top w:val="nil"/>
            </w:tcBorders>
            <w:shd w:val="clear" w:color="auto" w:fill="E4E4E4"/>
          </w:tcPr>
          <w:p>
            <w:pPr>
              <w:rPr>
                <w:sz w:val="2"/>
                <w:szCs w:val="2"/>
              </w:rPr>
            </w:pPr>
          </w:p>
        </w:tc>
      </w:tr>
      <w:tr>
        <w:trPr>
          <w:trHeight w:val="239" w:hRule="atLeast"/>
        </w:trPr>
        <w:tc>
          <w:tcPr>
            <w:tcW w:w="936" w:type="dxa"/>
          </w:tcPr>
          <w:p>
            <w:pPr>
              <w:pStyle w:val="TableParagraph"/>
              <w:spacing w:before="23"/>
              <w:ind w:left="107"/>
              <w:rPr>
                <w:sz w:val="16"/>
              </w:rPr>
            </w:pPr>
            <w:r>
              <w:rPr>
                <w:sz w:val="16"/>
              </w:rPr>
              <w:t>CL</w:t>
            </w:r>
          </w:p>
        </w:tc>
        <w:tc>
          <w:tcPr>
            <w:tcW w:w="938" w:type="dxa"/>
          </w:tcPr>
          <w:p>
            <w:pPr>
              <w:pStyle w:val="TableParagraph"/>
              <w:spacing w:before="23"/>
              <w:ind w:left="107"/>
              <w:rPr>
                <w:sz w:val="16"/>
              </w:rPr>
            </w:pPr>
            <w:r>
              <w:rPr>
                <w:sz w:val="16"/>
              </w:rPr>
              <w:t>FL</w:t>
            </w:r>
          </w:p>
        </w:tc>
        <w:tc>
          <w:tcPr>
            <w:tcW w:w="1027" w:type="dxa"/>
          </w:tcPr>
          <w:p>
            <w:pPr>
              <w:pStyle w:val="TableParagraph"/>
              <w:spacing w:before="23"/>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9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52"/>
              <w:ind w:left="108"/>
              <w:rPr>
                <w:sz w:val="16"/>
              </w:rPr>
            </w:pPr>
            <w:r>
              <w:rPr>
                <w:sz w:val="16"/>
              </w:rPr>
              <w:t>(b)</w:t>
            </w:r>
          </w:p>
        </w:tc>
        <w:tc>
          <w:tcPr>
            <w:tcW w:w="4118" w:type="dxa"/>
          </w:tcPr>
          <w:p>
            <w:pPr>
              <w:pStyle w:val="TableParagraph"/>
              <w:spacing w:before="53"/>
              <w:ind w:left="925" w:right="916"/>
              <w:jc w:val="center"/>
              <w:rPr>
                <w:b/>
                <w:sz w:val="10"/>
              </w:rPr>
            </w:pPr>
            <w:r>
              <w:rPr>
                <w:b/>
                <w:position w:val="2"/>
                <w:sz w:val="16"/>
              </w:rPr>
              <w:t>A</w:t>
            </w:r>
            <w:r>
              <w:rPr>
                <w:b/>
                <w:sz w:val="10"/>
              </w:rPr>
              <w:t>Drained</w:t>
            </w:r>
          </w:p>
        </w:tc>
        <w:tc>
          <w:tcPr>
            <w:tcW w:w="4164" w:type="dxa"/>
          </w:tcPr>
          <w:p>
            <w:pPr>
              <w:pStyle w:val="TableParagraph"/>
              <w:spacing w:before="53"/>
              <w:ind w:left="123" w:right="113"/>
              <w:jc w:val="center"/>
              <w:rPr>
                <w:b/>
                <w:sz w:val="10"/>
              </w:rPr>
            </w:pPr>
            <w:r>
              <w:rPr>
                <w:b/>
                <w:position w:val="2"/>
                <w:sz w:val="16"/>
              </w:rPr>
              <w:t>EF</w:t>
            </w:r>
            <w:r>
              <w:rPr>
                <w:b/>
                <w:sz w:val="10"/>
              </w:rPr>
              <w:t>Drainage</w:t>
            </w:r>
          </w:p>
        </w:tc>
        <w:tc>
          <w:tcPr>
            <w:tcW w:w="3619" w:type="dxa"/>
            <w:shd w:val="clear" w:color="auto" w:fill="D5D5D5"/>
          </w:tcPr>
          <w:p>
            <w:pPr>
              <w:pStyle w:val="TableParagraph"/>
              <w:tabs>
                <w:tab w:pos="803" w:val="right" w:leader="none"/>
              </w:tabs>
              <w:spacing w:line="177" w:lineRule="exact" w:before="11"/>
              <w:ind w:left="9"/>
              <w:jc w:val="center"/>
              <w:rPr>
                <w:b/>
                <w:sz w:val="10"/>
              </w:rPr>
            </w:pPr>
            <w:r>
              <w:rPr>
                <w:b/>
                <w:position w:val="2"/>
                <w:sz w:val="16"/>
              </w:rPr>
              <w:t>∆C</w:t>
            </w:r>
            <w:r>
              <w:rPr>
                <w:b/>
                <w:sz w:val="10"/>
              </w:rPr>
              <w:t>LF</w:t>
              <w:tab/>
            </w:r>
            <w:r>
              <w:rPr>
                <w:b/>
                <w:position w:val="9"/>
                <w:sz w:val="10"/>
              </w:rPr>
              <w:t>1</w:t>
            </w:r>
          </w:p>
          <w:p>
            <w:pPr>
              <w:pStyle w:val="TableParagraph"/>
              <w:spacing w:line="87" w:lineRule="exact"/>
              <w:ind w:left="274" w:right="26"/>
              <w:jc w:val="center"/>
              <w:rPr>
                <w:b/>
                <w:sz w:val="10"/>
              </w:rPr>
            </w:pPr>
            <w:r>
              <w:rPr>
                <w:b/>
                <w:sz w:val="10"/>
              </w:rPr>
              <w:t>Organic</w:t>
            </w: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36" w:type="dxa"/>
          </w:tcPr>
          <w:p>
            <w:pPr>
              <w:pStyle w:val="TableParagraph"/>
              <w:spacing w:before="23"/>
              <w:ind w:left="107"/>
              <w:rPr>
                <w:sz w:val="16"/>
              </w:rPr>
            </w:pPr>
            <w:r>
              <w:rPr>
                <w:sz w:val="16"/>
              </w:rPr>
              <w:t>GL</w:t>
            </w:r>
          </w:p>
        </w:tc>
        <w:tc>
          <w:tcPr>
            <w:tcW w:w="938" w:type="dxa"/>
          </w:tcPr>
          <w:p>
            <w:pPr>
              <w:pStyle w:val="TableParagraph"/>
              <w:spacing w:before="23"/>
              <w:ind w:left="107"/>
              <w:rPr>
                <w:sz w:val="16"/>
              </w:rPr>
            </w:pPr>
            <w:r>
              <w:rPr>
                <w:sz w:val="16"/>
              </w:rPr>
              <w:t>FL</w:t>
            </w:r>
          </w:p>
        </w:tc>
        <w:tc>
          <w:tcPr>
            <w:tcW w:w="1027" w:type="dxa"/>
          </w:tcPr>
          <w:p>
            <w:pPr>
              <w:pStyle w:val="TableParagraph"/>
              <w:spacing w:before="23"/>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42"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421" w:hRule="atLeast"/>
        </w:trPr>
        <w:tc>
          <w:tcPr>
            <w:tcW w:w="936" w:type="dxa"/>
          </w:tcPr>
          <w:p>
            <w:pPr>
              <w:pStyle w:val="TableParagraph"/>
              <w:spacing w:before="23"/>
              <w:ind w:left="107" w:right="149"/>
              <w:rPr>
                <w:sz w:val="16"/>
              </w:rPr>
            </w:pPr>
            <w:r>
              <w:rPr>
                <w:sz w:val="16"/>
              </w:rPr>
              <w:t>WL, SL, OL</w:t>
            </w:r>
          </w:p>
        </w:tc>
        <w:tc>
          <w:tcPr>
            <w:tcW w:w="938" w:type="dxa"/>
          </w:tcPr>
          <w:p>
            <w:pPr>
              <w:pStyle w:val="TableParagraph"/>
              <w:spacing w:before="114"/>
              <w:ind w:left="107"/>
              <w:rPr>
                <w:sz w:val="16"/>
              </w:rPr>
            </w:pPr>
            <w:r>
              <w:rPr>
                <w:sz w:val="16"/>
              </w:rPr>
              <w:t>FL</w:t>
            </w:r>
          </w:p>
        </w:tc>
        <w:tc>
          <w:tcPr>
            <w:tcW w:w="1027" w:type="dxa"/>
          </w:tcPr>
          <w:p>
            <w:pPr>
              <w:pStyle w:val="TableParagraph"/>
              <w:spacing w:before="114"/>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42"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36" w:type="dxa"/>
          </w:tcPr>
          <w:p>
            <w:pPr>
              <w:pStyle w:val="TableParagraph"/>
              <w:spacing w:before="25"/>
              <w:ind w:left="107"/>
              <w:rPr>
                <w:b/>
                <w:sz w:val="16"/>
              </w:rPr>
            </w:pPr>
            <w:r>
              <w:rPr>
                <w:b/>
                <w:sz w:val="16"/>
              </w:rPr>
              <w:t>Total</w:t>
            </w:r>
          </w:p>
        </w:tc>
        <w:tc>
          <w:tcPr>
            <w:tcW w:w="938"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496" w:hRule="atLeast"/>
        </w:trPr>
        <w:tc>
          <w:tcPr>
            <w:tcW w:w="14802" w:type="dxa"/>
            <w:gridSpan w:val="6"/>
          </w:tcPr>
          <w:p>
            <w:pPr>
              <w:pStyle w:val="TableParagraph"/>
              <w:spacing w:before="50"/>
              <w:ind w:left="182" w:right="477" w:hanging="75"/>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footerReference w:type="even" r:id="rId225"/>
          <w:footerReference w:type="default" r:id="rId226"/>
          <w:pgSz w:w="16840" w:h="11900" w:orient="landscape"/>
          <w:pgMar w:footer="1128" w:header="1150" w:top="740" w:bottom="1320" w:left="1200" w:right="460"/>
          <w:pgNumType w:start="212"/>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4"/>
        <w:gridCol w:w="2244"/>
        <w:gridCol w:w="4164"/>
        <w:gridCol w:w="3773"/>
      </w:tblGrid>
      <w:tr>
        <w:trPr>
          <w:trHeight w:val="285" w:hRule="atLeast"/>
        </w:trPr>
        <w:tc>
          <w:tcPr>
            <w:tcW w:w="1874" w:type="dxa"/>
            <w:shd w:val="clear" w:color="auto" w:fill="BFBFBF"/>
          </w:tcPr>
          <w:p>
            <w:pPr>
              <w:pStyle w:val="TableParagraph"/>
              <w:spacing w:before="26"/>
              <w:ind w:left="107"/>
              <w:rPr>
                <w:b/>
                <w:sz w:val="20"/>
              </w:rPr>
            </w:pPr>
            <w:r>
              <w:rPr>
                <w:b/>
                <w:sz w:val="20"/>
              </w:rPr>
              <w:t>Module</w:t>
            </w:r>
          </w:p>
        </w:tc>
        <w:tc>
          <w:tcPr>
            <w:tcW w:w="10181" w:type="dxa"/>
            <w:gridSpan w:val="3"/>
          </w:tcPr>
          <w:p>
            <w:pPr>
              <w:pStyle w:val="TableParagraph"/>
              <w:spacing w:before="26"/>
              <w:ind w:left="108"/>
              <w:rPr>
                <w:b/>
                <w:sz w:val="20"/>
              </w:rPr>
            </w:pPr>
            <w:r>
              <w:rPr>
                <w:b/>
                <w:sz w:val="20"/>
              </w:rPr>
              <w:t>Forest Land</w:t>
            </w:r>
          </w:p>
        </w:tc>
      </w:tr>
      <w:tr>
        <w:trPr>
          <w:trHeight w:val="287" w:hRule="atLeast"/>
        </w:trPr>
        <w:tc>
          <w:tcPr>
            <w:tcW w:w="1874" w:type="dxa"/>
            <w:shd w:val="clear" w:color="auto" w:fill="BFBFBF"/>
          </w:tcPr>
          <w:p>
            <w:pPr>
              <w:pStyle w:val="TableParagraph"/>
              <w:spacing w:before="26"/>
              <w:ind w:left="107"/>
              <w:rPr>
                <w:b/>
                <w:sz w:val="20"/>
              </w:rPr>
            </w:pPr>
            <w:r>
              <w:rPr>
                <w:b/>
                <w:sz w:val="20"/>
              </w:rPr>
              <w:t>Sub-module</w:t>
            </w:r>
          </w:p>
        </w:tc>
        <w:tc>
          <w:tcPr>
            <w:tcW w:w="10181" w:type="dxa"/>
            <w:gridSpan w:val="3"/>
          </w:tcPr>
          <w:p>
            <w:pPr>
              <w:pStyle w:val="TableParagraph"/>
              <w:spacing w:before="26"/>
              <w:ind w:left="108"/>
              <w:rPr>
                <w:b/>
                <w:sz w:val="20"/>
              </w:rPr>
            </w:pPr>
            <w:r>
              <w:rPr>
                <w:b/>
                <w:sz w:val="20"/>
              </w:rPr>
              <w:t>Land Converted to Forest Land</w:t>
            </w:r>
          </w:p>
        </w:tc>
      </w:tr>
      <w:tr>
        <w:trPr>
          <w:trHeight w:val="285" w:hRule="atLeast"/>
        </w:trPr>
        <w:tc>
          <w:tcPr>
            <w:tcW w:w="1874" w:type="dxa"/>
            <w:shd w:val="clear" w:color="auto" w:fill="BFBFBF"/>
          </w:tcPr>
          <w:p>
            <w:pPr>
              <w:pStyle w:val="TableParagraph"/>
              <w:spacing w:before="26"/>
              <w:ind w:left="107"/>
              <w:rPr>
                <w:b/>
                <w:sz w:val="20"/>
              </w:rPr>
            </w:pPr>
            <w:r>
              <w:rPr>
                <w:b/>
                <w:sz w:val="20"/>
              </w:rPr>
              <w:t>Worksheet</w:t>
            </w:r>
          </w:p>
        </w:tc>
        <w:tc>
          <w:tcPr>
            <w:tcW w:w="10181" w:type="dxa"/>
            <w:gridSpan w:val="3"/>
          </w:tcPr>
          <w:p>
            <w:pPr>
              <w:pStyle w:val="TableParagraph"/>
              <w:spacing w:before="26"/>
              <w:ind w:left="108"/>
              <w:rPr>
                <w:b/>
                <w:sz w:val="20"/>
              </w:rPr>
            </w:pPr>
            <w:r>
              <w:rPr>
                <w:b/>
                <w:sz w:val="20"/>
              </w:rPr>
              <w:t>FL-2c3: Annual change in carbon stocks in soils (summary worksheet)</w:t>
            </w:r>
          </w:p>
        </w:tc>
      </w:tr>
      <w:tr>
        <w:trPr>
          <w:trHeight w:val="285" w:hRule="atLeast"/>
        </w:trPr>
        <w:tc>
          <w:tcPr>
            <w:tcW w:w="1874" w:type="dxa"/>
            <w:shd w:val="clear" w:color="auto" w:fill="BFBFBF"/>
          </w:tcPr>
          <w:p>
            <w:pPr>
              <w:pStyle w:val="TableParagraph"/>
              <w:spacing w:before="26"/>
              <w:ind w:left="107"/>
              <w:rPr>
                <w:b/>
                <w:sz w:val="20"/>
              </w:rPr>
            </w:pPr>
            <w:r>
              <w:rPr>
                <w:b/>
                <w:sz w:val="20"/>
              </w:rPr>
              <w:t>Sheet</w:t>
            </w:r>
          </w:p>
        </w:tc>
        <w:tc>
          <w:tcPr>
            <w:tcW w:w="10181" w:type="dxa"/>
            <w:gridSpan w:val="3"/>
          </w:tcPr>
          <w:p>
            <w:pPr>
              <w:pStyle w:val="TableParagraph"/>
              <w:spacing w:before="26"/>
              <w:ind w:left="108"/>
              <w:rPr>
                <w:b/>
                <w:sz w:val="20"/>
              </w:rPr>
            </w:pPr>
            <w:r>
              <w:rPr>
                <w:b/>
                <w:sz w:val="20"/>
              </w:rPr>
              <w:t>1 of 1</w:t>
            </w:r>
          </w:p>
        </w:tc>
      </w:tr>
      <w:tr>
        <w:trPr>
          <w:trHeight w:val="669" w:hRule="atLeast"/>
        </w:trPr>
        <w:tc>
          <w:tcPr>
            <w:tcW w:w="4118" w:type="dxa"/>
            <w:gridSpan w:val="2"/>
            <w:tcBorders>
              <w:bottom w:val="nil"/>
            </w:tcBorders>
            <w:shd w:val="clear" w:color="auto" w:fill="E4E4E4"/>
          </w:tcPr>
          <w:p>
            <w:pPr>
              <w:pStyle w:val="TableParagraph"/>
              <w:spacing w:before="23"/>
              <w:ind w:left="109" w:right="100"/>
              <w:jc w:val="center"/>
              <w:rPr>
                <w:sz w:val="16"/>
              </w:rPr>
            </w:pPr>
            <w:r>
              <w:rPr>
                <w:sz w:val="16"/>
              </w:rPr>
              <w:t>Annual soil carbon stock change in mineral soils</w:t>
            </w:r>
          </w:p>
          <w:p>
            <w:pPr>
              <w:pStyle w:val="TableParagraph"/>
              <w:spacing w:before="10"/>
              <w:rPr>
                <w:sz w:val="15"/>
              </w:rPr>
            </w:pPr>
          </w:p>
          <w:p>
            <w:pPr>
              <w:pStyle w:val="TableParagraph"/>
              <w:spacing w:before="1"/>
              <w:ind w:left="926" w:right="916"/>
              <w:jc w:val="center"/>
              <w:rPr>
                <w:sz w:val="16"/>
              </w:rPr>
            </w:pPr>
            <w:r>
              <w:rPr>
                <w:sz w:val="16"/>
              </w:rPr>
              <w:t>(tonnes C yr</w:t>
            </w:r>
            <w:r>
              <w:rPr>
                <w:sz w:val="16"/>
                <w:vertAlign w:val="superscript"/>
              </w:rPr>
              <w:t>-1</w:t>
            </w:r>
            <w:r>
              <w:rPr>
                <w:sz w:val="16"/>
                <w:vertAlign w:val="baseline"/>
              </w:rPr>
              <w:t>)</w:t>
            </w:r>
          </w:p>
        </w:tc>
        <w:tc>
          <w:tcPr>
            <w:tcW w:w="4164" w:type="dxa"/>
            <w:tcBorders>
              <w:bottom w:val="nil"/>
            </w:tcBorders>
            <w:shd w:val="clear" w:color="auto" w:fill="E4E4E4"/>
          </w:tcPr>
          <w:p>
            <w:pPr>
              <w:pStyle w:val="TableParagraph"/>
              <w:spacing w:before="22"/>
              <w:ind w:left="123" w:right="113"/>
              <w:jc w:val="center"/>
              <w:rPr>
                <w:sz w:val="16"/>
              </w:rPr>
            </w:pPr>
            <w:r>
              <w:rPr>
                <w:position w:val="2"/>
                <w:sz w:val="16"/>
              </w:rPr>
              <w:t>CO</w:t>
            </w:r>
            <w:r>
              <w:rPr>
                <w:sz w:val="10"/>
              </w:rPr>
              <w:t>2 </w:t>
            </w:r>
            <w:r>
              <w:rPr>
                <w:position w:val="2"/>
                <w:sz w:val="16"/>
              </w:rPr>
              <w:t>emissions from drained organic soils</w:t>
            </w:r>
          </w:p>
          <w:p>
            <w:pPr>
              <w:pStyle w:val="TableParagraph"/>
              <w:spacing w:before="4"/>
              <w:rPr>
                <w:sz w:val="15"/>
              </w:rPr>
            </w:pPr>
          </w:p>
          <w:p>
            <w:pPr>
              <w:pStyle w:val="TableParagraph"/>
              <w:spacing w:before="1"/>
              <w:ind w:left="122" w:right="114"/>
              <w:jc w:val="center"/>
              <w:rPr>
                <w:sz w:val="16"/>
              </w:rPr>
            </w:pPr>
            <w:r>
              <w:rPr>
                <w:sz w:val="16"/>
              </w:rPr>
              <w:t>(tonnes C yr</w:t>
            </w:r>
            <w:r>
              <w:rPr>
                <w:sz w:val="16"/>
                <w:vertAlign w:val="superscript"/>
              </w:rPr>
              <w:t>-1</w:t>
            </w:r>
            <w:r>
              <w:rPr>
                <w:sz w:val="16"/>
                <w:vertAlign w:val="baseline"/>
              </w:rPr>
              <w:t>)</w:t>
            </w:r>
          </w:p>
        </w:tc>
        <w:tc>
          <w:tcPr>
            <w:tcW w:w="3773" w:type="dxa"/>
            <w:tcBorders>
              <w:bottom w:val="nil"/>
            </w:tcBorders>
            <w:shd w:val="clear" w:color="auto" w:fill="E4E4E4"/>
          </w:tcPr>
          <w:p>
            <w:pPr>
              <w:pStyle w:val="TableParagraph"/>
              <w:spacing w:before="23"/>
              <w:ind w:left="594" w:right="587"/>
              <w:jc w:val="center"/>
              <w:rPr>
                <w:sz w:val="16"/>
              </w:rPr>
            </w:pPr>
            <w:r>
              <w:rPr>
                <w:sz w:val="16"/>
              </w:rPr>
              <w:t>Annual change in carbon stocks in soils</w:t>
            </w:r>
          </w:p>
          <w:p>
            <w:pPr>
              <w:pStyle w:val="TableParagraph"/>
              <w:spacing w:before="10"/>
              <w:rPr>
                <w:sz w:val="15"/>
              </w:rPr>
            </w:pPr>
          </w:p>
          <w:p>
            <w:pPr>
              <w:pStyle w:val="TableParagraph"/>
              <w:spacing w:before="1"/>
              <w:ind w:left="594" w:right="584"/>
              <w:jc w:val="center"/>
              <w:rPr>
                <w:sz w:val="16"/>
              </w:rPr>
            </w:pPr>
            <w:r>
              <w:rPr>
                <w:sz w:val="16"/>
              </w:rPr>
              <w:t>(tonnes C yr</w:t>
            </w:r>
            <w:r>
              <w:rPr>
                <w:sz w:val="16"/>
                <w:vertAlign w:val="superscript"/>
              </w:rPr>
              <w:t>-1</w:t>
            </w:r>
            <w:r>
              <w:rPr>
                <w:sz w:val="16"/>
                <w:vertAlign w:val="baseline"/>
              </w:rPr>
              <w:t>)</w:t>
            </w:r>
          </w:p>
        </w:tc>
      </w:tr>
      <w:tr>
        <w:trPr>
          <w:trHeight w:val="368" w:hRule="atLeast"/>
        </w:trPr>
        <w:tc>
          <w:tcPr>
            <w:tcW w:w="4118" w:type="dxa"/>
            <w:gridSpan w:val="2"/>
            <w:tcBorders>
              <w:top w:val="nil"/>
              <w:bottom w:val="nil"/>
            </w:tcBorders>
            <w:shd w:val="clear" w:color="auto" w:fill="E4E4E4"/>
          </w:tcPr>
          <w:p>
            <w:pPr>
              <w:pStyle w:val="TableParagraph"/>
              <w:rPr>
                <w:sz w:val="16"/>
              </w:rPr>
            </w:pPr>
          </w:p>
        </w:tc>
        <w:tc>
          <w:tcPr>
            <w:tcW w:w="4164" w:type="dxa"/>
            <w:tcBorders>
              <w:top w:val="nil"/>
              <w:bottom w:val="nil"/>
            </w:tcBorders>
            <w:shd w:val="clear" w:color="auto" w:fill="E4E4E4"/>
          </w:tcPr>
          <w:p>
            <w:pPr>
              <w:pStyle w:val="TableParagraph"/>
              <w:rPr>
                <w:sz w:val="16"/>
              </w:rPr>
            </w:pPr>
          </w:p>
        </w:tc>
        <w:tc>
          <w:tcPr>
            <w:tcW w:w="3773" w:type="dxa"/>
            <w:tcBorders>
              <w:top w:val="nil"/>
              <w:bottom w:val="nil"/>
            </w:tcBorders>
            <w:shd w:val="clear" w:color="auto" w:fill="E4E4E4"/>
          </w:tcPr>
          <w:p>
            <w:pPr>
              <w:pStyle w:val="TableParagraph"/>
              <w:spacing w:before="88"/>
              <w:ind w:left="594" w:right="585"/>
              <w:jc w:val="center"/>
              <w:rPr>
                <w:sz w:val="16"/>
              </w:rPr>
            </w:pPr>
            <w:r>
              <w:rPr>
                <w:sz w:val="16"/>
              </w:rPr>
              <w:t>C = A+B</w:t>
            </w:r>
          </w:p>
        </w:tc>
      </w:tr>
      <w:tr>
        <w:trPr>
          <w:trHeight w:val="277" w:hRule="atLeast"/>
        </w:trPr>
        <w:tc>
          <w:tcPr>
            <w:tcW w:w="4118" w:type="dxa"/>
            <w:gridSpan w:val="2"/>
            <w:tcBorders>
              <w:top w:val="nil"/>
            </w:tcBorders>
            <w:shd w:val="clear" w:color="auto" w:fill="E4E4E4"/>
          </w:tcPr>
          <w:p>
            <w:pPr>
              <w:pStyle w:val="TableParagraph"/>
              <w:spacing w:line="168" w:lineRule="exact" w:before="89"/>
              <w:ind w:left="10"/>
              <w:jc w:val="center"/>
              <w:rPr>
                <w:sz w:val="16"/>
              </w:rPr>
            </w:pPr>
            <w:r>
              <w:rPr>
                <w:w w:val="100"/>
                <w:sz w:val="16"/>
              </w:rPr>
              <w:t>A</w:t>
            </w:r>
          </w:p>
        </w:tc>
        <w:tc>
          <w:tcPr>
            <w:tcW w:w="4164" w:type="dxa"/>
            <w:tcBorders>
              <w:top w:val="nil"/>
            </w:tcBorders>
            <w:shd w:val="clear" w:color="auto" w:fill="E4E4E4"/>
          </w:tcPr>
          <w:p>
            <w:pPr>
              <w:pStyle w:val="TableParagraph"/>
              <w:spacing w:line="168" w:lineRule="exact" w:before="89"/>
              <w:ind w:left="9"/>
              <w:jc w:val="center"/>
              <w:rPr>
                <w:sz w:val="16"/>
              </w:rPr>
            </w:pPr>
            <w:r>
              <w:rPr>
                <w:w w:val="100"/>
                <w:sz w:val="16"/>
              </w:rPr>
              <w:t>B</w:t>
            </w:r>
          </w:p>
        </w:tc>
        <w:tc>
          <w:tcPr>
            <w:tcW w:w="3773" w:type="dxa"/>
            <w:tcBorders>
              <w:top w:val="nil"/>
            </w:tcBorders>
            <w:shd w:val="clear" w:color="auto" w:fill="E4E4E4"/>
          </w:tcPr>
          <w:p>
            <w:pPr>
              <w:pStyle w:val="TableParagraph"/>
              <w:spacing w:line="168" w:lineRule="exact" w:before="89"/>
              <w:ind w:left="7"/>
              <w:jc w:val="center"/>
              <w:rPr>
                <w:sz w:val="16"/>
              </w:rPr>
            </w:pPr>
            <w:r>
              <w:rPr>
                <w:w w:val="100"/>
                <w:sz w:val="16"/>
              </w:rPr>
              <w:t>C</w:t>
            </w:r>
          </w:p>
        </w:tc>
      </w:tr>
      <w:tr>
        <w:trPr>
          <w:trHeight w:val="239" w:hRule="atLeast"/>
        </w:trPr>
        <w:tc>
          <w:tcPr>
            <w:tcW w:w="4118" w:type="dxa"/>
            <w:gridSpan w:val="2"/>
          </w:tcPr>
          <w:p>
            <w:pPr>
              <w:pStyle w:val="TableParagraph"/>
              <w:rPr>
                <w:sz w:val="16"/>
              </w:rPr>
            </w:pPr>
          </w:p>
        </w:tc>
        <w:tc>
          <w:tcPr>
            <w:tcW w:w="4164" w:type="dxa"/>
          </w:tcPr>
          <w:p>
            <w:pPr>
              <w:pStyle w:val="TableParagraph"/>
              <w:rPr>
                <w:sz w:val="16"/>
              </w:rPr>
            </w:pPr>
          </w:p>
        </w:tc>
        <w:tc>
          <w:tcPr>
            <w:tcW w:w="3773" w:type="dxa"/>
          </w:tcPr>
          <w:p>
            <w:pPr>
              <w:pStyle w:val="TableParagraph"/>
              <w:rPr>
                <w:sz w:val="16"/>
              </w:rPr>
            </w:pPr>
          </w:p>
        </w:tc>
      </w:tr>
      <w:tr>
        <w:trPr>
          <w:trHeight w:val="299" w:hRule="atLeast"/>
        </w:trPr>
        <w:tc>
          <w:tcPr>
            <w:tcW w:w="4118" w:type="dxa"/>
            <w:gridSpan w:val="2"/>
            <w:shd w:val="clear" w:color="auto" w:fill="D5D5D5"/>
          </w:tcPr>
          <w:p>
            <w:pPr>
              <w:pStyle w:val="TableParagraph"/>
              <w:spacing w:line="164" w:lineRule="exact" w:before="25"/>
              <w:ind w:left="580" w:right="916"/>
              <w:jc w:val="center"/>
              <w:rPr>
                <w:b/>
                <w:sz w:val="10"/>
              </w:rPr>
            </w:pPr>
            <w:r>
              <w:rPr>
                <w:b/>
                <w:position w:val="2"/>
                <w:sz w:val="16"/>
              </w:rPr>
              <w:t>∆C</w:t>
            </w:r>
            <w:r>
              <w:rPr>
                <w:b/>
                <w:sz w:val="10"/>
              </w:rPr>
              <w:t>LF</w:t>
            </w:r>
          </w:p>
          <w:p>
            <w:pPr>
              <w:pStyle w:val="TableParagraph"/>
              <w:spacing w:line="87" w:lineRule="exact"/>
              <w:ind w:left="926" w:right="579"/>
              <w:jc w:val="center"/>
              <w:rPr>
                <w:b/>
                <w:sz w:val="10"/>
              </w:rPr>
            </w:pPr>
            <w:r>
              <w:rPr>
                <w:b/>
                <w:sz w:val="10"/>
              </w:rPr>
              <w:t>Mineral</w:t>
            </w:r>
          </w:p>
        </w:tc>
        <w:tc>
          <w:tcPr>
            <w:tcW w:w="4164" w:type="dxa"/>
            <w:shd w:val="clear" w:color="auto" w:fill="D5D5D5"/>
          </w:tcPr>
          <w:p>
            <w:pPr>
              <w:pStyle w:val="TableParagraph"/>
              <w:spacing w:line="164" w:lineRule="exact" w:before="25"/>
              <w:ind w:left="123" w:right="461"/>
              <w:jc w:val="center"/>
              <w:rPr>
                <w:b/>
                <w:sz w:val="10"/>
              </w:rPr>
            </w:pPr>
            <w:r>
              <w:rPr>
                <w:b/>
                <w:position w:val="2"/>
                <w:sz w:val="16"/>
              </w:rPr>
              <w:t>∆C</w:t>
            </w:r>
            <w:r>
              <w:rPr>
                <w:b/>
                <w:sz w:val="10"/>
              </w:rPr>
              <w:t>LF</w:t>
            </w:r>
          </w:p>
          <w:p>
            <w:pPr>
              <w:pStyle w:val="TableParagraph"/>
              <w:spacing w:line="87" w:lineRule="exact"/>
              <w:ind w:left="464" w:right="114"/>
              <w:jc w:val="center"/>
              <w:rPr>
                <w:b/>
                <w:sz w:val="10"/>
              </w:rPr>
            </w:pPr>
            <w:r>
              <w:rPr>
                <w:b/>
                <w:sz w:val="10"/>
              </w:rPr>
              <w:t>Organic</w:t>
            </w:r>
          </w:p>
        </w:tc>
        <w:tc>
          <w:tcPr>
            <w:tcW w:w="3773" w:type="dxa"/>
            <w:shd w:val="clear" w:color="auto" w:fill="D5D5D5"/>
          </w:tcPr>
          <w:p>
            <w:pPr>
              <w:pStyle w:val="TableParagraph"/>
              <w:spacing w:line="164" w:lineRule="exact" w:before="25"/>
              <w:ind w:left="400" w:right="587"/>
              <w:jc w:val="center"/>
              <w:rPr>
                <w:b/>
                <w:sz w:val="10"/>
              </w:rPr>
            </w:pPr>
            <w:r>
              <w:rPr>
                <w:b/>
                <w:position w:val="2"/>
                <w:sz w:val="16"/>
              </w:rPr>
              <w:t>∆C</w:t>
            </w:r>
            <w:r>
              <w:rPr>
                <w:b/>
                <w:sz w:val="10"/>
              </w:rPr>
              <w:t>LF</w:t>
            </w:r>
          </w:p>
          <w:p>
            <w:pPr>
              <w:pStyle w:val="TableParagraph"/>
              <w:spacing w:line="87" w:lineRule="exact"/>
              <w:ind w:left="594" w:right="244"/>
              <w:jc w:val="center"/>
              <w:rPr>
                <w:b/>
                <w:sz w:val="10"/>
              </w:rPr>
            </w:pPr>
            <w:r>
              <w:rPr>
                <w:b/>
                <w:sz w:val="10"/>
              </w:rPr>
              <w:t>Soils</w:t>
            </w:r>
          </w:p>
        </w:tc>
      </w:tr>
      <w:tr>
        <w:trPr>
          <w:trHeight w:val="241" w:hRule="atLeast"/>
        </w:trPr>
        <w:tc>
          <w:tcPr>
            <w:tcW w:w="4118" w:type="dxa"/>
            <w:gridSpan w:val="2"/>
          </w:tcPr>
          <w:p>
            <w:pPr>
              <w:pStyle w:val="TableParagraph"/>
              <w:rPr>
                <w:sz w:val="16"/>
              </w:rPr>
            </w:pPr>
          </w:p>
        </w:tc>
        <w:tc>
          <w:tcPr>
            <w:tcW w:w="4164" w:type="dxa"/>
          </w:tcPr>
          <w:p>
            <w:pPr>
              <w:pStyle w:val="TableParagraph"/>
              <w:rPr>
                <w:sz w:val="16"/>
              </w:rPr>
            </w:pPr>
          </w:p>
        </w:tc>
        <w:tc>
          <w:tcPr>
            <w:tcW w:w="3773" w:type="dxa"/>
          </w:tcPr>
          <w:p>
            <w:pPr>
              <w:pStyle w:val="TableParagraph"/>
              <w:rPr>
                <w:sz w:val="16"/>
              </w:rPr>
            </w:pP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36"/>
        <w:gridCol w:w="938"/>
        <w:gridCol w:w="1027"/>
        <w:gridCol w:w="1224"/>
        <w:gridCol w:w="1630"/>
        <w:gridCol w:w="1448"/>
        <w:gridCol w:w="1448"/>
        <w:gridCol w:w="109"/>
        <w:gridCol w:w="1386"/>
        <w:gridCol w:w="1494"/>
        <w:gridCol w:w="109"/>
        <w:gridCol w:w="1386"/>
        <w:gridCol w:w="109"/>
        <w:gridCol w:w="138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59" w:type="dxa"/>
            <w:gridSpan w:val="12"/>
          </w:tcPr>
          <w:p>
            <w:pPr>
              <w:pStyle w:val="TableParagraph"/>
              <w:spacing w:before="26"/>
              <w:ind w:left="108"/>
              <w:rPr>
                <w:b/>
                <w:sz w:val="20"/>
              </w:rPr>
            </w:pPr>
            <w:r>
              <w:rPr>
                <w:b/>
                <w:sz w:val="20"/>
              </w:rPr>
              <w:t>Forest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59" w:type="dxa"/>
            <w:gridSpan w:val="12"/>
          </w:tcPr>
          <w:p>
            <w:pPr>
              <w:pStyle w:val="TableParagraph"/>
              <w:spacing w:before="26"/>
              <w:ind w:left="108"/>
              <w:rPr>
                <w:b/>
                <w:sz w:val="20"/>
              </w:rPr>
            </w:pPr>
            <w:r>
              <w:rPr>
                <w:b/>
                <w:sz w:val="20"/>
              </w:rPr>
              <w:t>Land Converted to Forest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59" w:type="dxa"/>
            <w:gridSpan w:val="12"/>
          </w:tcPr>
          <w:p>
            <w:pPr>
              <w:pStyle w:val="TableParagraph"/>
              <w:spacing w:before="26"/>
              <w:ind w:left="108"/>
              <w:rPr>
                <w:b/>
                <w:sz w:val="20"/>
              </w:rPr>
            </w:pPr>
            <w:r>
              <w:rPr>
                <w:b/>
                <w:sz w:val="20"/>
              </w:rPr>
              <w:t>FL-2d: Non-CO</w:t>
            </w:r>
            <w:r>
              <w:rPr>
                <w:b/>
                <w:sz w:val="20"/>
                <w:vertAlign w:val="subscript"/>
              </w:rPr>
              <w:t>2</w:t>
            </w:r>
            <w:r>
              <w:rPr>
                <w:b/>
                <w:sz w:val="20"/>
                <w:vertAlign w:val="baseline"/>
              </w:rPr>
              <w:t> emissions from vegetation fires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59" w:type="dxa"/>
            <w:gridSpan w:val="12"/>
          </w:tcPr>
          <w:p>
            <w:pPr>
              <w:pStyle w:val="TableParagraph"/>
              <w:spacing w:before="26"/>
              <w:ind w:left="109"/>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1224" w:type="dxa"/>
            <w:vMerge w:val="restart"/>
            <w:shd w:val="clear" w:color="auto" w:fill="E4E4E4"/>
          </w:tcPr>
          <w:p>
            <w:pPr>
              <w:pStyle w:val="TableParagraph"/>
              <w:spacing w:line="480" w:lineRule="auto" w:before="23"/>
              <w:ind w:left="266" w:right="254"/>
              <w:jc w:val="center"/>
              <w:rPr>
                <w:sz w:val="16"/>
              </w:rPr>
            </w:pPr>
            <w:r>
              <w:rPr>
                <w:sz w:val="16"/>
              </w:rPr>
              <w:t>Area burnt (ha)</w:t>
            </w:r>
          </w:p>
          <w:p>
            <w:pPr>
              <w:pStyle w:val="TableParagraph"/>
              <w:rPr>
                <w:sz w:val="18"/>
              </w:rPr>
            </w:pPr>
          </w:p>
          <w:p>
            <w:pPr>
              <w:pStyle w:val="TableParagraph"/>
              <w:rPr>
                <w:sz w:val="18"/>
              </w:rPr>
            </w:pPr>
          </w:p>
          <w:p>
            <w:pPr>
              <w:pStyle w:val="TableParagraph"/>
              <w:rPr>
                <w:sz w:val="18"/>
              </w:rPr>
            </w:pPr>
          </w:p>
          <w:p>
            <w:pPr>
              <w:pStyle w:val="TableParagraph"/>
              <w:spacing w:line="168" w:lineRule="exact" w:before="138"/>
              <w:ind w:left="11"/>
              <w:jc w:val="center"/>
              <w:rPr>
                <w:sz w:val="16"/>
              </w:rPr>
            </w:pPr>
            <w:r>
              <w:rPr>
                <w:w w:val="100"/>
                <w:sz w:val="16"/>
              </w:rPr>
              <w:t>A</w:t>
            </w:r>
          </w:p>
        </w:tc>
        <w:tc>
          <w:tcPr>
            <w:tcW w:w="1630" w:type="dxa"/>
            <w:vMerge w:val="restart"/>
            <w:shd w:val="clear" w:color="auto" w:fill="E4E4E4"/>
          </w:tcPr>
          <w:p>
            <w:pPr>
              <w:pStyle w:val="TableParagraph"/>
              <w:spacing w:before="23"/>
              <w:ind w:left="249" w:right="238"/>
              <w:jc w:val="center"/>
              <w:rPr>
                <w:sz w:val="16"/>
              </w:rPr>
            </w:pPr>
            <w:r>
              <w:rPr>
                <w:sz w:val="16"/>
              </w:rPr>
              <w:t>Mass of available fuel present</w:t>
            </w:r>
          </w:p>
          <w:p>
            <w:pPr>
              <w:pStyle w:val="TableParagraph"/>
              <w:rPr>
                <w:sz w:val="16"/>
              </w:rPr>
            </w:pPr>
          </w:p>
          <w:p>
            <w:pPr>
              <w:pStyle w:val="TableParagraph"/>
              <w:ind w:left="249" w:right="238"/>
              <w:jc w:val="center"/>
              <w:rPr>
                <w:sz w:val="16"/>
              </w:rPr>
            </w:pPr>
            <w:r>
              <w:rPr>
                <w:sz w:val="16"/>
              </w:rPr>
              <w:t>(kg d.m.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38"/>
              <w:ind w:left="9"/>
              <w:jc w:val="center"/>
              <w:rPr>
                <w:sz w:val="16"/>
              </w:rPr>
            </w:pPr>
            <w:r>
              <w:rPr>
                <w:w w:val="100"/>
                <w:sz w:val="16"/>
              </w:rPr>
              <w:t>B</w:t>
            </w:r>
          </w:p>
        </w:tc>
        <w:tc>
          <w:tcPr>
            <w:tcW w:w="1448" w:type="dxa"/>
            <w:vMerge w:val="restart"/>
            <w:shd w:val="clear" w:color="auto" w:fill="E4E4E4"/>
          </w:tcPr>
          <w:p>
            <w:pPr>
              <w:pStyle w:val="TableParagraph"/>
              <w:spacing w:before="23"/>
              <w:ind w:left="189" w:right="181" w:firstLine="1"/>
              <w:jc w:val="center"/>
              <w:rPr>
                <w:sz w:val="16"/>
              </w:rPr>
            </w:pPr>
            <w:r>
              <w:rPr>
                <w:sz w:val="16"/>
              </w:rPr>
              <w:t>Combustion efficiency or fraction of biomass combusted (dimension-less)</w:t>
            </w:r>
          </w:p>
          <w:p>
            <w:pPr>
              <w:pStyle w:val="TableParagraph"/>
              <w:rPr>
                <w:sz w:val="18"/>
              </w:rPr>
            </w:pPr>
          </w:p>
          <w:p>
            <w:pPr>
              <w:pStyle w:val="TableParagraph"/>
              <w:rPr>
                <w:sz w:val="16"/>
              </w:rPr>
            </w:pPr>
          </w:p>
          <w:p>
            <w:pPr>
              <w:pStyle w:val="TableParagraph"/>
              <w:spacing w:line="168" w:lineRule="exact"/>
              <w:ind w:left="8"/>
              <w:jc w:val="center"/>
              <w:rPr>
                <w:sz w:val="16"/>
              </w:rPr>
            </w:pPr>
            <w:r>
              <w:rPr>
                <w:w w:val="100"/>
                <w:sz w:val="16"/>
              </w:rPr>
              <w:t>C</w:t>
            </w:r>
          </w:p>
        </w:tc>
        <w:tc>
          <w:tcPr>
            <w:tcW w:w="1448" w:type="dxa"/>
            <w:vMerge w:val="restart"/>
            <w:shd w:val="clear" w:color="auto" w:fill="E4E4E4"/>
          </w:tcPr>
          <w:p>
            <w:pPr>
              <w:pStyle w:val="TableParagraph"/>
              <w:spacing w:before="23"/>
              <w:ind w:left="217" w:right="206"/>
              <w:jc w:val="center"/>
              <w:rPr>
                <w:sz w:val="16"/>
              </w:rPr>
            </w:pPr>
            <w:r>
              <w:rPr>
                <w:sz w:val="16"/>
              </w:rPr>
              <w:t>Emission factor for each GHG</w:t>
            </w:r>
          </w:p>
          <w:p>
            <w:pPr>
              <w:pStyle w:val="TableParagraph"/>
              <w:rPr>
                <w:sz w:val="16"/>
              </w:rPr>
            </w:pPr>
          </w:p>
          <w:p>
            <w:pPr>
              <w:pStyle w:val="TableParagraph"/>
              <w:ind w:left="212" w:right="206"/>
              <w:jc w:val="center"/>
              <w:rPr>
                <w:sz w:val="16"/>
              </w:rPr>
            </w:pPr>
            <w:r>
              <w:rPr>
                <w:sz w:val="16"/>
              </w:rPr>
              <w:t>(g /kg d.m.)</w:t>
            </w:r>
          </w:p>
          <w:p>
            <w:pPr>
              <w:pStyle w:val="TableParagraph"/>
              <w:rPr>
                <w:sz w:val="18"/>
              </w:rPr>
            </w:pPr>
          </w:p>
          <w:p>
            <w:pPr>
              <w:pStyle w:val="TableParagraph"/>
              <w:rPr>
                <w:sz w:val="18"/>
              </w:rPr>
            </w:pPr>
          </w:p>
          <w:p>
            <w:pPr>
              <w:pStyle w:val="TableParagraph"/>
              <w:rPr>
                <w:sz w:val="18"/>
              </w:rPr>
            </w:pPr>
          </w:p>
          <w:p>
            <w:pPr>
              <w:pStyle w:val="TableParagraph"/>
              <w:spacing w:line="168" w:lineRule="exact" w:before="138"/>
              <w:ind w:left="6"/>
              <w:jc w:val="center"/>
              <w:rPr>
                <w:sz w:val="16"/>
              </w:rPr>
            </w:pPr>
            <w:r>
              <w:rPr>
                <w:w w:val="100"/>
                <w:sz w:val="16"/>
              </w:rPr>
              <w:t>D</w:t>
            </w:r>
          </w:p>
        </w:tc>
        <w:tc>
          <w:tcPr>
            <w:tcW w:w="1495" w:type="dxa"/>
            <w:gridSpan w:val="2"/>
            <w:vMerge w:val="restart"/>
            <w:shd w:val="clear" w:color="auto" w:fill="E4E4E4"/>
          </w:tcPr>
          <w:p>
            <w:pPr>
              <w:pStyle w:val="TableParagraph"/>
              <w:spacing w:line="232" w:lineRule="auto" w:before="27"/>
              <w:ind w:left="131" w:right="127"/>
              <w:jc w:val="center"/>
              <w:rPr>
                <w:sz w:val="16"/>
              </w:rPr>
            </w:pPr>
            <w:r>
              <w:rPr>
                <w:position w:val="2"/>
                <w:sz w:val="16"/>
              </w:rPr>
              <w:t>CH</w:t>
            </w:r>
            <w:r>
              <w:rPr>
                <w:sz w:val="10"/>
              </w:rPr>
              <w:t>4 </w:t>
            </w:r>
            <w:r>
              <w:rPr>
                <w:position w:val="2"/>
                <w:sz w:val="16"/>
              </w:rPr>
              <w:t>Emissions </w:t>
            </w:r>
            <w:r>
              <w:rPr>
                <w:sz w:val="16"/>
              </w:rPr>
              <w:t>from fires</w:t>
            </w:r>
          </w:p>
          <w:p>
            <w:pPr>
              <w:pStyle w:val="TableParagraph"/>
              <w:spacing w:before="11"/>
              <w:rPr>
                <w:sz w:val="15"/>
              </w:rPr>
            </w:pPr>
          </w:p>
          <w:p>
            <w:pPr>
              <w:pStyle w:val="TableParagraph"/>
              <w:ind w:left="129" w:right="127"/>
              <w:jc w:val="center"/>
              <w:rPr>
                <w:sz w:val="16"/>
              </w:rPr>
            </w:pPr>
            <w:r>
              <w:rPr>
                <w:position w:val="2"/>
                <w:sz w:val="16"/>
              </w:rPr>
              <w:t>(tonnes CH</w:t>
            </w:r>
            <w:r>
              <w:rPr>
                <w:sz w:val="10"/>
              </w:rPr>
              <w:t>4</w:t>
            </w:r>
            <w:r>
              <w:rPr>
                <w:position w:val="2"/>
                <w:sz w:val="16"/>
              </w:rPr>
              <w:t>)</w:t>
            </w:r>
          </w:p>
          <w:p>
            <w:pPr>
              <w:pStyle w:val="TableParagraph"/>
              <w:spacing w:before="5"/>
              <w:rPr>
                <w:sz w:val="16"/>
              </w:rPr>
            </w:pPr>
          </w:p>
          <w:p>
            <w:pPr>
              <w:pStyle w:val="TableParagraph"/>
              <w:spacing w:line="197" w:lineRule="exact"/>
              <w:ind w:left="132" w:right="127"/>
              <w:jc w:val="center"/>
              <w:rPr>
                <w:sz w:val="16"/>
              </w:rPr>
            </w:pPr>
            <w:r>
              <w:rPr>
                <w:sz w:val="16"/>
              </w:rPr>
              <w:t>E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1"/>
              </w:numPr>
              <w:tabs>
                <w:tab w:pos="680" w:val="left" w:leader="none"/>
              </w:tabs>
              <w:spacing w:line="240" w:lineRule="auto" w:before="0" w:after="0"/>
              <w:ind w:left="679" w:right="0" w:hanging="115"/>
              <w:jc w:val="left"/>
              <w:rPr>
                <w:sz w:val="16"/>
              </w:rPr>
            </w:pPr>
            <w:r>
              <w:rPr>
                <w:sz w:val="16"/>
              </w:rPr>
              <w:t>10</w:t>
            </w:r>
            <w:r>
              <w:rPr>
                <w:sz w:val="16"/>
                <w:vertAlign w:val="superscript"/>
              </w:rPr>
              <w:t>-6</w:t>
            </w:r>
          </w:p>
          <w:p>
            <w:pPr>
              <w:pStyle w:val="TableParagraph"/>
              <w:spacing w:line="168" w:lineRule="exact" w:before="170"/>
              <w:ind w:left="2"/>
              <w:jc w:val="center"/>
              <w:rPr>
                <w:sz w:val="16"/>
              </w:rPr>
            </w:pPr>
            <w:r>
              <w:rPr>
                <w:w w:val="100"/>
                <w:sz w:val="16"/>
              </w:rPr>
              <w:t>E</w:t>
            </w:r>
          </w:p>
        </w:tc>
        <w:tc>
          <w:tcPr>
            <w:tcW w:w="1494" w:type="dxa"/>
            <w:vMerge w:val="restart"/>
            <w:shd w:val="clear" w:color="auto" w:fill="E4E4E4"/>
          </w:tcPr>
          <w:p>
            <w:pPr>
              <w:pStyle w:val="TableParagraph"/>
              <w:spacing w:before="23"/>
              <w:ind w:left="106" w:right="102"/>
              <w:jc w:val="center"/>
              <w:rPr>
                <w:sz w:val="16"/>
              </w:rPr>
            </w:pPr>
            <w:r>
              <w:rPr>
                <w:sz w:val="16"/>
              </w:rPr>
              <w:t>CO Emissions from fires</w:t>
            </w:r>
          </w:p>
          <w:p>
            <w:pPr>
              <w:pStyle w:val="TableParagraph"/>
              <w:rPr>
                <w:sz w:val="16"/>
              </w:rPr>
            </w:pPr>
          </w:p>
          <w:p>
            <w:pPr>
              <w:pStyle w:val="TableParagraph"/>
              <w:ind w:left="104" w:right="102"/>
              <w:jc w:val="center"/>
              <w:rPr>
                <w:sz w:val="16"/>
              </w:rPr>
            </w:pPr>
            <w:r>
              <w:rPr>
                <w:sz w:val="16"/>
              </w:rPr>
              <w:t>(tonnes CO)</w:t>
            </w:r>
          </w:p>
          <w:p>
            <w:pPr>
              <w:pStyle w:val="TableParagraph"/>
              <w:rPr>
                <w:sz w:val="17"/>
              </w:rPr>
            </w:pPr>
          </w:p>
          <w:p>
            <w:pPr>
              <w:pStyle w:val="TableParagraph"/>
              <w:spacing w:line="197" w:lineRule="exact"/>
              <w:ind w:left="104" w:right="102"/>
              <w:jc w:val="center"/>
              <w:rPr>
                <w:sz w:val="16"/>
              </w:rPr>
            </w:pPr>
            <w:r>
              <w:rPr>
                <w:sz w:val="16"/>
              </w:rPr>
              <w:t>F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2"/>
              </w:numPr>
              <w:tabs>
                <w:tab w:pos="678" w:val="left" w:leader="none"/>
              </w:tabs>
              <w:spacing w:line="240" w:lineRule="auto" w:before="0" w:after="0"/>
              <w:ind w:left="677" w:right="0" w:hanging="115"/>
              <w:jc w:val="left"/>
              <w:rPr>
                <w:sz w:val="16"/>
              </w:rPr>
            </w:pPr>
            <w:r>
              <w:rPr>
                <w:sz w:val="16"/>
              </w:rPr>
              <w:t>10</w:t>
            </w:r>
            <w:r>
              <w:rPr>
                <w:sz w:val="16"/>
                <w:vertAlign w:val="superscript"/>
              </w:rPr>
              <w:t>-6</w:t>
            </w:r>
          </w:p>
          <w:p>
            <w:pPr>
              <w:pStyle w:val="TableParagraph"/>
              <w:spacing w:line="168" w:lineRule="exact" w:before="170"/>
              <w:ind w:left="4"/>
              <w:jc w:val="center"/>
              <w:rPr>
                <w:sz w:val="16"/>
              </w:rPr>
            </w:pPr>
            <w:r>
              <w:rPr>
                <w:w w:val="100"/>
                <w:sz w:val="16"/>
              </w:rPr>
              <w:t>F</w:t>
            </w:r>
          </w:p>
        </w:tc>
        <w:tc>
          <w:tcPr>
            <w:tcW w:w="1495" w:type="dxa"/>
            <w:gridSpan w:val="2"/>
            <w:vMerge w:val="restart"/>
            <w:shd w:val="clear" w:color="auto" w:fill="E4E4E4"/>
          </w:tcPr>
          <w:p>
            <w:pPr>
              <w:pStyle w:val="TableParagraph"/>
              <w:spacing w:line="232" w:lineRule="auto" w:before="27"/>
              <w:ind w:left="125" w:right="127"/>
              <w:jc w:val="center"/>
              <w:rPr>
                <w:sz w:val="16"/>
              </w:rPr>
            </w:pPr>
            <w:r>
              <w:rPr>
                <w:position w:val="2"/>
                <w:sz w:val="16"/>
              </w:rPr>
              <w:t>N</w:t>
            </w:r>
            <w:r>
              <w:rPr>
                <w:sz w:val="10"/>
              </w:rPr>
              <w:t>2</w:t>
            </w:r>
            <w:r>
              <w:rPr>
                <w:position w:val="2"/>
                <w:sz w:val="16"/>
              </w:rPr>
              <w:t>O Emissions </w:t>
            </w:r>
            <w:r>
              <w:rPr>
                <w:sz w:val="16"/>
              </w:rPr>
              <w:t>from fires</w:t>
            </w:r>
          </w:p>
          <w:p>
            <w:pPr>
              <w:pStyle w:val="TableParagraph"/>
              <w:spacing w:before="11"/>
              <w:rPr>
                <w:sz w:val="15"/>
              </w:rPr>
            </w:pPr>
          </w:p>
          <w:p>
            <w:pPr>
              <w:pStyle w:val="TableParagraph"/>
              <w:ind w:left="125" w:right="127"/>
              <w:jc w:val="center"/>
              <w:rPr>
                <w:sz w:val="16"/>
              </w:rPr>
            </w:pPr>
            <w:r>
              <w:rPr>
                <w:position w:val="2"/>
                <w:sz w:val="16"/>
              </w:rPr>
              <w:t>tonnes (N</w:t>
            </w:r>
            <w:r>
              <w:rPr>
                <w:sz w:val="10"/>
              </w:rPr>
              <w:t>2</w:t>
            </w:r>
            <w:r>
              <w:rPr>
                <w:position w:val="2"/>
                <w:sz w:val="16"/>
              </w:rPr>
              <w:t>O)</w:t>
            </w:r>
          </w:p>
          <w:p>
            <w:pPr>
              <w:pStyle w:val="TableParagraph"/>
              <w:spacing w:before="5"/>
              <w:rPr>
                <w:sz w:val="16"/>
              </w:rPr>
            </w:pPr>
          </w:p>
          <w:p>
            <w:pPr>
              <w:pStyle w:val="TableParagraph"/>
              <w:spacing w:line="197" w:lineRule="exact"/>
              <w:ind w:left="126" w:right="127"/>
              <w:jc w:val="center"/>
              <w:rPr>
                <w:sz w:val="16"/>
              </w:rPr>
            </w:pPr>
            <w:r>
              <w:rPr>
                <w:sz w:val="16"/>
              </w:rPr>
              <w:t>G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3"/>
              </w:numPr>
              <w:tabs>
                <w:tab w:pos="677" w:val="left" w:leader="none"/>
              </w:tabs>
              <w:spacing w:line="240" w:lineRule="auto" w:before="0" w:after="0"/>
              <w:ind w:left="676" w:right="0" w:hanging="115"/>
              <w:jc w:val="left"/>
              <w:rPr>
                <w:sz w:val="16"/>
              </w:rPr>
            </w:pPr>
            <w:r>
              <w:rPr>
                <w:sz w:val="16"/>
              </w:rPr>
              <w:t>10</w:t>
            </w:r>
            <w:r>
              <w:rPr>
                <w:sz w:val="16"/>
                <w:vertAlign w:val="superscript"/>
              </w:rPr>
              <w:t>-6</w:t>
            </w:r>
          </w:p>
          <w:p>
            <w:pPr>
              <w:pStyle w:val="TableParagraph"/>
              <w:spacing w:line="168" w:lineRule="exact" w:before="170"/>
              <w:ind w:right="1"/>
              <w:jc w:val="center"/>
              <w:rPr>
                <w:sz w:val="16"/>
              </w:rPr>
            </w:pPr>
            <w:r>
              <w:rPr>
                <w:w w:val="100"/>
                <w:sz w:val="16"/>
              </w:rPr>
              <w:t>G</w:t>
            </w:r>
          </w:p>
        </w:tc>
        <w:tc>
          <w:tcPr>
            <w:tcW w:w="1498" w:type="dxa"/>
            <w:gridSpan w:val="2"/>
            <w:vMerge w:val="restart"/>
            <w:shd w:val="clear" w:color="auto" w:fill="E4E4E4"/>
          </w:tcPr>
          <w:p>
            <w:pPr>
              <w:pStyle w:val="TableParagraph"/>
              <w:spacing w:line="232" w:lineRule="auto" w:before="27"/>
              <w:ind w:left="122" w:right="132"/>
              <w:jc w:val="center"/>
              <w:rPr>
                <w:sz w:val="16"/>
              </w:rPr>
            </w:pPr>
            <w:r>
              <w:rPr>
                <w:position w:val="2"/>
                <w:sz w:val="16"/>
              </w:rPr>
              <w:t>NO</w:t>
            </w:r>
            <w:r>
              <w:rPr>
                <w:sz w:val="10"/>
              </w:rPr>
              <w:t>x </w:t>
            </w:r>
            <w:r>
              <w:rPr>
                <w:position w:val="2"/>
                <w:sz w:val="16"/>
              </w:rPr>
              <w:t>Emissions </w:t>
            </w:r>
            <w:r>
              <w:rPr>
                <w:sz w:val="16"/>
              </w:rPr>
              <w:t>from fires</w:t>
            </w:r>
          </w:p>
          <w:p>
            <w:pPr>
              <w:pStyle w:val="TableParagraph"/>
              <w:spacing w:before="11"/>
              <w:rPr>
                <w:sz w:val="15"/>
              </w:rPr>
            </w:pPr>
          </w:p>
          <w:p>
            <w:pPr>
              <w:pStyle w:val="TableParagraph"/>
              <w:ind w:left="123" w:right="132"/>
              <w:jc w:val="center"/>
              <w:rPr>
                <w:sz w:val="16"/>
              </w:rPr>
            </w:pPr>
            <w:r>
              <w:rPr>
                <w:position w:val="2"/>
                <w:sz w:val="16"/>
              </w:rPr>
              <w:t>(tonnes NO</w:t>
            </w:r>
            <w:r>
              <w:rPr>
                <w:sz w:val="10"/>
              </w:rPr>
              <w:t>x</w:t>
            </w:r>
            <w:r>
              <w:rPr>
                <w:position w:val="2"/>
                <w:sz w:val="16"/>
              </w:rPr>
              <w:t>)</w:t>
            </w:r>
          </w:p>
          <w:p>
            <w:pPr>
              <w:pStyle w:val="TableParagraph"/>
              <w:spacing w:before="5"/>
              <w:rPr>
                <w:sz w:val="16"/>
              </w:rPr>
            </w:pPr>
          </w:p>
          <w:p>
            <w:pPr>
              <w:pStyle w:val="TableParagraph"/>
              <w:spacing w:line="197" w:lineRule="exact"/>
              <w:ind w:left="123" w:right="132"/>
              <w:jc w:val="center"/>
              <w:rPr>
                <w:sz w:val="16"/>
              </w:rPr>
            </w:pPr>
            <w:r>
              <w:rPr>
                <w:sz w:val="16"/>
              </w:rPr>
              <w:t>H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4"/>
              </w:numPr>
              <w:tabs>
                <w:tab w:pos="675" w:val="left" w:leader="none"/>
              </w:tabs>
              <w:spacing w:line="240" w:lineRule="auto" w:before="0" w:after="0"/>
              <w:ind w:left="674" w:right="7" w:hanging="115"/>
              <w:jc w:val="left"/>
              <w:rPr>
                <w:sz w:val="16"/>
              </w:rPr>
            </w:pPr>
            <w:r>
              <w:rPr>
                <w:sz w:val="16"/>
              </w:rPr>
              <w:t>10</w:t>
            </w:r>
            <w:r>
              <w:rPr>
                <w:sz w:val="16"/>
                <w:vertAlign w:val="superscript"/>
              </w:rPr>
              <w:t>-6</w:t>
            </w:r>
          </w:p>
          <w:p>
            <w:pPr>
              <w:pStyle w:val="TableParagraph"/>
              <w:spacing w:line="168" w:lineRule="exact" w:before="170"/>
              <w:ind w:right="6"/>
              <w:jc w:val="center"/>
              <w:rPr>
                <w:sz w:val="16"/>
              </w:rPr>
            </w:pPr>
            <w:r>
              <w:rPr>
                <w:w w:val="100"/>
                <w:sz w:val="16"/>
              </w:rPr>
              <w:t>H</w:t>
            </w:r>
          </w:p>
        </w:tc>
      </w:tr>
      <w:tr>
        <w:trPr>
          <w:trHeight w:val="1300" w:hRule="atLeast"/>
        </w:trPr>
        <w:tc>
          <w:tcPr>
            <w:tcW w:w="936" w:type="dxa"/>
            <w:shd w:val="clear" w:color="auto" w:fill="E4E4E4"/>
          </w:tcPr>
          <w:p>
            <w:pPr>
              <w:pStyle w:val="TableParagraph"/>
              <w:spacing w:before="23"/>
              <w:ind w:left="174" w:right="149" w:firstLine="100"/>
              <w:rPr>
                <w:sz w:val="16"/>
              </w:rPr>
            </w:pPr>
            <w:r>
              <w:rPr>
                <w:sz w:val="16"/>
              </w:rPr>
              <w:t>Initial Land use</w:t>
            </w:r>
          </w:p>
        </w:tc>
        <w:tc>
          <w:tcPr>
            <w:tcW w:w="938" w:type="dxa"/>
            <w:shd w:val="clear" w:color="auto" w:fill="E4E4E4"/>
          </w:tcPr>
          <w:p>
            <w:pPr>
              <w:pStyle w:val="TableParagraph"/>
              <w:spacing w:before="23"/>
              <w:ind w:left="170" w:right="158"/>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1224" w:type="dxa"/>
            <w:vMerge/>
            <w:tcBorders>
              <w:top w:val="nil"/>
            </w:tcBorders>
            <w:shd w:val="clear" w:color="auto" w:fill="E4E4E4"/>
          </w:tcPr>
          <w:p>
            <w:pPr>
              <w:rPr>
                <w:sz w:val="2"/>
                <w:szCs w:val="2"/>
              </w:rPr>
            </w:pPr>
          </w:p>
        </w:tc>
        <w:tc>
          <w:tcPr>
            <w:tcW w:w="1630" w:type="dxa"/>
            <w:vMerge/>
            <w:tcBorders>
              <w:top w:val="nil"/>
            </w:tcBorders>
            <w:shd w:val="clear" w:color="auto" w:fill="E4E4E4"/>
          </w:tcPr>
          <w:p>
            <w:pPr>
              <w:rPr>
                <w:sz w:val="2"/>
                <w:szCs w:val="2"/>
              </w:rPr>
            </w:pPr>
          </w:p>
        </w:tc>
        <w:tc>
          <w:tcPr>
            <w:tcW w:w="1448" w:type="dxa"/>
            <w:vMerge/>
            <w:tcBorders>
              <w:top w:val="nil"/>
            </w:tcBorders>
            <w:shd w:val="clear" w:color="auto" w:fill="E4E4E4"/>
          </w:tcPr>
          <w:p>
            <w:pPr>
              <w:rPr>
                <w:sz w:val="2"/>
                <w:szCs w:val="2"/>
              </w:rPr>
            </w:pPr>
          </w:p>
        </w:tc>
        <w:tc>
          <w:tcPr>
            <w:tcW w:w="1448" w:type="dxa"/>
            <w:vMerge/>
            <w:tcBorders>
              <w:top w:val="nil"/>
            </w:tcBorders>
            <w:shd w:val="clear" w:color="auto" w:fill="E4E4E4"/>
          </w:tcPr>
          <w:p>
            <w:pPr>
              <w:rPr>
                <w:sz w:val="2"/>
                <w:szCs w:val="2"/>
              </w:rPr>
            </w:pPr>
          </w:p>
        </w:tc>
        <w:tc>
          <w:tcPr>
            <w:tcW w:w="1495" w:type="dxa"/>
            <w:gridSpan w:val="2"/>
            <w:vMerge/>
            <w:tcBorders>
              <w:top w:val="nil"/>
            </w:tcBorders>
            <w:shd w:val="clear" w:color="auto" w:fill="E4E4E4"/>
          </w:tcPr>
          <w:p>
            <w:pPr>
              <w:rPr>
                <w:sz w:val="2"/>
                <w:szCs w:val="2"/>
              </w:rPr>
            </w:pPr>
          </w:p>
        </w:tc>
        <w:tc>
          <w:tcPr>
            <w:tcW w:w="1494" w:type="dxa"/>
            <w:vMerge/>
            <w:tcBorders>
              <w:top w:val="nil"/>
            </w:tcBorders>
            <w:shd w:val="clear" w:color="auto" w:fill="E4E4E4"/>
          </w:tcPr>
          <w:p>
            <w:pPr>
              <w:rPr>
                <w:sz w:val="2"/>
                <w:szCs w:val="2"/>
              </w:rPr>
            </w:pPr>
          </w:p>
        </w:tc>
        <w:tc>
          <w:tcPr>
            <w:tcW w:w="1495" w:type="dxa"/>
            <w:gridSpan w:val="2"/>
            <w:vMerge/>
            <w:tcBorders>
              <w:top w:val="nil"/>
            </w:tcBorders>
            <w:shd w:val="clear" w:color="auto" w:fill="E4E4E4"/>
          </w:tcPr>
          <w:p>
            <w:pPr>
              <w:rPr>
                <w:sz w:val="2"/>
                <w:szCs w:val="2"/>
              </w:rPr>
            </w:pPr>
          </w:p>
        </w:tc>
        <w:tc>
          <w:tcPr>
            <w:tcW w:w="1498" w:type="dxa"/>
            <w:gridSpan w:val="2"/>
            <w:vMerge/>
            <w:tcBorders>
              <w:top w:val="nil"/>
            </w:tcBorders>
            <w:shd w:val="clear" w:color="auto" w:fill="E4E4E4"/>
          </w:tcPr>
          <w:p>
            <w:pPr>
              <w:rPr>
                <w:sz w:val="2"/>
                <w:szCs w:val="2"/>
              </w:rPr>
            </w:pPr>
          </w:p>
        </w:tc>
      </w:tr>
      <w:tr>
        <w:trPr>
          <w:trHeight w:val="280" w:hRule="atLeast"/>
        </w:trPr>
        <w:tc>
          <w:tcPr>
            <w:tcW w:w="936" w:type="dxa"/>
          </w:tcPr>
          <w:p>
            <w:pPr>
              <w:pStyle w:val="TableParagraph"/>
              <w:spacing w:before="42"/>
              <w:ind w:left="107"/>
              <w:rPr>
                <w:sz w:val="16"/>
              </w:rPr>
            </w:pPr>
            <w:r>
              <w:rPr>
                <w:sz w:val="16"/>
              </w:rPr>
              <w:t>CL</w:t>
            </w:r>
          </w:p>
        </w:tc>
        <w:tc>
          <w:tcPr>
            <w:tcW w:w="938" w:type="dxa"/>
          </w:tcPr>
          <w:p>
            <w:pPr>
              <w:pStyle w:val="TableParagraph"/>
              <w:spacing w:before="42"/>
              <w:ind w:left="107"/>
              <w:rPr>
                <w:sz w:val="16"/>
              </w:rPr>
            </w:pPr>
            <w:r>
              <w:rPr>
                <w:sz w:val="16"/>
              </w:rPr>
              <w:t>FL</w:t>
            </w:r>
          </w:p>
        </w:tc>
        <w:tc>
          <w:tcPr>
            <w:tcW w:w="1027" w:type="dxa"/>
          </w:tcPr>
          <w:p>
            <w:pPr>
              <w:pStyle w:val="TableParagraph"/>
              <w:spacing w:before="42"/>
              <w:ind w:left="108"/>
              <w:rPr>
                <w:sz w:val="16"/>
              </w:rPr>
            </w:pPr>
            <w:r>
              <w:rPr>
                <w:sz w:val="16"/>
              </w:rPr>
              <w:t>(a)</w:t>
            </w:r>
          </w:p>
        </w:tc>
        <w:tc>
          <w:tcPr>
            <w:tcW w:w="1224" w:type="dxa"/>
          </w:tcPr>
          <w:p>
            <w:pPr>
              <w:pStyle w:val="TableParagraph"/>
              <w:spacing w:before="45"/>
              <w:ind w:left="11"/>
              <w:jc w:val="center"/>
              <w:rPr>
                <w:b/>
                <w:sz w:val="16"/>
              </w:rPr>
            </w:pPr>
            <w:r>
              <w:rPr>
                <w:b/>
                <w:w w:val="100"/>
                <w:sz w:val="16"/>
              </w:rPr>
              <w:t>A</w:t>
            </w:r>
          </w:p>
        </w:tc>
        <w:tc>
          <w:tcPr>
            <w:tcW w:w="1630" w:type="dxa"/>
          </w:tcPr>
          <w:p>
            <w:pPr>
              <w:pStyle w:val="TableParagraph"/>
              <w:spacing w:before="45"/>
              <w:ind w:left="9"/>
              <w:jc w:val="center"/>
              <w:rPr>
                <w:b/>
                <w:sz w:val="16"/>
              </w:rPr>
            </w:pPr>
            <w:r>
              <w:rPr>
                <w:b/>
                <w:w w:val="100"/>
                <w:sz w:val="16"/>
              </w:rPr>
              <w:t>B</w:t>
            </w:r>
          </w:p>
        </w:tc>
        <w:tc>
          <w:tcPr>
            <w:tcW w:w="1448" w:type="dxa"/>
          </w:tcPr>
          <w:p>
            <w:pPr>
              <w:pStyle w:val="TableParagraph"/>
              <w:spacing w:before="45"/>
              <w:ind w:left="7"/>
              <w:jc w:val="center"/>
              <w:rPr>
                <w:b/>
                <w:sz w:val="16"/>
              </w:rPr>
            </w:pPr>
            <w:r>
              <w:rPr>
                <w:b/>
                <w:w w:val="100"/>
                <w:sz w:val="16"/>
              </w:rPr>
              <w:t>C</w:t>
            </w:r>
          </w:p>
        </w:tc>
        <w:tc>
          <w:tcPr>
            <w:tcW w:w="1448" w:type="dxa"/>
          </w:tcPr>
          <w:p>
            <w:pPr>
              <w:pStyle w:val="TableParagraph"/>
              <w:spacing w:before="25"/>
              <w:ind w:left="563"/>
              <w:rPr>
                <w:b/>
                <w:sz w:val="10"/>
              </w:rPr>
            </w:pPr>
            <w:r>
              <w:rPr>
                <w:b/>
                <w:position w:val="2"/>
                <w:sz w:val="16"/>
              </w:rPr>
              <w:t>D</w:t>
            </w:r>
            <w:r>
              <w:rPr>
                <w:b/>
                <w:sz w:val="10"/>
              </w:rPr>
              <w:t>CH</w:t>
            </w:r>
            <w:r>
              <w:rPr>
                <w:b/>
                <w:position w:val="-3"/>
                <w:sz w:val="10"/>
              </w:rPr>
              <w:t>4</w:t>
            </w:r>
          </w:p>
        </w:tc>
        <w:tc>
          <w:tcPr>
            <w:tcW w:w="109" w:type="dxa"/>
            <w:tcBorders>
              <w:right w:val="nil"/>
            </w:tcBorders>
          </w:tcPr>
          <w:p>
            <w:pPr>
              <w:pStyle w:val="TableParagraph"/>
              <w:rPr>
                <w:sz w:val="16"/>
              </w:rPr>
            </w:pPr>
          </w:p>
        </w:tc>
        <w:tc>
          <w:tcPr>
            <w:tcW w:w="1386" w:type="dxa"/>
            <w:tcBorders>
              <w:left w:val="nil"/>
            </w:tcBorders>
          </w:tcPr>
          <w:p>
            <w:pPr>
              <w:pStyle w:val="TableParagraph"/>
              <w:spacing w:before="44"/>
              <w:ind w:left="472" w:right="571"/>
              <w:jc w:val="center"/>
              <w:rPr>
                <w:b/>
                <w:sz w:val="10"/>
              </w:rPr>
            </w:pPr>
            <w:r>
              <w:rPr>
                <w:b/>
                <w:position w:val="2"/>
                <w:sz w:val="16"/>
              </w:rPr>
              <w:t>CH</w:t>
            </w:r>
            <w:r>
              <w:rPr>
                <w:b/>
                <w:sz w:val="10"/>
              </w:rPr>
              <w:t>4</w:t>
            </w:r>
          </w:p>
        </w:tc>
        <w:tc>
          <w:tcPr>
            <w:tcW w:w="1494" w:type="dxa"/>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89"/>
              <w:rPr>
                <w:b/>
                <w:sz w:val="10"/>
              </w:rPr>
            </w:pPr>
            <w:r>
              <w:rPr>
                <w:b/>
                <w:position w:val="2"/>
                <w:sz w:val="16"/>
              </w:rPr>
              <w:t>D</w:t>
            </w:r>
            <w:r>
              <w:rPr>
                <w:b/>
                <w:sz w:val="10"/>
              </w:rPr>
              <w:t>CO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tcPr>
          <w:p>
            <w:pPr>
              <w:pStyle w:val="TableParagraph"/>
              <w:spacing w:before="25"/>
              <w:ind w:left="102" w:right="102"/>
              <w:jc w:val="center"/>
              <w:rPr>
                <w:b/>
                <w:sz w:val="16"/>
              </w:rPr>
            </w:pPr>
            <w:r>
              <w:rPr>
                <w:b/>
                <w:sz w:val="16"/>
              </w:rPr>
              <w:t>CO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80"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63"/>
              <w:rPr>
                <w:b/>
                <w:sz w:val="10"/>
              </w:rPr>
            </w:pPr>
            <w:r>
              <w:rPr>
                <w:b/>
                <w:position w:val="2"/>
                <w:sz w:val="16"/>
              </w:rPr>
              <w:t>D</w:t>
            </w:r>
            <w:r>
              <w:rPr>
                <w:b/>
                <w:sz w:val="10"/>
              </w:rPr>
              <w:t>N</w:t>
            </w:r>
            <w:r>
              <w:rPr>
                <w:b/>
                <w:position w:val="-3"/>
                <w:sz w:val="10"/>
              </w:rPr>
              <w:t>2</w:t>
            </w:r>
            <w:r>
              <w:rPr>
                <w:b/>
                <w:sz w:val="10"/>
              </w:rPr>
              <w:t>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shd w:val="clear" w:color="auto" w:fill="7F7F7F"/>
          </w:tcPr>
          <w:p>
            <w:pPr>
              <w:pStyle w:val="TableParagraph"/>
              <w:rPr>
                <w:sz w:val="16"/>
              </w:rPr>
            </w:pPr>
          </w:p>
        </w:tc>
        <w:tc>
          <w:tcPr>
            <w:tcW w:w="109" w:type="dxa"/>
            <w:tcBorders>
              <w:right w:val="nil"/>
            </w:tcBorders>
          </w:tcPr>
          <w:p>
            <w:pPr>
              <w:pStyle w:val="TableParagraph"/>
              <w:rPr>
                <w:sz w:val="16"/>
              </w:rPr>
            </w:pPr>
          </w:p>
        </w:tc>
        <w:tc>
          <w:tcPr>
            <w:tcW w:w="1386" w:type="dxa"/>
            <w:tcBorders>
              <w:left w:val="nil"/>
            </w:tcBorders>
          </w:tcPr>
          <w:p>
            <w:pPr>
              <w:pStyle w:val="TableParagraph"/>
              <w:spacing w:before="44"/>
              <w:ind w:left="469" w:right="575"/>
              <w:jc w:val="center"/>
              <w:rPr>
                <w:b/>
                <w:sz w:val="16"/>
              </w:rPr>
            </w:pPr>
            <w:r>
              <w:rPr>
                <w:b/>
                <w:position w:val="2"/>
                <w:sz w:val="16"/>
              </w:rPr>
              <w:t>N</w:t>
            </w:r>
            <w:r>
              <w:rPr>
                <w:b/>
                <w:sz w:val="10"/>
              </w:rPr>
              <w:t>2</w:t>
            </w:r>
            <w:r>
              <w:rPr>
                <w:b/>
                <w:position w:val="2"/>
                <w:sz w:val="16"/>
              </w:rPr>
              <w:t>O</w:t>
            </w: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80"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65"/>
              <w:rPr>
                <w:b/>
                <w:sz w:val="10"/>
              </w:rPr>
            </w:pPr>
            <w:r>
              <w:rPr>
                <w:b/>
                <w:position w:val="2"/>
                <w:sz w:val="16"/>
              </w:rPr>
              <w:t>D</w:t>
            </w:r>
            <w:r>
              <w:rPr>
                <w:b/>
                <w:sz w:val="10"/>
              </w:rPr>
              <w:t>NO</w:t>
            </w:r>
            <w:r>
              <w:rPr>
                <w:b/>
                <w:position w:val="-3"/>
                <w:sz w:val="10"/>
              </w:rPr>
              <w:t>x</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tcPr>
          <w:p>
            <w:pPr>
              <w:pStyle w:val="TableParagraph"/>
              <w:rPr>
                <w:sz w:val="16"/>
              </w:rPr>
            </w:pPr>
          </w:p>
        </w:tc>
        <w:tc>
          <w:tcPr>
            <w:tcW w:w="1389" w:type="dxa"/>
            <w:tcBorders>
              <w:left w:val="nil"/>
            </w:tcBorders>
          </w:tcPr>
          <w:p>
            <w:pPr>
              <w:pStyle w:val="TableParagraph"/>
              <w:spacing w:before="44"/>
              <w:ind w:left="472" w:right="581"/>
              <w:jc w:val="center"/>
              <w:rPr>
                <w:b/>
                <w:sz w:val="10"/>
              </w:rPr>
            </w:pPr>
            <w:r>
              <w:rPr>
                <w:b/>
                <w:position w:val="2"/>
                <w:sz w:val="16"/>
              </w:rPr>
              <w:t>NO</w:t>
            </w:r>
            <w:r>
              <w:rPr>
                <w:b/>
                <w:sz w:val="10"/>
              </w:rPr>
              <w:t>x</w:t>
            </w: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spacing w:before="23"/>
              <w:ind w:left="107"/>
              <w:rPr>
                <w:sz w:val="16"/>
              </w:rPr>
            </w:pPr>
            <w:r>
              <w:rPr>
                <w:sz w:val="16"/>
              </w:rPr>
              <w:t>GL</w:t>
            </w:r>
          </w:p>
        </w:tc>
        <w:tc>
          <w:tcPr>
            <w:tcW w:w="938" w:type="dxa"/>
          </w:tcPr>
          <w:p>
            <w:pPr>
              <w:pStyle w:val="TableParagraph"/>
              <w:spacing w:before="23"/>
              <w:ind w:left="107"/>
              <w:rPr>
                <w:sz w:val="16"/>
              </w:rPr>
            </w:pPr>
            <w:r>
              <w:rPr>
                <w:sz w:val="16"/>
              </w:rPr>
              <w:t>FL</w:t>
            </w:r>
          </w:p>
        </w:tc>
        <w:tc>
          <w:tcPr>
            <w:tcW w:w="1027" w:type="dxa"/>
          </w:tcPr>
          <w:p>
            <w:pPr>
              <w:pStyle w:val="TableParagraph"/>
              <w:spacing w:before="23"/>
              <w:ind w:left="108"/>
              <w:rPr>
                <w:sz w:val="16"/>
              </w:rPr>
            </w:pPr>
            <w:r>
              <w:rPr>
                <w:sz w:val="16"/>
              </w:rPr>
              <w:t>(a)</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42"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(b)</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rPr>
                <w:sz w:val="16"/>
              </w:rPr>
            </w:pPr>
          </w:p>
        </w:tc>
        <w:tc>
          <w:tcPr>
            <w:tcW w:w="938"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36" w:type="dxa"/>
          </w:tcPr>
          <w:p>
            <w:pPr>
              <w:pStyle w:val="TableParagraph"/>
              <w:spacing w:before="25"/>
              <w:ind w:left="107"/>
              <w:rPr>
                <w:b/>
                <w:sz w:val="16"/>
              </w:rPr>
            </w:pPr>
            <w:r>
              <w:rPr>
                <w:b/>
                <w:sz w:val="16"/>
              </w:rPr>
              <w:t>Total</w:t>
            </w:r>
          </w:p>
        </w:tc>
        <w:tc>
          <w:tcPr>
            <w:tcW w:w="938"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520"/>
        <w:gridCol w:w="2700"/>
        <w:gridCol w:w="2626"/>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0939" w:type="dxa"/>
            <w:gridSpan w:val="5"/>
          </w:tcPr>
          <w:p>
            <w:pPr>
              <w:pStyle w:val="TableParagraph"/>
              <w:spacing w:before="26"/>
              <w:ind w:left="108"/>
              <w:rPr>
                <w:b/>
                <w:sz w:val="20"/>
              </w:rPr>
            </w:pPr>
            <w:r>
              <w:rPr>
                <w:b/>
                <w:sz w:val="20"/>
              </w:rPr>
              <w:t>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0939" w:type="dxa"/>
            <w:gridSpan w:val="5"/>
          </w:tcPr>
          <w:p>
            <w:pPr>
              <w:pStyle w:val="TableParagraph"/>
              <w:spacing w:before="26"/>
              <w:ind w:left="108"/>
              <w:rPr>
                <w:b/>
                <w:sz w:val="20"/>
              </w:rPr>
            </w:pPr>
            <w:r>
              <w:rPr>
                <w:b/>
                <w:sz w:val="20"/>
              </w:rPr>
              <w:t>Cropland Remaining 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0939" w:type="dxa"/>
            <w:gridSpan w:val="5"/>
          </w:tcPr>
          <w:p>
            <w:pPr>
              <w:pStyle w:val="TableParagraph"/>
              <w:spacing w:before="26"/>
              <w:ind w:left="108"/>
              <w:rPr>
                <w:b/>
                <w:sz w:val="20"/>
              </w:rPr>
            </w:pPr>
            <w:r>
              <w:rPr>
                <w:b/>
                <w:sz w:val="20"/>
              </w:rPr>
              <w:t>CL-1a: Annual change in carbon stocks in living biomass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0939" w:type="dxa"/>
            <w:gridSpan w:val="5"/>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06" w:right="65" w:firstLine="31"/>
              <w:rPr>
                <w:sz w:val="16"/>
              </w:rPr>
            </w:pPr>
            <w:r>
              <w:rPr>
                <w:sz w:val="16"/>
              </w:rPr>
              <w:t>Land-use Category </w:t>
            </w:r>
            <w:r>
              <w:rPr>
                <w:sz w:val="16"/>
                <w:vertAlign w:val="superscript"/>
              </w:rPr>
              <w:t>2</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 </w:t>
            </w:r>
            <w:r>
              <w:rPr>
                <w:sz w:val="16"/>
                <w:vertAlign w:val="superscript"/>
              </w:rPr>
              <w:t>3</w:t>
            </w:r>
          </w:p>
        </w:tc>
        <w:tc>
          <w:tcPr>
            <w:tcW w:w="2066" w:type="dxa"/>
            <w:vMerge w:val="restart"/>
            <w:shd w:val="clear" w:color="auto" w:fill="E4E4E4"/>
          </w:tcPr>
          <w:p>
            <w:pPr>
              <w:pStyle w:val="TableParagraph"/>
              <w:spacing w:before="23"/>
              <w:ind w:left="139" w:right="127"/>
              <w:jc w:val="center"/>
              <w:rPr>
                <w:sz w:val="16"/>
              </w:rPr>
            </w:pPr>
            <w:r>
              <w:rPr>
                <w:sz w:val="16"/>
              </w:rPr>
              <w:t>Annual area of cropland with perennial woody biomass</w:t>
            </w:r>
          </w:p>
          <w:p>
            <w:pPr>
              <w:pStyle w:val="TableParagraph"/>
              <w:spacing w:before="10"/>
              <w:rPr>
                <w:sz w:val="15"/>
              </w:rPr>
            </w:pPr>
          </w:p>
          <w:p>
            <w:pPr>
              <w:pStyle w:val="TableParagraph"/>
              <w:ind w:left="138" w:right="129"/>
              <w:jc w:val="center"/>
              <w:rPr>
                <w:sz w:val="16"/>
              </w:rPr>
            </w:pPr>
            <w:r>
              <w:rPr>
                <w:sz w:val="16"/>
              </w:rPr>
              <w:t>(ha)</w:t>
            </w:r>
          </w:p>
          <w:p>
            <w:pPr>
              <w:pStyle w:val="TableParagraph"/>
              <w:rPr>
                <w:sz w:val="18"/>
              </w:rPr>
            </w:pPr>
          </w:p>
          <w:p>
            <w:pPr>
              <w:pStyle w:val="TableParagraph"/>
              <w:rPr>
                <w:sz w:val="15"/>
              </w:rPr>
            </w:pPr>
          </w:p>
          <w:p>
            <w:pPr>
              <w:pStyle w:val="TableParagraph"/>
              <w:spacing w:line="170" w:lineRule="exact"/>
              <w:ind w:left="14"/>
              <w:jc w:val="center"/>
              <w:rPr>
                <w:sz w:val="16"/>
              </w:rPr>
            </w:pPr>
            <w:r>
              <w:rPr>
                <w:w w:val="100"/>
                <w:sz w:val="16"/>
              </w:rPr>
              <w:t>A</w:t>
            </w:r>
          </w:p>
        </w:tc>
        <w:tc>
          <w:tcPr>
            <w:tcW w:w="2520" w:type="dxa"/>
            <w:vMerge w:val="restart"/>
            <w:shd w:val="clear" w:color="auto" w:fill="E4E4E4"/>
          </w:tcPr>
          <w:p>
            <w:pPr>
              <w:pStyle w:val="TableParagraph"/>
              <w:spacing w:before="23"/>
              <w:ind w:left="120" w:right="105"/>
              <w:jc w:val="center"/>
              <w:rPr>
                <w:sz w:val="16"/>
              </w:rPr>
            </w:pPr>
            <w:r>
              <w:rPr>
                <w:sz w:val="16"/>
              </w:rPr>
              <w:t>Annual growth rate of perennial woody biomass</w:t>
            </w:r>
          </w:p>
          <w:p>
            <w:pPr>
              <w:pStyle w:val="TableParagraph"/>
              <w:rPr>
                <w:sz w:val="16"/>
              </w:rPr>
            </w:pPr>
          </w:p>
          <w:p>
            <w:pPr>
              <w:pStyle w:val="TableParagraph"/>
              <w:ind w:left="120" w:right="108"/>
              <w:jc w:val="center"/>
              <w:rPr>
                <w:sz w:val="16"/>
              </w:rPr>
            </w:pPr>
            <w:r>
              <w:rPr>
                <w:sz w:val="16"/>
              </w:rPr>
              <w:t>(tonnes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8"/>
              <w:ind w:left="8"/>
              <w:jc w:val="center"/>
              <w:rPr>
                <w:sz w:val="16"/>
              </w:rPr>
            </w:pPr>
            <w:r>
              <w:rPr>
                <w:w w:val="100"/>
                <w:sz w:val="16"/>
              </w:rPr>
              <w:t>B</w:t>
            </w:r>
          </w:p>
        </w:tc>
        <w:tc>
          <w:tcPr>
            <w:tcW w:w="2700" w:type="dxa"/>
            <w:vMerge w:val="restart"/>
            <w:shd w:val="clear" w:color="auto" w:fill="E4E4E4"/>
          </w:tcPr>
          <w:p>
            <w:pPr>
              <w:pStyle w:val="TableParagraph"/>
              <w:spacing w:before="23"/>
              <w:ind w:left="114" w:right="101"/>
              <w:jc w:val="center"/>
              <w:rPr>
                <w:sz w:val="16"/>
              </w:rPr>
            </w:pPr>
            <w:r>
              <w:rPr>
                <w:sz w:val="16"/>
              </w:rPr>
              <w:t>Annual carbon stock in biomass removed</w:t>
            </w:r>
          </w:p>
          <w:p>
            <w:pPr>
              <w:pStyle w:val="TableParagraph"/>
              <w:spacing w:line="480" w:lineRule="auto"/>
              <w:ind w:left="696" w:right="685"/>
              <w:jc w:val="center"/>
              <w:rPr>
                <w:sz w:val="16"/>
              </w:rPr>
            </w:pPr>
            <w:r>
              <w:rPr>
                <w:sz w:val="16"/>
              </w:rPr>
              <w:t>(removal or harvest) (tonnes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spacing w:before="10"/>
              <w:rPr>
                <w:sz w:val="16"/>
              </w:rPr>
            </w:pPr>
          </w:p>
          <w:p>
            <w:pPr>
              <w:pStyle w:val="TableParagraph"/>
              <w:spacing w:line="170" w:lineRule="exact"/>
              <w:ind w:left="10"/>
              <w:jc w:val="center"/>
              <w:rPr>
                <w:sz w:val="16"/>
              </w:rPr>
            </w:pPr>
            <w:r>
              <w:rPr>
                <w:w w:val="100"/>
                <w:sz w:val="16"/>
              </w:rPr>
              <w:t>C</w:t>
            </w:r>
          </w:p>
        </w:tc>
        <w:tc>
          <w:tcPr>
            <w:tcW w:w="2626" w:type="dxa"/>
            <w:vMerge w:val="restart"/>
            <w:shd w:val="clear" w:color="auto" w:fill="E4E4E4"/>
          </w:tcPr>
          <w:p>
            <w:pPr>
              <w:pStyle w:val="TableParagraph"/>
              <w:spacing w:before="23"/>
              <w:ind w:left="20" w:right="11"/>
              <w:jc w:val="center"/>
              <w:rPr>
                <w:sz w:val="16"/>
              </w:rPr>
            </w:pPr>
            <w:r>
              <w:rPr>
                <w:sz w:val="16"/>
              </w:rPr>
              <w:t>Annual change in carbon stocks in biomass</w:t>
            </w:r>
          </w:p>
          <w:p>
            <w:pPr>
              <w:pStyle w:val="TableParagraph"/>
              <w:rPr>
                <w:sz w:val="16"/>
              </w:rPr>
            </w:pPr>
          </w:p>
          <w:p>
            <w:pPr>
              <w:pStyle w:val="TableParagraph"/>
              <w:ind w:left="847" w:firstLine="2"/>
              <w:rPr>
                <w:sz w:val="16"/>
              </w:rPr>
            </w:pPr>
            <w:r>
              <w:rPr>
                <w:sz w:val="16"/>
              </w:rPr>
              <w:t>(tonnes C yr</w:t>
            </w:r>
            <w:r>
              <w:rPr>
                <w:sz w:val="16"/>
                <w:vertAlign w:val="superscript"/>
              </w:rPr>
              <w:t>-1</w:t>
            </w:r>
            <w:r>
              <w:rPr>
                <w:sz w:val="16"/>
                <w:vertAlign w:val="baseline"/>
              </w:rPr>
              <w:t>)</w:t>
            </w:r>
          </w:p>
          <w:p>
            <w:pPr>
              <w:pStyle w:val="TableParagraph"/>
              <w:spacing w:line="350" w:lineRule="atLeast" w:before="42"/>
              <w:ind w:left="1255" w:right="820" w:hanging="408"/>
              <w:rPr>
                <w:sz w:val="16"/>
              </w:rPr>
            </w:pPr>
            <w:r>
              <w:rPr>
                <w:sz w:val="16"/>
              </w:rPr>
              <w:t>D = A </w:t>
            </w:r>
            <w:r>
              <w:rPr>
                <w:rFonts w:ascii="Symbol" w:hAnsi="Symbol"/>
                <w:sz w:val="16"/>
              </w:rPr>
              <w:t>• </w:t>
            </w:r>
            <w:r>
              <w:rPr>
                <w:sz w:val="16"/>
              </w:rPr>
              <w:t>(B-C) D</w:t>
            </w:r>
          </w:p>
        </w:tc>
      </w:tr>
      <w:tr>
        <w:trPr>
          <w:trHeight w:val="110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c>
          <w:tcPr>
            <w:tcW w:w="2700" w:type="dxa"/>
            <w:vMerge/>
            <w:tcBorders>
              <w:top w:val="nil"/>
            </w:tcBorders>
            <w:shd w:val="clear" w:color="auto" w:fill="E4E4E4"/>
          </w:tcPr>
          <w:p>
            <w:pPr>
              <w:rPr>
                <w:sz w:val="2"/>
                <w:szCs w:val="2"/>
              </w:rPr>
            </w:pPr>
          </w:p>
        </w:tc>
        <w:tc>
          <w:tcPr>
            <w:tcW w:w="2626"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4"/>
              <w:ind w:left="9"/>
              <w:jc w:val="center"/>
              <w:rPr>
                <w:b/>
                <w:sz w:val="16"/>
              </w:rPr>
            </w:pPr>
            <w:r>
              <w:rPr>
                <w:b/>
                <w:w w:val="100"/>
                <w:sz w:val="16"/>
              </w:rPr>
              <w:t>A</w:t>
            </w:r>
          </w:p>
        </w:tc>
        <w:tc>
          <w:tcPr>
            <w:tcW w:w="2520" w:type="dxa"/>
          </w:tcPr>
          <w:p>
            <w:pPr>
              <w:pStyle w:val="TableParagraph"/>
              <w:spacing w:before="54"/>
              <w:ind w:left="12"/>
              <w:jc w:val="center"/>
              <w:rPr>
                <w:b/>
                <w:sz w:val="16"/>
              </w:rPr>
            </w:pPr>
            <w:r>
              <w:rPr>
                <w:b/>
                <w:w w:val="100"/>
                <w:sz w:val="16"/>
              </w:rPr>
              <w:t>G</w:t>
            </w:r>
          </w:p>
        </w:tc>
        <w:tc>
          <w:tcPr>
            <w:tcW w:w="2700" w:type="dxa"/>
          </w:tcPr>
          <w:p>
            <w:pPr>
              <w:pStyle w:val="TableParagraph"/>
              <w:spacing w:before="54"/>
              <w:ind w:left="10"/>
              <w:jc w:val="center"/>
              <w:rPr>
                <w:b/>
                <w:sz w:val="16"/>
              </w:rPr>
            </w:pPr>
            <w:r>
              <w:rPr>
                <w:b/>
                <w:w w:val="100"/>
                <w:sz w:val="16"/>
              </w:rPr>
              <w:t>L</w:t>
            </w:r>
          </w:p>
        </w:tc>
        <w:tc>
          <w:tcPr>
            <w:tcW w:w="2626" w:type="dxa"/>
            <w:shd w:val="clear" w:color="auto" w:fill="D5D5D5"/>
          </w:tcPr>
          <w:p>
            <w:pPr>
              <w:pStyle w:val="TableParagraph"/>
              <w:spacing w:line="164" w:lineRule="exact" w:before="25"/>
              <w:ind w:left="207" w:right="330"/>
              <w:jc w:val="center"/>
              <w:rPr>
                <w:b/>
                <w:sz w:val="10"/>
              </w:rPr>
            </w:pPr>
            <w:r>
              <w:rPr>
                <w:b/>
                <w:position w:val="2"/>
                <w:sz w:val="16"/>
              </w:rPr>
              <w:t>∆C</w:t>
            </w:r>
            <w:r>
              <w:rPr>
                <w:b/>
                <w:sz w:val="10"/>
              </w:rPr>
              <w:t>CC</w:t>
            </w:r>
          </w:p>
          <w:p>
            <w:pPr>
              <w:pStyle w:val="TableParagraph"/>
              <w:spacing w:line="87" w:lineRule="exact"/>
              <w:ind w:left="377" w:right="11"/>
              <w:jc w:val="center"/>
              <w:rPr>
                <w:b/>
                <w:sz w:val="10"/>
              </w:rPr>
            </w:pPr>
            <w:r>
              <w:rPr>
                <w:b/>
                <w:sz w:val="10"/>
              </w:rPr>
              <w:t>LB</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626" w:type="dxa"/>
          </w:tcPr>
          <w:p>
            <w:pPr>
              <w:pStyle w:val="TableParagraph"/>
              <w:rPr>
                <w:sz w:val="16"/>
              </w:rPr>
            </w:pPr>
          </w:p>
        </w:tc>
      </w:tr>
      <w:tr>
        <w:trPr>
          <w:trHeight w:val="1036" w:hRule="atLeast"/>
        </w:trPr>
        <w:tc>
          <w:tcPr>
            <w:tcW w:w="12813" w:type="dxa"/>
            <w:gridSpan w:val="7"/>
          </w:tcPr>
          <w:p>
            <w:pPr>
              <w:pStyle w:val="TableParagraph"/>
              <w:spacing w:before="21"/>
              <w:ind w:left="184" w:hanging="77"/>
              <w:rPr>
                <w:sz w:val="16"/>
              </w:rPr>
            </w:pPr>
            <w:r>
              <w:rPr>
                <w:position w:val="7"/>
                <w:sz w:val="10"/>
              </w:rPr>
              <w:t>1 </w:t>
            </w:r>
            <w:r>
              <w:rPr>
                <w:sz w:val="16"/>
              </w:rPr>
              <w:t>The change in biomass is only estimated for perennial woody crops. For annual crops, increase in biomass stocks in a single year is assumed equal to biomass losses from harvest and mortality in that same year – thus there is no net accumulation of biomass carbon stocks.</w:t>
            </w:r>
          </w:p>
          <w:p>
            <w:pPr>
              <w:pStyle w:val="TableParagraph"/>
              <w:spacing w:before="86"/>
              <w:ind w:left="107"/>
              <w:rPr>
                <w:sz w:val="16"/>
              </w:rPr>
            </w:pPr>
            <w:r>
              <w:rPr>
                <w:position w:val="7"/>
                <w:sz w:val="10"/>
              </w:rPr>
              <w:t>2 </w:t>
            </w:r>
            <w:r>
              <w:rPr>
                <w:sz w:val="16"/>
              </w:rPr>
              <w:t>CL stands for cropland. See Chapter 2 for approaches in representing land areas.</w:t>
            </w:r>
          </w:p>
          <w:p>
            <w:pPr>
              <w:pStyle w:val="TableParagraph"/>
              <w:spacing w:before="85"/>
              <w:ind w:left="107"/>
              <w:rPr>
                <w:sz w:val="16"/>
              </w:rPr>
            </w:pPr>
            <w:r>
              <w:rPr>
                <w:position w:val="7"/>
                <w:sz w:val="10"/>
              </w:rPr>
              <w:t>3 </w:t>
            </w:r>
            <w:r>
              <w:rPr>
                <w:sz w:val="16"/>
              </w:rPr>
              <w:t>Land use should be further divided according to type of perennial woody vegetation and climate zones.</w:t>
            </w: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8"/>
              <w:rPr>
                <w:b/>
                <w:sz w:val="20"/>
              </w:rPr>
            </w:pPr>
            <w:r>
              <w:rPr>
                <w:b/>
                <w:sz w:val="20"/>
              </w:rPr>
              <w:t>Cropland Remaining 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CL-1c1: Annual change in carbon stocks in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1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line="480" w:lineRule="auto" w:before="23"/>
              <w:ind w:left="139" w:right="128"/>
              <w:jc w:val="center"/>
              <w:rPr>
                <w:sz w:val="16"/>
              </w:rPr>
            </w:pPr>
            <w:r>
              <w:rPr>
                <w:sz w:val="16"/>
              </w:rPr>
              <w:t>Land area of each parcel</w:t>
            </w:r>
            <w:r>
              <w:rPr>
                <w:sz w:val="16"/>
                <w:vertAlign w:val="superscript"/>
              </w:rPr>
              <w:t>1</w:t>
            </w:r>
            <w:r>
              <w:rPr>
                <w:sz w:val="16"/>
                <w:vertAlign w:val="baseline"/>
              </w:rPr>
              <w:t> (ha)</w:t>
            </w:r>
          </w:p>
          <w:p>
            <w:pPr>
              <w:pStyle w:val="TableParagraph"/>
              <w:rPr>
                <w:sz w:val="18"/>
              </w:rPr>
            </w:pPr>
          </w:p>
          <w:p>
            <w:pPr>
              <w:pStyle w:val="TableParagraph"/>
              <w:rPr>
                <w:sz w:val="18"/>
              </w:rPr>
            </w:pPr>
          </w:p>
          <w:p>
            <w:pPr>
              <w:pStyle w:val="TableParagraph"/>
              <w:rPr>
                <w:sz w:val="18"/>
              </w:rPr>
            </w:pPr>
          </w:p>
          <w:p>
            <w:pPr>
              <w:pStyle w:val="TableParagraph"/>
              <w:spacing w:before="9"/>
              <w:rPr>
                <w:sz w:val="25"/>
              </w:rPr>
            </w:pPr>
          </w:p>
          <w:p>
            <w:pPr>
              <w:pStyle w:val="TableParagraph"/>
              <w:spacing w:line="170" w:lineRule="exact"/>
              <w:ind w:left="14"/>
              <w:jc w:val="center"/>
              <w:rPr>
                <w:sz w:val="16"/>
              </w:rPr>
            </w:pPr>
            <w:r>
              <w:rPr>
                <w:w w:val="100"/>
                <w:sz w:val="16"/>
              </w:rPr>
              <w:t>A</w:t>
            </w:r>
          </w:p>
        </w:tc>
        <w:tc>
          <w:tcPr>
            <w:tcW w:w="1980" w:type="dxa"/>
            <w:vMerge w:val="restart"/>
            <w:shd w:val="clear" w:color="auto" w:fill="E4E4E4"/>
          </w:tcPr>
          <w:p>
            <w:pPr>
              <w:pStyle w:val="TableParagraph"/>
              <w:spacing w:line="720" w:lineRule="auto" w:before="23"/>
              <w:ind w:left="148" w:right="138"/>
              <w:jc w:val="center"/>
              <w:rPr>
                <w:sz w:val="16"/>
              </w:rPr>
            </w:pPr>
            <w:r>
              <w:rPr>
                <w:sz w:val="16"/>
              </w:rPr>
              <w:t>Inventory time period (default is 20 yr)</w:t>
            </w:r>
          </w:p>
          <w:p>
            <w:pPr>
              <w:pStyle w:val="TableParagraph"/>
              <w:rPr>
                <w:sz w:val="18"/>
              </w:rPr>
            </w:pPr>
          </w:p>
          <w:p>
            <w:pPr>
              <w:pStyle w:val="TableParagraph"/>
              <w:rPr>
                <w:sz w:val="18"/>
              </w:rPr>
            </w:pPr>
          </w:p>
          <w:p>
            <w:pPr>
              <w:pStyle w:val="TableParagraph"/>
              <w:spacing w:line="170" w:lineRule="exact" w:before="136"/>
              <w:ind w:left="10"/>
              <w:jc w:val="center"/>
              <w:rPr>
                <w:sz w:val="16"/>
              </w:rPr>
            </w:pPr>
            <w:r>
              <w:rPr>
                <w:w w:val="100"/>
                <w:sz w:val="16"/>
              </w:rPr>
              <w:t>B</w:t>
            </w:r>
          </w:p>
        </w:tc>
        <w:tc>
          <w:tcPr>
            <w:tcW w:w="1800" w:type="dxa"/>
            <w:vMerge w:val="restart"/>
            <w:shd w:val="clear" w:color="auto" w:fill="E4E4E4"/>
          </w:tcPr>
          <w:p>
            <w:pPr>
              <w:pStyle w:val="TableParagraph"/>
              <w:spacing w:before="23"/>
              <w:ind w:left="492" w:right="479" w:firstLine="3"/>
              <w:jc w:val="center"/>
              <w:rPr>
                <w:sz w:val="16"/>
              </w:rPr>
            </w:pPr>
            <w:r>
              <w:rPr>
                <w:sz w:val="16"/>
              </w:rPr>
              <w:t>Reference carbon</w:t>
            </w:r>
            <w:r>
              <w:rPr>
                <w:spacing w:val="5"/>
                <w:sz w:val="16"/>
              </w:rPr>
              <w:t> </w:t>
            </w:r>
            <w:r>
              <w:rPr>
                <w:spacing w:val="-4"/>
                <w:sz w:val="16"/>
              </w:rPr>
              <w:t>stock</w:t>
            </w:r>
          </w:p>
          <w:p>
            <w:pPr>
              <w:pStyle w:val="TableParagraph"/>
              <w:rPr>
                <w:sz w:val="16"/>
              </w:rPr>
            </w:pPr>
          </w:p>
          <w:p>
            <w:pPr>
              <w:pStyle w:val="TableParagraph"/>
              <w:ind w:left="129" w:right="120"/>
              <w:jc w:val="center"/>
              <w:rPr>
                <w:sz w:val="16"/>
              </w:rPr>
            </w:pPr>
            <w:r>
              <w:rPr>
                <w:sz w:val="16"/>
              </w:rPr>
              <w:t>(tonnes C</w:t>
            </w:r>
            <w:r>
              <w:rPr>
                <w:spacing w:val="2"/>
                <w:sz w:val="16"/>
              </w:rPr>
              <w:t> </w:t>
            </w:r>
            <w:r>
              <w:rPr>
                <w:sz w:val="16"/>
              </w:rPr>
              <w:t>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before="9"/>
              <w:rPr>
                <w:sz w:val="25"/>
              </w:rPr>
            </w:pPr>
          </w:p>
          <w:p>
            <w:pPr>
              <w:pStyle w:val="TableParagraph"/>
              <w:spacing w:line="170" w:lineRule="exact"/>
              <w:ind w:left="8"/>
              <w:jc w:val="center"/>
              <w:rPr>
                <w:sz w:val="16"/>
              </w:rPr>
            </w:pPr>
            <w:r>
              <w:rPr>
                <w:w w:val="100"/>
                <w:sz w:val="16"/>
              </w:rPr>
              <w:t>C</w:t>
            </w:r>
          </w:p>
        </w:tc>
        <w:tc>
          <w:tcPr>
            <w:tcW w:w="1980" w:type="dxa"/>
            <w:vMerge w:val="restart"/>
            <w:shd w:val="clear" w:color="auto" w:fill="E4E4E4"/>
          </w:tcPr>
          <w:p>
            <w:pPr>
              <w:pStyle w:val="TableParagraph"/>
              <w:spacing w:before="23"/>
              <w:ind w:left="149" w:right="138"/>
              <w:jc w:val="center"/>
              <w:rPr>
                <w:sz w:val="16"/>
              </w:rPr>
            </w:pPr>
            <w:r>
              <w:rPr>
                <w:sz w:val="16"/>
              </w:rPr>
              <w:t>Stock change factor for land use or land-use change type in the beginning of inventory year</w:t>
            </w:r>
          </w:p>
          <w:p>
            <w:pPr>
              <w:pStyle w:val="TableParagraph"/>
              <w:spacing w:before="6"/>
              <w:rPr>
                <w:sz w:val="16"/>
              </w:rPr>
            </w:pPr>
          </w:p>
          <w:p>
            <w:pPr>
              <w:pStyle w:val="TableParagraph"/>
              <w:spacing w:line="360" w:lineRule="atLeast"/>
              <w:ind w:left="483" w:right="472"/>
              <w:jc w:val="center"/>
              <w:rPr>
                <w:sz w:val="16"/>
              </w:rPr>
            </w:pPr>
            <w:r>
              <w:rPr>
                <w:sz w:val="16"/>
              </w:rPr>
              <w:t>(dimensionless) D</w:t>
            </w:r>
          </w:p>
        </w:tc>
        <w:tc>
          <w:tcPr>
            <w:tcW w:w="1800" w:type="dxa"/>
            <w:vMerge w:val="restart"/>
            <w:shd w:val="clear" w:color="auto" w:fill="E4E4E4"/>
          </w:tcPr>
          <w:p>
            <w:pPr>
              <w:pStyle w:val="TableParagraph"/>
              <w:spacing w:before="23"/>
              <w:ind w:left="132" w:right="119"/>
              <w:jc w:val="center"/>
              <w:rPr>
                <w:sz w:val="16"/>
              </w:rPr>
            </w:pPr>
            <w:r>
              <w:rPr>
                <w:sz w:val="16"/>
              </w:rPr>
              <w:t>Stock change factor for management regime in the beginning of inventory year</w:t>
            </w:r>
          </w:p>
          <w:p>
            <w:pPr>
              <w:pStyle w:val="TableParagraph"/>
              <w:spacing w:before="11"/>
              <w:rPr>
                <w:sz w:val="15"/>
              </w:rPr>
            </w:pPr>
          </w:p>
          <w:p>
            <w:pPr>
              <w:pStyle w:val="TableParagraph"/>
              <w:ind w:left="131" w:right="120"/>
              <w:jc w:val="center"/>
              <w:rPr>
                <w:sz w:val="16"/>
              </w:rPr>
            </w:pPr>
            <w:r>
              <w:rPr>
                <w:sz w:val="16"/>
              </w:rPr>
              <w:t>(dimensionless)</w:t>
            </w:r>
          </w:p>
          <w:p>
            <w:pPr>
              <w:pStyle w:val="TableParagraph"/>
              <w:rPr>
                <w:sz w:val="18"/>
              </w:rPr>
            </w:pPr>
          </w:p>
          <w:p>
            <w:pPr>
              <w:pStyle w:val="TableParagraph"/>
              <w:rPr>
                <w:sz w:val="18"/>
              </w:rPr>
            </w:pPr>
          </w:p>
          <w:p>
            <w:pPr>
              <w:pStyle w:val="TableParagraph"/>
              <w:spacing w:line="170" w:lineRule="exact" w:before="136"/>
              <w:ind w:left="9"/>
              <w:jc w:val="center"/>
              <w:rPr>
                <w:sz w:val="16"/>
              </w:rPr>
            </w:pPr>
            <w:r>
              <w:rPr>
                <w:w w:val="100"/>
                <w:sz w:val="16"/>
              </w:rPr>
              <w:t>E</w:t>
            </w:r>
          </w:p>
        </w:tc>
        <w:tc>
          <w:tcPr>
            <w:tcW w:w="2160" w:type="dxa"/>
            <w:vMerge w:val="restart"/>
            <w:shd w:val="clear" w:color="auto" w:fill="E4E4E4"/>
          </w:tcPr>
          <w:p>
            <w:pPr>
              <w:pStyle w:val="TableParagraph"/>
              <w:spacing w:before="23"/>
              <w:ind w:left="147" w:right="132"/>
              <w:jc w:val="center"/>
              <w:rPr>
                <w:sz w:val="16"/>
              </w:rPr>
            </w:pPr>
            <w:r>
              <w:rPr>
                <w:sz w:val="16"/>
              </w:rPr>
              <w:t>Stock change factor for input of organic matter in the beginning of inventory year</w:t>
            </w:r>
          </w:p>
          <w:p>
            <w:pPr>
              <w:pStyle w:val="TableParagraph"/>
              <w:spacing w:before="2"/>
              <w:rPr>
                <w:sz w:val="16"/>
              </w:rPr>
            </w:pPr>
          </w:p>
          <w:p>
            <w:pPr>
              <w:pStyle w:val="TableParagraph"/>
              <w:spacing w:line="550" w:lineRule="atLeast"/>
              <w:ind w:left="574" w:right="561"/>
              <w:jc w:val="center"/>
              <w:rPr>
                <w:sz w:val="16"/>
              </w:rPr>
            </w:pPr>
            <w:r>
              <w:rPr>
                <w:sz w:val="16"/>
              </w:rPr>
              <w:t>(dimensionless) F</w:t>
            </w:r>
          </w:p>
        </w:tc>
      </w:tr>
      <w:tr>
        <w:trPr>
          <w:trHeight w:val="1461"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spacing w:before="25"/>
              <w:ind w:left="9"/>
              <w:jc w:val="center"/>
              <w:rPr>
                <w:b/>
                <w:sz w:val="16"/>
              </w:rPr>
            </w:pPr>
            <w:r>
              <w:rPr>
                <w:b/>
                <w:w w:val="100"/>
                <w:sz w:val="16"/>
              </w:rPr>
              <w:t>A</w:t>
            </w:r>
          </w:p>
        </w:tc>
        <w:tc>
          <w:tcPr>
            <w:tcW w:w="1980" w:type="dxa"/>
          </w:tcPr>
          <w:p>
            <w:pPr>
              <w:pStyle w:val="TableParagraph"/>
              <w:spacing w:before="25"/>
              <w:ind w:left="11"/>
              <w:jc w:val="center"/>
              <w:rPr>
                <w:b/>
                <w:sz w:val="16"/>
              </w:rPr>
            </w:pPr>
            <w:r>
              <w:rPr>
                <w:b/>
                <w:w w:val="100"/>
                <w:sz w:val="16"/>
              </w:rPr>
              <w:t>T</w:t>
            </w:r>
          </w:p>
        </w:tc>
        <w:tc>
          <w:tcPr>
            <w:tcW w:w="1800" w:type="dxa"/>
          </w:tcPr>
          <w:p>
            <w:pPr>
              <w:pStyle w:val="TableParagraph"/>
              <w:spacing w:before="25"/>
              <w:ind w:left="130" w:right="120"/>
              <w:jc w:val="center"/>
              <w:rPr>
                <w:b/>
                <w:sz w:val="10"/>
              </w:rPr>
            </w:pPr>
            <w:r>
              <w:rPr>
                <w:b/>
                <w:position w:val="2"/>
                <w:sz w:val="16"/>
              </w:rPr>
              <w:t>SOC</w:t>
            </w:r>
            <w:r>
              <w:rPr>
                <w:b/>
                <w:sz w:val="10"/>
              </w:rPr>
              <w:t>ref</w:t>
            </w:r>
          </w:p>
        </w:tc>
        <w:tc>
          <w:tcPr>
            <w:tcW w:w="1980" w:type="dxa"/>
          </w:tcPr>
          <w:p>
            <w:pPr>
              <w:pStyle w:val="TableParagraph"/>
              <w:spacing w:before="25"/>
              <w:ind w:left="147" w:right="138"/>
              <w:jc w:val="center"/>
              <w:rPr>
                <w:b/>
                <w:sz w:val="10"/>
              </w:rPr>
            </w:pPr>
            <w:r>
              <w:rPr>
                <w:b/>
                <w:position w:val="2"/>
                <w:sz w:val="16"/>
              </w:rPr>
              <w:t>F</w:t>
            </w:r>
            <w:r>
              <w:rPr>
                <w:b/>
                <w:sz w:val="10"/>
              </w:rPr>
              <w:t>LU(0-T)</w:t>
            </w:r>
          </w:p>
        </w:tc>
        <w:tc>
          <w:tcPr>
            <w:tcW w:w="1800" w:type="dxa"/>
          </w:tcPr>
          <w:p>
            <w:pPr>
              <w:pStyle w:val="TableParagraph"/>
              <w:spacing w:before="25"/>
              <w:ind w:left="131" w:right="120"/>
              <w:jc w:val="center"/>
              <w:rPr>
                <w:b/>
                <w:sz w:val="10"/>
              </w:rPr>
            </w:pPr>
            <w:r>
              <w:rPr>
                <w:b/>
                <w:position w:val="2"/>
                <w:sz w:val="16"/>
              </w:rPr>
              <w:t>F</w:t>
            </w:r>
            <w:r>
              <w:rPr>
                <w:b/>
                <w:sz w:val="10"/>
              </w:rPr>
              <w:t>MG(0-T)</w:t>
            </w:r>
          </w:p>
        </w:tc>
        <w:tc>
          <w:tcPr>
            <w:tcW w:w="2160" w:type="dxa"/>
          </w:tcPr>
          <w:p>
            <w:pPr>
              <w:pStyle w:val="TableParagraph"/>
              <w:spacing w:before="25"/>
              <w:ind w:left="143" w:right="132"/>
              <w:jc w:val="center"/>
              <w:rPr>
                <w:b/>
                <w:sz w:val="10"/>
              </w:rPr>
            </w:pPr>
            <w:r>
              <w:rPr>
                <w:b/>
                <w:position w:val="2"/>
                <w:sz w:val="16"/>
              </w:rPr>
              <w:t>F</w:t>
            </w:r>
            <w:r>
              <w:rPr>
                <w:b/>
                <w:sz w:val="10"/>
              </w:rPr>
              <w:t>I(0-T)</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85" w:hRule="atLeast"/>
        </w:trPr>
        <w:tc>
          <w:tcPr>
            <w:tcW w:w="14687" w:type="dxa"/>
            <w:gridSpan w:val="9"/>
          </w:tcPr>
          <w:p>
            <w:pPr>
              <w:pStyle w:val="TableParagraph"/>
              <w:spacing w:before="21"/>
              <w:ind w:left="107"/>
              <w:rPr>
                <w:sz w:val="16"/>
              </w:rPr>
            </w:pPr>
            <w:r>
              <w:rPr>
                <w:position w:val="7"/>
                <w:sz w:val="10"/>
              </w:rPr>
              <w:t>1 </w:t>
            </w:r>
            <w:r>
              <w:rPr>
                <w:sz w:val="16"/>
              </w:rPr>
              <w:t>Major cropland system in the country should be covered.</w:t>
            </w: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8"/>
              <w:rPr>
                <w:b/>
                <w:sz w:val="20"/>
              </w:rPr>
            </w:pPr>
            <w:r>
              <w:rPr>
                <w:b/>
                <w:sz w:val="20"/>
              </w:rPr>
              <w:t>Cropland Remaining 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CL-1c1: Annual change in carbon stocks in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2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39" w:right="129"/>
              <w:jc w:val="center"/>
              <w:rPr>
                <w:sz w:val="16"/>
              </w:rPr>
            </w:pPr>
            <w:r>
              <w:rPr>
                <w:sz w:val="16"/>
              </w:rPr>
              <w:t>Soil organic carbon stock at T years (beginning of inventory year)</w:t>
            </w:r>
          </w:p>
          <w:p>
            <w:pPr>
              <w:pStyle w:val="TableParagraph"/>
              <w:spacing w:before="10"/>
              <w:rPr>
                <w:sz w:val="15"/>
              </w:rPr>
            </w:pPr>
          </w:p>
          <w:p>
            <w:pPr>
              <w:pStyle w:val="TableParagraph"/>
              <w:spacing w:line="496" w:lineRule="auto"/>
              <w:ind w:left="456" w:right="432" w:firstLine="103"/>
              <w:rPr>
                <w:sz w:val="16"/>
              </w:rPr>
            </w:pPr>
            <w:r>
              <w:rPr>
                <w:sz w:val="16"/>
              </w:rPr>
              <w:t>(tonnes C ha</w:t>
            </w:r>
            <w:r>
              <w:rPr>
                <w:sz w:val="16"/>
                <w:vertAlign w:val="superscript"/>
              </w:rPr>
              <w:t>-1</w:t>
            </w:r>
            <w:r>
              <w:rPr>
                <w:sz w:val="16"/>
                <w:vertAlign w:val="baseline"/>
              </w:rPr>
              <w:t>) G = C </w:t>
            </w:r>
            <w:r>
              <w:rPr>
                <w:rFonts w:ascii="Symbol" w:hAnsi="Symbol"/>
                <w:sz w:val="16"/>
                <w:vertAlign w:val="baseline"/>
              </w:rPr>
              <w:t>• </w:t>
            </w:r>
            <w:r>
              <w:rPr>
                <w:sz w:val="16"/>
                <w:vertAlign w:val="baseline"/>
              </w:rPr>
              <w:t>D </w:t>
            </w:r>
            <w:r>
              <w:rPr>
                <w:rFonts w:ascii="Symbol" w:hAnsi="Symbol"/>
                <w:sz w:val="16"/>
                <w:vertAlign w:val="baseline"/>
              </w:rPr>
              <w:t>• </w:t>
            </w:r>
            <w:r>
              <w:rPr>
                <w:sz w:val="16"/>
                <w:vertAlign w:val="baseline"/>
              </w:rPr>
              <w:t>E </w:t>
            </w:r>
            <w:r>
              <w:rPr>
                <w:rFonts w:ascii="Symbol" w:hAnsi="Symbol"/>
                <w:sz w:val="16"/>
                <w:vertAlign w:val="baseline"/>
              </w:rPr>
              <w:t>• </w:t>
            </w:r>
            <w:r>
              <w:rPr>
                <w:sz w:val="16"/>
                <w:vertAlign w:val="baseline"/>
              </w:rPr>
              <w:t>F</w:t>
            </w:r>
          </w:p>
          <w:p>
            <w:pPr>
              <w:pStyle w:val="TableParagraph"/>
              <w:spacing w:line="141" w:lineRule="exact"/>
              <w:ind w:left="14"/>
              <w:jc w:val="center"/>
              <w:rPr>
                <w:sz w:val="16"/>
              </w:rPr>
            </w:pPr>
            <w:r>
              <w:rPr>
                <w:w w:val="100"/>
                <w:sz w:val="16"/>
              </w:rPr>
              <w:t>G</w:t>
            </w:r>
          </w:p>
        </w:tc>
        <w:tc>
          <w:tcPr>
            <w:tcW w:w="1980" w:type="dxa"/>
            <w:vMerge w:val="restart"/>
            <w:shd w:val="clear" w:color="auto" w:fill="E4E4E4"/>
          </w:tcPr>
          <w:p>
            <w:pPr>
              <w:pStyle w:val="TableParagraph"/>
              <w:spacing w:before="23"/>
              <w:ind w:left="149" w:right="138"/>
              <w:jc w:val="center"/>
              <w:rPr>
                <w:sz w:val="16"/>
              </w:rPr>
            </w:pPr>
            <w:r>
              <w:rPr>
                <w:sz w:val="16"/>
              </w:rPr>
              <w:t>Stock change factor for land use or land-use change type in current inventory year</w:t>
            </w:r>
          </w:p>
          <w:p>
            <w:pPr>
              <w:pStyle w:val="TableParagraph"/>
              <w:spacing w:before="11"/>
              <w:rPr>
                <w:sz w:val="15"/>
              </w:rPr>
            </w:pPr>
          </w:p>
          <w:p>
            <w:pPr>
              <w:pStyle w:val="TableParagraph"/>
              <w:ind w:left="146" w:right="138"/>
              <w:jc w:val="center"/>
              <w:rPr>
                <w:sz w:val="16"/>
              </w:rPr>
            </w:pPr>
            <w:r>
              <w:rPr>
                <w:sz w:val="16"/>
              </w:rPr>
              <w:t>(dimensionless)</w:t>
            </w:r>
          </w:p>
          <w:p>
            <w:pPr>
              <w:pStyle w:val="TableParagraph"/>
              <w:rPr>
                <w:sz w:val="18"/>
              </w:rPr>
            </w:pPr>
          </w:p>
          <w:p>
            <w:pPr>
              <w:pStyle w:val="TableParagraph"/>
              <w:rPr>
                <w:sz w:val="15"/>
              </w:rPr>
            </w:pPr>
          </w:p>
          <w:p>
            <w:pPr>
              <w:pStyle w:val="TableParagraph"/>
              <w:spacing w:line="168" w:lineRule="exact"/>
              <w:ind w:left="10"/>
              <w:jc w:val="center"/>
              <w:rPr>
                <w:sz w:val="16"/>
              </w:rPr>
            </w:pPr>
            <w:r>
              <w:rPr>
                <w:w w:val="100"/>
                <w:sz w:val="16"/>
              </w:rPr>
              <w:t>H</w:t>
            </w:r>
          </w:p>
        </w:tc>
        <w:tc>
          <w:tcPr>
            <w:tcW w:w="1800" w:type="dxa"/>
            <w:vMerge w:val="restart"/>
            <w:shd w:val="clear" w:color="auto" w:fill="E4E4E4"/>
          </w:tcPr>
          <w:p>
            <w:pPr>
              <w:pStyle w:val="TableParagraph"/>
              <w:spacing w:before="23"/>
              <w:ind w:left="166" w:right="138" w:hanging="15"/>
              <w:jc w:val="both"/>
              <w:rPr>
                <w:sz w:val="16"/>
              </w:rPr>
            </w:pPr>
            <w:r>
              <w:rPr>
                <w:sz w:val="16"/>
              </w:rPr>
              <w:t>Stock change factor for management regime in current inventory year</w:t>
            </w:r>
          </w:p>
          <w:p>
            <w:pPr>
              <w:pStyle w:val="TableParagraph"/>
              <w:spacing w:before="10"/>
              <w:rPr>
                <w:sz w:val="15"/>
              </w:rPr>
            </w:pPr>
          </w:p>
          <w:p>
            <w:pPr>
              <w:pStyle w:val="TableParagraph"/>
              <w:ind w:left="131" w:right="120"/>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51"/>
              <w:ind w:left="12"/>
              <w:jc w:val="center"/>
              <w:rPr>
                <w:sz w:val="16"/>
              </w:rPr>
            </w:pPr>
            <w:r>
              <w:rPr>
                <w:w w:val="100"/>
                <w:sz w:val="16"/>
              </w:rPr>
              <w:t>I</w:t>
            </w:r>
          </w:p>
        </w:tc>
        <w:tc>
          <w:tcPr>
            <w:tcW w:w="1980" w:type="dxa"/>
            <w:vMerge w:val="restart"/>
            <w:shd w:val="clear" w:color="auto" w:fill="E4E4E4"/>
          </w:tcPr>
          <w:p>
            <w:pPr>
              <w:pStyle w:val="TableParagraph"/>
              <w:spacing w:before="23"/>
              <w:ind w:left="171" w:right="162" w:firstLine="2"/>
              <w:jc w:val="center"/>
              <w:rPr>
                <w:sz w:val="16"/>
              </w:rPr>
            </w:pPr>
            <w:r>
              <w:rPr>
                <w:sz w:val="16"/>
              </w:rPr>
              <w:t>Stock change factor for input of organic matter in current inventory year</w:t>
            </w:r>
          </w:p>
          <w:p>
            <w:pPr>
              <w:pStyle w:val="TableParagraph"/>
              <w:spacing w:before="10"/>
              <w:rPr>
                <w:sz w:val="15"/>
              </w:rPr>
            </w:pPr>
          </w:p>
          <w:p>
            <w:pPr>
              <w:pStyle w:val="TableParagraph"/>
              <w:ind w:left="146" w:right="138"/>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51"/>
              <w:ind w:left="9"/>
              <w:jc w:val="center"/>
              <w:rPr>
                <w:sz w:val="16"/>
              </w:rPr>
            </w:pPr>
            <w:r>
              <w:rPr>
                <w:w w:val="100"/>
                <w:sz w:val="16"/>
              </w:rPr>
              <w:t>J</w:t>
            </w:r>
          </w:p>
        </w:tc>
        <w:tc>
          <w:tcPr>
            <w:tcW w:w="1800" w:type="dxa"/>
            <w:vMerge w:val="restart"/>
            <w:shd w:val="clear" w:color="auto" w:fill="E4E4E4"/>
          </w:tcPr>
          <w:p>
            <w:pPr>
              <w:pStyle w:val="TableParagraph"/>
              <w:spacing w:before="23"/>
              <w:ind w:left="130" w:right="120"/>
              <w:jc w:val="center"/>
              <w:rPr>
                <w:sz w:val="16"/>
              </w:rPr>
            </w:pPr>
            <w:r>
              <w:rPr>
                <w:sz w:val="16"/>
              </w:rPr>
              <w:t>Soil organic</w:t>
            </w:r>
            <w:r>
              <w:rPr>
                <w:spacing w:val="-10"/>
                <w:sz w:val="16"/>
              </w:rPr>
              <w:t> </w:t>
            </w:r>
            <w:r>
              <w:rPr>
                <w:sz w:val="16"/>
              </w:rPr>
              <w:t>carbon stock in current inventory</w:t>
            </w:r>
            <w:r>
              <w:rPr>
                <w:spacing w:val="-3"/>
                <w:sz w:val="16"/>
              </w:rPr>
              <w:t> </w:t>
            </w:r>
            <w:r>
              <w:rPr>
                <w:sz w:val="16"/>
              </w:rPr>
              <w:t>year</w:t>
            </w:r>
          </w:p>
          <w:p>
            <w:pPr>
              <w:pStyle w:val="TableParagraph"/>
              <w:spacing w:before="10"/>
              <w:rPr>
                <w:sz w:val="15"/>
              </w:rPr>
            </w:pPr>
          </w:p>
          <w:p>
            <w:pPr>
              <w:pStyle w:val="TableParagraph"/>
              <w:ind w:left="358" w:firstLine="67"/>
              <w:rPr>
                <w:sz w:val="16"/>
              </w:rPr>
            </w:pPr>
            <w:r>
              <w:rPr>
                <w:sz w:val="16"/>
              </w:rPr>
              <w:t>(tonnes C</w:t>
            </w:r>
            <w:r>
              <w:rPr>
                <w:spacing w:val="2"/>
                <w:sz w:val="16"/>
              </w:rPr>
              <w:t> </w:t>
            </w:r>
            <w:r>
              <w:rPr>
                <w:sz w:val="16"/>
              </w:rPr>
              <w:t>ha</w:t>
            </w:r>
            <w:r>
              <w:rPr>
                <w:sz w:val="16"/>
                <w:vertAlign w:val="superscript"/>
              </w:rPr>
              <w:t>-1</w:t>
            </w:r>
            <w:r>
              <w:rPr>
                <w:sz w:val="16"/>
                <w:vertAlign w:val="baseline"/>
              </w:rPr>
              <w:t>)</w:t>
            </w:r>
          </w:p>
          <w:p>
            <w:pPr>
              <w:pStyle w:val="TableParagraph"/>
              <w:spacing w:line="350" w:lineRule="atLeast" w:before="45"/>
              <w:ind w:left="358" w:right="344"/>
              <w:jc w:val="center"/>
              <w:rPr>
                <w:sz w:val="16"/>
              </w:rPr>
            </w:pPr>
            <w:r>
              <w:rPr>
                <w:sz w:val="16"/>
              </w:rPr>
              <w:t>K = C </w:t>
            </w:r>
            <w:r>
              <w:rPr>
                <w:rFonts w:ascii="Symbol" w:hAnsi="Symbol"/>
                <w:sz w:val="16"/>
              </w:rPr>
              <w:t>• </w:t>
            </w:r>
            <w:r>
              <w:rPr>
                <w:sz w:val="16"/>
              </w:rPr>
              <w:t>H </w:t>
            </w:r>
            <w:r>
              <w:rPr>
                <w:rFonts w:ascii="Symbol" w:hAnsi="Symbol"/>
                <w:sz w:val="16"/>
              </w:rPr>
              <w:t>• </w:t>
            </w:r>
            <w:r>
              <w:rPr>
                <w:sz w:val="16"/>
              </w:rPr>
              <w:t>I </w:t>
            </w:r>
            <w:r>
              <w:rPr>
                <w:rFonts w:ascii="Symbol" w:hAnsi="Symbol"/>
                <w:sz w:val="16"/>
              </w:rPr>
              <w:t>• </w:t>
            </w:r>
            <w:r>
              <w:rPr>
                <w:sz w:val="16"/>
              </w:rPr>
              <w:t>J K</w:t>
            </w:r>
          </w:p>
        </w:tc>
        <w:tc>
          <w:tcPr>
            <w:tcW w:w="2160" w:type="dxa"/>
            <w:vMerge w:val="restart"/>
            <w:shd w:val="clear" w:color="auto" w:fill="E4E4E4"/>
          </w:tcPr>
          <w:p>
            <w:pPr>
              <w:pStyle w:val="TableParagraph"/>
              <w:spacing w:before="23"/>
              <w:ind w:left="141" w:right="132"/>
              <w:jc w:val="center"/>
              <w:rPr>
                <w:sz w:val="16"/>
              </w:rPr>
            </w:pPr>
            <w:r>
              <w:rPr>
                <w:sz w:val="16"/>
              </w:rPr>
              <w:t>Annual change in carbon stocks in mineral soils</w:t>
            </w:r>
          </w:p>
          <w:p>
            <w:pPr>
              <w:pStyle w:val="TableParagraph"/>
              <w:rPr>
                <w:sz w:val="16"/>
              </w:rPr>
            </w:pPr>
          </w:p>
          <w:p>
            <w:pPr>
              <w:pStyle w:val="TableParagraph"/>
              <w:ind w:left="617"/>
              <w:rPr>
                <w:sz w:val="16"/>
              </w:rPr>
            </w:pPr>
            <w:r>
              <w:rPr>
                <w:sz w:val="16"/>
              </w:rPr>
              <w:t>(tonnes C yr</w:t>
            </w:r>
            <w:r>
              <w:rPr>
                <w:sz w:val="16"/>
                <w:vertAlign w:val="superscript"/>
              </w:rPr>
              <w:t>-1</w:t>
            </w:r>
            <w:r>
              <w:rPr>
                <w:sz w:val="16"/>
                <w:vertAlign w:val="baseline"/>
              </w:rPr>
              <w:t>)</w:t>
            </w:r>
          </w:p>
          <w:p>
            <w:pPr>
              <w:pStyle w:val="TableParagraph"/>
              <w:spacing w:before="9"/>
              <w:rPr>
                <w:sz w:val="19"/>
              </w:rPr>
            </w:pPr>
          </w:p>
          <w:p>
            <w:pPr>
              <w:pStyle w:val="TableParagraph"/>
              <w:spacing w:line="350" w:lineRule="atLeast"/>
              <w:ind w:left="447" w:right="434"/>
              <w:jc w:val="center"/>
              <w:rPr>
                <w:sz w:val="16"/>
              </w:rPr>
            </w:pPr>
            <w:r>
              <w:rPr>
                <w:sz w:val="16"/>
              </w:rPr>
              <w:t>L = [(K-G) </w:t>
            </w:r>
            <w:r>
              <w:rPr>
                <w:rFonts w:ascii="Symbol" w:hAnsi="Symbol"/>
                <w:sz w:val="16"/>
              </w:rPr>
              <w:t>• </w:t>
            </w:r>
            <w:r>
              <w:rPr>
                <w:sz w:val="16"/>
              </w:rPr>
              <w:t>A] / B L</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30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7" w:right="129"/>
              <w:jc w:val="center"/>
              <w:rPr>
                <w:b/>
                <w:sz w:val="10"/>
              </w:rPr>
            </w:pPr>
            <w:r>
              <w:rPr>
                <w:b/>
                <w:position w:val="2"/>
                <w:sz w:val="16"/>
              </w:rPr>
              <w:t>SOC</w:t>
            </w:r>
            <w:r>
              <w:rPr>
                <w:b/>
                <w:sz w:val="10"/>
              </w:rPr>
              <w:t>(0-T)</w:t>
            </w:r>
          </w:p>
        </w:tc>
        <w:tc>
          <w:tcPr>
            <w:tcW w:w="1980" w:type="dxa"/>
          </w:tcPr>
          <w:p>
            <w:pPr>
              <w:pStyle w:val="TableParagraph"/>
              <w:spacing w:before="53"/>
              <w:ind w:left="147" w:right="138"/>
              <w:jc w:val="center"/>
              <w:rPr>
                <w:b/>
                <w:sz w:val="10"/>
              </w:rPr>
            </w:pPr>
            <w:r>
              <w:rPr>
                <w:b/>
                <w:position w:val="2"/>
                <w:sz w:val="16"/>
              </w:rPr>
              <w:t>F</w:t>
            </w:r>
            <w:r>
              <w:rPr>
                <w:b/>
                <w:sz w:val="10"/>
              </w:rPr>
              <w:t>LU(0)</w:t>
            </w:r>
          </w:p>
        </w:tc>
        <w:tc>
          <w:tcPr>
            <w:tcW w:w="1800" w:type="dxa"/>
          </w:tcPr>
          <w:p>
            <w:pPr>
              <w:pStyle w:val="TableParagraph"/>
              <w:spacing w:before="53"/>
              <w:ind w:left="131" w:right="120"/>
              <w:jc w:val="center"/>
              <w:rPr>
                <w:b/>
                <w:sz w:val="10"/>
              </w:rPr>
            </w:pPr>
            <w:r>
              <w:rPr>
                <w:b/>
                <w:position w:val="2"/>
                <w:sz w:val="16"/>
              </w:rPr>
              <w:t>F</w:t>
            </w:r>
            <w:r>
              <w:rPr>
                <w:b/>
                <w:sz w:val="10"/>
              </w:rPr>
              <w:t>MG(0)</w:t>
            </w:r>
          </w:p>
        </w:tc>
        <w:tc>
          <w:tcPr>
            <w:tcW w:w="1980" w:type="dxa"/>
          </w:tcPr>
          <w:p>
            <w:pPr>
              <w:pStyle w:val="TableParagraph"/>
              <w:spacing w:before="53"/>
              <w:ind w:left="147" w:right="138"/>
              <w:jc w:val="center"/>
              <w:rPr>
                <w:b/>
                <w:sz w:val="10"/>
              </w:rPr>
            </w:pPr>
            <w:r>
              <w:rPr>
                <w:b/>
                <w:position w:val="2"/>
                <w:sz w:val="16"/>
              </w:rPr>
              <w:t>F</w:t>
            </w:r>
            <w:r>
              <w:rPr>
                <w:b/>
                <w:sz w:val="10"/>
              </w:rPr>
              <w:t>I(0)</w:t>
            </w:r>
          </w:p>
        </w:tc>
        <w:tc>
          <w:tcPr>
            <w:tcW w:w="1800" w:type="dxa"/>
          </w:tcPr>
          <w:p>
            <w:pPr>
              <w:pStyle w:val="TableParagraph"/>
              <w:spacing w:before="53"/>
              <w:ind w:left="131" w:right="120"/>
              <w:jc w:val="center"/>
              <w:rPr>
                <w:b/>
                <w:sz w:val="10"/>
              </w:rPr>
            </w:pPr>
            <w:r>
              <w:rPr>
                <w:b/>
                <w:position w:val="2"/>
                <w:sz w:val="16"/>
              </w:rPr>
              <w:t>SOC</w:t>
            </w:r>
            <w:r>
              <w:rPr>
                <w:b/>
                <w:sz w:val="10"/>
              </w:rPr>
              <w:t>0</w:t>
            </w:r>
          </w:p>
        </w:tc>
        <w:tc>
          <w:tcPr>
            <w:tcW w:w="2160" w:type="dxa"/>
            <w:shd w:val="clear" w:color="auto" w:fill="D5D5D5"/>
          </w:tcPr>
          <w:p>
            <w:pPr>
              <w:pStyle w:val="TableParagraph"/>
              <w:spacing w:line="164" w:lineRule="exact" w:before="25"/>
              <w:ind w:left="147" w:right="481"/>
              <w:jc w:val="center"/>
              <w:rPr>
                <w:b/>
                <w:sz w:val="10"/>
              </w:rPr>
            </w:pPr>
            <w:r>
              <w:rPr>
                <w:b/>
                <w:position w:val="2"/>
                <w:sz w:val="16"/>
              </w:rPr>
              <w:t>∆C</w:t>
            </w:r>
            <w:r>
              <w:rPr>
                <w:b/>
                <w:sz w:val="10"/>
              </w:rPr>
              <w:t>CC</w:t>
            </w:r>
          </w:p>
          <w:p>
            <w:pPr>
              <w:pStyle w:val="TableParagraph"/>
              <w:spacing w:line="87" w:lineRule="exact"/>
              <w:ind w:left="500" w:right="132"/>
              <w:jc w:val="center"/>
              <w:rPr>
                <w:b/>
                <w:sz w:val="10"/>
              </w:rPr>
            </w:pPr>
            <w:r>
              <w:rPr>
                <w:b/>
                <w:sz w:val="10"/>
              </w:rPr>
              <w:t>Mineral</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4118"/>
        <w:gridCol w:w="4164"/>
        <w:gridCol w:w="36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928" w:type="dxa"/>
            <w:gridSpan w:val="4"/>
          </w:tcPr>
          <w:p>
            <w:pPr>
              <w:pStyle w:val="TableParagraph"/>
              <w:spacing w:before="26"/>
              <w:ind w:left="108"/>
              <w:rPr>
                <w:b/>
                <w:sz w:val="20"/>
              </w:rPr>
            </w:pPr>
            <w:r>
              <w:rPr>
                <w:b/>
                <w:sz w:val="20"/>
              </w:rPr>
              <w:t>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928" w:type="dxa"/>
            <w:gridSpan w:val="4"/>
          </w:tcPr>
          <w:p>
            <w:pPr>
              <w:pStyle w:val="TableParagraph"/>
              <w:spacing w:before="26"/>
              <w:ind w:left="108"/>
              <w:rPr>
                <w:b/>
                <w:sz w:val="20"/>
              </w:rPr>
            </w:pPr>
            <w:r>
              <w:rPr>
                <w:b/>
                <w:sz w:val="20"/>
              </w:rPr>
              <w:t>Cropland Remaining 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928" w:type="dxa"/>
            <w:gridSpan w:val="4"/>
          </w:tcPr>
          <w:p>
            <w:pPr>
              <w:pStyle w:val="TableParagraph"/>
              <w:spacing w:before="26"/>
              <w:ind w:left="108"/>
              <w:rPr>
                <w:b/>
                <w:sz w:val="20"/>
              </w:rPr>
            </w:pPr>
            <w:r>
              <w:rPr>
                <w:b/>
                <w:sz w:val="20"/>
              </w:rPr>
              <w:t>CL-1c2: Annual change in carbon stocks in organic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928" w:type="dxa"/>
            <w:gridSpan w:val="4"/>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4118" w:type="dxa"/>
            <w:vMerge w:val="restart"/>
            <w:shd w:val="clear" w:color="auto" w:fill="E4E4E4"/>
          </w:tcPr>
          <w:p>
            <w:pPr>
              <w:pStyle w:val="TableParagraph"/>
              <w:spacing w:line="480" w:lineRule="auto" w:before="23"/>
              <w:ind w:left="677" w:right="667"/>
              <w:jc w:val="center"/>
              <w:rPr>
                <w:sz w:val="16"/>
              </w:rPr>
            </w:pPr>
            <w:r>
              <w:rPr>
                <w:sz w:val="16"/>
              </w:rPr>
              <w:t>Land area of organic soils in climate type c (ha)</w:t>
            </w:r>
          </w:p>
          <w:p>
            <w:pPr>
              <w:pStyle w:val="TableParagraph"/>
              <w:rPr>
                <w:sz w:val="18"/>
              </w:rPr>
            </w:pPr>
          </w:p>
          <w:p>
            <w:pPr>
              <w:pStyle w:val="TableParagraph"/>
              <w:spacing w:before="1"/>
              <w:rPr>
                <w:sz w:val="17"/>
              </w:rPr>
            </w:pPr>
          </w:p>
          <w:p>
            <w:pPr>
              <w:pStyle w:val="TableParagraph"/>
              <w:spacing w:line="170" w:lineRule="exact" w:before="1"/>
              <w:ind w:left="12"/>
              <w:jc w:val="center"/>
              <w:rPr>
                <w:sz w:val="16"/>
              </w:rPr>
            </w:pPr>
            <w:r>
              <w:rPr>
                <w:w w:val="100"/>
                <w:sz w:val="16"/>
              </w:rPr>
              <w:t>A</w:t>
            </w:r>
          </w:p>
        </w:tc>
        <w:tc>
          <w:tcPr>
            <w:tcW w:w="4164" w:type="dxa"/>
            <w:vMerge w:val="restart"/>
            <w:shd w:val="clear" w:color="auto" w:fill="E4E4E4"/>
          </w:tcPr>
          <w:p>
            <w:pPr>
              <w:pStyle w:val="TableParagraph"/>
              <w:spacing w:line="480" w:lineRule="auto" w:before="23"/>
              <w:ind w:left="870" w:right="859"/>
              <w:jc w:val="center"/>
              <w:rPr>
                <w:sz w:val="16"/>
              </w:rPr>
            </w:pPr>
            <w:r>
              <w:rPr>
                <w:sz w:val="16"/>
              </w:rPr>
              <w:t>Emission factor for climate type c (tonnes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spacing w:before="1"/>
              <w:rPr>
                <w:sz w:val="17"/>
              </w:rPr>
            </w:pPr>
          </w:p>
          <w:p>
            <w:pPr>
              <w:pStyle w:val="TableParagraph"/>
              <w:spacing w:line="170" w:lineRule="exact" w:before="1"/>
              <w:ind w:left="10"/>
              <w:jc w:val="center"/>
              <w:rPr>
                <w:sz w:val="16"/>
              </w:rPr>
            </w:pPr>
            <w:r>
              <w:rPr>
                <w:w w:val="100"/>
                <w:sz w:val="16"/>
              </w:rPr>
              <w:t>B</w:t>
            </w:r>
          </w:p>
        </w:tc>
        <w:tc>
          <w:tcPr>
            <w:tcW w:w="3619" w:type="dxa"/>
            <w:vMerge w:val="restart"/>
            <w:shd w:val="clear" w:color="auto" w:fill="E4E4E4"/>
          </w:tcPr>
          <w:p>
            <w:pPr>
              <w:pStyle w:val="TableParagraph"/>
              <w:spacing w:line="470" w:lineRule="auto" w:before="22"/>
              <w:ind w:left="274" w:right="260"/>
              <w:jc w:val="center"/>
              <w:rPr>
                <w:sz w:val="16"/>
              </w:rPr>
            </w:pPr>
            <w:r>
              <w:rPr>
                <w:position w:val="2"/>
                <w:sz w:val="16"/>
              </w:rPr>
              <w:t>CO</w:t>
            </w:r>
            <w:r>
              <w:rPr>
                <w:sz w:val="10"/>
              </w:rPr>
              <w:t>2 </w:t>
            </w:r>
            <w:r>
              <w:rPr>
                <w:position w:val="2"/>
                <w:sz w:val="16"/>
              </w:rPr>
              <w:t>emissions from cultivated organic soils </w:t>
            </w:r>
            <w:r>
              <w:rPr>
                <w:sz w:val="16"/>
              </w:rPr>
              <w:t>(tonnes C yr</w:t>
            </w:r>
            <w:r>
              <w:rPr>
                <w:sz w:val="16"/>
                <w:vertAlign w:val="superscript"/>
              </w:rPr>
              <w:t>-1</w:t>
            </w:r>
            <w:r>
              <w:rPr>
                <w:sz w:val="16"/>
                <w:vertAlign w:val="baseline"/>
              </w:rPr>
              <w:t>)</w:t>
            </w:r>
          </w:p>
          <w:p>
            <w:pPr>
              <w:pStyle w:val="TableParagraph"/>
              <w:spacing w:before="19"/>
              <w:ind w:left="269" w:right="261"/>
              <w:jc w:val="center"/>
              <w:rPr>
                <w:sz w:val="16"/>
              </w:rPr>
            </w:pPr>
            <w:r>
              <w:rPr>
                <w:sz w:val="16"/>
              </w:rPr>
              <w:t>C = A </w:t>
            </w:r>
            <w:r>
              <w:rPr>
                <w:rFonts w:ascii="Symbol" w:hAnsi="Symbol"/>
                <w:sz w:val="16"/>
              </w:rPr>
              <w:t>• </w:t>
            </w:r>
            <w:r>
              <w:rPr>
                <w:sz w:val="16"/>
              </w:rPr>
              <w:t>B</w:t>
            </w:r>
          </w:p>
          <w:p>
            <w:pPr>
              <w:pStyle w:val="TableParagraph"/>
              <w:spacing w:before="1"/>
              <w:rPr>
                <w:sz w:val="17"/>
              </w:rPr>
            </w:pPr>
          </w:p>
          <w:p>
            <w:pPr>
              <w:pStyle w:val="TableParagraph"/>
              <w:spacing w:line="170" w:lineRule="exact"/>
              <w:ind w:left="8"/>
              <w:jc w:val="center"/>
              <w:rPr>
                <w:sz w:val="16"/>
              </w:rPr>
            </w:pPr>
            <w:r>
              <w:rPr>
                <w:w w:val="100"/>
                <w:sz w:val="16"/>
              </w:rPr>
              <w:t>C</w:t>
            </w:r>
          </w:p>
        </w:tc>
      </w:tr>
      <w:tr>
        <w:trPr>
          <w:trHeight w:val="947"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4118" w:type="dxa"/>
            <w:vMerge/>
            <w:tcBorders>
              <w:top w:val="nil"/>
            </w:tcBorders>
            <w:shd w:val="clear" w:color="auto" w:fill="E4E4E4"/>
          </w:tcPr>
          <w:p>
            <w:pPr>
              <w:rPr>
                <w:sz w:val="2"/>
                <w:szCs w:val="2"/>
              </w:rPr>
            </w:pPr>
          </w:p>
        </w:tc>
        <w:tc>
          <w:tcPr>
            <w:tcW w:w="4164" w:type="dxa"/>
            <w:vMerge/>
            <w:tcBorders>
              <w:top w:val="nil"/>
            </w:tcBorders>
            <w:shd w:val="clear" w:color="auto" w:fill="E4E4E4"/>
          </w:tcPr>
          <w:p>
            <w:pPr>
              <w:rPr>
                <w:sz w:val="2"/>
                <w:szCs w:val="2"/>
              </w:rPr>
            </w:pPr>
          </w:p>
        </w:tc>
        <w:tc>
          <w:tcPr>
            <w:tcW w:w="3619"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4118" w:type="dxa"/>
          </w:tcPr>
          <w:p>
            <w:pPr>
              <w:pStyle w:val="TableParagraph"/>
              <w:spacing w:before="54"/>
              <w:ind w:left="12"/>
              <w:jc w:val="center"/>
              <w:rPr>
                <w:b/>
                <w:sz w:val="16"/>
              </w:rPr>
            </w:pPr>
            <w:r>
              <w:rPr>
                <w:b/>
                <w:w w:val="100"/>
                <w:sz w:val="16"/>
              </w:rPr>
              <w:t>A</w:t>
            </w:r>
          </w:p>
        </w:tc>
        <w:tc>
          <w:tcPr>
            <w:tcW w:w="4164" w:type="dxa"/>
          </w:tcPr>
          <w:p>
            <w:pPr>
              <w:pStyle w:val="TableParagraph"/>
              <w:spacing w:before="54"/>
              <w:ind w:left="122" w:right="114"/>
              <w:jc w:val="center"/>
              <w:rPr>
                <w:b/>
                <w:sz w:val="16"/>
              </w:rPr>
            </w:pPr>
            <w:r>
              <w:rPr>
                <w:b/>
                <w:sz w:val="16"/>
              </w:rPr>
              <w:t>EF</w:t>
            </w:r>
          </w:p>
        </w:tc>
        <w:tc>
          <w:tcPr>
            <w:tcW w:w="3619" w:type="dxa"/>
            <w:shd w:val="clear" w:color="auto" w:fill="D5D5D5"/>
          </w:tcPr>
          <w:p>
            <w:pPr>
              <w:pStyle w:val="TableParagraph"/>
              <w:spacing w:line="164" w:lineRule="exact" w:before="25"/>
              <w:ind w:left="274" w:right="613"/>
              <w:jc w:val="center"/>
              <w:rPr>
                <w:b/>
                <w:sz w:val="10"/>
              </w:rPr>
            </w:pPr>
            <w:r>
              <w:rPr>
                <w:b/>
                <w:position w:val="2"/>
                <w:sz w:val="16"/>
              </w:rPr>
              <w:t>∆C</w:t>
            </w:r>
            <w:r>
              <w:rPr>
                <w:b/>
                <w:sz w:val="10"/>
              </w:rPr>
              <w:t>CC</w:t>
            </w:r>
          </w:p>
          <w:p>
            <w:pPr>
              <w:pStyle w:val="TableParagraph"/>
              <w:spacing w:line="87" w:lineRule="exact"/>
              <w:ind w:left="630" w:right="261"/>
              <w:jc w:val="center"/>
              <w:rPr>
                <w:b/>
                <w:sz w:val="10"/>
              </w:rPr>
            </w:pPr>
            <w:r>
              <w:rPr>
                <w:b/>
                <w:sz w:val="10"/>
              </w:rPr>
              <w:t>Organic</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455"/>
        <w:gridCol w:w="3077"/>
        <w:gridCol w:w="3077"/>
        <w:gridCol w:w="3077"/>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13" w:type="dxa"/>
            <w:gridSpan w:val="5"/>
          </w:tcPr>
          <w:p>
            <w:pPr>
              <w:pStyle w:val="TableParagraph"/>
              <w:spacing w:before="26"/>
              <w:ind w:left="108"/>
              <w:rPr>
                <w:b/>
                <w:sz w:val="20"/>
              </w:rPr>
            </w:pPr>
            <w:r>
              <w:rPr>
                <w:b/>
                <w:sz w:val="20"/>
              </w:rPr>
              <w:t>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13" w:type="dxa"/>
            <w:gridSpan w:val="5"/>
          </w:tcPr>
          <w:p>
            <w:pPr>
              <w:pStyle w:val="TableParagraph"/>
              <w:spacing w:before="26"/>
              <w:ind w:left="108"/>
              <w:rPr>
                <w:b/>
                <w:sz w:val="20"/>
              </w:rPr>
            </w:pPr>
            <w:r>
              <w:rPr>
                <w:b/>
                <w:sz w:val="20"/>
              </w:rPr>
              <w:t>Cropland Remaining 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13" w:type="dxa"/>
            <w:gridSpan w:val="5"/>
          </w:tcPr>
          <w:p>
            <w:pPr>
              <w:pStyle w:val="TableParagraph"/>
              <w:spacing w:before="26"/>
              <w:ind w:left="108"/>
              <w:rPr>
                <w:b/>
                <w:sz w:val="20"/>
              </w:rPr>
            </w:pPr>
            <w:r>
              <w:rPr>
                <w:b/>
                <w:sz w:val="20"/>
              </w:rPr>
              <w:t>CL-1c3: Carbon emissions from agricultural lime application</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13" w:type="dxa"/>
            <w:gridSpan w:val="5"/>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455" w:type="dxa"/>
            <w:vMerge w:val="restart"/>
            <w:shd w:val="clear" w:color="auto" w:fill="E4E4E4"/>
          </w:tcPr>
          <w:p>
            <w:pPr>
              <w:pStyle w:val="TableParagraph"/>
              <w:spacing w:before="23"/>
              <w:ind w:left="795" w:right="782"/>
              <w:jc w:val="center"/>
              <w:rPr>
                <w:sz w:val="16"/>
              </w:rPr>
            </w:pPr>
            <w:r>
              <w:rPr>
                <w:sz w:val="16"/>
              </w:rPr>
              <w:t>Type of lime</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line="170" w:lineRule="exact" w:before="128"/>
              <w:ind w:left="14"/>
              <w:jc w:val="center"/>
              <w:rPr>
                <w:sz w:val="16"/>
              </w:rPr>
            </w:pPr>
            <w:r>
              <w:rPr>
                <w:w w:val="100"/>
                <w:sz w:val="16"/>
              </w:rPr>
              <w:t>A</w:t>
            </w:r>
          </w:p>
        </w:tc>
        <w:tc>
          <w:tcPr>
            <w:tcW w:w="3077" w:type="dxa"/>
            <w:vMerge w:val="restart"/>
            <w:shd w:val="clear" w:color="auto" w:fill="E4E4E4"/>
          </w:tcPr>
          <w:p>
            <w:pPr>
              <w:pStyle w:val="TableParagraph"/>
              <w:spacing w:line="480" w:lineRule="auto" w:before="23"/>
              <w:ind w:left="163" w:right="151"/>
              <w:jc w:val="center"/>
              <w:rPr>
                <w:sz w:val="16"/>
              </w:rPr>
            </w:pPr>
            <w:r>
              <w:rPr>
                <w:sz w:val="16"/>
              </w:rPr>
              <w:t>Total Annual amount of lime applied (tonnes lime yr</w:t>
            </w:r>
            <w:r>
              <w:rPr>
                <w:sz w:val="16"/>
                <w:vertAlign w:val="superscript"/>
              </w:rPr>
              <w:t>-1</w:t>
            </w:r>
            <w:r>
              <w:rPr>
                <w:sz w:val="16"/>
                <w:vertAlign w:val="baseline"/>
              </w:rPr>
              <w:t>)</w:t>
            </w:r>
          </w:p>
          <w:p>
            <w:pPr>
              <w:pStyle w:val="TableParagraph"/>
              <w:rPr>
                <w:sz w:val="18"/>
              </w:rPr>
            </w:pPr>
          </w:p>
          <w:p>
            <w:pPr>
              <w:pStyle w:val="TableParagraph"/>
              <w:spacing w:before="1"/>
              <w:rPr>
                <w:sz w:val="17"/>
              </w:rPr>
            </w:pPr>
          </w:p>
          <w:p>
            <w:pPr>
              <w:pStyle w:val="TableParagraph"/>
              <w:spacing w:line="170" w:lineRule="exact" w:before="1"/>
              <w:ind w:left="7"/>
              <w:jc w:val="center"/>
              <w:rPr>
                <w:sz w:val="16"/>
              </w:rPr>
            </w:pPr>
            <w:r>
              <w:rPr>
                <w:w w:val="100"/>
                <w:sz w:val="16"/>
              </w:rPr>
              <w:t>B</w:t>
            </w:r>
          </w:p>
        </w:tc>
        <w:tc>
          <w:tcPr>
            <w:tcW w:w="3077" w:type="dxa"/>
            <w:vMerge w:val="restart"/>
            <w:shd w:val="clear" w:color="auto" w:fill="E4E4E4"/>
          </w:tcPr>
          <w:p>
            <w:pPr>
              <w:pStyle w:val="TableParagraph"/>
              <w:spacing w:before="23"/>
              <w:ind w:left="120" w:right="109"/>
              <w:jc w:val="center"/>
              <w:rPr>
                <w:sz w:val="16"/>
              </w:rPr>
            </w:pPr>
            <w:r>
              <w:rPr>
                <w:sz w:val="16"/>
              </w:rPr>
              <w:t>Emission Factor (carbonate carbon contents of the materials)</w:t>
            </w:r>
          </w:p>
          <w:p>
            <w:pPr>
              <w:pStyle w:val="TableParagraph"/>
              <w:rPr>
                <w:sz w:val="16"/>
              </w:rPr>
            </w:pPr>
          </w:p>
          <w:p>
            <w:pPr>
              <w:pStyle w:val="TableParagraph"/>
              <w:ind w:left="160" w:right="151"/>
              <w:jc w:val="center"/>
              <w:rPr>
                <w:sz w:val="16"/>
              </w:rPr>
            </w:pPr>
            <w:r>
              <w:rPr>
                <w:sz w:val="16"/>
              </w:rPr>
              <w:t>(tonnes C/tonne lime)</w:t>
            </w:r>
          </w:p>
          <w:p>
            <w:pPr>
              <w:pStyle w:val="TableParagraph"/>
              <w:rPr>
                <w:sz w:val="18"/>
              </w:rPr>
            </w:pPr>
          </w:p>
          <w:p>
            <w:pPr>
              <w:pStyle w:val="TableParagraph"/>
              <w:spacing w:before="1"/>
              <w:rPr>
                <w:sz w:val="17"/>
              </w:rPr>
            </w:pPr>
          </w:p>
          <w:p>
            <w:pPr>
              <w:pStyle w:val="TableParagraph"/>
              <w:spacing w:line="170" w:lineRule="exact" w:before="1"/>
              <w:ind w:left="7"/>
              <w:jc w:val="center"/>
              <w:rPr>
                <w:sz w:val="16"/>
              </w:rPr>
            </w:pPr>
            <w:r>
              <w:rPr>
                <w:w w:val="100"/>
                <w:sz w:val="16"/>
              </w:rPr>
              <w:t>C</w:t>
            </w:r>
          </w:p>
        </w:tc>
        <w:tc>
          <w:tcPr>
            <w:tcW w:w="3077" w:type="dxa"/>
            <w:vMerge w:val="restart"/>
            <w:shd w:val="clear" w:color="auto" w:fill="E4E4E4"/>
          </w:tcPr>
          <w:p>
            <w:pPr>
              <w:pStyle w:val="TableParagraph"/>
              <w:spacing w:line="232" w:lineRule="auto" w:before="27"/>
              <w:ind w:left="163" w:right="149"/>
              <w:jc w:val="center"/>
              <w:rPr>
                <w:sz w:val="16"/>
              </w:rPr>
            </w:pPr>
            <w:r>
              <w:rPr>
                <w:position w:val="2"/>
                <w:sz w:val="16"/>
              </w:rPr>
              <w:t>Annual CO</w:t>
            </w:r>
            <w:r>
              <w:rPr>
                <w:sz w:val="10"/>
              </w:rPr>
              <w:t>2 </w:t>
            </w:r>
            <w:r>
              <w:rPr>
                <w:position w:val="2"/>
                <w:sz w:val="16"/>
              </w:rPr>
              <w:t>emissions from agricultural </w:t>
            </w:r>
            <w:r>
              <w:rPr>
                <w:sz w:val="16"/>
              </w:rPr>
              <w:t>lime application</w:t>
            </w:r>
          </w:p>
          <w:p>
            <w:pPr>
              <w:pStyle w:val="TableParagraph"/>
              <w:spacing w:line="494" w:lineRule="auto"/>
              <w:ind w:left="1054" w:right="1041"/>
              <w:jc w:val="center"/>
              <w:rPr>
                <w:sz w:val="16"/>
              </w:rPr>
            </w:pPr>
            <w:r>
              <w:rPr>
                <w:sz w:val="16"/>
              </w:rPr>
              <w:t>(tonnes C yr</w:t>
            </w:r>
            <w:r>
              <w:rPr>
                <w:sz w:val="16"/>
                <w:vertAlign w:val="superscript"/>
              </w:rPr>
              <w:t>-1</w:t>
            </w:r>
            <w:r>
              <w:rPr>
                <w:sz w:val="16"/>
                <w:vertAlign w:val="baseline"/>
              </w:rPr>
              <w:t>) D = B </w:t>
            </w:r>
            <w:r>
              <w:rPr>
                <w:rFonts w:ascii="Symbol" w:hAnsi="Symbol"/>
                <w:sz w:val="16"/>
                <w:vertAlign w:val="baseline"/>
              </w:rPr>
              <w:t>• </w:t>
            </w:r>
            <w:r>
              <w:rPr>
                <w:sz w:val="16"/>
                <w:vertAlign w:val="baseline"/>
              </w:rPr>
              <w:t>C</w:t>
            </w:r>
          </w:p>
          <w:p>
            <w:pPr>
              <w:pStyle w:val="TableParagraph"/>
              <w:spacing w:line="170" w:lineRule="exact" w:before="1"/>
              <w:ind w:left="11"/>
              <w:jc w:val="center"/>
              <w:rPr>
                <w:sz w:val="16"/>
              </w:rPr>
            </w:pPr>
            <w:r>
              <w:rPr>
                <w:w w:val="100"/>
                <w:sz w:val="16"/>
              </w:rPr>
              <w:t>D</w:t>
            </w:r>
          </w:p>
        </w:tc>
      </w:tr>
      <w:tr>
        <w:trPr>
          <w:trHeight w:val="947"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455"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455" w:type="dxa"/>
          </w:tcPr>
          <w:p>
            <w:pPr>
              <w:pStyle w:val="TableParagraph"/>
              <w:spacing w:before="54"/>
              <w:ind w:left="791" w:right="782"/>
              <w:jc w:val="center"/>
              <w:rPr>
                <w:b/>
                <w:sz w:val="16"/>
              </w:rPr>
            </w:pPr>
            <w:r>
              <w:rPr>
                <w:b/>
                <w:sz w:val="16"/>
              </w:rPr>
              <w:t>type</w:t>
            </w:r>
          </w:p>
        </w:tc>
        <w:tc>
          <w:tcPr>
            <w:tcW w:w="3077" w:type="dxa"/>
          </w:tcPr>
          <w:p>
            <w:pPr>
              <w:pStyle w:val="TableParagraph"/>
              <w:spacing w:before="54"/>
              <w:ind w:left="159" w:right="151"/>
              <w:jc w:val="center"/>
              <w:rPr>
                <w:b/>
                <w:sz w:val="16"/>
              </w:rPr>
            </w:pPr>
            <w:r>
              <w:rPr>
                <w:b/>
                <w:sz w:val="16"/>
              </w:rPr>
              <w:t>Amount</w:t>
            </w:r>
          </w:p>
        </w:tc>
        <w:tc>
          <w:tcPr>
            <w:tcW w:w="3077" w:type="dxa"/>
          </w:tcPr>
          <w:p>
            <w:pPr>
              <w:pStyle w:val="TableParagraph"/>
              <w:spacing w:before="54"/>
              <w:ind w:left="161" w:right="151"/>
              <w:jc w:val="center"/>
              <w:rPr>
                <w:b/>
                <w:sz w:val="16"/>
              </w:rPr>
            </w:pPr>
            <w:r>
              <w:rPr>
                <w:b/>
                <w:sz w:val="16"/>
              </w:rPr>
              <w:t>EF</w:t>
            </w:r>
          </w:p>
        </w:tc>
        <w:tc>
          <w:tcPr>
            <w:tcW w:w="3077" w:type="dxa"/>
            <w:shd w:val="clear" w:color="auto" w:fill="D5D5D5"/>
          </w:tcPr>
          <w:p>
            <w:pPr>
              <w:pStyle w:val="TableParagraph"/>
              <w:spacing w:line="164" w:lineRule="exact" w:before="25"/>
              <w:ind w:left="163" w:right="503"/>
              <w:jc w:val="center"/>
              <w:rPr>
                <w:b/>
                <w:sz w:val="10"/>
              </w:rPr>
            </w:pPr>
            <w:r>
              <w:rPr>
                <w:b/>
                <w:position w:val="2"/>
                <w:sz w:val="16"/>
              </w:rPr>
              <w:t>∆C</w:t>
            </w:r>
            <w:r>
              <w:rPr>
                <w:b/>
                <w:sz w:val="10"/>
              </w:rPr>
              <w:t>CC</w:t>
            </w:r>
          </w:p>
          <w:p>
            <w:pPr>
              <w:pStyle w:val="TableParagraph"/>
              <w:spacing w:line="87" w:lineRule="exact"/>
              <w:ind w:left="559" w:right="151"/>
              <w:jc w:val="center"/>
              <w:rPr>
                <w:b/>
                <w:sz w:val="10"/>
              </w:rPr>
            </w:pPr>
            <w:r>
              <w:rPr>
                <w:b/>
                <w:sz w:val="10"/>
              </w:rPr>
              <w:t>Liming</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4"/>
        <w:gridCol w:w="801"/>
        <w:gridCol w:w="2896"/>
        <w:gridCol w:w="2896"/>
        <w:gridCol w:w="3618"/>
      </w:tblGrid>
      <w:tr>
        <w:trPr>
          <w:trHeight w:val="285" w:hRule="atLeast"/>
        </w:trPr>
        <w:tc>
          <w:tcPr>
            <w:tcW w:w="1874" w:type="dxa"/>
            <w:shd w:val="clear" w:color="auto" w:fill="BFBFBF"/>
          </w:tcPr>
          <w:p>
            <w:pPr>
              <w:pStyle w:val="TableParagraph"/>
              <w:spacing w:before="26"/>
              <w:ind w:left="107"/>
              <w:rPr>
                <w:b/>
                <w:sz w:val="20"/>
              </w:rPr>
            </w:pPr>
            <w:r>
              <w:rPr>
                <w:b/>
                <w:sz w:val="20"/>
              </w:rPr>
              <w:t>Module</w:t>
            </w:r>
          </w:p>
        </w:tc>
        <w:tc>
          <w:tcPr>
            <w:tcW w:w="10211" w:type="dxa"/>
            <w:gridSpan w:val="4"/>
          </w:tcPr>
          <w:p>
            <w:pPr>
              <w:pStyle w:val="TableParagraph"/>
              <w:spacing w:before="26"/>
              <w:ind w:left="108"/>
              <w:rPr>
                <w:b/>
                <w:sz w:val="20"/>
              </w:rPr>
            </w:pPr>
            <w:r>
              <w:rPr>
                <w:b/>
                <w:sz w:val="20"/>
              </w:rPr>
              <w:t>Cropland</w:t>
            </w:r>
          </w:p>
        </w:tc>
      </w:tr>
      <w:tr>
        <w:trPr>
          <w:trHeight w:val="285" w:hRule="atLeast"/>
        </w:trPr>
        <w:tc>
          <w:tcPr>
            <w:tcW w:w="1874" w:type="dxa"/>
            <w:shd w:val="clear" w:color="auto" w:fill="BFBFBF"/>
          </w:tcPr>
          <w:p>
            <w:pPr>
              <w:pStyle w:val="TableParagraph"/>
              <w:spacing w:before="26"/>
              <w:ind w:left="107"/>
              <w:rPr>
                <w:b/>
                <w:sz w:val="20"/>
              </w:rPr>
            </w:pPr>
            <w:r>
              <w:rPr>
                <w:b/>
                <w:sz w:val="20"/>
              </w:rPr>
              <w:t>Sub-module</w:t>
            </w:r>
          </w:p>
        </w:tc>
        <w:tc>
          <w:tcPr>
            <w:tcW w:w="10211" w:type="dxa"/>
            <w:gridSpan w:val="4"/>
          </w:tcPr>
          <w:p>
            <w:pPr>
              <w:pStyle w:val="TableParagraph"/>
              <w:spacing w:before="26"/>
              <w:ind w:left="108"/>
              <w:rPr>
                <w:b/>
                <w:sz w:val="20"/>
              </w:rPr>
            </w:pPr>
            <w:r>
              <w:rPr>
                <w:b/>
                <w:sz w:val="20"/>
              </w:rPr>
              <w:t>Cropland Remaining Cropland</w:t>
            </w:r>
          </w:p>
        </w:tc>
      </w:tr>
      <w:tr>
        <w:trPr>
          <w:trHeight w:val="287" w:hRule="atLeast"/>
        </w:trPr>
        <w:tc>
          <w:tcPr>
            <w:tcW w:w="1874" w:type="dxa"/>
            <w:shd w:val="clear" w:color="auto" w:fill="BFBFBF"/>
          </w:tcPr>
          <w:p>
            <w:pPr>
              <w:pStyle w:val="TableParagraph"/>
              <w:spacing w:before="26"/>
              <w:ind w:left="107"/>
              <w:rPr>
                <w:b/>
                <w:sz w:val="20"/>
              </w:rPr>
            </w:pPr>
            <w:r>
              <w:rPr>
                <w:b/>
                <w:sz w:val="20"/>
              </w:rPr>
              <w:t>Worksheet</w:t>
            </w:r>
          </w:p>
        </w:tc>
        <w:tc>
          <w:tcPr>
            <w:tcW w:w="10211" w:type="dxa"/>
            <w:gridSpan w:val="4"/>
          </w:tcPr>
          <w:p>
            <w:pPr>
              <w:pStyle w:val="TableParagraph"/>
              <w:spacing w:before="26"/>
              <w:ind w:left="108"/>
              <w:rPr>
                <w:b/>
                <w:sz w:val="20"/>
              </w:rPr>
            </w:pPr>
            <w:r>
              <w:rPr>
                <w:b/>
                <w:sz w:val="20"/>
              </w:rPr>
              <w:t>CL-1c4: Annual soil carbon stock change in croplands</w:t>
            </w:r>
          </w:p>
        </w:tc>
      </w:tr>
      <w:tr>
        <w:trPr>
          <w:trHeight w:val="285" w:hRule="atLeast"/>
        </w:trPr>
        <w:tc>
          <w:tcPr>
            <w:tcW w:w="1874" w:type="dxa"/>
            <w:shd w:val="clear" w:color="auto" w:fill="BFBFBF"/>
          </w:tcPr>
          <w:p>
            <w:pPr>
              <w:pStyle w:val="TableParagraph"/>
              <w:spacing w:before="26"/>
              <w:ind w:left="107"/>
              <w:rPr>
                <w:b/>
                <w:sz w:val="20"/>
              </w:rPr>
            </w:pPr>
            <w:r>
              <w:rPr>
                <w:b/>
                <w:sz w:val="20"/>
              </w:rPr>
              <w:t>Sheet</w:t>
            </w:r>
          </w:p>
        </w:tc>
        <w:tc>
          <w:tcPr>
            <w:tcW w:w="10211" w:type="dxa"/>
            <w:gridSpan w:val="4"/>
          </w:tcPr>
          <w:p>
            <w:pPr>
              <w:pStyle w:val="TableParagraph"/>
              <w:spacing w:before="26"/>
              <w:ind w:left="108"/>
              <w:rPr>
                <w:b/>
                <w:sz w:val="20"/>
              </w:rPr>
            </w:pPr>
            <w:r>
              <w:rPr>
                <w:b/>
                <w:sz w:val="20"/>
              </w:rPr>
              <w:t>1 of 1</w:t>
            </w:r>
          </w:p>
        </w:tc>
      </w:tr>
      <w:tr>
        <w:trPr>
          <w:trHeight w:val="213" w:hRule="atLeast"/>
        </w:trPr>
        <w:tc>
          <w:tcPr>
            <w:tcW w:w="2675" w:type="dxa"/>
            <w:gridSpan w:val="2"/>
            <w:tcBorders>
              <w:bottom w:val="nil"/>
            </w:tcBorders>
            <w:shd w:val="clear" w:color="auto" w:fill="E4E4E4"/>
          </w:tcPr>
          <w:p>
            <w:pPr>
              <w:pStyle w:val="TableParagraph"/>
              <w:spacing w:line="171" w:lineRule="exact" w:before="23"/>
              <w:ind w:left="210"/>
              <w:rPr>
                <w:sz w:val="16"/>
              </w:rPr>
            </w:pPr>
            <w:r>
              <w:rPr>
                <w:sz w:val="16"/>
              </w:rPr>
              <w:t>Annual soil carbon stock change in</w:t>
            </w:r>
          </w:p>
        </w:tc>
        <w:tc>
          <w:tcPr>
            <w:tcW w:w="2896" w:type="dxa"/>
            <w:tcBorders>
              <w:bottom w:val="nil"/>
            </w:tcBorders>
            <w:shd w:val="clear" w:color="auto" w:fill="E4E4E4"/>
          </w:tcPr>
          <w:p>
            <w:pPr>
              <w:pStyle w:val="TableParagraph"/>
              <w:spacing w:line="171" w:lineRule="exact" w:before="22"/>
              <w:ind w:left="190" w:right="181"/>
              <w:jc w:val="center"/>
              <w:rPr>
                <w:sz w:val="16"/>
              </w:rPr>
            </w:pPr>
            <w:r>
              <w:rPr>
                <w:position w:val="2"/>
                <w:sz w:val="16"/>
              </w:rPr>
              <w:t>CO</w:t>
            </w:r>
            <w:r>
              <w:rPr>
                <w:sz w:val="10"/>
              </w:rPr>
              <w:t>2 </w:t>
            </w:r>
            <w:r>
              <w:rPr>
                <w:position w:val="2"/>
                <w:sz w:val="16"/>
              </w:rPr>
              <w:t>emissions from cultivated organic</w:t>
            </w:r>
          </w:p>
        </w:tc>
        <w:tc>
          <w:tcPr>
            <w:tcW w:w="2896" w:type="dxa"/>
            <w:tcBorders>
              <w:bottom w:val="nil"/>
            </w:tcBorders>
            <w:shd w:val="clear" w:color="auto" w:fill="E4E4E4"/>
          </w:tcPr>
          <w:p>
            <w:pPr>
              <w:pStyle w:val="TableParagraph"/>
              <w:spacing w:line="171" w:lineRule="exact" w:before="22"/>
              <w:ind w:left="192" w:right="180"/>
              <w:jc w:val="center"/>
              <w:rPr>
                <w:sz w:val="16"/>
              </w:rPr>
            </w:pPr>
            <w:r>
              <w:rPr>
                <w:position w:val="2"/>
                <w:sz w:val="16"/>
              </w:rPr>
              <w:t>CO</w:t>
            </w:r>
            <w:r>
              <w:rPr>
                <w:sz w:val="10"/>
              </w:rPr>
              <w:t>2 </w:t>
            </w:r>
            <w:r>
              <w:rPr>
                <w:position w:val="2"/>
                <w:sz w:val="16"/>
              </w:rPr>
              <w:t>Emissions from liming</w:t>
            </w:r>
          </w:p>
        </w:tc>
        <w:tc>
          <w:tcPr>
            <w:tcW w:w="3618" w:type="dxa"/>
            <w:tcBorders>
              <w:bottom w:val="nil"/>
            </w:tcBorders>
            <w:shd w:val="clear" w:color="auto" w:fill="E4E4E4"/>
          </w:tcPr>
          <w:p>
            <w:pPr>
              <w:pStyle w:val="TableParagraph"/>
              <w:spacing w:line="171" w:lineRule="exact" w:before="23"/>
              <w:ind w:left="519" w:right="507"/>
              <w:jc w:val="center"/>
              <w:rPr>
                <w:sz w:val="16"/>
              </w:rPr>
            </w:pPr>
            <w:r>
              <w:rPr>
                <w:sz w:val="16"/>
              </w:rPr>
              <w:t>Annual change in carbon stocks in soils</w:t>
            </w:r>
          </w:p>
        </w:tc>
      </w:tr>
      <w:tr>
        <w:trPr>
          <w:trHeight w:val="547" w:hRule="atLeast"/>
        </w:trPr>
        <w:tc>
          <w:tcPr>
            <w:tcW w:w="2675" w:type="dxa"/>
            <w:gridSpan w:val="2"/>
            <w:tcBorders>
              <w:top w:val="nil"/>
              <w:bottom w:val="nil"/>
            </w:tcBorders>
            <w:shd w:val="clear" w:color="auto" w:fill="E4E4E4"/>
          </w:tcPr>
          <w:p>
            <w:pPr>
              <w:pStyle w:val="TableParagraph"/>
              <w:spacing w:line="178" w:lineRule="exact"/>
              <w:ind w:left="851" w:right="841"/>
              <w:jc w:val="center"/>
              <w:rPr>
                <w:sz w:val="16"/>
              </w:rPr>
            </w:pPr>
            <w:r>
              <w:rPr>
                <w:sz w:val="16"/>
              </w:rPr>
              <w:t>mineral soils</w:t>
            </w:r>
          </w:p>
          <w:p>
            <w:pPr>
              <w:pStyle w:val="TableParagraph"/>
              <w:spacing w:before="10"/>
              <w:rPr>
                <w:sz w:val="15"/>
              </w:rPr>
            </w:pPr>
          </w:p>
          <w:p>
            <w:pPr>
              <w:pStyle w:val="TableParagraph"/>
              <w:spacing w:line="166" w:lineRule="exact"/>
              <w:ind w:left="851" w:right="843"/>
              <w:jc w:val="center"/>
              <w:rPr>
                <w:sz w:val="16"/>
              </w:rPr>
            </w:pPr>
            <w:r>
              <w:rPr>
                <w:sz w:val="16"/>
              </w:rPr>
              <w:t>(tonnes C yr</w:t>
            </w:r>
            <w:r>
              <w:rPr>
                <w:sz w:val="16"/>
                <w:vertAlign w:val="superscript"/>
              </w:rPr>
              <w:t>-1</w:t>
            </w:r>
            <w:r>
              <w:rPr>
                <w:sz w:val="16"/>
                <w:vertAlign w:val="baseline"/>
              </w:rPr>
              <w:t>)</w:t>
            </w:r>
          </w:p>
        </w:tc>
        <w:tc>
          <w:tcPr>
            <w:tcW w:w="2896" w:type="dxa"/>
            <w:tcBorders>
              <w:top w:val="nil"/>
              <w:bottom w:val="nil"/>
            </w:tcBorders>
            <w:shd w:val="clear" w:color="auto" w:fill="E4E4E4"/>
          </w:tcPr>
          <w:p>
            <w:pPr>
              <w:pStyle w:val="TableParagraph"/>
              <w:spacing w:line="178" w:lineRule="exact"/>
              <w:ind w:left="191" w:right="181"/>
              <w:jc w:val="center"/>
              <w:rPr>
                <w:sz w:val="16"/>
              </w:rPr>
            </w:pPr>
            <w:r>
              <w:rPr>
                <w:sz w:val="16"/>
              </w:rPr>
              <w:t>soils</w:t>
            </w:r>
          </w:p>
          <w:p>
            <w:pPr>
              <w:pStyle w:val="TableParagraph"/>
              <w:spacing w:before="10"/>
              <w:rPr>
                <w:sz w:val="15"/>
              </w:rPr>
            </w:pPr>
          </w:p>
          <w:p>
            <w:pPr>
              <w:pStyle w:val="TableParagraph"/>
              <w:spacing w:line="166" w:lineRule="exact"/>
              <w:ind w:left="191" w:right="181"/>
              <w:jc w:val="center"/>
              <w:rPr>
                <w:sz w:val="16"/>
              </w:rPr>
            </w:pPr>
            <w:r>
              <w:rPr>
                <w:sz w:val="16"/>
              </w:rPr>
              <w:t>(tonnes C yr</w:t>
            </w:r>
            <w:r>
              <w:rPr>
                <w:sz w:val="16"/>
                <w:vertAlign w:val="superscript"/>
              </w:rPr>
              <w:t>-1</w:t>
            </w:r>
            <w:r>
              <w:rPr>
                <w:sz w:val="16"/>
                <w:vertAlign w:val="baseline"/>
              </w:rPr>
              <w:t>)</w:t>
            </w:r>
          </w:p>
        </w:tc>
        <w:tc>
          <w:tcPr>
            <w:tcW w:w="2896" w:type="dxa"/>
            <w:tcBorders>
              <w:top w:val="nil"/>
              <w:bottom w:val="nil"/>
            </w:tcBorders>
            <w:shd w:val="clear" w:color="auto" w:fill="E4E4E4"/>
          </w:tcPr>
          <w:p>
            <w:pPr>
              <w:pStyle w:val="TableParagraph"/>
              <w:rPr>
                <w:sz w:val="18"/>
              </w:rPr>
            </w:pPr>
          </w:p>
          <w:p>
            <w:pPr>
              <w:pStyle w:val="TableParagraph"/>
              <w:spacing w:line="166" w:lineRule="exact" w:before="154"/>
              <w:ind w:left="192" w:right="180"/>
              <w:jc w:val="center"/>
              <w:rPr>
                <w:sz w:val="16"/>
              </w:rPr>
            </w:pPr>
            <w:r>
              <w:rPr>
                <w:sz w:val="16"/>
              </w:rPr>
              <w:t>(tonnes C yr</w:t>
            </w:r>
            <w:r>
              <w:rPr>
                <w:sz w:val="16"/>
                <w:vertAlign w:val="superscript"/>
              </w:rPr>
              <w:t>-1</w:t>
            </w:r>
            <w:r>
              <w:rPr>
                <w:sz w:val="16"/>
                <w:vertAlign w:val="baseline"/>
              </w:rPr>
              <w:t>)</w:t>
            </w:r>
          </w:p>
        </w:tc>
        <w:tc>
          <w:tcPr>
            <w:tcW w:w="3618" w:type="dxa"/>
            <w:tcBorders>
              <w:top w:val="nil"/>
              <w:bottom w:val="nil"/>
            </w:tcBorders>
            <w:shd w:val="clear" w:color="auto" w:fill="E4E4E4"/>
          </w:tcPr>
          <w:p>
            <w:pPr>
              <w:pStyle w:val="TableParagraph"/>
              <w:spacing w:before="4"/>
              <w:rPr>
                <w:sz w:val="15"/>
              </w:rPr>
            </w:pPr>
          </w:p>
          <w:p>
            <w:pPr>
              <w:pStyle w:val="TableParagraph"/>
              <w:ind w:left="519" w:right="503"/>
              <w:jc w:val="center"/>
              <w:rPr>
                <w:sz w:val="16"/>
              </w:rPr>
            </w:pPr>
            <w:r>
              <w:rPr>
                <w:sz w:val="16"/>
              </w:rPr>
              <w:t>(tonnes C yr</w:t>
            </w:r>
            <w:r>
              <w:rPr>
                <w:sz w:val="16"/>
                <w:vertAlign w:val="superscript"/>
              </w:rPr>
              <w:t>-1</w:t>
            </w:r>
            <w:r>
              <w:rPr>
                <w:sz w:val="16"/>
                <w:vertAlign w:val="baseline"/>
              </w:rPr>
              <w:t>)</w:t>
            </w:r>
          </w:p>
        </w:tc>
      </w:tr>
      <w:tr>
        <w:trPr>
          <w:trHeight w:val="290" w:hRule="atLeast"/>
        </w:trPr>
        <w:tc>
          <w:tcPr>
            <w:tcW w:w="2675" w:type="dxa"/>
            <w:gridSpan w:val="2"/>
            <w:tcBorders>
              <w:top w:val="nil"/>
              <w:bottom w:val="nil"/>
            </w:tcBorders>
            <w:shd w:val="clear" w:color="auto" w:fill="E4E4E4"/>
          </w:tcPr>
          <w:p>
            <w:pPr>
              <w:pStyle w:val="TableParagraph"/>
              <w:rPr>
                <w:sz w:val="16"/>
              </w:rPr>
            </w:pPr>
          </w:p>
        </w:tc>
        <w:tc>
          <w:tcPr>
            <w:tcW w:w="2896" w:type="dxa"/>
            <w:tcBorders>
              <w:top w:val="nil"/>
              <w:bottom w:val="nil"/>
            </w:tcBorders>
            <w:shd w:val="clear" w:color="auto" w:fill="E4E4E4"/>
          </w:tcPr>
          <w:p>
            <w:pPr>
              <w:pStyle w:val="TableParagraph"/>
              <w:rPr>
                <w:sz w:val="16"/>
              </w:rPr>
            </w:pPr>
          </w:p>
        </w:tc>
        <w:tc>
          <w:tcPr>
            <w:tcW w:w="2896" w:type="dxa"/>
            <w:tcBorders>
              <w:top w:val="nil"/>
              <w:bottom w:val="nil"/>
            </w:tcBorders>
            <w:shd w:val="clear" w:color="auto" w:fill="E4E4E4"/>
          </w:tcPr>
          <w:p>
            <w:pPr>
              <w:pStyle w:val="TableParagraph"/>
              <w:rPr>
                <w:sz w:val="16"/>
              </w:rPr>
            </w:pPr>
          </w:p>
        </w:tc>
        <w:tc>
          <w:tcPr>
            <w:tcW w:w="3618" w:type="dxa"/>
            <w:tcBorders>
              <w:top w:val="nil"/>
              <w:bottom w:val="nil"/>
            </w:tcBorders>
            <w:shd w:val="clear" w:color="auto" w:fill="E4E4E4"/>
          </w:tcPr>
          <w:p>
            <w:pPr>
              <w:pStyle w:val="TableParagraph"/>
              <w:spacing w:line="180" w:lineRule="exact"/>
              <w:ind w:left="519" w:right="507"/>
              <w:jc w:val="center"/>
              <w:rPr>
                <w:sz w:val="16"/>
              </w:rPr>
            </w:pPr>
            <w:r>
              <w:rPr>
                <w:sz w:val="16"/>
              </w:rPr>
              <w:t>C = A-B-C</w:t>
            </w:r>
          </w:p>
        </w:tc>
      </w:tr>
      <w:tr>
        <w:trPr>
          <w:trHeight w:val="294" w:hRule="atLeast"/>
        </w:trPr>
        <w:tc>
          <w:tcPr>
            <w:tcW w:w="2675" w:type="dxa"/>
            <w:gridSpan w:val="2"/>
            <w:tcBorders>
              <w:top w:val="nil"/>
            </w:tcBorders>
            <w:shd w:val="clear" w:color="auto" w:fill="E4E4E4"/>
          </w:tcPr>
          <w:p>
            <w:pPr>
              <w:pStyle w:val="TableParagraph"/>
              <w:spacing w:line="170" w:lineRule="exact" w:before="104"/>
              <w:ind w:left="13"/>
              <w:jc w:val="center"/>
              <w:rPr>
                <w:sz w:val="16"/>
              </w:rPr>
            </w:pPr>
            <w:r>
              <w:rPr>
                <w:w w:val="100"/>
                <w:sz w:val="16"/>
              </w:rPr>
              <w:t>A</w:t>
            </w:r>
          </w:p>
        </w:tc>
        <w:tc>
          <w:tcPr>
            <w:tcW w:w="2896" w:type="dxa"/>
            <w:tcBorders>
              <w:top w:val="nil"/>
            </w:tcBorders>
            <w:shd w:val="clear" w:color="auto" w:fill="E4E4E4"/>
          </w:tcPr>
          <w:p>
            <w:pPr>
              <w:pStyle w:val="TableParagraph"/>
              <w:spacing w:line="170" w:lineRule="exact" w:before="104"/>
              <w:ind w:left="11"/>
              <w:jc w:val="center"/>
              <w:rPr>
                <w:sz w:val="16"/>
              </w:rPr>
            </w:pPr>
            <w:r>
              <w:rPr>
                <w:w w:val="100"/>
                <w:sz w:val="16"/>
              </w:rPr>
              <w:t>B</w:t>
            </w:r>
          </w:p>
        </w:tc>
        <w:tc>
          <w:tcPr>
            <w:tcW w:w="2896" w:type="dxa"/>
            <w:tcBorders>
              <w:top w:val="nil"/>
            </w:tcBorders>
            <w:shd w:val="clear" w:color="auto" w:fill="E4E4E4"/>
          </w:tcPr>
          <w:p>
            <w:pPr>
              <w:pStyle w:val="TableParagraph"/>
              <w:spacing w:line="170" w:lineRule="exact" w:before="104"/>
              <w:ind w:left="13"/>
              <w:jc w:val="center"/>
              <w:rPr>
                <w:sz w:val="16"/>
              </w:rPr>
            </w:pPr>
            <w:r>
              <w:rPr>
                <w:w w:val="100"/>
                <w:sz w:val="16"/>
              </w:rPr>
              <w:t>C</w:t>
            </w:r>
          </w:p>
        </w:tc>
        <w:tc>
          <w:tcPr>
            <w:tcW w:w="3618" w:type="dxa"/>
            <w:tcBorders>
              <w:top w:val="nil"/>
            </w:tcBorders>
            <w:shd w:val="clear" w:color="auto" w:fill="E4E4E4"/>
          </w:tcPr>
          <w:p>
            <w:pPr>
              <w:pStyle w:val="TableParagraph"/>
              <w:spacing w:line="170" w:lineRule="exact" w:before="104"/>
              <w:ind w:left="16"/>
              <w:jc w:val="center"/>
              <w:rPr>
                <w:sz w:val="16"/>
              </w:rPr>
            </w:pPr>
            <w:r>
              <w:rPr>
                <w:w w:val="100"/>
                <w:sz w:val="16"/>
              </w:rPr>
              <w:t>D</w:t>
            </w:r>
          </w:p>
        </w:tc>
      </w:tr>
      <w:tr>
        <w:trPr>
          <w:trHeight w:val="239" w:hRule="atLeast"/>
        </w:trPr>
        <w:tc>
          <w:tcPr>
            <w:tcW w:w="2675" w:type="dxa"/>
            <w:gridSpan w:val="2"/>
          </w:tcPr>
          <w:p>
            <w:pPr>
              <w:pStyle w:val="TableParagraph"/>
              <w:rPr>
                <w:sz w:val="16"/>
              </w:rPr>
            </w:pPr>
          </w:p>
        </w:tc>
        <w:tc>
          <w:tcPr>
            <w:tcW w:w="2896" w:type="dxa"/>
          </w:tcPr>
          <w:p>
            <w:pPr>
              <w:pStyle w:val="TableParagraph"/>
              <w:rPr>
                <w:sz w:val="16"/>
              </w:rPr>
            </w:pPr>
          </w:p>
        </w:tc>
        <w:tc>
          <w:tcPr>
            <w:tcW w:w="2896" w:type="dxa"/>
          </w:tcPr>
          <w:p>
            <w:pPr>
              <w:pStyle w:val="TableParagraph"/>
              <w:rPr>
                <w:sz w:val="16"/>
              </w:rPr>
            </w:pPr>
          </w:p>
        </w:tc>
        <w:tc>
          <w:tcPr>
            <w:tcW w:w="3618" w:type="dxa"/>
          </w:tcPr>
          <w:p>
            <w:pPr>
              <w:pStyle w:val="TableParagraph"/>
              <w:rPr>
                <w:sz w:val="16"/>
              </w:rPr>
            </w:pPr>
          </w:p>
        </w:tc>
      </w:tr>
      <w:tr>
        <w:trPr>
          <w:trHeight w:val="299" w:hRule="atLeast"/>
        </w:trPr>
        <w:tc>
          <w:tcPr>
            <w:tcW w:w="2675" w:type="dxa"/>
            <w:gridSpan w:val="2"/>
            <w:shd w:val="clear" w:color="auto" w:fill="D5D5D5"/>
          </w:tcPr>
          <w:p>
            <w:pPr>
              <w:pStyle w:val="TableParagraph"/>
              <w:spacing w:line="164" w:lineRule="exact" w:before="25"/>
              <w:ind w:left="506" w:right="843"/>
              <w:jc w:val="center"/>
              <w:rPr>
                <w:b/>
                <w:sz w:val="10"/>
              </w:rPr>
            </w:pPr>
            <w:r>
              <w:rPr>
                <w:b/>
                <w:position w:val="2"/>
                <w:sz w:val="16"/>
              </w:rPr>
              <w:t>∆C</w:t>
            </w:r>
            <w:r>
              <w:rPr>
                <w:b/>
                <w:sz w:val="10"/>
              </w:rPr>
              <w:t>CC</w:t>
            </w:r>
          </w:p>
          <w:p>
            <w:pPr>
              <w:pStyle w:val="TableParagraph"/>
              <w:spacing w:line="87" w:lineRule="exact"/>
              <w:ind w:left="851" w:right="486"/>
              <w:jc w:val="center"/>
              <w:rPr>
                <w:b/>
                <w:sz w:val="10"/>
              </w:rPr>
            </w:pPr>
            <w:r>
              <w:rPr>
                <w:b/>
                <w:sz w:val="10"/>
              </w:rPr>
              <w:t>Mineral</w:t>
            </w:r>
          </w:p>
        </w:tc>
        <w:tc>
          <w:tcPr>
            <w:tcW w:w="2896" w:type="dxa"/>
            <w:shd w:val="clear" w:color="auto" w:fill="D5D5D5"/>
          </w:tcPr>
          <w:p>
            <w:pPr>
              <w:pStyle w:val="TableParagraph"/>
              <w:spacing w:line="164" w:lineRule="exact" w:before="25"/>
              <w:ind w:left="192" w:right="532"/>
              <w:jc w:val="center"/>
              <w:rPr>
                <w:b/>
                <w:sz w:val="10"/>
              </w:rPr>
            </w:pPr>
            <w:r>
              <w:rPr>
                <w:b/>
                <w:position w:val="2"/>
                <w:sz w:val="16"/>
              </w:rPr>
              <w:t>∆C</w:t>
            </w:r>
            <w:r>
              <w:rPr>
                <w:b/>
                <w:sz w:val="10"/>
              </w:rPr>
              <w:t>CC</w:t>
            </w:r>
          </w:p>
          <w:p>
            <w:pPr>
              <w:pStyle w:val="TableParagraph"/>
              <w:spacing w:line="87" w:lineRule="exact"/>
              <w:ind w:left="548" w:right="181"/>
              <w:jc w:val="center"/>
              <w:rPr>
                <w:b/>
                <w:sz w:val="10"/>
              </w:rPr>
            </w:pPr>
            <w:r>
              <w:rPr>
                <w:b/>
                <w:sz w:val="10"/>
              </w:rPr>
              <w:t>Organic</w:t>
            </w:r>
          </w:p>
        </w:tc>
        <w:tc>
          <w:tcPr>
            <w:tcW w:w="2896" w:type="dxa"/>
            <w:shd w:val="clear" w:color="auto" w:fill="D5D5D5"/>
          </w:tcPr>
          <w:p>
            <w:pPr>
              <w:pStyle w:val="TableParagraph"/>
              <w:spacing w:line="164" w:lineRule="exact" w:before="25"/>
              <w:ind w:left="192" w:right="488"/>
              <w:jc w:val="center"/>
              <w:rPr>
                <w:b/>
                <w:sz w:val="10"/>
              </w:rPr>
            </w:pPr>
            <w:r>
              <w:rPr>
                <w:b/>
                <w:position w:val="2"/>
                <w:sz w:val="16"/>
              </w:rPr>
              <w:t>∆C</w:t>
            </w:r>
            <w:r>
              <w:rPr>
                <w:b/>
                <w:sz w:val="10"/>
              </w:rPr>
              <w:t>CC</w:t>
            </w:r>
          </w:p>
          <w:p>
            <w:pPr>
              <w:pStyle w:val="TableParagraph"/>
              <w:spacing w:line="87" w:lineRule="exact"/>
              <w:ind w:left="552" w:right="181"/>
              <w:jc w:val="center"/>
              <w:rPr>
                <w:b/>
                <w:sz w:val="10"/>
              </w:rPr>
            </w:pPr>
            <w:r>
              <w:rPr>
                <w:b/>
                <w:sz w:val="10"/>
              </w:rPr>
              <w:t>Liming</w:t>
            </w:r>
          </w:p>
        </w:tc>
        <w:tc>
          <w:tcPr>
            <w:tcW w:w="3618" w:type="dxa"/>
            <w:shd w:val="clear" w:color="auto" w:fill="D5D5D5"/>
          </w:tcPr>
          <w:p>
            <w:pPr>
              <w:pStyle w:val="TableParagraph"/>
              <w:spacing w:line="164" w:lineRule="exact" w:before="25"/>
              <w:ind w:left="326" w:right="507"/>
              <w:jc w:val="center"/>
              <w:rPr>
                <w:b/>
                <w:sz w:val="10"/>
              </w:rPr>
            </w:pPr>
            <w:r>
              <w:rPr>
                <w:b/>
                <w:position w:val="2"/>
                <w:sz w:val="16"/>
              </w:rPr>
              <w:t>∆C</w:t>
            </w:r>
            <w:r>
              <w:rPr>
                <w:b/>
                <w:sz w:val="10"/>
              </w:rPr>
              <w:t>CC</w:t>
            </w:r>
          </w:p>
          <w:p>
            <w:pPr>
              <w:pStyle w:val="TableParagraph"/>
              <w:spacing w:line="87" w:lineRule="exact"/>
              <w:ind w:left="519" w:right="144"/>
              <w:jc w:val="center"/>
              <w:rPr>
                <w:b/>
                <w:sz w:val="10"/>
              </w:rPr>
            </w:pPr>
            <w:r>
              <w:rPr>
                <w:b/>
                <w:sz w:val="10"/>
              </w:rPr>
              <w:t>Soils</w:t>
            </w:r>
          </w:p>
        </w:tc>
      </w:tr>
      <w:tr>
        <w:trPr>
          <w:trHeight w:val="239" w:hRule="atLeast"/>
        </w:trPr>
        <w:tc>
          <w:tcPr>
            <w:tcW w:w="2675" w:type="dxa"/>
            <w:gridSpan w:val="2"/>
          </w:tcPr>
          <w:p>
            <w:pPr>
              <w:pStyle w:val="TableParagraph"/>
              <w:rPr>
                <w:sz w:val="16"/>
              </w:rPr>
            </w:pPr>
          </w:p>
        </w:tc>
        <w:tc>
          <w:tcPr>
            <w:tcW w:w="2896" w:type="dxa"/>
          </w:tcPr>
          <w:p>
            <w:pPr>
              <w:pStyle w:val="TableParagraph"/>
              <w:rPr>
                <w:sz w:val="16"/>
              </w:rPr>
            </w:pPr>
          </w:p>
        </w:tc>
        <w:tc>
          <w:tcPr>
            <w:tcW w:w="2896" w:type="dxa"/>
          </w:tcPr>
          <w:p>
            <w:pPr>
              <w:pStyle w:val="TableParagraph"/>
              <w:rPr>
                <w:sz w:val="16"/>
              </w:rPr>
            </w:pPr>
          </w:p>
        </w:tc>
        <w:tc>
          <w:tcPr>
            <w:tcW w:w="3618" w:type="dxa"/>
          </w:tcPr>
          <w:p>
            <w:pPr>
              <w:pStyle w:val="TableParagraph"/>
              <w:rPr>
                <w:sz w:val="16"/>
              </w:rPr>
            </w:pPr>
          </w:p>
        </w:tc>
      </w:tr>
    </w:tbl>
    <w:p>
      <w:pPr>
        <w:spacing w:after="0"/>
        <w:rPr>
          <w:sz w:val="16"/>
        </w:rPr>
        <w:sectPr>
          <w:footerReference w:type="default" r:id="rId227"/>
          <w:footerReference w:type="even" r:id="rId228"/>
          <w:pgSz w:w="16840" w:h="11900" w:orient="landscape"/>
          <w:pgMar w:footer="1128" w:header="45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8"/>
              <w:rPr>
                <w:b/>
                <w:sz w:val="20"/>
              </w:rPr>
            </w:pPr>
            <w:r>
              <w:rPr>
                <w:b/>
                <w:sz w:val="20"/>
              </w:rPr>
              <w:t>Land Converted to 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CL-2a: Annual change in carbon stocks in living biomass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599" w:right="65" w:firstLine="38"/>
              <w:rPr>
                <w:sz w:val="16"/>
              </w:rPr>
            </w:pPr>
            <w:r>
              <w:rPr>
                <w:sz w:val="16"/>
              </w:rPr>
              <w:t>Land-use Category </w:t>
            </w:r>
            <w:r>
              <w:rPr>
                <w:sz w:val="16"/>
                <w:vertAlign w:val="superscript"/>
              </w:rPr>
              <w:t>1</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 </w:t>
            </w:r>
            <w:r>
              <w:rPr>
                <w:sz w:val="16"/>
                <w:vertAlign w:val="superscript"/>
              </w:rPr>
              <w:t>2</w:t>
            </w:r>
          </w:p>
        </w:tc>
        <w:tc>
          <w:tcPr>
            <w:tcW w:w="2066" w:type="dxa"/>
            <w:vMerge w:val="restart"/>
            <w:shd w:val="clear" w:color="auto" w:fill="E4E4E4"/>
          </w:tcPr>
          <w:p>
            <w:pPr>
              <w:pStyle w:val="TableParagraph"/>
              <w:spacing w:before="23"/>
              <w:ind w:left="333" w:right="324" w:firstLine="2"/>
              <w:jc w:val="center"/>
              <w:rPr>
                <w:sz w:val="16"/>
              </w:rPr>
            </w:pPr>
            <w:r>
              <w:rPr>
                <w:sz w:val="16"/>
              </w:rPr>
              <w:t>Annual area of land converted to cropland</w:t>
            </w:r>
          </w:p>
          <w:p>
            <w:pPr>
              <w:pStyle w:val="TableParagraph"/>
              <w:rPr>
                <w:sz w:val="18"/>
              </w:rPr>
            </w:pPr>
          </w:p>
          <w:p>
            <w:pPr>
              <w:pStyle w:val="TableParagraph"/>
              <w:spacing w:before="159"/>
              <w:ind w:left="138" w:right="129"/>
              <w:jc w:val="center"/>
              <w:rPr>
                <w:sz w:val="16"/>
              </w:rPr>
            </w:pPr>
            <w:r>
              <w:rPr>
                <w:sz w:val="16"/>
              </w:rPr>
              <w:t>(ha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27"/>
              <w:ind w:left="14"/>
              <w:jc w:val="center"/>
              <w:rPr>
                <w:sz w:val="16"/>
              </w:rPr>
            </w:pPr>
            <w:r>
              <w:rPr>
                <w:w w:val="100"/>
                <w:sz w:val="16"/>
              </w:rPr>
              <w:t>A</w:t>
            </w:r>
          </w:p>
        </w:tc>
        <w:tc>
          <w:tcPr>
            <w:tcW w:w="1980" w:type="dxa"/>
            <w:vMerge w:val="restart"/>
            <w:shd w:val="clear" w:color="auto" w:fill="E4E4E4"/>
          </w:tcPr>
          <w:p>
            <w:pPr>
              <w:pStyle w:val="TableParagraph"/>
              <w:spacing w:before="23"/>
              <w:ind w:left="149" w:right="138"/>
              <w:jc w:val="center"/>
              <w:rPr>
                <w:sz w:val="16"/>
              </w:rPr>
            </w:pPr>
            <w:r>
              <w:rPr>
                <w:sz w:val="16"/>
              </w:rPr>
              <w:t>Carbon stocks in biomass immediately after conversion to cropland</w:t>
            </w:r>
          </w:p>
          <w:p>
            <w:pPr>
              <w:pStyle w:val="TableParagraph"/>
              <w:spacing w:before="10"/>
              <w:rPr>
                <w:sz w:val="15"/>
              </w:rPr>
            </w:pPr>
          </w:p>
          <w:p>
            <w:pPr>
              <w:pStyle w:val="TableParagraph"/>
              <w:ind w:left="150" w:right="138"/>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26"/>
              <w:ind w:left="10"/>
              <w:jc w:val="center"/>
              <w:rPr>
                <w:sz w:val="16"/>
              </w:rPr>
            </w:pPr>
            <w:r>
              <w:rPr>
                <w:w w:val="100"/>
                <w:sz w:val="16"/>
              </w:rPr>
              <w:t>B</w:t>
            </w:r>
          </w:p>
        </w:tc>
        <w:tc>
          <w:tcPr>
            <w:tcW w:w="1800" w:type="dxa"/>
            <w:vMerge w:val="restart"/>
            <w:shd w:val="clear" w:color="auto" w:fill="E4E4E4"/>
          </w:tcPr>
          <w:p>
            <w:pPr>
              <w:pStyle w:val="TableParagraph"/>
              <w:spacing w:before="23"/>
              <w:ind w:left="219" w:right="202" w:hanging="8"/>
              <w:jc w:val="center"/>
              <w:rPr>
                <w:sz w:val="16"/>
              </w:rPr>
            </w:pPr>
            <w:r>
              <w:rPr>
                <w:sz w:val="16"/>
              </w:rPr>
              <w:t>Carbon stocks in biomass immediately before conversion to cropland</w:t>
            </w:r>
          </w:p>
          <w:p>
            <w:pPr>
              <w:pStyle w:val="TableParagraph"/>
              <w:spacing w:before="11"/>
              <w:rPr>
                <w:sz w:val="15"/>
              </w:rPr>
            </w:pPr>
          </w:p>
          <w:p>
            <w:pPr>
              <w:pStyle w:val="TableParagraph"/>
              <w:ind w:left="129" w:right="120"/>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8"/>
              <w:ind w:left="8"/>
              <w:jc w:val="center"/>
              <w:rPr>
                <w:sz w:val="16"/>
              </w:rPr>
            </w:pPr>
            <w:r>
              <w:rPr>
                <w:w w:val="100"/>
                <w:sz w:val="16"/>
              </w:rPr>
              <w:t>C</w:t>
            </w:r>
          </w:p>
        </w:tc>
        <w:tc>
          <w:tcPr>
            <w:tcW w:w="1980" w:type="dxa"/>
            <w:vMerge w:val="restart"/>
            <w:shd w:val="clear" w:color="auto" w:fill="E4E4E4"/>
          </w:tcPr>
          <w:p>
            <w:pPr>
              <w:pStyle w:val="TableParagraph"/>
              <w:spacing w:before="23"/>
              <w:ind w:left="151" w:right="136"/>
              <w:jc w:val="center"/>
              <w:rPr>
                <w:sz w:val="16"/>
              </w:rPr>
            </w:pPr>
            <w:r>
              <w:rPr>
                <w:sz w:val="16"/>
              </w:rPr>
              <w:t>Carbon stock change per area for that type of conversion when land is converted to cropland</w:t>
            </w:r>
          </w:p>
          <w:p>
            <w:pPr>
              <w:pStyle w:val="TableParagraph"/>
              <w:spacing w:before="11"/>
              <w:rPr>
                <w:sz w:val="15"/>
              </w:rPr>
            </w:pPr>
          </w:p>
          <w:p>
            <w:pPr>
              <w:pStyle w:val="TableParagraph"/>
              <w:spacing w:line="480" w:lineRule="auto"/>
              <w:ind w:left="483" w:right="469"/>
              <w:jc w:val="center"/>
              <w:rPr>
                <w:sz w:val="16"/>
              </w:rPr>
            </w:pPr>
            <w:r>
              <w:rPr>
                <w:sz w:val="16"/>
              </w:rPr>
              <w:t>(tonnes C ha</w:t>
            </w:r>
            <w:r>
              <w:rPr>
                <w:sz w:val="16"/>
                <w:vertAlign w:val="superscript"/>
              </w:rPr>
              <w:t>-1</w:t>
            </w:r>
            <w:r>
              <w:rPr>
                <w:sz w:val="16"/>
                <w:vertAlign w:val="baseline"/>
              </w:rPr>
              <w:t>) D = B-C</w:t>
            </w:r>
          </w:p>
          <w:p>
            <w:pPr>
              <w:pStyle w:val="TableParagraph"/>
              <w:spacing w:line="170" w:lineRule="exact" w:before="10"/>
              <w:ind w:left="10"/>
              <w:jc w:val="center"/>
              <w:rPr>
                <w:sz w:val="16"/>
              </w:rPr>
            </w:pPr>
            <w:r>
              <w:rPr>
                <w:w w:val="100"/>
                <w:sz w:val="16"/>
              </w:rPr>
              <w:t>D</w:t>
            </w:r>
          </w:p>
        </w:tc>
        <w:tc>
          <w:tcPr>
            <w:tcW w:w="1800" w:type="dxa"/>
            <w:vMerge w:val="restart"/>
            <w:shd w:val="clear" w:color="auto" w:fill="E4E4E4"/>
          </w:tcPr>
          <w:p>
            <w:pPr>
              <w:pStyle w:val="TableParagraph"/>
              <w:spacing w:before="23"/>
              <w:ind w:left="132" w:right="117"/>
              <w:jc w:val="center"/>
              <w:rPr>
                <w:sz w:val="16"/>
              </w:rPr>
            </w:pPr>
            <w:r>
              <w:rPr>
                <w:sz w:val="16"/>
              </w:rPr>
              <w:t>Change in carbon stock from one year of cropland growth</w:t>
            </w:r>
          </w:p>
          <w:p>
            <w:pPr>
              <w:pStyle w:val="TableParagraph"/>
              <w:rPr>
                <w:sz w:val="18"/>
              </w:rPr>
            </w:pPr>
          </w:p>
          <w:p>
            <w:pPr>
              <w:pStyle w:val="TableParagraph"/>
              <w:spacing w:before="160"/>
              <w:ind w:left="129" w:right="120"/>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9"/>
              <w:ind w:left="9"/>
              <w:jc w:val="center"/>
              <w:rPr>
                <w:sz w:val="16"/>
              </w:rPr>
            </w:pPr>
            <w:r>
              <w:rPr>
                <w:w w:val="100"/>
                <w:sz w:val="16"/>
              </w:rPr>
              <w:t>E</w:t>
            </w:r>
          </w:p>
        </w:tc>
        <w:tc>
          <w:tcPr>
            <w:tcW w:w="2160" w:type="dxa"/>
            <w:vMerge w:val="restart"/>
            <w:shd w:val="clear" w:color="auto" w:fill="E4E4E4"/>
          </w:tcPr>
          <w:p>
            <w:pPr>
              <w:pStyle w:val="TableParagraph"/>
              <w:spacing w:before="23"/>
              <w:ind w:left="223" w:right="211" w:hanging="3"/>
              <w:jc w:val="center"/>
              <w:rPr>
                <w:sz w:val="16"/>
              </w:rPr>
            </w:pPr>
            <w:r>
              <w:rPr>
                <w:sz w:val="16"/>
              </w:rPr>
              <w:t>Annual change in carbon stocks in living biomass in land converted to cropland</w:t>
            </w:r>
          </w:p>
          <w:p>
            <w:pPr>
              <w:pStyle w:val="TableParagraph"/>
              <w:spacing w:before="10"/>
              <w:rPr>
                <w:sz w:val="15"/>
              </w:rPr>
            </w:pPr>
          </w:p>
          <w:p>
            <w:pPr>
              <w:pStyle w:val="TableParagraph"/>
              <w:spacing w:line="496" w:lineRule="auto"/>
              <w:ind w:left="610" w:right="598" w:firstLine="2"/>
              <w:jc w:val="center"/>
              <w:rPr>
                <w:sz w:val="16"/>
              </w:rPr>
            </w:pPr>
            <w:r>
              <w:rPr>
                <w:sz w:val="16"/>
              </w:rPr>
              <w:t>(tonnes C yr</w:t>
            </w:r>
            <w:r>
              <w:rPr>
                <w:sz w:val="16"/>
                <w:vertAlign w:val="superscript"/>
              </w:rPr>
              <w:t>-1</w:t>
            </w:r>
            <w:r>
              <w:rPr>
                <w:sz w:val="16"/>
                <w:vertAlign w:val="baseline"/>
              </w:rPr>
              <w:t>) F = A </w:t>
            </w:r>
            <w:r>
              <w:rPr>
                <w:rFonts w:ascii="Symbol" w:hAnsi="Symbol"/>
                <w:sz w:val="16"/>
                <w:vertAlign w:val="baseline"/>
              </w:rPr>
              <w:t>• </w:t>
            </w:r>
            <w:r>
              <w:rPr>
                <w:sz w:val="16"/>
                <w:vertAlign w:val="baseline"/>
              </w:rPr>
              <w:t>(D+E)</w:t>
            </w:r>
          </w:p>
          <w:p>
            <w:pPr>
              <w:pStyle w:val="TableParagraph"/>
              <w:spacing w:line="170" w:lineRule="exact" w:before="156"/>
              <w:ind w:left="14"/>
              <w:jc w:val="center"/>
              <w:rPr>
                <w:sz w:val="16"/>
              </w:rPr>
            </w:pPr>
            <w:r>
              <w:rPr>
                <w:w w:val="100"/>
                <w:sz w:val="16"/>
              </w:rPr>
              <w:t>F</w:t>
            </w:r>
          </w:p>
        </w:tc>
      </w:tr>
      <w:tr>
        <w:trPr>
          <w:trHeight w:val="1473"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9" w:right="127"/>
              <w:jc w:val="center"/>
              <w:rPr>
                <w:b/>
                <w:sz w:val="10"/>
              </w:rPr>
            </w:pPr>
            <w:r>
              <w:rPr>
                <w:b/>
                <w:position w:val="2"/>
                <w:sz w:val="16"/>
              </w:rPr>
              <w:t>A</w:t>
            </w:r>
            <w:r>
              <w:rPr>
                <w:b/>
                <w:sz w:val="10"/>
              </w:rPr>
              <w:t>Conversion</w:t>
            </w:r>
          </w:p>
        </w:tc>
        <w:tc>
          <w:tcPr>
            <w:tcW w:w="1980" w:type="dxa"/>
          </w:tcPr>
          <w:p>
            <w:pPr>
              <w:pStyle w:val="TableParagraph"/>
              <w:spacing w:before="53"/>
              <w:ind w:left="146" w:right="138"/>
              <w:jc w:val="center"/>
              <w:rPr>
                <w:b/>
                <w:sz w:val="10"/>
              </w:rPr>
            </w:pPr>
            <w:r>
              <w:rPr>
                <w:b/>
                <w:position w:val="2"/>
                <w:sz w:val="16"/>
              </w:rPr>
              <w:t>C</w:t>
            </w:r>
            <w:r>
              <w:rPr>
                <w:b/>
                <w:sz w:val="10"/>
              </w:rPr>
              <w:t>After</w:t>
            </w:r>
          </w:p>
        </w:tc>
        <w:tc>
          <w:tcPr>
            <w:tcW w:w="1800" w:type="dxa"/>
          </w:tcPr>
          <w:p>
            <w:pPr>
              <w:pStyle w:val="TableParagraph"/>
              <w:spacing w:before="53"/>
              <w:ind w:left="128" w:right="120"/>
              <w:jc w:val="center"/>
              <w:rPr>
                <w:b/>
                <w:sz w:val="10"/>
              </w:rPr>
            </w:pPr>
            <w:r>
              <w:rPr>
                <w:b/>
                <w:position w:val="2"/>
                <w:sz w:val="16"/>
              </w:rPr>
              <w:t>C</w:t>
            </w:r>
            <w:r>
              <w:rPr>
                <w:b/>
                <w:sz w:val="10"/>
              </w:rPr>
              <w:t>Before</w:t>
            </w:r>
          </w:p>
        </w:tc>
        <w:tc>
          <w:tcPr>
            <w:tcW w:w="1980" w:type="dxa"/>
          </w:tcPr>
          <w:p>
            <w:pPr>
              <w:pStyle w:val="TableParagraph"/>
              <w:spacing w:before="53"/>
              <w:ind w:left="150" w:right="138"/>
              <w:jc w:val="center"/>
              <w:rPr>
                <w:b/>
                <w:sz w:val="10"/>
              </w:rPr>
            </w:pPr>
            <w:r>
              <w:rPr>
                <w:b/>
                <w:position w:val="2"/>
                <w:sz w:val="16"/>
              </w:rPr>
              <w:t>L</w:t>
            </w:r>
            <w:r>
              <w:rPr>
                <w:b/>
                <w:sz w:val="10"/>
              </w:rPr>
              <w:t>Conversion</w:t>
            </w:r>
          </w:p>
        </w:tc>
        <w:tc>
          <w:tcPr>
            <w:tcW w:w="1800" w:type="dxa"/>
          </w:tcPr>
          <w:p>
            <w:pPr>
              <w:pStyle w:val="TableParagraph"/>
              <w:spacing w:before="53"/>
              <w:ind w:left="132" w:right="120"/>
              <w:jc w:val="center"/>
              <w:rPr>
                <w:b/>
                <w:sz w:val="10"/>
              </w:rPr>
            </w:pPr>
            <w:r>
              <w:rPr>
                <w:b/>
                <w:position w:val="2"/>
                <w:sz w:val="16"/>
              </w:rPr>
              <w:t>∆C</w:t>
            </w:r>
            <w:r>
              <w:rPr>
                <w:b/>
                <w:sz w:val="10"/>
              </w:rPr>
              <w:t>Growth</w:t>
            </w:r>
          </w:p>
        </w:tc>
        <w:tc>
          <w:tcPr>
            <w:tcW w:w="2160" w:type="dxa"/>
            <w:shd w:val="clear" w:color="auto" w:fill="D5D5D5"/>
          </w:tcPr>
          <w:p>
            <w:pPr>
              <w:pStyle w:val="TableParagraph"/>
              <w:spacing w:line="124" w:lineRule="auto" w:before="88"/>
              <w:ind w:left="1138" w:right="776" w:hanging="353"/>
              <w:rPr>
                <w:b/>
                <w:sz w:val="10"/>
              </w:rPr>
            </w:pPr>
            <w:r>
              <w:rPr>
                <w:b/>
                <w:position w:val="2"/>
                <w:sz w:val="16"/>
              </w:rPr>
              <w:t>∆C</w:t>
            </w:r>
            <w:r>
              <w:rPr>
                <w:b/>
                <w:sz w:val="10"/>
              </w:rPr>
              <w:t>LC   </w:t>
            </w:r>
            <w:r>
              <w:rPr>
                <w:b/>
                <w:spacing w:val="-16"/>
                <w:position w:val="9"/>
                <w:sz w:val="10"/>
              </w:rPr>
              <w:t>3 </w:t>
            </w:r>
            <w:r>
              <w:rPr>
                <w:b/>
                <w:spacing w:val="-3"/>
                <w:sz w:val="10"/>
              </w:rPr>
              <w:t>LB</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422"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CL</w:t>
            </w:r>
          </w:p>
        </w:tc>
        <w:tc>
          <w:tcPr>
            <w:tcW w:w="1027" w:type="dxa"/>
          </w:tcPr>
          <w:p>
            <w:pPr>
              <w:pStyle w:val="TableParagraph"/>
              <w:spacing w:before="114"/>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1036" w:hRule="atLeast"/>
        </w:trPr>
        <w:tc>
          <w:tcPr>
            <w:tcW w:w="14687" w:type="dxa"/>
            <w:gridSpan w:val="9"/>
          </w:tcPr>
          <w:p>
            <w:pPr>
              <w:pStyle w:val="TableParagraph"/>
              <w:spacing w:before="21"/>
              <w:ind w:left="107"/>
              <w:rPr>
                <w:sz w:val="16"/>
              </w:rPr>
            </w:pPr>
            <w:r>
              <w:rPr>
                <w:position w:val="7"/>
                <w:sz w:val="10"/>
              </w:rPr>
              <w:t>1 </w:t>
            </w:r>
            <w:r>
              <w:rPr>
                <w:sz w:val="16"/>
              </w:rPr>
              <w:t>FL stands for forest land; CL for cropland; GL for grassland; WL for wetlands, SL settlements, and OL for other land. See Chapter 2 for approaches in representing land areas.</w:t>
            </w:r>
          </w:p>
          <w:p>
            <w:pPr>
              <w:pStyle w:val="TableParagraph"/>
              <w:spacing w:before="85"/>
              <w:ind w:left="107"/>
              <w:rPr>
                <w:sz w:val="16"/>
              </w:rPr>
            </w:pPr>
            <w:r>
              <w:rPr>
                <w:position w:val="7"/>
                <w:sz w:val="10"/>
              </w:rPr>
              <w:t>2 </w:t>
            </w:r>
            <w:r>
              <w:rPr>
                <w:sz w:val="16"/>
              </w:rPr>
              <w:t>Land use should be further divided according to type of perennial woody vegetation and climate zones.</w:t>
            </w:r>
          </w:p>
          <w:p>
            <w:pPr>
              <w:pStyle w:val="TableParagraph"/>
              <w:spacing w:before="85"/>
              <w:ind w:left="184" w:hanging="77"/>
              <w:rPr>
                <w:sz w:val="16"/>
              </w:rPr>
            </w:pPr>
            <w:r>
              <w:rPr>
                <w:position w:val="7"/>
                <w:sz w:val="10"/>
              </w:rPr>
              <w:t>3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pgSz w:w="16840" w:h="11900" w:orient="landscape"/>
          <w:pgMar w:header="1150"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8"/>
              <w:rPr>
                <w:b/>
                <w:sz w:val="20"/>
              </w:rPr>
            </w:pPr>
            <w:r>
              <w:rPr>
                <w:b/>
                <w:sz w:val="20"/>
              </w:rPr>
              <w:t>Land Converted to 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CL-2c1: Annual change in carbon stocks in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1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39" w:right="127"/>
              <w:jc w:val="center"/>
              <w:rPr>
                <w:sz w:val="16"/>
              </w:rPr>
            </w:pPr>
            <w:r>
              <w:rPr>
                <w:sz w:val="16"/>
              </w:rPr>
              <w:t>Area of land converted to a cropland system</w:t>
            </w:r>
            <w:r>
              <w:rPr>
                <w:sz w:val="16"/>
                <w:vertAlign w:val="superscript"/>
              </w:rPr>
              <w:t>1</w:t>
            </w:r>
          </w:p>
          <w:p>
            <w:pPr>
              <w:pStyle w:val="TableParagraph"/>
              <w:spacing w:line="183" w:lineRule="exact"/>
              <w:ind w:left="138" w:right="129"/>
              <w:jc w:val="center"/>
              <w:rPr>
                <w:sz w:val="16"/>
              </w:rPr>
            </w:pPr>
            <w:r>
              <w:rPr>
                <w:sz w:val="16"/>
              </w:rPr>
              <w:t>(ha)</w:t>
            </w:r>
          </w:p>
          <w:p>
            <w:pPr>
              <w:pStyle w:val="TableParagraph"/>
              <w:rPr>
                <w:sz w:val="18"/>
              </w:rPr>
            </w:pPr>
          </w:p>
          <w:p>
            <w:pPr>
              <w:pStyle w:val="TableParagraph"/>
              <w:rPr>
                <w:sz w:val="18"/>
              </w:rPr>
            </w:pPr>
          </w:p>
          <w:p>
            <w:pPr>
              <w:pStyle w:val="TableParagraph"/>
              <w:rPr>
                <w:sz w:val="18"/>
              </w:rPr>
            </w:pPr>
          </w:p>
          <w:p>
            <w:pPr>
              <w:pStyle w:val="TableParagraph"/>
              <w:spacing w:line="170" w:lineRule="exact" w:before="114"/>
              <w:ind w:left="14"/>
              <w:jc w:val="center"/>
              <w:rPr>
                <w:sz w:val="16"/>
              </w:rPr>
            </w:pPr>
            <w:r>
              <w:rPr>
                <w:w w:val="100"/>
                <w:sz w:val="16"/>
              </w:rPr>
              <w:t>A</w:t>
            </w:r>
          </w:p>
        </w:tc>
        <w:tc>
          <w:tcPr>
            <w:tcW w:w="1980" w:type="dxa"/>
            <w:vMerge w:val="restart"/>
            <w:shd w:val="clear" w:color="auto" w:fill="E4E4E4"/>
          </w:tcPr>
          <w:p>
            <w:pPr>
              <w:pStyle w:val="TableParagraph"/>
              <w:spacing w:line="480" w:lineRule="auto" w:before="23"/>
              <w:ind w:left="148" w:right="138"/>
              <w:jc w:val="center"/>
              <w:rPr>
                <w:sz w:val="16"/>
              </w:rPr>
            </w:pPr>
            <w:r>
              <w:rPr>
                <w:sz w:val="16"/>
              </w:rPr>
              <w:t>Inventory time period (default is 20 yr)</w:t>
            </w:r>
          </w:p>
          <w:p>
            <w:pPr>
              <w:pStyle w:val="TableParagraph"/>
              <w:rPr>
                <w:sz w:val="18"/>
              </w:rPr>
            </w:pPr>
          </w:p>
          <w:p>
            <w:pPr>
              <w:pStyle w:val="TableParagraph"/>
              <w:rPr>
                <w:sz w:val="18"/>
              </w:rPr>
            </w:pPr>
          </w:p>
          <w:p>
            <w:pPr>
              <w:pStyle w:val="TableParagraph"/>
              <w:spacing w:line="170" w:lineRule="exact" w:before="136"/>
              <w:ind w:left="10"/>
              <w:jc w:val="center"/>
              <w:rPr>
                <w:sz w:val="16"/>
              </w:rPr>
            </w:pPr>
            <w:r>
              <w:rPr>
                <w:w w:val="100"/>
                <w:sz w:val="16"/>
              </w:rPr>
              <w:t>B</w:t>
            </w:r>
          </w:p>
        </w:tc>
        <w:tc>
          <w:tcPr>
            <w:tcW w:w="1800" w:type="dxa"/>
            <w:vMerge w:val="restart"/>
            <w:shd w:val="clear" w:color="auto" w:fill="E4E4E4"/>
          </w:tcPr>
          <w:p>
            <w:pPr>
              <w:pStyle w:val="TableParagraph"/>
              <w:spacing w:line="480" w:lineRule="auto" w:before="23"/>
              <w:ind w:left="131" w:right="120"/>
              <w:jc w:val="center"/>
              <w:rPr>
                <w:sz w:val="16"/>
              </w:rPr>
            </w:pPr>
            <w:r>
              <w:rPr>
                <w:sz w:val="16"/>
              </w:rPr>
              <w:t>Reference carbon stock (tonnes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36"/>
              <w:ind w:left="8"/>
              <w:jc w:val="center"/>
              <w:rPr>
                <w:sz w:val="16"/>
              </w:rPr>
            </w:pPr>
            <w:r>
              <w:rPr>
                <w:w w:val="100"/>
                <w:sz w:val="16"/>
              </w:rPr>
              <w:t>C</w:t>
            </w:r>
          </w:p>
        </w:tc>
        <w:tc>
          <w:tcPr>
            <w:tcW w:w="1980" w:type="dxa"/>
            <w:vMerge w:val="restart"/>
            <w:shd w:val="clear" w:color="auto" w:fill="E4E4E4"/>
          </w:tcPr>
          <w:p>
            <w:pPr>
              <w:pStyle w:val="TableParagraph"/>
              <w:spacing w:before="23"/>
              <w:ind w:left="197" w:right="184" w:hanging="3"/>
              <w:jc w:val="center"/>
              <w:rPr>
                <w:sz w:val="16"/>
              </w:rPr>
            </w:pPr>
            <w:r>
              <w:rPr>
                <w:sz w:val="16"/>
              </w:rPr>
              <w:t>Stock change factor for land use or land-use change type in the initial year (pre-conversion)</w:t>
            </w:r>
          </w:p>
          <w:p>
            <w:pPr>
              <w:pStyle w:val="TableParagraph"/>
              <w:spacing w:line="360" w:lineRule="atLeast" w:before="7"/>
              <w:ind w:left="483" w:right="472"/>
              <w:jc w:val="center"/>
              <w:rPr>
                <w:sz w:val="16"/>
              </w:rPr>
            </w:pPr>
            <w:r>
              <w:rPr>
                <w:sz w:val="16"/>
              </w:rPr>
              <w:t>(dimensionless) D</w:t>
            </w:r>
          </w:p>
        </w:tc>
        <w:tc>
          <w:tcPr>
            <w:tcW w:w="1800" w:type="dxa"/>
            <w:vMerge w:val="restart"/>
            <w:shd w:val="clear" w:color="auto" w:fill="E4E4E4"/>
          </w:tcPr>
          <w:p>
            <w:pPr>
              <w:pStyle w:val="TableParagraph"/>
              <w:spacing w:before="23"/>
              <w:ind w:left="132" w:right="119"/>
              <w:jc w:val="center"/>
              <w:rPr>
                <w:sz w:val="16"/>
              </w:rPr>
            </w:pPr>
            <w:r>
              <w:rPr>
                <w:sz w:val="16"/>
              </w:rPr>
              <w:t>Stock change factor for management regime in the initial year (pre- conversion)</w:t>
            </w:r>
          </w:p>
          <w:p>
            <w:pPr>
              <w:pStyle w:val="TableParagraph"/>
              <w:spacing w:line="360" w:lineRule="atLeast" w:before="7"/>
              <w:ind w:left="394" w:right="381"/>
              <w:jc w:val="center"/>
              <w:rPr>
                <w:sz w:val="16"/>
              </w:rPr>
            </w:pPr>
            <w:r>
              <w:rPr>
                <w:sz w:val="16"/>
              </w:rPr>
              <w:t>(dimensionless) E</w:t>
            </w:r>
          </w:p>
        </w:tc>
        <w:tc>
          <w:tcPr>
            <w:tcW w:w="2160" w:type="dxa"/>
            <w:vMerge w:val="restart"/>
            <w:shd w:val="clear" w:color="auto" w:fill="E4E4E4"/>
          </w:tcPr>
          <w:p>
            <w:pPr>
              <w:pStyle w:val="TableParagraph"/>
              <w:spacing w:before="23"/>
              <w:ind w:left="120" w:right="108" w:firstLine="2"/>
              <w:jc w:val="center"/>
              <w:rPr>
                <w:sz w:val="16"/>
              </w:rPr>
            </w:pPr>
            <w:r>
              <w:rPr>
                <w:sz w:val="16"/>
              </w:rPr>
              <w:t>Stock change factor for input of organic matter in the initial year (pre-conversion)</w:t>
            </w:r>
          </w:p>
          <w:p>
            <w:pPr>
              <w:pStyle w:val="TableParagraph"/>
              <w:spacing w:before="10"/>
              <w:rPr>
                <w:sz w:val="15"/>
              </w:rPr>
            </w:pPr>
          </w:p>
          <w:p>
            <w:pPr>
              <w:pStyle w:val="TableParagraph"/>
              <w:ind w:left="143" w:right="132"/>
              <w:jc w:val="center"/>
              <w:rPr>
                <w:sz w:val="16"/>
              </w:rPr>
            </w:pPr>
            <w:r>
              <w:rPr>
                <w:sz w:val="16"/>
              </w:rPr>
              <w:t>(dimensionless)</w:t>
            </w:r>
          </w:p>
          <w:p>
            <w:pPr>
              <w:pStyle w:val="TableParagraph"/>
              <w:rPr>
                <w:sz w:val="18"/>
              </w:rPr>
            </w:pPr>
          </w:p>
          <w:p>
            <w:pPr>
              <w:pStyle w:val="TableParagraph"/>
              <w:spacing w:line="170" w:lineRule="exact" w:before="161"/>
              <w:ind w:left="14"/>
              <w:jc w:val="center"/>
              <w:rPr>
                <w:sz w:val="16"/>
              </w:rPr>
            </w:pPr>
            <w:r>
              <w:rPr>
                <w:w w:val="100"/>
                <w:sz w:val="16"/>
              </w:rPr>
              <w:t>F</w:t>
            </w:r>
          </w:p>
        </w:tc>
      </w:tr>
      <w:tr>
        <w:trPr>
          <w:trHeight w:val="1094"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spacing w:before="25"/>
              <w:ind w:left="9"/>
              <w:jc w:val="center"/>
              <w:rPr>
                <w:b/>
                <w:sz w:val="16"/>
              </w:rPr>
            </w:pPr>
            <w:r>
              <w:rPr>
                <w:b/>
                <w:w w:val="100"/>
                <w:sz w:val="16"/>
              </w:rPr>
              <w:t>A</w:t>
            </w:r>
          </w:p>
        </w:tc>
        <w:tc>
          <w:tcPr>
            <w:tcW w:w="1980" w:type="dxa"/>
          </w:tcPr>
          <w:p>
            <w:pPr>
              <w:pStyle w:val="TableParagraph"/>
              <w:spacing w:before="25"/>
              <w:ind w:left="11"/>
              <w:jc w:val="center"/>
              <w:rPr>
                <w:b/>
                <w:sz w:val="16"/>
              </w:rPr>
            </w:pPr>
            <w:r>
              <w:rPr>
                <w:b/>
                <w:w w:val="100"/>
                <w:sz w:val="16"/>
              </w:rPr>
              <w:t>T</w:t>
            </w:r>
          </w:p>
        </w:tc>
        <w:tc>
          <w:tcPr>
            <w:tcW w:w="1800" w:type="dxa"/>
          </w:tcPr>
          <w:p>
            <w:pPr>
              <w:pStyle w:val="TableParagraph"/>
              <w:spacing w:before="25"/>
              <w:ind w:left="130" w:right="120"/>
              <w:jc w:val="center"/>
              <w:rPr>
                <w:b/>
                <w:sz w:val="10"/>
              </w:rPr>
            </w:pPr>
            <w:r>
              <w:rPr>
                <w:b/>
                <w:position w:val="2"/>
                <w:sz w:val="16"/>
              </w:rPr>
              <w:t>SOC</w:t>
            </w:r>
            <w:r>
              <w:rPr>
                <w:b/>
                <w:sz w:val="10"/>
              </w:rPr>
              <w:t>ref</w:t>
            </w:r>
          </w:p>
        </w:tc>
        <w:tc>
          <w:tcPr>
            <w:tcW w:w="1980" w:type="dxa"/>
          </w:tcPr>
          <w:p>
            <w:pPr>
              <w:pStyle w:val="TableParagraph"/>
              <w:spacing w:before="25"/>
              <w:ind w:left="147" w:right="138"/>
              <w:jc w:val="center"/>
              <w:rPr>
                <w:b/>
                <w:sz w:val="10"/>
              </w:rPr>
            </w:pPr>
            <w:r>
              <w:rPr>
                <w:b/>
                <w:position w:val="2"/>
                <w:sz w:val="16"/>
              </w:rPr>
              <w:t>F</w:t>
            </w:r>
            <w:r>
              <w:rPr>
                <w:b/>
                <w:sz w:val="10"/>
              </w:rPr>
              <w:t>LU(0-T)</w:t>
            </w:r>
          </w:p>
        </w:tc>
        <w:tc>
          <w:tcPr>
            <w:tcW w:w="1800" w:type="dxa"/>
          </w:tcPr>
          <w:p>
            <w:pPr>
              <w:pStyle w:val="TableParagraph"/>
              <w:spacing w:before="25"/>
              <w:ind w:left="131" w:right="120"/>
              <w:jc w:val="center"/>
              <w:rPr>
                <w:b/>
                <w:sz w:val="10"/>
              </w:rPr>
            </w:pPr>
            <w:r>
              <w:rPr>
                <w:b/>
                <w:position w:val="2"/>
                <w:sz w:val="16"/>
              </w:rPr>
              <w:t>F</w:t>
            </w:r>
            <w:r>
              <w:rPr>
                <w:b/>
                <w:sz w:val="10"/>
              </w:rPr>
              <w:t>MG(0-T)</w:t>
            </w:r>
          </w:p>
        </w:tc>
        <w:tc>
          <w:tcPr>
            <w:tcW w:w="2160" w:type="dxa"/>
          </w:tcPr>
          <w:p>
            <w:pPr>
              <w:pStyle w:val="TableParagraph"/>
              <w:spacing w:before="25"/>
              <w:ind w:left="143" w:right="132"/>
              <w:jc w:val="center"/>
              <w:rPr>
                <w:b/>
                <w:sz w:val="10"/>
              </w:rPr>
            </w:pPr>
            <w:r>
              <w:rPr>
                <w:b/>
                <w:position w:val="2"/>
                <w:sz w:val="16"/>
              </w:rPr>
              <w:t>F</w:t>
            </w:r>
            <w:r>
              <w:rPr>
                <w:b/>
                <w:sz w:val="10"/>
              </w:rPr>
              <w:t>I(0-T)</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424"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CL</w:t>
            </w:r>
          </w:p>
        </w:tc>
        <w:tc>
          <w:tcPr>
            <w:tcW w:w="1027" w:type="dxa"/>
          </w:tcPr>
          <w:p>
            <w:pPr>
              <w:pStyle w:val="TableParagraph"/>
              <w:spacing w:before="114"/>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85" w:hRule="atLeast"/>
        </w:trPr>
        <w:tc>
          <w:tcPr>
            <w:tcW w:w="14687" w:type="dxa"/>
            <w:gridSpan w:val="9"/>
          </w:tcPr>
          <w:p>
            <w:pPr>
              <w:pStyle w:val="TableParagraph"/>
              <w:spacing w:before="21"/>
              <w:ind w:left="107"/>
              <w:rPr>
                <w:sz w:val="16"/>
              </w:rPr>
            </w:pPr>
            <w:r>
              <w:rPr>
                <w:position w:val="7"/>
                <w:sz w:val="10"/>
              </w:rPr>
              <w:t>1 </w:t>
            </w:r>
            <w:r>
              <w:rPr>
                <w:sz w:val="16"/>
              </w:rPr>
              <w:t>Major cropland system in the country should be covered.</w:t>
            </w:r>
          </w:p>
        </w:tc>
      </w:tr>
    </w:tbl>
    <w:p>
      <w:pPr>
        <w:spacing w:after="0"/>
        <w:rPr>
          <w:sz w:val="16"/>
        </w:rPr>
        <w:sectPr>
          <w:footerReference w:type="even" r:id="rId229"/>
          <w:footerReference w:type="default" r:id="rId230"/>
          <w:pgSz w:w="16840" w:h="11900" w:orient="landscape"/>
          <w:pgMar w:footer="1128" w:header="1150" w:top="740" w:bottom="1320" w:left="1200" w:right="460"/>
          <w:pgNumType w:start="222"/>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8"/>
              <w:rPr>
                <w:b/>
                <w:sz w:val="20"/>
              </w:rPr>
            </w:pPr>
            <w:r>
              <w:rPr>
                <w:b/>
                <w:sz w:val="20"/>
              </w:rPr>
              <w:t>Land Converted to 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CL-2c1: Annual change in carbon stocks in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2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12" w:right="102"/>
              <w:jc w:val="center"/>
              <w:rPr>
                <w:sz w:val="16"/>
              </w:rPr>
            </w:pPr>
            <w:r>
              <w:rPr>
                <w:sz w:val="16"/>
              </w:rPr>
              <w:t>Soil organic carbon stock in the initial year (pre- conversion)</w:t>
            </w:r>
          </w:p>
          <w:p>
            <w:pPr>
              <w:pStyle w:val="TableParagraph"/>
              <w:spacing w:before="10"/>
              <w:rPr>
                <w:sz w:val="15"/>
              </w:rPr>
            </w:pPr>
          </w:p>
          <w:p>
            <w:pPr>
              <w:pStyle w:val="TableParagraph"/>
              <w:spacing w:line="496" w:lineRule="auto"/>
              <w:ind w:left="456" w:right="432" w:firstLine="103"/>
              <w:rPr>
                <w:sz w:val="16"/>
              </w:rPr>
            </w:pPr>
            <w:r>
              <w:rPr>
                <w:sz w:val="16"/>
              </w:rPr>
              <w:t>(tonnes C ha</w:t>
            </w:r>
            <w:r>
              <w:rPr>
                <w:sz w:val="16"/>
                <w:vertAlign w:val="superscript"/>
              </w:rPr>
              <w:t>-1</w:t>
            </w:r>
            <w:r>
              <w:rPr>
                <w:sz w:val="16"/>
                <w:vertAlign w:val="baseline"/>
              </w:rPr>
              <w:t>) G = C </w:t>
            </w:r>
            <w:r>
              <w:rPr>
                <w:rFonts w:ascii="Symbol" w:hAnsi="Symbol"/>
                <w:sz w:val="16"/>
                <w:vertAlign w:val="baseline"/>
              </w:rPr>
              <w:t>• </w:t>
            </w:r>
            <w:r>
              <w:rPr>
                <w:sz w:val="16"/>
                <w:vertAlign w:val="baseline"/>
              </w:rPr>
              <w:t>D </w:t>
            </w:r>
            <w:r>
              <w:rPr>
                <w:rFonts w:ascii="Symbol" w:hAnsi="Symbol"/>
                <w:sz w:val="16"/>
                <w:vertAlign w:val="baseline"/>
              </w:rPr>
              <w:t>• </w:t>
            </w:r>
            <w:r>
              <w:rPr>
                <w:sz w:val="16"/>
                <w:vertAlign w:val="baseline"/>
              </w:rPr>
              <w:t>E </w:t>
            </w:r>
            <w:r>
              <w:rPr>
                <w:rFonts w:ascii="Symbol" w:hAnsi="Symbol"/>
                <w:sz w:val="16"/>
                <w:vertAlign w:val="baseline"/>
              </w:rPr>
              <w:t>• </w:t>
            </w:r>
            <w:r>
              <w:rPr>
                <w:sz w:val="16"/>
                <w:vertAlign w:val="baseline"/>
              </w:rPr>
              <w:t>F</w:t>
            </w:r>
          </w:p>
          <w:p>
            <w:pPr>
              <w:pStyle w:val="TableParagraph"/>
              <w:spacing w:line="141" w:lineRule="exact"/>
              <w:ind w:left="14"/>
              <w:jc w:val="center"/>
              <w:rPr>
                <w:sz w:val="16"/>
              </w:rPr>
            </w:pPr>
            <w:r>
              <w:rPr>
                <w:w w:val="100"/>
                <w:sz w:val="16"/>
              </w:rPr>
              <w:t>G</w:t>
            </w:r>
          </w:p>
        </w:tc>
        <w:tc>
          <w:tcPr>
            <w:tcW w:w="1980" w:type="dxa"/>
            <w:vMerge w:val="restart"/>
            <w:shd w:val="clear" w:color="auto" w:fill="E4E4E4"/>
          </w:tcPr>
          <w:p>
            <w:pPr>
              <w:pStyle w:val="TableParagraph"/>
              <w:spacing w:before="23"/>
              <w:ind w:left="149" w:right="138"/>
              <w:jc w:val="center"/>
              <w:rPr>
                <w:sz w:val="16"/>
              </w:rPr>
            </w:pPr>
            <w:r>
              <w:rPr>
                <w:sz w:val="16"/>
              </w:rPr>
              <w:t>Stock change factor for land use or land-use change type in current inventory year</w:t>
            </w:r>
          </w:p>
          <w:p>
            <w:pPr>
              <w:pStyle w:val="TableParagraph"/>
              <w:spacing w:before="11"/>
              <w:rPr>
                <w:sz w:val="15"/>
              </w:rPr>
            </w:pPr>
          </w:p>
          <w:p>
            <w:pPr>
              <w:pStyle w:val="TableParagraph"/>
              <w:ind w:left="146" w:right="138"/>
              <w:jc w:val="center"/>
              <w:rPr>
                <w:sz w:val="16"/>
              </w:rPr>
            </w:pPr>
            <w:r>
              <w:rPr>
                <w:sz w:val="16"/>
              </w:rPr>
              <w:t>(dimensionless)</w:t>
            </w:r>
          </w:p>
          <w:p>
            <w:pPr>
              <w:pStyle w:val="TableParagraph"/>
              <w:rPr>
                <w:sz w:val="18"/>
              </w:rPr>
            </w:pPr>
          </w:p>
          <w:p>
            <w:pPr>
              <w:pStyle w:val="TableParagraph"/>
              <w:rPr>
                <w:sz w:val="15"/>
              </w:rPr>
            </w:pPr>
          </w:p>
          <w:p>
            <w:pPr>
              <w:pStyle w:val="TableParagraph"/>
              <w:spacing w:line="168" w:lineRule="exact"/>
              <w:ind w:left="10"/>
              <w:jc w:val="center"/>
              <w:rPr>
                <w:sz w:val="16"/>
              </w:rPr>
            </w:pPr>
            <w:r>
              <w:rPr>
                <w:w w:val="100"/>
                <w:sz w:val="16"/>
              </w:rPr>
              <w:t>H</w:t>
            </w:r>
          </w:p>
        </w:tc>
        <w:tc>
          <w:tcPr>
            <w:tcW w:w="1800" w:type="dxa"/>
            <w:vMerge w:val="restart"/>
            <w:shd w:val="clear" w:color="auto" w:fill="E4E4E4"/>
          </w:tcPr>
          <w:p>
            <w:pPr>
              <w:pStyle w:val="TableParagraph"/>
              <w:spacing w:before="23"/>
              <w:ind w:left="166" w:right="138" w:hanging="15"/>
              <w:jc w:val="both"/>
              <w:rPr>
                <w:sz w:val="16"/>
              </w:rPr>
            </w:pPr>
            <w:r>
              <w:rPr>
                <w:sz w:val="16"/>
              </w:rPr>
              <w:t>Stock change factor for management regime in current inventory year</w:t>
            </w:r>
          </w:p>
          <w:p>
            <w:pPr>
              <w:pStyle w:val="TableParagraph"/>
              <w:spacing w:before="10"/>
              <w:rPr>
                <w:sz w:val="15"/>
              </w:rPr>
            </w:pPr>
          </w:p>
          <w:p>
            <w:pPr>
              <w:pStyle w:val="TableParagraph"/>
              <w:ind w:left="131" w:right="120"/>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51"/>
              <w:ind w:left="12"/>
              <w:jc w:val="center"/>
              <w:rPr>
                <w:sz w:val="16"/>
              </w:rPr>
            </w:pPr>
            <w:r>
              <w:rPr>
                <w:w w:val="100"/>
                <w:sz w:val="16"/>
              </w:rPr>
              <w:t>I</w:t>
            </w:r>
          </w:p>
        </w:tc>
        <w:tc>
          <w:tcPr>
            <w:tcW w:w="1980" w:type="dxa"/>
            <w:vMerge w:val="restart"/>
            <w:shd w:val="clear" w:color="auto" w:fill="E4E4E4"/>
          </w:tcPr>
          <w:p>
            <w:pPr>
              <w:pStyle w:val="TableParagraph"/>
              <w:spacing w:before="23"/>
              <w:ind w:left="171" w:right="162" w:firstLine="2"/>
              <w:jc w:val="center"/>
              <w:rPr>
                <w:sz w:val="16"/>
              </w:rPr>
            </w:pPr>
            <w:r>
              <w:rPr>
                <w:sz w:val="16"/>
              </w:rPr>
              <w:t>Stock change factor for input of organic matter in current inventory year</w:t>
            </w:r>
          </w:p>
          <w:p>
            <w:pPr>
              <w:pStyle w:val="TableParagraph"/>
              <w:spacing w:before="10"/>
              <w:rPr>
                <w:sz w:val="15"/>
              </w:rPr>
            </w:pPr>
          </w:p>
          <w:p>
            <w:pPr>
              <w:pStyle w:val="TableParagraph"/>
              <w:ind w:left="146" w:right="138"/>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51"/>
              <w:ind w:left="9"/>
              <w:jc w:val="center"/>
              <w:rPr>
                <w:sz w:val="16"/>
              </w:rPr>
            </w:pPr>
            <w:r>
              <w:rPr>
                <w:w w:val="100"/>
                <w:sz w:val="16"/>
              </w:rPr>
              <w:t>J</w:t>
            </w:r>
          </w:p>
        </w:tc>
        <w:tc>
          <w:tcPr>
            <w:tcW w:w="1800" w:type="dxa"/>
            <w:vMerge w:val="restart"/>
            <w:shd w:val="clear" w:color="auto" w:fill="E4E4E4"/>
          </w:tcPr>
          <w:p>
            <w:pPr>
              <w:pStyle w:val="TableParagraph"/>
              <w:spacing w:before="23"/>
              <w:ind w:left="130" w:right="120"/>
              <w:jc w:val="center"/>
              <w:rPr>
                <w:sz w:val="16"/>
              </w:rPr>
            </w:pPr>
            <w:r>
              <w:rPr>
                <w:sz w:val="16"/>
              </w:rPr>
              <w:t>Soil organic</w:t>
            </w:r>
            <w:r>
              <w:rPr>
                <w:spacing w:val="-10"/>
                <w:sz w:val="16"/>
              </w:rPr>
              <w:t> </w:t>
            </w:r>
            <w:r>
              <w:rPr>
                <w:sz w:val="16"/>
              </w:rPr>
              <w:t>carbon stock in current inventory</w:t>
            </w:r>
            <w:r>
              <w:rPr>
                <w:spacing w:val="-3"/>
                <w:sz w:val="16"/>
              </w:rPr>
              <w:t> </w:t>
            </w:r>
            <w:r>
              <w:rPr>
                <w:sz w:val="16"/>
              </w:rPr>
              <w:t>year</w:t>
            </w:r>
          </w:p>
          <w:p>
            <w:pPr>
              <w:pStyle w:val="TableParagraph"/>
              <w:spacing w:before="10"/>
              <w:rPr>
                <w:sz w:val="15"/>
              </w:rPr>
            </w:pPr>
          </w:p>
          <w:p>
            <w:pPr>
              <w:pStyle w:val="TableParagraph"/>
              <w:ind w:left="358" w:firstLine="67"/>
              <w:rPr>
                <w:sz w:val="16"/>
              </w:rPr>
            </w:pPr>
            <w:r>
              <w:rPr>
                <w:sz w:val="16"/>
              </w:rPr>
              <w:t>(tonnes C</w:t>
            </w:r>
            <w:r>
              <w:rPr>
                <w:spacing w:val="2"/>
                <w:sz w:val="16"/>
              </w:rPr>
              <w:t> </w:t>
            </w:r>
            <w:r>
              <w:rPr>
                <w:sz w:val="16"/>
              </w:rPr>
              <w:t>ha</w:t>
            </w:r>
            <w:r>
              <w:rPr>
                <w:sz w:val="16"/>
                <w:vertAlign w:val="superscript"/>
              </w:rPr>
              <w:t>-1</w:t>
            </w:r>
            <w:r>
              <w:rPr>
                <w:sz w:val="16"/>
                <w:vertAlign w:val="baseline"/>
              </w:rPr>
              <w:t>)</w:t>
            </w:r>
          </w:p>
          <w:p>
            <w:pPr>
              <w:pStyle w:val="TableParagraph"/>
              <w:spacing w:line="350" w:lineRule="atLeast" w:before="45"/>
              <w:ind w:left="358" w:right="344"/>
              <w:jc w:val="center"/>
              <w:rPr>
                <w:sz w:val="16"/>
              </w:rPr>
            </w:pPr>
            <w:r>
              <w:rPr>
                <w:sz w:val="16"/>
              </w:rPr>
              <w:t>K = C </w:t>
            </w:r>
            <w:r>
              <w:rPr>
                <w:rFonts w:ascii="Symbol" w:hAnsi="Symbol"/>
                <w:sz w:val="16"/>
              </w:rPr>
              <w:t>• </w:t>
            </w:r>
            <w:r>
              <w:rPr>
                <w:sz w:val="16"/>
              </w:rPr>
              <w:t>H </w:t>
            </w:r>
            <w:r>
              <w:rPr>
                <w:rFonts w:ascii="Symbol" w:hAnsi="Symbol"/>
                <w:sz w:val="16"/>
              </w:rPr>
              <w:t>• </w:t>
            </w:r>
            <w:r>
              <w:rPr>
                <w:sz w:val="16"/>
              </w:rPr>
              <w:t>I </w:t>
            </w:r>
            <w:r>
              <w:rPr>
                <w:rFonts w:ascii="Symbol" w:hAnsi="Symbol"/>
                <w:sz w:val="16"/>
              </w:rPr>
              <w:t>• </w:t>
            </w:r>
            <w:r>
              <w:rPr>
                <w:sz w:val="16"/>
              </w:rPr>
              <w:t>J K</w:t>
            </w:r>
          </w:p>
        </w:tc>
        <w:tc>
          <w:tcPr>
            <w:tcW w:w="2160" w:type="dxa"/>
            <w:vMerge w:val="restart"/>
            <w:shd w:val="clear" w:color="auto" w:fill="E4E4E4"/>
          </w:tcPr>
          <w:p>
            <w:pPr>
              <w:pStyle w:val="TableParagraph"/>
              <w:spacing w:before="23"/>
              <w:ind w:left="141" w:right="132"/>
              <w:jc w:val="center"/>
              <w:rPr>
                <w:sz w:val="16"/>
              </w:rPr>
            </w:pPr>
            <w:r>
              <w:rPr>
                <w:sz w:val="16"/>
              </w:rPr>
              <w:t>Annual change in carbon stocks in mineral soils</w:t>
            </w:r>
          </w:p>
          <w:p>
            <w:pPr>
              <w:pStyle w:val="TableParagraph"/>
              <w:rPr>
                <w:sz w:val="16"/>
              </w:rPr>
            </w:pPr>
          </w:p>
          <w:p>
            <w:pPr>
              <w:pStyle w:val="TableParagraph"/>
              <w:ind w:left="617"/>
              <w:rPr>
                <w:sz w:val="16"/>
              </w:rPr>
            </w:pPr>
            <w:r>
              <w:rPr>
                <w:sz w:val="16"/>
              </w:rPr>
              <w:t>(tonnes C yr</w:t>
            </w:r>
            <w:r>
              <w:rPr>
                <w:sz w:val="16"/>
                <w:vertAlign w:val="superscript"/>
              </w:rPr>
              <w:t>-1</w:t>
            </w:r>
            <w:r>
              <w:rPr>
                <w:sz w:val="16"/>
                <w:vertAlign w:val="baseline"/>
              </w:rPr>
              <w:t>)</w:t>
            </w:r>
          </w:p>
          <w:p>
            <w:pPr>
              <w:pStyle w:val="TableParagraph"/>
              <w:spacing w:before="9"/>
              <w:rPr>
                <w:sz w:val="19"/>
              </w:rPr>
            </w:pPr>
          </w:p>
          <w:p>
            <w:pPr>
              <w:pStyle w:val="TableParagraph"/>
              <w:spacing w:line="350" w:lineRule="atLeast"/>
              <w:ind w:left="447" w:right="434"/>
              <w:jc w:val="center"/>
              <w:rPr>
                <w:sz w:val="16"/>
              </w:rPr>
            </w:pPr>
            <w:r>
              <w:rPr>
                <w:sz w:val="16"/>
              </w:rPr>
              <w:t>L = [(K-G) </w:t>
            </w:r>
            <w:r>
              <w:rPr>
                <w:rFonts w:ascii="Symbol" w:hAnsi="Symbol"/>
                <w:sz w:val="16"/>
              </w:rPr>
              <w:t>• </w:t>
            </w:r>
            <w:r>
              <w:rPr>
                <w:sz w:val="16"/>
              </w:rPr>
              <w:t>A] / B L</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30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7" w:right="129"/>
              <w:jc w:val="center"/>
              <w:rPr>
                <w:b/>
                <w:sz w:val="10"/>
              </w:rPr>
            </w:pPr>
            <w:r>
              <w:rPr>
                <w:b/>
                <w:position w:val="2"/>
                <w:sz w:val="16"/>
              </w:rPr>
              <w:t>SOC</w:t>
            </w:r>
            <w:r>
              <w:rPr>
                <w:b/>
                <w:sz w:val="10"/>
              </w:rPr>
              <w:t>(0-T)</w:t>
            </w:r>
          </w:p>
        </w:tc>
        <w:tc>
          <w:tcPr>
            <w:tcW w:w="1980" w:type="dxa"/>
          </w:tcPr>
          <w:p>
            <w:pPr>
              <w:pStyle w:val="TableParagraph"/>
              <w:spacing w:before="53"/>
              <w:ind w:left="147" w:right="138"/>
              <w:jc w:val="center"/>
              <w:rPr>
                <w:b/>
                <w:sz w:val="10"/>
              </w:rPr>
            </w:pPr>
            <w:r>
              <w:rPr>
                <w:b/>
                <w:position w:val="2"/>
                <w:sz w:val="16"/>
              </w:rPr>
              <w:t>F</w:t>
            </w:r>
            <w:r>
              <w:rPr>
                <w:b/>
                <w:sz w:val="10"/>
              </w:rPr>
              <w:t>LU(0)</w:t>
            </w:r>
          </w:p>
        </w:tc>
        <w:tc>
          <w:tcPr>
            <w:tcW w:w="1800" w:type="dxa"/>
          </w:tcPr>
          <w:p>
            <w:pPr>
              <w:pStyle w:val="TableParagraph"/>
              <w:spacing w:before="53"/>
              <w:ind w:left="131" w:right="120"/>
              <w:jc w:val="center"/>
              <w:rPr>
                <w:b/>
                <w:sz w:val="10"/>
              </w:rPr>
            </w:pPr>
            <w:r>
              <w:rPr>
                <w:b/>
                <w:position w:val="2"/>
                <w:sz w:val="16"/>
              </w:rPr>
              <w:t>F</w:t>
            </w:r>
            <w:r>
              <w:rPr>
                <w:b/>
                <w:sz w:val="10"/>
              </w:rPr>
              <w:t>MG(0)</w:t>
            </w:r>
          </w:p>
        </w:tc>
        <w:tc>
          <w:tcPr>
            <w:tcW w:w="1980" w:type="dxa"/>
          </w:tcPr>
          <w:p>
            <w:pPr>
              <w:pStyle w:val="TableParagraph"/>
              <w:spacing w:before="53"/>
              <w:ind w:left="147" w:right="138"/>
              <w:jc w:val="center"/>
              <w:rPr>
                <w:b/>
                <w:sz w:val="10"/>
              </w:rPr>
            </w:pPr>
            <w:r>
              <w:rPr>
                <w:b/>
                <w:position w:val="2"/>
                <w:sz w:val="16"/>
              </w:rPr>
              <w:t>F</w:t>
            </w:r>
            <w:r>
              <w:rPr>
                <w:b/>
                <w:sz w:val="10"/>
              </w:rPr>
              <w:t>I(0)</w:t>
            </w:r>
          </w:p>
        </w:tc>
        <w:tc>
          <w:tcPr>
            <w:tcW w:w="1800" w:type="dxa"/>
          </w:tcPr>
          <w:p>
            <w:pPr>
              <w:pStyle w:val="TableParagraph"/>
              <w:spacing w:before="53"/>
              <w:ind w:left="131" w:right="120"/>
              <w:jc w:val="center"/>
              <w:rPr>
                <w:b/>
                <w:sz w:val="10"/>
              </w:rPr>
            </w:pPr>
            <w:r>
              <w:rPr>
                <w:b/>
                <w:position w:val="2"/>
                <w:sz w:val="16"/>
              </w:rPr>
              <w:t>SOC</w:t>
            </w:r>
            <w:r>
              <w:rPr>
                <w:b/>
                <w:sz w:val="10"/>
              </w:rPr>
              <w:t>0</w:t>
            </w:r>
          </w:p>
        </w:tc>
        <w:tc>
          <w:tcPr>
            <w:tcW w:w="2160" w:type="dxa"/>
            <w:shd w:val="clear" w:color="auto" w:fill="D5D5D5"/>
          </w:tcPr>
          <w:p>
            <w:pPr>
              <w:pStyle w:val="TableParagraph"/>
              <w:tabs>
                <w:tab w:pos="1479" w:val="right" w:leader="none"/>
              </w:tabs>
              <w:spacing w:line="177" w:lineRule="exact" w:before="11"/>
              <w:ind w:left="679"/>
              <w:rPr>
                <w:b/>
                <w:sz w:val="10"/>
              </w:rPr>
            </w:pPr>
            <w:r>
              <w:rPr>
                <w:b/>
                <w:position w:val="2"/>
                <w:sz w:val="16"/>
              </w:rPr>
              <w:t>∆C</w:t>
            </w:r>
            <w:r>
              <w:rPr>
                <w:b/>
                <w:sz w:val="10"/>
              </w:rPr>
              <w:t>LC</w:t>
              <w:tab/>
            </w:r>
            <w:r>
              <w:rPr>
                <w:b/>
                <w:position w:val="9"/>
                <w:sz w:val="10"/>
              </w:rPr>
              <w:t>1</w:t>
            </w:r>
          </w:p>
          <w:p>
            <w:pPr>
              <w:pStyle w:val="TableParagraph"/>
              <w:spacing w:line="87" w:lineRule="exact"/>
              <w:ind w:left="392" w:right="132"/>
              <w:jc w:val="center"/>
              <w:rPr>
                <w:b/>
                <w:sz w:val="10"/>
              </w:rPr>
            </w:pPr>
            <w:r>
              <w:rPr>
                <w:b/>
                <w:sz w:val="10"/>
              </w:rPr>
              <w:t>Mineral</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424"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CL</w:t>
            </w:r>
          </w:p>
        </w:tc>
        <w:tc>
          <w:tcPr>
            <w:tcW w:w="1027" w:type="dxa"/>
          </w:tcPr>
          <w:p>
            <w:pPr>
              <w:pStyle w:val="TableParagraph"/>
              <w:spacing w:before="114"/>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467" w:hRule="atLeast"/>
        </w:trPr>
        <w:tc>
          <w:tcPr>
            <w:tcW w:w="14687" w:type="dxa"/>
            <w:gridSpan w:val="9"/>
          </w:tcPr>
          <w:p>
            <w:pPr>
              <w:pStyle w:val="TableParagraph"/>
              <w:spacing w:before="21"/>
              <w:ind w:left="184" w:hanging="77"/>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4118"/>
        <w:gridCol w:w="4164"/>
        <w:gridCol w:w="36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928" w:type="dxa"/>
            <w:gridSpan w:val="4"/>
          </w:tcPr>
          <w:p>
            <w:pPr>
              <w:pStyle w:val="TableParagraph"/>
              <w:spacing w:before="26"/>
              <w:ind w:left="108"/>
              <w:rPr>
                <w:b/>
                <w:sz w:val="20"/>
              </w:rPr>
            </w:pPr>
            <w:r>
              <w:rPr>
                <w:b/>
                <w:sz w:val="20"/>
              </w:rPr>
              <w:t>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928" w:type="dxa"/>
            <w:gridSpan w:val="4"/>
          </w:tcPr>
          <w:p>
            <w:pPr>
              <w:pStyle w:val="TableParagraph"/>
              <w:spacing w:before="26"/>
              <w:ind w:left="108"/>
              <w:rPr>
                <w:b/>
                <w:sz w:val="20"/>
              </w:rPr>
            </w:pPr>
            <w:r>
              <w:rPr>
                <w:b/>
                <w:sz w:val="20"/>
              </w:rPr>
              <w:t>Land Converted to 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928" w:type="dxa"/>
            <w:gridSpan w:val="4"/>
          </w:tcPr>
          <w:p>
            <w:pPr>
              <w:pStyle w:val="TableParagraph"/>
              <w:spacing w:before="26"/>
              <w:ind w:left="108"/>
              <w:rPr>
                <w:b/>
                <w:sz w:val="20"/>
              </w:rPr>
            </w:pPr>
            <w:r>
              <w:rPr>
                <w:b/>
                <w:sz w:val="20"/>
              </w:rPr>
              <w:t>CL-2c2: Annual change in carbon stocks in organic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928" w:type="dxa"/>
            <w:gridSpan w:val="4"/>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4118" w:type="dxa"/>
            <w:vMerge w:val="restart"/>
            <w:shd w:val="clear" w:color="auto" w:fill="E4E4E4"/>
          </w:tcPr>
          <w:p>
            <w:pPr>
              <w:pStyle w:val="TableParagraph"/>
              <w:spacing w:before="23"/>
              <w:ind w:left="110" w:right="97"/>
              <w:jc w:val="center"/>
              <w:rPr>
                <w:sz w:val="16"/>
              </w:rPr>
            </w:pPr>
            <w:r>
              <w:rPr>
                <w:sz w:val="16"/>
              </w:rPr>
              <w:t>Land area of organic soils in climate type c which are converted to cropland</w:t>
            </w:r>
          </w:p>
          <w:p>
            <w:pPr>
              <w:pStyle w:val="TableParagraph"/>
              <w:rPr>
                <w:sz w:val="16"/>
              </w:rPr>
            </w:pPr>
          </w:p>
          <w:p>
            <w:pPr>
              <w:pStyle w:val="TableParagraph"/>
              <w:ind w:left="926" w:right="915"/>
              <w:jc w:val="center"/>
              <w:rPr>
                <w:sz w:val="16"/>
              </w:rPr>
            </w:pPr>
            <w:r>
              <w:rPr>
                <w:sz w:val="16"/>
              </w:rPr>
              <w:t>(ha)</w:t>
            </w:r>
          </w:p>
          <w:p>
            <w:pPr>
              <w:pStyle w:val="TableParagraph"/>
              <w:rPr>
                <w:sz w:val="18"/>
              </w:rPr>
            </w:pPr>
          </w:p>
          <w:p>
            <w:pPr>
              <w:pStyle w:val="TableParagraph"/>
              <w:spacing w:before="1"/>
              <w:rPr>
                <w:sz w:val="17"/>
              </w:rPr>
            </w:pPr>
          </w:p>
          <w:p>
            <w:pPr>
              <w:pStyle w:val="TableParagraph"/>
              <w:spacing w:line="170" w:lineRule="exact" w:before="1"/>
              <w:ind w:left="12"/>
              <w:jc w:val="center"/>
              <w:rPr>
                <w:sz w:val="16"/>
              </w:rPr>
            </w:pPr>
            <w:r>
              <w:rPr>
                <w:w w:val="100"/>
                <w:sz w:val="16"/>
              </w:rPr>
              <w:t>A</w:t>
            </w:r>
          </w:p>
        </w:tc>
        <w:tc>
          <w:tcPr>
            <w:tcW w:w="4164" w:type="dxa"/>
            <w:vMerge w:val="restart"/>
            <w:shd w:val="clear" w:color="auto" w:fill="E4E4E4"/>
          </w:tcPr>
          <w:p>
            <w:pPr>
              <w:pStyle w:val="TableParagraph"/>
              <w:spacing w:line="480" w:lineRule="auto" w:before="23"/>
              <w:ind w:left="870" w:right="859"/>
              <w:jc w:val="center"/>
              <w:rPr>
                <w:sz w:val="16"/>
              </w:rPr>
            </w:pPr>
            <w:r>
              <w:rPr>
                <w:sz w:val="16"/>
              </w:rPr>
              <w:t>Emission factor for climate type c (tonnes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spacing w:before="1"/>
              <w:rPr>
                <w:sz w:val="17"/>
              </w:rPr>
            </w:pPr>
          </w:p>
          <w:p>
            <w:pPr>
              <w:pStyle w:val="TableParagraph"/>
              <w:spacing w:line="170" w:lineRule="exact" w:before="1"/>
              <w:ind w:left="10"/>
              <w:jc w:val="center"/>
              <w:rPr>
                <w:sz w:val="16"/>
              </w:rPr>
            </w:pPr>
            <w:r>
              <w:rPr>
                <w:w w:val="100"/>
                <w:sz w:val="16"/>
              </w:rPr>
              <w:t>B</w:t>
            </w:r>
          </w:p>
        </w:tc>
        <w:tc>
          <w:tcPr>
            <w:tcW w:w="3619" w:type="dxa"/>
            <w:vMerge w:val="restart"/>
            <w:shd w:val="clear" w:color="auto" w:fill="E4E4E4"/>
          </w:tcPr>
          <w:p>
            <w:pPr>
              <w:pStyle w:val="TableParagraph"/>
              <w:spacing w:line="470" w:lineRule="auto" w:before="22"/>
              <w:ind w:left="274" w:right="260"/>
              <w:jc w:val="center"/>
              <w:rPr>
                <w:sz w:val="16"/>
              </w:rPr>
            </w:pPr>
            <w:r>
              <w:rPr>
                <w:position w:val="2"/>
                <w:sz w:val="16"/>
              </w:rPr>
              <w:t>CO</w:t>
            </w:r>
            <w:r>
              <w:rPr>
                <w:sz w:val="10"/>
              </w:rPr>
              <w:t>2 </w:t>
            </w:r>
            <w:r>
              <w:rPr>
                <w:position w:val="2"/>
                <w:sz w:val="16"/>
              </w:rPr>
              <w:t>emissions from cultivated organic soils </w:t>
            </w:r>
            <w:r>
              <w:rPr>
                <w:sz w:val="16"/>
              </w:rPr>
              <w:t>(tonnes C yr</w:t>
            </w:r>
            <w:r>
              <w:rPr>
                <w:sz w:val="16"/>
                <w:vertAlign w:val="superscript"/>
              </w:rPr>
              <w:t>-1</w:t>
            </w:r>
            <w:r>
              <w:rPr>
                <w:sz w:val="16"/>
                <w:vertAlign w:val="baseline"/>
              </w:rPr>
              <w:t>)</w:t>
            </w:r>
          </w:p>
          <w:p>
            <w:pPr>
              <w:pStyle w:val="TableParagraph"/>
              <w:spacing w:before="19"/>
              <w:ind w:left="269" w:right="261"/>
              <w:jc w:val="center"/>
              <w:rPr>
                <w:sz w:val="16"/>
              </w:rPr>
            </w:pPr>
            <w:r>
              <w:rPr>
                <w:sz w:val="16"/>
              </w:rPr>
              <w:t>C = A </w:t>
            </w:r>
            <w:r>
              <w:rPr>
                <w:rFonts w:ascii="Symbol" w:hAnsi="Symbol"/>
                <w:sz w:val="16"/>
              </w:rPr>
              <w:t>• </w:t>
            </w:r>
            <w:r>
              <w:rPr>
                <w:sz w:val="16"/>
              </w:rPr>
              <w:t>B</w:t>
            </w:r>
          </w:p>
          <w:p>
            <w:pPr>
              <w:pStyle w:val="TableParagraph"/>
              <w:spacing w:before="1"/>
              <w:rPr>
                <w:sz w:val="17"/>
              </w:rPr>
            </w:pPr>
          </w:p>
          <w:p>
            <w:pPr>
              <w:pStyle w:val="TableParagraph"/>
              <w:spacing w:line="170" w:lineRule="exact"/>
              <w:ind w:left="8"/>
              <w:jc w:val="center"/>
              <w:rPr>
                <w:sz w:val="16"/>
              </w:rPr>
            </w:pPr>
            <w:r>
              <w:rPr>
                <w:w w:val="100"/>
                <w:sz w:val="16"/>
              </w:rPr>
              <w:t>C</w:t>
            </w:r>
          </w:p>
        </w:tc>
      </w:tr>
      <w:tr>
        <w:trPr>
          <w:trHeight w:val="947"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4118" w:type="dxa"/>
            <w:vMerge/>
            <w:tcBorders>
              <w:top w:val="nil"/>
            </w:tcBorders>
            <w:shd w:val="clear" w:color="auto" w:fill="E4E4E4"/>
          </w:tcPr>
          <w:p>
            <w:pPr>
              <w:rPr>
                <w:sz w:val="2"/>
                <w:szCs w:val="2"/>
              </w:rPr>
            </w:pPr>
          </w:p>
        </w:tc>
        <w:tc>
          <w:tcPr>
            <w:tcW w:w="4164" w:type="dxa"/>
            <w:vMerge/>
            <w:tcBorders>
              <w:top w:val="nil"/>
            </w:tcBorders>
            <w:shd w:val="clear" w:color="auto" w:fill="E4E4E4"/>
          </w:tcPr>
          <w:p>
            <w:pPr>
              <w:rPr>
                <w:sz w:val="2"/>
                <w:szCs w:val="2"/>
              </w:rPr>
            </w:pPr>
          </w:p>
        </w:tc>
        <w:tc>
          <w:tcPr>
            <w:tcW w:w="3619"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4118" w:type="dxa"/>
          </w:tcPr>
          <w:p>
            <w:pPr>
              <w:pStyle w:val="TableParagraph"/>
              <w:spacing w:before="54"/>
              <w:ind w:left="12"/>
              <w:jc w:val="center"/>
              <w:rPr>
                <w:b/>
                <w:sz w:val="16"/>
              </w:rPr>
            </w:pPr>
            <w:r>
              <w:rPr>
                <w:b/>
                <w:w w:val="100"/>
                <w:sz w:val="16"/>
              </w:rPr>
              <w:t>A</w:t>
            </w:r>
          </w:p>
        </w:tc>
        <w:tc>
          <w:tcPr>
            <w:tcW w:w="4164" w:type="dxa"/>
          </w:tcPr>
          <w:p>
            <w:pPr>
              <w:pStyle w:val="TableParagraph"/>
              <w:spacing w:before="54"/>
              <w:ind w:left="122" w:right="114"/>
              <w:jc w:val="center"/>
              <w:rPr>
                <w:b/>
                <w:sz w:val="16"/>
              </w:rPr>
            </w:pPr>
            <w:r>
              <w:rPr>
                <w:b/>
                <w:sz w:val="16"/>
              </w:rPr>
              <w:t>EF</w:t>
            </w:r>
          </w:p>
        </w:tc>
        <w:tc>
          <w:tcPr>
            <w:tcW w:w="3619" w:type="dxa"/>
            <w:shd w:val="clear" w:color="auto" w:fill="D5D5D5"/>
          </w:tcPr>
          <w:p>
            <w:pPr>
              <w:pStyle w:val="TableParagraph"/>
              <w:tabs>
                <w:tab w:pos="813" w:val="right" w:leader="none"/>
              </w:tabs>
              <w:spacing w:line="177" w:lineRule="exact" w:before="11"/>
              <w:ind w:left="9"/>
              <w:jc w:val="center"/>
              <w:rPr>
                <w:b/>
                <w:sz w:val="10"/>
              </w:rPr>
            </w:pPr>
            <w:r>
              <w:rPr>
                <w:b/>
                <w:position w:val="2"/>
                <w:sz w:val="16"/>
              </w:rPr>
              <w:t>∆C</w:t>
            </w:r>
            <w:r>
              <w:rPr>
                <w:b/>
                <w:sz w:val="10"/>
              </w:rPr>
              <w:t>LC</w:t>
              <w:tab/>
            </w:r>
            <w:r>
              <w:rPr>
                <w:b/>
                <w:position w:val="9"/>
                <w:sz w:val="10"/>
              </w:rPr>
              <w:t>1</w:t>
            </w:r>
          </w:p>
          <w:p>
            <w:pPr>
              <w:pStyle w:val="TableParagraph"/>
              <w:spacing w:line="87" w:lineRule="exact"/>
              <w:ind w:left="274" w:right="12"/>
              <w:jc w:val="center"/>
              <w:rPr>
                <w:b/>
                <w:sz w:val="10"/>
              </w:rPr>
            </w:pPr>
            <w:r>
              <w:rPr>
                <w:b/>
                <w:sz w:val="10"/>
              </w:rPr>
              <w:t>Organic</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421"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CL</w:t>
            </w:r>
          </w:p>
        </w:tc>
        <w:tc>
          <w:tcPr>
            <w:tcW w:w="1027" w:type="dxa"/>
          </w:tcPr>
          <w:p>
            <w:pPr>
              <w:pStyle w:val="TableParagraph"/>
              <w:spacing w:before="114"/>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467" w:hRule="atLeast"/>
        </w:trPr>
        <w:tc>
          <w:tcPr>
            <w:tcW w:w="14802" w:type="dxa"/>
            <w:gridSpan w:val="6"/>
          </w:tcPr>
          <w:p>
            <w:pPr>
              <w:pStyle w:val="TableParagraph"/>
              <w:spacing w:before="21"/>
              <w:ind w:left="184" w:hanging="77"/>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455"/>
        <w:gridCol w:w="3077"/>
        <w:gridCol w:w="3077"/>
        <w:gridCol w:w="3077"/>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13" w:type="dxa"/>
            <w:gridSpan w:val="5"/>
          </w:tcPr>
          <w:p>
            <w:pPr>
              <w:pStyle w:val="TableParagraph"/>
              <w:spacing w:before="26"/>
              <w:ind w:left="108"/>
              <w:rPr>
                <w:b/>
                <w:sz w:val="20"/>
              </w:rPr>
            </w:pPr>
            <w:r>
              <w:rPr>
                <w:b/>
                <w:sz w:val="20"/>
              </w:rPr>
              <w:t>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13" w:type="dxa"/>
            <w:gridSpan w:val="5"/>
          </w:tcPr>
          <w:p>
            <w:pPr>
              <w:pStyle w:val="TableParagraph"/>
              <w:spacing w:before="26"/>
              <w:ind w:left="108"/>
              <w:rPr>
                <w:b/>
                <w:sz w:val="20"/>
              </w:rPr>
            </w:pPr>
            <w:r>
              <w:rPr>
                <w:b/>
                <w:sz w:val="20"/>
              </w:rPr>
              <w:t>Land Converted to 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13" w:type="dxa"/>
            <w:gridSpan w:val="5"/>
          </w:tcPr>
          <w:p>
            <w:pPr>
              <w:pStyle w:val="TableParagraph"/>
              <w:spacing w:before="26"/>
              <w:ind w:left="108"/>
              <w:rPr>
                <w:b/>
                <w:sz w:val="20"/>
              </w:rPr>
            </w:pPr>
            <w:r>
              <w:rPr>
                <w:b/>
                <w:sz w:val="20"/>
              </w:rPr>
              <w:t>CL-2c3: Carbon emissions from agricultural lime application</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13" w:type="dxa"/>
            <w:gridSpan w:val="5"/>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455" w:type="dxa"/>
            <w:vMerge w:val="restart"/>
            <w:shd w:val="clear" w:color="auto" w:fill="E4E4E4"/>
          </w:tcPr>
          <w:p>
            <w:pPr>
              <w:pStyle w:val="TableParagraph"/>
              <w:spacing w:before="23"/>
              <w:ind w:left="795" w:right="782"/>
              <w:jc w:val="center"/>
              <w:rPr>
                <w:sz w:val="16"/>
              </w:rPr>
            </w:pPr>
            <w:r>
              <w:rPr>
                <w:sz w:val="16"/>
              </w:rPr>
              <w:t>Type of lime</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0"/>
              <w:rPr>
                <w:sz w:val="24"/>
              </w:rPr>
            </w:pPr>
          </w:p>
          <w:p>
            <w:pPr>
              <w:pStyle w:val="TableParagraph"/>
              <w:spacing w:line="170" w:lineRule="exact"/>
              <w:ind w:left="14"/>
              <w:jc w:val="center"/>
              <w:rPr>
                <w:sz w:val="16"/>
              </w:rPr>
            </w:pPr>
            <w:r>
              <w:rPr>
                <w:w w:val="100"/>
                <w:sz w:val="16"/>
              </w:rPr>
              <w:t>A</w:t>
            </w:r>
          </w:p>
        </w:tc>
        <w:tc>
          <w:tcPr>
            <w:tcW w:w="3077" w:type="dxa"/>
            <w:vMerge w:val="restart"/>
            <w:shd w:val="clear" w:color="auto" w:fill="E4E4E4"/>
          </w:tcPr>
          <w:p>
            <w:pPr>
              <w:pStyle w:val="TableParagraph"/>
              <w:spacing w:line="480" w:lineRule="auto" w:before="23"/>
              <w:ind w:left="163" w:right="151"/>
              <w:jc w:val="center"/>
              <w:rPr>
                <w:sz w:val="16"/>
              </w:rPr>
            </w:pPr>
            <w:r>
              <w:rPr>
                <w:sz w:val="16"/>
              </w:rPr>
              <w:t>Total Annual amount of lime applied (tonnes lime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8"/>
              <w:ind w:left="7"/>
              <w:jc w:val="center"/>
              <w:rPr>
                <w:sz w:val="16"/>
              </w:rPr>
            </w:pPr>
            <w:r>
              <w:rPr>
                <w:w w:val="100"/>
                <w:sz w:val="16"/>
              </w:rPr>
              <w:t>B</w:t>
            </w:r>
          </w:p>
        </w:tc>
        <w:tc>
          <w:tcPr>
            <w:tcW w:w="3077" w:type="dxa"/>
            <w:vMerge w:val="restart"/>
            <w:shd w:val="clear" w:color="auto" w:fill="E4E4E4"/>
          </w:tcPr>
          <w:p>
            <w:pPr>
              <w:pStyle w:val="TableParagraph"/>
              <w:spacing w:before="23"/>
              <w:ind w:left="120" w:right="109"/>
              <w:jc w:val="center"/>
              <w:rPr>
                <w:sz w:val="16"/>
              </w:rPr>
            </w:pPr>
            <w:r>
              <w:rPr>
                <w:sz w:val="16"/>
              </w:rPr>
              <w:t>Emission Factor (carbonate carbon contents of the materials)</w:t>
            </w:r>
          </w:p>
          <w:p>
            <w:pPr>
              <w:pStyle w:val="TableParagraph"/>
              <w:rPr>
                <w:sz w:val="16"/>
              </w:rPr>
            </w:pPr>
          </w:p>
          <w:p>
            <w:pPr>
              <w:pStyle w:val="TableParagraph"/>
              <w:ind w:left="160" w:right="151"/>
              <w:jc w:val="center"/>
              <w:rPr>
                <w:sz w:val="16"/>
              </w:rPr>
            </w:pPr>
            <w:r>
              <w:rPr>
                <w:sz w:val="16"/>
              </w:rPr>
              <w:t>(tonnes C/tonne lime)</w:t>
            </w:r>
          </w:p>
          <w:p>
            <w:pPr>
              <w:pStyle w:val="TableParagraph"/>
              <w:rPr>
                <w:sz w:val="18"/>
              </w:rPr>
            </w:pPr>
          </w:p>
          <w:p>
            <w:pPr>
              <w:pStyle w:val="TableParagraph"/>
              <w:rPr>
                <w:sz w:val="18"/>
              </w:rPr>
            </w:pPr>
          </w:p>
          <w:p>
            <w:pPr>
              <w:pStyle w:val="TableParagraph"/>
              <w:spacing w:line="170" w:lineRule="exact" w:before="148"/>
              <w:ind w:left="7"/>
              <w:jc w:val="center"/>
              <w:rPr>
                <w:sz w:val="16"/>
              </w:rPr>
            </w:pPr>
            <w:r>
              <w:rPr>
                <w:w w:val="100"/>
                <w:sz w:val="16"/>
              </w:rPr>
              <w:t>C</w:t>
            </w:r>
          </w:p>
        </w:tc>
        <w:tc>
          <w:tcPr>
            <w:tcW w:w="3077" w:type="dxa"/>
            <w:vMerge w:val="restart"/>
            <w:shd w:val="clear" w:color="auto" w:fill="E4E4E4"/>
          </w:tcPr>
          <w:p>
            <w:pPr>
              <w:pStyle w:val="TableParagraph"/>
              <w:spacing w:line="232" w:lineRule="auto" w:before="27"/>
              <w:ind w:left="163" w:right="149"/>
              <w:jc w:val="center"/>
              <w:rPr>
                <w:sz w:val="16"/>
              </w:rPr>
            </w:pPr>
            <w:r>
              <w:rPr>
                <w:position w:val="2"/>
                <w:sz w:val="16"/>
              </w:rPr>
              <w:t>Annual CO</w:t>
            </w:r>
            <w:r>
              <w:rPr>
                <w:sz w:val="10"/>
              </w:rPr>
              <w:t>2 </w:t>
            </w:r>
            <w:r>
              <w:rPr>
                <w:position w:val="2"/>
                <w:sz w:val="16"/>
              </w:rPr>
              <w:t>emissions from agricultural </w:t>
            </w:r>
            <w:r>
              <w:rPr>
                <w:sz w:val="16"/>
              </w:rPr>
              <w:t>lime application</w:t>
            </w:r>
          </w:p>
          <w:p>
            <w:pPr>
              <w:pStyle w:val="TableParagraph"/>
              <w:rPr>
                <w:sz w:val="16"/>
              </w:rPr>
            </w:pPr>
          </w:p>
          <w:p>
            <w:pPr>
              <w:pStyle w:val="TableParagraph"/>
              <w:spacing w:line="494" w:lineRule="auto"/>
              <w:ind w:left="1054" w:right="1041"/>
              <w:jc w:val="center"/>
              <w:rPr>
                <w:sz w:val="16"/>
              </w:rPr>
            </w:pPr>
            <w:r>
              <w:rPr>
                <w:sz w:val="16"/>
              </w:rPr>
              <w:t>(tonnes C yr</w:t>
            </w:r>
            <w:r>
              <w:rPr>
                <w:sz w:val="16"/>
                <w:vertAlign w:val="superscript"/>
              </w:rPr>
              <w:t>-1</w:t>
            </w:r>
            <w:r>
              <w:rPr>
                <w:sz w:val="16"/>
                <w:vertAlign w:val="baseline"/>
              </w:rPr>
              <w:t>) D = B </w:t>
            </w:r>
            <w:r>
              <w:rPr>
                <w:rFonts w:ascii="Symbol" w:hAnsi="Symbol"/>
                <w:sz w:val="16"/>
                <w:vertAlign w:val="baseline"/>
              </w:rPr>
              <w:t>• </w:t>
            </w:r>
            <w:r>
              <w:rPr>
                <w:sz w:val="16"/>
                <w:vertAlign w:val="baseline"/>
              </w:rPr>
              <w:t>C</w:t>
            </w:r>
          </w:p>
          <w:p>
            <w:pPr>
              <w:pStyle w:val="TableParagraph"/>
              <w:spacing w:line="145" w:lineRule="exact"/>
              <w:ind w:left="11"/>
              <w:jc w:val="center"/>
              <w:rPr>
                <w:sz w:val="16"/>
              </w:rPr>
            </w:pPr>
            <w:r>
              <w:rPr>
                <w:w w:val="100"/>
                <w:sz w:val="16"/>
              </w:rPr>
              <w:t>D</w:t>
            </w:r>
          </w:p>
        </w:tc>
      </w:tr>
      <w:tr>
        <w:trPr>
          <w:trHeight w:val="110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455"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455" w:type="dxa"/>
          </w:tcPr>
          <w:p>
            <w:pPr>
              <w:pStyle w:val="TableParagraph"/>
              <w:spacing w:before="54"/>
              <w:ind w:left="791" w:right="782"/>
              <w:jc w:val="center"/>
              <w:rPr>
                <w:b/>
                <w:sz w:val="16"/>
              </w:rPr>
            </w:pPr>
            <w:r>
              <w:rPr>
                <w:b/>
                <w:sz w:val="16"/>
              </w:rPr>
              <w:t>type</w:t>
            </w:r>
          </w:p>
        </w:tc>
        <w:tc>
          <w:tcPr>
            <w:tcW w:w="3077" w:type="dxa"/>
          </w:tcPr>
          <w:p>
            <w:pPr>
              <w:pStyle w:val="TableParagraph"/>
              <w:spacing w:before="54"/>
              <w:ind w:left="159" w:right="151"/>
              <w:jc w:val="center"/>
              <w:rPr>
                <w:b/>
                <w:sz w:val="16"/>
              </w:rPr>
            </w:pPr>
            <w:r>
              <w:rPr>
                <w:b/>
                <w:sz w:val="16"/>
              </w:rPr>
              <w:t>Amount</w:t>
            </w:r>
          </w:p>
        </w:tc>
        <w:tc>
          <w:tcPr>
            <w:tcW w:w="3077" w:type="dxa"/>
          </w:tcPr>
          <w:p>
            <w:pPr>
              <w:pStyle w:val="TableParagraph"/>
              <w:spacing w:before="54"/>
              <w:ind w:left="161" w:right="151"/>
              <w:jc w:val="center"/>
              <w:rPr>
                <w:b/>
                <w:sz w:val="16"/>
              </w:rPr>
            </w:pPr>
            <w:r>
              <w:rPr>
                <w:b/>
                <w:sz w:val="16"/>
              </w:rPr>
              <w:t>EF</w:t>
            </w:r>
          </w:p>
        </w:tc>
        <w:tc>
          <w:tcPr>
            <w:tcW w:w="3077" w:type="dxa"/>
            <w:shd w:val="clear" w:color="auto" w:fill="D5D5D5"/>
          </w:tcPr>
          <w:p>
            <w:pPr>
              <w:pStyle w:val="TableParagraph"/>
              <w:tabs>
                <w:tab w:pos="773" w:val="right" w:leader="none"/>
              </w:tabs>
              <w:spacing w:line="177" w:lineRule="exact" w:before="11"/>
              <w:ind w:left="7"/>
              <w:jc w:val="center"/>
              <w:rPr>
                <w:b/>
                <w:sz w:val="10"/>
              </w:rPr>
            </w:pPr>
            <w:r>
              <w:rPr>
                <w:b/>
                <w:position w:val="2"/>
                <w:sz w:val="16"/>
              </w:rPr>
              <w:t>∆C</w:t>
            </w:r>
            <w:r>
              <w:rPr>
                <w:b/>
                <w:sz w:val="10"/>
              </w:rPr>
              <w:t>LC</w:t>
              <w:tab/>
            </w:r>
            <w:r>
              <w:rPr>
                <w:b/>
                <w:position w:val="9"/>
                <w:sz w:val="10"/>
              </w:rPr>
              <w:t>1</w:t>
            </w:r>
          </w:p>
          <w:p>
            <w:pPr>
              <w:pStyle w:val="TableParagraph"/>
              <w:spacing w:line="87" w:lineRule="exact"/>
              <w:ind w:left="410" w:right="151"/>
              <w:jc w:val="center"/>
              <w:rPr>
                <w:b/>
                <w:sz w:val="10"/>
              </w:rPr>
            </w:pPr>
            <w:r>
              <w:rPr>
                <w:b/>
                <w:sz w:val="10"/>
              </w:rPr>
              <w:t>Liming</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422"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CL</w:t>
            </w:r>
          </w:p>
        </w:tc>
        <w:tc>
          <w:tcPr>
            <w:tcW w:w="1027" w:type="dxa"/>
          </w:tcPr>
          <w:p>
            <w:pPr>
              <w:pStyle w:val="TableParagraph"/>
              <w:spacing w:before="114"/>
              <w:ind w:left="108"/>
              <w:rPr>
                <w:sz w:val="16"/>
              </w:rPr>
            </w:pPr>
            <w:r>
              <w:rPr>
                <w:sz w:val="16"/>
              </w:rPr>
              <w:t>(a)</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467" w:hRule="atLeast"/>
        </w:trPr>
        <w:tc>
          <w:tcPr>
            <w:tcW w:w="14587" w:type="dxa"/>
            <w:gridSpan w:val="7"/>
          </w:tcPr>
          <w:p>
            <w:pPr>
              <w:pStyle w:val="TableParagraph"/>
              <w:spacing w:before="21"/>
              <w:ind w:left="184" w:hanging="77"/>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4"/>
        <w:gridCol w:w="801"/>
        <w:gridCol w:w="2896"/>
        <w:gridCol w:w="2896"/>
        <w:gridCol w:w="3618"/>
      </w:tblGrid>
      <w:tr>
        <w:trPr>
          <w:trHeight w:val="285" w:hRule="atLeast"/>
        </w:trPr>
        <w:tc>
          <w:tcPr>
            <w:tcW w:w="1874" w:type="dxa"/>
            <w:shd w:val="clear" w:color="auto" w:fill="BFBFBF"/>
          </w:tcPr>
          <w:p>
            <w:pPr>
              <w:pStyle w:val="TableParagraph"/>
              <w:spacing w:before="26"/>
              <w:ind w:left="107"/>
              <w:rPr>
                <w:b/>
                <w:sz w:val="20"/>
              </w:rPr>
            </w:pPr>
            <w:r>
              <w:rPr>
                <w:b/>
                <w:sz w:val="20"/>
              </w:rPr>
              <w:t>Module</w:t>
            </w:r>
          </w:p>
        </w:tc>
        <w:tc>
          <w:tcPr>
            <w:tcW w:w="10211" w:type="dxa"/>
            <w:gridSpan w:val="4"/>
          </w:tcPr>
          <w:p>
            <w:pPr>
              <w:pStyle w:val="TableParagraph"/>
              <w:spacing w:before="26"/>
              <w:ind w:left="108"/>
              <w:rPr>
                <w:b/>
                <w:sz w:val="20"/>
              </w:rPr>
            </w:pPr>
            <w:r>
              <w:rPr>
                <w:b/>
                <w:sz w:val="20"/>
              </w:rPr>
              <w:t>Cropland</w:t>
            </w:r>
          </w:p>
        </w:tc>
      </w:tr>
      <w:tr>
        <w:trPr>
          <w:trHeight w:val="285" w:hRule="atLeast"/>
        </w:trPr>
        <w:tc>
          <w:tcPr>
            <w:tcW w:w="1874" w:type="dxa"/>
            <w:shd w:val="clear" w:color="auto" w:fill="BFBFBF"/>
          </w:tcPr>
          <w:p>
            <w:pPr>
              <w:pStyle w:val="TableParagraph"/>
              <w:spacing w:before="26"/>
              <w:ind w:left="107"/>
              <w:rPr>
                <w:b/>
                <w:sz w:val="20"/>
              </w:rPr>
            </w:pPr>
            <w:r>
              <w:rPr>
                <w:b/>
                <w:sz w:val="20"/>
              </w:rPr>
              <w:t>Sub-module</w:t>
            </w:r>
          </w:p>
        </w:tc>
        <w:tc>
          <w:tcPr>
            <w:tcW w:w="10211" w:type="dxa"/>
            <w:gridSpan w:val="4"/>
          </w:tcPr>
          <w:p>
            <w:pPr>
              <w:pStyle w:val="TableParagraph"/>
              <w:spacing w:before="26"/>
              <w:ind w:left="108"/>
              <w:rPr>
                <w:b/>
                <w:sz w:val="20"/>
              </w:rPr>
            </w:pPr>
            <w:r>
              <w:rPr>
                <w:b/>
                <w:sz w:val="20"/>
              </w:rPr>
              <w:t>Land Converted to Cropland</w:t>
            </w:r>
          </w:p>
        </w:tc>
      </w:tr>
      <w:tr>
        <w:trPr>
          <w:trHeight w:val="287" w:hRule="atLeast"/>
        </w:trPr>
        <w:tc>
          <w:tcPr>
            <w:tcW w:w="1874" w:type="dxa"/>
            <w:shd w:val="clear" w:color="auto" w:fill="BFBFBF"/>
          </w:tcPr>
          <w:p>
            <w:pPr>
              <w:pStyle w:val="TableParagraph"/>
              <w:spacing w:before="26"/>
              <w:ind w:left="107"/>
              <w:rPr>
                <w:b/>
                <w:sz w:val="20"/>
              </w:rPr>
            </w:pPr>
            <w:r>
              <w:rPr>
                <w:b/>
                <w:sz w:val="20"/>
              </w:rPr>
              <w:t>Worksheet</w:t>
            </w:r>
          </w:p>
        </w:tc>
        <w:tc>
          <w:tcPr>
            <w:tcW w:w="10211" w:type="dxa"/>
            <w:gridSpan w:val="4"/>
          </w:tcPr>
          <w:p>
            <w:pPr>
              <w:pStyle w:val="TableParagraph"/>
              <w:spacing w:before="26"/>
              <w:ind w:left="108"/>
              <w:rPr>
                <w:b/>
                <w:sz w:val="20"/>
              </w:rPr>
            </w:pPr>
            <w:r>
              <w:rPr>
                <w:b/>
                <w:sz w:val="20"/>
              </w:rPr>
              <w:t>CL-2c4: Annual soil carbon stock change in croplands</w:t>
            </w:r>
          </w:p>
        </w:tc>
      </w:tr>
      <w:tr>
        <w:trPr>
          <w:trHeight w:val="285" w:hRule="atLeast"/>
        </w:trPr>
        <w:tc>
          <w:tcPr>
            <w:tcW w:w="1874" w:type="dxa"/>
            <w:shd w:val="clear" w:color="auto" w:fill="BFBFBF"/>
          </w:tcPr>
          <w:p>
            <w:pPr>
              <w:pStyle w:val="TableParagraph"/>
              <w:spacing w:before="26"/>
              <w:ind w:left="107"/>
              <w:rPr>
                <w:b/>
                <w:sz w:val="20"/>
              </w:rPr>
            </w:pPr>
            <w:r>
              <w:rPr>
                <w:b/>
                <w:sz w:val="20"/>
              </w:rPr>
              <w:t>Sheet</w:t>
            </w:r>
          </w:p>
        </w:tc>
        <w:tc>
          <w:tcPr>
            <w:tcW w:w="10211" w:type="dxa"/>
            <w:gridSpan w:val="4"/>
          </w:tcPr>
          <w:p>
            <w:pPr>
              <w:pStyle w:val="TableParagraph"/>
              <w:spacing w:before="26"/>
              <w:ind w:left="108"/>
              <w:rPr>
                <w:b/>
                <w:sz w:val="20"/>
              </w:rPr>
            </w:pPr>
            <w:r>
              <w:rPr>
                <w:b/>
                <w:sz w:val="20"/>
              </w:rPr>
              <w:t>1 of 1</w:t>
            </w:r>
          </w:p>
        </w:tc>
      </w:tr>
      <w:tr>
        <w:trPr>
          <w:trHeight w:val="213" w:hRule="atLeast"/>
        </w:trPr>
        <w:tc>
          <w:tcPr>
            <w:tcW w:w="2675" w:type="dxa"/>
            <w:gridSpan w:val="2"/>
            <w:tcBorders>
              <w:bottom w:val="nil"/>
            </w:tcBorders>
            <w:shd w:val="clear" w:color="auto" w:fill="E4E4E4"/>
          </w:tcPr>
          <w:p>
            <w:pPr>
              <w:pStyle w:val="TableParagraph"/>
              <w:spacing w:line="171" w:lineRule="exact" w:before="23"/>
              <w:ind w:left="210"/>
              <w:rPr>
                <w:sz w:val="16"/>
              </w:rPr>
            </w:pPr>
            <w:r>
              <w:rPr>
                <w:sz w:val="16"/>
              </w:rPr>
              <w:t>Annual soil carbon stock change in</w:t>
            </w:r>
          </w:p>
        </w:tc>
        <w:tc>
          <w:tcPr>
            <w:tcW w:w="2896" w:type="dxa"/>
            <w:tcBorders>
              <w:bottom w:val="nil"/>
            </w:tcBorders>
            <w:shd w:val="clear" w:color="auto" w:fill="E4E4E4"/>
          </w:tcPr>
          <w:p>
            <w:pPr>
              <w:pStyle w:val="TableParagraph"/>
              <w:spacing w:line="171" w:lineRule="exact" w:before="23"/>
              <w:ind w:left="191" w:right="181"/>
              <w:jc w:val="center"/>
              <w:rPr>
                <w:sz w:val="16"/>
              </w:rPr>
            </w:pPr>
            <w:r>
              <w:rPr>
                <w:sz w:val="16"/>
              </w:rPr>
              <w:t>Carbon emissions from cultivated</w:t>
            </w:r>
          </w:p>
        </w:tc>
        <w:tc>
          <w:tcPr>
            <w:tcW w:w="2896" w:type="dxa"/>
            <w:tcBorders>
              <w:bottom w:val="nil"/>
            </w:tcBorders>
            <w:shd w:val="clear" w:color="auto" w:fill="E4E4E4"/>
          </w:tcPr>
          <w:p>
            <w:pPr>
              <w:pStyle w:val="TableParagraph"/>
              <w:spacing w:line="171" w:lineRule="exact" w:before="22"/>
              <w:ind w:left="192" w:right="180"/>
              <w:jc w:val="center"/>
              <w:rPr>
                <w:sz w:val="16"/>
              </w:rPr>
            </w:pPr>
            <w:r>
              <w:rPr>
                <w:position w:val="2"/>
                <w:sz w:val="16"/>
              </w:rPr>
              <w:t>CO</w:t>
            </w:r>
            <w:r>
              <w:rPr>
                <w:sz w:val="10"/>
              </w:rPr>
              <w:t>2 </w:t>
            </w:r>
            <w:r>
              <w:rPr>
                <w:position w:val="2"/>
                <w:sz w:val="16"/>
              </w:rPr>
              <w:t>Emissions from liming</w:t>
            </w:r>
          </w:p>
        </w:tc>
        <w:tc>
          <w:tcPr>
            <w:tcW w:w="3618" w:type="dxa"/>
            <w:tcBorders>
              <w:bottom w:val="nil"/>
            </w:tcBorders>
            <w:shd w:val="clear" w:color="auto" w:fill="E4E4E4"/>
          </w:tcPr>
          <w:p>
            <w:pPr>
              <w:pStyle w:val="TableParagraph"/>
              <w:spacing w:line="171" w:lineRule="exact" w:before="23"/>
              <w:ind w:left="519" w:right="507"/>
              <w:jc w:val="center"/>
              <w:rPr>
                <w:sz w:val="16"/>
              </w:rPr>
            </w:pPr>
            <w:r>
              <w:rPr>
                <w:sz w:val="16"/>
              </w:rPr>
              <w:t>Annual change in carbon stocks in soils</w:t>
            </w:r>
          </w:p>
        </w:tc>
      </w:tr>
      <w:tr>
        <w:trPr>
          <w:trHeight w:val="547" w:hRule="atLeast"/>
        </w:trPr>
        <w:tc>
          <w:tcPr>
            <w:tcW w:w="2675" w:type="dxa"/>
            <w:gridSpan w:val="2"/>
            <w:tcBorders>
              <w:top w:val="nil"/>
              <w:bottom w:val="nil"/>
            </w:tcBorders>
            <w:shd w:val="clear" w:color="auto" w:fill="E4E4E4"/>
          </w:tcPr>
          <w:p>
            <w:pPr>
              <w:pStyle w:val="TableParagraph"/>
              <w:spacing w:line="178" w:lineRule="exact"/>
              <w:ind w:left="851" w:right="841"/>
              <w:jc w:val="center"/>
              <w:rPr>
                <w:sz w:val="16"/>
              </w:rPr>
            </w:pPr>
            <w:r>
              <w:rPr>
                <w:sz w:val="16"/>
              </w:rPr>
              <w:t>mineral soils</w:t>
            </w:r>
          </w:p>
          <w:p>
            <w:pPr>
              <w:pStyle w:val="TableParagraph"/>
              <w:spacing w:before="10"/>
              <w:rPr>
                <w:sz w:val="15"/>
              </w:rPr>
            </w:pPr>
          </w:p>
          <w:p>
            <w:pPr>
              <w:pStyle w:val="TableParagraph"/>
              <w:spacing w:line="166" w:lineRule="exact"/>
              <w:ind w:left="851" w:right="843"/>
              <w:jc w:val="center"/>
              <w:rPr>
                <w:sz w:val="16"/>
              </w:rPr>
            </w:pPr>
            <w:r>
              <w:rPr>
                <w:sz w:val="16"/>
              </w:rPr>
              <w:t>(tonnes C yr</w:t>
            </w:r>
            <w:r>
              <w:rPr>
                <w:sz w:val="16"/>
                <w:vertAlign w:val="superscript"/>
              </w:rPr>
              <w:t>-1</w:t>
            </w:r>
            <w:r>
              <w:rPr>
                <w:sz w:val="16"/>
                <w:vertAlign w:val="baseline"/>
              </w:rPr>
              <w:t>)</w:t>
            </w:r>
          </w:p>
        </w:tc>
        <w:tc>
          <w:tcPr>
            <w:tcW w:w="2896" w:type="dxa"/>
            <w:tcBorders>
              <w:top w:val="nil"/>
              <w:bottom w:val="nil"/>
            </w:tcBorders>
            <w:shd w:val="clear" w:color="auto" w:fill="E4E4E4"/>
          </w:tcPr>
          <w:p>
            <w:pPr>
              <w:pStyle w:val="TableParagraph"/>
              <w:spacing w:line="178" w:lineRule="exact"/>
              <w:ind w:left="192" w:right="180"/>
              <w:jc w:val="center"/>
              <w:rPr>
                <w:sz w:val="16"/>
              </w:rPr>
            </w:pPr>
            <w:r>
              <w:rPr>
                <w:sz w:val="16"/>
              </w:rPr>
              <w:t>organic soils</w:t>
            </w:r>
          </w:p>
          <w:p>
            <w:pPr>
              <w:pStyle w:val="TableParagraph"/>
              <w:spacing w:before="10"/>
              <w:rPr>
                <w:sz w:val="15"/>
              </w:rPr>
            </w:pPr>
          </w:p>
          <w:p>
            <w:pPr>
              <w:pStyle w:val="TableParagraph"/>
              <w:spacing w:line="166" w:lineRule="exact"/>
              <w:ind w:left="191" w:right="181"/>
              <w:jc w:val="center"/>
              <w:rPr>
                <w:sz w:val="16"/>
              </w:rPr>
            </w:pPr>
            <w:r>
              <w:rPr>
                <w:sz w:val="16"/>
              </w:rPr>
              <w:t>(tonnes C yr</w:t>
            </w:r>
            <w:r>
              <w:rPr>
                <w:sz w:val="16"/>
                <w:vertAlign w:val="superscript"/>
              </w:rPr>
              <w:t>-1</w:t>
            </w:r>
            <w:r>
              <w:rPr>
                <w:sz w:val="16"/>
                <w:vertAlign w:val="baseline"/>
              </w:rPr>
              <w:t>)</w:t>
            </w:r>
          </w:p>
        </w:tc>
        <w:tc>
          <w:tcPr>
            <w:tcW w:w="2896" w:type="dxa"/>
            <w:tcBorders>
              <w:top w:val="nil"/>
              <w:bottom w:val="nil"/>
            </w:tcBorders>
            <w:shd w:val="clear" w:color="auto" w:fill="E4E4E4"/>
          </w:tcPr>
          <w:p>
            <w:pPr>
              <w:pStyle w:val="TableParagraph"/>
              <w:spacing w:before="4"/>
              <w:rPr>
                <w:sz w:val="15"/>
              </w:rPr>
            </w:pPr>
          </w:p>
          <w:p>
            <w:pPr>
              <w:pStyle w:val="TableParagraph"/>
              <w:ind w:left="192" w:right="180"/>
              <w:jc w:val="center"/>
              <w:rPr>
                <w:sz w:val="16"/>
              </w:rPr>
            </w:pPr>
            <w:r>
              <w:rPr>
                <w:sz w:val="16"/>
              </w:rPr>
              <w:t>(tonnes C yr</w:t>
            </w:r>
            <w:r>
              <w:rPr>
                <w:sz w:val="16"/>
                <w:vertAlign w:val="superscript"/>
              </w:rPr>
              <w:t>-1</w:t>
            </w:r>
            <w:r>
              <w:rPr>
                <w:sz w:val="16"/>
                <w:vertAlign w:val="baseline"/>
              </w:rPr>
              <w:t>)</w:t>
            </w:r>
          </w:p>
        </w:tc>
        <w:tc>
          <w:tcPr>
            <w:tcW w:w="3618" w:type="dxa"/>
            <w:tcBorders>
              <w:top w:val="nil"/>
              <w:bottom w:val="nil"/>
            </w:tcBorders>
            <w:shd w:val="clear" w:color="auto" w:fill="E4E4E4"/>
          </w:tcPr>
          <w:p>
            <w:pPr>
              <w:pStyle w:val="TableParagraph"/>
              <w:spacing w:before="4"/>
              <w:rPr>
                <w:sz w:val="15"/>
              </w:rPr>
            </w:pPr>
          </w:p>
          <w:p>
            <w:pPr>
              <w:pStyle w:val="TableParagraph"/>
              <w:ind w:left="519" w:right="503"/>
              <w:jc w:val="center"/>
              <w:rPr>
                <w:sz w:val="16"/>
              </w:rPr>
            </w:pPr>
            <w:r>
              <w:rPr>
                <w:sz w:val="16"/>
              </w:rPr>
              <w:t>(tonnes C yr</w:t>
            </w:r>
            <w:r>
              <w:rPr>
                <w:sz w:val="16"/>
                <w:vertAlign w:val="superscript"/>
              </w:rPr>
              <w:t>-1</w:t>
            </w:r>
            <w:r>
              <w:rPr>
                <w:sz w:val="16"/>
                <w:vertAlign w:val="baseline"/>
              </w:rPr>
              <w:t>)</w:t>
            </w:r>
          </w:p>
        </w:tc>
      </w:tr>
      <w:tr>
        <w:trPr>
          <w:trHeight w:val="290" w:hRule="atLeast"/>
        </w:trPr>
        <w:tc>
          <w:tcPr>
            <w:tcW w:w="2675" w:type="dxa"/>
            <w:gridSpan w:val="2"/>
            <w:tcBorders>
              <w:top w:val="nil"/>
              <w:bottom w:val="nil"/>
            </w:tcBorders>
            <w:shd w:val="clear" w:color="auto" w:fill="E4E4E4"/>
          </w:tcPr>
          <w:p>
            <w:pPr>
              <w:pStyle w:val="TableParagraph"/>
              <w:rPr>
                <w:sz w:val="16"/>
              </w:rPr>
            </w:pPr>
          </w:p>
        </w:tc>
        <w:tc>
          <w:tcPr>
            <w:tcW w:w="2896" w:type="dxa"/>
            <w:tcBorders>
              <w:top w:val="nil"/>
              <w:bottom w:val="nil"/>
            </w:tcBorders>
            <w:shd w:val="clear" w:color="auto" w:fill="E4E4E4"/>
          </w:tcPr>
          <w:p>
            <w:pPr>
              <w:pStyle w:val="TableParagraph"/>
              <w:rPr>
                <w:sz w:val="16"/>
              </w:rPr>
            </w:pPr>
          </w:p>
        </w:tc>
        <w:tc>
          <w:tcPr>
            <w:tcW w:w="2896" w:type="dxa"/>
            <w:tcBorders>
              <w:top w:val="nil"/>
              <w:bottom w:val="nil"/>
            </w:tcBorders>
            <w:shd w:val="clear" w:color="auto" w:fill="E4E4E4"/>
          </w:tcPr>
          <w:p>
            <w:pPr>
              <w:pStyle w:val="TableParagraph"/>
              <w:rPr>
                <w:sz w:val="16"/>
              </w:rPr>
            </w:pPr>
          </w:p>
        </w:tc>
        <w:tc>
          <w:tcPr>
            <w:tcW w:w="3618" w:type="dxa"/>
            <w:tcBorders>
              <w:top w:val="nil"/>
              <w:bottom w:val="nil"/>
            </w:tcBorders>
            <w:shd w:val="clear" w:color="auto" w:fill="E4E4E4"/>
          </w:tcPr>
          <w:p>
            <w:pPr>
              <w:pStyle w:val="TableParagraph"/>
              <w:spacing w:line="180" w:lineRule="exact"/>
              <w:ind w:left="519" w:right="507"/>
              <w:jc w:val="center"/>
              <w:rPr>
                <w:sz w:val="16"/>
              </w:rPr>
            </w:pPr>
            <w:r>
              <w:rPr>
                <w:sz w:val="16"/>
              </w:rPr>
              <w:t>C = A-B-C</w:t>
            </w:r>
          </w:p>
        </w:tc>
      </w:tr>
      <w:tr>
        <w:trPr>
          <w:trHeight w:val="294" w:hRule="atLeast"/>
        </w:trPr>
        <w:tc>
          <w:tcPr>
            <w:tcW w:w="2675" w:type="dxa"/>
            <w:gridSpan w:val="2"/>
            <w:tcBorders>
              <w:top w:val="nil"/>
            </w:tcBorders>
            <w:shd w:val="clear" w:color="auto" w:fill="E4E4E4"/>
          </w:tcPr>
          <w:p>
            <w:pPr>
              <w:pStyle w:val="TableParagraph"/>
              <w:spacing w:line="170" w:lineRule="exact" w:before="104"/>
              <w:ind w:left="13"/>
              <w:jc w:val="center"/>
              <w:rPr>
                <w:sz w:val="16"/>
              </w:rPr>
            </w:pPr>
            <w:r>
              <w:rPr>
                <w:w w:val="100"/>
                <w:sz w:val="16"/>
              </w:rPr>
              <w:t>A</w:t>
            </w:r>
          </w:p>
        </w:tc>
        <w:tc>
          <w:tcPr>
            <w:tcW w:w="2896" w:type="dxa"/>
            <w:tcBorders>
              <w:top w:val="nil"/>
            </w:tcBorders>
            <w:shd w:val="clear" w:color="auto" w:fill="E4E4E4"/>
          </w:tcPr>
          <w:p>
            <w:pPr>
              <w:pStyle w:val="TableParagraph"/>
              <w:spacing w:line="170" w:lineRule="exact" w:before="104"/>
              <w:ind w:left="11"/>
              <w:jc w:val="center"/>
              <w:rPr>
                <w:sz w:val="16"/>
              </w:rPr>
            </w:pPr>
            <w:r>
              <w:rPr>
                <w:w w:val="100"/>
                <w:sz w:val="16"/>
              </w:rPr>
              <w:t>B</w:t>
            </w:r>
          </w:p>
        </w:tc>
        <w:tc>
          <w:tcPr>
            <w:tcW w:w="2896" w:type="dxa"/>
            <w:tcBorders>
              <w:top w:val="nil"/>
            </w:tcBorders>
            <w:shd w:val="clear" w:color="auto" w:fill="E4E4E4"/>
          </w:tcPr>
          <w:p>
            <w:pPr>
              <w:pStyle w:val="TableParagraph"/>
              <w:spacing w:line="170" w:lineRule="exact" w:before="104"/>
              <w:ind w:left="13"/>
              <w:jc w:val="center"/>
              <w:rPr>
                <w:sz w:val="16"/>
              </w:rPr>
            </w:pPr>
            <w:r>
              <w:rPr>
                <w:w w:val="100"/>
                <w:sz w:val="16"/>
              </w:rPr>
              <w:t>C</w:t>
            </w:r>
          </w:p>
        </w:tc>
        <w:tc>
          <w:tcPr>
            <w:tcW w:w="3618" w:type="dxa"/>
            <w:tcBorders>
              <w:top w:val="nil"/>
            </w:tcBorders>
            <w:shd w:val="clear" w:color="auto" w:fill="E4E4E4"/>
          </w:tcPr>
          <w:p>
            <w:pPr>
              <w:pStyle w:val="TableParagraph"/>
              <w:spacing w:line="170" w:lineRule="exact" w:before="104"/>
              <w:ind w:left="16"/>
              <w:jc w:val="center"/>
              <w:rPr>
                <w:sz w:val="16"/>
              </w:rPr>
            </w:pPr>
            <w:r>
              <w:rPr>
                <w:w w:val="100"/>
                <w:sz w:val="16"/>
              </w:rPr>
              <w:t>D</w:t>
            </w:r>
          </w:p>
        </w:tc>
      </w:tr>
      <w:tr>
        <w:trPr>
          <w:trHeight w:val="239" w:hRule="atLeast"/>
        </w:trPr>
        <w:tc>
          <w:tcPr>
            <w:tcW w:w="2675" w:type="dxa"/>
            <w:gridSpan w:val="2"/>
          </w:tcPr>
          <w:p>
            <w:pPr>
              <w:pStyle w:val="TableParagraph"/>
              <w:rPr>
                <w:sz w:val="16"/>
              </w:rPr>
            </w:pPr>
          </w:p>
        </w:tc>
        <w:tc>
          <w:tcPr>
            <w:tcW w:w="2896" w:type="dxa"/>
          </w:tcPr>
          <w:p>
            <w:pPr>
              <w:pStyle w:val="TableParagraph"/>
              <w:rPr>
                <w:sz w:val="16"/>
              </w:rPr>
            </w:pPr>
          </w:p>
        </w:tc>
        <w:tc>
          <w:tcPr>
            <w:tcW w:w="2896" w:type="dxa"/>
          </w:tcPr>
          <w:p>
            <w:pPr>
              <w:pStyle w:val="TableParagraph"/>
              <w:rPr>
                <w:sz w:val="16"/>
              </w:rPr>
            </w:pPr>
          </w:p>
        </w:tc>
        <w:tc>
          <w:tcPr>
            <w:tcW w:w="3618" w:type="dxa"/>
          </w:tcPr>
          <w:p>
            <w:pPr>
              <w:pStyle w:val="TableParagraph"/>
              <w:rPr>
                <w:sz w:val="16"/>
              </w:rPr>
            </w:pPr>
          </w:p>
        </w:tc>
      </w:tr>
      <w:tr>
        <w:trPr>
          <w:trHeight w:val="299" w:hRule="atLeast"/>
        </w:trPr>
        <w:tc>
          <w:tcPr>
            <w:tcW w:w="2675" w:type="dxa"/>
            <w:gridSpan w:val="2"/>
            <w:shd w:val="clear" w:color="auto" w:fill="D5D5D5"/>
          </w:tcPr>
          <w:p>
            <w:pPr>
              <w:pStyle w:val="TableParagraph"/>
              <w:spacing w:line="164" w:lineRule="exact" w:before="25"/>
              <w:ind w:left="511" w:right="843"/>
              <w:jc w:val="center"/>
              <w:rPr>
                <w:b/>
                <w:sz w:val="10"/>
              </w:rPr>
            </w:pPr>
            <w:r>
              <w:rPr>
                <w:b/>
                <w:position w:val="2"/>
                <w:sz w:val="16"/>
              </w:rPr>
              <w:t>∆C</w:t>
            </w:r>
            <w:r>
              <w:rPr>
                <w:b/>
                <w:sz w:val="10"/>
              </w:rPr>
              <w:t>LC</w:t>
            </w:r>
          </w:p>
          <w:p>
            <w:pPr>
              <w:pStyle w:val="TableParagraph"/>
              <w:spacing w:line="87" w:lineRule="exact"/>
              <w:ind w:left="851" w:right="489"/>
              <w:jc w:val="center"/>
              <w:rPr>
                <w:b/>
                <w:sz w:val="10"/>
              </w:rPr>
            </w:pPr>
            <w:r>
              <w:rPr>
                <w:b/>
                <w:sz w:val="10"/>
              </w:rPr>
              <w:t>Mineral</w:t>
            </w:r>
          </w:p>
        </w:tc>
        <w:tc>
          <w:tcPr>
            <w:tcW w:w="2896" w:type="dxa"/>
            <w:shd w:val="clear" w:color="auto" w:fill="D5D5D5"/>
          </w:tcPr>
          <w:p>
            <w:pPr>
              <w:pStyle w:val="TableParagraph"/>
              <w:spacing w:line="164" w:lineRule="exact" w:before="25"/>
              <w:ind w:left="192" w:right="532"/>
              <w:jc w:val="center"/>
              <w:rPr>
                <w:b/>
                <w:sz w:val="10"/>
              </w:rPr>
            </w:pPr>
            <w:r>
              <w:rPr>
                <w:b/>
                <w:position w:val="2"/>
                <w:sz w:val="16"/>
              </w:rPr>
              <w:t>∆C</w:t>
            </w:r>
            <w:r>
              <w:rPr>
                <w:b/>
                <w:sz w:val="10"/>
              </w:rPr>
              <w:t>LC</w:t>
            </w:r>
          </w:p>
          <w:p>
            <w:pPr>
              <w:pStyle w:val="TableParagraph"/>
              <w:spacing w:line="87" w:lineRule="exact"/>
              <w:ind w:left="542" w:right="181"/>
              <w:jc w:val="center"/>
              <w:rPr>
                <w:b/>
                <w:sz w:val="10"/>
              </w:rPr>
            </w:pPr>
            <w:r>
              <w:rPr>
                <w:b/>
                <w:sz w:val="10"/>
              </w:rPr>
              <w:t>Organic</w:t>
            </w:r>
          </w:p>
        </w:tc>
        <w:tc>
          <w:tcPr>
            <w:tcW w:w="2896" w:type="dxa"/>
            <w:shd w:val="clear" w:color="auto" w:fill="D5D5D5"/>
          </w:tcPr>
          <w:p>
            <w:pPr>
              <w:pStyle w:val="TableParagraph"/>
              <w:spacing w:line="164" w:lineRule="exact" w:before="25"/>
              <w:ind w:left="192" w:right="487"/>
              <w:jc w:val="center"/>
              <w:rPr>
                <w:b/>
                <w:sz w:val="10"/>
              </w:rPr>
            </w:pPr>
            <w:r>
              <w:rPr>
                <w:b/>
                <w:position w:val="2"/>
                <w:sz w:val="16"/>
              </w:rPr>
              <w:t>∆C</w:t>
            </w:r>
            <w:r>
              <w:rPr>
                <w:b/>
                <w:sz w:val="10"/>
              </w:rPr>
              <w:t>LC</w:t>
            </w:r>
          </w:p>
          <w:p>
            <w:pPr>
              <w:pStyle w:val="TableParagraph"/>
              <w:spacing w:line="87" w:lineRule="exact"/>
              <w:ind w:left="547" w:right="181"/>
              <w:jc w:val="center"/>
              <w:rPr>
                <w:b/>
                <w:sz w:val="10"/>
              </w:rPr>
            </w:pPr>
            <w:r>
              <w:rPr>
                <w:b/>
                <w:sz w:val="10"/>
              </w:rPr>
              <w:t>Liming</w:t>
            </w:r>
          </w:p>
        </w:tc>
        <w:tc>
          <w:tcPr>
            <w:tcW w:w="3618" w:type="dxa"/>
            <w:shd w:val="clear" w:color="auto" w:fill="D5D5D5"/>
          </w:tcPr>
          <w:p>
            <w:pPr>
              <w:pStyle w:val="TableParagraph"/>
              <w:spacing w:line="164" w:lineRule="exact" w:before="25"/>
              <w:ind w:left="365" w:right="507"/>
              <w:jc w:val="center"/>
              <w:rPr>
                <w:b/>
                <w:sz w:val="10"/>
              </w:rPr>
            </w:pPr>
            <w:r>
              <w:rPr>
                <w:b/>
                <w:position w:val="2"/>
                <w:sz w:val="16"/>
              </w:rPr>
              <w:t>∆C</w:t>
            </w:r>
            <w:r>
              <w:rPr>
                <w:b/>
                <w:sz w:val="10"/>
              </w:rPr>
              <w:t>LC</w:t>
            </w:r>
          </w:p>
          <w:p>
            <w:pPr>
              <w:pStyle w:val="TableParagraph"/>
              <w:spacing w:line="87" w:lineRule="exact"/>
              <w:ind w:left="519" w:right="152"/>
              <w:jc w:val="center"/>
              <w:rPr>
                <w:b/>
                <w:sz w:val="10"/>
              </w:rPr>
            </w:pPr>
            <w:r>
              <w:rPr>
                <w:b/>
                <w:sz w:val="10"/>
              </w:rPr>
              <w:t>Soil</w:t>
            </w:r>
          </w:p>
        </w:tc>
      </w:tr>
      <w:tr>
        <w:trPr>
          <w:trHeight w:val="239" w:hRule="atLeast"/>
        </w:trPr>
        <w:tc>
          <w:tcPr>
            <w:tcW w:w="2675" w:type="dxa"/>
            <w:gridSpan w:val="2"/>
          </w:tcPr>
          <w:p>
            <w:pPr>
              <w:pStyle w:val="TableParagraph"/>
              <w:rPr>
                <w:sz w:val="16"/>
              </w:rPr>
            </w:pPr>
          </w:p>
        </w:tc>
        <w:tc>
          <w:tcPr>
            <w:tcW w:w="2896" w:type="dxa"/>
          </w:tcPr>
          <w:p>
            <w:pPr>
              <w:pStyle w:val="TableParagraph"/>
              <w:rPr>
                <w:sz w:val="16"/>
              </w:rPr>
            </w:pPr>
          </w:p>
        </w:tc>
        <w:tc>
          <w:tcPr>
            <w:tcW w:w="2896" w:type="dxa"/>
          </w:tcPr>
          <w:p>
            <w:pPr>
              <w:pStyle w:val="TableParagraph"/>
              <w:rPr>
                <w:sz w:val="16"/>
              </w:rPr>
            </w:pPr>
          </w:p>
        </w:tc>
        <w:tc>
          <w:tcPr>
            <w:tcW w:w="3618" w:type="dxa"/>
          </w:tcPr>
          <w:p>
            <w:pPr>
              <w:pStyle w:val="TableParagraph"/>
              <w:rPr>
                <w:sz w:val="16"/>
              </w:rPr>
            </w:pP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381"/>
        <w:gridCol w:w="2609"/>
        <w:gridCol w:w="3257"/>
        <w:gridCol w:w="3475"/>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49" w:type="dxa"/>
            <w:gridSpan w:val="5"/>
          </w:tcPr>
          <w:p>
            <w:pPr>
              <w:pStyle w:val="TableParagraph"/>
              <w:spacing w:before="26"/>
              <w:ind w:left="108"/>
              <w:rPr>
                <w:b/>
                <w:sz w:val="20"/>
              </w:rPr>
            </w:pPr>
            <w:r>
              <w:rPr>
                <w:b/>
                <w:sz w:val="20"/>
              </w:rPr>
              <w:t>Cropland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49" w:type="dxa"/>
            <w:gridSpan w:val="5"/>
          </w:tcPr>
          <w:p>
            <w:pPr>
              <w:pStyle w:val="TableParagraph"/>
              <w:spacing w:before="26"/>
              <w:ind w:left="108"/>
              <w:rPr>
                <w:b/>
                <w:sz w:val="20"/>
              </w:rPr>
            </w:pPr>
            <w:r>
              <w:rPr>
                <w:b/>
                <w:sz w:val="20"/>
              </w:rPr>
              <w:t>Land Converted to Cropland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49" w:type="dxa"/>
            <w:gridSpan w:val="5"/>
          </w:tcPr>
          <w:p>
            <w:pPr>
              <w:pStyle w:val="TableParagraph"/>
              <w:spacing w:before="26"/>
              <w:ind w:left="108"/>
              <w:rPr>
                <w:b/>
                <w:sz w:val="20"/>
              </w:rPr>
            </w:pPr>
            <w:r>
              <w:rPr>
                <w:b/>
                <w:sz w:val="20"/>
              </w:rPr>
              <w:t>CL-2d: Annual emissions of N</w:t>
            </w:r>
            <w:r>
              <w:rPr>
                <w:b/>
                <w:sz w:val="20"/>
                <w:vertAlign w:val="subscript"/>
              </w:rPr>
              <w:t>2</w:t>
            </w:r>
            <w:r>
              <w:rPr>
                <w:b/>
                <w:sz w:val="20"/>
                <w:vertAlign w:val="baseline"/>
              </w:rPr>
              <w:t>O from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49" w:type="dxa"/>
            <w:gridSpan w:val="5"/>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381" w:type="dxa"/>
            <w:vMerge w:val="restart"/>
            <w:shd w:val="clear" w:color="auto" w:fill="E4E4E4"/>
          </w:tcPr>
          <w:p>
            <w:pPr>
              <w:pStyle w:val="TableParagraph"/>
              <w:spacing w:before="23"/>
              <w:ind w:left="108" w:right="94" w:hanging="2"/>
              <w:jc w:val="center"/>
              <w:rPr>
                <w:sz w:val="16"/>
              </w:rPr>
            </w:pPr>
            <w:r>
              <w:rPr>
                <w:sz w:val="16"/>
              </w:rPr>
              <w:t>IPCC default emission factor used to calculate emissions from agricultural land caused by</w:t>
            </w:r>
            <w:r>
              <w:rPr>
                <w:spacing w:val="-16"/>
                <w:sz w:val="16"/>
              </w:rPr>
              <w:t> </w:t>
            </w:r>
            <w:r>
              <w:rPr>
                <w:sz w:val="16"/>
              </w:rPr>
              <w:t>added N, whether in the form of</w:t>
            </w:r>
            <w:r>
              <w:rPr>
                <w:spacing w:val="-9"/>
                <w:sz w:val="16"/>
              </w:rPr>
              <w:t> </w:t>
            </w:r>
            <w:r>
              <w:rPr>
                <w:sz w:val="16"/>
              </w:rPr>
              <w:t>mineral fertilisers, manures, or crop residues</w:t>
            </w:r>
          </w:p>
          <w:p>
            <w:pPr>
              <w:pStyle w:val="TableParagraph"/>
              <w:spacing w:line="360" w:lineRule="exact" w:before="63"/>
              <w:ind w:left="609" w:right="600"/>
              <w:jc w:val="center"/>
              <w:rPr>
                <w:sz w:val="16"/>
              </w:rPr>
            </w:pPr>
            <w:r>
              <w:rPr>
                <w:position w:val="2"/>
                <w:sz w:val="16"/>
              </w:rPr>
              <w:t>(kg N</w:t>
            </w:r>
            <w:r>
              <w:rPr>
                <w:sz w:val="10"/>
              </w:rPr>
              <w:t>2</w:t>
            </w:r>
            <w:r>
              <w:rPr>
                <w:position w:val="2"/>
                <w:sz w:val="16"/>
              </w:rPr>
              <w:t>O-N/ kg N) </w:t>
            </w:r>
            <w:r>
              <w:rPr>
                <w:sz w:val="16"/>
              </w:rPr>
              <w:t>A</w:t>
            </w:r>
          </w:p>
        </w:tc>
        <w:tc>
          <w:tcPr>
            <w:tcW w:w="2609" w:type="dxa"/>
            <w:vMerge w:val="restart"/>
            <w:shd w:val="clear" w:color="auto" w:fill="E4E4E4"/>
          </w:tcPr>
          <w:p>
            <w:pPr>
              <w:pStyle w:val="TableParagraph"/>
              <w:spacing w:before="23"/>
              <w:ind w:left="218" w:right="207" w:firstLine="1"/>
              <w:jc w:val="center"/>
              <w:rPr>
                <w:sz w:val="16"/>
              </w:rPr>
            </w:pPr>
            <w:r>
              <w:rPr>
                <w:sz w:val="16"/>
              </w:rPr>
              <w:t>N released annually by net soil organic matter mineralisation as a result of the disturbance</w:t>
            </w:r>
          </w:p>
          <w:p>
            <w:pPr>
              <w:pStyle w:val="TableParagraph"/>
              <w:spacing w:before="10"/>
              <w:rPr>
                <w:sz w:val="15"/>
              </w:rPr>
            </w:pPr>
          </w:p>
          <w:p>
            <w:pPr>
              <w:pStyle w:val="TableParagraph"/>
              <w:spacing w:line="482" w:lineRule="auto"/>
              <w:ind w:left="684" w:right="673"/>
              <w:jc w:val="center"/>
              <w:rPr>
                <w:sz w:val="16"/>
              </w:rPr>
            </w:pPr>
            <w:r>
              <w:rPr>
                <w:sz w:val="16"/>
              </w:rPr>
              <w:t>(See Note 1 below) (kg N yr</w:t>
            </w:r>
            <w:r>
              <w:rPr>
                <w:sz w:val="16"/>
                <w:vertAlign w:val="superscript"/>
              </w:rPr>
              <w:t>-1</w:t>
            </w:r>
            <w:r>
              <w:rPr>
                <w:sz w:val="16"/>
                <w:vertAlign w:val="baseline"/>
              </w:rPr>
              <w:t>)</w:t>
            </w:r>
          </w:p>
          <w:p>
            <w:pPr>
              <w:pStyle w:val="TableParagraph"/>
              <w:spacing w:before="7"/>
              <w:rPr>
                <w:sz w:val="16"/>
              </w:rPr>
            </w:pPr>
          </w:p>
          <w:p>
            <w:pPr>
              <w:pStyle w:val="TableParagraph"/>
              <w:spacing w:line="170" w:lineRule="exact"/>
              <w:ind w:left="9"/>
              <w:jc w:val="center"/>
              <w:rPr>
                <w:sz w:val="16"/>
              </w:rPr>
            </w:pPr>
            <w:r>
              <w:rPr>
                <w:w w:val="100"/>
                <w:sz w:val="16"/>
              </w:rPr>
              <w:t>B</w:t>
            </w:r>
          </w:p>
        </w:tc>
        <w:tc>
          <w:tcPr>
            <w:tcW w:w="3257" w:type="dxa"/>
            <w:vMerge w:val="restart"/>
            <w:shd w:val="clear" w:color="auto" w:fill="E4E4E4"/>
          </w:tcPr>
          <w:p>
            <w:pPr>
              <w:pStyle w:val="TableParagraph"/>
              <w:spacing w:before="23"/>
              <w:ind w:left="129" w:right="113"/>
              <w:jc w:val="center"/>
              <w:rPr>
                <w:sz w:val="16"/>
              </w:rPr>
            </w:pPr>
            <w:r>
              <w:rPr>
                <w:sz w:val="16"/>
              </w:rPr>
              <w:t>Additional emissions arising from the land-use change</w:t>
            </w:r>
          </w:p>
          <w:p>
            <w:pPr>
              <w:pStyle w:val="TableParagraph"/>
              <w:spacing w:before="10"/>
              <w:rPr>
                <w:sz w:val="15"/>
              </w:rPr>
            </w:pPr>
          </w:p>
          <w:p>
            <w:pPr>
              <w:pStyle w:val="TableParagraph"/>
              <w:spacing w:line="710" w:lineRule="auto" w:before="1"/>
              <w:ind w:left="1103" w:right="1090"/>
              <w:jc w:val="center"/>
              <w:rPr>
                <w:sz w:val="16"/>
              </w:rPr>
            </w:pPr>
            <w:r>
              <w:rPr>
                <w:position w:val="2"/>
                <w:sz w:val="16"/>
              </w:rPr>
              <w:t>(kg N</w:t>
            </w:r>
            <w:r>
              <w:rPr>
                <w:sz w:val="10"/>
              </w:rPr>
              <w:t>2</w:t>
            </w:r>
            <w:r>
              <w:rPr>
                <w:position w:val="2"/>
                <w:sz w:val="16"/>
              </w:rPr>
              <w:t>O-N yr</w:t>
            </w:r>
            <w:r>
              <w:rPr>
                <w:position w:val="2"/>
                <w:sz w:val="16"/>
                <w:vertAlign w:val="superscript"/>
              </w:rPr>
              <w:t>-1</w:t>
            </w:r>
            <w:r>
              <w:rPr>
                <w:position w:val="2"/>
                <w:sz w:val="16"/>
                <w:vertAlign w:val="baseline"/>
              </w:rPr>
              <w:t>) </w:t>
            </w:r>
            <w:r>
              <w:rPr>
                <w:sz w:val="16"/>
                <w:vertAlign w:val="baseline"/>
              </w:rPr>
              <w:t>C = A </w:t>
            </w:r>
            <w:r>
              <w:rPr>
                <w:rFonts w:ascii="Symbol" w:hAnsi="Symbol"/>
                <w:sz w:val="16"/>
                <w:vertAlign w:val="baseline"/>
              </w:rPr>
              <w:t>• </w:t>
            </w:r>
            <w:r>
              <w:rPr>
                <w:sz w:val="16"/>
                <w:vertAlign w:val="baseline"/>
              </w:rPr>
              <w:t>B</w:t>
            </w:r>
          </w:p>
          <w:p>
            <w:pPr>
              <w:pStyle w:val="TableParagraph"/>
              <w:spacing w:line="162" w:lineRule="exact"/>
              <w:ind w:left="9"/>
              <w:jc w:val="center"/>
              <w:rPr>
                <w:sz w:val="16"/>
              </w:rPr>
            </w:pPr>
            <w:r>
              <w:rPr>
                <w:w w:val="100"/>
                <w:sz w:val="16"/>
              </w:rPr>
              <w:t>C</w:t>
            </w:r>
          </w:p>
        </w:tc>
        <w:tc>
          <w:tcPr>
            <w:tcW w:w="3475" w:type="dxa"/>
            <w:vMerge w:val="restart"/>
            <w:shd w:val="clear" w:color="auto" w:fill="E4E4E4"/>
          </w:tcPr>
          <w:p>
            <w:pPr>
              <w:pStyle w:val="TableParagraph"/>
              <w:spacing w:line="235" w:lineRule="auto" w:before="25"/>
              <w:ind w:left="273" w:right="266" w:firstLine="5"/>
              <w:jc w:val="center"/>
              <w:rPr>
                <w:sz w:val="16"/>
              </w:rPr>
            </w:pPr>
            <w:r>
              <w:rPr>
                <w:position w:val="2"/>
                <w:sz w:val="16"/>
              </w:rPr>
              <w:t>N</w:t>
            </w:r>
            <w:r>
              <w:rPr>
                <w:sz w:val="10"/>
              </w:rPr>
              <w:t>2</w:t>
            </w:r>
            <w:r>
              <w:rPr>
                <w:position w:val="2"/>
                <w:sz w:val="16"/>
              </w:rPr>
              <w:t>O emissions as a result of the disturbance </w:t>
            </w:r>
            <w:r>
              <w:rPr>
                <w:sz w:val="16"/>
              </w:rPr>
              <w:t>associated with land-use conversion of forest, grassland or other land to cropland</w:t>
            </w:r>
          </w:p>
          <w:p>
            <w:pPr>
              <w:pStyle w:val="TableParagraph"/>
              <w:spacing w:before="11"/>
              <w:rPr>
                <w:sz w:val="15"/>
              </w:rPr>
            </w:pPr>
          </w:p>
          <w:p>
            <w:pPr>
              <w:pStyle w:val="TableParagraph"/>
              <w:spacing w:line="456" w:lineRule="auto"/>
              <w:ind w:left="1209" w:right="1199"/>
              <w:jc w:val="center"/>
              <w:rPr>
                <w:sz w:val="16"/>
              </w:rPr>
            </w:pPr>
            <w:r>
              <w:rPr>
                <w:position w:val="2"/>
                <w:sz w:val="16"/>
              </w:rPr>
              <w:t>(kg N</w:t>
            </w:r>
            <w:r>
              <w:rPr>
                <w:sz w:val="10"/>
              </w:rPr>
              <w:t>2</w:t>
            </w:r>
            <w:r>
              <w:rPr>
                <w:position w:val="2"/>
                <w:sz w:val="16"/>
              </w:rPr>
              <w:t>O-N yr</w:t>
            </w:r>
            <w:r>
              <w:rPr>
                <w:position w:val="2"/>
                <w:sz w:val="16"/>
                <w:vertAlign w:val="superscript"/>
              </w:rPr>
              <w:t>-1</w:t>
            </w:r>
            <w:r>
              <w:rPr>
                <w:position w:val="2"/>
                <w:sz w:val="16"/>
                <w:vertAlign w:val="baseline"/>
              </w:rPr>
              <w:t>) </w:t>
            </w:r>
            <w:r>
              <w:rPr>
                <w:sz w:val="16"/>
                <w:vertAlign w:val="baseline"/>
              </w:rPr>
              <w:t>D = C</w:t>
            </w:r>
          </w:p>
          <w:p>
            <w:pPr>
              <w:pStyle w:val="TableParagraph"/>
              <w:spacing w:before="6"/>
              <w:rPr>
                <w:sz w:val="18"/>
              </w:rPr>
            </w:pPr>
          </w:p>
          <w:p>
            <w:pPr>
              <w:pStyle w:val="TableParagraph"/>
              <w:spacing w:line="170" w:lineRule="exact"/>
              <w:ind w:left="5"/>
              <w:jc w:val="center"/>
              <w:rPr>
                <w:sz w:val="16"/>
              </w:rPr>
            </w:pPr>
            <w:r>
              <w:rPr>
                <w:w w:val="100"/>
                <w:sz w:val="16"/>
              </w:rPr>
              <w:t>D</w:t>
            </w:r>
          </w:p>
        </w:tc>
      </w:tr>
      <w:tr>
        <w:trPr>
          <w:trHeight w:val="1473"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381" w:type="dxa"/>
            <w:vMerge/>
            <w:tcBorders>
              <w:top w:val="nil"/>
            </w:tcBorders>
            <w:shd w:val="clear" w:color="auto" w:fill="E4E4E4"/>
          </w:tcPr>
          <w:p>
            <w:pPr>
              <w:rPr>
                <w:sz w:val="2"/>
                <w:szCs w:val="2"/>
              </w:rPr>
            </w:pPr>
          </w:p>
        </w:tc>
        <w:tc>
          <w:tcPr>
            <w:tcW w:w="2609" w:type="dxa"/>
            <w:vMerge/>
            <w:tcBorders>
              <w:top w:val="nil"/>
            </w:tcBorders>
            <w:shd w:val="clear" w:color="auto" w:fill="E4E4E4"/>
          </w:tcPr>
          <w:p>
            <w:pPr>
              <w:rPr>
                <w:sz w:val="2"/>
                <w:szCs w:val="2"/>
              </w:rPr>
            </w:pPr>
          </w:p>
        </w:tc>
        <w:tc>
          <w:tcPr>
            <w:tcW w:w="3257" w:type="dxa"/>
            <w:vMerge/>
            <w:tcBorders>
              <w:top w:val="nil"/>
            </w:tcBorders>
            <w:shd w:val="clear" w:color="auto" w:fill="E4E4E4"/>
          </w:tcPr>
          <w:p>
            <w:pPr>
              <w:rPr>
                <w:sz w:val="2"/>
                <w:szCs w:val="2"/>
              </w:rPr>
            </w:pPr>
          </w:p>
        </w:tc>
        <w:tc>
          <w:tcPr>
            <w:tcW w:w="3475" w:type="dxa"/>
            <w:vMerge/>
            <w:tcBorders>
              <w:top w:val="nil"/>
            </w:tcBorders>
            <w:shd w:val="clear" w:color="auto" w:fill="E4E4E4"/>
          </w:tcPr>
          <w:p>
            <w:pPr>
              <w:rPr>
                <w:sz w:val="2"/>
                <w:szCs w:val="2"/>
              </w:rPr>
            </w:pPr>
          </w:p>
        </w:tc>
      </w:tr>
      <w:tr>
        <w:trPr>
          <w:trHeight w:val="208" w:hRule="atLeast"/>
        </w:trPr>
        <w:tc>
          <w:tcPr>
            <w:tcW w:w="924" w:type="dxa"/>
          </w:tcPr>
          <w:p>
            <w:pPr>
              <w:pStyle w:val="TableParagraph"/>
              <w:spacing w:line="176" w:lineRule="exact"/>
              <w:ind w:left="107"/>
              <w:rPr>
                <w:sz w:val="16"/>
              </w:rPr>
            </w:pPr>
            <w:r>
              <w:rPr>
                <w:sz w:val="16"/>
              </w:rPr>
              <w:t>FL</w:t>
            </w:r>
          </w:p>
        </w:tc>
        <w:tc>
          <w:tcPr>
            <w:tcW w:w="950" w:type="dxa"/>
          </w:tcPr>
          <w:p>
            <w:pPr>
              <w:pStyle w:val="TableParagraph"/>
              <w:spacing w:line="176" w:lineRule="exact"/>
              <w:ind w:left="107"/>
              <w:rPr>
                <w:sz w:val="16"/>
              </w:rPr>
            </w:pPr>
            <w:r>
              <w:rPr>
                <w:sz w:val="16"/>
              </w:rPr>
              <w:t>CL</w:t>
            </w:r>
          </w:p>
        </w:tc>
        <w:tc>
          <w:tcPr>
            <w:tcW w:w="1027" w:type="dxa"/>
          </w:tcPr>
          <w:p>
            <w:pPr>
              <w:pStyle w:val="TableParagraph"/>
              <w:spacing w:line="176" w:lineRule="exact"/>
              <w:ind w:left="108"/>
              <w:rPr>
                <w:sz w:val="16"/>
              </w:rPr>
            </w:pPr>
            <w:r>
              <w:rPr>
                <w:sz w:val="16"/>
              </w:rPr>
              <w:t>(a)</w:t>
            </w:r>
          </w:p>
        </w:tc>
        <w:tc>
          <w:tcPr>
            <w:tcW w:w="2381" w:type="dxa"/>
          </w:tcPr>
          <w:p>
            <w:pPr>
              <w:pStyle w:val="TableParagraph"/>
              <w:rPr>
                <w:sz w:val="14"/>
              </w:rPr>
            </w:pPr>
          </w:p>
        </w:tc>
        <w:tc>
          <w:tcPr>
            <w:tcW w:w="2609" w:type="dxa"/>
          </w:tcPr>
          <w:p>
            <w:pPr>
              <w:pStyle w:val="TableParagraph"/>
              <w:rPr>
                <w:sz w:val="14"/>
              </w:rPr>
            </w:pPr>
          </w:p>
        </w:tc>
        <w:tc>
          <w:tcPr>
            <w:tcW w:w="3257" w:type="dxa"/>
          </w:tcPr>
          <w:p>
            <w:pPr>
              <w:pStyle w:val="TableParagraph"/>
              <w:rPr>
                <w:sz w:val="14"/>
              </w:rPr>
            </w:pPr>
          </w:p>
        </w:tc>
        <w:tc>
          <w:tcPr>
            <w:tcW w:w="3475" w:type="dxa"/>
          </w:tcPr>
          <w:p>
            <w:pPr>
              <w:pStyle w:val="TableParagraph"/>
              <w:rPr>
                <w:sz w:val="14"/>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381" w:type="dxa"/>
          </w:tcPr>
          <w:p>
            <w:pPr>
              <w:pStyle w:val="TableParagraph"/>
              <w:spacing w:before="25"/>
              <w:ind w:left="608" w:right="600"/>
              <w:jc w:val="center"/>
              <w:rPr>
                <w:b/>
                <w:sz w:val="10"/>
              </w:rPr>
            </w:pPr>
            <w:r>
              <w:rPr>
                <w:b/>
                <w:position w:val="2"/>
                <w:sz w:val="16"/>
              </w:rPr>
              <w:t>EF</w:t>
            </w:r>
            <w:r>
              <w:rPr>
                <w:b/>
                <w:sz w:val="10"/>
              </w:rPr>
              <w:t>1</w:t>
            </w:r>
          </w:p>
        </w:tc>
        <w:tc>
          <w:tcPr>
            <w:tcW w:w="2609" w:type="dxa"/>
          </w:tcPr>
          <w:p>
            <w:pPr>
              <w:pStyle w:val="TableParagraph"/>
              <w:spacing w:before="25"/>
              <w:ind w:left="163" w:right="152"/>
              <w:jc w:val="center"/>
              <w:rPr>
                <w:b/>
                <w:sz w:val="10"/>
              </w:rPr>
            </w:pPr>
            <w:r>
              <w:rPr>
                <w:b/>
                <w:position w:val="2"/>
                <w:sz w:val="16"/>
              </w:rPr>
              <w:t>N</w:t>
            </w:r>
            <w:r>
              <w:rPr>
                <w:b/>
                <w:sz w:val="10"/>
              </w:rPr>
              <w:t>net-min</w:t>
            </w:r>
          </w:p>
        </w:tc>
        <w:tc>
          <w:tcPr>
            <w:tcW w:w="3257" w:type="dxa"/>
          </w:tcPr>
          <w:p>
            <w:pPr>
              <w:pStyle w:val="TableParagraph"/>
              <w:spacing w:before="25"/>
              <w:ind w:left="125" w:right="113"/>
              <w:jc w:val="center"/>
              <w:rPr>
                <w:b/>
                <w:sz w:val="16"/>
              </w:rPr>
            </w:pPr>
            <w:r>
              <w:rPr>
                <w:b/>
                <w:position w:val="2"/>
                <w:sz w:val="16"/>
              </w:rPr>
              <w:t>N</w:t>
            </w:r>
            <w:r>
              <w:rPr>
                <w:b/>
                <w:sz w:val="10"/>
              </w:rPr>
              <w:t>2</w:t>
            </w:r>
            <w:r>
              <w:rPr>
                <w:b/>
                <w:position w:val="2"/>
                <w:sz w:val="16"/>
              </w:rPr>
              <w:t>O</w:t>
            </w:r>
            <w:r>
              <w:rPr>
                <w:b/>
                <w:sz w:val="10"/>
              </w:rPr>
              <w:t>net-min</w:t>
            </w:r>
            <w:r>
              <w:rPr>
                <w:b/>
                <w:position w:val="2"/>
                <w:sz w:val="16"/>
              </w:rPr>
              <w:t>-N</w:t>
            </w:r>
          </w:p>
        </w:tc>
        <w:tc>
          <w:tcPr>
            <w:tcW w:w="3475" w:type="dxa"/>
            <w:shd w:val="clear" w:color="auto" w:fill="D5D5D5"/>
          </w:tcPr>
          <w:p>
            <w:pPr>
              <w:pStyle w:val="TableParagraph"/>
              <w:spacing w:before="11"/>
              <w:ind w:left="1125"/>
              <w:rPr>
                <w:b/>
                <w:sz w:val="10"/>
              </w:rPr>
            </w:pPr>
            <w:r>
              <w:rPr>
                <w:b/>
                <w:position w:val="2"/>
                <w:sz w:val="16"/>
              </w:rPr>
              <w:t>N</w:t>
            </w:r>
            <w:r>
              <w:rPr>
                <w:b/>
                <w:sz w:val="10"/>
              </w:rPr>
              <w:t>2</w:t>
            </w:r>
            <w:r>
              <w:rPr>
                <w:b/>
                <w:position w:val="2"/>
                <w:sz w:val="16"/>
              </w:rPr>
              <w:t>O Emission</w:t>
            </w:r>
            <w:r>
              <w:rPr>
                <w:b/>
                <w:sz w:val="10"/>
              </w:rPr>
              <w:t>LC </w:t>
            </w:r>
            <w:r>
              <w:rPr>
                <w:b/>
                <w:position w:val="9"/>
                <w:sz w:val="10"/>
              </w:rPr>
              <w:t>2</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CL</w:t>
            </w:r>
          </w:p>
        </w:tc>
        <w:tc>
          <w:tcPr>
            <w:tcW w:w="1027" w:type="dxa"/>
          </w:tcPr>
          <w:p>
            <w:pPr>
              <w:pStyle w:val="TableParagraph"/>
              <w:spacing w:before="23"/>
              <w:ind w:left="108"/>
              <w:rPr>
                <w:sz w:val="16"/>
              </w:rPr>
            </w:pPr>
            <w:r>
              <w:rPr>
                <w:sz w:val="16"/>
              </w:rPr>
              <w:t>(a)</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422"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CL</w:t>
            </w:r>
          </w:p>
        </w:tc>
        <w:tc>
          <w:tcPr>
            <w:tcW w:w="1027" w:type="dxa"/>
          </w:tcPr>
          <w:p>
            <w:pPr>
              <w:pStyle w:val="TableParagraph"/>
              <w:spacing w:before="114"/>
              <w:ind w:left="108"/>
              <w:rPr>
                <w:sz w:val="16"/>
              </w:rPr>
            </w:pPr>
            <w:r>
              <w:rPr>
                <w:sz w:val="16"/>
              </w:rPr>
              <w:t>(a)</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381" w:type="dxa"/>
          </w:tcPr>
          <w:p>
            <w:pPr>
              <w:pStyle w:val="TableParagraph"/>
              <w:rPr>
                <w:sz w:val="16"/>
              </w:rPr>
            </w:pPr>
          </w:p>
        </w:tc>
        <w:tc>
          <w:tcPr>
            <w:tcW w:w="2609" w:type="dxa"/>
          </w:tcPr>
          <w:p>
            <w:pPr>
              <w:pStyle w:val="TableParagraph"/>
              <w:rPr>
                <w:sz w:val="16"/>
              </w:rPr>
            </w:pPr>
          </w:p>
        </w:tc>
        <w:tc>
          <w:tcPr>
            <w:tcW w:w="3257" w:type="dxa"/>
          </w:tcPr>
          <w:p>
            <w:pPr>
              <w:pStyle w:val="TableParagraph"/>
              <w:rPr>
                <w:sz w:val="16"/>
              </w:rPr>
            </w:pPr>
          </w:p>
        </w:tc>
        <w:tc>
          <w:tcPr>
            <w:tcW w:w="3475" w:type="dxa"/>
          </w:tcPr>
          <w:p>
            <w:pPr>
              <w:pStyle w:val="TableParagraph"/>
              <w:rPr>
                <w:sz w:val="16"/>
              </w:rPr>
            </w:pPr>
          </w:p>
        </w:tc>
      </w:tr>
      <w:tr>
        <w:trPr>
          <w:trHeight w:val="750" w:hRule="atLeast"/>
        </w:trPr>
        <w:tc>
          <w:tcPr>
            <w:tcW w:w="14623" w:type="dxa"/>
            <w:gridSpan w:val="7"/>
          </w:tcPr>
          <w:p>
            <w:pPr>
              <w:pStyle w:val="TableParagraph"/>
              <w:spacing w:before="21"/>
              <w:ind w:left="107"/>
              <w:rPr>
                <w:sz w:val="16"/>
              </w:rPr>
            </w:pPr>
            <w:r>
              <w:rPr>
                <w:position w:val="7"/>
                <w:sz w:val="10"/>
              </w:rPr>
              <w:t>1 </w:t>
            </w:r>
            <w:r>
              <w:rPr>
                <w:sz w:val="16"/>
              </w:rPr>
              <w:t>Column C = value of Column A in Worksheet CL-2c4 divided by the C:N ratio (see Equation 3.3.15). The default value for the C:N ratio is 15.</w:t>
            </w:r>
          </w:p>
          <w:p>
            <w:pPr>
              <w:pStyle w:val="TableParagraph"/>
              <w:spacing w:before="85"/>
              <w:ind w:left="184" w:hanging="77"/>
              <w:rPr>
                <w:sz w:val="16"/>
              </w:rPr>
            </w:pPr>
            <w:r>
              <w:rPr>
                <w:position w:val="7"/>
                <w:sz w:val="10"/>
              </w:rPr>
              <w:t>2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2520"/>
        <w:gridCol w:w="2700"/>
        <w:gridCol w:w="252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6"/>
          </w:tcPr>
          <w:p>
            <w:pPr>
              <w:pStyle w:val="TableParagraph"/>
              <w:spacing w:before="26"/>
              <w:ind w:left="108"/>
              <w:rPr>
                <w:b/>
                <w:sz w:val="20"/>
              </w:rPr>
            </w:pPr>
            <w:r>
              <w:rPr>
                <w:b/>
                <w:sz w:val="20"/>
              </w:rPr>
              <w:t>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6"/>
          </w:tcPr>
          <w:p>
            <w:pPr>
              <w:pStyle w:val="TableParagraph"/>
              <w:spacing w:before="26"/>
              <w:ind w:left="107"/>
              <w:rPr>
                <w:b/>
                <w:sz w:val="20"/>
              </w:rPr>
            </w:pPr>
            <w:r>
              <w:rPr>
                <w:b/>
                <w:sz w:val="20"/>
              </w:rPr>
              <w:t>Grassland Remaining 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6"/>
          </w:tcPr>
          <w:p>
            <w:pPr>
              <w:pStyle w:val="TableParagraph"/>
              <w:spacing w:before="26"/>
              <w:ind w:left="108"/>
              <w:rPr>
                <w:b/>
                <w:sz w:val="20"/>
              </w:rPr>
            </w:pPr>
            <w:r>
              <w:rPr>
                <w:b/>
                <w:sz w:val="20"/>
              </w:rPr>
              <w:t>GL-1a: Annual change in carbon stocks in living biomass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6"/>
          </w:tcPr>
          <w:p>
            <w:pPr>
              <w:pStyle w:val="TableParagraph"/>
              <w:spacing w:before="26"/>
              <w:ind w:left="108"/>
              <w:rPr>
                <w:b/>
                <w:sz w:val="20"/>
              </w:rPr>
            </w:pPr>
            <w:r>
              <w:rPr>
                <w:b/>
                <w:sz w:val="20"/>
              </w:rPr>
              <w:t>1 of 2</w:t>
            </w:r>
          </w:p>
        </w:tc>
      </w:tr>
      <w:tr>
        <w:trPr>
          <w:trHeight w:val="395" w:hRule="atLeast"/>
        </w:trPr>
        <w:tc>
          <w:tcPr>
            <w:tcW w:w="1874" w:type="dxa"/>
            <w:gridSpan w:val="2"/>
            <w:shd w:val="clear" w:color="auto" w:fill="E4E4E4"/>
          </w:tcPr>
          <w:p>
            <w:pPr>
              <w:pStyle w:val="TableParagraph"/>
              <w:spacing w:line="180" w:lineRule="atLeast" w:before="23"/>
              <w:ind w:left="606" w:right="65" w:firstLine="31"/>
              <w:rPr>
                <w:sz w:val="16"/>
              </w:rPr>
            </w:pPr>
            <w:r>
              <w:rPr>
                <w:sz w:val="16"/>
              </w:rPr>
              <w:t>Land-use Category </w:t>
            </w:r>
            <w:r>
              <w:rPr>
                <w:sz w:val="16"/>
                <w:vertAlign w:val="superscript"/>
              </w:rPr>
              <w:t>2</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 </w:t>
            </w:r>
            <w:r>
              <w:rPr>
                <w:sz w:val="16"/>
                <w:vertAlign w:val="superscript"/>
              </w:rPr>
              <w:t>3</w:t>
            </w:r>
          </w:p>
        </w:tc>
        <w:tc>
          <w:tcPr>
            <w:tcW w:w="2066" w:type="dxa"/>
            <w:vMerge w:val="restart"/>
            <w:shd w:val="clear" w:color="auto" w:fill="E4E4E4"/>
          </w:tcPr>
          <w:p>
            <w:pPr>
              <w:pStyle w:val="TableParagraph"/>
              <w:spacing w:before="23"/>
              <w:ind w:left="138" w:right="129"/>
              <w:jc w:val="center"/>
              <w:rPr>
                <w:sz w:val="16"/>
              </w:rPr>
            </w:pPr>
            <w:r>
              <w:rPr>
                <w:sz w:val="16"/>
              </w:rPr>
              <w:t>Area of grassland covered with perennial woody biomass</w:t>
            </w:r>
          </w:p>
          <w:p>
            <w:pPr>
              <w:pStyle w:val="TableParagraph"/>
              <w:spacing w:before="10"/>
              <w:rPr>
                <w:sz w:val="15"/>
              </w:rPr>
            </w:pPr>
          </w:p>
          <w:p>
            <w:pPr>
              <w:pStyle w:val="TableParagraph"/>
              <w:ind w:left="138" w:right="129"/>
              <w:jc w:val="center"/>
              <w:rPr>
                <w:sz w:val="16"/>
              </w:rPr>
            </w:pPr>
            <w:r>
              <w:rPr>
                <w:sz w:val="16"/>
              </w:rPr>
              <w:t>(ha)</w:t>
            </w:r>
          </w:p>
          <w:p>
            <w:pPr>
              <w:pStyle w:val="TableParagraph"/>
              <w:rPr>
                <w:sz w:val="18"/>
              </w:rPr>
            </w:pPr>
          </w:p>
          <w:p>
            <w:pPr>
              <w:pStyle w:val="TableParagraph"/>
              <w:rPr>
                <w:sz w:val="15"/>
              </w:rPr>
            </w:pPr>
          </w:p>
          <w:p>
            <w:pPr>
              <w:pStyle w:val="TableParagraph"/>
              <w:spacing w:line="170" w:lineRule="exact"/>
              <w:ind w:left="14"/>
              <w:jc w:val="center"/>
              <w:rPr>
                <w:sz w:val="16"/>
              </w:rPr>
            </w:pPr>
            <w:r>
              <w:rPr>
                <w:w w:val="100"/>
                <w:sz w:val="16"/>
              </w:rPr>
              <w:t>A</w:t>
            </w:r>
          </w:p>
        </w:tc>
        <w:tc>
          <w:tcPr>
            <w:tcW w:w="1980" w:type="dxa"/>
            <w:vMerge w:val="restart"/>
            <w:shd w:val="clear" w:color="auto" w:fill="E4E4E4"/>
          </w:tcPr>
          <w:p>
            <w:pPr>
              <w:pStyle w:val="TableParagraph"/>
              <w:spacing w:before="23"/>
              <w:ind w:left="202" w:right="191"/>
              <w:jc w:val="center"/>
              <w:rPr>
                <w:sz w:val="16"/>
              </w:rPr>
            </w:pPr>
            <w:r>
              <w:rPr>
                <w:sz w:val="16"/>
              </w:rPr>
              <w:t>Average annual biomass growth of perennial woody biomass</w:t>
            </w:r>
          </w:p>
          <w:p>
            <w:pPr>
              <w:pStyle w:val="TableParagraph"/>
              <w:spacing w:before="10"/>
              <w:rPr>
                <w:sz w:val="15"/>
              </w:rPr>
            </w:pPr>
          </w:p>
          <w:p>
            <w:pPr>
              <w:pStyle w:val="TableParagraph"/>
              <w:ind w:left="147" w:right="138"/>
              <w:jc w:val="center"/>
              <w:rPr>
                <w:sz w:val="16"/>
              </w:rPr>
            </w:pPr>
            <w:r>
              <w:rPr>
                <w:sz w:val="16"/>
              </w:rPr>
              <w:t>(tonnes d.m.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5"/>
              </w:rPr>
            </w:pPr>
          </w:p>
          <w:p>
            <w:pPr>
              <w:pStyle w:val="TableParagraph"/>
              <w:spacing w:line="170" w:lineRule="exact"/>
              <w:ind w:left="10"/>
              <w:jc w:val="center"/>
              <w:rPr>
                <w:sz w:val="16"/>
              </w:rPr>
            </w:pPr>
            <w:r>
              <w:rPr>
                <w:w w:val="100"/>
                <w:sz w:val="16"/>
              </w:rPr>
              <w:t>B</w:t>
            </w:r>
          </w:p>
        </w:tc>
        <w:tc>
          <w:tcPr>
            <w:tcW w:w="2520" w:type="dxa"/>
            <w:vMerge w:val="restart"/>
            <w:shd w:val="clear" w:color="auto" w:fill="E4E4E4"/>
          </w:tcPr>
          <w:p>
            <w:pPr>
              <w:pStyle w:val="TableParagraph"/>
              <w:spacing w:before="23"/>
              <w:ind w:left="120" w:right="106"/>
              <w:jc w:val="center"/>
              <w:rPr>
                <w:sz w:val="16"/>
              </w:rPr>
            </w:pPr>
            <w:r>
              <w:rPr>
                <w:sz w:val="16"/>
              </w:rPr>
              <w:t>Average annual biomass loss of perennial woody biomass</w:t>
            </w:r>
          </w:p>
          <w:p>
            <w:pPr>
              <w:pStyle w:val="TableParagraph"/>
              <w:rPr>
                <w:sz w:val="16"/>
              </w:rPr>
            </w:pPr>
          </w:p>
          <w:p>
            <w:pPr>
              <w:pStyle w:val="TableParagraph"/>
              <w:ind w:left="120" w:right="108"/>
              <w:jc w:val="center"/>
              <w:rPr>
                <w:sz w:val="16"/>
              </w:rPr>
            </w:pPr>
            <w:r>
              <w:rPr>
                <w:sz w:val="16"/>
              </w:rPr>
              <w:t>(tonnes d.m.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8"/>
              <w:ind w:left="8"/>
              <w:jc w:val="center"/>
              <w:rPr>
                <w:sz w:val="16"/>
              </w:rPr>
            </w:pPr>
            <w:r>
              <w:rPr>
                <w:w w:val="100"/>
                <w:sz w:val="16"/>
              </w:rPr>
              <w:t>C</w:t>
            </w:r>
          </w:p>
        </w:tc>
        <w:tc>
          <w:tcPr>
            <w:tcW w:w="2700" w:type="dxa"/>
            <w:vMerge w:val="restart"/>
            <w:shd w:val="clear" w:color="auto" w:fill="E4E4E4"/>
          </w:tcPr>
          <w:p>
            <w:pPr>
              <w:pStyle w:val="TableParagraph"/>
              <w:spacing w:before="23"/>
              <w:ind w:left="115" w:right="101"/>
              <w:jc w:val="center"/>
              <w:rPr>
                <w:sz w:val="16"/>
              </w:rPr>
            </w:pPr>
            <w:r>
              <w:rPr>
                <w:sz w:val="16"/>
              </w:rPr>
              <w:t>Change in above- and belowground living perennial woody biomass</w:t>
            </w:r>
          </w:p>
          <w:p>
            <w:pPr>
              <w:pStyle w:val="TableParagraph"/>
              <w:rPr>
                <w:sz w:val="16"/>
              </w:rPr>
            </w:pPr>
          </w:p>
          <w:p>
            <w:pPr>
              <w:pStyle w:val="TableParagraph"/>
              <w:spacing w:line="494" w:lineRule="auto"/>
              <w:ind w:left="776" w:right="764"/>
              <w:jc w:val="center"/>
              <w:rPr>
                <w:sz w:val="16"/>
              </w:rPr>
            </w:pPr>
            <w:r>
              <w:rPr>
                <w:sz w:val="16"/>
              </w:rPr>
              <w:t>(tonnes d.m. yr</w:t>
            </w:r>
            <w:r>
              <w:rPr>
                <w:sz w:val="16"/>
                <w:vertAlign w:val="superscript"/>
              </w:rPr>
              <w:t>-1</w:t>
            </w:r>
            <w:r>
              <w:rPr>
                <w:sz w:val="16"/>
                <w:vertAlign w:val="baseline"/>
              </w:rPr>
              <w:t>) D = A </w:t>
            </w:r>
            <w:r>
              <w:rPr>
                <w:rFonts w:ascii="Symbol" w:hAnsi="Symbol"/>
                <w:sz w:val="16"/>
                <w:vertAlign w:val="baseline"/>
              </w:rPr>
              <w:t>• </w:t>
            </w:r>
            <w:r>
              <w:rPr>
                <w:sz w:val="16"/>
                <w:vertAlign w:val="baseline"/>
              </w:rPr>
              <w:t>(B-C)</w:t>
            </w:r>
          </w:p>
          <w:p>
            <w:pPr>
              <w:pStyle w:val="TableParagraph"/>
              <w:spacing w:line="145" w:lineRule="exact"/>
              <w:ind w:left="10"/>
              <w:jc w:val="center"/>
              <w:rPr>
                <w:sz w:val="16"/>
              </w:rPr>
            </w:pPr>
            <w:r>
              <w:rPr>
                <w:w w:val="100"/>
                <w:sz w:val="16"/>
              </w:rPr>
              <w:t>D</w:t>
            </w:r>
          </w:p>
        </w:tc>
        <w:tc>
          <w:tcPr>
            <w:tcW w:w="2520" w:type="dxa"/>
            <w:vMerge w:val="restart"/>
            <w:shd w:val="clear" w:color="auto" w:fill="E4E4E4"/>
          </w:tcPr>
          <w:p>
            <w:pPr>
              <w:pStyle w:val="TableParagraph"/>
              <w:spacing w:before="23"/>
              <w:ind w:left="120" w:right="108"/>
              <w:jc w:val="center"/>
              <w:rPr>
                <w:sz w:val="16"/>
              </w:rPr>
            </w:pPr>
            <w:r>
              <w:rPr>
                <w:sz w:val="16"/>
              </w:rPr>
              <w:t>Area of grassland covered with grasses</w:t>
            </w:r>
          </w:p>
          <w:p>
            <w:pPr>
              <w:pStyle w:val="TableParagraph"/>
              <w:rPr>
                <w:sz w:val="16"/>
              </w:rPr>
            </w:pPr>
          </w:p>
          <w:p>
            <w:pPr>
              <w:pStyle w:val="TableParagraph"/>
              <w:ind w:left="120" w:right="108"/>
              <w:jc w:val="center"/>
              <w:rPr>
                <w:sz w:val="16"/>
              </w:rPr>
            </w:pPr>
            <w:r>
              <w:rPr>
                <w:sz w:val="16"/>
              </w:rPr>
              <w:t>(ha)</w:t>
            </w:r>
          </w:p>
          <w:p>
            <w:pPr>
              <w:pStyle w:val="TableParagraph"/>
              <w:rPr>
                <w:sz w:val="18"/>
              </w:rPr>
            </w:pPr>
          </w:p>
          <w:p>
            <w:pPr>
              <w:pStyle w:val="TableParagraph"/>
              <w:rPr>
                <w:sz w:val="18"/>
              </w:rPr>
            </w:pPr>
          </w:p>
          <w:p>
            <w:pPr>
              <w:pStyle w:val="TableParagraph"/>
              <w:spacing w:line="170" w:lineRule="exact" w:before="148"/>
              <w:ind w:left="9"/>
              <w:jc w:val="center"/>
              <w:rPr>
                <w:sz w:val="16"/>
              </w:rPr>
            </w:pPr>
            <w:r>
              <w:rPr>
                <w:w w:val="100"/>
                <w:sz w:val="16"/>
              </w:rPr>
              <w:t>E</w:t>
            </w:r>
          </w:p>
        </w:tc>
      </w:tr>
      <w:tr>
        <w:trPr>
          <w:trHeight w:val="110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c>
          <w:tcPr>
            <w:tcW w:w="270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spacing w:before="25"/>
              <w:ind w:left="136" w:right="129"/>
              <w:jc w:val="center"/>
              <w:rPr>
                <w:b/>
                <w:sz w:val="10"/>
              </w:rPr>
            </w:pPr>
            <w:r>
              <w:rPr>
                <w:b/>
                <w:position w:val="2"/>
                <w:sz w:val="16"/>
              </w:rPr>
              <w:t>A</w:t>
            </w:r>
            <w:r>
              <w:rPr>
                <w:b/>
                <w:sz w:val="10"/>
              </w:rPr>
              <w:t>perennial</w:t>
            </w:r>
          </w:p>
        </w:tc>
        <w:tc>
          <w:tcPr>
            <w:tcW w:w="1980" w:type="dxa"/>
          </w:tcPr>
          <w:p>
            <w:pPr>
              <w:pStyle w:val="TableParagraph"/>
              <w:spacing w:before="25"/>
              <w:ind w:left="146" w:right="138"/>
              <w:jc w:val="center"/>
              <w:rPr>
                <w:b/>
                <w:sz w:val="10"/>
              </w:rPr>
            </w:pPr>
            <w:r>
              <w:rPr>
                <w:b/>
                <w:position w:val="2"/>
                <w:sz w:val="16"/>
              </w:rPr>
              <w:t>G</w:t>
            </w:r>
            <w:r>
              <w:rPr>
                <w:b/>
                <w:sz w:val="10"/>
              </w:rPr>
              <w:t>perennial</w:t>
            </w:r>
          </w:p>
        </w:tc>
        <w:tc>
          <w:tcPr>
            <w:tcW w:w="2520" w:type="dxa"/>
          </w:tcPr>
          <w:p>
            <w:pPr>
              <w:pStyle w:val="TableParagraph"/>
              <w:spacing w:before="25"/>
              <w:ind w:left="120" w:right="110"/>
              <w:jc w:val="center"/>
              <w:rPr>
                <w:b/>
                <w:sz w:val="10"/>
              </w:rPr>
            </w:pPr>
            <w:r>
              <w:rPr>
                <w:b/>
                <w:position w:val="2"/>
                <w:sz w:val="16"/>
              </w:rPr>
              <w:t>L</w:t>
            </w:r>
            <w:r>
              <w:rPr>
                <w:b/>
                <w:sz w:val="10"/>
              </w:rPr>
              <w:t>perennial</w:t>
            </w:r>
          </w:p>
        </w:tc>
        <w:tc>
          <w:tcPr>
            <w:tcW w:w="2700" w:type="dxa"/>
          </w:tcPr>
          <w:p>
            <w:pPr>
              <w:pStyle w:val="TableParagraph"/>
              <w:spacing w:before="25"/>
              <w:ind w:left="361" w:right="351"/>
              <w:jc w:val="center"/>
              <w:rPr>
                <w:b/>
                <w:sz w:val="10"/>
              </w:rPr>
            </w:pPr>
            <w:r>
              <w:rPr>
                <w:b/>
                <w:position w:val="2"/>
                <w:sz w:val="16"/>
              </w:rPr>
              <w:t>∆B</w:t>
            </w:r>
            <w:r>
              <w:rPr>
                <w:b/>
                <w:sz w:val="10"/>
              </w:rPr>
              <w:t>perennial</w:t>
            </w:r>
          </w:p>
        </w:tc>
        <w:tc>
          <w:tcPr>
            <w:tcW w:w="2520" w:type="dxa"/>
          </w:tcPr>
          <w:p>
            <w:pPr>
              <w:pStyle w:val="TableParagraph"/>
              <w:spacing w:before="25"/>
              <w:ind w:left="120" w:right="108"/>
              <w:jc w:val="center"/>
              <w:rPr>
                <w:b/>
                <w:sz w:val="10"/>
              </w:rPr>
            </w:pPr>
            <w:r>
              <w:rPr>
                <w:b/>
                <w:position w:val="2"/>
                <w:sz w:val="16"/>
              </w:rPr>
              <w:t>A</w:t>
            </w:r>
            <w:r>
              <w:rPr>
                <w:b/>
                <w:sz w:val="10"/>
              </w:rPr>
              <w:t>grasses</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851" w:hRule="atLeast"/>
        </w:trPr>
        <w:tc>
          <w:tcPr>
            <w:tcW w:w="14687" w:type="dxa"/>
            <w:gridSpan w:val="8"/>
          </w:tcPr>
          <w:p>
            <w:pPr>
              <w:pStyle w:val="TableParagraph"/>
              <w:spacing w:before="21"/>
              <w:ind w:left="107"/>
              <w:rPr>
                <w:sz w:val="16"/>
              </w:rPr>
            </w:pPr>
            <w:r>
              <w:rPr>
                <w:position w:val="7"/>
                <w:sz w:val="10"/>
              </w:rPr>
              <w:t>1 </w:t>
            </w:r>
            <w:r>
              <w:rPr>
                <w:sz w:val="16"/>
              </w:rPr>
              <w:t>The worksheet is based on Tier 2 method. The Tier 1 assumption is no change in living biomass carbon stocks.</w:t>
            </w:r>
          </w:p>
          <w:p>
            <w:pPr>
              <w:pStyle w:val="TableParagraph"/>
              <w:spacing w:before="85"/>
              <w:ind w:left="107"/>
              <w:rPr>
                <w:sz w:val="16"/>
              </w:rPr>
            </w:pPr>
            <w:r>
              <w:rPr>
                <w:position w:val="7"/>
                <w:sz w:val="10"/>
              </w:rPr>
              <w:t>2 </w:t>
            </w:r>
            <w:r>
              <w:rPr>
                <w:sz w:val="16"/>
              </w:rPr>
              <w:t>GL stands for grassland. See Chapter 2 for approaches in representing land</w:t>
            </w:r>
            <w:r>
              <w:rPr>
                <w:spacing w:val="-21"/>
                <w:sz w:val="16"/>
              </w:rPr>
              <w:t> </w:t>
            </w:r>
            <w:r>
              <w:rPr>
                <w:sz w:val="16"/>
              </w:rPr>
              <w:t>areas.</w:t>
            </w:r>
          </w:p>
          <w:p>
            <w:pPr>
              <w:pStyle w:val="TableParagraph"/>
              <w:spacing w:before="85"/>
              <w:ind w:left="107"/>
              <w:rPr>
                <w:sz w:val="16"/>
              </w:rPr>
            </w:pPr>
            <w:r>
              <w:rPr>
                <w:position w:val="7"/>
                <w:sz w:val="10"/>
              </w:rPr>
              <w:t>3 </w:t>
            </w:r>
            <w:r>
              <w:rPr>
                <w:sz w:val="16"/>
              </w:rPr>
              <w:t>Land-use should be further divided according to grassland type and climate</w:t>
            </w:r>
            <w:r>
              <w:rPr>
                <w:spacing w:val="-27"/>
                <w:sz w:val="16"/>
              </w:rPr>
              <w:t> </w:t>
            </w:r>
            <w:r>
              <w:rPr>
                <w:sz w:val="16"/>
              </w:rPr>
              <w:t>zone.</w:t>
            </w: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2520"/>
        <w:gridCol w:w="2700"/>
        <w:gridCol w:w="252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6"/>
          </w:tcPr>
          <w:p>
            <w:pPr>
              <w:pStyle w:val="TableParagraph"/>
              <w:spacing w:before="26"/>
              <w:ind w:left="108"/>
              <w:rPr>
                <w:b/>
                <w:sz w:val="20"/>
              </w:rPr>
            </w:pPr>
            <w:r>
              <w:rPr>
                <w:b/>
                <w:sz w:val="20"/>
              </w:rPr>
              <w:t>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6"/>
          </w:tcPr>
          <w:p>
            <w:pPr>
              <w:pStyle w:val="TableParagraph"/>
              <w:spacing w:before="26"/>
              <w:ind w:left="107"/>
              <w:rPr>
                <w:b/>
                <w:sz w:val="20"/>
              </w:rPr>
            </w:pPr>
            <w:r>
              <w:rPr>
                <w:b/>
                <w:sz w:val="20"/>
              </w:rPr>
              <w:t>Grassland Remaining 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6"/>
          </w:tcPr>
          <w:p>
            <w:pPr>
              <w:pStyle w:val="TableParagraph"/>
              <w:spacing w:before="26"/>
              <w:ind w:left="108"/>
              <w:rPr>
                <w:b/>
                <w:sz w:val="20"/>
              </w:rPr>
            </w:pPr>
            <w:r>
              <w:rPr>
                <w:b/>
                <w:sz w:val="20"/>
              </w:rPr>
              <w:t>GL-1a: Annual change in carbon stocks in living biomass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6"/>
          </w:tcPr>
          <w:p>
            <w:pPr>
              <w:pStyle w:val="TableParagraph"/>
              <w:spacing w:before="26"/>
              <w:ind w:left="108"/>
              <w:rPr>
                <w:b/>
                <w:sz w:val="20"/>
              </w:rPr>
            </w:pPr>
            <w:r>
              <w:rPr>
                <w:b/>
                <w:sz w:val="20"/>
              </w:rPr>
              <w:t>2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39" w:right="128"/>
              <w:jc w:val="center"/>
              <w:rPr>
                <w:sz w:val="16"/>
              </w:rPr>
            </w:pPr>
            <w:r>
              <w:rPr>
                <w:sz w:val="16"/>
              </w:rPr>
              <w:t>Average annual biomass growth of grasses</w:t>
            </w:r>
          </w:p>
          <w:p>
            <w:pPr>
              <w:pStyle w:val="TableParagraph"/>
              <w:rPr>
                <w:sz w:val="16"/>
              </w:rPr>
            </w:pPr>
          </w:p>
          <w:p>
            <w:pPr>
              <w:pStyle w:val="TableParagraph"/>
              <w:ind w:left="138" w:right="129"/>
              <w:jc w:val="center"/>
              <w:rPr>
                <w:sz w:val="16"/>
              </w:rPr>
            </w:pPr>
            <w:r>
              <w:rPr>
                <w:sz w:val="16"/>
              </w:rPr>
              <w:t>(tonnes d.m.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8"/>
              <w:ind w:left="11"/>
              <w:jc w:val="center"/>
              <w:rPr>
                <w:sz w:val="16"/>
              </w:rPr>
            </w:pPr>
            <w:r>
              <w:rPr>
                <w:w w:val="100"/>
                <w:sz w:val="16"/>
              </w:rPr>
              <w:t>F</w:t>
            </w:r>
          </w:p>
        </w:tc>
        <w:tc>
          <w:tcPr>
            <w:tcW w:w="1980" w:type="dxa"/>
            <w:vMerge w:val="restart"/>
            <w:shd w:val="clear" w:color="auto" w:fill="E4E4E4"/>
          </w:tcPr>
          <w:p>
            <w:pPr>
              <w:pStyle w:val="TableParagraph"/>
              <w:spacing w:before="23"/>
              <w:ind w:left="149" w:right="138"/>
              <w:jc w:val="center"/>
              <w:rPr>
                <w:sz w:val="16"/>
              </w:rPr>
            </w:pPr>
            <w:r>
              <w:rPr>
                <w:sz w:val="16"/>
              </w:rPr>
              <w:t>Average annual biomass loss of grasses</w:t>
            </w:r>
          </w:p>
          <w:p>
            <w:pPr>
              <w:pStyle w:val="TableParagraph"/>
              <w:rPr>
                <w:sz w:val="16"/>
              </w:rPr>
            </w:pPr>
          </w:p>
          <w:p>
            <w:pPr>
              <w:pStyle w:val="TableParagraph"/>
              <w:ind w:left="147" w:right="138"/>
              <w:jc w:val="center"/>
              <w:rPr>
                <w:sz w:val="16"/>
              </w:rPr>
            </w:pPr>
            <w:r>
              <w:rPr>
                <w:sz w:val="16"/>
              </w:rPr>
              <w:t>(tonnes d.m.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8"/>
              <w:ind w:left="14"/>
              <w:jc w:val="center"/>
              <w:rPr>
                <w:sz w:val="16"/>
              </w:rPr>
            </w:pPr>
            <w:r>
              <w:rPr>
                <w:w w:val="100"/>
                <w:sz w:val="16"/>
              </w:rPr>
              <w:t>G</w:t>
            </w:r>
          </w:p>
        </w:tc>
        <w:tc>
          <w:tcPr>
            <w:tcW w:w="2520" w:type="dxa"/>
            <w:vMerge w:val="restart"/>
            <w:shd w:val="clear" w:color="auto" w:fill="E4E4E4"/>
          </w:tcPr>
          <w:p>
            <w:pPr>
              <w:pStyle w:val="TableParagraph"/>
              <w:spacing w:before="23"/>
              <w:ind w:left="120" w:right="110"/>
              <w:jc w:val="center"/>
              <w:rPr>
                <w:sz w:val="16"/>
              </w:rPr>
            </w:pPr>
            <w:r>
              <w:rPr>
                <w:sz w:val="16"/>
              </w:rPr>
              <w:t>Change in belowground biomass of grasses</w:t>
            </w:r>
          </w:p>
          <w:p>
            <w:pPr>
              <w:pStyle w:val="TableParagraph"/>
              <w:rPr>
                <w:sz w:val="16"/>
              </w:rPr>
            </w:pPr>
          </w:p>
          <w:p>
            <w:pPr>
              <w:pStyle w:val="TableParagraph"/>
              <w:spacing w:line="494" w:lineRule="auto"/>
              <w:ind w:left="687" w:right="673"/>
              <w:jc w:val="center"/>
              <w:rPr>
                <w:sz w:val="16"/>
              </w:rPr>
            </w:pPr>
            <w:r>
              <w:rPr>
                <w:sz w:val="16"/>
              </w:rPr>
              <w:t>(tonnes d.m. yr</w:t>
            </w:r>
            <w:r>
              <w:rPr>
                <w:sz w:val="16"/>
                <w:vertAlign w:val="superscript"/>
              </w:rPr>
              <w:t>-1</w:t>
            </w:r>
            <w:r>
              <w:rPr>
                <w:sz w:val="16"/>
                <w:vertAlign w:val="baseline"/>
              </w:rPr>
              <w:t>) H = E </w:t>
            </w:r>
            <w:r>
              <w:rPr>
                <w:rFonts w:ascii="Symbol" w:hAnsi="Symbol"/>
                <w:sz w:val="16"/>
                <w:vertAlign w:val="baseline"/>
              </w:rPr>
              <w:t>• </w:t>
            </w:r>
            <w:r>
              <w:rPr>
                <w:sz w:val="16"/>
                <w:vertAlign w:val="baseline"/>
              </w:rPr>
              <w:t>(F-G)</w:t>
            </w:r>
          </w:p>
          <w:p>
            <w:pPr>
              <w:pStyle w:val="TableParagraph"/>
              <w:spacing w:line="145" w:lineRule="exact"/>
              <w:ind w:left="12"/>
              <w:jc w:val="center"/>
              <w:rPr>
                <w:sz w:val="16"/>
              </w:rPr>
            </w:pPr>
            <w:r>
              <w:rPr>
                <w:w w:val="100"/>
                <w:sz w:val="16"/>
              </w:rPr>
              <w:t>H</w:t>
            </w:r>
          </w:p>
        </w:tc>
        <w:tc>
          <w:tcPr>
            <w:tcW w:w="2700" w:type="dxa"/>
            <w:vMerge w:val="restart"/>
            <w:shd w:val="clear" w:color="auto" w:fill="E4E4E4"/>
          </w:tcPr>
          <w:p>
            <w:pPr>
              <w:pStyle w:val="TableParagraph"/>
              <w:spacing w:before="23"/>
              <w:ind w:left="363" w:right="350"/>
              <w:jc w:val="center"/>
              <w:rPr>
                <w:sz w:val="16"/>
              </w:rPr>
            </w:pPr>
            <w:r>
              <w:rPr>
                <w:sz w:val="16"/>
              </w:rPr>
              <w:t>Carbon fraction of dry matter (default is 0.5)</w:t>
            </w:r>
          </w:p>
          <w:p>
            <w:pPr>
              <w:pStyle w:val="TableParagraph"/>
              <w:rPr>
                <w:sz w:val="16"/>
              </w:rPr>
            </w:pPr>
          </w:p>
          <w:p>
            <w:pPr>
              <w:pStyle w:val="TableParagraph"/>
              <w:ind w:left="360" w:right="351"/>
              <w:jc w:val="center"/>
              <w:rPr>
                <w:sz w:val="16"/>
              </w:rPr>
            </w:pPr>
            <w:r>
              <w:rPr>
                <w:sz w:val="16"/>
              </w:rPr>
              <w:t>(tonnes C tonne d.m.</w:t>
            </w:r>
            <w:r>
              <w:rPr>
                <w:sz w:val="16"/>
                <w:vertAlign w:val="superscript"/>
              </w:rPr>
              <w:t>-1</w:t>
            </w:r>
            <w:r>
              <w:rPr>
                <w:sz w:val="16"/>
                <w:vertAlign w:val="baseline"/>
              </w:rPr>
              <w:t> )</w:t>
            </w:r>
          </w:p>
          <w:p>
            <w:pPr>
              <w:pStyle w:val="TableParagraph"/>
              <w:rPr>
                <w:sz w:val="18"/>
              </w:rPr>
            </w:pPr>
          </w:p>
          <w:p>
            <w:pPr>
              <w:pStyle w:val="TableParagraph"/>
              <w:rPr>
                <w:sz w:val="18"/>
              </w:rPr>
            </w:pPr>
          </w:p>
          <w:p>
            <w:pPr>
              <w:pStyle w:val="TableParagraph"/>
              <w:spacing w:line="170" w:lineRule="exact" w:before="148"/>
              <w:ind w:left="14"/>
              <w:jc w:val="center"/>
              <w:rPr>
                <w:sz w:val="16"/>
              </w:rPr>
            </w:pPr>
            <w:r>
              <w:rPr>
                <w:w w:val="100"/>
                <w:sz w:val="16"/>
              </w:rPr>
              <w:t>I</w:t>
            </w:r>
          </w:p>
        </w:tc>
        <w:tc>
          <w:tcPr>
            <w:tcW w:w="2520" w:type="dxa"/>
            <w:vMerge w:val="restart"/>
            <w:shd w:val="clear" w:color="auto" w:fill="E4E4E4"/>
          </w:tcPr>
          <w:p>
            <w:pPr>
              <w:pStyle w:val="TableParagraph"/>
              <w:spacing w:before="23"/>
              <w:ind w:left="120" w:right="107"/>
              <w:jc w:val="center"/>
              <w:rPr>
                <w:sz w:val="16"/>
              </w:rPr>
            </w:pPr>
            <w:r>
              <w:rPr>
                <w:sz w:val="16"/>
              </w:rPr>
              <w:t>Change in carbon stocks in living biomass</w:t>
            </w:r>
          </w:p>
          <w:p>
            <w:pPr>
              <w:pStyle w:val="TableParagraph"/>
              <w:rPr>
                <w:sz w:val="16"/>
              </w:rPr>
            </w:pPr>
          </w:p>
          <w:p>
            <w:pPr>
              <w:pStyle w:val="TableParagraph"/>
              <w:ind w:left="828" w:hanging="12"/>
              <w:rPr>
                <w:sz w:val="16"/>
              </w:rPr>
            </w:pPr>
            <w:r>
              <w:rPr>
                <w:sz w:val="16"/>
              </w:rPr>
              <w:t>(tonnes C yr</w:t>
            </w:r>
            <w:r>
              <w:rPr>
                <w:sz w:val="16"/>
                <w:vertAlign w:val="superscript"/>
              </w:rPr>
              <w:t>-1</w:t>
            </w:r>
            <w:r>
              <w:rPr>
                <w:sz w:val="16"/>
                <w:vertAlign w:val="baseline"/>
              </w:rPr>
              <w:t>)</w:t>
            </w:r>
          </w:p>
          <w:p>
            <w:pPr>
              <w:pStyle w:val="TableParagraph"/>
              <w:spacing w:line="350" w:lineRule="atLeast" w:before="42"/>
              <w:ind w:left="1229" w:right="794" w:hanging="401"/>
              <w:rPr>
                <w:sz w:val="16"/>
              </w:rPr>
            </w:pPr>
            <w:r>
              <w:rPr>
                <w:sz w:val="16"/>
              </w:rPr>
              <w:t>J = (D+H) </w:t>
            </w:r>
            <w:r>
              <w:rPr>
                <w:rFonts w:ascii="Symbol" w:hAnsi="Symbol"/>
                <w:sz w:val="16"/>
              </w:rPr>
              <w:t>• </w:t>
            </w:r>
            <w:r>
              <w:rPr>
                <w:sz w:val="16"/>
              </w:rPr>
              <w:t>I J</w:t>
            </w:r>
          </w:p>
        </w:tc>
      </w:tr>
      <w:tr>
        <w:trPr>
          <w:trHeight w:val="110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c>
          <w:tcPr>
            <w:tcW w:w="270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8" w:right="129"/>
              <w:jc w:val="center"/>
              <w:rPr>
                <w:b/>
                <w:sz w:val="10"/>
              </w:rPr>
            </w:pPr>
            <w:r>
              <w:rPr>
                <w:b/>
                <w:position w:val="2"/>
                <w:sz w:val="16"/>
              </w:rPr>
              <w:t>G</w:t>
            </w:r>
            <w:r>
              <w:rPr>
                <w:b/>
                <w:sz w:val="10"/>
              </w:rPr>
              <w:t>grasses</w:t>
            </w:r>
          </w:p>
        </w:tc>
        <w:tc>
          <w:tcPr>
            <w:tcW w:w="1980" w:type="dxa"/>
          </w:tcPr>
          <w:p>
            <w:pPr>
              <w:pStyle w:val="TableParagraph"/>
              <w:spacing w:before="53"/>
              <w:ind w:left="150" w:right="138"/>
              <w:jc w:val="center"/>
              <w:rPr>
                <w:b/>
                <w:sz w:val="10"/>
              </w:rPr>
            </w:pPr>
            <w:r>
              <w:rPr>
                <w:b/>
                <w:position w:val="2"/>
                <w:sz w:val="16"/>
              </w:rPr>
              <w:t>L</w:t>
            </w:r>
            <w:r>
              <w:rPr>
                <w:b/>
                <w:sz w:val="10"/>
              </w:rPr>
              <w:t>grasses</w:t>
            </w:r>
          </w:p>
        </w:tc>
        <w:tc>
          <w:tcPr>
            <w:tcW w:w="2520" w:type="dxa"/>
          </w:tcPr>
          <w:p>
            <w:pPr>
              <w:pStyle w:val="TableParagraph"/>
              <w:spacing w:before="53"/>
              <w:ind w:left="120" w:right="110"/>
              <w:jc w:val="center"/>
              <w:rPr>
                <w:b/>
                <w:sz w:val="10"/>
              </w:rPr>
            </w:pPr>
            <w:r>
              <w:rPr>
                <w:b/>
                <w:position w:val="2"/>
                <w:sz w:val="16"/>
              </w:rPr>
              <w:t>∆B</w:t>
            </w:r>
            <w:r>
              <w:rPr>
                <w:b/>
                <w:sz w:val="10"/>
              </w:rPr>
              <w:t>grasses</w:t>
            </w:r>
          </w:p>
        </w:tc>
        <w:tc>
          <w:tcPr>
            <w:tcW w:w="2700" w:type="dxa"/>
          </w:tcPr>
          <w:p>
            <w:pPr>
              <w:pStyle w:val="TableParagraph"/>
              <w:spacing w:before="54"/>
              <w:ind w:left="361" w:right="351"/>
              <w:jc w:val="center"/>
              <w:rPr>
                <w:b/>
                <w:sz w:val="16"/>
              </w:rPr>
            </w:pPr>
            <w:r>
              <w:rPr>
                <w:b/>
                <w:sz w:val="16"/>
              </w:rPr>
              <w:t>CF</w:t>
            </w:r>
          </w:p>
        </w:tc>
        <w:tc>
          <w:tcPr>
            <w:tcW w:w="2520" w:type="dxa"/>
            <w:shd w:val="clear" w:color="auto" w:fill="D5D5D5"/>
          </w:tcPr>
          <w:p>
            <w:pPr>
              <w:pStyle w:val="TableParagraph"/>
              <w:spacing w:line="164" w:lineRule="exact" w:before="25"/>
              <w:ind w:left="120" w:right="238"/>
              <w:jc w:val="center"/>
              <w:rPr>
                <w:b/>
                <w:sz w:val="10"/>
              </w:rPr>
            </w:pPr>
            <w:r>
              <w:rPr>
                <w:b/>
                <w:position w:val="2"/>
                <w:sz w:val="16"/>
              </w:rPr>
              <w:t>∆C</w:t>
            </w:r>
            <w:r>
              <w:rPr>
                <w:b/>
                <w:sz w:val="10"/>
              </w:rPr>
              <w:t>GG</w:t>
            </w:r>
          </w:p>
          <w:p>
            <w:pPr>
              <w:pStyle w:val="TableParagraph"/>
              <w:spacing w:line="87" w:lineRule="exact"/>
              <w:ind w:left="491" w:right="110"/>
              <w:jc w:val="center"/>
              <w:rPr>
                <w:b/>
                <w:sz w:val="10"/>
              </w:rPr>
            </w:pPr>
            <w:r>
              <w:rPr>
                <w:b/>
                <w:sz w:val="10"/>
              </w:rPr>
              <w:t>LB</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7"/>
              <w:rPr>
                <w:b/>
                <w:sz w:val="20"/>
              </w:rPr>
            </w:pPr>
            <w:r>
              <w:rPr>
                <w:b/>
                <w:sz w:val="20"/>
              </w:rPr>
              <w:t>Grassland Remaining 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GL-1c1: Annual change in carbon stocks in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1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line="480" w:lineRule="auto" w:before="23"/>
              <w:ind w:left="143" w:right="129"/>
              <w:jc w:val="center"/>
              <w:rPr>
                <w:sz w:val="16"/>
              </w:rPr>
            </w:pPr>
            <w:r>
              <w:rPr>
                <w:sz w:val="16"/>
              </w:rPr>
              <w:t>Land area of each parcel (ha)</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14"/>
              <w:jc w:val="center"/>
              <w:rPr>
                <w:sz w:val="16"/>
              </w:rPr>
            </w:pPr>
            <w:r>
              <w:rPr>
                <w:w w:val="100"/>
                <w:sz w:val="16"/>
              </w:rPr>
              <w:t>A</w:t>
            </w:r>
          </w:p>
        </w:tc>
        <w:tc>
          <w:tcPr>
            <w:tcW w:w="1980" w:type="dxa"/>
            <w:vMerge w:val="restart"/>
            <w:shd w:val="clear" w:color="auto" w:fill="E4E4E4"/>
          </w:tcPr>
          <w:p>
            <w:pPr>
              <w:pStyle w:val="TableParagraph"/>
              <w:spacing w:line="480" w:lineRule="auto" w:before="23"/>
              <w:ind w:left="148" w:right="138"/>
              <w:jc w:val="center"/>
              <w:rPr>
                <w:sz w:val="16"/>
              </w:rPr>
            </w:pPr>
            <w:r>
              <w:rPr>
                <w:sz w:val="16"/>
              </w:rPr>
              <w:t>Inventory time period (default is 20 yr)</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10"/>
              <w:jc w:val="center"/>
              <w:rPr>
                <w:sz w:val="16"/>
              </w:rPr>
            </w:pPr>
            <w:r>
              <w:rPr>
                <w:w w:val="100"/>
                <w:sz w:val="16"/>
              </w:rPr>
              <w:t>B</w:t>
            </w:r>
          </w:p>
        </w:tc>
        <w:tc>
          <w:tcPr>
            <w:tcW w:w="1800" w:type="dxa"/>
            <w:vMerge w:val="restart"/>
            <w:shd w:val="clear" w:color="auto" w:fill="E4E4E4"/>
          </w:tcPr>
          <w:p>
            <w:pPr>
              <w:pStyle w:val="TableParagraph"/>
              <w:spacing w:line="480" w:lineRule="auto" w:before="23"/>
              <w:ind w:left="131" w:right="120"/>
              <w:jc w:val="center"/>
              <w:rPr>
                <w:sz w:val="16"/>
              </w:rPr>
            </w:pPr>
            <w:r>
              <w:rPr>
                <w:sz w:val="16"/>
              </w:rPr>
              <w:t>Reference carbon stock (tonnes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8"/>
              <w:jc w:val="center"/>
              <w:rPr>
                <w:sz w:val="16"/>
              </w:rPr>
            </w:pPr>
            <w:r>
              <w:rPr>
                <w:w w:val="100"/>
                <w:sz w:val="16"/>
              </w:rPr>
              <w:t>C</w:t>
            </w:r>
          </w:p>
        </w:tc>
        <w:tc>
          <w:tcPr>
            <w:tcW w:w="1980" w:type="dxa"/>
            <w:vMerge w:val="restart"/>
            <w:shd w:val="clear" w:color="auto" w:fill="E4E4E4"/>
          </w:tcPr>
          <w:p>
            <w:pPr>
              <w:pStyle w:val="TableParagraph"/>
              <w:spacing w:before="23"/>
              <w:ind w:left="149" w:right="138"/>
              <w:jc w:val="center"/>
              <w:rPr>
                <w:sz w:val="16"/>
              </w:rPr>
            </w:pPr>
            <w:r>
              <w:rPr>
                <w:sz w:val="16"/>
              </w:rPr>
              <w:t>Stock change factor for land use or land-use change type in the beginning of inventory year</w:t>
            </w:r>
          </w:p>
          <w:p>
            <w:pPr>
              <w:pStyle w:val="TableParagraph"/>
              <w:spacing w:line="360" w:lineRule="atLeast" w:before="8"/>
              <w:ind w:left="483" w:right="472"/>
              <w:jc w:val="center"/>
              <w:rPr>
                <w:sz w:val="16"/>
              </w:rPr>
            </w:pPr>
            <w:r>
              <w:rPr>
                <w:sz w:val="16"/>
              </w:rPr>
              <w:t>(dimensionless) D</w:t>
            </w:r>
          </w:p>
        </w:tc>
        <w:tc>
          <w:tcPr>
            <w:tcW w:w="1800" w:type="dxa"/>
            <w:vMerge w:val="restart"/>
            <w:shd w:val="clear" w:color="auto" w:fill="E4E4E4"/>
          </w:tcPr>
          <w:p>
            <w:pPr>
              <w:pStyle w:val="TableParagraph"/>
              <w:spacing w:before="23"/>
              <w:ind w:left="132" w:right="119"/>
              <w:jc w:val="center"/>
              <w:rPr>
                <w:sz w:val="16"/>
              </w:rPr>
            </w:pPr>
            <w:r>
              <w:rPr>
                <w:sz w:val="16"/>
              </w:rPr>
              <w:t>Stock change factor for management regime in the beginning of inventory year</w:t>
            </w:r>
          </w:p>
          <w:p>
            <w:pPr>
              <w:pStyle w:val="TableParagraph"/>
              <w:spacing w:before="11"/>
              <w:rPr>
                <w:sz w:val="15"/>
              </w:rPr>
            </w:pPr>
          </w:p>
          <w:p>
            <w:pPr>
              <w:pStyle w:val="TableParagraph"/>
              <w:ind w:left="131" w:right="120"/>
              <w:jc w:val="center"/>
              <w:rPr>
                <w:sz w:val="16"/>
              </w:rPr>
            </w:pPr>
            <w:r>
              <w:rPr>
                <w:sz w:val="16"/>
              </w:rPr>
              <w:t>(dimensionless)</w:t>
            </w:r>
          </w:p>
          <w:p>
            <w:pPr>
              <w:pStyle w:val="TableParagraph"/>
              <w:rPr>
                <w:sz w:val="18"/>
              </w:rPr>
            </w:pPr>
          </w:p>
          <w:p>
            <w:pPr>
              <w:pStyle w:val="TableParagraph"/>
              <w:spacing w:line="168" w:lineRule="exact" w:before="161"/>
              <w:ind w:left="9"/>
              <w:jc w:val="center"/>
              <w:rPr>
                <w:sz w:val="16"/>
              </w:rPr>
            </w:pPr>
            <w:r>
              <w:rPr>
                <w:w w:val="100"/>
                <w:sz w:val="16"/>
              </w:rPr>
              <w:t>E</w:t>
            </w:r>
          </w:p>
        </w:tc>
        <w:tc>
          <w:tcPr>
            <w:tcW w:w="2160" w:type="dxa"/>
            <w:vMerge w:val="restart"/>
            <w:shd w:val="clear" w:color="auto" w:fill="E4E4E4"/>
          </w:tcPr>
          <w:p>
            <w:pPr>
              <w:pStyle w:val="TableParagraph"/>
              <w:spacing w:before="23"/>
              <w:ind w:left="147" w:right="132"/>
              <w:jc w:val="center"/>
              <w:rPr>
                <w:sz w:val="16"/>
              </w:rPr>
            </w:pPr>
            <w:r>
              <w:rPr>
                <w:sz w:val="16"/>
              </w:rPr>
              <w:t>Stock change factor for input of organic matter in the beginning of inventory year</w:t>
            </w:r>
          </w:p>
          <w:p>
            <w:pPr>
              <w:pStyle w:val="TableParagraph"/>
              <w:spacing w:before="10"/>
              <w:rPr>
                <w:sz w:val="15"/>
              </w:rPr>
            </w:pPr>
          </w:p>
          <w:p>
            <w:pPr>
              <w:pStyle w:val="TableParagraph"/>
              <w:ind w:left="143" w:right="132"/>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39"/>
              <w:ind w:left="14"/>
              <w:jc w:val="center"/>
              <w:rPr>
                <w:sz w:val="16"/>
              </w:rPr>
            </w:pPr>
            <w:r>
              <w:rPr>
                <w:w w:val="100"/>
                <w:sz w:val="16"/>
              </w:rPr>
              <w:t>F</w:t>
            </w:r>
          </w:p>
        </w:tc>
      </w:tr>
      <w:tr>
        <w:trPr>
          <w:trHeight w:val="127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spacing w:before="25"/>
              <w:ind w:left="9"/>
              <w:jc w:val="center"/>
              <w:rPr>
                <w:b/>
                <w:sz w:val="16"/>
              </w:rPr>
            </w:pPr>
            <w:r>
              <w:rPr>
                <w:b/>
                <w:w w:val="100"/>
                <w:sz w:val="16"/>
              </w:rPr>
              <w:t>A</w:t>
            </w:r>
          </w:p>
        </w:tc>
        <w:tc>
          <w:tcPr>
            <w:tcW w:w="1980" w:type="dxa"/>
          </w:tcPr>
          <w:p>
            <w:pPr>
              <w:pStyle w:val="TableParagraph"/>
              <w:spacing w:before="25"/>
              <w:ind w:left="11"/>
              <w:jc w:val="center"/>
              <w:rPr>
                <w:b/>
                <w:sz w:val="16"/>
              </w:rPr>
            </w:pPr>
            <w:r>
              <w:rPr>
                <w:b/>
                <w:w w:val="100"/>
                <w:sz w:val="16"/>
              </w:rPr>
              <w:t>T</w:t>
            </w:r>
          </w:p>
        </w:tc>
        <w:tc>
          <w:tcPr>
            <w:tcW w:w="1800" w:type="dxa"/>
          </w:tcPr>
          <w:p>
            <w:pPr>
              <w:pStyle w:val="TableParagraph"/>
              <w:spacing w:before="25"/>
              <w:ind w:left="130" w:right="120"/>
              <w:jc w:val="center"/>
              <w:rPr>
                <w:b/>
                <w:sz w:val="10"/>
              </w:rPr>
            </w:pPr>
            <w:r>
              <w:rPr>
                <w:b/>
                <w:position w:val="2"/>
                <w:sz w:val="16"/>
              </w:rPr>
              <w:t>SOC</w:t>
            </w:r>
            <w:r>
              <w:rPr>
                <w:b/>
                <w:sz w:val="10"/>
              </w:rPr>
              <w:t>ref</w:t>
            </w:r>
          </w:p>
        </w:tc>
        <w:tc>
          <w:tcPr>
            <w:tcW w:w="1980" w:type="dxa"/>
          </w:tcPr>
          <w:p>
            <w:pPr>
              <w:pStyle w:val="TableParagraph"/>
              <w:spacing w:before="25"/>
              <w:ind w:left="147" w:right="138"/>
              <w:jc w:val="center"/>
              <w:rPr>
                <w:b/>
                <w:sz w:val="10"/>
              </w:rPr>
            </w:pPr>
            <w:r>
              <w:rPr>
                <w:b/>
                <w:position w:val="2"/>
                <w:sz w:val="16"/>
              </w:rPr>
              <w:t>F</w:t>
            </w:r>
            <w:r>
              <w:rPr>
                <w:b/>
                <w:sz w:val="10"/>
              </w:rPr>
              <w:t>LU(0-T)</w:t>
            </w:r>
          </w:p>
        </w:tc>
        <w:tc>
          <w:tcPr>
            <w:tcW w:w="1800" w:type="dxa"/>
          </w:tcPr>
          <w:p>
            <w:pPr>
              <w:pStyle w:val="TableParagraph"/>
              <w:spacing w:before="25"/>
              <w:ind w:left="131" w:right="120"/>
              <w:jc w:val="center"/>
              <w:rPr>
                <w:b/>
                <w:sz w:val="10"/>
              </w:rPr>
            </w:pPr>
            <w:r>
              <w:rPr>
                <w:b/>
                <w:position w:val="2"/>
                <w:sz w:val="16"/>
              </w:rPr>
              <w:t>F</w:t>
            </w:r>
            <w:r>
              <w:rPr>
                <w:b/>
                <w:sz w:val="10"/>
              </w:rPr>
              <w:t>MG(0-T)</w:t>
            </w:r>
          </w:p>
        </w:tc>
        <w:tc>
          <w:tcPr>
            <w:tcW w:w="2160" w:type="dxa"/>
          </w:tcPr>
          <w:p>
            <w:pPr>
              <w:pStyle w:val="TableParagraph"/>
              <w:spacing w:before="25"/>
              <w:ind w:left="143" w:right="132"/>
              <w:jc w:val="center"/>
              <w:rPr>
                <w:b/>
                <w:sz w:val="10"/>
              </w:rPr>
            </w:pPr>
            <w:r>
              <w:rPr>
                <w:b/>
                <w:position w:val="2"/>
                <w:sz w:val="16"/>
              </w:rPr>
              <w:t>F</w:t>
            </w:r>
            <w:r>
              <w:rPr>
                <w:b/>
                <w:sz w:val="10"/>
              </w:rPr>
              <w:t>I(0-T)</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41"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bl>
    <w:p>
      <w:pPr>
        <w:spacing w:after="0"/>
        <w:rPr>
          <w:sz w:val="16"/>
        </w:rPr>
        <w:sectPr>
          <w:footerReference w:type="default" r:id="rId231"/>
          <w:footerReference w:type="even" r:id="rId232"/>
          <w:pgSz w:w="16840" w:h="11900" w:orient="landscape"/>
          <w:pgMar w:footer="1128" w:header="45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7"/>
              <w:rPr>
                <w:b/>
                <w:sz w:val="20"/>
              </w:rPr>
            </w:pPr>
            <w:r>
              <w:rPr>
                <w:b/>
                <w:sz w:val="20"/>
              </w:rPr>
              <w:t>Grassland Remaining 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GL-1c1: Annual change in carbon stocks in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2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39" w:right="129"/>
              <w:jc w:val="center"/>
              <w:rPr>
                <w:sz w:val="16"/>
              </w:rPr>
            </w:pPr>
            <w:r>
              <w:rPr>
                <w:sz w:val="16"/>
              </w:rPr>
              <w:t>Soil organic carbon stock at T years (beginning of inventory year)</w:t>
            </w:r>
          </w:p>
          <w:p>
            <w:pPr>
              <w:pStyle w:val="TableParagraph"/>
              <w:spacing w:before="10"/>
              <w:rPr>
                <w:sz w:val="15"/>
              </w:rPr>
            </w:pPr>
          </w:p>
          <w:p>
            <w:pPr>
              <w:pStyle w:val="TableParagraph"/>
              <w:spacing w:line="496" w:lineRule="auto"/>
              <w:ind w:left="456" w:right="432" w:firstLine="103"/>
              <w:rPr>
                <w:sz w:val="16"/>
              </w:rPr>
            </w:pPr>
            <w:r>
              <w:rPr>
                <w:sz w:val="16"/>
              </w:rPr>
              <w:t>(tonnes C ha</w:t>
            </w:r>
            <w:r>
              <w:rPr>
                <w:sz w:val="16"/>
                <w:vertAlign w:val="superscript"/>
              </w:rPr>
              <w:t>-1</w:t>
            </w:r>
            <w:r>
              <w:rPr>
                <w:sz w:val="16"/>
                <w:vertAlign w:val="baseline"/>
              </w:rPr>
              <w:t>) G = C </w:t>
            </w:r>
            <w:r>
              <w:rPr>
                <w:rFonts w:ascii="Symbol" w:hAnsi="Symbol"/>
                <w:sz w:val="16"/>
                <w:vertAlign w:val="baseline"/>
              </w:rPr>
              <w:t>• </w:t>
            </w:r>
            <w:r>
              <w:rPr>
                <w:sz w:val="16"/>
                <w:vertAlign w:val="baseline"/>
              </w:rPr>
              <w:t>D </w:t>
            </w:r>
            <w:r>
              <w:rPr>
                <w:rFonts w:ascii="Symbol" w:hAnsi="Symbol"/>
                <w:sz w:val="16"/>
                <w:vertAlign w:val="baseline"/>
              </w:rPr>
              <w:t>• </w:t>
            </w:r>
            <w:r>
              <w:rPr>
                <w:sz w:val="16"/>
                <w:vertAlign w:val="baseline"/>
              </w:rPr>
              <w:t>E </w:t>
            </w:r>
            <w:r>
              <w:rPr>
                <w:rFonts w:ascii="Symbol" w:hAnsi="Symbol"/>
                <w:sz w:val="16"/>
                <w:vertAlign w:val="baseline"/>
              </w:rPr>
              <w:t>• </w:t>
            </w:r>
            <w:r>
              <w:rPr>
                <w:sz w:val="16"/>
                <w:vertAlign w:val="baseline"/>
              </w:rPr>
              <w:t>F</w:t>
            </w:r>
          </w:p>
          <w:p>
            <w:pPr>
              <w:pStyle w:val="TableParagraph"/>
              <w:spacing w:line="141" w:lineRule="exact"/>
              <w:ind w:left="14"/>
              <w:jc w:val="center"/>
              <w:rPr>
                <w:sz w:val="16"/>
              </w:rPr>
            </w:pPr>
            <w:r>
              <w:rPr>
                <w:w w:val="100"/>
                <w:sz w:val="16"/>
              </w:rPr>
              <w:t>G</w:t>
            </w:r>
          </w:p>
        </w:tc>
        <w:tc>
          <w:tcPr>
            <w:tcW w:w="1980" w:type="dxa"/>
            <w:vMerge w:val="restart"/>
            <w:shd w:val="clear" w:color="auto" w:fill="E4E4E4"/>
          </w:tcPr>
          <w:p>
            <w:pPr>
              <w:pStyle w:val="TableParagraph"/>
              <w:spacing w:before="23"/>
              <w:ind w:left="149" w:right="138"/>
              <w:jc w:val="center"/>
              <w:rPr>
                <w:sz w:val="16"/>
              </w:rPr>
            </w:pPr>
            <w:r>
              <w:rPr>
                <w:sz w:val="16"/>
              </w:rPr>
              <w:t>Stock change factor for land use or land-use change type in current inventory year</w:t>
            </w:r>
          </w:p>
          <w:p>
            <w:pPr>
              <w:pStyle w:val="TableParagraph"/>
              <w:spacing w:before="11"/>
              <w:rPr>
                <w:sz w:val="15"/>
              </w:rPr>
            </w:pPr>
          </w:p>
          <w:p>
            <w:pPr>
              <w:pStyle w:val="TableParagraph"/>
              <w:ind w:left="146" w:right="138"/>
              <w:jc w:val="center"/>
              <w:rPr>
                <w:sz w:val="16"/>
              </w:rPr>
            </w:pPr>
            <w:r>
              <w:rPr>
                <w:sz w:val="16"/>
              </w:rPr>
              <w:t>(dimensionless)</w:t>
            </w:r>
          </w:p>
          <w:p>
            <w:pPr>
              <w:pStyle w:val="TableParagraph"/>
              <w:rPr>
                <w:sz w:val="18"/>
              </w:rPr>
            </w:pPr>
          </w:p>
          <w:p>
            <w:pPr>
              <w:pStyle w:val="TableParagraph"/>
              <w:rPr>
                <w:sz w:val="15"/>
              </w:rPr>
            </w:pPr>
          </w:p>
          <w:p>
            <w:pPr>
              <w:pStyle w:val="TableParagraph"/>
              <w:spacing w:line="168" w:lineRule="exact"/>
              <w:ind w:left="10"/>
              <w:jc w:val="center"/>
              <w:rPr>
                <w:sz w:val="16"/>
              </w:rPr>
            </w:pPr>
            <w:r>
              <w:rPr>
                <w:w w:val="100"/>
                <w:sz w:val="16"/>
              </w:rPr>
              <w:t>H</w:t>
            </w:r>
          </w:p>
        </w:tc>
        <w:tc>
          <w:tcPr>
            <w:tcW w:w="1800" w:type="dxa"/>
            <w:vMerge w:val="restart"/>
            <w:shd w:val="clear" w:color="auto" w:fill="E4E4E4"/>
          </w:tcPr>
          <w:p>
            <w:pPr>
              <w:pStyle w:val="TableParagraph"/>
              <w:spacing w:before="23"/>
              <w:ind w:left="166" w:right="138" w:hanging="15"/>
              <w:jc w:val="both"/>
              <w:rPr>
                <w:sz w:val="16"/>
              </w:rPr>
            </w:pPr>
            <w:r>
              <w:rPr>
                <w:sz w:val="16"/>
              </w:rPr>
              <w:t>Stock change factor for management regime in current inventory year</w:t>
            </w:r>
          </w:p>
          <w:p>
            <w:pPr>
              <w:pStyle w:val="TableParagraph"/>
              <w:spacing w:before="10"/>
              <w:rPr>
                <w:sz w:val="15"/>
              </w:rPr>
            </w:pPr>
          </w:p>
          <w:p>
            <w:pPr>
              <w:pStyle w:val="TableParagraph"/>
              <w:ind w:left="131" w:right="120"/>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51"/>
              <w:ind w:left="12"/>
              <w:jc w:val="center"/>
              <w:rPr>
                <w:sz w:val="16"/>
              </w:rPr>
            </w:pPr>
            <w:r>
              <w:rPr>
                <w:w w:val="100"/>
                <w:sz w:val="16"/>
              </w:rPr>
              <w:t>I</w:t>
            </w:r>
          </w:p>
        </w:tc>
        <w:tc>
          <w:tcPr>
            <w:tcW w:w="1980" w:type="dxa"/>
            <w:vMerge w:val="restart"/>
            <w:shd w:val="clear" w:color="auto" w:fill="E4E4E4"/>
          </w:tcPr>
          <w:p>
            <w:pPr>
              <w:pStyle w:val="TableParagraph"/>
              <w:spacing w:before="23"/>
              <w:ind w:left="171" w:right="162" w:firstLine="2"/>
              <w:jc w:val="center"/>
              <w:rPr>
                <w:sz w:val="16"/>
              </w:rPr>
            </w:pPr>
            <w:r>
              <w:rPr>
                <w:sz w:val="16"/>
              </w:rPr>
              <w:t>Stock change factor for input of organic matter in current inventory year</w:t>
            </w:r>
          </w:p>
          <w:p>
            <w:pPr>
              <w:pStyle w:val="TableParagraph"/>
              <w:rPr>
                <w:sz w:val="18"/>
              </w:rPr>
            </w:pPr>
          </w:p>
          <w:p>
            <w:pPr>
              <w:pStyle w:val="TableParagraph"/>
              <w:spacing w:before="160"/>
              <w:ind w:left="146" w:right="138"/>
              <w:jc w:val="center"/>
              <w:rPr>
                <w:sz w:val="16"/>
              </w:rPr>
            </w:pPr>
            <w:r>
              <w:rPr>
                <w:sz w:val="16"/>
              </w:rPr>
              <w:t>(dimensionless)</w:t>
            </w:r>
          </w:p>
          <w:p>
            <w:pPr>
              <w:pStyle w:val="TableParagraph"/>
              <w:rPr>
                <w:sz w:val="18"/>
              </w:rPr>
            </w:pPr>
          </w:p>
          <w:p>
            <w:pPr>
              <w:pStyle w:val="TableParagraph"/>
              <w:spacing w:before="1"/>
              <w:rPr>
                <w:sz w:val="15"/>
              </w:rPr>
            </w:pPr>
          </w:p>
          <w:p>
            <w:pPr>
              <w:pStyle w:val="TableParagraph"/>
              <w:spacing w:line="168" w:lineRule="exact"/>
              <w:ind w:left="9"/>
              <w:jc w:val="center"/>
              <w:rPr>
                <w:sz w:val="16"/>
              </w:rPr>
            </w:pPr>
            <w:r>
              <w:rPr>
                <w:w w:val="100"/>
                <w:sz w:val="16"/>
              </w:rPr>
              <w:t>J</w:t>
            </w:r>
          </w:p>
        </w:tc>
        <w:tc>
          <w:tcPr>
            <w:tcW w:w="1800" w:type="dxa"/>
            <w:vMerge w:val="restart"/>
            <w:shd w:val="clear" w:color="auto" w:fill="E4E4E4"/>
          </w:tcPr>
          <w:p>
            <w:pPr>
              <w:pStyle w:val="TableParagraph"/>
              <w:spacing w:before="23"/>
              <w:ind w:left="130" w:right="120"/>
              <w:jc w:val="center"/>
              <w:rPr>
                <w:sz w:val="16"/>
              </w:rPr>
            </w:pPr>
            <w:r>
              <w:rPr>
                <w:sz w:val="16"/>
              </w:rPr>
              <w:t>Soil organic</w:t>
            </w:r>
            <w:r>
              <w:rPr>
                <w:spacing w:val="-10"/>
                <w:sz w:val="16"/>
              </w:rPr>
              <w:t> </w:t>
            </w:r>
            <w:r>
              <w:rPr>
                <w:sz w:val="16"/>
              </w:rPr>
              <w:t>carbon stock in current inventory</w:t>
            </w:r>
            <w:r>
              <w:rPr>
                <w:spacing w:val="-3"/>
                <w:sz w:val="16"/>
              </w:rPr>
              <w:t> </w:t>
            </w:r>
            <w:r>
              <w:rPr>
                <w:sz w:val="16"/>
              </w:rPr>
              <w:t>year</w:t>
            </w:r>
          </w:p>
          <w:p>
            <w:pPr>
              <w:pStyle w:val="TableParagraph"/>
              <w:spacing w:before="10"/>
              <w:rPr>
                <w:sz w:val="15"/>
              </w:rPr>
            </w:pPr>
          </w:p>
          <w:p>
            <w:pPr>
              <w:pStyle w:val="TableParagraph"/>
              <w:ind w:left="358" w:firstLine="67"/>
              <w:rPr>
                <w:sz w:val="16"/>
              </w:rPr>
            </w:pPr>
            <w:r>
              <w:rPr>
                <w:sz w:val="16"/>
              </w:rPr>
              <w:t>(tonnes C</w:t>
            </w:r>
            <w:r>
              <w:rPr>
                <w:spacing w:val="2"/>
                <w:sz w:val="16"/>
              </w:rPr>
              <w:t> </w:t>
            </w:r>
            <w:r>
              <w:rPr>
                <w:sz w:val="16"/>
              </w:rPr>
              <w:t>ha</w:t>
            </w:r>
            <w:r>
              <w:rPr>
                <w:sz w:val="16"/>
                <w:vertAlign w:val="superscript"/>
              </w:rPr>
              <w:t>-1</w:t>
            </w:r>
            <w:r>
              <w:rPr>
                <w:sz w:val="16"/>
                <w:vertAlign w:val="baseline"/>
              </w:rPr>
              <w:t>)</w:t>
            </w:r>
          </w:p>
          <w:p>
            <w:pPr>
              <w:pStyle w:val="TableParagraph"/>
              <w:spacing w:line="350" w:lineRule="atLeast" w:before="45"/>
              <w:ind w:left="358" w:right="344"/>
              <w:jc w:val="center"/>
              <w:rPr>
                <w:sz w:val="16"/>
              </w:rPr>
            </w:pPr>
            <w:r>
              <w:rPr>
                <w:sz w:val="16"/>
              </w:rPr>
              <w:t>K = C </w:t>
            </w:r>
            <w:r>
              <w:rPr>
                <w:rFonts w:ascii="Symbol" w:hAnsi="Symbol"/>
                <w:sz w:val="16"/>
              </w:rPr>
              <w:t>• </w:t>
            </w:r>
            <w:r>
              <w:rPr>
                <w:sz w:val="16"/>
              </w:rPr>
              <w:t>H </w:t>
            </w:r>
            <w:r>
              <w:rPr>
                <w:rFonts w:ascii="Symbol" w:hAnsi="Symbol"/>
                <w:sz w:val="16"/>
              </w:rPr>
              <w:t>• </w:t>
            </w:r>
            <w:r>
              <w:rPr>
                <w:sz w:val="16"/>
              </w:rPr>
              <w:t>I </w:t>
            </w:r>
            <w:r>
              <w:rPr>
                <w:rFonts w:ascii="Symbol" w:hAnsi="Symbol"/>
                <w:sz w:val="16"/>
              </w:rPr>
              <w:t>• </w:t>
            </w:r>
            <w:r>
              <w:rPr>
                <w:sz w:val="16"/>
              </w:rPr>
              <w:t>J K</w:t>
            </w:r>
          </w:p>
        </w:tc>
        <w:tc>
          <w:tcPr>
            <w:tcW w:w="2160" w:type="dxa"/>
            <w:vMerge w:val="restart"/>
            <w:shd w:val="clear" w:color="auto" w:fill="E4E4E4"/>
          </w:tcPr>
          <w:p>
            <w:pPr>
              <w:pStyle w:val="TableParagraph"/>
              <w:spacing w:before="23"/>
              <w:ind w:left="276" w:right="267"/>
              <w:jc w:val="center"/>
              <w:rPr>
                <w:sz w:val="16"/>
              </w:rPr>
            </w:pPr>
            <w:r>
              <w:rPr>
                <w:sz w:val="16"/>
              </w:rPr>
              <w:t>Annual change in carbon stocks in mineral soils (tonnes C yr</w:t>
            </w:r>
            <w:r>
              <w:rPr>
                <w:sz w:val="16"/>
                <w:vertAlign w:val="superscript"/>
              </w:rPr>
              <w:t>-1</w:t>
            </w:r>
            <w:r>
              <w:rPr>
                <w:sz w:val="16"/>
                <w:vertAlign w:val="baseline"/>
              </w:rPr>
              <w:t>)</w:t>
            </w:r>
          </w:p>
          <w:p>
            <w:pPr>
              <w:pStyle w:val="TableParagraph"/>
              <w:spacing w:before="10"/>
              <w:rPr>
                <w:sz w:val="16"/>
              </w:rPr>
            </w:pPr>
          </w:p>
          <w:p>
            <w:pPr>
              <w:pStyle w:val="TableParagraph"/>
              <w:ind w:left="142" w:right="132"/>
              <w:jc w:val="center"/>
              <w:rPr>
                <w:sz w:val="16"/>
              </w:rPr>
            </w:pPr>
            <w:r>
              <w:rPr>
                <w:sz w:val="16"/>
              </w:rPr>
              <w:t>L = [(K-G) </w:t>
            </w:r>
            <w:r>
              <w:rPr>
                <w:rFonts w:ascii="Symbol" w:hAnsi="Symbol"/>
                <w:sz w:val="16"/>
              </w:rPr>
              <w:t>• </w:t>
            </w:r>
            <w:r>
              <w:rPr>
                <w:sz w:val="16"/>
              </w:rPr>
              <w:t>A] / B</w:t>
            </w:r>
          </w:p>
          <w:p>
            <w:pPr>
              <w:pStyle w:val="TableParagraph"/>
              <w:rPr>
                <w:sz w:val="20"/>
              </w:rPr>
            </w:pPr>
          </w:p>
          <w:p>
            <w:pPr>
              <w:pStyle w:val="TableParagraph"/>
              <w:spacing w:before="11"/>
              <w:rPr>
                <w:sz w:val="26"/>
              </w:rPr>
            </w:pPr>
          </w:p>
          <w:p>
            <w:pPr>
              <w:pStyle w:val="TableParagraph"/>
              <w:spacing w:line="168" w:lineRule="exact"/>
              <w:ind w:left="13"/>
              <w:jc w:val="center"/>
              <w:rPr>
                <w:sz w:val="16"/>
              </w:rPr>
            </w:pPr>
            <w:r>
              <w:rPr>
                <w:w w:val="100"/>
                <w:sz w:val="16"/>
              </w:rPr>
              <w:t>L</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30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7" w:right="129"/>
              <w:jc w:val="center"/>
              <w:rPr>
                <w:b/>
                <w:sz w:val="10"/>
              </w:rPr>
            </w:pPr>
            <w:r>
              <w:rPr>
                <w:b/>
                <w:position w:val="2"/>
                <w:sz w:val="16"/>
              </w:rPr>
              <w:t>SOC</w:t>
            </w:r>
            <w:r>
              <w:rPr>
                <w:b/>
                <w:sz w:val="10"/>
              </w:rPr>
              <w:t>(0-T)</w:t>
            </w:r>
          </w:p>
        </w:tc>
        <w:tc>
          <w:tcPr>
            <w:tcW w:w="1980" w:type="dxa"/>
          </w:tcPr>
          <w:p>
            <w:pPr>
              <w:pStyle w:val="TableParagraph"/>
              <w:spacing w:before="53"/>
              <w:ind w:left="147" w:right="138"/>
              <w:jc w:val="center"/>
              <w:rPr>
                <w:b/>
                <w:sz w:val="10"/>
              </w:rPr>
            </w:pPr>
            <w:r>
              <w:rPr>
                <w:b/>
                <w:position w:val="2"/>
                <w:sz w:val="16"/>
              </w:rPr>
              <w:t>F</w:t>
            </w:r>
            <w:r>
              <w:rPr>
                <w:b/>
                <w:sz w:val="10"/>
              </w:rPr>
              <w:t>LU(0)</w:t>
            </w:r>
          </w:p>
        </w:tc>
        <w:tc>
          <w:tcPr>
            <w:tcW w:w="1800" w:type="dxa"/>
          </w:tcPr>
          <w:p>
            <w:pPr>
              <w:pStyle w:val="TableParagraph"/>
              <w:spacing w:before="53"/>
              <w:ind w:left="131" w:right="120"/>
              <w:jc w:val="center"/>
              <w:rPr>
                <w:b/>
                <w:sz w:val="10"/>
              </w:rPr>
            </w:pPr>
            <w:r>
              <w:rPr>
                <w:b/>
                <w:position w:val="2"/>
                <w:sz w:val="16"/>
              </w:rPr>
              <w:t>F</w:t>
            </w:r>
            <w:r>
              <w:rPr>
                <w:b/>
                <w:sz w:val="10"/>
              </w:rPr>
              <w:t>MG(0)</w:t>
            </w:r>
          </w:p>
        </w:tc>
        <w:tc>
          <w:tcPr>
            <w:tcW w:w="1980" w:type="dxa"/>
          </w:tcPr>
          <w:p>
            <w:pPr>
              <w:pStyle w:val="TableParagraph"/>
              <w:spacing w:before="53"/>
              <w:ind w:left="147" w:right="138"/>
              <w:jc w:val="center"/>
              <w:rPr>
                <w:b/>
                <w:sz w:val="10"/>
              </w:rPr>
            </w:pPr>
            <w:r>
              <w:rPr>
                <w:b/>
                <w:position w:val="2"/>
                <w:sz w:val="16"/>
              </w:rPr>
              <w:t>F</w:t>
            </w:r>
            <w:r>
              <w:rPr>
                <w:b/>
                <w:sz w:val="10"/>
              </w:rPr>
              <w:t>I(0)</w:t>
            </w:r>
          </w:p>
        </w:tc>
        <w:tc>
          <w:tcPr>
            <w:tcW w:w="1800" w:type="dxa"/>
          </w:tcPr>
          <w:p>
            <w:pPr>
              <w:pStyle w:val="TableParagraph"/>
              <w:spacing w:before="53"/>
              <w:ind w:left="131" w:right="120"/>
              <w:jc w:val="center"/>
              <w:rPr>
                <w:b/>
                <w:sz w:val="10"/>
              </w:rPr>
            </w:pPr>
            <w:r>
              <w:rPr>
                <w:b/>
                <w:position w:val="2"/>
                <w:sz w:val="16"/>
              </w:rPr>
              <w:t>SOC</w:t>
            </w:r>
            <w:r>
              <w:rPr>
                <w:b/>
                <w:sz w:val="10"/>
              </w:rPr>
              <w:t>0</w:t>
            </w:r>
          </w:p>
        </w:tc>
        <w:tc>
          <w:tcPr>
            <w:tcW w:w="2160" w:type="dxa"/>
            <w:shd w:val="clear" w:color="auto" w:fill="D5D5D5"/>
          </w:tcPr>
          <w:p>
            <w:pPr>
              <w:pStyle w:val="TableParagraph"/>
              <w:spacing w:line="164" w:lineRule="exact" w:before="25"/>
              <w:ind w:left="147" w:right="476"/>
              <w:jc w:val="center"/>
              <w:rPr>
                <w:b/>
                <w:sz w:val="10"/>
              </w:rPr>
            </w:pPr>
            <w:r>
              <w:rPr>
                <w:b/>
                <w:position w:val="2"/>
                <w:sz w:val="16"/>
              </w:rPr>
              <w:t>∆C</w:t>
            </w:r>
            <w:r>
              <w:rPr>
                <w:b/>
                <w:sz w:val="10"/>
              </w:rPr>
              <w:t>GG</w:t>
            </w:r>
          </w:p>
          <w:p>
            <w:pPr>
              <w:pStyle w:val="TableParagraph"/>
              <w:spacing w:line="87" w:lineRule="exact"/>
              <w:ind w:left="1092"/>
              <w:rPr>
                <w:b/>
                <w:sz w:val="10"/>
              </w:rPr>
            </w:pPr>
            <w:r>
              <w:rPr>
                <w:b/>
                <w:sz w:val="10"/>
              </w:rPr>
              <w:t>Mineral</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bl>
    <w:p>
      <w:pPr>
        <w:spacing w:after="0"/>
        <w:rPr>
          <w:sz w:val="16"/>
        </w:rPr>
        <w:sectPr>
          <w:pgSz w:w="16840" w:h="11900" w:orient="landscape"/>
          <w:pgMar w:header="1150"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4118"/>
        <w:gridCol w:w="4164"/>
        <w:gridCol w:w="36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928" w:type="dxa"/>
            <w:gridSpan w:val="4"/>
          </w:tcPr>
          <w:p>
            <w:pPr>
              <w:pStyle w:val="TableParagraph"/>
              <w:spacing w:before="26"/>
              <w:ind w:left="108"/>
              <w:rPr>
                <w:b/>
                <w:sz w:val="20"/>
              </w:rPr>
            </w:pPr>
            <w:r>
              <w:rPr>
                <w:b/>
                <w:sz w:val="20"/>
              </w:rPr>
              <w:t>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928" w:type="dxa"/>
            <w:gridSpan w:val="4"/>
          </w:tcPr>
          <w:p>
            <w:pPr>
              <w:pStyle w:val="TableParagraph"/>
              <w:spacing w:before="26"/>
              <w:ind w:left="107"/>
              <w:rPr>
                <w:b/>
                <w:sz w:val="20"/>
              </w:rPr>
            </w:pPr>
            <w:r>
              <w:rPr>
                <w:b/>
                <w:sz w:val="20"/>
              </w:rPr>
              <w:t>Grassland Remaining 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928" w:type="dxa"/>
            <w:gridSpan w:val="4"/>
          </w:tcPr>
          <w:p>
            <w:pPr>
              <w:pStyle w:val="TableParagraph"/>
              <w:spacing w:before="26"/>
              <w:ind w:left="108"/>
              <w:rPr>
                <w:b/>
                <w:sz w:val="20"/>
              </w:rPr>
            </w:pPr>
            <w:r>
              <w:rPr>
                <w:b/>
                <w:sz w:val="20"/>
              </w:rPr>
              <w:t>GL-1c2: Annual change in carbon stocks in cultivated organic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928" w:type="dxa"/>
            <w:gridSpan w:val="4"/>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4118" w:type="dxa"/>
            <w:vMerge w:val="restart"/>
            <w:shd w:val="clear" w:color="auto" w:fill="E4E4E4"/>
          </w:tcPr>
          <w:p>
            <w:pPr>
              <w:pStyle w:val="TableParagraph"/>
              <w:spacing w:line="480" w:lineRule="auto" w:before="23"/>
              <w:ind w:left="677" w:right="667"/>
              <w:jc w:val="center"/>
              <w:rPr>
                <w:sz w:val="16"/>
              </w:rPr>
            </w:pPr>
            <w:r>
              <w:rPr>
                <w:sz w:val="16"/>
              </w:rPr>
              <w:t>Land area of organic soils in climate type c (ha)</w:t>
            </w:r>
          </w:p>
          <w:p>
            <w:pPr>
              <w:pStyle w:val="TableParagraph"/>
              <w:rPr>
                <w:sz w:val="18"/>
              </w:rPr>
            </w:pPr>
          </w:p>
          <w:p>
            <w:pPr>
              <w:pStyle w:val="TableParagraph"/>
              <w:spacing w:before="1"/>
              <w:rPr>
                <w:sz w:val="17"/>
              </w:rPr>
            </w:pPr>
          </w:p>
          <w:p>
            <w:pPr>
              <w:pStyle w:val="TableParagraph"/>
              <w:spacing w:line="170" w:lineRule="exact" w:before="1"/>
              <w:ind w:left="12"/>
              <w:jc w:val="center"/>
              <w:rPr>
                <w:sz w:val="16"/>
              </w:rPr>
            </w:pPr>
            <w:r>
              <w:rPr>
                <w:w w:val="100"/>
                <w:sz w:val="16"/>
              </w:rPr>
              <w:t>A</w:t>
            </w:r>
          </w:p>
        </w:tc>
        <w:tc>
          <w:tcPr>
            <w:tcW w:w="4164" w:type="dxa"/>
            <w:vMerge w:val="restart"/>
            <w:shd w:val="clear" w:color="auto" w:fill="E4E4E4"/>
          </w:tcPr>
          <w:p>
            <w:pPr>
              <w:pStyle w:val="TableParagraph"/>
              <w:spacing w:line="480" w:lineRule="auto" w:before="23"/>
              <w:ind w:left="870" w:right="859"/>
              <w:jc w:val="center"/>
              <w:rPr>
                <w:sz w:val="16"/>
              </w:rPr>
            </w:pPr>
            <w:r>
              <w:rPr>
                <w:sz w:val="16"/>
              </w:rPr>
              <w:t>Emission factor for climate type c (tonnes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spacing w:before="1"/>
              <w:rPr>
                <w:sz w:val="17"/>
              </w:rPr>
            </w:pPr>
          </w:p>
          <w:p>
            <w:pPr>
              <w:pStyle w:val="TableParagraph"/>
              <w:spacing w:line="170" w:lineRule="exact" w:before="1"/>
              <w:ind w:left="10"/>
              <w:jc w:val="center"/>
              <w:rPr>
                <w:sz w:val="16"/>
              </w:rPr>
            </w:pPr>
            <w:r>
              <w:rPr>
                <w:w w:val="100"/>
                <w:sz w:val="16"/>
              </w:rPr>
              <w:t>B</w:t>
            </w:r>
          </w:p>
        </w:tc>
        <w:tc>
          <w:tcPr>
            <w:tcW w:w="3619" w:type="dxa"/>
            <w:vMerge w:val="restart"/>
            <w:shd w:val="clear" w:color="auto" w:fill="E4E4E4"/>
          </w:tcPr>
          <w:p>
            <w:pPr>
              <w:pStyle w:val="TableParagraph"/>
              <w:spacing w:line="470" w:lineRule="auto" w:before="22"/>
              <w:ind w:left="274" w:right="260"/>
              <w:jc w:val="center"/>
              <w:rPr>
                <w:sz w:val="16"/>
              </w:rPr>
            </w:pPr>
            <w:r>
              <w:rPr>
                <w:position w:val="2"/>
                <w:sz w:val="16"/>
              </w:rPr>
              <w:t>CO</w:t>
            </w:r>
            <w:r>
              <w:rPr>
                <w:sz w:val="10"/>
              </w:rPr>
              <w:t>2 </w:t>
            </w:r>
            <w:r>
              <w:rPr>
                <w:position w:val="2"/>
                <w:sz w:val="16"/>
              </w:rPr>
              <w:t>emissions from cultivated organic soils </w:t>
            </w:r>
            <w:r>
              <w:rPr>
                <w:sz w:val="16"/>
              </w:rPr>
              <w:t>(tonnes C yr</w:t>
            </w:r>
            <w:r>
              <w:rPr>
                <w:sz w:val="16"/>
                <w:vertAlign w:val="superscript"/>
              </w:rPr>
              <w:t>-1</w:t>
            </w:r>
            <w:r>
              <w:rPr>
                <w:sz w:val="16"/>
                <w:vertAlign w:val="baseline"/>
              </w:rPr>
              <w:t>)</w:t>
            </w:r>
          </w:p>
          <w:p>
            <w:pPr>
              <w:pStyle w:val="TableParagraph"/>
              <w:spacing w:before="19"/>
              <w:ind w:left="269" w:right="261"/>
              <w:jc w:val="center"/>
              <w:rPr>
                <w:sz w:val="16"/>
              </w:rPr>
            </w:pPr>
            <w:r>
              <w:rPr>
                <w:sz w:val="16"/>
              </w:rPr>
              <w:t>C = A </w:t>
            </w:r>
            <w:r>
              <w:rPr>
                <w:rFonts w:ascii="Symbol" w:hAnsi="Symbol"/>
                <w:sz w:val="16"/>
              </w:rPr>
              <w:t>• </w:t>
            </w:r>
            <w:r>
              <w:rPr>
                <w:sz w:val="16"/>
              </w:rPr>
              <w:t>B</w:t>
            </w:r>
          </w:p>
          <w:p>
            <w:pPr>
              <w:pStyle w:val="TableParagraph"/>
              <w:spacing w:before="1"/>
              <w:rPr>
                <w:sz w:val="17"/>
              </w:rPr>
            </w:pPr>
          </w:p>
          <w:p>
            <w:pPr>
              <w:pStyle w:val="TableParagraph"/>
              <w:spacing w:line="170" w:lineRule="exact"/>
              <w:ind w:left="8"/>
              <w:jc w:val="center"/>
              <w:rPr>
                <w:sz w:val="16"/>
              </w:rPr>
            </w:pPr>
            <w:r>
              <w:rPr>
                <w:w w:val="100"/>
                <w:sz w:val="16"/>
              </w:rPr>
              <w:t>C</w:t>
            </w:r>
          </w:p>
        </w:tc>
      </w:tr>
      <w:tr>
        <w:trPr>
          <w:trHeight w:val="947"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4118" w:type="dxa"/>
            <w:vMerge/>
            <w:tcBorders>
              <w:top w:val="nil"/>
            </w:tcBorders>
            <w:shd w:val="clear" w:color="auto" w:fill="E4E4E4"/>
          </w:tcPr>
          <w:p>
            <w:pPr>
              <w:rPr>
                <w:sz w:val="2"/>
                <w:szCs w:val="2"/>
              </w:rPr>
            </w:pPr>
          </w:p>
        </w:tc>
        <w:tc>
          <w:tcPr>
            <w:tcW w:w="4164" w:type="dxa"/>
            <w:vMerge/>
            <w:tcBorders>
              <w:top w:val="nil"/>
            </w:tcBorders>
            <w:shd w:val="clear" w:color="auto" w:fill="E4E4E4"/>
          </w:tcPr>
          <w:p>
            <w:pPr>
              <w:rPr>
                <w:sz w:val="2"/>
                <w:szCs w:val="2"/>
              </w:rPr>
            </w:pPr>
          </w:p>
        </w:tc>
        <w:tc>
          <w:tcPr>
            <w:tcW w:w="3619"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4118" w:type="dxa"/>
          </w:tcPr>
          <w:p>
            <w:pPr>
              <w:pStyle w:val="TableParagraph"/>
              <w:spacing w:before="54"/>
              <w:ind w:left="12"/>
              <w:jc w:val="center"/>
              <w:rPr>
                <w:b/>
                <w:sz w:val="16"/>
              </w:rPr>
            </w:pPr>
            <w:r>
              <w:rPr>
                <w:b/>
                <w:w w:val="100"/>
                <w:sz w:val="16"/>
              </w:rPr>
              <w:t>A</w:t>
            </w:r>
          </w:p>
        </w:tc>
        <w:tc>
          <w:tcPr>
            <w:tcW w:w="4164" w:type="dxa"/>
          </w:tcPr>
          <w:p>
            <w:pPr>
              <w:pStyle w:val="TableParagraph"/>
              <w:spacing w:before="54"/>
              <w:ind w:left="122" w:right="114"/>
              <w:jc w:val="center"/>
              <w:rPr>
                <w:b/>
                <w:sz w:val="16"/>
              </w:rPr>
            </w:pPr>
            <w:r>
              <w:rPr>
                <w:b/>
                <w:sz w:val="16"/>
              </w:rPr>
              <w:t>EF</w:t>
            </w:r>
          </w:p>
        </w:tc>
        <w:tc>
          <w:tcPr>
            <w:tcW w:w="3619" w:type="dxa"/>
            <w:shd w:val="clear" w:color="auto" w:fill="D5D5D5"/>
          </w:tcPr>
          <w:p>
            <w:pPr>
              <w:pStyle w:val="TableParagraph"/>
              <w:spacing w:line="164" w:lineRule="exact" w:before="25"/>
              <w:ind w:left="274" w:right="615"/>
              <w:jc w:val="center"/>
              <w:rPr>
                <w:b/>
                <w:sz w:val="10"/>
              </w:rPr>
            </w:pPr>
            <w:r>
              <w:rPr>
                <w:b/>
                <w:position w:val="2"/>
                <w:sz w:val="16"/>
              </w:rPr>
              <w:t>∆C </w:t>
            </w:r>
            <w:r>
              <w:rPr>
                <w:b/>
                <w:sz w:val="10"/>
              </w:rPr>
              <w:t>GG</w:t>
            </w:r>
          </w:p>
          <w:p>
            <w:pPr>
              <w:pStyle w:val="TableParagraph"/>
              <w:spacing w:line="87" w:lineRule="exact"/>
              <w:ind w:left="678" w:right="261"/>
              <w:jc w:val="center"/>
              <w:rPr>
                <w:b/>
                <w:sz w:val="10"/>
              </w:rPr>
            </w:pPr>
            <w:r>
              <w:rPr>
                <w:b/>
                <w:sz w:val="10"/>
              </w:rPr>
              <w:t>Organic</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bl>
    <w:p>
      <w:pPr>
        <w:spacing w:after="0"/>
        <w:rPr>
          <w:sz w:val="16"/>
        </w:rPr>
        <w:sectPr>
          <w:footerReference w:type="even" r:id="rId233"/>
          <w:footerReference w:type="default" r:id="rId234"/>
          <w:pgSz w:w="16840" w:h="11900" w:orient="landscape"/>
          <w:pgMar w:footer="1128" w:header="1150" w:top="740" w:bottom="1320" w:left="1200" w:right="460"/>
          <w:pgNumType w:start="232"/>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455"/>
        <w:gridCol w:w="3077"/>
        <w:gridCol w:w="3077"/>
        <w:gridCol w:w="3077"/>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13" w:type="dxa"/>
            <w:gridSpan w:val="5"/>
          </w:tcPr>
          <w:p>
            <w:pPr>
              <w:pStyle w:val="TableParagraph"/>
              <w:spacing w:before="26"/>
              <w:ind w:left="108"/>
              <w:rPr>
                <w:b/>
                <w:sz w:val="20"/>
              </w:rPr>
            </w:pPr>
            <w:r>
              <w:rPr>
                <w:b/>
                <w:sz w:val="20"/>
              </w:rPr>
              <w:t>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13" w:type="dxa"/>
            <w:gridSpan w:val="5"/>
          </w:tcPr>
          <w:p>
            <w:pPr>
              <w:pStyle w:val="TableParagraph"/>
              <w:spacing w:before="26"/>
              <w:ind w:left="107"/>
              <w:rPr>
                <w:b/>
                <w:sz w:val="20"/>
              </w:rPr>
            </w:pPr>
            <w:r>
              <w:rPr>
                <w:b/>
                <w:sz w:val="20"/>
              </w:rPr>
              <w:t>Grassland Remaining 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13" w:type="dxa"/>
            <w:gridSpan w:val="5"/>
          </w:tcPr>
          <w:p>
            <w:pPr>
              <w:pStyle w:val="TableParagraph"/>
              <w:spacing w:before="26"/>
              <w:ind w:left="108"/>
              <w:rPr>
                <w:b/>
                <w:sz w:val="20"/>
              </w:rPr>
            </w:pPr>
            <w:r>
              <w:rPr>
                <w:b/>
                <w:sz w:val="20"/>
              </w:rPr>
              <w:t>GL-1c3: Annual carbon emissions from agricultural lime application</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13" w:type="dxa"/>
            <w:gridSpan w:val="5"/>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455" w:type="dxa"/>
            <w:vMerge w:val="restart"/>
            <w:shd w:val="clear" w:color="auto" w:fill="E4E4E4"/>
          </w:tcPr>
          <w:p>
            <w:pPr>
              <w:pStyle w:val="TableParagraph"/>
              <w:spacing w:before="23"/>
              <w:ind w:left="795" w:right="782"/>
              <w:jc w:val="center"/>
              <w:rPr>
                <w:sz w:val="16"/>
              </w:rPr>
            </w:pPr>
            <w:r>
              <w:rPr>
                <w:sz w:val="16"/>
              </w:rPr>
              <w:t>Type of lime</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0"/>
              <w:rPr>
                <w:sz w:val="24"/>
              </w:rPr>
            </w:pPr>
          </w:p>
          <w:p>
            <w:pPr>
              <w:pStyle w:val="TableParagraph"/>
              <w:spacing w:line="170" w:lineRule="exact"/>
              <w:ind w:left="14"/>
              <w:jc w:val="center"/>
              <w:rPr>
                <w:sz w:val="16"/>
              </w:rPr>
            </w:pPr>
            <w:r>
              <w:rPr>
                <w:w w:val="100"/>
                <w:sz w:val="16"/>
              </w:rPr>
              <w:t>A</w:t>
            </w:r>
          </w:p>
        </w:tc>
        <w:tc>
          <w:tcPr>
            <w:tcW w:w="3077" w:type="dxa"/>
            <w:vMerge w:val="restart"/>
            <w:shd w:val="clear" w:color="auto" w:fill="E4E4E4"/>
          </w:tcPr>
          <w:p>
            <w:pPr>
              <w:pStyle w:val="TableParagraph"/>
              <w:spacing w:line="480" w:lineRule="auto" w:before="23"/>
              <w:ind w:left="163" w:right="151"/>
              <w:jc w:val="center"/>
              <w:rPr>
                <w:sz w:val="16"/>
              </w:rPr>
            </w:pPr>
            <w:r>
              <w:rPr>
                <w:sz w:val="16"/>
              </w:rPr>
              <w:t>Total Annual amount of lime applied (tonnes lime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8"/>
              <w:ind w:left="7"/>
              <w:jc w:val="center"/>
              <w:rPr>
                <w:sz w:val="16"/>
              </w:rPr>
            </w:pPr>
            <w:r>
              <w:rPr>
                <w:w w:val="100"/>
                <w:sz w:val="16"/>
              </w:rPr>
              <w:t>B</w:t>
            </w:r>
          </w:p>
        </w:tc>
        <w:tc>
          <w:tcPr>
            <w:tcW w:w="3077" w:type="dxa"/>
            <w:vMerge w:val="restart"/>
            <w:shd w:val="clear" w:color="auto" w:fill="E4E4E4"/>
          </w:tcPr>
          <w:p>
            <w:pPr>
              <w:pStyle w:val="TableParagraph"/>
              <w:spacing w:before="23"/>
              <w:ind w:left="120" w:right="109"/>
              <w:jc w:val="center"/>
              <w:rPr>
                <w:sz w:val="16"/>
              </w:rPr>
            </w:pPr>
            <w:r>
              <w:rPr>
                <w:sz w:val="16"/>
              </w:rPr>
              <w:t>Emission Factor (carbonate carbon contents of the materials)</w:t>
            </w:r>
          </w:p>
          <w:p>
            <w:pPr>
              <w:pStyle w:val="TableParagraph"/>
              <w:rPr>
                <w:sz w:val="16"/>
              </w:rPr>
            </w:pPr>
          </w:p>
          <w:p>
            <w:pPr>
              <w:pStyle w:val="TableParagraph"/>
              <w:ind w:left="160" w:right="151"/>
              <w:jc w:val="center"/>
              <w:rPr>
                <w:sz w:val="16"/>
              </w:rPr>
            </w:pPr>
            <w:r>
              <w:rPr>
                <w:sz w:val="16"/>
              </w:rPr>
              <w:t>(tonnes C/tonne lime)</w:t>
            </w:r>
          </w:p>
          <w:p>
            <w:pPr>
              <w:pStyle w:val="TableParagraph"/>
              <w:rPr>
                <w:sz w:val="18"/>
              </w:rPr>
            </w:pPr>
          </w:p>
          <w:p>
            <w:pPr>
              <w:pStyle w:val="TableParagraph"/>
              <w:rPr>
                <w:sz w:val="18"/>
              </w:rPr>
            </w:pPr>
          </w:p>
          <w:p>
            <w:pPr>
              <w:pStyle w:val="TableParagraph"/>
              <w:spacing w:line="170" w:lineRule="exact" w:before="148"/>
              <w:ind w:left="7"/>
              <w:jc w:val="center"/>
              <w:rPr>
                <w:sz w:val="16"/>
              </w:rPr>
            </w:pPr>
            <w:r>
              <w:rPr>
                <w:w w:val="100"/>
                <w:sz w:val="16"/>
              </w:rPr>
              <w:t>C</w:t>
            </w:r>
          </w:p>
        </w:tc>
        <w:tc>
          <w:tcPr>
            <w:tcW w:w="3077" w:type="dxa"/>
            <w:vMerge w:val="restart"/>
            <w:shd w:val="clear" w:color="auto" w:fill="E4E4E4"/>
          </w:tcPr>
          <w:p>
            <w:pPr>
              <w:pStyle w:val="TableParagraph"/>
              <w:spacing w:before="23"/>
              <w:ind w:left="163" w:right="151"/>
              <w:jc w:val="center"/>
              <w:rPr>
                <w:sz w:val="16"/>
              </w:rPr>
            </w:pPr>
            <w:r>
              <w:rPr>
                <w:sz w:val="16"/>
              </w:rPr>
              <w:t>Annual carbon emissions from agricultural lime application</w:t>
            </w:r>
          </w:p>
          <w:p>
            <w:pPr>
              <w:pStyle w:val="TableParagraph"/>
              <w:rPr>
                <w:sz w:val="16"/>
              </w:rPr>
            </w:pPr>
          </w:p>
          <w:p>
            <w:pPr>
              <w:pStyle w:val="TableParagraph"/>
              <w:spacing w:line="494" w:lineRule="auto"/>
              <w:ind w:left="1054" w:right="1041"/>
              <w:jc w:val="center"/>
              <w:rPr>
                <w:sz w:val="16"/>
              </w:rPr>
            </w:pPr>
            <w:r>
              <w:rPr>
                <w:sz w:val="16"/>
              </w:rPr>
              <w:t>(tonnes C yr</w:t>
            </w:r>
            <w:r>
              <w:rPr>
                <w:sz w:val="16"/>
                <w:vertAlign w:val="superscript"/>
              </w:rPr>
              <w:t>-1</w:t>
            </w:r>
            <w:r>
              <w:rPr>
                <w:sz w:val="16"/>
                <w:vertAlign w:val="baseline"/>
              </w:rPr>
              <w:t>) D = B </w:t>
            </w:r>
            <w:r>
              <w:rPr>
                <w:rFonts w:ascii="Symbol" w:hAnsi="Symbol"/>
                <w:sz w:val="16"/>
                <w:vertAlign w:val="baseline"/>
              </w:rPr>
              <w:t>• </w:t>
            </w:r>
            <w:r>
              <w:rPr>
                <w:sz w:val="16"/>
                <w:vertAlign w:val="baseline"/>
              </w:rPr>
              <w:t>C</w:t>
            </w:r>
          </w:p>
          <w:p>
            <w:pPr>
              <w:pStyle w:val="TableParagraph"/>
              <w:spacing w:line="145" w:lineRule="exact"/>
              <w:ind w:left="11"/>
              <w:jc w:val="center"/>
              <w:rPr>
                <w:sz w:val="16"/>
              </w:rPr>
            </w:pPr>
            <w:r>
              <w:rPr>
                <w:w w:val="100"/>
                <w:sz w:val="16"/>
              </w:rPr>
              <w:t>D</w:t>
            </w:r>
          </w:p>
        </w:tc>
      </w:tr>
      <w:tr>
        <w:trPr>
          <w:trHeight w:val="110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455"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455" w:type="dxa"/>
          </w:tcPr>
          <w:p>
            <w:pPr>
              <w:pStyle w:val="TableParagraph"/>
              <w:spacing w:before="54"/>
              <w:ind w:left="791" w:right="782"/>
              <w:jc w:val="center"/>
              <w:rPr>
                <w:b/>
                <w:sz w:val="16"/>
              </w:rPr>
            </w:pPr>
            <w:r>
              <w:rPr>
                <w:b/>
                <w:sz w:val="16"/>
              </w:rPr>
              <w:t>type</w:t>
            </w:r>
          </w:p>
        </w:tc>
        <w:tc>
          <w:tcPr>
            <w:tcW w:w="3077" w:type="dxa"/>
          </w:tcPr>
          <w:p>
            <w:pPr>
              <w:pStyle w:val="TableParagraph"/>
              <w:spacing w:before="54"/>
              <w:ind w:left="159" w:right="151"/>
              <w:jc w:val="center"/>
              <w:rPr>
                <w:b/>
                <w:sz w:val="16"/>
              </w:rPr>
            </w:pPr>
            <w:r>
              <w:rPr>
                <w:b/>
                <w:sz w:val="16"/>
              </w:rPr>
              <w:t>Amount</w:t>
            </w:r>
          </w:p>
        </w:tc>
        <w:tc>
          <w:tcPr>
            <w:tcW w:w="3077" w:type="dxa"/>
          </w:tcPr>
          <w:p>
            <w:pPr>
              <w:pStyle w:val="TableParagraph"/>
              <w:spacing w:before="54"/>
              <w:ind w:left="161" w:right="151"/>
              <w:jc w:val="center"/>
              <w:rPr>
                <w:b/>
                <w:sz w:val="16"/>
              </w:rPr>
            </w:pPr>
            <w:r>
              <w:rPr>
                <w:b/>
                <w:sz w:val="16"/>
              </w:rPr>
              <w:t>EF</w:t>
            </w:r>
          </w:p>
        </w:tc>
        <w:tc>
          <w:tcPr>
            <w:tcW w:w="3077" w:type="dxa"/>
            <w:shd w:val="clear" w:color="auto" w:fill="D5D5D5"/>
          </w:tcPr>
          <w:p>
            <w:pPr>
              <w:pStyle w:val="TableParagraph"/>
              <w:spacing w:line="164" w:lineRule="exact" w:before="25"/>
              <w:ind w:left="163" w:right="467"/>
              <w:jc w:val="center"/>
              <w:rPr>
                <w:b/>
                <w:sz w:val="10"/>
              </w:rPr>
            </w:pPr>
            <w:r>
              <w:rPr>
                <w:b/>
                <w:position w:val="2"/>
                <w:sz w:val="16"/>
              </w:rPr>
              <w:t>∆C </w:t>
            </w:r>
            <w:r>
              <w:rPr>
                <w:b/>
                <w:sz w:val="10"/>
              </w:rPr>
              <w:t>GG</w:t>
            </w:r>
          </w:p>
          <w:p>
            <w:pPr>
              <w:pStyle w:val="TableParagraph"/>
              <w:spacing w:line="87" w:lineRule="exact"/>
              <w:ind w:left="569" w:right="151"/>
              <w:jc w:val="center"/>
              <w:rPr>
                <w:b/>
                <w:sz w:val="10"/>
              </w:rPr>
            </w:pPr>
            <w:r>
              <w:rPr>
                <w:b/>
                <w:sz w:val="10"/>
              </w:rPr>
              <w:t>Liming</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4"/>
        <w:gridCol w:w="801"/>
        <w:gridCol w:w="2896"/>
        <w:gridCol w:w="2896"/>
        <w:gridCol w:w="3618"/>
      </w:tblGrid>
      <w:tr>
        <w:trPr>
          <w:trHeight w:val="285" w:hRule="atLeast"/>
        </w:trPr>
        <w:tc>
          <w:tcPr>
            <w:tcW w:w="1874" w:type="dxa"/>
            <w:shd w:val="clear" w:color="auto" w:fill="BFBFBF"/>
          </w:tcPr>
          <w:p>
            <w:pPr>
              <w:pStyle w:val="TableParagraph"/>
              <w:spacing w:before="26"/>
              <w:ind w:left="107"/>
              <w:rPr>
                <w:b/>
                <w:sz w:val="20"/>
              </w:rPr>
            </w:pPr>
            <w:r>
              <w:rPr>
                <w:b/>
                <w:sz w:val="20"/>
              </w:rPr>
              <w:t>Module</w:t>
            </w:r>
          </w:p>
        </w:tc>
        <w:tc>
          <w:tcPr>
            <w:tcW w:w="10211" w:type="dxa"/>
            <w:gridSpan w:val="4"/>
          </w:tcPr>
          <w:p>
            <w:pPr>
              <w:pStyle w:val="TableParagraph"/>
              <w:spacing w:before="26"/>
              <w:ind w:left="108"/>
              <w:rPr>
                <w:b/>
                <w:sz w:val="20"/>
              </w:rPr>
            </w:pPr>
            <w:r>
              <w:rPr>
                <w:b/>
                <w:sz w:val="20"/>
              </w:rPr>
              <w:t>Grassland</w:t>
            </w:r>
          </w:p>
        </w:tc>
      </w:tr>
      <w:tr>
        <w:trPr>
          <w:trHeight w:val="285" w:hRule="atLeast"/>
        </w:trPr>
        <w:tc>
          <w:tcPr>
            <w:tcW w:w="1874" w:type="dxa"/>
            <w:shd w:val="clear" w:color="auto" w:fill="BFBFBF"/>
          </w:tcPr>
          <w:p>
            <w:pPr>
              <w:pStyle w:val="TableParagraph"/>
              <w:spacing w:before="26"/>
              <w:ind w:left="107"/>
              <w:rPr>
                <w:b/>
                <w:sz w:val="20"/>
              </w:rPr>
            </w:pPr>
            <w:r>
              <w:rPr>
                <w:b/>
                <w:sz w:val="20"/>
              </w:rPr>
              <w:t>Sub-module</w:t>
            </w:r>
          </w:p>
        </w:tc>
        <w:tc>
          <w:tcPr>
            <w:tcW w:w="10211" w:type="dxa"/>
            <w:gridSpan w:val="4"/>
          </w:tcPr>
          <w:p>
            <w:pPr>
              <w:pStyle w:val="TableParagraph"/>
              <w:spacing w:before="26"/>
              <w:ind w:left="107"/>
              <w:rPr>
                <w:b/>
                <w:sz w:val="20"/>
              </w:rPr>
            </w:pPr>
            <w:r>
              <w:rPr>
                <w:b/>
                <w:sz w:val="20"/>
              </w:rPr>
              <w:t>Grassland Remaining Grassland</w:t>
            </w:r>
          </w:p>
        </w:tc>
      </w:tr>
      <w:tr>
        <w:trPr>
          <w:trHeight w:val="287" w:hRule="atLeast"/>
        </w:trPr>
        <w:tc>
          <w:tcPr>
            <w:tcW w:w="1874" w:type="dxa"/>
            <w:shd w:val="clear" w:color="auto" w:fill="BFBFBF"/>
          </w:tcPr>
          <w:p>
            <w:pPr>
              <w:pStyle w:val="TableParagraph"/>
              <w:spacing w:before="26"/>
              <w:ind w:left="107"/>
              <w:rPr>
                <w:b/>
                <w:sz w:val="20"/>
              </w:rPr>
            </w:pPr>
            <w:r>
              <w:rPr>
                <w:b/>
                <w:sz w:val="20"/>
              </w:rPr>
              <w:t>Worksheet</w:t>
            </w:r>
          </w:p>
        </w:tc>
        <w:tc>
          <w:tcPr>
            <w:tcW w:w="10211" w:type="dxa"/>
            <w:gridSpan w:val="4"/>
          </w:tcPr>
          <w:p>
            <w:pPr>
              <w:pStyle w:val="TableParagraph"/>
              <w:spacing w:before="26"/>
              <w:ind w:left="108"/>
              <w:rPr>
                <w:b/>
                <w:sz w:val="20"/>
              </w:rPr>
            </w:pPr>
            <w:r>
              <w:rPr>
                <w:b/>
                <w:sz w:val="20"/>
              </w:rPr>
              <w:t>GL-1c4: Annual soil carbon stock change in grassland</w:t>
            </w:r>
          </w:p>
        </w:tc>
      </w:tr>
      <w:tr>
        <w:trPr>
          <w:trHeight w:val="285" w:hRule="atLeast"/>
        </w:trPr>
        <w:tc>
          <w:tcPr>
            <w:tcW w:w="1874" w:type="dxa"/>
            <w:shd w:val="clear" w:color="auto" w:fill="BFBFBF"/>
          </w:tcPr>
          <w:p>
            <w:pPr>
              <w:pStyle w:val="TableParagraph"/>
              <w:spacing w:before="26"/>
              <w:ind w:left="107"/>
              <w:rPr>
                <w:b/>
                <w:sz w:val="20"/>
              </w:rPr>
            </w:pPr>
            <w:r>
              <w:rPr>
                <w:b/>
                <w:sz w:val="20"/>
              </w:rPr>
              <w:t>Sheet</w:t>
            </w:r>
          </w:p>
        </w:tc>
        <w:tc>
          <w:tcPr>
            <w:tcW w:w="10211" w:type="dxa"/>
            <w:gridSpan w:val="4"/>
          </w:tcPr>
          <w:p>
            <w:pPr>
              <w:pStyle w:val="TableParagraph"/>
              <w:spacing w:before="26"/>
              <w:ind w:left="108"/>
              <w:rPr>
                <w:b/>
                <w:sz w:val="20"/>
              </w:rPr>
            </w:pPr>
            <w:r>
              <w:rPr>
                <w:b/>
                <w:sz w:val="20"/>
              </w:rPr>
              <w:t>1 of 1</w:t>
            </w:r>
          </w:p>
        </w:tc>
      </w:tr>
      <w:tr>
        <w:trPr>
          <w:trHeight w:val="761" w:hRule="atLeast"/>
        </w:trPr>
        <w:tc>
          <w:tcPr>
            <w:tcW w:w="2675" w:type="dxa"/>
            <w:gridSpan w:val="2"/>
            <w:tcBorders>
              <w:bottom w:val="nil"/>
            </w:tcBorders>
            <w:shd w:val="clear" w:color="auto" w:fill="E4E4E4"/>
          </w:tcPr>
          <w:p>
            <w:pPr>
              <w:pStyle w:val="TableParagraph"/>
              <w:spacing w:before="23"/>
              <w:ind w:left="210" w:right="196"/>
              <w:jc w:val="center"/>
              <w:rPr>
                <w:sz w:val="16"/>
              </w:rPr>
            </w:pPr>
            <w:r>
              <w:rPr>
                <w:sz w:val="16"/>
              </w:rPr>
              <w:t>Annual soil carbon stock change in mineral soils</w:t>
            </w:r>
          </w:p>
          <w:p>
            <w:pPr>
              <w:pStyle w:val="TableParagraph"/>
              <w:rPr>
                <w:sz w:val="16"/>
              </w:rPr>
            </w:pPr>
          </w:p>
          <w:p>
            <w:pPr>
              <w:pStyle w:val="TableParagraph"/>
              <w:spacing w:line="166" w:lineRule="exact"/>
              <w:ind w:left="851" w:right="843"/>
              <w:jc w:val="center"/>
              <w:rPr>
                <w:sz w:val="16"/>
              </w:rPr>
            </w:pPr>
            <w:r>
              <w:rPr>
                <w:sz w:val="16"/>
              </w:rPr>
              <w:t>(tonnes C yr</w:t>
            </w:r>
            <w:r>
              <w:rPr>
                <w:sz w:val="16"/>
                <w:vertAlign w:val="superscript"/>
              </w:rPr>
              <w:t>-1</w:t>
            </w:r>
            <w:r>
              <w:rPr>
                <w:sz w:val="16"/>
                <w:vertAlign w:val="baseline"/>
              </w:rPr>
              <w:t>)</w:t>
            </w:r>
          </w:p>
        </w:tc>
        <w:tc>
          <w:tcPr>
            <w:tcW w:w="2896" w:type="dxa"/>
            <w:tcBorders>
              <w:bottom w:val="nil"/>
            </w:tcBorders>
            <w:shd w:val="clear" w:color="auto" w:fill="E4E4E4"/>
          </w:tcPr>
          <w:p>
            <w:pPr>
              <w:pStyle w:val="TableParagraph"/>
              <w:spacing w:line="232" w:lineRule="auto" w:before="27"/>
              <w:ind w:left="192" w:right="179"/>
              <w:jc w:val="center"/>
              <w:rPr>
                <w:sz w:val="16"/>
              </w:rPr>
            </w:pPr>
            <w:r>
              <w:rPr>
                <w:position w:val="2"/>
                <w:sz w:val="16"/>
              </w:rPr>
              <w:t>CO</w:t>
            </w:r>
            <w:r>
              <w:rPr>
                <w:sz w:val="10"/>
              </w:rPr>
              <w:t>2 </w:t>
            </w:r>
            <w:r>
              <w:rPr>
                <w:position w:val="2"/>
                <w:sz w:val="16"/>
              </w:rPr>
              <w:t>emissions from cultivated organic </w:t>
            </w:r>
            <w:r>
              <w:rPr>
                <w:sz w:val="16"/>
              </w:rPr>
              <w:t>soils</w:t>
            </w:r>
          </w:p>
          <w:p>
            <w:pPr>
              <w:pStyle w:val="TableParagraph"/>
              <w:rPr>
                <w:sz w:val="16"/>
              </w:rPr>
            </w:pPr>
          </w:p>
          <w:p>
            <w:pPr>
              <w:pStyle w:val="TableParagraph"/>
              <w:spacing w:line="166" w:lineRule="exact"/>
              <w:ind w:left="191" w:right="181"/>
              <w:jc w:val="center"/>
              <w:rPr>
                <w:sz w:val="16"/>
              </w:rPr>
            </w:pPr>
            <w:r>
              <w:rPr>
                <w:sz w:val="16"/>
              </w:rPr>
              <w:t>(tonnes C yr</w:t>
            </w:r>
            <w:r>
              <w:rPr>
                <w:sz w:val="16"/>
                <w:vertAlign w:val="superscript"/>
              </w:rPr>
              <w:t>-1</w:t>
            </w:r>
            <w:r>
              <w:rPr>
                <w:sz w:val="16"/>
                <w:vertAlign w:val="baseline"/>
              </w:rPr>
              <w:t>)</w:t>
            </w:r>
          </w:p>
        </w:tc>
        <w:tc>
          <w:tcPr>
            <w:tcW w:w="2896" w:type="dxa"/>
            <w:tcBorders>
              <w:bottom w:val="nil"/>
            </w:tcBorders>
            <w:shd w:val="clear" w:color="auto" w:fill="E4E4E4"/>
          </w:tcPr>
          <w:p>
            <w:pPr>
              <w:pStyle w:val="TableParagraph"/>
              <w:spacing w:before="23"/>
              <w:ind w:left="192" w:right="176"/>
              <w:jc w:val="center"/>
              <w:rPr>
                <w:sz w:val="16"/>
              </w:rPr>
            </w:pPr>
            <w:r>
              <w:rPr>
                <w:sz w:val="16"/>
              </w:rPr>
              <w:t>Annual carbon emissions from agricultural lime application</w:t>
            </w:r>
          </w:p>
          <w:p>
            <w:pPr>
              <w:pStyle w:val="TableParagraph"/>
              <w:rPr>
                <w:sz w:val="16"/>
              </w:rPr>
            </w:pPr>
          </w:p>
          <w:p>
            <w:pPr>
              <w:pStyle w:val="TableParagraph"/>
              <w:spacing w:line="166" w:lineRule="exact"/>
              <w:ind w:left="192" w:right="180"/>
              <w:jc w:val="center"/>
              <w:rPr>
                <w:sz w:val="16"/>
              </w:rPr>
            </w:pPr>
            <w:r>
              <w:rPr>
                <w:sz w:val="16"/>
              </w:rPr>
              <w:t>(tonnes C yr</w:t>
            </w:r>
            <w:r>
              <w:rPr>
                <w:sz w:val="16"/>
                <w:vertAlign w:val="superscript"/>
              </w:rPr>
              <w:t>-1</w:t>
            </w:r>
            <w:r>
              <w:rPr>
                <w:sz w:val="16"/>
                <w:vertAlign w:val="baseline"/>
              </w:rPr>
              <w:t>)</w:t>
            </w:r>
          </w:p>
        </w:tc>
        <w:tc>
          <w:tcPr>
            <w:tcW w:w="3618" w:type="dxa"/>
            <w:tcBorders>
              <w:bottom w:val="nil"/>
            </w:tcBorders>
            <w:shd w:val="clear" w:color="auto" w:fill="E4E4E4"/>
          </w:tcPr>
          <w:p>
            <w:pPr>
              <w:pStyle w:val="TableParagraph"/>
              <w:spacing w:before="23"/>
              <w:ind w:left="519" w:right="507"/>
              <w:jc w:val="center"/>
              <w:rPr>
                <w:sz w:val="16"/>
              </w:rPr>
            </w:pPr>
            <w:r>
              <w:rPr>
                <w:sz w:val="16"/>
              </w:rPr>
              <w:t>Annual change in carbon stocks in soils</w:t>
            </w:r>
          </w:p>
          <w:p>
            <w:pPr>
              <w:pStyle w:val="TableParagraph"/>
              <w:spacing w:before="10"/>
              <w:rPr>
                <w:sz w:val="15"/>
              </w:rPr>
            </w:pPr>
          </w:p>
          <w:p>
            <w:pPr>
              <w:pStyle w:val="TableParagraph"/>
              <w:spacing w:before="1"/>
              <w:ind w:left="519" w:right="503"/>
              <w:jc w:val="center"/>
              <w:rPr>
                <w:sz w:val="16"/>
              </w:rPr>
            </w:pPr>
            <w:r>
              <w:rPr>
                <w:sz w:val="16"/>
              </w:rPr>
              <w:t>(tonnes C yr</w:t>
            </w:r>
            <w:r>
              <w:rPr>
                <w:sz w:val="16"/>
                <w:vertAlign w:val="superscript"/>
              </w:rPr>
              <w:t>-1</w:t>
            </w:r>
            <w:r>
              <w:rPr>
                <w:sz w:val="16"/>
                <w:vertAlign w:val="baseline"/>
              </w:rPr>
              <w:t>)</w:t>
            </w:r>
          </w:p>
        </w:tc>
      </w:tr>
      <w:tr>
        <w:trPr>
          <w:trHeight w:val="290" w:hRule="atLeast"/>
        </w:trPr>
        <w:tc>
          <w:tcPr>
            <w:tcW w:w="2675" w:type="dxa"/>
            <w:gridSpan w:val="2"/>
            <w:tcBorders>
              <w:top w:val="nil"/>
              <w:bottom w:val="nil"/>
            </w:tcBorders>
            <w:shd w:val="clear" w:color="auto" w:fill="E4E4E4"/>
          </w:tcPr>
          <w:p>
            <w:pPr>
              <w:pStyle w:val="TableParagraph"/>
              <w:rPr>
                <w:sz w:val="16"/>
              </w:rPr>
            </w:pPr>
          </w:p>
        </w:tc>
        <w:tc>
          <w:tcPr>
            <w:tcW w:w="2896" w:type="dxa"/>
            <w:tcBorders>
              <w:top w:val="nil"/>
              <w:bottom w:val="nil"/>
            </w:tcBorders>
            <w:shd w:val="clear" w:color="auto" w:fill="E4E4E4"/>
          </w:tcPr>
          <w:p>
            <w:pPr>
              <w:pStyle w:val="TableParagraph"/>
              <w:rPr>
                <w:sz w:val="16"/>
              </w:rPr>
            </w:pPr>
          </w:p>
        </w:tc>
        <w:tc>
          <w:tcPr>
            <w:tcW w:w="2896" w:type="dxa"/>
            <w:tcBorders>
              <w:top w:val="nil"/>
              <w:bottom w:val="nil"/>
            </w:tcBorders>
            <w:shd w:val="clear" w:color="auto" w:fill="E4E4E4"/>
          </w:tcPr>
          <w:p>
            <w:pPr>
              <w:pStyle w:val="TableParagraph"/>
              <w:rPr>
                <w:sz w:val="16"/>
              </w:rPr>
            </w:pPr>
          </w:p>
        </w:tc>
        <w:tc>
          <w:tcPr>
            <w:tcW w:w="3618" w:type="dxa"/>
            <w:tcBorders>
              <w:top w:val="nil"/>
              <w:bottom w:val="nil"/>
            </w:tcBorders>
            <w:shd w:val="clear" w:color="auto" w:fill="E4E4E4"/>
          </w:tcPr>
          <w:p>
            <w:pPr>
              <w:pStyle w:val="TableParagraph"/>
              <w:spacing w:line="180" w:lineRule="exact"/>
              <w:ind w:left="519" w:right="507"/>
              <w:jc w:val="center"/>
              <w:rPr>
                <w:sz w:val="16"/>
              </w:rPr>
            </w:pPr>
            <w:r>
              <w:rPr>
                <w:sz w:val="16"/>
              </w:rPr>
              <w:t>C = A-B-C</w:t>
            </w:r>
          </w:p>
        </w:tc>
      </w:tr>
      <w:tr>
        <w:trPr>
          <w:trHeight w:val="294" w:hRule="atLeast"/>
        </w:trPr>
        <w:tc>
          <w:tcPr>
            <w:tcW w:w="2675" w:type="dxa"/>
            <w:gridSpan w:val="2"/>
            <w:tcBorders>
              <w:top w:val="nil"/>
            </w:tcBorders>
            <w:shd w:val="clear" w:color="auto" w:fill="E4E4E4"/>
          </w:tcPr>
          <w:p>
            <w:pPr>
              <w:pStyle w:val="TableParagraph"/>
              <w:spacing w:line="170" w:lineRule="exact" w:before="104"/>
              <w:ind w:left="13"/>
              <w:jc w:val="center"/>
              <w:rPr>
                <w:sz w:val="16"/>
              </w:rPr>
            </w:pPr>
            <w:r>
              <w:rPr>
                <w:w w:val="100"/>
                <w:sz w:val="16"/>
              </w:rPr>
              <w:t>A</w:t>
            </w:r>
          </w:p>
        </w:tc>
        <w:tc>
          <w:tcPr>
            <w:tcW w:w="2896" w:type="dxa"/>
            <w:tcBorders>
              <w:top w:val="nil"/>
            </w:tcBorders>
            <w:shd w:val="clear" w:color="auto" w:fill="E4E4E4"/>
          </w:tcPr>
          <w:p>
            <w:pPr>
              <w:pStyle w:val="TableParagraph"/>
              <w:spacing w:line="170" w:lineRule="exact" w:before="104"/>
              <w:ind w:left="11"/>
              <w:jc w:val="center"/>
              <w:rPr>
                <w:sz w:val="16"/>
              </w:rPr>
            </w:pPr>
            <w:r>
              <w:rPr>
                <w:w w:val="100"/>
                <w:sz w:val="16"/>
              </w:rPr>
              <w:t>B</w:t>
            </w:r>
          </w:p>
        </w:tc>
        <w:tc>
          <w:tcPr>
            <w:tcW w:w="2896" w:type="dxa"/>
            <w:tcBorders>
              <w:top w:val="nil"/>
            </w:tcBorders>
            <w:shd w:val="clear" w:color="auto" w:fill="E4E4E4"/>
          </w:tcPr>
          <w:p>
            <w:pPr>
              <w:pStyle w:val="TableParagraph"/>
              <w:spacing w:line="170" w:lineRule="exact" w:before="104"/>
              <w:ind w:left="13"/>
              <w:jc w:val="center"/>
              <w:rPr>
                <w:sz w:val="16"/>
              </w:rPr>
            </w:pPr>
            <w:r>
              <w:rPr>
                <w:w w:val="100"/>
                <w:sz w:val="16"/>
              </w:rPr>
              <w:t>C</w:t>
            </w:r>
          </w:p>
        </w:tc>
        <w:tc>
          <w:tcPr>
            <w:tcW w:w="3618" w:type="dxa"/>
            <w:tcBorders>
              <w:top w:val="nil"/>
            </w:tcBorders>
            <w:shd w:val="clear" w:color="auto" w:fill="E4E4E4"/>
          </w:tcPr>
          <w:p>
            <w:pPr>
              <w:pStyle w:val="TableParagraph"/>
              <w:spacing w:line="170" w:lineRule="exact" w:before="104"/>
              <w:ind w:left="16"/>
              <w:jc w:val="center"/>
              <w:rPr>
                <w:sz w:val="16"/>
              </w:rPr>
            </w:pPr>
            <w:r>
              <w:rPr>
                <w:w w:val="100"/>
                <w:sz w:val="16"/>
              </w:rPr>
              <w:t>D</w:t>
            </w:r>
          </w:p>
        </w:tc>
      </w:tr>
      <w:tr>
        <w:trPr>
          <w:trHeight w:val="239" w:hRule="atLeast"/>
        </w:trPr>
        <w:tc>
          <w:tcPr>
            <w:tcW w:w="2675" w:type="dxa"/>
            <w:gridSpan w:val="2"/>
          </w:tcPr>
          <w:p>
            <w:pPr>
              <w:pStyle w:val="TableParagraph"/>
              <w:rPr>
                <w:sz w:val="16"/>
              </w:rPr>
            </w:pPr>
          </w:p>
        </w:tc>
        <w:tc>
          <w:tcPr>
            <w:tcW w:w="2896" w:type="dxa"/>
          </w:tcPr>
          <w:p>
            <w:pPr>
              <w:pStyle w:val="TableParagraph"/>
              <w:rPr>
                <w:sz w:val="16"/>
              </w:rPr>
            </w:pPr>
          </w:p>
        </w:tc>
        <w:tc>
          <w:tcPr>
            <w:tcW w:w="2896" w:type="dxa"/>
          </w:tcPr>
          <w:p>
            <w:pPr>
              <w:pStyle w:val="TableParagraph"/>
              <w:rPr>
                <w:sz w:val="16"/>
              </w:rPr>
            </w:pPr>
          </w:p>
        </w:tc>
        <w:tc>
          <w:tcPr>
            <w:tcW w:w="3618" w:type="dxa"/>
          </w:tcPr>
          <w:p>
            <w:pPr>
              <w:pStyle w:val="TableParagraph"/>
              <w:rPr>
                <w:sz w:val="16"/>
              </w:rPr>
            </w:pPr>
          </w:p>
        </w:tc>
      </w:tr>
      <w:tr>
        <w:trPr>
          <w:trHeight w:val="299" w:hRule="atLeast"/>
        </w:trPr>
        <w:tc>
          <w:tcPr>
            <w:tcW w:w="2675" w:type="dxa"/>
            <w:gridSpan w:val="2"/>
            <w:shd w:val="clear" w:color="auto" w:fill="D5D5D5"/>
          </w:tcPr>
          <w:p>
            <w:pPr>
              <w:pStyle w:val="TableParagraph"/>
              <w:spacing w:line="164" w:lineRule="exact" w:before="25"/>
              <w:ind w:left="511" w:right="843"/>
              <w:jc w:val="center"/>
              <w:rPr>
                <w:b/>
                <w:sz w:val="10"/>
              </w:rPr>
            </w:pPr>
            <w:r>
              <w:rPr>
                <w:b/>
                <w:position w:val="2"/>
                <w:sz w:val="16"/>
              </w:rPr>
              <w:t>∆C</w:t>
            </w:r>
            <w:r>
              <w:rPr>
                <w:b/>
                <w:sz w:val="10"/>
              </w:rPr>
              <w:t>GG</w:t>
            </w:r>
          </w:p>
          <w:p>
            <w:pPr>
              <w:pStyle w:val="TableParagraph"/>
              <w:spacing w:line="87" w:lineRule="exact"/>
              <w:ind w:left="851" w:right="474"/>
              <w:jc w:val="center"/>
              <w:rPr>
                <w:b/>
                <w:sz w:val="10"/>
              </w:rPr>
            </w:pPr>
            <w:r>
              <w:rPr>
                <w:b/>
                <w:sz w:val="10"/>
              </w:rPr>
              <w:t>Mineral</w:t>
            </w:r>
          </w:p>
        </w:tc>
        <w:tc>
          <w:tcPr>
            <w:tcW w:w="2896" w:type="dxa"/>
            <w:shd w:val="clear" w:color="auto" w:fill="D5D5D5"/>
          </w:tcPr>
          <w:p>
            <w:pPr>
              <w:pStyle w:val="TableParagraph"/>
              <w:spacing w:line="164" w:lineRule="exact" w:before="25"/>
              <w:ind w:left="192" w:right="530"/>
              <w:jc w:val="center"/>
              <w:rPr>
                <w:b/>
                <w:sz w:val="10"/>
              </w:rPr>
            </w:pPr>
            <w:r>
              <w:rPr>
                <w:b/>
                <w:position w:val="2"/>
                <w:sz w:val="16"/>
              </w:rPr>
              <w:t>∆C </w:t>
            </w:r>
            <w:r>
              <w:rPr>
                <w:b/>
                <w:sz w:val="10"/>
              </w:rPr>
              <w:t>GG</w:t>
            </w:r>
          </w:p>
          <w:p>
            <w:pPr>
              <w:pStyle w:val="TableParagraph"/>
              <w:spacing w:line="87" w:lineRule="exact"/>
              <w:ind w:left="601" w:right="181"/>
              <w:jc w:val="center"/>
              <w:rPr>
                <w:b/>
                <w:sz w:val="10"/>
              </w:rPr>
            </w:pPr>
            <w:r>
              <w:rPr>
                <w:b/>
                <w:sz w:val="10"/>
              </w:rPr>
              <w:t>Organic</w:t>
            </w:r>
          </w:p>
        </w:tc>
        <w:tc>
          <w:tcPr>
            <w:tcW w:w="2896" w:type="dxa"/>
            <w:shd w:val="clear" w:color="auto" w:fill="D5D5D5"/>
          </w:tcPr>
          <w:p>
            <w:pPr>
              <w:pStyle w:val="TableParagraph"/>
              <w:spacing w:line="164" w:lineRule="exact" w:before="25"/>
              <w:ind w:left="192" w:right="490"/>
              <w:jc w:val="center"/>
              <w:rPr>
                <w:b/>
                <w:sz w:val="10"/>
              </w:rPr>
            </w:pPr>
            <w:r>
              <w:rPr>
                <w:b/>
                <w:position w:val="2"/>
                <w:sz w:val="16"/>
              </w:rPr>
              <w:t>∆C </w:t>
            </w:r>
            <w:r>
              <w:rPr>
                <w:b/>
                <w:sz w:val="10"/>
              </w:rPr>
              <w:t>GG</w:t>
            </w:r>
          </w:p>
          <w:p>
            <w:pPr>
              <w:pStyle w:val="TableParagraph"/>
              <w:spacing w:line="87" w:lineRule="exact"/>
              <w:ind w:left="605" w:right="181"/>
              <w:jc w:val="center"/>
              <w:rPr>
                <w:b/>
                <w:sz w:val="10"/>
              </w:rPr>
            </w:pPr>
            <w:r>
              <w:rPr>
                <w:b/>
                <w:sz w:val="10"/>
              </w:rPr>
              <w:t>Liming</w:t>
            </w:r>
          </w:p>
        </w:tc>
        <w:tc>
          <w:tcPr>
            <w:tcW w:w="3618" w:type="dxa"/>
            <w:shd w:val="clear" w:color="auto" w:fill="D5D5D5"/>
          </w:tcPr>
          <w:p>
            <w:pPr>
              <w:pStyle w:val="TableParagraph"/>
              <w:spacing w:line="164" w:lineRule="exact" w:before="25"/>
              <w:ind w:left="326" w:right="507"/>
              <w:jc w:val="center"/>
              <w:rPr>
                <w:b/>
                <w:sz w:val="10"/>
              </w:rPr>
            </w:pPr>
            <w:r>
              <w:rPr>
                <w:b/>
                <w:position w:val="2"/>
                <w:sz w:val="16"/>
              </w:rPr>
              <w:t>∆C</w:t>
            </w:r>
            <w:r>
              <w:rPr>
                <w:b/>
                <w:sz w:val="10"/>
              </w:rPr>
              <w:t>GG</w:t>
            </w:r>
          </w:p>
          <w:p>
            <w:pPr>
              <w:pStyle w:val="TableParagraph"/>
              <w:spacing w:line="87" w:lineRule="exact"/>
              <w:ind w:left="519" w:right="130"/>
              <w:jc w:val="center"/>
              <w:rPr>
                <w:b/>
                <w:sz w:val="10"/>
              </w:rPr>
            </w:pPr>
            <w:r>
              <w:rPr>
                <w:b/>
                <w:sz w:val="10"/>
              </w:rPr>
              <w:t>Soils</w:t>
            </w:r>
          </w:p>
        </w:tc>
      </w:tr>
      <w:tr>
        <w:trPr>
          <w:trHeight w:val="239" w:hRule="atLeast"/>
        </w:trPr>
        <w:tc>
          <w:tcPr>
            <w:tcW w:w="2675" w:type="dxa"/>
            <w:gridSpan w:val="2"/>
          </w:tcPr>
          <w:p>
            <w:pPr>
              <w:pStyle w:val="TableParagraph"/>
              <w:rPr>
                <w:sz w:val="16"/>
              </w:rPr>
            </w:pPr>
          </w:p>
        </w:tc>
        <w:tc>
          <w:tcPr>
            <w:tcW w:w="2896" w:type="dxa"/>
          </w:tcPr>
          <w:p>
            <w:pPr>
              <w:pStyle w:val="TableParagraph"/>
              <w:rPr>
                <w:sz w:val="16"/>
              </w:rPr>
            </w:pPr>
          </w:p>
        </w:tc>
        <w:tc>
          <w:tcPr>
            <w:tcW w:w="2896" w:type="dxa"/>
          </w:tcPr>
          <w:p>
            <w:pPr>
              <w:pStyle w:val="TableParagraph"/>
              <w:rPr>
                <w:sz w:val="16"/>
              </w:rPr>
            </w:pPr>
          </w:p>
        </w:tc>
        <w:tc>
          <w:tcPr>
            <w:tcW w:w="3618" w:type="dxa"/>
          </w:tcPr>
          <w:p>
            <w:pPr>
              <w:pStyle w:val="TableParagraph"/>
              <w:rPr>
                <w:sz w:val="16"/>
              </w:rPr>
            </w:pP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1224"/>
        <w:gridCol w:w="1630"/>
        <w:gridCol w:w="1448"/>
        <w:gridCol w:w="1448"/>
        <w:gridCol w:w="109"/>
        <w:gridCol w:w="1386"/>
        <w:gridCol w:w="1494"/>
        <w:gridCol w:w="109"/>
        <w:gridCol w:w="1386"/>
        <w:gridCol w:w="109"/>
        <w:gridCol w:w="138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59" w:type="dxa"/>
            <w:gridSpan w:val="12"/>
          </w:tcPr>
          <w:p>
            <w:pPr>
              <w:pStyle w:val="TableParagraph"/>
              <w:spacing w:before="26"/>
              <w:ind w:left="108"/>
              <w:rPr>
                <w:b/>
                <w:sz w:val="20"/>
              </w:rPr>
            </w:pPr>
            <w:r>
              <w:rPr>
                <w:b/>
                <w:sz w:val="20"/>
              </w:rPr>
              <w:t>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59" w:type="dxa"/>
            <w:gridSpan w:val="12"/>
          </w:tcPr>
          <w:p>
            <w:pPr>
              <w:pStyle w:val="TableParagraph"/>
              <w:spacing w:before="26"/>
              <w:ind w:left="107"/>
              <w:rPr>
                <w:b/>
                <w:sz w:val="20"/>
              </w:rPr>
            </w:pPr>
            <w:r>
              <w:rPr>
                <w:b/>
                <w:sz w:val="20"/>
              </w:rPr>
              <w:t>Grassland Remaining 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59" w:type="dxa"/>
            <w:gridSpan w:val="12"/>
          </w:tcPr>
          <w:p>
            <w:pPr>
              <w:pStyle w:val="TableParagraph"/>
              <w:spacing w:before="26"/>
              <w:ind w:left="108"/>
              <w:rPr>
                <w:b/>
                <w:sz w:val="20"/>
              </w:rPr>
            </w:pPr>
            <w:r>
              <w:rPr>
                <w:b/>
                <w:sz w:val="20"/>
              </w:rPr>
              <w:t>GL-1d: Non-CO</w:t>
            </w:r>
            <w:r>
              <w:rPr>
                <w:b/>
                <w:sz w:val="20"/>
                <w:vertAlign w:val="subscript"/>
              </w:rPr>
              <w:t>2</w:t>
            </w:r>
            <w:r>
              <w:rPr>
                <w:b/>
                <w:sz w:val="20"/>
                <w:vertAlign w:val="baseline"/>
              </w:rPr>
              <w:t> emissions from vegetation fires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59" w:type="dxa"/>
            <w:gridSpan w:val="12"/>
          </w:tcPr>
          <w:p>
            <w:pPr>
              <w:pStyle w:val="TableParagraph"/>
              <w:spacing w:before="26"/>
              <w:ind w:left="109"/>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1224" w:type="dxa"/>
            <w:vMerge w:val="restart"/>
            <w:shd w:val="clear" w:color="auto" w:fill="E4E4E4"/>
          </w:tcPr>
          <w:p>
            <w:pPr>
              <w:pStyle w:val="TableParagraph"/>
              <w:spacing w:before="23"/>
              <w:ind w:left="309" w:right="296" w:hanging="3"/>
              <w:jc w:val="center"/>
              <w:rPr>
                <w:sz w:val="16"/>
              </w:rPr>
            </w:pPr>
            <w:r>
              <w:rPr>
                <w:sz w:val="16"/>
              </w:rPr>
              <w:t>Area of grassland burned</w:t>
            </w:r>
          </w:p>
          <w:p>
            <w:pPr>
              <w:pStyle w:val="TableParagraph"/>
              <w:spacing w:before="10"/>
              <w:rPr>
                <w:sz w:val="15"/>
              </w:rPr>
            </w:pPr>
          </w:p>
          <w:p>
            <w:pPr>
              <w:pStyle w:val="TableParagraph"/>
              <w:ind w:left="265" w:right="254"/>
              <w:jc w:val="center"/>
              <w:rPr>
                <w:sz w:val="16"/>
              </w:rPr>
            </w:pPr>
            <w:r>
              <w:rPr>
                <w:sz w:val="16"/>
              </w:rPr>
              <w:t>(ha)</w:t>
            </w:r>
          </w:p>
          <w:p>
            <w:pPr>
              <w:pStyle w:val="TableParagraph"/>
              <w:rPr>
                <w:sz w:val="18"/>
              </w:rPr>
            </w:pPr>
          </w:p>
          <w:p>
            <w:pPr>
              <w:pStyle w:val="TableParagraph"/>
              <w:rPr>
                <w:sz w:val="18"/>
              </w:rPr>
            </w:pPr>
          </w:p>
          <w:p>
            <w:pPr>
              <w:pStyle w:val="TableParagraph"/>
              <w:spacing w:before="2"/>
              <w:rPr>
                <w:sz w:val="14"/>
              </w:rPr>
            </w:pPr>
          </w:p>
          <w:p>
            <w:pPr>
              <w:pStyle w:val="TableParagraph"/>
              <w:spacing w:line="168" w:lineRule="exact"/>
              <w:ind w:left="11"/>
              <w:jc w:val="center"/>
              <w:rPr>
                <w:sz w:val="16"/>
              </w:rPr>
            </w:pPr>
            <w:r>
              <w:rPr>
                <w:w w:val="100"/>
                <w:sz w:val="16"/>
              </w:rPr>
              <w:t>A</w:t>
            </w:r>
          </w:p>
        </w:tc>
        <w:tc>
          <w:tcPr>
            <w:tcW w:w="1630" w:type="dxa"/>
            <w:vMerge w:val="restart"/>
            <w:shd w:val="clear" w:color="auto" w:fill="E4E4E4"/>
          </w:tcPr>
          <w:p>
            <w:pPr>
              <w:pStyle w:val="TableParagraph"/>
              <w:spacing w:before="23"/>
              <w:ind w:left="249" w:right="238"/>
              <w:jc w:val="center"/>
              <w:rPr>
                <w:sz w:val="16"/>
              </w:rPr>
            </w:pPr>
            <w:r>
              <w:rPr>
                <w:sz w:val="16"/>
              </w:rPr>
              <w:t>Mass of available fuel</w:t>
            </w:r>
          </w:p>
          <w:p>
            <w:pPr>
              <w:pStyle w:val="TableParagraph"/>
              <w:spacing w:line="183" w:lineRule="exact"/>
              <w:ind w:left="249" w:right="238"/>
              <w:jc w:val="center"/>
              <w:rPr>
                <w:sz w:val="16"/>
              </w:rPr>
            </w:pPr>
            <w:r>
              <w:rPr>
                <w:sz w:val="16"/>
              </w:rPr>
              <w:t>(kg d.m.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line="168" w:lineRule="exact" w:before="116"/>
              <w:ind w:left="9"/>
              <w:jc w:val="center"/>
              <w:rPr>
                <w:sz w:val="16"/>
              </w:rPr>
            </w:pPr>
            <w:r>
              <w:rPr>
                <w:w w:val="100"/>
                <w:sz w:val="16"/>
              </w:rPr>
              <w:t>B</w:t>
            </w:r>
          </w:p>
        </w:tc>
        <w:tc>
          <w:tcPr>
            <w:tcW w:w="1448" w:type="dxa"/>
            <w:vMerge w:val="restart"/>
            <w:shd w:val="clear" w:color="auto" w:fill="E4E4E4"/>
          </w:tcPr>
          <w:p>
            <w:pPr>
              <w:pStyle w:val="TableParagraph"/>
              <w:spacing w:before="23"/>
              <w:ind w:left="316" w:right="308" w:firstLine="1"/>
              <w:jc w:val="center"/>
              <w:rPr>
                <w:sz w:val="16"/>
              </w:rPr>
            </w:pPr>
            <w:r>
              <w:rPr>
                <w:sz w:val="16"/>
              </w:rPr>
              <w:t>Combustion efficiency or fraction of biomass combusted</w:t>
            </w:r>
          </w:p>
          <w:p>
            <w:pPr>
              <w:pStyle w:val="TableParagraph"/>
              <w:spacing w:line="392" w:lineRule="exact" w:before="20"/>
              <w:ind w:left="189" w:right="181"/>
              <w:jc w:val="center"/>
              <w:rPr>
                <w:sz w:val="16"/>
              </w:rPr>
            </w:pPr>
            <w:r>
              <w:rPr>
                <w:sz w:val="16"/>
              </w:rPr>
              <w:t>(dimension-less) C</w:t>
            </w:r>
          </w:p>
        </w:tc>
        <w:tc>
          <w:tcPr>
            <w:tcW w:w="1448" w:type="dxa"/>
            <w:vMerge w:val="restart"/>
            <w:shd w:val="clear" w:color="auto" w:fill="E4E4E4"/>
          </w:tcPr>
          <w:p>
            <w:pPr>
              <w:pStyle w:val="TableParagraph"/>
              <w:spacing w:before="23"/>
              <w:ind w:left="217" w:right="206"/>
              <w:jc w:val="center"/>
              <w:rPr>
                <w:sz w:val="16"/>
              </w:rPr>
            </w:pPr>
            <w:r>
              <w:rPr>
                <w:sz w:val="16"/>
              </w:rPr>
              <w:t>Emission factor for each GHG (g /kg d.m.)</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line="168" w:lineRule="exact" w:before="115"/>
              <w:ind w:left="6"/>
              <w:jc w:val="center"/>
              <w:rPr>
                <w:sz w:val="16"/>
              </w:rPr>
            </w:pPr>
            <w:r>
              <w:rPr>
                <w:w w:val="100"/>
                <w:sz w:val="16"/>
              </w:rPr>
              <w:t>D</w:t>
            </w:r>
          </w:p>
        </w:tc>
        <w:tc>
          <w:tcPr>
            <w:tcW w:w="1495" w:type="dxa"/>
            <w:gridSpan w:val="2"/>
            <w:vMerge w:val="restart"/>
            <w:shd w:val="clear" w:color="auto" w:fill="E4E4E4"/>
          </w:tcPr>
          <w:p>
            <w:pPr>
              <w:pStyle w:val="TableParagraph"/>
              <w:spacing w:line="232" w:lineRule="auto" w:before="27"/>
              <w:ind w:left="131" w:right="127"/>
              <w:jc w:val="center"/>
              <w:rPr>
                <w:sz w:val="16"/>
              </w:rPr>
            </w:pPr>
            <w:r>
              <w:rPr>
                <w:position w:val="2"/>
                <w:sz w:val="16"/>
              </w:rPr>
              <w:t>CH</w:t>
            </w:r>
            <w:r>
              <w:rPr>
                <w:sz w:val="10"/>
              </w:rPr>
              <w:t>4 </w:t>
            </w:r>
            <w:r>
              <w:rPr>
                <w:position w:val="2"/>
                <w:sz w:val="16"/>
              </w:rPr>
              <w:t>Emissions </w:t>
            </w:r>
            <w:r>
              <w:rPr>
                <w:sz w:val="16"/>
              </w:rPr>
              <w:t>from fires</w:t>
            </w:r>
          </w:p>
          <w:p>
            <w:pPr>
              <w:pStyle w:val="TableParagraph"/>
              <w:spacing w:before="11"/>
              <w:rPr>
                <w:sz w:val="15"/>
              </w:rPr>
            </w:pPr>
          </w:p>
          <w:p>
            <w:pPr>
              <w:pStyle w:val="TableParagraph"/>
              <w:ind w:left="129" w:right="127"/>
              <w:jc w:val="center"/>
              <w:rPr>
                <w:sz w:val="16"/>
              </w:rPr>
            </w:pPr>
            <w:r>
              <w:rPr>
                <w:position w:val="2"/>
                <w:sz w:val="16"/>
              </w:rPr>
              <w:t>(tonnes CH</w:t>
            </w:r>
            <w:r>
              <w:rPr>
                <w:sz w:val="10"/>
              </w:rPr>
              <w:t>4</w:t>
            </w:r>
            <w:r>
              <w:rPr>
                <w:position w:val="2"/>
                <w:sz w:val="16"/>
              </w:rPr>
              <w:t>)</w:t>
            </w:r>
          </w:p>
          <w:p>
            <w:pPr>
              <w:pStyle w:val="TableParagraph"/>
              <w:spacing w:before="5"/>
              <w:rPr>
                <w:sz w:val="16"/>
              </w:rPr>
            </w:pPr>
          </w:p>
          <w:p>
            <w:pPr>
              <w:pStyle w:val="TableParagraph"/>
              <w:spacing w:line="197" w:lineRule="exact"/>
              <w:ind w:left="132" w:right="127"/>
              <w:jc w:val="center"/>
              <w:rPr>
                <w:sz w:val="16"/>
              </w:rPr>
            </w:pPr>
            <w:r>
              <w:rPr>
                <w:sz w:val="16"/>
              </w:rPr>
              <w:t>E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5"/>
              </w:numPr>
              <w:tabs>
                <w:tab w:pos="680" w:val="left" w:leader="none"/>
              </w:tabs>
              <w:spacing w:line="240" w:lineRule="auto" w:before="0" w:after="0"/>
              <w:ind w:left="679" w:right="0" w:hanging="115"/>
              <w:jc w:val="left"/>
              <w:rPr>
                <w:sz w:val="16"/>
              </w:rPr>
            </w:pPr>
            <w:r>
              <w:rPr>
                <w:sz w:val="16"/>
              </w:rPr>
              <w:t>10</w:t>
            </w:r>
            <w:r>
              <w:rPr>
                <w:sz w:val="16"/>
                <w:vertAlign w:val="superscript"/>
              </w:rPr>
              <w:t>-6</w:t>
            </w:r>
          </w:p>
          <w:p>
            <w:pPr>
              <w:pStyle w:val="TableParagraph"/>
              <w:spacing w:line="168" w:lineRule="exact" w:before="170"/>
              <w:ind w:left="2"/>
              <w:jc w:val="center"/>
              <w:rPr>
                <w:sz w:val="16"/>
              </w:rPr>
            </w:pPr>
            <w:r>
              <w:rPr>
                <w:w w:val="100"/>
                <w:sz w:val="16"/>
              </w:rPr>
              <w:t>E</w:t>
            </w:r>
          </w:p>
        </w:tc>
        <w:tc>
          <w:tcPr>
            <w:tcW w:w="1494" w:type="dxa"/>
            <w:vMerge w:val="restart"/>
            <w:shd w:val="clear" w:color="auto" w:fill="E4E4E4"/>
          </w:tcPr>
          <w:p>
            <w:pPr>
              <w:pStyle w:val="TableParagraph"/>
              <w:spacing w:before="23"/>
              <w:ind w:left="106" w:right="102"/>
              <w:jc w:val="center"/>
              <w:rPr>
                <w:sz w:val="16"/>
              </w:rPr>
            </w:pPr>
            <w:r>
              <w:rPr>
                <w:sz w:val="16"/>
              </w:rPr>
              <w:t>CO Emissions from fires</w:t>
            </w:r>
          </w:p>
          <w:p>
            <w:pPr>
              <w:pStyle w:val="TableParagraph"/>
              <w:rPr>
                <w:sz w:val="16"/>
              </w:rPr>
            </w:pPr>
          </w:p>
          <w:p>
            <w:pPr>
              <w:pStyle w:val="TableParagraph"/>
              <w:ind w:left="104" w:right="102"/>
              <w:jc w:val="center"/>
              <w:rPr>
                <w:sz w:val="16"/>
              </w:rPr>
            </w:pPr>
            <w:r>
              <w:rPr>
                <w:sz w:val="16"/>
              </w:rPr>
              <w:t>(tonnes CO)</w:t>
            </w:r>
          </w:p>
          <w:p>
            <w:pPr>
              <w:pStyle w:val="TableParagraph"/>
              <w:rPr>
                <w:sz w:val="17"/>
              </w:rPr>
            </w:pPr>
          </w:p>
          <w:p>
            <w:pPr>
              <w:pStyle w:val="TableParagraph"/>
              <w:spacing w:line="197" w:lineRule="exact"/>
              <w:ind w:left="104" w:right="102"/>
              <w:jc w:val="center"/>
              <w:rPr>
                <w:sz w:val="16"/>
              </w:rPr>
            </w:pPr>
            <w:r>
              <w:rPr>
                <w:sz w:val="16"/>
              </w:rPr>
              <w:t>F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6"/>
              </w:numPr>
              <w:tabs>
                <w:tab w:pos="678" w:val="left" w:leader="none"/>
              </w:tabs>
              <w:spacing w:line="240" w:lineRule="auto" w:before="0" w:after="0"/>
              <w:ind w:left="677" w:right="0" w:hanging="115"/>
              <w:jc w:val="left"/>
              <w:rPr>
                <w:sz w:val="16"/>
              </w:rPr>
            </w:pPr>
            <w:r>
              <w:rPr>
                <w:sz w:val="16"/>
              </w:rPr>
              <w:t>10</w:t>
            </w:r>
            <w:r>
              <w:rPr>
                <w:sz w:val="16"/>
                <w:vertAlign w:val="superscript"/>
              </w:rPr>
              <w:t>-6</w:t>
            </w:r>
          </w:p>
          <w:p>
            <w:pPr>
              <w:pStyle w:val="TableParagraph"/>
              <w:spacing w:line="168" w:lineRule="exact" w:before="170"/>
              <w:ind w:left="4"/>
              <w:jc w:val="center"/>
              <w:rPr>
                <w:sz w:val="16"/>
              </w:rPr>
            </w:pPr>
            <w:r>
              <w:rPr>
                <w:w w:val="100"/>
                <w:sz w:val="16"/>
              </w:rPr>
              <w:t>F</w:t>
            </w:r>
          </w:p>
        </w:tc>
        <w:tc>
          <w:tcPr>
            <w:tcW w:w="1495" w:type="dxa"/>
            <w:gridSpan w:val="2"/>
            <w:vMerge w:val="restart"/>
            <w:shd w:val="clear" w:color="auto" w:fill="E4E4E4"/>
          </w:tcPr>
          <w:p>
            <w:pPr>
              <w:pStyle w:val="TableParagraph"/>
              <w:spacing w:line="232" w:lineRule="auto" w:before="27"/>
              <w:ind w:left="125" w:right="127"/>
              <w:jc w:val="center"/>
              <w:rPr>
                <w:sz w:val="16"/>
              </w:rPr>
            </w:pPr>
            <w:r>
              <w:rPr>
                <w:position w:val="2"/>
                <w:sz w:val="16"/>
              </w:rPr>
              <w:t>N</w:t>
            </w:r>
            <w:r>
              <w:rPr>
                <w:sz w:val="10"/>
              </w:rPr>
              <w:t>2</w:t>
            </w:r>
            <w:r>
              <w:rPr>
                <w:position w:val="2"/>
                <w:sz w:val="16"/>
              </w:rPr>
              <w:t>O Emissions </w:t>
            </w:r>
            <w:r>
              <w:rPr>
                <w:sz w:val="16"/>
              </w:rPr>
              <w:t>from fires</w:t>
            </w:r>
          </w:p>
          <w:p>
            <w:pPr>
              <w:pStyle w:val="TableParagraph"/>
              <w:spacing w:before="11"/>
              <w:rPr>
                <w:sz w:val="15"/>
              </w:rPr>
            </w:pPr>
          </w:p>
          <w:p>
            <w:pPr>
              <w:pStyle w:val="TableParagraph"/>
              <w:ind w:left="125" w:right="127"/>
              <w:jc w:val="center"/>
              <w:rPr>
                <w:sz w:val="16"/>
              </w:rPr>
            </w:pPr>
            <w:r>
              <w:rPr>
                <w:position w:val="2"/>
                <w:sz w:val="16"/>
              </w:rPr>
              <w:t>tonnes (N</w:t>
            </w:r>
            <w:r>
              <w:rPr>
                <w:sz w:val="10"/>
              </w:rPr>
              <w:t>2</w:t>
            </w:r>
            <w:r>
              <w:rPr>
                <w:position w:val="2"/>
                <w:sz w:val="16"/>
              </w:rPr>
              <w:t>O)</w:t>
            </w:r>
          </w:p>
          <w:p>
            <w:pPr>
              <w:pStyle w:val="TableParagraph"/>
              <w:spacing w:before="5"/>
              <w:rPr>
                <w:sz w:val="16"/>
              </w:rPr>
            </w:pPr>
          </w:p>
          <w:p>
            <w:pPr>
              <w:pStyle w:val="TableParagraph"/>
              <w:spacing w:line="197" w:lineRule="exact"/>
              <w:ind w:left="126" w:right="127"/>
              <w:jc w:val="center"/>
              <w:rPr>
                <w:sz w:val="16"/>
              </w:rPr>
            </w:pPr>
            <w:r>
              <w:rPr>
                <w:sz w:val="16"/>
              </w:rPr>
              <w:t>G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7"/>
              </w:numPr>
              <w:tabs>
                <w:tab w:pos="677" w:val="left" w:leader="none"/>
              </w:tabs>
              <w:spacing w:line="240" w:lineRule="auto" w:before="0" w:after="0"/>
              <w:ind w:left="676" w:right="0" w:hanging="115"/>
              <w:jc w:val="left"/>
              <w:rPr>
                <w:sz w:val="16"/>
              </w:rPr>
            </w:pPr>
            <w:r>
              <w:rPr>
                <w:sz w:val="16"/>
              </w:rPr>
              <w:t>10</w:t>
            </w:r>
            <w:r>
              <w:rPr>
                <w:sz w:val="16"/>
                <w:vertAlign w:val="superscript"/>
              </w:rPr>
              <w:t>-6</w:t>
            </w:r>
          </w:p>
          <w:p>
            <w:pPr>
              <w:pStyle w:val="TableParagraph"/>
              <w:spacing w:line="168" w:lineRule="exact" w:before="170"/>
              <w:ind w:right="1"/>
              <w:jc w:val="center"/>
              <w:rPr>
                <w:sz w:val="16"/>
              </w:rPr>
            </w:pPr>
            <w:r>
              <w:rPr>
                <w:w w:val="100"/>
                <w:sz w:val="16"/>
              </w:rPr>
              <w:t>G</w:t>
            </w:r>
          </w:p>
        </w:tc>
        <w:tc>
          <w:tcPr>
            <w:tcW w:w="1498" w:type="dxa"/>
            <w:gridSpan w:val="2"/>
            <w:vMerge w:val="restart"/>
            <w:shd w:val="clear" w:color="auto" w:fill="E4E4E4"/>
          </w:tcPr>
          <w:p>
            <w:pPr>
              <w:pStyle w:val="TableParagraph"/>
              <w:spacing w:line="232" w:lineRule="auto" w:before="27"/>
              <w:ind w:left="122" w:right="132"/>
              <w:jc w:val="center"/>
              <w:rPr>
                <w:sz w:val="16"/>
              </w:rPr>
            </w:pPr>
            <w:r>
              <w:rPr>
                <w:position w:val="2"/>
                <w:sz w:val="16"/>
              </w:rPr>
              <w:t>NO</w:t>
            </w:r>
            <w:r>
              <w:rPr>
                <w:sz w:val="10"/>
              </w:rPr>
              <w:t>x </w:t>
            </w:r>
            <w:r>
              <w:rPr>
                <w:position w:val="2"/>
                <w:sz w:val="16"/>
              </w:rPr>
              <w:t>Emissions </w:t>
            </w:r>
            <w:r>
              <w:rPr>
                <w:sz w:val="16"/>
              </w:rPr>
              <w:t>from fires</w:t>
            </w:r>
          </w:p>
          <w:p>
            <w:pPr>
              <w:pStyle w:val="TableParagraph"/>
              <w:spacing w:before="11"/>
              <w:rPr>
                <w:sz w:val="15"/>
              </w:rPr>
            </w:pPr>
          </w:p>
          <w:p>
            <w:pPr>
              <w:pStyle w:val="TableParagraph"/>
              <w:ind w:left="123" w:right="132"/>
              <w:jc w:val="center"/>
              <w:rPr>
                <w:sz w:val="16"/>
              </w:rPr>
            </w:pPr>
            <w:r>
              <w:rPr>
                <w:position w:val="2"/>
                <w:sz w:val="16"/>
              </w:rPr>
              <w:t>(tonnes NO</w:t>
            </w:r>
            <w:r>
              <w:rPr>
                <w:sz w:val="10"/>
              </w:rPr>
              <w:t>x</w:t>
            </w:r>
            <w:r>
              <w:rPr>
                <w:position w:val="2"/>
                <w:sz w:val="16"/>
              </w:rPr>
              <w:t>)</w:t>
            </w:r>
          </w:p>
          <w:p>
            <w:pPr>
              <w:pStyle w:val="TableParagraph"/>
              <w:spacing w:before="5"/>
              <w:rPr>
                <w:sz w:val="16"/>
              </w:rPr>
            </w:pPr>
          </w:p>
          <w:p>
            <w:pPr>
              <w:pStyle w:val="TableParagraph"/>
              <w:spacing w:line="197" w:lineRule="exact"/>
              <w:ind w:left="123" w:right="132"/>
              <w:jc w:val="center"/>
              <w:rPr>
                <w:sz w:val="16"/>
              </w:rPr>
            </w:pPr>
            <w:r>
              <w:rPr>
                <w:sz w:val="16"/>
              </w:rPr>
              <w:t>H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8"/>
              </w:numPr>
              <w:tabs>
                <w:tab w:pos="675" w:val="left" w:leader="none"/>
              </w:tabs>
              <w:spacing w:line="240" w:lineRule="auto" w:before="0" w:after="0"/>
              <w:ind w:left="674" w:right="7" w:hanging="115"/>
              <w:jc w:val="left"/>
              <w:rPr>
                <w:sz w:val="16"/>
              </w:rPr>
            </w:pPr>
            <w:r>
              <w:rPr>
                <w:sz w:val="16"/>
              </w:rPr>
              <w:t>10</w:t>
            </w:r>
            <w:r>
              <w:rPr>
                <w:sz w:val="16"/>
                <w:vertAlign w:val="superscript"/>
              </w:rPr>
              <w:t>-6</w:t>
            </w:r>
          </w:p>
          <w:p>
            <w:pPr>
              <w:pStyle w:val="TableParagraph"/>
              <w:spacing w:line="168" w:lineRule="exact" w:before="170"/>
              <w:ind w:right="6"/>
              <w:jc w:val="center"/>
              <w:rPr>
                <w:sz w:val="16"/>
              </w:rPr>
            </w:pPr>
            <w:r>
              <w:rPr>
                <w:w w:val="100"/>
                <w:sz w:val="16"/>
              </w:rPr>
              <w:t>H</w:t>
            </w:r>
          </w:p>
        </w:tc>
      </w:tr>
      <w:tr>
        <w:trPr>
          <w:trHeight w:val="1300"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1224" w:type="dxa"/>
            <w:vMerge/>
            <w:tcBorders>
              <w:top w:val="nil"/>
            </w:tcBorders>
            <w:shd w:val="clear" w:color="auto" w:fill="E4E4E4"/>
          </w:tcPr>
          <w:p>
            <w:pPr>
              <w:rPr>
                <w:sz w:val="2"/>
                <w:szCs w:val="2"/>
              </w:rPr>
            </w:pPr>
          </w:p>
        </w:tc>
        <w:tc>
          <w:tcPr>
            <w:tcW w:w="1630" w:type="dxa"/>
            <w:vMerge/>
            <w:tcBorders>
              <w:top w:val="nil"/>
            </w:tcBorders>
            <w:shd w:val="clear" w:color="auto" w:fill="E4E4E4"/>
          </w:tcPr>
          <w:p>
            <w:pPr>
              <w:rPr>
                <w:sz w:val="2"/>
                <w:szCs w:val="2"/>
              </w:rPr>
            </w:pPr>
          </w:p>
        </w:tc>
        <w:tc>
          <w:tcPr>
            <w:tcW w:w="1448" w:type="dxa"/>
            <w:vMerge/>
            <w:tcBorders>
              <w:top w:val="nil"/>
            </w:tcBorders>
            <w:shd w:val="clear" w:color="auto" w:fill="E4E4E4"/>
          </w:tcPr>
          <w:p>
            <w:pPr>
              <w:rPr>
                <w:sz w:val="2"/>
                <w:szCs w:val="2"/>
              </w:rPr>
            </w:pPr>
          </w:p>
        </w:tc>
        <w:tc>
          <w:tcPr>
            <w:tcW w:w="1448" w:type="dxa"/>
            <w:vMerge/>
            <w:tcBorders>
              <w:top w:val="nil"/>
            </w:tcBorders>
            <w:shd w:val="clear" w:color="auto" w:fill="E4E4E4"/>
          </w:tcPr>
          <w:p>
            <w:pPr>
              <w:rPr>
                <w:sz w:val="2"/>
                <w:szCs w:val="2"/>
              </w:rPr>
            </w:pPr>
          </w:p>
        </w:tc>
        <w:tc>
          <w:tcPr>
            <w:tcW w:w="1495" w:type="dxa"/>
            <w:gridSpan w:val="2"/>
            <w:vMerge/>
            <w:tcBorders>
              <w:top w:val="nil"/>
            </w:tcBorders>
            <w:shd w:val="clear" w:color="auto" w:fill="E4E4E4"/>
          </w:tcPr>
          <w:p>
            <w:pPr>
              <w:rPr>
                <w:sz w:val="2"/>
                <w:szCs w:val="2"/>
              </w:rPr>
            </w:pPr>
          </w:p>
        </w:tc>
        <w:tc>
          <w:tcPr>
            <w:tcW w:w="1494" w:type="dxa"/>
            <w:vMerge/>
            <w:tcBorders>
              <w:top w:val="nil"/>
            </w:tcBorders>
            <w:shd w:val="clear" w:color="auto" w:fill="E4E4E4"/>
          </w:tcPr>
          <w:p>
            <w:pPr>
              <w:rPr>
                <w:sz w:val="2"/>
                <w:szCs w:val="2"/>
              </w:rPr>
            </w:pPr>
          </w:p>
        </w:tc>
        <w:tc>
          <w:tcPr>
            <w:tcW w:w="1495" w:type="dxa"/>
            <w:gridSpan w:val="2"/>
            <w:vMerge/>
            <w:tcBorders>
              <w:top w:val="nil"/>
            </w:tcBorders>
            <w:shd w:val="clear" w:color="auto" w:fill="E4E4E4"/>
          </w:tcPr>
          <w:p>
            <w:pPr>
              <w:rPr>
                <w:sz w:val="2"/>
                <w:szCs w:val="2"/>
              </w:rPr>
            </w:pPr>
          </w:p>
        </w:tc>
        <w:tc>
          <w:tcPr>
            <w:tcW w:w="1498" w:type="dxa"/>
            <w:gridSpan w:val="2"/>
            <w:vMerge/>
            <w:tcBorders>
              <w:top w:val="nil"/>
            </w:tcBorders>
            <w:shd w:val="clear" w:color="auto" w:fill="E4E4E4"/>
          </w:tcPr>
          <w:p>
            <w:pPr>
              <w:rPr>
                <w:sz w:val="2"/>
                <w:szCs w:val="2"/>
              </w:rPr>
            </w:pPr>
          </w:p>
        </w:tc>
      </w:tr>
      <w:tr>
        <w:trPr>
          <w:trHeight w:val="239" w:hRule="atLeast"/>
        </w:trPr>
        <w:tc>
          <w:tcPr>
            <w:tcW w:w="924" w:type="dxa"/>
          </w:tcPr>
          <w:p>
            <w:pPr>
              <w:pStyle w:val="TableParagraph"/>
              <w:spacing w:before="1"/>
              <w:ind w:left="107"/>
              <w:rPr>
                <w:sz w:val="16"/>
              </w:rPr>
            </w:pPr>
            <w:r>
              <w:rPr>
                <w:sz w:val="16"/>
              </w:rPr>
              <w:t>GL</w:t>
            </w:r>
          </w:p>
        </w:tc>
        <w:tc>
          <w:tcPr>
            <w:tcW w:w="950" w:type="dxa"/>
          </w:tcPr>
          <w:p>
            <w:pPr>
              <w:pStyle w:val="TableParagraph"/>
              <w:spacing w:before="1"/>
              <w:ind w:left="107"/>
              <w:rPr>
                <w:sz w:val="16"/>
              </w:rPr>
            </w:pPr>
            <w:r>
              <w:rPr>
                <w:sz w:val="16"/>
              </w:rPr>
              <w:t>GL</w:t>
            </w:r>
          </w:p>
        </w:tc>
        <w:tc>
          <w:tcPr>
            <w:tcW w:w="1027" w:type="dxa"/>
          </w:tcPr>
          <w:p>
            <w:pPr>
              <w:pStyle w:val="TableParagraph"/>
              <w:spacing w:before="1"/>
              <w:ind w:left="108"/>
              <w:rPr>
                <w:sz w:val="16"/>
              </w:rPr>
            </w:pPr>
            <w:r>
              <w:rPr>
                <w:sz w:val="16"/>
              </w:rPr>
              <w:t>(a)</w:t>
            </w:r>
          </w:p>
        </w:tc>
        <w:tc>
          <w:tcPr>
            <w:tcW w:w="1224" w:type="dxa"/>
          </w:tcPr>
          <w:p>
            <w:pPr>
              <w:pStyle w:val="TableParagraph"/>
              <w:spacing w:before="4"/>
              <w:ind w:left="11"/>
              <w:jc w:val="center"/>
              <w:rPr>
                <w:b/>
                <w:sz w:val="16"/>
              </w:rPr>
            </w:pPr>
            <w:r>
              <w:rPr>
                <w:b/>
                <w:w w:val="100"/>
                <w:sz w:val="16"/>
              </w:rPr>
              <w:t>A</w:t>
            </w:r>
          </w:p>
        </w:tc>
        <w:tc>
          <w:tcPr>
            <w:tcW w:w="1630" w:type="dxa"/>
          </w:tcPr>
          <w:p>
            <w:pPr>
              <w:pStyle w:val="TableParagraph"/>
              <w:spacing w:before="4"/>
              <w:ind w:left="9"/>
              <w:jc w:val="center"/>
              <w:rPr>
                <w:b/>
                <w:sz w:val="16"/>
              </w:rPr>
            </w:pPr>
            <w:r>
              <w:rPr>
                <w:b/>
                <w:w w:val="100"/>
                <w:sz w:val="16"/>
              </w:rPr>
              <w:t>B</w:t>
            </w:r>
          </w:p>
        </w:tc>
        <w:tc>
          <w:tcPr>
            <w:tcW w:w="1448" w:type="dxa"/>
          </w:tcPr>
          <w:p>
            <w:pPr>
              <w:pStyle w:val="TableParagraph"/>
              <w:spacing w:before="4"/>
              <w:ind w:left="7"/>
              <w:jc w:val="center"/>
              <w:rPr>
                <w:b/>
                <w:sz w:val="16"/>
              </w:rPr>
            </w:pPr>
            <w:r>
              <w:rPr>
                <w:b/>
                <w:w w:val="100"/>
                <w:sz w:val="16"/>
              </w:rPr>
              <w:t>C</w:t>
            </w:r>
          </w:p>
        </w:tc>
        <w:tc>
          <w:tcPr>
            <w:tcW w:w="1448" w:type="dxa"/>
          </w:tcPr>
          <w:p>
            <w:pPr>
              <w:pStyle w:val="TableParagraph"/>
              <w:spacing w:line="215" w:lineRule="exact"/>
              <w:ind w:left="563"/>
              <w:rPr>
                <w:b/>
                <w:sz w:val="10"/>
              </w:rPr>
            </w:pPr>
            <w:r>
              <w:rPr>
                <w:b/>
                <w:position w:val="2"/>
                <w:sz w:val="16"/>
              </w:rPr>
              <w:t>D</w:t>
            </w:r>
            <w:r>
              <w:rPr>
                <w:b/>
                <w:sz w:val="10"/>
              </w:rPr>
              <w:t>CH</w:t>
            </w:r>
            <w:r>
              <w:rPr>
                <w:b/>
                <w:position w:val="-3"/>
                <w:sz w:val="10"/>
              </w:rPr>
              <w:t>4</w:t>
            </w:r>
          </w:p>
        </w:tc>
        <w:tc>
          <w:tcPr>
            <w:tcW w:w="109" w:type="dxa"/>
            <w:tcBorders>
              <w:right w:val="nil"/>
            </w:tcBorders>
          </w:tcPr>
          <w:p>
            <w:pPr>
              <w:pStyle w:val="TableParagraph"/>
              <w:rPr>
                <w:sz w:val="16"/>
              </w:rPr>
            </w:pPr>
          </w:p>
        </w:tc>
        <w:tc>
          <w:tcPr>
            <w:tcW w:w="1386" w:type="dxa"/>
            <w:tcBorders>
              <w:left w:val="nil"/>
            </w:tcBorders>
          </w:tcPr>
          <w:p>
            <w:pPr>
              <w:pStyle w:val="TableParagraph"/>
              <w:spacing w:before="3"/>
              <w:ind w:left="472" w:right="571"/>
              <w:jc w:val="center"/>
              <w:rPr>
                <w:b/>
                <w:sz w:val="10"/>
              </w:rPr>
            </w:pPr>
            <w:r>
              <w:rPr>
                <w:b/>
                <w:position w:val="2"/>
                <w:sz w:val="16"/>
              </w:rPr>
              <w:t>CH</w:t>
            </w:r>
            <w:r>
              <w:rPr>
                <w:b/>
                <w:sz w:val="10"/>
              </w:rPr>
              <w:t>4</w:t>
            </w:r>
          </w:p>
        </w:tc>
        <w:tc>
          <w:tcPr>
            <w:tcW w:w="1494" w:type="dxa"/>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89"/>
              <w:rPr>
                <w:b/>
                <w:sz w:val="10"/>
              </w:rPr>
            </w:pPr>
            <w:r>
              <w:rPr>
                <w:b/>
                <w:position w:val="2"/>
                <w:sz w:val="16"/>
              </w:rPr>
              <w:t>D</w:t>
            </w:r>
            <w:r>
              <w:rPr>
                <w:b/>
                <w:sz w:val="10"/>
              </w:rPr>
              <w:t>CO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tcPr>
          <w:p>
            <w:pPr>
              <w:pStyle w:val="TableParagraph"/>
              <w:spacing w:before="25"/>
              <w:ind w:left="102" w:right="102"/>
              <w:jc w:val="center"/>
              <w:rPr>
                <w:b/>
                <w:sz w:val="16"/>
              </w:rPr>
            </w:pPr>
            <w:r>
              <w:rPr>
                <w:b/>
                <w:sz w:val="16"/>
              </w:rPr>
              <w:t>CO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80"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63"/>
              <w:rPr>
                <w:b/>
                <w:sz w:val="10"/>
              </w:rPr>
            </w:pPr>
            <w:r>
              <w:rPr>
                <w:b/>
                <w:position w:val="2"/>
                <w:sz w:val="16"/>
              </w:rPr>
              <w:t>D</w:t>
            </w:r>
            <w:r>
              <w:rPr>
                <w:b/>
                <w:sz w:val="10"/>
              </w:rPr>
              <w:t>N</w:t>
            </w:r>
            <w:r>
              <w:rPr>
                <w:b/>
                <w:position w:val="-3"/>
                <w:sz w:val="10"/>
              </w:rPr>
              <w:t>2</w:t>
            </w:r>
            <w:r>
              <w:rPr>
                <w:b/>
                <w:sz w:val="10"/>
              </w:rPr>
              <w:t>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shd w:val="clear" w:color="auto" w:fill="7F7F7F"/>
          </w:tcPr>
          <w:p>
            <w:pPr>
              <w:pStyle w:val="TableParagraph"/>
              <w:rPr>
                <w:sz w:val="16"/>
              </w:rPr>
            </w:pPr>
          </w:p>
        </w:tc>
        <w:tc>
          <w:tcPr>
            <w:tcW w:w="109" w:type="dxa"/>
            <w:tcBorders>
              <w:right w:val="nil"/>
            </w:tcBorders>
          </w:tcPr>
          <w:p>
            <w:pPr>
              <w:pStyle w:val="TableParagraph"/>
              <w:rPr>
                <w:sz w:val="16"/>
              </w:rPr>
            </w:pPr>
          </w:p>
        </w:tc>
        <w:tc>
          <w:tcPr>
            <w:tcW w:w="1386" w:type="dxa"/>
            <w:tcBorders>
              <w:left w:val="nil"/>
            </w:tcBorders>
          </w:tcPr>
          <w:p>
            <w:pPr>
              <w:pStyle w:val="TableParagraph"/>
              <w:spacing w:before="44"/>
              <w:ind w:left="469" w:right="575"/>
              <w:jc w:val="center"/>
              <w:rPr>
                <w:b/>
                <w:sz w:val="16"/>
              </w:rPr>
            </w:pPr>
            <w:r>
              <w:rPr>
                <w:b/>
                <w:position w:val="2"/>
                <w:sz w:val="16"/>
              </w:rPr>
              <w:t>N</w:t>
            </w:r>
            <w:r>
              <w:rPr>
                <w:b/>
                <w:sz w:val="10"/>
              </w:rPr>
              <w:t>2</w:t>
            </w:r>
            <w:r>
              <w:rPr>
                <w:b/>
                <w:position w:val="2"/>
                <w:sz w:val="16"/>
              </w:rPr>
              <w:t>O</w:t>
            </w: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80"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65"/>
              <w:rPr>
                <w:b/>
                <w:sz w:val="10"/>
              </w:rPr>
            </w:pPr>
            <w:r>
              <w:rPr>
                <w:b/>
                <w:position w:val="2"/>
                <w:sz w:val="16"/>
              </w:rPr>
              <w:t>D</w:t>
            </w:r>
            <w:r>
              <w:rPr>
                <w:b/>
                <w:sz w:val="10"/>
              </w:rPr>
              <w:t>NO</w:t>
            </w:r>
            <w:r>
              <w:rPr>
                <w:b/>
                <w:position w:val="-3"/>
                <w:sz w:val="10"/>
              </w:rPr>
              <w:t>x</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tcPr>
          <w:p>
            <w:pPr>
              <w:pStyle w:val="TableParagraph"/>
              <w:rPr>
                <w:sz w:val="16"/>
              </w:rPr>
            </w:pPr>
          </w:p>
        </w:tc>
        <w:tc>
          <w:tcPr>
            <w:tcW w:w="1389" w:type="dxa"/>
            <w:tcBorders>
              <w:left w:val="nil"/>
            </w:tcBorders>
          </w:tcPr>
          <w:p>
            <w:pPr>
              <w:pStyle w:val="TableParagraph"/>
              <w:spacing w:before="44"/>
              <w:ind w:left="472" w:right="581"/>
              <w:jc w:val="center"/>
              <w:rPr>
                <w:b/>
                <w:sz w:val="10"/>
              </w:rPr>
            </w:pPr>
            <w:r>
              <w:rPr>
                <w:b/>
                <w:position w:val="2"/>
                <w:sz w:val="16"/>
              </w:rPr>
              <w:t>NO</w:t>
            </w:r>
            <w:r>
              <w:rPr>
                <w:b/>
                <w:sz w:val="10"/>
              </w:rPr>
              <w:t>x</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8"/>
              <w:rPr>
                <w:b/>
                <w:sz w:val="20"/>
              </w:rPr>
            </w:pPr>
            <w:r>
              <w:rPr>
                <w:b/>
                <w:sz w:val="20"/>
              </w:rPr>
              <w:t>Land Converted to 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GL-2a: Annual change in carbon stocks in living and dead biomass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599" w:right="65" w:firstLine="38"/>
              <w:rPr>
                <w:sz w:val="16"/>
              </w:rPr>
            </w:pPr>
            <w:r>
              <w:rPr>
                <w:sz w:val="16"/>
              </w:rPr>
              <w:t>Land-use Category </w:t>
            </w:r>
            <w:r>
              <w:rPr>
                <w:sz w:val="16"/>
                <w:vertAlign w:val="superscript"/>
              </w:rPr>
              <w:t>1</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 </w:t>
            </w:r>
            <w:r>
              <w:rPr>
                <w:sz w:val="16"/>
                <w:vertAlign w:val="superscript"/>
              </w:rPr>
              <w:t>2</w:t>
            </w:r>
          </w:p>
        </w:tc>
        <w:tc>
          <w:tcPr>
            <w:tcW w:w="2066" w:type="dxa"/>
            <w:vMerge w:val="restart"/>
            <w:shd w:val="clear" w:color="auto" w:fill="E4E4E4"/>
          </w:tcPr>
          <w:p>
            <w:pPr>
              <w:pStyle w:val="TableParagraph"/>
              <w:spacing w:before="23"/>
              <w:ind w:left="158" w:right="147" w:firstLine="1"/>
              <w:jc w:val="center"/>
              <w:rPr>
                <w:sz w:val="16"/>
              </w:rPr>
            </w:pPr>
            <w:r>
              <w:rPr>
                <w:sz w:val="16"/>
              </w:rPr>
              <w:t>Area of land converted to grassland from some initial use</w:t>
            </w:r>
          </w:p>
          <w:p>
            <w:pPr>
              <w:pStyle w:val="TableParagraph"/>
              <w:spacing w:before="10"/>
              <w:rPr>
                <w:sz w:val="15"/>
              </w:rPr>
            </w:pPr>
          </w:p>
          <w:p>
            <w:pPr>
              <w:pStyle w:val="TableParagraph"/>
              <w:ind w:left="138" w:right="129"/>
              <w:jc w:val="center"/>
              <w:rPr>
                <w:sz w:val="16"/>
              </w:rPr>
            </w:pPr>
            <w:r>
              <w:rPr>
                <w:sz w:val="16"/>
              </w:rPr>
              <w:t>(ha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14"/>
              <w:jc w:val="center"/>
              <w:rPr>
                <w:sz w:val="16"/>
              </w:rPr>
            </w:pPr>
            <w:r>
              <w:rPr>
                <w:w w:val="100"/>
                <w:sz w:val="16"/>
              </w:rPr>
              <w:t>A</w:t>
            </w:r>
          </w:p>
        </w:tc>
        <w:tc>
          <w:tcPr>
            <w:tcW w:w="1980" w:type="dxa"/>
            <w:vMerge w:val="restart"/>
            <w:shd w:val="clear" w:color="auto" w:fill="E4E4E4"/>
          </w:tcPr>
          <w:p>
            <w:pPr>
              <w:pStyle w:val="TableParagraph"/>
              <w:spacing w:before="23"/>
              <w:ind w:left="149" w:right="138"/>
              <w:jc w:val="center"/>
              <w:rPr>
                <w:sz w:val="16"/>
              </w:rPr>
            </w:pPr>
            <w:r>
              <w:rPr>
                <w:sz w:val="16"/>
              </w:rPr>
              <w:t>Carbon stocks in biomass immediately after conversion to grassland</w:t>
            </w:r>
          </w:p>
          <w:p>
            <w:pPr>
              <w:pStyle w:val="TableParagraph"/>
              <w:spacing w:before="10"/>
              <w:rPr>
                <w:sz w:val="15"/>
              </w:rPr>
            </w:pPr>
          </w:p>
          <w:p>
            <w:pPr>
              <w:pStyle w:val="TableParagraph"/>
              <w:ind w:left="150" w:right="138"/>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10"/>
              <w:jc w:val="center"/>
              <w:rPr>
                <w:sz w:val="16"/>
              </w:rPr>
            </w:pPr>
            <w:r>
              <w:rPr>
                <w:w w:val="100"/>
                <w:sz w:val="16"/>
              </w:rPr>
              <w:t>B</w:t>
            </w:r>
          </w:p>
        </w:tc>
        <w:tc>
          <w:tcPr>
            <w:tcW w:w="1800" w:type="dxa"/>
            <w:vMerge w:val="restart"/>
            <w:shd w:val="clear" w:color="auto" w:fill="E4E4E4"/>
          </w:tcPr>
          <w:p>
            <w:pPr>
              <w:pStyle w:val="TableParagraph"/>
              <w:spacing w:before="23"/>
              <w:ind w:left="219" w:right="202" w:hanging="8"/>
              <w:jc w:val="center"/>
              <w:rPr>
                <w:sz w:val="16"/>
              </w:rPr>
            </w:pPr>
            <w:r>
              <w:rPr>
                <w:sz w:val="16"/>
              </w:rPr>
              <w:t>Carbon stocks in biomass immediately before conversion to grassland</w:t>
            </w:r>
          </w:p>
          <w:p>
            <w:pPr>
              <w:pStyle w:val="TableParagraph"/>
              <w:spacing w:before="11"/>
              <w:rPr>
                <w:sz w:val="15"/>
              </w:rPr>
            </w:pPr>
          </w:p>
          <w:p>
            <w:pPr>
              <w:pStyle w:val="TableParagraph"/>
              <w:ind w:left="129" w:right="120"/>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5"/>
              </w:rPr>
            </w:pPr>
          </w:p>
          <w:p>
            <w:pPr>
              <w:pStyle w:val="TableParagraph"/>
              <w:spacing w:line="168" w:lineRule="exact"/>
              <w:ind w:left="8"/>
              <w:jc w:val="center"/>
              <w:rPr>
                <w:sz w:val="16"/>
              </w:rPr>
            </w:pPr>
            <w:r>
              <w:rPr>
                <w:w w:val="100"/>
                <w:sz w:val="16"/>
              </w:rPr>
              <w:t>C</w:t>
            </w:r>
          </w:p>
        </w:tc>
        <w:tc>
          <w:tcPr>
            <w:tcW w:w="1980" w:type="dxa"/>
            <w:vMerge w:val="restart"/>
            <w:shd w:val="clear" w:color="auto" w:fill="E4E4E4"/>
          </w:tcPr>
          <w:p>
            <w:pPr>
              <w:pStyle w:val="TableParagraph"/>
              <w:spacing w:before="23"/>
              <w:ind w:left="151" w:right="136"/>
              <w:jc w:val="center"/>
              <w:rPr>
                <w:sz w:val="16"/>
              </w:rPr>
            </w:pPr>
            <w:r>
              <w:rPr>
                <w:sz w:val="16"/>
              </w:rPr>
              <w:t>Carbon stock change per area for that type of conversion</w:t>
            </w:r>
          </w:p>
          <w:p>
            <w:pPr>
              <w:pStyle w:val="TableParagraph"/>
              <w:spacing w:before="10"/>
              <w:rPr>
                <w:sz w:val="15"/>
              </w:rPr>
            </w:pPr>
          </w:p>
          <w:p>
            <w:pPr>
              <w:pStyle w:val="TableParagraph"/>
              <w:spacing w:line="482" w:lineRule="auto"/>
              <w:ind w:left="483" w:right="469"/>
              <w:jc w:val="center"/>
              <w:rPr>
                <w:sz w:val="16"/>
              </w:rPr>
            </w:pPr>
            <w:r>
              <w:rPr>
                <w:sz w:val="16"/>
              </w:rPr>
              <w:t>(tonnes C ha</w:t>
            </w:r>
            <w:r>
              <w:rPr>
                <w:sz w:val="16"/>
                <w:vertAlign w:val="superscript"/>
              </w:rPr>
              <w:t>-1</w:t>
            </w:r>
            <w:r>
              <w:rPr>
                <w:sz w:val="16"/>
                <w:vertAlign w:val="baseline"/>
              </w:rPr>
              <w:t>) D = B-C</w:t>
            </w:r>
          </w:p>
          <w:p>
            <w:pPr>
              <w:pStyle w:val="TableParagraph"/>
              <w:spacing w:line="168" w:lineRule="exact" w:before="9"/>
              <w:ind w:left="10"/>
              <w:jc w:val="center"/>
              <w:rPr>
                <w:sz w:val="16"/>
              </w:rPr>
            </w:pPr>
            <w:r>
              <w:rPr>
                <w:w w:val="100"/>
                <w:sz w:val="16"/>
              </w:rPr>
              <w:t>D</w:t>
            </w:r>
          </w:p>
        </w:tc>
        <w:tc>
          <w:tcPr>
            <w:tcW w:w="1800" w:type="dxa"/>
            <w:vMerge w:val="restart"/>
            <w:shd w:val="clear" w:color="auto" w:fill="E4E4E4"/>
          </w:tcPr>
          <w:p>
            <w:pPr>
              <w:pStyle w:val="TableParagraph"/>
              <w:spacing w:before="23"/>
              <w:ind w:left="132" w:right="120"/>
              <w:jc w:val="center"/>
              <w:rPr>
                <w:sz w:val="16"/>
              </w:rPr>
            </w:pPr>
            <w:r>
              <w:rPr>
                <w:sz w:val="16"/>
              </w:rPr>
              <w:t>Carbon stocks from one year of growth of grassland vegetation after conversion</w:t>
            </w:r>
          </w:p>
          <w:p>
            <w:pPr>
              <w:pStyle w:val="TableParagraph"/>
              <w:spacing w:before="11"/>
              <w:rPr>
                <w:sz w:val="15"/>
              </w:rPr>
            </w:pPr>
          </w:p>
          <w:p>
            <w:pPr>
              <w:pStyle w:val="TableParagraph"/>
              <w:ind w:left="129" w:right="120"/>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5"/>
              </w:rPr>
            </w:pPr>
          </w:p>
          <w:p>
            <w:pPr>
              <w:pStyle w:val="TableParagraph"/>
              <w:spacing w:line="168" w:lineRule="exact"/>
              <w:ind w:left="9"/>
              <w:jc w:val="center"/>
              <w:rPr>
                <w:sz w:val="16"/>
              </w:rPr>
            </w:pPr>
            <w:r>
              <w:rPr>
                <w:w w:val="100"/>
                <w:sz w:val="16"/>
              </w:rPr>
              <w:t>E</w:t>
            </w:r>
          </w:p>
        </w:tc>
        <w:tc>
          <w:tcPr>
            <w:tcW w:w="2160" w:type="dxa"/>
            <w:vMerge w:val="restart"/>
            <w:shd w:val="clear" w:color="auto" w:fill="E4E4E4"/>
          </w:tcPr>
          <w:p>
            <w:pPr>
              <w:pStyle w:val="TableParagraph"/>
              <w:spacing w:before="23"/>
              <w:ind w:left="141" w:right="132"/>
              <w:jc w:val="center"/>
              <w:rPr>
                <w:sz w:val="16"/>
              </w:rPr>
            </w:pPr>
            <w:r>
              <w:rPr>
                <w:sz w:val="16"/>
              </w:rPr>
              <w:t>Annual change in carbon stocks in living biomass</w:t>
            </w:r>
          </w:p>
          <w:p>
            <w:pPr>
              <w:pStyle w:val="TableParagraph"/>
              <w:rPr>
                <w:sz w:val="16"/>
              </w:rPr>
            </w:pPr>
          </w:p>
          <w:p>
            <w:pPr>
              <w:pStyle w:val="TableParagraph"/>
              <w:spacing w:line="494" w:lineRule="auto"/>
              <w:ind w:left="610" w:right="598" w:firstLine="2"/>
              <w:jc w:val="center"/>
              <w:rPr>
                <w:sz w:val="16"/>
              </w:rPr>
            </w:pPr>
            <w:r>
              <w:rPr>
                <w:sz w:val="16"/>
              </w:rPr>
              <w:t>(tonnes C yr</w:t>
            </w:r>
            <w:r>
              <w:rPr>
                <w:sz w:val="16"/>
                <w:vertAlign w:val="superscript"/>
              </w:rPr>
              <w:t>-1</w:t>
            </w:r>
            <w:r>
              <w:rPr>
                <w:sz w:val="16"/>
                <w:vertAlign w:val="baseline"/>
              </w:rPr>
              <w:t>) F = A </w:t>
            </w:r>
            <w:r>
              <w:rPr>
                <w:rFonts w:ascii="Symbol" w:hAnsi="Symbol"/>
                <w:sz w:val="16"/>
                <w:vertAlign w:val="baseline"/>
              </w:rPr>
              <w:t>• </w:t>
            </w:r>
            <w:r>
              <w:rPr>
                <w:sz w:val="16"/>
                <w:vertAlign w:val="baseline"/>
              </w:rPr>
              <w:t>(D+E)</w:t>
            </w:r>
          </w:p>
          <w:p>
            <w:pPr>
              <w:pStyle w:val="TableParagraph"/>
              <w:spacing w:line="168" w:lineRule="exact" w:before="160"/>
              <w:ind w:left="14"/>
              <w:jc w:val="center"/>
              <w:rPr>
                <w:sz w:val="16"/>
              </w:rPr>
            </w:pPr>
            <w:r>
              <w:rPr>
                <w:w w:val="100"/>
                <w:sz w:val="16"/>
              </w:rPr>
              <w:t>F</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9" w:right="127"/>
              <w:jc w:val="center"/>
              <w:rPr>
                <w:b/>
                <w:sz w:val="10"/>
              </w:rPr>
            </w:pPr>
            <w:r>
              <w:rPr>
                <w:b/>
                <w:position w:val="2"/>
                <w:sz w:val="16"/>
              </w:rPr>
              <w:t>A</w:t>
            </w:r>
            <w:r>
              <w:rPr>
                <w:b/>
                <w:sz w:val="10"/>
              </w:rPr>
              <w:t>Conversion</w:t>
            </w:r>
          </w:p>
        </w:tc>
        <w:tc>
          <w:tcPr>
            <w:tcW w:w="1980" w:type="dxa"/>
          </w:tcPr>
          <w:p>
            <w:pPr>
              <w:pStyle w:val="TableParagraph"/>
              <w:spacing w:before="53"/>
              <w:ind w:left="146" w:right="138"/>
              <w:jc w:val="center"/>
              <w:rPr>
                <w:b/>
                <w:sz w:val="10"/>
              </w:rPr>
            </w:pPr>
            <w:r>
              <w:rPr>
                <w:b/>
                <w:position w:val="2"/>
                <w:sz w:val="16"/>
              </w:rPr>
              <w:t>C</w:t>
            </w:r>
            <w:r>
              <w:rPr>
                <w:b/>
                <w:sz w:val="10"/>
              </w:rPr>
              <w:t>After</w:t>
            </w:r>
          </w:p>
        </w:tc>
        <w:tc>
          <w:tcPr>
            <w:tcW w:w="1800" w:type="dxa"/>
          </w:tcPr>
          <w:p>
            <w:pPr>
              <w:pStyle w:val="TableParagraph"/>
              <w:spacing w:before="53"/>
              <w:ind w:left="128" w:right="120"/>
              <w:jc w:val="center"/>
              <w:rPr>
                <w:b/>
                <w:sz w:val="10"/>
              </w:rPr>
            </w:pPr>
            <w:r>
              <w:rPr>
                <w:b/>
                <w:position w:val="2"/>
                <w:sz w:val="16"/>
              </w:rPr>
              <w:t>C</w:t>
            </w:r>
            <w:r>
              <w:rPr>
                <w:b/>
                <w:sz w:val="10"/>
              </w:rPr>
              <w:t>Before</w:t>
            </w:r>
          </w:p>
        </w:tc>
        <w:tc>
          <w:tcPr>
            <w:tcW w:w="1980" w:type="dxa"/>
          </w:tcPr>
          <w:p>
            <w:pPr>
              <w:pStyle w:val="TableParagraph"/>
              <w:spacing w:before="53"/>
              <w:ind w:left="150" w:right="138"/>
              <w:jc w:val="center"/>
              <w:rPr>
                <w:b/>
                <w:sz w:val="10"/>
              </w:rPr>
            </w:pPr>
            <w:r>
              <w:rPr>
                <w:b/>
                <w:position w:val="2"/>
                <w:sz w:val="16"/>
              </w:rPr>
              <w:t>L</w:t>
            </w:r>
            <w:r>
              <w:rPr>
                <w:b/>
                <w:sz w:val="10"/>
              </w:rPr>
              <w:t>Conversion</w:t>
            </w:r>
          </w:p>
        </w:tc>
        <w:tc>
          <w:tcPr>
            <w:tcW w:w="1800" w:type="dxa"/>
          </w:tcPr>
          <w:p>
            <w:pPr>
              <w:pStyle w:val="TableParagraph"/>
              <w:spacing w:before="53"/>
              <w:ind w:left="132" w:right="120"/>
              <w:jc w:val="center"/>
              <w:rPr>
                <w:b/>
                <w:sz w:val="10"/>
              </w:rPr>
            </w:pPr>
            <w:r>
              <w:rPr>
                <w:b/>
                <w:position w:val="2"/>
                <w:sz w:val="16"/>
              </w:rPr>
              <w:t>∆C</w:t>
            </w:r>
            <w:r>
              <w:rPr>
                <w:b/>
                <w:sz w:val="10"/>
              </w:rPr>
              <w:t>Growth</w:t>
            </w:r>
          </w:p>
        </w:tc>
        <w:tc>
          <w:tcPr>
            <w:tcW w:w="2160" w:type="dxa"/>
            <w:shd w:val="clear" w:color="auto" w:fill="D5D5D5"/>
          </w:tcPr>
          <w:p>
            <w:pPr>
              <w:pStyle w:val="TableParagraph"/>
              <w:spacing w:line="124" w:lineRule="auto" w:before="88"/>
              <w:ind w:left="1143" w:right="776" w:hanging="360"/>
              <w:rPr>
                <w:b/>
                <w:sz w:val="10"/>
              </w:rPr>
            </w:pPr>
            <w:r>
              <w:rPr>
                <w:b/>
                <w:position w:val="2"/>
                <w:sz w:val="16"/>
              </w:rPr>
              <w:t>∆C</w:t>
            </w:r>
            <w:r>
              <w:rPr>
                <w:b/>
                <w:sz w:val="10"/>
              </w:rPr>
              <w:t>LG   </w:t>
            </w:r>
            <w:r>
              <w:rPr>
                <w:b/>
                <w:spacing w:val="-17"/>
                <w:position w:val="9"/>
                <w:sz w:val="10"/>
              </w:rPr>
              <w:t>3 </w:t>
            </w:r>
            <w:r>
              <w:rPr>
                <w:b/>
                <w:spacing w:val="-3"/>
                <w:sz w:val="10"/>
              </w:rPr>
              <w:t>LB</w:t>
            </w: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424"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GL</w:t>
            </w:r>
          </w:p>
        </w:tc>
        <w:tc>
          <w:tcPr>
            <w:tcW w:w="1027" w:type="dxa"/>
          </w:tcPr>
          <w:p>
            <w:pPr>
              <w:pStyle w:val="TableParagraph"/>
              <w:spacing w:before="114"/>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1065" w:hRule="atLeast"/>
        </w:trPr>
        <w:tc>
          <w:tcPr>
            <w:tcW w:w="14687" w:type="dxa"/>
            <w:gridSpan w:val="9"/>
          </w:tcPr>
          <w:p>
            <w:pPr>
              <w:pStyle w:val="TableParagraph"/>
              <w:spacing w:before="50"/>
              <w:ind w:left="107"/>
              <w:rPr>
                <w:sz w:val="16"/>
              </w:rPr>
            </w:pPr>
            <w:r>
              <w:rPr>
                <w:position w:val="7"/>
                <w:sz w:val="10"/>
              </w:rPr>
              <w:t>1 </w:t>
            </w:r>
            <w:r>
              <w:rPr>
                <w:sz w:val="16"/>
              </w:rPr>
              <w:t>FL stands for forest land; CL for cropland; GL for grassland; WL for wetlands, SL settlements, and OL for other lands. See Chapter 2 for approaches in representing land areas.</w:t>
            </w:r>
          </w:p>
          <w:p>
            <w:pPr>
              <w:pStyle w:val="TableParagraph"/>
              <w:spacing w:before="85"/>
              <w:ind w:left="107"/>
              <w:rPr>
                <w:sz w:val="16"/>
              </w:rPr>
            </w:pPr>
            <w:r>
              <w:rPr>
                <w:position w:val="7"/>
                <w:sz w:val="10"/>
              </w:rPr>
              <w:t>2 </w:t>
            </w:r>
            <w:r>
              <w:rPr>
                <w:sz w:val="16"/>
              </w:rPr>
              <w:t>Land use should be further divided according to grassland type and climate zone.</w:t>
            </w:r>
          </w:p>
          <w:p>
            <w:pPr>
              <w:pStyle w:val="TableParagraph"/>
              <w:spacing w:before="88"/>
              <w:ind w:left="184" w:hanging="77"/>
              <w:rPr>
                <w:sz w:val="16"/>
              </w:rPr>
            </w:pPr>
            <w:r>
              <w:rPr>
                <w:position w:val="7"/>
                <w:sz w:val="10"/>
              </w:rPr>
              <w:t>3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8"/>
              <w:rPr>
                <w:b/>
                <w:sz w:val="20"/>
              </w:rPr>
            </w:pPr>
            <w:r>
              <w:rPr>
                <w:b/>
                <w:sz w:val="20"/>
              </w:rPr>
              <w:t>Land Converted to 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GL-2c1: Annual change in carbon stocks in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1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58" w:right="147" w:firstLine="1"/>
              <w:jc w:val="center"/>
              <w:rPr>
                <w:sz w:val="16"/>
              </w:rPr>
            </w:pPr>
            <w:r>
              <w:rPr>
                <w:sz w:val="16"/>
              </w:rPr>
              <w:t>Area of land converted to grassland from some</w:t>
            </w:r>
            <w:r>
              <w:rPr>
                <w:spacing w:val="-13"/>
                <w:sz w:val="16"/>
              </w:rPr>
              <w:t> </w:t>
            </w:r>
            <w:r>
              <w:rPr>
                <w:sz w:val="16"/>
              </w:rPr>
              <w:t>initial use</w:t>
            </w:r>
          </w:p>
          <w:p>
            <w:pPr>
              <w:pStyle w:val="TableParagraph"/>
              <w:spacing w:before="10"/>
              <w:rPr>
                <w:sz w:val="15"/>
              </w:rPr>
            </w:pPr>
          </w:p>
          <w:p>
            <w:pPr>
              <w:pStyle w:val="TableParagraph"/>
              <w:ind w:left="138" w:right="129"/>
              <w:jc w:val="center"/>
              <w:rPr>
                <w:sz w:val="16"/>
              </w:rPr>
            </w:pPr>
            <w:r>
              <w:rPr>
                <w:sz w:val="16"/>
              </w:rPr>
              <w:t>(ha)</w:t>
            </w:r>
          </w:p>
          <w:p>
            <w:pPr>
              <w:pStyle w:val="TableParagraph"/>
              <w:rPr>
                <w:sz w:val="18"/>
              </w:rPr>
            </w:pPr>
          </w:p>
          <w:p>
            <w:pPr>
              <w:pStyle w:val="TableParagraph"/>
              <w:spacing w:line="170" w:lineRule="exact" w:before="161"/>
              <w:ind w:left="14"/>
              <w:jc w:val="center"/>
              <w:rPr>
                <w:sz w:val="16"/>
              </w:rPr>
            </w:pPr>
            <w:r>
              <w:rPr>
                <w:w w:val="100"/>
                <w:sz w:val="16"/>
              </w:rPr>
              <w:t>A</w:t>
            </w:r>
          </w:p>
        </w:tc>
        <w:tc>
          <w:tcPr>
            <w:tcW w:w="1980" w:type="dxa"/>
            <w:vMerge w:val="restart"/>
            <w:shd w:val="clear" w:color="auto" w:fill="E4E4E4"/>
          </w:tcPr>
          <w:p>
            <w:pPr>
              <w:pStyle w:val="TableParagraph"/>
              <w:spacing w:line="480" w:lineRule="auto" w:before="23"/>
              <w:ind w:left="148" w:right="138"/>
              <w:jc w:val="center"/>
              <w:rPr>
                <w:sz w:val="16"/>
              </w:rPr>
            </w:pPr>
            <w:r>
              <w:rPr>
                <w:sz w:val="16"/>
              </w:rPr>
              <w:t>Inventory time period (default is 20 yr)</w:t>
            </w:r>
          </w:p>
          <w:p>
            <w:pPr>
              <w:pStyle w:val="TableParagraph"/>
              <w:rPr>
                <w:sz w:val="18"/>
              </w:rPr>
            </w:pPr>
          </w:p>
          <w:p>
            <w:pPr>
              <w:pStyle w:val="TableParagraph"/>
              <w:rPr>
                <w:sz w:val="18"/>
              </w:rPr>
            </w:pPr>
          </w:p>
          <w:p>
            <w:pPr>
              <w:pStyle w:val="TableParagraph"/>
              <w:spacing w:line="170" w:lineRule="exact" w:before="136"/>
              <w:ind w:left="10"/>
              <w:jc w:val="center"/>
              <w:rPr>
                <w:sz w:val="16"/>
              </w:rPr>
            </w:pPr>
            <w:r>
              <w:rPr>
                <w:w w:val="100"/>
                <w:sz w:val="16"/>
              </w:rPr>
              <w:t>B</w:t>
            </w:r>
          </w:p>
        </w:tc>
        <w:tc>
          <w:tcPr>
            <w:tcW w:w="1800" w:type="dxa"/>
            <w:vMerge w:val="restart"/>
            <w:shd w:val="clear" w:color="auto" w:fill="E4E4E4"/>
          </w:tcPr>
          <w:p>
            <w:pPr>
              <w:pStyle w:val="TableParagraph"/>
              <w:spacing w:line="480" w:lineRule="auto" w:before="23"/>
              <w:ind w:left="131" w:right="120"/>
              <w:jc w:val="center"/>
              <w:rPr>
                <w:sz w:val="16"/>
              </w:rPr>
            </w:pPr>
            <w:r>
              <w:rPr>
                <w:sz w:val="16"/>
              </w:rPr>
              <w:t>Reference carbon stock (tonnes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36"/>
              <w:ind w:left="8"/>
              <w:jc w:val="center"/>
              <w:rPr>
                <w:sz w:val="16"/>
              </w:rPr>
            </w:pPr>
            <w:r>
              <w:rPr>
                <w:w w:val="100"/>
                <w:sz w:val="16"/>
              </w:rPr>
              <w:t>C</w:t>
            </w:r>
          </w:p>
        </w:tc>
        <w:tc>
          <w:tcPr>
            <w:tcW w:w="1980" w:type="dxa"/>
            <w:vMerge w:val="restart"/>
            <w:shd w:val="clear" w:color="auto" w:fill="E4E4E4"/>
          </w:tcPr>
          <w:p>
            <w:pPr>
              <w:pStyle w:val="TableParagraph"/>
              <w:spacing w:before="23"/>
              <w:ind w:left="197" w:right="184" w:hanging="3"/>
              <w:jc w:val="center"/>
              <w:rPr>
                <w:sz w:val="16"/>
              </w:rPr>
            </w:pPr>
            <w:r>
              <w:rPr>
                <w:sz w:val="16"/>
              </w:rPr>
              <w:t>Stock change factor for land use or land-use change type in the initial year (pre-conversion)</w:t>
            </w:r>
          </w:p>
          <w:p>
            <w:pPr>
              <w:pStyle w:val="TableParagraph"/>
              <w:spacing w:line="360" w:lineRule="atLeast" w:before="7"/>
              <w:ind w:left="483" w:right="472"/>
              <w:jc w:val="center"/>
              <w:rPr>
                <w:sz w:val="16"/>
              </w:rPr>
            </w:pPr>
            <w:r>
              <w:rPr>
                <w:sz w:val="16"/>
              </w:rPr>
              <w:t>(dimensionless) D</w:t>
            </w:r>
          </w:p>
        </w:tc>
        <w:tc>
          <w:tcPr>
            <w:tcW w:w="1800" w:type="dxa"/>
            <w:vMerge w:val="restart"/>
            <w:shd w:val="clear" w:color="auto" w:fill="E4E4E4"/>
          </w:tcPr>
          <w:p>
            <w:pPr>
              <w:pStyle w:val="TableParagraph"/>
              <w:spacing w:before="23"/>
              <w:ind w:left="132" w:right="119"/>
              <w:jc w:val="center"/>
              <w:rPr>
                <w:sz w:val="16"/>
              </w:rPr>
            </w:pPr>
            <w:r>
              <w:rPr>
                <w:sz w:val="16"/>
              </w:rPr>
              <w:t>Stock change factor for management regime in the initial year (pre- conversion)</w:t>
            </w:r>
          </w:p>
          <w:p>
            <w:pPr>
              <w:pStyle w:val="TableParagraph"/>
              <w:spacing w:line="360" w:lineRule="atLeast" w:before="7"/>
              <w:ind w:left="394" w:right="381"/>
              <w:jc w:val="center"/>
              <w:rPr>
                <w:sz w:val="16"/>
              </w:rPr>
            </w:pPr>
            <w:r>
              <w:rPr>
                <w:sz w:val="16"/>
              </w:rPr>
              <w:t>(dimensionless) E</w:t>
            </w:r>
          </w:p>
        </w:tc>
        <w:tc>
          <w:tcPr>
            <w:tcW w:w="2160" w:type="dxa"/>
            <w:vMerge w:val="restart"/>
            <w:shd w:val="clear" w:color="auto" w:fill="E4E4E4"/>
          </w:tcPr>
          <w:p>
            <w:pPr>
              <w:pStyle w:val="TableParagraph"/>
              <w:spacing w:before="23"/>
              <w:ind w:left="120" w:right="108" w:firstLine="2"/>
              <w:jc w:val="center"/>
              <w:rPr>
                <w:sz w:val="16"/>
              </w:rPr>
            </w:pPr>
            <w:r>
              <w:rPr>
                <w:sz w:val="16"/>
              </w:rPr>
              <w:t>Stock change factor for input of organic matter in the initial year (pre-conversion)</w:t>
            </w:r>
          </w:p>
          <w:p>
            <w:pPr>
              <w:pStyle w:val="TableParagraph"/>
              <w:spacing w:before="10"/>
              <w:rPr>
                <w:sz w:val="15"/>
              </w:rPr>
            </w:pPr>
          </w:p>
          <w:p>
            <w:pPr>
              <w:pStyle w:val="TableParagraph"/>
              <w:ind w:left="143" w:right="132"/>
              <w:jc w:val="center"/>
              <w:rPr>
                <w:sz w:val="16"/>
              </w:rPr>
            </w:pPr>
            <w:r>
              <w:rPr>
                <w:sz w:val="16"/>
              </w:rPr>
              <w:t>(dimensionless)</w:t>
            </w:r>
          </w:p>
          <w:p>
            <w:pPr>
              <w:pStyle w:val="TableParagraph"/>
              <w:rPr>
                <w:sz w:val="18"/>
              </w:rPr>
            </w:pPr>
          </w:p>
          <w:p>
            <w:pPr>
              <w:pStyle w:val="TableParagraph"/>
              <w:spacing w:line="170" w:lineRule="exact" w:before="161"/>
              <w:ind w:left="14"/>
              <w:jc w:val="center"/>
              <w:rPr>
                <w:sz w:val="16"/>
              </w:rPr>
            </w:pPr>
            <w:r>
              <w:rPr>
                <w:w w:val="100"/>
                <w:sz w:val="16"/>
              </w:rPr>
              <w:t>F</w:t>
            </w:r>
          </w:p>
        </w:tc>
      </w:tr>
      <w:tr>
        <w:trPr>
          <w:trHeight w:val="1094"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spacing w:before="25"/>
              <w:ind w:left="9"/>
              <w:jc w:val="center"/>
              <w:rPr>
                <w:b/>
                <w:sz w:val="16"/>
              </w:rPr>
            </w:pPr>
            <w:r>
              <w:rPr>
                <w:b/>
                <w:w w:val="100"/>
                <w:sz w:val="16"/>
              </w:rPr>
              <w:t>A</w:t>
            </w:r>
          </w:p>
        </w:tc>
        <w:tc>
          <w:tcPr>
            <w:tcW w:w="1980" w:type="dxa"/>
          </w:tcPr>
          <w:p>
            <w:pPr>
              <w:pStyle w:val="TableParagraph"/>
              <w:spacing w:before="25"/>
              <w:ind w:left="11"/>
              <w:jc w:val="center"/>
              <w:rPr>
                <w:b/>
                <w:sz w:val="16"/>
              </w:rPr>
            </w:pPr>
            <w:r>
              <w:rPr>
                <w:b/>
                <w:w w:val="100"/>
                <w:sz w:val="16"/>
              </w:rPr>
              <w:t>T</w:t>
            </w:r>
          </w:p>
        </w:tc>
        <w:tc>
          <w:tcPr>
            <w:tcW w:w="1800" w:type="dxa"/>
          </w:tcPr>
          <w:p>
            <w:pPr>
              <w:pStyle w:val="TableParagraph"/>
              <w:spacing w:before="25"/>
              <w:ind w:left="130" w:right="120"/>
              <w:jc w:val="center"/>
              <w:rPr>
                <w:b/>
                <w:sz w:val="10"/>
              </w:rPr>
            </w:pPr>
            <w:r>
              <w:rPr>
                <w:b/>
                <w:position w:val="2"/>
                <w:sz w:val="16"/>
              </w:rPr>
              <w:t>SOC</w:t>
            </w:r>
            <w:r>
              <w:rPr>
                <w:b/>
                <w:sz w:val="10"/>
              </w:rPr>
              <w:t>ref</w:t>
            </w:r>
          </w:p>
        </w:tc>
        <w:tc>
          <w:tcPr>
            <w:tcW w:w="1980" w:type="dxa"/>
          </w:tcPr>
          <w:p>
            <w:pPr>
              <w:pStyle w:val="TableParagraph"/>
              <w:spacing w:before="25"/>
              <w:ind w:left="147" w:right="138"/>
              <w:jc w:val="center"/>
              <w:rPr>
                <w:b/>
                <w:sz w:val="10"/>
              </w:rPr>
            </w:pPr>
            <w:r>
              <w:rPr>
                <w:b/>
                <w:position w:val="2"/>
                <w:sz w:val="16"/>
              </w:rPr>
              <w:t>F</w:t>
            </w:r>
            <w:r>
              <w:rPr>
                <w:b/>
                <w:sz w:val="10"/>
              </w:rPr>
              <w:t>LU(0-T)</w:t>
            </w:r>
          </w:p>
        </w:tc>
        <w:tc>
          <w:tcPr>
            <w:tcW w:w="1800" w:type="dxa"/>
          </w:tcPr>
          <w:p>
            <w:pPr>
              <w:pStyle w:val="TableParagraph"/>
              <w:spacing w:before="25"/>
              <w:ind w:left="131" w:right="120"/>
              <w:jc w:val="center"/>
              <w:rPr>
                <w:b/>
                <w:sz w:val="10"/>
              </w:rPr>
            </w:pPr>
            <w:r>
              <w:rPr>
                <w:b/>
                <w:position w:val="2"/>
                <w:sz w:val="16"/>
              </w:rPr>
              <w:t>F</w:t>
            </w:r>
            <w:r>
              <w:rPr>
                <w:b/>
                <w:sz w:val="10"/>
              </w:rPr>
              <w:t>MG(0-T)</w:t>
            </w:r>
          </w:p>
        </w:tc>
        <w:tc>
          <w:tcPr>
            <w:tcW w:w="2160" w:type="dxa"/>
          </w:tcPr>
          <w:p>
            <w:pPr>
              <w:pStyle w:val="TableParagraph"/>
              <w:spacing w:before="25"/>
              <w:ind w:left="143" w:right="132"/>
              <w:jc w:val="center"/>
              <w:rPr>
                <w:b/>
                <w:sz w:val="10"/>
              </w:rPr>
            </w:pPr>
            <w:r>
              <w:rPr>
                <w:b/>
                <w:position w:val="2"/>
                <w:sz w:val="16"/>
              </w:rPr>
              <w:t>F</w:t>
            </w:r>
            <w:r>
              <w:rPr>
                <w:b/>
                <w:sz w:val="10"/>
              </w:rPr>
              <w:t>I(0-T)</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424"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GL</w:t>
            </w:r>
          </w:p>
        </w:tc>
        <w:tc>
          <w:tcPr>
            <w:tcW w:w="1027" w:type="dxa"/>
          </w:tcPr>
          <w:p>
            <w:pPr>
              <w:pStyle w:val="TableParagraph"/>
              <w:spacing w:before="114"/>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41"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1800"/>
        <w:gridCol w:w="1980"/>
        <w:gridCol w:w="1800"/>
        <w:gridCol w:w="21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7"/>
          </w:tcPr>
          <w:p>
            <w:pPr>
              <w:pStyle w:val="TableParagraph"/>
              <w:spacing w:before="26"/>
              <w:ind w:left="108"/>
              <w:rPr>
                <w:b/>
                <w:sz w:val="20"/>
              </w:rPr>
            </w:pPr>
            <w:r>
              <w:rPr>
                <w:b/>
                <w:sz w:val="20"/>
              </w:rPr>
              <w:t>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7"/>
          </w:tcPr>
          <w:p>
            <w:pPr>
              <w:pStyle w:val="TableParagraph"/>
              <w:spacing w:before="26"/>
              <w:ind w:left="108"/>
              <w:rPr>
                <w:b/>
                <w:sz w:val="20"/>
              </w:rPr>
            </w:pPr>
            <w:r>
              <w:rPr>
                <w:b/>
                <w:sz w:val="20"/>
              </w:rPr>
              <w:t>Land Converted to 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7"/>
          </w:tcPr>
          <w:p>
            <w:pPr>
              <w:pStyle w:val="TableParagraph"/>
              <w:spacing w:before="26"/>
              <w:ind w:left="108"/>
              <w:rPr>
                <w:b/>
                <w:sz w:val="20"/>
              </w:rPr>
            </w:pPr>
            <w:r>
              <w:rPr>
                <w:b/>
                <w:sz w:val="20"/>
              </w:rPr>
              <w:t>GL-2c1: Annual change in carbon stocks in mineral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7"/>
          </w:tcPr>
          <w:p>
            <w:pPr>
              <w:pStyle w:val="TableParagraph"/>
              <w:spacing w:before="26"/>
              <w:ind w:left="108"/>
              <w:rPr>
                <w:b/>
                <w:sz w:val="20"/>
              </w:rPr>
            </w:pPr>
            <w:r>
              <w:rPr>
                <w:b/>
                <w:sz w:val="20"/>
              </w:rPr>
              <w:t>2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12" w:right="102"/>
              <w:jc w:val="center"/>
              <w:rPr>
                <w:sz w:val="16"/>
              </w:rPr>
            </w:pPr>
            <w:r>
              <w:rPr>
                <w:sz w:val="16"/>
              </w:rPr>
              <w:t>Soil organic carbon stock in the initial year (pre- conversion)</w:t>
            </w:r>
          </w:p>
          <w:p>
            <w:pPr>
              <w:pStyle w:val="TableParagraph"/>
              <w:spacing w:before="10"/>
              <w:rPr>
                <w:sz w:val="15"/>
              </w:rPr>
            </w:pPr>
          </w:p>
          <w:p>
            <w:pPr>
              <w:pStyle w:val="TableParagraph"/>
              <w:spacing w:line="496" w:lineRule="auto"/>
              <w:ind w:left="456" w:right="432" w:firstLine="103"/>
              <w:rPr>
                <w:sz w:val="16"/>
              </w:rPr>
            </w:pPr>
            <w:r>
              <w:rPr>
                <w:sz w:val="16"/>
              </w:rPr>
              <w:t>(tonnes C ha</w:t>
            </w:r>
            <w:r>
              <w:rPr>
                <w:sz w:val="16"/>
                <w:vertAlign w:val="superscript"/>
              </w:rPr>
              <w:t>-1</w:t>
            </w:r>
            <w:r>
              <w:rPr>
                <w:sz w:val="16"/>
                <w:vertAlign w:val="baseline"/>
              </w:rPr>
              <w:t>) G = C </w:t>
            </w:r>
            <w:r>
              <w:rPr>
                <w:rFonts w:ascii="Symbol" w:hAnsi="Symbol"/>
                <w:sz w:val="16"/>
                <w:vertAlign w:val="baseline"/>
              </w:rPr>
              <w:t>• </w:t>
            </w:r>
            <w:r>
              <w:rPr>
                <w:sz w:val="16"/>
                <w:vertAlign w:val="baseline"/>
              </w:rPr>
              <w:t>D </w:t>
            </w:r>
            <w:r>
              <w:rPr>
                <w:rFonts w:ascii="Symbol" w:hAnsi="Symbol"/>
                <w:sz w:val="16"/>
                <w:vertAlign w:val="baseline"/>
              </w:rPr>
              <w:t>• </w:t>
            </w:r>
            <w:r>
              <w:rPr>
                <w:sz w:val="16"/>
                <w:vertAlign w:val="baseline"/>
              </w:rPr>
              <w:t>E </w:t>
            </w:r>
            <w:r>
              <w:rPr>
                <w:rFonts w:ascii="Symbol" w:hAnsi="Symbol"/>
                <w:sz w:val="16"/>
                <w:vertAlign w:val="baseline"/>
              </w:rPr>
              <w:t>• </w:t>
            </w:r>
            <w:r>
              <w:rPr>
                <w:sz w:val="16"/>
                <w:vertAlign w:val="baseline"/>
              </w:rPr>
              <w:t>F</w:t>
            </w:r>
          </w:p>
          <w:p>
            <w:pPr>
              <w:pStyle w:val="TableParagraph"/>
              <w:spacing w:line="141" w:lineRule="exact"/>
              <w:ind w:left="14"/>
              <w:jc w:val="center"/>
              <w:rPr>
                <w:sz w:val="16"/>
              </w:rPr>
            </w:pPr>
            <w:r>
              <w:rPr>
                <w:w w:val="100"/>
                <w:sz w:val="16"/>
              </w:rPr>
              <w:t>G</w:t>
            </w:r>
          </w:p>
        </w:tc>
        <w:tc>
          <w:tcPr>
            <w:tcW w:w="1980" w:type="dxa"/>
            <w:vMerge w:val="restart"/>
            <w:shd w:val="clear" w:color="auto" w:fill="E4E4E4"/>
          </w:tcPr>
          <w:p>
            <w:pPr>
              <w:pStyle w:val="TableParagraph"/>
              <w:spacing w:before="23"/>
              <w:ind w:left="149" w:right="138"/>
              <w:jc w:val="center"/>
              <w:rPr>
                <w:sz w:val="16"/>
              </w:rPr>
            </w:pPr>
            <w:r>
              <w:rPr>
                <w:sz w:val="16"/>
              </w:rPr>
              <w:t>Stock change factor for land use or land-use change type in current inventory year</w:t>
            </w:r>
          </w:p>
          <w:p>
            <w:pPr>
              <w:pStyle w:val="TableParagraph"/>
              <w:spacing w:before="11"/>
              <w:rPr>
                <w:sz w:val="15"/>
              </w:rPr>
            </w:pPr>
          </w:p>
          <w:p>
            <w:pPr>
              <w:pStyle w:val="TableParagraph"/>
              <w:ind w:left="146" w:right="138"/>
              <w:jc w:val="center"/>
              <w:rPr>
                <w:sz w:val="16"/>
              </w:rPr>
            </w:pPr>
            <w:r>
              <w:rPr>
                <w:sz w:val="16"/>
              </w:rPr>
              <w:t>(dimensionless)</w:t>
            </w:r>
          </w:p>
          <w:p>
            <w:pPr>
              <w:pStyle w:val="TableParagraph"/>
              <w:rPr>
                <w:sz w:val="18"/>
              </w:rPr>
            </w:pPr>
          </w:p>
          <w:p>
            <w:pPr>
              <w:pStyle w:val="TableParagraph"/>
              <w:rPr>
                <w:sz w:val="15"/>
              </w:rPr>
            </w:pPr>
          </w:p>
          <w:p>
            <w:pPr>
              <w:pStyle w:val="TableParagraph"/>
              <w:spacing w:line="168" w:lineRule="exact"/>
              <w:ind w:left="10"/>
              <w:jc w:val="center"/>
              <w:rPr>
                <w:sz w:val="16"/>
              </w:rPr>
            </w:pPr>
            <w:r>
              <w:rPr>
                <w:w w:val="100"/>
                <w:sz w:val="16"/>
              </w:rPr>
              <w:t>H</w:t>
            </w:r>
          </w:p>
        </w:tc>
        <w:tc>
          <w:tcPr>
            <w:tcW w:w="1800" w:type="dxa"/>
            <w:vMerge w:val="restart"/>
            <w:shd w:val="clear" w:color="auto" w:fill="E4E4E4"/>
          </w:tcPr>
          <w:p>
            <w:pPr>
              <w:pStyle w:val="TableParagraph"/>
              <w:spacing w:before="23"/>
              <w:ind w:left="166" w:right="138" w:hanging="15"/>
              <w:jc w:val="both"/>
              <w:rPr>
                <w:sz w:val="16"/>
              </w:rPr>
            </w:pPr>
            <w:r>
              <w:rPr>
                <w:sz w:val="16"/>
              </w:rPr>
              <w:t>Stock change factor for management regime in current inventory year</w:t>
            </w:r>
          </w:p>
          <w:p>
            <w:pPr>
              <w:pStyle w:val="TableParagraph"/>
              <w:spacing w:before="10"/>
              <w:rPr>
                <w:sz w:val="15"/>
              </w:rPr>
            </w:pPr>
          </w:p>
          <w:p>
            <w:pPr>
              <w:pStyle w:val="TableParagraph"/>
              <w:ind w:left="131" w:right="120"/>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51"/>
              <w:ind w:left="12"/>
              <w:jc w:val="center"/>
              <w:rPr>
                <w:sz w:val="16"/>
              </w:rPr>
            </w:pPr>
            <w:r>
              <w:rPr>
                <w:w w:val="100"/>
                <w:sz w:val="16"/>
              </w:rPr>
              <w:t>I</w:t>
            </w:r>
          </w:p>
        </w:tc>
        <w:tc>
          <w:tcPr>
            <w:tcW w:w="1980" w:type="dxa"/>
            <w:vMerge w:val="restart"/>
            <w:shd w:val="clear" w:color="auto" w:fill="E4E4E4"/>
          </w:tcPr>
          <w:p>
            <w:pPr>
              <w:pStyle w:val="TableParagraph"/>
              <w:spacing w:before="23"/>
              <w:ind w:left="171" w:right="162" w:firstLine="2"/>
              <w:jc w:val="center"/>
              <w:rPr>
                <w:sz w:val="16"/>
              </w:rPr>
            </w:pPr>
            <w:r>
              <w:rPr>
                <w:sz w:val="16"/>
              </w:rPr>
              <w:t>Stock change factor for input of organic matter in current inventory year</w:t>
            </w:r>
          </w:p>
          <w:p>
            <w:pPr>
              <w:pStyle w:val="TableParagraph"/>
              <w:rPr>
                <w:sz w:val="18"/>
              </w:rPr>
            </w:pPr>
          </w:p>
          <w:p>
            <w:pPr>
              <w:pStyle w:val="TableParagraph"/>
              <w:spacing w:before="160"/>
              <w:ind w:left="146" w:right="138"/>
              <w:jc w:val="center"/>
              <w:rPr>
                <w:sz w:val="16"/>
              </w:rPr>
            </w:pPr>
            <w:r>
              <w:rPr>
                <w:sz w:val="16"/>
              </w:rPr>
              <w:t>(dimensionless)</w:t>
            </w:r>
          </w:p>
          <w:p>
            <w:pPr>
              <w:pStyle w:val="TableParagraph"/>
              <w:rPr>
                <w:sz w:val="18"/>
              </w:rPr>
            </w:pPr>
          </w:p>
          <w:p>
            <w:pPr>
              <w:pStyle w:val="TableParagraph"/>
              <w:spacing w:before="1"/>
              <w:rPr>
                <w:sz w:val="15"/>
              </w:rPr>
            </w:pPr>
          </w:p>
          <w:p>
            <w:pPr>
              <w:pStyle w:val="TableParagraph"/>
              <w:spacing w:line="168" w:lineRule="exact"/>
              <w:ind w:left="9"/>
              <w:jc w:val="center"/>
              <w:rPr>
                <w:sz w:val="16"/>
              </w:rPr>
            </w:pPr>
            <w:r>
              <w:rPr>
                <w:w w:val="100"/>
                <w:sz w:val="16"/>
              </w:rPr>
              <w:t>J</w:t>
            </w:r>
          </w:p>
        </w:tc>
        <w:tc>
          <w:tcPr>
            <w:tcW w:w="1800" w:type="dxa"/>
            <w:vMerge w:val="restart"/>
            <w:shd w:val="clear" w:color="auto" w:fill="E4E4E4"/>
          </w:tcPr>
          <w:p>
            <w:pPr>
              <w:pStyle w:val="TableParagraph"/>
              <w:spacing w:before="23"/>
              <w:ind w:left="130" w:right="120"/>
              <w:jc w:val="center"/>
              <w:rPr>
                <w:sz w:val="16"/>
              </w:rPr>
            </w:pPr>
            <w:r>
              <w:rPr>
                <w:sz w:val="16"/>
              </w:rPr>
              <w:t>Soil organic</w:t>
            </w:r>
            <w:r>
              <w:rPr>
                <w:spacing w:val="-10"/>
                <w:sz w:val="16"/>
              </w:rPr>
              <w:t> </w:t>
            </w:r>
            <w:r>
              <w:rPr>
                <w:sz w:val="16"/>
              </w:rPr>
              <w:t>carbon stock in current inventory</w:t>
            </w:r>
            <w:r>
              <w:rPr>
                <w:spacing w:val="-3"/>
                <w:sz w:val="16"/>
              </w:rPr>
              <w:t> </w:t>
            </w:r>
            <w:r>
              <w:rPr>
                <w:sz w:val="16"/>
              </w:rPr>
              <w:t>year</w:t>
            </w:r>
          </w:p>
          <w:p>
            <w:pPr>
              <w:pStyle w:val="TableParagraph"/>
              <w:spacing w:before="10"/>
              <w:rPr>
                <w:sz w:val="15"/>
              </w:rPr>
            </w:pPr>
          </w:p>
          <w:p>
            <w:pPr>
              <w:pStyle w:val="TableParagraph"/>
              <w:ind w:left="358" w:firstLine="67"/>
              <w:rPr>
                <w:sz w:val="16"/>
              </w:rPr>
            </w:pPr>
            <w:r>
              <w:rPr>
                <w:sz w:val="16"/>
              </w:rPr>
              <w:t>(tonnes C</w:t>
            </w:r>
            <w:r>
              <w:rPr>
                <w:spacing w:val="2"/>
                <w:sz w:val="16"/>
              </w:rPr>
              <w:t> </w:t>
            </w:r>
            <w:r>
              <w:rPr>
                <w:sz w:val="16"/>
              </w:rPr>
              <w:t>ha</w:t>
            </w:r>
            <w:r>
              <w:rPr>
                <w:sz w:val="16"/>
                <w:vertAlign w:val="superscript"/>
              </w:rPr>
              <w:t>-1</w:t>
            </w:r>
            <w:r>
              <w:rPr>
                <w:sz w:val="16"/>
                <w:vertAlign w:val="baseline"/>
              </w:rPr>
              <w:t>)</w:t>
            </w:r>
          </w:p>
          <w:p>
            <w:pPr>
              <w:pStyle w:val="TableParagraph"/>
              <w:spacing w:line="350" w:lineRule="atLeast" w:before="45"/>
              <w:ind w:left="358" w:right="344"/>
              <w:jc w:val="center"/>
              <w:rPr>
                <w:sz w:val="16"/>
              </w:rPr>
            </w:pPr>
            <w:r>
              <w:rPr>
                <w:sz w:val="16"/>
              </w:rPr>
              <w:t>K = C </w:t>
            </w:r>
            <w:r>
              <w:rPr>
                <w:rFonts w:ascii="Symbol" w:hAnsi="Symbol"/>
                <w:sz w:val="16"/>
              </w:rPr>
              <w:t>• </w:t>
            </w:r>
            <w:r>
              <w:rPr>
                <w:sz w:val="16"/>
              </w:rPr>
              <w:t>H </w:t>
            </w:r>
            <w:r>
              <w:rPr>
                <w:rFonts w:ascii="Symbol" w:hAnsi="Symbol"/>
                <w:sz w:val="16"/>
              </w:rPr>
              <w:t>• </w:t>
            </w:r>
            <w:r>
              <w:rPr>
                <w:sz w:val="16"/>
              </w:rPr>
              <w:t>I </w:t>
            </w:r>
            <w:r>
              <w:rPr>
                <w:rFonts w:ascii="Symbol" w:hAnsi="Symbol"/>
                <w:sz w:val="16"/>
              </w:rPr>
              <w:t>• </w:t>
            </w:r>
            <w:r>
              <w:rPr>
                <w:sz w:val="16"/>
              </w:rPr>
              <w:t>J K</w:t>
            </w:r>
          </w:p>
        </w:tc>
        <w:tc>
          <w:tcPr>
            <w:tcW w:w="2160" w:type="dxa"/>
            <w:vMerge w:val="restart"/>
            <w:shd w:val="clear" w:color="auto" w:fill="E4E4E4"/>
          </w:tcPr>
          <w:p>
            <w:pPr>
              <w:pStyle w:val="TableParagraph"/>
              <w:spacing w:before="23"/>
              <w:ind w:left="141" w:right="132"/>
              <w:jc w:val="center"/>
              <w:rPr>
                <w:sz w:val="16"/>
              </w:rPr>
            </w:pPr>
            <w:r>
              <w:rPr>
                <w:sz w:val="16"/>
              </w:rPr>
              <w:t>Annual change in carbon stocks in mineral soils</w:t>
            </w:r>
          </w:p>
          <w:p>
            <w:pPr>
              <w:pStyle w:val="TableParagraph"/>
              <w:rPr>
                <w:sz w:val="16"/>
              </w:rPr>
            </w:pPr>
          </w:p>
          <w:p>
            <w:pPr>
              <w:pStyle w:val="TableParagraph"/>
              <w:ind w:left="144" w:right="132"/>
              <w:jc w:val="center"/>
              <w:rPr>
                <w:sz w:val="16"/>
              </w:rPr>
            </w:pPr>
            <w:r>
              <w:rPr>
                <w:sz w:val="16"/>
              </w:rPr>
              <w:t>(tonnes C yr</w:t>
            </w:r>
            <w:r>
              <w:rPr>
                <w:sz w:val="16"/>
                <w:vertAlign w:val="superscript"/>
              </w:rPr>
              <w:t>-1</w:t>
            </w:r>
            <w:r>
              <w:rPr>
                <w:sz w:val="16"/>
                <w:vertAlign w:val="baseline"/>
              </w:rPr>
              <w:t>)</w:t>
            </w:r>
          </w:p>
          <w:p>
            <w:pPr>
              <w:pStyle w:val="TableParagraph"/>
              <w:rPr>
                <w:sz w:val="17"/>
              </w:rPr>
            </w:pPr>
          </w:p>
          <w:p>
            <w:pPr>
              <w:pStyle w:val="TableParagraph"/>
              <w:ind w:left="142" w:right="132"/>
              <w:jc w:val="center"/>
              <w:rPr>
                <w:sz w:val="16"/>
              </w:rPr>
            </w:pPr>
            <w:r>
              <w:rPr>
                <w:sz w:val="16"/>
              </w:rPr>
              <w:t>L = [(K-G) </w:t>
            </w:r>
            <w:r>
              <w:rPr>
                <w:rFonts w:ascii="Symbol" w:hAnsi="Symbol"/>
                <w:sz w:val="16"/>
              </w:rPr>
              <w:t>•</w:t>
            </w:r>
            <w:r>
              <w:rPr>
                <w:sz w:val="16"/>
              </w:rPr>
              <w:t>A] / B</w:t>
            </w:r>
          </w:p>
          <w:p>
            <w:pPr>
              <w:pStyle w:val="TableParagraph"/>
              <w:rPr>
                <w:sz w:val="20"/>
              </w:rPr>
            </w:pPr>
          </w:p>
          <w:p>
            <w:pPr>
              <w:pStyle w:val="TableParagraph"/>
              <w:spacing w:line="168" w:lineRule="exact" w:before="125"/>
              <w:ind w:left="13"/>
              <w:jc w:val="center"/>
              <w:rPr>
                <w:sz w:val="16"/>
              </w:rPr>
            </w:pPr>
            <w:r>
              <w:rPr>
                <w:w w:val="100"/>
                <w:sz w:val="16"/>
              </w:rPr>
              <w:t>L</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1800" w:type="dxa"/>
            <w:vMerge/>
            <w:tcBorders>
              <w:top w:val="nil"/>
            </w:tcBorders>
            <w:shd w:val="clear" w:color="auto" w:fill="E4E4E4"/>
          </w:tcPr>
          <w:p>
            <w:pPr>
              <w:rPr>
                <w:sz w:val="2"/>
                <w:szCs w:val="2"/>
              </w:rPr>
            </w:pPr>
          </w:p>
        </w:tc>
        <w:tc>
          <w:tcPr>
            <w:tcW w:w="21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7" w:right="129"/>
              <w:jc w:val="center"/>
              <w:rPr>
                <w:b/>
                <w:sz w:val="10"/>
              </w:rPr>
            </w:pPr>
            <w:r>
              <w:rPr>
                <w:b/>
                <w:position w:val="2"/>
                <w:sz w:val="16"/>
              </w:rPr>
              <w:t>SOC</w:t>
            </w:r>
            <w:r>
              <w:rPr>
                <w:b/>
                <w:sz w:val="10"/>
              </w:rPr>
              <w:t>(0-T)</w:t>
            </w:r>
          </w:p>
        </w:tc>
        <w:tc>
          <w:tcPr>
            <w:tcW w:w="1980" w:type="dxa"/>
          </w:tcPr>
          <w:p>
            <w:pPr>
              <w:pStyle w:val="TableParagraph"/>
              <w:spacing w:before="53"/>
              <w:ind w:left="147" w:right="138"/>
              <w:jc w:val="center"/>
              <w:rPr>
                <w:b/>
                <w:sz w:val="10"/>
              </w:rPr>
            </w:pPr>
            <w:r>
              <w:rPr>
                <w:b/>
                <w:position w:val="2"/>
                <w:sz w:val="16"/>
              </w:rPr>
              <w:t>F</w:t>
            </w:r>
            <w:r>
              <w:rPr>
                <w:b/>
                <w:sz w:val="10"/>
              </w:rPr>
              <w:t>LU(0)</w:t>
            </w:r>
          </w:p>
        </w:tc>
        <w:tc>
          <w:tcPr>
            <w:tcW w:w="1800" w:type="dxa"/>
          </w:tcPr>
          <w:p>
            <w:pPr>
              <w:pStyle w:val="TableParagraph"/>
              <w:spacing w:before="53"/>
              <w:ind w:left="131" w:right="120"/>
              <w:jc w:val="center"/>
              <w:rPr>
                <w:b/>
                <w:sz w:val="10"/>
              </w:rPr>
            </w:pPr>
            <w:r>
              <w:rPr>
                <w:b/>
                <w:position w:val="2"/>
                <w:sz w:val="16"/>
              </w:rPr>
              <w:t>F</w:t>
            </w:r>
            <w:r>
              <w:rPr>
                <w:b/>
                <w:sz w:val="10"/>
              </w:rPr>
              <w:t>MG(0)</w:t>
            </w:r>
          </w:p>
        </w:tc>
        <w:tc>
          <w:tcPr>
            <w:tcW w:w="1980" w:type="dxa"/>
          </w:tcPr>
          <w:p>
            <w:pPr>
              <w:pStyle w:val="TableParagraph"/>
              <w:spacing w:before="53"/>
              <w:ind w:left="147" w:right="138"/>
              <w:jc w:val="center"/>
              <w:rPr>
                <w:b/>
                <w:sz w:val="10"/>
              </w:rPr>
            </w:pPr>
            <w:r>
              <w:rPr>
                <w:b/>
                <w:position w:val="2"/>
                <w:sz w:val="16"/>
              </w:rPr>
              <w:t>F</w:t>
            </w:r>
            <w:r>
              <w:rPr>
                <w:b/>
                <w:sz w:val="10"/>
              </w:rPr>
              <w:t>I(0)</w:t>
            </w:r>
          </w:p>
        </w:tc>
        <w:tc>
          <w:tcPr>
            <w:tcW w:w="1800" w:type="dxa"/>
          </w:tcPr>
          <w:p>
            <w:pPr>
              <w:pStyle w:val="TableParagraph"/>
              <w:spacing w:before="53"/>
              <w:ind w:left="131" w:right="120"/>
              <w:jc w:val="center"/>
              <w:rPr>
                <w:b/>
                <w:sz w:val="10"/>
              </w:rPr>
            </w:pPr>
            <w:r>
              <w:rPr>
                <w:b/>
                <w:position w:val="2"/>
                <w:sz w:val="16"/>
              </w:rPr>
              <w:t>SOC</w:t>
            </w:r>
            <w:r>
              <w:rPr>
                <w:b/>
                <w:sz w:val="10"/>
              </w:rPr>
              <w:t>0</w:t>
            </w:r>
          </w:p>
        </w:tc>
        <w:tc>
          <w:tcPr>
            <w:tcW w:w="2160" w:type="dxa"/>
            <w:shd w:val="clear" w:color="auto" w:fill="D5D5D5"/>
          </w:tcPr>
          <w:p>
            <w:pPr>
              <w:pStyle w:val="TableParagraph"/>
              <w:tabs>
                <w:tab w:pos="1481" w:val="right" w:leader="none"/>
              </w:tabs>
              <w:spacing w:line="177" w:lineRule="exact" w:before="11"/>
              <w:ind w:left="677"/>
              <w:rPr>
                <w:b/>
                <w:sz w:val="10"/>
              </w:rPr>
            </w:pPr>
            <w:r>
              <w:rPr>
                <w:b/>
                <w:position w:val="2"/>
                <w:sz w:val="16"/>
              </w:rPr>
              <w:t>∆C</w:t>
            </w:r>
            <w:r>
              <w:rPr>
                <w:b/>
                <w:sz w:val="10"/>
              </w:rPr>
              <w:t>LG</w:t>
              <w:tab/>
            </w:r>
            <w:r>
              <w:rPr>
                <w:b/>
                <w:position w:val="9"/>
                <w:sz w:val="10"/>
              </w:rPr>
              <w:t>1</w:t>
            </w:r>
          </w:p>
          <w:p>
            <w:pPr>
              <w:pStyle w:val="TableParagraph"/>
              <w:spacing w:line="87" w:lineRule="exact"/>
              <w:ind w:left="399" w:right="132"/>
              <w:jc w:val="center"/>
              <w:rPr>
                <w:b/>
                <w:sz w:val="10"/>
              </w:rPr>
            </w:pPr>
            <w:r>
              <w:rPr>
                <w:b/>
                <w:sz w:val="10"/>
              </w:rPr>
              <w:t>Mineral</w:t>
            </w: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424"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GL</w:t>
            </w:r>
          </w:p>
        </w:tc>
        <w:tc>
          <w:tcPr>
            <w:tcW w:w="1027" w:type="dxa"/>
          </w:tcPr>
          <w:p>
            <w:pPr>
              <w:pStyle w:val="TableParagraph"/>
              <w:spacing w:before="114"/>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1980" w:type="dxa"/>
          </w:tcPr>
          <w:p>
            <w:pPr>
              <w:pStyle w:val="TableParagraph"/>
              <w:rPr>
                <w:sz w:val="16"/>
              </w:rPr>
            </w:pPr>
          </w:p>
        </w:tc>
        <w:tc>
          <w:tcPr>
            <w:tcW w:w="1800" w:type="dxa"/>
          </w:tcPr>
          <w:p>
            <w:pPr>
              <w:pStyle w:val="TableParagraph"/>
              <w:rPr>
                <w:sz w:val="16"/>
              </w:rPr>
            </w:pPr>
          </w:p>
        </w:tc>
        <w:tc>
          <w:tcPr>
            <w:tcW w:w="2160" w:type="dxa"/>
          </w:tcPr>
          <w:p>
            <w:pPr>
              <w:pStyle w:val="TableParagraph"/>
              <w:rPr>
                <w:sz w:val="16"/>
              </w:rPr>
            </w:pPr>
          </w:p>
        </w:tc>
      </w:tr>
      <w:tr>
        <w:trPr>
          <w:trHeight w:val="496" w:hRule="atLeast"/>
        </w:trPr>
        <w:tc>
          <w:tcPr>
            <w:tcW w:w="14687" w:type="dxa"/>
            <w:gridSpan w:val="9"/>
          </w:tcPr>
          <w:p>
            <w:pPr>
              <w:pStyle w:val="TableParagraph"/>
              <w:spacing w:before="50"/>
              <w:ind w:left="184" w:hanging="77"/>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4118"/>
        <w:gridCol w:w="4164"/>
        <w:gridCol w:w="36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928" w:type="dxa"/>
            <w:gridSpan w:val="4"/>
          </w:tcPr>
          <w:p>
            <w:pPr>
              <w:pStyle w:val="TableParagraph"/>
              <w:spacing w:before="26"/>
              <w:ind w:left="108"/>
              <w:rPr>
                <w:b/>
                <w:sz w:val="20"/>
              </w:rPr>
            </w:pPr>
            <w:r>
              <w:rPr>
                <w:b/>
                <w:sz w:val="20"/>
              </w:rPr>
              <w:t>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928" w:type="dxa"/>
            <w:gridSpan w:val="4"/>
          </w:tcPr>
          <w:p>
            <w:pPr>
              <w:pStyle w:val="TableParagraph"/>
              <w:spacing w:before="26"/>
              <w:ind w:left="108"/>
              <w:rPr>
                <w:b/>
                <w:sz w:val="20"/>
              </w:rPr>
            </w:pPr>
            <w:r>
              <w:rPr>
                <w:b/>
                <w:sz w:val="20"/>
              </w:rPr>
              <w:t>Land Converted to 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928" w:type="dxa"/>
            <w:gridSpan w:val="4"/>
          </w:tcPr>
          <w:p>
            <w:pPr>
              <w:pStyle w:val="TableParagraph"/>
              <w:spacing w:before="26"/>
              <w:ind w:left="108"/>
              <w:rPr>
                <w:b/>
                <w:sz w:val="20"/>
              </w:rPr>
            </w:pPr>
            <w:r>
              <w:rPr>
                <w:b/>
                <w:sz w:val="20"/>
              </w:rPr>
              <w:t>GL-2c2: Annual change in carbon stocks in cultivated organic soils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928" w:type="dxa"/>
            <w:gridSpan w:val="4"/>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4118" w:type="dxa"/>
            <w:vMerge w:val="restart"/>
            <w:shd w:val="clear" w:color="auto" w:fill="E4E4E4"/>
          </w:tcPr>
          <w:p>
            <w:pPr>
              <w:pStyle w:val="TableParagraph"/>
              <w:spacing w:before="23"/>
              <w:ind w:left="110" w:right="97"/>
              <w:jc w:val="center"/>
              <w:rPr>
                <w:sz w:val="16"/>
              </w:rPr>
            </w:pPr>
            <w:r>
              <w:rPr>
                <w:sz w:val="16"/>
              </w:rPr>
              <w:t>Land area of organic soils in climate type c which are converted to grassland</w:t>
            </w:r>
          </w:p>
          <w:p>
            <w:pPr>
              <w:pStyle w:val="TableParagraph"/>
              <w:rPr>
                <w:sz w:val="16"/>
              </w:rPr>
            </w:pPr>
          </w:p>
          <w:p>
            <w:pPr>
              <w:pStyle w:val="TableParagraph"/>
              <w:ind w:left="926" w:right="915"/>
              <w:jc w:val="center"/>
              <w:rPr>
                <w:sz w:val="16"/>
              </w:rPr>
            </w:pPr>
            <w:r>
              <w:rPr>
                <w:sz w:val="16"/>
              </w:rPr>
              <w:t>(ha)</w:t>
            </w:r>
          </w:p>
          <w:p>
            <w:pPr>
              <w:pStyle w:val="TableParagraph"/>
              <w:rPr>
                <w:sz w:val="18"/>
              </w:rPr>
            </w:pPr>
          </w:p>
          <w:p>
            <w:pPr>
              <w:pStyle w:val="TableParagraph"/>
              <w:spacing w:before="1"/>
              <w:rPr>
                <w:sz w:val="17"/>
              </w:rPr>
            </w:pPr>
          </w:p>
          <w:p>
            <w:pPr>
              <w:pStyle w:val="TableParagraph"/>
              <w:spacing w:line="170" w:lineRule="exact" w:before="1"/>
              <w:ind w:left="12"/>
              <w:jc w:val="center"/>
              <w:rPr>
                <w:sz w:val="16"/>
              </w:rPr>
            </w:pPr>
            <w:r>
              <w:rPr>
                <w:w w:val="100"/>
                <w:sz w:val="16"/>
              </w:rPr>
              <w:t>A</w:t>
            </w:r>
          </w:p>
        </w:tc>
        <w:tc>
          <w:tcPr>
            <w:tcW w:w="4164" w:type="dxa"/>
            <w:vMerge w:val="restart"/>
            <w:shd w:val="clear" w:color="auto" w:fill="E4E4E4"/>
          </w:tcPr>
          <w:p>
            <w:pPr>
              <w:pStyle w:val="TableParagraph"/>
              <w:spacing w:line="480" w:lineRule="auto" w:before="23"/>
              <w:ind w:left="870" w:right="859"/>
              <w:jc w:val="center"/>
              <w:rPr>
                <w:sz w:val="16"/>
              </w:rPr>
            </w:pPr>
            <w:r>
              <w:rPr>
                <w:sz w:val="16"/>
              </w:rPr>
              <w:t>Emission factor for climate type c (tonnes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spacing w:before="1"/>
              <w:rPr>
                <w:sz w:val="17"/>
              </w:rPr>
            </w:pPr>
          </w:p>
          <w:p>
            <w:pPr>
              <w:pStyle w:val="TableParagraph"/>
              <w:spacing w:line="170" w:lineRule="exact" w:before="1"/>
              <w:ind w:left="10"/>
              <w:jc w:val="center"/>
              <w:rPr>
                <w:sz w:val="16"/>
              </w:rPr>
            </w:pPr>
            <w:r>
              <w:rPr>
                <w:w w:val="100"/>
                <w:sz w:val="16"/>
              </w:rPr>
              <w:t>B</w:t>
            </w:r>
          </w:p>
        </w:tc>
        <w:tc>
          <w:tcPr>
            <w:tcW w:w="3619" w:type="dxa"/>
            <w:vMerge w:val="restart"/>
            <w:shd w:val="clear" w:color="auto" w:fill="E4E4E4"/>
          </w:tcPr>
          <w:p>
            <w:pPr>
              <w:pStyle w:val="TableParagraph"/>
              <w:spacing w:line="470" w:lineRule="auto" w:before="22"/>
              <w:ind w:left="274" w:right="260"/>
              <w:jc w:val="center"/>
              <w:rPr>
                <w:sz w:val="16"/>
              </w:rPr>
            </w:pPr>
            <w:r>
              <w:rPr>
                <w:position w:val="2"/>
                <w:sz w:val="16"/>
              </w:rPr>
              <w:t>CO</w:t>
            </w:r>
            <w:r>
              <w:rPr>
                <w:sz w:val="10"/>
              </w:rPr>
              <w:t>2 </w:t>
            </w:r>
            <w:r>
              <w:rPr>
                <w:position w:val="2"/>
                <w:sz w:val="16"/>
              </w:rPr>
              <w:t>emissions from cultivated organic soils </w:t>
            </w:r>
            <w:r>
              <w:rPr>
                <w:sz w:val="16"/>
              </w:rPr>
              <w:t>(tonnes C yr</w:t>
            </w:r>
            <w:r>
              <w:rPr>
                <w:sz w:val="16"/>
                <w:vertAlign w:val="superscript"/>
              </w:rPr>
              <w:t>-1</w:t>
            </w:r>
            <w:r>
              <w:rPr>
                <w:sz w:val="16"/>
                <w:vertAlign w:val="baseline"/>
              </w:rPr>
              <w:t>)</w:t>
            </w:r>
          </w:p>
          <w:p>
            <w:pPr>
              <w:pStyle w:val="TableParagraph"/>
              <w:spacing w:before="19"/>
              <w:ind w:left="269" w:right="261"/>
              <w:jc w:val="center"/>
              <w:rPr>
                <w:sz w:val="16"/>
              </w:rPr>
            </w:pPr>
            <w:r>
              <w:rPr>
                <w:sz w:val="16"/>
              </w:rPr>
              <w:t>C = A </w:t>
            </w:r>
            <w:r>
              <w:rPr>
                <w:rFonts w:ascii="Symbol" w:hAnsi="Symbol"/>
                <w:sz w:val="16"/>
              </w:rPr>
              <w:t>• </w:t>
            </w:r>
            <w:r>
              <w:rPr>
                <w:sz w:val="16"/>
              </w:rPr>
              <w:t>B</w:t>
            </w:r>
          </w:p>
          <w:p>
            <w:pPr>
              <w:pStyle w:val="TableParagraph"/>
              <w:spacing w:before="1"/>
              <w:rPr>
                <w:sz w:val="17"/>
              </w:rPr>
            </w:pPr>
          </w:p>
          <w:p>
            <w:pPr>
              <w:pStyle w:val="TableParagraph"/>
              <w:spacing w:line="170" w:lineRule="exact"/>
              <w:ind w:left="8"/>
              <w:jc w:val="center"/>
              <w:rPr>
                <w:sz w:val="16"/>
              </w:rPr>
            </w:pPr>
            <w:r>
              <w:rPr>
                <w:w w:val="100"/>
                <w:sz w:val="16"/>
              </w:rPr>
              <w:t>C</w:t>
            </w:r>
          </w:p>
        </w:tc>
      </w:tr>
      <w:tr>
        <w:trPr>
          <w:trHeight w:val="947"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4118" w:type="dxa"/>
            <w:vMerge/>
            <w:tcBorders>
              <w:top w:val="nil"/>
            </w:tcBorders>
            <w:shd w:val="clear" w:color="auto" w:fill="E4E4E4"/>
          </w:tcPr>
          <w:p>
            <w:pPr>
              <w:rPr>
                <w:sz w:val="2"/>
                <w:szCs w:val="2"/>
              </w:rPr>
            </w:pPr>
          </w:p>
        </w:tc>
        <w:tc>
          <w:tcPr>
            <w:tcW w:w="4164" w:type="dxa"/>
            <w:vMerge/>
            <w:tcBorders>
              <w:top w:val="nil"/>
            </w:tcBorders>
            <w:shd w:val="clear" w:color="auto" w:fill="E4E4E4"/>
          </w:tcPr>
          <w:p>
            <w:pPr>
              <w:rPr>
                <w:sz w:val="2"/>
                <w:szCs w:val="2"/>
              </w:rPr>
            </w:pPr>
          </w:p>
        </w:tc>
        <w:tc>
          <w:tcPr>
            <w:tcW w:w="3619"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4118" w:type="dxa"/>
          </w:tcPr>
          <w:p>
            <w:pPr>
              <w:pStyle w:val="TableParagraph"/>
              <w:spacing w:before="54"/>
              <w:ind w:left="12"/>
              <w:jc w:val="center"/>
              <w:rPr>
                <w:b/>
                <w:sz w:val="16"/>
              </w:rPr>
            </w:pPr>
            <w:r>
              <w:rPr>
                <w:b/>
                <w:w w:val="100"/>
                <w:sz w:val="16"/>
              </w:rPr>
              <w:t>A</w:t>
            </w:r>
          </w:p>
        </w:tc>
        <w:tc>
          <w:tcPr>
            <w:tcW w:w="4164" w:type="dxa"/>
          </w:tcPr>
          <w:p>
            <w:pPr>
              <w:pStyle w:val="TableParagraph"/>
              <w:spacing w:before="54"/>
              <w:ind w:left="122" w:right="114"/>
              <w:jc w:val="center"/>
              <w:rPr>
                <w:b/>
                <w:sz w:val="16"/>
              </w:rPr>
            </w:pPr>
            <w:r>
              <w:rPr>
                <w:b/>
                <w:sz w:val="16"/>
              </w:rPr>
              <w:t>EF</w:t>
            </w:r>
          </w:p>
        </w:tc>
        <w:tc>
          <w:tcPr>
            <w:tcW w:w="3619" w:type="dxa"/>
            <w:shd w:val="clear" w:color="auto" w:fill="D5D5D5"/>
          </w:tcPr>
          <w:p>
            <w:pPr>
              <w:pStyle w:val="TableParagraph"/>
              <w:tabs>
                <w:tab w:pos="861" w:val="right" w:leader="none"/>
              </w:tabs>
              <w:spacing w:line="177" w:lineRule="exact" w:before="11"/>
              <w:ind w:left="11"/>
              <w:jc w:val="center"/>
              <w:rPr>
                <w:b/>
                <w:sz w:val="10"/>
              </w:rPr>
            </w:pPr>
            <w:r>
              <w:rPr>
                <w:b/>
                <w:position w:val="2"/>
                <w:sz w:val="16"/>
              </w:rPr>
              <w:t>∆C</w:t>
            </w:r>
            <w:r>
              <w:rPr>
                <w:b/>
                <w:spacing w:val="-1"/>
                <w:position w:val="2"/>
                <w:sz w:val="16"/>
              </w:rPr>
              <w:t> </w:t>
            </w:r>
            <w:r>
              <w:rPr>
                <w:b/>
                <w:sz w:val="10"/>
              </w:rPr>
              <w:t>LG</w:t>
              <w:tab/>
            </w:r>
            <w:r>
              <w:rPr>
                <w:b/>
                <w:position w:val="9"/>
                <w:sz w:val="10"/>
              </w:rPr>
              <w:t>1</w:t>
            </w:r>
          </w:p>
          <w:p>
            <w:pPr>
              <w:pStyle w:val="TableParagraph"/>
              <w:spacing w:line="87" w:lineRule="exact"/>
              <w:ind w:left="571" w:right="261"/>
              <w:jc w:val="center"/>
              <w:rPr>
                <w:b/>
                <w:sz w:val="10"/>
              </w:rPr>
            </w:pPr>
            <w:r>
              <w:rPr>
                <w:b/>
                <w:sz w:val="10"/>
              </w:rPr>
              <w:t>Organic</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422"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GL</w:t>
            </w:r>
          </w:p>
        </w:tc>
        <w:tc>
          <w:tcPr>
            <w:tcW w:w="1027" w:type="dxa"/>
          </w:tcPr>
          <w:p>
            <w:pPr>
              <w:pStyle w:val="TableParagraph"/>
              <w:spacing w:before="114"/>
              <w:ind w:left="108"/>
              <w:rPr>
                <w:sz w:val="16"/>
              </w:rPr>
            </w:pPr>
            <w:r>
              <w:rPr>
                <w:sz w:val="16"/>
              </w:rPr>
              <w:t>(a)</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4118" w:type="dxa"/>
          </w:tcPr>
          <w:p>
            <w:pPr>
              <w:pStyle w:val="TableParagraph"/>
              <w:rPr>
                <w:sz w:val="16"/>
              </w:rPr>
            </w:pPr>
          </w:p>
        </w:tc>
        <w:tc>
          <w:tcPr>
            <w:tcW w:w="4164" w:type="dxa"/>
          </w:tcPr>
          <w:p>
            <w:pPr>
              <w:pStyle w:val="TableParagraph"/>
              <w:rPr>
                <w:sz w:val="16"/>
              </w:rPr>
            </w:pPr>
          </w:p>
        </w:tc>
        <w:tc>
          <w:tcPr>
            <w:tcW w:w="3619" w:type="dxa"/>
          </w:tcPr>
          <w:p>
            <w:pPr>
              <w:pStyle w:val="TableParagraph"/>
              <w:rPr>
                <w:sz w:val="16"/>
              </w:rPr>
            </w:pPr>
          </w:p>
        </w:tc>
      </w:tr>
      <w:tr>
        <w:trPr>
          <w:trHeight w:val="496" w:hRule="atLeast"/>
        </w:trPr>
        <w:tc>
          <w:tcPr>
            <w:tcW w:w="14802" w:type="dxa"/>
            <w:gridSpan w:val="6"/>
          </w:tcPr>
          <w:p>
            <w:pPr>
              <w:pStyle w:val="TableParagraph"/>
              <w:spacing w:before="50"/>
              <w:ind w:left="184" w:hanging="77"/>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455"/>
        <w:gridCol w:w="3077"/>
        <w:gridCol w:w="3077"/>
        <w:gridCol w:w="3077"/>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13" w:type="dxa"/>
            <w:gridSpan w:val="5"/>
          </w:tcPr>
          <w:p>
            <w:pPr>
              <w:pStyle w:val="TableParagraph"/>
              <w:spacing w:before="26"/>
              <w:ind w:left="108"/>
              <w:rPr>
                <w:b/>
                <w:sz w:val="20"/>
              </w:rPr>
            </w:pPr>
            <w:r>
              <w:rPr>
                <w:b/>
                <w:sz w:val="20"/>
              </w:rPr>
              <w:t>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13" w:type="dxa"/>
            <w:gridSpan w:val="5"/>
          </w:tcPr>
          <w:p>
            <w:pPr>
              <w:pStyle w:val="TableParagraph"/>
              <w:spacing w:before="26"/>
              <w:ind w:left="108"/>
              <w:rPr>
                <w:b/>
                <w:sz w:val="20"/>
              </w:rPr>
            </w:pPr>
            <w:r>
              <w:rPr>
                <w:b/>
                <w:sz w:val="20"/>
              </w:rPr>
              <w:t>Land Converted to 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13" w:type="dxa"/>
            <w:gridSpan w:val="5"/>
          </w:tcPr>
          <w:p>
            <w:pPr>
              <w:pStyle w:val="TableParagraph"/>
              <w:spacing w:before="26"/>
              <w:ind w:left="108"/>
              <w:rPr>
                <w:b/>
                <w:sz w:val="20"/>
              </w:rPr>
            </w:pPr>
            <w:r>
              <w:rPr>
                <w:b/>
                <w:sz w:val="20"/>
              </w:rPr>
              <w:t>GL-2c3: Annual carbon emissions from agricultural lime application</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13" w:type="dxa"/>
            <w:gridSpan w:val="5"/>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455" w:type="dxa"/>
            <w:vMerge w:val="restart"/>
            <w:shd w:val="clear" w:color="auto" w:fill="E4E4E4"/>
          </w:tcPr>
          <w:p>
            <w:pPr>
              <w:pStyle w:val="TableParagraph"/>
              <w:spacing w:before="23"/>
              <w:ind w:left="795" w:right="782"/>
              <w:jc w:val="center"/>
              <w:rPr>
                <w:sz w:val="16"/>
              </w:rPr>
            </w:pPr>
            <w:r>
              <w:rPr>
                <w:sz w:val="16"/>
              </w:rPr>
              <w:t>Type of lime</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line="170" w:lineRule="exact" w:before="128"/>
              <w:ind w:left="14"/>
              <w:jc w:val="center"/>
              <w:rPr>
                <w:sz w:val="16"/>
              </w:rPr>
            </w:pPr>
            <w:r>
              <w:rPr>
                <w:w w:val="100"/>
                <w:sz w:val="16"/>
              </w:rPr>
              <w:t>A</w:t>
            </w:r>
          </w:p>
        </w:tc>
        <w:tc>
          <w:tcPr>
            <w:tcW w:w="3077" w:type="dxa"/>
            <w:vMerge w:val="restart"/>
            <w:shd w:val="clear" w:color="auto" w:fill="E4E4E4"/>
          </w:tcPr>
          <w:p>
            <w:pPr>
              <w:pStyle w:val="TableParagraph"/>
              <w:spacing w:line="480" w:lineRule="auto" w:before="23"/>
              <w:ind w:left="161" w:right="151"/>
              <w:jc w:val="center"/>
              <w:rPr>
                <w:sz w:val="16"/>
              </w:rPr>
            </w:pPr>
            <w:r>
              <w:rPr>
                <w:sz w:val="16"/>
              </w:rPr>
              <w:t>Total annual amount of lime applied (tonnes lime yr</w:t>
            </w:r>
            <w:r>
              <w:rPr>
                <w:sz w:val="16"/>
                <w:vertAlign w:val="superscript"/>
              </w:rPr>
              <w:t>-1</w:t>
            </w:r>
            <w:r>
              <w:rPr>
                <w:sz w:val="16"/>
                <w:vertAlign w:val="baseline"/>
              </w:rPr>
              <w:t>)</w:t>
            </w:r>
          </w:p>
          <w:p>
            <w:pPr>
              <w:pStyle w:val="TableParagraph"/>
              <w:rPr>
                <w:sz w:val="18"/>
              </w:rPr>
            </w:pPr>
          </w:p>
          <w:p>
            <w:pPr>
              <w:pStyle w:val="TableParagraph"/>
              <w:spacing w:before="1"/>
              <w:rPr>
                <w:sz w:val="17"/>
              </w:rPr>
            </w:pPr>
          </w:p>
          <w:p>
            <w:pPr>
              <w:pStyle w:val="TableParagraph"/>
              <w:spacing w:line="170" w:lineRule="exact" w:before="1"/>
              <w:ind w:left="7"/>
              <w:jc w:val="center"/>
              <w:rPr>
                <w:sz w:val="16"/>
              </w:rPr>
            </w:pPr>
            <w:r>
              <w:rPr>
                <w:w w:val="100"/>
                <w:sz w:val="16"/>
              </w:rPr>
              <w:t>B</w:t>
            </w:r>
          </w:p>
        </w:tc>
        <w:tc>
          <w:tcPr>
            <w:tcW w:w="3077" w:type="dxa"/>
            <w:vMerge w:val="restart"/>
            <w:shd w:val="clear" w:color="auto" w:fill="E4E4E4"/>
          </w:tcPr>
          <w:p>
            <w:pPr>
              <w:pStyle w:val="TableParagraph"/>
              <w:spacing w:before="23"/>
              <w:ind w:left="1015"/>
              <w:rPr>
                <w:sz w:val="16"/>
              </w:rPr>
            </w:pPr>
            <w:r>
              <w:rPr>
                <w:sz w:val="16"/>
              </w:rPr>
              <w:t>Emission Factor</w:t>
            </w:r>
          </w:p>
          <w:p>
            <w:pPr>
              <w:pStyle w:val="TableParagraph"/>
              <w:spacing w:line="480" w:lineRule="auto" w:before="1"/>
              <w:ind w:left="121" w:right="109"/>
              <w:jc w:val="center"/>
              <w:rPr>
                <w:sz w:val="16"/>
              </w:rPr>
            </w:pPr>
            <w:r>
              <w:rPr>
                <w:sz w:val="16"/>
              </w:rPr>
              <w:t>(carbonate carbon contents of the materials) (tonnes C/tonnes lime)</w:t>
            </w:r>
          </w:p>
          <w:p>
            <w:pPr>
              <w:pStyle w:val="TableParagraph"/>
              <w:rPr>
                <w:sz w:val="19"/>
              </w:rPr>
            </w:pPr>
          </w:p>
          <w:p>
            <w:pPr>
              <w:pStyle w:val="TableParagraph"/>
              <w:spacing w:line="170" w:lineRule="exact" w:before="1"/>
              <w:ind w:left="7"/>
              <w:jc w:val="center"/>
              <w:rPr>
                <w:sz w:val="16"/>
              </w:rPr>
            </w:pPr>
            <w:r>
              <w:rPr>
                <w:w w:val="100"/>
                <w:sz w:val="16"/>
              </w:rPr>
              <w:t>C</w:t>
            </w:r>
          </w:p>
        </w:tc>
        <w:tc>
          <w:tcPr>
            <w:tcW w:w="3077" w:type="dxa"/>
            <w:vMerge w:val="restart"/>
            <w:shd w:val="clear" w:color="auto" w:fill="E4E4E4"/>
          </w:tcPr>
          <w:p>
            <w:pPr>
              <w:pStyle w:val="TableParagraph"/>
              <w:spacing w:before="23"/>
              <w:ind w:left="163" w:right="151"/>
              <w:jc w:val="center"/>
              <w:rPr>
                <w:sz w:val="16"/>
              </w:rPr>
            </w:pPr>
            <w:r>
              <w:rPr>
                <w:sz w:val="16"/>
              </w:rPr>
              <w:t>Annual carbon emissions from agricultural lime application</w:t>
            </w:r>
          </w:p>
          <w:p>
            <w:pPr>
              <w:pStyle w:val="TableParagraph"/>
              <w:spacing w:line="494" w:lineRule="auto"/>
              <w:ind w:left="1054" w:right="1041"/>
              <w:jc w:val="center"/>
              <w:rPr>
                <w:sz w:val="16"/>
              </w:rPr>
            </w:pPr>
            <w:r>
              <w:rPr>
                <w:sz w:val="16"/>
              </w:rPr>
              <w:t>(tonnes C yr</w:t>
            </w:r>
            <w:r>
              <w:rPr>
                <w:sz w:val="16"/>
                <w:vertAlign w:val="superscript"/>
              </w:rPr>
              <w:t>-1</w:t>
            </w:r>
            <w:r>
              <w:rPr>
                <w:sz w:val="16"/>
                <w:vertAlign w:val="baseline"/>
              </w:rPr>
              <w:t>) D = B </w:t>
            </w:r>
            <w:r>
              <w:rPr>
                <w:rFonts w:ascii="Symbol" w:hAnsi="Symbol"/>
                <w:sz w:val="16"/>
                <w:vertAlign w:val="baseline"/>
              </w:rPr>
              <w:t>• </w:t>
            </w:r>
            <w:r>
              <w:rPr>
                <w:sz w:val="16"/>
                <w:vertAlign w:val="baseline"/>
              </w:rPr>
              <w:t>C</w:t>
            </w:r>
          </w:p>
          <w:p>
            <w:pPr>
              <w:pStyle w:val="TableParagraph"/>
              <w:spacing w:line="170" w:lineRule="exact" w:before="1"/>
              <w:ind w:left="11"/>
              <w:jc w:val="center"/>
              <w:rPr>
                <w:sz w:val="16"/>
              </w:rPr>
            </w:pPr>
            <w:r>
              <w:rPr>
                <w:w w:val="100"/>
                <w:sz w:val="16"/>
              </w:rPr>
              <w:t>D</w:t>
            </w:r>
          </w:p>
        </w:tc>
      </w:tr>
      <w:tr>
        <w:trPr>
          <w:trHeight w:val="947"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455"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455" w:type="dxa"/>
          </w:tcPr>
          <w:p>
            <w:pPr>
              <w:pStyle w:val="TableParagraph"/>
              <w:spacing w:before="54"/>
              <w:ind w:left="791" w:right="782"/>
              <w:jc w:val="center"/>
              <w:rPr>
                <w:b/>
                <w:sz w:val="16"/>
              </w:rPr>
            </w:pPr>
            <w:r>
              <w:rPr>
                <w:b/>
                <w:sz w:val="16"/>
              </w:rPr>
              <w:t>type</w:t>
            </w:r>
          </w:p>
        </w:tc>
        <w:tc>
          <w:tcPr>
            <w:tcW w:w="3077" w:type="dxa"/>
          </w:tcPr>
          <w:p>
            <w:pPr>
              <w:pStyle w:val="TableParagraph"/>
              <w:spacing w:before="54"/>
              <w:ind w:left="159" w:right="151"/>
              <w:jc w:val="center"/>
              <w:rPr>
                <w:b/>
                <w:sz w:val="16"/>
              </w:rPr>
            </w:pPr>
            <w:r>
              <w:rPr>
                <w:b/>
                <w:sz w:val="16"/>
              </w:rPr>
              <w:t>Amount</w:t>
            </w:r>
          </w:p>
        </w:tc>
        <w:tc>
          <w:tcPr>
            <w:tcW w:w="3077" w:type="dxa"/>
          </w:tcPr>
          <w:p>
            <w:pPr>
              <w:pStyle w:val="TableParagraph"/>
              <w:spacing w:before="54"/>
              <w:ind w:left="161" w:right="151"/>
              <w:jc w:val="center"/>
              <w:rPr>
                <w:b/>
                <w:sz w:val="16"/>
              </w:rPr>
            </w:pPr>
            <w:r>
              <w:rPr>
                <w:b/>
                <w:sz w:val="16"/>
              </w:rPr>
              <w:t>EF</w:t>
            </w:r>
          </w:p>
        </w:tc>
        <w:tc>
          <w:tcPr>
            <w:tcW w:w="3077" w:type="dxa"/>
            <w:shd w:val="clear" w:color="auto" w:fill="D5D5D5"/>
          </w:tcPr>
          <w:p>
            <w:pPr>
              <w:pStyle w:val="TableParagraph"/>
              <w:tabs>
                <w:tab w:pos="821" w:val="right" w:leader="none"/>
              </w:tabs>
              <w:spacing w:line="177" w:lineRule="exact" w:before="11"/>
              <w:ind w:left="10"/>
              <w:jc w:val="center"/>
              <w:rPr>
                <w:b/>
                <w:sz w:val="10"/>
              </w:rPr>
            </w:pPr>
            <w:r>
              <w:rPr>
                <w:b/>
                <w:position w:val="2"/>
                <w:sz w:val="16"/>
              </w:rPr>
              <w:t>∆C</w:t>
            </w:r>
            <w:r>
              <w:rPr>
                <w:b/>
                <w:spacing w:val="-1"/>
                <w:position w:val="2"/>
                <w:sz w:val="16"/>
              </w:rPr>
              <w:t> </w:t>
            </w:r>
            <w:r>
              <w:rPr>
                <w:b/>
                <w:sz w:val="10"/>
              </w:rPr>
              <w:t>LG</w:t>
              <w:tab/>
            </w:r>
            <w:r>
              <w:rPr>
                <w:b/>
                <w:position w:val="9"/>
                <w:sz w:val="10"/>
              </w:rPr>
              <w:t>1</w:t>
            </w:r>
          </w:p>
          <w:p>
            <w:pPr>
              <w:pStyle w:val="TableParagraph"/>
              <w:spacing w:line="87" w:lineRule="exact"/>
              <w:ind w:left="461" w:right="151"/>
              <w:jc w:val="center"/>
              <w:rPr>
                <w:b/>
                <w:sz w:val="10"/>
              </w:rPr>
            </w:pPr>
            <w:r>
              <w:rPr>
                <w:b/>
                <w:sz w:val="10"/>
              </w:rPr>
              <w:t>Liming</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422" w:hRule="atLeast"/>
        </w:trPr>
        <w:tc>
          <w:tcPr>
            <w:tcW w:w="924" w:type="dxa"/>
          </w:tcPr>
          <w:p>
            <w:pPr>
              <w:pStyle w:val="TableParagraph"/>
              <w:spacing w:before="23"/>
              <w:ind w:left="107" w:right="190"/>
              <w:rPr>
                <w:sz w:val="16"/>
              </w:rPr>
            </w:pPr>
            <w:r>
              <w:rPr>
                <w:sz w:val="16"/>
              </w:rPr>
              <w:t>WL, SL, OL</w:t>
            </w:r>
          </w:p>
        </w:tc>
        <w:tc>
          <w:tcPr>
            <w:tcW w:w="950" w:type="dxa"/>
          </w:tcPr>
          <w:p>
            <w:pPr>
              <w:pStyle w:val="TableParagraph"/>
              <w:spacing w:before="114"/>
              <w:ind w:left="107"/>
              <w:rPr>
                <w:sz w:val="16"/>
              </w:rPr>
            </w:pPr>
            <w:r>
              <w:rPr>
                <w:sz w:val="16"/>
              </w:rPr>
              <w:t>GL</w:t>
            </w:r>
          </w:p>
        </w:tc>
        <w:tc>
          <w:tcPr>
            <w:tcW w:w="1027" w:type="dxa"/>
          </w:tcPr>
          <w:p>
            <w:pPr>
              <w:pStyle w:val="TableParagraph"/>
              <w:spacing w:before="114"/>
              <w:ind w:left="108"/>
              <w:rPr>
                <w:sz w:val="16"/>
              </w:rPr>
            </w:pPr>
            <w:r>
              <w:rPr>
                <w:sz w:val="16"/>
              </w:rPr>
              <w:t>(a)</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455"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c>
          <w:tcPr>
            <w:tcW w:w="3077" w:type="dxa"/>
          </w:tcPr>
          <w:p>
            <w:pPr>
              <w:pStyle w:val="TableParagraph"/>
              <w:rPr>
                <w:sz w:val="16"/>
              </w:rPr>
            </w:pPr>
          </w:p>
        </w:tc>
      </w:tr>
      <w:tr>
        <w:trPr>
          <w:trHeight w:val="496" w:hRule="atLeast"/>
        </w:trPr>
        <w:tc>
          <w:tcPr>
            <w:tcW w:w="14587" w:type="dxa"/>
            <w:gridSpan w:val="7"/>
          </w:tcPr>
          <w:p>
            <w:pPr>
              <w:pStyle w:val="TableParagraph"/>
              <w:spacing w:before="50"/>
              <w:ind w:left="184" w:hanging="77"/>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footerReference w:type="default" r:id="rId235"/>
          <w:footerReference w:type="even" r:id="rId236"/>
          <w:pgSz w:w="16840" w:h="11900" w:orient="landscape"/>
          <w:pgMar w:footer="1128" w:header="45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4"/>
        <w:gridCol w:w="801"/>
        <w:gridCol w:w="2896"/>
        <w:gridCol w:w="2896"/>
        <w:gridCol w:w="3618"/>
      </w:tblGrid>
      <w:tr>
        <w:trPr>
          <w:trHeight w:val="285" w:hRule="atLeast"/>
        </w:trPr>
        <w:tc>
          <w:tcPr>
            <w:tcW w:w="1874" w:type="dxa"/>
            <w:shd w:val="clear" w:color="auto" w:fill="BFBFBF"/>
          </w:tcPr>
          <w:p>
            <w:pPr>
              <w:pStyle w:val="TableParagraph"/>
              <w:spacing w:before="26"/>
              <w:ind w:left="107"/>
              <w:rPr>
                <w:b/>
                <w:sz w:val="20"/>
              </w:rPr>
            </w:pPr>
            <w:r>
              <w:rPr>
                <w:b/>
                <w:sz w:val="20"/>
              </w:rPr>
              <w:t>Module</w:t>
            </w:r>
          </w:p>
        </w:tc>
        <w:tc>
          <w:tcPr>
            <w:tcW w:w="10211" w:type="dxa"/>
            <w:gridSpan w:val="4"/>
          </w:tcPr>
          <w:p>
            <w:pPr>
              <w:pStyle w:val="TableParagraph"/>
              <w:spacing w:before="26"/>
              <w:ind w:left="108"/>
              <w:rPr>
                <w:b/>
                <w:sz w:val="20"/>
              </w:rPr>
            </w:pPr>
            <w:r>
              <w:rPr>
                <w:b/>
                <w:sz w:val="20"/>
              </w:rPr>
              <w:t>Grassland</w:t>
            </w:r>
          </w:p>
        </w:tc>
      </w:tr>
      <w:tr>
        <w:trPr>
          <w:trHeight w:val="287" w:hRule="atLeast"/>
        </w:trPr>
        <w:tc>
          <w:tcPr>
            <w:tcW w:w="1874" w:type="dxa"/>
            <w:shd w:val="clear" w:color="auto" w:fill="BFBFBF"/>
          </w:tcPr>
          <w:p>
            <w:pPr>
              <w:pStyle w:val="TableParagraph"/>
              <w:spacing w:before="26"/>
              <w:ind w:left="107"/>
              <w:rPr>
                <w:b/>
                <w:sz w:val="20"/>
              </w:rPr>
            </w:pPr>
            <w:r>
              <w:rPr>
                <w:b/>
                <w:sz w:val="20"/>
              </w:rPr>
              <w:t>Sub-module</w:t>
            </w:r>
          </w:p>
        </w:tc>
        <w:tc>
          <w:tcPr>
            <w:tcW w:w="10211" w:type="dxa"/>
            <w:gridSpan w:val="4"/>
          </w:tcPr>
          <w:p>
            <w:pPr>
              <w:pStyle w:val="TableParagraph"/>
              <w:spacing w:before="26"/>
              <w:ind w:left="108"/>
              <w:rPr>
                <w:b/>
                <w:sz w:val="20"/>
              </w:rPr>
            </w:pPr>
            <w:r>
              <w:rPr>
                <w:b/>
                <w:sz w:val="20"/>
              </w:rPr>
              <w:t>Land Converted to Grassland</w:t>
            </w:r>
          </w:p>
        </w:tc>
      </w:tr>
      <w:tr>
        <w:trPr>
          <w:trHeight w:val="285" w:hRule="atLeast"/>
        </w:trPr>
        <w:tc>
          <w:tcPr>
            <w:tcW w:w="1874" w:type="dxa"/>
            <w:shd w:val="clear" w:color="auto" w:fill="BFBFBF"/>
          </w:tcPr>
          <w:p>
            <w:pPr>
              <w:pStyle w:val="TableParagraph"/>
              <w:spacing w:before="26"/>
              <w:ind w:left="107"/>
              <w:rPr>
                <w:b/>
                <w:sz w:val="20"/>
              </w:rPr>
            </w:pPr>
            <w:r>
              <w:rPr>
                <w:b/>
                <w:sz w:val="20"/>
              </w:rPr>
              <w:t>Worksheet</w:t>
            </w:r>
          </w:p>
        </w:tc>
        <w:tc>
          <w:tcPr>
            <w:tcW w:w="10211" w:type="dxa"/>
            <w:gridSpan w:val="4"/>
          </w:tcPr>
          <w:p>
            <w:pPr>
              <w:pStyle w:val="TableParagraph"/>
              <w:spacing w:before="26"/>
              <w:ind w:left="108"/>
              <w:rPr>
                <w:b/>
                <w:sz w:val="20"/>
              </w:rPr>
            </w:pPr>
            <w:r>
              <w:rPr>
                <w:b/>
                <w:sz w:val="20"/>
              </w:rPr>
              <w:t>GL-2c4: Annual soil carbon stock change in grassland</w:t>
            </w:r>
          </w:p>
        </w:tc>
      </w:tr>
      <w:tr>
        <w:trPr>
          <w:trHeight w:val="285" w:hRule="atLeast"/>
        </w:trPr>
        <w:tc>
          <w:tcPr>
            <w:tcW w:w="1874" w:type="dxa"/>
            <w:shd w:val="clear" w:color="auto" w:fill="BFBFBF"/>
          </w:tcPr>
          <w:p>
            <w:pPr>
              <w:pStyle w:val="TableParagraph"/>
              <w:spacing w:before="26"/>
              <w:ind w:left="107"/>
              <w:rPr>
                <w:b/>
                <w:sz w:val="20"/>
              </w:rPr>
            </w:pPr>
            <w:r>
              <w:rPr>
                <w:b/>
                <w:sz w:val="20"/>
              </w:rPr>
              <w:t>Sheet</w:t>
            </w:r>
          </w:p>
        </w:tc>
        <w:tc>
          <w:tcPr>
            <w:tcW w:w="10211" w:type="dxa"/>
            <w:gridSpan w:val="4"/>
          </w:tcPr>
          <w:p>
            <w:pPr>
              <w:pStyle w:val="TableParagraph"/>
              <w:spacing w:before="26"/>
              <w:ind w:left="108"/>
              <w:rPr>
                <w:b/>
                <w:sz w:val="20"/>
              </w:rPr>
            </w:pPr>
            <w:r>
              <w:rPr>
                <w:b/>
                <w:sz w:val="20"/>
              </w:rPr>
              <w:t>1 of 1</w:t>
            </w:r>
          </w:p>
        </w:tc>
      </w:tr>
      <w:tr>
        <w:trPr>
          <w:trHeight w:val="761" w:hRule="atLeast"/>
        </w:trPr>
        <w:tc>
          <w:tcPr>
            <w:tcW w:w="2675" w:type="dxa"/>
            <w:gridSpan w:val="2"/>
            <w:tcBorders>
              <w:bottom w:val="nil"/>
            </w:tcBorders>
            <w:shd w:val="clear" w:color="auto" w:fill="E4E4E4"/>
          </w:tcPr>
          <w:p>
            <w:pPr>
              <w:pStyle w:val="TableParagraph"/>
              <w:spacing w:before="23"/>
              <w:ind w:left="207" w:right="196"/>
              <w:jc w:val="center"/>
              <w:rPr>
                <w:sz w:val="16"/>
              </w:rPr>
            </w:pPr>
            <w:r>
              <w:rPr>
                <w:sz w:val="16"/>
              </w:rPr>
              <w:t>Annual change in carbon stocks in mineral soils</w:t>
            </w:r>
          </w:p>
          <w:p>
            <w:pPr>
              <w:pStyle w:val="TableParagraph"/>
              <w:rPr>
                <w:sz w:val="16"/>
              </w:rPr>
            </w:pPr>
          </w:p>
          <w:p>
            <w:pPr>
              <w:pStyle w:val="TableParagraph"/>
              <w:spacing w:line="166" w:lineRule="exact"/>
              <w:ind w:left="851" w:right="843"/>
              <w:jc w:val="center"/>
              <w:rPr>
                <w:sz w:val="16"/>
              </w:rPr>
            </w:pPr>
            <w:r>
              <w:rPr>
                <w:sz w:val="16"/>
              </w:rPr>
              <w:t>(tonnes C yr</w:t>
            </w:r>
            <w:r>
              <w:rPr>
                <w:sz w:val="16"/>
                <w:vertAlign w:val="superscript"/>
              </w:rPr>
              <w:t>-1</w:t>
            </w:r>
            <w:r>
              <w:rPr>
                <w:sz w:val="16"/>
                <w:vertAlign w:val="baseline"/>
              </w:rPr>
              <w:t>)</w:t>
            </w:r>
          </w:p>
        </w:tc>
        <w:tc>
          <w:tcPr>
            <w:tcW w:w="2896" w:type="dxa"/>
            <w:tcBorders>
              <w:bottom w:val="nil"/>
            </w:tcBorders>
            <w:shd w:val="clear" w:color="auto" w:fill="E4E4E4"/>
          </w:tcPr>
          <w:p>
            <w:pPr>
              <w:pStyle w:val="TableParagraph"/>
              <w:spacing w:line="232" w:lineRule="auto" w:before="27"/>
              <w:ind w:left="192" w:right="181"/>
              <w:jc w:val="center"/>
              <w:rPr>
                <w:sz w:val="16"/>
              </w:rPr>
            </w:pPr>
            <w:r>
              <w:rPr>
                <w:position w:val="2"/>
                <w:sz w:val="16"/>
              </w:rPr>
              <w:t>CO</w:t>
            </w:r>
            <w:r>
              <w:rPr>
                <w:sz w:val="10"/>
              </w:rPr>
              <w:t>2 </w:t>
            </w:r>
            <w:r>
              <w:rPr>
                <w:position w:val="2"/>
                <w:sz w:val="16"/>
              </w:rPr>
              <w:t>emissions from cultivated organic </w:t>
            </w:r>
            <w:r>
              <w:rPr>
                <w:sz w:val="16"/>
              </w:rPr>
              <w:t>soils</w:t>
            </w:r>
          </w:p>
          <w:p>
            <w:pPr>
              <w:pStyle w:val="TableParagraph"/>
              <w:rPr>
                <w:sz w:val="16"/>
              </w:rPr>
            </w:pPr>
          </w:p>
          <w:p>
            <w:pPr>
              <w:pStyle w:val="TableParagraph"/>
              <w:spacing w:line="166" w:lineRule="exact"/>
              <w:ind w:left="191" w:right="181"/>
              <w:jc w:val="center"/>
              <w:rPr>
                <w:sz w:val="16"/>
              </w:rPr>
            </w:pPr>
            <w:r>
              <w:rPr>
                <w:sz w:val="16"/>
              </w:rPr>
              <w:t>(tonnes C yr</w:t>
            </w:r>
            <w:r>
              <w:rPr>
                <w:sz w:val="16"/>
                <w:vertAlign w:val="superscript"/>
              </w:rPr>
              <w:t>-1</w:t>
            </w:r>
            <w:r>
              <w:rPr>
                <w:sz w:val="16"/>
                <w:vertAlign w:val="baseline"/>
              </w:rPr>
              <w:t>)</w:t>
            </w:r>
          </w:p>
        </w:tc>
        <w:tc>
          <w:tcPr>
            <w:tcW w:w="2896" w:type="dxa"/>
            <w:tcBorders>
              <w:bottom w:val="nil"/>
            </w:tcBorders>
            <w:shd w:val="clear" w:color="auto" w:fill="E4E4E4"/>
          </w:tcPr>
          <w:p>
            <w:pPr>
              <w:pStyle w:val="TableParagraph"/>
              <w:spacing w:before="23"/>
              <w:ind w:left="192" w:right="176"/>
              <w:jc w:val="center"/>
              <w:rPr>
                <w:sz w:val="16"/>
              </w:rPr>
            </w:pPr>
            <w:r>
              <w:rPr>
                <w:sz w:val="16"/>
              </w:rPr>
              <w:t>Annual carbon emissions from agricultural lime application</w:t>
            </w:r>
          </w:p>
          <w:p>
            <w:pPr>
              <w:pStyle w:val="TableParagraph"/>
              <w:rPr>
                <w:sz w:val="16"/>
              </w:rPr>
            </w:pPr>
          </w:p>
          <w:p>
            <w:pPr>
              <w:pStyle w:val="TableParagraph"/>
              <w:spacing w:line="166" w:lineRule="exact"/>
              <w:ind w:left="192" w:right="180"/>
              <w:jc w:val="center"/>
              <w:rPr>
                <w:sz w:val="16"/>
              </w:rPr>
            </w:pPr>
            <w:r>
              <w:rPr>
                <w:sz w:val="16"/>
              </w:rPr>
              <w:t>(tonnes C yr</w:t>
            </w:r>
            <w:r>
              <w:rPr>
                <w:sz w:val="16"/>
                <w:vertAlign w:val="superscript"/>
              </w:rPr>
              <w:t>-1</w:t>
            </w:r>
            <w:r>
              <w:rPr>
                <w:sz w:val="16"/>
                <w:vertAlign w:val="baseline"/>
              </w:rPr>
              <w:t>)</w:t>
            </w:r>
          </w:p>
        </w:tc>
        <w:tc>
          <w:tcPr>
            <w:tcW w:w="3618" w:type="dxa"/>
            <w:tcBorders>
              <w:bottom w:val="nil"/>
            </w:tcBorders>
            <w:shd w:val="clear" w:color="auto" w:fill="E4E4E4"/>
          </w:tcPr>
          <w:p>
            <w:pPr>
              <w:pStyle w:val="TableParagraph"/>
              <w:spacing w:before="23"/>
              <w:ind w:left="519" w:right="507"/>
              <w:jc w:val="center"/>
              <w:rPr>
                <w:sz w:val="16"/>
              </w:rPr>
            </w:pPr>
            <w:r>
              <w:rPr>
                <w:sz w:val="16"/>
              </w:rPr>
              <w:t>Annual change in carbon stocks in soils</w:t>
            </w:r>
          </w:p>
          <w:p>
            <w:pPr>
              <w:pStyle w:val="TableParagraph"/>
              <w:spacing w:before="10"/>
              <w:rPr>
                <w:sz w:val="15"/>
              </w:rPr>
            </w:pPr>
          </w:p>
          <w:p>
            <w:pPr>
              <w:pStyle w:val="TableParagraph"/>
              <w:spacing w:before="1"/>
              <w:ind w:left="519" w:right="503"/>
              <w:jc w:val="center"/>
              <w:rPr>
                <w:sz w:val="16"/>
              </w:rPr>
            </w:pPr>
            <w:r>
              <w:rPr>
                <w:sz w:val="16"/>
              </w:rPr>
              <w:t>(tonnes C yr</w:t>
            </w:r>
            <w:r>
              <w:rPr>
                <w:sz w:val="16"/>
                <w:vertAlign w:val="superscript"/>
              </w:rPr>
              <w:t>-1</w:t>
            </w:r>
            <w:r>
              <w:rPr>
                <w:sz w:val="16"/>
                <w:vertAlign w:val="baseline"/>
              </w:rPr>
              <w:t>)</w:t>
            </w:r>
          </w:p>
        </w:tc>
      </w:tr>
      <w:tr>
        <w:trPr>
          <w:trHeight w:val="275" w:hRule="atLeast"/>
        </w:trPr>
        <w:tc>
          <w:tcPr>
            <w:tcW w:w="2675" w:type="dxa"/>
            <w:gridSpan w:val="2"/>
            <w:tcBorders>
              <w:top w:val="nil"/>
              <w:bottom w:val="nil"/>
            </w:tcBorders>
            <w:shd w:val="clear" w:color="auto" w:fill="E4E4E4"/>
          </w:tcPr>
          <w:p>
            <w:pPr>
              <w:pStyle w:val="TableParagraph"/>
              <w:rPr>
                <w:sz w:val="16"/>
              </w:rPr>
            </w:pPr>
          </w:p>
        </w:tc>
        <w:tc>
          <w:tcPr>
            <w:tcW w:w="2896" w:type="dxa"/>
            <w:tcBorders>
              <w:top w:val="nil"/>
              <w:bottom w:val="nil"/>
            </w:tcBorders>
            <w:shd w:val="clear" w:color="auto" w:fill="E4E4E4"/>
          </w:tcPr>
          <w:p>
            <w:pPr>
              <w:pStyle w:val="TableParagraph"/>
              <w:rPr>
                <w:sz w:val="16"/>
              </w:rPr>
            </w:pPr>
          </w:p>
        </w:tc>
        <w:tc>
          <w:tcPr>
            <w:tcW w:w="2896" w:type="dxa"/>
            <w:tcBorders>
              <w:top w:val="nil"/>
              <w:bottom w:val="nil"/>
            </w:tcBorders>
            <w:shd w:val="clear" w:color="auto" w:fill="E4E4E4"/>
          </w:tcPr>
          <w:p>
            <w:pPr>
              <w:pStyle w:val="TableParagraph"/>
              <w:rPr>
                <w:sz w:val="16"/>
              </w:rPr>
            </w:pPr>
          </w:p>
        </w:tc>
        <w:tc>
          <w:tcPr>
            <w:tcW w:w="3618" w:type="dxa"/>
            <w:tcBorders>
              <w:top w:val="nil"/>
              <w:bottom w:val="nil"/>
            </w:tcBorders>
            <w:shd w:val="clear" w:color="auto" w:fill="E4E4E4"/>
          </w:tcPr>
          <w:p>
            <w:pPr>
              <w:pStyle w:val="TableParagraph"/>
              <w:spacing w:line="180" w:lineRule="exact"/>
              <w:ind w:left="519" w:right="507"/>
              <w:jc w:val="center"/>
              <w:rPr>
                <w:sz w:val="16"/>
              </w:rPr>
            </w:pPr>
            <w:r>
              <w:rPr>
                <w:sz w:val="16"/>
              </w:rPr>
              <w:t>C = A-B-C</w:t>
            </w:r>
          </w:p>
        </w:tc>
      </w:tr>
      <w:tr>
        <w:trPr>
          <w:trHeight w:val="277" w:hRule="atLeast"/>
        </w:trPr>
        <w:tc>
          <w:tcPr>
            <w:tcW w:w="2675" w:type="dxa"/>
            <w:gridSpan w:val="2"/>
            <w:tcBorders>
              <w:top w:val="nil"/>
            </w:tcBorders>
            <w:shd w:val="clear" w:color="auto" w:fill="E4E4E4"/>
          </w:tcPr>
          <w:p>
            <w:pPr>
              <w:pStyle w:val="TableParagraph"/>
              <w:spacing w:line="168" w:lineRule="exact" w:before="89"/>
              <w:ind w:left="13"/>
              <w:jc w:val="center"/>
              <w:rPr>
                <w:sz w:val="16"/>
              </w:rPr>
            </w:pPr>
            <w:r>
              <w:rPr>
                <w:w w:val="100"/>
                <w:sz w:val="16"/>
              </w:rPr>
              <w:t>A</w:t>
            </w:r>
          </w:p>
        </w:tc>
        <w:tc>
          <w:tcPr>
            <w:tcW w:w="2896" w:type="dxa"/>
            <w:tcBorders>
              <w:top w:val="nil"/>
            </w:tcBorders>
            <w:shd w:val="clear" w:color="auto" w:fill="E4E4E4"/>
          </w:tcPr>
          <w:p>
            <w:pPr>
              <w:pStyle w:val="TableParagraph"/>
              <w:spacing w:line="168" w:lineRule="exact" w:before="89"/>
              <w:ind w:left="11"/>
              <w:jc w:val="center"/>
              <w:rPr>
                <w:sz w:val="16"/>
              </w:rPr>
            </w:pPr>
            <w:r>
              <w:rPr>
                <w:w w:val="100"/>
                <w:sz w:val="16"/>
              </w:rPr>
              <w:t>B</w:t>
            </w:r>
          </w:p>
        </w:tc>
        <w:tc>
          <w:tcPr>
            <w:tcW w:w="2896" w:type="dxa"/>
            <w:tcBorders>
              <w:top w:val="nil"/>
            </w:tcBorders>
            <w:shd w:val="clear" w:color="auto" w:fill="E4E4E4"/>
          </w:tcPr>
          <w:p>
            <w:pPr>
              <w:pStyle w:val="TableParagraph"/>
              <w:spacing w:line="168" w:lineRule="exact" w:before="89"/>
              <w:ind w:left="13"/>
              <w:jc w:val="center"/>
              <w:rPr>
                <w:sz w:val="16"/>
              </w:rPr>
            </w:pPr>
            <w:r>
              <w:rPr>
                <w:w w:val="100"/>
                <w:sz w:val="16"/>
              </w:rPr>
              <w:t>C</w:t>
            </w:r>
          </w:p>
        </w:tc>
        <w:tc>
          <w:tcPr>
            <w:tcW w:w="3618" w:type="dxa"/>
            <w:tcBorders>
              <w:top w:val="nil"/>
            </w:tcBorders>
            <w:shd w:val="clear" w:color="auto" w:fill="E4E4E4"/>
          </w:tcPr>
          <w:p>
            <w:pPr>
              <w:pStyle w:val="TableParagraph"/>
              <w:spacing w:line="168" w:lineRule="exact" w:before="89"/>
              <w:ind w:left="16"/>
              <w:jc w:val="center"/>
              <w:rPr>
                <w:sz w:val="16"/>
              </w:rPr>
            </w:pPr>
            <w:r>
              <w:rPr>
                <w:w w:val="100"/>
                <w:sz w:val="16"/>
              </w:rPr>
              <w:t>D</w:t>
            </w:r>
          </w:p>
        </w:tc>
      </w:tr>
      <w:tr>
        <w:trPr>
          <w:trHeight w:val="239" w:hRule="atLeast"/>
        </w:trPr>
        <w:tc>
          <w:tcPr>
            <w:tcW w:w="2675" w:type="dxa"/>
            <w:gridSpan w:val="2"/>
          </w:tcPr>
          <w:p>
            <w:pPr>
              <w:pStyle w:val="TableParagraph"/>
              <w:rPr>
                <w:sz w:val="16"/>
              </w:rPr>
            </w:pPr>
          </w:p>
        </w:tc>
        <w:tc>
          <w:tcPr>
            <w:tcW w:w="2896" w:type="dxa"/>
          </w:tcPr>
          <w:p>
            <w:pPr>
              <w:pStyle w:val="TableParagraph"/>
              <w:rPr>
                <w:sz w:val="16"/>
              </w:rPr>
            </w:pPr>
          </w:p>
        </w:tc>
        <w:tc>
          <w:tcPr>
            <w:tcW w:w="2896" w:type="dxa"/>
          </w:tcPr>
          <w:p>
            <w:pPr>
              <w:pStyle w:val="TableParagraph"/>
              <w:rPr>
                <w:sz w:val="16"/>
              </w:rPr>
            </w:pPr>
          </w:p>
        </w:tc>
        <w:tc>
          <w:tcPr>
            <w:tcW w:w="3618" w:type="dxa"/>
          </w:tcPr>
          <w:p>
            <w:pPr>
              <w:pStyle w:val="TableParagraph"/>
              <w:rPr>
                <w:sz w:val="16"/>
              </w:rPr>
            </w:pPr>
          </w:p>
        </w:tc>
      </w:tr>
      <w:tr>
        <w:trPr>
          <w:trHeight w:val="299" w:hRule="atLeast"/>
        </w:trPr>
        <w:tc>
          <w:tcPr>
            <w:tcW w:w="2675" w:type="dxa"/>
            <w:gridSpan w:val="2"/>
            <w:shd w:val="clear" w:color="auto" w:fill="D5D5D5"/>
          </w:tcPr>
          <w:p>
            <w:pPr>
              <w:pStyle w:val="TableParagraph"/>
              <w:spacing w:line="164" w:lineRule="exact" w:before="25"/>
              <w:ind w:left="507" w:right="843"/>
              <w:jc w:val="center"/>
              <w:rPr>
                <w:b/>
                <w:sz w:val="10"/>
              </w:rPr>
            </w:pPr>
            <w:r>
              <w:rPr>
                <w:b/>
                <w:position w:val="2"/>
                <w:sz w:val="16"/>
              </w:rPr>
              <w:t>∆C</w:t>
            </w:r>
            <w:r>
              <w:rPr>
                <w:b/>
                <w:sz w:val="10"/>
              </w:rPr>
              <w:t>LG</w:t>
            </w:r>
          </w:p>
          <w:p>
            <w:pPr>
              <w:pStyle w:val="TableParagraph"/>
              <w:spacing w:line="87" w:lineRule="exact"/>
              <w:ind w:left="851" w:right="486"/>
              <w:jc w:val="center"/>
              <w:rPr>
                <w:b/>
                <w:sz w:val="10"/>
              </w:rPr>
            </w:pPr>
            <w:r>
              <w:rPr>
                <w:b/>
                <w:sz w:val="10"/>
              </w:rPr>
              <w:t>Mineral</w:t>
            </w:r>
          </w:p>
        </w:tc>
        <w:tc>
          <w:tcPr>
            <w:tcW w:w="2896" w:type="dxa"/>
            <w:shd w:val="clear" w:color="auto" w:fill="D5D5D5"/>
          </w:tcPr>
          <w:p>
            <w:pPr>
              <w:pStyle w:val="TableParagraph"/>
              <w:spacing w:line="164" w:lineRule="exact" w:before="25"/>
              <w:ind w:left="192" w:right="528"/>
              <w:jc w:val="center"/>
              <w:rPr>
                <w:b/>
                <w:sz w:val="10"/>
              </w:rPr>
            </w:pPr>
            <w:r>
              <w:rPr>
                <w:b/>
                <w:position w:val="2"/>
                <w:sz w:val="16"/>
              </w:rPr>
              <w:t>∆C </w:t>
            </w:r>
            <w:r>
              <w:rPr>
                <w:b/>
                <w:sz w:val="10"/>
              </w:rPr>
              <w:t>LG</w:t>
            </w:r>
          </w:p>
          <w:p>
            <w:pPr>
              <w:pStyle w:val="TableParagraph"/>
              <w:spacing w:line="87" w:lineRule="exact"/>
              <w:ind w:left="590" w:right="181"/>
              <w:jc w:val="center"/>
              <w:rPr>
                <w:b/>
                <w:sz w:val="10"/>
              </w:rPr>
            </w:pPr>
            <w:r>
              <w:rPr>
                <w:b/>
                <w:sz w:val="10"/>
              </w:rPr>
              <w:t>Organic</w:t>
            </w:r>
          </w:p>
        </w:tc>
        <w:tc>
          <w:tcPr>
            <w:tcW w:w="2896" w:type="dxa"/>
            <w:shd w:val="clear" w:color="auto" w:fill="D5D5D5"/>
          </w:tcPr>
          <w:p>
            <w:pPr>
              <w:pStyle w:val="TableParagraph"/>
              <w:spacing w:line="164" w:lineRule="exact" w:before="25"/>
              <w:ind w:left="192" w:right="488"/>
              <w:jc w:val="center"/>
              <w:rPr>
                <w:b/>
                <w:sz w:val="10"/>
              </w:rPr>
            </w:pPr>
            <w:r>
              <w:rPr>
                <w:b/>
                <w:position w:val="2"/>
                <w:sz w:val="16"/>
              </w:rPr>
              <w:t>∆C </w:t>
            </w:r>
            <w:r>
              <w:rPr>
                <w:b/>
                <w:sz w:val="10"/>
              </w:rPr>
              <w:t>LG</w:t>
            </w:r>
          </w:p>
          <w:p>
            <w:pPr>
              <w:pStyle w:val="TableParagraph"/>
              <w:spacing w:line="87" w:lineRule="exact"/>
              <w:ind w:left="593" w:right="181"/>
              <w:jc w:val="center"/>
              <w:rPr>
                <w:b/>
                <w:sz w:val="10"/>
              </w:rPr>
            </w:pPr>
            <w:r>
              <w:rPr>
                <w:b/>
                <w:sz w:val="10"/>
              </w:rPr>
              <w:t>Liming</w:t>
            </w:r>
          </w:p>
        </w:tc>
        <w:tc>
          <w:tcPr>
            <w:tcW w:w="3618" w:type="dxa"/>
            <w:shd w:val="clear" w:color="auto" w:fill="D5D5D5"/>
          </w:tcPr>
          <w:p>
            <w:pPr>
              <w:pStyle w:val="TableParagraph"/>
              <w:spacing w:line="164" w:lineRule="exact" w:before="25"/>
              <w:ind w:left="323" w:right="507"/>
              <w:jc w:val="center"/>
              <w:rPr>
                <w:b/>
                <w:sz w:val="10"/>
              </w:rPr>
            </w:pPr>
            <w:r>
              <w:rPr>
                <w:b/>
                <w:position w:val="2"/>
                <w:sz w:val="16"/>
              </w:rPr>
              <w:t>∆C</w:t>
            </w:r>
            <w:r>
              <w:rPr>
                <w:b/>
                <w:sz w:val="10"/>
              </w:rPr>
              <w:t>LG</w:t>
            </w:r>
          </w:p>
          <w:p>
            <w:pPr>
              <w:pStyle w:val="TableParagraph"/>
              <w:spacing w:line="87" w:lineRule="exact"/>
              <w:ind w:left="519" w:right="144"/>
              <w:jc w:val="center"/>
              <w:rPr>
                <w:b/>
                <w:sz w:val="10"/>
              </w:rPr>
            </w:pPr>
            <w:r>
              <w:rPr>
                <w:b/>
                <w:sz w:val="10"/>
              </w:rPr>
              <w:t>Soils</w:t>
            </w:r>
          </w:p>
        </w:tc>
      </w:tr>
      <w:tr>
        <w:trPr>
          <w:trHeight w:val="241" w:hRule="atLeast"/>
        </w:trPr>
        <w:tc>
          <w:tcPr>
            <w:tcW w:w="2675" w:type="dxa"/>
            <w:gridSpan w:val="2"/>
          </w:tcPr>
          <w:p>
            <w:pPr>
              <w:pStyle w:val="TableParagraph"/>
              <w:rPr>
                <w:sz w:val="16"/>
              </w:rPr>
            </w:pPr>
          </w:p>
        </w:tc>
        <w:tc>
          <w:tcPr>
            <w:tcW w:w="2896" w:type="dxa"/>
          </w:tcPr>
          <w:p>
            <w:pPr>
              <w:pStyle w:val="TableParagraph"/>
              <w:rPr>
                <w:sz w:val="16"/>
              </w:rPr>
            </w:pPr>
          </w:p>
        </w:tc>
        <w:tc>
          <w:tcPr>
            <w:tcW w:w="2896" w:type="dxa"/>
          </w:tcPr>
          <w:p>
            <w:pPr>
              <w:pStyle w:val="TableParagraph"/>
              <w:rPr>
                <w:sz w:val="16"/>
              </w:rPr>
            </w:pPr>
          </w:p>
        </w:tc>
        <w:tc>
          <w:tcPr>
            <w:tcW w:w="3618" w:type="dxa"/>
          </w:tcPr>
          <w:p>
            <w:pPr>
              <w:pStyle w:val="TableParagraph"/>
              <w:rPr>
                <w:sz w:val="16"/>
              </w:rPr>
            </w:pPr>
          </w:p>
        </w:tc>
      </w:tr>
    </w:tbl>
    <w:p>
      <w:pPr>
        <w:spacing w:after="0"/>
        <w:rPr>
          <w:sz w:val="16"/>
        </w:rPr>
        <w:sectPr>
          <w:pgSz w:w="16840" w:h="11900" w:orient="landscape"/>
          <w:pgMar w:header="1150" w:footer="439" w:top="1440" w:bottom="620" w:left="1200" w:right="460"/>
        </w:sectPr>
      </w:pPr>
    </w:p>
    <w:p>
      <w:pPr>
        <w:pStyle w:val="BodyText"/>
      </w:pPr>
    </w:p>
    <w:p>
      <w:pPr>
        <w:pStyle w:val="BodyText"/>
      </w:pPr>
    </w:p>
    <w:p>
      <w:pPr>
        <w:pStyle w:val="BodyText"/>
      </w:pPr>
    </w:p>
    <w:p>
      <w:pPr>
        <w:pStyle w:val="BodyText"/>
      </w:pPr>
    </w:p>
    <w:p>
      <w:pPr>
        <w:pStyle w:val="BodyText"/>
        <w:spacing w:before="9"/>
        <w:rPr>
          <w:sz w:val="11"/>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1224"/>
        <w:gridCol w:w="1630"/>
        <w:gridCol w:w="1448"/>
        <w:gridCol w:w="1448"/>
        <w:gridCol w:w="109"/>
        <w:gridCol w:w="1386"/>
        <w:gridCol w:w="1494"/>
        <w:gridCol w:w="109"/>
        <w:gridCol w:w="1386"/>
        <w:gridCol w:w="109"/>
        <w:gridCol w:w="138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59" w:type="dxa"/>
            <w:gridSpan w:val="12"/>
          </w:tcPr>
          <w:p>
            <w:pPr>
              <w:pStyle w:val="TableParagraph"/>
              <w:spacing w:before="26"/>
              <w:ind w:left="108"/>
              <w:rPr>
                <w:b/>
                <w:sz w:val="20"/>
              </w:rPr>
            </w:pPr>
            <w:r>
              <w:rPr>
                <w:b/>
                <w:sz w:val="20"/>
              </w:rPr>
              <w:t>Grassland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59" w:type="dxa"/>
            <w:gridSpan w:val="12"/>
          </w:tcPr>
          <w:p>
            <w:pPr>
              <w:pStyle w:val="TableParagraph"/>
              <w:spacing w:before="26"/>
              <w:ind w:left="108"/>
              <w:rPr>
                <w:b/>
                <w:sz w:val="20"/>
              </w:rPr>
            </w:pPr>
            <w:r>
              <w:rPr>
                <w:b/>
                <w:sz w:val="20"/>
              </w:rPr>
              <w:t>Land Converted to Grassland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59" w:type="dxa"/>
            <w:gridSpan w:val="12"/>
          </w:tcPr>
          <w:p>
            <w:pPr>
              <w:pStyle w:val="TableParagraph"/>
              <w:spacing w:before="26"/>
              <w:ind w:left="108"/>
              <w:rPr>
                <w:b/>
                <w:sz w:val="20"/>
              </w:rPr>
            </w:pPr>
            <w:r>
              <w:rPr>
                <w:b/>
                <w:sz w:val="20"/>
              </w:rPr>
              <w:t>GL-2d: Non-CO</w:t>
            </w:r>
            <w:r>
              <w:rPr>
                <w:b/>
                <w:sz w:val="20"/>
                <w:vertAlign w:val="subscript"/>
              </w:rPr>
              <w:t>2</w:t>
            </w:r>
            <w:r>
              <w:rPr>
                <w:b/>
                <w:sz w:val="20"/>
                <w:vertAlign w:val="baseline"/>
              </w:rPr>
              <w:t> emissions from vegetation fires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59" w:type="dxa"/>
            <w:gridSpan w:val="12"/>
          </w:tcPr>
          <w:p>
            <w:pPr>
              <w:pStyle w:val="TableParagraph"/>
              <w:spacing w:before="26"/>
              <w:ind w:left="109"/>
              <w:rPr>
                <w:b/>
                <w:sz w:val="20"/>
              </w:rPr>
            </w:pPr>
            <w:r>
              <w:rPr>
                <w:b/>
                <w:sz w:val="20"/>
              </w:rPr>
              <w:t>1 of 1</w:t>
            </w:r>
          </w:p>
        </w:tc>
      </w:tr>
      <w:tr>
        <w:trPr>
          <w:trHeight w:val="366" w:hRule="atLeast"/>
        </w:trPr>
        <w:tc>
          <w:tcPr>
            <w:tcW w:w="1874" w:type="dxa"/>
            <w:gridSpan w:val="2"/>
            <w:shd w:val="clear" w:color="auto" w:fill="E4E4E4"/>
          </w:tcPr>
          <w:p>
            <w:pPr>
              <w:pStyle w:val="TableParagraph"/>
              <w:spacing w:line="178" w:lineRule="exact"/>
              <w:ind w:left="618" w:right="609"/>
              <w:jc w:val="center"/>
              <w:rPr>
                <w:sz w:val="16"/>
              </w:rPr>
            </w:pPr>
            <w:r>
              <w:rPr>
                <w:sz w:val="16"/>
              </w:rPr>
              <w:t>Land-use</w:t>
            </w:r>
          </w:p>
          <w:p>
            <w:pPr>
              <w:pStyle w:val="TableParagraph"/>
              <w:spacing w:line="169" w:lineRule="exact"/>
              <w:ind w:left="618" w:right="606"/>
              <w:jc w:val="center"/>
              <w:rPr>
                <w:sz w:val="16"/>
              </w:rPr>
            </w:pPr>
            <w:r>
              <w:rPr>
                <w:sz w:val="16"/>
              </w:rPr>
              <w:t>Category</w:t>
            </w:r>
          </w:p>
        </w:tc>
        <w:tc>
          <w:tcPr>
            <w:tcW w:w="1027" w:type="dxa"/>
            <w:vMerge w:val="restart"/>
            <w:shd w:val="clear" w:color="auto" w:fill="E4E4E4"/>
          </w:tcPr>
          <w:p>
            <w:pPr>
              <w:pStyle w:val="TableParagraph"/>
              <w:ind w:left="189" w:right="177" w:firstLine="5"/>
              <w:jc w:val="center"/>
              <w:rPr>
                <w:sz w:val="16"/>
              </w:rPr>
            </w:pPr>
            <w:r>
              <w:rPr>
                <w:sz w:val="16"/>
              </w:rPr>
              <w:t>Sub- categories for  Reporting Year</w:t>
            </w:r>
          </w:p>
        </w:tc>
        <w:tc>
          <w:tcPr>
            <w:tcW w:w="1224" w:type="dxa"/>
            <w:vMerge w:val="restart"/>
            <w:shd w:val="clear" w:color="auto" w:fill="E4E4E4"/>
          </w:tcPr>
          <w:p>
            <w:pPr>
              <w:pStyle w:val="TableParagraph"/>
              <w:ind w:left="309" w:right="296" w:hanging="3"/>
              <w:jc w:val="center"/>
              <w:rPr>
                <w:sz w:val="16"/>
              </w:rPr>
            </w:pPr>
            <w:r>
              <w:rPr>
                <w:sz w:val="16"/>
              </w:rPr>
              <w:t>Area of grassland burned</w:t>
            </w:r>
          </w:p>
          <w:p>
            <w:pPr>
              <w:pStyle w:val="TableParagraph"/>
              <w:spacing w:before="4"/>
              <w:rPr>
                <w:sz w:val="15"/>
              </w:rPr>
            </w:pPr>
          </w:p>
          <w:p>
            <w:pPr>
              <w:pStyle w:val="TableParagraph"/>
              <w:ind w:left="265" w:right="254"/>
              <w:jc w:val="center"/>
              <w:rPr>
                <w:sz w:val="16"/>
              </w:rPr>
            </w:pPr>
            <w:r>
              <w:rPr>
                <w:sz w:val="16"/>
              </w:rPr>
              <w:t>(ha)</w:t>
            </w:r>
          </w:p>
          <w:p>
            <w:pPr>
              <w:pStyle w:val="TableParagraph"/>
              <w:rPr>
                <w:sz w:val="18"/>
              </w:rPr>
            </w:pPr>
          </w:p>
          <w:p>
            <w:pPr>
              <w:pStyle w:val="TableParagraph"/>
              <w:rPr>
                <w:sz w:val="18"/>
              </w:rPr>
            </w:pPr>
          </w:p>
          <w:p>
            <w:pPr>
              <w:pStyle w:val="TableParagraph"/>
              <w:spacing w:before="2"/>
              <w:rPr>
                <w:sz w:val="14"/>
              </w:rPr>
            </w:pPr>
          </w:p>
          <w:p>
            <w:pPr>
              <w:pStyle w:val="TableParagraph"/>
              <w:spacing w:line="170" w:lineRule="exact"/>
              <w:ind w:left="11"/>
              <w:jc w:val="center"/>
              <w:rPr>
                <w:sz w:val="16"/>
              </w:rPr>
            </w:pPr>
            <w:r>
              <w:rPr>
                <w:w w:val="100"/>
                <w:sz w:val="16"/>
              </w:rPr>
              <w:t>A</w:t>
            </w:r>
          </w:p>
        </w:tc>
        <w:tc>
          <w:tcPr>
            <w:tcW w:w="1630" w:type="dxa"/>
            <w:vMerge w:val="restart"/>
            <w:shd w:val="clear" w:color="auto" w:fill="E4E4E4"/>
          </w:tcPr>
          <w:p>
            <w:pPr>
              <w:pStyle w:val="TableParagraph"/>
              <w:spacing w:line="237" w:lineRule="auto"/>
              <w:ind w:left="144" w:right="129"/>
              <w:jc w:val="center"/>
              <w:rPr>
                <w:sz w:val="16"/>
              </w:rPr>
            </w:pPr>
            <w:r>
              <w:rPr>
                <w:sz w:val="16"/>
              </w:rPr>
              <w:t>Biomass of available fuel present</w:t>
            </w:r>
          </w:p>
          <w:p>
            <w:pPr>
              <w:pStyle w:val="TableParagraph"/>
              <w:spacing w:before="9"/>
              <w:rPr>
                <w:sz w:val="15"/>
              </w:rPr>
            </w:pPr>
          </w:p>
          <w:p>
            <w:pPr>
              <w:pStyle w:val="TableParagraph"/>
              <w:ind w:left="249" w:right="238"/>
              <w:jc w:val="center"/>
              <w:rPr>
                <w:sz w:val="16"/>
              </w:rPr>
            </w:pPr>
            <w:r>
              <w:rPr>
                <w:sz w:val="16"/>
              </w:rPr>
              <w:t>(kg d.m.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39"/>
              <w:ind w:left="9"/>
              <w:jc w:val="center"/>
              <w:rPr>
                <w:sz w:val="16"/>
              </w:rPr>
            </w:pPr>
            <w:r>
              <w:rPr>
                <w:w w:val="100"/>
                <w:sz w:val="16"/>
              </w:rPr>
              <w:t>B</w:t>
            </w:r>
          </w:p>
        </w:tc>
        <w:tc>
          <w:tcPr>
            <w:tcW w:w="1448" w:type="dxa"/>
            <w:vMerge w:val="restart"/>
            <w:shd w:val="clear" w:color="auto" w:fill="E4E4E4"/>
          </w:tcPr>
          <w:p>
            <w:pPr>
              <w:pStyle w:val="TableParagraph"/>
              <w:ind w:left="189" w:right="181" w:firstLine="1"/>
              <w:jc w:val="center"/>
              <w:rPr>
                <w:sz w:val="16"/>
              </w:rPr>
            </w:pPr>
            <w:r>
              <w:rPr>
                <w:sz w:val="16"/>
              </w:rPr>
              <w:t>Combustion efficiency or fraction of biomass combusted (dimension-less)</w:t>
            </w:r>
          </w:p>
          <w:p>
            <w:pPr>
              <w:pStyle w:val="TableParagraph"/>
              <w:rPr>
                <w:sz w:val="18"/>
              </w:rPr>
            </w:pPr>
          </w:p>
          <w:p>
            <w:pPr>
              <w:pStyle w:val="TableParagraph"/>
              <w:spacing w:before="6"/>
              <w:rPr>
                <w:sz w:val="15"/>
              </w:rPr>
            </w:pPr>
          </w:p>
          <w:p>
            <w:pPr>
              <w:pStyle w:val="TableParagraph"/>
              <w:spacing w:line="170" w:lineRule="exact"/>
              <w:ind w:left="8"/>
              <w:jc w:val="center"/>
              <w:rPr>
                <w:sz w:val="16"/>
              </w:rPr>
            </w:pPr>
            <w:r>
              <w:rPr>
                <w:w w:val="100"/>
                <w:sz w:val="16"/>
              </w:rPr>
              <w:t>C</w:t>
            </w:r>
          </w:p>
        </w:tc>
        <w:tc>
          <w:tcPr>
            <w:tcW w:w="1448" w:type="dxa"/>
            <w:vMerge w:val="restart"/>
            <w:shd w:val="clear" w:color="auto" w:fill="E4E4E4"/>
          </w:tcPr>
          <w:p>
            <w:pPr>
              <w:pStyle w:val="TableParagraph"/>
              <w:spacing w:line="237" w:lineRule="auto"/>
              <w:ind w:left="217" w:right="206"/>
              <w:jc w:val="center"/>
              <w:rPr>
                <w:sz w:val="16"/>
              </w:rPr>
            </w:pPr>
            <w:r>
              <w:rPr>
                <w:sz w:val="16"/>
              </w:rPr>
              <w:t>Emission factor for each GHG</w:t>
            </w:r>
          </w:p>
          <w:p>
            <w:pPr>
              <w:pStyle w:val="TableParagraph"/>
              <w:spacing w:before="9"/>
              <w:rPr>
                <w:sz w:val="15"/>
              </w:rPr>
            </w:pPr>
          </w:p>
          <w:p>
            <w:pPr>
              <w:pStyle w:val="TableParagraph"/>
              <w:ind w:left="212" w:right="206"/>
              <w:jc w:val="center"/>
              <w:rPr>
                <w:sz w:val="16"/>
              </w:rPr>
            </w:pPr>
            <w:r>
              <w:rPr>
                <w:sz w:val="16"/>
              </w:rPr>
              <w:t>(g /kg d.m.)</w:t>
            </w:r>
          </w:p>
          <w:p>
            <w:pPr>
              <w:pStyle w:val="TableParagraph"/>
              <w:rPr>
                <w:sz w:val="18"/>
              </w:rPr>
            </w:pPr>
          </w:p>
          <w:p>
            <w:pPr>
              <w:pStyle w:val="TableParagraph"/>
              <w:rPr>
                <w:sz w:val="18"/>
              </w:rPr>
            </w:pPr>
          </w:p>
          <w:p>
            <w:pPr>
              <w:pStyle w:val="TableParagraph"/>
              <w:rPr>
                <w:sz w:val="18"/>
              </w:rPr>
            </w:pPr>
          </w:p>
          <w:p>
            <w:pPr>
              <w:pStyle w:val="TableParagraph"/>
              <w:spacing w:line="170" w:lineRule="exact" w:before="139"/>
              <w:ind w:left="6"/>
              <w:jc w:val="center"/>
              <w:rPr>
                <w:sz w:val="16"/>
              </w:rPr>
            </w:pPr>
            <w:r>
              <w:rPr>
                <w:w w:val="100"/>
                <w:sz w:val="16"/>
              </w:rPr>
              <w:t>D</w:t>
            </w:r>
          </w:p>
        </w:tc>
        <w:tc>
          <w:tcPr>
            <w:tcW w:w="1495" w:type="dxa"/>
            <w:gridSpan w:val="2"/>
            <w:vMerge w:val="restart"/>
            <w:shd w:val="clear" w:color="auto" w:fill="E4E4E4"/>
          </w:tcPr>
          <w:p>
            <w:pPr>
              <w:pStyle w:val="TableParagraph"/>
              <w:spacing w:line="228" w:lineRule="auto" w:before="1"/>
              <w:ind w:left="131" w:right="127"/>
              <w:jc w:val="center"/>
              <w:rPr>
                <w:sz w:val="16"/>
              </w:rPr>
            </w:pPr>
            <w:r>
              <w:rPr>
                <w:position w:val="2"/>
                <w:sz w:val="16"/>
              </w:rPr>
              <w:t>CH</w:t>
            </w:r>
            <w:r>
              <w:rPr>
                <w:sz w:val="10"/>
              </w:rPr>
              <w:t>4 </w:t>
            </w:r>
            <w:r>
              <w:rPr>
                <w:position w:val="2"/>
                <w:sz w:val="16"/>
              </w:rPr>
              <w:t>Emissions </w:t>
            </w:r>
            <w:r>
              <w:rPr>
                <w:sz w:val="16"/>
              </w:rPr>
              <w:t>from fires</w:t>
            </w:r>
          </w:p>
          <w:p>
            <w:pPr>
              <w:pStyle w:val="TableParagraph"/>
              <w:spacing w:before="4"/>
              <w:rPr>
                <w:sz w:val="16"/>
              </w:rPr>
            </w:pPr>
          </w:p>
          <w:p>
            <w:pPr>
              <w:pStyle w:val="TableParagraph"/>
              <w:ind w:left="129" w:right="127"/>
              <w:jc w:val="center"/>
              <w:rPr>
                <w:sz w:val="16"/>
              </w:rPr>
            </w:pPr>
            <w:r>
              <w:rPr>
                <w:position w:val="2"/>
                <w:sz w:val="16"/>
              </w:rPr>
              <w:t>(tonnes CH</w:t>
            </w:r>
            <w:r>
              <w:rPr>
                <w:sz w:val="10"/>
              </w:rPr>
              <w:t>4</w:t>
            </w:r>
            <w:r>
              <w:rPr>
                <w:position w:val="2"/>
                <w:sz w:val="16"/>
              </w:rPr>
              <w:t>)</w:t>
            </w:r>
          </w:p>
          <w:p>
            <w:pPr>
              <w:pStyle w:val="TableParagraph"/>
              <w:spacing w:before="5"/>
              <w:rPr>
                <w:sz w:val="16"/>
              </w:rPr>
            </w:pPr>
          </w:p>
          <w:p>
            <w:pPr>
              <w:pStyle w:val="TableParagraph"/>
              <w:spacing w:line="196" w:lineRule="exact"/>
              <w:ind w:left="132" w:right="127"/>
              <w:jc w:val="center"/>
              <w:rPr>
                <w:sz w:val="16"/>
              </w:rPr>
            </w:pPr>
            <w:r>
              <w:rPr>
                <w:sz w:val="16"/>
              </w:rPr>
              <w:t>E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09"/>
              </w:numPr>
              <w:tabs>
                <w:tab w:pos="680" w:val="left" w:leader="none"/>
              </w:tabs>
              <w:spacing w:line="196" w:lineRule="exact" w:before="0" w:after="0"/>
              <w:ind w:left="679" w:right="0" w:hanging="115"/>
              <w:jc w:val="left"/>
              <w:rPr>
                <w:sz w:val="16"/>
              </w:rPr>
            </w:pPr>
            <w:r>
              <w:rPr>
                <w:sz w:val="16"/>
              </w:rPr>
              <w:t>10</w:t>
            </w:r>
            <w:r>
              <w:rPr>
                <w:sz w:val="16"/>
                <w:vertAlign w:val="superscript"/>
              </w:rPr>
              <w:t>-6</w:t>
            </w:r>
          </w:p>
          <w:p>
            <w:pPr>
              <w:pStyle w:val="TableParagraph"/>
              <w:spacing w:line="170" w:lineRule="exact" w:before="172"/>
              <w:ind w:left="2"/>
              <w:jc w:val="center"/>
              <w:rPr>
                <w:sz w:val="16"/>
              </w:rPr>
            </w:pPr>
            <w:r>
              <w:rPr>
                <w:w w:val="100"/>
                <w:sz w:val="16"/>
              </w:rPr>
              <w:t>E</w:t>
            </w:r>
          </w:p>
        </w:tc>
        <w:tc>
          <w:tcPr>
            <w:tcW w:w="1494" w:type="dxa"/>
            <w:vMerge w:val="restart"/>
            <w:shd w:val="clear" w:color="auto" w:fill="E4E4E4"/>
          </w:tcPr>
          <w:p>
            <w:pPr>
              <w:pStyle w:val="TableParagraph"/>
              <w:spacing w:line="237" w:lineRule="auto"/>
              <w:ind w:left="106" w:right="102"/>
              <w:jc w:val="center"/>
              <w:rPr>
                <w:sz w:val="16"/>
              </w:rPr>
            </w:pPr>
            <w:r>
              <w:rPr>
                <w:sz w:val="16"/>
              </w:rPr>
              <w:t>CO Emissions from fires</w:t>
            </w:r>
          </w:p>
          <w:p>
            <w:pPr>
              <w:pStyle w:val="TableParagraph"/>
              <w:spacing w:before="9"/>
              <w:rPr>
                <w:sz w:val="15"/>
              </w:rPr>
            </w:pPr>
          </w:p>
          <w:p>
            <w:pPr>
              <w:pStyle w:val="TableParagraph"/>
              <w:ind w:left="104" w:right="102"/>
              <w:jc w:val="center"/>
              <w:rPr>
                <w:sz w:val="16"/>
              </w:rPr>
            </w:pPr>
            <w:r>
              <w:rPr>
                <w:sz w:val="16"/>
              </w:rPr>
              <w:t>(tonnes CO)</w:t>
            </w:r>
          </w:p>
          <w:p>
            <w:pPr>
              <w:pStyle w:val="TableParagraph"/>
              <w:rPr>
                <w:sz w:val="17"/>
              </w:rPr>
            </w:pPr>
          </w:p>
          <w:p>
            <w:pPr>
              <w:pStyle w:val="TableParagraph"/>
              <w:spacing w:line="196" w:lineRule="exact"/>
              <w:ind w:left="104" w:right="102"/>
              <w:jc w:val="center"/>
              <w:rPr>
                <w:sz w:val="16"/>
              </w:rPr>
            </w:pPr>
            <w:r>
              <w:rPr>
                <w:sz w:val="16"/>
              </w:rPr>
              <w:t>F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10"/>
              </w:numPr>
              <w:tabs>
                <w:tab w:pos="678" w:val="left" w:leader="none"/>
              </w:tabs>
              <w:spacing w:line="196" w:lineRule="exact" w:before="0" w:after="0"/>
              <w:ind w:left="677" w:right="0" w:hanging="115"/>
              <w:jc w:val="left"/>
              <w:rPr>
                <w:sz w:val="16"/>
              </w:rPr>
            </w:pPr>
            <w:r>
              <w:rPr>
                <w:sz w:val="16"/>
              </w:rPr>
              <w:t>10</w:t>
            </w:r>
            <w:r>
              <w:rPr>
                <w:sz w:val="16"/>
                <w:vertAlign w:val="superscript"/>
              </w:rPr>
              <w:t>-6</w:t>
            </w:r>
          </w:p>
          <w:p>
            <w:pPr>
              <w:pStyle w:val="TableParagraph"/>
              <w:spacing w:line="170" w:lineRule="exact" w:before="173"/>
              <w:ind w:left="4"/>
              <w:jc w:val="center"/>
              <w:rPr>
                <w:sz w:val="16"/>
              </w:rPr>
            </w:pPr>
            <w:r>
              <w:rPr>
                <w:w w:val="100"/>
                <w:sz w:val="16"/>
              </w:rPr>
              <w:t>F</w:t>
            </w:r>
          </w:p>
        </w:tc>
        <w:tc>
          <w:tcPr>
            <w:tcW w:w="1495" w:type="dxa"/>
            <w:gridSpan w:val="2"/>
            <w:vMerge w:val="restart"/>
            <w:shd w:val="clear" w:color="auto" w:fill="E4E4E4"/>
          </w:tcPr>
          <w:p>
            <w:pPr>
              <w:pStyle w:val="TableParagraph"/>
              <w:spacing w:line="228" w:lineRule="auto" w:before="1"/>
              <w:ind w:left="125" w:right="127"/>
              <w:jc w:val="center"/>
              <w:rPr>
                <w:sz w:val="16"/>
              </w:rPr>
            </w:pPr>
            <w:r>
              <w:rPr>
                <w:position w:val="2"/>
                <w:sz w:val="16"/>
              </w:rPr>
              <w:t>N</w:t>
            </w:r>
            <w:r>
              <w:rPr>
                <w:sz w:val="10"/>
              </w:rPr>
              <w:t>2</w:t>
            </w:r>
            <w:r>
              <w:rPr>
                <w:position w:val="2"/>
                <w:sz w:val="16"/>
              </w:rPr>
              <w:t>O Emissions </w:t>
            </w:r>
            <w:r>
              <w:rPr>
                <w:sz w:val="16"/>
              </w:rPr>
              <w:t>from fires</w:t>
            </w:r>
          </w:p>
          <w:p>
            <w:pPr>
              <w:pStyle w:val="TableParagraph"/>
              <w:spacing w:before="4"/>
              <w:rPr>
                <w:sz w:val="16"/>
              </w:rPr>
            </w:pPr>
          </w:p>
          <w:p>
            <w:pPr>
              <w:pStyle w:val="TableParagraph"/>
              <w:ind w:left="125" w:right="127"/>
              <w:jc w:val="center"/>
              <w:rPr>
                <w:sz w:val="16"/>
              </w:rPr>
            </w:pPr>
            <w:r>
              <w:rPr>
                <w:position w:val="2"/>
                <w:sz w:val="16"/>
              </w:rPr>
              <w:t>tonnes (N</w:t>
            </w:r>
            <w:r>
              <w:rPr>
                <w:sz w:val="10"/>
              </w:rPr>
              <w:t>2</w:t>
            </w:r>
            <w:r>
              <w:rPr>
                <w:position w:val="2"/>
                <w:sz w:val="16"/>
              </w:rPr>
              <w:t>O)</w:t>
            </w:r>
          </w:p>
          <w:p>
            <w:pPr>
              <w:pStyle w:val="TableParagraph"/>
              <w:spacing w:before="5"/>
              <w:rPr>
                <w:sz w:val="16"/>
              </w:rPr>
            </w:pPr>
          </w:p>
          <w:p>
            <w:pPr>
              <w:pStyle w:val="TableParagraph"/>
              <w:spacing w:line="196" w:lineRule="exact"/>
              <w:ind w:left="126" w:right="127"/>
              <w:jc w:val="center"/>
              <w:rPr>
                <w:sz w:val="16"/>
              </w:rPr>
            </w:pPr>
            <w:r>
              <w:rPr>
                <w:sz w:val="16"/>
              </w:rPr>
              <w:t>G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11"/>
              </w:numPr>
              <w:tabs>
                <w:tab w:pos="677" w:val="left" w:leader="none"/>
              </w:tabs>
              <w:spacing w:line="196" w:lineRule="exact" w:before="0" w:after="0"/>
              <w:ind w:left="676" w:right="0" w:hanging="115"/>
              <w:jc w:val="left"/>
              <w:rPr>
                <w:sz w:val="16"/>
              </w:rPr>
            </w:pPr>
            <w:r>
              <w:rPr>
                <w:sz w:val="16"/>
              </w:rPr>
              <w:t>10</w:t>
            </w:r>
            <w:r>
              <w:rPr>
                <w:sz w:val="16"/>
                <w:vertAlign w:val="superscript"/>
              </w:rPr>
              <w:t>-6</w:t>
            </w:r>
          </w:p>
          <w:p>
            <w:pPr>
              <w:pStyle w:val="TableParagraph"/>
              <w:spacing w:line="170" w:lineRule="exact" w:before="172"/>
              <w:ind w:right="1"/>
              <w:jc w:val="center"/>
              <w:rPr>
                <w:sz w:val="16"/>
              </w:rPr>
            </w:pPr>
            <w:r>
              <w:rPr>
                <w:w w:val="100"/>
                <w:sz w:val="16"/>
              </w:rPr>
              <w:t>G</w:t>
            </w:r>
          </w:p>
        </w:tc>
        <w:tc>
          <w:tcPr>
            <w:tcW w:w="1498" w:type="dxa"/>
            <w:gridSpan w:val="2"/>
            <w:vMerge w:val="restart"/>
            <w:shd w:val="clear" w:color="auto" w:fill="E4E4E4"/>
          </w:tcPr>
          <w:p>
            <w:pPr>
              <w:pStyle w:val="TableParagraph"/>
              <w:spacing w:line="228" w:lineRule="auto" w:before="1"/>
              <w:ind w:left="122" w:right="132"/>
              <w:jc w:val="center"/>
              <w:rPr>
                <w:sz w:val="16"/>
              </w:rPr>
            </w:pPr>
            <w:r>
              <w:rPr>
                <w:position w:val="2"/>
                <w:sz w:val="16"/>
              </w:rPr>
              <w:t>NO</w:t>
            </w:r>
            <w:r>
              <w:rPr>
                <w:sz w:val="10"/>
              </w:rPr>
              <w:t>x </w:t>
            </w:r>
            <w:r>
              <w:rPr>
                <w:position w:val="2"/>
                <w:sz w:val="16"/>
              </w:rPr>
              <w:t>Emissions </w:t>
            </w:r>
            <w:r>
              <w:rPr>
                <w:sz w:val="16"/>
              </w:rPr>
              <w:t>from fires</w:t>
            </w:r>
          </w:p>
          <w:p>
            <w:pPr>
              <w:pStyle w:val="TableParagraph"/>
              <w:spacing w:before="4"/>
              <w:rPr>
                <w:sz w:val="16"/>
              </w:rPr>
            </w:pPr>
          </w:p>
          <w:p>
            <w:pPr>
              <w:pStyle w:val="TableParagraph"/>
              <w:ind w:left="123" w:right="132"/>
              <w:jc w:val="center"/>
              <w:rPr>
                <w:sz w:val="16"/>
              </w:rPr>
            </w:pPr>
            <w:r>
              <w:rPr>
                <w:position w:val="2"/>
                <w:sz w:val="16"/>
              </w:rPr>
              <w:t>(tonnes NO</w:t>
            </w:r>
            <w:r>
              <w:rPr>
                <w:sz w:val="10"/>
              </w:rPr>
              <w:t>x</w:t>
            </w:r>
            <w:r>
              <w:rPr>
                <w:position w:val="2"/>
                <w:sz w:val="16"/>
              </w:rPr>
              <w:t>)</w:t>
            </w:r>
          </w:p>
          <w:p>
            <w:pPr>
              <w:pStyle w:val="TableParagraph"/>
              <w:spacing w:before="5"/>
              <w:rPr>
                <w:sz w:val="16"/>
              </w:rPr>
            </w:pPr>
          </w:p>
          <w:p>
            <w:pPr>
              <w:pStyle w:val="TableParagraph"/>
              <w:spacing w:line="196" w:lineRule="exact"/>
              <w:ind w:left="123" w:right="132"/>
              <w:jc w:val="center"/>
              <w:rPr>
                <w:sz w:val="16"/>
              </w:rPr>
            </w:pPr>
            <w:r>
              <w:rPr>
                <w:sz w:val="16"/>
              </w:rPr>
              <w:t>H = A </w:t>
            </w:r>
            <w:r>
              <w:rPr>
                <w:rFonts w:ascii="Symbol" w:hAnsi="Symbol"/>
                <w:sz w:val="16"/>
              </w:rPr>
              <w:t>• </w:t>
            </w:r>
            <w:r>
              <w:rPr>
                <w:sz w:val="16"/>
              </w:rPr>
              <w:t>B </w:t>
            </w:r>
            <w:r>
              <w:rPr>
                <w:rFonts w:ascii="Symbol" w:hAnsi="Symbol"/>
                <w:sz w:val="16"/>
              </w:rPr>
              <w:t>• </w:t>
            </w:r>
            <w:r>
              <w:rPr>
                <w:sz w:val="16"/>
              </w:rPr>
              <w:t>C </w:t>
            </w:r>
            <w:r>
              <w:rPr>
                <w:rFonts w:ascii="Symbol" w:hAnsi="Symbol"/>
                <w:sz w:val="16"/>
              </w:rPr>
              <w:t>• </w:t>
            </w:r>
            <w:r>
              <w:rPr>
                <w:sz w:val="16"/>
              </w:rPr>
              <w:t>D</w:t>
            </w:r>
          </w:p>
          <w:p>
            <w:pPr>
              <w:pStyle w:val="TableParagraph"/>
              <w:numPr>
                <w:ilvl w:val="0"/>
                <w:numId w:val="112"/>
              </w:numPr>
              <w:tabs>
                <w:tab w:pos="675" w:val="left" w:leader="none"/>
              </w:tabs>
              <w:spacing w:line="196" w:lineRule="exact" w:before="0" w:after="0"/>
              <w:ind w:left="674" w:right="7" w:hanging="115"/>
              <w:jc w:val="left"/>
              <w:rPr>
                <w:sz w:val="16"/>
              </w:rPr>
            </w:pPr>
            <w:r>
              <w:rPr>
                <w:sz w:val="16"/>
              </w:rPr>
              <w:t>10</w:t>
            </w:r>
            <w:r>
              <w:rPr>
                <w:sz w:val="16"/>
                <w:vertAlign w:val="superscript"/>
              </w:rPr>
              <w:t>-6</w:t>
            </w:r>
          </w:p>
          <w:p>
            <w:pPr>
              <w:pStyle w:val="TableParagraph"/>
              <w:spacing w:line="170" w:lineRule="exact" w:before="172"/>
              <w:ind w:right="6"/>
              <w:jc w:val="center"/>
              <w:rPr>
                <w:sz w:val="16"/>
              </w:rPr>
            </w:pPr>
            <w:r>
              <w:rPr>
                <w:w w:val="100"/>
                <w:sz w:val="16"/>
              </w:rPr>
              <w:t>H</w:t>
            </w:r>
          </w:p>
        </w:tc>
      </w:tr>
      <w:tr>
        <w:trPr>
          <w:trHeight w:val="1302" w:hRule="atLeast"/>
        </w:trPr>
        <w:tc>
          <w:tcPr>
            <w:tcW w:w="924" w:type="dxa"/>
            <w:shd w:val="clear" w:color="auto" w:fill="E4E4E4"/>
          </w:tcPr>
          <w:p>
            <w:pPr>
              <w:pStyle w:val="TableParagraph"/>
              <w:ind w:left="170" w:right="141" w:firstLine="98"/>
              <w:rPr>
                <w:sz w:val="16"/>
              </w:rPr>
            </w:pPr>
            <w:r>
              <w:rPr>
                <w:sz w:val="16"/>
              </w:rPr>
              <w:t>Initial Land use</w:t>
            </w:r>
          </w:p>
        </w:tc>
        <w:tc>
          <w:tcPr>
            <w:tcW w:w="950" w:type="dxa"/>
            <w:shd w:val="clear" w:color="auto" w:fill="E4E4E4"/>
          </w:tcPr>
          <w:p>
            <w:pPr>
              <w:pStyle w:val="TableParagraph"/>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1224" w:type="dxa"/>
            <w:vMerge/>
            <w:tcBorders>
              <w:top w:val="nil"/>
            </w:tcBorders>
            <w:shd w:val="clear" w:color="auto" w:fill="E4E4E4"/>
          </w:tcPr>
          <w:p>
            <w:pPr>
              <w:rPr>
                <w:sz w:val="2"/>
                <w:szCs w:val="2"/>
              </w:rPr>
            </w:pPr>
          </w:p>
        </w:tc>
        <w:tc>
          <w:tcPr>
            <w:tcW w:w="1630" w:type="dxa"/>
            <w:vMerge/>
            <w:tcBorders>
              <w:top w:val="nil"/>
            </w:tcBorders>
            <w:shd w:val="clear" w:color="auto" w:fill="E4E4E4"/>
          </w:tcPr>
          <w:p>
            <w:pPr>
              <w:rPr>
                <w:sz w:val="2"/>
                <w:szCs w:val="2"/>
              </w:rPr>
            </w:pPr>
          </w:p>
        </w:tc>
        <w:tc>
          <w:tcPr>
            <w:tcW w:w="1448" w:type="dxa"/>
            <w:vMerge/>
            <w:tcBorders>
              <w:top w:val="nil"/>
            </w:tcBorders>
            <w:shd w:val="clear" w:color="auto" w:fill="E4E4E4"/>
          </w:tcPr>
          <w:p>
            <w:pPr>
              <w:rPr>
                <w:sz w:val="2"/>
                <w:szCs w:val="2"/>
              </w:rPr>
            </w:pPr>
          </w:p>
        </w:tc>
        <w:tc>
          <w:tcPr>
            <w:tcW w:w="1448" w:type="dxa"/>
            <w:vMerge/>
            <w:tcBorders>
              <w:top w:val="nil"/>
            </w:tcBorders>
            <w:shd w:val="clear" w:color="auto" w:fill="E4E4E4"/>
          </w:tcPr>
          <w:p>
            <w:pPr>
              <w:rPr>
                <w:sz w:val="2"/>
                <w:szCs w:val="2"/>
              </w:rPr>
            </w:pPr>
          </w:p>
        </w:tc>
        <w:tc>
          <w:tcPr>
            <w:tcW w:w="1495" w:type="dxa"/>
            <w:gridSpan w:val="2"/>
            <w:vMerge/>
            <w:tcBorders>
              <w:top w:val="nil"/>
            </w:tcBorders>
            <w:shd w:val="clear" w:color="auto" w:fill="E4E4E4"/>
          </w:tcPr>
          <w:p>
            <w:pPr>
              <w:rPr>
                <w:sz w:val="2"/>
                <w:szCs w:val="2"/>
              </w:rPr>
            </w:pPr>
          </w:p>
        </w:tc>
        <w:tc>
          <w:tcPr>
            <w:tcW w:w="1494" w:type="dxa"/>
            <w:vMerge/>
            <w:tcBorders>
              <w:top w:val="nil"/>
            </w:tcBorders>
            <w:shd w:val="clear" w:color="auto" w:fill="E4E4E4"/>
          </w:tcPr>
          <w:p>
            <w:pPr>
              <w:rPr>
                <w:sz w:val="2"/>
                <w:szCs w:val="2"/>
              </w:rPr>
            </w:pPr>
          </w:p>
        </w:tc>
        <w:tc>
          <w:tcPr>
            <w:tcW w:w="1495" w:type="dxa"/>
            <w:gridSpan w:val="2"/>
            <w:vMerge/>
            <w:tcBorders>
              <w:top w:val="nil"/>
            </w:tcBorders>
            <w:shd w:val="clear" w:color="auto" w:fill="E4E4E4"/>
          </w:tcPr>
          <w:p>
            <w:pPr>
              <w:rPr>
                <w:sz w:val="2"/>
                <w:szCs w:val="2"/>
              </w:rPr>
            </w:pPr>
          </w:p>
        </w:tc>
        <w:tc>
          <w:tcPr>
            <w:tcW w:w="1498" w:type="dxa"/>
            <w:gridSpan w:val="2"/>
            <w:vMerge/>
            <w:tcBorders>
              <w:top w:val="nil"/>
            </w:tcBorders>
            <w:shd w:val="clear" w:color="auto" w:fill="E4E4E4"/>
          </w:tcPr>
          <w:p>
            <w:pPr>
              <w:rPr>
                <w:sz w:val="2"/>
                <w:szCs w:val="2"/>
              </w:rPr>
            </w:pPr>
          </w:p>
        </w:tc>
      </w:tr>
      <w:tr>
        <w:trPr>
          <w:trHeight w:val="278" w:hRule="atLeast"/>
        </w:trPr>
        <w:tc>
          <w:tcPr>
            <w:tcW w:w="924" w:type="dxa"/>
          </w:tcPr>
          <w:p>
            <w:pPr>
              <w:pStyle w:val="TableParagraph"/>
              <w:spacing w:before="42"/>
              <w:ind w:left="107"/>
              <w:rPr>
                <w:sz w:val="16"/>
              </w:rPr>
            </w:pPr>
            <w:r>
              <w:rPr>
                <w:sz w:val="16"/>
              </w:rPr>
              <w:t>FL</w:t>
            </w:r>
          </w:p>
        </w:tc>
        <w:tc>
          <w:tcPr>
            <w:tcW w:w="950" w:type="dxa"/>
          </w:tcPr>
          <w:p>
            <w:pPr>
              <w:pStyle w:val="TableParagraph"/>
              <w:spacing w:before="42"/>
              <w:ind w:left="107"/>
              <w:rPr>
                <w:sz w:val="16"/>
              </w:rPr>
            </w:pPr>
            <w:r>
              <w:rPr>
                <w:sz w:val="16"/>
              </w:rPr>
              <w:t>GL</w:t>
            </w:r>
          </w:p>
        </w:tc>
        <w:tc>
          <w:tcPr>
            <w:tcW w:w="1027" w:type="dxa"/>
          </w:tcPr>
          <w:p>
            <w:pPr>
              <w:pStyle w:val="TableParagraph"/>
              <w:spacing w:before="42"/>
              <w:ind w:left="108"/>
              <w:rPr>
                <w:sz w:val="16"/>
              </w:rPr>
            </w:pPr>
            <w:r>
              <w:rPr>
                <w:sz w:val="16"/>
              </w:rPr>
              <w:t>(a)</w:t>
            </w:r>
          </w:p>
        </w:tc>
        <w:tc>
          <w:tcPr>
            <w:tcW w:w="1224" w:type="dxa"/>
          </w:tcPr>
          <w:p>
            <w:pPr>
              <w:pStyle w:val="TableParagraph"/>
              <w:spacing w:before="45"/>
              <w:ind w:left="11"/>
              <w:jc w:val="center"/>
              <w:rPr>
                <w:b/>
                <w:sz w:val="16"/>
              </w:rPr>
            </w:pPr>
            <w:r>
              <w:rPr>
                <w:b/>
                <w:w w:val="100"/>
                <w:sz w:val="16"/>
              </w:rPr>
              <w:t>A</w:t>
            </w:r>
          </w:p>
        </w:tc>
        <w:tc>
          <w:tcPr>
            <w:tcW w:w="1630" w:type="dxa"/>
          </w:tcPr>
          <w:p>
            <w:pPr>
              <w:pStyle w:val="TableParagraph"/>
              <w:spacing w:before="45"/>
              <w:ind w:left="9"/>
              <w:jc w:val="center"/>
              <w:rPr>
                <w:b/>
                <w:sz w:val="16"/>
              </w:rPr>
            </w:pPr>
            <w:r>
              <w:rPr>
                <w:b/>
                <w:w w:val="100"/>
                <w:sz w:val="16"/>
              </w:rPr>
              <w:t>B</w:t>
            </w:r>
          </w:p>
        </w:tc>
        <w:tc>
          <w:tcPr>
            <w:tcW w:w="1448" w:type="dxa"/>
          </w:tcPr>
          <w:p>
            <w:pPr>
              <w:pStyle w:val="TableParagraph"/>
              <w:spacing w:before="45"/>
              <w:ind w:left="7"/>
              <w:jc w:val="center"/>
              <w:rPr>
                <w:b/>
                <w:sz w:val="16"/>
              </w:rPr>
            </w:pPr>
            <w:r>
              <w:rPr>
                <w:b/>
                <w:w w:val="100"/>
                <w:sz w:val="16"/>
              </w:rPr>
              <w:t>C</w:t>
            </w:r>
          </w:p>
        </w:tc>
        <w:tc>
          <w:tcPr>
            <w:tcW w:w="1448" w:type="dxa"/>
          </w:tcPr>
          <w:p>
            <w:pPr>
              <w:pStyle w:val="TableParagraph"/>
              <w:spacing w:before="25"/>
              <w:ind w:left="563"/>
              <w:rPr>
                <w:b/>
                <w:sz w:val="10"/>
              </w:rPr>
            </w:pPr>
            <w:r>
              <w:rPr>
                <w:b/>
                <w:position w:val="2"/>
                <w:sz w:val="16"/>
              </w:rPr>
              <w:t>D</w:t>
            </w:r>
            <w:r>
              <w:rPr>
                <w:b/>
                <w:sz w:val="10"/>
              </w:rPr>
              <w:t>CH</w:t>
            </w:r>
            <w:r>
              <w:rPr>
                <w:b/>
                <w:position w:val="-3"/>
                <w:sz w:val="10"/>
              </w:rPr>
              <w:t>4</w:t>
            </w:r>
          </w:p>
        </w:tc>
        <w:tc>
          <w:tcPr>
            <w:tcW w:w="109" w:type="dxa"/>
            <w:tcBorders>
              <w:right w:val="nil"/>
            </w:tcBorders>
          </w:tcPr>
          <w:p>
            <w:pPr>
              <w:pStyle w:val="TableParagraph"/>
              <w:rPr>
                <w:sz w:val="16"/>
              </w:rPr>
            </w:pPr>
          </w:p>
        </w:tc>
        <w:tc>
          <w:tcPr>
            <w:tcW w:w="1386" w:type="dxa"/>
            <w:tcBorders>
              <w:left w:val="nil"/>
            </w:tcBorders>
          </w:tcPr>
          <w:p>
            <w:pPr>
              <w:pStyle w:val="TableParagraph"/>
              <w:spacing w:before="44"/>
              <w:ind w:left="472" w:right="571"/>
              <w:jc w:val="center"/>
              <w:rPr>
                <w:b/>
                <w:sz w:val="10"/>
              </w:rPr>
            </w:pPr>
            <w:r>
              <w:rPr>
                <w:b/>
                <w:position w:val="2"/>
                <w:sz w:val="16"/>
              </w:rPr>
              <w:t>CH</w:t>
            </w:r>
            <w:r>
              <w:rPr>
                <w:b/>
                <w:sz w:val="10"/>
              </w:rPr>
              <w:t>4</w:t>
            </w:r>
          </w:p>
        </w:tc>
        <w:tc>
          <w:tcPr>
            <w:tcW w:w="1494" w:type="dxa"/>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89"/>
              <w:rPr>
                <w:b/>
                <w:sz w:val="10"/>
              </w:rPr>
            </w:pPr>
            <w:r>
              <w:rPr>
                <w:b/>
                <w:position w:val="2"/>
                <w:sz w:val="16"/>
              </w:rPr>
              <w:t>D</w:t>
            </w:r>
            <w:r>
              <w:rPr>
                <w:b/>
                <w:sz w:val="10"/>
              </w:rPr>
              <w:t>CO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tcPr>
          <w:p>
            <w:pPr>
              <w:pStyle w:val="TableParagraph"/>
              <w:spacing w:before="25"/>
              <w:ind w:left="102" w:right="102"/>
              <w:jc w:val="center"/>
              <w:rPr>
                <w:b/>
                <w:sz w:val="16"/>
              </w:rPr>
            </w:pPr>
            <w:r>
              <w:rPr>
                <w:b/>
                <w:sz w:val="16"/>
              </w:rPr>
              <w:t>CO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80"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63"/>
              <w:rPr>
                <w:b/>
                <w:sz w:val="10"/>
              </w:rPr>
            </w:pPr>
            <w:r>
              <w:rPr>
                <w:b/>
                <w:position w:val="2"/>
                <w:sz w:val="16"/>
              </w:rPr>
              <w:t>D</w:t>
            </w:r>
            <w:r>
              <w:rPr>
                <w:b/>
                <w:sz w:val="10"/>
              </w:rPr>
              <w:t>N</w:t>
            </w:r>
            <w:r>
              <w:rPr>
                <w:b/>
                <w:position w:val="-3"/>
                <w:sz w:val="10"/>
              </w:rPr>
              <w:t>2</w:t>
            </w:r>
            <w:r>
              <w:rPr>
                <w:b/>
                <w:sz w:val="10"/>
              </w:rPr>
              <w:t>O</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shd w:val="clear" w:color="auto" w:fill="7F7F7F"/>
          </w:tcPr>
          <w:p>
            <w:pPr>
              <w:pStyle w:val="TableParagraph"/>
              <w:rPr>
                <w:sz w:val="16"/>
              </w:rPr>
            </w:pPr>
          </w:p>
        </w:tc>
        <w:tc>
          <w:tcPr>
            <w:tcW w:w="109" w:type="dxa"/>
            <w:tcBorders>
              <w:right w:val="nil"/>
            </w:tcBorders>
          </w:tcPr>
          <w:p>
            <w:pPr>
              <w:pStyle w:val="TableParagraph"/>
              <w:rPr>
                <w:sz w:val="16"/>
              </w:rPr>
            </w:pPr>
          </w:p>
        </w:tc>
        <w:tc>
          <w:tcPr>
            <w:tcW w:w="1386" w:type="dxa"/>
            <w:tcBorders>
              <w:left w:val="nil"/>
            </w:tcBorders>
          </w:tcPr>
          <w:p>
            <w:pPr>
              <w:pStyle w:val="TableParagraph"/>
              <w:spacing w:before="44"/>
              <w:ind w:left="469" w:right="575"/>
              <w:jc w:val="center"/>
              <w:rPr>
                <w:b/>
                <w:sz w:val="16"/>
              </w:rPr>
            </w:pPr>
            <w:r>
              <w:rPr>
                <w:b/>
                <w:position w:val="2"/>
                <w:sz w:val="16"/>
              </w:rPr>
              <w:t>N</w:t>
            </w:r>
            <w:r>
              <w:rPr>
                <w:b/>
                <w:sz w:val="10"/>
              </w:rPr>
              <w:t>2</w:t>
            </w:r>
            <w:r>
              <w:rPr>
                <w:b/>
                <w:position w:val="2"/>
                <w:sz w:val="16"/>
              </w:rPr>
              <w:t>O</w:t>
            </w:r>
          </w:p>
        </w:tc>
        <w:tc>
          <w:tcPr>
            <w:tcW w:w="109" w:type="dxa"/>
            <w:tcBorders>
              <w:right w:val="nil"/>
            </w:tcBorders>
            <w:shd w:val="clear" w:color="auto" w:fill="7F7F7F"/>
          </w:tcPr>
          <w:p>
            <w:pPr>
              <w:pStyle w:val="TableParagraph"/>
              <w:rPr>
                <w:sz w:val="16"/>
              </w:rPr>
            </w:pPr>
          </w:p>
        </w:tc>
        <w:tc>
          <w:tcPr>
            <w:tcW w:w="1389" w:type="dxa"/>
            <w:tcBorders>
              <w:left w:val="nil"/>
            </w:tcBorders>
            <w:shd w:val="clear" w:color="auto" w:fill="7F7F7F"/>
          </w:tcPr>
          <w:p>
            <w:pPr>
              <w:pStyle w:val="TableParagraph"/>
              <w:rPr>
                <w:sz w:val="16"/>
              </w:rPr>
            </w:pPr>
          </w:p>
        </w:tc>
      </w:tr>
      <w:tr>
        <w:trPr>
          <w:trHeight w:val="280"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spacing w:before="25"/>
              <w:ind w:left="565"/>
              <w:rPr>
                <w:b/>
                <w:sz w:val="10"/>
              </w:rPr>
            </w:pPr>
            <w:r>
              <w:rPr>
                <w:b/>
                <w:position w:val="2"/>
                <w:sz w:val="16"/>
              </w:rPr>
              <w:t>D</w:t>
            </w:r>
            <w:r>
              <w:rPr>
                <w:b/>
                <w:sz w:val="10"/>
              </w:rPr>
              <w:t>NO</w:t>
            </w:r>
            <w:r>
              <w:rPr>
                <w:b/>
                <w:position w:val="-3"/>
                <w:sz w:val="10"/>
              </w:rPr>
              <w:t>x</w:t>
            </w: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494" w:type="dxa"/>
            <w:shd w:val="clear" w:color="auto" w:fill="7F7F7F"/>
          </w:tcPr>
          <w:p>
            <w:pPr>
              <w:pStyle w:val="TableParagraph"/>
              <w:rPr>
                <w:sz w:val="16"/>
              </w:rPr>
            </w:pPr>
          </w:p>
        </w:tc>
        <w:tc>
          <w:tcPr>
            <w:tcW w:w="109" w:type="dxa"/>
            <w:tcBorders>
              <w:right w:val="nil"/>
            </w:tcBorders>
            <w:shd w:val="clear" w:color="auto" w:fill="7F7F7F"/>
          </w:tcPr>
          <w:p>
            <w:pPr>
              <w:pStyle w:val="TableParagraph"/>
              <w:rPr>
                <w:sz w:val="16"/>
              </w:rPr>
            </w:pPr>
          </w:p>
        </w:tc>
        <w:tc>
          <w:tcPr>
            <w:tcW w:w="1386" w:type="dxa"/>
            <w:tcBorders>
              <w:left w:val="nil"/>
            </w:tcBorders>
            <w:shd w:val="clear" w:color="auto" w:fill="7F7F7F"/>
          </w:tcPr>
          <w:p>
            <w:pPr>
              <w:pStyle w:val="TableParagraph"/>
              <w:rPr>
                <w:sz w:val="16"/>
              </w:rPr>
            </w:pPr>
          </w:p>
        </w:tc>
        <w:tc>
          <w:tcPr>
            <w:tcW w:w="109" w:type="dxa"/>
            <w:tcBorders>
              <w:right w:val="nil"/>
            </w:tcBorders>
          </w:tcPr>
          <w:p>
            <w:pPr>
              <w:pStyle w:val="TableParagraph"/>
              <w:rPr>
                <w:sz w:val="16"/>
              </w:rPr>
            </w:pPr>
          </w:p>
        </w:tc>
        <w:tc>
          <w:tcPr>
            <w:tcW w:w="1389" w:type="dxa"/>
            <w:tcBorders>
              <w:left w:val="nil"/>
            </w:tcBorders>
          </w:tcPr>
          <w:p>
            <w:pPr>
              <w:pStyle w:val="TableParagraph"/>
              <w:spacing w:before="44"/>
              <w:ind w:left="472" w:right="581"/>
              <w:jc w:val="center"/>
              <w:rPr>
                <w:b/>
                <w:sz w:val="10"/>
              </w:rPr>
            </w:pPr>
            <w:r>
              <w:rPr>
                <w:b/>
                <w:position w:val="2"/>
                <w:sz w:val="16"/>
              </w:rPr>
              <w:t>NO</w:t>
            </w:r>
            <w:r>
              <w:rPr>
                <w:b/>
                <w:sz w:val="10"/>
              </w:rPr>
              <w:t>x</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GL</w:t>
            </w:r>
          </w:p>
        </w:tc>
        <w:tc>
          <w:tcPr>
            <w:tcW w:w="1027" w:type="dxa"/>
          </w:tcPr>
          <w:p>
            <w:pPr>
              <w:pStyle w:val="TableParagraph"/>
              <w:spacing w:before="23"/>
              <w:ind w:left="108"/>
              <w:rPr>
                <w:sz w:val="16"/>
              </w:rPr>
            </w:pPr>
            <w:r>
              <w:rPr>
                <w:sz w:val="16"/>
              </w:rPr>
              <w:t>(a)</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r>
        <w:trPr>
          <w:trHeight w:val="242"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1224" w:type="dxa"/>
          </w:tcPr>
          <w:p>
            <w:pPr>
              <w:pStyle w:val="TableParagraph"/>
              <w:rPr>
                <w:sz w:val="16"/>
              </w:rPr>
            </w:pPr>
          </w:p>
        </w:tc>
        <w:tc>
          <w:tcPr>
            <w:tcW w:w="1630" w:type="dxa"/>
          </w:tcPr>
          <w:p>
            <w:pPr>
              <w:pStyle w:val="TableParagraph"/>
              <w:rPr>
                <w:sz w:val="16"/>
              </w:rPr>
            </w:pPr>
          </w:p>
        </w:tc>
        <w:tc>
          <w:tcPr>
            <w:tcW w:w="1448" w:type="dxa"/>
          </w:tcPr>
          <w:p>
            <w:pPr>
              <w:pStyle w:val="TableParagraph"/>
              <w:rPr>
                <w:sz w:val="16"/>
              </w:rPr>
            </w:pPr>
          </w:p>
        </w:tc>
        <w:tc>
          <w:tcPr>
            <w:tcW w:w="1448" w:type="dxa"/>
          </w:tcPr>
          <w:p>
            <w:pPr>
              <w:pStyle w:val="TableParagraph"/>
              <w:rPr>
                <w:sz w:val="16"/>
              </w:rPr>
            </w:pPr>
          </w:p>
        </w:tc>
        <w:tc>
          <w:tcPr>
            <w:tcW w:w="1495" w:type="dxa"/>
            <w:gridSpan w:val="2"/>
          </w:tcPr>
          <w:p>
            <w:pPr>
              <w:pStyle w:val="TableParagraph"/>
              <w:rPr>
                <w:sz w:val="16"/>
              </w:rPr>
            </w:pPr>
          </w:p>
        </w:tc>
        <w:tc>
          <w:tcPr>
            <w:tcW w:w="1494" w:type="dxa"/>
          </w:tcPr>
          <w:p>
            <w:pPr>
              <w:pStyle w:val="TableParagraph"/>
              <w:rPr>
                <w:sz w:val="16"/>
              </w:rPr>
            </w:pPr>
          </w:p>
        </w:tc>
        <w:tc>
          <w:tcPr>
            <w:tcW w:w="1495" w:type="dxa"/>
            <w:gridSpan w:val="2"/>
          </w:tcPr>
          <w:p>
            <w:pPr>
              <w:pStyle w:val="TableParagraph"/>
              <w:rPr>
                <w:sz w:val="16"/>
              </w:rPr>
            </w:pPr>
          </w:p>
        </w:tc>
        <w:tc>
          <w:tcPr>
            <w:tcW w:w="1498" w:type="dxa"/>
            <w:gridSpan w:val="2"/>
          </w:tcPr>
          <w:p>
            <w:pPr>
              <w:pStyle w:val="TableParagraph"/>
              <w:rPr>
                <w:sz w:val="16"/>
              </w:rPr>
            </w:pPr>
          </w:p>
        </w:tc>
      </w:tr>
    </w:tbl>
    <w:p>
      <w:pPr>
        <w:spacing w:after="0"/>
        <w:rPr>
          <w:sz w:val="16"/>
        </w:rPr>
        <w:sectPr>
          <w:footerReference w:type="even" r:id="rId237"/>
          <w:footerReference w:type="default" r:id="rId238"/>
          <w:pgSz w:w="16840" w:h="11900" w:orient="landscape"/>
          <w:pgMar w:footer="1128" w:header="1150" w:top="740" w:bottom="1320" w:left="1200" w:right="460"/>
          <w:pgNumType w:start="242"/>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234"/>
        <w:gridCol w:w="2265"/>
        <w:gridCol w:w="2699"/>
        <w:gridCol w:w="25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0" w:type="dxa"/>
            <w:gridSpan w:val="6"/>
          </w:tcPr>
          <w:p>
            <w:pPr>
              <w:pStyle w:val="TableParagraph"/>
              <w:spacing w:before="26"/>
              <w:ind w:left="108"/>
              <w:rPr>
                <w:b/>
                <w:sz w:val="20"/>
              </w:rPr>
            </w:pPr>
            <w:r>
              <w:rPr>
                <w:b/>
                <w:sz w:val="20"/>
              </w:rPr>
              <w:t>Wetlands</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0" w:type="dxa"/>
            <w:gridSpan w:val="6"/>
          </w:tcPr>
          <w:p>
            <w:pPr>
              <w:pStyle w:val="TableParagraph"/>
              <w:spacing w:before="26"/>
              <w:ind w:left="108"/>
              <w:rPr>
                <w:b/>
                <w:sz w:val="20"/>
              </w:rPr>
            </w:pPr>
            <w:r>
              <w:rPr>
                <w:b/>
                <w:sz w:val="20"/>
              </w:rPr>
              <w:t>Wetlands Remaining Wetlands (Organic soils managed for peat extraction)</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0" w:type="dxa"/>
            <w:gridSpan w:val="6"/>
          </w:tcPr>
          <w:p>
            <w:pPr>
              <w:pStyle w:val="TableParagraph"/>
              <w:spacing w:before="26"/>
              <w:ind w:left="108"/>
              <w:rPr>
                <w:b/>
                <w:sz w:val="20"/>
              </w:rPr>
            </w:pPr>
            <w:r>
              <w:rPr>
                <w:b/>
                <w:sz w:val="20"/>
              </w:rPr>
              <w:t>WL-1c: Annual carbon stock change in soil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0" w:type="dxa"/>
            <w:gridSpan w:val="6"/>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16" w:right="102"/>
              <w:jc w:val="center"/>
              <w:rPr>
                <w:sz w:val="16"/>
              </w:rPr>
            </w:pPr>
            <w:r>
              <w:rPr>
                <w:sz w:val="16"/>
              </w:rPr>
              <w:t>Area of nutrient rich organic soils managed for peat extraction, including abandoned areas in which drainage is still present</w:t>
            </w:r>
          </w:p>
          <w:p>
            <w:pPr>
              <w:pStyle w:val="TableParagraph"/>
              <w:spacing w:line="380" w:lineRule="exact" w:before="29"/>
              <w:ind w:left="902" w:right="891"/>
              <w:jc w:val="center"/>
              <w:rPr>
                <w:sz w:val="16"/>
              </w:rPr>
            </w:pPr>
            <w:r>
              <w:rPr>
                <w:sz w:val="16"/>
              </w:rPr>
              <w:t>(ha) A</w:t>
            </w:r>
          </w:p>
        </w:tc>
        <w:tc>
          <w:tcPr>
            <w:tcW w:w="2234" w:type="dxa"/>
            <w:vMerge w:val="restart"/>
            <w:shd w:val="clear" w:color="auto" w:fill="E4E4E4"/>
          </w:tcPr>
          <w:p>
            <w:pPr>
              <w:pStyle w:val="TableParagraph"/>
              <w:spacing w:line="235" w:lineRule="auto" w:before="25"/>
              <w:ind w:left="166" w:right="154"/>
              <w:jc w:val="center"/>
              <w:rPr>
                <w:sz w:val="16"/>
              </w:rPr>
            </w:pPr>
            <w:r>
              <w:rPr>
                <w:position w:val="2"/>
                <w:sz w:val="16"/>
              </w:rPr>
              <w:t>Emission factor for CO</w:t>
            </w:r>
            <w:r>
              <w:rPr>
                <w:sz w:val="10"/>
              </w:rPr>
              <w:t>2 </w:t>
            </w:r>
            <w:r>
              <w:rPr>
                <w:position w:val="2"/>
                <w:sz w:val="16"/>
              </w:rPr>
              <w:t>from </w:t>
            </w:r>
            <w:r>
              <w:rPr>
                <w:sz w:val="16"/>
              </w:rPr>
              <w:t>nutrient rich organic soils managed for peat extraction</w:t>
            </w:r>
          </w:p>
          <w:p>
            <w:pPr>
              <w:pStyle w:val="TableParagraph"/>
              <w:rPr>
                <w:sz w:val="16"/>
              </w:rPr>
            </w:pPr>
          </w:p>
          <w:p>
            <w:pPr>
              <w:pStyle w:val="TableParagraph"/>
              <w:ind w:left="164" w:right="154"/>
              <w:jc w:val="center"/>
              <w:rPr>
                <w:sz w:val="16"/>
              </w:rPr>
            </w:pPr>
            <w:r>
              <w:rPr>
                <w:sz w:val="16"/>
              </w:rPr>
              <w:t>(tonnes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11"/>
              <w:jc w:val="center"/>
              <w:rPr>
                <w:sz w:val="16"/>
              </w:rPr>
            </w:pPr>
            <w:r>
              <w:rPr>
                <w:w w:val="100"/>
                <w:sz w:val="16"/>
              </w:rPr>
              <w:t>B</w:t>
            </w:r>
          </w:p>
        </w:tc>
        <w:tc>
          <w:tcPr>
            <w:tcW w:w="2265" w:type="dxa"/>
            <w:vMerge w:val="restart"/>
            <w:shd w:val="clear" w:color="auto" w:fill="E4E4E4"/>
          </w:tcPr>
          <w:p>
            <w:pPr>
              <w:pStyle w:val="TableParagraph"/>
              <w:spacing w:before="23"/>
              <w:ind w:left="195" w:right="182"/>
              <w:jc w:val="center"/>
              <w:rPr>
                <w:sz w:val="16"/>
              </w:rPr>
            </w:pPr>
            <w:r>
              <w:rPr>
                <w:sz w:val="16"/>
              </w:rPr>
              <w:t>Area of nutrient poor organic soils managed for peat extraction, including abandoned areas in which drainage is still present</w:t>
            </w:r>
          </w:p>
          <w:p>
            <w:pPr>
              <w:pStyle w:val="TableParagraph"/>
              <w:spacing w:line="380" w:lineRule="exact" w:before="29"/>
              <w:ind w:left="1004" w:right="988"/>
              <w:jc w:val="center"/>
              <w:rPr>
                <w:sz w:val="16"/>
              </w:rPr>
            </w:pPr>
            <w:r>
              <w:rPr>
                <w:sz w:val="16"/>
              </w:rPr>
              <w:t>(ha) C</w:t>
            </w:r>
          </w:p>
        </w:tc>
        <w:tc>
          <w:tcPr>
            <w:tcW w:w="2699" w:type="dxa"/>
            <w:vMerge w:val="restart"/>
            <w:shd w:val="clear" w:color="auto" w:fill="E4E4E4"/>
          </w:tcPr>
          <w:p>
            <w:pPr>
              <w:pStyle w:val="TableParagraph"/>
              <w:spacing w:line="235" w:lineRule="auto" w:before="25"/>
              <w:ind w:left="133" w:right="117"/>
              <w:jc w:val="center"/>
              <w:rPr>
                <w:sz w:val="16"/>
              </w:rPr>
            </w:pPr>
            <w:r>
              <w:rPr>
                <w:position w:val="2"/>
                <w:sz w:val="16"/>
              </w:rPr>
              <w:t>Emission factor for CO</w:t>
            </w:r>
            <w:r>
              <w:rPr>
                <w:sz w:val="10"/>
              </w:rPr>
              <w:t>2 </w:t>
            </w:r>
            <w:r>
              <w:rPr>
                <w:position w:val="2"/>
                <w:sz w:val="16"/>
              </w:rPr>
              <w:t>from nutrient </w:t>
            </w:r>
            <w:r>
              <w:rPr>
                <w:sz w:val="16"/>
              </w:rPr>
              <w:t>poor organic soils managed for peat extraction</w:t>
            </w:r>
          </w:p>
          <w:p>
            <w:pPr>
              <w:pStyle w:val="TableParagraph"/>
              <w:rPr>
                <w:sz w:val="16"/>
              </w:rPr>
            </w:pPr>
          </w:p>
          <w:p>
            <w:pPr>
              <w:pStyle w:val="TableParagraph"/>
              <w:ind w:left="129" w:right="117"/>
              <w:jc w:val="center"/>
              <w:rPr>
                <w:sz w:val="16"/>
              </w:rPr>
            </w:pPr>
            <w:r>
              <w:rPr>
                <w:sz w:val="16"/>
              </w:rPr>
              <w:t>(tonnes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13"/>
              <w:jc w:val="center"/>
              <w:rPr>
                <w:sz w:val="16"/>
              </w:rPr>
            </w:pPr>
            <w:r>
              <w:rPr>
                <w:w w:val="100"/>
                <w:sz w:val="16"/>
              </w:rPr>
              <w:t>D</w:t>
            </w:r>
          </w:p>
        </w:tc>
        <w:tc>
          <w:tcPr>
            <w:tcW w:w="2519" w:type="dxa"/>
            <w:vMerge w:val="restart"/>
            <w:shd w:val="clear" w:color="auto" w:fill="E4E4E4"/>
          </w:tcPr>
          <w:p>
            <w:pPr>
              <w:pStyle w:val="TableParagraph"/>
              <w:spacing w:line="232" w:lineRule="auto" w:before="27"/>
              <w:ind w:left="156" w:right="136"/>
              <w:jc w:val="center"/>
              <w:rPr>
                <w:sz w:val="16"/>
              </w:rPr>
            </w:pPr>
            <w:r>
              <w:rPr>
                <w:position w:val="2"/>
                <w:sz w:val="16"/>
              </w:rPr>
              <w:t>CO</w:t>
            </w:r>
            <w:r>
              <w:rPr>
                <w:sz w:val="10"/>
              </w:rPr>
              <w:t>2 </w:t>
            </w:r>
            <w:r>
              <w:rPr>
                <w:position w:val="2"/>
                <w:sz w:val="16"/>
              </w:rPr>
              <w:t>emissions from organic soils </w:t>
            </w:r>
            <w:r>
              <w:rPr>
                <w:sz w:val="16"/>
              </w:rPr>
              <w:t>managed for peat extraction</w:t>
            </w:r>
          </w:p>
          <w:p>
            <w:pPr>
              <w:pStyle w:val="TableParagraph"/>
              <w:rPr>
                <w:sz w:val="16"/>
              </w:rPr>
            </w:pPr>
          </w:p>
          <w:p>
            <w:pPr>
              <w:pStyle w:val="TableParagraph"/>
              <w:ind w:left="156" w:right="101"/>
              <w:jc w:val="center"/>
              <w:rPr>
                <w:sz w:val="16"/>
              </w:rPr>
            </w:pPr>
            <w:r>
              <w:rPr>
                <w:sz w:val="16"/>
              </w:rPr>
              <w:t>(tonnes C yr</w:t>
            </w:r>
            <w:r>
              <w:rPr>
                <w:sz w:val="16"/>
                <w:vertAlign w:val="superscript"/>
              </w:rPr>
              <w:t>-1</w:t>
            </w:r>
            <w:r>
              <w:rPr>
                <w:sz w:val="16"/>
                <w:vertAlign w:val="baseline"/>
              </w:rPr>
              <w:t>)</w:t>
            </w:r>
          </w:p>
          <w:p>
            <w:pPr>
              <w:pStyle w:val="TableParagraph"/>
              <w:rPr>
                <w:sz w:val="17"/>
              </w:rPr>
            </w:pPr>
          </w:p>
          <w:p>
            <w:pPr>
              <w:pStyle w:val="TableParagraph"/>
              <w:ind w:left="151" w:right="137"/>
              <w:jc w:val="center"/>
              <w:rPr>
                <w:sz w:val="16"/>
              </w:rPr>
            </w:pPr>
            <w:r>
              <w:rPr>
                <w:sz w:val="16"/>
              </w:rPr>
              <w:t>E = (A </w:t>
            </w:r>
            <w:r>
              <w:rPr>
                <w:rFonts w:ascii="Symbol" w:hAnsi="Symbol"/>
                <w:sz w:val="16"/>
              </w:rPr>
              <w:t>• </w:t>
            </w:r>
            <w:r>
              <w:rPr>
                <w:sz w:val="16"/>
              </w:rPr>
              <w:t>B) + (C </w:t>
            </w:r>
            <w:r>
              <w:rPr>
                <w:rFonts w:ascii="Symbol" w:hAnsi="Symbol"/>
                <w:sz w:val="16"/>
              </w:rPr>
              <w:t>• </w:t>
            </w:r>
            <w:r>
              <w:rPr>
                <w:sz w:val="16"/>
              </w:rPr>
              <w:t>D)</w:t>
            </w:r>
          </w:p>
          <w:p>
            <w:pPr>
              <w:pStyle w:val="TableParagraph"/>
              <w:rPr>
                <w:sz w:val="20"/>
              </w:rPr>
            </w:pPr>
          </w:p>
          <w:p>
            <w:pPr>
              <w:pStyle w:val="TableParagraph"/>
              <w:spacing w:line="168" w:lineRule="exact" w:before="125"/>
              <w:ind w:left="14"/>
              <w:jc w:val="center"/>
              <w:rPr>
                <w:sz w:val="16"/>
              </w:rPr>
            </w:pPr>
            <w:r>
              <w:rPr>
                <w:w w:val="100"/>
                <w:sz w:val="16"/>
              </w:rPr>
              <w:t>E</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234" w:type="dxa"/>
            <w:vMerge/>
            <w:tcBorders>
              <w:top w:val="nil"/>
            </w:tcBorders>
            <w:shd w:val="clear" w:color="auto" w:fill="E4E4E4"/>
          </w:tcPr>
          <w:p>
            <w:pPr>
              <w:rPr>
                <w:sz w:val="2"/>
                <w:szCs w:val="2"/>
              </w:rPr>
            </w:pPr>
          </w:p>
        </w:tc>
        <w:tc>
          <w:tcPr>
            <w:tcW w:w="2265" w:type="dxa"/>
            <w:vMerge/>
            <w:tcBorders>
              <w:top w:val="nil"/>
            </w:tcBorders>
            <w:shd w:val="clear" w:color="auto" w:fill="E4E4E4"/>
          </w:tcPr>
          <w:p>
            <w:pPr>
              <w:rPr>
                <w:sz w:val="2"/>
                <w:szCs w:val="2"/>
              </w:rPr>
            </w:pPr>
          </w:p>
        </w:tc>
        <w:tc>
          <w:tcPr>
            <w:tcW w:w="2699" w:type="dxa"/>
            <w:vMerge/>
            <w:tcBorders>
              <w:top w:val="nil"/>
            </w:tcBorders>
            <w:shd w:val="clear" w:color="auto" w:fill="E4E4E4"/>
          </w:tcPr>
          <w:p>
            <w:pPr>
              <w:rPr>
                <w:sz w:val="2"/>
                <w:szCs w:val="2"/>
              </w:rPr>
            </w:pPr>
          </w:p>
        </w:tc>
        <w:tc>
          <w:tcPr>
            <w:tcW w:w="2519" w:type="dxa"/>
            <w:vMerge/>
            <w:tcBorders>
              <w:top w:val="nil"/>
            </w:tcBorders>
            <w:shd w:val="clear" w:color="auto" w:fill="E4E4E4"/>
          </w:tcPr>
          <w:p>
            <w:pPr>
              <w:rPr>
                <w:sz w:val="2"/>
                <w:szCs w:val="2"/>
              </w:rPr>
            </w:pPr>
          </w:p>
        </w:tc>
      </w:tr>
      <w:tr>
        <w:trPr>
          <w:trHeight w:val="201" w:hRule="atLeast"/>
        </w:trPr>
        <w:tc>
          <w:tcPr>
            <w:tcW w:w="924" w:type="dxa"/>
          </w:tcPr>
          <w:p>
            <w:pPr>
              <w:pStyle w:val="TableParagraph"/>
              <w:spacing w:line="169" w:lineRule="exact"/>
              <w:ind w:left="107"/>
              <w:rPr>
                <w:sz w:val="16"/>
              </w:rPr>
            </w:pPr>
            <w:r>
              <w:rPr>
                <w:sz w:val="16"/>
              </w:rPr>
              <w:t>WL</w:t>
            </w:r>
          </w:p>
        </w:tc>
        <w:tc>
          <w:tcPr>
            <w:tcW w:w="950" w:type="dxa"/>
          </w:tcPr>
          <w:p>
            <w:pPr>
              <w:pStyle w:val="TableParagraph"/>
              <w:spacing w:line="169" w:lineRule="exact"/>
              <w:ind w:left="107"/>
              <w:rPr>
                <w:sz w:val="16"/>
              </w:rPr>
            </w:pPr>
            <w:r>
              <w:rPr>
                <w:sz w:val="16"/>
              </w:rPr>
              <w:t>WL</w:t>
            </w:r>
          </w:p>
        </w:tc>
        <w:tc>
          <w:tcPr>
            <w:tcW w:w="1027" w:type="dxa"/>
          </w:tcPr>
          <w:p>
            <w:pPr>
              <w:pStyle w:val="TableParagraph"/>
              <w:spacing w:line="169" w:lineRule="exact"/>
              <w:ind w:left="108"/>
              <w:rPr>
                <w:sz w:val="16"/>
              </w:rPr>
            </w:pPr>
            <w:r>
              <w:rPr>
                <w:sz w:val="16"/>
              </w:rPr>
              <w:t>(a)</w:t>
            </w:r>
          </w:p>
        </w:tc>
        <w:tc>
          <w:tcPr>
            <w:tcW w:w="2066" w:type="dxa"/>
          </w:tcPr>
          <w:p>
            <w:pPr>
              <w:pStyle w:val="TableParagraph"/>
              <w:rPr>
                <w:sz w:val="14"/>
              </w:rPr>
            </w:pPr>
          </w:p>
        </w:tc>
        <w:tc>
          <w:tcPr>
            <w:tcW w:w="2234" w:type="dxa"/>
          </w:tcPr>
          <w:p>
            <w:pPr>
              <w:pStyle w:val="TableParagraph"/>
              <w:rPr>
                <w:sz w:val="14"/>
              </w:rPr>
            </w:pPr>
          </w:p>
        </w:tc>
        <w:tc>
          <w:tcPr>
            <w:tcW w:w="2265" w:type="dxa"/>
          </w:tcPr>
          <w:p>
            <w:pPr>
              <w:pStyle w:val="TableParagraph"/>
              <w:rPr>
                <w:sz w:val="14"/>
              </w:rPr>
            </w:pPr>
          </w:p>
        </w:tc>
        <w:tc>
          <w:tcPr>
            <w:tcW w:w="2699" w:type="dxa"/>
          </w:tcPr>
          <w:p>
            <w:pPr>
              <w:pStyle w:val="TableParagraph"/>
              <w:rPr>
                <w:sz w:val="14"/>
              </w:rPr>
            </w:pPr>
          </w:p>
        </w:tc>
        <w:tc>
          <w:tcPr>
            <w:tcW w:w="2519" w:type="dxa"/>
          </w:tcPr>
          <w:p>
            <w:pPr>
              <w:pStyle w:val="TableParagraph"/>
              <w:rPr>
                <w:sz w:val="14"/>
              </w:rPr>
            </w:pPr>
          </w:p>
        </w:tc>
      </w:tr>
      <w:tr>
        <w:trPr>
          <w:trHeight w:val="30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9" w:right="127"/>
              <w:jc w:val="center"/>
              <w:rPr>
                <w:b/>
                <w:sz w:val="10"/>
              </w:rPr>
            </w:pPr>
            <w:r>
              <w:rPr>
                <w:b/>
                <w:position w:val="2"/>
                <w:sz w:val="16"/>
              </w:rPr>
              <w:t>A</w:t>
            </w:r>
            <w:r>
              <w:rPr>
                <w:b/>
                <w:sz w:val="10"/>
              </w:rPr>
              <w:t>peatNrich</w:t>
            </w:r>
          </w:p>
        </w:tc>
        <w:tc>
          <w:tcPr>
            <w:tcW w:w="2234" w:type="dxa"/>
          </w:tcPr>
          <w:p>
            <w:pPr>
              <w:pStyle w:val="TableParagraph"/>
              <w:spacing w:before="53"/>
              <w:ind w:left="164" w:right="154"/>
              <w:jc w:val="center"/>
              <w:rPr>
                <w:b/>
                <w:sz w:val="10"/>
              </w:rPr>
            </w:pPr>
            <w:r>
              <w:rPr>
                <w:b/>
                <w:position w:val="2"/>
                <w:sz w:val="16"/>
              </w:rPr>
              <w:t>EF</w:t>
            </w:r>
            <w:r>
              <w:rPr>
                <w:b/>
                <w:sz w:val="10"/>
              </w:rPr>
              <w:t>peatNrich</w:t>
            </w:r>
          </w:p>
        </w:tc>
        <w:tc>
          <w:tcPr>
            <w:tcW w:w="2265" w:type="dxa"/>
          </w:tcPr>
          <w:p>
            <w:pPr>
              <w:pStyle w:val="TableParagraph"/>
              <w:spacing w:before="53"/>
              <w:ind w:left="189" w:right="182"/>
              <w:jc w:val="center"/>
              <w:rPr>
                <w:b/>
                <w:sz w:val="10"/>
              </w:rPr>
            </w:pPr>
            <w:r>
              <w:rPr>
                <w:b/>
                <w:position w:val="2"/>
                <w:sz w:val="16"/>
              </w:rPr>
              <w:t>A</w:t>
            </w:r>
            <w:r>
              <w:rPr>
                <w:b/>
                <w:sz w:val="10"/>
              </w:rPr>
              <w:t>peatNpoor</w:t>
            </w:r>
          </w:p>
        </w:tc>
        <w:tc>
          <w:tcPr>
            <w:tcW w:w="2699" w:type="dxa"/>
          </w:tcPr>
          <w:p>
            <w:pPr>
              <w:pStyle w:val="TableParagraph"/>
              <w:spacing w:before="53"/>
              <w:ind w:left="128" w:right="117"/>
              <w:jc w:val="center"/>
              <w:rPr>
                <w:b/>
                <w:sz w:val="10"/>
              </w:rPr>
            </w:pPr>
            <w:r>
              <w:rPr>
                <w:b/>
                <w:position w:val="2"/>
                <w:sz w:val="16"/>
              </w:rPr>
              <w:t>EF</w:t>
            </w:r>
            <w:r>
              <w:rPr>
                <w:b/>
                <w:sz w:val="10"/>
              </w:rPr>
              <w:t>peatNpoor</w:t>
            </w:r>
          </w:p>
        </w:tc>
        <w:tc>
          <w:tcPr>
            <w:tcW w:w="2519" w:type="dxa"/>
            <w:shd w:val="clear" w:color="auto" w:fill="D5D5D5"/>
          </w:tcPr>
          <w:p>
            <w:pPr>
              <w:pStyle w:val="TableParagraph"/>
              <w:tabs>
                <w:tab w:pos="993" w:val="left" w:leader="none"/>
              </w:tabs>
              <w:spacing w:line="164" w:lineRule="exact" w:before="25"/>
              <w:ind w:left="120"/>
              <w:rPr>
                <w:b/>
                <w:sz w:val="10"/>
              </w:rPr>
            </w:pPr>
            <w:r>
              <w:rPr>
                <w:b/>
                <w:position w:val="2"/>
                <w:sz w:val="16"/>
              </w:rPr>
              <w:t>∆C</w:t>
            </w:r>
            <w:r>
              <w:rPr>
                <w:b/>
                <w:sz w:val="10"/>
              </w:rPr>
              <w:t>WW peat</w:t>
              <w:tab/>
            </w:r>
            <w:r>
              <w:rPr>
                <w:b/>
                <w:position w:val="2"/>
                <w:sz w:val="16"/>
              </w:rPr>
              <w:t>= ∆C</w:t>
            </w:r>
            <w:r>
              <w:rPr>
                <w:b/>
                <w:sz w:val="10"/>
              </w:rPr>
              <w:t>WW</w:t>
            </w:r>
            <w:r>
              <w:rPr>
                <w:b/>
                <w:spacing w:val="1"/>
                <w:sz w:val="10"/>
              </w:rPr>
              <w:t> </w:t>
            </w:r>
            <w:r>
              <w:rPr>
                <w:b/>
                <w:sz w:val="10"/>
              </w:rPr>
              <w:t>peat</w:t>
            </w:r>
          </w:p>
          <w:p>
            <w:pPr>
              <w:pStyle w:val="TableParagraph"/>
              <w:tabs>
                <w:tab w:pos="1747" w:val="left" w:leader="none"/>
              </w:tabs>
              <w:spacing w:line="87" w:lineRule="exact"/>
              <w:ind w:left="744"/>
              <w:rPr>
                <w:b/>
                <w:sz w:val="10"/>
              </w:rPr>
            </w:pPr>
            <w:r>
              <w:rPr>
                <w:b/>
                <w:sz w:val="10"/>
              </w:rPr>
              <w:t>Soils</w:t>
              <w:tab/>
              <w:t>Soils</w:t>
            </w:r>
            <w:r>
              <w:rPr>
                <w:b/>
                <w:spacing w:val="-4"/>
                <w:sz w:val="10"/>
              </w:rPr>
              <w:t> </w:t>
            </w:r>
            <w:r>
              <w:rPr>
                <w:b/>
                <w:sz w:val="10"/>
              </w:rPr>
              <w:t>extraction</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496" w:hRule="atLeast"/>
        </w:trPr>
        <w:tc>
          <w:tcPr>
            <w:tcW w:w="14684" w:type="dxa"/>
            <w:gridSpan w:val="8"/>
          </w:tcPr>
          <w:p>
            <w:pPr>
              <w:pStyle w:val="TableParagraph"/>
              <w:spacing w:line="228" w:lineRule="auto" w:before="57"/>
              <w:ind w:left="182" w:right="36" w:hanging="75"/>
              <w:rPr>
                <w:sz w:val="16"/>
              </w:rPr>
            </w:pPr>
            <w:r>
              <w:rPr>
                <w:position w:val="9"/>
                <w:sz w:val="10"/>
              </w:rPr>
              <w:t>1 </w:t>
            </w:r>
            <w:r>
              <w:rPr>
                <w:position w:val="2"/>
                <w:sz w:val="16"/>
              </w:rPr>
              <w:t>CO</w:t>
            </w:r>
            <w:r>
              <w:rPr>
                <w:sz w:val="10"/>
              </w:rPr>
              <w:t>2 </w:t>
            </w:r>
            <w:r>
              <w:rPr>
                <w:position w:val="2"/>
                <w:sz w:val="16"/>
              </w:rPr>
              <w:t>emissions occurring from peat stockpiles and restoration operations are not well understood. Hence, only method and data for estimating the change in soil carbon stock associated with peat extraction (essentially </w:t>
            </w:r>
            <w:r>
              <w:rPr>
                <w:sz w:val="16"/>
              </w:rPr>
              <w:t>emissions due to enhanced oxidation at the production fields) are given.</w:t>
            </w:r>
          </w:p>
        </w:tc>
      </w:tr>
    </w:tbl>
    <w:p>
      <w:pPr>
        <w:spacing w:after="0" w:line="228" w:lineRule="auto"/>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234"/>
        <w:gridCol w:w="2265"/>
        <w:gridCol w:w="2699"/>
        <w:gridCol w:w="25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0" w:type="dxa"/>
            <w:gridSpan w:val="6"/>
          </w:tcPr>
          <w:p>
            <w:pPr>
              <w:pStyle w:val="TableParagraph"/>
              <w:spacing w:before="26"/>
              <w:ind w:left="108"/>
              <w:rPr>
                <w:b/>
                <w:sz w:val="20"/>
              </w:rPr>
            </w:pPr>
            <w:r>
              <w:rPr>
                <w:b/>
                <w:sz w:val="20"/>
              </w:rPr>
              <w:t>Wetlands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0" w:type="dxa"/>
            <w:gridSpan w:val="6"/>
          </w:tcPr>
          <w:p>
            <w:pPr>
              <w:pStyle w:val="TableParagraph"/>
              <w:spacing w:before="26"/>
              <w:ind w:left="108"/>
              <w:rPr>
                <w:b/>
                <w:sz w:val="20"/>
              </w:rPr>
            </w:pPr>
            <w:r>
              <w:rPr>
                <w:b/>
                <w:sz w:val="20"/>
              </w:rPr>
              <w:t>Wetlands Remaining Wetlands (Organic soils managed for peat extraction)</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0" w:type="dxa"/>
            <w:gridSpan w:val="6"/>
          </w:tcPr>
          <w:p>
            <w:pPr>
              <w:pStyle w:val="TableParagraph"/>
              <w:spacing w:before="26"/>
              <w:ind w:left="108"/>
              <w:rPr>
                <w:b/>
                <w:sz w:val="20"/>
              </w:rPr>
            </w:pPr>
            <w:r>
              <w:rPr>
                <w:b/>
                <w:sz w:val="20"/>
              </w:rPr>
              <w:t>WL-1d1: N</w:t>
            </w:r>
            <w:r>
              <w:rPr>
                <w:b/>
                <w:sz w:val="20"/>
                <w:vertAlign w:val="subscript"/>
              </w:rPr>
              <w:t>2</w:t>
            </w:r>
            <w:r>
              <w:rPr>
                <w:b/>
                <w:sz w:val="20"/>
                <w:vertAlign w:val="baseline"/>
              </w:rPr>
              <w:t>O emissions from peatland drainage</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0" w:type="dxa"/>
            <w:gridSpan w:val="6"/>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17" w:right="102"/>
              <w:jc w:val="center"/>
              <w:rPr>
                <w:sz w:val="16"/>
              </w:rPr>
            </w:pPr>
            <w:r>
              <w:rPr>
                <w:sz w:val="16"/>
              </w:rPr>
              <w:t>Area of nutrient rich drained organic soils</w:t>
            </w:r>
          </w:p>
          <w:p>
            <w:pPr>
              <w:pStyle w:val="TableParagraph"/>
              <w:rPr>
                <w:sz w:val="16"/>
              </w:rPr>
            </w:pPr>
          </w:p>
          <w:p>
            <w:pPr>
              <w:pStyle w:val="TableParagraph"/>
              <w:ind w:left="138" w:right="129"/>
              <w:jc w:val="center"/>
              <w:rPr>
                <w:sz w:val="16"/>
              </w:rPr>
            </w:pPr>
            <w:r>
              <w:rPr>
                <w:sz w:val="16"/>
              </w:rPr>
              <w:t>(ha)</w:t>
            </w:r>
          </w:p>
          <w:p>
            <w:pPr>
              <w:pStyle w:val="TableParagraph"/>
              <w:rPr>
                <w:sz w:val="18"/>
              </w:rPr>
            </w:pPr>
          </w:p>
          <w:p>
            <w:pPr>
              <w:pStyle w:val="TableParagraph"/>
              <w:rPr>
                <w:sz w:val="18"/>
              </w:rPr>
            </w:pPr>
          </w:p>
          <w:p>
            <w:pPr>
              <w:pStyle w:val="TableParagraph"/>
              <w:rPr>
                <w:sz w:val="18"/>
              </w:rPr>
            </w:pPr>
          </w:p>
          <w:p>
            <w:pPr>
              <w:pStyle w:val="TableParagraph"/>
              <w:spacing w:line="168" w:lineRule="exact" w:before="138"/>
              <w:ind w:left="14"/>
              <w:jc w:val="center"/>
              <w:rPr>
                <w:sz w:val="16"/>
              </w:rPr>
            </w:pPr>
            <w:r>
              <w:rPr>
                <w:w w:val="100"/>
                <w:sz w:val="16"/>
              </w:rPr>
              <w:t>A</w:t>
            </w:r>
          </w:p>
        </w:tc>
        <w:tc>
          <w:tcPr>
            <w:tcW w:w="2234" w:type="dxa"/>
            <w:vMerge w:val="restart"/>
            <w:shd w:val="clear" w:color="auto" w:fill="E4E4E4"/>
          </w:tcPr>
          <w:p>
            <w:pPr>
              <w:pStyle w:val="TableParagraph"/>
              <w:spacing w:line="232" w:lineRule="auto" w:before="27"/>
              <w:ind w:left="166" w:right="152"/>
              <w:jc w:val="center"/>
              <w:rPr>
                <w:sz w:val="16"/>
              </w:rPr>
            </w:pPr>
            <w:r>
              <w:rPr>
                <w:position w:val="2"/>
                <w:sz w:val="16"/>
              </w:rPr>
              <w:t>Emission factor for N</w:t>
            </w:r>
            <w:r>
              <w:rPr>
                <w:b/>
                <w:sz w:val="10"/>
              </w:rPr>
              <w:t>2</w:t>
            </w:r>
            <w:r>
              <w:rPr>
                <w:position w:val="2"/>
                <w:sz w:val="16"/>
              </w:rPr>
              <w:t>O for </w:t>
            </w:r>
            <w:r>
              <w:rPr>
                <w:sz w:val="16"/>
              </w:rPr>
              <w:t>nutrient rich organic soils</w:t>
            </w:r>
          </w:p>
          <w:p>
            <w:pPr>
              <w:pStyle w:val="TableParagraph"/>
              <w:spacing w:before="11"/>
              <w:rPr>
                <w:sz w:val="15"/>
              </w:rPr>
            </w:pPr>
          </w:p>
          <w:p>
            <w:pPr>
              <w:pStyle w:val="TableParagraph"/>
              <w:ind w:left="164" w:right="154"/>
              <w:jc w:val="center"/>
              <w:rPr>
                <w:sz w:val="16"/>
              </w:rPr>
            </w:pPr>
            <w:r>
              <w:rPr>
                <w:position w:val="2"/>
                <w:sz w:val="16"/>
              </w:rPr>
              <w:t>(kg N</w:t>
            </w:r>
            <w:r>
              <w:rPr>
                <w:b/>
                <w:sz w:val="10"/>
              </w:rPr>
              <w:t>2</w:t>
            </w:r>
            <w:r>
              <w:rPr>
                <w:position w:val="2"/>
                <w:sz w:val="16"/>
              </w:rPr>
              <w:t>O-N ha</w:t>
            </w:r>
            <w:r>
              <w:rPr>
                <w:position w:val="2"/>
                <w:sz w:val="16"/>
                <w:vertAlign w:val="superscript"/>
              </w:rPr>
              <w:t>-1</w:t>
            </w:r>
            <w:r>
              <w:rPr>
                <w:position w:val="2"/>
                <w:sz w:val="16"/>
                <w:vertAlign w:val="baseline"/>
              </w:rPr>
              <w:t> yr</w:t>
            </w:r>
            <w:r>
              <w:rPr>
                <w:position w:val="2"/>
                <w:sz w:val="16"/>
                <w:vertAlign w:val="superscript"/>
              </w:rPr>
              <w:t>-1</w:t>
            </w:r>
            <w:r>
              <w:rPr>
                <w:position w:val="2"/>
                <w:sz w:val="16"/>
                <w:vertAlign w:val="baseline"/>
              </w:rPr>
              <w:t>)</w:t>
            </w:r>
          </w:p>
          <w:p>
            <w:pPr>
              <w:pStyle w:val="TableParagraph"/>
              <w:rPr>
                <w:sz w:val="20"/>
              </w:rPr>
            </w:pPr>
          </w:p>
          <w:p>
            <w:pPr>
              <w:pStyle w:val="TableParagraph"/>
              <w:rPr>
                <w:sz w:val="20"/>
              </w:rPr>
            </w:pPr>
          </w:p>
          <w:p>
            <w:pPr>
              <w:pStyle w:val="TableParagraph"/>
              <w:spacing w:before="4"/>
              <w:rPr>
                <w:sz w:val="24"/>
              </w:rPr>
            </w:pPr>
          </w:p>
          <w:p>
            <w:pPr>
              <w:pStyle w:val="TableParagraph"/>
              <w:spacing w:line="168" w:lineRule="exact"/>
              <w:ind w:left="11"/>
              <w:jc w:val="center"/>
              <w:rPr>
                <w:sz w:val="16"/>
              </w:rPr>
            </w:pPr>
            <w:r>
              <w:rPr>
                <w:w w:val="100"/>
                <w:sz w:val="16"/>
              </w:rPr>
              <w:t>B</w:t>
            </w:r>
          </w:p>
        </w:tc>
        <w:tc>
          <w:tcPr>
            <w:tcW w:w="2265" w:type="dxa"/>
            <w:vMerge w:val="restart"/>
            <w:shd w:val="clear" w:color="auto" w:fill="E4E4E4"/>
          </w:tcPr>
          <w:p>
            <w:pPr>
              <w:pStyle w:val="TableParagraph"/>
              <w:spacing w:before="23"/>
              <w:ind w:left="195" w:right="182"/>
              <w:jc w:val="center"/>
              <w:rPr>
                <w:sz w:val="16"/>
              </w:rPr>
            </w:pPr>
            <w:r>
              <w:rPr>
                <w:sz w:val="16"/>
              </w:rPr>
              <w:t>Area of nutrient poor drained organic soils</w:t>
            </w:r>
          </w:p>
          <w:p>
            <w:pPr>
              <w:pStyle w:val="TableParagraph"/>
              <w:rPr>
                <w:sz w:val="16"/>
              </w:rPr>
            </w:pPr>
          </w:p>
          <w:p>
            <w:pPr>
              <w:pStyle w:val="TableParagraph"/>
              <w:ind w:left="195" w:right="182"/>
              <w:jc w:val="center"/>
              <w:rPr>
                <w:sz w:val="16"/>
              </w:rPr>
            </w:pPr>
            <w:r>
              <w:rPr>
                <w:sz w:val="16"/>
              </w:rPr>
              <w:t>(ha)</w:t>
            </w:r>
          </w:p>
          <w:p>
            <w:pPr>
              <w:pStyle w:val="TableParagraph"/>
              <w:rPr>
                <w:sz w:val="18"/>
              </w:rPr>
            </w:pPr>
          </w:p>
          <w:p>
            <w:pPr>
              <w:pStyle w:val="TableParagraph"/>
              <w:rPr>
                <w:sz w:val="18"/>
              </w:rPr>
            </w:pPr>
          </w:p>
          <w:p>
            <w:pPr>
              <w:pStyle w:val="TableParagraph"/>
              <w:rPr>
                <w:sz w:val="18"/>
              </w:rPr>
            </w:pPr>
          </w:p>
          <w:p>
            <w:pPr>
              <w:pStyle w:val="TableParagraph"/>
              <w:spacing w:line="168" w:lineRule="exact" w:before="138"/>
              <w:ind w:left="9"/>
              <w:jc w:val="center"/>
              <w:rPr>
                <w:sz w:val="16"/>
              </w:rPr>
            </w:pPr>
            <w:r>
              <w:rPr>
                <w:w w:val="100"/>
                <w:sz w:val="16"/>
              </w:rPr>
              <w:t>C</w:t>
            </w:r>
          </w:p>
        </w:tc>
        <w:tc>
          <w:tcPr>
            <w:tcW w:w="2699" w:type="dxa"/>
            <w:vMerge w:val="restart"/>
            <w:shd w:val="clear" w:color="auto" w:fill="E4E4E4"/>
          </w:tcPr>
          <w:p>
            <w:pPr>
              <w:pStyle w:val="TableParagraph"/>
              <w:spacing w:line="232" w:lineRule="auto" w:before="27"/>
              <w:ind w:left="130" w:right="117"/>
              <w:jc w:val="center"/>
              <w:rPr>
                <w:sz w:val="16"/>
              </w:rPr>
            </w:pPr>
            <w:r>
              <w:rPr>
                <w:position w:val="2"/>
                <w:sz w:val="16"/>
              </w:rPr>
              <w:t>Emission factor for N</w:t>
            </w:r>
            <w:r>
              <w:rPr>
                <w:b/>
                <w:sz w:val="10"/>
              </w:rPr>
              <w:t>2</w:t>
            </w:r>
            <w:r>
              <w:rPr>
                <w:position w:val="2"/>
                <w:sz w:val="16"/>
              </w:rPr>
              <w:t>O for nutrient </w:t>
            </w:r>
            <w:r>
              <w:rPr>
                <w:sz w:val="16"/>
              </w:rPr>
              <w:t>poor organic soils</w:t>
            </w:r>
          </w:p>
          <w:p>
            <w:pPr>
              <w:pStyle w:val="TableParagraph"/>
              <w:spacing w:before="11"/>
              <w:rPr>
                <w:sz w:val="15"/>
              </w:rPr>
            </w:pPr>
          </w:p>
          <w:p>
            <w:pPr>
              <w:pStyle w:val="TableParagraph"/>
              <w:ind w:left="129" w:right="117"/>
              <w:jc w:val="center"/>
              <w:rPr>
                <w:sz w:val="16"/>
              </w:rPr>
            </w:pPr>
            <w:r>
              <w:rPr>
                <w:position w:val="2"/>
                <w:sz w:val="16"/>
              </w:rPr>
              <w:t>(kg N</w:t>
            </w:r>
            <w:r>
              <w:rPr>
                <w:b/>
                <w:sz w:val="10"/>
              </w:rPr>
              <w:t>2</w:t>
            </w:r>
            <w:r>
              <w:rPr>
                <w:position w:val="2"/>
                <w:sz w:val="16"/>
              </w:rPr>
              <w:t>O-N ha</w:t>
            </w:r>
            <w:r>
              <w:rPr>
                <w:position w:val="2"/>
                <w:sz w:val="16"/>
                <w:vertAlign w:val="superscript"/>
              </w:rPr>
              <w:t>-1</w:t>
            </w:r>
            <w:r>
              <w:rPr>
                <w:position w:val="2"/>
                <w:sz w:val="16"/>
                <w:vertAlign w:val="baseline"/>
              </w:rPr>
              <w:t> yr</w:t>
            </w:r>
            <w:r>
              <w:rPr>
                <w:position w:val="2"/>
                <w:sz w:val="16"/>
                <w:vertAlign w:val="superscript"/>
              </w:rPr>
              <w:t>-1</w:t>
            </w:r>
            <w:r>
              <w:rPr>
                <w:position w:val="2"/>
                <w:sz w:val="16"/>
                <w:vertAlign w:val="baseline"/>
              </w:rPr>
              <w:t>)</w:t>
            </w:r>
          </w:p>
          <w:p>
            <w:pPr>
              <w:pStyle w:val="TableParagraph"/>
              <w:rPr>
                <w:sz w:val="20"/>
              </w:rPr>
            </w:pPr>
          </w:p>
          <w:p>
            <w:pPr>
              <w:pStyle w:val="TableParagraph"/>
              <w:rPr>
                <w:sz w:val="20"/>
              </w:rPr>
            </w:pPr>
          </w:p>
          <w:p>
            <w:pPr>
              <w:pStyle w:val="TableParagraph"/>
              <w:spacing w:before="4"/>
              <w:rPr>
                <w:sz w:val="24"/>
              </w:rPr>
            </w:pPr>
          </w:p>
          <w:p>
            <w:pPr>
              <w:pStyle w:val="TableParagraph"/>
              <w:spacing w:line="168" w:lineRule="exact"/>
              <w:ind w:left="13"/>
              <w:jc w:val="center"/>
              <w:rPr>
                <w:sz w:val="16"/>
              </w:rPr>
            </w:pPr>
            <w:r>
              <w:rPr>
                <w:w w:val="100"/>
                <w:sz w:val="16"/>
              </w:rPr>
              <w:t>D</w:t>
            </w:r>
          </w:p>
        </w:tc>
        <w:tc>
          <w:tcPr>
            <w:tcW w:w="2519" w:type="dxa"/>
            <w:vMerge w:val="restart"/>
            <w:shd w:val="clear" w:color="auto" w:fill="E4E4E4"/>
          </w:tcPr>
          <w:p>
            <w:pPr>
              <w:pStyle w:val="TableParagraph"/>
              <w:spacing w:line="232" w:lineRule="auto" w:before="27"/>
              <w:ind w:left="156" w:right="137"/>
              <w:jc w:val="center"/>
              <w:rPr>
                <w:sz w:val="16"/>
              </w:rPr>
            </w:pPr>
            <w:r>
              <w:rPr>
                <w:position w:val="2"/>
                <w:sz w:val="16"/>
              </w:rPr>
              <w:t>N</w:t>
            </w:r>
            <w:r>
              <w:rPr>
                <w:sz w:val="10"/>
              </w:rPr>
              <w:t>2</w:t>
            </w:r>
            <w:r>
              <w:rPr>
                <w:position w:val="2"/>
                <w:sz w:val="16"/>
              </w:rPr>
              <w:t>O emissions from</w:t>
            </w:r>
            <w:r>
              <w:rPr>
                <w:spacing w:val="-10"/>
                <w:position w:val="2"/>
                <w:sz w:val="16"/>
              </w:rPr>
              <w:t> </w:t>
            </w:r>
            <w:r>
              <w:rPr>
                <w:position w:val="2"/>
                <w:sz w:val="16"/>
              </w:rPr>
              <w:t>drained </w:t>
            </w:r>
            <w:r>
              <w:rPr>
                <w:sz w:val="16"/>
              </w:rPr>
              <w:t>organic soils</w:t>
            </w:r>
          </w:p>
          <w:p>
            <w:pPr>
              <w:pStyle w:val="TableParagraph"/>
              <w:spacing w:before="11"/>
              <w:rPr>
                <w:sz w:val="15"/>
              </w:rPr>
            </w:pPr>
          </w:p>
          <w:p>
            <w:pPr>
              <w:pStyle w:val="TableParagraph"/>
              <w:ind w:left="154" w:right="137"/>
              <w:jc w:val="center"/>
              <w:rPr>
                <w:sz w:val="16"/>
              </w:rPr>
            </w:pPr>
            <w:r>
              <w:rPr>
                <w:position w:val="2"/>
                <w:sz w:val="16"/>
              </w:rPr>
              <w:t>(Gg N</w:t>
            </w:r>
            <w:r>
              <w:rPr>
                <w:sz w:val="10"/>
              </w:rPr>
              <w:t>2</w:t>
            </w:r>
            <w:r>
              <w:rPr>
                <w:position w:val="2"/>
                <w:sz w:val="16"/>
              </w:rPr>
              <w:t>O</w:t>
            </w:r>
            <w:r>
              <w:rPr>
                <w:spacing w:val="-3"/>
                <w:position w:val="2"/>
                <w:sz w:val="16"/>
              </w:rPr>
              <w:t> </w:t>
            </w:r>
            <w:r>
              <w:rPr>
                <w:position w:val="2"/>
                <w:sz w:val="16"/>
              </w:rPr>
              <w:t>yr</w:t>
            </w:r>
            <w:r>
              <w:rPr>
                <w:position w:val="2"/>
                <w:sz w:val="16"/>
                <w:vertAlign w:val="superscript"/>
              </w:rPr>
              <w:t>-1</w:t>
            </w:r>
            <w:r>
              <w:rPr>
                <w:position w:val="2"/>
                <w:sz w:val="16"/>
                <w:vertAlign w:val="baseline"/>
              </w:rPr>
              <w:t>)</w:t>
            </w:r>
          </w:p>
          <w:p>
            <w:pPr>
              <w:pStyle w:val="TableParagraph"/>
              <w:spacing w:line="197" w:lineRule="exact" w:before="176"/>
              <w:ind w:left="150" w:right="137"/>
              <w:jc w:val="center"/>
              <w:rPr>
                <w:rFonts w:ascii="Symbol" w:hAnsi="Symbol"/>
                <w:sz w:val="16"/>
              </w:rPr>
            </w:pPr>
            <w:r>
              <w:rPr>
                <w:sz w:val="16"/>
              </w:rPr>
              <w:t>E = [(A </w:t>
            </w:r>
            <w:r>
              <w:rPr>
                <w:rFonts w:ascii="Symbol" w:hAnsi="Symbol"/>
                <w:sz w:val="16"/>
              </w:rPr>
              <w:t>• </w:t>
            </w:r>
            <w:r>
              <w:rPr>
                <w:sz w:val="16"/>
              </w:rPr>
              <w:t>B) + (C </w:t>
            </w:r>
            <w:r>
              <w:rPr>
                <w:rFonts w:ascii="Symbol" w:hAnsi="Symbol"/>
                <w:sz w:val="16"/>
              </w:rPr>
              <w:t>• </w:t>
            </w:r>
            <w:r>
              <w:rPr>
                <w:sz w:val="16"/>
              </w:rPr>
              <w:t>D)] </w:t>
            </w:r>
            <w:r>
              <w:rPr>
                <w:rFonts w:ascii="Symbol" w:hAnsi="Symbol"/>
                <w:sz w:val="16"/>
              </w:rPr>
              <w:t>•</w:t>
            </w:r>
          </w:p>
          <w:p>
            <w:pPr>
              <w:pStyle w:val="TableParagraph"/>
              <w:ind w:left="153" w:right="137"/>
              <w:jc w:val="center"/>
              <w:rPr>
                <w:sz w:val="16"/>
              </w:rPr>
            </w:pPr>
            <w:r>
              <w:rPr>
                <w:sz w:val="16"/>
              </w:rPr>
              <w:t>44/28 </w:t>
            </w:r>
            <w:r>
              <w:rPr>
                <w:rFonts w:ascii="Symbol" w:hAnsi="Symbol"/>
                <w:sz w:val="16"/>
              </w:rPr>
              <w:t>• </w:t>
            </w:r>
            <w:r>
              <w:rPr>
                <w:sz w:val="16"/>
              </w:rPr>
              <w:t>10</w:t>
            </w:r>
            <w:r>
              <w:rPr>
                <w:sz w:val="16"/>
                <w:vertAlign w:val="superscript"/>
              </w:rPr>
              <w:t>-6</w:t>
            </w:r>
          </w:p>
          <w:p>
            <w:pPr>
              <w:pStyle w:val="TableParagraph"/>
              <w:spacing w:line="168" w:lineRule="exact" w:before="170"/>
              <w:ind w:left="14"/>
              <w:jc w:val="center"/>
              <w:rPr>
                <w:sz w:val="16"/>
              </w:rPr>
            </w:pPr>
            <w:r>
              <w:rPr>
                <w:w w:val="100"/>
                <w:sz w:val="16"/>
              </w:rPr>
              <w:t>E</w:t>
            </w:r>
          </w:p>
        </w:tc>
      </w:tr>
      <w:tr>
        <w:trPr>
          <w:trHeight w:val="1300"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234" w:type="dxa"/>
            <w:vMerge/>
            <w:tcBorders>
              <w:top w:val="nil"/>
            </w:tcBorders>
            <w:shd w:val="clear" w:color="auto" w:fill="E4E4E4"/>
          </w:tcPr>
          <w:p>
            <w:pPr>
              <w:rPr>
                <w:sz w:val="2"/>
                <w:szCs w:val="2"/>
              </w:rPr>
            </w:pPr>
          </w:p>
        </w:tc>
        <w:tc>
          <w:tcPr>
            <w:tcW w:w="2265" w:type="dxa"/>
            <w:vMerge/>
            <w:tcBorders>
              <w:top w:val="nil"/>
            </w:tcBorders>
            <w:shd w:val="clear" w:color="auto" w:fill="E4E4E4"/>
          </w:tcPr>
          <w:p>
            <w:pPr>
              <w:rPr>
                <w:sz w:val="2"/>
                <w:szCs w:val="2"/>
              </w:rPr>
            </w:pPr>
          </w:p>
        </w:tc>
        <w:tc>
          <w:tcPr>
            <w:tcW w:w="2699" w:type="dxa"/>
            <w:vMerge/>
            <w:tcBorders>
              <w:top w:val="nil"/>
            </w:tcBorders>
            <w:shd w:val="clear" w:color="auto" w:fill="E4E4E4"/>
          </w:tcPr>
          <w:p>
            <w:pPr>
              <w:rPr>
                <w:sz w:val="2"/>
                <w:szCs w:val="2"/>
              </w:rPr>
            </w:pPr>
          </w:p>
        </w:tc>
        <w:tc>
          <w:tcPr>
            <w:tcW w:w="2519"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WL</w:t>
            </w:r>
          </w:p>
        </w:tc>
        <w:tc>
          <w:tcPr>
            <w:tcW w:w="950" w:type="dxa"/>
          </w:tcPr>
          <w:p>
            <w:pPr>
              <w:pStyle w:val="TableParagraph"/>
              <w:spacing w:before="23"/>
              <w:ind w:left="107"/>
              <w:rPr>
                <w:sz w:val="16"/>
              </w:rPr>
            </w:pPr>
            <w:r>
              <w:rPr>
                <w:sz w:val="16"/>
              </w:rPr>
              <w:t>WL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spacing w:before="25"/>
              <w:ind w:left="138" w:right="129"/>
              <w:jc w:val="center"/>
              <w:rPr>
                <w:b/>
                <w:sz w:val="10"/>
              </w:rPr>
            </w:pPr>
            <w:r>
              <w:rPr>
                <w:b/>
                <w:position w:val="2"/>
                <w:sz w:val="16"/>
              </w:rPr>
              <w:t>A </w:t>
            </w:r>
            <w:r>
              <w:rPr>
                <w:b/>
                <w:sz w:val="10"/>
              </w:rPr>
              <w:t>peat Nrich</w:t>
            </w:r>
          </w:p>
        </w:tc>
        <w:tc>
          <w:tcPr>
            <w:tcW w:w="2234" w:type="dxa"/>
          </w:tcPr>
          <w:p>
            <w:pPr>
              <w:pStyle w:val="TableParagraph"/>
              <w:spacing w:before="25"/>
              <w:ind w:left="164" w:right="154"/>
              <w:jc w:val="center"/>
              <w:rPr>
                <w:b/>
                <w:sz w:val="10"/>
              </w:rPr>
            </w:pPr>
            <w:r>
              <w:rPr>
                <w:b/>
                <w:position w:val="2"/>
                <w:sz w:val="16"/>
              </w:rPr>
              <w:t>EF</w:t>
            </w:r>
            <w:r>
              <w:rPr>
                <w:b/>
                <w:sz w:val="10"/>
              </w:rPr>
              <w:t>2peat Nrich</w:t>
            </w:r>
          </w:p>
        </w:tc>
        <w:tc>
          <w:tcPr>
            <w:tcW w:w="2265" w:type="dxa"/>
          </w:tcPr>
          <w:p>
            <w:pPr>
              <w:pStyle w:val="TableParagraph"/>
              <w:spacing w:before="25"/>
              <w:ind w:left="189" w:right="182"/>
              <w:jc w:val="center"/>
              <w:rPr>
                <w:b/>
                <w:sz w:val="10"/>
              </w:rPr>
            </w:pPr>
            <w:r>
              <w:rPr>
                <w:b/>
                <w:position w:val="2"/>
                <w:sz w:val="16"/>
              </w:rPr>
              <w:t>A </w:t>
            </w:r>
            <w:r>
              <w:rPr>
                <w:b/>
                <w:sz w:val="10"/>
              </w:rPr>
              <w:t>peat Npoor</w:t>
            </w:r>
          </w:p>
        </w:tc>
        <w:tc>
          <w:tcPr>
            <w:tcW w:w="2699" w:type="dxa"/>
          </w:tcPr>
          <w:p>
            <w:pPr>
              <w:pStyle w:val="TableParagraph"/>
              <w:spacing w:before="25"/>
              <w:ind w:left="125" w:right="117"/>
              <w:jc w:val="center"/>
              <w:rPr>
                <w:b/>
                <w:sz w:val="10"/>
              </w:rPr>
            </w:pPr>
            <w:r>
              <w:rPr>
                <w:b/>
                <w:position w:val="2"/>
                <w:sz w:val="16"/>
              </w:rPr>
              <w:t>EF</w:t>
            </w:r>
            <w:r>
              <w:rPr>
                <w:b/>
                <w:sz w:val="10"/>
              </w:rPr>
              <w:t>2peat Npoor</w:t>
            </w:r>
          </w:p>
        </w:tc>
        <w:tc>
          <w:tcPr>
            <w:tcW w:w="2519" w:type="dxa"/>
            <w:shd w:val="clear" w:color="auto" w:fill="D5D5D5"/>
          </w:tcPr>
          <w:p>
            <w:pPr>
              <w:pStyle w:val="TableParagraph"/>
              <w:spacing w:before="25"/>
              <w:ind w:left="549"/>
              <w:rPr>
                <w:b/>
                <w:sz w:val="10"/>
              </w:rPr>
            </w:pPr>
            <w:r>
              <w:rPr>
                <w:b/>
                <w:position w:val="2"/>
                <w:sz w:val="16"/>
              </w:rPr>
              <w:t>N</w:t>
            </w:r>
            <w:r>
              <w:rPr>
                <w:b/>
                <w:sz w:val="10"/>
              </w:rPr>
              <w:t>2</w:t>
            </w:r>
            <w:r>
              <w:rPr>
                <w:b/>
                <w:position w:val="2"/>
                <w:sz w:val="16"/>
              </w:rPr>
              <w:t>O Emissions</w:t>
            </w:r>
            <w:r>
              <w:rPr>
                <w:b/>
                <w:sz w:val="10"/>
              </w:rPr>
              <w:t>WW peat</w:t>
            </w: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42"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6"/>
        <w:gridCol w:w="952"/>
        <w:gridCol w:w="1029"/>
        <w:gridCol w:w="2068"/>
        <w:gridCol w:w="2238"/>
        <w:gridCol w:w="2269"/>
        <w:gridCol w:w="2747"/>
      </w:tblGrid>
      <w:tr>
        <w:trPr>
          <w:trHeight w:val="285" w:hRule="atLeast"/>
        </w:trPr>
        <w:tc>
          <w:tcPr>
            <w:tcW w:w="1878" w:type="dxa"/>
            <w:gridSpan w:val="2"/>
            <w:shd w:val="clear" w:color="auto" w:fill="BFBFBF"/>
          </w:tcPr>
          <w:p>
            <w:pPr>
              <w:pStyle w:val="TableParagraph"/>
              <w:spacing w:before="26"/>
              <w:ind w:left="107"/>
              <w:rPr>
                <w:b/>
                <w:sz w:val="20"/>
              </w:rPr>
            </w:pPr>
            <w:r>
              <w:rPr>
                <w:b/>
                <w:sz w:val="20"/>
              </w:rPr>
              <w:t>Module</w:t>
            </w:r>
          </w:p>
        </w:tc>
        <w:tc>
          <w:tcPr>
            <w:tcW w:w="10351" w:type="dxa"/>
            <w:gridSpan w:val="5"/>
          </w:tcPr>
          <w:p>
            <w:pPr>
              <w:pStyle w:val="TableParagraph"/>
              <w:spacing w:before="26"/>
              <w:ind w:left="109"/>
              <w:rPr>
                <w:b/>
                <w:sz w:val="20"/>
              </w:rPr>
            </w:pPr>
            <w:r>
              <w:rPr>
                <w:b/>
                <w:sz w:val="20"/>
              </w:rPr>
              <w:t>Wetlands</w:t>
            </w:r>
          </w:p>
        </w:tc>
      </w:tr>
      <w:tr>
        <w:trPr>
          <w:trHeight w:val="287" w:hRule="atLeast"/>
        </w:trPr>
        <w:tc>
          <w:tcPr>
            <w:tcW w:w="1878" w:type="dxa"/>
            <w:gridSpan w:val="2"/>
            <w:shd w:val="clear" w:color="auto" w:fill="BFBFBF"/>
          </w:tcPr>
          <w:p>
            <w:pPr>
              <w:pStyle w:val="TableParagraph"/>
              <w:spacing w:before="26"/>
              <w:ind w:left="107"/>
              <w:rPr>
                <w:b/>
                <w:sz w:val="20"/>
              </w:rPr>
            </w:pPr>
            <w:r>
              <w:rPr>
                <w:b/>
                <w:sz w:val="20"/>
              </w:rPr>
              <w:t>Sub-module</w:t>
            </w:r>
          </w:p>
        </w:tc>
        <w:tc>
          <w:tcPr>
            <w:tcW w:w="10351" w:type="dxa"/>
            <w:gridSpan w:val="5"/>
          </w:tcPr>
          <w:p>
            <w:pPr>
              <w:pStyle w:val="TableParagraph"/>
              <w:spacing w:before="26"/>
              <w:ind w:left="109"/>
              <w:rPr>
                <w:b/>
                <w:sz w:val="20"/>
              </w:rPr>
            </w:pPr>
            <w:r>
              <w:rPr>
                <w:b/>
                <w:sz w:val="20"/>
              </w:rPr>
              <w:t>Wetlands Remaining Wetlands (Flooded Land Remaining Flooded Land)</w:t>
            </w:r>
          </w:p>
        </w:tc>
      </w:tr>
      <w:tr>
        <w:trPr>
          <w:trHeight w:val="285" w:hRule="atLeast"/>
        </w:trPr>
        <w:tc>
          <w:tcPr>
            <w:tcW w:w="1878" w:type="dxa"/>
            <w:gridSpan w:val="2"/>
            <w:shd w:val="clear" w:color="auto" w:fill="BFBFBF"/>
          </w:tcPr>
          <w:p>
            <w:pPr>
              <w:pStyle w:val="TableParagraph"/>
              <w:spacing w:before="26"/>
              <w:ind w:left="107"/>
              <w:rPr>
                <w:b/>
                <w:sz w:val="20"/>
              </w:rPr>
            </w:pPr>
            <w:r>
              <w:rPr>
                <w:b/>
                <w:sz w:val="20"/>
              </w:rPr>
              <w:t>Worksheet</w:t>
            </w:r>
          </w:p>
        </w:tc>
        <w:tc>
          <w:tcPr>
            <w:tcW w:w="10351" w:type="dxa"/>
            <w:gridSpan w:val="5"/>
          </w:tcPr>
          <w:p>
            <w:pPr>
              <w:pStyle w:val="TableParagraph"/>
              <w:spacing w:before="22"/>
              <w:ind w:left="108"/>
              <w:rPr>
                <w:sz w:val="20"/>
              </w:rPr>
            </w:pPr>
            <w:r>
              <w:rPr>
                <w:b/>
                <w:sz w:val="20"/>
              </w:rPr>
              <w:t>WL-1d2: CO</w:t>
            </w:r>
            <w:r>
              <w:rPr>
                <w:b/>
                <w:sz w:val="20"/>
                <w:vertAlign w:val="subscript"/>
              </w:rPr>
              <w:t>2</w:t>
            </w:r>
            <w:r>
              <w:rPr>
                <w:b/>
                <w:sz w:val="20"/>
                <w:vertAlign w:val="baseline"/>
              </w:rPr>
              <w:t> Emissions from flooded lands</w:t>
            </w:r>
            <w:r>
              <w:rPr>
                <w:sz w:val="20"/>
                <w:vertAlign w:val="superscript"/>
              </w:rPr>
              <w:t>1</w:t>
            </w:r>
          </w:p>
        </w:tc>
      </w:tr>
      <w:tr>
        <w:trPr>
          <w:trHeight w:val="285" w:hRule="atLeast"/>
        </w:trPr>
        <w:tc>
          <w:tcPr>
            <w:tcW w:w="1878" w:type="dxa"/>
            <w:gridSpan w:val="2"/>
            <w:shd w:val="clear" w:color="auto" w:fill="BFBFBF"/>
          </w:tcPr>
          <w:p>
            <w:pPr>
              <w:pStyle w:val="TableParagraph"/>
              <w:spacing w:before="26"/>
              <w:ind w:left="107"/>
              <w:rPr>
                <w:b/>
                <w:sz w:val="20"/>
              </w:rPr>
            </w:pPr>
            <w:r>
              <w:rPr>
                <w:b/>
                <w:sz w:val="20"/>
              </w:rPr>
              <w:t>Sheet</w:t>
            </w:r>
          </w:p>
        </w:tc>
        <w:tc>
          <w:tcPr>
            <w:tcW w:w="10351" w:type="dxa"/>
            <w:gridSpan w:val="5"/>
          </w:tcPr>
          <w:p>
            <w:pPr>
              <w:pStyle w:val="TableParagraph"/>
              <w:spacing w:before="26"/>
              <w:ind w:left="108"/>
              <w:rPr>
                <w:b/>
                <w:sz w:val="20"/>
              </w:rPr>
            </w:pPr>
            <w:r>
              <w:rPr>
                <w:b/>
                <w:sz w:val="20"/>
              </w:rPr>
              <w:t>1 of 1</w:t>
            </w:r>
          </w:p>
        </w:tc>
      </w:tr>
      <w:tr>
        <w:trPr>
          <w:trHeight w:val="395" w:hRule="atLeast"/>
        </w:trPr>
        <w:tc>
          <w:tcPr>
            <w:tcW w:w="1878" w:type="dxa"/>
            <w:gridSpan w:val="2"/>
            <w:shd w:val="clear" w:color="auto" w:fill="E4E4E4"/>
          </w:tcPr>
          <w:p>
            <w:pPr>
              <w:pStyle w:val="TableParagraph"/>
              <w:spacing w:line="180" w:lineRule="atLeast" w:before="23"/>
              <w:ind w:left="640" w:right="628"/>
              <w:jc w:val="center"/>
              <w:rPr>
                <w:sz w:val="16"/>
              </w:rPr>
            </w:pPr>
            <w:r>
              <w:rPr>
                <w:sz w:val="16"/>
              </w:rPr>
              <w:t>Land-use Category</w:t>
            </w:r>
          </w:p>
        </w:tc>
        <w:tc>
          <w:tcPr>
            <w:tcW w:w="1029" w:type="dxa"/>
            <w:vMerge w:val="restart"/>
            <w:shd w:val="clear" w:color="auto" w:fill="E4E4E4"/>
          </w:tcPr>
          <w:p>
            <w:pPr>
              <w:pStyle w:val="TableParagraph"/>
              <w:spacing w:before="23"/>
              <w:ind w:left="190" w:right="179" w:firstLine="5"/>
              <w:jc w:val="center"/>
              <w:rPr>
                <w:sz w:val="16"/>
              </w:rPr>
            </w:pPr>
            <w:r>
              <w:rPr>
                <w:sz w:val="16"/>
              </w:rPr>
              <w:t>Sub- categories for  Reporting Year</w:t>
            </w:r>
          </w:p>
        </w:tc>
        <w:tc>
          <w:tcPr>
            <w:tcW w:w="2068" w:type="dxa"/>
            <w:vMerge w:val="restart"/>
            <w:shd w:val="clear" w:color="auto" w:fill="E4E4E4"/>
          </w:tcPr>
          <w:p>
            <w:pPr>
              <w:pStyle w:val="TableParagraph"/>
              <w:spacing w:before="23"/>
              <w:ind w:left="176" w:right="163"/>
              <w:jc w:val="center"/>
              <w:rPr>
                <w:sz w:val="16"/>
              </w:rPr>
            </w:pPr>
            <w:r>
              <w:rPr>
                <w:sz w:val="16"/>
              </w:rPr>
              <w:t>Total flooded surface area, including flooded land, flooded lake and flooded river surface area</w:t>
            </w:r>
          </w:p>
          <w:p>
            <w:pPr>
              <w:pStyle w:val="TableParagraph"/>
              <w:spacing w:before="11"/>
              <w:rPr>
                <w:sz w:val="15"/>
              </w:rPr>
            </w:pPr>
          </w:p>
          <w:p>
            <w:pPr>
              <w:pStyle w:val="TableParagraph"/>
              <w:ind w:left="176" w:right="162"/>
              <w:jc w:val="center"/>
              <w:rPr>
                <w:sz w:val="16"/>
              </w:rPr>
            </w:pPr>
            <w:r>
              <w:rPr>
                <w:sz w:val="16"/>
              </w:rPr>
              <w:t>(ha)</w:t>
            </w:r>
          </w:p>
          <w:p>
            <w:pPr>
              <w:pStyle w:val="TableParagraph"/>
              <w:rPr>
                <w:sz w:val="18"/>
              </w:rPr>
            </w:pPr>
          </w:p>
          <w:p>
            <w:pPr>
              <w:pStyle w:val="TableParagraph"/>
              <w:spacing w:line="168" w:lineRule="exact" w:before="161"/>
              <w:ind w:left="14"/>
              <w:jc w:val="center"/>
              <w:rPr>
                <w:sz w:val="16"/>
              </w:rPr>
            </w:pPr>
            <w:r>
              <w:rPr>
                <w:w w:val="100"/>
                <w:sz w:val="16"/>
              </w:rPr>
              <w:t>A</w:t>
            </w:r>
          </w:p>
        </w:tc>
        <w:tc>
          <w:tcPr>
            <w:tcW w:w="2238" w:type="dxa"/>
            <w:vMerge w:val="restart"/>
            <w:shd w:val="clear" w:color="auto" w:fill="E4E4E4"/>
          </w:tcPr>
          <w:p>
            <w:pPr>
              <w:pStyle w:val="TableParagraph"/>
              <w:spacing w:line="480" w:lineRule="auto" w:before="23"/>
              <w:ind w:left="607" w:right="591"/>
              <w:jc w:val="center"/>
              <w:rPr>
                <w:sz w:val="16"/>
              </w:rPr>
            </w:pPr>
            <w:r>
              <w:rPr>
                <w:sz w:val="16"/>
              </w:rPr>
              <w:t>Flooding period (days per year)</w:t>
            </w:r>
            <w:r>
              <w:rPr>
                <w:sz w:val="16"/>
                <w:vertAlign w:val="superscript"/>
              </w:rPr>
              <w:t>2</w:t>
            </w:r>
          </w:p>
          <w:p>
            <w:pPr>
              <w:pStyle w:val="TableParagraph"/>
              <w:rPr>
                <w:sz w:val="18"/>
              </w:rPr>
            </w:pPr>
          </w:p>
          <w:p>
            <w:pPr>
              <w:pStyle w:val="TableParagraph"/>
              <w:rPr>
                <w:sz w:val="18"/>
              </w:rPr>
            </w:pPr>
          </w:p>
          <w:p>
            <w:pPr>
              <w:pStyle w:val="TableParagraph"/>
              <w:rPr>
                <w:sz w:val="18"/>
              </w:rPr>
            </w:pPr>
          </w:p>
          <w:p>
            <w:pPr>
              <w:pStyle w:val="TableParagraph"/>
              <w:spacing w:line="168" w:lineRule="exact" w:before="114"/>
              <w:ind w:left="15"/>
              <w:jc w:val="center"/>
              <w:rPr>
                <w:sz w:val="16"/>
              </w:rPr>
            </w:pPr>
            <w:r>
              <w:rPr>
                <w:w w:val="100"/>
                <w:sz w:val="16"/>
              </w:rPr>
              <w:t>B</w:t>
            </w:r>
          </w:p>
        </w:tc>
        <w:tc>
          <w:tcPr>
            <w:tcW w:w="2269" w:type="dxa"/>
            <w:vMerge w:val="restart"/>
            <w:shd w:val="clear" w:color="auto" w:fill="E4E4E4"/>
          </w:tcPr>
          <w:p>
            <w:pPr>
              <w:pStyle w:val="TableParagraph"/>
              <w:spacing w:before="23"/>
              <w:ind w:left="382" w:right="360"/>
              <w:jc w:val="center"/>
              <w:rPr>
                <w:sz w:val="16"/>
              </w:rPr>
            </w:pPr>
            <w:r>
              <w:rPr>
                <w:sz w:val="16"/>
              </w:rPr>
              <w:t>Average daily diffusive emissions</w:t>
            </w:r>
          </w:p>
          <w:p>
            <w:pPr>
              <w:pStyle w:val="TableParagraph"/>
              <w:rPr>
                <w:sz w:val="18"/>
              </w:rPr>
            </w:pPr>
          </w:p>
          <w:p>
            <w:pPr>
              <w:pStyle w:val="TableParagraph"/>
              <w:spacing w:before="159"/>
              <w:ind w:left="379" w:right="360"/>
              <w:jc w:val="center"/>
              <w:rPr>
                <w:sz w:val="16"/>
              </w:rPr>
            </w:pPr>
            <w:r>
              <w:rPr>
                <w:sz w:val="16"/>
              </w:rPr>
              <w:t>Gg CO</w:t>
            </w:r>
            <w:r>
              <w:rPr>
                <w:position w:val="-5"/>
                <w:sz w:val="16"/>
              </w:rPr>
              <w:t>2 </w:t>
            </w:r>
            <w:r>
              <w:rPr>
                <w:sz w:val="16"/>
              </w:rPr>
              <w:t>ha</w:t>
            </w:r>
            <w:r>
              <w:rPr>
                <w:sz w:val="16"/>
                <w:vertAlign w:val="superscript"/>
              </w:rPr>
              <w:t>-1</w:t>
            </w:r>
            <w:r>
              <w:rPr>
                <w:sz w:val="16"/>
                <w:vertAlign w:val="baseline"/>
              </w:rPr>
              <w:t> day</w:t>
            </w:r>
            <w:r>
              <w:rPr>
                <w:sz w:val="16"/>
                <w:vertAlign w:val="superscript"/>
              </w:rPr>
              <w:t>-1</w:t>
            </w:r>
            <w:r>
              <w:rPr>
                <w:sz w:val="16"/>
                <w:vertAlign w:val="baseline"/>
              </w:rPr>
              <w:t>)</w:t>
            </w:r>
          </w:p>
          <w:p>
            <w:pPr>
              <w:pStyle w:val="TableParagraph"/>
              <w:rPr>
                <w:sz w:val="24"/>
              </w:rPr>
            </w:pPr>
          </w:p>
          <w:p>
            <w:pPr>
              <w:pStyle w:val="TableParagraph"/>
              <w:spacing w:before="10"/>
              <w:rPr>
                <w:sz w:val="18"/>
              </w:rPr>
            </w:pPr>
          </w:p>
          <w:p>
            <w:pPr>
              <w:pStyle w:val="TableParagraph"/>
              <w:spacing w:line="168" w:lineRule="exact"/>
              <w:ind w:left="15"/>
              <w:jc w:val="center"/>
              <w:rPr>
                <w:sz w:val="16"/>
              </w:rPr>
            </w:pPr>
            <w:r>
              <w:rPr>
                <w:w w:val="100"/>
                <w:sz w:val="16"/>
              </w:rPr>
              <w:t>C</w:t>
            </w:r>
          </w:p>
        </w:tc>
        <w:tc>
          <w:tcPr>
            <w:tcW w:w="2747" w:type="dxa"/>
            <w:vMerge w:val="restart"/>
            <w:shd w:val="clear" w:color="auto" w:fill="E4E4E4"/>
          </w:tcPr>
          <w:p>
            <w:pPr>
              <w:pStyle w:val="TableParagraph"/>
              <w:spacing w:before="23"/>
              <w:ind w:left="261" w:right="244"/>
              <w:jc w:val="center"/>
              <w:rPr>
                <w:sz w:val="16"/>
              </w:rPr>
            </w:pPr>
            <w:r>
              <w:rPr>
                <w:sz w:val="16"/>
              </w:rPr>
              <w:t>Total CO</w:t>
            </w:r>
            <w:r>
              <w:rPr>
                <w:position w:val="-5"/>
                <w:sz w:val="16"/>
              </w:rPr>
              <w:t>2 </w:t>
            </w:r>
            <w:r>
              <w:rPr>
                <w:sz w:val="16"/>
              </w:rPr>
              <w:t>emissions from flooded lands</w:t>
            </w:r>
          </w:p>
          <w:p>
            <w:pPr>
              <w:pStyle w:val="TableParagraph"/>
              <w:rPr>
                <w:sz w:val="16"/>
              </w:rPr>
            </w:pPr>
          </w:p>
          <w:p>
            <w:pPr>
              <w:pStyle w:val="TableParagraph"/>
              <w:ind w:left="916" w:firstLine="12"/>
              <w:rPr>
                <w:sz w:val="16"/>
              </w:rPr>
            </w:pPr>
            <w:r>
              <w:rPr>
                <w:sz w:val="16"/>
              </w:rPr>
              <w:t>(Gg CO</w:t>
            </w:r>
            <w:r>
              <w:rPr>
                <w:position w:val="-5"/>
                <w:sz w:val="16"/>
              </w:rPr>
              <w:t>2 </w:t>
            </w:r>
            <w:r>
              <w:rPr>
                <w:sz w:val="16"/>
              </w:rPr>
              <w:t>yr</w:t>
            </w:r>
            <w:r>
              <w:rPr>
                <w:sz w:val="16"/>
                <w:vertAlign w:val="superscript"/>
              </w:rPr>
              <w:t>-1</w:t>
            </w:r>
            <w:r>
              <w:rPr>
                <w:sz w:val="16"/>
                <w:vertAlign w:val="baseline"/>
              </w:rPr>
              <w:t>)</w:t>
            </w:r>
          </w:p>
          <w:p>
            <w:pPr>
              <w:pStyle w:val="TableParagraph"/>
              <w:spacing w:line="420" w:lineRule="exact" w:before="9"/>
              <w:ind w:left="1320" w:right="879" w:hanging="404"/>
              <w:rPr>
                <w:sz w:val="16"/>
              </w:rPr>
            </w:pPr>
            <w:r>
              <w:rPr>
                <w:sz w:val="16"/>
              </w:rPr>
              <w:t>D = A </w:t>
            </w:r>
            <w:r>
              <w:rPr>
                <w:rFonts w:ascii="Symbol" w:hAnsi="Symbol"/>
                <w:sz w:val="16"/>
              </w:rPr>
              <w:t>• </w:t>
            </w:r>
            <w:r>
              <w:rPr>
                <w:sz w:val="16"/>
              </w:rPr>
              <w:t>B </w:t>
            </w:r>
            <w:r>
              <w:rPr>
                <w:rFonts w:ascii="Symbol" w:hAnsi="Symbol"/>
                <w:sz w:val="16"/>
              </w:rPr>
              <w:t>• </w:t>
            </w:r>
            <w:r>
              <w:rPr>
                <w:sz w:val="16"/>
              </w:rPr>
              <w:t>C D</w:t>
            </w:r>
          </w:p>
        </w:tc>
      </w:tr>
      <w:tr>
        <w:trPr>
          <w:trHeight w:val="1276" w:hRule="atLeast"/>
        </w:trPr>
        <w:tc>
          <w:tcPr>
            <w:tcW w:w="926" w:type="dxa"/>
            <w:shd w:val="clear" w:color="auto" w:fill="E4E4E4"/>
          </w:tcPr>
          <w:p>
            <w:pPr>
              <w:pStyle w:val="TableParagraph"/>
              <w:spacing w:before="23"/>
              <w:ind w:left="170" w:right="143" w:firstLine="100"/>
              <w:rPr>
                <w:sz w:val="16"/>
              </w:rPr>
            </w:pPr>
            <w:r>
              <w:rPr>
                <w:sz w:val="16"/>
              </w:rPr>
              <w:t>Initial Land use</w:t>
            </w:r>
          </w:p>
        </w:tc>
        <w:tc>
          <w:tcPr>
            <w:tcW w:w="952" w:type="dxa"/>
            <w:shd w:val="clear" w:color="auto" w:fill="E4E4E4"/>
          </w:tcPr>
          <w:p>
            <w:pPr>
              <w:pStyle w:val="TableParagraph"/>
              <w:spacing w:before="23"/>
              <w:ind w:left="182" w:right="168"/>
              <w:jc w:val="center"/>
              <w:rPr>
                <w:sz w:val="16"/>
              </w:rPr>
            </w:pPr>
            <w:r>
              <w:rPr>
                <w:sz w:val="16"/>
              </w:rPr>
              <w:t>Land use during reporting Year</w:t>
            </w:r>
          </w:p>
        </w:tc>
        <w:tc>
          <w:tcPr>
            <w:tcW w:w="1029" w:type="dxa"/>
            <w:vMerge/>
            <w:tcBorders>
              <w:top w:val="nil"/>
            </w:tcBorders>
            <w:shd w:val="clear" w:color="auto" w:fill="E4E4E4"/>
          </w:tcPr>
          <w:p>
            <w:pPr>
              <w:rPr>
                <w:sz w:val="2"/>
                <w:szCs w:val="2"/>
              </w:rPr>
            </w:pPr>
          </w:p>
        </w:tc>
        <w:tc>
          <w:tcPr>
            <w:tcW w:w="2068" w:type="dxa"/>
            <w:vMerge/>
            <w:tcBorders>
              <w:top w:val="nil"/>
            </w:tcBorders>
            <w:shd w:val="clear" w:color="auto" w:fill="E4E4E4"/>
          </w:tcPr>
          <w:p>
            <w:pPr>
              <w:rPr>
                <w:sz w:val="2"/>
                <w:szCs w:val="2"/>
              </w:rPr>
            </w:pPr>
          </w:p>
        </w:tc>
        <w:tc>
          <w:tcPr>
            <w:tcW w:w="2238" w:type="dxa"/>
            <w:vMerge/>
            <w:tcBorders>
              <w:top w:val="nil"/>
            </w:tcBorders>
            <w:shd w:val="clear" w:color="auto" w:fill="E4E4E4"/>
          </w:tcPr>
          <w:p>
            <w:pPr>
              <w:rPr>
                <w:sz w:val="2"/>
                <w:szCs w:val="2"/>
              </w:rPr>
            </w:pPr>
          </w:p>
        </w:tc>
        <w:tc>
          <w:tcPr>
            <w:tcW w:w="2269" w:type="dxa"/>
            <w:vMerge/>
            <w:tcBorders>
              <w:top w:val="nil"/>
            </w:tcBorders>
            <w:shd w:val="clear" w:color="auto" w:fill="E4E4E4"/>
          </w:tcPr>
          <w:p>
            <w:pPr>
              <w:rPr>
                <w:sz w:val="2"/>
                <w:szCs w:val="2"/>
              </w:rPr>
            </w:pPr>
          </w:p>
        </w:tc>
        <w:tc>
          <w:tcPr>
            <w:tcW w:w="2747" w:type="dxa"/>
            <w:vMerge/>
            <w:tcBorders>
              <w:top w:val="nil"/>
            </w:tcBorders>
            <w:shd w:val="clear" w:color="auto" w:fill="E4E4E4"/>
          </w:tcPr>
          <w:p>
            <w:pPr>
              <w:rPr>
                <w:sz w:val="2"/>
                <w:szCs w:val="2"/>
              </w:rPr>
            </w:pPr>
          </w:p>
        </w:tc>
      </w:tr>
      <w:tr>
        <w:trPr>
          <w:trHeight w:val="193" w:hRule="atLeast"/>
        </w:trPr>
        <w:tc>
          <w:tcPr>
            <w:tcW w:w="926" w:type="dxa"/>
          </w:tcPr>
          <w:p>
            <w:pPr>
              <w:pStyle w:val="TableParagraph"/>
              <w:spacing w:line="161" w:lineRule="exact"/>
              <w:ind w:left="107"/>
              <w:rPr>
                <w:sz w:val="16"/>
              </w:rPr>
            </w:pPr>
            <w:r>
              <w:rPr>
                <w:sz w:val="16"/>
              </w:rPr>
              <w:t>WL</w:t>
            </w:r>
          </w:p>
        </w:tc>
        <w:tc>
          <w:tcPr>
            <w:tcW w:w="952" w:type="dxa"/>
          </w:tcPr>
          <w:p>
            <w:pPr>
              <w:pStyle w:val="TableParagraph"/>
              <w:spacing w:line="161" w:lineRule="exact"/>
              <w:ind w:left="108"/>
              <w:rPr>
                <w:sz w:val="16"/>
              </w:rPr>
            </w:pPr>
            <w:r>
              <w:rPr>
                <w:sz w:val="16"/>
              </w:rPr>
              <w:t>WL</w:t>
            </w:r>
          </w:p>
        </w:tc>
        <w:tc>
          <w:tcPr>
            <w:tcW w:w="1029" w:type="dxa"/>
          </w:tcPr>
          <w:p>
            <w:pPr>
              <w:pStyle w:val="TableParagraph"/>
              <w:spacing w:line="161" w:lineRule="exact"/>
              <w:ind w:left="108"/>
              <w:rPr>
                <w:sz w:val="16"/>
              </w:rPr>
            </w:pPr>
            <w:r>
              <w:rPr>
                <w:sz w:val="16"/>
              </w:rPr>
              <w:t>(a)</w:t>
            </w:r>
          </w:p>
        </w:tc>
        <w:tc>
          <w:tcPr>
            <w:tcW w:w="2068" w:type="dxa"/>
          </w:tcPr>
          <w:p>
            <w:pPr>
              <w:pStyle w:val="TableParagraph"/>
              <w:rPr>
                <w:sz w:val="12"/>
              </w:rPr>
            </w:pPr>
          </w:p>
        </w:tc>
        <w:tc>
          <w:tcPr>
            <w:tcW w:w="2238" w:type="dxa"/>
          </w:tcPr>
          <w:p>
            <w:pPr>
              <w:pStyle w:val="TableParagraph"/>
              <w:rPr>
                <w:sz w:val="12"/>
              </w:rPr>
            </w:pPr>
          </w:p>
        </w:tc>
        <w:tc>
          <w:tcPr>
            <w:tcW w:w="2269" w:type="dxa"/>
          </w:tcPr>
          <w:p>
            <w:pPr>
              <w:pStyle w:val="TableParagraph"/>
              <w:rPr>
                <w:sz w:val="12"/>
              </w:rPr>
            </w:pPr>
          </w:p>
        </w:tc>
        <w:tc>
          <w:tcPr>
            <w:tcW w:w="2747" w:type="dxa"/>
          </w:tcPr>
          <w:p>
            <w:pPr>
              <w:pStyle w:val="TableParagraph"/>
              <w:rPr>
                <w:sz w:val="12"/>
              </w:rPr>
            </w:pPr>
          </w:p>
        </w:tc>
      </w:tr>
      <w:tr>
        <w:trPr>
          <w:trHeight w:val="29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spacing w:before="52"/>
              <w:ind w:left="108"/>
              <w:rPr>
                <w:sz w:val="16"/>
              </w:rPr>
            </w:pPr>
            <w:r>
              <w:rPr>
                <w:sz w:val="16"/>
              </w:rPr>
              <w:t>(b)</w:t>
            </w:r>
          </w:p>
        </w:tc>
        <w:tc>
          <w:tcPr>
            <w:tcW w:w="2068" w:type="dxa"/>
          </w:tcPr>
          <w:p>
            <w:pPr>
              <w:pStyle w:val="TableParagraph"/>
              <w:spacing w:before="51"/>
              <w:ind w:left="599"/>
              <w:rPr>
                <w:sz w:val="10"/>
              </w:rPr>
            </w:pPr>
            <w:r>
              <w:rPr>
                <w:b/>
                <w:position w:val="2"/>
                <w:sz w:val="16"/>
              </w:rPr>
              <w:t>A</w:t>
            </w:r>
            <w:r>
              <w:rPr>
                <w:b/>
                <w:sz w:val="10"/>
              </w:rPr>
              <w:t>flood, </w:t>
            </w:r>
            <w:r>
              <w:rPr>
                <w:sz w:val="10"/>
              </w:rPr>
              <w:t>total surface</w:t>
            </w:r>
          </w:p>
        </w:tc>
        <w:tc>
          <w:tcPr>
            <w:tcW w:w="2238" w:type="dxa"/>
          </w:tcPr>
          <w:p>
            <w:pPr>
              <w:pStyle w:val="TableParagraph"/>
              <w:spacing w:before="54"/>
              <w:ind w:left="15"/>
              <w:jc w:val="center"/>
              <w:rPr>
                <w:b/>
                <w:sz w:val="16"/>
              </w:rPr>
            </w:pPr>
            <w:r>
              <w:rPr>
                <w:b/>
                <w:w w:val="100"/>
                <w:sz w:val="16"/>
              </w:rPr>
              <w:t>P</w:t>
            </w:r>
          </w:p>
        </w:tc>
        <w:tc>
          <w:tcPr>
            <w:tcW w:w="2269" w:type="dxa"/>
          </w:tcPr>
          <w:p>
            <w:pPr>
              <w:pStyle w:val="TableParagraph"/>
              <w:spacing w:before="10"/>
              <w:rPr>
                <w:sz w:val="8"/>
              </w:rPr>
            </w:pPr>
          </w:p>
          <w:p>
            <w:pPr>
              <w:pStyle w:val="TableParagraph"/>
              <w:spacing w:line="124" w:lineRule="auto"/>
              <w:ind w:left="1167" w:right="856" w:hanging="293"/>
              <w:rPr>
                <w:b/>
                <w:sz w:val="10"/>
              </w:rPr>
            </w:pPr>
            <w:r>
              <w:rPr>
                <w:b/>
                <w:position w:val="2"/>
                <w:sz w:val="16"/>
              </w:rPr>
              <w:t>E</w:t>
            </w:r>
            <w:r>
              <w:rPr>
                <w:b/>
                <w:sz w:val="10"/>
              </w:rPr>
              <w:t>(CO </w:t>
            </w:r>
            <w:r>
              <w:rPr>
                <w:b/>
                <w:spacing w:val="-4"/>
                <w:sz w:val="10"/>
              </w:rPr>
              <w:t>)diff </w:t>
            </w:r>
            <w:r>
              <w:rPr>
                <w:b/>
                <w:sz w:val="10"/>
              </w:rPr>
              <w:t>2</w:t>
            </w:r>
          </w:p>
        </w:tc>
        <w:tc>
          <w:tcPr>
            <w:tcW w:w="2747" w:type="dxa"/>
            <w:shd w:val="clear" w:color="auto" w:fill="D5D5D5"/>
          </w:tcPr>
          <w:p>
            <w:pPr>
              <w:pStyle w:val="TableParagraph"/>
              <w:spacing w:before="25"/>
              <w:ind w:left="616"/>
              <w:rPr>
                <w:b/>
                <w:sz w:val="10"/>
              </w:rPr>
            </w:pPr>
            <w:r>
              <w:rPr>
                <w:b/>
                <w:position w:val="2"/>
                <w:sz w:val="16"/>
              </w:rPr>
              <w:t>CO</w:t>
            </w:r>
            <w:r>
              <w:rPr>
                <w:b/>
                <w:position w:val="-3"/>
                <w:sz w:val="16"/>
              </w:rPr>
              <w:t>2 </w:t>
            </w:r>
            <w:r>
              <w:rPr>
                <w:b/>
                <w:position w:val="2"/>
                <w:sz w:val="16"/>
              </w:rPr>
              <w:t>Emissions </w:t>
            </w:r>
            <w:r>
              <w:rPr>
                <w:b/>
                <w:sz w:val="10"/>
              </w:rPr>
              <w:t>WW flood</w:t>
            </w:r>
          </w:p>
        </w:tc>
      </w:tr>
      <w:tr>
        <w:trPr>
          <w:trHeight w:val="242"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spacing w:before="23"/>
              <w:ind w:left="108"/>
              <w:rPr>
                <w:sz w:val="16"/>
              </w:rPr>
            </w:pPr>
            <w:r>
              <w:rPr>
                <w:sz w:val="16"/>
              </w:rPr>
              <w:t>(c)</w:t>
            </w: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3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spacing w:before="23"/>
              <w:ind w:left="108"/>
              <w:rPr>
                <w:sz w:val="16"/>
              </w:rPr>
            </w:pPr>
            <w:r>
              <w:rPr>
                <w:sz w:val="16"/>
              </w:rPr>
              <w:t>Sub-total</w:t>
            </w: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3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rPr>
                <w:sz w:val="16"/>
              </w:rPr>
            </w:pP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3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rPr>
                <w:sz w:val="16"/>
              </w:rPr>
            </w:pP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3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rPr>
                <w:sz w:val="16"/>
              </w:rPr>
            </w:pP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3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rPr>
                <w:sz w:val="16"/>
              </w:rPr>
            </w:pP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3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rPr>
                <w:sz w:val="16"/>
              </w:rPr>
            </w:pP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3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rPr>
                <w:sz w:val="16"/>
              </w:rPr>
            </w:pP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3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rPr>
                <w:sz w:val="16"/>
              </w:rPr>
            </w:pP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39" w:hRule="atLeast"/>
        </w:trPr>
        <w:tc>
          <w:tcPr>
            <w:tcW w:w="926" w:type="dxa"/>
          </w:tcPr>
          <w:p>
            <w:pPr>
              <w:pStyle w:val="TableParagraph"/>
              <w:rPr>
                <w:sz w:val="16"/>
              </w:rPr>
            </w:pPr>
          </w:p>
        </w:tc>
        <w:tc>
          <w:tcPr>
            <w:tcW w:w="952" w:type="dxa"/>
          </w:tcPr>
          <w:p>
            <w:pPr>
              <w:pStyle w:val="TableParagraph"/>
              <w:rPr>
                <w:sz w:val="16"/>
              </w:rPr>
            </w:pPr>
          </w:p>
        </w:tc>
        <w:tc>
          <w:tcPr>
            <w:tcW w:w="1029" w:type="dxa"/>
          </w:tcPr>
          <w:p>
            <w:pPr>
              <w:pStyle w:val="TableParagraph"/>
              <w:rPr>
                <w:sz w:val="16"/>
              </w:rPr>
            </w:pP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241" w:hRule="atLeast"/>
        </w:trPr>
        <w:tc>
          <w:tcPr>
            <w:tcW w:w="926" w:type="dxa"/>
          </w:tcPr>
          <w:p>
            <w:pPr>
              <w:pStyle w:val="TableParagraph"/>
              <w:spacing w:before="25"/>
              <w:ind w:left="107"/>
              <w:rPr>
                <w:b/>
                <w:sz w:val="16"/>
              </w:rPr>
            </w:pPr>
            <w:r>
              <w:rPr>
                <w:b/>
                <w:sz w:val="16"/>
              </w:rPr>
              <w:t>Total</w:t>
            </w:r>
          </w:p>
        </w:tc>
        <w:tc>
          <w:tcPr>
            <w:tcW w:w="952" w:type="dxa"/>
          </w:tcPr>
          <w:p>
            <w:pPr>
              <w:pStyle w:val="TableParagraph"/>
              <w:rPr>
                <w:sz w:val="16"/>
              </w:rPr>
            </w:pPr>
          </w:p>
        </w:tc>
        <w:tc>
          <w:tcPr>
            <w:tcW w:w="1029" w:type="dxa"/>
          </w:tcPr>
          <w:p>
            <w:pPr>
              <w:pStyle w:val="TableParagraph"/>
              <w:rPr>
                <w:sz w:val="16"/>
              </w:rPr>
            </w:pPr>
          </w:p>
        </w:tc>
        <w:tc>
          <w:tcPr>
            <w:tcW w:w="2068" w:type="dxa"/>
          </w:tcPr>
          <w:p>
            <w:pPr>
              <w:pStyle w:val="TableParagraph"/>
              <w:rPr>
                <w:sz w:val="16"/>
              </w:rPr>
            </w:pPr>
          </w:p>
        </w:tc>
        <w:tc>
          <w:tcPr>
            <w:tcW w:w="2238" w:type="dxa"/>
          </w:tcPr>
          <w:p>
            <w:pPr>
              <w:pStyle w:val="TableParagraph"/>
              <w:rPr>
                <w:sz w:val="16"/>
              </w:rPr>
            </w:pPr>
          </w:p>
        </w:tc>
        <w:tc>
          <w:tcPr>
            <w:tcW w:w="2269" w:type="dxa"/>
          </w:tcPr>
          <w:p>
            <w:pPr>
              <w:pStyle w:val="TableParagraph"/>
              <w:rPr>
                <w:sz w:val="16"/>
              </w:rPr>
            </w:pPr>
          </w:p>
        </w:tc>
        <w:tc>
          <w:tcPr>
            <w:tcW w:w="2747" w:type="dxa"/>
          </w:tcPr>
          <w:p>
            <w:pPr>
              <w:pStyle w:val="TableParagraph"/>
              <w:rPr>
                <w:sz w:val="16"/>
              </w:rPr>
            </w:pPr>
          </w:p>
        </w:tc>
      </w:tr>
      <w:tr>
        <w:trPr>
          <w:trHeight w:val="594" w:hRule="atLeast"/>
        </w:trPr>
        <w:tc>
          <w:tcPr>
            <w:tcW w:w="12229" w:type="dxa"/>
            <w:gridSpan w:val="7"/>
          </w:tcPr>
          <w:p>
            <w:pPr>
              <w:pStyle w:val="TableParagraph"/>
              <w:spacing w:before="49"/>
              <w:ind w:left="107"/>
              <w:rPr>
                <w:sz w:val="16"/>
              </w:rPr>
            </w:pPr>
            <w:r>
              <w:rPr>
                <w:position w:val="9"/>
                <w:sz w:val="10"/>
              </w:rPr>
              <w:t>1 </w:t>
            </w:r>
            <w:r>
              <w:rPr>
                <w:position w:val="2"/>
                <w:sz w:val="16"/>
              </w:rPr>
              <w:t>The default assumption is that the CO</w:t>
            </w:r>
            <w:r>
              <w:rPr>
                <w:sz w:val="10"/>
              </w:rPr>
              <w:t>2 </w:t>
            </w:r>
            <w:r>
              <w:rPr>
                <w:position w:val="2"/>
                <w:sz w:val="16"/>
              </w:rPr>
              <w:t>emission would be limited to approximately 10 years and land flooded &gt; 10 years ago need not be included.</w:t>
            </w:r>
          </w:p>
          <w:p>
            <w:pPr>
              <w:pStyle w:val="TableParagraph"/>
              <w:spacing w:before="79"/>
              <w:ind w:left="107"/>
              <w:rPr>
                <w:sz w:val="16"/>
              </w:rPr>
            </w:pPr>
            <w:r>
              <w:rPr>
                <w:position w:val="7"/>
                <w:sz w:val="10"/>
              </w:rPr>
              <w:t>2 </w:t>
            </w:r>
            <w:r>
              <w:rPr>
                <w:sz w:val="16"/>
              </w:rPr>
              <w:t>Usually 365 days for annual inventory estimates.</w:t>
            </w: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234"/>
        <w:gridCol w:w="2265"/>
        <w:gridCol w:w="2699"/>
        <w:gridCol w:w="25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0" w:type="dxa"/>
            <w:gridSpan w:val="6"/>
          </w:tcPr>
          <w:p>
            <w:pPr>
              <w:pStyle w:val="TableParagraph"/>
              <w:spacing w:before="26"/>
              <w:ind w:left="108"/>
              <w:rPr>
                <w:b/>
                <w:sz w:val="20"/>
              </w:rPr>
            </w:pPr>
            <w:r>
              <w:rPr>
                <w:b/>
                <w:sz w:val="20"/>
              </w:rPr>
              <w:t>Wetlands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0" w:type="dxa"/>
            <w:gridSpan w:val="6"/>
          </w:tcPr>
          <w:p>
            <w:pPr>
              <w:pStyle w:val="TableParagraph"/>
              <w:spacing w:before="26"/>
              <w:ind w:left="108"/>
              <w:rPr>
                <w:b/>
                <w:sz w:val="20"/>
              </w:rPr>
            </w:pPr>
            <w:r>
              <w:rPr>
                <w:b/>
                <w:sz w:val="20"/>
              </w:rPr>
              <w:t>Wetlands Remaining Wetlands (Flooded Land Remaining Flooded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0" w:type="dxa"/>
            <w:gridSpan w:val="6"/>
          </w:tcPr>
          <w:p>
            <w:pPr>
              <w:pStyle w:val="TableParagraph"/>
              <w:spacing w:before="26"/>
              <w:ind w:left="108"/>
              <w:rPr>
                <w:b/>
                <w:sz w:val="20"/>
              </w:rPr>
            </w:pPr>
            <w:r>
              <w:rPr>
                <w:b/>
                <w:sz w:val="20"/>
              </w:rPr>
              <w:t>WL-1d3: CH</w:t>
            </w:r>
            <w:r>
              <w:rPr>
                <w:b/>
                <w:sz w:val="20"/>
                <w:vertAlign w:val="subscript"/>
              </w:rPr>
              <w:t>4</w:t>
            </w:r>
            <w:r>
              <w:rPr>
                <w:b/>
                <w:sz w:val="20"/>
                <w:vertAlign w:val="baseline"/>
              </w:rPr>
              <w:t> emissions from flooded lands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0" w:type="dxa"/>
            <w:gridSpan w:val="6"/>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39" w:right="126"/>
              <w:jc w:val="center"/>
              <w:rPr>
                <w:sz w:val="16"/>
              </w:rPr>
            </w:pPr>
            <w:r>
              <w:rPr>
                <w:sz w:val="16"/>
              </w:rPr>
              <w:t>Total flooded surface area, including flooded land, flooded lake and flooded river surface area</w:t>
            </w:r>
          </w:p>
          <w:p>
            <w:pPr>
              <w:pStyle w:val="TableParagraph"/>
              <w:spacing w:line="380" w:lineRule="exact" w:before="29"/>
              <w:ind w:left="902" w:right="891"/>
              <w:jc w:val="center"/>
              <w:rPr>
                <w:sz w:val="16"/>
              </w:rPr>
            </w:pPr>
            <w:r>
              <w:rPr>
                <w:sz w:val="16"/>
              </w:rPr>
              <w:t>(ha) A</w:t>
            </w:r>
          </w:p>
        </w:tc>
        <w:tc>
          <w:tcPr>
            <w:tcW w:w="2234" w:type="dxa"/>
            <w:vMerge w:val="restart"/>
            <w:shd w:val="clear" w:color="auto" w:fill="E4E4E4"/>
          </w:tcPr>
          <w:p>
            <w:pPr>
              <w:pStyle w:val="TableParagraph"/>
              <w:spacing w:line="480" w:lineRule="auto" w:before="23"/>
              <w:ind w:left="552" w:right="540"/>
              <w:jc w:val="center"/>
              <w:rPr>
                <w:sz w:val="16"/>
              </w:rPr>
            </w:pPr>
            <w:r>
              <w:rPr>
                <w:sz w:val="16"/>
              </w:rPr>
              <w:t>Flooding period (days per year)</w:t>
            </w:r>
            <w:r>
              <w:rPr>
                <w:sz w:val="16"/>
                <w:vertAlign w:val="superscript"/>
              </w:rPr>
              <w:t>1</w:t>
            </w:r>
          </w:p>
          <w:p>
            <w:pPr>
              <w:pStyle w:val="TableParagraph"/>
              <w:rPr>
                <w:sz w:val="18"/>
              </w:rPr>
            </w:pPr>
          </w:p>
          <w:p>
            <w:pPr>
              <w:pStyle w:val="TableParagraph"/>
              <w:rPr>
                <w:sz w:val="18"/>
              </w:rPr>
            </w:pPr>
          </w:p>
          <w:p>
            <w:pPr>
              <w:pStyle w:val="TableParagraph"/>
              <w:spacing w:line="170" w:lineRule="exact" w:before="148"/>
              <w:ind w:left="11"/>
              <w:jc w:val="center"/>
              <w:rPr>
                <w:sz w:val="16"/>
              </w:rPr>
            </w:pPr>
            <w:r>
              <w:rPr>
                <w:w w:val="100"/>
                <w:sz w:val="16"/>
              </w:rPr>
              <w:t>B</w:t>
            </w:r>
          </w:p>
        </w:tc>
        <w:tc>
          <w:tcPr>
            <w:tcW w:w="2265" w:type="dxa"/>
            <w:vMerge w:val="restart"/>
            <w:shd w:val="clear" w:color="auto" w:fill="E4E4E4"/>
          </w:tcPr>
          <w:p>
            <w:pPr>
              <w:pStyle w:val="TableParagraph"/>
              <w:spacing w:before="23"/>
              <w:ind w:left="195" w:right="181"/>
              <w:jc w:val="center"/>
              <w:rPr>
                <w:sz w:val="16"/>
              </w:rPr>
            </w:pPr>
            <w:r>
              <w:rPr>
                <w:sz w:val="16"/>
              </w:rPr>
              <w:t>Average daily diffusive emissions</w:t>
            </w:r>
          </w:p>
          <w:p>
            <w:pPr>
              <w:pStyle w:val="TableParagraph"/>
              <w:spacing w:line="540" w:lineRule="atLeast" w:before="30"/>
              <w:ind w:left="512" w:right="496"/>
              <w:jc w:val="center"/>
              <w:rPr>
                <w:sz w:val="16"/>
              </w:rPr>
            </w:pPr>
            <w:r>
              <w:rPr>
                <w:position w:val="2"/>
                <w:sz w:val="16"/>
              </w:rPr>
              <w:t>(Gg CH</w:t>
            </w:r>
            <w:r>
              <w:rPr>
                <w:sz w:val="10"/>
              </w:rPr>
              <w:t>4 </w:t>
            </w:r>
            <w:r>
              <w:rPr>
                <w:position w:val="2"/>
                <w:sz w:val="16"/>
              </w:rPr>
              <w:t>ha</w:t>
            </w:r>
            <w:r>
              <w:rPr>
                <w:position w:val="2"/>
                <w:sz w:val="16"/>
                <w:vertAlign w:val="superscript"/>
              </w:rPr>
              <w:t>-1</w:t>
            </w:r>
            <w:r>
              <w:rPr>
                <w:position w:val="2"/>
                <w:sz w:val="16"/>
                <w:vertAlign w:val="baseline"/>
              </w:rPr>
              <w:t> day</w:t>
            </w:r>
            <w:r>
              <w:rPr>
                <w:position w:val="2"/>
                <w:sz w:val="16"/>
                <w:vertAlign w:val="superscript"/>
              </w:rPr>
              <w:t>-1</w:t>
            </w:r>
            <w:r>
              <w:rPr>
                <w:position w:val="2"/>
                <w:sz w:val="16"/>
                <w:vertAlign w:val="baseline"/>
              </w:rPr>
              <w:t>) </w:t>
            </w:r>
            <w:r>
              <w:rPr>
                <w:sz w:val="16"/>
                <w:vertAlign w:val="baseline"/>
              </w:rPr>
              <w:t>C</w:t>
            </w:r>
          </w:p>
        </w:tc>
        <w:tc>
          <w:tcPr>
            <w:tcW w:w="2699" w:type="dxa"/>
            <w:vMerge w:val="restart"/>
            <w:shd w:val="clear" w:color="auto" w:fill="E4E4E4"/>
          </w:tcPr>
          <w:p>
            <w:pPr>
              <w:pStyle w:val="TableParagraph"/>
              <w:spacing w:line="720" w:lineRule="auto" w:before="23"/>
              <w:ind w:left="325" w:right="309"/>
              <w:jc w:val="center"/>
              <w:rPr>
                <w:sz w:val="16"/>
              </w:rPr>
            </w:pPr>
            <w:r>
              <w:rPr>
                <w:sz w:val="16"/>
              </w:rPr>
              <w:t>Average daily bubble emissions </w:t>
            </w:r>
            <w:r>
              <w:rPr>
                <w:position w:val="2"/>
                <w:sz w:val="16"/>
              </w:rPr>
              <w:t>(Gg CH</w:t>
            </w:r>
            <w:r>
              <w:rPr>
                <w:sz w:val="10"/>
              </w:rPr>
              <w:t>4 </w:t>
            </w:r>
            <w:r>
              <w:rPr>
                <w:position w:val="2"/>
                <w:sz w:val="16"/>
              </w:rPr>
              <w:t>ha</w:t>
            </w:r>
            <w:r>
              <w:rPr>
                <w:position w:val="2"/>
                <w:sz w:val="16"/>
                <w:vertAlign w:val="superscript"/>
              </w:rPr>
              <w:t>-1</w:t>
            </w:r>
            <w:r>
              <w:rPr>
                <w:position w:val="2"/>
                <w:sz w:val="16"/>
                <w:vertAlign w:val="baseline"/>
              </w:rPr>
              <w:t> day</w:t>
            </w:r>
            <w:r>
              <w:rPr>
                <w:position w:val="2"/>
                <w:sz w:val="16"/>
                <w:vertAlign w:val="superscript"/>
              </w:rPr>
              <w:t>-1</w:t>
            </w:r>
            <w:r>
              <w:rPr>
                <w:position w:val="2"/>
                <w:sz w:val="16"/>
                <w:vertAlign w:val="baseline"/>
              </w:rPr>
              <w:t>)</w:t>
            </w:r>
          </w:p>
          <w:p>
            <w:pPr>
              <w:pStyle w:val="TableParagraph"/>
              <w:spacing w:line="170" w:lineRule="exact" w:before="174"/>
              <w:ind w:left="13"/>
              <w:jc w:val="center"/>
              <w:rPr>
                <w:sz w:val="16"/>
              </w:rPr>
            </w:pPr>
            <w:r>
              <w:rPr>
                <w:w w:val="100"/>
                <w:sz w:val="16"/>
              </w:rPr>
              <w:t>D</w:t>
            </w:r>
          </w:p>
        </w:tc>
        <w:tc>
          <w:tcPr>
            <w:tcW w:w="2519" w:type="dxa"/>
            <w:vMerge w:val="restart"/>
            <w:shd w:val="clear" w:color="auto" w:fill="E4E4E4"/>
          </w:tcPr>
          <w:p>
            <w:pPr>
              <w:pStyle w:val="TableParagraph"/>
              <w:spacing w:line="232" w:lineRule="auto" w:before="27"/>
              <w:ind w:left="150" w:right="137"/>
              <w:jc w:val="center"/>
              <w:rPr>
                <w:sz w:val="16"/>
              </w:rPr>
            </w:pPr>
            <w:r>
              <w:rPr>
                <w:position w:val="2"/>
                <w:sz w:val="16"/>
              </w:rPr>
              <w:t>Total CH</w:t>
            </w:r>
            <w:r>
              <w:rPr>
                <w:sz w:val="10"/>
              </w:rPr>
              <w:t>4 </w:t>
            </w:r>
            <w:r>
              <w:rPr>
                <w:position w:val="2"/>
                <w:sz w:val="16"/>
              </w:rPr>
              <w:t>emissions from flooded </w:t>
            </w:r>
            <w:r>
              <w:rPr>
                <w:sz w:val="16"/>
              </w:rPr>
              <w:t>lands</w:t>
            </w:r>
          </w:p>
          <w:p>
            <w:pPr>
              <w:pStyle w:val="TableParagraph"/>
              <w:spacing w:before="11"/>
              <w:rPr>
                <w:sz w:val="15"/>
              </w:rPr>
            </w:pPr>
          </w:p>
          <w:p>
            <w:pPr>
              <w:pStyle w:val="TableParagraph"/>
              <w:ind w:left="828"/>
              <w:rPr>
                <w:sz w:val="16"/>
              </w:rPr>
            </w:pPr>
            <w:r>
              <w:rPr>
                <w:position w:val="2"/>
                <w:sz w:val="16"/>
              </w:rPr>
              <w:t>(Gg CH</w:t>
            </w:r>
            <w:r>
              <w:rPr>
                <w:sz w:val="10"/>
              </w:rPr>
              <w:t>4 </w:t>
            </w:r>
            <w:r>
              <w:rPr>
                <w:position w:val="2"/>
                <w:sz w:val="16"/>
              </w:rPr>
              <w:t>yr</w:t>
            </w:r>
            <w:r>
              <w:rPr>
                <w:position w:val="2"/>
                <w:sz w:val="16"/>
                <w:vertAlign w:val="superscript"/>
              </w:rPr>
              <w:t>-1</w:t>
            </w:r>
            <w:r>
              <w:rPr>
                <w:position w:val="2"/>
                <w:sz w:val="16"/>
                <w:vertAlign w:val="baseline"/>
              </w:rPr>
              <w:t>)</w:t>
            </w:r>
          </w:p>
          <w:p>
            <w:pPr>
              <w:pStyle w:val="TableParagraph"/>
              <w:spacing w:line="350" w:lineRule="atLeast" w:before="23"/>
              <w:ind w:left="633" w:right="614"/>
              <w:jc w:val="center"/>
              <w:rPr>
                <w:sz w:val="16"/>
              </w:rPr>
            </w:pPr>
            <w:r>
              <w:rPr>
                <w:sz w:val="16"/>
              </w:rPr>
              <w:t>E = A </w:t>
            </w:r>
            <w:r>
              <w:rPr>
                <w:rFonts w:ascii="Symbol" w:hAnsi="Symbol"/>
                <w:sz w:val="16"/>
              </w:rPr>
              <w:t>•</w:t>
            </w:r>
            <w:r>
              <w:rPr>
                <w:sz w:val="16"/>
              </w:rPr>
              <w:t>B </w:t>
            </w:r>
            <w:r>
              <w:rPr>
                <w:rFonts w:ascii="Symbol" w:hAnsi="Symbol"/>
                <w:sz w:val="16"/>
              </w:rPr>
              <w:t>• </w:t>
            </w:r>
            <w:r>
              <w:rPr>
                <w:sz w:val="16"/>
              </w:rPr>
              <w:t>(C + D) E</w:t>
            </w:r>
          </w:p>
        </w:tc>
      </w:tr>
      <w:tr>
        <w:trPr>
          <w:trHeight w:val="110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234" w:type="dxa"/>
            <w:vMerge/>
            <w:tcBorders>
              <w:top w:val="nil"/>
            </w:tcBorders>
            <w:shd w:val="clear" w:color="auto" w:fill="E4E4E4"/>
          </w:tcPr>
          <w:p>
            <w:pPr>
              <w:rPr>
                <w:sz w:val="2"/>
                <w:szCs w:val="2"/>
              </w:rPr>
            </w:pPr>
          </w:p>
        </w:tc>
        <w:tc>
          <w:tcPr>
            <w:tcW w:w="2265" w:type="dxa"/>
            <w:vMerge/>
            <w:tcBorders>
              <w:top w:val="nil"/>
            </w:tcBorders>
            <w:shd w:val="clear" w:color="auto" w:fill="E4E4E4"/>
          </w:tcPr>
          <w:p>
            <w:pPr>
              <w:rPr>
                <w:sz w:val="2"/>
                <w:szCs w:val="2"/>
              </w:rPr>
            </w:pPr>
          </w:p>
        </w:tc>
        <w:tc>
          <w:tcPr>
            <w:tcW w:w="2699" w:type="dxa"/>
            <w:vMerge/>
            <w:tcBorders>
              <w:top w:val="nil"/>
            </w:tcBorders>
            <w:shd w:val="clear" w:color="auto" w:fill="E4E4E4"/>
          </w:tcPr>
          <w:p>
            <w:pPr>
              <w:rPr>
                <w:sz w:val="2"/>
                <w:szCs w:val="2"/>
              </w:rPr>
            </w:pPr>
          </w:p>
        </w:tc>
        <w:tc>
          <w:tcPr>
            <w:tcW w:w="2519" w:type="dxa"/>
            <w:vMerge/>
            <w:tcBorders>
              <w:top w:val="nil"/>
            </w:tcBorders>
            <w:shd w:val="clear" w:color="auto" w:fill="E4E4E4"/>
          </w:tcPr>
          <w:p>
            <w:pPr>
              <w:rPr>
                <w:sz w:val="2"/>
                <w:szCs w:val="2"/>
              </w:rPr>
            </w:pPr>
          </w:p>
        </w:tc>
      </w:tr>
      <w:tr>
        <w:trPr>
          <w:trHeight w:val="203" w:hRule="atLeast"/>
        </w:trPr>
        <w:tc>
          <w:tcPr>
            <w:tcW w:w="924" w:type="dxa"/>
          </w:tcPr>
          <w:p>
            <w:pPr>
              <w:pStyle w:val="TableParagraph"/>
              <w:spacing w:line="171" w:lineRule="exact"/>
              <w:ind w:left="107"/>
              <w:rPr>
                <w:sz w:val="16"/>
              </w:rPr>
            </w:pPr>
            <w:r>
              <w:rPr>
                <w:sz w:val="16"/>
              </w:rPr>
              <w:t>WL</w:t>
            </w:r>
          </w:p>
        </w:tc>
        <w:tc>
          <w:tcPr>
            <w:tcW w:w="950" w:type="dxa"/>
          </w:tcPr>
          <w:p>
            <w:pPr>
              <w:pStyle w:val="TableParagraph"/>
              <w:spacing w:line="171" w:lineRule="exact"/>
              <w:ind w:left="107"/>
              <w:rPr>
                <w:sz w:val="16"/>
              </w:rPr>
            </w:pPr>
            <w:r>
              <w:rPr>
                <w:sz w:val="16"/>
              </w:rPr>
              <w:t>WL</w:t>
            </w:r>
          </w:p>
        </w:tc>
        <w:tc>
          <w:tcPr>
            <w:tcW w:w="1027" w:type="dxa"/>
          </w:tcPr>
          <w:p>
            <w:pPr>
              <w:pStyle w:val="TableParagraph"/>
              <w:spacing w:line="171" w:lineRule="exact"/>
              <w:ind w:left="108"/>
              <w:rPr>
                <w:sz w:val="16"/>
              </w:rPr>
            </w:pPr>
            <w:r>
              <w:rPr>
                <w:sz w:val="16"/>
              </w:rPr>
              <w:t>(a)</w:t>
            </w:r>
          </w:p>
        </w:tc>
        <w:tc>
          <w:tcPr>
            <w:tcW w:w="2066" w:type="dxa"/>
          </w:tcPr>
          <w:p>
            <w:pPr>
              <w:pStyle w:val="TableParagraph"/>
              <w:rPr>
                <w:sz w:val="14"/>
              </w:rPr>
            </w:pPr>
          </w:p>
        </w:tc>
        <w:tc>
          <w:tcPr>
            <w:tcW w:w="2234" w:type="dxa"/>
          </w:tcPr>
          <w:p>
            <w:pPr>
              <w:pStyle w:val="TableParagraph"/>
              <w:rPr>
                <w:sz w:val="14"/>
              </w:rPr>
            </w:pPr>
          </w:p>
        </w:tc>
        <w:tc>
          <w:tcPr>
            <w:tcW w:w="2265" w:type="dxa"/>
          </w:tcPr>
          <w:p>
            <w:pPr>
              <w:pStyle w:val="TableParagraph"/>
              <w:rPr>
                <w:sz w:val="14"/>
              </w:rPr>
            </w:pPr>
          </w:p>
        </w:tc>
        <w:tc>
          <w:tcPr>
            <w:tcW w:w="2699" w:type="dxa"/>
          </w:tcPr>
          <w:p>
            <w:pPr>
              <w:pStyle w:val="TableParagraph"/>
              <w:rPr>
                <w:sz w:val="14"/>
              </w:rPr>
            </w:pPr>
          </w:p>
        </w:tc>
        <w:tc>
          <w:tcPr>
            <w:tcW w:w="2519" w:type="dxa"/>
          </w:tcPr>
          <w:p>
            <w:pPr>
              <w:pStyle w:val="TableParagraph"/>
              <w:rPr>
                <w:sz w:val="14"/>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spacing w:before="22"/>
              <w:ind w:left="595"/>
              <w:rPr>
                <w:sz w:val="10"/>
              </w:rPr>
            </w:pPr>
            <w:r>
              <w:rPr>
                <w:b/>
                <w:position w:val="2"/>
                <w:sz w:val="16"/>
              </w:rPr>
              <w:t>A</w:t>
            </w:r>
            <w:r>
              <w:rPr>
                <w:b/>
                <w:sz w:val="10"/>
              </w:rPr>
              <w:t>flood, </w:t>
            </w:r>
            <w:r>
              <w:rPr>
                <w:sz w:val="10"/>
              </w:rPr>
              <w:t>total surface</w:t>
            </w:r>
          </w:p>
        </w:tc>
        <w:tc>
          <w:tcPr>
            <w:tcW w:w="2234" w:type="dxa"/>
          </w:tcPr>
          <w:p>
            <w:pPr>
              <w:pStyle w:val="TableParagraph"/>
              <w:spacing w:before="25"/>
              <w:ind w:left="11"/>
              <w:jc w:val="center"/>
              <w:rPr>
                <w:b/>
                <w:sz w:val="16"/>
              </w:rPr>
            </w:pPr>
            <w:r>
              <w:rPr>
                <w:b/>
                <w:w w:val="100"/>
                <w:sz w:val="16"/>
              </w:rPr>
              <w:t>P</w:t>
            </w:r>
          </w:p>
        </w:tc>
        <w:tc>
          <w:tcPr>
            <w:tcW w:w="2265" w:type="dxa"/>
          </w:tcPr>
          <w:p>
            <w:pPr>
              <w:pStyle w:val="TableParagraph"/>
              <w:spacing w:before="25"/>
              <w:ind w:left="192" w:right="182"/>
              <w:jc w:val="center"/>
              <w:rPr>
                <w:b/>
                <w:sz w:val="10"/>
              </w:rPr>
            </w:pPr>
            <w:r>
              <w:rPr>
                <w:b/>
                <w:position w:val="2"/>
                <w:sz w:val="16"/>
              </w:rPr>
              <w:t>E</w:t>
            </w:r>
            <w:r>
              <w:rPr>
                <w:b/>
                <w:sz w:val="10"/>
              </w:rPr>
              <w:t>(CH4)diff</w:t>
            </w:r>
          </w:p>
        </w:tc>
        <w:tc>
          <w:tcPr>
            <w:tcW w:w="2699" w:type="dxa"/>
          </w:tcPr>
          <w:p>
            <w:pPr>
              <w:pStyle w:val="TableParagraph"/>
              <w:spacing w:before="25"/>
              <w:ind w:left="130" w:right="117"/>
              <w:jc w:val="center"/>
              <w:rPr>
                <w:b/>
                <w:sz w:val="10"/>
              </w:rPr>
            </w:pPr>
            <w:r>
              <w:rPr>
                <w:b/>
                <w:position w:val="2"/>
                <w:sz w:val="16"/>
              </w:rPr>
              <w:t>E</w:t>
            </w:r>
            <w:r>
              <w:rPr>
                <w:b/>
                <w:sz w:val="10"/>
              </w:rPr>
              <w:t>(CH4)bubble</w:t>
            </w:r>
          </w:p>
        </w:tc>
        <w:tc>
          <w:tcPr>
            <w:tcW w:w="2519" w:type="dxa"/>
            <w:shd w:val="clear" w:color="auto" w:fill="D5D5D5"/>
          </w:tcPr>
          <w:p>
            <w:pPr>
              <w:pStyle w:val="TableParagraph"/>
              <w:spacing w:before="25"/>
              <w:ind w:left="513"/>
              <w:rPr>
                <w:b/>
                <w:sz w:val="10"/>
              </w:rPr>
            </w:pPr>
            <w:r>
              <w:rPr>
                <w:b/>
                <w:position w:val="2"/>
                <w:sz w:val="16"/>
              </w:rPr>
              <w:t>CH</w:t>
            </w:r>
            <w:r>
              <w:rPr>
                <w:b/>
                <w:sz w:val="10"/>
              </w:rPr>
              <w:t>4 </w:t>
            </w:r>
            <w:r>
              <w:rPr>
                <w:b/>
                <w:position w:val="2"/>
                <w:sz w:val="16"/>
              </w:rPr>
              <w:t>Emissions </w:t>
            </w:r>
            <w:r>
              <w:rPr>
                <w:b/>
                <w:sz w:val="10"/>
              </w:rPr>
              <w:t>WW flood</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311" w:hRule="atLeast"/>
        </w:trPr>
        <w:tc>
          <w:tcPr>
            <w:tcW w:w="14684" w:type="dxa"/>
            <w:gridSpan w:val="8"/>
          </w:tcPr>
          <w:p>
            <w:pPr>
              <w:pStyle w:val="TableParagraph"/>
              <w:spacing w:before="50"/>
              <w:ind w:left="107"/>
              <w:rPr>
                <w:sz w:val="16"/>
              </w:rPr>
            </w:pPr>
            <w:r>
              <w:rPr>
                <w:position w:val="7"/>
                <w:sz w:val="10"/>
              </w:rPr>
              <w:t>1 </w:t>
            </w:r>
            <w:r>
              <w:rPr>
                <w:sz w:val="16"/>
              </w:rPr>
              <w:t>Usually 365 days for annual inventory estimates.</w:t>
            </w: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491"/>
        <w:gridCol w:w="3077"/>
        <w:gridCol w:w="2895"/>
        <w:gridCol w:w="32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50" w:type="dxa"/>
            <w:gridSpan w:val="5"/>
          </w:tcPr>
          <w:p>
            <w:pPr>
              <w:pStyle w:val="TableParagraph"/>
              <w:spacing w:before="26"/>
              <w:ind w:left="108"/>
              <w:rPr>
                <w:b/>
                <w:sz w:val="20"/>
              </w:rPr>
            </w:pPr>
            <w:r>
              <w:rPr>
                <w:b/>
                <w:sz w:val="20"/>
              </w:rPr>
              <w:t>Wetlands</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50" w:type="dxa"/>
            <w:gridSpan w:val="5"/>
          </w:tcPr>
          <w:p>
            <w:pPr>
              <w:pStyle w:val="TableParagraph"/>
              <w:spacing w:before="26"/>
              <w:ind w:left="108"/>
              <w:rPr>
                <w:b/>
                <w:sz w:val="20"/>
              </w:rPr>
            </w:pPr>
            <w:r>
              <w:rPr>
                <w:b/>
                <w:sz w:val="20"/>
              </w:rPr>
              <w:t>Wetlands Remaining Wetlands (Flooded Land Remaining Flooded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50" w:type="dxa"/>
            <w:gridSpan w:val="5"/>
          </w:tcPr>
          <w:p>
            <w:pPr>
              <w:pStyle w:val="TableParagraph"/>
              <w:spacing w:before="26"/>
              <w:ind w:left="108"/>
              <w:rPr>
                <w:b/>
                <w:sz w:val="20"/>
              </w:rPr>
            </w:pPr>
            <w:r>
              <w:rPr>
                <w:b/>
                <w:sz w:val="20"/>
              </w:rPr>
              <w:t>WL-1d4: N</w:t>
            </w:r>
            <w:r>
              <w:rPr>
                <w:b/>
                <w:sz w:val="20"/>
                <w:vertAlign w:val="subscript"/>
              </w:rPr>
              <w:t>2</w:t>
            </w:r>
            <w:r>
              <w:rPr>
                <w:b/>
                <w:sz w:val="20"/>
                <w:vertAlign w:val="baseline"/>
              </w:rPr>
              <w:t>O emissions from flooded lands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50" w:type="dxa"/>
            <w:gridSpan w:val="5"/>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491" w:type="dxa"/>
            <w:vMerge w:val="restart"/>
            <w:shd w:val="clear" w:color="auto" w:fill="E4E4E4"/>
          </w:tcPr>
          <w:p>
            <w:pPr>
              <w:pStyle w:val="TableParagraph"/>
              <w:spacing w:before="23"/>
              <w:ind w:left="134" w:right="128" w:firstLine="4"/>
              <w:jc w:val="center"/>
              <w:rPr>
                <w:sz w:val="16"/>
              </w:rPr>
            </w:pPr>
            <w:r>
              <w:rPr>
                <w:sz w:val="16"/>
              </w:rPr>
              <w:t>Total flooded surface area, including flooded land, flooded lake and flooded river surface area</w:t>
            </w:r>
          </w:p>
          <w:p>
            <w:pPr>
              <w:pStyle w:val="TableParagraph"/>
              <w:spacing w:line="406" w:lineRule="exact" w:before="7"/>
              <w:ind w:left="1135" w:right="1083"/>
              <w:jc w:val="center"/>
              <w:rPr>
                <w:sz w:val="16"/>
              </w:rPr>
            </w:pPr>
            <w:r>
              <w:rPr>
                <w:sz w:val="16"/>
              </w:rPr>
              <w:t>(ha) A</w:t>
            </w:r>
          </w:p>
        </w:tc>
        <w:tc>
          <w:tcPr>
            <w:tcW w:w="3077" w:type="dxa"/>
            <w:vMerge w:val="restart"/>
            <w:shd w:val="clear" w:color="auto" w:fill="E4E4E4"/>
          </w:tcPr>
          <w:p>
            <w:pPr>
              <w:pStyle w:val="TableParagraph"/>
              <w:spacing w:line="480" w:lineRule="auto" w:before="23"/>
              <w:ind w:left="1022" w:right="1014"/>
              <w:jc w:val="center"/>
              <w:rPr>
                <w:sz w:val="16"/>
              </w:rPr>
            </w:pPr>
            <w:r>
              <w:rPr>
                <w:sz w:val="16"/>
              </w:rPr>
              <w:t>Flooding period (days per year)</w:t>
            </w:r>
            <w:r>
              <w:rPr>
                <w:sz w:val="16"/>
                <w:vertAlign w:val="superscript"/>
              </w:rPr>
              <w:t>1</w:t>
            </w:r>
          </w:p>
          <w:p>
            <w:pPr>
              <w:pStyle w:val="TableParagraph"/>
              <w:rPr>
                <w:sz w:val="18"/>
              </w:rPr>
            </w:pPr>
          </w:p>
          <w:p>
            <w:pPr>
              <w:pStyle w:val="TableParagraph"/>
              <w:spacing w:before="1"/>
              <w:rPr>
                <w:sz w:val="17"/>
              </w:rPr>
            </w:pPr>
          </w:p>
          <w:p>
            <w:pPr>
              <w:pStyle w:val="TableParagraph"/>
              <w:spacing w:line="170" w:lineRule="exact" w:before="1"/>
              <w:ind w:left="7"/>
              <w:jc w:val="center"/>
              <w:rPr>
                <w:sz w:val="16"/>
              </w:rPr>
            </w:pPr>
            <w:r>
              <w:rPr>
                <w:w w:val="100"/>
                <w:sz w:val="16"/>
              </w:rPr>
              <w:t>B</w:t>
            </w:r>
          </w:p>
        </w:tc>
        <w:tc>
          <w:tcPr>
            <w:tcW w:w="2895" w:type="dxa"/>
            <w:vMerge w:val="restart"/>
            <w:shd w:val="clear" w:color="auto" w:fill="E4E4E4"/>
          </w:tcPr>
          <w:p>
            <w:pPr>
              <w:pStyle w:val="TableParagraph"/>
              <w:spacing w:line="720" w:lineRule="auto" w:before="23"/>
              <w:ind w:left="355" w:right="342"/>
              <w:jc w:val="center"/>
              <w:rPr>
                <w:sz w:val="16"/>
              </w:rPr>
            </w:pPr>
            <w:r>
              <w:rPr>
                <w:sz w:val="16"/>
              </w:rPr>
              <w:t>Average daily diffusive emissions </w:t>
            </w:r>
            <w:r>
              <w:rPr>
                <w:position w:val="2"/>
                <w:sz w:val="16"/>
              </w:rPr>
              <w:t>(Gg N</w:t>
            </w:r>
            <w:r>
              <w:rPr>
                <w:sz w:val="10"/>
              </w:rPr>
              <w:t>2</w:t>
            </w:r>
            <w:r>
              <w:rPr>
                <w:position w:val="2"/>
                <w:sz w:val="16"/>
              </w:rPr>
              <w:t>O ha</w:t>
            </w:r>
            <w:r>
              <w:rPr>
                <w:position w:val="2"/>
                <w:sz w:val="16"/>
                <w:vertAlign w:val="superscript"/>
              </w:rPr>
              <w:t>-1</w:t>
            </w:r>
            <w:r>
              <w:rPr>
                <w:position w:val="2"/>
                <w:sz w:val="16"/>
                <w:vertAlign w:val="baseline"/>
              </w:rPr>
              <w:t> day</w:t>
            </w:r>
            <w:r>
              <w:rPr>
                <w:position w:val="2"/>
                <w:sz w:val="16"/>
                <w:vertAlign w:val="superscript"/>
              </w:rPr>
              <w:t>-1</w:t>
            </w:r>
            <w:r>
              <w:rPr>
                <w:position w:val="2"/>
                <w:sz w:val="16"/>
                <w:vertAlign w:val="baseline"/>
              </w:rPr>
              <w:t>)</w:t>
            </w:r>
          </w:p>
          <w:p>
            <w:pPr>
              <w:pStyle w:val="TableParagraph"/>
              <w:spacing w:line="170" w:lineRule="exact" w:before="16"/>
              <w:ind w:left="11"/>
              <w:jc w:val="center"/>
              <w:rPr>
                <w:sz w:val="16"/>
              </w:rPr>
            </w:pPr>
            <w:r>
              <w:rPr>
                <w:w w:val="100"/>
                <w:sz w:val="16"/>
              </w:rPr>
              <w:t>C</w:t>
            </w:r>
          </w:p>
        </w:tc>
        <w:tc>
          <w:tcPr>
            <w:tcW w:w="3260" w:type="dxa"/>
            <w:vMerge w:val="restart"/>
            <w:shd w:val="clear" w:color="auto" w:fill="E4E4E4"/>
          </w:tcPr>
          <w:p>
            <w:pPr>
              <w:pStyle w:val="TableParagraph"/>
              <w:spacing w:line="470" w:lineRule="auto" w:before="22"/>
              <w:ind w:left="314" w:right="306"/>
              <w:jc w:val="center"/>
              <w:rPr>
                <w:sz w:val="16"/>
              </w:rPr>
            </w:pPr>
            <w:r>
              <w:rPr>
                <w:position w:val="2"/>
                <w:sz w:val="16"/>
              </w:rPr>
              <w:t>Total N</w:t>
            </w:r>
            <w:r>
              <w:rPr>
                <w:sz w:val="10"/>
              </w:rPr>
              <w:t>2</w:t>
            </w:r>
            <w:r>
              <w:rPr>
                <w:position w:val="2"/>
                <w:sz w:val="16"/>
              </w:rPr>
              <w:t>O emissions from flooded</w:t>
            </w:r>
            <w:r>
              <w:rPr>
                <w:spacing w:val="-17"/>
                <w:position w:val="2"/>
                <w:sz w:val="16"/>
              </w:rPr>
              <w:t> </w:t>
            </w:r>
            <w:r>
              <w:rPr>
                <w:position w:val="2"/>
                <w:sz w:val="16"/>
              </w:rPr>
              <w:t>lands (Gg N</w:t>
            </w:r>
            <w:r>
              <w:rPr>
                <w:sz w:val="10"/>
              </w:rPr>
              <w:t>2</w:t>
            </w:r>
            <w:r>
              <w:rPr>
                <w:position w:val="2"/>
                <w:sz w:val="16"/>
              </w:rPr>
              <w:t>O</w:t>
            </w:r>
            <w:r>
              <w:rPr>
                <w:spacing w:val="-3"/>
                <w:position w:val="2"/>
                <w:sz w:val="16"/>
              </w:rPr>
              <w:t> </w:t>
            </w:r>
            <w:r>
              <w:rPr>
                <w:position w:val="2"/>
                <w:sz w:val="16"/>
              </w:rPr>
              <w:t>yr</w:t>
            </w:r>
            <w:r>
              <w:rPr>
                <w:position w:val="2"/>
                <w:sz w:val="16"/>
                <w:vertAlign w:val="superscript"/>
              </w:rPr>
              <w:t>-1</w:t>
            </w:r>
            <w:r>
              <w:rPr>
                <w:position w:val="2"/>
                <w:sz w:val="16"/>
                <w:vertAlign w:val="baseline"/>
              </w:rPr>
              <w:t>)</w:t>
            </w:r>
          </w:p>
          <w:p>
            <w:pPr>
              <w:pStyle w:val="TableParagraph"/>
              <w:spacing w:line="196" w:lineRule="exact"/>
              <w:ind w:left="311" w:right="306"/>
              <w:jc w:val="center"/>
              <w:rPr>
                <w:sz w:val="16"/>
              </w:rPr>
            </w:pPr>
            <w:r>
              <w:rPr>
                <w:sz w:val="16"/>
              </w:rPr>
              <w:t>D = A </w:t>
            </w:r>
            <w:r>
              <w:rPr>
                <w:rFonts w:ascii="Symbol" w:hAnsi="Symbol"/>
                <w:sz w:val="16"/>
              </w:rPr>
              <w:t>• </w:t>
            </w:r>
            <w:r>
              <w:rPr>
                <w:sz w:val="16"/>
              </w:rPr>
              <w:t>B </w:t>
            </w:r>
            <w:r>
              <w:rPr>
                <w:rFonts w:ascii="Symbol" w:hAnsi="Symbol"/>
                <w:sz w:val="16"/>
              </w:rPr>
              <w:t>•</w:t>
            </w:r>
            <w:r>
              <w:rPr>
                <w:rFonts w:ascii="Symbol" w:hAnsi="Symbol"/>
                <w:spacing w:val="-2"/>
                <w:sz w:val="16"/>
              </w:rPr>
              <w:t> </w:t>
            </w:r>
            <w:r>
              <w:rPr>
                <w:sz w:val="16"/>
              </w:rPr>
              <w:t>C</w:t>
            </w:r>
          </w:p>
          <w:p>
            <w:pPr>
              <w:pStyle w:val="TableParagraph"/>
              <w:spacing w:before="1"/>
              <w:rPr>
                <w:sz w:val="17"/>
              </w:rPr>
            </w:pPr>
          </w:p>
          <w:p>
            <w:pPr>
              <w:pStyle w:val="TableParagraph"/>
              <w:spacing w:line="170" w:lineRule="exact"/>
              <w:ind w:left="9"/>
              <w:jc w:val="center"/>
              <w:rPr>
                <w:sz w:val="16"/>
              </w:rPr>
            </w:pPr>
            <w:r>
              <w:rPr>
                <w:w w:val="100"/>
                <w:sz w:val="16"/>
              </w:rPr>
              <w:t>D</w:t>
            </w:r>
          </w:p>
        </w:tc>
      </w:tr>
      <w:tr>
        <w:trPr>
          <w:trHeight w:val="947"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491"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2895" w:type="dxa"/>
            <w:vMerge/>
            <w:tcBorders>
              <w:top w:val="nil"/>
            </w:tcBorders>
            <w:shd w:val="clear" w:color="auto" w:fill="E4E4E4"/>
          </w:tcPr>
          <w:p>
            <w:pPr>
              <w:rPr>
                <w:sz w:val="2"/>
                <w:szCs w:val="2"/>
              </w:rPr>
            </w:pPr>
          </w:p>
        </w:tc>
        <w:tc>
          <w:tcPr>
            <w:tcW w:w="3260" w:type="dxa"/>
            <w:vMerge/>
            <w:tcBorders>
              <w:top w:val="nil"/>
            </w:tcBorders>
            <w:shd w:val="clear" w:color="auto" w:fill="E4E4E4"/>
          </w:tcPr>
          <w:p>
            <w:pPr>
              <w:rPr>
                <w:sz w:val="2"/>
                <w:szCs w:val="2"/>
              </w:rPr>
            </w:pPr>
          </w:p>
        </w:tc>
      </w:tr>
      <w:tr>
        <w:trPr>
          <w:trHeight w:val="198" w:hRule="atLeast"/>
        </w:trPr>
        <w:tc>
          <w:tcPr>
            <w:tcW w:w="924" w:type="dxa"/>
          </w:tcPr>
          <w:p>
            <w:pPr>
              <w:pStyle w:val="TableParagraph"/>
              <w:spacing w:line="166" w:lineRule="exact"/>
              <w:ind w:left="107"/>
              <w:rPr>
                <w:sz w:val="16"/>
              </w:rPr>
            </w:pPr>
            <w:r>
              <w:rPr>
                <w:sz w:val="16"/>
              </w:rPr>
              <w:t>WL</w:t>
            </w:r>
          </w:p>
        </w:tc>
        <w:tc>
          <w:tcPr>
            <w:tcW w:w="950" w:type="dxa"/>
          </w:tcPr>
          <w:p>
            <w:pPr>
              <w:pStyle w:val="TableParagraph"/>
              <w:spacing w:line="166" w:lineRule="exact"/>
              <w:ind w:left="107"/>
              <w:rPr>
                <w:sz w:val="16"/>
              </w:rPr>
            </w:pPr>
            <w:r>
              <w:rPr>
                <w:sz w:val="16"/>
              </w:rPr>
              <w:t>WL</w:t>
            </w:r>
          </w:p>
        </w:tc>
        <w:tc>
          <w:tcPr>
            <w:tcW w:w="1027" w:type="dxa"/>
          </w:tcPr>
          <w:p>
            <w:pPr>
              <w:pStyle w:val="TableParagraph"/>
              <w:spacing w:line="166" w:lineRule="exact"/>
              <w:ind w:left="108"/>
              <w:rPr>
                <w:sz w:val="16"/>
              </w:rPr>
            </w:pPr>
            <w:r>
              <w:rPr>
                <w:sz w:val="16"/>
              </w:rPr>
              <w:t>(a)</w:t>
            </w:r>
          </w:p>
        </w:tc>
        <w:tc>
          <w:tcPr>
            <w:tcW w:w="2491" w:type="dxa"/>
          </w:tcPr>
          <w:p>
            <w:pPr>
              <w:pStyle w:val="TableParagraph"/>
              <w:rPr>
                <w:sz w:val="12"/>
              </w:rPr>
            </w:pPr>
          </w:p>
        </w:tc>
        <w:tc>
          <w:tcPr>
            <w:tcW w:w="3077" w:type="dxa"/>
          </w:tcPr>
          <w:p>
            <w:pPr>
              <w:pStyle w:val="TableParagraph"/>
              <w:rPr>
                <w:sz w:val="12"/>
              </w:rPr>
            </w:pPr>
          </w:p>
        </w:tc>
        <w:tc>
          <w:tcPr>
            <w:tcW w:w="2895" w:type="dxa"/>
          </w:tcPr>
          <w:p>
            <w:pPr>
              <w:pStyle w:val="TableParagraph"/>
              <w:rPr>
                <w:sz w:val="12"/>
              </w:rPr>
            </w:pPr>
          </w:p>
        </w:tc>
        <w:tc>
          <w:tcPr>
            <w:tcW w:w="3260" w:type="dxa"/>
          </w:tcPr>
          <w:p>
            <w:pPr>
              <w:pStyle w:val="TableParagraph"/>
              <w:rPr>
                <w:sz w:val="12"/>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491" w:type="dxa"/>
          </w:tcPr>
          <w:p>
            <w:pPr>
              <w:pStyle w:val="TableParagraph"/>
              <w:spacing w:before="51"/>
              <w:ind w:left="806"/>
              <w:rPr>
                <w:sz w:val="10"/>
              </w:rPr>
            </w:pPr>
            <w:r>
              <w:rPr>
                <w:b/>
                <w:position w:val="2"/>
                <w:sz w:val="16"/>
              </w:rPr>
              <w:t>A</w:t>
            </w:r>
            <w:r>
              <w:rPr>
                <w:b/>
                <w:sz w:val="10"/>
              </w:rPr>
              <w:t>flood, </w:t>
            </w:r>
            <w:r>
              <w:rPr>
                <w:sz w:val="10"/>
              </w:rPr>
              <w:t>total surface</w:t>
            </w:r>
          </w:p>
        </w:tc>
        <w:tc>
          <w:tcPr>
            <w:tcW w:w="3077" w:type="dxa"/>
          </w:tcPr>
          <w:p>
            <w:pPr>
              <w:pStyle w:val="TableParagraph"/>
              <w:spacing w:before="54"/>
              <w:ind w:left="8"/>
              <w:jc w:val="center"/>
              <w:rPr>
                <w:b/>
                <w:sz w:val="16"/>
              </w:rPr>
            </w:pPr>
            <w:r>
              <w:rPr>
                <w:b/>
                <w:w w:val="100"/>
                <w:sz w:val="16"/>
              </w:rPr>
              <w:t>P</w:t>
            </w:r>
          </w:p>
        </w:tc>
        <w:tc>
          <w:tcPr>
            <w:tcW w:w="2895" w:type="dxa"/>
          </w:tcPr>
          <w:p>
            <w:pPr>
              <w:pStyle w:val="TableParagraph"/>
              <w:spacing w:before="10"/>
              <w:rPr>
                <w:sz w:val="8"/>
              </w:rPr>
            </w:pPr>
          </w:p>
          <w:p>
            <w:pPr>
              <w:pStyle w:val="TableParagraph"/>
              <w:spacing w:line="124" w:lineRule="auto"/>
              <w:ind w:left="1192" w:right="1178"/>
              <w:jc w:val="center"/>
              <w:rPr>
                <w:b/>
                <w:sz w:val="10"/>
              </w:rPr>
            </w:pPr>
            <w:r>
              <w:rPr>
                <w:b/>
                <w:position w:val="2"/>
                <w:sz w:val="16"/>
              </w:rPr>
              <w:t>E</w:t>
            </w:r>
            <w:r>
              <w:rPr>
                <w:b/>
                <w:sz w:val="10"/>
              </w:rPr>
              <w:t>(N </w:t>
            </w:r>
            <w:r>
              <w:rPr>
                <w:b/>
                <w:spacing w:val="-4"/>
                <w:sz w:val="10"/>
              </w:rPr>
              <w:t>O)diff </w:t>
            </w:r>
            <w:r>
              <w:rPr>
                <w:b/>
                <w:sz w:val="10"/>
              </w:rPr>
              <w:t>2</w:t>
            </w:r>
          </w:p>
        </w:tc>
        <w:tc>
          <w:tcPr>
            <w:tcW w:w="3260" w:type="dxa"/>
            <w:shd w:val="clear" w:color="auto" w:fill="D5D5D5"/>
          </w:tcPr>
          <w:p>
            <w:pPr>
              <w:pStyle w:val="TableParagraph"/>
              <w:spacing w:before="53"/>
              <w:ind w:left="902"/>
              <w:rPr>
                <w:b/>
                <w:sz w:val="10"/>
              </w:rPr>
            </w:pPr>
            <w:r>
              <w:rPr>
                <w:b/>
                <w:position w:val="2"/>
                <w:sz w:val="16"/>
              </w:rPr>
              <w:t>N</w:t>
            </w:r>
            <w:r>
              <w:rPr>
                <w:b/>
                <w:sz w:val="10"/>
              </w:rPr>
              <w:t>2</w:t>
            </w:r>
            <w:r>
              <w:rPr>
                <w:b/>
                <w:position w:val="2"/>
                <w:sz w:val="16"/>
              </w:rPr>
              <w:t>O Emissions</w:t>
            </w:r>
            <w:r>
              <w:rPr>
                <w:b/>
                <w:sz w:val="10"/>
              </w:rPr>
              <w:t>WW flood</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311" w:hRule="atLeast"/>
        </w:trPr>
        <w:tc>
          <w:tcPr>
            <w:tcW w:w="14624" w:type="dxa"/>
            <w:gridSpan w:val="7"/>
          </w:tcPr>
          <w:p>
            <w:pPr>
              <w:pStyle w:val="TableParagraph"/>
              <w:spacing w:before="50"/>
              <w:ind w:left="107"/>
              <w:rPr>
                <w:sz w:val="16"/>
              </w:rPr>
            </w:pPr>
            <w:r>
              <w:rPr>
                <w:position w:val="7"/>
                <w:sz w:val="10"/>
              </w:rPr>
              <w:t>1 </w:t>
            </w:r>
            <w:r>
              <w:rPr>
                <w:sz w:val="16"/>
              </w:rPr>
              <w:t>Usually 365 days for annual inventory estimates.</w:t>
            </w: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234"/>
        <w:gridCol w:w="2265"/>
        <w:gridCol w:w="2699"/>
        <w:gridCol w:w="2092"/>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383" w:type="dxa"/>
            <w:gridSpan w:val="6"/>
          </w:tcPr>
          <w:p>
            <w:pPr>
              <w:pStyle w:val="TableParagraph"/>
              <w:spacing w:before="26"/>
              <w:ind w:left="108"/>
              <w:rPr>
                <w:b/>
                <w:sz w:val="20"/>
              </w:rPr>
            </w:pPr>
            <w:r>
              <w:rPr>
                <w:b/>
                <w:sz w:val="20"/>
              </w:rPr>
              <w:t>Wetlands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383" w:type="dxa"/>
            <w:gridSpan w:val="6"/>
          </w:tcPr>
          <w:p>
            <w:pPr>
              <w:pStyle w:val="TableParagraph"/>
              <w:spacing w:before="26"/>
              <w:ind w:left="108"/>
              <w:rPr>
                <w:b/>
                <w:sz w:val="20"/>
              </w:rPr>
            </w:pPr>
            <w:r>
              <w:rPr>
                <w:b/>
                <w:sz w:val="20"/>
              </w:rPr>
              <w:t>Land converted to peat extraction</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383" w:type="dxa"/>
            <w:gridSpan w:val="6"/>
          </w:tcPr>
          <w:p>
            <w:pPr>
              <w:pStyle w:val="TableParagraph"/>
              <w:spacing w:before="26"/>
              <w:ind w:left="108"/>
              <w:rPr>
                <w:b/>
                <w:sz w:val="20"/>
              </w:rPr>
            </w:pPr>
            <w:r>
              <w:rPr>
                <w:b/>
                <w:sz w:val="20"/>
              </w:rPr>
              <w:t>WL-2a1: Annual change in carbon stocks in living biomass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383" w:type="dxa"/>
            <w:gridSpan w:val="6"/>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80" w:right="170" w:firstLine="2"/>
              <w:jc w:val="center"/>
              <w:rPr>
                <w:sz w:val="16"/>
              </w:rPr>
            </w:pPr>
            <w:r>
              <w:rPr>
                <w:sz w:val="16"/>
              </w:rPr>
              <w:t>Area of land converted annually to peat extraction from original land use i</w:t>
            </w:r>
          </w:p>
          <w:p>
            <w:pPr>
              <w:pStyle w:val="TableParagraph"/>
              <w:spacing w:before="10"/>
              <w:rPr>
                <w:sz w:val="15"/>
              </w:rPr>
            </w:pPr>
          </w:p>
          <w:p>
            <w:pPr>
              <w:pStyle w:val="TableParagraph"/>
              <w:ind w:left="138" w:right="129"/>
              <w:jc w:val="center"/>
              <w:rPr>
                <w:sz w:val="16"/>
              </w:rPr>
            </w:pPr>
            <w:r>
              <w:rPr>
                <w:sz w:val="16"/>
              </w:rPr>
              <w:t>(ha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26"/>
              <w:ind w:left="14"/>
              <w:jc w:val="center"/>
              <w:rPr>
                <w:sz w:val="16"/>
              </w:rPr>
            </w:pPr>
            <w:r>
              <w:rPr>
                <w:w w:val="100"/>
                <w:sz w:val="16"/>
              </w:rPr>
              <w:t>A</w:t>
            </w:r>
          </w:p>
        </w:tc>
        <w:tc>
          <w:tcPr>
            <w:tcW w:w="2234" w:type="dxa"/>
            <w:vMerge w:val="restart"/>
            <w:shd w:val="clear" w:color="auto" w:fill="E4E4E4"/>
          </w:tcPr>
          <w:p>
            <w:pPr>
              <w:pStyle w:val="TableParagraph"/>
              <w:spacing w:before="23"/>
              <w:ind w:left="190" w:right="176" w:firstLine="2"/>
              <w:jc w:val="center"/>
              <w:rPr>
                <w:sz w:val="16"/>
              </w:rPr>
            </w:pPr>
            <w:r>
              <w:rPr>
                <w:sz w:val="16"/>
              </w:rPr>
              <w:t>Aboveground biomass immediately following conversion to peat extraction</w:t>
            </w:r>
          </w:p>
          <w:p>
            <w:pPr>
              <w:pStyle w:val="TableParagraph"/>
              <w:spacing w:before="10"/>
              <w:rPr>
                <w:sz w:val="15"/>
              </w:rPr>
            </w:pPr>
          </w:p>
          <w:p>
            <w:pPr>
              <w:pStyle w:val="TableParagraph"/>
              <w:ind w:left="166" w:right="154"/>
              <w:jc w:val="center"/>
              <w:rPr>
                <w:sz w:val="16"/>
              </w:rPr>
            </w:pPr>
            <w:r>
              <w:rPr>
                <w:sz w:val="16"/>
              </w:rPr>
              <w:t>(tonnes d.m.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26"/>
              <w:ind w:left="11"/>
              <w:jc w:val="center"/>
              <w:rPr>
                <w:sz w:val="16"/>
              </w:rPr>
            </w:pPr>
            <w:r>
              <w:rPr>
                <w:w w:val="100"/>
                <w:sz w:val="16"/>
              </w:rPr>
              <w:t>B</w:t>
            </w:r>
          </w:p>
        </w:tc>
        <w:tc>
          <w:tcPr>
            <w:tcW w:w="2265" w:type="dxa"/>
            <w:vMerge w:val="restart"/>
            <w:shd w:val="clear" w:color="auto" w:fill="E4E4E4"/>
          </w:tcPr>
          <w:p>
            <w:pPr>
              <w:pStyle w:val="TableParagraph"/>
              <w:spacing w:before="23"/>
              <w:ind w:left="137" w:right="126" w:firstLine="1"/>
              <w:jc w:val="center"/>
              <w:rPr>
                <w:sz w:val="16"/>
              </w:rPr>
            </w:pPr>
            <w:r>
              <w:rPr>
                <w:sz w:val="16"/>
              </w:rPr>
              <w:t>Aboveground biomass immediately before</w:t>
            </w:r>
            <w:r>
              <w:rPr>
                <w:spacing w:val="-16"/>
                <w:sz w:val="16"/>
              </w:rPr>
              <w:t> </w:t>
            </w:r>
            <w:r>
              <w:rPr>
                <w:sz w:val="16"/>
              </w:rPr>
              <w:t>conversion to peat</w:t>
            </w:r>
            <w:r>
              <w:rPr>
                <w:spacing w:val="-3"/>
                <w:sz w:val="16"/>
              </w:rPr>
              <w:t> </w:t>
            </w:r>
            <w:r>
              <w:rPr>
                <w:sz w:val="16"/>
              </w:rPr>
              <w:t>extraction</w:t>
            </w:r>
          </w:p>
          <w:p>
            <w:pPr>
              <w:pStyle w:val="TableParagraph"/>
              <w:spacing w:before="10"/>
              <w:rPr>
                <w:sz w:val="15"/>
              </w:rPr>
            </w:pPr>
          </w:p>
          <w:p>
            <w:pPr>
              <w:pStyle w:val="TableParagraph"/>
              <w:ind w:left="193" w:right="182"/>
              <w:jc w:val="center"/>
              <w:rPr>
                <w:sz w:val="16"/>
              </w:rPr>
            </w:pPr>
            <w:r>
              <w:rPr>
                <w:sz w:val="16"/>
              </w:rPr>
              <w:t>(tonnes d.m.</w:t>
            </w:r>
            <w:r>
              <w:rPr>
                <w:spacing w:val="2"/>
                <w:sz w:val="16"/>
              </w:rPr>
              <w:t> </w:t>
            </w:r>
            <w:r>
              <w:rPr>
                <w:sz w:val="16"/>
              </w:rPr>
              <w:t>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26"/>
              <w:ind w:left="9"/>
              <w:jc w:val="center"/>
              <w:rPr>
                <w:sz w:val="16"/>
              </w:rPr>
            </w:pPr>
            <w:r>
              <w:rPr>
                <w:w w:val="100"/>
                <w:sz w:val="16"/>
              </w:rPr>
              <w:t>C</w:t>
            </w:r>
          </w:p>
        </w:tc>
        <w:tc>
          <w:tcPr>
            <w:tcW w:w="2699" w:type="dxa"/>
            <w:vMerge w:val="restart"/>
            <w:shd w:val="clear" w:color="auto" w:fill="E4E4E4"/>
          </w:tcPr>
          <w:p>
            <w:pPr>
              <w:pStyle w:val="TableParagraph"/>
              <w:spacing w:line="480" w:lineRule="auto" w:before="23"/>
              <w:ind w:left="325" w:right="308"/>
              <w:jc w:val="center"/>
              <w:rPr>
                <w:sz w:val="16"/>
              </w:rPr>
            </w:pPr>
            <w:r>
              <w:rPr>
                <w:sz w:val="16"/>
              </w:rPr>
              <w:t>Carbon fraction of dry matter (default = 0.5)</w:t>
            </w:r>
          </w:p>
          <w:p>
            <w:pPr>
              <w:pStyle w:val="TableParagraph"/>
              <w:spacing w:line="182" w:lineRule="exact"/>
              <w:ind w:left="127" w:right="117"/>
              <w:jc w:val="center"/>
              <w:rPr>
                <w:sz w:val="16"/>
              </w:rPr>
            </w:pPr>
            <w:r>
              <w:rPr>
                <w:sz w:val="16"/>
              </w:rPr>
              <w:t>[tonnes C (tonnes d.m.)</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70" w:lineRule="exact" w:before="126"/>
              <w:ind w:left="13"/>
              <w:jc w:val="center"/>
              <w:rPr>
                <w:sz w:val="16"/>
              </w:rPr>
            </w:pPr>
            <w:r>
              <w:rPr>
                <w:w w:val="100"/>
                <w:sz w:val="16"/>
              </w:rPr>
              <w:t>D</w:t>
            </w:r>
          </w:p>
        </w:tc>
        <w:tc>
          <w:tcPr>
            <w:tcW w:w="2092" w:type="dxa"/>
            <w:vMerge w:val="restart"/>
            <w:shd w:val="clear" w:color="auto" w:fill="E4E4E4"/>
          </w:tcPr>
          <w:p>
            <w:pPr>
              <w:pStyle w:val="TableParagraph"/>
              <w:spacing w:before="23"/>
              <w:ind w:left="194" w:right="178" w:hanging="3"/>
              <w:jc w:val="center"/>
              <w:rPr>
                <w:sz w:val="16"/>
              </w:rPr>
            </w:pPr>
            <w:r>
              <w:rPr>
                <w:sz w:val="16"/>
              </w:rPr>
              <w:t>Annual change in carbon stocks in living biomass in land converted to peat extraction</w:t>
            </w:r>
          </w:p>
          <w:p>
            <w:pPr>
              <w:pStyle w:val="TableParagraph"/>
              <w:spacing w:before="11"/>
              <w:rPr>
                <w:sz w:val="15"/>
              </w:rPr>
            </w:pPr>
          </w:p>
          <w:p>
            <w:pPr>
              <w:pStyle w:val="TableParagraph"/>
              <w:spacing w:line="494" w:lineRule="auto"/>
              <w:ind w:left="458" w:right="439" w:firstLine="127"/>
              <w:rPr>
                <w:sz w:val="16"/>
              </w:rPr>
            </w:pPr>
            <w:r>
              <w:rPr>
                <w:sz w:val="16"/>
              </w:rPr>
              <w:t>(tonnes C yr</w:t>
            </w:r>
            <w:r>
              <w:rPr>
                <w:sz w:val="16"/>
                <w:vertAlign w:val="superscript"/>
              </w:rPr>
              <w:t>-1</w:t>
            </w:r>
            <w:r>
              <w:rPr>
                <w:sz w:val="16"/>
                <w:vertAlign w:val="baseline"/>
              </w:rPr>
              <w:t>) E = A </w:t>
            </w:r>
            <w:r>
              <w:rPr>
                <w:rFonts w:ascii="Symbol" w:hAnsi="Symbol"/>
                <w:sz w:val="16"/>
                <w:vertAlign w:val="baseline"/>
              </w:rPr>
              <w:t>• </w:t>
            </w:r>
            <w:r>
              <w:rPr>
                <w:sz w:val="16"/>
                <w:vertAlign w:val="baseline"/>
              </w:rPr>
              <w:t>(B-C) </w:t>
            </w:r>
            <w:r>
              <w:rPr>
                <w:rFonts w:ascii="Symbol" w:hAnsi="Symbol"/>
                <w:sz w:val="16"/>
                <w:vertAlign w:val="baseline"/>
              </w:rPr>
              <w:t>•</w:t>
            </w:r>
            <w:r>
              <w:rPr>
                <w:rFonts w:ascii="Symbol" w:hAnsi="Symbol"/>
                <w:spacing w:val="-2"/>
                <w:sz w:val="16"/>
                <w:vertAlign w:val="baseline"/>
              </w:rPr>
              <w:t> </w:t>
            </w:r>
            <w:r>
              <w:rPr>
                <w:spacing w:val="-13"/>
                <w:sz w:val="16"/>
                <w:vertAlign w:val="baseline"/>
              </w:rPr>
              <w:t>D</w:t>
            </w:r>
          </w:p>
          <w:p>
            <w:pPr>
              <w:pStyle w:val="TableParagraph"/>
              <w:spacing w:line="145" w:lineRule="exact"/>
              <w:ind w:left="13"/>
              <w:jc w:val="center"/>
              <w:rPr>
                <w:sz w:val="16"/>
              </w:rPr>
            </w:pPr>
            <w:r>
              <w:rPr>
                <w:w w:val="100"/>
                <w:sz w:val="16"/>
              </w:rPr>
              <w:t>E</w:t>
            </w:r>
          </w:p>
        </w:tc>
      </w:tr>
      <w:tr>
        <w:trPr>
          <w:trHeight w:val="1473"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234" w:type="dxa"/>
            <w:vMerge/>
            <w:tcBorders>
              <w:top w:val="nil"/>
            </w:tcBorders>
            <w:shd w:val="clear" w:color="auto" w:fill="E4E4E4"/>
          </w:tcPr>
          <w:p>
            <w:pPr>
              <w:rPr>
                <w:sz w:val="2"/>
                <w:szCs w:val="2"/>
              </w:rPr>
            </w:pPr>
          </w:p>
        </w:tc>
        <w:tc>
          <w:tcPr>
            <w:tcW w:w="2265" w:type="dxa"/>
            <w:vMerge/>
            <w:tcBorders>
              <w:top w:val="nil"/>
            </w:tcBorders>
            <w:shd w:val="clear" w:color="auto" w:fill="E4E4E4"/>
          </w:tcPr>
          <w:p>
            <w:pPr>
              <w:rPr>
                <w:sz w:val="2"/>
                <w:szCs w:val="2"/>
              </w:rPr>
            </w:pPr>
          </w:p>
        </w:tc>
        <w:tc>
          <w:tcPr>
            <w:tcW w:w="2699" w:type="dxa"/>
            <w:vMerge/>
            <w:tcBorders>
              <w:top w:val="nil"/>
            </w:tcBorders>
            <w:shd w:val="clear" w:color="auto" w:fill="E4E4E4"/>
          </w:tcPr>
          <w:p>
            <w:pPr>
              <w:rPr>
                <w:sz w:val="2"/>
                <w:szCs w:val="2"/>
              </w:rPr>
            </w:pPr>
          </w:p>
        </w:tc>
        <w:tc>
          <w:tcPr>
            <w:tcW w:w="2092"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WL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6" w:right="129"/>
              <w:jc w:val="center"/>
              <w:rPr>
                <w:b/>
                <w:sz w:val="10"/>
              </w:rPr>
            </w:pPr>
            <w:r>
              <w:rPr>
                <w:b/>
                <w:position w:val="2"/>
                <w:sz w:val="16"/>
              </w:rPr>
              <w:t>A</w:t>
            </w:r>
            <w:r>
              <w:rPr>
                <w:b/>
                <w:sz w:val="10"/>
              </w:rPr>
              <w:t>i</w:t>
            </w:r>
          </w:p>
        </w:tc>
        <w:tc>
          <w:tcPr>
            <w:tcW w:w="2234" w:type="dxa"/>
          </w:tcPr>
          <w:p>
            <w:pPr>
              <w:pStyle w:val="TableParagraph"/>
              <w:spacing w:before="53"/>
              <w:ind w:left="162" w:right="154"/>
              <w:jc w:val="center"/>
              <w:rPr>
                <w:b/>
                <w:sz w:val="10"/>
              </w:rPr>
            </w:pPr>
            <w:r>
              <w:rPr>
                <w:b/>
                <w:position w:val="2"/>
                <w:sz w:val="16"/>
              </w:rPr>
              <w:t>B</w:t>
            </w:r>
            <w:r>
              <w:rPr>
                <w:b/>
                <w:sz w:val="10"/>
              </w:rPr>
              <w:t>After</w:t>
            </w:r>
          </w:p>
        </w:tc>
        <w:tc>
          <w:tcPr>
            <w:tcW w:w="2265" w:type="dxa"/>
          </w:tcPr>
          <w:p>
            <w:pPr>
              <w:pStyle w:val="TableParagraph"/>
              <w:spacing w:before="53"/>
              <w:ind w:left="191" w:right="182"/>
              <w:jc w:val="center"/>
              <w:rPr>
                <w:b/>
                <w:sz w:val="10"/>
              </w:rPr>
            </w:pPr>
            <w:r>
              <w:rPr>
                <w:b/>
                <w:position w:val="2"/>
                <w:sz w:val="16"/>
              </w:rPr>
              <w:t>B</w:t>
            </w:r>
            <w:r>
              <w:rPr>
                <w:b/>
                <w:sz w:val="10"/>
              </w:rPr>
              <w:t>Before</w:t>
            </w:r>
          </w:p>
        </w:tc>
        <w:tc>
          <w:tcPr>
            <w:tcW w:w="2699" w:type="dxa"/>
          </w:tcPr>
          <w:p>
            <w:pPr>
              <w:pStyle w:val="TableParagraph"/>
              <w:spacing w:before="54"/>
              <w:ind w:left="130" w:right="117"/>
              <w:jc w:val="center"/>
              <w:rPr>
                <w:b/>
                <w:sz w:val="16"/>
              </w:rPr>
            </w:pPr>
            <w:r>
              <w:rPr>
                <w:b/>
                <w:sz w:val="16"/>
              </w:rPr>
              <w:t>CF</w:t>
            </w:r>
          </w:p>
        </w:tc>
        <w:tc>
          <w:tcPr>
            <w:tcW w:w="2092" w:type="dxa"/>
            <w:shd w:val="clear" w:color="auto" w:fill="D5D5D5"/>
          </w:tcPr>
          <w:p>
            <w:pPr>
              <w:pStyle w:val="TableParagraph"/>
              <w:spacing w:line="124" w:lineRule="auto" w:before="88"/>
              <w:ind w:left="1238" w:right="607" w:hanging="615"/>
              <w:rPr>
                <w:b/>
                <w:sz w:val="10"/>
              </w:rPr>
            </w:pPr>
            <w:r>
              <w:rPr>
                <w:b/>
                <w:position w:val="2"/>
                <w:sz w:val="16"/>
              </w:rPr>
              <w:t>∆C</w:t>
            </w:r>
            <w:r>
              <w:rPr>
                <w:b/>
                <w:sz w:val="10"/>
              </w:rPr>
              <w:t>LW  peat   </w:t>
            </w:r>
            <w:r>
              <w:rPr>
                <w:b/>
                <w:spacing w:val="-14"/>
                <w:position w:val="9"/>
                <w:sz w:val="10"/>
              </w:rPr>
              <w:t>1 </w:t>
            </w:r>
            <w:r>
              <w:rPr>
                <w:b/>
                <w:spacing w:val="-3"/>
                <w:sz w:val="10"/>
              </w:rPr>
              <w:t>LB</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WL</w:t>
            </w: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WL</w:t>
            </w: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092" w:type="dxa"/>
          </w:tcPr>
          <w:p>
            <w:pPr>
              <w:pStyle w:val="TableParagraph"/>
              <w:rPr>
                <w:sz w:val="16"/>
              </w:rPr>
            </w:pPr>
          </w:p>
        </w:tc>
      </w:tr>
      <w:tr>
        <w:trPr>
          <w:trHeight w:val="496" w:hRule="atLeast"/>
        </w:trPr>
        <w:tc>
          <w:tcPr>
            <w:tcW w:w="14257" w:type="dxa"/>
            <w:gridSpan w:val="8"/>
          </w:tcPr>
          <w:p>
            <w:pPr>
              <w:pStyle w:val="TableParagraph"/>
              <w:spacing w:before="50"/>
              <w:ind w:left="182" w:right="185" w:hanging="75"/>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pgSz w:w="16840" w:h="11900" w:orient="landscape"/>
          <w:pgMar w:header="1150" w:footer="112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234"/>
        <w:gridCol w:w="2265"/>
        <w:gridCol w:w="2699"/>
        <w:gridCol w:w="25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0" w:type="dxa"/>
            <w:gridSpan w:val="6"/>
          </w:tcPr>
          <w:p>
            <w:pPr>
              <w:pStyle w:val="TableParagraph"/>
              <w:spacing w:before="26"/>
              <w:ind w:left="108"/>
              <w:rPr>
                <w:b/>
                <w:sz w:val="20"/>
              </w:rPr>
            </w:pPr>
            <w:r>
              <w:rPr>
                <w:b/>
                <w:sz w:val="20"/>
              </w:rPr>
              <w:t>Wetlands</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0" w:type="dxa"/>
            <w:gridSpan w:val="6"/>
          </w:tcPr>
          <w:p>
            <w:pPr>
              <w:pStyle w:val="TableParagraph"/>
              <w:spacing w:before="26"/>
              <w:ind w:left="108"/>
              <w:rPr>
                <w:b/>
                <w:sz w:val="20"/>
              </w:rPr>
            </w:pPr>
            <w:r>
              <w:rPr>
                <w:b/>
                <w:sz w:val="20"/>
              </w:rPr>
              <w:t>Land converted to peat extraction</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0" w:type="dxa"/>
            <w:gridSpan w:val="6"/>
          </w:tcPr>
          <w:p>
            <w:pPr>
              <w:pStyle w:val="TableParagraph"/>
              <w:spacing w:before="26"/>
              <w:ind w:left="108"/>
              <w:rPr>
                <w:b/>
                <w:sz w:val="20"/>
              </w:rPr>
            </w:pPr>
            <w:r>
              <w:rPr>
                <w:b/>
                <w:sz w:val="20"/>
              </w:rPr>
              <w:t>WL-2c: Annual carbon stock change in soil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0" w:type="dxa"/>
            <w:gridSpan w:val="6"/>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16" w:right="102"/>
              <w:jc w:val="center"/>
              <w:rPr>
                <w:sz w:val="16"/>
              </w:rPr>
            </w:pPr>
            <w:r>
              <w:rPr>
                <w:sz w:val="16"/>
              </w:rPr>
              <w:t>Area of nutrient rich organic soils converted to peat extraction</w:t>
            </w:r>
          </w:p>
          <w:p>
            <w:pPr>
              <w:pStyle w:val="TableParagraph"/>
              <w:spacing w:before="10"/>
              <w:rPr>
                <w:sz w:val="15"/>
              </w:rPr>
            </w:pPr>
          </w:p>
          <w:p>
            <w:pPr>
              <w:pStyle w:val="TableParagraph"/>
              <w:ind w:left="138" w:right="129"/>
              <w:jc w:val="center"/>
              <w:rPr>
                <w:sz w:val="16"/>
              </w:rPr>
            </w:pPr>
            <w:r>
              <w:rPr>
                <w:sz w:val="16"/>
              </w:rPr>
              <w:t>(ha)</w:t>
            </w:r>
          </w:p>
          <w:p>
            <w:pPr>
              <w:pStyle w:val="TableParagraph"/>
              <w:rPr>
                <w:sz w:val="18"/>
              </w:rPr>
            </w:pPr>
          </w:p>
          <w:p>
            <w:pPr>
              <w:pStyle w:val="TableParagraph"/>
              <w:rPr>
                <w:sz w:val="18"/>
              </w:rPr>
            </w:pPr>
          </w:p>
          <w:p>
            <w:pPr>
              <w:pStyle w:val="TableParagraph"/>
              <w:spacing w:line="168" w:lineRule="exact" w:before="151"/>
              <w:ind w:left="14"/>
              <w:jc w:val="center"/>
              <w:rPr>
                <w:sz w:val="16"/>
              </w:rPr>
            </w:pPr>
            <w:r>
              <w:rPr>
                <w:w w:val="100"/>
                <w:sz w:val="16"/>
              </w:rPr>
              <w:t>A</w:t>
            </w:r>
          </w:p>
        </w:tc>
        <w:tc>
          <w:tcPr>
            <w:tcW w:w="2234" w:type="dxa"/>
            <w:vMerge w:val="restart"/>
            <w:shd w:val="clear" w:color="auto" w:fill="E4E4E4"/>
          </w:tcPr>
          <w:p>
            <w:pPr>
              <w:pStyle w:val="TableParagraph"/>
              <w:spacing w:before="23"/>
              <w:ind w:left="139" w:right="123" w:hanging="1"/>
              <w:jc w:val="center"/>
              <w:rPr>
                <w:sz w:val="16"/>
              </w:rPr>
            </w:pPr>
            <w:r>
              <w:rPr>
                <w:sz w:val="16"/>
              </w:rPr>
              <w:t>Emission factor for changes in carbon stocks in nutrient rich organic soils converted to peat extraction</w:t>
            </w:r>
          </w:p>
          <w:p>
            <w:pPr>
              <w:pStyle w:val="TableParagraph"/>
              <w:spacing w:before="11"/>
              <w:rPr>
                <w:sz w:val="15"/>
              </w:rPr>
            </w:pPr>
          </w:p>
          <w:p>
            <w:pPr>
              <w:pStyle w:val="TableParagraph"/>
              <w:ind w:left="164" w:right="154"/>
              <w:jc w:val="center"/>
              <w:rPr>
                <w:sz w:val="16"/>
              </w:rPr>
            </w:pPr>
            <w:r>
              <w:rPr>
                <w:sz w:val="16"/>
              </w:rPr>
              <w:t>(tonnes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5"/>
              </w:rPr>
            </w:pPr>
          </w:p>
          <w:p>
            <w:pPr>
              <w:pStyle w:val="TableParagraph"/>
              <w:spacing w:line="168" w:lineRule="exact"/>
              <w:ind w:left="11"/>
              <w:jc w:val="center"/>
              <w:rPr>
                <w:sz w:val="16"/>
              </w:rPr>
            </w:pPr>
            <w:r>
              <w:rPr>
                <w:w w:val="100"/>
                <w:sz w:val="16"/>
              </w:rPr>
              <w:t>B</w:t>
            </w:r>
          </w:p>
        </w:tc>
        <w:tc>
          <w:tcPr>
            <w:tcW w:w="2265" w:type="dxa"/>
            <w:vMerge w:val="restart"/>
            <w:shd w:val="clear" w:color="auto" w:fill="E4E4E4"/>
          </w:tcPr>
          <w:p>
            <w:pPr>
              <w:pStyle w:val="TableParagraph"/>
              <w:spacing w:before="23"/>
              <w:ind w:left="195" w:right="182"/>
              <w:jc w:val="center"/>
              <w:rPr>
                <w:sz w:val="16"/>
              </w:rPr>
            </w:pPr>
            <w:r>
              <w:rPr>
                <w:sz w:val="16"/>
              </w:rPr>
              <w:t>Area of nutrient poor organic soils converted to peat extraction</w:t>
            </w:r>
          </w:p>
          <w:p>
            <w:pPr>
              <w:pStyle w:val="TableParagraph"/>
              <w:spacing w:before="10"/>
              <w:rPr>
                <w:sz w:val="15"/>
              </w:rPr>
            </w:pPr>
          </w:p>
          <w:p>
            <w:pPr>
              <w:pStyle w:val="TableParagraph"/>
              <w:ind w:left="195" w:right="182"/>
              <w:jc w:val="center"/>
              <w:rPr>
                <w:sz w:val="16"/>
              </w:rPr>
            </w:pPr>
            <w:r>
              <w:rPr>
                <w:sz w:val="16"/>
              </w:rPr>
              <w:t>(ha)</w:t>
            </w:r>
          </w:p>
          <w:p>
            <w:pPr>
              <w:pStyle w:val="TableParagraph"/>
              <w:rPr>
                <w:sz w:val="18"/>
              </w:rPr>
            </w:pPr>
          </w:p>
          <w:p>
            <w:pPr>
              <w:pStyle w:val="TableParagraph"/>
              <w:rPr>
                <w:sz w:val="18"/>
              </w:rPr>
            </w:pPr>
          </w:p>
          <w:p>
            <w:pPr>
              <w:pStyle w:val="TableParagraph"/>
              <w:spacing w:line="168" w:lineRule="exact" w:before="151"/>
              <w:ind w:left="9"/>
              <w:jc w:val="center"/>
              <w:rPr>
                <w:sz w:val="16"/>
              </w:rPr>
            </w:pPr>
            <w:r>
              <w:rPr>
                <w:w w:val="100"/>
                <w:sz w:val="16"/>
              </w:rPr>
              <w:t>C</w:t>
            </w:r>
          </w:p>
        </w:tc>
        <w:tc>
          <w:tcPr>
            <w:tcW w:w="2699" w:type="dxa"/>
            <w:vMerge w:val="restart"/>
            <w:shd w:val="clear" w:color="auto" w:fill="E4E4E4"/>
          </w:tcPr>
          <w:p>
            <w:pPr>
              <w:pStyle w:val="TableParagraph"/>
              <w:spacing w:before="23"/>
              <w:ind w:left="172" w:right="159" w:firstLine="5"/>
              <w:jc w:val="center"/>
              <w:rPr>
                <w:sz w:val="16"/>
              </w:rPr>
            </w:pPr>
            <w:r>
              <w:rPr>
                <w:sz w:val="16"/>
              </w:rPr>
              <w:t>Emission factor for carbon stocks in nutrient poor organic soils converted to peat extraction</w:t>
            </w:r>
          </w:p>
          <w:p>
            <w:pPr>
              <w:pStyle w:val="TableParagraph"/>
              <w:spacing w:before="10"/>
              <w:rPr>
                <w:sz w:val="15"/>
              </w:rPr>
            </w:pPr>
          </w:p>
          <w:p>
            <w:pPr>
              <w:pStyle w:val="TableParagraph"/>
              <w:ind w:left="129" w:right="117"/>
              <w:jc w:val="center"/>
              <w:rPr>
                <w:sz w:val="16"/>
              </w:rPr>
            </w:pPr>
            <w:r>
              <w:rPr>
                <w:sz w:val="16"/>
              </w:rPr>
              <w:t>(tonnes C ha</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13"/>
              <w:jc w:val="center"/>
              <w:rPr>
                <w:sz w:val="16"/>
              </w:rPr>
            </w:pPr>
            <w:r>
              <w:rPr>
                <w:w w:val="100"/>
                <w:sz w:val="16"/>
              </w:rPr>
              <w:t>D</w:t>
            </w:r>
          </w:p>
        </w:tc>
        <w:tc>
          <w:tcPr>
            <w:tcW w:w="2519" w:type="dxa"/>
            <w:vMerge w:val="restart"/>
            <w:shd w:val="clear" w:color="auto" w:fill="E4E4E4"/>
          </w:tcPr>
          <w:p>
            <w:pPr>
              <w:pStyle w:val="TableParagraph"/>
              <w:spacing w:before="23"/>
              <w:ind w:left="120" w:right="102" w:hanging="4"/>
              <w:jc w:val="center"/>
              <w:rPr>
                <w:sz w:val="16"/>
              </w:rPr>
            </w:pPr>
            <w:r>
              <w:rPr>
                <w:sz w:val="16"/>
              </w:rPr>
              <w:t>Annual change in carbon stocks in soil due to drainage of organic soils converted to peat extraction</w:t>
            </w:r>
          </w:p>
          <w:p>
            <w:pPr>
              <w:pStyle w:val="TableParagraph"/>
              <w:spacing w:before="10"/>
              <w:rPr>
                <w:sz w:val="15"/>
              </w:rPr>
            </w:pPr>
          </w:p>
          <w:p>
            <w:pPr>
              <w:pStyle w:val="TableParagraph"/>
              <w:ind w:left="818"/>
              <w:rPr>
                <w:sz w:val="16"/>
              </w:rPr>
            </w:pPr>
            <w:r>
              <w:rPr>
                <w:sz w:val="16"/>
              </w:rPr>
              <w:t>(tonnes C yr</w:t>
            </w:r>
            <w:r>
              <w:rPr>
                <w:sz w:val="16"/>
                <w:vertAlign w:val="superscript"/>
              </w:rPr>
              <w:t>-1</w:t>
            </w:r>
            <w:r>
              <w:rPr>
                <w:sz w:val="16"/>
                <w:vertAlign w:val="baseline"/>
              </w:rPr>
              <w:t>)</w:t>
            </w:r>
          </w:p>
          <w:p>
            <w:pPr>
              <w:pStyle w:val="TableParagraph"/>
              <w:spacing w:line="350" w:lineRule="atLeast" w:before="45"/>
              <w:ind w:left="559" w:right="543"/>
              <w:jc w:val="center"/>
              <w:rPr>
                <w:sz w:val="16"/>
              </w:rPr>
            </w:pPr>
            <w:r>
              <w:rPr>
                <w:sz w:val="16"/>
              </w:rPr>
              <w:t>E = (A </w:t>
            </w:r>
            <w:r>
              <w:rPr>
                <w:rFonts w:ascii="Symbol" w:hAnsi="Symbol"/>
                <w:sz w:val="16"/>
              </w:rPr>
              <w:t>• </w:t>
            </w:r>
            <w:r>
              <w:rPr>
                <w:sz w:val="16"/>
              </w:rPr>
              <w:t>B) + (C </w:t>
            </w:r>
            <w:r>
              <w:rPr>
                <w:rFonts w:ascii="Symbol" w:hAnsi="Symbol"/>
                <w:sz w:val="16"/>
              </w:rPr>
              <w:t>• </w:t>
            </w:r>
            <w:r>
              <w:rPr>
                <w:sz w:val="16"/>
              </w:rPr>
              <w:t>D) E</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234" w:type="dxa"/>
            <w:vMerge/>
            <w:tcBorders>
              <w:top w:val="nil"/>
            </w:tcBorders>
            <w:shd w:val="clear" w:color="auto" w:fill="E4E4E4"/>
          </w:tcPr>
          <w:p>
            <w:pPr>
              <w:rPr>
                <w:sz w:val="2"/>
                <w:szCs w:val="2"/>
              </w:rPr>
            </w:pPr>
          </w:p>
        </w:tc>
        <w:tc>
          <w:tcPr>
            <w:tcW w:w="2265" w:type="dxa"/>
            <w:vMerge/>
            <w:tcBorders>
              <w:top w:val="nil"/>
            </w:tcBorders>
            <w:shd w:val="clear" w:color="auto" w:fill="E4E4E4"/>
          </w:tcPr>
          <w:p>
            <w:pPr>
              <w:rPr>
                <w:sz w:val="2"/>
                <w:szCs w:val="2"/>
              </w:rPr>
            </w:pPr>
          </w:p>
        </w:tc>
        <w:tc>
          <w:tcPr>
            <w:tcW w:w="2699" w:type="dxa"/>
            <w:vMerge/>
            <w:tcBorders>
              <w:top w:val="nil"/>
            </w:tcBorders>
            <w:shd w:val="clear" w:color="auto" w:fill="E4E4E4"/>
          </w:tcPr>
          <w:p>
            <w:pPr>
              <w:rPr>
                <w:sz w:val="2"/>
                <w:szCs w:val="2"/>
              </w:rPr>
            </w:pPr>
          </w:p>
        </w:tc>
        <w:tc>
          <w:tcPr>
            <w:tcW w:w="2519"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WL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30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9" w:right="127"/>
              <w:jc w:val="center"/>
              <w:rPr>
                <w:b/>
                <w:sz w:val="10"/>
              </w:rPr>
            </w:pPr>
            <w:r>
              <w:rPr>
                <w:b/>
                <w:position w:val="2"/>
                <w:sz w:val="16"/>
              </w:rPr>
              <w:t>A</w:t>
            </w:r>
            <w:r>
              <w:rPr>
                <w:b/>
                <w:sz w:val="10"/>
              </w:rPr>
              <w:t>Nrich</w:t>
            </w:r>
          </w:p>
        </w:tc>
        <w:tc>
          <w:tcPr>
            <w:tcW w:w="2234" w:type="dxa"/>
          </w:tcPr>
          <w:p>
            <w:pPr>
              <w:pStyle w:val="TableParagraph"/>
              <w:spacing w:before="53"/>
              <w:ind w:left="164" w:right="154"/>
              <w:jc w:val="center"/>
              <w:rPr>
                <w:b/>
                <w:sz w:val="10"/>
              </w:rPr>
            </w:pPr>
            <w:r>
              <w:rPr>
                <w:b/>
                <w:position w:val="2"/>
                <w:sz w:val="16"/>
              </w:rPr>
              <w:t>EF</w:t>
            </w:r>
            <w:r>
              <w:rPr>
                <w:b/>
                <w:sz w:val="10"/>
              </w:rPr>
              <w:t>Nrich</w:t>
            </w:r>
          </w:p>
        </w:tc>
        <w:tc>
          <w:tcPr>
            <w:tcW w:w="2265" w:type="dxa"/>
          </w:tcPr>
          <w:p>
            <w:pPr>
              <w:pStyle w:val="TableParagraph"/>
              <w:spacing w:before="53"/>
              <w:ind w:left="191" w:right="182"/>
              <w:jc w:val="center"/>
              <w:rPr>
                <w:b/>
                <w:sz w:val="10"/>
              </w:rPr>
            </w:pPr>
            <w:r>
              <w:rPr>
                <w:b/>
                <w:position w:val="2"/>
                <w:sz w:val="16"/>
              </w:rPr>
              <w:t>A</w:t>
            </w:r>
            <w:r>
              <w:rPr>
                <w:b/>
                <w:sz w:val="10"/>
              </w:rPr>
              <w:t>Npoor</w:t>
            </w:r>
          </w:p>
        </w:tc>
        <w:tc>
          <w:tcPr>
            <w:tcW w:w="2699" w:type="dxa"/>
          </w:tcPr>
          <w:p>
            <w:pPr>
              <w:pStyle w:val="TableParagraph"/>
              <w:spacing w:before="53"/>
              <w:ind w:left="125" w:right="117"/>
              <w:jc w:val="center"/>
              <w:rPr>
                <w:b/>
                <w:sz w:val="10"/>
              </w:rPr>
            </w:pPr>
            <w:r>
              <w:rPr>
                <w:b/>
                <w:position w:val="2"/>
                <w:sz w:val="16"/>
              </w:rPr>
              <w:t>EF</w:t>
            </w:r>
            <w:r>
              <w:rPr>
                <w:b/>
                <w:sz w:val="10"/>
              </w:rPr>
              <w:t>Npoor</w:t>
            </w:r>
          </w:p>
        </w:tc>
        <w:tc>
          <w:tcPr>
            <w:tcW w:w="2519" w:type="dxa"/>
            <w:shd w:val="clear" w:color="auto" w:fill="D5D5D5"/>
          </w:tcPr>
          <w:p>
            <w:pPr>
              <w:pStyle w:val="TableParagraph"/>
              <w:tabs>
                <w:tab w:pos="1274" w:val="left" w:leader="none"/>
              </w:tabs>
              <w:spacing w:line="177" w:lineRule="exact" w:before="11"/>
              <w:ind w:left="434"/>
              <w:rPr>
                <w:b/>
                <w:sz w:val="10"/>
              </w:rPr>
            </w:pPr>
            <w:r>
              <w:rPr>
                <w:b/>
                <w:position w:val="2"/>
                <w:sz w:val="16"/>
              </w:rPr>
              <w:t>∆C</w:t>
            </w:r>
            <w:r>
              <w:rPr>
                <w:b/>
                <w:sz w:val="10"/>
              </w:rPr>
              <w:t>LW peat</w:t>
              <w:tab/>
            </w:r>
            <w:r>
              <w:rPr>
                <w:b/>
                <w:position w:val="9"/>
                <w:sz w:val="10"/>
              </w:rPr>
              <w:t>2 </w:t>
            </w:r>
            <w:r>
              <w:rPr>
                <w:b/>
                <w:position w:val="2"/>
                <w:sz w:val="16"/>
              </w:rPr>
              <w:t>=</w:t>
            </w:r>
            <w:r>
              <w:rPr>
                <w:b/>
                <w:spacing w:val="-13"/>
                <w:position w:val="2"/>
                <w:sz w:val="16"/>
              </w:rPr>
              <w:t> </w:t>
            </w:r>
            <w:r>
              <w:rPr>
                <w:b/>
                <w:position w:val="2"/>
                <w:sz w:val="16"/>
              </w:rPr>
              <w:t>∆C</w:t>
            </w:r>
            <w:r>
              <w:rPr>
                <w:b/>
                <w:sz w:val="10"/>
              </w:rPr>
              <w:t>drainage</w:t>
            </w:r>
          </w:p>
          <w:p>
            <w:pPr>
              <w:pStyle w:val="TableParagraph"/>
              <w:spacing w:line="87" w:lineRule="exact"/>
              <w:ind w:left="156" w:right="411"/>
              <w:jc w:val="center"/>
              <w:rPr>
                <w:b/>
                <w:sz w:val="10"/>
              </w:rPr>
            </w:pPr>
            <w:r>
              <w:rPr>
                <w:b/>
                <w:sz w:val="10"/>
              </w:rPr>
              <w:t>Soils</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WL</w:t>
            </w: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WL</w:t>
            </w: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779" w:hRule="atLeast"/>
        </w:trPr>
        <w:tc>
          <w:tcPr>
            <w:tcW w:w="14684" w:type="dxa"/>
            <w:gridSpan w:val="8"/>
          </w:tcPr>
          <w:p>
            <w:pPr>
              <w:pStyle w:val="TableParagraph"/>
              <w:spacing w:before="50"/>
              <w:ind w:left="107"/>
              <w:rPr>
                <w:sz w:val="16"/>
              </w:rPr>
            </w:pPr>
            <w:r>
              <w:rPr>
                <w:position w:val="7"/>
                <w:sz w:val="10"/>
              </w:rPr>
              <w:t>1 </w:t>
            </w:r>
            <w:r>
              <w:rPr>
                <w:sz w:val="16"/>
              </w:rPr>
              <w:t>In the case of land converted to peat extraction, only the effect of peat drainage is considered.</w:t>
            </w:r>
          </w:p>
          <w:p>
            <w:pPr>
              <w:pStyle w:val="TableParagraph"/>
              <w:spacing w:before="85"/>
              <w:ind w:left="182" w:right="36" w:hanging="75"/>
              <w:rPr>
                <w:sz w:val="16"/>
              </w:rPr>
            </w:pPr>
            <w:r>
              <w:rPr>
                <w:position w:val="7"/>
                <w:sz w:val="10"/>
              </w:rPr>
              <w:t>2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234"/>
        <w:gridCol w:w="2265"/>
        <w:gridCol w:w="2699"/>
        <w:gridCol w:w="25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0" w:type="dxa"/>
            <w:gridSpan w:val="6"/>
          </w:tcPr>
          <w:p>
            <w:pPr>
              <w:pStyle w:val="TableParagraph"/>
              <w:spacing w:before="26"/>
              <w:ind w:left="108"/>
              <w:rPr>
                <w:b/>
                <w:sz w:val="20"/>
              </w:rPr>
            </w:pPr>
            <w:r>
              <w:rPr>
                <w:b/>
                <w:sz w:val="20"/>
              </w:rPr>
              <w:t>Wetlands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0" w:type="dxa"/>
            <w:gridSpan w:val="6"/>
          </w:tcPr>
          <w:p>
            <w:pPr>
              <w:pStyle w:val="TableParagraph"/>
              <w:spacing w:before="26"/>
              <w:ind w:left="108"/>
              <w:rPr>
                <w:b/>
                <w:sz w:val="20"/>
              </w:rPr>
            </w:pPr>
            <w:r>
              <w:rPr>
                <w:b/>
                <w:sz w:val="20"/>
              </w:rPr>
              <w:t>Land converted to flooded land (Reservoirs)</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0" w:type="dxa"/>
            <w:gridSpan w:val="6"/>
          </w:tcPr>
          <w:p>
            <w:pPr>
              <w:pStyle w:val="TableParagraph"/>
              <w:spacing w:before="26"/>
              <w:ind w:left="108"/>
              <w:rPr>
                <w:b/>
                <w:sz w:val="20"/>
              </w:rPr>
            </w:pPr>
            <w:r>
              <w:rPr>
                <w:b/>
                <w:sz w:val="20"/>
              </w:rPr>
              <w:t>WL-2a2: Annual change in carbon stock in living biomass</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0" w:type="dxa"/>
            <w:gridSpan w:val="6"/>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252" w:right="239" w:hanging="2"/>
              <w:jc w:val="center"/>
              <w:rPr>
                <w:sz w:val="16"/>
              </w:rPr>
            </w:pPr>
            <w:r>
              <w:rPr>
                <w:sz w:val="16"/>
              </w:rPr>
              <w:t>Area of land converted annually to flooded land from land use i</w:t>
            </w:r>
          </w:p>
          <w:p>
            <w:pPr>
              <w:pStyle w:val="TableParagraph"/>
              <w:rPr>
                <w:sz w:val="18"/>
              </w:rPr>
            </w:pPr>
          </w:p>
          <w:p>
            <w:pPr>
              <w:pStyle w:val="TableParagraph"/>
              <w:spacing w:before="160"/>
              <w:ind w:left="138" w:right="129"/>
              <w:jc w:val="center"/>
              <w:rPr>
                <w:sz w:val="16"/>
              </w:rPr>
            </w:pPr>
            <w:r>
              <w:rPr>
                <w:sz w:val="16"/>
              </w:rPr>
              <w:t>(ha yr</w:t>
            </w:r>
            <w:r>
              <w:rPr>
                <w:sz w:val="16"/>
                <w:vertAlign w:val="superscript"/>
              </w:rPr>
              <w:t>-1</w:t>
            </w:r>
            <w:r>
              <w:rPr>
                <w:sz w:val="16"/>
                <w:vertAlign w:val="baseline"/>
              </w:rPr>
              <w:t>)</w:t>
            </w:r>
          </w:p>
          <w:p>
            <w:pPr>
              <w:pStyle w:val="TableParagraph"/>
              <w:rPr>
                <w:sz w:val="18"/>
              </w:rPr>
            </w:pPr>
          </w:p>
          <w:p>
            <w:pPr>
              <w:pStyle w:val="TableParagraph"/>
              <w:spacing w:before="1"/>
              <w:rPr>
                <w:sz w:val="15"/>
              </w:rPr>
            </w:pPr>
          </w:p>
          <w:p>
            <w:pPr>
              <w:pStyle w:val="TableParagraph"/>
              <w:spacing w:line="168" w:lineRule="exact"/>
              <w:ind w:left="14"/>
              <w:jc w:val="center"/>
              <w:rPr>
                <w:sz w:val="16"/>
              </w:rPr>
            </w:pPr>
            <w:r>
              <w:rPr>
                <w:w w:val="100"/>
                <w:sz w:val="16"/>
              </w:rPr>
              <w:t>A</w:t>
            </w:r>
          </w:p>
        </w:tc>
        <w:tc>
          <w:tcPr>
            <w:tcW w:w="2234" w:type="dxa"/>
            <w:vMerge w:val="restart"/>
            <w:shd w:val="clear" w:color="auto" w:fill="E4E4E4"/>
          </w:tcPr>
          <w:p>
            <w:pPr>
              <w:pStyle w:val="TableParagraph"/>
              <w:spacing w:before="23"/>
              <w:ind w:left="166" w:right="151"/>
              <w:jc w:val="center"/>
              <w:rPr>
                <w:sz w:val="16"/>
              </w:rPr>
            </w:pPr>
            <w:r>
              <w:rPr>
                <w:sz w:val="16"/>
              </w:rPr>
              <w:t>Living biomass immediately following conversion to flooded land</w:t>
            </w:r>
          </w:p>
          <w:p>
            <w:pPr>
              <w:pStyle w:val="TableParagraph"/>
              <w:spacing w:before="10"/>
              <w:rPr>
                <w:sz w:val="15"/>
              </w:rPr>
            </w:pPr>
          </w:p>
          <w:p>
            <w:pPr>
              <w:pStyle w:val="TableParagraph"/>
              <w:spacing w:line="482" w:lineRule="auto"/>
              <w:ind w:left="555" w:right="540"/>
              <w:jc w:val="center"/>
              <w:rPr>
                <w:sz w:val="16"/>
              </w:rPr>
            </w:pPr>
            <w:r>
              <w:rPr>
                <w:sz w:val="16"/>
              </w:rPr>
              <w:t>(default = 0) (tonnes d.m. ha</w:t>
            </w:r>
            <w:r>
              <w:rPr>
                <w:sz w:val="16"/>
                <w:vertAlign w:val="superscript"/>
              </w:rPr>
              <w:t>-1</w:t>
            </w:r>
            <w:r>
              <w:rPr>
                <w:sz w:val="16"/>
                <w:vertAlign w:val="baseline"/>
              </w:rPr>
              <w:t>)</w:t>
            </w:r>
          </w:p>
          <w:p>
            <w:pPr>
              <w:pStyle w:val="TableParagraph"/>
              <w:spacing w:line="168" w:lineRule="exact" w:before="9"/>
              <w:ind w:left="11"/>
              <w:jc w:val="center"/>
              <w:rPr>
                <w:sz w:val="16"/>
              </w:rPr>
            </w:pPr>
            <w:r>
              <w:rPr>
                <w:w w:val="100"/>
                <w:sz w:val="16"/>
              </w:rPr>
              <w:t>B</w:t>
            </w:r>
          </w:p>
        </w:tc>
        <w:tc>
          <w:tcPr>
            <w:tcW w:w="2265" w:type="dxa"/>
            <w:vMerge w:val="restart"/>
            <w:shd w:val="clear" w:color="auto" w:fill="E4E4E4"/>
          </w:tcPr>
          <w:p>
            <w:pPr>
              <w:pStyle w:val="TableParagraph"/>
              <w:spacing w:before="23"/>
              <w:ind w:left="137" w:right="126"/>
              <w:jc w:val="center"/>
              <w:rPr>
                <w:sz w:val="16"/>
              </w:rPr>
            </w:pPr>
            <w:r>
              <w:rPr>
                <w:sz w:val="16"/>
              </w:rPr>
              <w:t>Living biomass in land immediately before conversion to flooded land</w:t>
            </w:r>
          </w:p>
          <w:p>
            <w:pPr>
              <w:pStyle w:val="TableParagraph"/>
              <w:spacing w:before="10"/>
              <w:rPr>
                <w:sz w:val="15"/>
              </w:rPr>
            </w:pPr>
          </w:p>
          <w:p>
            <w:pPr>
              <w:pStyle w:val="TableParagraph"/>
              <w:ind w:left="193" w:right="182"/>
              <w:jc w:val="center"/>
              <w:rPr>
                <w:sz w:val="16"/>
              </w:rPr>
            </w:pPr>
            <w:r>
              <w:rPr>
                <w:sz w:val="16"/>
              </w:rPr>
              <w:t>(tonnes d.m.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9"/>
              <w:jc w:val="center"/>
              <w:rPr>
                <w:sz w:val="16"/>
              </w:rPr>
            </w:pPr>
            <w:r>
              <w:rPr>
                <w:w w:val="100"/>
                <w:sz w:val="16"/>
              </w:rPr>
              <w:t>C</w:t>
            </w:r>
          </w:p>
        </w:tc>
        <w:tc>
          <w:tcPr>
            <w:tcW w:w="2699" w:type="dxa"/>
            <w:vMerge w:val="restart"/>
            <w:shd w:val="clear" w:color="auto" w:fill="E4E4E4"/>
          </w:tcPr>
          <w:p>
            <w:pPr>
              <w:pStyle w:val="TableParagraph"/>
              <w:spacing w:line="480" w:lineRule="auto" w:before="23"/>
              <w:ind w:left="325" w:right="308"/>
              <w:jc w:val="center"/>
              <w:rPr>
                <w:sz w:val="16"/>
              </w:rPr>
            </w:pPr>
            <w:r>
              <w:rPr>
                <w:sz w:val="16"/>
              </w:rPr>
              <w:t>Carbon fraction of dry matter (default = 0.5)</w:t>
            </w:r>
          </w:p>
          <w:p>
            <w:pPr>
              <w:pStyle w:val="TableParagraph"/>
              <w:spacing w:line="182" w:lineRule="exact"/>
              <w:ind w:left="127" w:right="117"/>
              <w:jc w:val="center"/>
              <w:rPr>
                <w:sz w:val="16"/>
              </w:rPr>
            </w:pPr>
            <w:r>
              <w:rPr>
                <w:sz w:val="16"/>
              </w:rPr>
              <w:t>[tonnes C (tonnes d.m.)</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13"/>
              <w:jc w:val="center"/>
              <w:rPr>
                <w:sz w:val="16"/>
              </w:rPr>
            </w:pPr>
            <w:r>
              <w:rPr>
                <w:w w:val="100"/>
                <w:sz w:val="16"/>
              </w:rPr>
              <w:t>D</w:t>
            </w:r>
          </w:p>
        </w:tc>
        <w:tc>
          <w:tcPr>
            <w:tcW w:w="2519" w:type="dxa"/>
            <w:vMerge w:val="restart"/>
            <w:shd w:val="clear" w:color="auto" w:fill="E4E4E4"/>
          </w:tcPr>
          <w:p>
            <w:pPr>
              <w:pStyle w:val="TableParagraph"/>
              <w:spacing w:before="23"/>
              <w:ind w:left="134" w:right="114" w:hanging="7"/>
              <w:jc w:val="center"/>
              <w:rPr>
                <w:sz w:val="16"/>
              </w:rPr>
            </w:pPr>
            <w:r>
              <w:rPr>
                <w:sz w:val="16"/>
              </w:rPr>
              <w:t>Annual change in carbon stocks in living biomass in land converted to flooded land</w:t>
            </w:r>
          </w:p>
          <w:p>
            <w:pPr>
              <w:pStyle w:val="TableParagraph"/>
              <w:spacing w:before="10"/>
              <w:rPr>
                <w:sz w:val="15"/>
              </w:rPr>
            </w:pPr>
          </w:p>
          <w:p>
            <w:pPr>
              <w:pStyle w:val="TableParagraph"/>
              <w:spacing w:line="496" w:lineRule="auto"/>
              <w:ind w:left="672" w:right="652" w:firstLine="127"/>
              <w:rPr>
                <w:sz w:val="16"/>
              </w:rPr>
            </w:pPr>
            <w:r>
              <w:rPr>
                <w:sz w:val="16"/>
              </w:rPr>
              <w:t>(tonnes C yr</w:t>
            </w:r>
            <w:r>
              <w:rPr>
                <w:sz w:val="16"/>
                <w:vertAlign w:val="superscript"/>
              </w:rPr>
              <w:t>-1</w:t>
            </w:r>
            <w:r>
              <w:rPr>
                <w:sz w:val="16"/>
                <w:vertAlign w:val="baseline"/>
              </w:rPr>
              <w:t>) E = A </w:t>
            </w:r>
            <w:r>
              <w:rPr>
                <w:rFonts w:ascii="Symbol" w:hAnsi="Symbol"/>
                <w:sz w:val="16"/>
                <w:vertAlign w:val="baseline"/>
              </w:rPr>
              <w:t>• </w:t>
            </w:r>
            <w:r>
              <w:rPr>
                <w:sz w:val="16"/>
                <w:vertAlign w:val="baseline"/>
              </w:rPr>
              <w:t>(B-C) </w:t>
            </w:r>
            <w:r>
              <w:rPr>
                <w:rFonts w:ascii="Symbol" w:hAnsi="Symbol"/>
                <w:sz w:val="16"/>
                <w:vertAlign w:val="baseline"/>
              </w:rPr>
              <w:t>•</w:t>
            </w:r>
            <w:r>
              <w:rPr>
                <w:rFonts w:ascii="Symbol" w:hAnsi="Symbol"/>
                <w:spacing w:val="-2"/>
                <w:sz w:val="16"/>
                <w:vertAlign w:val="baseline"/>
              </w:rPr>
              <w:t> </w:t>
            </w:r>
            <w:r>
              <w:rPr>
                <w:spacing w:val="-13"/>
                <w:sz w:val="16"/>
                <w:vertAlign w:val="baseline"/>
              </w:rPr>
              <w:t>D</w:t>
            </w:r>
          </w:p>
          <w:p>
            <w:pPr>
              <w:pStyle w:val="TableParagraph"/>
              <w:spacing w:line="141" w:lineRule="exact"/>
              <w:ind w:left="14"/>
              <w:jc w:val="center"/>
              <w:rPr>
                <w:sz w:val="16"/>
              </w:rPr>
            </w:pPr>
            <w:r>
              <w:rPr>
                <w:w w:val="100"/>
                <w:sz w:val="16"/>
              </w:rPr>
              <w:t>E</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234" w:type="dxa"/>
            <w:vMerge/>
            <w:tcBorders>
              <w:top w:val="nil"/>
            </w:tcBorders>
            <w:shd w:val="clear" w:color="auto" w:fill="E4E4E4"/>
          </w:tcPr>
          <w:p>
            <w:pPr>
              <w:rPr>
                <w:sz w:val="2"/>
                <w:szCs w:val="2"/>
              </w:rPr>
            </w:pPr>
          </w:p>
        </w:tc>
        <w:tc>
          <w:tcPr>
            <w:tcW w:w="2265" w:type="dxa"/>
            <w:vMerge/>
            <w:tcBorders>
              <w:top w:val="nil"/>
            </w:tcBorders>
            <w:shd w:val="clear" w:color="auto" w:fill="E4E4E4"/>
          </w:tcPr>
          <w:p>
            <w:pPr>
              <w:rPr>
                <w:sz w:val="2"/>
                <w:szCs w:val="2"/>
              </w:rPr>
            </w:pPr>
          </w:p>
        </w:tc>
        <w:tc>
          <w:tcPr>
            <w:tcW w:w="2699" w:type="dxa"/>
            <w:vMerge/>
            <w:tcBorders>
              <w:top w:val="nil"/>
            </w:tcBorders>
            <w:shd w:val="clear" w:color="auto" w:fill="E4E4E4"/>
          </w:tcPr>
          <w:p>
            <w:pPr>
              <w:rPr>
                <w:sz w:val="2"/>
                <w:szCs w:val="2"/>
              </w:rPr>
            </w:pPr>
          </w:p>
        </w:tc>
        <w:tc>
          <w:tcPr>
            <w:tcW w:w="2519"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WL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6" w:right="129"/>
              <w:jc w:val="center"/>
              <w:rPr>
                <w:b/>
                <w:sz w:val="10"/>
              </w:rPr>
            </w:pPr>
            <w:r>
              <w:rPr>
                <w:b/>
                <w:position w:val="2"/>
                <w:sz w:val="16"/>
              </w:rPr>
              <w:t>A</w:t>
            </w:r>
            <w:r>
              <w:rPr>
                <w:b/>
                <w:sz w:val="10"/>
              </w:rPr>
              <w:t>i</w:t>
            </w:r>
          </w:p>
        </w:tc>
        <w:tc>
          <w:tcPr>
            <w:tcW w:w="2234" w:type="dxa"/>
          </w:tcPr>
          <w:p>
            <w:pPr>
              <w:pStyle w:val="TableParagraph"/>
              <w:spacing w:before="53"/>
              <w:ind w:left="162" w:right="154"/>
              <w:jc w:val="center"/>
              <w:rPr>
                <w:b/>
                <w:sz w:val="10"/>
              </w:rPr>
            </w:pPr>
            <w:r>
              <w:rPr>
                <w:b/>
                <w:position w:val="2"/>
                <w:sz w:val="16"/>
              </w:rPr>
              <w:t>B</w:t>
            </w:r>
            <w:r>
              <w:rPr>
                <w:b/>
                <w:sz w:val="10"/>
              </w:rPr>
              <w:t>After</w:t>
            </w:r>
          </w:p>
        </w:tc>
        <w:tc>
          <w:tcPr>
            <w:tcW w:w="2265" w:type="dxa"/>
          </w:tcPr>
          <w:p>
            <w:pPr>
              <w:pStyle w:val="TableParagraph"/>
              <w:spacing w:before="53"/>
              <w:ind w:left="191" w:right="182"/>
              <w:jc w:val="center"/>
              <w:rPr>
                <w:b/>
                <w:sz w:val="10"/>
              </w:rPr>
            </w:pPr>
            <w:r>
              <w:rPr>
                <w:b/>
                <w:position w:val="2"/>
                <w:sz w:val="16"/>
              </w:rPr>
              <w:t>B</w:t>
            </w:r>
            <w:r>
              <w:rPr>
                <w:b/>
                <w:sz w:val="10"/>
              </w:rPr>
              <w:t>Before</w:t>
            </w:r>
          </w:p>
        </w:tc>
        <w:tc>
          <w:tcPr>
            <w:tcW w:w="2699" w:type="dxa"/>
          </w:tcPr>
          <w:p>
            <w:pPr>
              <w:pStyle w:val="TableParagraph"/>
              <w:spacing w:before="54"/>
              <w:ind w:left="130" w:right="117"/>
              <w:jc w:val="center"/>
              <w:rPr>
                <w:b/>
                <w:sz w:val="16"/>
              </w:rPr>
            </w:pPr>
            <w:r>
              <w:rPr>
                <w:b/>
                <w:sz w:val="16"/>
              </w:rPr>
              <w:t>CF</w:t>
            </w:r>
          </w:p>
        </w:tc>
        <w:tc>
          <w:tcPr>
            <w:tcW w:w="2519" w:type="dxa"/>
            <w:shd w:val="clear" w:color="auto" w:fill="D5D5D5"/>
          </w:tcPr>
          <w:p>
            <w:pPr>
              <w:pStyle w:val="TableParagraph"/>
              <w:spacing w:line="124" w:lineRule="auto" w:before="88"/>
              <w:ind w:left="1452" w:right="816" w:hanging="620"/>
              <w:rPr>
                <w:b/>
                <w:sz w:val="10"/>
              </w:rPr>
            </w:pPr>
            <w:r>
              <w:rPr>
                <w:b/>
                <w:position w:val="2"/>
                <w:sz w:val="16"/>
              </w:rPr>
              <w:t>∆C</w:t>
            </w:r>
            <w:r>
              <w:rPr>
                <w:b/>
                <w:sz w:val="10"/>
              </w:rPr>
              <w:t>LW flood   </w:t>
            </w:r>
            <w:r>
              <w:rPr>
                <w:b/>
                <w:position w:val="9"/>
                <w:sz w:val="10"/>
              </w:rPr>
              <w:t>2 </w:t>
            </w:r>
            <w:r>
              <w:rPr>
                <w:b/>
                <w:sz w:val="10"/>
              </w:rPr>
              <w:t>LB</w:t>
            </w: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CL</w:t>
            </w:r>
          </w:p>
        </w:tc>
        <w:tc>
          <w:tcPr>
            <w:tcW w:w="950" w:type="dxa"/>
          </w:tcPr>
          <w:p>
            <w:pPr>
              <w:pStyle w:val="TableParagraph"/>
              <w:spacing w:before="23"/>
              <w:ind w:left="107"/>
              <w:rPr>
                <w:sz w:val="16"/>
              </w:rPr>
            </w:pPr>
            <w:r>
              <w:rPr>
                <w:sz w:val="16"/>
              </w:rPr>
              <w:t>WL</w:t>
            </w: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spacing w:before="23"/>
              <w:ind w:left="107"/>
              <w:rPr>
                <w:sz w:val="16"/>
              </w:rPr>
            </w:pPr>
            <w:r>
              <w:rPr>
                <w:sz w:val="16"/>
              </w:rPr>
              <w:t>GL</w:t>
            </w:r>
          </w:p>
        </w:tc>
        <w:tc>
          <w:tcPr>
            <w:tcW w:w="950" w:type="dxa"/>
          </w:tcPr>
          <w:p>
            <w:pPr>
              <w:pStyle w:val="TableParagraph"/>
              <w:spacing w:before="23"/>
              <w:ind w:left="107"/>
              <w:rPr>
                <w:sz w:val="16"/>
              </w:rPr>
            </w:pPr>
            <w:r>
              <w:rPr>
                <w:sz w:val="16"/>
              </w:rPr>
              <w:t>WL</w:t>
            </w: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41"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779" w:hRule="atLeast"/>
        </w:trPr>
        <w:tc>
          <w:tcPr>
            <w:tcW w:w="14684" w:type="dxa"/>
            <w:gridSpan w:val="8"/>
          </w:tcPr>
          <w:p>
            <w:pPr>
              <w:pStyle w:val="TableParagraph"/>
              <w:spacing w:before="50"/>
              <w:ind w:left="107"/>
              <w:rPr>
                <w:sz w:val="16"/>
              </w:rPr>
            </w:pPr>
            <w:r>
              <w:rPr>
                <w:position w:val="7"/>
                <w:sz w:val="10"/>
              </w:rPr>
              <w:t>1 </w:t>
            </w:r>
            <w:r>
              <w:rPr>
                <w:sz w:val="16"/>
              </w:rPr>
              <w:t>Only carbon stock changes in living above-ground biomass due to conversion to flooded land are considered assuming the carbon stock prior to the conversion is lost the first year after the conversion (Tier 1).</w:t>
            </w:r>
          </w:p>
          <w:p>
            <w:pPr>
              <w:pStyle w:val="TableParagraph"/>
              <w:spacing w:before="85"/>
              <w:ind w:left="182" w:right="359" w:hanging="75"/>
              <w:rPr>
                <w:sz w:val="16"/>
              </w:rPr>
            </w:pPr>
            <w:r>
              <w:rPr>
                <w:position w:val="7"/>
                <w:sz w:val="10"/>
              </w:rPr>
              <w:t>2 </w:t>
            </w:r>
            <w:r>
              <w:rPr>
                <w:sz w:val="16"/>
              </w:rPr>
              <w:t>Symbols are provided to show the relationship among the worksheets, compilation worksheets, reporting table, and the equations in the main body of the report. Please note that symbols are provided for only one land use category as an example.</w:t>
            </w:r>
          </w:p>
        </w:tc>
      </w:tr>
    </w:tbl>
    <w:p>
      <w:pPr>
        <w:spacing w:after="0"/>
        <w:rPr>
          <w:sz w:val="16"/>
        </w:rPr>
        <w:sectPr>
          <w:footerReference w:type="default" r:id="rId239"/>
          <w:footerReference w:type="even" r:id="rId240"/>
          <w:pgSz w:w="16840" w:h="11900" w:orient="landscape"/>
          <w:pgMar w:footer="1128" w:header="458"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2234"/>
        <w:gridCol w:w="2265"/>
        <w:gridCol w:w="2699"/>
        <w:gridCol w:w="2519"/>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0" w:type="dxa"/>
            <w:gridSpan w:val="6"/>
          </w:tcPr>
          <w:p>
            <w:pPr>
              <w:pStyle w:val="TableParagraph"/>
              <w:spacing w:before="26"/>
              <w:ind w:left="108"/>
              <w:rPr>
                <w:b/>
                <w:sz w:val="20"/>
              </w:rPr>
            </w:pPr>
            <w:r>
              <w:rPr>
                <w:b/>
                <w:sz w:val="20"/>
              </w:rPr>
              <w:t>Settlements</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0" w:type="dxa"/>
            <w:gridSpan w:val="6"/>
          </w:tcPr>
          <w:p>
            <w:pPr>
              <w:pStyle w:val="TableParagraph"/>
              <w:spacing w:before="26"/>
              <w:ind w:left="108"/>
              <w:rPr>
                <w:b/>
                <w:sz w:val="20"/>
              </w:rPr>
            </w:pPr>
            <w:r>
              <w:rPr>
                <w:b/>
                <w:sz w:val="20"/>
              </w:rPr>
              <w:t>Settlements Remaining Settlements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0" w:type="dxa"/>
            <w:gridSpan w:val="6"/>
          </w:tcPr>
          <w:p>
            <w:pPr>
              <w:pStyle w:val="TableParagraph"/>
              <w:spacing w:before="26"/>
              <w:ind w:left="108"/>
              <w:rPr>
                <w:b/>
                <w:sz w:val="20"/>
              </w:rPr>
            </w:pPr>
            <w:r>
              <w:rPr>
                <w:b/>
                <w:sz w:val="20"/>
              </w:rPr>
              <w:t>SL-1a: Annual carbon stock change in living biomass </w:t>
            </w:r>
            <w:r>
              <w:rPr>
                <w:b/>
                <w:sz w:val="20"/>
                <w:vertAlign w:val="superscript"/>
              </w:rPr>
              <w:t>1</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0" w:type="dxa"/>
            <w:gridSpan w:val="6"/>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line="480" w:lineRule="auto" w:before="23"/>
              <w:ind w:left="247" w:right="236"/>
              <w:jc w:val="center"/>
              <w:rPr>
                <w:sz w:val="16"/>
              </w:rPr>
            </w:pPr>
            <w:r>
              <w:rPr>
                <w:sz w:val="16"/>
              </w:rPr>
              <w:t>Total crown cover area (ha)</w:t>
            </w:r>
          </w:p>
          <w:p>
            <w:pPr>
              <w:pStyle w:val="TableParagraph"/>
              <w:rPr>
                <w:sz w:val="18"/>
              </w:rPr>
            </w:pPr>
          </w:p>
          <w:p>
            <w:pPr>
              <w:pStyle w:val="TableParagraph"/>
              <w:rPr>
                <w:sz w:val="18"/>
              </w:rPr>
            </w:pPr>
          </w:p>
          <w:p>
            <w:pPr>
              <w:pStyle w:val="TableParagraph"/>
              <w:spacing w:line="170" w:lineRule="exact" w:before="148"/>
              <w:ind w:left="14"/>
              <w:jc w:val="center"/>
              <w:rPr>
                <w:sz w:val="16"/>
              </w:rPr>
            </w:pPr>
            <w:r>
              <w:rPr>
                <w:w w:val="100"/>
                <w:sz w:val="16"/>
              </w:rPr>
              <w:t>A</w:t>
            </w:r>
          </w:p>
        </w:tc>
        <w:tc>
          <w:tcPr>
            <w:tcW w:w="2234" w:type="dxa"/>
            <w:vMerge w:val="restart"/>
            <w:shd w:val="clear" w:color="auto" w:fill="E4E4E4"/>
          </w:tcPr>
          <w:p>
            <w:pPr>
              <w:pStyle w:val="TableParagraph"/>
              <w:spacing w:before="23"/>
              <w:ind w:left="164" w:right="154"/>
              <w:jc w:val="center"/>
              <w:rPr>
                <w:sz w:val="16"/>
              </w:rPr>
            </w:pPr>
            <w:r>
              <w:rPr>
                <w:sz w:val="16"/>
              </w:rPr>
              <w:t>Crown cover area-based growth rate</w:t>
            </w:r>
          </w:p>
          <w:p>
            <w:pPr>
              <w:pStyle w:val="TableParagraph"/>
              <w:rPr>
                <w:sz w:val="16"/>
              </w:rPr>
            </w:pPr>
          </w:p>
          <w:p>
            <w:pPr>
              <w:pStyle w:val="TableParagraph"/>
              <w:ind w:left="181" w:right="167"/>
              <w:jc w:val="center"/>
              <w:rPr>
                <w:sz w:val="16"/>
              </w:rPr>
            </w:pPr>
            <w:r>
              <w:rPr>
                <w:sz w:val="16"/>
              </w:rPr>
              <w:t>[tonnes C (ha crown cover)</w:t>
            </w:r>
            <w:r>
              <w:rPr>
                <w:sz w:val="16"/>
                <w:vertAlign w:val="superscript"/>
              </w:rPr>
              <w:t>-1</w:t>
            </w:r>
            <w:r>
              <w:rPr>
                <w:sz w:val="16"/>
                <w:vertAlign w:val="baseline"/>
              </w:rPr>
              <w:t> yr</w:t>
            </w:r>
            <w:r>
              <w:rPr>
                <w:sz w:val="16"/>
                <w:vertAlign w:val="superscript"/>
              </w:rPr>
              <w:t>-1</w:t>
            </w:r>
            <w:r>
              <w:rPr>
                <w:sz w:val="16"/>
                <w:vertAlign w:val="baseline"/>
              </w:rPr>
              <w:t>]</w:t>
            </w:r>
          </w:p>
          <w:p>
            <w:pPr>
              <w:pStyle w:val="TableParagraph"/>
              <w:rPr>
                <w:sz w:val="18"/>
              </w:rPr>
            </w:pPr>
          </w:p>
          <w:p>
            <w:pPr>
              <w:pStyle w:val="TableParagraph"/>
              <w:spacing w:before="10"/>
              <w:rPr>
                <w:sz w:val="14"/>
              </w:rPr>
            </w:pPr>
          </w:p>
          <w:p>
            <w:pPr>
              <w:pStyle w:val="TableParagraph"/>
              <w:spacing w:line="170" w:lineRule="exact"/>
              <w:ind w:left="11"/>
              <w:jc w:val="center"/>
              <w:rPr>
                <w:sz w:val="16"/>
              </w:rPr>
            </w:pPr>
            <w:r>
              <w:rPr>
                <w:w w:val="100"/>
                <w:sz w:val="16"/>
              </w:rPr>
              <w:t>B</w:t>
            </w:r>
          </w:p>
        </w:tc>
        <w:tc>
          <w:tcPr>
            <w:tcW w:w="2265" w:type="dxa"/>
            <w:vMerge w:val="restart"/>
            <w:shd w:val="clear" w:color="auto" w:fill="E4E4E4"/>
          </w:tcPr>
          <w:p>
            <w:pPr>
              <w:pStyle w:val="TableParagraph"/>
              <w:spacing w:line="480" w:lineRule="auto" w:before="23"/>
              <w:ind w:left="194" w:right="182"/>
              <w:jc w:val="center"/>
              <w:rPr>
                <w:sz w:val="16"/>
              </w:rPr>
            </w:pPr>
            <w:r>
              <w:rPr>
                <w:sz w:val="16"/>
              </w:rPr>
              <w:t>Annual biomass growth (tonnes C yr</w:t>
            </w:r>
            <w:r>
              <w:rPr>
                <w:sz w:val="16"/>
                <w:vertAlign w:val="superscript"/>
              </w:rPr>
              <w:t>-1</w:t>
            </w:r>
            <w:r>
              <w:rPr>
                <w:sz w:val="16"/>
                <w:vertAlign w:val="baseline"/>
              </w:rPr>
              <w:t>)</w:t>
            </w:r>
          </w:p>
          <w:p>
            <w:pPr>
              <w:pStyle w:val="TableParagraph"/>
              <w:spacing w:before="10"/>
              <w:ind w:left="191" w:right="182"/>
              <w:jc w:val="center"/>
              <w:rPr>
                <w:sz w:val="16"/>
              </w:rPr>
            </w:pPr>
            <w:r>
              <w:rPr>
                <w:sz w:val="16"/>
              </w:rPr>
              <w:t>C = A </w:t>
            </w:r>
            <w:r>
              <w:rPr>
                <w:rFonts w:ascii="Symbol" w:hAnsi="Symbol"/>
                <w:sz w:val="16"/>
              </w:rPr>
              <w:t>• </w:t>
            </w:r>
            <w:r>
              <w:rPr>
                <w:sz w:val="16"/>
              </w:rPr>
              <w:t>B</w:t>
            </w:r>
          </w:p>
          <w:p>
            <w:pPr>
              <w:pStyle w:val="TableParagraph"/>
              <w:rPr>
                <w:sz w:val="20"/>
              </w:rPr>
            </w:pPr>
          </w:p>
          <w:p>
            <w:pPr>
              <w:pStyle w:val="TableParagraph"/>
              <w:spacing w:line="170" w:lineRule="exact" w:before="125"/>
              <w:ind w:left="9"/>
              <w:jc w:val="center"/>
              <w:rPr>
                <w:sz w:val="16"/>
              </w:rPr>
            </w:pPr>
            <w:r>
              <w:rPr>
                <w:w w:val="100"/>
                <w:sz w:val="16"/>
              </w:rPr>
              <w:t>C</w:t>
            </w:r>
          </w:p>
        </w:tc>
        <w:tc>
          <w:tcPr>
            <w:tcW w:w="2699" w:type="dxa"/>
            <w:vMerge w:val="restart"/>
            <w:shd w:val="clear" w:color="auto" w:fill="E4E4E4"/>
          </w:tcPr>
          <w:p>
            <w:pPr>
              <w:pStyle w:val="TableParagraph"/>
              <w:spacing w:before="23"/>
              <w:ind w:left="129" w:right="117"/>
              <w:jc w:val="center"/>
              <w:rPr>
                <w:sz w:val="16"/>
              </w:rPr>
            </w:pPr>
            <w:r>
              <w:rPr>
                <w:sz w:val="16"/>
              </w:rPr>
              <w:t>Annual biomass loss </w:t>
            </w:r>
            <w:r>
              <w:rPr>
                <w:sz w:val="16"/>
                <w:vertAlign w:val="superscript"/>
              </w:rPr>
              <w:t>2</w:t>
            </w:r>
          </w:p>
          <w:p>
            <w:pPr>
              <w:pStyle w:val="TableParagraph"/>
              <w:rPr>
                <w:sz w:val="18"/>
              </w:rPr>
            </w:pPr>
          </w:p>
          <w:p>
            <w:pPr>
              <w:pStyle w:val="TableParagraph"/>
              <w:spacing w:before="161"/>
              <w:ind w:left="132" w:right="117"/>
              <w:jc w:val="center"/>
              <w:rPr>
                <w:sz w:val="16"/>
              </w:rPr>
            </w:pPr>
            <w:r>
              <w:rPr>
                <w:sz w:val="16"/>
              </w:rPr>
              <w:t>(tonnes C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70" w:lineRule="exact" w:before="148"/>
              <w:ind w:left="13"/>
              <w:jc w:val="center"/>
              <w:rPr>
                <w:sz w:val="16"/>
              </w:rPr>
            </w:pPr>
            <w:r>
              <w:rPr>
                <w:w w:val="100"/>
                <w:sz w:val="16"/>
              </w:rPr>
              <w:t>D</w:t>
            </w:r>
          </w:p>
        </w:tc>
        <w:tc>
          <w:tcPr>
            <w:tcW w:w="2519" w:type="dxa"/>
            <w:vMerge w:val="restart"/>
            <w:shd w:val="clear" w:color="auto" w:fill="E4E4E4"/>
          </w:tcPr>
          <w:p>
            <w:pPr>
              <w:pStyle w:val="TableParagraph"/>
              <w:spacing w:before="23"/>
              <w:ind w:left="156" w:right="137"/>
              <w:jc w:val="center"/>
              <w:rPr>
                <w:sz w:val="16"/>
              </w:rPr>
            </w:pPr>
            <w:r>
              <w:rPr>
                <w:sz w:val="16"/>
              </w:rPr>
              <w:t>Changes in carbon stocks in</w:t>
            </w:r>
            <w:r>
              <w:rPr>
                <w:spacing w:val="-16"/>
                <w:sz w:val="16"/>
              </w:rPr>
              <w:t> </w:t>
            </w:r>
            <w:r>
              <w:rPr>
                <w:sz w:val="16"/>
              </w:rPr>
              <w:t>living biomass</w:t>
            </w:r>
          </w:p>
          <w:p>
            <w:pPr>
              <w:pStyle w:val="TableParagraph"/>
              <w:rPr>
                <w:sz w:val="16"/>
              </w:rPr>
            </w:pPr>
          </w:p>
          <w:p>
            <w:pPr>
              <w:pStyle w:val="TableParagraph"/>
              <w:spacing w:line="480" w:lineRule="auto"/>
              <w:ind w:left="799" w:right="780"/>
              <w:jc w:val="center"/>
              <w:rPr>
                <w:sz w:val="16"/>
              </w:rPr>
            </w:pPr>
            <w:r>
              <w:rPr>
                <w:sz w:val="16"/>
              </w:rPr>
              <w:t>(tonnes C </w:t>
            </w:r>
            <w:r>
              <w:rPr>
                <w:spacing w:val="-6"/>
                <w:sz w:val="16"/>
              </w:rPr>
              <w:t>yr</w:t>
            </w:r>
            <w:r>
              <w:rPr>
                <w:spacing w:val="-6"/>
                <w:sz w:val="16"/>
                <w:vertAlign w:val="superscript"/>
              </w:rPr>
              <w:t>-1</w:t>
            </w:r>
            <w:r>
              <w:rPr>
                <w:spacing w:val="-6"/>
                <w:sz w:val="16"/>
                <w:vertAlign w:val="baseline"/>
              </w:rPr>
              <w:t>) </w:t>
            </w:r>
            <w:r>
              <w:rPr>
                <w:sz w:val="16"/>
                <w:vertAlign w:val="baseline"/>
              </w:rPr>
              <w:t>E =</w:t>
            </w:r>
            <w:r>
              <w:rPr>
                <w:spacing w:val="-1"/>
                <w:sz w:val="16"/>
                <w:vertAlign w:val="baseline"/>
              </w:rPr>
              <w:t> </w:t>
            </w:r>
            <w:r>
              <w:rPr>
                <w:sz w:val="16"/>
                <w:vertAlign w:val="baseline"/>
              </w:rPr>
              <w:t>C-D</w:t>
            </w:r>
          </w:p>
          <w:p>
            <w:pPr>
              <w:pStyle w:val="TableParagraph"/>
              <w:spacing w:line="170" w:lineRule="exact" w:before="10"/>
              <w:ind w:left="14"/>
              <w:jc w:val="center"/>
              <w:rPr>
                <w:sz w:val="16"/>
              </w:rPr>
            </w:pPr>
            <w:r>
              <w:rPr>
                <w:w w:val="100"/>
                <w:sz w:val="16"/>
              </w:rPr>
              <w:t>E</w:t>
            </w:r>
          </w:p>
        </w:tc>
      </w:tr>
      <w:tr>
        <w:trPr>
          <w:trHeight w:val="1106"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2234" w:type="dxa"/>
            <w:vMerge/>
            <w:tcBorders>
              <w:top w:val="nil"/>
            </w:tcBorders>
            <w:shd w:val="clear" w:color="auto" w:fill="E4E4E4"/>
          </w:tcPr>
          <w:p>
            <w:pPr>
              <w:rPr>
                <w:sz w:val="2"/>
                <w:szCs w:val="2"/>
              </w:rPr>
            </w:pPr>
          </w:p>
        </w:tc>
        <w:tc>
          <w:tcPr>
            <w:tcW w:w="2265" w:type="dxa"/>
            <w:vMerge/>
            <w:tcBorders>
              <w:top w:val="nil"/>
            </w:tcBorders>
            <w:shd w:val="clear" w:color="auto" w:fill="E4E4E4"/>
          </w:tcPr>
          <w:p>
            <w:pPr>
              <w:rPr>
                <w:sz w:val="2"/>
                <w:szCs w:val="2"/>
              </w:rPr>
            </w:pPr>
          </w:p>
        </w:tc>
        <w:tc>
          <w:tcPr>
            <w:tcW w:w="2699" w:type="dxa"/>
            <w:vMerge/>
            <w:tcBorders>
              <w:top w:val="nil"/>
            </w:tcBorders>
            <w:shd w:val="clear" w:color="auto" w:fill="E4E4E4"/>
          </w:tcPr>
          <w:p>
            <w:pPr>
              <w:rPr>
                <w:sz w:val="2"/>
                <w:szCs w:val="2"/>
              </w:rPr>
            </w:pPr>
          </w:p>
        </w:tc>
        <w:tc>
          <w:tcPr>
            <w:tcW w:w="2519"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SL</w:t>
            </w:r>
          </w:p>
        </w:tc>
        <w:tc>
          <w:tcPr>
            <w:tcW w:w="950" w:type="dxa"/>
          </w:tcPr>
          <w:p>
            <w:pPr>
              <w:pStyle w:val="TableParagraph"/>
              <w:spacing w:before="23"/>
              <w:ind w:left="107"/>
              <w:rPr>
                <w:sz w:val="16"/>
              </w:rPr>
            </w:pPr>
            <w:r>
              <w:rPr>
                <w:sz w:val="16"/>
              </w:rPr>
              <w:t>SL</w:t>
            </w:r>
          </w:p>
        </w:tc>
        <w:tc>
          <w:tcPr>
            <w:tcW w:w="1027" w:type="dxa"/>
          </w:tcPr>
          <w:p>
            <w:pPr>
              <w:pStyle w:val="TableParagraph"/>
              <w:spacing w:before="23"/>
              <w:ind w:left="108"/>
              <w:rPr>
                <w:sz w:val="16"/>
              </w:rPr>
            </w:pPr>
            <w:r>
              <w:rPr>
                <w:sz w:val="16"/>
              </w:rPr>
              <w:t>(a)</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9" w:right="128"/>
              <w:jc w:val="center"/>
              <w:rPr>
                <w:b/>
                <w:sz w:val="10"/>
              </w:rPr>
            </w:pPr>
            <w:r>
              <w:rPr>
                <w:b/>
                <w:position w:val="2"/>
                <w:sz w:val="16"/>
              </w:rPr>
              <w:t>A</w:t>
            </w:r>
            <w:r>
              <w:rPr>
                <w:b/>
                <w:sz w:val="10"/>
              </w:rPr>
              <w:t>CROWN</w:t>
            </w:r>
          </w:p>
        </w:tc>
        <w:tc>
          <w:tcPr>
            <w:tcW w:w="2234" w:type="dxa"/>
          </w:tcPr>
          <w:p>
            <w:pPr>
              <w:pStyle w:val="TableParagraph"/>
              <w:spacing w:before="54"/>
              <w:ind w:left="164" w:right="154"/>
              <w:jc w:val="center"/>
              <w:rPr>
                <w:b/>
                <w:sz w:val="16"/>
              </w:rPr>
            </w:pPr>
            <w:r>
              <w:rPr>
                <w:b/>
                <w:sz w:val="16"/>
              </w:rPr>
              <w:t>CRW</w:t>
            </w:r>
          </w:p>
        </w:tc>
        <w:tc>
          <w:tcPr>
            <w:tcW w:w="2265" w:type="dxa"/>
          </w:tcPr>
          <w:p>
            <w:pPr>
              <w:pStyle w:val="TableParagraph"/>
              <w:spacing w:line="164" w:lineRule="exact" w:before="25"/>
              <w:ind w:left="116" w:right="182"/>
              <w:jc w:val="center"/>
              <w:rPr>
                <w:b/>
                <w:sz w:val="10"/>
              </w:rPr>
            </w:pPr>
            <w:r>
              <w:rPr>
                <w:b/>
                <w:position w:val="2"/>
                <w:sz w:val="16"/>
              </w:rPr>
              <w:t>∆B</w:t>
            </w:r>
            <w:r>
              <w:rPr>
                <w:b/>
                <w:sz w:val="10"/>
              </w:rPr>
              <w:t>SS</w:t>
            </w:r>
          </w:p>
          <w:p>
            <w:pPr>
              <w:pStyle w:val="TableParagraph"/>
              <w:spacing w:line="87" w:lineRule="exact"/>
              <w:ind w:left="326"/>
              <w:jc w:val="center"/>
              <w:rPr>
                <w:b/>
                <w:sz w:val="10"/>
              </w:rPr>
            </w:pPr>
            <w:r>
              <w:rPr>
                <w:b/>
                <w:w w:val="100"/>
                <w:sz w:val="10"/>
              </w:rPr>
              <w:t>G</w:t>
            </w:r>
          </w:p>
        </w:tc>
        <w:tc>
          <w:tcPr>
            <w:tcW w:w="2699" w:type="dxa"/>
          </w:tcPr>
          <w:p>
            <w:pPr>
              <w:pStyle w:val="TableParagraph"/>
              <w:spacing w:line="164" w:lineRule="exact" w:before="25"/>
              <w:ind w:left="64" w:right="117"/>
              <w:jc w:val="center"/>
              <w:rPr>
                <w:b/>
                <w:sz w:val="10"/>
              </w:rPr>
            </w:pPr>
            <w:r>
              <w:rPr>
                <w:b/>
                <w:position w:val="2"/>
                <w:sz w:val="16"/>
              </w:rPr>
              <w:t>∆B</w:t>
            </w:r>
            <w:r>
              <w:rPr>
                <w:b/>
                <w:sz w:val="10"/>
              </w:rPr>
              <w:t>SS</w:t>
            </w:r>
          </w:p>
          <w:p>
            <w:pPr>
              <w:pStyle w:val="TableParagraph"/>
              <w:spacing w:line="87" w:lineRule="exact"/>
              <w:ind w:left="329"/>
              <w:jc w:val="center"/>
              <w:rPr>
                <w:b/>
                <w:sz w:val="10"/>
              </w:rPr>
            </w:pPr>
            <w:r>
              <w:rPr>
                <w:b/>
                <w:w w:val="100"/>
                <w:sz w:val="10"/>
              </w:rPr>
              <w:t>L</w:t>
            </w:r>
          </w:p>
        </w:tc>
        <w:tc>
          <w:tcPr>
            <w:tcW w:w="2519" w:type="dxa"/>
            <w:shd w:val="clear" w:color="auto" w:fill="D5D5D5"/>
          </w:tcPr>
          <w:p>
            <w:pPr>
              <w:pStyle w:val="TableParagraph"/>
              <w:spacing w:line="164" w:lineRule="exact" w:before="25"/>
              <w:ind w:left="19" w:right="137"/>
              <w:jc w:val="center"/>
              <w:rPr>
                <w:b/>
                <w:sz w:val="10"/>
              </w:rPr>
            </w:pPr>
            <w:r>
              <w:rPr>
                <w:b/>
                <w:position w:val="2"/>
                <w:sz w:val="16"/>
              </w:rPr>
              <w:t>∆C</w:t>
            </w:r>
            <w:r>
              <w:rPr>
                <w:b/>
                <w:sz w:val="10"/>
              </w:rPr>
              <w:t>SS</w:t>
            </w:r>
          </w:p>
          <w:p>
            <w:pPr>
              <w:pStyle w:val="TableParagraph"/>
              <w:spacing w:line="87" w:lineRule="exact"/>
              <w:ind w:left="475" w:right="137"/>
              <w:jc w:val="center"/>
              <w:rPr>
                <w:b/>
                <w:sz w:val="10"/>
              </w:rPr>
            </w:pPr>
            <w:r>
              <w:rPr>
                <w:b/>
                <w:sz w:val="10"/>
              </w:rPr>
              <w:t>LB</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2234" w:type="dxa"/>
          </w:tcPr>
          <w:p>
            <w:pPr>
              <w:pStyle w:val="TableParagraph"/>
              <w:rPr>
                <w:sz w:val="16"/>
              </w:rPr>
            </w:pPr>
          </w:p>
        </w:tc>
        <w:tc>
          <w:tcPr>
            <w:tcW w:w="2265" w:type="dxa"/>
          </w:tcPr>
          <w:p>
            <w:pPr>
              <w:pStyle w:val="TableParagraph"/>
              <w:rPr>
                <w:sz w:val="16"/>
              </w:rPr>
            </w:pPr>
          </w:p>
        </w:tc>
        <w:tc>
          <w:tcPr>
            <w:tcW w:w="2699" w:type="dxa"/>
          </w:tcPr>
          <w:p>
            <w:pPr>
              <w:pStyle w:val="TableParagraph"/>
              <w:rPr>
                <w:sz w:val="16"/>
              </w:rPr>
            </w:pPr>
          </w:p>
        </w:tc>
        <w:tc>
          <w:tcPr>
            <w:tcW w:w="2519" w:type="dxa"/>
          </w:tcPr>
          <w:p>
            <w:pPr>
              <w:pStyle w:val="TableParagraph"/>
              <w:rPr>
                <w:sz w:val="16"/>
              </w:rPr>
            </w:pPr>
          </w:p>
        </w:tc>
      </w:tr>
      <w:tr>
        <w:trPr>
          <w:trHeight w:val="597" w:hRule="atLeast"/>
        </w:trPr>
        <w:tc>
          <w:tcPr>
            <w:tcW w:w="14684" w:type="dxa"/>
            <w:gridSpan w:val="8"/>
          </w:tcPr>
          <w:p>
            <w:pPr>
              <w:pStyle w:val="TableParagraph"/>
              <w:spacing w:before="50"/>
              <w:ind w:left="107"/>
              <w:rPr>
                <w:sz w:val="16"/>
              </w:rPr>
            </w:pPr>
            <w:r>
              <w:rPr>
                <w:position w:val="7"/>
                <w:sz w:val="10"/>
              </w:rPr>
              <w:t>1 </w:t>
            </w:r>
            <w:r>
              <w:rPr>
                <w:sz w:val="16"/>
              </w:rPr>
              <w:t>There are two options for a Tier 1 estimation of changes in carbon stock in living biomass: a) crown cover area method; and b) tree growth rate method. This worksheet is based on crown cover area method.</w:t>
            </w:r>
          </w:p>
          <w:p>
            <w:pPr>
              <w:pStyle w:val="TableParagraph"/>
              <w:spacing w:before="85"/>
              <w:ind w:left="107"/>
              <w:rPr>
                <w:sz w:val="16"/>
              </w:rPr>
            </w:pPr>
            <w:r>
              <w:rPr>
                <w:position w:val="7"/>
                <w:sz w:val="10"/>
              </w:rPr>
              <w:t>2 </w:t>
            </w:r>
            <w:r>
              <w:rPr>
                <w:sz w:val="16"/>
              </w:rPr>
              <w:t>Carbon stock change in biomass loss set to zero if the average age of the tree population is less than or equal to 20 years; otherwise assume that carbon stock change in biomass growth is equal to loss.</w:t>
            </w:r>
          </w:p>
        </w:tc>
      </w:tr>
    </w:tbl>
    <w:p>
      <w:pPr>
        <w:spacing w:after="0"/>
        <w:rPr>
          <w:sz w:val="16"/>
        </w:rPr>
        <w:sectPr>
          <w:pgSz w:w="16840" w:h="11900" w:orient="landscape"/>
          <w:pgMar w:header="1150" w:footer="439" w:top="1440" w:bottom="620" w:left="1200" w:right="460"/>
        </w:sectPr>
      </w:pPr>
    </w:p>
    <w:p>
      <w:pPr>
        <w:pStyle w:val="BodyText"/>
      </w:pPr>
    </w:p>
    <w:p>
      <w:pPr>
        <w:pStyle w:val="BodyText"/>
      </w:pPr>
    </w:p>
    <w:p>
      <w:pPr>
        <w:pStyle w:val="BodyText"/>
        <w:spacing w:before="11"/>
        <w:rPr>
          <w:sz w:val="1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491"/>
        <w:gridCol w:w="3077"/>
        <w:gridCol w:w="2895"/>
        <w:gridCol w:w="326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750" w:type="dxa"/>
            <w:gridSpan w:val="5"/>
          </w:tcPr>
          <w:p>
            <w:pPr>
              <w:pStyle w:val="TableParagraph"/>
              <w:spacing w:before="26"/>
              <w:ind w:left="108"/>
              <w:rPr>
                <w:b/>
                <w:sz w:val="20"/>
              </w:rPr>
            </w:pPr>
            <w:r>
              <w:rPr>
                <w:b/>
                <w:sz w:val="20"/>
              </w:rPr>
              <w:t>Settlements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750" w:type="dxa"/>
            <w:gridSpan w:val="5"/>
          </w:tcPr>
          <w:p>
            <w:pPr>
              <w:pStyle w:val="TableParagraph"/>
              <w:spacing w:before="26"/>
              <w:ind w:left="108"/>
              <w:rPr>
                <w:b/>
                <w:sz w:val="20"/>
              </w:rPr>
            </w:pPr>
            <w:r>
              <w:rPr>
                <w:b/>
                <w:sz w:val="20"/>
              </w:rPr>
              <w:t>Land Converted to Settlements (Forest Land Converted to Settlements)</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750" w:type="dxa"/>
            <w:gridSpan w:val="5"/>
          </w:tcPr>
          <w:p>
            <w:pPr>
              <w:pStyle w:val="TableParagraph"/>
              <w:spacing w:before="26"/>
              <w:ind w:left="108"/>
              <w:rPr>
                <w:b/>
                <w:sz w:val="20"/>
              </w:rPr>
            </w:pPr>
            <w:r>
              <w:rPr>
                <w:b/>
                <w:sz w:val="20"/>
              </w:rPr>
              <w:t>SL-2a: Annual carbon stock change in living biomass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750" w:type="dxa"/>
            <w:gridSpan w:val="5"/>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2" w:lineRule="exact" w:before="27"/>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491" w:type="dxa"/>
            <w:vMerge w:val="restart"/>
            <w:shd w:val="clear" w:color="auto" w:fill="E4E4E4"/>
          </w:tcPr>
          <w:p>
            <w:pPr>
              <w:pStyle w:val="TableParagraph"/>
              <w:spacing w:before="23"/>
              <w:ind w:left="110" w:right="99"/>
              <w:jc w:val="center"/>
              <w:rPr>
                <w:sz w:val="16"/>
              </w:rPr>
            </w:pPr>
            <w:r>
              <w:rPr>
                <w:sz w:val="16"/>
              </w:rPr>
              <w:t>Area of land converted annually from forest land to settlements</w:t>
            </w:r>
          </w:p>
          <w:p>
            <w:pPr>
              <w:pStyle w:val="TableParagraph"/>
              <w:rPr>
                <w:sz w:val="16"/>
              </w:rPr>
            </w:pPr>
          </w:p>
          <w:p>
            <w:pPr>
              <w:pStyle w:val="TableParagraph"/>
              <w:ind w:left="110" w:right="63"/>
              <w:jc w:val="center"/>
              <w:rPr>
                <w:sz w:val="16"/>
              </w:rPr>
            </w:pPr>
            <w:r>
              <w:rPr>
                <w:sz w:val="16"/>
              </w:rPr>
              <w:t>(ha yr</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26"/>
              <w:ind w:left="11"/>
              <w:jc w:val="center"/>
              <w:rPr>
                <w:sz w:val="16"/>
              </w:rPr>
            </w:pPr>
            <w:r>
              <w:rPr>
                <w:w w:val="100"/>
                <w:sz w:val="16"/>
              </w:rPr>
              <w:t>A</w:t>
            </w:r>
          </w:p>
        </w:tc>
        <w:tc>
          <w:tcPr>
            <w:tcW w:w="3077" w:type="dxa"/>
            <w:vMerge w:val="restart"/>
            <w:shd w:val="clear" w:color="auto" w:fill="E4E4E4"/>
          </w:tcPr>
          <w:p>
            <w:pPr>
              <w:pStyle w:val="TableParagraph"/>
              <w:spacing w:before="23"/>
              <w:ind w:left="125" w:right="109"/>
              <w:jc w:val="center"/>
              <w:rPr>
                <w:sz w:val="16"/>
              </w:rPr>
            </w:pPr>
            <w:r>
              <w:rPr>
                <w:sz w:val="16"/>
              </w:rPr>
              <w:t>Carbon stock in living biomass immediately following conversion to settlements</w:t>
            </w:r>
          </w:p>
          <w:p>
            <w:pPr>
              <w:pStyle w:val="TableParagraph"/>
              <w:rPr>
                <w:sz w:val="16"/>
              </w:rPr>
            </w:pPr>
          </w:p>
          <w:p>
            <w:pPr>
              <w:pStyle w:val="TableParagraph"/>
              <w:ind w:left="160" w:right="151"/>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spacing w:line="168" w:lineRule="exact" w:before="126"/>
              <w:ind w:left="7"/>
              <w:jc w:val="center"/>
              <w:rPr>
                <w:sz w:val="16"/>
              </w:rPr>
            </w:pPr>
            <w:r>
              <w:rPr>
                <w:w w:val="100"/>
                <w:sz w:val="16"/>
              </w:rPr>
              <w:t>B</w:t>
            </w:r>
          </w:p>
        </w:tc>
        <w:tc>
          <w:tcPr>
            <w:tcW w:w="2895" w:type="dxa"/>
            <w:vMerge w:val="restart"/>
            <w:shd w:val="clear" w:color="auto" w:fill="E4E4E4"/>
          </w:tcPr>
          <w:p>
            <w:pPr>
              <w:pStyle w:val="TableParagraph"/>
              <w:spacing w:before="23"/>
              <w:ind w:left="115" w:right="101"/>
              <w:jc w:val="center"/>
              <w:rPr>
                <w:sz w:val="16"/>
              </w:rPr>
            </w:pPr>
            <w:r>
              <w:rPr>
                <w:sz w:val="16"/>
              </w:rPr>
              <w:t>Carbon stock in living biomass in forest immediately before conversion to settlements</w:t>
            </w:r>
          </w:p>
          <w:p>
            <w:pPr>
              <w:pStyle w:val="TableParagraph"/>
              <w:spacing w:before="10"/>
              <w:rPr>
                <w:sz w:val="15"/>
              </w:rPr>
            </w:pPr>
          </w:p>
          <w:p>
            <w:pPr>
              <w:pStyle w:val="TableParagraph"/>
              <w:ind w:left="115" w:right="102"/>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11"/>
              <w:jc w:val="center"/>
              <w:rPr>
                <w:sz w:val="16"/>
              </w:rPr>
            </w:pPr>
            <w:r>
              <w:rPr>
                <w:w w:val="100"/>
                <w:sz w:val="16"/>
              </w:rPr>
              <w:t>C</w:t>
            </w:r>
          </w:p>
        </w:tc>
        <w:tc>
          <w:tcPr>
            <w:tcW w:w="3260" w:type="dxa"/>
            <w:vMerge w:val="restart"/>
            <w:shd w:val="clear" w:color="auto" w:fill="E4E4E4"/>
          </w:tcPr>
          <w:p>
            <w:pPr>
              <w:pStyle w:val="TableParagraph"/>
              <w:spacing w:before="23"/>
              <w:ind w:left="246" w:right="238" w:firstLine="1"/>
              <w:jc w:val="center"/>
              <w:rPr>
                <w:sz w:val="16"/>
              </w:rPr>
            </w:pPr>
            <w:r>
              <w:rPr>
                <w:sz w:val="16"/>
              </w:rPr>
              <w:t>Annual changes in carbon stocks in living biomass due to conversion of forest land to settlements</w:t>
            </w:r>
          </w:p>
          <w:p>
            <w:pPr>
              <w:pStyle w:val="TableParagraph"/>
              <w:spacing w:before="10"/>
              <w:rPr>
                <w:sz w:val="15"/>
              </w:rPr>
            </w:pPr>
          </w:p>
          <w:p>
            <w:pPr>
              <w:pStyle w:val="TableParagraph"/>
              <w:ind w:left="315" w:right="306"/>
              <w:jc w:val="center"/>
              <w:rPr>
                <w:sz w:val="16"/>
              </w:rPr>
            </w:pPr>
            <w:r>
              <w:rPr>
                <w:sz w:val="16"/>
              </w:rPr>
              <w:t>(tonnes C yr</w:t>
            </w:r>
            <w:r>
              <w:rPr>
                <w:sz w:val="16"/>
                <w:vertAlign w:val="superscript"/>
              </w:rPr>
              <w:t>-1</w:t>
            </w:r>
            <w:r>
              <w:rPr>
                <w:sz w:val="16"/>
                <w:vertAlign w:val="baseline"/>
              </w:rPr>
              <w:t>)</w:t>
            </w:r>
          </w:p>
          <w:p>
            <w:pPr>
              <w:pStyle w:val="TableParagraph"/>
              <w:spacing w:line="350" w:lineRule="atLeast" w:before="42"/>
              <w:ind w:left="1163" w:right="1152"/>
              <w:jc w:val="center"/>
              <w:rPr>
                <w:sz w:val="16"/>
              </w:rPr>
            </w:pPr>
            <w:r>
              <w:rPr>
                <w:sz w:val="16"/>
              </w:rPr>
              <w:t>D = A </w:t>
            </w:r>
            <w:r>
              <w:rPr>
                <w:rFonts w:ascii="Symbol" w:hAnsi="Symbol"/>
                <w:sz w:val="16"/>
              </w:rPr>
              <w:t>• </w:t>
            </w:r>
            <w:r>
              <w:rPr>
                <w:sz w:val="16"/>
              </w:rPr>
              <w:t>(B-C) D</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491" w:type="dxa"/>
            <w:vMerge/>
            <w:tcBorders>
              <w:top w:val="nil"/>
            </w:tcBorders>
            <w:shd w:val="clear" w:color="auto" w:fill="E4E4E4"/>
          </w:tcPr>
          <w:p>
            <w:pPr>
              <w:rPr>
                <w:sz w:val="2"/>
                <w:szCs w:val="2"/>
              </w:rPr>
            </w:pPr>
          </w:p>
        </w:tc>
        <w:tc>
          <w:tcPr>
            <w:tcW w:w="3077" w:type="dxa"/>
            <w:vMerge/>
            <w:tcBorders>
              <w:top w:val="nil"/>
            </w:tcBorders>
            <w:shd w:val="clear" w:color="auto" w:fill="E4E4E4"/>
          </w:tcPr>
          <w:p>
            <w:pPr>
              <w:rPr>
                <w:sz w:val="2"/>
                <w:szCs w:val="2"/>
              </w:rPr>
            </w:pPr>
          </w:p>
        </w:tc>
        <w:tc>
          <w:tcPr>
            <w:tcW w:w="2895" w:type="dxa"/>
            <w:vMerge/>
            <w:tcBorders>
              <w:top w:val="nil"/>
            </w:tcBorders>
            <w:shd w:val="clear" w:color="auto" w:fill="E4E4E4"/>
          </w:tcPr>
          <w:p>
            <w:pPr>
              <w:rPr>
                <w:sz w:val="2"/>
                <w:szCs w:val="2"/>
              </w:rPr>
            </w:pPr>
          </w:p>
        </w:tc>
        <w:tc>
          <w:tcPr>
            <w:tcW w:w="3260" w:type="dxa"/>
            <w:vMerge/>
            <w:tcBorders>
              <w:top w:val="nil"/>
            </w:tcBorders>
            <w:shd w:val="clear" w:color="auto" w:fill="E4E4E4"/>
          </w:tcPr>
          <w:p>
            <w:pPr>
              <w:rPr>
                <w:sz w:val="2"/>
                <w:szCs w:val="2"/>
              </w:rPr>
            </w:pPr>
          </w:p>
        </w:tc>
      </w:tr>
      <w:tr>
        <w:trPr>
          <w:trHeight w:val="239" w:hRule="atLeast"/>
        </w:trPr>
        <w:tc>
          <w:tcPr>
            <w:tcW w:w="924" w:type="dxa"/>
          </w:tcPr>
          <w:p>
            <w:pPr>
              <w:pStyle w:val="TableParagraph"/>
              <w:spacing w:before="23"/>
              <w:ind w:left="107"/>
              <w:rPr>
                <w:sz w:val="16"/>
              </w:rPr>
            </w:pPr>
            <w:r>
              <w:rPr>
                <w:sz w:val="16"/>
              </w:rPr>
              <w:t>FL</w:t>
            </w:r>
          </w:p>
        </w:tc>
        <w:tc>
          <w:tcPr>
            <w:tcW w:w="950" w:type="dxa"/>
          </w:tcPr>
          <w:p>
            <w:pPr>
              <w:pStyle w:val="TableParagraph"/>
              <w:spacing w:before="23"/>
              <w:ind w:left="107"/>
              <w:rPr>
                <w:sz w:val="16"/>
              </w:rPr>
            </w:pPr>
            <w:r>
              <w:rPr>
                <w:sz w:val="16"/>
              </w:rPr>
              <w:t>SL</w:t>
            </w:r>
          </w:p>
        </w:tc>
        <w:tc>
          <w:tcPr>
            <w:tcW w:w="1027" w:type="dxa"/>
          </w:tcPr>
          <w:p>
            <w:pPr>
              <w:pStyle w:val="TableParagraph"/>
              <w:spacing w:before="23"/>
              <w:ind w:left="108"/>
              <w:rPr>
                <w:sz w:val="16"/>
              </w:rPr>
            </w:pPr>
            <w:r>
              <w:rPr>
                <w:sz w:val="16"/>
              </w:rPr>
              <w:t>(a)</w:t>
            </w: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491" w:type="dxa"/>
          </w:tcPr>
          <w:p>
            <w:pPr>
              <w:pStyle w:val="TableParagraph"/>
              <w:spacing w:before="54"/>
              <w:ind w:left="7"/>
              <w:jc w:val="center"/>
              <w:rPr>
                <w:b/>
                <w:sz w:val="16"/>
              </w:rPr>
            </w:pPr>
            <w:r>
              <w:rPr>
                <w:b/>
                <w:w w:val="100"/>
                <w:sz w:val="16"/>
              </w:rPr>
              <w:t>A</w:t>
            </w:r>
          </w:p>
        </w:tc>
        <w:tc>
          <w:tcPr>
            <w:tcW w:w="3077" w:type="dxa"/>
          </w:tcPr>
          <w:p>
            <w:pPr>
              <w:pStyle w:val="TableParagraph"/>
              <w:spacing w:before="53"/>
              <w:ind w:left="161" w:right="151"/>
              <w:jc w:val="center"/>
              <w:rPr>
                <w:b/>
                <w:sz w:val="10"/>
              </w:rPr>
            </w:pPr>
            <w:r>
              <w:rPr>
                <w:b/>
                <w:position w:val="2"/>
                <w:sz w:val="16"/>
              </w:rPr>
              <w:t>C</w:t>
            </w:r>
            <w:r>
              <w:rPr>
                <w:b/>
                <w:sz w:val="10"/>
              </w:rPr>
              <w:t>After</w:t>
            </w:r>
          </w:p>
        </w:tc>
        <w:tc>
          <w:tcPr>
            <w:tcW w:w="2895" w:type="dxa"/>
          </w:tcPr>
          <w:p>
            <w:pPr>
              <w:pStyle w:val="TableParagraph"/>
              <w:spacing w:before="53"/>
              <w:ind w:left="114" w:right="103"/>
              <w:jc w:val="center"/>
              <w:rPr>
                <w:b/>
                <w:sz w:val="10"/>
              </w:rPr>
            </w:pPr>
            <w:r>
              <w:rPr>
                <w:b/>
                <w:position w:val="2"/>
                <w:sz w:val="16"/>
              </w:rPr>
              <w:t>C</w:t>
            </w:r>
            <w:r>
              <w:rPr>
                <w:b/>
                <w:sz w:val="10"/>
              </w:rPr>
              <w:t>Before</w:t>
            </w:r>
          </w:p>
        </w:tc>
        <w:tc>
          <w:tcPr>
            <w:tcW w:w="3260" w:type="dxa"/>
            <w:shd w:val="clear" w:color="auto" w:fill="D5D5D5"/>
          </w:tcPr>
          <w:p>
            <w:pPr>
              <w:pStyle w:val="TableParagraph"/>
              <w:spacing w:line="124" w:lineRule="auto" w:before="88"/>
              <w:ind w:left="1674" w:right="1335" w:hanging="329"/>
              <w:rPr>
                <w:b/>
                <w:sz w:val="10"/>
              </w:rPr>
            </w:pPr>
            <w:r>
              <w:rPr>
                <w:b/>
                <w:position w:val="2"/>
                <w:sz w:val="16"/>
              </w:rPr>
              <w:t>∆C</w:t>
            </w:r>
            <w:r>
              <w:rPr>
                <w:b/>
                <w:sz w:val="10"/>
              </w:rPr>
              <w:t>FS   </w:t>
            </w:r>
            <w:r>
              <w:rPr>
                <w:b/>
                <w:position w:val="9"/>
                <w:sz w:val="10"/>
              </w:rPr>
              <w:t>1 </w:t>
            </w:r>
            <w:r>
              <w:rPr>
                <w:b/>
                <w:sz w:val="10"/>
              </w:rPr>
              <w:t>LB</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491" w:type="dxa"/>
          </w:tcPr>
          <w:p>
            <w:pPr>
              <w:pStyle w:val="TableParagraph"/>
              <w:rPr>
                <w:sz w:val="16"/>
              </w:rPr>
            </w:pPr>
          </w:p>
        </w:tc>
        <w:tc>
          <w:tcPr>
            <w:tcW w:w="3077" w:type="dxa"/>
          </w:tcPr>
          <w:p>
            <w:pPr>
              <w:pStyle w:val="TableParagraph"/>
              <w:rPr>
                <w:sz w:val="16"/>
              </w:rPr>
            </w:pPr>
          </w:p>
        </w:tc>
        <w:tc>
          <w:tcPr>
            <w:tcW w:w="2895" w:type="dxa"/>
          </w:tcPr>
          <w:p>
            <w:pPr>
              <w:pStyle w:val="TableParagraph"/>
              <w:rPr>
                <w:sz w:val="16"/>
              </w:rPr>
            </w:pPr>
          </w:p>
        </w:tc>
        <w:tc>
          <w:tcPr>
            <w:tcW w:w="3260" w:type="dxa"/>
          </w:tcPr>
          <w:p>
            <w:pPr>
              <w:pStyle w:val="TableParagraph"/>
              <w:rPr>
                <w:sz w:val="16"/>
              </w:rPr>
            </w:pPr>
          </w:p>
        </w:tc>
      </w:tr>
      <w:tr>
        <w:trPr>
          <w:trHeight w:val="313" w:hRule="atLeast"/>
        </w:trPr>
        <w:tc>
          <w:tcPr>
            <w:tcW w:w="14624" w:type="dxa"/>
            <w:gridSpan w:val="7"/>
          </w:tcPr>
          <w:p>
            <w:pPr>
              <w:pStyle w:val="TableParagraph"/>
              <w:spacing w:before="50"/>
              <w:ind w:left="107"/>
              <w:rPr>
                <w:sz w:val="16"/>
              </w:rPr>
            </w:pPr>
            <w:r>
              <w:rPr>
                <w:position w:val="7"/>
                <w:sz w:val="10"/>
              </w:rPr>
              <w:t>1 </w:t>
            </w:r>
            <w:r>
              <w:rPr>
                <w:sz w:val="16"/>
              </w:rPr>
              <w:t>The subscript FS means “forest land converted to settlements”.</w:t>
            </w:r>
          </w:p>
        </w:tc>
      </w:tr>
    </w:tbl>
    <w:p>
      <w:pPr>
        <w:spacing w:after="0"/>
        <w:rPr>
          <w:sz w:val="16"/>
        </w:rPr>
        <w:sectPr>
          <w:footerReference w:type="even" r:id="rId241"/>
          <w:footerReference w:type="default" r:id="rId242"/>
          <w:pgSz w:w="16840" w:h="11900" w:orient="landscape"/>
          <w:pgMar w:footer="1125" w:header="1150" w:top="740" w:bottom="1320" w:left="1200" w:right="460"/>
          <w:pgNumType w:start="252"/>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2520"/>
        <w:gridCol w:w="2700"/>
        <w:gridCol w:w="252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6"/>
          </w:tcPr>
          <w:p>
            <w:pPr>
              <w:pStyle w:val="TableParagraph"/>
              <w:spacing w:before="26"/>
              <w:ind w:left="108"/>
              <w:rPr>
                <w:b/>
                <w:sz w:val="20"/>
              </w:rPr>
            </w:pPr>
            <w:r>
              <w:rPr>
                <w:b/>
                <w:sz w:val="20"/>
              </w:rPr>
              <w:t>Other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6"/>
          </w:tcPr>
          <w:p>
            <w:pPr>
              <w:pStyle w:val="TableParagraph"/>
              <w:spacing w:before="26"/>
              <w:ind w:left="108"/>
              <w:rPr>
                <w:b/>
                <w:sz w:val="20"/>
              </w:rPr>
            </w:pPr>
            <w:r>
              <w:rPr>
                <w:b/>
                <w:sz w:val="20"/>
              </w:rPr>
              <w:t>Land Converted to Other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6"/>
          </w:tcPr>
          <w:p>
            <w:pPr>
              <w:pStyle w:val="TableParagraph"/>
              <w:spacing w:before="26"/>
              <w:ind w:left="108"/>
              <w:rPr>
                <w:b/>
                <w:sz w:val="20"/>
              </w:rPr>
            </w:pPr>
            <w:r>
              <w:rPr>
                <w:b/>
                <w:sz w:val="20"/>
              </w:rPr>
              <w:t>OL-2a: Annual change in living biomass</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6"/>
          </w:tcPr>
          <w:p>
            <w:pPr>
              <w:pStyle w:val="TableParagraph"/>
              <w:spacing w:before="26"/>
              <w:ind w:left="108"/>
              <w:rPr>
                <w:b/>
                <w:sz w:val="20"/>
              </w:rPr>
            </w:pPr>
            <w:r>
              <w:rPr>
                <w:b/>
                <w:sz w:val="20"/>
              </w:rPr>
              <w:t>1 of 1</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65" w:right="153" w:hanging="1"/>
              <w:jc w:val="center"/>
              <w:rPr>
                <w:sz w:val="16"/>
              </w:rPr>
            </w:pPr>
            <w:r>
              <w:rPr>
                <w:sz w:val="16"/>
              </w:rPr>
              <w:t>Area of land converted annually to “Other Land” from some initial land uses in the reporting year</w:t>
            </w:r>
          </w:p>
          <w:p>
            <w:pPr>
              <w:pStyle w:val="TableParagraph"/>
              <w:spacing w:before="11"/>
              <w:rPr>
                <w:sz w:val="15"/>
              </w:rPr>
            </w:pPr>
          </w:p>
          <w:p>
            <w:pPr>
              <w:pStyle w:val="TableParagraph"/>
              <w:ind w:left="139" w:right="89"/>
              <w:jc w:val="center"/>
              <w:rPr>
                <w:sz w:val="16"/>
              </w:rPr>
            </w:pPr>
            <w:r>
              <w:rPr>
                <w:sz w:val="16"/>
              </w:rPr>
              <w:t>(ha yr</w:t>
            </w:r>
            <w:r>
              <w:rPr>
                <w:sz w:val="16"/>
                <w:vertAlign w:val="superscript"/>
              </w:rPr>
              <w:t>-1</w:t>
            </w:r>
            <w:r>
              <w:rPr>
                <w:sz w:val="16"/>
                <w:vertAlign w:val="baseline"/>
              </w:rPr>
              <w:t>)</w:t>
            </w:r>
          </w:p>
          <w:p>
            <w:pPr>
              <w:pStyle w:val="TableParagraph"/>
              <w:rPr>
                <w:sz w:val="18"/>
              </w:rPr>
            </w:pPr>
          </w:p>
          <w:p>
            <w:pPr>
              <w:pStyle w:val="TableParagraph"/>
              <w:rPr>
                <w:sz w:val="15"/>
              </w:rPr>
            </w:pPr>
          </w:p>
          <w:p>
            <w:pPr>
              <w:pStyle w:val="TableParagraph"/>
              <w:spacing w:line="168" w:lineRule="exact"/>
              <w:ind w:left="14"/>
              <w:jc w:val="center"/>
              <w:rPr>
                <w:sz w:val="16"/>
              </w:rPr>
            </w:pPr>
            <w:r>
              <w:rPr>
                <w:w w:val="100"/>
                <w:sz w:val="16"/>
              </w:rPr>
              <w:t>A</w:t>
            </w:r>
          </w:p>
        </w:tc>
        <w:tc>
          <w:tcPr>
            <w:tcW w:w="1980" w:type="dxa"/>
            <w:vMerge w:val="restart"/>
            <w:shd w:val="clear" w:color="auto" w:fill="E4E4E4"/>
          </w:tcPr>
          <w:p>
            <w:pPr>
              <w:pStyle w:val="TableParagraph"/>
              <w:spacing w:before="23"/>
              <w:ind w:left="151" w:right="138"/>
              <w:jc w:val="center"/>
              <w:rPr>
                <w:sz w:val="16"/>
              </w:rPr>
            </w:pPr>
            <w:r>
              <w:rPr>
                <w:sz w:val="16"/>
              </w:rPr>
              <w:t>Amount of living biomass immediately after conversion to “Other Land”</w:t>
            </w:r>
          </w:p>
          <w:p>
            <w:pPr>
              <w:pStyle w:val="TableParagraph"/>
              <w:spacing w:before="11"/>
              <w:rPr>
                <w:sz w:val="15"/>
              </w:rPr>
            </w:pPr>
          </w:p>
          <w:p>
            <w:pPr>
              <w:pStyle w:val="TableParagraph"/>
              <w:ind w:left="150" w:right="138"/>
              <w:jc w:val="center"/>
              <w:rPr>
                <w:sz w:val="16"/>
              </w:rPr>
            </w:pPr>
            <w:r>
              <w:rPr>
                <w:sz w:val="16"/>
              </w:rPr>
              <w:t>(tonnes d.m. ha</w:t>
            </w:r>
            <w:r>
              <w:rPr>
                <w:sz w:val="16"/>
                <w:vertAlign w:val="superscript"/>
              </w:rPr>
              <w:t>-1</w:t>
            </w:r>
            <w:r>
              <w:rPr>
                <w:sz w:val="16"/>
                <w:vertAlign w:val="baseline"/>
              </w:rPr>
              <w:t>)</w:t>
            </w:r>
          </w:p>
          <w:p>
            <w:pPr>
              <w:pStyle w:val="TableParagraph"/>
              <w:rPr>
                <w:sz w:val="18"/>
              </w:rPr>
            </w:pPr>
          </w:p>
          <w:p>
            <w:pPr>
              <w:pStyle w:val="TableParagraph"/>
              <w:rPr>
                <w:sz w:val="15"/>
              </w:rPr>
            </w:pPr>
          </w:p>
          <w:p>
            <w:pPr>
              <w:pStyle w:val="TableParagraph"/>
              <w:spacing w:line="168" w:lineRule="exact"/>
              <w:ind w:left="10"/>
              <w:jc w:val="center"/>
              <w:rPr>
                <w:sz w:val="16"/>
              </w:rPr>
            </w:pPr>
            <w:r>
              <w:rPr>
                <w:w w:val="100"/>
                <w:sz w:val="16"/>
              </w:rPr>
              <w:t>B</w:t>
            </w:r>
          </w:p>
        </w:tc>
        <w:tc>
          <w:tcPr>
            <w:tcW w:w="2520" w:type="dxa"/>
            <w:vMerge w:val="restart"/>
            <w:shd w:val="clear" w:color="auto" w:fill="E4E4E4"/>
          </w:tcPr>
          <w:p>
            <w:pPr>
              <w:pStyle w:val="TableParagraph"/>
              <w:spacing w:before="23"/>
              <w:ind w:left="183" w:right="167" w:hanging="5"/>
              <w:jc w:val="center"/>
              <w:rPr>
                <w:sz w:val="16"/>
              </w:rPr>
            </w:pPr>
            <w:r>
              <w:rPr>
                <w:sz w:val="16"/>
              </w:rPr>
              <w:t>Amount of living biomass immediately before conversion to “Other Land”</w:t>
            </w:r>
          </w:p>
          <w:p>
            <w:pPr>
              <w:pStyle w:val="TableParagraph"/>
              <w:spacing w:before="10"/>
              <w:rPr>
                <w:sz w:val="15"/>
              </w:rPr>
            </w:pPr>
          </w:p>
          <w:p>
            <w:pPr>
              <w:pStyle w:val="TableParagraph"/>
              <w:ind w:left="119" w:right="110"/>
              <w:jc w:val="center"/>
              <w:rPr>
                <w:sz w:val="16"/>
              </w:rPr>
            </w:pPr>
            <w:r>
              <w:rPr>
                <w:sz w:val="16"/>
              </w:rPr>
              <w:t>(tonnes d.m.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8"/>
              <w:jc w:val="center"/>
              <w:rPr>
                <w:sz w:val="16"/>
              </w:rPr>
            </w:pPr>
            <w:r>
              <w:rPr>
                <w:w w:val="100"/>
                <w:sz w:val="16"/>
              </w:rPr>
              <w:t>C</w:t>
            </w:r>
          </w:p>
        </w:tc>
        <w:tc>
          <w:tcPr>
            <w:tcW w:w="2700" w:type="dxa"/>
            <w:vMerge w:val="restart"/>
            <w:shd w:val="clear" w:color="auto" w:fill="E4E4E4"/>
          </w:tcPr>
          <w:p>
            <w:pPr>
              <w:pStyle w:val="TableParagraph"/>
              <w:spacing w:line="480" w:lineRule="auto" w:before="23"/>
              <w:ind w:left="363" w:right="349"/>
              <w:jc w:val="center"/>
              <w:rPr>
                <w:sz w:val="16"/>
              </w:rPr>
            </w:pPr>
            <w:r>
              <w:rPr>
                <w:sz w:val="16"/>
              </w:rPr>
              <w:t>Carbon fraction of dry matter (default is 0.5)</w:t>
            </w:r>
          </w:p>
          <w:p>
            <w:pPr>
              <w:pStyle w:val="TableParagraph"/>
              <w:spacing w:line="182" w:lineRule="exact"/>
              <w:ind w:left="363" w:right="351"/>
              <w:jc w:val="center"/>
              <w:rPr>
                <w:sz w:val="16"/>
              </w:rPr>
            </w:pPr>
            <w:r>
              <w:rPr>
                <w:sz w:val="16"/>
              </w:rPr>
              <w:t>[tonnes C (tonnes d.m.)</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10"/>
              <w:jc w:val="center"/>
              <w:rPr>
                <w:sz w:val="16"/>
              </w:rPr>
            </w:pPr>
            <w:r>
              <w:rPr>
                <w:w w:val="100"/>
                <w:sz w:val="16"/>
              </w:rPr>
              <w:t>D</w:t>
            </w:r>
          </w:p>
        </w:tc>
        <w:tc>
          <w:tcPr>
            <w:tcW w:w="2520" w:type="dxa"/>
            <w:vMerge w:val="restart"/>
            <w:shd w:val="clear" w:color="auto" w:fill="E4E4E4"/>
          </w:tcPr>
          <w:p>
            <w:pPr>
              <w:pStyle w:val="TableParagraph"/>
              <w:spacing w:before="23"/>
              <w:ind w:left="132" w:right="117" w:hanging="7"/>
              <w:jc w:val="center"/>
              <w:rPr>
                <w:sz w:val="16"/>
              </w:rPr>
            </w:pPr>
            <w:r>
              <w:rPr>
                <w:sz w:val="16"/>
              </w:rPr>
              <w:t>Annual change in carbon stocks in living biomass in land converted to “Other Land”</w:t>
            </w:r>
          </w:p>
          <w:p>
            <w:pPr>
              <w:pStyle w:val="TableParagraph"/>
              <w:spacing w:before="10"/>
              <w:rPr>
                <w:sz w:val="15"/>
              </w:rPr>
            </w:pPr>
          </w:p>
          <w:p>
            <w:pPr>
              <w:pStyle w:val="TableParagraph"/>
              <w:spacing w:line="496" w:lineRule="auto"/>
              <w:ind w:left="689" w:right="675" w:firstLine="108"/>
              <w:rPr>
                <w:sz w:val="16"/>
              </w:rPr>
            </w:pPr>
            <w:r>
              <w:rPr>
                <w:sz w:val="16"/>
              </w:rPr>
              <w:t>(tonnes C yr</w:t>
            </w:r>
            <w:r>
              <w:rPr>
                <w:sz w:val="16"/>
                <w:vertAlign w:val="superscript"/>
              </w:rPr>
              <w:t>-1</w:t>
            </w:r>
            <w:r>
              <w:rPr>
                <w:sz w:val="16"/>
                <w:vertAlign w:val="baseline"/>
              </w:rPr>
              <w:t>) E = A </w:t>
            </w:r>
            <w:r>
              <w:rPr>
                <w:rFonts w:ascii="Symbol" w:hAnsi="Symbol"/>
                <w:sz w:val="16"/>
                <w:vertAlign w:val="baseline"/>
              </w:rPr>
              <w:t>• </w:t>
            </w:r>
            <w:r>
              <w:rPr>
                <w:sz w:val="16"/>
                <w:vertAlign w:val="baseline"/>
              </w:rPr>
              <w:t>(B-C)</w:t>
            </w:r>
            <w:r>
              <w:rPr>
                <w:spacing w:val="1"/>
                <w:sz w:val="16"/>
                <w:vertAlign w:val="baseline"/>
              </w:rPr>
              <w:t> </w:t>
            </w:r>
            <w:r>
              <w:rPr>
                <w:rFonts w:ascii="Symbol" w:hAnsi="Symbol"/>
                <w:spacing w:val="-11"/>
                <w:sz w:val="16"/>
                <w:vertAlign w:val="baseline"/>
              </w:rPr>
              <w:t>•</w:t>
            </w:r>
            <w:r>
              <w:rPr>
                <w:spacing w:val="-11"/>
                <w:sz w:val="16"/>
                <w:vertAlign w:val="baseline"/>
              </w:rPr>
              <w:t>D</w:t>
            </w:r>
          </w:p>
          <w:p>
            <w:pPr>
              <w:pStyle w:val="TableParagraph"/>
              <w:spacing w:line="141" w:lineRule="exact"/>
              <w:ind w:left="9"/>
              <w:jc w:val="center"/>
              <w:rPr>
                <w:sz w:val="16"/>
              </w:rPr>
            </w:pPr>
            <w:r>
              <w:rPr>
                <w:w w:val="100"/>
                <w:sz w:val="16"/>
              </w:rPr>
              <w:t>E</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c>
          <w:tcPr>
            <w:tcW w:w="270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r>
      <w:tr>
        <w:trPr>
          <w:trHeight w:val="424" w:hRule="atLeast"/>
        </w:trPr>
        <w:tc>
          <w:tcPr>
            <w:tcW w:w="924" w:type="dxa"/>
          </w:tcPr>
          <w:p>
            <w:pPr>
              <w:pStyle w:val="TableParagraph"/>
              <w:spacing w:before="23"/>
              <w:ind w:left="107"/>
              <w:rPr>
                <w:sz w:val="16"/>
              </w:rPr>
            </w:pPr>
            <w:r>
              <w:rPr>
                <w:sz w:val="16"/>
              </w:rPr>
              <w:t>FL,CL,GL</w:t>
            </w:r>
          </w:p>
          <w:p>
            <w:pPr>
              <w:pStyle w:val="TableParagraph"/>
              <w:spacing w:before="1"/>
              <w:ind w:left="107"/>
              <w:rPr>
                <w:sz w:val="16"/>
              </w:rPr>
            </w:pPr>
            <w:r>
              <w:rPr>
                <w:sz w:val="16"/>
              </w:rPr>
              <w:t>,WL</w:t>
            </w:r>
          </w:p>
        </w:tc>
        <w:tc>
          <w:tcPr>
            <w:tcW w:w="950" w:type="dxa"/>
          </w:tcPr>
          <w:p>
            <w:pPr>
              <w:pStyle w:val="TableParagraph"/>
              <w:spacing w:before="114"/>
              <w:ind w:left="107"/>
              <w:rPr>
                <w:sz w:val="16"/>
              </w:rPr>
            </w:pPr>
            <w:r>
              <w:rPr>
                <w:sz w:val="16"/>
              </w:rPr>
              <w:t>OL</w:t>
            </w:r>
          </w:p>
        </w:tc>
        <w:tc>
          <w:tcPr>
            <w:tcW w:w="1027" w:type="dxa"/>
          </w:tcPr>
          <w:p>
            <w:pPr>
              <w:pStyle w:val="TableParagraph"/>
              <w:spacing w:before="114"/>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9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52"/>
              <w:ind w:left="108"/>
              <w:rPr>
                <w:sz w:val="16"/>
              </w:rPr>
            </w:pPr>
            <w:r>
              <w:rPr>
                <w:sz w:val="16"/>
              </w:rPr>
              <w:t>(b)</w:t>
            </w:r>
          </w:p>
        </w:tc>
        <w:tc>
          <w:tcPr>
            <w:tcW w:w="2066" w:type="dxa"/>
          </w:tcPr>
          <w:p>
            <w:pPr>
              <w:pStyle w:val="TableParagraph"/>
              <w:spacing w:before="53"/>
              <w:ind w:left="139" w:right="127"/>
              <w:jc w:val="center"/>
              <w:rPr>
                <w:b/>
                <w:sz w:val="10"/>
              </w:rPr>
            </w:pPr>
            <w:r>
              <w:rPr>
                <w:b/>
                <w:position w:val="2"/>
                <w:sz w:val="16"/>
              </w:rPr>
              <w:t>A</w:t>
            </w:r>
            <w:r>
              <w:rPr>
                <w:b/>
                <w:sz w:val="10"/>
              </w:rPr>
              <w:t>Conversion</w:t>
            </w:r>
          </w:p>
        </w:tc>
        <w:tc>
          <w:tcPr>
            <w:tcW w:w="1980" w:type="dxa"/>
          </w:tcPr>
          <w:p>
            <w:pPr>
              <w:pStyle w:val="TableParagraph"/>
              <w:spacing w:before="53"/>
              <w:ind w:left="146" w:right="138"/>
              <w:jc w:val="center"/>
              <w:rPr>
                <w:b/>
                <w:sz w:val="10"/>
              </w:rPr>
            </w:pPr>
            <w:r>
              <w:rPr>
                <w:b/>
                <w:position w:val="2"/>
                <w:sz w:val="16"/>
              </w:rPr>
              <w:t>B</w:t>
            </w:r>
            <w:r>
              <w:rPr>
                <w:b/>
                <w:sz w:val="10"/>
              </w:rPr>
              <w:t>After</w:t>
            </w:r>
          </w:p>
        </w:tc>
        <w:tc>
          <w:tcPr>
            <w:tcW w:w="2520" w:type="dxa"/>
          </w:tcPr>
          <w:p>
            <w:pPr>
              <w:pStyle w:val="TableParagraph"/>
              <w:spacing w:before="53"/>
              <w:ind w:left="118" w:right="110"/>
              <w:jc w:val="center"/>
              <w:rPr>
                <w:b/>
                <w:sz w:val="10"/>
              </w:rPr>
            </w:pPr>
            <w:r>
              <w:rPr>
                <w:b/>
                <w:position w:val="2"/>
                <w:sz w:val="16"/>
              </w:rPr>
              <w:t>B</w:t>
            </w:r>
            <w:r>
              <w:rPr>
                <w:b/>
                <w:sz w:val="10"/>
              </w:rPr>
              <w:t>Before</w:t>
            </w:r>
          </w:p>
        </w:tc>
        <w:tc>
          <w:tcPr>
            <w:tcW w:w="2700" w:type="dxa"/>
          </w:tcPr>
          <w:p>
            <w:pPr>
              <w:pStyle w:val="TableParagraph"/>
              <w:spacing w:before="54"/>
              <w:ind w:left="361" w:right="351"/>
              <w:jc w:val="center"/>
              <w:rPr>
                <w:b/>
                <w:sz w:val="16"/>
              </w:rPr>
            </w:pPr>
            <w:r>
              <w:rPr>
                <w:b/>
                <w:sz w:val="16"/>
              </w:rPr>
              <w:t>CF</w:t>
            </w:r>
          </w:p>
        </w:tc>
        <w:tc>
          <w:tcPr>
            <w:tcW w:w="2520" w:type="dxa"/>
            <w:shd w:val="clear" w:color="auto" w:fill="D5D5D5"/>
          </w:tcPr>
          <w:p>
            <w:pPr>
              <w:pStyle w:val="TableParagraph"/>
              <w:spacing w:line="124" w:lineRule="auto" w:before="88"/>
              <w:ind w:left="1323" w:right="953" w:hanging="360"/>
              <w:rPr>
                <w:b/>
                <w:sz w:val="10"/>
              </w:rPr>
            </w:pPr>
            <w:r>
              <w:rPr>
                <w:b/>
                <w:position w:val="2"/>
                <w:sz w:val="16"/>
              </w:rPr>
              <w:t>∆C</w:t>
            </w:r>
            <w:r>
              <w:rPr>
                <w:b/>
                <w:sz w:val="10"/>
              </w:rPr>
              <w:t>LO   </w:t>
            </w:r>
            <w:r>
              <w:rPr>
                <w:b/>
                <w:spacing w:val="-17"/>
                <w:position w:val="9"/>
                <w:sz w:val="10"/>
              </w:rPr>
              <w:t>1 </w:t>
            </w:r>
            <w:r>
              <w:rPr>
                <w:b/>
                <w:spacing w:val="-3"/>
                <w:sz w:val="10"/>
              </w:rPr>
              <w:t>LB</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41"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496" w:hRule="atLeast"/>
        </w:trPr>
        <w:tc>
          <w:tcPr>
            <w:tcW w:w="14687" w:type="dxa"/>
            <w:gridSpan w:val="8"/>
          </w:tcPr>
          <w:p>
            <w:pPr>
              <w:pStyle w:val="TableParagraph"/>
              <w:spacing w:before="50"/>
              <w:ind w:left="182" w:hanging="75"/>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pgSz w:w="16840" w:h="11900" w:orient="landscape"/>
          <w:pgMar w:header="458" w:footer="439" w:top="1440" w:bottom="620" w:left="1200" w:right="460"/>
        </w:sectPr>
      </w:pPr>
    </w:p>
    <w:p>
      <w:pPr>
        <w:pStyle w:val="BodyText"/>
      </w:pPr>
    </w:p>
    <w:p>
      <w:pPr>
        <w:pStyle w:val="BodyText"/>
      </w:pPr>
    </w:p>
    <w:p>
      <w:pPr>
        <w:pStyle w:val="BodyText"/>
        <w:spacing w:before="9"/>
        <w:rPr>
          <w:sz w:val="27"/>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4"/>
        <w:gridCol w:w="950"/>
        <w:gridCol w:w="1027"/>
        <w:gridCol w:w="2066"/>
        <w:gridCol w:w="1980"/>
        <w:gridCol w:w="2520"/>
        <w:gridCol w:w="2700"/>
        <w:gridCol w:w="2520"/>
      </w:tblGrid>
      <w:tr>
        <w:trPr>
          <w:trHeight w:val="285" w:hRule="atLeast"/>
        </w:trPr>
        <w:tc>
          <w:tcPr>
            <w:tcW w:w="1874" w:type="dxa"/>
            <w:gridSpan w:val="2"/>
            <w:shd w:val="clear" w:color="auto" w:fill="BFBFBF"/>
          </w:tcPr>
          <w:p>
            <w:pPr>
              <w:pStyle w:val="TableParagraph"/>
              <w:spacing w:before="26"/>
              <w:ind w:left="107"/>
              <w:rPr>
                <w:b/>
                <w:sz w:val="20"/>
              </w:rPr>
            </w:pPr>
            <w:r>
              <w:rPr>
                <w:b/>
                <w:sz w:val="20"/>
              </w:rPr>
              <w:t>Module</w:t>
            </w:r>
          </w:p>
        </w:tc>
        <w:tc>
          <w:tcPr>
            <w:tcW w:w="12813" w:type="dxa"/>
            <w:gridSpan w:val="6"/>
          </w:tcPr>
          <w:p>
            <w:pPr>
              <w:pStyle w:val="TableParagraph"/>
              <w:spacing w:before="26"/>
              <w:ind w:left="108"/>
              <w:rPr>
                <w:b/>
                <w:sz w:val="20"/>
              </w:rPr>
            </w:pPr>
            <w:r>
              <w:rPr>
                <w:b/>
                <w:sz w:val="20"/>
              </w:rPr>
              <w:t>Other Land</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Sub-module</w:t>
            </w:r>
          </w:p>
        </w:tc>
        <w:tc>
          <w:tcPr>
            <w:tcW w:w="12813" w:type="dxa"/>
            <w:gridSpan w:val="6"/>
          </w:tcPr>
          <w:p>
            <w:pPr>
              <w:pStyle w:val="TableParagraph"/>
              <w:spacing w:before="26"/>
              <w:ind w:left="108"/>
              <w:rPr>
                <w:b/>
                <w:sz w:val="20"/>
              </w:rPr>
            </w:pPr>
            <w:r>
              <w:rPr>
                <w:b/>
                <w:sz w:val="20"/>
              </w:rPr>
              <w:t>Land Converted to Other Land</w:t>
            </w:r>
          </w:p>
        </w:tc>
      </w:tr>
      <w:tr>
        <w:trPr>
          <w:trHeight w:val="287" w:hRule="atLeast"/>
        </w:trPr>
        <w:tc>
          <w:tcPr>
            <w:tcW w:w="1874" w:type="dxa"/>
            <w:gridSpan w:val="2"/>
            <w:shd w:val="clear" w:color="auto" w:fill="BFBFBF"/>
          </w:tcPr>
          <w:p>
            <w:pPr>
              <w:pStyle w:val="TableParagraph"/>
              <w:spacing w:before="26"/>
              <w:ind w:left="107"/>
              <w:rPr>
                <w:b/>
                <w:sz w:val="20"/>
              </w:rPr>
            </w:pPr>
            <w:r>
              <w:rPr>
                <w:b/>
                <w:sz w:val="20"/>
              </w:rPr>
              <w:t>Worksheet</w:t>
            </w:r>
          </w:p>
        </w:tc>
        <w:tc>
          <w:tcPr>
            <w:tcW w:w="12813" w:type="dxa"/>
            <w:gridSpan w:val="6"/>
          </w:tcPr>
          <w:p>
            <w:pPr>
              <w:pStyle w:val="TableParagraph"/>
              <w:spacing w:before="26"/>
              <w:ind w:left="108"/>
              <w:rPr>
                <w:b/>
                <w:sz w:val="20"/>
              </w:rPr>
            </w:pPr>
            <w:r>
              <w:rPr>
                <w:b/>
                <w:sz w:val="20"/>
              </w:rPr>
              <w:t>OL-2c1: Annual change in carbon stocks in mineral soil</w:t>
            </w:r>
          </w:p>
        </w:tc>
      </w:tr>
      <w:tr>
        <w:trPr>
          <w:trHeight w:val="285" w:hRule="atLeast"/>
        </w:trPr>
        <w:tc>
          <w:tcPr>
            <w:tcW w:w="1874" w:type="dxa"/>
            <w:gridSpan w:val="2"/>
            <w:shd w:val="clear" w:color="auto" w:fill="BFBFBF"/>
          </w:tcPr>
          <w:p>
            <w:pPr>
              <w:pStyle w:val="TableParagraph"/>
              <w:spacing w:before="26"/>
              <w:ind w:left="107"/>
              <w:rPr>
                <w:b/>
                <w:sz w:val="20"/>
              </w:rPr>
            </w:pPr>
            <w:r>
              <w:rPr>
                <w:b/>
                <w:sz w:val="20"/>
              </w:rPr>
              <w:t>Sheet</w:t>
            </w:r>
          </w:p>
        </w:tc>
        <w:tc>
          <w:tcPr>
            <w:tcW w:w="12813" w:type="dxa"/>
            <w:gridSpan w:val="6"/>
          </w:tcPr>
          <w:p>
            <w:pPr>
              <w:pStyle w:val="TableParagraph"/>
              <w:spacing w:before="26"/>
              <w:ind w:left="108"/>
              <w:rPr>
                <w:b/>
                <w:sz w:val="20"/>
              </w:rPr>
            </w:pPr>
            <w:r>
              <w:rPr>
                <w:b/>
                <w:sz w:val="20"/>
              </w:rPr>
              <w:t>1 of 2</w:t>
            </w:r>
          </w:p>
        </w:tc>
      </w:tr>
      <w:tr>
        <w:trPr>
          <w:trHeight w:val="395" w:hRule="atLeast"/>
        </w:trPr>
        <w:tc>
          <w:tcPr>
            <w:tcW w:w="1874" w:type="dxa"/>
            <w:gridSpan w:val="2"/>
            <w:shd w:val="clear" w:color="auto" w:fill="E4E4E4"/>
          </w:tcPr>
          <w:p>
            <w:pPr>
              <w:pStyle w:val="TableParagraph"/>
              <w:spacing w:line="180" w:lineRule="atLeast" w:before="23"/>
              <w:ind w:left="618" w:right="606"/>
              <w:jc w:val="center"/>
              <w:rPr>
                <w:sz w:val="16"/>
              </w:rPr>
            </w:pPr>
            <w:r>
              <w:rPr>
                <w:sz w:val="16"/>
              </w:rPr>
              <w:t>Land-use Category</w:t>
            </w:r>
          </w:p>
        </w:tc>
        <w:tc>
          <w:tcPr>
            <w:tcW w:w="1027" w:type="dxa"/>
            <w:vMerge w:val="restart"/>
            <w:shd w:val="clear" w:color="auto" w:fill="E4E4E4"/>
          </w:tcPr>
          <w:p>
            <w:pPr>
              <w:pStyle w:val="TableParagraph"/>
              <w:spacing w:before="23"/>
              <w:ind w:left="189" w:right="177" w:firstLine="5"/>
              <w:jc w:val="center"/>
              <w:rPr>
                <w:sz w:val="16"/>
              </w:rPr>
            </w:pPr>
            <w:r>
              <w:rPr>
                <w:sz w:val="16"/>
              </w:rPr>
              <w:t>Sub- categories for  Reporting Year</w:t>
            </w:r>
          </w:p>
        </w:tc>
        <w:tc>
          <w:tcPr>
            <w:tcW w:w="2066" w:type="dxa"/>
            <w:vMerge w:val="restart"/>
            <w:shd w:val="clear" w:color="auto" w:fill="E4E4E4"/>
          </w:tcPr>
          <w:p>
            <w:pPr>
              <w:pStyle w:val="TableParagraph"/>
              <w:spacing w:before="23"/>
              <w:ind w:left="117" w:right="102"/>
              <w:jc w:val="center"/>
              <w:rPr>
                <w:sz w:val="16"/>
              </w:rPr>
            </w:pPr>
            <w:r>
              <w:rPr>
                <w:sz w:val="16"/>
              </w:rPr>
              <w:t>Reference carbon stock (see Table 3.3.3)</w:t>
            </w:r>
          </w:p>
          <w:p>
            <w:pPr>
              <w:pStyle w:val="TableParagraph"/>
              <w:rPr>
                <w:sz w:val="18"/>
              </w:rPr>
            </w:pPr>
          </w:p>
          <w:p>
            <w:pPr>
              <w:pStyle w:val="TableParagraph"/>
              <w:spacing w:before="159"/>
              <w:ind w:left="139" w:right="128"/>
              <w:jc w:val="center"/>
              <w:rPr>
                <w:sz w:val="16"/>
              </w:rPr>
            </w:pPr>
            <w:r>
              <w:rPr>
                <w:sz w:val="16"/>
              </w:rPr>
              <w:t>(tonnes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spacing w:line="168" w:lineRule="exact" w:before="151"/>
              <w:ind w:left="14"/>
              <w:jc w:val="center"/>
              <w:rPr>
                <w:sz w:val="16"/>
              </w:rPr>
            </w:pPr>
            <w:r>
              <w:rPr>
                <w:w w:val="100"/>
                <w:sz w:val="16"/>
              </w:rPr>
              <w:t>A</w:t>
            </w:r>
          </w:p>
        </w:tc>
        <w:tc>
          <w:tcPr>
            <w:tcW w:w="1980" w:type="dxa"/>
            <w:vMerge w:val="restart"/>
            <w:shd w:val="clear" w:color="auto" w:fill="E4E4E4"/>
          </w:tcPr>
          <w:p>
            <w:pPr>
              <w:pStyle w:val="TableParagraph"/>
              <w:spacing w:before="23"/>
              <w:ind w:left="175" w:right="163" w:hanging="2"/>
              <w:jc w:val="center"/>
              <w:rPr>
                <w:sz w:val="16"/>
              </w:rPr>
            </w:pPr>
            <w:r>
              <w:rPr>
                <w:sz w:val="16"/>
              </w:rPr>
              <w:t>Stock change factor for land use or land-use change type in the inventory year (see Table 3.3.4)</w:t>
            </w:r>
          </w:p>
          <w:p>
            <w:pPr>
              <w:pStyle w:val="TableParagraph"/>
              <w:spacing w:line="380" w:lineRule="exact" w:before="29"/>
              <w:ind w:left="483" w:right="472"/>
              <w:jc w:val="center"/>
              <w:rPr>
                <w:sz w:val="16"/>
              </w:rPr>
            </w:pPr>
            <w:r>
              <w:rPr>
                <w:sz w:val="16"/>
              </w:rPr>
              <w:t>(dimensionless) B</w:t>
            </w:r>
          </w:p>
        </w:tc>
        <w:tc>
          <w:tcPr>
            <w:tcW w:w="2520" w:type="dxa"/>
            <w:vMerge w:val="restart"/>
            <w:shd w:val="clear" w:color="auto" w:fill="E4E4E4"/>
          </w:tcPr>
          <w:p>
            <w:pPr>
              <w:pStyle w:val="TableParagraph"/>
              <w:spacing w:before="23"/>
              <w:ind w:left="238" w:right="223" w:hanging="2"/>
              <w:jc w:val="center"/>
              <w:rPr>
                <w:sz w:val="16"/>
              </w:rPr>
            </w:pPr>
            <w:r>
              <w:rPr>
                <w:sz w:val="16"/>
              </w:rPr>
              <w:t>Stock change factor for management regime in the inventory year (see Table 3.3.4)</w:t>
            </w:r>
          </w:p>
          <w:p>
            <w:pPr>
              <w:pStyle w:val="TableParagraph"/>
              <w:spacing w:before="10"/>
              <w:rPr>
                <w:sz w:val="15"/>
              </w:rPr>
            </w:pPr>
          </w:p>
          <w:p>
            <w:pPr>
              <w:pStyle w:val="TableParagraph"/>
              <w:ind w:left="120" w:right="109"/>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51"/>
              <w:ind w:left="8"/>
              <w:jc w:val="center"/>
              <w:rPr>
                <w:sz w:val="16"/>
              </w:rPr>
            </w:pPr>
            <w:r>
              <w:rPr>
                <w:w w:val="100"/>
                <w:sz w:val="16"/>
              </w:rPr>
              <w:t>C</w:t>
            </w:r>
          </w:p>
        </w:tc>
        <w:tc>
          <w:tcPr>
            <w:tcW w:w="2700" w:type="dxa"/>
            <w:vMerge w:val="restart"/>
            <w:shd w:val="clear" w:color="auto" w:fill="E4E4E4"/>
          </w:tcPr>
          <w:p>
            <w:pPr>
              <w:pStyle w:val="TableParagraph"/>
              <w:spacing w:before="23"/>
              <w:ind w:left="415"/>
              <w:rPr>
                <w:sz w:val="16"/>
              </w:rPr>
            </w:pPr>
            <w:r>
              <w:rPr>
                <w:sz w:val="16"/>
              </w:rPr>
              <w:t>Stock change factor for input</w:t>
            </w:r>
          </w:p>
          <w:p>
            <w:pPr>
              <w:pStyle w:val="TableParagraph"/>
              <w:spacing w:before="1"/>
              <w:ind w:left="115" w:right="101"/>
              <w:jc w:val="center"/>
              <w:rPr>
                <w:sz w:val="16"/>
              </w:rPr>
            </w:pPr>
            <w:r>
              <w:rPr>
                <w:sz w:val="16"/>
              </w:rPr>
              <w:t>of organic matter in the inventory</w:t>
            </w:r>
            <w:r>
              <w:rPr>
                <w:spacing w:val="-20"/>
                <w:sz w:val="16"/>
              </w:rPr>
              <w:t> </w:t>
            </w:r>
            <w:r>
              <w:rPr>
                <w:sz w:val="16"/>
              </w:rPr>
              <w:t>year (see Table</w:t>
            </w:r>
            <w:r>
              <w:rPr>
                <w:spacing w:val="-1"/>
                <w:sz w:val="16"/>
              </w:rPr>
              <w:t> </w:t>
            </w:r>
            <w:r>
              <w:rPr>
                <w:sz w:val="16"/>
              </w:rPr>
              <w:t>3.3.4)</w:t>
            </w:r>
          </w:p>
          <w:p>
            <w:pPr>
              <w:pStyle w:val="TableParagraph"/>
              <w:spacing w:before="9"/>
              <w:rPr>
                <w:sz w:val="15"/>
              </w:rPr>
            </w:pPr>
          </w:p>
          <w:p>
            <w:pPr>
              <w:pStyle w:val="TableParagraph"/>
              <w:ind w:left="359" w:right="351"/>
              <w:jc w:val="center"/>
              <w:rPr>
                <w:sz w:val="16"/>
              </w:rPr>
            </w:pPr>
            <w:r>
              <w:rPr>
                <w:sz w:val="16"/>
              </w:rPr>
              <w:t>(dimensionless)</w:t>
            </w:r>
          </w:p>
          <w:p>
            <w:pPr>
              <w:pStyle w:val="TableParagraph"/>
              <w:rPr>
                <w:sz w:val="18"/>
              </w:rPr>
            </w:pPr>
          </w:p>
          <w:p>
            <w:pPr>
              <w:pStyle w:val="TableParagraph"/>
              <w:rPr>
                <w:sz w:val="18"/>
              </w:rPr>
            </w:pPr>
          </w:p>
          <w:p>
            <w:pPr>
              <w:pStyle w:val="TableParagraph"/>
              <w:spacing w:line="168" w:lineRule="exact" w:before="151"/>
              <w:ind w:left="10"/>
              <w:jc w:val="center"/>
              <w:rPr>
                <w:sz w:val="16"/>
              </w:rPr>
            </w:pPr>
            <w:r>
              <w:rPr>
                <w:w w:val="100"/>
                <w:sz w:val="16"/>
              </w:rPr>
              <w:t>D</w:t>
            </w:r>
          </w:p>
        </w:tc>
        <w:tc>
          <w:tcPr>
            <w:tcW w:w="2520" w:type="dxa"/>
            <w:vMerge w:val="restart"/>
            <w:shd w:val="clear" w:color="auto" w:fill="E4E4E4"/>
          </w:tcPr>
          <w:p>
            <w:pPr>
              <w:pStyle w:val="TableParagraph"/>
              <w:spacing w:before="23"/>
              <w:ind w:left="120" w:right="107"/>
              <w:jc w:val="center"/>
              <w:rPr>
                <w:sz w:val="16"/>
              </w:rPr>
            </w:pPr>
            <w:r>
              <w:rPr>
                <w:sz w:val="16"/>
              </w:rPr>
              <w:t>Soil organic carbon stocks in the inventory year</w:t>
            </w:r>
          </w:p>
          <w:p>
            <w:pPr>
              <w:pStyle w:val="TableParagraph"/>
              <w:rPr>
                <w:sz w:val="16"/>
              </w:rPr>
            </w:pPr>
          </w:p>
          <w:p>
            <w:pPr>
              <w:pStyle w:val="TableParagraph"/>
              <w:spacing w:line="494" w:lineRule="auto"/>
              <w:ind w:left="713" w:right="699" w:hanging="3"/>
              <w:jc w:val="center"/>
              <w:rPr>
                <w:sz w:val="16"/>
              </w:rPr>
            </w:pPr>
            <w:r>
              <w:rPr>
                <w:sz w:val="16"/>
              </w:rPr>
              <w:t>(tonnes C ha</w:t>
            </w:r>
            <w:r>
              <w:rPr>
                <w:sz w:val="16"/>
                <w:vertAlign w:val="superscript"/>
              </w:rPr>
              <w:t>-1</w:t>
            </w:r>
            <w:r>
              <w:rPr>
                <w:sz w:val="16"/>
                <w:vertAlign w:val="baseline"/>
              </w:rPr>
              <w:t>) E=A </w:t>
            </w:r>
            <w:r>
              <w:rPr>
                <w:rFonts w:ascii="Symbol" w:hAnsi="Symbol"/>
                <w:sz w:val="16"/>
                <w:vertAlign w:val="baseline"/>
              </w:rPr>
              <w:t>• </w:t>
            </w:r>
            <w:r>
              <w:rPr>
                <w:sz w:val="16"/>
                <w:vertAlign w:val="baseline"/>
              </w:rPr>
              <w:t>B </w:t>
            </w:r>
            <w:r>
              <w:rPr>
                <w:rFonts w:ascii="Symbol" w:hAnsi="Symbol"/>
                <w:sz w:val="16"/>
                <w:vertAlign w:val="baseline"/>
              </w:rPr>
              <w:t>• </w:t>
            </w:r>
            <w:r>
              <w:rPr>
                <w:sz w:val="16"/>
                <w:vertAlign w:val="baseline"/>
              </w:rPr>
              <w:t>C </w:t>
            </w:r>
            <w:r>
              <w:rPr>
                <w:rFonts w:ascii="Symbol" w:hAnsi="Symbol"/>
                <w:sz w:val="16"/>
                <w:vertAlign w:val="baseline"/>
              </w:rPr>
              <w:t>• </w:t>
            </w:r>
            <w:r>
              <w:rPr>
                <w:sz w:val="16"/>
                <w:vertAlign w:val="baseline"/>
              </w:rPr>
              <w:t>D</w:t>
            </w:r>
          </w:p>
          <w:p>
            <w:pPr>
              <w:pStyle w:val="TableParagraph"/>
              <w:spacing w:line="168" w:lineRule="exact" w:before="160"/>
              <w:ind w:left="9"/>
              <w:jc w:val="center"/>
              <w:rPr>
                <w:sz w:val="16"/>
              </w:rPr>
            </w:pPr>
            <w:r>
              <w:rPr>
                <w:w w:val="100"/>
                <w:sz w:val="16"/>
              </w:rPr>
              <w:t>E</w:t>
            </w:r>
          </w:p>
        </w:tc>
      </w:tr>
      <w:tr>
        <w:trPr>
          <w:trHeight w:val="1288" w:hRule="atLeast"/>
        </w:trPr>
        <w:tc>
          <w:tcPr>
            <w:tcW w:w="924" w:type="dxa"/>
            <w:shd w:val="clear" w:color="auto" w:fill="E4E4E4"/>
          </w:tcPr>
          <w:p>
            <w:pPr>
              <w:pStyle w:val="TableParagraph"/>
              <w:spacing w:before="23"/>
              <w:ind w:left="170" w:right="141" w:firstLine="98"/>
              <w:rPr>
                <w:sz w:val="16"/>
              </w:rPr>
            </w:pPr>
            <w:r>
              <w:rPr>
                <w:sz w:val="16"/>
              </w:rPr>
              <w:t>Initial Land use</w:t>
            </w:r>
          </w:p>
        </w:tc>
        <w:tc>
          <w:tcPr>
            <w:tcW w:w="950" w:type="dxa"/>
            <w:shd w:val="clear" w:color="auto" w:fill="E4E4E4"/>
          </w:tcPr>
          <w:p>
            <w:pPr>
              <w:pStyle w:val="TableParagraph"/>
              <w:spacing w:before="23"/>
              <w:ind w:left="179" w:right="167" w:hanging="1"/>
              <w:jc w:val="center"/>
              <w:rPr>
                <w:sz w:val="16"/>
              </w:rPr>
            </w:pPr>
            <w:r>
              <w:rPr>
                <w:sz w:val="16"/>
              </w:rPr>
              <w:t>Land use during reporting Year</w:t>
            </w:r>
          </w:p>
        </w:tc>
        <w:tc>
          <w:tcPr>
            <w:tcW w:w="1027" w:type="dxa"/>
            <w:vMerge/>
            <w:tcBorders>
              <w:top w:val="nil"/>
            </w:tcBorders>
            <w:shd w:val="clear" w:color="auto" w:fill="E4E4E4"/>
          </w:tcPr>
          <w:p>
            <w:pPr>
              <w:rPr>
                <w:sz w:val="2"/>
                <w:szCs w:val="2"/>
              </w:rPr>
            </w:pPr>
          </w:p>
        </w:tc>
        <w:tc>
          <w:tcPr>
            <w:tcW w:w="2066" w:type="dxa"/>
            <w:vMerge/>
            <w:tcBorders>
              <w:top w:val="nil"/>
            </w:tcBorders>
            <w:shd w:val="clear" w:color="auto" w:fill="E4E4E4"/>
          </w:tcPr>
          <w:p>
            <w:pPr>
              <w:rPr>
                <w:sz w:val="2"/>
                <w:szCs w:val="2"/>
              </w:rPr>
            </w:pPr>
          </w:p>
        </w:tc>
        <w:tc>
          <w:tcPr>
            <w:tcW w:w="198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c>
          <w:tcPr>
            <w:tcW w:w="2700" w:type="dxa"/>
            <w:vMerge/>
            <w:tcBorders>
              <w:top w:val="nil"/>
            </w:tcBorders>
            <w:shd w:val="clear" w:color="auto" w:fill="E4E4E4"/>
          </w:tcPr>
          <w:p>
            <w:pPr>
              <w:rPr>
                <w:sz w:val="2"/>
                <w:szCs w:val="2"/>
              </w:rPr>
            </w:pPr>
          </w:p>
        </w:tc>
        <w:tc>
          <w:tcPr>
            <w:tcW w:w="2520" w:type="dxa"/>
            <w:vMerge/>
            <w:tcBorders>
              <w:top w:val="nil"/>
            </w:tcBorders>
            <w:shd w:val="clear" w:color="auto" w:fill="E4E4E4"/>
          </w:tcPr>
          <w:p>
            <w:pPr>
              <w:rPr>
                <w:sz w:val="2"/>
                <w:szCs w:val="2"/>
              </w:rPr>
            </w:pPr>
          </w:p>
        </w:tc>
      </w:tr>
      <w:tr>
        <w:trPr>
          <w:trHeight w:val="386" w:hRule="atLeast"/>
        </w:trPr>
        <w:tc>
          <w:tcPr>
            <w:tcW w:w="924" w:type="dxa"/>
          </w:tcPr>
          <w:p>
            <w:pPr>
              <w:pStyle w:val="TableParagraph"/>
              <w:spacing w:line="169" w:lineRule="exact"/>
              <w:ind w:left="107"/>
              <w:rPr>
                <w:sz w:val="16"/>
              </w:rPr>
            </w:pPr>
            <w:r>
              <w:rPr>
                <w:sz w:val="16"/>
              </w:rPr>
              <w:t>FL,CL,GL</w:t>
            </w:r>
          </w:p>
          <w:p>
            <w:pPr>
              <w:pStyle w:val="TableParagraph"/>
              <w:spacing w:before="1"/>
              <w:ind w:left="107"/>
              <w:rPr>
                <w:sz w:val="16"/>
              </w:rPr>
            </w:pPr>
            <w:r>
              <w:rPr>
                <w:sz w:val="16"/>
              </w:rPr>
              <w:t>,WL</w:t>
            </w:r>
          </w:p>
        </w:tc>
        <w:tc>
          <w:tcPr>
            <w:tcW w:w="950" w:type="dxa"/>
          </w:tcPr>
          <w:p>
            <w:pPr>
              <w:pStyle w:val="TableParagraph"/>
              <w:spacing w:before="76"/>
              <w:ind w:left="107"/>
              <w:rPr>
                <w:sz w:val="16"/>
              </w:rPr>
            </w:pPr>
            <w:r>
              <w:rPr>
                <w:sz w:val="16"/>
              </w:rPr>
              <w:t>OL</w:t>
            </w:r>
          </w:p>
        </w:tc>
        <w:tc>
          <w:tcPr>
            <w:tcW w:w="1027" w:type="dxa"/>
          </w:tcPr>
          <w:p>
            <w:pPr>
              <w:pStyle w:val="TableParagraph"/>
              <w:spacing w:before="76"/>
              <w:ind w:left="108"/>
              <w:rPr>
                <w:sz w:val="16"/>
              </w:rPr>
            </w:pPr>
            <w:r>
              <w:rPr>
                <w:sz w:val="16"/>
              </w:rPr>
              <w:t>(a)</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(b)</w:t>
            </w:r>
          </w:p>
        </w:tc>
        <w:tc>
          <w:tcPr>
            <w:tcW w:w="2066" w:type="dxa"/>
          </w:tcPr>
          <w:p>
            <w:pPr>
              <w:pStyle w:val="TableParagraph"/>
              <w:spacing w:before="25"/>
              <w:ind w:left="137" w:right="129"/>
              <w:jc w:val="center"/>
              <w:rPr>
                <w:b/>
                <w:sz w:val="10"/>
              </w:rPr>
            </w:pPr>
            <w:r>
              <w:rPr>
                <w:b/>
                <w:position w:val="2"/>
                <w:sz w:val="16"/>
              </w:rPr>
              <w:t>SOC</w:t>
            </w:r>
            <w:r>
              <w:rPr>
                <w:b/>
                <w:sz w:val="10"/>
              </w:rPr>
              <w:t>Ref</w:t>
            </w:r>
          </w:p>
        </w:tc>
        <w:tc>
          <w:tcPr>
            <w:tcW w:w="1980" w:type="dxa"/>
          </w:tcPr>
          <w:p>
            <w:pPr>
              <w:pStyle w:val="TableParagraph"/>
              <w:spacing w:before="25"/>
              <w:ind w:left="147" w:right="138"/>
              <w:jc w:val="center"/>
              <w:rPr>
                <w:b/>
                <w:sz w:val="10"/>
              </w:rPr>
            </w:pPr>
            <w:r>
              <w:rPr>
                <w:b/>
                <w:position w:val="2"/>
                <w:sz w:val="16"/>
              </w:rPr>
              <w:t>F</w:t>
            </w:r>
            <w:r>
              <w:rPr>
                <w:b/>
                <w:sz w:val="10"/>
              </w:rPr>
              <w:t>LU(0)</w:t>
            </w:r>
          </w:p>
        </w:tc>
        <w:tc>
          <w:tcPr>
            <w:tcW w:w="2520" w:type="dxa"/>
          </w:tcPr>
          <w:p>
            <w:pPr>
              <w:pStyle w:val="TableParagraph"/>
              <w:spacing w:before="25"/>
              <w:ind w:left="120" w:right="109"/>
              <w:jc w:val="center"/>
              <w:rPr>
                <w:b/>
                <w:sz w:val="10"/>
              </w:rPr>
            </w:pPr>
            <w:r>
              <w:rPr>
                <w:b/>
                <w:position w:val="2"/>
                <w:sz w:val="16"/>
              </w:rPr>
              <w:t>F</w:t>
            </w:r>
            <w:r>
              <w:rPr>
                <w:b/>
                <w:sz w:val="10"/>
              </w:rPr>
              <w:t>MG(0)</w:t>
            </w:r>
          </w:p>
        </w:tc>
        <w:tc>
          <w:tcPr>
            <w:tcW w:w="2700" w:type="dxa"/>
          </w:tcPr>
          <w:p>
            <w:pPr>
              <w:pStyle w:val="TableParagraph"/>
              <w:spacing w:before="25"/>
              <w:ind w:left="360" w:right="351"/>
              <w:jc w:val="center"/>
              <w:rPr>
                <w:b/>
                <w:sz w:val="10"/>
              </w:rPr>
            </w:pPr>
            <w:r>
              <w:rPr>
                <w:b/>
                <w:position w:val="2"/>
                <w:sz w:val="16"/>
              </w:rPr>
              <w:t>F</w:t>
            </w:r>
            <w:r>
              <w:rPr>
                <w:b/>
                <w:sz w:val="10"/>
              </w:rPr>
              <w:t>I(0)</w:t>
            </w:r>
          </w:p>
        </w:tc>
        <w:tc>
          <w:tcPr>
            <w:tcW w:w="2520" w:type="dxa"/>
          </w:tcPr>
          <w:p>
            <w:pPr>
              <w:pStyle w:val="TableParagraph"/>
              <w:spacing w:before="25"/>
              <w:ind w:left="120" w:right="109"/>
              <w:jc w:val="center"/>
              <w:rPr>
                <w:b/>
                <w:sz w:val="10"/>
              </w:rPr>
            </w:pPr>
            <w:r>
              <w:rPr>
                <w:b/>
                <w:position w:val="2"/>
                <w:sz w:val="16"/>
              </w:rPr>
              <w:t>SOC</w:t>
            </w:r>
            <w:r>
              <w:rPr>
                <w:b/>
                <w:sz w:val="10"/>
              </w:rPr>
              <w:t>0</w:t>
            </w: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(c)</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spacing w:before="23"/>
              <w:ind w:left="108"/>
              <w:rPr>
                <w:sz w:val="16"/>
              </w:rPr>
            </w:pPr>
            <w:r>
              <w:rPr>
                <w:sz w:val="16"/>
              </w:rPr>
              <w:t>Sub-total</w:t>
            </w: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42"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rPr>
                <w:sz w:val="16"/>
              </w:rPr>
            </w:pP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r>
        <w:trPr>
          <w:trHeight w:val="239" w:hRule="atLeast"/>
        </w:trPr>
        <w:tc>
          <w:tcPr>
            <w:tcW w:w="924" w:type="dxa"/>
          </w:tcPr>
          <w:p>
            <w:pPr>
              <w:pStyle w:val="TableParagraph"/>
              <w:spacing w:before="25"/>
              <w:ind w:left="107"/>
              <w:rPr>
                <w:b/>
                <w:sz w:val="16"/>
              </w:rPr>
            </w:pPr>
            <w:r>
              <w:rPr>
                <w:b/>
                <w:sz w:val="16"/>
              </w:rPr>
              <w:t>Total</w:t>
            </w:r>
          </w:p>
        </w:tc>
        <w:tc>
          <w:tcPr>
            <w:tcW w:w="950" w:type="dxa"/>
          </w:tcPr>
          <w:p>
            <w:pPr>
              <w:pStyle w:val="TableParagraph"/>
              <w:rPr>
                <w:sz w:val="16"/>
              </w:rPr>
            </w:pPr>
          </w:p>
        </w:tc>
        <w:tc>
          <w:tcPr>
            <w:tcW w:w="1027" w:type="dxa"/>
          </w:tcPr>
          <w:p>
            <w:pPr>
              <w:pStyle w:val="TableParagraph"/>
              <w:rPr>
                <w:sz w:val="16"/>
              </w:rPr>
            </w:pPr>
          </w:p>
        </w:tc>
        <w:tc>
          <w:tcPr>
            <w:tcW w:w="2066" w:type="dxa"/>
          </w:tcPr>
          <w:p>
            <w:pPr>
              <w:pStyle w:val="TableParagraph"/>
              <w:rPr>
                <w:sz w:val="16"/>
              </w:rPr>
            </w:pPr>
          </w:p>
        </w:tc>
        <w:tc>
          <w:tcPr>
            <w:tcW w:w="1980" w:type="dxa"/>
          </w:tcPr>
          <w:p>
            <w:pPr>
              <w:pStyle w:val="TableParagraph"/>
              <w:rPr>
                <w:sz w:val="16"/>
              </w:rPr>
            </w:pPr>
          </w:p>
        </w:tc>
        <w:tc>
          <w:tcPr>
            <w:tcW w:w="2520" w:type="dxa"/>
          </w:tcPr>
          <w:p>
            <w:pPr>
              <w:pStyle w:val="TableParagraph"/>
              <w:rPr>
                <w:sz w:val="16"/>
              </w:rPr>
            </w:pPr>
          </w:p>
        </w:tc>
        <w:tc>
          <w:tcPr>
            <w:tcW w:w="2700" w:type="dxa"/>
          </w:tcPr>
          <w:p>
            <w:pPr>
              <w:pStyle w:val="TableParagraph"/>
              <w:rPr>
                <w:sz w:val="16"/>
              </w:rPr>
            </w:pPr>
          </w:p>
        </w:tc>
        <w:tc>
          <w:tcPr>
            <w:tcW w:w="2520" w:type="dxa"/>
          </w:tcPr>
          <w:p>
            <w:pPr>
              <w:pStyle w:val="TableParagraph"/>
              <w:rPr>
                <w:sz w:val="16"/>
              </w:rPr>
            </w:pPr>
          </w:p>
        </w:tc>
      </w:tr>
    </w:tbl>
    <w:p>
      <w:pPr>
        <w:spacing w:after="0"/>
        <w:rPr>
          <w:sz w:val="16"/>
        </w:rPr>
        <w:sectPr>
          <w:pgSz w:w="16840" w:h="11900" w:orient="landscape"/>
          <w:pgMar w:header="1150" w:footer="1125" w:top="740" w:bottom="1320" w:left="1200" w:right="460"/>
        </w:sectPr>
      </w:pPr>
    </w:p>
    <w:p>
      <w:pPr>
        <w:pStyle w:val="BodyText"/>
        <w:spacing w:before="4"/>
        <w:rPr>
          <w:sz w:val="1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3"/>
        <w:gridCol w:w="979"/>
        <w:gridCol w:w="1063"/>
        <w:gridCol w:w="1101"/>
        <w:gridCol w:w="1233"/>
        <w:gridCol w:w="1514"/>
        <w:gridCol w:w="1480"/>
        <w:gridCol w:w="1516"/>
        <w:gridCol w:w="1482"/>
        <w:gridCol w:w="1412"/>
        <w:gridCol w:w="1395"/>
      </w:tblGrid>
      <w:tr>
        <w:trPr>
          <w:trHeight w:val="285" w:hRule="atLeast"/>
        </w:trPr>
        <w:tc>
          <w:tcPr>
            <w:tcW w:w="2412" w:type="dxa"/>
            <w:gridSpan w:val="2"/>
            <w:shd w:val="clear" w:color="auto" w:fill="BFBFBF"/>
          </w:tcPr>
          <w:p>
            <w:pPr>
              <w:pStyle w:val="TableParagraph"/>
              <w:spacing w:before="26"/>
              <w:ind w:left="107"/>
              <w:rPr>
                <w:b/>
                <w:sz w:val="20"/>
              </w:rPr>
            </w:pPr>
            <w:r>
              <w:rPr>
                <w:b/>
                <w:sz w:val="20"/>
              </w:rPr>
              <w:t>Module</w:t>
            </w:r>
          </w:p>
        </w:tc>
        <w:tc>
          <w:tcPr>
            <w:tcW w:w="12196" w:type="dxa"/>
            <w:gridSpan w:val="9"/>
          </w:tcPr>
          <w:p>
            <w:pPr>
              <w:pStyle w:val="TableParagraph"/>
              <w:spacing w:before="26"/>
              <w:ind w:left="107"/>
              <w:rPr>
                <w:b/>
                <w:sz w:val="20"/>
              </w:rPr>
            </w:pPr>
            <w:r>
              <w:rPr>
                <w:b/>
                <w:sz w:val="20"/>
              </w:rPr>
              <w:t>Other Land</w:t>
            </w:r>
          </w:p>
        </w:tc>
      </w:tr>
      <w:tr>
        <w:trPr>
          <w:trHeight w:val="287" w:hRule="atLeast"/>
        </w:trPr>
        <w:tc>
          <w:tcPr>
            <w:tcW w:w="2412" w:type="dxa"/>
            <w:gridSpan w:val="2"/>
            <w:shd w:val="clear" w:color="auto" w:fill="BFBFBF"/>
          </w:tcPr>
          <w:p>
            <w:pPr>
              <w:pStyle w:val="TableParagraph"/>
              <w:spacing w:before="26"/>
              <w:ind w:left="107"/>
              <w:rPr>
                <w:b/>
                <w:sz w:val="20"/>
              </w:rPr>
            </w:pPr>
            <w:r>
              <w:rPr>
                <w:b/>
                <w:sz w:val="20"/>
              </w:rPr>
              <w:t>Sub-module</w:t>
            </w:r>
          </w:p>
        </w:tc>
        <w:tc>
          <w:tcPr>
            <w:tcW w:w="12196" w:type="dxa"/>
            <w:gridSpan w:val="9"/>
          </w:tcPr>
          <w:p>
            <w:pPr>
              <w:pStyle w:val="TableParagraph"/>
              <w:spacing w:before="26"/>
              <w:ind w:left="107"/>
              <w:rPr>
                <w:b/>
                <w:sz w:val="20"/>
              </w:rPr>
            </w:pPr>
            <w:r>
              <w:rPr>
                <w:b/>
                <w:sz w:val="20"/>
              </w:rPr>
              <w:t>Land Converted to Other Land</w:t>
            </w:r>
          </w:p>
        </w:tc>
      </w:tr>
      <w:tr>
        <w:trPr>
          <w:trHeight w:val="285" w:hRule="atLeast"/>
        </w:trPr>
        <w:tc>
          <w:tcPr>
            <w:tcW w:w="2412" w:type="dxa"/>
            <w:gridSpan w:val="2"/>
            <w:shd w:val="clear" w:color="auto" w:fill="BFBFBF"/>
          </w:tcPr>
          <w:p>
            <w:pPr>
              <w:pStyle w:val="TableParagraph"/>
              <w:spacing w:before="26"/>
              <w:ind w:left="107"/>
              <w:rPr>
                <w:b/>
                <w:sz w:val="20"/>
              </w:rPr>
            </w:pPr>
            <w:r>
              <w:rPr>
                <w:b/>
                <w:sz w:val="20"/>
              </w:rPr>
              <w:t>Worksheet</w:t>
            </w:r>
          </w:p>
        </w:tc>
        <w:tc>
          <w:tcPr>
            <w:tcW w:w="12196" w:type="dxa"/>
            <w:gridSpan w:val="9"/>
          </w:tcPr>
          <w:p>
            <w:pPr>
              <w:pStyle w:val="TableParagraph"/>
              <w:spacing w:before="26"/>
              <w:ind w:left="107"/>
              <w:rPr>
                <w:b/>
                <w:sz w:val="20"/>
              </w:rPr>
            </w:pPr>
            <w:r>
              <w:rPr>
                <w:b/>
                <w:sz w:val="20"/>
              </w:rPr>
              <w:t>OL-2c1: Annual change in carbon stocks in mineral soil</w:t>
            </w:r>
          </w:p>
        </w:tc>
      </w:tr>
      <w:tr>
        <w:trPr>
          <w:trHeight w:val="285" w:hRule="atLeast"/>
        </w:trPr>
        <w:tc>
          <w:tcPr>
            <w:tcW w:w="2412" w:type="dxa"/>
            <w:gridSpan w:val="2"/>
            <w:shd w:val="clear" w:color="auto" w:fill="BFBFBF"/>
          </w:tcPr>
          <w:p>
            <w:pPr>
              <w:pStyle w:val="TableParagraph"/>
              <w:spacing w:before="26"/>
              <w:ind w:left="107"/>
              <w:rPr>
                <w:b/>
                <w:sz w:val="20"/>
              </w:rPr>
            </w:pPr>
            <w:r>
              <w:rPr>
                <w:b/>
                <w:sz w:val="20"/>
              </w:rPr>
              <w:t>Sheet</w:t>
            </w:r>
          </w:p>
        </w:tc>
        <w:tc>
          <w:tcPr>
            <w:tcW w:w="12196" w:type="dxa"/>
            <w:gridSpan w:val="9"/>
          </w:tcPr>
          <w:p>
            <w:pPr>
              <w:pStyle w:val="TableParagraph"/>
              <w:spacing w:before="26"/>
              <w:ind w:left="108"/>
              <w:rPr>
                <w:b/>
                <w:sz w:val="20"/>
              </w:rPr>
            </w:pPr>
            <w:r>
              <w:rPr>
                <w:b/>
                <w:sz w:val="20"/>
              </w:rPr>
              <w:t>2 of 2</w:t>
            </w:r>
          </w:p>
        </w:tc>
      </w:tr>
      <w:tr>
        <w:trPr>
          <w:trHeight w:val="395" w:hRule="atLeast"/>
        </w:trPr>
        <w:tc>
          <w:tcPr>
            <w:tcW w:w="2412" w:type="dxa"/>
            <w:gridSpan w:val="2"/>
            <w:shd w:val="clear" w:color="auto" w:fill="E4E4E4"/>
          </w:tcPr>
          <w:p>
            <w:pPr>
              <w:pStyle w:val="TableParagraph"/>
              <w:spacing w:line="180" w:lineRule="atLeast" w:before="23"/>
              <w:ind w:left="906" w:right="895"/>
              <w:jc w:val="center"/>
              <w:rPr>
                <w:sz w:val="16"/>
              </w:rPr>
            </w:pPr>
            <w:r>
              <w:rPr>
                <w:sz w:val="16"/>
              </w:rPr>
              <w:t>Land-use Category</w:t>
            </w:r>
          </w:p>
        </w:tc>
        <w:tc>
          <w:tcPr>
            <w:tcW w:w="1063" w:type="dxa"/>
            <w:vMerge w:val="restart"/>
            <w:shd w:val="clear" w:color="auto" w:fill="E4E4E4"/>
          </w:tcPr>
          <w:p>
            <w:pPr>
              <w:pStyle w:val="TableParagraph"/>
              <w:spacing w:before="23"/>
              <w:ind w:left="206" w:right="197" w:firstLine="5"/>
              <w:jc w:val="center"/>
              <w:rPr>
                <w:sz w:val="16"/>
              </w:rPr>
            </w:pPr>
            <w:r>
              <w:rPr>
                <w:sz w:val="16"/>
              </w:rPr>
              <w:t>Sub- categories for  Reporting Year</w:t>
            </w:r>
          </w:p>
        </w:tc>
        <w:tc>
          <w:tcPr>
            <w:tcW w:w="1101" w:type="dxa"/>
            <w:vMerge w:val="restart"/>
            <w:shd w:val="clear" w:color="auto" w:fill="E4E4E4"/>
          </w:tcPr>
          <w:p>
            <w:pPr>
              <w:pStyle w:val="TableParagraph"/>
              <w:spacing w:before="23"/>
              <w:ind w:left="155" w:right="146"/>
              <w:jc w:val="center"/>
              <w:rPr>
                <w:sz w:val="16"/>
              </w:rPr>
            </w:pPr>
            <w:r>
              <w:rPr>
                <w:sz w:val="16"/>
              </w:rPr>
              <w:t>Time period for the conversion (default is 20)</w:t>
            </w:r>
          </w:p>
          <w:p>
            <w:pPr>
              <w:pStyle w:val="TableParagraph"/>
              <w:rPr>
                <w:sz w:val="16"/>
              </w:rPr>
            </w:pPr>
          </w:p>
          <w:p>
            <w:pPr>
              <w:pStyle w:val="TableParagraph"/>
              <w:ind w:left="155" w:right="145"/>
              <w:jc w:val="center"/>
              <w:rPr>
                <w:sz w:val="16"/>
              </w:rPr>
            </w:pPr>
            <w:r>
              <w:rPr>
                <w:sz w:val="16"/>
              </w:rPr>
              <w:t>(yrs)</w:t>
            </w:r>
          </w:p>
          <w:p>
            <w:pPr>
              <w:pStyle w:val="TableParagraph"/>
              <w:rPr>
                <w:sz w:val="18"/>
              </w:rPr>
            </w:pPr>
          </w:p>
          <w:p>
            <w:pPr>
              <w:pStyle w:val="TableParagraph"/>
              <w:rPr>
                <w:sz w:val="18"/>
              </w:rPr>
            </w:pPr>
          </w:p>
          <w:p>
            <w:pPr>
              <w:pStyle w:val="TableParagraph"/>
              <w:rPr>
                <w:sz w:val="18"/>
              </w:rPr>
            </w:pPr>
          </w:p>
          <w:p>
            <w:pPr>
              <w:pStyle w:val="TableParagraph"/>
              <w:spacing w:before="9"/>
              <w:rPr>
                <w:sz w:val="25"/>
              </w:rPr>
            </w:pPr>
          </w:p>
          <w:p>
            <w:pPr>
              <w:pStyle w:val="TableParagraph"/>
              <w:spacing w:line="170" w:lineRule="exact"/>
              <w:ind w:left="11"/>
              <w:jc w:val="center"/>
              <w:rPr>
                <w:sz w:val="16"/>
              </w:rPr>
            </w:pPr>
            <w:r>
              <w:rPr>
                <w:w w:val="100"/>
                <w:sz w:val="16"/>
              </w:rPr>
              <w:t>F</w:t>
            </w:r>
          </w:p>
        </w:tc>
        <w:tc>
          <w:tcPr>
            <w:tcW w:w="1233" w:type="dxa"/>
            <w:vMerge w:val="restart"/>
            <w:shd w:val="clear" w:color="auto" w:fill="E4E4E4"/>
          </w:tcPr>
          <w:p>
            <w:pPr>
              <w:pStyle w:val="TableParagraph"/>
              <w:spacing w:before="23"/>
              <w:ind w:left="298" w:right="287"/>
              <w:jc w:val="center"/>
              <w:rPr>
                <w:sz w:val="16"/>
              </w:rPr>
            </w:pPr>
            <w:r>
              <w:rPr>
                <w:sz w:val="16"/>
              </w:rPr>
              <w:t>Land area converted to ”Other Land”</w:t>
            </w:r>
          </w:p>
          <w:p>
            <w:pPr>
              <w:pStyle w:val="TableParagraph"/>
              <w:spacing w:before="11"/>
              <w:rPr>
                <w:sz w:val="15"/>
              </w:rPr>
            </w:pPr>
          </w:p>
          <w:p>
            <w:pPr>
              <w:pStyle w:val="TableParagraph"/>
              <w:ind w:left="298" w:right="286"/>
              <w:jc w:val="center"/>
              <w:rPr>
                <w:sz w:val="16"/>
              </w:rPr>
            </w:pPr>
            <w:r>
              <w:rPr>
                <w:sz w:val="16"/>
              </w:rPr>
              <w:t>(ha)</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10"/>
              <w:rPr>
                <w:sz w:val="23"/>
              </w:rPr>
            </w:pPr>
          </w:p>
          <w:p>
            <w:pPr>
              <w:pStyle w:val="TableParagraph"/>
              <w:spacing w:line="170" w:lineRule="exact"/>
              <w:ind w:left="12"/>
              <w:jc w:val="center"/>
              <w:rPr>
                <w:sz w:val="16"/>
              </w:rPr>
            </w:pPr>
            <w:r>
              <w:rPr>
                <w:w w:val="100"/>
                <w:sz w:val="16"/>
              </w:rPr>
              <w:t>G</w:t>
            </w:r>
          </w:p>
        </w:tc>
        <w:tc>
          <w:tcPr>
            <w:tcW w:w="1514" w:type="dxa"/>
            <w:vMerge w:val="restart"/>
            <w:shd w:val="clear" w:color="auto" w:fill="E4E4E4"/>
          </w:tcPr>
          <w:p>
            <w:pPr>
              <w:pStyle w:val="TableParagraph"/>
              <w:spacing w:before="23"/>
              <w:ind w:left="195" w:right="181"/>
              <w:jc w:val="center"/>
              <w:rPr>
                <w:sz w:val="16"/>
              </w:rPr>
            </w:pPr>
            <w:r>
              <w:rPr>
                <w:sz w:val="16"/>
              </w:rPr>
              <w:t>Reference carbon Stock</w:t>
            </w:r>
          </w:p>
          <w:p>
            <w:pPr>
              <w:pStyle w:val="TableParagraph"/>
              <w:spacing w:line="480" w:lineRule="auto"/>
              <w:ind w:left="195" w:right="178"/>
              <w:jc w:val="center"/>
              <w:rPr>
                <w:sz w:val="16"/>
              </w:rPr>
            </w:pPr>
            <w:r>
              <w:rPr>
                <w:sz w:val="16"/>
              </w:rPr>
              <w:t>(see Table 3.3.3) (tonnes C ha</w:t>
            </w:r>
            <w:r>
              <w:rPr>
                <w:sz w:val="16"/>
                <w:vertAlign w:val="superscript"/>
              </w:rPr>
              <w:t>-1</w:t>
            </w:r>
            <w:r>
              <w:rPr>
                <w:sz w:val="16"/>
                <w:vertAlign w:val="baseline"/>
              </w:rPr>
              <w:t>)</w:t>
            </w:r>
          </w:p>
          <w:p>
            <w:pPr>
              <w:pStyle w:val="TableParagraph"/>
              <w:rPr>
                <w:sz w:val="18"/>
              </w:rPr>
            </w:pPr>
          </w:p>
          <w:p>
            <w:pPr>
              <w:pStyle w:val="TableParagraph"/>
              <w:rPr>
                <w:sz w:val="18"/>
              </w:rPr>
            </w:pPr>
          </w:p>
          <w:p>
            <w:pPr>
              <w:pStyle w:val="TableParagraph"/>
              <w:rPr>
                <w:sz w:val="18"/>
              </w:rPr>
            </w:pPr>
          </w:p>
          <w:p>
            <w:pPr>
              <w:pStyle w:val="TableParagraph"/>
              <w:rPr>
                <w:sz w:val="18"/>
              </w:rPr>
            </w:pPr>
          </w:p>
          <w:p>
            <w:pPr>
              <w:pStyle w:val="TableParagraph"/>
              <w:spacing w:before="9"/>
              <w:rPr>
                <w:sz w:val="23"/>
              </w:rPr>
            </w:pPr>
          </w:p>
          <w:p>
            <w:pPr>
              <w:pStyle w:val="TableParagraph"/>
              <w:spacing w:line="170" w:lineRule="exact"/>
              <w:ind w:left="194" w:right="181"/>
              <w:jc w:val="center"/>
              <w:rPr>
                <w:sz w:val="16"/>
              </w:rPr>
            </w:pPr>
            <w:r>
              <w:rPr>
                <w:sz w:val="16"/>
              </w:rPr>
              <w:t>H (= A)</w:t>
            </w:r>
          </w:p>
        </w:tc>
        <w:tc>
          <w:tcPr>
            <w:tcW w:w="1480" w:type="dxa"/>
            <w:vMerge w:val="restart"/>
            <w:shd w:val="clear" w:color="auto" w:fill="E4E4E4"/>
          </w:tcPr>
          <w:p>
            <w:pPr>
              <w:pStyle w:val="TableParagraph"/>
              <w:spacing w:before="23"/>
              <w:ind w:left="138" w:right="120" w:hanging="3"/>
              <w:jc w:val="center"/>
              <w:rPr>
                <w:sz w:val="16"/>
              </w:rPr>
            </w:pPr>
            <w:r>
              <w:rPr>
                <w:sz w:val="16"/>
              </w:rPr>
              <w:t>Stock change factor for land use or land-use change type T years prior to the inventory year, (see Table 3.3.4)</w:t>
            </w:r>
          </w:p>
          <w:p>
            <w:pPr>
              <w:pStyle w:val="TableParagraph"/>
              <w:spacing w:before="11"/>
              <w:rPr>
                <w:sz w:val="15"/>
              </w:rPr>
            </w:pPr>
          </w:p>
          <w:p>
            <w:pPr>
              <w:pStyle w:val="TableParagraph"/>
              <w:ind w:left="216" w:right="200"/>
              <w:jc w:val="center"/>
              <w:rPr>
                <w:sz w:val="16"/>
              </w:rPr>
            </w:pPr>
            <w:r>
              <w:rPr>
                <w:sz w:val="16"/>
              </w:rPr>
              <w:t>(dimensionless)</w:t>
            </w:r>
          </w:p>
          <w:p>
            <w:pPr>
              <w:pStyle w:val="TableParagraph"/>
              <w:rPr>
                <w:sz w:val="18"/>
              </w:rPr>
            </w:pPr>
          </w:p>
          <w:p>
            <w:pPr>
              <w:pStyle w:val="TableParagraph"/>
              <w:rPr>
                <w:sz w:val="18"/>
              </w:rPr>
            </w:pPr>
          </w:p>
          <w:p>
            <w:pPr>
              <w:pStyle w:val="TableParagraph"/>
              <w:spacing w:line="170" w:lineRule="exact" w:before="136"/>
              <w:ind w:left="17"/>
              <w:jc w:val="center"/>
              <w:rPr>
                <w:sz w:val="16"/>
              </w:rPr>
            </w:pPr>
            <w:r>
              <w:rPr>
                <w:w w:val="100"/>
                <w:sz w:val="16"/>
              </w:rPr>
              <w:t>I</w:t>
            </w:r>
          </w:p>
        </w:tc>
        <w:tc>
          <w:tcPr>
            <w:tcW w:w="1516" w:type="dxa"/>
            <w:vMerge w:val="restart"/>
            <w:shd w:val="clear" w:color="auto" w:fill="E4E4E4"/>
          </w:tcPr>
          <w:p>
            <w:pPr>
              <w:pStyle w:val="TableParagraph"/>
              <w:spacing w:before="23"/>
              <w:ind w:left="126" w:right="109"/>
              <w:jc w:val="center"/>
              <w:rPr>
                <w:sz w:val="16"/>
              </w:rPr>
            </w:pPr>
            <w:r>
              <w:rPr>
                <w:sz w:val="16"/>
              </w:rPr>
              <w:t>Stock change</w:t>
            </w:r>
            <w:r>
              <w:rPr>
                <w:spacing w:val="-10"/>
                <w:sz w:val="16"/>
              </w:rPr>
              <w:t> </w:t>
            </w:r>
            <w:r>
              <w:rPr>
                <w:sz w:val="16"/>
              </w:rPr>
              <w:t>factor for management regime T years prior to the inventory</w:t>
            </w:r>
            <w:r>
              <w:rPr>
                <w:spacing w:val="-3"/>
                <w:sz w:val="16"/>
              </w:rPr>
              <w:t> </w:t>
            </w:r>
            <w:r>
              <w:rPr>
                <w:sz w:val="16"/>
              </w:rPr>
              <w:t>year</w:t>
            </w:r>
          </w:p>
          <w:p>
            <w:pPr>
              <w:pStyle w:val="TableParagraph"/>
              <w:spacing w:line="480" w:lineRule="auto"/>
              <w:ind w:left="220" w:right="203"/>
              <w:jc w:val="center"/>
              <w:rPr>
                <w:sz w:val="16"/>
              </w:rPr>
            </w:pPr>
            <w:r>
              <w:rPr>
                <w:sz w:val="16"/>
              </w:rPr>
              <w:t>(see Table 3.3.4) (dimensionless)</w:t>
            </w:r>
          </w:p>
          <w:p>
            <w:pPr>
              <w:pStyle w:val="TableParagraph"/>
              <w:rPr>
                <w:sz w:val="18"/>
              </w:rPr>
            </w:pPr>
          </w:p>
          <w:p>
            <w:pPr>
              <w:pStyle w:val="TableParagraph"/>
              <w:rPr>
                <w:sz w:val="18"/>
              </w:rPr>
            </w:pPr>
          </w:p>
          <w:p>
            <w:pPr>
              <w:pStyle w:val="TableParagraph"/>
              <w:spacing w:line="170" w:lineRule="exact" w:before="136"/>
              <w:ind w:left="15"/>
              <w:jc w:val="center"/>
              <w:rPr>
                <w:sz w:val="16"/>
              </w:rPr>
            </w:pPr>
            <w:r>
              <w:rPr>
                <w:w w:val="100"/>
                <w:sz w:val="16"/>
              </w:rPr>
              <w:t>J</w:t>
            </w:r>
          </w:p>
        </w:tc>
        <w:tc>
          <w:tcPr>
            <w:tcW w:w="1482" w:type="dxa"/>
            <w:vMerge w:val="restart"/>
            <w:shd w:val="clear" w:color="auto" w:fill="E4E4E4"/>
          </w:tcPr>
          <w:p>
            <w:pPr>
              <w:pStyle w:val="TableParagraph"/>
              <w:spacing w:before="23"/>
              <w:ind w:left="259" w:right="239" w:hanging="4"/>
              <w:jc w:val="center"/>
              <w:rPr>
                <w:sz w:val="16"/>
              </w:rPr>
            </w:pPr>
            <w:r>
              <w:rPr>
                <w:sz w:val="16"/>
              </w:rPr>
              <w:t>Stock change factor for input</w:t>
            </w:r>
          </w:p>
          <w:p>
            <w:pPr>
              <w:pStyle w:val="TableParagraph"/>
              <w:ind w:left="199" w:right="88" w:hanging="75"/>
              <w:rPr>
                <w:sz w:val="16"/>
              </w:rPr>
            </w:pPr>
            <w:r>
              <w:rPr>
                <w:sz w:val="16"/>
              </w:rPr>
              <w:t>of organic matter T years prior to the inventory year (see Table</w:t>
            </w:r>
            <w:r>
              <w:rPr>
                <w:spacing w:val="-1"/>
                <w:sz w:val="16"/>
              </w:rPr>
              <w:t> </w:t>
            </w:r>
            <w:r>
              <w:rPr>
                <w:sz w:val="16"/>
              </w:rPr>
              <w:t>3.3.4)</w:t>
            </w:r>
          </w:p>
          <w:p>
            <w:pPr>
              <w:pStyle w:val="TableParagraph"/>
              <w:spacing w:before="10"/>
              <w:rPr>
                <w:sz w:val="15"/>
              </w:rPr>
            </w:pPr>
          </w:p>
          <w:p>
            <w:pPr>
              <w:pStyle w:val="TableParagraph"/>
              <w:ind w:left="217" w:right="200"/>
              <w:jc w:val="center"/>
              <w:rPr>
                <w:sz w:val="16"/>
              </w:rPr>
            </w:pPr>
            <w:r>
              <w:rPr>
                <w:sz w:val="16"/>
              </w:rPr>
              <w:t>(dimensionless)</w:t>
            </w:r>
          </w:p>
          <w:p>
            <w:pPr>
              <w:pStyle w:val="TableParagraph"/>
              <w:rPr>
                <w:sz w:val="18"/>
              </w:rPr>
            </w:pPr>
          </w:p>
          <w:p>
            <w:pPr>
              <w:pStyle w:val="TableParagraph"/>
              <w:rPr>
                <w:sz w:val="18"/>
              </w:rPr>
            </w:pPr>
          </w:p>
          <w:p>
            <w:pPr>
              <w:pStyle w:val="TableParagraph"/>
              <w:rPr>
                <w:sz w:val="18"/>
              </w:rPr>
            </w:pPr>
          </w:p>
          <w:p>
            <w:pPr>
              <w:pStyle w:val="TableParagraph"/>
              <w:spacing w:line="170" w:lineRule="exact" w:before="114"/>
              <w:ind w:left="18"/>
              <w:jc w:val="center"/>
              <w:rPr>
                <w:sz w:val="16"/>
              </w:rPr>
            </w:pPr>
            <w:r>
              <w:rPr>
                <w:w w:val="100"/>
                <w:sz w:val="16"/>
              </w:rPr>
              <w:t>K</w:t>
            </w:r>
          </w:p>
        </w:tc>
        <w:tc>
          <w:tcPr>
            <w:tcW w:w="1412" w:type="dxa"/>
            <w:vMerge w:val="restart"/>
            <w:shd w:val="clear" w:color="auto" w:fill="E4E4E4"/>
          </w:tcPr>
          <w:p>
            <w:pPr>
              <w:pStyle w:val="TableParagraph"/>
              <w:spacing w:before="23"/>
              <w:ind w:left="167" w:right="141" w:hanging="5"/>
              <w:jc w:val="center"/>
              <w:rPr>
                <w:sz w:val="16"/>
              </w:rPr>
            </w:pPr>
            <w:r>
              <w:rPr>
                <w:sz w:val="16"/>
              </w:rPr>
              <w:t>Soil organic carbon stocks T years prior to the inventory year</w:t>
            </w:r>
          </w:p>
          <w:p>
            <w:pPr>
              <w:pStyle w:val="TableParagraph"/>
              <w:spacing w:before="11"/>
              <w:rPr>
                <w:sz w:val="15"/>
              </w:rPr>
            </w:pPr>
          </w:p>
          <w:p>
            <w:pPr>
              <w:pStyle w:val="TableParagraph"/>
              <w:spacing w:line="494" w:lineRule="auto"/>
              <w:ind w:left="215" w:right="146" w:hanging="46"/>
              <w:jc w:val="center"/>
              <w:rPr>
                <w:sz w:val="16"/>
              </w:rPr>
            </w:pPr>
            <w:r>
              <w:rPr>
                <w:sz w:val="16"/>
              </w:rPr>
              <w:t>(tonnes C ha</w:t>
            </w:r>
            <w:r>
              <w:rPr>
                <w:sz w:val="16"/>
                <w:vertAlign w:val="superscript"/>
              </w:rPr>
              <w:t>-1</w:t>
            </w:r>
            <w:r>
              <w:rPr>
                <w:sz w:val="16"/>
                <w:vertAlign w:val="baseline"/>
              </w:rPr>
              <w:t>)  L = H </w:t>
            </w:r>
            <w:r>
              <w:rPr>
                <w:rFonts w:ascii="Symbol" w:hAnsi="Symbol"/>
                <w:sz w:val="16"/>
                <w:vertAlign w:val="baseline"/>
              </w:rPr>
              <w:t>• </w:t>
            </w:r>
            <w:r>
              <w:rPr>
                <w:sz w:val="16"/>
                <w:vertAlign w:val="baseline"/>
              </w:rPr>
              <w:t>I </w:t>
            </w:r>
            <w:r>
              <w:rPr>
                <w:rFonts w:ascii="Symbol" w:hAnsi="Symbol"/>
                <w:sz w:val="16"/>
                <w:vertAlign w:val="baseline"/>
              </w:rPr>
              <w:t>• </w:t>
            </w:r>
            <w:r>
              <w:rPr>
                <w:sz w:val="16"/>
                <w:vertAlign w:val="baseline"/>
              </w:rPr>
              <w:t>J </w:t>
            </w:r>
            <w:r>
              <w:rPr>
                <w:rFonts w:ascii="Symbol" w:hAnsi="Symbol"/>
                <w:spacing w:val="-11"/>
                <w:sz w:val="16"/>
                <w:vertAlign w:val="baseline"/>
              </w:rPr>
              <w:t>•</w:t>
            </w:r>
            <w:r>
              <w:rPr>
                <w:spacing w:val="-11"/>
                <w:sz w:val="16"/>
                <w:vertAlign w:val="baseline"/>
              </w:rPr>
              <w:t>K</w:t>
            </w:r>
          </w:p>
          <w:p>
            <w:pPr>
              <w:pStyle w:val="TableParagraph"/>
              <w:rPr>
                <w:sz w:val="20"/>
              </w:rPr>
            </w:pPr>
          </w:p>
          <w:p>
            <w:pPr>
              <w:pStyle w:val="TableParagraph"/>
              <w:spacing w:before="9"/>
              <w:rPr>
                <w:sz w:val="24"/>
              </w:rPr>
            </w:pPr>
          </w:p>
          <w:p>
            <w:pPr>
              <w:pStyle w:val="TableParagraph"/>
              <w:spacing w:line="170" w:lineRule="exact"/>
              <w:ind w:left="25"/>
              <w:jc w:val="center"/>
              <w:rPr>
                <w:sz w:val="16"/>
              </w:rPr>
            </w:pPr>
            <w:r>
              <w:rPr>
                <w:w w:val="100"/>
                <w:sz w:val="16"/>
              </w:rPr>
              <w:t>L</w:t>
            </w:r>
          </w:p>
        </w:tc>
        <w:tc>
          <w:tcPr>
            <w:tcW w:w="1395" w:type="dxa"/>
            <w:vMerge w:val="restart"/>
            <w:shd w:val="clear" w:color="auto" w:fill="E4E4E4"/>
          </w:tcPr>
          <w:p>
            <w:pPr>
              <w:pStyle w:val="TableParagraph"/>
              <w:spacing w:before="23"/>
              <w:ind w:left="137" w:right="116"/>
              <w:jc w:val="center"/>
              <w:rPr>
                <w:sz w:val="16"/>
              </w:rPr>
            </w:pPr>
            <w:r>
              <w:rPr>
                <w:sz w:val="16"/>
              </w:rPr>
              <w:t>Annual change in carbon stocks in soil organic matter in mineral soils</w:t>
            </w:r>
          </w:p>
          <w:p>
            <w:pPr>
              <w:pStyle w:val="TableParagraph"/>
              <w:spacing w:line="380" w:lineRule="exact" w:before="29"/>
              <w:ind w:left="181" w:right="162" w:firstLine="8"/>
              <w:jc w:val="center"/>
              <w:rPr>
                <w:sz w:val="16"/>
              </w:rPr>
            </w:pPr>
            <w:r>
              <w:rPr>
                <w:sz w:val="16"/>
              </w:rPr>
              <w:t>(tonnes C yr</w:t>
            </w:r>
            <w:r>
              <w:rPr>
                <w:sz w:val="16"/>
                <w:vertAlign w:val="superscript"/>
              </w:rPr>
              <w:t>-1</w:t>
            </w:r>
            <w:r>
              <w:rPr>
                <w:sz w:val="16"/>
                <w:vertAlign w:val="baseline"/>
              </w:rPr>
              <w:t>) M = [(E-L) </w:t>
            </w:r>
            <w:r>
              <w:rPr>
                <w:rFonts w:ascii="Symbol" w:hAnsi="Symbol"/>
                <w:sz w:val="16"/>
                <w:vertAlign w:val="baseline"/>
              </w:rPr>
              <w:t>• </w:t>
            </w:r>
            <w:r>
              <w:rPr>
                <w:spacing w:val="-11"/>
                <w:sz w:val="16"/>
                <w:vertAlign w:val="baseline"/>
              </w:rPr>
              <w:t>G]</w:t>
            </w:r>
          </w:p>
          <w:p>
            <w:pPr>
              <w:pStyle w:val="TableParagraph"/>
              <w:spacing w:line="143" w:lineRule="exact"/>
              <w:ind w:left="137" w:right="72"/>
              <w:jc w:val="center"/>
              <w:rPr>
                <w:sz w:val="16"/>
              </w:rPr>
            </w:pPr>
            <w:r>
              <w:rPr>
                <w:sz w:val="16"/>
              </w:rPr>
              <w:t>/ F</w:t>
            </w:r>
          </w:p>
          <w:p>
            <w:pPr>
              <w:pStyle w:val="TableParagraph"/>
              <w:rPr>
                <w:sz w:val="18"/>
              </w:rPr>
            </w:pPr>
          </w:p>
          <w:p>
            <w:pPr>
              <w:pStyle w:val="TableParagraph"/>
              <w:spacing w:line="170" w:lineRule="exact" w:before="147"/>
              <w:ind w:left="22"/>
              <w:jc w:val="center"/>
              <w:rPr>
                <w:sz w:val="16"/>
              </w:rPr>
            </w:pPr>
            <w:r>
              <w:rPr>
                <w:w w:val="100"/>
                <w:sz w:val="16"/>
              </w:rPr>
              <w:t>M</w:t>
            </w:r>
          </w:p>
        </w:tc>
      </w:tr>
      <w:tr>
        <w:trPr>
          <w:trHeight w:val="2013" w:hRule="atLeast"/>
        </w:trPr>
        <w:tc>
          <w:tcPr>
            <w:tcW w:w="1433" w:type="dxa"/>
            <w:shd w:val="clear" w:color="auto" w:fill="E4E4E4"/>
          </w:tcPr>
          <w:p>
            <w:pPr>
              <w:pStyle w:val="TableParagraph"/>
              <w:spacing w:before="23"/>
              <w:ind w:left="213"/>
              <w:rPr>
                <w:sz w:val="16"/>
              </w:rPr>
            </w:pPr>
            <w:r>
              <w:rPr>
                <w:sz w:val="16"/>
              </w:rPr>
              <w:t>Initial Land use</w:t>
            </w:r>
          </w:p>
        </w:tc>
        <w:tc>
          <w:tcPr>
            <w:tcW w:w="979" w:type="dxa"/>
            <w:shd w:val="clear" w:color="auto" w:fill="E4E4E4"/>
          </w:tcPr>
          <w:p>
            <w:pPr>
              <w:pStyle w:val="TableParagraph"/>
              <w:spacing w:before="23"/>
              <w:ind w:left="74" w:right="65"/>
              <w:jc w:val="center"/>
              <w:rPr>
                <w:sz w:val="16"/>
              </w:rPr>
            </w:pPr>
            <w:r>
              <w:rPr>
                <w:sz w:val="16"/>
              </w:rPr>
              <w:t>Land use during reporting Year</w:t>
            </w:r>
          </w:p>
        </w:tc>
        <w:tc>
          <w:tcPr>
            <w:tcW w:w="1063" w:type="dxa"/>
            <w:vMerge/>
            <w:tcBorders>
              <w:top w:val="nil"/>
            </w:tcBorders>
            <w:shd w:val="clear" w:color="auto" w:fill="E4E4E4"/>
          </w:tcPr>
          <w:p>
            <w:pPr>
              <w:rPr>
                <w:sz w:val="2"/>
                <w:szCs w:val="2"/>
              </w:rPr>
            </w:pPr>
          </w:p>
        </w:tc>
        <w:tc>
          <w:tcPr>
            <w:tcW w:w="1101" w:type="dxa"/>
            <w:vMerge/>
            <w:tcBorders>
              <w:top w:val="nil"/>
            </w:tcBorders>
            <w:shd w:val="clear" w:color="auto" w:fill="E4E4E4"/>
          </w:tcPr>
          <w:p>
            <w:pPr>
              <w:rPr>
                <w:sz w:val="2"/>
                <w:szCs w:val="2"/>
              </w:rPr>
            </w:pPr>
          </w:p>
        </w:tc>
        <w:tc>
          <w:tcPr>
            <w:tcW w:w="1233" w:type="dxa"/>
            <w:vMerge/>
            <w:tcBorders>
              <w:top w:val="nil"/>
            </w:tcBorders>
            <w:shd w:val="clear" w:color="auto" w:fill="E4E4E4"/>
          </w:tcPr>
          <w:p>
            <w:pPr>
              <w:rPr>
                <w:sz w:val="2"/>
                <w:szCs w:val="2"/>
              </w:rPr>
            </w:pPr>
          </w:p>
        </w:tc>
        <w:tc>
          <w:tcPr>
            <w:tcW w:w="1514" w:type="dxa"/>
            <w:vMerge/>
            <w:tcBorders>
              <w:top w:val="nil"/>
            </w:tcBorders>
            <w:shd w:val="clear" w:color="auto" w:fill="E4E4E4"/>
          </w:tcPr>
          <w:p>
            <w:pPr>
              <w:rPr>
                <w:sz w:val="2"/>
                <w:szCs w:val="2"/>
              </w:rPr>
            </w:pPr>
          </w:p>
        </w:tc>
        <w:tc>
          <w:tcPr>
            <w:tcW w:w="1480" w:type="dxa"/>
            <w:vMerge/>
            <w:tcBorders>
              <w:top w:val="nil"/>
            </w:tcBorders>
            <w:shd w:val="clear" w:color="auto" w:fill="E4E4E4"/>
          </w:tcPr>
          <w:p>
            <w:pPr>
              <w:rPr>
                <w:sz w:val="2"/>
                <w:szCs w:val="2"/>
              </w:rPr>
            </w:pPr>
          </w:p>
        </w:tc>
        <w:tc>
          <w:tcPr>
            <w:tcW w:w="1516" w:type="dxa"/>
            <w:vMerge/>
            <w:tcBorders>
              <w:top w:val="nil"/>
            </w:tcBorders>
            <w:shd w:val="clear" w:color="auto" w:fill="E4E4E4"/>
          </w:tcPr>
          <w:p>
            <w:pPr>
              <w:rPr>
                <w:sz w:val="2"/>
                <w:szCs w:val="2"/>
              </w:rPr>
            </w:pPr>
          </w:p>
        </w:tc>
        <w:tc>
          <w:tcPr>
            <w:tcW w:w="1482" w:type="dxa"/>
            <w:vMerge/>
            <w:tcBorders>
              <w:top w:val="nil"/>
            </w:tcBorders>
            <w:shd w:val="clear" w:color="auto" w:fill="E4E4E4"/>
          </w:tcPr>
          <w:p>
            <w:pPr>
              <w:rPr>
                <w:sz w:val="2"/>
                <w:szCs w:val="2"/>
              </w:rPr>
            </w:pPr>
          </w:p>
        </w:tc>
        <w:tc>
          <w:tcPr>
            <w:tcW w:w="1412" w:type="dxa"/>
            <w:vMerge/>
            <w:tcBorders>
              <w:top w:val="nil"/>
            </w:tcBorders>
            <w:shd w:val="clear" w:color="auto" w:fill="E4E4E4"/>
          </w:tcPr>
          <w:p>
            <w:pPr>
              <w:rPr>
                <w:sz w:val="2"/>
                <w:szCs w:val="2"/>
              </w:rPr>
            </w:pPr>
          </w:p>
        </w:tc>
        <w:tc>
          <w:tcPr>
            <w:tcW w:w="1395" w:type="dxa"/>
            <w:vMerge/>
            <w:tcBorders>
              <w:top w:val="nil"/>
            </w:tcBorders>
            <w:shd w:val="clear" w:color="auto" w:fill="E4E4E4"/>
          </w:tcPr>
          <w:p>
            <w:pPr>
              <w:rPr>
                <w:sz w:val="2"/>
                <w:szCs w:val="2"/>
              </w:rPr>
            </w:pPr>
          </w:p>
        </w:tc>
      </w:tr>
      <w:tr>
        <w:trPr>
          <w:trHeight w:val="239" w:hRule="atLeast"/>
        </w:trPr>
        <w:tc>
          <w:tcPr>
            <w:tcW w:w="1433" w:type="dxa"/>
          </w:tcPr>
          <w:p>
            <w:pPr>
              <w:pStyle w:val="TableParagraph"/>
              <w:spacing w:before="23"/>
              <w:ind w:left="107"/>
              <w:rPr>
                <w:sz w:val="16"/>
              </w:rPr>
            </w:pPr>
            <w:r>
              <w:rPr>
                <w:sz w:val="16"/>
              </w:rPr>
              <w:t>FL, CL, GL, WL</w:t>
            </w:r>
          </w:p>
        </w:tc>
        <w:tc>
          <w:tcPr>
            <w:tcW w:w="979" w:type="dxa"/>
          </w:tcPr>
          <w:p>
            <w:pPr>
              <w:pStyle w:val="TableParagraph"/>
              <w:spacing w:before="23"/>
              <w:ind w:left="107"/>
              <w:rPr>
                <w:sz w:val="16"/>
              </w:rPr>
            </w:pPr>
            <w:r>
              <w:rPr>
                <w:sz w:val="16"/>
              </w:rPr>
              <w:t>OL</w:t>
            </w:r>
          </w:p>
        </w:tc>
        <w:tc>
          <w:tcPr>
            <w:tcW w:w="1063" w:type="dxa"/>
          </w:tcPr>
          <w:p>
            <w:pPr>
              <w:pStyle w:val="TableParagraph"/>
              <w:spacing w:before="23"/>
              <w:ind w:left="107"/>
              <w:rPr>
                <w:sz w:val="16"/>
              </w:rPr>
            </w:pPr>
            <w:r>
              <w:rPr>
                <w:sz w:val="16"/>
              </w:rPr>
              <w:t>(a)</w:t>
            </w: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9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spacing w:before="52"/>
              <w:ind w:left="107"/>
              <w:rPr>
                <w:sz w:val="16"/>
              </w:rPr>
            </w:pPr>
            <w:r>
              <w:rPr>
                <w:sz w:val="16"/>
              </w:rPr>
              <w:t>(b)</w:t>
            </w:r>
          </w:p>
        </w:tc>
        <w:tc>
          <w:tcPr>
            <w:tcW w:w="1101" w:type="dxa"/>
          </w:tcPr>
          <w:p>
            <w:pPr>
              <w:pStyle w:val="TableParagraph"/>
              <w:spacing w:before="54"/>
              <w:ind w:left="9"/>
              <w:jc w:val="center"/>
              <w:rPr>
                <w:b/>
                <w:sz w:val="16"/>
              </w:rPr>
            </w:pPr>
            <w:r>
              <w:rPr>
                <w:b/>
                <w:w w:val="100"/>
                <w:sz w:val="16"/>
              </w:rPr>
              <w:t>T</w:t>
            </w:r>
          </w:p>
        </w:tc>
        <w:tc>
          <w:tcPr>
            <w:tcW w:w="1233" w:type="dxa"/>
          </w:tcPr>
          <w:p>
            <w:pPr>
              <w:pStyle w:val="TableParagraph"/>
              <w:spacing w:before="54"/>
              <w:ind w:left="12"/>
              <w:jc w:val="center"/>
              <w:rPr>
                <w:b/>
                <w:sz w:val="16"/>
              </w:rPr>
            </w:pPr>
            <w:r>
              <w:rPr>
                <w:b/>
                <w:w w:val="100"/>
                <w:sz w:val="16"/>
              </w:rPr>
              <w:t>A</w:t>
            </w:r>
          </w:p>
        </w:tc>
        <w:tc>
          <w:tcPr>
            <w:tcW w:w="1514" w:type="dxa"/>
          </w:tcPr>
          <w:p>
            <w:pPr>
              <w:pStyle w:val="TableParagraph"/>
              <w:spacing w:before="53"/>
              <w:ind w:left="191" w:right="181"/>
              <w:jc w:val="center"/>
              <w:rPr>
                <w:b/>
                <w:sz w:val="10"/>
              </w:rPr>
            </w:pPr>
            <w:r>
              <w:rPr>
                <w:b/>
                <w:position w:val="2"/>
                <w:sz w:val="16"/>
              </w:rPr>
              <w:t>SOC</w:t>
            </w:r>
            <w:r>
              <w:rPr>
                <w:b/>
                <w:sz w:val="10"/>
              </w:rPr>
              <w:t>Ref</w:t>
            </w:r>
          </w:p>
        </w:tc>
        <w:tc>
          <w:tcPr>
            <w:tcW w:w="1480" w:type="dxa"/>
          </w:tcPr>
          <w:p>
            <w:pPr>
              <w:pStyle w:val="TableParagraph"/>
              <w:spacing w:before="53"/>
              <w:ind w:left="216" w:right="200"/>
              <w:jc w:val="center"/>
              <w:rPr>
                <w:b/>
                <w:sz w:val="10"/>
              </w:rPr>
            </w:pPr>
            <w:r>
              <w:rPr>
                <w:b/>
                <w:position w:val="2"/>
                <w:sz w:val="16"/>
              </w:rPr>
              <w:t>F</w:t>
            </w:r>
            <w:r>
              <w:rPr>
                <w:b/>
                <w:sz w:val="10"/>
              </w:rPr>
              <w:t>LU(0-T)</w:t>
            </w:r>
          </w:p>
        </w:tc>
        <w:tc>
          <w:tcPr>
            <w:tcW w:w="1516" w:type="dxa"/>
          </w:tcPr>
          <w:p>
            <w:pPr>
              <w:pStyle w:val="TableParagraph"/>
              <w:spacing w:before="53"/>
              <w:ind w:left="515"/>
              <w:rPr>
                <w:b/>
                <w:sz w:val="10"/>
              </w:rPr>
            </w:pPr>
            <w:r>
              <w:rPr>
                <w:b/>
                <w:position w:val="2"/>
                <w:sz w:val="16"/>
              </w:rPr>
              <w:t>F</w:t>
            </w:r>
            <w:r>
              <w:rPr>
                <w:b/>
                <w:sz w:val="10"/>
              </w:rPr>
              <w:t>MG(0-T)</w:t>
            </w:r>
          </w:p>
        </w:tc>
        <w:tc>
          <w:tcPr>
            <w:tcW w:w="1482" w:type="dxa"/>
          </w:tcPr>
          <w:p>
            <w:pPr>
              <w:pStyle w:val="TableParagraph"/>
              <w:spacing w:before="53"/>
              <w:ind w:left="217" w:right="200"/>
              <w:jc w:val="center"/>
              <w:rPr>
                <w:b/>
                <w:sz w:val="10"/>
              </w:rPr>
            </w:pPr>
            <w:r>
              <w:rPr>
                <w:b/>
                <w:position w:val="2"/>
                <w:sz w:val="16"/>
              </w:rPr>
              <w:t>F</w:t>
            </w:r>
            <w:r>
              <w:rPr>
                <w:b/>
                <w:sz w:val="10"/>
              </w:rPr>
              <w:t>I(0-T)</w:t>
            </w:r>
          </w:p>
        </w:tc>
        <w:tc>
          <w:tcPr>
            <w:tcW w:w="1412" w:type="dxa"/>
          </w:tcPr>
          <w:p>
            <w:pPr>
              <w:pStyle w:val="TableParagraph"/>
              <w:spacing w:before="53"/>
              <w:ind w:left="438"/>
              <w:rPr>
                <w:b/>
                <w:sz w:val="10"/>
              </w:rPr>
            </w:pPr>
            <w:r>
              <w:rPr>
                <w:b/>
                <w:position w:val="2"/>
                <w:sz w:val="16"/>
              </w:rPr>
              <w:t>SOC</w:t>
            </w:r>
            <w:r>
              <w:rPr>
                <w:b/>
                <w:sz w:val="10"/>
              </w:rPr>
              <w:t>(0-T)</w:t>
            </w:r>
          </w:p>
        </w:tc>
        <w:tc>
          <w:tcPr>
            <w:tcW w:w="1395" w:type="dxa"/>
            <w:shd w:val="clear" w:color="auto" w:fill="D5D5D5"/>
          </w:tcPr>
          <w:p>
            <w:pPr>
              <w:pStyle w:val="TableParagraph"/>
              <w:tabs>
                <w:tab w:pos="1105" w:val="right" w:leader="none"/>
              </w:tabs>
              <w:spacing w:line="177" w:lineRule="exact" w:before="11"/>
              <w:ind w:left="301"/>
              <w:rPr>
                <w:b/>
                <w:sz w:val="10"/>
              </w:rPr>
            </w:pPr>
            <w:r>
              <w:rPr>
                <w:b/>
                <w:position w:val="2"/>
                <w:sz w:val="16"/>
              </w:rPr>
              <w:t>∆C</w:t>
            </w:r>
            <w:r>
              <w:rPr>
                <w:b/>
                <w:sz w:val="10"/>
              </w:rPr>
              <w:t>LO</w:t>
              <w:tab/>
            </w:r>
            <w:r>
              <w:rPr>
                <w:b/>
                <w:position w:val="9"/>
                <w:sz w:val="10"/>
              </w:rPr>
              <w:t>1</w:t>
            </w:r>
          </w:p>
          <w:p>
            <w:pPr>
              <w:pStyle w:val="TableParagraph"/>
              <w:spacing w:line="87" w:lineRule="exact"/>
              <w:ind w:left="658"/>
              <w:rPr>
                <w:b/>
                <w:sz w:val="10"/>
              </w:rPr>
            </w:pPr>
            <w:r>
              <w:rPr>
                <w:b/>
                <w:sz w:val="10"/>
              </w:rPr>
              <w:t>Mineral</w:t>
            </w:r>
          </w:p>
        </w:tc>
      </w:tr>
      <w:tr>
        <w:trPr>
          <w:trHeight w:val="23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spacing w:before="23"/>
              <w:ind w:left="107"/>
              <w:rPr>
                <w:sz w:val="16"/>
              </w:rPr>
            </w:pPr>
            <w:r>
              <w:rPr>
                <w:sz w:val="16"/>
              </w:rPr>
              <w:t>(c)</w:t>
            </w: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3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spacing w:before="23"/>
              <w:ind w:left="107"/>
              <w:rPr>
                <w:sz w:val="16"/>
              </w:rPr>
            </w:pPr>
            <w:r>
              <w:rPr>
                <w:sz w:val="16"/>
              </w:rPr>
              <w:t>Sub-total</w:t>
            </w: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3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rPr>
                <w:sz w:val="16"/>
              </w:rPr>
            </w:pP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3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rPr>
                <w:sz w:val="16"/>
              </w:rPr>
            </w:pP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3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rPr>
                <w:sz w:val="16"/>
              </w:rPr>
            </w:pP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3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rPr>
                <w:sz w:val="16"/>
              </w:rPr>
            </w:pP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42"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rPr>
                <w:sz w:val="16"/>
              </w:rPr>
            </w:pP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3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rPr>
                <w:sz w:val="16"/>
              </w:rPr>
            </w:pP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3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rPr>
                <w:sz w:val="16"/>
              </w:rPr>
            </w:pP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39" w:hRule="atLeast"/>
        </w:trPr>
        <w:tc>
          <w:tcPr>
            <w:tcW w:w="1433" w:type="dxa"/>
          </w:tcPr>
          <w:p>
            <w:pPr>
              <w:pStyle w:val="TableParagraph"/>
              <w:rPr>
                <w:sz w:val="16"/>
              </w:rPr>
            </w:pPr>
          </w:p>
        </w:tc>
        <w:tc>
          <w:tcPr>
            <w:tcW w:w="979" w:type="dxa"/>
          </w:tcPr>
          <w:p>
            <w:pPr>
              <w:pStyle w:val="TableParagraph"/>
              <w:rPr>
                <w:sz w:val="16"/>
              </w:rPr>
            </w:pPr>
          </w:p>
        </w:tc>
        <w:tc>
          <w:tcPr>
            <w:tcW w:w="1063" w:type="dxa"/>
          </w:tcPr>
          <w:p>
            <w:pPr>
              <w:pStyle w:val="TableParagraph"/>
              <w:rPr>
                <w:sz w:val="16"/>
              </w:rPr>
            </w:pP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239" w:hRule="atLeast"/>
        </w:trPr>
        <w:tc>
          <w:tcPr>
            <w:tcW w:w="1433" w:type="dxa"/>
          </w:tcPr>
          <w:p>
            <w:pPr>
              <w:pStyle w:val="TableParagraph"/>
              <w:spacing w:before="25"/>
              <w:ind w:left="107"/>
              <w:rPr>
                <w:b/>
                <w:sz w:val="16"/>
              </w:rPr>
            </w:pPr>
            <w:r>
              <w:rPr>
                <w:b/>
                <w:sz w:val="16"/>
              </w:rPr>
              <w:t>Total</w:t>
            </w:r>
          </w:p>
        </w:tc>
        <w:tc>
          <w:tcPr>
            <w:tcW w:w="979" w:type="dxa"/>
          </w:tcPr>
          <w:p>
            <w:pPr>
              <w:pStyle w:val="TableParagraph"/>
              <w:rPr>
                <w:sz w:val="16"/>
              </w:rPr>
            </w:pPr>
          </w:p>
        </w:tc>
        <w:tc>
          <w:tcPr>
            <w:tcW w:w="1063" w:type="dxa"/>
          </w:tcPr>
          <w:p>
            <w:pPr>
              <w:pStyle w:val="TableParagraph"/>
              <w:rPr>
                <w:sz w:val="16"/>
              </w:rPr>
            </w:pPr>
          </w:p>
        </w:tc>
        <w:tc>
          <w:tcPr>
            <w:tcW w:w="1101" w:type="dxa"/>
          </w:tcPr>
          <w:p>
            <w:pPr>
              <w:pStyle w:val="TableParagraph"/>
              <w:rPr>
                <w:sz w:val="16"/>
              </w:rPr>
            </w:pPr>
          </w:p>
        </w:tc>
        <w:tc>
          <w:tcPr>
            <w:tcW w:w="1233" w:type="dxa"/>
          </w:tcPr>
          <w:p>
            <w:pPr>
              <w:pStyle w:val="TableParagraph"/>
              <w:rPr>
                <w:sz w:val="16"/>
              </w:rPr>
            </w:pPr>
          </w:p>
        </w:tc>
        <w:tc>
          <w:tcPr>
            <w:tcW w:w="1514" w:type="dxa"/>
          </w:tcPr>
          <w:p>
            <w:pPr>
              <w:pStyle w:val="TableParagraph"/>
              <w:rPr>
                <w:sz w:val="16"/>
              </w:rPr>
            </w:pPr>
          </w:p>
        </w:tc>
        <w:tc>
          <w:tcPr>
            <w:tcW w:w="1480" w:type="dxa"/>
          </w:tcPr>
          <w:p>
            <w:pPr>
              <w:pStyle w:val="TableParagraph"/>
              <w:rPr>
                <w:sz w:val="16"/>
              </w:rPr>
            </w:pPr>
          </w:p>
        </w:tc>
        <w:tc>
          <w:tcPr>
            <w:tcW w:w="1516" w:type="dxa"/>
          </w:tcPr>
          <w:p>
            <w:pPr>
              <w:pStyle w:val="TableParagraph"/>
              <w:rPr>
                <w:sz w:val="16"/>
              </w:rPr>
            </w:pPr>
          </w:p>
        </w:tc>
        <w:tc>
          <w:tcPr>
            <w:tcW w:w="1482" w:type="dxa"/>
          </w:tcPr>
          <w:p>
            <w:pPr>
              <w:pStyle w:val="TableParagraph"/>
              <w:rPr>
                <w:sz w:val="16"/>
              </w:rPr>
            </w:pPr>
          </w:p>
        </w:tc>
        <w:tc>
          <w:tcPr>
            <w:tcW w:w="1412" w:type="dxa"/>
          </w:tcPr>
          <w:p>
            <w:pPr>
              <w:pStyle w:val="TableParagraph"/>
              <w:rPr>
                <w:sz w:val="16"/>
              </w:rPr>
            </w:pPr>
          </w:p>
        </w:tc>
        <w:tc>
          <w:tcPr>
            <w:tcW w:w="1395" w:type="dxa"/>
          </w:tcPr>
          <w:p>
            <w:pPr>
              <w:pStyle w:val="TableParagraph"/>
              <w:rPr>
                <w:sz w:val="16"/>
              </w:rPr>
            </w:pPr>
          </w:p>
        </w:tc>
      </w:tr>
      <w:tr>
        <w:trPr>
          <w:trHeight w:val="467" w:hRule="atLeast"/>
        </w:trPr>
        <w:tc>
          <w:tcPr>
            <w:tcW w:w="14608" w:type="dxa"/>
            <w:gridSpan w:val="11"/>
          </w:tcPr>
          <w:p>
            <w:pPr>
              <w:pStyle w:val="TableParagraph"/>
              <w:spacing w:before="21"/>
              <w:ind w:left="182" w:hanging="75"/>
              <w:rPr>
                <w:sz w:val="16"/>
              </w:rPr>
            </w:pPr>
            <w:r>
              <w:rPr>
                <w:position w:val="7"/>
                <w:sz w:val="10"/>
              </w:rPr>
              <w:t>1 </w:t>
            </w:r>
            <w:r>
              <w:rPr>
                <w:sz w:val="16"/>
              </w:rPr>
              <w:t>Symbols are provided to show the relationship among the worksheets, compilation worksheets, reporting table, and the equations in the main body of the report. Please note that symbols are provided for only one land-use category as an example.</w:t>
            </w:r>
          </w:p>
        </w:tc>
      </w:tr>
    </w:tbl>
    <w:p>
      <w:pPr>
        <w:spacing w:after="0"/>
        <w:rPr>
          <w:sz w:val="16"/>
        </w:rPr>
        <w:sectPr>
          <w:pgSz w:w="16840" w:h="11900" w:orient="landscape"/>
          <w:pgMar w:header="458" w:footer="439" w:top="1440" w:bottom="620" w:left="1200" w:right="460"/>
        </w:sectPr>
      </w:pPr>
    </w:p>
    <w:p>
      <w:pPr>
        <w:pStyle w:val="BodyText"/>
        <w:spacing w:before="10"/>
        <w:rPr>
          <w:sz w:val="26"/>
        </w:rPr>
      </w:pPr>
    </w:p>
    <w:p>
      <w:pPr>
        <w:spacing w:before="86"/>
        <w:ind w:left="119" w:right="0" w:firstLine="0"/>
        <w:jc w:val="both"/>
        <w:rPr>
          <w:b/>
          <w:sz w:val="32"/>
        </w:rPr>
      </w:pPr>
      <w:r>
        <w:rPr>
          <w:b/>
          <w:sz w:val="32"/>
        </w:rPr>
        <w:t>Appendix 3a.1 Harvested wood products:</w:t>
      </w:r>
    </w:p>
    <w:p>
      <w:pPr>
        <w:spacing w:before="2"/>
        <w:ind w:left="2274" w:right="0" w:firstLine="0"/>
        <w:jc w:val="left"/>
        <w:rPr>
          <w:b/>
          <w:sz w:val="32"/>
        </w:rPr>
      </w:pPr>
      <w:r>
        <w:rPr>
          <w:b/>
          <w:sz w:val="32"/>
        </w:rPr>
        <w:t>Basis for future methodological development</w:t>
      </w:r>
    </w:p>
    <w:p>
      <w:pPr>
        <w:pStyle w:val="BodyText"/>
        <w:spacing w:before="10"/>
        <w:rPr>
          <w:b/>
          <w:sz w:val="46"/>
        </w:rPr>
      </w:pPr>
    </w:p>
    <w:p>
      <w:pPr>
        <w:spacing w:before="0"/>
        <w:ind w:left="119" w:right="0" w:firstLine="0"/>
        <w:jc w:val="both"/>
        <w:rPr>
          <w:b/>
          <w:sz w:val="32"/>
        </w:rPr>
      </w:pPr>
      <w:r>
        <w:rPr>
          <w:b/>
          <w:sz w:val="32"/>
        </w:rPr>
        <w:t>3a.1.1 Methodological Issues</w:t>
      </w:r>
    </w:p>
    <w:p>
      <w:pPr>
        <w:pStyle w:val="BodyText"/>
        <w:spacing w:before="3"/>
        <w:rPr>
          <w:b/>
          <w:sz w:val="34"/>
        </w:rPr>
      </w:pPr>
    </w:p>
    <w:p>
      <w:pPr>
        <w:spacing w:before="0"/>
        <w:ind w:left="119" w:right="0" w:firstLine="0"/>
        <w:jc w:val="both"/>
        <w:rPr>
          <w:rFonts w:ascii="TimesNewRomanPS-BoldItalicMT"/>
          <w:b/>
          <w:i/>
          <w:sz w:val="28"/>
        </w:rPr>
      </w:pPr>
      <w:r>
        <w:rPr>
          <w:b/>
          <w:sz w:val="28"/>
        </w:rPr>
        <w:t>3a.1.1.1 R</w:t>
      </w:r>
      <w:r>
        <w:rPr>
          <w:b/>
          <w:sz w:val="22"/>
        </w:rPr>
        <w:t>ELATIONSHIP TO THE </w:t>
      </w:r>
      <w:r>
        <w:rPr>
          <w:rFonts w:ascii="TimesNewRomanPS-BoldItalicMT"/>
          <w:b/>
          <w:i/>
          <w:sz w:val="28"/>
        </w:rPr>
        <w:t>IPCC GUIDELINES</w:t>
      </w:r>
      <w:r>
        <w:rPr>
          <w:rFonts w:ascii="TimesNewRomanPS-BoldItalicMT"/>
          <w:b/>
          <w:i/>
          <w:sz w:val="28"/>
          <w:vertAlign w:val="superscript"/>
        </w:rPr>
        <w:t>1</w:t>
      </w:r>
    </w:p>
    <w:p>
      <w:pPr>
        <w:pStyle w:val="BodyText"/>
        <w:spacing w:before="209"/>
        <w:ind w:left="119" w:right="120"/>
        <w:jc w:val="both"/>
      </w:pPr>
      <w:r>
        <w:rPr/>
        <w:t>The </w:t>
      </w:r>
      <w:r>
        <w:rPr>
          <w:i/>
        </w:rPr>
        <w:t>IPCC Guidelines </w:t>
      </w:r>
      <w:r>
        <w:rPr/>
        <w:t>(IPCC, 1997) provide an outline of how harvested wood could be treated in national greenhouse gas (GHG) inventories. This section shows the relation of that outline to the approaches and estimation methods to be presented in this Appendix. Wood and paper products are referred to as harvested wood products (HWP). It does not include carbon in harvested trees that are left at harvest sites. The issue of harvested wood is discussed in Box 5 (</w:t>
      </w:r>
      <w:r>
        <w:rPr>
          <w:i/>
        </w:rPr>
        <w:t>IPCC Guidelines</w:t>
      </w:r>
      <w:r>
        <w:rPr/>
        <w:t>, Reference Manual, p. 5.17) as follows:</w:t>
      </w:r>
    </w:p>
    <w:p>
      <w:pPr>
        <w:spacing w:before="120"/>
        <w:ind w:left="839" w:right="119" w:firstLine="0"/>
        <w:jc w:val="both"/>
        <w:rPr>
          <w:i/>
          <w:sz w:val="20"/>
        </w:rPr>
      </w:pPr>
      <w:r>
        <w:rPr>
          <w:sz w:val="20"/>
        </w:rPr>
        <w:t>“</w:t>
      </w:r>
      <w:r>
        <w:rPr>
          <w:i/>
          <w:sz w:val="20"/>
        </w:rPr>
        <w:t>For the purposes of the basic calculations, the recommended default assumption is that all carbon removed in wood and other biomass from forests is oxidised in the year of removal. This is clearly not strictly accurate in the case of some forest products, but is considered a legitimate, conservative assumption for initial calculations.”</w:t>
      </w:r>
    </w:p>
    <w:p>
      <w:pPr>
        <w:spacing w:after="0"/>
        <w:jc w:val="both"/>
        <w:rPr>
          <w:sz w:val="20"/>
        </w:rPr>
        <w:sectPr>
          <w:headerReference w:type="default" r:id="rId243"/>
          <w:headerReference w:type="even" r:id="rId244"/>
          <w:footerReference w:type="default" r:id="rId245"/>
          <w:footerReference w:type="even" r:id="rId246"/>
          <w:pgSz w:w="11900" w:h="16840"/>
          <w:pgMar w:header="235" w:footer="408" w:top="920" w:bottom="600" w:left="1300" w:right="1280"/>
          <w:pgNumType w:start="257"/>
        </w:sectPr>
      </w:pPr>
    </w:p>
    <w:p>
      <w:pPr>
        <w:pStyle w:val="BodyText"/>
        <w:spacing w:line="229" w:lineRule="exact"/>
        <w:ind w:left="119"/>
      </w:pPr>
      <w:r>
        <w:rPr/>
        <w:t>and</w:t>
      </w:r>
    </w:p>
    <w:p>
      <w:pPr>
        <w:pStyle w:val="BodyText"/>
        <w:spacing w:before="4"/>
        <w:rPr>
          <w:sz w:val="30"/>
        </w:rPr>
      </w:pPr>
      <w:r>
        <w:rPr/>
        <w:br w:type="column"/>
      </w:r>
      <w:r>
        <w:rPr>
          <w:sz w:val="30"/>
        </w:rPr>
      </w:r>
    </w:p>
    <w:p>
      <w:pPr>
        <w:spacing w:before="1"/>
        <w:ind w:left="119" w:right="117" w:firstLine="0"/>
        <w:jc w:val="both"/>
        <w:rPr>
          <w:i/>
          <w:sz w:val="20"/>
        </w:rPr>
      </w:pPr>
      <w:r>
        <w:rPr>
          <w:sz w:val="20"/>
        </w:rPr>
        <w:t>“...</w:t>
      </w:r>
      <w:r>
        <w:rPr>
          <w:i/>
          <w:sz w:val="20"/>
        </w:rPr>
        <w:t>the recommended default assumption is that all carbon in biomass harvested is oxidised in the removal year. This is based on the perception that stocks of forest products in most countries are not increasing significantly on an annual basis</w:t>
      </w:r>
      <w:r>
        <w:rPr>
          <w:sz w:val="20"/>
        </w:rPr>
        <w:t>.” The Guidelines go on to say “</w:t>
      </w:r>
      <w:r>
        <w:rPr>
          <w:i/>
          <w:sz w:val="20"/>
        </w:rPr>
        <w:t>The proposed method recommends that storage of carbon in forest products be included in a national inventory only in the case where a country can document that existing stocks of long term forest products are in fact increasing. If data permit, one could add a pool to Equation (1) in the changes in forest and other woody biomass stocks calculation to account for increases in the pool of forest products. This information would, of course, require careful documentation, including accounting for imports and exports of forest products during the inventory period.”</w:t>
      </w:r>
    </w:p>
    <w:p>
      <w:pPr>
        <w:spacing w:after="0"/>
        <w:jc w:val="both"/>
        <w:rPr>
          <w:sz w:val="20"/>
        </w:rPr>
        <w:sectPr>
          <w:type w:val="continuous"/>
          <w:pgSz w:w="11900" w:h="16840"/>
          <w:pgMar w:top="1060" w:bottom="280" w:left="1300" w:right="1280"/>
          <w:cols w:num="2" w:equalWidth="0">
            <w:col w:w="447" w:space="273"/>
            <w:col w:w="8600"/>
          </w:cols>
        </w:sectPr>
      </w:pPr>
    </w:p>
    <w:p>
      <w:pPr>
        <w:pStyle w:val="BodyText"/>
        <w:spacing w:before="116"/>
        <w:ind w:left="119" w:right="119"/>
        <w:jc w:val="both"/>
      </w:pPr>
      <w:r>
        <w:rPr/>
        <w:t>A note on the relationship between this discussion and this report: The </w:t>
      </w:r>
      <w:r>
        <w:rPr>
          <w:i/>
        </w:rPr>
        <w:t>IPCC Guidelines </w:t>
      </w:r>
      <w:r>
        <w:rPr/>
        <w:t>recommend that storage estimates only be included in inventories if a country can document a method indicating that stocks are increasing. This Appendix is intended to further the discussion as to when such methods may be available for countries to determine and document increases in HWP stocks. This Appendix is based on the presumption that an effort should be made to enable countries to determine if they may meet the “only if” condition of the </w:t>
      </w:r>
      <w:r>
        <w:rPr>
          <w:i/>
        </w:rPr>
        <w:t>IPCC Guidelines</w:t>
      </w:r>
      <w:r>
        <w:rPr/>
        <w:t>.</w:t>
      </w:r>
    </w:p>
    <w:p>
      <w:pPr>
        <w:pStyle w:val="BodyText"/>
        <w:spacing w:before="120"/>
        <w:ind w:left="119" w:right="119"/>
        <w:jc w:val="both"/>
      </w:pPr>
      <w:r>
        <w:rPr/>
        <w:t>The above outline in the </w:t>
      </w:r>
      <w:r>
        <w:rPr>
          <w:i/>
        </w:rPr>
        <w:t>IPCC Guidelines </w:t>
      </w:r>
      <w:r>
        <w:rPr/>
        <w:t>provides the starting point in the development of </w:t>
      </w:r>
      <w:r>
        <w:rPr>
          <w:i/>
        </w:rPr>
        <w:t>good practice guidance </w:t>
      </w:r>
      <w:r>
        <w:rPr/>
        <w:t>for HWP estimation and reporting. The recommended default assumption – basically that harvested wood is oxidised in the removal year – has the same effect as the case where there are no significant changes in product stocks. In this case carbon flux of harvesting equals the decay flux of HWP into the atmosphere, but there could still be a delay in emissions (and substantial but constant HWP stocks). This assumption is called the </w:t>
      </w:r>
      <w:r>
        <w:rPr>
          <w:i/>
        </w:rPr>
        <w:t>IPCC default approach </w:t>
      </w:r>
      <w:r>
        <w:rPr/>
        <w:t>in the remainder of this section. The outline says that if data permit, positive stock changes in HWP can be reported in national greenhouse gas inventories. There are two alternatives ways to do this:</w:t>
      </w:r>
    </w:p>
    <w:p>
      <w:pPr>
        <w:pStyle w:val="BodyText"/>
        <w:spacing w:before="119"/>
        <w:ind w:left="119" w:right="119"/>
        <w:jc w:val="both"/>
      </w:pPr>
      <w:r>
        <w:rPr>
          <w:b/>
        </w:rPr>
        <w:t>Approach 1: </w:t>
      </w:r>
      <w:r>
        <w:rPr/>
        <w:t>Estimation of annual carbon stock changes of HWP in a country regardless of wood origin. This would mean that:</w:t>
      </w:r>
    </w:p>
    <w:p>
      <w:pPr>
        <w:pStyle w:val="ListParagraph"/>
        <w:numPr>
          <w:ilvl w:val="0"/>
          <w:numId w:val="23"/>
        </w:numPr>
        <w:tabs>
          <w:tab w:pos="480" w:val="left" w:leader="none"/>
        </w:tabs>
        <w:spacing w:line="223" w:lineRule="auto" w:before="144" w:after="0"/>
        <w:ind w:left="476" w:right="121" w:hanging="357"/>
        <w:jc w:val="both"/>
        <w:rPr>
          <w:sz w:val="20"/>
        </w:rPr>
      </w:pPr>
      <w:r>
        <w:rPr>
          <w:sz w:val="20"/>
        </w:rPr>
        <w:t>Wood carbon sources are not spatially specific – that is, product carbon comes from a number of land areas including foreign forests but the carbon ends up in the reporting</w:t>
      </w:r>
      <w:r>
        <w:rPr>
          <w:spacing w:val="-7"/>
          <w:sz w:val="20"/>
        </w:rPr>
        <w:t> </w:t>
      </w:r>
      <w:r>
        <w:rPr>
          <w:sz w:val="20"/>
        </w:rPr>
        <w:t>country.</w:t>
      </w:r>
    </w:p>
    <w:p>
      <w:pPr>
        <w:pStyle w:val="ListParagraph"/>
        <w:numPr>
          <w:ilvl w:val="0"/>
          <w:numId w:val="23"/>
        </w:numPr>
        <w:tabs>
          <w:tab w:pos="480" w:val="left" w:leader="none"/>
        </w:tabs>
        <w:spacing w:line="230" w:lineRule="auto" w:before="146" w:after="0"/>
        <w:ind w:left="476" w:right="121" w:hanging="357"/>
        <w:jc w:val="both"/>
        <w:rPr>
          <w:sz w:val="20"/>
        </w:rPr>
      </w:pPr>
      <w:r>
        <w:rPr>
          <w:sz w:val="20"/>
        </w:rPr>
        <w:t>Estimates of stock changes would be based on data for what happens to products in uses and waste disposal within the borders of a country – it could include movements of products into and out of the country. Data on uses and disposition would be found in one</w:t>
      </w:r>
      <w:r>
        <w:rPr>
          <w:spacing w:val="1"/>
          <w:sz w:val="20"/>
        </w:rPr>
        <w:t> </w:t>
      </w:r>
      <w:r>
        <w:rPr>
          <w:sz w:val="20"/>
        </w:rPr>
        <w:t>country.</w:t>
      </w:r>
    </w:p>
    <w:p>
      <w:pPr>
        <w:pStyle w:val="BodyText"/>
      </w:pPr>
    </w:p>
    <w:p>
      <w:pPr>
        <w:pStyle w:val="BodyText"/>
      </w:pPr>
    </w:p>
    <w:p>
      <w:pPr>
        <w:pStyle w:val="BodyText"/>
        <w:spacing w:before="10"/>
        <w:rPr>
          <w:sz w:val="19"/>
        </w:rPr>
      </w:pPr>
      <w:r>
        <w:rPr/>
        <w:pict>
          <v:line style="position:absolute;mso-position-horizontal-relative:page;mso-position-vertical-relative:paragraph;z-index:11600;mso-wrap-distance-left:0;mso-wrap-distance-right:0" from="70.960999pt,13.65199pt" to="214.960999pt,13.65199pt" stroked="true" strokeweight=".48pt" strokecolor="#000000">
            <v:stroke dashstyle="solid"/>
            <w10:wrap type="topAndBottom"/>
          </v:line>
        </w:pict>
      </w:r>
    </w:p>
    <w:p>
      <w:pPr>
        <w:spacing w:before="153"/>
        <w:ind w:left="260" w:right="515" w:hanging="142"/>
        <w:jc w:val="left"/>
        <w:rPr>
          <w:sz w:val="18"/>
        </w:rPr>
      </w:pPr>
      <w:r>
        <w:rPr>
          <w:position w:val="8"/>
          <w:sz w:val="12"/>
        </w:rPr>
        <w:t>1 </w:t>
      </w:r>
      <w:r>
        <w:rPr>
          <w:sz w:val="18"/>
        </w:rPr>
        <w:t>The Revised 1996 IPCC Guidelines for National Greenhouse Gas Inventories (IPCC, 1997) is abbreviated as </w:t>
      </w:r>
      <w:r>
        <w:rPr>
          <w:i/>
          <w:sz w:val="18"/>
        </w:rPr>
        <w:t>IPCC Guidelines </w:t>
      </w:r>
      <w:r>
        <w:rPr>
          <w:sz w:val="18"/>
        </w:rPr>
        <w:t>in this report.</w:t>
      </w:r>
    </w:p>
    <w:p>
      <w:pPr>
        <w:spacing w:after="0"/>
        <w:jc w:val="left"/>
        <w:rPr>
          <w:sz w:val="18"/>
        </w:rPr>
        <w:sectPr>
          <w:type w:val="continuous"/>
          <w:pgSz w:w="11900" w:h="16840"/>
          <w:pgMar w:top="1060" w:bottom="280" w:left="1300" w:right="1280"/>
        </w:sectPr>
      </w:pPr>
    </w:p>
    <w:p>
      <w:pPr>
        <w:pStyle w:val="ListParagraph"/>
        <w:numPr>
          <w:ilvl w:val="0"/>
          <w:numId w:val="23"/>
        </w:numPr>
        <w:tabs>
          <w:tab w:pos="480" w:val="left" w:leader="none"/>
        </w:tabs>
        <w:spacing w:line="223" w:lineRule="auto" w:before="116" w:after="0"/>
        <w:ind w:left="476" w:right="119" w:hanging="357"/>
        <w:jc w:val="both"/>
        <w:rPr>
          <w:sz w:val="20"/>
        </w:rPr>
      </w:pPr>
      <w:r>
        <w:rPr>
          <w:sz w:val="20"/>
        </w:rPr>
        <w:t>Wood is from many sources and management activities – possibly outside the country. The change in stock cannot be linked to activities on one land area.</w:t>
      </w:r>
    </w:p>
    <w:p>
      <w:pPr>
        <w:pStyle w:val="ListParagraph"/>
        <w:numPr>
          <w:ilvl w:val="0"/>
          <w:numId w:val="23"/>
        </w:numPr>
        <w:tabs>
          <w:tab w:pos="480" w:val="left" w:leader="none"/>
        </w:tabs>
        <w:spacing w:line="223" w:lineRule="auto" w:before="151" w:after="0"/>
        <w:ind w:left="476" w:right="116" w:hanging="357"/>
        <w:jc w:val="both"/>
        <w:rPr>
          <w:sz w:val="20"/>
        </w:rPr>
      </w:pPr>
      <w:r>
        <w:rPr>
          <w:sz w:val="20"/>
        </w:rPr>
        <w:t>The approach may be used as part of an evaluation of the effect of factors on the accumulation and loss of HWP carbon stored in a</w:t>
      </w:r>
      <w:r>
        <w:rPr>
          <w:spacing w:val="1"/>
          <w:sz w:val="20"/>
        </w:rPr>
        <w:t> </w:t>
      </w:r>
      <w:r>
        <w:rPr>
          <w:sz w:val="20"/>
        </w:rPr>
        <w:t>country.</w:t>
      </w:r>
    </w:p>
    <w:p>
      <w:pPr>
        <w:pStyle w:val="ListParagraph"/>
        <w:numPr>
          <w:ilvl w:val="0"/>
          <w:numId w:val="23"/>
        </w:numPr>
        <w:tabs>
          <w:tab w:pos="480" w:val="left" w:leader="none"/>
        </w:tabs>
        <w:spacing w:line="235" w:lineRule="auto" w:before="140" w:after="0"/>
        <w:ind w:left="476" w:right="118" w:hanging="357"/>
        <w:jc w:val="both"/>
        <w:rPr>
          <w:sz w:val="20"/>
        </w:rPr>
      </w:pPr>
      <w:r>
        <w:rPr>
          <w:sz w:val="20"/>
        </w:rPr>
        <w:t>There are several types of removals (or transfers to HWP) and emissions associated with the estimate of the change in HWP stock in a country. These include the transfer of domestic harvest to products, the transfer of imports to products, and the transfer of products to other countries, and the emissions from products to the atmosphere (see Figure</w:t>
      </w:r>
      <w:r>
        <w:rPr>
          <w:spacing w:val="2"/>
          <w:sz w:val="20"/>
        </w:rPr>
        <w:t> </w:t>
      </w:r>
      <w:r>
        <w:rPr>
          <w:sz w:val="20"/>
        </w:rPr>
        <w:t>3a.1.1).</w:t>
      </w:r>
    </w:p>
    <w:p>
      <w:pPr>
        <w:pStyle w:val="ListParagraph"/>
        <w:numPr>
          <w:ilvl w:val="0"/>
          <w:numId w:val="23"/>
        </w:numPr>
        <w:tabs>
          <w:tab w:pos="480" w:val="left" w:leader="none"/>
        </w:tabs>
        <w:spacing w:line="223" w:lineRule="auto" w:before="144" w:after="0"/>
        <w:ind w:left="476" w:right="122" w:hanging="357"/>
        <w:jc w:val="both"/>
        <w:rPr>
          <w:sz w:val="20"/>
        </w:rPr>
      </w:pPr>
      <w:r>
        <w:rPr>
          <w:sz w:val="20"/>
        </w:rPr>
        <w:t>The positive carbon stock changes would be interpreted as removals or equivalently as negative emissions, expressed in Gg CO</w:t>
      </w:r>
      <w:r>
        <w:rPr>
          <w:sz w:val="20"/>
          <w:vertAlign w:val="subscript"/>
        </w:rPr>
        <w:t>2</w:t>
      </w:r>
      <w:r>
        <w:rPr>
          <w:sz w:val="20"/>
          <w:vertAlign w:val="baseline"/>
        </w:rPr>
        <w:t>/year in national greenhouse gas</w:t>
      </w:r>
      <w:r>
        <w:rPr>
          <w:spacing w:val="-3"/>
          <w:sz w:val="20"/>
          <w:vertAlign w:val="baseline"/>
        </w:rPr>
        <w:t> </w:t>
      </w:r>
      <w:r>
        <w:rPr>
          <w:sz w:val="20"/>
          <w:vertAlign w:val="baseline"/>
        </w:rPr>
        <w:t>inventories.</w:t>
      </w:r>
    </w:p>
    <w:p>
      <w:pPr>
        <w:pStyle w:val="BodyText"/>
        <w:spacing w:before="125"/>
        <w:ind w:left="119"/>
      </w:pPr>
      <w:r>
        <w:rPr/>
        <w:t>Approach 1 is named as the Stock Change Approach.</w:t>
      </w:r>
    </w:p>
    <w:p>
      <w:pPr>
        <w:pStyle w:val="BodyText"/>
        <w:rPr>
          <w:sz w:val="22"/>
        </w:rPr>
      </w:pPr>
    </w:p>
    <w:p>
      <w:pPr>
        <w:spacing w:before="148"/>
        <w:ind w:left="1477" w:right="515" w:hanging="1359"/>
        <w:jc w:val="left"/>
        <w:rPr>
          <w:b/>
          <w:sz w:val="20"/>
        </w:rPr>
      </w:pPr>
      <w:r>
        <w:rPr/>
        <w:pict>
          <v:group style="position:absolute;margin-left:141.761002pt;margin-top:45.356339pt;width:326.25pt;height:177.55pt;mso-position-horizontal-relative:page;mso-position-vertical-relative:paragraph;z-index:11840;mso-wrap-distance-left:0;mso-wrap-distance-right:0" coordorigin="2835,907" coordsize="6525,3551">
            <v:rect style="position:absolute;left:6320;top:2458;width:2048;height:1428" filled="false" stroked="true" strokeweight="1.3pt" strokecolor="#000000">
              <v:stroke dashstyle="solid"/>
            </v:rect>
            <v:shape style="position:absolute;left:5079;top:3164;width:1241;height:80" coordorigin="5079,3164" coordsize="1241,80" path="m6243,3164l6243,3244,6293,3217,6255,3217,6255,3191,6296,3191,6243,3164xm6243,3191l5079,3191,5079,3217,6243,3217,6243,3191xm6296,3191l6255,3191,6255,3217,6293,3217,6320,3203,6296,3191xe" filled="true" fillcolor="#000000" stroked="false">
              <v:path arrowok="t"/>
              <v:fill type="solid"/>
            </v:shape>
            <v:rect style="position:absolute;left:5079;top:3190;width:1176;height:27" filled="false" stroked="true" strokeweight=".12pt" strokecolor="#000000">
              <v:stroke dashstyle="solid"/>
            </v:rect>
            <v:shape style="position:absolute;left:6243;top:3164;width:77;height:80" coordorigin="6243,3164" coordsize="77,80" path="m6243,3164l6320,3203,6243,3244,6243,3164xe" filled="false" stroked="true" strokeweight=".12pt" strokecolor="#000000">
              <v:path arrowok="t"/>
              <v:stroke dashstyle="solid"/>
            </v:shape>
            <v:shape style="position:absolute;left:8364;top:2854;width:994;height:77" coordorigin="8365,2855" coordsize="994,77" path="m9282,2855l9282,2932,9330,2908,9294,2908,9294,2881,9334,2881,9282,2855xm9282,2881l8365,2881,8365,2908,9282,2908,9282,2881xm9334,2881l9294,2881,9294,2908,9330,2908,9358,2893,9334,2881xe" filled="true" fillcolor="#000000" stroked="false">
              <v:path arrowok="t"/>
              <v:fill type="solid"/>
            </v:shape>
            <v:rect style="position:absolute;left:8364;top:2881;width:929;height:27" filled="false" stroked="true" strokeweight=".12pt" strokecolor="#000000">
              <v:stroke dashstyle="solid"/>
            </v:rect>
            <v:shape style="position:absolute;left:9281;top:2854;width:77;height:77" coordorigin="9282,2855" coordsize="77,77" path="m9282,2855l9358,2893,9282,2932,9282,2855xe" filled="false" stroked="true" strokeweight=".12pt" strokecolor="#000000">
              <v:path arrowok="t"/>
              <v:stroke dashstyle="solid"/>
            </v:shape>
            <v:shape style="position:absolute;left:8364;top:3413;width:994;height:77" coordorigin="8365,3414" coordsize="994,77" path="m8444,3414l8365,3452,8444,3491,8444,3467,8432,3467,8432,3440,8444,3440,8444,3414xm8444,3440l8432,3440,8432,3467,8444,3467,8444,3440xm9358,3440l8444,3440,8444,3467,9358,3467,9358,3440xe" filled="true" fillcolor="#000000" stroked="false">
              <v:path arrowok="t"/>
              <v:fill type="solid"/>
            </v:shape>
            <v:rect style="position:absolute;left:8432;top:3440;width:927;height:27" filled="false" stroked="true" strokeweight=".12pt" strokecolor="#000000">
              <v:stroke dashstyle="solid"/>
            </v:rect>
            <v:shape style="position:absolute;left:8364;top:3413;width:80;height:77" coordorigin="8365,3414" coordsize="80,77" path="m8444,3491l8365,3452,8444,3414,8444,3491xe" filled="false" stroked="true" strokeweight=".12pt" strokecolor="#000000">
              <v:path arrowok="t"/>
              <v:stroke dashstyle="solid"/>
            </v:shape>
            <v:shape style="position:absolute;left:7335;top:908;width:80;height:1551" coordorigin="7335,908" coordsize="80,1551" path="m7388,973l7362,973,7362,2459,7388,2459,7388,973xm7374,908l7335,985,7362,985,7362,973,7408,973,7374,908xm7408,973l7388,973,7388,985,7414,985,7408,973xe" filled="true" fillcolor="#000000" stroked="false">
              <v:path arrowok="t"/>
              <v:fill type="solid"/>
            </v:shape>
            <v:rect style="position:absolute;left:7361;top:973;width:27;height:1486" filled="false" stroked="true" strokeweight=".12pt" strokecolor="#000000">
              <v:stroke dashstyle="solid"/>
            </v:rect>
            <v:shape style="position:absolute;left:7335;top:908;width:80;height:77" coordorigin="7335,908" coordsize="80,77" path="m7335,985l7374,908,7414,985,7335,985xe" filled="false" stroked="true" strokeweight=".12pt" strokecolor="#000000">
              <v:path arrowok="t"/>
              <v:stroke dashstyle="solid"/>
            </v:shape>
            <v:shape style="position:absolute;left:3987;top:970;width:80;height:1488" coordorigin="3987,971" coordsize="80,1488" path="m4014,2382l3987,2382,4026,2459,4060,2394,4014,2394,4014,2382xm4040,971l4014,971,4014,2394,4040,2394,4040,971xm4066,2382l4040,2382,4040,2394,4060,2394,4066,2382xe" filled="true" fillcolor="#000000" stroked="false">
              <v:path arrowok="t"/>
              <v:fill type="solid"/>
            </v:shape>
            <v:rect style="position:absolute;left:4013;top:970;width:27;height:1424" filled="false" stroked="true" strokeweight=".12pt" strokecolor="#000000">
              <v:stroke dashstyle="solid"/>
            </v:rect>
            <v:shape style="position:absolute;left:3987;top:2381;width:80;height:77" coordorigin="3987,2382" coordsize="80,77" path="m4066,2382l4026,2459,3987,2382,4066,2382xe" filled="false" stroked="true" strokeweight=".12pt" strokecolor="#000000">
              <v:path arrowok="t"/>
              <v:stroke dashstyle="solid"/>
            </v:shape>
            <v:rect style="position:absolute;left:2909;top:1273;width:63;height:15" filled="true" fillcolor="#000000" stroked="false">
              <v:fill type="solid"/>
            </v:rect>
            <v:rect style="position:absolute;left:3017;top:1273;width:63;height:15" filled="true" fillcolor="#000000" stroked="false">
              <v:fill type="solid"/>
            </v:rect>
            <v:rect style="position:absolute;left:3125;top:1273;width:63;height:15" filled="true" fillcolor="#000000" stroked="false">
              <v:fill type="solid"/>
            </v:rect>
            <v:rect style="position:absolute;left:3236;top:1273;width:63;height:15" filled="true" fillcolor="#000000" stroked="false">
              <v:fill type="solid"/>
            </v:rect>
            <v:rect style="position:absolute;left:3344;top:1273;width:63;height:15" filled="true" fillcolor="#000000" stroked="false">
              <v:fill type="solid"/>
            </v:rect>
            <v:rect style="position:absolute;left:3452;top:1273;width:63;height:15" filled="true" fillcolor="#000000" stroked="false">
              <v:fill type="solid"/>
            </v:rect>
            <v:rect style="position:absolute;left:3560;top:1273;width:63;height:15" filled="true" fillcolor="#000000" stroked="false">
              <v:fill type="solid"/>
            </v:rect>
            <v:rect style="position:absolute;left:3670;top:1273;width:63;height:15" filled="true" fillcolor="#000000" stroked="false">
              <v:fill type="solid"/>
            </v:rect>
            <v:rect style="position:absolute;left:3778;top:1273;width:63;height:15" filled="true" fillcolor="#000000" stroked="false">
              <v:fill type="solid"/>
            </v:rect>
            <v:rect style="position:absolute;left:3886;top:1273;width:63;height:15" filled="true" fillcolor="#000000" stroked="false">
              <v:fill type="solid"/>
            </v:rect>
            <v:rect style="position:absolute;left:3994;top:1273;width:63;height:15" filled="true" fillcolor="#000000" stroked="false">
              <v:fill type="solid"/>
            </v:rect>
            <v:rect style="position:absolute;left:4104;top:1273;width:60;height:15" filled="true" fillcolor="#000000" stroked="false">
              <v:fill type="solid"/>
            </v:rect>
            <v:rect style="position:absolute;left:4212;top:1273;width:60;height:15" filled="true" fillcolor="#000000" stroked="false">
              <v:fill type="solid"/>
            </v:rect>
            <v:rect style="position:absolute;left:4320;top:1273;width:63;height:15" filled="true" fillcolor="#000000" stroked="false">
              <v:fill type="solid"/>
            </v:rect>
            <v:rect style="position:absolute;left:4428;top:1273;width:63;height:15" filled="true" fillcolor="#000000" stroked="false">
              <v:fill type="solid"/>
            </v:rect>
            <v:rect style="position:absolute;left:4536;top:1273;width:63;height:15" filled="true" fillcolor="#000000" stroked="false">
              <v:fill type="solid"/>
            </v:rect>
            <v:rect style="position:absolute;left:4644;top:1273;width:63;height:15" filled="true" fillcolor="#000000" stroked="false">
              <v:fill type="solid"/>
            </v:rect>
            <v:rect style="position:absolute;left:4755;top:1273;width:63;height:15" filled="true" fillcolor="#000000" stroked="false">
              <v:fill type="solid"/>
            </v:rect>
            <v:rect style="position:absolute;left:4863;top:1273;width:63;height:15" filled="true" fillcolor="#000000" stroked="false">
              <v:fill type="solid"/>
            </v:rect>
            <v:rect style="position:absolute;left:4971;top:1273;width:63;height:15" filled="true" fillcolor="#000000" stroked="false">
              <v:fill type="solid"/>
            </v:rect>
            <v:rect style="position:absolute;left:5079;top:1273;width:63;height:15" filled="true" fillcolor="#000000" stroked="false">
              <v:fill type="solid"/>
            </v:rect>
            <v:rect style="position:absolute;left:5189;top:1273;width:60;height:15" filled="true" fillcolor="#000000" stroked="false">
              <v:fill type="solid"/>
            </v:rect>
            <v:rect style="position:absolute;left:5297;top:1273;width:60;height:15" filled="true" fillcolor="#000000" stroked="false">
              <v:fill type="solid"/>
            </v:rect>
            <v:rect style="position:absolute;left:5405;top:1273;width:63;height:15" filled="true" fillcolor="#000000" stroked="false">
              <v:fill type="solid"/>
            </v:rect>
            <v:rect style="position:absolute;left:5513;top:1273;width:63;height:15" filled="true" fillcolor="#000000" stroked="false">
              <v:fill type="solid"/>
            </v:rect>
            <v:rect style="position:absolute;left:5621;top:1273;width:63;height:15" filled="true" fillcolor="#000000" stroked="false">
              <v:fill type="solid"/>
            </v:rect>
            <v:rect style="position:absolute;left:5729;top:1273;width:63;height:15" filled="true" fillcolor="#000000" stroked="false">
              <v:fill type="solid"/>
            </v:rect>
            <v:rect style="position:absolute;left:5840;top:1273;width:63;height:15" filled="true" fillcolor="#000000" stroked="false">
              <v:fill type="solid"/>
            </v:rect>
            <v:rect style="position:absolute;left:5948;top:1273;width:63;height:15" filled="true" fillcolor="#000000" stroked="false">
              <v:fill type="solid"/>
            </v:rect>
            <v:rect style="position:absolute;left:6056;top:1273;width:63;height:15" filled="true" fillcolor="#000000" stroked="false">
              <v:fill type="solid"/>
            </v:rect>
            <v:rect style="position:absolute;left:6164;top:1273;width:63;height:15" filled="true" fillcolor="#000000" stroked="false">
              <v:fill type="solid"/>
            </v:rect>
            <v:rect style="position:absolute;left:6274;top:1273;width:63;height:15" filled="true" fillcolor="#000000" stroked="false">
              <v:fill type="solid"/>
            </v:rect>
            <v:rect style="position:absolute;left:6382;top:1273;width:63;height:15" filled="true" fillcolor="#000000" stroked="false">
              <v:fill type="solid"/>
            </v:rect>
            <v:rect style="position:absolute;left:6490;top:1273;width:63;height:15" filled="true" fillcolor="#000000" stroked="false">
              <v:fill type="solid"/>
            </v:rect>
            <v:rect style="position:absolute;left:6598;top:1273;width:63;height:15" filled="true" fillcolor="#000000" stroked="false">
              <v:fill type="solid"/>
            </v:rect>
            <v:rect style="position:absolute;left:6708;top:1273;width:60;height:15" filled="true" fillcolor="#000000" stroked="false">
              <v:fill type="solid"/>
            </v:rect>
            <v:rect style="position:absolute;left:6814;top:1273;width:63;height:15" filled="true" fillcolor="#000000" stroked="false">
              <v:fill type="solid"/>
            </v:rect>
            <v:rect style="position:absolute;left:6924;top:1273;width:63;height:15" filled="true" fillcolor="#000000" stroked="false">
              <v:fill type="solid"/>
            </v:rect>
            <v:rect style="position:absolute;left:7032;top:1273;width:63;height:15" filled="true" fillcolor="#000000" stroked="false">
              <v:fill type="solid"/>
            </v:rect>
            <v:rect style="position:absolute;left:7140;top:1273;width:63;height:15" filled="true" fillcolor="#000000" stroked="false">
              <v:fill type="solid"/>
            </v:rect>
            <v:rect style="position:absolute;left:7248;top:1273;width:63;height:15" filled="true" fillcolor="#000000" stroked="false">
              <v:fill type="solid"/>
            </v:rect>
            <v:rect style="position:absolute;left:7359;top:1273;width:63;height:15" filled="true" fillcolor="#000000" stroked="false">
              <v:fill type="solid"/>
            </v:rect>
            <v:rect style="position:absolute;left:7467;top:1273;width:63;height:15" filled="true" fillcolor="#000000" stroked="false">
              <v:fill type="solid"/>
            </v:rect>
            <v:rect style="position:absolute;left:7575;top:1273;width:63;height:15" filled="true" fillcolor="#000000" stroked="false">
              <v:fill type="solid"/>
            </v:rect>
            <v:rect style="position:absolute;left:7683;top:1273;width:63;height:15" filled="true" fillcolor="#000000" stroked="false">
              <v:fill type="solid"/>
            </v:rect>
            <v:rect style="position:absolute;left:7793;top:1273;width:60;height:15" filled="true" fillcolor="#000000" stroked="false">
              <v:fill type="solid"/>
            </v:rect>
            <v:rect style="position:absolute;left:7901;top:1273;width:60;height:15" filled="true" fillcolor="#000000" stroked="false">
              <v:fill type="solid"/>
            </v:rect>
            <v:rect style="position:absolute;left:8009;top:1273;width:63;height:15" filled="true" fillcolor="#000000" stroked="false">
              <v:fill type="solid"/>
            </v:rect>
            <v:rect style="position:absolute;left:8117;top:1273;width:63;height:15" filled="true" fillcolor="#000000" stroked="false">
              <v:fill type="solid"/>
            </v:rect>
            <v:rect style="position:absolute;left:8225;top:1273;width:63;height:15" filled="true" fillcolor="#000000" stroked="false">
              <v:fill type="solid"/>
            </v:rect>
            <v:rect style="position:absolute;left:8333;top:1273;width:63;height:15" filled="true" fillcolor="#000000" stroked="false">
              <v:fill type="solid"/>
            </v:rect>
            <v:rect style="position:absolute;left:8444;top:1273;width:63;height:15" filled="true" fillcolor="#000000" stroked="false">
              <v:fill type="solid"/>
            </v:rect>
            <v:rect style="position:absolute;left:8552;top:1273;width:63;height:15" filled="true" fillcolor="#000000" stroked="false">
              <v:fill type="solid"/>
            </v:rect>
            <v:rect style="position:absolute;left:8660;top:1273;width:63;height:15" filled="true" fillcolor="#000000" stroked="false">
              <v:fill type="solid"/>
            </v:rect>
            <v:rect style="position:absolute;left:8768;top:1273;width:63;height:15" filled="true" fillcolor="#000000" stroked="false">
              <v:fill type="solid"/>
            </v:rect>
            <v:rect style="position:absolute;left:8878;top:1273;width:63;height:15" filled="true" fillcolor="#000000" stroked="false">
              <v:fill type="solid"/>
            </v:rect>
            <v:rect style="position:absolute;left:8986;top:1273;width:60;height:15" filled="true" fillcolor="#000000" stroked="false">
              <v:fill type="solid"/>
            </v:rect>
            <v:rect style="position:absolute;left:9094;top:1273;width:63;height:15" filled="true" fillcolor="#000000" stroked="false">
              <v:fill type="solid"/>
            </v:rect>
            <v:rect style="position:absolute;left:8588;top:1825;width:27;height:27" filled="true" fillcolor="#000000" stroked="false">
              <v:fill type="solid"/>
            </v:rect>
            <v:rect style="position:absolute;left:8537;top:1825;width:24;height:27" filled="true" fillcolor="#000000" stroked="false">
              <v:fill type="solid"/>
            </v:rect>
            <v:rect style="position:absolute;left:8484;top:1825;width:27;height:27" filled="true" fillcolor="#000000" stroked="false">
              <v:fill type="solid"/>
            </v:rect>
            <v:rect style="position:absolute;left:8434;top:1825;width:24;height:27" filled="true" fillcolor="#000000" stroked="false">
              <v:fill type="solid"/>
            </v:rect>
            <v:rect style="position:absolute;left:8381;top:1825;width:27;height:27" filled="true" fillcolor="#000000" stroked="false">
              <v:fill type="solid"/>
            </v:rect>
            <v:rect style="position:absolute;left:8328;top:1825;width:27;height:27" filled="true" fillcolor="#000000" stroked="false">
              <v:fill type="solid"/>
            </v:rect>
            <v:rect style="position:absolute;left:8278;top:1825;width:24;height:27" filled="true" fillcolor="#000000" stroked="false">
              <v:fill type="solid"/>
            </v:rect>
            <v:rect style="position:absolute;left:8225;top:1825;width:27;height:27" filled="true" fillcolor="#000000" stroked="false">
              <v:fill type="solid"/>
            </v:rect>
            <v:rect style="position:absolute;left:8175;top:1825;width:27;height:27" filled="true" fillcolor="#000000" stroked="false">
              <v:fill type="solid"/>
            </v:rect>
            <v:rect style="position:absolute;left:8124;top:1825;width:24;height:27" filled="true" fillcolor="#000000" stroked="false">
              <v:fill type="solid"/>
            </v:rect>
            <v:rect style="position:absolute;left:8072;top:1825;width:27;height:27" filled="true" fillcolor="#000000" stroked="false">
              <v:fill type="solid"/>
            </v:rect>
            <v:rect style="position:absolute;left:8019;top:1825;width:27;height:27" filled="true" fillcolor="#000000" stroked="false">
              <v:fill type="solid"/>
            </v:rect>
            <v:rect style="position:absolute;left:7968;top:1825;width:24;height:27" filled="true" fillcolor="#000000" stroked="false">
              <v:fill type="solid"/>
            </v:rect>
            <v:rect style="position:absolute;left:7916;top:1825;width:27;height:27" filled="true" fillcolor="#000000" stroked="false">
              <v:fill type="solid"/>
            </v:rect>
            <v:rect style="position:absolute;left:7865;top:1825;width:24;height:27" filled="true" fillcolor="#000000" stroked="false">
              <v:fill type="solid"/>
            </v:rect>
            <v:rect style="position:absolute;left:7812;top:1825;width:27;height:27" filled="true" fillcolor="#000000" stroked="false">
              <v:fill type="solid"/>
            </v:rect>
            <v:rect style="position:absolute;left:7762;top:1825;width:27;height:27" filled="true" fillcolor="#000000" stroked="false">
              <v:fill type="solid"/>
            </v:rect>
            <v:rect style="position:absolute;left:7709;top:1825;width:27;height:27" filled="true" fillcolor="#000000" stroked="false">
              <v:fill type="solid"/>
            </v:rect>
            <v:rect style="position:absolute;left:7659;top:1825;width:24;height:27" filled="true" fillcolor="#000000" stroked="false">
              <v:fill type="solid"/>
            </v:rect>
            <v:rect style="position:absolute;left:7606;top:1825;width:27;height:27" filled="true" fillcolor="#000000" stroked="false">
              <v:fill type="solid"/>
            </v:rect>
            <v:rect style="position:absolute;left:7553;top:1825;width:27;height:27" filled="true" fillcolor="#000000" stroked="false">
              <v:fill type="solid"/>
            </v:rect>
            <v:rect style="position:absolute;left:7503;top:1825;width:27;height:27" filled="true" fillcolor="#000000" stroked="false">
              <v:fill type="solid"/>
            </v:rect>
            <v:rect style="position:absolute;left:7452;top:1825;width:24;height:27" filled="true" fillcolor="#000000" stroked="false">
              <v:fill type="solid"/>
            </v:rect>
            <v:rect style="position:absolute;left:7400;top:1825;width:27;height:27" filled="true" fillcolor="#000000" stroked="false">
              <v:fill type="solid"/>
            </v:rect>
            <v:rect style="position:absolute;left:7349;top:1825;width:24;height:27" filled="true" fillcolor="#000000" stroked="false">
              <v:fill type="solid"/>
            </v:rect>
            <v:rect style="position:absolute;left:7296;top:1825;width:27;height:27" filled="true" fillcolor="#000000" stroked="false">
              <v:fill type="solid"/>
            </v:rect>
            <v:rect style="position:absolute;left:7244;top:1825;width:27;height:27" filled="true" fillcolor="#000000" stroked="false">
              <v:fill type="solid"/>
            </v:rect>
            <v:rect style="position:absolute;left:7193;top:1825;width:24;height:27" filled="true" fillcolor="#000000" stroked="false">
              <v:fill type="solid"/>
            </v:rect>
            <v:rect style="position:absolute;left:7140;top:1825;width:27;height:27" filled="true" fillcolor="#000000" stroked="false">
              <v:fill type="solid"/>
            </v:rect>
            <v:rect style="position:absolute;left:7090;top:1825;width:27;height:27" filled="true" fillcolor="#000000" stroked="false">
              <v:fill type="solid"/>
            </v:rect>
            <v:rect style="position:absolute;left:7037;top:1825;width:27;height:27" filled="true" fillcolor="#000000" stroked="false">
              <v:fill type="solid"/>
            </v:rect>
            <v:rect style="position:absolute;left:6987;top:1825;width:27;height:27" filled="true" fillcolor="#000000" stroked="false">
              <v:fill type="solid"/>
            </v:rect>
            <v:rect style="position:absolute;left:6934;top:1825;width:27;height:27" filled="true" fillcolor="#000000" stroked="false">
              <v:fill type="solid"/>
            </v:rect>
            <v:rect style="position:absolute;left:6884;top:1825;width:24;height:27" filled="true" fillcolor="#000000" stroked="false">
              <v:fill type="solid"/>
            </v:rect>
            <v:rect style="position:absolute;left:6831;top:1825;width:27;height:27" filled="true" fillcolor="#000000" stroked="false">
              <v:fill type="solid"/>
            </v:rect>
            <v:rect style="position:absolute;left:6780;top:1825;width:24;height:27" filled="true" fillcolor="#000000" stroked="false">
              <v:fill type="solid"/>
            </v:rect>
            <v:rect style="position:absolute;left:6728;top:1825;width:27;height:27" filled="true" fillcolor="#000000" stroked="false">
              <v:fill type="solid"/>
            </v:rect>
            <v:rect style="position:absolute;left:6677;top:1825;width:24;height:27" filled="true" fillcolor="#000000" stroked="false">
              <v:fill type="solid"/>
            </v:rect>
            <v:rect style="position:absolute;left:6624;top:1825;width:27;height:27" filled="true" fillcolor="#000000" stroked="false">
              <v:fill type="solid"/>
            </v:rect>
            <v:rect style="position:absolute;left:6574;top:1825;width:24;height:27" filled="true" fillcolor="#000000" stroked="false">
              <v:fill type="solid"/>
            </v:rect>
            <v:rect style="position:absolute;left:6521;top:1825;width:27;height:27" filled="true" fillcolor="#000000" stroked="false">
              <v:fill type="solid"/>
            </v:rect>
            <v:rect style="position:absolute;left:6468;top:1825;width:27;height:27" filled="true" fillcolor="#000000" stroked="false">
              <v:fill type="solid"/>
            </v:rect>
            <v:rect style="position:absolute;left:6418;top:1825;width:27;height:27" filled="true" fillcolor="#000000" stroked="false">
              <v:fill type="solid"/>
            </v:rect>
            <v:rect style="position:absolute;left:6365;top:1825;width:27;height:27" filled="true" fillcolor="#000000" stroked="false">
              <v:fill type="solid"/>
            </v:rect>
            <v:rect style="position:absolute;left:6315;top:1825;width:27;height:27" filled="true" fillcolor="#000000" stroked="false">
              <v:fill type="solid"/>
            </v:rect>
            <v:rect style="position:absolute;left:6264;top:1825;width:24;height:27" filled="true" fillcolor="#000000" stroked="false">
              <v:fill type="solid"/>
            </v:rect>
            <v:rect style="position:absolute;left:6212;top:1825;width:27;height:27" filled="true" fillcolor="#000000" stroked="false">
              <v:fill type="solid"/>
            </v:rect>
            <v:rect style="position:absolute;left:6159;top:1825;width:27;height:27" filled="true" fillcolor="#000000" stroked="false">
              <v:fill type="solid"/>
            </v:rect>
            <v:rect style="position:absolute;left:6108;top:1825;width:24;height:27" filled="true" fillcolor="#000000" stroked="false">
              <v:fill type="solid"/>
            </v:rect>
            <v:rect style="position:absolute;left:6056;top:1825;width:27;height:27" filled="true" fillcolor="#000000" stroked="false">
              <v:fill type="solid"/>
            </v:rect>
            <v:rect style="position:absolute;left:6005;top:1825;width:24;height:27" filled="true" fillcolor="#000000" stroked="false">
              <v:fill type="solid"/>
            </v:rect>
            <v:rect style="position:absolute;left:5952;top:1825;width:27;height:27" filled="true" fillcolor="#000000" stroked="false">
              <v:fill type="solid"/>
            </v:rect>
            <v:rect style="position:absolute;left:5902;top:1825;width:27;height:27" filled="true" fillcolor="#000000" stroked="false">
              <v:fill type="solid"/>
            </v:rect>
            <v:rect style="position:absolute;left:5849;top:1825;width:27;height:27" filled="true" fillcolor="#000000" stroked="false">
              <v:fill type="solid"/>
            </v:rect>
            <v:rect style="position:absolute;left:5799;top:1825;width:24;height:27" filled="true" fillcolor="#000000" stroked="false">
              <v:fill type="solid"/>
            </v:rect>
            <v:rect style="position:absolute;left:5746;top:1825;width:27;height:27" filled="true" fillcolor="#000000" stroked="false">
              <v:fill type="solid"/>
            </v:rect>
            <v:rect style="position:absolute;left:5693;top:1825;width:27;height:27" filled="true" fillcolor="#000000" stroked="false">
              <v:fill type="solid"/>
            </v:rect>
            <v:rect style="position:absolute;left:5643;top:1825;width:27;height:27" filled="true" fillcolor="#000000" stroked="false">
              <v:fill type="solid"/>
            </v:rect>
            <v:rect style="position:absolute;left:5592;top:1825;width:24;height:27" filled="true" fillcolor="#000000" stroked="false">
              <v:fill type="solid"/>
            </v:rect>
            <v:rect style="position:absolute;left:5540;top:1825;width:27;height:27" filled="true" fillcolor="#000000" stroked="false">
              <v:fill type="solid"/>
            </v:rect>
            <v:rect style="position:absolute;left:5489;top:1825;width:24;height:27" filled="true" fillcolor="#000000" stroked="false">
              <v:fill type="solid"/>
            </v:rect>
            <v:rect style="position:absolute;left:5436;top:1825;width:27;height:27" filled="true" fillcolor="#000000" stroked="false">
              <v:fill type="solid"/>
            </v:rect>
            <v:rect style="position:absolute;left:5384;top:1825;width:27;height:27" filled="true" fillcolor="#000000" stroked="false">
              <v:fill type="solid"/>
            </v:rect>
            <v:rect style="position:absolute;left:5333;top:1825;width:24;height:27" filled="true" fillcolor="#000000" stroked="false">
              <v:fill type="solid"/>
            </v:rect>
            <v:rect style="position:absolute;left:5280;top:1825;width:27;height:27" filled="true" fillcolor="#000000" stroked="false">
              <v:fill type="solid"/>
            </v:rect>
            <v:rect style="position:absolute;left:5230;top:1825;width:27;height:27" filled="true" fillcolor="#000000" stroked="false">
              <v:fill type="solid"/>
            </v:rect>
            <v:rect style="position:absolute;left:5180;top:1825;width:24;height:27" filled="true" fillcolor="#000000" stroked="false">
              <v:fill type="solid"/>
            </v:rect>
            <v:rect style="position:absolute;left:5127;top:1825;width:27;height:27" filled="true" fillcolor="#000000" stroked="false">
              <v:fill type="solid"/>
            </v:rect>
            <v:rect style="position:absolute;left:5074;top:1825;width:27;height:27" filled="true" fillcolor="#000000" stroked="false">
              <v:fill type="solid"/>
            </v:rect>
            <v:rect style="position:absolute;left:5024;top:1825;width:24;height:27" filled="true" fillcolor="#000000" stroked="false">
              <v:fill type="solid"/>
            </v:rect>
            <v:rect style="position:absolute;left:4971;top:1825;width:27;height:27" filled="true" fillcolor="#000000" stroked="false">
              <v:fill type="solid"/>
            </v:rect>
            <v:rect style="position:absolute;left:4920;top:1825;width:24;height:27" filled="true" fillcolor="#000000" stroked="false">
              <v:fill type="solid"/>
            </v:rect>
            <v:rect style="position:absolute;left:4868;top:1825;width:27;height:27" filled="true" fillcolor="#000000" stroked="false">
              <v:fill type="solid"/>
            </v:rect>
            <v:rect style="position:absolute;left:4817;top:1825;width:24;height:27" filled="true" fillcolor="#000000" stroked="false">
              <v:fill type="solid"/>
            </v:rect>
            <v:rect style="position:absolute;left:4764;top:1825;width:27;height:27" filled="true" fillcolor="#000000" stroked="false">
              <v:fill type="solid"/>
            </v:rect>
            <v:rect style="position:absolute;left:4714;top:1825;width:24;height:27" filled="true" fillcolor="#000000" stroked="false">
              <v:fill type="solid"/>
            </v:rect>
            <v:rect style="position:absolute;left:4661;top:1825;width:27;height:27" filled="true" fillcolor="#000000" stroked="false">
              <v:fill type="solid"/>
            </v:rect>
            <v:rect style="position:absolute;left:4608;top:1825;width:27;height:27" filled="true" fillcolor="#000000" stroked="false">
              <v:fill type="solid"/>
            </v:rect>
            <v:rect style="position:absolute;left:4558;top:1825;width:27;height:27" filled="true" fillcolor="#000000" stroked="false">
              <v:fill type="solid"/>
            </v:rect>
            <v:rect style="position:absolute;left:4505;top:1825;width:27;height:27" filled="true" fillcolor="#000000" stroked="false">
              <v:fill type="solid"/>
            </v:rect>
            <v:rect style="position:absolute;left:4455;top:1825;width:27;height:27" filled="true" fillcolor="#000000" stroked="false">
              <v:fill type="solid"/>
            </v:rect>
            <v:rect style="position:absolute;left:4404;top:1825;width:24;height:27" filled="true" fillcolor="#000000" stroked="false">
              <v:fill type="solid"/>
            </v:rect>
            <v:rect style="position:absolute;left:4352;top:1825;width:27;height:27" filled="true" fillcolor="#000000" stroked="false">
              <v:fill type="solid"/>
            </v:rect>
            <v:rect style="position:absolute;left:4299;top:1825;width:27;height:27" filled="true" fillcolor="#000000" stroked="false">
              <v:fill type="solid"/>
            </v:rect>
            <v:rect style="position:absolute;left:4248;top:1825;width:24;height:27" filled="true" fillcolor="#000000" stroked="false">
              <v:fill type="solid"/>
            </v:rect>
            <v:rect style="position:absolute;left:4196;top:1825;width:27;height:27" filled="true" fillcolor="#000000" stroked="false">
              <v:fill type="solid"/>
            </v:rect>
            <v:rect style="position:absolute;left:4145;top:1825;width:24;height:27" filled="true" fillcolor="#000000" stroked="false">
              <v:fill type="solid"/>
            </v:rect>
            <v:rect style="position:absolute;left:4092;top:1825;width:27;height:27" filled="true" fillcolor="#000000" stroked="false">
              <v:fill type="solid"/>
            </v:rect>
            <v:rect style="position:absolute;left:4042;top:1825;width:27;height:27" filled="true" fillcolor="#000000" stroked="false">
              <v:fill type="solid"/>
            </v:rect>
            <v:rect style="position:absolute;left:3989;top:1825;width:27;height:27" filled="true" fillcolor="#000000" stroked="false">
              <v:fill type="solid"/>
            </v:rect>
            <v:rect style="position:absolute;left:3939;top:1825;width:24;height:27" filled="true" fillcolor="#000000" stroked="false">
              <v:fill type="solid"/>
            </v:rect>
            <v:rect style="position:absolute;left:3886;top:1825;width:27;height:27" filled="true" fillcolor="#000000" stroked="false">
              <v:fill type="solid"/>
            </v:rect>
            <v:rect style="position:absolute;left:3833;top:1825;width:27;height:27" filled="true" fillcolor="#000000" stroked="false">
              <v:fill type="solid"/>
            </v:rect>
            <v:rect style="position:absolute;left:3783;top:1825;width:27;height:27" filled="true" fillcolor="#000000" stroked="false">
              <v:fill type="solid"/>
            </v:rect>
            <v:rect style="position:absolute;left:3732;top:1825;width:24;height:27" filled="true" fillcolor="#000000" stroked="false">
              <v:fill type="solid"/>
            </v:rect>
            <v:rect style="position:absolute;left:3680;top:1825;width:27;height:27" filled="true" fillcolor="#000000" stroked="false">
              <v:fill type="solid"/>
            </v:rect>
            <v:rect style="position:absolute;left:3629;top:1825;width:24;height:27" filled="true" fillcolor="#000000" stroked="false">
              <v:fill type="solid"/>
            </v:rect>
            <v:rect style="position:absolute;left:3576;top:1825;width:27;height:27" filled="true" fillcolor="#000000" stroked="false">
              <v:fill type="solid"/>
            </v:rect>
            <v:rect style="position:absolute;left:3524;top:1825;width:27;height:27" filled="true" fillcolor="#000000" stroked="false">
              <v:fill type="solid"/>
            </v:rect>
            <v:rect style="position:absolute;left:3473;top:1825;width:24;height:27" filled="true" fillcolor="#000000" stroked="false">
              <v:fill type="solid"/>
            </v:rect>
            <v:rect style="position:absolute;left:3420;top:1825;width:27;height:27" filled="true" fillcolor="#000000" stroked="false">
              <v:fill type="solid"/>
            </v:rect>
            <v:rect style="position:absolute;left:3370;top:1825;width:27;height:27" filled="true" fillcolor="#000000" stroked="false">
              <v:fill type="solid"/>
            </v:rect>
            <v:rect style="position:absolute;left:3320;top:1825;width:24;height:27" filled="true" fillcolor="#000000" stroked="false">
              <v:fill type="solid"/>
            </v:rect>
            <v:rect style="position:absolute;left:3267;top:1825;width:27;height:27" filled="true" fillcolor="#000000" stroked="false">
              <v:fill type="solid"/>
            </v:rect>
            <v:rect style="position:absolute;left:3214;top:1825;width:27;height:27" filled="true" fillcolor="#000000" stroked="false">
              <v:fill type="solid"/>
            </v:rect>
            <v:rect style="position:absolute;left:3164;top:1825;width:24;height:27" filled="true" fillcolor="#000000" stroked="false">
              <v:fill type="solid"/>
            </v:rect>
            <v:rect style="position:absolute;left:3111;top:1825;width:27;height:27" filled="true" fillcolor="#000000" stroked="false">
              <v:fill type="solid"/>
            </v:rect>
            <v:rect style="position:absolute;left:3060;top:1825;width:24;height:27" filled="true" fillcolor="#000000" stroked="false">
              <v:fill type="solid"/>
            </v:rect>
            <v:rect style="position:absolute;left:3008;top:1825;width:27;height:27" filled="true" fillcolor="#000000" stroked="false">
              <v:fill type="solid"/>
            </v:rect>
            <v:rect style="position:absolute;left:2957;top:1825;width:27;height:27" filled="true" fillcolor="#000000" stroked="false">
              <v:fill type="solid"/>
            </v:rect>
            <v:rect style="position:absolute;left:2904;top:1825;width:27;height:27" filled="true" fillcolor="#000000" stroked="false">
              <v:fill type="solid"/>
            </v:rect>
            <v:rect style="position:absolute;left:2854;top:1825;width:24;height:27" filled="true" fillcolor="#000000" stroked="false">
              <v:fill type="solid"/>
            </v:rect>
            <v:rect style="position:absolute;left:2835;top:1858;width:27;height:27" filled="true" fillcolor="#000000" stroked="false">
              <v:fill type="solid"/>
            </v:rect>
            <v:rect style="position:absolute;left:2835;top:1911;width:27;height:24" filled="true" fillcolor="#000000" stroked="false">
              <v:fill type="solid"/>
            </v:rect>
            <v:rect style="position:absolute;left:2835;top:1961;width:27;height:27" filled="true" fillcolor="#000000" stroked="false">
              <v:fill type="solid"/>
            </v:rect>
            <v:rect style="position:absolute;left:2835;top:2014;width:27;height:27" filled="true" fillcolor="#000000" stroked="false">
              <v:fill type="solid"/>
            </v:rect>
            <v:rect style="position:absolute;left:2835;top:2067;width:27;height:24" filled="true" fillcolor="#000000" stroked="false">
              <v:fill type="solid"/>
            </v:rect>
            <v:rect style="position:absolute;left:2835;top:2117;width:27;height:27" filled="true" fillcolor="#000000" stroked="false">
              <v:fill type="solid"/>
            </v:rect>
            <v:rect style="position:absolute;left:2835;top:2170;width:27;height:27" filled="true" fillcolor="#000000" stroked="false">
              <v:fill type="solid"/>
            </v:rect>
            <v:rect style="position:absolute;left:2835;top:2221;width:27;height:27" filled="true" fillcolor="#000000" stroked="false">
              <v:fill type="solid"/>
            </v:rect>
            <v:rect style="position:absolute;left:2835;top:2273;width:27;height:24" filled="true" fillcolor="#000000" stroked="false">
              <v:fill type="solid"/>
            </v:rect>
            <v:rect style="position:absolute;left:2835;top:2324;width:27;height:27" filled="true" fillcolor="#000000" stroked="false">
              <v:fill type="solid"/>
            </v:rect>
            <v:rect style="position:absolute;left:2835;top:2377;width:27;height:24" filled="true" fillcolor="#000000" stroked="false">
              <v:fill type="solid"/>
            </v:rect>
            <v:rect style="position:absolute;left:2835;top:2427;width:27;height:27" filled="true" fillcolor="#000000" stroked="false">
              <v:fill type="solid"/>
            </v:rect>
            <v:rect style="position:absolute;left:2835;top:2480;width:27;height:27" filled="true" fillcolor="#000000" stroked="false">
              <v:fill type="solid"/>
            </v:rect>
            <v:rect style="position:absolute;left:2835;top:2533;width:27;height:24" filled="true" fillcolor="#000000" stroked="false">
              <v:fill type="solid"/>
            </v:rect>
            <v:rect style="position:absolute;left:2835;top:2583;width:27;height:27" filled="true" fillcolor="#000000" stroked="false">
              <v:fill type="solid"/>
            </v:rect>
            <v:rect style="position:absolute;left:2835;top:2636;width:27;height:24" filled="true" fillcolor="#000000" stroked="false">
              <v:fill type="solid"/>
            </v:rect>
            <v:rect style="position:absolute;left:2835;top:2686;width:27;height:27" filled="true" fillcolor="#000000" stroked="false">
              <v:fill type="solid"/>
            </v:rect>
            <v:rect style="position:absolute;left:2835;top:2739;width:27;height:24" filled="true" fillcolor="#000000" stroked="false">
              <v:fill type="solid"/>
            </v:rect>
            <v:rect style="position:absolute;left:2835;top:2789;width:27;height:27" filled="true" fillcolor="#000000" stroked="false">
              <v:fill type="solid"/>
            </v:rect>
            <v:rect style="position:absolute;left:2835;top:2842;width:27;height:24" filled="true" fillcolor="#000000" stroked="false">
              <v:fill type="solid"/>
            </v:rect>
            <v:rect style="position:absolute;left:2835;top:2893;width:27;height:27" filled="true" fillcolor="#000000" stroked="false">
              <v:fill type="solid"/>
            </v:rect>
            <v:rect style="position:absolute;left:2835;top:2945;width:27;height:27" filled="true" fillcolor="#000000" stroked="false">
              <v:fill type="solid"/>
            </v:rect>
            <v:rect style="position:absolute;left:2835;top:2998;width:27;height:24" filled="true" fillcolor="#000000" stroked="false">
              <v:fill type="solid"/>
            </v:rect>
            <v:rect style="position:absolute;left:2835;top:3049;width:27;height:27" filled="true" fillcolor="#000000" stroked="false">
              <v:fill type="solid"/>
            </v:rect>
            <v:rect style="position:absolute;left:2835;top:3101;width:27;height:24" filled="true" fillcolor="#000000" stroked="false">
              <v:fill type="solid"/>
            </v:rect>
            <v:rect style="position:absolute;left:2835;top:3152;width:27;height:27" filled="true" fillcolor="#000000" stroked="false">
              <v:fill type="solid"/>
            </v:rect>
            <v:rect style="position:absolute;left:2835;top:3202;width:27;height:27" filled="true" fillcolor="#000000" stroked="false">
              <v:fill type="solid"/>
            </v:rect>
            <v:rect style="position:absolute;left:2835;top:3255;width:27;height:27" filled="true" fillcolor="#000000" stroked="false">
              <v:fill type="solid"/>
            </v:rect>
            <v:rect style="position:absolute;left:2835;top:3308;width:27;height:24" filled="true" fillcolor="#000000" stroked="false">
              <v:fill type="solid"/>
            </v:rect>
            <v:rect style="position:absolute;left:2835;top:3358;width:27;height:27" filled="true" fillcolor="#000000" stroked="false">
              <v:fill type="solid"/>
            </v:rect>
            <v:rect style="position:absolute;left:2835;top:3411;width:27;height:27" filled="true" fillcolor="#000000" stroked="false">
              <v:fill type="solid"/>
            </v:rect>
            <v:rect style="position:absolute;left:2835;top:3464;width:27;height:24" filled="true" fillcolor="#000000" stroked="false">
              <v:fill type="solid"/>
            </v:rect>
            <v:rect style="position:absolute;left:2835;top:3514;width:27;height:27" filled="true" fillcolor="#000000" stroked="false">
              <v:fill type="solid"/>
            </v:rect>
            <v:rect style="position:absolute;left:2835;top:3567;width:27;height:24" filled="true" fillcolor="#000000" stroked="false">
              <v:fill type="solid"/>
            </v:rect>
            <v:rect style="position:absolute;left:2835;top:3617;width:27;height:27" filled="true" fillcolor="#000000" stroked="false">
              <v:fill type="solid"/>
            </v:rect>
            <v:rect style="position:absolute;left:2835;top:3668;width:27;height:27" filled="true" fillcolor="#000000" stroked="false">
              <v:fill type="solid"/>
            </v:rect>
            <v:rect style="position:absolute;left:2835;top:3721;width:27;height:27" filled="true" fillcolor="#000000" stroked="false">
              <v:fill type="solid"/>
            </v:rect>
            <v:rect style="position:absolute;left:2835;top:3773;width:27;height:24" filled="true" fillcolor="#000000" stroked="false">
              <v:fill type="solid"/>
            </v:rect>
            <v:rect style="position:absolute;left:2835;top:3824;width:27;height:27" filled="true" fillcolor="#000000" stroked="false">
              <v:fill type="solid"/>
            </v:rect>
            <v:rect style="position:absolute;left:2835;top:3877;width:27;height:27" filled="true" fillcolor="#000000" stroked="false">
              <v:fill type="solid"/>
            </v:rect>
            <v:rect style="position:absolute;left:2835;top:3929;width:27;height:24" filled="true" fillcolor="#000000" stroked="false">
              <v:fill type="solid"/>
            </v:rect>
            <v:rect style="position:absolute;left:2835;top:3980;width:27;height:27" filled="true" fillcolor="#000000" stroked="false">
              <v:fill type="solid"/>
            </v:rect>
            <v:rect style="position:absolute;left:2835;top:4030;width:27;height:27" filled="true" fillcolor="#000000" stroked="false">
              <v:fill type="solid"/>
            </v:rect>
            <v:rect style="position:absolute;left:2835;top:4083;width:27;height:27" filled="true" fillcolor="#000000" stroked="false">
              <v:fill type="solid"/>
            </v:rect>
            <v:rect style="position:absolute;left:2835;top:4133;width:27;height:27" filled="true" fillcolor="#000000" stroked="false">
              <v:fill type="solid"/>
            </v:rect>
            <v:rect style="position:absolute;left:2835;top:4186;width:27;height:27" filled="true" fillcolor="#000000" stroked="false">
              <v:fill type="solid"/>
            </v:rect>
            <v:rect style="position:absolute;left:2835;top:4239;width:27;height:24" filled="true" fillcolor="#000000" stroked="false">
              <v:fill type="solid"/>
            </v:rect>
            <v:rect style="position:absolute;left:2835;top:4289;width:27;height:27" filled="true" fillcolor="#000000" stroked="false">
              <v:fill type="solid"/>
            </v:rect>
            <v:rect style="position:absolute;left:2835;top:4342;width:27;height:27" filled="true" fillcolor="#000000" stroked="false">
              <v:fill type="solid"/>
            </v:rect>
            <v:rect style="position:absolute;left:2835;top:4393;width:27;height:27" filled="true" fillcolor="#000000" stroked="false">
              <v:fill type="solid"/>
            </v:rect>
            <v:rect style="position:absolute;left:2847;top:4433;width:27;height:24" filled="true" fillcolor="#000000" stroked="false">
              <v:fill type="solid"/>
            </v:rect>
            <v:rect style="position:absolute;left:2900;top:4433;width:27;height:24" filled="true" fillcolor="#000000" stroked="false">
              <v:fill type="solid"/>
            </v:rect>
            <v:rect style="position:absolute;left:2952;top:4433;width:24;height:24" filled="true" fillcolor="#000000" stroked="false">
              <v:fill type="solid"/>
            </v:rect>
            <v:rect style="position:absolute;left:3003;top:4433;width:27;height:24" filled="true" fillcolor="#000000" stroked="false">
              <v:fill type="solid"/>
            </v:rect>
            <v:rect style="position:absolute;left:3053;top:4433;width:27;height:24" filled="true" fillcolor="#000000" stroked="false">
              <v:fill type="solid"/>
            </v:rect>
            <v:rect style="position:absolute;left:3106;top:4433;width:27;height:24" filled="true" fillcolor="#000000" stroked="false">
              <v:fill type="solid"/>
            </v:rect>
            <v:rect style="position:absolute;left:3156;top:4433;width:27;height:24" filled="true" fillcolor="#000000" stroked="false">
              <v:fill type="solid"/>
            </v:rect>
            <v:rect style="position:absolute;left:3209;top:4433;width:27;height:24" filled="true" fillcolor="#000000" stroked="false">
              <v:fill type="solid"/>
            </v:rect>
            <v:rect style="position:absolute;left:3262;top:4433;width:27;height:24" filled="true" fillcolor="#000000" stroked="false">
              <v:fill type="solid"/>
            </v:rect>
            <v:rect style="position:absolute;left:3312;top:4433;width:27;height:24" filled="true" fillcolor="#000000" stroked="false">
              <v:fill type="solid"/>
            </v:rect>
            <v:rect style="position:absolute;left:3365;top:4433;width:24;height:24" filled="true" fillcolor="#000000" stroked="false">
              <v:fill type="solid"/>
            </v:rect>
            <v:rect style="position:absolute;left:3416;top:4433;width:27;height:24" filled="true" fillcolor="#000000" stroked="false">
              <v:fill type="solid"/>
            </v:rect>
            <v:rect style="position:absolute;left:3468;top:4433;width:24;height:24" filled="true" fillcolor="#000000" stroked="false">
              <v:fill type="solid"/>
            </v:rect>
            <v:rect style="position:absolute;left:3519;top:4433;width:27;height:24" filled="true" fillcolor="#000000" stroked="false">
              <v:fill type="solid"/>
            </v:rect>
            <v:rect style="position:absolute;left:3572;top:4433;width:27;height:24" filled="true" fillcolor="#000000" stroked="false">
              <v:fill type="solid"/>
            </v:rect>
            <v:rect style="position:absolute;left:3622;top:4433;width:27;height:24" filled="true" fillcolor="#000000" stroked="false">
              <v:fill type="solid"/>
            </v:rect>
            <v:rect style="position:absolute;left:3675;top:4433;width:27;height:24" filled="true" fillcolor="#000000" stroked="false">
              <v:fill type="solid"/>
            </v:rect>
            <v:rect style="position:absolute;left:3725;top:4433;width:27;height:24" filled="true" fillcolor="#000000" stroked="false">
              <v:fill type="solid"/>
            </v:rect>
            <v:rect style="position:absolute;left:3778;top:4433;width:27;height:24" filled="true" fillcolor="#000000" stroked="false">
              <v:fill type="solid"/>
            </v:rect>
            <v:rect style="position:absolute;left:3828;top:4433;width:27;height:24" filled="true" fillcolor="#000000" stroked="false">
              <v:fill type="solid"/>
            </v:rect>
            <v:rect style="position:absolute;left:3881;top:4433;width:27;height:24" filled="true" fillcolor="#000000" stroked="false">
              <v:fill type="solid"/>
            </v:rect>
            <v:rect style="position:absolute;left:3932;top:4433;width:27;height:24" filled="true" fillcolor="#000000" stroked="false">
              <v:fill type="solid"/>
            </v:rect>
            <v:rect style="position:absolute;left:3984;top:4433;width:27;height:24" filled="true" fillcolor="#000000" stroked="false">
              <v:fill type="solid"/>
            </v:rect>
            <v:rect style="position:absolute;left:4037;top:4433;width:27;height:24" filled="true" fillcolor="#000000" stroked="false">
              <v:fill type="solid"/>
            </v:rect>
            <v:rect style="position:absolute;left:4088;top:4433;width:27;height:24" filled="true" fillcolor="#000000" stroked="false">
              <v:fill type="solid"/>
            </v:rect>
            <v:rect style="position:absolute;left:4140;top:4433;width:24;height:24" filled="true" fillcolor="#000000" stroked="false">
              <v:fill type="solid"/>
            </v:rect>
            <v:rect style="position:absolute;left:4191;top:4433;width:27;height:24" filled="true" fillcolor="#000000" stroked="false">
              <v:fill type="solid"/>
            </v:rect>
            <v:rect style="position:absolute;left:4241;top:4433;width:27;height:24" filled="true" fillcolor="#000000" stroked="false">
              <v:fill type="solid"/>
            </v:rect>
            <v:rect style="position:absolute;left:4294;top:4433;width:27;height:24" filled="true" fillcolor="#000000" stroked="false">
              <v:fill type="solid"/>
            </v:rect>
            <v:rect style="position:absolute;left:4347;top:4433;width:27;height:24" filled="true" fillcolor="#000000" stroked="false">
              <v:fill type="solid"/>
            </v:rect>
            <v:rect style="position:absolute;left:4397;top:4433;width:27;height:24" filled="true" fillcolor="#000000" stroked="false">
              <v:fill type="solid"/>
            </v:rect>
            <v:rect style="position:absolute;left:4450;top:4433;width:27;height:24" filled="true" fillcolor="#000000" stroked="false">
              <v:fill type="solid"/>
            </v:rect>
            <v:rect style="position:absolute;left:4500;top:4433;width:27;height:24" filled="true" fillcolor="#000000" stroked="false">
              <v:fill type="solid"/>
            </v:rect>
            <v:rect style="position:absolute;left:4553;top:4433;width:24;height:24" filled="true" fillcolor="#000000" stroked="false">
              <v:fill type="solid"/>
            </v:rect>
            <v:rect style="position:absolute;left:4604;top:4433;width:27;height:24" filled="true" fillcolor="#000000" stroked="false">
              <v:fill type="solid"/>
            </v:rect>
            <v:rect style="position:absolute;left:4656;top:4433;width:27;height:24" filled="true" fillcolor="#000000" stroked="false">
              <v:fill type="solid"/>
            </v:rect>
            <v:rect style="position:absolute;left:4707;top:4433;width:27;height:24" filled="true" fillcolor="#000000" stroked="false">
              <v:fill type="solid"/>
            </v:rect>
            <v:rect style="position:absolute;left:4760;top:4433;width:27;height:24" filled="true" fillcolor="#000000" stroked="false">
              <v:fill type="solid"/>
            </v:rect>
            <v:rect style="position:absolute;left:4812;top:4433;width:24;height:24" filled="true" fillcolor="#000000" stroked="false">
              <v:fill type="solid"/>
            </v:rect>
            <v:rect style="position:absolute;left:4863;top:4433;width:27;height:24" filled="true" fillcolor="#000000" stroked="false">
              <v:fill type="solid"/>
            </v:rect>
            <v:rect style="position:absolute;left:4913;top:4433;width:27;height:24" filled="true" fillcolor="#000000" stroked="false">
              <v:fill type="solid"/>
            </v:rect>
            <v:rect style="position:absolute;left:4966;top:4433;width:27;height:24" filled="true" fillcolor="#000000" stroked="false">
              <v:fill type="solid"/>
            </v:rect>
            <v:rect style="position:absolute;left:5016;top:4433;width:27;height:24" filled="true" fillcolor="#000000" stroked="false">
              <v:fill type="solid"/>
            </v:rect>
            <v:rect style="position:absolute;left:5069;top:4433;width:27;height:24" filled="true" fillcolor="#000000" stroked="false">
              <v:fill type="solid"/>
            </v:rect>
            <v:rect style="position:absolute;left:5122;top:4433;width:27;height:24" filled="true" fillcolor="#000000" stroked="false">
              <v:fill type="solid"/>
            </v:rect>
            <v:rect style="position:absolute;left:5172;top:4433;width:27;height:24" filled="true" fillcolor="#000000" stroked="false">
              <v:fill type="solid"/>
            </v:rect>
            <v:rect style="position:absolute;left:5225;top:4433;width:24;height:24" filled="true" fillcolor="#000000" stroked="false">
              <v:fill type="solid"/>
            </v:rect>
            <v:rect style="position:absolute;left:5276;top:4433;width:27;height:24" filled="true" fillcolor="#000000" stroked="false">
              <v:fill type="solid"/>
            </v:rect>
            <v:rect style="position:absolute;left:5328;top:4433;width:24;height:24" filled="true" fillcolor="#000000" stroked="false">
              <v:fill type="solid"/>
            </v:rect>
            <v:rect style="position:absolute;left:5379;top:4433;width:27;height:24" filled="true" fillcolor="#000000" stroked="false">
              <v:fill type="solid"/>
            </v:rect>
            <v:rect style="position:absolute;left:5432;top:4433;width:27;height:24" filled="true" fillcolor="#000000" stroked="false">
              <v:fill type="solid"/>
            </v:rect>
            <v:rect style="position:absolute;left:5482;top:4433;width:27;height:24" filled="true" fillcolor="#000000" stroked="false">
              <v:fill type="solid"/>
            </v:rect>
            <v:rect style="position:absolute;left:5535;top:4433;width:27;height:24" filled="true" fillcolor="#000000" stroked="false">
              <v:fill type="solid"/>
            </v:rect>
            <v:rect style="position:absolute;left:5585;top:4433;width:27;height:24" filled="true" fillcolor="#000000" stroked="false">
              <v:fill type="solid"/>
            </v:rect>
            <v:rect style="position:absolute;left:5638;top:4433;width:27;height:24" filled="true" fillcolor="#000000" stroked="false">
              <v:fill type="solid"/>
            </v:rect>
            <v:rect style="position:absolute;left:5688;top:4433;width:27;height:24" filled="true" fillcolor="#000000" stroked="false">
              <v:fill type="solid"/>
            </v:rect>
            <v:rect style="position:absolute;left:5741;top:4433;width:27;height:24" filled="true" fillcolor="#000000" stroked="false">
              <v:fill type="solid"/>
            </v:rect>
            <v:rect style="position:absolute;left:5792;top:4433;width:27;height:24" filled="true" fillcolor="#000000" stroked="false">
              <v:fill type="solid"/>
            </v:rect>
            <v:rect style="position:absolute;left:5844;top:4433;width:27;height:24" filled="true" fillcolor="#000000" stroked="false">
              <v:fill type="solid"/>
            </v:rect>
            <v:rect style="position:absolute;left:5897;top:4433;width:27;height:24" filled="true" fillcolor="#000000" stroked="false">
              <v:fill type="solid"/>
            </v:rect>
            <v:rect style="position:absolute;left:5948;top:4433;width:27;height:24" filled="true" fillcolor="#000000" stroked="false">
              <v:fill type="solid"/>
            </v:rect>
            <v:rect style="position:absolute;left:6000;top:4433;width:24;height:24" filled="true" fillcolor="#000000" stroked="false">
              <v:fill type="solid"/>
            </v:rect>
            <v:rect style="position:absolute;left:6051;top:4433;width:27;height:24" filled="true" fillcolor="#000000" stroked="false">
              <v:fill type="solid"/>
            </v:rect>
            <v:rect style="position:absolute;left:6101;top:4433;width:27;height:24" filled="true" fillcolor="#000000" stroked="false">
              <v:fill type="solid"/>
            </v:rect>
            <v:rect style="position:absolute;left:6154;top:4433;width:27;height:24" filled="true" fillcolor="#000000" stroked="false">
              <v:fill type="solid"/>
            </v:rect>
            <v:rect style="position:absolute;left:6207;top:4433;width:27;height:24" filled="true" fillcolor="#000000" stroked="false">
              <v:fill type="solid"/>
            </v:rect>
            <v:rect style="position:absolute;left:6257;top:4433;width:27;height:24" filled="true" fillcolor="#000000" stroked="false">
              <v:fill type="solid"/>
            </v:rect>
            <v:rect style="position:absolute;left:6310;top:4433;width:27;height:24" filled="true" fillcolor="#000000" stroked="false">
              <v:fill type="solid"/>
            </v:rect>
            <v:rect style="position:absolute;left:6360;top:4433;width:27;height:24" filled="true" fillcolor="#000000" stroked="false">
              <v:fill type="solid"/>
            </v:rect>
            <v:rect style="position:absolute;left:6413;top:4433;width:24;height:24" filled="true" fillcolor="#000000" stroked="false">
              <v:fill type="solid"/>
            </v:rect>
            <v:rect style="position:absolute;left:6464;top:4433;width:27;height:24" filled="true" fillcolor="#000000" stroked="false">
              <v:fill type="solid"/>
            </v:rect>
            <v:rect style="position:absolute;left:6516;top:4433;width:27;height:24" filled="true" fillcolor="#000000" stroked="false">
              <v:fill type="solid"/>
            </v:rect>
            <v:rect style="position:absolute;left:6567;top:4433;width:27;height:24" filled="true" fillcolor="#000000" stroked="false">
              <v:fill type="solid"/>
            </v:rect>
            <v:rect style="position:absolute;left:6620;top:4433;width:27;height:24" filled="true" fillcolor="#000000" stroked="false">
              <v:fill type="solid"/>
            </v:rect>
            <v:rect style="position:absolute;left:6672;top:4433;width:24;height:24" filled="true" fillcolor="#000000" stroked="false">
              <v:fill type="solid"/>
            </v:rect>
            <v:rect style="position:absolute;left:6723;top:4433;width:27;height:24" filled="true" fillcolor="#000000" stroked="false">
              <v:fill type="solid"/>
            </v:rect>
            <v:rect style="position:absolute;left:6773;top:4433;width:27;height:24" filled="true" fillcolor="#000000" stroked="false">
              <v:fill type="solid"/>
            </v:rect>
            <v:rect style="position:absolute;left:6826;top:4433;width:27;height:24" filled="true" fillcolor="#000000" stroked="false">
              <v:fill type="solid"/>
            </v:rect>
            <v:rect style="position:absolute;left:6876;top:4433;width:27;height:24" filled="true" fillcolor="#000000" stroked="false">
              <v:fill type="solid"/>
            </v:rect>
            <v:rect style="position:absolute;left:6929;top:4433;width:27;height:24" filled="true" fillcolor="#000000" stroked="false">
              <v:fill type="solid"/>
            </v:rect>
            <v:rect style="position:absolute;left:6982;top:4433;width:27;height:24" filled="true" fillcolor="#000000" stroked="false">
              <v:fill type="solid"/>
            </v:rect>
            <v:rect style="position:absolute;left:7032;top:4433;width:27;height:24" filled="true" fillcolor="#000000" stroked="false">
              <v:fill type="solid"/>
            </v:rect>
            <v:rect style="position:absolute;left:7085;top:4433;width:24;height:24" filled="true" fillcolor="#000000" stroked="false">
              <v:fill type="solid"/>
            </v:rect>
            <v:rect style="position:absolute;left:7136;top:4433;width:27;height:24" filled="true" fillcolor="#000000" stroked="false">
              <v:fill type="solid"/>
            </v:rect>
            <v:rect style="position:absolute;left:7186;top:4433;width:27;height:24" filled="true" fillcolor="#000000" stroked="false">
              <v:fill type="solid"/>
            </v:rect>
            <v:rect style="position:absolute;left:7239;top:4433;width:27;height:24" filled="true" fillcolor="#000000" stroked="false">
              <v:fill type="solid"/>
            </v:rect>
            <v:rect style="position:absolute;left:7292;top:4433;width:27;height:24" filled="true" fillcolor="#000000" stroked="false">
              <v:fill type="solid"/>
            </v:rect>
            <v:rect style="position:absolute;left:7342;top:4433;width:27;height:24" filled="true" fillcolor="#000000" stroked="false">
              <v:fill type="solid"/>
            </v:rect>
            <v:rect style="position:absolute;left:7395;top:4433;width:27;height:24" filled="true" fillcolor="#000000" stroked="false">
              <v:fill type="solid"/>
            </v:rect>
            <v:rect style="position:absolute;left:7445;top:4433;width:27;height:24" filled="true" fillcolor="#000000" stroked="false">
              <v:fill type="solid"/>
            </v:rect>
            <v:rect style="position:absolute;left:7498;top:4433;width:27;height:24" filled="true" fillcolor="#000000" stroked="false">
              <v:fill type="solid"/>
            </v:rect>
            <v:rect style="position:absolute;left:7548;top:4433;width:27;height:24" filled="true" fillcolor="#000000" stroked="false">
              <v:fill type="solid"/>
            </v:rect>
            <v:rect style="position:absolute;left:7601;top:4433;width:27;height:24" filled="true" fillcolor="#000000" stroked="false">
              <v:fill type="solid"/>
            </v:rect>
            <v:rect style="position:absolute;left:7652;top:4433;width:27;height:24" filled="true" fillcolor="#000000" stroked="false">
              <v:fill type="solid"/>
            </v:rect>
            <v:rect style="position:absolute;left:7704;top:4433;width:27;height:24" filled="true" fillcolor="#000000" stroked="false">
              <v:fill type="solid"/>
            </v:rect>
            <v:rect style="position:absolute;left:7757;top:4433;width:24;height:24" filled="true" fillcolor="#000000" stroked="false">
              <v:fill type="solid"/>
            </v:rect>
            <v:rect style="position:absolute;left:7808;top:4433;width:27;height:24" filled="true" fillcolor="#000000" stroked="false">
              <v:fill type="solid"/>
            </v:rect>
            <v:rect style="position:absolute;left:7860;top:4433;width:24;height:24" filled="true" fillcolor="#000000" stroked="false">
              <v:fill type="solid"/>
            </v:rect>
            <v:rect style="position:absolute;left:7911;top:4433;width:27;height:24" filled="true" fillcolor="#000000" stroked="false">
              <v:fill type="solid"/>
            </v:rect>
            <v:rect style="position:absolute;left:7961;top:4433;width:27;height:24" filled="true" fillcolor="#000000" stroked="false">
              <v:fill type="solid"/>
            </v:rect>
            <v:rect style="position:absolute;left:8014;top:4433;width:27;height:24" filled="true" fillcolor="#000000" stroked="false">
              <v:fill type="solid"/>
            </v:rect>
            <v:rect style="position:absolute;left:8067;top:4433;width:27;height:24" filled="true" fillcolor="#000000" stroked="false">
              <v:fill type="solid"/>
            </v:rect>
            <v:rect style="position:absolute;left:8117;top:4433;width:27;height:24" filled="true" fillcolor="#000000" stroked="false">
              <v:fill type="solid"/>
            </v:rect>
            <v:rect style="position:absolute;left:8170;top:4433;width:27;height:24" filled="true" fillcolor="#000000" stroked="false">
              <v:fill type="solid"/>
            </v:rect>
            <v:rect style="position:absolute;left:8220;top:4433;width:27;height:24" filled="true" fillcolor="#000000" stroked="false">
              <v:fill type="solid"/>
            </v:rect>
            <v:rect style="position:absolute;left:8273;top:4433;width:24;height:24" filled="true" fillcolor="#000000" stroked="false">
              <v:fill type="solid"/>
            </v:rect>
            <v:rect style="position:absolute;left:8324;top:4433;width:27;height:24" filled="true" fillcolor="#000000" stroked="false">
              <v:fill type="solid"/>
            </v:rect>
            <v:rect style="position:absolute;left:8376;top:4433;width:27;height:24" filled="true" fillcolor="#000000" stroked="false">
              <v:fill type="solid"/>
            </v:rect>
            <v:rect style="position:absolute;left:8427;top:4433;width:27;height:24" filled="true" fillcolor="#000000" stroked="false">
              <v:fill type="solid"/>
            </v:rect>
            <v:rect style="position:absolute;left:8480;top:4433;width:27;height:24" filled="true" fillcolor="#000000" stroked="false">
              <v:fill type="solid"/>
            </v:rect>
            <v:rect style="position:absolute;left:8532;top:4433;width:24;height:24" filled="true" fillcolor="#000000" stroked="false">
              <v:fill type="solid"/>
            </v:rect>
            <v:rect style="position:absolute;left:8583;top:4433;width:27;height:24" filled="true" fillcolor="#000000" stroked="false">
              <v:fill type="solid"/>
            </v:rect>
            <v:rect style="position:absolute;left:8600;top:4400;width:27;height:24" filled="true" fillcolor="#000000" stroked="false">
              <v:fill type="solid"/>
            </v:rect>
            <v:rect style="position:absolute;left:8600;top:4347;width:27;height:27" filled="true" fillcolor="#000000" stroked="false">
              <v:fill type="solid"/>
            </v:rect>
            <v:rect style="position:absolute;left:8600;top:4294;width:27;height:27" filled="true" fillcolor="#000000" stroked="false">
              <v:fill type="solid"/>
            </v:rect>
            <v:rect style="position:absolute;left:8600;top:4244;width:27;height:24" filled="true" fillcolor="#000000" stroked="false">
              <v:fill type="solid"/>
            </v:rect>
            <v:rect style="position:absolute;left:8600;top:4191;width:27;height:27" filled="true" fillcolor="#000000" stroked="false">
              <v:fill type="solid"/>
            </v:rect>
            <v:rect style="position:absolute;left:8600;top:4138;width:27;height:27" filled="true" fillcolor="#000000" stroked="false">
              <v:fill type="solid"/>
            </v:rect>
            <v:rect style="position:absolute;left:8600;top:4088;width:27;height:27" filled="true" fillcolor="#000000" stroked="false">
              <v:fill type="solid"/>
            </v:rect>
            <v:rect style="position:absolute;left:8600;top:4037;width:27;height:24" filled="true" fillcolor="#000000" stroked="false">
              <v:fill type="solid"/>
            </v:rect>
            <v:rect style="position:absolute;left:8600;top:3985;width:27;height:27" filled="true" fillcolor="#000000" stroked="false">
              <v:fill type="solid"/>
            </v:rect>
            <v:rect style="position:absolute;left:8600;top:3934;width:27;height:24" filled="true" fillcolor="#000000" stroked="false">
              <v:fill type="solid"/>
            </v:rect>
            <v:rect style="position:absolute;left:8600;top:3881;width:27;height:27" filled="true" fillcolor="#000000" stroked="false">
              <v:fill type="solid"/>
            </v:rect>
            <v:rect style="position:absolute;left:8600;top:3829;width:27;height:27" filled="true" fillcolor="#000000" stroked="false">
              <v:fill type="solid"/>
            </v:rect>
            <v:rect style="position:absolute;left:8600;top:3778;width:27;height:24" filled="true" fillcolor="#000000" stroked="false">
              <v:fill type="solid"/>
            </v:rect>
            <v:rect style="position:absolute;left:8600;top:3725;width:27;height:27" filled="true" fillcolor="#000000" stroked="false">
              <v:fill type="solid"/>
            </v:rect>
            <v:rect style="position:absolute;left:8600;top:3675;width:27;height:24" filled="true" fillcolor="#000000" stroked="false">
              <v:fill type="solid"/>
            </v:rect>
            <v:rect style="position:absolute;left:8600;top:3622;width:27;height:27" filled="true" fillcolor="#000000" stroked="false">
              <v:fill type="solid"/>
            </v:rect>
            <v:rect style="position:absolute;left:8600;top:3572;width:27;height:24" filled="true" fillcolor="#000000" stroked="false">
              <v:fill type="solid"/>
            </v:rect>
            <v:rect style="position:absolute;left:8600;top:3519;width:27;height:27" filled="true" fillcolor="#000000" stroked="false">
              <v:fill type="solid"/>
            </v:rect>
            <v:rect style="position:absolute;left:8600;top:3469;width:27;height:24" filled="true" fillcolor="#000000" stroked="false">
              <v:fill type="solid"/>
            </v:rect>
            <v:rect style="position:absolute;left:8600;top:3416;width:27;height:27" filled="true" fillcolor="#000000" stroked="false">
              <v:fill type="solid"/>
            </v:rect>
            <v:rect style="position:absolute;left:8600;top:3363;width:27;height:27" filled="true" fillcolor="#000000" stroked="false">
              <v:fill type="solid"/>
            </v:rect>
            <v:rect style="position:absolute;left:8600;top:3313;width:27;height:24" filled="true" fillcolor="#000000" stroked="false">
              <v:fill type="solid"/>
            </v:rect>
            <v:rect style="position:absolute;left:8600;top:3260;width:27;height:27" filled="true" fillcolor="#000000" stroked="false">
              <v:fill type="solid"/>
            </v:rect>
            <v:rect style="position:absolute;left:8600;top:3209;width:27;height:24" filled="true" fillcolor="#000000" stroked="false">
              <v:fill type="solid"/>
            </v:rect>
            <v:rect style="position:absolute;left:8600;top:3157;width:27;height:27" filled="true" fillcolor="#000000" stroked="false">
              <v:fill type="solid"/>
            </v:rect>
            <v:rect style="position:absolute;left:8600;top:3106;width:27;height:24" filled="true" fillcolor="#000000" stroked="false">
              <v:fill type="solid"/>
            </v:rect>
            <v:rect style="position:absolute;left:8600;top:3053;width:27;height:27" filled="true" fillcolor="#000000" stroked="false">
              <v:fill type="solid"/>
            </v:rect>
            <v:rect style="position:absolute;left:8600;top:3003;width:27;height:24" filled="true" fillcolor="#000000" stroked="false">
              <v:fill type="solid"/>
            </v:rect>
            <v:rect style="position:absolute;left:8600;top:2950;width:27;height:27" filled="true" fillcolor="#000000" stroked="false">
              <v:fill type="solid"/>
            </v:rect>
            <v:rect style="position:absolute;left:8600;top:2897;width:27;height:27" filled="true" fillcolor="#000000" stroked="false">
              <v:fill type="solid"/>
            </v:rect>
            <v:rect style="position:absolute;left:8600;top:2847;width:27;height:24" filled="true" fillcolor="#000000" stroked="false">
              <v:fill type="solid"/>
            </v:rect>
            <v:rect style="position:absolute;left:8600;top:2794;width:27;height:27" filled="true" fillcolor="#000000" stroked="false">
              <v:fill type="solid"/>
            </v:rect>
            <v:rect style="position:absolute;left:8600;top:2744;width:27;height:24" filled="true" fillcolor="#000000" stroked="false">
              <v:fill type="solid"/>
            </v:rect>
            <v:rect style="position:absolute;left:8600;top:2691;width:27;height:27" filled="true" fillcolor="#000000" stroked="false">
              <v:fill type="solid"/>
            </v:rect>
            <v:rect style="position:absolute;left:8600;top:2641;width:27;height:27" filled="true" fillcolor="#000000" stroked="false">
              <v:fill type="solid"/>
            </v:rect>
            <v:rect style="position:absolute;left:8600;top:2588;width:27;height:27" filled="true" fillcolor="#000000" stroked="false">
              <v:fill type="solid"/>
            </v:rect>
            <v:rect style="position:absolute;left:8600;top:2537;width:27;height:24" filled="true" fillcolor="#000000" stroked="false">
              <v:fill type="solid"/>
            </v:rect>
            <v:rect style="position:absolute;left:8600;top:2485;width:27;height:27" filled="true" fillcolor="#000000" stroked="false">
              <v:fill type="solid"/>
            </v:rect>
            <v:rect style="position:absolute;left:8600;top:2432;width:27;height:27" filled="true" fillcolor="#000000" stroked="false">
              <v:fill type="solid"/>
            </v:rect>
            <v:rect style="position:absolute;left:8600;top:2381;width:27;height:24" filled="true" fillcolor="#000000" stroked="false">
              <v:fill type="solid"/>
            </v:rect>
            <v:rect style="position:absolute;left:8600;top:2329;width:27;height:27" filled="true" fillcolor="#000000" stroked="false">
              <v:fill type="solid"/>
            </v:rect>
            <v:rect style="position:absolute;left:8600;top:2278;width:27;height:27" filled="true" fillcolor="#000000" stroked="false">
              <v:fill type="solid"/>
            </v:rect>
            <v:rect style="position:absolute;left:8600;top:2225;width:27;height:27" filled="true" fillcolor="#000000" stroked="false">
              <v:fill type="solid"/>
            </v:rect>
            <v:rect style="position:absolute;left:8600;top:2175;width:27;height:27" filled="true" fillcolor="#000000" stroked="false">
              <v:fill type="solid"/>
            </v:rect>
            <v:rect style="position:absolute;left:8600;top:2122;width:27;height:27" filled="true" fillcolor="#000000" stroked="false">
              <v:fill type="solid"/>
            </v:rect>
            <v:rect style="position:absolute;left:8600;top:2072;width:27;height:24" filled="true" fillcolor="#000000" stroked="false">
              <v:fill type="solid"/>
            </v:rect>
            <v:rect style="position:absolute;left:8600;top:2019;width:27;height:27" filled="true" fillcolor="#000000" stroked="false">
              <v:fill type="solid"/>
            </v:rect>
            <v:rect style="position:absolute;left:8600;top:1966;width:27;height:27" filled="true" fillcolor="#000000" stroked="false">
              <v:fill type="solid"/>
            </v:rect>
            <v:rect style="position:absolute;left:8600;top:1916;width:27;height:27" filled="true" fillcolor="#000000" stroked="false">
              <v:fill type="solid"/>
            </v:rect>
            <v:rect style="position:absolute;left:8600;top:1863;width:27;height:27" filled="true" fillcolor="#000000" stroked="false">
              <v:fill type="solid"/>
            </v:rect>
            <v:shape style="position:absolute;left:4784;top:961;width:1756;height:278" type="#_x0000_t202" filled="false" stroked="false">
              <v:textbox inset="0,0,0,0">
                <w:txbxContent>
                  <w:p>
                    <w:pPr>
                      <w:spacing w:line="277" w:lineRule="exact" w:before="0"/>
                      <w:ind w:left="0" w:right="0" w:firstLine="0"/>
                      <w:jc w:val="left"/>
                      <w:rPr>
                        <w:rFonts w:ascii="Arial"/>
                        <w:sz w:val="25"/>
                      </w:rPr>
                    </w:pPr>
                    <w:r>
                      <w:rPr>
                        <w:rFonts w:ascii="Arial"/>
                        <w:w w:val="95"/>
                        <w:sz w:val="25"/>
                      </w:rPr>
                      <w:t>ATMOSPHERE</w:t>
                    </w:r>
                  </w:p>
                </w:txbxContent>
              </v:textbox>
              <w10:wrap type="none"/>
            </v:shape>
            <v:shape style="position:absolute;left:3567;top:1543;width:361;height:185" type="#_x0000_t202" filled="false" stroked="false">
              <v:textbox inset="0,0,0,0">
                <w:txbxContent>
                  <w:p>
                    <w:pPr>
                      <w:spacing w:line="183" w:lineRule="exact" w:before="0"/>
                      <w:ind w:left="0" w:right="0" w:firstLine="0"/>
                      <w:jc w:val="left"/>
                      <w:rPr>
                        <w:rFonts w:ascii="Arial"/>
                        <w:sz w:val="16"/>
                      </w:rPr>
                    </w:pPr>
                    <w:r>
                      <w:rPr>
                        <w:rFonts w:ascii="Arial"/>
                        <w:w w:val="105"/>
                        <w:sz w:val="16"/>
                      </w:rPr>
                      <w:t>NEE</w:t>
                    </w:r>
                  </w:p>
                </w:txbxContent>
              </v:textbox>
              <w10:wrap type="none"/>
            </v:shape>
            <v:shape style="position:absolute;left:7140;top:1543;width:131;height:185" type="#_x0000_t202" filled="false" stroked="false">
              <v:textbox inset="0,0,0,0">
                <w:txbxContent>
                  <w:p>
                    <w:pPr>
                      <w:spacing w:line="183" w:lineRule="exact" w:before="0"/>
                      <w:ind w:left="0" w:right="0" w:firstLine="0"/>
                      <w:jc w:val="left"/>
                      <w:rPr>
                        <w:rFonts w:ascii="Arial"/>
                        <w:sz w:val="16"/>
                      </w:rPr>
                    </w:pPr>
                    <w:r>
                      <w:rPr>
                        <w:rFonts w:ascii="Arial"/>
                        <w:w w:val="103"/>
                        <w:sz w:val="16"/>
                      </w:rPr>
                      <w:t>E</w:t>
                    </w:r>
                  </w:p>
                </w:txbxContent>
              </v:textbox>
              <w10:wrap type="none"/>
            </v:shape>
            <v:shape style="position:absolute;left:5007;top:1953;width:1414;height:278" type="#_x0000_t202" filled="false" stroked="false">
              <v:textbox inset="0,0,0,0">
                <w:txbxContent>
                  <w:p>
                    <w:pPr>
                      <w:spacing w:line="277" w:lineRule="exact" w:before="0"/>
                      <w:ind w:left="0" w:right="0" w:firstLine="0"/>
                      <w:jc w:val="left"/>
                      <w:rPr>
                        <w:rFonts w:ascii="Arial"/>
                        <w:sz w:val="25"/>
                      </w:rPr>
                    </w:pPr>
                    <w:r>
                      <w:rPr>
                        <w:rFonts w:ascii="Arial"/>
                        <w:sz w:val="25"/>
                      </w:rPr>
                      <w:t>Own country</w:t>
                    </w:r>
                  </w:p>
                </w:txbxContent>
              </v:textbox>
              <w10:wrap type="none"/>
            </v:shape>
            <v:shape style="position:absolute;left:8688;top:2606;width:284;height:215" type="#_x0000_t202" filled="false" stroked="false">
              <v:textbox inset="0,0,0,0">
                <w:txbxContent>
                  <w:p>
                    <w:pPr>
                      <w:spacing w:before="0"/>
                      <w:ind w:left="0" w:right="0" w:firstLine="0"/>
                      <w:jc w:val="left"/>
                      <w:rPr>
                        <w:rFonts w:ascii="Arial"/>
                        <w:sz w:val="11"/>
                      </w:rPr>
                    </w:pPr>
                    <w:r>
                      <w:rPr>
                        <w:rFonts w:ascii="Arial"/>
                        <w:w w:val="105"/>
                        <w:position w:val="4"/>
                        <w:sz w:val="16"/>
                      </w:rPr>
                      <w:t>P</w:t>
                    </w:r>
                    <w:r>
                      <w:rPr>
                        <w:rFonts w:ascii="Arial"/>
                        <w:w w:val="105"/>
                        <w:sz w:val="11"/>
                      </w:rPr>
                      <w:t>EX</w:t>
                    </w:r>
                  </w:p>
                </w:txbxContent>
              </v:textbox>
              <w10:wrap type="none"/>
            </v:shape>
            <v:shape style="position:absolute;left:5614;top:2974;width:140;height:185" type="#_x0000_t202" filled="false" stroked="false">
              <v:textbox inset="0,0,0,0">
                <w:txbxContent>
                  <w:p>
                    <w:pPr>
                      <w:spacing w:line="183" w:lineRule="exact" w:before="0"/>
                      <w:ind w:left="0" w:right="0" w:firstLine="0"/>
                      <w:jc w:val="left"/>
                      <w:rPr>
                        <w:rFonts w:ascii="Arial"/>
                        <w:sz w:val="16"/>
                      </w:rPr>
                    </w:pPr>
                    <w:r>
                      <w:rPr>
                        <w:rFonts w:ascii="Arial"/>
                        <w:w w:val="103"/>
                        <w:sz w:val="16"/>
                      </w:rPr>
                      <w:t>H</w:t>
                    </w:r>
                  </w:p>
                </w:txbxContent>
              </v:textbox>
              <w10:wrap type="none"/>
            </v:shape>
            <v:shape style="position:absolute;left:7092;top:3011;width:599;height:278" type="#_x0000_t202" filled="false" stroked="false">
              <v:textbox inset="0,0,0,0">
                <w:txbxContent>
                  <w:p>
                    <w:pPr>
                      <w:spacing w:line="277" w:lineRule="exact" w:before="0"/>
                      <w:ind w:left="0" w:right="0" w:firstLine="0"/>
                      <w:jc w:val="left"/>
                      <w:rPr>
                        <w:rFonts w:ascii="Arial"/>
                        <w:sz w:val="25"/>
                      </w:rPr>
                    </w:pPr>
                    <w:r>
                      <w:rPr>
                        <w:rFonts w:ascii="Arial"/>
                        <w:sz w:val="25"/>
                      </w:rPr>
                      <w:t>HWP</w:t>
                    </w:r>
                  </w:p>
                </w:txbxContent>
              </v:textbox>
              <w10:wrap type="none"/>
            </v:shape>
            <v:shape style="position:absolute;left:8688;top:3192;width:262;height:215" type="#_x0000_t202" filled="false" stroked="false">
              <v:textbox inset="0,0,0,0">
                <w:txbxContent>
                  <w:p>
                    <w:pPr>
                      <w:spacing w:before="0"/>
                      <w:ind w:left="0" w:right="0" w:firstLine="0"/>
                      <w:jc w:val="left"/>
                      <w:rPr>
                        <w:rFonts w:ascii="Arial"/>
                        <w:sz w:val="11"/>
                      </w:rPr>
                    </w:pPr>
                    <w:r>
                      <w:rPr>
                        <w:rFonts w:ascii="Arial"/>
                        <w:w w:val="105"/>
                        <w:position w:val="4"/>
                        <w:sz w:val="16"/>
                      </w:rPr>
                      <w:t>P</w:t>
                    </w:r>
                    <w:r>
                      <w:rPr>
                        <w:rFonts w:ascii="Arial"/>
                        <w:w w:val="105"/>
                        <w:sz w:val="11"/>
                      </w:rPr>
                      <w:t>IM</w:t>
                    </w:r>
                  </w:p>
                </w:txbxContent>
              </v:textbox>
              <w10:wrap type="none"/>
            </v:shape>
            <v:shape style="position:absolute;left:3034;top:2458;width:2048;height:1428" type="#_x0000_t202" filled="false" stroked="true" strokeweight="1.3pt" strokecolor="#000000">
              <v:textbox inset="0,0,0,0">
                <w:txbxContent>
                  <w:p>
                    <w:pPr>
                      <w:spacing w:line="240" w:lineRule="auto" w:before="4"/>
                      <w:rPr>
                        <w:b/>
                        <w:sz w:val="28"/>
                      </w:rPr>
                    </w:pPr>
                  </w:p>
                  <w:p>
                    <w:pPr>
                      <w:spacing w:line="247" w:lineRule="auto" w:before="0"/>
                      <w:ind w:left="361" w:right="0" w:firstLine="302"/>
                      <w:jc w:val="left"/>
                      <w:rPr>
                        <w:rFonts w:ascii="Arial"/>
                        <w:sz w:val="25"/>
                      </w:rPr>
                    </w:pPr>
                    <w:r>
                      <w:rPr>
                        <w:rFonts w:ascii="Arial"/>
                        <w:sz w:val="25"/>
                      </w:rPr>
                      <w:t>Forest ecosystems</w:t>
                    </w:r>
                  </w:p>
                </w:txbxContent>
              </v:textbox>
              <v:stroke dashstyle="solid"/>
              <w10:wrap type="none"/>
            </v:shape>
            <w10:wrap type="topAndBottom"/>
          </v:group>
        </w:pict>
      </w:r>
      <w:r>
        <w:rPr>
          <w:b/>
          <w:sz w:val="20"/>
        </w:rPr>
        <w:t>Figure 3a.1.1 Carbon flows and stocks associated with forests and harvested wood products (HWP) to illustrate the Stock Change and Atmospheric Flow Accounting</w:t>
      </w:r>
      <w:r>
        <w:rPr>
          <w:b/>
          <w:sz w:val="20"/>
          <w:vertAlign w:val="superscript"/>
        </w:rPr>
        <w:t>2</w:t>
      </w:r>
      <w:r>
        <w:rPr>
          <w:b/>
          <w:sz w:val="20"/>
          <w:vertAlign w:val="baseline"/>
        </w:rPr>
        <w:t> Approaches.</w:t>
      </w:r>
    </w:p>
    <w:p>
      <w:pPr>
        <w:pStyle w:val="BodyText"/>
        <w:spacing w:before="9"/>
        <w:rPr>
          <w:b/>
          <w:sz w:val="13"/>
        </w:rPr>
      </w:pPr>
    </w:p>
    <w:p>
      <w:pPr>
        <w:pStyle w:val="BodyText"/>
        <w:spacing w:before="91"/>
        <w:ind w:left="680"/>
      </w:pPr>
      <w:r>
        <w:rPr/>
        <w:t>Variable definitions:</w:t>
      </w:r>
    </w:p>
    <w:p>
      <w:pPr>
        <w:pStyle w:val="BodyText"/>
        <w:tabs>
          <w:tab w:pos="1558" w:val="left" w:leader="none"/>
        </w:tabs>
        <w:spacing w:before="1"/>
        <w:ind w:left="680"/>
      </w:pPr>
      <w:r>
        <w:rPr/>
        <w:t>NEE</w:t>
        <w:tab/>
        <w:t>= net ecosystem</w:t>
      </w:r>
      <w:r>
        <w:rPr>
          <w:spacing w:val="-2"/>
        </w:rPr>
        <w:t> </w:t>
      </w:r>
      <w:r>
        <w:rPr/>
        <w:t>exchange</w:t>
      </w:r>
    </w:p>
    <w:p>
      <w:pPr>
        <w:pStyle w:val="BodyText"/>
        <w:tabs>
          <w:tab w:pos="1559" w:val="left" w:leader="none"/>
        </w:tabs>
        <w:spacing w:line="229" w:lineRule="exact"/>
        <w:ind w:left="680"/>
      </w:pPr>
      <w:r>
        <w:rPr/>
        <w:t>H</w:t>
        <w:tab/>
        <w:t>= harvested wood transported from</w:t>
      </w:r>
      <w:r>
        <w:rPr>
          <w:spacing w:val="3"/>
        </w:rPr>
        <w:t> </w:t>
      </w:r>
      <w:r>
        <w:rPr/>
        <w:t>forests</w:t>
      </w:r>
    </w:p>
    <w:p>
      <w:pPr>
        <w:pStyle w:val="BodyText"/>
        <w:tabs>
          <w:tab w:pos="1559" w:val="left" w:leader="none"/>
        </w:tabs>
        <w:spacing w:line="229" w:lineRule="exact"/>
        <w:ind w:left="680"/>
      </w:pPr>
      <w:r>
        <w:rPr/>
        <w:t>E</w:t>
        <w:tab/>
        <w:t>= emissions from HWP within country</w:t>
      </w:r>
      <w:r>
        <w:rPr>
          <w:spacing w:val="-5"/>
        </w:rPr>
        <w:t> </w:t>
      </w:r>
      <w:r>
        <w:rPr/>
        <w:t>borders</w:t>
      </w:r>
    </w:p>
    <w:p>
      <w:pPr>
        <w:pStyle w:val="BodyText"/>
        <w:tabs>
          <w:tab w:pos="1559" w:val="left" w:leader="none"/>
        </w:tabs>
        <w:ind w:left="680" w:right="1243"/>
      </w:pPr>
      <w:r>
        <w:rPr/>
        <w:t>P</w:t>
      </w:r>
      <w:r>
        <w:rPr>
          <w:vertAlign w:val="subscript"/>
        </w:rPr>
        <w:t>EX</w:t>
      </w:r>
      <w:r>
        <w:rPr>
          <w:vertAlign w:val="baseline"/>
        </w:rPr>
        <w:tab/>
        <w:t>= exports of HWP including roundwood, wood-based waste and refined products P</w:t>
      </w:r>
      <w:r>
        <w:rPr>
          <w:vertAlign w:val="subscript"/>
        </w:rPr>
        <w:t>IM</w:t>
      </w:r>
      <w:r>
        <w:rPr>
          <w:vertAlign w:val="baseline"/>
        </w:rPr>
        <w:tab/>
        <w:t>=</w:t>
      </w:r>
      <w:r>
        <w:rPr>
          <w:spacing w:val="-4"/>
          <w:vertAlign w:val="baseline"/>
        </w:rPr>
        <w:t> </w:t>
      </w:r>
      <w:r>
        <w:rPr>
          <w:vertAlign w:val="baseline"/>
        </w:rPr>
        <w:t>imports</w:t>
      </w:r>
      <w:r>
        <w:rPr>
          <w:spacing w:val="-6"/>
          <w:vertAlign w:val="baseline"/>
        </w:rPr>
        <w:t> </w:t>
      </w:r>
      <w:r>
        <w:rPr>
          <w:vertAlign w:val="baseline"/>
        </w:rPr>
        <w:t>of</w:t>
      </w:r>
      <w:r>
        <w:rPr>
          <w:spacing w:val="-7"/>
          <w:vertAlign w:val="baseline"/>
        </w:rPr>
        <w:t> </w:t>
      </w:r>
      <w:r>
        <w:rPr>
          <w:vertAlign w:val="baseline"/>
        </w:rPr>
        <w:t>HWP</w:t>
      </w:r>
      <w:r>
        <w:rPr>
          <w:spacing w:val="-4"/>
          <w:vertAlign w:val="baseline"/>
        </w:rPr>
        <w:t> </w:t>
      </w:r>
      <w:r>
        <w:rPr>
          <w:vertAlign w:val="baseline"/>
        </w:rPr>
        <w:t>including</w:t>
      </w:r>
      <w:r>
        <w:rPr>
          <w:spacing w:val="-6"/>
          <w:vertAlign w:val="baseline"/>
        </w:rPr>
        <w:t> </w:t>
      </w:r>
      <w:r>
        <w:rPr>
          <w:vertAlign w:val="baseline"/>
        </w:rPr>
        <w:t>roundwood,</w:t>
      </w:r>
      <w:r>
        <w:rPr>
          <w:spacing w:val="-2"/>
          <w:vertAlign w:val="baseline"/>
        </w:rPr>
        <w:t> </w:t>
      </w:r>
      <w:r>
        <w:rPr>
          <w:vertAlign w:val="baseline"/>
        </w:rPr>
        <w:t>wood-based</w:t>
      </w:r>
      <w:r>
        <w:rPr>
          <w:spacing w:val="-2"/>
          <w:vertAlign w:val="baseline"/>
        </w:rPr>
        <w:t> </w:t>
      </w:r>
      <w:r>
        <w:rPr>
          <w:vertAlign w:val="baseline"/>
        </w:rPr>
        <w:t>waste</w:t>
      </w:r>
      <w:r>
        <w:rPr>
          <w:spacing w:val="-2"/>
          <w:vertAlign w:val="baseline"/>
        </w:rPr>
        <w:t> </w:t>
      </w:r>
      <w:r>
        <w:rPr>
          <w:vertAlign w:val="baseline"/>
        </w:rPr>
        <w:t>and</w:t>
      </w:r>
      <w:r>
        <w:rPr>
          <w:spacing w:val="-4"/>
          <w:vertAlign w:val="baseline"/>
        </w:rPr>
        <w:t> </w:t>
      </w:r>
      <w:r>
        <w:rPr>
          <w:vertAlign w:val="baseline"/>
        </w:rPr>
        <w:t>refined</w:t>
      </w:r>
      <w:r>
        <w:rPr>
          <w:spacing w:val="-4"/>
          <w:vertAlign w:val="baseline"/>
        </w:rPr>
        <w:t> </w:t>
      </w:r>
      <w:r>
        <w:rPr>
          <w:vertAlign w:val="baseline"/>
        </w:rPr>
        <w:t>products</w:t>
      </w:r>
    </w:p>
    <w:p>
      <w:pPr>
        <w:pStyle w:val="BodyText"/>
        <w:spacing w:before="4"/>
        <w:rPr>
          <w:sz w:val="30"/>
        </w:rPr>
      </w:pPr>
    </w:p>
    <w:p>
      <w:pPr>
        <w:pStyle w:val="BodyText"/>
        <w:ind w:left="119"/>
      </w:pPr>
      <w:r>
        <w:rPr>
          <w:b/>
        </w:rPr>
        <w:t>Approach 2: </w:t>
      </w:r>
      <w:r>
        <w:rPr/>
        <w:t>Estimation of annual carbon stock changes of HWP where the carbon is from trees harvested in the reporting country. This would mean:</w:t>
      </w:r>
    </w:p>
    <w:p>
      <w:pPr>
        <w:pStyle w:val="ListParagraph"/>
        <w:numPr>
          <w:ilvl w:val="0"/>
          <w:numId w:val="23"/>
        </w:numPr>
        <w:tabs>
          <w:tab w:pos="480" w:val="left" w:leader="none"/>
        </w:tabs>
        <w:spacing w:line="235" w:lineRule="auto" w:before="139" w:after="0"/>
        <w:ind w:left="476" w:right="119" w:hanging="357"/>
        <w:jc w:val="both"/>
        <w:rPr>
          <w:sz w:val="20"/>
        </w:rPr>
      </w:pPr>
      <w:r>
        <w:rPr>
          <w:sz w:val="20"/>
        </w:rPr>
        <w:t>Estimates of stock changes would be based on what happens to wood carbon that originated from one land area – it could include movement of products out of the country and its disposition in other countries. Data on uses and disposition would potentially be needed from different countries or assumptions may be needed about disposition in other</w:t>
      </w:r>
      <w:r>
        <w:rPr>
          <w:spacing w:val="-3"/>
          <w:sz w:val="20"/>
        </w:rPr>
        <w:t> </w:t>
      </w:r>
      <w:r>
        <w:rPr>
          <w:sz w:val="20"/>
        </w:rPr>
        <w:t>countries.</w:t>
      </w:r>
    </w:p>
    <w:p>
      <w:pPr>
        <w:pStyle w:val="ListParagraph"/>
        <w:numPr>
          <w:ilvl w:val="0"/>
          <w:numId w:val="23"/>
        </w:numPr>
        <w:tabs>
          <w:tab w:pos="479" w:val="left" w:leader="none"/>
          <w:tab w:pos="480" w:val="left" w:leader="none"/>
        </w:tabs>
        <w:spacing w:line="240" w:lineRule="auto" w:before="132" w:after="0"/>
        <w:ind w:left="479" w:right="0" w:hanging="360"/>
        <w:jc w:val="left"/>
        <w:rPr>
          <w:sz w:val="20"/>
        </w:rPr>
      </w:pPr>
      <w:r>
        <w:rPr>
          <w:sz w:val="20"/>
        </w:rPr>
        <w:t>Consequently, the reporting boundary would not coincide with national</w:t>
      </w:r>
      <w:r>
        <w:rPr>
          <w:spacing w:val="-3"/>
          <w:sz w:val="20"/>
        </w:rPr>
        <w:t> </w:t>
      </w:r>
      <w:r>
        <w:rPr>
          <w:sz w:val="20"/>
        </w:rPr>
        <w:t>borders.</w:t>
      </w:r>
    </w:p>
    <w:p>
      <w:pPr>
        <w:pStyle w:val="ListParagraph"/>
        <w:numPr>
          <w:ilvl w:val="0"/>
          <w:numId w:val="23"/>
        </w:numPr>
        <w:tabs>
          <w:tab w:pos="479" w:val="left" w:leader="none"/>
          <w:tab w:pos="480" w:val="left" w:leader="none"/>
        </w:tabs>
        <w:spacing w:line="223" w:lineRule="auto" w:before="130" w:after="0"/>
        <w:ind w:left="476" w:right="119" w:hanging="357"/>
        <w:jc w:val="left"/>
        <w:rPr>
          <w:sz w:val="20"/>
        </w:rPr>
      </w:pPr>
      <w:r>
        <w:rPr>
          <w:sz w:val="20"/>
        </w:rPr>
        <w:t>Wood is from one land source and carbon stock change would be associated with management activities on that</w:t>
      </w:r>
      <w:r>
        <w:rPr>
          <w:spacing w:val="-1"/>
          <w:sz w:val="20"/>
        </w:rPr>
        <w:t> </w:t>
      </w:r>
      <w:r>
        <w:rPr>
          <w:sz w:val="20"/>
        </w:rPr>
        <w:t>land.</w:t>
      </w:r>
    </w:p>
    <w:p>
      <w:pPr>
        <w:pStyle w:val="ListParagraph"/>
        <w:numPr>
          <w:ilvl w:val="0"/>
          <w:numId w:val="23"/>
        </w:numPr>
        <w:tabs>
          <w:tab w:pos="479" w:val="left" w:leader="none"/>
          <w:tab w:pos="480" w:val="left" w:leader="none"/>
        </w:tabs>
        <w:spacing w:line="223" w:lineRule="auto" w:before="149" w:after="0"/>
        <w:ind w:left="476" w:right="123" w:hanging="357"/>
        <w:jc w:val="left"/>
        <w:rPr>
          <w:sz w:val="20"/>
        </w:rPr>
      </w:pPr>
      <w:r>
        <w:rPr>
          <w:sz w:val="20"/>
        </w:rPr>
        <w:t>This approach might be used as part of an evaluation of carbon storage changes associated with management on certain land</w:t>
      </w:r>
      <w:r>
        <w:rPr>
          <w:spacing w:val="-2"/>
          <w:sz w:val="20"/>
        </w:rPr>
        <w:t> </w:t>
      </w:r>
      <w:r>
        <w:rPr>
          <w:sz w:val="20"/>
        </w:rPr>
        <w:t>areas.</w:t>
      </w:r>
    </w:p>
    <w:p>
      <w:pPr>
        <w:pStyle w:val="ListParagraph"/>
        <w:numPr>
          <w:ilvl w:val="0"/>
          <w:numId w:val="23"/>
        </w:numPr>
        <w:tabs>
          <w:tab w:pos="479" w:val="left" w:leader="none"/>
          <w:tab w:pos="480" w:val="left" w:leader="none"/>
        </w:tabs>
        <w:spacing w:line="240" w:lineRule="auto" w:before="139" w:after="0"/>
        <w:ind w:left="479" w:right="0" w:hanging="360"/>
        <w:jc w:val="left"/>
        <w:rPr>
          <w:sz w:val="20"/>
        </w:rPr>
      </w:pPr>
      <w:r>
        <w:rPr>
          <w:sz w:val="20"/>
        </w:rPr>
        <w:t>This approach could follow the life cycle of all wood carbon harvested from a specific land</w:t>
      </w:r>
      <w:r>
        <w:rPr>
          <w:spacing w:val="-20"/>
          <w:sz w:val="20"/>
        </w:rPr>
        <w:t> </w:t>
      </w:r>
      <w:r>
        <w:rPr>
          <w:sz w:val="20"/>
        </w:rPr>
        <w:t>area.</w:t>
      </w:r>
    </w:p>
    <w:p>
      <w:pPr>
        <w:pStyle w:val="BodyText"/>
      </w:pPr>
    </w:p>
    <w:p>
      <w:pPr>
        <w:pStyle w:val="BodyText"/>
      </w:pPr>
    </w:p>
    <w:p>
      <w:pPr>
        <w:pStyle w:val="BodyText"/>
        <w:spacing w:before="8"/>
        <w:rPr>
          <w:sz w:val="11"/>
        </w:rPr>
      </w:pPr>
      <w:r>
        <w:rPr/>
        <w:pict>
          <v:line style="position:absolute;mso-position-horizontal-relative:page;mso-position-vertical-relative:paragraph;z-index:11864;mso-wrap-distance-left:0;mso-wrap-distance-right:0" from="70.960999pt,8.939118pt" to="214.960999pt,8.939118pt" stroked="true" strokeweight=".48pt" strokecolor="#000000">
            <v:stroke dashstyle="solid"/>
            <w10:wrap type="topAndBottom"/>
          </v:line>
        </w:pict>
      </w:r>
    </w:p>
    <w:p>
      <w:pPr>
        <w:spacing w:before="153"/>
        <w:ind w:left="119" w:right="0" w:firstLine="0"/>
        <w:jc w:val="left"/>
        <w:rPr>
          <w:sz w:val="18"/>
        </w:rPr>
      </w:pPr>
      <w:r>
        <w:rPr>
          <w:position w:val="8"/>
          <w:sz w:val="12"/>
        </w:rPr>
        <w:t>2 </w:t>
      </w:r>
      <w:r>
        <w:rPr>
          <w:sz w:val="18"/>
        </w:rPr>
        <w:t>Atmospheric Flow Approach is the Approach 3 in this section.</w:t>
      </w:r>
    </w:p>
    <w:p>
      <w:pPr>
        <w:spacing w:after="0"/>
        <w:jc w:val="left"/>
        <w:rPr>
          <w:sz w:val="18"/>
        </w:rPr>
        <w:sectPr>
          <w:pgSz w:w="11900" w:h="16840"/>
          <w:pgMar w:header="235" w:footer="408" w:top="920" w:bottom="600" w:left="1300" w:right="1280"/>
        </w:sectPr>
      </w:pPr>
    </w:p>
    <w:p>
      <w:pPr>
        <w:pStyle w:val="ListParagraph"/>
        <w:numPr>
          <w:ilvl w:val="0"/>
          <w:numId w:val="23"/>
        </w:numPr>
        <w:tabs>
          <w:tab w:pos="480" w:val="left" w:leader="none"/>
        </w:tabs>
        <w:spacing w:line="223" w:lineRule="auto" w:before="116" w:after="0"/>
        <w:ind w:left="476" w:right="122" w:hanging="357"/>
        <w:jc w:val="both"/>
        <w:rPr>
          <w:sz w:val="20"/>
        </w:rPr>
      </w:pPr>
      <w:r>
        <w:rPr>
          <w:sz w:val="20"/>
        </w:rPr>
        <w:t>The positive carbon stock changes would be interpreted as removals or equivalently as negative emissions, expressed in Gg CO</w:t>
      </w:r>
      <w:r>
        <w:rPr>
          <w:sz w:val="20"/>
          <w:vertAlign w:val="subscript"/>
        </w:rPr>
        <w:t>2</w:t>
      </w:r>
      <w:r>
        <w:rPr>
          <w:sz w:val="20"/>
          <w:vertAlign w:val="baseline"/>
        </w:rPr>
        <w:t>/year in national greenhouse gas</w:t>
      </w:r>
      <w:r>
        <w:rPr>
          <w:spacing w:val="-3"/>
          <w:sz w:val="20"/>
          <w:vertAlign w:val="baseline"/>
        </w:rPr>
        <w:t> </w:t>
      </w:r>
      <w:r>
        <w:rPr>
          <w:sz w:val="20"/>
          <w:vertAlign w:val="baseline"/>
        </w:rPr>
        <w:t>inventories.</w:t>
      </w:r>
    </w:p>
    <w:p>
      <w:pPr>
        <w:pStyle w:val="ListParagraph"/>
        <w:numPr>
          <w:ilvl w:val="0"/>
          <w:numId w:val="23"/>
        </w:numPr>
        <w:tabs>
          <w:tab w:pos="480" w:val="left" w:leader="none"/>
        </w:tabs>
        <w:spacing w:line="235" w:lineRule="auto" w:before="143" w:after="0"/>
        <w:ind w:left="476" w:right="117" w:hanging="357"/>
        <w:jc w:val="both"/>
        <w:rPr>
          <w:sz w:val="20"/>
        </w:rPr>
      </w:pPr>
      <w:r>
        <w:rPr>
          <w:sz w:val="20"/>
        </w:rPr>
        <w:t>There are several removals (or transfers to HWP) and emissions associated with the estimate of changes in HWP stocks that came from timber in a country. These include the transfer of domestic harvest to products in the country and to other countries, the emissions from HWP in the country that came from domestic harvest and emissions from HWP in other countries that came from domestic harvest (see Figure</w:t>
      </w:r>
      <w:r>
        <w:rPr>
          <w:spacing w:val="-26"/>
          <w:sz w:val="20"/>
        </w:rPr>
        <w:t> </w:t>
      </w:r>
      <w:r>
        <w:rPr>
          <w:sz w:val="20"/>
        </w:rPr>
        <w:t>3a.1.2).</w:t>
      </w:r>
    </w:p>
    <w:p>
      <w:pPr>
        <w:pStyle w:val="BodyText"/>
        <w:spacing w:before="117"/>
        <w:ind w:left="119"/>
      </w:pPr>
      <w:r>
        <w:rPr/>
        <w:t>Approach 2 is named as the Production Approach.</w:t>
      </w:r>
    </w:p>
    <w:p>
      <w:pPr>
        <w:pStyle w:val="BodyText"/>
        <w:rPr>
          <w:sz w:val="22"/>
        </w:rPr>
      </w:pPr>
    </w:p>
    <w:p>
      <w:pPr>
        <w:pStyle w:val="BodyText"/>
        <w:spacing w:before="6"/>
        <w:rPr>
          <w:sz w:val="19"/>
        </w:rPr>
      </w:pPr>
    </w:p>
    <w:p>
      <w:pPr>
        <w:spacing w:line="235" w:lineRule="auto" w:before="0"/>
        <w:ind w:left="119" w:right="514" w:firstLine="0"/>
        <w:jc w:val="left"/>
        <w:rPr>
          <w:sz w:val="20"/>
        </w:rPr>
      </w:pPr>
      <w:r>
        <w:rPr/>
        <w:pict>
          <v:rect style="position:absolute;margin-left:423.281006pt;margin-top:90.15065pt;width:1.08pt;height:4.68pt;mso-position-horizontal-relative:page;mso-position-vertical-relative:paragraph;z-index:14392" filled="true" fillcolor="#010101" stroked="false">
            <v:fill type="solid"/>
            <w10:wrap type="none"/>
          </v:rect>
        </w:pict>
      </w:r>
      <w:r>
        <w:rPr/>
        <w:pict>
          <v:rect style="position:absolute;margin-left:423.281006pt;margin-top:81.870644pt;width:1.08pt;height:4.68pt;mso-position-horizontal-relative:page;mso-position-vertical-relative:paragraph;z-index:14416" filled="true" fillcolor="#010101" stroked="false">
            <v:fill type="solid"/>
            <w10:wrap type="none"/>
          </v:rect>
        </w:pict>
      </w:r>
      <w:r>
        <w:rPr>
          <w:b/>
          <w:sz w:val="20"/>
        </w:rPr>
        <w:t>Figure 3a.1.2 Carbon flows and stocks associated with forests and harvested wood products (HWP) to illustrate the Production Accounting Approach</w:t>
      </w:r>
      <w:r>
        <w:rPr>
          <w:sz w:val="20"/>
        </w:rPr>
        <w:t>.</w:t>
      </w:r>
    </w:p>
    <w:p>
      <w:pPr>
        <w:pStyle w:val="BodyText"/>
      </w:pPr>
    </w:p>
    <w:p>
      <w:pPr>
        <w:pStyle w:val="BodyText"/>
        <w:spacing w:before="6"/>
        <w:rPr>
          <w:sz w:val="17"/>
        </w:rPr>
      </w:pPr>
      <w:r>
        <w:rPr/>
        <w:pict>
          <v:group style="position:absolute;margin-left:133.960999pt;margin-top:12.436023pt;width:327.75pt;height:192.15pt;mso-position-horizontal-relative:page;mso-position-vertical-relative:paragraph;z-index:12320;mso-wrap-distance-left:0;mso-wrap-distance-right:0" coordorigin="2679,249" coordsize="6555,3843">
            <v:rect style="position:absolute;left:8465;top:1787;width:22;height:94" filled="true" fillcolor="#010101" stroked="false">
              <v:fill type="solid"/>
            </v:rect>
            <v:rect style="position:absolute;left:8465;top:791;width:22;height:94" filled="true" fillcolor="#010101" stroked="false">
              <v:fill type="solid"/>
            </v:rect>
            <v:rect style="position:absolute;left:8465;top:623;width:22;height:96" filled="true" fillcolor="#010101" stroked="false">
              <v:fill type="solid"/>
            </v:rect>
            <v:shape style="position:absolute;left:8420;top:457;width:116;height:116" coordorigin="8420,458" coordsize="116,116" path="m8478,458l8420,573,8535,573,8478,458xe" filled="true" fillcolor="#010101" stroked="false">
              <v:path arrowok="t"/>
              <v:fill type="solid"/>
            </v:shape>
            <v:line style="position:absolute" from="3162,510" to="3162,1763" stroked="true" strokeweight="1.2pt" strokecolor="#010101">
              <v:stroke dashstyle="solid"/>
            </v:line>
            <v:shape style="position:absolute;left:3104;top:1760;width:116;height:116" coordorigin="3104,1761" coordsize="116,116" path="m3219,1761l3104,1761,3162,1876,3219,1761xe" filled="true" fillcolor="#010101" stroked="false">
              <v:path arrowok="t"/>
              <v:fill type="solid"/>
            </v:shape>
            <v:rect style="position:absolute;left:2763;top:788;width:58;height:12" filled="true" fillcolor="#010101" stroked="false">
              <v:fill type="solid"/>
            </v:rect>
            <v:rect style="position:absolute;left:2864;top:788;width:56;height:12" filled="true" fillcolor="#010101" stroked="false">
              <v:fill type="solid"/>
            </v:rect>
            <v:rect style="position:absolute;left:2962;top:788;width:58;height:12" filled="true" fillcolor="#010101" stroked="false">
              <v:fill type="solid"/>
            </v:rect>
            <v:rect style="position:absolute;left:3063;top:788;width:56;height:12" filled="true" fillcolor="#010101" stroked="false">
              <v:fill type="solid"/>
            </v:rect>
            <v:rect style="position:absolute;left:3161;top:788;width:58;height:12" filled="true" fillcolor="#010101" stroked="false">
              <v:fill type="solid"/>
            </v:rect>
            <v:rect style="position:absolute;left:3262;top:788;width:58;height:12" filled="true" fillcolor="#010101" stroked="false">
              <v:fill type="solid"/>
            </v:rect>
            <v:rect style="position:absolute;left:3360;top:788;width:58;height:12" filled="true" fillcolor="#010101" stroked="false">
              <v:fill type="solid"/>
            </v:rect>
            <v:rect style="position:absolute;left:3461;top:788;width:58;height:12" filled="true" fillcolor="#010101" stroked="false">
              <v:fill type="solid"/>
            </v:rect>
            <v:rect style="position:absolute;left:3560;top:788;width:58;height:12" filled="true" fillcolor="#010101" stroked="false">
              <v:fill type="solid"/>
            </v:rect>
            <v:rect style="position:absolute;left:3660;top:788;width:58;height:12" filled="true" fillcolor="#010101" stroked="false">
              <v:fill type="solid"/>
            </v:rect>
            <v:rect style="position:absolute;left:3759;top:788;width:58;height:12" filled="true" fillcolor="#010101" stroked="false">
              <v:fill type="solid"/>
            </v:rect>
            <v:rect style="position:absolute;left:3860;top:788;width:56;height:12" filled="true" fillcolor="#010101" stroked="false">
              <v:fill type="solid"/>
            </v:rect>
            <v:rect style="position:absolute;left:3958;top:788;width:58;height:12" filled="true" fillcolor="#010101" stroked="false">
              <v:fill type="solid"/>
            </v:rect>
            <v:rect style="position:absolute;left:4059;top:788;width:56;height:12" filled="true" fillcolor="#010101" stroked="false">
              <v:fill type="solid"/>
            </v:rect>
            <v:rect style="position:absolute;left:4157;top:788;width:58;height:12" filled="true" fillcolor="#010101" stroked="false">
              <v:fill type="solid"/>
            </v:rect>
            <v:rect style="position:absolute;left:4258;top:788;width:56;height:12" filled="true" fillcolor="#010101" stroked="false">
              <v:fill type="solid"/>
            </v:rect>
            <v:rect style="position:absolute;left:4356;top:788;width:58;height:12" filled="true" fillcolor="#010101" stroked="false">
              <v:fill type="solid"/>
            </v:rect>
            <v:rect style="position:absolute;left:4457;top:788;width:56;height:12" filled="true" fillcolor="#010101" stroked="false">
              <v:fill type="solid"/>
            </v:rect>
            <v:rect style="position:absolute;left:4556;top:788;width:58;height:12" filled="true" fillcolor="#010101" stroked="false">
              <v:fill type="solid"/>
            </v:rect>
            <v:rect style="position:absolute;left:4656;top:788;width:56;height:12" filled="true" fillcolor="#010101" stroked="false">
              <v:fill type="solid"/>
            </v:rect>
            <v:rect style="position:absolute;left:4755;top:788;width:58;height:12" filled="true" fillcolor="#010101" stroked="false">
              <v:fill type="solid"/>
            </v:rect>
            <v:rect style="position:absolute;left:4856;top:788;width:58;height:12" filled="true" fillcolor="#010101" stroked="false">
              <v:fill type="solid"/>
            </v:rect>
            <v:rect style="position:absolute;left:4954;top:788;width:58;height:12" filled="true" fillcolor="#010101" stroked="false">
              <v:fill type="solid"/>
            </v:rect>
            <v:rect style="position:absolute;left:5055;top:788;width:58;height:12" filled="true" fillcolor="#010101" stroked="false">
              <v:fill type="solid"/>
            </v:rect>
            <v:rect style="position:absolute;left:5153;top:788;width:58;height:12" filled="true" fillcolor="#010101" stroked="false">
              <v:fill type="solid"/>
            </v:rect>
            <v:rect style="position:absolute;left:5254;top:788;width:58;height:12" filled="true" fillcolor="#010101" stroked="false">
              <v:fill type="solid"/>
            </v:rect>
            <v:line style="position:absolute" from="5496,566" to="5496,1876" stroked="true" strokeweight="1.08pt" strokecolor="#010101">
              <v:stroke dashstyle="solid"/>
            </v:line>
            <v:shape style="position:absolute;left:5439;top:452;width:116;height:116" coordorigin="5439,453" coordsize="116,116" path="m5497,453l5439,568,5554,568,5497,453xe" filled="true" fillcolor="#010101" stroked="false">
              <v:path arrowok="t"/>
              <v:fill type="solid"/>
            </v:shape>
            <v:rect style="position:absolute;left:5352;top:788;width:58;height:12" filled="true" fillcolor="#010101" stroked="false">
              <v:fill type="solid"/>
            </v:rect>
            <v:rect style="position:absolute;left:5453;top:788;width:56;height:12" filled="true" fillcolor="#010101" stroked="false">
              <v:fill type="solid"/>
            </v:rect>
            <v:rect style="position:absolute;left:5552;top:788;width:58;height:12" filled="true" fillcolor="#010101" stroked="false">
              <v:fill type="solid"/>
            </v:rect>
            <v:rect style="position:absolute;left:5652;top:788;width:56;height:12" filled="true" fillcolor="#010101" stroked="false">
              <v:fill type="solid"/>
            </v:rect>
            <v:rect style="position:absolute;left:5751;top:788;width:58;height:12" filled="true" fillcolor="#010101" stroked="false">
              <v:fill type="solid"/>
            </v:rect>
            <v:rect style="position:absolute;left:5852;top:788;width:56;height:12" filled="true" fillcolor="#010101" stroked="false">
              <v:fill type="solid"/>
            </v:rect>
            <v:rect style="position:absolute;left:5950;top:788;width:58;height:12" filled="true" fillcolor="#010101" stroked="false">
              <v:fill type="solid"/>
            </v:rect>
            <v:rect style="position:absolute;left:6051;top:788;width:56;height:12" filled="true" fillcolor="#010101" stroked="false">
              <v:fill type="solid"/>
            </v:rect>
            <v:rect style="position:absolute;left:6149;top:788;width:58;height:12" filled="true" fillcolor="#010101" stroked="false">
              <v:fill type="solid"/>
            </v:rect>
            <v:rect style="position:absolute;left:6250;top:788;width:58;height:12" filled="true" fillcolor="#010101" stroked="false">
              <v:fill type="solid"/>
            </v:rect>
            <v:rect style="position:absolute;left:6348;top:788;width:58;height:12" filled="true" fillcolor="#010101" stroked="false">
              <v:fill type="solid"/>
            </v:rect>
            <v:rect style="position:absolute;left:6449;top:788;width:58;height:12" filled="true" fillcolor="#010101" stroked="false">
              <v:fill type="solid"/>
            </v:rect>
            <v:rect style="position:absolute;left:6548;top:788;width:58;height:12" filled="true" fillcolor="#010101" stroked="false">
              <v:fill type="solid"/>
            </v:rect>
            <v:rect style="position:absolute;left:6648;top:788;width:58;height:12" filled="true" fillcolor="#010101" stroked="false">
              <v:fill type="solid"/>
            </v:rect>
            <v:rect style="position:absolute;left:6747;top:788;width:58;height:12" filled="true" fillcolor="#010101" stroked="false">
              <v:fill type="solid"/>
            </v:rect>
            <v:rect style="position:absolute;left:6848;top:788;width:58;height:12" filled="true" fillcolor="#010101" stroked="false">
              <v:fill type="solid"/>
            </v:rect>
            <v:rect style="position:absolute;left:6946;top:788;width:58;height:12" filled="true" fillcolor="#010101" stroked="false">
              <v:fill type="solid"/>
            </v:rect>
            <v:rect style="position:absolute;left:7047;top:788;width:56;height:12" filled="true" fillcolor="#010101" stroked="false">
              <v:fill type="solid"/>
            </v:rect>
            <v:rect style="position:absolute;left:7145;top:788;width:58;height:12" filled="true" fillcolor="#010101" stroked="false">
              <v:fill type="solid"/>
            </v:rect>
            <v:rect style="position:absolute;left:7246;top:788;width:56;height:12" filled="true" fillcolor="#010101" stroked="false">
              <v:fill type="solid"/>
            </v:rect>
            <v:rect style="position:absolute;left:7344;top:788;width:58;height:12" filled="true" fillcolor="#010101" stroked="false">
              <v:fill type="solid"/>
            </v:rect>
            <v:rect style="position:absolute;left:7445;top:788;width:56;height:12" filled="true" fillcolor="#010101" stroked="false">
              <v:fill type="solid"/>
            </v:rect>
            <v:rect style="position:absolute;left:7544;top:788;width:58;height:12" filled="true" fillcolor="#010101" stroked="false">
              <v:fill type="solid"/>
            </v:rect>
            <v:rect style="position:absolute;left:7644;top:788;width:56;height:12" filled="true" fillcolor="#010101" stroked="false">
              <v:fill type="solid"/>
            </v:rect>
            <v:rect style="position:absolute;left:7743;top:788;width:58;height:12" filled="true" fillcolor="#010101" stroked="false">
              <v:fill type="solid"/>
            </v:rect>
            <v:rect style="position:absolute;left:7844;top:788;width:58;height:12" filled="true" fillcolor="#010101" stroked="false">
              <v:fill type="solid"/>
            </v:rect>
            <v:rect style="position:absolute;left:7942;top:788;width:58;height:12" filled="true" fillcolor="#010101" stroked="false">
              <v:fill type="solid"/>
            </v:rect>
            <v:rect style="position:absolute;left:8043;top:788;width:58;height:12" filled="true" fillcolor="#010101" stroked="false">
              <v:fill type="solid"/>
            </v:rect>
            <v:rect style="position:absolute;left:8141;top:788;width:58;height:12" filled="true" fillcolor="#010101" stroked="false">
              <v:fill type="solid"/>
            </v:rect>
            <v:rect style="position:absolute;left:8242;top:788;width:58;height:12" filled="true" fillcolor="#010101" stroked="false">
              <v:fill type="solid"/>
            </v:rect>
            <v:rect style="position:absolute;left:8340;top:788;width:58;height:12" filled="true" fillcolor="#010101" stroked="false">
              <v:fill type="solid"/>
            </v:rect>
            <v:rect style="position:absolute;left:8441;top:788;width:58;height:12" filled="true" fillcolor="#010101" stroked="false">
              <v:fill type="solid"/>
            </v:rect>
            <v:rect style="position:absolute;left:8540;top:788;width:58;height:12" filled="true" fillcolor="#010101" stroked="false">
              <v:fill type="solid"/>
            </v:rect>
            <v:rect style="position:absolute;left:8640;top:788;width:58;height:12" filled="true" fillcolor="#010101" stroked="false">
              <v:fill type="solid"/>
            </v:rect>
            <v:rect style="position:absolute;left:8739;top:788;width:58;height:12" filled="true" fillcolor="#010101" stroked="false">
              <v:fill type="solid"/>
            </v:rect>
            <v:rect style="position:absolute;left:8840;top:788;width:56;height:12" filled="true" fillcolor="#010101" stroked="false">
              <v:fill type="solid"/>
            </v:rect>
            <v:rect style="position:absolute;left:8938;top:788;width:29;height:12" filled="true" fillcolor="#010101" stroked="false">
              <v:fill type="solid"/>
            </v:rect>
            <v:shape style="position:absolute;left:2751;top:1278;width:32;height:36" coordorigin="2751,1278" coordsize="32,36" path="m2782,1278l2751,1278,2751,1314,2775,1314,2775,1302,2763,1302,2763,1288,2782,1288,2782,1278xm2782,1288l2775,1288,2775,1302,2782,1302,2782,1288xe" filled="true" fillcolor="#010101" stroked="false">
              <v:path arrowok="t"/>
              <v:fill type="solid"/>
            </v:shape>
            <v:rect style="position:absolute;left:2751;top:1335;width:24;height:24" filled="true" fillcolor="#010101" stroked="false">
              <v:fill type="solid"/>
            </v:rect>
            <v:rect style="position:absolute;left:2751;top:1383;width:24;height:24" filled="true" fillcolor="#010101" stroked="false">
              <v:fill type="solid"/>
            </v:rect>
            <v:rect style="position:absolute;left:2751;top:1431;width:24;height:24" filled="true" fillcolor="#010101" stroked="false">
              <v:fill type="solid"/>
            </v:rect>
            <v:rect style="position:absolute;left:2751;top:1479;width:24;height:24" filled="true" fillcolor="#010101" stroked="false">
              <v:fill type="solid"/>
            </v:rect>
            <v:rect style="position:absolute;left:2751;top:1525;width:24;height:24" filled="true" fillcolor="#010101" stroked="false">
              <v:fill type="solid"/>
            </v:rect>
            <v:rect style="position:absolute;left:2751;top:1573;width:24;height:24" filled="true" fillcolor="#010101" stroked="false">
              <v:fill type="solid"/>
            </v:rect>
            <v:rect style="position:absolute;left:2751;top:1621;width:24;height:24" filled="true" fillcolor="#010101" stroked="false">
              <v:fill type="solid"/>
            </v:rect>
            <v:rect style="position:absolute;left:2751;top:1669;width:24;height:22" filled="true" fillcolor="#010101" stroked="false">
              <v:fill type="solid"/>
            </v:rect>
            <v:rect style="position:absolute;left:2751;top:1717;width:24;height:22" filled="true" fillcolor="#010101" stroked="false">
              <v:fill type="solid"/>
            </v:rect>
            <v:rect style="position:absolute;left:2751;top:1763;width:24;height:24" filled="true" fillcolor="#010101" stroked="false">
              <v:fill type="solid"/>
            </v:rect>
            <v:rect style="position:absolute;left:2751;top:1811;width:24;height:24" filled="true" fillcolor="#010101" stroked="false">
              <v:fill type="solid"/>
            </v:rect>
            <v:rect style="position:absolute;left:2751;top:1859;width:24;height:24" filled="true" fillcolor="#010101" stroked="false">
              <v:fill type="solid"/>
            </v:rect>
            <v:rect style="position:absolute;left:2751;top:1904;width:24;height:24" filled="true" fillcolor="#010101" stroked="false">
              <v:fill type="solid"/>
            </v:rect>
            <v:rect style="position:absolute;left:2751;top:1952;width:24;height:24" filled="true" fillcolor="#010101" stroked="false">
              <v:fill type="solid"/>
            </v:rect>
            <v:rect style="position:absolute;left:2751;top:2000;width:24;height:24" filled="true" fillcolor="#010101" stroked="false">
              <v:fill type="solid"/>
            </v:rect>
            <v:rect style="position:absolute;left:2751;top:2048;width:24;height:24" filled="true" fillcolor="#010101" stroked="false">
              <v:fill type="solid"/>
            </v:rect>
            <v:rect style="position:absolute;left:2751;top:2096;width:24;height:22" filled="true" fillcolor="#010101" stroked="false">
              <v:fill type="solid"/>
            </v:rect>
            <v:rect style="position:absolute;left:2751;top:2142;width:24;height:24" filled="true" fillcolor="#010101" stroked="false">
              <v:fill type="solid"/>
            </v:rect>
            <v:rect style="position:absolute;left:2751;top:2190;width:24;height:24" filled="true" fillcolor="#010101" stroked="false">
              <v:fill type="solid"/>
            </v:rect>
            <v:rect style="position:absolute;left:2751;top:2238;width:24;height:24" filled="true" fillcolor="#010101" stroked="false">
              <v:fill type="solid"/>
            </v:rect>
            <v:rect style="position:absolute;left:2751;top:2286;width:24;height:22" filled="true" fillcolor="#010101" stroked="false">
              <v:fill type="solid"/>
            </v:rect>
            <v:rect style="position:absolute;left:2751;top:2334;width:24;height:22" filled="true" fillcolor="#010101" stroked="false">
              <v:fill type="solid"/>
            </v:rect>
            <v:rect style="position:absolute;left:2751;top:2379;width:24;height:24" filled="true" fillcolor="#010101" stroked="false">
              <v:fill type="solid"/>
            </v:rect>
            <v:rect style="position:absolute;left:2751;top:2427;width:24;height:24" filled="true" fillcolor="#010101" stroked="false">
              <v:fill type="solid"/>
            </v:rect>
            <v:rect style="position:absolute;left:2751;top:2475;width:24;height:24" filled="true" fillcolor="#010101" stroked="false">
              <v:fill type="solid"/>
            </v:rect>
            <v:rect style="position:absolute;left:2751;top:2521;width:24;height:24" filled="true" fillcolor="#010101" stroked="false">
              <v:fill type="solid"/>
            </v:rect>
            <v:rect style="position:absolute;left:2751;top:2569;width:24;height:24" filled="true" fillcolor="#010101" stroked="false">
              <v:fill type="solid"/>
            </v:rect>
            <v:rect style="position:absolute;left:2751;top:2617;width:24;height:24" filled="true" fillcolor="#010101" stroked="false">
              <v:fill type="solid"/>
            </v:rect>
            <v:rect style="position:absolute;left:2751;top:2665;width:24;height:24" filled="true" fillcolor="#010101" stroked="false">
              <v:fill type="solid"/>
            </v:rect>
            <v:rect style="position:absolute;left:2751;top:2713;width:24;height:22" filled="true" fillcolor="#010101" stroked="false">
              <v:fill type="solid"/>
            </v:rect>
            <v:rect style="position:absolute;left:2751;top:2759;width:24;height:24" filled="true" fillcolor="#010101" stroked="false">
              <v:fill type="solid"/>
            </v:rect>
            <v:rect style="position:absolute;left:2751;top:2807;width:24;height:24" filled="true" fillcolor="#010101" stroked="false">
              <v:fill type="solid"/>
            </v:rect>
            <v:rect style="position:absolute;left:2751;top:2855;width:24;height:24" filled="true" fillcolor="#010101" stroked="false">
              <v:fill type="solid"/>
            </v:rect>
            <v:rect style="position:absolute;left:2751;top:2903;width:24;height:22" filled="true" fillcolor="#010101" stroked="false">
              <v:fill type="solid"/>
            </v:rect>
            <v:rect style="position:absolute;left:2751;top:2948;width:24;height:24" filled="true" fillcolor="#010101" stroked="false">
              <v:fill type="solid"/>
            </v:rect>
            <v:rect style="position:absolute;left:2751;top:2996;width:24;height:24" filled="true" fillcolor="#010101" stroked="false">
              <v:fill type="solid"/>
            </v:rect>
            <v:rect style="position:absolute;left:2751;top:3044;width:24;height:24" filled="true" fillcolor="#010101" stroked="false">
              <v:fill type="solid"/>
            </v:rect>
            <v:rect style="position:absolute;left:2751;top:3092;width:24;height:24" filled="true" fillcolor="#010101" stroked="false">
              <v:fill type="solid"/>
            </v:rect>
            <v:rect style="position:absolute;left:2751;top:3138;width:24;height:24" filled="true" fillcolor="#010101" stroked="false">
              <v:fill type="solid"/>
            </v:rect>
            <v:rect style="position:absolute;left:2751;top:3186;width:24;height:24" filled="true" fillcolor="#010101" stroked="false">
              <v:fill type="solid"/>
            </v:rect>
            <v:rect style="position:absolute;left:2751;top:3234;width:24;height:24" filled="true" fillcolor="#010101" stroked="false">
              <v:fill type="solid"/>
            </v:rect>
            <v:rect style="position:absolute;left:2751;top:3282;width:24;height:24" filled="true" fillcolor="#010101" stroked="false">
              <v:fill type="solid"/>
            </v:rect>
            <v:rect style="position:absolute;left:2751;top:3327;width:24;height:24" filled="true" fillcolor="#010101" stroked="false">
              <v:fill type="solid"/>
            </v:rect>
            <v:rect style="position:absolute;left:2751;top:3375;width:24;height:24" filled="true" fillcolor="#010101" stroked="false">
              <v:fill type="solid"/>
            </v:rect>
            <v:rect style="position:absolute;left:2751;top:3423;width:24;height:24" filled="true" fillcolor="#010101" stroked="false">
              <v:fill type="solid"/>
            </v:rect>
            <v:rect style="position:absolute;left:2751;top:3471;width:24;height:24" filled="true" fillcolor="#010101" stroked="false">
              <v:fill type="solid"/>
            </v:rect>
            <v:rect style="position:absolute;left:2751;top:3519;width:24;height:22" filled="true" fillcolor="#010101" stroked="false">
              <v:fill type="solid"/>
            </v:rect>
            <v:rect style="position:absolute;left:2751;top:3565;width:24;height:24" filled="true" fillcolor="#010101" stroked="false">
              <v:fill type="solid"/>
            </v:rect>
            <v:rect style="position:absolute;left:2751;top:3613;width:24;height:24" filled="true" fillcolor="#010101" stroked="false">
              <v:fill type="solid"/>
            </v:rect>
            <v:rect style="position:absolute;left:2751;top:3661;width:24;height:24" filled="true" fillcolor="#010101" stroked="false">
              <v:fill type="solid"/>
            </v:rect>
            <v:rect style="position:absolute;left:2751;top:3707;width:24;height:27" filled="true" fillcolor="#010101" stroked="false">
              <v:fill type="solid"/>
            </v:rect>
            <v:rect style="position:absolute;left:2751;top:3755;width:24;height:24" filled="true" fillcolor="#010101" stroked="false">
              <v:fill type="solid"/>
            </v:rect>
            <v:rect style="position:absolute;left:2751;top:3803;width:24;height:24" filled="true" fillcolor="#010101" stroked="false">
              <v:fill type="solid"/>
            </v:rect>
            <v:rect style="position:absolute;left:2751;top:3851;width:24;height:24" filled="true" fillcolor="#010101" stroked="false">
              <v:fill type="solid"/>
            </v:rect>
            <v:rect style="position:absolute;left:2751;top:3899;width:24;height:24" filled="true" fillcolor="#010101" stroked="false">
              <v:fill type="solid"/>
            </v:rect>
            <v:rect style="position:absolute;left:2751;top:3944;width:24;height:24" filled="true" fillcolor="#010101" stroked="false">
              <v:fill type="solid"/>
            </v:rect>
            <v:rect style="position:absolute;left:2751;top:3992;width:24;height:24" filled="true" fillcolor="#010101" stroked="false">
              <v:fill type="solid"/>
            </v:rect>
            <v:rect style="position:absolute;left:2782;top:4009;width:24;height:24" filled="true" fillcolor="#010101" stroked="false">
              <v:fill type="solid"/>
            </v:rect>
            <v:rect style="position:absolute;left:2830;top:4009;width:24;height:24" filled="true" fillcolor="#010101" stroked="false">
              <v:fill type="solid"/>
            </v:rect>
            <v:rect style="position:absolute;left:2878;top:4009;width:24;height:24" filled="true" fillcolor="#010101" stroked="false">
              <v:fill type="solid"/>
            </v:rect>
            <v:rect style="position:absolute;left:2926;top:4009;width:22;height:24" filled="true" fillcolor="#010101" stroked="false">
              <v:fill type="solid"/>
            </v:rect>
            <v:rect style="position:absolute;left:2972;top:4009;width:24;height:24" filled="true" fillcolor="#010101" stroked="false">
              <v:fill type="solid"/>
            </v:rect>
            <v:rect style="position:absolute;left:3020;top:4009;width:24;height:24" filled="true" fillcolor="#010101" stroked="false">
              <v:fill type="solid"/>
            </v:rect>
            <v:rect style="position:absolute;left:3068;top:4009;width:24;height:24" filled="true" fillcolor="#010101" stroked="false">
              <v:fill type="solid"/>
            </v:rect>
            <v:rect style="position:absolute;left:3116;top:4009;width:22;height:24" filled="true" fillcolor="#010101" stroked="false">
              <v:fill type="solid"/>
            </v:rect>
            <v:rect style="position:absolute;left:3161;top:4009;width:24;height:24" filled="true" fillcolor="#010101" stroked="false">
              <v:fill type="solid"/>
            </v:rect>
            <v:rect style="position:absolute;left:3209;top:4009;width:24;height:24" filled="true" fillcolor="#010101" stroked="false">
              <v:fill type="solid"/>
            </v:rect>
            <v:rect style="position:absolute;left:3257;top:4009;width:24;height:24" filled="true" fillcolor="#010101" stroked="false">
              <v:fill type="solid"/>
            </v:rect>
            <v:rect style="position:absolute;left:3305;top:4009;width:24;height:24" filled="true" fillcolor="#010101" stroked="false">
              <v:fill type="solid"/>
            </v:rect>
            <v:rect style="position:absolute;left:3351;top:4009;width:27;height:24" filled="true" fillcolor="#010101" stroked="false">
              <v:fill type="solid"/>
            </v:rect>
            <v:rect style="position:absolute;left:3399;top:4009;width:24;height:24" filled="true" fillcolor="#010101" stroked="false">
              <v:fill type="solid"/>
            </v:rect>
            <v:rect style="position:absolute;left:3447;top:4009;width:24;height:24" filled="true" fillcolor="#010101" stroked="false">
              <v:fill type="solid"/>
            </v:rect>
            <v:rect style="position:absolute;left:3495;top:4009;width:24;height:24" filled="true" fillcolor="#010101" stroked="false">
              <v:fill type="solid"/>
            </v:rect>
            <v:rect style="position:absolute;left:3540;top:4009;width:27;height:24" filled="true" fillcolor="#010101" stroked="false">
              <v:fill type="solid"/>
            </v:rect>
            <v:rect style="position:absolute;left:3588;top:4009;width:24;height:24" filled="true" fillcolor="#010101" stroked="false">
              <v:fill type="solid"/>
            </v:rect>
            <v:rect style="position:absolute;left:3636;top:4009;width:24;height:24" filled="true" fillcolor="#010101" stroked="false">
              <v:fill type="solid"/>
            </v:rect>
            <v:rect style="position:absolute;left:3684;top:4009;width:24;height:24" filled="true" fillcolor="#010101" stroked="false">
              <v:fill type="solid"/>
            </v:rect>
            <v:rect style="position:absolute;left:3732;top:4009;width:24;height:24" filled="true" fillcolor="#010101" stroked="false">
              <v:fill type="solid"/>
            </v:rect>
            <v:rect style="position:absolute;left:3778;top:4009;width:24;height:24" filled="true" fillcolor="#010101" stroked="false">
              <v:fill type="solid"/>
            </v:rect>
            <v:rect style="position:absolute;left:3826;top:4009;width:24;height:24" filled="true" fillcolor="#010101" stroked="false">
              <v:fill type="solid"/>
            </v:rect>
            <v:rect style="position:absolute;left:3874;top:4009;width:24;height:24" filled="true" fillcolor="#010101" stroked="false">
              <v:fill type="solid"/>
            </v:rect>
            <v:rect style="position:absolute;left:3922;top:4009;width:24;height:24" filled="true" fillcolor="#010101" stroked="false">
              <v:fill type="solid"/>
            </v:rect>
            <v:rect style="position:absolute;left:3968;top:4009;width:24;height:24" filled="true" fillcolor="#010101" stroked="false">
              <v:fill type="solid"/>
            </v:rect>
            <v:rect style="position:absolute;left:4016;top:4009;width:24;height:24" filled="true" fillcolor="#010101" stroked="false">
              <v:fill type="solid"/>
            </v:rect>
            <v:rect style="position:absolute;left:4064;top:4009;width:24;height:24" filled="true" fillcolor="#010101" stroked="false">
              <v:fill type="solid"/>
            </v:rect>
            <v:rect style="position:absolute;left:4112;top:4009;width:24;height:24" filled="true" fillcolor="#010101" stroked="false">
              <v:fill type="solid"/>
            </v:rect>
            <v:rect style="position:absolute;left:4157;top:4009;width:24;height:24" filled="true" fillcolor="#010101" stroked="false">
              <v:fill type="solid"/>
            </v:rect>
            <v:rect style="position:absolute;left:4205;top:4009;width:24;height:24" filled="true" fillcolor="#010101" stroked="false">
              <v:fill type="solid"/>
            </v:rect>
            <v:rect style="position:absolute;left:4253;top:4009;width:24;height:24" filled="true" fillcolor="#010101" stroked="false">
              <v:fill type="solid"/>
            </v:rect>
            <v:rect style="position:absolute;left:4301;top:4009;width:24;height:24" filled="true" fillcolor="#010101" stroked="false">
              <v:fill type="solid"/>
            </v:rect>
            <v:rect style="position:absolute;left:4347;top:4009;width:24;height:24" filled="true" fillcolor="#010101" stroked="false">
              <v:fill type="solid"/>
            </v:rect>
            <v:rect style="position:absolute;left:4395;top:4009;width:24;height:24" filled="true" fillcolor="#010101" stroked="false">
              <v:fill type="solid"/>
            </v:rect>
            <v:rect style="position:absolute;left:4443;top:4009;width:24;height:24" filled="true" fillcolor="#010101" stroked="false">
              <v:fill type="solid"/>
            </v:rect>
            <v:rect style="position:absolute;left:4491;top:4009;width:24;height:24" filled="true" fillcolor="#010101" stroked="false">
              <v:fill type="solid"/>
            </v:rect>
            <v:rect style="position:absolute;left:4539;top:4009;width:22;height:24" filled="true" fillcolor="#010101" stroked="false">
              <v:fill type="solid"/>
            </v:rect>
            <v:rect style="position:absolute;left:4584;top:4009;width:24;height:24" filled="true" fillcolor="#010101" stroked="false">
              <v:fill type="solid"/>
            </v:rect>
            <v:rect style="position:absolute;left:4632;top:4009;width:24;height:24" filled="true" fillcolor="#010101" stroked="false">
              <v:fill type="solid"/>
            </v:rect>
            <v:rect style="position:absolute;left:4680;top:4009;width:24;height:24" filled="true" fillcolor="#010101" stroked="false">
              <v:fill type="solid"/>
            </v:rect>
            <v:rect style="position:absolute;left:4728;top:4009;width:22;height:24" filled="true" fillcolor="#010101" stroked="false">
              <v:fill type="solid"/>
            </v:rect>
            <v:rect style="position:absolute;left:4774;top:4009;width:24;height:24" filled="true" fillcolor="#010101" stroked="false">
              <v:fill type="solid"/>
            </v:rect>
            <v:rect style="position:absolute;left:4822;top:4009;width:24;height:24" filled="true" fillcolor="#010101" stroked="false">
              <v:fill type="solid"/>
            </v:rect>
            <v:rect style="position:absolute;left:4870;top:4009;width:24;height:24" filled="true" fillcolor="#010101" stroked="false">
              <v:fill type="solid"/>
            </v:rect>
            <v:rect style="position:absolute;left:4918;top:4009;width:22;height:24" filled="true" fillcolor="#010101" stroked="false">
              <v:fill type="solid"/>
            </v:rect>
            <v:rect style="position:absolute;left:4966;top:4009;width:22;height:24" filled="true" fillcolor="#010101" stroked="false">
              <v:fill type="solid"/>
            </v:rect>
            <v:rect style="position:absolute;left:5012;top:4009;width:24;height:24" filled="true" fillcolor="#010101" stroked="false">
              <v:fill type="solid"/>
            </v:rect>
            <v:rect style="position:absolute;left:5060;top:4009;width:24;height:24" filled="true" fillcolor="#010101" stroked="false">
              <v:fill type="solid"/>
            </v:rect>
            <v:rect style="position:absolute;left:5108;top:4009;width:24;height:24" filled="true" fillcolor="#010101" stroked="false">
              <v:fill type="solid"/>
            </v:rect>
            <v:rect style="position:absolute;left:5156;top:4009;width:22;height:24" filled="true" fillcolor="#010101" stroked="false">
              <v:fill type="solid"/>
            </v:rect>
            <v:rect style="position:absolute;left:5201;top:4009;width:24;height:24" filled="true" fillcolor="#010101" stroked="false">
              <v:fill type="solid"/>
            </v:rect>
            <v:rect style="position:absolute;left:5249;top:4009;width:24;height:24" filled="true" fillcolor="#010101" stroked="false">
              <v:fill type="solid"/>
            </v:rect>
            <v:rect style="position:absolute;left:5297;top:4009;width:24;height:24" filled="true" fillcolor="#010101" stroked="false">
              <v:fill type="solid"/>
            </v:rect>
            <v:rect style="position:absolute;left:5345;top:4009;width:22;height:24" filled="true" fillcolor="#010101" stroked="false">
              <v:fill type="solid"/>
            </v:rect>
            <v:rect style="position:absolute;left:5391;top:4009;width:24;height:24" filled="true" fillcolor="#010101" stroked="false">
              <v:fill type="solid"/>
            </v:rect>
            <v:rect style="position:absolute;left:5439;top:4009;width:24;height:24" filled="true" fillcolor="#010101" stroked="false">
              <v:fill type="solid"/>
            </v:rect>
            <v:rect style="position:absolute;left:5487;top:4009;width:24;height:24" filled="true" fillcolor="#010101" stroked="false">
              <v:fill type="solid"/>
            </v:rect>
            <v:rect style="position:absolute;left:5535;top:4009;width:22;height:24" filled="true" fillcolor="#010101" stroked="false">
              <v:fill type="solid"/>
            </v:rect>
            <v:rect style="position:absolute;left:5580;top:4009;width:24;height:24" filled="true" fillcolor="#010101" stroked="false">
              <v:fill type="solid"/>
            </v:rect>
            <v:rect style="position:absolute;left:5628;top:4009;width:24;height:24" filled="true" fillcolor="#010101" stroked="false">
              <v:fill type="solid"/>
            </v:rect>
            <v:rect style="position:absolute;left:5676;top:4009;width:24;height:24" filled="true" fillcolor="#010101" stroked="false">
              <v:fill type="solid"/>
            </v:rect>
            <v:rect style="position:absolute;left:5724;top:4009;width:24;height:24" filled="true" fillcolor="#010101" stroked="false">
              <v:fill type="solid"/>
            </v:rect>
            <v:rect style="position:absolute;left:5770;top:4009;width:24;height:24" filled="true" fillcolor="#010101" stroked="false">
              <v:fill type="solid"/>
            </v:rect>
            <v:rect style="position:absolute;left:5818;top:4009;width:24;height:24" filled="true" fillcolor="#010101" stroked="false">
              <v:fill type="solid"/>
            </v:rect>
            <v:rect style="position:absolute;left:5866;top:4009;width:24;height:24" filled="true" fillcolor="#010101" stroked="false">
              <v:fill type="solid"/>
            </v:rect>
            <v:rect style="position:absolute;left:5914;top:4009;width:24;height:24" filled="true" fillcolor="#010101" stroked="false">
              <v:fill type="solid"/>
            </v:rect>
            <v:rect style="position:absolute;left:5960;top:4009;width:24;height:24" filled="true" fillcolor="#010101" stroked="false">
              <v:fill type="solid"/>
            </v:rect>
            <v:rect style="position:absolute;left:6008;top:4009;width:24;height:24" filled="true" fillcolor="#010101" stroked="false">
              <v:fill type="solid"/>
            </v:rect>
            <v:rect style="position:absolute;left:6056;top:4009;width:24;height:24" filled="true" fillcolor="#010101" stroked="false">
              <v:fill type="solid"/>
            </v:rect>
            <v:rect style="position:absolute;left:6104;top:4009;width:24;height:24" filled="true" fillcolor="#010101" stroked="false">
              <v:fill type="solid"/>
            </v:rect>
            <v:rect style="position:absolute;left:6149;top:4009;width:24;height:24" filled="true" fillcolor="#010101" stroked="false">
              <v:fill type="solid"/>
            </v:rect>
            <v:rect style="position:absolute;left:6197;top:4009;width:24;height:24" filled="true" fillcolor="#010101" stroked="false">
              <v:fill type="solid"/>
            </v:rect>
            <v:rect style="position:absolute;left:6245;top:4009;width:24;height:24" filled="true" fillcolor="#010101" stroked="false">
              <v:fill type="solid"/>
            </v:rect>
            <v:rect style="position:absolute;left:6293;top:4009;width:24;height:24" filled="true" fillcolor="#010101" stroked="false">
              <v:fill type="solid"/>
            </v:rect>
            <v:rect style="position:absolute;left:6339;top:4009;width:27;height:24" filled="true" fillcolor="#010101" stroked="false">
              <v:fill type="solid"/>
            </v:rect>
            <v:rect style="position:absolute;left:6387;top:4009;width:24;height:24" filled="true" fillcolor="#010101" stroked="false">
              <v:fill type="solid"/>
            </v:rect>
            <v:rect style="position:absolute;left:6435;top:4009;width:24;height:24" filled="true" fillcolor="#010101" stroked="false">
              <v:fill type="solid"/>
            </v:rect>
            <v:rect style="position:absolute;left:6483;top:4009;width:24;height:24" filled="true" fillcolor="#010101" stroked="false">
              <v:fill type="solid"/>
            </v:rect>
            <v:rect style="position:absolute;left:6528;top:4009;width:27;height:24" filled="true" fillcolor="#010101" stroked="false">
              <v:fill type="solid"/>
            </v:rect>
            <v:rect style="position:absolute;left:6576;top:4009;width:24;height:24" filled="true" fillcolor="#010101" stroked="false">
              <v:fill type="solid"/>
            </v:rect>
            <v:shape style="position:absolute;left:6622;top:4007;width:24;height:27" coordorigin="6622,4007" coordsize="24,27" path="m6646,4010l6634,4010,6634,4022,6625,4022,6625,4034,6646,4034,6646,4010xm6646,4007l6622,4007,6622,4022,6625,4022,6625,4010,6646,4010,6646,4007xe" filled="true" fillcolor="#010101" stroked="false">
              <v:path arrowok="t"/>
              <v:fill type="solid"/>
            </v:shape>
            <v:rect style="position:absolute;left:6622;top:3959;width:24;height:24" filled="true" fillcolor="#010101" stroked="false">
              <v:fill type="solid"/>
            </v:rect>
            <v:rect style="position:absolute;left:6622;top:3913;width:24;height:24" filled="true" fillcolor="#010101" stroked="false">
              <v:fill type="solid"/>
            </v:rect>
            <v:rect style="position:absolute;left:6622;top:3865;width:24;height:24" filled="true" fillcolor="#010101" stroked="false">
              <v:fill type="solid"/>
            </v:rect>
            <v:rect style="position:absolute;left:6622;top:3817;width:24;height:24" filled="true" fillcolor="#010101" stroked="false">
              <v:fill type="solid"/>
            </v:rect>
            <v:rect style="position:absolute;left:6622;top:3769;width:24;height:24" filled="true" fillcolor="#010101" stroked="false">
              <v:fill type="solid"/>
            </v:rect>
            <v:rect style="position:absolute;left:6622;top:3721;width:24;height:24" filled="true" fillcolor="#010101" stroked="false">
              <v:fill type="solid"/>
            </v:rect>
            <v:rect style="position:absolute;left:6622;top:3675;width:24;height:24" filled="true" fillcolor="#010101" stroked="false">
              <v:fill type="solid"/>
            </v:rect>
            <v:rect style="position:absolute;left:6622;top:3627;width:24;height:24" filled="true" fillcolor="#010101" stroked="false">
              <v:fill type="solid"/>
            </v:rect>
            <v:rect style="position:absolute;left:6622;top:3579;width:24;height:24" filled="true" fillcolor="#010101" stroked="false">
              <v:fill type="solid"/>
            </v:rect>
            <v:rect style="position:absolute;left:6622;top:3534;width:24;height:22" filled="true" fillcolor="#010101" stroked="false">
              <v:fill type="solid"/>
            </v:rect>
            <v:line style="position:absolute" from="5269,3414" to="7772,3414" stroked="true" strokeweight="1.2pt" strokecolor="#010101">
              <v:stroke dashstyle="solid"/>
            </v:line>
            <v:rect style="position:absolute;left:6622;top:3486;width:24;height:22" filled="true" fillcolor="#010101" stroked="false">
              <v:fill type="solid"/>
            </v:rect>
            <v:rect style="position:absolute;left:6622;top:3438;width:24;height:24" filled="true" fillcolor="#010101" stroked="false">
              <v:fill type="solid"/>
            </v:rect>
            <v:rect style="position:absolute;left:6622;top:3390;width:24;height:24" filled="true" fillcolor="#010101" stroked="false">
              <v:fill type="solid"/>
            </v:rect>
            <v:rect style="position:absolute;left:6622;top:3342;width:24;height:24" filled="true" fillcolor="#010101" stroked="false">
              <v:fill type="solid"/>
            </v:rect>
            <v:rect style="position:absolute;left:6622;top:3296;width:24;height:24" filled="true" fillcolor="#010101" stroked="false">
              <v:fill type="solid"/>
            </v:rect>
            <v:rect style="position:absolute;left:6622;top:3248;width:24;height:24" filled="true" fillcolor="#010101" stroked="false">
              <v:fill type="solid"/>
            </v:rect>
            <v:rect style="position:absolute;left:6622;top:3200;width:24;height:24" filled="true" fillcolor="#010101" stroked="false">
              <v:fill type="solid"/>
            </v:rect>
            <v:rect style="position:absolute;left:6622;top:3152;width:24;height:24" filled="true" fillcolor="#010101" stroked="false">
              <v:fill type="solid"/>
            </v:rect>
            <v:rect style="position:absolute;left:6622;top:3107;width:24;height:24" filled="true" fillcolor="#010101" stroked="false">
              <v:fill type="solid"/>
            </v:rect>
            <v:rect style="position:absolute;left:6622;top:3059;width:24;height:24" filled="true" fillcolor="#010101" stroked="false">
              <v:fill type="solid"/>
            </v:rect>
            <v:rect style="position:absolute;left:6622;top:3011;width:24;height:24" filled="true" fillcolor="#010101" stroked="false">
              <v:fill type="solid"/>
            </v:rect>
            <v:rect style="position:absolute;left:6622;top:2963;width:24;height:24" filled="true" fillcolor="#010101" stroked="false">
              <v:fill type="solid"/>
            </v:rect>
            <v:rect style="position:absolute;left:6622;top:2917;width:24;height:22" filled="true" fillcolor="#010101" stroked="false">
              <v:fill type="solid"/>
            </v:rect>
            <v:rect style="position:absolute;left:6622;top:2869;width:24;height:22" filled="true" fillcolor="#010101" stroked="false">
              <v:fill type="solid"/>
            </v:rect>
            <v:rect style="position:absolute;left:6622;top:2821;width:24;height:24" filled="true" fillcolor="#010101" stroked="false">
              <v:fill type="solid"/>
            </v:rect>
            <v:rect style="position:absolute;left:6622;top:2773;width:24;height:24" filled="true" fillcolor="#010101" stroked="false">
              <v:fill type="solid"/>
            </v:rect>
            <v:rect style="position:absolute;left:6622;top:2725;width:24;height:24" filled="true" fillcolor="#010101" stroked="false">
              <v:fill type="solid"/>
            </v:rect>
            <v:rect style="position:absolute;left:6622;top:2679;width:24;height:24" filled="true" fillcolor="#010101" stroked="false">
              <v:fill type="solid"/>
            </v:rect>
            <v:rect style="position:absolute;left:6622;top:2631;width:24;height:24" filled="true" fillcolor="#010101" stroked="false">
              <v:fill type="solid"/>
            </v:rect>
            <v:rect style="position:absolute;left:6622;top:2583;width:24;height:24" filled="true" fillcolor="#010101" stroked="false">
              <v:fill type="solid"/>
            </v:rect>
            <v:rect style="position:absolute;left:6622;top:2535;width:24;height:24" filled="true" fillcolor="#010101" stroked="false">
              <v:fill type="solid"/>
            </v:rect>
            <v:rect style="position:absolute;left:6622;top:2490;width:24;height:24" filled="true" fillcolor="#010101" stroked="false">
              <v:fill type="solid"/>
            </v:rect>
            <v:rect style="position:absolute;left:6622;top:2442;width:24;height:24" filled="true" fillcolor="#010101" stroked="false">
              <v:fill type="solid"/>
            </v:rect>
            <v:rect style="position:absolute;left:6622;top:2394;width:24;height:24" filled="true" fillcolor="#010101" stroked="false">
              <v:fill type="solid"/>
            </v:rect>
            <v:rect style="position:absolute;left:6622;top:2346;width:24;height:24" filled="true" fillcolor="#010101" stroked="false">
              <v:fill type="solid"/>
            </v:rect>
            <v:rect style="position:absolute;left:6622;top:2300;width:24;height:22" filled="true" fillcolor="#010101" stroked="false">
              <v:fill type="solid"/>
            </v:rect>
            <v:rect style="position:absolute;left:6622;top:2252;width:24;height:24" filled="true" fillcolor="#010101" stroked="false">
              <v:fill type="solid"/>
            </v:rect>
            <v:rect style="position:absolute;left:6622;top:2204;width:24;height:24" filled="true" fillcolor="#010101" stroked="false">
              <v:fill type="solid"/>
            </v:rect>
            <v:rect style="position:absolute;left:6622;top:2156;width:24;height:24" filled="true" fillcolor="#010101" stroked="false">
              <v:fill type="solid"/>
            </v:rect>
            <v:rect style="position:absolute;left:6622;top:2108;width:24;height:24" filled="true" fillcolor="#010101" stroked="false">
              <v:fill type="solid"/>
            </v:rect>
            <v:rect style="position:absolute;left:6622;top:2063;width:24;height:24" filled="true" fillcolor="#010101" stroked="false">
              <v:fill type="solid"/>
            </v:rect>
            <v:rect style="position:absolute;left:6622;top:2015;width:24;height:24" filled="true" fillcolor="#010101" stroked="false">
              <v:fill type="solid"/>
            </v:rect>
            <v:rect style="position:absolute;left:6622;top:1967;width:24;height:24" filled="true" fillcolor="#010101" stroked="false">
              <v:fill type="solid"/>
            </v:rect>
            <v:rect style="position:absolute;left:6622;top:1919;width:24;height:24" filled="true" fillcolor="#010101" stroked="false">
              <v:fill type="solid"/>
            </v:rect>
            <v:rect style="position:absolute;left:6622;top:1873;width:24;height:24" filled="true" fillcolor="#010101" stroked="false">
              <v:fill type="solid"/>
            </v:rect>
            <v:rect style="position:absolute;left:6622;top:1825;width:24;height:24" filled="true" fillcolor="#010101" stroked="false">
              <v:fill type="solid"/>
            </v:rect>
            <v:rect style="position:absolute;left:6622;top:1777;width:24;height:24" filled="true" fillcolor="#010101" stroked="false">
              <v:fill type="solid"/>
            </v:rect>
            <v:rect style="position:absolute;left:6622;top:1731;width:24;height:22" filled="true" fillcolor="#010101" stroked="false">
              <v:fill type="solid"/>
            </v:rect>
            <v:rect style="position:absolute;left:6622;top:1683;width:24;height:22" filled="true" fillcolor="#010101" stroked="false">
              <v:fill type="solid"/>
            </v:rect>
            <v:rect style="position:absolute;left:6622;top:1635;width:24;height:24" filled="true" fillcolor="#010101" stroked="false">
              <v:fill type="solid"/>
            </v:rect>
            <v:rect style="position:absolute;left:6622;top:1587;width:24;height:24" filled="true" fillcolor="#010101" stroked="false">
              <v:fill type="solid"/>
            </v:rect>
            <v:rect style="position:absolute;left:6622;top:1539;width:24;height:24" filled="true" fillcolor="#010101" stroked="false">
              <v:fill type="solid"/>
            </v:rect>
            <v:rect style="position:absolute;left:6622;top:1491;width:24;height:27" filled="true" fillcolor="#010101" stroked="false">
              <v:fill type="solid"/>
            </v:rect>
            <v:rect style="position:absolute;left:6622;top:1446;width:24;height:24" filled="true" fillcolor="#010101" stroked="false">
              <v:fill type="solid"/>
            </v:rect>
            <v:rect style="position:absolute;left:6622;top:1398;width:24;height:24" filled="true" fillcolor="#010101" stroked="false">
              <v:fill type="solid"/>
            </v:rect>
            <v:rect style="position:absolute;left:6622;top:1350;width:24;height:24" filled="true" fillcolor="#010101" stroked="false">
              <v:fill type="solid"/>
            </v:rect>
            <v:rect style="position:absolute;left:6622;top:1302;width:24;height:24" filled="true" fillcolor="#010101" stroked="false">
              <v:fill type="solid"/>
            </v:rect>
            <v:rect style="position:absolute;left:6600;top:1278;width:24;height:24" filled="true" fillcolor="#010101" stroked="false">
              <v:fill type="solid"/>
            </v:rect>
            <v:rect style="position:absolute;left:6555;top:1278;width:22;height:24" filled="true" fillcolor="#010101" stroked="false">
              <v:fill type="solid"/>
            </v:rect>
            <v:rect style="position:absolute;left:6507;top:1278;width:22;height:24" filled="true" fillcolor="#010101" stroked="false">
              <v:fill type="solid"/>
            </v:rect>
            <v:rect style="position:absolute;left:6459;top:1278;width:24;height:24" filled="true" fillcolor="#010101" stroked="false">
              <v:fill type="solid"/>
            </v:rect>
            <v:rect style="position:absolute;left:6411;top:1278;width:24;height:24" filled="true" fillcolor="#010101" stroked="false">
              <v:fill type="solid"/>
            </v:rect>
            <v:rect style="position:absolute;left:6365;top:1278;width:22;height:24" filled="true" fillcolor="#010101" stroked="false">
              <v:fill type="solid"/>
            </v:rect>
            <v:rect style="position:absolute;left:6317;top:1278;width:22;height:24" filled="true" fillcolor="#010101" stroked="false">
              <v:fill type="solid"/>
            </v:rect>
            <v:rect style="position:absolute;left:6269;top:1278;width:24;height:24" filled="true" fillcolor="#010101" stroked="false">
              <v:fill type="solid"/>
            </v:rect>
            <v:rect style="position:absolute;left:6221;top:1278;width:24;height:24" filled="true" fillcolor="#010101" stroked="false">
              <v:fill type="solid"/>
            </v:rect>
            <v:rect style="position:absolute;left:6173;top:1278;width:24;height:24" filled="true" fillcolor="#010101" stroked="false">
              <v:fill type="solid"/>
            </v:rect>
            <v:rect style="position:absolute;left:6128;top:1278;width:22;height:24" filled="true" fillcolor="#010101" stroked="false">
              <v:fill type="solid"/>
            </v:rect>
            <v:rect style="position:absolute;left:6080;top:1278;width:24;height:24" filled="true" fillcolor="#010101" stroked="false">
              <v:fill type="solid"/>
            </v:rect>
            <v:rect style="position:absolute;left:6032;top:1278;width:24;height:24" filled="true" fillcolor="#010101" stroked="false">
              <v:fill type="solid"/>
            </v:rect>
            <v:rect style="position:absolute;left:5984;top:1278;width:24;height:24" filled="true" fillcolor="#010101" stroked="false">
              <v:fill type="solid"/>
            </v:rect>
            <v:rect style="position:absolute;left:5938;top:1278;width:22;height:24" filled="true" fillcolor="#010101" stroked="false">
              <v:fill type="solid"/>
            </v:rect>
            <v:rect style="position:absolute;left:5890;top:1278;width:24;height:24" filled="true" fillcolor="#010101" stroked="false">
              <v:fill type="solid"/>
            </v:rect>
            <v:rect style="position:absolute;left:5842;top:1278;width:24;height:24" filled="true" fillcolor="#010101" stroked="false">
              <v:fill type="solid"/>
            </v:rect>
            <v:rect style="position:absolute;left:5794;top:1278;width:24;height:24" filled="true" fillcolor="#010101" stroked="false">
              <v:fill type="solid"/>
            </v:rect>
            <v:rect style="position:absolute;left:5748;top:1278;width:22;height:24" filled="true" fillcolor="#010101" stroked="false">
              <v:fill type="solid"/>
            </v:rect>
            <v:rect style="position:absolute;left:5700;top:1278;width:24;height:24" filled="true" fillcolor="#010101" stroked="false">
              <v:fill type="solid"/>
            </v:rect>
            <v:rect style="position:absolute;left:5652;top:1278;width:24;height:24" filled="true" fillcolor="#010101" stroked="false">
              <v:fill type="solid"/>
            </v:rect>
            <v:rect style="position:absolute;left:5604;top:1278;width:24;height:24" filled="true" fillcolor="#010101" stroked="false">
              <v:fill type="solid"/>
            </v:rect>
            <v:rect style="position:absolute;left:5556;top:1278;width:24;height:24" filled="true" fillcolor="#010101" stroked="false">
              <v:fill type="solid"/>
            </v:rect>
            <v:rect style="position:absolute;left:5511;top:1278;width:24;height:24" filled="true" fillcolor="#010101" stroked="false">
              <v:fill type="solid"/>
            </v:rect>
            <v:rect style="position:absolute;left:5463;top:1278;width:24;height:24" filled="true" fillcolor="#010101" stroked="false">
              <v:fill type="solid"/>
            </v:rect>
            <v:rect style="position:absolute;left:5415;top:1278;width:24;height:24" filled="true" fillcolor="#010101" stroked="false">
              <v:fill type="solid"/>
            </v:rect>
            <v:rect style="position:absolute;left:5367;top:1278;width:24;height:24" filled="true" fillcolor="#010101" stroked="false">
              <v:fill type="solid"/>
            </v:rect>
            <v:rect style="position:absolute;left:5321;top:1278;width:24;height:24" filled="true" fillcolor="#010101" stroked="false">
              <v:fill type="solid"/>
            </v:rect>
            <v:rect style="position:absolute;left:5273;top:1278;width:24;height:24" filled="true" fillcolor="#010101" stroked="false">
              <v:fill type="solid"/>
            </v:rect>
            <v:rect style="position:absolute;left:5225;top:1278;width:24;height:24" filled="true" fillcolor="#010101" stroked="false">
              <v:fill type="solid"/>
            </v:rect>
            <v:rect style="position:absolute;left:5177;top:1278;width:24;height:24" filled="true" fillcolor="#010101" stroked="false">
              <v:fill type="solid"/>
            </v:rect>
            <v:rect style="position:absolute;left:5132;top:1278;width:24;height:24" filled="true" fillcolor="#010101" stroked="false">
              <v:fill type="solid"/>
            </v:rect>
            <v:rect style="position:absolute;left:5084;top:1278;width:24;height:24" filled="true" fillcolor="#010101" stroked="false">
              <v:fill type="solid"/>
            </v:rect>
            <v:rect style="position:absolute;left:5036;top:1278;width:24;height:24" filled="true" fillcolor="#010101" stroked="false">
              <v:fill type="solid"/>
            </v:rect>
            <v:rect style="position:absolute;left:4988;top:1278;width:24;height:24" filled="true" fillcolor="#010101" stroked="false">
              <v:fill type="solid"/>
            </v:rect>
            <v:rect style="position:absolute;left:4940;top:1278;width:27;height:24" filled="true" fillcolor="#010101" stroked="false">
              <v:fill type="solid"/>
            </v:rect>
            <v:rect style="position:absolute;left:4894;top:1278;width:24;height:24" filled="true" fillcolor="#010101" stroked="false">
              <v:fill type="solid"/>
            </v:rect>
            <v:rect style="position:absolute;left:4846;top:1278;width:24;height:24" filled="true" fillcolor="#010101" stroked="false">
              <v:fill type="solid"/>
            </v:rect>
            <v:rect style="position:absolute;left:4798;top:1278;width:24;height:24" filled="true" fillcolor="#010101" stroked="false">
              <v:fill type="solid"/>
            </v:rect>
            <v:rect style="position:absolute;left:4750;top:1278;width:24;height:24" filled="true" fillcolor="#010101" stroked="false">
              <v:fill type="solid"/>
            </v:rect>
            <v:rect style="position:absolute;left:4704;top:1278;width:24;height:24" filled="true" fillcolor="#010101" stroked="false">
              <v:fill type="solid"/>
            </v:rect>
            <v:rect style="position:absolute;left:4656;top:1278;width:24;height:24" filled="true" fillcolor="#010101" stroked="false">
              <v:fill type="solid"/>
            </v:rect>
            <v:rect style="position:absolute;left:4608;top:1278;width:24;height:24" filled="true" fillcolor="#010101" stroked="false">
              <v:fill type="solid"/>
            </v:rect>
            <v:rect style="position:absolute;left:4560;top:1278;width:24;height:24" filled="true" fillcolor="#010101" stroked="false">
              <v:fill type="solid"/>
            </v:rect>
            <v:rect style="position:absolute;left:4515;top:1278;width:24;height:24" filled="true" fillcolor="#010101" stroked="false">
              <v:fill type="solid"/>
            </v:rect>
            <v:rect style="position:absolute;left:4467;top:1278;width:24;height:24" filled="true" fillcolor="#010101" stroked="false">
              <v:fill type="solid"/>
            </v:rect>
            <v:rect style="position:absolute;left:4419;top:1278;width:24;height:24" filled="true" fillcolor="#010101" stroked="false">
              <v:fill type="solid"/>
            </v:rect>
            <v:rect style="position:absolute;left:4371;top:1278;width:24;height:24" filled="true" fillcolor="#010101" stroked="false">
              <v:fill type="solid"/>
            </v:rect>
            <v:rect style="position:absolute;left:4325;top:1278;width:22;height:24" filled="true" fillcolor="#010101" stroked="false">
              <v:fill type="solid"/>
            </v:rect>
            <v:rect style="position:absolute;left:4277;top:1278;width:24;height:24" filled="true" fillcolor="#010101" stroked="false">
              <v:fill type="solid"/>
            </v:rect>
            <v:rect style="position:absolute;left:4229;top:1278;width:24;height:24" filled="true" fillcolor="#010101" stroked="false">
              <v:fill type="solid"/>
            </v:rect>
            <v:rect style="position:absolute;left:4181;top:1278;width:24;height:24" filled="true" fillcolor="#010101" stroked="false">
              <v:fill type="solid"/>
            </v:rect>
            <v:rect style="position:absolute;left:4136;top:1278;width:22;height:24" filled="true" fillcolor="#010101" stroked="false">
              <v:fill type="solid"/>
            </v:rect>
            <v:rect style="position:absolute;left:4088;top:1278;width:24;height:24" filled="true" fillcolor="#010101" stroked="false">
              <v:fill type="solid"/>
            </v:rect>
            <v:rect style="position:absolute;left:4040;top:1278;width:24;height:24" filled="true" fillcolor="#010101" stroked="false">
              <v:fill type="solid"/>
            </v:rect>
            <v:rect style="position:absolute;left:3992;top:1278;width:24;height:24" filled="true" fillcolor="#010101" stroked="false">
              <v:fill type="solid"/>
            </v:rect>
            <v:rect style="position:absolute;left:3946;top:1278;width:22;height:24" filled="true" fillcolor="#010101" stroked="false">
              <v:fill type="solid"/>
            </v:rect>
            <v:rect style="position:absolute;left:3898;top:1278;width:24;height:24" filled="true" fillcolor="#010101" stroked="false">
              <v:fill type="solid"/>
            </v:rect>
            <v:rect style="position:absolute;left:3850;top:1278;width:24;height:24" filled="true" fillcolor="#010101" stroked="false">
              <v:fill type="solid"/>
            </v:rect>
            <v:rect style="position:absolute;left:3802;top:1278;width:24;height:24" filled="true" fillcolor="#010101" stroked="false">
              <v:fill type="solid"/>
            </v:rect>
            <v:rect style="position:absolute;left:3756;top:1278;width:22;height:24" filled="true" fillcolor="#010101" stroked="false">
              <v:fill type="solid"/>
            </v:rect>
            <v:rect style="position:absolute;left:3708;top:1278;width:24;height:24" filled="true" fillcolor="#010101" stroked="false">
              <v:fill type="solid"/>
            </v:rect>
            <v:rect style="position:absolute;left:3660;top:1278;width:24;height:24" filled="true" fillcolor="#010101" stroked="false">
              <v:fill type="solid"/>
            </v:rect>
            <v:rect style="position:absolute;left:3612;top:1278;width:24;height:24" filled="true" fillcolor="#010101" stroked="false">
              <v:fill type="solid"/>
            </v:rect>
            <v:rect style="position:absolute;left:3567;top:1278;width:22;height:24" filled="true" fillcolor="#010101" stroked="false">
              <v:fill type="solid"/>
            </v:rect>
            <v:rect style="position:absolute;left:3519;top:1278;width:22;height:24" filled="true" fillcolor="#010101" stroked="false">
              <v:fill type="solid"/>
            </v:rect>
            <v:rect style="position:absolute;left:3471;top:1278;width:24;height:24" filled="true" fillcolor="#010101" stroked="false">
              <v:fill type="solid"/>
            </v:rect>
            <v:rect style="position:absolute;left:3423;top:1278;width:24;height:24" filled="true" fillcolor="#010101" stroked="false">
              <v:fill type="solid"/>
            </v:rect>
            <v:rect style="position:absolute;left:3377;top:1278;width:22;height:24" filled="true" fillcolor="#010101" stroked="false">
              <v:fill type="solid"/>
            </v:rect>
            <v:rect style="position:absolute;left:3329;top:1278;width:22;height:24" filled="true" fillcolor="#010101" stroked="false">
              <v:fill type="solid"/>
            </v:rect>
            <v:rect style="position:absolute;left:3281;top:1278;width:24;height:24" filled="true" fillcolor="#010101" stroked="false">
              <v:fill type="solid"/>
            </v:rect>
            <v:rect style="position:absolute;left:3233;top:1278;width:24;height:24" filled="true" fillcolor="#010101" stroked="false">
              <v:fill type="solid"/>
            </v:rect>
            <v:rect style="position:absolute;left:3185;top:1278;width:24;height:24" filled="true" fillcolor="#010101" stroked="false">
              <v:fill type="solid"/>
            </v:rect>
            <v:rect style="position:absolute;left:3137;top:1278;width:24;height:24" filled="true" fillcolor="#010101" stroked="false">
              <v:fill type="solid"/>
            </v:rect>
            <v:rect style="position:absolute;left:3092;top:1278;width:24;height:24" filled="true" fillcolor="#010101" stroked="false">
              <v:fill type="solid"/>
            </v:rect>
            <v:rect style="position:absolute;left:3044;top:1278;width:24;height:24" filled="true" fillcolor="#010101" stroked="false">
              <v:fill type="solid"/>
            </v:rect>
            <v:rect style="position:absolute;left:2996;top:1278;width:24;height:24" filled="true" fillcolor="#010101" stroked="false">
              <v:fill type="solid"/>
            </v:rect>
            <v:rect style="position:absolute;left:2948;top:1278;width:24;height:24" filled="true" fillcolor="#010101" stroked="false">
              <v:fill type="solid"/>
            </v:rect>
            <v:rect style="position:absolute;left:2902;top:1278;width:24;height:24" filled="true" fillcolor="#010101" stroked="false">
              <v:fill type="solid"/>
            </v:rect>
            <v:rect style="position:absolute;left:2854;top:1278;width:24;height:24" filled="true" fillcolor="#010101" stroked="false">
              <v:fill type="solid"/>
            </v:rect>
            <v:rect style="position:absolute;left:2806;top:1278;width:24;height:24" filled="true" fillcolor="#010101" stroked="false">
              <v:fill type="solid"/>
            </v:rect>
            <v:rect style="position:absolute;left:5655;top:1875;width:24;height:96" filled="true" fillcolor="#010101" stroked="false">
              <v:fill type="solid"/>
            </v:rect>
            <v:rect style="position:absolute;left:5655;top:2041;width:24;height:96" filled="true" fillcolor="#010101" stroked="false">
              <v:fill type="solid"/>
            </v:rect>
            <v:rect style="position:absolute;left:5655;top:2207;width:24;height:96" filled="true" fillcolor="#010101" stroked="false">
              <v:fill type="solid"/>
            </v:rect>
            <v:rect style="position:absolute;left:5655;top:2375;width:24;height:94" filled="true" fillcolor="#010101" stroked="false">
              <v:fill type="solid"/>
            </v:rect>
            <v:rect style="position:absolute;left:5655;top:2540;width:24;height:94" filled="true" fillcolor="#010101" stroked="false">
              <v:fill type="solid"/>
            </v:rect>
            <v:rect style="position:absolute;left:5655;top:2706;width:24;height:94" filled="true" fillcolor="#010101" stroked="false">
              <v:fill type="solid"/>
            </v:rect>
            <v:rect style="position:absolute;left:5655;top:2871;width:24;height:96" filled="true" fillcolor="#010101" stroked="false">
              <v:fill type="solid"/>
            </v:rect>
            <v:rect style="position:absolute;left:5655;top:3037;width:24;height:96" filled="true" fillcolor="#010101" stroked="false">
              <v:fill type="solid"/>
            </v:rect>
            <v:rect style="position:absolute;left:5686;top:3174;width:94;height:22" filled="true" fillcolor="#010101" stroked="false">
              <v:fill type="solid"/>
            </v:rect>
            <v:rect style="position:absolute;left:5852;top:3174;width:94;height:22" filled="true" fillcolor="#010101" stroked="false">
              <v:fill type="solid"/>
            </v:rect>
            <v:rect style="position:absolute;left:6017;top:3174;width:94;height:22" filled="true" fillcolor="#010101" stroked="false">
              <v:fill type="solid"/>
            </v:rect>
            <v:rect style="position:absolute;left:6183;top:3174;width:96;height:22" filled="true" fillcolor="#010101" stroked="false">
              <v:fill type="solid"/>
            </v:rect>
            <v:shape style="position:absolute;left:6348;top:3147;width:70;height:48" coordorigin="6349,3148" coordsize="70,48" path="m6394,3174l6349,3174,6349,3196,6418,3196,6418,3186,6394,3186,6394,3174xm6418,3148l6394,3148,6394,3174,6406,3174,6406,3186,6418,3186,6418,3148xe" filled="true" fillcolor="#010101" stroked="false">
              <v:path arrowok="t"/>
              <v:fill type="solid"/>
            </v:shape>
            <v:rect style="position:absolute;left:6394;top:2979;width:24;height:96" filled="true" fillcolor="#010101" stroked="false">
              <v:fill type="solid"/>
            </v:rect>
            <v:rect style="position:absolute;left:6394;top:2814;width:24;height:96" filled="true" fillcolor="#010101" stroked="false">
              <v:fill type="solid"/>
            </v:rect>
            <v:rect style="position:absolute;left:6394;top:2648;width:24;height:96" filled="true" fillcolor="#010101" stroked="false">
              <v:fill type="solid"/>
            </v:rect>
            <v:rect style="position:absolute;left:6394;top:2483;width:24;height:94" filled="true" fillcolor="#010101" stroked="false">
              <v:fill type="solid"/>
            </v:rect>
            <v:rect style="position:absolute;left:6394;top:2317;width:24;height:94" filled="true" fillcolor="#010101" stroked="false">
              <v:fill type="solid"/>
            </v:rect>
            <v:rect style="position:absolute;left:6394;top:2151;width:24;height:94" filled="true" fillcolor="#010101" stroked="false">
              <v:fill type="solid"/>
            </v:rect>
            <v:rect style="position:absolute;left:6394;top:1986;width:24;height:94" filled="true" fillcolor="#010101" stroked="false">
              <v:fill type="solid"/>
            </v:rect>
            <v:shape style="position:absolute;left:6348;top:1863;width:70;height:51" coordorigin="6349,1864" coordsize="70,51" path="m6418,1876l6406,1876,6406,1888,6394,1888,6394,1914,6418,1914,6418,1876xm6418,1864l6349,1864,6349,1888,6394,1888,6394,1876,6418,1876,6418,1864xe" filled="true" fillcolor="#010101" stroked="false">
              <v:path arrowok="t"/>
              <v:fill type="solid"/>
            </v:shape>
            <v:rect style="position:absolute;left:6183;top:1863;width:96;height:24" filled="true" fillcolor="#010101" stroked="false">
              <v:fill type="solid"/>
            </v:rect>
            <v:rect style="position:absolute;left:6017;top:1863;width:94;height:24" filled="true" fillcolor="#010101" stroked="false">
              <v:fill type="solid"/>
            </v:rect>
            <v:rect style="position:absolute;left:5852;top:1863;width:94;height:24" filled="true" fillcolor="#010101" stroked="false">
              <v:fill type="solid"/>
            </v:rect>
            <v:rect style="position:absolute;left:5686;top:1863;width:94;height:24" filled="true" fillcolor="#010101" stroked="false">
              <v:fill type="solid"/>
            </v:rect>
            <v:line style="position:absolute" from="4028,2505" to="4609,2505" stroked="true" strokeweight="2.88pt" strokecolor="#010101">
              <v:stroke dashstyle="solid"/>
            </v:line>
            <v:shape style="position:absolute;left:4608;top:2367;width:89;height:274" coordorigin="4609,2368" coordsize="89,274" path="m4609,2368l4609,2642,4698,2502,4609,2368xe" filled="true" fillcolor="#010101" stroked="false">
              <v:path arrowok="t"/>
              <v:fill type="solid"/>
            </v:shape>
            <v:rect style="position:absolute;left:4697;top:1875;width:970;height:1311" filled="false" stroked="true" strokeweight="1.18pt" strokecolor="#010101">
              <v:stroke dashstyle="solid"/>
            </v:rect>
            <v:rect style="position:absolute;left:6053;top:1779;width:24;height:96" filled="true" fillcolor="#010101" stroked="false">
              <v:fill type="solid"/>
            </v:rect>
            <v:rect style="position:absolute;left:6053;top:1614;width:24;height:96" filled="true" fillcolor="#010101" stroked="false">
              <v:fill type="solid"/>
            </v:rect>
            <v:rect style="position:absolute;left:6053;top:1448;width:24;height:96" filled="true" fillcolor="#010101" stroked="false">
              <v:fill type="solid"/>
            </v:rect>
            <v:rect style="position:absolute;left:6053;top:1283;width:24;height:94" filled="true" fillcolor="#010101" stroked="false">
              <v:fill type="solid"/>
            </v:rect>
            <v:rect style="position:absolute;left:6053;top:1117;width:24;height:94" filled="true" fillcolor="#010101" stroked="false">
              <v:fill type="solid"/>
            </v:rect>
            <v:rect style="position:absolute;left:6053;top:951;width:24;height:94" filled="true" fillcolor="#010101" stroked="false">
              <v:fill type="solid"/>
            </v:rect>
            <v:rect style="position:absolute;left:6053;top:786;width:24;height:94" filled="true" fillcolor="#010101" stroked="false">
              <v:fill type="solid"/>
            </v:rect>
            <v:rect style="position:absolute;left:6053;top:618;width:24;height:96" filled="true" fillcolor="#010101" stroked="false">
              <v:fill type="solid"/>
            </v:rect>
            <v:shape style="position:absolute;left:6008;top:452;width:116;height:116" coordorigin="6008,453" coordsize="116,116" path="m6066,453l6008,568,6123,568,6066,453xe" filled="true" fillcolor="#010101" stroked="false">
              <v:path arrowok="t"/>
              <v:fill type="solid"/>
            </v:shape>
            <v:rect style="position:absolute;left:8273;top:1875;width:24;height:96" filled="true" fillcolor="#010101" stroked="false">
              <v:fill type="solid"/>
            </v:rect>
            <v:rect style="position:absolute;left:8273;top:2041;width:24;height:96" filled="true" fillcolor="#010101" stroked="false">
              <v:fill type="solid"/>
            </v:rect>
            <v:rect style="position:absolute;left:8273;top:2207;width:24;height:96" filled="true" fillcolor="#010101" stroked="false">
              <v:fill type="solid"/>
            </v:rect>
            <v:rect style="position:absolute;left:8273;top:2375;width:24;height:94" filled="true" fillcolor="#010101" stroked="false">
              <v:fill type="solid"/>
            </v:rect>
            <v:rect style="position:absolute;left:8273;top:2540;width:24;height:94" filled="true" fillcolor="#010101" stroked="false">
              <v:fill type="solid"/>
            </v:rect>
            <v:rect style="position:absolute;left:8273;top:2706;width:24;height:94" filled="true" fillcolor="#010101" stroked="false">
              <v:fill type="solid"/>
            </v:rect>
            <v:rect style="position:absolute;left:8273;top:2871;width:24;height:96" filled="true" fillcolor="#010101" stroked="false">
              <v:fill type="solid"/>
            </v:rect>
            <v:rect style="position:absolute;left:8273;top:3037;width:24;height:96" filled="true" fillcolor="#010101" stroked="false">
              <v:fill type="solid"/>
            </v:rect>
            <v:rect style="position:absolute;left:8304;top:3174;width:94;height:22" filled="true" fillcolor="#010101" stroked="false">
              <v:fill type="solid"/>
            </v:rect>
            <v:rect style="position:absolute;left:8470;top:3174;width:94;height:22" filled="true" fillcolor="#010101" stroked="false">
              <v:fill type="solid"/>
            </v:rect>
            <v:rect style="position:absolute;left:8636;top:3174;width:94;height:22" filled="true" fillcolor="#010101" stroked="false">
              <v:fill type="solid"/>
            </v:rect>
            <v:rect style="position:absolute;left:8801;top:3174;width:94;height:22" filled="true" fillcolor="#010101" stroked="false">
              <v:fill type="solid"/>
            </v:rect>
            <v:shape style="position:absolute;left:8967;top:3147;width:70;height:48" coordorigin="8967,3148" coordsize="70,48" path="m9013,3174l8967,3174,8967,3196,9037,3196,9037,3186,9013,3186,9013,3174xm9037,3148l9013,3148,9013,3174,9025,3174,9025,3186,9037,3186,9037,3148xe" filled="true" fillcolor="#010101" stroked="false">
              <v:path arrowok="t"/>
              <v:fill type="solid"/>
            </v:shape>
            <v:rect style="position:absolute;left:9012;top:2979;width:24;height:96" filled="true" fillcolor="#010101" stroked="false">
              <v:fill type="solid"/>
            </v:rect>
            <v:rect style="position:absolute;left:9012;top:2814;width:24;height:96" filled="true" fillcolor="#010101" stroked="false">
              <v:fill type="solid"/>
            </v:rect>
            <v:rect style="position:absolute;left:9012;top:2648;width:24;height:96" filled="true" fillcolor="#010101" stroked="false">
              <v:fill type="solid"/>
            </v:rect>
            <v:rect style="position:absolute;left:9012;top:2483;width:24;height:94" filled="true" fillcolor="#010101" stroked="false">
              <v:fill type="solid"/>
            </v:rect>
            <v:rect style="position:absolute;left:9012;top:2317;width:24;height:94" filled="true" fillcolor="#010101" stroked="false">
              <v:fill type="solid"/>
            </v:rect>
            <v:rect style="position:absolute;left:9012;top:2151;width:24;height:94" filled="true" fillcolor="#010101" stroked="false">
              <v:fill type="solid"/>
            </v:rect>
            <v:rect style="position:absolute;left:9012;top:1986;width:24;height:94" filled="true" fillcolor="#010101" stroked="false">
              <v:fill type="solid"/>
            </v:rect>
            <v:shape style="position:absolute;left:8967;top:1863;width:70;height:51" coordorigin="8967,1864" coordsize="70,51" path="m9037,1876l9025,1876,9025,1888,9013,1888,9013,1914,9037,1914,9037,1876xm9037,1864l8967,1864,8967,1888,9013,1888,9013,1876,9037,1876,9037,1864xe" filled="true" fillcolor="#010101" stroked="false">
              <v:path arrowok="t"/>
              <v:fill type="solid"/>
            </v:shape>
            <v:rect style="position:absolute;left:8801;top:1863;width:94;height:24" filled="true" fillcolor="#010101" stroked="false">
              <v:fill type="solid"/>
            </v:rect>
            <v:rect style="position:absolute;left:8636;top:1863;width:94;height:24" filled="true" fillcolor="#010101" stroked="false">
              <v:fill type="solid"/>
            </v:rect>
            <v:rect style="position:absolute;left:8470;top:1863;width:94;height:24" filled="true" fillcolor="#010101" stroked="false">
              <v:fill type="solid"/>
            </v:rect>
            <v:rect style="position:absolute;left:8304;top:1863;width:94;height:24" filled="true" fillcolor="#010101" stroked="false">
              <v:fill type="solid"/>
            </v:rect>
            <v:rect style="position:absolute;left:7316;top:1875;width:970;height:1311" filled="false" stroked="true" strokeweight="1.18pt" strokecolor="#010101">
              <v:stroke dashstyle="solid"/>
            </v:rect>
            <v:rect style="position:absolute;left:7133;top:1307;width:24;height:24" filled="true" fillcolor="#010101" stroked="false">
              <v:fill type="solid"/>
            </v:rect>
            <v:rect style="position:absolute;left:7133;top:1355;width:24;height:22" filled="true" fillcolor="#010101" stroked="false">
              <v:fill type="solid"/>
            </v:rect>
            <v:rect style="position:absolute;left:7133;top:1400;width:24;height:24" filled="true" fillcolor="#010101" stroked="false">
              <v:fill type="solid"/>
            </v:rect>
            <v:rect style="position:absolute;left:7133;top:1448;width:24;height:24" filled="true" fillcolor="#010101" stroked="false">
              <v:fill type="solid"/>
            </v:rect>
            <v:rect style="position:absolute;left:7133;top:1496;width:24;height:24" filled="true" fillcolor="#010101" stroked="false">
              <v:fill type="solid"/>
            </v:rect>
            <v:rect style="position:absolute;left:7133;top:1544;width:24;height:24" filled="true" fillcolor="#010101" stroked="false">
              <v:fill type="solid"/>
            </v:rect>
            <v:rect style="position:absolute;left:7133;top:1590;width:24;height:24" filled="true" fillcolor="#010101" stroked="false">
              <v:fill type="solid"/>
            </v:rect>
            <v:rect style="position:absolute;left:7133;top:1638;width:24;height:24" filled="true" fillcolor="#010101" stroked="false">
              <v:fill type="solid"/>
            </v:rect>
            <v:rect style="position:absolute;left:7133;top:1686;width:24;height:24" filled="true" fillcolor="#010101" stroked="false">
              <v:fill type="solid"/>
            </v:rect>
            <v:rect style="position:absolute;left:7133;top:1734;width:24;height:24" filled="true" fillcolor="#010101" stroked="false">
              <v:fill type="solid"/>
            </v:rect>
            <v:rect style="position:absolute;left:7133;top:1779;width:24;height:24" filled="true" fillcolor="#010101" stroked="false">
              <v:fill type="solid"/>
            </v:rect>
            <v:rect style="position:absolute;left:7133;top:1827;width:24;height:24" filled="true" fillcolor="#010101" stroked="false">
              <v:fill type="solid"/>
            </v:rect>
            <v:rect style="position:absolute;left:7133;top:1875;width:24;height:24" filled="true" fillcolor="#010101" stroked="false">
              <v:fill type="solid"/>
            </v:rect>
            <v:rect style="position:absolute;left:7133;top:1923;width:24;height:24" filled="true" fillcolor="#010101" stroked="false">
              <v:fill type="solid"/>
            </v:rect>
            <v:rect style="position:absolute;left:7133;top:1971;width:24;height:22" filled="true" fillcolor="#010101" stroked="false">
              <v:fill type="solid"/>
            </v:rect>
            <v:rect style="position:absolute;left:7133;top:2017;width:24;height:24" filled="true" fillcolor="#010101" stroked="false">
              <v:fill type="solid"/>
            </v:rect>
            <v:rect style="position:absolute;left:7133;top:2065;width:24;height:24" filled="true" fillcolor="#010101" stroked="false">
              <v:fill type="solid"/>
            </v:rect>
            <v:rect style="position:absolute;left:7133;top:2113;width:24;height:24" filled="true" fillcolor="#010101" stroked="false">
              <v:fill type="solid"/>
            </v:rect>
            <v:rect style="position:absolute;left:7133;top:2161;width:24;height:24" filled="true" fillcolor="#010101" stroked="false">
              <v:fill type="solid"/>
            </v:rect>
            <v:rect style="position:absolute;left:7133;top:2207;width:24;height:24" filled="true" fillcolor="#010101" stroked="false">
              <v:fill type="solid"/>
            </v:rect>
            <v:rect style="position:absolute;left:7133;top:2255;width:24;height:24" filled="true" fillcolor="#010101" stroked="false">
              <v:fill type="solid"/>
            </v:rect>
            <v:rect style="position:absolute;left:7133;top:2303;width:24;height:24" filled="true" fillcolor="#010101" stroked="false">
              <v:fill type="solid"/>
            </v:rect>
            <v:rect style="position:absolute;left:7133;top:2351;width:24;height:24" filled="true" fillcolor="#010101" stroked="false">
              <v:fill type="solid"/>
            </v:rect>
            <v:rect style="position:absolute;left:7133;top:2396;width:24;height:24" filled="true" fillcolor="#010101" stroked="false">
              <v:fill type="solid"/>
            </v:rect>
            <v:rect style="position:absolute;left:7133;top:2444;width:24;height:24" filled="true" fillcolor="#010101" stroked="false">
              <v:fill type="solid"/>
            </v:rect>
            <v:rect style="position:absolute;left:7133;top:2492;width:24;height:24" filled="true" fillcolor="#010101" stroked="false">
              <v:fill type="solid"/>
            </v:rect>
            <v:rect style="position:absolute;left:7133;top:2540;width:24;height:22" filled="true" fillcolor="#010101" stroked="false">
              <v:fill type="solid"/>
            </v:rect>
            <v:rect style="position:absolute;left:7133;top:2588;width:24;height:22" filled="true" fillcolor="#010101" stroked="false">
              <v:fill type="solid"/>
            </v:rect>
            <v:rect style="position:absolute;left:7133;top:2634;width:24;height:24" filled="true" fillcolor="#010101" stroked="false">
              <v:fill type="solid"/>
            </v:rect>
            <v:rect style="position:absolute;left:7133;top:2682;width:24;height:24" filled="true" fillcolor="#010101" stroked="false">
              <v:fill type="solid"/>
            </v:rect>
            <v:rect style="position:absolute;left:7133;top:2730;width:24;height:24" filled="true" fillcolor="#010101" stroked="false">
              <v:fill type="solid"/>
            </v:rect>
            <v:rect style="position:absolute;left:7133;top:2778;width:24;height:22" filled="true" fillcolor="#010101" stroked="false">
              <v:fill type="solid"/>
            </v:rect>
            <v:rect style="position:absolute;left:7133;top:2823;width:24;height:24" filled="true" fillcolor="#010101" stroked="false">
              <v:fill type="solid"/>
            </v:rect>
            <v:rect style="position:absolute;left:7133;top:2871;width:24;height:24" filled="true" fillcolor="#010101" stroked="false">
              <v:fill type="solid"/>
            </v:rect>
            <v:rect style="position:absolute;left:7133;top:2919;width:24;height:24" filled="true" fillcolor="#010101" stroked="false">
              <v:fill type="solid"/>
            </v:rect>
            <v:rect style="position:absolute;left:7133;top:2967;width:24;height:24" filled="true" fillcolor="#010101" stroked="false">
              <v:fill type="solid"/>
            </v:rect>
            <v:rect style="position:absolute;left:7133;top:3013;width:24;height:24" filled="true" fillcolor="#010101" stroked="false">
              <v:fill type="solid"/>
            </v:rect>
            <v:rect style="position:absolute;left:7133;top:3061;width:24;height:24" filled="true" fillcolor="#010101" stroked="false">
              <v:fill type="solid"/>
            </v:rect>
            <v:rect style="position:absolute;left:7133;top:3109;width:24;height:24" filled="true" fillcolor="#010101" stroked="false">
              <v:fill type="solid"/>
            </v:rect>
            <v:rect style="position:absolute;left:7133;top:3157;width:24;height:22" filled="true" fillcolor="#010101" stroked="false">
              <v:fill type="solid"/>
            </v:rect>
            <v:rect style="position:absolute;left:7133;top:3205;width:24;height:22" filled="true" fillcolor="#010101" stroked="false">
              <v:fill type="solid"/>
            </v:rect>
            <v:rect style="position:absolute;left:7133;top:3251;width:24;height:24" filled="true" fillcolor="#010101" stroked="false">
              <v:fill type="solid"/>
            </v:rect>
            <v:rect style="position:absolute;left:7133;top:3299;width:24;height:24" filled="true" fillcolor="#010101" stroked="false">
              <v:fill type="solid"/>
            </v:rect>
            <v:rect style="position:absolute;left:7133;top:3347;width:24;height:24" filled="true" fillcolor="#010101" stroked="false">
              <v:fill type="solid"/>
            </v:rect>
            <v:rect style="position:absolute;left:7133;top:3392;width:24;height:24" filled="true" fillcolor="#010101" stroked="false">
              <v:fill type="solid"/>
            </v:rect>
            <v:rect style="position:absolute;left:7133;top:3440;width:24;height:24" filled="true" fillcolor="#010101" stroked="false">
              <v:fill type="solid"/>
            </v:rect>
            <v:rect style="position:absolute;left:7133;top:3488;width:24;height:24" filled="true" fillcolor="#010101" stroked="false">
              <v:fill type="solid"/>
            </v:rect>
            <v:rect style="position:absolute;left:7133;top:3536;width:24;height:24" filled="true" fillcolor="#010101" stroked="false">
              <v:fill type="solid"/>
            </v:rect>
            <v:rect style="position:absolute;left:7133;top:3584;width:24;height:22" filled="true" fillcolor="#010101" stroked="false">
              <v:fill type="solid"/>
            </v:rect>
            <v:rect style="position:absolute;left:7133;top:3630;width:24;height:24" filled="true" fillcolor="#010101" stroked="false">
              <v:fill type="solid"/>
            </v:rect>
            <v:rect style="position:absolute;left:7133;top:3678;width:24;height:24" filled="true" fillcolor="#010101" stroked="false">
              <v:fill type="solid"/>
            </v:rect>
            <v:rect style="position:absolute;left:7133;top:3726;width:24;height:24" filled="true" fillcolor="#010101" stroked="false">
              <v:fill type="solid"/>
            </v:rect>
            <v:rect style="position:absolute;left:7133;top:3774;width:24;height:22" filled="true" fillcolor="#010101" stroked="false">
              <v:fill type="solid"/>
            </v:rect>
            <v:rect style="position:absolute;left:7133;top:3822;width:24;height:22" filled="true" fillcolor="#010101" stroked="false">
              <v:fill type="solid"/>
            </v:rect>
            <v:rect style="position:absolute;left:7133;top:3867;width:24;height:24" filled="true" fillcolor="#010101" stroked="false">
              <v:fill type="solid"/>
            </v:rect>
            <v:rect style="position:absolute;left:7133;top:3915;width:24;height:24" filled="true" fillcolor="#010101" stroked="false">
              <v:fill type="solid"/>
            </v:rect>
            <v:rect style="position:absolute;left:7133;top:3963;width:24;height:24" filled="true" fillcolor="#010101" stroked="false">
              <v:fill type="solid"/>
            </v:rect>
            <v:rect style="position:absolute;left:7133;top:4009;width:24;height:24" filled="true" fillcolor="#010101" stroked="false">
              <v:fill type="solid"/>
            </v:rect>
            <v:rect style="position:absolute;left:7164;top:4026;width:24;height:24" filled="true" fillcolor="#010101" stroked="false">
              <v:fill type="solid"/>
            </v:rect>
            <v:rect style="position:absolute;left:7212;top:4026;width:24;height:24" filled="true" fillcolor="#010101" stroked="false">
              <v:fill type="solid"/>
            </v:rect>
            <v:rect style="position:absolute;left:7260;top:4026;width:24;height:24" filled="true" fillcolor="#010101" stroked="false">
              <v:fill type="solid"/>
            </v:rect>
            <v:rect style="position:absolute;left:7306;top:4026;width:24;height:24" filled="true" fillcolor="#010101" stroked="false">
              <v:fill type="solid"/>
            </v:rect>
            <v:rect style="position:absolute;left:7354;top:4026;width:24;height:24" filled="true" fillcolor="#010101" stroked="false">
              <v:fill type="solid"/>
            </v:rect>
            <v:rect style="position:absolute;left:7402;top:4026;width:24;height:24" filled="true" fillcolor="#010101" stroked="false">
              <v:fill type="solid"/>
            </v:rect>
            <v:rect style="position:absolute;left:7450;top:4026;width:24;height:24" filled="true" fillcolor="#010101" stroked="false">
              <v:fill type="solid"/>
            </v:rect>
            <v:rect style="position:absolute;left:7496;top:4026;width:24;height:24" filled="true" fillcolor="#010101" stroked="false">
              <v:fill type="solid"/>
            </v:rect>
            <v:rect style="position:absolute;left:7544;top:4026;width:24;height:24" filled="true" fillcolor="#010101" stroked="false">
              <v:fill type="solid"/>
            </v:rect>
            <v:rect style="position:absolute;left:7592;top:4026;width:24;height:24" filled="true" fillcolor="#010101" stroked="false">
              <v:fill type="solid"/>
            </v:rect>
            <v:rect style="position:absolute;left:7640;top:4026;width:24;height:24" filled="true" fillcolor="#010101" stroked="false">
              <v:fill type="solid"/>
            </v:rect>
            <v:rect style="position:absolute;left:7685;top:4026;width:24;height:24" filled="true" fillcolor="#010101" stroked="false">
              <v:fill type="solid"/>
            </v:rect>
            <v:rect style="position:absolute;left:7733;top:4026;width:24;height:24" filled="true" fillcolor="#010101" stroked="false">
              <v:fill type="solid"/>
            </v:rect>
            <v:rect style="position:absolute;left:7781;top:4026;width:24;height:24" filled="true" fillcolor="#010101" stroked="false">
              <v:fill type="solid"/>
            </v:rect>
            <v:rect style="position:absolute;left:7829;top:4026;width:24;height:24" filled="true" fillcolor="#010101" stroked="false">
              <v:fill type="solid"/>
            </v:rect>
            <v:rect style="position:absolute;left:7875;top:4026;width:27;height:24" filled="true" fillcolor="#010101" stroked="false">
              <v:fill type="solid"/>
            </v:rect>
            <v:rect style="position:absolute;left:7923;top:4026;width:24;height:24" filled="true" fillcolor="#010101" stroked="false">
              <v:fill type="solid"/>
            </v:rect>
            <v:rect style="position:absolute;left:7971;top:4026;width:24;height:24" filled="true" fillcolor="#010101" stroked="false">
              <v:fill type="solid"/>
            </v:rect>
            <v:rect style="position:absolute;left:8019;top:4026;width:24;height:24" filled="true" fillcolor="#010101" stroked="false">
              <v:fill type="solid"/>
            </v:rect>
            <v:rect style="position:absolute;left:8067;top:4026;width:24;height:24" filled="true" fillcolor="#010101" stroked="false">
              <v:fill type="solid"/>
            </v:rect>
            <v:rect style="position:absolute;left:8115;top:4026;width:22;height:24" filled="true" fillcolor="#010101" stroked="false">
              <v:fill type="solid"/>
            </v:rect>
            <v:rect style="position:absolute;left:8160;top:4026;width:24;height:24" filled="true" fillcolor="#010101" stroked="false">
              <v:fill type="solid"/>
            </v:rect>
            <v:rect style="position:absolute;left:8208;top:4026;width:24;height:24" filled="true" fillcolor="#010101" stroked="false">
              <v:fill type="solid"/>
            </v:rect>
            <v:rect style="position:absolute;left:8256;top:4026;width:24;height:24" filled="true" fillcolor="#010101" stroked="false">
              <v:fill type="solid"/>
            </v:rect>
            <v:rect style="position:absolute;left:8304;top:4026;width:22;height:24" filled="true" fillcolor="#010101" stroked="false">
              <v:fill type="solid"/>
            </v:rect>
            <v:rect style="position:absolute;left:8350;top:4026;width:24;height:24" filled="true" fillcolor="#010101" stroked="false">
              <v:fill type="solid"/>
            </v:rect>
            <v:rect style="position:absolute;left:8398;top:4026;width:24;height:24" filled="true" fillcolor="#010101" stroked="false">
              <v:fill type="solid"/>
            </v:rect>
            <v:rect style="position:absolute;left:8446;top:4026;width:24;height:24" filled="true" fillcolor="#010101" stroked="false">
              <v:fill type="solid"/>
            </v:rect>
            <v:rect style="position:absolute;left:8494;top:4026;width:22;height:24" filled="true" fillcolor="#010101" stroked="false">
              <v:fill type="solid"/>
            </v:rect>
            <v:rect style="position:absolute;left:8540;top:4026;width:24;height:24" filled="true" fillcolor="#010101" stroked="false">
              <v:fill type="solid"/>
            </v:rect>
            <v:rect style="position:absolute;left:8588;top:4026;width:24;height:24" filled="true" fillcolor="#010101" stroked="false">
              <v:fill type="solid"/>
            </v:rect>
            <v:rect style="position:absolute;left:8636;top:4026;width:24;height:24" filled="true" fillcolor="#010101" stroked="false">
              <v:fill type="solid"/>
            </v:rect>
            <v:rect style="position:absolute;left:8684;top:4026;width:22;height:24" filled="true" fillcolor="#010101" stroked="false">
              <v:fill type="solid"/>
            </v:rect>
            <v:rect style="position:absolute;left:8729;top:4026;width:24;height:24" filled="true" fillcolor="#010101" stroked="false">
              <v:fill type="solid"/>
            </v:rect>
            <v:rect style="position:absolute;left:8777;top:4026;width:24;height:24" filled="true" fillcolor="#010101" stroked="false">
              <v:fill type="solid"/>
            </v:rect>
            <v:rect style="position:absolute;left:8825;top:4026;width:24;height:24" filled="true" fillcolor="#010101" stroked="false">
              <v:fill type="solid"/>
            </v:rect>
            <v:rect style="position:absolute;left:8873;top:4026;width:22;height:24" filled="true" fillcolor="#010101" stroked="false">
              <v:fill type="solid"/>
            </v:rect>
            <v:rect style="position:absolute;left:8919;top:4026;width:24;height:24" filled="true" fillcolor="#010101" stroked="false">
              <v:fill type="solid"/>
            </v:rect>
            <v:rect style="position:absolute;left:8967;top:4026;width:24;height:24" filled="true" fillcolor="#010101" stroked="false">
              <v:fill type="solid"/>
            </v:rect>
            <v:rect style="position:absolute;left:9015;top:4026;width:24;height:24" filled="true" fillcolor="#010101" stroked="false">
              <v:fill type="solid"/>
            </v:rect>
            <v:rect style="position:absolute;left:9063;top:4026;width:22;height:24" filled="true" fillcolor="#010101" stroked="false">
              <v:fill type="solid"/>
            </v:rect>
            <v:rect style="position:absolute;left:9108;top:4026;width:24;height:24" filled="true" fillcolor="#010101" stroked="false">
              <v:fill type="solid"/>
            </v:rect>
            <v:rect style="position:absolute;left:9156;top:4026;width:24;height:24" filled="true" fillcolor="#010101" stroked="false">
              <v:fill type="solid"/>
            </v:rect>
            <v:rect style="position:absolute;left:9183;top:4007;width:24;height:22" filled="true" fillcolor="#010101" stroked="false">
              <v:fill type="solid"/>
            </v:rect>
            <v:rect style="position:absolute;left:9183;top:3959;width:24;height:22" filled="true" fillcolor="#010101" stroked="false">
              <v:fill type="solid"/>
            </v:rect>
            <v:rect style="position:absolute;left:9183;top:3911;width:24;height:24" filled="true" fillcolor="#010101" stroked="false">
              <v:fill type="solid"/>
            </v:rect>
            <v:rect style="position:absolute;left:9183;top:3863;width:24;height:24" filled="true" fillcolor="#010101" stroked="false">
              <v:fill type="solid"/>
            </v:rect>
            <v:rect style="position:absolute;left:9183;top:3815;width:24;height:24" filled="true" fillcolor="#010101" stroked="false">
              <v:fill type="solid"/>
            </v:rect>
            <v:rect style="position:absolute;left:9183;top:3769;width:24;height:24" filled="true" fillcolor="#010101" stroked="false">
              <v:fill type="solid"/>
            </v:rect>
            <v:rect style="position:absolute;left:9183;top:3721;width:24;height:24" filled="true" fillcolor="#010101" stroked="false">
              <v:fill type="solid"/>
            </v:rect>
            <v:rect style="position:absolute;left:9183;top:3673;width:24;height:24" filled="true" fillcolor="#010101" stroked="false">
              <v:fill type="solid"/>
            </v:rect>
            <v:rect style="position:absolute;left:9183;top:3625;width:24;height:24" filled="true" fillcolor="#010101" stroked="false">
              <v:fill type="solid"/>
            </v:rect>
            <v:rect style="position:absolute;left:9183;top:3577;width:24;height:27" filled="true" fillcolor="#010101" stroked="false">
              <v:fill type="solid"/>
            </v:rect>
            <v:rect style="position:absolute;left:9183;top:3531;width:24;height:24" filled="true" fillcolor="#010101" stroked="false">
              <v:fill type="solid"/>
            </v:rect>
            <v:rect style="position:absolute;left:9183;top:3483;width:24;height:24" filled="true" fillcolor="#010101" stroked="false">
              <v:fill type="solid"/>
            </v:rect>
            <v:rect style="position:absolute;left:9183;top:3435;width:24;height:24" filled="true" fillcolor="#010101" stroked="false">
              <v:fill type="solid"/>
            </v:rect>
            <v:rect style="position:absolute;left:9183;top:3390;width:24;height:22" filled="true" fillcolor="#010101" stroked="false">
              <v:fill type="solid"/>
            </v:rect>
            <v:rect style="position:absolute;left:9183;top:3342;width:24;height:24" filled="true" fillcolor="#010101" stroked="false">
              <v:fill type="solid"/>
            </v:rect>
            <v:rect style="position:absolute;left:9183;top:3294;width:24;height:24" filled="true" fillcolor="#010101" stroked="false">
              <v:fill type="solid"/>
            </v:rect>
            <v:rect style="position:absolute;left:9183;top:3246;width:24;height:24" filled="true" fillcolor="#010101" stroked="false">
              <v:fill type="solid"/>
            </v:rect>
            <v:rect style="position:absolute;left:9183;top:3198;width:24;height:24" filled="true" fillcolor="#010101" stroked="false">
              <v:fill type="solid"/>
            </v:rect>
            <v:rect style="position:absolute;left:9183;top:3152;width:24;height:24" filled="true" fillcolor="#010101" stroked="false">
              <v:fill type="solid"/>
            </v:rect>
            <v:rect style="position:absolute;left:9183;top:3104;width:24;height:24" filled="true" fillcolor="#010101" stroked="false">
              <v:fill type="solid"/>
            </v:rect>
            <v:rect style="position:absolute;left:9183;top:3056;width:24;height:24" filled="true" fillcolor="#010101" stroked="false">
              <v:fill type="solid"/>
            </v:rect>
            <v:rect style="position:absolute;left:9183;top:3008;width:24;height:24" filled="true" fillcolor="#010101" stroked="false">
              <v:fill type="solid"/>
            </v:rect>
            <v:rect style="position:absolute;left:9183;top:2963;width:24;height:24" filled="true" fillcolor="#010101" stroked="false">
              <v:fill type="solid"/>
            </v:rect>
            <v:rect style="position:absolute;left:9183;top:2915;width:24;height:24" filled="true" fillcolor="#010101" stroked="false">
              <v:fill type="solid"/>
            </v:rect>
            <v:rect style="position:absolute;left:9183;top:2867;width:24;height:24" filled="true" fillcolor="#010101" stroked="false">
              <v:fill type="solid"/>
            </v:rect>
            <v:rect style="position:absolute;left:9183;top:2819;width:24;height:24" filled="true" fillcolor="#010101" stroked="false">
              <v:fill type="solid"/>
            </v:rect>
            <v:rect style="position:absolute;left:9183;top:2773;width:24;height:22" filled="true" fillcolor="#010101" stroked="false">
              <v:fill type="solid"/>
            </v:rect>
            <v:rect style="position:absolute;left:9183;top:2725;width:24;height:24" filled="true" fillcolor="#010101" stroked="false">
              <v:fill type="solid"/>
            </v:rect>
            <v:rect style="position:absolute;left:9183;top:2677;width:24;height:24" filled="true" fillcolor="#010101" stroked="false">
              <v:fill type="solid"/>
            </v:rect>
            <v:rect style="position:absolute;left:9183;top:2629;width:24;height:24" filled="true" fillcolor="#010101" stroked="false">
              <v:fill type="solid"/>
            </v:rect>
            <v:rect style="position:absolute;left:9183;top:2581;width:24;height:24" filled="true" fillcolor="#010101" stroked="false">
              <v:fill type="solid"/>
            </v:rect>
            <v:rect style="position:absolute;left:9183;top:2535;width:24;height:24" filled="true" fillcolor="#010101" stroked="false">
              <v:fill type="solid"/>
            </v:rect>
            <v:rect style="position:absolute;left:9183;top:2487;width:24;height:24" filled="true" fillcolor="#010101" stroked="false">
              <v:fill type="solid"/>
            </v:rect>
            <v:rect style="position:absolute;left:9183;top:2439;width:24;height:24" filled="true" fillcolor="#010101" stroked="false">
              <v:fill type="solid"/>
            </v:rect>
            <v:rect style="position:absolute;left:9183;top:2391;width:24;height:24" filled="true" fillcolor="#010101" stroked="false">
              <v:fill type="solid"/>
            </v:rect>
            <v:rect style="position:absolute;left:9183;top:2346;width:24;height:24" filled="true" fillcolor="#010101" stroked="false">
              <v:fill type="solid"/>
            </v:rect>
            <v:rect style="position:absolute;left:9183;top:2298;width:24;height:24" filled="true" fillcolor="#010101" stroked="false">
              <v:fill type="solid"/>
            </v:rect>
            <v:rect style="position:absolute;left:9183;top:2250;width:24;height:24" filled="true" fillcolor="#010101" stroked="false">
              <v:fill type="solid"/>
            </v:rect>
            <v:rect style="position:absolute;left:9183;top:2204;width:24;height:22" filled="true" fillcolor="#010101" stroked="false">
              <v:fill type="solid"/>
            </v:rect>
            <v:rect style="position:absolute;left:9183;top:2156;width:24;height:22" filled="true" fillcolor="#010101" stroked="false">
              <v:fill type="solid"/>
            </v:rect>
            <v:rect style="position:absolute;left:9183;top:2108;width:24;height:24" filled="true" fillcolor="#010101" stroked="false">
              <v:fill type="solid"/>
            </v:rect>
            <v:rect style="position:absolute;left:9183;top:2060;width:24;height:24" filled="true" fillcolor="#010101" stroked="false">
              <v:fill type="solid"/>
            </v:rect>
            <v:rect style="position:absolute;left:9183;top:2012;width:24;height:24" filled="true" fillcolor="#010101" stroked="false">
              <v:fill type="solid"/>
            </v:rect>
            <v:rect style="position:absolute;left:9183;top:1967;width:24;height:24" filled="true" fillcolor="#010101" stroked="false">
              <v:fill type="solid"/>
            </v:rect>
            <v:rect style="position:absolute;left:9183;top:1919;width:24;height:24" filled="true" fillcolor="#010101" stroked="false">
              <v:fill type="solid"/>
            </v:rect>
            <v:rect style="position:absolute;left:9183;top:1871;width:24;height:24" filled="true" fillcolor="#010101" stroked="false">
              <v:fill type="solid"/>
            </v:rect>
            <v:rect style="position:absolute;left:9183;top:1823;width:24;height:24" filled="true" fillcolor="#010101" stroked="false">
              <v:fill type="solid"/>
            </v:rect>
            <v:rect style="position:absolute;left:9183;top:1775;width:24;height:24" filled="true" fillcolor="#010101" stroked="false">
              <v:fill type="solid"/>
            </v:rect>
            <v:rect style="position:absolute;left:9183;top:1729;width:24;height:24" filled="true" fillcolor="#010101" stroked="false">
              <v:fill type="solid"/>
            </v:rect>
            <v:rect style="position:absolute;left:9183;top:1681;width:24;height:24" filled="true" fillcolor="#010101" stroked="false">
              <v:fill type="solid"/>
            </v:rect>
            <v:rect style="position:absolute;left:9183;top:1633;width:24;height:24" filled="true" fillcolor="#010101" stroked="false">
              <v:fill type="solid"/>
            </v:rect>
            <v:rect style="position:absolute;left:9183;top:1587;width:24;height:22" filled="true" fillcolor="#010101" stroked="false">
              <v:fill type="solid"/>
            </v:rect>
            <v:rect style="position:absolute;left:9183;top:1539;width:24;height:22" filled="true" fillcolor="#010101" stroked="false">
              <v:fill type="solid"/>
            </v:rect>
            <v:rect style="position:absolute;left:9183;top:1491;width:24;height:24" filled="true" fillcolor="#010101" stroked="false">
              <v:fill type="solid"/>
            </v:rect>
            <v:rect style="position:absolute;left:9183;top:1443;width:24;height:24" filled="true" fillcolor="#010101" stroked="false">
              <v:fill type="solid"/>
            </v:rect>
            <v:rect style="position:absolute;left:9183;top:1395;width:24;height:24" filled="true" fillcolor="#010101" stroked="false">
              <v:fill type="solid"/>
            </v:rect>
            <v:rect style="position:absolute;left:9183;top:1350;width:24;height:24" filled="true" fillcolor="#010101" stroked="false">
              <v:fill type="solid"/>
            </v:rect>
            <v:shape style="position:absolute;left:9183;top:1295;width:24;height:32" coordorigin="9183,1295" coordsize="24,32" path="m9190,1307l9183,1307,9183,1326,9207,1326,9207,1319,9190,1319,9190,1307xm9207,1295l9190,1295,9190,1307,9195,1307,9195,1319,9207,1319,9207,1295xe" filled="true" fillcolor="#010101" stroked="false">
              <v:path arrowok="t"/>
              <v:fill type="solid"/>
            </v:shape>
            <v:rect style="position:absolute;left:9142;top:1295;width:24;height:24" filled="true" fillcolor="#010101" stroked="false">
              <v:fill type="solid"/>
            </v:rect>
            <v:rect style="position:absolute;left:9094;top:1295;width:24;height:24" filled="true" fillcolor="#010101" stroked="false">
              <v:fill type="solid"/>
            </v:rect>
            <v:rect style="position:absolute;left:9048;top:1295;width:24;height:24" filled="true" fillcolor="#010101" stroked="false">
              <v:fill type="solid"/>
            </v:rect>
            <v:rect style="position:absolute;left:9000;top:1295;width:24;height:24" filled="true" fillcolor="#010101" stroked="false">
              <v:fill type="solid"/>
            </v:rect>
            <v:rect style="position:absolute;left:8952;top:1295;width:24;height:24" filled="true" fillcolor="#010101" stroked="false">
              <v:fill type="solid"/>
            </v:rect>
            <v:rect style="position:absolute;left:8904;top:1295;width:24;height:24" filled="true" fillcolor="#010101" stroked="false">
              <v:fill type="solid"/>
            </v:rect>
            <v:rect style="position:absolute;left:8859;top:1295;width:24;height:24" filled="true" fillcolor="#010101" stroked="false">
              <v:fill type="solid"/>
            </v:rect>
            <v:rect style="position:absolute;left:8811;top:1295;width:24;height:24" filled="true" fillcolor="#010101" stroked="false">
              <v:fill type="solid"/>
            </v:rect>
            <v:rect style="position:absolute;left:8763;top:1295;width:24;height:24" filled="true" fillcolor="#010101" stroked="false">
              <v:fill type="solid"/>
            </v:rect>
            <v:rect style="position:absolute;left:8715;top:1295;width:24;height:24" filled="true" fillcolor="#010101" stroked="false">
              <v:fill type="solid"/>
            </v:rect>
            <v:rect style="position:absolute;left:8669;top:1295;width:24;height:24" filled="true" fillcolor="#010101" stroked="false">
              <v:fill type="solid"/>
            </v:rect>
            <v:rect style="position:absolute;left:8621;top:1295;width:24;height:24" filled="true" fillcolor="#010101" stroked="false">
              <v:fill type="solid"/>
            </v:rect>
            <v:rect style="position:absolute;left:8573;top:1295;width:24;height:24" filled="true" fillcolor="#010101" stroked="false">
              <v:fill type="solid"/>
            </v:rect>
            <v:rect style="position:absolute;left:8465;top:1619;width:22;height:96" filled="true" fillcolor="#010101" stroked="false">
              <v:fill type="solid"/>
            </v:rect>
            <v:rect style="position:absolute;left:8465;top:1453;width:22;height:96" filled="true" fillcolor="#010101" stroked="false">
              <v:fill type="solid"/>
            </v:rect>
            <v:rect style="position:absolute;left:8465;top:1287;width:22;height:96" filled="true" fillcolor="#010101" stroked="false">
              <v:fill type="solid"/>
            </v:rect>
            <v:rect style="position:absolute;left:8525;top:1295;width:24;height:24" filled="true" fillcolor="#010101" stroked="false">
              <v:fill type="solid"/>
            </v:rect>
            <v:rect style="position:absolute;left:8480;top:1295;width:24;height:24" filled="true" fillcolor="#010101" stroked="false">
              <v:fill type="solid"/>
            </v:rect>
            <v:rect style="position:absolute;left:8432;top:1295;width:24;height:24" filled="true" fillcolor="#010101" stroked="false">
              <v:fill type="solid"/>
            </v:rect>
            <v:rect style="position:absolute;left:8384;top:1295;width:24;height:24" filled="true" fillcolor="#010101" stroked="false">
              <v:fill type="solid"/>
            </v:rect>
            <v:rect style="position:absolute;left:8336;top:1295;width:24;height:24" filled="true" fillcolor="#010101" stroked="false">
              <v:fill type="solid"/>
            </v:rect>
            <v:rect style="position:absolute;left:8290;top:1295;width:22;height:24" filled="true" fillcolor="#010101" stroked="false">
              <v:fill type="solid"/>
            </v:rect>
            <v:rect style="position:absolute;left:8242;top:1295;width:24;height:24" filled="true" fillcolor="#010101" stroked="false">
              <v:fill type="solid"/>
            </v:rect>
            <v:rect style="position:absolute;left:8194;top:1295;width:24;height:24" filled="true" fillcolor="#010101" stroked="false">
              <v:fill type="solid"/>
            </v:rect>
            <v:rect style="position:absolute;left:8146;top:1295;width:24;height:24" filled="true" fillcolor="#010101" stroked="false">
              <v:fill type="solid"/>
            </v:rect>
            <v:rect style="position:absolute;left:8100;top:1295;width:22;height:24" filled="true" fillcolor="#010101" stroked="false">
              <v:fill type="solid"/>
            </v:rect>
            <v:rect style="position:absolute;left:8052;top:1295;width:24;height:24" filled="true" fillcolor="#010101" stroked="false">
              <v:fill type="solid"/>
            </v:rect>
            <v:rect style="position:absolute;left:8004;top:1295;width:24;height:24" filled="true" fillcolor="#010101" stroked="false">
              <v:fill type="solid"/>
            </v:rect>
            <v:rect style="position:absolute;left:7956;top:1295;width:24;height:24" filled="true" fillcolor="#010101" stroked="false">
              <v:fill type="solid"/>
            </v:rect>
            <v:rect style="position:absolute;left:7911;top:1295;width:22;height:24" filled="true" fillcolor="#010101" stroked="false">
              <v:fill type="solid"/>
            </v:rect>
            <v:rect style="position:absolute;left:7863;top:1295;width:22;height:24" filled="true" fillcolor="#010101" stroked="false">
              <v:fill type="solid"/>
            </v:rect>
            <v:rect style="position:absolute;left:7815;top:1295;width:24;height:24" filled="true" fillcolor="#010101" stroked="false">
              <v:fill type="solid"/>
            </v:rect>
            <v:rect style="position:absolute;left:7767;top:1295;width:24;height:24" filled="true" fillcolor="#010101" stroked="false">
              <v:fill type="solid"/>
            </v:rect>
            <v:rect style="position:absolute;left:7721;top:1295;width:22;height:24" filled="true" fillcolor="#010101" stroked="false">
              <v:fill type="solid"/>
            </v:rect>
            <v:rect style="position:absolute;left:7673;top:1295;width:22;height:24" filled="true" fillcolor="#010101" stroked="false">
              <v:fill type="solid"/>
            </v:rect>
            <v:rect style="position:absolute;left:7625;top:1295;width:24;height:24" filled="true" fillcolor="#010101" stroked="false">
              <v:fill type="solid"/>
            </v:rect>
            <v:rect style="position:absolute;left:7577;top:1295;width:24;height:24" filled="true" fillcolor="#010101" stroked="false">
              <v:fill type="solid"/>
            </v:rect>
            <v:rect style="position:absolute;left:7529;top:1295;width:24;height:24" filled="true" fillcolor="#010101" stroked="false">
              <v:fill type="solid"/>
            </v:rect>
            <v:rect style="position:absolute;left:7484;top:1295;width:22;height:24" filled="true" fillcolor="#010101" stroked="false">
              <v:fill type="solid"/>
            </v:rect>
            <v:rect style="position:absolute;left:7436;top:1295;width:24;height:24" filled="true" fillcolor="#010101" stroked="false">
              <v:fill type="solid"/>
            </v:rect>
            <v:rect style="position:absolute;left:7388;top:1295;width:24;height:24" filled="true" fillcolor="#010101" stroked="false">
              <v:fill type="solid"/>
            </v:rect>
            <v:rect style="position:absolute;left:7340;top:1295;width:24;height:24" filled="true" fillcolor="#010101" stroked="false">
              <v:fill type="solid"/>
            </v:rect>
            <v:rect style="position:absolute;left:7294;top:1295;width:22;height:24" filled="true" fillcolor="#010101" stroked="false">
              <v:fill type="solid"/>
            </v:rect>
            <v:rect style="position:absolute;left:7246;top:1295;width:24;height:24" filled="true" fillcolor="#010101" stroked="false">
              <v:fill type="solid"/>
            </v:rect>
            <v:rect style="position:absolute;left:7198;top:1295;width:24;height:24" filled="true" fillcolor="#010101" stroked="false">
              <v:fill type="solid"/>
            </v:rect>
            <v:rect style="position:absolute;left:7150;top:1295;width:24;height:24" filled="true" fillcolor="#010101" stroked="false">
              <v:fill type="solid"/>
            </v:rect>
            <v:rect style="position:absolute;left:7757;top:3308;width:29;height:104" filled="true" fillcolor="#010101" stroked="false">
              <v:fill type="solid"/>
            </v:rect>
            <v:shape style="position:absolute;left:7709;top:3186;width:128;height:125" coordorigin="7710,3186" coordsize="128,125" path="m7772,3186l7710,3311,7837,3311,7772,3186xe" filled="true" fillcolor="#010101" stroked="false">
              <v:path arrowok="t"/>
              <v:fill type="solid"/>
            </v:shape>
            <v:rect style="position:absolute;left:5916;top:3699;width:29;height:113" filled="true" fillcolor="#010101" stroked="false">
              <v:fill type="solid"/>
            </v:rect>
            <v:rect style="position:absolute;left:5916;top:3500;width:29;height:113" filled="true" fillcolor="#010101" stroked="false">
              <v:fill type="solid"/>
            </v:rect>
            <v:shape style="position:absolute;left:5868;top:3186;width:128;height:228" type="#_x0000_t75" stroked="false">
              <v:imagedata r:id="rId247" o:title=""/>
            </v:shape>
            <v:line style="position:absolute" from="5269,3186" to="5269,3414" stroked="true" strokeweight="1.44pt" strokecolor="#010101">
              <v:stroke dashstyle="solid"/>
            </v:line>
            <v:rect style="position:absolute;left:8612;top:3186;width:29;height:113" filled="true" fillcolor="#010101" stroked="false">
              <v:fill type="solid"/>
            </v:rect>
            <v:rect style="position:absolute;left:8612;top:3385;width:29;height:113" filled="true" fillcolor="#010101" stroked="false">
              <v:fill type="solid"/>
            </v:rect>
            <v:rect style="position:absolute;left:8612;top:3584;width:29;height:113" filled="true" fillcolor="#010101" stroked="false">
              <v:fill type="solid"/>
            </v:rect>
            <v:rect style="position:absolute;left:8612;top:3781;width:29;height:29" filled="true" fillcolor="#010101" stroked="false">
              <v:fill type="solid"/>
            </v:rect>
            <v:line style="position:absolute" from="8000,566" to="8000,1876" stroked="true" strokeweight="1.2pt" strokecolor="#010101">
              <v:stroke dashstyle="solid"/>
            </v:line>
            <v:shape style="position:absolute;left:7942;top:452;width:116;height:116" coordorigin="7942,453" coordsize="116,116" path="m8000,453l7942,568,8058,568,8000,453xe" filled="true" fillcolor="#010101" stroked="false">
              <v:path arrowok="t"/>
              <v:fill type="solid"/>
            </v:shape>
            <v:rect style="position:absolute;left:8492;top:3867;width:94;height:27" filled="true" fillcolor="#010101" stroked="false">
              <v:fill type="solid"/>
            </v:rect>
            <v:rect style="position:absolute;left:8324;top:3867;width:96;height:27" filled="true" fillcolor="#010101" stroked="false">
              <v:fill type="solid"/>
            </v:rect>
            <v:rect style="position:absolute;left:8158;top:3867;width:96;height:27" filled="true" fillcolor="#010101" stroked="false">
              <v:fill type="solid"/>
            </v:rect>
            <v:rect style="position:absolute;left:7992;top:3867;width:96;height:27" filled="true" fillcolor="#010101" stroked="false">
              <v:fill type="solid"/>
            </v:rect>
            <v:rect style="position:absolute;left:7827;top:3867;width:96;height:27" filled="true" fillcolor="#010101" stroked="false">
              <v:fill type="solid"/>
            </v:rect>
            <v:rect style="position:absolute;left:7661;top:3867;width:94;height:27" filled="true" fillcolor="#010101" stroked="false">
              <v:fill type="solid"/>
            </v:rect>
            <v:rect style="position:absolute;left:7496;top:3867;width:94;height:27" filled="true" fillcolor="#010101" stroked="false">
              <v:fill type="solid"/>
            </v:rect>
            <v:rect style="position:absolute;left:7330;top:3867;width:94;height:27" filled="true" fillcolor="#010101" stroked="false">
              <v:fill type="solid"/>
            </v:rect>
            <v:rect style="position:absolute;left:7162;top:3867;width:96;height:27" filled="true" fillcolor="#010101" stroked="false">
              <v:fill type="solid"/>
            </v:rect>
            <v:rect style="position:absolute;left:6996;top:3867;width:96;height:27" filled="true" fillcolor="#010101" stroked="false">
              <v:fill type="solid"/>
            </v:rect>
            <v:rect style="position:absolute;left:6831;top:3867;width:94;height:27" filled="true" fillcolor="#010101" stroked="false">
              <v:fill type="solid"/>
            </v:rect>
            <v:rect style="position:absolute;left:6665;top:3867;width:94;height:27" filled="true" fillcolor="#010101" stroked="false">
              <v:fill type="solid"/>
            </v:rect>
            <v:rect style="position:absolute;left:6500;top:3867;width:94;height:27" filled="true" fillcolor="#010101" stroked="false">
              <v:fill type="solid"/>
            </v:rect>
            <v:rect style="position:absolute;left:6332;top:3867;width:96;height:27" filled="true" fillcolor="#010101" stroked="false">
              <v:fill type="solid"/>
            </v:rect>
            <v:rect style="position:absolute;left:6166;top:3867;width:96;height:27" filled="true" fillcolor="#010101" stroked="false">
              <v:fill type="solid"/>
            </v:rect>
            <v:rect style="position:absolute;left:6010;top:3867;width:87;height:27" filled="true" fillcolor="#010101" stroked="false">
              <v:fill type="solid"/>
            </v:rect>
            <v:line style="position:absolute" from="2694,256" to="9219,256" stroked="true" strokeweight=".72pt" strokecolor="#000000">
              <v:stroke dashstyle="solid"/>
            </v:line>
            <v:line style="position:absolute" from="2686,249" to="2686,4091" stroked="true" strokeweight=".72pt" strokecolor="#000000">
              <v:stroke dashstyle="solid"/>
            </v:line>
            <v:line style="position:absolute" from="9226,249" to="9226,4091" stroked="true" strokeweight=".72pt" strokecolor="#000000">
              <v:stroke dashstyle="solid"/>
            </v:line>
            <v:line style="position:absolute" from="2694,4084" to="9219,4084" stroked="true" strokeweight=".72pt" strokecolor="#000000">
              <v:stroke dashstyle="solid"/>
            </v:line>
            <v:shape style="position:absolute;left:3687;top:453;width:1670;height:254" type="#_x0000_t202" filled="false" stroked="false">
              <v:textbox inset="0,0,0,0">
                <w:txbxContent>
                  <w:p>
                    <w:pPr>
                      <w:spacing w:line="252" w:lineRule="exact" w:before="0"/>
                      <w:ind w:left="0" w:right="0" w:firstLine="0"/>
                      <w:jc w:val="left"/>
                      <w:rPr>
                        <w:rFonts w:ascii="Arial"/>
                        <w:sz w:val="22"/>
                      </w:rPr>
                    </w:pPr>
                    <w:r>
                      <w:rPr>
                        <w:rFonts w:ascii="Arial"/>
                        <w:w w:val="105"/>
                        <w:sz w:val="22"/>
                      </w:rPr>
                      <w:t>ATMOSPHERE</w:t>
                    </w:r>
                  </w:p>
                </w:txbxContent>
              </v:textbox>
              <w10:wrap type="none"/>
            </v:shape>
            <v:shape style="position:absolute;left:3320;top:1012;width:343;height:169" type="#_x0000_t202" filled="false" stroked="false">
              <v:textbox inset="0,0,0,0">
                <w:txbxContent>
                  <w:p>
                    <w:pPr>
                      <w:spacing w:line="168" w:lineRule="exact" w:before="0"/>
                      <w:ind w:left="0" w:right="0" w:firstLine="0"/>
                      <w:jc w:val="left"/>
                      <w:rPr>
                        <w:rFonts w:ascii="Arial"/>
                        <w:sz w:val="15"/>
                      </w:rPr>
                    </w:pPr>
                    <w:r>
                      <w:rPr>
                        <w:rFonts w:ascii="Arial"/>
                        <w:w w:val="105"/>
                        <w:sz w:val="15"/>
                      </w:rPr>
                      <w:t>NEE</w:t>
                    </w:r>
                  </w:p>
                </w:txbxContent>
              </v:textbox>
              <w10:wrap type="none"/>
            </v:shape>
            <v:shape style="position:absolute;left:4959;top:1007;width:125;height:169" type="#_x0000_t202" filled="false" stroked="false">
              <v:textbox inset="0,0,0,0">
                <w:txbxContent>
                  <w:p>
                    <w:pPr>
                      <w:spacing w:line="168" w:lineRule="exact" w:before="0"/>
                      <w:ind w:left="0" w:right="0" w:firstLine="0"/>
                      <w:jc w:val="left"/>
                      <w:rPr>
                        <w:rFonts w:ascii="Arial"/>
                        <w:sz w:val="15"/>
                      </w:rPr>
                    </w:pPr>
                    <w:r>
                      <w:rPr>
                        <w:rFonts w:ascii="Arial"/>
                        <w:w w:val="104"/>
                        <w:sz w:val="15"/>
                      </w:rPr>
                      <w:t>E</w:t>
                    </w:r>
                  </w:p>
                </w:txbxContent>
              </v:textbox>
              <w10:wrap type="none"/>
            </v:shape>
            <v:shape style="position:absolute;left:5100;top:1144;width:280;height:118" type="#_x0000_t202" filled="false" stroked="false">
              <v:textbox inset="0,0,0,0">
                <w:txbxContent>
                  <w:p>
                    <w:pPr>
                      <w:spacing w:before="1"/>
                      <w:ind w:left="0" w:right="0" w:firstLine="0"/>
                      <w:jc w:val="left"/>
                      <w:rPr>
                        <w:rFonts w:ascii="Arial"/>
                        <w:sz w:val="10"/>
                      </w:rPr>
                    </w:pPr>
                    <w:r>
                      <w:rPr>
                        <w:rFonts w:ascii="Arial"/>
                        <w:w w:val="110"/>
                        <w:sz w:val="10"/>
                      </w:rPr>
                      <w:t>DOM</w:t>
                    </w:r>
                  </w:p>
                </w:txbxContent>
              </v:textbox>
              <w10:wrap type="none"/>
            </v:shape>
            <v:shape style="position:absolute;left:6156;top:1016;width:252;height:198" type="#_x0000_t202" filled="false" stroked="false">
              <v:textbox inset="0,0,0,0">
                <w:txbxContent>
                  <w:p>
                    <w:pPr>
                      <w:spacing w:line="196" w:lineRule="exact" w:before="0"/>
                      <w:ind w:left="0" w:right="0" w:firstLine="0"/>
                      <w:jc w:val="left"/>
                      <w:rPr>
                        <w:rFonts w:ascii="Arial"/>
                        <w:sz w:val="10"/>
                      </w:rPr>
                    </w:pPr>
                    <w:r>
                      <w:rPr>
                        <w:rFonts w:ascii="Arial"/>
                        <w:w w:val="110"/>
                        <w:position w:val="4"/>
                        <w:sz w:val="15"/>
                      </w:rPr>
                      <w:t>E</w:t>
                    </w:r>
                    <w:r>
                      <w:rPr>
                        <w:rFonts w:ascii="Arial"/>
                        <w:w w:val="110"/>
                        <w:sz w:val="10"/>
                      </w:rPr>
                      <w:t>IM</w:t>
                    </w:r>
                  </w:p>
                </w:txbxContent>
              </v:textbox>
              <w10:wrap type="none"/>
            </v:shape>
            <v:shape style="position:absolute;left:7368;top:1014;width:596;height:200" type="#_x0000_t202" filled="false" stroked="false">
              <v:textbox inset="0,0,0,0">
                <w:txbxContent>
                  <w:p>
                    <w:pPr>
                      <w:spacing w:line="199" w:lineRule="exact" w:before="0"/>
                      <w:ind w:left="0" w:right="0" w:firstLine="0"/>
                      <w:jc w:val="left"/>
                      <w:rPr>
                        <w:rFonts w:ascii="Arial"/>
                        <w:sz w:val="10"/>
                      </w:rPr>
                    </w:pPr>
                    <w:r>
                      <w:rPr>
                        <w:rFonts w:ascii="Arial"/>
                        <w:w w:val="110"/>
                        <w:position w:val="4"/>
                        <w:sz w:val="15"/>
                      </w:rPr>
                      <w:t>E </w:t>
                    </w:r>
                    <w:r>
                      <w:rPr>
                        <w:rFonts w:ascii="Arial"/>
                        <w:w w:val="110"/>
                        <w:sz w:val="10"/>
                      </w:rPr>
                      <w:t>EX DOM</w:t>
                    </w:r>
                  </w:p>
                </w:txbxContent>
              </v:textbox>
              <w10:wrap type="none"/>
            </v:shape>
            <v:shape style="position:absolute;left:8561;top:1007;width:125;height:169" type="#_x0000_t202" filled="false" stroked="false">
              <v:textbox inset="0,0,0,0">
                <w:txbxContent>
                  <w:p>
                    <w:pPr>
                      <w:spacing w:line="168" w:lineRule="exact" w:before="0"/>
                      <w:ind w:left="0" w:right="0" w:firstLine="0"/>
                      <w:jc w:val="left"/>
                      <w:rPr>
                        <w:rFonts w:ascii="Arial"/>
                        <w:sz w:val="15"/>
                      </w:rPr>
                    </w:pPr>
                    <w:r>
                      <w:rPr>
                        <w:rFonts w:ascii="Arial"/>
                        <w:w w:val="104"/>
                        <w:sz w:val="15"/>
                      </w:rPr>
                      <w:t>E</w:t>
                    </w:r>
                  </w:p>
                </w:txbxContent>
              </v:textbox>
              <w10:wrap type="none"/>
            </v:shape>
            <v:shape style="position:absolute;left:8703;top:1146;width:428;height:118" type="#_x0000_t202" filled="false" stroked="false">
              <v:textbox inset="0,0,0,0">
                <w:txbxContent>
                  <w:p>
                    <w:pPr>
                      <w:spacing w:before="1"/>
                      <w:ind w:left="0" w:right="0" w:firstLine="0"/>
                      <w:jc w:val="left"/>
                      <w:rPr>
                        <w:rFonts w:ascii="Arial"/>
                        <w:sz w:val="10"/>
                      </w:rPr>
                    </w:pPr>
                    <w:r>
                      <w:rPr>
                        <w:rFonts w:ascii="Arial"/>
                        <w:w w:val="110"/>
                        <w:sz w:val="10"/>
                      </w:rPr>
                      <w:t>EX OTH</w:t>
                    </w:r>
                  </w:p>
                </w:txbxContent>
              </v:textbox>
              <w10:wrap type="none"/>
            </v:shape>
            <v:shape style="position:absolute;left:3543;top:1420;width:1402;height:254" type="#_x0000_t202" filled="false" stroked="false">
              <v:textbox inset="0,0,0,0">
                <w:txbxContent>
                  <w:p>
                    <w:pPr>
                      <w:spacing w:line="252" w:lineRule="exact" w:before="0"/>
                      <w:ind w:left="0" w:right="0" w:firstLine="0"/>
                      <w:jc w:val="left"/>
                      <w:rPr>
                        <w:rFonts w:ascii="Arial"/>
                        <w:sz w:val="22"/>
                      </w:rPr>
                    </w:pPr>
                    <w:r>
                      <w:rPr>
                        <w:rFonts w:ascii="Arial"/>
                        <w:w w:val="105"/>
                        <w:sz w:val="22"/>
                      </w:rPr>
                      <w:t>Own Country</w:t>
                    </w:r>
                  </w:p>
                </w:txbxContent>
              </v:textbox>
              <w10:wrap type="none"/>
            </v:shape>
            <v:shape style="position:absolute;left:7368;top:1475;width:784;height:254" type="#_x0000_t202" filled="false" stroked="false">
              <v:textbox inset="0,0,0,0">
                <w:txbxContent>
                  <w:p>
                    <w:pPr>
                      <w:spacing w:line="252" w:lineRule="exact" w:before="0"/>
                      <w:ind w:left="0" w:right="0" w:firstLine="0"/>
                      <w:jc w:val="left"/>
                      <w:rPr>
                        <w:rFonts w:ascii="Arial"/>
                        <w:sz w:val="22"/>
                      </w:rPr>
                    </w:pPr>
                    <w:r>
                      <w:rPr>
                        <w:rFonts w:ascii="Arial"/>
                        <w:w w:val="105"/>
                        <w:sz w:val="22"/>
                      </w:rPr>
                      <w:t>Abroad</w:t>
                    </w:r>
                  </w:p>
                </w:txbxContent>
              </v:textbox>
              <w10:wrap type="none"/>
            </v:shape>
            <v:shape style="position:absolute;left:4222;top:2269;width:134;height:169" type="#_x0000_t202" filled="false" stroked="false">
              <v:textbox inset="0,0,0,0">
                <w:txbxContent>
                  <w:p>
                    <w:pPr>
                      <w:spacing w:line="168" w:lineRule="exact" w:before="0"/>
                      <w:ind w:left="0" w:right="0" w:firstLine="0"/>
                      <w:jc w:val="left"/>
                      <w:rPr>
                        <w:rFonts w:ascii="Arial"/>
                        <w:sz w:val="15"/>
                      </w:rPr>
                    </w:pPr>
                    <w:r>
                      <w:rPr>
                        <w:rFonts w:ascii="Arial"/>
                        <w:w w:val="104"/>
                        <w:sz w:val="15"/>
                      </w:rPr>
                      <w:t>H</w:t>
                    </w:r>
                  </w:p>
                </w:txbxContent>
              </v:textbox>
              <w10:wrap type="none"/>
            </v:shape>
            <v:shape style="position:absolute;left:5163;top:2044;width:701;height:497" type="#_x0000_t202" filled="false" stroked="false">
              <v:textbox inset="0,0,0,0">
                <w:txbxContent>
                  <w:p>
                    <w:pPr>
                      <w:spacing w:line="252" w:lineRule="exact" w:before="0"/>
                      <w:ind w:left="124" w:right="0" w:firstLine="0"/>
                      <w:jc w:val="left"/>
                      <w:rPr>
                        <w:rFonts w:ascii="Arial"/>
                        <w:sz w:val="22"/>
                      </w:rPr>
                    </w:pPr>
                    <w:r>
                      <w:rPr>
                        <w:rFonts w:ascii="Arial"/>
                        <w:w w:val="105"/>
                        <w:sz w:val="22"/>
                      </w:rPr>
                      <w:t>HWP</w:t>
                    </w:r>
                  </w:p>
                  <w:p>
                    <w:pPr>
                      <w:spacing w:before="72"/>
                      <w:ind w:left="0" w:right="0" w:firstLine="0"/>
                      <w:jc w:val="left"/>
                      <w:rPr>
                        <w:rFonts w:ascii="Arial"/>
                        <w:sz w:val="15"/>
                      </w:rPr>
                    </w:pPr>
                    <w:r>
                      <w:rPr>
                        <w:rFonts w:ascii="Arial"/>
                        <w:w w:val="105"/>
                        <w:sz w:val="15"/>
                      </w:rPr>
                      <w:t>in use</w:t>
                    </w:r>
                  </w:p>
                </w:txbxContent>
              </v:textbox>
              <w10:wrap type="none"/>
            </v:shape>
            <v:shape style="position:absolute;left:7712;top:2044;width:768;height:497" type="#_x0000_t202" filled="false" stroked="false">
              <v:textbox inset="0,0,0,0">
                <w:txbxContent>
                  <w:p>
                    <w:pPr>
                      <w:spacing w:line="252" w:lineRule="exact" w:before="0"/>
                      <w:ind w:left="194" w:right="0" w:firstLine="0"/>
                      <w:jc w:val="left"/>
                      <w:rPr>
                        <w:rFonts w:ascii="Arial"/>
                        <w:sz w:val="22"/>
                      </w:rPr>
                    </w:pPr>
                    <w:r>
                      <w:rPr>
                        <w:rFonts w:ascii="Arial"/>
                        <w:w w:val="105"/>
                        <w:sz w:val="22"/>
                      </w:rPr>
                      <w:t>HWP</w:t>
                    </w:r>
                  </w:p>
                  <w:p>
                    <w:pPr>
                      <w:spacing w:before="72"/>
                      <w:ind w:left="0" w:right="0" w:firstLine="0"/>
                      <w:jc w:val="left"/>
                      <w:rPr>
                        <w:rFonts w:ascii="Arial"/>
                        <w:sz w:val="15"/>
                      </w:rPr>
                    </w:pPr>
                    <w:r>
                      <w:rPr>
                        <w:rFonts w:ascii="Arial"/>
                        <w:w w:val="105"/>
                        <w:sz w:val="15"/>
                      </w:rPr>
                      <w:t>in use</w:t>
                    </w:r>
                  </w:p>
                </w:txbxContent>
              </v:textbox>
              <w10:wrap type="none"/>
            </v:shape>
            <v:shape style="position:absolute;left:4863;top:2850;width:1191;height:169" type="#_x0000_t202" filled="false" stroked="false">
              <v:textbox inset="0,0,0,0">
                <w:txbxContent>
                  <w:p>
                    <w:pPr>
                      <w:spacing w:line="168" w:lineRule="exact" w:before="0"/>
                      <w:ind w:left="0" w:right="0" w:firstLine="0"/>
                      <w:jc w:val="left"/>
                      <w:rPr>
                        <w:rFonts w:ascii="Arial"/>
                        <w:sz w:val="15"/>
                      </w:rPr>
                    </w:pPr>
                    <w:r>
                      <w:rPr>
                        <w:rFonts w:ascii="Arial"/>
                        <w:w w:val="105"/>
                        <w:sz w:val="15"/>
                      </w:rPr>
                      <w:t>or in waste sites</w:t>
                    </w:r>
                  </w:p>
                </w:txbxContent>
              </v:textbox>
              <w10:wrap type="none"/>
            </v:shape>
            <v:shape style="position:absolute;left:7412;top:2850;width:1277;height:169" type="#_x0000_t202" filled="false" stroked="false">
              <v:textbox inset="0,0,0,0">
                <w:txbxContent>
                  <w:p>
                    <w:pPr>
                      <w:spacing w:line="168" w:lineRule="exact" w:before="0"/>
                      <w:ind w:left="0" w:right="0" w:firstLine="0"/>
                      <w:jc w:val="left"/>
                      <w:rPr>
                        <w:rFonts w:ascii="Arial"/>
                        <w:sz w:val="15"/>
                      </w:rPr>
                    </w:pPr>
                    <w:r>
                      <w:rPr>
                        <w:rFonts w:ascii="Arial"/>
                        <w:w w:val="105"/>
                        <w:sz w:val="15"/>
                      </w:rPr>
                      <w:t>or in waste sites</w:t>
                    </w:r>
                  </w:p>
                </w:txbxContent>
              </v:textbox>
              <w10:wrap type="none"/>
            </v:shape>
            <v:shape style="position:absolute;left:6732;top:3124;width:265;height:182" type="#_x0000_t202" filled="false" stroked="false">
              <v:textbox inset="0,0,0,0">
                <w:txbxContent>
                  <w:p>
                    <w:pPr>
                      <w:spacing w:line="181" w:lineRule="exact" w:before="0"/>
                      <w:ind w:left="0" w:right="0" w:firstLine="0"/>
                      <w:jc w:val="left"/>
                      <w:rPr>
                        <w:rFonts w:ascii="Arial"/>
                        <w:sz w:val="10"/>
                      </w:rPr>
                    </w:pPr>
                    <w:r>
                      <w:rPr>
                        <w:rFonts w:ascii="Arial"/>
                        <w:w w:val="105"/>
                        <w:position w:val="2"/>
                        <w:sz w:val="15"/>
                      </w:rPr>
                      <w:t>P</w:t>
                    </w:r>
                    <w:r>
                      <w:rPr>
                        <w:rFonts w:ascii="Arial"/>
                        <w:w w:val="105"/>
                        <w:sz w:val="10"/>
                      </w:rPr>
                      <w:t>EX</w:t>
                    </w:r>
                  </w:p>
                </w:txbxContent>
              </v:textbox>
              <w10:wrap type="none"/>
            </v:shape>
            <v:shape style="position:absolute;left:6094;top:3594;width:238;height:182" type="#_x0000_t202" filled="false" stroked="false">
              <v:textbox inset="0,0,0,0">
                <w:txbxContent>
                  <w:p>
                    <w:pPr>
                      <w:spacing w:line="181" w:lineRule="exact" w:before="0"/>
                      <w:ind w:left="0" w:right="0" w:firstLine="0"/>
                      <w:jc w:val="left"/>
                      <w:rPr>
                        <w:rFonts w:ascii="Arial"/>
                        <w:sz w:val="10"/>
                      </w:rPr>
                    </w:pPr>
                    <w:r>
                      <w:rPr>
                        <w:rFonts w:ascii="Arial"/>
                        <w:w w:val="105"/>
                        <w:position w:val="2"/>
                        <w:sz w:val="15"/>
                      </w:rPr>
                      <w:t>P</w:t>
                    </w:r>
                    <w:r>
                      <w:rPr>
                        <w:rFonts w:ascii="Arial"/>
                        <w:w w:val="105"/>
                        <w:sz w:val="10"/>
                      </w:rPr>
                      <w:t>IM</w:t>
                    </w:r>
                  </w:p>
                </w:txbxContent>
              </v:textbox>
              <w10:wrap type="none"/>
            </v:shape>
            <v:shape style="position:absolute;left:2878;top:1875;width:1150;height:1311" type="#_x0000_t202" filled="false" stroked="true" strokeweight="1.18pt" strokecolor="#010101">
              <v:textbox inset="0,0,0,0">
                <w:txbxContent>
                  <w:p>
                    <w:pPr>
                      <w:spacing w:line="240" w:lineRule="auto" w:before="0"/>
                      <w:rPr>
                        <w:sz w:val="22"/>
                      </w:rPr>
                    </w:pPr>
                  </w:p>
                  <w:p>
                    <w:pPr>
                      <w:spacing w:line="256" w:lineRule="auto" w:before="166"/>
                      <w:ind w:left="-3" w:right="-44" w:firstLine="271"/>
                      <w:jc w:val="left"/>
                      <w:rPr>
                        <w:rFonts w:ascii="Arial"/>
                        <w:b/>
                        <w:sz w:val="19"/>
                      </w:rPr>
                    </w:pPr>
                    <w:r>
                      <w:rPr>
                        <w:rFonts w:ascii="Arial"/>
                        <w:b/>
                        <w:w w:val="105"/>
                        <w:sz w:val="19"/>
                      </w:rPr>
                      <w:t>Forest ecosystems</w:t>
                    </w:r>
                  </w:p>
                </w:txbxContent>
              </v:textbox>
              <v:stroke dashstyle="solid"/>
              <w10:wrap type="none"/>
            </v:shape>
            <w10:wrap type="topAndBottom"/>
          </v:group>
        </w:pict>
      </w:r>
    </w:p>
    <w:p>
      <w:pPr>
        <w:pStyle w:val="BodyText"/>
        <w:spacing w:before="76"/>
        <w:ind w:left="680"/>
      </w:pPr>
      <w:r>
        <w:rPr/>
        <w:t>Variable definitions:</w:t>
      </w:r>
    </w:p>
    <w:p>
      <w:pPr>
        <w:pStyle w:val="BodyText"/>
        <w:tabs>
          <w:tab w:pos="1558" w:val="left" w:leader="none"/>
        </w:tabs>
        <w:ind w:left="680"/>
      </w:pPr>
      <w:r>
        <w:rPr/>
        <w:t>NEE</w:t>
        <w:tab/>
        <w:t>= net ecosystem</w:t>
      </w:r>
      <w:r>
        <w:rPr>
          <w:spacing w:val="-2"/>
        </w:rPr>
        <w:t> </w:t>
      </w:r>
      <w:r>
        <w:rPr/>
        <w:t>exchange</w:t>
      </w:r>
    </w:p>
    <w:p>
      <w:pPr>
        <w:pStyle w:val="BodyText"/>
        <w:tabs>
          <w:tab w:pos="1559" w:val="left" w:leader="none"/>
        </w:tabs>
        <w:spacing w:before="1"/>
        <w:ind w:left="680"/>
      </w:pPr>
      <w:r>
        <w:rPr/>
        <w:t>H</w:t>
        <w:tab/>
        <w:t>= harvested wood transported from</w:t>
      </w:r>
      <w:r>
        <w:rPr>
          <w:spacing w:val="3"/>
        </w:rPr>
        <w:t> </w:t>
      </w:r>
      <w:r>
        <w:rPr/>
        <w:t>forests</w:t>
      </w:r>
    </w:p>
    <w:p>
      <w:pPr>
        <w:pStyle w:val="BodyText"/>
        <w:tabs>
          <w:tab w:pos="1559" w:val="left" w:leader="none"/>
        </w:tabs>
        <w:ind w:left="680" w:right="374"/>
      </w:pPr>
      <w:r>
        <w:rPr/>
        <w:t>E</w:t>
      </w:r>
      <w:r>
        <w:rPr>
          <w:vertAlign w:val="subscript"/>
        </w:rPr>
        <w:t>DOM</w:t>
      </w:r>
      <w:r>
        <w:rPr>
          <w:vertAlign w:val="baseline"/>
        </w:rPr>
        <w:tab/>
        <w:t>= emissions from HWP in own country made from wood harvested from domestic forests E</w:t>
      </w:r>
      <w:r>
        <w:rPr>
          <w:vertAlign w:val="subscript"/>
        </w:rPr>
        <w:t>EX</w:t>
      </w:r>
      <w:r>
        <w:rPr>
          <w:spacing w:val="-18"/>
          <w:vertAlign w:val="baseline"/>
        </w:rPr>
        <w:t> </w:t>
      </w:r>
      <w:r>
        <w:rPr>
          <w:vertAlign w:val="subscript"/>
        </w:rPr>
        <w:t>DOM</w:t>
      </w:r>
      <w:r>
        <w:rPr>
          <w:vertAlign w:val="baseline"/>
        </w:rPr>
        <w:tab/>
        <w:t>=</w:t>
      </w:r>
      <w:r>
        <w:rPr>
          <w:spacing w:val="-3"/>
          <w:vertAlign w:val="baseline"/>
        </w:rPr>
        <w:t> </w:t>
      </w:r>
      <w:r>
        <w:rPr>
          <w:vertAlign w:val="baseline"/>
        </w:rPr>
        <w:t>emissions</w:t>
      </w:r>
      <w:r>
        <w:rPr>
          <w:spacing w:val="-2"/>
          <w:vertAlign w:val="baseline"/>
        </w:rPr>
        <w:t> </w:t>
      </w:r>
      <w:r>
        <w:rPr>
          <w:vertAlign w:val="baseline"/>
        </w:rPr>
        <w:t>from</w:t>
      </w:r>
      <w:r>
        <w:rPr>
          <w:spacing w:val="-4"/>
          <w:vertAlign w:val="baseline"/>
        </w:rPr>
        <w:t> </w:t>
      </w:r>
      <w:r>
        <w:rPr>
          <w:vertAlign w:val="baseline"/>
        </w:rPr>
        <w:t>HWP</w:t>
      </w:r>
      <w:r>
        <w:rPr>
          <w:spacing w:val="-3"/>
          <w:vertAlign w:val="baseline"/>
        </w:rPr>
        <w:t> </w:t>
      </w:r>
      <w:r>
        <w:rPr>
          <w:vertAlign w:val="baseline"/>
        </w:rPr>
        <w:t>in</w:t>
      </w:r>
      <w:r>
        <w:rPr>
          <w:spacing w:val="-5"/>
          <w:vertAlign w:val="baseline"/>
        </w:rPr>
        <w:t> </w:t>
      </w:r>
      <w:r>
        <w:rPr>
          <w:vertAlign w:val="baseline"/>
        </w:rPr>
        <w:t>other</w:t>
      </w:r>
      <w:r>
        <w:rPr>
          <w:spacing w:val="-3"/>
          <w:vertAlign w:val="baseline"/>
        </w:rPr>
        <w:t> </w:t>
      </w:r>
      <w:r>
        <w:rPr>
          <w:vertAlign w:val="baseline"/>
        </w:rPr>
        <w:t>countries</w:t>
      </w:r>
      <w:r>
        <w:rPr>
          <w:spacing w:val="-2"/>
          <w:vertAlign w:val="baseline"/>
        </w:rPr>
        <w:t> </w:t>
      </w:r>
      <w:r>
        <w:rPr>
          <w:vertAlign w:val="baseline"/>
        </w:rPr>
        <w:t>made</w:t>
      </w:r>
      <w:r>
        <w:rPr>
          <w:spacing w:val="-2"/>
          <w:vertAlign w:val="baseline"/>
        </w:rPr>
        <w:t> </w:t>
      </w:r>
      <w:r>
        <w:rPr>
          <w:vertAlign w:val="baseline"/>
        </w:rPr>
        <w:t>from</w:t>
      </w:r>
      <w:r>
        <w:rPr>
          <w:spacing w:val="-5"/>
          <w:vertAlign w:val="baseline"/>
        </w:rPr>
        <w:t> </w:t>
      </w:r>
      <w:r>
        <w:rPr>
          <w:vertAlign w:val="baseline"/>
        </w:rPr>
        <w:t>wood</w:t>
      </w:r>
      <w:r>
        <w:rPr>
          <w:spacing w:val="-3"/>
          <w:vertAlign w:val="baseline"/>
        </w:rPr>
        <w:t> </w:t>
      </w:r>
      <w:r>
        <w:rPr>
          <w:vertAlign w:val="baseline"/>
        </w:rPr>
        <w:t>exported</w:t>
      </w:r>
      <w:r>
        <w:rPr>
          <w:spacing w:val="-3"/>
          <w:vertAlign w:val="baseline"/>
        </w:rPr>
        <w:t> </w:t>
      </w:r>
      <w:r>
        <w:rPr>
          <w:vertAlign w:val="baseline"/>
        </w:rPr>
        <w:t>abroad</w:t>
      </w:r>
      <w:r>
        <w:rPr>
          <w:spacing w:val="-2"/>
          <w:vertAlign w:val="baseline"/>
        </w:rPr>
        <w:t> </w:t>
      </w:r>
      <w:r>
        <w:rPr>
          <w:vertAlign w:val="baseline"/>
        </w:rPr>
        <w:t>that</w:t>
      </w:r>
      <w:r>
        <w:rPr>
          <w:spacing w:val="-2"/>
          <w:vertAlign w:val="baseline"/>
        </w:rPr>
        <w:t> </w:t>
      </w:r>
      <w:r>
        <w:rPr>
          <w:vertAlign w:val="baseline"/>
        </w:rPr>
        <w:t>were</w:t>
      </w:r>
      <w:r>
        <w:rPr>
          <w:spacing w:val="-1"/>
          <w:vertAlign w:val="baseline"/>
        </w:rPr>
        <w:t> </w:t>
      </w:r>
      <w:r>
        <w:rPr>
          <w:vertAlign w:val="baseline"/>
        </w:rPr>
        <w:t>made</w:t>
      </w:r>
    </w:p>
    <w:p>
      <w:pPr>
        <w:pStyle w:val="BodyText"/>
        <w:tabs>
          <w:tab w:pos="1559" w:val="left" w:leader="none"/>
        </w:tabs>
        <w:ind w:left="680" w:right="3641" w:firstLine="1075"/>
      </w:pPr>
      <w:r>
        <w:rPr/>
        <w:t>from wood harvested from own country’s forests E</w:t>
      </w:r>
      <w:r>
        <w:rPr>
          <w:vertAlign w:val="subscript"/>
        </w:rPr>
        <w:t>IM</w:t>
      </w:r>
      <w:r>
        <w:rPr>
          <w:vertAlign w:val="baseline"/>
        </w:rPr>
        <w:tab/>
        <w:t>= emission from imported HWP in own</w:t>
      </w:r>
      <w:r>
        <w:rPr>
          <w:spacing w:val="-10"/>
          <w:vertAlign w:val="baseline"/>
        </w:rPr>
        <w:t> </w:t>
      </w:r>
      <w:r>
        <w:rPr>
          <w:vertAlign w:val="baseline"/>
        </w:rPr>
        <w:t>country</w:t>
      </w:r>
    </w:p>
    <w:p>
      <w:pPr>
        <w:pStyle w:val="BodyText"/>
        <w:tabs>
          <w:tab w:pos="1559" w:val="left" w:leader="none"/>
        </w:tabs>
        <w:ind w:left="680" w:right="745"/>
      </w:pPr>
      <w:r>
        <w:rPr/>
        <w:t>E</w:t>
      </w:r>
      <w:r>
        <w:rPr>
          <w:vertAlign w:val="subscript"/>
        </w:rPr>
        <w:t>EX</w:t>
      </w:r>
      <w:r>
        <w:rPr>
          <w:spacing w:val="-18"/>
          <w:vertAlign w:val="baseline"/>
        </w:rPr>
        <w:t> </w:t>
      </w:r>
      <w:r>
        <w:rPr>
          <w:vertAlign w:val="subscript"/>
        </w:rPr>
        <w:t>OTH</w:t>
      </w:r>
      <w:r>
        <w:rPr>
          <w:vertAlign w:val="baseline"/>
        </w:rPr>
        <w:tab/>
        <w:t>=</w:t>
      </w:r>
      <w:r>
        <w:rPr>
          <w:spacing w:val="-3"/>
          <w:vertAlign w:val="baseline"/>
        </w:rPr>
        <w:t> </w:t>
      </w:r>
      <w:r>
        <w:rPr>
          <w:vertAlign w:val="baseline"/>
        </w:rPr>
        <w:t>emissions</w:t>
      </w:r>
      <w:r>
        <w:rPr>
          <w:spacing w:val="-4"/>
          <w:vertAlign w:val="baseline"/>
        </w:rPr>
        <w:t> </w:t>
      </w:r>
      <w:r>
        <w:rPr>
          <w:vertAlign w:val="baseline"/>
        </w:rPr>
        <w:t>from</w:t>
      </w:r>
      <w:r>
        <w:rPr>
          <w:spacing w:val="-8"/>
          <w:vertAlign w:val="baseline"/>
        </w:rPr>
        <w:t> </w:t>
      </w:r>
      <w:r>
        <w:rPr>
          <w:vertAlign w:val="baseline"/>
        </w:rPr>
        <w:t>HWP</w:t>
      </w:r>
      <w:r>
        <w:rPr>
          <w:spacing w:val="-3"/>
          <w:vertAlign w:val="baseline"/>
        </w:rPr>
        <w:t> </w:t>
      </w:r>
      <w:r>
        <w:rPr>
          <w:vertAlign w:val="baseline"/>
        </w:rPr>
        <w:t>in</w:t>
      </w:r>
      <w:r>
        <w:rPr>
          <w:spacing w:val="-4"/>
          <w:vertAlign w:val="baseline"/>
        </w:rPr>
        <w:t> </w:t>
      </w:r>
      <w:r>
        <w:rPr>
          <w:vertAlign w:val="baseline"/>
        </w:rPr>
        <w:t>other</w:t>
      </w:r>
      <w:r>
        <w:rPr>
          <w:spacing w:val="-3"/>
          <w:vertAlign w:val="baseline"/>
        </w:rPr>
        <w:t> </w:t>
      </w:r>
      <w:r>
        <w:rPr>
          <w:vertAlign w:val="baseline"/>
        </w:rPr>
        <w:t>countries</w:t>
      </w:r>
      <w:r>
        <w:rPr>
          <w:spacing w:val="-2"/>
          <w:vertAlign w:val="baseline"/>
        </w:rPr>
        <w:t> </w:t>
      </w:r>
      <w:r>
        <w:rPr>
          <w:vertAlign w:val="baseline"/>
        </w:rPr>
        <w:t>made</w:t>
      </w:r>
      <w:r>
        <w:rPr>
          <w:spacing w:val="-2"/>
          <w:vertAlign w:val="baseline"/>
        </w:rPr>
        <w:t> </w:t>
      </w:r>
      <w:r>
        <w:rPr>
          <w:vertAlign w:val="baseline"/>
        </w:rPr>
        <w:t>from</w:t>
      </w:r>
      <w:r>
        <w:rPr>
          <w:spacing w:val="-5"/>
          <w:vertAlign w:val="baseline"/>
        </w:rPr>
        <w:t> </w:t>
      </w:r>
      <w:r>
        <w:rPr>
          <w:vertAlign w:val="baseline"/>
        </w:rPr>
        <w:t>wood</w:t>
      </w:r>
      <w:r>
        <w:rPr>
          <w:spacing w:val="-3"/>
          <w:vertAlign w:val="baseline"/>
        </w:rPr>
        <w:t> </w:t>
      </w:r>
      <w:r>
        <w:rPr>
          <w:vertAlign w:val="baseline"/>
        </w:rPr>
        <w:t>harvested</w:t>
      </w:r>
      <w:r>
        <w:rPr>
          <w:spacing w:val="-3"/>
          <w:vertAlign w:val="baseline"/>
        </w:rPr>
        <w:t> </w:t>
      </w:r>
      <w:r>
        <w:rPr>
          <w:vertAlign w:val="baseline"/>
        </w:rPr>
        <w:t>in</w:t>
      </w:r>
      <w:r>
        <w:rPr>
          <w:spacing w:val="-4"/>
          <w:vertAlign w:val="baseline"/>
        </w:rPr>
        <w:t> </w:t>
      </w:r>
      <w:r>
        <w:rPr>
          <w:vertAlign w:val="baseline"/>
        </w:rPr>
        <w:t>other</w:t>
      </w:r>
      <w:r>
        <w:rPr>
          <w:spacing w:val="-3"/>
          <w:vertAlign w:val="baseline"/>
        </w:rPr>
        <w:t> </w:t>
      </w:r>
      <w:r>
        <w:rPr>
          <w:vertAlign w:val="baseline"/>
        </w:rPr>
        <w:t>countries P</w:t>
      </w:r>
      <w:r>
        <w:rPr>
          <w:vertAlign w:val="subscript"/>
        </w:rPr>
        <w:t>EX</w:t>
      </w:r>
      <w:r>
        <w:rPr>
          <w:vertAlign w:val="baseline"/>
        </w:rPr>
        <w:tab/>
        <w:t>= exports of HWP including roundwood, wood-based waste and refined</w:t>
      </w:r>
      <w:r>
        <w:rPr>
          <w:spacing w:val="-17"/>
          <w:vertAlign w:val="baseline"/>
        </w:rPr>
        <w:t> </w:t>
      </w:r>
      <w:r>
        <w:rPr>
          <w:vertAlign w:val="baseline"/>
        </w:rPr>
        <w:t>products</w:t>
      </w:r>
    </w:p>
    <w:p>
      <w:pPr>
        <w:pStyle w:val="BodyText"/>
        <w:tabs>
          <w:tab w:pos="1559" w:val="left" w:leader="none"/>
        </w:tabs>
        <w:spacing w:line="228" w:lineRule="exact"/>
        <w:ind w:left="680"/>
      </w:pPr>
      <w:r>
        <w:rPr/>
        <w:t>P</w:t>
      </w:r>
      <w:r>
        <w:rPr>
          <w:vertAlign w:val="subscript"/>
        </w:rPr>
        <w:t>IM</w:t>
      </w:r>
      <w:r>
        <w:rPr>
          <w:vertAlign w:val="baseline"/>
        </w:rPr>
        <w:tab/>
        <w:t>=</w:t>
      </w:r>
      <w:r>
        <w:rPr>
          <w:spacing w:val="-5"/>
          <w:vertAlign w:val="baseline"/>
        </w:rPr>
        <w:t> </w:t>
      </w:r>
      <w:r>
        <w:rPr>
          <w:vertAlign w:val="baseline"/>
        </w:rPr>
        <w:t>imports</w:t>
      </w:r>
      <w:r>
        <w:rPr>
          <w:spacing w:val="-6"/>
          <w:vertAlign w:val="baseline"/>
        </w:rPr>
        <w:t> </w:t>
      </w:r>
      <w:r>
        <w:rPr>
          <w:vertAlign w:val="baseline"/>
        </w:rPr>
        <w:t>of</w:t>
      </w:r>
      <w:r>
        <w:rPr>
          <w:spacing w:val="-7"/>
          <w:vertAlign w:val="baseline"/>
        </w:rPr>
        <w:t> </w:t>
      </w:r>
      <w:r>
        <w:rPr>
          <w:vertAlign w:val="baseline"/>
        </w:rPr>
        <w:t>HWP</w:t>
      </w:r>
      <w:r>
        <w:rPr>
          <w:spacing w:val="-5"/>
          <w:vertAlign w:val="baseline"/>
        </w:rPr>
        <w:t> </w:t>
      </w:r>
      <w:r>
        <w:rPr>
          <w:vertAlign w:val="baseline"/>
        </w:rPr>
        <w:t>including</w:t>
      </w:r>
      <w:r>
        <w:rPr>
          <w:spacing w:val="-6"/>
          <w:vertAlign w:val="baseline"/>
        </w:rPr>
        <w:t> </w:t>
      </w:r>
      <w:r>
        <w:rPr>
          <w:vertAlign w:val="baseline"/>
        </w:rPr>
        <w:t>roundwood,</w:t>
      </w:r>
      <w:r>
        <w:rPr>
          <w:spacing w:val="-2"/>
          <w:vertAlign w:val="baseline"/>
        </w:rPr>
        <w:t> </w:t>
      </w:r>
      <w:r>
        <w:rPr>
          <w:vertAlign w:val="baseline"/>
        </w:rPr>
        <w:t>wood-based</w:t>
      </w:r>
      <w:r>
        <w:rPr>
          <w:spacing w:val="-3"/>
          <w:vertAlign w:val="baseline"/>
        </w:rPr>
        <w:t> </w:t>
      </w:r>
      <w:r>
        <w:rPr>
          <w:vertAlign w:val="baseline"/>
        </w:rPr>
        <w:t>waste</w:t>
      </w:r>
      <w:r>
        <w:rPr>
          <w:spacing w:val="-3"/>
          <w:vertAlign w:val="baseline"/>
        </w:rPr>
        <w:t> </w:t>
      </w:r>
      <w:r>
        <w:rPr>
          <w:vertAlign w:val="baseline"/>
        </w:rPr>
        <w:t>and</w:t>
      </w:r>
      <w:r>
        <w:rPr>
          <w:spacing w:val="-4"/>
          <w:vertAlign w:val="baseline"/>
        </w:rPr>
        <w:t> </w:t>
      </w:r>
      <w:r>
        <w:rPr>
          <w:vertAlign w:val="baseline"/>
        </w:rPr>
        <w:t>refined</w:t>
      </w:r>
      <w:r>
        <w:rPr>
          <w:spacing w:val="-5"/>
          <w:vertAlign w:val="baseline"/>
        </w:rPr>
        <w:t> </w:t>
      </w:r>
      <w:r>
        <w:rPr>
          <w:vertAlign w:val="baseline"/>
        </w:rPr>
        <w:t>products</w:t>
      </w:r>
    </w:p>
    <w:p>
      <w:pPr>
        <w:pStyle w:val="BodyText"/>
        <w:spacing w:before="9"/>
        <w:rPr>
          <w:sz w:val="19"/>
        </w:rPr>
      </w:pPr>
    </w:p>
    <w:p>
      <w:pPr>
        <w:pStyle w:val="BodyText"/>
        <w:ind w:left="119" w:right="116"/>
        <w:jc w:val="both"/>
      </w:pPr>
      <w:r>
        <w:rPr/>
        <w:t>Approaches 1 and 2 above were elaborated at an IPCC Expert Meeting on Harvested Wood Products (IPCC, 1998). If either approach was used by an inventory agency, the estimated annual change of HWP stocks would be added to the estimated annual biomass change in Equation 1 in the </w:t>
      </w:r>
      <w:r>
        <w:rPr>
          <w:i/>
        </w:rPr>
        <w:t>IPCC Guidelines </w:t>
      </w:r>
      <w:r>
        <w:rPr/>
        <w:t>(Reference Manual, p. 5.19). Equation 1 in the </w:t>
      </w:r>
      <w:r>
        <w:rPr>
          <w:i/>
        </w:rPr>
        <w:t>IPCC Guidelines </w:t>
      </w:r>
      <w:r>
        <w:rPr/>
        <w:t>corresponds to the sum of Equations 3.2.1 and 3.2.21 in Chapter 3 of this report. Equation 3.2.1 indicates carbon change on forest land that remains forest land and Equation 3.2.21 indicates carbon change on non-forest land that is converted to forest land. The Production Approach would add change in HWP carbon where the carbon came from trees in domestic forests (the land sources cited in  Equations 3.2.1 and 3.2.21). The Stock Change Approach would add the change in HWP carbon that is resident in the country (includes imports, excludes</w:t>
      </w:r>
      <w:r>
        <w:rPr>
          <w:spacing w:val="-9"/>
        </w:rPr>
        <w:t> </w:t>
      </w:r>
      <w:r>
        <w:rPr/>
        <w:t>exports).</w:t>
      </w:r>
    </w:p>
    <w:p>
      <w:pPr>
        <w:pStyle w:val="BodyText"/>
        <w:spacing w:before="119"/>
        <w:ind w:left="119" w:right="119"/>
        <w:jc w:val="both"/>
      </w:pPr>
      <w:r>
        <w:rPr/>
        <w:t>A third approach, having no explicit reference in the </w:t>
      </w:r>
      <w:r>
        <w:rPr>
          <w:i/>
        </w:rPr>
        <w:t>IPCC Guidelines</w:t>
      </w:r>
      <w:r>
        <w:rPr/>
        <w:t>, was also elaborated at the above- mentioned IPCC Expert Meeting.</w:t>
      </w:r>
    </w:p>
    <w:p>
      <w:pPr>
        <w:pStyle w:val="BodyText"/>
        <w:spacing w:before="121"/>
        <w:ind w:left="119" w:right="122"/>
        <w:jc w:val="both"/>
      </w:pPr>
      <w:r>
        <w:rPr>
          <w:b/>
        </w:rPr>
        <w:t>Approach 3: </w:t>
      </w:r>
      <w:r>
        <w:rPr/>
        <w:t>Estimation of annual atmospheric fluxes between the atmosphere and forests/HWP within national boundaries. This would mean that:</w:t>
      </w:r>
    </w:p>
    <w:p>
      <w:pPr>
        <w:pStyle w:val="ListParagraph"/>
        <w:numPr>
          <w:ilvl w:val="0"/>
          <w:numId w:val="23"/>
        </w:numPr>
        <w:tabs>
          <w:tab w:pos="480" w:val="left" w:leader="none"/>
        </w:tabs>
        <w:spacing w:line="232" w:lineRule="auto" w:before="138" w:after="0"/>
        <w:ind w:left="476" w:right="122" w:hanging="357"/>
        <w:jc w:val="both"/>
        <w:rPr>
          <w:sz w:val="20"/>
        </w:rPr>
      </w:pPr>
      <w:r>
        <w:rPr>
          <w:sz w:val="20"/>
        </w:rPr>
        <w:t>The viewpoint of the approach deviates from the previous ones. Instead of focusing on stock changes (Approaches 1 and 2), the focus is directly on carbon fluxes from and to the atmosphere. It considers the annual carbon removal by forests and emissions from the</w:t>
      </w:r>
      <w:r>
        <w:rPr>
          <w:spacing w:val="-9"/>
          <w:sz w:val="20"/>
        </w:rPr>
        <w:t> </w:t>
      </w:r>
      <w:r>
        <w:rPr>
          <w:sz w:val="20"/>
        </w:rPr>
        <w:t>HWP.</w:t>
      </w:r>
    </w:p>
    <w:p>
      <w:pPr>
        <w:spacing w:after="0" w:line="232" w:lineRule="auto"/>
        <w:jc w:val="both"/>
        <w:rPr>
          <w:sz w:val="20"/>
        </w:rPr>
        <w:sectPr>
          <w:pgSz w:w="11900" w:h="16840"/>
          <w:pgMar w:header="235" w:footer="408" w:top="920" w:bottom="600" w:left="1300" w:right="1280"/>
        </w:sectPr>
      </w:pPr>
    </w:p>
    <w:p>
      <w:pPr>
        <w:pStyle w:val="ListParagraph"/>
        <w:numPr>
          <w:ilvl w:val="0"/>
          <w:numId w:val="23"/>
        </w:numPr>
        <w:tabs>
          <w:tab w:pos="480" w:val="left" w:leader="none"/>
        </w:tabs>
        <w:spacing w:line="223" w:lineRule="auto" w:before="116" w:after="0"/>
        <w:ind w:left="476" w:right="118" w:hanging="357"/>
        <w:jc w:val="both"/>
        <w:rPr>
          <w:sz w:val="20"/>
        </w:rPr>
      </w:pPr>
      <w:r>
        <w:rPr>
          <w:sz w:val="20"/>
        </w:rPr>
        <w:t>Instead of reporting the annual HWP stock change as in Approach 1, the annual emissions are reported in Approach 3 (see Figure</w:t>
      </w:r>
      <w:r>
        <w:rPr>
          <w:spacing w:val="1"/>
          <w:sz w:val="20"/>
        </w:rPr>
        <w:t> </w:t>
      </w:r>
      <w:r>
        <w:rPr>
          <w:sz w:val="20"/>
        </w:rPr>
        <w:t>3.a.1.1).</w:t>
      </w:r>
    </w:p>
    <w:p>
      <w:pPr>
        <w:pStyle w:val="ListParagraph"/>
        <w:numPr>
          <w:ilvl w:val="0"/>
          <w:numId w:val="23"/>
        </w:numPr>
        <w:tabs>
          <w:tab w:pos="480" w:val="left" w:leader="none"/>
        </w:tabs>
        <w:spacing w:line="235" w:lineRule="auto" w:before="142" w:after="0"/>
        <w:ind w:left="476" w:right="119" w:hanging="357"/>
        <w:jc w:val="both"/>
        <w:rPr>
          <w:sz w:val="20"/>
        </w:rPr>
      </w:pPr>
      <w:r>
        <w:rPr>
          <w:sz w:val="20"/>
        </w:rPr>
        <w:t>This approach could require modification of the existing reporting practice concerning forests. Instead of reporting only the net annual forest biomass change as growth minus harvest (and the changes in carbon of the other stocks in forest ecosystems), the annual net carbon flux into forest ecosystems (net ecosystem exchange) would be reported along with the estimates of emissions from HWP (see Figure</w:t>
      </w:r>
      <w:r>
        <w:rPr>
          <w:spacing w:val="-22"/>
          <w:sz w:val="20"/>
        </w:rPr>
        <w:t> </w:t>
      </w:r>
      <w:r>
        <w:rPr>
          <w:sz w:val="20"/>
        </w:rPr>
        <w:t>3.a.1.1).</w:t>
      </w:r>
    </w:p>
    <w:p>
      <w:pPr>
        <w:pStyle w:val="ListParagraph"/>
        <w:numPr>
          <w:ilvl w:val="0"/>
          <w:numId w:val="23"/>
        </w:numPr>
        <w:tabs>
          <w:tab w:pos="480" w:val="left" w:leader="none"/>
        </w:tabs>
        <w:spacing w:line="235" w:lineRule="auto" w:before="136" w:after="0"/>
        <w:ind w:left="476" w:right="117" w:hanging="357"/>
        <w:jc w:val="both"/>
        <w:rPr>
          <w:sz w:val="20"/>
        </w:rPr>
      </w:pPr>
      <w:r>
        <w:rPr>
          <w:sz w:val="20"/>
        </w:rPr>
        <w:t>Estimates of emissions would be based on data for what happens to products in use and waste disposal within the boarders of a country – it could include movements of products into and out of the country. Data on uses and disposition would be found in the reporting country. In this sense it is similar to Approach 1 (see Figures 3a.1.1 and 3a.1.3.)</w:t>
      </w:r>
    </w:p>
    <w:p>
      <w:pPr>
        <w:pStyle w:val="ListParagraph"/>
        <w:numPr>
          <w:ilvl w:val="0"/>
          <w:numId w:val="23"/>
        </w:numPr>
        <w:tabs>
          <w:tab w:pos="480" w:val="left" w:leader="none"/>
        </w:tabs>
        <w:spacing w:line="230" w:lineRule="auto" w:before="139" w:after="0"/>
        <w:ind w:left="476" w:right="120" w:hanging="357"/>
        <w:jc w:val="both"/>
        <w:rPr>
          <w:sz w:val="20"/>
        </w:rPr>
      </w:pPr>
      <w:r>
        <w:rPr>
          <w:sz w:val="20"/>
        </w:rPr>
        <w:t>Wood is from many sources and management activities – possibly outside the country. The emissions are linked to the location of emissions but not to the land the wood carbon came from. The latter is analogous to Approach</w:t>
      </w:r>
      <w:r>
        <w:rPr>
          <w:spacing w:val="-2"/>
          <w:sz w:val="20"/>
        </w:rPr>
        <w:t> </w:t>
      </w:r>
      <w:r>
        <w:rPr>
          <w:sz w:val="20"/>
        </w:rPr>
        <w:t>1.</w:t>
      </w:r>
    </w:p>
    <w:p>
      <w:pPr>
        <w:pStyle w:val="ListParagraph"/>
        <w:numPr>
          <w:ilvl w:val="0"/>
          <w:numId w:val="23"/>
        </w:numPr>
        <w:tabs>
          <w:tab w:pos="480" w:val="left" w:leader="none"/>
        </w:tabs>
        <w:spacing w:line="223" w:lineRule="auto" w:before="149" w:after="0"/>
        <w:ind w:left="476" w:right="121" w:hanging="357"/>
        <w:jc w:val="both"/>
        <w:rPr>
          <w:sz w:val="20"/>
        </w:rPr>
      </w:pPr>
      <w:r>
        <w:rPr>
          <w:sz w:val="20"/>
        </w:rPr>
        <w:t>This approach may be used to evaluate the effect of all the factors that influence the emissions from wood carbon in a</w:t>
      </w:r>
      <w:r>
        <w:rPr>
          <w:spacing w:val="-2"/>
          <w:sz w:val="20"/>
        </w:rPr>
        <w:t> </w:t>
      </w:r>
      <w:r>
        <w:rPr>
          <w:sz w:val="20"/>
        </w:rPr>
        <w:t>country.</w:t>
      </w:r>
    </w:p>
    <w:p>
      <w:pPr>
        <w:pStyle w:val="ListParagraph"/>
        <w:numPr>
          <w:ilvl w:val="0"/>
          <w:numId w:val="23"/>
        </w:numPr>
        <w:tabs>
          <w:tab w:pos="480" w:val="left" w:leader="none"/>
        </w:tabs>
        <w:spacing w:line="235" w:lineRule="auto" w:before="143" w:after="0"/>
        <w:ind w:left="476" w:right="120" w:hanging="357"/>
        <w:jc w:val="both"/>
        <w:rPr>
          <w:sz w:val="20"/>
        </w:rPr>
      </w:pPr>
      <w:r>
        <w:rPr>
          <w:sz w:val="20"/>
        </w:rPr>
        <w:t>There are several removals (or transfers to HWP) and emissions associated with the estimate of the emissions from HWP stock in a country. These include the transfer of harvest to products, the emissions from HWP remaining in the country, and the emissions from products imported to the country (see Figure 3a.1.1).</w:t>
      </w:r>
    </w:p>
    <w:p>
      <w:pPr>
        <w:pStyle w:val="ListParagraph"/>
        <w:numPr>
          <w:ilvl w:val="0"/>
          <w:numId w:val="23"/>
        </w:numPr>
        <w:tabs>
          <w:tab w:pos="480" w:val="left" w:leader="none"/>
        </w:tabs>
        <w:spacing w:line="223" w:lineRule="auto" w:before="144" w:after="0"/>
        <w:ind w:left="476" w:right="118" w:hanging="357"/>
        <w:jc w:val="both"/>
        <w:rPr>
          <w:sz w:val="20"/>
        </w:rPr>
      </w:pPr>
      <w:r>
        <w:rPr>
          <w:sz w:val="20"/>
        </w:rPr>
        <w:t>The carbon flux E in Figure 3a.1.1 would be interpreted as an emission, expressed in Gg CO</w:t>
      </w:r>
      <w:r>
        <w:rPr>
          <w:sz w:val="20"/>
          <w:vertAlign w:val="subscript"/>
        </w:rPr>
        <w:t>2</w:t>
      </w:r>
      <w:r>
        <w:rPr>
          <w:sz w:val="20"/>
          <w:vertAlign w:val="baseline"/>
        </w:rPr>
        <w:t>/year in national greenhouse gas</w:t>
      </w:r>
      <w:r>
        <w:rPr>
          <w:spacing w:val="-2"/>
          <w:sz w:val="20"/>
          <w:vertAlign w:val="baseline"/>
        </w:rPr>
        <w:t> </w:t>
      </w:r>
      <w:r>
        <w:rPr>
          <w:sz w:val="20"/>
          <w:vertAlign w:val="baseline"/>
        </w:rPr>
        <w:t>inventories.</w:t>
      </w:r>
    </w:p>
    <w:p>
      <w:pPr>
        <w:pStyle w:val="BodyText"/>
        <w:spacing w:before="122"/>
        <w:ind w:left="421"/>
      </w:pPr>
      <w:r>
        <w:rPr/>
        <w:t>Approach 3 is named as the Atmospheric Flow Approach.</w:t>
      </w:r>
    </w:p>
    <w:p>
      <w:pPr>
        <w:pStyle w:val="BodyText"/>
        <w:rPr>
          <w:sz w:val="22"/>
        </w:rPr>
      </w:pPr>
    </w:p>
    <w:p>
      <w:pPr>
        <w:spacing w:line="240" w:lineRule="auto" w:before="148"/>
        <w:ind w:left="1820" w:right="262" w:hanging="1702"/>
        <w:jc w:val="left"/>
        <w:rPr>
          <w:b/>
          <w:sz w:val="20"/>
        </w:rPr>
      </w:pPr>
      <w:r>
        <w:rPr>
          <w:b/>
          <w:spacing w:val="8"/>
          <w:sz w:val="20"/>
        </w:rPr>
        <w:t>Figure 3a.1.3 Carbon flows </w:t>
      </w:r>
      <w:r>
        <w:rPr>
          <w:b/>
          <w:spacing w:val="6"/>
          <w:sz w:val="20"/>
        </w:rPr>
        <w:t>and </w:t>
      </w:r>
      <w:r>
        <w:rPr>
          <w:b/>
          <w:spacing w:val="8"/>
          <w:sz w:val="20"/>
        </w:rPr>
        <w:t>stocks when products </w:t>
      </w:r>
      <w:r>
        <w:rPr>
          <w:b/>
          <w:spacing w:val="7"/>
          <w:sz w:val="20"/>
        </w:rPr>
        <w:t>both </w:t>
      </w:r>
      <w:r>
        <w:rPr>
          <w:b/>
          <w:spacing w:val="5"/>
          <w:sz w:val="20"/>
        </w:rPr>
        <w:t>in </w:t>
      </w:r>
      <w:r>
        <w:rPr>
          <w:b/>
          <w:spacing w:val="6"/>
          <w:sz w:val="20"/>
        </w:rPr>
        <w:t>use and </w:t>
      </w:r>
      <w:r>
        <w:rPr>
          <w:b/>
          <w:spacing w:val="5"/>
          <w:sz w:val="20"/>
        </w:rPr>
        <w:t>in </w:t>
      </w:r>
      <w:r>
        <w:rPr>
          <w:b/>
          <w:spacing w:val="7"/>
          <w:sz w:val="20"/>
        </w:rPr>
        <w:t>solid </w:t>
      </w:r>
      <w:r>
        <w:rPr>
          <w:b/>
          <w:spacing w:val="8"/>
          <w:sz w:val="20"/>
        </w:rPr>
        <w:t>waste disposal</w:t>
      </w:r>
      <w:r>
        <w:rPr>
          <w:b/>
          <w:spacing w:val="66"/>
          <w:sz w:val="20"/>
        </w:rPr>
        <w:t> </w:t>
      </w:r>
      <w:r>
        <w:rPr>
          <w:b/>
          <w:spacing w:val="7"/>
          <w:sz w:val="20"/>
        </w:rPr>
        <w:t>sites </w:t>
      </w:r>
      <w:r>
        <w:rPr>
          <w:b/>
          <w:spacing w:val="8"/>
          <w:sz w:val="20"/>
        </w:rPr>
        <w:t>(SWDS) </w:t>
      </w:r>
      <w:r>
        <w:rPr>
          <w:b/>
          <w:spacing w:val="6"/>
          <w:sz w:val="20"/>
        </w:rPr>
        <w:t>are </w:t>
      </w:r>
      <w:r>
        <w:rPr>
          <w:b/>
          <w:spacing w:val="9"/>
          <w:sz w:val="20"/>
        </w:rPr>
        <w:t>considered </w:t>
      </w:r>
      <w:r>
        <w:rPr>
          <w:b/>
          <w:spacing w:val="8"/>
          <w:sz w:val="20"/>
        </w:rPr>
        <w:t>(Stock change </w:t>
      </w:r>
      <w:r>
        <w:rPr>
          <w:b/>
          <w:spacing w:val="7"/>
          <w:sz w:val="20"/>
        </w:rPr>
        <w:t>and </w:t>
      </w:r>
      <w:r>
        <w:rPr>
          <w:b/>
          <w:spacing w:val="9"/>
          <w:sz w:val="20"/>
        </w:rPr>
        <w:t>Atmospheric </w:t>
      </w:r>
      <w:r>
        <w:rPr>
          <w:b/>
          <w:spacing w:val="7"/>
          <w:sz w:val="20"/>
        </w:rPr>
        <w:t>flow </w:t>
      </w:r>
      <w:r>
        <w:rPr>
          <w:b/>
          <w:spacing w:val="9"/>
          <w:sz w:val="20"/>
        </w:rPr>
        <w:t>accounting </w:t>
      </w:r>
      <w:r>
        <w:rPr>
          <w:b/>
          <w:spacing w:val="8"/>
          <w:sz w:val="20"/>
        </w:rPr>
        <w:t>approaches).</w:t>
      </w:r>
    </w:p>
    <w:p>
      <w:pPr>
        <w:pStyle w:val="BodyText"/>
        <w:spacing w:before="6"/>
        <w:rPr>
          <w:b/>
          <w:sz w:val="18"/>
        </w:rPr>
      </w:pPr>
    </w:p>
    <w:p>
      <w:pPr>
        <w:spacing w:before="96"/>
        <w:ind w:left="2552" w:right="0" w:firstLine="0"/>
        <w:jc w:val="left"/>
        <w:rPr>
          <w:rFonts w:ascii="Arial"/>
          <w:sz w:val="22"/>
        </w:rPr>
      </w:pPr>
      <w:r>
        <w:rPr/>
        <w:drawing>
          <wp:anchor distT="0" distB="0" distL="0" distR="0" allowOverlap="1" layoutInCell="1" locked="0" behindDoc="1" simplePos="0" relativeHeight="265993727">
            <wp:simplePos x="0" y="0"/>
            <wp:positionH relativeFrom="page">
              <wp:posOffset>1866658</wp:posOffset>
            </wp:positionH>
            <wp:positionV relativeFrom="paragraph">
              <wp:posOffset>174474</wp:posOffset>
            </wp:positionV>
            <wp:extent cx="3230117" cy="2401824"/>
            <wp:effectExtent l="0" t="0" r="0" b="0"/>
            <wp:wrapNone/>
            <wp:docPr id="7" name="image44.png" descr=""/>
            <wp:cNvGraphicFramePr>
              <a:graphicFrameLocks noChangeAspect="1"/>
            </wp:cNvGraphicFramePr>
            <a:graphic>
              <a:graphicData uri="http://schemas.openxmlformats.org/drawingml/2006/picture">
                <pic:pic>
                  <pic:nvPicPr>
                    <pic:cNvPr id="8" name="image44.png"/>
                    <pic:cNvPicPr/>
                  </pic:nvPicPr>
                  <pic:blipFill>
                    <a:blip r:embed="rId250" cstate="print"/>
                    <a:stretch>
                      <a:fillRect/>
                    </a:stretch>
                  </pic:blipFill>
                  <pic:spPr>
                    <a:xfrm>
                      <a:off x="0" y="0"/>
                      <a:ext cx="3230117" cy="2401824"/>
                    </a:xfrm>
                    <a:prstGeom prst="rect">
                      <a:avLst/>
                    </a:prstGeom>
                  </pic:spPr>
                </pic:pic>
              </a:graphicData>
            </a:graphic>
          </wp:anchor>
        </w:drawing>
      </w:r>
      <w:r>
        <w:rPr>
          <w:rFonts w:ascii="Arial"/>
          <w:sz w:val="22"/>
        </w:rPr>
        <w:t>ATMOSPHERE</w:t>
      </w:r>
    </w:p>
    <w:p>
      <w:pPr>
        <w:pStyle w:val="BodyText"/>
        <w:spacing w:before="5"/>
        <w:rPr>
          <w:rFonts w:ascii="Arial"/>
        </w:rPr>
      </w:pPr>
    </w:p>
    <w:p>
      <w:pPr>
        <w:tabs>
          <w:tab w:pos="4280" w:val="left" w:leader="none"/>
          <w:tab w:pos="6174" w:val="left" w:leader="none"/>
        </w:tabs>
        <w:spacing w:before="99"/>
        <w:ind w:left="2387" w:right="0" w:firstLine="0"/>
        <w:jc w:val="left"/>
        <w:rPr>
          <w:rFonts w:ascii="Arial"/>
          <w:sz w:val="10"/>
        </w:rPr>
      </w:pPr>
      <w:r>
        <w:rPr>
          <w:rFonts w:ascii="Arial"/>
          <w:w w:val="105"/>
          <w:sz w:val="14"/>
        </w:rPr>
        <w:t>NEE</w:t>
        <w:tab/>
      </w:r>
      <w:r>
        <w:rPr>
          <w:rFonts w:ascii="Arial"/>
          <w:w w:val="105"/>
          <w:position w:val="3"/>
          <w:sz w:val="14"/>
        </w:rPr>
        <w:t>E</w:t>
        <w:tab/>
      </w:r>
      <w:r>
        <w:rPr>
          <w:rFonts w:ascii="Arial"/>
          <w:w w:val="105"/>
          <w:position w:val="-2"/>
          <w:sz w:val="14"/>
        </w:rPr>
        <w:t>E</w:t>
      </w:r>
      <w:r>
        <w:rPr>
          <w:rFonts w:ascii="Arial"/>
          <w:w w:val="105"/>
          <w:position w:val="-5"/>
          <w:sz w:val="10"/>
        </w:rPr>
        <w:t>W</w:t>
      </w:r>
    </w:p>
    <w:p>
      <w:pPr>
        <w:pStyle w:val="BodyText"/>
        <w:spacing w:before="2"/>
        <w:rPr>
          <w:rFonts w:ascii="Arial"/>
          <w:sz w:val="16"/>
        </w:rPr>
      </w:pPr>
    </w:p>
    <w:p>
      <w:pPr>
        <w:spacing w:before="95"/>
        <w:ind w:left="2629" w:right="0" w:firstLine="0"/>
        <w:jc w:val="left"/>
        <w:rPr>
          <w:rFonts w:ascii="Arial"/>
          <w:sz w:val="22"/>
        </w:rPr>
      </w:pPr>
      <w:r>
        <w:rPr>
          <w:rFonts w:ascii="Arial"/>
          <w:sz w:val="22"/>
        </w:rPr>
        <w:t>Own country</w:t>
      </w:r>
    </w:p>
    <w:p>
      <w:pPr>
        <w:pStyle w:val="BodyText"/>
        <w:rPr>
          <w:rFonts w:ascii="Arial"/>
        </w:rPr>
      </w:pPr>
    </w:p>
    <w:p>
      <w:pPr>
        <w:pStyle w:val="BodyText"/>
        <w:spacing w:before="1"/>
        <w:rPr>
          <w:rFonts w:ascii="Arial"/>
          <w:sz w:val="25"/>
        </w:rPr>
      </w:pPr>
    </w:p>
    <w:p>
      <w:pPr>
        <w:spacing w:after="0"/>
        <w:rPr>
          <w:rFonts w:ascii="Arial"/>
          <w:sz w:val="25"/>
        </w:rPr>
        <w:sectPr>
          <w:footerReference w:type="even" r:id="rId248"/>
          <w:footerReference w:type="default" r:id="rId249"/>
          <w:pgSz w:w="11900" w:h="16840"/>
          <w:pgMar w:footer="408" w:header="235" w:top="920" w:bottom="600" w:left="1300" w:right="1280"/>
        </w:sectPr>
      </w:pPr>
    </w:p>
    <w:p>
      <w:pPr>
        <w:tabs>
          <w:tab w:pos="3123" w:val="left" w:leader="none"/>
        </w:tabs>
        <w:spacing w:before="123"/>
        <w:ind w:left="2048" w:right="0" w:firstLine="0"/>
        <w:jc w:val="left"/>
        <w:rPr>
          <w:rFonts w:ascii="Arial"/>
          <w:sz w:val="14"/>
        </w:rPr>
      </w:pPr>
      <w:r>
        <w:rPr>
          <w:rFonts w:ascii="Arial"/>
          <w:w w:val="105"/>
          <w:sz w:val="16"/>
        </w:rPr>
        <w:t>Forest</w:t>
        <w:tab/>
      </w:r>
      <w:r>
        <w:rPr>
          <w:rFonts w:ascii="Arial"/>
          <w:spacing w:val="-19"/>
          <w:w w:val="105"/>
          <w:position w:val="1"/>
          <w:sz w:val="14"/>
        </w:rPr>
        <w:t>H</w:t>
      </w:r>
    </w:p>
    <w:p>
      <w:pPr>
        <w:spacing w:before="17"/>
        <w:ind w:left="1844" w:right="0" w:firstLine="0"/>
        <w:jc w:val="left"/>
        <w:rPr>
          <w:rFonts w:ascii="Arial"/>
          <w:sz w:val="16"/>
        </w:rPr>
      </w:pPr>
      <w:r>
        <w:rPr>
          <w:rFonts w:ascii="Arial"/>
          <w:w w:val="105"/>
          <w:sz w:val="16"/>
        </w:rPr>
        <w:t>ecosystems</w:t>
      </w:r>
    </w:p>
    <w:p>
      <w:pPr>
        <w:spacing w:before="101"/>
        <w:ind w:left="743" w:right="0" w:firstLine="0"/>
        <w:jc w:val="left"/>
        <w:rPr>
          <w:rFonts w:ascii="Arial"/>
          <w:sz w:val="16"/>
        </w:rPr>
      </w:pPr>
      <w:r>
        <w:rPr/>
        <w:br w:type="column"/>
      </w:r>
      <w:r>
        <w:rPr>
          <w:rFonts w:ascii="Arial"/>
          <w:w w:val="105"/>
          <w:sz w:val="16"/>
        </w:rPr>
        <w:t>HWP</w:t>
      </w:r>
    </w:p>
    <w:p>
      <w:pPr>
        <w:spacing w:before="15"/>
        <w:ind w:left="717" w:right="0" w:firstLine="0"/>
        <w:jc w:val="left"/>
        <w:rPr>
          <w:rFonts w:ascii="Arial"/>
          <w:sz w:val="16"/>
        </w:rPr>
      </w:pPr>
      <w:r>
        <w:rPr>
          <w:rFonts w:ascii="Arial"/>
          <w:w w:val="105"/>
          <w:sz w:val="16"/>
        </w:rPr>
        <w:t>in</w:t>
      </w:r>
      <w:r>
        <w:rPr>
          <w:rFonts w:ascii="Arial"/>
          <w:spacing w:val="-4"/>
          <w:w w:val="105"/>
          <w:sz w:val="16"/>
        </w:rPr>
        <w:t> </w:t>
      </w:r>
      <w:r>
        <w:rPr>
          <w:rFonts w:ascii="Arial"/>
          <w:spacing w:val="-9"/>
          <w:w w:val="105"/>
          <w:sz w:val="16"/>
        </w:rPr>
        <w:t>use</w:t>
      </w:r>
    </w:p>
    <w:p>
      <w:pPr>
        <w:tabs>
          <w:tab w:pos="1395" w:val="left" w:leader="none"/>
        </w:tabs>
        <w:spacing w:before="106"/>
        <w:ind w:left="565" w:right="0" w:firstLine="0"/>
        <w:jc w:val="left"/>
        <w:rPr>
          <w:rFonts w:ascii="Arial"/>
          <w:sz w:val="16"/>
        </w:rPr>
      </w:pPr>
      <w:r>
        <w:rPr/>
        <w:br w:type="column"/>
      </w:r>
      <w:r>
        <w:rPr>
          <w:rFonts w:ascii="Arial"/>
          <w:w w:val="105"/>
          <w:sz w:val="14"/>
        </w:rPr>
        <w:t>W</w:t>
        <w:tab/>
      </w:r>
      <w:r>
        <w:rPr>
          <w:rFonts w:ascii="Arial"/>
          <w:w w:val="105"/>
          <w:sz w:val="16"/>
        </w:rPr>
        <w:t>HWP</w:t>
      </w:r>
    </w:p>
    <w:p>
      <w:pPr>
        <w:spacing w:before="10"/>
        <w:ind w:left="1251" w:right="0" w:firstLine="0"/>
        <w:jc w:val="left"/>
        <w:rPr>
          <w:rFonts w:ascii="Arial"/>
          <w:sz w:val="16"/>
        </w:rPr>
      </w:pPr>
      <w:r>
        <w:rPr>
          <w:rFonts w:ascii="Arial"/>
          <w:w w:val="105"/>
          <w:sz w:val="16"/>
        </w:rPr>
        <w:t>in SWDS</w:t>
      </w:r>
    </w:p>
    <w:p>
      <w:pPr>
        <w:spacing w:after="0"/>
        <w:jc w:val="left"/>
        <w:rPr>
          <w:rFonts w:ascii="Arial"/>
          <w:sz w:val="16"/>
        </w:rPr>
        <w:sectPr>
          <w:type w:val="continuous"/>
          <w:pgSz w:w="11900" w:h="16840"/>
          <w:pgMar w:top="1060" w:bottom="280" w:left="1300" w:right="1280"/>
          <w:cols w:num="3" w:equalWidth="0">
            <w:col w:w="3231" w:space="40"/>
            <w:col w:w="1161" w:space="39"/>
            <w:col w:w="4849"/>
          </w:cols>
        </w:sectPr>
      </w:pPr>
    </w:p>
    <w:p>
      <w:pPr>
        <w:pStyle w:val="BodyText"/>
        <w:rPr>
          <w:rFonts w:ascii="Arial"/>
        </w:rPr>
      </w:pPr>
    </w:p>
    <w:p>
      <w:pPr>
        <w:pStyle w:val="BodyText"/>
        <w:rPr>
          <w:rFonts w:ascii="Arial"/>
        </w:rPr>
      </w:pPr>
    </w:p>
    <w:p>
      <w:pPr>
        <w:pStyle w:val="BodyText"/>
        <w:rPr>
          <w:rFonts w:ascii="Arial"/>
        </w:rPr>
      </w:pPr>
    </w:p>
    <w:p>
      <w:pPr>
        <w:pStyle w:val="BodyText"/>
        <w:spacing w:before="4"/>
        <w:rPr>
          <w:rFonts w:ascii="Arial"/>
          <w:sz w:val="23"/>
        </w:rPr>
      </w:pPr>
    </w:p>
    <w:p>
      <w:pPr>
        <w:spacing w:after="0"/>
        <w:rPr>
          <w:rFonts w:ascii="Arial"/>
          <w:sz w:val="23"/>
        </w:rPr>
        <w:sectPr>
          <w:type w:val="continuous"/>
          <w:pgSz w:w="11900" w:h="16840"/>
          <w:pgMar w:top="1060" w:bottom="280" w:left="1300" w:right="1280"/>
        </w:sectPr>
      </w:pPr>
    </w:p>
    <w:p>
      <w:pPr>
        <w:pStyle w:val="BodyText"/>
        <w:rPr>
          <w:rFonts w:ascii="Arial"/>
          <w:sz w:val="22"/>
        </w:rPr>
      </w:pPr>
    </w:p>
    <w:p>
      <w:pPr>
        <w:pStyle w:val="BodyText"/>
        <w:spacing w:before="174"/>
        <w:ind w:left="680"/>
      </w:pPr>
      <w:r>
        <w:rPr/>
        <w:t>Variable definitions:</w:t>
      </w:r>
    </w:p>
    <w:p>
      <w:pPr>
        <w:spacing w:before="99"/>
        <w:ind w:left="0" w:right="0" w:firstLine="0"/>
        <w:jc w:val="right"/>
        <w:rPr>
          <w:rFonts w:ascii="Arial"/>
          <w:sz w:val="10"/>
        </w:rPr>
      </w:pPr>
      <w:r>
        <w:rPr/>
        <w:br w:type="column"/>
      </w:r>
      <w:r>
        <w:rPr>
          <w:rFonts w:ascii="Arial"/>
          <w:position w:val="4"/>
          <w:sz w:val="14"/>
        </w:rPr>
        <w:t>P</w:t>
      </w:r>
      <w:r>
        <w:rPr>
          <w:rFonts w:ascii="Arial"/>
          <w:sz w:val="10"/>
        </w:rPr>
        <w:t>IM</w:t>
      </w:r>
    </w:p>
    <w:p>
      <w:pPr>
        <w:spacing w:before="99"/>
        <w:ind w:left="680" w:right="0" w:firstLine="0"/>
        <w:jc w:val="left"/>
        <w:rPr>
          <w:rFonts w:ascii="Arial"/>
          <w:sz w:val="10"/>
        </w:rPr>
      </w:pPr>
      <w:r>
        <w:rPr/>
        <w:br w:type="column"/>
      </w:r>
      <w:r>
        <w:rPr>
          <w:rFonts w:ascii="Arial"/>
          <w:w w:val="105"/>
          <w:position w:val="4"/>
          <w:sz w:val="14"/>
        </w:rPr>
        <w:t>P</w:t>
      </w:r>
      <w:r>
        <w:rPr>
          <w:rFonts w:ascii="Arial"/>
          <w:w w:val="105"/>
          <w:sz w:val="10"/>
        </w:rPr>
        <w:t>EX</w:t>
      </w:r>
    </w:p>
    <w:p>
      <w:pPr>
        <w:spacing w:after="0"/>
        <w:jc w:val="left"/>
        <w:rPr>
          <w:rFonts w:ascii="Arial"/>
          <w:sz w:val="10"/>
        </w:rPr>
        <w:sectPr>
          <w:type w:val="continuous"/>
          <w:pgSz w:w="11900" w:h="16840"/>
          <w:pgMar w:top="1060" w:bottom="280" w:left="1300" w:right="1280"/>
          <w:cols w:num="3" w:equalWidth="0">
            <w:col w:w="2368" w:space="505"/>
            <w:col w:w="894" w:space="51"/>
            <w:col w:w="5502"/>
          </w:cols>
        </w:sectPr>
      </w:pPr>
    </w:p>
    <w:p>
      <w:pPr>
        <w:pStyle w:val="BodyText"/>
        <w:tabs>
          <w:tab w:pos="1558" w:val="left" w:leader="none"/>
        </w:tabs>
        <w:ind w:left="680" w:right="5596"/>
      </w:pPr>
      <w:r>
        <w:rPr/>
        <w:t>HWP</w:t>
        <w:tab/>
        <w:t>= harvested wood products NEE</w:t>
        <w:tab/>
        <w:t>= net ecosystem</w:t>
      </w:r>
      <w:r>
        <w:rPr>
          <w:spacing w:val="-11"/>
        </w:rPr>
        <w:t> </w:t>
      </w:r>
      <w:r>
        <w:rPr/>
        <w:t>exchange</w:t>
      </w:r>
    </w:p>
    <w:p>
      <w:pPr>
        <w:pStyle w:val="BodyText"/>
        <w:tabs>
          <w:tab w:pos="1559" w:val="left" w:leader="none"/>
        </w:tabs>
        <w:spacing w:line="229" w:lineRule="exact" w:before="1"/>
        <w:ind w:left="680"/>
      </w:pPr>
      <w:r>
        <w:rPr/>
        <w:t>H</w:t>
        <w:tab/>
        <w:t>= harvested wood transported from</w:t>
      </w:r>
      <w:r>
        <w:rPr>
          <w:spacing w:val="3"/>
        </w:rPr>
        <w:t> </w:t>
      </w:r>
      <w:r>
        <w:rPr/>
        <w:t>forests</w:t>
      </w:r>
    </w:p>
    <w:p>
      <w:pPr>
        <w:pStyle w:val="BodyText"/>
        <w:tabs>
          <w:tab w:pos="1559" w:val="left" w:leader="none"/>
        </w:tabs>
        <w:spacing w:line="229" w:lineRule="exact"/>
        <w:ind w:left="680"/>
      </w:pPr>
      <w:r>
        <w:rPr/>
        <w:t>E</w:t>
        <w:tab/>
        <w:t>= emissions from HWP </w:t>
      </w:r>
      <w:r>
        <w:rPr>
          <w:u w:val="single"/>
        </w:rPr>
        <w:t>in use</w:t>
      </w:r>
      <w:r>
        <w:rPr/>
        <w:t> within country</w:t>
      </w:r>
      <w:r>
        <w:rPr>
          <w:spacing w:val="-5"/>
        </w:rPr>
        <w:t> </w:t>
      </w:r>
      <w:r>
        <w:rPr/>
        <w:t>borders</w:t>
      </w:r>
    </w:p>
    <w:p>
      <w:pPr>
        <w:pStyle w:val="BodyText"/>
        <w:tabs>
          <w:tab w:pos="1559" w:val="left" w:leader="none"/>
        </w:tabs>
        <w:spacing w:before="1"/>
        <w:ind w:left="680" w:right="1243"/>
        <w:jc w:val="both"/>
      </w:pPr>
      <w:r>
        <w:rPr/>
        <w:t>P</w:t>
      </w:r>
      <w:r>
        <w:rPr>
          <w:vertAlign w:val="subscript"/>
        </w:rPr>
        <w:t>EX</w:t>
      </w:r>
      <w:r>
        <w:rPr>
          <w:vertAlign w:val="baseline"/>
        </w:rPr>
        <w:tab/>
        <w:t>= exports of HWP including roundwood, wood-based waste and refined products P</w:t>
      </w:r>
      <w:r>
        <w:rPr>
          <w:vertAlign w:val="subscript"/>
        </w:rPr>
        <w:t>IM</w:t>
      </w:r>
      <w:r>
        <w:rPr>
          <w:vertAlign w:val="baseline"/>
        </w:rPr>
        <w:tab/>
        <w:t>=</w:t>
      </w:r>
      <w:r>
        <w:rPr>
          <w:spacing w:val="-4"/>
          <w:vertAlign w:val="baseline"/>
        </w:rPr>
        <w:t> </w:t>
      </w:r>
      <w:r>
        <w:rPr>
          <w:vertAlign w:val="baseline"/>
        </w:rPr>
        <w:t>imports</w:t>
      </w:r>
      <w:r>
        <w:rPr>
          <w:spacing w:val="-6"/>
          <w:vertAlign w:val="baseline"/>
        </w:rPr>
        <w:t> </w:t>
      </w:r>
      <w:r>
        <w:rPr>
          <w:vertAlign w:val="baseline"/>
        </w:rPr>
        <w:t>of</w:t>
      </w:r>
      <w:r>
        <w:rPr>
          <w:spacing w:val="-7"/>
          <w:vertAlign w:val="baseline"/>
        </w:rPr>
        <w:t> </w:t>
      </w:r>
      <w:r>
        <w:rPr>
          <w:vertAlign w:val="baseline"/>
        </w:rPr>
        <w:t>HWP</w:t>
      </w:r>
      <w:r>
        <w:rPr>
          <w:spacing w:val="-4"/>
          <w:vertAlign w:val="baseline"/>
        </w:rPr>
        <w:t> </w:t>
      </w:r>
      <w:r>
        <w:rPr>
          <w:vertAlign w:val="baseline"/>
        </w:rPr>
        <w:t>including</w:t>
      </w:r>
      <w:r>
        <w:rPr>
          <w:spacing w:val="-6"/>
          <w:vertAlign w:val="baseline"/>
        </w:rPr>
        <w:t> </w:t>
      </w:r>
      <w:r>
        <w:rPr>
          <w:vertAlign w:val="baseline"/>
        </w:rPr>
        <w:t>roundwood,</w:t>
      </w:r>
      <w:r>
        <w:rPr>
          <w:spacing w:val="-2"/>
          <w:vertAlign w:val="baseline"/>
        </w:rPr>
        <w:t> </w:t>
      </w:r>
      <w:r>
        <w:rPr>
          <w:vertAlign w:val="baseline"/>
        </w:rPr>
        <w:t>wood-based</w:t>
      </w:r>
      <w:r>
        <w:rPr>
          <w:spacing w:val="-2"/>
          <w:vertAlign w:val="baseline"/>
        </w:rPr>
        <w:t> </w:t>
      </w:r>
      <w:r>
        <w:rPr>
          <w:vertAlign w:val="baseline"/>
        </w:rPr>
        <w:t>waste</w:t>
      </w:r>
      <w:r>
        <w:rPr>
          <w:spacing w:val="-2"/>
          <w:vertAlign w:val="baseline"/>
        </w:rPr>
        <w:t> </w:t>
      </w:r>
      <w:r>
        <w:rPr>
          <w:vertAlign w:val="baseline"/>
        </w:rPr>
        <w:t>and</w:t>
      </w:r>
      <w:r>
        <w:rPr>
          <w:spacing w:val="-4"/>
          <w:vertAlign w:val="baseline"/>
        </w:rPr>
        <w:t> </w:t>
      </w:r>
      <w:r>
        <w:rPr>
          <w:vertAlign w:val="baseline"/>
        </w:rPr>
        <w:t>refined</w:t>
      </w:r>
      <w:r>
        <w:rPr>
          <w:spacing w:val="-4"/>
          <w:vertAlign w:val="baseline"/>
        </w:rPr>
        <w:t> </w:t>
      </w:r>
      <w:r>
        <w:rPr>
          <w:vertAlign w:val="baseline"/>
        </w:rPr>
        <w:t>products W</w:t>
        <w:tab/>
        <w:t>= HWP carbon disposed into</w:t>
      </w:r>
      <w:r>
        <w:rPr>
          <w:spacing w:val="-1"/>
          <w:vertAlign w:val="baseline"/>
        </w:rPr>
        <w:t> </w:t>
      </w:r>
      <w:r>
        <w:rPr>
          <w:vertAlign w:val="baseline"/>
        </w:rPr>
        <w:t>SWDS</w:t>
      </w:r>
    </w:p>
    <w:p>
      <w:pPr>
        <w:pStyle w:val="BodyText"/>
        <w:tabs>
          <w:tab w:pos="1559" w:val="left" w:leader="none"/>
        </w:tabs>
        <w:spacing w:line="229" w:lineRule="exact"/>
        <w:ind w:left="680"/>
      </w:pPr>
      <w:r>
        <w:rPr/>
        <w:t>E</w:t>
      </w:r>
      <w:r>
        <w:rPr>
          <w:vertAlign w:val="subscript"/>
        </w:rPr>
        <w:t>W</w:t>
      </w:r>
      <w:r>
        <w:rPr>
          <w:vertAlign w:val="baseline"/>
        </w:rPr>
        <w:tab/>
        <w:t>= emissions from HWP </w:t>
      </w:r>
      <w:r>
        <w:rPr>
          <w:u w:val="single"/>
          <w:vertAlign w:val="baseline"/>
        </w:rPr>
        <w:t>in SWDS</w:t>
      </w:r>
      <w:r>
        <w:rPr>
          <w:vertAlign w:val="baseline"/>
        </w:rPr>
        <w:t> within country</w:t>
      </w:r>
      <w:r>
        <w:rPr>
          <w:spacing w:val="-7"/>
          <w:vertAlign w:val="baseline"/>
        </w:rPr>
        <w:t> </w:t>
      </w:r>
      <w:r>
        <w:rPr>
          <w:vertAlign w:val="baseline"/>
        </w:rPr>
        <w:t>borders</w:t>
      </w:r>
    </w:p>
    <w:p>
      <w:pPr>
        <w:spacing w:before="125"/>
        <w:ind w:left="119" w:right="0" w:firstLine="0"/>
        <w:jc w:val="left"/>
        <w:rPr>
          <w:b/>
          <w:sz w:val="22"/>
        </w:rPr>
      </w:pPr>
      <w:r>
        <w:rPr>
          <w:b/>
          <w:sz w:val="22"/>
        </w:rPr>
        <w:t>Objective of this Appendix</w:t>
      </w:r>
    </w:p>
    <w:p>
      <w:pPr>
        <w:pStyle w:val="BodyText"/>
        <w:spacing w:before="54"/>
        <w:ind w:left="119" w:right="113"/>
      </w:pPr>
      <w:r>
        <w:rPr/>
        <w:t>This appendix provides information on possible methods to estimate stock changes consistent with the advice in the </w:t>
      </w:r>
      <w:r>
        <w:rPr>
          <w:i/>
        </w:rPr>
        <w:t>IPCC Guidelines</w:t>
      </w:r>
      <w:r>
        <w:rPr/>
        <w:t>, if data are available. In addition, it would be relevant for any of the three approaches just</w:t>
      </w:r>
    </w:p>
    <w:p>
      <w:pPr>
        <w:spacing w:after="0"/>
        <w:sectPr>
          <w:type w:val="continuous"/>
          <w:pgSz w:w="11900" w:h="16840"/>
          <w:pgMar w:top="1060" w:bottom="280" w:left="1300" w:right="1280"/>
        </w:sectPr>
      </w:pPr>
    </w:p>
    <w:p>
      <w:pPr>
        <w:pStyle w:val="BodyText"/>
        <w:spacing w:before="90"/>
        <w:ind w:left="119" w:right="122"/>
        <w:jc w:val="both"/>
      </w:pPr>
      <w:r>
        <w:rPr/>
        <w:t>outlined, or potentially for other approaches, depending on decisions from the COP and/or COP/MOP on this matter.</w:t>
      </w:r>
      <w:r>
        <w:rPr>
          <w:vertAlign w:val="superscript"/>
        </w:rPr>
        <w:t>3</w:t>
      </w:r>
    </w:p>
    <w:p>
      <w:pPr>
        <w:pStyle w:val="BodyText"/>
        <w:spacing w:before="4"/>
        <w:rPr>
          <w:sz w:val="21"/>
        </w:rPr>
      </w:pPr>
    </w:p>
    <w:p>
      <w:pPr>
        <w:pStyle w:val="Heading6"/>
        <w:ind w:left="119"/>
      </w:pPr>
      <w:r>
        <w:rPr/>
        <w:t>The issue of how to account for carbon in wood-based waste</w:t>
      </w:r>
    </w:p>
    <w:p>
      <w:pPr>
        <w:pStyle w:val="BodyText"/>
        <w:spacing w:before="54"/>
        <w:ind w:left="119" w:right="120"/>
        <w:jc w:val="both"/>
      </w:pPr>
      <w:r>
        <w:rPr/>
        <w:t>One additional issue to be resolved when deciding on methods is whether or not changes in HWP stocks in solid waste disposal sites (SWDS) should be included in emission/removal estimation and reporting. And if so, how should such stock changes be included? There are several questions to consider:</w:t>
      </w:r>
    </w:p>
    <w:p>
      <w:pPr>
        <w:pStyle w:val="ListParagraph"/>
        <w:numPr>
          <w:ilvl w:val="0"/>
          <w:numId w:val="23"/>
        </w:numPr>
        <w:tabs>
          <w:tab w:pos="480" w:val="left" w:leader="none"/>
        </w:tabs>
        <w:spacing w:line="232" w:lineRule="auto" w:before="139" w:after="0"/>
        <w:ind w:left="476" w:right="122" w:hanging="357"/>
        <w:jc w:val="both"/>
        <w:rPr>
          <w:sz w:val="20"/>
        </w:rPr>
      </w:pPr>
      <w:r>
        <w:rPr>
          <w:sz w:val="20"/>
        </w:rPr>
        <w:t>First, should assumptions about decay of wood in SWDS be consistent between the Waste Sector and the Forest Sector? That is, if the Waste Sector estimates that a portion of wood carbon stocks in SWDS is not decaying, should the Forest Sector assume the</w:t>
      </w:r>
      <w:r>
        <w:rPr>
          <w:spacing w:val="4"/>
          <w:sz w:val="20"/>
        </w:rPr>
        <w:t> </w:t>
      </w:r>
      <w:r>
        <w:rPr>
          <w:sz w:val="20"/>
        </w:rPr>
        <w:t>same?</w:t>
      </w:r>
    </w:p>
    <w:p>
      <w:pPr>
        <w:pStyle w:val="ListParagraph"/>
        <w:numPr>
          <w:ilvl w:val="0"/>
          <w:numId w:val="23"/>
        </w:numPr>
        <w:tabs>
          <w:tab w:pos="480" w:val="left" w:leader="none"/>
        </w:tabs>
        <w:spacing w:line="235" w:lineRule="auto" w:before="138" w:after="0"/>
        <w:ind w:left="476" w:right="121" w:hanging="357"/>
        <w:jc w:val="both"/>
        <w:rPr>
          <w:sz w:val="20"/>
        </w:rPr>
      </w:pPr>
      <w:r>
        <w:rPr>
          <w:sz w:val="20"/>
        </w:rPr>
        <w:t>Second, should the Waste Sector keep track of HWP stored in SWDS sites? If so, how would that be reflected in accounting for HWP in the Forest Sector? The Waste Sector currently accounts for  and estimates methane emissions from Solid Waste Disposal Sites (SWDS) (including emissions from wood and paper) but does not estimate corresponding changes in the carbon stock in</w:t>
      </w:r>
      <w:r>
        <w:rPr>
          <w:spacing w:val="-16"/>
          <w:sz w:val="20"/>
        </w:rPr>
        <w:t> </w:t>
      </w:r>
      <w:r>
        <w:rPr>
          <w:sz w:val="20"/>
        </w:rPr>
        <w:t>SWDS.</w:t>
      </w:r>
    </w:p>
    <w:p>
      <w:pPr>
        <w:pStyle w:val="BodyText"/>
        <w:spacing w:before="117"/>
        <w:ind w:left="119" w:right="123"/>
        <w:jc w:val="both"/>
      </w:pPr>
      <w:r>
        <w:rPr/>
        <w:t>The above mentioned questions are not resolved in this section but suggestions are presented on methods for estimating changes in HWP carbon stored in SWDS.</w:t>
      </w:r>
    </w:p>
    <w:p>
      <w:pPr>
        <w:pStyle w:val="BodyText"/>
        <w:spacing w:before="3"/>
        <w:rPr>
          <w:sz w:val="21"/>
        </w:rPr>
      </w:pPr>
    </w:p>
    <w:p>
      <w:pPr>
        <w:pStyle w:val="Heading6"/>
        <w:ind w:left="119"/>
        <w:jc w:val="both"/>
      </w:pPr>
      <w:r>
        <w:rPr/>
        <w:t>The issue of how to account for harvested wood use for energy production</w:t>
      </w:r>
    </w:p>
    <w:p>
      <w:pPr>
        <w:pStyle w:val="BodyText"/>
        <w:spacing w:before="56"/>
        <w:ind w:left="119" w:right="118"/>
        <w:jc w:val="both"/>
      </w:pPr>
      <w:r>
        <w:rPr/>
        <w:t>Currently wood energy emissions are noted but not included in emissions accounting for the Energy Sector or other sectors that produce wood energy. These emissions are assumed to be accounted for in the Land Use Change and Forestry (LUCF) Sector. That is, they are part of the emissions from harvested wood. A consideration for an accounting approach for HWP may be that it properly accounts for emissions from wood energy in a country. The Stock Change and Atmospheric Flow Approaches both account for all emissions from wood burned for energy in a country but the Production Approach may not account for all wood burned for energy if some wood is imported and later burned for energy. Such emissions are not accounted for because imported wood (including amounts burned after being imported) is not included in the Production Approach.</w:t>
      </w:r>
    </w:p>
    <w:p>
      <w:pPr>
        <w:pStyle w:val="BodyText"/>
        <w:spacing w:before="2"/>
        <w:rPr>
          <w:sz w:val="21"/>
        </w:rPr>
      </w:pPr>
    </w:p>
    <w:p>
      <w:pPr>
        <w:pStyle w:val="Heading6"/>
        <w:ind w:left="119"/>
      </w:pPr>
      <w:r>
        <w:rPr/>
        <w:t>Proposed Tier structure</w:t>
      </w:r>
    </w:p>
    <w:p>
      <w:pPr>
        <w:pStyle w:val="BodyText"/>
        <w:spacing w:before="54"/>
        <w:ind w:left="119"/>
      </w:pPr>
      <w:r>
        <w:rPr/>
        <w:t>Three tiers of estimation methods are suggested:</w:t>
      </w:r>
    </w:p>
    <w:p>
      <w:pPr>
        <w:pStyle w:val="BodyText"/>
        <w:spacing w:before="3"/>
        <w:rPr>
          <w:sz w:val="21"/>
        </w:rPr>
      </w:pPr>
    </w:p>
    <w:p>
      <w:pPr>
        <w:spacing w:line="227" w:lineRule="exact" w:before="1"/>
        <w:ind w:left="119" w:right="0" w:firstLine="0"/>
        <w:jc w:val="left"/>
        <w:rPr>
          <w:b/>
          <w:sz w:val="20"/>
        </w:rPr>
      </w:pPr>
      <w:r>
        <w:rPr>
          <w:b/>
          <w:sz w:val="20"/>
        </w:rPr>
        <w:t>Tier 1</w:t>
      </w:r>
    </w:p>
    <w:p>
      <w:pPr>
        <w:pStyle w:val="BodyText"/>
        <w:ind w:left="119" w:right="118"/>
        <w:jc w:val="both"/>
      </w:pPr>
      <w:r>
        <w:rPr>
          <w:i/>
        </w:rPr>
        <w:t>IPCC Guidelines </w:t>
      </w:r>
      <w:r>
        <w:rPr/>
        <w:t>Default </w:t>
      </w:r>
      <w:r>
        <w:rPr>
          <w:u w:val="single"/>
        </w:rPr>
        <w:t>estimation method</w:t>
      </w:r>
      <w:r>
        <w:rPr/>
        <w:t> is the way of making the Tier 1 estimate. This tier or method assumes that all carbon in biomass harvested is oxidised in the removal year. This would correspond to an estimate of no change in HWP carbon stocks for both the Stock Change Approach and the Production Approach.</w:t>
      </w:r>
    </w:p>
    <w:p>
      <w:pPr>
        <w:pStyle w:val="BodyText"/>
        <w:spacing w:before="1"/>
        <w:rPr>
          <w:sz w:val="21"/>
        </w:rPr>
      </w:pPr>
    </w:p>
    <w:p>
      <w:pPr>
        <w:spacing w:line="227" w:lineRule="exact" w:before="0"/>
        <w:ind w:left="119" w:right="0" w:firstLine="0"/>
        <w:jc w:val="left"/>
        <w:rPr>
          <w:b/>
          <w:sz w:val="20"/>
        </w:rPr>
      </w:pPr>
      <w:r>
        <w:rPr>
          <w:b/>
          <w:sz w:val="20"/>
        </w:rPr>
        <w:t>Tier 2: First order decay (a flux method)</w:t>
      </w:r>
    </w:p>
    <w:p>
      <w:pPr>
        <w:pStyle w:val="BodyText"/>
        <w:ind w:left="119" w:right="117"/>
        <w:jc w:val="both"/>
      </w:pPr>
      <w:r>
        <w:rPr/>
        <w:t>Estimates are made of stock changes of HWP carbon in products in use and – in the case where waste is included in reporting – HWP carbon in SWDS. The estimates are made by tracking inputs to and outputs from these pools of carbon (also called input and output fluxes). Data beginning a number of decades in the past up to the present time are used to estimate 1) additions to HWP in use, 2) removals from use, 3) additions to HWP in SWDS, and</w:t>
      </w:r>
    </w:p>
    <w:p>
      <w:pPr>
        <w:pStyle w:val="BodyText"/>
        <w:ind w:left="119" w:right="123"/>
        <w:jc w:val="both"/>
      </w:pPr>
      <w:r>
        <w:rPr/>
        <w:t>4) decay from SWDS. This procedure is needed to obtain an estimate of the existing HWP stock accumulated from historical wood use and current year emissions from those stocks as they go out of use (also termed “inherited emissions”).</w:t>
      </w:r>
    </w:p>
    <w:p>
      <w:pPr>
        <w:pStyle w:val="BodyText"/>
        <w:spacing w:before="117"/>
        <w:ind w:left="119" w:right="114"/>
        <w:jc w:val="both"/>
      </w:pPr>
      <w:r>
        <w:rPr/>
        <w:t>If HWP in SWDS is included, data used for Tier 2 is intended to be consistent with data used for the Tier 2 method used for the Waste Sector (Chapter 5, Waste, </w:t>
      </w:r>
      <w:r>
        <w:rPr>
          <w:i/>
        </w:rPr>
        <w:t>GPG2000</w:t>
      </w:r>
      <w:r>
        <w:rPr>
          <w:i/>
          <w:vertAlign w:val="superscript"/>
        </w:rPr>
        <w:t>4</w:t>
      </w:r>
      <w:r>
        <w:rPr>
          <w:vertAlign w:val="baseline"/>
        </w:rPr>
        <w:t>). The numerical factors a country uses to</w:t>
      </w:r>
    </w:p>
    <w:p>
      <w:pPr>
        <w:pStyle w:val="BodyText"/>
      </w:pPr>
    </w:p>
    <w:p>
      <w:pPr>
        <w:pStyle w:val="BodyText"/>
        <w:spacing w:before="6"/>
        <w:rPr>
          <w:sz w:val="22"/>
        </w:rPr>
      </w:pPr>
      <w:r>
        <w:rPr/>
        <w:pict>
          <v:line style="position:absolute;mso-position-horizontal-relative:page;mso-position-vertical-relative:paragraph;z-index:12416;mso-wrap-distance-left:0;mso-wrap-distance-right:0" from="70.960999pt,15.17367pt" to="214.960999pt,15.17367pt" stroked="true" strokeweight=".48pt" strokecolor="#000000">
            <v:stroke dashstyle="solid"/>
            <w10:wrap type="topAndBottom"/>
          </v:line>
        </w:pict>
      </w:r>
    </w:p>
    <w:p>
      <w:pPr>
        <w:spacing w:before="150"/>
        <w:ind w:left="277" w:right="116" w:hanging="159"/>
        <w:jc w:val="both"/>
        <w:rPr>
          <w:sz w:val="18"/>
        </w:rPr>
      </w:pPr>
      <w:r>
        <w:rPr>
          <w:position w:val="8"/>
          <w:sz w:val="12"/>
        </w:rPr>
        <w:t>3 </w:t>
      </w:r>
      <w:r>
        <w:rPr>
          <w:sz w:val="18"/>
        </w:rPr>
        <w:t>Decisions about how to treat harvested wood products have been deferred. </w:t>
      </w:r>
      <w:r>
        <w:rPr>
          <w:i/>
          <w:sz w:val="18"/>
        </w:rPr>
        <w:t>The Conference of the Parties decides that any changes to the treatment of harvested wood products shall be in accordance with future decisions of the COP (FCCC/CP/2001/13/Add/1, page 55, paragraph 4)</w:t>
      </w:r>
      <w:r>
        <w:rPr>
          <w:sz w:val="18"/>
        </w:rPr>
        <w:t>. The SBSTA, in FCCC/SBSTA/2003/L.3, recalled decision 11/CP.7, paragraph 4, and noted the possible inclusion of methods to estimate the change in carbon stored in harvested wood products as an annex or appendix to the IPCC report on good practice guidance for LULUCF. The purpose of the Appendix is to support the decisions of the Subsidiary Body for Scientific and Technological Advice. Because SBSTA has requested that the UNFCC Secretariat “…</w:t>
      </w:r>
      <w:r>
        <w:rPr>
          <w:i/>
          <w:sz w:val="18"/>
        </w:rPr>
        <w:t>prepare a technical paper on harvested wood products accounting</w:t>
      </w:r>
      <w:r>
        <w:rPr>
          <w:sz w:val="18"/>
        </w:rPr>
        <w:t>…” this section focuses on methods that the authors suggest may be used whatever is developed concerning accounting (FCC/SBSTA/2001/8, 4 Feb 2002).</w:t>
      </w:r>
    </w:p>
    <w:p>
      <w:pPr>
        <w:spacing w:before="96"/>
        <w:ind w:left="260" w:right="118" w:hanging="142"/>
        <w:jc w:val="both"/>
        <w:rPr>
          <w:sz w:val="18"/>
        </w:rPr>
      </w:pPr>
      <w:r>
        <w:rPr>
          <w:position w:val="8"/>
          <w:sz w:val="12"/>
        </w:rPr>
        <w:t>4 </w:t>
      </w:r>
      <w:r>
        <w:rPr>
          <w:sz w:val="18"/>
        </w:rPr>
        <w:t>IPCC Good Practice Guidance and Uncertainty Management in National Greenhouse Gas Inventories (IPCC 2000) is abbreviated as </w:t>
      </w:r>
      <w:r>
        <w:rPr>
          <w:i/>
          <w:sz w:val="18"/>
        </w:rPr>
        <w:t>GPG2000 </w:t>
      </w:r>
      <w:r>
        <w:rPr>
          <w:sz w:val="18"/>
        </w:rPr>
        <w:t>in this report.</w:t>
      </w:r>
    </w:p>
    <w:p>
      <w:pPr>
        <w:spacing w:after="0"/>
        <w:jc w:val="both"/>
        <w:rPr>
          <w:sz w:val="18"/>
        </w:rPr>
        <w:sectPr>
          <w:pgSz w:w="11900" w:h="16840"/>
          <w:pgMar w:header="235" w:footer="408" w:top="920" w:bottom="600" w:left="1300" w:right="1280"/>
        </w:sectPr>
      </w:pPr>
    </w:p>
    <w:p>
      <w:pPr>
        <w:pStyle w:val="BodyText"/>
        <w:spacing w:before="90"/>
        <w:ind w:left="119" w:right="121"/>
        <w:jc w:val="both"/>
      </w:pPr>
      <w:r>
        <w:rPr/>
        <w:t>compute the methane emissions from SWDS should be consistent with the numerical factors used to compute amounts of HWP carbon retained in</w:t>
      </w:r>
      <w:r>
        <w:rPr>
          <w:spacing w:val="-3"/>
        </w:rPr>
        <w:t> </w:t>
      </w:r>
      <w:r>
        <w:rPr/>
        <w:t>SWDS.</w:t>
      </w:r>
    </w:p>
    <w:p>
      <w:pPr>
        <w:pStyle w:val="BodyText"/>
        <w:spacing w:before="4"/>
        <w:rPr>
          <w:sz w:val="21"/>
        </w:rPr>
      </w:pPr>
    </w:p>
    <w:p>
      <w:pPr>
        <w:spacing w:line="228" w:lineRule="exact" w:before="0"/>
        <w:ind w:left="119" w:right="0" w:firstLine="0"/>
        <w:jc w:val="both"/>
        <w:rPr>
          <w:b/>
          <w:sz w:val="20"/>
        </w:rPr>
      </w:pPr>
      <w:r>
        <w:rPr>
          <w:b/>
          <w:spacing w:val="14"/>
          <w:sz w:val="20"/>
        </w:rPr>
        <w:t>Tier </w:t>
      </w:r>
      <w:r>
        <w:rPr>
          <w:b/>
          <w:spacing w:val="9"/>
          <w:sz w:val="20"/>
        </w:rPr>
        <w:t>3:  </w:t>
      </w:r>
      <w:r>
        <w:rPr>
          <w:b/>
          <w:spacing w:val="17"/>
          <w:sz w:val="20"/>
        </w:rPr>
        <w:t>Country- Specific</w:t>
      </w:r>
      <w:r>
        <w:rPr>
          <w:b/>
          <w:spacing w:val="-7"/>
          <w:sz w:val="20"/>
        </w:rPr>
        <w:t> </w:t>
      </w:r>
      <w:r>
        <w:rPr>
          <w:b/>
          <w:spacing w:val="17"/>
          <w:sz w:val="20"/>
        </w:rPr>
        <w:t>Methods</w:t>
      </w:r>
    </w:p>
    <w:p>
      <w:pPr>
        <w:pStyle w:val="BodyText"/>
        <w:ind w:left="119" w:right="118"/>
        <w:jc w:val="both"/>
      </w:pPr>
      <w:r>
        <w:rPr/>
        <w:t>Change in HWP carbon in products in use and HWP carbon in SWDS (if agreed for inclusion) can each be computed by separate methods. These methods may apply to some but not all of the accounting approaches (Flugsrud </w:t>
      </w:r>
      <w:r>
        <w:rPr>
          <w:i/>
        </w:rPr>
        <w:t>et al.</w:t>
      </w:r>
      <w:r>
        <w:rPr/>
        <w:t>, 2001).</w:t>
      </w:r>
    </w:p>
    <w:p>
      <w:pPr>
        <w:spacing w:before="117"/>
        <w:ind w:left="119" w:right="0" w:firstLine="0"/>
        <w:jc w:val="both"/>
        <w:rPr>
          <w:i/>
          <w:sz w:val="20"/>
        </w:rPr>
      </w:pPr>
      <w:r>
        <w:rPr>
          <w:i/>
          <w:sz w:val="20"/>
        </w:rPr>
        <w:t>Method A – Estimate Change in inventories (stock methods)</w:t>
      </w:r>
    </w:p>
    <w:p>
      <w:pPr>
        <w:pStyle w:val="BodyText"/>
        <w:spacing w:before="60"/>
        <w:ind w:left="119" w:right="118"/>
        <w:jc w:val="both"/>
      </w:pPr>
      <w:r>
        <w:rPr/>
        <w:t>Use inventories of HWP in use or HWP in waste disposal sites at two or more points in time and calculate the change in carbon stored. The HWP pool of products in use in building structures is normally a major part of the total HWP pool. The amount of HWP carbon can be estimated, for example, by multiplying the average HWP content per square metre of floor space times the total floor space for several types of buildings. Change in carbon may be estimated by noting the change between inventories estimated at different points in time. Examples of such inventories are reported in Gjesdal </w:t>
      </w:r>
      <w:r>
        <w:rPr>
          <w:i/>
        </w:rPr>
        <w:t>et al.</w:t>
      </w:r>
      <w:r>
        <w:rPr/>
        <w:t>, 1996 (for Norway) and in Pingoud </w:t>
      </w:r>
      <w:r>
        <w:rPr>
          <w:i/>
        </w:rPr>
        <w:t>et al.</w:t>
      </w:r>
      <w:r>
        <w:rPr/>
        <w:t>, 1996, 2001 (for Finland). In this case no procedure for integration of the existing HWP stock from historical wood use data is needed, which is an advantage compared to the flux methods (Tier 2 and Tier 3/Method B). Similarly, it has been suggested that the change in HWP carbon in SWDS could be estimated using information about the area, average depth, and average wood and paper carbon content per cubic metre in these sites, although no examples of this method have been reported in the</w:t>
      </w:r>
      <w:r>
        <w:rPr>
          <w:spacing w:val="-2"/>
        </w:rPr>
        <w:t> </w:t>
      </w:r>
      <w:r>
        <w:rPr/>
        <w:t>literature.</w:t>
      </w:r>
    </w:p>
    <w:p>
      <w:pPr>
        <w:spacing w:before="117"/>
        <w:ind w:left="119" w:right="0" w:firstLine="0"/>
        <w:jc w:val="both"/>
        <w:rPr>
          <w:i/>
          <w:sz w:val="20"/>
        </w:rPr>
      </w:pPr>
      <w:r>
        <w:rPr>
          <w:i/>
          <w:sz w:val="20"/>
        </w:rPr>
        <w:t>Method B – Track input and output flows using detailed country data (flux methods)</w:t>
      </w:r>
    </w:p>
    <w:p>
      <w:pPr>
        <w:pStyle w:val="BodyText"/>
        <w:spacing w:before="121"/>
        <w:ind w:left="119" w:right="121"/>
        <w:jc w:val="both"/>
      </w:pPr>
      <w:r>
        <w:rPr/>
        <w:t>Use detailed country data beginning a number of decades in the past and estimate each year, up to the present time, (i) additions to pools of HWP in use, (ii) removals from use, (iii) additions to pools of HWP in SWDS, and</w:t>
      </w:r>
    </w:p>
    <w:p>
      <w:pPr>
        <w:pStyle w:val="ListParagraph"/>
        <w:numPr>
          <w:ilvl w:val="0"/>
          <w:numId w:val="47"/>
        </w:numPr>
        <w:tabs>
          <w:tab w:pos="465" w:val="left" w:leader="none"/>
        </w:tabs>
        <w:spacing w:line="240" w:lineRule="auto" w:before="0" w:after="0"/>
        <w:ind w:left="119" w:right="118" w:firstLine="0"/>
        <w:jc w:val="both"/>
        <w:rPr>
          <w:sz w:val="20"/>
        </w:rPr>
      </w:pPr>
      <w:r>
        <w:rPr>
          <w:sz w:val="20"/>
        </w:rPr>
        <w:t>decay from SWDS. Estimates for SWDS may use survey estimates of the amount of HWP placed in SWDS each year rather than the amount of HWP going out of use and the portion going to</w:t>
      </w:r>
      <w:r>
        <w:rPr>
          <w:spacing w:val="-14"/>
          <w:sz w:val="20"/>
        </w:rPr>
        <w:t> </w:t>
      </w:r>
      <w:r>
        <w:rPr>
          <w:sz w:val="20"/>
        </w:rPr>
        <w:t>SWDS.</w:t>
      </w:r>
    </w:p>
    <w:p>
      <w:pPr>
        <w:spacing w:before="119"/>
        <w:ind w:left="119" w:right="0" w:firstLine="0"/>
        <w:jc w:val="both"/>
        <w:rPr>
          <w:i/>
          <w:sz w:val="20"/>
        </w:rPr>
      </w:pPr>
      <w:r>
        <w:rPr>
          <w:i/>
          <w:sz w:val="20"/>
        </w:rPr>
        <w:t>Method C – Combine Method A and Method B estimates</w:t>
      </w:r>
    </w:p>
    <w:p>
      <w:pPr>
        <w:pStyle w:val="BodyText"/>
        <w:spacing w:before="118"/>
        <w:ind w:left="119" w:right="121"/>
        <w:jc w:val="both"/>
      </w:pPr>
      <w:r>
        <w:rPr/>
        <w:t>An example of combining methods is 1) to use changes in inventory to estimate carbon changes in buildings and furniture and 2) to use input and output flows to estimate changes of carbon in paper products (see example for Norway, Flugsrud </w:t>
      </w:r>
      <w:r>
        <w:rPr>
          <w:i/>
        </w:rPr>
        <w:t>et al.</w:t>
      </w:r>
      <w:r>
        <w:rPr/>
        <w:t>, 2001).</w:t>
      </w:r>
    </w:p>
    <w:p>
      <w:pPr>
        <w:pStyle w:val="BodyText"/>
        <w:rPr>
          <w:sz w:val="22"/>
        </w:rPr>
      </w:pPr>
    </w:p>
    <w:p>
      <w:pPr>
        <w:spacing w:before="149"/>
        <w:ind w:left="119" w:right="0" w:firstLine="0"/>
        <w:jc w:val="both"/>
        <w:rPr>
          <w:b/>
          <w:sz w:val="22"/>
        </w:rPr>
      </w:pPr>
      <w:r>
        <w:rPr>
          <w:b/>
          <w:sz w:val="28"/>
        </w:rPr>
        <w:t>3a.1.1.2 C</w:t>
      </w:r>
      <w:r>
        <w:rPr>
          <w:b/>
          <w:sz w:val="22"/>
        </w:rPr>
        <w:t>HOICE OF METHOD </w:t>
      </w:r>
    </w:p>
    <w:p>
      <w:pPr>
        <w:pStyle w:val="BodyText"/>
        <w:spacing w:before="209"/>
        <w:ind w:left="119" w:right="118"/>
        <w:jc w:val="both"/>
      </w:pPr>
      <w:r>
        <w:rPr/>
        <w:t>With default data and country-specific estimates for some parameters, countries can use Tier 2 to make preliminary estimates to evaluate changes in HWP stocks and whether counted increases in stocks would be a key category. If country information is available it is suggested to use Tier 3 custom country methods, such as change between actual inventories of wood products stored in long-lived pools for these purposes. If HWP is a key category it is suggested that work would be done to develop national data for Tier 2 or Tier 3 estimates. If HWP is not a key category, the Tier 1 method may be</w:t>
      </w:r>
      <w:r>
        <w:rPr>
          <w:spacing w:val="-6"/>
        </w:rPr>
        <w:t> </w:t>
      </w:r>
      <w:r>
        <w:rPr/>
        <w:t>applied.</w:t>
      </w:r>
    </w:p>
    <w:p>
      <w:pPr>
        <w:pStyle w:val="BodyText"/>
        <w:rPr>
          <w:sz w:val="22"/>
        </w:rPr>
      </w:pPr>
    </w:p>
    <w:p>
      <w:pPr>
        <w:pStyle w:val="Heading6"/>
        <w:tabs>
          <w:tab w:pos="1559" w:val="left" w:leader="none"/>
        </w:tabs>
        <w:spacing w:line="283" w:lineRule="auto" w:before="143"/>
        <w:ind w:left="1566" w:right="1950" w:hanging="1448"/>
      </w:pPr>
      <w:r>
        <w:rPr>
          <w:spacing w:val="16"/>
          <w:sz w:val="28"/>
        </w:rPr>
        <w:t>3a.1.1.3</w:t>
        <w:tab/>
      </w:r>
      <w:r>
        <w:rPr>
          <w:spacing w:val="15"/>
          <w:sz w:val="28"/>
        </w:rPr>
        <w:t>C</w:t>
      </w:r>
      <w:r>
        <w:rPr>
          <w:spacing w:val="15"/>
        </w:rPr>
        <w:t>HOICE </w:t>
      </w:r>
      <w:r>
        <w:rPr>
          <w:spacing w:val="10"/>
        </w:rPr>
        <w:t>OF </w:t>
      </w:r>
      <w:r>
        <w:rPr>
          <w:spacing w:val="16"/>
        </w:rPr>
        <w:t>ACTIVITY </w:t>
      </w:r>
      <w:r>
        <w:rPr>
          <w:spacing w:val="14"/>
        </w:rPr>
        <w:t>DATA </w:t>
      </w:r>
      <w:r>
        <w:rPr>
          <w:spacing w:val="12"/>
        </w:rPr>
        <w:t>AND </w:t>
      </w:r>
      <w:r>
        <w:rPr>
          <w:spacing w:val="16"/>
        </w:rPr>
        <w:t>FACTORS </w:t>
      </w:r>
      <w:r>
        <w:rPr>
          <w:spacing w:val="11"/>
        </w:rPr>
        <w:t>IN </w:t>
      </w:r>
      <w:r>
        <w:rPr>
          <w:spacing w:val="17"/>
        </w:rPr>
        <w:t>CALCULATIONS</w:t>
      </w:r>
    </w:p>
    <w:p>
      <w:pPr>
        <w:pStyle w:val="BodyText"/>
        <w:spacing w:before="4"/>
        <w:rPr>
          <w:b/>
          <w:sz w:val="26"/>
        </w:rPr>
      </w:pPr>
    </w:p>
    <w:p>
      <w:pPr>
        <w:spacing w:line="227" w:lineRule="exact" w:before="0"/>
        <w:ind w:left="119" w:right="0" w:firstLine="0"/>
        <w:jc w:val="both"/>
        <w:rPr>
          <w:b/>
          <w:sz w:val="20"/>
        </w:rPr>
      </w:pPr>
      <w:r>
        <w:rPr>
          <w:b/>
          <w:sz w:val="20"/>
        </w:rPr>
        <w:t>Tier 1: </w:t>
      </w:r>
      <w:r>
        <w:rPr>
          <w:rFonts w:ascii="TimesNewRomanPS-BoldItalicMT"/>
          <w:b/>
          <w:i/>
          <w:sz w:val="20"/>
        </w:rPr>
        <w:t>IPCC Guidelines </w:t>
      </w:r>
      <w:r>
        <w:rPr>
          <w:b/>
          <w:sz w:val="20"/>
        </w:rPr>
        <w:t>Default</w:t>
      </w:r>
    </w:p>
    <w:p>
      <w:pPr>
        <w:pStyle w:val="BodyText"/>
        <w:ind w:left="119" w:right="119"/>
        <w:jc w:val="both"/>
      </w:pPr>
      <w:r>
        <w:rPr/>
        <w:t>Under Tier 1 the recommended default assumption is that all carbon in biomass harvested is oxidised in the removal year. This is based on the perception that stocks of forest products in most countries are not increasing or decreasing significantly on an annual</w:t>
      </w:r>
      <w:r>
        <w:rPr>
          <w:spacing w:val="-4"/>
        </w:rPr>
        <w:t> </w:t>
      </w:r>
      <w:r>
        <w:rPr/>
        <w:t>basis.</w:t>
      </w:r>
    </w:p>
    <w:p>
      <w:pPr>
        <w:pStyle w:val="BodyText"/>
        <w:spacing w:before="1"/>
        <w:rPr>
          <w:sz w:val="21"/>
        </w:rPr>
      </w:pPr>
    </w:p>
    <w:p>
      <w:pPr>
        <w:spacing w:line="227" w:lineRule="exact" w:before="0"/>
        <w:ind w:left="119" w:right="0" w:firstLine="0"/>
        <w:jc w:val="both"/>
        <w:rPr>
          <w:b/>
          <w:sz w:val="20"/>
        </w:rPr>
      </w:pPr>
      <w:r>
        <w:rPr>
          <w:b/>
          <w:sz w:val="20"/>
        </w:rPr>
        <w:t>Tier 2: First order decay method (FOD)</w:t>
      </w:r>
    </w:p>
    <w:p>
      <w:pPr>
        <w:pStyle w:val="BodyText"/>
        <w:ind w:left="119" w:right="119"/>
        <w:jc w:val="both"/>
      </w:pPr>
      <w:r>
        <w:rPr/>
        <w:t>This method is termed the first order decay method because carbon in each of the carbon pools (products in use and products in SWDS) is estimated to leave the pool at a constant percentage rate. The Tier 2 method for the Waste Sector uses this technique to estimate methane emissions from SWDS (see Chapter 6, Waste, of the </w:t>
      </w:r>
      <w:r>
        <w:rPr>
          <w:i/>
        </w:rPr>
        <w:t>IPCC Guidelines</w:t>
      </w:r>
      <w:r>
        <w:rPr/>
        <w:t>; and Chapter 5, Waste, of </w:t>
      </w:r>
      <w:r>
        <w:rPr>
          <w:i/>
        </w:rPr>
        <w:t>GPG2000</w:t>
      </w:r>
      <w:r>
        <w:rPr/>
        <w:t>).</w:t>
      </w:r>
    </w:p>
    <w:p>
      <w:pPr>
        <w:pStyle w:val="BodyText"/>
        <w:spacing w:before="116"/>
        <w:ind w:left="119" w:right="123"/>
        <w:jc w:val="both"/>
      </w:pPr>
      <w:r>
        <w:rPr/>
        <w:t>The Tier 2 method is divided into two parts – Tier 2a to estimate HWP carbon changes for products in use and Tier 2b to estimate HWP carbon changes in SWDS (see Figure 3a.1.3). Tier 2b is omitted if carbon changes in SWDS are not included in reporting.</w:t>
      </w:r>
    </w:p>
    <w:p>
      <w:pPr>
        <w:spacing w:after="0"/>
        <w:jc w:val="both"/>
        <w:sectPr>
          <w:footerReference w:type="even" r:id="rId251"/>
          <w:footerReference w:type="default" r:id="rId252"/>
          <w:pgSz w:w="11900" w:h="16840"/>
          <w:pgMar w:footer="408" w:header="235" w:top="920" w:bottom="600" w:left="1300" w:right="1280"/>
          <w:pgNumType w:start="262"/>
        </w:sectPr>
      </w:pPr>
    </w:p>
    <w:p>
      <w:pPr>
        <w:pStyle w:val="BodyText"/>
        <w:spacing w:before="90"/>
        <w:ind w:left="119" w:right="119"/>
        <w:jc w:val="both"/>
      </w:pPr>
      <w:r>
        <w:rPr/>
        <w:t>The proposed method for estimating changes in carbon stored in HWP utilizes data on production and international trade of primary HWP (saw wood, panels and paper). Only primary products are used because data are available for virtually all countries. Data on secondary products such as furniture may also be used if available but care is needed to avoid double counting of HWP carbon</w:t>
      </w:r>
      <w:r>
        <w:rPr>
          <w:vertAlign w:val="superscript"/>
        </w:rPr>
        <w:t>5</w:t>
      </w:r>
      <w:r>
        <w:rPr>
          <w:vertAlign w:val="baseline"/>
        </w:rPr>
        <w:t>. Data on input flows and output flows over several decades is used to calculate current year change in the pool of HWP carbon. The input flow to the pool in a country is calculated by adding imports to the national production of primary products, and subtracting the exports. The output of the pool or decay is assumed to be of first order. That is, a constant fraction of each pool is lost each year. The pool of primary products will include wood used in all its final uses. Wood-based material that is not accumulated into the stocks of HWP in use (or HWP in SWDS) in a country is assumed to form emissions. These calculations are valid for Stock Change Approach and may also be used to compute carbon flows for the Atmospheric Flow Approach. Stock Change and Atmospheric Flow Approaches in the case, where both products in use and in SWDS are included, are illustrated in Figure 3a.1.3. The Production Approach requires additional approximations, as typically only a part of the HWP in a country are of domestic origin and, in addition, HWP of domestic origin might be exported (see Figure</w:t>
      </w:r>
      <w:r>
        <w:rPr>
          <w:spacing w:val="1"/>
          <w:vertAlign w:val="baseline"/>
        </w:rPr>
        <w:t> </w:t>
      </w:r>
      <w:r>
        <w:rPr>
          <w:vertAlign w:val="baseline"/>
        </w:rPr>
        <w:t>3a.1.2).</w:t>
      </w:r>
    </w:p>
    <w:p>
      <w:pPr>
        <w:pStyle w:val="BodyText"/>
        <w:spacing w:before="118"/>
        <w:ind w:left="119"/>
        <w:jc w:val="both"/>
      </w:pPr>
      <w:r>
        <w:rPr/>
        <w:t>The Tier 2 equations for the three approaches are as follows:</w:t>
      </w:r>
    </w:p>
    <w:p>
      <w:pPr>
        <w:spacing w:before="126"/>
        <w:ind w:left="119" w:right="0" w:firstLine="0"/>
        <w:jc w:val="both"/>
        <w:rPr>
          <w:b/>
          <w:sz w:val="20"/>
        </w:rPr>
      </w:pPr>
      <w:r>
        <w:rPr>
          <w:b/>
          <w:sz w:val="20"/>
        </w:rPr>
        <w:t>Tier 2a: Change in HWP carbon in products in use</w:t>
      </w:r>
    </w:p>
    <w:p>
      <w:pPr>
        <w:pStyle w:val="BodyText"/>
        <w:spacing w:before="3"/>
        <w:rPr>
          <w:b/>
          <w:sz w:val="9"/>
        </w:rPr>
      </w:pPr>
      <w:r>
        <w:rPr/>
        <w:pict>
          <v:group style="position:absolute;margin-left:91.240997pt;margin-top:8.035525pt;width:413.3pt;height:293.8pt;mso-position-horizontal-relative:page;mso-position-vertical-relative:paragraph;z-index:12656;mso-wrap-distance-left:0;mso-wrap-distance-right:0" coordorigin="1825,161" coordsize="8266,5876">
            <v:line style="position:absolute" from="1854,175" to="10062,175" stroked="true" strokeweight="1.44pt" strokecolor="#000000">
              <v:stroke dashstyle="solid"/>
            </v:line>
            <v:line style="position:absolute" from="1854,6022" to="10062,6022" stroked="true" strokeweight="1.44pt" strokecolor="#000000">
              <v:stroke dashstyle="solid"/>
            </v:line>
            <v:line style="position:absolute" from="1839,161" to="1839,6036" stroked="true" strokeweight="1.44pt" strokecolor="#000000">
              <v:stroke dashstyle="solid"/>
            </v:line>
            <v:line style="position:absolute" from="10076,161" to="10076,6036" stroked="true" strokeweight="1.44pt" strokecolor="#000000">
              <v:stroke dashstyle="solid"/>
            </v:line>
            <v:shape style="position:absolute;left:1980;top:2654;width:7979;height:3248" type="#_x0000_t202" filled="false" stroked="false">
              <v:textbox inset="0,0,0,0">
                <w:txbxContent>
                  <w:p>
                    <w:pPr>
                      <w:tabs>
                        <w:tab w:pos="5477" w:val="left" w:leader="none"/>
                      </w:tabs>
                      <w:spacing w:before="20"/>
                      <w:ind w:left="525" w:right="0" w:firstLine="0"/>
                      <w:jc w:val="left"/>
                      <w:rPr>
                        <w:sz w:val="20"/>
                      </w:rPr>
                    </w:pPr>
                    <w:r>
                      <w:rPr>
                        <w:sz w:val="20"/>
                      </w:rPr>
                      <w:t>CO</w:t>
                    </w:r>
                    <w:r>
                      <w:rPr>
                        <w:sz w:val="20"/>
                        <w:vertAlign w:val="subscript"/>
                      </w:rPr>
                      <w:t>2</w:t>
                    </w:r>
                    <w:r>
                      <w:rPr>
                        <w:sz w:val="20"/>
                        <w:vertAlign w:val="baseline"/>
                      </w:rPr>
                      <w:t> emissions/removals </w:t>
                    </w:r>
                    <w:r>
                      <w:rPr>
                        <w:sz w:val="20"/>
                        <w:vertAlign w:val="subscript"/>
                      </w:rPr>
                      <w:t>AFA</w:t>
                    </w:r>
                    <w:r>
                      <w:rPr>
                        <w:sz w:val="20"/>
                        <w:vertAlign w:val="baseline"/>
                      </w:rPr>
                      <w:t> = E ● 10</w:t>
                    </w:r>
                    <w:r>
                      <w:rPr>
                        <w:sz w:val="20"/>
                        <w:vertAlign w:val="superscript"/>
                      </w:rPr>
                      <w:t>-3</w:t>
                    </w:r>
                    <w:r>
                      <w:rPr>
                        <w:spacing w:val="-8"/>
                        <w:sz w:val="20"/>
                        <w:vertAlign w:val="baseline"/>
                      </w:rPr>
                      <w:t> </w:t>
                    </w:r>
                    <w:r>
                      <w:rPr>
                        <w:sz w:val="20"/>
                        <w:vertAlign w:val="baseline"/>
                      </w:rPr>
                      <w:t>●</w:t>
                    </w:r>
                    <w:r>
                      <w:rPr>
                        <w:spacing w:val="-2"/>
                        <w:sz w:val="20"/>
                        <w:vertAlign w:val="baseline"/>
                      </w:rPr>
                      <w:t> </w:t>
                    </w:r>
                    <w:r>
                      <w:rPr>
                        <w:sz w:val="20"/>
                        <w:vertAlign w:val="baseline"/>
                      </w:rPr>
                      <w:t>44/12</w:t>
                      <w:tab/>
                      <w:t>(Atmospheric Flow</w:t>
                    </w:r>
                    <w:r>
                      <w:rPr>
                        <w:spacing w:val="-9"/>
                        <w:sz w:val="20"/>
                        <w:vertAlign w:val="baseline"/>
                      </w:rPr>
                      <w:t> </w:t>
                    </w:r>
                    <w:r>
                      <w:rPr>
                        <w:sz w:val="20"/>
                        <w:vertAlign w:val="baseline"/>
                      </w:rPr>
                      <w:t>Approach)</w:t>
                    </w:r>
                  </w:p>
                  <w:p>
                    <w:pPr>
                      <w:spacing w:before="79"/>
                      <w:ind w:left="705" w:right="20" w:hanging="706"/>
                      <w:jc w:val="both"/>
                      <w:rPr>
                        <w:sz w:val="20"/>
                      </w:rPr>
                    </w:pPr>
                    <w:r>
                      <w:rPr>
                        <w:sz w:val="20"/>
                      </w:rPr>
                      <w:t>Note 1: The quantity E estimated is the real flux of C from HWP stock into the atmosphere within the borders of the reporting country (see Figures 3a.1.1 and 3a.1.3). The forest sector should then report the real flux of carbon from atmosphere into the forest ecosystems (NEE) or the sum of stock changes in forest ecosystems + H, which is a deviation from the existing reporting practice in which only stock changes are reported (NEE –</w:t>
                    </w:r>
                    <w:r>
                      <w:rPr>
                        <w:spacing w:val="-23"/>
                        <w:sz w:val="20"/>
                      </w:rPr>
                      <w:t> </w:t>
                    </w:r>
                    <w:r>
                      <w:rPr>
                        <w:sz w:val="20"/>
                      </w:rPr>
                      <w:t>H).</w:t>
                    </w:r>
                  </w:p>
                  <w:p>
                    <w:pPr>
                      <w:spacing w:before="79"/>
                      <w:ind w:left="705" w:right="21" w:hanging="706"/>
                      <w:jc w:val="both"/>
                      <w:rPr>
                        <w:sz w:val="20"/>
                      </w:rPr>
                    </w:pPr>
                    <w:r>
                      <w:rPr>
                        <w:sz w:val="20"/>
                      </w:rPr>
                      <w:t>Note 2: Each term has a year subscript </w:t>
                    </w:r>
                    <w:r>
                      <w:rPr>
                        <w:i/>
                        <w:sz w:val="20"/>
                      </w:rPr>
                      <w:t>t </w:t>
                    </w:r>
                    <w:r>
                      <w:rPr>
                        <w:sz w:val="20"/>
                      </w:rPr>
                      <w:t>– omitted to simplify the format; each term on the right hand side of the equations has at least two parts: at least one for solidwood products and  at least one for paper</w:t>
                    </w:r>
                    <w:r>
                      <w:rPr>
                        <w:spacing w:val="1"/>
                        <w:sz w:val="20"/>
                      </w:rPr>
                      <w:t> </w:t>
                    </w:r>
                    <w:r>
                      <w:rPr>
                        <w:sz w:val="20"/>
                      </w:rPr>
                      <w:t>products.</w:t>
                    </w:r>
                  </w:p>
                  <w:p>
                    <w:pPr>
                      <w:spacing w:before="81"/>
                      <w:ind w:left="705" w:right="18" w:hanging="706"/>
                      <w:jc w:val="both"/>
                      <w:rPr>
                        <w:sz w:val="20"/>
                      </w:rPr>
                    </w:pPr>
                    <w:r>
                      <w:rPr>
                        <w:sz w:val="20"/>
                      </w:rPr>
                      <w:t>Note 3: The changes in carbon in HWP are as a rule estimated as tonnes C yr</w:t>
                    </w:r>
                    <w:r>
                      <w:rPr>
                        <w:sz w:val="20"/>
                        <w:vertAlign w:val="superscript"/>
                      </w:rPr>
                      <w:t>-1</w:t>
                    </w:r>
                    <w:r>
                      <w:rPr>
                        <w:sz w:val="20"/>
                        <w:vertAlign w:val="baseline"/>
                      </w:rPr>
                      <w:t> and converted to  Gg CO</w:t>
                    </w:r>
                    <w:r>
                      <w:rPr>
                        <w:sz w:val="20"/>
                        <w:vertAlign w:val="subscript"/>
                      </w:rPr>
                      <w:t>2</w:t>
                    </w:r>
                    <w:r>
                      <w:rPr>
                        <w:sz w:val="20"/>
                        <w:vertAlign w:val="baseline"/>
                      </w:rPr>
                      <w:t> for reporting by multiplying with 10</w:t>
                    </w:r>
                    <w:r>
                      <w:rPr>
                        <w:sz w:val="20"/>
                        <w:vertAlign w:val="superscript"/>
                      </w:rPr>
                      <w:t>-3</w:t>
                    </w:r>
                    <w:r>
                      <w:rPr>
                        <w:sz w:val="20"/>
                        <w:vertAlign w:val="baseline"/>
                      </w:rPr>
                      <w:t> ● 44/12. The emissions are reported as positive and removals as negative – hence the multiplication with -1 (see also</w:t>
                    </w:r>
                    <w:r>
                      <w:rPr>
                        <w:spacing w:val="25"/>
                        <w:sz w:val="20"/>
                        <w:vertAlign w:val="baseline"/>
                      </w:rPr>
                      <w:t> </w:t>
                    </w:r>
                    <w:r>
                      <w:rPr>
                        <w:sz w:val="20"/>
                        <w:vertAlign w:val="baseline"/>
                      </w:rPr>
                      <w:t>Section</w:t>
                    </w:r>
                  </w:p>
                  <w:p>
                    <w:pPr>
                      <w:spacing w:line="229" w:lineRule="exact" w:before="0"/>
                      <w:ind w:left="705" w:right="0" w:firstLine="0"/>
                      <w:jc w:val="left"/>
                      <w:rPr>
                        <w:sz w:val="20"/>
                      </w:rPr>
                    </w:pPr>
                    <w:r>
                      <w:rPr>
                        <w:sz w:val="20"/>
                      </w:rPr>
                      <w:t>3.7.1 and Annex 3A.2 Reporting Tables and Worksheets).</w:t>
                    </w:r>
                  </w:p>
                </w:txbxContent>
              </v:textbox>
              <w10:wrap type="none"/>
            </v:shape>
            <v:shape style="position:absolute;left:1980;top:2313;width:386;height:221" type="#_x0000_t202" filled="false" stroked="false">
              <v:textbox inset="0,0,0,0">
                <w:txbxContent>
                  <w:p>
                    <w:pPr>
                      <w:spacing w:line="221" w:lineRule="exact" w:before="0"/>
                      <w:ind w:left="0" w:right="0" w:firstLine="0"/>
                      <w:jc w:val="left"/>
                      <w:rPr>
                        <w:sz w:val="20"/>
                      </w:rPr>
                    </w:pPr>
                    <w:r>
                      <w:rPr>
                        <w:sz w:val="20"/>
                      </w:rPr>
                      <w:t>(1C)</w:t>
                    </w:r>
                  </w:p>
                </w:txbxContent>
              </v:textbox>
              <w10:wrap type="none"/>
            </v:shape>
            <v:shape style="position:absolute;left:8076;top:1944;width:1870;height:221" type="#_x0000_t202" filled="false" stroked="false">
              <v:textbox inset="0,0,0,0">
                <w:txbxContent>
                  <w:p>
                    <w:pPr>
                      <w:spacing w:line="221" w:lineRule="exact" w:before="0"/>
                      <w:ind w:left="0" w:right="0" w:firstLine="0"/>
                      <w:jc w:val="left"/>
                      <w:rPr>
                        <w:sz w:val="20"/>
                      </w:rPr>
                    </w:pPr>
                    <w:r>
                      <w:rPr>
                        <w:sz w:val="20"/>
                      </w:rPr>
                      <w:t>(Production Approach)</w:t>
                    </w:r>
                  </w:p>
                </w:txbxContent>
              </v:textbox>
              <w10:wrap type="none"/>
            </v:shape>
            <v:shape style="position:absolute;left:6240;top:1914;width:129;height:144" type="#_x0000_t202" filled="false" stroked="false">
              <v:textbox inset="0,0,0,0">
                <w:txbxContent>
                  <w:p>
                    <w:pPr>
                      <w:spacing w:line="144" w:lineRule="exact" w:before="0"/>
                      <w:ind w:left="0" w:right="0" w:firstLine="0"/>
                      <w:jc w:val="left"/>
                      <w:rPr>
                        <w:sz w:val="13"/>
                      </w:rPr>
                    </w:pPr>
                    <w:r>
                      <w:rPr>
                        <w:sz w:val="13"/>
                      </w:rPr>
                      <w:t>-3</w:t>
                    </w:r>
                  </w:p>
                </w:txbxContent>
              </v:textbox>
              <w10:wrap type="none"/>
            </v:shape>
            <v:shape style="position:absolute;left:7932;top:1202;width:2020;height:221" type="#_x0000_t202" filled="false" stroked="false">
              <v:textbox inset="0,0,0,0">
                <w:txbxContent>
                  <w:p>
                    <w:pPr>
                      <w:spacing w:line="221" w:lineRule="exact" w:before="0"/>
                      <w:ind w:left="0" w:right="0" w:firstLine="0"/>
                      <w:jc w:val="left"/>
                      <w:rPr>
                        <w:sz w:val="20"/>
                      </w:rPr>
                    </w:pPr>
                    <w:r>
                      <w:rPr>
                        <w:spacing w:val="-4"/>
                        <w:sz w:val="20"/>
                      </w:rPr>
                      <w:t>(Stock Change Approach)</w:t>
                    </w:r>
                  </w:p>
                </w:txbxContent>
              </v:textbox>
              <w10:wrap type="none"/>
            </v:shape>
            <v:shape style="position:absolute;left:6228;top:1173;width:119;height:144" type="#_x0000_t202" filled="false" stroked="false">
              <v:textbox inset="0,0,0,0">
                <w:txbxContent>
                  <w:p>
                    <w:pPr>
                      <w:spacing w:line="144" w:lineRule="exact" w:before="0"/>
                      <w:ind w:left="0" w:right="0" w:firstLine="0"/>
                      <w:jc w:val="left"/>
                      <w:rPr>
                        <w:sz w:val="13"/>
                      </w:rPr>
                    </w:pPr>
                    <w:r>
                      <w:rPr>
                        <w:sz w:val="13"/>
                      </w:rPr>
                      <w:t>-3</w:t>
                    </w:r>
                  </w:p>
                </w:txbxContent>
              </v:textbox>
              <w10:wrap type="none"/>
            </v:shape>
            <v:shape style="position:absolute;left:2505;top:1202;width:5058;height:1408" type="#_x0000_t202" filled="false" stroked="false">
              <v:textbox inset="0,0,0,0">
                <w:txbxContent>
                  <w:p>
                    <w:pPr>
                      <w:spacing w:line="228" w:lineRule="auto" w:before="0"/>
                      <w:ind w:left="0" w:right="0" w:firstLine="0"/>
                      <w:jc w:val="left"/>
                      <w:rPr>
                        <w:sz w:val="20"/>
                      </w:rPr>
                    </w:pPr>
                    <w:r>
                      <w:rPr>
                        <w:spacing w:val="-3"/>
                        <w:sz w:val="20"/>
                      </w:rPr>
                      <w:t>CO</w:t>
                    </w:r>
                    <w:r>
                      <w:rPr>
                        <w:spacing w:val="-3"/>
                        <w:sz w:val="20"/>
                        <w:vertAlign w:val="subscript"/>
                      </w:rPr>
                      <w:t>2</w:t>
                    </w:r>
                    <w:r>
                      <w:rPr>
                        <w:spacing w:val="-3"/>
                        <w:sz w:val="20"/>
                        <w:vertAlign w:val="baseline"/>
                      </w:rPr>
                      <w:t> </w:t>
                    </w:r>
                    <w:r>
                      <w:rPr>
                        <w:spacing w:val="-4"/>
                        <w:sz w:val="20"/>
                        <w:vertAlign w:val="baseline"/>
                      </w:rPr>
                      <w:t>emissions/removals </w:t>
                    </w:r>
                    <w:r>
                      <w:rPr>
                        <w:spacing w:val="-3"/>
                        <w:sz w:val="20"/>
                        <w:vertAlign w:val="subscript"/>
                      </w:rPr>
                      <w:t>SCA</w:t>
                    </w:r>
                    <w:r>
                      <w:rPr>
                        <w:spacing w:val="-3"/>
                        <w:sz w:val="20"/>
                        <w:vertAlign w:val="baseline"/>
                      </w:rPr>
                      <w:t> </w:t>
                    </w:r>
                    <w:r>
                      <w:rPr>
                        <w:sz w:val="20"/>
                        <w:vertAlign w:val="baseline"/>
                      </w:rPr>
                      <w:t>= </w:t>
                    </w:r>
                    <w:r>
                      <w:rPr>
                        <w:spacing w:val="-4"/>
                        <w:sz w:val="20"/>
                        <w:vertAlign w:val="baseline"/>
                      </w:rPr>
                      <w:t>∆C</w:t>
                    </w:r>
                    <w:r>
                      <w:rPr>
                        <w:spacing w:val="-4"/>
                        <w:sz w:val="20"/>
                        <w:vertAlign w:val="subscript"/>
                      </w:rPr>
                      <w:t>HWP</w:t>
                    </w:r>
                    <w:r>
                      <w:rPr>
                        <w:spacing w:val="-4"/>
                        <w:sz w:val="20"/>
                        <w:vertAlign w:val="baseline"/>
                      </w:rPr>
                      <w:t> </w:t>
                    </w:r>
                    <w:r>
                      <w:rPr>
                        <w:spacing w:val="-4"/>
                        <w:sz w:val="20"/>
                        <w:vertAlign w:val="subscript"/>
                      </w:rPr>
                      <w:t>IU</w:t>
                    </w:r>
                    <w:r>
                      <w:rPr>
                        <w:spacing w:val="-4"/>
                        <w:sz w:val="20"/>
                        <w:vertAlign w:val="baseline"/>
                      </w:rPr>
                      <w:t> </w:t>
                    </w:r>
                    <w:r>
                      <w:rPr>
                        <w:spacing w:val="-3"/>
                        <w:position w:val="-8"/>
                        <w:sz w:val="13"/>
                        <w:vertAlign w:val="baseline"/>
                      </w:rPr>
                      <w:t>SCA </w:t>
                    </w:r>
                    <w:r>
                      <w:rPr>
                        <w:sz w:val="20"/>
                        <w:vertAlign w:val="baseline"/>
                      </w:rPr>
                      <w:t>● 10 ● </w:t>
                    </w:r>
                    <w:r>
                      <w:rPr>
                        <w:spacing w:val="-3"/>
                        <w:sz w:val="20"/>
                        <w:vertAlign w:val="baseline"/>
                      </w:rPr>
                      <w:t>44/12 </w:t>
                    </w:r>
                    <w:r>
                      <w:rPr>
                        <w:sz w:val="20"/>
                        <w:vertAlign w:val="baseline"/>
                      </w:rPr>
                      <w:t>● (-1)</w:t>
                    </w:r>
                  </w:p>
                  <w:p>
                    <w:pPr>
                      <w:spacing w:before="69"/>
                      <w:ind w:left="0" w:right="0" w:firstLine="0"/>
                      <w:jc w:val="left"/>
                      <w:rPr>
                        <w:sz w:val="13"/>
                      </w:rPr>
                    </w:pPr>
                    <w:r>
                      <w:rPr>
                        <w:sz w:val="20"/>
                      </w:rPr>
                      <w:t>∆C</w:t>
                    </w:r>
                    <w:r>
                      <w:rPr>
                        <w:position w:val="-2"/>
                        <w:sz w:val="13"/>
                      </w:rPr>
                      <w:t>HWP IU </w:t>
                    </w:r>
                    <w:r>
                      <w:rPr>
                        <w:position w:val="-8"/>
                        <w:sz w:val="13"/>
                      </w:rPr>
                      <w:t>PA </w:t>
                    </w:r>
                    <w:r>
                      <w:rPr>
                        <w:sz w:val="20"/>
                      </w:rPr>
                      <w:t>= PH</w:t>
                    </w:r>
                    <w:r>
                      <w:rPr>
                        <w:position w:val="-2"/>
                        <w:sz w:val="13"/>
                      </w:rPr>
                      <w:t>A </w:t>
                    </w:r>
                    <w:r>
                      <w:rPr>
                        <w:sz w:val="20"/>
                      </w:rPr>
                      <w:t>– PH</w:t>
                    </w:r>
                    <w:r>
                      <w:rPr>
                        <w:position w:val="-2"/>
                        <w:sz w:val="13"/>
                      </w:rPr>
                      <w:t>L</w:t>
                    </w:r>
                  </w:p>
                  <w:p>
                    <w:pPr>
                      <w:spacing w:line="370" w:lineRule="atLeast" w:before="0"/>
                      <w:ind w:left="0" w:right="8" w:firstLine="0"/>
                      <w:jc w:val="left"/>
                      <w:rPr>
                        <w:sz w:val="20"/>
                      </w:rPr>
                    </w:pPr>
                    <w:r>
                      <w:rPr>
                        <w:sz w:val="20"/>
                      </w:rPr>
                      <w:t>CO</w:t>
                    </w:r>
                    <w:r>
                      <w:rPr>
                        <w:sz w:val="20"/>
                        <w:vertAlign w:val="subscript"/>
                      </w:rPr>
                      <w:t>2</w:t>
                    </w:r>
                    <w:r>
                      <w:rPr>
                        <w:sz w:val="20"/>
                        <w:vertAlign w:val="baseline"/>
                      </w:rPr>
                      <w:t> emissions/removals </w:t>
                    </w:r>
                    <w:r>
                      <w:rPr>
                        <w:sz w:val="20"/>
                        <w:vertAlign w:val="subscript"/>
                      </w:rPr>
                      <w:t>PA</w:t>
                    </w:r>
                    <w:r>
                      <w:rPr>
                        <w:sz w:val="20"/>
                        <w:vertAlign w:val="baseline"/>
                      </w:rPr>
                      <w:t> = ∆C</w:t>
                    </w:r>
                    <w:r>
                      <w:rPr>
                        <w:sz w:val="20"/>
                        <w:vertAlign w:val="subscript"/>
                      </w:rPr>
                      <w:t>HWP</w:t>
                    </w:r>
                    <w:r>
                      <w:rPr>
                        <w:sz w:val="20"/>
                        <w:vertAlign w:val="baseline"/>
                      </w:rPr>
                      <w:t> </w:t>
                    </w:r>
                    <w:r>
                      <w:rPr>
                        <w:sz w:val="20"/>
                        <w:vertAlign w:val="subscript"/>
                      </w:rPr>
                      <w:t>IU</w:t>
                    </w:r>
                    <w:r>
                      <w:rPr>
                        <w:sz w:val="20"/>
                        <w:vertAlign w:val="baseline"/>
                      </w:rPr>
                      <w:t> </w:t>
                    </w:r>
                    <w:r>
                      <w:rPr>
                        <w:position w:val="-8"/>
                        <w:sz w:val="13"/>
                        <w:vertAlign w:val="baseline"/>
                      </w:rPr>
                      <w:t>PA </w:t>
                    </w:r>
                    <w:r>
                      <w:rPr>
                        <w:sz w:val="20"/>
                        <w:vertAlign w:val="baseline"/>
                      </w:rPr>
                      <w:t>● 10 ● 44/12 ● (-1) E = – ∆C</w:t>
                    </w:r>
                    <w:r>
                      <w:rPr>
                        <w:sz w:val="20"/>
                        <w:vertAlign w:val="subscript"/>
                      </w:rPr>
                      <w:t>HWP</w:t>
                    </w:r>
                    <w:r>
                      <w:rPr>
                        <w:sz w:val="20"/>
                        <w:vertAlign w:val="baseline"/>
                      </w:rPr>
                      <w:t> </w:t>
                    </w:r>
                    <w:r>
                      <w:rPr>
                        <w:sz w:val="20"/>
                        <w:vertAlign w:val="subscript"/>
                      </w:rPr>
                      <w:t>IU</w:t>
                    </w:r>
                    <w:r>
                      <w:rPr>
                        <w:sz w:val="20"/>
                        <w:vertAlign w:val="baseline"/>
                      </w:rPr>
                      <w:t> </w:t>
                    </w:r>
                    <w:r>
                      <w:rPr>
                        <w:position w:val="-8"/>
                        <w:sz w:val="13"/>
                        <w:vertAlign w:val="baseline"/>
                      </w:rPr>
                      <w:t>SCA </w:t>
                    </w:r>
                    <w:r>
                      <w:rPr>
                        <w:sz w:val="20"/>
                        <w:vertAlign w:val="baseline"/>
                      </w:rPr>
                      <w:t>+ H – P</w:t>
                    </w:r>
                    <w:r>
                      <w:rPr>
                        <w:sz w:val="20"/>
                        <w:vertAlign w:val="subscript"/>
                      </w:rPr>
                      <w:t>EX</w:t>
                    </w:r>
                    <w:r>
                      <w:rPr>
                        <w:sz w:val="20"/>
                        <w:vertAlign w:val="baseline"/>
                      </w:rPr>
                      <w:t> + P</w:t>
                    </w:r>
                    <w:r>
                      <w:rPr>
                        <w:sz w:val="20"/>
                        <w:vertAlign w:val="subscript"/>
                      </w:rPr>
                      <w:t>IM</w:t>
                    </w:r>
                    <w:r>
                      <w:rPr>
                        <w:sz w:val="20"/>
                        <w:vertAlign w:val="baseline"/>
                      </w:rPr>
                      <w:t> – W</w:t>
                    </w:r>
                  </w:p>
                </w:txbxContent>
              </v:textbox>
              <w10:wrap type="none"/>
            </v:shape>
            <v:shape style="position:absolute;left:1980;top:1574;width:390;height:221" type="#_x0000_t202" filled="false" stroked="false">
              <v:textbox inset="0,0,0,0">
                <w:txbxContent>
                  <w:p>
                    <w:pPr>
                      <w:spacing w:line="221" w:lineRule="exact" w:before="0"/>
                      <w:ind w:left="0" w:right="0" w:firstLine="0"/>
                      <w:jc w:val="left"/>
                      <w:rPr>
                        <w:sz w:val="20"/>
                      </w:rPr>
                    </w:pPr>
                    <w:r>
                      <w:rPr>
                        <w:sz w:val="20"/>
                      </w:rPr>
                      <w:t>(1B)</w:t>
                    </w:r>
                  </w:p>
                </w:txbxContent>
              </v:textbox>
              <w10:wrap type="none"/>
            </v:shape>
            <v:shape style="position:absolute;left:1980;top:297;width:7902;height:832" type="#_x0000_t202" filled="false" stroked="false">
              <v:textbox inset="0,0,0,0">
                <w:txbxContent>
                  <w:p>
                    <w:pPr>
                      <w:spacing w:line="221" w:lineRule="exact" w:before="0"/>
                      <w:ind w:left="50" w:right="0" w:firstLine="0"/>
                      <w:jc w:val="center"/>
                      <w:rPr>
                        <w:b/>
                        <w:sz w:val="20"/>
                      </w:rPr>
                    </w:pPr>
                    <w:r>
                      <w:rPr>
                        <w:b/>
                        <w:sz w:val="20"/>
                      </w:rPr>
                      <w:t>E</w:t>
                    </w:r>
                    <w:r>
                      <w:rPr>
                        <w:b/>
                        <w:sz w:val="16"/>
                      </w:rPr>
                      <w:t>QUATION </w:t>
                    </w:r>
                    <w:r>
                      <w:rPr>
                        <w:b/>
                        <w:sz w:val="20"/>
                      </w:rPr>
                      <w:t>3a.1.1</w:t>
                    </w:r>
                  </w:p>
                  <w:p>
                    <w:pPr>
                      <w:spacing w:before="0"/>
                      <w:ind w:left="49" w:right="0" w:firstLine="0"/>
                      <w:jc w:val="center"/>
                      <w:rPr>
                        <w:b/>
                        <w:sz w:val="16"/>
                      </w:rPr>
                    </w:pPr>
                    <w:r>
                      <w:rPr>
                        <w:b/>
                        <w:sz w:val="20"/>
                      </w:rPr>
                      <w:t>A</w:t>
                    </w:r>
                    <w:r>
                      <w:rPr>
                        <w:b/>
                        <w:sz w:val="16"/>
                      </w:rPr>
                      <w:t>NNUAL CHANGE IN </w:t>
                    </w:r>
                    <w:r>
                      <w:rPr>
                        <w:b/>
                        <w:sz w:val="20"/>
                      </w:rPr>
                      <w:t>HWP </w:t>
                    </w:r>
                    <w:r>
                      <w:rPr>
                        <w:b/>
                        <w:sz w:val="16"/>
                      </w:rPr>
                      <w:t>CARBON IN PRODUCTS IN USE AND THE ASSOCIATED </w:t>
                    </w:r>
                    <w:r>
                      <w:rPr>
                        <w:b/>
                        <w:sz w:val="20"/>
                      </w:rPr>
                      <w:t>CO</w:t>
                    </w:r>
                    <w:r>
                      <w:rPr>
                        <w:b/>
                        <w:sz w:val="20"/>
                        <w:vertAlign w:val="subscript"/>
                      </w:rPr>
                      <w:t>2</w:t>
                    </w:r>
                    <w:r>
                      <w:rPr>
                        <w:b/>
                        <w:sz w:val="20"/>
                        <w:vertAlign w:val="baseline"/>
                      </w:rPr>
                      <w:t> </w:t>
                    </w:r>
                    <w:r>
                      <w:rPr>
                        <w:b/>
                        <w:sz w:val="16"/>
                        <w:vertAlign w:val="baseline"/>
                      </w:rPr>
                      <w:t>EMISSIONS</w:t>
                    </w:r>
                  </w:p>
                  <w:p>
                    <w:pPr>
                      <w:spacing w:before="75"/>
                      <w:ind w:left="0" w:right="0" w:firstLine="0"/>
                      <w:jc w:val="left"/>
                      <w:rPr>
                        <w:sz w:val="20"/>
                      </w:rPr>
                    </w:pPr>
                    <w:r>
                      <w:rPr>
                        <w:sz w:val="20"/>
                      </w:rPr>
                      <w:t>(1A) ∆C</w:t>
                    </w:r>
                    <w:r>
                      <w:rPr>
                        <w:sz w:val="20"/>
                        <w:vertAlign w:val="subscript"/>
                      </w:rPr>
                      <w:t>HWP</w:t>
                    </w:r>
                    <w:r>
                      <w:rPr>
                        <w:sz w:val="20"/>
                        <w:vertAlign w:val="baseline"/>
                      </w:rPr>
                      <w:t> </w:t>
                    </w:r>
                    <w:r>
                      <w:rPr>
                        <w:sz w:val="20"/>
                        <w:vertAlign w:val="subscript"/>
                      </w:rPr>
                      <w:t>IU</w:t>
                    </w:r>
                    <w:r>
                      <w:rPr>
                        <w:sz w:val="20"/>
                        <w:vertAlign w:val="baseline"/>
                      </w:rPr>
                      <w:t> </w:t>
                    </w:r>
                    <w:r>
                      <w:rPr>
                        <w:position w:val="-8"/>
                        <w:sz w:val="13"/>
                        <w:vertAlign w:val="baseline"/>
                      </w:rPr>
                      <w:t>SCA </w:t>
                    </w:r>
                    <w:r>
                      <w:rPr>
                        <w:sz w:val="20"/>
                        <w:vertAlign w:val="baseline"/>
                      </w:rPr>
                      <w:t>= P</w:t>
                    </w:r>
                    <w:r>
                      <w:rPr>
                        <w:sz w:val="20"/>
                        <w:vertAlign w:val="subscript"/>
                      </w:rPr>
                      <w:t>A</w:t>
                    </w:r>
                    <w:r>
                      <w:rPr>
                        <w:sz w:val="20"/>
                        <w:vertAlign w:val="baseline"/>
                      </w:rPr>
                      <w:t> – P</w:t>
                    </w:r>
                    <w:r>
                      <w:rPr>
                        <w:sz w:val="20"/>
                        <w:vertAlign w:val="subscript"/>
                      </w:rPr>
                      <w:t>L</w:t>
                    </w:r>
                  </w:p>
                </w:txbxContent>
              </v:textbox>
              <w10:wrap type="none"/>
            </v:shape>
            <w10:wrap type="topAndBottom"/>
          </v:group>
        </w:pict>
      </w:r>
    </w:p>
    <w:p>
      <w:pPr>
        <w:pStyle w:val="BodyText"/>
        <w:spacing w:line="220" w:lineRule="exact"/>
        <w:ind w:left="119"/>
      </w:pPr>
      <w:r>
        <w:rPr/>
        <w:t>Where:</w:t>
      </w:r>
    </w:p>
    <w:p>
      <w:pPr>
        <w:pStyle w:val="BodyText"/>
        <w:tabs>
          <w:tab w:pos="1715" w:val="left" w:leader="none"/>
        </w:tabs>
        <w:spacing w:before="120"/>
        <w:ind w:left="685"/>
      </w:pPr>
      <w:r>
        <w:rPr/>
        <w:pict>
          <v:shape style="position:absolute;margin-left:136.600616pt;margin-top:14.122023pt;width:12.6pt;height:7.2pt;mso-position-horizontal-relative:page;mso-position-vertical-relative:paragraph;z-index:-2441416" type="#_x0000_t202" filled="false" stroked="false">
            <v:textbox inset="0,0,0,0">
              <w:txbxContent>
                <w:p>
                  <w:pPr>
                    <w:spacing w:line="144" w:lineRule="exact" w:before="0"/>
                    <w:ind w:left="0" w:right="0" w:firstLine="0"/>
                    <w:jc w:val="left"/>
                    <w:rPr>
                      <w:sz w:val="13"/>
                    </w:rPr>
                  </w:pPr>
                  <w:r>
                    <w:rPr>
                      <w:spacing w:val="-1"/>
                      <w:sz w:val="13"/>
                    </w:rPr>
                    <w:t>SCA</w:t>
                  </w:r>
                </w:p>
              </w:txbxContent>
            </v:textbox>
            <w10:wrap type="none"/>
          </v:shape>
        </w:pict>
      </w:r>
      <w:r>
        <w:rPr/>
        <w:t>∆C</w:t>
      </w:r>
      <w:r>
        <w:rPr>
          <w:vertAlign w:val="subscript"/>
        </w:rPr>
        <w:t>HWP</w:t>
      </w:r>
      <w:r>
        <w:rPr>
          <w:spacing w:val="-17"/>
          <w:vertAlign w:val="baseline"/>
        </w:rPr>
        <w:t> </w:t>
      </w:r>
      <w:r>
        <w:rPr>
          <w:vertAlign w:val="subscript"/>
        </w:rPr>
        <w:t>IU</w:t>
      </w:r>
      <w:r>
        <w:rPr>
          <w:vertAlign w:val="baseline"/>
        </w:rPr>
        <w:tab/>
        <w:t>= annual change in carbon stored in HWP in use in the country, tonnes C</w:t>
      </w:r>
      <w:r>
        <w:rPr>
          <w:spacing w:val="-10"/>
          <w:vertAlign w:val="baseline"/>
        </w:rPr>
        <w:t> </w:t>
      </w:r>
      <w:r>
        <w:rPr>
          <w:vertAlign w:val="baseline"/>
        </w:rPr>
        <w:t>yr</w:t>
      </w:r>
      <w:r>
        <w:rPr>
          <w:vertAlign w:val="superscript"/>
        </w:rPr>
        <w:t>-1</w:t>
      </w:r>
    </w:p>
    <w:p>
      <w:pPr>
        <w:pStyle w:val="BodyText"/>
        <w:spacing w:line="225" w:lineRule="auto" w:before="187"/>
        <w:ind w:left="1928" w:right="515" w:hanging="1244"/>
      </w:pPr>
      <w:r>
        <w:rPr/>
        <w:t>∆C</w:t>
      </w:r>
      <w:r>
        <w:rPr>
          <w:vertAlign w:val="subscript"/>
        </w:rPr>
        <w:t>HWP</w:t>
      </w:r>
      <w:r>
        <w:rPr>
          <w:vertAlign w:val="baseline"/>
        </w:rPr>
        <w:t> </w:t>
      </w:r>
      <w:r>
        <w:rPr>
          <w:vertAlign w:val="subscript"/>
        </w:rPr>
        <w:t>IU</w:t>
      </w:r>
      <w:r>
        <w:rPr>
          <w:vertAlign w:val="baseline"/>
        </w:rPr>
        <w:t> </w:t>
      </w:r>
      <w:r>
        <w:rPr>
          <w:position w:val="-8"/>
          <w:sz w:val="13"/>
          <w:vertAlign w:val="baseline"/>
        </w:rPr>
        <w:t>PA </w:t>
      </w:r>
      <w:r>
        <w:rPr>
          <w:vertAlign w:val="baseline"/>
        </w:rPr>
        <w:t>= annual change in carbon in HWP in use </w:t>
      </w:r>
      <w:r>
        <w:rPr>
          <w:u w:val="single"/>
          <w:vertAlign w:val="baseline"/>
        </w:rPr>
        <w:t>from wood harvested in the country</w:t>
      </w:r>
      <w:r>
        <w:rPr>
          <w:vertAlign w:val="baseline"/>
        </w:rPr>
        <w:t> (includes carbon in exports and excludes carbon in imports, tonnes C yr</w:t>
      </w:r>
      <w:r>
        <w:rPr>
          <w:vertAlign w:val="superscript"/>
        </w:rPr>
        <w:t>-1</w:t>
      </w:r>
    </w:p>
    <w:p>
      <w:pPr>
        <w:pStyle w:val="BodyText"/>
        <w:spacing w:line="350" w:lineRule="atLeast" w:before="5"/>
        <w:ind w:left="685" w:right="113"/>
      </w:pPr>
      <w:r>
        <w:rPr/>
        <w:t>E = </w:t>
      </w:r>
      <w:r>
        <w:rPr>
          <w:u w:val="single"/>
        </w:rPr>
        <w:t>carbon flux</w:t>
      </w:r>
      <w:r>
        <w:rPr/>
        <w:t> from HWP into the atmosphere within the borders of the reporting country, tonnes C yr</w:t>
      </w:r>
      <w:r>
        <w:rPr>
          <w:vertAlign w:val="superscript"/>
        </w:rPr>
        <w:t>-1</w:t>
      </w:r>
      <w:r>
        <w:rPr>
          <w:vertAlign w:val="baseline"/>
        </w:rPr>
        <w:t> H = current year wood carbon harvested and removed from sites to be processed into forest products</w:t>
      </w:r>
    </w:p>
    <w:p>
      <w:pPr>
        <w:pStyle w:val="BodyText"/>
        <w:spacing w:before="1"/>
        <w:ind w:left="1024"/>
      </w:pPr>
      <w:r>
        <w:rPr/>
        <w:t>(including fuelwood), tonnes C yr</w:t>
      </w:r>
      <w:r>
        <w:rPr>
          <w:vertAlign w:val="superscript"/>
        </w:rPr>
        <w:t>-1</w:t>
      </w:r>
    </w:p>
    <w:p>
      <w:pPr>
        <w:pStyle w:val="BodyText"/>
        <w:spacing w:before="118"/>
        <w:ind w:left="1139" w:hanging="454"/>
      </w:pPr>
      <w:r>
        <w:rPr/>
        <w:t>W = current year HWP carbon disposed into SWDS (in case HWP in SWDS is included in reporting, otherwise W = 0), tonnes C yr</w:t>
      </w:r>
      <w:r>
        <w:rPr>
          <w:vertAlign w:val="superscript"/>
        </w:rPr>
        <w:t>-1</w:t>
      </w:r>
    </w:p>
    <w:p>
      <w:pPr>
        <w:pStyle w:val="BodyText"/>
      </w:pPr>
    </w:p>
    <w:p>
      <w:pPr>
        <w:pStyle w:val="BodyText"/>
        <w:spacing w:before="1"/>
        <w:rPr>
          <w:sz w:val="17"/>
        </w:rPr>
      </w:pPr>
      <w:r>
        <w:rPr/>
        <w:pict>
          <v:line style="position:absolute;mso-position-horizontal-relative:page;mso-position-vertical-relative:paragraph;z-index:12680;mso-wrap-distance-left:0;mso-wrap-distance-right:0" from="70.960999pt,12.031025pt" to="214.960999pt,12.031025pt" stroked="true" strokeweight=".48pt" strokecolor="#000000">
            <v:stroke dashstyle="solid"/>
            <w10:wrap type="topAndBottom"/>
          </v:line>
        </w:pict>
      </w:r>
    </w:p>
    <w:p>
      <w:pPr>
        <w:spacing w:before="153"/>
        <w:ind w:left="277" w:right="116" w:hanging="159"/>
        <w:jc w:val="both"/>
        <w:rPr>
          <w:sz w:val="18"/>
        </w:rPr>
      </w:pPr>
      <w:r>
        <w:rPr>
          <w:position w:val="8"/>
          <w:sz w:val="12"/>
        </w:rPr>
        <w:t>5 </w:t>
      </w:r>
      <w:r>
        <w:rPr>
          <w:sz w:val="18"/>
        </w:rPr>
        <w:t>Use of wood products forms a chain and flow of carbon from round wood through primary and secondary products to final use. Double counting in estimation of the C input flow to the HWP pool is possible if, for instance, the consumption of round wood and primary products or primary products and secondary products are summed up. In the proposed Tier 2a method the consumption of </w:t>
      </w:r>
      <w:r>
        <w:rPr>
          <w:i/>
          <w:sz w:val="18"/>
        </w:rPr>
        <w:t>primary products </w:t>
      </w:r>
      <w:r>
        <w:rPr>
          <w:sz w:val="18"/>
        </w:rPr>
        <w:t>is assumed to form the input to the HWP pool.</w:t>
      </w:r>
    </w:p>
    <w:p>
      <w:pPr>
        <w:spacing w:after="0"/>
        <w:jc w:val="both"/>
        <w:rPr>
          <w:sz w:val="18"/>
        </w:rPr>
        <w:sectPr>
          <w:pgSz w:w="11900" w:h="16840"/>
          <w:pgMar w:header="235" w:footer="408" w:top="920" w:bottom="600" w:left="1300" w:right="1280"/>
        </w:sectPr>
      </w:pPr>
    </w:p>
    <w:p>
      <w:pPr>
        <w:pStyle w:val="BodyText"/>
        <w:spacing w:before="90"/>
        <w:ind w:left="119"/>
      </w:pPr>
      <w:r>
        <w:rPr/>
        <w:t>Each </w:t>
      </w:r>
      <w:r>
        <w:rPr>
          <w:spacing w:val="-2"/>
        </w:rPr>
        <w:t>variable </w:t>
      </w:r>
      <w:r>
        <w:rPr/>
        <w:t>below has at least two parts – at least </w:t>
      </w:r>
      <w:r>
        <w:rPr>
          <w:spacing w:val="-2"/>
        </w:rPr>
        <w:t>one for </w:t>
      </w:r>
      <w:r>
        <w:rPr>
          <w:spacing w:val="-3"/>
        </w:rPr>
        <w:t>solidwood products, </w:t>
      </w:r>
      <w:r>
        <w:rPr>
          <w:spacing w:val="-2"/>
        </w:rPr>
        <w:t>and </w:t>
      </w:r>
      <w:r>
        <w:rPr/>
        <w:t>at least one </w:t>
      </w:r>
      <w:r>
        <w:rPr>
          <w:spacing w:val="-2"/>
        </w:rPr>
        <w:t>for </w:t>
      </w:r>
      <w:r>
        <w:rPr/>
        <w:t>paper </w:t>
      </w:r>
      <w:r>
        <w:rPr>
          <w:spacing w:val="-3"/>
        </w:rPr>
        <w:t>products.</w:t>
      </w:r>
    </w:p>
    <w:p>
      <w:pPr>
        <w:pStyle w:val="BodyText"/>
        <w:spacing w:before="120"/>
        <w:ind w:left="1117" w:right="262" w:hanging="454"/>
      </w:pPr>
      <w:r>
        <w:rPr/>
        <w:t>P</w:t>
      </w:r>
      <w:r>
        <w:rPr>
          <w:vertAlign w:val="subscript"/>
        </w:rPr>
        <w:t>A</w:t>
      </w:r>
      <w:r>
        <w:rPr>
          <w:vertAlign w:val="baseline"/>
        </w:rPr>
        <w:t> = current year additions to HWP carbon in use from domestic consumption calculated on the basis of the primary products carbon flux, tonnes C yr</w:t>
      </w:r>
      <w:r>
        <w:rPr>
          <w:vertAlign w:val="superscript"/>
        </w:rPr>
        <w:t>-1</w:t>
      </w:r>
    </w:p>
    <w:p>
      <w:pPr>
        <w:pStyle w:val="BodyText"/>
        <w:spacing w:before="121"/>
        <w:ind w:left="119"/>
      </w:pPr>
      <w:r>
        <w:rPr/>
        <w:t>See Table 3a.1.1 for information on data for these values, tonnes C yr</w:t>
      </w:r>
      <w:r>
        <w:rPr>
          <w:vertAlign w:val="superscript"/>
        </w:rPr>
        <w:t>-1</w:t>
      </w:r>
    </w:p>
    <w:p>
      <w:pPr>
        <w:pStyle w:val="BodyText"/>
        <w:spacing w:line="350" w:lineRule="exact" w:before="25"/>
        <w:ind w:left="661" w:right="113"/>
      </w:pPr>
      <w:r>
        <w:rPr/>
        <w:t>P</w:t>
      </w:r>
      <w:r>
        <w:rPr>
          <w:vertAlign w:val="subscript"/>
        </w:rPr>
        <w:t>L</w:t>
      </w:r>
      <w:r>
        <w:rPr>
          <w:vertAlign w:val="baseline"/>
        </w:rPr>
        <w:t> = current year loss of HWP carbon from uses (placed in use in current or prior years) , tonnes C yr</w:t>
      </w:r>
      <w:r>
        <w:rPr>
          <w:vertAlign w:val="superscript"/>
        </w:rPr>
        <w:t>-1</w:t>
      </w:r>
      <w:r>
        <w:rPr>
          <w:vertAlign w:val="baseline"/>
        </w:rPr>
        <w:t> PH</w:t>
      </w:r>
      <w:r>
        <w:rPr>
          <w:vertAlign w:val="subscript"/>
        </w:rPr>
        <w:t>A</w:t>
      </w:r>
      <w:r>
        <w:rPr>
          <w:vertAlign w:val="baseline"/>
        </w:rPr>
        <w:t> = current year additions to HWP carbon </w:t>
      </w:r>
      <w:r>
        <w:rPr>
          <w:u w:val="single"/>
          <w:vertAlign w:val="baseline"/>
        </w:rPr>
        <w:t>from wood harvested in the country</w:t>
      </w:r>
      <w:r>
        <w:rPr>
          <w:vertAlign w:val="baseline"/>
        </w:rPr>
        <w:t> calculated on the basis</w:t>
      </w:r>
    </w:p>
    <w:p>
      <w:pPr>
        <w:pStyle w:val="BodyText"/>
        <w:spacing w:line="204" w:lineRule="exact"/>
        <w:ind w:left="1295"/>
      </w:pPr>
      <w:r>
        <w:rPr/>
        <w:t>of the primary products carbon flux, tonnes C yr</w:t>
      </w:r>
      <w:r>
        <w:rPr>
          <w:vertAlign w:val="superscript"/>
        </w:rPr>
        <w:t>-1</w:t>
      </w:r>
    </w:p>
    <w:p>
      <w:pPr>
        <w:pStyle w:val="BodyText"/>
        <w:spacing w:before="120"/>
        <w:ind w:left="661"/>
      </w:pPr>
      <w:r>
        <w:rPr/>
        <w:t>See Table 3a.1.1 for information on data and calculating PH</w:t>
      </w:r>
      <w:r>
        <w:rPr>
          <w:vertAlign w:val="subscript"/>
        </w:rPr>
        <w:t>A</w:t>
      </w:r>
      <w:r>
        <w:rPr>
          <w:vertAlign w:val="baseline"/>
        </w:rPr>
        <w:t>, tonnes C yr</w:t>
      </w:r>
      <w:r>
        <w:rPr>
          <w:vertAlign w:val="superscript"/>
        </w:rPr>
        <w:t>-1</w:t>
      </w:r>
    </w:p>
    <w:p>
      <w:pPr>
        <w:pStyle w:val="BodyText"/>
        <w:spacing w:before="118"/>
        <w:ind w:left="1288" w:right="113" w:hanging="624"/>
      </w:pPr>
      <w:r>
        <w:rPr/>
        <w:t>PH</w:t>
      </w:r>
      <w:r>
        <w:rPr>
          <w:vertAlign w:val="subscript"/>
        </w:rPr>
        <w:t>L</w:t>
      </w:r>
      <w:r>
        <w:rPr>
          <w:vertAlign w:val="baseline"/>
        </w:rPr>
        <w:t> = current year loss of HWP carbon in use (place in use in current or prior years) </w:t>
      </w:r>
      <w:r>
        <w:rPr>
          <w:u w:val="single"/>
          <w:vertAlign w:val="baseline"/>
        </w:rPr>
        <w:t>from wood harvested</w:t>
      </w:r>
      <w:r>
        <w:rPr>
          <w:vertAlign w:val="baseline"/>
        </w:rPr>
        <w:t> </w:t>
      </w:r>
      <w:r>
        <w:rPr>
          <w:u w:val="single"/>
          <w:vertAlign w:val="baseline"/>
        </w:rPr>
        <w:t>in the country</w:t>
      </w:r>
      <w:r>
        <w:rPr>
          <w:vertAlign w:val="baseline"/>
        </w:rPr>
        <w:t>, tonnes C yr</w:t>
      </w:r>
      <w:r>
        <w:rPr>
          <w:vertAlign w:val="superscript"/>
        </w:rPr>
        <w:t>-1</w:t>
      </w:r>
    </w:p>
    <w:p>
      <w:pPr>
        <w:pStyle w:val="BodyText"/>
        <w:spacing w:before="121"/>
        <w:ind w:left="1288" w:hanging="624"/>
      </w:pPr>
      <w:r>
        <w:rPr/>
        <w:t>P</w:t>
      </w:r>
      <w:r>
        <w:rPr>
          <w:vertAlign w:val="subscript"/>
        </w:rPr>
        <w:t>EX</w:t>
      </w:r>
      <w:r>
        <w:rPr>
          <w:vertAlign w:val="baseline"/>
        </w:rPr>
        <w:t> = exports of wood and paper products including roundwood, chips, residue, pulp, and recovered (recycled) paper, tonnes C yr</w:t>
      </w:r>
      <w:r>
        <w:rPr>
          <w:vertAlign w:val="superscript"/>
        </w:rPr>
        <w:t>-1</w:t>
      </w:r>
    </w:p>
    <w:p>
      <w:pPr>
        <w:pStyle w:val="BodyText"/>
        <w:spacing w:before="118"/>
        <w:ind w:left="1309" w:hanging="624"/>
      </w:pPr>
      <w:r>
        <w:rPr/>
        <w:t>P</w:t>
      </w:r>
      <w:r>
        <w:rPr>
          <w:vertAlign w:val="subscript"/>
        </w:rPr>
        <w:t>IM</w:t>
      </w:r>
      <w:r>
        <w:rPr>
          <w:vertAlign w:val="baseline"/>
        </w:rPr>
        <w:t> = imports of wood and paper products including roundwood, chips, residue, pulp, and recovered (recycled) paper, tonnes C yr</w:t>
      </w:r>
      <w:r>
        <w:rPr>
          <w:vertAlign w:val="superscript"/>
        </w:rPr>
        <w:t>-1</w:t>
      </w:r>
      <w:r>
        <w:rPr>
          <w:vertAlign w:val="baseline"/>
        </w:rPr>
        <w:t>.</w:t>
      </w:r>
    </w:p>
    <w:p>
      <w:pPr>
        <w:spacing w:after="0"/>
        <w:sectPr>
          <w:pgSz w:w="11900" w:h="16840"/>
          <w:pgMar w:header="235" w:footer="408" w:top="920" w:bottom="600" w:left="1300" w:right="1280"/>
        </w:sectPr>
      </w:pPr>
    </w:p>
    <w:p>
      <w:pPr>
        <w:pStyle w:val="BodyText"/>
        <w:spacing w:before="136"/>
        <w:ind w:left="119"/>
      </w:pPr>
      <w:r>
        <w:rPr/>
        <w:t>The procedure to calculate </w:t>
      </w:r>
      <w:r>
        <w:rPr>
          <w:rFonts w:ascii="Symbol" w:hAnsi="Symbol"/>
        </w:rPr>
        <w:t>∆</w:t>
      </w:r>
      <w:r>
        <w:rPr/>
        <w:t>C</w:t>
      </w:r>
      <w:r>
        <w:rPr>
          <w:vertAlign w:val="subscript"/>
        </w:rPr>
        <w:t>HWP</w:t>
      </w:r>
      <w:r>
        <w:rPr>
          <w:vertAlign w:val="baseline"/>
        </w:rPr>
        <w:t> </w:t>
      </w:r>
      <w:r>
        <w:rPr>
          <w:spacing w:val="-66"/>
          <w:vertAlign w:val="subscript"/>
        </w:rPr>
        <w:t>IU</w:t>
      </w:r>
    </w:p>
    <w:p>
      <w:pPr>
        <w:pStyle w:val="BodyText"/>
        <w:rPr>
          <w:sz w:val="14"/>
        </w:rPr>
      </w:pPr>
      <w:r>
        <w:rPr/>
        <w:br w:type="column"/>
      </w:r>
      <w:r>
        <w:rPr>
          <w:sz w:val="14"/>
        </w:rPr>
      </w:r>
    </w:p>
    <w:p>
      <w:pPr>
        <w:pStyle w:val="BodyText"/>
        <w:spacing w:before="5"/>
        <w:rPr>
          <w:sz w:val="11"/>
        </w:rPr>
      </w:pPr>
    </w:p>
    <w:p>
      <w:pPr>
        <w:spacing w:line="143" w:lineRule="exact" w:before="0"/>
        <w:ind w:left="22" w:right="0" w:firstLine="0"/>
        <w:jc w:val="left"/>
        <w:rPr>
          <w:sz w:val="13"/>
        </w:rPr>
      </w:pPr>
      <w:r>
        <w:rPr>
          <w:w w:val="95"/>
          <w:sz w:val="13"/>
        </w:rPr>
        <w:t>SCA</w:t>
      </w:r>
    </w:p>
    <w:p>
      <w:pPr>
        <w:spacing w:before="136"/>
        <w:ind w:left="20" w:right="0" w:firstLine="0"/>
        <w:jc w:val="left"/>
        <w:rPr>
          <w:sz w:val="13"/>
        </w:rPr>
      </w:pPr>
      <w:r>
        <w:rPr/>
        <w:br w:type="column"/>
      </w:r>
      <w:r>
        <w:rPr>
          <w:sz w:val="20"/>
        </w:rPr>
        <w:t>and </w:t>
      </w:r>
      <w:r>
        <w:rPr>
          <w:rFonts w:ascii="Symbol" w:hAnsi="Symbol"/>
          <w:sz w:val="20"/>
        </w:rPr>
        <w:t>∆</w:t>
      </w:r>
      <w:r>
        <w:rPr>
          <w:sz w:val="20"/>
        </w:rPr>
        <w:t>C</w:t>
      </w:r>
      <w:r>
        <w:rPr>
          <w:position w:val="-2"/>
          <w:sz w:val="13"/>
        </w:rPr>
        <w:t>HWP </w:t>
      </w:r>
      <w:r>
        <w:rPr>
          <w:spacing w:val="-69"/>
          <w:position w:val="-2"/>
          <w:sz w:val="13"/>
        </w:rPr>
        <w:t>IU</w:t>
      </w:r>
    </w:p>
    <w:p>
      <w:pPr>
        <w:pStyle w:val="BodyText"/>
        <w:spacing w:line="193" w:lineRule="exact" w:before="136"/>
        <w:ind w:left="250"/>
      </w:pPr>
      <w:r>
        <w:rPr/>
        <w:br w:type="column"/>
      </w:r>
      <w:r>
        <w:rPr/>
        <w:t>uses a recursive process shown below rather than</w:t>
      </w:r>
    </w:p>
    <w:p>
      <w:pPr>
        <w:spacing w:line="106" w:lineRule="exact" w:before="0"/>
        <w:ind w:left="22" w:right="0" w:firstLine="0"/>
        <w:jc w:val="left"/>
        <w:rPr>
          <w:sz w:val="13"/>
        </w:rPr>
      </w:pPr>
      <w:r>
        <w:rPr>
          <w:sz w:val="13"/>
        </w:rPr>
        <w:t>PA</w:t>
      </w:r>
    </w:p>
    <w:p>
      <w:pPr>
        <w:spacing w:after="0" w:line="106" w:lineRule="exact"/>
        <w:jc w:val="left"/>
        <w:rPr>
          <w:sz w:val="13"/>
        </w:rPr>
        <w:sectPr>
          <w:type w:val="continuous"/>
          <w:pgSz w:w="11900" w:h="16840"/>
          <w:pgMar w:top="1060" w:bottom="280" w:left="1300" w:right="1280"/>
          <w:cols w:num="4" w:equalWidth="0">
            <w:col w:w="3196" w:space="40"/>
            <w:col w:w="275" w:space="39"/>
            <w:col w:w="1141" w:space="40"/>
            <w:col w:w="4589"/>
          </w:cols>
        </w:sectPr>
      </w:pPr>
    </w:p>
    <w:p>
      <w:pPr>
        <w:pStyle w:val="BodyText"/>
        <w:spacing w:line="221" w:lineRule="exact"/>
        <w:ind w:left="119"/>
      </w:pPr>
      <w:r>
        <w:rPr/>
        <w:t>calculating losses from HWP use, P</w:t>
      </w:r>
      <w:r>
        <w:rPr>
          <w:vertAlign w:val="subscript"/>
        </w:rPr>
        <w:t>L</w:t>
      </w:r>
      <w:r>
        <w:rPr>
          <w:vertAlign w:val="baseline"/>
        </w:rPr>
        <w:t> or PH</w:t>
      </w:r>
      <w:r>
        <w:rPr>
          <w:vertAlign w:val="subscript"/>
        </w:rPr>
        <w:t>L</w:t>
      </w:r>
      <w:r>
        <w:rPr>
          <w:vertAlign w:val="baseline"/>
        </w:rPr>
        <w:t>, for the current year directly.</w:t>
      </w:r>
    </w:p>
    <w:p>
      <w:pPr>
        <w:pStyle w:val="BodyText"/>
        <w:spacing w:before="118"/>
        <w:ind w:left="119"/>
      </w:pPr>
      <w:r>
        <w:rPr/>
        <w:t>Beginning in, say </w:t>
      </w:r>
      <w:r>
        <w:rPr>
          <w:i/>
        </w:rPr>
        <w:t>j </w:t>
      </w:r>
      <w:r>
        <w:rPr/>
        <w:t>= year 1900, compute the following equation recursively</w:t>
      </w:r>
      <w:r>
        <w:rPr>
          <w:vertAlign w:val="superscript"/>
        </w:rPr>
        <w:t>6</w:t>
      </w:r>
      <w:r>
        <w:rPr>
          <w:vertAlign w:val="baseline"/>
        </w:rPr>
        <w:t> for each year up to the current year t.</w:t>
      </w:r>
    </w:p>
    <w:p>
      <w:pPr>
        <w:spacing w:after="0"/>
        <w:sectPr>
          <w:type w:val="continuous"/>
          <w:pgSz w:w="11900" w:h="16840"/>
          <w:pgMar w:top="1060" w:bottom="280" w:left="1300" w:right="1280"/>
        </w:sectPr>
      </w:pPr>
    </w:p>
    <w:p>
      <w:pPr>
        <w:pStyle w:val="BodyText"/>
        <w:spacing w:line="223" w:lineRule="auto" w:before="127"/>
        <w:ind w:left="661"/>
      </w:pPr>
      <w:r>
        <w:rPr/>
        <w:t>C</w:t>
      </w:r>
      <w:r>
        <w:rPr>
          <w:vertAlign w:val="subscript"/>
        </w:rPr>
        <w:t>HWP</w:t>
      </w:r>
      <w:r>
        <w:rPr>
          <w:spacing w:val="-17"/>
          <w:vertAlign w:val="baseline"/>
        </w:rPr>
        <w:t> </w:t>
      </w:r>
      <w:r>
        <w:rPr>
          <w:vertAlign w:val="subscript"/>
        </w:rPr>
        <w:t>IU</w:t>
      </w:r>
      <w:r>
        <w:rPr>
          <w:position w:val="-8"/>
          <w:sz w:val="13"/>
          <w:vertAlign w:val="baseline"/>
        </w:rPr>
        <w:t>SCA</w:t>
      </w:r>
      <w:r>
        <w:rPr>
          <w:spacing w:val="-3"/>
          <w:position w:val="-8"/>
          <w:sz w:val="13"/>
          <w:vertAlign w:val="baseline"/>
        </w:rPr>
        <w:t> </w:t>
      </w:r>
      <w:r>
        <w:rPr>
          <w:vertAlign w:val="baseline"/>
        </w:rPr>
        <w:t>(</w:t>
      </w:r>
      <w:r>
        <w:rPr>
          <w:i/>
          <w:vertAlign w:val="baseline"/>
        </w:rPr>
        <w:t>j</w:t>
      </w:r>
      <w:r>
        <w:rPr>
          <w:vertAlign w:val="baseline"/>
        </w:rPr>
        <w:t>)</w:t>
      </w:r>
      <w:r>
        <w:rPr>
          <w:spacing w:val="6"/>
          <w:vertAlign w:val="baseline"/>
        </w:rPr>
        <w:t> </w:t>
      </w:r>
      <w:r>
        <w:rPr>
          <w:vertAlign w:val="baseline"/>
        </w:rPr>
        <w:t>=</w:t>
      </w:r>
      <w:r>
        <w:rPr>
          <w:spacing w:val="-1"/>
          <w:vertAlign w:val="baseline"/>
        </w:rPr>
        <w:t> </w:t>
      </w:r>
      <w:r>
        <w:rPr>
          <w:vertAlign w:val="baseline"/>
        </w:rPr>
        <w:t>(1</w:t>
      </w:r>
      <w:r>
        <w:rPr>
          <w:spacing w:val="-1"/>
          <w:vertAlign w:val="baseline"/>
        </w:rPr>
        <w:t> </w:t>
      </w:r>
      <w:r>
        <w:rPr>
          <w:vertAlign w:val="baseline"/>
        </w:rPr>
        <w:t>/</w:t>
      </w:r>
      <w:r>
        <w:rPr>
          <w:spacing w:val="-1"/>
          <w:vertAlign w:val="baseline"/>
        </w:rPr>
        <w:t> </w:t>
      </w:r>
      <w:r>
        <w:rPr>
          <w:vertAlign w:val="baseline"/>
        </w:rPr>
        <w:t>(1</w:t>
      </w:r>
      <w:r>
        <w:rPr>
          <w:spacing w:val="-2"/>
          <w:vertAlign w:val="baseline"/>
        </w:rPr>
        <w:t> </w:t>
      </w:r>
      <w:r>
        <w:rPr>
          <w:vertAlign w:val="baseline"/>
        </w:rPr>
        <w:t>+</w:t>
      </w:r>
      <w:r>
        <w:rPr>
          <w:spacing w:val="-1"/>
          <w:vertAlign w:val="baseline"/>
        </w:rPr>
        <w:t> </w:t>
      </w:r>
      <w:r>
        <w:rPr>
          <w:vertAlign w:val="baseline"/>
        </w:rPr>
        <w:t>f</w:t>
      </w:r>
      <w:r>
        <w:rPr>
          <w:vertAlign w:val="subscript"/>
        </w:rPr>
        <w:t>D</w:t>
      </w:r>
      <w:r>
        <w:rPr>
          <w:spacing w:val="-19"/>
          <w:vertAlign w:val="baseline"/>
        </w:rPr>
        <w:t> </w:t>
      </w:r>
      <w:r>
        <w:rPr>
          <w:vertAlign w:val="baseline"/>
        </w:rPr>
        <w:t>)) ●</w:t>
      </w:r>
      <w:r>
        <w:rPr>
          <w:spacing w:val="-7"/>
          <w:vertAlign w:val="baseline"/>
        </w:rPr>
        <w:t> </w:t>
      </w:r>
      <w:r>
        <w:rPr>
          <w:vertAlign w:val="baseline"/>
        </w:rPr>
        <w:t>(P</w:t>
      </w:r>
      <w:r>
        <w:rPr>
          <w:vertAlign w:val="subscript"/>
        </w:rPr>
        <w:t>A</w:t>
      </w:r>
      <w:r>
        <w:rPr>
          <w:i/>
          <w:position w:val="-8"/>
          <w:sz w:val="13"/>
          <w:vertAlign w:val="baseline"/>
        </w:rPr>
        <w:t>j </w:t>
      </w:r>
      <w:r>
        <w:rPr>
          <w:vertAlign w:val="baseline"/>
        </w:rPr>
        <w:t>+</w:t>
      </w:r>
      <w:r>
        <w:rPr>
          <w:spacing w:val="-18"/>
          <w:vertAlign w:val="baseline"/>
        </w:rPr>
        <w:t> </w:t>
      </w:r>
      <w:r>
        <w:rPr>
          <w:vertAlign w:val="baseline"/>
        </w:rPr>
        <w:t>C</w:t>
      </w:r>
      <w:r>
        <w:rPr>
          <w:vertAlign w:val="subscript"/>
        </w:rPr>
        <w:t>HWP</w:t>
      </w:r>
      <w:r>
        <w:rPr>
          <w:spacing w:val="-18"/>
          <w:vertAlign w:val="baseline"/>
        </w:rPr>
        <w:t> </w:t>
      </w:r>
      <w:r>
        <w:rPr>
          <w:vertAlign w:val="subscript"/>
        </w:rPr>
        <w:t>IU</w:t>
      </w:r>
    </w:p>
    <w:p>
      <w:pPr>
        <w:pStyle w:val="BodyText"/>
        <w:spacing w:line="223" w:lineRule="exact"/>
        <w:ind w:left="119"/>
      </w:pPr>
      <w:r>
        <w:rPr/>
        <w:t>Or</w:t>
      </w:r>
    </w:p>
    <w:p>
      <w:pPr>
        <w:pStyle w:val="BodyText"/>
        <w:tabs>
          <w:tab w:pos="1420" w:val="left" w:leader="none"/>
        </w:tabs>
        <w:spacing w:line="193" w:lineRule="exact" w:before="120"/>
        <w:ind w:left="209"/>
      </w:pPr>
      <w:r>
        <w:rPr/>
        <w:br w:type="column"/>
      </w:r>
      <w:r>
        <w:rPr/>
        <w:t>(</w:t>
      </w:r>
      <w:r>
        <w:rPr>
          <w:i/>
        </w:rPr>
        <w:t>j</w:t>
      </w:r>
      <w:r>
        <w:rPr>
          <w:i/>
          <w:spacing w:val="-1"/>
        </w:rPr>
        <w:t> </w:t>
      </w:r>
      <w:r>
        <w:rPr/>
        <w:t>–</w:t>
      </w:r>
      <w:r>
        <w:rPr>
          <w:spacing w:val="1"/>
        </w:rPr>
        <w:t> </w:t>
      </w:r>
      <w:r>
        <w:rPr/>
        <w:t>1))</w:t>
        <w:tab/>
        <w:t>(Stock Change</w:t>
      </w:r>
      <w:r>
        <w:rPr>
          <w:spacing w:val="1"/>
        </w:rPr>
        <w:t> </w:t>
      </w:r>
      <w:r>
        <w:rPr/>
        <w:t>Approach)</w:t>
      </w:r>
    </w:p>
    <w:p>
      <w:pPr>
        <w:spacing w:line="113" w:lineRule="exact" w:before="0"/>
        <w:ind w:left="-40" w:right="0" w:firstLine="0"/>
        <w:jc w:val="left"/>
        <w:rPr>
          <w:sz w:val="13"/>
        </w:rPr>
      </w:pPr>
      <w:r>
        <w:rPr>
          <w:sz w:val="13"/>
        </w:rPr>
        <w:t>SCA</w:t>
      </w:r>
    </w:p>
    <w:p>
      <w:pPr>
        <w:spacing w:after="0" w:line="113" w:lineRule="exact"/>
        <w:jc w:val="left"/>
        <w:rPr>
          <w:sz w:val="13"/>
        </w:rPr>
        <w:sectPr>
          <w:type w:val="continuous"/>
          <w:pgSz w:w="11900" w:h="16840"/>
          <w:pgMar w:top="1060" w:bottom="280" w:left="1300" w:right="1280"/>
          <w:cols w:num="2" w:equalWidth="0">
            <w:col w:w="4269" w:space="40"/>
            <w:col w:w="5011"/>
          </w:cols>
        </w:sectPr>
      </w:pPr>
    </w:p>
    <w:p>
      <w:pPr>
        <w:pStyle w:val="BodyText"/>
        <w:ind w:left="661"/>
      </w:pPr>
      <w:r>
        <w:rPr/>
        <w:t>C</w:t>
      </w:r>
      <w:r>
        <w:rPr>
          <w:vertAlign w:val="subscript"/>
        </w:rPr>
        <w:t>HWP</w:t>
      </w:r>
      <w:r>
        <w:rPr>
          <w:vertAlign w:val="baseline"/>
        </w:rPr>
        <w:t> </w:t>
      </w:r>
      <w:r>
        <w:rPr>
          <w:vertAlign w:val="subscript"/>
        </w:rPr>
        <w:t>IU</w:t>
      </w:r>
      <w:r>
        <w:rPr>
          <w:position w:val="-8"/>
          <w:sz w:val="13"/>
          <w:vertAlign w:val="baseline"/>
        </w:rPr>
        <w:t>PA </w:t>
      </w:r>
      <w:r>
        <w:rPr>
          <w:vertAlign w:val="baseline"/>
        </w:rPr>
        <w:t>(</w:t>
      </w:r>
      <w:r>
        <w:rPr>
          <w:i/>
          <w:vertAlign w:val="baseline"/>
        </w:rPr>
        <w:t>j</w:t>
      </w:r>
      <w:r>
        <w:rPr>
          <w:vertAlign w:val="baseline"/>
        </w:rPr>
        <w:t>) = (1 / (1 + fH</w:t>
      </w:r>
      <w:r>
        <w:rPr>
          <w:vertAlign w:val="subscript"/>
        </w:rPr>
        <w:t>D</w:t>
      </w:r>
      <w:r>
        <w:rPr>
          <w:vertAlign w:val="baseline"/>
        </w:rPr>
        <w:t> )) ● (P</w:t>
      </w:r>
      <w:r>
        <w:rPr>
          <w:vertAlign w:val="subscript"/>
        </w:rPr>
        <w:t>A</w:t>
      </w:r>
      <w:r>
        <w:rPr>
          <w:i/>
          <w:position w:val="-8"/>
          <w:sz w:val="13"/>
          <w:vertAlign w:val="baseline"/>
        </w:rPr>
        <w:t>j </w:t>
      </w:r>
      <w:r>
        <w:rPr>
          <w:vertAlign w:val="baseline"/>
        </w:rPr>
        <w:t>+ C</w:t>
      </w:r>
      <w:r>
        <w:rPr>
          <w:vertAlign w:val="subscript"/>
        </w:rPr>
        <w:t>HWP</w:t>
      </w:r>
      <w:r>
        <w:rPr>
          <w:vertAlign w:val="baseline"/>
        </w:rPr>
        <w:t> </w:t>
      </w:r>
      <w:r>
        <w:rPr>
          <w:vertAlign w:val="subscript"/>
        </w:rPr>
        <w:t>IU</w:t>
      </w:r>
    </w:p>
    <w:p>
      <w:pPr>
        <w:pStyle w:val="BodyText"/>
        <w:tabs>
          <w:tab w:pos="1212" w:val="left" w:leader="none"/>
        </w:tabs>
        <w:spacing w:line="193" w:lineRule="exact"/>
        <w:ind w:left="125"/>
      </w:pPr>
      <w:r>
        <w:rPr/>
        <w:br w:type="column"/>
      </w:r>
      <w:r>
        <w:rPr/>
        <w:t>(</w:t>
      </w:r>
      <w:r>
        <w:rPr>
          <w:i/>
        </w:rPr>
        <w:t>j</w:t>
      </w:r>
      <w:r>
        <w:rPr>
          <w:i/>
          <w:spacing w:val="-1"/>
        </w:rPr>
        <w:t> </w:t>
      </w:r>
      <w:r>
        <w:rPr/>
        <w:t>–</w:t>
      </w:r>
      <w:r>
        <w:rPr>
          <w:spacing w:val="1"/>
        </w:rPr>
        <w:t> </w:t>
      </w:r>
      <w:r>
        <w:rPr/>
        <w:t>1))</w:t>
        <w:tab/>
        <w:t>(Production Approach)</w:t>
      </w:r>
    </w:p>
    <w:p>
      <w:pPr>
        <w:spacing w:line="113" w:lineRule="exact" w:before="0"/>
        <w:ind w:left="-40" w:right="0" w:firstLine="0"/>
        <w:jc w:val="left"/>
        <w:rPr>
          <w:sz w:val="13"/>
        </w:rPr>
      </w:pPr>
      <w:r>
        <w:rPr>
          <w:sz w:val="13"/>
        </w:rPr>
        <w:t>PA</w:t>
      </w:r>
    </w:p>
    <w:p>
      <w:pPr>
        <w:spacing w:after="0" w:line="113" w:lineRule="exact"/>
        <w:jc w:val="left"/>
        <w:rPr>
          <w:sz w:val="13"/>
        </w:rPr>
        <w:sectPr>
          <w:type w:val="continuous"/>
          <w:pgSz w:w="11900" w:h="16840"/>
          <w:pgMar w:top="1060" w:bottom="280" w:left="1300" w:right="1280"/>
          <w:cols w:num="2" w:equalWidth="0">
            <w:col w:w="4478" w:space="40"/>
            <w:col w:w="4802"/>
          </w:cols>
        </w:sectPr>
      </w:pPr>
    </w:p>
    <w:p>
      <w:pPr>
        <w:pStyle w:val="BodyText"/>
        <w:spacing w:line="350" w:lineRule="auto" w:before="102"/>
        <w:ind w:left="119" w:right="2664"/>
      </w:pPr>
      <w:r>
        <w:rPr/>
        <w:t>For the initial year, e.g. </w:t>
      </w:r>
      <w:r>
        <w:rPr>
          <w:i/>
        </w:rPr>
        <w:t>j </w:t>
      </w:r>
      <w:r>
        <w:rPr/>
        <w:t>= 1900, the value of C </w:t>
      </w:r>
      <w:r>
        <w:rPr>
          <w:vertAlign w:val="subscript"/>
        </w:rPr>
        <w:t>HWP</w:t>
      </w:r>
      <w:r>
        <w:rPr>
          <w:vertAlign w:val="baseline"/>
        </w:rPr>
        <w:t> </w:t>
      </w:r>
      <w:r>
        <w:rPr>
          <w:vertAlign w:val="subscript"/>
        </w:rPr>
        <w:t>IU</w:t>
      </w:r>
      <w:r>
        <w:rPr>
          <w:position w:val="-8"/>
          <w:sz w:val="13"/>
          <w:vertAlign w:val="baseline"/>
        </w:rPr>
        <w:t>SCA </w:t>
      </w:r>
      <w:r>
        <w:rPr>
          <w:vertAlign w:val="baseline"/>
        </w:rPr>
        <w:t>= 0 or C </w:t>
      </w:r>
      <w:r>
        <w:rPr>
          <w:vertAlign w:val="subscript"/>
        </w:rPr>
        <w:t>HWP</w:t>
      </w:r>
      <w:r>
        <w:rPr>
          <w:vertAlign w:val="baseline"/>
        </w:rPr>
        <w:t> </w:t>
      </w:r>
      <w:r>
        <w:rPr>
          <w:vertAlign w:val="subscript"/>
        </w:rPr>
        <w:t>IU</w:t>
      </w:r>
      <w:r>
        <w:rPr>
          <w:position w:val="-8"/>
          <w:sz w:val="13"/>
          <w:vertAlign w:val="baseline"/>
        </w:rPr>
        <w:t>PA </w:t>
      </w:r>
      <w:r>
        <w:rPr>
          <w:vertAlign w:val="baseline"/>
        </w:rPr>
        <w:t>= 0 For the current year calculate</w:t>
      </w:r>
    </w:p>
    <w:p>
      <w:pPr>
        <w:spacing w:after="0" w:line="350" w:lineRule="auto"/>
        <w:sectPr>
          <w:type w:val="continuous"/>
          <w:pgSz w:w="11900" w:h="16840"/>
          <w:pgMar w:top="1060" w:bottom="280" w:left="1300" w:right="1280"/>
        </w:sectPr>
      </w:pPr>
    </w:p>
    <w:p>
      <w:pPr>
        <w:spacing w:before="30"/>
        <w:ind w:left="685" w:right="0" w:firstLine="0"/>
        <w:jc w:val="left"/>
        <w:rPr>
          <w:sz w:val="13"/>
        </w:rPr>
      </w:pPr>
      <w:r>
        <w:rPr>
          <w:rFonts w:ascii="Symbol" w:hAnsi="Symbol"/>
          <w:position w:val="3"/>
          <w:sz w:val="20"/>
        </w:rPr>
        <w:t>∆</w:t>
      </w:r>
      <w:r>
        <w:rPr>
          <w:position w:val="3"/>
          <w:sz w:val="20"/>
        </w:rPr>
        <w:t>C</w:t>
      </w:r>
      <w:r>
        <w:rPr>
          <w:sz w:val="13"/>
        </w:rPr>
        <w:t>HWP </w:t>
      </w:r>
      <w:r>
        <w:rPr>
          <w:spacing w:val="-69"/>
          <w:sz w:val="13"/>
        </w:rPr>
        <w:t>IU</w:t>
      </w:r>
    </w:p>
    <w:p>
      <w:pPr>
        <w:pStyle w:val="BodyText"/>
        <w:spacing w:line="228" w:lineRule="exact" w:before="43"/>
        <w:ind w:left="119"/>
      </w:pPr>
      <w:r>
        <w:rPr/>
        <w:t>Or</w:t>
      </w:r>
    </w:p>
    <w:p>
      <w:pPr>
        <w:pStyle w:val="BodyText"/>
        <w:spacing w:before="1"/>
        <w:rPr>
          <w:sz w:val="16"/>
        </w:rPr>
      </w:pPr>
      <w:r>
        <w:rPr/>
        <w:br w:type="column"/>
      </w:r>
      <w:r>
        <w:rPr>
          <w:sz w:val="16"/>
        </w:rPr>
      </w:r>
    </w:p>
    <w:p>
      <w:pPr>
        <w:spacing w:before="1"/>
        <w:ind w:left="-38" w:right="0" w:firstLine="0"/>
        <w:jc w:val="left"/>
        <w:rPr>
          <w:sz w:val="13"/>
        </w:rPr>
      </w:pPr>
      <w:r>
        <w:rPr>
          <w:w w:val="95"/>
          <w:sz w:val="13"/>
        </w:rPr>
        <w:t>SCA</w:t>
      </w:r>
    </w:p>
    <w:p>
      <w:pPr>
        <w:spacing w:before="29"/>
        <w:ind w:left="8" w:right="0" w:firstLine="0"/>
        <w:jc w:val="left"/>
        <w:rPr>
          <w:sz w:val="13"/>
        </w:rPr>
      </w:pPr>
      <w:r>
        <w:rPr/>
        <w:br w:type="column"/>
      </w:r>
      <w:r>
        <w:rPr>
          <w:sz w:val="20"/>
        </w:rPr>
        <w:t>(t) = C</w:t>
      </w:r>
      <w:r>
        <w:rPr>
          <w:position w:val="-2"/>
          <w:sz w:val="13"/>
        </w:rPr>
        <w:t>HWP IU</w:t>
      </w:r>
    </w:p>
    <w:p>
      <w:pPr>
        <w:pStyle w:val="BodyText"/>
        <w:spacing w:before="1"/>
        <w:rPr>
          <w:sz w:val="16"/>
        </w:rPr>
      </w:pPr>
      <w:r>
        <w:rPr/>
        <w:br w:type="column"/>
      </w:r>
      <w:r>
        <w:rPr>
          <w:sz w:val="16"/>
        </w:rPr>
      </w:r>
    </w:p>
    <w:p>
      <w:pPr>
        <w:spacing w:before="1"/>
        <w:ind w:left="-38" w:right="0" w:firstLine="0"/>
        <w:jc w:val="left"/>
        <w:rPr>
          <w:sz w:val="13"/>
        </w:rPr>
      </w:pPr>
      <w:r>
        <w:rPr>
          <w:sz w:val="13"/>
        </w:rPr>
        <w:t>SCA</w:t>
      </w:r>
    </w:p>
    <w:p>
      <w:pPr>
        <w:pStyle w:val="ListParagraph"/>
        <w:numPr>
          <w:ilvl w:val="0"/>
          <w:numId w:val="113"/>
        </w:numPr>
        <w:tabs>
          <w:tab w:pos="232" w:val="left" w:leader="none"/>
        </w:tabs>
        <w:spacing w:line="240" w:lineRule="auto" w:before="29" w:after="0"/>
        <w:ind w:left="231" w:right="0" w:hanging="223"/>
        <w:jc w:val="left"/>
        <w:rPr>
          <w:sz w:val="13"/>
        </w:rPr>
      </w:pPr>
      <w:r>
        <w:rPr>
          <w:w w:val="99"/>
          <w:sz w:val="20"/>
        </w:rPr>
        <w:br w:type="column"/>
      </w:r>
      <w:r>
        <w:rPr>
          <w:sz w:val="20"/>
        </w:rPr>
        <w:t>– C</w:t>
      </w:r>
      <w:r>
        <w:rPr>
          <w:position w:val="-2"/>
          <w:sz w:val="13"/>
        </w:rPr>
        <w:t>HWP</w:t>
      </w:r>
      <w:r>
        <w:rPr>
          <w:spacing w:val="-1"/>
          <w:position w:val="-2"/>
          <w:sz w:val="13"/>
        </w:rPr>
        <w:t> </w:t>
      </w:r>
      <w:r>
        <w:rPr>
          <w:spacing w:val="-14"/>
          <w:position w:val="-2"/>
          <w:sz w:val="13"/>
        </w:rPr>
        <w:t>IU</w:t>
      </w:r>
    </w:p>
    <w:p>
      <w:pPr>
        <w:pStyle w:val="BodyText"/>
        <w:spacing w:before="1"/>
        <w:rPr>
          <w:sz w:val="16"/>
        </w:rPr>
      </w:pPr>
      <w:r>
        <w:rPr/>
        <w:br w:type="column"/>
      </w:r>
      <w:r>
        <w:rPr>
          <w:sz w:val="16"/>
        </w:rPr>
      </w:r>
    </w:p>
    <w:p>
      <w:pPr>
        <w:spacing w:before="1"/>
        <w:ind w:left="-38" w:right="0" w:firstLine="0"/>
        <w:jc w:val="left"/>
        <w:rPr>
          <w:sz w:val="13"/>
        </w:rPr>
      </w:pPr>
      <w:r>
        <w:rPr>
          <w:w w:val="95"/>
          <w:sz w:val="13"/>
        </w:rPr>
        <w:t>SCA</w:t>
      </w:r>
    </w:p>
    <w:p>
      <w:pPr>
        <w:pStyle w:val="BodyText"/>
        <w:tabs>
          <w:tab w:pos="1395" w:val="left" w:leader="none"/>
        </w:tabs>
        <w:spacing w:before="29"/>
        <w:ind w:left="8"/>
      </w:pPr>
      <w:r>
        <w:rPr/>
        <w:br w:type="column"/>
      </w:r>
      <w:r>
        <w:rPr/>
        <w:t>(t</w:t>
      </w:r>
      <w:r>
        <w:rPr>
          <w:spacing w:val="1"/>
        </w:rPr>
        <w:t> </w:t>
      </w:r>
      <w:r>
        <w:rPr/>
        <w:t>–</w:t>
      </w:r>
      <w:r>
        <w:rPr>
          <w:spacing w:val="1"/>
        </w:rPr>
        <w:t> </w:t>
      </w:r>
      <w:r>
        <w:rPr/>
        <w:t>1)</w:t>
        <w:tab/>
        <w:t>(Stock Change</w:t>
      </w:r>
      <w:r>
        <w:rPr>
          <w:spacing w:val="1"/>
        </w:rPr>
        <w:t> </w:t>
      </w:r>
      <w:r>
        <w:rPr/>
        <w:t>Approach)</w:t>
      </w:r>
    </w:p>
    <w:p>
      <w:pPr>
        <w:spacing w:after="0"/>
        <w:sectPr>
          <w:type w:val="continuous"/>
          <w:pgSz w:w="11900" w:h="16840"/>
          <w:pgMar w:top="1060" w:bottom="280" w:left="1300" w:right="1280"/>
          <w:cols w:num="7" w:equalWidth="0">
            <w:col w:w="1399" w:space="40"/>
            <w:col w:w="215" w:space="39"/>
            <w:col w:w="1081" w:space="39"/>
            <w:col w:w="217" w:space="40"/>
            <w:col w:w="971" w:space="40"/>
            <w:col w:w="215" w:space="39"/>
            <w:col w:w="4985"/>
          </w:cols>
        </w:sectPr>
      </w:pPr>
    </w:p>
    <w:p>
      <w:pPr>
        <w:pStyle w:val="BodyText"/>
        <w:tabs>
          <w:tab w:pos="1590" w:val="left" w:leader="none"/>
          <w:tab w:pos="2022" w:val="left" w:leader="none"/>
          <w:tab w:pos="2991" w:val="left" w:leader="none"/>
          <w:tab w:pos="4170" w:val="left" w:leader="none"/>
          <w:tab w:pos="5730" w:val="left" w:leader="none"/>
        </w:tabs>
        <w:spacing w:line="400" w:lineRule="auto" w:before="14"/>
        <w:ind w:left="119" w:right="1738" w:firstLine="542"/>
      </w:pPr>
      <w:r>
        <w:rPr/>
        <w:pict>
          <v:shape style="position:absolute;margin-left:133.720367pt;margin-top:8.821755pt;width:137.550pt;height:7.2pt;mso-position-horizontal-relative:page;mso-position-vertical-relative:paragraph;z-index:-2441344" type="#_x0000_t202" filled="false" stroked="false">
            <v:textbox inset="0,0,0,0">
              <w:txbxContent>
                <w:p>
                  <w:pPr>
                    <w:tabs>
                      <w:tab w:pos="1401" w:val="left" w:leader="none"/>
                      <w:tab w:pos="2579" w:val="left" w:leader="none"/>
                    </w:tabs>
                    <w:spacing w:line="144" w:lineRule="exact" w:before="0"/>
                    <w:ind w:left="0" w:right="0" w:firstLine="0"/>
                    <w:jc w:val="left"/>
                    <w:rPr>
                      <w:sz w:val="13"/>
                    </w:rPr>
                  </w:pPr>
                  <w:r>
                    <w:rPr>
                      <w:sz w:val="13"/>
                    </w:rPr>
                    <w:t>PA</w:t>
                    <w:tab/>
                    <w:t>PA</w:t>
                    <w:tab/>
                  </w:r>
                  <w:r>
                    <w:rPr>
                      <w:spacing w:val="-8"/>
                      <w:sz w:val="13"/>
                    </w:rPr>
                    <w:t>PA</w:t>
                  </w:r>
                </w:p>
              </w:txbxContent>
            </v:textbox>
            <w10:wrap type="none"/>
          </v:shape>
        </w:pict>
      </w:r>
      <w:r>
        <w:rPr>
          <w:rFonts w:ascii="Symbol" w:hAnsi="Symbol"/>
        </w:rPr>
        <w:t>∆</w:t>
      </w:r>
      <w:r>
        <w:rPr/>
        <w:t>C</w:t>
      </w:r>
      <w:r>
        <w:rPr>
          <w:vertAlign w:val="subscript"/>
        </w:rPr>
        <w:t>HWP</w:t>
      </w:r>
      <w:r>
        <w:rPr>
          <w:spacing w:val="-16"/>
          <w:vertAlign w:val="baseline"/>
        </w:rPr>
        <w:t> </w:t>
      </w:r>
      <w:r>
        <w:rPr>
          <w:vertAlign w:val="subscript"/>
        </w:rPr>
        <w:t>IU</w:t>
      </w:r>
      <w:r>
        <w:rPr>
          <w:vertAlign w:val="baseline"/>
        </w:rPr>
        <w:tab/>
        <w:t>(t)</w:t>
        <w:tab/>
        <w:t>=</w:t>
      </w:r>
      <w:r>
        <w:rPr>
          <w:spacing w:val="-2"/>
          <w:vertAlign w:val="baseline"/>
        </w:rPr>
        <w:t> </w:t>
      </w:r>
      <w:r>
        <w:rPr>
          <w:vertAlign w:val="baseline"/>
        </w:rPr>
        <w:t>C</w:t>
      </w:r>
      <w:r>
        <w:rPr>
          <w:vertAlign w:val="subscript"/>
        </w:rPr>
        <w:t>HWP</w:t>
      </w:r>
      <w:r>
        <w:rPr>
          <w:spacing w:val="-18"/>
          <w:vertAlign w:val="baseline"/>
        </w:rPr>
        <w:t> </w:t>
      </w:r>
      <w:r>
        <w:rPr>
          <w:vertAlign w:val="subscript"/>
        </w:rPr>
        <w:t>IU</w:t>
      </w:r>
      <w:r>
        <w:rPr>
          <w:vertAlign w:val="baseline"/>
        </w:rPr>
        <w:tab/>
        <w:t>(t) –</w:t>
      </w:r>
      <w:r>
        <w:rPr>
          <w:spacing w:val="-18"/>
          <w:vertAlign w:val="baseline"/>
        </w:rPr>
        <w:t> </w:t>
      </w:r>
      <w:r>
        <w:rPr>
          <w:vertAlign w:val="baseline"/>
        </w:rPr>
        <w:t>C</w:t>
      </w:r>
      <w:r>
        <w:rPr>
          <w:vertAlign w:val="subscript"/>
        </w:rPr>
        <w:t>HWP</w:t>
      </w:r>
      <w:r>
        <w:rPr>
          <w:spacing w:val="-18"/>
          <w:vertAlign w:val="baseline"/>
        </w:rPr>
        <w:t> </w:t>
      </w:r>
      <w:r>
        <w:rPr>
          <w:vertAlign w:val="subscript"/>
        </w:rPr>
        <w:t>IU</w:t>
      </w:r>
      <w:r>
        <w:rPr>
          <w:vertAlign w:val="baseline"/>
        </w:rPr>
        <w:tab/>
        <w:t>(t – 1)</w:t>
        <w:tab/>
        <w:t>(Production Approach) Where:</w:t>
      </w:r>
    </w:p>
    <w:p>
      <w:pPr>
        <w:pStyle w:val="BodyText"/>
        <w:tabs>
          <w:tab w:pos="1700" w:val="left" w:leader="none"/>
        </w:tabs>
        <w:spacing w:line="206" w:lineRule="exact"/>
        <w:ind w:left="685"/>
      </w:pPr>
      <w:r>
        <w:rPr/>
        <w:pict>
          <v:shape style="position:absolute;margin-left:135.040894pt;margin-top:6.929821pt;width:12.6pt;height:7.2pt;mso-position-horizontal-relative:page;mso-position-vertical-relative:paragraph;z-index:-2441368" type="#_x0000_t202" filled="false" stroked="false">
            <v:textbox inset="0,0,0,0">
              <w:txbxContent>
                <w:p>
                  <w:pPr>
                    <w:spacing w:line="144" w:lineRule="exact" w:before="0"/>
                    <w:ind w:left="0" w:right="0" w:firstLine="0"/>
                    <w:jc w:val="left"/>
                    <w:rPr>
                      <w:sz w:val="13"/>
                    </w:rPr>
                  </w:pPr>
                  <w:r>
                    <w:rPr>
                      <w:spacing w:val="-1"/>
                      <w:sz w:val="13"/>
                    </w:rPr>
                    <w:t>SCA</w:t>
                  </w:r>
                </w:p>
              </w:txbxContent>
            </v:textbox>
            <w10:wrap type="none"/>
          </v:shape>
        </w:pict>
      </w:r>
      <w:r>
        <w:rPr/>
        <w:t>∆C</w:t>
      </w:r>
      <w:r>
        <w:rPr>
          <w:vertAlign w:val="subscript"/>
        </w:rPr>
        <w:t>HWP</w:t>
      </w:r>
      <w:r>
        <w:rPr>
          <w:spacing w:val="-17"/>
          <w:vertAlign w:val="baseline"/>
        </w:rPr>
        <w:t> </w:t>
      </w:r>
      <w:r>
        <w:rPr>
          <w:vertAlign w:val="subscript"/>
        </w:rPr>
        <w:t>IU</w:t>
      </w:r>
      <w:r>
        <w:rPr>
          <w:vertAlign w:val="baseline"/>
        </w:rPr>
        <w:tab/>
        <w:t>= annual change in carbon stored in HWP in use in the country, tonnes C</w:t>
      </w:r>
      <w:r>
        <w:rPr>
          <w:spacing w:val="-11"/>
          <w:vertAlign w:val="baseline"/>
        </w:rPr>
        <w:t> </w:t>
      </w:r>
      <w:r>
        <w:rPr>
          <w:vertAlign w:val="baseline"/>
        </w:rPr>
        <w:t>yr</w:t>
      </w:r>
      <w:r>
        <w:rPr>
          <w:vertAlign w:val="superscript"/>
        </w:rPr>
        <w:t>-1</w:t>
      </w:r>
    </w:p>
    <w:p>
      <w:pPr>
        <w:pStyle w:val="BodyText"/>
        <w:spacing w:line="225" w:lineRule="auto" w:before="188"/>
        <w:ind w:left="1928" w:right="515" w:hanging="1244"/>
      </w:pPr>
      <w:r>
        <w:rPr/>
        <w:t>∆C</w:t>
      </w:r>
      <w:r>
        <w:rPr>
          <w:vertAlign w:val="subscript"/>
        </w:rPr>
        <w:t>HWP</w:t>
      </w:r>
      <w:r>
        <w:rPr>
          <w:vertAlign w:val="baseline"/>
        </w:rPr>
        <w:t> </w:t>
      </w:r>
      <w:r>
        <w:rPr>
          <w:vertAlign w:val="subscript"/>
        </w:rPr>
        <w:t>IU</w:t>
      </w:r>
      <w:r>
        <w:rPr>
          <w:position w:val="-8"/>
          <w:sz w:val="13"/>
          <w:vertAlign w:val="baseline"/>
        </w:rPr>
        <w:t>PA </w:t>
      </w:r>
      <w:r>
        <w:rPr>
          <w:vertAlign w:val="baseline"/>
        </w:rPr>
        <w:t>= annual change in carbon in HWP in use from wood harvested in the country (includes carbon in exports and excludes carbon in imports), tonnes C</w:t>
      </w:r>
      <w:r>
        <w:rPr>
          <w:spacing w:val="-6"/>
          <w:vertAlign w:val="baseline"/>
        </w:rPr>
        <w:t> </w:t>
      </w:r>
      <w:r>
        <w:rPr>
          <w:vertAlign w:val="baseline"/>
        </w:rPr>
        <w:t>yr</w:t>
      </w:r>
      <w:r>
        <w:rPr>
          <w:vertAlign w:val="superscript"/>
        </w:rPr>
        <w:t>-1</w:t>
      </w:r>
    </w:p>
    <w:p>
      <w:pPr>
        <w:pStyle w:val="BodyText"/>
        <w:spacing w:before="124"/>
        <w:ind w:left="1266" w:right="113" w:hanging="581"/>
      </w:pPr>
      <w:r>
        <w:rPr/>
        <w:t>P</w:t>
      </w:r>
      <w:r>
        <w:rPr>
          <w:vertAlign w:val="subscript"/>
        </w:rPr>
        <w:t>A</w:t>
      </w:r>
      <w:r>
        <w:rPr>
          <w:vertAlign w:val="baseline"/>
        </w:rPr>
        <w:t> = current year additions to HWP carbon in use from domestic consumption calculated on the basis of the primary products carbon flux, tonnes C yr</w:t>
      </w:r>
      <w:r>
        <w:rPr>
          <w:vertAlign w:val="superscript"/>
        </w:rPr>
        <w:t>-1</w:t>
      </w:r>
    </w:p>
    <w:p>
      <w:pPr>
        <w:pStyle w:val="BodyText"/>
        <w:spacing w:before="121"/>
        <w:ind w:left="685"/>
      </w:pPr>
      <w:r>
        <w:rPr/>
        <w:t>t = current year</w:t>
      </w:r>
    </w:p>
    <w:p>
      <w:pPr>
        <w:pStyle w:val="BodyText"/>
        <w:spacing w:before="118"/>
        <w:ind w:left="971" w:right="262" w:hanging="286"/>
      </w:pPr>
      <w:r>
        <w:rPr/>
        <w:t>j = year of data, starting in, for example, 1900, which is long enough in the past so that current decay is very small from HWP placed in use in the early years</w:t>
      </w:r>
    </w:p>
    <w:p>
      <w:pPr>
        <w:pStyle w:val="BodyText"/>
        <w:spacing w:before="121"/>
        <w:ind w:left="1084" w:hanging="399"/>
      </w:pPr>
      <w:r>
        <w:rPr/>
        <w:t>f</w:t>
      </w:r>
      <w:r>
        <w:rPr>
          <w:vertAlign w:val="subscript"/>
        </w:rPr>
        <w:t>D</w:t>
      </w:r>
      <w:r>
        <w:rPr>
          <w:vertAlign w:val="baseline"/>
        </w:rPr>
        <w:t> = fraction of HWP carbon in use in a country in a given year that is discarded in that year (discarded products include those that are recycled)</w:t>
      </w:r>
    </w:p>
    <w:p>
      <w:pPr>
        <w:pStyle w:val="BodyText"/>
        <w:spacing w:before="118"/>
        <w:ind w:left="1252" w:right="262" w:hanging="567"/>
      </w:pPr>
      <w:r>
        <w:rPr/>
        <w:t>fH</w:t>
      </w:r>
      <w:r>
        <w:rPr>
          <w:vertAlign w:val="subscript"/>
        </w:rPr>
        <w:t>D</w:t>
      </w:r>
      <w:r>
        <w:rPr>
          <w:vertAlign w:val="baseline"/>
        </w:rPr>
        <w:t> = fraction of HWP carbon in use in a country in a given year (includes exports) that is discarded in that year (discarded products include those that are recycled).</w:t>
      </w:r>
    </w:p>
    <w:p>
      <w:pPr>
        <w:pStyle w:val="BodyText"/>
      </w:pPr>
    </w:p>
    <w:p>
      <w:pPr>
        <w:pStyle w:val="BodyText"/>
      </w:pPr>
    </w:p>
    <w:p>
      <w:pPr>
        <w:pStyle w:val="BodyText"/>
      </w:pPr>
    </w:p>
    <w:p>
      <w:pPr>
        <w:pStyle w:val="BodyText"/>
      </w:pPr>
    </w:p>
    <w:p>
      <w:pPr>
        <w:pStyle w:val="BodyText"/>
        <w:spacing w:before="5"/>
        <w:rPr>
          <w:sz w:val="22"/>
        </w:rPr>
      </w:pPr>
      <w:r>
        <w:rPr/>
        <w:pict>
          <v:line style="position:absolute;mso-position-horizontal-relative:page;mso-position-vertical-relative:paragraph;z-index:12728;mso-wrap-distance-left:0;mso-wrap-distance-right:0" from="70.960999pt,15.124898pt" to="214.960999pt,15.124898pt" stroked="true" strokeweight=".48pt" strokecolor="#000000">
            <v:stroke dashstyle="solid"/>
            <w10:wrap type="topAndBottom"/>
          </v:line>
        </w:pict>
      </w:r>
    </w:p>
    <w:p>
      <w:pPr>
        <w:spacing w:before="153"/>
        <w:ind w:left="119" w:right="0" w:firstLine="0"/>
        <w:jc w:val="left"/>
        <w:rPr>
          <w:sz w:val="18"/>
        </w:rPr>
      </w:pPr>
      <w:r>
        <w:rPr>
          <w:position w:val="8"/>
          <w:sz w:val="12"/>
        </w:rPr>
        <w:t>6 </w:t>
      </w:r>
      <w:r>
        <w:rPr>
          <w:sz w:val="18"/>
        </w:rPr>
        <w:t>The recursive formula above for stock change approach is equivalent to the equation:</w:t>
      </w:r>
    </w:p>
    <w:p>
      <w:pPr>
        <w:spacing w:before="11"/>
        <w:ind w:left="277" w:right="0" w:firstLine="0"/>
        <w:jc w:val="left"/>
        <w:rPr>
          <w:sz w:val="18"/>
        </w:rPr>
      </w:pPr>
      <w:r>
        <w:rPr>
          <w:sz w:val="18"/>
        </w:rPr>
        <w:t>(C</w:t>
      </w:r>
      <w:r>
        <w:rPr>
          <w:sz w:val="18"/>
          <w:vertAlign w:val="subscript"/>
        </w:rPr>
        <w:t>HWP</w:t>
      </w:r>
      <w:r>
        <w:rPr>
          <w:sz w:val="18"/>
          <w:vertAlign w:val="baseline"/>
        </w:rPr>
        <w:t> </w:t>
      </w:r>
      <w:r>
        <w:rPr>
          <w:sz w:val="18"/>
          <w:vertAlign w:val="subscript"/>
        </w:rPr>
        <w:t>IU</w:t>
      </w:r>
      <w:r>
        <w:rPr>
          <w:sz w:val="18"/>
          <w:vertAlign w:val="baseline"/>
        </w:rPr>
        <w:t> </w:t>
      </w:r>
      <w:r>
        <w:rPr>
          <w:position w:val="-8"/>
          <w:sz w:val="12"/>
          <w:vertAlign w:val="baseline"/>
        </w:rPr>
        <w:t>SCA(j) </w:t>
      </w:r>
      <w:r>
        <w:rPr>
          <w:sz w:val="18"/>
          <w:vertAlign w:val="baseline"/>
        </w:rPr>
        <w:t>– C</w:t>
      </w:r>
      <w:r>
        <w:rPr>
          <w:sz w:val="18"/>
          <w:vertAlign w:val="subscript"/>
        </w:rPr>
        <w:t>HWP</w:t>
      </w:r>
      <w:r>
        <w:rPr>
          <w:sz w:val="18"/>
          <w:vertAlign w:val="baseline"/>
        </w:rPr>
        <w:t> </w:t>
      </w:r>
      <w:r>
        <w:rPr>
          <w:sz w:val="18"/>
          <w:vertAlign w:val="subscript"/>
        </w:rPr>
        <w:t>IU</w:t>
      </w:r>
      <w:r>
        <w:rPr>
          <w:sz w:val="18"/>
          <w:vertAlign w:val="baseline"/>
        </w:rPr>
        <w:t> </w:t>
      </w:r>
      <w:r>
        <w:rPr>
          <w:position w:val="-8"/>
          <w:sz w:val="12"/>
          <w:vertAlign w:val="baseline"/>
        </w:rPr>
        <w:t>SCA</w:t>
      </w:r>
      <w:r>
        <w:rPr>
          <w:sz w:val="18"/>
          <w:vertAlign w:val="baseline"/>
        </w:rPr>
        <w:t>(j – 1)) / </w:t>
      </w:r>
      <w:r>
        <w:rPr>
          <w:rFonts w:ascii="Symbol" w:hAnsi="Symbol"/>
          <w:sz w:val="18"/>
          <w:vertAlign w:val="baseline"/>
        </w:rPr>
        <w:t>∆</w:t>
      </w:r>
      <w:r>
        <w:rPr>
          <w:sz w:val="18"/>
          <w:vertAlign w:val="baseline"/>
        </w:rPr>
        <w:t>t = P</w:t>
      </w:r>
      <w:r>
        <w:rPr>
          <w:sz w:val="18"/>
          <w:vertAlign w:val="subscript"/>
        </w:rPr>
        <w:t>A</w:t>
      </w:r>
      <w:r>
        <w:rPr>
          <w:position w:val="-8"/>
          <w:sz w:val="12"/>
          <w:vertAlign w:val="baseline"/>
        </w:rPr>
        <w:t>j </w:t>
      </w:r>
      <w:r>
        <w:rPr>
          <w:sz w:val="18"/>
          <w:vertAlign w:val="baseline"/>
        </w:rPr>
        <w:t>– f</w:t>
      </w:r>
      <w:r>
        <w:rPr>
          <w:sz w:val="18"/>
          <w:vertAlign w:val="subscript"/>
        </w:rPr>
        <w:t>D</w:t>
      </w:r>
      <w:r>
        <w:rPr>
          <w:sz w:val="18"/>
          <w:vertAlign w:val="baseline"/>
        </w:rPr>
        <w:t> ● C</w:t>
      </w:r>
      <w:r>
        <w:rPr>
          <w:sz w:val="18"/>
          <w:vertAlign w:val="subscript"/>
        </w:rPr>
        <w:t>HWP</w:t>
      </w:r>
      <w:r>
        <w:rPr>
          <w:sz w:val="18"/>
          <w:vertAlign w:val="baseline"/>
        </w:rPr>
        <w:t> </w:t>
      </w:r>
      <w:r>
        <w:rPr>
          <w:sz w:val="18"/>
          <w:vertAlign w:val="subscript"/>
        </w:rPr>
        <w:t>IU</w:t>
      </w:r>
      <w:r>
        <w:rPr>
          <w:sz w:val="18"/>
          <w:vertAlign w:val="baseline"/>
        </w:rPr>
        <w:t> </w:t>
      </w:r>
      <w:r>
        <w:rPr>
          <w:position w:val="-8"/>
          <w:sz w:val="12"/>
          <w:vertAlign w:val="baseline"/>
        </w:rPr>
        <w:t>SCA(j)</w:t>
      </w:r>
      <w:r>
        <w:rPr>
          <w:sz w:val="18"/>
          <w:vertAlign w:val="baseline"/>
        </w:rPr>
        <w:t>, where </w:t>
      </w:r>
      <w:r>
        <w:rPr>
          <w:rFonts w:ascii="Symbol" w:hAnsi="Symbol"/>
          <w:sz w:val="18"/>
          <w:vertAlign w:val="baseline"/>
        </w:rPr>
        <w:t>∆</w:t>
      </w:r>
      <w:r>
        <w:rPr>
          <w:sz w:val="18"/>
          <w:vertAlign w:val="baseline"/>
        </w:rPr>
        <w:t>t is 1 yr.</w:t>
      </w:r>
    </w:p>
    <w:p>
      <w:pPr>
        <w:spacing w:before="105"/>
        <w:ind w:left="277" w:right="0" w:hanging="17"/>
        <w:jc w:val="left"/>
        <w:rPr>
          <w:sz w:val="18"/>
        </w:rPr>
      </w:pPr>
      <w:r>
        <w:rPr>
          <w:sz w:val="18"/>
        </w:rPr>
        <w:t>This implicit Euler method (see Burden and Faires, 2001), is used as an approximation of a constant rate of decay from a HWP pool specified by the differential equation dC</w:t>
      </w:r>
      <w:r>
        <w:rPr>
          <w:sz w:val="18"/>
          <w:vertAlign w:val="subscript"/>
        </w:rPr>
        <w:t>HWP</w:t>
      </w:r>
      <w:r>
        <w:rPr>
          <w:sz w:val="18"/>
          <w:vertAlign w:val="baseline"/>
        </w:rPr>
        <w:t> </w:t>
      </w:r>
      <w:r>
        <w:rPr>
          <w:sz w:val="18"/>
          <w:vertAlign w:val="subscript"/>
        </w:rPr>
        <w:t>IU</w:t>
      </w:r>
      <w:r>
        <w:rPr>
          <w:sz w:val="18"/>
          <w:vertAlign w:val="baseline"/>
        </w:rPr>
        <w:t> </w:t>
      </w:r>
      <w:r>
        <w:rPr>
          <w:position w:val="-8"/>
          <w:sz w:val="12"/>
          <w:vertAlign w:val="baseline"/>
        </w:rPr>
        <w:t>SCA</w:t>
      </w:r>
      <w:r>
        <w:rPr>
          <w:sz w:val="18"/>
          <w:vertAlign w:val="baseline"/>
        </w:rPr>
        <w:t>/dt = P</w:t>
      </w:r>
      <w:r>
        <w:rPr>
          <w:sz w:val="18"/>
          <w:vertAlign w:val="subscript"/>
        </w:rPr>
        <w:t>A</w:t>
      </w:r>
      <w:r>
        <w:rPr>
          <w:sz w:val="18"/>
          <w:vertAlign w:val="baseline"/>
        </w:rPr>
        <w:t> – f</w:t>
      </w:r>
      <w:r>
        <w:rPr>
          <w:sz w:val="18"/>
          <w:vertAlign w:val="subscript"/>
        </w:rPr>
        <w:t>D</w:t>
      </w:r>
      <w:r>
        <w:rPr>
          <w:sz w:val="18"/>
          <w:vertAlign w:val="baseline"/>
        </w:rPr>
        <w:t> ● C</w:t>
      </w:r>
      <w:r>
        <w:rPr>
          <w:sz w:val="18"/>
          <w:vertAlign w:val="subscript"/>
        </w:rPr>
        <w:t>HWP</w:t>
      </w:r>
      <w:r>
        <w:rPr>
          <w:sz w:val="18"/>
          <w:vertAlign w:val="baseline"/>
        </w:rPr>
        <w:t> </w:t>
      </w:r>
      <w:r>
        <w:rPr>
          <w:sz w:val="18"/>
          <w:vertAlign w:val="subscript"/>
        </w:rPr>
        <w:t>IU</w:t>
      </w:r>
      <w:r>
        <w:rPr>
          <w:sz w:val="18"/>
          <w:vertAlign w:val="baseline"/>
        </w:rPr>
        <w:t> </w:t>
      </w:r>
      <w:r>
        <w:rPr>
          <w:position w:val="-8"/>
          <w:sz w:val="12"/>
          <w:vertAlign w:val="baseline"/>
        </w:rPr>
        <w:t>SCA</w:t>
      </w:r>
      <w:r>
        <w:rPr>
          <w:sz w:val="18"/>
          <w:vertAlign w:val="baseline"/>
        </w:rPr>
        <w:t>.</w:t>
      </w:r>
    </w:p>
    <w:p>
      <w:pPr>
        <w:spacing w:after="0"/>
        <w:jc w:val="left"/>
        <w:rPr>
          <w:sz w:val="18"/>
        </w:rPr>
        <w:sectPr>
          <w:type w:val="continuous"/>
          <w:pgSz w:w="11900" w:h="16840"/>
          <w:pgMar w:top="1060" w:bottom="280" w:left="1300" w:right="1280"/>
        </w:sectPr>
      </w:pPr>
    </w:p>
    <w:p>
      <w:pPr>
        <w:pStyle w:val="BodyText"/>
        <w:spacing w:before="4"/>
        <w:rPr>
          <w:sz w:val="8"/>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71"/>
        <w:gridCol w:w="2681"/>
        <w:gridCol w:w="1428"/>
        <w:gridCol w:w="1633"/>
      </w:tblGrid>
      <w:tr>
        <w:trPr>
          <w:trHeight w:val="500" w:hRule="atLeast"/>
        </w:trPr>
        <w:tc>
          <w:tcPr>
            <w:tcW w:w="9013" w:type="dxa"/>
            <w:gridSpan w:val="4"/>
            <w:tcBorders>
              <w:bottom w:val="double" w:sz="1" w:space="0" w:color="000000"/>
              <w:right w:val="single" w:sz="6" w:space="0" w:color="000000"/>
            </w:tcBorders>
          </w:tcPr>
          <w:p>
            <w:pPr>
              <w:pStyle w:val="TableParagraph"/>
              <w:spacing w:before="59"/>
              <w:ind w:left="1463" w:right="1450"/>
              <w:jc w:val="center"/>
              <w:rPr>
                <w:b/>
                <w:sz w:val="18"/>
              </w:rPr>
            </w:pPr>
            <w:r>
              <w:rPr>
                <w:b/>
                <w:sz w:val="18"/>
              </w:rPr>
              <w:t>T</w:t>
            </w:r>
            <w:r>
              <w:rPr>
                <w:b/>
                <w:sz w:val="14"/>
              </w:rPr>
              <w:t>ABLE </w:t>
            </w:r>
            <w:r>
              <w:rPr>
                <w:b/>
                <w:sz w:val="18"/>
              </w:rPr>
              <w:t>3a.1.1</w:t>
            </w:r>
          </w:p>
          <w:p>
            <w:pPr>
              <w:pStyle w:val="TableParagraph"/>
              <w:spacing w:line="212" w:lineRule="exact" w:before="2"/>
              <w:ind w:left="1463" w:right="1453"/>
              <w:jc w:val="center"/>
              <w:rPr>
                <w:b/>
                <w:sz w:val="18"/>
              </w:rPr>
            </w:pPr>
            <w:r>
              <w:rPr>
                <w:b/>
                <w:sz w:val="18"/>
              </w:rPr>
              <w:t>FAO D</w:t>
            </w:r>
            <w:r>
              <w:rPr>
                <w:b/>
                <w:sz w:val="14"/>
              </w:rPr>
              <w:t>ATA</w:t>
            </w:r>
            <w:r>
              <w:rPr>
                <w:b/>
                <w:sz w:val="18"/>
              </w:rPr>
              <w:t>, </w:t>
            </w:r>
            <w:r>
              <w:rPr>
                <w:b/>
                <w:sz w:val="14"/>
              </w:rPr>
              <w:t>AND FACTORS TO ESTIMATE </w:t>
            </w:r>
            <w:r>
              <w:rPr>
                <w:b/>
                <w:sz w:val="18"/>
              </w:rPr>
              <w:t>P</w:t>
            </w:r>
            <w:r>
              <w:rPr>
                <w:b/>
                <w:position w:val="-2"/>
                <w:sz w:val="12"/>
              </w:rPr>
              <w:t>A </w:t>
            </w:r>
            <w:r>
              <w:rPr>
                <w:b/>
                <w:sz w:val="14"/>
              </w:rPr>
              <w:t>AND </w:t>
            </w:r>
            <w:r>
              <w:rPr>
                <w:b/>
                <w:sz w:val="18"/>
              </w:rPr>
              <w:t>PH</w:t>
            </w:r>
            <w:r>
              <w:rPr>
                <w:b/>
                <w:position w:val="-2"/>
                <w:sz w:val="12"/>
              </w:rPr>
              <w:t>A </w:t>
            </w:r>
            <w:r>
              <w:rPr>
                <w:b/>
                <w:sz w:val="14"/>
              </w:rPr>
              <w:t>FOR </w:t>
            </w:r>
            <w:r>
              <w:rPr>
                <w:b/>
                <w:sz w:val="18"/>
              </w:rPr>
              <w:t>T</w:t>
            </w:r>
            <w:r>
              <w:rPr>
                <w:b/>
                <w:sz w:val="14"/>
              </w:rPr>
              <w:t>IER </w:t>
            </w:r>
            <w:r>
              <w:rPr>
                <w:b/>
                <w:sz w:val="18"/>
              </w:rPr>
              <w:t>2 </w:t>
            </w:r>
            <w:r>
              <w:rPr>
                <w:b/>
                <w:sz w:val="14"/>
              </w:rPr>
              <w:t>EQUATION </w:t>
            </w:r>
            <w:r>
              <w:rPr>
                <w:b/>
                <w:sz w:val="18"/>
              </w:rPr>
              <w:t>3a.1.1</w:t>
            </w:r>
          </w:p>
        </w:tc>
      </w:tr>
      <w:tr>
        <w:trPr>
          <w:trHeight w:val="820" w:hRule="atLeast"/>
        </w:trPr>
        <w:tc>
          <w:tcPr>
            <w:tcW w:w="3271" w:type="dxa"/>
            <w:tcBorders>
              <w:top w:val="double" w:sz="1" w:space="0" w:color="000000"/>
            </w:tcBorders>
          </w:tcPr>
          <w:p>
            <w:pPr>
              <w:pStyle w:val="TableParagraph"/>
              <w:spacing w:before="100"/>
              <w:ind w:left="246" w:right="219" w:firstLine="660"/>
              <w:rPr>
                <w:b/>
                <w:sz w:val="18"/>
              </w:rPr>
            </w:pPr>
            <w:r>
              <w:rPr>
                <w:b/>
                <w:sz w:val="18"/>
              </w:rPr>
              <w:t>FAO Product Data (Solidwood products data are in m</w:t>
            </w:r>
            <w:r>
              <w:rPr>
                <w:b/>
                <w:sz w:val="18"/>
                <w:vertAlign w:val="superscript"/>
              </w:rPr>
              <w:t>3</w:t>
            </w:r>
            <w:r>
              <w:rPr>
                <w:b/>
                <w:sz w:val="18"/>
                <w:vertAlign w:val="baseline"/>
              </w:rPr>
              <w:t>; pulp and paper products are in Gg )</w:t>
            </w:r>
          </w:p>
        </w:tc>
        <w:tc>
          <w:tcPr>
            <w:tcW w:w="2681" w:type="dxa"/>
            <w:tcBorders>
              <w:top w:val="double" w:sz="1" w:space="0" w:color="000000"/>
            </w:tcBorders>
          </w:tcPr>
          <w:p>
            <w:pPr>
              <w:pStyle w:val="TableParagraph"/>
              <w:spacing w:before="117"/>
              <w:ind w:left="131" w:right="101" w:firstLine="199"/>
              <w:rPr>
                <w:b/>
                <w:sz w:val="18"/>
              </w:rPr>
            </w:pPr>
            <w:r>
              <w:rPr>
                <w:b/>
                <w:sz w:val="18"/>
              </w:rPr>
              <w:t>Default conversion factors (Gg of oven dry product per m</w:t>
            </w:r>
            <w:r>
              <w:rPr>
                <w:b/>
                <w:sz w:val="18"/>
                <w:vertAlign w:val="superscript"/>
              </w:rPr>
              <w:t>3</w:t>
            </w:r>
          </w:p>
          <w:p>
            <w:pPr>
              <w:pStyle w:val="TableParagraph"/>
              <w:spacing w:line="206" w:lineRule="exact"/>
              <w:ind w:left="662"/>
              <w:rPr>
                <w:b/>
                <w:sz w:val="18"/>
              </w:rPr>
            </w:pPr>
            <w:r>
              <w:rPr>
                <w:b/>
                <w:sz w:val="18"/>
              </w:rPr>
              <w:t>or Gg of product)</w:t>
            </w:r>
          </w:p>
        </w:tc>
        <w:tc>
          <w:tcPr>
            <w:tcW w:w="1428" w:type="dxa"/>
            <w:tcBorders>
              <w:top w:val="double" w:sz="1" w:space="0" w:color="000000"/>
            </w:tcBorders>
          </w:tcPr>
          <w:p>
            <w:pPr>
              <w:pStyle w:val="TableParagraph"/>
              <w:spacing w:before="7"/>
              <w:rPr>
                <w:sz w:val="17"/>
              </w:rPr>
            </w:pPr>
          </w:p>
          <w:p>
            <w:pPr>
              <w:pStyle w:val="TableParagraph"/>
              <w:spacing w:before="1"/>
              <w:ind w:left="405" w:right="214" w:hanging="166"/>
              <w:rPr>
                <w:b/>
                <w:sz w:val="18"/>
              </w:rPr>
            </w:pPr>
            <w:r>
              <w:rPr>
                <w:b/>
                <w:sz w:val="18"/>
              </w:rPr>
              <w:t>Time period for data</w:t>
            </w:r>
          </w:p>
        </w:tc>
        <w:tc>
          <w:tcPr>
            <w:tcW w:w="1633" w:type="dxa"/>
            <w:tcBorders>
              <w:top w:val="double" w:sz="1" w:space="0" w:color="000000"/>
              <w:right w:val="single" w:sz="6" w:space="0" w:color="000000"/>
            </w:tcBorders>
          </w:tcPr>
          <w:p>
            <w:pPr>
              <w:pStyle w:val="TableParagraph"/>
              <w:spacing w:before="7"/>
              <w:rPr>
                <w:sz w:val="17"/>
              </w:rPr>
            </w:pPr>
          </w:p>
          <w:p>
            <w:pPr>
              <w:pStyle w:val="TableParagraph"/>
              <w:spacing w:before="1"/>
              <w:ind w:left="271" w:hanging="180"/>
              <w:rPr>
                <w:b/>
                <w:sz w:val="18"/>
              </w:rPr>
            </w:pPr>
            <w:r>
              <w:rPr>
                <w:b/>
                <w:sz w:val="18"/>
              </w:rPr>
              <w:t>Equation variables (see footnotes)</w:t>
            </w:r>
          </w:p>
        </w:tc>
      </w:tr>
      <w:tr>
        <w:trPr>
          <w:trHeight w:val="275" w:hRule="atLeast"/>
        </w:trPr>
        <w:tc>
          <w:tcPr>
            <w:tcW w:w="9013" w:type="dxa"/>
            <w:gridSpan w:val="4"/>
            <w:tcBorders>
              <w:right w:val="single" w:sz="6" w:space="0" w:color="000000"/>
            </w:tcBorders>
          </w:tcPr>
          <w:p>
            <w:pPr>
              <w:pStyle w:val="TableParagraph"/>
              <w:spacing w:before="33"/>
              <w:ind w:left="1463" w:right="1451"/>
              <w:jc w:val="center"/>
              <w:rPr>
                <w:b/>
                <w:sz w:val="18"/>
              </w:rPr>
            </w:pPr>
            <w:r>
              <w:rPr>
                <w:b/>
                <w:sz w:val="18"/>
              </w:rPr>
              <w:t>Roundwood harvest data</w:t>
            </w:r>
          </w:p>
        </w:tc>
      </w:tr>
      <w:tr>
        <w:trPr>
          <w:trHeight w:val="493" w:hRule="atLeast"/>
        </w:trPr>
        <w:tc>
          <w:tcPr>
            <w:tcW w:w="3271" w:type="dxa"/>
          </w:tcPr>
          <w:p>
            <w:pPr>
              <w:pStyle w:val="TableParagraph"/>
              <w:spacing w:before="23"/>
              <w:ind w:left="107"/>
              <w:rPr>
                <w:sz w:val="18"/>
              </w:rPr>
            </w:pPr>
            <w:r>
              <w:rPr>
                <w:sz w:val="18"/>
              </w:rPr>
              <w:t>Roundwood harvest (Coniferous)</w:t>
            </w:r>
          </w:p>
          <w:p>
            <w:pPr>
              <w:pStyle w:val="TableParagraph"/>
              <w:spacing w:line="203" w:lineRule="exact" w:before="41"/>
              <w:ind w:left="107"/>
              <w:rPr>
                <w:sz w:val="18"/>
              </w:rPr>
            </w:pPr>
            <w:r>
              <w:rPr>
                <w:sz w:val="18"/>
              </w:rPr>
              <w:t>Roundwood harvest (Non-Coniferous)</w:t>
            </w:r>
          </w:p>
        </w:tc>
        <w:tc>
          <w:tcPr>
            <w:tcW w:w="2681" w:type="dxa"/>
          </w:tcPr>
          <w:p>
            <w:pPr>
              <w:pStyle w:val="TableParagraph"/>
              <w:spacing w:line="202" w:lineRule="exact"/>
              <w:ind w:left="842"/>
              <w:rPr>
                <w:sz w:val="18"/>
              </w:rPr>
            </w:pPr>
            <w:r>
              <w:rPr>
                <w:sz w:val="18"/>
              </w:rPr>
              <w:t>0.45 (Gg/</w:t>
            </w:r>
            <w:r>
              <w:rPr>
                <w:spacing w:val="-8"/>
                <w:sz w:val="18"/>
              </w:rPr>
              <w:t> </w:t>
            </w:r>
            <w:r>
              <w:rPr>
                <w:sz w:val="18"/>
              </w:rPr>
              <w:t>m</w:t>
            </w:r>
            <w:r>
              <w:rPr>
                <w:sz w:val="18"/>
                <w:vertAlign w:val="superscript"/>
              </w:rPr>
              <w:t>3</w:t>
            </w:r>
            <w:r>
              <w:rPr>
                <w:sz w:val="18"/>
                <w:vertAlign w:val="baseline"/>
              </w:rPr>
              <w:t>)</w:t>
            </w:r>
          </w:p>
          <w:p>
            <w:pPr>
              <w:pStyle w:val="TableParagraph"/>
              <w:spacing w:before="59"/>
              <w:ind w:left="842"/>
              <w:rPr>
                <w:sz w:val="18"/>
              </w:rPr>
            </w:pPr>
            <w:r>
              <w:rPr>
                <w:sz w:val="18"/>
              </w:rPr>
              <w:t>0.56 (Gg/</w:t>
            </w:r>
            <w:r>
              <w:rPr>
                <w:spacing w:val="-8"/>
                <w:sz w:val="18"/>
              </w:rPr>
              <w:t> </w:t>
            </w:r>
            <w:r>
              <w:rPr>
                <w:sz w:val="18"/>
              </w:rPr>
              <w:t>m</w:t>
            </w:r>
            <w:r>
              <w:rPr>
                <w:sz w:val="18"/>
                <w:vertAlign w:val="superscript"/>
              </w:rPr>
              <w:t>3</w:t>
            </w:r>
            <w:r>
              <w:rPr>
                <w:sz w:val="18"/>
                <w:vertAlign w:val="baseline"/>
              </w:rPr>
              <w:t>)</w:t>
            </w:r>
          </w:p>
        </w:tc>
        <w:tc>
          <w:tcPr>
            <w:tcW w:w="1428" w:type="dxa"/>
          </w:tcPr>
          <w:p>
            <w:pPr>
              <w:pStyle w:val="TableParagraph"/>
              <w:spacing w:before="103"/>
              <w:ind w:left="282" w:right="270"/>
              <w:jc w:val="center"/>
              <w:rPr>
                <w:sz w:val="18"/>
              </w:rPr>
            </w:pPr>
            <w:r>
              <w:rPr>
                <w:sz w:val="18"/>
              </w:rPr>
              <w:t>1961-2000</w:t>
            </w:r>
          </w:p>
        </w:tc>
        <w:tc>
          <w:tcPr>
            <w:tcW w:w="1633" w:type="dxa"/>
            <w:tcBorders>
              <w:right w:val="single" w:sz="6" w:space="0" w:color="000000"/>
            </w:tcBorders>
          </w:tcPr>
          <w:p>
            <w:pPr>
              <w:pStyle w:val="TableParagraph"/>
              <w:spacing w:before="103"/>
              <w:ind w:right="29"/>
              <w:jc w:val="center"/>
              <w:rPr>
                <w:sz w:val="18"/>
              </w:rPr>
            </w:pPr>
            <w:r>
              <w:rPr>
                <w:sz w:val="18"/>
              </w:rPr>
              <w:t>H</w:t>
            </w:r>
          </w:p>
        </w:tc>
      </w:tr>
      <w:tr>
        <w:trPr>
          <w:trHeight w:val="273" w:hRule="atLeast"/>
        </w:trPr>
        <w:tc>
          <w:tcPr>
            <w:tcW w:w="9013" w:type="dxa"/>
            <w:gridSpan w:val="4"/>
            <w:tcBorders>
              <w:right w:val="single" w:sz="6" w:space="0" w:color="000000"/>
            </w:tcBorders>
          </w:tcPr>
          <w:p>
            <w:pPr>
              <w:pStyle w:val="TableParagraph"/>
              <w:spacing w:before="33"/>
              <w:ind w:left="1463" w:right="1452"/>
              <w:jc w:val="center"/>
              <w:rPr>
                <w:b/>
                <w:sz w:val="18"/>
              </w:rPr>
            </w:pPr>
            <w:r>
              <w:rPr>
                <w:b/>
                <w:sz w:val="18"/>
              </w:rPr>
              <w:t>Solidwood products data</w:t>
            </w:r>
          </w:p>
        </w:tc>
      </w:tr>
      <w:tr>
        <w:trPr>
          <w:trHeight w:val="1125" w:hRule="atLeast"/>
        </w:trPr>
        <w:tc>
          <w:tcPr>
            <w:tcW w:w="3271" w:type="dxa"/>
            <w:vMerge w:val="restart"/>
          </w:tcPr>
          <w:p>
            <w:pPr>
              <w:pStyle w:val="TableParagraph"/>
              <w:spacing w:line="259" w:lineRule="auto"/>
              <w:ind w:left="107" w:right="1076"/>
              <w:rPr>
                <w:sz w:val="18"/>
              </w:rPr>
            </w:pPr>
            <w:r>
              <w:rPr>
                <w:sz w:val="18"/>
              </w:rPr>
              <w:t>Saw wood  (Coniferous) Saw wood (Non Coniferous) Veneer</w:t>
            </w:r>
            <w:r>
              <w:rPr>
                <w:spacing w:val="-1"/>
                <w:sz w:val="18"/>
              </w:rPr>
              <w:t> </w:t>
            </w:r>
            <w:r>
              <w:rPr>
                <w:sz w:val="18"/>
              </w:rPr>
              <w:t>sheets</w:t>
            </w:r>
          </w:p>
          <w:p>
            <w:pPr>
              <w:pStyle w:val="TableParagraph"/>
              <w:spacing w:line="261" w:lineRule="auto" w:before="6"/>
              <w:ind w:left="107" w:right="1984"/>
              <w:rPr>
                <w:sz w:val="18"/>
              </w:rPr>
            </w:pPr>
            <w:r>
              <w:rPr>
                <w:sz w:val="18"/>
              </w:rPr>
              <w:t>Plywood Particle</w:t>
            </w:r>
            <w:r>
              <w:rPr>
                <w:spacing w:val="6"/>
                <w:sz w:val="18"/>
              </w:rPr>
              <w:t> </w:t>
            </w:r>
            <w:r>
              <w:rPr>
                <w:spacing w:val="-4"/>
                <w:sz w:val="18"/>
              </w:rPr>
              <w:t>board</w:t>
            </w:r>
          </w:p>
          <w:p>
            <w:pPr>
              <w:pStyle w:val="TableParagraph"/>
              <w:spacing w:line="264" w:lineRule="auto" w:before="7"/>
              <w:ind w:left="107" w:right="1409"/>
              <w:rPr>
                <w:sz w:val="18"/>
              </w:rPr>
            </w:pPr>
            <w:r>
              <w:rPr>
                <w:sz w:val="18"/>
              </w:rPr>
              <w:t>Fibreboard Compressed Hardboard</w:t>
            </w:r>
          </w:p>
          <w:p>
            <w:pPr>
              <w:pStyle w:val="TableParagraph"/>
              <w:spacing w:line="196" w:lineRule="exact"/>
              <w:ind w:left="107"/>
              <w:rPr>
                <w:sz w:val="18"/>
              </w:rPr>
            </w:pPr>
            <w:r>
              <w:rPr>
                <w:sz w:val="18"/>
              </w:rPr>
              <w:t>MDF</w:t>
            </w:r>
          </w:p>
        </w:tc>
        <w:tc>
          <w:tcPr>
            <w:tcW w:w="2681" w:type="dxa"/>
            <w:vMerge w:val="restart"/>
          </w:tcPr>
          <w:p>
            <w:pPr>
              <w:pStyle w:val="TableParagraph"/>
              <w:spacing w:line="207" w:lineRule="exact"/>
              <w:ind w:left="841"/>
              <w:rPr>
                <w:sz w:val="18"/>
              </w:rPr>
            </w:pPr>
            <w:r>
              <w:rPr>
                <w:sz w:val="18"/>
              </w:rPr>
              <w:t>0.45 (Gg/</w:t>
            </w:r>
            <w:r>
              <w:rPr>
                <w:spacing w:val="-8"/>
                <w:sz w:val="18"/>
              </w:rPr>
              <w:t> </w:t>
            </w:r>
            <w:r>
              <w:rPr>
                <w:sz w:val="18"/>
              </w:rPr>
              <w:t>m</w:t>
            </w:r>
            <w:r>
              <w:rPr>
                <w:sz w:val="18"/>
                <w:vertAlign w:val="superscript"/>
              </w:rPr>
              <w:t>3</w:t>
            </w:r>
            <w:r>
              <w:rPr>
                <w:sz w:val="18"/>
                <w:vertAlign w:val="baseline"/>
              </w:rPr>
              <w:t>)</w:t>
            </w:r>
          </w:p>
          <w:p>
            <w:pPr>
              <w:pStyle w:val="TableParagraph"/>
              <w:spacing w:before="16"/>
              <w:ind w:left="841"/>
              <w:rPr>
                <w:sz w:val="18"/>
              </w:rPr>
            </w:pPr>
            <w:r>
              <w:rPr>
                <w:sz w:val="18"/>
              </w:rPr>
              <w:t>0.56 (Gg/</w:t>
            </w:r>
            <w:r>
              <w:rPr>
                <w:spacing w:val="-8"/>
                <w:sz w:val="18"/>
              </w:rPr>
              <w:t> </w:t>
            </w:r>
            <w:r>
              <w:rPr>
                <w:sz w:val="18"/>
              </w:rPr>
              <w:t>m</w:t>
            </w:r>
            <w:r>
              <w:rPr>
                <w:sz w:val="18"/>
                <w:vertAlign w:val="superscript"/>
              </w:rPr>
              <w:t>3</w:t>
            </w:r>
            <w:r>
              <w:rPr>
                <w:sz w:val="18"/>
                <w:vertAlign w:val="baseline"/>
              </w:rPr>
              <w:t>)</w:t>
            </w:r>
          </w:p>
          <w:p>
            <w:pPr>
              <w:pStyle w:val="TableParagraph"/>
              <w:spacing w:before="19"/>
              <w:ind w:left="841"/>
              <w:rPr>
                <w:sz w:val="18"/>
              </w:rPr>
            </w:pPr>
            <w:r>
              <w:rPr>
                <w:sz w:val="18"/>
              </w:rPr>
              <w:t>0.59 (Gg/</w:t>
            </w:r>
            <w:r>
              <w:rPr>
                <w:spacing w:val="-7"/>
                <w:sz w:val="18"/>
              </w:rPr>
              <w:t> </w:t>
            </w:r>
            <w:r>
              <w:rPr>
                <w:sz w:val="18"/>
              </w:rPr>
              <w:t>m</w:t>
            </w:r>
            <w:r>
              <w:rPr>
                <w:sz w:val="18"/>
                <w:vertAlign w:val="superscript"/>
              </w:rPr>
              <w:t>3</w:t>
            </w:r>
            <w:r>
              <w:rPr>
                <w:sz w:val="18"/>
                <w:vertAlign w:val="baseline"/>
              </w:rPr>
              <w:t>)</w:t>
            </w:r>
          </w:p>
          <w:p>
            <w:pPr>
              <w:pStyle w:val="TableParagraph"/>
              <w:spacing w:before="21"/>
              <w:ind w:left="841"/>
              <w:rPr>
                <w:sz w:val="18"/>
              </w:rPr>
            </w:pPr>
            <w:r>
              <w:rPr>
                <w:sz w:val="18"/>
              </w:rPr>
              <w:t>0.48 (Gg/</w:t>
            </w:r>
            <w:r>
              <w:rPr>
                <w:spacing w:val="-6"/>
                <w:sz w:val="18"/>
              </w:rPr>
              <w:t> </w:t>
            </w:r>
            <w:r>
              <w:rPr>
                <w:sz w:val="18"/>
              </w:rPr>
              <w:t>m</w:t>
            </w:r>
            <w:r>
              <w:rPr>
                <w:sz w:val="18"/>
                <w:vertAlign w:val="superscript"/>
              </w:rPr>
              <w:t>3</w:t>
            </w:r>
            <w:r>
              <w:rPr>
                <w:sz w:val="18"/>
                <w:vertAlign w:val="baseline"/>
              </w:rPr>
              <w:t>)</w:t>
            </w:r>
          </w:p>
          <w:p>
            <w:pPr>
              <w:pStyle w:val="TableParagraph"/>
              <w:spacing w:before="18"/>
              <w:ind w:left="842"/>
              <w:rPr>
                <w:sz w:val="18"/>
              </w:rPr>
            </w:pPr>
            <w:r>
              <w:rPr>
                <w:sz w:val="18"/>
              </w:rPr>
              <w:t>0.26 (Gg/</w:t>
            </w:r>
            <w:r>
              <w:rPr>
                <w:spacing w:val="-9"/>
                <w:sz w:val="18"/>
              </w:rPr>
              <w:t> </w:t>
            </w:r>
            <w:r>
              <w:rPr>
                <w:sz w:val="18"/>
              </w:rPr>
              <w:t>m</w:t>
            </w:r>
            <w:r>
              <w:rPr>
                <w:sz w:val="18"/>
                <w:vertAlign w:val="superscript"/>
              </w:rPr>
              <w:t>3</w:t>
            </w:r>
            <w:r>
              <w:rPr>
                <w:sz w:val="18"/>
                <w:vertAlign w:val="baseline"/>
              </w:rPr>
              <w:t>)</w:t>
            </w:r>
          </w:p>
          <w:p>
            <w:pPr>
              <w:pStyle w:val="TableParagraph"/>
              <w:spacing w:before="26"/>
              <w:ind w:left="842"/>
              <w:rPr>
                <w:sz w:val="18"/>
              </w:rPr>
            </w:pPr>
            <w:r>
              <w:rPr>
                <w:sz w:val="18"/>
              </w:rPr>
              <w:t>1.02 (Gg/</w:t>
            </w:r>
            <w:r>
              <w:rPr>
                <w:spacing w:val="-9"/>
                <w:sz w:val="18"/>
              </w:rPr>
              <w:t> </w:t>
            </w:r>
            <w:r>
              <w:rPr>
                <w:sz w:val="18"/>
              </w:rPr>
              <w:t>m</w:t>
            </w:r>
            <w:r>
              <w:rPr>
                <w:sz w:val="18"/>
                <w:vertAlign w:val="superscript"/>
              </w:rPr>
              <w:t>3</w:t>
            </w:r>
            <w:r>
              <w:rPr>
                <w:sz w:val="18"/>
                <w:vertAlign w:val="baseline"/>
              </w:rPr>
              <w:t>)</w:t>
            </w:r>
          </w:p>
          <w:p>
            <w:pPr>
              <w:pStyle w:val="TableParagraph"/>
              <w:spacing w:before="21"/>
              <w:ind w:left="841"/>
              <w:rPr>
                <w:sz w:val="18"/>
              </w:rPr>
            </w:pPr>
            <w:r>
              <w:rPr>
                <w:sz w:val="18"/>
              </w:rPr>
              <w:t>1.02 (Gg/</w:t>
            </w:r>
            <w:r>
              <w:rPr>
                <w:spacing w:val="-6"/>
                <w:sz w:val="18"/>
              </w:rPr>
              <w:t> </w:t>
            </w:r>
            <w:r>
              <w:rPr>
                <w:sz w:val="18"/>
              </w:rPr>
              <w:t>m</w:t>
            </w:r>
            <w:r>
              <w:rPr>
                <w:sz w:val="18"/>
                <w:vertAlign w:val="superscript"/>
              </w:rPr>
              <w:t>3</w:t>
            </w:r>
            <w:r>
              <w:rPr>
                <w:sz w:val="18"/>
                <w:vertAlign w:val="baseline"/>
              </w:rPr>
              <w:t>)</w:t>
            </w:r>
          </w:p>
          <w:p>
            <w:pPr>
              <w:pStyle w:val="TableParagraph"/>
              <w:spacing w:line="198" w:lineRule="exact" w:before="19"/>
              <w:ind w:left="842"/>
              <w:rPr>
                <w:sz w:val="18"/>
              </w:rPr>
            </w:pPr>
            <w:r>
              <w:rPr>
                <w:sz w:val="18"/>
              </w:rPr>
              <w:t>0.50 (Gg/</w:t>
            </w:r>
            <w:r>
              <w:rPr>
                <w:spacing w:val="-8"/>
                <w:sz w:val="18"/>
              </w:rPr>
              <w:t> </w:t>
            </w:r>
            <w:r>
              <w:rPr>
                <w:sz w:val="18"/>
              </w:rPr>
              <w:t>m</w:t>
            </w:r>
            <w:r>
              <w:rPr>
                <w:sz w:val="18"/>
                <w:vertAlign w:val="superscript"/>
              </w:rPr>
              <w:t>3</w:t>
            </w:r>
            <w:r>
              <w:rPr>
                <w:sz w:val="18"/>
                <w:vertAlign w:val="baseline"/>
              </w:rPr>
              <w:t>)</w:t>
            </w:r>
          </w:p>
        </w:tc>
        <w:tc>
          <w:tcPr>
            <w:tcW w:w="1428" w:type="dxa"/>
          </w:tcPr>
          <w:p>
            <w:pPr>
              <w:pStyle w:val="TableParagraph"/>
              <w:rPr>
                <w:sz w:val="20"/>
              </w:rPr>
            </w:pPr>
          </w:p>
          <w:p>
            <w:pPr>
              <w:pStyle w:val="TableParagraph"/>
              <w:rPr>
                <w:sz w:val="19"/>
              </w:rPr>
            </w:pPr>
          </w:p>
          <w:p>
            <w:pPr>
              <w:pStyle w:val="TableParagraph"/>
              <w:ind w:left="282" w:right="270"/>
              <w:jc w:val="center"/>
              <w:rPr>
                <w:sz w:val="18"/>
              </w:rPr>
            </w:pPr>
            <w:r>
              <w:rPr>
                <w:sz w:val="18"/>
              </w:rPr>
              <w:t>1961-2000</w:t>
            </w:r>
          </w:p>
        </w:tc>
        <w:tc>
          <w:tcPr>
            <w:tcW w:w="1633" w:type="dxa"/>
            <w:vMerge w:val="restart"/>
            <w:tcBorders>
              <w:right w:val="single" w:sz="6" w:space="0" w:color="000000"/>
            </w:tcBorders>
          </w:tcPr>
          <w:p>
            <w:pPr>
              <w:pStyle w:val="TableParagraph"/>
              <w:rPr>
                <w:sz w:val="22"/>
              </w:rPr>
            </w:pPr>
          </w:p>
          <w:p>
            <w:pPr>
              <w:pStyle w:val="TableParagraph"/>
              <w:spacing w:before="8"/>
              <w:rPr>
                <w:sz w:val="19"/>
              </w:rPr>
            </w:pPr>
          </w:p>
          <w:p>
            <w:pPr>
              <w:pStyle w:val="TableParagraph"/>
              <w:ind w:left="227" w:right="211" w:firstLine="2"/>
              <w:jc w:val="both"/>
              <w:rPr>
                <w:sz w:val="18"/>
              </w:rPr>
            </w:pPr>
            <w:r>
              <w:rPr>
                <w:sz w:val="18"/>
              </w:rPr>
              <w:t>P</w:t>
            </w:r>
            <w:r>
              <w:rPr>
                <w:sz w:val="18"/>
                <w:vertAlign w:val="subscript"/>
              </w:rPr>
              <w:t>DP</w:t>
            </w:r>
            <w:r>
              <w:rPr>
                <w:sz w:val="18"/>
                <w:vertAlign w:val="baseline"/>
              </w:rPr>
              <w:t> (solidwood) P</w:t>
            </w:r>
            <w:r>
              <w:rPr>
                <w:sz w:val="18"/>
                <w:vertAlign w:val="subscript"/>
              </w:rPr>
              <w:t>IM</w:t>
            </w:r>
            <w:r>
              <w:rPr>
                <w:sz w:val="18"/>
                <w:vertAlign w:val="baseline"/>
              </w:rPr>
              <w:t> (solidwood) P</w:t>
            </w:r>
            <w:r>
              <w:rPr>
                <w:sz w:val="18"/>
                <w:vertAlign w:val="subscript"/>
              </w:rPr>
              <w:t>EX</w:t>
            </w:r>
            <w:r>
              <w:rPr>
                <w:sz w:val="18"/>
                <w:vertAlign w:val="baseline"/>
              </w:rPr>
              <w:t> (solidwood)</w:t>
            </w:r>
          </w:p>
        </w:tc>
      </w:tr>
      <w:tr>
        <w:trPr>
          <w:trHeight w:val="217" w:hRule="atLeast"/>
        </w:trPr>
        <w:tc>
          <w:tcPr>
            <w:tcW w:w="3271" w:type="dxa"/>
            <w:vMerge/>
            <w:tcBorders>
              <w:top w:val="nil"/>
            </w:tcBorders>
          </w:tcPr>
          <w:p>
            <w:pPr>
              <w:rPr>
                <w:sz w:val="2"/>
                <w:szCs w:val="2"/>
              </w:rPr>
            </w:pPr>
          </w:p>
        </w:tc>
        <w:tc>
          <w:tcPr>
            <w:tcW w:w="2681" w:type="dxa"/>
            <w:vMerge/>
            <w:tcBorders>
              <w:top w:val="nil"/>
            </w:tcBorders>
          </w:tcPr>
          <w:p>
            <w:pPr>
              <w:rPr>
                <w:sz w:val="2"/>
                <w:szCs w:val="2"/>
              </w:rPr>
            </w:pPr>
          </w:p>
        </w:tc>
        <w:tc>
          <w:tcPr>
            <w:tcW w:w="1428" w:type="dxa"/>
          </w:tcPr>
          <w:p>
            <w:pPr>
              <w:pStyle w:val="TableParagraph"/>
              <w:spacing w:line="198" w:lineRule="exact"/>
              <w:ind w:left="282" w:right="271"/>
              <w:jc w:val="center"/>
              <w:rPr>
                <w:sz w:val="18"/>
              </w:rPr>
            </w:pPr>
            <w:r>
              <w:rPr>
                <w:sz w:val="18"/>
              </w:rPr>
              <w:t>1961-1994</w:t>
            </w:r>
          </w:p>
        </w:tc>
        <w:tc>
          <w:tcPr>
            <w:tcW w:w="1633" w:type="dxa"/>
            <w:vMerge/>
            <w:tcBorders>
              <w:top w:val="nil"/>
              <w:right w:val="single" w:sz="6" w:space="0" w:color="000000"/>
            </w:tcBorders>
          </w:tcPr>
          <w:p>
            <w:pPr>
              <w:rPr>
                <w:sz w:val="2"/>
                <w:szCs w:val="2"/>
              </w:rPr>
            </w:pPr>
          </w:p>
        </w:tc>
      </w:tr>
      <w:tr>
        <w:trPr>
          <w:trHeight w:val="443" w:hRule="atLeast"/>
        </w:trPr>
        <w:tc>
          <w:tcPr>
            <w:tcW w:w="3271" w:type="dxa"/>
            <w:vMerge/>
            <w:tcBorders>
              <w:top w:val="nil"/>
            </w:tcBorders>
          </w:tcPr>
          <w:p>
            <w:pPr>
              <w:rPr>
                <w:sz w:val="2"/>
                <w:szCs w:val="2"/>
              </w:rPr>
            </w:pPr>
          </w:p>
        </w:tc>
        <w:tc>
          <w:tcPr>
            <w:tcW w:w="2681" w:type="dxa"/>
            <w:vMerge/>
            <w:tcBorders>
              <w:top w:val="nil"/>
            </w:tcBorders>
          </w:tcPr>
          <w:p>
            <w:pPr>
              <w:rPr>
                <w:sz w:val="2"/>
                <w:szCs w:val="2"/>
              </w:rPr>
            </w:pPr>
          </w:p>
        </w:tc>
        <w:tc>
          <w:tcPr>
            <w:tcW w:w="1428" w:type="dxa"/>
          </w:tcPr>
          <w:p>
            <w:pPr>
              <w:pStyle w:val="TableParagraph"/>
              <w:spacing w:before="107"/>
              <w:ind w:left="282" w:right="270"/>
              <w:jc w:val="center"/>
              <w:rPr>
                <w:sz w:val="18"/>
              </w:rPr>
            </w:pPr>
            <w:r>
              <w:rPr>
                <w:sz w:val="18"/>
              </w:rPr>
              <w:t>1995-2000</w:t>
            </w:r>
          </w:p>
        </w:tc>
        <w:tc>
          <w:tcPr>
            <w:tcW w:w="1633" w:type="dxa"/>
            <w:vMerge/>
            <w:tcBorders>
              <w:top w:val="nil"/>
              <w:right w:val="single" w:sz="6" w:space="0" w:color="000000"/>
            </w:tcBorders>
          </w:tcPr>
          <w:p>
            <w:pPr>
              <w:rPr>
                <w:sz w:val="2"/>
                <w:szCs w:val="2"/>
              </w:rPr>
            </w:pPr>
          </w:p>
        </w:tc>
      </w:tr>
      <w:tr>
        <w:trPr>
          <w:trHeight w:val="273" w:hRule="atLeast"/>
        </w:trPr>
        <w:tc>
          <w:tcPr>
            <w:tcW w:w="9013" w:type="dxa"/>
            <w:gridSpan w:val="4"/>
            <w:tcBorders>
              <w:right w:val="single" w:sz="6" w:space="0" w:color="000000"/>
            </w:tcBorders>
          </w:tcPr>
          <w:p>
            <w:pPr>
              <w:pStyle w:val="TableParagraph"/>
              <w:spacing w:before="33"/>
              <w:ind w:left="1463" w:right="1451"/>
              <w:jc w:val="center"/>
              <w:rPr>
                <w:b/>
                <w:sz w:val="18"/>
              </w:rPr>
            </w:pPr>
            <w:r>
              <w:rPr>
                <w:b/>
                <w:sz w:val="18"/>
              </w:rPr>
              <w:t>Pulp, paper and paperboard data</w:t>
            </w:r>
          </w:p>
        </w:tc>
      </w:tr>
      <w:tr>
        <w:trPr>
          <w:trHeight w:val="813" w:hRule="atLeast"/>
        </w:trPr>
        <w:tc>
          <w:tcPr>
            <w:tcW w:w="3271" w:type="dxa"/>
          </w:tcPr>
          <w:p>
            <w:pPr>
              <w:pStyle w:val="TableParagraph"/>
              <w:spacing w:before="2"/>
              <w:rPr>
                <w:sz w:val="24"/>
              </w:rPr>
            </w:pPr>
          </w:p>
          <w:p>
            <w:pPr>
              <w:pStyle w:val="TableParagraph"/>
              <w:ind w:left="107"/>
              <w:rPr>
                <w:sz w:val="18"/>
              </w:rPr>
            </w:pPr>
            <w:r>
              <w:rPr>
                <w:sz w:val="18"/>
              </w:rPr>
              <w:t>Paper and paperboard</w:t>
            </w:r>
          </w:p>
        </w:tc>
        <w:tc>
          <w:tcPr>
            <w:tcW w:w="2681" w:type="dxa"/>
          </w:tcPr>
          <w:p>
            <w:pPr>
              <w:pStyle w:val="TableParagraph"/>
              <w:spacing w:before="2"/>
              <w:rPr>
                <w:sz w:val="24"/>
              </w:rPr>
            </w:pPr>
          </w:p>
          <w:p>
            <w:pPr>
              <w:pStyle w:val="TableParagraph"/>
              <w:ind w:left="854"/>
              <w:rPr>
                <w:sz w:val="18"/>
              </w:rPr>
            </w:pPr>
            <w:r>
              <w:rPr>
                <w:sz w:val="18"/>
              </w:rPr>
              <w:t>0.9 (Gg/ Gg)</w:t>
            </w:r>
          </w:p>
        </w:tc>
        <w:tc>
          <w:tcPr>
            <w:tcW w:w="1428" w:type="dxa"/>
          </w:tcPr>
          <w:p>
            <w:pPr>
              <w:pStyle w:val="TableParagraph"/>
              <w:spacing w:before="2"/>
              <w:rPr>
                <w:sz w:val="24"/>
              </w:rPr>
            </w:pPr>
          </w:p>
          <w:p>
            <w:pPr>
              <w:pStyle w:val="TableParagraph"/>
              <w:ind w:left="282" w:right="271"/>
              <w:jc w:val="center"/>
              <w:rPr>
                <w:sz w:val="18"/>
              </w:rPr>
            </w:pPr>
            <w:r>
              <w:rPr>
                <w:sz w:val="18"/>
              </w:rPr>
              <w:t>1961-2000</w:t>
            </w:r>
          </w:p>
        </w:tc>
        <w:tc>
          <w:tcPr>
            <w:tcW w:w="1633" w:type="dxa"/>
            <w:tcBorders>
              <w:right w:val="single" w:sz="6" w:space="0" w:color="000000"/>
            </w:tcBorders>
          </w:tcPr>
          <w:p>
            <w:pPr>
              <w:pStyle w:val="TableParagraph"/>
              <w:spacing w:before="43"/>
              <w:ind w:left="410" w:hanging="5"/>
              <w:rPr>
                <w:sz w:val="18"/>
              </w:rPr>
            </w:pPr>
            <w:r>
              <w:rPr>
                <w:sz w:val="18"/>
              </w:rPr>
              <w:t>P</w:t>
            </w:r>
            <w:r>
              <w:rPr>
                <w:sz w:val="18"/>
                <w:vertAlign w:val="subscript"/>
              </w:rPr>
              <w:t>DP</w:t>
            </w:r>
            <w:r>
              <w:rPr>
                <w:spacing w:val="-7"/>
                <w:sz w:val="18"/>
                <w:vertAlign w:val="baseline"/>
              </w:rPr>
              <w:t> </w:t>
            </w:r>
            <w:r>
              <w:rPr>
                <w:sz w:val="18"/>
                <w:vertAlign w:val="baseline"/>
              </w:rPr>
              <w:t>(paper)</w:t>
            </w:r>
          </w:p>
          <w:p>
            <w:pPr>
              <w:pStyle w:val="TableParagraph"/>
              <w:spacing w:line="250" w:lineRule="atLeast" w:before="42"/>
              <w:ind w:left="402" w:right="383" w:firstLine="7"/>
              <w:rPr>
                <w:sz w:val="18"/>
              </w:rPr>
            </w:pPr>
            <w:r>
              <w:rPr>
                <w:sz w:val="18"/>
              </w:rPr>
              <w:t>P</w:t>
            </w:r>
            <w:r>
              <w:rPr>
                <w:sz w:val="18"/>
                <w:vertAlign w:val="subscript"/>
              </w:rPr>
              <w:t>IM</w:t>
            </w:r>
            <w:r>
              <w:rPr>
                <w:sz w:val="18"/>
                <w:vertAlign w:val="baseline"/>
              </w:rPr>
              <w:t> (paper) P</w:t>
            </w:r>
            <w:r>
              <w:rPr>
                <w:sz w:val="18"/>
                <w:vertAlign w:val="subscript"/>
              </w:rPr>
              <w:t>EX</w:t>
            </w:r>
            <w:r>
              <w:rPr>
                <w:spacing w:val="-6"/>
                <w:sz w:val="18"/>
                <w:vertAlign w:val="baseline"/>
              </w:rPr>
              <w:t> </w:t>
            </w:r>
            <w:r>
              <w:rPr>
                <w:sz w:val="18"/>
                <w:vertAlign w:val="baseline"/>
              </w:rPr>
              <w:t>(paper)</w:t>
            </w:r>
          </w:p>
        </w:tc>
      </w:tr>
      <w:tr>
        <w:trPr>
          <w:trHeight w:val="753" w:hRule="atLeast"/>
        </w:trPr>
        <w:tc>
          <w:tcPr>
            <w:tcW w:w="3271" w:type="dxa"/>
          </w:tcPr>
          <w:p>
            <w:pPr>
              <w:pStyle w:val="TableParagraph"/>
              <w:spacing w:before="4"/>
              <w:rPr>
                <w:sz w:val="24"/>
              </w:rPr>
            </w:pPr>
          </w:p>
          <w:p>
            <w:pPr>
              <w:pStyle w:val="TableParagraph"/>
              <w:spacing w:line="207" w:lineRule="exact"/>
              <w:ind w:left="107"/>
              <w:rPr>
                <w:sz w:val="18"/>
              </w:rPr>
            </w:pPr>
            <w:r>
              <w:rPr>
                <w:sz w:val="18"/>
              </w:rPr>
              <w:t>Recovered paper</w:t>
            </w:r>
          </w:p>
          <w:p>
            <w:pPr>
              <w:pStyle w:val="TableParagraph"/>
              <w:spacing w:line="207" w:lineRule="exact"/>
              <w:ind w:left="107"/>
              <w:rPr>
                <w:sz w:val="18"/>
              </w:rPr>
            </w:pPr>
            <w:r>
              <w:rPr>
                <w:sz w:val="18"/>
              </w:rPr>
              <w:t>(Values set to zero from 1900 to 1969)</w:t>
            </w:r>
          </w:p>
        </w:tc>
        <w:tc>
          <w:tcPr>
            <w:tcW w:w="2681" w:type="dxa"/>
          </w:tcPr>
          <w:p>
            <w:pPr>
              <w:pStyle w:val="TableParagraph"/>
              <w:spacing w:before="4"/>
              <w:rPr>
                <w:sz w:val="23"/>
              </w:rPr>
            </w:pPr>
          </w:p>
          <w:p>
            <w:pPr>
              <w:pStyle w:val="TableParagraph"/>
              <w:ind w:left="899"/>
              <w:rPr>
                <w:sz w:val="18"/>
              </w:rPr>
            </w:pPr>
            <w:r>
              <w:rPr>
                <w:sz w:val="18"/>
              </w:rPr>
              <w:t>0.9 (Gg/ Gg)</w:t>
            </w:r>
          </w:p>
        </w:tc>
        <w:tc>
          <w:tcPr>
            <w:tcW w:w="1428" w:type="dxa"/>
          </w:tcPr>
          <w:p>
            <w:pPr>
              <w:pStyle w:val="TableParagraph"/>
              <w:spacing w:before="3"/>
              <w:rPr>
                <w:sz w:val="21"/>
              </w:rPr>
            </w:pPr>
          </w:p>
          <w:p>
            <w:pPr>
              <w:pStyle w:val="TableParagraph"/>
              <w:ind w:left="282" w:right="270"/>
              <w:jc w:val="center"/>
              <w:rPr>
                <w:sz w:val="18"/>
              </w:rPr>
            </w:pPr>
            <w:r>
              <w:rPr>
                <w:sz w:val="18"/>
              </w:rPr>
              <w:t>1970-2000</w:t>
            </w:r>
          </w:p>
        </w:tc>
        <w:tc>
          <w:tcPr>
            <w:tcW w:w="1633" w:type="dxa"/>
            <w:tcBorders>
              <w:right w:val="single" w:sz="6" w:space="0" w:color="000000"/>
            </w:tcBorders>
          </w:tcPr>
          <w:p>
            <w:pPr>
              <w:pStyle w:val="TableParagraph"/>
              <w:spacing w:line="283" w:lineRule="auto" w:before="23"/>
              <w:ind w:left="513" w:right="495" w:firstLine="192"/>
              <w:rPr>
                <w:sz w:val="18"/>
              </w:rPr>
            </w:pPr>
            <w:r>
              <w:rPr>
                <w:sz w:val="18"/>
              </w:rPr>
              <w:t>RP IM</w:t>
            </w:r>
            <w:r>
              <w:rPr>
                <w:spacing w:val="1"/>
                <w:sz w:val="18"/>
              </w:rPr>
              <w:t> </w:t>
            </w:r>
            <w:r>
              <w:rPr>
                <w:spacing w:val="-5"/>
                <w:sz w:val="18"/>
              </w:rPr>
              <w:t>(RP)</w:t>
            </w:r>
          </w:p>
          <w:p>
            <w:pPr>
              <w:pStyle w:val="TableParagraph"/>
              <w:spacing w:line="201" w:lineRule="exact" w:before="21"/>
              <w:ind w:left="503"/>
              <w:rPr>
                <w:sz w:val="18"/>
              </w:rPr>
            </w:pPr>
            <w:r>
              <w:rPr>
                <w:sz w:val="18"/>
              </w:rPr>
              <w:t>EX</w:t>
            </w:r>
            <w:r>
              <w:rPr>
                <w:spacing w:val="-1"/>
                <w:sz w:val="18"/>
              </w:rPr>
              <w:t> </w:t>
            </w:r>
            <w:r>
              <w:rPr>
                <w:sz w:val="18"/>
              </w:rPr>
              <w:t>(RP)</w:t>
            </w:r>
          </w:p>
        </w:tc>
      </w:tr>
      <w:tr>
        <w:trPr>
          <w:trHeight w:val="755" w:hRule="atLeast"/>
        </w:trPr>
        <w:tc>
          <w:tcPr>
            <w:tcW w:w="3271" w:type="dxa"/>
          </w:tcPr>
          <w:p>
            <w:pPr>
              <w:pStyle w:val="TableParagraph"/>
              <w:spacing w:before="7"/>
              <w:rPr>
                <w:sz w:val="21"/>
              </w:rPr>
            </w:pPr>
          </w:p>
          <w:p>
            <w:pPr>
              <w:pStyle w:val="TableParagraph"/>
              <w:spacing w:before="1"/>
              <w:ind w:left="107"/>
              <w:rPr>
                <w:sz w:val="18"/>
              </w:rPr>
            </w:pPr>
            <w:r>
              <w:rPr>
                <w:sz w:val="18"/>
              </w:rPr>
              <w:t>Wood pulp</w:t>
            </w:r>
          </w:p>
        </w:tc>
        <w:tc>
          <w:tcPr>
            <w:tcW w:w="2681" w:type="dxa"/>
          </w:tcPr>
          <w:p>
            <w:pPr>
              <w:pStyle w:val="TableParagraph"/>
              <w:spacing w:before="7"/>
              <w:rPr>
                <w:sz w:val="21"/>
              </w:rPr>
            </w:pPr>
          </w:p>
          <w:p>
            <w:pPr>
              <w:pStyle w:val="TableParagraph"/>
              <w:spacing w:before="1"/>
              <w:ind w:left="878"/>
              <w:rPr>
                <w:sz w:val="18"/>
              </w:rPr>
            </w:pPr>
            <w:r>
              <w:rPr>
                <w:sz w:val="18"/>
              </w:rPr>
              <w:t>0.9 (Gg/ Gg)</w:t>
            </w:r>
          </w:p>
        </w:tc>
        <w:tc>
          <w:tcPr>
            <w:tcW w:w="1428" w:type="dxa"/>
          </w:tcPr>
          <w:p>
            <w:pPr>
              <w:pStyle w:val="TableParagraph"/>
              <w:spacing w:before="7"/>
              <w:rPr>
                <w:sz w:val="21"/>
              </w:rPr>
            </w:pPr>
          </w:p>
          <w:p>
            <w:pPr>
              <w:pStyle w:val="TableParagraph"/>
              <w:spacing w:before="1"/>
              <w:ind w:left="282" w:right="271"/>
              <w:jc w:val="center"/>
              <w:rPr>
                <w:sz w:val="18"/>
              </w:rPr>
            </w:pPr>
            <w:r>
              <w:rPr>
                <w:sz w:val="18"/>
              </w:rPr>
              <w:t>1961-2000</w:t>
            </w:r>
          </w:p>
        </w:tc>
        <w:tc>
          <w:tcPr>
            <w:tcW w:w="1633" w:type="dxa"/>
            <w:tcBorders>
              <w:right w:val="single" w:sz="6" w:space="0" w:color="000000"/>
            </w:tcBorders>
          </w:tcPr>
          <w:p>
            <w:pPr>
              <w:pStyle w:val="TableParagraph"/>
              <w:spacing w:line="297" w:lineRule="auto" w:before="23"/>
              <w:ind w:left="486" w:right="470" w:firstLine="194"/>
              <w:rPr>
                <w:sz w:val="18"/>
              </w:rPr>
            </w:pPr>
            <w:r>
              <w:rPr>
                <w:sz w:val="18"/>
              </w:rPr>
              <w:t>WP IM</w:t>
            </w:r>
            <w:r>
              <w:rPr>
                <w:spacing w:val="2"/>
                <w:sz w:val="18"/>
              </w:rPr>
              <w:t> </w:t>
            </w:r>
            <w:r>
              <w:rPr>
                <w:spacing w:val="-5"/>
                <w:sz w:val="18"/>
              </w:rPr>
              <w:t>(WP)</w:t>
            </w:r>
          </w:p>
          <w:p>
            <w:pPr>
              <w:pStyle w:val="TableParagraph"/>
              <w:spacing w:line="199" w:lineRule="exact"/>
              <w:ind w:left="477"/>
              <w:rPr>
                <w:sz w:val="18"/>
              </w:rPr>
            </w:pPr>
            <w:r>
              <w:rPr>
                <w:sz w:val="18"/>
              </w:rPr>
              <w:t>EX (WP)</w:t>
            </w:r>
          </w:p>
        </w:tc>
      </w:tr>
      <w:tr>
        <w:trPr>
          <w:trHeight w:val="501" w:hRule="atLeast"/>
        </w:trPr>
        <w:tc>
          <w:tcPr>
            <w:tcW w:w="3271" w:type="dxa"/>
          </w:tcPr>
          <w:p>
            <w:pPr>
              <w:pStyle w:val="TableParagraph"/>
              <w:spacing w:before="122"/>
              <w:ind w:left="107"/>
              <w:rPr>
                <w:sz w:val="18"/>
              </w:rPr>
            </w:pPr>
            <w:r>
              <w:rPr>
                <w:sz w:val="18"/>
              </w:rPr>
              <w:t>Recovered fibre pulp</w:t>
            </w:r>
          </w:p>
        </w:tc>
        <w:tc>
          <w:tcPr>
            <w:tcW w:w="2681" w:type="dxa"/>
          </w:tcPr>
          <w:p>
            <w:pPr>
              <w:pStyle w:val="TableParagraph"/>
              <w:spacing w:before="122"/>
              <w:ind w:left="879"/>
              <w:rPr>
                <w:sz w:val="18"/>
              </w:rPr>
            </w:pPr>
            <w:r>
              <w:rPr>
                <w:sz w:val="18"/>
              </w:rPr>
              <w:t>0.9 (Gg/ Gg)</w:t>
            </w:r>
          </w:p>
        </w:tc>
        <w:tc>
          <w:tcPr>
            <w:tcW w:w="1428" w:type="dxa"/>
          </w:tcPr>
          <w:p>
            <w:pPr>
              <w:pStyle w:val="TableParagraph"/>
              <w:spacing w:before="122"/>
              <w:ind w:left="282" w:right="269"/>
              <w:jc w:val="center"/>
              <w:rPr>
                <w:sz w:val="18"/>
              </w:rPr>
            </w:pPr>
            <w:r>
              <w:rPr>
                <w:sz w:val="18"/>
              </w:rPr>
              <w:t>1998-2000</w:t>
            </w:r>
          </w:p>
        </w:tc>
        <w:tc>
          <w:tcPr>
            <w:tcW w:w="1633" w:type="dxa"/>
            <w:tcBorders>
              <w:right w:val="single" w:sz="6" w:space="0" w:color="000000"/>
            </w:tcBorders>
          </w:tcPr>
          <w:p>
            <w:pPr>
              <w:pStyle w:val="TableParagraph"/>
              <w:spacing w:before="23"/>
              <w:ind w:left="462"/>
              <w:rPr>
                <w:sz w:val="18"/>
              </w:rPr>
            </w:pPr>
            <w:r>
              <w:rPr>
                <w:sz w:val="18"/>
              </w:rPr>
              <w:t>IM</w:t>
            </w:r>
            <w:r>
              <w:rPr>
                <w:spacing w:val="1"/>
                <w:sz w:val="18"/>
              </w:rPr>
              <w:t> </w:t>
            </w:r>
            <w:r>
              <w:rPr>
                <w:sz w:val="18"/>
              </w:rPr>
              <w:t>(RFP)</w:t>
            </w:r>
          </w:p>
          <w:p>
            <w:pPr>
              <w:pStyle w:val="TableParagraph"/>
              <w:spacing w:line="203" w:lineRule="exact" w:before="48"/>
              <w:ind w:left="453"/>
              <w:rPr>
                <w:sz w:val="18"/>
              </w:rPr>
            </w:pPr>
            <w:r>
              <w:rPr>
                <w:sz w:val="18"/>
              </w:rPr>
              <w:t>EX</w:t>
            </w:r>
            <w:r>
              <w:rPr>
                <w:spacing w:val="-1"/>
                <w:sz w:val="18"/>
              </w:rPr>
              <w:t> </w:t>
            </w:r>
            <w:r>
              <w:rPr>
                <w:sz w:val="18"/>
              </w:rPr>
              <w:t>(RFP)</w:t>
            </w:r>
          </w:p>
        </w:tc>
      </w:tr>
      <w:tr>
        <w:trPr>
          <w:trHeight w:val="753" w:hRule="atLeast"/>
        </w:trPr>
        <w:tc>
          <w:tcPr>
            <w:tcW w:w="3271" w:type="dxa"/>
          </w:tcPr>
          <w:p>
            <w:pPr>
              <w:pStyle w:val="TableParagraph"/>
              <w:spacing w:before="7"/>
              <w:rPr>
                <w:sz w:val="21"/>
              </w:rPr>
            </w:pPr>
          </w:p>
          <w:p>
            <w:pPr>
              <w:pStyle w:val="TableParagraph"/>
              <w:spacing w:before="1"/>
              <w:ind w:left="107"/>
              <w:rPr>
                <w:sz w:val="18"/>
              </w:rPr>
            </w:pPr>
            <w:r>
              <w:rPr>
                <w:sz w:val="18"/>
              </w:rPr>
              <w:t>Other fiber pulp</w:t>
            </w:r>
          </w:p>
        </w:tc>
        <w:tc>
          <w:tcPr>
            <w:tcW w:w="2681" w:type="dxa"/>
          </w:tcPr>
          <w:p>
            <w:pPr>
              <w:pStyle w:val="TableParagraph"/>
              <w:spacing w:before="7"/>
              <w:rPr>
                <w:sz w:val="21"/>
              </w:rPr>
            </w:pPr>
          </w:p>
          <w:p>
            <w:pPr>
              <w:pStyle w:val="TableParagraph"/>
              <w:spacing w:before="1"/>
              <w:ind w:left="854"/>
              <w:rPr>
                <w:sz w:val="18"/>
              </w:rPr>
            </w:pPr>
            <w:r>
              <w:rPr>
                <w:sz w:val="18"/>
              </w:rPr>
              <w:t>0.9 (Gg/ Gg)</w:t>
            </w:r>
          </w:p>
        </w:tc>
        <w:tc>
          <w:tcPr>
            <w:tcW w:w="1428" w:type="dxa"/>
          </w:tcPr>
          <w:p>
            <w:pPr>
              <w:pStyle w:val="TableParagraph"/>
              <w:spacing w:before="7"/>
              <w:rPr>
                <w:sz w:val="21"/>
              </w:rPr>
            </w:pPr>
          </w:p>
          <w:p>
            <w:pPr>
              <w:pStyle w:val="TableParagraph"/>
              <w:spacing w:before="1"/>
              <w:ind w:left="258" w:right="292"/>
              <w:jc w:val="center"/>
              <w:rPr>
                <w:sz w:val="18"/>
              </w:rPr>
            </w:pPr>
            <w:r>
              <w:rPr>
                <w:sz w:val="18"/>
              </w:rPr>
              <w:t>1961-2000</w:t>
            </w:r>
          </w:p>
        </w:tc>
        <w:tc>
          <w:tcPr>
            <w:tcW w:w="1633" w:type="dxa"/>
            <w:tcBorders>
              <w:right w:val="single" w:sz="6" w:space="0" w:color="000000"/>
            </w:tcBorders>
          </w:tcPr>
          <w:p>
            <w:pPr>
              <w:pStyle w:val="TableParagraph"/>
              <w:spacing w:before="23"/>
              <w:ind w:left="650"/>
              <w:rPr>
                <w:sz w:val="18"/>
              </w:rPr>
            </w:pPr>
            <w:r>
              <w:rPr>
                <w:sz w:val="18"/>
              </w:rPr>
              <w:t>OFP</w:t>
            </w:r>
          </w:p>
          <w:p>
            <w:pPr>
              <w:pStyle w:val="TableParagraph"/>
              <w:spacing w:line="250" w:lineRule="atLeast" w:before="5"/>
              <w:ind w:left="448" w:right="417" w:firstLine="9"/>
              <w:rPr>
                <w:sz w:val="18"/>
              </w:rPr>
            </w:pPr>
            <w:r>
              <w:rPr>
                <w:sz w:val="18"/>
              </w:rPr>
              <w:t>IM (OFP) EX (OFP)</w:t>
            </w:r>
          </w:p>
        </w:tc>
      </w:tr>
      <w:tr>
        <w:trPr>
          <w:trHeight w:val="302" w:hRule="atLeast"/>
        </w:trPr>
        <w:tc>
          <w:tcPr>
            <w:tcW w:w="9013" w:type="dxa"/>
            <w:gridSpan w:val="4"/>
            <w:tcBorders>
              <w:right w:val="single" w:sz="6" w:space="0" w:color="000000"/>
            </w:tcBorders>
          </w:tcPr>
          <w:p>
            <w:pPr>
              <w:pStyle w:val="TableParagraph"/>
              <w:spacing w:before="47"/>
              <w:ind w:left="1463" w:right="1449"/>
              <w:jc w:val="center"/>
              <w:rPr>
                <w:b/>
                <w:sz w:val="18"/>
              </w:rPr>
            </w:pPr>
            <w:r>
              <w:rPr>
                <w:b/>
                <w:sz w:val="18"/>
              </w:rPr>
              <w:t>Industrial roundwood data</w:t>
            </w:r>
          </w:p>
        </w:tc>
      </w:tr>
      <w:tr>
        <w:trPr>
          <w:trHeight w:val="587" w:hRule="atLeast"/>
        </w:trPr>
        <w:tc>
          <w:tcPr>
            <w:tcW w:w="3271" w:type="dxa"/>
          </w:tcPr>
          <w:p>
            <w:pPr>
              <w:pStyle w:val="TableParagraph"/>
              <w:spacing w:before="28"/>
              <w:ind w:left="107"/>
              <w:rPr>
                <w:sz w:val="18"/>
              </w:rPr>
            </w:pPr>
            <w:r>
              <w:rPr>
                <w:sz w:val="18"/>
              </w:rPr>
              <w:t>Industrial roundwood (Coniferous)</w:t>
            </w:r>
          </w:p>
          <w:p>
            <w:pPr>
              <w:pStyle w:val="TableParagraph"/>
              <w:spacing w:before="88"/>
              <w:ind w:left="107"/>
              <w:rPr>
                <w:sz w:val="18"/>
              </w:rPr>
            </w:pPr>
            <w:r>
              <w:rPr>
                <w:sz w:val="18"/>
              </w:rPr>
              <w:t>Industrial roundwood (Non-Coniferous)</w:t>
            </w:r>
          </w:p>
        </w:tc>
        <w:tc>
          <w:tcPr>
            <w:tcW w:w="2681" w:type="dxa"/>
          </w:tcPr>
          <w:p>
            <w:pPr>
              <w:pStyle w:val="TableParagraph"/>
              <w:spacing w:before="28"/>
              <w:ind w:left="870"/>
              <w:rPr>
                <w:sz w:val="18"/>
              </w:rPr>
            </w:pPr>
            <w:r>
              <w:rPr>
                <w:sz w:val="18"/>
              </w:rPr>
              <w:t>0.49 Gg/</w:t>
            </w:r>
            <w:r>
              <w:rPr>
                <w:spacing w:val="-7"/>
                <w:sz w:val="18"/>
              </w:rPr>
              <w:t> </w:t>
            </w:r>
            <w:r>
              <w:rPr>
                <w:sz w:val="18"/>
              </w:rPr>
              <w:t>m</w:t>
            </w:r>
            <w:r>
              <w:rPr>
                <w:sz w:val="18"/>
                <w:vertAlign w:val="superscript"/>
              </w:rPr>
              <w:t>3</w:t>
            </w:r>
            <w:r>
              <w:rPr>
                <w:sz w:val="18"/>
                <w:vertAlign w:val="baseline"/>
              </w:rPr>
              <w:t>)</w:t>
            </w:r>
          </w:p>
          <w:p>
            <w:pPr>
              <w:pStyle w:val="TableParagraph"/>
              <w:spacing w:before="88"/>
              <w:ind w:left="869"/>
              <w:rPr>
                <w:sz w:val="18"/>
              </w:rPr>
            </w:pPr>
            <w:r>
              <w:rPr>
                <w:sz w:val="18"/>
              </w:rPr>
              <w:t>0.56 Gg/</w:t>
            </w:r>
            <w:r>
              <w:rPr>
                <w:spacing w:val="-5"/>
                <w:sz w:val="18"/>
              </w:rPr>
              <w:t> </w:t>
            </w:r>
            <w:r>
              <w:rPr>
                <w:sz w:val="18"/>
              </w:rPr>
              <w:t>m</w:t>
            </w:r>
            <w:r>
              <w:rPr>
                <w:sz w:val="18"/>
                <w:vertAlign w:val="superscript"/>
              </w:rPr>
              <w:t>3</w:t>
            </w:r>
            <w:r>
              <w:rPr>
                <w:sz w:val="18"/>
                <w:vertAlign w:val="baseline"/>
              </w:rPr>
              <w:t>)</w:t>
            </w:r>
          </w:p>
        </w:tc>
        <w:tc>
          <w:tcPr>
            <w:tcW w:w="1428" w:type="dxa"/>
          </w:tcPr>
          <w:p>
            <w:pPr>
              <w:pStyle w:val="TableParagraph"/>
              <w:spacing w:before="165"/>
              <w:ind w:left="282" w:right="270"/>
              <w:jc w:val="center"/>
              <w:rPr>
                <w:sz w:val="18"/>
              </w:rPr>
            </w:pPr>
            <w:r>
              <w:rPr>
                <w:sz w:val="18"/>
              </w:rPr>
              <w:t>1961-2000</w:t>
            </w:r>
          </w:p>
        </w:tc>
        <w:tc>
          <w:tcPr>
            <w:tcW w:w="1633" w:type="dxa"/>
            <w:tcBorders>
              <w:right w:val="single" w:sz="6" w:space="0" w:color="000000"/>
            </w:tcBorders>
          </w:tcPr>
          <w:p>
            <w:pPr>
              <w:pStyle w:val="TableParagraph"/>
              <w:spacing w:before="165"/>
              <w:ind w:left="622" w:right="607"/>
              <w:jc w:val="center"/>
              <w:rPr>
                <w:sz w:val="18"/>
              </w:rPr>
            </w:pPr>
            <w:r>
              <w:rPr>
                <w:sz w:val="18"/>
              </w:rPr>
              <w:t>IRW</w:t>
            </w:r>
          </w:p>
        </w:tc>
      </w:tr>
      <w:tr>
        <w:trPr>
          <w:trHeight w:val="765" w:hRule="atLeast"/>
        </w:trPr>
        <w:tc>
          <w:tcPr>
            <w:tcW w:w="3271" w:type="dxa"/>
          </w:tcPr>
          <w:p>
            <w:pPr>
              <w:pStyle w:val="TableParagraph"/>
              <w:spacing w:before="28"/>
              <w:ind w:left="107"/>
              <w:rPr>
                <w:sz w:val="18"/>
              </w:rPr>
            </w:pPr>
            <w:r>
              <w:rPr>
                <w:sz w:val="18"/>
              </w:rPr>
              <w:t>Industrial roundwood (Coniferous)</w:t>
            </w:r>
          </w:p>
          <w:p>
            <w:pPr>
              <w:pStyle w:val="TableParagraph"/>
              <w:spacing w:before="175"/>
              <w:ind w:left="107"/>
              <w:rPr>
                <w:sz w:val="18"/>
              </w:rPr>
            </w:pPr>
            <w:r>
              <w:rPr>
                <w:sz w:val="18"/>
              </w:rPr>
              <w:t>Industrial roundwood (Non-Coniferous)</w:t>
            </w:r>
          </w:p>
        </w:tc>
        <w:tc>
          <w:tcPr>
            <w:tcW w:w="2681" w:type="dxa"/>
          </w:tcPr>
          <w:p>
            <w:pPr>
              <w:pStyle w:val="TableParagraph"/>
              <w:spacing w:before="28"/>
              <w:ind w:left="870"/>
              <w:rPr>
                <w:sz w:val="18"/>
              </w:rPr>
            </w:pPr>
            <w:r>
              <w:rPr>
                <w:sz w:val="18"/>
              </w:rPr>
              <w:t>0.49 Gg/</w:t>
            </w:r>
            <w:r>
              <w:rPr>
                <w:spacing w:val="-7"/>
                <w:sz w:val="18"/>
              </w:rPr>
              <w:t> </w:t>
            </w:r>
            <w:r>
              <w:rPr>
                <w:sz w:val="18"/>
              </w:rPr>
              <w:t>m</w:t>
            </w:r>
            <w:r>
              <w:rPr>
                <w:sz w:val="18"/>
                <w:vertAlign w:val="superscript"/>
              </w:rPr>
              <w:t>3</w:t>
            </w:r>
            <w:r>
              <w:rPr>
                <w:sz w:val="18"/>
                <w:vertAlign w:val="baseline"/>
              </w:rPr>
              <w:t>)</w:t>
            </w:r>
          </w:p>
          <w:p>
            <w:pPr>
              <w:pStyle w:val="TableParagraph"/>
              <w:spacing w:before="175"/>
              <w:ind w:left="869"/>
              <w:rPr>
                <w:sz w:val="18"/>
              </w:rPr>
            </w:pPr>
            <w:r>
              <w:rPr>
                <w:sz w:val="18"/>
              </w:rPr>
              <w:t>0.56 Gg/</w:t>
            </w:r>
            <w:r>
              <w:rPr>
                <w:spacing w:val="-5"/>
                <w:sz w:val="18"/>
              </w:rPr>
              <w:t> </w:t>
            </w:r>
            <w:r>
              <w:rPr>
                <w:sz w:val="18"/>
              </w:rPr>
              <w:t>m</w:t>
            </w:r>
            <w:r>
              <w:rPr>
                <w:sz w:val="18"/>
                <w:vertAlign w:val="superscript"/>
              </w:rPr>
              <w:t>3</w:t>
            </w:r>
            <w:r>
              <w:rPr>
                <w:sz w:val="18"/>
                <w:vertAlign w:val="baseline"/>
              </w:rPr>
              <w:t>)</w:t>
            </w:r>
          </w:p>
        </w:tc>
        <w:tc>
          <w:tcPr>
            <w:tcW w:w="1428" w:type="dxa"/>
          </w:tcPr>
          <w:p>
            <w:pPr>
              <w:pStyle w:val="TableParagraph"/>
              <w:spacing w:before="1"/>
              <w:rPr>
                <w:sz w:val="22"/>
              </w:rPr>
            </w:pPr>
          </w:p>
          <w:p>
            <w:pPr>
              <w:pStyle w:val="TableParagraph"/>
              <w:ind w:left="282" w:right="270"/>
              <w:jc w:val="center"/>
              <w:rPr>
                <w:sz w:val="18"/>
              </w:rPr>
            </w:pPr>
            <w:r>
              <w:rPr>
                <w:sz w:val="18"/>
              </w:rPr>
              <w:t>1990-2000</w:t>
            </w:r>
          </w:p>
        </w:tc>
        <w:tc>
          <w:tcPr>
            <w:tcW w:w="1633" w:type="dxa"/>
            <w:tcBorders>
              <w:right w:val="single" w:sz="6" w:space="0" w:color="000000"/>
            </w:tcBorders>
          </w:tcPr>
          <w:p>
            <w:pPr>
              <w:pStyle w:val="TableParagraph"/>
              <w:spacing w:line="321" w:lineRule="auto" w:before="28"/>
              <w:ind w:left="438" w:right="407" w:firstLine="9"/>
              <w:rPr>
                <w:sz w:val="18"/>
              </w:rPr>
            </w:pPr>
            <w:r>
              <w:rPr>
                <w:sz w:val="18"/>
              </w:rPr>
              <w:t>IM (IRW) EX (IRW)</w:t>
            </w:r>
          </w:p>
        </w:tc>
      </w:tr>
      <w:tr>
        <w:trPr>
          <w:trHeight w:val="613" w:hRule="atLeast"/>
        </w:trPr>
        <w:tc>
          <w:tcPr>
            <w:tcW w:w="9013" w:type="dxa"/>
            <w:gridSpan w:val="4"/>
            <w:tcBorders>
              <w:right w:val="single" w:sz="6" w:space="0" w:color="000000"/>
            </w:tcBorders>
          </w:tcPr>
          <w:p>
            <w:pPr>
              <w:pStyle w:val="TableParagraph"/>
              <w:spacing w:before="57"/>
              <w:ind w:left="107"/>
              <w:rPr>
                <w:sz w:val="16"/>
              </w:rPr>
            </w:pPr>
            <w:r>
              <w:rPr>
                <w:sz w:val="16"/>
              </w:rPr>
              <w:t>Sources: For FAO data see: </w:t>
            </w:r>
            <w:hyperlink r:id="rId175">
              <w:r>
                <w:rPr>
                  <w:sz w:val="16"/>
                </w:rPr>
                <w:t>http://apps.fao.org/page/collections?subset=forestry</w:t>
              </w:r>
            </w:hyperlink>
          </w:p>
          <w:p>
            <w:pPr>
              <w:pStyle w:val="TableParagraph"/>
              <w:spacing w:before="99"/>
              <w:ind w:left="107"/>
              <w:rPr>
                <w:sz w:val="16"/>
              </w:rPr>
            </w:pPr>
            <w:r>
              <w:rPr>
                <w:sz w:val="16"/>
              </w:rPr>
              <w:t>Source of Conversion factors: Solidwood factors (Haynes </w:t>
            </w:r>
            <w:r>
              <w:rPr>
                <w:i/>
                <w:sz w:val="16"/>
              </w:rPr>
              <w:t>et al. </w:t>
            </w:r>
            <w:r>
              <w:rPr>
                <w:sz w:val="16"/>
              </w:rPr>
              <w:t>1990, Tables B-7 and B-6)</w:t>
            </w:r>
          </w:p>
        </w:tc>
      </w:tr>
      <w:tr>
        <w:trPr>
          <w:trHeight w:val="2937" w:hRule="atLeast"/>
        </w:trPr>
        <w:tc>
          <w:tcPr>
            <w:tcW w:w="9013" w:type="dxa"/>
            <w:gridSpan w:val="4"/>
            <w:tcBorders>
              <w:right w:val="single" w:sz="6" w:space="0" w:color="000000"/>
            </w:tcBorders>
          </w:tcPr>
          <w:p>
            <w:pPr>
              <w:pStyle w:val="TableParagraph"/>
              <w:spacing w:before="119"/>
              <w:ind w:left="107"/>
              <w:rPr>
                <w:sz w:val="16"/>
              </w:rPr>
            </w:pPr>
            <w:r>
              <w:rPr>
                <w:sz w:val="16"/>
              </w:rPr>
              <w:t>NOTES:</w:t>
            </w:r>
          </w:p>
          <w:p>
            <w:pPr>
              <w:pStyle w:val="TableParagraph"/>
              <w:spacing w:line="319" w:lineRule="auto" w:before="58"/>
              <w:ind w:left="107" w:right="1409"/>
              <w:rPr>
                <w:sz w:val="16"/>
              </w:rPr>
            </w:pPr>
            <w:r>
              <w:rPr>
                <w:sz w:val="16"/>
              </w:rPr>
              <w:t>Paper and pulp factors – One tonne of paper or pulp air dry are assumed to have 0.9 tonne of paper or pulp oven dry. </w:t>
            </w:r>
            <w:r>
              <w:rPr>
                <w:position w:val="2"/>
                <w:sz w:val="16"/>
              </w:rPr>
              <w:t>The equations below indicate how to compute P</w:t>
            </w:r>
            <w:r>
              <w:rPr>
                <w:sz w:val="10"/>
              </w:rPr>
              <w:t>A </w:t>
            </w:r>
            <w:r>
              <w:rPr>
                <w:position w:val="2"/>
                <w:sz w:val="16"/>
              </w:rPr>
              <w:t>and PH</w:t>
            </w:r>
            <w:r>
              <w:rPr>
                <w:sz w:val="10"/>
              </w:rPr>
              <w:t>A </w:t>
            </w:r>
            <w:r>
              <w:rPr>
                <w:position w:val="2"/>
                <w:sz w:val="16"/>
              </w:rPr>
              <w:t>for Equation 3a.1.1 using FAO data.</w:t>
            </w:r>
          </w:p>
          <w:p>
            <w:pPr>
              <w:pStyle w:val="TableParagraph"/>
              <w:spacing w:line="181" w:lineRule="exact"/>
              <w:ind w:left="107"/>
              <w:rPr>
                <w:sz w:val="16"/>
              </w:rPr>
            </w:pPr>
            <w:r>
              <w:rPr>
                <w:position w:val="2"/>
                <w:sz w:val="16"/>
              </w:rPr>
              <w:t>P</w:t>
            </w:r>
            <w:r>
              <w:rPr>
                <w:sz w:val="10"/>
              </w:rPr>
              <w:t>A </w:t>
            </w:r>
            <w:r>
              <w:rPr>
                <w:position w:val="2"/>
                <w:sz w:val="16"/>
              </w:rPr>
              <w:t>(solidwood) is the sum of solidwood products production; P</w:t>
            </w:r>
            <w:r>
              <w:rPr>
                <w:sz w:val="10"/>
              </w:rPr>
              <w:t>A </w:t>
            </w:r>
            <w:r>
              <w:rPr>
                <w:position w:val="2"/>
                <w:sz w:val="16"/>
              </w:rPr>
              <w:t>(paper) is the sum of paper products production.</w:t>
            </w:r>
          </w:p>
          <w:p>
            <w:pPr>
              <w:pStyle w:val="TableParagraph"/>
              <w:spacing w:line="309" w:lineRule="auto" w:before="54"/>
              <w:ind w:left="107" w:right="4247"/>
              <w:rPr>
                <w:sz w:val="10"/>
              </w:rPr>
            </w:pPr>
            <w:r>
              <w:rPr>
                <w:position w:val="2"/>
                <w:sz w:val="16"/>
              </w:rPr>
              <w:t>P</w:t>
            </w:r>
            <w:r>
              <w:rPr>
                <w:sz w:val="10"/>
              </w:rPr>
              <w:t>A </w:t>
            </w:r>
            <w:r>
              <w:rPr>
                <w:position w:val="2"/>
                <w:sz w:val="16"/>
              </w:rPr>
              <w:t>(solidwood) = P</w:t>
            </w:r>
            <w:r>
              <w:rPr>
                <w:sz w:val="10"/>
              </w:rPr>
              <w:t>DP </w:t>
            </w:r>
            <w:r>
              <w:rPr>
                <w:position w:val="2"/>
                <w:sz w:val="16"/>
              </w:rPr>
              <w:t>(solidwood) + P</w:t>
            </w:r>
            <w:r>
              <w:rPr>
                <w:sz w:val="10"/>
              </w:rPr>
              <w:t>IM </w:t>
            </w:r>
            <w:r>
              <w:rPr>
                <w:position w:val="2"/>
                <w:sz w:val="16"/>
              </w:rPr>
              <w:t>(solidwood) – P</w:t>
            </w:r>
            <w:r>
              <w:rPr>
                <w:sz w:val="10"/>
              </w:rPr>
              <w:t>EX </w:t>
            </w:r>
            <w:r>
              <w:rPr>
                <w:position w:val="2"/>
                <w:sz w:val="16"/>
              </w:rPr>
              <w:t>(solidwood) P</w:t>
            </w:r>
            <w:r>
              <w:rPr>
                <w:sz w:val="10"/>
              </w:rPr>
              <w:t>A </w:t>
            </w:r>
            <w:r>
              <w:rPr>
                <w:position w:val="2"/>
                <w:sz w:val="16"/>
              </w:rPr>
              <w:t>(paper) = [P</w:t>
            </w:r>
            <w:r>
              <w:rPr>
                <w:sz w:val="10"/>
              </w:rPr>
              <w:t>DP </w:t>
            </w:r>
            <w:r>
              <w:rPr>
                <w:position w:val="2"/>
                <w:sz w:val="16"/>
              </w:rPr>
              <w:t>(paper) + P</w:t>
            </w:r>
            <w:r>
              <w:rPr>
                <w:sz w:val="10"/>
              </w:rPr>
              <w:t>IM </w:t>
            </w:r>
            <w:r>
              <w:rPr>
                <w:position w:val="2"/>
                <w:sz w:val="16"/>
              </w:rPr>
              <w:t>(paper) – P</w:t>
            </w:r>
            <w:r>
              <w:rPr>
                <w:sz w:val="10"/>
              </w:rPr>
              <w:t>EX </w:t>
            </w:r>
            <w:r>
              <w:rPr>
                <w:position w:val="2"/>
                <w:sz w:val="16"/>
              </w:rPr>
              <w:t>(paper)] ● WP</w:t>
            </w:r>
            <w:r>
              <w:rPr>
                <w:sz w:val="10"/>
              </w:rPr>
              <w:t>ratio</w:t>
            </w:r>
          </w:p>
          <w:p>
            <w:pPr>
              <w:pStyle w:val="TableParagraph"/>
              <w:spacing w:line="189" w:lineRule="exact"/>
              <w:ind w:left="107"/>
              <w:rPr>
                <w:sz w:val="16"/>
              </w:rPr>
            </w:pPr>
            <w:r>
              <w:rPr>
                <w:position w:val="2"/>
                <w:sz w:val="16"/>
              </w:rPr>
              <w:t>Where WP</w:t>
            </w:r>
            <w:r>
              <w:rPr>
                <w:sz w:val="10"/>
              </w:rPr>
              <w:t>ratio </w:t>
            </w:r>
            <w:r>
              <w:rPr>
                <w:position w:val="2"/>
                <w:sz w:val="16"/>
              </w:rPr>
              <w:t>is the fraction of all pulp that is wood pulp (excludes other fiber pulp).</w:t>
            </w:r>
          </w:p>
          <w:p>
            <w:pPr>
              <w:pStyle w:val="TableParagraph"/>
              <w:spacing w:before="54"/>
              <w:ind w:left="107"/>
              <w:rPr>
                <w:sz w:val="16"/>
              </w:rPr>
            </w:pPr>
            <w:r>
              <w:rPr>
                <w:position w:val="2"/>
                <w:sz w:val="16"/>
              </w:rPr>
              <w:t>WP</w:t>
            </w:r>
            <w:r>
              <w:rPr>
                <w:sz w:val="10"/>
              </w:rPr>
              <w:t>ratio </w:t>
            </w:r>
            <w:r>
              <w:rPr>
                <w:position w:val="2"/>
                <w:sz w:val="16"/>
              </w:rPr>
              <w:t>= [(WP + IM (WP) – EX (WP))/ ((WP + IM (WP) – EX (WP)) + (OFP + IM (OFP) – EX (OFP))]</w:t>
            </w:r>
          </w:p>
          <w:p>
            <w:pPr>
              <w:pStyle w:val="TableParagraph"/>
              <w:spacing w:before="51"/>
              <w:ind w:left="107"/>
              <w:rPr>
                <w:sz w:val="16"/>
              </w:rPr>
            </w:pPr>
            <w:r>
              <w:rPr>
                <w:position w:val="2"/>
                <w:sz w:val="16"/>
              </w:rPr>
              <w:t>PH</w:t>
            </w:r>
            <w:r>
              <w:rPr>
                <w:sz w:val="10"/>
              </w:rPr>
              <w:t>A </w:t>
            </w:r>
            <w:r>
              <w:rPr>
                <w:position w:val="2"/>
                <w:sz w:val="16"/>
              </w:rPr>
              <w:t>(solidwood) = P</w:t>
            </w:r>
            <w:r>
              <w:rPr>
                <w:sz w:val="10"/>
              </w:rPr>
              <w:t>A </w:t>
            </w:r>
            <w:r>
              <w:rPr>
                <w:position w:val="2"/>
                <w:sz w:val="16"/>
              </w:rPr>
              <w:t>(solidwood) ● IRW / (IRW + IM (IRW) – EX (IRW))</w:t>
            </w:r>
          </w:p>
          <w:p>
            <w:pPr>
              <w:pStyle w:val="TableParagraph"/>
              <w:spacing w:line="188" w:lineRule="exact" w:before="54"/>
              <w:ind w:left="107"/>
              <w:rPr>
                <w:sz w:val="16"/>
              </w:rPr>
            </w:pPr>
            <w:r>
              <w:rPr>
                <w:position w:val="2"/>
                <w:sz w:val="16"/>
              </w:rPr>
              <w:t>PH</w:t>
            </w:r>
            <w:r>
              <w:rPr>
                <w:sz w:val="10"/>
              </w:rPr>
              <w:t>A </w:t>
            </w:r>
            <w:r>
              <w:rPr>
                <w:position w:val="2"/>
                <w:sz w:val="16"/>
              </w:rPr>
              <w:t>(paper) = [(P</w:t>
            </w:r>
            <w:r>
              <w:rPr>
                <w:sz w:val="10"/>
              </w:rPr>
              <w:t>A </w:t>
            </w:r>
            <w:r>
              <w:rPr>
                <w:position w:val="2"/>
                <w:sz w:val="16"/>
              </w:rPr>
              <w:t>(paper) + EX (WP) – IM (WP) ● WP</w:t>
            </w:r>
            <w:r>
              <w:rPr>
                <w:sz w:val="10"/>
              </w:rPr>
              <w:t>ratio </w:t>
            </w:r>
            <w:r>
              <w:rPr>
                <w:position w:val="2"/>
                <w:sz w:val="16"/>
              </w:rPr>
              <w:t>+ EX (RP) – IM (RP) + EX (RFP) – IM (RFP)] ● IRW / (IRW + IM (IRW)</w:t>
            </w:r>
          </w:p>
          <w:p>
            <w:pPr>
              <w:pStyle w:val="TableParagraph"/>
              <w:spacing w:line="180" w:lineRule="exact"/>
              <w:ind w:left="107"/>
              <w:rPr>
                <w:sz w:val="16"/>
              </w:rPr>
            </w:pPr>
            <w:r>
              <w:rPr>
                <w:sz w:val="16"/>
              </w:rPr>
              <w:t>– EX (IRW))</w:t>
            </w:r>
          </w:p>
          <w:p>
            <w:pPr>
              <w:pStyle w:val="TableParagraph"/>
              <w:spacing w:line="190" w:lineRule="exact"/>
              <w:ind w:left="107"/>
              <w:rPr>
                <w:sz w:val="16"/>
              </w:rPr>
            </w:pPr>
            <w:r>
              <w:rPr>
                <w:position w:val="2"/>
                <w:sz w:val="16"/>
              </w:rPr>
              <w:t>Convert tonnes of dry products P</w:t>
            </w:r>
            <w:r>
              <w:rPr>
                <w:sz w:val="10"/>
              </w:rPr>
              <w:t>A </w:t>
            </w:r>
            <w:r>
              <w:rPr>
                <w:position w:val="2"/>
                <w:sz w:val="16"/>
              </w:rPr>
              <w:t>and PH</w:t>
            </w:r>
            <w:r>
              <w:rPr>
                <w:sz w:val="10"/>
              </w:rPr>
              <w:t>A </w:t>
            </w:r>
            <w:r>
              <w:rPr>
                <w:position w:val="2"/>
                <w:sz w:val="16"/>
              </w:rPr>
              <w:t>to tonnes of carbon by multiplying by 0.5 (tonnes carbon / tonnes product).</w:t>
            </w:r>
          </w:p>
        </w:tc>
      </w:tr>
    </w:tbl>
    <w:p>
      <w:pPr>
        <w:spacing w:after="0" w:line="190" w:lineRule="exact"/>
        <w:rPr>
          <w:sz w:val="16"/>
        </w:rPr>
        <w:sectPr>
          <w:pgSz w:w="11900" w:h="16840"/>
          <w:pgMar w:header="235" w:footer="408" w:top="920" w:bottom="600" w:left="1300" w:right="1280"/>
        </w:sectPr>
      </w:pPr>
    </w:p>
    <w:p>
      <w:pPr>
        <w:spacing w:before="95"/>
        <w:ind w:left="119" w:right="0" w:firstLine="0"/>
        <w:jc w:val="left"/>
        <w:rPr>
          <w:b/>
          <w:sz w:val="20"/>
        </w:rPr>
      </w:pPr>
      <w:r>
        <w:rPr>
          <w:b/>
          <w:sz w:val="20"/>
        </w:rPr>
        <w:t>Tier 2b: Change in HWP carbon in Solid Waste Disposal Sites (SWDS)</w:t>
      </w:r>
    </w:p>
    <w:p>
      <w:pPr>
        <w:pStyle w:val="BodyText"/>
        <w:spacing w:before="115"/>
        <w:ind w:left="119"/>
      </w:pPr>
      <w:r>
        <w:rPr/>
        <w:t>If included in reporting, stock changes of HWP in SWDS could be calculated in similar manner as HWP in use:</w:t>
      </w:r>
    </w:p>
    <w:p>
      <w:pPr>
        <w:pStyle w:val="BodyText"/>
        <w:spacing w:before="10"/>
        <w:rPr>
          <w:sz w:val="9"/>
        </w:rPr>
      </w:pPr>
      <w:r>
        <w:rPr/>
        <w:pict>
          <v:group style="position:absolute;margin-left:91.240997pt;margin-top:8.421853pt;width:413.3pt;height:192.25pt;mso-position-horizontal-relative:page;mso-position-vertical-relative:paragraph;z-index:13280;mso-wrap-distance-left:0;mso-wrap-distance-right:0" coordorigin="1825,168" coordsize="8266,3845">
            <v:line style="position:absolute" from="1854,183" to="10062,183" stroked="true" strokeweight="1.44pt" strokecolor="#000000">
              <v:stroke dashstyle="solid"/>
            </v:line>
            <v:line style="position:absolute" from="1854,3999" to="10062,3999" stroked="true" strokeweight="1.44pt" strokecolor="#000000">
              <v:stroke dashstyle="solid"/>
            </v:line>
            <v:line style="position:absolute" from="1839,168" to="1839,4013" stroked="true" strokeweight="1.44pt" strokecolor="#000000">
              <v:stroke dashstyle="solid"/>
            </v:line>
            <v:line style="position:absolute" from="10076,168" to="10076,4013" stroked="true" strokeweight="1.44pt" strokecolor="#000000">
              <v:stroke dashstyle="solid"/>
            </v:line>
            <v:shape style="position:absolute;left:1980;top:3115;width:7977;height:763" type="#_x0000_t202" filled="false" stroked="false">
              <v:textbox inset="0,0,0,0">
                <w:txbxContent>
                  <w:p>
                    <w:pPr>
                      <w:spacing w:line="221" w:lineRule="exact" w:before="0"/>
                      <w:ind w:left="0" w:right="0" w:firstLine="0"/>
                      <w:jc w:val="left"/>
                      <w:rPr>
                        <w:sz w:val="20"/>
                      </w:rPr>
                    </w:pPr>
                    <w:r>
                      <w:rPr>
                        <w:sz w:val="20"/>
                      </w:rPr>
                      <w:t>Note 1: Each term has a year subscript t – omitted to simplify the format.</w:t>
                    </w:r>
                  </w:p>
                  <w:p>
                    <w:pPr>
                      <w:spacing w:before="82"/>
                      <w:ind w:left="684" w:right="0" w:hanging="684"/>
                      <w:jc w:val="left"/>
                      <w:rPr>
                        <w:sz w:val="20"/>
                      </w:rPr>
                    </w:pPr>
                    <w:r>
                      <w:rPr>
                        <w:sz w:val="20"/>
                      </w:rPr>
                      <w:t>Note 2: Each term on the right hand side of the equations has at least two parts – at least one for solidwood products and at least one for paper products)</w:t>
                    </w:r>
                  </w:p>
                </w:txbxContent>
              </v:textbox>
              <w10:wrap type="none"/>
            </v:shape>
            <v:shape style="position:absolute;left:6000;top:2716;width:3845;height:250" type="#_x0000_t202" filled="false" stroked="false">
              <v:textbox inset="0,0,0,0">
                <w:txbxContent>
                  <w:p>
                    <w:pPr>
                      <w:numPr>
                        <w:ilvl w:val="0"/>
                        <w:numId w:val="114"/>
                      </w:numPr>
                      <w:tabs>
                        <w:tab w:pos="171" w:val="left" w:leader="none"/>
                      </w:tabs>
                      <w:spacing w:before="20"/>
                      <w:ind w:left="170" w:right="0" w:hanging="170"/>
                      <w:jc w:val="left"/>
                      <w:rPr>
                        <w:sz w:val="20"/>
                      </w:rPr>
                    </w:pPr>
                    <w:r>
                      <w:rPr>
                        <w:sz w:val="20"/>
                      </w:rPr>
                      <w:t>10</w:t>
                    </w:r>
                    <w:r>
                      <w:rPr>
                        <w:sz w:val="20"/>
                        <w:vertAlign w:val="superscript"/>
                      </w:rPr>
                      <w:t>-3</w:t>
                    </w:r>
                    <w:r>
                      <w:rPr>
                        <w:sz w:val="20"/>
                        <w:vertAlign w:val="baseline"/>
                      </w:rPr>
                      <w:t> ● 44/12 (Atmospheric Flow</w:t>
                    </w:r>
                    <w:r>
                      <w:rPr>
                        <w:spacing w:val="-17"/>
                        <w:sz w:val="20"/>
                        <w:vertAlign w:val="baseline"/>
                      </w:rPr>
                      <w:t> </w:t>
                    </w:r>
                    <w:r>
                      <w:rPr>
                        <w:sz w:val="20"/>
                        <w:vertAlign w:val="baseline"/>
                      </w:rPr>
                      <w:t>Approach)</w:t>
                    </w:r>
                  </w:p>
                </w:txbxContent>
              </v:textbox>
              <w10:wrap type="none"/>
            </v:shape>
            <v:shape style="position:absolute;left:5693;top:2899;width:280;height:144" type="#_x0000_t202" filled="false" stroked="false">
              <v:textbox inset="0,0,0,0">
                <w:txbxContent>
                  <w:p>
                    <w:pPr>
                      <w:spacing w:line="144" w:lineRule="exact" w:before="0"/>
                      <w:ind w:left="0" w:right="0" w:firstLine="0"/>
                      <w:jc w:val="left"/>
                      <w:rPr>
                        <w:sz w:val="13"/>
                      </w:rPr>
                    </w:pPr>
                    <w:r>
                      <w:rPr>
                        <w:sz w:val="13"/>
                      </w:rPr>
                      <w:t>AFA</w:t>
                    </w:r>
                  </w:p>
                </w:txbxContent>
              </v:textbox>
              <w10:wrap type="none"/>
            </v:shape>
            <v:shape style="position:absolute;left:2434;top:2722;width:3227;height:261" type="#_x0000_t202" filled="false" stroked="false">
              <v:textbox inset="0,0,0,0">
                <w:txbxContent>
                  <w:p>
                    <w:pPr>
                      <w:spacing w:line="246" w:lineRule="exact" w:before="14"/>
                      <w:ind w:left="0" w:right="0" w:firstLine="0"/>
                      <w:jc w:val="left"/>
                      <w:rPr>
                        <w:sz w:val="20"/>
                      </w:rPr>
                    </w:pPr>
                    <w:r>
                      <w:rPr>
                        <w:sz w:val="20"/>
                      </w:rPr>
                      <w:t>CO</w:t>
                    </w:r>
                    <w:r>
                      <w:rPr>
                        <w:sz w:val="20"/>
                        <w:vertAlign w:val="subscript"/>
                      </w:rPr>
                      <w:t>2</w:t>
                    </w:r>
                    <w:r>
                      <w:rPr>
                        <w:sz w:val="20"/>
                        <w:vertAlign w:val="baseline"/>
                      </w:rPr>
                      <w:t> emissions/removals </w:t>
                    </w:r>
                    <w:r>
                      <w:rPr>
                        <w:sz w:val="20"/>
                        <w:vertAlign w:val="subscript"/>
                      </w:rPr>
                      <w:t>AFA</w:t>
                    </w:r>
                    <w:r>
                      <w:rPr>
                        <w:sz w:val="20"/>
                        <w:vertAlign w:val="baseline"/>
                      </w:rPr>
                      <w:t> = </w:t>
                    </w:r>
                    <w:r>
                      <w:rPr>
                        <w:rFonts w:ascii="Symbol" w:hAnsi="Symbol"/>
                        <w:sz w:val="20"/>
                        <w:vertAlign w:val="baseline"/>
                      </w:rPr>
                      <w:t>∆</w:t>
                    </w:r>
                    <w:r>
                      <w:rPr>
                        <w:sz w:val="20"/>
                        <w:vertAlign w:val="baseline"/>
                      </w:rPr>
                      <w:t>C</w:t>
                    </w:r>
                    <w:r>
                      <w:rPr>
                        <w:sz w:val="20"/>
                        <w:vertAlign w:val="subscript"/>
                      </w:rPr>
                      <w:t>HWP</w:t>
                    </w:r>
                    <w:r>
                      <w:rPr>
                        <w:sz w:val="20"/>
                        <w:vertAlign w:val="baseline"/>
                      </w:rPr>
                      <w:t> </w:t>
                    </w:r>
                    <w:r>
                      <w:rPr>
                        <w:spacing w:val="-72"/>
                        <w:sz w:val="20"/>
                        <w:vertAlign w:val="subscript"/>
                      </w:rPr>
                      <w:t>W</w:t>
                    </w:r>
                  </w:p>
                </w:txbxContent>
              </v:textbox>
              <w10:wrap type="none"/>
            </v:shape>
            <v:shape style="position:absolute;left:5916;top:2362;width:452;height:237" type="#_x0000_t202" filled="false" stroked="false">
              <v:textbox inset="0,0,0,0">
                <w:txbxContent>
                  <w:p>
                    <w:pPr>
                      <w:spacing w:line="221" w:lineRule="exact" w:before="0"/>
                      <w:ind w:left="0" w:right="0" w:firstLine="0"/>
                      <w:jc w:val="left"/>
                      <w:rPr>
                        <w:sz w:val="20"/>
                      </w:rPr>
                    </w:pPr>
                    <w:r>
                      <w:rPr>
                        <w:sz w:val="20"/>
                      </w:rPr>
                      <w:t>= W</w:t>
                    </w:r>
                    <w:r>
                      <w:rPr>
                        <w:sz w:val="20"/>
                        <w:vertAlign w:val="subscript"/>
                      </w:rPr>
                      <w:t>L</w:t>
                    </w:r>
                  </w:p>
                </w:txbxContent>
              </v:textbox>
              <w10:wrap type="none"/>
            </v:shape>
            <v:shape style="position:absolute;left:5616;top:2515;width:272;height:144" type="#_x0000_t202" filled="false" stroked="false">
              <v:textbox inset="0,0,0,0">
                <w:txbxContent>
                  <w:p>
                    <w:pPr>
                      <w:spacing w:line="144" w:lineRule="exact" w:before="0"/>
                      <w:ind w:left="0" w:right="0" w:firstLine="0"/>
                      <w:jc w:val="left"/>
                      <w:rPr>
                        <w:sz w:val="13"/>
                      </w:rPr>
                    </w:pPr>
                    <w:r>
                      <w:rPr>
                        <w:sz w:val="13"/>
                      </w:rPr>
                      <w:t>SCA</w:t>
                    </w:r>
                  </w:p>
                </w:txbxContent>
              </v:textbox>
              <w10:wrap type="none"/>
            </v:shape>
            <v:shape style="position:absolute;left:3521;top:2338;width:2113;height:261" type="#_x0000_t202" filled="false" stroked="false">
              <v:textbox inset="0,0,0,0">
                <w:txbxContent>
                  <w:p>
                    <w:pPr>
                      <w:spacing w:line="245" w:lineRule="exact" w:before="15"/>
                      <w:ind w:left="0" w:right="0" w:firstLine="0"/>
                      <w:jc w:val="left"/>
                      <w:rPr>
                        <w:sz w:val="13"/>
                      </w:rPr>
                    </w:pPr>
                    <w:r>
                      <w:rPr>
                        <w:position w:val="3"/>
                        <w:sz w:val="20"/>
                      </w:rPr>
                      <w:t>= W</w:t>
                    </w:r>
                    <w:r>
                      <w:rPr>
                        <w:sz w:val="13"/>
                      </w:rPr>
                      <w:t>AP </w:t>
                    </w:r>
                    <w:r>
                      <w:rPr>
                        <w:position w:val="3"/>
                        <w:sz w:val="20"/>
                      </w:rPr>
                      <w:t>+ W</w:t>
                    </w:r>
                    <w:r>
                      <w:rPr>
                        <w:sz w:val="13"/>
                      </w:rPr>
                      <w:t>AD </w:t>
                    </w:r>
                    <w:r>
                      <w:rPr>
                        <w:position w:val="3"/>
                        <w:sz w:val="20"/>
                      </w:rPr>
                      <w:t>– </w:t>
                    </w:r>
                    <w:r>
                      <w:rPr>
                        <w:rFonts w:ascii="Symbol" w:hAnsi="Symbol"/>
                        <w:position w:val="3"/>
                        <w:sz w:val="20"/>
                      </w:rPr>
                      <w:t>∆</w:t>
                    </w:r>
                    <w:r>
                      <w:rPr>
                        <w:position w:val="3"/>
                        <w:sz w:val="20"/>
                      </w:rPr>
                      <w:t>C</w:t>
                    </w:r>
                    <w:r>
                      <w:rPr>
                        <w:sz w:val="13"/>
                      </w:rPr>
                      <w:t>HWP </w:t>
                    </w:r>
                    <w:r>
                      <w:rPr>
                        <w:spacing w:val="-74"/>
                        <w:sz w:val="13"/>
                      </w:rPr>
                      <w:t>W</w:t>
                    </w:r>
                  </w:p>
                </w:txbxContent>
              </v:textbox>
              <w10:wrap type="none"/>
            </v:shape>
            <v:shape style="position:absolute;left:3214;top:2515;width:280;height:144" type="#_x0000_t202" filled="false" stroked="false">
              <v:textbox inset="0,0,0,0">
                <w:txbxContent>
                  <w:p>
                    <w:pPr>
                      <w:spacing w:line="144" w:lineRule="exact" w:before="0"/>
                      <w:ind w:left="0" w:right="0" w:firstLine="0"/>
                      <w:jc w:val="left"/>
                      <w:rPr>
                        <w:sz w:val="13"/>
                      </w:rPr>
                    </w:pPr>
                    <w:r>
                      <w:rPr>
                        <w:sz w:val="13"/>
                      </w:rPr>
                      <w:t>AFA</w:t>
                    </w:r>
                  </w:p>
                </w:txbxContent>
              </v:textbox>
              <w10:wrap type="none"/>
            </v:shape>
            <v:shape style="position:absolute;left:1980;top:1978;width:7964;height:621" type="#_x0000_t202" filled="false" stroked="false">
              <v:textbox inset="0,0,0,0">
                <w:txbxContent>
                  <w:p>
                    <w:pPr>
                      <w:spacing w:line="221" w:lineRule="exact" w:before="0"/>
                      <w:ind w:left="0" w:right="18" w:firstLine="0"/>
                      <w:jc w:val="right"/>
                      <w:rPr>
                        <w:sz w:val="20"/>
                      </w:rPr>
                    </w:pPr>
                    <w:r>
                      <w:rPr>
                        <w:sz w:val="20"/>
                      </w:rPr>
                      <w:t>(Production Approach)</w:t>
                    </w:r>
                  </w:p>
                  <w:p>
                    <w:pPr>
                      <w:spacing w:line="246" w:lineRule="exact" w:before="154"/>
                      <w:ind w:left="0" w:right="0" w:firstLine="0"/>
                      <w:jc w:val="left"/>
                      <w:rPr>
                        <w:sz w:val="20"/>
                      </w:rPr>
                    </w:pPr>
                    <w:r>
                      <w:rPr>
                        <w:sz w:val="20"/>
                      </w:rPr>
                      <w:t>(2C) </w:t>
                    </w:r>
                    <w:r>
                      <w:rPr>
                        <w:rFonts w:ascii="Symbol" w:hAnsi="Symbol"/>
                        <w:sz w:val="20"/>
                      </w:rPr>
                      <w:t>∆</w:t>
                    </w:r>
                    <w:r>
                      <w:rPr>
                        <w:sz w:val="20"/>
                      </w:rPr>
                      <w:t>C</w:t>
                    </w:r>
                    <w:r>
                      <w:rPr>
                        <w:sz w:val="20"/>
                        <w:vertAlign w:val="subscript"/>
                      </w:rPr>
                      <w:t>HWP</w:t>
                    </w:r>
                    <w:r>
                      <w:rPr>
                        <w:sz w:val="20"/>
                        <w:vertAlign w:val="baseline"/>
                      </w:rPr>
                      <w:t> </w:t>
                    </w:r>
                    <w:r>
                      <w:rPr>
                        <w:sz w:val="20"/>
                        <w:vertAlign w:val="subscript"/>
                      </w:rPr>
                      <w:t>W</w:t>
                    </w:r>
                  </w:p>
                </w:txbxContent>
              </v:textbox>
              <w10:wrap type="none"/>
            </v:shape>
            <v:shape style="position:absolute;left:6149;top:1948;width:129;height:144" type="#_x0000_t202" filled="false" stroked="false">
              <v:textbox inset="0,0,0,0">
                <w:txbxContent>
                  <w:p>
                    <w:pPr>
                      <w:spacing w:line="144" w:lineRule="exact" w:before="0"/>
                      <w:ind w:left="0" w:right="0" w:firstLine="0"/>
                      <w:jc w:val="left"/>
                      <w:rPr>
                        <w:sz w:val="13"/>
                      </w:rPr>
                    </w:pPr>
                    <w:r>
                      <w:rPr>
                        <w:sz w:val="13"/>
                      </w:rPr>
                      <w:t>-3</w:t>
                    </w:r>
                  </w:p>
                </w:txbxContent>
              </v:textbox>
              <w10:wrap type="none"/>
            </v:shape>
            <v:shape style="position:absolute;left:2434;top:1978;width:5043;height:297" type="#_x0000_t202" filled="false" stroked="false">
              <v:textbox inset="0,0,0,0">
                <w:txbxContent>
                  <w:p>
                    <w:pPr>
                      <w:spacing w:line="228" w:lineRule="auto" w:before="0"/>
                      <w:ind w:left="0" w:right="0" w:firstLine="0"/>
                      <w:jc w:val="left"/>
                      <w:rPr>
                        <w:sz w:val="20"/>
                      </w:rPr>
                    </w:pPr>
                    <w:r>
                      <w:rPr>
                        <w:sz w:val="20"/>
                      </w:rPr>
                      <w:t>CO</w:t>
                    </w:r>
                    <w:r>
                      <w:rPr>
                        <w:sz w:val="20"/>
                        <w:vertAlign w:val="subscript"/>
                      </w:rPr>
                      <w:t>2</w:t>
                    </w:r>
                    <w:r>
                      <w:rPr>
                        <w:sz w:val="20"/>
                        <w:vertAlign w:val="baseline"/>
                      </w:rPr>
                      <w:t> emissions/removals </w:t>
                    </w:r>
                    <w:r>
                      <w:rPr>
                        <w:sz w:val="20"/>
                        <w:vertAlign w:val="subscript"/>
                      </w:rPr>
                      <w:t>PA</w:t>
                    </w:r>
                    <w:r>
                      <w:rPr>
                        <w:sz w:val="20"/>
                        <w:vertAlign w:val="baseline"/>
                      </w:rPr>
                      <w:t> = ∆C</w:t>
                    </w:r>
                    <w:r>
                      <w:rPr>
                        <w:sz w:val="20"/>
                        <w:vertAlign w:val="subscript"/>
                      </w:rPr>
                      <w:t>HWP</w:t>
                    </w:r>
                    <w:r>
                      <w:rPr>
                        <w:sz w:val="20"/>
                        <w:vertAlign w:val="baseline"/>
                      </w:rPr>
                      <w:t> </w:t>
                    </w:r>
                    <w:r>
                      <w:rPr>
                        <w:sz w:val="20"/>
                        <w:vertAlign w:val="subscript"/>
                      </w:rPr>
                      <w:t>W</w:t>
                    </w:r>
                    <w:r>
                      <w:rPr>
                        <w:sz w:val="20"/>
                        <w:vertAlign w:val="baseline"/>
                      </w:rPr>
                      <w:t> </w:t>
                    </w:r>
                    <w:r>
                      <w:rPr>
                        <w:position w:val="-8"/>
                        <w:sz w:val="13"/>
                        <w:vertAlign w:val="baseline"/>
                      </w:rPr>
                      <w:t>PA </w:t>
                    </w:r>
                    <w:r>
                      <w:rPr>
                        <w:sz w:val="20"/>
                        <w:vertAlign w:val="baseline"/>
                      </w:rPr>
                      <w:t>● 10 ● 44/12 ● (-1)</w:t>
                    </w:r>
                  </w:p>
                </w:txbxContent>
              </v:textbox>
              <w10:wrap type="none"/>
            </v:shape>
            <v:shape style="position:absolute;left:3548;top:1608;width:2089;height:237" type="#_x0000_t202" filled="false" stroked="false">
              <v:textbox inset="0,0,0,0">
                <w:txbxContent>
                  <w:p>
                    <w:pPr>
                      <w:spacing w:line="221" w:lineRule="exact" w:before="0"/>
                      <w:ind w:left="0" w:right="0" w:firstLine="0"/>
                      <w:jc w:val="left"/>
                      <w:rPr>
                        <w:sz w:val="20"/>
                      </w:rPr>
                    </w:pPr>
                    <w:r>
                      <w:rPr>
                        <w:sz w:val="20"/>
                      </w:rPr>
                      <w:t>= WH</w:t>
                    </w:r>
                    <w:r>
                      <w:rPr>
                        <w:sz w:val="20"/>
                        <w:vertAlign w:val="subscript"/>
                      </w:rPr>
                      <w:t>AP</w:t>
                    </w:r>
                    <w:r>
                      <w:rPr>
                        <w:sz w:val="20"/>
                        <w:vertAlign w:val="baseline"/>
                      </w:rPr>
                      <w:t> + WH</w:t>
                    </w:r>
                    <w:r>
                      <w:rPr>
                        <w:sz w:val="20"/>
                        <w:vertAlign w:val="subscript"/>
                      </w:rPr>
                      <w:t>AD</w:t>
                    </w:r>
                    <w:r>
                      <w:rPr>
                        <w:sz w:val="20"/>
                        <w:vertAlign w:val="baseline"/>
                      </w:rPr>
                      <w:t> – WH</w:t>
                    </w:r>
                    <w:r>
                      <w:rPr>
                        <w:sz w:val="20"/>
                        <w:vertAlign w:val="subscript"/>
                      </w:rPr>
                      <w:t>L</w:t>
                    </w:r>
                  </w:p>
                </w:txbxContent>
              </v:textbox>
              <w10:wrap type="none"/>
            </v:shape>
            <v:shape style="position:absolute;left:3147;top:1761;width:186;height:144" type="#_x0000_t202" filled="false" stroked="false">
              <v:textbox inset="0,0,0,0">
                <w:txbxContent>
                  <w:p>
                    <w:pPr>
                      <w:spacing w:line="144" w:lineRule="exact" w:before="0"/>
                      <w:ind w:left="0" w:right="0" w:firstLine="0"/>
                      <w:jc w:val="left"/>
                      <w:rPr>
                        <w:sz w:val="13"/>
                      </w:rPr>
                    </w:pPr>
                    <w:r>
                      <w:rPr>
                        <w:sz w:val="13"/>
                      </w:rPr>
                      <w:t>PA</w:t>
                    </w:r>
                  </w:p>
                </w:txbxContent>
              </v:textbox>
              <w10:wrap type="none"/>
            </v:shape>
            <v:shape style="position:absolute;left:1980;top:1224;width:7968;height:621" type="#_x0000_t202" filled="false" stroked="false">
              <v:textbox inset="0,0,0,0">
                <w:txbxContent>
                  <w:p>
                    <w:pPr>
                      <w:spacing w:line="221" w:lineRule="exact" w:before="0"/>
                      <w:ind w:left="0" w:right="18" w:firstLine="0"/>
                      <w:jc w:val="right"/>
                      <w:rPr>
                        <w:sz w:val="20"/>
                      </w:rPr>
                    </w:pPr>
                    <w:r>
                      <w:rPr>
                        <w:sz w:val="20"/>
                      </w:rPr>
                      <w:t>(Stock Change Approach)</w:t>
                    </w:r>
                  </w:p>
                  <w:p>
                    <w:pPr>
                      <w:spacing w:line="246" w:lineRule="exact" w:before="154"/>
                      <w:ind w:left="0" w:right="0" w:firstLine="0"/>
                      <w:jc w:val="left"/>
                      <w:rPr>
                        <w:sz w:val="20"/>
                      </w:rPr>
                    </w:pPr>
                    <w:r>
                      <w:rPr>
                        <w:sz w:val="20"/>
                      </w:rPr>
                      <w:t>(2B) </w:t>
                    </w:r>
                    <w:r>
                      <w:rPr>
                        <w:rFonts w:ascii="Symbol" w:hAnsi="Symbol"/>
                        <w:sz w:val="20"/>
                      </w:rPr>
                      <w:t>∆</w:t>
                    </w:r>
                    <w:r>
                      <w:rPr>
                        <w:sz w:val="20"/>
                      </w:rPr>
                      <w:t>C</w:t>
                    </w:r>
                    <w:r>
                      <w:rPr>
                        <w:sz w:val="20"/>
                        <w:vertAlign w:val="subscript"/>
                      </w:rPr>
                      <w:t>HWP</w:t>
                    </w:r>
                    <w:r>
                      <w:rPr>
                        <w:sz w:val="20"/>
                        <w:vertAlign w:val="baseline"/>
                      </w:rPr>
                      <w:t> </w:t>
                    </w:r>
                    <w:r>
                      <w:rPr>
                        <w:sz w:val="20"/>
                        <w:vertAlign w:val="subscript"/>
                      </w:rPr>
                      <w:t>W</w:t>
                    </w:r>
                  </w:p>
                </w:txbxContent>
              </v:textbox>
              <w10:wrap type="none"/>
            </v:shape>
            <v:shape style="position:absolute;left:6257;top:1195;width:124;height:144" type="#_x0000_t202" filled="false" stroked="false">
              <v:textbox inset="0,0,0,0">
                <w:txbxContent>
                  <w:p>
                    <w:pPr>
                      <w:spacing w:line="144" w:lineRule="exact" w:before="0"/>
                      <w:ind w:left="0" w:right="0" w:firstLine="0"/>
                      <w:jc w:val="left"/>
                      <w:rPr>
                        <w:sz w:val="13"/>
                      </w:rPr>
                    </w:pPr>
                    <w:r>
                      <w:rPr>
                        <w:sz w:val="13"/>
                      </w:rPr>
                      <w:t>-3</w:t>
                    </w:r>
                  </w:p>
                </w:txbxContent>
              </v:textbox>
              <w10:wrap type="none"/>
            </v:shape>
            <v:shape style="position:absolute;left:2456;top:1224;width:5094;height:297" type="#_x0000_t202" filled="false" stroked="false">
              <v:textbox inset="0,0,0,0">
                <w:txbxContent>
                  <w:p>
                    <w:pPr>
                      <w:spacing w:line="228" w:lineRule="auto" w:before="0"/>
                      <w:ind w:left="0" w:right="0" w:firstLine="0"/>
                      <w:jc w:val="left"/>
                      <w:rPr>
                        <w:sz w:val="20"/>
                      </w:rPr>
                    </w:pPr>
                    <w:r>
                      <w:rPr>
                        <w:spacing w:val="-3"/>
                        <w:sz w:val="20"/>
                      </w:rPr>
                      <w:t>CO</w:t>
                    </w:r>
                    <w:r>
                      <w:rPr>
                        <w:spacing w:val="-3"/>
                        <w:sz w:val="20"/>
                        <w:vertAlign w:val="subscript"/>
                      </w:rPr>
                      <w:t>2</w:t>
                    </w:r>
                    <w:r>
                      <w:rPr>
                        <w:spacing w:val="-3"/>
                        <w:sz w:val="20"/>
                        <w:vertAlign w:val="baseline"/>
                      </w:rPr>
                      <w:t> emissions/removals </w:t>
                    </w:r>
                    <w:r>
                      <w:rPr>
                        <w:sz w:val="20"/>
                        <w:vertAlign w:val="subscript"/>
                      </w:rPr>
                      <w:t>SCA</w:t>
                    </w:r>
                    <w:r>
                      <w:rPr>
                        <w:sz w:val="20"/>
                        <w:vertAlign w:val="baseline"/>
                      </w:rPr>
                      <w:t> = ∆C</w:t>
                    </w:r>
                    <w:r>
                      <w:rPr>
                        <w:sz w:val="20"/>
                        <w:vertAlign w:val="subscript"/>
                      </w:rPr>
                      <w:t>HWP</w:t>
                    </w:r>
                    <w:r>
                      <w:rPr>
                        <w:sz w:val="20"/>
                        <w:vertAlign w:val="baseline"/>
                      </w:rPr>
                      <w:t> </w:t>
                    </w:r>
                    <w:r>
                      <w:rPr>
                        <w:sz w:val="20"/>
                        <w:vertAlign w:val="subscript"/>
                      </w:rPr>
                      <w:t>W</w:t>
                    </w:r>
                    <w:r>
                      <w:rPr>
                        <w:sz w:val="20"/>
                        <w:vertAlign w:val="baseline"/>
                      </w:rPr>
                      <w:t> </w:t>
                    </w:r>
                    <w:r>
                      <w:rPr>
                        <w:position w:val="-8"/>
                        <w:sz w:val="13"/>
                        <w:vertAlign w:val="baseline"/>
                      </w:rPr>
                      <w:t>SCA </w:t>
                    </w:r>
                    <w:r>
                      <w:rPr>
                        <w:sz w:val="20"/>
                        <w:vertAlign w:val="baseline"/>
                      </w:rPr>
                      <w:t>● 10 ● 44/12 ● (-1)</w:t>
                    </w:r>
                  </w:p>
                </w:txbxContent>
              </v:textbox>
              <w10:wrap type="none"/>
            </v:shape>
            <v:shape style="position:absolute;left:3548;top:854;width:1657;height:237" type="#_x0000_t202" filled="false" stroked="false">
              <v:textbox inset="0,0,0,0">
                <w:txbxContent>
                  <w:p>
                    <w:pPr>
                      <w:spacing w:line="221" w:lineRule="exact" w:before="0"/>
                      <w:ind w:left="0" w:right="0" w:firstLine="0"/>
                      <w:jc w:val="left"/>
                      <w:rPr>
                        <w:sz w:val="20"/>
                      </w:rPr>
                    </w:pPr>
                    <w:r>
                      <w:rPr>
                        <w:sz w:val="20"/>
                      </w:rPr>
                      <w:t>= W</w:t>
                    </w:r>
                    <w:r>
                      <w:rPr>
                        <w:sz w:val="20"/>
                        <w:vertAlign w:val="subscript"/>
                      </w:rPr>
                      <w:t>AP</w:t>
                    </w:r>
                    <w:r>
                      <w:rPr>
                        <w:sz w:val="20"/>
                        <w:vertAlign w:val="baseline"/>
                      </w:rPr>
                      <w:t> + W</w:t>
                    </w:r>
                    <w:r>
                      <w:rPr>
                        <w:sz w:val="20"/>
                        <w:vertAlign w:val="subscript"/>
                      </w:rPr>
                      <w:t>AD</w:t>
                    </w:r>
                    <w:r>
                      <w:rPr>
                        <w:sz w:val="20"/>
                        <w:vertAlign w:val="baseline"/>
                      </w:rPr>
                      <w:t> – W</w:t>
                    </w:r>
                    <w:r>
                      <w:rPr>
                        <w:sz w:val="20"/>
                        <w:vertAlign w:val="subscript"/>
                      </w:rPr>
                      <w:t>L</w:t>
                    </w:r>
                  </w:p>
                </w:txbxContent>
              </v:textbox>
              <w10:wrap type="none"/>
            </v:shape>
            <v:shape style="position:absolute;left:3159;top:1008;width:272;height:144" type="#_x0000_t202" filled="false" stroked="false">
              <v:textbox inset="0,0,0,0">
                <w:txbxContent>
                  <w:p>
                    <w:pPr>
                      <w:spacing w:line="144" w:lineRule="exact" w:before="0"/>
                      <w:ind w:left="0" w:right="0" w:firstLine="0"/>
                      <w:jc w:val="left"/>
                      <w:rPr>
                        <w:sz w:val="13"/>
                      </w:rPr>
                    </w:pPr>
                    <w:r>
                      <w:rPr>
                        <w:sz w:val="13"/>
                      </w:rPr>
                      <w:t>SCA</w:t>
                    </w:r>
                  </w:p>
                </w:txbxContent>
              </v:textbox>
              <w10:wrap type="none"/>
            </v:shape>
            <v:shape style="position:absolute;left:1980;top:831;width:1196;height:261" type="#_x0000_t202" filled="false" stroked="false">
              <v:textbox inset="0,0,0,0">
                <w:txbxContent>
                  <w:p>
                    <w:pPr>
                      <w:spacing w:line="246" w:lineRule="exact" w:before="14"/>
                      <w:ind w:left="0" w:right="0" w:firstLine="0"/>
                      <w:jc w:val="left"/>
                      <w:rPr>
                        <w:sz w:val="20"/>
                      </w:rPr>
                    </w:pPr>
                    <w:r>
                      <w:rPr>
                        <w:sz w:val="20"/>
                      </w:rPr>
                      <w:t>(2A) </w:t>
                    </w:r>
                    <w:r>
                      <w:rPr>
                        <w:rFonts w:ascii="Symbol" w:hAnsi="Symbol"/>
                        <w:sz w:val="20"/>
                      </w:rPr>
                      <w:t>∆</w:t>
                    </w:r>
                    <w:r>
                      <w:rPr>
                        <w:sz w:val="20"/>
                      </w:rPr>
                      <w:t>C</w:t>
                    </w:r>
                    <w:r>
                      <w:rPr>
                        <w:sz w:val="20"/>
                        <w:vertAlign w:val="subscript"/>
                      </w:rPr>
                      <w:t>HWP</w:t>
                    </w:r>
                    <w:r>
                      <w:rPr>
                        <w:sz w:val="20"/>
                        <w:vertAlign w:val="baseline"/>
                      </w:rPr>
                      <w:t> </w:t>
                    </w:r>
                    <w:r>
                      <w:rPr>
                        <w:spacing w:val="-76"/>
                        <w:sz w:val="20"/>
                        <w:vertAlign w:val="subscript"/>
                      </w:rPr>
                      <w:t>W</w:t>
                    </w:r>
                  </w:p>
                </w:txbxContent>
              </v:textbox>
              <w10:wrap type="none"/>
            </v:shape>
            <v:shape style="position:absolute;left:2492;top:305;width:6952;height:468" type="#_x0000_t202" filled="false" stroked="false">
              <v:textbox inset="0,0,0,0">
                <w:txbxContent>
                  <w:p>
                    <w:pPr>
                      <w:spacing w:line="221" w:lineRule="exact" w:before="0"/>
                      <w:ind w:left="2727" w:right="2747" w:firstLine="0"/>
                      <w:jc w:val="center"/>
                      <w:rPr>
                        <w:b/>
                        <w:sz w:val="20"/>
                      </w:rPr>
                    </w:pPr>
                    <w:r>
                      <w:rPr>
                        <w:b/>
                        <w:sz w:val="20"/>
                      </w:rPr>
                      <w:t>E</w:t>
                    </w:r>
                    <w:r>
                      <w:rPr>
                        <w:b/>
                        <w:sz w:val="16"/>
                      </w:rPr>
                      <w:t>QUATION</w:t>
                    </w:r>
                    <w:r>
                      <w:rPr>
                        <w:b/>
                        <w:spacing w:val="-1"/>
                        <w:sz w:val="16"/>
                      </w:rPr>
                      <w:t> </w:t>
                    </w:r>
                    <w:r>
                      <w:rPr>
                        <w:b/>
                        <w:sz w:val="20"/>
                      </w:rPr>
                      <w:t>3a.1.2</w:t>
                    </w:r>
                  </w:p>
                  <w:p>
                    <w:pPr>
                      <w:spacing w:before="0"/>
                      <w:ind w:left="-1" w:right="18" w:firstLine="0"/>
                      <w:jc w:val="center"/>
                      <w:rPr>
                        <w:b/>
                        <w:sz w:val="16"/>
                      </w:rPr>
                    </w:pPr>
                    <w:r>
                      <w:rPr>
                        <w:b/>
                        <w:sz w:val="20"/>
                      </w:rPr>
                      <w:t>A</w:t>
                    </w:r>
                    <w:r>
                      <w:rPr>
                        <w:b/>
                        <w:sz w:val="16"/>
                      </w:rPr>
                      <w:t>NNUAL</w:t>
                    </w:r>
                    <w:r>
                      <w:rPr>
                        <w:b/>
                        <w:spacing w:val="-1"/>
                        <w:sz w:val="16"/>
                      </w:rPr>
                      <w:t> </w:t>
                    </w:r>
                    <w:r>
                      <w:rPr>
                        <w:b/>
                        <w:sz w:val="16"/>
                      </w:rPr>
                      <w:t>CHANGE</w:t>
                    </w:r>
                    <w:r>
                      <w:rPr>
                        <w:b/>
                        <w:spacing w:val="-1"/>
                        <w:sz w:val="16"/>
                      </w:rPr>
                      <w:t> </w:t>
                    </w:r>
                    <w:r>
                      <w:rPr>
                        <w:b/>
                        <w:sz w:val="16"/>
                      </w:rPr>
                      <w:t>IN</w:t>
                    </w:r>
                    <w:r>
                      <w:rPr>
                        <w:b/>
                        <w:spacing w:val="-2"/>
                        <w:sz w:val="16"/>
                      </w:rPr>
                      <w:t> </w:t>
                    </w:r>
                    <w:r>
                      <w:rPr>
                        <w:b/>
                        <w:sz w:val="20"/>
                      </w:rPr>
                      <w:t>HWP</w:t>
                    </w:r>
                    <w:r>
                      <w:rPr>
                        <w:b/>
                        <w:spacing w:val="-11"/>
                        <w:sz w:val="20"/>
                      </w:rPr>
                      <w:t> </w:t>
                    </w:r>
                    <w:r>
                      <w:rPr>
                        <w:b/>
                        <w:sz w:val="16"/>
                      </w:rPr>
                      <w:t>CARBON</w:t>
                    </w:r>
                    <w:r>
                      <w:rPr>
                        <w:b/>
                        <w:spacing w:val="-2"/>
                        <w:sz w:val="16"/>
                      </w:rPr>
                      <w:t> </w:t>
                    </w:r>
                    <w:r>
                      <w:rPr>
                        <w:b/>
                        <w:sz w:val="16"/>
                      </w:rPr>
                      <w:t>IN</w:t>
                    </w:r>
                    <w:r>
                      <w:rPr>
                        <w:b/>
                        <w:spacing w:val="-2"/>
                        <w:sz w:val="16"/>
                      </w:rPr>
                      <w:t> </w:t>
                    </w:r>
                    <w:r>
                      <w:rPr>
                        <w:b/>
                        <w:sz w:val="20"/>
                      </w:rPr>
                      <w:t>SWDS</w:t>
                    </w:r>
                    <w:r>
                      <w:rPr>
                        <w:b/>
                        <w:spacing w:val="-12"/>
                        <w:sz w:val="20"/>
                      </w:rPr>
                      <w:t> </w:t>
                    </w:r>
                    <w:r>
                      <w:rPr>
                        <w:b/>
                        <w:sz w:val="16"/>
                      </w:rPr>
                      <w:t>AND</w:t>
                    </w:r>
                    <w:r>
                      <w:rPr>
                        <w:b/>
                        <w:spacing w:val="-3"/>
                        <w:sz w:val="16"/>
                      </w:rPr>
                      <w:t> </w:t>
                    </w:r>
                    <w:r>
                      <w:rPr>
                        <w:b/>
                        <w:sz w:val="16"/>
                      </w:rPr>
                      <w:t>THE ASSOCIATED</w:t>
                    </w:r>
                    <w:r>
                      <w:rPr>
                        <w:b/>
                        <w:spacing w:val="-2"/>
                        <w:sz w:val="16"/>
                      </w:rPr>
                      <w:t> </w:t>
                    </w:r>
                    <w:r>
                      <w:rPr>
                        <w:b/>
                        <w:sz w:val="20"/>
                      </w:rPr>
                      <w:t>CO</w:t>
                    </w:r>
                    <w:r>
                      <w:rPr>
                        <w:b/>
                        <w:sz w:val="20"/>
                        <w:vertAlign w:val="subscript"/>
                      </w:rPr>
                      <w:t>2</w:t>
                    </w:r>
                    <w:r>
                      <w:rPr>
                        <w:b/>
                        <w:spacing w:val="-14"/>
                        <w:sz w:val="20"/>
                        <w:vertAlign w:val="baseline"/>
                      </w:rPr>
                      <w:t> </w:t>
                    </w:r>
                    <w:r>
                      <w:rPr>
                        <w:b/>
                        <w:sz w:val="16"/>
                        <w:vertAlign w:val="baseline"/>
                      </w:rPr>
                      <w:t>EMISSIONS</w:t>
                    </w:r>
                  </w:p>
                </w:txbxContent>
              </v:textbox>
              <w10:wrap type="none"/>
            </v:shape>
            <w10:wrap type="topAndBottom"/>
          </v:group>
        </w:pict>
      </w:r>
    </w:p>
    <w:p>
      <w:pPr>
        <w:pStyle w:val="BodyText"/>
        <w:spacing w:line="220" w:lineRule="exact"/>
        <w:ind w:left="119"/>
      </w:pPr>
      <w:r>
        <w:rPr/>
        <w:t>Where:</w:t>
      </w:r>
    </w:p>
    <w:p>
      <w:pPr>
        <w:pStyle w:val="BodyText"/>
        <w:tabs>
          <w:tab w:pos="1770" w:val="left" w:leader="none"/>
        </w:tabs>
        <w:spacing w:before="132"/>
        <w:ind w:left="685"/>
      </w:pPr>
      <w:r>
        <w:rPr/>
        <w:pict>
          <v:shape style="position:absolute;margin-left:139.240433pt;margin-top:14.721544pt;width:12.75pt;height:7.2pt;mso-position-horizontal-relative:page;mso-position-vertical-relative:paragraph;z-index:-2440792" type="#_x0000_t202" filled="false" stroked="false">
            <v:textbox inset="0,0,0,0">
              <w:txbxContent>
                <w:p>
                  <w:pPr>
                    <w:spacing w:line="144" w:lineRule="exact" w:before="0"/>
                    <w:ind w:left="0" w:right="0" w:firstLine="0"/>
                    <w:jc w:val="left"/>
                    <w:rPr>
                      <w:sz w:val="13"/>
                    </w:rPr>
                  </w:pPr>
                  <w:r>
                    <w:rPr>
                      <w:sz w:val="13"/>
                    </w:rPr>
                    <w:t>SCA</w:t>
                  </w:r>
                </w:p>
              </w:txbxContent>
            </v:textbox>
            <w10:wrap type="none"/>
          </v:shape>
        </w:pict>
      </w:r>
      <w:r>
        <w:rPr>
          <w:rFonts w:ascii="Symbol" w:hAnsi="Symbol"/>
        </w:rPr>
        <w:t>∆ </w:t>
      </w:r>
      <w:r>
        <w:rPr/>
        <w:t>C</w:t>
      </w:r>
      <w:r>
        <w:rPr>
          <w:spacing w:val="-1"/>
        </w:rPr>
        <w:t> </w:t>
      </w:r>
      <w:r>
        <w:rPr>
          <w:vertAlign w:val="subscript"/>
        </w:rPr>
        <w:t>HWP</w:t>
      </w:r>
      <w:r>
        <w:rPr>
          <w:spacing w:val="-17"/>
          <w:vertAlign w:val="baseline"/>
        </w:rPr>
        <w:t> </w:t>
      </w:r>
      <w:r>
        <w:rPr>
          <w:vertAlign w:val="subscript"/>
        </w:rPr>
        <w:t>W</w:t>
      </w:r>
      <w:r>
        <w:rPr>
          <w:vertAlign w:val="baseline"/>
        </w:rPr>
        <w:tab/>
        <w:t>= annual change in carbon stored in HWP in SWDS in the country, tonnes C</w:t>
      </w:r>
      <w:r>
        <w:rPr>
          <w:spacing w:val="-8"/>
          <w:vertAlign w:val="baseline"/>
        </w:rPr>
        <w:t> </w:t>
      </w:r>
      <w:r>
        <w:rPr>
          <w:vertAlign w:val="baseline"/>
        </w:rPr>
        <w:t>yr</w:t>
      </w:r>
      <w:r>
        <w:rPr>
          <w:vertAlign w:val="superscript"/>
        </w:rPr>
        <w:t>-1</w:t>
      </w:r>
    </w:p>
    <w:p>
      <w:pPr>
        <w:spacing w:after="0"/>
        <w:sectPr>
          <w:pgSz w:w="11900" w:h="16840"/>
          <w:pgMar w:header="235" w:footer="408" w:top="920" w:bottom="600" w:left="1300" w:right="1280"/>
        </w:sectPr>
      </w:pPr>
    </w:p>
    <w:p>
      <w:pPr>
        <w:spacing w:before="180"/>
        <w:ind w:left="685" w:right="0" w:firstLine="0"/>
        <w:jc w:val="left"/>
        <w:rPr>
          <w:sz w:val="13"/>
        </w:rPr>
      </w:pPr>
      <w:r>
        <w:rPr/>
        <w:pict>
          <v:shape style="position:absolute;margin-left:136.720428pt;margin-top:17.061769pt;width:8.550pt;height:7.2pt;mso-position-horizontal-relative:page;mso-position-vertical-relative:paragraph;z-index:15424" type="#_x0000_t202" filled="false" stroked="false">
            <v:textbox inset="0,0,0,0">
              <w:txbxContent>
                <w:p>
                  <w:pPr>
                    <w:spacing w:line="144" w:lineRule="exact" w:before="0"/>
                    <w:ind w:left="0" w:right="0" w:firstLine="0"/>
                    <w:jc w:val="left"/>
                    <w:rPr>
                      <w:sz w:val="13"/>
                    </w:rPr>
                  </w:pPr>
                  <w:r>
                    <w:rPr>
                      <w:sz w:val="13"/>
                    </w:rPr>
                    <w:t>PA</w:t>
                  </w:r>
                </w:p>
              </w:txbxContent>
            </v:textbox>
            <w10:wrap type="none"/>
          </v:shape>
        </w:pict>
      </w:r>
      <w:r>
        <w:rPr>
          <w:rFonts w:ascii="Symbol" w:hAnsi="Symbol"/>
          <w:position w:val="3"/>
          <w:sz w:val="20"/>
        </w:rPr>
        <w:t>∆</w:t>
      </w:r>
      <w:r>
        <w:rPr>
          <w:position w:val="3"/>
          <w:sz w:val="20"/>
        </w:rPr>
        <w:t>C </w:t>
      </w:r>
      <w:r>
        <w:rPr>
          <w:sz w:val="13"/>
        </w:rPr>
        <w:t>HWP W</w:t>
      </w:r>
    </w:p>
    <w:p>
      <w:pPr>
        <w:pStyle w:val="BodyText"/>
        <w:spacing w:line="302" w:lineRule="auto" w:before="178"/>
        <w:ind w:left="284" w:hanging="116"/>
      </w:pPr>
      <w:r>
        <w:rPr/>
        <w:br w:type="column"/>
      </w:r>
      <w:r>
        <w:rPr/>
        <w:t>= annual change in carbon in HWP in SWDS </w:t>
      </w:r>
      <w:r>
        <w:rPr>
          <w:u w:val="single"/>
        </w:rPr>
        <w:t>from wood harvested in the country</w:t>
      </w:r>
      <w:r>
        <w:rPr/>
        <w:t> (includes carbon in exports and excludes carbon in imports), tonnes C yr</w:t>
      </w:r>
      <w:r>
        <w:rPr>
          <w:vertAlign w:val="superscript"/>
        </w:rPr>
        <w:t>-1</w:t>
      </w:r>
    </w:p>
    <w:p>
      <w:pPr>
        <w:spacing w:after="0" w:line="302" w:lineRule="auto"/>
        <w:sectPr>
          <w:type w:val="continuous"/>
          <w:pgSz w:w="11900" w:h="16840"/>
          <w:pgMar w:top="1060" w:bottom="280" w:left="1300" w:right="1280"/>
          <w:cols w:num="2" w:equalWidth="0">
            <w:col w:w="1605" w:space="40"/>
            <w:col w:w="7675"/>
          </w:cols>
        </w:sectPr>
      </w:pPr>
    </w:p>
    <w:p>
      <w:pPr>
        <w:pStyle w:val="BodyText"/>
        <w:tabs>
          <w:tab w:pos="1748" w:val="left" w:leader="none"/>
        </w:tabs>
        <w:spacing w:before="76"/>
        <w:ind w:left="685"/>
      </w:pPr>
      <w:r>
        <w:rPr/>
        <w:pict>
          <v:shape style="position:absolute;margin-left:135.160843pt;margin-top:11.922002pt;width:13pt;height:7.2pt;mso-position-horizontal-relative:page;mso-position-vertical-relative:paragraph;z-index:-2440768" type="#_x0000_t202" filled="false" stroked="false">
            <v:textbox inset="0,0,0,0">
              <w:txbxContent>
                <w:p>
                  <w:pPr>
                    <w:spacing w:line="144" w:lineRule="exact" w:before="0"/>
                    <w:ind w:left="0" w:right="0" w:firstLine="0"/>
                    <w:jc w:val="left"/>
                    <w:rPr>
                      <w:sz w:val="13"/>
                    </w:rPr>
                  </w:pPr>
                  <w:r>
                    <w:rPr>
                      <w:w w:val="95"/>
                      <w:sz w:val="13"/>
                    </w:rPr>
                    <w:t>AFA</w:t>
                  </w:r>
                </w:p>
              </w:txbxContent>
            </v:textbox>
            <w10:wrap type="none"/>
          </v:shape>
        </w:pict>
      </w:r>
      <w:r>
        <w:rPr>
          <w:rFonts w:ascii="Symbol" w:hAnsi="Symbol"/>
        </w:rPr>
        <w:t>∆</w:t>
      </w:r>
      <w:r>
        <w:rPr/>
        <w:t>C</w:t>
      </w:r>
      <w:r>
        <w:rPr>
          <w:vertAlign w:val="subscript"/>
        </w:rPr>
        <w:t>HWP</w:t>
      </w:r>
      <w:r>
        <w:rPr>
          <w:vertAlign w:val="baseline"/>
        </w:rPr>
        <w:t> </w:t>
      </w:r>
      <w:r>
        <w:rPr>
          <w:vertAlign w:val="subscript"/>
        </w:rPr>
        <w:t>W</w:t>
      </w:r>
      <w:r>
        <w:rPr>
          <w:vertAlign w:val="baseline"/>
        </w:rPr>
        <w:tab/>
        <w:t>= carbon </w:t>
      </w:r>
      <w:r>
        <w:rPr>
          <w:u w:val="single"/>
          <w:vertAlign w:val="baseline"/>
        </w:rPr>
        <w:t>emissions</w:t>
      </w:r>
      <w:r>
        <w:rPr>
          <w:vertAlign w:val="baseline"/>
        </w:rPr>
        <w:t> from HWP in SWDS, tonnes C</w:t>
      </w:r>
      <w:r>
        <w:rPr>
          <w:spacing w:val="-3"/>
          <w:vertAlign w:val="baseline"/>
        </w:rPr>
        <w:t> </w:t>
      </w:r>
      <w:r>
        <w:rPr>
          <w:vertAlign w:val="baseline"/>
        </w:rPr>
        <w:t>yr</w:t>
      </w:r>
      <w:r>
        <w:rPr>
          <w:vertAlign w:val="superscript"/>
        </w:rPr>
        <w:t>-1</w:t>
      </w:r>
    </w:p>
    <w:p>
      <w:pPr>
        <w:pStyle w:val="BodyText"/>
        <w:rPr>
          <w:sz w:val="26"/>
        </w:rPr>
      </w:pPr>
    </w:p>
    <w:p>
      <w:pPr>
        <w:pStyle w:val="BodyText"/>
        <w:spacing w:before="213"/>
        <w:ind w:left="119" w:right="119"/>
        <w:jc w:val="both"/>
      </w:pPr>
      <w:r>
        <w:rPr/>
        <w:t>Each variable below has at least two parts – at least one for solidwood products, and at least one for paper products</w:t>
      </w:r>
    </w:p>
    <w:p>
      <w:pPr>
        <w:pStyle w:val="BodyText"/>
        <w:spacing w:before="121"/>
        <w:ind w:left="1386" w:right="515" w:hanging="680"/>
      </w:pPr>
      <w:r>
        <w:rPr/>
        <w:t>W</w:t>
      </w:r>
      <w:r>
        <w:rPr>
          <w:vertAlign w:val="subscript"/>
        </w:rPr>
        <w:t>AP</w:t>
      </w:r>
      <w:r>
        <w:rPr>
          <w:vertAlign w:val="baseline"/>
        </w:rPr>
        <w:t> = amount of current year additions of HWP carbon to SWDS which are permanent (no decay)</w:t>
      </w:r>
      <w:r>
        <w:rPr>
          <w:vertAlign w:val="superscript"/>
        </w:rPr>
        <w:t>7</w:t>
      </w:r>
      <w:r>
        <w:rPr>
          <w:vertAlign w:val="baseline"/>
        </w:rPr>
        <w:t>, tonnes C yr</w:t>
      </w:r>
      <w:r>
        <w:rPr>
          <w:vertAlign w:val="superscript"/>
        </w:rPr>
        <w:t>-1</w:t>
      </w:r>
    </w:p>
    <w:p>
      <w:pPr>
        <w:pStyle w:val="BodyText"/>
        <w:spacing w:before="118"/>
        <w:ind w:left="685"/>
      </w:pPr>
      <w:r>
        <w:rPr/>
        <w:t>W</w:t>
      </w:r>
      <w:r>
        <w:rPr>
          <w:vertAlign w:val="subscript"/>
        </w:rPr>
        <w:t>AD</w:t>
      </w:r>
      <w:r>
        <w:rPr>
          <w:vertAlign w:val="baseline"/>
        </w:rPr>
        <w:t> = amount of current year additions of HWP carbon to SWDS which decay over time (note that W</w:t>
      </w:r>
      <w:r>
        <w:rPr>
          <w:vertAlign w:val="subscript"/>
        </w:rPr>
        <w:t>AP</w:t>
      </w:r>
    </w:p>
    <w:p>
      <w:pPr>
        <w:pStyle w:val="BodyText"/>
        <w:spacing w:before="1"/>
        <w:ind w:left="1386"/>
      </w:pPr>
      <w:r>
        <w:rPr/>
        <w:t>+ W</w:t>
      </w:r>
      <w:r>
        <w:rPr>
          <w:vertAlign w:val="subscript"/>
        </w:rPr>
        <w:t>AD</w:t>
      </w:r>
      <w:r>
        <w:rPr>
          <w:vertAlign w:val="baseline"/>
        </w:rPr>
        <w:t> = W in Tier 2a), tonnes C yr</w:t>
      </w:r>
      <w:r>
        <w:rPr>
          <w:vertAlign w:val="superscript"/>
        </w:rPr>
        <w:t>-1</w:t>
      </w:r>
    </w:p>
    <w:p>
      <w:pPr>
        <w:pStyle w:val="BodyText"/>
        <w:spacing w:before="120"/>
        <w:ind w:left="707"/>
      </w:pPr>
      <w:r>
        <w:rPr/>
        <w:t>W</w:t>
      </w:r>
      <w:r>
        <w:rPr>
          <w:vertAlign w:val="subscript"/>
        </w:rPr>
        <w:t>L</w:t>
      </w:r>
      <w:r>
        <w:rPr>
          <w:vertAlign w:val="baseline"/>
        </w:rPr>
        <w:t> = loss of HWP carbon from SWDS (placed in sites in current or prior years)</w:t>
      </w:r>
    </w:p>
    <w:p>
      <w:pPr>
        <w:pStyle w:val="BodyText"/>
        <w:spacing w:before="118"/>
        <w:ind w:left="1566" w:hanging="881"/>
      </w:pPr>
      <w:r>
        <w:rPr/>
        <w:t>WH</w:t>
      </w:r>
      <w:r>
        <w:rPr>
          <w:vertAlign w:val="subscript"/>
        </w:rPr>
        <w:t>AP</w:t>
      </w:r>
      <w:r>
        <w:rPr>
          <w:vertAlign w:val="baseline"/>
        </w:rPr>
        <w:t> = amount of current year additions of HWP carbon to SWDS that are permanent (no decay) (</w:t>
      </w:r>
      <w:r>
        <w:rPr>
          <w:u w:val="single"/>
          <w:vertAlign w:val="baseline"/>
        </w:rPr>
        <w:t>from</w:t>
      </w:r>
      <w:r>
        <w:rPr>
          <w:vertAlign w:val="baseline"/>
        </w:rPr>
        <w:t> </w:t>
      </w:r>
      <w:r>
        <w:rPr>
          <w:u w:val="single"/>
          <w:vertAlign w:val="baseline"/>
        </w:rPr>
        <w:t>wood harvested in the country)</w:t>
      </w:r>
      <w:r>
        <w:rPr>
          <w:vertAlign w:val="baseline"/>
        </w:rPr>
        <w:t>, tonnes C yr</w:t>
      </w:r>
      <w:r>
        <w:rPr>
          <w:vertAlign w:val="superscript"/>
        </w:rPr>
        <w:t>-1</w:t>
      </w:r>
    </w:p>
    <w:p>
      <w:pPr>
        <w:pStyle w:val="BodyText"/>
        <w:spacing w:before="121"/>
        <w:ind w:left="1566" w:hanging="881"/>
      </w:pPr>
      <w:r>
        <w:rPr/>
        <w:t>WH</w:t>
      </w:r>
      <w:r>
        <w:rPr>
          <w:vertAlign w:val="subscript"/>
        </w:rPr>
        <w:t>AD</w:t>
      </w:r>
      <w:r>
        <w:rPr>
          <w:vertAlign w:val="baseline"/>
        </w:rPr>
        <w:t> = amount of current year additions of HWP carbon to SWDS which decay over time (</w:t>
      </w:r>
      <w:r>
        <w:rPr>
          <w:u w:val="single"/>
          <w:vertAlign w:val="baseline"/>
        </w:rPr>
        <w:t>from wood</w:t>
      </w:r>
      <w:r>
        <w:rPr>
          <w:vertAlign w:val="baseline"/>
        </w:rPr>
        <w:t> </w:t>
      </w:r>
      <w:r>
        <w:rPr>
          <w:u w:val="single"/>
          <w:vertAlign w:val="baseline"/>
        </w:rPr>
        <w:t>harvested in the country)</w:t>
      </w:r>
      <w:r>
        <w:rPr>
          <w:vertAlign w:val="baseline"/>
        </w:rPr>
        <w:t>, tonnes C yr</w:t>
      </w:r>
      <w:r>
        <w:rPr>
          <w:vertAlign w:val="superscript"/>
        </w:rPr>
        <w:t>-1</w:t>
      </w:r>
    </w:p>
    <w:p>
      <w:pPr>
        <w:pStyle w:val="BodyText"/>
        <w:spacing w:before="118"/>
        <w:ind w:left="1386" w:right="120" w:hanging="701"/>
      </w:pPr>
      <w:r>
        <w:rPr/>
        <w:t>WH</w:t>
      </w:r>
      <w:r>
        <w:rPr>
          <w:vertAlign w:val="subscript"/>
        </w:rPr>
        <w:t>L</w:t>
      </w:r>
      <w:r>
        <w:rPr>
          <w:vertAlign w:val="baseline"/>
        </w:rPr>
        <w:t> = loss of HWP carbon from SWDS (placed in sites in current or prior years) (</w:t>
      </w:r>
      <w:r>
        <w:rPr>
          <w:u w:val="single"/>
          <w:vertAlign w:val="baseline"/>
        </w:rPr>
        <w:t>from wood harvested</w:t>
      </w:r>
      <w:r>
        <w:rPr>
          <w:vertAlign w:val="baseline"/>
        </w:rPr>
        <w:t> </w:t>
      </w:r>
      <w:r>
        <w:rPr>
          <w:u w:val="single"/>
          <w:vertAlign w:val="baseline"/>
        </w:rPr>
        <w:t>in the country)</w:t>
      </w:r>
      <w:r>
        <w:rPr>
          <w:vertAlign w:val="baseline"/>
        </w:rPr>
        <w:t>, tonnes C yr</w:t>
      </w:r>
      <w:r>
        <w:rPr>
          <w:vertAlign w:val="superscript"/>
        </w:rPr>
        <w:t>-1</w:t>
      </w:r>
    </w:p>
    <w:p>
      <w:pPr>
        <w:pStyle w:val="BodyText"/>
        <w:spacing w:before="121"/>
        <w:ind w:left="119" w:right="120"/>
        <w:jc w:val="both"/>
      </w:pPr>
      <w:r>
        <w:rPr/>
        <w:t>We do not provide detailed equations and data to estimate storage in SWDS because more development is needed on default data and methods and this development needs to be coordinated with guidance provided for the Waste Sector on how to calculate emissions from</w:t>
      </w:r>
      <w:r>
        <w:rPr>
          <w:spacing w:val="-7"/>
        </w:rPr>
        <w:t> </w:t>
      </w:r>
      <w:r>
        <w:rPr/>
        <w:t>SWDS.</w:t>
      </w:r>
    </w:p>
    <w:p>
      <w:pPr>
        <w:pStyle w:val="BodyText"/>
        <w:spacing w:before="119"/>
        <w:ind w:left="119"/>
      </w:pPr>
      <w:r>
        <w:rPr/>
        <w:t>In general terms, estimation of the HWP carbon storage in SWDS requires data on:</w:t>
      </w:r>
    </w:p>
    <w:p>
      <w:pPr>
        <w:pStyle w:val="ListParagraph"/>
        <w:numPr>
          <w:ilvl w:val="1"/>
          <w:numId w:val="113"/>
        </w:numPr>
        <w:tabs>
          <w:tab w:pos="1196" w:val="left" w:leader="none"/>
          <w:tab w:pos="1197" w:val="left" w:leader="none"/>
        </w:tabs>
        <w:spacing w:line="240" w:lineRule="auto" w:before="121" w:after="0"/>
        <w:ind w:left="1196" w:right="0" w:hanging="571"/>
        <w:jc w:val="left"/>
        <w:rPr>
          <w:sz w:val="20"/>
        </w:rPr>
      </w:pPr>
      <w:r>
        <w:rPr>
          <w:sz w:val="20"/>
        </w:rPr>
        <w:t>The fraction of discarded HWP carbon that goes to SWDS each</w:t>
      </w:r>
      <w:r>
        <w:rPr>
          <w:spacing w:val="-7"/>
          <w:sz w:val="20"/>
        </w:rPr>
        <w:t> </w:t>
      </w:r>
      <w:r>
        <w:rPr>
          <w:sz w:val="20"/>
        </w:rPr>
        <w:t>year;</w:t>
      </w:r>
    </w:p>
    <w:p>
      <w:pPr>
        <w:pStyle w:val="ListParagraph"/>
        <w:numPr>
          <w:ilvl w:val="1"/>
          <w:numId w:val="113"/>
        </w:numPr>
        <w:tabs>
          <w:tab w:pos="1196" w:val="left" w:leader="none"/>
          <w:tab w:pos="1197" w:val="left" w:leader="none"/>
        </w:tabs>
        <w:spacing w:line="240" w:lineRule="auto" w:before="120" w:after="0"/>
        <w:ind w:left="1196" w:right="121" w:hanging="597"/>
        <w:jc w:val="left"/>
        <w:rPr>
          <w:sz w:val="20"/>
        </w:rPr>
      </w:pPr>
      <w:r>
        <w:rPr>
          <w:sz w:val="20"/>
        </w:rPr>
        <w:t>The fraction of HWP carbon going to SWDS that goes to anaerobic conditions (versus aerobic conditions);</w:t>
      </w:r>
    </w:p>
    <w:p>
      <w:pPr>
        <w:pStyle w:val="ListParagraph"/>
        <w:numPr>
          <w:ilvl w:val="1"/>
          <w:numId w:val="113"/>
        </w:numPr>
        <w:tabs>
          <w:tab w:pos="1196" w:val="left" w:leader="none"/>
          <w:tab w:pos="1197" w:val="left" w:leader="none"/>
        </w:tabs>
        <w:spacing w:line="240" w:lineRule="auto" w:before="118" w:after="0"/>
        <w:ind w:left="1196" w:right="119" w:hanging="626"/>
        <w:jc w:val="left"/>
        <w:rPr>
          <w:sz w:val="20"/>
        </w:rPr>
      </w:pPr>
      <w:r>
        <w:rPr>
          <w:sz w:val="20"/>
        </w:rPr>
        <w:t>The fraction of HWP carbon going to anaerobic conditions in SWDS that decays (a portion does not decay as indicated by the good practice guidance for the Waste Sector</w:t>
      </w:r>
      <w:r>
        <w:rPr>
          <w:spacing w:val="-11"/>
          <w:sz w:val="20"/>
        </w:rPr>
        <w:t> </w:t>
      </w:r>
      <w:r>
        <w:rPr>
          <w:sz w:val="20"/>
        </w:rPr>
        <w:t>(</w:t>
      </w:r>
      <w:r>
        <w:rPr>
          <w:i/>
          <w:sz w:val="20"/>
        </w:rPr>
        <w:t>GPG2000</w:t>
      </w:r>
      <w:r>
        <w:rPr>
          <w:sz w:val="20"/>
        </w:rPr>
        <w:t>);</w:t>
      </w:r>
    </w:p>
    <w:p>
      <w:pPr>
        <w:pStyle w:val="ListParagraph"/>
        <w:numPr>
          <w:ilvl w:val="1"/>
          <w:numId w:val="113"/>
        </w:numPr>
        <w:tabs>
          <w:tab w:pos="1196" w:val="left" w:leader="none"/>
          <w:tab w:pos="1197" w:val="left" w:leader="none"/>
        </w:tabs>
        <w:spacing w:line="240" w:lineRule="auto" w:before="121" w:after="0"/>
        <w:ind w:left="1196" w:right="0" w:hanging="621"/>
        <w:jc w:val="left"/>
        <w:rPr>
          <w:sz w:val="20"/>
        </w:rPr>
      </w:pPr>
      <w:r>
        <w:rPr>
          <w:sz w:val="20"/>
        </w:rPr>
        <w:t>The rate of decay for the portion of HWP carbon (in anaerobic conditions) that does decay;</w:t>
      </w:r>
      <w:r>
        <w:rPr>
          <w:spacing w:val="-23"/>
          <w:sz w:val="20"/>
        </w:rPr>
        <w:t> </w:t>
      </w:r>
      <w:r>
        <w:rPr>
          <w:sz w:val="20"/>
        </w:rPr>
        <w:t>and</w:t>
      </w:r>
    </w:p>
    <w:p>
      <w:pPr>
        <w:pStyle w:val="ListParagraph"/>
        <w:numPr>
          <w:ilvl w:val="1"/>
          <w:numId w:val="113"/>
        </w:numPr>
        <w:tabs>
          <w:tab w:pos="1196" w:val="left" w:leader="none"/>
          <w:tab w:pos="1197" w:val="left" w:leader="none"/>
        </w:tabs>
        <w:spacing w:line="240" w:lineRule="auto" w:before="118" w:after="0"/>
        <w:ind w:left="1196" w:right="0" w:hanging="592"/>
        <w:jc w:val="left"/>
        <w:rPr>
          <w:sz w:val="20"/>
        </w:rPr>
      </w:pPr>
      <w:r>
        <w:rPr>
          <w:sz w:val="20"/>
        </w:rPr>
        <w:t>The rate of decay for HWP carbon in aerobic</w:t>
      </w:r>
      <w:r>
        <w:rPr>
          <w:spacing w:val="-8"/>
          <w:sz w:val="20"/>
        </w:rPr>
        <w:t> </w:t>
      </w:r>
      <w:r>
        <w:rPr>
          <w:sz w:val="20"/>
        </w:rPr>
        <w:t>conditions.</w:t>
      </w:r>
    </w:p>
    <w:p>
      <w:pPr>
        <w:pStyle w:val="BodyText"/>
      </w:pPr>
      <w:r>
        <w:rPr/>
        <w:pict>
          <v:line style="position:absolute;mso-position-horizontal-relative:page;mso-position-vertical-relative:paragraph;z-index:13304;mso-wrap-distance-left:0;mso-wrap-distance-right:0" from="70.960999pt,13.705964pt" to="214.960999pt,13.705964pt" stroked="true" strokeweight=".48pt" strokecolor="#000000">
            <v:stroke dashstyle="solid"/>
            <w10:wrap type="topAndBottom"/>
          </v:line>
        </w:pict>
      </w:r>
    </w:p>
    <w:p>
      <w:pPr>
        <w:spacing w:before="153"/>
        <w:ind w:left="277" w:right="374" w:hanging="159"/>
        <w:jc w:val="left"/>
        <w:rPr>
          <w:sz w:val="18"/>
        </w:rPr>
      </w:pPr>
      <w:r>
        <w:rPr>
          <w:position w:val="8"/>
          <w:sz w:val="12"/>
        </w:rPr>
        <w:t>7 </w:t>
      </w:r>
      <w:r>
        <w:rPr>
          <w:sz w:val="18"/>
        </w:rPr>
        <w:t>Only a portion of degradable organic carbon in SWDS decays as indicated in the </w:t>
      </w:r>
      <w:r>
        <w:rPr>
          <w:i/>
          <w:sz w:val="18"/>
        </w:rPr>
        <w:t>IPCC Guidelines </w:t>
      </w:r>
      <w:r>
        <w:rPr>
          <w:sz w:val="18"/>
        </w:rPr>
        <w:t>for the Waste Sector (see variable DOC</w:t>
      </w:r>
      <w:r>
        <w:rPr>
          <w:sz w:val="18"/>
          <w:vertAlign w:val="subscript"/>
        </w:rPr>
        <w:t>F</w:t>
      </w:r>
      <w:r>
        <w:rPr>
          <w:sz w:val="18"/>
          <w:vertAlign w:val="baseline"/>
        </w:rPr>
        <w:t> in </w:t>
      </w:r>
      <w:r>
        <w:rPr>
          <w:i/>
          <w:sz w:val="18"/>
          <w:vertAlign w:val="baseline"/>
        </w:rPr>
        <w:t>IPCC Guidelines</w:t>
      </w:r>
      <w:r>
        <w:rPr>
          <w:sz w:val="18"/>
          <w:vertAlign w:val="baseline"/>
        </w:rPr>
        <w:t>, Reference Manual p 6.5).</w:t>
      </w:r>
    </w:p>
    <w:p>
      <w:pPr>
        <w:spacing w:after="0"/>
        <w:jc w:val="left"/>
        <w:rPr>
          <w:sz w:val="18"/>
        </w:rPr>
        <w:sectPr>
          <w:type w:val="continuous"/>
          <w:pgSz w:w="11900" w:h="16840"/>
          <w:pgMar w:top="1060" w:bottom="280" w:left="1300" w:right="1280"/>
        </w:sectPr>
      </w:pPr>
    </w:p>
    <w:p>
      <w:pPr>
        <w:pStyle w:val="BodyText"/>
        <w:spacing w:before="111"/>
        <w:ind w:left="119" w:right="116"/>
        <w:jc w:val="both"/>
      </w:pPr>
      <w:r>
        <w:rPr/>
        <w:t>Information on default data for items 2 through 5 above are indicated in the good practice guidance for the Waste Sector (</w:t>
      </w:r>
      <w:r>
        <w:rPr>
          <w:i/>
        </w:rPr>
        <w:t>GPG2000</w:t>
      </w:r>
      <w:r>
        <w:rPr/>
        <w:t>). Country-specific data are needed for item 1 above – the fraction of discarded HWP carbon that goes to SWDS each year.</w:t>
      </w:r>
    </w:p>
    <w:p>
      <w:pPr>
        <w:pStyle w:val="BodyText"/>
        <w:spacing w:before="2"/>
        <w:rPr>
          <w:sz w:val="21"/>
        </w:rPr>
      </w:pPr>
    </w:p>
    <w:p>
      <w:pPr>
        <w:spacing w:before="1"/>
        <w:ind w:left="119" w:right="0" w:firstLine="0"/>
        <w:jc w:val="both"/>
        <w:rPr>
          <w:b/>
          <w:sz w:val="20"/>
        </w:rPr>
      </w:pPr>
      <w:r>
        <w:rPr/>
        <w:pict>
          <v:group style="position:absolute;margin-left:82.240997pt;margin-top:13.706721pt;width:432.4pt;height:85.8pt;mso-position-horizontal-relative:page;mso-position-vertical-relative:paragraph;z-index:13832;mso-wrap-distance-left:0;mso-wrap-distance-right:0" coordorigin="1645,274" coordsize="8648,1716">
            <v:line style="position:absolute" from="1674,289" to="10263,289" stroked="true" strokeweight="1.44pt" strokecolor="#000000">
              <v:stroke dashstyle="solid"/>
            </v:line>
            <v:line style="position:absolute" from="1674,1976" to="10263,1976" stroked="true" strokeweight="1.44pt" strokecolor="#000000">
              <v:stroke dashstyle="solid"/>
            </v:line>
            <v:line style="position:absolute" from="1659,274" to="1659,1990" stroked="true" strokeweight="1.44pt" strokecolor="#000000">
              <v:stroke dashstyle="solid"/>
            </v:line>
            <v:line style="position:absolute" from="10278,274" to="10278,1990" stroked="true" strokeweight="1.44pt" strokecolor="#000000">
              <v:stroke dashstyle="solid"/>
            </v:line>
            <v:shape style="position:absolute;left:6934;top:1344;width:2531;height:511" type="#_x0000_t202" filled="false" stroked="false">
              <v:textbox inset="0,0,0,0">
                <w:txbxContent>
                  <w:p>
                    <w:pPr>
                      <w:numPr>
                        <w:ilvl w:val="0"/>
                        <w:numId w:val="115"/>
                      </w:numPr>
                      <w:tabs>
                        <w:tab w:pos="171" w:val="left" w:leader="none"/>
                        <w:tab w:pos="1329" w:val="left" w:leader="none"/>
                      </w:tabs>
                      <w:spacing w:line="221" w:lineRule="exact" w:before="0"/>
                      <w:ind w:left="170" w:right="0" w:hanging="170"/>
                      <w:jc w:val="left"/>
                      <w:rPr>
                        <w:sz w:val="20"/>
                      </w:rPr>
                    </w:pPr>
                    <w:r>
                      <w:rPr>
                        <w:sz w:val="20"/>
                      </w:rPr>
                      <w:t>f</w:t>
                    </w:r>
                    <w:r>
                      <w:rPr>
                        <w:sz w:val="20"/>
                        <w:vertAlign w:val="subscript"/>
                      </w:rPr>
                      <w:t>C</w:t>
                    </w:r>
                    <w:r>
                      <w:rPr>
                        <w:sz w:val="20"/>
                        <w:vertAlign w:val="baseline"/>
                      </w:rPr>
                      <w:t> </w:t>
                    </w:r>
                    <w:r>
                      <w:rPr>
                        <w:sz w:val="20"/>
                        <w:vertAlign w:val="subscript"/>
                      </w:rPr>
                      <w:t>SWDS</w:t>
                    </w:r>
                    <w:r>
                      <w:rPr>
                        <w:spacing w:val="-2"/>
                        <w:sz w:val="20"/>
                        <w:vertAlign w:val="baseline"/>
                      </w:rPr>
                      <w:t> </w:t>
                    </w:r>
                    <w:r>
                      <w:rPr>
                        <w:position w:val="-8"/>
                        <w:sz w:val="13"/>
                        <w:vertAlign w:val="baseline"/>
                      </w:rPr>
                      <w:t>t   </w:t>
                    </w:r>
                    <w:r>
                      <w:rPr>
                        <w:spacing w:val="9"/>
                        <w:position w:val="-8"/>
                        <w:sz w:val="13"/>
                        <w:vertAlign w:val="baseline"/>
                      </w:rPr>
                      <w:t> </w:t>
                    </w:r>
                    <w:r>
                      <w:rPr>
                        <w:sz w:val="20"/>
                        <w:vertAlign w:val="baseline"/>
                      </w:rPr>
                      <w:t>)</w:t>
                      <w:tab/>
                      <w:t>(Stock</w:t>
                    </w:r>
                    <w:r>
                      <w:rPr>
                        <w:spacing w:val="-5"/>
                        <w:sz w:val="20"/>
                        <w:vertAlign w:val="baseline"/>
                      </w:rPr>
                      <w:t> </w:t>
                    </w:r>
                    <w:r>
                      <w:rPr>
                        <w:sz w:val="20"/>
                        <w:vertAlign w:val="baseline"/>
                      </w:rPr>
                      <w:t>Change</w:t>
                    </w:r>
                  </w:p>
                  <w:p>
                    <w:pPr>
                      <w:spacing w:line="68" w:lineRule="exact" w:before="0"/>
                      <w:ind w:left="833" w:right="1549" w:firstLine="0"/>
                      <w:jc w:val="center"/>
                      <w:rPr>
                        <w:sz w:val="13"/>
                      </w:rPr>
                    </w:pPr>
                    <w:r>
                      <w:rPr>
                        <w:sz w:val="13"/>
                      </w:rPr>
                      <w:t>-1</w:t>
                    </w:r>
                  </w:p>
                  <w:p>
                    <w:pPr>
                      <w:spacing w:line="222" w:lineRule="exact" w:before="0"/>
                      <w:ind w:left="1543" w:right="0" w:firstLine="0"/>
                      <w:jc w:val="left"/>
                      <w:rPr>
                        <w:sz w:val="20"/>
                      </w:rPr>
                    </w:pPr>
                    <w:r>
                      <w:rPr>
                        <w:sz w:val="20"/>
                      </w:rPr>
                      <w:t>Approach)</w:t>
                    </w:r>
                  </w:p>
                </w:txbxContent>
              </v:textbox>
              <w10:wrap type="none"/>
            </v:shape>
            <v:shape style="position:absolute;left:6737;top:1497;width:167;height:144" type="#_x0000_t202" filled="false" stroked="false">
              <v:textbox inset="0,0,0,0">
                <w:txbxContent>
                  <w:p>
                    <w:pPr>
                      <w:spacing w:line="144" w:lineRule="exact" w:before="0"/>
                      <w:ind w:left="0" w:right="0" w:firstLine="0"/>
                      <w:jc w:val="left"/>
                      <w:rPr>
                        <w:sz w:val="13"/>
                      </w:rPr>
                    </w:pPr>
                    <w:r>
                      <w:rPr>
                        <w:sz w:val="13"/>
                      </w:rPr>
                      <w:t>t-1</w:t>
                    </w:r>
                  </w:p>
                </w:txbxContent>
              </v:textbox>
              <w10:wrap type="none"/>
            </v:shape>
            <v:shape style="position:absolute;left:5489;top:1497;width:56;height:144" type="#_x0000_t202" filled="false" stroked="false">
              <v:textbox inset="0,0,0,0">
                <w:txbxContent>
                  <w:p>
                    <w:pPr>
                      <w:spacing w:line="144" w:lineRule="exact" w:before="0"/>
                      <w:ind w:left="0" w:right="0" w:firstLine="0"/>
                      <w:jc w:val="left"/>
                      <w:rPr>
                        <w:sz w:val="13"/>
                      </w:rPr>
                    </w:pPr>
                    <w:r>
                      <w:rPr>
                        <w:w w:val="99"/>
                        <w:sz w:val="13"/>
                      </w:rPr>
                      <w:t>t</w:t>
                    </w:r>
                  </w:p>
                </w:txbxContent>
              </v:textbox>
              <w10:wrap type="none"/>
            </v:shape>
            <v:shape style="position:absolute;left:4618;top:1497;width:56;height:144" type="#_x0000_t202" filled="false" stroked="false">
              <v:textbox inset="0,0,0,0">
                <w:txbxContent>
                  <w:p>
                    <w:pPr>
                      <w:spacing w:line="144" w:lineRule="exact" w:before="0"/>
                      <w:ind w:left="0" w:right="0" w:firstLine="0"/>
                      <w:jc w:val="left"/>
                      <w:rPr>
                        <w:sz w:val="13"/>
                      </w:rPr>
                    </w:pPr>
                    <w:r>
                      <w:rPr>
                        <w:w w:val="99"/>
                        <w:sz w:val="13"/>
                      </w:rPr>
                      <w:t>t</w:t>
                    </w:r>
                  </w:p>
                </w:txbxContent>
              </v:textbox>
              <w10:wrap type="none"/>
            </v:shape>
            <v:shape style="position:absolute;left:3514;top:1344;width:3196;height:237" type="#_x0000_t202" filled="false" stroked="false">
              <v:textbox inset="0,0,0,0">
                <w:txbxContent>
                  <w:p>
                    <w:pPr>
                      <w:spacing w:line="237" w:lineRule="exact" w:before="0"/>
                      <w:ind w:left="0" w:right="0" w:firstLine="0"/>
                      <w:jc w:val="left"/>
                      <w:rPr>
                        <w:sz w:val="13"/>
                      </w:rPr>
                    </w:pPr>
                    <w:r>
                      <w:rPr>
                        <w:position w:val="3"/>
                        <w:sz w:val="20"/>
                      </w:rPr>
                      <w:t>= (V</w:t>
                    </w:r>
                    <w:r>
                      <w:rPr>
                        <w:sz w:val="13"/>
                      </w:rPr>
                      <w:t>HWP SWDS </w:t>
                    </w:r>
                    <w:r>
                      <w:rPr>
                        <w:position w:val="3"/>
                        <w:sz w:val="20"/>
                      </w:rPr>
                      <w:t>● f</w:t>
                    </w:r>
                    <w:r>
                      <w:rPr>
                        <w:sz w:val="13"/>
                      </w:rPr>
                      <w:t>C SWDS </w:t>
                    </w:r>
                    <w:r>
                      <w:rPr>
                        <w:position w:val="3"/>
                        <w:sz w:val="20"/>
                      </w:rPr>
                      <w:t>) – (V</w:t>
                    </w:r>
                    <w:r>
                      <w:rPr>
                        <w:sz w:val="13"/>
                      </w:rPr>
                      <w:t>HWP SWDS</w:t>
                    </w:r>
                  </w:p>
                </w:txbxContent>
              </v:textbox>
              <w10:wrap type="none"/>
            </v:shape>
            <v:shape style="position:absolute;left:3231;top:1497;width:272;height:144" type="#_x0000_t202" filled="false" stroked="false">
              <v:textbox inset="0,0,0,0">
                <w:txbxContent>
                  <w:p>
                    <w:pPr>
                      <w:spacing w:line="144" w:lineRule="exact" w:before="0"/>
                      <w:ind w:left="0" w:right="0" w:firstLine="0"/>
                      <w:jc w:val="left"/>
                      <w:rPr>
                        <w:sz w:val="13"/>
                      </w:rPr>
                    </w:pPr>
                    <w:r>
                      <w:rPr>
                        <w:sz w:val="13"/>
                      </w:rPr>
                      <w:t>SCA</w:t>
                    </w:r>
                  </w:p>
                </w:txbxContent>
              </v:textbox>
              <w10:wrap type="none"/>
            </v:shape>
            <v:shape style="position:absolute;left:2499;top:1320;width:719;height:261" type="#_x0000_t202" filled="false" stroked="false">
              <v:textbox inset="0,0,0,0">
                <w:txbxContent>
                  <w:p>
                    <w:pPr>
                      <w:spacing w:line="245" w:lineRule="exact" w:before="15"/>
                      <w:ind w:left="0" w:right="0" w:firstLine="0"/>
                      <w:jc w:val="left"/>
                      <w:rPr>
                        <w:sz w:val="13"/>
                      </w:rPr>
                    </w:pPr>
                    <w:r>
                      <w:rPr>
                        <w:rFonts w:ascii="Symbol" w:hAnsi="Symbol"/>
                        <w:position w:val="3"/>
                        <w:sz w:val="20"/>
                      </w:rPr>
                      <w:t>∆</w:t>
                    </w:r>
                    <w:r>
                      <w:rPr>
                        <w:position w:val="3"/>
                        <w:sz w:val="20"/>
                      </w:rPr>
                      <w:t>C</w:t>
                    </w:r>
                    <w:r>
                      <w:rPr>
                        <w:sz w:val="13"/>
                      </w:rPr>
                      <w:t>HWP </w:t>
                    </w:r>
                    <w:r>
                      <w:rPr>
                        <w:spacing w:val="-79"/>
                        <w:sz w:val="13"/>
                      </w:rPr>
                      <w:t>W</w:t>
                    </w:r>
                  </w:p>
                </w:txbxContent>
              </v:textbox>
              <w10:wrap type="none"/>
            </v:shape>
            <v:shape style="position:absolute;left:7392;top:960;width:2556;height:221" type="#_x0000_t202" filled="false" stroked="false">
              <v:textbox inset="0,0,0,0">
                <w:txbxContent>
                  <w:p>
                    <w:pPr>
                      <w:tabs>
                        <w:tab w:pos="448" w:val="left" w:leader="none"/>
                      </w:tabs>
                      <w:spacing w:line="221" w:lineRule="exact" w:before="0"/>
                      <w:ind w:left="0" w:right="0" w:firstLine="0"/>
                      <w:jc w:val="left"/>
                      <w:rPr>
                        <w:sz w:val="20"/>
                      </w:rPr>
                    </w:pPr>
                    <w:r>
                      <w:rPr>
                        <w:sz w:val="20"/>
                      </w:rPr>
                      <w:t>)</w:t>
                      <w:tab/>
                      <w:t>(Stock Change</w:t>
                    </w:r>
                    <w:r>
                      <w:rPr>
                        <w:spacing w:val="-10"/>
                        <w:sz w:val="20"/>
                      </w:rPr>
                      <w:t> </w:t>
                    </w:r>
                    <w:r>
                      <w:rPr>
                        <w:sz w:val="20"/>
                      </w:rPr>
                      <w:t>Approach)</w:t>
                    </w:r>
                  </w:p>
                </w:txbxContent>
              </v:textbox>
              <w10:wrap type="none"/>
            </v:shape>
            <v:shape style="position:absolute;left:7248;top:1113;width:165;height:144" type="#_x0000_t202" filled="false" stroked="false">
              <v:textbox inset="0,0,0,0">
                <w:txbxContent>
                  <w:p>
                    <w:pPr>
                      <w:spacing w:line="144" w:lineRule="exact" w:before="0"/>
                      <w:ind w:left="0" w:right="0" w:firstLine="0"/>
                      <w:jc w:val="left"/>
                      <w:rPr>
                        <w:sz w:val="13"/>
                      </w:rPr>
                    </w:pPr>
                    <w:r>
                      <w:rPr>
                        <w:sz w:val="13"/>
                      </w:rPr>
                      <w:t>t-1</w:t>
                    </w:r>
                  </w:p>
                </w:txbxContent>
              </v:textbox>
              <w10:wrap type="none"/>
            </v:shape>
            <v:shape style="position:absolute;left:6490;top:960;width:729;height:237" type="#_x0000_t202" filled="false" stroked="false">
              <v:textbox inset="0,0,0,0">
                <w:txbxContent>
                  <w:p>
                    <w:pPr>
                      <w:numPr>
                        <w:ilvl w:val="0"/>
                        <w:numId w:val="116"/>
                      </w:numPr>
                      <w:tabs>
                        <w:tab w:pos="171" w:val="left" w:leader="none"/>
                      </w:tabs>
                      <w:spacing w:line="237" w:lineRule="exact" w:before="0"/>
                      <w:ind w:left="170" w:right="0" w:hanging="170"/>
                      <w:jc w:val="left"/>
                      <w:rPr>
                        <w:sz w:val="13"/>
                      </w:rPr>
                    </w:pPr>
                    <w:r>
                      <w:rPr>
                        <w:position w:val="3"/>
                        <w:sz w:val="20"/>
                      </w:rPr>
                      <w:t>f</w:t>
                    </w:r>
                    <w:r>
                      <w:rPr>
                        <w:sz w:val="13"/>
                      </w:rPr>
                      <w:t>C</w:t>
                    </w:r>
                    <w:r>
                      <w:rPr>
                        <w:spacing w:val="-2"/>
                        <w:sz w:val="13"/>
                      </w:rPr>
                      <w:t> </w:t>
                    </w:r>
                    <w:r>
                      <w:rPr>
                        <w:sz w:val="13"/>
                      </w:rPr>
                      <w:t>BLDG</w:t>
                    </w:r>
                  </w:p>
                </w:txbxContent>
              </v:textbox>
              <w10:wrap type="none"/>
            </v:shape>
            <v:shape style="position:absolute;left:6262;top:1113;width:198;height:144" type="#_x0000_t202" filled="false" stroked="false">
              <v:textbox inset="0,0,0,0">
                <w:txbxContent>
                  <w:p>
                    <w:pPr>
                      <w:spacing w:line="144" w:lineRule="exact" w:before="0"/>
                      <w:ind w:left="0" w:right="0" w:firstLine="0"/>
                      <w:jc w:val="left"/>
                      <w:rPr>
                        <w:sz w:val="13"/>
                      </w:rPr>
                    </w:pPr>
                    <w:r>
                      <w:rPr>
                        <w:sz w:val="13"/>
                      </w:rPr>
                      <w:t>t -1</w:t>
                    </w:r>
                  </w:p>
                </w:txbxContent>
              </v:textbox>
              <w10:wrap type="none"/>
            </v:shape>
            <v:shape style="position:absolute;left:5345;top:1113;width:56;height:144" type="#_x0000_t202" filled="false" stroked="false">
              <v:textbox inset="0,0,0,0">
                <w:txbxContent>
                  <w:p>
                    <w:pPr>
                      <w:spacing w:line="144" w:lineRule="exact" w:before="0"/>
                      <w:ind w:left="0" w:right="0" w:firstLine="0"/>
                      <w:jc w:val="left"/>
                      <w:rPr>
                        <w:sz w:val="13"/>
                      </w:rPr>
                    </w:pPr>
                    <w:r>
                      <w:rPr>
                        <w:w w:val="99"/>
                        <w:sz w:val="13"/>
                      </w:rPr>
                      <w:t>t</w:t>
                    </w:r>
                  </w:p>
                </w:txbxContent>
              </v:textbox>
              <w10:wrap type="none"/>
            </v:shape>
            <v:shape style="position:absolute;left:4517;top:1113;width:56;height:144" type="#_x0000_t202" filled="false" stroked="false">
              <v:textbox inset="0,0,0,0">
                <w:txbxContent>
                  <w:p>
                    <w:pPr>
                      <w:spacing w:line="144" w:lineRule="exact" w:before="0"/>
                      <w:ind w:left="0" w:right="0" w:firstLine="0"/>
                      <w:jc w:val="left"/>
                      <w:rPr>
                        <w:sz w:val="13"/>
                      </w:rPr>
                    </w:pPr>
                    <w:r>
                      <w:rPr>
                        <w:w w:val="99"/>
                        <w:sz w:val="13"/>
                      </w:rPr>
                      <w:t>t</w:t>
                    </w:r>
                  </w:p>
                </w:txbxContent>
              </v:textbox>
              <w10:wrap type="none"/>
            </v:shape>
            <v:shape style="position:absolute;left:3756;top:960;width:2476;height:237" type="#_x0000_t202" filled="false" stroked="false">
              <v:textbox inset="0,0,0,0">
                <w:txbxContent>
                  <w:p>
                    <w:pPr>
                      <w:spacing w:line="237" w:lineRule="exact" w:before="0"/>
                      <w:ind w:left="0" w:right="0" w:firstLine="0"/>
                      <w:jc w:val="left"/>
                      <w:rPr>
                        <w:sz w:val="13"/>
                      </w:rPr>
                    </w:pPr>
                    <w:r>
                      <w:rPr>
                        <w:position w:val="3"/>
                        <w:sz w:val="20"/>
                      </w:rPr>
                      <w:t>= (A</w:t>
                    </w:r>
                    <w:r>
                      <w:rPr>
                        <w:sz w:val="13"/>
                      </w:rPr>
                      <w:t>BLDG </w:t>
                    </w:r>
                    <w:r>
                      <w:rPr>
                        <w:position w:val="3"/>
                        <w:sz w:val="20"/>
                      </w:rPr>
                      <w:t>● f</w:t>
                    </w:r>
                    <w:r>
                      <w:rPr>
                        <w:sz w:val="13"/>
                      </w:rPr>
                      <w:t>C BLDG </w:t>
                    </w:r>
                    <w:r>
                      <w:rPr>
                        <w:position w:val="3"/>
                        <w:sz w:val="20"/>
                      </w:rPr>
                      <w:t>) – (A</w:t>
                    </w:r>
                    <w:r>
                      <w:rPr>
                        <w:sz w:val="13"/>
                      </w:rPr>
                      <w:t>BLDG</w:t>
                    </w:r>
                  </w:p>
                </w:txbxContent>
              </v:textbox>
              <w10:wrap type="none"/>
            </v:shape>
            <v:shape style="position:absolute;left:3471;top:1113;width:275;height:144" type="#_x0000_t202" filled="false" stroked="false">
              <v:textbox inset="0,0,0,0">
                <w:txbxContent>
                  <w:p>
                    <w:pPr>
                      <w:spacing w:line="144" w:lineRule="exact" w:before="0"/>
                      <w:ind w:left="0" w:right="0" w:firstLine="0"/>
                      <w:jc w:val="left"/>
                      <w:rPr>
                        <w:sz w:val="13"/>
                      </w:rPr>
                    </w:pPr>
                    <w:r>
                      <w:rPr>
                        <w:sz w:val="13"/>
                      </w:rPr>
                      <w:t>SCA</w:t>
                    </w:r>
                  </w:p>
                </w:txbxContent>
              </v:textbox>
              <w10:wrap type="none"/>
            </v:shape>
            <v:shape style="position:absolute;left:2508;top:936;width:949;height:261" type="#_x0000_t202" filled="false" stroked="false">
              <v:textbox inset="0,0,0,0">
                <w:txbxContent>
                  <w:p>
                    <w:pPr>
                      <w:spacing w:line="245" w:lineRule="exact" w:before="15"/>
                      <w:ind w:left="0" w:right="0" w:firstLine="0"/>
                      <w:jc w:val="left"/>
                      <w:rPr>
                        <w:sz w:val="13"/>
                      </w:rPr>
                    </w:pPr>
                    <w:r>
                      <w:rPr>
                        <w:rFonts w:ascii="Symbol" w:hAnsi="Symbol"/>
                        <w:position w:val="3"/>
                        <w:sz w:val="20"/>
                      </w:rPr>
                      <w:t>∆</w:t>
                    </w:r>
                    <w:r>
                      <w:rPr>
                        <w:position w:val="3"/>
                        <w:sz w:val="20"/>
                      </w:rPr>
                      <w:t>C</w:t>
                    </w:r>
                    <w:r>
                      <w:rPr>
                        <w:sz w:val="13"/>
                      </w:rPr>
                      <w:t>HWP </w:t>
                    </w:r>
                    <w:r>
                      <w:rPr>
                        <w:spacing w:val="-20"/>
                        <w:sz w:val="13"/>
                      </w:rPr>
                      <w:t>BLDG</w:t>
                    </w:r>
                  </w:p>
                </w:txbxContent>
              </v:textbox>
              <w10:wrap type="none"/>
            </v:shape>
            <v:shape style="position:absolute;left:1980;top:960;width:396;height:605" type="#_x0000_t202" filled="false" stroked="false">
              <v:textbox inset="0,0,0,0">
                <w:txbxContent>
                  <w:p>
                    <w:pPr>
                      <w:spacing w:line="221" w:lineRule="exact" w:before="0"/>
                      <w:ind w:left="0" w:right="0" w:firstLine="0"/>
                      <w:jc w:val="left"/>
                      <w:rPr>
                        <w:sz w:val="20"/>
                      </w:rPr>
                    </w:pPr>
                    <w:r>
                      <w:rPr>
                        <w:sz w:val="20"/>
                      </w:rPr>
                      <w:t>(3A)</w:t>
                    </w:r>
                  </w:p>
                  <w:p>
                    <w:pPr>
                      <w:spacing w:before="154"/>
                      <w:ind w:left="0" w:right="0" w:firstLine="0"/>
                      <w:jc w:val="left"/>
                      <w:rPr>
                        <w:sz w:val="20"/>
                      </w:rPr>
                    </w:pPr>
                    <w:r>
                      <w:rPr>
                        <w:sz w:val="20"/>
                      </w:rPr>
                      <w:t>(3B)</w:t>
                    </w:r>
                  </w:p>
                </w:txbxContent>
              </v:textbox>
              <w10:wrap type="none"/>
            </v:shape>
            <v:shape style="position:absolute;left:2468;top:411;width:6999;height:452" type="#_x0000_t202" filled="false" stroked="false">
              <v:textbox inset="0,0,0,0">
                <w:txbxContent>
                  <w:p>
                    <w:pPr>
                      <w:spacing w:line="221" w:lineRule="exact" w:before="0"/>
                      <w:ind w:left="0" w:right="18" w:firstLine="0"/>
                      <w:jc w:val="center"/>
                      <w:rPr>
                        <w:b/>
                        <w:sz w:val="20"/>
                      </w:rPr>
                    </w:pPr>
                    <w:r>
                      <w:rPr>
                        <w:b/>
                        <w:sz w:val="20"/>
                      </w:rPr>
                      <w:t>E</w:t>
                    </w:r>
                    <w:r>
                      <w:rPr>
                        <w:b/>
                        <w:sz w:val="16"/>
                      </w:rPr>
                      <w:t>QUATION </w:t>
                    </w:r>
                    <w:r>
                      <w:rPr>
                        <w:b/>
                        <w:sz w:val="20"/>
                      </w:rPr>
                      <w:t>3a.1.3</w:t>
                    </w:r>
                  </w:p>
                  <w:p>
                    <w:pPr>
                      <w:spacing w:before="0"/>
                      <w:ind w:left="0" w:right="18" w:firstLine="0"/>
                      <w:jc w:val="center"/>
                      <w:rPr>
                        <w:b/>
                        <w:sz w:val="20"/>
                      </w:rPr>
                    </w:pPr>
                    <w:r>
                      <w:rPr>
                        <w:b/>
                        <w:sz w:val="20"/>
                      </w:rPr>
                      <w:t>A</w:t>
                    </w:r>
                    <w:r>
                      <w:rPr>
                        <w:b/>
                        <w:sz w:val="16"/>
                      </w:rPr>
                      <w:t>NNUAL CHANGE IN CARBON IN </w:t>
                    </w:r>
                    <w:r>
                      <w:rPr>
                        <w:b/>
                        <w:sz w:val="20"/>
                      </w:rPr>
                      <w:t>HWP (E</w:t>
                    </w:r>
                    <w:r>
                      <w:rPr>
                        <w:b/>
                        <w:sz w:val="16"/>
                      </w:rPr>
                      <w:t>XAMPLE OF A</w:t>
                    </w:r>
                    <w:r>
                      <w:rPr>
                        <w:b/>
                        <w:spacing w:val="-29"/>
                        <w:sz w:val="16"/>
                      </w:rPr>
                      <w:t> </w:t>
                    </w:r>
                    <w:r>
                      <w:rPr>
                        <w:b/>
                        <w:sz w:val="20"/>
                      </w:rPr>
                      <w:t>C</w:t>
                    </w:r>
                    <w:r>
                      <w:rPr>
                        <w:b/>
                        <w:sz w:val="16"/>
                      </w:rPr>
                      <w:t>USTOM </w:t>
                    </w:r>
                    <w:r>
                      <w:rPr>
                        <w:b/>
                        <w:sz w:val="20"/>
                      </w:rPr>
                      <w:t>C</w:t>
                    </w:r>
                    <w:r>
                      <w:rPr>
                        <w:b/>
                        <w:sz w:val="16"/>
                      </w:rPr>
                      <w:t>OUNTRY METHOD</w:t>
                    </w:r>
                    <w:r>
                      <w:rPr>
                        <w:b/>
                        <w:sz w:val="20"/>
                      </w:rPr>
                      <w:t>)</w:t>
                    </w:r>
                  </w:p>
                </w:txbxContent>
              </v:textbox>
              <w10:wrap type="none"/>
            </v:shape>
            <w10:wrap type="topAndBottom"/>
          </v:group>
        </w:pict>
      </w:r>
      <w:r>
        <w:rPr>
          <w:b/>
          <w:sz w:val="20"/>
        </w:rPr>
        <w:t>Tier 3: Custo m country methods</w:t>
      </w:r>
    </w:p>
    <w:p>
      <w:pPr>
        <w:pStyle w:val="BodyText"/>
        <w:spacing w:line="220" w:lineRule="exact"/>
        <w:ind w:left="119"/>
      </w:pPr>
      <w:r>
        <w:rPr/>
        <w:t>Where:</w:t>
      </w:r>
    </w:p>
    <w:p>
      <w:pPr>
        <w:pStyle w:val="BodyText"/>
        <w:tabs>
          <w:tab w:pos="1931" w:val="left" w:leader="none"/>
        </w:tabs>
        <w:spacing w:before="135"/>
        <w:ind w:left="685"/>
      </w:pPr>
      <w:r>
        <w:rPr/>
        <w:pict>
          <v:shape style="position:absolute;margin-left:149.0811pt;margin-top:14.87204pt;width:12.6pt;height:7.2pt;mso-position-horizontal-relative:page;mso-position-vertical-relative:paragraph;z-index:-2440216" type="#_x0000_t202" filled="false" stroked="false">
            <v:textbox inset="0,0,0,0">
              <w:txbxContent>
                <w:p>
                  <w:pPr>
                    <w:spacing w:line="144" w:lineRule="exact" w:before="0"/>
                    <w:ind w:left="0" w:right="0" w:firstLine="0"/>
                    <w:jc w:val="left"/>
                    <w:rPr>
                      <w:sz w:val="13"/>
                    </w:rPr>
                  </w:pPr>
                  <w:r>
                    <w:rPr>
                      <w:spacing w:val="-1"/>
                      <w:sz w:val="13"/>
                    </w:rPr>
                    <w:t>SCA</w:t>
                  </w:r>
                </w:p>
              </w:txbxContent>
            </v:textbox>
            <w10:wrap type="none"/>
          </v:shape>
        </w:pict>
      </w:r>
      <w:r>
        <w:rPr>
          <w:rFonts w:ascii="Symbol" w:hAnsi="Symbol"/>
        </w:rPr>
        <w:t>∆</w:t>
      </w:r>
      <w:r>
        <w:rPr/>
        <w:t>C</w:t>
      </w:r>
      <w:r>
        <w:rPr>
          <w:vertAlign w:val="subscript"/>
        </w:rPr>
        <w:t>HWP</w:t>
      </w:r>
      <w:r>
        <w:rPr>
          <w:spacing w:val="-18"/>
          <w:vertAlign w:val="baseline"/>
        </w:rPr>
        <w:t> </w:t>
      </w:r>
      <w:r>
        <w:rPr>
          <w:vertAlign w:val="subscript"/>
        </w:rPr>
        <w:t>BLDG</w:t>
      </w:r>
      <w:r>
        <w:rPr>
          <w:vertAlign w:val="baseline"/>
        </w:rPr>
        <w:tab/>
        <w:t>= annual change in HWP carbon contained in buildings, tonnes C</w:t>
      </w:r>
      <w:r>
        <w:rPr>
          <w:spacing w:val="-7"/>
          <w:vertAlign w:val="baseline"/>
        </w:rPr>
        <w:t> </w:t>
      </w:r>
      <w:r>
        <w:rPr>
          <w:vertAlign w:val="baseline"/>
        </w:rPr>
        <w:t>yr</w:t>
      </w:r>
      <w:r>
        <w:rPr>
          <w:vertAlign w:val="superscript"/>
        </w:rPr>
        <w:t>-1</w:t>
      </w:r>
    </w:p>
    <w:p>
      <w:pPr>
        <w:pStyle w:val="BodyText"/>
        <w:tabs>
          <w:tab w:pos="1748" w:val="left" w:leader="none"/>
        </w:tabs>
        <w:spacing w:line="398" w:lineRule="auto" w:before="175"/>
        <w:ind w:left="685" w:right="2195"/>
      </w:pPr>
      <w:r>
        <w:rPr/>
        <w:pict>
          <v:shape style="position:absolute;margin-left:137.560318pt;margin-top:16.871555pt;width:12.6pt;height:7.2pt;mso-position-horizontal-relative:page;mso-position-vertical-relative:paragraph;z-index:-2440192" type="#_x0000_t202" filled="false" stroked="false">
            <v:textbox inset="0,0,0,0">
              <w:txbxContent>
                <w:p>
                  <w:pPr>
                    <w:spacing w:line="144" w:lineRule="exact" w:before="0"/>
                    <w:ind w:left="0" w:right="0" w:firstLine="0"/>
                    <w:jc w:val="left"/>
                    <w:rPr>
                      <w:sz w:val="13"/>
                    </w:rPr>
                  </w:pPr>
                  <w:r>
                    <w:rPr>
                      <w:spacing w:val="-1"/>
                      <w:sz w:val="13"/>
                    </w:rPr>
                    <w:t>SCA</w:t>
                  </w:r>
                </w:p>
              </w:txbxContent>
            </v:textbox>
            <w10:wrap type="none"/>
          </v:shape>
        </w:pict>
      </w:r>
      <w:r>
        <w:rPr>
          <w:rFonts w:ascii="Symbol" w:hAnsi="Symbol"/>
        </w:rPr>
        <w:t>∆</w:t>
      </w:r>
      <w:r>
        <w:rPr/>
        <w:t>C</w:t>
      </w:r>
      <w:r>
        <w:rPr>
          <w:vertAlign w:val="subscript"/>
        </w:rPr>
        <w:t>HWP</w:t>
      </w:r>
      <w:r>
        <w:rPr>
          <w:spacing w:val="-18"/>
          <w:vertAlign w:val="baseline"/>
        </w:rPr>
        <w:t> </w:t>
      </w:r>
      <w:r>
        <w:rPr>
          <w:vertAlign w:val="subscript"/>
        </w:rPr>
        <w:t>W</w:t>
      </w:r>
      <w:r>
        <w:rPr>
          <w:vertAlign w:val="baseline"/>
        </w:rPr>
        <w:tab/>
        <w:t>= annual change in HWP carbon contained in SWDS, tonnes C</w:t>
      </w:r>
      <w:r>
        <w:rPr>
          <w:spacing w:val="-29"/>
          <w:vertAlign w:val="baseline"/>
        </w:rPr>
        <w:t> </w:t>
      </w:r>
      <w:r>
        <w:rPr>
          <w:vertAlign w:val="baseline"/>
        </w:rPr>
        <w:t>yr</w:t>
      </w:r>
      <w:r>
        <w:rPr>
          <w:vertAlign w:val="superscript"/>
        </w:rPr>
        <w:t>-1</w:t>
      </w:r>
      <w:r>
        <w:rPr>
          <w:vertAlign w:val="baseline"/>
        </w:rPr>
        <w:t> A</w:t>
      </w:r>
      <w:r>
        <w:rPr>
          <w:vertAlign w:val="subscript"/>
        </w:rPr>
        <w:t>BLDG</w:t>
      </w:r>
      <w:r>
        <w:rPr>
          <w:vertAlign w:val="baseline"/>
        </w:rPr>
        <w:t> = floor area of buildings,</w:t>
      </w:r>
      <w:r>
        <w:rPr>
          <w:spacing w:val="2"/>
          <w:vertAlign w:val="baseline"/>
        </w:rPr>
        <w:t> </w:t>
      </w:r>
      <w:r>
        <w:rPr>
          <w:vertAlign w:val="baseline"/>
        </w:rPr>
        <w:t>m</w:t>
      </w:r>
      <w:r>
        <w:rPr>
          <w:vertAlign w:val="superscript"/>
        </w:rPr>
        <w:t>2</w:t>
      </w:r>
    </w:p>
    <w:p>
      <w:pPr>
        <w:pStyle w:val="BodyText"/>
        <w:spacing w:line="211" w:lineRule="exact"/>
        <w:ind w:left="685"/>
      </w:pPr>
      <w:r>
        <w:rPr/>
        <w:t>f</w:t>
      </w:r>
      <w:r>
        <w:rPr>
          <w:vertAlign w:val="subscript"/>
        </w:rPr>
        <w:t>C</w:t>
      </w:r>
      <w:r>
        <w:rPr>
          <w:vertAlign w:val="baseline"/>
        </w:rPr>
        <w:t> </w:t>
      </w:r>
      <w:r>
        <w:rPr>
          <w:vertAlign w:val="subscript"/>
        </w:rPr>
        <w:t>BLDG</w:t>
      </w:r>
      <w:r>
        <w:rPr>
          <w:vertAlign w:val="baseline"/>
        </w:rPr>
        <w:t> = HWP carbon in buildings per unit of floor area, tonnes C m</w:t>
      </w:r>
      <w:r>
        <w:rPr>
          <w:vertAlign w:val="superscript"/>
        </w:rPr>
        <w:t>-2</w:t>
      </w:r>
    </w:p>
    <w:p>
      <w:pPr>
        <w:pStyle w:val="BodyText"/>
        <w:spacing w:before="121"/>
        <w:ind w:left="685"/>
      </w:pPr>
      <w:r>
        <w:rPr/>
        <w:t>V</w:t>
      </w:r>
      <w:r>
        <w:rPr>
          <w:vertAlign w:val="subscript"/>
        </w:rPr>
        <w:t>HWP</w:t>
      </w:r>
      <w:r>
        <w:rPr>
          <w:vertAlign w:val="baseline"/>
        </w:rPr>
        <w:t> </w:t>
      </w:r>
      <w:r>
        <w:rPr>
          <w:vertAlign w:val="subscript"/>
        </w:rPr>
        <w:t>SWDS</w:t>
      </w:r>
      <w:r>
        <w:rPr>
          <w:vertAlign w:val="baseline"/>
        </w:rPr>
        <w:t> = Volume of HWP waste in disposal sites, m</w:t>
      </w:r>
      <w:r>
        <w:rPr>
          <w:vertAlign w:val="superscript"/>
        </w:rPr>
        <w:t>3</w:t>
      </w:r>
    </w:p>
    <w:p>
      <w:pPr>
        <w:pStyle w:val="BodyText"/>
        <w:spacing w:before="118"/>
        <w:ind w:left="685"/>
      </w:pPr>
      <w:r>
        <w:rPr/>
        <w:t>f</w:t>
      </w:r>
      <w:r>
        <w:rPr>
          <w:vertAlign w:val="subscript"/>
        </w:rPr>
        <w:t>C</w:t>
      </w:r>
      <w:r>
        <w:rPr>
          <w:vertAlign w:val="baseline"/>
        </w:rPr>
        <w:t> </w:t>
      </w:r>
      <w:r>
        <w:rPr>
          <w:vertAlign w:val="subscript"/>
        </w:rPr>
        <w:t>SWDS</w:t>
      </w:r>
      <w:r>
        <w:rPr>
          <w:vertAlign w:val="baseline"/>
        </w:rPr>
        <w:t> = HWP carbon in SWDS per unit volume of SWDS, tonnes C m</w:t>
      </w:r>
      <w:r>
        <w:rPr>
          <w:vertAlign w:val="superscript"/>
        </w:rPr>
        <w:t>-3</w:t>
      </w:r>
    </w:p>
    <w:p>
      <w:pPr>
        <w:pStyle w:val="BodyText"/>
        <w:spacing w:before="3"/>
        <w:rPr>
          <w:sz w:val="21"/>
        </w:rPr>
      </w:pPr>
    </w:p>
    <w:p>
      <w:pPr>
        <w:spacing w:line="228" w:lineRule="exact" w:before="1"/>
        <w:ind w:left="119" w:right="0" w:firstLine="0"/>
        <w:jc w:val="left"/>
        <w:rPr>
          <w:b/>
          <w:sz w:val="20"/>
        </w:rPr>
      </w:pPr>
      <w:r>
        <w:rPr>
          <w:b/>
          <w:sz w:val="20"/>
        </w:rPr>
        <w:t>Data sources for the Tier 2 method</w:t>
      </w:r>
    </w:p>
    <w:p>
      <w:pPr>
        <w:pStyle w:val="BodyText"/>
        <w:ind w:left="119"/>
      </w:pPr>
      <w:r>
        <w:rPr/>
        <w:t>The following bullet points summarise how to obtain the data needed for Tier 2 calculations, identifying defaults which are available in many cases.</w:t>
      </w:r>
    </w:p>
    <w:p>
      <w:pPr>
        <w:pStyle w:val="BodyText"/>
        <w:spacing w:before="116"/>
        <w:ind w:left="119"/>
      </w:pPr>
      <w:r>
        <w:rPr/>
        <w:t>Data for variables P</w:t>
      </w:r>
      <w:r>
        <w:rPr>
          <w:vertAlign w:val="subscript"/>
        </w:rPr>
        <w:t>A</w:t>
      </w:r>
      <w:r>
        <w:rPr>
          <w:vertAlign w:val="baseline"/>
        </w:rPr>
        <w:t> (carbon in HWP consumed in a country) and PH</w:t>
      </w:r>
      <w:r>
        <w:rPr>
          <w:vertAlign w:val="subscript"/>
        </w:rPr>
        <w:t>A</w:t>
      </w:r>
      <w:r>
        <w:rPr>
          <w:vertAlign w:val="baseline"/>
        </w:rPr>
        <w:t> (carbon in HWP products produced by a country) are as follows:</w:t>
      </w:r>
    </w:p>
    <w:p>
      <w:pPr>
        <w:pStyle w:val="ListParagraph"/>
        <w:numPr>
          <w:ilvl w:val="0"/>
          <w:numId w:val="117"/>
        </w:numPr>
        <w:tabs>
          <w:tab w:pos="480" w:val="left" w:leader="none"/>
        </w:tabs>
        <w:spacing w:line="235" w:lineRule="auto" w:before="139" w:after="0"/>
        <w:ind w:left="476" w:right="119" w:hanging="357"/>
        <w:jc w:val="both"/>
        <w:rPr>
          <w:sz w:val="20"/>
        </w:rPr>
      </w:pPr>
      <w:r>
        <w:rPr>
          <w:sz w:val="20"/>
        </w:rPr>
        <w:t>Default data for HWP production, imports and exports are available in the United Nations FAOSTAT Forestry database since 1961</w:t>
      </w:r>
      <w:r>
        <w:rPr>
          <w:sz w:val="20"/>
          <w:vertAlign w:val="superscript"/>
        </w:rPr>
        <w:t>8</w:t>
      </w:r>
      <w:r>
        <w:rPr>
          <w:sz w:val="20"/>
          <w:vertAlign w:val="baseline"/>
        </w:rPr>
        <w:t> (see Table 3a.1.1). Separate P</w:t>
      </w:r>
      <w:r>
        <w:rPr>
          <w:sz w:val="20"/>
          <w:vertAlign w:val="subscript"/>
        </w:rPr>
        <w:t>A</w:t>
      </w:r>
      <w:r>
        <w:rPr>
          <w:sz w:val="20"/>
          <w:vertAlign w:val="baseline"/>
        </w:rPr>
        <w:t> values need to be computed for solidwood and paper products as indicated in the notes to Table 3a.1.1 to allow for different lifetimes in use and disposal patterns.</w:t>
      </w:r>
    </w:p>
    <w:p>
      <w:pPr>
        <w:pStyle w:val="ListParagraph"/>
        <w:numPr>
          <w:ilvl w:val="0"/>
          <w:numId w:val="117"/>
        </w:numPr>
        <w:tabs>
          <w:tab w:pos="479" w:val="left" w:leader="none"/>
          <w:tab w:pos="480" w:val="left" w:leader="none"/>
        </w:tabs>
        <w:spacing w:line="240" w:lineRule="auto" w:before="132" w:after="0"/>
        <w:ind w:left="479" w:right="0" w:hanging="360"/>
        <w:jc w:val="left"/>
        <w:rPr>
          <w:sz w:val="20"/>
        </w:rPr>
      </w:pPr>
      <w:r>
        <w:rPr>
          <w:sz w:val="20"/>
        </w:rPr>
        <w:t>Data to convert units of solidwood products to carbon content are shown in Table</w:t>
      </w:r>
      <w:r>
        <w:rPr>
          <w:spacing w:val="-14"/>
          <w:sz w:val="20"/>
        </w:rPr>
        <w:t> </w:t>
      </w:r>
      <w:r>
        <w:rPr>
          <w:sz w:val="20"/>
        </w:rPr>
        <w:t>3a.1.1.</w:t>
      </w:r>
    </w:p>
    <w:p>
      <w:pPr>
        <w:pStyle w:val="ListParagraph"/>
        <w:numPr>
          <w:ilvl w:val="0"/>
          <w:numId w:val="117"/>
        </w:numPr>
        <w:tabs>
          <w:tab w:pos="479" w:val="left" w:leader="none"/>
          <w:tab w:pos="480" w:val="left" w:leader="none"/>
        </w:tabs>
        <w:spacing w:line="240" w:lineRule="auto" w:before="118" w:after="0"/>
        <w:ind w:left="479" w:right="0" w:hanging="360"/>
        <w:jc w:val="left"/>
        <w:rPr>
          <w:sz w:val="20"/>
        </w:rPr>
      </w:pPr>
      <w:r>
        <w:rPr>
          <w:sz w:val="20"/>
        </w:rPr>
        <w:t>Data prior to 1961 can be estimated using a trend in growth back to</w:t>
      </w:r>
      <w:r>
        <w:rPr>
          <w:spacing w:val="-35"/>
          <w:sz w:val="20"/>
        </w:rPr>
        <w:t> </w:t>
      </w:r>
      <w:r>
        <w:rPr>
          <w:sz w:val="20"/>
        </w:rPr>
        <w:t>1900.</w:t>
      </w:r>
    </w:p>
    <w:p>
      <w:pPr>
        <w:pStyle w:val="BodyText"/>
        <w:spacing w:before="102"/>
        <w:ind w:left="119"/>
      </w:pPr>
      <w:r>
        <w:rPr/>
        <w:t>For</w:t>
      </w:r>
      <w:r>
        <w:rPr>
          <w:spacing w:val="-3"/>
        </w:rPr>
        <w:t> </w:t>
      </w:r>
      <w:r>
        <w:rPr/>
        <w:t>each</w:t>
      </w:r>
      <w:r>
        <w:rPr>
          <w:spacing w:val="-4"/>
        </w:rPr>
        <w:t> </w:t>
      </w:r>
      <w:r>
        <w:rPr/>
        <w:t>forest</w:t>
      </w:r>
      <w:r>
        <w:rPr>
          <w:spacing w:val="-2"/>
        </w:rPr>
        <w:t> </w:t>
      </w:r>
      <w:r>
        <w:rPr/>
        <w:t>product</w:t>
      </w:r>
      <w:r>
        <w:rPr>
          <w:spacing w:val="-2"/>
        </w:rPr>
        <w:t> </w:t>
      </w:r>
      <w:r>
        <w:rPr/>
        <w:t>in</w:t>
      </w:r>
      <w:r>
        <w:rPr>
          <w:spacing w:val="-4"/>
        </w:rPr>
        <w:t> </w:t>
      </w:r>
      <w:r>
        <w:rPr/>
        <w:t>Table</w:t>
      </w:r>
      <w:r>
        <w:rPr>
          <w:spacing w:val="-1"/>
        </w:rPr>
        <w:t> </w:t>
      </w:r>
      <w:r>
        <w:rPr/>
        <w:t>3a.1.1,</w:t>
      </w:r>
      <w:r>
        <w:rPr>
          <w:spacing w:val="-5"/>
        </w:rPr>
        <w:t> </w:t>
      </w:r>
      <w:r>
        <w:rPr/>
        <w:t>the</w:t>
      </w:r>
      <w:r>
        <w:rPr>
          <w:spacing w:val="-2"/>
        </w:rPr>
        <w:t> </w:t>
      </w:r>
      <w:r>
        <w:rPr/>
        <w:t>values</w:t>
      </w:r>
      <w:r>
        <w:rPr>
          <w:spacing w:val="-3"/>
        </w:rPr>
        <w:t> </w:t>
      </w:r>
      <w:r>
        <w:rPr/>
        <w:t>before</w:t>
      </w:r>
      <w:r>
        <w:rPr>
          <w:spacing w:val="-3"/>
        </w:rPr>
        <w:t> </w:t>
      </w:r>
      <w:r>
        <w:rPr/>
        <w:t>1961</w:t>
      </w:r>
      <w:r>
        <w:rPr>
          <w:spacing w:val="-3"/>
        </w:rPr>
        <w:t> </w:t>
      </w:r>
      <w:r>
        <w:rPr/>
        <w:t>can</w:t>
      </w:r>
      <w:r>
        <w:rPr>
          <w:spacing w:val="-3"/>
        </w:rPr>
        <w:t> </w:t>
      </w:r>
      <w:r>
        <w:rPr/>
        <w:t>be</w:t>
      </w:r>
      <w:r>
        <w:rPr>
          <w:spacing w:val="-3"/>
        </w:rPr>
        <w:t> </w:t>
      </w:r>
      <w:r>
        <w:rPr/>
        <w:t>estimated</w:t>
      </w:r>
      <w:r>
        <w:rPr>
          <w:spacing w:val="-2"/>
        </w:rPr>
        <w:t> </w:t>
      </w:r>
      <w:r>
        <w:rPr/>
        <w:t>by:</w:t>
      </w:r>
    </w:p>
    <w:p>
      <w:pPr>
        <w:pStyle w:val="BodyText"/>
        <w:spacing w:before="1"/>
        <w:rPr>
          <w:sz w:val="11"/>
        </w:rPr>
      </w:pPr>
      <w:r>
        <w:rPr/>
        <w:pict>
          <v:shape style="position:absolute;margin-left:91.960999pt;margin-top:9.108249pt;width:411.85pt;height:49.95pt;mso-position-horizontal-relative:page;mso-position-vertical-relative:paragraph;z-index:13856;mso-wrap-distance-left:0;mso-wrap-distance-right:0" type="#_x0000_t202" filled="false" stroked="true" strokeweight="1.44pt" strokecolor="#000000">
            <v:textbox inset="0,0,0,0">
              <w:txbxContent>
                <w:p>
                  <w:pPr>
                    <w:spacing w:before="99"/>
                    <w:ind w:left="947" w:right="948" w:firstLine="0"/>
                    <w:jc w:val="center"/>
                    <w:rPr>
                      <w:b/>
                      <w:sz w:val="20"/>
                    </w:rPr>
                  </w:pPr>
                  <w:r>
                    <w:rPr>
                      <w:b/>
                      <w:sz w:val="20"/>
                    </w:rPr>
                    <w:t>E</w:t>
                  </w:r>
                  <w:r>
                    <w:rPr>
                      <w:b/>
                      <w:sz w:val="16"/>
                    </w:rPr>
                    <w:t>QUATION </w:t>
                  </w:r>
                  <w:r>
                    <w:rPr>
                      <w:b/>
                      <w:sz w:val="20"/>
                    </w:rPr>
                    <w:t>3a.1.4</w:t>
                  </w:r>
                </w:p>
                <w:p>
                  <w:pPr>
                    <w:spacing w:before="0"/>
                    <w:ind w:left="948" w:right="948" w:firstLine="0"/>
                    <w:jc w:val="center"/>
                    <w:rPr>
                      <w:b/>
                      <w:sz w:val="20"/>
                    </w:rPr>
                  </w:pPr>
                  <w:r>
                    <w:rPr>
                      <w:b/>
                      <w:sz w:val="20"/>
                    </w:rPr>
                    <w:t>E</w:t>
                  </w:r>
                  <w:r>
                    <w:rPr>
                      <w:b/>
                      <w:sz w:val="16"/>
                    </w:rPr>
                    <w:t>QUATION TO ESTIMATE PRODUCTION AND TRADE FOR YEARS BEFORE </w:t>
                  </w:r>
                  <w:r>
                    <w:rPr>
                      <w:b/>
                      <w:sz w:val="20"/>
                    </w:rPr>
                    <w:t>1961</w:t>
                  </w:r>
                </w:p>
                <w:p>
                  <w:pPr>
                    <w:spacing w:before="51"/>
                    <w:ind w:left="948" w:right="948" w:firstLine="0"/>
                    <w:jc w:val="center"/>
                    <w:rPr>
                      <w:sz w:val="13"/>
                    </w:rPr>
                  </w:pPr>
                  <w:r>
                    <w:rPr>
                      <w:position w:val="-8"/>
                      <w:sz w:val="20"/>
                    </w:rPr>
                    <w:t>V</w:t>
                  </w:r>
                  <w:r>
                    <w:rPr>
                      <w:position w:val="-11"/>
                      <w:sz w:val="13"/>
                    </w:rPr>
                    <w:t>t </w:t>
                  </w:r>
                  <w:r>
                    <w:rPr>
                      <w:position w:val="-8"/>
                      <w:sz w:val="20"/>
                    </w:rPr>
                    <w:t>= V</w:t>
                  </w:r>
                  <w:r>
                    <w:rPr>
                      <w:position w:val="-11"/>
                      <w:sz w:val="13"/>
                    </w:rPr>
                    <w:t>1961 </w:t>
                  </w:r>
                  <w:r>
                    <w:rPr>
                      <w:position w:val="-8"/>
                      <w:sz w:val="20"/>
                    </w:rPr>
                    <w:t>● e </w:t>
                  </w:r>
                  <w:r>
                    <w:rPr>
                      <w:sz w:val="13"/>
                    </w:rPr>
                    <w:t>( r ● ( t –  1961))</w:t>
                  </w:r>
                </w:p>
              </w:txbxContent>
            </v:textbox>
            <v:stroke dashstyle="solid"/>
            <w10:wrap type="topAndBottom"/>
          </v:shape>
        </w:pict>
      </w:r>
    </w:p>
    <w:p>
      <w:pPr>
        <w:pStyle w:val="BodyText"/>
        <w:spacing w:before="11"/>
        <w:rPr>
          <w:sz w:val="22"/>
        </w:rPr>
      </w:pPr>
    </w:p>
    <w:p>
      <w:pPr>
        <w:pStyle w:val="BodyText"/>
        <w:spacing w:before="91"/>
        <w:ind w:left="119" w:right="113"/>
      </w:pPr>
      <w:r>
        <w:rPr/>
        <w:t>Where </w:t>
      </w:r>
      <w:r>
        <w:rPr>
          <w:i/>
        </w:rPr>
        <w:t>V </w:t>
      </w:r>
      <w:r>
        <w:rPr/>
        <w:t>is value of the forest product in question, </w:t>
      </w:r>
      <w:r>
        <w:rPr>
          <w:i/>
        </w:rPr>
        <w:t>t </w:t>
      </w:r>
      <w:r>
        <w:rPr/>
        <w:t>is a year before 1961 and </w:t>
      </w:r>
      <w:r>
        <w:rPr>
          <w:i/>
        </w:rPr>
        <w:t>r </w:t>
      </w:r>
      <w:r>
        <w:rPr/>
        <w:t>is the estimated growth rate prior to 1961. Default </w:t>
      </w:r>
      <w:r>
        <w:rPr>
          <w:i/>
        </w:rPr>
        <w:t>r </w:t>
      </w:r>
      <w:r>
        <w:rPr/>
        <w:t>values for growth between 1900 and 1961 are indicated in columns 7 and 8 in Table 3a.1.2.</w:t>
      </w:r>
    </w:p>
    <w:p>
      <w:pPr>
        <w:pStyle w:val="ListParagraph"/>
        <w:numPr>
          <w:ilvl w:val="0"/>
          <w:numId w:val="117"/>
        </w:numPr>
        <w:tabs>
          <w:tab w:pos="479" w:val="left" w:leader="none"/>
          <w:tab w:pos="480" w:val="left" w:leader="none"/>
        </w:tabs>
        <w:spacing w:line="338" w:lineRule="auto" w:before="135" w:after="0"/>
        <w:ind w:left="119" w:right="132" w:firstLine="0"/>
        <w:jc w:val="left"/>
        <w:rPr>
          <w:sz w:val="20"/>
        </w:rPr>
      </w:pPr>
      <w:r>
        <w:rPr>
          <w:sz w:val="20"/>
        </w:rPr>
        <w:t>See</w:t>
      </w:r>
      <w:r>
        <w:rPr>
          <w:spacing w:val="-3"/>
          <w:sz w:val="20"/>
        </w:rPr>
        <w:t> </w:t>
      </w:r>
      <w:r>
        <w:rPr>
          <w:sz w:val="20"/>
        </w:rPr>
        <w:t>Table</w:t>
      </w:r>
      <w:r>
        <w:rPr>
          <w:spacing w:val="-5"/>
          <w:sz w:val="20"/>
        </w:rPr>
        <w:t> </w:t>
      </w:r>
      <w:r>
        <w:rPr>
          <w:sz w:val="20"/>
        </w:rPr>
        <w:t>3a.1.1</w:t>
      </w:r>
      <w:r>
        <w:rPr>
          <w:spacing w:val="-3"/>
          <w:sz w:val="20"/>
        </w:rPr>
        <w:t> </w:t>
      </w:r>
      <w:r>
        <w:rPr>
          <w:sz w:val="20"/>
        </w:rPr>
        <w:t>for</w:t>
      </w:r>
      <w:r>
        <w:rPr>
          <w:spacing w:val="-3"/>
          <w:sz w:val="20"/>
        </w:rPr>
        <w:t> </w:t>
      </w:r>
      <w:r>
        <w:rPr>
          <w:sz w:val="20"/>
        </w:rPr>
        <w:t>factors</w:t>
      </w:r>
      <w:r>
        <w:rPr>
          <w:spacing w:val="-4"/>
          <w:sz w:val="20"/>
        </w:rPr>
        <w:t> </w:t>
      </w:r>
      <w:r>
        <w:rPr>
          <w:sz w:val="20"/>
        </w:rPr>
        <w:t>to</w:t>
      </w:r>
      <w:r>
        <w:rPr>
          <w:spacing w:val="-3"/>
          <w:sz w:val="20"/>
        </w:rPr>
        <w:t> </w:t>
      </w:r>
      <w:r>
        <w:rPr>
          <w:sz w:val="20"/>
        </w:rPr>
        <w:t>convert</w:t>
      </w:r>
      <w:r>
        <w:rPr>
          <w:spacing w:val="-3"/>
          <w:sz w:val="20"/>
        </w:rPr>
        <w:t> </w:t>
      </w:r>
      <w:r>
        <w:rPr>
          <w:sz w:val="20"/>
        </w:rPr>
        <w:t>product</w:t>
      </w:r>
      <w:r>
        <w:rPr>
          <w:spacing w:val="-4"/>
          <w:sz w:val="20"/>
        </w:rPr>
        <w:t> </w:t>
      </w:r>
      <w:r>
        <w:rPr>
          <w:sz w:val="20"/>
        </w:rPr>
        <w:t>amounts</w:t>
      </w:r>
      <w:r>
        <w:rPr>
          <w:spacing w:val="-1"/>
          <w:sz w:val="20"/>
        </w:rPr>
        <w:t> </w:t>
      </w:r>
      <w:r>
        <w:rPr>
          <w:sz w:val="20"/>
        </w:rPr>
        <w:t>from</w:t>
      </w:r>
      <w:r>
        <w:rPr>
          <w:spacing w:val="-5"/>
          <w:sz w:val="20"/>
        </w:rPr>
        <w:t> </w:t>
      </w:r>
      <w:r>
        <w:rPr>
          <w:sz w:val="20"/>
        </w:rPr>
        <w:t>volume</w:t>
      </w:r>
      <w:r>
        <w:rPr>
          <w:spacing w:val="-3"/>
          <w:sz w:val="20"/>
        </w:rPr>
        <w:t> </w:t>
      </w:r>
      <w:r>
        <w:rPr>
          <w:sz w:val="20"/>
        </w:rPr>
        <w:t>or</w:t>
      </w:r>
      <w:r>
        <w:rPr>
          <w:spacing w:val="-1"/>
          <w:sz w:val="20"/>
        </w:rPr>
        <w:t> </w:t>
      </w:r>
      <w:r>
        <w:rPr>
          <w:sz w:val="20"/>
        </w:rPr>
        <w:t>weight</w:t>
      </w:r>
      <w:r>
        <w:rPr>
          <w:spacing w:val="-2"/>
          <w:sz w:val="20"/>
        </w:rPr>
        <w:t> </w:t>
      </w:r>
      <w:r>
        <w:rPr>
          <w:sz w:val="20"/>
        </w:rPr>
        <w:t>measure</w:t>
      </w:r>
      <w:r>
        <w:rPr>
          <w:spacing w:val="-2"/>
          <w:sz w:val="20"/>
        </w:rPr>
        <w:t> </w:t>
      </w:r>
      <w:r>
        <w:rPr>
          <w:sz w:val="20"/>
        </w:rPr>
        <w:t>to</w:t>
      </w:r>
      <w:r>
        <w:rPr>
          <w:spacing w:val="-3"/>
          <w:sz w:val="20"/>
        </w:rPr>
        <w:t> </w:t>
      </w:r>
      <w:r>
        <w:rPr>
          <w:sz w:val="20"/>
        </w:rPr>
        <w:t>tonnes</w:t>
      </w:r>
      <w:r>
        <w:rPr>
          <w:spacing w:val="-4"/>
          <w:sz w:val="20"/>
        </w:rPr>
        <w:t> </w:t>
      </w:r>
      <w:r>
        <w:rPr>
          <w:sz w:val="20"/>
        </w:rPr>
        <w:t>of</w:t>
      </w:r>
      <w:r>
        <w:rPr>
          <w:spacing w:val="-6"/>
          <w:sz w:val="20"/>
        </w:rPr>
        <w:t> </w:t>
      </w:r>
      <w:r>
        <w:rPr>
          <w:sz w:val="20"/>
        </w:rPr>
        <w:t>carbon. Data</w:t>
      </w:r>
      <w:r>
        <w:rPr>
          <w:spacing w:val="-2"/>
          <w:sz w:val="20"/>
        </w:rPr>
        <w:t> </w:t>
      </w:r>
      <w:r>
        <w:rPr>
          <w:sz w:val="20"/>
        </w:rPr>
        <w:t>for</w:t>
      </w:r>
      <w:r>
        <w:rPr>
          <w:spacing w:val="-2"/>
          <w:sz w:val="20"/>
        </w:rPr>
        <w:t> </w:t>
      </w:r>
      <w:r>
        <w:rPr>
          <w:sz w:val="20"/>
        </w:rPr>
        <w:t>parameters</w:t>
      </w:r>
      <w:r>
        <w:rPr>
          <w:spacing w:val="-3"/>
          <w:sz w:val="20"/>
        </w:rPr>
        <w:t> </w:t>
      </w:r>
      <w:r>
        <w:rPr>
          <w:sz w:val="20"/>
        </w:rPr>
        <w:t>f</w:t>
      </w:r>
      <w:r>
        <w:rPr>
          <w:sz w:val="20"/>
          <w:vertAlign w:val="subscript"/>
        </w:rPr>
        <w:t>D</w:t>
      </w:r>
      <w:r>
        <w:rPr>
          <w:spacing w:val="-2"/>
          <w:sz w:val="20"/>
          <w:vertAlign w:val="baseline"/>
        </w:rPr>
        <w:t> </w:t>
      </w:r>
      <w:r>
        <w:rPr>
          <w:sz w:val="20"/>
          <w:vertAlign w:val="baseline"/>
        </w:rPr>
        <w:t>and</w:t>
      </w:r>
      <w:r>
        <w:rPr>
          <w:spacing w:val="-1"/>
          <w:sz w:val="20"/>
          <w:vertAlign w:val="baseline"/>
        </w:rPr>
        <w:t> </w:t>
      </w:r>
      <w:r>
        <w:rPr>
          <w:sz w:val="20"/>
          <w:vertAlign w:val="baseline"/>
        </w:rPr>
        <w:t>fH</w:t>
      </w:r>
      <w:r>
        <w:rPr>
          <w:sz w:val="20"/>
          <w:vertAlign w:val="subscript"/>
        </w:rPr>
        <w:t>D</w:t>
      </w:r>
      <w:r>
        <w:rPr>
          <w:spacing w:val="-18"/>
          <w:sz w:val="20"/>
          <w:vertAlign w:val="baseline"/>
        </w:rPr>
        <w:t> </w:t>
      </w:r>
      <w:r>
        <w:rPr>
          <w:sz w:val="20"/>
          <w:vertAlign w:val="baseline"/>
        </w:rPr>
        <w:t>(the</w:t>
      </w:r>
      <w:r>
        <w:rPr>
          <w:spacing w:val="-2"/>
          <w:sz w:val="20"/>
          <w:vertAlign w:val="baseline"/>
        </w:rPr>
        <w:t> </w:t>
      </w:r>
      <w:r>
        <w:rPr>
          <w:sz w:val="20"/>
          <w:vertAlign w:val="baseline"/>
        </w:rPr>
        <w:t>fraction</w:t>
      </w:r>
      <w:r>
        <w:rPr>
          <w:spacing w:val="-3"/>
          <w:sz w:val="20"/>
          <w:vertAlign w:val="baseline"/>
        </w:rPr>
        <w:t> </w:t>
      </w:r>
      <w:r>
        <w:rPr>
          <w:sz w:val="20"/>
          <w:vertAlign w:val="baseline"/>
        </w:rPr>
        <w:t>of</w:t>
      </w:r>
      <w:r>
        <w:rPr>
          <w:spacing w:val="-4"/>
          <w:sz w:val="20"/>
          <w:vertAlign w:val="baseline"/>
        </w:rPr>
        <w:t> </w:t>
      </w:r>
      <w:r>
        <w:rPr>
          <w:sz w:val="20"/>
          <w:vertAlign w:val="baseline"/>
        </w:rPr>
        <w:t>HWP carbon</w:t>
      </w:r>
      <w:r>
        <w:rPr>
          <w:spacing w:val="-2"/>
          <w:sz w:val="20"/>
          <w:vertAlign w:val="baseline"/>
        </w:rPr>
        <w:t> </w:t>
      </w:r>
      <w:r>
        <w:rPr>
          <w:sz w:val="20"/>
          <w:vertAlign w:val="baseline"/>
        </w:rPr>
        <w:t>put</w:t>
      </w:r>
      <w:r>
        <w:rPr>
          <w:spacing w:val="-2"/>
          <w:sz w:val="20"/>
          <w:vertAlign w:val="baseline"/>
        </w:rPr>
        <w:t> </w:t>
      </w:r>
      <w:r>
        <w:rPr>
          <w:sz w:val="20"/>
          <w:vertAlign w:val="baseline"/>
        </w:rPr>
        <w:t>in</w:t>
      </w:r>
      <w:r>
        <w:rPr>
          <w:spacing w:val="-1"/>
          <w:sz w:val="20"/>
          <w:vertAlign w:val="baseline"/>
        </w:rPr>
        <w:t> </w:t>
      </w:r>
      <w:r>
        <w:rPr>
          <w:sz w:val="20"/>
          <w:vertAlign w:val="baseline"/>
        </w:rPr>
        <w:t>use</w:t>
      </w:r>
      <w:r>
        <w:rPr>
          <w:spacing w:val="-2"/>
          <w:sz w:val="20"/>
          <w:vertAlign w:val="baseline"/>
        </w:rPr>
        <w:t> </w:t>
      </w:r>
      <w:r>
        <w:rPr>
          <w:sz w:val="20"/>
          <w:vertAlign w:val="baseline"/>
        </w:rPr>
        <w:t>in</w:t>
      </w:r>
      <w:r>
        <w:rPr>
          <w:spacing w:val="-1"/>
          <w:sz w:val="20"/>
          <w:vertAlign w:val="baseline"/>
        </w:rPr>
        <w:t> </w:t>
      </w:r>
      <w:r>
        <w:rPr>
          <w:sz w:val="20"/>
          <w:vertAlign w:val="baseline"/>
        </w:rPr>
        <w:t>year</w:t>
      </w:r>
      <w:r>
        <w:rPr>
          <w:spacing w:val="-2"/>
          <w:sz w:val="20"/>
          <w:vertAlign w:val="baseline"/>
        </w:rPr>
        <w:t> </w:t>
      </w:r>
      <w:r>
        <w:rPr>
          <w:sz w:val="20"/>
          <w:vertAlign w:val="baseline"/>
        </w:rPr>
        <w:t>t</w:t>
      </w:r>
      <w:r>
        <w:rPr>
          <w:spacing w:val="-2"/>
          <w:sz w:val="20"/>
          <w:vertAlign w:val="baseline"/>
        </w:rPr>
        <w:t> </w:t>
      </w:r>
      <w:r>
        <w:rPr>
          <w:sz w:val="20"/>
          <w:vertAlign w:val="baseline"/>
        </w:rPr>
        <w:t>that</w:t>
      </w:r>
      <w:r>
        <w:rPr>
          <w:spacing w:val="-2"/>
          <w:sz w:val="20"/>
          <w:vertAlign w:val="baseline"/>
        </w:rPr>
        <w:t> </w:t>
      </w:r>
      <w:r>
        <w:rPr>
          <w:sz w:val="20"/>
          <w:vertAlign w:val="baseline"/>
        </w:rPr>
        <w:t>goes</w:t>
      </w:r>
      <w:r>
        <w:rPr>
          <w:spacing w:val="-3"/>
          <w:sz w:val="20"/>
          <w:vertAlign w:val="baseline"/>
        </w:rPr>
        <w:t> </w:t>
      </w:r>
      <w:r>
        <w:rPr>
          <w:sz w:val="20"/>
          <w:vertAlign w:val="baseline"/>
        </w:rPr>
        <w:t>out</w:t>
      </w:r>
      <w:r>
        <w:rPr>
          <w:spacing w:val="-1"/>
          <w:sz w:val="20"/>
          <w:vertAlign w:val="baseline"/>
        </w:rPr>
        <w:t> </w:t>
      </w:r>
      <w:r>
        <w:rPr>
          <w:sz w:val="20"/>
          <w:vertAlign w:val="baseline"/>
        </w:rPr>
        <w:t>of</w:t>
      </w:r>
      <w:r>
        <w:rPr>
          <w:spacing w:val="-1"/>
          <w:sz w:val="20"/>
          <w:vertAlign w:val="baseline"/>
        </w:rPr>
        <w:t> </w:t>
      </w:r>
      <w:r>
        <w:rPr>
          <w:sz w:val="20"/>
          <w:vertAlign w:val="baseline"/>
        </w:rPr>
        <w:t>use</w:t>
      </w:r>
      <w:r>
        <w:rPr>
          <w:spacing w:val="-2"/>
          <w:sz w:val="20"/>
          <w:vertAlign w:val="baseline"/>
        </w:rPr>
        <w:t> </w:t>
      </w:r>
      <w:r>
        <w:rPr>
          <w:sz w:val="20"/>
          <w:vertAlign w:val="baseline"/>
        </w:rPr>
        <w:t>in</w:t>
      </w:r>
      <w:r>
        <w:rPr>
          <w:spacing w:val="-3"/>
          <w:sz w:val="20"/>
          <w:vertAlign w:val="baseline"/>
        </w:rPr>
        <w:t> </w:t>
      </w:r>
      <w:r>
        <w:rPr>
          <w:sz w:val="20"/>
          <w:vertAlign w:val="baseline"/>
        </w:rPr>
        <w:t>each</w:t>
      </w:r>
      <w:r>
        <w:rPr>
          <w:spacing w:val="-1"/>
          <w:sz w:val="20"/>
          <w:vertAlign w:val="baseline"/>
        </w:rPr>
        <w:t> </w:t>
      </w:r>
      <w:r>
        <w:rPr>
          <w:sz w:val="20"/>
          <w:vertAlign w:val="baseline"/>
        </w:rPr>
        <w:t>year)</w:t>
      </w:r>
    </w:p>
    <w:p>
      <w:pPr>
        <w:pStyle w:val="ListParagraph"/>
        <w:numPr>
          <w:ilvl w:val="0"/>
          <w:numId w:val="117"/>
        </w:numPr>
        <w:tabs>
          <w:tab w:pos="479" w:val="left" w:leader="none"/>
          <w:tab w:pos="480" w:val="left" w:leader="none"/>
        </w:tabs>
        <w:spacing w:line="240" w:lineRule="auto" w:before="48" w:after="0"/>
        <w:ind w:left="479" w:right="0" w:hanging="360"/>
        <w:jc w:val="left"/>
        <w:rPr>
          <w:sz w:val="20"/>
        </w:rPr>
      </w:pPr>
      <w:r>
        <w:rPr>
          <w:sz w:val="20"/>
        </w:rPr>
        <w:t>Separate f</w:t>
      </w:r>
      <w:r>
        <w:rPr>
          <w:sz w:val="20"/>
          <w:vertAlign w:val="subscript"/>
        </w:rPr>
        <w:t>D</w:t>
      </w:r>
      <w:r>
        <w:rPr>
          <w:sz w:val="20"/>
          <w:vertAlign w:val="baseline"/>
        </w:rPr>
        <w:t> and fH</w:t>
      </w:r>
      <w:r>
        <w:rPr>
          <w:sz w:val="20"/>
          <w:vertAlign w:val="subscript"/>
        </w:rPr>
        <w:t>D</w:t>
      </w:r>
      <w:r>
        <w:rPr>
          <w:sz w:val="20"/>
          <w:vertAlign w:val="baseline"/>
        </w:rPr>
        <w:t> values are needed for solidwood products and paper</w:t>
      </w:r>
      <w:r>
        <w:rPr>
          <w:spacing w:val="-4"/>
          <w:sz w:val="20"/>
          <w:vertAlign w:val="baseline"/>
        </w:rPr>
        <w:t> </w:t>
      </w:r>
      <w:r>
        <w:rPr>
          <w:sz w:val="20"/>
          <w:vertAlign w:val="baseline"/>
        </w:rPr>
        <w:t>products.</w:t>
      </w:r>
    </w:p>
    <w:p>
      <w:pPr>
        <w:pStyle w:val="ListParagraph"/>
        <w:numPr>
          <w:ilvl w:val="0"/>
          <w:numId w:val="117"/>
        </w:numPr>
        <w:tabs>
          <w:tab w:pos="480" w:val="left" w:leader="none"/>
        </w:tabs>
        <w:spacing w:line="223" w:lineRule="auto" w:before="130" w:after="0"/>
        <w:ind w:left="476" w:right="122" w:hanging="357"/>
        <w:jc w:val="both"/>
        <w:rPr>
          <w:sz w:val="20"/>
        </w:rPr>
      </w:pPr>
      <w:r>
        <w:rPr>
          <w:sz w:val="20"/>
        </w:rPr>
        <w:t>The average f</w:t>
      </w:r>
      <w:r>
        <w:rPr>
          <w:sz w:val="20"/>
          <w:vertAlign w:val="subscript"/>
        </w:rPr>
        <w:t>D</w:t>
      </w:r>
      <w:r>
        <w:rPr>
          <w:sz w:val="20"/>
          <w:vertAlign w:val="baseline"/>
        </w:rPr>
        <w:t> and fH</w:t>
      </w:r>
      <w:r>
        <w:rPr>
          <w:sz w:val="20"/>
          <w:vertAlign w:val="subscript"/>
        </w:rPr>
        <w:t>D</w:t>
      </w:r>
      <w:r>
        <w:rPr>
          <w:sz w:val="20"/>
          <w:vertAlign w:val="baseline"/>
        </w:rPr>
        <w:t> values for solidwood products could be the weighted average of f</w:t>
      </w:r>
      <w:r>
        <w:rPr>
          <w:sz w:val="20"/>
          <w:vertAlign w:val="subscript"/>
        </w:rPr>
        <w:t>D</w:t>
      </w:r>
      <w:r>
        <w:rPr>
          <w:sz w:val="20"/>
          <w:vertAlign w:val="baseline"/>
        </w:rPr>
        <w:t> and fH</w:t>
      </w:r>
      <w:r>
        <w:rPr>
          <w:sz w:val="20"/>
          <w:vertAlign w:val="subscript"/>
        </w:rPr>
        <w:t>D</w:t>
      </w:r>
      <w:r>
        <w:rPr>
          <w:sz w:val="20"/>
          <w:vertAlign w:val="baseline"/>
        </w:rPr>
        <w:t> for lumber, panels and other industrial roundwood.</w:t>
      </w:r>
    </w:p>
    <w:p>
      <w:pPr>
        <w:pStyle w:val="ListParagraph"/>
        <w:numPr>
          <w:ilvl w:val="0"/>
          <w:numId w:val="117"/>
        </w:numPr>
        <w:tabs>
          <w:tab w:pos="480" w:val="left" w:leader="none"/>
        </w:tabs>
        <w:spacing w:line="225" w:lineRule="auto" w:before="147" w:after="0"/>
        <w:ind w:left="476" w:right="121" w:hanging="357"/>
        <w:jc w:val="both"/>
        <w:rPr>
          <w:sz w:val="20"/>
        </w:rPr>
      </w:pPr>
      <w:r>
        <w:rPr>
          <w:sz w:val="20"/>
        </w:rPr>
        <w:t>The average for fH</w:t>
      </w:r>
      <w:r>
        <w:rPr>
          <w:sz w:val="20"/>
          <w:vertAlign w:val="subscript"/>
        </w:rPr>
        <w:t>D</w:t>
      </w:r>
      <w:r>
        <w:rPr>
          <w:sz w:val="20"/>
          <w:vertAlign w:val="baseline"/>
        </w:rPr>
        <w:t> would be a weighted average of f</w:t>
      </w:r>
      <w:r>
        <w:rPr>
          <w:sz w:val="20"/>
          <w:vertAlign w:val="subscript"/>
        </w:rPr>
        <w:t>D</w:t>
      </w:r>
      <w:r>
        <w:rPr>
          <w:sz w:val="20"/>
          <w:vertAlign w:val="baseline"/>
        </w:rPr>
        <w:t> (for the home country) and for countries where exports are used and later discarded. Weights would be the portion of PH</w:t>
      </w:r>
      <w:r>
        <w:rPr>
          <w:sz w:val="20"/>
          <w:vertAlign w:val="subscript"/>
        </w:rPr>
        <w:t>A</w:t>
      </w:r>
      <w:r>
        <w:rPr>
          <w:position w:val="-8"/>
          <w:sz w:val="13"/>
          <w:vertAlign w:val="baseline"/>
        </w:rPr>
        <w:t>t </w:t>
      </w:r>
      <w:r>
        <w:rPr>
          <w:sz w:val="20"/>
          <w:vertAlign w:val="baseline"/>
        </w:rPr>
        <w:t>that is from domestic use and the portion of PH</w:t>
      </w:r>
      <w:r>
        <w:rPr>
          <w:sz w:val="20"/>
          <w:vertAlign w:val="subscript"/>
        </w:rPr>
        <w:t>A</w:t>
      </w:r>
      <w:r>
        <w:rPr>
          <w:position w:val="-8"/>
          <w:sz w:val="13"/>
          <w:vertAlign w:val="baseline"/>
        </w:rPr>
        <w:t>t </w:t>
      </w:r>
      <w:r>
        <w:rPr>
          <w:sz w:val="20"/>
          <w:vertAlign w:val="baseline"/>
        </w:rPr>
        <w:t>that is exported. A starting point would be to assume f</w:t>
      </w:r>
      <w:r>
        <w:rPr>
          <w:sz w:val="20"/>
          <w:vertAlign w:val="subscript"/>
        </w:rPr>
        <w:t>D</w:t>
      </w:r>
      <w:r>
        <w:rPr>
          <w:sz w:val="20"/>
          <w:vertAlign w:val="baseline"/>
        </w:rPr>
        <w:t> equals</w:t>
      </w:r>
      <w:r>
        <w:rPr>
          <w:spacing w:val="-24"/>
          <w:sz w:val="20"/>
          <w:vertAlign w:val="baseline"/>
        </w:rPr>
        <w:t> </w:t>
      </w:r>
      <w:r>
        <w:rPr>
          <w:sz w:val="20"/>
          <w:vertAlign w:val="baseline"/>
        </w:rPr>
        <w:t>fH</w:t>
      </w:r>
      <w:r>
        <w:rPr>
          <w:sz w:val="20"/>
          <w:vertAlign w:val="subscript"/>
        </w:rPr>
        <w:t>D</w:t>
      </w:r>
      <w:r>
        <w:rPr>
          <w:sz w:val="20"/>
          <w:vertAlign w:val="baseline"/>
        </w:rPr>
        <w:t>.</w:t>
      </w:r>
    </w:p>
    <w:p>
      <w:pPr>
        <w:pStyle w:val="BodyText"/>
      </w:pPr>
    </w:p>
    <w:p>
      <w:pPr>
        <w:pStyle w:val="BodyText"/>
        <w:spacing w:before="10"/>
        <w:rPr>
          <w:sz w:val="27"/>
        </w:rPr>
      </w:pPr>
      <w:r>
        <w:rPr/>
        <w:pict>
          <v:line style="position:absolute;mso-position-horizontal-relative:page;mso-position-vertical-relative:paragraph;z-index:13880;mso-wrap-distance-left:0;mso-wrap-distance-right:0" from="70.960999pt,18.265684pt" to="214.960999pt,18.265684pt" stroked="true" strokeweight=".48pt" strokecolor="#000000">
            <v:stroke dashstyle="solid"/>
            <w10:wrap type="topAndBottom"/>
          </v:line>
        </w:pict>
      </w:r>
    </w:p>
    <w:p>
      <w:pPr>
        <w:pStyle w:val="BodyText"/>
        <w:spacing w:before="148"/>
        <w:ind w:left="119"/>
      </w:pPr>
      <w:r>
        <w:rPr>
          <w:position w:val="9"/>
          <w:sz w:val="13"/>
        </w:rPr>
        <w:t>8 </w:t>
      </w:r>
      <w:r>
        <w:rPr/>
        <w:t>See </w:t>
      </w:r>
      <w:hyperlink r:id="rId175">
        <w:r>
          <w:rPr>
            <w:u w:val="single"/>
          </w:rPr>
          <w:t>http://apps.fao.org/page/collections?subset=forestry</w:t>
        </w:r>
      </w:hyperlink>
    </w:p>
    <w:p>
      <w:pPr>
        <w:spacing w:after="0"/>
        <w:sectPr>
          <w:pgSz w:w="11900" w:h="16840"/>
          <w:pgMar w:header="235" w:footer="408" w:top="920" w:bottom="600" w:left="1300" w:right="1280"/>
        </w:sectPr>
      </w:pPr>
    </w:p>
    <w:p>
      <w:pPr>
        <w:pStyle w:val="ListParagraph"/>
        <w:numPr>
          <w:ilvl w:val="0"/>
          <w:numId w:val="117"/>
        </w:numPr>
        <w:tabs>
          <w:tab w:pos="480" w:val="left" w:leader="none"/>
        </w:tabs>
        <w:spacing w:line="232" w:lineRule="auto" w:before="109" w:after="0"/>
        <w:ind w:left="476" w:right="120" w:hanging="357"/>
        <w:jc w:val="both"/>
        <w:rPr>
          <w:sz w:val="20"/>
        </w:rPr>
      </w:pPr>
      <w:r>
        <w:rPr>
          <w:sz w:val="20"/>
        </w:rPr>
        <w:t>f</w:t>
      </w:r>
      <w:r>
        <w:rPr>
          <w:sz w:val="20"/>
          <w:vertAlign w:val="subscript"/>
        </w:rPr>
        <w:t>D</w:t>
      </w:r>
      <w:r>
        <w:rPr>
          <w:sz w:val="20"/>
          <w:vertAlign w:val="baseline"/>
        </w:rPr>
        <w:t> and fH</w:t>
      </w:r>
      <w:r>
        <w:rPr>
          <w:sz w:val="20"/>
          <w:vertAlign w:val="subscript"/>
        </w:rPr>
        <w:t>D</w:t>
      </w:r>
      <w:r>
        <w:rPr>
          <w:sz w:val="20"/>
          <w:vertAlign w:val="baseline"/>
        </w:rPr>
        <w:t> values may also be converted from estimates of the half life for products in use or from the average life of a product. The half-life is the number of years until one-half of the products have gone out of use. The average life is the average number of years a product is in</w:t>
      </w:r>
      <w:r>
        <w:rPr>
          <w:spacing w:val="-8"/>
          <w:sz w:val="20"/>
          <w:vertAlign w:val="baseline"/>
        </w:rPr>
        <w:t> </w:t>
      </w:r>
      <w:r>
        <w:rPr>
          <w:sz w:val="20"/>
          <w:vertAlign w:val="baseline"/>
        </w:rPr>
        <w:t>use.</w:t>
      </w:r>
    </w:p>
    <w:p>
      <w:pPr>
        <w:pStyle w:val="BodyText"/>
        <w:spacing w:line="362" w:lineRule="auto" w:before="121"/>
        <w:ind w:left="476" w:right="4294"/>
      </w:pPr>
      <w:r>
        <w:rPr/>
        <w:t>f</w:t>
      </w:r>
      <w:r>
        <w:rPr>
          <w:vertAlign w:val="subscript"/>
        </w:rPr>
        <w:t>D</w:t>
      </w:r>
      <w:r>
        <w:rPr>
          <w:vertAlign w:val="baseline"/>
        </w:rPr>
        <w:t> = ln 2 / (half life in years) = 0.693 / (half life in years) f</w:t>
      </w:r>
      <w:r>
        <w:rPr>
          <w:vertAlign w:val="subscript"/>
        </w:rPr>
        <w:t>D</w:t>
      </w:r>
      <w:r>
        <w:rPr>
          <w:vertAlign w:val="baseline"/>
        </w:rPr>
        <w:t> = 1 / (average life in years)</w:t>
      </w:r>
    </w:p>
    <w:p>
      <w:pPr>
        <w:pStyle w:val="BodyText"/>
        <w:spacing w:before="3"/>
        <w:ind w:left="476"/>
      </w:pPr>
      <w:r>
        <w:rPr/>
        <w:t>average life in years = 1 / f</w:t>
      </w:r>
      <w:r>
        <w:rPr>
          <w:vertAlign w:val="subscript"/>
        </w:rPr>
        <w:t>D</w:t>
      </w:r>
    </w:p>
    <w:p>
      <w:pPr>
        <w:pStyle w:val="ListParagraph"/>
        <w:numPr>
          <w:ilvl w:val="0"/>
          <w:numId w:val="117"/>
        </w:numPr>
        <w:tabs>
          <w:tab w:pos="479" w:val="left" w:leader="none"/>
          <w:tab w:pos="480" w:val="left" w:leader="none"/>
        </w:tabs>
        <w:spacing w:line="223" w:lineRule="auto" w:before="147" w:after="0"/>
        <w:ind w:left="476" w:right="264" w:hanging="357"/>
        <w:jc w:val="left"/>
        <w:rPr>
          <w:sz w:val="20"/>
        </w:rPr>
      </w:pPr>
      <w:r>
        <w:rPr>
          <w:sz w:val="20"/>
        </w:rPr>
        <w:t>Half</w:t>
      </w:r>
      <w:r>
        <w:rPr>
          <w:spacing w:val="-5"/>
          <w:sz w:val="20"/>
        </w:rPr>
        <w:t> </w:t>
      </w:r>
      <w:r>
        <w:rPr>
          <w:sz w:val="20"/>
        </w:rPr>
        <w:t>life values</w:t>
      </w:r>
      <w:r>
        <w:rPr>
          <w:spacing w:val="-4"/>
          <w:sz w:val="20"/>
        </w:rPr>
        <w:t> </w:t>
      </w:r>
      <w:r>
        <w:rPr>
          <w:sz w:val="20"/>
        </w:rPr>
        <w:t>of</w:t>
      </w:r>
      <w:r>
        <w:rPr>
          <w:spacing w:val="-2"/>
          <w:sz w:val="20"/>
        </w:rPr>
        <w:t> </w:t>
      </w:r>
      <w:r>
        <w:rPr>
          <w:sz w:val="20"/>
        </w:rPr>
        <w:t>various</w:t>
      </w:r>
      <w:r>
        <w:rPr>
          <w:spacing w:val="-3"/>
          <w:sz w:val="20"/>
        </w:rPr>
        <w:t> </w:t>
      </w:r>
      <w:r>
        <w:rPr>
          <w:sz w:val="20"/>
        </w:rPr>
        <w:t>products</w:t>
      </w:r>
      <w:r>
        <w:rPr>
          <w:spacing w:val="-4"/>
          <w:sz w:val="20"/>
        </w:rPr>
        <w:t> </w:t>
      </w:r>
      <w:r>
        <w:rPr>
          <w:sz w:val="20"/>
        </w:rPr>
        <w:t>used</w:t>
      </w:r>
      <w:r>
        <w:rPr>
          <w:spacing w:val="-3"/>
          <w:sz w:val="20"/>
        </w:rPr>
        <w:t> </w:t>
      </w:r>
      <w:r>
        <w:rPr>
          <w:sz w:val="20"/>
        </w:rPr>
        <w:t>in</w:t>
      </w:r>
      <w:r>
        <w:rPr>
          <w:spacing w:val="-4"/>
          <w:sz w:val="20"/>
        </w:rPr>
        <w:t> </w:t>
      </w:r>
      <w:r>
        <w:rPr>
          <w:sz w:val="20"/>
        </w:rPr>
        <w:t>recent</w:t>
      </w:r>
      <w:r>
        <w:rPr>
          <w:spacing w:val="-2"/>
          <w:sz w:val="20"/>
        </w:rPr>
        <w:t> </w:t>
      </w:r>
      <w:r>
        <w:rPr>
          <w:sz w:val="20"/>
        </w:rPr>
        <w:t>studies,</w:t>
      </w:r>
      <w:r>
        <w:rPr>
          <w:spacing w:val="-2"/>
          <w:sz w:val="20"/>
        </w:rPr>
        <w:t> </w:t>
      </w:r>
      <w:r>
        <w:rPr>
          <w:sz w:val="20"/>
        </w:rPr>
        <w:t>including</w:t>
      </w:r>
      <w:r>
        <w:rPr>
          <w:spacing w:val="-4"/>
          <w:sz w:val="20"/>
        </w:rPr>
        <w:t> </w:t>
      </w:r>
      <w:r>
        <w:rPr>
          <w:sz w:val="20"/>
        </w:rPr>
        <w:t>suggested</w:t>
      </w:r>
      <w:r>
        <w:rPr>
          <w:spacing w:val="-3"/>
          <w:sz w:val="20"/>
        </w:rPr>
        <w:t> </w:t>
      </w:r>
      <w:r>
        <w:rPr>
          <w:sz w:val="20"/>
        </w:rPr>
        <w:t>default</w:t>
      </w:r>
      <w:r>
        <w:rPr>
          <w:spacing w:val="-2"/>
          <w:sz w:val="20"/>
        </w:rPr>
        <w:t> </w:t>
      </w:r>
      <w:r>
        <w:rPr>
          <w:sz w:val="20"/>
        </w:rPr>
        <w:t>values,</w:t>
      </w:r>
      <w:r>
        <w:rPr>
          <w:spacing w:val="-3"/>
          <w:sz w:val="20"/>
        </w:rPr>
        <w:t> </w:t>
      </w:r>
      <w:r>
        <w:rPr>
          <w:sz w:val="20"/>
        </w:rPr>
        <w:t>are</w:t>
      </w:r>
      <w:r>
        <w:rPr>
          <w:spacing w:val="-3"/>
          <w:sz w:val="20"/>
        </w:rPr>
        <w:t> </w:t>
      </w:r>
      <w:r>
        <w:rPr>
          <w:sz w:val="20"/>
        </w:rPr>
        <w:t>shown</w:t>
      </w:r>
      <w:r>
        <w:rPr>
          <w:spacing w:val="-4"/>
          <w:sz w:val="20"/>
        </w:rPr>
        <w:t> </w:t>
      </w:r>
      <w:r>
        <w:rPr>
          <w:sz w:val="20"/>
        </w:rPr>
        <w:t>in Table 3a.1.3. Each country needs to determine values appropriate for their</w:t>
      </w:r>
      <w:r>
        <w:rPr>
          <w:spacing w:val="-14"/>
          <w:sz w:val="20"/>
        </w:rPr>
        <w:t> </w:t>
      </w:r>
      <w:r>
        <w:rPr>
          <w:sz w:val="20"/>
        </w:rPr>
        <w:t>country.</w:t>
      </w:r>
    </w:p>
    <w:p>
      <w:pPr>
        <w:pStyle w:val="BodyText"/>
        <w:rPr>
          <w:sz w:val="22"/>
        </w:rPr>
      </w:pPr>
    </w:p>
    <w:p>
      <w:pPr>
        <w:pStyle w:val="BodyText"/>
        <w:spacing w:before="5"/>
      </w:pPr>
    </w:p>
    <w:p>
      <w:pPr>
        <w:pStyle w:val="Heading2"/>
        <w:tabs>
          <w:tab w:pos="1321" w:val="left" w:leader="none"/>
        </w:tabs>
        <w:ind w:left="119" w:firstLine="0"/>
      </w:pPr>
      <w:r>
        <w:rPr>
          <w:spacing w:val="8"/>
        </w:rPr>
        <w:t>3a.1.2</w:t>
        <w:tab/>
      </w:r>
      <w:r>
        <w:rPr>
          <w:spacing w:val="9"/>
        </w:rPr>
        <w:t>Completeness</w:t>
      </w:r>
    </w:p>
    <w:p>
      <w:pPr>
        <w:pStyle w:val="BodyText"/>
        <w:spacing w:before="116"/>
        <w:ind w:left="119" w:right="115"/>
        <w:jc w:val="both"/>
      </w:pPr>
      <w:r>
        <w:rPr/>
        <w:t>The Tier 2 methods include all primary wood and paper products. By doing so they include the carbon in any secondary wood products made from those primary products. But the methods do not include the effect on stock changes of carbon in imports and exports of secondary wood products, such as furniture or wooden crafts. Methods may need to be adapted to include imports and exports of secondary wood products if HWP is a key category and amounts of secondary wood product traded are notable in comparison to amounts of primary products produced or consumed. The Tier 2 method also omits any estimates of the amount of waste wood that goes from primary or secondary wood and from paper mills directly to SWDS. If these amounts are significant then separate direct estimates may be needed for these wood waste flows to SWDS.</w:t>
      </w:r>
    </w:p>
    <w:p>
      <w:pPr>
        <w:pStyle w:val="BodyText"/>
        <w:rPr>
          <w:sz w:val="22"/>
        </w:rPr>
      </w:pPr>
    </w:p>
    <w:p>
      <w:pPr>
        <w:pStyle w:val="BodyText"/>
        <w:spacing w:before="1"/>
      </w:pPr>
    </w:p>
    <w:p>
      <w:pPr>
        <w:pStyle w:val="Heading2"/>
        <w:tabs>
          <w:tab w:pos="1321" w:val="left" w:leader="none"/>
        </w:tabs>
        <w:ind w:left="119" w:firstLine="0"/>
      </w:pPr>
      <w:r>
        <w:rPr>
          <w:spacing w:val="8"/>
        </w:rPr>
        <w:t>3a.1.3</w:t>
        <w:tab/>
        <w:t>Uncertainty</w:t>
      </w:r>
      <w:r>
        <w:rPr>
          <w:spacing w:val="21"/>
        </w:rPr>
        <w:t> </w:t>
      </w:r>
      <w:r>
        <w:rPr>
          <w:spacing w:val="8"/>
        </w:rPr>
        <w:t>Assessment</w:t>
      </w:r>
    </w:p>
    <w:p>
      <w:pPr>
        <w:pStyle w:val="BodyText"/>
        <w:spacing w:before="114"/>
        <w:ind w:left="119" w:right="118"/>
        <w:jc w:val="both"/>
      </w:pPr>
      <w:r>
        <w:rPr/>
        <w:t>Uncertainty estimates for variables and parameters for the Tier 2 method are shown in Table 3a.1.4. The estimates are based on published studies and expert judgement. If national values are used for variables and parameters, uncertainties should be evaluated consistent with the guidance in Section 5.2, (Identifying and Quantifying Uncertainties) of this report.</w:t>
      </w:r>
    </w:p>
    <w:p>
      <w:pPr>
        <w:pStyle w:val="BodyText"/>
        <w:spacing w:before="119"/>
        <w:ind w:left="119" w:right="120"/>
        <w:jc w:val="both"/>
      </w:pPr>
      <w:r>
        <w:rPr/>
        <w:t>The only firm estimates of uncertainty likely to be available are those associated with national surveys of wood and paper products production and trade. For these, the error can be relatively low.</w:t>
      </w:r>
    </w:p>
    <w:p>
      <w:pPr>
        <w:pStyle w:val="BodyText"/>
        <w:spacing w:line="242" w:lineRule="auto" w:before="119"/>
        <w:ind w:left="119" w:right="116"/>
        <w:jc w:val="both"/>
      </w:pPr>
      <w:r>
        <w:rPr/>
        <w:t>For the Tier 2 method, the effect of uncertainty in production and trade several decades in the past is relatively less if the half-life of products in use and the half-life in SWDS is relatively short. This means that with longer use life, it becomes more important to use country-specific data on production and trade before 1961. Uncertainty in Tier 2 estimates could be quite large particularly if country-specific uncertainty is large in estimates over time in 1) fraction of discarded wood and paper going to SWDS, and 2) proportion of products in SWDS undergoing anaerobic decay. Because of these uncertainties it is desirable to use Tier 3 national level inventory surveys of wood stored in stocks such as housing, if possible. Such surveys may have relatively low uncertainties. Estimating uncertainties associated specifically with the Production Approach would include estimating the uncertainty of decay of products exported to other countries. Overall, uncertainties for Tier 2 or Tier 3 methods may be estimated using Tier 3 (Monte Carlo) methods discussed in Section 5.2, (Identifying and Quantifying Uncertainties). Further work is needed to specify a simpler method to evaluate uncertainties – that is equations that could use uncertainties from Table 3a.1.4 directly to estimate the overall uncertainty rather than to use the Monte Carlo simulation method. Use of the Tier 2 methods with default data, that is, without country- specific data, is unlikely to produce estimates with uncertainly less than </w:t>
      </w:r>
      <w:r>
        <w:rPr>
          <w:rFonts w:ascii="Symbol" w:hAnsi="Symbol"/>
        </w:rPr>
        <w:t>±</w:t>
      </w:r>
      <w:r>
        <w:rPr>
          <w:rFonts w:ascii="Symbol" w:hAnsi="Symbol"/>
          <w:spacing w:val="-4"/>
        </w:rPr>
        <w:t> </w:t>
      </w:r>
      <w:r>
        <w:rPr/>
        <w:t>50%.</w:t>
      </w:r>
    </w:p>
    <w:p>
      <w:pPr>
        <w:spacing w:after="0" w:line="242" w:lineRule="auto"/>
        <w:jc w:val="both"/>
        <w:sectPr>
          <w:pgSz w:w="11900" w:h="16840"/>
          <w:pgMar w:header="235" w:footer="408" w:top="920" w:bottom="600" w:left="1300" w:right="1280"/>
        </w:sectPr>
      </w:pPr>
    </w:p>
    <w:p>
      <w:pPr>
        <w:pStyle w:val="BodyText"/>
        <w:spacing w:before="76"/>
        <w:ind w:right="99"/>
        <w:jc w:val="right"/>
      </w:pPr>
      <w:r>
        <w:rPr/>
        <w:pict>
          <v:line style="position:absolute;mso-position-horizontal-relative:page;mso-position-vertical-relative:paragraph;z-index:-2440168" from="69.480003pt,18.295513pt" to="792.360003pt,18.295513pt" stroked="true" strokeweight=".75pt" strokecolor="#010101">
            <v:stroke dashstyle="solid"/>
            <w10:wrap type="none"/>
          </v:line>
        </w:pict>
      </w:r>
      <w:r>
        <w:rPr/>
        <w:pict>
          <v:group style="position:absolute;margin-left:616.200012pt;margin-top:226.319pt;width:164.65pt;height:113.55pt;mso-position-horizontal-relative:page;mso-position-vertical-relative:page;z-index:-2440144" coordorigin="12324,4526" coordsize="3293,2271">
            <v:rect style="position:absolute;left:12338;top:4771;width:1642;height:39" filled="true" fillcolor="#e0e0e0" stroked="false">
              <v:fill type="solid"/>
            </v:rect>
            <v:line style="position:absolute" from="12331,4526" to="12331,4810" stroked="true" strokeweight=".7pt" strokecolor="#e0e0e0">
              <v:stroke dashstyle="solid"/>
            </v:line>
            <v:rect style="position:absolute;left:12338;top:4526;width:1642;height:39" filled="true" fillcolor="#e0e0e0" stroked="false">
              <v:fill type="solid"/>
            </v:rect>
            <v:rect style="position:absolute;left:12338;top:4564;width:1642;height:207" filled="true" fillcolor="#e0e0e0" stroked="false">
              <v:fill type="solid"/>
            </v:rect>
            <v:rect style="position:absolute;left:13980;top:4771;width:1636;height:39" filled="true" fillcolor="#e0e0e0" stroked="false">
              <v:fill type="solid"/>
            </v:rect>
            <v:line style="position:absolute" from="13973,4526" to="13973,4810" stroked="true" strokeweight=".7pt" strokecolor="#e0e0e0">
              <v:stroke dashstyle="solid"/>
            </v:line>
            <v:rect style="position:absolute;left:13980;top:4526;width:1637;height:39" filled="true" fillcolor="#e0e0e0" stroked="false">
              <v:fill type="solid"/>
            </v:rect>
            <v:rect style="position:absolute;left:13980;top:4564;width:1637;height:207" filled="true" fillcolor="#e0e0e0" stroked="false">
              <v:fill type="solid"/>
            </v:rect>
            <v:rect style="position:absolute;left:12338;top:5054;width:1642;height:39" filled="true" fillcolor="#e0e0e0" stroked="false">
              <v:fill type="solid"/>
            </v:rect>
            <v:line style="position:absolute" from="12331,4810" to="12331,5093" stroked="true" strokeweight=".7pt" strokecolor="#e0e0e0">
              <v:stroke dashstyle="solid"/>
            </v:line>
            <v:rect style="position:absolute;left:12338;top:4809;width:1642;height:39" filled="true" fillcolor="#e0e0e0" stroked="false">
              <v:fill type="solid"/>
            </v:rect>
            <v:rect style="position:absolute;left:12338;top:4847;width:1642;height:207" filled="true" fillcolor="#e0e0e0" stroked="false">
              <v:fill type="solid"/>
            </v:rect>
            <v:rect style="position:absolute;left:13980;top:5054;width:1636;height:39" filled="true" fillcolor="#e0e0e0" stroked="false">
              <v:fill type="solid"/>
            </v:rect>
            <v:line style="position:absolute" from="13973,4810" to="13973,5093" stroked="true" strokeweight=".7pt" strokecolor="#e0e0e0">
              <v:stroke dashstyle="solid"/>
            </v:line>
            <v:rect style="position:absolute;left:13980;top:4809;width:1637;height:39" filled="true" fillcolor="#e0e0e0" stroked="false">
              <v:fill type="solid"/>
            </v:rect>
            <v:rect style="position:absolute;left:13980;top:4847;width:1637;height:207" filled="true" fillcolor="#e0e0e0" stroked="false">
              <v:fill type="solid"/>
            </v:rect>
            <v:rect style="position:absolute;left:12338;top:5337;width:1642;height:41" filled="true" fillcolor="#e0e0e0" stroked="false">
              <v:fill type="solid"/>
            </v:rect>
            <v:line style="position:absolute" from="12331,5093" to="12331,5378" stroked="true" strokeweight=".7pt" strokecolor="#e0e0e0">
              <v:stroke dashstyle="solid"/>
            </v:line>
            <v:rect style="position:absolute;left:12338;top:5092;width:1642;height:39" filled="true" fillcolor="#e0e0e0" stroked="false">
              <v:fill type="solid"/>
            </v:rect>
            <v:rect style="position:absolute;left:12338;top:5131;width:1642;height:207" filled="true" fillcolor="#e0e0e0" stroked="false">
              <v:fill type="solid"/>
            </v:rect>
            <v:rect style="position:absolute;left:13980;top:5337;width:1636;height:41" filled="true" fillcolor="#e0e0e0" stroked="false">
              <v:fill type="solid"/>
            </v:rect>
            <v:line style="position:absolute" from="13973,5093" to="13973,5378" stroked="true" strokeweight=".7pt" strokecolor="#e0e0e0">
              <v:stroke dashstyle="solid"/>
            </v:line>
            <v:rect style="position:absolute;left:13980;top:5092;width:1637;height:39" filled="true" fillcolor="#e0e0e0" stroked="false">
              <v:fill type="solid"/>
            </v:rect>
            <v:rect style="position:absolute;left:13980;top:5131;width:1637;height:207" filled="true" fillcolor="#e0e0e0" stroked="false">
              <v:fill type="solid"/>
            </v:rect>
            <v:rect style="position:absolute;left:12338;top:5623;width:1642;height:39" filled="true" fillcolor="#e0e0e0" stroked="false">
              <v:fill type="solid"/>
            </v:rect>
            <v:line style="position:absolute" from="12331,5378" to="12331,5662" stroked="true" strokeweight=".7pt" strokecolor="#e0e0e0">
              <v:stroke dashstyle="solid"/>
            </v:line>
            <v:rect style="position:absolute;left:12338;top:5378;width:1642;height:39" filled="true" fillcolor="#e0e0e0" stroked="false">
              <v:fill type="solid"/>
            </v:rect>
            <v:rect style="position:absolute;left:12338;top:5416;width:1642;height:207" filled="true" fillcolor="#e0e0e0" stroked="false">
              <v:fill type="solid"/>
            </v:rect>
            <v:rect style="position:absolute;left:13980;top:5623;width:1636;height:39" filled="true" fillcolor="#e0e0e0" stroked="false">
              <v:fill type="solid"/>
            </v:rect>
            <v:line style="position:absolute" from="13973,5378" to="13973,5662" stroked="true" strokeweight=".7pt" strokecolor="#e0e0e0">
              <v:stroke dashstyle="solid"/>
            </v:line>
            <v:rect style="position:absolute;left:13980;top:5378;width:1637;height:39" filled="true" fillcolor="#e0e0e0" stroked="false">
              <v:fill type="solid"/>
            </v:rect>
            <v:rect style="position:absolute;left:13980;top:5416;width:1637;height:207" filled="true" fillcolor="#e0e0e0" stroked="false">
              <v:fill type="solid"/>
            </v:rect>
            <v:rect style="position:absolute;left:12338;top:5906;width:1642;height:39" filled="true" fillcolor="#e0e0e0" stroked="false">
              <v:fill type="solid"/>
            </v:rect>
            <v:line style="position:absolute" from="12331,5662" to="12331,5945" stroked="true" strokeweight=".7pt" strokecolor="#e0e0e0">
              <v:stroke dashstyle="solid"/>
            </v:line>
            <v:rect style="position:absolute;left:12338;top:5661;width:1642;height:39" filled="true" fillcolor="#e0e0e0" stroked="false">
              <v:fill type="solid"/>
            </v:rect>
            <v:rect style="position:absolute;left:12338;top:5699;width:1642;height:207" filled="true" fillcolor="#e0e0e0" stroked="false">
              <v:fill type="solid"/>
            </v:rect>
            <v:rect style="position:absolute;left:13980;top:5906;width:1636;height:39" filled="true" fillcolor="#e0e0e0" stroked="false">
              <v:fill type="solid"/>
            </v:rect>
            <v:line style="position:absolute" from="13973,5662" to="13973,5945" stroked="true" strokeweight=".7pt" strokecolor="#e0e0e0">
              <v:stroke dashstyle="solid"/>
            </v:line>
            <v:rect style="position:absolute;left:13980;top:5661;width:1637;height:39" filled="true" fillcolor="#e0e0e0" stroked="false">
              <v:fill type="solid"/>
            </v:rect>
            <v:rect style="position:absolute;left:13980;top:5699;width:1637;height:207" filled="true" fillcolor="#e0e0e0" stroked="false">
              <v:fill type="solid"/>
            </v:rect>
            <v:rect style="position:absolute;left:12338;top:6189;width:1642;height:41" filled="true" fillcolor="#e0e0e0" stroked="false">
              <v:fill type="solid"/>
            </v:rect>
            <v:line style="position:absolute" from="12331,5945" to="12331,6230" stroked="true" strokeweight=".7pt" strokecolor="#e0e0e0">
              <v:stroke dashstyle="solid"/>
            </v:line>
            <v:rect style="position:absolute;left:12338;top:5944;width:1642;height:39" filled="true" fillcolor="#e0e0e0" stroked="false">
              <v:fill type="solid"/>
            </v:rect>
            <v:rect style="position:absolute;left:12338;top:5983;width:1642;height:207" filled="true" fillcolor="#e0e0e0" stroked="false">
              <v:fill type="solid"/>
            </v:rect>
            <v:rect style="position:absolute;left:13980;top:6189;width:1636;height:41" filled="true" fillcolor="#e0e0e0" stroked="false">
              <v:fill type="solid"/>
            </v:rect>
            <v:line style="position:absolute" from="13973,5945" to="13973,6230" stroked="true" strokeweight=".7pt" strokecolor="#e0e0e0">
              <v:stroke dashstyle="solid"/>
            </v:line>
            <v:rect style="position:absolute;left:13980;top:5944;width:1637;height:39" filled="true" fillcolor="#e0e0e0" stroked="false">
              <v:fill type="solid"/>
            </v:rect>
            <v:rect style="position:absolute;left:13980;top:5983;width:1637;height:207" filled="true" fillcolor="#e0e0e0" stroked="false">
              <v:fill type="solid"/>
            </v:rect>
            <v:rect style="position:absolute;left:12338;top:6475;width:1642;height:39" filled="true" fillcolor="#e0e0e0" stroked="false">
              <v:fill type="solid"/>
            </v:rect>
            <v:line style="position:absolute" from="12331,6230" to="12331,6514" stroked="true" strokeweight=".7pt" strokecolor="#e0e0e0">
              <v:stroke dashstyle="solid"/>
            </v:line>
            <v:rect style="position:absolute;left:12338;top:6230;width:1642;height:39" filled="true" fillcolor="#e0e0e0" stroked="false">
              <v:fill type="solid"/>
            </v:rect>
            <v:rect style="position:absolute;left:12338;top:6268;width:1642;height:207" filled="true" fillcolor="#e0e0e0" stroked="false">
              <v:fill type="solid"/>
            </v:rect>
            <v:rect style="position:absolute;left:13980;top:6475;width:1636;height:39" filled="true" fillcolor="#e0e0e0" stroked="false">
              <v:fill type="solid"/>
            </v:rect>
            <v:line style="position:absolute" from="13973,6230" to="13973,6514" stroked="true" strokeweight=".7pt" strokecolor="#e0e0e0">
              <v:stroke dashstyle="solid"/>
            </v:line>
            <v:rect style="position:absolute;left:13980;top:6230;width:1637;height:39" filled="true" fillcolor="#e0e0e0" stroked="false">
              <v:fill type="solid"/>
            </v:rect>
            <v:rect style="position:absolute;left:13980;top:6268;width:1637;height:207" filled="true" fillcolor="#e0e0e0" stroked="false">
              <v:fill type="solid"/>
            </v:rect>
            <v:rect style="position:absolute;left:12338;top:6758;width:1642;height:39" filled="true" fillcolor="#e0e0e0" stroked="false">
              <v:fill type="solid"/>
            </v:rect>
            <v:line style="position:absolute" from="12331,6514" to="12331,6797" stroked="true" strokeweight=".7pt" strokecolor="#e0e0e0">
              <v:stroke dashstyle="solid"/>
            </v:line>
            <v:rect style="position:absolute;left:12338;top:6513;width:1642;height:39" filled="true" fillcolor="#e0e0e0" stroked="false">
              <v:fill type="solid"/>
            </v:rect>
            <v:rect style="position:absolute;left:12338;top:6551;width:1642;height:207" filled="true" fillcolor="#e0e0e0" stroked="false">
              <v:fill type="solid"/>
            </v:rect>
            <v:rect style="position:absolute;left:13980;top:6758;width:1636;height:39" filled="true" fillcolor="#e0e0e0" stroked="false">
              <v:fill type="solid"/>
            </v:rect>
            <v:line style="position:absolute" from="13973,6514" to="13973,6797" stroked="true" strokeweight=".7pt" strokecolor="#e0e0e0">
              <v:stroke dashstyle="solid"/>
            </v:line>
            <v:rect style="position:absolute;left:13980;top:6513;width:1637;height:39" filled="true" fillcolor="#e0e0e0" stroked="false">
              <v:fill type="solid"/>
            </v:rect>
            <v:rect style="position:absolute;left:13980;top:6551;width:1637;height:207" filled="true" fillcolor="#e0e0e0" stroked="false">
              <v:fill type="solid"/>
            </v:rect>
            <w10:wrap type="none"/>
          </v:group>
        </w:pict>
      </w:r>
      <w:r>
        <w:rPr/>
        <w:t>Appendix 3a.1</w:t>
      </w:r>
    </w:p>
    <w:p>
      <w:pPr>
        <w:pStyle w:val="BodyText"/>
      </w:pPr>
    </w:p>
    <w:p>
      <w:pPr>
        <w:pStyle w:val="BodyText"/>
      </w:pPr>
    </w:p>
    <w:p>
      <w:pPr>
        <w:pStyle w:val="BodyText"/>
      </w:pPr>
    </w:p>
    <w:p>
      <w:pPr>
        <w:pStyle w:val="BodyText"/>
        <w:spacing w:before="3" w:after="1"/>
        <w:rPr>
          <w:sz w:val="19"/>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0"/>
        <w:gridCol w:w="1342"/>
        <w:gridCol w:w="1342"/>
        <w:gridCol w:w="1342"/>
        <w:gridCol w:w="1342"/>
        <w:gridCol w:w="1640"/>
        <w:gridCol w:w="1645"/>
        <w:gridCol w:w="1643"/>
        <w:gridCol w:w="1644"/>
      </w:tblGrid>
      <w:tr>
        <w:trPr>
          <w:trHeight w:val="827" w:hRule="atLeast"/>
        </w:trPr>
        <w:tc>
          <w:tcPr>
            <w:tcW w:w="14010" w:type="dxa"/>
            <w:gridSpan w:val="9"/>
            <w:tcBorders>
              <w:top w:val="single" w:sz="4" w:space="0" w:color="000000"/>
              <w:left w:val="single" w:sz="4" w:space="0" w:color="000000"/>
              <w:bottom w:val="double" w:sz="1" w:space="0" w:color="000000"/>
              <w:right w:val="single" w:sz="4" w:space="0" w:color="000000"/>
            </w:tcBorders>
          </w:tcPr>
          <w:p>
            <w:pPr>
              <w:pStyle w:val="TableParagraph"/>
              <w:spacing w:line="207" w:lineRule="exact" w:before="88"/>
              <w:ind w:left="1268" w:right="1267"/>
              <w:jc w:val="center"/>
              <w:rPr>
                <w:b/>
                <w:sz w:val="18"/>
              </w:rPr>
            </w:pPr>
            <w:r>
              <w:rPr>
                <w:b/>
                <w:sz w:val="18"/>
              </w:rPr>
              <w:t>T</w:t>
            </w:r>
            <w:r>
              <w:rPr>
                <w:b/>
                <w:sz w:val="14"/>
              </w:rPr>
              <w:t>ABLE </w:t>
            </w:r>
            <w:r>
              <w:rPr>
                <w:b/>
                <w:sz w:val="18"/>
              </w:rPr>
              <w:t>3a.1.2</w:t>
            </w:r>
          </w:p>
          <w:p>
            <w:pPr>
              <w:pStyle w:val="TableParagraph"/>
              <w:spacing w:line="207" w:lineRule="exact"/>
              <w:ind w:left="1268" w:right="1267"/>
              <w:jc w:val="center"/>
              <w:rPr>
                <w:b/>
                <w:sz w:val="18"/>
              </w:rPr>
            </w:pPr>
            <w:r>
              <w:rPr>
                <w:b/>
                <w:sz w:val="18"/>
              </w:rPr>
              <w:t>E</w:t>
            </w:r>
            <w:r>
              <w:rPr>
                <w:b/>
                <w:sz w:val="14"/>
              </w:rPr>
              <w:t>STIMATED ANNUAL RATES OF GROWTH FOR INDUSTRIAL ROUNDWOOD PRODUCTION </w:t>
            </w:r>
            <w:r>
              <w:rPr>
                <w:b/>
                <w:sz w:val="18"/>
              </w:rPr>
              <w:t>(</w:t>
            </w:r>
            <w:r>
              <w:rPr>
                <w:b/>
                <w:sz w:val="14"/>
              </w:rPr>
              <w:t>HARVEST</w:t>
            </w:r>
            <w:r>
              <w:rPr>
                <w:b/>
                <w:sz w:val="18"/>
              </w:rPr>
              <w:t>) </w:t>
            </w:r>
            <w:r>
              <w:rPr>
                <w:b/>
                <w:sz w:val="14"/>
              </w:rPr>
              <w:t>BY WORLD REGION</w:t>
            </w:r>
            <w:r>
              <w:rPr>
                <w:b/>
                <w:sz w:val="18"/>
              </w:rPr>
              <w:t>, </w:t>
            </w:r>
            <w:r>
              <w:rPr>
                <w:b/>
                <w:sz w:val="14"/>
              </w:rPr>
              <w:t>FOR SELECTED PERIODS </w:t>
            </w:r>
            <w:r>
              <w:rPr>
                <w:b/>
                <w:sz w:val="18"/>
              </w:rPr>
              <w:t>1900 </w:t>
            </w:r>
            <w:r>
              <w:rPr>
                <w:b/>
                <w:sz w:val="14"/>
              </w:rPr>
              <w:t>TO </w:t>
            </w:r>
            <w:r>
              <w:rPr>
                <w:b/>
                <w:sz w:val="18"/>
              </w:rPr>
              <w:t>1961.</w:t>
            </w:r>
          </w:p>
          <w:p>
            <w:pPr>
              <w:pStyle w:val="TableParagraph"/>
              <w:spacing w:before="55"/>
              <w:ind w:left="1268" w:right="1268"/>
              <w:jc w:val="center"/>
              <w:rPr>
                <w:sz w:val="18"/>
              </w:rPr>
            </w:pPr>
            <w:r>
              <w:rPr>
                <w:sz w:val="18"/>
              </w:rPr>
              <w:t>(Columns 7 and 8 are rates that may be used to project wood and paper products production and trade data backward in time from 1961 using equation 3</w:t>
            </w:r>
            <w:r>
              <w:rPr>
                <w:sz w:val="14"/>
              </w:rPr>
              <w:t>A</w:t>
            </w:r>
            <w:r>
              <w:rPr>
                <w:sz w:val="18"/>
              </w:rPr>
              <w:t>.1.4)</w:t>
            </w:r>
          </w:p>
        </w:tc>
      </w:tr>
      <w:tr>
        <w:trPr>
          <w:trHeight w:val="536" w:hRule="atLeast"/>
        </w:trPr>
        <w:tc>
          <w:tcPr>
            <w:tcW w:w="2070" w:type="dxa"/>
            <w:vMerge w:val="restart"/>
            <w:tcBorders>
              <w:top w:val="double" w:sz="1" w:space="0" w:color="000000"/>
              <w:left w:val="single" w:sz="4" w:space="0" w:color="000000"/>
              <w:bottom w:val="single" w:sz="4" w:space="0" w:color="000000"/>
              <w:right w:val="single" w:sz="6" w:space="0" w:color="000000"/>
            </w:tcBorders>
          </w:tcPr>
          <w:p>
            <w:pPr>
              <w:pStyle w:val="TableParagraph"/>
              <w:rPr>
                <w:sz w:val="20"/>
              </w:rPr>
            </w:pPr>
          </w:p>
          <w:p>
            <w:pPr>
              <w:pStyle w:val="TableParagraph"/>
              <w:rPr>
                <w:sz w:val="20"/>
              </w:rPr>
            </w:pPr>
          </w:p>
          <w:p>
            <w:pPr>
              <w:pStyle w:val="TableParagraph"/>
              <w:rPr>
                <w:sz w:val="20"/>
              </w:rPr>
            </w:pPr>
          </w:p>
          <w:p>
            <w:pPr>
              <w:pStyle w:val="TableParagraph"/>
              <w:spacing w:before="168"/>
              <w:ind w:left="518"/>
              <w:rPr>
                <w:b/>
                <w:sz w:val="18"/>
              </w:rPr>
            </w:pPr>
            <w:r>
              <w:rPr>
                <w:b/>
                <w:sz w:val="18"/>
              </w:rPr>
              <w:t>World region</w:t>
            </w:r>
          </w:p>
        </w:tc>
        <w:tc>
          <w:tcPr>
            <w:tcW w:w="1342" w:type="dxa"/>
            <w:tcBorders>
              <w:top w:val="double" w:sz="1" w:space="0" w:color="000000"/>
              <w:left w:val="single" w:sz="6" w:space="0" w:color="000000"/>
              <w:bottom w:val="single" w:sz="4" w:space="0" w:color="000000"/>
              <w:right w:val="single" w:sz="6" w:space="0" w:color="000000"/>
            </w:tcBorders>
          </w:tcPr>
          <w:p>
            <w:pPr>
              <w:pStyle w:val="TableParagraph"/>
              <w:spacing w:before="76"/>
              <w:ind w:left="228" w:right="198" w:firstLine="55"/>
              <w:rPr>
                <w:b/>
                <w:sz w:val="18"/>
              </w:rPr>
            </w:pPr>
            <w:r>
              <w:rPr>
                <w:b/>
                <w:sz w:val="18"/>
              </w:rPr>
              <w:t>Industrial roundwood</w:t>
            </w:r>
          </w:p>
        </w:tc>
        <w:tc>
          <w:tcPr>
            <w:tcW w:w="1342" w:type="dxa"/>
            <w:tcBorders>
              <w:top w:val="double" w:sz="1" w:space="0" w:color="000000"/>
              <w:left w:val="single" w:sz="6" w:space="0" w:color="000000"/>
              <w:bottom w:val="single" w:sz="4" w:space="0" w:color="000000"/>
              <w:right w:val="single" w:sz="6" w:space="0" w:color="000000"/>
            </w:tcBorders>
          </w:tcPr>
          <w:p>
            <w:pPr>
              <w:pStyle w:val="TableParagraph"/>
              <w:spacing w:before="179"/>
              <w:ind w:left="197" w:right="184"/>
              <w:jc w:val="center"/>
              <w:rPr>
                <w:b/>
                <w:sz w:val="18"/>
              </w:rPr>
            </w:pPr>
            <w:r>
              <w:rPr>
                <w:b/>
                <w:sz w:val="18"/>
              </w:rPr>
              <w:t>Population</w:t>
            </w:r>
          </w:p>
        </w:tc>
        <w:tc>
          <w:tcPr>
            <w:tcW w:w="1342" w:type="dxa"/>
            <w:tcBorders>
              <w:top w:val="double" w:sz="1" w:space="0" w:color="000000"/>
              <w:left w:val="single" w:sz="6" w:space="0" w:color="000000"/>
              <w:bottom w:val="single" w:sz="4" w:space="0" w:color="000000"/>
              <w:right w:val="single" w:sz="6" w:space="0" w:color="000000"/>
            </w:tcBorders>
          </w:tcPr>
          <w:p>
            <w:pPr>
              <w:pStyle w:val="TableParagraph"/>
              <w:spacing w:before="76"/>
              <w:ind w:left="228" w:right="198" w:firstLine="55"/>
              <w:rPr>
                <w:b/>
                <w:sz w:val="18"/>
              </w:rPr>
            </w:pPr>
            <w:r>
              <w:rPr>
                <w:b/>
                <w:sz w:val="18"/>
              </w:rPr>
              <w:t>Industrial roundwood</w:t>
            </w:r>
          </w:p>
        </w:tc>
        <w:tc>
          <w:tcPr>
            <w:tcW w:w="1342" w:type="dxa"/>
            <w:tcBorders>
              <w:top w:val="double" w:sz="1" w:space="0" w:color="000000"/>
              <w:left w:val="single" w:sz="6" w:space="0" w:color="000000"/>
              <w:bottom w:val="single" w:sz="4" w:space="0" w:color="000000"/>
              <w:right w:val="single" w:sz="6" w:space="0" w:color="000000"/>
            </w:tcBorders>
          </w:tcPr>
          <w:p>
            <w:pPr>
              <w:pStyle w:val="TableParagraph"/>
              <w:spacing w:before="179"/>
              <w:ind w:left="197" w:right="186"/>
              <w:jc w:val="center"/>
              <w:rPr>
                <w:b/>
                <w:sz w:val="18"/>
              </w:rPr>
            </w:pPr>
            <w:r>
              <w:rPr>
                <w:b/>
                <w:sz w:val="18"/>
              </w:rPr>
              <w:t>Population</w:t>
            </w:r>
          </w:p>
        </w:tc>
        <w:tc>
          <w:tcPr>
            <w:tcW w:w="1640" w:type="dxa"/>
            <w:tcBorders>
              <w:top w:val="double" w:sz="1" w:space="0" w:color="000000"/>
              <w:left w:val="single" w:sz="6" w:space="0" w:color="000000"/>
              <w:bottom w:val="single" w:sz="4" w:space="0" w:color="000000"/>
              <w:right w:val="single" w:sz="6" w:space="0" w:color="000000"/>
            </w:tcBorders>
          </w:tcPr>
          <w:p>
            <w:pPr>
              <w:pStyle w:val="TableParagraph"/>
              <w:spacing w:before="76"/>
              <w:ind w:left="378" w:right="346" w:firstLine="55"/>
              <w:rPr>
                <w:b/>
                <w:sz w:val="18"/>
              </w:rPr>
            </w:pPr>
            <w:r>
              <w:rPr>
                <w:b/>
                <w:sz w:val="18"/>
              </w:rPr>
              <w:t>Industrial roundwood</w:t>
            </w:r>
          </w:p>
        </w:tc>
        <w:tc>
          <w:tcPr>
            <w:tcW w:w="1645" w:type="dxa"/>
            <w:tcBorders>
              <w:top w:val="double" w:sz="1" w:space="0" w:color="000000"/>
              <w:left w:val="single" w:sz="6" w:space="0" w:color="000000"/>
              <w:bottom w:val="single" w:sz="4" w:space="0" w:color="000000"/>
              <w:right w:val="single" w:sz="6" w:space="0" w:color="000000"/>
            </w:tcBorders>
          </w:tcPr>
          <w:p>
            <w:pPr>
              <w:pStyle w:val="TableParagraph"/>
              <w:spacing w:before="76"/>
              <w:ind w:left="377" w:right="352" w:firstLine="55"/>
              <w:rPr>
                <w:b/>
                <w:sz w:val="18"/>
              </w:rPr>
            </w:pPr>
            <w:r>
              <w:rPr>
                <w:b/>
                <w:sz w:val="18"/>
              </w:rPr>
              <w:t>Industrial roundwood</w:t>
            </w:r>
          </w:p>
        </w:tc>
        <w:tc>
          <w:tcPr>
            <w:tcW w:w="1643" w:type="dxa"/>
            <w:tcBorders>
              <w:top w:val="double" w:sz="1" w:space="0" w:color="000000"/>
              <w:left w:val="single" w:sz="6" w:space="0" w:color="000000"/>
              <w:bottom w:val="single" w:sz="4" w:space="0" w:color="000000"/>
              <w:right w:val="single" w:sz="6" w:space="0" w:color="000000"/>
            </w:tcBorders>
          </w:tcPr>
          <w:p>
            <w:pPr>
              <w:pStyle w:val="TableParagraph"/>
              <w:spacing w:before="76"/>
              <w:ind w:left="376" w:right="351" w:firstLine="55"/>
              <w:rPr>
                <w:b/>
                <w:sz w:val="18"/>
              </w:rPr>
            </w:pPr>
            <w:r>
              <w:rPr>
                <w:b/>
                <w:sz w:val="18"/>
              </w:rPr>
              <w:t>Industrial roundwood</w:t>
            </w:r>
          </w:p>
        </w:tc>
        <w:tc>
          <w:tcPr>
            <w:tcW w:w="1644" w:type="dxa"/>
            <w:tcBorders>
              <w:top w:val="double" w:sz="1" w:space="0" w:color="000000"/>
              <w:left w:val="single" w:sz="6" w:space="0" w:color="000000"/>
              <w:bottom w:val="single" w:sz="4" w:space="0" w:color="000000"/>
              <w:right w:val="single" w:sz="4" w:space="0" w:color="000000"/>
            </w:tcBorders>
          </w:tcPr>
          <w:p>
            <w:pPr>
              <w:pStyle w:val="TableParagraph"/>
              <w:spacing w:before="76"/>
              <w:ind w:left="375" w:right="356" w:firstLine="55"/>
              <w:rPr>
                <w:b/>
                <w:sz w:val="18"/>
              </w:rPr>
            </w:pPr>
            <w:r>
              <w:rPr>
                <w:b/>
                <w:sz w:val="18"/>
              </w:rPr>
              <w:t>Industrial roundwood</w:t>
            </w:r>
          </w:p>
        </w:tc>
      </w:tr>
      <w:tr>
        <w:trPr>
          <w:trHeight w:val="1125" w:hRule="atLeast"/>
        </w:trPr>
        <w:tc>
          <w:tcPr>
            <w:tcW w:w="2070" w:type="dxa"/>
            <w:vMerge/>
            <w:tcBorders>
              <w:top w:val="nil"/>
              <w:left w:val="single" w:sz="4" w:space="0" w:color="000000"/>
              <w:bottom w:val="single" w:sz="4" w:space="0" w:color="000000"/>
              <w:right w:val="single" w:sz="6" w:space="0" w:color="000000"/>
            </w:tcBorders>
          </w:tcPr>
          <w:p>
            <w:pPr>
              <w:rPr>
                <w:sz w:val="2"/>
                <w:szCs w:val="2"/>
              </w:rPr>
            </w:pPr>
          </w:p>
        </w:tc>
        <w:tc>
          <w:tcPr>
            <w:tcW w:w="1342" w:type="dxa"/>
            <w:tcBorders>
              <w:top w:val="single" w:sz="4" w:space="0" w:color="000000"/>
              <w:left w:val="single" w:sz="6" w:space="0" w:color="000000"/>
              <w:bottom w:val="single" w:sz="4" w:space="0" w:color="000000"/>
              <w:right w:val="single" w:sz="6" w:space="0" w:color="000000"/>
            </w:tcBorders>
          </w:tcPr>
          <w:p>
            <w:pPr>
              <w:pStyle w:val="TableParagraph"/>
              <w:rPr>
                <w:sz w:val="20"/>
              </w:rPr>
            </w:pPr>
          </w:p>
          <w:p>
            <w:pPr>
              <w:pStyle w:val="TableParagraph"/>
              <w:spacing w:before="1"/>
              <w:rPr>
                <w:sz w:val="21"/>
              </w:rPr>
            </w:pPr>
          </w:p>
          <w:p>
            <w:pPr>
              <w:pStyle w:val="TableParagraph"/>
              <w:ind w:left="197" w:right="186"/>
              <w:jc w:val="center"/>
              <w:rPr>
                <w:b/>
                <w:sz w:val="18"/>
              </w:rPr>
            </w:pPr>
            <w:r>
              <w:rPr>
                <w:b/>
                <w:sz w:val="18"/>
              </w:rPr>
              <w:t>Production</w:t>
            </w:r>
          </w:p>
        </w:tc>
        <w:tc>
          <w:tcPr>
            <w:tcW w:w="1342" w:type="dxa"/>
            <w:tcBorders>
              <w:top w:val="single" w:sz="4" w:space="0" w:color="000000"/>
              <w:left w:val="single" w:sz="6" w:space="0" w:color="000000"/>
              <w:bottom w:val="single" w:sz="4" w:space="0" w:color="000000"/>
              <w:right w:val="single" w:sz="6" w:space="0" w:color="000000"/>
            </w:tcBorders>
          </w:tcPr>
          <w:p>
            <w:pPr>
              <w:pStyle w:val="TableParagraph"/>
              <w:rPr>
                <w:sz w:val="16"/>
              </w:rPr>
            </w:pPr>
          </w:p>
        </w:tc>
        <w:tc>
          <w:tcPr>
            <w:tcW w:w="1342" w:type="dxa"/>
            <w:tcBorders>
              <w:top w:val="single" w:sz="4" w:space="0" w:color="000000"/>
              <w:left w:val="single" w:sz="6" w:space="0" w:color="000000"/>
              <w:bottom w:val="single" w:sz="4" w:space="0" w:color="000000"/>
              <w:right w:val="single" w:sz="6" w:space="0" w:color="000000"/>
            </w:tcBorders>
          </w:tcPr>
          <w:p>
            <w:pPr>
              <w:pStyle w:val="TableParagraph"/>
              <w:rPr>
                <w:sz w:val="20"/>
              </w:rPr>
            </w:pPr>
          </w:p>
          <w:p>
            <w:pPr>
              <w:pStyle w:val="TableParagraph"/>
              <w:spacing w:before="139"/>
              <w:ind w:left="434" w:right="56" w:hanging="348"/>
              <w:rPr>
                <w:b/>
                <w:sz w:val="18"/>
              </w:rPr>
            </w:pPr>
            <w:r>
              <w:rPr>
                <w:b/>
                <w:sz w:val="18"/>
              </w:rPr>
              <w:t>Production per capita</w:t>
            </w:r>
          </w:p>
        </w:tc>
        <w:tc>
          <w:tcPr>
            <w:tcW w:w="1342" w:type="dxa"/>
            <w:tcBorders>
              <w:top w:val="single" w:sz="4" w:space="0" w:color="000000"/>
              <w:left w:val="single" w:sz="6" w:space="0" w:color="000000"/>
              <w:bottom w:val="single" w:sz="4" w:space="0" w:color="000000"/>
              <w:right w:val="single" w:sz="6" w:space="0" w:color="000000"/>
            </w:tcBorders>
          </w:tcPr>
          <w:p>
            <w:pPr>
              <w:pStyle w:val="TableParagraph"/>
              <w:rPr>
                <w:sz w:val="16"/>
              </w:rPr>
            </w:pPr>
          </w:p>
        </w:tc>
        <w:tc>
          <w:tcPr>
            <w:tcW w:w="1640" w:type="dxa"/>
            <w:tcBorders>
              <w:top w:val="single" w:sz="4" w:space="0" w:color="000000"/>
              <w:left w:val="single" w:sz="6" w:space="0" w:color="000000"/>
              <w:bottom w:val="single" w:sz="4" w:space="0" w:color="000000"/>
              <w:right w:val="single" w:sz="6" w:space="0" w:color="000000"/>
            </w:tcBorders>
          </w:tcPr>
          <w:p>
            <w:pPr>
              <w:pStyle w:val="TableParagraph"/>
              <w:spacing w:before="160"/>
              <w:ind w:left="68" w:right="56" w:hanging="1"/>
              <w:jc w:val="center"/>
              <w:rPr>
                <w:b/>
                <w:sz w:val="18"/>
              </w:rPr>
            </w:pPr>
            <w:r>
              <w:rPr>
                <w:b/>
                <w:sz w:val="18"/>
              </w:rPr>
              <w:t>Production with production per capita fixed at 1950 level</w:t>
            </w:r>
          </w:p>
        </w:tc>
        <w:tc>
          <w:tcPr>
            <w:tcW w:w="1645" w:type="dxa"/>
            <w:tcBorders>
              <w:top w:val="single" w:sz="4" w:space="0" w:color="000000"/>
              <w:left w:val="single" w:sz="6" w:space="0" w:color="000000"/>
              <w:bottom w:val="single" w:sz="4" w:space="0" w:color="000000"/>
              <w:right w:val="single" w:sz="6" w:space="0" w:color="000000"/>
            </w:tcBorders>
          </w:tcPr>
          <w:p>
            <w:pPr>
              <w:pStyle w:val="TableParagraph"/>
              <w:spacing w:before="160"/>
              <w:ind w:left="92" w:right="88" w:firstLine="1"/>
              <w:jc w:val="center"/>
              <w:rPr>
                <w:b/>
                <w:sz w:val="18"/>
              </w:rPr>
            </w:pPr>
            <w:r>
              <w:rPr>
                <w:b/>
                <w:sz w:val="18"/>
              </w:rPr>
              <w:t>Production with production per capita deceasing at 1950 to 1975 rate</w:t>
            </w:r>
          </w:p>
        </w:tc>
        <w:tc>
          <w:tcPr>
            <w:tcW w:w="1643" w:type="dxa"/>
            <w:tcBorders>
              <w:top w:val="single" w:sz="4" w:space="0" w:color="000000"/>
              <w:left w:val="single" w:sz="6" w:space="0" w:color="000000"/>
              <w:bottom w:val="single" w:sz="4" w:space="0" w:color="000000"/>
              <w:right w:val="single" w:sz="6" w:space="0" w:color="000000"/>
            </w:tcBorders>
          </w:tcPr>
          <w:p>
            <w:pPr>
              <w:pStyle w:val="TableParagraph"/>
              <w:spacing w:before="160"/>
              <w:ind w:left="67" w:right="61" w:hanging="1"/>
              <w:jc w:val="center"/>
              <w:rPr>
                <w:b/>
                <w:sz w:val="18"/>
              </w:rPr>
            </w:pPr>
            <w:r>
              <w:rPr>
                <w:b/>
                <w:sz w:val="18"/>
              </w:rPr>
              <w:t>Production with production per capita fixed at 1950 level before 1950</w:t>
            </w:r>
          </w:p>
        </w:tc>
        <w:tc>
          <w:tcPr>
            <w:tcW w:w="1644" w:type="dxa"/>
            <w:tcBorders>
              <w:top w:val="single" w:sz="4" w:space="0" w:color="000000"/>
              <w:left w:val="single" w:sz="6" w:space="0" w:color="000000"/>
              <w:bottom w:val="single" w:sz="4" w:space="0" w:color="000000"/>
              <w:right w:val="single" w:sz="4" w:space="0" w:color="000000"/>
            </w:tcBorders>
          </w:tcPr>
          <w:p>
            <w:pPr>
              <w:pStyle w:val="TableParagraph"/>
              <w:spacing w:before="57"/>
              <w:ind w:left="89" w:right="92" w:firstLine="1"/>
              <w:jc w:val="center"/>
              <w:rPr>
                <w:b/>
                <w:sz w:val="18"/>
              </w:rPr>
            </w:pPr>
            <w:r>
              <w:rPr>
                <w:b/>
                <w:sz w:val="18"/>
              </w:rPr>
              <w:t>Production with production per capita deceasing at 1950 to 1975 rate</w:t>
            </w:r>
          </w:p>
          <w:p>
            <w:pPr>
              <w:pStyle w:val="TableParagraph"/>
              <w:ind w:left="345" w:right="345"/>
              <w:jc w:val="center"/>
              <w:rPr>
                <w:b/>
                <w:sz w:val="18"/>
              </w:rPr>
            </w:pPr>
            <w:r>
              <w:rPr>
                <w:b/>
                <w:sz w:val="18"/>
              </w:rPr>
              <w:t>before 1950</w:t>
            </w:r>
          </w:p>
        </w:tc>
      </w:tr>
      <w:tr>
        <w:trPr>
          <w:trHeight w:val="273" w:hRule="atLeast"/>
        </w:trPr>
        <w:tc>
          <w:tcPr>
            <w:tcW w:w="2070" w:type="dxa"/>
            <w:vMerge/>
            <w:tcBorders>
              <w:top w:val="nil"/>
              <w:left w:val="single" w:sz="4" w:space="0" w:color="000000"/>
              <w:bottom w:val="single" w:sz="4" w:space="0" w:color="000000"/>
              <w:right w:val="single" w:sz="6" w:space="0" w:color="000000"/>
            </w:tcBorders>
          </w:tcPr>
          <w:p>
            <w:pPr>
              <w:rPr>
                <w:sz w:val="2"/>
                <w:szCs w:val="2"/>
              </w:rPr>
            </w:pPr>
          </w:p>
        </w:tc>
        <w:tc>
          <w:tcPr>
            <w:tcW w:w="1342" w:type="dxa"/>
            <w:tcBorders>
              <w:top w:val="single" w:sz="4" w:space="0" w:color="000000"/>
              <w:left w:val="single" w:sz="6" w:space="0" w:color="000000"/>
              <w:bottom w:val="single" w:sz="4" w:space="0" w:color="000000"/>
              <w:right w:val="single" w:sz="6" w:space="0" w:color="000000"/>
            </w:tcBorders>
          </w:tcPr>
          <w:p>
            <w:pPr>
              <w:pStyle w:val="TableParagraph"/>
              <w:spacing w:line="205" w:lineRule="exact" w:before="47"/>
              <w:ind w:left="197" w:right="187"/>
              <w:jc w:val="center"/>
              <w:rPr>
                <w:b/>
                <w:sz w:val="18"/>
              </w:rPr>
            </w:pPr>
            <w:r>
              <w:rPr>
                <w:b/>
                <w:sz w:val="18"/>
              </w:rPr>
              <w:t>(1950-1961)</w:t>
            </w:r>
          </w:p>
        </w:tc>
        <w:tc>
          <w:tcPr>
            <w:tcW w:w="1342" w:type="dxa"/>
            <w:tcBorders>
              <w:top w:val="single" w:sz="4" w:space="0" w:color="000000"/>
              <w:left w:val="single" w:sz="6" w:space="0" w:color="000000"/>
              <w:bottom w:val="single" w:sz="4" w:space="0" w:color="000000"/>
              <w:right w:val="single" w:sz="6" w:space="0" w:color="000000"/>
            </w:tcBorders>
          </w:tcPr>
          <w:p>
            <w:pPr>
              <w:pStyle w:val="TableParagraph"/>
              <w:spacing w:line="205" w:lineRule="exact" w:before="47"/>
              <w:ind w:left="197" w:right="188"/>
              <w:jc w:val="center"/>
              <w:rPr>
                <w:b/>
                <w:sz w:val="18"/>
              </w:rPr>
            </w:pPr>
            <w:r>
              <w:rPr>
                <w:b/>
                <w:sz w:val="18"/>
              </w:rPr>
              <w:t>(1950-1961)</w:t>
            </w:r>
          </w:p>
        </w:tc>
        <w:tc>
          <w:tcPr>
            <w:tcW w:w="1342" w:type="dxa"/>
            <w:tcBorders>
              <w:top w:val="single" w:sz="4" w:space="0" w:color="000000"/>
              <w:left w:val="single" w:sz="6" w:space="0" w:color="000000"/>
              <w:bottom w:val="single" w:sz="4" w:space="0" w:color="000000"/>
              <w:right w:val="single" w:sz="6" w:space="0" w:color="000000"/>
            </w:tcBorders>
          </w:tcPr>
          <w:p>
            <w:pPr>
              <w:pStyle w:val="TableParagraph"/>
              <w:spacing w:line="205" w:lineRule="exact" w:before="47"/>
              <w:ind w:left="196" w:right="188"/>
              <w:jc w:val="center"/>
              <w:rPr>
                <w:b/>
                <w:sz w:val="18"/>
              </w:rPr>
            </w:pPr>
            <w:r>
              <w:rPr>
                <w:b/>
                <w:sz w:val="18"/>
              </w:rPr>
              <w:t>(1950-1975)</w:t>
            </w:r>
          </w:p>
        </w:tc>
        <w:tc>
          <w:tcPr>
            <w:tcW w:w="1342" w:type="dxa"/>
            <w:tcBorders>
              <w:top w:val="single" w:sz="4" w:space="0" w:color="000000"/>
              <w:left w:val="single" w:sz="6" w:space="0" w:color="000000"/>
              <w:bottom w:val="single" w:sz="4" w:space="0" w:color="000000"/>
              <w:right w:val="single" w:sz="6" w:space="0" w:color="000000"/>
            </w:tcBorders>
          </w:tcPr>
          <w:p>
            <w:pPr>
              <w:pStyle w:val="TableParagraph"/>
              <w:spacing w:line="205" w:lineRule="exact" w:before="47"/>
              <w:ind w:left="196" w:right="188"/>
              <w:jc w:val="center"/>
              <w:rPr>
                <w:b/>
                <w:sz w:val="18"/>
              </w:rPr>
            </w:pPr>
            <w:r>
              <w:rPr>
                <w:b/>
                <w:sz w:val="18"/>
              </w:rPr>
              <w:t>(1900-1950)</w:t>
            </w:r>
          </w:p>
        </w:tc>
        <w:tc>
          <w:tcPr>
            <w:tcW w:w="1640" w:type="dxa"/>
            <w:tcBorders>
              <w:top w:val="single" w:sz="4" w:space="0" w:color="000000"/>
              <w:left w:val="single" w:sz="6" w:space="0" w:color="000000"/>
              <w:bottom w:val="single" w:sz="4" w:space="0" w:color="000000"/>
              <w:right w:val="single" w:sz="6" w:space="0" w:color="000000"/>
            </w:tcBorders>
          </w:tcPr>
          <w:p>
            <w:pPr>
              <w:pStyle w:val="TableParagraph"/>
              <w:spacing w:line="205" w:lineRule="exact" w:before="47"/>
              <w:ind w:left="348" w:right="337"/>
              <w:jc w:val="center"/>
              <w:rPr>
                <w:b/>
                <w:sz w:val="18"/>
              </w:rPr>
            </w:pPr>
            <w:r>
              <w:rPr>
                <w:b/>
                <w:sz w:val="18"/>
              </w:rPr>
              <w:t>(1900-1950)</w:t>
            </w:r>
          </w:p>
        </w:tc>
        <w:tc>
          <w:tcPr>
            <w:tcW w:w="1645" w:type="dxa"/>
            <w:tcBorders>
              <w:top w:val="single" w:sz="4" w:space="0" w:color="000000"/>
              <w:left w:val="single" w:sz="6" w:space="0" w:color="000000"/>
              <w:bottom w:val="single" w:sz="4" w:space="0" w:color="000000"/>
              <w:right w:val="single" w:sz="6" w:space="0" w:color="000000"/>
            </w:tcBorders>
          </w:tcPr>
          <w:p>
            <w:pPr>
              <w:pStyle w:val="TableParagraph"/>
              <w:spacing w:line="205" w:lineRule="exact" w:before="47"/>
              <w:ind w:left="347" w:right="342"/>
              <w:jc w:val="center"/>
              <w:rPr>
                <w:b/>
                <w:sz w:val="18"/>
              </w:rPr>
            </w:pPr>
            <w:r>
              <w:rPr>
                <w:b/>
                <w:sz w:val="18"/>
              </w:rPr>
              <w:t>(1900-1950)</w:t>
            </w:r>
          </w:p>
        </w:tc>
        <w:tc>
          <w:tcPr>
            <w:tcW w:w="1643" w:type="dxa"/>
            <w:tcBorders>
              <w:top w:val="single" w:sz="4" w:space="0" w:color="000000"/>
              <w:left w:val="single" w:sz="6" w:space="0" w:color="000000"/>
              <w:bottom w:val="single" w:sz="4" w:space="0" w:color="000000"/>
              <w:right w:val="single" w:sz="6" w:space="0" w:color="000000"/>
            </w:tcBorders>
          </w:tcPr>
          <w:p>
            <w:pPr>
              <w:pStyle w:val="TableParagraph"/>
              <w:spacing w:line="205" w:lineRule="exact" w:before="47"/>
              <w:ind w:left="346" w:right="341"/>
              <w:jc w:val="center"/>
              <w:rPr>
                <w:b/>
                <w:sz w:val="18"/>
              </w:rPr>
            </w:pPr>
            <w:r>
              <w:rPr>
                <w:b/>
                <w:sz w:val="18"/>
              </w:rPr>
              <w:t>(1900-1961)</w:t>
            </w:r>
          </w:p>
        </w:tc>
        <w:tc>
          <w:tcPr>
            <w:tcW w:w="1644" w:type="dxa"/>
            <w:tcBorders>
              <w:top w:val="single" w:sz="4" w:space="0" w:color="000000"/>
              <w:left w:val="single" w:sz="6" w:space="0" w:color="000000"/>
              <w:bottom w:val="single" w:sz="4" w:space="0" w:color="000000"/>
              <w:right w:val="single" w:sz="4" w:space="0" w:color="000000"/>
            </w:tcBorders>
          </w:tcPr>
          <w:p>
            <w:pPr>
              <w:pStyle w:val="TableParagraph"/>
              <w:spacing w:line="205" w:lineRule="exact" w:before="47"/>
              <w:ind w:left="345" w:right="346"/>
              <w:jc w:val="center"/>
              <w:rPr>
                <w:b/>
                <w:sz w:val="18"/>
              </w:rPr>
            </w:pPr>
            <w:r>
              <w:rPr>
                <w:b/>
                <w:sz w:val="18"/>
              </w:rPr>
              <w:t>(1900-1961)</w:t>
            </w:r>
          </w:p>
        </w:tc>
      </w:tr>
      <w:tr>
        <w:trPr>
          <w:trHeight w:val="276" w:hRule="atLeast"/>
        </w:trPr>
        <w:tc>
          <w:tcPr>
            <w:tcW w:w="2070" w:type="dxa"/>
            <w:tcBorders>
              <w:top w:val="single" w:sz="4" w:space="0" w:color="000000"/>
              <w:left w:val="single" w:sz="4" w:space="0" w:color="000000"/>
            </w:tcBorders>
          </w:tcPr>
          <w:p>
            <w:pPr>
              <w:pStyle w:val="TableParagraph"/>
              <w:rPr>
                <w:sz w:val="16"/>
              </w:rPr>
            </w:pPr>
          </w:p>
        </w:tc>
        <w:tc>
          <w:tcPr>
            <w:tcW w:w="1342" w:type="dxa"/>
            <w:tcBorders>
              <w:top w:val="single" w:sz="4" w:space="0" w:color="000000"/>
            </w:tcBorders>
          </w:tcPr>
          <w:p>
            <w:pPr>
              <w:pStyle w:val="TableParagraph"/>
              <w:spacing w:before="28"/>
              <w:ind w:left="405" w:right="397"/>
              <w:jc w:val="center"/>
              <w:rPr>
                <w:sz w:val="18"/>
              </w:rPr>
            </w:pPr>
            <w:r>
              <w:rPr>
                <w:sz w:val="18"/>
              </w:rPr>
              <w:t>(1)</w:t>
            </w:r>
          </w:p>
        </w:tc>
        <w:tc>
          <w:tcPr>
            <w:tcW w:w="1342" w:type="dxa"/>
            <w:tcBorders>
              <w:top w:val="single" w:sz="4" w:space="0" w:color="000000"/>
            </w:tcBorders>
          </w:tcPr>
          <w:p>
            <w:pPr>
              <w:pStyle w:val="TableParagraph"/>
              <w:spacing w:before="28"/>
              <w:ind w:left="405" w:right="398"/>
              <w:jc w:val="center"/>
              <w:rPr>
                <w:sz w:val="18"/>
              </w:rPr>
            </w:pPr>
            <w:r>
              <w:rPr>
                <w:sz w:val="18"/>
              </w:rPr>
              <w:t>(2)</w:t>
            </w:r>
          </w:p>
        </w:tc>
        <w:tc>
          <w:tcPr>
            <w:tcW w:w="1342" w:type="dxa"/>
            <w:tcBorders>
              <w:top w:val="single" w:sz="4" w:space="0" w:color="000000"/>
            </w:tcBorders>
          </w:tcPr>
          <w:p>
            <w:pPr>
              <w:pStyle w:val="TableParagraph"/>
              <w:spacing w:before="28"/>
              <w:ind w:left="403" w:right="398"/>
              <w:jc w:val="center"/>
              <w:rPr>
                <w:sz w:val="18"/>
              </w:rPr>
            </w:pPr>
            <w:r>
              <w:rPr>
                <w:sz w:val="18"/>
              </w:rPr>
              <w:t>(3)</w:t>
            </w:r>
          </w:p>
        </w:tc>
        <w:tc>
          <w:tcPr>
            <w:tcW w:w="1342" w:type="dxa"/>
            <w:tcBorders>
              <w:top w:val="single" w:sz="4" w:space="0" w:color="000000"/>
            </w:tcBorders>
          </w:tcPr>
          <w:p>
            <w:pPr>
              <w:pStyle w:val="TableParagraph"/>
              <w:spacing w:before="28"/>
              <w:ind w:left="402" w:right="398"/>
              <w:jc w:val="center"/>
              <w:rPr>
                <w:sz w:val="18"/>
              </w:rPr>
            </w:pPr>
            <w:r>
              <w:rPr>
                <w:sz w:val="18"/>
              </w:rPr>
              <w:t>(4)</w:t>
            </w:r>
          </w:p>
        </w:tc>
        <w:tc>
          <w:tcPr>
            <w:tcW w:w="1640" w:type="dxa"/>
            <w:tcBorders>
              <w:top w:val="single" w:sz="4" w:space="0" w:color="000000"/>
            </w:tcBorders>
          </w:tcPr>
          <w:p>
            <w:pPr>
              <w:pStyle w:val="TableParagraph"/>
              <w:spacing w:before="28"/>
              <w:ind w:left="542" w:right="535"/>
              <w:jc w:val="center"/>
              <w:rPr>
                <w:sz w:val="18"/>
              </w:rPr>
            </w:pPr>
            <w:r>
              <w:rPr>
                <w:sz w:val="18"/>
              </w:rPr>
              <w:t>(5)=(2)</w:t>
            </w:r>
          </w:p>
        </w:tc>
        <w:tc>
          <w:tcPr>
            <w:tcW w:w="1645" w:type="dxa"/>
            <w:tcBorders>
              <w:top w:val="single" w:sz="4" w:space="0" w:color="000000"/>
            </w:tcBorders>
          </w:tcPr>
          <w:p>
            <w:pPr>
              <w:pStyle w:val="TableParagraph"/>
              <w:spacing w:before="28"/>
              <w:ind w:left="386" w:right="386"/>
              <w:jc w:val="center"/>
              <w:rPr>
                <w:sz w:val="18"/>
              </w:rPr>
            </w:pPr>
            <w:r>
              <w:rPr>
                <w:sz w:val="18"/>
              </w:rPr>
              <w:t>(6)=(3)+(4)</w:t>
            </w:r>
          </w:p>
        </w:tc>
        <w:tc>
          <w:tcPr>
            <w:tcW w:w="1643" w:type="dxa"/>
            <w:tcBorders>
              <w:top w:val="single" w:sz="4" w:space="0" w:color="000000"/>
            </w:tcBorders>
          </w:tcPr>
          <w:p>
            <w:pPr>
              <w:pStyle w:val="TableParagraph"/>
              <w:spacing w:before="28"/>
              <w:ind w:left="399"/>
              <w:rPr>
                <w:sz w:val="18"/>
              </w:rPr>
            </w:pPr>
            <w:r>
              <w:rPr>
                <w:sz w:val="18"/>
              </w:rPr>
              <w:t>(7) see note</w:t>
            </w:r>
          </w:p>
        </w:tc>
        <w:tc>
          <w:tcPr>
            <w:tcW w:w="1644" w:type="dxa"/>
            <w:tcBorders>
              <w:top w:val="single" w:sz="4" w:space="0" w:color="000000"/>
              <w:right w:val="single" w:sz="4" w:space="0" w:color="000000"/>
            </w:tcBorders>
          </w:tcPr>
          <w:p>
            <w:pPr>
              <w:pStyle w:val="TableParagraph"/>
              <w:spacing w:before="28"/>
              <w:ind w:left="396"/>
              <w:rPr>
                <w:sz w:val="18"/>
              </w:rPr>
            </w:pPr>
            <w:r>
              <w:rPr>
                <w:sz w:val="18"/>
              </w:rPr>
              <w:t>(8) see note</w:t>
            </w:r>
          </w:p>
        </w:tc>
      </w:tr>
      <w:tr>
        <w:trPr>
          <w:trHeight w:val="281" w:hRule="atLeast"/>
        </w:trPr>
        <w:tc>
          <w:tcPr>
            <w:tcW w:w="2070" w:type="dxa"/>
            <w:tcBorders>
              <w:left w:val="single" w:sz="4" w:space="0" w:color="000000"/>
            </w:tcBorders>
          </w:tcPr>
          <w:p>
            <w:pPr>
              <w:pStyle w:val="TableParagraph"/>
              <w:spacing w:before="33"/>
              <w:ind w:left="474" w:right="463"/>
              <w:jc w:val="center"/>
              <w:rPr>
                <w:sz w:val="18"/>
              </w:rPr>
            </w:pPr>
            <w:r>
              <w:rPr>
                <w:sz w:val="18"/>
              </w:rPr>
              <w:t>World total</w:t>
            </w:r>
          </w:p>
        </w:tc>
        <w:tc>
          <w:tcPr>
            <w:tcW w:w="1342" w:type="dxa"/>
          </w:tcPr>
          <w:p>
            <w:pPr>
              <w:pStyle w:val="TableParagraph"/>
              <w:spacing w:before="33"/>
              <w:ind w:left="405" w:right="395"/>
              <w:jc w:val="center"/>
              <w:rPr>
                <w:sz w:val="18"/>
              </w:rPr>
            </w:pPr>
            <w:r>
              <w:rPr>
                <w:sz w:val="18"/>
              </w:rPr>
              <w:t>0.0326</w:t>
            </w:r>
          </w:p>
        </w:tc>
        <w:tc>
          <w:tcPr>
            <w:tcW w:w="1342" w:type="dxa"/>
          </w:tcPr>
          <w:p>
            <w:pPr>
              <w:pStyle w:val="TableParagraph"/>
              <w:spacing w:before="33"/>
              <w:ind w:left="405" w:right="396"/>
              <w:jc w:val="center"/>
              <w:rPr>
                <w:sz w:val="18"/>
              </w:rPr>
            </w:pPr>
            <w:r>
              <w:rPr>
                <w:sz w:val="18"/>
              </w:rPr>
              <w:t>0.0182</w:t>
            </w:r>
          </w:p>
        </w:tc>
        <w:tc>
          <w:tcPr>
            <w:tcW w:w="1342" w:type="dxa"/>
          </w:tcPr>
          <w:p>
            <w:pPr>
              <w:pStyle w:val="TableParagraph"/>
              <w:spacing w:before="33"/>
              <w:ind w:left="405" w:right="397"/>
              <w:jc w:val="center"/>
              <w:rPr>
                <w:sz w:val="18"/>
              </w:rPr>
            </w:pPr>
            <w:r>
              <w:rPr>
                <w:sz w:val="18"/>
              </w:rPr>
              <w:t>0.0049</w:t>
            </w:r>
          </w:p>
        </w:tc>
        <w:tc>
          <w:tcPr>
            <w:tcW w:w="1342" w:type="dxa"/>
          </w:tcPr>
          <w:p>
            <w:pPr>
              <w:pStyle w:val="TableParagraph"/>
              <w:spacing w:before="33"/>
              <w:ind w:left="405" w:right="398"/>
              <w:jc w:val="center"/>
              <w:rPr>
                <w:sz w:val="18"/>
              </w:rPr>
            </w:pPr>
            <w:r>
              <w:rPr>
                <w:sz w:val="18"/>
              </w:rPr>
              <w:t>0.0085</w:t>
            </w:r>
          </w:p>
        </w:tc>
        <w:tc>
          <w:tcPr>
            <w:tcW w:w="1640" w:type="dxa"/>
          </w:tcPr>
          <w:p>
            <w:pPr>
              <w:pStyle w:val="TableParagraph"/>
              <w:spacing w:before="33"/>
              <w:ind w:left="541" w:right="535"/>
              <w:jc w:val="center"/>
              <w:rPr>
                <w:sz w:val="18"/>
              </w:rPr>
            </w:pPr>
            <w:r>
              <w:rPr>
                <w:sz w:val="18"/>
              </w:rPr>
              <w:t>0.0182</w:t>
            </w:r>
          </w:p>
        </w:tc>
        <w:tc>
          <w:tcPr>
            <w:tcW w:w="1645" w:type="dxa"/>
          </w:tcPr>
          <w:p>
            <w:pPr>
              <w:pStyle w:val="TableParagraph"/>
              <w:spacing w:before="33"/>
              <w:ind w:left="386" w:right="386"/>
              <w:jc w:val="center"/>
              <w:rPr>
                <w:sz w:val="18"/>
              </w:rPr>
            </w:pPr>
            <w:r>
              <w:rPr>
                <w:sz w:val="18"/>
              </w:rPr>
              <w:t>0.0134</w:t>
            </w:r>
          </w:p>
        </w:tc>
        <w:tc>
          <w:tcPr>
            <w:tcW w:w="1643" w:type="dxa"/>
          </w:tcPr>
          <w:p>
            <w:pPr>
              <w:pStyle w:val="TableParagraph"/>
              <w:spacing w:before="33"/>
              <w:ind w:left="553" w:right="554"/>
              <w:jc w:val="center"/>
              <w:rPr>
                <w:sz w:val="18"/>
              </w:rPr>
            </w:pPr>
            <w:r>
              <w:rPr>
                <w:sz w:val="18"/>
              </w:rPr>
              <w:t>0.0208</w:t>
            </w:r>
          </w:p>
        </w:tc>
        <w:tc>
          <w:tcPr>
            <w:tcW w:w="1644" w:type="dxa"/>
            <w:tcBorders>
              <w:right w:val="single" w:sz="4" w:space="0" w:color="000000"/>
            </w:tcBorders>
          </w:tcPr>
          <w:p>
            <w:pPr>
              <w:pStyle w:val="TableParagraph"/>
              <w:spacing w:before="33"/>
              <w:ind w:left="551" w:right="553"/>
              <w:jc w:val="center"/>
              <w:rPr>
                <w:sz w:val="18"/>
              </w:rPr>
            </w:pPr>
            <w:r>
              <w:rPr>
                <w:sz w:val="18"/>
              </w:rPr>
              <w:t>0.0169</w:t>
            </w:r>
          </w:p>
        </w:tc>
      </w:tr>
      <w:tr>
        <w:trPr>
          <w:trHeight w:val="283" w:hRule="atLeast"/>
        </w:trPr>
        <w:tc>
          <w:tcPr>
            <w:tcW w:w="2070" w:type="dxa"/>
            <w:tcBorders>
              <w:left w:val="single" w:sz="4" w:space="0" w:color="000000"/>
            </w:tcBorders>
          </w:tcPr>
          <w:p>
            <w:pPr>
              <w:pStyle w:val="TableParagraph"/>
              <w:spacing w:before="34"/>
              <w:ind w:left="474" w:right="463"/>
              <w:jc w:val="center"/>
              <w:rPr>
                <w:sz w:val="18"/>
              </w:rPr>
            </w:pPr>
            <w:r>
              <w:rPr>
                <w:sz w:val="18"/>
              </w:rPr>
              <w:t>Europe</w:t>
            </w:r>
          </w:p>
        </w:tc>
        <w:tc>
          <w:tcPr>
            <w:tcW w:w="1342" w:type="dxa"/>
          </w:tcPr>
          <w:p>
            <w:pPr>
              <w:pStyle w:val="TableParagraph"/>
              <w:spacing w:before="34"/>
              <w:ind w:left="405" w:right="396"/>
              <w:jc w:val="center"/>
              <w:rPr>
                <w:sz w:val="18"/>
              </w:rPr>
            </w:pPr>
            <w:r>
              <w:rPr>
                <w:sz w:val="18"/>
              </w:rPr>
              <w:t>0.0296</w:t>
            </w:r>
          </w:p>
        </w:tc>
        <w:tc>
          <w:tcPr>
            <w:tcW w:w="1342" w:type="dxa"/>
          </w:tcPr>
          <w:p>
            <w:pPr>
              <w:pStyle w:val="TableParagraph"/>
              <w:spacing w:before="34"/>
              <w:ind w:left="405" w:right="397"/>
              <w:jc w:val="center"/>
              <w:rPr>
                <w:sz w:val="18"/>
              </w:rPr>
            </w:pPr>
            <w:r>
              <w:rPr>
                <w:sz w:val="18"/>
              </w:rPr>
              <w:t>0.0080</w:t>
            </w:r>
          </w:p>
        </w:tc>
        <w:tc>
          <w:tcPr>
            <w:tcW w:w="1342" w:type="dxa"/>
          </w:tcPr>
          <w:p>
            <w:pPr>
              <w:pStyle w:val="TableParagraph"/>
              <w:spacing w:before="34"/>
              <w:ind w:left="404" w:right="398"/>
              <w:jc w:val="center"/>
              <w:rPr>
                <w:sz w:val="18"/>
              </w:rPr>
            </w:pPr>
            <w:r>
              <w:rPr>
                <w:sz w:val="18"/>
              </w:rPr>
              <w:t>0.012</w:t>
            </w:r>
          </w:p>
        </w:tc>
        <w:tc>
          <w:tcPr>
            <w:tcW w:w="1342" w:type="dxa"/>
          </w:tcPr>
          <w:p>
            <w:pPr>
              <w:pStyle w:val="TableParagraph"/>
              <w:spacing w:before="34"/>
              <w:ind w:left="404" w:right="398"/>
              <w:jc w:val="center"/>
              <w:rPr>
                <w:sz w:val="18"/>
              </w:rPr>
            </w:pPr>
            <w:r>
              <w:rPr>
                <w:sz w:val="18"/>
              </w:rPr>
              <w:t>0.0059</w:t>
            </w:r>
          </w:p>
        </w:tc>
        <w:tc>
          <w:tcPr>
            <w:tcW w:w="1640" w:type="dxa"/>
          </w:tcPr>
          <w:p>
            <w:pPr>
              <w:pStyle w:val="TableParagraph"/>
              <w:spacing w:before="34"/>
              <w:ind w:left="540" w:right="535"/>
              <w:jc w:val="center"/>
              <w:rPr>
                <w:sz w:val="18"/>
              </w:rPr>
            </w:pPr>
            <w:r>
              <w:rPr>
                <w:sz w:val="18"/>
              </w:rPr>
              <w:t>0.0080</w:t>
            </w:r>
          </w:p>
        </w:tc>
        <w:tc>
          <w:tcPr>
            <w:tcW w:w="1645" w:type="dxa"/>
          </w:tcPr>
          <w:p>
            <w:pPr>
              <w:pStyle w:val="TableParagraph"/>
              <w:spacing w:before="34"/>
              <w:ind w:left="386" w:right="386"/>
              <w:jc w:val="center"/>
              <w:rPr>
                <w:sz w:val="18"/>
              </w:rPr>
            </w:pPr>
            <w:r>
              <w:rPr>
                <w:sz w:val="18"/>
              </w:rPr>
              <w:t>0.0179</w:t>
            </w:r>
          </w:p>
        </w:tc>
        <w:tc>
          <w:tcPr>
            <w:tcW w:w="1643" w:type="dxa"/>
          </w:tcPr>
          <w:p>
            <w:pPr>
              <w:pStyle w:val="TableParagraph"/>
              <w:spacing w:before="34"/>
              <w:ind w:left="553" w:right="554"/>
              <w:jc w:val="center"/>
              <w:rPr>
                <w:sz w:val="18"/>
              </w:rPr>
            </w:pPr>
            <w:r>
              <w:rPr>
                <w:sz w:val="18"/>
              </w:rPr>
              <w:t>0.0119</w:t>
            </w:r>
          </w:p>
        </w:tc>
        <w:tc>
          <w:tcPr>
            <w:tcW w:w="1644" w:type="dxa"/>
            <w:tcBorders>
              <w:right w:val="single" w:sz="4" w:space="0" w:color="000000"/>
            </w:tcBorders>
          </w:tcPr>
          <w:p>
            <w:pPr>
              <w:pStyle w:val="TableParagraph"/>
              <w:spacing w:before="34"/>
              <w:ind w:left="551" w:right="553"/>
              <w:jc w:val="center"/>
              <w:rPr>
                <w:sz w:val="18"/>
              </w:rPr>
            </w:pPr>
            <w:r>
              <w:rPr>
                <w:sz w:val="18"/>
              </w:rPr>
              <w:t>0.0200</w:t>
            </w:r>
          </w:p>
        </w:tc>
      </w:tr>
      <w:tr>
        <w:trPr>
          <w:trHeight w:val="284" w:hRule="atLeast"/>
        </w:trPr>
        <w:tc>
          <w:tcPr>
            <w:tcW w:w="2070" w:type="dxa"/>
            <w:tcBorders>
              <w:left w:val="single" w:sz="4" w:space="0" w:color="000000"/>
            </w:tcBorders>
          </w:tcPr>
          <w:p>
            <w:pPr>
              <w:pStyle w:val="TableParagraph"/>
              <w:spacing w:before="34"/>
              <w:ind w:left="473" w:right="466"/>
              <w:jc w:val="center"/>
              <w:rPr>
                <w:sz w:val="18"/>
              </w:rPr>
            </w:pPr>
            <w:r>
              <w:rPr>
                <w:sz w:val="18"/>
              </w:rPr>
              <w:t>USSR</w:t>
            </w:r>
          </w:p>
        </w:tc>
        <w:tc>
          <w:tcPr>
            <w:tcW w:w="1342" w:type="dxa"/>
          </w:tcPr>
          <w:p>
            <w:pPr>
              <w:pStyle w:val="TableParagraph"/>
              <w:spacing w:before="34"/>
              <w:ind w:left="405" w:right="398"/>
              <w:jc w:val="center"/>
              <w:rPr>
                <w:sz w:val="18"/>
              </w:rPr>
            </w:pPr>
            <w:r>
              <w:rPr>
                <w:sz w:val="18"/>
              </w:rPr>
              <w:t>0.0412</w:t>
            </w:r>
          </w:p>
        </w:tc>
        <w:tc>
          <w:tcPr>
            <w:tcW w:w="1342" w:type="dxa"/>
          </w:tcPr>
          <w:p>
            <w:pPr>
              <w:pStyle w:val="TableParagraph"/>
              <w:spacing w:before="34"/>
              <w:ind w:left="405" w:right="398"/>
              <w:jc w:val="center"/>
              <w:rPr>
                <w:sz w:val="18"/>
              </w:rPr>
            </w:pPr>
            <w:r>
              <w:rPr>
                <w:sz w:val="18"/>
              </w:rPr>
              <w:t>0.0173</w:t>
            </w:r>
          </w:p>
        </w:tc>
        <w:tc>
          <w:tcPr>
            <w:tcW w:w="1342" w:type="dxa"/>
          </w:tcPr>
          <w:p>
            <w:pPr>
              <w:pStyle w:val="TableParagraph"/>
              <w:spacing w:before="34"/>
              <w:ind w:left="404" w:right="398"/>
              <w:jc w:val="center"/>
              <w:rPr>
                <w:sz w:val="18"/>
              </w:rPr>
            </w:pPr>
            <w:r>
              <w:rPr>
                <w:sz w:val="18"/>
              </w:rPr>
              <w:t>0.0087</w:t>
            </w:r>
          </w:p>
        </w:tc>
        <w:tc>
          <w:tcPr>
            <w:tcW w:w="1342" w:type="dxa"/>
          </w:tcPr>
          <w:p>
            <w:pPr>
              <w:pStyle w:val="TableParagraph"/>
              <w:spacing w:before="34"/>
              <w:ind w:left="403" w:right="398"/>
              <w:jc w:val="center"/>
              <w:rPr>
                <w:sz w:val="18"/>
              </w:rPr>
            </w:pPr>
            <w:r>
              <w:rPr>
                <w:sz w:val="18"/>
              </w:rPr>
              <w:t>0.0061</w:t>
            </w:r>
          </w:p>
        </w:tc>
        <w:tc>
          <w:tcPr>
            <w:tcW w:w="1640" w:type="dxa"/>
          </w:tcPr>
          <w:p>
            <w:pPr>
              <w:pStyle w:val="TableParagraph"/>
              <w:spacing w:before="34"/>
              <w:ind w:left="539" w:right="535"/>
              <w:jc w:val="center"/>
              <w:rPr>
                <w:sz w:val="18"/>
              </w:rPr>
            </w:pPr>
            <w:r>
              <w:rPr>
                <w:sz w:val="18"/>
              </w:rPr>
              <w:t>0.0173</w:t>
            </w:r>
          </w:p>
        </w:tc>
        <w:tc>
          <w:tcPr>
            <w:tcW w:w="1645" w:type="dxa"/>
          </w:tcPr>
          <w:p>
            <w:pPr>
              <w:pStyle w:val="TableParagraph"/>
              <w:spacing w:before="34"/>
              <w:ind w:left="385" w:right="386"/>
              <w:jc w:val="center"/>
              <w:rPr>
                <w:sz w:val="18"/>
              </w:rPr>
            </w:pPr>
            <w:r>
              <w:rPr>
                <w:sz w:val="18"/>
              </w:rPr>
              <w:t>0.0148</w:t>
            </w:r>
          </w:p>
        </w:tc>
        <w:tc>
          <w:tcPr>
            <w:tcW w:w="1643" w:type="dxa"/>
          </w:tcPr>
          <w:p>
            <w:pPr>
              <w:pStyle w:val="TableParagraph"/>
              <w:spacing w:before="34"/>
              <w:ind w:left="553" w:right="554"/>
              <w:jc w:val="center"/>
              <w:rPr>
                <w:sz w:val="18"/>
              </w:rPr>
            </w:pPr>
            <w:r>
              <w:rPr>
                <w:sz w:val="18"/>
              </w:rPr>
              <w:t>0.0216</w:t>
            </w:r>
          </w:p>
        </w:tc>
        <w:tc>
          <w:tcPr>
            <w:tcW w:w="1644" w:type="dxa"/>
            <w:tcBorders>
              <w:right w:val="single" w:sz="4" w:space="0" w:color="000000"/>
            </w:tcBorders>
          </w:tcPr>
          <w:p>
            <w:pPr>
              <w:pStyle w:val="TableParagraph"/>
              <w:spacing w:before="34"/>
              <w:ind w:left="551" w:right="553"/>
              <w:jc w:val="center"/>
              <w:rPr>
                <w:sz w:val="18"/>
              </w:rPr>
            </w:pPr>
            <w:r>
              <w:rPr>
                <w:sz w:val="18"/>
              </w:rPr>
              <w:t>0.0196</w:t>
            </w:r>
          </w:p>
        </w:tc>
      </w:tr>
      <w:tr>
        <w:trPr>
          <w:trHeight w:val="284" w:hRule="atLeast"/>
        </w:trPr>
        <w:tc>
          <w:tcPr>
            <w:tcW w:w="2070" w:type="dxa"/>
            <w:tcBorders>
              <w:left w:val="single" w:sz="4" w:space="0" w:color="000000"/>
            </w:tcBorders>
          </w:tcPr>
          <w:p>
            <w:pPr>
              <w:pStyle w:val="TableParagraph"/>
              <w:spacing w:before="35"/>
              <w:ind w:left="474" w:right="466"/>
              <w:jc w:val="center"/>
              <w:rPr>
                <w:sz w:val="18"/>
              </w:rPr>
            </w:pPr>
            <w:r>
              <w:rPr>
                <w:sz w:val="18"/>
              </w:rPr>
              <w:t>North America</w:t>
            </w:r>
          </w:p>
        </w:tc>
        <w:tc>
          <w:tcPr>
            <w:tcW w:w="1342" w:type="dxa"/>
          </w:tcPr>
          <w:p>
            <w:pPr>
              <w:pStyle w:val="TableParagraph"/>
              <w:spacing w:before="35"/>
              <w:ind w:left="404" w:right="398"/>
              <w:jc w:val="center"/>
              <w:rPr>
                <w:sz w:val="18"/>
              </w:rPr>
            </w:pPr>
            <w:r>
              <w:rPr>
                <w:sz w:val="18"/>
              </w:rPr>
              <w:t>0.0085</w:t>
            </w:r>
          </w:p>
        </w:tc>
        <w:tc>
          <w:tcPr>
            <w:tcW w:w="1342" w:type="dxa"/>
          </w:tcPr>
          <w:p>
            <w:pPr>
              <w:pStyle w:val="TableParagraph"/>
              <w:spacing w:before="35"/>
              <w:ind w:left="404" w:right="398"/>
              <w:jc w:val="center"/>
              <w:rPr>
                <w:sz w:val="18"/>
              </w:rPr>
            </w:pPr>
            <w:r>
              <w:rPr>
                <w:sz w:val="18"/>
              </w:rPr>
              <w:t>0.0170</w:t>
            </w:r>
          </w:p>
        </w:tc>
        <w:tc>
          <w:tcPr>
            <w:tcW w:w="1342" w:type="dxa"/>
          </w:tcPr>
          <w:p>
            <w:pPr>
              <w:pStyle w:val="TableParagraph"/>
              <w:spacing w:before="35"/>
              <w:ind w:left="403" w:right="398"/>
              <w:jc w:val="center"/>
              <w:rPr>
                <w:sz w:val="18"/>
              </w:rPr>
            </w:pPr>
            <w:r>
              <w:rPr>
                <w:sz w:val="18"/>
              </w:rPr>
              <w:t>0.0016</w:t>
            </w:r>
          </w:p>
        </w:tc>
        <w:tc>
          <w:tcPr>
            <w:tcW w:w="1342" w:type="dxa"/>
          </w:tcPr>
          <w:p>
            <w:pPr>
              <w:pStyle w:val="TableParagraph"/>
              <w:spacing w:before="35"/>
              <w:ind w:left="403" w:right="398"/>
              <w:jc w:val="center"/>
              <w:rPr>
                <w:sz w:val="18"/>
              </w:rPr>
            </w:pPr>
            <w:r>
              <w:rPr>
                <w:sz w:val="18"/>
              </w:rPr>
              <w:t>0.0148</w:t>
            </w:r>
          </w:p>
        </w:tc>
        <w:tc>
          <w:tcPr>
            <w:tcW w:w="1640" w:type="dxa"/>
          </w:tcPr>
          <w:p>
            <w:pPr>
              <w:pStyle w:val="TableParagraph"/>
              <w:spacing w:before="35"/>
              <w:ind w:left="540" w:right="535"/>
              <w:jc w:val="center"/>
              <w:rPr>
                <w:sz w:val="18"/>
              </w:rPr>
            </w:pPr>
            <w:r>
              <w:rPr>
                <w:sz w:val="18"/>
              </w:rPr>
              <w:t>0.0170</w:t>
            </w:r>
          </w:p>
        </w:tc>
        <w:tc>
          <w:tcPr>
            <w:tcW w:w="1645" w:type="dxa"/>
          </w:tcPr>
          <w:p>
            <w:pPr>
              <w:pStyle w:val="TableParagraph"/>
              <w:spacing w:before="35"/>
              <w:ind w:left="386" w:right="386"/>
              <w:jc w:val="center"/>
              <w:rPr>
                <w:sz w:val="18"/>
              </w:rPr>
            </w:pPr>
            <w:r>
              <w:rPr>
                <w:sz w:val="18"/>
              </w:rPr>
              <w:t>0.0164</w:t>
            </w:r>
          </w:p>
        </w:tc>
        <w:tc>
          <w:tcPr>
            <w:tcW w:w="1643" w:type="dxa"/>
          </w:tcPr>
          <w:p>
            <w:pPr>
              <w:pStyle w:val="TableParagraph"/>
              <w:spacing w:before="35"/>
              <w:ind w:left="553" w:right="554"/>
              <w:jc w:val="center"/>
              <w:rPr>
                <w:sz w:val="18"/>
              </w:rPr>
            </w:pPr>
            <w:r>
              <w:rPr>
                <w:sz w:val="18"/>
              </w:rPr>
              <w:t>0.0155</w:t>
            </w:r>
          </w:p>
        </w:tc>
        <w:tc>
          <w:tcPr>
            <w:tcW w:w="1644" w:type="dxa"/>
            <w:tcBorders>
              <w:right w:val="single" w:sz="4" w:space="0" w:color="000000"/>
            </w:tcBorders>
          </w:tcPr>
          <w:p>
            <w:pPr>
              <w:pStyle w:val="TableParagraph"/>
              <w:spacing w:before="35"/>
              <w:ind w:left="551" w:right="553"/>
              <w:jc w:val="center"/>
              <w:rPr>
                <w:sz w:val="18"/>
              </w:rPr>
            </w:pPr>
            <w:r>
              <w:rPr>
                <w:sz w:val="18"/>
              </w:rPr>
              <w:t>0.0150</w:t>
            </w:r>
          </w:p>
        </w:tc>
      </w:tr>
      <w:tr>
        <w:trPr>
          <w:trHeight w:val="283" w:hRule="atLeast"/>
        </w:trPr>
        <w:tc>
          <w:tcPr>
            <w:tcW w:w="2070" w:type="dxa"/>
            <w:tcBorders>
              <w:left w:val="single" w:sz="4" w:space="0" w:color="000000"/>
            </w:tcBorders>
          </w:tcPr>
          <w:p>
            <w:pPr>
              <w:pStyle w:val="TableParagraph"/>
              <w:spacing w:before="34"/>
              <w:ind w:left="473" w:right="466"/>
              <w:jc w:val="center"/>
              <w:rPr>
                <w:sz w:val="18"/>
              </w:rPr>
            </w:pPr>
            <w:r>
              <w:rPr>
                <w:sz w:val="18"/>
              </w:rPr>
              <w:t>Latin America</w:t>
            </w:r>
          </w:p>
        </w:tc>
        <w:tc>
          <w:tcPr>
            <w:tcW w:w="1342" w:type="dxa"/>
          </w:tcPr>
          <w:p>
            <w:pPr>
              <w:pStyle w:val="TableParagraph"/>
              <w:spacing w:before="34"/>
              <w:ind w:left="404" w:right="398"/>
              <w:jc w:val="center"/>
              <w:rPr>
                <w:sz w:val="18"/>
              </w:rPr>
            </w:pPr>
            <w:r>
              <w:rPr>
                <w:sz w:val="18"/>
              </w:rPr>
              <w:t>0.0359</w:t>
            </w:r>
          </w:p>
        </w:tc>
        <w:tc>
          <w:tcPr>
            <w:tcW w:w="1342" w:type="dxa"/>
          </w:tcPr>
          <w:p>
            <w:pPr>
              <w:pStyle w:val="TableParagraph"/>
              <w:spacing w:before="34"/>
              <w:ind w:left="404" w:right="398"/>
              <w:jc w:val="center"/>
              <w:rPr>
                <w:sz w:val="18"/>
              </w:rPr>
            </w:pPr>
            <w:r>
              <w:rPr>
                <w:sz w:val="18"/>
              </w:rPr>
              <w:t>0.0268</w:t>
            </w:r>
          </w:p>
        </w:tc>
        <w:tc>
          <w:tcPr>
            <w:tcW w:w="1342" w:type="dxa"/>
          </w:tcPr>
          <w:p>
            <w:pPr>
              <w:pStyle w:val="TableParagraph"/>
              <w:spacing w:before="34"/>
              <w:ind w:left="403" w:right="398"/>
              <w:jc w:val="center"/>
              <w:rPr>
                <w:sz w:val="18"/>
              </w:rPr>
            </w:pPr>
            <w:r>
              <w:rPr>
                <w:sz w:val="18"/>
              </w:rPr>
              <w:t>0.0054</w:t>
            </w:r>
          </w:p>
        </w:tc>
        <w:tc>
          <w:tcPr>
            <w:tcW w:w="1342" w:type="dxa"/>
          </w:tcPr>
          <w:p>
            <w:pPr>
              <w:pStyle w:val="TableParagraph"/>
              <w:spacing w:before="34"/>
              <w:ind w:left="403" w:right="398"/>
              <w:jc w:val="center"/>
              <w:rPr>
                <w:sz w:val="18"/>
              </w:rPr>
            </w:pPr>
            <w:r>
              <w:rPr>
                <w:sz w:val="18"/>
              </w:rPr>
              <w:t>0.0163</w:t>
            </w:r>
          </w:p>
        </w:tc>
        <w:tc>
          <w:tcPr>
            <w:tcW w:w="1640" w:type="dxa"/>
          </w:tcPr>
          <w:p>
            <w:pPr>
              <w:pStyle w:val="TableParagraph"/>
              <w:spacing w:before="34"/>
              <w:ind w:left="539" w:right="535"/>
              <w:jc w:val="center"/>
              <w:rPr>
                <w:sz w:val="18"/>
              </w:rPr>
            </w:pPr>
            <w:r>
              <w:rPr>
                <w:sz w:val="18"/>
              </w:rPr>
              <w:t>0.0268</w:t>
            </w:r>
          </w:p>
        </w:tc>
        <w:tc>
          <w:tcPr>
            <w:tcW w:w="1645" w:type="dxa"/>
          </w:tcPr>
          <w:p>
            <w:pPr>
              <w:pStyle w:val="TableParagraph"/>
              <w:spacing w:before="34"/>
              <w:ind w:left="385" w:right="386"/>
              <w:jc w:val="center"/>
              <w:rPr>
                <w:sz w:val="18"/>
              </w:rPr>
            </w:pPr>
            <w:r>
              <w:rPr>
                <w:sz w:val="18"/>
              </w:rPr>
              <w:t>0.0217</w:t>
            </w:r>
          </w:p>
        </w:tc>
        <w:tc>
          <w:tcPr>
            <w:tcW w:w="1643" w:type="dxa"/>
          </w:tcPr>
          <w:p>
            <w:pPr>
              <w:pStyle w:val="TableParagraph"/>
              <w:spacing w:before="34"/>
              <w:ind w:left="553" w:right="554"/>
              <w:jc w:val="center"/>
              <w:rPr>
                <w:sz w:val="18"/>
              </w:rPr>
            </w:pPr>
            <w:r>
              <w:rPr>
                <w:sz w:val="18"/>
              </w:rPr>
              <w:t>0.0285</w:t>
            </w:r>
          </w:p>
        </w:tc>
        <w:tc>
          <w:tcPr>
            <w:tcW w:w="1644" w:type="dxa"/>
            <w:tcBorders>
              <w:right w:val="single" w:sz="4" w:space="0" w:color="000000"/>
            </w:tcBorders>
          </w:tcPr>
          <w:p>
            <w:pPr>
              <w:pStyle w:val="TableParagraph"/>
              <w:spacing w:before="34"/>
              <w:ind w:left="551" w:right="553"/>
              <w:jc w:val="center"/>
              <w:rPr>
                <w:sz w:val="18"/>
              </w:rPr>
            </w:pPr>
            <w:r>
              <w:rPr>
                <w:sz w:val="18"/>
              </w:rPr>
              <w:t>0.0243</w:t>
            </w:r>
          </w:p>
        </w:tc>
      </w:tr>
      <w:tr>
        <w:trPr>
          <w:trHeight w:val="284" w:hRule="atLeast"/>
        </w:trPr>
        <w:tc>
          <w:tcPr>
            <w:tcW w:w="2070" w:type="dxa"/>
            <w:tcBorders>
              <w:left w:val="single" w:sz="4" w:space="0" w:color="000000"/>
            </w:tcBorders>
          </w:tcPr>
          <w:p>
            <w:pPr>
              <w:pStyle w:val="TableParagraph"/>
              <w:spacing w:before="34"/>
              <w:ind w:left="474" w:right="464"/>
              <w:jc w:val="center"/>
              <w:rPr>
                <w:sz w:val="18"/>
              </w:rPr>
            </w:pPr>
            <w:r>
              <w:rPr>
                <w:sz w:val="18"/>
              </w:rPr>
              <w:t>Africa</w:t>
            </w:r>
          </w:p>
        </w:tc>
        <w:tc>
          <w:tcPr>
            <w:tcW w:w="1342" w:type="dxa"/>
          </w:tcPr>
          <w:p>
            <w:pPr>
              <w:pStyle w:val="TableParagraph"/>
              <w:spacing w:before="34"/>
              <w:ind w:left="405" w:right="398"/>
              <w:jc w:val="center"/>
              <w:rPr>
                <w:sz w:val="18"/>
              </w:rPr>
            </w:pPr>
            <w:r>
              <w:rPr>
                <w:sz w:val="18"/>
              </w:rPr>
              <w:t>0.0548</w:t>
            </w:r>
          </w:p>
        </w:tc>
        <w:tc>
          <w:tcPr>
            <w:tcW w:w="1342" w:type="dxa"/>
          </w:tcPr>
          <w:p>
            <w:pPr>
              <w:pStyle w:val="TableParagraph"/>
              <w:spacing w:before="34"/>
              <w:ind w:left="405" w:right="398"/>
              <w:jc w:val="center"/>
              <w:rPr>
                <w:sz w:val="18"/>
              </w:rPr>
            </w:pPr>
            <w:r>
              <w:rPr>
                <w:sz w:val="18"/>
              </w:rPr>
              <w:t>0.0226</w:t>
            </w:r>
          </w:p>
        </w:tc>
        <w:tc>
          <w:tcPr>
            <w:tcW w:w="1342" w:type="dxa"/>
          </w:tcPr>
          <w:p>
            <w:pPr>
              <w:pStyle w:val="TableParagraph"/>
              <w:spacing w:before="34"/>
              <w:ind w:left="404" w:right="398"/>
              <w:jc w:val="center"/>
              <w:rPr>
                <w:sz w:val="18"/>
              </w:rPr>
            </w:pPr>
            <w:r>
              <w:rPr>
                <w:sz w:val="18"/>
              </w:rPr>
              <w:t>0.0255</w:t>
            </w:r>
          </w:p>
        </w:tc>
        <w:tc>
          <w:tcPr>
            <w:tcW w:w="1342" w:type="dxa"/>
          </w:tcPr>
          <w:p>
            <w:pPr>
              <w:pStyle w:val="TableParagraph"/>
              <w:spacing w:before="34"/>
              <w:ind w:left="404" w:right="398"/>
              <w:jc w:val="center"/>
              <w:rPr>
                <w:sz w:val="18"/>
              </w:rPr>
            </w:pPr>
            <w:r>
              <w:rPr>
                <w:sz w:val="18"/>
              </w:rPr>
              <w:t>0.0102</w:t>
            </w:r>
          </w:p>
        </w:tc>
        <w:tc>
          <w:tcPr>
            <w:tcW w:w="1640" w:type="dxa"/>
          </w:tcPr>
          <w:p>
            <w:pPr>
              <w:pStyle w:val="TableParagraph"/>
              <w:spacing w:before="34"/>
              <w:ind w:left="540" w:right="535"/>
              <w:jc w:val="center"/>
              <w:rPr>
                <w:sz w:val="18"/>
              </w:rPr>
            </w:pPr>
            <w:r>
              <w:rPr>
                <w:sz w:val="18"/>
              </w:rPr>
              <w:t>0.0226</w:t>
            </w:r>
          </w:p>
        </w:tc>
        <w:tc>
          <w:tcPr>
            <w:tcW w:w="1645" w:type="dxa"/>
          </w:tcPr>
          <w:p>
            <w:pPr>
              <w:pStyle w:val="TableParagraph"/>
              <w:spacing w:before="34"/>
              <w:ind w:left="385" w:right="386"/>
              <w:jc w:val="center"/>
              <w:rPr>
                <w:sz w:val="18"/>
              </w:rPr>
            </w:pPr>
            <w:r>
              <w:rPr>
                <w:sz w:val="18"/>
              </w:rPr>
              <w:t>0.0357</w:t>
            </w:r>
          </w:p>
        </w:tc>
        <w:tc>
          <w:tcPr>
            <w:tcW w:w="1643" w:type="dxa"/>
          </w:tcPr>
          <w:p>
            <w:pPr>
              <w:pStyle w:val="TableParagraph"/>
              <w:spacing w:before="34"/>
              <w:ind w:left="553" w:right="554"/>
              <w:jc w:val="center"/>
              <w:rPr>
                <w:sz w:val="18"/>
              </w:rPr>
            </w:pPr>
            <w:r>
              <w:rPr>
                <w:sz w:val="18"/>
              </w:rPr>
              <w:t>0.0284</w:t>
            </w:r>
          </w:p>
        </w:tc>
        <w:tc>
          <w:tcPr>
            <w:tcW w:w="1644" w:type="dxa"/>
            <w:tcBorders>
              <w:right w:val="single" w:sz="4" w:space="0" w:color="000000"/>
            </w:tcBorders>
          </w:tcPr>
          <w:p>
            <w:pPr>
              <w:pStyle w:val="TableParagraph"/>
              <w:spacing w:before="34"/>
              <w:ind w:left="551" w:right="553"/>
              <w:jc w:val="center"/>
              <w:rPr>
                <w:sz w:val="18"/>
              </w:rPr>
            </w:pPr>
            <w:r>
              <w:rPr>
                <w:sz w:val="18"/>
              </w:rPr>
              <w:t>0.0391</w:t>
            </w:r>
          </w:p>
        </w:tc>
      </w:tr>
      <w:tr>
        <w:trPr>
          <w:trHeight w:val="284" w:hRule="atLeast"/>
        </w:trPr>
        <w:tc>
          <w:tcPr>
            <w:tcW w:w="2070" w:type="dxa"/>
            <w:tcBorders>
              <w:left w:val="single" w:sz="4" w:space="0" w:color="000000"/>
            </w:tcBorders>
          </w:tcPr>
          <w:p>
            <w:pPr>
              <w:pStyle w:val="TableParagraph"/>
              <w:spacing w:before="35"/>
              <w:ind w:left="474" w:right="466"/>
              <w:jc w:val="center"/>
              <w:rPr>
                <w:sz w:val="18"/>
              </w:rPr>
            </w:pPr>
            <w:r>
              <w:rPr>
                <w:sz w:val="18"/>
              </w:rPr>
              <w:t>Asia</w:t>
            </w:r>
          </w:p>
        </w:tc>
        <w:tc>
          <w:tcPr>
            <w:tcW w:w="1342" w:type="dxa"/>
          </w:tcPr>
          <w:p>
            <w:pPr>
              <w:pStyle w:val="TableParagraph"/>
              <w:spacing w:before="35"/>
              <w:ind w:left="405" w:right="396"/>
              <w:jc w:val="center"/>
              <w:rPr>
                <w:sz w:val="18"/>
              </w:rPr>
            </w:pPr>
            <w:r>
              <w:rPr>
                <w:sz w:val="18"/>
              </w:rPr>
              <w:t>0.0492</w:t>
            </w:r>
          </w:p>
        </w:tc>
        <w:tc>
          <w:tcPr>
            <w:tcW w:w="1342" w:type="dxa"/>
          </w:tcPr>
          <w:p>
            <w:pPr>
              <w:pStyle w:val="TableParagraph"/>
              <w:spacing w:before="35"/>
              <w:ind w:left="405" w:right="397"/>
              <w:jc w:val="center"/>
              <w:rPr>
                <w:sz w:val="18"/>
              </w:rPr>
            </w:pPr>
            <w:r>
              <w:rPr>
                <w:sz w:val="18"/>
              </w:rPr>
              <w:t>0.0193</w:t>
            </w:r>
          </w:p>
        </w:tc>
        <w:tc>
          <w:tcPr>
            <w:tcW w:w="1342" w:type="dxa"/>
          </w:tcPr>
          <w:p>
            <w:pPr>
              <w:pStyle w:val="TableParagraph"/>
              <w:spacing w:before="35"/>
              <w:ind w:left="405" w:right="398"/>
              <w:jc w:val="center"/>
              <w:rPr>
                <w:sz w:val="18"/>
              </w:rPr>
            </w:pPr>
            <w:r>
              <w:rPr>
                <w:sz w:val="18"/>
              </w:rPr>
              <w:t>0.0155</w:t>
            </w:r>
          </w:p>
        </w:tc>
        <w:tc>
          <w:tcPr>
            <w:tcW w:w="1342" w:type="dxa"/>
          </w:tcPr>
          <w:p>
            <w:pPr>
              <w:pStyle w:val="TableParagraph"/>
              <w:spacing w:before="35"/>
              <w:ind w:left="404" w:right="398"/>
              <w:jc w:val="center"/>
              <w:rPr>
                <w:sz w:val="18"/>
              </w:rPr>
            </w:pPr>
            <w:r>
              <w:rPr>
                <w:sz w:val="18"/>
              </w:rPr>
              <w:t>0.0078</w:t>
            </w:r>
          </w:p>
        </w:tc>
        <w:tc>
          <w:tcPr>
            <w:tcW w:w="1640" w:type="dxa"/>
          </w:tcPr>
          <w:p>
            <w:pPr>
              <w:pStyle w:val="TableParagraph"/>
              <w:spacing w:before="35"/>
              <w:ind w:left="540" w:right="535"/>
              <w:jc w:val="center"/>
              <w:rPr>
                <w:sz w:val="18"/>
              </w:rPr>
            </w:pPr>
            <w:r>
              <w:rPr>
                <w:sz w:val="18"/>
              </w:rPr>
              <w:t>0.0193</w:t>
            </w:r>
          </w:p>
        </w:tc>
        <w:tc>
          <w:tcPr>
            <w:tcW w:w="1645" w:type="dxa"/>
          </w:tcPr>
          <w:p>
            <w:pPr>
              <w:pStyle w:val="TableParagraph"/>
              <w:spacing w:before="35"/>
              <w:ind w:left="385" w:right="386"/>
              <w:jc w:val="center"/>
              <w:rPr>
                <w:sz w:val="18"/>
              </w:rPr>
            </w:pPr>
            <w:r>
              <w:rPr>
                <w:sz w:val="18"/>
              </w:rPr>
              <w:t>0.0233</w:t>
            </w:r>
          </w:p>
        </w:tc>
        <w:tc>
          <w:tcPr>
            <w:tcW w:w="1643" w:type="dxa"/>
          </w:tcPr>
          <w:p>
            <w:pPr>
              <w:pStyle w:val="TableParagraph"/>
              <w:spacing w:before="35"/>
              <w:ind w:left="553" w:right="554"/>
              <w:jc w:val="center"/>
              <w:rPr>
                <w:sz w:val="18"/>
              </w:rPr>
            </w:pPr>
            <w:r>
              <w:rPr>
                <w:sz w:val="18"/>
              </w:rPr>
              <w:t>0.0247</w:t>
            </w:r>
          </w:p>
        </w:tc>
        <w:tc>
          <w:tcPr>
            <w:tcW w:w="1644" w:type="dxa"/>
            <w:tcBorders>
              <w:right w:val="single" w:sz="4" w:space="0" w:color="000000"/>
            </w:tcBorders>
          </w:tcPr>
          <w:p>
            <w:pPr>
              <w:pStyle w:val="TableParagraph"/>
              <w:spacing w:before="35"/>
              <w:ind w:left="551" w:right="553"/>
              <w:jc w:val="center"/>
              <w:rPr>
                <w:sz w:val="18"/>
              </w:rPr>
            </w:pPr>
            <w:r>
              <w:rPr>
                <w:sz w:val="18"/>
              </w:rPr>
              <w:t>0.0280</w:t>
            </w:r>
          </w:p>
        </w:tc>
      </w:tr>
      <w:tr>
        <w:trPr>
          <w:trHeight w:val="283" w:hRule="atLeast"/>
        </w:trPr>
        <w:tc>
          <w:tcPr>
            <w:tcW w:w="2070" w:type="dxa"/>
            <w:tcBorders>
              <w:left w:val="single" w:sz="4" w:space="0" w:color="000000"/>
              <w:bottom w:val="single" w:sz="4" w:space="0" w:color="000000"/>
            </w:tcBorders>
          </w:tcPr>
          <w:p>
            <w:pPr>
              <w:pStyle w:val="TableParagraph"/>
              <w:spacing w:before="34"/>
              <w:ind w:left="474" w:right="465"/>
              <w:jc w:val="center"/>
              <w:rPr>
                <w:sz w:val="18"/>
              </w:rPr>
            </w:pPr>
            <w:r>
              <w:rPr>
                <w:sz w:val="18"/>
              </w:rPr>
              <w:t>Oceania</w:t>
            </w:r>
          </w:p>
        </w:tc>
        <w:tc>
          <w:tcPr>
            <w:tcW w:w="1342" w:type="dxa"/>
            <w:tcBorders>
              <w:bottom w:val="single" w:sz="4" w:space="0" w:color="000000"/>
            </w:tcBorders>
          </w:tcPr>
          <w:p>
            <w:pPr>
              <w:pStyle w:val="TableParagraph"/>
              <w:spacing w:before="34"/>
              <w:ind w:left="403" w:right="398"/>
              <w:jc w:val="center"/>
              <w:rPr>
                <w:sz w:val="18"/>
              </w:rPr>
            </w:pPr>
            <w:r>
              <w:rPr>
                <w:sz w:val="18"/>
              </w:rPr>
              <w:t>0.0412</w:t>
            </w:r>
          </w:p>
        </w:tc>
        <w:tc>
          <w:tcPr>
            <w:tcW w:w="1342" w:type="dxa"/>
            <w:tcBorders>
              <w:bottom w:val="single" w:sz="4" w:space="0" w:color="000000"/>
            </w:tcBorders>
          </w:tcPr>
          <w:p>
            <w:pPr>
              <w:pStyle w:val="TableParagraph"/>
              <w:spacing w:before="34"/>
              <w:ind w:left="403" w:right="398"/>
              <w:jc w:val="center"/>
              <w:rPr>
                <w:sz w:val="18"/>
              </w:rPr>
            </w:pPr>
            <w:r>
              <w:rPr>
                <w:sz w:val="18"/>
              </w:rPr>
              <w:t>0.0193</w:t>
            </w:r>
          </w:p>
        </w:tc>
        <w:tc>
          <w:tcPr>
            <w:tcW w:w="1342" w:type="dxa"/>
            <w:tcBorders>
              <w:bottom w:val="single" w:sz="4" w:space="0" w:color="000000"/>
            </w:tcBorders>
          </w:tcPr>
          <w:p>
            <w:pPr>
              <w:pStyle w:val="TableParagraph"/>
              <w:spacing w:before="34"/>
              <w:ind w:left="402" w:right="398"/>
              <w:jc w:val="center"/>
              <w:rPr>
                <w:sz w:val="18"/>
              </w:rPr>
            </w:pPr>
            <w:r>
              <w:rPr>
                <w:sz w:val="18"/>
              </w:rPr>
              <w:t>0.0074</w:t>
            </w:r>
          </w:p>
        </w:tc>
        <w:tc>
          <w:tcPr>
            <w:tcW w:w="1342" w:type="dxa"/>
            <w:tcBorders>
              <w:bottom w:val="single" w:sz="4" w:space="0" w:color="000000"/>
            </w:tcBorders>
          </w:tcPr>
          <w:p>
            <w:pPr>
              <w:pStyle w:val="TableParagraph"/>
              <w:spacing w:before="34"/>
              <w:ind w:left="402" w:right="398"/>
              <w:jc w:val="center"/>
              <w:rPr>
                <w:sz w:val="18"/>
              </w:rPr>
            </w:pPr>
            <w:r>
              <w:rPr>
                <w:sz w:val="18"/>
              </w:rPr>
              <w:t>0.0155</w:t>
            </w:r>
          </w:p>
        </w:tc>
        <w:tc>
          <w:tcPr>
            <w:tcW w:w="1640" w:type="dxa"/>
            <w:tcBorders>
              <w:bottom w:val="single" w:sz="4" w:space="0" w:color="000000"/>
            </w:tcBorders>
          </w:tcPr>
          <w:p>
            <w:pPr>
              <w:pStyle w:val="TableParagraph"/>
              <w:spacing w:before="34"/>
              <w:ind w:left="538" w:right="535"/>
              <w:jc w:val="center"/>
              <w:rPr>
                <w:sz w:val="18"/>
              </w:rPr>
            </w:pPr>
            <w:r>
              <w:rPr>
                <w:sz w:val="18"/>
              </w:rPr>
              <w:t>0.0193</w:t>
            </w:r>
          </w:p>
        </w:tc>
        <w:tc>
          <w:tcPr>
            <w:tcW w:w="1645" w:type="dxa"/>
            <w:tcBorders>
              <w:bottom w:val="single" w:sz="4" w:space="0" w:color="000000"/>
            </w:tcBorders>
          </w:tcPr>
          <w:p>
            <w:pPr>
              <w:pStyle w:val="TableParagraph"/>
              <w:spacing w:before="34"/>
              <w:ind w:left="386" w:right="386"/>
              <w:jc w:val="center"/>
              <w:rPr>
                <w:sz w:val="18"/>
              </w:rPr>
            </w:pPr>
            <w:r>
              <w:rPr>
                <w:sz w:val="18"/>
              </w:rPr>
              <w:t>0.0229</w:t>
            </w:r>
          </w:p>
        </w:tc>
        <w:tc>
          <w:tcPr>
            <w:tcW w:w="1643" w:type="dxa"/>
            <w:tcBorders>
              <w:bottom w:val="single" w:sz="4" w:space="0" w:color="000000"/>
            </w:tcBorders>
          </w:tcPr>
          <w:p>
            <w:pPr>
              <w:pStyle w:val="TableParagraph"/>
              <w:spacing w:before="34"/>
              <w:ind w:left="553" w:right="554"/>
              <w:jc w:val="center"/>
              <w:rPr>
                <w:sz w:val="18"/>
              </w:rPr>
            </w:pPr>
            <w:r>
              <w:rPr>
                <w:sz w:val="18"/>
              </w:rPr>
              <w:t>0.0233</w:t>
            </w:r>
          </w:p>
        </w:tc>
        <w:tc>
          <w:tcPr>
            <w:tcW w:w="1644" w:type="dxa"/>
            <w:tcBorders>
              <w:bottom w:val="single" w:sz="4" w:space="0" w:color="000000"/>
              <w:right w:val="single" w:sz="4" w:space="0" w:color="000000"/>
            </w:tcBorders>
          </w:tcPr>
          <w:p>
            <w:pPr>
              <w:pStyle w:val="TableParagraph"/>
              <w:spacing w:before="34"/>
              <w:ind w:left="551" w:right="553"/>
              <w:jc w:val="center"/>
              <w:rPr>
                <w:sz w:val="18"/>
              </w:rPr>
            </w:pPr>
            <w:r>
              <w:rPr>
                <w:sz w:val="18"/>
              </w:rPr>
              <w:t>0.0262</w:t>
            </w:r>
          </w:p>
        </w:tc>
      </w:tr>
      <w:tr>
        <w:trPr>
          <w:trHeight w:val="2289" w:hRule="atLeast"/>
        </w:trPr>
        <w:tc>
          <w:tcPr>
            <w:tcW w:w="14010" w:type="dxa"/>
            <w:gridSpan w:val="9"/>
            <w:tcBorders>
              <w:top w:val="single" w:sz="4" w:space="0" w:color="000000"/>
              <w:left w:val="single" w:sz="4" w:space="0" w:color="000000"/>
              <w:bottom w:val="single" w:sz="4" w:space="0" w:color="000000"/>
              <w:right w:val="single" w:sz="4" w:space="0" w:color="000000"/>
            </w:tcBorders>
          </w:tcPr>
          <w:p>
            <w:pPr>
              <w:pStyle w:val="TableParagraph"/>
              <w:spacing w:line="379" w:lineRule="auto" w:before="55"/>
              <w:ind w:left="107" w:right="9618"/>
              <w:rPr>
                <w:sz w:val="18"/>
              </w:rPr>
            </w:pPr>
            <w:r>
              <w:rPr>
                <w:sz w:val="18"/>
              </w:rPr>
              <w:t>Note:Column 7 is ln ( EXP(col 5*50)*EXP(col 1*11) )/ 61 Note:Column 8 is ln ( EXP(col 6*50)*EXP(col 1*11) )/ 61</w:t>
            </w:r>
          </w:p>
          <w:p>
            <w:pPr>
              <w:pStyle w:val="TableParagraph"/>
              <w:spacing w:before="1"/>
              <w:ind w:left="107"/>
              <w:rPr>
                <w:sz w:val="18"/>
              </w:rPr>
            </w:pPr>
            <w:r>
              <w:rPr>
                <w:sz w:val="18"/>
              </w:rPr>
              <w:t>Data Sources: Column 1 -- 1950-53: (UNFAO 1957), 1954-1960: (UNFAO 1965), 1961: (UNFAO 2002a)</w:t>
            </w:r>
          </w:p>
          <w:p>
            <w:pPr>
              <w:pStyle w:val="TableParagraph"/>
              <w:spacing w:before="119"/>
              <w:ind w:left="107"/>
              <w:rPr>
                <w:sz w:val="18"/>
              </w:rPr>
            </w:pPr>
            <w:r>
              <w:rPr>
                <w:sz w:val="18"/>
              </w:rPr>
              <w:t>Column 2 – 1950-1960: (UN Pop Div 1998), 1961: (UNFAO 2002b)</w:t>
            </w:r>
          </w:p>
          <w:p>
            <w:pPr>
              <w:pStyle w:val="TableParagraph"/>
              <w:spacing w:line="379" w:lineRule="auto" w:before="120"/>
              <w:ind w:left="107" w:right="5133"/>
              <w:rPr>
                <w:sz w:val="18"/>
              </w:rPr>
            </w:pPr>
            <w:r>
              <w:rPr>
                <w:sz w:val="18"/>
              </w:rPr>
              <w:t>Column 3 – Industrial roundwood - 1950-53: (UNFAO 1957), 1954-1960: (UNFAO 1965), 1961-1975: (UNFAO 2002a) Population – 1950-1960: (UN Pop Div. 1998), 1961-1975: (UNFAO 2002b)</w:t>
            </w:r>
          </w:p>
          <w:p>
            <w:pPr>
              <w:pStyle w:val="TableParagraph"/>
              <w:spacing w:line="206" w:lineRule="exact"/>
              <w:ind w:left="107"/>
              <w:rPr>
                <w:sz w:val="18"/>
              </w:rPr>
            </w:pPr>
            <w:r>
              <w:rPr>
                <w:sz w:val="18"/>
              </w:rPr>
              <w:t>Column 4 – 1900-1950: (UN Pop Div 1999)</w:t>
            </w:r>
          </w:p>
        </w:tc>
      </w:tr>
    </w:tbl>
    <w:p>
      <w:pPr>
        <w:spacing w:after="0" w:line="206" w:lineRule="exact"/>
        <w:rPr>
          <w:sz w:val="18"/>
        </w:rPr>
        <w:sectPr>
          <w:headerReference w:type="default" r:id="rId253"/>
          <w:footerReference w:type="default" r:id="rId254"/>
          <w:footerReference w:type="even" r:id="rId255"/>
          <w:pgSz w:w="16840" w:h="11900" w:orient="landscape"/>
          <w:pgMar w:header="0" w:footer="345" w:top="200" w:bottom="540" w:left="1500" w:right="860"/>
        </w:sect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5"/>
        <w:gridCol w:w="1152"/>
        <w:gridCol w:w="2988"/>
        <w:gridCol w:w="1248"/>
        <w:gridCol w:w="2542"/>
      </w:tblGrid>
      <w:tr>
        <w:trPr>
          <w:trHeight w:val="443" w:hRule="atLeast"/>
        </w:trPr>
        <w:tc>
          <w:tcPr>
            <w:tcW w:w="9015" w:type="dxa"/>
            <w:gridSpan w:val="5"/>
            <w:tcBorders>
              <w:bottom w:val="double" w:sz="1" w:space="0" w:color="000000"/>
            </w:tcBorders>
          </w:tcPr>
          <w:p>
            <w:pPr>
              <w:pStyle w:val="TableParagraph"/>
              <w:spacing w:line="207" w:lineRule="exact" w:before="14"/>
              <w:ind w:left="131" w:right="123"/>
              <w:jc w:val="center"/>
              <w:rPr>
                <w:b/>
                <w:sz w:val="18"/>
              </w:rPr>
            </w:pPr>
            <w:r>
              <w:rPr>
                <w:b/>
                <w:sz w:val="18"/>
              </w:rPr>
              <w:t>Table 3a.1.3</w:t>
            </w:r>
          </w:p>
          <w:p>
            <w:pPr>
              <w:pStyle w:val="TableParagraph"/>
              <w:spacing w:line="202" w:lineRule="exact"/>
              <w:ind w:left="131" w:right="120"/>
              <w:jc w:val="center"/>
              <w:rPr>
                <w:b/>
                <w:sz w:val="14"/>
              </w:rPr>
            </w:pPr>
            <w:r>
              <w:rPr>
                <w:b/>
                <w:sz w:val="18"/>
              </w:rPr>
              <w:t>H</w:t>
            </w:r>
            <w:r>
              <w:rPr>
                <w:b/>
                <w:sz w:val="14"/>
              </w:rPr>
              <w:t>ALF LIFE OF </w:t>
            </w:r>
            <w:r>
              <w:rPr>
                <w:b/>
                <w:sz w:val="18"/>
              </w:rPr>
              <w:t>H</w:t>
            </w:r>
            <w:r>
              <w:rPr>
                <w:b/>
                <w:sz w:val="14"/>
              </w:rPr>
              <w:t>ARVESTED </w:t>
            </w:r>
            <w:r>
              <w:rPr>
                <w:b/>
                <w:sz w:val="18"/>
              </w:rPr>
              <w:t>W</w:t>
            </w:r>
            <w:r>
              <w:rPr>
                <w:b/>
                <w:sz w:val="14"/>
              </w:rPr>
              <w:t>OOD </w:t>
            </w:r>
            <w:r>
              <w:rPr>
                <w:b/>
                <w:sz w:val="18"/>
              </w:rPr>
              <w:t>P</w:t>
            </w:r>
            <w:r>
              <w:rPr>
                <w:b/>
                <w:sz w:val="14"/>
              </w:rPr>
              <w:t>RODUCTS IN USE </w:t>
            </w:r>
            <w:r>
              <w:rPr>
                <w:b/>
                <w:sz w:val="18"/>
              </w:rPr>
              <w:t>– </w:t>
            </w:r>
            <w:r>
              <w:rPr>
                <w:b/>
                <w:sz w:val="14"/>
              </w:rPr>
              <w:t>EXAMPLES FROM STUDIES</w:t>
            </w:r>
          </w:p>
        </w:tc>
      </w:tr>
      <w:tr>
        <w:trPr>
          <w:trHeight w:val="539" w:hRule="atLeast"/>
        </w:trPr>
        <w:tc>
          <w:tcPr>
            <w:tcW w:w="1085" w:type="dxa"/>
            <w:tcBorders>
              <w:top w:val="double" w:sz="1" w:space="0" w:color="000000"/>
            </w:tcBorders>
          </w:tcPr>
          <w:p>
            <w:pPr>
              <w:pStyle w:val="TableParagraph"/>
              <w:spacing w:before="61"/>
              <w:ind w:left="299" w:right="161" w:hanging="106"/>
              <w:rPr>
                <w:b/>
                <w:sz w:val="18"/>
              </w:rPr>
            </w:pPr>
            <w:r>
              <w:rPr>
                <w:b/>
                <w:sz w:val="18"/>
              </w:rPr>
              <w:t>Country/ region</w:t>
            </w:r>
          </w:p>
        </w:tc>
        <w:tc>
          <w:tcPr>
            <w:tcW w:w="1152" w:type="dxa"/>
            <w:tcBorders>
              <w:top w:val="double" w:sz="1" w:space="0" w:color="000000"/>
            </w:tcBorders>
          </w:tcPr>
          <w:p>
            <w:pPr>
              <w:pStyle w:val="TableParagraph"/>
              <w:spacing w:before="165"/>
              <w:ind w:left="189"/>
              <w:rPr>
                <w:b/>
                <w:sz w:val="18"/>
              </w:rPr>
            </w:pPr>
            <w:r>
              <w:rPr>
                <w:b/>
                <w:sz w:val="18"/>
              </w:rPr>
              <w:t>Reference</w:t>
            </w:r>
          </w:p>
        </w:tc>
        <w:tc>
          <w:tcPr>
            <w:tcW w:w="2988" w:type="dxa"/>
            <w:tcBorders>
              <w:top w:val="double" w:sz="1" w:space="0" w:color="000000"/>
            </w:tcBorders>
          </w:tcPr>
          <w:p>
            <w:pPr>
              <w:pStyle w:val="TableParagraph"/>
              <w:spacing w:before="165"/>
              <w:ind w:left="925"/>
              <w:rPr>
                <w:b/>
                <w:sz w:val="18"/>
              </w:rPr>
            </w:pPr>
            <w:r>
              <w:rPr>
                <w:b/>
                <w:sz w:val="18"/>
              </w:rPr>
              <w:t>HWP category</w:t>
            </w:r>
          </w:p>
        </w:tc>
        <w:tc>
          <w:tcPr>
            <w:tcW w:w="1248" w:type="dxa"/>
            <w:tcBorders>
              <w:top w:val="double" w:sz="1" w:space="0" w:color="000000"/>
            </w:tcBorders>
          </w:tcPr>
          <w:p>
            <w:pPr>
              <w:pStyle w:val="TableParagraph"/>
              <w:spacing w:before="61"/>
              <w:ind w:left="357" w:right="39" w:hanging="293"/>
              <w:rPr>
                <w:b/>
                <w:sz w:val="18"/>
              </w:rPr>
            </w:pPr>
            <w:r>
              <w:rPr>
                <w:b/>
                <w:sz w:val="18"/>
              </w:rPr>
              <w:t>Half life in use (years)</w:t>
            </w:r>
          </w:p>
        </w:tc>
        <w:tc>
          <w:tcPr>
            <w:tcW w:w="2542" w:type="dxa"/>
            <w:tcBorders>
              <w:top w:val="double" w:sz="1" w:space="0" w:color="000000"/>
            </w:tcBorders>
          </w:tcPr>
          <w:p>
            <w:pPr>
              <w:pStyle w:val="TableParagraph"/>
              <w:spacing w:before="61"/>
              <w:ind w:left="323" w:hanging="173"/>
              <w:rPr>
                <w:b/>
                <w:sz w:val="18"/>
              </w:rPr>
            </w:pPr>
            <w:r>
              <w:rPr>
                <w:b/>
                <w:sz w:val="18"/>
              </w:rPr>
              <w:t>Fraction loss each year (f </w:t>
            </w:r>
            <w:r>
              <w:rPr>
                <w:b/>
                <w:sz w:val="18"/>
                <w:vertAlign w:val="subscript"/>
              </w:rPr>
              <w:t>D</w:t>
            </w:r>
            <w:r>
              <w:rPr>
                <w:b/>
                <w:sz w:val="18"/>
                <w:vertAlign w:val="baseline"/>
              </w:rPr>
              <w:t> </w:t>
            </w:r>
            <w:r>
              <w:rPr>
                <w:b/>
                <w:sz w:val="18"/>
                <w:vertAlign w:val="subscript"/>
              </w:rPr>
              <w:t>j</w:t>
            </w:r>
            <w:r>
              <w:rPr>
                <w:b/>
                <w:sz w:val="18"/>
                <w:vertAlign w:val="baseline"/>
              </w:rPr>
              <w:t> ) (ln(2) / Half life in years)</w:t>
            </w:r>
          </w:p>
        </w:tc>
      </w:tr>
      <w:tr>
        <w:trPr>
          <w:trHeight w:val="273" w:hRule="atLeast"/>
        </w:trPr>
        <w:tc>
          <w:tcPr>
            <w:tcW w:w="1085" w:type="dxa"/>
            <w:vMerge w:val="restart"/>
          </w:tcPr>
          <w:p>
            <w:pPr>
              <w:pStyle w:val="TableParagraph"/>
              <w:rPr>
                <w:sz w:val="20"/>
              </w:rPr>
            </w:pPr>
          </w:p>
          <w:p>
            <w:pPr>
              <w:pStyle w:val="TableParagraph"/>
              <w:spacing w:before="6"/>
              <w:rPr>
                <w:sz w:val="26"/>
              </w:rPr>
            </w:pPr>
          </w:p>
          <w:p>
            <w:pPr>
              <w:pStyle w:val="TableParagraph"/>
              <w:ind w:left="107"/>
              <w:rPr>
                <w:sz w:val="18"/>
              </w:rPr>
            </w:pPr>
            <w:r>
              <w:rPr>
                <w:sz w:val="18"/>
              </w:rPr>
              <w:t>Defaults</w:t>
            </w:r>
          </w:p>
        </w:tc>
        <w:tc>
          <w:tcPr>
            <w:tcW w:w="1152" w:type="dxa"/>
            <w:vMerge w:val="restart"/>
          </w:tcPr>
          <w:p>
            <w:pPr>
              <w:pStyle w:val="TableParagraph"/>
              <w:rPr>
                <w:sz w:val="16"/>
              </w:rPr>
            </w:pPr>
          </w:p>
        </w:tc>
        <w:tc>
          <w:tcPr>
            <w:tcW w:w="2988" w:type="dxa"/>
          </w:tcPr>
          <w:p>
            <w:pPr>
              <w:pStyle w:val="TableParagraph"/>
              <w:spacing w:before="28"/>
              <w:ind w:left="107"/>
              <w:rPr>
                <w:sz w:val="18"/>
              </w:rPr>
            </w:pPr>
            <w:r>
              <w:rPr>
                <w:sz w:val="18"/>
              </w:rPr>
              <w:t>Saw wood</w:t>
            </w:r>
          </w:p>
        </w:tc>
        <w:tc>
          <w:tcPr>
            <w:tcW w:w="1248" w:type="dxa"/>
          </w:tcPr>
          <w:p>
            <w:pPr>
              <w:pStyle w:val="TableParagraph"/>
              <w:spacing w:before="28"/>
              <w:ind w:left="195" w:right="187"/>
              <w:jc w:val="center"/>
              <w:rPr>
                <w:sz w:val="18"/>
              </w:rPr>
            </w:pPr>
            <w:r>
              <w:rPr>
                <w:sz w:val="18"/>
              </w:rPr>
              <w:t>35</w:t>
            </w:r>
          </w:p>
        </w:tc>
        <w:tc>
          <w:tcPr>
            <w:tcW w:w="2542" w:type="dxa"/>
          </w:tcPr>
          <w:p>
            <w:pPr>
              <w:pStyle w:val="TableParagraph"/>
              <w:spacing w:before="28"/>
              <w:ind w:left="1000" w:right="993"/>
              <w:jc w:val="center"/>
              <w:rPr>
                <w:sz w:val="18"/>
              </w:rPr>
            </w:pPr>
            <w:r>
              <w:rPr>
                <w:sz w:val="18"/>
              </w:rPr>
              <w:t>0.0198</w:t>
            </w:r>
          </w:p>
        </w:tc>
      </w:tr>
      <w:tr>
        <w:trPr>
          <w:trHeight w:val="44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9"/>
              <w:ind w:left="107" w:right="581"/>
              <w:rPr>
                <w:sz w:val="18"/>
              </w:rPr>
            </w:pPr>
            <w:r>
              <w:rPr>
                <w:sz w:val="18"/>
              </w:rPr>
              <w:t>Veneer, plywood and structural panels</w:t>
            </w:r>
          </w:p>
        </w:tc>
        <w:tc>
          <w:tcPr>
            <w:tcW w:w="1248" w:type="dxa"/>
          </w:tcPr>
          <w:p>
            <w:pPr>
              <w:pStyle w:val="TableParagraph"/>
              <w:spacing w:before="112"/>
              <w:ind w:left="195" w:right="187"/>
              <w:jc w:val="center"/>
              <w:rPr>
                <w:sz w:val="18"/>
              </w:rPr>
            </w:pPr>
            <w:r>
              <w:rPr>
                <w:sz w:val="18"/>
              </w:rPr>
              <w:t>30</w:t>
            </w:r>
          </w:p>
        </w:tc>
        <w:tc>
          <w:tcPr>
            <w:tcW w:w="2542" w:type="dxa"/>
          </w:tcPr>
          <w:p>
            <w:pPr>
              <w:pStyle w:val="TableParagraph"/>
              <w:spacing w:before="112"/>
              <w:ind w:left="1000" w:right="993"/>
              <w:jc w:val="center"/>
              <w:rPr>
                <w:sz w:val="18"/>
              </w:rPr>
            </w:pPr>
            <w:r>
              <w:rPr>
                <w:sz w:val="18"/>
              </w:rPr>
              <w:t>0.0231</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Non structural panels</w:t>
            </w:r>
          </w:p>
        </w:tc>
        <w:tc>
          <w:tcPr>
            <w:tcW w:w="1248" w:type="dxa"/>
          </w:tcPr>
          <w:p>
            <w:pPr>
              <w:pStyle w:val="TableParagraph"/>
              <w:spacing w:before="28"/>
              <w:ind w:left="195" w:right="185"/>
              <w:jc w:val="center"/>
              <w:rPr>
                <w:sz w:val="18"/>
              </w:rPr>
            </w:pPr>
            <w:r>
              <w:rPr>
                <w:sz w:val="18"/>
              </w:rPr>
              <w:t>20</w:t>
            </w:r>
          </w:p>
        </w:tc>
        <w:tc>
          <w:tcPr>
            <w:tcW w:w="2542" w:type="dxa"/>
          </w:tcPr>
          <w:p>
            <w:pPr>
              <w:pStyle w:val="TableParagraph"/>
              <w:spacing w:before="28"/>
              <w:ind w:left="1001" w:right="993"/>
              <w:jc w:val="center"/>
              <w:rPr>
                <w:sz w:val="18"/>
              </w:rPr>
            </w:pPr>
            <w:r>
              <w:rPr>
                <w:sz w:val="18"/>
              </w:rPr>
              <w:t>0.0347</w:t>
            </w:r>
          </w:p>
        </w:tc>
      </w:tr>
      <w:tr>
        <w:trPr>
          <w:trHeight w:val="275"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Paper</w:t>
            </w:r>
          </w:p>
        </w:tc>
        <w:tc>
          <w:tcPr>
            <w:tcW w:w="1248" w:type="dxa"/>
          </w:tcPr>
          <w:p>
            <w:pPr>
              <w:pStyle w:val="TableParagraph"/>
              <w:spacing w:before="28"/>
              <w:ind w:left="7"/>
              <w:jc w:val="center"/>
              <w:rPr>
                <w:sz w:val="18"/>
              </w:rPr>
            </w:pPr>
            <w:r>
              <w:rPr>
                <w:sz w:val="18"/>
              </w:rPr>
              <w:t>2</w:t>
            </w:r>
          </w:p>
        </w:tc>
        <w:tc>
          <w:tcPr>
            <w:tcW w:w="2542" w:type="dxa"/>
          </w:tcPr>
          <w:p>
            <w:pPr>
              <w:pStyle w:val="TableParagraph"/>
              <w:spacing w:before="28"/>
              <w:ind w:left="1000" w:right="993"/>
              <w:jc w:val="center"/>
              <w:rPr>
                <w:sz w:val="18"/>
              </w:rPr>
            </w:pPr>
            <w:r>
              <w:rPr>
                <w:sz w:val="18"/>
              </w:rPr>
              <w:t>0.3466</w:t>
            </w:r>
          </w:p>
        </w:tc>
      </w:tr>
      <w:tr>
        <w:trPr>
          <w:trHeight w:val="443" w:hRule="atLeast"/>
        </w:trPr>
        <w:tc>
          <w:tcPr>
            <w:tcW w:w="1085" w:type="dxa"/>
          </w:tcPr>
          <w:p>
            <w:pPr>
              <w:pStyle w:val="TableParagraph"/>
              <w:spacing w:before="112"/>
              <w:ind w:left="107"/>
              <w:rPr>
                <w:sz w:val="18"/>
              </w:rPr>
            </w:pPr>
            <w:r>
              <w:rPr>
                <w:sz w:val="18"/>
              </w:rPr>
              <w:t>Finland</w:t>
            </w:r>
          </w:p>
        </w:tc>
        <w:tc>
          <w:tcPr>
            <w:tcW w:w="1152" w:type="dxa"/>
          </w:tcPr>
          <w:p>
            <w:pPr>
              <w:pStyle w:val="TableParagraph"/>
              <w:spacing w:line="207" w:lineRule="exact" w:before="9"/>
              <w:ind w:left="107"/>
              <w:rPr>
                <w:sz w:val="18"/>
              </w:rPr>
            </w:pPr>
            <w:r>
              <w:rPr>
                <w:sz w:val="18"/>
              </w:rPr>
              <w:t>Pingoud</w:t>
            </w:r>
          </w:p>
          <w:p>
            <w:pPr>
              <w:pStyle w:val="TableParagraph"/>
              <w:spacing w:line="207" w:lineRule="exact"/>
              <w:ind w:left="107"/>
              <w:rPr>
                <w:sz w:val="18"/>
              </w:rPr>
            </w:pPr>
            <w:r>
              <w:rPr>
                <w:i/>
                <w:sz w:val="18"/>
              </w:rPr>
              <w:t>et al. </w:t>
            </w:r>
            <w:r>
              <w:rPr>
                <w:sz w:val="18"/>
              </w:rPr>
              <w:t>2001</w:t>
            </w:r>
          </w:p>
        </w:tc>
        <w:tc>
          <w:tcPr>
            <w:tcW w:w="2988" w:type="dxa"/>
          </w:tcPr>
          <w:p>
            <w:pPr>
              <w:pStyle w:val="TableParagraph"/>
              <w:spacing w:before="9"/>
              <w:ind w:left="107" w:right="376"/>
              <w:rPr>
                <w:sz w:val="18"/>
              </w:rPr>
            </w:pPr>
            <w:r>
              <w:rPr>
                <w:sz w:val="18"/>
              </w:rPr>
              <w:t>Saw wood and plywood (based on change in inventory of products)</w:t>
            </w:r>
          </w:p>
        </w:tc>
        <w:tc>
          <w:tcPr>
            <w:tcW w:w="1248" w:type="dxa"/>
          </w:tcPr>
          <w:p>
            <w:pPr>
              <w:pStyle w:val="TableParagraph"/>
              <w:spacing w:before="112"/>
              <w:ind w:left="195" w:right="187"/>
              <w:jc w:val="center"/>
              <w:rPr>
                <w:sz w:val="18"/>
              </w:rPr>
            </w:pPr>
            <w:r>
              <w:rPr>
                <w:sz w:val="18"/>
              </w:rPr>
              <w:t>30</w:t>
            </w:r>
          </w:p>
        </w:tc>
        <w:tc>
          <w:tcPr>
            <w:tcW w:w="2542" w:type="dxa"/>
          </w:tcPr>
          <w:p>
            <w:pPr>
              <w:pStyle w:val="TableParagraph"/>
              <w:spacing w:before="112"/>
              <w:ind w:left="1000" w:right="993"/>
              <w:jc w:val="center"/>
              <w:rPr>
                <w:sz w:val="18"/>
              </w:rPr>
            </w:pPr>
            <w:r>
              <w:rPr>
                <w:sz w:val="18"/>
              </w:rPr>
              <w:t>0.0231</w:t>
            </w:r>
          </w:p>
        </w:tc>
      </w:tr>
      <w:tr>
        <w:trPr>
          <w:trHeight w:val="273" w:hRule="atLeast"/>
        </w:trPr>
        <w:tc>
          <w:tcPr>
            <w:tcW w:w="1085" w:type="dxa"/>
            <w:vMerge w:val="restart"/>
          </w:tcPr>
          <w:p>
            <w:pPr>
              <w:pStyle w:val="TableParagraph"/>
              <w:spacing w:before="7"/>
              <w:rPr>
                <w:sz w:val="26"/>
              </w:rPr>
            </w:pPr>
          </w:p>
          <w:p>
            <w:pPr>
              <w:pStyle w:val="TableParagraph"/>
              <w:spacing w:before="1"/>
              <w:ind w:left="107"/>
              <w:rPr>
                <w:sz w:val="18"/>
              </w:rPr>
            </w:pPr>
            <w:r>
              <w:rPr>
                <w:sz w:val="18"/>
              </w:rPr>
              <w:t>Finland</w:t>
            </w:r>
          </w:p>
        </w:tc>
        <w:tc>
          <w:tcPr>
            <w:tcW w:w="1152" w:type="dxa"/>
            <w:vMerge w:val="restart"/>
          </w:tcPr>
          <w:p>
            <w:pPr>
              <w:pStyle w:val="TableParagraph"/>
              <w:spacing w:line="207" w:lineRule="exact" w:before="100"/>
              <w:ind w:left="107"/>
              <w:rPr>
                <w:sz w:val="18"/>
              </w:rPr>
            </w:pPr>
            <w:r>
              <w:rPr>
                <w:sz w:val="18"/>
              </w:rPr>
              <w:t>Karjalainen</w:t>
            </w:r>
          </w:p>
          <w:p>
            <w:pPr>
              <w:pStyle w:val="TableParagraph"/>
              <w:spacing w:line="207" w:lineRule="exact"/>
              <w:ind w:left="107"/>
              <w:rPr>
                <w:sz w:val="18"/>
              </w:rPr>
            </w:pPr>
            <w:r>
              <w:rPr>
                <w:i/>
                <w:sz w:val="18"/>
              </w:rPr>
              <w:t>et al. </w:t>
            </w:r>
            <w:r>
              <w:rPr>
                <w:sz w:val="18"/>
              </w:rPr>
              <w:t>1994</w:t>
            </w:r>
          </w:p>
        </w:tc>
        <w:tc>
          <w:tcPr>
            <w:tcW w:w="2988" w:type="dxa"/>
          </w:tcPr>
          <w:p>
            <w:pPr>
              <w:pStyle w:val="TableParagraph"/>
              <w:spacing w:before="28"/>
              <w:ind w:left="107"/>
              <w:rPr>
                <w:sz w:val="18"/>
              </w:rPr>
            </w:pPr>
            <w:r>
              <w:rPr>
                <w:sz w:val="18"/>
              </w:rPr>
              <w:t>Saw wood and plywood average</w:t>
            </w:r>
          </w:p>
        </w:tc>
        <w:tc>
          <w:tcPr>
            <w:tcW w:w="1248" w:type="dxa"/>
          </w:tcPr>
          <w:p>
            <w:pPr>
              <w:pStyle w:val="TableParagraph"/>
              <w:spacing w:before="28"/>
              <w:ind w:left="195" w:right="186"/>
              <w:jc w:val="center"/>
              <w:rPr>
                <w:sz w:val="18"/>
              </w:rPr>
            </w:pPr>
            <w:r>
              <w:rPr>
                <w:sz w:val="18"/>
              </w:rPr>
              <w:t>50</w:t>
            </w:r>
          </w:p>
        </w:tc>
        <w:tc>
          <w:tcPr>
            <w:tcW w:w="2542" w:type="dxa"/>
          </w:tcPr>
          <w:p>
            <w:pPr>
              <w:pStyle w:val="TableParagraph"/>
              <w:spacing w:before="28"/>
              <w:ind w:left="1001" w:right="993"/>
              <w:jc w:val="center"/>
              <w:rPr>
                <w:sz w:val="18"/>
              </w:rPr>
            </w:pPr>
            <w:r>
              <w:rPr>
                <w:sz w:val="18"/>
              </w:rPr>
              <w:t>0.0139</w:t>
            </w:r>
          </w:p>
        </w:tc>
      </w:tr>
      <w:tr>
        <w:trPr>
          <w:trHeight w:val="275"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Paper from mechanical pulp average</w:t>
            </w:r>
          </w:p>
        </w:tc>
        <w:tc>
          <w:tcPr>
            <w:tcW w:w="1248" w:type="dxa"/>
          </w:tcPr>
          <w:p>
            <w:pPr>
              <w:pStyle w:val="TableParagraph"/>
              <w:spacing w:before="28"/>
              <w:ind w:left="7"/>
              <w:jc w:val="center"/>
              <w:rPr>
                <w:sz w:val="18"/>
              </w:rPr>
            </w:pPr>
            <w:r>
              <w:rPr>
                <w:sz w:val="18"/>
              </w:rPr>
              <w:t>7</w:t>
            </w:r>
          </w:p>
        </w:tc>
        <w:tc>
          <w:tcPr>
            <w:tcW w:w="2542" w:type="dxa"/>
          </w:tcPr>
          <w:p>
            <w:pPr>
              <w:pStyle w:val="TableParagraph"/>
              <w:spacing w:before="28"/>
              <w:ind w:left="1000" w:right="993"/>
              <w:jc w:val="center"/>
              <w:rPr>
                <w:sz w:val="18"/>
              </w:rPr>
            </w:pPr>
            <w:r>
              <w:rPr>
                <w:sz w:val="18"/>
              </w:rPr>
              <w:t>0.0990</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Paper from chemical pulp average</w:t>
            </w:r>
          </w:p>
        </w:tc>
        <w:tc>
          <w:tcPr>
            <w:tcW w:w="1248" w:type="dxa"/>
          </w:tcPr>
          <w:p>
            <w:pPr>
              <w:pStyle w:val="TableParagraph"/>
              <w:spacing w:before="28"/>
              <w:ind w:left="195" w:right="188"/>
              <w:jc w:val="center"/>
              <w:rPr>
                <w:sz w:val="18"/>
              </w:rPr>
            </w:pPr>
            <w:r>
              <w:rPr>
                <w:sz w:val="18"/>
              </w:rPr>
              <w:t>5.3</w:t>
            </w:r>
          </w:p>
        </w:tc>
        <w:tc>
          <w:tcPr>
            <w:tcW w:w="2542" w:type="dxa"/>
          </w:tcPr>
          <w:p>
            <w:pPr>
              <w:pStyle w:val="TableParagraph"/>
              <w:spacing w:before="28"/>
              <w:ind w:left="1001" w:right="992"/>
              <w:jc w:val="center"/>
              <w:rPr>
                <w:sz w:val="18"/>
              </w:rPr>
            </w:pPr>
            <w:r>
              <w:rPr>
                <w:sz w:val="18"/>
              </w:rPr>
              <w:t>0.1308</w:t>
            </w:r>
          </w:p>
        </w:tc>
      </w:tr>
      <w:tr>
        <w:trPr>
          <w:trHeight w:val="273" w:hRule="atLeast"/>
        </w:trPr>
        <w:tc>
          <w:tcPr>
            <w:tcW w:w="1085" w:type="dxa"/>
            <w:vMerge w:val="restart"/>
          </w:tcPr>
          <w:p>
            <w:pPr>
              <w:pStyle w:val="TableParagraph"/>
              <w:rPr>
                <w:sz w:val="20"/>
              </w:rPr>
            </w:pPr>
          </w:p>
          <w:p>
            <w:pPr>
              <w:pStyle w:val="TableParagraph"/>
              <w:rPr>
                <w:sz w:val="20"/>
              </w:rPr>
            </w:pPr>
          </w:p>
          <w:p>
            <w:pPr>
              <w:pStyle w:val="TableParagraph"/>
              <w:spacing w:before="9"/>
              <w:rPr>
                <w:sz w:val="18"/>
              </w:rPr>
            </w:pPr>
          </w:p>
          <w:p>
            <w:pPr>
              <w:pStyle w:val="TableParagraph"/>
              <w:ind w:left="107"/>
              <w:rPr>
                <w:sz w:val="18"/>
              </w:rPr>
            </w:pPr>
            <w:r>
              <w:rPr>
                <w:sz w:val="18"/>
              </w:rPr>
              <w:t>Finland</w:t>
            </w:r>
          </w:p>
        </w:tc>
        <w:tc>
          <w:tcPr>
            <w:tcW w:w="1152" w:type="dxa"/>
            <w:vMerge w:val="restart"/>
          </w:tcPr>
          <w:p>
            <w:pPr>
              <w:pStyle w:val="TableParagraph"/>
              <w:rPr>
                <w:sz w:val="20"/>
              </w:rPr>
            </w:pPr>
          </w:p>
          <w:p>
            <w:pPr>
              <w:pStyle w:val="TableParagraph"/>
              <w:spacing w:before="9"/>
              <w:rPr>
                <w:sz w:val="29"/>
              </w:rPr>
            </w:pPr>
          </w:p>
          <w:p>
            <w:pPr>
              <w:pStyle w:val="TableParagraph"/>
              <w:spacing w:line="207" w:lineRule="exact" w:before="1"/>
              <w:ind w:left="107"/>
              <w:rPr>
                <w:sz w:val="18"/>
              </w:rPr>
            </w:pPr>
            <w:r>
              <w:rPr>
                <w:sz w:val="18"/>
              </w:rPr>
              <w:t>Pingoud</w:t>
            </w:r>
          </w:p>
          <w:p>
            <w:pPr>
              <w:pStyle w:val="TableParagraph"/>
              <w:spacing w:line="207" w:lineRule="exact"/>
              <w:ind w:left="107"/>
              <w:rPr>
                <w:sz w:val="18"/>
              </w:rPr>
            </w:pPr>
            <w:r>
              <w:rPr>
                <w:i/>
                <w:sz w:val="18"/>
              </w:rPr>
              <w:t>et al. </w:t>
            </w:r>
            <w:r>
              <w:rPr>
                <w:sz w:val="18"/>
              </w:rPr>
              <w:t>1996</w:t>
            </w:r>
          </w:p>
        </w:tc>
        <w:tc>
          <w:tcPr>
            <w:tcW w:w="2988" w:type="dxa"/>
          </w:tcPr>
          <w:p>
            <w:pPr>
              <w:pStyle w:val="TableParagraph"/>
              <w:spacing w:before="28"/>
              <w:ind w:left="107"/>
              <w:rPr>
                <w:sz w:val="18"/>
              </w:rPr>
            </w:pPr>
            <w:r>
              <w:rPr>
                <w:sz w:val="18"/>
              </w:rPr>
              <w:t>Average for paper</w:t>
            </w:r>
          </w:p>
        </w:tc>
        <w:tc>
          <w:tcPr>
            <w:tcW w:w="1248" w:type="dxa"/>
          </w:tcPr>
          <w:p>
            <w:pPr>
              <w:pStyle w:val="TableParagraph"/>
              <w:spacing w:before="28"/>
              <w:ind w:left="195" w:right="189"/>
              <w:jc w:val="center"/>
              <w:rPr>
                <w:sz w:val="18"/>
              </w:rPr>
            </w:pPr>
            <w:r>
              <w:rPr>
                <w:sz w:val="18"/>
              </w:rPr>
              <w:t>1.8</w:t>
            </w:r>
          </w:p>
        </w:tc>
        <w:tc>
          <w:tcPr>
            <w:tcW w:w="2542" w:type="dxa"/>
          </w:tcPr>
          <w:p>
            <w:pPr>
              <w:pStyle w:val="TableParagraph"/>
              <w:spacing w:before="28"/>
              <w:ind w:left="1001" w:right="993"/>
              <w:jc w:val="center"/>
              <w:rPr>
                <w:sz w:val="18"/>
              </w:rPr>
            </w:pPr>
            <w:r>
              <w:rPr>
                <w:sz w:val="18"/>
              </w:rPr>
              <w:t>0.3851</w:t>
            </w:r>
          </w:p>
        </w:tc>
      </w:tr>
      <w:tr>
        <w:trPr>
          <w:trHeight w:val="275"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Newsprint, household, sanitary paper</w:t>
            </w:r>
          </w:p>
        </w:tc>
        <w:tc>
          <w:tcPr>
            <w:tcW w:w="1248" w:type="dxa"/>
          </w:tcPr>
          <w:p>
            <w:pPr>
              <w:pStyle w:val="TableParagraph"/>
              <w:spacing w:before="28"/>
              <w:ind w:left="195" w:right="187"/>
              <w:jc w:val="center"/>
              <w:rPr>
                <w:sz w:val="18"/>
              </w:rPr>
            </w:pPr>
            <w:r>
              <w:rPr>
                <w:sz w:val="18"/>
              </w:rPr>
              <w:t>0.5</w:t>
            </w:r>
          </w:p>
        </w:tc>
        <w:tc>
          <w:tcPr>
            <w:tcW w:w="2542" w:type="dxa"/>
          </w:tcPr>
          <w:p>
            <w:pPr>
              <w:pStyle w:val="TableParagraph"/>
              <w:spacing w:before="28"/>
              <w:ind w:left="1001" w:right="993"/>
              <w:jc w:val="center"/>
              <w:rPr>
                <w:sz w:val="18"/>
              </w:rPr>
            </w:pPr>
            <w:r>
              <w:rPr>
                <w:sz w:val="18"/>
              </w:rPr>
              <w:t>1.3863</w:t>
            </w:r>
          </w:p>
        </w:tc>
      </w:tr>
      <w:tr>
        <w:trPr>
          <w:trHeight w:val="44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9"/>
              <w:ind w:left="107" w:right="656"/>
              <w:rPr>
                <w:sz w:val="18"/>
              </w:rPr>
            </w:pPr>
            <w:r>
              <w:rPr>
                <w:sz w:val="18"/>
              </w:rPr>
              <w:t>Linerboard fluting and folding boxboard</w:t>
            </w:r>
          </w:p>
        </w:tc>
        <w:tc>
          <w:tcPr>
            <w:tcW w:w="1248" w:type="dxa"/>
          </w:tcPr>
          <w:p>
            <w:pPr>
              <w:pStyle w:val="TableParagraph"/>
              <w:spacing w:before="112"/>
              <w:ind w:left="7"/>
              <w:jc w:val="center"/>
              <w:rPr>
                <w:sz w:val="18"/>
              </w:rPr>
            </w:pPr>
            <w:r>
              <w:rPr>
                <w:sz w:val="18"/>
              </w:rPr>
              <w:t>1</w:t>
            </w:r>
          </w:p>
        </w:tc>
        <w:tc>
          <w:tcPr>
            <w:tcW w:w="2542" w:type="dxa"/>
          </w:tcPr>
          <w:p>
            <w:pPr>
              <w:pStyle w:val="TableParagraph"/>
              <w:spacing w:before="112"/>
              <w:ind w:left="1000" w:right="993"/>
              <w:jc w:val="center"/>
              <w:rPr>
                <w:sz w:val="18"/>
              </w:rPr>
            </w:pPr>
            <w:r>
              <w:rPr>
                <w:sz w:val="18"/>
              </w:rPr>
              <w:t>0.6931</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80 % of printing and writing paper</w:t>
            </w:r>
          </w:p>
        </w:tc>
        <w:tc>
          <w:tcPr>
            <w:tcW w:w="1248" w:type="dxa"/>
          </w:tcPr>
          <w:p>
            <w:pPr>
              <w:pStyle w:val="TableParagraph"/>
              <w:spacing w:before="28"/>
              <w:ind w:left="9"/>
              <w:jc w:val="center"/>
              <w:rPr>
                <w:sz w:val="18"/>
              </w:rPr>
            </w:pPr>
            <w:r>
              <w:rPr>
                <w:sz w:val="18"/>
              </w:rPr>
              <w:t>1</w:t>
            </w:r>
          </w:p>
        </w:tc>
        <w:tc>
          <w:tcPr>
            <w:tcW w:w="2542" w:type="dxa"/>
          </w:tcPr>
          <w:p>
            <w:pPr>
              <w:pStyle w:val="TableParagraph"/>
              <w:spacing w:before="28"/>
              <w:ind w:left="1001" w:right="993"/>
              <w:jc w:val="center"/>
              <w:rPr>
                <w:sz w:val="18"/>
              </w:rPr>
            </w:pPr>
            <w:r>
              <w:rPr>
                <w:sz w:val="18"/>
              </w:rPr>
              <w:t>0.6931</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20% of printing and writing paper</w:t>
            </w:r>
          </w:p>
        </w:tc>
        <w:tc>
          <w:tcPr>
            <w:tcW w:w="1248" w:type="dxa"/>
          </w:tcPr>
          <w:p>
            <w:pPr>
              <w:pStyle w:val="TableParagraph"/>
              <w:spacing w:before="28"/>
              <w:ind w:left="195" w:right="183"/>
              <w:jc w:val="center"/>
              <w:rPr>
                <w:sz w:val="18"/>
              </w:rPr>
            </w:pPr>
            <w:r>
              <w:rPr>
                <w:sz w:val="18"/>
              </w:rPr>
              <w:t>10</w:t>
            </w:r>
          </w:p>
        </w:tc>
        <w:tc>
          <w:tcPr>
            <w:tcW w:w="2542" w:type="dxa"/>
          </w:tcPr>
          <w:p>
            <w:pPr>
              <w:pStyle w:val="TableParagraph"/>
              <w:spacing w:before="28"/>
              <w:ind w:left="1001" w:right="991"/>
              <w:jc w:val="center"/>
              <w:rPr>
                <w:sz w:val="18"/>
              </w:rPr>
            </w:pPr>
            <w:r>
              <w:rPr>
                <w:sz w:val="18"/>
              </w:rPr>
              <w:t>0.0693</w:t>
            </w:r>
          </w:p>
        </w:tc>
      </w:tr>
      <w:tr>
        <w:trPr>
          <w:trHeight w:val="275" w:hRule="atLeast"/>
        </w:trPr>
        <w:tc>
          <w:tcPr>
            <w:tcW w:w="1085" w:type="dxa"/>
            <w:vMerge w:val="restart"/>
          </w:tcPr>
          <w:p>
            <w:pPr>
              <w:pStyle w:val="TableParagraph"/>
              <w:rPr>
                <w:sz w:val="20"/>
              </w:rPr>
            </w:pPr>
          </w:p>
          <w:p>
            <w:pPr>
              <w:pStyle w:val="TableParagraph"/>
              <w:rPr>
                <w:sz w:val="20"/>
              </w:rPr>
            </w:pPr>
          </w:p>
          <w:p>
            <w:pPr>
              <w:pStyle w:val="TableParagraph"/>
              <w:spacing w:before="9"/>
              <w:rPr>
                <w:sz w:val="23"/>
              </w:rPr>
            </w:pPr>
          </w:p>
          <w:p>
            <w:pPr>
              <w:pStyle w:val="TableParagraph"/>
              <w:ind w:left="107"/>
              <w:rPr>
                <w:sz w:val="18"/>
              </w:rPr>
            </w:pPr>
            <w:r>
              <w:rPr>
                <w:sz w:val="18"/>
              </w:rPr>
              <w:t>Netherlands</w:t>
            </w:r>
          </w:p>
        </w:tc>
        <w:tc>
          <w:tcPr>
            <w:tcW w:w="1152" w:type="dxa"/>
            <w:vMerge w:val="restart"/>
          </w:tcPr>
          <w:p>
            <w:pPr>
              <w:pStyle w:val="TableParagraph"/>
              <w:rPr>
                <w:sz w:val="20"/>
              </w:rPr>
            </w:pPr>
          </w:p>
          <w:p>
            <w:pPr>
              <w:pStyle w:val="TableParagraph"/>
              <w:rPr>
                <w:sz w:val="20"/>
              </w:rPr>
            </w:pPr>
          </w:p>
          <w:p>
            <w:pPr>
              <w:pStyle w:val="TableParagraph"/>
              <w:spacing w:before="171"/>
              <w:ind w:left="107" w:right="405"/>
              <w:rPr>
                <w:sz w:val="18"/>
              </w:rPr>
            </w:pPr>
            <w:r>
              <w:rPr>
                <w:sz w:val="18"/>
              </w:rPr>
              <w:t>Nabuurs 1996</w:t>
            </w:r>
          </w:p>
        </w:tc>
        <w:tc>
          <w:tcPr>
            <w:tcW w:w="2988" w:type="dxa"/>
          </w:tcPr>
          <w:p>
            <w:pPr>
              <w:pStyle w:val="TableParagraph"/>
              <w:spacing w:before="28"/>
              <w:ind w:left="107"/>
              <w:rPr>
                <w:sz w:val="18"/>
              </w:rPr>
            </w:pPr>
            <w:r>
              <w:rPr>
                <w:sz w:val="18"/>
              </w:rPr>
              <w:t>Paper</w:t>
            </w:r>
          </w:p>
        </w:tc>
        <w:tc>
          <w:tcPr>
            <w:tcW w:w="1248" w:type="dxa"/>
          </w:tcPr>
          <w:p>
            <w:pPr>
              <w:pStyle w:val="TableParagraph"/>
              <w:spacing w:before="28"/>
              <w:ind w:left="7"/>
              <w:jc w:val="center"/>
              <w:rPr>
                <w:sz w:val="18"/>
              </w:rPr>
            </w:pPr>
            <w:r>
              <w:rPr>
                <w:sz w:val="18"/>
              </w:rPr>
              <w:t>2</w:t>
            </w:r>
          </w:p>
        </w:tc>
        <w:tc>
          <w:tcPr>
            <w:tcW w:w="2542" w:type="dxa"/>
          </w:tcPr>
          <w:p>
            <w:pPr>
              <w:pStyle w:val="TableParagraph"/>
              <w:spacing w:before="28"/>
              <w:ind w:left="1000" w:right="993"/>
              <w:jc w:val="center"/>
              <w:rPr>
                <w:sz w:val="18"/>
              </w:rPr>
            </w:pPr>
            <w:r>
              <w:rPr>
                <w:sz w:val="18"/>
              </w:rPr>
              <w:t>0.3466</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Packing wood</w:t>
            </w:r>
          </w:p>
        </w:tc>
        <w:tc>
          <w:tcPr>
            <w:tcW w:w="1248" w:type="dxa"/>
          </w:tcPr>
          <w:p>
            <w:pPr>
              <w:pStyle w:val="TableParagraph"/>
              <w:spacing w:before="28"/>
              <w:ind w:left="8"/>
              <w:jc w:val="center"/>
              <w:rPr>
                <w:sz w:val="18"/>
              </w:rPr>
            </w:pPr>
            <w:r>
              <w:rPr>
                <w:sz w:val="18"/>
              </w:rPr>
              <w:t>3</w:t>
            </w:r>
          </w:p>
        </w:tc>
        <w:tc>
          <w:tcPr>
            <w:tcW w:w="2542" w:type="dxa"/>
          </w:tcPr>
          <w:p>
            <w:pPr>
              <w:pStyle w:val="TableParagraph"/>
              <w:spacing w:before="28"/>
              <w:ind w:left="1001" w:right="993"/>
              <w:jc w:val="center"/>
              <w:rPr>
                <w:sz w:val="18"/>
              </w:rPr>
            </w:pPr>
            <w:r>
              <w:rPr>
                <w:sz w:val="18"/>
              </w:rPr>
              <w:t>0.2310</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Particleboard</w:t>
            </w:r>
          </w:p>
        </w:tc>
        <w:tc>
          <w:tcPr>
            <w:tcW w:w="1248" w:type="dxa"/>
          </w:tcPr>
          <w:p>
            <w:pPr>
              <w:pStyle w:val="TableParagraph"/>
              <w:spacing w:before="28"/>
              <w:ind w:left="195" w:right="185"/>
              <w:jc w:val="center"/>
              <w:rPr>
                <w:sz w:val="18"/>
              </w:rPr>
            </w:pPr>
            <w:r>
              <w:rPr>
                <w:sz w:val="18"/>
              </w:rPr>
              <w:t>20</w:t>
            </w:r>
          </w:p>
        </w:tc>
        <w:tc>
          <w:tcPr>
            <w:tcW w:w="2542" w:type="dxa"/>
          </w:tcPr>
          <w:p>
            <w:pPr>
              <w:pStyle w:val="TableParagraph"/>
              <w:spacing w:before="28"/>
              <w:ind w:left="1000" w:right="993"/>
              <w:jc w:val="center"/>
              <w:rPr>
                <w:sz w:val="18"/>
              </w:rPr>
            </w:pPr>
            <w:r>
              <w:rPr>
                <w:sz w:val="18"/>
              </w:rPr>
              <w:t>0.0347</w:t>
            </w:r>
          </w:p>
        </w:tc>
      </w:tr>
      <w:tr>
        <w:trPr>
          <w:trHeight w:val="275"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Saw wood average</w:t>
            </w:r>
          </w:p>
        </w:tc>
        <w:tc>
          <w:tcPr>
            <w:tcW w:w="1248" w:type="dxa"/>
          </w:tcPr>
          <w:p>
            <w:pPr>
              <w:pStyle w:val="TableParagraph"/>
              <w:spacing w:before="28"/>
              <w:ind w:left="195" w:right="187"/>
              <w:jc w:val="center"/>
              <w:rPr>
                <w:sz w:val="18"/>
              </w:rPr>
            </w:pPr>
            <w:r>
              <w:rPr>
                <w:sz w:val="18"/>
              </w:rPr>
              <w:t>35</w:t>
            </w:r>
          </w:p>
        </w:tc>
        <w:tc>
          <w:tcPr>
            <w:tcW w:w="2542" w:type="dxa"/>
          </w:tcPr>
          <w:p>
            <w:pPr>
              <w:pStyle w:val="TableParagraph"/>
              <w:spacing w:before="28"/>
              <w:ind w:left="1000" w:right="993"/>
              <w:jc w:val="center"/>
              <w:rPr>
                <w:sz w:val="18"/>
              </w:rPr>
            </w:pPr>
            <w:r>
              <w:rPr>
                <w:sz w:val="18"/>
              </w:rPr>
              <w:t>0.0198</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Saw wood – spruce &amp; poplar</w:t>
            </w:r>
          </w:p>
        </w:tc>
        <w:tc>
          <w:tcPr>
            <w:tcW w:w="1248" w:type="dxa"/>
          </w:tcPr>
          <w:p>
            <w:pPr>
              <w:pStyle w:val="TableParagraph"/>
              <w:spacing w:before="28"/>
              <w:ind w:left="195" w:right="187"/>
              <w:jc w:val="center"/>
              <w:rPr>
                <w:sz w:val="18"/>
              </w:rPr>
            </w:pPr>
            <w:r>
              <w:rPr>
                <w:sz w:val="18"/>
              </w:rPr>
              <w:t>18</w:t>
            </w:r>
          </w:p>
        </w:tc>
        <w:tc>
          <w:tcPr>
            <w:tcW w:w="2542" w:type="dxa"/>
          </w:tcPr>
          <w:p>
            <w:pPr>
              <w:pStyle w:val="TableParagraph"/>
              <w:spacing w:before="28"/>
              <w:ind w:left="1000" w:right="993"/>
              <w:jc w:val="center"/>
              <w:rPr>
                <w:sz w:val="18"/>
              </w:rPr>
            </w:pPr>
            <w:r>
              <w:rPr>
                <w:sz w:val="18"/>
              </w:rPr>
              <w:t>0.0385</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Saw wood – oak &amp; beech</w:t>
            </w:r>
          </w:p>
        </w:tc>
        <w:tc>
          <w:tcPr>
            <w:tcW w:w="1248" w:type="dxa"/>
          </w:tcPr>
          <w:p>
            <w:pPr>
              <w:pStyle w:val="TableParagraph"/>
              <w:spacing w:before="28"/>
              <w:ind w:left="195" w:right="189"/>
              <w:jc w:val="center"/>
              <w:rPr>
                <w:sz w:val="18"/>
              </w:rPr>
            </w:pPr>
            <w:r>
              <w:rPr>
                <w:sz w:val="18"/>
              </w:rPr>
              <w:t>45</w:t>
            </w:r>
          </w:p>
        </w:tc>
        <w:tc>
          <w:tcPr>
            <w:tcW w:w="2542" w:type="dxa"/>
          </w:tcPr>
          <w:p>
            <w:pPr>
              <w:pStyle w:val="TableParagraph"/>
              <w:spacing w:before="28"/>
              <w:ind w:left="998" w:right="993"/>
              <w:jc w:val="center"/>
              <w:rPr>
                <w:sz w:val="18"/>
              </w:rPr>
            </w:pPr>
            <w:r>
              <w:rPr>
                <w:sz w:val="18"/>
              </w:rPr>
              <w:t>0.0154</w:t>
            </w:r>
          </w:p>
        </w:tc>
      </w:tr>
      <w:tr>
        <w:trPr>
          <w:trHeight w:val="275" w:hRule="atLeast"/>
        </w:trPr>
        <w:tc>
          <w:tcPr>
            <w:tcW w:w="1085" w:type="dxa"/>
            <w:vMerge w:val="restart"/>
          </w:tcPr>
          <w:p>
            <w:pPr>
              <w:pStyle w:val="TableParagraph"/>
              <w:rPr>
                <w:sz w:val="20"/>
              </w:rPr>
            </w:pPr>
          </w:p>
          <w:p>
            <w:pPr>
              <w:pStyle w:val="TableParagraph"/>
              <w:spacing w:before="3"/>
              <w:rPr>
                <w:sz w:val="22"/>
              </w:rPr>
            </w:pPr>
          </w:p>
          <w:p>
            <w:pPr>
              <w:pStyle w:val="TableParagraph"/>
              <w:spacing w:before="1"/>
              <w:ind w:left="107" w:right="458"/>
              <w:rPr>
                <w:sz w:val="18"/>
              </w:rPr>
            </w:pPr>
            <w:r>
              <w:rPr>
                <w:sz w:val="18"/>
              </w:rPr>
              <w:t>United States</w:t>
            </w:r>
          </w:p>
        </w:tc>
        <w:tc>
          <w:tcPr>
            <w:tcW w:w="1152" w:type="dxa"/>
            <w:vMerge w:val="restart"/>
          </w:tcPr>
          <w:p>
            <w:pPr>
              <w:pStyle w:val="TableParagraph"/>
              <w:rPr>
                <w:sz w:val="20"/>
              </w:rPr>
            </w:pPr>
          </w:p>
          <w:p>
            <w:pPr>
              <w:pStyle w:val="TableParagraph"/>
              <w:spacing w:before="153"/>
              <w:ind w:left="107" w:right="275"/>
              <w:rPr>
                <w:sz w:val="18"/>
              </w:rPr>
            </w:pPr>
            <w:r>
              <w:rPr>
                <w:sz w:val="18"/>
              </w:rPr>
              <w:t>Skog and Nicholson 2000</w:t>
            </w:r>
          </w:p>
        </w:tc>
        <w:tc>
          <w:tcPr>
            <w:tcW w:w="2988" w:type="dxa"/>
          </w:tcPr>
          <w:p>
            <w:pPr>
              <w:pStyle w:val="TableParagraph"/>
              <w:spacing w:before="28"/>
              <w:ind w:left="107"/>
              <w:rPr>
                <w:sz w:val="18"/>
              </w:rPr>
            </w:pPr>
            <w:r>
              <w:rPr>
                <w:sz w:val="18"/>
              </w:rPr>
              <w:t>Saw wood</w:t>
            </w:r>
          </w:p>
        </w:tc>
        <w:tc>
          <w:tcPr>
            <w:tcW w:w="1248" w:type="dxa"/>
          </w:tcPr>
          <w:p>
            <w:pPr>
              <w:pStyle w:val="TableParagraph"/>
              <w:spacing w:before="28"/>
              <w:ind w:left="195" w:right="187"/>
              <w:jc w:val="center"/>
              <w:rPr>
                <w:sz w:val="18"/>
              </w:rPr>
            </w:pPr>
            <w:r>
              <w:rPr>
                <w:sz w:val="18"/>
              </w:rPr>
              <w:t>40</w:t>
            </w:r>
          </w:p>
        </w:tc>
        <w:tc>
          <w:tcPr>
            <w:tcW w:w="2542" w:type="dxa"/>
          </w:tcPr>
          <w:p>
            <w:pPr>
              <w:pStyle w:val="TableParagraph"/>
              <w:spacing w:before="28"/>
              <w:ind w:left="1000" w:right="993"/>
              <w:jc w:val="center"/>
              <w:rPr>
                <w:sz w:val="18"/>
              </w:rPr>
            </w:pPr>
            <w:r>
              <w:rPr>
                <w:sz w:val="18"/>
              </w:rPr>
              <w:t>0.0173</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Structural panels</w:t>
            </w:r>
          </w:p>
        </w:tc>
        <w:tc>
          <w:tcPr>
            <w:tcW w:w="1248" w:type="dxa"/>
          </w:tcPr>
          <w:p>
            <w:pPr>
              <w:pStyle w:val="TableParagraph"/>
              <w:spacing w:before="28"/>
              <w:ind w:left="195" w:right="185"/>
              <w:jc w:val="center"/>
              <w:rPr>
                <w:sz w:val="18"/>
              </w:rPr>
            </w:pPr>
            <w:r>
              <w:rPr>
                <w:sz w:val="18"/>
              </w:rPr>
              <w:t>45</w:t>
            </w:r>
          </w:p>
        </w:tc>
        <w:tc>
          <w:tcPr>
            <w:tcW w:w="2542" w:type="dxa"/>
          </w:tcPr>
          <w:p>
            <w:pPr>
              <w:pStyle w:val="TableParagraph"/>
              <w:spacing w:before="28"/>
              <w:ind w:left="1001" w:right="993"/>
              <w:jc w:val="center"/>
              <w:rPr>
                <w:sz w:val="18"/>
              </w:rPr>
            </w:pPr>
            <w:r>
              <w:rPr>
                <w:sz w:val="18"/>
              </w:rPr>
              <w:t>0.0154</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Non structural panels</w:t>
            </w:r>
          </w:p>
        </w:tc>
        <w:tc>
          <w:tcPr>
            <w:tcW w:w="1248" w:type="dxa"/>
          </w:tcPr>
          <w:p>
            <w:pPr>
              <w:pStyle w:val="TableParagraph"/>
              <w:spacing w:before="28"/>
              <w:ind w:left="195" w:right="186"/>
              <w:jc w:val="center"/>
              <w:rPr>
                <w:sz w:val="18"/>
              </w:rPr>
            </w:pPr>
            <w:r>
              <w:rPr>
                <w:sz w:val="18"/>
              </w:rPr>
              <w:t>23</w:t>
            </w:r>
          </w:p>
        </w:tc>
        <w:tc>
          <w:tcPr>
            <w:tcW w:w="2542" w:type="dxa"/>
          </w:tcPr>
          <w:p>
            <w:pPr>
              <w:pStyle w:val="TableParagraph"/>
              <w:spacing w:before="28"/>
              <w:ind w:left="1000" w:right="993"/>
              <w:jc w:val="center"/>
              <w:rPr>
                <w:sz w:val="18"/>
              </w:rPr>
            </w:pPr>
            <w:r>
              <w:rPr>
                <w:sz w:val="18"/>
              </w:rPr>
              <w:t>0.0301</w:t>
            </w:r>
          </w:p>
        </w:tc>
      </w:tr>
      <w:tr>
        <w:trPr>
          <w:trHeight w:val="275"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Paper (free sheet)</w:t>
            </w:r>
          </w:p>
        </w:tc>
        <w:tc>
          <w:tcPr>
            <w:tcW w:w="1248" w:type="dxa"/>
          </w:tcPr>
          <w:p>
            <w:pPr>
              <w:pStyle w:val="TableParagraph"/>
              <w:spacing w:before="28"/>
              <w:ind w:left="8"/>
              <w:jc w:val="center"/>
              <w:rPr>
                <w:sz w:val="18"/>
              </w:rPr>
            </w:pPr>
            <w:r>
              <w:rPr>
                <w:sz w:val="18"/>
              </w:rPr>
              <w:t>6</w:t>
            </w:r>
          </w:p>
        </w:tc>
        <w:tc>
          <w:tcPr>
            <w:tcW w:w="2542" w:type="dxa"/>
          </w:tcPr>
          <w:p>
            <w:pPr>
              <w:pStyle w:val="TableParagraph"/>
              <w:spacing w:before="28"/>
              <w:ind w:left="1001" w:right="993"/>
              <w:jc w:val="center"/>
              <w:rPr>
                <w:sz w:val="18"/>
              </w:rPr>
            </w:pPr>
            <w:r>
              <w:rPr>
                <w:sz w:val="18"/>
              </w:rPr>
              <w:t>0.1155</w:t>
            </w:r>
          </w:p>
        </w:tc>
      </w:tr>
      <w:tr>
        <w:trPr>
          <w:trHeight w:val="273" w:hRule="atLeast"/>
        </w:trPr>
        <w:tc>
          <w:tcPr>
            <w:tcW w:w="1085" w:type="dxa"/>
            <w:vMerge/>
            <w:tcBorders>
              <w:top w:val="nil"/>
            </w:tcBorders>
          </w:tcPr>
          <w:p>
            <w:pPr>
              <w:rPr>
                <w:sz w:val="2"/>
                <w:szCs w:val="2"/>
              </w:rPr>
            </w:pPr>
          </w:p>
        </w:tc>
        <w:tc>
          <w:tcPr>
            <w:tcW w:w="1152" w:type="dxa"/>
            <w:vMerge/>
            <w:tcBorders>
              <w:top w:val="nil"/>
            </w:tcBorders>
          </w:tcPr>
          <w:p>
            <w:pPr>
              <w:rPr>
                <w:sz w:val="2"/>
                <w:szCs w:val="2"/>
              </w:rPr>
            </w:pPr>
          </w:p>
        </w:tc>
        <w:tc>
          <w:tcPr>
            <w:tcW w:w="2988" w:type="dxa"/>
          </w:tcPr>
          <w:p>
            <w:pPr>
              <w:pStyle w:val="TableParagraph"/>
              <w:spacing w:before="28"/>
              <w:ind w:left="107"/>
              <w:rPr>
                <w:sz w:val="18"/>
              </w:rPr>
            </w:pPr>
            <w:r>
              <w:rPr>
                <w:sz w:val="18"/>
              </w:rPr>
              <w:t>Other paper</w:t>
            </w:r>
          </w:p>
        </w:tc>
        <w:tc>
          <w:tcPr>
            <w:tcW w:w="1248" w:type="dxa"/>
          </w:tcPr>
          <w:p>
            <w:pPr>
              <w:pStyle w:val="TableParagraph"/>
              <w:spacing w:before="28"/>
              <w:ind w:left="7"/>
              <w:jc w:val="center"/>
              <w:rPr>
                <w:sz w:val="18"/>
              </w:rPr>
            </w:pPr>
            <w:r>
              <w:rPr>
                <w:sz w:val="18"/>
              </w:rPr>
              <w:t>1</w:t>
            </w:r>
          </w:p>
        </w:tc>
        <w:tc>
          <w:tcPr>
            <w:tcW w:w="2542" w:type="dxa"/>
          </w:tcPr>
          <w:p>
            <w:pPr>
              <w:pStyle w:val="TableParagraph"/>
              <w:spacing w:before="28"/>
              <w:ind w:left="1000" w:right="993"/>
              <w:jc w:val="center"/>
              <w:rPr>
                <w:sz w:val="18"/>
              </w:rPr>
            </w:pPr>
            <w:r>
              <w:rPr>
                <w:sz w:val="18"/>
              </w:rPr>
              <w:t>0.6931</w:t>
            </w:r>
          </w:p>
        </w:tc>
      </w:tr>
      <w:tr>
        <w:trPr>
          <w:trHeight w:val="467" w:hRule="atLeast"/>
        </w:trPr>
        <w:tc>
          <w:tcPr>
            <w:tcW w:w="9015" w:type="dxa"/>
            <w:gridSpan w:val="5"/>
          </w:tcPr>
          <w:p>
            <w:pPr>
              <w:pStyle w:val="TableParagraph"/>
              <w:spacing w:before="35"/>
              <w:ind w:left="107" w:right="240"/>
              <w:rPr>
                <w:sz w:val="16"/>
              </w:rPr>
            </w:pPr>
            <w:r>
              <w:rPr>
                <w:sz w:val="16"/>
              </w:rPr>
              <w:t>Note: It is recommended that use of these estimated half lives be accompanied with verification of the resulting stock change estimates as indicated, for example, in Section 3a.1.5. Adjustments in half lives may be needed as a result.</w:t>
            </w:r>
          </w:p>
        </w:tc>
      </w:tr>
    </w:tbl>
    <w:p>
      <w:pPr>
        <w:spacing w:after="0"/>
        <w:rPr>
          <w:sz w:val="16"/>
        </w:rPr>
        <w:sectPr>
          <w:headerReference w:type="even" r:id="rId256"/>
          <w:pgSz w:w="11900" w:h="16840"/>
          <w:pgMar w:header="235" w:footer="408" w:top="1360" w:bottom="600" w:left="1340" w:right="1320"/>
        </w:sectPr>
      </w:pPr>
    </w:p>
    <w:p>
      <w:pPr>
        <w:pStyle w:val="BodyText"/>
        <w:spacing w:before="76"/>
        <w:ind w:left="138"/>
      </w:pPr>
      <w:r>
        <w:rPr/>
        <w:pict>
          <v:line style="position:absolute;mso-position-horizontal-relative:page;mso-position-vertical-relative:paragraph;z-index:16048" from="69.480003pt,18.295513pt" to="792.360003pt,18.295513pt" stroked="true" strokeweight=".75pt" strokecolor="#010101">
            <v:stroke dashstyle="solid"/>
            <w10:wrap type="none"/>
          </v:line>
        </w:pict>
      </w:r>
      <w:r>
        <w:rPr/>
        <w:t>Chapter 3: LUCF Sector Good Practice Guidance</w:t>
      </w:r>
    </w:p>
    <w:p>
      <w:pPr>
        <w:pStyle w:val="BodyText"/>
      </w:pPr>
    </w:p>
    <w:p>
      <w:pPr>
        <w:pStyle w:val="BodyText"/>
      </w:pPr>
    </w:p>
    <w:p>
      <w:pPr>
        <w:pStyle w:val="BodyText"/>
      </w:pPr>
    </w:p>
    <w:p>
      <w:pPr>
        <w:pStyle w:val="BodyText"/>
      </w:pPr>
    </w:p>
    <w:p>
      <w:pPr>
        <w:pStyle w:val="BodyText"/>
        <w:spacing w:before="8"/>
        <w:rPr>
          <w:sz w:val="27"/>
        </w:rPr>
      </w:pPr>
    </w:p>
    <w:tbl>
      <w:tblPr>
        <w:tblW w:w="0" w:type="auto"/>
        <w:jc w:val="left"/>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90"/>
        <w:gridCol w:w="3960"/>
        <w:gridCol w:w="2066"/>
        <w:gridCol w:w="3900"/>
      </w:tblGrid>
      <w:tr>
        <w:trPr>
          <w:trHeight w:val="556" w:hRule="atLeast"/>
        </w:trPr>
        <w:tc>
          <w:tcPr>
            <w:tcW w:w="14116" w:type="dxa"/>
            <w:gridSpan w:val="4"/>
            <w:tcBorders>
              <w:bottom w:val="double" w:sz="1" w:space="0" w:color="000000"/>
            </w:tcBorders>
          </w:tcPr>
          <w:p>
            <w:pPr>
              <w:pStyle w:val="TableParagraph"/>
              <w:spacing w:line="207" w:lineRule="exact" w:before="83"/>
              <w:ind w:left="598" w:right="587"/>
              <w:jc w:val="center"/>
              <w:rPr>
                <w:b/>
                <w:sz w:val="18"/>
              </w:rPr>
            </w:pPr>
            <w:r>
              <w:rPr>
                <w:b/>
                <w:sz w:val="18"/>
              </w:rPr>
              <w:t>T</w:t>
            </w:r>
            <w:r>
              <w:rPr>
                <w:b/>
                <w:sz w:val="14"/>
              </w:rPr>
              <w:t>ABLE </w:t>
            </w:r>
            <w:r>
              <w:rPr>
                <w:b/>
                <w:sz w:val="18"/>
              </w:rPr>
              <w:t>3</w:t>
            </w:r>
            <w:r>
              <w:rPr>
                <w:b/>
                <w:sz w:val="14"/>
              </w:rPr>
              <w:t>A</w:t>
            </w:r>
            <w:r>
              <w:rPr>
                <w:b/>
                <w:sz w:val="18"/>
              </w:rPr>
              <w:t>.1.4</w:t>
            </w:r>
          </w:p>
          <w:p>
            <w:pPr>
              <w:pStyle w:val="TableParagraph"/>
              <w:spacing w:line="207" w:lineRule="exact"/>
              <w:ind w:left="599" w:right="587"/>
              <w:jc w:val="center"/>
              <w:rPr>
                <w:b/>
                <w:sz w:val="14"/>
              </w:rPr>
            </w:pPr>
            <w:r>
              <w:rPr>
                <w:b/>
                <w:sz w:val="18"/>
              </w:rPr>
              <w:t>P</w:t>
            </w:r>
            <w:r>
              <w:rPr>
                <w:b/>
                <w:sz w:val="14"/>
              </w:rPr>
              <w:t>ARAMETERS</w:t>
            </w:r>
            <w:r>
              <w:rPr>
                <w:b/>
                <w:sz w:val="18"/>
              </w:rPr>
              <w:t>, </w:t>
            </w:r>
            <w:r>
              <w:rPr>
                <w:b/>
                <w:sz w:val="14"/>
              </w:rPr>
              <w:t>AND ESTIMATES OF UNCERTAINTIES ASSOCIATED WITH DEFAULT VALUES FOR THE </w:t>
            </w:r>
            <w:r>
              <w:rPr>
                <w:b/>
                <w:sz w:val="18"/>
              </w:rPr>
              <w:t>T</w:t>
            </w:r>
            <w:r>
              <w:rPr>
                <w:b/>
                <w:sz w:val="14"/>
              </w:rPr>
              <w:t>IER </w:t>
            </w:r>
            <w:r>
              <w:rPr>
                <w:b/>
                <w:sz w:val="18"/>
              </w:rPr>
              <w:t>2 </w:t>
            </w:r>
            <w:r>
              <w:rPr>
                <w:b/>
                <w:sz w:val="14"/>
              </w:rPr>
              <w:t>METHOD FOR ESTIMATING CHANGE IN CARBON STORAGE IN </w:t>
            </w:r>
            <w:r>
              <w:rPr>
                <w:b/>
                <w:sz w:val="18"/>
              </w:rPr>
              <w:t>HWP </w:t>
            </w:r>
            <w:r>
              <w:rPr>
                <w:b/>
                <w:sz w:val="14"/>
              </w:rPr>
              <w:t>IN USE</w:t>
            </w:r>
          </w:p>
        </w:tc>
      </w:tr>
      <w:tr>
        <w:trPr>
          <w:trHeight w:val="311" w:hRule="atLeast"/>
        </w:trPr>
        <w:tc>
          <w:tcPr>
            <w:tcW w:w="4190" w:type="dxa"/>
            <w:tcBorders>
              <w:top w:val="double" w:sz="1" w:space="0" w:color="000000"/>
            </w:tcBorders>
          </w:tcPr>
          <w:p>
            <w:pPr>
              <w:pStyle w:val="TableParagraph"/>
              <w:spacing w:before="52"/>
              <w:ind w:left="107"/>
              <w:rPr>
                <w:b/>
                <w:sz w:val="18"/>
              </w:rPr>
            </w:pPr>
            <w:r>
              <w:rPr>
                <w:b/>
                <w:sz w:val="18"/>
              </w:rPr>
              <w:t>Description of Parameter</w:t>
            </w:r>
          </w:p>
        </w:tc>
        <w:tc>
          <w:tcPr>
            <w:tcW w:w="3960" w:type="dxa"/>
            <w:tcBorders>
              <w:top w:val="double" w:sz="1" w:space="0" w:color="000000"/>
            </w:tcBorders>
          </w:tcPr>
          <w:p>
            <w:pPr>
              <w:pStyle w:val="TableParagraph"/>
              <w:spacing w:before="52"/>
              <w:ind w:left="107"/>
              <w:rPr>
                <w:b/>
                <w:sz w:val="18"/>
              </w:rPr>
            </w:pPr>
            <w:r>
              <w:rPr>
                <w:b/>
                <w:sz w:val="18"/>
              </w:rPr>
              <w:t>Parameter</w:t>
            </w:r>
          </w:p>
        </w:tc>
        <w:tc>
          <w:tcPr>
            <w:tcW w:w="2066" w:type="dxa"/>
            <w:tcBorders>
              <w:top w:val="double" w:sz="1" w:space="0" w:color="000000"/>
            </w:tcBorders>
          </w:tcPr>
          <w:p>
            <w:pPr>
              <w:pStyle w:val="TableParagraph"/>
              <w:spacing w:before="52"/>
              <w:ind w:left="106"/>
              <w:rPr>
                <w:b/>
                <w:sz w:val="18"/>
              </w:rPr>
            </w:pPr>
            <w:r>
              <w:rPr>
                <w:b/>
                <w:sz w:val="18"/>
              </w:rPr>
              <w:t>Values</w:t>
            </w:r>
          </w:p>
        </w:tc>
        <w:tc>
          <w:tcPr>
            <w:tcW w:w="3900" w:type="dxa"/>
            <w:tcBorders>
              <w:top w:val="double" w:sz="1" w:space="0" w:color="000000"/>
            </w:tcBorders>
          </w:tcPr>
          <w:p>
            <w:pPr>
              <w:pStyle w:val="TableParagraph"/>
              <w:spacing w:before="52"/>
              <w:ind w:left="107"/>
              <w:rPr>
                <w:b/>
                <w:sz w:val="18"/>
              </w:rPr>
            </w:pPr>
            <w:r>
              <w:rPr>
                <w:b/>
                <w:sz w:val="18"/>
              </w:rPr>
              <w:t>Uncertainty Range</w:t>
            </w:r>
          </w:p>
        </w:tc>
      </w:tr>
      <w:tr>
        <w:trPr>
          <w:trHeight w:val="613" w:hRule="atLeast"/>
        </w:trPr>
        <w:tc>
          <w:tcPr>
            <w:tcW w:w="4190" w:type="dxa"/>
          </w:tcPr>
          <w:p>
            <w:pPr>
              <w:pStyle w:val="TableParagraph"/>
              <w:spacing w:before="95"/>
              <w:ind w:left="107" w:right="388"/>
              <w:rPr>
                <w:sz w:val="18"/>
              </w:rPr>
            </w:pPr>
            <w:r>
              <w:rPr>
                <w:sz w:val="18"/>
              </w:rPr>
              <w:t>Roundwood harvest (wood harvested and removed from sites for products including fuelwood)</w:t>
            </w:r>
          </w:p>
        </w:tc>
        <w:tc>
          <w:tcPr>
            <w:tcW w:w="3960" w:type="dxa"/>
          </w:tcPr>
          <w:p>
            <w:pPr>
              <w:pStyle w:val="TableParagraph"/>
              <w:spacing w:before="3"/>
              <w:rPr>
                <w:sz w:val="17"/>
              </w:rPr>
            </w:pPr>
          </w:p>
          <w:p>
            <w:pPr>
              <w:pStyle w:val="TableParagraph"/>
              <w:ind w:left="108"/>
              <w:rPr>
                <w:sz w:val="18"/>
              </w:rPr>
            </w:pPr>
            <w:r>
              <w:rPr>
                <w:sz w:val="18"/>
              </w:rPr>
              <w:t>H</w:t>
            </w:r>
          </w:p>
        </w:tc>
        <w:tc>
          <w:tcPr>
            <w:tcW w:w="2066" w:type="dxa"/>
          </w:tcPr>
          <w:p>
            <w:pPr>
              <w:pStyle w:val="TableParagraph"/>
              <w:spacing w:before="3"/>
              <w:rPr>
                <w:sz w:val="17"/>
              </w:rPr>
            </w:pPr>
          </w:p>
          <w:p>
            <w:pPr>
              <w:pStyle w:val="TableParagraph"/>
              <w:ind w:left="108"/>
              <w:rPr>
                <w:sz w:val="18"/>
              </w:rPr>
            </w:pPr>
            <w:r>
              <w:rPr>
                <w:sz w:val="18"/>
              </w:rPr>
              <w:t>Table 3a.1.1</w:t>
            </w:r>
          </w:p>
        </w:tc>
        <w:tc>
          <w:tcPr>
            <w:tcW w:w="3900" w:type="dxa"/>
          </w:tcPr>
          <w:p>
            <w:pPr>
              <w:pStyle w:val="TableParagraph"/>
              <w:spacing w:before="95"/>
              <w:ind w:left="108"/>
              <w:rPr>
                <w:sz w:val="18"/>
              </w:rPr>
            </w:pPr>
            <w:r>
              <w:rPr>
                <w:sz w:val="18"/>
              </w:rPr>
              <w:t>Country-specific for FAO data</w:t>
            </w:r>
          </w:p>
        </w:tc>
      </w:tr>
      <w:tr>
        <w:trPr>
          <w:trHeight w:val="1355" w:hRule="atLeast"/>
        </w:trPr>
        <w:tc>
          <w:tcPr>
            <w:tcW w:w="4190" w:type="dxa"/>
          </w:tcPr>
          <w:p>
            <w:pPr>
              <w:pStyle w:val="TableParagraph"/>
              <w:rPr>
                <w:sz w:val="20"/>
              </w:rPr>
            </w:pPr>
          </w:p>
          <w:p>
            <w:pPr>
              <w:pStyle w:val="TableParagraph"/>
              <w:spacing w:before="5"/>
              <w:rPr>
                <w:sz w:val="29"/>
              </w:rPr>
            </w:pPr>
          </w:p>
          <w:p>
            <w:pPr>
              <w:pStyle w:val="TableParagraph"/>
              <w:ind w:left="107"/>
              <w:rPr>
                <w:sz w:val="18"/>
              </w:rPr>
            </w:pPr>
            <w:r>
              <w:rPr>
                <w:sz w:val="18"/>
              </w:rPr>
              <w:t>HWP production, imports and exports – FAO data</w:t>
            </w:r>
          </w:p>
        </w:tc>
        <w:tc>
          <w:tcPr>
            <w:tcW w:w="3960" w:type="dxa"/>
          </w:tcPr>
          <w:p>
            <w:pPr>
              <w:pStyle w:val="TableParagraph"/>
              <w:spacing w:before="52"/>
              <w:ind w:left="108" w:right="733"/>
              <w:rPr>
                <w:sz w:val="18"/>
              </w:rPr>
            </w:pPr>
            <w:r>
              <w:rPr>
                <w:sz w:val="18"/>
              </w:rPr>
              <w:t>P</w:t>
            </w:r>
            <w:r>
              <w:rPr>
                <w:sz w:val="18"/>
                <w:vertAlign w:val="subscript"/>
              </w:rPr>
              <w:t>DP</w:t>
            </w:r>
            <w:r>
              <w:rPr>
                <w:sz w:val="18"/>
                <w:vertAlign w:val="baseline"/>
              </w:rPr>
              <w:t> ,P</w:t>
            </w:r>
            <w:r>
              <w:rPr>
                <w:sz w:val="18"/>
                <w:vertAlign w:val="subscript"/>
              </w:rPr>
              <w:t>IM</w:t>
            </w:r>
            <w:r>
              <w:rPr>
                <w:sz w:val="18"/>
                <w:vertAlign w:val="baseline"/>
              </w:rPr>
              <w:t> , P</w:t>
            </w:r>
            <w:r>
              <w:rPr>
                <w:sz w:val="18"/>
                <w:vertAlign w:val="subscript"/>
              </w:rPr>
              <w:t>EX</w:t>
            </w:r>
            <w:r>
              <w:rPr>
                <w:sz w:val="18"/>
                <w:vertAlign w:val="baseline"/>
              </w:rPr>
              <w:t> WP, IM(WP), EX (WP) OFP, IM(OFP), EX(OFP)</w:t>
            </w:r>
          </w:p>
          <w:p>
            <w:pPr>
              <w:pStyle w:val="TableParagraph"/>
              <w:spacing w:line="206" w:lineRule="exact"/>
              <w:ind w:left="108"/>
              <w:rPr>
                <w:sz w:val="18"/>
              </w:rPr>
            </w:pPr>
            <w:r>
              <w:rPr>
                <w:sz w:val="18"/>
              </w:rPr>
              <w:t>RP, IM(RP), EX(RP)</w:t>
            </w:r>
          </w:p>
          <w:p>
            <w:pPr>
              <w:pStyle w:val="TableParagraph"/>
              <w:spacing w:line="207" w:lineRule="exact"/>
              <w:ind w:left="108"/>
              <w:rPr>
                <w:sz w:val="18"/>
              </w:rPr>
            </w:pPr>
            <w:r>
              <w:rPr>
                <w:sz w:val="18"/>
              </w:rPr>
              <w:t>IM(RFP), EX(RFP)</w:t>
            </w:r>
          </w:p>
          <w:p>
            <w:pPr>
              <w:pStyle w:val="TableParagraph"/>
              <w:spacing w:before="2"/>
              <w:ind w:left="108" w:right="612"/>
              <w:rPr>
                <w:sz w:val="18"/>
              </w:rPr>
            </w:pPr>
            <w:r>
              <w:rPr>
                <w:sz w:val="18"/>
              </w:rPr>
              <w:t>Amount of products produced, imported and exported</w:t>
            </w:r>
          </w:p>
        </w:tc>
        <w:tc>
          <w:tcPr>
            <w:tcW w:w="2066" w:type="dxa"/>
          </w:tcPr>
          <w:p>
            <w:pPr>
              <w:pStyle w:val="TableParagraph"/>
              <w:rPr>
                <w:sz w:val="20"/>
              </w:rPr>
            </w:pPr>
          </w:p>
          <w:p>
            <w:pPr>
              <w:pStyle w:val="TableParagraph"/>
              <w:spacing w:before="5"/>
              <w:rPr>
                <w:sz w:val="29"/>
              </w:rPr>
            </w:pPr>
          </w:p>
          <w:p>
            <w:pPr>
              <w:pStyle w:val="TableParagraph"/>
              <w:ind w:left="108"/>
              <w:rPr>
                <w:sz w:val="18"/>
              </w:rPr>
            </w:pPr>
            <w:r>
              <w:rPr>
                <w:sz w:val="18"/>
              </w:rPr>
              <w:t>Table 3a.1.1</w:t>
            </w:r>
          </w:p>
        </w:tc>
        <w:tc>
          <w:tcPr>
            <w:tcW w:w="3900" w:type="dxa"/>
          </w:tcPr>
          <w:p>
            <w:pPr>
              <w:pStyle w:val="TableParagraph"/>
              <w:spacing w:before="155"/>
              <w:ind w:left="108" w:right="802"/>
              <w:rPr>
                <w:sz w:val="18"/>
              </w:rPr>
            </w:pPr>
            <w:r>
              <w:rPr>
                <w:sz w:val="18"/>
              </w:rPr>
              <w:t>Country-specific for FAO data Production and trade – for countries with</w:t>
            </w:r>
          </w:p>
          <w:p>
            <w:pPr>
              <w:pStyle w:val="TableParagraph"/>
              <w:ind w:left="108" w:right="288"/>
              <w:rPr>
                <w:sz w:val="18"/>
              </w:rPr>
            </w:pPr>
            <w:r>
              <w:rPr>
                <w:sz w:val="18"/>
              </w:rPr>
              <w:t>systematic census or surveys - ±15% since 1961 Production and trade – for countries without systematic census or survey ±50% since 1961</w:t>
            </w:r>
          </w:p>
        </w:tc>
      </w:tr>
      <w:tr>
        <w:trPr>
          <w:trHeight w:val="330" w:hRule="atLeast"/>
        </w:trPr>
        <w:tc>
          <w:tcPr>
            <w:tcW w:w="4190" w:type="dxa"/>
          </w:tcPr>
          <w:p>
            <w:pPr>
              <w:pStyle w:val="TableParagraph"/>
              <w:spacing w:before="52"/>
              <w:ind w:left="107"/>
              <w:rPr>
                <w:sz w:val="18"/>
              </w:rPr>
            </w:pPr>
            <w:r>
              <w:rPr>
                <w:sz w:val="18"/>
              </w:rPr>
              <w:t>Product volume to product weight</w:t>
            </w:r>
          </w:p>
        </w:tc>
        <w:tc>
          <w:tcPr>
            <w:tcW w:w="3960" w:type="dxa"/>
          </w:tcPr>
          <w:p>
            <w:pPr>
              <w:pStyle w:val="TableParagraph"/>
              <w:spacing w:before="52"/>
              <w:ind w:left="108"/>
              <w:rPr>
                <w:sz w:val="18"/>
              </w:rPr>
            </w:pPr>
            <w:r>
              <w:rPr>
                <w:sz w:val="18"/>
              </w:rPr>
              <w:t>W</w:t>
            </w:r>
          </w:p>
        </w:tc>
        <w:tc>
          <w:tcPr>
            <w:tcW w:w="2066" w:type="dxa"/>
          </w:tcPr>
          <w:p>
            <w:pPr>
              <w:pStyle w:val="TableParagraph"/>
              <w:spacing w:before="52"/>
              <w:ind w:left="108"/>
              <w:rPr>
                <w:sz w:val="18"/>
              </w:rPr>
            </w:pPr>
            <w:r>
              <w:rPr>
                <w:sz w:val="18"/>
              </w:rPr>
              <w:t>Table 3a.1.1</w:t>
            </w:r>
          </w:p>
        </w:tc>
        <w:tc>
          <w:tcPr>
            <w:tcW w:w="3900" w:type="dxa"/>
          </w:tcPr>
          <w:p>
            <w:pPr>
              <w:pStyle w:val="TableParagraph"/>
              <w:spacing w:before="52"/>
              <w:ind w:left="109"/>
              <w:rPr>
                <w:sz w:val="18"/>
              </w:rPr>
            </w:pPr>
            <w:r>
              <w:rPr>
                <w:sz w:val="18"/>
              </w:rPr>
              <w:t>±15%</w:t>
            </w:r>
          </w:p>
        </w:tc>
      </w:tr>
      <w:tr>
        <w:trPr>
          <w:trHeight w:val="330" w:hRule="atLeast"/>
        </w:trPr>
        <w:tc>
          <w:tcPr>
            <w:tcW w:w="4190" w:type="dxa"/>
          </w:tcPr>
          <w:p>
            <w:pPr>
              <w:pStyle w:val="TableParagraph"/>
              <w:spacing w:before="57"/>
              <w:ind w:left="107"/>
              <w:rPr>
                <w:sz w:val="18"/>
              </w:rPr>
            </w:pPr>
            <w:r>
              <w:rPr>
                <w:sz w:val="18"/>
              </w:rPr>
              <w:t>Oven dry product weight to carbon weight</w:t>
            </w:r>
          </w:p>
        </w:tc>
        <w:tc>
          <w:tcPr>
            <w:tcW w:w="3960" w:type="dxa"/>
          </w:tcPr>
          <w:p>
            <w:pPr>
              <w:pStyle w:val="TableParagraph"/>
              <w:spacing w:before="57"/>
              <w:ind w:left="108"/>
              <w:rPr>
                <w:sz w:val="18"/>
              </w:rPr>
            </w:pPr>
            <w:r>
              <w:rPr>
                <w:sz w:val="18"/>
              </w:rPr>
              <w:t>C</w:t>
            </w:r>
          </w:p>
        </w:tc>
        <w:tc>
          <w:tcPr>
            <w:tcW w:w="2066" w:type="dxa"/>
          </w:tcPr>
          <w:p>
            <w:pPr>
              <w:pStyle w:val="TableParagraph"/>
              <w:spacing w:before="57"/>
              <w:ind w:left="108"/>
              <w:rPr>
                <w:sz w:val="18"/>
              </w:rPr>
            </w:pPr>
            <w:r>
              <w:rPr>
                <w:sz w:val="18"/>
              </w:rPr>
              <w:t>0.5 (Table 3a.1.1)</w:t>
            </w:r>
          </w:p>
        </w:tc>
        <w:tc>
          <w:tcPr>
            <w:tcW w:w="3900" w:type="dxa"/>
          </w:tcPr>
          <w:p>
            <w:pPr>
              <w:pStyle w:val="TableParagraph"/>
              <w:spacing w:before="57"/>
              <w:ind w:left="108"/>
              <w:rPr>
                <w:sz w:val="18"/>
              </w:rPr>
            </w:pPr>
            <w:r>
              <w:rPr>
                <w:sz w:val="18"/>
              </w:rPr>
              <w:t>±10%</w:t>
            </w:r>
          </w:p>
        </w:tc>
      </w:tr>
      <w:tr>
        <w:trPr>
          <w:trHeight w:val="952" w:hRule="atLeast"/>
        </w:trPr>
        <w:tc>
          <w:tcPr>
            <w:tcW w:w="4190" w:type="dxa"/>
          </w:tcPr>
          <w:p>
            <w:pPr>
              <w:pStyle w:val="TableParagraph"/>
              <w:spacing w:before="1"/>
              <w:rPr>
                <w:sz w:val="23"/>
              </w:rPr>
            </w:pPr>
          </w:p>
          <w:p>
            <w:pPr>
              <w:pStyle w:val="TableParagraph"/>
              <w:ind w:left="107" w:right="253"/>
              <w:rPr>
                <w:sz w:val="18"/>
              </w:rPr>
            </w:pPr>
            <w:r>
              <w:rPr>
                <w:sz w:val="18"/>
              </w:rPr>
              <w:t>Growth rate of production, imports and exports prior to first year of FAO data</w:t>
            </w:r>
          </w:p>
        </w:tc>
        <w:tc>
          <w:tcPr>
            <w:tcW w:w="3960" w:type="dxa"/>
          </w:tcPr>
          <w:p>
            <w:pPr>
              <w:pStyle w:val="TableParagraph"/>
              <w:rPr>
                <w:sz w:val="20"/>
              </w:rPr>
            </w:pPr>
          </w:p>
          <w:p>
            <w:pPr>
              <w:pStyle w:val="TableParagraph"/>
              <w:spacing w:before="139"/>
              <w:ind w:left="108"/>
              <w:rPr>
                <w:sz w:val="18"/>
              </w:rPr>
            </w:pPr>
            <w:r>
              <w:rPr>
                <w:sz w:val="18"/>
              </w:rPr>
              <w:t>r (in Equation 3a.1.4)</w:t>
            </w:r>
          </w:p>
        </w:tc>
        <w:tc>
          <w:tcPr>
            <w:tcW w:w="2066" w:type="dxa"/>
          </w:tcPr>
          <w:p>
            <w:pPr>
              <w:pStyle w:val="TableParagraph"/>
              <w:spacing w:before="1"/>
              <w:rPr>
                <w:sz w:val="23"/>
              </w:rPr>
            </w:pPr>
          </w:p>
          <w:p>
            <w:pPr>
              <w:pStyle w:val="TableParagraph"/>
              <w:ind w:left="108" w:right="198"/>
              <w:rPr>
                <w:sz w:val="18"/>
              </w:rPr>
            </w:pPr>
            <w:r>
              <w:rPr>
                <w:sz w:val="18"/>
              </w:rPr>
              <w:t>Table 3a.1.2, columns 7 and 8</w:t>
            </w:r>
          </w:p>
        </w:tc>
        <w:tc>
          <w:tcPr>
            <w:tcW w:w="3900" w:type="dxa"/>
          </w:tcPr>
          <w:p>
            <w:pPr>
              <w:pStyle w:val="TableParagraph"/>
              <w:spacing w:before="57"/>
              <w:ind w:left="108" w:right="134"/>
              <w:rPr>
                <w:sz w:val="18"/>
              </w:rPr>
            </w:pPr>
            <w:r>
              <w:rPr>
                <w:sz w:val="18"/>
              </w:rPr>
              <w:t>Rate of increase in production prior to 1961 ±15% for a region, larger for country within a region.</w:t>
            </w:r>
          </w:p>
          <w:p>
            <w:pPr>
              <w:pStyle w:val="TableParagraph"/>
              <w:ind w:left="108"/>
              <w:rPr>
                <w:sz w:val="18"/>
              </w:rPr>
            </w:pPr>
            <w:r>
              <w:rPr>
                <w:sz w:val="18"/>
              </w:rPr>
              <w:t>Rate of increase in trade prior to 1961 ±50% for a region, larger for country within a region.</w:t>
            </w:r>
          </w:p>
        </w:tc>
      </w:tr>
      <w:tr>
        <w:trPr>
          <w:trHeight w:val="954" w:hRule="atLeast"/>
        </w:trPr>
        <w:tc>
          <w:tcPr>
            <w:tcW w:w="4190" w:type="dxa"/>
          </w:tcPr>
          <w:p>
            <w:pPr>
              <w:pStyle w:val="TableParagraph"/>
              <w:spacing w:before="1"/>
              <w:rPr>
                <w:sz w:val="23"/>
              </w:rPr>
            </w:pPr>
          </w:p>
          <w:p>
            <w:pPr>
              <w:pStyle w:val="TableParagraph"/>
              <w:ind w:left="107" w:right="338"/>
              <w:rPr>
                <w:sz w:val="18"/>
              </w:rPr>
            </w:pPr>
            <w:r>
              <w:rPr>
                <w:sz w:val="18"/>
              </w:rPr>
              <w:t>Fraction of solid wood products discarded from use each year</w:t>
            </w:r>
          </w:p>
        </w:tc>
        <w:tc>
          <w:tcPr>
            <w:tcW w:w="3960" w:type="dxa"/>
          </w:tcPr>
          <w:p>
            <w:pPr>
              <w:pStyle w:val="TableParagraph"/>
              <w:spacing w:before="1"/>
              <w:rPr>
                <w:sz w:val="23"/>
              </w:rPr>
            </w:pPr>
          </w:p>
          <w:p>
            <w:pPr>
              <w:pStyle w:val="TableParagraph"/>
              <w:ind w:left="108" w:right="2528"/>
              <w:rPr>
                <w:sz w:val="18"/>
              </w:rPr>
            </w:pPr>
            <w:r>
              <w:rPr>
                <w:sz w:val="18"/>
              </w:rPr>
              <w:t>f</w:t>
            </w:r>
            <w:r>
              <w:rPr>
                <w:sz w:val="18"/>
                <w:vertAlign w:val="subscript"/>
              </w:rPr>
              <w:t>D</w:t>
            </w:r>
            <w:r>
              <w:rPr>
                <w:sz w:val="18"/>
                <w:vertAlign w:val="baseline"/>
              </w:rPr>
              <w:t> (solidwood) fH</w:t>
            </w:r>
            <w:r>
              <w:rPr>
                <w:sz w:val="18"/>
                <w:vertAlign w:val="subscript"/>
              </w:rPr>
              <w:t>D</w:t>
            </w:r>
            <w:r>
              <w:rPr>
                <w:sz w:val="18"/>
                <w:vertAlign w:val="baseline"/>
              </w:rPr>
              <w:t> (solidwood)</w:t>
            </w:r>
          </w:p>
        </w:tc>
        <w:tc>
          <w:tcPr>
            <w:tcW w:w="2066" w:type="dxa"/>
          </w:tcPr>
          <w:p>
            <w:pPr>
              <w:pStyle w:val="TableParagraph"/>
              <w:rPr>
                <w:sz w:val="20"/>
              </w:rPr>
            </w:pPr>
          </w:p>
          <w:p>
            <w:pPr>
              <w:pStyle w:val="TableParagraph"/>
              <w:spacing w:before="139"/>
              <w:ind w:left="108"/>
              <w:rPr>
                <w:sz w:val="18"/>
              </w:rPr>
            </w:pPr>
            <w:r>
              <w:rPr>
                <w:sz w:val="18"/>
              </w:rPr>
              <w:t>Table 3a.1.3</w:t>
            </w:r>
          </w:p>
        </w:tc>
        <w:tc>
          <w:tcPr>
            <w:tcW w:w="3900" w:type="dxa"/>
          </w:tcPr>
          <w:p>
            <w:pPr>
              <w:pStyle w:val="TableParagraph"/>
              <w:spacing w:before="57"/>
              <w:ind w:left="108"/>
              <w:rPr>
                <w:sz w:val="18"/>
              </w:rPr>
            </w:pPr>
            <w:r>
              <w:rPr>
                <w:sz w:val="18"/>
              </w:rPr>
              <w:t>Half life in years =( 0.693 / f</w:t>
            </w:r>
            <w:r>
              <w:rPr>
                <w:sz w:val="18"/>
                <w:vertAlign w:val="subscript"/>
              </w:rPr>
              <w:t>D</w:t>
            </w:r>
            <w:r>
              <w:rPr>
                <w:sz w:val="18"/>
                <w:vertAlign w:val="baseline"/>
              </w:rPr>
              <w:t> (solidwood)) Uncertainty in half life = ±50%</w:t>
            </w:r>
          </w:p>
          <w:p>
            <w:pPr>
              <w:pStyle w:val="TableParagraph"/>
              <w:spacing w:before="1"/>
              <w:ind w:left="108" w:right="288"/>
              <w:rPr>
                <w:sz w:val="18"/>
              </w:rPr>
            </w:pPr>
            <w:r>
              <w:rPr>
                <w:sz w:val="18"/>
              </w:rPr>
              <w:t>Uncertainty is greater for fH</w:t>
            </w:r>
            <w:r>
              <w:rPr>
                <w:sz w:val="18"/>
                <w:vertAlign w:val="subscript"/>
              </w:rPr>
              <w:t>D</w:t>
            </w:r>
            <w:r>
              <w:rPr>
                <w:sz w:val="18"/>
                <w:vertAlign w:val="baseline"/>
              </w:rPr>
              <w:t> depending on the size and destination of exports</w:t>
            </w:r>
          </w:p>
        </w:tc>
      </w:tr>
      <w:tr>
        <w:trPr>
          <w:trHeight w:val="954" w:hRule="atLeast"/>
        </w:trPr>
        <w:tc>
          <w:tcPr>
            <w:tcW w:w="4190" w:type="dxa"/>
          </w:tcPr>
          <w:p>
            <w:pPr>
              <w:pStyle w:val="TableParagraph"/>
              <w:spacing w:before="1"/>
              <w:rPr>
                <w:sz w:val="23"/>
              </w:rPr>
            </w:pPr>
          </w:p>
          <w:p>
            <w:pPr>
              <w:pStyle w:val="TableParagraph"/>
              <w:ind w:left="107" w:right="359"/>
              <w:rPr>
                <w:sz w:val="18"/>
              </w:rPr>
            </w:pPr>
            <w:r>
              <w:rPr>
                <w:sz w:val="18"/>
              </w:rPr>
              <w:t>Fraction of paper products discarded from use each year</w:t>
            </w:r>
          </w:p>
        </w:tc>
        <w:tc>
          <w:tcPr>
            <w:tcW w:w="3960" w:type="dxa"/>
          </w:tcPr>
          <w:p>
            <w:pPr>
              <w:pStyle w:val="TableParagraph"/>
              <w:spacing w:before="1"/>
              <w:rPr>
                <w:sz w:val="23"/>
              </w:rPr>
            </w:pPr>
          </w:p>
          <w:p>
            <w:pPr>
              <w:pStyle w:val="TableParagraph"/>
              <w:ind w:left="108" w:right="2878"/>
              <w:rPr>
                <w:sz w:val="18"/>
              </w:rPr>
            </w:pPr>
            <w:r>
              <w:rPr>
                <w:sz w:val="18"/>
              </w:rPr>
              <w:t>f</w:t>
            </w:r>
            <w:r>
              <w:rPr>
                <w:sz w:val="18"/>
                <w:vertAlign w:val="subscript"/>
              </w:rPr>
              <w:t>D</w:t>
            </w:r>
            <w:r>
              <w:rPr>
                <w:sz w:val="18"/>
                <w:vertAlign w:val="baseline"/>
              </w:rPr>
              <w:t> (paper) fH</w:t>
            </w:r>
            <w:r>
              <w:rPr>
                <w:sz w:val="18"/>
                <w:vertAlign w:val="subscript"/>
              </w:rPr>
              <w:t>D</w:t>
            </w:r>
            <w:r>
              <w:rPr>
                <w:sz w:val="18"/>
                <w:vertAlign w:val="baseline"/>
              </w:rPr>
              <w:t> (paper)</w:t>
            </w:r>
          </w:p>
        </w:tc>
        <w:tc>
          <w:tcPr>
            <w:tcW w:w="2066" w:type="dxa"/>
          </w:tcPr>
          <w:p>
            <w:pPr>
              <w:pStyle w:val="TableParagraph"/>
              <w:rPr>
                <w:sz w:val="20"/>
              </w:rPr>
            </w:pPr>
          </w:p>
          <w:p>
            <w:pPr>
              <w:pStyle w:val="TableParagraph"/>
              <w:spacing w:before="139"/>
              <w:ind w:left="108"/>
              <w:rPr>
                <w:sz w:val="18"/>
              </w:rPr>
            </w:pPr>
            <w:r>
              <w:rPr>
                <w:sz w:val="18"/>
              </w:rPr>
              <w:t>Table 3a.1.3</w:t>
            </w:r>
          </w:p>
        </w:tc>
        <w:tc>
          <w:tcPr>
            <w:tcW w:w="3900" w:type="dxa"/>
          </w:tcPr>
          <w:p>
            <w:pPr>
              <w:pStyle w:val="TableParagraph"/>
              <w:spacing w:before="57"/>
              <w:ind w:left="108" w:right="802"/>
              <w:rPr>
                <w:sz w:val="18"/>
              </w:rPr>
            </w:pPr>
            <w:r>
              <w:rPr>
                <w:sz w:val="18"/>
              </w:rPr>
              <w:t>Half life in years =( 0.693 / f</w:t>
            </w:r>
            <w:r>
              <w:rPr>
                <w:sz w:val="18"/>
                <w:vertAlign w:val="subscript"/>
              </w:rPr>
              <w:t>D</w:t>
            </w:r>
            <w:r>
              <w:rPr>
                <w:sz w:val="18"/>
                <w:vertAlign w:val="baseline"/>
              </w:rPr>
              <w:t> (paper)) Uncertainty in half life = ±50%</w:t>
            </w:r>
          </w:p>
          <w:p>
            <w:pPr>
              <w:pStyle w:val="TableParagraph"/>
              <w:spacing w:before="1"/>
              <w:ind w:left="108" w:right="288"/>
              <w:rPr>
                <w:sz w:val="18"/>
              </w:rPr>
            </w:pPr>
            <w:r>
              <w:rPr>
                <w:sz w:val="18"/>
              </w:rPr>
              <w:t>Uncertainty is greater for fH</w:t>
            </w:r>
            <w:r>
              <w:rPr>
                <w:sz w:val="18"/>
                <w:vertAlign w:val="subscript"/>
              </w:rPr>
              <w:t>D</w:t>
            </w:r>
            <w:r>
              <w:rPr>
                <w:sz w:val="18"/>
                <w:vertAlign w:val="baseline"/>
              </w:rPr>
              <w:t> depending on the size and destination of exports</w:t>
            </w:r>
          </w:p>
        </w:tc>
      </w:tr>
    </w:tbl>
    <w:p>
      <w:pPr>
        <w:spacing w:after="0"/>
        <w:rPr>
          <w:sz w:val="18"/>
        </w:rPr>
        <w:sectPr>
          <w:headerReference w:type="default" r:id="rId257"/>
          <w:footerReference w:type="default" r:id="rId258"/>
          <w:footerReference w:type="even" r:id="rId259"/>
          <w:pgSz w:w="16840" w:h="11900" w:orient="landscape"/>
          <w:pgMar w:header="0" w:footer="345" w:top="200" w:bottom="540" w:left="1280" w:right="1040"/>
        </w:sectPr>
      </w:pPr>
    </w:p>
    <w:p>
      <w:pPr>
        <w:pStyle w:val="BodyText"/>
      </w:pPr>
    </w:p>
    <w:p>
      <w:pPr>
        <w:pStyle w:val="BodyText"/>
      </w:pPr>
    </w:p>
    <w:p>
      <w:pPr>
        <w:pStyle w:val="BodyText"/>
        <w:spacing w:before="6"/>
        <w:rPr>
          <w:sz w:val="22"/>
        </w:rPr>
      </w:pPr>
    </w:p>
    <w:p>
      <w:pPr>
        <w:pStyle w:val="Heading2"/>
        <w:tabs>
          <w:tab w:pos="1361" w:val="left" w:leader="none"/>
        </w:tabs>
        <w:spacing w:before="86"/>
        <w:ind w:left="159" w:firstLine="0"/>
      </w:pPr>
      <w:r>
        <w:rPr>
          <w:spacing w:val="8"/>
        </w:rPr>
        <w:t>3a.1.4</w:t>
        <w:tab/>
        <w:t>Reporting </w:t>
      </w:r>
      <w:r>
        <w:rPr>
          <w:spacing w:val="6"/>
        </w:rPr>
        <w:t>and</w:t>
      </w:r>
      <w:r>
        <w:rPr>
          <w:spacing w:val="31"/>
        </w:rPr>
        <w:t> </w:t>
      </w:r>
      <w:r>
        <w:rPr>
          <w:spacing w:val="9"/>
        </w:rPr>
        <w:t>Documentation</w:t>
      </w:r>
    </w:p>
    <w:p>
      <w:pPr>
        <w:pStyle w:val="BodyText"/>
        <w:spacing w:before="116"/>
        <w:ind w:left="159" w:right="159"/>
        <w:jc w:val="both"/>
      </w:pPr>
      <w:r>
        <w:rPr/>
        <w:t>It is suggested to document and archive all information used to produce national estimates of stock change. This includes wood and paper production and trade data, parameters used. Changes in parameters to make estimates of stock change from one year to the next should be documented. The national inventory report should contain summaries of methods used and references to source data so that the steps used in making the estimates could be retraced.</w:t>
      </w:r>
    </w:p>
    <w:p>
      <w:pPr>
        <w:pStyle w:val="BodyText"/>
        <w:rPr>
          <w:sz w:val="22"/>
        </w:rPr>
      </w:pPr>
    </w:p>
    <w:p>
      <w:pPr>
        <w:pStyle w:val="BodyText"/>
        <w:spacing w:before="11"/>
        <w:rPr>
          <w:sz w:val="19"/>
        </w:rPr>
      </w:pPr>
    </w:p>
    <w:p>
      <w:pPr>
        <w:pStyle w:val="Heading2"/>
        <w:tabs>
          <w:tab w:pos="1361" w:val="left" w:leader="none"/>
        </w:tabs>
        <w:ind w:left="159" w:firstLine="0"/>
      </w:pPr>
      <w:r>
        <w:rPr>
          <w:spacing w:val="8"/>
        </w:rPr>
        <w:t>3a.1.5</w:t>
        <w:tab/>
        <w:t>Inventory </w:t>
      </w:r>
      <w:r>
        <w:rPr>
          <w:spacing w:val="7"/>
        </w:rPr>
        <w:t>Quality </w:t>
      </w:r>
      <w:r>
        <w:rPr>
          <w:spacing w:val="9"/>
        </w:rPr>
        <w:t>Assurance/Quality</w:t>
      </w:r>
      <w:r>
        <w:rPr>
          <w:spacing w:val="46"/>
        </w:rPr>
        <w:t> </w:t>
      </w:r>
      <w:r>
        <w:rPr>
          <w:spacing w:val="10"/>
        </w:rPr>
        <w:t>Control</w:t>
      </w:r>
    </w:p>
    <w:p>
      <w:pPr>
        <w:pStyle w:val="BodyText"/>
        <w:spacing w:before="116"/>
        <w:ind w:left="159" w:right="105"/>
        <w:jc w:val="both"/>
        <w:rPr>
          <w:i/>
        </w:rPr>
      </w:pPr>
      <w:r>
        <w:rPr/>
        <w:t>Regardless of whether or not HWP are a key category it is suggested to conduct quality control checks as  outlined in Section 5.5 (Quality Assurance and Quality Control), for data and parameters used for the method selected. If HWP is a key category it is suggested to use additional Tier 2 quality control checks from Section 5.5, (Quality Assurance and Quality Control), particularly development and expert review of data and parameters,  and develop, as necessary, national level estimates of data and parameters using national data sources and using expert judgement as outlined in Section 6.2.5, Expert Judgement </w:t>
      </w:r>
      <w:r>
        <w:rPr>
          <w:i/>
        </w:rPr>
        <w:t>(GPG2000</w:t>
      </w:r>
      <w:r>
        <w:rPr>
          <w:i/>
          <w:spacing w:val="-9"/>
        </w:rPr>
        <w:t> </w:t>
      </w:r>
      <w:r>
        <w:rPr>
          <w:i/>
        </w:rPr>
        <w:t>).</w:t>
      </w:r>
    </w:p>
    <w:p>
      <w:pPr>
        <w:pStyle w:val="BodyText"/>
        <w:spacing w:before="118"/>
        <w:ind w:left="159" w:right="157"/>
        <w:jc w:val="both"/>
      </w:pPr>
      <w:r>
        <w:rPr/>
        <w:t>One suggestion to aid in quality control (to verify stock or stock change estimates) if Tier 2 is used, is to make separate estimates of total carbon storage or annual change in specific product groups, e.g., lumber or panels in buildings. The lumber and panels in buildings would be a portion of all lumber stored. The Tier 2 method could be used to estimate the total amount of lumber and panels in buildings, or the change in lumber and panels stored in a recent year. One would need to have an estimate of the portion of wood and panels going to buildings over time. These estimates could be compared to separate estimates of wood in buildings, or change in wood in buildings as follows. The current total of wood and panels in buildings could be calculated as square metres of floor area in buildings times the lumber content per square metre. The change in lumber in buildings could be calculated as square metres of buildings built in a given year times the lumber content per square metre.</w:t>
      </w:r>
    </w:p>
    <w:p>
      <w:pPr>
        <w:pStyle w:val="BodyText"/>
        <w:spacing w:before="119"/>
        <w:ind w:left="159" w:right="246"/>
      </w:pPr>
      <w:r>
        <w:rPr/>
        <w:t>Another suggestion, if Tier 2 is used, to aid in checking half life of buildings is to use historical information on the number and age of buildings over time. Data would be needed on the number of buildings of a given age (or age range) at a certain time in the past and the number of those buildings that are standing at more recent points in time. These figures could be used to estimate the fraction loss of buildings per year. The percentage loss per year could be used to estimate a half life. See Table 3a.1.3 for the relation between half life and fraction loss per year under the assumption that a constant fraction is lost each year).</w:t>
      </w:r>
    </w:p>
    <w:p>
      <w:pPr>
        <w:spacing w:after="0"/>
        <w:sectPr>
          <w:headerReference w:type="even" r:id="rId260"/>
          <w:headerReference w:type="default" r:id="rId261"/>
          <w:pgSz w:w="11900" w:h="16840"/>
          <w:pgMar w:header="235" w:footer="408" w:top="560" w:bottom="600" w:left="1260" w:right="1240"/>
        </w:sectPr>
      </w:pPr>
    </w:p>
    <w:p>
      <w:pPr>
        <w:pStyle w:val="BodyText"/>
      </w:pPr>
    </w:p>
    <w:p>
      <w:pPr>
        <w:pStyle w:val="BodyText"/>
      </w:pPr>
    </w:p>
    <w:p>
      <w:pPr>
        <w:pStyle w:val="BodyText"/>
        <w:spacing w:before="3"/>
        <w:rPr>
          <w:sz w:val="17"/>
        </w:rPr>
      </w:pPr>
    </w:p>
    <w:p>
      <w:pPr>
        <w:pStyle w:val="Heading2"/>
        <w:spacing w:before="86"/>
        <w:ind w:left="159" w:firstLine="0"/>
        <w:jc w:val="both"/>
      </w:pPr>
      <w:r>
        <w:rPr/>
        <w:t>Appendix 3a.2 Non-CO</w:t>
      </w:r>
      <w:r>
        <w:rPr>
          <w:vertAlign w:val="subscript"/>
        </w:rPr>
        <w:t>2</w:t>
      </w:r>
      <w:r>
        <w:rPr>
          <w:vertAlign w:val="baseline"/>
        </w:rPr>
        <w:t> Emissions from Drainage and</w:t>
      </w:r>
    </w:p>
    <w:p>
      <w:pPr>
        <w:spacing w:before="2"/>
        <w:ind w:left="2511" w:right="1056" w:firstLine="0"/>
        <w:jc w:val="left"/>
        <w:rPr>
          <w:b/>
          <w:sz w:val="32"/>
        </w:rPr>
      </w:pPr>
      <w:r>
        <w:rPr>
          <w:b/>
          <w:sz w:val="32"/>
        </w:rPr>
        <w:t>Rewetting of Forest Soils: Basis for Future Methodological Development</w:t>
      </w:r>
    </w:p>
    <w:p>
      <w:pPr>
        <w:pStyle w:val="BodyText"/>
        <w:spacing w:before="9"/>
        <w:rPr>
          <w:b/>
          <w:sz w:val="46"/>
        </w:rPr>
      </w:pPr>
    </w:p>
    <w:p>
      <w:pPr>
        <w:spacing w:before="0"/>
        <w:ind w:left="159" w:right="0" w:firstLine="0"/>
        <w:jc w:val="both"/>
        <w:rPr>
          <w:b/>
          <w:sz w:val="32"/>
        </w:rPr>
      </w:pPr>
      <w:r>
        <w:rPr>
          <w:b/>
          <w:spacing w:val="8"/>
          <w:sz w:val="32"/>
        </w:rPr>
        <w:t>3a.2.1</w:t>
      </w:r>
      <w:r>
        <w:rPr>
          <w:b/>
          <w:spacing w:val="84"/>
          <w:sz w:val="32"/>
        </w:rPr>
        <w:t> </w:t>
      </w:r>
      <w:r>
        <w:rPr>
          <w:b/>
          <w:spacing w:val="8"/>
          <w:sz w:val="32"/>
        </w:rPr>
        <w:t>Introduction</w:t>
      </w:r>
    </w:p>
    <w:p>
      <w:pPr>
        <w:pStyle w:val="BodyText"/>
        <w:spacing w:before="114"/>
        <w:ind w:left="159" w:right="167"/>
        <w:jc w:val="both"/>
      </w:pPr>
      <w:r>
        <w:rPr/>
        <w:t>The drainage and rewetting of organic soils and wet mineral soils with high contents of soil organic carbon affect emissions and removals of greenhouse gases. CO</w:t>
      </w:r>
      <w:r>
        <w:rPr>
          <w:vertAlign w:val="subscript"/>
        </w:rPr>
        <w:t>2</w:t>
      </w:r>
      <w:r>
        <w:rPr>
          <w:vertAlign w:val="baseline"/>
        </w:rPr>
        <w:t> is significantly affected, and methods for estimating changes in emissions/removals of CO</w:t>
      </w:r>
      <w:r>
        <w:rPr>
          <w:vertAlign w:val="subscript"/>
        </w:rPr>
        <w:t>2</w:t>
      </w:r>
      <w:r>
        <w:rPr>
          <w:vertAlign w:val="baseline"/>
        </w:rPr>
        <w:t> from these lands are discussed in the sections dealing with organic soils in Sections 3.2 to 3.5.</w:t>
      </w:r>
    </w:p>
    <w:p>
      <w:pPr>
        <w:pStyle w:val="BodyText"/>
        <w:spacing w:before="119"/>
        <w:ind w:left="159" w:right="164"/>
        <w:jc w:val="both"/>
      </w:pPr>
      <w:r>
        <w:rPr/>
        <w:t>In addition, intensively drained soils have large N</w:t>
      </w:r>
      <w:r>
        <w:rPr>
          <w:vertAlign w:val="subscript"/>
        </w:rPr>
        <w:t>2</w:t>
      </w:r>
      <w:r>
        <w:rPr>
          <w:vertAlign w:val="baseline"/>
        </w:rPr>
        <w:t>O emissions because drainage increases the aerated layer and enhances the mineralisation of soil organic matter. In contrast, unmanaged organic soils are very small natural sources or sinks of N</w:t>
      </w:r>
      <w:r>
        <w:rPr>
          <w:vertAlign w:val="subscript"/>
        </w:rPr>
        <w:t>2</w:t>
      </w:r>
      <w:r>
        <w:rPr>
          <w:vertAlign w:val="baseline"/>
        </w:rPr>
        <w:t>O (Regina et al., 1996). The effect of drainage on N</w:t>
      </w:r>
      <w:r>
        <w:rPr>
          <w:vertAlign w:val="subscript"/>
        </w:rPr>
        <w:t>2</w:t>
      </w:r>
      <w:r>
        <w:rPr>
          <w:vertAlign w:val="baseline"/>
        </w:rPr>
        <w:t>O emissions depends upon soil characteristics; higher emissions are associated with minerotrophic (nutrient rich) and lower emissions with ombrotrophic (nutrient poor) peat types (Regina et al., 1996). Data on N</w:t>
      </w:r>
      <w:r>
        <w:rPr>
          <w:vertAlign w:val="subscript"/>
        </w:rPr>
        <w:t>2</w:t>
      </w:r>
      <w:r>
        <w:rPr>
          <w:vertAlign w:val="baseline"/>
        </w:rPr>
        <w:t>O emissions from drained organic soils and wet mineral soils are relatively sparse and variable, so the uncertainty in the methods presented here is high.</w:t>
      </w:r>
    </w:p>
    <w:p>
      <w:pPr>
        <w:pStyle w:val="BodyText"/>
        <w:spacing w:before="120"/>
        <w:ind w:left="159" w:right="166"/>
        <w:jc w:val="both"/>
      </w:pPr>
      <w:r>
        <w:rPr/>
        <w:t>In the following, the methodologies for N</w:t>
      </w:r>
      <w:r>
        <w:rPr>
          <w:vertAlign w:val="subscript"/>
        </w:rPr>
        <w:t>2</w:t>
      </w:r>
      <w:r>
        <w:rPr>
          <w:vertAlign w:val="baseline"/>
        </w:rPr>
        <w:t>O emissions focus on forest land not addressed in the </w:t>
      </w:r>
      <w:r>
        <w:rPr>
          <w:i/>
          <w:vertAlign w:val="baseline"/>
        </w:rPr>
        <w:t>IPCC Guidelines</w:t>
      </w:r>
      <w:r>
        <w:rPr>
          <w:vertAlign w:val="baseline"/>
        </w:rPr>
        <w:t>. N</w:t>
      </w:r>
      <w:r>
        <w:rPr>
          <w:vertAlign w:val="subscript"/>
        </w:rPr>
        <w:t>2</w:t>
      </w:r>
      <w:r>
        <w:rPr>
          <w:vertAlign w:val="baseline"/>
        </w:rPr>
        <w:t>O emission from drained cropland and grassland soils are covered in the Agriculture Chapter of the </w:t>
      </w:r>
      <w:r>
        <w:rPr>
          <w:i/>
          <w:vertAlign w:val="baseline"/>
        </w:rPr>
        <w:t>IPCC Guidelines </w:t>
      </w:r>
      <w:r>
        <w:rPr>
          <w:vertAlign w:val="baseline"/>
        </w:rPr>
        <w:t>and </w:t>
      </w:r>
      <w:r>
        <w:rPr>
          <w:i/>
          <w:vertAlign w:val="baseline"/>
        </w:rPr>
        <w:t>GPG2000</w:t>
      </w:r>
      <w:r>
        <w:rPr>
          <w:vertAlign w:val="baseline"/>
        </w:rPr>
        <w:t>. Given data availability and the current state of understanding, the same method can be used for forest land remaining forest land and lands converted to forest</w:t>
      </w:r>
      <w:r>
        <w:rPr>
          <w:spacing w:val="-7"/>
          <w:vertAlign w:val="baseline"/>
        </w:rPr>
        <w:t> </w:t>
      </w:r>
      <w:r>
        <w:rPr>
          <w:vertAlign w:val="baseline"/>
        </w:rPr>
        <w:t>land.</w:t>
      </w:r>
    </w:p>
    <w:p>
      <w:pPr>
        <w:pStyle w:val="BodyText"/>
        <w:spacing w:before="120"/>
        <w:ind w:left="159"/>
        <w:jc w:val="both"/>
      </w:pPr>
      <w:r>
        <w:rPr/>
        <w:t>Rewetting organic soils will reduce the N</w:t>
      </w:r>
      <w:r>
        <w:rPr>
          <w:vertAlign w:val="subscript"/>
        </w:rPr>
        <w:t>2</w:t>
      </w:r>
      <w:r>
        <w:rPr>
          <w:vertAlign w:val="baseline"/>
        </w:rPr>
        <w:t>O emissions down to the original level around zero.</w:t>
      </w:r>
    </w:p>
    <w:p>
      <w:pPr>
        <w:pStyle w:val="BodyText"/>
        <w:spacing w:before="118"/>
        <w:ind w:left="159" w:right="166"/>
        <w:jc w:val="both"/>
      </w:pPr>
      <w:r>
        <w:rPr/>
        <w:t>The CH</w:t>
      </w:r>
      <w:r>
        <w:rPr>
          <w:vertAlign w:val="subscript"/>
        </w:rPr>
        <w:t>4</w:t>
      </w:r>
      <w:r>
        <w:rPr>
          <w:vertAlign w:val="baseline"/>
        </w:rPr>
        <w:t> emitted from undrained organic soils is a natural process and the emissions are highly variable. Drainage of organic soils reduces these emissions and may even turn the area into a small CH</w:t>
      </w:r>
      <w:r>
        <w:rPr>
          <w:vertAlign w:val="subscript"/>
        </w:rPr>
        <w:t>4</w:t>
      </w:r>
      <w:r>
        <w:rPr>
          <w:vertAlign w:val="baseline"/>
        </w:rPr>
        <w:t> sink (see </w:t>
      </w:r>
      <w:r>
        <w:rPr>
          <w:i/>
          <w:vertAlign w:val="baseline"/>
        </w:rPr>
        <w:t>IPCC Guidelines</w:t>
      </w:r>
      <w:r>
        <w:rPr>
          <w:vertAlign w:val="baseline"/>
        </w:rPr>
        <w:t>, Reference Manual, Section 5.4.3, Wetland drainage). Methods for estimating the effect of drainage or rewetting of forests and wetlands on CH</w:t>
      </w:r>
      <w:r>
        <w:rPr>
          <w:vertAlign w:val="subscript"/>
        </w:rPr>
        <w:t>4</w:t>
      </w:r>
      <w:r>
        <w:rPr>
          <w:vertAlign w:val="baseline"/>
        </w:rPr>
        <w:t> emissions are not provided in the </w:t>
      </w:r>
      <w:r>
        <w:rPr>
          <w:i/>
          <w:vertAlign w:val="baseline"/>
        </w:rPr>
        <w:t>IPCC Guidelines </w:t>
      </w:r>
      <w:r>
        <w:rPr>
          <w:vertAlign w:val="baseline"/>
        </w:rPr>
        <w:t>nor in this report due to paucity of data although the magnitude of the effect, in terms of CO</w:t>
      </w:r>
      <w:r>
        <w:rPr>
          <w:vertAlign w:val="subscript"/>
        </w:rPr>
        <w:t>2</w:t>
      </w:r>
      <w:r>
        <w:rPr>
          <w:vertAlign w:val="baseline"/>
        </w:rPr>
        <w:t>-equivalent, may be large in cases in which high CH</w:t>
      </w:r>
      <w:r>
        <w:rPr>
          <w:vertAlign w:val="subscript"/>
        </w:rPr>
        <w:t>4</w:t>
      </w:r>
      <w:r>
        <w:rPr>
          <w:vertAlign w:val="baseline"/>
        </w:rPr>
        <w:t> emitting areas are intensively drained. However, the effect of drainage on CH</w:t>
      </w:r>
      <w:r>
        <w:rPr>
          <w:vertAlign w:val="subscript"/>
        </w:rPr>
        <w:t>4</w:t>
      </w:r>
      <w:r>
        <w:rPr>
          <w:vertAlign w:val="baseline"/>
        </w:rPr>
        <w:t> may be small in cases a) with low natural CH</w:t>
      </w:r>
      <w:r>
        <w:rPr>
          <w:vertAlign w:val="subscript"/>
        </w:rPr>
        <w:t>4</w:t>
      </w:r>
      <w:r>
        <w:rPr>
          <w:vertAlign w:val="baseline"/>
        </w:rPr>
        <w:t> emissions, b) in which still a shallow water table is maintained, or c) in which the CH</w:t>
      </w:r>
      <w:r>
        <w:rPr>
          <w:vertAlign w:val="subscript"/>
        </w:rPr>
        <w:t>4</w:t>
      </w:r>
      <w:r>
        <w:rPr>
          <w:vertAlign w:val="baseline"/>
        </w:rPr>
        <w:t> sink in drained areas is compensated by CH</w:t>
      </w:r>
      <w:r>
        <w:rPr>
          <w:vertAlign w:val="subscript"/>
        </w:rPr>
        <w:t>4</w:t>
      </w:r>
      <w:r>
        <w:rPr>
          <w:vertAlign w:val="baseline"/>
        </w:rPr>
        <w:t> emissions from drainage ditches. A default value of zero emissions of CH</w:t>
      </w:r>
      <w:r>
        <w:rPr>
          <w:vertAlign w:val="subscript"/>
        </w:rPr>
        <w:t>4</w:t>
      </w:r>
      <w:r>
        <w:rPr>
          <w:vertAlign w:val="baseline"/>
        </w:rPr>
        <w:t> after drainage is used in this appendix (Laine et al., 1996; Roulet and Moore,</w:t>
      </w:r>
      <w:r>
        <w:rPr>
          <w:spacing w:val="-26"/>
          <w:vertAlign w:val="baseline"/>
        </w:rPr>
        <w:t> </w:t>
      </w:r>
      <w:r>
        <w:rPr>
          <w:vertAlign w:val="baseline"/>
        </w:rPr>
        <w:t>1995).</w:t>
      </w:r>
    </w:p>
    <w:p>
      <w:pPr>
        <w:pStyle w:val="BodyText"/>
        <w:spacing w:before="119"/>
        <w:ind w:left="159" w:right="165"/>
        <w:jc w:val="both"/>
      </w:pPr>
      <w:r>
        <w:rPr/>
        <w:t>CH</w:t>
      </w:r>
      <w:r>
        <w:rPr>
          <w:vertAlign w:val="subscript"/>
        </w:rPr>
        <w:t>4</w:t>
      </w:r>
      <w:r>
        <w:rPr>
          <w:vertAlign w:val="baseline"/>
        </w:rPr>
        <w:t> emissions can increase in rewetted organic soils. “Rewetting” means the return of the water table to pre- drainage levels. If a country is rewetting organic soils, these soils are considered as managed. In this case, it is these drainage/rewetting effects that can be reported based on country-specific data. According to literature, the CH</w:t>
      </w:r>
      <w:r>
        <w:rPr>
          <w:vertAlign w:val="subscript"/>
        </w:rPr>
        <w:t>4</w:t>
      </w:r>
      <w:r>
        <w:rPr>
          <w:vertAlign w:val="baseline"/>
        </w:rPr>
        <w:t> source by rewetting organic soil covered by forest is estimated in a first approximation in a range of 0 to 60 kg CH</w:t>
      </w:r>
      <w:r>
        <w:rPr>
          <w:vertAlign w:val="subscript"/>
        </w:rPr>
        <w:t>4</w:t>
      </w:r>
      <w:r>
        <w:rPr>
          <w:vertAlign w:val="baseline"/>
        </w:rPr>
        <w:t> ha</w:t>
      </w:r>
      <w:r>
        <w:rPr>
          <w:vertAlign w:val="superscript"/>
        </w:rPr>
        <w:t>-1</w:t>
      </w:r>
      <w:r>
        <w:rPr>
          <w:vertAlign w:val="baseline"/>
        </w:rPr>
        <w:t> yr</w:t>
      </w:r>
      <w:r>
        <w:rPr>
          <w:vertAlign w:val="superscript"/>
        </w:rPr>
        <w:t>-1</w:t>
      </w:r>
      <w:r>
        <w:rPr>
          <w:vertAlign w:val="baseline"/>
        </w:rPr>
        <w:t> in temperate and boreal climate, and 280 to 1260 kg CH</w:t>
      </w:r>
      <w:r>
        <w:rPr>
          <w:vertAlign w:val="subscript"/>
        </w:rPr>
        <w:t>4</w:t>
      </w:r>
      <w:r>
        <w:rPr>
          <w:vertAlign w:val="baseline"/>
        </w:rPr>
        <w:t> ha</w:t>
      </w:r>
      <w:r>
        <w:rPr>
          <w:vertAlign w:val="superscript"/>
        </w:rPr>
        <w:t>-1</w:t>
      </w:r>
      <w:r>
        <w:rPr>
          <w:vertAlign w:val="baseline"/>
        </w:rPr>
        <w:t> yr</w:t>
      </w:r>
      <w:r>
        <w:rPr>
          <w:vertAlign w:val="superscript"/>
        </w:rPr>
        <w:t>-1</w:t>
      </w:r>
      <w:r>
        <w:rPr>
          <w:vertAlign w:val="baseline"/>
        </w:rPr>
        <w:t> in tropical conditions (Bartlett and Harriss 1993). There is some evidence that CH</w:t>
      </w:r>
      <w:r>
        <w:rPr>
          <w:vertAlign w:val="subscript"/>
        </w:rPr>
        <w:t>4</w:t>
      </w:r>
      <w:r>
        <w:rPr>
          <w:vertAlign w:val="baseline"/>
        </w:rPr>
        <w:t> emissions may still be smaller in rewetted peatlands than in the virgin state (Komulainen </w:t>
      </w:r>
      <w:r>
        <w:rPr>
          <w:i/>
          <w:vertAlign w:val="baseline"/>
        </w:rPr>
        <w:t>et al</w:t>
      </w:r>
      <w:r>
        <w:rPr>
          <w:vertAlign w:val="baseline"/>
        </w:rPr>
        <w:t>. 1998, Tuittila </w:t>
      </w:r>
      <w:r>
        <w:rPr>
          <w:i/>
          <w:vertAlign w:val="baseline"/>
        </w:rPr>
        <w:t>et al</w:t>
      </w:r>
      <w:r>
        <w:rPr>
          <w:vertAlign w:val="baseline"/>
        </w:rPr>
        <w:t>. 2000). At present, no good practice guidance can be given for CH</w:t>
      </w:r>
      <w:r>
        <w:rPr>
          <w:vertAlign w:val="subscript"/>
        </w:rPr>
        <w:t>4</w:t>
      </w:r>
      <w:r>
        <w:rPr>
          <w:vertAlign w:val="baseline"/>
        </w:rPr>
        <w:t> emissions from rewetting of organic soils.</w:t>
      </w:r>
    </w:p>
    <w:p>
      <w:pPr>
        <w:pStyle w:val="BodyText"/>
        <w:rPr>
          <w:sz w:val="24"/>
        </w:rPr>
      </w:pPr>
    </w:p>
    <w:p>
      <w:pPr>
        <w:pStyle w:val="Heading2"/>
        <w:spacing w:before="208"/>
        <w:ind w:left="159" w:firstLine="0"/>
        <w:jc w:val="both"/>
      </w:pPr>
      <w:r>
        <w:rPr/>
        <w:t>3a.2.2 Methodological Issues</w:t>
      </w:r>
    </w:p>
    <w:p>
      <w:pPr>
        <w:pStyle w:val="BodyText"/>
        <w:spacing w:before="6"/>
        <w:rPr>
          <w:b/>
          <w:sz w:val="41"/>
        </w:rPr>
      </w:pPr>
    </w:p>
    <w:p>
      <w:pPr>
        <w:spacing w:before="1"/>
        <w:ind w:left="159" w:right="0" w:firstLine="0"/>
        <w:jc w:val="both"/>
        <w:rPr>
          <w:b/>
          <w:sz w:val="22"/>
        </w:rPr>
      </w:pPr>
      <w:r>
        <w:rPr>
          <w:b/>
          <w:sz w:val="28"/>
        </w:rPr>
        <w:t>3a.2.2.1 C</w:t>
      </w:r>
      <w:r>
        <w:rPr>
          <w:b/>
          <w:sz w:val="22"/>
        </w:rPr>
        <w:t>HOICE OF METHOD</w:t>
      </w:r>
    </w:p>
    <w:p>
      <w:pPr>
        <w:pStyle w:val="BodyText"/>
        <w:spacing w:before="115"/>
        <w:ind w:left="159" w:right="163"/>
        <w:jc w:val="both"/>
      </w:pPr>
      <w:r>
        <w:rPr/>
        <w:t>The same method is applied for forest land remaining forest land (FF) and lands converted to forest land (LF). The decision trees presented in Section 3.1 (Figure 3.1.1 Decision tree for identification of appropriate tier-level for land remaining in the same land-use category and Figure 3.1.2 (Decision tree for identification of appropriate tier-level for land converted to another land-use category) can be used to identify the appropriate tier for the N</w:t>
      </w:r>
      <w:r>
        <w:rPr>
          <w:vertAlign w:val="subscript"/>
        </w:rPr>
        <w:t>2</w:t>
      </w:r>
      <w:r>
        <w:rPr>
          <w:vertAlign w:val="baseline"/>
        </w:rPr>
        <w:t>O estimate, by considering the availability data. N</w:t>
      </w:r>
      <w:r>
        <w:rPr>
          <w:vertAlign w:val="subscript"/>
        </w:rPr>
        <w:t>2</w:t>
      </w:r>
      <w:r>
        <w:rPr>
          <w:vertAlign w:val="baseline"/>
        </w:rPr>
        <w:t>O emissions from drainage and rewetting of forest soils contribute to the subcategory “soils” in the decision trees.</w:t>
      </w:r>
    </w:p>
    <w:p>
      <w:pPr>
        <w:pStyle w:val="BodyText"/>
        <w:spacing w:before="120"/>
        <w:ind w:left="159" w:right="164"/>
        <w:jc w:val="both"/>
      </w:pPr>
      <w:r>
        <w:rPr/>
        <w:t>The basic method for estimating direct N</w:t>
      </w:r>
      <w:r>
        <w:rPr>
          <w:vertAlign w:val="subscript"/>
        </w:rPr>
        <w:t>2</w:t>
      </w:r>
      <w:r>
        <w:rPr>
          <w:vertAlign w:val="baseline"/>
        </w:rPr>
        <w:t>O emissions from drained forest organic soils is shown in Equation 3a.2.1. N</w:t>
      </w:r>
      <w:r>
        <w:rPr>
          <w:vertAlign w:val="subscript"/>
        </w:rPr>
        <w:t>2</w:t>
      </w:r>
      <w:r>
        <w:rPr>
          <w:vertAlign w:val="baseline"/>
        </w:rPr>
        <w:t>O emissions from rewetted forest organic soils are estimated to be at natural level, and the default is set</w:t>
      </w:r>
    </w:p>
    <w:p>
      <w:pPr>
        <w:spacing w:after="0"/>
        <w:jc w:val="both"/>
        <w:sectPr>
          <w:footerReference w:type="default" r:id="rId262"/>
          <w:footerReference w:type="even" r:id="rId263"/>
          <w:pgSz w:w="11900" w:h="16840"/>
          <w:pgMar w:footer="408" w:header="230" w:top="560" w:bottom="600" w:left="1260" w:right="1240"/>
          <w:pgNumType w:start="273"/>
        </w:sectPr>
      </w:pPr>
    </w:p>
    <w:p>
      <w:pPr>
        <w:pStyle w:val="BodyText"/>
      </w:pPr>
    </w:p>
    <w:p>
      <w:pPr>
        <w:pStyle w:val="BodyText"/>
        <w:spacing w:before="2"/>
        <w:rPr>
          <w:sz w:val="18"/>
        </w:rPr>
      </w:pPr>
    </w:p>
    <w:p>
      <w:pPr>
        <w:pStyle w:val="BodyText"/>
        <w:ind w:left="159"/>
      </w:pPr>
      <w:r>
        <w:rPr/>
        <w:t>as zero. The equation can be applied at various levels of disaggregation depending upon data availability, particularly with respect to the availability of country-specific emission factors.</w:t>
      </w:r>
    </w:p>
    <w:p>
      <w:pPr>
        <w:pStyle w:val="BodyText"/>
        <w:spacing w:before="11"/>
        <w:rPr>
          <w:sz w:val="9"/>
        </w:rPr>
      </w:pPr>
      <w:r>
        <w:rPr/>
        <w:pict>
          <v:group style="position:absolute;margin-left:91.240997pt;margin-top:8.438808pt;width:412.95pt;height:55.1pt;mso-position-horizontal-relative:page;mso-position-vertical-relative:paragraph;z-index:14192;mso-wrap-distance-left:0;mso-wrap-distance-right:0" coordorigin="1825,169" coordsize="8259,1102">
            <v:line style="position:absolute" from="1854,183" to="10054,183" stroked="true" strokeweight="1.44pt" strokecolor="#000000">
              <v:stroke dashstyle="solid"/>
            </v:line>
            <v:line style="position:absolute" from="1854,1256" to="10054,1256" stroked="true" strokeweight="1.44pt" strokecolor="#000000">
              <v:stroke dashstyle="solid"/>
            </v:line>
            <v:line style="position:absolute" from="1839,169" to="1839,1270" stroked="true" strokeweight="1.44pt" strokecolor="#000000">
              <v:stroke dashstyle="solid"/>
            </v:line>
            <v:line style="position:absolute" from="10069,169" to="10069,1270" stroked="true" strokeweight="1.44pt" strokecolor="#000000">
              <v:stroke dashstyle="solid"/>
            </v:line>
            <v:shape style="position:absolute;left:8794;top:828;width:1098;height:266" type="#_x0000_t202" filled="false" stroked="false">
              <v:textbox inset="0,0,0,0">
                <w:txbxContent>
                  <w:p>
                    <w:pPr>
                      <w:spacing w:line="245" w:lineRule="exact" w:before="20"/>
                      <w:ind w:left="0" w:right="0" w:firstLine="0"/>
                      <w:jc w:val="left"/>
                      <w:rPr>
                        <w:sz w:val="20"/>
                      </w:rPr>
                    </w:pPr>
                    <w:r>
                      <w:rPr>
                        <w:rFonts w:ascii="Symbol" w:hAnsi="Symbol"/>
                        <w:sz w:val="20"/>
                      </w:rPr>
                      <w:t>• </w:t>
                    </w:r>
                    <w:r>
                      <w:rPr>
                        <w:sz w:val="20"/>
                      </w:rPr>
                      <w:t>44/28 • 10</w:t>
                    </w:r>
                    <w:r>
                      <w:rPr>
                        <w:sz w:val="20"/>
                        <w:vertAlign w:val="superscript"/>
                      </w:rPr>
                      <w:t>-6</w:t>
                    </w:r>
                  </w:p>
                </w:txbxContent>
              </v:textbox>
              <w10:wrap type="none"/>
            </v:shape>
            <v:shape style="position:absolute;left:7834;top:1010;width:930;height:144" type="#_x0000_t202" filled="false" stroked="false">
              <v:textbox inset="0,0,0,0">
                <w:txbxContent>
                  <w:p>
                    <w:pPr>
                      <w:spacing w:line="144" w:lineRule="exact" w:before="0"/>
                      <w:ind w:left="0" w:right="0" w:firstLine="0"/>
                      <w:jc w:val="left"/>
                      <w:rPr>
                        <w:sz w:val="13"/>
                      </w:rPr>
                    </w:pPr>
                    <w:r>
                      <w:rPr>
                        <w:sz w:val="13"/>
                      </w:rPr>
                      <w:t>drainage, mineral</w:t>
                    </w:r>
                  </w:p>
                </w:txbxContent>
              </v:textbox>
              <w10:wrap type="none"/>
            </v:shape>
            <v:shape style="position:absolute;left:7316;top:833;width:539;height:261" type="#_x0000_t202" filled="false" stroked="false">
              <v:textbox inset="0,0,0,0">
                <w:txbxContent>
                  <w:p>
                    <w:pPr>
                      <w:numPr>
                        <w:ilvl w:val="0"/>
                        <w:numId w:val="118"/>
                      </w:numPr>
                      <w:tabs>
                        <w:tab w:pos="142" w:val="left" w:leader="none"/>
                      </w:tabs>
                      <w:spacing w:line="246" w:lineRule="exact" w:before="14"/>
                      <w:ind w:left="141" w:right="0" w:hanging="141"/>
                      <w:jc w:val="left"/>
                      <w:rPr>
                        <w:sz w:val="20"/>
                      </w:rPr>
                    </w:pPr>
                    <w:r>
                      <w:rPr>
                        <w:sz w:val="20"/>
                      </w:rPr>
                      <w:t>EF</w:t>
                    </w:r>
                    <w:r>
                      <w:rPr>
                        <w:sz w:val="20"/>
                        <w:vertAlign w:val="subscript"/>
                      </w:rPr>
                      <w:t>FF</w:t>
                    </w:r>
                  </w:p>
                </w:txbxContent>
              </v:textbox>
              <w10:wrap type="none"/>
            </v:shape>
            <v:shape style="position:absolute;left:6869;top:1010;width:414;height:144" type="#_x0000_t202" filled="false" stroked="false">
              <v:textbox inset="0,0,0,0">
                <w:txbxContent>
                  <w:p>
                    <w:pPr>
                      <w:spacing w:line="144" w:lineRule="exact" w:before="0"/>
                      <w:ind w:left="0" w:right="0" w:firstLine="0"/>
                      <w:jc w:val="left"/>
                      <w:rPr>
                        <w:sz w:val="13"/>
                      </w:rPr>
                    </w:pPr>
                    <w:r>
                      <w:rPr>
                        <w:sz w:val="13"/>
                      </w:rPr>
                      <w:t>mineral</w:t>
                    </w:r>
                  </w:p>
                </w:txbxContent>
              </v:textbox>
              <w10:wrap type="none"/>
            </v:shape>
            <v:shape style="position:absolute;left:6300;top:857;width:587;height:237" type="#_x0000_t202" filled="false" stroked="false">
              <v:textbox inset="0,0,0,0">
                <w:txbxContent>
                  <w:p>
                    <w:pPr>
                      <w:spacing w:line="221" w:lineRule="exact" w:before="0"/>
                      <w:ind w:left="0" w:right="0" w:firstLine="0"/>
                      <w:jc w:val="left"/>
                      <w:rPr>
                        <w:sz w:val="20"/>
                      </w:rPr>
                    </w:pPr>
                    <w:r>
                      <w:rPr>
                        <w:sz w:val="20"/>
                      </w:rPr>
                      <w:t>) + A</w:t>
                    </w:r>
                    <w:r>
                      <w:rPr>
                        <w:sz w:val="20"/>
                        <w:vertAlign w:val="subscript"/>
                      </w:rPr>
                      <w:t>FF</w:t>
                    </w:r>
                  </w:p>
                </w:txbxContent>
              </v:textbox>
              <w10:wrap type="none"/>
            </v:shape>
            <v:shape style="position:absolute;left:2036;top:833;width:4285;height:321" type="#_x0000_t202" filled="false" stroked="false">
              <v:textbox inset="0,0,0,0">
                <w:txbxContent>
                  <w:p>
                    <w:pPr>
                      <w:spacing w:before="14"/>
                      <w:ind w:left="0" w:right="0" w:firstLine="0"/>
                      <w:jc w:val="left"/>
                      <w:rPr>
                        <w:i/>
                        <w:sz w:val="10"/>
                      </w:rPr>
                    </w:pPr>
                    <w:r>
                      <w:rPr>
                        <w:position w:val="9"/>
                        <w:sz w:val="20"/>
                      </w:rPr>
                      <w:t>N</w:t>
                    </w:r>
                    <w:r>
                      <w:rPr>
                        <w:position w:val="6"/>
                        <w:sz w:val="13"/>
                      </w:rPr>
                      <w:t>2</w:t>
                    </w:r>
                    <w:r>
                      <w:rPr>
                        <w:position w:val="9"/>
                        <w:sz w:val="20"/>
                      </w:rPr>
                      <w:t>O emissions</w:t>
                    </w:r>
                    <w:r>
                      <w:rPr>
                        <w:position w:val="6"/>
                        <w:sz w:val="13"/>
                      </w:rPr>
                      <w:t>FF </w:t>
                    </w:r>
                    <w:r>
                      <w:rPr>
                        <w:position w:val="9"/>
                        <w:sz w:val="20"/>
                      </w:rPr>
                      <w:t>= </w:t>
                    </w:r>
                    <w:r>
                      <w:rPr>
                        <w:rFonts w:ascii="Arial" w:hAnsi="Arial"/>
                        <w:position w:val="9"/>
                        <w:sz w:val="20"/>
                      </w:rPr>
                      <w:t>∑</w:t>
                    </w:r>
                    <w:r>
                      <w:rPr>
                        <w:position w:val="9"/>
                        <w:sz w:val="20"/>
                      </w:rPr>
                      <w:t>(A</w:t>
                    </w:r>
                    <w:r>
                      <w:rPr>
                        <w:position w:val="6"/>
                        <w:sz w:val="13"/>
                      </w:rPr>
                      <w:t>FF</w:t>
                    </w:r>
                    <w:r>
                      <w:rPr>
                        <w:sz w:val="13"/>
                      </w:rPr>
                      <w:t>organic </w:t>
                    </w:r>
                    <w:r>
                      <w:rPr>
                        <w:i/>
                        <w:sz w:val="10"/>
                      </w:rPr>
                      <w:t>IJK </w:t>
                    </w:r>
                    <w:r>
                      <w:rPr>
                        <w:rFonts w:ascii="Symbol" w:hAnsi="Symbol"/>
                        <w:position w:val="9"/>
                        <w:sz w:val="20"/>
                      </w:rPr>
                      <w:t>• </w:t>
                    </w:r>
                    <w:r>
                      <w:rPr>
                        <w:position w:val="9"/>
                        <w:sz w:val="20"/>
                      </w:rPr>
                      <w:t>EF</w:t>
                    </w:r>
                    <w:r>
                      <w:rPr>
                        <w:position w:val="6"/>
                        <w:sz w:val="13"/>
                      </w:rPr>
                      <w:t>FF</w:t>
                    </w:r>
                    <w:r>
                      <w:rPr>
                        <w:sz w:val="13"/>
                      </w:rPr>
                      <w:t>drainage, organic </w:t>
                    </w:r>
                    <w:r>
                      <w:rPr>
                        <w:i/>
                        <w:sz w:val="10"/>
                      </w:rPr>
                      <w:t>IJK</w:t>
                    </w:r>
                  </w:p>
                </w:txbxContent>
              </v:textbox>
              <w10:wrap type="none"/>
            </v:shape>
            <v:shape style="position:absolute;left:3339;top:305;width:5248;height:468" type="#_x0000_t202" filled="false" stroked="false">
              <v:textbox inset="0,0,0,0">
                <w:txbxContent>
                  <w:p>
                    <w:pPr>
                      <w:spacing w:line="221" w:lineRule="exact" w:before="0"/>
                      <w:ind w:left="0" w:right="18" w:firstLine="0"/>
                      <w:jc w:val="center"/>
                      <w:rPr>
                        <w:b/>
                        <w:sz w:val="20"/>
                      </w:rPr>
                    </w:pPr>
                    <w:r>
                      <w:rPr>
                        <w:b/>
                        <w:sz w:val="20"/>
                      </w:rPr>
                      <w:t>E</w:t>
                    </w:r>
                    <w:r>
                      <w:rPr>
                        <w:b/>
                        <w:sz w:val="16"/>
                      </w:rPr>
                      <w:t>QUATION </w:t>
                    </w:r>
                    <w:r>
                      <w:rPr>
                        <w:b/>
                        <w:sz w:val="20"/>
                      </w:rPr>
                      <w:t>3a.2.1</w:t>
                    </w:r>
                  </w:p>
                  <w:p>
                    <w:pPr>
                      <w:spacing w:before="0"/>
                      <w:ind w:left="0" w:right="18" w:firstLine="0"/>
                      <w:jc w:val="center"/>
                      <w:rPr>
                        <w:b/>
                        <w:sz w:val="20"/>
                      </w:rPr>
                    </w:pPr>
                    <w:r>
                      <w:rPr>
                        <w:b/>
                        <w:sz w:val="20"/>
                      </w:rPr>
                      <w:t>D</w:t>
                    </w:r>
                    <w:r>
                      <w:rPr>
                        <w:b/>
                        <w:sz w:val="16"/>
                      </w:rPr>
                      <w:t>IRECT </w:t>
                    </w:r>
                    <w:r>
                      <w:rPr>
                        <w:b/>
                        <w:sz w:val="20"/>
                      </w:rPr>
                      <w:t>N</w:t>
                    </w:r>
                    <w:r>
                      <w:rPr>
                        <w:b/>
                        <w:sz w:val="20"/>
                        <w:vertAlign w:val="subscript"/>
                      </w:rPr>
                      <w:t>2</w:t>
                    </w:r>
                    <w:r>
                      <w:rPr>
                        <w:b/>
                        <w:sz w:val="20"/>
                        <w:vertAlign w:val="baseline"/>
                      </w:rPr>
                      <w:t>O </w:t>
                    </w:r>
                    <w:r>
                      <w:rPr>
                        <w:b/>
                        <w:sz w:val="16"/>
                        <w:vertAlign w:val="baseline"/>
                      </w:rPr>
                      <w:t>EMISSIONS FROM DRAINED FOREST SOILS </w:t>
                    </w:r>
                    <w:r>
                      <w:rPr>
                        <w:b/>
                        <w:sz w:val="20"/>
                        <w:vertAlign w:val="baseline"/>
                      </w:rPr>
                      <w:t>(T</w:t>
                    </w:r>
                    <w:r>
                      <w:rPr>
                        <w:b/>
                        <w:sz w:val="16"/>
                        <w:vertAlign w:val="baseline"/>
                      </w:rPr>
                      <w:t>IER</w:t>
                    </w:r>
                    <w:r>
                      <w:rPr>
                        <w:b/>
                        <w:spacing w:val="-27"/>
                        <w:sz w:val="16"/>
                        <w:vertAlign w:val="baseline"/>
                      </w:rPr>
                      <w:t> </w:t>
                    </w:r>
                    <w:r>
                      <w:rPr>
                        <w:b/>
                        <w:sz w:val="20"/>
                        <w:vertAlign w:val="baseline"/>
                      </w:rPr>
                      <w:t>1)</w:t>
                    </w:r>
                  </w:p>
                </w:txbxContent>
              </v:textbox>
              <w10:wrap type="none"/>
            </v:shape>
            <w10:wrap type="topAndBottom"/>
          </v:group>
        </w:pict>
      </w:r>
    </w:p>
    <w:p>
      <w:pPr>
        <w:pStyle w:val="BodyText"/>
        <w:spacing w:line="220" w:lineRule="exact"/>
        <w:ind w:left="159"/>
      </w:pPr>
      <w:r>
        <w:rPr/>
        <w:t>Where:</w:t>
      </w:r>
    </w:p>
    <w:p>
      <w:pPr>
        <w:pStyle w:val="BodyText"/>
        <w:tabs>
          <w:tab w:pos="2331" w:val="left" w:leader="none"/>
          <w:tab w:pos="2693" w:val="left" w:leader="none"/>
        </w:tabs>
        <w:spacing w:line="357" w:lineRule="auto" w:before="120"/>
        <w:ind w:left="701" w:right="3301"/>
      </w:pPr>
      <w:r>
        <w:rPr/>
        <w:t>N</w:t>
      </w:r>
      <w:r>
        <w:rPr>
          <w:vertAlign w:val="subscript"/>
        </w:rPr>
        <w:t>2</w:t>
      </w:r>
      <w:r>
        <w:rPr>
          <w:vertAlign w:val="baseline"/>
        </w:rPr>
        <w:t>O</w:t>
      </w:r>
      <w:r>
        <w:rPr>
          <w:spacing w:val="-3"/>
          <w:vertAlign w:val="baseline"/>
        </w:rPr>
        <w:t> </w:t>
      </w:r>
      <w:r>
        <w:rPr>
          <w:vertAlign w:val="baseline"/>
        </w:rPr>
        <w:t>emissions</w:t>
      </w:r>
      <w:r>
        <w:rPr>
          <w:vertAlign w:val="subscript"/>
        </w:rPr>
        <w:t>FF</w:t>
      </w:r>
      <w:r>
        <w:rPr>
          <w:vertAlign w:val="baseline"/>
        </w:rPr>
        <w:tab/>
        <w:t>=</w:t>
        <w:tab/>
        <w:t>emission of N</w:t>
      </w:r>
      <w:r>
        <w:rPr>
          <w:vertAlign w:val="subscript"/>
        </w:rPr>
        <w:t>2</w:t>
      </w:r>
      <w:r>
        <w:rPr>
          <w:vertAlign w:val="baseline"/>
        </w:rPr>
        <w:t>O in units of nitrogen, kg N A</w:t>
      </w:r>
      <w:r>
        <w:rPr>
          <w:vertAlign w:val="subscript"/>
        </w:rPr>
        <w:t>FF</w:t>
      </w:r>
      <w:r>
        <w:rPr>
          <w:position w:val="-8"/>
          <w:sz w:val="13"/>
          <w:vertAlign w:val="baseline"/>
        </w:rPr>
        <w:t>organic</w:t>
        <w:tab/>
      </w:r>
      <w:r>
        <w:rPr>
          <w:vertAlign w:val="baseline"/>
        </w:rPr>
        <w:t>=</w:t>
        <w:tab/>
        <w:t>area of drained forest organic soils, ha A</w:t>
      </w:r>
      <w:r>
        <w:rPr>
          <w:vertAlign w:val="subscript"/>
        </w:rPr>
        <w:t>FF</w:t>
      </w:r>
      <w:r>
        <w:rPr>
          <w:position w:val="-8"/>
          <w:sz w:val="13"/>
          <w:vertAlign w:val="baseline"/>
        </w:rPr>
        <w:t>mineral</w:t>
        <w:tab/>
      </w:r>
      <w:r>
        <w:rPr>
          <w:vertAlign w:val="baseline"/>
        </w:rPr>
        <w:t>=</w:t>
        <w:tab/>
        <w:t>area of drained forest mineral soils,</w:t>
      </w:r>
      <w:r>
        <w:rPr>
          <w:spacing w:val="-8"/>
          <w:vertAlign w:val="baseline"/>
        </w:rPr>
        <w:t> </w:t>
      </w:r>
      <w:r>
        <w:rPr>
          <w:vertAlign w:val="baseline"/>
        </w:rPr>
        <w:t>ha</w:t>
      </w:r>
    </w:p>
    <w:p>
      <w:pPr>
        <w:pStyle w:val="BodyText"/>
        <w:tabs>
          <w:tab w:pos="2331" w:val="left" w:leader="none"/>
          <w:tab w:pos="2693" w:val="left" w:leader="none"/>
        </w:tabs>
        <w:spacing w:line="184" w:lineRule="exact"/>
        <w:ind w:left="701"/>
      </w:pPr>
      <w:r>
        <w:rPr/>
        <w:pict>
          <v:shape style="position:absolute;margin-left:109.720596pt;margin-top:4.675388pt;width:302.4pt;height:7.2pt;mso-position-horizontal-relative:page;mso-position-vertical-relative:paragraph;z-index:-2439904" type="#_x0000_t202" filled="false" stroked="false">
            <v:textbox inset="0,0,0,0">
              <w:txbxContent>
                <w:p>
                  <w:pPr>
                    <w:tabs>
                      <w:tab w:pos="5983" w:val="left" w:leader="none"/>
                    </w:tabs>
                    <w:spacing w:line="144" w:lineRule="exact" w:before="0"/>
                    <w:ind w:left="0" w:right="0" w:firstLine="0"/>
                    <w:jc w:val="left"/>
                    <w:rPr>
                      <w:sz w:val="13"/>
                    </w:rPr>
                  </w:pPr>
                  <w:r>
                    <w:rPr>
                      <w:sz w:val="13"/>
                    </w:rPr>
                    <w:t>FF</w:t>
                    <w:tab/>
                  </w:r>
                  <w:r>
                    <w:rPr>
                      <w:spacing w:val="-20"/>
                      <w:sz w:val="13"/>
                    </w:rPr>
                    <w:t>2</w:t>
                  </w:r>
                </w:p>
              </w:txbxContent>
            </v:textbox>
            <w10:wrap type="none"/>
          </v:shape>
        </w:pict>
      </w:r>
      <w:r>
        <w:rPr/>
        <w:t>EF</w:t>
        <w:tab/>
        <w:t>=</w:t>
        <w:tab/>
        <w:t>emission factor for drained forest organic soils, kg N O-N ha</w:t>
      </w:r>
      <w:r>
        <w:rPr>
          <w:vertAlign w:val="superscript"/>
        </w:rPr>
        <w:t>-1</w:t>
      </w:r>
      <w:r>
        <w:rPr>
          <w:spacing w:val="13"/>
          <w:vertAlign w:val="baseline"/>
        </w:rPr>
        <w:t> </w:t>
      </w:r>
      <w:r>
        <w:rPr>
          <w:vertAlign w:val="baseline"/>
        </w:rPr>
        <w:t>yr</w:t>
      </w:r>
      <w:r>
        <w:rPr>
          <w:vertAlign w:val="superscript"/>
        </w:rPr>
        <w:t>-1</w:t>
      </w:r>
    </w:p>
    <w:p>
      <w:pPr>
        <w:spacing w:line="113" w:lineRule="exact" w:before="0"/>
        <w:ind w:left="1078" w:right="0" w:firstLine="0"/>
        <w:jc w:val="left"/>
        <w:rPr>
          <w:sz w:val="13"/>
        </w:rPr>
      </w:pPr>
      <w:r>
        <w:rPr>
          <w:sz w:val="13"/>
        </w:rPr>
        <w:t>drainage, organic</w:t>
      </w:r>
    </w:p>
    <w:p>
      <w:pPr>
        <w:pStyle w:val="BodyText"/>
        <w:tabs>
          <w:tab w:pos="2331" w:val="left" w:leader="none"/>
          <w:tab w:pos="2693" w:val="left" w:leader="none"/>
        </w:tabs>
        <w:spacing w:line="193" w:lineRule="exact" w:before="104"/>
        <w:ind w:left="701"/>
      </w:pPr>
      <w:r>
        <w:rPr/>
        <w:pict>
          <v:shape style="position:absolute;margin-left:109.720596pt;margin-top:10.321902pt;width:303pt;height:7.2pt;mso-position-horizontal-relative:page;mso-position-vertical-relative:paragraph;z-index:-2439880" type="#_x0000_t202" filled="false" stroked="false">
            <v:textbox inset="0,0,0,0">
              <w:txbxContent>
                <w:p>
                  <w:pPr>
                    <w:tabs>
                      <w:tab w:pos="5995" w:val="left" w:leader="none"/>
                    </w:tabs>
                    <w:spacing w:line="144" w:lineRule="exact" w:before="0"/>
                    <w:ind w:left="0" w:right="0" w:firstLine="0"/>
                    <w:jc w:val="left"/>
                    <w:rPr>
                      <w:sz w:val="13"/>
                    </w:rPr>
                  </w:pPr>
                  <w:r>
                    <w:rPr>
                      <w:sz w:val="13"/>
                    </w:rPr>
                    <w:t>FF</w:t>
                    <w:tab/>
                  </w:r>
                  <w:r>
                    <w:rPr>
                      <w:spacing w:val="-20"/>
                      <w:sz w:val="13"/>
                    </w:rPr>
                    <w:t>2</w:t>
                  </w:r>
                </w:p>
              </w:txbxContent>
            </v:textbox>
            <w10:wrap type="none"/>
          </v:shape>
        </w:pict>
      </w:r>
      <w:r>
        <w:rPr/>
        <w:t>EF</w:t>
        <w:tab/>
        <w:t>=</w:t>
        <w:tab/>
        <w:t>emission factor for drained forest mineral soils, kg N O-N ha</w:t>
      </w:r>
      <w:r>
        <w:rPr>
          <w:vertAlign w:val="superscript"/>
        </w:rPr>
        <w:t>-1</w:t>
      </w:r>
      <w:r>
        <w:rPr>
          <w:spacing w:val="11"/>
          <w:vertAlign w:val="baseline"/>
        </w:rPr>
        <w:t> </w:t>
      </w:r>
      <w:r>
        <w:rPr>
          <w:vertAlign w:val="baseline"/>
        </w:rPr>
        <w:t>yr</w:t>
      </w:r>
      <w:r>
        <w:rPr>
          <w:vertAlign w:val="superscript"/>
        </w:rPr>
        <w:t>-1</w:t>
      </w:r>
    </w:p>
    <w:p>
      <w:pPr>
        <w:spacing w:line="113" w:lineRule="exact" w:before="0"/>
        <w:ind w:left="1078" w:right="0" w:firstLine="0"/>
        <w:jc w:val="left"/>
        <w:rPr>
          <w:sz w:val="13"/>
        </w:rPr>
      </w:pPr>
      <w:r>
        <w:rPr>
          <w:sz w:val="13"/>
        </w:rPr>
        <w:t>drainage, mineral</w:t>
      </w:r>
    </w:p>
    <w:p>
      <w:pPr>
        <w:pStyle w:val="BodyText"/>
        <w:tabs>
          <w:tab w:pos="2331" w:val="left" w:leader="none"/>
          <w:tab w:pos="2693" w:val="left" w:leader="none"/>
        </w:tabs>
        <w:spacing w:before="105"/>
        <w:ind w:left="2693" w:right="1095" w:hanging="1992"/>
      </w:pPr>
      <w:r>
        <w:rPr>
          <w:i/>
        </w:rPr>
        <w:t>ijk</w:t>
        <w:tab/>
      </w:r>
      <w:r>
        <w:rPr/>
        <w:t>=</w:t>
        <w:tab/>
        <w:t>soil type, climate zone, intensity of drainage, etc. (depends on level of disaggregation)</w:t>
      </w:r>
    </w:p>
    <w:p>
      <w:pPr>
        <w:pStyle w:val="BodyText"/>
        <w:spacing w:before="118"/>
        <w:ind w:left="159" w:hanging="1"/>
      </w:pPr>
      <w:r>
        <w:rPr/>
        <w:t>The same method is applied to calculate N</w:t>
      </w:r>
      <w:r>
        <w:rPr>
          <w:vertAlign w:val="subscript"/>
        </w:rPr>
        <w:t>2</w:t>
      </w:r>
      <w:r>
        <w:rPr>
          <w:vertAlign w:val="baseline"/>
        </w:rPr>
        <w:t>O emissions from drained organic soils of lands converted to forest.</w:t>
      </w:r>
    </w:p>
    <w:p>
      <w:pPr>
        <w:pStyle w:val="BodyText"/>
        <w:spacing w:before="121"/>
        <w:ind w:left="159" w:right="166"/>
      </w:pPr>
      <w:r>
        <w:rPr>
          <w:b/>
        </w:rPr>
        <w:t>Tier 1: </w:t>
      </w:r>
      <w:r>
        <w:rPr/>
        <w:t>In Tier 1 Equation 3a.2.1 is applied with a simple disaggregation of drained forest soils into “nutrient rich” and “nutrient poor” areas and default emission factors are used. Default data are presented in Section 3a.2.2.2 and guidance for obtaining activity data is described in Section 3a.2.2.3.</w:t>
      </w:r>
    </w:p>
    <w:p>
      <w:pPr>
        <w:pStyle w:val="BodyText"/>
        <w:spacing w:before="119"/>
        <w:ind w:left="159" w:right="161"/>
        <w:jc w:val="both"/>
      </w:pPr>
      <w:r>
        <w:rPr>
          <w:b/>
        </w:rPr>
        <w:t>Tier 2: </w:t>
      </w:r>
      <w:r>
        <w:rPr/>
        <w:t>Tier 2 can be used if country-specific emission factors and corresponding area data are available. Typically, these data will enable the estimate to be disaggregated to account for management practices such as drainage of different peatland types, fertility (e.g., bog versus fen, nitrogen status), and tree type (broadleaved versus coniferous), with specific emission factors developed for each sub-class. Adequately disaggregated area data could be obtained from soil information in the national forest inventory.</w:t>
      </w:r>
    </w:p>
    <w:p>
      <w:pPr>
        <w:pStyle w:val="BodyText"/>
        <w:spacing w:before="119"/>
        <w:ind w:left="159" w:right="165"/>
        <w:jc w:val="both"/>
      </w:pPr>
      <w:r>
        <w:rPr>
          <w:b/>
        </w:rPr>
        <w:t>Tier 3: </w:t>
      </w:r>
      <w:r>
        <w:rPr/>
        <w:t>If more complex models or detailed surveys are available, a national Tier 3 approach can be used to estimate N</w:t>
      </w:r>
      <w:r>
        <w:rPr>
          <w:vertAlign w:val="subscript"/>
        </w:rPr>
        <w:t>2</w:t>
      </w:r>
      <w:r>
        <w:rPr>
          <w:vertAlign w:val="baseline"/>
        </w:rPr>
        <w:t>O emissions. Given the spatial and temporal variability and uncertainty in N</w:t>
      </w:r>
      <w:r>
        <w:rPr>
          <w:vertAlign w:val="subscript"/>
        </w:rPr>
        <w:t>2</w:t>
      </w:r>
      <w:r>
        <w:rPr>
          <w:vertAlign w:val="baseline"/>
        </w:rPr>
        <w:t>O emissions, this type  of approach is most warranted in a country in which direct N</w:t>
      </w:r>
      <w:r>
        <w:rPr>
          <w:vertAlign w:val="subscript"/>
        </w:rPr>
        <w:t>2</w:t>
      </w:r>
      <w:r>
        <w:rPr>
          <w:vertAlign w:val="baseline"/>
        </w:rPr>
        <w:t>O emissions from managed forest are a key category because applying advanced methods could more accurately represent the management practices and the most relevant driving</w:t>
      </w:r>
      <w:r>
        <w:rPr>
          <w:spacing w:val="-2"/>
          <w:vertAlign w:val="baseline"/>
        </w:rPr>
        <w:t> </w:t>
      </w:r>
      <w:r>
        <w:rPr>
          <w:vertAlign w:val="baseline"/>
        </w:rPr>
        <w:t>variables.</w:t>
      </w:r>
    </w:p>
    <w:p>
      <w:pPr>
        <w:pStyle w:val="BodyText"/>
        <w:spacing w:before="8"/>
        <w:rPr>
          <w:sz w:val="31"/>
        </w:rPr>
      </w:pPr>
    </w:p>
    <w:p>
      <w:pPr>
        <w:tabs>
          <w:tab w:pos="1361" w:val="left" w:leader="none"/>
        </w:tabs>
        <w:spacing w:before="0"/>
        <w:ind w:left="159" w:right="0" w:firstLine="0"/>
        <w:jc w:val="left"/>
        <w:rPr>
          <w:b/>
          <w:sz w:val="22"/>
        </w:rPr>
      </w:pPr>
      <w:r>
        <w:rPr>
          <w:b/>
          <w:spacing w:val="8"/>
          <w:sz w:val="28"/>
        </w:rPr>
        <w:t>3a.2.2.2</w:t>
        <w:tab/>
      </w:r>
      <w:r>
        <w:rPr>
          <w:b/>
          <w:spacing w:val="7"/>
          <w:sz w:val="28"/>
        </w:rPr>
        <w:t>C</w:t>
      </w:r>
      <w:r>
        <w:rPr>
          <w:b/>
          <w:spacing w:val="7"/>
          <w:sz w:val="22"/>
        </w:rPr>
        <w:t>HOICE </w:t>
      </w:r>
      <w:r>
        <w:rPr>
          <w:b/>
          <w:spacing w:val="5"/>
          <w:sz w:val="22"/>
        </w:rPr>
        <w:t>OF </w:t>
      </w:r>
      <w:r>
        <w:rPr>
          <w:b/>
          <w:spacing w:val="8"/>
          <w:sz w:val="22"/>
        </w:rPr>
        <w:t>EMISSION</w:t>
      </w:r>
      <w:r>
        <w:rPr>
          <w:b/>
          <w:spacing w:val="8"/>
          <w:sz w:val="28"/>
        </w:rPr>
        <w:t>/</w:t>
      </w:r>
      <w:r>
        <w:rPr>
          <w:b/>
          <w:spacing w:val="8"/>
          <w:sz w:val="22"/>
        </w:rPr>
        <w:t>REMOVAL</w:t>
      </w:r>
      <w:r>
        <w:rPr>
          <w:b/>
          <w:spacing w:val="45"/>
          <w:sz w:val="22"/>
        </w:rPr>
        <w:t> </w:t>
      </w:r>
      <w:r>
        <w:rPr>
          <w:b/>
          <w:spacing w:val="8"/>
          <w:sz w:val="22"/>
        </w:rPr>
        <w:t>FACTORS</w:t>
      </w:r>
    </w:p>
    <w:p>
      <w:pPr>
        <w:pStyle w:val="BodyText"/>
        <w:spacing w:before="115"/>
        <w:ind w:left="159"/>
      </w:pPr>
      <w:r>
        <w:rPr/>
        <w:t>Where Tiers 1 and 2 are used, emission factors for N</w:t>
      </w:r>
      <w:r>
        <w:rPr>
          <w:vertAlign w:val="subscript"/>
        </w:rPr>
        <w:t>2</w:t>
      </w:r>
      <w:r>
        <w:rPr>
          <w:vertAlign w:val="baseline"/>
        </w:rPr>
        <w:t>O emissions per unit area per year are needed.</w:t>
      </w:r>
    </w:p>
    <w:p>
      <w:pPr>
        <w:pStyle w:val="BodyText"/>
        <w:spacing w:before="118"/>
        <w:ind w:left="159" w:right="166"/>
      </w:pPr>
      <w:r>
        <w:rPr>
          <w:b/>
        </w:rPr>
        <w:t>Tier 1: </w:t>
      </w:r>
      <w:r>
        <w:rPr/>
        <w:t>Default emission factors derived from the literature are used in Tier 1, and these values are shown in Table 3a.2.1.</w:t>
      </w:r>
    </w:p>
    <w:p>
      <w:pPr>
        <w:pStyle w:val="BodyText"/>
        <w:spacing w:before="121"/>
        <w:ind w:left="159" w:right="185"/>
      </w:pPr>
      <w:r>
        <w:rPr/>
        <w:t>Due to the paucity of data, the default emission factors for the respective nutrient levels and climatic zones can be taken as indicative only and may not properly reflect the real magnitude of emissions in a given</w:t>
      </w:r>
      <w:r>
        <w:rPr>
          <w:spacing w:val="-36"/>
        </w:rPr>
        <w:t> </w:t>
      </w:r>
      <w:r>
        <w:rPr/>
        <w:t>country.</w:t>
      </w:r>
    </w:p>
    <w:p>
      <w:pPr>
        <w:pStyle w:val="BodyText"/>
        <w:spacing w:before="118"/>
        <w:ind w:left="159" w:right="164"/>
        <w:jc w:val="both"/>
      </w:pPr>
      <w:r>
        <w:rPr/>
        <w:t>Emissions from drained forest mineral soils should be calculated by using separate and lower emission factors than for drained forest organic soils. Emissions from drained forest mineral soils can be assumed as about a tenth of EF</w:t>
      </w:r>
      <w:r>
        <w:rPr>
          <w:vertAlign w:val="subscript"/>
        </w:rPr>
        <w:t>drainage</w:t>
      </w:r>
      <w:r>
        <w:rPr>
          <w:vertAlign w:val="baseline"/>
        </w:rPr>
        <w:t> for organic soils (Klemedtsson </w:t>
      </w:r>
      <w:r>
        <w:rPr>
          <w:i/>
          <w:vertAlign w:val="baseline"/>
        </w:rPr>
        <w:t>et al</w:t>
      </w:r>
      <w:r>
        <w:rPr>
          <w:vertAlign w:val="baseline"/>
        </w:rPr>
        <w:t>., 2002). More measurements, especially in tropical climate, are needed to improve the indicative emission factors of Table 3a.2.1. If drained forest is rewetted (i.e., the water table returns to pre-drainage levels) it is assumed that N</w:t>
      </w:r>
      <w:r>
        <w:rPr>
          <w:vertAlign w:val="subscript"/>
        </w:rPr>
        <w:t>2</w:t>
      </w:r>
      <w:r>
        <w:rPr>
          <w:vertAlign w:val="baseline"/>
        </w:rPr>
        <w:t>O emissions return to the natural level close to zero.</w:t>
      </w:r>
    </w:p>
    <w:p>
      <w:pPr>
        <w:spacing w:after="0"/>
        <w:jc w:val="both"/>
        <w:sectPr>
          <w:pgSz w:w="11900" w:h="16840"/>
          <w:pgMar w:header="235" w:footer="408" w:top="560" w:bottom="600" w:left="1260" w:right="1240"/>
        </w:sectPr>
      </w:pPr>
    </w:p>
    <w:p>
      <w:pPr>
        <w:pStyle w:val="BodyText"/>
      </w:pPr>
    </w:p>
    <w:p>
      <w:pPr>
        <w:pStyle w:val="BodyText"/>
        <w:rPr>
          <w:sz w:val="19"/>
        </w:rPr>
      </w:pPr>
    </w:p>
    <w:tbl>
      <w:tblPr>
        <w:tblW w:w="0" w:type="auto"/>
        <w:jc w:val="left"/>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22"/>
        <w:gridCol w:w="1629"/>
        <w:gridCol w:w="1629"/>
        <w:gridCol w:w="2932"/>
      </w:tblGrid>
      <w:tr>
        <w:trPr>
          <w:trHeight w:val="443" w:hRule="atLeast"/>
        </w:trPr>
        <w:tc>
          <w:tcPr>
            <w:tcW w:w="9012" w:type="dxa"/>
            <w:gridSpan w:val="4"/>
            <w:tcBorders>
              <w:bottom w:val="double" w:sz="1" w:space="0" w:color="000000"/>
            </w:tcBorders>
          </w:tcPr>
          <w:p>
            <w:pPr>
              <w:pStyle w:val="TableParagraph"/>
              <w:spacing w:line="207" w:lineRule="exact" w:before="14"/>
              <w:ind w:left="1300" w:right="1289"/>
              <w:jc w:val="center"/>
              <w:rPr>
                <w:b/>
                <w:sz w:val="18"/>
              </w:rPr>
            </w:pPr>
            <w:r>
              <w:rPr>
                <w:b/>
                <w:sz w:val="18"/>
              </w:rPr>
              <w:t>T</w:t>
            </w:r>
            <w:r>
              <w:rPr>
                <w:b/>
                <w:sz w:val="14"/>
              </w:rPr>
              <w:t>ABLE </w:t>
            </w:r>
            <w:r>
              <w:rPr>
                <w:b/>
                <w:sz w:val="18"/>
              </w:rPr>
              <w:t>3a.2.1</w:t>
            </w:r>
          </w:p>
          <w:p>
            <w:pPr>
              <w:pStyle w:val="TableParagraph"/>
              <w:spacing w:line="202" w:lineRule="exact"/>
              <w:ind w:left="1300" w:right="1255"/>
              <w:jc w:val="center"/>
              <w:rPr>
                <w:b/>
                <w:sz w:val="14"/>
              </w:rPr>
            </w:pPr>
            <w:r>
              <w:rPr>
                <w:b/>
                <w:sz w:val="18"/>
              </w:rPr>
              <w:t>D</w:t>
            </w:r>
            <w:r>
              <w:rPr>
                <w:b/>
                <w:sz w:val="14"/>
              </w:rPr>
              <w:t>EFAULT EMISSION FACTORS N</w:t>
            </w:r>
            <w:r>
              <w:rPr>
                <w:b/>
                <w:position w:val="-2"/>
                <w:sz w:val="12"/>
              </w:rPr>
              <w:t>2</w:t>
            </w:r>
            <w:r>
              <w:rPr>
                <w:b/>
                <w:sz w:val="14"/>
              </w:rPr>
              <w:t>O EMISSIONS FROM DRAINAGE OF FOREST SOILS</w:t>
            </w:r>
          </w:p>
        </w:tc>
      </w:tr>
      <w:tr>
        <w:trPr>
          <w:trHeight w:val="707" w:hRule="atLeast"/>
        </w:trPr>
        <w:tc>
          <w:tcPr>
            <w:tcW w:w="2822" w:type="dxa"/>
            <w:tcBorders>
              <w:top w:val="double" w:sz="1" w:space="0" w:color="000000"/>
            </w:tcBorders>
          </w:tcPr>
          <w:p>
            <w:pPr>
              <w:pStyle w:val="TableParagraph"/>
              <w:spacing w:before="148"/>
              <w:ind w:left="83" w:right="1648"/>
              <w:rPr>
                <w:b/>
                <w:sz w:val="18"/>
              </w:rPr>
            </w:pPr>
            <w:r>
              <w:rPr>
                <w:b/>
                <w:sz w:val="18"/>
              </w:rPr>
              <w:t>Climate Zone and Soil Type</w:t>
            </w:r>
          </w:p>
        </w:tc>
        <w:tc>
          <w:tcPr>
            <w:tcW w:w="1629" w:type="dxa"/>
            <w:tcBorders>
              <w:top w:val="double" w:sz="1" w:space="0" w:color="000000"/>
            </w:tcBorders>
          </w:tcPr>
          <w:p>
            <w:pPr>
              <w:pStyle w:val="TableParagraph"/>
              <w:spacing w:before="13"/>
              <w:ind w:left="400" w:right="158" w:hanging="214"/>
              <w:rPr>
                <w:b/>
                <w:sz w:val="12"/>
              </w:rPr>
            </w:pPr>
            <w:r>
              <w:rPr>
                <w:b/>
                <w:sz w:val="18"/>
              </w:rPr>
              <w:t>Emission Factor </w:t>
            </w:r>
            <w:r>
              <w:rPr>
                <w:b/>
                <w:position w:val="9"/>
                <w:sz w:val="18"/>
              </w:rPr>
              <w:t>EF</w:t>
            </w:r>
            <w:r>
              <w:rPr>
                <w:b/>
                <w:position w:val="6"/>
                <w:sz w:val="12"/>
              </w:rPr>
              <w:t>FF</w:t>
            </w:r>
            <w:r>
              <w:rPr>
                <w:b/>
                <w:sz w:val="12"/>
              </w:rPr>
              <w:t>drainage</w:t>
            </w:r>
          </w:p>
          <w:p>
            <w:pPr>
              <w:pStyle w:val="TableParagraph"/>
              <w:spacing w:line="182" w:lineRule="exact"/>
              <w:ind w:left="110"/>
              <w:rPr>
                <w:b/>
                <w:sz w:val="18"/>
              </w:rPr>
            </w:pPr>
            <w:r>
              <w:rPr>
                <w:b/>
                <w:sz w:val="18"/>
              </w:rPr>
              <w:t>kg N</w:t>
            </w:r>
            <w:r>
              <w:rPr>
                <w:b/>
                <w:sz w:val="18"/>
                <w:vertAlign w:val="subscript"/>
              </w:rPr>
              <w:t>2</w:t>
            </w:r>
            <w:r>
              <w:rPr>
                <w:b/>
                <w:sz w:val="18"/>
                <w:vertAlign w:val="baseline"/>
              </w:rPr>
              <w:t>O-N ha</w:t>
            </w:r>
            <w:r>
              <w:rPr>
                <w:b/>
                <w:sz w:val="18"/>
                <w:vertAlign w:val="superscript"/>
              </w:rPr>
              <w:t>-1</w:t>
            </w:r>
            <w:r>
              <w:rPr>
                <w:b/>
                <w:sz w:val="18"/>
                <w:vertAlign w:val="baseline"/>
              </w:rPr>
              <w:t> yr</w:t>
            </w:r>
            <w:r>
              <w:rPr>
                <w:b/>
                <w:sz w:val="18"/>
                <w:vertAlign w:val="superscript"/>
              </w:rPr>
              <w:t>-1</w:t>
            </w:r>
          </w:p>
        </w:tc>
        <w:tc>
          <w:tcPr>
            <w:tcW w:w="1629" w:type="dxa"/>
            <w:tcBorders>
              <w:top w:val="double" w:sz="1" w:space="0" w:color="000000"/>
            </w:tcBorders>
          </w:tcPr>
          <w:p>
            <w:pPr>
              <w:pStyle w:val="TableParagraph"/>
              <w:spacing w:before="42"/>
              <w:ind w:left="159" w:right="147"/>
              <w:jc w:val="center"/>
              <w:rPr>
                <w:b/>
                <w:sz w:val="18"/>
              </w:rPr>
            </w:pPr>
            <w:r>
              <w:rPr>
                <w:b/>
                <w:sz w:val="18"/>
              </w:rPr>
              <w:t>Uncertainty range*</w:t>
            </w:r>
          </w:p>
          <w:p>
            <w:pPr>
              <w:pStyle w:val="TableParagraph"/>
              <w:spacing w:line="206" w:lineRule="exact"/>
              <w:ind w:left="95" w:right="85"/>
              <w:jc w:val="center"/>
              <w:rPr>
                <w:b/>
                <w:sz w:val="18"/>
              </w:rPr>
            </w:pPr>
            <w:r>
              <w:rPr>
                <w:b/>
                <w:sz w:val="18"/>
              </w:rPr>
              <w:t>kg N</w:t>
            </w:r>
            <w:r>
              <w:rPr>
                <w:b/>
                <w:sz w:val="18"/>
                <w:vertAlign w:val="subscript"/>
              </w:rPr>
              <w:t>2</w:t>
            </w:r>
            <w:r>
              <w:rPr>
                <w:b/>
                <w:sz w:val="18"/>
                <w:vertAlign w:val="baseline"/>
              </w:rPr>
              <w:t>O-N ha</w:t>
            </w:r>
            <w:r>
              <w:rPr>
                <w:b/>
                <w:sz w:val="18"/>
                <w:vertAlign w:val="superscript"/>
              </w:rPr>
              <w:t>-1</w:t>
            </w:r>
            <w:r>
              <w:rPr>
                <w:b/>
                <w:sz w:val="18"/>
                <w:vertAlign w:val="baseline"/>
              </w:rPr>
              <w:t> yr</w:t>
            </w:r>
            <w:r>
              <w:rPr>
                <w:b/>
                <w:sz w:val="18"/>
                <w:vertAlign w:val="superscript"/>
              </w:rPr>
              <w:t>-1</w:t>
            </w:r>
          </w:p>
        </w:tc>
        <w:tc>
          <w:tcPr>
            <w:tcW w:w="2932" w:type="dxa"/>
            <w:tcBorders>
              <w:top w:val="double" w:sz="1" w:space="0" w:color="000000"/>
            </w:tcBorders>
          </w:tcPr>
          <w:p>
            <w:pPr>
              <w:pStyle w:val="TableParagraph"/>
              <w:spacing w:before="9"/>
              <w:rPr>
                <w:sz w:val="21"/>
              </w:rPr>
            </w:pPr>
          </w:p>
          <w:p>
            <w:pPr>
              <w:pStyle w:val="TableParagraph"/>
              <w:spacing w:before="1"/>
              <w:ind w:left="620"/>
              <w:rPr>
                <w:b/>
                <w:sz w:val="18"/>
              </w:rPr>
            </w:pPr>
            <w:r>
              <w:rPr>
                <w:b/>
                <w:sz w:val="18"/>
              </w:rPr>
              <w:t>Reference/ Comments</w:t>
            </w:r>
          </w:p>
        </w:tc>
      </w:tr>
      <w:tr>
        <w:trPr>
          <w:trHeight w:val="262" w:hRule="atLeast"/>
        </w:trPr>
        <w:tc>
          <w:tcPr>
            <w:tcW w:w="2822" w:type="dxa"/>
            <w:tcBorders>
              <w:bottom w:val="nil"/>
            </w:tcBorders>
          </w:tcPr>
          <w:p>
            <w:pPr>
              <w:pStyle w:val="TableParagraph"/>
              <w:spacing w:line="223" w:lineRule="exact" w:before="19"/>
              <w:ind w:left="83"/>
              <w:rPr>
                <w:b/>
                <w:sz w:val="20"/>
              </w:rPr>
            </w:pPr>
            <w:r>
              <w:rPr>
                <w:b/>
                <w:sz w:val="20"/>
              </w:rPr>
              <w:t>Temperate and Boreal Climate</w:t>
            </w:r>
          </w:p>
        </w:tc>
        <w:tc>
          <w:tcPr>
            <w:tcW w:w="1629" w:type="dxa"/>
            <w:tcBorders>
              <w:bottom w:val="nil"/>
            </w:tcBorders>
          </w:tcPr>
          <w:p>
            <w:pPr>
              <w:pStyle w:val="TableParagraph"/>
              <w:rPr>
                <w:sz w:val="18"/>
              </w:rPr>
            </w:pPr>
          </w:p>
        </w:tc>
        <w:tc>
          <w:tcPr>
            <w:tcW w:w="1629" w:type="dxa"/>
            <w:tcBorders>
              <w:bottom w:val="nil"/>
            </w:tcBorders>
          </w:tcPr>
          <w:p>
            <w:pPr>
              <w:pStyle w:val="TableParagraph"/>
              <w:rPr>
                <w:sz w:val="18"/>
              </w:rPr>
            </w:pPr>
          </w:p>
        </w:tc>
        <w:tc>
          <w:tcPr>
            <w:tcW w:w="2932" w:type="dxa"/>
            <w:tcBorders>
              <w:bottom w:val="nil"/>
            </w:tcBorders>
          </w:tcPr>
          <w:p>
            <w:pPr>
              <w:pStyle w:val="TableParagraph"/>
              <w:rPr>
                <w:sz w:val="18"/>
              </w:rPr>
            </w:pPr>
          </w:p>
        </w:tc>
      </w:tr>
      <w:tr>
        <w:trPr>
          <w:trHeight w:val="247" w:hRule="atLeast"/>
        </w:trPr>
        <w:tc>
          <w:tcPr>
            <w:tcW w:w="2822" w:type="dxa"/>
            <w:tcBorders>
              <w:top w:val="nil"/>
              <w:bottom w:val="nil"/>
            </w:tcBorders>
          </w:tcPr>
          <w:p>
            <w:pPr>
              <w:pStyle w:val="TableParagraph"/>
              <w:spacing w:before="6"/>
              <w:ind w:left="467"/>
              <w:rPr>
                <w:sz w:val="18"/>
              </w:rPr>
            </w:pPr>
            <w:r>
              <w:rPr>
                <w:sz w:val="18"/>
              </w:rPr>
              <w:t>Nutrient Poor Organic Soil</w:t>
            </w:r>
          </w:p>
        </w:tc>
        <w:tc>
          <w:tcPr>
            <w:tcW w:w="1629" w:type="dxa"/>
            <w:tcBorders>
              <w:top w:val="nil"/>
              <w:bottom w:val="nil"/>
            </w:tcBorders>
          </w:tcPr>
          <w:p>
            <w:pPr>
              <w:pStyle w:val="TableParagraph"/>
              <w:spacing w:before="6"/>
              <w:ind w:left="159" w:right="148"/>
              <w:jc w:val="center"/>
              <w:rPr>
                <w:sz w:val="18"/>
              </w:rPr>
            </w:pPr>
            <w:r>
              <w:rPr>
                <w:sz w:val="18"/>
              </w:rPr>
              <w:t>0.1</w:t>
            </w:r>
          </w:p>
        </w:tc>
        <w:tc>
          <w:tcPr>
            <w:tcW w:w="1629" w:type="dxa"/>
            <w:tcBorders>
              <w:top w:val="nil"/>
              <w:bottom w:val="nil"/>
            </w:tcBorders>
          </w:tcPr>
          <w:p>
            <w:pPr>
              <w:pStyle w:val="TableParagraph"/>
              <w:spacing w:before="6"/>
              <w:ind w:left="427"/>
              <w:rPr>
                <w:sz w:val="18"/>
              </w:rPr>
            </w:pPr>
            <w:r>
              <w:rPr>
                <w:sz w:val="18"/>
              </w:rPr>
              <w:t>0.02 to 0.3</w:t>
            </w:r>
          </w:p>
        </w:tc>
        <w:tc>
          <w:tcPr>
            <w:tcW w:w="2932" w:type="dxa"/>
            <w:tcBorders>
              <w:top w:val="nil"/>
              <w:bottom w:val="nil"/>
            </w:tcBorders>
          </w:tcPr>
          <w:p>
            <w:pPr>
              <w:pStyle w:val="TableParagraph"/>
              <w:spacing w:before="6"/>
              <w:ind w:left="108"/>
              <w:rPr>
                <w:sz w:val="18"/>
              </w:rPr>
            </w:pPr>
            <w:r>
              <w:rPr>
                <w:sz w:val="18"/>
              </w:rPr>
              <w:t>Alm </w:t>
            </w:r>
            <w:r>
              <w:rPr>
                <w:i/>
                <w:sz w:val="18"/>
              </w:rPr>
              <w:t>et al., </w:t>
            </w:r>
            <w:r>
              <w:rPr>
                <w:sz w:val="18"/>
              </w:rPr>
              <w:t>1999; Laine </w:t>
            </w:r>
            <w:r>
              <w:rPr>
                <w:i/>
                <w:sz w:val="18"/>
              </w:rPr>
              <w:t>et al.</w:t>
            </w:r>
            <w:r>
              <w:rPr>
                <w:sz w:val="18"/>
              </w:rPr>
              <w:t>, 1996</w:t>
            </w:r>
          </w:p>
        </w:tc>
      </w:tr>
      <w:tr>
        <w:trPr>
          <w:trHeight w:val="502" w:hRule="atLeast"/>
        </w:trPr>
        <w:tc>
          <w:tcPr>
            <w:tcW w:w="2822" w:type="dxa"/>
            <w:tcBorders>
              <w:top w:val="nil"/>
              <w:bottom w:val="nil"/>
            </w:tcBorders>
          </w:tcPr>
          <w:p>
            <w:pPr>
              <w:pStyle w:val="TableParagraph"/>
              <w:rPr>
                <w:sz w:val="18"/>
              </w:rPr>
            </w:pPr>
          </w:p>
        </w:tc>
        <w:tc>
          <w:tcPr>
            <w:tcW w:w="1629" w:type="dxa"/>
            <w:tcBorders>
              <w:top w:val="nil"/>
              <w:bottom w:val="nil"/>
            </w:tcBorders>
          </w:tcPr>
          <w:p>
            <w:pPr>
              <w:pStyle w:val="TableParagraph"/>
              <w:rPr>
                <w:sz w:val="18"/>
              </w:rPr>
            </w:pPr>
          </w:p>
        </w:tc>
        <w:tc>
          <w:tcPr>
            <w:tcW w:w="1629" w:type="dxa"/>
            <w:tcBorders>
              <w:top w:val="nil"/>
              <w:bottom w:val="nil"/>
            </w:tcBorders>
          </w:tcPr>
          <w:p>
            <w:pPr>
              <w:pStyle w:val="TableParagraph"/>
              <w:rPr>
                <w:sz w:val="18"/>
              </w:rPr>
            </w:pPr>
          </w:p>
        </w:tc>
        <w:tc>
          <w:tcPr>
            <w:tcW w:w="2932" w:type="dxa"/>
            <w:tcBorders>
              <w:top w:val="nil"/>
              <w:bottom w:val="nil"/>
            </w:tcBorders>
          </w:tcPr>
          <w:p>
            <w:pPr>
              <w:pStyle w:val="TableParagraph"/>
              <w:spacing w:line="207" w:lineRule="exact" w:before="27"/>
              <w:ind w:left="109"/>
              <w:rPr>
                <w:sz w:val="18"/>
              </w:rPr>
            </w:pPr>
            <w:r>
              <w:rPr>
                <w:sz w:val="18"/>
              </w:rPr>
              <w:t>Martikainen </w:t>
            </w:r>
            <w:r>
              <w:rPr>
                <w:i/>
                <w:sz w:val="18"/>
              </w:rPr>
              <w:t>et al., </w:t>
            </w:r>
            <w:r>
              <w:rPr>
                <w:sz w:val="18"/>
              </w:rPr>
              <w:t>1995; Minkkinen</w:t>
            </w:r>
          </w:p>
          <w:p>
            <w:pPr>
              <w:pStyle w:val="TableParagraph"/>
              <w:spacing w:line="207" w:lineRule="exact"/>
              <w:ind w:left="109"/>
              <w:rPr>
                <w:sz w:val="18"/>
              </w:rPr>
            </w:pPr>
            <w:r>
              <w:rPr>
                <w:i/>
                <w:sz w:val="18"/>
              </w:rPr>
              <w:t>et al., </w:t>
            </w:r>
            <w:r>
              <w:rPr>
                <w:sz w:val="18"/>
              </w:rPr>
              <w:t>2002: Regina </w:t>
            </w:r>
            <w:r>
              <w:rPr>
                <w:i/>
                <w:sz w:val="18"/>
              </w:rPr>
              <w:t>et al</w:t>
            </w:r>
            <w:r>
              <w:rPr>
                <w:sz w:val="18"/>
              </w:rPr>
              <w:t>., 1996</w:t>
            </w:r>
          </w:p>
        </w:tc>
      </w:tr>
      <w:tr>
        <w:trPr>
          <w:trHeight w:val="943" w:hRule="atLeast"/>
        </w:trPr>
        <w:tc>
          <w:tcPr>
            <w:tcW w:w="2822" w:type="dxa"/>
            <w:tcBorders>
              <w:top w:val="nil"/>
              <w:bottom w:val="nil"/>
            </w:tcBorders>
          </w:tcPr>
          <w:p>
            <w:pPr>
              <w:pStyle w:val="TableParagraph"/>
              <w:spacing w:before="54"/>
              <w:ind w:left="467"/>
              <w:rPr>
                <w:sz w:val="18"/>
              </w:rPr>
            </w:pPr>
            <w:r>
              <w:rPr>
                <w:sz w:val="18"/>
              </w:rPr>
              <w:t>Nutrient Rich Organic Soil</w:t>
            </w:r>
          </w:p>
        </w:tc>
        <w:tc>
          <w:tcPr>
            <w:tcW w:w="1629" w:type="dxa"/>
            <w:tcBorders>
              <w:top w:val="nil"/>
              <w:bottom w:val="nil"/>
            </w:tcBorders>
          </w:tcPr>
          <w:p>
            <w:pPr>
              <w:pStyle w:val="TableParagraph"/>
              <w:spacing w:before="54"/>
              <w:ind w:left="159" w:right="146"/>
              <w:jc w:val="center"/>
              <w:rPr>
                <w:sz w:val="18"/>
              </w:rPr>
            </w:pPr>
            <w:r>
              <w:rPr>
                <w:sz w:val="18"/>
              </w:rPr>
              <w:t>0.6</w:t>
            </w:r>
          </w:p>
        </w:tc>
        <w:tc>
          <w:tcPr>
            <w:tcW w:w="1629" w:type="dxa"/>
            <w:tcBorders>
              <w:top w:val="nil"/>
              <w:bottom w:val="nil"/>
            </w:tcBorders>
          </w:tcPr>
          <w:p>
            <w:pPr>
              <w:pStyle w:val="TableParagraph"/>
              <w:spacing w:before="54"/>
              <w:ind w:left="428"/>
              <w:rPr>
                <w:sz w:val="18"/>
              </w:rPr>
            </w:pPr>
            <w:r>
              <w:rPr>
                <w:sz w:val="18"/>
              </w:rPr>
              <w:t>0.16 to 2.4</w:t>
            </w:r>
          </w:p>
        </w:tc>
        <w:tc>
          <w:tcPr>
            <w:tcW w:w="2932" w:type="dxa"/>
            <w:tcBorders>
              <w:top w:val="nil"/>
              <w:bottom w:val="nil"/>
            </w:tcBorders>
          </w:tcPr>
          <w:p>
            <w:pPr>
              <w:pStyle w:val="TableParagraph"/>
              <w:spacing w:before="54"/>
              <w:ind w:left="109" w:right="108"/>
              <w:rPr>
                <w:sz w:val="18"/>
              </w:rPr>
            </w:pPr>
            <w:r>
              <w:rPr>
                <w:sz w:val="18"/>
              </w:rPr>
              <w:t>Klemedtsson </w:t>
            </w:r>
            <w:r>
              <w:rPr>
                <w:i/>
                <w:sz w:val="18"/>
              </w:rPr>
              <w:t>et a</w:t>
            </w:r>
            <w:r>
              <w:rPr>
                <w:sz w:val="18"/>
              </w:rPr>
              <w:t>l., 2002; Laine </w:t>
            </w:r>
            <w:r>
              <w:rPr>
                <w:i/>
                <w:sz w:val="18"/>
              </w:rPr>
              <w:t>et al.</w:t>
            </w:r>
            <w:r>
              <w:rPr>
                <w:sz w:val="18"/>
              </w:rPr>
              <w:t>, 1996; Martikainen </w:t>
            </w:r>
            <w:r>
              <w:rPr>
                <w:i/>
                <w:sz w:val="18"/>
              </w:rPr>
              <w:t>et al</w:t>
            </w:r>
            <w:r>
              <w:rPr>
                <w:sz w:val="18"/>
              </w:rPr>
              <w:t>., 1995; Minkkinen et al., 2002: Regina </w:t>
            </w:r>
            <w:r>
              <w:rPr>
                <w:i/>
                <w:sz w:val="18"/>
              </w:rPr>
              <w:t>et al</w:t>
            </w:r>
            <w:r>
              <w:rPr>
                <w:sz w:val="18"/>
              </w:rPr>
              <w:t>., 1996</w:t>
            </w:r>
          </w:p>
        </w:tc>
      </w:tr>
      <w:tr>
        <w:trPr>
          <w:trHeight w:val="383" w:hRule="atLeast"/>
        </w:trPr>
        <w:tc>
          <w:tcPr>
            <w:tcW w:w="2822" w:type="dxa"/>
            <w:tcBorders>
              <w:top w:val="nil"/>
            </w:tcBorders>
          </w:tcPr>
          <w:p>
            <w:pPr>
              <w:pStyle w:val="TableParagraph"/>
              <w:spacing w:before="54"/>
              <w:ind w:left="467"/>
              <w:rPr>
                <w:sz w:val="18"/>
              </w:rPr>
            </w:pPr>
            <w:r>
              <w:rPr>
                <w:sz w:val="18"/>
              </w:rPr>
              <w:t>Mineral Soil</w:t>
            </w:r>
          </w:p>
        </w:tc>
        <w:tc>
          <w:tcPr>
            <w:tcW w:w="1629" w:type="dxa"/>
            <w:tcBorders>
              <w:top w:val="nil"/>
            </w:tcBorders>
          </w:tcPr>
          <w:p>
            <w:pPr>
              <w:pStyle w:val="TableParagraph"/>
              <w:spacing w:before="54"/>
              <w:ind w:left="158" w:right="148"/>
              <w:jc w:val="center"/>
              <w:rPr>
                <w:sz w:val="18"/>
              </w:rPr>
            </w:pPr>
            <w:r>
              <w:rPr>
                <w:sz w:val="18"/>
              </w:rPr>
              <w:t>0.06</w:t>
            </w:r>
          </w:p>
        </w:tc>
        <w:tc>
          <w:tcPr>
            <w:tcW w:w="1629" w:type="dxa"/>
            <w:tcBorders>
              <w:top w:val="nil"/>
            </w:tcBorders>
          </w:tcPr>
          <w:p>
            <w:pPr>
              <w:pStyle w:val="TableParagraph"/>
              <w:spacing w:before="54"/>
              <w:ind w:left="386"/>
              <w:rPr>
                <w:sz w:val="18"/>
              </w:rPr>
            </w:pPr>
            <w:r>
              <w:rPr>
                <w:sz w:val="18"/>
              </w:rPr>
              <w:t>0.02 to 0.24</w:t>
            </w:r>
          </w:p>
        </w:tc>
        <w:tc>
          <w:tcPr>
            <w:tcW w:w="2932" w:type="dxa"/>
            <w:tcBorders>
              <w:top w:val="nil"/>
            </w:tcBorders>
          </w:tcPr>
          <w:p>
            <w:pPr>
              <w:pStyle w:val="TableParagraph"/>
              <w:spacing w:before="54"/>
              <w:ind w:left="110"/>
              <w:rPr>
                <w:sz w:val="18"/>
              </w:rPr>
            </w:pPr>
            <w:r>
              <w:rPr>
                <w:sz w:val="18"/>
              </w:rPr>
              <w:t>Klemedtsson </w:t>
            </w:r>
            <w:r>
              <w:rPr>
                <w:i/>
                <w:sz w:val="18"/>
              </w:rPr>
              <w:t>et al., </w:t>
            </w:r>
            <w:r>
              <w:rPr>
                <w:sz w:val="18"/>
              </w:rPr>
              <w:t>2002</w:t>
            </w:r>
          </w:p>
        </w:tc>
      </w:tr>
      <w:tr>
        <w:trPr>
          <w:trHeight w:val="443" w:hRule="atLeast"/>
        </w:trPr>
        <w:tc>
          <w:tcPr>
            <w:tcW w:w="2822" w:type="dxa"/>
          </w:tcPr>
          <w:p>
            <w:pPr>
              <w:pStyle w:val="TableParagraph"/>
              <w:spacing w:before="117"/>
              <w:ind w:left="83"/>
              <w:rPr>
                <w:b/>
                <w:sz w:val="18"/>
              </w:rPr>
            </w:pPr>
            <w:r>
              <w:rPr>
                <w:b/>
                <w:sz w:val="18"/>
              </w:rPr>
              <w:t>Tropical Climate</w:t>
            </w:r>
          </w:p>
        </w:tc>
        <w:tc>
          <w:tcPr>
            <w:tcW w:w="1629" w:type="dxa"/>
          </w:tcPr>
          <w:p>
            <w:pPr>
              <w:pStyle w:val="TableParagraph"/>
              <w:spacing w:before="112"/>
              <w:ind w:left="7"/>
              <w:jc w:val="center"/>
              <w:rPr>
                <w:sz w:val="18"/>
              </w:rPr>
            </w:pPr>
            <w:r>
              <w:rPr>
                <w:sz w:val="18"/>
              </w:rPr>
              <w:t>8</w:t>
            </w:r>
          </w:p>
        </w:tc>
        <w:tc>
          <w:tcPr>
            <w:tcW w:w="1629" w:type="dxa"/>
          </w:tcPr>
          <w:p>
            <w:pPr>
              <w:pStyle w:val="TableParagraph"/>
              <w:spacing w:before="112"/>
              <w:ind w:left="158" w:right="148"/>
              <w:jc w:val="center"/>
              <w:rPr>
                <w:sz w:val="18"/>
              </w:rPr>
            </w:pPr>
            <w:r>
              <w:rPr>
                <w:sz w:val="18"/>
              </w:rPr>
              <w:t>0 to 24</w:t>
            </w:r>
          </w:p>
        </w:tc>
        <w:tc>
          <w:tcPr>
            <w:tcW w:w="2932" w:type="dxa"/>
          </w:tcPr>
          <w:p>
            <w:pPr>
              <w:pStyle w:val="TableParagraph"/>
              <w:spacing w:before="9"/>
              <w:ind w:left="109" w:right="628"/>
              <w:rPr>
                <w:sz w:val="18"/>
              </w:rPr>
            </w:pPr>
            <w:r>
              <w:rPr>
                <w:sz w:val="18"/>
              </w:rPr>
              <w:t>Estimated as half the factor of drained organic croplands</w:t>
            </w:r>
          </w:p>
        </w:tc>
      </w:tr>
      <w:tr>
        <w:trPr>
          <w:trHeight w:val="285" w:hRule="atLeast"/>
        </w:trPr>
        <w:tc>
          <w:tcPr>
            <w:tcW w:w="9012" w:type="dxa"/>
            <w:gridSpan w:val="4"/>
          </w:tcPr>
          <w:p>
            <w:pPr>
              <w:pStyle w:val="TableParagraph"/>
              <w:spacing w:before="35"/>
              <w:ind w:left="28"/>
              <w:rPr>
                <w:sz w:val="16"/>
              </w:rPr>
            </w:pPr>
            <w:r>
              <w:rPr>
                <w:sz w:val="16"/>
              </w:rPr>
              <w:t>* 95% confidence interval of log-normal distribution</w:t>
            </w:r>
          </w:p>
        </w:tc>
      </w:tr>
    </w:tbl>
    <w:p>
      <w:pPr>
        <w:pStyle w:val="BodyText"/>
        <w:spacing w:before="11"/>
        <w:rPr>
          <w:sz w:val="21"/>
        </w:rPr>
      </w:pPr>
    </w:p>
    <w:p>
      <w:pPr>
        <w:pStyle w:val="BodyText"/>
        <w:spacing w:before="91"/>
        <w:ind w:left="159" w:right="164"/>
        <w:jc w:val="both"/>
      </w:pPr>
      <w:r>
        <w:rPr>
          <w:b/>
        </w:rPr>
        <w:t>Tier 2: </w:t>
      </w:r>
      <w:r>
        <w:rPr/>
        <w:t>When country-specific data are available, in particular for different management regimes, specific emission factors can be defined in Tier 2. These country-specific emissions should be derived from surveys performed in the country or in comparable neighbouring countries and, if possible, disaggregated by drainage level, vegetation (broadleaved versus coniferous) and fertility of peat. Since literature is sparse and results sometimes contrasting, country-specific emission factors should be derived through a rigorous measurement programme. Good practice guidance on how to derive country-specific emission factors for N</w:t>
      </w:r>
      <w:r>
        <w:rPr>
          <w:vertAlign w:val="subscript"/>
        </w:rPr>
        <w:t>2</w:t>
      </w:r>
      <w:r>
        <w:rPr>
          <w:vertAlign w:val="baseline"/>
        </w:rPr>
        <w:t>O emissions from soils is given in Box 4.1, Good Practice in Derivation of Country-Specific Emission Factors, Page 4.62, of </w:t>
      </w:r>
      <w:r>
        <w:rPr>
          <w:i/>
          <w:vertAlign w:val="baseline"/>
        </w:rPr>
        <w:t>GPG2000</w:t>
      </w:r>
      <w:r>
        <w:rPr>
          <w:vertAlign w:val="baseline"/>
        </w:rPr>
        <w:t>.</w:t>
      </w:r>
    </w:p>
    <w:p>
      <w:pPr>
        <w:pStyle w:val="BodyText"/>
        <w:spacing w:before="118"/>
        <w:ind w:left="159" w:right="167"/>
        <w:jc w:val="both"/>
      </w:pPr>
      <w:r>
        <w:rPr>
          <w:b/>
        </w:rPr>
        <w:t>Tier 3: </w:t>
      </w:r>
      <w:r>
        <w:rPr/>
        <w:t>Under Tier 3, all parameters should be country-defined using more accurate values rather than the defaults. The literature is scarce and results sometimes contradictory and countries are therefore encouraged to derive country-specific emission factors by measurements against appropriate undrained forest sites as a reference. Data should be shared between countries with similar environmental conditions.</w:t>
      </w:r>
    </w:p>
    <w:p>
      <w:pPr>
        <w:pStyle w:val="BodyText"/>
        <w:spacing w:before="8"/>
        <w:rPr>
          <w:sz w:val="31"/>
        </w:rPr>
      </w:pPr>
    </w:p>
    <w:p>
      <w:pPr>
        <w:spacing w:before="0"/>
        <w:ind w:left="159" w:right="0" w:firstLine="0"/>
        <w:jc w:val="both"/>
        <w:rPr>
          <w:b/>
          <w:sz w:val="22"/>
        </w:rPr>
      </w:pPr>
      <w:r>
        <w:rPr>
          <w:b/>
          <w:sz w:val="28"/>
        </w:rPr>
        <w:t>3a.2.2.3 C</w:t>
      </w:r>
      <w:r>
        <w:rPr>
          <w:b/>
          <w:sz w:val="22"/>
        </w:rPr>
        <w:t>HOICE OF ACTIVITY DATA</w:t>
      </w:r>
    </w:p>
    <w:p>
      <w:pPr>
        <w:pStyle w:val="BodyText"/>
        <w:spacing w:before="115"/>
        <w:ind w:left="159" w:right="165"/>
        <w:jc w:val="both"/>
      </w:pPr>
      <w:r>
        <w:rPr/>
        <w:t>The activity data needed to estimate this source is the area of drained and rewetted forest lands. In Tier 1, the national estimate of drained forest soils is stratified by soil fertility, since the default values are provided for nutrient rich and nutrient poor soils. National data will be available at soil services and from wetland surveys, e.g., for international conventions. In case no stratification by peat fertility is possible, countries may rely on expert judgement. Boreal climates tend to promote nutrient-poor raised bogs, while temperate and oceanic climates tend to promote the formation of nutrient-richer peatlands. Further stratification may be possible under Tier 2. For example, area could also be distinguished by management practices such as drainage of different peat types, and tree types. Chapter 2 provides guidance on the approaches available to classify land area.</w:t>
      </w:r>
    </w:p>
    <w:p>
      <w:pPr>
        <w:pStyle w:val="BodyText"/>
        <w:rPr>
          <w:sz w:val="22"/>
        </w:rPr>
      </w:pPr>
    </w:p>
    <w:p>
      <w:pPr>
        <w:pStyle w:val="BodyText"/>
      </w:pPr>
    </w:p>
    <w:p>
      <w:pPr>
        <w:spacing w:before="0"/>
        <w:ind w:left="159" w:right="0" w:firstLine="0"/>
        <w:jc w:val="both"/>
        <w:rPr>
          <w:b/>
          <w:sz w:val="22"/>
        </w:rPr>
      </w:pPr>
      <w:r>
        <w:rPr>
          <w:b/>
          <w:sz w:val="28"/>
        </w:rPr>
        <w:t>3a.2.2.4 U</w:t>
      </w:r>
      <w:r>
        <w:rPr>
          <w:b/>
          <w:sz w:val="22"/>
        </w:rPr>
        <w:t>NCERTAINTY ASSESSMENT</w:t>
      </w:r>
    </w:p>
    <w:p>
      <w:pPr>
        <w:pStyle w:val="BodyText"/>
        <w:spacing w:before="115"/>
        <w:ind w:left="159" w:right="163"/>
        <w:jc w:val="both"/>
      </w:pPr>
      <w:r>
        <w:rPr/>
        <w:t>Estimates of anthropogenic emissions of N</w:t>
      </w:r>
      <w:r>
        <w:rPr>
          <w:vertAlign w:val="subscript"/>
        </w:rPr>
        <w:t>2</w:t>
      </w:r>
      <w:r>
        <w:rPr>
          <w:vertAlign w:val="baseline"/>
        </w:rPr>
        <w:t>O emissions from forests are highly uncertain because of: a) high spatial and temporal variability of the emissions, b) scarcity of long-term measurements and their likely non- representativeness over larger regions, and c) uncertainty in spatial aggregation and uncertainty inherent to the emission factors and activity data.</w:t>
      </w:r>
    </w:p>
    <w:p>
      <w:pPr>
        <w:pStyle w:val="BodyText"/>
        <w:spacing w:before="119"/>
        <w:ind w:left="159"/>
        <w:jc w:val="both"/>
      </w:pPr>
      <w:r>
        <w:rPr>
          <w:b/>
        </w:rPr>
        <w:t>Tier 1: </w:t>
      </w:r>
      <w:r>
        <w:rPr/>
        <w:t>The uncertainty associated with the Tier 1 default emission factors are shown in Table 3a.2.1.</w:t>
      </w:r>
    </w:p>
    <w:p>
      <w:pPr>
        <w:pStyle w:val="BodyText"/>
        <w:spacing w:before="118"/>
        <w:ind w:left="159" w:right="166"/>
        <w:jc w:val="both"/>
      </w:pPr>
      <w:r>
        <w:rPr/>
        <w:t>The uncertainty in the area of forest peatlands and its division between nutrient-poor (ombrotrophic, bogs) and nutrient-rich (minerotrophic, fens) peat types is best calculated by a country-specific assessment of uncertainties. Present estimates of areas of drained and rewetted forest peatlands within a country vary in a wide range  between different data sources and may have an uncertainty of 50% or</w:t>
      </w:r>
      <w:r>
        <w:rPr>
          <w:spacing w:val="-3"/>
        </w:rPr>
        <w:t> </w:t>
      </w:r>
      <w:r>
        <w:rPr/>
        <w:t>more.</w:t>
      </w:r>
    </w:p>
    <w:p>
      <w:pPr>
        <w:pStyle w:val="BodyText"/>
        <w:spacing w:before="120"/>
        <w:ind w:left="159" w:right="166"/>
        <w:jc w:val="both"/>
      </w:pPr>
      <w:r>
        <w:rPr>
          <w:b/>
        </w:rPr>
        <w:t>Tier 2: </w:t>
      </w:r>
      <w:r>
        <w:rPr/>
        <w:t>Good practice in derivation of country-specific emission factors is described in Box 4.1, Good Practice in Derivation of Country-Specific Emission Factors, Page 4.62, of</w:t>
      </w:r>
      <w:r>
        <w:rPr>
          <w:spacing w:val="-7"/>
        </w:rPr>
        <w:t> </w:t>
      </w:r>
      <w:r>
        <w:rPr>
          <w:i/>
        </w:rPr>
        <w:t>GPG2000</w:t>
      </w:r>
      <w:r>
        <w:rPr/>
        <w:t>.</w:t>
      </w:r>
    </w:p>
    <w:p>
      <w:pPr>
        <w:spacing w:after="0"/>
        <w:jc w:val="both"/>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5"/>
        <w:jc w:val="both"/>
      </w:pPr>
      <w:r>
        <w:rPr/>
        <w:t>The area of forest peatlands and its division between nutrient-poor and nutrient-rich peat types needs a country- specific assessment of uncertainties, preferably by comparing various sources of data and applying different area statistics, e.g., in sensitivity or Monte Carlo analyses (Section 5.2, Identifying and Quantifying Uncertainties).</w:t>
      </w:r>
    </w:p>
    <w:p>
      <w:pPr>
        <w:pStyle w:val="BodyText"/>
        <w:spacing w:before="121"/>
        <w:ind w:left="159" w:right="165"/>
        <w:jc w:val="both"/>
      </w:pPr>
      <w:r>
        <w:rPr>
          <w:b/>
        </w:rPr>
        <w:t>Tier 3: </w:t>
      </w:r>
      <w:r>
        <w:rPr/>
        <w:t>Process-based models will probably provide a more realistic estimate but need to be calibrated and validated against measurements. Sufficient representative measurements are needed for validation purposes. Generic guidance on uncertainty assessment for advanced methods is given in Section 5.2, Identifying and Quantifying Uncertainties.</w:t>
      </w:r>
    </w:p>
    <w:p>
      <w:pPr>
        <w:pStyle w:val="BodyText"/>
        <w:spacing w:before="9"/>
        <w:rPr>
          <w:sz w:val="31"/>
        </w:rPr>
      </w:pPr>
    </w:p>
    <w:p>
      <w:pPr>
        <w:pStyle w:val="Heading2"/>
        <w:ind w:left="159" w:firstLine="0"/>
        <w:jc w:val="both"/>
      </w:pPr>
      <w:r>
        <w:rPr>
          <w:spacing w:val="8"/>
        </w:rPr>
        <w:t>3a.2.3</w:t>
      </w:r>
      <w:r>
        <w:rPr>
          <w:spacing w:val="84"/>
        </w:rPr>
        <w:t> </w:t>
      </w:r>
      <w:r>
        <w:rPr>
          <w:spacing w:val="9"/>
        </w:rPr>
        <w:t>Completeness</w:t>
      </w:r>
    </w:p>
    <w:p>
      <w:pPr>
        <w:pStyle w:val="BodyText"/>
        <w:spacing w:before="113"/>
        <w:ind w:left="159"/>
        <w:jc w:val="both"/>
      </w:pPr>
      <w:r>
        <w:rPr/>
        <w:t>In order to ensure consistency with reporting on CO</w:t>
      </w:r>
      <w:r>
        <w:rPr>
          <w:vertAlign w:val="subscript"/>
        </w:rPr>
        <w:t>2</w:t>
      </w:r>
      <w:r>
        <w:rPr>
          <w:vertAlign w:val="baseline"/>
        </w:rPr>
        <w:t> emissions from drained forest soils, please refer to Section</w:t>
      </w:r>
    </w:p>
    <w:p>
      <w:pPr>
        <w:pStyle w:val="ListParagraph"/>
        <w:numPr>
          <w:ilvl w:val="2"/>
          <w:numId w:val="119"/>
        </w:numPr>
        <w:tabs>
          <w:tab w:pos="611" w:val="left" w:leader="none"/>
        </w:tabs>
        <w:spacing w:line="240" w:lineRule="auto" w:before="1" w:after="0"/>
        <w:ind w:left="610" w:right="0" w:hanging="451"/>
        <w:jc w:val="both"/>
        <w:rPr>
          <w:sz w:val="20"/>
        </w:rPr>
      </w:pPr>
      <w:r>
        <w:rPr>
          <w:sz w:val="20"/>
        </w:rPr>
        <w:t>on completeness in the main</w:t>
      </w:r>
      <w:r>
        <w:rPr>
          <w:spacing w:val="-2"/>
          <w:sz w:val="20"/>
        </w:rPr>
        <w:t> </w:t>
      </w:r>
      <w:r>
        <w:rPr>
          <w:sz w:val="20"/>
        </w:rPr>
        <w:t>text.</w:t>
      </w:r>
    </w:p>
    <w:p>
      <w:pPr>
        <w:pStyle w:val="BodyText"/>
        <w:rPr>
          <w:sz w:val="22"/>
        </w:rPr>
      </w:pPr>
    </w:p>
    <w:p>
      <w:pPr>
        <w:pStyle w:val="BodyText"/>
        <w:spacing w:before="11"/>
        <w:rPr>
          <w:sz w:val="19"/>
        </w:rPr>
      </w:pPr>
    </w:p>
    <w:p>
      <w:pPr>
        <w:spacing w:before="0"/>
        <w:ind w:left="159" w:right="0" w:firstLine="0"/>
        <w:jc w:val="both"/>
        <w:rPr>
          <w:b/>
          <w:sz w:val="22"/>
        </w:rPr>
      </w:pPr>
      <w:r>
        <w:rPr>
          <w:b/>
          <w:sz w:val="28"/>
        </w:rPr>
        <w:t>3a.2.3.1 D</w:t>
      </w:r>
      <w:r>
        <w:rPr>
          <w:b/>
          <w:sz w:val="22"/>
        </w:rPr>
        <w:t>EVELOPING A CONSISTENT TIME SERIES</w:t>
      </w:r>
    </w:p>
    <w:p>
      <w:pPr>
        <w:pStyle w:val="BodyText"/>
        <w:spacing w:before="115"/>
        <w:ind w:left="159"/>
        <w:jc w:val="both"/>
      </w:pPr>
      <w:r>
        <w:rPr/>
        <w:t>In order to ensure consistency with reporting on CO</w:t>
      </w:r>
      <w:r>
        <w:rPr>
          <w:vertAlign w:val="subscript"/>
        </w:rPr>
        <w:t>2</w:t>
      </w:r>
      <w:r>
        <w:rPr>
          <w:vertAlign w:val="baseline"/>
        </w:rPr>
        <w:t> emissions from drained forest soils, please refer to Section</w:t>
      </w:r>
    </w:p>
    <w:p>
      <w:pPr>
        <w:pStyle w:val="ListParagraph"/>
        <w:numPr>
          <w:ilvl w:val="2"/>
          <w:numId w:val="119"/>
        </w:numPr>
        <w:tabs>
          <w:tab w:pos="610" w:val="left" w:leader="none"/>
        </w:tabs>
        <w:spacing w:line="240" w:lineRule="auto" w:before="0" w:after="0"/>
        <w:ind w:left="609" w:right="0" w:hanging="450"/>
        <w:jc w:val="both"/>
        <w:rPr>
          <w:sz w:val="20"/>
        </w:rPr>
      </w:pPr>
      <w:r>
        <w:rPr>
          <w:sz w:val="20"/>
        </w:rPr>
        <w:t>on developing a consistent time series in the main</w:t>
      </w:r>
      <w:r>
        <w:rPr>
          <w:spacing w:val="-4"/>
          <w:sz w:val="20"/>
        </w:rPr>
        <w:t> </w:t>
      </w:r>
      <w:r>
        <w:rPr>
          <w:sz w:val="20"/>
        </w:rPr>
        <w:t>text.</w:t>
      </w:r>
    </w:p>
    <w:p>
      <w:pPr>
        <w:pStyle w:val="BodyText"/>
        <w:rPr>
          <w:sz w:val="22"/>
        </w:rPr>
      </w:pPr>
    </w:p>
    <w:p>
      <w:pPr>
        <w:pStyle w:val="BodyText"/>
        <w:spacing w:before="3"/>
      </w:pPr>
    </w:p>
    <w:p>
      <w:pPr>
        <w:pStyle w:val="Heading2"/>
        <w:ind w:left="159" w:firstLine="0"/>
        <w:jc w:val="both"/>
      </w:pPr>
      <w:r>
        <w:rPr/>
        <w:t>3a.2.4 Reporting and Documentation</w:t>
      </w:r>
    </w:p>
    <w:p>
      <w:pPr>
        <w:pStyle w:val="BodyText"/>
        <w:spacing w:before="114"/>
        <w:ind w:left="159"/>
        <w:jc w:val="both"/>
      </w:pPr>
      <w:r>
        <w:rPr/>
        <w:t>In order to ensure consistency with reporting on CO</w:t>
      </w:r>
      <w:r>
        <w:rPr>
          <w:vertAlign w:val="subscript"/>
        </w:rPr>
        <w:t>2</w:t>
      </w:r>
      <w:r>
        <w:rPr>
          <w:vertAlign w:val="baseline"/>
        </w:rPr>
        <w:t> emissions from drained forest soils, please refer to Section</w:t>
      </w:r>
    </w:p>
    <w:p>
      <w:pPr>
        <w:pStyle w:val="ListParagraph"/>
        <w:numPr>
          <w:ilvl w:val="2"/>
          <w:numId w:val="119"/>
        </w:numPr>
        <w:tabs>
          <w:tab w:pos="610" w:val="left" w:leader="none"/>
        </w:tabs>
        <w:spacing w:line="240" w:lineRule="auto" w:before="1" w:after="0"/>
        <w:ind w:left="609" w:right="0" w:hanging="450"/>
        <w:jc w:val="both"/>
        <w:rPr>
          <w:sz w:val="20"/>
        </w:rPr>
      </w:pPr>
      <w:r>
        <w:rPr>
          <w:sz w:val="20"/>
        </w:rPr>
        <w:t>on reporting and documentation in the main</w:t>
      </w:r>
      <w:r>
        <w:rPr>
          <w:spacing w:val="-3"/>
          <w:sz w:val="20"/>
        </w:rPr>
        <w:t> </w:t>
      </w:r>
      <w:r>
        <w:rPr>
          <w:sz w:val="20"/>
        </w:rPr>
        <w:t>text.</w:t>
      </w:r>
    </w:p>
    <w:p>
      <w:pPr>
        <w:pStyle w:val="BodyText"/>
        <w:rPr>
          <w:sz w:val="22"/>
        </w:rPr>
      </w:pPr>
    </w:p>
    <w:p>
      <w:pPr>
        <w:pStyle w:val="BodyText"/>
        <w:spacing w:before="2"/>
      </w:pPr>
    </w:p>
    <w:p>
      <w:pPr>
        <w:pStyle w:val="Heading2"/>
        <w:spacing w:before="1"/>
        <w:ind w:left="159" w:firstLine="0"/>
        <w:jc w:val="both"/>
      </w:pPr>
      <w:r>
        <w:rPr/>
        <w:t>3a.2.5 Quality Assurance/ Quality Control (QA/QC)</w:t>
      </w:r>
    </w:p>
    <w:p>
      <w:pPr>
        <w:pStyle w:val="BodyText"/>
        <w:spacing w:before="113"/>
        <w:ind w:left="159"/>
        <w:jc w:val="both"/>
      </w:pPr>
      <w:r>
        <w:rPr/>
        <w:t>In order to ensure consistency with reporting on CO</w:t>
      </w:r>
      <w:r>
        <w:rPr>
          <w:vertAlign w:val="subscript"/>
        </w:rPr>
        <w:t>2</w:t>
      </w:r>
      <w:r>
        <w:rPr>
          <w:vertAlign w:val="baseline"/>
        </w:rPr>
        <w:t> emissions from drained forest soils, please refer to Section</w:t>
      </w:r>
    </w:p>
    <w:p>
      <w:pPr>
        <w:pStyle w:val="ListParagraph"/>
        <w:numPr>
          <w:ilvl w:val="2"/>
          <w:numId w:val="119"/>
        </w:numPr>
        <w:tabs>
          <w:tab w:pos="611" w:val="left" w:leader="none"/>
        </w:tabs>
        <w:spacing w:line="240" w:lineRule="auto" w:before="1" w:after="0"/>
        <w:ind w:left="610" w:right="0" w:hanging="451"/>
        <w:jc w:val="both"/>
        <w:rPr>
          <w:sz w:val="20"/>
        </w:rPr>
      </w:pPr>
      <w:r>
        <w:rPr>
          <w:sz w:val="20"/>
        </w:rPr>
        <w:t>on inventory quality assurance/quality control (QA/QC) in the main</w:t>
      </w:r>
      <w:r>
        <w:rPr>
          <w:spacing w:val="-12"/>
          <w:sz w:val="20"/>
        </w:rPr>
        <w:t> </w:t>
      </w:r>
      <w:r>
        <w:rPr>
          <w:sz w:val="20"/>
        </w:rPr>
        <w:t>text.</w:t>
      </w:r>
    </w:p>
    <w:p>
      <w:pPr>
        <w:spacing w:after="0" w:line="240" w:lineRule="auto"/>
        <w:jc w:val="both"/>
        <w:rPr>
          <w:sz w:val="20"/>
        </w:rPr>
        <w:sectPr>
          <w:pgSz w:w="11900" w:h="16840"/>
          <w:pgMar w:header="235" w:footer="408" w:top="560" w:bottom="600" w:left="1260" w:right="1240"/>
        </w:sectPr>
      </w:pPr>
    </w:p>
    <w:p>
      <w:pPr>
        <w:pStyle w:val="BodyText"/>
      </w:pPr>
    </w:p>
    <w:p>
      <w:pPr>
        <w:pStyle w:val="BodyText"/>
      </w:pPr>
    </w:p>
    <w:p>
      <w:pPr>
        <w:pStyle w:val="BodyText"/>
        <w:spacing w:before="3"/>
        <w:rPr>
          <w:sz w:val="17"/>
        </w:rPr>
      </w:pPr>
    </w:p>
    <w:p>
      <w:pPr>
        <w:pStyle w:val="Heading2"/>
        <w:spacing w:before="86"/>
        <w:ind w:left="159" w:firstLine="0"/>
      </w:pPr>
      <w:r>
        <w:rPr/>
        <w:t>Appendix 3a.3 Wetlands Remaining Wetlands:</w:t>
      </w:r>
    </w:p>
    <w:p>
      <w:pPr>
        <w:spacing w:before="2"/>
        <w:ind w:left="2314" w:right="0" w:firstLine="0"/>
        <w:jc w:val="left"/>
        <w:rPr>
          <w:b/>
          <w:sz w:val="32"/>
        </w:rPr>
      </w:pPr>
      <w:r>
        <w:rPr>
          <w:b/>
          <w:sz w:val="32"/>
        </w:rPr>
        <w:t>Basis for future methodological development</w:t>
      </w:r>
    </w:p>
    <w:p>
      <w:pPr>
        <w:pStyle w:val="BodyText"/>
        <w:spacing w:before="10"/>
        <w:rPr>
          <w:b/>
          <w:sz w:val="46"/>
        </w:rPr>
      </w:pPr>
    </w:p>
    <w:p>
      <w:pPr>
        <w:tabs>
          <w:tab w:pos="1361" w:val="left" w:leader="none"/>
        </w:tabs>
        <w:spacing w:before="0"/>
        <w:ind w:left="159" w:right="0" w:firstLine="0"/>
        <w:jc w:val="left"/>
        <w:rPr>
          <w:b/>
          <w:sz w:val="32"/>
        </w:rPr>
      </w:pPr>
      <w:r>
        <w:rPr>
          <w:b/>
          <w:spacing w:val="8"/>
          <w:sz w:val="32"/>
        </w:rPr>
        <w:t>3a.3.1</w:t>
        <w:tab/>
        <w:t>Introduction</w:t>
      </w:r>
    </w:p>
    <w:p>
      <w:pPr>
        <w:pStyle w:val="BodyText"/>
        <w:spacing w:before="114"/>
        <w:ind w:left="159" w:right="164"/>
        <w:jc w:val="both"/>
      </w:pPr>
      <w:r>
        <w:rPr/>
        <w:t>This section develops the coverage of Section 5.4.3 (Other Possible Categories of Activity) of the </w:t>
      </w:r>
      <w:r>
        <w:rPr>
          <w:i/>
        </w:rPr>
        <w:t>IPCC Guidelines </w:t>
      </w:r>
      <w:r>
        <w:rPr/>
        <w:t>by describing methodologies for estimating carbon stock changes, as well as CH</w:t>
      </w:r>
      <w:r>
        <w:rPr>
          <w:vertAlign w:val="subscript"/>
        </w:rPr>
        <w:t>4</w:t>
      </w:r>
      <w:r>
        <w:rPr>
          <w:vertAlign w:val="baseline"/>
        </w:rPr>
        <w:t> and N</w:t>
      </w:r>
      <w:r>
        <w:rPr>
          <w:vertAlign w:val="subscript"/>
        </w:rPr>
        <w:t>2</w:t>
      </w:r>
      <w:r>
        <w:rPr>
          <w:vertAlign w:val="baseline"/>
        </w:rPr>
        <w:t>O emissions (which can be as significant as CO</w:t>
      </w:r>
      <w:r>
        <w:rPr>
          <w:vertAlign w:val="subscript"/>
        </w:rPr>
        <w:t>2</w:t>
      </w:r>
      <w:r>
        <w:rPr>
          <w:vertAlign w:val="baseline"/>
        </w:rPr>
        <w:t> emissions) from wetlands remaining wetlands. Land conversion to wetlands is described in Section 3.5 of this report.</w:t>
      </w:r>
    </w:p>
    <w:p>
      <w:pPr>
        <w:pStyle w:val="BodyText"/>
        <w:spacing w:before="119"/>
        <w:ind w:left="159"/>
        <w:jc w:val="both"/>
      </w:pPr>
      <w:r>
        <w:rPr/>
        <w:t>The estimate of CO</w:t>
      </w:r>
      <w:r>
        <w:rPr>
          <w:vertAlign w:val="subscript"/>
        </w:rPr>
        <w:t>2</w:t>
      </w:r>
      <w:r>
        <w:rPr>
          <w:vertAlign w:val="baseline"/>
        </w:rPr>
        <w:t> emissions in wetland has two basic elements, as shown in Equation 3a.3.1.</w:t>
      </w:r>
    </w:p>
    <w:p>
      <w:pPr>
        <w:pStyle w:val="BodyText"/>
        <w:spacing w:before="2"/>
        <w:rPr>
          <w:sz w:val="11"/>
        </w:rPr>
      </w:pPr>
      <w:r>
        <w:rPr/>
        <w:pict>
          <v:shape style="position:absolute;margin-left:91.960999pt;margin-top:9.1346pt;width:411.5pt;height:49.95pt;mso-position-horizontal-relative:page;mso-position-vertical-relative:paragraph;z-index:14264;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3a.3.1</w:t>
                  </w:r>
                </w:p>
                <w:p>
                  <w:pPr>
                    <w:spacing w:line="229" w:lineRule="exact" w:before="0"/>
                    <w:ind w:left="69" w:right="68" w:firstLine="0"/>
                    <w:jc w:val="center"/>
                    <w:rPr>
                      <w:b/>
                      <w:sz w:val="16"/>
                    </w:rPr>
                  </w:pPr>
                  <w:r>
                    <w:rPr>
                      <w:b/>
                      <w:sz w:val="20"/>
                    </w:rPr>
                    <w:t>CO</w:t>
                  </w:r>
                  <w:r>
                    <w:rPr>
                      <w:b/>
                      <w:sz w:val="20"/>
                      <w:vertAlign w:val="subscript"/>
                    </w:rPr>
                    <w:t>2</w:t>
                  </w:r>
                  <w:r>
                    <w:rPr>
                      <w:b/>
                      <w:sz w:val="20"/>
                      <w:vertAlign w:val="baseline"/>
                    </w:rPr>
                    <w:t> </w:t>
                  </w:r>
                  <w:r>
                    <w:rPr>
                      <w:b/>
                      <w:sz w:val="16"/>
                      <w:vertAlign w:val="baseline"/>
                    </w:rPr>
                    <w:t>EMISSIONS IN WETLAND REMAINING WETLAND</w:t>
                  </w:r>
                </w:p>
                <w:p>
                  <w:pPr>
                    <w:pStyle w:val="BodyText"/>
                    <w:spacing w:before="79"/>
                    <w:ind w:left="111" w:right="61"/>
                    <w:jc w:val="center"/>
                  </w:pPr>
                  <w:r>
                    <w:rPr/>
                    <w:t>CO</w:t>
                  </w:r>
                  <w:r>
                    <w:rPr>
                      <w:vertAlign w:val="subscript"/>
                    </w:rPr>
                    <w:t>2</w:t>
                  </w:r>
                  <w:r>
                    <w:rPr>
                      <w:vertAlign w:val="baseline"/>
                    </w:rPr>
                    <w:t> emissions</w:t>
                  </w:r>
                  <w:r>
                    <w:rPr>
                      <w:vertAlign w:val="subscript"/>
                    </w:rPr>
                    <w:t>WW</w:t>
                  </w:r>
                  <w:r>
                    <w:rPr>
                      <w:vertAlign w:val="baseline"/>
                    </w:rPr>
                    <w:t> = CO</w:t>
                  </w:r>
                  <w:r>
                    <w:rPr>
                      <w:vertAlign w:val="subscript"/>
                    </w:rPr>
                    <w:t>2</w:t>
                  </w:r>
                  <w:r>
                    <w:rPr>
                      <w:vertAlign w:val="baseline"/>
                    </w:rPr>
                    <w:t> emissions</w:t>
                  </w:r>
                  <w:r>
                    <w:rPr>
                      <w:vertAlign w:val="subscript"/>
                    </w:rPr>
                    <w:t>WW</w:t>
                  </w:r>
                  <w:r>
                    <w:rPr>
                      <w:vertAlign w:val="baseline"/>
                    </w:rPr>
                    <w:t> </w:t>
                  </w:r>
                  <w:r>
                    <w:rPr>
                      <w:vertAlign w:val="subscript"/>
                    </w:rPr>
                    <w:t>peat</w:t>
                  </w:r>
                  <w:r>
                    <w:rPr>
                      <w:vertAlign w:val="baseline"/>
                    </w:rPr>
                    <w:t>+ CO</w:t>
                  </w:r>
                  <w:r>
                    <w:rPr>
                      <w:vertAlign w:val="subscript"/>
                    </w:rPr>
                    <w:t>2</w:t>
                  </w:r>
                  <w:r>
                    <w:rPr>
                      <w:vertAlign w:val="baseline"/>
                    </w:rPr>
                    <w:t> emissions</w:t>
                  </w:r>
                  <w:r>
                    <w:rPr>
                      <w:vertAlign w:val="subscript"/>
                    </w:rPr>
                    <w:t>WW</w:t>
                  </w:r>
                  <w:r>
                    <w:rPr>
                      <w:vertAlign w:val="baseline"/>
                    </w:rPr>
                    <w:t> </w:t>
                  </w:r>
                  <w:r>
                    <w:rPr>
                      <w:vertAlign w:val="subscript"/>
                    </w:rPr>
                    <w:t>flood</w:t>
                  </w:r>
                </w:p>
              </w:txbxContent>
            </v:textbox>
            <v:stroke dashstyle="solid"/>
            <w10:wrap type="topAndBottom"/>
          </v:shape>
        </w:pict>
      </w:r>
    </w:p>
    <w:p>
      <w:pPr>
        <w:pStyle w:val="BodyText"/>
        <w:spacing w:before="4"/>
        <w:ind w:left="159"/>
      </w:pPr>
      <w:r>
        <w:rPr/>
        <w:t>Where:</w:t>
      </w:r>
    </w:p>
    <w:p>
      <w:pPr>
        <w:pStyle w:val="BodyText"/>
        <w:spacing w:before="121"/>
        <w:ind w:left="701"/>
      </w:pPr>
      <w:r>
        <w:rPr/>
        <w:t>CO</w:t>
      </w:r>
      <w:r>
        <w:rPr>
          <w:vertAlign w:val="subscript"/>
        </w:rPr>
        <w:t>2</w:t>
      </w:r>
      <w:r>
        <w:rPr>
          <w:vertAlign w:val="baseline"/>
        </w:rPr>
        <w:t> emissions</w:t>
      </w:r>
      <w:r>
        <w:rPr>
          <w:vertAlign w:val="subscript"/>
        </w:rPr>
        <w:t>WW</w:t>
      </w:r>
      <w:r>
        <w:rPr>
          <w:vertAlign w:val="baseline"/>
        </w:rPr>
        <w:t> = CO</w:t>
      </w:r>
      <w:r>
        <w:rPr>
          <w:vertAlign w:val="subscript"/>
        </w:rPr>
        <w:t>2</w:t>
      </w:r>
      <w:r>
        <w:rPr>
          <w:vertAlign w:val="baseline"/>
        </w:rPr>
        <w:t> emissions in wetland remaining wetland, Gg CO</w:t>
      </w:r>
      <w:r>
        <w:rPr>
          <w:vertAlign w:val="subscript"/>
        </w:rPr>
        <w:t>2</w:t>
      </w:r>
      <w:r>
        <w:rPr>
          <w:vertAlign w:val="baseline"/>
        </w:rPr>
        <w:t> yr</w:t>
      </w:r>
      <w:r>
        <w:rPr>
          <w:vertAlign w:val="superscript"/>
        </w:rPr>
        <w:t>-1</w:t>
      </w:r>
    </w:p>
    <w:p>
      <w:pPr>
        <w:pStyle w:val="BodyText"/>
        <w:spacing w:before="120"/>
        <w:ind w:left="2693" w:right="312" w:hanging="1992"/>
      </w:pPr>
      <w:r>
        <w:rPr/>
        <w:t>CO</w:t>
      </w:r>
      <w:r>
        <w:rPr>
          <w:vertAlign w:val="subscript"/>
        </w:rPr>
        <w:t>2</w:t>
      </w:r>
      <w:r>
        <w:rPr>
          <w:vertAlign w:val="baseline"/>
        </w:rPr>
        <w:t> emissions</w:t>
      </w:r>
      <w:r>
        <w:rPr>
          <w:vertAlign w:val="subscript"/>
        </w:rPr>
        <w:t>WW</w:t>
      </w:r>
      <w:r>
        <w:rPr>
          <w:vertAlign w:val="baseline"/>
        </w:rPr>
        <w:t> </w:t>
      </w:r>
      <w:r>
        <w:rPr>
          <w:vertAlign w:val="subscript"/>
        </w:rPr>
        <w:t>peat</w:t>
      </w:r>
      <w:r>
        <w:rPr>
          <w:vertAlign w:val="baseline"/>
        </w:rPr>
        <w:t> = CO</w:t>
      </w:r>
      <w:r>
        <w:rPr>
          <w:vertAlign w:val="subscript"/>
        </w:rPr>
        <w:t>2</w:t>
      </w:r>
      <w:r>
        <w:rPr>
          <w:vertAlign w:val="baseline"/>
        </w:rPr>
        <w:t> emissions from organic soils managed for peat extraction (Section 3a.3.1), Gg CO</w:t>
      </w:r>
      <w:r>
        <w:rPr>
          <w:vertAlign w:val="subscript"/>
        </w:rPr>
        <w:t>2</w:t>
      </w:r>
      <w:r>
        <w:rPr>
          <w:vertAlign w:val="baseline"/>
        </w:rPr>
        <w:t> yr</w:t>
      </w:r>
      <w:r>
        <w:rPr>
          <w:vertAlign w:val="superscript"/>
        </w:rPr>
        <w:t>-1</w:t>
      </w:r>
    </w:p>
    <w:p>
      <w:pPr>
        <w:pStyle w:val="BodyText"/>
        <w:spacing w:before="118"/>
        <w:ind w:left="701"/>
      </w:pPr>
      <w:r>
        <w:rPr/>
        <w:t>CO</w:t>
      </w:r>
      <w:r>
        <w:rPr>
          <w:vertAlign w:val="subscript"/>
        </w:rPr>
        <w:t>2</w:t>
      </w:r>
      <w:r>
        <w:rPr>
          <w:spacing w:val="-4"/>
          <w:vertAlign w:val="baseline"/>
        </w:rPr>
        <w:t> </w:t>
      </w:r>
      <w:r>
        <w:rPr>
          <w:vertAlign w:val="baseline"/>
        </w:rPr>
        <w:t>emissions</w:t>
      </w:r>
      <w:r>
        <w:rPr>
          <w:vertAlign w:val="subscript"/>
        </w:rPr>
        <w:t>WW</w:t>
      </w:r>
      <w:r>
        <w:rPr>
          <w:spacing w:val="-19"/>
          <w:vertAlign w:val="baseline"/>
        </w:rPr>
        <w:t> </w:t>
      </w:r>
      <w:r>
        <w:rPr>
          <w:vertAlign w:val="subscript"/>
        </w:rPr>
        <w:t>flood</w:t>
      </w:r>
      <w:r>
        <w:rPr>
          <w:spacing w:val="-19"/>
          <w:vertAlign w:val="baseline"/>
        </w:rPr>
        <w:t> </w:t>
      </w:r>
      <w:r>
        <w:rPr>
          <w:vertAlign w:val="baseline"/>
        </w:rPr>
        <w:t>=</w:t>
      </w:r>
      <w:r>
        <w:rPr>
          <w:spacing w:val="-3"/>
          <w:vertAlign w:val="baseline"/>
        </w:rPr>
        <w:t> </w:t>
      </w:r>
      <w:r>
        <w:rPr>
          <w:vertAlign w:val="baseline"/>
        </w:rPr>
        <w:t>CO</w:t>
      </w:r>
      <w:r>
        <w:rPr>
          <w:vertAlign w:val="subscript"/>
        </w:rPr>
        <w:t>2</w:t>
      </w:r>
      <w:r>
        <w:rPr>
          <w:spacing w:val="-4"/>
          <w:vertAlign w:val="baseline"/>
        </w:rPr>
        <w:t> </w:t>
      </w:r>
      <w:r>
        <w:rPr>
          <w:vertAlign w:val="baseline"/>
        </w:rPr>
        <w:t>emissions</w:t>
      </w:r>
      <w:r>
        <w:rPr>
          <w:spacing w:val="-4"/>
          <w:vertAlign w:val="baseline"/>
        </w:rPr>
        <w:t> </w:t>
      </w:r>
      <w:r>
        <w:rPr>
          <w:vertAlign w:val="baseline"/>
        </w:rPr>
        <w:t>from</w:t>
      </w:r>
      <w:r>
        <w:rPr>
          <w:spacing w:val="-4"/>
          <w:vertAlign w:val="baseline"/>
        </w:rPr>
        <w:t> </w:t>
      </w:r>
      <w:r>
        <w:rPr>
          <w:vertAlign w:val="baseline"/>
        </w:rPr>
        <w:t>flooded</w:t>
      </w:r>
      <w:r>
        <w:rPr>
          <w:spacing w:val="-2"/>
          <w:vertAlign w:val="baseline"/>
        </w:rPr>
        <w:t> </w:t>
      </w:r>
      <w:r>
        <w:rPr>
          <w:vertAlign w:val="baseline"/>
        </w:rPr>
        <w:t>land</w:t>
      </w:r>
      <w:r>
        <w:rPr>
          <w:spacing w:val="-3"/>
          <w:vertAlign w:val="baseline"/>
        </w:rPr>
        <w:t> </w:t>
      </w:r>
      <w:r>
        <w:rPr>
          <w:vertAlign w:val="baseline"/>
        </w:rPr>
        <w:t>(Section</w:t>
      </w:r>
      <w:r>
        <w:rPr>
          <w:spacing w:val="-4"/>
          <w:vertAlign w:val="baseline"/>
        </w:rPr>
        <w:t> </w:t>
      </w:r>
      <w:r>
        <w:rPr>
          <w:vertAlign w:val="baseline"/>
        </w:rPr>
        <w:t>3a.3.2),</w:t>
      </w:r>
      <w:r>
        <w:rPr>
          <w:spacing w:val="-2"/>
          <w:vertAlign w:val="baseline"/>
        </w:rPr>
        <w:t> </w:t>
      </w:r>
      <w:r>
        <w:rPr>
          <w:vertAlign w:val="baseline"/>
        </w:rPr>
        <w:t>Gg</w:t>
      </w:r>
      <w:r>
        <w:rPr>
          <w:spacing w:val="-4"/>
          <w:vertAlign w:val="baseline"/>
        </w:rPr>
        <w:t> </w:t>
      </w:r>
      <w:r>
        <w:rPr>
          <w:vertAlign w:val="baseline"/>
        </w:rPr>
        <w:t>CO</w:t>
      </w:r>
      <w:r>
        <w:rPr>
          <w:vertAlign w:val="subscript"/>
        </w:rPr>
        <w:t>2</w:t>
      </w:r>
      <w:r>
        <w:rPr>
          <w:spacing w:val="-2"/>
          <w:vertAlign w:val="baseline"/>
        </w:rPr>
        <w:t> </w:t>
      </w:r>
      <w:r>
        <w:rPr>
          <w:vertAlign w:val="baseline"/>
        </w:rPr>
        <w:t>yr</w:t>
      </w:r>
      <w:r>
        <w:rPr>
          <w:vertAlign w:val="superscript"/>
        </w:rPr>
        <w:t>-1</w:t>
      </w:r>
    </w:p>
    <w:p>
      <w:pPr>
        <w:pStyle w:val="BodyText"/>
        <w:rPr>
          <w:sz w:val="26"/>
        </w:rPr>
      </w:pPr>
    </w:p>
    <w:p>
      <w:pPr>
        <w:pStyle w:val="BodyText"/>
        <w:spacing w:before="172"/>
        <w:ind w:left="159"/>
      </w:pPr>
      <w:r>
        <w:rPr/>
        <w:t>The</w:t>
      </w:r>
      <w:r>
        <w:rPr>
          <w:spacing w:val="-3"/>
        </w:rPr>
        <w:t> </w:t>
      </w:r>
      <w:r>
        <w:rPr/>
        <w:t>estimate</w:t>
      </w:r>
      <w:r>
        <w:rPr>
          <w:spacing w:val="-3"/>
        </w:rPr>
        <w:t> </w:t>
      </w:r>
      <w:r>
        <w:rPr/>
        <w:t>of</w:t>
      </w:r>
      <w:r>
        <w:rPr>
          <w:spacing w:val="-4"/>
        </w:rPr>
        <w:t> </w:t>
      </w:r>
      <w:r>
        <w:rPr/>
        <w:t>N</w:t>
      </w:r>
      <w:r>
        <w:rPr>
          <w:vertAlign w:val="subscript"/>
        </w:rPr>
        <w:t>2</w:t>
      </w:r>
      <w:r>
        <w:rPr>
          <w:vertAlign w:val="baseline"/>
        </w:rPr>
        <w:t>O</w:t>
      </w:r>
      <w:r>
        <w:rPr>
          <w:spacing w:val="-3"/>
          <w:vertAlign w:val="baseline"/>
        </w:rPr>
        <w:t> </w:t>
      </w:r>
      <w:r>
        <w:rPr>
          <w:vertAlign w:val="baseline"/>
        </w:rPr>
        <w:t>emissions</w:t>
      </w:r>
      <w:r>
        <w:rPr>
          <w:spacing w:val="-3"/>
          <w:vertAlign w:val="baseline"/>
        </w:rPr>
        <w:t> </w:t>
      </w:r>
      <w:r>
        <w:rPr>
          <w:vertAlign w:val="baseline"/>
        </w:rPr>
        <w:t>has</w:t>
      </w:r>
      <w:r>
        <w:rPr>
          <w:spacing w:val="-4"/>
          <w:vertAlign w:val="baseline"/>
        </w:rPr>
        <w:t> </w:t>
      </w:r>
      <w:r>
        <w:rPr>
          <w:vertAlign w:val="baseline"/>
        </w:rPr>
        <w:t>the</w:t>
      </w:r>
      <w:r>
        <w:rPr>
          <w:spacing w:val="-1"/>
          <w:vertAlign w:val="baseline"/>
        </w:rPr>
        <w:t> </w:t>
      </w:r>
      <w:r>
        <w:rPr>
          <w:vertAlign w:val="baseline"/>
        </w:rPr>
        <w:t>same</w:t>
      </w:r>
      <w:r>
        <w:rPr>
          <w:spacing w:val="-3"/>
          <w:vertAlign w:val="baseline"/>
        </w:rPr>
        <w:t> </w:t>
      </w:r>
      <w:r>
        <w:rPr>
          <w:vertAlign w:val="baseline"/>
        </w:rPr>
        <w:t>two</w:t>
      </w:r>
      <w:r>
        <w:rPr>
          <w:spacing w:val="-2"/>
          <w:vertAlign w:val="baseline"/>
        </w:rPr>
        <w:t> </w:t>
      </w:r>
      <w:r>
        <w:rPr>
          <w:vertAlign w:val="baseline"/>
        </w:rPr>
        <w:t>basic</w:t>
      </w:r>
      <w:r>
        <w:rPr>
          <w:spacing w:val="-1"/>
          <w:vertAlign w:val="baseline"/>
        </w:rPr>
        <w:t> </w:t>
      </w:r>
      <w:r>
        <w:rPr>
          <w:vertAlign w:val="baseline"/>
        </w:rPr>
        <w:t>elements,</w:t>
      </w:r>
      <w:r>
        <w:rPr>
          <w:spacing w:val="-2"/>
          <w:vertAlign w:val="baseline"/>
        </w:rPr>
        <w:t> </w:t>
      </w:r>
      <w:r>
        <w:rPr>
          <w:vertAlign w:val="baseline"/>
        </w:rPr>
        <w:t>as</w:t>
      </w:r>
      <w:r>
        <w:rPr>
          <w:spacing w:val="-1"/>
          <w:vertAlign w:val="baseline"/>
        </w:rPr>
        <w:t> </w:t>
      </w:r>
      <w:r>
        <w:rPr>
          <w:vertAlign w:val="baseline"/>
        </w:rPr>
        <w:t>shown</w:t>
      </w:r>
      <w:r>
        <w:rPr>
          <w:spacing w:val="-1"/>
          <w:vertAlign w:val="baseline"/>
        </w:rPr>
        <w:t> </w:t>
      </w:r>
      <w:r>
        <w:rPr>
          <w:vertAlign w:val="baseline"/>
        </w:rPr>
        <w:t>in</w:t>
      </w:r>
      <w:r>
        <w:rPr>
          <w:spacing w:val="-4"/>
          <w:vertAlign w:val="baseline"/>
        </w:rPr>
        <w:t> </w:t>
      </w:r>
      <w:r>
        <w:rPr>
          <w:vertAlign w:val="baseline"/>
        </w:rPr>
        <w:t>Equation</w:t>
      </w:r>
      <w:r>
        <w:rPr>
          <w:spacing w:val="-3"/>
          <w:vertAlign w:val="baseline"/>
        </w:rPr>
        <w:t> </w:t>
      </w:r>
      <w:r>
        <w:rPr>
          <w:vertAlign w:val="baseline"/>
        </w:rPr>
        <w:t>3a.3.2.</w:t>
      </w:r>
    </w:p>
    <w:p>
      <w:pPr>
        <w:pStyle w:val="BodyText"/>
        <w:rPr>
          <w:sz w:val="11"/>
        </w:rPr>
      </w:pPr>
      <w:r>
        <w:rPr/>
        <w:pict>
          <v:shape style="position:absolute;margin-left:91.960999pt;margin-top:9.027129pt;width:411.5pt;height:50.05pt;mso-position-horizontal-relative:page;mso-position-vertical-relative:paragraph;z-index:14288;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3a.3.2</w:t>
                  </w:r>
                </w:p>
                <w:p>
                  <w:pPr>
                    <w:spacing w:before="0"/>
                    <w:ind w:left="68" w:right="68" w:firstLine="0"/>
                    <w:jc w:val="center"/>
                    <w:rPr>
                      <w:b/>
                      <w:sz w:val="16"/>
                    </w:rPr>
                  </w:pPr>
                  <w:r>
                    <w:rPr>
                      <w:b/>
                      <w:sz w:val="20"/>
                    </w:rPr>
                    <w:t>N</w:t>
                  </w:r>
                  <w:r>
                    <w:rPr>
                      <w:b/>
                      <w:sz w:val="20"/>
                      <w:vertAlign w:val="subscript"/>
                    </w:rPr>
                    <w:t>2</w:t>
                  </w:r>
                  <w:r>
                    <w:rPr>
                      <w:b/>
                      <w:sz w:val="20"/>
                      <w:vertAlign w:val="baseline"/>
                    </w:rPr>
                    <w:t>O </w:t>
                  </w:r>
                  <w:r>
                    <w:rPr>
                      <w:b/>
                      <w:sz w:val="16"/>
                      <w:vertAlign w:val="baseline"/>
                    </w:rPr>
                    <w:t>EMISSIONS FROM WETLAND REMAINING WETLAND</w:t>
                  </w:r>
                </w:p>
                <w:p>
                  <w:pPr>
                    <w:pStyle w:val="BodyText"/>
                    <w:spacing w:before="77"/>
                    <w:ind w:left="111" w:right="63"/>
                    <w:jc w:val="center"/>
                  </w:pPr>
                  <w:r>
                    <w:rPr/>
                    <w:t>N</w:t>
                  </w:r>
                  <w:r>
                    <w:rPr>
                      <w:vertAlign w:val="subscript"/>
                    </w:rPr>
                    <w:t>2</w:t>
                  </w:r>
                  <w:r>
                    <w:rPr>
                      <w:vertAlign w:val="baseline"/>
                    </w:rPr>
                    <w:t>O emissions </w:t>
                  </w:r>
                  <w:r>
                    <w:rPr>
                      <w:vertAlign w:val="subscript"/>
                    </w:rPr>
                    <w:t>WW</w:t>
                  </w:r>
                  <w:r>
                    <w:rPr>
                      <w:vertAlign w:val="baseline"/>
                    </w:rPr>
                    <w:t> = N</w:t>
                  </w:r>
                  <w:r>
                    <w:rPr>
                      <w:vertAlign w:val="subscript"/>
                    </w:rPr>
                    <w:t>2</w:t>
                  </w:r>
                  <w:r>
                    <w:rPr>
                      <w:vertAlign w:val="baseline"/>
                    </w:rPr>
                    <w:t>O emissions</w:t>
                  </w:r>
                  <w:r>
                    <w:rPr>
                      <w:vertAlign w:val="subscript"/>
                    </w:rPr>
                    <w:t>WW</w:t>
                  </w:r>
                  <w:r>
                    <w:rPr>
                      <w:vertAlign w:val="baseline"/>
                    </w:rPr>
                    <w:t> </w:t>
                  </w:r>
                  <w:r>
                    <w:rPr>
                      <w:vertAlign w:val="subscript"/>
                    </w:rPr>
                    <w:t>peat</w:t>
                  </w:r>
                  <w:r>
                    <w:rPr>
                      <w:vertAlign w:val="baseline"/>
                    </w:rPr>
                    <w:t> + N</w:t>
                  </w:r>
                  <w:r>
                    <w:rPr>
                      <w:vertAlign w:val="subscript"/>
                    </w:rPr>
                    <w:t>2</w:t>
                  </w:r>
                  <w:r>
                    <w:rPr>
                      <w:vertAlign w:val="baseline"/>
                    </w:rPr>
                    <w:t>O emissions</w:t>
                  </w:r>
                  <w:r>
                    <w:rPr>
                      <w:vertAlign w:val="subscript"/>
                    </w:rPr>
                    <w:t>WW</w:t>
                  </w:r>
                  <w:r>
                    <w:rPr>
                      <w:vertAlign w:val="baseline"/>
                    </w:rPr>
                    <w:t> </w:t>
                  </w:r>
                  <w:r>
                    <w:rPr>
                      <w:vertAlign w:val="subscript"/>
                    </w:rPr>
                    <w:t>flood</w:t>
                  </w:r>
                </w:p>
              </w:txbxContent>
            </v:textbox>
            <v:stroke dashstyle="solid"/>
            <w10:wrap type="topAndBottom"/>
          </v:shape>
        </w:pict>
      </w:r>
    </w:p>
    <w:p>
      <w:pPr>
        <w:pStyle w:val="BodyText"/>
        <w:spacing w:before="4"/>
        <w:ind w:left="159"/>
      </w:pPr>
      <w:r>
        <w:rPr/>
        <w:t>Where:</w:t>
      </w:r>
    </w:p>
    <w:p>
      <w:pPr>
        <w:pStyle w:val="BodyText"/>
        <w:spacing w:before="118"/>
        <w:ind w:left="725"/>
      </w:pPr>
      <w:r>
        <w:rPr/>
        <w:t>N</w:t>
      </w:r>
      <w:r>
        <w:rPr>
          <w:vertAlign w:val="subscript"/>
        </w:rPr>
        <w:t>2</w:t>
      </w:r>
      <w:r>
        <w:rPr>
          <w:vertAlign w:val="baseline"/>
        </w:rPr>
        <w:t>O emissions</w:t>
      </w:r>
      <w:r>
        <w:rPr>
          <w:vertAlign w:val="subscript"/>
        </w:rPr>
        <w:t>WW</w:t>
      </w:r>
      <w:r>
        <w:rPr>
          <w:vertAlign w:val="baseline"/>
        </w:rPr>
        <w:t> = N</w:t>
      </w:r>
      <w:r>
        <w:rPr>
          <w:vertAlign w:val="subscript"/>
        </w:rPr>
        <w:t>2</w:t>
      </w:r>
      <w:r>
        <w:rPr>
          <w:vertAlign w:val="baseline"/>
        </w:rPr>
        <w:t>O emissions from wetland remaining wetland, Gg N</w:t>
      </w:r>
      <w:r>
        <w:rPr>
          <w:vertAlign w:val="subscript"/>
        </w:rPr>
        <w:t>2</w:t>
      </w:r>
      <w:r>
        <w:rPr>
          <w:vertAlign w:val="baseline"/>
        </w:rPr>
        <w:t>O yr</w:t>
      </w:r>
      <w:r>
        <w:rPr>
          <w:vertAlign w:val="superscript"/>
        </w:rPr>
        <w:t>-1</w:t>
      </w:r>
    </w:p>
    <w:p>
      <w:pPr>
        <w:pStyle w:val="BodyText"/>
        <w:spacing w:before="121"/>
        <w:ind w:left="2693" w:right="312" w:hanging="1968"/>
      </w:pPr>
      <w:r>
        <w:rPr/>
        <w:t>N</w:t>
      </w:r>
      <w:r>
        <w:rPr>
          <w:vertAlign w:val="subscript"/>
        </w:rPr>
        <w:t>2</w:t>
      </w:r>
      <w:r>
        <w:rPr>
          <w:vertAlign w:val="baseline"/>
        </w:rPr>
        <w:t>O emissions</w:t>
      </w:r>
      <w:r>
        <w:rPr>
          <w:vertAlign w:val="subscript"/>
        </w:rPr>
        <w:t>WW</w:t>
      </w:r>
      <w:r>
        <w:rPr>
          <w:vertAlign w:val="baseline"/>
        </w:rPr>
        <w:t> </w:t>
      </w:r>
      <w:r>
        <w:rPr>
          <w:vertAlign w:val="subscript"/>
        </w:rPr>
        <w:t>peat</w:t>
      </w:r>
      <w:r>
        <w:rPr>
          <w:vertAlign w:val="baseline"/>
        </w:rPr>
        <w:t> = N</w:t>
      </w:r>
      <w:r>
        <w:rPr>
          <w:vertAlign w:val="subscript"/>
        </w:rPr>
        <w:t>2</w:t>
      </w:r>
      <w:r>
        <w:rPr>
          <w:vertAlign w:val="baseline"/>
        </w:rPr>
        <w:t>O emissions from organic soils managed for peat extraction (Section 3a3.2), Gg N</w:t>
      </w:r>
      <w:r>
        <w:rPr>
          <w:vertAlign w:val="subscript"/>
        </w:rPr>
        <w:t>2</w:t>
      </w:r>
      <w:r>
        <w:rPr>
          <w:vertAlign w:val="baseline"/>
        </w:rPr>
        <w:t>O yr</w:t>
      </w:r>
      <w:r>
        <w:rPr>
          <w:vertAlign w:val="superscript"/>
        </w:rPr>
        <w:t>-1</w:t>
      </w:r>
    </w:p>
    <w:p>
      <w:pPr>
        <w:pStyle w:val="BodyText"/>
        <w:spacing w:before="120"/>
        <w:ind w:left="725"/>
      </w:pPr>
      <w:r>
        <w:rPr/>
        <w:t>N</w:t>
      </w:r>
      <w:r>
        <w:rPr>
          <w:vertAlign w:val="subscript"/>
        </w:rPr>
        <w:t>2</w:t>
      </w:r>
      <w:r>
        <w:rPr>
          <w:vertAlign w:val="baseline"/>
        </w:rPr>
        <w:t>O emissions</w:t>
      </w:r>
      <w:r>
        <w:rPr>
          <w:vertAlign w:val="subscript"/>
        </w:rPr>
        <w:t>WW</w:t>
      </w:r>
      <w:r>
        <w:rPr>
          <w:vertAlign w:val="baseline"/>
        </w:rPr>
        <w:t> </w:t>
      </w:r>
      <w:r>
        <w:rPr>
          <w:vertAlign w:val="subscript"/>
        </w:rPr>
        <w:t>flood</w:t>
      </w:r>
      <w:r>
        <w:rPr>
          <w:vertAlign w:val="baseline"/>
        </w:rPr>
        <w:t> = N</w:t>
      </w:r>
      <w:r>
        <w:rPr>
          <w:vertAlign w:val="subscript"/>
        </w:rPr>
        <w:t>2</w:t>
      </w:r>
      <w:r>
        <w:rPr>
          <w:vertAlign w:val="baseline"/>
        </w:rPr>
        <w:t>O emissions from flooded land (Section 3a.3.3), Gg N</w:t>
      </w:r>
      <w:r>
        <w:rPr>
          <w:vertAlign w:val="subscript"/>
        </w:rPr>
        <w:t>2</w:t>
      </w:r>
      <w:r>
        <w:rPr>
          <w:vertAlign w:val="baseline"/>
        </w:rPr>
        <w:t>O yr</w:t>
      </w:r>
      <w:r>
        <w:rPr>
          <w:vertAlign w:val="superscript"/>
        </w:rPr>
        <w:t>-1</w:t>
      </w:r>
    </w:p>
    <w:p>
      <w:pPr>
        <w:pStyle w:val="BodyText"/>
        <w:rPr>
          <w:sz w:val="26"/>
        </w:rPr>
      </w:pPr>
    </w:p>
    <w:p>
      <w:pPr>
        <w:pStyle w:val="BodyText"/>
        <w:spacing w:before="170"/>
        <w:ind w:left="159"/>
      </w:pPr>
      <w:r>
        <w:rPr/>
        <w:t>At present, a default methodology for CH</w:t>
      </w:r>
      <w:r>
        <w:rPr>
          <w:vertAlign w:val="subscript"/>
        </w:rPr>
        <w:t>4</w:t>
      </w:r>
      <w:r>
        <w:rPr>
          <w:vertAlign w:val="baseline"/>
        </w:rPr>
        <w:t> can be provided only for flooded land (Equation 3a.3.3):</w:t>
      </w:r>
    </w:p>
    <w:p>
      <w:pPr>
        <w:pStyle w:val="BodyText"/>
        <w:spacing w:before="2"/>
        <w:rPr>
          <w:sz w:val="11"/>
        </w:rPr>
      </w:pPr>
      <w:r>
        <w:rPr/>
        <w:pict>
          <v:shape style="position:absolute;margin-left:91.960999pt;margin-top:9.127129pt;width:411.5pt;height:49.95pt;mso-position-horizontal-relative:page;mso-position-vertical-relative:paragraph;z-index:14312;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3a.3.3</w:t>
                  </w:r>
                </w:p>
                <w:p>
                  <w:pPr>
                    <w:spacing w:line="229" w:lineRule="exact" w:before="0"/>
                    <w:ind w:left="68" w:right="68" w:firstLine="0"/>
                    <w:jc w:val="center"/>
                    <w:rPr>
                      <w:b/>
                      <w:sz w:val="16"/>
                    </w:rPr>
                  </w:pPr>
                  <w:r>
                    <w:rPr>
                      <w:b/>
                      <w:sz w:val="20"/>
                    </w:rPr>
                    <w:t>M</w:t>
                  </w:r>
                  <w:r>
                    <w:rPr>
                      <w:b/>
                      <w:sz w:val="16"/>
                    </w:rPr>
                    <w:t>ETHANE EMISSIONS FROM WETLANDS REMAINING WETLANDS</w:t>
                  </w:r>
                </w:p>
                <w:p>
                  <w:pPr>
                    <w:pStyle w:val="BodyText"/>
                    <w:spacing w:before="79"/>
                    <w:ind w:left="111" w:right="64"/>
                    <w:jc w:val="center"/>
                  </w:pPr>
                  <w:r>
                    <w:rPr/>
                    <w:t>CH</w:t>
                  </w:r>
                  <w:r>
                    <w:rPr>
                      <w:vertAlign w:val="subscript"/>
                    </w:rPr>
                    <w:t>4</w:t>
                  </w:r>
                  <w:r>
                    <w:rPr>
                      <w:vertAlign w:val="baseline"/>
                    </w:rPr>
                    <w:t> emissions</w:t>
                  </w:r>
                  <w:r>
                    <w:rPr>
                      <w:vertAlign w:val="subscript"/>
                    </w:rPr>
                    <w:t>WW</w:t>
                  </w:r>
                  <w:r>
                    <w:rPr>
                      <w:vertAlign w:val="baseline"/>
                    </w:rPr>
                    <w:t> = CH</w:t>
                  </w:r>
                  <w:r>
                    <w:rPr>
                      <w:vertAlign w:val="subscript"/>
                    </w:rPr>
                    <w:t>4</w:t>
                  </w:r>
                  <w:r>
                    <w:rPr>
                      <w:vertAlign w:val="baseline"/>
                    </w:rPr>
                    <w:t> emissions</w:t>
                  </w:r>
                  <w:r>
                    <w:rPr>
                      <w:vertAlign w:val="subscript"/>
                    </w:rPr>
                    <w:t>WW</w:t>
                  </w:r>
                  <w:r>
                    <w:rPr>
                      <w:vertAlign w:val="baseline"/>
                    </w:rPr>
                    <w:t> </w:t>
                  </w:r>
                  <w:r>
                    <w:rPr>
                      <w:vertAlign w:val="subscript"/>
                    </w:rPr>
                    <w:t>flood</w:t>
                  </w:r>
                </w:p>
              </w:txbxContent>
            </v:textbox>
            <v:stroke dashstyle="solid"/>
            <w10:wrap type="topAndBottom"/>
          </v:shape>
        </w:pict>
      </w:r>
    </w:p>
    <w:p>
      <w:pPr>
        <w:pStyle w:val="BodyText"/>
        <w:spacing w:before="4"/>
        <w:ind w:left="159"/>
      </w:pPr>
      <w:r>
        <w:rPr/>
        <w:t>Where:</w:t>
      </w:r>
    </w:p>
    <w:p>
      <w:pPr>
        <w:pStyle w:val="BodyText"/>
        <w:spacing w:line="364" w:lineRule="auto" w:before="121"/>
        <w:ind w:left="725" w:right="1630"/>
      </w:pPr>
      <w:r>
        <w:rPr/>
        <w:t>CH</w:t>
      </w:r>
      <w:r>
        <w:rPr>
          <w:vertAlign w:val="subscript"/>
        </w:rPr>
        <w:t>4</w:t>
      </w:r>
      <w:r>
        <w:rPr>
          <w:vertAlign w:val="baseline"/>
        </w:rPr>
        <w:t> emissions</w:t>
      </w:r>
      <w:r>
        <w:rPr>
          <w:vertAlign w:val="subscript"/>
        </w:rPr>
        <w:t>WW</w:t>
      </w:r>
      <w:r>
        <w:rPr>
          <w:vertAlign w:val="baseline"/>
        </w:rPr>
        <w:t> = CH</w:t>
      </w:r>
      <w:r>
        <w:rPr>
          <w:vertAlign w:val="subscript"/>
        </w:rPr>
        <w:t>4</w:t>
      </w:r>
      <w:r>
        <w:rPr>
          <w:vertAlign w:val="baseline"/>
        </w:rPr>
        <w:t> emissions from wetlands remaining wetlands, Gg CH</w:t>
      </w:r>
      <w:r>
        <w:rPr>
          <w:vertAlign w:val="subscript"/>
        </w:rPr>
        <w:t>4</w:t>
      </w:r>
      <w:r>
        <w:rPr>
          <w:vertAlign w:val="baseline"/>
        </w:rPr>
        <w:t> yr</w:t>
      </w:r>
      <w:r>
        <w:rPr>
          <w:vertAlign w:val="superscript"/>
        </w:rPr>
        <w:t>-1</w:t>
      </w:r>
      <w:r>
        <w:rPr>
          <w:vertAlign w:val="baseline"/>
        </w:rPr>
        <w:t> CH</w:t>
      </w:r>
      <w:r>
        <w:rPr>
          <w:vertAlign w:val="subscript"/>
        </w:rPr>
        <w:t>4</w:t>
      </w:r>
      <w:r>
        <w:rPr>
          <w:vertAlign w:val="baseline"/>
        </w:rPr>
        <w:t> emissions</w:t>
      </w:r>
      <w:r>
        <w:rPr>
          <w:vertAlign w:val="subscript"/>
        </w:rPr>
        <w:t>WW</w:t>
      </w:r>
      <w:r>
        <w:rPr>
          <w:vertAlign w:val="baseline"/>
        </w:rPr>
        <w:t> </w:t>
      </w:r>
      <w:r>
        <w:rPr>
          <w:vertAlign w:val="subscript"/>
        </w:rPr>
        <w:t>flood</w:t>
      </w:r>
      <w:r>
        <w:rPr>
          <w:vertAlign w:val="baseline"/>
        </w:rPr>
        <w:t> = CH</w:t>
      </w:r>
      <w:r>
        <w:rPr>
          <w:vertAlign w:val="subscript"/>
        </w:rPr>
        <w:t>4</w:t>
      </w:r>
      <w:r>
        <w:rPr>
          <w:vertAlign w:val="baseline"/>
        </w:rPr>
        <w:t> emissions from flooded land (Section 3a.3.3), Gg CH</w:t>
      </w:r>
      <w:r>
        <w:rPr>
          <w:vertAlign w:val="subscript"/>
        </w:rPr>
        <w:t>4</w:t>
      </w:r>
      <w:r>
        <w:rPr>
          <w:vertAlign w:val="baseline"/>
        </w:rPr>
        <w:t> yr</w:t>
      </w:r>
      <w:r>
        <w:rPr>
          <w:vertAlign w:val="superscript"/>
        </w:rPr>
        <w:t>-1</w:t>
      </w:r>
    </w:p>
    <w:p>
      <w:pPr>
        <w:pStyle w:val="BodyText"/>
        <w:spacing w:before="8"/>
        <w:rPr>
          <w:sz w:val="31"/>
        </w:rPr>
      </w:pPr>
    </w:p>
    <w:p>
      <w:pPr>
        <w:pStyle w:val="Heading2"/>
        <w:tabs>
          <w:tab w:pos="1361" w:val="left" w:leader="none"/>
        </w:tabs>
        <w:ind w:left="159" w:firstLine="0"/>
      </w:pPr>
      <w:r>
        <w:rPr>
          <w:spacing w:val="8"/>
        </w:rPr>
        <w:t>3a.3.2</w:t>
        <w:tab/>
        <w:t>Organic Soils </w:t>
      </w:r>
      <w:r>
        <w:rPr>
          <w:spacing w:val="9"/>
        </w:rPr>
        <w:t>Managed </w:t>
      </w:r>
      <w:r>
        <w:rPr>
          <w:spacing w:val="6"/>
        </w:rPr>
        <w:t>for </w:t>
      </w:r>
      <w:r>
        <w:rPr>
          <w:spacing w:val="7"/>
        </w:rPr>
        <w:t>Peat</w:t>
      </w:r>
      <w:r>
        <w:rPr>
          <w:spacing w:val="71"/>
        </w:rPr>
        <w:t> </w:t>
      </w:r>
      <w:r>
        <w:rPr>
          <w:spacing w:val="9"/>
        </w:rPr>
        <w:t>Extraction</w:t>
      </w:r>
    </w:p>
    <w:p>
      <w:pPr>
        <w:pStyle w:val="BodyText"/>
        <w:spacing w:before="114"/>
        <w:ind w:left="159"/>
      </w:pPr>
      <w:r>
        <w:rPr/>
        <w:t>As shown in Table 3a.3.1 and Equations 3a.3.1 and 3a.3.2, methods for estimating emissions from organic soils managed for peat extraction currently are provided only for CO</w:t>
      </w:r>
      <w:r>
        <w:rPr>
          <w:vertAlign w:val="subscript"/>
        </w:rPr>
        <w:t>2</w:t>
      </w:r>
      <w:r>
        <w:rPr>
          <w:vertAlign w:val="baseline"/>
        </w:rPr>
        <w:t> and N</w:t>
      </w:r>
      <w:r>
        <w:rPr>
          <w:vertAlign w:val="subscript"/>
        </w:rPr>
        <w:t>2</w:t>
      </w:r>
      <w:r>
        <w:rPr>
          <w:vertAlign w:val="baseline"/>
        </w:rPr>
        <w:t>O.</w:t>
      </w:r>
    </w:p>
    <w:p>
      <w:pPr>
        <w:spacing w:after="0"/>
        <w:sectPr>
          <w:headerReference w:type="default" r:id="rId264"/>
          <w:headerReference w:type="even" r:id="rId265"/>
          <w:pgSz w:w="11900" w:h="16840"/>
          <w:pgMar w:header="230" w:footer="408" w:top="560" w:bottom="600" w:left="1260" w:right="1240"/>
        </w:sectPr>
      </w:pPr>
    </w:p>
    <w:p>
      <w:pPr>
        <w:pStyle w:val="BodyText"/>
      </w:pPr>
    </w:p>
    <w:p>
      <w:pPr>
        <w:pStyle w:val="BodyText"/>
        <w:rPr>
          <w:sz w:val="19"/>
        </w:rPr>
      </w:pPr>
    </w:p>
    <w:tbl>
      <w:tblPr>
        <w:tblW w:w="0" w:type="auto"/>
        <w:jc w:val="left"/>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2"/>
        <w:gridCol w:w="2460"/>
        <w:gridCol w:w="2460"/>
        <w:gridCol w:w="2462"/>
      </w:tblGrid>
      <w:tr>
        <w:trPr>
          <w:trHeight w:val="532" w:hRule="atLeast"/>
        </w:trPr>
        <w:tc>
          <w:tcPr>
            <w:tcW w:w="9014" w:type="dxa"/>
            <w:gridSpan w:val="4"/>
            <w:tcBorders>
              <w:bottom w:val="double" w:sz="1" w:space="0" w:color="000000"/>
            </w:tcBorders>
          </w:tcPr>
          <w:p>
            <w:pPr>
              <w:pStyle w:val="TableParagraph"/>
              <w:spacing w:line="207" w:lineRule="exact" w:before="59"/>
              <w:ind w:left="123" w:right="114"/>
              <w:jc w:val="center"/>
              <w:rPr>
                <w:b/>
                <w:sz w:val="18"/>
              </w:rPr>
            </w:pPr>
            <w:r>
              <w:rPr>
                <w:b/>
                <w:sz w:val="18"/>
              </w:rPr>
              <w:t>T</w:t>
            </w:r>
            <w:r>
              <w:rPr>
                <w:b/>
                <w:sz w:val="14"/>
              </w:rPr>
              <w:t>ABLE </w:t>
            </w:r>
            <w:r>
              <w:rPr>
                <w:b/>
                <w:sz w:val="18"/>
              </w:rPr>
              <w:t>3a.3.1</w:t>
            </w:r>
          </w:p>
          <w:p>
            <w:pPr>
              <w:pStyle w:val="TableParagraph"/>
              <w:spacing w:line="207" w:lineRule="exact"/>
              <w:ind w:left="123" w:right="114"/>
              <w:jc w:val="center"/>
              <w:rPr>
                <w:b/>
                <w:sz w:val="14"/>
              </w:rPr>
            </w:pPr>
            <w:r>
              <w:rPr>
                <w:b/>
                <w:sz w:val="18"/>
              </w:rPr>
              <w:t>S</w:t>
            </w:r>
            <w:r>
              <w:rPr>
                <w:b/>
                <w:sz w:val="14"/>
              </w:rPr>
              <w:t>UMMARY OF TIERS FOR ORGANIC SOILS MANAGED FOR PEAT EXTRACTION</w:t>
            </w:r>
          </w:p>
        </w:tc>
      </w:tr>
      <w:tr>
        <w:trPr>
          <w:trHeight w:val="255" w:hRule="atLeast"/>
        </w:trPr>
        <w:tc>
          <w:tcPr>
            <w:tcW w:w="1632" w:type="dxa"/>
            <w:tcBorders>
              <w:top w:val="double" w:sz="1" w:space="0" w:color="000000"/>
            </w:tcBorders>
          </w:tcPr>
          <w:p>
            <w:pPr>
              <w:pStyle w:val="TableParagraph"/>
              <w:rPr>
                <w:sz w:val="18"/>
              </w:rPr>
            </w:pPr>
          </w:p>
        </w:tc>
        <w:tc>
          <w:tcPr>
            <w:tcW w:w="2460" w:type="dxa"/>
            <w:tcBorders>
              <w:top w:val="double" w:sz="1" w:space="0" w:color="000000"/>
            </w:tcBorders>
          </w:tcPr>
          <w:p>
            <w:pPr>
              <w:pStyle w:val="TableParagraph"/>
              <w:spacing w:before="23"/>
              <w:ind w:left="978" w:right="967"/>
              <w:jc w:val="center"/>
              <w:rPr>
                <w:b/>
                <w:sz w:val="18"/>
              </w:rPr>
            </w:pPr>
            <w:r>
              <w:rPr>
                <w:b/>
                <w:sz w:val="18"/>
              </w:rPr>
              <w:t>Tier 1</w:t>
            </w:r>
          </w:p>
        </w:tc>
        <w:tc>
          <w:tcPr>
            <w:tcW w:w="2460" w:type="dxa"/>
            <w:tcBorders>
              <w:top w:val="double" w:sz="1" w:space="0" w:color="000000"/>
            </w:tcBorders>
          </w:tcPr>
          <w:p>
            <w:pPr>
              <w:pStyle w:val="TableParagraph"/>
              <w:spacing w:before="23"/>
              <w:ind w:left="978" w:right="967"/>
              <w:jc w:val="center"/>
              <w:rPr>
                <w:b/>
                <w:sz w:val="18"/>
              </w:rPr>
            </w:pPr>
            <w:r>
              <w:rPr>
                <w:b/>
                <w:sz w:val="18"/>
              </w:rPr>
              <w:t>Tier 2</w:t>
            </w:r>
          </w:p>
        </w:tc>
        <w:tc>
          <w:tcPr>
            <w:tcW w:w="2462" w:type="dxa"/>
            <w:tcBorders>
              <w:top w:val="double" w:sz="1" w:space="0" w:color="000000"/>
            </w:tcBorders>
          </w:tcPr>
          <w:p>
            <w:pPr>
              <w:pStyle w:val="TableParagraph"/>
              <w:spacing w:before="23"/>
              <w:ind w:left="981" w:right="966"/>
              <w:jc w:val="center"/>
              <w:rPr>
                <w:b/>
                <w:sz w:val="18"/>
              </w:rPr>
            </w:pPr>
            <w:r>
              <w:rPr>
                <w:b/>
                <w:sz w:val="18"/>
              </w:rPr>
              <w:t>Tier 3</w:t>
            </w:r>
          </w:p>
        </w:tc>
      </w:tr>
      <w:tr>
        <w:trPr>
          <w:trHeight w:val="1773" w:hRule="atLeast"/>
        </w:trPr>
        <w:tc>
          <w:tcPr>
            <w:tcW w:w="1632" w:type="dxa"/>
          </w:tcPr>
          <w:p>
            <w:pPr>
              <w:pStyle w:val="TableParagraph"/>
              <w:spacing w:before="59"/>
              <w:ind w:left="107" w:right="164"/>
              <w:rPr>
                <w:b/>
                <w:sz w:val="18"/>
              </w:rPr>
            </w:pPr>
            <w:r>
              <w:rPr>
                <w:b/>
                <w:sz w:val="18"/>
              </w:rPr>
              <w:t>Change in Living Biomass</w:t>
            </w:r>
          </w:p>
          <w:p>
            <w:pPr>
              <w:pStyle w:val="TableParagraph"/>
              <w:ind w:left="107"/>
              <w:rPr>
                <w:b/>
                <w:sz w:val="18"/>
              </w:rPr>
            </w:pPr>
            <w:r>
              <w:rPr>
                <w:b/>
                <w:position w:val="3"/>
                <w:sz w:val="18"/>
              </w:rPr>
              <w:t>(∆C</w:t>
            </w:r>
            <w:r>
              <w:rPr>
                <w:b/>
                <w:sz w:val="12"/>
              </w:rPr>
              <w:t>WW peat </w:t>
            </w:r>
            <w:r>
              <w:rPr>
                <w:b/>
                <w:position w:val="-5"/>
                <w:sz w:val="12"/>
              </w:rPr>
              <w:t>LB</w:t>
            </w:r>
            <w:r>
              <w:rPr>
                <w:b/>
                <w:position w:val="3"/>
                <w:sz w:val="18"/>
              </w:rPr>
              <w:t>)</w:t>
            </w:r>
          </w:p>
        </w:tc>
        <w:tc>
          <w:tcPr>
            <w:tcW w:w="2460" w:type="dxa"/>
          </w:tcPr>
          <w:p>
            <w:pPr>
              <w:pStyle w:val="TableParagraph"/>
              <w:spacing w:before="55"/>
              <w:ind w:left="110" w:right="395"/>
              <w:rPr>
                <w:sz w:val="18"/>
              </w:rPr>
            </w:pPr>
            <w:r>
              <w:rPr>
                <w:sz w:val="18"/>
              </w:rPr>
              <w:t>Not estimated (or assumed zero).</w:t>
            </w:r>
          </w:p>
        </w:tc>
        <w:tc>
          <w:tcPr>
            <w:tcW w:w="2460" w:type="dxa"/>
          </w:tcPr>
          <w:p>
            <w:pPr>
              <w:pStyle w:val="TableParagraph"/>
              <w:spacing w:before="55"/>
              <w:ind w:left="110" w:right="150"/>
              <w:rPr>
                <w:sz w:val="18"/>
              </w:rPr>
            </w:pPr>
            <w:r>
              <w:rPr>
                <w:sz w:val="18"/>
              </w:rPr>
              <w:t>Unlikely to be significant (see below), but may be estimated if country-specific data are available, following guidance in Section 3.4.1.1 (Grassland, Changes in Carbon Stock in Living Biomass).</w:t>
            </w:r>
          </w:p>
        </w:tc>
        <w:tc>
          <w:tcPr>
            <w:tcW w:w="2462" w:type="dxa"/>
          </w:tcPr>
          <w:p>
            <w:pPr>
              <w:pStyle w:val="TableParagraph"/>
              <w:spacing w:before="55"/>
              <w:ind w:left="110" w:right="152"/>
              <w:rPr>
                <w:sz w:val="18"/>
              </w:rPr>
            </w:pPr>
            <w:r>
              <w:rPr>
                <w:sz w:val="18"/>
              </w:rPr>
              <w:t>Unlikely to be significant (see below), but may be estimated if detailed country-specific data or advanced methods are available, following guidance in Section 3.4.1.1 (Grassland, Changes in Carbon Stock in Living Biomass).</w:t>
            </w:r>
          </w:p>
        </w:tc>
      </w:tr>
      <w:tr>
        <w:trPr>
          <w:trHeight w:val="1360" w:hRule="atLeast"/>
        </w:trPr>
        <w:tc>
          <w:tcPr>
            <w:tcW w:w="1632" w:type="dxa"/>
          </w:tcPr>
          <w:p>
            <w:pPr>
              <w:pStyle w:val="TableParagraph"/>
              <w:spacing w:line="242" w:lineRule="auto" w:before="59"/>
              <w:ind w:left="107" w:right="280"/>
              <w:rPr>
                <w:b/>
                <w:sz w:val="18"/>
              </w:rPr>
            </w:pPr>
            <w:r>
              <w:rPr>
                <w:b/>
                <w:sz w:val="18"/>
              </w:rPr>
              <w:t>Change in Soil Organic Matter </w:t>
            </w:r>
            <w:r>
              <w:rPr>
                <w:b/>
                <w:position w:val="3"/>
                <w:sz w:val="18"/>
              </w:rPr>
              <w:t>(∆ C</w:t>
            </w:r>
            <w:r>
              <w:rPr>
                <w:b/>
                <w:sz w:val="12"/>
              </w:rPr>
              <w:t>WW peat </w:t>
            </w:r>
            <w:r>
              <w:rPr>
                <w:b/>
                <w:position w:val="-5"/>
                <w:sz w:val="12"/>
              </w:rPr>
              <w:t>SOM</w:t>
            </w:r>
            <w:r>
              <w:rPr>
                <w:b/>
                <w:position w:val="3"/>
                <w:sz w:val="18"/>
              </w:rPr>
              <w:t>)</w:t>
            </w:r>
          </w:p>
        </w:tc>
        <w:tc>
          <w:tcPr>
            <w:tcW w:w="2460" w:type="dxa"/>
          </w:tcPr>
          <w:p>
            <w:pPr>
              <w:pStyle w:val="TableParagraph"/>
              <w:spacing w:before="55"/>
              <w:ind w:left="110" w:right="75"/>
              <w:rPr>
                <w:sz w:val="18"/>
              </w:rPr>
            </w:pPr>
            <w:r>
              <w:rPr>
                <w:sz w:val="18"/>
              </w:rPr>
              <w:t>Emissions from peat extraction can be estimated using default emission factors and area data.</w:t>
            </w:r>
          </w:p>
        </w:tc>
        <w:tc>
          <w:tcPr>
            <w:tcW w:w="2460" w:type="dxa"/>
          </w:tcPr>
          <w:p>
            <w:pPr>
              <w:pStyle w:val="TableParagraph"/>
              <w:spacing w:before="55"/>
              <w:ind w:left="110" w:right="250"/>
              <w:rPr>
                <w:sz w:val="18"/>
              </w:rPr>
            </w:pPr>
            <w:r>
              <w:rPr>
                <w:sz w:val="18"/>
              </w:rPr>
              <w:t>Estimated using more disaggregated, country- specific factors. If data are available, emissions from restoration of peatlands and stockpiles may be estimated.</w:t>
            </w:r>
          </w:p>
        </w:tc>
        <w:tc>
          <w:tcPr>
            <w:tcW w:w="2462" w:type="dxa"/>
          </w:tcPr>
          <w:p>
            <w:pPr>
              <w:pStyle w:val="TableParagraph"/>
              <w:spacing w:before="55"/>
              <w:ind w:left="110" w:right="290"/>
              <w:rPr>
                <w:sz w:val="18"/>
              </w:rPr>
            </w:pPr>
            <w:r>
              <w:rPr>
                <w:sz w:val="18"/>
              </w:rPr>
              <w:t>May be estimated if detailed country-specific data or advanced methods are available.</w:t>
            </w:r>
          </w:p>
        </w:tc>
      </w:tr>
      <w:tr>
        <w:trPr>
          <w:trHeight w:val="1362" w:hRule="atLeast"/>
        </w:trPr>
        <w:tc>
          <w:tcPr>
            <w:tcW w:w="1632" w:type="dxa"/>
          </w:tcPr>
          <w:p>
            <w:pPr>
              <w:pStyle w:val="TableParagraph"/>
              <w:spacing w:before="59"/>
              <w:ind w:left="107"/>
              <w:rPr>
                <w:b/>
                <w:sz w:val="18"/>
              </w:rPr>
            </w:pPr>
            <w:r>
              <w:rPr>
                <w:b/>
                <w:sz w:val="18"/>
              </w:rPr>
              <w:t>N</w:t>
            </w:r>
            <w:r>
              <w:rPr>
                <w:b/>
                <w:sz w:val="18"/>
                <w:vertAlign w:val="subscript"/>
              </w:rPr>
              <w:t>2</w:t>
            </w:r>
            <w:r>
              <w:rPr>
                <w:b/>
                <w:sz w:val="18"/>
                <w:vertAlign w:val="baseline"/>
              </w:rPr>
              <w:t>O</w:t>
            </w:r>
          </w:p>
        </w:tc>
        <w:tc>
          <w:tcPr>
            <w:tcW w:w="2460" w:type="dxa"/>
          </w:tcPr>
          <w:p>
            <w:pPr>
              <w:pStyle w:val="TableParagraph"/>
              <w:spacing w:before="55"/>
              <w:ind w:left="110" w:right="75"/>
              <w:rPr>
                <w:sz w:val="18"/>
              </w:rPr>
            </w:pPr>
            <w:r>
              <w:rPr>
                <w:sz w:val="18"/>
              </w:rPr>
              <w:t>Emissions from peat extraction can be estimated using default emission factors and area data.</w:t>
            </w:r>
          </w:p>
        </w:tc>
        <w:tc>
          <w:tcPr>
            <w:tcW w:w="2460" w:type="dxa"/>
          </w:tcPr>
          <w:p>
            <w:pPr>
              <w:pStyle w:val="TableParagraph"/>
              <w:spacing w:before="55"/>
              <w:ind w:left="110" w:right="275"/>
              <w:rPr>
                <w:sz w:val="18"/>
              </w:rPr>
            </w:pPr>
            <w:r>
              <w:rPr>
                <w:sz w:val="18"/>
              </w:rPr>
              <w:t>Estimated using more disaggregated, country- specific factors. If data are available, emissions from restoration of peatlands may be estimated.</w:t>
            </w:r>
          </w:p>
        </w:tc>
        <w:tc>
          <w:tcPr>
            <w:tcW w:w="2462" w:type="dxa"/>
          </w:tcPr>
          <w:p>
            <w:pPr>
              <w:pStyle w:val="TableParagraph"/>
              <w:spacing w:before="55"/>
              <w:ind w:left="110" w:right="290"/>
              <w:rPr>
                <w:sz w:val="18"/>
              </w:rPr>
            </w:pPr>
            <w:r>
              <w:rPr>
                <w:sz w:val="18"/>
              </w:rPr>
              <w:t>May be estimated if detailed country-specific data or advanced methods are available.</w:t>
            </w:r>
          </w:p>
        </w:tc>
      </w:tr>
      <w:tr>
        <w:trPr>
          <w:trHeight w:val="1153" w:hRule="atLeast"/>
        </w:trPr>
        <w:tc>
          <w:tcPr>
            <w:tcW w:w="1632" w:type="dxa"/>
          </w:tcPr>
          <w:p>
            <w:pPr>
              <w:pStyle w:val="TableParagraph"/>
              <w:spacing w:before="59"/>
              <w:ind w:left="107"/>
              <w:rPr>
                <w:b/>
                <w:sz w:val="18"/>
              </w:rPr>
            </w:pPr>
            <w:r>
              <w:rPr>
                <w:b/>
                <w:sz w:val="18"/>
              </w:rPr>
              <w:t>CH</w:t>
            </w:r>
            <w:r>
              <w:rPr>
                <w:b/>
                <w:sz w:val="18"/>
                <w:vertAlign w:val="subscript"/>
              </w:rPr>
              <w:t>4</w:t>
            </w:r>
          </w:p>
        </w:tc>
        <w:tc>
          <w:tcPr>
            <w:tcW w:w="2460" w:type="dxa"/>
          </w:tcPr>
          <w:p>
            <w:pPr>
              <w:pStyle w:val="TableParagraph"/>
              <w:spacing w:before="55"/>
              <w:ind w:left="110"/>
              <w:rPr>
                <w:sz w:val="18"/>
              </w:rPr>
            </w:pPr>
            <w:r>
              <w:rPr>
                <w:sz w:val="18"/>
              </w:rPr>
              <w:t>Not estimated at present.</w:t>
            </w:r>
          </w:p>
        </w:tc>
        <w:tc>
          <w:tcPr>
            <w:tcW w:w="2460" w:type="dxa"/>
          </w:tcPr>
          <w:p>
            <w:pPr>
              <w:pStyle w:val="TableParagraph"/>
              <w:spacing w:before="55"/>
              <w:ind w:left="110" w:right="275"/>
              <w:rPr>
                <w:sz w:val="18"/>
              </w:rPr>
            </w:pPr>
            <w:r>
              <w:rPr>
                <w:sz w:val="18"/>
              </w:rPr>
              <w:t>Estimated using country- specific factors. If data are available, emissions from restoration of peatlands may be estimated.</w:t>
            </w:r>
          </w:p>
        </w:tc>
        <w:tc>
          <w:tcPr>
            <w:tcW w:w="2462" w:type="dxa"/>
          </w:tcPr>
          <w:p>
            <w:pPr>
              <w:pStyle w:val="TableParagraph"/>
              <w:spacing w:before="55"/>
              <w:ind w:left="110" w:right="290"/>
              <w:rPr>
                <w:sz w:val="18"/>
              </w:rPr>
            </w:pPr>
            <w:r>
              <w:rPr>
                <w:sz w:val="18"/>
              </w:rPr>
              <w:t>May be estimated if detailed country-specific data or advanced methods are available.</w:t>
            </w:r>
          </w:p>
        </w:tc>
      </w:tr>
    </w:tbl>
    <w:p>
      <w:pPr>
        <w:pStyle w:val="BodyText"/>
      </w:pPr>
    </w:p>
    <w:p>
      <w:pPr>
        <w:pStyle w:val="BodyText"/>
        <w:spacing w:before="4"/>
        <w:rPr>
          <w:sz w:val="26"/>
        </w:rPr>
      </w:pPr>
    </w:p>
    <w:p>
      <w:pPr>
        <w:pStyle w:val="Heading6"/>
        <w:tabs>
          <w:tab w:pos="1606" w:val="left" w:leader="none"/>
        </w:tabs>
        <w:spacing w:line="280" w:lineRule="auto" w:before="89"/>
        <w:ind w:left="1606" w:right="861" w:hanging="1448"/>
      </w:pPr>
      <w:r>
        <w:rPr>
          <w:spacing w:val="16"/>
          <w:sz w:val="28"/>
        </w:rPr>
        <w:t>3a.3.2.1</w:t>
        <w:tab/>
      </w:r>
      <w:r>
        <w:rPr>
          <w:spacing w:val="12"/>
          <w:sz w:val="28"/>
        </w:rPr>
        <w:t>CO</w:t>
      </w:r>
      <w:r>
        <w:rPr>
          <w:spacing w:val="12"/>
          <w:sz w:val="28"/>
          <w:vertAlign w:val="subscript"/>
        </w:rPr>
        <w:t>2</w:t>
      </w:r>
      <w:r>
        <w:rPr>
          <w:spacing w:val="12"/>
          <w:sz w:val="28"/>
          <w:vertAlign w:val="baseline"/>
        </w:rPr>
        <w:t> </w:t>
      </w:r>
      <w:r>
        <w:rPr>
          <w:spacing w:val="16"/>
          <w:vertAlign w:val="baseline"/>
        </w:rPr>
        <w:t>EMISSIONS </w:t>
      </w:r>
      <w:r>
        <w:rPr>
          <w:spacing w:val="15"/>
          <w:vertAlign w:val="baseline"/>
        </w:rPr>
        <w:t>FROM </w:t>
      </w:r>
      <w:r>
        <w:rPr>
          <w:spacing w:val="16"/>
          <w:vertAlign w:val="baseline"/>
        </w:rPr>
        <w:t>ORGANIC </w:t>
      </w:r>
      <w:r>
        <w:rPr>
          <w:spacing w:val="15"/>
          <w:vertAlign w:val="baseline"/>
        </w:rPr>
        <w:t>SOILS </w:t>
      </w:r>
      <w:r>
        <w:rPr>
          <w:spacing w:val="16"/>
          <w:vertAlign w:val="baseline"/>
        </w:rPr>
        <w:t>MANAGED </w:t>
      </w:r>
      <w:r>
        <w:rPr>
          <w:spacing w:val="13"/>
          <w:vertAlign w:val="baseline"/>
        </w:rPr>
        <w:t>FOR </w:t>
      </w:r>
      <w:r>
        <w:rPr>
          <w:spacing w:val="14"/>
          <w:vertAlign w:val="baseline"/>
        </w:rPr>
        <w:t>PEAT</w:t>
      </w:r>
      <w:r>
        <w:rPr>
          <w:spacing w:val="40"/>
          <w:vertAlign w:val="baseline"/>
        </w:rPr>
        <w:t> </w:t>
      </w:r>
      <w:r>
        <w:rPr>
          <w:spacing w:val="17"/>
          <w:vertAlign w:val="baseline"/>
        </w:rPr>
        <w:t>EXTRACTION</w:t>
      </w:r>
    </w:p>
    <w:p>
      <w:pPr>
        <w:pStyle w:val="BodyText"/>
        <w:spacing w:before="182"/>
        <w:ind w:left="159"/>
      </w:pPr>
      <w:r>
        <w:rPr/>
        <w:t>The estimate of CO</w:t>
      </w:r>
      <w:r>
        <w:rPr>
          <w:vertAlign w:val="subscript"/>
        </w:rPr>
        <w:t>2</w:t>
      </w:r>
      <w:r>
        <w:rPr>
          <w:vertAlign w:val="baseline"/>
        </w:rPr>
        <w:t> emissions from lands managed for peat extraction has two basic elements, as shown in Equation 3a.3.4.</w:t>
      </w:r>
    </w:p>
    <w:p>
      <w:pPr>
        <w:pStyle w:val="BodyText"/>
        <w:spacing w:before="8"/>
        <w:rPr>
          <w:sz w:val="9"/>
        </w:rPr>
      </w:pPr>
      <w:r>
        <w:rPr/>
        <w:pict>
          <v:group style="position:absolute;margin-left:91.240997pt;margin-top:8.289556pt;width:412.95pt;height:54.5pt;mso-position-horizontal-relative:page;mso-position-vertical-relative:paragraph;z-index:14384;mso-wrap-distance-left:0;mso-wrap-distance-right:0" coordorigin="1825,166" coordsize="8259,1090">
            <v:line style="position:absolute" from="1854,180" to="10054,180" stroked="true" strokeweight="1.44pt" strokecolor="#000000">
              <v:stroke dashstyle="solid"/>
            </v:line>
            <v:line style="position:absolute" from="1854,1241" to="10054,1241" stroked="true" strokeweight="1.44pt" strokecolor="#000000">
              <v:stroke dashstyle="solid"/>
            </v:line>
            <v:line style="position:absolute" from="1839,166" to="1839,1255" stroked="true" strokeweight="1.44pt" strokecolor="#000000">
              <v:stroke dashstyle="solid"/>
            </v:line>
            <v:line style="position:absolute" from="10069,166" to="10069,1255" stroked="true" strokeweight="1.44pt" strokecolor="#000000">
              <v:stroke dashstyle="solid"/>
            </v:line>
            <v:shape style="position:absolute;left:7870;top:811;width:129;height:144" type="#_x0000_t202" filled="false" stroked="false">
              <v:textbox inset="0,0,0,0">
                <w:txbxContent>
                  <w:p>
                    <w:pPr>
                      <w:spacing w:line="144" w:lineRule="exact" w:before="0"/>
                      <w:ind w:left="0" w:right="0" w:firstLine="0"/>
                      <w:jc w:val="left"/>
                      <w:rPr>
                        <w:sz w:val="13"/>
                      </w:rPr>
                    </w:pPr>
                    <w:r>
                      <w:rPr>
                        <w:sz w:val="13"/>
                      </w:rPr>
                      <w:t>-3</w:t>
                    </w:r>
                  </w:p>
                </w:txbxContent>
              </v:textbox>
              <w10:wrap type="none"/>
            </v:shape>
            <v:shape style="position:absolute;left:3252;top:302;width:5423;height:835" type="#_x0000_t202" filled="false" stroked="false">
              <v:textbox inset="0,0,0,0">
                <w:txbxContent>
                  <w:p>
                    <w:pPr>
                      <w:spacing w:line="221" w:lineRule="exact" w:before="0"/>
                      <w:ind w:left="2" w:right="23" w:firstLine="0"/>
                      <w:jc w:val="center"/>
                      <w:rPr>
                        <w:b/>
                        <w:sz w:val="20"/>
                      </w:rPr>
                    </w:pPr>
                    <w:r>
                      <w:rPr>
                        <w:b/>
                        <w:sz w:val="20"/>
                      </w:rPr>
                      <w:t>E</w:t>
                    </w:r>
                    <w:r>
                      <w:rPr>
                        <w:b/>
                        <w:sz w:val="16"/>
                      </w:rPr>
                      <w:t>QUATION </w:t>
                    </w:r>
                    <w:r>
                      <w:rPr>
                        <w:b/>
                        <w:sz w:val="20"/>
                      </w:rPr>
                      <w:t>3a.3.4</w:t>
                    </w:r>
                  </w:p>
                  <w:p>
                    <w:pPr>
                      <w:spacing w:before="0"/>
                      <w:ind w:left="44" w:right="23" w:firstLine="0"/>
                      <w:jc w:val="center"/>
                      <w:rPr>
                        <w:b/>
                        <w:sz w:val="16"/>
                      </w:rPr>
                    </w:pPr>
                    <w:r>
                      <w:rPr>
                        <w:b/>
                        <w:sz w:val="20"/>
                      </w:rPr>
                      <w:t>CO</w:t>
                    </w:r>
                    <w:r>
                      <w:rPr>
                        <w:b/>
                        <w:sz w:val="20"/>
                        <w:vertAlign w:val="subscript"/>
                      </w:rPr>
                      <w:t>2</w:t>
                    </w:r>
                    <w:r>
                      <w:rPr>
                        <w:b/>
                        <w:sz w:val="20"/>
                        <w:vertAlign w:val="baseline"/>
                      </w:rPr>
                      <w:t> </w:t>
                    </w:r>
                    <w:r>
                      <w:rPr>
                        <w:b/>
                        <w:sz w:val="16"/>
                        <w:vertAlign w:val="baseline"/>
                      </w:rPr>
                      <w:t>EMISSIONS IN LAND MANAGED FOR PEAT EXTRACTION</w:t>
                    </w:r>
                  </w:p>
                  <w:p>
                    <w:pPr>
                      <w:spacing w:before="77"/>
                      <w:ind w:left="4" w:right="23" w:firstLine="0"/>
                      <w:jc w:val="center"/>
                      <w:rPr>
                        <w:sz w:val="20"/>
                      </w:rPr>
                    </w:pPr>
                    <w:r>
                      <w:rPr>
                        <w:sz w:val="20"/>
                      </w:rPr>
                      <w:t>CO</w:t>
                    </w:r>
                    <w:r>
                      <w:rPr>
                        <w:sz w:val="20"/>
                        <w:vertAlign w:val="subscript"/>
                      </w:rPr>
                      <w:t>2</w:t>
                    </w:r>
                    <w:r>
                      <w:rPr>
                        <w:sz w:val="20"/>
                        <w:vertAlign w:val="baseline"/>
                      </w:rPr>
                      <w:t> emissions</w:t>
                    </w:r>
                    <w:r>
                      <w:rPr>
                        <w:sz w:val="20"/>
                        <w:vertAlign w:val="subscript"/>
                      </w:rPr>
                      <w:t>WW</w:t>
                    </w:r>
                    <w:r>
                      <w:rPr>
                        <w:sz w:val="20"/>
                        <w:vertAlign w:val="baseline"/>
                      </w:rPr>
                      <w:t> </w:t>
                    </w:r>
                    <w:r>
                      <w:rPr>
                        <w:sz w:val="20"/>
                        <w:vertAlign w:val="subscript"/>
                      </w:rPr>
                      <w:t>peat</w:t>
                    </w:r>
                    <w:r>
                      <w:rPr>
                        <w:sz w:val="20"/>
                        <w:vertAlign w:val="baseline"/>
                      </w:rPr>
                      <w:t> = (∆C</w:t>
                    </w:r>
                    <w:r>
                      <w:rPr>
                        <w:sz w:val="20"/>
                        <w:vertAlign w:val="subscript"/>
                      </w:rPr>
                      <w:t>WW</w:t>
                    </w:r>
                    <w:r>
                      <w:rPr>
                        <w:sz w:val="20"/>
                        <w:vertAlign w:val="baseline"/>
                      </w:rPr>
                      <w:t> </w:t>
                    </w:r>
                    <w:r>
                      <w:rPr>
                        <w:sz w:val="20"/>
                        <w:vertAlign w:val="subscript"/>
                      </w:rPr>
                      <w:t>peat</w:t>
                    </w:r>
                    <w:r>
                      <w:rPr>
                        <w:position w:val="-8"/>
                        <w:sz w:val="13"/>
                        <w:vertAlign w:val="baseline"/>
                      </w:rPr>
                      <w:t>LB </w:t>
                    </w:r>
                    <w:r>
                      <w:rPr>
                        <w:sz w:val="20"/>
                        <w:vertAlign w:val="baseline"/>
                      </w:rPr>
                      <w:t>+ ∆C</w:t>
                    </w:r>
                    <w:r>
                      <w:rPr>
                        <w:sz w:val="20"/>
                        <w:vertAlign w:val="subscript"/>
                      </w:rPr>
                      <w:t>WW</w:t>
                    </w:r>
                    <w:r>
                      <w:rPr>
                        <w:sz w:val="20"/>
                        <w:vertAlign w:val="baseline"/>
                      </w:rPr>
                      <w:t> </w:t>
                    </w:r>
                    <w:r>
                      <w:rPr>
                        <w:sz w:val="20"/>
                        <w:vertAlign w:val="subscript"/>
                      </w:rPr>
                      <w:t>peat</w:t>
                    </w:r>
                    <w:r>
                      <w:rPr>
                        <w:position w:val="-8"/>
                        <w:sz w:val="13"/>
                        <w:vertAlign w:val="baseline"/>
                      </w:rPr>
                      <w:t>Soils </w:t>
                    </w:r>
                    <w:r>
                      <w:rPr>
                        <w:sz w:val="20"/>
                        <w:vertAlign w:val="baseline"/>
                      </w:rPr>
                      <w:t>) ● 10</w:t>
                    </w:r>
                    <w:r>
                      <w:rPr>
                        <w:spacing w:val="28"/>
                        <w:sz w:val="20"/>
                        <w:vertAlign w:val="baseline"/>
                      </w:rPr>
                      <w:t> </w:t>
                    </w:r>
                    <w:r>
                      <w:rPr>
                        <w:sz w:val="20"/>
                        <w:vertAlign w:val="baseline"/>
                      </w:rPr>
                      <w:t>● 44/12</w:t>
                    </w:r>
                  </w:p>
                </w:txbxContent>
              </v:textbox>
              <w10:wrap type="none"/>
            </v:shape>
            <w10:wrap type="topAndBottom"/>
          </v:group>
        </w:pict>
      </w:r>
    </w:p>
    <w:p>
      <w:pPr>
        <w:pStyle w:val="BodyText"/>
        <w:spacing w:line="220" w:lineRule="exact"/>
        <w:ind w:left="159"/>
        <w:jc w:val="both"/>
      </w:pPr>
      <w:r>
        <w:rPr/>
        <w:t>Where:</w:t>
      </w:r>
    </w:p>
    <w:p>
      <w:pPr>
        <w:pStyle w:val="BodyText"/>
        <w:spacing w:before="118"/>
        <w:ind w:left="701"/>
      </w:pPr>
      <w:r>
        <w:rPr/>
        <w:t>CO</w:t>
      </w:r>
      <w:r>
        <w:rPr>
          <w:vertAlign w:val="subscript"/>
        </w:rPr>
        <w:t>2</w:t>
      </w:r>
      <w:r>
        <w:rPr>
          <w:vertAlign w:val="baseline"/>
        </w:rPr>
        <w:t> emission</w:t>
      </w:r>
      <w:r>
        <w:rPr>
          <w:vertAlign w:val="subscript"/>
        </w:rPr>
        <w:t>WWpeat</w:t>
      </w:r>
      <w:r>
        <w:rPr>
          <w:vertAlign w:val="baseline"/>
        </w:rPr>
        <w:t> = CO</w:t>
      </w:r>
      <w:r>
        <w:rPr>
          <w:vertAlign w:val="subscript"/>
        </w:rPr>
        <w:t>2</w:t>
      </w:r>
      <w:r>
        <w:rPr>
          <w:vertAlign w:val="baseline"/>
        </w:rPr>
        <w:t> emissions from land managed for peat, Gg CO</w:t>
      </w:r>
      <w:r>
        <w:rPr>
          <w:vertAlign w:val="subscript"/>
        </w:rPr>
        <w:t>2</w:t>
      </w:r>
      <w:r>
        <w:rPr>
          <w:vertAlign w:val="baseline"/>
        </w:rPr>
        <w:t> yr</w:t>
      </w:r>
      <w:r>
        <w:rPr>
          <w:vertAlign w:val="superscript"/>
        </w:rPr>
        <w:t>-1</w:t>
      </w:r>
    </w:p>
    <w:p>
      <w:pPr>
        <w:pStyle w:val="BodyText"/>
        <w:spacing w:before="120"/>
        <w:ind w:left="701"/>
      </w:pPr>
      <w:r>
        <w:rPr/>
        <w:t>∆C</w:t>
      </w:r>
      <w:r>
        <w:rPr>
          <w:vertAlign w:val="subscript"/>
        </w:rPr>
        <w:t>WW</w:t>
      </w:r>
      <w:r>
        <w:rPr>
          <w:vertAlign w:val="baseline"/>
        </w:rPr>
        <w:t> </w:t>
      </w:r>
      <w:r>
        <w:rPr>
          <w:vertAlign w:val="subscript"/>
        </w:rPr>
        <w:t>peat</w:t>
      </w:r>
      <w:r>
        <w:rPr>
          <w:vertAlign w:val="baseline"/>
        </w:rPr>
        <w:t> </w:t>
      </w:r>
      <w:r>
        <w:rPr>
          <w:vertAlign w:val="subscript"/>
        </w:rPr>
        <w:t>LB</w:t>
      </w:r>
      <w:r>
        <w:rPr>
          <w:vertAlign w:val="baseline"/>
        </w:rPr>
        <w:t> = change in carbon stock in living biomass, tonnes C yr</w:t>
      </w:r>
      <w:r>
        <w:rPr>
          <w:vertAlign w:val="superscript"/>
        </w:rPr>
        <w:t>-1</w:t>
      </w:r>
    </w:p>
    <w:p>
      <w:pPr>
        <w:pStyle w:val="BodyText"/>
        <w:tabs>
          <w:tab w:pos="1776" w:val="left" w:leader="none"/>
        </w:tabs>
        <w:spacing w:before="121"/>
        <w:ind w:left="701"/>
      </w:pPr>
      <w:r>
        <w:rPr/>
        <w:pict>
          <v:shape style="position:absolute;margin-left:137.200775pt;margin-top:14.172129pt;width:13pt;height:7.2pt;mso-position-horizontal-relative:page;mso-position-vertical-relative:paragraph;z-index:-2439712" type="#_x0000_t202" filled="false" stroked="false">
            <v:textbox inset="0,0,0,0">
              <w:txbxContent>
                <w:p>
                  <w:pPr>
                    <w:spacing w:line="144" w:lineRule="exact" w:before="0"/>
                    <w:ind w:left="0" w:right="0" w:firstLine="0"/>
                    <w:jc w:val="left"/>
                    <w:rPr>
                      <w:sz w:val="13"/>
                    </w:rPr>
                  </w:pPr>
                  <w:r>
                    <w:rPr>
                      <w:spacing w:val="-1"/>
                      <w:sz w:val="13"/>
                    </w:rPr>
                    <w:t>Soils</w:t>
                  </w:r>
                </w:p>
              </w:txbxContent>
            </v:textbox>
            <w10:wrap type="none"/>
          </v:shape>
        </w:pict>
      </w:r>
      <w:r>
        <w:rPr/>
        <w:t>∆C</w:t>
      </w:r>
      <w:r>
        <w:rPr>
          <w:vertAlign w:val="subscript"/>
        </w:rPr>
        <w:t>WW</w:t>
      </w:r>
      <w:r>
        <w:rPr>
          <w:spacing w:val="-18"/>
          <w:vertAlign w:val="baseline"/>
        </w:rPr>
        <w:t> </w:t>
      </w:r>
      <w:r>
        <w:rPr>
          <w:vertAlign w:val="subscript"/>
        </w:rPr>
        <w:t>peat</w:t>
      </w:r>
      <w:r>
        <w:rPr>
          <w:vertAlign w:val="baseline"/>
        </w:rPr>
        <w:tab/>
        <w:t>= change in carbon stock in soils, tonnes C</w:t>
      </w:r>
      <w:r>
        <w:rPr>
          <w:spacing w:val="-5"/>
          <w:vertAlign w:val="baseline"/>
        </w:rPr>
        <w:t> </w:t>
      </w:r>
      <w:r>
        <w:rPr>
          <w:vertAlign w:val="baseline"/>
        </w:rPr>
        <w:t>yr</w:t>
      </w:r>
      <w:r>
        <w:rPr>
          <w:vertAlign w:val="superscript"/>
        </w:rPr>
        <w:t>-1</w:t>
      </w:r>
    </w:p>
    <w:p>
      <w:pPr>
        <w:pStyle w:val="BodyText"/>
        <w:spacing w:before="180"/>
        <w:ind w:left="159" w:right="162"/>
        <w:jc w:val="both"/>
      </w:pPr>
      <w:r>
        <w:rPr/>
        <w:t>The carbon stock changes are converted to CO</w:t>
      </w:r>
      <w:r>
        <w:rPr>
          <w:vertAlign w:val="subscript"/>
        </w:rPr>
        <w:t>2</w:t>
      </w:r>
      <w:r>
        <w:rPr>
          <w:vertAlign w:val="baseline"/>
        </w:rPr>
        <w:t> emissions (Equation 3a.3.4 is expected to result in a loss of carbon). Emissions are reported as positive values and removals as negative values (for more details on reporting and the rule on the signs, see Section 3.1.7 and Annex 3A.2 Reporting Tables and Worksheets).</w:t>
      </w:r>
    </w:p>
    <w:p>
      <w:pPr>
        <w:pStyle w:val="BodyText"/>
        <w:spacing w:before="2"/>
        <w:rPr>
          <w:sz w:val="21"/>
        </w:rPr>
      </w:pPr>
    </w:p>
    <w:p>
      <w:pPr>
        <w:pStyle w:val="Heading6"/>
        <w:spacing w:before="1"/>
      </w:pPr>
      <w:r>
        <w:rPr/>
        <w:t>3a.3.2. 1.1 CHANGE IN CARBON STOCKS LIVING BIOMASS</w:t>
      </w:r>
    </w:p>
    <w:p>
      <w:pPr>
        <w:pStyle w:val="BodyText"/>
        <w:spacing w:before="113"/>
        <w:ind w:left="159" w:right="163"/>
        <w:jc w:val="both"/>
      </w:pPr>
      <w:r>
        <w:rPr/>
        <w:t>In general, the portion of emissions coming from the change in carbon stock in living biomass will be small compared to the carbon emissions associated with soil organic matter. This is because vegetation is typically removed on organic soils managed for peat extraction, although there may be some vegetation in drainage ditches or along boundaries. Nevertheless substantial amounts of vegetation may be removed when the peatland comes under management, which is addressed in Section 3.5 of this report. Due to scarcity of data and the likely small relevance of changes in biomass on lands managed for peat extraction, no default guidance is provided here,</w:t>
      </w:r>
      <w:r>
        <w:rPr>
          <w:spacing w:val="6"/>
        </w:rPr>
        <w:t> </w:t>
      </w:r>
      <w:r>
        <w:rPr/>
        <w:t>and</w:t>
      </w:r>
      <w:r>
        <w:rPr>
          <w:spacing w:val="6"/>
        </w:rPr>
        <w:t> </w:t>
      </w:r>
      <w:r>
        <w:rPr/>
        <w:t>it</w:t>
      </w:r>
      <w:r>
        <w:rPr>
          <w:spacing w:val="7"/>
        </w:rPr>
        <w:t> </w:t>
      </w:r>
      <w:r>
        <w:rPr/>
        <w:t>can</w:t>
      </w:r>
      <w:r>
        <w:rPr>
          <w:spacing w:val="4"/>
        </w:rPr>
        <w:t> </w:t>
      </w:r>
      <w:r>
        <w:rPr/>
        <w:t>be</w:t>
      </w:r>
      <w:r>
        <w:rPr>
          <w:spacing w:val="6"/>
        </w:rPr>
        <w:t> </w:t>
      </w:r>
      <w:r>
        <w:rPr/>
        <w:t>assumed</w:t>
      </w:r>
      <w:r>
        <w:rPr>
          <w:spacing w:val="7"/>
        </w:rPr>
        <w:t> </w:t>
      </w:r>
      <w:r>
        <w:rPr/>
        <w:t>in</w:t>
      </w:r>
      <w:r>
        <w:rPr>
          <w:spacing w:val="6"/>
        </w:rPr>
        <w:t> </w:t>
      </w:r>
      <w:r>
        <w:rPr/>
        <w:t>Tier</w:t>
      </w:r>
      <w:r>
        <w:rPr>
          <w:spacing w:val="6"/>
        </w:rPr>
        <w:t> </w:t>
      </w:r>
      <w:r>
        <w:rPr/>
        <w:t>1</w:t>
      </w:r>
      <w:r>
        <w:rPr>
          <w:spacing w:val="7"/>
        </w:rPr>
        <w:t> </w:t>
      </w:r>
      <w:r>
        <w:rPr/>
        <w:t>that</w:t>
      </w:r>
      <w:r>
        <w:rPr>
          <w:spacing w:val="6"/>
        </w:rPr>
        <w:t> </w:t>
      </w:r>
      <w:r>
        <w:rPr/>
        <w:t>the</w:t>
      </w:r>
      <w:r>
        <w:rPr>
          <w:spacing w:val="7"/>
        </w:rPr>
        <w:t> </w:t>
      </w:r>
      <w:r>
        <w:rPr/>
        <w:t>change</w:t>
      </w:r>
      <w:r>
        <w:rPr>
          <w:spacing w:val="6"/>
        </w:rPr>
        <w:t> </w:t>
      </w:r>
      <w:r>
        <w:rPr/>
        <w:t>in</w:t>
      </w:r>
      <w:r>
        <w:rPr>
          <w:spacing w:val="4"/>
        </w:rPr>
        <w:t> </w:t>
      </w:r>
      <w:r>
        <w:rPr/>
        <w:t>carbon</w:t>
      </w:r>
      <w:r>
        <w:rPr>
          <w:spacing w:val="5"/>
        </w:rPr>
        <w:t> </w:t>
      </w:r>
      <w:r>
        <w:rPr/>
        <w:t>stocks</w:t>
      </w:r>
      <w:r>
        <w:rPr>
          <w:spacing w:val="4"/>
        </w:rPr>
        <w:t> </w:t>
      </w:r>
      <w:r>
        <w:rPr/>
        <w:t>in</w:t>
      </w:r>
      <w:r>
        <w:rPr>
          <w:spacing w:val="5"/>
        </w:rPr>
        <w:t> </w:t>
      </w:r>
      <w:r>
        <w:rPr/>
        <w:t>living</w:t>
      </w:r>
      <w:r>
        <w:rPr>
          <w:spacing w:val="4"/>
        </w:rPr>
        <w:t> </w:t>
      </w:r>
      <w:r>
        <w:rPr/>
        <w:t>biomass</w:t>
      </w:r>
      <w:r>
        <w:rPr>
          <w:spacing w:val="4"/>
        </w:rPr>
        <w:t> </w:t>
      </w:r>
      <w:r>
        <w:rPr/>
        <w:t>on</w:t>
      </w:r>
      <w:r>
        <w:rPr>
          <w:spacing w:val="7"/>
        </w:rPr>
        <w:t> </w:t>
      </w:r>
      <w:r>
        <w:rPr/>
        <w:t>managed</w:t>
      </w:r>
      <w:r>
        <w:rPr>
          <w:spacing w:val="6"/>
        </w:rPr>
        <w:t> </w:t>
      </w:r>
      <w:r>
        <w:rPr/>
        <w:t>peatland</w:t>
      </w:r>
      <w:r>
        <w:rPr>
          <w:spacing w:val="7"/>
        </w:rPr>
        <w:t> </w:t>
      </w:r>
      <w:r>
        <w:rPr/>
        <w:t>is</w:t>
      </w:r>
    </w:p>
    <w:p>
      <w:pPr>
        <w:spacing w:after="0"/>
        <w:jc w:val="both"/>
        <w:sectPr>
          <w:pgSz w:w="11900" w:h="16840"/>
          <w:pgMar w:header="230" w:footer="408" w:top="560" w:bottom="600" w:left="1260" w:right="1240"/>
        </w:sectPr>
      </w:pPr>
    </w:p>
    <w:p>
      <w:pPr>
        <w:pStyle w:val="BodyText"/>
      </w:pPr>
    </w:p>
    <w:p>
      <w:pPr>
        <w:pStyle w:val="BodyText"/>
        <w:spacing w:before="2"/>
        <w:rPr>
          <w:sz w:val="18"/>
        </w:rPr>
      </w:pPr>
    </w:p>
    <w:p>
      <w:pPr>
        <w:pStyle w:val="BodyText"/>
        <w:ind w:left="159"/>
      </w:pPr>
      <w:r>
        <w:rPr/>
        <w:t>zero. However, countries in which wetlands are a key category may develop data to support the estimation of emissions from vegetation using higher tier methods based on national expertise.</w:t>
      </w:r>
    </w:p>
    <w:p>
      <w:pPr>
        <w:pStyle w:val="BodyText"/>
        <w:spacing w:before="5"/>
        <w:rPr>
          <w:sz w:val="21"/>
        </w:rPr>
      </w:pPr>
    </w:p>
    <w:p>
      <w:pPr>
        <w:pStyle w:val="Heading6"/>
      </w:pPr>
      <w:r>
        <w:rPr/>
        <w:t>3a.3.2. 1.2 CHANGE IN CARBON STOCKS IN SOILS</w:t>
      </w:r>
    </w:p>
    <w:p>
      <w:pPr>
        <w:pStyle w:val="BodyText"/>
        <w:spacing w:before="9"/>
        <w:rPr>
          <w:b/>
        </w:rPr>
      </w:pPr>
    </w:p>
    <w:p>
      <w:pPr>
        <w:spacing w:before="0"/>
        <w:ind w:left="159" w:right="0" w:firstLine="0"/>
        <w:jc w:val="left"/>
        <w:rPr>
          <w:b/>
          <w:sz w:val="22"/>
        </w:rPr>
      </w:pPr>
      <w:r>
        <w:rPr>
          <w:b/>
          <w:sz w:val="22"/>
        </w:rPr>
        <w:t>3a.3.2. 1.2.1 Methodological Issues</w:t>
      </w:r>
    </w:p>
    <w:p>
      <w:pPr>
        <w:pStyle w:val="BodyText"/>
        <w:spacing w:before="56"/>
        <w:ind w:left="159"/>
      </w:pPr>
      <w:r>
        <w:rPr/>
        <w:t>CO</w:t>
      </w:r>
      <w:r>
        <w:rPr>
          <w:vertAlign w:val="subscript"/>
        </w:rPr>
        <w:t>2</w:t>
      </w:r>
      <w:r>
        <w:rPr>
          <w:vertAlign w:val="baseline"/>
        </w:rPr>
        <w:t> emissions from soil occur at several stages in the peat process, as shown in Equation 3a.3.5.</w:t>
      </w:r>
    </w:p>
    <w:p>
      <w:pPr>
        <w:pStyle w:val="BodyText"/>
        <w:spacing w:before="11"/>
        <w:rPr>
          <w:sz w:val="10"/>
        </w:rPr>
      </w:pPr>
      <w:r>
        <w:rPr/>
        <w:pict>
          <v:shape style="position:absolute;margin-left:91.960999pt;margin-top:9.008936pt;width:411.5pt;height:67.45pt;mso-position-horizontal-relative:page;mso-position-vertical-relative:paragraph;z-index:14432;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3a.3.5</w:t>
                  </w:r>
                </w:p>
                <w:p>
                  <w:pPr>
                    <w:spacing w:before="0"/>
                    <w:ind w:left="67" w:right="68" w:firstLine="0"/>
                    <w:jc w:val="center"/>
                    <w:rPr>
                      <w:b/>
                      <w:sz w:val="16"/>
                    </w:rPr>
                  </w:pPr>
                  <w:r>
                    <w:rPr>
                      <w:b/>
                      <w:sz w:val="20"/>
                    </w:rPr>
                    <w:t>C</w:t>
                  </w:r>
                  <w:r>
                    <w:rPr>
                      <w:b/>
                      <w:sz w:val="16"/>
                    </w:rPr>
                    <w:t>HANGE IN SOIL CARBON ON LANDS MANAGED FOR PEAT EXTRACTION</w:t>
                  </w:r>
                </w:p>
                <w:p>
                  <w:pPr>
                    <w:spacing w:line="299" w:lineRule="exact" w:before="76"/>
                    <w:ind w:left="70" w:right="68" w:firstLine="0"/>
                    <w:jc w:val="center"/>
                    <w:rPr>
                      <w:sz w:val="13"/>
                    </w:rPr>
                  </w:pPr>
                  <w:r>
                    <w:rPr>
                      <w:position w:val="9"/>
                      <w:sz w:val="20"/>
                    </w:rPr>
                    <w:t>∆C</w:t>
                  </w:r>
                  <w:r>
                    <w:rPr>
                      <w:position w:val="6"/>
                      <w:sz w:val="13"/>
                    </w:rPr>
                    <w:t>WW peat</w:t>
                  </w:r>
                  <w:r>
                    <w:rPr>
                      <w:sz w:val="13"/>
                    </w:rPr>
                    <w:t>Soils </w:t>
                  </w:r>
                  <w:r>
                    <w:rPr>
                      <w:position w:val="9"/>
                      <w:sz w:val="20"/>
                    </w:rPr>
                    <w:t>= (∆C</w:t>
                  </w:r>
                  <w:r>
                    <w:rPr>
                      <w:position w:val="6"/>
                      <w:sz w:val="13"/>
                    </w:rPr>
                    <w:t>WW peat</w:t>
                  </w:r>
                  <w:r>
                    <w:rPr>
                      <w:sz w:val="13"/>
                    </w:rPr>
                    <w:t>Soils, drainage </w:t>
                  </w:r>
                  <w:r>
                    <w:rPr>
                      <w:position w:val="9"/>
                      <w:sz w:val="20"/>
                    </w:rPr>
                    <w:t>+ ∆C</w:t>
                  </w:r>
                  <w:r>
                    <w:rPr>
                      <w:position w:val="6"/>
                      <w:sz w:val="13"/>
                    </w:rPr>
                    <w:t>WW peat</w:t>
                  </w:r>
                  <w:r>
                    <w:rPr>
                      <w:sz w:val="13"/>
                    </w:rPr>
                    <w:t>Soils, extraction </w:t>
                  </w:r>
                  <w:r>
                    <w:rPr>
                      <w:position w:val="9"/>
                      <w:sz w:val="20"/>
                    </w:rPr>
                    <w:t>+ ∆C</w:t>
                  </w:r>
                  <w:r>
                    <w:rPr>
                      <w:position w:val="6"/>
                      <w:sz w:val="13"/>
                    </w:rPr>
                    <w:t>WW peat</w:t>
                  </w:r>
                  <w:r>
                    <w:rPr>
                      <w:sz w:val="13"/>
                    </w:rPr>
                    <w:t>Soils, stockpiling</w:t>
                  </w:r>
                </w:p>
                <w:p>
                  <w:pPr>
                    <w:spacing w:line="299" w:lineRule="exact" w:before="0"/>
                    <w:ind w:left="68" w:right="68" w:firstLine="0"/>
                    <w:jc w:val="center"/>
                    <w:rPr>
                      <w:sz w:val="20"/>
                    </w:rPr>
                  </w:pPr>
                  <w:r>
                    <w:rPr>
                      <w:position w:val="9"/>
                      <w:sz w:val="20"/>
                    </w:rPr>
                    <w:t>+ ∆C</w:t>
                  </w:r>
                  <w:r>
                    <w:rPr>
                      <w:position w:val="6"/>
                      <w:sz w:val="13"/>
                    </w:rPr>
                    <w:t>WW peat</w:t>
                  </w:r>
                  <w:r>
                    <w:rPr>
                      <w:sz w:val="13"/>
                    </w:rPr>
                    <w:t>Soils, restoration</w:t>
                  </w:r>
                  <w:r>
                    <w:rPr>
                      <w:position w:val="9"/>
                      <w:sz w:val="20"/>
                    </w:rPr>
                    <w:t>)</w:t>
                  </w:r>
                </w:p>
              </w:txbxContent>
            </v:textbox>
            <v:stroke dashstyle="solid"/>
            <w10:wrap type="topAndBottom"/>
          </v:shape>
        </w:pict>
      </w:r>
    </w:p>
    <w:p>
      <w:pPr>
        <w:pStyle w:val="BodyText"/>
        <w:spacing w:before="4"/>
        <w:ind w:left="159"/>
      </w:pPr>
      <w:r>
        <w:rPr/>
        <w:t>Where:</w:t>
      </w:r>
    </w:p>
    <w:p>
      <w:pPr>
        <w:pStyle w:val="BodyText"/>
        <w:tabs>
          <w:tab w:pos="1776" w:val="left" w:leader="none"/>
        </w:tabs>
        <w:spacing w:before="121"/>
        <w:ind w:left="701"/>
      </w:pPr>
      <w:r>
        <w:rPr/>
        <w:pict>
          <v:shape style="position:absolute;margin-left:137.200775pt;margin-top:14.172145pt;width:13pt;height:7.2pt;mso-position-horizontal-relative:page;mso-position-vertical-relative:paragraph;z-index:-2439640" type="#_x0000_t202" filled="false" stroked="false">
            <v:textbox inset="0,0,0,0">
              <w:txbxContent>
                <w:p>
                  <w:pPr>
                    <w:spacing w:line="144" w:lineRule="exact" w:before="0"/>
                    <w:ind w:left="0" w:right="0" w:firstLine="0"/>
                    <w:jc w:val="left"/>
                    <w:rPr>
                      <w:sz w:val="13"/>
                    </w:rPr>
                  </w:pPr>
                  <w:r>
                    <w:rPr>
                      <w:spacing w:val="-1"/>
                      <w:sz w:val="13"/>
                    </w:rPr>
                    <w:t>Soils</w:t>
                  </w:r>
                </w:p>
              </w:txbxContent>
            </v:textbox>
            <w10:wrap type="none"/>
          </v:shape>
        </w:pict>
      </w:r>
      <w:r>
        <w:rPr/>
        <w:t>∆C</w:t>
      </w:r>
      <w:r>
        <w:rPr>
          <w:vertAlign w:val="subscript"/>
        </w:rPr>
        <w:t>WW</w:t>
      </w:r>
      <w:r>
        <w:rPr>
          <w:spacing w:val="-18"/>
          <w:vertAlign w:val="baseline"/>
        </w:rPr>
        <w:t> </w:t>
      </w:r>
      <w:r>
        <w:rPr>
          <w:vertAlign w:val="subscript"/>
        </w:rPr>
        <w:t>peat</w:t>
      </w:r>
      <w:r>
        <w:rPr>
          <w:vertAlign w:val="baseline"/>
        </w:rPr>
        <w:tab/>
        <w:t>= change in carbon stock in soils, tonnes C</w:t>
      </w:r>
      <w:r>
        <w:rPr>
          <w:spacing w:val="-5"/>
          <w:vertAlign w:val="baseline"/>
        </w:rPr>
        <w:t> </w:t>
      </w:r>
      <w:r>
        <w:rPr>
          <w:vertAlign w:val="baseline"/>
        </w:rPr>
        <w:t>yr</w:t>
      </w:r>
      <w:r>
        <w:rPr>
          <w:vertAlign w:val="superscript"/>
        </w:rPr>
        <w:t>-1</w:t>
      </w:r>
    </w:p>
    <w:p>
      <w:pPr>
        <w:pStyle w:val="BodyText"/>
        <w:tabs>
          <w:tab w:pos="2273" w:val="left" w:leader="none"/>
          <w:tab w:pos="2693" w:val="left" w:leader="none"/>
        </w:tabs>
        <w:spacing w:line="193" w:lineRule="exact" w:before="180"/>
        <w:ind w:left="701"/>
      </w:pPr>
      <w:r>
        <w:rPr/>
        <w:pict>
          <v:shape style="position:absolute;margin-left:110.800598pt;margin-top:14.121641pt;width:24.75pt;height:7.2pt;mso-position-horizontal-relative:page;mso-position-vertical-relative:paragraph;z-index:-2439616" type="#_x0000_t202" filled="false" stroked="false">
            <v:textbox inset="0,0,0,0">
              <w:txbxContent>
                <w:p>
                  <w:pPr>
                    <w:spacing w:line="144" w:lineRule="exact" w:before="0"/>
                    <w:ind w:left="0" w:right="0" w:firstLine="0"/>
                    <w:jc w:val="left"/>
                    <w:rPr>
                      <w:sz w:val="13"/>
                    </w:rPr>
                  </w:pPr>
                  <w:r>
                    <w:rPr>
                      <w:sz w:val="13"/>
                    </w:rPr>
                    <w:t>WW peat</w:t>
                  </w:r>
                </w:p>
              </w:txbxContent>
            </v:textbox>
            <w10:wrap type="none"/>
          </v:shape>
        </w:pict>
      </w:r>
      <w:r>
        <w:rPr/>
        <w:t>∆C</w:t>
        <w:tab/>
        <w:t>=</w:t>
        <w:tab/>
        <w:t>change in soil carbon during drainage, tonnes C</w:t>
      </w:r>
      <w:r>
        <w:rPr>
          <w:spacing w:val="-6"/>
        </w:rPr>
        <w:t> </w:t>
      </w:r>
      <w:r>
        <w:rPr/>
        <w:t>yr</w:t>
      </w:r>
      <w:r>
        <w:rPr>
          <w:vertAlign w:val="superscript"/>
        </w:rPr>
        <w:t>-1</w:t>
      </w:r>
    </w:p>
    <w:p>
      <w:pPr>
        <w:spacing w:line="113" w:lineRule="exact" w:before="0"/>
        <w:ind w:left="1452" w:right="0" w:firstLine="0"/>
        <w:jc w:val="left"/>
        <w:rPr>
          <w:sz w:val="13"/>
        </w:rPr>
      </w:pPr>
      <w:r>
        <w:rPr>
          <w:sz w:val="13"/>
        </w:rPr>
        <w:t>Soils, drainage</w:t>
      </w:r>
    </w:p>
    <w:p>
      <w:pPr>
        <w:pStyle w:val="BodyText"/>
        <w:tabs>
          <w:tab w:pos="2345" w:val="left" w:leader="none"/>
          <w:tab w:pos="2693" w:val="left" w:leader="none"/>
        </w:tabs>
        <w:spacing w:line="193" w:lineRule="exact" w:before="104"/>
        <w:ind w:left="701"/>
      </w:pPr>
      <w:r>
        <w:rPr/>
        <w:pict>
          <v:shape style="position:absolute;margin-left:110.800598pt;margin-top:10.322048pt;width:24.75pt;height:7.2pt;mso-position-horizontal-relative:page;mso-position-vertical-relative:paragraph;z-index:-2439592" type="#_x0000_t202" filled="false" stroked="false">
            <v:textbox inset="0,0,0,0">
              <w:txbxContent>
                <w:p>
                  <w:pPr>
                    <w:spacing w:line="144" w:lineRule="exact" w:before="0"/>
                    <w:ind w:left="0" w:right="0" w:firstLine="0"/>
                    <w:jc w:val="left"/>
                    <w:rPr>
                      <w:sz w:val="13"/>
                    </w:rPr>
                  </w:pPr>
                  <w:r>
                    <w:rPr>
                      <w:sz w:val="13"/>
                    </w:rPr>
                    <w:t>WW peat</w:t>
                  </w:r>
                </w:p>
              </w:txbxContent>
            </v:textbox>
            <w10:wrap type="none"/>
          </v:shape>
        </w:pict>
      </w:r>
      <w:r>
        <w:rPr/>
        <w:t>∆C</w:t>
        <w:tab/>
        <w:t>=</w:t>
        <w:tab/>
        <w:t>change in soil carbon during peat extraction, tonnes C</w:t>
      </w:r>
      <w:r>
        <w:rPr>
          <w:spacing w:val="-7"/>
        </w:rPr>
        <w:t> </w:t>
      </w:r>
      <w:r>
        <w:rPr/>
        <w:t>yr</w:t>
      </w:r>
      <w:r>
        <w:rPr>
          <w:vertAlign w:val="superscript"/>
        </w:rPr>
        <w:t>-1</w:t>
      </w:r>
    </w:p>
    <w:p>
      <w:pPr>
        <w:spacing w:line="113" w:lineRule="exact" w:before="0"/>
        <w:ind w:left="1452" w:right="0" w:firstLine="0"/>
        <w:jc w:val="left"/>
        <w:rPr>
          <w:sz w:val="13"/>
        </w:rPr>
      </w:pPr>
      <w:r>
        <w:rPr>
          <w:sz w:val="13"/>
        </w:rPr>
        <w:t>Soils, extraction</w:t>
      </w:r>
    </w:p>
    <w:p>
      <w:pPr>
        <w:pStyle w:val="BodyText"/>
        <w:spacing w:line="228" w:lineRule="auto" w:before="108"/>
        <w:ind w:left="2693" w:hanging="1992"/>
      </w:pPr>
      <w:r>
        <w:rPr/>
        <w:t>∆C</w:t>
      </w:r>
      <w:r>
        <w:rPr>
          <w:vertAlign w:val="subscript"/>
        </w:rPr>
        <w:t>WW</w:t>
      </w:r>
      <w:r>
        <w:rPr>
          <w:vertAlign w:val="baseline"/>
        </w:rPr>
        <w:t> </w:t>
      </w:r>
      <w:r>
        <w:rPr>
          <w:vertAlign w:val="subscript"/>
        </w:rPr>
        <w:t>peat</w:t>
      </w:r>
      <w:r>
        <w:rPr>
          <w:position w:val="-8"/>
          <w:sz w:val="13"/>
          <w:vertAlign w:val="baseline"/>
        </w:rPr>
        <w:t>Soils, stockpiling </w:t>
      </w:r>
      <w:r>
        <w:rPr>
          <w:vertAlign w:val="baseline"/>
        </w:rPr>
        <w:t>= change in soil carbon during stockpiling of peat prior to removal for combustion, tonnes C yr</w:t>
      </w:r>
      <w:r>
        <w:rPr>
          <w:vertAlign w:val="superscript"/>
        </w:rPr>
        <w:t>-1</w:t>
      </w:r>
    </w:p>
    <w:p>
      <w:pPr>
        <w:pStyle w:val="BodyText"/>
        <w:spacing w:line="228" w:lineRule="auto" w:before="129"/>
        <w:ind w:left="2693" w:right="849" w:hanging="1992"/>
      </w:pPr>
      <w:r>
        <w:rPr/>
        <w:t>∆C</w:t>
      </w:r>
      <w:r>
        <w:rPr>
          <w:vertAlign w:val="subscript"/>
        </w:rPr>
        <w:t>WW</w:t>
      </w:r>
      <w:r>
        <w:rPr>
          <w:vertAlign w:val="baseline"/>
        </w:rPr>
        <w:t> </w:t>
      </w:r>
      <w:r>
        <w:rPr>
          <w:vertAlign w:val="subscript"/>
        </w:rPr>
        <w:t>peat</w:t>
      </w:r>
      <w:r>
        <w:rPr>
          <w:position w:val="-8"/>
          <w:sz w:val="13"/>
          <w:vertAlign w:val="baseline"/>
        </w:rPr>
        <w:t>Soils, restoration </w:t>
      </w:r>
      <w:r>
        <w:rPr>
          <w:vertAlign w:val="baseline"/>
        </w:rPr>
        <w:t>= change in soils carbon due to practices undertaken  to  restore  previously cultivated lands, tonnes C</w:t>
      </w:r>
      <w:r>
        <w:rPr>
          <w:spacing w:val="2"/>
          <w:vertAlign w:val="baseline"/>
        </w:rPr>
        <w:t> </w:t>
      </w:r>
      <w:r>
        <w:rPr>
          <w:vertAlign w:val="baseline"/>
        </w:rPr>
        <w:t>yr</w:t>
      </w:r>
      <w:r>
        <w:rPr>
          <w:vertAlign w:val="superscript"/>
        </w:rPr>
        <w:t>-1</w:t>
      </w:r>
    </w:p>
    <w:p>
      <w:pPr>
        <w:pStyle w:val="BodyText"/>
        <w:spacing w:before="121"/>
        <w:ind w:left="159"/>
      </w:pPr>
      <w:r>
        <w:rPr/>
        <w:t>Currently a default method can only be provided for estimating the changes in carbon stock associated with peat</w:t>
      </w:r>
    </w:p>
    <w:p>
      <w:pPr>
        <w:spacing w:after="0"/>
        <w:sectPr>
          <w:pgSz w:w="11900" w:h="16840"/>
          <w:pgMar w:header="230" w:footer="408" w:top="560" w:bottom="600" w:left="1260" w:right="1240"/>
        </w:sectPr>
      </w:pPr>
    </w:p>
    <w:p>
      <w:pPr>
        <w:pStyle w:val="BodyText"/>
        <w:ind w:left="159"/>
      </w:pPr>
      <w:r>
        <w:rPr/>
        <w:t>extraction (∆C</w:t>
      </w:r>
      <w:r>
        <w:rPr>
          <w:vertAlign w:val="subscript"/>
        </w:rPr>
        <w:t>WW</w:t>
      </w:r>
    </w:p>
    <w:p>
      <w:pPr>
        <w:pStyle w:val="BodyText"/>
        <w:spacing w:line="193" w:lineRule="exact"/>
        <w:ind w:left="804"/>
      </w:pPr>
      <w:r>
        <w:rPr/>
        <w:br w:type="column"/>
      </w:r>
      <w:r>
        <w:rPr/>
        <w:t>), that are essentially emissions caused by enhanced oxidation of soil organic matter</w:t>
      </w:r>
    </w:p>
    <w:p>
      <w:pPr>
        <w:spacing w:line="106" w:lineRule="exact" w:before="0"/>
        <w:ind w:left="-38" w:right="0" w:firstLine="0"/>
        <w:jc w:val="left"/>
        <w:rPr>
          <w:sz w:val="13"/>
        </w:rPr>
      </w:pPr>
      <w:r>
        <w:rPr>
          <w:sz w:val="13"/>
        </w:rPr>
        <w:t>Soils, extraction</w:t>
      </w:r>
    </w:p>
    <w:p>
      <w:pPr>
        <w:spacing w:after="0" w:line="106" w:lineRule="exact"/>
        <w:jc w:val="left"/>
        <w:rPr>
          <w:sz w:val="13"/>
        </w:rPr>
        <w:sectPr>
          <w:type w:val="continuous"/>
          <w:pgSz w:w="11900" w:h="16840"/>
          <w:pgMar w:top="1060" w:bottom="280" w:left="1260" w:right="1240"/>
          <w:cols w:num="2" w:equalWidth="0">
            <w:col w:w="1583" w:space="40"/>
            <w:col w:w="7777"/>
          </w:cols>
        </w:sectPr>
      </w:pPr>
    </w:p>
    <w:p>
      <w:pPr>
        <w:pStyle w:val="BodyText"/>
        <w:ind w:left="159" w:right="164"/>
        <w:jc w:val="both"/>
      </w:pPr>
      <w:r>
        <w:rPr/>
        <w:t>at the production </w:t>
      </w:r>
      <w:r>
        <w:rPr>
          <w:spacing w:val="-3"/>
        </w:rPr>
        <w:t>fields. </w:t>
      </w:r>
      <w:r>
        <w:rPr>
          <w:spacing w:val="-2"/>
        </w:rPr>
        <w:t>Emissions </w:t>
      </w:r>
      <w:r>
        <w:rPr/>
        <w:t>from peat </w:t>
      </w:r>
      <w:r>
        <w:rPr>
          <w:spacing w:val="-3"/>
        </w:rPr>
        <w:t>stockpiles </w:t>
      </w:r>
      <w:r>
        <w:rPr/>
        <w:t>and </w:t>
      </w:r>
      <w:r>
        <w:rPr>
          <w:spacing w:val="-3"/>
        </w:rPr>
        <w:t>restoration </w:t>
      </w:r>
      <w:r>
        <w:rPr/>
        <w:t>operations are much less well </w:t>
      </w:r>
      <w:r>
        <w:rPr>
          <w:spacing w:val="-3"/>
        </w:rPr>
        <w:t>understood. </w:t>
      </w:r>
      <w:r>
        <w:rPr/>
        <w:t>Higher</w:t>
      </w:r>
      <w:r>
        <w:rPr>
          <w:spacing w:val="-10"/>
        </w:rPr>
        <w:t> </w:t>
      </w:r>
      <w:r>
        <w:rPr/>
        <w:t>temperatures</w:t>
      </w:r>
      <w:r>
        <w:rPr>
          <w:spacing w:val="-8"/>
        </w:rPr>
        <w:t> </w:t>
      </w:r>
      <w:r>
        <w:rPr/>
        <w:t>may</w:t>
      </w:r>
      <w:r>
        <w:rPr>
          <w:spacing w:val="-12"/>
        </w:rPr>
        <w:t> </w:t>
      </w:r>
      <w:r>
        <w:rPr/>
        <w:t>cause</w:t>
      </w:r>
      <w:r>
        <w:rPr>
          <w:spacing w:val="-9"/>
        </w:rPr>
        <w:t> </w:t>
      </w:r>
      <w:r>
        <w:rPr/>
        <w:t>stockpiles</w:t>
      </w:r>
      <w:r>
        <w:rPr>
          <w:spacing w:val="-11"/>
        </w:rPr>
        <w:t> </w:t>
      </w:r>
      <w:r>
        <w:rPr/>
        <w:t>to</w:t>
      </w:r>
      <w:r>
        <w:rPr>
          <w:spacing w:val="-9"/>
        </w:rPr>
        <w:t> </w:t>
      </w:r>
      <w:r>
        <w:rPr/>
        <w:t>release</w:t>
      </w:r>
      <w:r>
        <w:rPr>
          <w:spacing w:val="-7"/>
        </w:rPr>
        <w:t> </w:t>
      </w:r>
      <w:r>
        <w:rPr/>
        <w:t>more</w:t>
      </w:r>
      <w:r>
        <w:rPr>
          <w:spacing w:val="-9"/>
        </w:rPr>
        <w:t> </w:t>
      </w:r>
      <w:r>
        <w:rPr/>
        <w:t>CO</w:t>
      </w:r>
      <w:r>
        <w:rPr>
          <w:vertAlign w:val="subscript"/>
        </w:rPr>
        <w:t>2</w:t>
      </w:r>
      <w:r>
        <w:rPr>
          <w:spacing w:val="-10"/>
          <w:vertAlign w:val="baseline"/>
        </w:rPr>
        <w:t> </w:t>
      </w:r>
      <w:r>
        <w:rPr>
          <w:vertAlign w:val="baseline"/>
        </w:rPr>
        <w:t>than</w:t>
      </w:r>
      <w:r>
        <w:rPr>
          <w:spacing w:val="-10"/>
          <w:vertAlign w:val="baseline"/>
        </w:rPr>
        <w:t> </w:t>
      </w:r>
      <w:r>
        <w:rPr>
          <w:vertAlign w:val="baseline"/>
        </w:rPr>
        <w:t>the</w:t>
      </w:r>
      <w:r>
        <w:rPr>
          <w:spacing w:val="-9"/>
          <w:vertAlign w:val="baseline"/>
        </w:rPr>
        <w:t> </w:t>
      </w:r>
      <w:r>
        <w:rPr>
          <w:vertAlign w:val="baseline"/>
        </w:rPr>
        <w:t>excavation</w:t>
      </w:r>
      <w:r>
        <w:rPr>
          <w:spacing w:val="-9"/>
          <w:vertAlign w:val="baseline"/>
        </w:rPr>
        <w:t> </w:t>
      </w:r>
      <w:r>
        <w:rPr>
          <w:vertAlign w:val="baseline"/>
        </w:rPr>
        <w:t>field,</w:t>
      </w:r>
      <w:r>
        <w:rPr>
          <w:spacing w:val="-9"/>
          <w:vertAlign w:val="baseline"/>
        </w:rPr>
        <w:t> </w:t>
      </w:r>
      <w:r>
        <w:rPr>
          <w:spacing w:val="-2"/>
          <w:vertAlign w:val="baseline"/>
        </w:rPr>
        <w:t>but</w:t>
      </w:r>
      <w:r>
        <w:rPr>
          <w:spacing w:val="-9"/>
          <w:vertAlign w:val="baseline"/>
        </w:rPr>
        <w:t> </w:t>
      </w:r>
      <w:r>
        <w:rPr>
          <w:vertAlign w:val="baseline"/>
        </w:rPr>
        <w:t>data</w:t>
      </w:r>
      <w:r>
        <w:rPr>
          <w:spacing w:val="-10"/>
          <w:vertAlign w:val="baseline"/>
        </w:rPr>
        <w:t> </w:t>
      </w:r>
      <w:r>
        <w:rPr>
          <w:vertAlign w:val="baseline"/>
        </w:rPr>
        <w:t>are</w:t>
      </w:r>
      <w:r>
        <w:rPr>
          <w:spacing w:val="-9"/>
          <w:vertAlign w:val="baseline"/>
        </w:rPr>
        <w:t> </w:t>
      </w:r>
      <w:r>
        <w:rPr>
          <w:spacing w:val="-2"/>
          <w:vertAlign w:val="baseline"/>
        </w:rPr>
        <w:t>not</w:t>
      </w:r>
      <w:r>
        <w:rPr>
          <w:spacing w:val="-9"/>
          <w:vertAlign w:val="baseline"/>
        </w:rPr>
        <w:t> </w:t>
      </w:r>
      <w:r>
        <w:rPr>
          <w:vertAlign w:val="baseline"/>
        </w:rPr>
        <w:t>at</w:t>
      </w:r>
      <w:r>
        <w:rPr>
          <w:spacing w:val="-10"/>
          <w:vertAlign w:val="baseline"/>
        </w:rPr>
        <w:t> </w:t>
      </w:r>
      <w:r>
        <w:rPr>
          <w:vertAlign w:val="baseline"/>
        </w:rPr>
        <w:t>present </w:t>
      </w:r>
      <w:r>
        <w:rPr>
          <w:spacing w:val="-3"/>
          <w:vertAlign w:val="baseline"/>
        </w:rPr>
        <w:t>sufficient </w:t>
      </w:r>
      <w:r>
        <w:rPr>
          <w:vertAlign w:val="baseline"/>
        </w:rPr>
        <w:t>to provide </w:t>
      </w:r>
      <w:r>
        <w:rPr>
          <w:spacing w:val="-3"/>
          <w:vertAlign w:val="baseline"/>
        </w:rPr>
        <w:t>guidance. Countries </w:t>
      </w:r>
      <w:r>
        <w:rPr>
          <w:vertAlign w:val="baseline"/>
        </w:rPr>
        <w:t>may develop national </w:t>
      </w:r>
      <w:r>
        <w:rPr>
          <w:spacing w:val="-3"/>
          <w:vertAlign w:val="baseline"/>
        </w:rPr>
        <w:t>methods </w:t>
      </w:r>
      <w:r>
        <w:rPr>
          <w:spacing w:val="-2"/>
          <w:vertAlign w:val="baseline"/>
        </w:rPr>
        <w:t>for </w:t>
      </w:r>
      <w:r>
        <w:rPr>
          <w:vertAlign w:val="baseline"/>
        </w:rPr>
        <w:t>estimating the </w:t>
      </w:r>
      <w:r>
        <w:rPr>
          <w:spacing w:val="-3"/>
          <w:vertAlign w:val="baseline"/>
        </w:rPr>
        <w:t>other </w:t>
      </w:r>
      <w:r>
        <w:rPr>
          <w:vertAlign w:val="baseline"/>
        </w:rPr>
        <w:t>terms in equation 3a.3.5</w:t>
      </w:r>
      <w:r>
        <w:rPr>
          <w:spacing w:val="-5"/>
          <w:vertAlign w:val="baseline"/>
        </w:rPr>
        <w:t> </w:t>
      </w:r>
      <w:r>
        <w:rPr>
          <w:vertAlign w:val="baseline"/>
        </w:rPr>
        <w:t>at</w:t>
      </w:r>
      <w:r>
        <w:rPr>
          <w:spacing w:val="-4"/>
          <w:vertAlign w:val="baseline"/>
        </w:rPr>
        <w:t> </w:t>
      </w:r>
      <w:r>
        <w:rPr>
          <w:spacing w:val="-3"/>
          <w:vertAlign w:val="baseline"/>
        </w:rPr>
        <w:t>higher</w:t>
      </w:r>
      <w:r>
        <w:rPr>
          <w:spacing w:val="-4"/>
          <w:vertAlign w:val="baseline"/>
        </w:rPr>
        <w:t> </w:t>
      </w:r>
      <w:r>
        <w:rPr>
          <w:spacing w:val="-2"/>
          <w:vertAlign w:val="baseline"/>
        </w:rPr>
        <w:t>tiers,</w:t>
      </w:r>
      <w:r>
        <w:rPr>
          <w:spacing w:val="-1"/>
          <w:vertAlign w:val="baseline"/>
        </w:rPr>
        <w:t> </w:t>
      </w:r>
      <w:r>
        <w:rPr>
          <w:vertAlign w:val="baseline"/>
        </w:rPr>
        <w:t>which</w:t>
      </w:r>
      <w:r>
        <w:rPr>
          <w:spacing w:val="-5"/>
          <w:vertAlign w:val="baseline"/>
        </w:rPr>
        <w:t> </w:t>
      </w:r>
      <w:r>
        <w:rPr>
          <w:vertAlign w:val="baseline"/>
        </w:rPr>
        <w:t>could</w:t>
      </w:r>
      <w:r>
        <w:rPr>
          <w:spacing w:val="-4"/>
          <w:vertAlign w:val="baseline"/>
        </w:rPr>
        <w:t> </w:t>
      </w:r>
      <w:r>
        <w:rPr>
          <w:vertAlign w:val="baseline"/>
        </w:rPr>
        <w:t>also</w:t>
      </w:r>
      <w:r>
        <w:rPr>
          <w:spacing w:val="-3"/>
          <w:vertAlign w:val="baseline"/>
        </w:rPr>
        <w:t> </w:t>
      </w:r>
      <w:r>
        <w:rPr>
          <w:vertAlign w:val="baseline"/>
        </w:rPr>
        <w:t>account</w:t>
      </w:r>
      <w:r>
        <w:rPr>
          <w:spacing w:val="-2"/>
          <w:vertAlign w:val="baseline"/>
        </w:rPr>
        <w:t> for</w:t>
      </w:r>
      <w:r>
        <w:rPr>
          <w:spacing w:val="-4"/>
          <w:vertAlign w:val="baseline"/>
        </w:rPr>
        <w:t> </w:t>
      </w:r>
      <w:r>
        <w:rPr>
          <w:vertAlign w:val="baseline"/>
        </w:rPr>
        <w:t>the</w:t>
      </w:r>
      <w:r>
        <w:rPr>
          <w:spacing w:val="-4"/>
          <w:vertAlign w:val="baseline"/>
        </w:rPr>
        <w:t> </w:t>
      </w:r>
      <w:r>
        <w:rPr>
          <w:vertAlign w:val="baseline"/>
        </w:rPr>
        <w:t>effect</w:t>
      </w:r>
      <w:r>
        <w:rPr>
          <w:spacing w:val="-1"/>
          <w:vertAlign w:val="baseline"/>
        </w:rPr>
        <w:t> </w:t>
      </w:r>
      <w:r>
        <w:rPr>
          <w:vertAlign w:val="baseline"/>
        </w:rPr>
        <w:t>of</w:t>
      </w:r>
      <w:r>
        <w:rPr>
          <w:spacing w:val="-6"/>
          <w:vertAlign w:val="baseline"/>
        </w:rPr>
        <w:t> </w:t>
      </w:r>
      <w:r>
        <w:rPr>
          <w:vertAlign w:val="baseline"/>
        </w:rPr>
        <w:t>peatlands</w:t>
      </w:r>
      <w:r>
        <w:rPr>
          <w:spacing w:val="-5"/>
          <w:vertAlign w:val="baseline"/>
        </w:rPr>
        <w:t> </w:t>
      </w:r>
      <w:r>
        <w:rPr>
          <w:vertAlign w:val="baseline"/>
        </w:rPr>
        <w:t>restoration</w:t>
      </w:r>
      <w:r>
        <w:rPr>
          <w:spacing w:val="-5"/>
          <w:vertAlign w:val="baseline"/>
        </w:rPr>
        <w:t> </w:t>
      </w:r>
      <w:r>
        <w:rPr>
          <w:vertAlign w:val="baseline"/>
        </w:rPr>
        <w:t>and</w:t>
      </w:r>
      <w:r>
        <w:rPr>
          <w:spacing w:val="-4"/>
          <w:vertAlign w:val="baseline"/>
        </w:rPr>
        <w:t> </w:t>
      </w:r>
      <w:r>
        <w:rPr>
          <w:vertAlign w:val="baseline"/>
        </w:rPr>
        <w:t>the</w:t>
      </w:r>
      <w:r>
        <w:rPr>
          <w:spacing w:val="-4"/>
          <w:vertAlign w:val="baseline"/>
        </w:rPr>
        <w:t> </w:t>
      </w:r>
      <w:r>
        <w:rPr>
          <w:vertAlign w:val="baseline"/>
        </w:rPr>
        <w:t>dynamics</w:t>
      </w:r>
      <w:r>
        <w:rPr>
          <w:spacing w:val="-3"/>
          <w:vertAlign w:val="baseline"/>
        </w:rPr>
        <w:t> </w:t>
      </w:r>
      <w:r>
        <w:rPr>
          <w:vertAlign w:val="baseline"/>
        </w:rPr>
        <w:t>which</w:t>
      </w:r>
      <w:r>
        <w:rPr>
          <w:spacing w:val="-5"/>
          <w:vertAlign w:val="baseline"/>
        </w:rPr>
        <w:t> </w:t>
      </w:r>
      <w:r>
        <w:rPr>
          <w:vertAlign w:val="baseline"/>
        </w:rPr>
        <w:t>lead to</w:t>
      </w:r>
      <w:r>
        <w:rPr>
          <w:spacing w:val="-10"/>
          <w:vertAlign w:val="baseline"/>
        </w:rPr>
        <w:t> </w:t>
      </w:r>
      <w:r>
        <w:rPr>
          <w:spacing w:val="-3"/>
          <w:vertAlign w:val="baseline"/>
        </w:rPr>
        <w:t>higher</w:t>
      </w:r>
      <w:r>
        <w:rPr>
          <w:spacing w:val="-10"/>
          <w:vertAlign w:val="baseline"/>
        </w:rPr>
        <w:t> </w:t>
      </w:r>
      <w:r>
        <w:rPr>
          <w:vertAlign w:val="baseline"/>
        </w:rPr>
        <w:t>emissions</w:t>
      </w:r>
      <w:r>
        <w:rPr>
          <w:spacing w:val="-10"/>
          <w:vertAlign w:val="baseline"/>
        </w:rPr>
        <w:t> </w:t>
      </w:r>
      <w:r>
        <w:rPr>
          <w:vertAlign w:val="baseline"/>
        </w:rPr>
        <w:t>immediately</w:t>
      </w:r>
      <w:r>
        <w:rPr>
          <w:spacing w:val="-11"/>
          <w:vertAlign w:val="baseline"/>
        </w:rPr>
        <w:t> </w:t>
      </w:r>
      <w:r>
        <w:rPr>
          <w:vertAlign w:val="baseline"/>
        </w:rPr>
        <w:t>after</w:t>
      </w:r>
      <w:r>
        <w:rPr>
          <w:spacing w:val="-10"/>
          <w:vertAlign w:val="baseline"/>
        </w:rPr>
        <w:t> </w:t>
      </w:r>
      <w:r>
        <w:rPr>
          <w:vertAlign w:val="baseline"/>
        </w:rPr>
        <w:t>drainage</w:t>
      </w:r>
      <w:r>
        <w:rPr>
          <w:spacing w:val="-10"/>
          <w:vertAlign w:val="baseline"/>
        </w:rPr>
        <w:t> </w:t>
      </w:r>
      <w:r>
        <w:rPr>
          <w:vertAlign w:val="baseline"/>
        </w:rPr>
        <w:t>compared</w:t>
      </w:r>
      <w:r>
        <w:rPr>
          <w:spacing w:val="-8"/>
          <w:vertAlign w:val="baseline"/>
        </w:rPr>
        <w:t> </w:t>
      </w:r>
      <w:r>
        <w:rPr>
          <w:spacing w:val="-3"/>
          <w:vertAlign w:val="baseline"/>
        </w:rPr>
        <w:t>with</w:t>
      </w:r>
      <w:r>
        <w:rPr>
          <w:spacing w:val="-10"/>
          <w:vertAlign w:val="baseline"/>
        </w:rPr>
        <w:t> </w:t>
      </w:r>
      <w:r>
        <w:rPr>
          <w:spacing w:val="-3"/>
          <w:vertAlign w:val="baseline"/>
        </w:rPr>
        <w:t>the</w:t>
      </w:r>
      <w:r>
        <w:rPr>
          <w:spacing w:val="-10"/>
          <w:vertAlign w:val="baseline"/>
        </w:rPr>
        <w:t> </w:t>
      </w:r>
      <w:r>
        <w:rPr>
          <w:vertAlign w:val="baseline"/>
        </w:rPr>
        <w:t>period</w:t>
      </w:r>
      <w:r>
        <w:rPr>
          <w:spacing w:val="-10"/>
          <w:vertAlign w:val="baseline"/>
        </w:rPr>
        <w:t> </w:t>
      </w:r>
      <w:r>
        <w:rPr>
          <w:vertAlign w:val="baseline"/>
        </w:rPr>
        <w:t>during</w:t>
      </w:r>
      <w:r>
        <w:rPr>
          <w:spacing w:val="-10"/>
          <w:vertAlign w:val="baseline"/>
        </w:rPr>
        <w:t> </w:t>
      </w:r>
      <w:r>
        <w:rPr>
          <w:vertAlign w:val="baseline"/>
        </w:rPr>
        <w:t>which</w:t>
      </w:r>
      <w:r>
        <w:rPr>
          <w:spacing w:val="-12"/>
          <w:vertAlign w:val="baseline"/>
        </w:rPr>
        <w:t> </w:t>
      </w:r>
      <w:r>
        <w:rPr>
          <w:vertAlign w:val="baseline"/>
        </w:rPr>
        <w:t>peat</w:t>
      </w:r>
      <w:r>
        <w:rPr>
          <w:spacing w:val="-11"/>
          <w:vertAlign w:val="baseline"/>
        </w:rPr>
        <w:t> </w:t>
      </w:r>
      <w:r>
        <w:rPr>
          <w:vertAlign w:val="baseline"/>
        </w:rPr>
        <w:t>is</w:t>
      </w:r>
      <w:r>
        <w:rPr>
          <w:spacing w:val="-12"/>
          <w:vertAlign w:val="baseline"/>
        </w:rPr>
        <w:t> </w:t>
      </w:r>
      <w:r>
        <w:rPr>
          <w:vertAlign w:val="baseline"/>
        </w:rPr>
        <w:t>being</w:t>
      </w:r>
      <w:r>
        <w:rPr>
          <w:spacing w:val="-11"/>
          <w:vertAlign w:val="baseline"/>
        </w:rPr>
        <w:t> </w:t>
      </w:r>
      <w:r>
        <w:rPr>
          <w:vertAlign w:val="baseline"/>
        </w:rPr>
        <w:t>removed.</w:t>
      </w:r>
    </w:p>
    <w:p>
      <w:pPr>
        <w:pStyle w:val="BodyText"/>
        <w:spacing w:before="6"/>
      </w:pPr>
    </w:p>
    <w:p>
      <w:pPr>
        <w:pStyle w:val="Heading7"/>
        <w:ind w:left="159"/>
        <w:jc w:val="left"/>
      </w:pPr>
      <w:r>
        <w:rPr/>
        <w:t>Choice of method</w:t>
      </w:r>
    </w:p>
    <w:p>
      <w:pPr>
        <w:pStyle w:val="BodyText"/>
        <w:ind w:left="159" w:right="163"/>
        <w:jc w:val="both"/>
      </w:pPr>
      <w:r>
        <w:rPr/>
        <w:t>The Tier 1 method relies on basic area identification and default emission factors, while the Tier 2 method is disaggregated to smaller spatial scales and uses country-specific emission factors where available. Given the current state of the science, few countries will use Tier 3 methods, and so only the main elements for a Tier 3 method are described.</w:t>
      </w:r>
    </w:p>
    <w:p>
      <w:pPr>
        <w:pStyle w:val="BodyText"/>
        <w:spacing w:before="116"/>
        <w:ind w:left="159" w:right="117"/>
        <w:jc w:val="both"/>
      </w:pPr>
      <w:r>
        <w:rPr>
          <w:b/>
        </w:rPr>
        <w:t>Tier 1: </w:t>
      </w:r>
      <w:r>
        <w:rPr/>
        <w:t>Tier 1 estimates only emissions directly associated with the change in soil carbon during peat extraction (fugitive emissions from the production fields). The emissions from the peat extracted are covered by the emissions from peat combustion which are reported in the Energy Sector. In Tier 1, Equation 3a.3.6 is applied at an aggregate level to a country’s area of organic soils managed for peat extraction, using default emission factors.</w:t>
      </w:r>
    </w:p>
    <w:p>
      <w:pPr>
        <w:pStyle w:val="BodyText"/>
        <w:spacing w:before="1"/>
        <w:rPr>
          <w:sz w:val="11"/>
        </w:rPr>
      </w:pPr>
      <w:r>
        <w:rPr/>
        <w:pict>
          <v:shape style="position:absolute;margin-left:91.960999pt;margin-top:9.088036pt;width:411.5pt;height:52.95pt;mso-position-horizontal-relative:page;mso-position-vertical-relative:paragraph;z-index:14456;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3a.3.6</w:t>
                  </w:r>
                </w:p>
                <w:p>
                  <w:pPr>
                    <w:spacing w:line="229" w:lineRule="exact" w:before="0"/>
                    <w:ind w:left="68" w:right="68" w:firstLine="0"/>
                    <w:jc w:val="center"/>
                    <w:rPr>
                      <w:b/>
                      <w:sz w:val="16"/>
                    </w:rPr>
                  </w:pPr>
                  <w:r>
                    <w:rPr>
                      <w:b/>
                      <w:sz w:val="20"/>
                    </w:rPr>
                    <w:t>CO</w:t>
                  </w:r>
                  <w:r>
                    <w:rPr>
                      <w:b/>
                      <w:sz w:val="20"/>
                      <w:vertAlign w:val="subscript"/>
                    </w:rPr>
                    <w:t>2</w:t>
                  </w:r>
                  <w:r>
                    <w:rPr>
                      <w:b/>
                      <w:sz w:val="20"/>
                      <w:vertAlign w:val="baseline"/>
                    </w:rPr>
                    <w:t> </w:t>
                  </w:r>
                  <w:r>
                    <w:rPr>
                      <w:b/>
                      <w:sz w:val="16"/>
                      <w:vertAlign w:val="baseline"/>
                    </w:rPr>
                    <w:t>EMISSIONS FROM ORGANIC SOILS MANAGED FOR PEAT EXTRACTION</w:t>
                  </w:r>
                </w:p>
                <w:p>
                  <w:pPr>
                    <w:spacing w:before="80"/>
                    <w:ind w:left="68" w:right="68" w:firstLine="0"/>
                    <w:jc w:val="center"/>
                    <w:rPr>
                      <w:sz w:val="13"/>
                    </w:rPr>
                  </w:pPr>
                  <w:r>
                    <w:rPr>
                      <w:position w:val="9"/>
                      <w:sz w:val="20"/>
                    </w:rPr>
                    <w:t>∆C</w:t>
                  </w:r>
                  <w:r>
                    <w:rPr>
                      <w:position w:val="6"/>
                      <w:sz w:val="13"/>
                    </w:rPr>
                    <w:t>WW peat</w:t>
                  </w:r>
                  <w:r>
                    <w:rPr>
                      <w:sz w:val="13"/>
                    </w:rPr>
                    <w:t>Soils, extraction </w:t>
                  </w:r>
                  <w:r>
                    <w:rPr>
                      <w:position w:val="9"/>
                      <w:sz w:val="20"/>
                    </w:rPr>
                    <w:t>= A</w:t>
                  </w:r>
                  <w:r>
                    <w:rPr>
                      <w:position w:val="6"/>
                      <w:sz w:val="13"/>
                    </w:rPr>
                    <w:t>peat </w:t>
                  </w:r>
                  <w:r>
                    <w:rPr>
                      <w:sz w:val="13"/>
                    </w:rPr>
                    <w:t>Nrich </w:t>
                  </w:r>
                  <w:r>
                    <w:rPr>
                      <w:position w:val="9"/>
                      <w:sz w:val="20"/>
                    </w:rPr>
                    <w:t>● EF</w:t>
                  </w:r>
                  <w:r>
                    <w:rPr>
                      <w:position w:val="6"/>
                      <w:sz w:val="13"/>
                    </w:rPr>
                    <w:t>peat </w:t>
                  </w:r>
                  <w:r>
                    <w:rPr>
                      <w:sz w:val="13"/>
                    </w:rPr>
                    <w:t>Nrich </w:t>
                  </w:r>
                  <w:r>
                    <w:rPr>
                      <w:position w:val="9"/>
                      <w:sz w:val="20"/>
                    </w:rPr>
                    <w:t>+ A</w:t>
                  </w:r>
                  <w:r>
                    <w:rPr>
                      <w:position w:val="6"/>
                      <w:sz w:val="13"/>
                    </w:rPr>
                    <w:t>peat </w:t>
                  </w:r>
                  <w:r>
                    <w:rPr>
                      <w:sz w:val="13"/>
                    </w:rPr>
                    <w:t>Npoor </w:t>
                  </w:r>
                  <w:r>
                    <w:rPr>
                      <w:position w:val="9"/>
                      <w:sz w:val="20"/>
                    </w:rPr>
                    <w:t>● EF</w:t>
                  </w:r>
                  <w:r>
                    <w:rPr>
                      <w:position w:val="6"/>
                      <w:sz w:val="13"/>
                    </w:rPr>
                    <w:t>peat </w:t>
                  </w:r>
                  <w:r>
                    <w:rPr>
                      <w:sz w:val="13"/>
                    </w:rPr>
                    <w:t>Npoor</w:t>
                  </w:r>
                </w:p>
              </w:txbxContent>
            </v:textbox>
            <v:stroke dashstyle="solid"/>
            <w10:wrap type="topAndBottom"/>
          </v:shape>
        </w:pict>
      </w:r>
    </w:p>
    <w:p>
      <w:pPr>
        <w:pStyle w:val="BodyText"/>
        <w:spacing w:before="4"/>
        <w:ind w:left="159"/>
      </w:pPr>
      <w:r>
        <w:rPr/>
        <w:t>Where:</w:t>
      </w:r>
    </w:p>
    <w:p>
      <w:pPr>
        <w:pStyle w:val="BodyText"/>
        <w:tabs>
          <w:tab w:pos="2722" w:val="left" w:leader="none"/>
        </w:tabs>
        <w:spacing w:line="228" w:lineRule="auto" w:before="126"/>
        <w:ind w:left="2722" w:right="185" w:hanging="1997"/>
      </w:pPr>
      <w:r>
        <w:rPr/>
        <w:t>∆C</w:t>
      </w:r>
      <w:r>
        <w:rPr>
          <w:vertAlign w:val="subscript"/>
        </w:rPr>
        <w:t>WW</w:t>
      </w:r>
      <w:r>
        <w:rPr>
          <w:vertAlign w:val="baseline"/>
        </w:rPr>
        <w:t> </w:t>
      </w:r>
      <w:r>
        <w:rPr>
          <w:vertAlign w:val="subscript"/>
        </w:rPr>
        <w:t>peat</w:t>
      </w:r>
      <w:r>
        <w:rPr>
          <w:spacing w:val="-35"/>
          <w:vertAlign w:val="baseline"/>
        </w:rPr>
        <w:t> </w:t>
      </w:r>
      <w:r>
        <w:rPr>
          <w:position w:val="-8"/>
          <w:sz w:val="13"/>
          <w:vertAlign w:val="baseline"/>
        </w:rPr>
        <w:t>Soils, extraction</w:t>
      </w:r>
      <w:r>
        <w:rPr>
          <w:spacing w:val="17"/>
          <w:position w:val="-8"/>
          <w:sz w:val="13"/>
          <w:vertAlign w:val="baseline"/>
        </w:rPr>
        <w:t> </w:t>
      </w:r>
      <w:r>
        <w:rPr>
          <w:vertAlign w:val="baseline"/>
        </w:rPr>
        <w:t>=</w:t>
        <w:tab/>
        <w:t>CO</w:t>
      </w:r>
      <w:r>
        <w:rPr>
          <w:vertAlign w:val="subscript"/>
        </w:rPr>
        <w:t>2</w:t>
      </w:r>
      <w:r>
        <w:rPr>
          <w:vertAlign w:val="baseline"/>
        </w:rPr>
        <w:t> emission from organic soils managed for peat extraction expressed as carbon, tonnes C yr</w:t>
      </w:r>
      <w:r>
        <w:rPr>
          <w:vertAlign w:val="superscript"/>
        </w:rPr>
        <w:t>-1</w:t>
      </w:r>
    </w:p>
    <w:p>
      <w:pPr>
        <w:pStyle w:val="BodyText"/>
        <w:tabs>
          <w:tab w:pos="1824" w:val="left" w:leader="none"/>
        </w:tabs>
        <w:spacing w:line="228" w:lineRule="auto" w:before="127"/>
        <w:ind w:left="1824" w:right="165" w:hanging="1100"/>
      </w:pPr>
      <w:r>
        <w:rPr/>
        <w:t>A</w:t>
      </w:r>
      <w:r>
        <w:rPr>
          <w:vertAlign w:val="subscript"/>
        </w:rPr>
        <w:t>peat</w:t>
      </w:r>
      <w:r>
        <w:rPr>
          <w:spacing w:val="-18"/>
          <w:vertAlign w:val="baseline"/>
        </w:rPr>
        <w:t> </w:t>
      </w:r>
      <w:r>
        <w:rPr>
          <w:position w:val="-8"/>
          <w:sz w:val="13"/>
          <w:vertAlign w:val="baseline"/>
        </w:rPr>
        <w:t>Nrich </w:t>
      </w:r>
      <w:r>
        <w:rPr>
          <w:vertAlign w:val="baseline"/>
        </w:rPr>
        <w:t>=</w:t>
        <w:tab/>
        <w:t>area of nutrient rich organic soils managed for peat extraction, including abandoned areas in which drainage is still present,</w:t>
      </w:r>
      <w:r>
        <w:rPr>
          <w:spacing w:val="-1"/>
          <w:vertAlign w:val="baseline"/>
        </w:rPr>
        <w:t> </w:t>
      </w:r>
      <w:r>
        <w:rPr>
          <w:vertAlign w:val="baseline"/>
        </w:rPr>
        <w:t>ha</w:t>
      </w:r>
    </w:p>
    <w:p>
      <w:pPr>
        <w:pStyle w:val="BodyText"/>
        <w:tabs>
          <w:tab w:pos="1825" w:val="left" w:leader="none"/>
        </w:tabs>
        <w:spacing w:before="123"/>
        <w:ind w:left="1824" w:right="185" w:hanging="1100"/>
      </w:pPr>
      <w:r>
        <w:rPr/>
        <w:t>A</w:t>
      </w:r>
      <w:r>
        <w:rPr>
          <w:vertAlign w:val="subscript"/>
        </w:rPr>
        <w:t>peat</w:t>
      </w:r>
      <w:r>
        <w:rPr>
          <w:spacing w:val="-19"/>
          <w:vertAlign w:val="baseline"/>
        </w:rPr>
        <w:t> </w:t>
      </w:r>
      <w:r>
        <w:rPr>
          <w:vertAlign w:val="subscript"/>
        </w:rPr>
        <w:t>Npoor</w:t>
      </w:r>
      <w:r>
        <w:rPr>
          <w:spacing w:val="-18"/>
          <w:vertAlign w:val="baseline"/>
        </w:rPr>
        <w:t> </w:t>
      </w:r>
      <w:r>
        <w:rPr>
          <w:vertAlign w:val="baseline"/>
        </w:rPr>
        <w:t>=</w:t>
        <w:tab/>
        <w:tab/>
        <w:t>area of nutrient poor organic soils managed for peat extraction, including abandoned areas in which drainage is still present,</w:t>
      </w:r>
      <w:r>
        <w:rPr>
          <w:spacing w:val="-2"/>
          <w:vertAlign w:val="baseline"/>
        </w:rPr>
        <w:t> </w:t>
      </w:r>
      <w:r>
        <w:rPr>
          <w:vertAlign w:val="baseline"/>
        </w:rPr>
        <w:t>ha</w:t>
      </w:r>
    </w:p>
    <w:p>
      <w:pPr>
        <w:pStyle w:val="BodyText"/>
        <w:spacing w:line="228" w:lineRule="auto" w:before="124"/>
        <w:ind w:left="1824" w:right="532" w:hanging="1100"/>
      </w:pPr>
      <w:r>
        <w:rPr/>
        <w:t>EF</w:t>
      </w:r>
      <w:r>
        <w:rPr>
          <w:vertAlign w:val="subscript"/>
        </w:rPr>
        <w:t>peat</w:t>
      </w:r>
      <w:r>
        <w:rPr>
          <w:vertAlign w:val="baseline"/>
        </w:rPr>
        <w:t> </w:t>
      </w:r>
      <w:r>
        <w:rPr>
          <w:position w:val="-8"/>
          <w:sz w:val="13"/>
          <w:vertAlign w:val="baseline"/>
        </w:rPr>
        <w:t>Nrich </w:t>
      </w:r>
      <w:r>
        <w:rPr>
          <w:vertAlign w:val="baseline"/>
        </w:rPr>
        <w:t>= emission factors for CO</w:t>
      </w:r>
      <w:r>
        <w:rPr>
          <w:vertAlign w:val="subscript"/>
        </w:rPr>
        <w:t>2</w:t>
      </w:r>
      <w:r>
        <w:rPr>
          <w:vertAlign w:val="baseline"/>
        </w:rPr>
        <w:t> from nutrient rich organic soils managed  for peat extraction,  tonnes C ha</w:t>
      </w:r>
      <w:r>
        <w:rPr>
          <w:vertAlign w:val="superscript"/>
        </w:rPr>
        <w:t>-1</w:t>
      </w:r>
      <w:r>
        <w:rPr>
          <w:spacing w:val="-15"/>
          <w:vertAlign w:val="baseline"/>
        </w:rPr>
        <w:t> </w:t>
      </w:r>
      <w:r>
        <w:rPr>
          <w:vertAlign w:val="baseline"/>
        </w:rPr>
        <w:t>yr</w:t>
      </w:r>
      <w:r>
        <w:rPr>
          <w:vertAlign w:val="superscript"/>
        </w:rPr>
        <w:t>-1</w:t>
      </w:r>
    </w:p>
    <w:p>
      <w:pPr>
        <w:spacing w:after="0" w:line="228" w:lineRule="auto"/>
        <w:sectPr>
          <w:type w:val="continuous"/>
          <w:pgSz w:w="11900" w:h="16840"/>
          <w:pgMar w:top="1060" w:bottom="280" w:left="1260" w:right="1240"/>
        </w:sectPr>
      </w:pPr>
    </w:p>
    <w:p>
      <w:pPr>
        <w:pStyle w:val="BodyText"/>
      </w:pPr>
    </w:p>
    <w:p>
      <w:pPr>
        <w:pStyle w:val="BodyText"/>
        <w:spacing w:line="228" w:lineRule="auto" w:before="215"/>
        <w:ind w:left="1824" w:right="532" w:hanging="1100"/>
      </w:pPr>
      <w:r>
        <w:rPr/>
        <w:t>EF</w:t>
      </w:r>
      <w:r>
        <w:rPr>
          <w:vertAlign w:val="subscript"/>
        </w:rPr>
        <w:t>peat</w:t>
      </w:r>
      <w:r>
        <w:rPr>
          <w:position w:val="-8"/>
          <w:sz w:val="13"/>
          <w:vertAlign w:val="baseline"/>
        </w:rPr>
        <w:t>Npoor </w:t>
      </w:r>
      <w:r>
        <w:rPr>
          <w:vertAlign w:val="baseline"/>
        </w:rPr>
        <w:t>= emission factors for CO</w:t>
      </w:r>
      <w:r>
        <w:rPr>
          <w:vertAlign w:val="subscript"/>
        </w:rPr>
        <w:t>2</w:t>
      </w:r>
      <w:r>
        <w:rPr>
          <w:vertAlign w:val="baseline"/>
        </w:rPr>
        <w:t> from nutrient poor organic soils managed for  peat extraction, tonnes C ha</w:t>
      </w:r>
      <w:r>
        <w:rPr>
          <w:vertAlign w:val="superscript"/>
        </w:rPr>
        <w:t>-1</w:t>
      </w:r>
      <w:r>
        <w:rPr>
          <w:spacing w:val="-15"/>
          <w:vertAlign w:val="baseline"/>
        </w:rPr>
        <w:t> </w:t>
      </w:r>
      <w:r>
        <w:rPr>
          <w:vertAlign w:val="baseline"/>
        </w:rPr>
        <w:t>yr</w:t>
      </w:r>
      <w:r>
        <w:rPr>
          <w:vertAlign w:val="superscript"/>
        </w:rPr>
        <w:t>-1</w:t>
      </w:r>
    </w:p>
    <w:p>
      <w:pPr>
        <w:pStyle w:val="BodyText"/>
        <w:spacing w:before="123"/>
        <w:ind w:left="159" w:right="163"/>
        <w:jc w:val="both"/>
      </w:pPr>
      <w:r>
        <w:rPr>
          <w:b/>
        </w:rPr>
        <w:t>Tier 2: </w:t>
      </w:r>
      <w:r>
        <w:rPr/>
        <w:t>The Tier 2 method can be applied if area data and country-specific emission factors are available. It may be possible to subdivide activity data and emission factors according to soil fertility, site type and drainage level, and previous land use such as forest or cropland. Emission factors for sub-categories such as peat stockpiles, drained and restored peatlands could also be included. In addition, it may be possible to develop emission factors that reflect differences in emission levels between the period directly after drainage and the period of ongoing peat extraction.</w:t>
      </w:r>
    </w:p>
    <w:p>
      <w:pPr>
        <w:pStyle w:val="BodyText"/>
        <w:spacing w:before="118"/>
        <w:ind w:left="159" w:right="162"/>
        <w:jc w:val="both"/>
      </w:pPr>
      <w:r>
        <w:rPr>
          <w:b/>
        </w:rPr>
        <w:t>Tier 3: </w:t>
      </w:r>
      <w:r>
        <w:rPr/>
        <w:t>Tier 3 methods </w:t>
      </w:r>
      <w:r>
        <w:rPr>
          <w:spacing w:val="-3"/>
        </w:rPr>
        <w:t>would </w:t>
      </w:r>
      <w:r>
        <w:rPr/>
        <w:t>require statistics on the area of organic soils managed </w:t>
      </w:r>
      <w:r>
        <w:rPr>
          <w:spacing w:val="-2"/>
        </w:rPr>
        <w:t>for </w:t>
      </w:r>
      <w:r>
        <w:rPr/>
        <w:t>peat extraction according to site type, </w:t>
      </w:r>
      <w:r>
        <w:rPr>
          <w:spacing w:val="-3"/>
        </w:rPr>
        <w:t>fertility, </w:t>
      </w:r>
      <w:r>
        <w:rPr/>
        <w:t>time since drainage, time </w:t>
      </w:r>
      <w:r>
        <w:rPr>
          <w:spacing w:val="-3"/>
        </w:rPr>
        <w:t>since </w:t>
      </w:r>
      <w:r>
        <w:rPr/>
        <w:t>restoration, which could be combined with appropriate emission </w:t>
      </w:r>
      <w:r>
        <w:rPr>
          <w:spacing w:val="-3"/>
        </w:rPr>
        <w:t>factors, </w:t>
      </w:r>
      <w:r>
        <w:rPr/>
        <w:t>and </w:t>
      </w:r>
      <w:r>
        <w:rPr>
          <w:spacing w:val="-3"/>
        </w:rPr>
        <w:t>or/process </w:t>
      </w:r>
      <w:r>
        <w:rPr/>
        <w:t>based </w:t>
      </w:r>
      <w:r>
        <w:rPr>
          <w:spacing w:val="-3"/>
        </w:rPr>
        <w:t>models. </w:t>
      </w:r>
      <w:r>
        <w:rPr/>
        <w:t>Studies utilising information on changes in soil bulk density and carbon content could also be used to detect changes in </w:t>
      </w:r>
      <w:r>
        <w:rPr>
          <w:spacing w:val="-3"/>
        </w:rPr>
        <w:t>soil </w:t>
      </w:r>
      <w:r>
        <w:rPr/>
        <w:t>carbon stocks </w:t>
      </w:r>
      <w:r>
        <w:rPr>
          <w:spacing w:val="-3"/>
        </w:rPr>
        <w:t>provided </w:t>
      </w:r>
      <w:r>
        <w:rPr/>
        <w:t>the sampling was of sufficient </w:t>
      </w:r>
      <w:r>
        <w:rPr>
          <w:spacing w:val="-3"/>
        </w:rPr>
        <w:t>intensity.</w:t>
      </w:r>
      <w:r>
        <w:rPr>
          <w:spacing w:val="-14"/>
        </w:rPr>
        <w:t> </w:t>
      </w:r>
      <w:r>
        <w:rPr/>
        <w:t>Such</w:t>
      </w:r>
      <w:r>
        <w:rPr>
          <w:spacing w:val="-13"/>
        </w:rPr>
        <w:t> </w:t>
      </w:r>
      <w:r>
        <w:rPr/>
        <w:t>data</w:t>
      </w:r>
      <w:r>
        <w:rPr>
          <w:spacing w:val="-11"/>
        </w:rPr>
        <w:t> </w:t>
      </w:r>
      <w:r>
        <w:rPr/>
        <w:t>could</w:t>
      </w:r>
      <w:r>
        <w:rPr>
          <w:spacing w:val="-13"/>
        </w:rPr>
        <w:t> </w:t>
      </w:r>
      <w:r>
        <w:rPr/>
        <w:t>also</w:t>
      </w:r>
      <w:r>
        <w:rPr>
          <w:spacing w:val="-11"/>
        </w:rPr>
        <w:t> </w:t>
      </w:r>
      <w:r>
        <w:rPr/>
        <w:t>be</w:t>
      </w:r>
      <w:r>
        <w:rPr>
          <w:spacing w:val="-13"/>
        </w:rPr>
        <w:t> </w:t>
      </w:r>
      <w:r>
        <w:rPr/>
        <w:t>used</w:t>
      </w:r>
      <w:r>
        <w:rPr>
          <w:spacing w:val="-13"/>
        </w:rPr>
        <w:t> </w:t>
      </w:r>
      <w:r>
        <w:rPr/>
        <w:t>to</w:t>
      </w:r>
      <w:r>
        <w:rPr>
          <w:spacing w:val="-10"/>
        </w:rPr>
        <w:t> </w:t>
      </w:r>
      <w:r>
        <w:rPr/>
        <w:t>develop</w:t>
      </w:r>
      <w:r>
        <w:rPr>
          <w:spacing w:val="-13"/>
        </w:rPr>
        <w:t> </w:t>
      </w:r>
      <w:r>
        <w:rPr/>
        <w:t>appropriate</w:t>
      </w:r>
      <w:r>
        <w:rPr>
          <w:spacing w:val="-10"/>
        </w:rPr>
        <w:t> </w:t>
      </w:r>
      <w:r>
        <w:rPr/>
        <w:t>emission</w:t>
      </w:r>
      <w:r>
        <w:rPr>
          <w:spacing w:val="-13"/>
        </w:rPr>
        <w:t> </w:t>
      </w:r>
      <w:r>
        <w:rPr/>
        <w:t>factors</w:t>
      </w:r>
      <w:r>
        <w:rPr>
          <w:spacing w:val="-13"/>
        </w:rPr>
        <w:t> </w:t>
      </w:r>
      <w:r>
        <w:rPr>
          <w:spacing w:val="-2"/>
        </w:rPr>
        <w:t>for</w:t>
      </w:r>
      <w:r>
        <w:rPr>
          <w:spacing w:val="-11"/>
        </w:rPr>
        <w:t> </w:t>
      </w:r>
      <w:r>
        <w:rPr/>
        <w:t>CO</w:t>
      </w:r>
      <w:r>
        <w:rPr>
          <w:vertAlign w:val="subscript"/>
        </w:rPr>
        <w:t>2</w:t>
      </w:r>
      <w:r>
        <w:rPr>
          <w:vertAlign w:val="baseline"/>
        </w:rPr>
        <w:t>,</w:t>
      </w:r>
      <w:r>
        <w:rPr>
          <w:spacing w:val="-13"/>
          <w:vertAlign w:val="baseline"/>
        </w:rPr>
        <w:t> </w:t>
      </w:r>
      <w:r>
        <w:rPr>
          <w:vertAlign w:val="baseline"/>
        </w:rPr>
        <w:t>correcting</w:t>
      </w:r>
      <w:r>
        <w:rPr>
          <w:spacing w:val="-13"/>
          <w:vertAlign w:val="baseline"/>
        </w:rPr>
        <w:t> </w:t>
      </w:r>
      <w:r>
        <w:rPr>
          <w:spacing w:val="-2"/>
          <w:vertAlign w:val="baseline"/>
        </w:rPr>
        <w:t>for</w:t>
      </w:r>
      <w:r>
        <w:rPr>
          <w:spacing w:val="-13"/>
          <w:vertAlign w:val="baseline"/>
        </w:rPr>
        <w:t> </w:t>
      </w:r>
      <w:r>
        <w:rPr>
          <w:vertAlign w:val="baseline"/>
        </w:rPr>
        <w:t>carbon</w:t>
      </w:r>
      <w:r>
        <w:rPr>
          <w:spacing w:val="-15"/>
          <w:vertAlign w:val="baseline"/>
        </w:rPr>
        <w:t> </w:t>
      </w:r>
      <w:r>
        <w:rPr>
          <w:vertAlign w:val="baseline"/>
        </w:rPr>
        <w:t>losses as</w:t>
      </w:r>
      <w:r>
        <w:rPr>
          <w:spacing w:val="-10"/>
          <w:vertAlign w:val="baseline"/>
        </w:rPr>
        <w:t> </w:t>
      </w:r>
      <w:r>
        <w:rPr>
          <w:spacing w:val="-3"/>
          <w:vertAlign w:val="baseline"/>
        </w:rPr>
        <w:t>dissolved</w:t>
      </w:r>
      <w:r>
        <w:rPr>
          <w:spacing w:val="-7"/>
          <w:vertAlign w:val="baseline"/>
        </w:rPr>
        <w:t> </w:t>
      </w:r>
      <w:r>
        <w:rPr>
          <w:vertAlign w:val="baseline"/>
        </w:rPr>
        <w:t>organic</w:t>
      </w:r>
      <w:r>
        <w:rPr>
          <w:spacing w:val="-7"/>
          <w:vertAlign w:val="baseline"/>
        </w:rPr>
        <w:t> </w:t>
      </w:r>
      <w:r>
        <w:rPr>
          <w:vertAlign w:val="baseline"/>
        </w:rPr>
        <w:t>carbon</w:t>
      </w:r>
      <w:r>
        <w:rPr>
          <w:spacing w:val="-9"/>
          <w:vertAlign w:val="baseline"/>
        </w:rPr>
        <w:t> </w:t>
      </w:r>
      <w:r>
        <w:rPr>
          <w:vertAlign w:val="baseline"/>
        </w:rPr>
        <w:t>leaching,</w:t>
      </w:r>
      <w:r>
        <w:rPr>
          <w:spacing w:val="-7"/>
          <w:vertAlign w:val="baseline"/>
        </w:rPr>
        <w:t> </w:t>
      </w:r>
      <w:r>
        <w:rPr>
          <w:vertAlign w:val="baseline"/>
        </w:rPr>
        <w:t>losses</w:t>
      </w:r>
      <w:r>
        <w:rPr>
          <w:spacing w:val="-9"/>
          <w:vertAlign w:val="baseline"/>
        </w:rPr>
        <w:t> </w:t>
      </w:r>
      <w:r>
        <w:rPr>
          <w:vertAlign w:val="baseline"/>
        </w:rPr>
        <w:t>of</w:t>
      </w:r>
      <w:r>
        <w:rPr>
          <w:spacing w:val="-10"/>
          <w:vertAlign w:val="baseline"/>
        </w:rPr>
        <w:t> </w:t>
      </w:r>
      <w:r>
        <w:rPr>
          <w:vertAlign w:val="baseline"/>
        </w:rPr>
        <w:t>dead</w:t>
      </w:r>
      <w:r>
        <w:rPr>
          <w:spacing w:val="-7"/>
          <w:vertAlign w:val="baseline"/>
        </w:rPr>
        <w:t> </w:t>
      </w:r>
      <w:r>
        <w:rPr>
          <w:vertAlign w:val="baseline"/>
        </w:rPr>
        <w:t>organic</w:t>
      </w:r>
      <w:r>
        <w:rPr>
          <w:spacing w:val="-5"/>
          <w:vertAlign w:val="baseline"/>
        </w:rPr>
        <w:t> </w:t>
      </w:r>
      <w:r>
        <w:rPr>
          <w:vertAlign w:val="baseline"/>
        </w:rPr>
        <w:t>matter</w:t>
      </w:r>
      <w:r>
        <w:rPr>
          <w:spacing w:val="-7"/>
          <w:vertAlign w:val="baseline"/>
        </w:rPr>
        <w:t> </w:t>
      </w:r>
      <w:r>
        <w:rPr>
          <w:vertAlign w:val="baseline"/>
        </w:rPr>
        <w:t>through</w:t>
      </w:r>
      <w:r>
        <w:rPr>
          <w:spacing w:val="-10"/>
          <w:vertAlign w:val="baseline"/>
        </w:rPr>
        <w:t> </w:t>
      </w:r>
      <w:r>
        <w:rPr>
          <w:vertAlign w:val="baseline"/>
        </w:rPr>
        <w:t>runoff</w:t>
      </w:r>
      <w:r>
        <w:rPr>
          <w:spacing w:val="-9"/>
          <w:vertAlign w:val="baseline"/>
        </w:rPr>
        <w:t> </w:t>
      </w:r>
      <w:r>
        <w:rPr>
          <w:vertAlign w:val="baseline"/>
        </w:rPr>
        <w:t>or</w:t>
      </w:r>
      <w:r>
        <w:rPr>
          <w:spacing w:val="-7"/>
          <w:vertAlign w:val="baseline"/>
        </w:rPr>
        <w:t> </w:t>
      </w:r>
      <w:r>
        <w:rPr>
          <w:vertAlign w:val="baseline"/>
        </w:rPr>
        <w:t>as</w:t>
      </w:r>
      <w:r>
        <w:rPr>
          <w:spacing w:val="-6"/>
          <w:vertAlign w:val="baseline"/>
        </w:rPr>
        <w:t> </w:t>
      </w:r>
      <w:r>
        <w:rPr>
          <w:vertAlign w:val="baseline"/>
        </w:rPr>
        <w:t>CH</w:t>
      </w:r>
      <w:r>
        <w:rPr>
          <w:vertAlign w:val="subscript"/>
        </w:rPr>
        <w:t>4</w:t>
      </w:r>
      <w:r>
        <w:rPr>
          <w:spacing w:val="-8"/>
          <w:vertAlign w:val="baseline"/>
        </w:rPr>
        <w:t> </w:t>
      </w:r>
      <w:r>
        <w:rPr>
          <w:spacing w:val="-3"/>
          <w:vertAlign w:val="baseline"/>
        </w:rPr>
        <w:t>emissions.</w:t>
      </w:r>
    </w:p>
    <w:p>
      <w:pPr>
        <w:pStyle w:val="BodyText"/>
        <w:spacing w:before="4"/>
        <w:rPr>
          <w:sz w:val="21"/>
        </w:rPr>
      </w:pPr>
    </w:p>
    <w:p>
      <w:pPr>
        <w:pStyle w:val="Heading7"/>
        <w:ind w:left="159"/>
      </w:pPr>
      <w:r>
        <w:rPr/>
        <w:t>Choice of emission factors</w:t>
      </w:r>
    </w:p>
    <w:p>
      <w:pPr>
        <w:pStyle w:val="BodyText"/>
        <w:ind w:left="159" w:right="164"/>
        <w:jc w:val="both"/>
      </w:pPr>
      <w:r>
        <w:rPr>
          <w:b/>
        </w:rPr>
        <w:t>Tier 1: </w:t>
      </w:r>
      <w:r>
        <w:rPr/>
        <w:t>Implementation of the Tier 1 method requires default emission factors for EF</w:t>
      </w:r>
      <w:r>
        <w:rPr>
          <w:vertAlign w:val="subscript"/>
        </w:rPr>
        <w:t>peat</w:t>
      </w:r>
      <w:r>
        <w:rPr>
          <w:vertAlign w:val="baseline"/>
        </w:rPr>
        <w:t>. Default emission factors for Tier 1 are presented in Table 3a.3.2. These factors are identical to those provided in Table 3.5.2 (Emission factors and associated uncertainty for organic soils after drainage) to estimate CO</w:t>
      </w:r>
      <w:r>
        <w:rPr>
          <w:vertAlign w:val="subscript"/>
        </w:rPr>
        <w:t>2</w:t>
      </w:r>
      <w:r>
        <w:rPr>
          <w:vertAlign w:val="baseline"/>
        </w:rPr>
        <w:t> emissions associated with the drainage of land for peat extraction (a land conversion described in Section 3.5). Although it is recognised that emissions in the period immediately following drainage will be higher than those during ongoing peat extraction, there are currently no sufficient data to develop specific default emission factors for those activities. As noted above, under Tier 2, countries may be able to develop more disaggregated country- specific emission factors and differentiate between emission rates during land conversion to peat land and the ongoing fugitive emissions during peat</w:t>
      </w:r>
      <w:r>
        <w:rPr>
          <w:spacing w:val="-3"/>
          <w:vertAlign w:val="baseline"/>
        </w:rPr>
        <w:t> </w:t>
      </w:r>
      <w:r>
        <w:rPr>
          <w:vertAlign w:val="baseline"/>
        </w:rPr>
        <w:t>extraction.</w:t>
      </w:r>
    </w:p>
    <w:p>
      <w:pPr>
        <w:pStyle w:val="BodyText"/>
        <w:spacing w:before="7"/>
        <w:rPr>
          <w:sz w:val="10"/>
        </w:rPr>
      </w:pPr>
    </w:p>
    <w:tbl>
      <w:tblPr>
        <w:tblW w:w="0" w:type="auto"/>
        <w:jc w:val="left"/>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4"/>
        <w:gridCol w:w="1606"/>
        <w:gridCol w:w="1606"/>
        <w:gridCol w:w="3560"/>
      </w:tblGrid>
      <w:tr>
        <w:trPr>
          <w:trHeight w:val="558" w:hRule="atLeast"/>
        </w:trPr>
        <w:tc>
          <w:tcPr>
            <w:tcW w:w="9016" w:type="dxa"/>
            <w:gridSpan w:val="4"/>
            <w:tcBorders>
              <w:bottom w:val="double" w:sz="1" w:space="0" w:color="000000"/>
            </w:tcBorders>
          </w:tcPr>
          <w:p>
            <w:pPr>
              <w:pStyle w:val="TableParagraph"/>
              <w:spacing w:before="71"/>
              <w:ind w:left="406" w:right="402"/>
              <w:jc w:val="center"/>
              <w:rPr>
                <w:b/>
                <w:sz w:val="18"/>
              </w:rPr>
            </w:pPr>
            <w:r>
              <w:rPr>
                <w:b/>
                <w:sz w:val="18"/>
              </w:rPr>
              <w:t>T</w:t>
            </w:r>
            <w:r>
              <w:rPr>
                <w:b/>
                <w:sz w:val="14"/>
              </w:rPr>
              <w:t>ABLE </w:t>
            </w:r>
            <w:r>
              <w:rPr>
                <w:b/>
                <w:sz w:val="18"/>
              </w:rPr>
              <w:t>3</w:t>
            </w:r>
            <w:r>
              <w:rPr>
                <w:b/>
                <w:sz w:val="14"/>
              </w:rPr>
              <w:t>A</w:t>
            </w:r>
            <w:r>
              <w:rPr>
                <w:b/>
                <w:sz w:val="18"/>
              </w:rPr>
              <w:t>.3.2</w:t>
            </w:r>
          </w:p>
          <w:p>
            <w:pPr>
              <w:pStyle w:val="TableParagraph"/>
              <w:spacing w:before="2"/>
              <w:ind w:left="408" w:right="402"/>
              <w:jc w:val="center"/>
              <w:rPr>
                <w:b/>
                <w:sz w:val="14"/>
              </w:rPr>
            </w:pPr>
            <w:r>
              <w:rPr>
                <w:b/>
                <w:sz w:val="18"/>
              </w:rPr>
              <w:t>E</w:t>
            </w:r>
            <w:r>
              <w:rPr>
                <w:b/>
                <w:sz w:val="14"/>
              </w:rPr>
              <w:t>MISSION FACTORS FOR </w:t>
            </w:r>
            <w:r>
              <w:rPr>
                <w:b/>
                <w:sz w:val="18"/>
              </w:rPr>
              <w:t>CO</w:t>
            </w:r>
            <w:r>
              <w:rPr>
                <w:b/>
                <w:position w:val="-2"/>
                <w:sz w:val="12"/>
              </w:rPr>
              <w:t>2</w:t>
            </w:r>
            <w:r>
              <w:rPr>
                <w:b/>
                <w:sz w:val="18"/>
              </w:rPr>
              <w:t>-C </w:t>
            </w:r>
            <w:r>
              <w:rPr>
                <w:b/>
                <w:sz w:val="14"/>
              </w:rPr>
              <w:t>AND ASSOCIATED UNCERTAINTY FOR ORGANIC SOILS AFTER DRAINAGE</w:t>
            </w:r>
          </w:p>
        </w:tc>
      </w:tr>
      <w:tr>
        <w:trPr>
          <w:trHeight w:val="423" w:hRule="atLeast"/>
        </w:trPr>
        <w:tc>
          <w:tcPr>
            <w:tcW w:w="2244" w:type="dxa"/>
            <w:tcBorders>
              <w:top w:val="double" w:sz="1" w:space="0" w:color="000000"/>
            </w:tcBorders>
          </w:tcPr>
          <w:p>
            <w:pPr>
              <w:pStyle w:val="TableParagraph"/>
              <w:spacing w:before="109"/>
              <w:ind w:left="418" w:right="410"/>
              <w:jc w:val="center"/>
              <w:rPr>
                <w:b/>
                <w:sz w:val="18"/>
              </w:rPr>
            </w:pPr>
            <w:r>
              <w:rPr>
                <w:b/>
                <w:sz w:val="18"/>
              </w:rPr>
              <w:t>Region/Peat Type</w:t>
            </w:r>
          </w:p>
        </w:tc>
        <w:tc>
          <w:tcPr>
            <w:tcW w:w="1606" w:type="dxa"/>
            <w:tcBorders>
              <w:top w:val="double" w:sz="1" w:space="0" w:color="000000"/>
            </w:tcBorders>
          </w:tcPr>
          <w:p>
            <w:pPr>
              <w:pStyle w:val="TableParagraph"/>
              <w:spacing w:line="206" w:lineRule="exact" w:before="10"/>
              <w:ind w:left="138" w:right="118" w:firstLine="36"/>
              <w:rPr>
                <w:b/>
                <w:sz w:val="18"/>
              </w:rPr>
            </w:pPr>
            <w:r>
              <w:rPr>
                <w:b/>
                <w:sz w:val="18"/>
              </w:rPr>
              <w:t>Emission Factor tonnes C ha</w:t>
            </w:r>
            <w:r>
              <w:rPr>
                <w:b/>
                <w:sz w:val="18"/>
                <w:vertAlign w:val="superscript"/>
              </w:rPr>
              <w:t>-1</w:t>
            </w:r>
            <w:r>
              <w:rPr>
                <w:b/>
                <w:sz w:val="18"/>
                <w:vertAlign w:val="baseline"/>
              </w:rPr>
              <w:t> yr</w:t>
            </w:r>
            <w:r>
              <w:rPr>
                <w:b/>
                <w:sz w:val="18"/>
                <w:vertAlign w:val="superscript"/>
              </w:rPr>
              <w:t>-1</w:t>
            </w:r>
          </w:p>
        </w:tc>
        <w:tc>
          <w:tcPr>
            <w:tcW w:w="1606" w:type="dxa"/>
            <w:tcBorders>
              <w:top w:val="double" w:sz="1" w:space="0" w:color="000000"/>
            </w:tcBorders>
          </w:tcPr>
          <w:p>
            <w:pPr>
              <w:pStyle w:val="TableParagraph"/>
              <w:spacing w:line="207" w:lineRule="exact" w:before="6"/>
              <w:ind w:left="121" w:right="113"/>
              <w:jc w:val="center"/>
              <w:rPr>
                <w:b/>
                <w:sz w:val="18"/>
              </w:rPr>
            </w:pPr>
            <w:r>
              <w:rPr>
                <w:b/>
                <w:sz w:val="18"/>
              </w:rPr>
              <w:t>Uncertainty </w:t>
            </w:r>
            <w:r>
              <w:rPr>
                <w:b/>
                <w:sz w:val="18"/>
                <w:vertAlign w:val="superscript"/>
              </w:rPr>
              <w:t>a</w:t>
            </w:r>
          </w:p>
          <w:p>
            <w:pPr>
              <w:pStyle w:val="TableParagraph"/>
              <w:spacing w:line="191" w:lineRule="exact"/>
              <w:ind w:left="121" w:right="115"/>
              <w:jc w:val="center"/>
              <w:rPr>
                <w:b/>
                <w:sz w:val="18"/>
              </w:rPr>
            </w:pPr>
            <w:r>
              <w:rPr>
                <w:b/>
                <w:sz w:val="18"/>
              </w:rPr>
              <w:t>tonnes C ha</w:t>
            </w:r>
            <w:r>
              <w:rPr>
                <w:b/>
                <w:sz w:val="18"/>
                <w:vertAlign w:val="superscript"/>
              </w:rPr>
              <w:t>-1</w:t>
            </w:r>
            <w:r>
              <w:rPr>
                <w:b/>
                <w:sz w:val="18"/>
                <w:vertAlign w:val="baseline"/>
              </w:rPr>
              <w:t> yr</w:t>
            </w:r>
            <w:r>
              <w:rPr>
                <w:b/>
                <w:sz w:val="18"/>
                <w:vertAlign w:val="superscript"/>
              </w:rPr>
              <w:t>-1</w:t>
            </w:r>
          </w:p>
        </w:tc>
        <w:tc>
          <w:tcPr>
            <w:tcW w:w="3560" w:type="dxa"/>
            <w:tcBorders>
              <w:top w:val="double" w:sz="1" w:space="0" w:color="000000"/>
            </w:tcBorders>
          </w:tcPr>
          <w:p>
            <w:pPr>
              <w:pStyle w:val="TableParagraph"/>
              <w:spacing w:before="109"/>
              <w:ind w:left="937"/>
              <w:rPr>
                <w:b/>
                <w:sz w:val="18"/>
              </w:rPr>
            </w:pPr>
            <w:r>
              <w:rPr>
                <w:b/>
                <w:sz w:val="18"/>
              </w:rPr>
              <w:t>Reference/Comment </w:t>
            </w:r>
            <w:r>
              <w:rPr>
                <w:b/>
                <w:sz w:val="18"/>
                <w:vertAlign w:val="superscript"/>
              </w:rPr>
              <w:t>b</w:t>
            </w:r>
          </w:p>
        </w:tc>
      </w:tr>
      <w:tr>
        <w:trPr>
          <w:trHeight w:val="273" w:hRule="atLeast"/>
        </w:trPr>
        <w:tc>
          <w:tcPr>
            <w:tcW w:w="9016" w:type="dxa"/>
            <w:gridSpan w:val="4"/>
          </w:tcPr>
          <w:p>
            <w:pPr>
              <w:pStyle w:val="TableParagraph"/>
              <w:spacing w:before="33"/>
              <w:ind w:left="107"/>
              <w:rPr>
                <w:b/>
                <w:sz w:val="18"/>
              </w:rPr>
            </w:pPr>
            <w:r>
              <w:rPr>
                <w:b/>
                <w:sz w:val="18"/>
              </w:rPr>
              <w:t>Boreal and Temperate</w:t>
            </w:r>
          </w:p>
        </w:tc>
      </w:tr>
      <w:tr>
        <w:trPr>
          <w:trHeight w:val="443" w:hRule="atLeast"/>
        </w:trPr>
        <w:tc>
          <w:tcPr>
            <w:tcW w:w="2244" w:type="dxa"/>
          </w:tcPr>
          <w:p>
            <w:pPr>
              <w:pStyle w:val="TableParagraph"/>
              <w:spacing w:before="9"/>
              <w:ind w:left="418" w:right="409"/>
              <w:jc w:val="center"/>
              <w:rPr>
                <w:sz w:val="18"/>
              </w:rPr>
            </w:pPr>
            <w:r>
              <w:rPr>
                <w:sz w:val="18"/>
              </w:rPr>
              <w:t>Nutrient Poor</w:t>
            </w:r>
          </w:p>
          <w:p>
            <w:pPr>
              <w:pStyle w:val="TableParagraph"/>
              <w:spacing w:line="207" w:lineRule="exact" w:before="1"/>
              <w:ind w:left="416" w:right="410"/>
              <w:jc w:val="center"/>
              <w:rPr>
                <w:sz w:val="12"/>
              </w:rPr>
            </w:pPr>
            <w:r>
              <w:rPr>
                <w:position w:val="3"/>
                <w:sz w:val="18"/>
              </w:rPr>
              <w:t>EF</w:t>
            </w:r>
            <w:r>
              <w:rPr>
                <w:sz w:val="12"/>
              </w:rPr>
              <w:t>Npoor</w:t>
            </w:r>
          </w:p>
        </w:tc>
        <w:tc>
          <w:tcPr>
            <w:tcW w:w="1606" w:type="dxa"/>
          </w:tcPr>
          <w:p>
            <w:pPr>
              <w:pStyle w:val="TableParagraph"/>
              <w:spacing w:before="112"/>
              <w:ind w:right="677"/>
              <w:jc w:val="right"/>
              <w:rPr>
                <w:sz w:val="18"/>
              </w:rPr>
            </w:pPr>
            <w:r>
              <w:rPr>
                <w:sz w:val="18"/>
              </w:rPr>
              <w:t>0.2</w:t>
            </w:r>
          </w:p>
        </w:tc>
        <w:tc>
          <w:tcPr>
            <w:tcW w:w="1606" w:type="dxa"/>
          </w:tcPr>
          <w:p>
            <w:pPr>
              <w:pStyle w:val="TableParagraph"/>
              <w:spacing w:before="9"/>
              <w:ind w:left="121" w:right="111"/>
              <w:jc w:val="center"/>
              <w:rPr>
                <w:sz w:val="18"/>
              </w:rPr>
            </w:pPr>
            <w:r>
              <w:rPr>
                <w:sz w:val="18"/>
              </w:rPr>
              <w:t>0 to 0.63</w:t>
            </w:r>
          </w:p>
        </w:tc>
        <w:tc>
          <w:tcPr>
            <w:tcW w:w="3560" w:type="dxa"/>
          </w:tcPr>
          <w:p>
            <w:pPr>
              <w:pStyle w:val="TableParagraph"/>
              <w:spacing w:before="9"/>
              <w:ind w:left="109" w:right="101"/>
              <w:rPr>
                <w:sz w:val="18"/>
              </w:rPr>
            </w:pPr>
            <w:r>
              <w:rPr>
                <w:sz w:val="18"/>
              </w:rPr>
              <w:t>Laine and Minkkinen, 1996; Alm </w:t>
            </w:r>
            <w:r>
              <w:rPr>
                <w:i/>
                <w:sz w:val="18"/>
              </w:rPr>
              <w:t>et al.</w:t>
            </w:r>
            <w:r>
              <w:rPr>
                <w:sz w:val="18"/>
              </w:rPr>
              <w:t>, 1999; Laine </w:t>
            </w:r>
            <w:r>
              <w:rPr>
                <w:i/>
                <w:sz w:val="18"/>
              </w:rPr>
              <w:t>et al.</w:t>
            </w:r>
            <w:r>
              <w:rPr>
                <w:sz w:val="18"/>
              </w:rPr>
              <w:t>, 1996; Minkkinen </w:t>
            </w:r>
            <w:r>
              <w:rPr>
                <w:i/>
                <w:sz w:val="18"/>
              </w:rPr>
              <w:t>et al.</w:t>
            </w:r>
            <w:r>
              <w:rPr>
                <w:sz w:val="18"/>
              </w:rPr>
              <w:t>, 2002</w:t>
            </w:r>
          </w:p>
        </w:tc>
      </w:tr>
      <w:tr>
        <w:trPr>
          <w:trHeight w:val="443" w:hRule="atLeast"/>
        </w:trPr>
        <w:tc>
          <w:tcPr>
            <w:tcW w:w="2244" w:type="dxa"/>
          </w:tcPr>
          <w:p>
            <w:pPr>
              <w:pStyle w:val="TableParagraph"/>
              <w:spacing w:before="9"/>
              <w:ind w:left="418" w:right="410"/>
              <w:jc w:val="center"/>
              <w:rPr>
                <w:sz w:val="18"/>
              </w:rPr>
            </w:pPr>
            <w:r>
              <w:rPr>
                <w:sz w:val="18"/>
              </w:rPr>
              <w:t>Nutrient Rich</w:t>
            </w:r>
          </w:p>
          <w:p>
            <w:pPr>
              <w:pStyle w:val="TableParagraph"/>
              <w:spacing w:line="207" w:lineRule="exact" w:before="1"/>
              <w:ind w:left="418" w:right="409"/>
              <w:jc w:val="center"/>
              <w:rPr>
                <w:sz w:val="12"/>
              </w:rPr>
            </w:pPr>
            <w:r>
              <w:rPr>
                <w:position w:val="3"/>
                <w:sz w:val="18"/>
              </w:rPr>
              <w:t>EF</w:t>
            </w:r>
            <w:r>
              <w:rPr>
                <w:sz w:val="12"/>
              </w:rPr>
              <w:t>Nrich</w:t>
            </w:r>
          </w:p>
        </w:tc>
        <w:tc>
          <w:tcPr>
            <w:tcW w:w="1606" w:type="dxa"/>
          </w:tcPr>
          <w:p>
            <w:pPr>
              <w:pStyle w:val="TableParagraph"/>
              <w:spacing w:before="112"/>
              <w:ind w:right="677"/>
              <w:jc w:val="right"/>
              <w:rPr>
                <w:sz w:val="18"/>
              </w:rPr>
            </w:pPr>
            <w:r>
              <w:rPr>
                <w:sz w:val="18"/>
              </w:rPr>
              <w:t>1.1</w:t>
            </w:r>
          </w:p>
        </w:tc>
        <w:tc>
          <w:tcPr>
            <w:tcW w:w="1606" w:type="dxa"/>
          </w:tcPr>
          <w:p>
            <w:pPr>
              <w:pStyle w:val="TableParagraph"/>
              <w:spacing w:before="9"/>
              <w:ind w:left="414"/>
              <w:rPr>
                <w:sz w:val="18"/>
              </w:rPr>
            </w:pPr>
            <w:r>
              <w:rPr>
                <w:sz w:val="18"/>
              </w:rPr>
              <w:t>0.03 to 2.9</w:t>
            </w:r>
          </w:p>
        </w:tc>
        <w:tc>
          <w:tcPr>
            <w:tcW w:w="3560" w:type="dxa"/>
          </w:tcPr>
          <w:p>
            <w:pPr>
              <w:pStyle w:val="TableParagraph"/>
              <w:spacing w:line="207" w:lineRule="exact" w:before="9"/>
              <w:ind w:left="109"/>
              <w:rPr>
                <w:sz w:val="18"/>
              </w:rPr>
            </w:pPr>
            <w:r>
              <w:rPr>
                <w:sz w:val="18"/>
              </w:rPr>
              <w:t>Laine </w:t>
            </w:r>
            <w:r>
              <w:rPr>
                <w:i/>
                <w:sz w:val="18"/>
              </w:rPr>
              <w:t>et al.</w:t>
            </w:r>
            <w:r>
              <w:rPr>
                <w:sz w:val="18"/>
              </w:rPr>
              <w:t>, 1996; LUSTRA, 2002;</w:t>
            </w:r>
          </w:p>
          <w:p>
            <w:pPr>
              <w:pStyle w:val="TableParagraph"/>
              <w:spacing w:line="207" w:lineRule="exact"/>
              <w:ind w:left="109"/>
              <w:rPr>
                <w:sz w:val="18"/>
              </w:rPr>
            </w:pPr>
            <w:r>
              <w:rPr>
                <w:sz w:val="18"/>
              </w:rPr>
              <w:t>Minkkinen </w:t>
            </w:r>
            <w:r>
              <w:rPr>
                <w:i/>
                <w:sz w:val="18"/>
              </w:rPr>
              <w:t>et al.</w:t>
            </w:r>
            <w:r>
              <w:rPr>
                <w:sz w:val="18"/>
              </w:rPr>
              <w:t>, 2002; Sundh </w:t>
            </w:r>
            <w:r>
              <w:rPr>
                <w:i/>
                <w:sz w:val="18"/>
              </w:rPr>
              <w:t>et al.</w:t>
            </w:r>
            <w:r>
              <w:rPr>
                <w:sz w:val="18"/>
              </w:rPr>
              <w:t>, 2000</w:t>
            </w:r>
          </w:p>
        </w:tc>
      </w:tr>
      <w:tr>
        <w:trPr>
          <w:trHeight w:val="275" w:hRule="atLeast"/>
        </w:trPr>
        <w:tc>
          <w:tcPr>
            <w:tcW w:w="9016" w:type="dxa"/>
            <w:gridSpan w:val="4"/>
          </w:tcPr>
          <w:p>
            <w:pPr>
              <w:pStyle w:val="TableParagraph"/>
              <w:spacing w:before="33"/>
              <w:ind w:left="107"/>
              <w:rPr>
                <w:b/>
                <w:sz w:val="18"/>
              </w:rPr>
            </w:pPr>
            <w:r>
              <w:rPr>
                <w:b/>
                <w:sz w:val="18"/>
              </w:rPr>
              <w:t>Tropical</w:t>
            </w:r>
          </w:p>
        </w:tc>
      </w:tr>
      <w:tr>
        <w:trPr>
          <w:trHeight w:val="669" w:hRule="atLeast"/>
        </w:trPr>
        <w:tc>
          <w:tcPr>
            <w:tcW w:w="2244" w:type="dxa"/>
          </w:tcPr>
          <w:p>
            <w:pPr>
              <w:pStyle w:val="TableParagraph"/>
              <w:spacing w:before="6"/>
              <w:rPr>
                <w:sz w:val="19"/>
              </w:rPr>
            </w:pPr>
          </w:p>
          <w:p>
            <w:pPr>
              <w:pStyle w:val="TableParagraph"/>
              <w:spacing w:before="1"/>
              <w:ind w:left="417" w:right="410"/>
              <w:jc w:val="center"/>
              <w:rPr>
                <w:sz w:val="18"/>
              </w:rPr>
            </w:pPr>
            <w:r>
              <w:rPr>
                <w:sz w:val="18"/>
              </w:rPr>
              <w:t>EF</w:t>
            </w:r>
          </w:p>
        </w:tc>
        <w:tc>
          <w:tcPr>
            <w:tcW w:w="1606" w:type="dxa"/>
          </w:tcPr>
          <w:p>
            <w:pPr>
              <w:pStyle w:val="TableParagraph"/>
              <w:spacing w:before="6"/>
              <w:rPr>
                <w:sz w:val="19"/>
              </w:rPr>
            </w:pPr>
          </w:p>
          <w:p>
            <w:pPr>
              <w:pStyle w:val="TableParagraph"/>
              <w:spacing w:before="1"/>
              <w:ind w:right="676"/>
              <w:jc w:val="right"/>
              <w:rPr>
                <w:sz w:val="18"/>
              </w:rPr>
            </w:pPr>
            <w:r>
              <w:rPr>
                <w:sz w:val="18"/>
              </w:rPr>
              <w:t>2.0</w:t>
            </w:r>
          </w:p>
        </w:tc>
        <w:tc>
          <w:tcPr>
            <w:tcW w:w="1606" w:type="dxa"/>
          </w:tcPr>
          <w:p>
            <w:pPr>
              <w:pStyle w:val="TableParagraph"/>
              <w:spacing w:before="122"/>
              <w:ind w:left="414"/>
              <w:rPr>
                <w:sz w:val="18"/>
              </w:rPr>
            </w:pPr>
            <w:r>
              <w:rPr>
                <w:sz w:val="18"/>
              </w:rPr>
              <w:t>0.06 to 6.0</w:t>
            </w:r>
          </w:p>
        </w:tc>
        <w:tc>
          <w:tcPr>
            <w:tcW w:w="3560" w:type="dxa"/>
          </w:tcPr>
          <w:p>
            <w:pPr>
              <w:pStyle w:val="TableParagraph"/>
              <w:spacing w:before="19"/>
              <w:ind w:left="109" w:right="649"/>
              <w:jc w:val="both"/>
              <w:rPr>
                <w:sz w:val="18"/>
              </w:rPr>
            </w:pPr>
            <w:r>
              <w:rPr>
                <w:sz w:val="18"/>
              </w:rPr>
              <w:t>Calculated from the relative difference between temperate (nutrient poor) and tropical in Table 3.3.5.</w:t>
            </w:r>
          </w:p>
        </w:tc>
      </w:tr>
      <w:tr>
        <w:trPr>
          <w:trHeight w:val="669" w:hRule="atLeast"/>
        </w:trPr>
        <w:tc>
          <w:tcPr>
            <w:tcW w:w="9016" w:type="dxa"/>
            <w:gridSpan w:val="4"/>
          </w:tcPr>
          <w:p>
            <w:pPr>
              <w:pStyle w:val="TableParagraph"/>
              <w:spacing w:before="9"/>
              <w:ind w:left="107"/>
              <w:rPr>
                <w:sz w:val="16"/>
              </w:rPr>
            </w:pPr>
            <w:r>
              <w:rPr>
                <w:position w:val="7"/>
                <w:sz w:val="10"/>
              </w:rPr>
              <w:t>a </w:t>
            </w:r>
            <w:r>
              <w:rPr>
                <w:sz w:val="16"/>
              </w:rPr>
              <w:t>Range of underlying data</w:t>
            </w:r>
          </w:p>
          <w:p>
            <w:pPr>
              <w:pStyle w:val="TableParagraph"/>
              <w:spacing w:before="47"/>
              <w:ind w:left="107" w:right="508"/>
              <w:rPr>
                <w:sz w:val="16"/>
              </w:rPr>
            </w:pPr>
            <w:r>
              <w:rPr>
                <w:position w:val="7"/>
                <w:sz w:val="10"/>
              </w:rPr>
              <w:t>b </w:t>
            </w:r>
            <w:r>
              <w:rPr>
                <w:sz w:val="16"/>
              </w:rPr>
              <w:t>The boreal and temperate values have been developed as the mean from a review of paired plot measurements, assuming that conditions on organic soils converted to peat extraction are lightly drained only. Most of the data are from Europe.</w:t>
            </w:r>
          </w:p>
        </w:tc>
      </w:tr>
    </w:tbl>
    <w:p>
      <w:pPr>
        <w:pStyle w:val="BodyText"/>
        <w:spacing w:before="7"/>
        <w:rPr>
          <w:sz w:val="29"/>
        </w:rPr>
      </w:pPr>
    </w:p>
    <w:p>
      <w:pPr>
        <w:pStyle w:val="BodyText"/>
        <w:ind w:left="159" w:right="163"/>
        <w:jc w:val="both"/>
      </w:pPr>
      <w:r>
        <w:rPr/>
        <w:t>Nutrient-poor bogs predominate in boreal regions, whilst in temperate regions, nutrient-rich fens and mires are more common. Boreal countries that do not have information on areas of nutrient-rich and nutrient-poor peatlands should use the emission factor for nutrient-poor peatlands. Temperate countries that do not have such data should use the emission factor for nutrient-rich peatlands. Only one default factor is provided for tropical regions, so disaggregating peatland area by soil fertility is not necessary for tropical countries using the Tier 1 method. The uncertainty values come from a lognormal distribution and represent a 95% confidence interval.</w:t>
      </w:r>
    </w:p>
    <w:p>
      <w:pPr>
        <w:pStyle w:val="BodyText"/>
        <w:spacing w:before="121"/>
        <w:ind w:left="159" w:right="166"/>
        <w:jc w:val="both"/>
      </w:pPr>
      <w:r>
        <w:rPr>
          <w:b/>
        </w:rPr>
        <w:t>Tiers 2 and Tier 3: </w:t>
      </w:r>
      <w:r>
        <w:rPr/>
        <w:t>Tiers 2 and 3 require country-specific data that accounts for management practices such as drainage of different peat types. The literature is sparse and results sometimes contrasting. Countries are encouraged to derive country-specific emission factors by measurements against appropriate reference virgin sites. Data should be shared between countries with similar environmental conditions.</w:t>
      </w:r>
    </w:p>
    <w:p>
      <w:pPr>
        <w:pStyle w:val="BodyText"/>
        <w:spacing w:before="3"/>
        <w:rPr>
          <w:sz w:val="21"/>
        </w:rPr>
      </w:pPr>
    </w:p>
    <w:p>
      <w:pPr>
        <w:pStyle w:val="Heading7"/>
        <w:ind w:left="159"/>
      </w:pPr>
      <w:r>
        <w:rPr/>
        <w:t>Choice of activity data</w:t>
      </w:r>
    </w:p>
    <w:p>
      <w:pPr>
        <w:pStyle w:val="BodyText"/>
        <w:ind w:left="159" w:right="167"/>
        <w:jc w:val="both"/>
      </w:pPr>
      <w:r>
        <w:rPr>
          <w:b/>
        </w:rPr>
        <w:t>Tier 1: </w:t>
      </w:r>
      <w:r>
        <w:rPr/>
        <w:t>The activity data required for all tiers is the area of organic soil managed for peat extraction. Ideally, under Tier 1 countries will obtain national data on the area of peat extraction. In boreal and temperate regions, these area data need to be disaggregated by soil fertility to correspond to the default emission factors presented  in</w:t>
      </w:r>
      <w:r>
        <w:rPr>
          <w:spacing w:val="22"/>
        </w:rPr>
        <w:t> </w:t>
      </w:r>
      <w:r>
        <w:rPr/>
        <w:t>Table</w:t>
      </w:r>
      <w:r>
        <w:rPr>
          <w:spacing w:val="25"/>
        </w:rPr>
        <w:t> </w:t>
      </w:r>
      <w:r>
        <w:rPr/>
        <w:t>3a.3.2.</w:t>
      </w:r>
      <w:r>
        <w:rPr>
          <w:spacing w:val="21"/>
        </w:rPr>
        <w:t> </w:t>
      </w:r>
      <w:r>
        <w:rPr/>
        <w:t>Possible</w:t>
      </w:r>
      <w:r>
        <w:rPr>
          <w:spacing w:val="25"/>
        </w:rPr>
        <w:t> </w:t>
      </w:r>
      <w:r>
        <w:rPr/>
        <w:t>sources</w:t>
      </w:r>
      <w:r>
        <w:rPr>
          <w:spacing w:val="23"/>
        </w:rPr>
        <w:t> </w:t>
      </w:r>
      <w:r>
        <w:rPr/>
        <w:t>of</w:t>
      </w:r>
      <w:r>
        <w:rPr>
          <w:spacing w:val="25"/>
        </w:rPr>
        <w:t> </w:t>
      </w:r>
      <w:r>
        <w:rPr/>
        <w:t>such</w:t>
      </w:r>
      <w:r>
        <w:rPr>
          <w:spacing w:val="22"/>
        </w:rPr>
        <w:t> </w:t>
      </w:r>
      <w:r>
        <w:rPr/>
        <w:t>data</w:t>
      </w:r>
      <w:r>
        <w:rPr>
          <w:spacing w:val="25"/>
        </w:rPr>
        <w:t> </w:t>
      </w:r>
      <w:r>
        <w:rPr/>
        <w:t>are</w:t>
      </w:r>
      <w:r>
        <w:rPr>
          <w:spacing w:val="26"/>
        </w:rPr>
        <w:t> </w:t>
      </w:r>
      <w:r>
        <w:rPr/>
        <w:t>national</w:t>
      </w:r>
      <w:r>
        <w:rPr>
          <w:spacing w:val="25"/>
        </w:rPr>
        <w:t> </w:t>
      </w:r>
      <w:r>
        <w:rPr/>
        <w:t>statistics,</w:t>
      </w:r>
      <w:r>
        <w:rPr>
          <w:spacing w:val="25"/>
        </w:rPr>
        <w:t> </w:t>
      </w:r>
      <w:r>
        <w:rPr/>
        <w:t>peat</w:t>
      </w:r>
      <w:r>
        <w:rPr>
          <w:spacing w:val="26"/>
        </w:rPr>
        <w:t> </w:t>
      </w:r>
      <w:r>
        <w:rPr/>
        <w:t>mining</w:t>
      </w:r>
      <w:r>
        <w:rPr>
          <w:spacing w:val="23"/>
        </w:rPr>
        <w:t> </w:t>
      </w:r>
      <w:r>
        <w:rPr/>
        <w:t>companies</w:t>
      </w:r>
      <w:r>
        <w:rPr>
          <w:spacing w:val="25"/>
        </w:rPr>
        <w:t> </w:t>
      </w:r>
      <w:r>
        <w:rPr/>
        <w:t>and</w:t>
      </w:r>
      <w:r>
        <w:rPr>
          <w:spacing w:val="27"/>
        </w:rPr>
        <w:t> </w:t>
      </w:r>
      <w:r>
        <w:rPr/>
        <w:t>government</w:t>
      </w:r>
    </w:p>
    <w:p>
      <w:pPr>
        <w:spacing w:after="0"/>
        <w:jc w:val="both"/>
        <w:sectPr>
          <w:footerReference w:type="even" r:id="rId266"/>
          <w:footerReference w:type="default" r:id="rId267"/>
          <w:pgSz w:w="11900" w:h="16840"/>
          <w:pgMar w:footer="408" w:header="230" w:top="560" w:bottom="600" w:left="1260" w:right="1240"/>
        </w:sectPr>
      </w:pPr>
    </w:p>
    <w:p>
      <w:pPr>
        <w:pStyle w:val="BodyText"/>
      </w:pPr>
    </w:p>
    <w:p>
      <w:pPr>
        <w:pStyle w:val="BodyText"/>
        <w:spacing w:before="2"/>
        <w:rPr>
          <w:sz w:val="18"/>
        </w:rPr>
      </w:pPr>
    </w:p>
    <w:p>
      <w:pPr>
        <w:pStyle w:val="BodyText"/>
        <w:ind w:left="159" w:right="162"/>
        <w:jc w:val="both"/>
      </w:pPr>
      <w:r>
        <w:rPr/>
        <w:t>ministries responsible for land use. Peat extraction area can also be estimated using statistics on peat production for fuel and horticultural use if the national average extraction rate is known. If this rate is unavailable it can be roughly assumed that the extraction rate is 0.04 million m³/km² or 0.016 million t/km².</w:t>
      </w:r>
    </w:p>
    <w:p>
      <w:pPr>
        <w:pStyle w:val="BodyText"/>
        <w:spacing w:before="121"/>
        <w:ind w:left="159" w:right="163"/>
        <w:jc w:val="both"/>
      </w:pPr>
      <w:r>
        <w:rPr/>
        <w:t>If neither of these approaches is possible, default data on areas in peat can be obtained from estimates in the literature. Data on organic soils areas for other countries and an estimate of the proportion of tropical versus temperate and boreal peatlands are available from Table 1 in Andriesse (1988). Table 3a.3.3 provides rough estimates of the drainage of wetlands at the continental scale. These data do not necessarily apply to organic soils and do not distinguish site type. However they can be regarded as a first crude estimate of land use on peatlands where more detailed data are unavailable. Additional data on peatland areas can be obtained from the following: Andriesse (1988), Lappalainen (1996), OECD/IUCN (1996), Tarnocai, </w:t>
      </w:r>
      <w:r>
        <w:rPr>
          <w:i/>
        </w:rPr>
        <w:t>et al.</w:t>
      </w:r>
      <w:r>
        <w:rPr/>
        <w:t>. (2000), Umeda and Inoue (1996), Xuehui and Yan (1996). Other sources of data are </w:t>
      </w:r>
      <w:hyperlink r:id="rId268">
        <w:r>
          <w:rPr/>
          <w:t>http://www.worldenergy.org/wec-geis/publications/reports</w:t>
        </w:r>
      </w:hyperlink>
    </w:p>
    <w:p>
      <w:pPr>
        <w:pStyle w:val="BodyText"/>
        <w:spacing w:line="229" w:lineRule="exact"/>
        <w:ind w:left="159"/>
      </w:pPr>
      <w:r>
        <w:rPr/>
        <w:t>/ser/peat/peat.asp and </w:t>
      </w:r>
      <w:hyperlink r:id="rId269">
        <w:r>
          <w:rPr/>
          <w:t>http://www.wetlands.org.</w:t>
        </w:r>
      </w:hyperlink>
    </w:p>
    <w:p>
      <w:pPr>
        <w:pStyle w:val="BodyText"/>
        <w:spacing w:before="118"/>
        <w:ind w:left="159" w:right="163"/>
        <w:jc w:val="both"/>
      </w:pPr>
      <w:r>
        <w:rPr>
          <w:b/>
        </w:rPr>
        <w:t>Tiers 2 and 3: </w:t>
      </w:r>
      <w:r>
        <w:rPr/>
        <w:t>Countries should assess the total area of organic soils managed for peat extraction including abandoned areas on which drainage or the effects of former peat extraction are still present to the level of disaggregation required by the tier calculation or the modelling approach being used. If possible, countries are encouraged to collect data on the areas of fens versus bogs and drainage level to enable the use of more disaggregated default emission factors or country-specific factors. If restoration is underway, countries are encouraged to report separately the areas of restored organic soils formerly managed for peat extraction and estimate emissions from peat extraction lands.</w:t>
      </w:r>
    </w:p>
    <w:p>
      <w:pPr>
        <w:pStyle w:val="BodyText"/>
      </w:pPr>
    </w:p>
    <w:p>
      <w:pPr>
        <w:pStyle w:val="BodyText"/>
        <w:spacing w:before="4"/>
        <w:rPr>
          <w:sz w:val="21"/>
        </w:rPr>
      </w:pPr>
    </w:p>
    <w:tbl>
      <w:tblPr>
        <w:tblW w:w="0" w:type="auto"/>
        <w:jc w:val="left"/>
        <w:tblInd w:w="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86"/>
        <w:gridCol w:w="1288"/>
        <w:gridCol w:w="1343"/>
        <w:gridCol w:w="1343"/>
        <w:gridCol w:w="1173"/>
        <w:gridCol w:w="1288"/>
        <w:gridCol w:w="1288"/>
      </w:tblGrid>
      <w:tr>
        <w:trPr>
          <w:trHeight w:val="534" w:hRule="atLeast"/>
        </w:trPr>
        <w:tc>
          <w:tcPr>
            <w:tcW w:w="9009" w:type="dxa"/>
            <w:gridSpan w:val="7"/>
            <w:tcBorders>
              <w:bottom w:val="double" w:sz="1" w:space="0" w:color="000000"/>
            </w:tcBorders>
          </w:tcPr>
          <w:p>
            <w:pPr>
              <w:pStyle w:val="TableParagraph"/>
              <w:spacing w:before="59"/>
              <w:ind w:left="1819" w:right="1809"/>
              <w:jc w:val="center"/>
              <w:rPr>
                <w:b/>
                <w:sz w:val="18"/>
              </w:rPr>
            </w:pPr>
            <w:r>
              <w:rPr>
                <w:b/>
                <w:sz w:val="18"/>
              </w:rPr>
              <w:t>T</w:t>
            </w:r>
            <w:r>
              <w:rPr>
                <w:b/>
                <w:sz w:val="14"/>
              </w:rPr>
              <w:t>ABLE </w:t>
            </w:r>
            <w:r>
              <w:rPr>
                <w:b/>
                <w:sz w:val="18"/>
              </w:rPr>
              <w:t>3a.3.3</w:t>
            </w:r>
          </w:p>
          <w:p>
            <w:pPr>
              <w:pStyle w:val="TableParagraph"/>
              <w:spacing w:before="2"/>
              <w:ind w:left="1822" w:right="1809"/>
              <w:jc w:val="center"/>
              <w:rPr>
                <w:b/>
                <w:sz w:val="14"/>
              </w:rPr>
            </w:pPr>
            <w:r>
              <w:rPr>
                <w:b/>
                <w:sz w:val="18"/>
              </w:rPr>
              <w:t>E</w:t>
            </w:r>
            <w:r>
              <w:rPr>
                <w:b/>
                <w:sz w:val="14"/>
              </w:rPr>
              <w:t>STIMATES OF PEATLAND AREAS AND USE FOR </w:t>
            </w:r>
            <w:r>
              <w:rPr>
                <w:b/>
                <w:sz w:val="18"/>
              </w:rPr>
              <w:t>T</w:t>
            </w:r>
            <w:r>
              <w:rPr>
                <w:b/>
                <w:sz w:val="14"/>
              </w:rPr>
              <w:t>IER </w:t>
            </w:r>
            <w:r>
              <w:rPr>
                <w:b/>
                <w:sz w:val="18"/>
              </w:rPr>
              <w:t>1 </w:t>
            </w:r>
            <w:r>
              <w:rPr>
                <w:b/>
                <w:sz w:val="14"/>
              </w:rPr>
              <w:t>IN </w:t>
            </w:r>
            <w:r>
              <w:rPr>
                <w:b/>
                <w:sz w:val="18"/>
              </w:rPr>
              <w:t>1000 </w:t>
            </w:r>
            <w:r>
              <w:rPr>
                <w:b/>
                <w:sz w:val="14"/>
              </w:rPr>
              <w:t>HECTARES</w:t>
            </w:r>
          </w:p>
        </w:tc>
      </w:tr>
      <w:tr>
        <w:trPr>
          <w:trHeight w:val="1273" w:hRule="atLeast"/>
        </w:trPr>
        <w:tc>
          <w:tcPr>
            <w:tcW w:w="1286" w:type="dxa"/>
            <w:tcBorders>
              <w:top w:val="double" w:sz="1" w:space="0" w:color="000000"/>
              <w:right w:val="single" w:sz="6" w:space="0" w:color="000000"/>
            </w:tcBorders>
          </w:tcPr>
          <w:p>
            <w:pPr>
              <w:pStyle w:val="TableParagraph"/>
              <w:rPr>
                <w:sz w:val="20"/>
              </w:rPr>
            </w:pPr>
          </w:p>
          <w:p>
            <w:pPr>
              <w:pStyle w:val="TableParagraph"/>
              <w:spacing w:before="5"/>
              <w:rPr>
                <w:sz w:val="17"/>
              </w:rPr>
            </w:pPr>
          </w:p>
          <w:p>
            <w:pPr>
              <w:pStyle w:val="TableParagraph"/>
              <w:spacing w:before="1"/>
              <w:ind w:left="54"/>
              <w:rPr>
                <w:b/>
                <w:sz w:val="18"/>
              </w:rPr>
            </w:pPr>
            <w:r>
              <w:rPr>
                <w:b/>
                <w:sz w:val="18"/>
              </w:rPr>
              <w:t>Country or region</w:t>
            </w:r>
          </w:p>
        </w:tc>
        <w:tc>
          <w:tcPr>
            <w:tcW w:w="1288" w:type="dxa"/>
            <w:tcBorders>
              <w:top w:val="double" w:sz="1" w:space="0" w:color="000000"/>
              <w:left w:val="single" w:sz="6" w:space="0" w:color="000000"/>
              <w:right w:val="single" w:sz="6" w:space="0" w:color="000000"/>
            </w:tcBorders>
          </w:tcPr>
          <w:p>
            <w:pPr>
              <w:pStyle w:val="TableParagraph"/>
              <w:spacing w:before="61"/>
              <w:ind w:left="72" w:right="61" w:hanging="2"/>
              <w:jc w:val="center"/>
              <w:rPr>
                <w:b/>
                <w:sz w:val="18"/>
              </w:rPr>
            </w:pPr>
            <w:r>
              <w:rPr>
                <w:b/>
                <w:sz w:val="18"/>
              </w:rPr>
              <w:t>Peatland area total  (Unmanaged + managed)</w:t>
            </w:r>
          </w:p>
          <w:p>
            <w:pPr>
              <w:pStyle w:val="TableParagraph"/>
              <w:spacing w:before="121"/>
              <w:ind w:left="109" w:right="100"/>
              <w:jc w:val="center"/>
              <w:rPr>
                <w:b/>
                <w:sz w:val="18"/>
              </w:rPr>
            </w:pPr>
            <w:r>
              <w:rPr>
                <w:b/>
                <w:sz w:val="18"/>
              </w:rPr>
              <w:t>1000 ha</w:t>
            </w:r>
          </w:p>
        </w:tc>
        <w:tc>
          <w:tcPr>
            <w:tcW w:w="1343" w:type="dxa"/>
            <w:tcBorders>
              <w:top w:val="double" w:sz="1" w:space="0" w:color="000000"/>
              <w:left w:val="single" w:sz="6" w:space="0" w:color="000000"/>
              <w:right w:val="single" w:sz="6" w:space="0" w:color="000000"/>
            </w:tcBorders>
          </w:tcPr>
          <w:p>
            <w:pPr>
              <w:pStyle w:val="TableParagraph"/>
              <w:spacing w:before="61"/>
              <w:ind w:left="195" w:right="185" w:firstLine="2"/>
              <w:jc w:val="center"/>
              <w:rPr>
                <w:b/>
                <w:sz w:val="18"/>
              </w:rPr>
            </w:pPr>
            <w:r>
              <w:rPr>
                <w:b/>
                <w:sz w:val="18"/>
              </w:rPr>
              <w:t>Agriculture, drained (Cropland + grassland)</w:t>
            </w:r>
          </w:p>
          <w:p>
            <w:pPr>
              <w:pStyle w:val="TableParagraph"/>
              <w:spacing w:before="121"/>
              <w:ind w:left="350" w:right="341"/>
              <w:jc w:val="center"/>
              <w:rPr>
                <w:b/>
                <w:sz w:val="18"/>
              </w:rPr>
            </w:pPr>
            <w:r>
              <w:rPr>
                <w:b/>
                <w:sz w:val="18"/>
              </w:rPr>
              <w:t>1000 ha</w:t>
            </w:r>
          </w:p>
        </w:tc>
        <w:tc>
          <w:tcPr>
            <w:tcW w:w="1343" w:type="dxa"/>
            <w:tcBorders>
              <w:top w:val="double" w:sz="1" w:space="0" w:color="000000"/>
              <w:left w:val="single" w:sz="6" w:space="0" w:color="000000"/>
              <w:right w:val="single" w:sz="6" w:space="0" w:color="000000"/>
            </w:tcBorders>
          </w:tcPr>
          <w:p>
            <w:pPr>
              <w:pStyle w:val="TableParagraph"/>
              <w:rPr>
                <w:sz w:val="20"/>
              </w:rPr>
            </w:pPr>
          </w:p>
          <w:p>
            <w:pPr>
              <w:pStyle w:val="TableParagraph"/>
              <w:spacing w:before="5"/>
              <w:rPr>
                <w:sz w:val="17"/>
              </w:rPr>
            </w:pPr>
          </w:p>
          <w:p>
            <w:pPr>
              <w:pStyle w:val="TableParagraph"/>
              <w:spacing w:before="1"/>
              <w:ind w:left="71" w:right="14" w:hanging="27"/>
              <w:rPr>
                <w:b/>
                <w:sz w:val="18"/>
              </w:rPr>
            </w:pPr>
            <w:r>
              <w:rPr>
                <w:b/>
                <w:sz w:val="18"/>
              </w:rPr>
              <w:t>Managed forest, drained1000 ha</w:t>
            </w:r>
          </w:p>
        </w:tc>
        <w:tc>
          <w:tcPr>
            <w:tcW w:w="1173" w:type="dxa"/>
            <w:tcBorders>
              <w:top w:val="double" w:sz="1" w:space="0" w:color="000000"/>
              <w:left w:val="single" w:sz="6" w:space="0" w:color="000000"/>
              <w:right w:val="single" w:sz="6" w:space="0" w:color="000000"/>
            </w:tcBorders>
          </w:tcPr>
          <w:p>
            <w:pPr>
              <w:pStyle w:val="TableParagraph"/>
              <w:spacing w:before="61"/>
              <w:ind w:left="173" w:right="154"/>
              <w:jc w:val="center"/>
              <w:rPr>
                <w:b/>
                <w:sz w:val="18"/>
              </w:rPr>
            </w:pPr>
            <w:r>
              <w:rPr>
                <w:b/>
                <w:sz w:val="18"/>
              </w:rPr>
              <w:t>Peat extraction (Industrial peatlands)</w:t>
            </w:r>
          </w:p>
          <w:p>
            <w:pPr>
              <w:pStyle w:val="TableParagraph"/>
              <w:spacing w:before="121"/>
              <w:ind w:left="168" w:right="154"/>
              <w:jc w:val="center"/>
              <w:rPr>
                <w:b/>
                <w:sz w:val="18"/>
              </w:rPr>
            </w:pPr>
            <w:r>
              <w:rPr>
                <w:b/>
                <w:sz w:val="18"/>
              </w:rPr>
              <w:t>1000 ha </w:t>
            </w:r>
            <w:r>
              <w:rPr>
                <w:b/>
                <w:sz w:val="18"/>
                <w:vertAlign w:val="superscript"/>
              </w:rPr>
              <w:t>a</w:t>
            </w:r>
          </w:p>
        </w:tc>
        <w:tc>
          <w:tcPr>
            <w:tcW w:w="1288" w:type="dxa"/>
            <w:tcBorders>
              <w:top w:val="double" w:sz="1" w:space="0" w:color="000000"/>
              <w:left w:val="single" w:sz="6" w:space="0" w:color="000000"/>
              <w:right w:val="single" w:sz="6" w:space="0" w:color="000000"/>
            </w:tcBorders>
          </w:tcPr>
          <w:p>
            <w:pPr>
              <w:pStyle w:val="TableParagraph"/>
              <w:rPr>
                <w:sz w:val="22"/>
              </w:rPr>
            </w:pPr>
          </w:p>
          <w:p>
            <w:pPr>
              <w:pStyle w:val="TableParagraph"/>
              <w:spacing w:before="5"/>
              <w:rPr>
                <w:sz w:val="24"/>
              </w:rPr>
            </w:pPr>
          </w:p>
          <w:p>
            <w:pPr>
              <w:pStyle w:val="TableParagraph"/>
              <w:ind w:left="117" w:right="100"/>
              <w:jc w:val="center"/>
              <w:rPr>
                <w:b/>
                <w:sz w:val="18"/>
              </w:rPr>
            </w:pPr>
            <w:r>
              <w:rPr>
                <w:b/>
                <w:sz w:val="18"/>
              </w:rPr>
              <w:t>% in tropics</w:t>
            </w:r>
            <w:r>
              <w:rPr>
                <w:b/>
                <w:sz w:val="18"/>
                <w:vertAlign w:val="superscript"/>
              </w:rPr>
              <w:t>b</w:t>
            </w:r>
          </w:p>
        </w:tc>
        <w:tc>
          <w:tcPr>
            <w:tcW w:w="1288" w:type="dxa"/>
            <w:tcBorders>
              <w:top w:val="double" w:sz="1" w:space="0" w:color="000000"/>
              <w:left w:val="single" w:sz="6" w:space="0" w:color="000000"/>
            </w:tcBorders>
          </w:tcPr>
          <w:p>
            <w:pPr>
              <w:pStyle w:val="TableParagraph"/>
              <w:rPr>
                <w:sz w:val="20"/>
              </w:rPr>
            </w:pPr>
          </w:p>
          <w:p>
            <w:pPr>
              <w:pStyle w:val="TableParagraph"/>
              <w:spacing w:before="5"/>
              <w:rPr>
                <w:sz w:val="26"/>
              </w:rPr>
            </w:pPr>
          </w:p>
          <w:p>
            <w:pPr>
              <w:pStyle w:val="TableParagraph"/>
              <w:ind w:left="242" w:right="223"/>
              <w:jc w:val="center"/>
              <w:rPr>
                <w:b/>
                <w:sz w:val="18"/>
              </w:rPr>
            </w:pPr>
            <w:r>
              <w:rPr>
                <w:b/>
                <w:sz w:val="18"/>
              </w:rPr>
              <w:t>Reference</w:t>
            </w:r>
          </w:p>
        </w:tc>
      </w:tr>
      <w:tr>
        <w:trPr>
          <w:trHeight w:val="443" w:hRule="atLeast"/>
        </w:trPr>
        <w:tc>
          <w:tcPr>
            <w:tcW w:w="1286" w:type="dxa"/>
          </w:tcPr>
          <w:p>
            <w:pPr>
              <w:pStyle w:val="TableParagraph"/>
              <w:spacing w:before="117"/>
              <w:ind w:left="54"/>
              <w:rPr>
                <w:b/>
                <w:sz w:val="18"/>
              </w:rPr>
            </w:pPr>
            <w:r>
              <w:rPr>
                <w:b/>
                <w:sz w:val="18"/>
              </w:rPr>
              <w:t>Europe</w:t>
            </w:r>
          </w:p>
        </w:tc>
        <w:tc>
          <w:tcPr>
            <w:tcW w:w="1288" w:type="dxa"/>
          </w:tcPr>
          <w:p>
            <w:pPr>
              <w:pStyle w:val="TableParagraph"/>
              <w:spacing w:before="117"/>
              <w:ind w:left="108" w:right="102"/>
              <w:jc w:val="center"/>
              <w:rPr>
                <w:b/>
                <w:sz w:val="18"/>
              </w:rPr>
            </w:pPr>
            <w:r>
              <w:rPr>
                <w:b/>
                <w:sz w:val="18"/>
              </w:rPr>
              <w:t>95695</w:t>
            </w:r>
          </w:p>
        </w:tc>
        <w:tc>
          <w:tcPr>
            <w:tcW w:w="2686" w:type="dxa"/>
            <w:gridSpan w:val="2"/>
          </w:tcPr>
          <w:p>
            <w:pPr>
              <w:pStyle w:val="TableParagraph"/>
              <w:spacing w:line="206" w:lineRule="exact" w:before="17"/>
              <w:ind w:left="389" w:right="63" w:hanging="296"/>
              <w:rPr>
                <w:b/>
                <w:sz w:val="18"/>
              </w:rPr>
            </w:pPr>
            <w:r>
              <w:rPr>
                <w:b/>
                <w:sz w:val="18"/>
              </w:rPr>
              <w:t>(56-65% of wetlands drained for agriculture and forestry)</w:t>
            </w:r>
          </w:p>
        </w:tc>
        <w:tc>
          <w:tcPr>
            <w:tcW w:w="1173" w:type="dxa"/>
          </w:tcPr>
          <w:p>
            <w:pPr>
              <w:pStyle w:val="TableParagraph"/>
              <w:rPr>
                <w:sz w:val="18"/>
              </w:rPr>
            </w:pPr>
          </w:p>
        </w:tc>
        <w:tc>
          <w:tcPr>
            <w:tcW w:w="1288" w:type="dxa"/>
          </w:tcPr>
          <w:p>
            <w:pPr>
              <w:pStyle w:val="TableParagraph"/>
              <w:spacing w:before="117"/>
              <w:ind w:left="19"/>
              <w:jc w:val="center"/>
              <w:rPr>
                <w:b/>
                <w:sz w:val="18"/>
              </w:rPr>
            </w:pPr>
            <w:r>
              <w:rPr>
                <w:b/>
                <w:sz w:val="18"/>
              </w:rPr>
              <w:t>0</w:t>
            </w:r>
          </w:p>
        </w:tc>
        <w:tc>
          <w:tcPr>
            <w:tcW w:w="1288" w:type="dxa"/>
          </w:tcPr>
          <w:p>
            <w:pPr>
              <w:pStyle w:val="TableParagraph"/>
              <w:spacing w:before="117"/>
              <w:ind w:left="119" w:right="99"/>
              <w:jc w:val="center"/>
              <w:rPr>
                <w:b/>
                <w:sz w:val="18"/>
              </w:rPr>
            </w:pPr>
            <w:r>
              <w:rPr>
                <w:b/>
                <w:sz w:val="18"/>
              </w:rPr>
              <w:t>1, 9</w:t>
            </w:r>
          </w:p>
        </w:tc>
      </w:tr>
      <w:tr>
        <w:trPr>
          <w:trHeight w:val="275" w:hRule="atLeast"/>
        </w:trPr>
        <w:tc>
          <w:tcPr>
            <w:tcW w:w="1286" w:type="dxa"/>
          </w:tcPr>
          <w:p>
            <w:pPr>
              <w:pStyle w:val="TableParagraph"/>
              <w:spacing w:before="28"/>
              <w:ind w:left="170"/>
              <w:rPr>
                <w:sz w:val="18"/>
              </w:rPr>
            </w:pPr>
            <w:r>
              <w:rPr>
                <w:sz w:val="18"/>
              </w:rPr>
              <w:t>Belarus</w:t>
            </w:r>
          </w:p>
        </w:tc>
        <w:tc>
          <w:tcPr>
            <w:tcW w:w="1288" w:type="dxa"/>
          </w:tcPr>
          <w:p>
            <w:pPr>
              <w:pStyle w:val="TableParagraph"/>
              <w:spacing w:before="28"/>
              <w:ind w:left="108" w:right="102"/>
              <w:jc w:val="center"/>
              <w:rPr>
                <w:sz w:val="18"/>
              </w:rPr>
            </w:pPr>
            <w:r>
              <w:rPr>
                <w:sz w:val="18"/>
              </w:rPr>
              <w:t>2939</w:t>
            </w:r>
          </w:p>
        </w:tc>
        <w:tc>
          <w:tcPr>
            <w:tcW w:w="1343" w:type="dxa"/>
          </w:tcPr>
          <w:p>
            <w:pPr>
              <w:pStyle w:val="TableParagraph"/>
              <w:spacing w:before="28"/>
              <w:ind w:left="42" w:right="35"/>
              <w:jc w:val="center"/>
              <w:rPr>
                <w:sz w:val="18"/>
              </w:rPr>
            </w:pPr>
            <w:r>
              <w:rPr>
                <w:sz w:val="18"/>
              </w:rPr>
              <w:t>900</w:t>
            </w:r>
          </w:p>
        </w:tc>
        <w:tc>
          <w:tcPr>
            <w:tcW w:w="1343" w:type="dxa"/>
          </w:tcPr>
          <w:p>
            <w:pPr>
              <w:pStyle w:val="TableParagraph"/>
              <w:spacing w:before="28"/>
              <w:ind w:left="46" w:right="35"/>
              <w:jc w:val="center"/>
              <w:rPr>
                <w:sz w:val="18"/>
              </w:rPr>
            </w:pPr>
            <w:r>
              <w:rPr>
                <w:sz w:val="18"/>
              </w:rPr>
              <w:t>(small)</w:t>
            </w:r>
          </w:p>
        </w:tc>
        <w:tc>
          <w:tcPr>
            <w:tcW w:w="1173" w:type="dxa"/>
          </w:tcPr>
          <w:p>
            <w:pPr>
              <w:pStyle w:val="TableParagraph"/>
              <w:spacing w:before="28"/>
              <w:ind w:left="168" w:right="153"/>
              <w:jc w:val="center"/>
              <w:rPr>
                <w:sz w:val="18"/>
              </w:rPr>
            </w:pPr>
            <w:r>
              <w:rPr>
                <w:sz w:val="18"/>
              </w:rPr>
              <w:t>109</w:t>
            </w:r>
          </w:p>
        </w:tc>
        <w:tc>
          <w:tcPr>
            <w:tcW w:w="1288" w:type="dxa"/>
          </w:tcPr>
          <w:p>
            <w:pPr>
              <w:pStyle w:val="TableParagraph"/>
              <w:spacing w:before="28"/>
              <w:ind w:left="19"/>
              <w:jc w:val="center"/>
              <w:rPr>
                <w:sz w:val="18"/>
              </w:rPr>
            </w:pPr>
            <w:r>
              <w:rPr>
                <w:sz w:val="18"/>
              </w:rPr>
              <w:t>0</w:t>
            </w:r>
          </w:p>
        </w:tc>
        <w:tc>
          <w:tcPr>
            <w:tcW w:w="1288" w:type="dxa"/>
          </w:tcPr>
          <w:p>
            <w:pPr>
              <w:pStyle w:val="TableParagraph"/>
              <w:spacing w:before="28"/>
              <w:ind w:left="119" w:right="99"/>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Denmark</w:t>
            </w:r>
          </w:p>
        </w:tc>
        <w:tc>
          <w:tcPr>
            <w:tcW w:w="1288" w:type="dxa"/>
          </w:tcPr>
          <w:p>
            <w:pPr>
              <w:pStyle w:val="TableParagraph"/>
              <w:spacing w:before="28"/>
              <w:ind w:left="109" w:right="102"/>
              <w:jc w:val="center"/>
              <w:rPr>
                <w:sz w:val="18"/>
              </w:rPr>
            </w:pPr>
            <w:r>
              <w:rPr>
                <w:sz w:val="18"/>
              </w:rPr>
              <w:t>142</w:t>
            </w:r>
          </w:p>
        </w:tc>
        <w:tc>
          <w:tcPr>
            <w:tcW w:w="1343" w:type="dxa"/>
          </w:tcPr>
          <w:p>
            <w:pPr>
              <w:pStyle w:val="TableParagraph"/>
              <w:spacing w:before="28"/>
              <w:ind w:left="41" w:right="35"/>
              <w:jc w:val="center"/>
              <w:rPr>
                <w:sz w:val="18"/>
              </w:rPr>
            </w:pPr>
            <w:r>
              <w:rPr>
                <w:sz w:val="18"/>
              </w:rPr>
              <w:t>140</w:t>
            </w:r>
          </w:p>
        </w:tc>
        <w:tc>
          <w:tcPr>
            <w:tcW w:w="1343" w:type="dxa"/>
          </w:tcPr>
          <w:p>
            <w:pPr>
              <w:pStyle w:val="TableParagraph"/>
              <w:spacing w:before="28"/>
              <w:ind w:left="45" w:right="35"/>
              <w:jc w:val="center"/>
              <w:rPr>
                <w:sz w:val="18"/>
              </w:rPr>
            </w:pPr>
            <w:r>
              <w:rPr>
                <w:sz w:val="18"/>
              </w:rPr>
              <w:t>(small)</w:t>
            </w:r>
          </w:p>
        </w:tc>
        <w:tc>
          <w:tcPr>
            <w:tcW w:w="1173" w:type="dxa"/>
          </w:tcPr>
          <w:p>
            <w:pPr>
              <w:pStyle w:val="TableParagraph"/>
              <w:spacing w:before="28"/>
              <w:ind w:left="168" w:right="151"/>
              <w:jc w:val="center"/>
              <w:rPr>
                <w:sz w:val="18"/>
              </w:rPr>
            </w:pPr>
            <w:r>
              <w:rPr>
                <w:sz w:val="18"/>
              </w:rPr>
              <w:t>1.2</w:t>
            </w:r>
          </w:p>
        </w:tc>
        <w:tc>
          <w:tcPr>
            <w:tcW w:w="1288" w:type="dxa"/>
          </w:tcPr>
          <w:p>
            <w:pPr>
              <w:pStyle w:val="TableParagraph"/>
              <w:spacing w:before="28"/>
              <w:ind w:left="19"/>
              <w:jc w:val="center"/>
              <w:rPr>
                <w:sz w:val="18"/>
              </w:rPr>
            </w:pPr>
            <w:r>
              <w:rPr>
                <w:sz w:val="18"/>
              </w:rPr>
              <w:t>0</w:t>
            </w:r>
          </w:p>
        </w:tc>
        <w:tc>
          <w:tcPr>
            <w:tcW w:w="1288" w:type="dxa"/>
          </w:tcPr>
          <w:p>
            <w:pPr>
              <w:pStyle w:val="TableParagraph"/>
              <w:spacing w:before="28"/>
              <w:ind w:left="119" w:right="98"/>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Estonia</w:t>
            </w:r>
          </w:p>
        </w:tc>
        <w:tc>
          <w:tcPr>
            <w:tcW w:w="1288" w:type="dxa"/>
          </w:tcPr>
          <w:p>
            <w:pPr>
              <w:pStyle w:val="TableParagraph"/>
              <w:spacing w:before="28"/>
              <w:ind w:left="110" w:right="102"/>
              <w:jc w:val="center"/>
              <w:rPr>
                <w:sz w:val="18"/>
              </w:rPr>
            </w:pPr>
            <w:r>
              <w:rPr>
                <w:sz w:val="18"/>
              </w:rPr>
              <w:t>1009</w:t>
            </w:r>
          </w:p>
        </w:tc>
        <w:tc>
          <w:tcPr>
            <w:tcW w:w="1343" w:type="dxa"/>
          </w:tcPr>
          <w:p>
            <w:pPr>
              <w:pStyle w:val="TableParagraph"/>
              <w:spacing w:before="28"/>
              <w:ind w:left="45" w:right="35"/>
              <w:jc w:val="center"/>
              <w:rPr>
                <w:sz w:val="18"/>
              </w:rPr>
            </w:pPr>
            <w:r>
              <w:rPr>
                <w:sz w:val="18"/>
              </w:rPr>
              <w:t>130</w:t>
            </w:r>
          </w:p>
        </w:tc>
        <w:tc>
          <w:tcPr>
            <w:tcW w:w="1343" w:type="dxa"/>
          </w:tcPr>
          <w:p>
            <w:pPr>
              <w:pStyle w:val="TableParagraph"/>
              <w:spacing w:before="28"/>
              <w:ind w:left="46" w:right="35"/>
              <w:jc w:val="center"/>
              <w:rPr>
                <w:sz w:val="18"/>
              </w:rPr>
            </w:pPr>
            <w:r>
              <w:rPr>
                <w:sz w:val="18"/>
              </w:rPr>
              <w:t>320</w:t>
            </w:r>
          </w:p>
        </w:tc>
        <w:tc>
          <w:tcPr>
            <w:tcW w:w="1173" w:type="dxa"/>
          </w:tcPr>
          <w:p>
            <w:pPr>
              <w:pStyle w:val="TableParagraph"/>
              <w:spacing w:before="28"/>
              <w:ind w:left="168" w:right="153"/>
              <w:jc w:val="center"/>
              <w:rPr>
                <w:sz w:val="18"/>
              </w:rPr>
            </w:pPr>
            <w:r>
              <w:rPr>
                <w:sz w:val="18"/>
              </w:rPr>
              <w:t>258</w:t>
            </w:r>
          </w:p>
        </w:tc>
        <w:tc>
          <w:tcPr>
            <w:tcW w:w="1288" w:type="dxa"/>
          </w:tcPr>
          <w:p>
            <w:pPr>
              <w:pStyle w:val="TableParagraph"/>
              <w:spacing w:before="28"/>
              <w:ind w:left="19"/>
              <w:jc w:val="center"/>
              <w:rPr>
                <w:sz w:val="18"/>
              </w:rPr>
            </w:pPr>
            <w:r>
              <w:rPr>
                <w:sz w:val="18"/>
              </w:rPr>
              <w:t>0</w:t>
            </w:r>
          </w:p>
        </w:tc>
        <w:tc>
          <w:tcPr>
            <w:tcW w:w="1288" w:type="dxa"/>
          </w:tcPr>
          <w:p>
            <w:pPr>
              <w:pStyle w:val="TableParagraph"/>
              <w:spacing w:before="28"/>
              <w:ind w:left="119" w:right="98"/>
              <w:jc w:val="center"/>
              <w:rPr>
                <w:sz w:val="18"/>
              </w:rPr>
            </w:pPr>
            <w:r>
              <w:rPr>
                <w:sz w:val="18"/>
              </w:rPr>
              <w:t>1, 2</w:t>
            </w:r>
          </w:p>
        </w:tc>
      </w:tr>
      <w:tr>
        <w:trPr>
          <w:trHeight w:val="275" w:hRule="atLeast"/>
        </w:trPr>
        <w:tc>
          <w:tcPr>
            <w:tcW w:w="1286" w:type="dxa"/>
          </w:tcPr>
          <w:p>
            <w:pPr>
              <w:pStyle w:val="TableParagraph"/>
              <w:spacing w:before="28"/>
              <w:ind w:left="170"/>
              <w:rPr>
                <w:sz w:val="18"/>
              </w:rPr>
            </w:pPr>
            <w:r>
              <w:rPr>
                <w:sz w:val="18"/>
              </w:rPr>
              <w:t>Finland</w:t>
            </w:r>
          </w:p>
        </w:tc>
        <w:tc>
          <w:tcPr>
            <w:tcW w:w="1288" w:type="dxa"/>
          </w:tcPr>
          <w:p>
            <w:pPr>
              <w:pStyle w:val="TableParagraph"/>
              <w:spacing w:before="28"/>
              <w:ind w:left="109" w:right="102"/>
              <w:jc w:val="center"/>
              <w:rPr>
                <w:sz w:val="18"/>
              </w:rPr>
            </w:pPr>
            <w:r>
              <w:rPr>
                <w:sz w:val="18"/>
              </w:rPr>
              <w:t>8920</w:t>
            </w:r>
          </w:p>
        </w:tc>
        <w:tc>
          <w:tcPr>
            <w:tcW w:w="1343" w:type="dxa"/>
          </w:tcPr>
          <w:p>
            <w:pPr>
              <w:pStyle w:val="TableParagraph"/>
              <w:spacing w:before="28"/>
              <w:ind w:left="44" w:right="35"/>
              <w:jc w:val="center"/>
              <w:rPr>
                <w:sz w:val="18"/>
              </w:rPr>
            </w:pPr>
            <w:r>
              <w:rPr>
                <w:sz w:val="18"/>
              </w:rPr>
              <w:t>350</w:t>
            </w:r>
          </w:p>
        </w:tc>
        <w:tc>
          <w:tcPr>
            <w:tcW w:w="1343" w:type="dxa"/>
          </w:tcPr>
          <w:p>
            <w:pPr>
              <w:pStyle w:val="TableParagraph"/>
              <w:spacing w:before="28"/>
              <w:ind w:left="46" w:right="35"/>
              <w:jc w:val="center"/>
              <w:rPr>
                <w:sz w:val="18"/>
              </w:rPr>
            </w:pPr>
            <w:r>
              <w:rPr>
                <w:sz w:val="18"/>
              </w:rPr>
              <w:t>3540</w:t>
            </w:r>
          </w:p>
        </w:tc>
        <w:tc>
          <w:tcPr>
            <w:tcW w:w="1173" w:type="dxa"/>
          </w:tcPr>
          <w:p>
            <w:pPr>
              <w:pStyle w:val="TableParagraph"/>
              <w:spacing w:before="28"/>
              <w:ind w:left="168" w:right="155"/>
              <w:jc w:val="center"/>
              <w:rPr>
                <w:sz w:val="18"/>
              </w:rPr>
            </w:pPr>
            <w:r>
              <w:rPr>
                <w:sz w:val="18"/>
              </w:rPr>
              <w:t>53</w:t>
            </w:r>
          </w:p>
        </w:tc>
        <w:tc>
          <w:tcPr>
            <w:tcW w:w="1288" w:type="dxa"/>
          </w:tcPr>
          <w:p>
            <w:pPr>
              <w:pStyle w:val="TableParagraph"/>
              <w:spacing w:before="28"/>
              <w:ind w:left="18"/>
              <w:jc w:val="center"/>
              <w:rPr>
                <w:sz w:val="18"/>
              </w:rPr>
            </w:pPr>
            <w:r>
              <w:rPr>
                <w:sz w:val="18"/>
              </w:rPr>
              <w:t>0</w:t>
            </w:r>
          </w:p>
        </w:tc>
        <w:tc>
          <w:tcPr>
            <w:tcW w:w="1288" w:type="dxa"/>
          </w:tcPr>
          <w:p>
            <w:pPr>
              <w:pStyle w:val="TableParagraph"/>
              <w:spacing w:before="28"/>
              <w:ind w:left="119" w:right="102"/>
              <w:jc w:val="center"/>
              <w:rPr>
                <w:sz w:val="18"/>
              </w:rPr>
            </w:pPr>
            <w:r>
              <w:rPr>
                <w:sz w:val="18"/>
              </w:rPr>
              <w:t>1, 2, 3</w:t>
            </w:r>
          </w:p>
        </w:tc>
      </w:tr>
      <w:tr>
        <w:trPr>
          <w:trHeight w:val="273" w:hRule="atLeast"/>
        </w:trPr>
        <w:tc>
          <w:tcPr>
            <w:tcW w:w="1286" w:type="dxa"/>
          </w:tcPr>
          <w:p>
            <w:pPr>
              <w:pStyle w:val="TableParagraph"/>
              <w:spacing w:before="28"/>
              <w:ind w:left="170"/>
              <w:rPr>
                <w:sz w:val="18"/>
              </w:rPr>
            </w:pPr>
            <w:r>
              <w:rPr>
                <w:sz w:val="18"/>
              </w:rPr>
              <w:t>France</w:t>
            </w:r>
          </w:p>
        </w:tc>
        <w:tc>
          <w:tcPr>
            <w:tcW w:w="1288" w:type="dxa"/>
          </w:tcPr>
          <w:p>
            <w:pPr>
              <w:pStyle w:val="TableParagraph"/>
              <w:spacing w:before="28"/>
              <w:ind w:left="110" w:right="102"/>
              <w:jc w:val="center"/>
              <w:rPr>
                <w:sz w:val="18"/>
              </w:rPr>
            </w:pPr>
            <w:r>
              <w:rPr>
                <w:sz w:val="18"/>
              </w:rPr>
              <w:t>100</w:t>
            </w:r>
          </w:p>
        </w:tc>
        <w:tc>
          <w:tcPr>
            <w:tcW w:w="1343" w:type="dxa"/>
          </w:tcPr>
          <w:p>
            <w:pPr>
              <w:pStyle w:val="TableParagraph"/>
              <w:spacing w:before="28"/>
              <w:ind w:left="41" w:right="35"/>
              <w:jc w:val="center"/>
              <w:rPr>
                <w:sz w:val="18"/>
              </w:rPr>
            </w:pPr>
            <w:r>
              <w:rPr>
                <w:sz w:val="18"/>
              </w:rPr>
              <w:t>55</w:t>
            </w:r>
          </w:p>
        </w:tc>
        <w:tc>
          <w:tcPr>
            <w:tcW w:w="1343" w:type="dxa"/>
          </w:tcPr>
          <w:p>
            <w:pPr>
              <w:pStyle w:val="TableParagraph"/>
              <w:spacing w:before="28"/>
              <w:ind w:left="44" w:right="35"/>
              <w:jc w:val="center"/>
              <w:rPr>
                <w:sz w:val="18"/>
              </w:rPr>
            </w:pPr>
            <w:r>
              <w:rPr>
                <w:sz w:val="18"/>
              </w:rPr>
              <w:t>(small)</w:t>
            </w:r>
          </w:p>
        </w:tc>
        <w:tc>
          <w:tcPr>
            <w:tcW w:w="1173" w:type="dxa"/>
          </w:tcPr>
          <w:p>
            <w:pPr>
              <w:pStyle w:val="TableParagraph"/>
              <w:spacing w:before="28"/>
              <w:ind w:left="168" w:right="153"/>
              <w:jc w:val="center"/>
              <w:rPr>
                <w:sz w:val="18"/>
              </w:rPr>
            </w:pPr>
            <w:r>
              <w:rPr>
                <w:sz w:val="18"/>
              </w:rPr>
              <w:t>(small)</w:t>
            </w:r>
          </w:p>
        </w:tc>
        <w:tc>
          <w:tcPr>
            <w:tcW w:w="1288" w:type="dxa"/>
          </w:tcPr>
          <w:p>
            <w:pPr>
              <w:pStyle w:val="TableParagraph"/>
              <w:spacing w:before="28"/>
              <w:ind w:left="20"/>
              <w:jc w:val="center"/>
              <w:rPr>
                <w:sz w:val="18"/>
              </w:rPr>
            </w:pPr>
            <w:r>
              <w:rPr>
                <w:sz w:val="18"/>
              </w:rPr>
              <w:t>0</w:t>
            </w:r>
          </w:p>
        </w:tc>
        <w:tc>
          <w:tcPr>
            <w:tcW w:w="1288" w:type="dxa"/>
          </w:tcPr>
          <w:p>
            <w:pPr>
              <w:pStyle w:val="TableParagraph"/>
              <w:spacing w:before="28"/>
              <w:ind w:left="119" w:right="98"/>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Germany</w:t>
            </w:r>
          </w:p>
        </w:tc>
        <w:tc>
          <w:tcPr>
            <w:tcW w:w="1288" w:type="dxa"/>
          </w:tcPr>
          <w:p>
            <w:pPr>
              <w:pStyle w:val="TableParagraph"/>
              <w:spacing w:before="28"/>
              <w:ind w:left="107" w:right="102"/>
              <w:jc w:val="center"/>
              <w:rPr>
                <w:sz w:val="18"/>
              </w:rPr>
            </w:pPr>
            <w:r>
              <w:rPr>
                <w:sz w:val="18"/>
              </w:rPr>
              <w:t>1420</w:t>
            </w:r>
          </w:p>
        </w:tc>
        <w:tc>
          <w:tcPr>
            <w:tcW w:w="1343" w:type="dxa"/>
          </w:tcPr>
          <w:p>
            <w:pPr>
              <w:pStyle w:val="TableParagraph"/>
              <w:spacing w:before="28"/>
              <w:ind w:left="41" w:right="35"/>
              <w:jc w:val="center"/>
              <w:rPr>
                <w:sz w:val="18"/>
              </w:rPr>
            </w:pPr>
            <w:r>
              <w:rPr>
                <w:sz w:val="18"/>
              </w:rPr>
              <w:t>210</w:t>
            </w:r>
          </w:p>
        </w:tc>
        <w:tc>
          <w:tcPr>
            <w:tcW w:w="1343" w:type="dxa"/>
          </w:tcPr>
          <w:p>
            <w:pPr>
              <w:pStyle w:val="TableParagraph"/>
              <w:spacing w:before="28"/>
              <w:ind w:left="45" w:right="35"/>
              <w:jc w:val="center"/>
              <w:rPr>
                <w:sz w:val="18"/>
              </w:rPr>
            </w:pPr>
            <w:r>
              <w:rPr>
                <w:sz w:val="18"/>
              </w:rPr>
              <w:t>(small)</w:t>
            </w:r>
          </w:p>
        </w:tc>
        <w:tc>
          <w:tcPr>
            <w:tcW w:w="1173" w:type="dxa"/>
          </w:tcPr>
          <w:p>
            <w:pPr>
              <w:pStyle w:val="TableParagraph"/>
              <w:spacing w:before="28"/>
              <w:ind w:left="168" w:right="154"/>
              <w:jc w:val="center"/>
              <w:rPr>
                <w:sz w:val="18"/>
              </w:rPr>
            </w:pPr>
            <w:r>
              <w:rPr>
                <w:sz w:val="18"/>
              </w:rPr>
              <w:t>32</w:t>
            </w:r>
          </w:p>
        </w:tc>
        <w:tc>
          <w:tcPr>
            <w:tcW w:w="1288" w:type="dxa"/>
          </w:tcPr>
          <w:p>
            <w:pPr>
              <w:pStyle w:val="TableParagraph"/>
              <w:spacing w:before="28"/>
              <w:ind w:left="19"/>
              <w:jc w:val="center"/>
              <w:rPr>
                <w:sz w:val="18"/>
              </w:rPr>
            </w:pPr>
            <w:r>
              <w:rPr>
                <w:sz w:val="18"/>
              </w:rPr>
              <w:t>0</w:t>
            </w:r>
          </w:p>
        </w:tc>
        <w:tc>
          <w:tcPr>
            <w:tcW w:w="1288" w:type="dxa"/>
          </w:tcPr>
          <w:p>
            <w:pPr>
              <w:pStyle w:val="TableParagraph"/>
              <w:spacing w:before="28"/>
              <w:ind w:left="119" w:right="98"/>
              <w:jc w:val="center"/>
              <w:rPr>
                <w:sz w:val="18"/>
              </w:rPr>
            </w:pPr>
            <w:r>
              <w:rPr>
                <w:sz w:val="18"/>
              </w:rPr>
              <w:t>1, 2</w:t>
            </w:r>
          </w:p>
        </w:tc>
      </w:tr>
      <w:tr>
        <w:trPr>
          <w:trHeight w:val="275" w:hRule="atLeast"/>
        </w:trPr>
        <w:tc>
          <w:tcPr>
            <w:tcW w:w="1286" w:type="dxa"/>
          </w:tcPr>
          <w:p>
            <w:pPr>
              <w:pStyle w:val="TableParagraph"/>
              <w:spacing w:before="28"/>
              <w:ind w:left="170"/>
              <w:rPr>
                <w:sz w:val="18"/>
              </w:rPr>
            </w:pPr>
            <w:r>
              <w:rPr>
                <w:sz w:val="18"/>
              </w:rPr>
              <w:t>Great Britain</w:t>
            </w:r>
          </w:p>
        </w:tc>
        <w:tc>
          <w:tcPr>
            <w:tcW w:w="1288" w:type="dxa"/>
          </w:tcPr>
          <w:p>
            <w:pPr>
              <w:pStyle w:val="TableParagraph"/>
              <w:spacing w:before="28"/>
              <w:ind w:left="111" w:right="102"/>
              <w:jc w:val="center"/>
              <w:rPr>
                <w:sz w:val="18"/>
              </w:rPr>
            </w:pPr>
            <w:r>
              <w:rPr>
                <w:sz w:val="18"/>
              </w:rPr>
              <w:t>1754</w:t>
            </w:r>
          </w:p>
        </w:tc>
        <w:tc>
          <w:tcPr>
            <w:tcW w:w="1343" w:type="dxa"/>
          </w:tcPr>
          <w:p>
            <w:pPr>
              <w:pStyle w:val="TableParagraph"/>
              <w:spacing w:before="28"/>
              <w:ind w:left="46" w:right="35"/>
              <w:jc w:val="center"/>
              <w:rPr>
                <w:sz w:val="18"/>
              </w:rPr>
            </w:pPr>
            <w:r>
              <w:rPr>
                <w:sz w:val="18"/>
              </w:rPr>
              <w:t>500</w:t>
            </w:r>
          </w:p>
        </w:tc>
        <w:tc>
          <w:tcPr>
            <w:tcW w:w="1343" w:type="dxa"/>
          </w:tcPr>
          <w:p>
            <w:pPr>
              <w:pStyle w:val="TableParagraph"/>
              <w:spacing w:before="28"/>
              <w:ind w:left="47" w:right="35"/>
              <w:jc w:val="center"/>
              <w:rPr>
                <w:sz w:val="18"/>
              </w:rPr>
            </w:pPr>
            <w:r>
              <w:rPr>
                <w:sz w:val="18"/>
              </w:rPr>
              <w:t>500</w:t>
            </w:r>
          </w:p>
        </w:tc>
        <w:tc>
          <w:tcPr>
            <w:tcW w:w="1173" w:type="dxa"/>
          </w:tcPr>
          <w:p>
            <w:pPr>
              <w:pStyle w:val="TableParagraph"/>
              <w:spacing w:before="28"/>
              <w:ind w:left="168" w:right="150"/>
              <w:jc w:val="center"/>
              <w:rPr>
                <w:sz w:val="18"/>
              </w:rPr>
            </w:pPr>
            <w:r>
              <w:rPr>
                <w:sz w:val="18"/>
              </w:rPr>
              <w:t>5.4</w:t>
            </w:r>
          </w:p>
        </w:tc>
        <w:tc>
          <w:tcPr>
            <w:tcW w:w="1288" w:type="dxa"/>
          </w:tcPr>
          <w:p>
            <w:pPr>
              <w:pStyle w:val="TableParagraph"/>
              <w:spacing w:before="28"/>
              <w:ind w:left="21"/>
              <w:jc w:val="center"/>
              <w:rPr>
                <w:sz w:val="18"/>
              </w:rPr>
            </w:pPr>
            <w:r>
              <w:rPr>
                <w:sz w:val="18"/>
              </w:rPr>
              <w:t>0</w:t>
            </w:r>
          </w:p>
        </w:tc>
        <w:tc>
          <w:tcPr>
            <w:tcW w:w="1288" w:type="dxa"/>
          </w:tcPr>
          <w:p>
            <w:pPr>
              <w:pStyle w:val="TableParagraph"/>
              <w:spacing w:before="28"/>
              <w:ind w:left="119" w:right="97"/>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Hungary</w:t>
            </w:r>
          </w:p>
        </w:tc>
        <w:tc>
          <w:tcPr>
            <w:tcW w:w="1288" w:type="dxa"/>
          </w:tcPr>
          <w:p>
            <w:pPr>
              <w:pStyle w:val="TableParagraph"/>
              <w:spacing w:before="28"/>
              <w:ind w:left="110" w:right="102"/>
              <w:jc w:val="center"/>
              <w:rPr>
                <w:sz w:val="18"/>
              </w:rPr>
            </w:pPr>
            <w:r>
              <w:rPr>
                <w:sz w:val="18"/>
              </w:rPr>
              <w:t>100</w:t>
            </w:r>
          </w:p>
        </w:tc>
        <w:tc>
          <w:tcPr>
            <w:tcW w:w="1343" w:type="dxa"/>
          </w:tcPr>
          <w:p>
            <w:pPr>
              <w:pStyle w:val="TableParagraph"/>
              <w:spacing w:before="28"/>
              <w:ind w:left="42" w:right="35"/>
              <w:jc w:val="center"/>
              <w:rPr>
                <w:sz w:val="18"/>
              </w:rPr>
            </w:pPr>
            <w:r>
              <w:rPr>
                <w:sz w:val="18"/>
              </w:rPr>
              <w:t>80</w:t>
            </w:r>
          </w:p>
        </w:tc>
        <w:tc>
          <w:tcPr>
            <w:tcW w:w="1343" w:type="dxa"/>
          </w:tcPr>
          <w:p>
            <w:pPr>
              <w:pStyle w:val="TableParagraph"/>
              <w:spacing w:before="28"/>
              <w:ind w:left="8"/>
              <w:jc w:val="center"/>
              <w:rPr>
                <w:sz w:val="18"/>
              </w:rPr>
            </w:pPr>
            <w:r>
              <w:rPr>
                <w:sz w:val="18"/>
              </w:rPr>
              <w:t>0</w:t>
            </w:r>
          </w:p>
        </w:tc>
        <w:tc>
          <w:tcPr>
            <w:tcW w:w="1173" w:type="dxa"/>
          </w:tcPr>
          <w:p>
            <w:pPr>
              <w:pStyle w:val="TableParagraph"/>
              <w:spacing w:before="28"/>
              <w:ind w:left="168" w:right="153"/>
              <w:jc w:val="center"/>
              <w:rPr>
                <w:sz w:val="18"/>
              </w:rPr>
            </w:pPr>
            <w:r>
              <w:rPr>
                <w:sz w:val="18"/>
              </w:rPr>
              <w:t>0.2</w:t>
            </w:r>
          </w:p>
        </w:tc>
        <w:tc>
          <w:tcPr>
            <w:tcW w:w="1288" w:type="dxa"/>
          </w:tcPr>
          <w:p>
            <w:pPr>
              <w:pStyle w:val="TableParagraph"/>
              <w:spacing w:before="28"/>
              <w:ind w:left="18"/>
              <w:jc w:val="center"/>
              <w:rPr>
                <w:sz w:val="18"/>
              </w:rPr>
            </w:pPr>
            <w:r>
              <w:rPr>
                <w:sz w:val="18"/>
              </w:rPr>
              <w:t>0</w:t>
            </w:r>
          </w:p>
        </w:tc>
        <w:tc>
          <w:tcPr>
            <w:tcW w:w="1288" w:type="dxa"/>
          </w:tcPr>
          <w:p>
            <w:pPr>
              <w:pStyle w:val="TableParagraph"/>
              <w:spacing w:before="28"/>
              <w:ind w:left="119" w:right="99"/>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Iceland</w:t>
            </w:r>
          </w:p>
        </w:tc>
        <w:tc>
          <w:tcPr>
            <w:tcW w:w="1288" w:type="dxa"/>
          </w:tcPr>
          <w:p>
            <w:pPr>
              <w:pStyle w:val="TableParagraph"/>
              <w:spacing w:before="28"/>
              <w:ind w:left="106" w:right="102"/>
              <w:jc w:val="center"/>
              <w:rPr>
                <w:sz w:val="18"/>
              </w:rPr>
            </w:pPr>
            <w:r>
              <w:rPr>
                <w:sz w:val="18"/>
              </w:rPr>
              <w:t>1000</w:t>
            </w:r>
          </w:p>
        </w:tc>
        <w:tc>
          <w:tcPr>
            <w:tcW w:w="1343" w:type="dxa"/>
          </w:tcPr>
          <w:p>
            <w:pPr>
              <w:pStyle w:val="TableParagraph"/>
              <w:spacing w:before="28"/>
              <w:ind w:left="41" w:right="35"/>
              <w:jc w:val="center"/>
              <w:rPr>
                <w:sz w:val="18"/>
              </w:rPr>
            </w:pPr>
            <w:r>
              <w:rPr>
                <w:sz w:val="18"/>
              </w:rPr>
              <w:t>120</w:t>
            </w:r>
          </w:p>
        </w:tc>
        <w:tc>
          <w:tcPr>
            <w:tcW w:w="1343" w:type="dxa"/>
          </w:tcPr>
          <w:p>
            <w:pPr>
              <w:pStyle w:val="TableParagraph"/>
              <w:spacing w:before="28"/>
              <w:ind w:left="45" w:right="35"/>
              <w:jc w:val="center"/>
              <w:rPr>
                <w:sz w:val="18"/>
              </w:rPr>
            </w:pPr>
            <w:r>
              <w:rPr>
                <w:sz w:val="18"/>
              </w:rPr>
              <w:t>(small)</w:t>
            </w:r>
          </w:p>
        </w:tc>
        <w:tc>
          <w:tcPr>
            <w:tcW w:w="1173" w:type="dxa"/>
          </w:tcPr>
          <w:p>
            <w:pPr>
              <w:pStyle w:val="TableParagraph"/>
              <w:rPr>
                <w:sz w:val="18"/>
              </w:rPr>
            </w:pPr>
          </w:p>
        </w:tc>
        <w:tc>
          <w:tcPr>
            <w:tcW w:w="1288" w:type="dxa"/>
          </w:tcPr>
          <w:p>
            <w:pPr>
              <w:pStyle w:val="TableParagraph"/>
              <w:spacing w:before="28"/>
              <w:ind w:left="19"/>
              <w:jc w:val="center"/>
              <w:rPr>
                <w:sz w:val="18"/>
              </w:rPr>
            </w:pPr>
            <w:r>
              <w:rPr>
                <w:sz w:val="18"/>
              </w:rPr>
              <w:t>0</w:t>
            </w:r>
          </w:p>
        </w:tc>
        <w:tc>
          <w:tcPr>
            <w:tcW w:w="1288" w:type="dxa"/>
          </w:tcPr>
          <w:p>
            <w:pPr>
              <w:pStyle w:val="TableParagraph"/>
              <w:spacing w:before="28"/>
              <w:ind w:left="119" w:right="98"/>
              <w:jc w:val="center"/>
              <w:rPr>
                <w:sz w:val="18"/>
              </w:rPr>
            </w:pPr>
            <w:r>
              <w:rPr>
                <w:sz w:val="18"/>
              </w:rPr>
              <w:t>1, 2</w:t>
            </w:r>
          </w:p>
        </w:tc>
      </w:tr>
      <w:tr>
        <w:trPr>
          <w:trHeight w:val="275" w:hRule="atLeast"/>
        </w:trPr>
        <w:tc>
          <w:tcPr>
            <w:tcW w:w="1286" w:type="dxa"/>
          </w:tcPr>
          <w:p>
            <w:pPr>
              <w:pStyle w:val="TableParagraph"/>
              <w:spacing w:before="28"/>
              <w:ind w:left="170"/>
              <w:rPr>
                <w:sz w:val="18"/>
              </w:rPr>
            </w:pPr>
            <w:r>
              <w:rPr>
                <w:sz w:val="18"/>
              </w:rPr>
              <w:t>Ireland</w:t>
            </w:r>
          </w:p>
        </w:tc>
        <w:tc>
          <w:tcPr>
            <w:tcW w:w="1288" w:type="dxa"/>
          </w:tcPr>
          <w:p>
            <w:pPr>
              <w:pStyle w:val="TableParagraph"/>
              <w:spacing w:before="28"/>
              <w:ind w:left="108" w:right="102"/>
              <w:jc w:val="center"/>
              <w:rPr>
                <w:sz w:val="18"/>
              </w:rPr>
            </w:pPr>
            <w:r>
              <w:rPr>
                <w:sz w:val="18"/>
              </w:rPr>
              <w:t>1176</w:t>
            </w:r>
          </w:p>
        </w:tc>
        <w:tc>
          <w:tcPr>
            <w:tcW w:w="1343" w:type="dxa"/>
          </w:tcPr>
          <w:p>
            <w:pPr>
              <w:pStyle w:val="TableParagraph"/>
              <w:spacing w:before="28"/>
              <w:ind w:left="43" w:right="35"/>
              <w:jc w:val="center"/>
              <w:rPr>
                <w:sz w:val="18"/>
              </w:rPr>
            </w:pPr>
            <w:r>
              <w:rPr>
                <w:sz w:val="18"/>
              </w:rPr>
              <w:t>90</w:t>
            </w:r>
          </w:p>
        </w:tc>
        <w:tc>
          <w:tcPr>
            <w:tcW w:w="1343" w:type="dxa"/>
          </w:tcPr>
          <w:p>
            <w:pPr>
              <w:pStyle w:val="TableParagraph"/>
              <w:spacing w:before="28"/>
              <w:ind w:left="45" w:right="35"/>
              <w:jc w:val="center"/>
              <w:rPr>
                <w:sz w:val="18"/>
              </w:rPr>
            </w:pPr>
            <w:r>
              <w:rPr>
                <w:sz w:val="18"/>
              </w:rPr>
              <w:t>45</w:t>
            </w:r>
          </w:p>
        </w:tc>
        <w:tc>
          <w:tcPr>
            <w:tcW w:w="1173" w:type="dxa"/>
          </w:tcPr>
          <w:p>
            <w:pPr>
              <w:pStyle w:val="TableParagraph"/>
              <w:spacing w:before="28"/>
              <w:ind w:left="168" w:right="155"/>
              <w:jc w:val="center"/>
              <w:rPr>
                <w:sz w:val="18"/>
              </w:rPr>
            </w:pPr>
            <w:r>
              <w:rPr>
                <w:sz w:val="18"/>
              </w:rPr>
              <w:t>82</w:t>
            </w:r>
          </w:p>
        </w:tc>
        <w:tc>
          <w:tcPr>
            <w:tcW w:w="1288" w:type="dxa"/>
          </w:tcPr>
          <w:p>
            <w:pPr>
              <w:pStyle w:val="TableParagraph"/>
              <w:spacing w:before="28"/>
              <w:ind w:left="18"/>
              <w:jc w:val="center"/>
              <w:rPr>
                <w:sz w:val="18"/>
              </w:rPr>
            </w:pPr>
            <w:r>
              <w:rPr>
                <w:sz w:val="18"/>
              </w:rPr>
              <w:t>0</w:t>
            </w:r>
          </w:p>
        </w:tc>
        <w:tc>
          <w:tcPr>
            <w:tcW w:w="1288" w:type="dxa"/>
          </w:tcPr>
          <w:p>
            <w:pPr>
              <w:pStyle w:val="TableParagraph"/>
              <w:spacing w:before="28"/>
              <w:ind w:left="119" w:right="99"/>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Italy</w:t>
            </w:r>
          </w:p>
        </w:tc>
        <w:tc>
          <w:tcPr>
            <w:tcW w:w="1288" w:type="dxa"/>
          </w:tcPr>
          <w:p>
            <w:pPr>
              <w:pStyle w:val="TableParagraph"/>
              <w:spacing w:before="28"/>
              <w:ind w:left="110" w:right="102"/>
              <w:jc w:val="center"/>
              <w:rPr>
                <w:sz w:val="18"/>
              </w:rPr>
            </w:pPr>
            <w:r>
              <w:rPr>
                <w:sz w:val="18"/>
              </w:rPr>
              <w:t>120</w:t>
            </w:r>
          </w:p>
        </w:tc>
        <w:tc>
          <w:tcPr>
            <w:tcW w:w="1343" w:type="dxa"/>
          </w:tcPr>
          <w:p>
            <w:pPr>
              <w:pStyle w:val="TableParagraph"/>
              <w:spacing w:before="28"/>
              <w:ind w:left="41" w:right="35"/>
              <w:jc w:val="center"/>
              <w:rPr>
                <w:sz w:val="18"/>
              </w:rPr>
            </w:pPr>
            <w:r>
              <w:rPr>
                <w:sz w:val="18"/>
              </w:rPr>
              <w:t>30</w:t>
            </w:r>
          </w:p>
        </w:tc>
        <w:tc>
          <w:tcPr>
            <w:tcW w:w="1343" w:type="dxa"/>
          </w:tcPr>
          <w:p>
            <w:pPr>
              <w:pStyle w:val="TableParagraph"/>
              <w:rPr>
                <w:sz w:val="18"/>
              </w:rPr>
            </w:pPr>
          </w:p>
        </w:tc>
        <w:tc>
          <w:tcPr>
            <w:tcW w:w="1173" w:type="dxa"/>
          </w:tcPr>
          <w:p>
            <w:pPr>
              <w:pStyle w:val="TableParagraph"/>
              <w:spacing w:before="28"/>
              <w:ind w:left="168" w:right="154"/>
              <w:jc w:val="center"/>
              <w:rPr>
                <w:sz w:val="18"/>
              </w:rPr>
            </w:pPr>
            <w:r>
              <w:rPr>
                <w:sz w:val="18"/>
              </w:rPr>
              <w:t>(small)</w:t>
            </w:r>
          </w:p>
        </w:tc>
        <w:tc>
          <w:tcPr>
            <w:tcW w:w="1288" w:type="dxa"/>
          </w:tcPr>
          <w:p>
            <w:pPr>
              <w:pStyle w:val="TableParagraph"/>
              <w:spacing w:before="28"/>
              <w:ind w:left="19"/>
              <w:jc w:val="center"/>
              <w:rPr>
                <w:sz w:val="18"/>
              </w:rPr>
            </w:pPr>
            <w:r>
              <w:rPr>
                <w:sz w:val="18"/>
              </w:rPr>
              <w:t>0</w:t>
            </w:r>
          </w:p>
        </w:tc>
        <w:tc>
          <w:tcPr>
            <w:tcW w:w="1288" w:type="dxa"/>
          </w:tcPr>
          <w:p>
            <w:pPr>
              <w:pStyle w:val="TableParagraph"/>
              <w:spacing w:before="28"/>
              <w:ind w:left="119" w:right="98"/>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Latvia</w:t>
            </w:r>
          </w:p>
        </w:tc>
        <w:tc>
          <w:tcPr>
            <w:tcW w:w="1288" w:type="dxa"/>
          </w:tcPr>
          <w:p>
            <w:pPr>
              <w:pStyle w:val="TableParagraph"/>
              <w:spacing w:before="28"/>
              <w:ind w:left="112" w:right="102"/>
              <w:jc w:val="center"/>
              <w:rPr>
                <w:sz w:val="18"/>
              </w:rPr>
            </w:pPr>
            <w:r>
              <w:rPr>
                <w:sz w:val="18"/>
              </w:rPr>
              <w:t>669</w:t>
            </w:r>
          </w:p>
        </w:tc>
        <w:tc>
          <w:tcPr>
            <w:tcW w:w="1343" w:type="dxa"/>
          </w:tcPr>
          <w:p>
            <w:pPr>
              <w:pStyle w:val="TableParagraph"/>
              <w:spacing w:before="28"/>
              <w:ind w:left="43" w:right="35"/>
              <w:jc w:val="center"/>
              <w:rPr>
                <w:sz w:val="18"/>
              </w:rPr>
            </w:pPr>
            <w:r>
              <w:rPr>
                <w:sz w:val="18"/>
              </w:rPr>
              <w:t>160</w:t>
            </w:r>
          </w:p>
        </w:tc>
        <w:tc>
          <w:tcPr>
            <w:tcW w:w="1343" w:type="dxa"/>
          </w:tcPr>
          <w:p>
            <w:pPr>
              <w:pStyle w:val="TableParagraph"/>
              <w:spacing w:before="28"/>
              <w:ind w:left="45" w:right="35"/>
              <w:jc w:val="center"/>
              <w:rPr>
                <w:sz w:val="18"/>
              </w:rPr>
            </w:pPr>
            <w:r>
              <w:rPr>
                <w:sz w:val="18"/>
              </w:rPr>
              <w:t>50</w:t>
            </w:r>
          </w:p>
        </w:tc>
        <w:tc>
          <w:tcPr>
            <w:tcW w:w="1173" w:type="dxa"/>
          </w:tcPr>
          <w:p>
            <w:pPr>
              <w:pStyle w:val="TableParagraph"/>
              <w:spacing w:before="28"/>
              <w:ind w:left="168" w:right="155"/>
              <w:jc w:val="center"/>
              <w:rPr>
                <w:sz w:val="18"/>
              </w:rPr>
            </w:pPr>
            <w:r>
              <w:rPr>
                <w:sz w:val="18"/>
              </w:rPr>
              <w:t>27</w:t>
            </w:r>
          </w:p>
        </w:tc>
        <w:tc>
          <w:tcPr>
            <w:tcW w:w="1288" w:type="dxa"/>
          </w:tcPr>
          <w:p>
            <w:pPr>
              <w:pStyle w:val="TableParagraph"/>
              <w:spacing w:before="28"/>
              <w:ind w:left="18"/>
              <w:jc w:val="center"/>
              <w:rPr>
                <w:sz w:val="18"/>
              </w:rPr>
            </w:pPr>
            <w:r>
              <w:rPr>
                <w:sz w:val="18"/>
              </w:rPr>
              <w:t>0</w:t>
            </w:r>
          </w:p>
        </w:tc>
        <w:tc>
          <w:tcPr>
            <w:tcW w:w="1288" w:type="dxa"/>
          </w:tcPr>
          <w:p>
            <w:pPr>
              <w:pStyle w:val="TableParagraph"/>
              <w:spacing w:before="28"/>
              <w:ind w:left="119" w:right="99"/>
              <w:jc w:val="center"/>
              <w:rPr>
                <w:sz w:val="18"/>
              </w:rPr>
            </w:pPr>
            <w:r>
              <w:rPr>
                <w:sz w:val="18"/>
              </w:rPr>
              <w:t>1, 2</w:t>
            </w:r>
          </w:p>
        </w:tc>
      </w:tr>
      <w:tr>
        <w:trPr>
          <w:trHeight w:val="275" w:hRule="atLeast"/>
        </w:trPr>
        <w:tc>
          <w:tcPr>
            <w:tcW w:w="1286" w:type="dxa"/>
          </w:tcPr>
          <w:p>
            <w:pPr>
              <w:pStyle w:val="TableParagraph"/>
              <w:spacing w:before="28"/>
              <w:ind w:left="170"/>
              <w:rPr>
                <w:sz w:val="18"/>
              </w:rPr>
            </w:pPr>
            <w:r>
              <w:rPr>
                <w:sz w:val="18"/>
              </w:rPr>
              <w:t>Lithuania</w:t>
            </w:r>
          </w:p>
        </w:tc>
        <w:tc>
          <w:tcPr>
            <w:tcW w:w="1288" w:type="dxa"/>
          </w:tcPr>
          <w:p>
            <w:pPr>
              <w:pStyle w:val="TableParagraph"/>
              <w:spacing w:before="28"/>
              <w:ind w:left="114" w:right="102"/>
              <w:jc w:val="center"/>
              <w:rPr>
                <w:sz w:val="18"/>
              </w:rPr>
            </w:pPr>
            <w:r>
              <w:rPr>
                <w:sz w:val="18"/>
              </w:rPr>
              <w:t>352</w:t>
            </w:r>
          </w:p>
        </w:tc>
        <w:tc>
          <w:tcPr>
            <w:tcW w:w="1343" w:type="dxa"/>
          </w:tcPr>
          <w:p>
            <w:pPr>
              <w:pStyle w:val="TableParagraph"/>
              <w:spacing w:before="28"/>
              <w:ind w:left="46" w:right="35"/>
              <w:jc w:val="center"/>
              <w:rPr>
                <w:sz w:val="18"/>
              </w:rPr>
            </w:pPr>
            <w:r>
              <w:rPr>
                <w:sz w:val="18"/>
              </w:rPr>
              <w:t>25</w:t>
            </w:r>
          </w:p>
        </w:tc>
        <w:tc>
          <w:tcPr>
            <w:tcW w:w="1343" w:type="dxa"/>
          </w:tcPr>
          <w:p>
            <w:pPr>
              <w:pStyle w:val="TableParagraph"/>
              <w:spacing w:before="28"/>
              <w:ind w:left="47" w:right="35"/>
              <w:jc w:val="center"/>
              <w:rPr>
                <w:sz w:val="18"/>
              </w:rPr>
            </w:pPr>
            <w:r>
              <w:rPr>
                <w:sz w:val="18"/>
              </w:rPr>
              <w:t>190</w:t>
            </w:r>
          </w:p>
        </w:tc>
        <w:tc>
          <w:tcPr>
            <w:tcW w:w="1173" w:type="dxa"/>
          </w:tcPr>
          <w:p>
            <w:pPr>
              <w:pStyle w:val="TableParagraph"/>
              <w:spacing w:before="28"/>
              <w:ind w:left="168" w:right="153"/>
              <w:jc w:val="center"/>
              <w:rPr>
                <w:sz w:val="18"/>
              </w:rPr>
            </w:pPr>
            <w:r>
              <w:rPr>
                <w:sz w:val="18"/>
              </w:rPr>
              <w:t>36</w:t>
            </w:r>
          </w:p>
        </w:tc>
        <w:tc>
          <w:tcPr>
            <w:tcW w:w="1288" w:type="dxa"/>
          </w:tcPr>
          <w:p>
            <w:pPr>
              <w:pStyle w:val="TableParagraph"/>
              <w:spacing w:before="28"/>
              <w:ind w:left="20"/>
              <w:jc w:val="center"/>
              <w:rPr>
                <w:sz w:val="18"/>
              </w:rPr>
            </w:pPr>
            <w:r>
              <w:rPr>
                <w:sz w:val="18"/>
              </w:rPr>
              <w:t>0</w:t>
            </w:r>
          </w:p>
        </w:tc>
        <w:tc>
          <w:tcPr>
            <w:tcW w:w="1288" w:type="dxa"/>
          </w:tcPr>
          <w:p>
            <w:pPr>
              <w:pStyle w:val="TableParagraph"/>
              <w:spacing w:before="28"/>
              <w:ind w:left="119" w:right="97"/>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Netherlands</w:t>
            </w:r>
          </w:p>
        </w:tc>
        <w:tc>
          <w:tcPr>
            <w:tcW w:w="1288" w:type="dxa"/>
          </w:tcPr>
          <w:p>
            <w:pPr>
              <w:pStyle w:val="TableParagraph"/>
              <w:spacing w:before="28"/>
              <w:ind w:left="111" w:right="102"/>
              <w:jc w:val="center"/>
              <w:rPr>
                <w:sz w:val="18"/>
              </w:rPr>
            </w:pPr>
            <w:r>
              <w:rPr>
                <w:sz w:val="18"/>
              </w:rPr>
              <w:t>279</w:t>
            </w:r>
          </w:p>
        </w:tc>
        <w:tc>
          <w:tcPr>
            <w:tcW w:w="1343" w:type="dxa"/>
          </w:tcPr>
          <w:p>
            <w:pPr>
              <w:pStyle w:val="TableParagraph"/>
              <w:spacing w:before="28"/>
              <w:ind w:left="42" w:right="35"/>
              <w:jc w:val="center"/>
              <w:rPr>
                <w:sz w:val="18"/>
              </w:rPr>
            </w:pPr>
            <w:r>
              <w:rPr>
                <w:sz w:val="18"/>
              </w:rPr>
              <w:t>250</w:t>
            </w:r>
          </w:p>
        </w:tc>
        <w:tc>
          <w:tcPr>
            <w:tcW w:w="1343" w:type="dxa"/>
          </w:tcPr>
          <w:p>
            <w:pPr>
              <w:pStyle w:val="TableParagraph"/>
              <w:spacing w:before="28"/>
              <w:ind w:left="45" w:right="35"/>
              <w:jc w:val="center"/>
              <w:rPr>
                <w:sz w:val="18"/>
              </w:rPr>
            </w:pPr>
            <w:r>
              <w:rPr>
                <w:sz w:val="18"/>
              </w:rPr>
              <w:t>(small)</w:t>
            </w:r>
          </w:p>
        </w:tc>
        <w:tc>
          <w:tcPr>
            <w:tcW w:w="1173" w:type="dxa"/>
          </w:tcPr>
          <w:p>
            <w:pPr>
              <w:pStyle w:val="TableParagraph"/>
              <w:spacing w:before="28"/>
              <w:ind w:left="168" w:right="151"/>
              <w:jc w:val="center"/>
              <w:rPr>
                <w:sz w:val="18"/>
              </w:rPr>
            </w:pPr>
            <w:r>
              <w:rPr>
                <w:sz w:val="18"/>
              </w:rPr>
              <w:t>3.6</w:t>
            </w:r>
          </w:p>
        </w:tc>
        <w:tc>
          <w:tcPr>
            <w:tcW w:w="1288" w:type="dxa"/>
          </w:tcPr>
          <w:p>
            <w:pPr>
              <w:pStyle w:val="TableParagraph"/>
              <w:spacing w:before="28"/>
              <w:ind w:left="20"/>
              <w:jc w:val="center"/>
              <w:rPr>
                <w:sz w:val="18"/>
              </w:rPr>
            </w:pPr>
            <w:r>
              <w:rPr>
                <w:sz w:val="18"/>
              </w:rPr>
              <w:t>0</w:t>
            </w:r>
          </w:p>
        </w:tc>
        <w:tc>
          <w:tcPr>
            <w:tcW w:w="1288" w:type="dxa"/>
          </w:tcPr>
          <w:p>
            <w:pPr>
              <w:pStyle w:val="TableParagraph"/>
              <w:spacing w:before="28"/>
              <w:ind w:left="119" w:right="98"/>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Norway</w:t>
            </w:r>
          </w:p>
        </w:tc>
        <w:tc>
          <w:tcPr>
            <w:tcW w:w="1288" w:type="dxa"/>
          </w:tcPr>
          <w:p>
            <w:pPr>
              <w:pStyle w:val="TableParagraph"/>
              <w:spacing w:before="28"/>
              <w:ind w:left="106" w:right="102"/>
              <w:jc w:val="center"/>
              <w:rPr>
                <w:sz w:val="18"/>
              </w:rPr>
            </w:pPr>
            <w:r>
              <w:rPr>
                <w:sz w:val="18"/>
              </w:rPr>
              <w:t>2370</w:t>
            </w:r>
          </w:p>
        </w:tc>
        <w:tc>
          <w:tcPr>
            <w:tcW w:w="1343" w:type="dxa"/>
          </w:tcPr>
          <w:p>
            <w:pPr>
              <w:pStyle w:val="TableParagraph"/>
              <w:spacing w:before="28"/>
              <w:ind w:left="41" w:right="35"/>
              <w:jc w:val="center"/>
              <w:rPr>
                <w:sz w:val="18"/>
              </w:rPr>
            </w:pPr>
            <w:r>
              <w:rPr>
                <w:sz w:val="18"/>
              </w:rPr>
              <w:t>190</w:t>
            </w:r>
          </w:p>
        </w:tc>
        <w:tc>
          <w:tcPr>
            <w:tcW w:w="1343" w:type="dxa"/>
          </w:tcPr>
          <w:p>
            <w:pPr>
              <w:pStyle w:val="TableParagraph"/>
              <w:spacing w:before="28"/>
              <w:ind w:left="43" w:right="35"/>
              <w:jc w:val="center"/>
              <w:rPr>
                <w:sz w:val="18"/>
              </w:rPr>
            </w:pPr>
            <w:r>
              <w:rPr>
                <w:sz w:val="18"/>
              </w:rPr>
              <w:t>280</w:t>
            </w:r>
          </w:p>
        </w:tc>
        <w:tc>
          <w:tcPr>
            <w:tcW w:w="1173" w:type="dxa"/>
          </w:tcPr>
          <w:p>
            <w:pPr>
              <w:pStyle w:val="TableParagraph"/>
              <w:spacing w:before="28"/>
              <w:ind w:left="168" w:right="153"/>
              <w:jc w:val="center"/>
              <w:rPr>
                <w:sz w:val="18"/>
              </w:rPr>
            </w:pPr>
            <w:r>
              <w:rPr>
                <w:sz w:val="18"/>
              </w:rPr>
              <w:t>2.5</w:t>
            </w:r>
          </w:p>
        </w:tc>
        <w:tc>
          <w:tcPr>
            <w:tcW w:w="1288" w:type="dxa"/>
          </w:tcPr>
          <w:p>
            <w:pPr>
              <w:pStyle w:val="TableParagraph"/>
              <w:spacing w:before="28"/>
              <w:ind w:left="18"/>
              <w:jc w:val="center"/>
              <w:rPr>
                <w:sz w:val="18"/>
              </w:rPr>
            </w:pPr>
            <w:r>
              <w:rPr>
                <w:sz w:val="18"/>
              </w:rPr>
              <w:t>0</w:t>
            </w:r>
          </w:p>
        </w:tc>
        <w:tc>
          <w:tcPr>
            <w:tcW w:w="1288" w:type="dxa"/>
          </w:tcPr>
          <w:p>
            <w:pPr>
              <w:pStyle w:val="TableParagraph"/>
              <w:spacing w:before="28"/>
              <w:ind w:left="119" w:right="99"/>
              <w:jc w:val="center"/>
              <w:rPr>
                <w:sz w:val="18"/>
              </w:rPr>
            </w:pPr>
            <w:r>
              <w:rPr>
                <w:sz w:val="18"/>
              </w:rPr>
              <w:t>1, 2</w:t>
            </w:r>
          </w:p>
        </w:tc>
      </w:tr>
      <w:tr>
        <w:trPr>
          <w:trHeight w:val="275" w:hRule="atLeast"/>
        </w:trPr>
        <w:tc>
          <w:tcPr>
            <w:tcW w:w="1286" w:type="dxa"/>
          </w:tcPr>
          <w:p>
            <w:pPr>
              <w:pStyle w:val="TableParagraph"/>
              <w:spacing w:before="28"/>
              <w:ind w:left="170"/>
              <w:rPr>
                <w:sz w:val="18"/>
              </w:rPr>
            </w:pPr>
            <w:r>
              <w:rPr>
                <w:sz w:val="18"/>
              </w:rPr>
              <w:t>Poland</w:t>
            </w:r>
          </w:p>
        </w:tc>
        <w:tc>
          <w:tcPr>
            <w:tcW w:w="1288" w:type="dxa"/>
          </w:tcPr>
          <w:p>
            <w:pPr>
              <w:pStyle w:val="TableParagraph"/>
              <w:spacing w:before="28"/>
              <w:ind w:left="108" w:right="102"/>
              <w:jc w:val="center"/>
              <w:rPr>
                <w:sz w:val="18"/>
              </w:rPr>
            </w:pPr>
            <w:r>
              <w:rPr>
                <w:sz w:val="18"/>
              </w:rPr>
              <w:t>1255</w:t>
            </w:r>
          </w:p>
        </w:tc>
        <w:tc>
          <w:tcPr>
            <w:tcW w:w="1343" w:type="dxa"/>
          </w:tcPr>
          <w:p>
            <w:pPr>
              <w:pStyle w:val="TableParagraph"/>
              <w:spacing w:before="28"/>
              <w:ind w:left="43" w:right="35"/>
              <w:jc w:val="center"/>
              <w:rPr>
                <w:sz w:val="18"/>
              </w:rPr>
            </w:pPr>
            <w:r>
              <w:rPr>
                <w:sz w:val="18"/>
              </w:rPr>
              <w:t>760</w:t>
            </w:r>
          </w:p>
        </w:tc>
        <w:tc>
          <w:tcPr>
            <w:tcW w:w="1343" w:type="dxa"/>
          </w:tcPr>
          <w:p>
            <w:pPr>
              <w:pStyle w:val="TableParagraph"/>
              <w:spacing w:before="28"/>
              <w:ind w:left="44" w:right="35"/>
              <w:jc w:val="center"/>
              <w:rPr>
                <w:sz w:val="18"/>
              </w:rPr>
            </w:pPr>
            <w:r>
              <w:rPr>
                <w:sz w:val="18"/>
              </w:rPr>
              <w:t>370</w:t>
            </w:r>
          </w:p>
        </w:tc>
        <w:tc>
          <w:tcPr>
            <w:tcW w:w="1173" w:type="dxa"/>
          </w:tcPr>
          <w:p>
            <w:pPr>
              <w:pStyle w:val="TableParagraph"/>
              <w:spacing w:before="28"/>
              <w:ind w:left="168" w:right="153"/>
              <w:jc w:val="center"/>
              <w:rPr>
                <w:sz w:val="18"/>
              </w:rPr>
            </w:pPr>
            <w:r>
              <w:rPr>
                <w:sz w:val="18"/>
              </w:rPr>
              <w:t>2.5</w:t>
            </w:r>
          </w:p>
        </w:tc>
        <w:tc>
          <w:tcPr>
            <w:tcW w:w="1288" w:type="dxa"/>
          </w:tcPr>
          <w:p>
            <w:pPr>
              <w:pStyle w:val="TableParagraph"/>
              <w:spacing w:before="28"/>
              <w:ind w:left="18"/>
              <w:jc w:val="center"/>
              <w:rPr>
                <w:sz w:val="18"/>
              </w:rPr>
            </w:pPr>
            <w:r>
              <w:rPr>
                <w:sz w:val="18"/>
              </w:rPr>
              <w:t>0</w:t>
            </w:r>
          </w:p>
        </w:tc>
        <w:tc>
          <w:tcPr>
            <w:tcW w:w="1288" w:type="dxa"/>
          </w:tcPr>
          <w:p>
            <w:pPr>
              <w:pStyle w:val="TableParagraph"/>
              <w:spacing w:before="28"/>
              <w:ind w:left="119" w:right="99"/>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Slovenia</w:t>
            </w:r>
          </w:p>
        </w:tc>
        <w:tc>
          <w:tcPr>
            <w:tcW w:w="1288" w:type="dxa"/>
          </w:tcPr>
          <w:p>
            <w:pPr>
              <w:pStyle w:val="TableParagraph"/>
              <w:spacing w:before="28"/>
              <w:ind w:left="112" w:right="102"/>
              <w:jc w:val="center"/>
              <w:rPr>
                <w:sz w:val="18"/>
              </w:rPr>
            </w:pPr>
            <w:r>
              <w:rPr>
                <w:sz w:val="18"/>
              </w:rPr>
              <w:t>100</w:t>
            </w:r>
          </w:p>
        </w:tc>
        <w:tc>
          <w:tcPr>
            <w:tcW w:w="1343" w:type="dxa"/>
          </w:tcPr>
          <w:p>
            <w:pPr>
              <w:pStyle w:val="TableParagraph"/>
              <w:spacing w:before="28"/>
              <w:ind w:left="43" w:right="35"/>
              <w:jc w:val="center"/>
              <w:rPr>
                <w:sz w:val="18"/>
              </w:rPr>
            </w:pPr>
            <w:r>
              <w:rPr>
                <w:sz w:val="18"/>
              </w:rPr>
              <w:t>30</w:t>
            </w:r>
          </w:p>
        </w:tc>
        <w:tc>
          <w:tcPr>
            <w:tcW w:w="1343" w:type="dxa"/>
          </w:tcPr>
          <w:p>
            <w:pPr>
              <w:pStyle w:val="TableParagraph"/>
              <w:spacing w:before="28"/>
              <w:ind w:left="8"/>
              <w:jc w:val="center"/>
              <w:rPr>
                <w:sz w:val="18"/>
              </w:rPr>
            </w:pPr>
            <w:r>
              <w:rPr>
                <w:sz w:val="18"/>
              </w:rPr>
              <w:t>0</w:t>
            </w:r>
          </w:p>
        </w:tc>
        <w:tc>
          <w:tcPr>
            <w:tcW w:w="1173" w:type="dxa"/>
          </w:tcPr>
          <w:p>
            <w:pPr>
              <w:pStyle w:val="TableParagraph"/>
              <w:spacing w:before="28"/>
              <w:ind w:left="168" w:right="153"/>
              <w:jc w:val="center"/>
              <w:rPr>
                <w:sz w:val="18"/>
              </w:rPr>
            </w:pPr>
            <w:r>
              <w:rPr>
                <w:sz w:val="18"/>
              </w:rPr>
              <w:t>(small)</w:t>
            </w:r>
          </w:p>
        </w:tc>
        <w:tc>
          <w:tcPr>
            <w:tcW w:w="1288" w:type="dxa"/>
          </w:tcPr>
          <w:p>
            <w:pPr>
              <w:pStyle w:val="TableParagraph"/>
              <w:spacing w:before="28"/>
              <w:ind w:left="20"/>
              <w:jc w:val="center"/>
              <w:rPr>
                <w:sz w:val="18"/>
              </w:rPr>
            </w:pPr>
            <w:r>
              <w:rPr>
                <w:sz w:val="18"/>
              </w:rPr>
              <w:t>0</w:t>
            </w:r>
          </w:p>
        </w:tc>
        <w:tc>
          <w:tcPr>
            <w:tcW w:w="1288" w:type="dxa"/>
          </w:tcPr>
          <w:p>
            <w:pPr>
              <w:pStyle w:val="TableParagraph"/>
              <w:spacing w:before="28"/>
              <w:ind w:left="119" w:right="98"/>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Sweden</w:t>
            </w:r>
          </w:p>
        </w:tc>
        <w:tc>
          <w:tcPr>
            <w:tcW w:w="1288" w:type="dxa"/>
          </w:tcPr>
          <w:p>
            <w:pPr>
              <w:pStyle w:val="TableParagraph"/>
              <w:spacing w:before="28"/>
              <w:ind w:left="108" w:right="102"/>
              <w:jc w:val="center"/>
              <w:rPr>
                <w:sz w:val="18"/>
              </w:rPr>
            </w:pPr>
            <w:r>
              <w:rPr>
                <w:sz w:val="18"/>
              </w:rPr>
              <w:t>10379</w:t>
            </w:r>
          </w:p>
        </w:tc>
        <w:tc>
          <w:tcPr>
            <w:tcW w:w="1343" w:type="dxa"/>
          </w:tcPr>
          <w:p>
            <w:pPr>
              <w:pStyle w:val="TableParagraph"/>
              <w:spacing w:before="28"/>
              <w:ind w:left="43" w:right="35"/>
              <w:jc w:val="center"/>
              <w:rPr>
                <w:sz w:val="18"/>
              </w:rPr>
            </w:pPr>
            <w:r>
              <w:rPr>
                <w:sz w:val="18"/>
              </w:rPr>
              <w:t>300</w:t>
            </w:r>
          </w:p>
        </w:tc>
        <w:tc>
          <w:tcPr>
            <w:tcW w:w="1343" w:type="dxa"/>
          </w:tcPr>
          <w:p>
            <w:pPr>
              <w:pStyle w:val="TableParagraph"/>
              <w:spacing w:before="28"/>
              <w:ind w:left="44" w:right="35"/>
              <w:jc w:val="center"/>
              <w:rPr>
                <w:sz w:val="18"/>
              </w:rPr>
            </w:pPr>
            <w:r>
              <w:rPr>
                <w:sz w:val="18"/>
              </w:rPr>
              <w:t>524</w:t>
            </w:r>
          </w:p>
        </w:tc>
        <w:tc>
          <w:tcPr>
            <w:tcW w:w="1173" w:type="dxa"/>
          </w:tcPr>
          <w:p>
            <w:pPr>
              <w:pStyle w:val="TableParagraph"/>
              <w:spacing w:before="28"/>
              <w:ind w:left="168" w:right="155"/>
              <w:jc w:val="center"/>
              <w:rPr>
                <w:sz w:val="18"/>
              </w:rPr>
            </w:pPr>
            <w:r>
              <w:rPr>
                <w:sz w:val="18"/>
              </w:rPr>
              <w:t>12</w:t>
            </w:r>
          </w:p>
        </w:tc>
        <w:tc>
          <w:tcPr>
            <w:tcW w:w="1288" w:type="dxa"/>
          </w:tcPr>
          <w:p>
            <w:pPr>
              <w:pStyle w:val="TableParagraph"/>
              <w:spacing w:before="28"/>
              <w:ind w:left="18"/>
              <w:jc w:val="center"/>
              <w:rPr>
                <w:sz w:val="18"/>
              </w:rPr>
            </w:pPr>
            <w:r>
              <w:rPr>
                <w:sz w:val="18"/>
              </w:rPr>
              <w:t>0</w:t>
            </w:r>
          </w:p>
        </w:tc>
        <w:tc>
          <w:tcPr>
            <w:tcW w:w="1288" w:type="dxa"/>
          </w:tcPr>
          <w:p>
            <w:pPr>
              <w:pStyle w:val="TableParagraph"/>
              <w:spacing w:before="28"/>
              <w:ind w:left="119" w:right="100"/>
              <w:jc w:val="center"/>
              <w:rPr>
                <w:sz w:val="18"/>
              </w:rPr>
            </w:pPr>
            <w:r>
              <w:rPr>
                <w:sz w:val="18"/>
              </w:rPr>
              <w:t>1, 2</w:t>
            </w:r>
          </w:p>
        </w:tc>
      </w:tr>
      <w:tr>
        <w:trPr>
          <w:trHeight w:val="275" w:hRule="atLeast"/>
        </w:trPr>
        <w:tc>
          <w:tcPr>
            <w:tcW w:w="1286" w:type="dxa"/>
          </w:tcPr>
          <w:p>
            <w:pPr>
              <w:pStyle w:val="TableParagraph"/>
              <w:spacing w:before="28"/>
              <w:ind w:left="170"/>
              <w:rPr>
                <w:sz w:val="18"/>
              </w:rPr>
            </w:pPr>
            <w:r>
              <w:rPr>
                <w:sz w:val="18"/>
              </w:rPr>
              <w:t>Ukraine</w:t>
            </w:r>
          </w:p>
        </w:tc>
        <w:tc>
          <w:tcPr>
            <w:tcW w:w="1288" w:type="dxa"/>
          </w:tcPr>
          <w:p>
            <w:pPr>
              <w:pStyle w:val="TableParagraph"/>
              <w:spacing w:before="28"/>
              <w:ind w:left="108" w:right="102"/>
              <w:jc w:val="center"/>
              <w:rPr>
                <w:sz w:val="18"/>
              </w:rPr>
            </w:pPr>
            <w:r>
              <w:rPr>
                <w:sz w:val="18"/>
              </w:rPr>
              <w:t>1008</w:t>
            </w:r>
          </w:p>
        </w:tc>
        <w:tc>
          <w:tcPr>
            <w:tcW w:w="1343" w:type="dxa"/>
          </w:tcPr>
          <w:p>
            <w:pPr>
              <w:pStyle w:val="TableParagraph"/>
              <w:rPr>
                <w:sz w:val="18"/>
              </w:rPr>
            </w:pPr>
          </w:p>
        </w:tc>
        <w:tc>
          <w:tcPr>
            <w:tcW w:w="1343" w:type="dxa"/>
          </w:tcPr>
          <w:p>
            <w:pPr>
              <w:pStyle w:val="TableParagraph"/>
              <w:rPr>
                <w:sz w:val="18"/>
              </w:rPr>
            </w:pPr>
          </w:p>
        </w:tc>
        <w:tc>
          <w:tcPr>
            <w:tcW w:w="1173" w:type="dxa"/>
          </w:tcPr>
          <w:p>
            <w:pPr>
              <w:pStyle w:val="TableParagraph"/>
              <w:spacing w:before="28"/>
              <w:ind w:left="168" w:right="154"/>
              <w:jc w:val="center"/>
              <w:rPr>
                <w:sz w:val="18"/>
              </w:rPr>
            </w:pPr>
            <w:r>
              <w:rPr>
                <w:sz w:val="18"/>
              </w:rPr>
              <w:t>19</w:t>
            </w:r>
          </w:p>
        </w:tc>
        <w:tc>
          <w:tcPr>
            <w:tcW w:w="1288" w:type="dxa"/>
          </w:tcPr>
          <w:p>
            <w:pPr>
              <w:pStyle w:val="TableParagraph"/>
              <w:spacing w:before="28"/>
              <w:ind w:left="19"/>
              <w:jc w:val="center"/>
              <w:rPr>
                <w:sz w:val="18"/>
              </w:rPr>
            </w:pPr>
            <w:r>
              <w:rPr>
                <w:sz w:val="18"/>
              </w:rPr>
              <w:t>0</w:t>
            </w:r>
          </w:p>
        </w:tc>
        <w:tc>
          <w:tcPr>
            <w:tcW w:w="1288" w:type="dxa"/>
          </w:tcPr>
          <w:p>
            <w:pPr>
              <w:pStyle w:val="TableParagraph"/>
              <w:spacing w:before="28"/>
              <w:ind w:left="119" w:right="98"/>
              <w:jc w:val="center"/>
              <w:rPr>
                <w:sz w:val="18"/>
              </w:rPr>
            </w:pPr>
            <w:r>
              <w:rPr>
                <w:sz w:val="18"/>
              </w:rPr>
              <w:t>1, 2</w:t>
            </w:r>
          </w:p>
        </w:tc>
      </w:tr>
    </w:tbl>
    <w:p>
      <w:pPr>
        <w:spacing w:after="0"/>
        <w:jc w:val="center"/>
        <w:rPr>
          <w:sz w:val="18"/>
        </w:rPr>
        <w:sectPr>
          <w:pgSz w:w="11900" w:h="16840"/>
          <w:pgMar w:header="230" w:footer="408" w:top="560" w:bottom="600" w:left="1260" w:right="1240"/>
        </w:sectPr>
      </w:pPr>
    </w:p>
    <w:p>
      <w:pPr>
        <w:pStyle w:val="BodyText"/>
      </w:pPr>
    </w:p>
    <w:p>
      <w:pPr>
        <w:pStyle w:val="BodyText"/>
      </w:pPr>
    </w:p>
    <w:p>
      <w:pPr>
        <w:pStyle w:val="BodyText"/>
      </w:pPr>
    </w:p>
    <w:p>
      <w:pPr>
        <w:pStyle w:val="BodyText"/>
      </w:pPr>
    </w:p>
    <w:p>
      <w:pPr>
        <w:pStyle w:val="BodyText"/>
        <w:spacing w:before="11"/>
        <w:rPr>
          <w:sz w:val="10"/>
        </w:rPr>
      </w:pPr>
    </w:p>
    <w:tbl>
      <w:tblPr>
        <w:tblW w:w="0" w:type="auto"/>
        <w:jc w:val="left"/>
        <w:tblInd w:w="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86"/>
        <w:gridCol w:w="1288"/>
        <w:gridCol w:w="1343"/>
        <w:gridCol w:w="1343"/>
        <w:gridCol w:w="1173"/>
        <w:gridCol w:w="1288"/>
        <w:gridCol w:w="1288"/>
      </w:tblGrid>
      <w:tr>
        <w:trPr>
          <w:trHeight w:val="534" w:hRule="atLeast"/>
        </w:trPr>
        <w:tc>
          <w:tcPr>
            <w:tcW w:w="9009" w:type="dxa"/>
            <w:gridSpan w:val="7"/>
            <w:tcBorders>
              <w:bottom w:val="double" w:sz="1" w:space="0" w:color="000000"/>
            </w:tcBorders>
          </w:tcPr>
          <w:p>
            <w:pPr>
              <w:pStyle w:val="TableParagraph"/>
              <w:spacing w:before="59"/>
              <w:ind w:left="1834" w:right="1798"/>
              <w:jc w:val="center"/>
              <w:rPr>
                <w:b/>
                <w:sz w:val="18"/>
              </w:rPr>
            </w:pPr>
            <w:r>
              <w:rPr>
                <w:b/>
                <w:sz w:val="18"/>
              </w:rPr>
              <w:t>T</w:t>
            </w:r>
            <w:r>
              <w:rPr>
                <w:b/>
                <w:sz w:val="14"/>
              </w:rPr>
              <w:t>ABLE </w:t>
            </w:r>
            <w:r>
              <w:rPr>
                <w:b/>
                <w:sz w:val="18"/>
              </w:rPr>
              <w:t>3</w:t>
            </w:r>
            <w:r>
              <w:rPr>
                <w:b/>
                <w:sz w:val="14"/>
              </w:rPr>
              <w:t>A</w:t>
            </w:r>
            <w:r>
              <w:rPr>
                <w:b/>
                <w:sz w:val="18"/>
              </w:rPr>
              <w:t>.3.3 (C</w:t>
            </w:r>
            <w:r>
              <w:rPr>
                <w:b/>
                <w:sz w:val="14"/>
              </w:rPr>
              <w:t>ONTINUED</w:t>
            </w:r>
            <w:r>
              <w:rPr>
                <w:b/>
                <w:sz w:val="18"/>
              </w:rPr>
              <w:t>)</w:t>
            </w:r>
          </w:p>
          <w:p>
            <w:pPr>
              <w:pStyle w:val="TableParagraph"/>
              <w:spacing w:before="2"/>
              <w:ind w:left="1834" w:right="1797"/>
              <w:jc w:val="center"/>
              <w:rPr>
                <w:b/>
                <w:sz w:val="14"/>
              </w:rPr>
            </w:pPr>
            <w:r>
              <w:rPr>
                <w:b/>
                <w:sz w:val="18"/>
              </w:rPr>
              <w:t>E</w:t>
            </w:r>
            <w:r>
              <w:rPr>
                <w:b/>
                <w:sz w:val="14"/>
              </w:rPr>
              <w:t>STIMATES OF PEATLAND AREAS AND USE FOR </w:t>
            </w:r>
            <w:r>
              <w:rPr>
                <w:b/>
                <w:sz w:val="18"/>
              </w:rPr>
              <w:t>T</w:t>
            </w:r>
            <w:r>
              <w:rPr>
                <w:b/>
                <w:sz w:val="14"/>
              </w:rPr>
              <w:t>IER </w:t>
            </w:r>
            <w:r>
              <w:rPr>
                <w:b/>
                <w:sz w:val="18"/>
              </w:rPr>
              <w:t>1 </w:t>
            </w:r>
            <w:r>
              <w:rPr>
                <w:b/>
                <w:sz w:val="14"/>
              </w:rPr>
              <w:t>IN </w:t>
            </w:r>
            <w:r>
              <w:rPr>
                <w:b/>
                <w:sz w:val="18"/>
              </w:rPr>
              <w:t>1000 </w:t>
            </w:r>
            <w:r>
              <w:rPr>
                <w:b/>
                <w:sz w:val="14"/>
              </w:rPr>
              <w:t>HECTARES</w:t>
            </w:r>
          </w:p>
        </w:tc>
      </w:tr>
      <w:tr>
        <w:trPr>
          <w:trHeight w:val="1153" w:hRule="atLeast"/>
        </w:trPr>
        <w:tc>
          <w:tcPr>
            <w:tcW w:w="1286" w:type="dxa"/>
            <w:tcBorders>
              <w:top w:val="double" w:sz="1" w:space="0" w:color="000000"/>
            </w:tcBorders>
          </w:tcPr>
          <w:p>
            <w:pPr>
              <w:pStyle w:val="TableParagraph"/>
              <w:rPr>
                <w:sz w:val="20"/>
              </w:rPr>
            </w:pPr>
          </w:p>
          <w:p>
            <w:pPr>
              <w:pStyle w:val="TableParagraph"/>
              <w:spacing w:before="141"/>
              <w:ind w:left="54" w:right="337"/>
              <w:rPr>
                <w:b/>
                <w:sz w:val="18"/>
              </w:rPr>
            </w:pPr>
            <w:r>
              <w:rPr>
                <w:b/>
                <w:sz w:val="18"/>
              </w:rPr>
              <w:t>Country or region</w:t>
            </w:r>
          </w:p>
        </w:tc>
        <w:tc>
          <w:tcPr>
            <w:tcW w:w="1288" w:type="dxa"/>
            <w:tcBorders>
              <w:top w:val="double" w:sz="1" w:space="0" w:color="000000"/>
            </w:tcBorders>
          </w:tcPr>
          <w:p>
            <w:pPr>
              <w:pStyle w:val="TableParagraph"/>
              <w:spacing w:before="61"/>
              <w:ind w:left="74" w:right="63" w:hanging="2"/>
              <w:jc w:val="center"/>
              <w:rPr>
                <w:b/>
                <w:sz w:val="18"/>
              </w:rPr>
            </w:pPr>
            <w:r>
              <w:rPr>
                <w:b/>
                <w:sz w:val="18"/>
              </w:rPr>
              <w:t>Peatland area total  (Unmanaged + managed)</w:t>
            </w:r>
          </w:p>
          <w:p>
            <w:pPr>
              <w:pStyle w:val="TableParagraph"/>
              <w:spacing w:line="184" w:lineRule="exact" w:before="61"/>
              <w:ind w:left="111" w:right="102"/>
              <w:jc w:val="center"/>
              <w:rPr>
                <w:b/>
                <w:sz w:val="18"/>
              </w:rPr>
            </w:pPr>
            <w:r>
              <w:rPr>
                <w:b/>
                <w:sz w:val="18"/>
              </w:rPr>
              <w:t>1000 ha</w:t>
            </w:r>
          </w:p>
        </w:tc>
        <w:tc>
          <w:tcPr>
            <w:tcW w:w="1343" w:type="dxa"/>
            <w:tcBorders>
              <w:top w:val="double" w:sz="1" w:space="0" w:color="000000"/>
            </w:tcBorders>
          </w:tcPr>
          <w:p>
            <w:pPr>
              <w:pStyle w:val="TableParagraph"/>
              <w:spacing w:before="61"/>
              <w:ind w:left="197" w:right="188" w:firstLine="2"/>
              <w:jc w:val="center"/>
              <w:rPr>
                <w:b/>
                <w:sz w:val="18"/>
              </w:rPr>
            </w:pPr>
            <w:r>
              <w:rPr>
                <w:b/>
                <w:sz w:val="18"/>
              </w:rPr>
              <w:t>Agriculture, drained (Cropland + grassland)</w:t>
            </w:r>
          </w:p>
          <w:p>
            <w:pPr>
              <w:pStyle w:val="TableParagraph"/>
              <w:spacing w:line="184" w:lineRule="exact" w:before="61"/>
              <w:ind w:left="44" w:right="35"/>
              <w:jc w:val="center"/>
              <w:rPr>
                <w:b/>
                <w:sz w:val="18"/>
              </w:rPr>
            </w:pPr>
            <w:r>
              <w:rPr>
                <w:b/>
                <w:sz w:val="18"/>
              </w:rPr>
              <w:t>1000 ha</w:t>
            </w:r>
          </w:p>
        </w:tc>
        <w:tc>
          <w:tcPr>
            <w:tcW w:w="1343" w:type="dxa"/>
            <w:tcBorders>
              <w:top w:val="double" w:sz="1" w:space="0" w:color="000000"/>
            </w:tcBorders>
          </w:tcPr>
          <w:p>
            <w:pPr>
              <w:pStyle w:val="TableParagraph"/>
              <w:spacing w:before="102"/>
              <w:ind w:left="47" w:right="35"/>
              <w:jc w:val="center"/>
              <w:rPr>
                <w:b/>
                <w:sz w:val="18"/>
              </w:rPr>
            </w:pPr>
            <w:r>
              <w:rPr>
                <w:b/>
                <w:sz w:val="18"/>
              </w:rPr>
              <w:t>Managed</w:t>
            </w:r>
            <w:r>
              <w:rPr>
                <w:b/>
                <w:spacing w:val="-10"/>
                <w:sz w:val="18"/>
              </w:rPr>
              <w:t> </w:t>
            </w:r>
            <w:r>
              <w:rPr>
                <w:b/>
                <w:sz w:val="18"/>
              </w:rPr>
              <w:t>forest, drained</w:t>
            </w:r>
          </w:p>
          <w:p>
            <w:pPr>
              <w:pStyle w:val="TableParagraph"/>
              <w:rPr>
                <w:sz w:val="20"/>
              </w:rPr>
            </w:pPr>
          </w:p>
          <w:p>
            <w:pPr>
              <w:pStyle w:val="TableParagraph"/>
              <w:spacing w:before="156"/>
              <w:ind w:left="46" w:right="35"/>
              <w:jc w:val="center"/>
              <w:rPr>
                <w:b/>
                <w:sz w:val="18"/>
              </w:rPr>
            </w:pPr>
            <w:r>
              <w:rPr>
                <w:b/>
                <w:sz w:val="18"/>
              </w:rPr>
              <w:t>1000</w:t>
            </w:r>
            <w:r>
              <w:rPr>
                <w:b/>
                <w:spacing w:val="-1"/>
                <w:sz w:val="18"/>
              </w:rPr>
              <w:t> </w:t>
            </w:r>
            <w:r>
              <w:rPr>
                <w:b/>
                <w:sz w:val="18"/>
              </w:rPr>
              <w:t>ha</w:t>
            </w:r>
          </w:p>
        </w:tc>
        <w:tc>
          <w:tcPr>
            <w:tcW w:w="1173" w:type="dxa"/>
            <w:tcBorders>
              <w:top w:val="double" w:sz="1" w:space="0" w:color="000000"/>
            </w:tcBorders>
          </w:tcPr>
          <w:p>
            <w:pPr>
              <w:pStyle w:val="TableParagraph"/>
              <w:spacing w:before="61"/>
              <w:ind w:left="168" w:right="150"/>
              <w:jc w:val="center"/>
              <w:rPr>
                <w:b/>
                <w:sz w:val="18"/>
              </w:rPr>
            </w:pPr>
            <w:r>
              <w:rPr>
                <w:b/>
                <w:sz w:val="18"/>
              </w:rPr>
              <w:t>Peat extraction (Industrial peatlands)</w:t>
            </w:r>
          </w:p>
          <w:p>
            <w:pPr>
              <w:pStyle w:val="TableParagraph"/>
              <w:spacing w:line="184" w:lineRule="exact" w:before="61"/>
              <w:ind w:left="168" w:right="154"/>
              <w:jc w:val="center"/>
              <w:rPr>
                <w:b/>
                <w:sz w:val="18"/>
              </w:rPr>
            </w:pPr>
            <w:r>
              <w:rPr>
                <w:b/>
                <w:sz w:val="18"/>
              </w:rPr>
              <w:t>1000 ha </w:t>
            </w:r>
            <w:r>
              <w:rPr>
                <w:b/>
                <w:sz w:val="18"/>
                <w:vertAlign w:val="superscript"/>
              </w:rPr>
              <w:t>a</w:t>
            </w:r>
          </w:p>
        </w:tc>
        <w:tc>
          <w:tcPr>
            <w:tcW w:w="1288" w:type="dxa"/>
            <w:tcBorders>
              <w:top w:val="double" w:sz="1" w:space="0" w:color="000000"/>
            </w:tcBorders>
          </w:tcPr>
          <w:p>
            <w:pPr>
              <w:pStyle w:val="TableParagraph"/>
              <w:rPr>
                <w:sz w:val="22"/>
              </w:rPr>
            </w:pPr>
          </w:p>
          <w:p>
            <w:pPr>
              <w:pStyle w:val="TableParagraph"/>
              <w:spacing w:before="3"/>
              <w:rPr>
                <w:sz w:val="19"/>
              </w:rPr>
            </w:pPr>
          </w:p>
          <w:p>
            <w:pPr>
              <w:pStyle w:val="TableParagraph"/>
              <w:ind w:left="119" w:right="102"/>
              <w:jc w:val="center"/>
              <w:rPr>
                <w:b/>
                <w:sz w:val="18"/>
              </w:rPr>
            </w:pPr>
            <w:r>
              <w:rPr>
                <w:b/>
                <w:sz w:val="18"/>
              </w:rPr>
              <w:t>% in tropics</w:t>
            </w:r>
            <w:r>
              <w:rPr>
                <w:b/>
                <w:sz w:val="18"/>
                <w:vertAlign w:val="superscript"/>
              </w:rPr>
              <w:t>b</w:t>
            </w:r>
          </w:p>
        </w:tc>
        <w:tc>
          <w:tcPr>
            <w:tcW w:w="1288" w:type="dxa"/>
            <w:tcBorders>
              <w:top w:val="double" w:sz="1" w:space="0" w:color="000000"/>
            </w:tcBorders>
          </w:tcPr>
          <w:p>
            <w:pPr>
              <w:pStyle w:val="TableParagraph"/>
              <w:rPr>
                <w:sz w:val="20"/>
              </w:rPr>
            </w:pPr>
          </w:p>
          <w:p>
            <w:pPr>
              <w:pStyle w:val="TableParagraph"/>
              <w:spacing w:before="3"/>
              <w:rPr>
                <w:sz w:val="21"/>
              </w:rPr>
            </w:pPr>
          </w:p>
          <w:p>
            <w:pPr>
              <w:pStyle w:val="TableParagraph"/>
              <w:ind w:left="119" w:right="97"/>
              <w:jc w:val="center"/>
              <w:rPr>
                <w:b/>
                <w:sz w:val="18"/>
              </w:rPr>
            </w:pPr>
            <w:r>
              <w:rPr>
                <w:b/>
                <w:sz w:val="18"/>
              </w:rPr>
              <w:t>Reference</w:t>
            </w:r>
          </w:p>
        </w:tc>
      </w:tr>
      <w:tr>
        <w:trPr>
          <w:trHeight w:val="621" w:hRule="atLeast"/>
        </w:trPr>
        <w:tc>
          <w:tcPr>
            <w:tcW w:w="1286" w:type="dxa"/>
          </w:tcPr>
          <w:p>
            <w:pPr>
              <w:pStyle w:val="TableParagraph"/>
              <w:spacing w:before="10"/>
              <w:rPr>
                <w:sz w:val="17"/>
              </w:rPr>
            </w:pPr>
          </w:p>
          <w:p>
            <w:pPr>
              <w:pStyle w:val="TableParagraph"/>
              <w:ind w:left="54"/>
              <w:rPr>
                <w:b/>
                <w:sz w:val="18"/>
              </w:rPr>
            </w:pPr>
            <w:r>
              <w:rPr>
                <w:b/>
                <w:sz w:val="18"/>
              </w:rPr>
              <w:t>Asia</w:t>
            </w:r>
          </w:p>
        </w:tc>
        <w:tc>
          <w:tcPr>
            <w:tcW w:w="1288" w:type="dxa"/>
          </w:tcPr>
          <w:p>
            <w:pPr>
              <w:pStyle w:val="TableParagraph"/>
              <w:spacing w:before="10"/>
              <w:rPr>
                <w:sz w:val="17"/>
              </w:rPr>
            </w:pPr>
          </w:p>
          <w:p>
            <w:pPr>
              <w:pStyle w:val="TableParagraph"/>
              <w:ind w:left="108" w:right="102"/>
              <w:jc w:val="center"/>
              <w:rPr>
                <w:b/>
                <w:sz w:val="18"/>
              </w:rPr>
            </w:pPr>
            <w:r>
              <w:rPr>
                <w:b/>
                <w:sz w:val="18"/>
              </w:rPr>
              <w:t>24446</w:t>
            </w:r>
          </w:p>
        </w:tc>
        <w:tc>
          <w:tcPr>
            <w:tcW w:w="2686" w:type="dxa"/>
            <w:gridSpan w:val="2"/>
          </w:tcPr>
          <w:p>
            <w:pPr>
              <w:pStyle w:val="TableParagraph"/>
              <w:ind w:left="214" w:right="200"/>
              <w:jc w:val="center"/>
              <w:rPr>
                <w:b/>
                <w:sz w:val="18"/>
              </w:rPr>
            </w:pPr>
            <w:r>
              <w:rPr>
                <w:b/>
                <w:sz w:val="18"/>
              </w:rPr>
              <w:t>(27% of wetlands drained for agriculture and forestry,</w:t>
            </w:r>
          </w:p>
          <w:p>
            <w:pPr>
              <w:pStyle w:val="TableParagraph"/>
              <w:spacing w:line="186" w:lineRule="exact" w:before="1"/>
              <w:ind w:left="209" w:right="200"/>
              <w:jc w:val="center"/>
              <w:rPr>
                <w:b/>
                <w:sz w:val="18"/>
              </w:rPr>
            </w:pPr>
            <w:r>
              <w:rPr>
                <w:b/>
                <w:sz w:val="18"/>
              </w:rPr>
              <w:t>increasing)</w:t>
            </w:r>
          </w:p>
        </w:tc>
        <w:tc>
          <w:tcPr>
            <w:tcW w:w="1173" w:type="dxa"/>
          </w:tcPr>
          <w:p>
            <w:pPr>
              <w:pStyle w:val="TableParagraph"/>
              <w:rPr>
                <w:sz w:val="16"/>
              </w:rPr>
            </w:pPr>
          </w:p>
        </w:tc>
        <w:tc>
          <w:tcPr>
            <w:tcW w:w="1288" w:type="dxa"/>
          </w:tcPr>
          <w:p>
            <w:pPr>
              <w:pStyle w:val="TableParagraph"/>
              <w:rPr>
                <w:sz w:val="16"/>
              </w:rPr>
            </w:pPr>
          </w:p>
        </w:tc>
        <w:tc>
          <w:tcPr>
            <w:tcW w:w="1288" w:type="dxa"/>
          </w:tcPr>
          <w:p>
            <w:pPr>
              <w:pStyle w:val="TableParagraph"/>
              <w:spacing w:before="10"/>
              <w:rPr>
                <w:sz w:val="17"/>
              </w:rPr>
            </w:pPr>
          </w:p>
          <w:p>
            <w:pPr>
              <w:pStyle w:val="TableParagraph"/>
              <w:ind w:left="119" w:right="101"/>
              <w:jc w:val="center"/>
              <w:rPr>
                <w:b/>
                <w:sz w:val="18"/>
              </w:rPr>
            </w:pPr>
            <w:r>
              <w:rPr>
                <w:b/>
                <w:sz w:val="18"/>
              </w:rPr>
              <w:t>4b, 9</w:t>
            </w:r>
          </w:p>
        </w:tc>
      </w:tr>
      <w:tr>
        <w:trPr>
          <w:trHeight w:val="273" w:hRule="atLeast"/>
        </w:trPr>
        <w:tc>
          <w:tcPr>
            <w:tcW w:w="1286" w:type="dxa"/>
          </w:tcPr>
          <w:p>
            <w:pPr>
              <w:pStyle w:val="TableParagraph"/>
              <w:spacing w:before="28"/>
              <w:ind w:left="170"/>
              <w:rPr>
                <w:sz w:val="18"/>
              </w:rPr>
            </w:pPr>
            <w:r>
              <w:rPr>
                <w:sz w:val="18"/>
              </w:rPr>
              <w:t>Burma</w:t>
            </w:r>
          </w:p>
        </w:tc>
        <w:tc>
          <w:tcPr>
            <w:tcW w:w="1288" w:type="dxa"/>
          </w:tcPr>
          <w:p>
            <w:pPr>
              <w:pStyle w:val="TableParagraph"/>
              <w:spacing w:before="28"/>
              <w:ind w:left="110" w:right="102"/>
              <w:jc w:val="center"/>
              <w:rPr>
                <w:sz w:val="18"/>
              </w:rPr>
            </w:pPr>
            <w:r>
              <w:rPr>
                <w:sz w:val="18"/>
              </w:rPr>
              <w:t>965</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21"/>
              <w:jc w:val="center"/>
              <w:rPr>
                <w:sz w:val="18"/>
              </w:rPr>
            </w:pPr>
            <w:r>
              <w:rPr>
                <w:sz w:val="18"/>
              </w:rPr>
              <w:t>4</w:t>
            </w:r>
          </w:p>
        </w:tc>
      </w:tr>
      <w:tr>
        <w:trPr>
          <w:trHeight w:val="275" w:hRule="atLeast"/>
        </w:trPr>
        <w:tc>
          <w:tcPr>
            <w:tcW w:w="1286" w:type="dxa"/>
          </w:tcPr>
          <w:p>
            <w:pPr>
              <w:pStyle w:val="TableParagraph"/>
              <w:spacing w:before="28"/>
              <w:ind w:left="170"/>
              <w:rPr>
                <w:sz w:val="18"/>
              </w:rPr>
            </w:pPr>
            <w:r>
              <w:rPr>
                <w:sz w:val="18"/>
              </w:rPr>
              <w:t>China</w:t>
            </w:r>
          </w:p>
        </w:tc>
        <w:tc>
          <w:tcPr>
            <w:tcW w:w="1288" w:type="dxa"/>
          </w:tcPr>
          <w:p>
            <w:pPr>
              <w:pStyle w:val="TableParagraph"/>
              <w:spacing w:before="28"/>
              <w:ind w:left="112" w:right="102"/>
              <w:jc w:val="center"/>
              <w:rPr>
                <w:sz w:val="18"/>
              </w:rPr>
            </w:pPr>
            <w:r>
              <w:rPr>
                <w:sz w:val="18"/>
              </w:rPr>
              <w:t>1044-3480</w:t>
            </w:r>
          </w:p>
        </w:tc>
        <w:tc>
          <w:tcPr>
            <w:tcW w:w="1343" w:type="dxa"/>
          </w:tcPr>
          <w:p>
            <w:pPr>
              <w:pStyle w:val="TableParagraph"/>
              <w:spacing w:before="28"/>
              <w:ind w:left="44" w:right="35"/>
              <w:jc w:val="center"/>
              <w:rPr>
                <w:sz w:val="18"/>
              </w:rPr>
            </w:pPr>
            <w:r>
              <w:rPr>
                <w:sz w:val="18"/>
              </w:rPr>
              <w:t>135</w:t>
            </w:r>
          </w:p>
        </w:tc>
        <w:tc>
          <w:tcPr>
            <w:tcW w:w="1343" w:type="dxa"/>
          </w:tcPr>
          <w:p>
            <w:pPr>
              <w:pStyle w:val="TableParagraph"/>
              <w:rPr>
                <w:sz w:val="16"/>
              </w:rPr>
            </w:pPr>
          </w:p>
        </w:tc>
        <w:tc>
          <w:tcPr>
            <w:tcW w:w="1173" w:type="dxa"/>
          </w:tcPr>
          <w:p>
            <w:pPr>
              <w:pStyle w:val="TableParagraph"/>
              <w:spacing w:before="28"/>
              <w:ind w:left="168" w:right="154"/>
              <w:jc w:val="center"/>
              <w:rPr>
                <w:sz w:val="18"/>
              </w:rPr>
            </w:pPr>
            <w:r>
              <w:rPr>
                <w:sz w:val="18"/>
              </w:rPr>
              <w:t>104</w:t>
            </w:r>
          </w:p>
        </w:tc>
        <w:tc>
          <w:tcPr>
            <w:tcW w:w="1288" w:type="dxa"/>
          </w:tcPr>
          <w:p>
            <w:pPr>
              <w:pStyle w:val="TableParagraph"/>
              <w:spacing w:before="28"/>
              <w:ind w:left="119" w:right="99"/>
              <w:jc w:val="center"/>
              <w:rPr>
                <w:sz w:val="18"/>
              </w:rPr>
            </w:pPr>
            <w:r>
              <w:rPr>
                <w:sz w:val="18"/>
              </w:rPr>
              <w:t>30</w:t>
            </w:r>
          </w:p>
        </w:tc>
        <w:tc>
          <w:tcPr>
            <w:tcW w:w="1288" w:type="dxa"/>
          </w:tcPr>
          <w:p>
            <w:pPr>
              <w:pStyle w:val="TableParagraph"/>
              <w:spacing w:before="28"/>
              <w:ind w:left="119" w:right="100"/>
              <w:jc w:val="center"/>
              <w:rPr>
                <w:sz w:val="18"/>
              </w:rPr>
            </w:pPr>
            <w:r>
              <w:rPr>
                <w:sz w:val="18"/>
              </w:rPr>
              <w:t>4b, 5</w:t>
            </w:r>
          </w:p>
        </w:tc>
      </w:tr>
      <w:tr>
        <w:trPr>
          <w:trHeight w:val="273" w:hRule="atLeast"/>
        </w:trPr>
        <w:tc>
          <w:tcPr>
            <w:tcW w:w="1286" w:type="dxa"/>
          </w:tcPr>
          <w:p>
            <w:pPr>
              <w:pStyle w:val="TableParagraph"/>
              <w:spacing w:before="28"/>
              <w:ind w:left="170"/>
              <w:rPr>
                <w:sz w:val="18"/>
              </w:rPr>
            </w:pPr>
            <w:r>
              <w:rPr>
                <w:sz w:val="18"/>
              </w:rPr>
              <w:t>Indonesia</w:t>
            </w:r>
          </w:p>
        </w:tc>
        <w:tc>
          <w:tcPr>
            <w:tcW w:w="1288" w:type="dxa"/>
          </w:tcPr>
          <w:p>
            <w:pPr>
              <w:pStyle w:val="TableParagraph"/>
              <w:spacing w:before="28"/>
              <w:ind w:left="106" w:right="102"/>
              <w:jc w:val="center"/>
              <w:rPr>
                <w:sz w:val="18"/>
              </w:rPr>
            </w:pPr>
            <w:r>
              <w:rPr>
                <w:sz w:val="18"/>
              </w:rPr>
              <w:t>17000-27000</w:t>
            </w:r>
          </w:p>
        </w:tc>
        <w:tc>
          <w:tcPr>
            <w:tcW w:w="1343" w:type="dxa"/>
          </w:tcPr>
          <w:p>
            <w:pPr>
              <w:pStyle w:val="TableParagraph"/>
              <w:spacing w:before="28"/>
              <w:ind w:left="41" w:right="35"/>
              <w:jc w:val="center"/>
              <w:rPr>
                <w:sz w:val="18"/>
              </w:rPr>
            </w:pPr>
            <w:r>
              <w:rPr>
                <w:sz w:val="18"/>
              </w:rPr>
              <w:t>400</w:t>
            </w:r>
          </w:p>
        </w:tc>
        <w:tc>
          <w:tcPr>
            <w:tcW w:w="1343" w:type="dxa"/>
          </w:tcPr>
          <w:p>
            <w:pPr>
              <w:pStyle w:val="TableParagraph"/>
              <w:rPr>
                <w:sz w:val="16"/>
              </w:rPr>
            </w:pPr>
          </w:p>
        </w:tc>
        <w:tc>
          <w:tcPr>
            <w:tcW w:w="1173" w:type="dxa"/>
          </w:tcPr>
          <w:p>
            <w:pPr>
              <w:pStyle w:val="TableParagraph"/>
              <w:spacing w:before="28"/>
              <w:ind w:left="71"/>
              <w:rPr>
                <w:sz w:val="18"/>
              </w:rPr>
            </w:pPr>
            <w:r>
              <w:rPr>
                <w:sz w:val="18"/>
              </w:rPr>
              <w:t>3.6 (fuel only)</w:t>
            </w:r>
          </w:p>
        </w:tc>
        <w:tc>
          <w:tcPr>
            <w:tcW w:w="1288" w:type="dxa"/>
          </w:tcPr>
          <w:p>
            <w:pPr>
              <w:pStyle w:val="TableParagraph"/>
              <w:spacing w:before="28"/>
              <w:ind w:left="119" w:right="98"/>
              <w:jc w:val="center"/>
              <w:rPr>
                <w:sz w:val="18"/>
              </w:rPr>
            </w:pPr>
            <w:r>
              <w:rPr>
                <w:sz w:val="18"/>
              </w:rPr>
              <w:t>100</w:t>
            </w:r>
          </w:p>
        </w:tc>
        <w:tc>
          <w:tcPr>
            <w:tcW w:w="1288" w:type="dxa"/>
          </w:tcPr>
          <w:p>
            <w:pPr>
              <w:pStyle w:val="TableParagraph"/>
              <w:spacing w:before="28"/>
              <w:ind w:left="21"/>
              <w:jc w:val="center"/>
              <w:rPr>
                <w:sz w:val="18"/>
              </w:rPr>
            </w:pPr>
            <w:r>
              <w:rPr>
                <w:sz w:val="18"/>
              </w:rPr>
              <w:t>4</w:t>
            </w:r>
          </w:p>
        </w:tc>
      </w:tr>
      <w:tr>
        <w:trPr>
          <w:trHeight w:val="273" w:hRule="atLeast"/>
        </w:trPr>
        <w:tc>
          <w:tcPr>
            <w:tcW w:w="1286" w:type="dxa"/>
          </w:tcPr>
          <w:p>
            <w:pPr>
              <w:pStyle w:val="TableParagraph"/>
              <w:spacing w:before="28"/>
              <w:ind w:left="170"/>
              <w:rPr>
                <w:sz w:val="18"/>
              </w:rPr>
            </w:pPr>
            <w:r>
              <w:rPr>
                <w:sz w:val="18"/>
              </w:rPr>
              <w:t>Iraq</w:t>
            </w:r>
          </w:p>
        </w:tc>
        <w:tc>
          <w:tcPr>
            <w:tcW w:w="1288" w:type="dxa"/>
          </w:tcPr>
          <w:p>
            <w:pPr>
              <w:pStyle w:val="TableParagraph"/>
              <w:spacing w:before="28"/>
              <w:ind w:left="107" w:right="102"/>
              <w:jc w:val="center"/>
              <w:rPr>
                <w:sz w:val="18"/>
              </w:rPr>
            </w:pPr>
            <w:r>
              <w:rPr>
                <w:sz w:val="18"/>
              </w:rPr>
              <w:t>1790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20"/>
              <w:jc w:val="center"/>
              <w:rPr>
                <w:sz w:val="18"/>
              </w:rPr>
            </w:pPr>
            <w:r>
              <w:rPr>
                <w:sz w:val="18"/>
              </w:rPr>
              <w:t>4</w:t>
            </w:r>
          </w:p>
        </w:tc>
      </w:tr>
      <w:tr>
        <w:trPr>
          <w:trHeight w:val="275" w:hRule="atLeast"/>
        </w:trPr>
        <w:tc>
          <w:tcPr>
            <w:tcW w:w="1286" w:type="dxa"/>
          </w:tcPr>
          <w:p>
            <w:pPr>
              <w:pStyle w:val="TableParagraph"/>
              <w:spacing w:before="28"/>
              <w:ind w:left="170"/>
              <w:rPr>
                <w:sz w:val="18"/>
              </w:rPr>
            </w:pPr>
            <w:r>
              <w:rPr>
                <w:sz w:val="18"/>
              </w:rPr>
              <w:t>Japan</w:t>
            </w:r>
          </w:p>
        </w:tc>
        <w:tc>
          <w:tcPr>
            <w:tcW w:w="1288" w:type="dxa"/>
          </w:tcPr>
          <w:p>
            <w:pPr>
              <w:pStyle w:val="TableParagraph"/>
              <w:spacing w:before="28"/>
              <w:ind w:left="110" w:right="102"/>
              <w:jc w:val="center"/>
              <w:rPr>
                <w:sz w:val="18"/>
              </w:rPr>
            </w:pPr>
            <w:r>
              <w:rPr>
                <w:sz w:val="18"/>
              </w:rPr>
              <w:t>201</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8"/>
              <w:jc w:val="center"/>
              <w:rPr>
                <w:sz w:val="18"/>
              </w:rPr>
            </w:pPr>
            <w:r>
              <w:rPr>
                <w:sz w:val="18"/>
              </w:rPr>
              <w:t>0</w:t>
            </w:r>
          </w:p>
        </w:tc>
        <w:tc>
          <w:tcPr>
            <w:tcW w:w="1288" w:type="dxa"/>
          </w:tcPr>
          <w:p>
            <w:pPr>
              <w:pStyle w:val="TableParagraph"/>
              <w:spacing w:before="28"/>
              <w:ind w:left="119" w:right="101"/>
              <w:jc w:val="center"/>
              <w:rPr>
                <w:sz w:val="18"/>
              </w:rPr>
            </w:pPr>
            <w:r>
              <w:rPr>
                <w:sz w:val="18"/>
              </w:rPr>
              <w:t>4b, 6</w:t>
            </w:r>
          </w:p>
        </w:tc>
      </w:tr>
      <w:tr>
        <w:trPr>
          <w:trHeight w:val="273" w:hRule="atLeast"/>
        </w:trPr>
        <w:tc>
          <w:tcPr>
            <w:tcW w:w="1286" w:type="dxa"/>
          </w:tcPr>
          <w:p>
            <w:pPr>
              <w:pStyle w:val="TableParagraph"/>
              <w:spacing w:before="28"/>
              <w:ind w:left="170"/>
              <w:rPr>
                <w:sz w:val="18"/>
              </w:rPr>
            </w:pPr>
            <w:r>
              <w:rPr>
                <w:sz w:val="18"/>
              </w:rPr>
              <w:t>Malaysia</w:t>
            </w:r>
          </w:p>
        </w:tc>
        <w:tc>
          <w:tcPr>
            <w:tcW w:w="1288" w:type="dxa"/>
          </w:tcPr>
          <w:p>
            <w:pPr>
              <w:pStyle w:val="TableParagraph"/>
              <w:spacing w:before="28"/>
              <w:ind w:left="112" w:right="102"/>
              <w:jc w:val="center"/>
              <w:rPr>
                <w:sz w:val="18"/>
              </w:rPr>
            </w:pPr>
            <w:r>
              <w:rPr>
                <w:sz w:val="18"/>
              </w:rPr>
              <w:t>2250-2730</w:t>
            </w:r>
          </w:p>
        </w:tc>
        <w:tc>
          <w:tcPr>
            <w:tcW w:w="1343" w:type="dxa"/>
          </w:tcPr>
          <w:p>
            <w:pPr>
              <w:pStyle w:val="TableParagraph"/>
              <w:spacing w:before="28"/>
              <w:ind w:left="44" w:right="35"/>
              <w:jc w:val="center"/>
              <w:rPr>
                <w:sz w:val="18"/>
              </w:rPr>
            </w:pPr>
            <w:r>
              <w:rPr>
                <w:sz w:val="18"/>
              </w:rPr>
              <w:t>500</w:t>
            </w: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4b</w:t>
            </w:r>
          </w:p>
        </w:tc>
      </w:tr>
      <w:tr>
        <w:trPr>
          <w:trHeight w:val="388" w:hRule="atLeast"/>
        </w:trPr>
        <w:tc>
          <w:tcPr>
            <w:tcW w:w="1286" w:type="dxa"/>
          </w:tcPr>
          <w:p>
            <w:pPr>
              <w:pStyle w:val="TableParagraph"/>
              <w:spacing w:line="202" w:lineRule="exact"/>
              <w:ind w:left="170"/>
              <w:rPr>
                <w:sz w:val="18"/>
              </w:rPr>
            </w:pPr>
            <w:r>
              <w:rPr>
                <w:sz w:val="18"/>
              </w:rPr>
              <w:t>Papua New</w:t>
            </w:r>
          </w:p>
          <w:p>
            <w:pPr>
              <w:pStyle w:val="TableParagraph"/>
              <w:spacing w:line="167" w:lineRule="exact"/>
              <w:ind w:left="170"/>
              <w:rPr>
                <w:sz w:val="18"/>
              </w:rPr>
            </w:pPr>
            <w:r>
              <w:rPr>
                <w:sz w:val="18"/>
              </w:rPr>
              <w:t>Guinea</w:t>
            </w:r>
          </w:p>
        </w:tc>
        <w:tc>
          <w:tcPr>
            <w:tcW w:w="1288" w:type="dxa"/>
          </w:tcPr>
          <w:p>
            <w:pPr>
              <w:pStyle w:val="TableParagraph"/>
              <w:spacing w:before="86"/>
              <w:ind w:left="110" w:right="102"/>
              <w:jc w:val="center"/>
              <w:rPr>
                <w:sz w:val="18"/>
              </w:rPr>
            </w:pPr>
            <w:r>
              <w:rPr>
                <w:sz w:val="18"/>
              </w:rPr>
              <w:t>685</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86"/>
              <w:ind w:left="119" w:right="99"/>
              <w:jc w:val="center"/>
              <w:rPr>
                <w:sz w:val="18"/>
              </w:rPr>
            </w:pPr>
            <w:r>
              <w:rPr>
                <w:sz w:val="18"/>
              </w:rPr>
              <w:t>100</w:t>
            </w:r>
          </w:p>
        </w:tc>
        <w:tc>
          <w:tcPr>
            <w:tcW w:w="1288" w:type="dxa"/>
          </w:tcPr>
          <w:p>
            <w:pPr>
              <w:pStyle w:val="TableParagraph"/>
              <w:spacing w:before="86"/>
              <w:ind w:left="119" w:right="97"/>
              <w:jc w:val="center"/>
              <w:rPr>
                <w:sz w:val="18"/>
              </w:rPr>
            </w:pPr>
            <w:r>
              <w:rPr>
                <w:sz w:val="18"/>
              </w:rPr>
              <w:t>4b</w:t>
            </w:r>
          </w:p>
        </w:tc>
      </w:tr>
      <w:tr>
        <w:trPr>
          <w:trHeight w:val="275" w:hRule="atLeast"/>
        </w:trPr>
        <w:tc>
          <w:tcPr>
            <w:tcW w:w="1286" w:type="dxa"/>
          </w:tcPr>
          <w:p>
            <w:pPr>
              <w:pStyle w:val="TableParagraph"/>
              <w:spacing w:before="28"/>
              <w:ind w:left="170"/>
              <w:rPr>
                <w:sz w:val="18"/>
              </w:rPr>
            </w:pPr>
            <w:r>
              <w:rPr>
                <w:sz w:val="18"/>
              </w:rPr>
              <w:t>Phillipines</w:t>
            </w:r>
          </w:p>
        </w:tc>
        <w:tc>
          <w:tcPr>
            <w:tcW w:w="1288" w:type="dxa"/>
          </w:tcPr>
          <w:p>
            <w:pPr>
              <w:pStyle w:val="TableParagraph"/>
              <w:spacing w:before="28"/>
              <w:ind w:left="110" w:right="102"/>
              <w:jc w:val="center"/>
              <w:rPr>
                <w:sz w:val="18"/>
              </w:rPr>
            </w:pPr>
            <w:r>
              <w:rPr>
                <w:sz w:val="18"/>
              </w:rPr>
              <w:t>104-240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8"/>
              <w:jc w:val="center"/>
              <w:rPr>
                <w:sz w:val="18"/>
              </w:rPr>
            </w:pPr>
            <w:r>
              <w:rPr>
                <w:sz w:val="18"/>
              </w:rPr>
              <w:t>100</w:t>
            </w:r>
          </w:p>
        </w:tc>
        <w:tc>
          <w:tcPr>
            <w:tcW w:w="1288" w:type="dxa"/>
          </w:tcPr>
          <w:p>
            <w:pPr>
              <w:pStyle w:val="TableParagraph"/>
              <w:spacing w:before="28"/>
              <w:ind w:left="119" w:right="97"/>
              <w:jc w:val="center"/>
              <w:rPr>
                <w:sz w:val="18"/>
              </w:rPr>
            </w:pPr>
            <w:r>
              <w:rPr>
                <w:sz w:val="18"/>
              </w:rPr>
              <w:t>4b</w:t>
            </w:r>
          </w:p>
        </w:tc>
      </w:tr>
      <w:tr>
        <w:trPr>
          <w:trHeight w:val="273" w:hRule="atLeast"/>
        </w:trPr>
        <w:tc>
          <w:tcPr>
            <w:tcW w:w="1286" w:type="dxa"/>
          </w:tcPr>
          <w:p>
            <w:pPr>
              <w:pStyle w:val="TableParagraph"/>
              <w:spacing w:before="28"/>
              <w:ind w:left="170"/>
              <w:rPr>
                <w:sz w:val="18"/>
              </w:rPr>
            </w:pPr>
            <w:r>
              <w:rPr>
                <w:sz w:val="18"/>
              </w:rPr>
              <w:t>Russia</w:t>
            </w:r>
          </w:p>
        </w:tc>
        <w:tc>
          <w:tcPr>
            <w:tcW w:w="1288" w:type="dxa"/>
          </w:tcPr>
          <w:p>
            <w:pPr>
              <w:pStyle w:val="TableParagraph"/>
              <w:spacing w:before="28"/>
              <w:ind w:left="107" w:right="102"/>
              <w:jc w:val="center"/>
              <w:rPr>
                <w:sz w:val="18"/>
              </w:rPr>
            </w:pPr>
            <w:r>
              <w:rPr>
                <w:sz w:val="18"/>
              </w:rPr>
              <w:t>39000-76000</w:t>
            </w:r>
          </w:p>
        </w:tc>
        <w:tc>
          <w:tcPr>
            <w:tcW w:w="1343" w:type="dxa"/>
          </w:tcPr>
          <w:p>
            <w:pPr>
              <w:pStyle w:val="TableParagraph"/>
              <w:spacing w:before="28"/>
              <w:ind w:left="43" w:right="35"/>
              <w:jc w:val="center"/>
              <w:rPr>
                <w:sz w:val="18"/>
              </w:rPr>
            </w:pPr>
            <w:r>
              <w:rPr>
                <w:sz w:val="18"/>
              </w:rPr>
              <w:t>700</w:t>
            </w:r>
          </w:p>
        </w:tc>
        <w:tc>
          <w:tcPr>
            <w:tcW w:w="1343" w:type="dxa"/>
          </w:tcPr>
          <w:p>
            <w:pPr>
              <w:pStyle w:val="TableParagraph"/>
              <w:spacing w:before="28"/>
              <w:ind w:left="491"/>
              <w:rPr>
                <w:sz w:val="18"/>
              </w:rPr>
            </w:pPr>
            <w:r>
              <w:rPr>
                <w:sz w:val="18"/>
              </w:rPr>
              <w:t>2500</w:t>
            </w:r>
          </w:p>
        </w:tc>
        <w:tc>
          <w:tcPr>
            <w:tcW w:w="1173" w:type="dxa"/>
          </w:tcPr>
          <w:p>
            <w:pPr>
              <w:pStyle w:val="TableParagraph"/>
              <w:spacing w:before="28"/>
              <w:ind w:left="168" w:right="153"/>
              <w:jc w:val="center"/>
              <w:rPr>
                <w:sz w:val="18"/>
              </w:rPr>
            </w:pPr>
            <w:r>
              <w:rPr>
                <w:sz w:val="18"/>
              </w:rPr>
              <w:t>9120</w:t>
            </w:r>
          </w:p>
        </w:tc>
        <w:tc>
          <w:tcPr>
            <w:tcW w:w="1288" w:type="dxa"/>
          </w:tcPr>
          <w:p>
            <w:pPr>
              <w:pStyle w:val="TableParagraph"/>
              <w:spacing w:before="28"/>
              <w:ind w:left="19"/>
              <w:jc w:val="center"/>
              <w:rPr>
                <w:sz w:val="18"/>
              </w:rPr>
            </w:pPr>
            <w:r>
              <w:rPr>
                <w:sz w:val="18"/>
              </w:rPr>
              <w:t>0</w:t>
            </w:r>
          </w:p>
        </w:tc>
        <w:tc>
          <w:tcPr>
            <w:tcW w:w="1288" w:type="dxa"/>
          </w:tcPr>
          <w:p>
            <w:pPr>
              <w:pStyle w:val="TableParagraph"/>
              <w:spacing w:before="28"/>
              <w:ind w:left="119" w:right="99"/>
              <w:jc w:val="center"/>
              <w:rPr>
                <w:sz w:val="18"/>
              </w:rPr>
            </w:pPr>
            <w:r>
              <w:rPr>
                <w:sz w:val="18"/>
              </w:rPr>
              <w:t>1, 2</w:t>
            </w:r>
          </w:p>
        </w:tc>
      </w:tr>
      <w:tr>
        <w:trPr>
          <w:trHeight w:val="273" w:hRule="atLeast"/>
        </w:trPr>
        <w:tc>
          <w:tcPr>
            <w:tcW w:w="1286" w:type="dxa"/>
          </w:tcPr>
          <w:p>
            <w:pPr>
              <w:pStyle w:val="TableParagraph"/>
              <w:spacing w:before="28"/>
              <w:ind w:left="170"/>
              <w:rPr>
                <w:sz w:val="18"/>
              </w:rPr>
            </w:pPr>
            <w:r>
              <w:rPr>
                <w:sz w:val="18"/>
              </w:rPr>
              <w:t>South Korea</w:t>
            </w:r>
          </w:p>
        </w:tc>
        <w:tc>
          <w:tcPr>
            <w:tcW w:w="1288" w:type="dxa"/>
          </w:tcPr>
          <w:p>
            <w:pPr>
              <w:pStyle w:val="TableParagraph"/>
              <w:spacing w:before="28"/>
              <w:ind w:left="111" w:right="102"/>
              <w:jc w:val="center"/>
              <w:rPr>
                <w:sz w:val="18"/>
              </w:rPr>
            </w:pPr>
            <w:r>
              <w:rPr>
                <w:sz w:val="18"/>
              </w:rPr>
              <w:t>630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9"/>
              <w:jc w:val="center"/>
              <w:rPr>
                <w:sz w:val="18"/>
              </w:rPr>
            </w:pPr>
            <w:r>
              <w:rPr>
                <w:sz w:val="18"/>
              </w:rPr>
              <w:t>0</w:t>
            </w:r>
          </w:p>
        </w:tc>
        <w:tc>
          <w:tcPr>
            <w:tcW w:w="1288" w:type="dxa"/>
          </w:tcPr>
          <w:p>
            <w:pPr>
              <w:pStyle w:val="TableParagraph"/>
              <w:spacing w:before="28"/>
              <w:ind w:left="119" w:right="97"/>
              <w:jc w:val="center"/>
              <w:rPr>
                <w:sz w:val="18"/>
              </w:rPr>
            </w:pPr>
            <w:r>
              <w:rPr>
                <w:sz w:val="18"/>
              </w:rPr>
              <w:t>4b</w:t>
            </w:r>
          </w:p>
        </w:tc>
      </w:tr>
      <w:tr>
        <w:trPr>
          <w:trHeight w:val="275" w:hRule="atLeast"/>
        </w:trPr>
        <w:tc>
          <w:tcPr>
            <w:tcW w:w="1286" w:type="dxa"/>
          </w:tcPr>
          <w:p>
            <w:pPr>
              <w:pStyle w:val="TableParagraph"/>
              <w:spacing w:before="28"/>
              <w:ind w:left="170"/>
              <w:rPr>
                <w:sz w:val="18"/>
              </w:rPr>
            </w:pPr>
            <w:r>
              <w:rPr>
                <w:sz w:val="18"/>
              </w:rPr>
              <w:t>New Zealand</w:t>
            </w:r>
          </w:p>
        </w:tc>
        <w:tc>
          <w:tcPr>
            <w:tcW w:w="1288" w:type="dxa"/>
          </w:tcPr>
          <w:p>
            <w:pPr>
              <w:pStyle w:val="TableParagraph"/>
              <w:spacing w:before="28"/>
              <w:ind w:left="112" w:right="102"/>
              <w:jc w:val="center"/>
              <w:rPr>
                <w:sz w:val="18"/>
              </w:rPr>
            </w:pPr>
            <w:r>
              <w:rPr>
                <w:sz w:val="18"/>
              </w:rPr>
              <w:t>165</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8"/>
              <w:jc w:val="center"/>
              <w:rPr>
                <w:sz w:val="18"/>
              </w:rPr>
            </w:pPr>
            <w:r>
              <w:rPr>
                <w:sz w:val="18"/>
              </w:rPr>
              <w:t>30</w:t>
            </w:r>
          </w:p>
        </w:tc>
        <w:tc>
          <w:tcPr>
            <w:tcW w:w="1288" w:type="dxa"/>
          </w:tcPr>
          <w:p>
            <w:pPr>
              <w:pStyle w:val="TableParagraph"/>
              <w:spacing w:before="28"/>
              <w:ind w:left="21"/>
              <w:jc w:val="center"/>
              <w:rPr>
                <w:sz w:val="18"/>
              </w:rPr>
            </w:pPr>
            <w:r>
              <w:rPr>
                <w:sz w:val="18"/>
              </w:rPr>
              <w:t>8</w:t>
            </w:r>
          </w:p>
        </w:tc>
      </w:tr>
      <w:tr>
        <w:trPr>
          <w:trHeight w:val="443" w:hRule="atLeast"/>
        </w:trPr>
        <w:tc>
          <w:tcPr>
            <w:tcW w:w="1286" w:type="dxa"/>
          </w:tcPr>
          <w:p>
            <w:pPr>
              <w:pStyle w:val="TableParagraph"/>
              <w:spacing w:before="117"/>
              <w:ind w:left="54"/>
              <w:rPr>
                <w:b/>
                <w:sz w:val="18"/>
              </w:rPr>
            </w:pPr>
            <w:r>
              <w:rPr>
                <w:b/>
                <w:sz w:val="18"/>
              </w:rPr>
              <w:t>Africa</w:t>
            </w:r>
          </w:p>
        </w:tc>
        <w:tc>
          <w:tcPr>
            <w:tcW w:w="1288" w:type="dxa"/>
          </w:tcPr>
          <w:p>
            <w:pPr>
              <w:pStyle w:val="TableParagraph"/>
              <w:spacing w:before="117"/>
              <w:ind w:left="107" w:right="102"/>
              <w:jc w:val="center"/>
              <w:rPr>
                <w:b/>
                <w:sz w:val="18"/>
              </w:rPr>
            </w:pPr>
            <w:r>
              <w:rPr>
                <w:b/>
                <w:sz w:val="18"/>
              </w:rPr>
              <w:t>5840</w:t>
            </w:r>
          </w:p>
        </w:tc>
        <w:tc>
          <w:tcPr>
            <w:tcW w:w="2686" w:type="dxa"/>
            <w:gridSpan w:val="2"/>
          </w:tcPr>
          <w:p>
            <w:pPr>
              <w:pStyle w:val="TableParagraph"/>
              <w:spacing w:line="206" w:lineRule="exact" w:before="17"/>
              <w:ind w:left="389" w:right="227" w:hanging="130"/>
              <w:rPr>
                <w:b/>
                <w:sz w:val="18"/>
              </w:rPr>
            </w:pPr>
            <w:r>
              <w:rPr>
                <w:b/>
                <w:sz w:val="18"/>
              </w:rPr>
              <w:t>(2% of wetlands drained for agriculture and forestry)</w:t>
            </w:r>
          </w:p>
        </w:tc>
        <w:tc>
          <w:tcPr>
            <w:tcW w:w="2461" w:type="dxa"/>
            <w:gridSpan w:val="2"/>
          </w:tcPr>
          <w:p>
            <w:pPr>
              <w:pStyle w:val="TableParagraph"/>
              <w:rPr>
                <w:sz w:val="16"/>
              </w:rPr>
            </w:pPr>
          </w:p>
        </w:tc>
        <w:tc>
          <w:tcPr>
            <w:tcW w:w="1288" w:type="dxa"/>
          </w:tcPr>
          <w:p>
            <w:pPr>
              <w:pStyle w:val="TableParagraph"/>
              <w:spacing w:before="117"/>
              <w:ind w:left="119" w:right="100"/>
              <w:jc w:val="center"/>
              <w:rPr>
                <w:b/>
                <w:sz w:val="18"/>
              </w:rPr>
            </w:pPr>
            <w:r>
              <w:rPr>
                <w:b/>
                <w:sz w:val="18"/>
              </w:rPr>
              <w:t>4a, 11</w:t>
            </w:r>
          </w:p>
        </w:tc>
      </w:tr>
      <w:tr>
        <w:trPr>
          <w:trHeight w:val="273" w:hRule="atLeast"/>
        </w:trPr>
        <w:tc>
          <w:tcPr>
            <w:tcW w:w="1286" w:type="dxa"/>
          </w:tcPr>
          <w:p>
            <w:pPr>
              <w:pStyle w:val="TableParagraph"/>
              <w:spacing w:before="28"/>
              <w:ind w:left="170"/>
              <w:rPr>
                <w:sz w:val="18"/>
              </w:rPr>
            </w:pPr>
            <w:r>
              <w:rPr>
                <w:sz w:val="18"/>
              </w:rPr>
              <w:t>Guinea</w:t>
            </w:r>
          </w:p>
        </w:tc>
        <w:tc>
          <w:tcPr>
            <w:tcW w:w="1288" w:type="dxa"/>
          </w:tcPr>
          <w:p>
            <w:pPr>
              <w:pStyle w:val="TableParagraph"/>
              <w:spacing w:before="28"/>
              <w:ind w:left="111" w:right="102"/>
              <w:jc w:val="center"/>
              <w:rPr>
                <w:sz w:val="18"/>
              </w:rPr>
            </w:pPr>
            <w:r>
              <w:rPr>
                <w:sz w:val="18"/>
              </w:rPr>
              <w:t>525</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4a</w:t>
            </w:r>
          </w:p>
        </w:tc>
      </w:tr>
      <w:tr>
        <w:trPr>
          <w:trHeight w:val="273" w:hRule="atLeast"/>
        </w:trPr>
        <w:tc>
          <w:tcPr>
            <w:tcW w:w="1286" w:type="dxa"/>
          </w:tcPr>
          <w:p>
            <w:pPr>
              <w:pStyle w:val="TableParagraph"/>
              <w:spacing w:before="28"/>
              <w:ind w:left="170"/>
              <w:rPr>
                <w:sz w:val="18"/>
              </w:rPr>
            </w:pPr>
            <w:r>
              <w:rPr>
                <w:sz w:val="18"/>
              </w:rPr>
              <w:t>Nigeria</w:t>
            </w:r>
          </w:p>
        </w:tc>
        <w:tc>
          <w:tcPr>
            <w:tcW w:w="1288" w:type="dxa"/>
          </w:tcPr>
          <w:p>
            <w:pPr>
              <w:pStyle w:val="TableParagraph"/>
              <w:spacing w:before="28"/>
              <w:ind w:left="111" w:right="102"/>
              <w:jc w:val="center"/>
              <w:rPr>
                <w:sz w:val="18"/>
              </w:rPr>
            </w:pPr>
            <w:r>
              <w:rPr>
                <w:sz w:val="18"/>
              </w:rPr>
              <w:t>700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4a</w:t>
            </w:r>
          </w:p>
        </w:tc>
      </w:tr>
      <w:tr>
        <w:trPr>
          <w:trHeight w:val="275" w:hRule="atLeast"/>
        </w:trPr>
        <w:tc>
          <w:tcPr>
            <w:tcW w:w="1286" w:type="dxa"/>
          </w:tcPr>
          <w:p>
            <w:pPr>
              <w:pStyle w:val="TableParagraph"/>
              <w:spacing w:before="28"/>
              <w:ind w:left="170"/>
              <w:rPr>
                <w:sz w:val="18"/>
              </w:rPr>
            </w:pPr>
            <w:r>
              <w:rPr>
                <w:sz w:val="18"/>
              </w:rPr>
              <w:t>South Africa</w:t>
            </w:r>
          </w:p>
        </w:tc>
        <w:tc>
          <w:tcPr>
            <w:tcW w:w="1288" w:type="dxa"/>
          </w:tcPr>
          <w:p>
            <w:pPr>
              <w:pStyle w:val="TableParagraph"/>
              <w:spacing w:before="28"/>
              <w:ind w:left="111" w:right="102"/>
              <w:jc w:val="center"/>
              <w:rPr>
                <w:sz w:val="18"/>
              </w:rPr>
            </w:pPr>
            <w:r>
              <w:rPr>
                <w:sz w:val="18"/>
              </w:rPr>
              <w:t>950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4a</w:t>
            </w:r>
          </w:p>
        </w:tc>
      </w:tr>
      <w:tr>
        <w:trPr>
          <w:trHeight w:val="273" w:hRule="atLeast"/>
        </w:trPr>
        <w:tc>
          <w:tcPr>
            <w:tcW w:w="1286" w:type="dxa"/>
          </w:tcPr>
          <w:p>
            <w:pPr>
              <w:pStyle w:val="TableParagraph"/>
              <w:spacing w:before="28"/>
              <w:ind w:left="170"/>
              <w:rPr>
                <w:sz w:val="18"/>
              </w:rPr>
            </w:pPr>
            <w:r>
              <w:rPr>
                <w:sz w:val="18"/>
              </w:rPr>
              <w:t>Uganda</w:t>
            </w:r>
          </w:p>
        </w:tc>
        <w:tc>
          <w:tcPr>
            <w:tcW w:w="1288" w:type="dxa"/>
          </w:tcPr>
          <w:p>
            <w:pPr>
              <w:pStyle w:val="TableParagraph"/>
              <w:spacing w:before="28"/>
              <w:ind w:left="107" w:right="102"/>
              <w:jc w:val="center"/>
              <w:rPr>
                <w:sz w:val="18"/>
              </w:rPr>
            </w:pPr>
            <w:r>
              <w:rPr>
                <w:sz w:val="18"/>
              </w:rPr>
              <w:t>1420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4a</w:t>
            </w:r>
          </w:p>
        </w:tc>
      </w:tr>
      <w:tr>
        <w:trPr>
          <w:trHeight w:val="273" w:hRule="atLeast"/>
        </w:trPr>
        <w:tc>
          <w:tcPr>
            <w:tcW w:w="1286" w:type="dxa"/>
          </w:tcPr>
          <w:p>
            <w:pPr>
              <w:pStyle w:val="TableParagraph"/>
              <w:spacing w:before="28"/>
              <w:ind w:left="170"/>
              <w:rPr>
                <w:sz w:val="18"/>
              </w:rPr>
            </w:pPr>
            <w:r>
              <w:rPr>
                <w:sz w:val="18"/>
              </w:rPr>
              <w:t>Zambia</w:t>
            </w:r>
          </w:p>
        </w:tc>
        <w:tc>
          <w:tcPr>
            <w:tcW w:w="1288" w:type="dxa"/>
          </w:tcPr>
          <w:p>
            <w:pPr>
              <w:pStyle w:val="TableParagraph"/>
              <w:spacing w:before="28"/>
              <w:ind w:left="108" w:right="102"/>
              <w:jc w:val="center"/>
              <w:rPr>
                <w:sz w:val="18"/>
              </w:rPr>
            </w:pPr>
            <w:r>
              <w:rPr>
                <w:sz w:val="18"/>
              </w:rPr>
              <w:t>1106</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4a</w:t>
            </w:r>
          </w:p>
        </w:tc>
      </w:tr>
      <w:tr>
        <w:trPr>
          <w:trHeight w:val="414" w:hRule="atLeast"/>
        </w:trPr>
        <w:tc>
          <w:tcPr>
            <w:tcW w:w="1286" w:type="dxa"/>
          </w:tcPr>
          <w:p>
            <w:pPr>
              <w:pStyle w:val="TableParagraph"/>
              <w:spacing w:before="103"/>
              <w:ind w:left="54"/>
              <w:rPr>
                <w:b/>
                <w:sz w:val="18"/>
              </w:rPr>
            </w:pPr>
            <w:r>
              <w:rPr>
                <w:b/>
                <w:sz w:val="18"/>
              </w:rPr>
              <w:t>North America</w:t>
            </w:r>
          </w:p>
        </w:tc>
        <w:tc>
          <w:tcPr>
            <w:tcW w:w="1288" w:type="dxa"/>
          </w:tcPr>
          <w:p>
            <w:pPr>
              <w:pStyle w:val="TableParagraph"/>
              <w:spacing w:before="103"/>
              <w:ind w:left="109" w:right="102"/>
              <w:jc w:val="center"/>
              <w:rPr>
                <w:b/>
                <w:sz w:val="18"/>
              </w:rPr>
            </w:pPr>
            <w:r>
              <w:rPr>
                <w:b/>
                <w:sz w:val="18"/>
              </w:rPr>
              <w:t>173500</w:t>
            </w:r>
          </w:p>
        </w:tc>
        <w:tc>
          <w:tcPr>
            <w:tcW w:w="2686" w:type="dxa"/>
            <w:gridSpan w:val="2"/>
          </w:tcPr>
          <w:p>
            <w:pPr>
              <w:pStyle w:val="TableParagraph"/>
              <w:spacing w:line="208" w:lineRule="exact" w:before="1"/>
              <w:ind w:left="389" w:right="63" w:hanging="296"/>
              <w:rPr>
                <w:b/>
                <w:sz w:val="18"/>
              </w:rPr>
            </w:pPr>
            <w:r>
              <w:rPr>
                <w:b/>
                <w:sz w:val="18"/>
              </w:rPr>
              <w:t>(56-65% of wetlands drained for agriculture and forestry)</w:t>
            </w:r>
          </w:p>
        </w:tc>
        <w:tc>
          <w:tcPr>
            <w:tcW w:w="1173" w:type="dxa"/>
          </w:tcPr>
          <w:p>
            <w:pPr>
              <w:pStyle w:val="TableParagraph"/>
              <w:rPr>
                <w:sz w:val="16"/>
              </w:rPr>
            </w:pPr>
          </w:p>
        </w:tc>
        <w:tc>
          <w:tcPr>
            <w:tcW w:w="1288" w:type="dxa"/>
          </w:tcPr>
          <w:p>
            <w:pPr>
              <w:pStyle w:val="TableParagraph"/>
              <w:rPr>
                <w:sz w:val="16"/>
              </w:rPr>
            </w:pPr>
          </w:p>
        </w:tc>
        <w:tc>
          <w:tcPr>
            <w:tcW w:w="1288" w:type="dxa"/>
          </w:tcPr>
          <w:p>
            <w:pPr>
              <w:pStyle w:val="TableParagraph"/>
              <w:spacing w:before="103"/>
              <w:ind w:left="119" w:right="101"/>
              <w:jc w:val="center"/>
              <w:rPr>
                <w:b/>
                <w:sz w:val="18"/>
              </w:rPr>
            </w:pPr>
            <w:r>
              <w:rPr>
                <w:b/>
                <w:sz w:val="18"/>
              </w:rPr>
              <w:t>4c, 9</w:t>
            </w:r>
          </w:p>
        </w:tc>
      </w:tr>
      <w:tr>
        <w:trPr>
          <w:trHeight w:val="271" w:hRule="atLeast"/>
        </w:trPr>
        <w:tc>
          <w:tcPr>
            <w:tcW w:w="1286" w:type="dxa"/>
          </w:tcPr>
          <w:p>
            <w:pPr>
              <w:pStyle w:val="TableParagraph"/>
              <w:spacing w:before="26"/>
              <w:ind w:left="170"/>
              <w:rPr>
                <w:sz w:val="18"/>
              </w:rPr>
            </w:pPr>
            <w:r>
              <w:rPr>
                <w:sz w:val="18"/>
              </w:rPr>
              <w:t>Canada</w:t>
            </w:r>
            <w:r>
              <w:rPr>
                <w:sz w:val="18"/>
                <w:vertAlign w:val="superscript"/>
              </w:rPr>
              <w:t>c</w:t>
            </w:r>
          </w:p>
        </w:tc>
        <w:tc>
          <w:tcPr>
            <w:tcW w:w="1288" w:type="dxa"/>
          </w:tcPr>
          <w:p>
            <w:pPr>
              <w:pStyle w:val="TableParagraph"/>
              <w:spacing w:before="26"/>
              <w:ind w:left="109" w:right="102"/>
              <w:jc w:val="center"/>
              <w:rPr>
                <w:sz w:val="18"/>
              </w:rPr>
            </w:pPr>
            <w:r>
              <w:rPr>
                <w:sz w:val="18"/>
              </w:rPr>
              <w:t>111328</w:t>
            </w:r>
          </w:p>
        </w:tc>
        <w:tc>
          <w:tcPr>
            <w:tcW w:w="1343" w:type="dxa"/>
          </w:tcPr>
          <w:p>
            <w:pPr>
              <w:pStyle w:val="TableParagraph"/>
              <w:spacing w:before="26"/>
              <w:ind w:left="43" w:right="35"/>
              <w:jc w:val="center"/>
              <w:rPr>
                <w:sz w:val="18"/>
              </w:rPr>
            </w:pPr>
            <w:r>
              <w:rPr>
                <w:sz w:val="18"/>
              </w:rPr>
              <w:t>25</w:t>
            </w:r>
          </w:p>
        </w:tc>
        <w:tc>
          <w:tcPr>
            <w:tcW w:w="1343" w:type="dxa"/>
          </w:tcPr>
          <w:p>
            <w:pPr>
              <w:pStyle w:val="TableParagraph"/>
              <w:spacing w:before="26"/>
              <w:ind w:left="534"/>
              <w:rPr>
                <w:sz w:val="18"/>
              </w:rPr>
            </w:pPr>
            <w:r>
              <w:rPr>
                <w:sz w:val="18"/>
              </w:rPr>
              <w:t>100</w:t>
            </w:r>
          </w:p>
        </w:tc>
        <w:tc>
          <w:tcPr>
            <w:tcW w:w="1173" w:type="dxa"/>
          </w:tcPr>
          <w:p>
            <w:pPr>
              <w:pStyle w:val="TableParagraph"/>
              <w:spacing w:before="26"/>
              <w:ind w:left="168" w:right="154"/>
              <w:jc w:val="center"/>
              <w:rPr>
                <w:sz w:val="18"/>
              </w:rPr>
            </w:pPr>
            <w:r>
              <w:rPr>
                <w:sz w:val="18"/>
              </w:rPr>
              <w:t>16</w:t>
            </w:r>
          </w:p>
        </w:tc>
        <w:tc>
          <w:tcPr>
            <w:tcW w:w="1288" w:type="dxa"/>
          </w:tcPr>
          <w:p>
            <w:pPr>
              <w:pStyle w:val="TableParagraph"/>
              <w:spacing w:before="26"/>
              <w:ind w:left="19"/>
              <w:jc w:val="center"/>
              <w:rPr>
                <w:sz w:val="18"/>
              </w:rPr>
            </w:pPr>
            <w:r>
              <w:rPr>
                <w:sz w:val="18"/>
              </w:rPr>
              <w:t>0</w:t>
            </w:r>
          </w:p>
        </w:tc>
        <w:tc>
          <w:tcPr>
            <w:tcW w:w="1288" w:type="dxa"/>
          </w:tcPr>
          <w:p>
            <w:pPr>
              <w:pStyle w:val="TableParagraph"/>
              <w:spacing w:before="26"/>
              <w:ind w:left="20"/>
              <w:jc w:val="center"/>
              <w:rPr>
                <w:sz w:val="18"/>
              </w:rPr>
            </w:pPr>
            <w:r>
              <w:rPr>
                <w:sz w:val="18"/>
              </w:rPr>
              <w:t>7</w:t>
            </w:r>
          </w:p>
        </w:tc>
      </w:tr>
      <w:tr>
        <w:trPr>
          <w:trHeight w:val="671" w:hRule="atLeast"/>
        </w:trPr>
        <w:tc>
          <w:tcPr>
            <w:tcW w:w="1286" w:type="dxa"/>
          </w:tcPr>
          <w:p>
            <w:pPr>
              <w:pStyle w:val="TableParagraph"/>
              <w:spacing w:line="207" w:lineRule="exact" w:before="19"/>
              <w:ind w:left="170"/>
              <w:rPr>
                <w:sz w:val="18"/>
              </w:rPr>
            </w:pPr>
            <w:r>
              <w:rPr>
                <w:sz w:val="18"/>
              </w:rPr>
              <w:t>USA</w:t>
            </w:r>
          </w:p>
          <w:p>
            <w:pPr>
              <w:pStyle w:val="TableParagraph"/>
              <w:spacing w:line="207" w:lineRule="exact"/>
              <w:ind w:left="170"/>
              <w:rPr>
                <w:sz w:val="18"/>
              </w:rPr>
            </w:pPr>
            <w:r>
              <w:rPr>
                <w:sz w:val="18"/>
              </w:rPr>
              <w:t>Alaska:</w:t>
            </w:r>
          </w:p>
          <w:p>
            <w:pPr>
              <w:pStyle w:val="TableParagraph"/>
              <w:spacing w:before="1"/>
              <w:ind w:left="170"/>
              <w:rPr>
                <w:sz w:val="18"/>
              </w:rPr>
            </w:pPr>
            <w:r>
              <w:rPr>
                <w:sz w:val="18"/>
              </w:rPr>
              <w:t>S of 49°N:</w:t>
            </w:r>
          </w:p>
        </w:tc>
        <w:tc>
          <w:tcPr>
            <w:tcW w:w="1288" w:type="dxa"/>
          </w:tcPr>
          <w:p>
            <w:pPr>
              <w:pStyle w:val="TableParagraph"/>
              <w:spacing w:before="6"/>
              <w:rPr>
                <w:sz w:val="19"/>
              </w:rPr>
            </w:pPr>
          </w:p>
          <w:p>
            <w:pPr>
              <w:pStyle w:val="TableParagraph"/>
              <w:spacing w:before="1"/>
              <w:ind w:left="415"/>
              <w:rPr>
                <w:sz w:val="18"/>
              </w:rPr>
            </w:pPr>
            <w:r>
              <w:rPr>
                <w:sz w:val="18"/>
              </w:rPr>
              <w:t>49400</w:t>
            </w:r>
          </w:p>
          <w:p>
            <w:pPr>
              <w:pStyle w:val="TableParagraph"/>
              <w:spacing w:before="1"/>
              <w:ind w:left="415"/>
              <w:rPr>
                <w:sz w:val="18"/>
              </w:rPr>
            </w:pPr>
            <w:r>
              <w:rPr>
                <w:sz w:val="18"/>
              </w:rPr>
              <w:t>10240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6"/>
              <w:rPr>
                <w:sz w:val="19"/>
              </w:rPr>
            </w:pPr>
          </w:p>
          <w:p>
            <w:pPr>
              <w:pStyle w:val="TableParagraph"/>
              <w:spacing w:before="1"/>
              <w:ind w:left="19"/>
              <w:jc w:val="center"/>
              <w:rPr>
                <w:sz w:val="18"/>
              </w:rPr>
            </w:pPr>
            <w:r>
              <w:rPr>
                <w:sz w:val="18"/>
              </w:rPr>
              <w:t>0</w:t>
            </w:r>
          </w:p>
          <w:p>
            <w:pPr>
              <w:pStyle w:val="TableParagraph"/>
              <w:spacing w:before="1"/>
              <w:ind w:left="119" w:right="101"/>
              <w:jc w:val="center"/>
              <w:rPr>
                <w:sz w:val="18"/>
              </w:rPr>
            </w:pPr>
            <w:r>
              <w:rPr>
                <w:sz w:val="18"/>
              </w:rPr>
              <w:t>2.5</w:t>
            </w:r>
          </w:p>
        </w:tc>
        <w:tc>
          <w:tcPr>
            <w:tcW w:w="1288" w:type="dxa"/>
          </w:tcPr>
          <w:p>
            <w:pPr>
              <w:pStyle w:val="TableParagraph"/>
              <w:spacing w:before="6"/>
              <w:rPr>
                <w:sz w:val="19"/>
              </w:rPr>
            </w:pPr>
          </w:p>
          <w:p>
            <w:pPr>
              <w:pStyle w:val="TableParagraph"/>
              <w:spacing w:before="1"/>
              <w:ind w:left="20"/>
              <w:jc w:val="center"/>
              <w:rPr>
                <w:sz w:val="18"/>
              </w:rPr>
            </w:pPr>
            <w:r>
              <w:rPr>
                <w:sz w:val="18"/>
              </w:rPr>
              <w:t>8</w:t>
            </w:r>
          </w:p>
        </w:tc>
      </w:tr>
      <w:tr>
        <w:trPr>
          <w:trHeight w:val="443" w:hRule="atLeast"/>
        </w:trPr>
        <w:tc>
          <w:tcPr>
            <w:tcW w:w="1286" w:type="dxa"/>
          </w:tcPr>
          <w:p>
            <w:pPr>
              <w:pStyle w:val="TableParagraph"/>
              <w:spacing w:line="206" w:lineRule="exact" w:before="17"/>
              <w:ind w:left="54" w:right="47"/>
              <w:rPr>
                <w:b/>
                <w:sz w:val="18"/>
              </w:rPr>
            </w:pPr>
            <w:r>
              <w:rPr>
                <w:b/>
                <w:sz w:val="18"/>
              </w:rPr>
              <w:t>Central and South America</w:t>
            </w:r>
          </w:p>
        </w:tc>
        <w:tc>
          <w:tcPr>
            <w:tcW w:w="1288" w:type="dxa"/>
          </w:tcPr>
          <w:p>
            <w:pPr>
              <w:pStyle w:val="TableParagraph"/>
              <w:spacing w:before="117"/>
              <w:ind w:left="108" w:right="102"/>
              <w:jc w:val="center"/>
              <w:rPr>
                <w:b/>
                <w:sz w:val="18"/>
              </w:rPr>
            </w:pPr>
            <w:r>
              <w:rPr>
                <w:b/>
                <w:sz w:val="18"/>
              </w:rPr>
              <w:t>11222</w:t>
            </w:r>
          </w:p>
        </w:tc>
        <w:tc>
          <w:tcPr>
            <w:tcW w:w="2686" w:type="dxa"/>
            <w:gridSpan w:val="2"/>
          </w:tcPr>
          <w:p>
            <w:pPr>
              <w:pStyle w:val="TableParagraph"/>
              <w:spacing w:line="206" w:lineRule="exact" w:before="17"/>
              <w:ind w:left="389" w:right="227" w:hanging="130"/>
              <w:rPr>
                <w:b/>
                <w:sz w:val="18"/>
              </w:rPr>
            </w:pPr>
            <w:r>
              <w:rPr>
                <w:b/>
                <w:sz w:val="18"/>
              </w:rPr>
              <w:t>(6% of wetlands drained for agriculture and forestry)</w:t>
            </w:r>
          </w:p>
        </w:tc>
        <w:tc>
          <w:tcPr>
            <w:tcW w:w="1173" w:type="dxa"/>
          </w:tcPr>
          <w:p>
            <w:pPr>
              <w:pStyle w:val="TableParagraph"/>
              <w:rPr>
                <w:sz w:val="16"/>
              </w:rPr>
            </w:pPr>
          </w:p>
        </w:tc>
        <w:tc>
          <w:tcPr>
            <w:tcW w:w="1288" w:type="dxa"/>
          </w:tcPr>
          <w:p>
            <w:pPr>
              <w:pStyle w:val="TableParagraph"/>
              <w:rPr>
                <w:sz w:val="16"/>
              </w:rPr>
            </w:pPr>
          </w:p>
        </w:tc>
        <w:tc>
          <w:tcPr>
            <w:tcW w:w="1288" w:type="dxa"/>
          </w:tcPr>
          <w:p>
            <w:pPr>
              <w:pStyle w:val="TableParagraph"/>
              <w:spacing w:before="117"/>
              <w:ind w:left="119" w:right="101"/>
              <w:jc w:val="center"/>
              <w:rPr>
                <w:b/>
                <w:sz w:val="18"/>
              </w:rPr>
            </w:pPr>
            <w:r>
              <w:rPr>
                <w:b/>
                <w:sz w:val="18"/>
              </w:rPr>
              <w:t>4c, 9</w:t>
            </w:r>
          </w:p>
        </w:tc>
      </w:tr>
      <w:tr>
        <w:trPr>
          <w:trHeight w:val="273" w:hRule="atLeast"/>
        </w:trPr>
        <w:tc>
          <w:tcPr>
            <w:tcW w:w="1286" w:type="dxa"/>
          </w:tcPr>
          <w:p>
            <w:pPr>
              <w:pStyle w:val="TableParagraph"/>
              <w:spacing w:before="28"/>
              <w:ind w:left="170"/>
              <w:rPr>
                <w:sz w:val="18"/>
              </w:rPr>
            </w:pPr>
            <w:r>
              <w:rPr>
                <w:sz w:val="18"/>
              </w:rPr>
              <w:t>Brazil</w:t>
            </w:r>
          </w:p>
        </w:tc>
        <w:tc>
          <w:tcPr>
            <w:tcW w:w="1288" w:type="dxa"/>
          </w:tcPr>
          <w:p>
            <w:pPr>
              <w:pStyle w:val="TableParagraph"/>
              <w:spacing w:before="28"/>
              <w:ind w:left="113" w:right="102"/>
              <w:jc w:val="center"/>
              <w:rPr>
                <w:sz w:val="18"/>
              </w:rPr>
            </w:pPr>
            <w:r>
              <w:rPr>
                <w:sz w:val="18"/>
              </w:rPr>
              <w:t>1500-3500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8"/>
              <w:jc w:val="center"/>
              <w:rPr>
                <w:sz w:val="18"/>
              </w:rPr>
            </w:pPr>
            <w:r>
              <w:rPr>
                <w:sz w:val="18"/>
              </w:rPr>
              <w:t>100</w:t>
            </w:r>
          </w:p>
        </w:tc>
        <w:tc>
          <w:tcPr>
            <w:tcW w:w="1288" w:type="dxa"/>
          </w:tcPr>
          <w:p>
            <w:pPr>
              <w:pStyle w:val="TableParagraph"/>
              <w:spacing w:before="28"/>
              <w:ind w:left="119" w:right="97"/>
              <w:jc w:val="center"/>
              <w:rPr>
                <w:sz w:val="18"/>
              </w:rPr>
            </w:pPr>
            <w:r>
              <w:rPr>
                <w:sz w:val="18"/>
              </w:rPr>
              <w:t>4c</w:t>
            </w:r>
          </w:p>
        </w:tc>
      </w:tr>
      <w:tr>
        <w:trPr>
          <w:trHeight w:val="273" w:hRule="atLeast"/>
        </w:trPr>
        <w:tc>
          <w:tcPr>
            <w:tcW w:w="1286" w:type="dxa"/>
          </w:tcPr>
          <w:p>
            <w:pPr>
              <w:pStyle w:val="TableParagraph"/>
              <w:spacing w:before="28"/>
              <w:ind w:left="170"/>
              <w:rPr>
                <w:sz w:val="18"/>
              </w:rPr>
            </w:pPr>
            <w:r>
              <w:rPr>
                <w:sz w:val="18"/>
              </w:rPr>
              <w:t>Chile</w:t>
            </w:r>
          </w:p>
        </w:tc>
        <w:tc>
          <w:tcPr>
            <w:tcW w:w="1288" w:type="dxa"/>
          </w:tcPr>
          <w:p>
            <w:pPr>
              <w:pStyle w:val="TableParagraph"/>
              <w:spacing w:before="28"/>
              <w:ind w:left="109" w:right="102"/>
              <w:jc w:val="center"/>
              <w:rPr>
                <w:sz w:val="18"/>
              </w:rPr>
            </w:pPr>
            <w:r>
              <w:rPr>
                <w:sz w:val="18"/>
              </w:rPr>
              <w:t>1047</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8"/>
              <w:jc w:val="center"/>
              <w:rPr>
                <w:sz w:val="18"/>
              </w:rPr>
            </w:pPr>
            <w:r>
              <w:rPr>
                <w:sz w:val="18"/>
              </w:rPr>
              <w:t>10</w:t>
            </w:r>
          </w:p>
        </w:tc>
        <w:tc>
          <w:tcPr>
            <w:tcW w:w="1288" w:type="dxa"/>
          </w:tcPr>
          <w:p>
            <w:pPr>
              <w:pStyle w:val="TableParagraph"/>
              <w:spacing w:before="28"/>
              <w:ind w:left="119" w:right="97"/>
              <w:jc w:val="center"/>
              <w:rPr>
                <w:sz w:val="18"/>
              </w:rPr>
            </w:pPr>
            <w:r>
              <w:rPr>
                <w:sz w:val="18"/>
              </w:rPr>
              <w:t>4c</w:t>
            </w:r>
          </w:p>
        </w:tc>
      </w:tr>
      <w:tr>
        <w:trPr>
          <w:trHeight w:val="275" w:hRule="atLeast"/>
        </w:trPr>
        <w:tc>
          <w:tcPr>
            <w:tcW w:w="1286" w:type="dxa"/>
          </w:tcPr>
          <w:p>
            <w:pPr>
              <w:pStyle w:val="TableParagraph"/>
              <w:spacing w:before="28"/>
              <w:ind w:left="170"/>
              <w:rPr>
                <w:sz w:val="18"/>
              </w:rPr>
            </w:pPr>
            <w:r>
              <w:rPr>
                <w:sz w:val="18"/>
              </w:rPr>
              <w:t>Cuba</w:t>
            </w:r>
          </w:p>
        </w:tc>
        <w:tc>
          <w:tcPr>
            <w:tcW w:w="1288" w:type="dxa"/>
          </w:tcPr>
          <w:p>
            <w:pPr>
              <w:pStyle w:val="TableParagraph"/>
              <w:spacing w:before="28"/>
              <w:ind w:left="110" w:right="102"/>
              <w:jc w:val="center"/>
              <w:rPr>
                <w:sz w:val="18"/>
              </w:rPr>
            </w:pPr>
            <w:r>
              <w:rPr>
                <w:sz w:val="18"/>
              </w:rPr>
              <w:t>658</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4c</w:t>
            </w:r>
          </w:p>
        </w:tc>
      </w:tr>
      <w:tr>
        <w:trPr>
          <w:trHeight w:val="273" w:hRule="atLeast"/>
        </w:trPr>
        <w:tc>
          <w:tcPr>
            <w:tcW w:w="1286" w:type="dxa"/>
          </w:tcPr>
          <w:p>
            <w:pPr>
              <w:pStyle w:val="TableParagraph"/>
              <w:spacing w:before="28"/>
              <w:ind w:left="170"/>
              <w:rPr>
                <w:sz w:val="18"/>
              </w:rPr>
            </w:pPr>
            <w:r>
              <w:rPr>
                <w:sz w:val="18"/>
              </w:rPr>
              <w:t>Guyana</w:t>
            </w:r>
          </w:p>
        </w:tc>
        <w:tc>
          <w:tcPr>
            <w:tcW w:w="1288" w:type="dxa"/>
          </w:tcPr>
          <w:p>
            <w:pPr>
              <w:pStyle w:val="TableParagraph"/>
              <w:spacing w:before="28"/>
              <w:ind w:left="110" w:right="102"/>
              <w:jc w:val="center"/>
              <w:rPr>
                <w:sz w:val="18"/>
              </w:rPr>
            </w:pPr>
            <w:r>
              <w:rPr>
                <w:sz w:val="18"/>
              </w:rPr>
              <w:t>814</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4c</w:t>
            </w:r>
          </w:p>
        </w:tc>
      </w:tr>
      <w:tr>
        <w:trPr>
          <w:trHeight w:val="273" w:hRule="atLeast"/>
        </w:trPr>
        <w:tc>
          <w:tcPr>
            <w:tcW w:w="1286" w:type="dxa"/>
          </w:tcPr>
          <w:p>
            <w:pPr>
              <w:pStyle w:val="TableParagraph"/>
              <w:spacing w:before="28"/>
              <w:ind w:left="170"/>
              <w:rPr>
                <w:sz w:val="18"/>
              </w:rPr>
            </w:pPr>
            <w:r>
              <w:rPr>
                <w:sz w:val="18"/>
              </w:rPr>
              <w:t>Honduras</w:t>
            </w:r>
          </w:p>
        </w:tc>
        <w:tc>
          <w:tcPr>
            <w:tcW w:w="1288" w:type="dxa"/>
          </w:tcPr>
          <w:p>
            <w:pPr>
              <w:pStyle w:val="TableParagraph"/>
              <w:spacing w:before="28"/>
              <w:ind w:left="110" w:right="102"/>
              <w:jc w:val="center"/>
              <w:rPr>
                <w:sz w:val="18"/>
              </w:rPr>
            </w:pPr>
            <w:r>
              <w:rPr>
                <w:sz w:val="18"/>
              </w:rPr>
              <w:t>453</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4c</w:t>
            </w:r>
          </w:p>
        </w:tc>
      </w:tr>
      <w:tr>
        <w:trPr>
          <w:trHeight w:val="275" w:hRule="atLeast"/>
        </w:trPr>
        <w:tc>
          <w:tcPr>
            <w:tcW w:w="1286" w:type="dxa"/>
          </w:tcPr>
          <w:p>
            <w:pPr>
              <w:pStyle w:val="TableParagraph"/>
              <w:spacing w:before="28"/>
              <w:ind w:left="170"/>
              <w:rPr>
                <w:sz w:val="18"/>
              </w:rPr>
            </w:pPr>
            <w:r>
              <w:rPr>
                <w:sz w:val="18"/>
              </w:rPr>
              <w:t>Mexico</w:t>
            </w:r>
          </w:p>
        </w:tc>
        <w:tc>
          <w:tcPr>
            <w:tcW w:w="1288" w:type="dxa"/>
          </w:tcPr>
          <w:p>
            <w:pPr>
              <w:pStyle w:val="TableParagraph"/>
              <w:spacing w:before="28"/>
              <w:ind w:left="107" w:right="102"/>
              <w:jc w:val="center"/>
              <w:rPr>
                <w:sz w:val="18"/>
              </w:rPr>
            </w:pPr>
            <w:r>
              <w:rPr>
                <w:sz w:val="18"/>
              </w:rPr>
              <w:t>1000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4c</w:t>
            </w:r>
          </w:p>
        </w:tc>
      </w:tr>
      <w:tr>
        <w:trPr>
          <w:trHeight w:val="273" w:hRule="atLeast"/>
        </w:trPr>
        <w:tc>
          <w:tcPr>
            <w:tcW w:w="1286" w:type="dxa"/>
          </w:tcPr>
          <w:p>
            <w:pPr>
              <w:pStyle w:val="TableParagraph"/>
              <w:spacing w:before="28"/>
              <w:ind w:left="170"/>
              <w:rPr>
                <w:sz w:val="18"/>
              </w:rPr>
            </w:pPr>
            <w:r>
              <w:rPr>
                <w:sz w:val="18"/>
              </w:rPr>
              <w:t>Nicaragua</w:t>
            </w:r>
          </w:p>
        </w:tc>
        <w:tc>
          <w:tcPr>
            <w:tcW w:w="1288" w:type="dxa"/>
          </w:tcPr>
          <w:p>
            <w:pPr>
              <w:pStyle w:val="TableParagraph"/>
              <w:spacing w:before="28"/>
              <w:ind w:left="111" w:right="102"/>
              <w:jc w:val="center"/>
              <w:rPr>
                <w:sz w:val="18"/>
              </w:rPr>
            </w:pPr>
            <w:r>
              <w:rPr>
                <w:sz w:val="18"/>
              </w:rPr>
              <w:t>371</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8"/>
              <w:jc w:val="center"/>
              <w:rPr>
                <w:sz w:val="18"/>
              </w:rPr>
            </w:pPr>
            <w:r>
              <w:rPr>
                <w:sz w:val="18"/>
              </w:rPr>
              <w:t>4c</w:t>
            </w:r>
          </w:p>
        </w:tc>
      </w:tr>
      <w:tr>
        <w:trPr>
          <w:trHeight w:val="273" w:hRule="atLeast"/>
        </w:trPr>
        <w:tc>
          <w:tcPr>
            <w:tcW w:w="1286" w:type="dxa"/>
          </w:tcPr>
          <w:p>
            <w:pPr>
              <w:pStyle w:val="TableParagraph"/>
              <w:spacing w:before="28"/>
              <w:ind w:left="170"/>
              <w:rPr>
                <w:sz w:val="18"/>
              </w:rPr>
            </w:pPr>
            <w:r>
              <w:rPr>
                <w:sz w:val="18"/>
              </w:rPr>
              <w:t>Venezuela</w:t>
            </w:r>
          </w:p>
        </w:tc>
        <w:tc>
          <w:tcPr>
            <w:tcW w:w="1288" w:type="dxa"/>
          </w:tcPr>
          <w:p>
            <w:pPr>
              <w:pStyle w:val="TableParagraph"/>
              <w:spacing w:before="28"/>
              <w:ind w:left="106" w:right="102"/>
              <w:jc w:val="center"/>
              <w:rPr>
                <w:sz w:val="18"/>
              </w:rPr>
            </w:pPr>
            <w:r>
              <w:rPr>
                <w:sz w:val="18"/>
              </w:rPr>
              <w:t>1000</w:t>
            </w:r>
          </w:p>
        </w:tc>
        <w:tc>
          <w:tcPr>
            <w:tcW w:w="1343" w:type="dxa"/>
          </w:tcPr>
          <w:p>
            <w:pPr>
              <w:pStyle w:val="TableParagraph"/>
              <w:rPr>
                <w:sz w:val="16"/>
              </w:rPr>
            </w:pPr>
          </w:p>
        </w:tc>
        <w:tc>
          <w:tcPr>
            <w:tcW w:w="1343" w:type="dxa"/>
          </w:tcPr>
          <w:p>
            <w:pPr>
              <w:pStyle w:val="TableParagraph"/>
              <w:rPr>
                <w:sz w:val="16"/>
              </w:rPr>
            </w:pPr>
          </w:p>
        </w:tc>
        <w:tc>
          <w:tcPr>
            <w:tcW w:w="1173" w:type="dxa"/>
          </w:tcPr>
          <w:p>
            <w:pPr>
              <w:pStyle w:val="TableParagraph"/>
              <w:rPr>
                <w:sz w:val="16"/>
              </w:rPr>
            </w:pPr>
          </w:p>
        </w:tc>
        <w:tc>
          <w:tcPr>
            <w:tcW w:w="1288" w:type="dxa"/>
          </w:tcPr>
          <w:p>
            <w:pPr>
              <w:pStyle w:val="TableParagraph"/>
              <w:spacing w:before="28"/>
              <w:ind w:left="119" w:right="99"/>
              <w:jc w:val="center"/>
              <w:rPr>
                <w:sz w:val="18"/>
              </w:rPr>
            </w:pPr>
            <w:r>
              <w:rPr>
                <w:sz w:val="18"/>
              </w:rPr>
              <w:t>100</w:t>
            </w:r>
          </w:p>
        </w:tc>
        <w:tc>
          <w:tcPr>
            <w:tcW w:w="1288" w:type="dxa"/>
          </w:tcPr>
          <w:p>
            <w:pPr>
              <w:pStyle w:val="TableParagraph"/>
              <w:spacing w:before="28"/>
              <w:ind w:left="119" w:right="97"/>
              <w:jc w:val="center"/>
              <w:rPr>
                <w:sz w:val="18"/>
              </w:rPr>
            </w:pPr>
            <w:r>
              <w:rPr>
                <w:sz w:val="18"/>
              </w:rPr>
              <w:t>4c</w:t>
            </w:r>
          </w:p>
        </w:tc>
      </w:tr>
      <w:tr>
        <w:trPr>
          <w:trHeight w:val="1763" w:hRule="atLeast"/>
        </w:trPr>
        <w:tc>
          <w:tcPr>
            <w:tcW w:w="9009" w:type="dxa"/>
            <w:gridSpan w:val="7"/>
          </w:tcPr>
          <w:p>
            <w:pPr>
              <w:pStyle w:val="TableParagraph"/>
              <w:spacing w:line="242" w:lineRule="auto"/>
              <w:ind w:left="54" w:right="12"/>
              <w:rPr>
                <w:sz w:val="18"/>
              </w:rPr>
            </w:pPr>
            <w:r>
              <w:rPr>
                <w:sz w:val="18"/>
              </w:rPr>
              <w:t>References: 1 Lappalainen (1996), 2 European wetlands inventory review, draft national reports (http://www.wetlands.org), 3 national inventory, 4a-c Lappalainen and Zurek (1996), 5 Xuehui and Yan (1996), 6 Umeda and Inoue (1996), 7</w:t>
            </w:r>
          </w:p>
          <w:p>
            <w:pPr>
              <w:pStyle w:val="TableParagraph"/>
              <w:spacing w:line="204" w:lineRule="exact"/>
              <w:ind w:left="54"/>
              <w:rPr>
                <w:sz w:val="18"/>
              </w:rPr>
            </w:pPr>
            <w:r>
              <w:rPr>
                <w:sz w:val="18"/>
              </w:rPr>
              <w:t>Tarnocai, </w:t>
            </w:r>
            <w:r>
              <w:rPr>
                <w:i/>
                <w:sz w:val="18"/>
              </w:rPr>
              <w:t>et al. </w:t>
            </w:r>
            <w:r>
              <w:rPr>
                <w:sz w:val="18"/>
              </w:rPr>
              <w:t>(2000), 8 Andriesse (1988), 9 OECD/IUCN (1996)</w:t>
            </w:r>
          </w:p>
          <w:p>
            <w:pPr>
              <w:pStyle w:val="TableParagraph"/>
              <w:spacing w:before="20"/>
              <w:ind w:left="54"/>
              <w:rPr>
                <w:sz w:val="16"/>
              </w:rPr>
            </w:pPr>
            <w:r>
              <w:rPr>
                <w:position w:val="7"/>
                <w:sz w:val="10"/>
              </w:rPr>
              <w:t>a </w:t>
            </w:r>
            <w:r>
              <w:rPr>
                <w:sz w:val="16"/>
              </w:rPr>
              <w:t>Peat extraction for fuel: </w:t>
            </w:r>
            <w:hyperlink r:id="rId272">
              <w:r>
                <w:rPr>
                  <w:sz w:val="16"/>
                </w:rPr>
                <w:t>http://www.worldenergy.org/wec-geis/publications/reports/ser/peat/peat.asp</w:t>
              </w:r>
            </w:hyperlink>
          </w:p>
          <w:p>
            <w:pPr>
              <w:pStyle w:val="TableParagraph"/>
              <w:spacing w:before="86"/>
              <w:ind w:left="54" w:right="116"/>
              <w:jc w:val="both"/>
              <w:rPr>
                <w:sz w:val="16"/>
              </w:rPr>
            </w:pPr>
            <w:r>
              <w:rPr>
                <w:position w:val="7"/>
                <w:sz w:val="10"/>
              </w:rPr>
              <w:t>b </w:t>
            </w:r>
            <w:r>
              <w:rPr>
                <w:sz w:val="16"/>
              </w:rPr>
              <w:t>Andriesse (1988); The definition for tropics used by Andriesse (1988) is broader than the commonly used area between the between the Tropic of Cancer (25</w:t>
            </w:r>
            <w:r>
              <w:rPr>
                <w:sz w:val="16"/>
                <w:vertAlign w:val="superscript"/>
              </w:rPr>
              <w:t>o</w:t>
            </w:r>
            <w:r>
              <w:rPr>
                <w:sz w:val="16"/>
                <w:vertAlign w:val="baseline"/>
              </w:rPr>
              <w:t> N) and the Tropic of Capricorn (25</w:t>
            </w:r>
            <w:r>
              <w:rPr>
                <w:sz w:val="16"/>
                <w:vertAlign w:val="superscript"/>
              </w:rPr>
              <w:t>o</w:t>
            </w:r>
            <w:r>
              <w:rPr>
                <w:sz w:val="16"/>
                <w:vertAlign w:val="baseline"/>
              </w:rPr>
              <w:t> S). Using this definition, e.g. land areas of New Zealand and Iraq would not be classified as tropical.</w:t>
            </w:r>
          </w:p>
          <w:p>
            <w:pPr>
              <w:pStyle w:val="TableParagraph"/>
              <w:spacing w:line="215" w:lineRule="exact" w:before="36"/>
              <w:ind w:left="54"/>
              <w:jc w:val="both"/>
              <w:rPr>
                <w:sz w:val="18"/>
              </w:rPr>
            </w:pPr>
            <w:r>
              <w:rPr>
                <w:position w:val="8"/>
                <w:sz w:val="12"/>
              </w:rPr>
              <w:t>c </w:t>
            </w:r>
            <w:r>
              <w:rPr>
                <w:sz w:val="18"/>
              </w:rPr>
              <w:t>Total area affected by hydroelectric reservoir construction estimated to exceed 9000km</w:t>
            </w:r>
            <w:r>
              <w:rPr>
                <w:sz w:val="18"/>
                <w:vertAlign w:val="superscript"/>
              </w:rPr>
              <w:t>2</w:t>
            </w:r>
            <w:r>
              <w:rPr>
                <w:sz w:val="18"/>
                <w:vertAlign w:val="baseline"/>
              </w:rPr>
              <w:t>.</w:t>
            </w:r>
          </w:p>
        </w:tc>
      </w:tr>
    </w:tbl>
    <w:p>
      <w:pPr>
        <w:spacing w:after="0" w:line="215" w:lineRule="exact"/>
        <w:jc w:val="both"/>
        <w:rPr>
          <w:sz w:val="18"/>
        </w:rPr>
        <w:sectPr>
          <w:footerReference w:type="even" r:id="rId270"/>
          <w:footerReference w:type="default" r:id="rId271"/>
          <w:pgSz w:w="11900" w:h="16840"/>
          <w:pgMar w:footer="408" w:header="230" w:top="560" w:bottom="600" w:left="1260" w:right="1240"/>
          <w:pgNumType w:start="282"/>
        </w:sectPr>
      </w:pPr>
    </w:p>
    <w:p>
      <w:pPr>
        <w:pStyle w:val="BodyText"/>
      </w:pPr>
    </w:p>
    <w:p>
      <w:pPr>
        <w:pStyle w:val="Heading6"/>
        <w:spacing w:before="214"/>
        <w:jc w:val="both"/>
      </w:pPr>
      <w:r>
        <w:rPr/>
        <w:t>3</w:t>
      </w:r>
      <w:r>
        <w:rPr>
          <w:sz w:val="18"/>
        </w:rPr>
        <w:t>A</w:t>
      </w:r>
      <w:r>
        <w:rPr/>
        <w:t>.3. 2.1.2 .2 Uncertainty Assessment</w:t>
      </w:r>
    </w:p>
    <w:p>
      <w:pPr>
        <w:pStyle w:val="BodyText"/>
        <w:spacing w:before="57"/>
        <w:ind w:left="159" w:right="165"/>
        <w:jc w:val="both"/>
      </w:pPr>
      <w:r>
        <w:rPr>
          <w:b/>
        </w:rPr>
        <w:t>Tier 1: </w:t>
      </w:r>
      <w:r>
        <w:rPr/>
        <w:t>The key uncertainties in Tier 1 are the default emission factors and area estimates. Emission factors and parameters have been developed from only a few (less than 10) data points, and may not be representative for large areas or climate zones. The standard deviation of the emission factors easily exceeds 100% of the mean, but underlying probability functions are likely to be non-normal. Countries are encouraged to use the range rather than the standard</w:t>
      </w:r>
      <w:r>
        <w:rPr>
          <w:spacing w:val="1"/>
        </w:rPr>
        <w:t> </w:t>
      </w:r>
      <w:r>
        <w:rPr/>
        <w:t>deviation.</w:t>
      </w:r>
    </w:p>
    <w:p>
      <w:pPr>
        <w:pStyle w:val="BodyText"/>
        <w:spacing w:before="117"/>
        <w:ind w:left="159" w:right="164"/>
        <w:jc w:val="both"/>
      </w:pPr>
      <w:r>
        <w:rPr/>
        <w:t>The area of drained peatlands may have an uncertainty of 50% in Europe and North America, but may be a factor of 2 in the rest of the world. Uncertainty in Southeast Asia is extremely high and the peatlands are under particular pressure, mainly because of urbanisation and intensification of agriculture and forestry, and possibly also for peat extraction.</w:t>
      </w:r>
    </w:p>
    <w:p>
      <w:pPr>
        <w:pStyle w:val="BodyText"/>
        <w:spacing w:before="119"/>
        <w:ind w:left="159" w:right="168"/>
        <w:jc w:val="both"/>
      </w:pPr>
      <w:r>
        <w:rPr>
          <w:b/>
        </w:rPr>
        <w:t>Tier 2: </w:t>
      </w:r>
      <w:r>
        <w:rPr/>
        <w:t>Countries with significant areas of organic soils managed for peat extraction that use a Tier 2 method  are encouraged to provide an assessment of total uncertainty (see Chapter 5, Section 5.2, Identifying and Quantifying Uncertainties of this report) for all significant contributions to the emissions (drainage / rewetting, area, country-specific</w:t>
      </w:r>
      <w:r>
        <w:rPr>
          <w:spacing w:val="1"/>
        </w:rPr>
        <w:t> </w:t>
      </w:r>
      <w:r>
        <w:rPr/>
        <w:t>parameters).</w:t>
      </w:r>
    </w:p>
    <w:p>
      <w:pPr>
        <w:pStyle w:val="BodyText"/>
        <w:spacing w:before="119"/>
        <w:ind w:left="159" w:right="165"/>
        <w:jc w:val="both"/>
      </w:pPr>
      <w:r>
        <w:rPr>
          <w:b/>
        </w:rPr>
        <w:t>Tier 3: </w:t>
      </w:r>
      <w:r>
        <w:rPr/>
        <w:t>Process-based models will in principle provide more realistic estimates but need to be calibrated and validated against measurements. Generic guidance on uncertainty assessment for advanced methods is given in Chapter 5 (Section 5.2 Identifying and Quantifying Uncertainties) of this report. Since drainage of peatlands leads to peat compaction and oxidation the stock change approach to monitor CO</w:t>
      </w:r>
      <w:r>
        <w:rPr>
          <w:vertAlign w:val="subscript"/>
        </w:rPr>
        <w:t>2</w:t>
      </w:r>
      <w:r>
        <w:rPr>
          <w:vertAlign w:val="baseline"/>
        </w:rPr>
        <w:t> fluxes can be imprecise. If used, it should be calibrated with appropriate flux</w:t>
      </w:r>
      <w:r>
        <w:rPr>
          <w:spacing w:val="2"/>
          <w:vertAlign w:val="baseline"/>
        </w:rPr>
        <w:t> </w:t>
      </w:r>
      <w:r>
        <w:rPr>
          <w:vertAlign w:val="baseline"/>
        </w:rPr>
        <w:t>measurements.</w:t>
      </w:r>
    </w:p>
    <w:p>
      <w:pPr>
        <w:pStyle w:val="BodyText"/>
        <w:rPr>
          <w:sz w:val="22"/>
        </w:rPr>
      </w:pPr>
    </w:p>
    <w:p>
      <w:pPr>
        <w:spacing w:before="148"/>
        <w:ind w:left="159" w:right="0" w:firstLine="0"/>
        <w:jc w:val="both"/>
        <w:rPr>
          <w:b/>
          <w:sz w:val="22"/>
        </w:rPr>
      </w:pPr>
      <w:r>
        <w:rPr>
          <w:b/>
          <w:spacing w:val="16"/>
          <w:sz w:val="28"/>
        </w:rPr>
        <w:t>3a.3.2.2 </w:t>
      </w:r>
      <w:r>
        <w:rPr>
          <w:b/>
          <w:spacing w:val="12"/>
          <w:sz w:val="28"/>
        </w:rPr>
        <w:t>N</w:t>
      </w:r>
      <w:r>
        <w:rPr>
          <w:b/>
          <w:spacing w:val="12"/>
          <w:sz w:val="28"/>
          <w:vertAlign w:val="subscript"/>
        </w:rPr>
        <w:t>2</w:t>
      </w:r>
      <w:r>
        <w:rPr>
          <w:b/>
          <w:spacing w:val="12"/>
          <w:sz w:val="28"/>
          <w:vertAlign w:val="baseline"/>
        </w:rPr>
        <w:t>O </w:t>
      </w:r>
      <w:r>
        <w:rPr>
          <w:b/>
          <w:spacing w:val="16"/>
          <w:sz w:val="22"/>
          <w:vertAlign w:val="baseline"/>
        </w:rPr>
        <w:t>EMISSIONS </w:t>
      </w:r>
      <w:r>
        <w:rPr>
          <w:b/>
          <w:spacing w:val="15"/>
          <w:sz w:val="22"/>
          <w:vertAlign w:val="baseline"/>
        </w:rPr>
        <w:t>FROM </w:t>
      </w:r>
      <w:r>
        <w:rPr>
          <w:b/>
          <w:spacing w:val="16"/>
          <w:sz w:val="22"/>
          <w:vertAlign w:val="baseline"/>
        </w:rPr>
        <w:t>DRAINED</w:t>
      </w:r>
      <w:r>
        <w:rPr>
          <w:b/>
          <w:spacing w:val="70"/>
          <w:sz w:val="22"/>
          <w:vertAlign w:val="baseline"/>
        </w:rPr>
        <w:t> </w:t>
      </w:r>
      <w:r>
        <w:rPr>
          <w:b/>
          <w:spacing w:val="19"/>
          <w:sz w:val="22"/>
          <w:vertAlign w:val="baseline"/>
        </w:rPr>
        <w:t>PEATLAND</w:t>
      </w:r>
    </w:p>
    <w:p>
      <w:pPr>
        <w:pStyle w:val="BodyText"/>
        <w:rPr>
          <w:b/>
          <w:sz w:val="29"/>
        </w:rPr>
      </w:pPr>
    </w:p>
    <w:p>
      <w:pPr>
        <w:pStyle w:val="Heading6"/>
        <w:jc w:val="both"/>
      </w:pPr>
      <w:r>
        <w:rPr/>
        <w:t>3a.3.2. 2.1 Methodological Issues</w:t>
      </w:r>
    </w:p>
    <w:p>
      <w:pPr>
        <w:pStyle w:val="BodyText"/>
        <w:spacing w:before="56"/>
        <w:ind w:left="159"/>
        <w:jc w:val="both"/>
      </w:pPr>
      <w:r>
        <w:rPr/>
        <w:t>The method for estimating N</w:t>
      </w:r>
      <w:r>
        <w:rPr>
          <w:vertAlign w:val="subscript"/>
        </w:rPr>
        <w:t>2</w:t>
      </w:r>
      <w:r>
        <w:rPr>
          <w:vertAlign w:val="baseline"/>
        </w:rPr>
        <w:t>O emissions from drained peatlands is shown in the equation below.</w:t>
      </w:r>
    </w:p>
    <w:p>
      <w:pPr>
        <w:pStyle w:val="BodyText"/>
        <w:spacing w:before="2"/>
        <w:rPr>
          <w:sz w:val="11"/>
        </w:rPr>
      </w:pPr>
      <w:r>
        <w:rPr/>
        <w:pict>
          <v:shape style="position:absolute;margin-left:91.960999pt;margin-top:9.145537pt;width:411.5pt;height:64.45pt;mso-position-horizontal-relative:page;mso-position-vertical-relative:paragraph;z-index:14552;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3a.3.7</w:t>
                  </w:r>
                </w:p>
                <w:p>
                  <w:pPr>
                    <w:spacing w:line="229" w:lineRule="exact" w:before="0"/>
                    <w:ind w:left="67" w:right="68" w:firstLine="0"/>
                    <w:jc w:val="center"/>
                    <w:rPr>
                      <w:b/>
                      <w:sz w:val="16"/>
                    </w:rPr>
                  </w:pPr>
                  <w:r>
                    <w:rPr>
                      <w:b/>
                      <w:sz w:val="20"/>
                    </w:rPr>
                    <w:t>N</w:t>
                  </w:r>
                  <w:r>
                    <w:rPr>
                      <w:b/>
                      <w:sz w:val="20"/>
                      <w:vertAlign w:val="subscript"/>
                    </w:rPr>
                    <w:t>2</w:t>
                  </w:r>
                  <w:r>
                    <w:rPr>
                      <w:b/>
                      <w:sz w:val="20"/>
                      <w:vertAlign w:val="baseline"/>
                    </w:rPr>
                    <w:t>O </w:t>
                  </w:r>
                  <w:r>
                    <w:rPr>
                      <w:b/>
                      <w:sz w:val="16"/>
                      <w:vertAlign w:val="baseline"/>
                    </w:rPr>
                    <w:t>EMISSIONS FROM DRAINED WETLANDS</w:t>
                  </w:r>
                </w:p>
                <w:p>
                  <w:pPr>
                    <w:spacing w:line="223" w:lineRule="auto" w:before="84"/>
                    <w:ind w:left="67" w:right="68" w:firstLine="0"/>
                    <w:jc w:val="center"/>
                    <w:rPr>
                      <w:sz w:val="20"/>
                    </w:rPr>
                  </w:pPr>
                  <w:r>
                    <w:rPr>
                      <w:sz w:val="20"/>
                    </w:rPr>
                    <w:t>Direct N</w:t>
                  </w:r>
                  <w:r>
                    <w:rPr>
                      <w:position w:val="-2"/>
                      <w:sz w:val="13"/>
                    </w:rPr>
                    <w:t>2</w:t>
                  </w:r>
                  <w:r>
                    <w:rPr>
                      <w:sz w:val="20"/>
                    </w:rPr>
                    <w:t>O emissions </w:t>
                  </w:r>
                  <w:r>
                    <w:rPr>
                      <w:position w:val="-2"/>
                      <w:sz w:val="13"/>
                    </w:rPr>
                    <w:t>WW peat </w:t>
                  </w:r>
                  <w:r>
                    <w:rPr>
                      <w:sz w:val="20"/>
                    </w:rPr>
                    <w:t>= (A </w:t>
                  </w:r>
                  <w:r>
                    <w:rPr>
                      <w:position w:val="-2"/>
                      <w:sz w:val="13"/>
                    </w:rPr>
                    <w:t>peat</w:t>
                  </w:r>
                  <w:r>
                    <w:rPr>
                      <w:position w:val="-8"/>
                      <w:sz w:val="13"/>
                    </w:rPr>
                    <w:t>Nrich </w:t>
                  </w:r>
                  <w:r>
                    <w:rPr>
                      <w:sz w:val="20"/>
                    </w:rPr>
                    <w:t>● EF </w:t>
                  </w:r>
                  <w:r>
                    <w:rPr>
                      <w:position w:val="-2"/>
                      <w:sz w:val="13"/>
                    </w:rPr>
                    <w:t>peat </w:t>
                  </w:r>
                  <w:r>
                    <w:rPr>
                      <w:position w:val="-8"/>
                      <w:sz w:val="13"/>
                    </w:rPr>
                    <w:t>Nrich </w:t>
                  </w:r>
                  <w:r>
                    <w:rPr>
                      <w:sz w:val="20"/>
                    </w:rPr>
                    <w:t>+ A </w:t>
                  </w:r>
                  <w:r>
                    <w:rPr>
                      <w:position w:val="-2"/>
                      <w:sz w:val="13"/>
                    </w:rPr>
                    <w:t>peat </w:t>
                  </w:r>
                  <w:r>
                    <w:rPr>
                      <w:position w:val="-8"/>
                      <w:sz w:val="13"/>
                    </w:rPr>
                    <w:t>Npoor </w:t>
                  </w:r>
                  <w:r>
                    <w:rPr>
                      <w:sz w:val="20"/>
                    </w:rPr>
                    <w:t>● EF </w:t>
                  </w:r>
                  <w:r>
                    <w:rPr>
                      <w:position w:val="-2"/>
                      <w:sz w:val="13"/>
                    </w:rPr>
                    <w:t>peat </w:t>
                  </w:r>
                  <w:r>
                    <w:rPr>
                      <w:position w:val="-8"/>
                      <w:sz w:val="13"/>
                    </w:rPr>
                    <w:t>Npoor</w:t>
                  </w:r>
                  <w:r>
                    <w:rPr>
                      <w:sz w:val="20"/>
                    </w:rPr>
                    <w:t>)</w:t>
                  </w:r>
                </w:p>
                <w:p>
                  <w:pPr>
                    <w:pStyle w:val="BodyText"/>
                    <w:spacing w:line="223" w:lineRule="exact"/>
                    <w:ind w:left="111" w:right="61"/>
                    <w:jc w:val="center"/>
                  </w:pPr>
                  <w:r>
                    <w:rPr/>
                    <w:t>● 44/28 ● 10</w:t>
                  </w:r>
                  <w:r>
                    <w:rPr>
                      <w:vertAlign w:val="superscript"/>
                    </w:rPr>
                    <w:t>-6</w:t>
                  </w:r>
                </w:p>
              </w:txbxContent>
            </v:textbox>
            <v:stroke dashstyle="solid"/>
            <w10:wrap type="topAndBottom"/>
          </v:shape>
        </w:pict>
      </w:r>
    </w:p>
    <w:p>
      <w:pPr>
        <w:pStyle w:val="BodyText"/>
        <w:spacing w:before="4"/>
        <w:ind w:left="159"/>
      </w:pPr>
      <w:r>
        <w:rPr/>
        <w:t>Where:</w:t>
      </w:r>
    </w:p>
    <w:p>
      <w:pPr>
        <w:pStyle w:val="BodyText"/>
        <w:spacing w:line="357" w:lineRule="auto" w:before="118"/>
        <w:ind w:left="725" w:right="4125"/>
        <w:jc w:val="both"/>
      </w:pPr>
      <w:r>
        <w:rPr/>
        <w:t>N</w:t>
      </w:r>
      <w:r>
        <w:rPr>
          <w:vertAlign w:val="subscript"/>
        </w:rPr>
        <w:t>2</w:t>
      </w:r>
      <w:r>
        <w:rPr>
          <w:vertAlign w:val="baseline"/>
        </w:rPr>
        <w:t>O emissions </w:t>
      </w:r>
      <w:r>
        <w:rPr>
          <w:vertAlign w:val="subscript"/>
        </w:rPr>
        <w:t>WW</w:t>
      </w:r>
      <w:r>
        <w:rPr>
          <w:vertAlign w:val="baseline"/>
        </w:rPr>
        <w:t> </w:t>
      </w:r>
      <w:r>
        <w:rPr>
          <w:vertAlign w:val="subscript"/>
        </w:rPr>
        <w:t>peat</w:t>
      </w:r>
      <w:r>
        <w:rPr>
          <w:vertAlign w:val="baseline"/>
        </w:rPr>
        <w:t> = emissions of N</w:t>
      </w:r>
      <w:r>
        <w:rPr>
          <w:vertAlign w:val="subscript"/>
        </w:rPr>
        <w:t>2</w:t>
      </w:r>
      <w:r>
        <w:rPr>
          <w:vertAlign w:val="baseline"/>
        </w:rPr>
        <w:t>O, Gg N</w:t>
      </w:r>
      <w:r>
        <w:rPr>
          <w:vertAlign w:val="subscript"/>
        </w:rPr>
        <w:t>2</w:t>
      </w:r>
      <w:r>
        <w:rPr>
          <w:vertAlign w:val="baseline"/>
        </w:rPr>
        <w:t>O yr</w:t>
      </w:r>
      <w:r>
        <w:rPr>
          <w:vertAlign w:val="superscript"/>
        </w:rPr>
        <w:t>-1</w:t>
      </w:r>
      <w:r>
        <w:rPr>
          <w:vertAlign w:val="baseline"/>
        </w:rPr>
        <w:t> A</w:t>
      </w:r>
      <w:r>
        <w:rPr>
          <w:vertAlign w:val="subscript"/>
        </w:rPr>
        <w:t>peat</w:t>
      </w:r>
      <w:r>
        <w:rPr>
          <w:position w:val="-8"/>
          <w:sz w:val="13"/>
          <w:vertAlign w:val="baseline"/>
        </w:rPr>
        <w:t>Nrich </w:t>
      </w:r>
      <w:r>
        <w:rPr>
          <w:vertAlign w:val="baseline"/>
        </w:rPr>
        <w:t>= area of drained nutrient rich organic soils, ha A</w:t>
      </w:r>
      <w:r>
        <w:rPr>
          <w:vertAlign w:val="subscript"/>
        </w:rPr>
        <w:t>peat</w:t>
      </w:r>
      <w:r>
        <w:rPr>
          <w:position w:val="-8"/>
          <w:sz w:val="13"/>
          <w:vertAlign w:val="baseline"/>
        </w:rPr>
        <w:t>Npoor </w:t>
      </w:r>
      <w:r>
        <w:rPr>
          <w:vertAlign w:val="baseline"/>
        </w:rPr>
        <w:t>= area of drained nutrient poor organic soils, ha</w:t>
      </w:r>
    </w:p>
    <w:p>
      <w:pPr>
        <w:pStyle w:val="BodyText"/>
        <w:spacing w:line="348" w:lineRule="auto"/>
        <w:ind w:left="725" w:right="849"/>
      </w:pPr>
      <w:r>
        <w:rPr/>
        <w:t>EF</w:t>
      </w:r>
      <w:r>
        <w:rPr>
          <w:vertAlign w:val="subscript"/>
        </w:rPr>
        <w:t>peat</w:t>
      </w:r>
      <w:r>
        <w:rPr>
          <w:vertAlign w:val="baseline"/>
        </w:rPr>
        <w:t> </w:t>
      </w:r>
      <w:r>
        <w:rPr>
          <w:position w:val="-8"/>
          <w:sz w:val="13"/>
          <w:vertAlign w:val="baseline"/>
        </w:rPr>
        <w:t>Nrich </w:t>
      </w:r>
      <w:r>
        <w:rPr>
          <w:vertAlign w:val="baseline"/>
        </w:rPr>
        <w:t>= emission factor for drained nutrient rich wetlands organic soils, kg N</w:t>
      </w:r>
      <w:r>
        <w:rPr>
          <w:vertAlign w:val="subscript"/>
        </w:rPr>
        <w:t>2</w:t>
      </w:r>
      <w:r>
        <w:rPr>
          <w:vertAlign w:val="baseline"/>
        </w:rPr>
        <w:t>O-N ha</w:t>
      </w:r>
      <w:r>
        <w:rPr>
          <w:vertAlign w:val="superscript"/>
        </w:rPr>
        <w:t>-1</w:t>
      </w:r>
      <w:r>
        <w:rPr>
          <w:vertAlign w:val="baseline"/>
        </w:rPr>
        <w:t> yr</w:t>
      </w:r>
      <w:r>
        <w:rPr>
          <w:vertAlign w:val="superscript"/>
        </w:rPr>
        <w:t>-1</w:t>
      </w:r>
      <w:r>
        <w:rPr>
          <w:vertAlign w:val="baseline"/>
        </w:rPr>
        <w:t> EF</w:t>
      </w:r>
      <w:r>
        <w:rPr>
          <w:vertAlign w:val="subscript"/>
        </w:rPr>
        <w:t>peat</w:t>
      </w:r>
      <w:r>
        <w:rPr>
          <w:vertAlign w:val="baseline"/>
        </w:rPr>
        <w:t> </w:t>
      </w:r>
      <w:r>
        <w:rPr>
          <w:position w:val="-8"/>
          <w:sz w:val="13"/>
          <w:vertAlign w:val="baseline"/>
        </w:rPr>
        <w:t>Npoor </w:t>
      </w:r>
      <w:r>
        <w:rPr>
          <w:position w:val="-5"/>
          <w:vertAlign w:val="baseline"/>
        </w:rPr>
        <w:t>= </w:t>
      </w:r>
      <w:r>
        <w:rPr>
          <w:vertAlign w:val="baseline"/>
        </w:rPr>
        <w:t>emission factor for drained nutrient poor organic soils, kg N</w:t>
      </w:r>
      <w:r>
        <w:rPr>
          <w:vertAlign w:val="subscript"/>
        </w:rPr>
        <w:t>2</w:t>
      </w:r>
      <w:r>
        <w:rPr>
          <w:vertAlign w:val="baseline"/>
        </w:rPr>
        <w:t>O-N ha</w:t>
      </w:r>
      <w:r>
        <w:rPr>
          <w:vertAlign w:val="superscript"/>
        </w:rPr>
        <w:t>-1</w:t>
      </w:r>
      <w:r>
        <w:rPr>
          <w:vertAlign w:val="baseline"/>
        </w:rPr>
        <w:t> yr</w:t>
      </w:r>
      <w:r>
        <w:rPr>
          <w:vertAlign w:val="superscript"/>
        </w:rPr>
        <w:t>-1</w:t>
      </w:r>
    </w:p>
    <w:p>
      <w:pPr>
        <w:pStyle w:val="Heading7"/>
        <w:spacing w:before="121"/>
        <w:ind w:left="159"/>
        <w:jc w:val="left"/>
      </w:pPr>
      <w:r>
        <w:rPr/>
        <w:t>Choice of method</w:t>
      </w:r>
    </w:p>
    <w:p>
      <w:pPr>
        <w:pStyle w:val="BodyText"/>
        <w:ind w:left="159" w:right="165"/>
        <w:jc w:val="both"/>
      </w:pPr>
      <w:r>
        <w:rPr>
          <w:b/>
        </w:rPr>
        <w:t>Tier 1: </w:t>
      </w:r>
      <w:r>
        <w:rPr/>
        <w:t>The Tier 1 method for estimating N</w:t>
      </w:r>
      <w:r>
        <w:rPr>
          <w:vertAlign w:val="subscript"/>
        </w:rPr>
        <w:t>2</w:t>
      </w:r>
      <w:r>
        <w:rPr>
          <w:vertAlign w:val="baseline"/>
        </w:rPr>
        <w:t>O emissions from drained wetlands is similar to that described for drained agricultural soils in the </w:t>
      </w:r>
      <w:r>
        <w:rPr>
          <w:i/>
          <w:vertAlign w:val="baseline"/>
        </w:rPr>
        <w:t>IPCC Guidelines</w:t>
      </w:r>
      <w:r>
        <w:rPr>
          <w:vertAlign w:val="baseline"/>
        </w:rPr>
        <w:t>, and for drained forest soils (Appendix 3a.2 Non-CO</w:t>
      </w:r>
      <w:r>
        <w:rPr>
          <w:vertAlign w:val="subscript"/>
        </w:rPr>
        <w:t>2</w:t>
      </w:r>
      <w:r>
        <w:rPr>
          <w:vertAlign w:val="baseline"/>
        </w:rPr>
        <w:t> emissions from drainage and rewetting of forest soils: Basis for future methodological development) and is shown in Equation 3a.3.7. The area of drainage (disaggregated as appropriate) is multiplied by a corresponding emission factor. As with drained forest lands, under the Tier 1 method, the default factors for temperate and boreal lands are provided for nutrient poor and nutrient rich soils. As only a single emission factor is provided for tropical regions, it is not necessary to disaggregate by soil fertility in this</w:t>
      </w:r>
      <w:r>
        <w:rPr>
          <w:spacing w:val="-14"/>
          <w:vertAlign w:val="baseline"/>
        </w:rPr>
        <w:t> </w:t>
      </w:r>
      <w:r>
        <w:rPr>
          <w:vertAlign w:val="baseline"/>
        </w:rPr>
        <w:t>case.</w:t>
      </w:r>
    </w:p>
    <w:p>
      <w:pPr>
        <w:pStyle w:val="BodyText"/>
        <w:spacing w:before="117"/>
        <w:ind w:left="159" w:right="169"/>
        <w:jc w:val="both"/>
      </w:pPr>
      <w:r>
        <w:rPr>
          <w:b/>
        </w:rPr>
        <w:t>Tier 2: </w:t>
      </w:r>
      <w:r>
        <w:rPr/>
        <w:t>Under Tier 2, land area is disaggregated by additional factors such as fertility, site type and drainage level and disaggregated country-specific emission factors are</w:t>
      </w:r>
      <w:r>
        <w:rPr>
          <w:spacing w:val="-2"/>
        </w:rPr>
        <w:t> </w:t>
      </w:r>
      <w:r>
        <w:rPr/>
        <w:t>used.</w:t>
      </w:r>
    </w:p>
    <w:p>
      <w:pPr>
        <w:pStyle w:val="BodyText"/>
        <w:spacing w:before="119"/>
        <w:ind w:left="159" w:right="165"/>
        <w:jc w:val="both"/>
      </w:pPr>
      <w:r>
        <w:rPr>
          <w:b/>
        </w:rPr>
        <w:t>Tier 3: </w:t>
      </w:r>
      <w:r>
        <w:rPr/>
        <w:t>Process-based models will in principle provide a more realistic estimate but need to be calibrated and validated against measurements. Sufficient representative measurements are needed for validation purposes. Generic guidance on uncertainty assessment for advanced methods is given in Section 5.2, Identifying and Quantifying Uncertainties.</w:t>
      </w:r>
    </w:p>
    <w:p>
      <w:pPr>
        <w:spacing w:after="0"/>
        <w:jc w:val="both"/>
        <w:sectPr>
          <w:pgSz w:w="11900" w:h="16840"/>
          <w:pgMar w:header="230" w:footer="408" w:top="560" w:bottom="600" w:left="1260" w:right="1240"/>
        </w:sectPr>
      </w:pPr>
    </w:p>
    <w:p>
      <w:pPr>
        <w:pStyle w:val="BodyText"/>
      </w:pPr>
    </w:p>
    <w:p>
      <w:pPr>
        <w:pStyle w:val="Heading7"/>
        <w:spacing w:line="251" w:lineRule="exact" w:before="214"/>
        <w:ind w:left="159"/>
      </w:pPr>
      <w:r>
        <w:rPr/>
        <w:t>Choice of emission/removal factors</w:t>
      </w:r>
    </w:p>
    <w:p>
      <w:pPr>
        <w:pStyle w:val="BodyText"/>
        <w:spacing w:line="228" w:lineRule="exact"/>
        <w:ind w:left="159"/>
        <w:jc w:val="both"/>
      </w:pPr>
      <w:r>
        <w:rPr>
          <w:b/>
        </w:rPr>
        <w:t>Tier 1: </w:t>
      </w:r>
      <w:r>
        <w:rPr/>
        <w:t>Default emission factors for the Tier 1 method are provided in Table 3a.3.4.</w:t>
      </w:r>
    </w:p>
    <w:p>
      <w:pPr>
        <w:pStyle w:val="BodyText"/>
        <w:spacing w:before="10"/>
        <w:rPr>
          <w:sz w:val="10"/>
        </w:rPr>
      </w:pPr>
    </w:p>
    <w:tbl>
      <w:tblPr>
        <w:tblW w:w="0" w:type="auto"/>
        <w:jc w:val="left"/>
        <w:tblInd w:w="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1"/>
        <w:gridCol w:w="1815"/>
        <w:gridCol w:w="1813"/>
        <w:gridCol w:w="3668"/>
      </w:tblGrid>
      <w:tr>
        <w:trPr>
          <w:trHeight w:val="445" w:hRule="atLeast"/>
        </w:trPr>
        <w:tc>
          <w:tcPr>
            <w:tcW w:w="9017" w:type="dxa"/>
            <w:gridSpan w:val="4"/>
            <w:tcBorders>
              <w:bottom w:val="double" w:sz="1" w:space="0" w:color="000000"/>
            </w:tcBorders>
          </w:tcPr>
          <w:p>
            <w:pPr>
              <w:pStyle w:val="TableParagraph"/>
              <w:spacing w:line="207" w:lineRule="exact"/>
              <w:ind w:left="409" w:right="403"/>
              <w:jc w:val="center"/>
              <w:rPr>
                <w:b/>
                <w:sz w:val="18"/>
              </w:rPr>
            </w:pPr>
            <w:r>
              <w:rPr>
                <w:b/>
                <w:sz w:val="18"/>
              </w:rPr>
              <w:t>T</w:t>
            </w:r>
            <w:r>
              <w:rPr>
                <w:b/>
                <w:sz w:val="14"/>
              </w:rPr>
              <w:t>ABLE </w:t>
            </w:r>
            <w:r>
              <w:rPr>
                <w:b/>
                <w:sz w:val="18"/>
              </w:rPr>
              <w:t>3a.3.4</w:t>
            </w:r>
          </w:p>
          <w:p>
            <w:pPr>
              <w:pStyle w:val="TableParagraph"/>
              <w:spacing w:line="217" w:lineRule="exact" w:before="2"/>
              <w:ind w:left="410" w:right="403"/>
              <w:jc w:val="center"/>
              <w:rPr>
                <w:b/>
                <w:sz w:val="14"/>
              </w:rPr>
            </w:pPr>
            <w:r>
              <w:rPr>
                <w:b/>
                <w:sz w:val="18"/>
              </w:rPr>
              <w:t>D</w:t>
            </w:r>
            <w:r>
              <w:rPr>
                <w:b/>
                <w:sz w:val="14"/>
              </w:rPr>
              <w:t>EFAULT EMISSION FACTORS FOR </w:t>
            </w:r>
            <w:r>
              <w:rPr>
                <w:b/>
                <w:sz w:val="18"/>
              </w:rPr>
              <w:t>N</w:t>
            </w:r>
            <w:r>
              <w:rPr>
                <w:b/>
                <w:position w:val="-2"/>
                <w:sz w:val="12"/>
              </w:rPr>
              <w:t>2</w:t>
            </w:r>
            <w:r>
              <w:rPr>
                <w:b/>
                <w:sz w:val="18"/>
              </w:rPr>
              <w:t>O </w:t>
            </w:r>
            <w:r>
              <w:rPr>
                <w:b/>
                <w:sz w:val="14"/>
              </w:rPr>
              <w:t>EMISSIONS FROM WETLANDS</w:t>
            </w:r>
          </w:p>
        </w:tc>
      </w:tr>
      <w:tr>
        <w:trPr>
          <w:trHeight w:val="649" w:hRule="atLeast"/>
        </w:trPr>
        <w:tc>
          <w:tcPr>
            <w:tcW w:w="1721" w:type="dxa"/>
            <w:tcBorders>
              <w:top w:val="double" w:sz="1" w:space="0" w:color="000000"/>
            </w:tcBorders>
          </w:tcPr>
          <w:p>
            <w:pPr>
              <w:pStyle w:val="TableParagraph"/>
              <w:spacing w:before="119"/>
              <w:ind w:left="107" w:right="523"/>
              <w:rPr>
                <w:b/>
                <w:sz w:val="18"/>
              </w:rPr>
            </w:pPr>
            <w:r>
              <w:rPr>
                <w:b/>
                <w:sz w:val="18"/>
              </w:rPr>
              <w:t>Climate Zone and Soil Type</w:t>
            </w:r>
          </w:p>
        </w:tc>
        <w:tc>
          <w:tcPr>
            <w:tcW w:w="1815" w:type="dxa"/>
            <w:tcBorders>
              <w:top w:val="double" w:sz="1" w:space="0" w:color="000000"/>
            </w:tcBorders>
          </w:tcPr>
          <w:p>
            <w:pPr>
              <w:pStyle w:val="TableParagraph"/>
              <w:spacing w:before="13"/>
              <w:ind w:left="633" w:right="253" w:hanging="356"/>
              <w:rPr>
                <w:b/>
                <w:sz w:val="12"/>
              </w:rPr>
            </w:pPr>
            <w:r>
              <w:rPr>
                <w:b/>
                <w:sz w:val="18"/>
              </w:rPr>
              <w:t>Emission Factor </w:t>
            </w:r>
            <w:r>
              <w:rPr>
                <w:b/>
                <w:position w:val="3"/>
                <w:sz w:val="18"/>
              </w:rPr>
              <w:t>EF</w:t>
            </w:r>
            <w:r>
              <w:rPr>
                <w:b/>
                <w:sz w:val="12"/>
              </w:rPr>
              <w:t>2 peat</w:t>
            </w:r>
          </w:p>
          <w:p>
            <w:pPr>
              <w:pStyle w:val="TableParagraph"/>
              <w:spacing w:line="185" w:lineRule="exact"/>
              <w:ind w:left="201"/>
              <w:rPr>
                <w:b/>
                <w:sz w:val="18"/>
              </w:rPr>
            </w:pPr>
            <w:r>
              <w:rPr>
                <w:b/>
                <w:sz w:val="18"/>
              </w:rPr>
              <w:t>kg N</w:t>
            </w:r>
            <w:r>
              <w:rPr>
                <w:b/>
                <w:sz w:val="18"/>
                <w:vertAlign w:val="subscript"/>
              </w:rPr>
              <w:t>2</w:t>
            </w:r>
            <w:r>
              <w:rPr>
                <w:b/>
                <w:sz w:val="18"/>
                <w:vertAlign w:val="baseline"/>
              </w:rPr>
              <w:t>O-N ha</w:t>
            </w:r>
            <w:r>
              <w:rPr>
                <w:b/>
                <w:sz w:val="18"/>
                <w:vertAlign w:val="superscript"/>
              </w:rPr>
              <w:t>-1</w:t>
            </w:r>
            <w:r>
              <w:rPr>
                <w:b/>
                <w:sz w:val="18"/>
                <w:vertAlign w:val="baseline"/>
              </w:rPr>
              <w:t> yr</w:t>
            </w:r>
            <w:r>
              <w:rPr>
                <w:b/>
                <w:sz w:val="18"/>
                <w:vertAlign w:val="superscript"/>
              </w:rPr>
              <w:t>-1</w:t>
            </w:r>
          </w:p>
        </w:tc>
        <w:tc>
          <w:tcPr>
            <w:tcW w:w="1813" w:type="dxa"/>
            <w:tcBorders>
              <w:top w:val="double" w:sz="1" w:space="0" w:color="000000"/>
            </w:tcBorders>
          </w:tcPr>
          <w:p>
            <w:pPr>
              <w:pStyle w:val="TableParagraph"/>
              <w:spacing w:before="119"/>
              <w:ind w:left="200" w:right="132" w:hanging="44"/>
              <w:rPr>
                <w:b/>
                <w:sz w:val="18"/>
              </w:rPr>
            </w:pPr>
            <w:r>
              <w:rPr>
                <w:b/>
                <w:sz w:val="18"/>
              </w:rPr>
              <w:t>Uncertainty range* kg N</w:t>
            </w:r>
            <w:r>
              <w:rPr>
                <w:b/>
                <w:sz w:val="18"/>
                <w:vertAlign w:val="subscript"/>
              </w:rPr>
              <w:t>2</w:t>
            </w:r>
            <w:r>
              <w:rPr>
                <w:b/>
                <w:sz w:val="18"/>
                <w:vertAlign w:val="baseline"/>
              </w:rPr>
              <w:t>O-N ha</w:t>
            </w:r>
            <w:r>
              <w:rPr>
                <w:b/>
                <w:sz w:val="18"/>
                <w:vertAlign w:val="superscript"/>
              </w:rPr>
              <w:t>-1</w:t>
            </w:r>
            <w:r>
              <w:rPr>
                <w:b/>
                <w:sz w:val="18"/>
                <w:vertAlign w:val="baseline"/>
              </w:rPr>
              <w:t> yr</w:t>
            </w:r>
            <w:r>
              <w:rPr>
                <w:b/>
                <w:sz w:val="18"/>
                <w:vertAlign w:val="superscript"/>
              </w:rPr>
              <w:t>-1</w:t>
            </w:r>
          </w:p>
        </w:tc>
        <w:tc>
          <w:tcPr>
            <w:tcW w:w="3668" w:type="dxa"/>
            <w:tcBorders>
              <w:top w:val="double" w:sz="1" w:space="0" w:color="000000"/>
            </w:tcBorders>
          </w:tcPr>
          <w:p>
            <w:pPr>
              <w:pStyle w:val="TableParagraph"/>
              <w:spacing w:before="4"/>
              <w:rPr>
                <w:sz w:val="19"/>
              </w:rPr>
            </w:pPr>
          </w:p>
          <w:p>
            <w:pPr>
              <w:pStyle w:val="TableParagraph"/>
              <w:ind w:left="984"/>
              <w:rPr>
                <w:b/>
                <w:sz w:val="18"/>
              </w:rPr>
            </w:pPr>
            <w:r>
              <w:rPr>
                <w:b/>
                <w:sz w:val="18"/>
              </w:rPr>
              <w:t>Reference/ Comments</w:t>
            </w:r>
          </w:p>
        </w:tc>
      </w:tr>
      <w:tr>
        <w:trPr>
          <w:trHeight w:val="443" w:hRule="atLeast"/>
        </w:trPr>
        <w:tc>
          <w:tcPr>
            <w:tcW w:w="1721" w:type="dxa"/>
          </w:tcPr>
          <w:p>
            <w:pPr>
              <w:pStyle w:val="TableParagraph"/>
              <w:spacing w:line="206" w:lineRule="exact" w:before="17"/>
              <w:ind w:left="107" w:right="89"/>
              <w:rPr>
                <w:b/>
                <w:sz w:val="18"/>
              </w:rPr>
            </w:pPr>
            <w:r>
              <w:rPr>
                <w:b/>
                <w:sz w:val="18"/>
              </w:rPr>
              <w:t>Boreal and Temperate Climate</w:t>
            </w:r>
          </w:p>
        </w:tc>
        <w:tc>
          <w:tcPr>
            <w:tcW w:w="1815" w:type="dxa"/>
          </w:tcPr>
          <w:p>
            <w:pPr>
              <w:pStyle w:val="TableParagraph"/>
              <w:rPr>
                <w:sz w:val="18"/>
              </w:rPr>
            </w:pPr>
          </w:p>
        </w:tc>
        <w:tc>
          <w:tcPr>
            <w:tcW w:w="1813" w:type="dxa"/>
          </w:tcPr>
          <w:p>
            <w:pPr>
              <w:pStyle w:val="TableParagraph"/>
              <w:rPr>
                <w:sz w:val="18"/>
              </w:rPr>
            </w:pPr>
          </w:p>
        </w:tc>
        <w:tc>
          <w:tcPr>
            <w:tcW w:w="3668" w:type="dxa"/>
          </w:tcPr>
          <w:p>
            <w:pPr>
              <w:pStyle w:val="TableParagraph"/>
              <w:rPr>
                <w:sz w:val="18"/>
              </w:rPr>
            </w:pPr>
          </w:p>
        </w:tc>
      </w:tr>
      <w:tr>
        <w:trPr>
          <w:trHeight w:val="443" w:hRule="atLeast"/>
        </w:trPr>
        <w:tc>
          <w:tcPr>
            <w:tcW w:w="1721" w:type="dxa"/>
          </w:tcPr>
          <w:p>
            <w:pPr>
              <w:pStyle w:val="TableParagraph"/>
              <w:spacing w:before="9"/>
              <w:ind w:left="333" w:right="373"/>
              <w:rPr>
                <w:sz w:val="18"/>
              </w:rPr>
            </w:pPr>
            <w:r>
              <w:rPr>
                <w:sz w:val="18"/>
              </w:rPr>
              <w:t>Nutrient Poor Organic Soil</w:t>
            </w:r>
          </w:p>
        </w:tc>
        <w:tc>
          <w:tcPr>
            <w:tcW w:w="1815" w:type="dxa"/>
          </w:tcPr>
          <w:p>
            <w:pPr>
              <w:pStyle w:val="TableParagraph"/>
              <w:spacing w:before="98"/>
              <w:ind w:left="779"/>
              <w:rPr>
                <w:sz w:val="20"/>
              </w:rPr>
            </w:pPr>
            <w:r>
              <w:rPr>
                <w:sz w:val="20"/>
              </w:rPr>
              <w:t>0.1</w:t>
            </w:r>
          </w:p>
        </w:tc>
        <w:tc>
          <w:tcPr>
            <w:tcW w:w="1813" w:type="dxa"/>
          </w:tcPr>
          <w:p>
            <w:pPr>
              <w:pStyle w:val="TableParagraph"/>
              <w:spacing w:before="98"/>
              <w:ind w:left="581" w:right="575"/>
              <w:jc w:val="center"/>
              <w:rPr>
                <w:sz w:val="20"/>
              </w:rPr>
            </w:pPr>
            <w:r>
              <w:rPr>
                <w:sz w:val="20"/>
              </w:rPr>
              <w:t>0 to 0.3</w:t>
            </w:r>
          </w:p>
        </w:tc>
        <w:tc>
          <w:tcPr>
            <w:tcW w:w="3668" w:type="dxa"/>
            <w:vMerge w:val="restart"/>
          </w:tcPr>
          <w:p>
            <w:pPr>
              <w:pStyle w:val="TableParagraph"/>
              <w:spacing w:before="127"/>
              <w:ind w:left="105" w:right="463"/>
              <w:rPr>
                <w:sz w:val="18"/>
              </w:rPr>
            </w:pPr>
            <w:r>
              <w:rPr>
                <w:sz w:val="18"/>
              </w:rPr>
              <w:t>Alm et </w:t>
            </w:r>
            <w:r>
              <w:rPr>
                <w:i/>
                <w:sz w:val="18"/>
              </w:rPr>
              <w:t>al</w:t>
            </w:r>
            <w:r>
              <w:rPr>
                <w:sz w:val="18"/>
              </w:rPr>
              <w:t>., 1999; Laine </w:t>
            </w:r>
            <w:r>
              <w:rPr>
                <w:i/>
                <w:sz w:val="18"/>
              </w:rPr>
              <w:t>et al., </w:t>
            </w:r>
            <w:r>
              <w:rPr>
                <w:sz w:val="18"/>
              </w:rPr>
              <w:t>1996; Martikainen </w:t>
            </w:r>
            <w:r>
              <w:rPr>
                <w:i/>
                <w:sz w:val="18"/>
              </w:rPr>
              <w:t>et al., </w:t>
            </w:r>
            <w:r>
              <w:rPr>
                <w:sz w:val="18"/>
              </w:rPr>
              <w:t>1995; Minkkinen </w:t>
            </w:r>
            <w:r>
              <w:rPr>
                <w:i/>
                <w:sz w:val="18"/>
              </w:rPr>
              <w:t>et al</w:t>
            </w:r>
            <w:r>
              <w:rPr>
                <w:sz w:val="18"/>
              </w:rPr>
              <w:t>., 2002; Regina </w:t>
            </w:r>
            <w:r>
              <w:rPr>
                <w:i/>
                <w:sz w:val="18"/>
              </w:rPr>
              <w:t>et al., </w:t>
            </w:r>
            <w:r>
              <w:rPr>
                <w:sz w:val="18"/>
              </w:rPr>
              <w:t>1996</w:t>
            </w:r>
          </w:p>
        </w:tc>
      </w:tr>
      <w:tr>
        <w:trPr>
          <w:trHeight w:val="443" w:hRule="atLeast"/>
        </w:trPr>
        <w:tc>
          <w:tcPr>
            <w:tcW w:w="1721" w:type="dxa"/>
          </w:tcPr>
          <w:p>
            <w:pPr>
              <w:pStyle w:val="TableParagraph"/>
              <w:spacing w:before="9"/>
              <w:ind w:left="333" w:right="373"/>
              <w:rPr>
                <w:sz w:val="18"/>
              </w:rPr>
            </w:pPr>
            <w:r>
              <w:rPr>
                <w:sz w:val="18"/>
              </w:rPr>
              <w:t>Nutrient Rich Organic Soil</w:t>
            </w:r>
          </w:p>
        </w:tc>
        <w:tc>
          <w:tcPr>
            <w:tcW w:w="1815" w:type="dxa"/>
          </w:tcPr>
          <w:p>
            <w:pPr>
              <w:pStyle w:val="TableParagraph"/>
              <w:spacing w:before="98"/>
              <w:ind w:left="779"/>
              <w:rPr>
                <w:sz w:val="20"/>
              </w:rPr>
            </w:pPr>
            <w:r>
              <w:rPr>
                <w:sz w:val="20"/>
              </w:rPr>
              <w:t>1.8</w:t>
            </w:r>
          </w:p>
        </w:tc>
        <w:tc>
          <w:tcPr>
            <w:tcW w:w="1813" w:type="dxa"/>
          </w:tcPr>
          <w:p>
            <w:pPr>
              <w:pStyle w:val="TableParagraph"/>
              <w:spacing w:before="98"/>
              <w:ind w:left="524"/>
              <w:rPr>
                <w:sz w:val="20"/>
              </w:rPr>
            </w:pPr>
            <w:r>
              <w:rPr>
                <w:sz w:val="20"/>
              </w:rPr>
              <w:t>0.2 to 2.5</w:t>
            </w:r>
          </w:p>
        </w:tc>
        <w:tc>
          <w:tcPr>
            <w:tcW w:w="3668" w:type="dxa"/>
            <w:vMerge/>
            <w:tcBorders>
              <w:top w:val="nil"/>
            </w:tcBorders>
          </w:tcPr>
          <w:p>
            <w:pPr>
              <w:rPr>
                <w:sz w:val="2"/>
                <w:szCs w:val="2"/>
              </w:rPr>
            </w:pPr>
          </w:p>
        </w:tc>
      </w:tr>
      <w:tr>
        <w:trPr>
          <w:trHeight w:val="1242" w:hRule="atLeast"/>
        </w:trPr>
        <w:tc>
          <w:tcPr>
            <w:tcW w:w="1721" w:type="dxa"/>
          </w:tcPr>
          <w:p>
            <w:pPr>
              <w:pStyle w:val="TableParagraph"/>
              <w:rPr>
                <w:sz w:val="20"/>
              </w:rPr>
            </w:pPr>
          </w:p>
          <w:p>
            <w:pPr>
              <w:pStyle w:val="TableParagraph"/>
              <w:spacing w:before="9"/>
              <w:rPr>
                <w:sz w:val="24"/>
              </w:rPr>
            </w:pPr>
          </w:p>
          <w:p>
            <w:pPr>
              <w:pStyle w:val="TableParagraph"/>
              <w:ind w:left="107"/>
              <w:rPr>
                <w:b/>
                <w:sz w:val="18"/>
              </w:rPr>
            </w:pPr>
            <w:r>
              <w:rPr>
                <w:b/>
                <w:sz w:val="18"/>
              </w:rPr>
              <w:t>Tropical Climate</w:t>
            </w:r>
          </w:p>
        </w:tc>
        <w:tc>
          <w:tcPr>
            <w:tcW w:w="1815" w:type="dxa"/>
          </w:tcPr>
          <w:p>
            <w:pPr>
              <w:pStyle w:val="TableParagraph"/>
              <w:rPr>
                <w:sz w:val="22"/>
              </w:rPr>
            </w:pPr>
          </w:p>
          <w:p>
            <w:pPr>
              <w:pStyle w:val="TableParagraph"/>
              <w:spacing w:before="2"/>
              <w:rPr>
                <w:sz w:val="21"/>
              </w:rPr>
            </w:pPr>
          </w:p>
          <w:p>
            <w:pPr>
              <w:pStyle w:val="TableParagraph"/>
              <w:ind w:left="803"/>
              <w:rPr>
                <w:sz w:val="20"/>
              </w:rPr>
            </w:pPr>
            <w:r>
              <w:rPr>
                <w:sz w:val="20"/>
              </w:rPr>
              <w:t>18</w:t>
            </w:r>
          </w:p>
        </w:tc>
        <w:tc>
          <w:tcPr>
            <w:tcW w:w="1813" w:type="dxa"/>
          </w:tcPr>
          <w:p>
            <w:pPr>
              <w:pStyle w:val="TableParagraph"/>
              <w:rPr>
                <w:sz w:val="22"/>
              </w:rPr>
            </w:pPr>
          </w:p>
          <w:p>
            <w:pPr>
              <w:pStyle w:val="TableParagraph"/>
              <w:spacing w:before="2"/>
              <w:rPr>
                <w:sz w:val="21"/>
              </w:rPr>
            </w:pPr>
          </w:p>
          <w:p>
            <w:pPr>
              <w:pStyle w:val="TableParagraph"/>
              <w:ind w:left="581" w:right="575"/>
              <w:jc w:val="center"/>
              <w:rPr>
                <w:sz w:val="20"/>
              </w:rPr>
            </w:pPr>
            <w:r>
              <w:rPr>
                <w:sz w:val="20"/>
              </w:rPr>
              <w:t>2 to 25</w:t>
            </w:r>
          </w:p>
        </w:tc>
        <w:tc>
          <w:tcPr>
            <w:tcW w:w="3668" w:type="dxa"/>
          </w:tcPr>
          <w:p>
            <w:pPr>
              <w:pStyle w:val="TableParagraph"/>
              <w:ind w:left="105" w:right="133"/>
              <w:rPr>
                <w:sz w:val="18"/>
              </w:rPr>
            </w:pPr>
            <w:r>
              <w:rPr>
                <w:sz w:val="18"/>
              </w:rPr>
              <w:t>The value for tropical areas is calculated from the relative difference between temperate and tropical in Chapter 4 of the </w:t>
            </w:r>
            <w:r>
              <w:rPr>
                <w:i/>
                <w:sz w:val="18"/>
              </w:rPr>
              <w:t>IPCC Guidelines </w:t>
            </w:r>
            <w:r>
              <w:rPr>
                <w:sz w:val="18"/>
              </w:rPr>
              <w:t>and GPG2000. The same approach was used in</w:t>
            </w:r>
          </w:p>
          <w:p>
            <w:pPr>
              <w:pStyle w:val="TableParagraph"/>
              <w:spacing w:line="206" w:lineRule="exact"/>
              <w:ind w:left="106" w:right="388"/>
              <w:rPr>
                <w:sz w:val="18"/>
              </w:rPr>
            </w:pPr>
            <w:r>
              <w:rPr>
                <w:sz w:val="18"/>
              </w:rPr>
              <w:t>Table 3.2.2 and the orders of magnitude are similar.</w:t>
            </w:r>
          </w:p>
        </w:tc>
      </w:tr>
      <w:tr>
        <w:trPr>
          <w:trHeight w:val="273" w:hRule="atLeast"/>
        </w:trPr>
        <w:tc>
          <w:tcPr>
            <w:tcW w:w="9017" w:type="dxa"/>
            <w:gridSpan w:val="4"/>
          </w:tcPr>
          <w:p>
            <w:pPr>
              <w:pStyle w:val="TableParagraph"/>
              <w:spacing w:before="37"/>
              <w:ind w:left="107"/>
              <w:rPr>
                <w:sz w:val="16"/>
              </w:rPr>
            </w:pPr>
            <w:r>
              <w:rPr>
                <w:sz w:val="16"/>
              </w:rPr>
              <w:t>* The uncertainty values come from a lognormal distribution and represent a 95% confidence interval.</w:t>
            </w:r>
          </w:p>
        </w:tc>
      </w:tr>
    </w:tbl>
    <w:p>
      <w:pPr>
        <w:pStyle w:val="BodyText"/>
        <w:spacing w:before="10"/>
        <w:rPr>
          <w:sz w:val="29"/>
        </w:rPr>
      </w:pPr>
    </w:p>
    <w:p>
      <w:pPr>
        <w:pStyle w:val="BodyText"/>
        <w:ind w:left="159" w:right="164"/>
        <w:jc w:val="both"/>
      </w:pPr>
      <w:r>
        <w:rPr>
          <w:b/>
        </w:rPr>
        <w:t>Tier 2: </w:t>
      </w:r>
      <w:r>
        <w:rPr/>
        <w:t>Tier 2 integrates country-specific data, if available, especially data that accounts for management practices such as drainage of different peat types. Since literature is sparse and results sometimes contrasting, countries are encouraged to derive country-specific emission factors by measurements against appropriate reference virgin sites. Specific guidance on how to derive country-specific emission factors for N</w:t>
      </w:r>
      <w:r>
        <w:rPr>
          <w:vertAlign w:val="subscript"/>
        </w:rPr>
        <w:t>2</w:t>
      </w:r>
      <w:r>
        <w:rPr>
          <w:vertAlign w:val="baseline"/>
        </w:rPr>
        <w:t>O is given in Box 4.1.of </w:t>
      </w:r>
      <w:r>
        <w:rPr>
          <w:i/>
          <w:vertAlign w:val="baseline"/>
        </w:rPr>
        <w:t>GPG2000 </w:t>
      </w:r>
      <w:r>
        <w:rPr>
          <w:vertAlign w:val="baseline"/>
        </w:rPr>
        <w:t>(page 4.62).</w:t>
      </w:r>
    </w:p>
    <w:p>
      <w:pPr>
        <w:pStyle w:val="BodyText"/>
        <w:spacing w:before="120"/>
        <w:ind w:left="159" w:right="171"/>
        <w:jc w:val="both"/>
      </w:pPr>
      <w:r>
        <w:rPr>
          <w:b/>
        </w:rPr>
        <w:t>Tier 3: </w:t>
      </w:r>
      <w:r>
        <w:rPr/>
        <w:t>Tier 3 incorporates models that should be validated against measurements. The suitability to country- specific conditions should be proven.</w:t>
      </w:r>
    </w:p>
    <w:p>
      <w:pPr>
        <w:pStyle w:val="BodyText"/>
        <w:spacing w:before="2"/>
        <w:rPr>
          <w:sz w:val="21"/>
        </w:rPr>
      </w:pPr>
    </w:p>
    <w:p>
      <w:pPr>
        <w:pStyle w:val="Heading7"/>
        <w:spacing w:line="251" w:lineRule="exact"/>
        <w:ind w:left="159"/>
      </w:pPr>
      <w:r>
        <w:rPr/>
        <w:t>Choice of activity data</w:t>
      </w:r>
    </w:p>
    <w:p>
      <w:pPr>
        <w:pStyle w:val="BodyText"/>
        <w:ind w:left="159" w:right="164"/>
        <w:jc w:val="both"/>
      </w:pPr>
      <w:r>
        <w:rPr/>
        <w:t>The same activity data should be used for estimating CO</w:t>
      </w:r>
      <w:r>
        <w:rPr>
          <w:vertAlign w:val="subscript"/>
        </w:rPr>
        <w:t>2</w:t>
      </w:r>
      <w:r>
        <w:rPr>
          <w:vertAlign w:val="baseline"/>
        </w:rPr>
        <w:t> and N</w:t>
      </w:r>
      <w:r>
        <w:rPr>
          <w:vertAlign w:val="subscript"/>
        </w:rPr>
        <w:t>2</w:t>
      </w:r>
      <w:r>
        <w:rPr>
          <w:vertAlign w:val="baseline"/>
        </w:rPr>
        <w:t>O emissions from organic soils managed for peat extraction, and information on obtaining these data is provided in Section 3a.3.3.3.1 above. For countries in boreal and temperate regions using the Tier 1 method, area data should be stratified by soil fertility, since the default values are provided for nutrient rich and nutrient poor soils. National data should be available from soil services and from wetland surveys, e.g., for international conventions. If it is not possible to stratify by peat fertility, countries may rely on expert judgement. Boreal climates tend to promote nutrient-poor raised bogs, while temperate and oceanic climates tend to promote the formation of nutrient-richer peatlands.</w:t>
      </w:r>
    </w:p>
    <w:p>
      <w:pPr>
        <w:pStyle w:val="BodyText"/>
        <w:spacing w:before="116"/>
        <w:ind w:left="159" w:right="164"/>
        <w:jc w:val="both"/>
      </w:pPr>
      <w:r>
        <w:rPr/>
        <w:t>Further stratification may be possible under Tier 2. For example, area could also be distinguished </w:t>
      </w:r>
      <w:r>
        <w:rPr>
          <w:spacing w:val="3"/>
        </w:rPr>
        <w:t>by </w:t>
      </w:r>
      <w:r>
        <w:rPr/>
        <w:t>management practices such as drainage of different peat types, fertility (e.g., bog versus fen, nitrogen status), and tree type. Chapter 2 provides guidance on the approaches available to classify land</w:t>
      </w:r>
      <w:r>
        <w:rPr>
          <w:spacing w:val="-9"/>
        </w:rPr>
        <w:t> </w:t>
      </w:r>
      <w:r>
        <w:rPr/>
        <w:t>area.</w:t>
      </w:r>
    </w:p>
    <w:p>
      <w:pPr>
        <w:pStyle w:val="BodyText"/>
        <w:spacing w:before="119"/>
        <w:ind w:left="159" w:right="168"/>
        <w:jc w:val="both"/>
      </w:pPr>
      <w:r>
        <w:rPr/>
        <w:t>Tier 3 may require additional, possibly geo-referenced, information about soil properties, management and climate conditions depending on the input to models or other sophisticated methodologies.</w:t>
      </w:r>
    </w:p>
    <w:p>
      <w:pPr>
        <w:pStyle w:val="BodyText"/>
        <w:spacing w:before="4"/>
        <w:rPr>
          <w:sz w:val="21"/>
        </w:rPr>
      </w:pPr>
    </w:p>
    <w:p>
      <w:pPr>
        <w:pStyle w:val="Heading6"/>
        <w:spacing w:before="1"/>
        <w:jc w:val="both"/>
      </w:pPr>
      <w:r>
        <w:rPr/>
        <w:t>3a.3.2. 2.2 Uncertainty assessment</w:t>
      </w:r>
    </w:p>
    <w:p>
      <w:pPr>
        <w:pStyle w:val="BodyText"/>
        <w:spacing w:before="53"/>
        <w:ind w:left="159" w:right="163"/>
        <w:jc w:val="both"/>
      </w:pPr>
      <w:r>
        <w:rPr>
          <w:b/>
        </w:rPr>
        <w:t>Tier 1: </w:t>
      </w:r>
      <w:r>
        <w:rPr/>
        <w:t>The default emission factors of Tier 1 are based on fewer than 20 paired data sets from a limited number of studies with geographical focus on Europe. For these reasons, they should be considered highly uncertain. The standard deviation of the emission factors easily exceeds 100% of the mean, but underlying probability functions are likely to be non-normal. Therefore, both the standard deviation of the mean and the range of the underlying data are given below. Given the preliminary nature of the underlying data, countries are encouraged to use the range rather than the standard deviation. Uncertainties for the default emission factors for EF2</w:t>
      </w:r>
      <w:r>
        <w:rPr>
          <w:vertAlign w:val="subscript"/>
        </w:rPr>
        <w:t>WW</w:t>
      </w:r>
      <w:r>
        <w:rPr>
          <w:vertAlign w:val="baseline"/>
        </w:rPr>
        <w:t> in Tier 1 are given in Table 3a.3.4.</w:t>
      </w:r>
    </w:p>
    <w:p>
      <w:pPr>
        <w:pStyle w:val="BodyText"/>
        <w:spacing w:before="118"/>
        <w:ind w:left="159" w:right="166"/>
        <w:jc w:val="both"/>
      </w:pPr>
      <w:r>
        <w:rPr/>
        <w:t>The uncertainty in the area of peatlands and its division between nutrient-poor (ombrotrophic, bogs) and nutrient-rich (minerotrophic, fens) peat types is best calculated by a country-specific assessment of uncertainties. Present estimates of areas of drained and rewetted forest peatlands within a country vary in a wide range  between different data sources and may have an uncertainty of 50% or</w:t>
      </w:r>
      <w:r>
        <w:rPr>
          <w:spacing w:val="-3"/>
        </w:rPr>
        <w:t> </w:t>
      </w:r>
      <w:r>
        <w:rPr/>
        <w:t>more.</w:t>
      </w:r>
    </w:p>
    <w:p>
      <w:pPr>
        <w:pStyle w:val="BodyText"/>
        <w:spacing w:before="120"/>
        <w:ind w:left="159" w:right="165"/>
        <w:jc w:val="both"/>
      </w:pPr>
      <w:r>
        <w:rPr>
          <w:b/>
        </w:rPr>
        <w:t>Tier 2: </w:t>
      </w:r>
      <w:r>
        <w:rPr/>
        <w:t>Where country-specific emission factors are used, the uncertainty should be calculated as part of the process of developing the factors. Guidance in derivation of country-specific emission factors is described in Box 4.1, </w:t>
      </w:r>
      <w:r>
        <w:rPr>
          <w:i/>
        </w:rPr>
        <w:t>Good Practice </w:t>
      </w:r>
      <w:r>
        <w:rPr/>
        <w:t>in Derivation of Country-Specific Emission Factors,</w:t>
      </w:r>
      <w:r>
        <w:rPr>
          <w:spacing w:val="-9"/>
        </w:rPr>
        <w:t> </w:t>
      </w:r>
      <w:r>
        <w:rPr>
          <w:i/>
        </w:rPr>
        <w:t>GPG2000</w:t>
      </w:r>
      <w:r>
        <w:rPr/>
        <w:t>.</w:t>
      </w:r>
    </w:p>
    <w:p>
      <w:pPr>
        <w:spacing w:after="0"/>
        <w:jc w:val="both"/>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3"/>
        <w:jc w:val="both"/>
      </w:pPr>
      <w:r>
        <w:rPr/>
        <w:t>The area of peatlands </w:t>
      </w:r>
      <w:r>
        <w:rPr>
          <w:spacing w:val="-2"/>
        </w:rPr>
        <w:t>and </w:t>
      </w:r>
      <w:r>
        <w:rPr/>
        <w:t>its division between </w:t>
      </w:r>
      <w:r>
        <w:rPr>
          <w:spacing w:val="-3"/>
        </w:rPr>
        <w:t>nutrient-poor </w:t>
      </w:r>
      <w:r>
        <w:rPr>
          <w:spacing w:val="-2"/>
        </w:rPr>
        <w:t>and </w:t>
      </w:r>
      <w:r>
        <w:rPr/>
        <w:t>nutrient-rich peat types needs a country-specific </w:t>
      </w:r>
      <w:r>
        <w:rPr>
          <w:spacing w:val="-3"/>
        </w:rPr>
        <w:t>assessment </w:t>
      </w:r>
      <w:r>
        <w:rPr/>
        <w:t>of </w:t>
      </w:r>
      <w:r>
        <w:rPr>
          <w:spacing w:val="-3"/>
        </w:rPr>
        <w:t>uncertainties, </w:t>
      </w:r>
      <w:r>
        <w:rPr/>
        <w:t>which can be conducted by comparing various sources of data </w:t>
      </w:r>
      <w:r>
        <w:rPr>
          <w:spacing w:val="-2"/>
        </w:rPr>
        <w:t>and </w:t>
      </w:r>
      <w:r>
        <w:rPr/>
        <w:t>applying different area</w:t>
      </w:r>
      <w:r>
        <w:rPr>
          <w:spacing w:val="-16"/>
        </w:rPr>
        <w:t> </w:t>
      </w:r>
      <w:r>
        <w:rPr>
          <w:spacing w:val="-3"/>
        </w:rPr>
        <w:t>statistics,</w:t>
      </w:r>
      <w:r>
        <w:rPr>
          <w:spacing w:val="-15"/>
        </w:rPr>
        <w:t> </w:t>
      </w:r>
      <w:r>
        <w:rPr/>
        <w:t>e.g.,</w:t>
      </w:r>
      <w:r>
        <w:rPr>
          <w:spacing w:val="-12"/>
        </w:rPr>
        <w:t> </w:t>
      </w:r>
      <w:r>
        <w:rPr/>
        <w:t>in</w:t>
      </w:r>
      <w:r>
        <w:rPr>
          <w:spacing w:val="-15"/>
        </w:rPr>
        <w:t> </w:t>
      </w:r>
      <w:r>
        <w:rPr/>
        <w:t>sensitivity</w:t>
      </w:r>
      <w:r>
        <w:rPr>
          <w:spacing w:val="-16"/>
        </w:rPr>
        <w:t> </w:t>
      </w:r>
      <w:r>
        <w:rPr/>
        <w:t>or</w:t>
      </w:r>
      <w:r>
        <w:rPr>
          <w:spacing w:val="-14"/>
        </w:rPr>
        <w:t> </w:t>
      </w:r>
      <w:r>
        <w:rPr/>
        <w:t>Monte</w:t>
      </w:r>
      <w:r>
        <w:rPr>
          <w:spacing w:val="-13"/>
        </w:rPr>
        <w:t> </w:t>
      </w:r>
      <w:r>
        <w:rPr>
          <w:spacing w:val="-3"/>
        </w:rPr>
        <w:t>Carlo</w:t>
      </w:r>
      <w:r>
        <w:rPr>
          <w:spacing w:val="-14"/>
        </w:rPr>
        <w:t> </w:t>
      </w:r>
      <w:r>
        <w:rPr/>
        <w:t>analyses</w:t>
      </w:r>
      <w:r>
        <w:rPr>
          <w:spacing w:val="-16"/>
        </w:rPr>
        <w:t> </w:t>
      </w:r>
      <w:r>
        <w:rPr/>
        <w:t>(Section</w:t>
      </w:r>
      <w:r>
        <w:rPr>
          <w:spacing w:val="-16"/>
        </w:rPr>
        <w:t> </w:t>
      </w:r>
      <w:r>
        <w:rPr/>
        <w:t>5.2,</w:t>
      </w:r>
      <w:r>
        <w:rPr>
          <w:spacing w:val="-14"/>
        </w:rPr>
        <w:t> </w:t>
      </w:r>
      <w:r>
        <w:rPr/>
        <w:t>Identifying</w:t>
      </w:r>
      <w:r>
        <w:rPr>
          <w:spacing w:val="-16"/>
        </w:rPr>
        <w:t> </w:t>
      </w:r>
      <w:r>
        <w:rPr/>
        <w:t>and</w:t>
      </w:r>
      <w:r>
        <w:rPr>
          <w:spacing w:val="-14"/>
        </w:rPr>
        <w:t> </w:t>
      </w:r>
      <w:r>
        <w:rPr/>
        <w:t>Quantifying</w:t>
      </w:r>
      <w:r>
        <w:rPr>
          <w:spacing w:val="-16"/>
        </w:rPr>
        <w:t> </w:t>
      </w:r>
      <w:r>
        <w:rPr/>
        <w:t>Uncertainties).</w:t>
      </w:r>
    </w:p>
    <w:p>
      <w:pPr>
        <w:pStyle w:val="BodyText"/>
        <w:spacing w:before="121"/>
        <w:ind w:left="159" w:right="165"/>
        <w:jc w:val="both"/>
      </w:pPr>
      <w:r>
        <w:rPr>
          <w:b/>
        </w:rPr>
        <w:t>Tier 3: </w:t>
      </w:r>
      <w:r>
        <w:rPr/>
        <w:t>Process-based models will probably provide a more accurate estimate of emissions but they need to be calibrated and validated against measurements. Sufficiently representative measurements are needed for validation purposes. Generic guidance on uncertainty assessment is given in Section 5.2, Identifying and Quantifying Uncertainties.</w:t>
      </w:r>
    </w:p>
    <w:p>
      <w:pPr>
        <w:pStyle w:val="BodyText"/>
        <w:rPr>
          <w:sz w:val="22"/>
        </w:rPr>
      </w:pPr>
    </w:p>
    <w:p>
      <w:pPr>
        <w:spacing w:before="147"/>
        <w:ind w:left="159" w:right="0" w:firstLine="0"/>
        <w:jc w:val="both"/>
        <w:rPr>
          <w:b/>
          <w:sz w:val="22"/>
        </w:rPr>
      </w:pPr>
      <w:r>
        <w:rPr>
          <w:b/>
          <w:spacing w:val="16"/>
          <w:sz w:val="28"/>
        </w:rPr>
        <w:t>3a.3.2.3</w:t>
      </w:r>
      <w:r>
        <w:rPr>
          <w:b/>
          <w:spacing w:val="70"/>
          <w:sz w:val="28"/>
        </w:rPr>
        <w:t> </w:t>
      </w:r>
      <w:r>
        <w:rPr>
          <w:b/>
          <w:spacing w:val="18"/>
          <w:sz w:val="28"/>
        </w:rPr>
        <w:t>C</w:t>
      </w:r>
      <w:r>
        <w:rPr>
          <w:b/>
          <w:spacing w:val="18"/>
          <w:sz w:val="22"/>
        </w:rPr>
        <w:t>OMPLETENESS</w:t>
      </w:r>
    </w:p>
    <w:p>
      <w:pPr>
        <w:pStyle w:val="BodyText"/>
        <w:spacing w:before="209"/>
        <w:ind w:left="159" w:right="163"/>
        <w:jc w:val="both"/>
      </w:pPr>
      <w:r>
        <w:rPr/>
        <w:t>A complete inventory should estimate emissions from all industrial peatlands including abandoned peat mining areas in which drainage is still active, and areas drained for future peat extraction.</w:t>
      </w:r>
    </w:p>
    <w:p>
      <w:pPr>
        <w:pStyle w:val="BodyText"/>
        <w:rPr>
          <w:sz w:val="22"/>
        </w:rPr>
      </w:pPr>
    </w:p>
    <w:p>
      <w:pPr>
        <w:spacing w:before="146"/>
        <w:ind w:left="159" w:right="0" w:firstLine="0"/>
        <w:jc w:val="both"/>
        <w:rPr>
          <w:b/>
          <w:sz w:val="22"/>
        </w:rPr>
      </w:pPr>
      <w:r>
        <w:rPr>
          <w:b/>
          <w:sz w:val="28"/>
        </w:rPr>
        <w:t>3a.3.2.4 D</w:t>
      </w:r>
      <w:r>
        <w:rPr>
          <w:b/>
          <w:sz w:val="22"/>
        </w:rPr>
        <w:t>EVELOPING A CONSISTENT TIME SERIES</w:t>
      </w:r>
    </w:p>
    <w:p>
      <w:pPr>
        <w:pStyle w:val="BodyText"/>
        <w:spacing w:before="211"/>
        <w:ind w:left="159" w:right="163"/>
        <w:jc w:val="both"/>
      </w:pPr>
      <w:r>
        <w:rPr/>
        <w:t>General guidance on consistency in time series can be found in Section 5.6 (Time Series Consistency and Recalculations). The emission estimation method should be applied consistently to every year in the time series, at the same level of disaggregation. Moreover, when country-specific data are used, national inventories agency should use same measurements protocol (sampling strategy, method, etc.). If it is not possible to use the same method or measurement protocol throughout the time series, the guidance on recalculation in Chapter 5 should be followed. The area of organic soils managed for peat extraction may need to be interpolated for longer time series or trends. Consistency checks should be made (i.e., by contacting peat-mining companies), to gather temporal information about areas affected by former or future peat extraction, and differences in emissions between inventory years should be explained, e.g., by demonstrating changes in areas of industrial peatlands or by updated emission factors. Differences in emissions between inventory years should be explained, e.g., </w:t>
      </w:r>
      <w:r>
        <w:rPr>
          <w:spacing w:val="3"/>
        </w:rPr>
        <w:t>by </w:t>
      </w:r>
      <w:r>
        <w:rPr/>
        <w:t>demonstrating changes in areas of peatlands or by updated emission</w:t>
      </w:r>
      <w:r>
        <w:rPr>
          <w:spacing w:val="-13"/>
        </w:rPr>
        <w:t> </w:t>
      </w:r>
      <w:r>
        <w:rPr/>
        <w:t>factors.</w:t>
      </w:r>
    </w:p>
    <w:p>
      <w:pPr>
        <w:pStyle w:val="BodyText"/>
        <w:rPr>
          <w:sz w:val="22"/>
        </w:rPr>
      </w:pPr>
    </w:p>
    <w:p>
      <w:pPr>
        <w:spacing w:before="145"/>
        <w:ind w:left="159" w:right="0" w:firstLine="0"/>
        <w:jc w:val="both"/>
        <w:rPr>
          <w:b/>
          <w:sz w:val="22"/>
        </w:rPr>
      </w:pPr>
      <w:r>
        <w:rPr>
          <w:b/>
          <w:sz w:val="28"/>
        </w:rPr>
        <w:t>3a.3.2.5 R</w:t>
      </w:r>
      <w:r>
        <w:rPr>
          <w:b/>
          <w:sz w:val="22"/>
        </w:rPr>
        <w:t>EPORTING AND DOCUMENTATION</w:t>
      </w:r>
    </w:p>
    <w:p>
      <w:pPr>
        <w:pStyle w:val="BodyText"/>
        <w:spacing w:before="209"/>
        <w:ind w:left="159" w:right="165"/>
        <w:jc w:val="both"/>
      </w:pPr>
      <w:r>
        <w:rPr/>
        <w:t>It is appropriate to document and archive all information required to produce the national emissions/removals inventory estimates as outlined in Chapter 5 of this report subject to the following specific considerations. Emissions from land managed for peat extraction are not explicitly mentioned in the </w:t>
      </w:r>
      <w:r>
        <w:rPr>
          <w:i/>
        </w:rPr>
        <w:t>IPCC Guidelines </w:t>
      </w:r>
      <w:r>
        <w:rPr/>
        <w:t>but correspond in aggregate to the IPCC category 5E “Other”.</w:t>
      </w:r>
    </w:p>
    <w:p>
      <w:pPr>
        <w:pStyle w:val="BodyText"/>
        <w:spacing w:before="119"/>
        <w:ind w:left="159" w:right="165"/>
        <w:jc w:val="both"/>
      </w:pPr>
      <w:r>
        <w:rPr>
          <w:b/>
        </w:rPr>
        <w:t>Emission factors: </w:t>
      </w:r>
      <w:r>
        <w:rPr/>
        <w:t>Since the literature data are so sparse, the scientific basis of new country-specific emission factors, parameters and models should be fully described and documented. This includes defining the input parameters and describing the process by which the emission factors, parameters and models were derived, as well as describing sources of uncertainties.</w:t>
      </w:r>
    </w:p>
    <w:p>
      <w:pPr>
        <w:pStyle w:val="BodyText"/>
        <w:spacing w:before="119"/>
        <w:ind w:left="159" w:right="165"/>
        <w:jc w:val="both"/>
      </w:pPr>
      <w:r>
        <w:rPr>
          <w:b/>
        </w:rPr>
        <w:t>Activity data: </w:t>
      </w:r>
      <w:r>
        <w:rPr/>
        <w:t>Sources of all activity data used in the calculations (data sources, databases and soil map references) should be recorded, plus (subject to any confidentiality considerations) communication with companies dealing with peat extraction. This documentation should cover the frequency of data collection and estimation, and estimates of accuracy and precision, and reasons for significant changes in emission levels.</w:t>
      </w:r>
    </w:p>
    <w:p>
      <w:pPr>
        <w:pStyle w:val="BodyText"/>
        <w:spacing w:before="119"/>
        <w:ind w:left="159" w:right="165"/>
        <w:jc w:val="both"/>
      </w:pPr>
      <w:r>
        <w:rPr>
          <w:b/>
        </w:rPr>
        <w:t>Emission results: </w:t>
      </w:r>
      <w:r>
        <w:rPr/>
        <w:t>Significant fluctuations in emissions between years should be explained. A distinction should be made between changes in activity levels and changes in emission factors, parameters and methods from year to year, and the reasons for these changes documented. If different emission factors, parameters and methods are used for different years, the reasons for this should be explained and documented.</w:t>
      </w:r>
    </w:p>
    <w:p>
      <w:pPr>
        <w:pStyle w:val="BodyText"/>
        <w:rPr>
          <w:sz w:val="22"/>
        </w:rPr>
      </w:pPr>
    </w:p>
    <w:p>
      <w:pPr>
        <w:spacing w:before="147"/>
        <w:ind w:left="159" w:right="0" w:firstLine="0"/>
        <w:jc w:val="both"/>
        <w:rPr>
          <w:b/>
          <w:sz w:val="28"/>
        </w:rPr>
      </w:pPr>
      <w:r>
        <w:rPr>
          <w:b/>
          <w:sz w:val="28"/>
        </w:rPr>
        <w:t>3a.3.2.6 I</w:t>
      </w:r>
      <w:r>
        <w:rPr>
          <w:b/>
          <w:sz w:val="22"/>
        </w:rPr>
        <w:t>NVENTORY </w:t>
      </w:r>
      <w:r>
        <w:rPr>
          <w:b/>
          <w:sz w:val="28"/>
        </w:rPr>
        <w:t>QA/QC</w:t>
      </w:r>
    </w:p>
    <w:p>
      <w:pPr>
        <w:pStyle w:val="BodyText"/>
        <w:spacing w:before="209"/>
        <w:ind w:left="159" w:right="164"/>
        <w:jc w:val="both"/>
      </w:pPr>
      <w:r>
        <w:rPr/>
        <w:t>Quality assurance/quality control (QA/QC) checks should be implemented as outlined in Chapter 5 (Section 5.5) of this report. Additional quality control checks as outlined in Tier 2 procedures in Chapter 8, QA/QC, of </w:t>
      </w:r>
      <w:r>
        <w:rPr>
          <w:i/>
        </w:rPr>
        <w:t>GPG2000</w:t>
      </w:r>
      <w:r>
        <w:rPr/>
        <w:t>, and quality assurance procedures may also be applicable, particularly if higher tier methods are used to quantify emissions from this source category. Where country-specific emission factors are being used they should be based on high quality experimental data, developed using a rigorous measurement programme, and be adequately documented.</w:t>
      </w:r>
    </w:p>
    <w:p>
      <w:pPr>
        <w:spacing w:after="0"/>
        <w:jc w:val="both"/>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6"/>
        <w:jc w:val="both"/>
      </w:pPr>
      <w:r>
        <w:rPr/>
        <w:t>It is, at present, not possible to cross-check emissions estimates from organic soils managed for peat extraction with other measurement methods. However, the inventory agency should ensure that emission estimates undergo quality control by:</w:t>
      </w:r>
    </w:p>
    <w:p>
      <w:pPr>
        <w:pStyle w:val="ListParagraph"/>
        <w:numPr>
          <w:ilvl w:val="0"/>
          <w:numId w:val="117"/>
        </w:numPr>
        <w:tabs>
          <w:tab w:pos="519" w:val="left" w:leader="none"/>
          <w:tab w:pos="520" w:val="left" w:leader="none"/>
        </w:tabs>
        <w:spacing w:line="223" w:lineRule="auto" w:before="148" w:after="0"/>
        <w:ind w:left="516" w:right="168" w:hanging="357"/>
        <w:jc w:val="left"/>
        <w:rPr>
          <w:sz w:val="20"/>
        </w:rPr>
      </w:pPr>
      <w:r>
        <w:rPr>
          <w:sz w:val="20"/>
        </w:rPr>
        <w:t>Cross-referencing reported country-specific emissions factors with default values and data from other countries;</w:t>
      </w:r>
    </w:p>
    <w:p>
      <w:pPr>
        <w:pStyle w:val="ListParagraph"/>
        <w:numPr>
          <w:ilvl w:val="0"/>
          <w:numId w:val="117"/>
        </w:numPr>
        <w:tabs>
          <w:tab w:pos="519" w:val="left" w:leader="none"/>
          <w:tab w:pos="520" w:val="left" w:leader="none"/>
        </w:tabs>
        <w:spacing w:line="223" w:lineRule="auto" w:before="148" w:after="0"/>
        <w:ind w:left="516" w:right="165" w:hanging="357"/>
        <w:jc w:val="left"/>
        <w:rPr>
          <w:sz w:val="20"/>
        </w:rPr>
      </w:pPr>
      <w:r>
        <w:rPr>
          <w:sz w:val="20"/>
        </w:rPr>
        <w:t>Checking the plausibility of estimates by cross-referencing areas of organic soils managed for peat extraction with data of peat industries and peat</w:t>
      </w:r>
      <w:r>
        <w:rPr>
          <w:spacing w:val="-5"/>
          <w:sz w:val="20"/>
        </w:rPr>
        <w:t> </w:t>
      </w:r>
      <w:r>
        <w:rPr>
          <w:sz w:val="20"/>
        </w:rPr>
        <w:t>production.</w:t>
      </w:r>
    </w:p>
    <w:p>
      <w:pPr>
        <w:pStyle w:val="BodyText"/>
        <w:rPr>
          <w:sz w:val="22"/>
        </w:rPr>
      </w:pPr>
    </w:p>
    <w:p>
      <w:pPr>
        <w:pStyle w:val="BodyText"/>
        <w:spacing w:before="7"/>
      </w:pPr>
    </w:p>
    <w:p>
      <w:pPr>
        <w:pStyle w:val="Heading2"/>
        <w:ind w:left="159" w:firstLine="0"/>
        <w:jc w:val="both"/>
      </w:pPr>
      <w:r>
        <w:rPr/>
        <w:t>3a.3.3 Flooded Land Remaining Flooded Land</w:t>
      </w:r>
    </w:p>
    <w:p>
      <w:pPr>
        <w:pStyle w:val="BodyText"/>
        <w:spacing w:before="114"/>
        <w:ind w:left="159" w:right="164"/>
        <w:jc w:val="both"/>
        <w:rPr>
          <w:i/>
        </w:rPr>
      </w:pPr>
      <w:r>
        <w:rPr/>
        <w:t>Flooded lands are defined as water bodies regulated by human activities for energy production, irrigation, navigation, recreation, etc., and where substantial changes in water area due to water level regulation occur. Regulated lakes and rivers, where the main pre-flooded ecosystem was a natural lake or river, are not considered as flooded lands. Rice paddies are addressed in the Agriculture chapter of the </w:t>
      </w:r>
      <w:r>
        <w:rPr>
          <w:i/>
        </w:rPr>
        <w:t>IPCC Guidelines </w:t>
      </w:r>
      <w:r>
        <w:rPr/>
        <w:t>and </w:t>
      </w:r>
      <w:r>
        <w:rPr>
          <w:i/>
        </w:rPr>
        <w:t>GPG 2000.</w:t>
      </w:r>
    </w:p>
    <w:p>
      <w:pPr>
        <w:pStyle w:val="BodyText"/>
        <w:spacing w:before="119"/>
        <w:ind w:left="159" w:right="165"/>
        <w:jc w:val="both"/>
      </w:pPr>
      <w:r>
        <w:rPr/>
        <w:t>There is little statistical evidence to suggest that greenhouse gas emissions from flooded lands vary with time (Duchemin </w:t>
      </w:r>
      <w:r>
        <w:rPr>
          <w:i/>
        </w:rPr>
        <w:t>et al.</w:t>
      </w:r>
      <w:r>
        <w:rPr/>
        <w:t>, 1999; Duchemin, 2000; Duchemin </w:t>
      </w:r>
      <w:r>
        <w:rPr>
          <w:i/>
        </w:rPr>
        <w:t>et al.</w:t>
      </w:r>
      <w:r>
        <w:rPr/>
        <w:t>, 2000 and 2002a; Keller and Stallard, 1994), although recent studies suggest that CO</w:t>
      </w:r>
      <w:r>
        <w:rPr>
          <w:vertAlign w:val="subscript"/>
        </w:rPr>
        <w:t>2</w:t>
      </w:r>
      <w:r>
        <w:rPr>
          <w:vertAlign w:val="baseline"/>
        </w:rPr>
        <w:t> emissions for the first ten years after flooding are as a result of decay of organic matter on the land prior to flooding, whereas subsequent CO</w:t>
      </w:r>
      <w:r>
        <w:rPr>
          <w:vertAlign w:val="subscript"/>
        </w:rPr>
        <w:t>2</w:t>
      </w:r>
      <w:r>
        <w:rPr>
          <w:vertAlign w:val="baseline"/>
        </w:rPr>
        <w:t> emissions are from material transferred into the flooded area (S. Houel, 2002; Hélie, 2003). If this is true, then the CO</w:t>
      </w:r>
      <w:r>
        <w:rPr>
          <w:vertAlign w:val="subscript"/>
        </w:rPr>
        <w:t>2</w:t>
      </w:r>
      <w:r>
        <w:rPr>
          <w:vertAlign w:val="baseline"/>
        </w:rPr>
        <w:t> emissions attributed to flooding alone would be limited to approximately 10 years.</w:t>
      </w:r>
    </w:p>
    <w:p>
      <w:pPr>
        <w:pStyle w:val="BodyText"/>
        <w:spacing w:before="118"/>
        <w:ind w:left="159" w:right="164"/>
        <w:jc w:val="both"/>
      </w:pPr>
      <w:r>
        <w:rPr/>
        <w:t>This section provides preliminary information on how to estimate emissions of CO</w:t>
      </w:r>
      <w:r>
        <w:rPr>
          <w:vertAlign w:val="subscript"/>
        </w:rPr>
        <w:t>2</w:t>
      </w:r>
      <w:r>
        <w:rPr>
          <w:vertAlign w:val="baseline"/>
        </w:rPr>
        <w:t>, CH</w:t>
      </w:r>
      <w:r>
        <w:rPr>
          <w:vertAlign w:val="subscript"/>
        </w:rPr>
        <w:t>4</w:t>
      </w:r>
      <w:r>
        <w:rPr>
          <w:vertAlign w:val="baseline"/>
        </w:rPr>
        <w:t> and N</w:t>
      </w:r>
      <w:r>
        <w:rPr>
          <w:vertAlign w:val="subscript"/>
        </w:rPr>
        <w:t>2</w:t>
      </w:r>
      <w:r>
        <w:rPr>
          <w:vertAlign w:val="baseline"/>
        </w:rPr>
        <w:t>O from flooded lands. This information is drawn from available literature and may be useful to countries that want to begin estimating emissions from this source. Due to the close linkage between CO</w:t>
      </w:r>
      <w:r>
        <w:rPr>
          <w:vertAlign w:val="subscript"/>
        </w:rPr>
        <w:t>2</w:t>
      </w:r>
      <w:r>
        <w:rPr>
          <w:vertAlign w:val="baseline"/>
        </w:rPr>
        <w:t>, CH</w:t>
      </w:r>
      <w:r>
        <w:rPr>
          <w:vertAlign w:val="subscript"/>
        </w:rPr>
        <w:t>4</w:t>
      </w:r>
      <w:r>
        <w:rPr>
          <w:vertAlign w:val="baseline"/>
        </w:rPr>
        <w:t> and N</w:t>
      </w:r>
      <w:r>
        <w:rPr>
          <w:vertAlign w:val="subscript"/>
        </w:rPr>
        <w:t>2</w:t>
      </w:r>
      <w:r>
        <w:rPr>
          <w:vertAlign w:val="baseline"/>
        </w:rPr>
        <w:t>O emissions and methodologies, all three gas species are addressed in this section and no distinction for emissions from flooded land is made based on the age of the reservoir. The emissions from changes in living aboveground biomass due the conversion to flooded land are addressed in Section 3.5.2.2.</w:t>
      </w:r>
    </w:p>
    <w:p>
      <w:pPr>
        <w:pStyle w:val="BodyText"/>
        <w:rPr>
          <w:sz w:val="22"/>
        </w:rPr>
      </w:pPr>
    </w:p>
    <w:p>
      <w:pPr>
        <w:spacing w:before="148"/>
        <w:ind w:left="159" w:right="0" w:firstLine="0"/>
        <w:jc w:val="both"/>
        <w:rPr>
          <w:b/>
          <w:sz w:val="22"/>
        </w:rPr>
      </w:pPr>
      <w:r>
        <w:rPr>
          <w:b/>
          <w:sz w:val="28"/>
        </w:rPr>
        <w:t>3a.3.3.1 M</w:t>
      </w:r>
      <w:r>
        <w:rPr>
          <w:b/>
          <w:sz w:val="22"/>
        </w:rPr>
        <w:t>ETHODOLOGICAL </w:t>
      </w:r>
      <w:r>
        <w:rPr>
          <w:b/>
          <w:sz w:val="28"/>
        </w:rPr>
        <w:t>I</w:t>
      </w:r>
      <w:r>
        <w:rPr>
          <w:b/>
          <w:sz w:val="22"/>
        </w:rPr>
        <w:t>SSUES</w:t>
      </w:r>
    </w:p>
    <w:p>
      <w:pPr>
        <w:pStyle w:val="BodyText"/>
        <w:spacing w:before="208"/>
        <w:ind w:left="159"/>
        <w:jc w:val="both"/>
      </w:pPr>
      <w:r>
        <w:rPr/>
        <w:t>Greenhouse gas emissions from flooded lands can occur via the following pathways after flooding has occurred:</w:t>
      </w:r>
    </w:p>
    <w:p>
      <w:pPr>
        <w:pStyle w:val="ListParagraph"/>
        <w:numPr>
          <w:ilvl w:val="0"/>
          <w:numId w:val="117"/>
        </w:numPr>
        <w:tabs>
          <w:tab w:pos="520" w:val="left" w:leader="none"/>
        </w:tabs>
        <w:spacing w:line="240" w:lineRule="auto" w:before="135" w:after="0"/>
        <w:ind w:left="519" w:right="0" w:hanging="360"/>
        <w:jc w:val="both"/>
        <w:rPr>
          <w:sz w:val="20"/>
        </w:rPr>
      </w:pPr>
      <w:r>
        <w:rPr>
          <w:sz w:val="20"/>
        </w:rPr>
        <w:t>Molecular diffusion across the air-water interface for CO</w:t>
      </w:r>
      <w:r>
        <w:rPr>
          <w:sz w:val="20"/>
          <w:vertAlign w:val="subscript"/>
        </w:rPr>
        <w:t>2</w:t>
      </w:r>
      <w:r>
        <w:rPr>
          <w:sz w:val="20"/>
          <w:vertAlign w:val="baseline"/>
        </w:rPr>
        <w:t>, CH</w:t>
      </w:r>
      <w:r>
        <w:rPr>
          <w:sz w:val="20"/>
          <w:vertAlign w:val="subscript"/>
        </w:rPr>
        <w:t>4</w:t>
      </w:r>
      <w:r>
        <w:rPr>
          <w:sz w:val="20"/>
          <w:vertAlign w:val="baseline"/>
        </w:rPr>
        <w:t> and N</w:t>
      </w:r>
      <w:r>
        <w:rPr>
          <w:sz w:val="20"/>
          <w:vertAlign w:val="subscript"/>
        </w:rPr>
        <w:t>2</w:t>
      </w:r>
      <w:r>
        <w:rPr>
          <w:sz w:val="20"/>
          <w:vertAlign w:val="baseline"/>
        </w:rPr>
        <w:t>O (diffusive</w:t>
      </w:r>
      <w:r>
        <w:rPr>
          <w:spacing w:val="-10"/>
          <w:sz w:val="20"/>
          <w:vertAlign w:val="baseline"/>
        </w:rPr>
        <w:t> </w:t>
      </w:r>
      <w:r>
        <w:rPr>
          <w:sz w:val="20"/>
          <w:vertAlign w:val="baseline"/>
        </w:rPr>
        <w:t>emissions);</w:t>
      </w:r>
    </w:p>
    <w:p>
      <w:pPr>
        <w:pStyle w:val="ListParagraph"/>
        <w:numPr>
          <w:ilvl w:val="0"/>
          <w:numId w:val="117"/>
        </w:numPr>
        <w:tabs>
          <w:tab w:pos="520" w:val="left" w:leader="none"/>
        </w:tabs>
        <w:spacing w:line="240" w:lineRule="auto" w:before="119" w:after="0"/>
        <w:ind w:left="519" w:right="0" w:hanging="360"/>
        <w:jc w:val="both"/>
        <w:rPr>
          <w:sz w:val="20"/>
        </w:rPr>
      </w:pPr>
      <w:r>
        <w:rPr>
          <w:sz w:val="20"/>
        </w:rPr>
        <w:t>Bubbles of CH</w:t>
      </w:r>
      <w:r>
        <w:rPr>
          <w:sz w:val="20"/>
          <w:vertAlign w:val="subscript"/>
        </w:rPr>
        <w:t>4</w:t>
      </w:r>
      <w:r>
        <w:rPr>
          <w:sz w:val="20"/>
          <w:vertAlign w:val="baseline"/>
        </w:rPr>
        <w:t> from the sediment through the water column (bubble</w:t>
      </w:r>
      <w:r>
        <w:rPr>
          <w:spacing w:val="-9"/>
          <w:sz w:val="20"/>
          <w:vertAlign w:val="baseline"/>
        </w:rPr>
        <w:t> </w:t>
      </w:r>
      <w:r>
        <w:rPr>
          <w:sz w:val="20"/>
          <w:vertAlign w:val="baseline"/>
        </w:rPr>
        <w:t>emissions);</w:t>
      </w:r>
    </w:p>
    <w:p>
      <w:pPr>
        <w:pStyle w:val="ListParagraph"/>
        <w:numPr>
          <w:ilvl w:val="0"/>
          <w:numId w:val="117"/>
        </w:numPr>
        <w:tabs>
          <w:tab w:pos="519" w:val="left" w:leader="none"/>
          <w:tab w:pos="520" w:val="left" w:leader="none"/>
        </w:tabs>
        <w:spacing w:line="223" w:lineRule="auto" w:before="127" w:after="0"/>
        <w:ind w:left="516" w:right="168" w:hanging="357"/>
        <w:jc w:val="left"/>
        <w:rPr>
          <w:sz w:val="20"/>
        </w:rPr>
      </w:pPr>
      <w:r>
        <w:rPr>
          <w:sz w:val="20"/>
        </w:rPr>
        <w:t>Emissions resulting from the water passing through a turbine and/or through the spillway and turbulence downstream (degassing emissions);</w:t>
      </w:r>
      <w:r>
        <w:rPr>
          <w:spacing w:val="-7"/>
          <w:sz w:val="20"/>
        </w:rPr>
        <w:t> </w:t>
      </w:r>
      <w:r>
        <w:rPr>
          <w:sz w:val="20"/>
        </w:rPr>
        <w:t>and</w:t>
      </w:r>
    </w:p>
    <w:p>
      <w:pPr>
        <w:pStyle w:val="ListParagraph"/>
        <w:numPr>
          <w:ilvl w:val="0"/>
          <w:numId w:val="117"/>
        </w:numPr>
        <w:tabs>
          <w:tab w:pos="520" w:val="left" w:leader="none"/>
        </w:tabs>
        <w:spacing w:line="240" w:lineRule="auto" w:before="139" w:after="0"/>
        <w:ind w:left="519" w:right="0" w:hanging="360"/>
        <w:jc w:val="both"/>
        <w:rPr>
          <w:sz w:val="20"/>
        </w:rPr>
      </w:pPr>
      <w:r>
        <w:rPr>
          <w:sz w:val="20"/>
        </w:rPr>
        <w:t>Emissions from decay of above-water</w:t>
      </w:r>
      <w:r>
        <w:rPr>
          <w:spacing w:val="-8"/>
          <w:sz w:val="20"/>
        </w:rPr>
        <w:t> </w:t>
      </w:r>
      <w:r>
        <w:rPr>
          <w:sz w:val="20"/>
        </w:rPr>
        <w:t>biomass</w:t>
      </w:r>
      <w:r>
        <w:rPr>
          <w:sz w:val="20"/>
          <w:vertAlign w:val="superscript"/>
        </w:rPr>
        <w:t>1</w:t>
      </w:r>
      <w:r>
        <w:rPr>
          <w:sz w:val="20"/>
          <w:vertAlign w:val="baseline"/>
        </w:rPr>
        <w:t>.</w:t>
      </w:r>
    </w:p>
    <w:p>
      <w:pPr>
        <w:pStyle w:val="BodyText"/>
        <w:spacing w:before="104"/>
        <w:ind w:left="159" w:right="162"/>
        <w:jc w:val="both"/>
      </w:pPr>
      <w:r>
        <w:rPr/>
        <w:t>The first two pathways – diffusive emissions and bubble emissions – are estimated in the Tier 1 method. For hydroelectric reservoirs, degassing emissions, which are caused by an increase in dissolved CO</w:t>
      </w:r>
      <w:r>
        <w:rPr>
          <w:vertAlign w:val="subscript"/>
        </w:rPr>
        <w:t>2</w:t>
      </w:r>
      <w:r>
        <w:rPr>
          <w:vertAlign w:val="baseline"/>
        </w:rPr>
        <w:t> and CH</w:t>
      </w:r>
      <w:r>
        <w:rPr>
          <w:vertAlign w:val="subscript"/>
        </w:rPr>
        <w:t>4</w:t>
      </w:r>
      <w:r>
        <w:rPr>
          <w:vertAlign w:val="baseline"/>
        </w:rPr>
        <w:t> in the water due to flooding and are released to the atmosphere when water is passing through the turbine or over the spillway (Galy-Lacaux and al., 1997), can be included in Tier 2 if data are available.. In tropical regions, emissions from the decay of above-water biomass can be an important pathway (Fearnside, 2002) and related emissions can be estimated at Tier 3. CO</w:t>
      </w:r>
      <w:r>
        <w:rPr>
          <w:vertAlign w:val="subscript"/>
        </w:rPr>
        <w:t>2</w:t>
      </w:r>
      <w:r>
        <w:rPr>
          <w:vertAlign w:val="baseline"/>
        </w:rPr>
        <w:t> and CH</w:t>
      </w:r>
      <w:r>
        <w:rPr>
          <w:vertAlign w:val="subscript"/>
        </w:rPr>
        <w:t>4</w:t>
      </w:r>
      <w:r>
        <w:rPr>
          <w:vertAlign w:val="baseline"/>
        </w:rPr>
        <w:t> emissions from reservoirs are affected by season. In boreal and temperate regions CO</w:t>
      </w:r>
      <w:r>
        <w:rPr>
          <w:vertAlign w:val="subscript"/>
        </w:rPr>
        <w:t>2</w:t>
      </w:r>
      <w:r>
        <w:rPr>
          <w:vertAlign w:val="baseline"/>
        </w:rPr>
        <w:t> and CH</w:t>
      </w:r>
      <w:r>
        <w:rPr>
          <w:vertAlign w:val="subscript"/>
        </w:rPr>
        <w:t>4</w:t>
      </w:r>
      <w:r>
        <w:rPr>
          <w:vertAlign w:val="baseline"/>
        </w:rPr>
        <w:t> will be accumulated under ice and release at break-up (Duchemin, 2000).</w:t>
      </w:r>
    </w:p>
    <w:p>
      <w:pPr>
        <w:pStyle w:val="BodyText"/>
        <w:spacing w:before="2"/>
        <w:rPr>
          <w:sz w:val="21"/>
        </w:rPr>
      </w:pPr>
    </w:p>
    <w:p>
      <w:pPr>
        <w:pStyle w:val="Heading6"/>
        <w:jc w:val="both"/>
      </w:pPr>
      <w:r>
        <w:rPr/>
        <w:t>CHOICE OF METHOD </w:t>
      </w:r>
    </w:p>
    <w:p>
      <w:pPr>
        <w:pStyle w:val="BodyText"/>
        <w:spacing w:before="114"/>
        <w:ind w:left="159" w:right="166"/>
        <w:jc w:val="both"/>
      </w:pPr>
      <w:r>
        <w:rPr/>
        <w:t>The following discussion describes how to estimate emissions from reservoirs under various tiers, with increasing level of accuracy associated with higher tier methods. Within the discussion of particular tiers, specific issues related to estimating emissions of CO</w:t>
      </w:r>
      <w:r>
        <w:rPr>
          <w:vertAlign w:val="subscript"/>
        </w:rPr>
        <w:t>2</w:t>
      </w:r>
      <w:r>
        <w:rPr>
          <w:vertAlign w:val="baseline"/>
        </w:rPr>
        <w:t>, CH</w:t>
      </w:r>
      <w:r>
        <w:rPr>
          <w:vertAlign w:val="subscript"/>
        </w:rPr>
        <w:t>4</w:t>
      </w:r>
      <w:r>
        <w:rPr>
          <w:vertAlign w:val="baseline"/>
        </w:rPr>
        <w:t> and N</w:t>
      </w:r>
      <w:r>
        <w:rPr>
          <w:vertAlign w:val="subscript"/>
        </w:rPr>
        <w:t>2</w:t>
      </w:r>
      <w:r>
        <w:rPr>
          <w:vertAlign w:val="baseline"/>
        </w:rPr>
        <w:t>O are</w:t>
      </w:r>
      <w:r>
        <w:rPr>
          <w:spacing w:val="-6"/>
          <w:vertAlign w:val="baseline"/>
        </w:rPr>
        <w:t> </w:t>
      </w:r>
      <w:r>
        <w:rPr>
          <w:vertAlign w:val="baseline"/>
        </w:rPr>
        <w:t>covered.</w:t>
      </w:r>
    </w:p>
    <w:p>
      <w:pPr>
        <w:pStyle w:val="BodyText"/>
      </w:pPr>
    </w:p>
    <w:p>
      <w:pPr>
        <w:pStyle w:val="BodyText"/>
      </w:pPr>
    </w:p>
    <w:p>
      <w:pPr>
        <w:pStyle w:val="BodyText"/>
      </w:pPr>
    </w:p>
    <w:p>
      <w:pPr>
        <w:pStyle w:val="BodyText"/>
      </w:pPr>
    </w:p>
    <w:p>
      <w:pPr>
        <w:pStyle w:val="BodyText"/>
        <w:spacing w:before="1"/>
        <w:rPr>
          <w:sz w:val="13"/>
        </w:rPr>
      </w:pPr>
      <w:r>
        <w:rPr/>
        <w:pict>
          <v:line style="position:absolute;mso-position-horizontal-relative:page;mso-position-vertical-relative:paragraph;z-index:14576;mso-wrap-distance-left:0;mso-wrap-distance-right:0" from="70.960999pt,9.74042pt" to="214.960999pt,9.74042pt" stroked="true" strokeweight=".48pt" strokecolor="#000000">
            <v:stroke dashstyle="solid"/>
            <w10:wrap type="topAndBottom"/>
          </v:line>
        </w:pict>
      </w:r>
    </w:p>
    <w:p>
      <w:pPr>
        <w:spacing w:line="247" w:lineRule="auto" w:before="150"/>
        <w:ind w:left="339" w:right="0" w:hanging="180"/>
        <w:jc w:val="left"/>
        <w:rPr>
          <w:sz w:val="18"/>
        </w:rPr>
      </w:pPr>
      <w:r>
        <w:rPr>
          <w:position w:val="9"/>
          <w:sz w:val="13"/>
        </w:rPr>
        <w:t>1 </w:t>
      </w:r>
      <w:r>
        <w:rPr>
          <w:sz w:val="18"/>
        </w:rPr>
        <w:t>Above-water biomass is the biomass in trees not submerged by the flooding, especially located in shallow flooded zones (Fearnside, 2002)</w:t>
      </w:r>
    </w:p>
    <w:p>
      <w:pPr>
        <w:spacing w:after="0" w:line="247" w:lineRule="auto"/>
        <w:jc w:val="left"/>
        <w:rPr>
          <w:sz w:val="18"/>
        </w:rPr>
        <w:sectPr>
          <w:pgSz w:w="11900" w:h="16840"/>
          <w:pgMar w:header="230" w:footer="408" w:top="560" w:bottom="600" w:left="1260" w:right="1240"/>
        </w:sectPr>
      </w:pPr>
    </w:p>
    <w:p>
      <w:pPr>
        <w:pStyle w:val="BodyText"/>
      </w:pPr>
    </w:p>
    <w:p>
      <w:pPr>
        <w:pStyle w:val="Heading6"/>
        <w:spacing w:before="214"/>
      </w:pPr>
      <w:r>
        <w:rPr/>
        <w:t>Tier 1</w:t>
      </w:r>
    </w:p>
    <w:p>
      <w:pPr>
        <w:pStyle w:val="BodyText"/>
        <w:spacing w:before="57"/>
        <w:ind w:left="159" w:right="164"/>
        <w:jc w:val="both"/>
      </w:pPr>
      <w:r>
        <w:rPr/>
        <w:t>The Tier 1 approach provides a simplified approach to estimating greenhouse gas emissions from reservoirs using default emission data and highly aggregated area data. Unless otherwise indicated the area used in Tier 1 calculations is the flooded total surface area, which includes any areas covered with water before the flooding, because area data </w:t>
      </w:r>
      <w:r>
        <w:rPr>
          <w:i/>
        </w:rPr>
        <w:t>minus </w:t>
      </w:r>
      <w:r>
        <w:rPr/>
        <w:t>these previously flooded areas are generally not</w:t>
      </w:r>
      <w:r>
        <w:rPr>
          <w:spacing w:val="-7"/>
        </w:rPr>
        <w:t> </w:t>
      </w:r>
      <w:r>
        <w:rPr/>
        <w:t>available.</w:t>
      </w:r>
    </w:p>
    <w:p>
      <w:pPr>
        <w:spacing w:before="124"/>
        <w:ind w:left="159" w:right="0" w:firstLine="0"/>
        <w:jc w:val="left"/>
        <w:rPr>
          <w:b/>
          <w:sz w:val="20"/>
        </w:rPr>
      </w:pPr>
      <w:r>
        <w:rPr>
          <w:b/>
          <w:sz w:val="20"/>
        </w:rPr>
        <w:t>CO</w:t>
      </w:r>
      <w:r>
        <w:rPr>
          <w:b/>
          <w:sz w:val="20"/>
          <w:vertAlign w:val="subscript"/>
        </w:rPr>
        <w:t>2</w:t>
      </w:r>
      <w:r>
        <w:rPr>
          <w:b/>
          <w:sz w:val="20"/>
          <w:vertAlign w:val="baseline"/>
        </w:rPr>
        <w:t> emissions</w:t>
      </w:r>
    </w:p>
    <w:p>
      <w:pPr>
        <w:pStyle w:val="BodyText"/>
        <w:spacing w:before="113"/>
        <w:ind w:left="159" w:right="163"/>
        <w:jc w:val="both"/>
      </w:pPr>
      <w:r>
        <w:rPr/>
        <w:t>The method in Section 3.5.2.2 to estimate the carbon stock change in aboveground living biomass due to land conversion to flooded land assumes that all aboveground biomass is converted into CO</w:t>
      </w:r>
      <w:r>
        <w:rPr>
          <w:vertAlign w:val="subscript"/>
        </w:rPr>
        <w:t>2</w:t>
      </w:r>
      <w:r>
        <w:rPr>
          <w:vertAlign w:val="baseline"/>
        </w:rPr>
        <w:t> in the first year following the conversion. In actuality, the part of the above-ground biomass that is left on site before flooding will decompose more slowly. Decay of soil carbon will also contribute to the emissions and a Tier 1 method for these CO</w:t>
      </w:r>
      <w:r>
        <w:rPr>
          <w:vertAlign w:val="subscript"/>
        </w:rPr>
        <w:t>2</w:t>
      </w:r>
      <w:r>
        <w:rPr>
          <w:vertAlign w:val="baseline"/>
        </w:rPr>
        <w:t> emissions is shown in Equation 3a.3.8:</w:t>
      </w:r>
    </w:p>
    <w:p>
      <w:pPr>
        <w:pStyle w:val="BodyText"/>
        <w:spacing w:before="1"/>
        <w:rPr>
          <w:sz w:val="11"/>
        </w:rPr>
      </w:pPr>
      <w:r>
        <w:rPr/>
        <w:pict>
          <v:shape style="position:absolute;margin-left:91.960999pt;margin-top:9.086817pt;width:411.5pt;height:49.95pt;mso-position-horizontal-relative:page;mso-position-vertical-relative:paragraph;z-index:14600;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3a.3.8</w:t>
                  </w:r>
                </w:p>
                <w:p>
                  <w:pPr>
                    <w:spacing w:before="0"/>
                    <w:ind w:left="68" w:right="68" w:firstLine="0"/>
                    <w:jc w:val="center"/>
                    <w:rPr>
                      <w:b/>
                      <w:sz w:val="20"/>
                    </w:rPr>
                  </w:pPr>
                  <w:r>
                    <w:rPr>
                      <w:b/>
                      <w:sz w:val="20"/>
                    </w:rPr>
                    <w:t>CO</w:t>
                  </w:r>
                  <w:r>
                    <w:rPr>
                      <w:b/>
                      <w:sz w:val="20"/>
                      <w:vertAlign w:val="subscript"/>
                    </w:rPr>
                    <w:t>2</w:t>
                  </w:r>
                  <w:r>
                    <w:rPr>
                      <w:b/>
                      <w:sz w:val="20"/>
                      <w:vertAlign w:val="baseline"/>
                    </w:rPr>
                    <w:t> </w:t>
                  </w:r>
                  <w:r>
                    <w:rPr>
                      <w:b/>
                      <w:sz w:val="16"/>
                      <w:vertAlign w:val="baseline"/>
                    </w:rPr>
                    <w:t>EMISSIONS FROM FLOODED LANDS </w:t>
                  </w:r>
                  <w:r>
                    <w:rPr>
                      <w:b/>
                      <w:sz w:val="20"/>
                      <w:vertAlign w:val="baseline"/>
                    </w:rPr>
                    <w:t>(T</w:t>
                  </w:r>
                  <w:r>
                    <w:rPr>
                      <w:b/>
                      <w:sz w:val="16"/>
                      <w:vertAlign w:val="baseline"/>
                    </w:rPr>
                    <w:t>IER </w:t>
                  </w:r>
                  <w:r>
                    <w:rPr>
                      <w:b/>
                      <w:sz w:val="20"/>
                      <w:vertAlign w:val="baseline"/>
                    </w:rPr>
                    <w:t>1)</w:t>
                  </w:r>
                </w:p>
                <w:p>
                  <w:pPr>
                    <w:spacing w:before="78"/>
                    <w:ind w:left="68" w:right="68" w:firstLine="0"/>
                    <w:jc w:val="center"/>
                    <w:rPr>
                      <w:sz w:val="13"/>
                    </w:rPr>
                  </w:pPr>
                  <w:r>
                    <w:rPr>
                      <w:position w:val="3"/>
                      <w:sz w:val="20"/>
                    </w:rPr>
                    <w:t>CO</w:t>
                  </w:r>
                  <w:r>
                    <w:rPr>
                      <w:sz w:val="13"/>
                    </w:rPr>
                    <w:t>2 </w:t>
                  </w:r>
                  <w:r>
                    <w:rPr>
                      <w:position w:val="3"/>
                      <w:sz w:val="20"/>
                    </w:rPr>
                    <w:t>emissions</w:t>
                  </w:r>
                  <w:r>
                    <w:rPr>
                      <w:sz w:val="13"/>
                    </w:rPr>
                    <w:t>WW flood </w:t>
                  </w:r>
                  <w:r>
                    <w:rPr>
                      <w:position w:val="3"/>
                      <w:sz w:val="20"/>
                    </w:rPr>
                    <w:t>= P ● E(CO</w:t>
                  </w:r>
                  <w:r>
                    <w:rPr>
                      <w:sz w:val="13"/>
                    </w:rPr>
                    <w:t>2</w:t>
                  </w:r>
                  <w:r>
                    <w:rPr>
                      <w:position w:val="3"/>
                      <w:sz w:val="20"/>
                    </w:rPr>
                    <w:t>)</w:t>
                  </w:r>
                  <w:r>
                    <w:rPr>
                      <w:sz w:val="13"/>
                    </w:rPr>
                    <w:t>diff </w:t>
                  </w:r>
                  <w:r>
                    <w:rPr>
                      <w:position w:val="3"/>
                      <w:sz w:val="20"/>
                    </w:rPr>
                    <w:t>● A</w:t>
                  </w:r>
                  <w:r>
                    <w:rPr>
                      <w:sz w:val="13"/>
                    </w:rPr>
                    <w:t>flood, total surface</w:t>
                  </w:r>
                </w:p>
              </w:txbxContent>
            </v:textbox>
            <v:stroke dashstyle="solid"/>
            <w10:wrap type="topAndBottom"/>
          </v:shape>
        </w:pict>
      </w:r>
    </w:p>
    <w:p>
      <w:pPr>
        <w:pStyle w:val="BodyText"/>
        <w:spacing w:before="4"/>
        <w:ind w:left="159"/>
      </w:pPr>
      <w:r>
        <w:rPr/>
        <w:t>Where:</w:t>
      </w:r>
    </w:p>
    <w:p>
      <w:pPr>
        <w:pStyle w:val="BodyText"/>
        <w:tabs>
          <w:tab w:pos="2693" w:val="left" w:leader="none"/>
        </w:tabs>
        <w:spacing w:line="364" w:lineRule="auto" w:before="121"/>
        <w:ind w:left="725" w:right="2321"/>
      </w:pPr>
      <w:r>
        <w:rPr/>
        <w:t>CO</w:t>
      </w:r>
      <w:r>
        <w:rPr>
          <w:vertAlign w:val="subscript"/>
        </w:rPr>
        <w:t>2</w:t>
      </w:r>
      <w:r>
        <w:rPr>
          <w:spacing w:val="-2"/>
          <w:vertAlign w:val="baseline"/>
        </w:rPr>
        <w:t> </w:t>
      </w:r>
      <w:r>
        <w:rPr>
          <w:vertAlign w:val="baseline"/>
        </w:rPr>
        <w:t>emissions</w:t>
      </w:r>
      <w:r>
        <w:rPr>
          <w:vertAlign w:val="subscript"/>
        </w:rPr>
        <w:t>WW</w:t>
      </w:r>
      <w:r>
        <w:rPr>
          <w:spacing w:val="-19"/>
          <w:vertAlign w:val="baseline"/>
        </w:rPr>
        <w:t> </w:t>
      </w:r>
      <w:r>
        <w:rPr>
          <w:vertAlign w:val="subscript"/>
        </w:rPr>
        <w:t>flood</w:t>
      </w:r>
      <w:r>
        <w:rPr>
          <w:vertAlign w:val="baseline"/>
        </w:rPr>
        <w:tab/>
        <w:t>= total CO</w:t>
      </w:r>
      <w:r>
        <w:rPr>
          <w:vertAlign w:val="subscript"/>
        </w:rPr>
        <w:t>2</w:t>
      </w:r>
      <w:r>
        <w:rPr>
          <w:vertAlign w:val="baseline"/>
        </w:rPr>
        <w:t> emissions from flooded lands, Gg CO</w:t>
      </w:r>
      <w:r>
        <w:rPr>
          <w:vertAlign w:val="subscript"/>
        </w:rPr>
        <w:t>2</w:t>
      </w:r>
      <w:r>
        <w:rPr>
          <w:spacing w:val="-18"/>
          <w:vertAlign w:val="baseline"/>
        </w:rPr>
        <w:t> </w:t>
      </w:r>
      <w:r>
        <w:rPr>
          <w:vertAlign w:val="baseline"/>
        </w:rPr>
        <w:t>yr</w:t>
      </w:r>
      <w:r>
        <w:rPr>
          <w:vertAlign w:val="superscript"/>
        </w:rPr>
        <w:t>-1</w:t>
      </w:r>
      <w:r>
        <w:rPr>
          <w:vertAlign w:val="baseline"/>
        </w:rPr>
        <w:t> P = period, days (usually 365 for annual inventory</w:t>
      </w:r>
      <w:r>
        <w:rPr>
          <w:spacing w:val="-14"/>
          <w:vertAlign w:val="baseline"/>
        </w:rPr>
        <w:t> </w:t>
      </w:r>
      <w:r>
        <w:rPr>
          <w:vertAlign w:val="baseline"/>
        </w:rPr>
        <w:t>estimates)</w:t>
      </w:r>
    </w:p>
    <w:p>
      <w:pPr>
        <w:pStyle w:val="BodyText"/>
        <w:spacing w:before="1"/>
        <w:ind w:left="725"/>
      </w:pPr>
      <w:r>
        <w:rPr/>
        <w:t>E(CO</w:t>
      </w:r>
      <w:r>
        <w:rPr>
          <w:vertAlign w:val="subscript"/>
        </w:rPr>
        <w:t>2</w:t>
      </w:r>
      <w:r>
        <w:rPr>
          <w:vertAlign w:val="baseline"/>
        </w:rPr>
        <w:t>)</w:t>
      </w:r>
      <w:r>
        <w:rPr>
          <w:vertAlign w:val="subscript"/>
        </w:rPr>
        <w:t>diff</w:t>
      </w:r>
      <w:r>
        <w:rPr>
          <w:vertAlign w:val="baseline"/>
        </w:rPr>
        <w:t> = averaged daily diffusive emissions, Gg CO</w:t>
      </w:r>
      <w:r>
        <w:rPr>
          <w:vertAlign w:val="subscript"/>
        </w:rPr>
        <w:t>2</w:t>
      </w:r>
      <w:r>
        <w:rPr>
          <w:vertAlign w:val="baseline"/>
        </w:rPr>
        <w:t> ha</w:t>
      </w:r>
      <w:r>
        <w:rPr>
          <w:vertAlign w:val="superscript"/>
        </w:rPr>
        <w:t>-1</w:t>
      </w:r>
      <w:r>
        <w:rPr>
          <w:vertAlign w:val="baseline"/>
        </w:rPr>
        <w:t> day</w:t>
      </w:r>
      <w:r>
        <w:rPr>
          <w:vertAlign w:val="superscript"/>
        </w:rPr>
        <w:t>-1</w:t>
      </w:r>
    </w:p>
    <w:p>
      <w:pPr>
        <w:pStyle w:val="BodyText"/>
        <w:spacing w:before="118"/>
        <w:ind w:left="2091" w:hanging="1366"/>
      </w:pPr>
      <w:r>
        <w:rPr/>
        <w:t>A</w:t>
      </w:r>
      <w:r>
        <w:rPr>
          <w:vertAlign w:val="subscript"/>
        </w:rPr>
        <w:t>flood,</w:t>
      </w:r>
      <w:r>
        <w:rPr>
          <w:vertAlign w:val="baseline"/>
        </w:rPr>
        <w:t> </w:t>
      </w:r>
      <w:r>
        <w:rPr>
          <w:vertAlign w:val="subscript"/>
        </w:rPr>
        <w:t>total</w:t>
      </w:r>
      <w:r>
        <w:rPr>
          <w:vertAlign w:val="baseline"/>
        </w:rPr>
        <w:t> </w:t>
      </w:r>
      <w:r>
        <w:rPr>
          <w:vertAlign w:val="subscript"/>
        </w:rPr>
        <w:t>surface</w:t>
      </w:r>
      <w:r>
        <w:rPr>
          <w:vertAlign w:val="baseline"/>
        </w:rPr>
        <w:t> = total flooded surface area, including flooded land, flooded lake and flooded river surface area, ha</w:t>
      </w:r>
    </w:p>
    <w:p>
      <w:pPr>
        <w:pStyle w:val="BodyText"/>
        <w:spacing w:before="121"/>
        <w:ind w:left="159" w:right="165"/>
        <w:jc w:val="both"/>
      </w:pPr>
      <w:r>
        <w:rPr/>
        <w:t>The CO</w:t>
      </w:r>
      <w:r>
        <w:rPr>
          <w:vertAlign w:val="subscript"/>
        </w:rPr>
        <w:t>2</w:t>
      </w:r>
      <w:r>
        <w:rPr>
          <w:vertAlign w:val="baseline"/>
        </w:rPr>
        <w:t> estimation method is simple – the only emission pathway that is estimated under Tier 1 is diffusion emission during ice-free and ice-cover periods. CO</w:t>
      </w:r>
      <w:r>
        <w:rPr>
          <w:vertAlign w:val="subscript"/>
        </w:rPr>
        <w:t>2</w:t>
      </w:r>
      <w:r>
        <w:rPr>
          <w:vertAlign w:val="baseline"/>
        </w:rPr>
        <w:t> bubble emissions are not significant. The default assumption is that the CO</w:t>
      </w:r>
      <w:r>
        <w:rPr>
          <w:vertAlign w:val="subscript"/>
        </w:rPr>
        <w:t>2</w:t>
      </w:r>
      <w:r>
        <w:rPr>
          <w:vertAlign w:val="baseline"/>
        </w:rPr>
        <w:t> emissions would be limited to approximately 10 years after the flooding took place.</w:t>
      </w:r>
    </w:p>
    <w:p>
      <w:pPr>
        <w:pStyle w:val="BodyText"/>
        <w:spacing w:before="119"/>
        <w:ind w:left="159" w:right="163"/>
        <w:jc w:val="both"/>
      </w:pPr>
      <w:r>
        <w:rPr/>
        <w:t>The CO</w:t>
      </w:r>
      <w:r>
        <w:rPr>
          <w:vertAlign w:val="subscript"/>
        </w:rPr>
        <w:t>2</w:t>
      </w:r>
      <w:r>
        <w:rPr>
          <w:vertAlign w:val="baseline"/>
        </w:rPr>
        <w:t> emissions estimated with the equation 3a.3.8 are highly uncertain and will depend on the site-specific conditions (soil type in particular). The use of the Equation 3a.3.8 may also lead to overestimation of the emissions when used together with the Equation 3.5.6 in Section 3.5.2.2. If countries use a Tier 2 method they can more accurately represent the proper time profile of the CO</w:t>
      </w:r>
      <w:r>
        <w:rPr>
          <w:vertAlign w:val="subscript"/>
        </w:rPr>
        <w:t>2</w:t>
      </w:r>
      <w:r>
        <w:rPr>
          <w:vertAlign w:val="baseline"/>
        </w:rPr>
        <w:t> emissions following flooding. Guidance on Tier 2 methods is given below.</w:t>
      </w:r>
    </w:p>
    <w:p>
      <w:pPr>
        <w:spacing w:before="124"/>
        <w:ind w:left="159" w:right="0" w:firstLine="0"/>
        <w:jc w:val="left"/>
        <w:rPr>
          <w:b/>
          <w:sz w:val="20"/>
        </w:rPr>
      </w:pPr>
      <w:r>
        <w:rPr>
          <w:b/>
          <w:sz w:val="20"/>
        </w:rPr>
        <w:t>CH</w:t>
      </w:r>
      <w:r>
        <w:rPr>
          <w:b/>
          <w:sz w:val="20"/>
          <w:vertAlign w:val="subscript"/>
        </w:rPr>
        <w:t>4</w:t>
      </w:r>
      <w:r>
        <w:rPr>
          <w:b/>
          <w:sz w:val="20"/>
          <w:vertAlign w:val="baseline"/>
        </w:rPr>
        <w:t> emissions</w:t>
      </w:r>
    </w:p>
    <w:p>
      <w:pPr>
        <w:pStyle w:val="BodyText"/>
        <w:spacing w:before="116"/>
        <w:ind w:left="159"/>
      </w:pPr>
      <w:r>
        <w:rPr/>
        <w:t>The Tier 1 method for estimating CH</w:t>
      </w:r>
      <w:r>
        <w:rPr>
          <w:vertAlign w:val="subscript"/>
        </w:rPr>
        <w:t>4</w:t>
      </w:r>
      <w:r>
        <w:rPr>
          <w:vertAlign w:val="baseline"/>
        </w:rPr>
        <w:t> emissions from flooded lands includes the diffusion and bubble pathways (Equation 3a.3.9):</w:t>
      </w:r>
    </w:p>
    <w:p>
      <w:pPr>
        <w:pStyle w:val="BodyText"/>
        <w:rPr>
          <w:sz w:val="11"/>
        </w:rPr>
      </w:pPr>
      <w:r>
        <w:rPr/>
        <w:pict>
          <v:shape style="position:absolute;margin-left:91.960999pt;margin-top:9.037617pt;width:411.5pt;height:49.95pt;mso-position-horizontal-relative:page;mso-position-vertical-relative:paragraph;z-index:14624;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3a.3.9</w:t>
                  </w:r>
                </w:p>
                <w:p>
                  <w:pPr>
                    <w:spacing w:before="0"/>
                    <w:ind w:left="68" w:right="68" w:firstLine="0"/>
                    <w:jc w:val="center"/>
                    <w:rPr>
                      <w:b/>
                      <w:sz w:val="20"/>
                    </w:rPr>
                  </w:pPr>
                  <w:r>
                    <w:rPr>
                      <w:b/>
                      <w:sz w:val="20"/>
                    </w:rPr>
                    <w:t>CH</w:t>
                  </w:r>
                  <w:r>
                    <w:rPr>
                      <w:b/>
                      <w:sz w:val="20"/>
                      <w:vertAlign w:val="subscript"/>
                    </w:rPr>
                    <w:t>4</w:t>
                  </w:r>
                  <w:r>
                    <w:rPr>
                      <w:b/>
                      <w:sz w:val="20"/>
                      <w:vertAlign w:val="baseline"/>
                    </w:rPr>
                    <w:t> </w:t>
                  </w:r>
                  <w:r>
                    <w:rPr>
                      <w:b/>
                      <w:sz w:val="16"/>
                      <w:vertAlign w:val="baseline"/>
                    </w:rPr>
                    <w:t>EMISSIONS FROM FLOODED LANDS </w:t>
                  </w:r>
                  <w:r>
                    <w:rPr>
                      <w:b/>
                      <w:sz w:val="20"/>
                      <w:vertAlign w:val="baseline"/>
                    </w:rPr>
                    <w:t>(T</w:t>
                  </w:r>
                  <w:r>
                    <w:rPr>
                      <w:b/>
                      <w:sz w:val="16"/>
                      <w:vertAlign w:val="baseline"/>
                    </w:rPr>
                    <w:t>IER </w:t>
                  </w:r>
                  <w:r>
                    <w:rPr>
                      <w:b/>
                      <w:sz w:val="20"/>
                      <w:vertAlign w:val="baseline"/>
                    </w:rPr>
                    <w:t>1)</w:t>
                  </w:r>
                </w:p>
                <w:p>
                  <w:pPr>
                    <w:spacing w:before="78"/>
                    <w:ind w:left="68" w:right="68" w:firstLine="0"/>
                    <w:jc w:val="center"/>
                    <w:rPr>
                      <w:sz w:val="13"/>
                    </w:rPr>
                  </w:pPr>
                  <w:r>
                    <w:rPr>
                      <w:position w:val="3"/>
                      <w:sz w:val="20"/>
                    </w:rPr>
                    <w:t>CH</w:t>
                  </w:r>
                  <w:r>
                    <w:rPr>
                      <w:sz w:val="13"/>
                    </w:rPr>
                    <w:t>4 </w:t>
                  </w:r>
                  <w:r>
                    <w:rPr>
                      <w:position w:val="3"/>
                      <w:sz w:val="20"/>
                    </w:rPr>
                    <w:t>emissions</w:t>
                  </w:r>
                  <w:r>
                    <w:rPr>
                      <w:sz w:val="13"/>
                    </w:rPr>
                    <w:t>WW flood </w:t>
                  </w:r>
                  <w:r>
                    <w:rPr>
                      <w:position w:val="3"/>
                      <w:sz w:val="20"/>
                    </w:rPr>
                    <w:t>= P ● E(CH</w:t>
                  </w:r>
                  <w:r>
                    <w:rPr>
                      <w:sz w:val="13"/>
                    </w:rPr>
                    <w:t>4</w:t>
                  </w:r>
                  <w:r>
                    <w:rPr>
                      <w:position w:val="3"/>
                      <w:sz w:val="20"/>
                    </w:rPr>
                    <w:t>)</w:t>
                  </w:r>
                  <w:r>
                    <w:rPr>
                      <w:sz w:val="13"/>
                    </w:rPr>
                    <w:t>diff </w:t>
                  </w:r>
                  <w:r>
                    <w:rPr>
                      <w:position w:val="3"/>
                      <w:sz w:val="20"/>
                    </w:rPr>
                    <w:t>● A</w:t>
                  </w:r>
                  <w:r>
                    <w:rPr>
                      <w:sz w:val="13"/>
                    </w:rPr>
                    <w:t>flood, total surface </w:t>
                  </w:r>
                  <w:r>
                    <w:rPr>
                      <w:position w:val="3"/>
                      <w:sz w:val="20"/>
                    </w:rPr>
                    <w:t>+ P ● E(CH</w:t>
                  </w:r>
                  <w:r>
                    <w:rPr>
                      <w:sz w:val="13"/>
                    </w:rPr>
                    <w:t>4</w:t>
                  </w:r>
                  <w:r>
                    <w:rPr>
                      <w:position w:val="3"/>
                      <w:sz w:val="20"/>
                    </w:rPr>
                    <w:t>)</w:t>
                  </w:r>
                  <w:r>
                    <w:rPr>
                      <w:sz w:val="13"/>
                    </w:rPr>
                    <w:t>bubble </w:t>
                  </w:r>
                  <w:r>
                    <w:rPr>
                      <w:position w:val="3"/>
                      <w:sz w:val="20"/>
                    </w:rPr>
                    <w:t>● A</w:t>
                  </w:r>
                  <w:r>
                    <w:rPr>
                      <w:sz w:val="13"/>
                    </w:rPr>
                    <w:t>flood, total surface</w:t>
                  </w:r>
                </w:p>
              </w:txbxContent>
            </v:textbox>
            <v:stroke dashstyle="solid"/>
            <w10:wrap type="topAndBottom"/>
          </v:shape>
        </w:pict>
      </w:r>
    </w:p>
    <w:p>
      <w:pPr>
        <w:pStyle w:val="BodyText"/>
        <w:spacing w:before="4"/>
        <w:ind w:left="159"/>
      </w:pPr>
      <w:r>
        <w:rPr/>
        <w:t>Where:</w:t>
      </w:r>
    </w:p>
    <w:p>
      <w:pPr>
        <w:pStyle w:val="BodyText"/>
        <w:tabs>
          <w:tab w:pos="2707" w:val="left" w:leader="none"/>
        </w:tabs>
        <w:spacing w:line="364" w:lineRule="auto" w:before="121"/>
        <w:ind w:left="701" w:right="2401"/>
      </w:pPr>
      <w:r>
        <w:rPr/>
        <w:t>CH</w:t>
      </w:r>
      <w:r>
        <w:rPr>
          <w:vertAlign w:val="subscript"/>
        </w:rPr>
        <w:t>4</w:t>
      </w:r>
      <w:r>
        <w:rPr>
          <w:spacing w:val="-2"/>
          <w:vertAlign w:val="baseline"/>
        </w:rPr>
        <w:t> </w:t>
      </w:r>
      <w:r>
        <w:rPr>
          <w:vertAlign w:val="baseline"/>
        </w:rPr>
        <w:t>emissions</w:t>
      </w:r>
      <w:r>
        <w:rPr>
          <w:vertAlign w:val="subscript"/>
        </w:rPr>
        <w:t>WW</w:t>
      </w:r>
      <w:r>
        <w:rPr>
          <w:spacing w:val="-19"/>
          <w:vertAlign w:val="baseline"/>
        </w:rPr>
        <w:t> </w:t>
      </w:r>
      <w:r>
        <w:rPr>
          <w:vertAlign w:val="subscript"/>
        </w:rPr>
        <w:t>flood</w:t>
      </w:r>
      <w:r>
        <w:rPr>
          <w:vertAlign w:val="baseline"/>
        </w:rPr>
        <w:tab/>
        <w:t>= total CH</w:t>
      </w:r>
      <w:r>
        <w:rPr>
          <w:vertAlign w:val="subscript"/>
        </w:rPr>
        <w:t>4</w:t>
      </w:r>
      <w:r>
        <w:rPr>
          <w:spacing w:val="-38"/>
          <w:vertAlign w:val="baseline"/>
        </w:rPr>
        <w:t> </w:t>
      </w:r>
      <w:r>
        <w:rPr>
          <w:vertAlign w:val="baseline"/>
        </w:rPr>
        <w:t>emissions from flooded land, Gg CH</w:t>
      </w:r>
      <w:r>
        <w:rPr>
          <w:vertAlign w:val="subscript"/>
        </w:rPr>
        <w:t>4</w:t>
      </w:r>
      <w:r>
        <w:rPr>
          <w:vertAlign w:val="baseline"/>
        </w:rPr>
        <w:t> yr</w:t>
      </w:r>
      <w:r>
        <w:rPr>
          <w:vertAlign w:val="superscript"/>
        </w:rPr>
        <w:t>-1</w:t>
      </w:r>
      <w:r>
        <w:rPr>
          <w:vertAlign w:val="baseline"/>
        </w:rPr>
        <w:t> P = period, days (usually 365 for annual inventory</w:t>
      </w:r>
      <w:r>
        <w:rPr>
          <w:spacing w:val="-10"/>
          <w:vertAlign w:val="baseline"/>
        </w:rPr>
        <w:t> </w:t>
      </w:r>
      <w:r>
        <w:rPr>
          <w:vertAlign w:val="baseline"/>
        </w:rPr>
        <w:t>estimates)</w:t>
      </w:r>
    </w:p>
    <w:p>
      <w:pPr>
        <w:pStyle w:val="BodyText"/>
        <w:spacing w:line="362" w:lineRule="auto" w:before="1"/>
        <w:ind w:left="701" w:right="3301"/>
      </w:pPr>
      <w:r>
        <w:rPr/>
        <w:t>E(CH</w:t>
      </w:r>
      <w:r>
        <w:rPr>
          <w:vertAlign w:val="subscript"/>
        </w:rPr>
        <w:t>4</w:t>
      </w:r>
      <w:r>
        <w:rPr>
          <w:vertAlign w:val="baseline"/>
        </w:rPr>
        <w:t>)</w:t>
      </w:r>
      <w:r>
        <w:rPr>
          <w:vertAlign w:val="subscript"/>
        </w:rPr>
        <w:t>diff</w:t>
      </w:r>
      <w:r>
        <w:rPr>
          <w:vertAlign w:val="baseline"/>
        </w:rPr>
        <w:t> = averaged daily diffusive emissions, Gg CH</w:t>
      </w:r>
      <w:r>
        <w:rPr>
          <w:vertAlign w:val="subscript"/>
        </w:rPr>
        <w:t>4</w:t>
      </w:r>
      <w:r>
        <w:rPr>
          <w:vertAlign w:val="baseline"/>
        </w:rPr>
        <w:t> ha</w:t>
      </w:r>
      <w:r>
        <w:rPr>
          <w:vertAlign w:val="superscript"/>
        </w:rPr>
        <w:t>-1</w:t>
      </w:r>
      <w:r>
        <w:rPr>
          <w:vertAlign w:val="baseline"/>
        </w:rPr>
        <w:t> day</w:t>
      </w:r>
      <w:r>
        <w:rPr>
          <w:vertAlign w:val="superscript"/>
        </w:rPr>
        <w:t>-1</w:t>
      </w:r>
      <w:r>
        <w:rPr>
          <w:vertAlign w:val="baseline"/>
        </w:rPr>
        <w:t> E(CH</w:t>
      </w:r>
      <w:r>
        <w:rPr>
          <w:vertAlign w:val="subscript"/>
        </w:rPr>
        <w:t>4</w:t>
      </w:r>
      <w:r>
        <w:rPr>
          <w:vertAlign w:val="baseline"/>
        </w:rPr>
        <w:t>)</w:t>
      </w:r>
      <w:r>
        <w:rPr>
          <w:vertAlign w:val="subscript"/>
        </w:rPr>
        <w:t>bubble</w:t>
      </w:r>
      <w:r>
        <w:rPr>
          <w:vertAlign w:val="baseline"/>
        </w:rPr>
        <w:t> = averaged bubbles emissions, Gg CH</w:t>
      </w:r>
      <w:r>
        <w:rPr>
          <w:vertAlign w:val="subscript"/>
        </w:rPr>
        <w:t>4</w:t>
      </w:r>
      <w:r>
        <w:rPr>
          <w:vertAlign w:val="baseline"/>
        </w:rPr>
        <w:t> ha</w:t>
      </w:r>
      <w:r>
        <w:rPr>
          <w:vertAlign w:val="superscript"/>
        </w:rPr>
        <w:t>-1</w:t>
      </w:r>
      <w:r>
        <w:rPr>
          <w:spacing w:val="-24"/>
          <w:vertAlign w:val="baseline"/>
        </w:rPr>
        <w:t> </w:t>
      </w:r>
      <w:r>
        <w:rPr>
          <w:vertAlign w:val="baseline"/>
        </w:rPr>
        <w:t>day</w:t>
      </w:r>
      <w:r>
        <w:rPr>
          <w:vertAlign w:val="superscript"/>
        </w:rPr>
        <w:t>-1</w:t>
      </w:r>
    </w:p>
    <w:p>
      <w:pPr>
        <w:pStyle w:val="BodyText"/>
        <w:spacing w:before="4"/>
        <w:ind w:left="2120" w:hanging="1419"/>
      </w:pPr>
      <w:r>
        <w:rPr/>
        <w:t>A</w:t>
      </w:r>
      <w:r>
        <w:rPr>
          <w:vertAlign w:val="subscript"/>
        </w:rPr>
        <w:t>flood,</w:t>
      </w:r>
      <w:r>
        <w:rPr>
          <w:vertAlign w:val="baseline"/>
        </w:rPr>
        <w:t> </w:t>
      </w:r>
      <w:r>
        <w:rPr>
          <w:vertAlign w:val="subscript"/>
        </w:rPr>
        <w:t>total</w:t>
      </w:r>
      <w:r>
        <w:rPr>
          <w:vertAlign w:val="baseline"/>
        </w:rPr>
        <w:t> </w:t>
      </w:r>
      <w:r>
        <w:rPr>
          <w:vertAlign w:val="subscript"/>
        </w:rPr>
        <w:t>surface</w:t>
      </w:r>
      <w:r>
        <w:rPr>
          <w:vertAlign w:val="baseline"/>
        </w:rPr>
        <w:t> = total flooded surface area, including flooded land, flooded lake and flooded river surface area, ha</w:t>
      </w:r>
    </w:p>
    <w:p>
      <w:pPr>
        <w:pStyle w:val="BodyText"/>
        <w:rPr>
          <w:sz w:val="22"/>
        </w:rPr>
      </w:pPr>
    </w:p>
    <w:p>
      <w:pPr>
        <w:pStyle w:val="BodyText"/>
        <w:spacing w:before="2"/>
        <w:rPr>
          <w:sz w:val="19"/>
        </w:rPr>
      </w:pPr>
    </w:p>
    <w:p>
      <w:pPr>
        <w:spacing w:before="0"/>
        <w:ind w:left="159" w:right="0" w:firstLine="0"/>
        <w:jc w:val="left"/>
        <w:rPr>
          <w:b/>
          <w:sz w:val="20"/>
        </w:rPr>
      </w:pPr>
      <w:r>
        <w:rPr>
          <w:b/>
          <w:sz w:val="20"/>
        </w:rPr>
        <w:t>N</w:t>
      </w:r>
      <w:r>
        <w:rPr>
          <w:b/>
          <w:sz w:val="20"/>
          <w:vertAlign w:val="subscript"/>
        </w:rPr>
        <w:t>2</w:t>
      </w:r>
      <w:r>
        <w:rPr>
          <w:b/>
          <w:sz w:val="20"/>
          <w:vertAlign w:val="baseline"/>
        </w:rPr>
        <w:t>O emissions</w:t>
      </w:r>
    </w:p>
    <w:p>
      <w:pPr>
        <w:pStyle w:val="BodyText"/>
        <w:spacing w:before="116"/>
        <w:ind w:left="159"/>
      </w:pPr>
      <w:r>
        <w:rPr/>
        <w:t>The Tier 1 method for estimating N</w:t>
      </w:r>
      <w:r>
        <w:rPr>
          <w:vertAlign w:val="subscript"/>
        </w:rPr>
        <w:t>2</w:t>
      </w:r>
      <w:r>
        <w:rPr>
          <w:vertAlign w:val="baseline"/>
        </w:rPr>
        <w:t>O emissions from flooded lands includes the diffusion pathway only. N</w:t>
      </w:r>
      <w:r>
        <w:rPr>
          <w:vertAlign w:val="subscript"/>
        </w:rPr>
        <w:t>2</w:t>
      </w:r>
      <w:r>
        <w:rPr>
          <w:vertAlign w:val="baseline"/>
        </w:rPr>
        <w:t>O emissions via the bubble pathway are not significant (Equation 3a.3.10):</w:t>
      </w:r>
    </w:p>
    <w:p>
      <w:pPr>
        <w:spacing w:after="0"/>
        <w:sectPr>
          <w:pgSz w:w="11900" w:h="16840"/>
          <w:pgMar w:header="230" w:footer="408" w:top="560" w:bottom="600" w:left="1260" w:right="1240"/>
        </w:sectPr>
      </w:pPr>
    </w:p>
    <w:p>
      <w:pPr>
        <w:pStyle w:val="BodyText"/>
      </w:pPr>
    </w:p>
    <w:p>
      <w:pPr>
        <w:pStyle w:val="BodyText"/>
        <w:spacing w:before="10" w:after="1"/>
        <w:rPr>
          <w:sz w:val="18"/>
        </w:rPr>
      </w:pPr>
    </w:p>
    <w:p>
      <w:pPr>
        <w:pStyle w:val="BodyText"/>
        <w:ind w:left="564"/>
      </w:pPr>
      <w:r>
        <w:rPr>
          <w:position w:val="0"/>
        </w:rPr>
        <w:pict>
          <v:shape style="width:411.5pt;height:49.95pt;mso-position-horizontal-relative:char;mso-position-vertical-relative:line" type="#_x0000_t202" filled="false" stroked="true" strokeweight="1.44pt" strokecolor="#000000">
            <w10:anchorlock/>
            <v:textbox inset="0,0,0,0">
              <w:txbxContent>
                <w:p>
                  <w:pPr>
                    <w:spacing w:line="229" w:lineRule="exact" w:before="99"/>
                    <w:ind w:left="68" w:right="68" w:firstLine="0"/>
                    <w:jc w:val="center"/>
                    <w:rPr>
                      <w:b/>
                      <w:sz w:val="20"/>
                    </w:rPr>
                  </w:pPr>
                  <w:r>
                    <w:rPr>
                      <w:b/>
                      <w:sz w:val="20"/>
                    </w:rPr>
                    <w:t>E</w:t>
                  </w:r>
                  <w:r>
                    <w:rPr>
                      <w:b/>
                      <w:sz w:val="16"/>
                    </w:rPr>
                    <w:t>QUATION </w:t>
                  </w:r>
                  <w:r>
                    <w:rPr>
                      <w:b/>
                      <w:sz w:val="20"/>
                    </w:rPr>
                    <w:t>3a.3.10</w:t>
                  </w:r>
                </w:p>
                <w:p>
                  <w:pPr>
                    <w:spacing w:line="229" w:lineRule="exact" w:before="0"/>
                    <w:ind w:left="68" w:right="68" w:firstLine="0"/>
                    <w:jc w:val="center"/>
                    <w:rPr>
                      <w:b/>
                      <w:sz w:val="20"/>
                    </w:rPr>
                  </w:pPr>
                  <w:r>
                    <w:rPr>
                      <w:b/>
                      <w:sz w:val="20"/>
                    </w:rPr>
                    <w:t>N</w:t>
                  </w:r>
                  <w:r>
                    <w:rPr>
                      <w:b/>
                      <w:sz w:val="20"/>
                      <w:vertAlign w:val="subscript"/>
                    </w:rPr>
                    <w:t>2</w:t>
                  </w:r>
                  <w:r>
                    <w:rPr>
                      <w:b/>
                      <w:sz w:val="20"/>
                      <w:vertAlign w:val="baseline"/>
                    </w:rPr>
                    <w:t>O </w:t>
                  </w:r>
                  <w:r>
                    <w:rPr>
                      <w:b/>
                      <w:sz w:val="16"/>
                      <w:vertAlign w:val="baseline"/>
                    </w:rPr>
                    <w:t>EMISSIONS FROM FLOODED LANDS </w:t>
                  </w:r>
                  <w:r>
                    <w:rPr>
                      <w:b/>
                      <w:sz w:val="20"/>
                      <w:vertAlign w:val="baseline"/>
                    </w:rPr>
                    <w:t>(T</w:t>
                  </w:r>
                  <w:r>
                    <w:rPr>
                      <w:b/>
                      <w:sz w:val="16"/>
                      <w:vertAlign w:val="baseline"/>
                    </w:rPr>
                    <w:t>IER </w:t>
                  </w:r>
                  <w:r>
                    <w:rPr>
                      <w:b/>
                      <w:sz w:val="20"/>
                      <w:vertAlign w:val="baseline"/>
                    </w:rPr>
                    <w:t>1)</w:t>
                  </w:r>
                </w:p>
                <w:p>
                  <w:pPr>
                    <w:spacing w:before="80"/>
                    <w:ind w:left="68" w:right="68" w:firstLine="0"/>
                    <w:jc w:val="center"/>
                    <w:rPr>
                      <w:sz w:val="13"/>
                    </w:rPr>
                  </w:pPr>
                  <w:r>
                    <w:rPr>
                      <w:position w:val="3"/>
                      <w:sz w:val="20"/>
                    </w:rPr>
                    <w:t>N</w:t>
                  </w:r>
                  <w:r>
                    <w:rPr>
                      <w:sz w:val="13"/>
                    </w:rPr>
                    <w:t>2</w:t>
                  </w:r>
                  <w:r>
                    <w:rPr>
                      <w:position w:val="3"/>
                      <w:sz w:val="20"/>
                    </w:rPr>
                    <w:t>O emissions</w:t>
                  </w:r>
                  <w:r>
                    <w:rPr>
                      <w:sz w:val="13"/>
                    </w:rPr>
                    <w:t>ww flood </w:t>
                  </w:r>
                  <w:r>
                    <w:rPr>
                      <w:position w:val="3"/>
                      <w:sz w:val="20"/>
                    </w:rPr>
                    <w:t>= P ● E(N</w:t>
                  </w:r>
                  <w:r>
                    <w:rPr>
                      <w:sz w:val="13"/>
                    </w:rPr>
                    <w:t>2</w:t>
                  </w:r>
                  <w:r>
                    <w:rPr>
                      <w:position w:val="3"/>
                      <w:sz w:val="20"/>
                    </w:rPr>
                    <w:t>O)</w:t>
                  </w:r>
                  <w:r>
                    <w:rPr>
                      <w:sz w:val="13"/>
                    </w:rPr>
                    <w:t>diff </w:t>
                  </w:r>
                  <w:r>
                    <w:rPr>
                      <w:position w:val="3"/>
                      <w:sz w:val="20"/>
                    </w:rPr>
                    <w:t>● A</w:t>
                  </w:r>
                  <w:r>
                    <w:rPr>
                      <w:sz w:val="13"/>
                    </w:rPr>
                    <w:t>flood, total surface</w:t>
                  </w:r>
                </w:p>
              </w:txbxContent>
            </v:textbox>
            <v:stroke dashstyle="solid"/>
          </v:shape>
        </w:pict>
      </w:r>
      <w:r>
        <w:rPr>
          <w:position w:val="0"/>
        </w:rPr>
      </w:r>
    </w:p>
    <w:p>
      <w:pPr>
        <w:pStyle w:val="BodyText"/>
        <w:spacing w:before="12"/>
        <w:ind w:left="159"/>
      </w:pPr>
      <w:r>
        <w:rPr/>
        <w:t>Where:</w:t>
      </w:r>
    </w:p>
    <w:p>
      <w:pPr>
        <w:pStyle w:val="BodyText"/>
        <w:tabs>
          <w:tab w:pos="2734" w:val="left" w:leader="none"/>
        </w:tabs>
        <w:spacing w:line="364" w:lineRule="auto" w:before="120"/>
        <w:ind w:left="725" w:right="2338"/>
      </w:pPr>
      <w:r>
        <w:rPr/>
        <w:t>N</w:t>
      </w:r>
      <w:r>
        <w:rPr>
          <w:vertAlign w:val="subscript"/>
        </w:rPr>
        <w:t>2</w:t>
      </w:r>
      <w:r>
        <w:rPr>
          <w:vertAlign w:val="baseline"/>
        </w:rPr>
        <w:t>O</w:t>
      </w:r>
      <w:r>
        <w:rPr>
          <w:spacing w:val="-3"/>
          <w:vertAlign w:val="baseline"/>
        </w:rPr>
        <w:t> </w:t>
      </w:r>
      <w:r>
        <w:rPr>
          <w:vertAlign w:val="baseline"/>
        </w:rPr>
        <w:t>emissions</w:t>
      </w:r>
      <w:r>
        <w:rPr>
          <w:vertAlign w:val="subscript"/>
        </w:rPr>
        <w:t>WW</w:t>
      </w:r>
      <w:r>
        <w:rPr>
          <w:spacing w:val="-18"/>
          <w:vertAlign w:val="baseline"/>
        </w:rPr>
        <w:t> </w:t>
      </w:r>
      <w:r>
        <w:rPr>
          <w:vertAlign w:val="subscript"/>
        </w:rPr>
        <w:t>flood</w:t>
      </w:r>
      <w:r>
        <w:rPr>
          <w:vertAlign w:val="baseline"/>
        </w:rPr>
        <w:tab/>
        <w:t>= total N</w:t>
      </w:r>
      <w:r>
        <w:rPr>
          <w:vertAlign w:val="subscript"/>
        </w:rPr>
        <w:t>2</w:t>
      </w:r>
      <w:r>
        <w:rPr>
          <w:vertAlign w:val="baseline"/>
        </w:rPr>
        <w:t>O emissions from flooded land, Gg N</w:t>
      </w:r>
      <w:r>
        <w:rPr>
          <w:vertAlign w:val="subscript"/>
        </w:rPr>
        <w:t>2</w:t>
      </w:r>
      <w:r>
        <w:rPr>
          <w:vertAlign w:val="baseline"/>
        </w:rPr>
        <w:t>O</w:t>
      </w:r>
      <w:r>
        <w:rPr>
          <w:spacing w:val="-22"/>
          <w:vertAlign w:val="baseline"/>
        </w:rPr>
        <w:t> </w:t>
      </w:r>
      <w:r>
        <w:rPr>
          <w:vertAlign w:val="baseline"/>
        </w:rPr>
        <w:t>yr</w:t>
      </w:r>
      <w:r>
        <w:rPr>
          <w:vertAlign w:val="superscript"/>
        </w:rPr>
        <w:t>-1</w:t>
      </w:r>
      <w:r>
        <w:rPr>
          <w:vertAlign w:val="baseline"/>
        </w:rPr>
        <w:t> P = period, days (usually 365 for annual inventory</w:t>
      </w:r>
      <w:r>
        <w:rPr>
          <w:spacing w:val="-14"/>
          <w:vertAlign w:val="baseline"/>
        </w:rPr>
        <w:t> </w:t>
      </w:r>
      <w:r>
        <w:rPr>
          <w:vertAlign w:val="baseline"/>
        </w:rPr>
        <w:t>estimates)</w:t>
      </w:r>
    </w:p>
    <w:p>
      <w:pPr>
        <w:pStyle w:val="BodyText"/>
        <w:spacing w:line="229" w:lineRule="exact"/>
        <w:ind w:left="725"/>
      </w:pPr>
      <w:r>
        <w:rPr/>
        <w:t>E</w:t>
      </w:r>
      <w:r>
        <w:rPr>
          <w:vertAlign w:val="subscript"/>
        </w:rPr>
        <w:t>f</w:t>
      </w:r>
      <w:r>
        <w:rPr>
          <w:vertAlign w:val="baseline"/>
        </w:rPr>
        <w:t>(N</w:t>
      </w:r>
      <w:r>
        <w:rPr>
          <w:vertAlign w:val="subscript"/>
        </w:rPr>
        <w:t>2</w:t>
      </w:r>
      <w:r>
        <w:rPr>
          <w:vertAlign w:val="baseline"/>
        </w:rPr>
        <w:t>O)</w:t>
      </w:r>
      <w:r>
        <w:rPr>
          <w:vertAlign w:val="subscript"/>
        </w:rPr>
        <w:t>diff</w:t>
      </w:r>
      <w:r>
        <w:rPr>
          <w:vertAlign w:val="baseline"/>
        </w:rPr>
        <w:t> = averaged daily diffusive emissions, Gg N</w:t>
      </w:r>
      <w:r>
        <w:rPr>
          <w:vertAlign w:val="subscript"/>
        </w:rPr>
        <w:t>2</w:t>
      </w:r>
      <w:r>
        <w:rPr>
          <w:vertAlign w:val="baseline"/>
        </w:rPr>
        <w:t>O ha</w:t>
      </w:r>
      <w:r>
        <w:rPr>
          <w:vertAlign w:val="superscript"/>
        </w:rPr>
        <w:t>-1</w:t>
      </w:r>
      <w:r>
        <w:rPr>
          <w:vertAlign w:val="baseline"/>
        </w:rPr>
        <w:t> day</w:t>
      </w:r>
      <w:r>
        <w:rPr>
          <w:vertAlign w:val="superscript"/>
        </w:rPr>
        <w:t>-1</w:t>
      </w:r>
    </w:p>
    <w:p>
      <w:pPr>
        <w:pStyle w:val="BodyText"/>
        <w:tabs>
          <w:tab w:pos="1968" w:val="left" w:leader="none"/>
        </w:tabs>
        <w:spacing w:before="120"/>
        <w:ind w:left="1968" w:right="185" w:hanging="1244"/>
      </w:pPr>
      <w:r>
        <w:rPr/>
        <w:t>A</w:t>
      </w:r>
      <w:r>
        <w:rPr>
          <w:vertAlign w:val="subscript"/>
        </w:rPr>
        <w:t>flood,</w:t>
      </w:r>
      <w:r>
        <w:rPr>
          <w:spacing w:val="-17"/>
          <w:vertAlign w:val="baseline"/>
        </w:rPr>
        <w:t> </w:t>
      </w:r>
      <w:r>
        <w:rPr>
          <w:vertAlign w:val="subscript"/>
        </w:rPr>
        <w:t>surface</w:t>
      </w:r>
      <w:r>
        <w:rPr>
          <w:vertAlign w:val="baseline"/>
        </w:rPr>
        <w:t> =</w:t>
        <w:tab/>
        <w:t>total flooded surface area, including flooded land, flooded lake and flooded river surface area, ha</w:t>
      </w:r>
    </w:p>
    <w:p>
      <w:pPr>
        <w:pStyle w:val="BodyText"/>
        <w:spacing w:before="3"/>
        <w:rPr>
          <w:sz w:val="21"/>
        </w:rPr>
      </w:pPr>
    </w:p>
    <w:p>
      <w:pPr>
        <w:pStyle w:val="Heading6"/>
      </w:pPr>
      <w:r>
        <w:rPr/>
        <w:t>Tier 2</w:t>
      </w:r>
    </w:p>
    <w:p>
      <w:pPr>
        <w:spacing w:before="61"/>
        <w:ind w:left="159" w:right="0" w:firstLine="0"/>
        <w:jc w:val="left"/>
        <w:rPr>
          <w:b/>
          <w:sz w:val="20"/>
        </w:rPr>
      </w:pPr>
      <w:r>
        <w:rPr>
          <w:b/>
          <w:sz w:val="20"/>
        </w:rPr>
        <w:t>CO</w:t>
      </w:r>
      <w:r>
        <w:rPr>
          <w:b/>
          <w:sz w:val="20"/>
          <w:vertAlign w:val="subscript"/>
        </w:rPr>
        <w:t>2</w:t>
      </w:r>
      <w:r>
        <w:rPr>
          <w:b/>
          <w:sz w:val="20"/>
          <w:vertAlign w:val="baseline"/>
        </w:rPr>
        <w:t> emissions</w:t>
      </w:r>
    </w:p>
    <w:p>
      <w:pPr>
        <w:pStyle w:val="BodyText"/>
        <w:spacing w:before="115"/>
        <w:ind w:left="159" w:right="164"/>
        <w:jc w:val="both"/>
      </w:pPr>
      <w:r>
        <w:rPr/>
        <w:t>In Tier 2, CO</w:t>
      </w:r>
      <w:r>
        <w:rPr>
          <w:vertAlign w:val="subscript"/>
        </w:rPr>
        <w:t>2</w:t>
      </w:r>
      <w:r>
        <w:rPr>
          <w:vertAlign w:val="baseline"/>
        </w:rPr>
        <w:t> emissions can be estimated from reservoirs following the approach shown in Equation 3a.3.11. The CO</w:t>
      </w:r>
      <w:r>
        <w:rPr>
          <w:vertAlign w:val="subscript"/>
        </w:rPr>
        <w:t>2</w:t>
      </w:r>
      <w:r>
        <w:rPr>
          <w:vertAlign w:val="baseline"/>
        </w:rPr>
        <w:t> emissions from flooded lands should be estimated only for ten years after flooding when using Tier 2 or 3 methods unless country-specific research indicates otherwise.</w:t>
      </w:r>
    </w:p>
    <w:p>
      <w:pPr>
        <w:pStyle w:val="BodyText"/>
        <w:spacing w:before="119"/>
        <w:ind w:left="159" w:right="164"/>
        <w:jc w:val="both"/>
      </w:pPr>
      <w:r>
        <w:rPr/>
        <w:t>Depending on the amount of data available, both diffusive and degassing emissions can be estimated when using a Tier 2 approach. For the estimation of diffusive emissions, default emission factors can be used or country- specific factors can be developed. For estimation of degassing emissions, country-specific factors are necessary. The estimation of diffusion emissions can also be extended to distinguish between periods in which the reservoirs are ice-free and those in which they are ice-covered. This may be a significant improvement in accuracy for countries in colder climates. Flooded land surface area rather than total flooded area data can be used, depending on data availability. The flooded land area may be further disaggregated by climatic</w:t>
      </w:r>
      <w:r>
        <w:rPr>
          <w:spacing w:val="-28"/>
        </w:rPr>
        <w:t> </w:t>
      </w:r>
      <w:r>
        <w:rPr/>
        <w:t>zone.</w:t>
      </w:r>
    </w:p>
    <w:p>
      <w:pPr>
        <w:pStyle w:val="BodyText"/>
        <w:spacing w:before="11"/>
        <w:rPr>
          <w:sz w:val="10"/>
        </w:rPr>
      </w:pPr>
      <w:r>
        <w:rPr/>
        <w:pict>
          <v:shape style="position:absolute;margin-left:91.960999pt;margin-top:9.021643pt;width:411.5pt;height:76.95pt;mso-position-horizontal-relative:page;mso-position-vertical-relative:paragraph;z-index:14672;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E</w:t>
                  </w:r>
                  <w:r>
                    <w:rPr>
                      <w:b/>
                      <w:sz w:val="16"/>
                    </w:rPr>
                    <w:t>QUATION </w:t>
                  </w:r>
                  <w:r>
                    <w:rPr>
                      <w:b/>
                      <w:sz w:val="20"/>
                    </w:rPr>
                    <w:t>3a.3.11</w:t>
                  </w:r>
                </w:p>
                <w:p>
                  <w:pPr>
                    <w:spacing w:before="0"/>
                    <w:ind w:left="2114" w:right="0" w:firstLine="0"/>
                    <w:jc w:val="left"/>
                    <w:rPr>
                      <w:b/>
                      <w:sz w:val="20"/>
                    </w:rPr>
                  </w:pPr>
                  <w:r>
                    <w:rPr>
                      <w:b/>
                      <w:sz w:val="20"/>
                    </w:rPr>
                    <w:t>CO</w:t>
                  </w:r>
                  <w:r>
                    <w:rPr>
                      <w:b/>
                      <w:sz w:val="20"/>
                      <w:vertAlign w:val="subscript"/>
                    </w:rPr>
                    <w:t>2</w:t>
                  </w:r>
                  <w:r>
                    <w:rPr>
                      <w:b/>
                      <w:sz w:val="20"/>
                      <w:vertAlign w:val="baseline"/>
                    </w:rPr>
                    <w:t> </w:t>
                  </w:r>
                  <w:r>
                    <w:rPr>
                      <w:b/>
                      <w:sz w:val="16"/>
                      <w:vertAlign w:val="baseline"/>
                    </w:rPr>
                    <w:t>EMISSIONS FROM FLOODED LANDS </w:t>
                  </w:r>
                  <w:r>
                    <w:rPr>
                      <w:b/>
                      <w:sz w:val="20"/>
                      <w:vertAlign w:val="baseline"/>
                    </w:rPr>
                    <w:t>(T</w:t>
                  </w:r>
                  <w:r>
                    <w:rPr>
                      <w:b/>
                      <w:sz w:val="16"/>
                      <w:vertAlign w:val="baseline"/>
                    </w:rPr>
                    <w:t>IER </w:t>
                  </w:r>
                  <w:r>
                    <w:rPr>
                      <w:b/>
                      <w:sz w:val="20"/>
                      <w:vertAlign w:val="baseline"/>
                    </w:rPr>
                    <w:t>2)</w:t>
                  </w:r>
                </w:p>
                <w:p>
                  <w:pPr>
                    <w:spacing w:line="220" w:lineRule="auto" w:before="92"/>
                    <w:ind w:left="66" w:right="68" w:firstLine="0"/>
                    <w:jc w:val="center"/>
                    <w:rPr>
                      <w:sz w:val="20"/>
                    </w:rPr>
                  </w:pPr>
                  <w:r>
                    <w:rPr>
                      <w:position w:val="3"/>
                      <w:sz w:val="20"/>
                    </w:rPr>
                    <w:t>CO</w:t>
                  </w:r>
                  <w:r>
                    <w:rPr>
                      <w:sz w:val="13"/>
                    </w:rPr>
                    <w:t>2 </w:t>
                  </w:r>
                  <w:r>
                    <w:rPr>
                      <w:position w:val="3"/>
                      <w:sz w:val="20"/>
                    </w:rPr>
                    <w:t>emissions</w:t>
                  </w:r>
                  <w:r>
                    <w:rPr>
                      <w:sz w:val="13"/>
                    </w:rPr>
                    <w:t>WW flood </w:t>
                  </w:r>
                  <w:r>
                    <w:rPr>
                      <w:position w:val="3"/>
                      <w:sz w:val="20"/>
                    </w:rPr>
                    <w:t>= (P</w:t>
                  </w:r>
                  <w:r>
                    <w:rPr>
                      <w:sz w:val="13"/>
                    </w:rPr>
                    <w:t>f </w:t>
                  </w:r>
                  <w:r>
                    <w:rPr>
                      <w:position w:val="3"/>
                      <w:sz w:val="20"/>
                    </w:rPr>
                    <w:t>● E</w:t>
                  </w:r>
                  <w:r>
                    <w:rPr>
                      <w:sz w:val="13"/>
                    </w:rPr>
                    <w:t>f</w:t>
                  </w:r>
                  <w:r>
                    <w:rPr>
                      <w:position w:val="3"/>
                      <w:sz w:val="20"/>
                    </w:rPr>
                    <w:t>(CO</w:t>
                  </w:r>
                  <w:r>
                    <w:rPr>
                      <w:sz w:val="13"/>
                    </w:rPr>
                    <w:t>2</w:t>
                  </w:r>
                  <w:r>
                    <w:rPr>
                      <w:position w:val="3"/>
                      <w:sz w:val="20"/>
                    </w:rPr>
                    <w:t>)</w:t>
                  </w:r>
                  <w:r>
                    <w:rPr>
                      <w:sz w:val="13"/>
                    </w:rPr>
                    <w:t>diff </w:t>
                  </w:r>
                  <w:r>
                    <w:rPr>
                      <w:position w:val="3"/>
                      <w:sz w:val="20"/>
                    </w:rPr>
                    <w:t>● A</w:t>
                  </w:r>
                  <w:r>
                    <w:rPr>
                      <w:sz w:val="13"/>
                    </w:rPr>
                    <w:t>flood,land</w:t>
                  </w:r>
                  <w:r>
                    <w:rPr>
                      <w:position w:val="3"/>
                      <w:sz w:val="20"/>
                    </w:rPr>
                    <w:t>) + (P</w:t>
                  </w:r>
                  <w:r>
                    <w:rPr>
                      <w:sz w:val="13"/>
                    </w:rPr>
                    <w:t>i </w:t>
                  </w:r>
                  <w:r>
                    <w:rPr>
                      <w:position w:val="3"/>
                      <w:sz w:val="20"/>
                    </w:rPr>
                    <w:t>● E</w:t>
                  </w:r>
                  <w:r>
                    <w:rPr>
                      <w:sz w:val="13"/>
                    </w:rPr>
                    <w:t>i</w:t>
                  </w:r>
                  <w:r>
                    <w:rPr>
                      <w:position w:val="3"/>
                      <w:sz w:val="20"/>
                    </w:rPr>
                    <w:t>(CO</w:t>
                  </w:r>
                  <w:r>
                    <w:rPr>
                      <w:sz w:val="13"/>
                    </w:rPr>
                    <w:t>2</w:t>
                  </w:r>
                  <w:r>
                    <w:rPr>
                      <w:position w:val="3"/>
                      <w:sz w:val="20"/>
                    </w:rPr>
                    <w:t>)</w:t>
                  </w:r>
                  <w:r>
                    <w:rPr>
                      <w:sz w:val="13"/>
                    </w:rPr>
                    <w:t>diff </w:t>
                  </w:r>
                  <w:r>
                    <w:rPr>
                      <w:position w:val="3"/>
                      <w:sz w:val="20"/>
                    </w:rPr>
                    <w:t>● A</w:t>
                  </w:r>
                  <w:r>
                    <w:rPr>
                      <w:sz w:val="13"/>
                    </w:rPr>
                    <w:t>flood, land</w:t>
                  </w:r>
                  <w:r>
                    <w:rPr>
                      <w:position w:val="3"/>
                      <w:sz w:val="20"/>
                    </w:rPr>
                    <w:t>) + (([CO</w:t>
                  </w:r>
                  <w:r>
                    <w:rPr>
                      <w:sz w:val="13"/>
                    </w:rPr>
                    <w:t>2</w:t>
                  </w:r>
                  <w:r>
                    <w:rPr>
                      <w:position w:val="3"/>
                      <w:sz w:val="20"/>
                    </w:rPr>
                    <w:t>]</w:t>
                  </w:r>
                  <w:r>
                    <w:rPr>
                      <w:sz w:val="13"/>
                    </w:rPr>
                    <w:t>diss </w:t>
                  </w:r>
                  <w:r>
                    <w:rPr>
                      <w:position w:val="3"/>
                      <w:sz w:val="20"/>
                    </w:rPr>
                    <w:t>– </w:t>
                  </w:r>
                  <w:r>
                    <w:rPr>
                      <w:sz w:val="20"/>
                    </w:rPr>
                    <w:t>[CO</w:t>
                  </w:r>
                  <w:r>
                    <w:rPr>
                      <w:sz w:val="20"/>
                      <w:vertAlign w:val="subscript"/>
                    </w:rPr>
                    <w:t>2</w:t>
                  </w:r>
                  <w:r>
                    <w:rPr>
                      <w:sz w:val="20"/>
                      <w:vertAlign w:val="baseline"/>
                    </w:rPr>
                    <w:t>]</w:t>
                  </w:r>
                  <w:r>
                    <w:rPr>
                      <w:sz w:val="20"/>
                      <w:vertAlign w:val="subscript"/>
                    </w:rPr>
                    <w:t>equ</w:t>
                  </w:r>
                  <w:r>
                    <w:rPr>
                      <w:sz w:val="20"/>
                      <w:vertAlign w:val="baseline"/>
                    </w:rPr>
                    <w:t>) ● Outflow ● 10</w:t>
                  </w:r>
                  <w:r>
                    <w:rPr>
                      <w:sz w:val="20"/>
                      <w:vertAlign w:val="superscript"/>
                    </w:rPr>
                    <w:t>-6</w:t>
                  </w:r>
                  <w:r>
                    <w:rPr>
                      <w:sz w:val="20"/>
                      <w:vertAlign w:val="baseline"/>
                    </w:rPr>
                    <w:t>) + (([CO</w:t>
                  </w:r>
                  <w:r>
                    <w:rPr>
                      <w:sz w:val="20"/>
                      <w:vertAlign w:val="subscript"/>
                    </w:rPr>
                    <w:t>2</w:t>
                  </w:r>
                  <w:r>
                    <w:rPr>
                      <w:sz w:val="20"/>
                      <w:vertAlign w:val="baseline"/>
                    </w:rPr>
                    <w:t>]</w:t>
                  </w:r>
                  <w:r>
                    <w:rPr>
                      <w:sz w:val="20"/>
                      <w:vertAlign w:val="subscript"/>
                    </w:rPr>
                    <w:t>spillway</w:t>
                  </w:r>
                  <w:r>
                    <w:rPr>
                      <w:sz w:val="20"/>
                      <w:vertAlign w:val="baseline"/>
                    </w:rPr>
                    <w:t> – [CO</w:t>
                  </w:r>
                  <w:r>
                    <w:rPr>
                      <w:sz w:val="20"/>
                      <w:vertAlign w:val="subscript"/>
                    </w:rPr>
                    <w:t>2</w:t>
                  </w:r>
                  <w:r>
                    <w:rPr>
                      <w:sz w:val="20"/>
                      <w:vertAlign w:val="baseline"/>
                    </w:rPr>
                    <w:t>]</w:t>
                  </w:r>
                  <w:r>
                    <w:rPr>
                      <w:sz w:val="20"/>
                      <w:vertAlign w:val="subscript"/>
                    </w:rPr>
                    <w:t>equ</w:t>
                  </w:r>
                  <w:r>
                    <w:rPr>
                      <w:sz w:val="20"/>
                      <w:vertAlign w:val="baseline"/>
                    </w:rPr>
                    <w:t>) ● Spillway ● 10</w:t>
                  </w:r>
                  <w:r>
                    <w:rPr>
                      <w:sz w:val="20"/>
                      <w:vertAlign w:val="superscript"/>
                    </w:rPr>
                    <w:t>-6</w:t>
                  </w:r>
                  <w:r>
                    <w:rPr>
                      <w:sz w:val="20"/>
                      <w:vertAlign w:val="baseline"/>
                    </w:rPr>
                    <w:t>)</w:t>
                  </w:r>
                </w:p>
              </w:txbxContent>
            </v:textbox>
            <v:stroke dashstyle="solid"/>
            <w10:wrap type="topAndBottom"/>
          </v:shape>
        </w:pict>
      </w:r>
    </w:p>
    <w:p>
      <w:pPr>
        <w:pStyle w:val="BodyText"/>
        <w:spacing w:before="4"/>
        <w:ind w:left="159"/>
      </w:pPr>
      <w:r>
        <w:rPr/>
        <w:t>Where:</w:t>
      </w:r>
    </w:p>
    <w:p>
      <w:pPr>
        <w:pStyle w:val="BodyText"/>
        <w:spacing w:line="364" w:lineRule="auto" w:before="121"/>
        <w:ind w:left="725" w:right="2432"/>
      </w:pPr>
      <w:r>
        <w:rPr/>
        <w:t>CO</w:t>
      </w:r>
      <w:r>
        <w:rPr>
          <w:vertAlign w:val="subscript"/>
        </w:rPr>
        <w:t>2</w:t>
      </w:r>
      <w:r>
        <w:rPr>
          <w:vertAlign w:val="baseline"/>
        </w:rPr>
        <w:t> emissions</w:t>
      </w:r>
      <w:r>
        <w:rPr>
          <w:vertAlign w:val="subscript"/>
        </w:rPr>
        <w:t>WW</w:t>
      </w:r>
      <w:r>
        <w:rPr>
          <w:vertAlign w:val="baseline"/>
        </w:rPr>
        <w:t> </w:t>
      </w:r>
      <w:r>
        <w:rPr>
          <w:vertAlign w:val="subscript"/>
        </w:rPr>
        <w:t>flood</w:t>
      </w:r>
      <w:r>
        <w:rPr>
          <w:vertAlign w:val="baseline"/>
        </w:rPr>
        <w:t> = total CO</w:t>
      </w:r>
      <w:r>
        <w:rPr>
          <w:vertAlign w:val="subscript"/>
        </w:rPr>
        <w:t>2</w:t>
      </w:r>
      <w:r>
        <w:rPr>
          <w:vertAlign w:val="baseline"/>
        </w:rPr>
        <w:t> emissions from flooded land, Gg CO</w:t>
      </w:r>
      <w:r>
        <w:rPr>
          <w:vertAlign w:val="subscript"/>
        </w:rPr>
        <w:t>2</w:t>
      </w:r>
      <w:r>
        <w:rPr>
          <w:vertAlign w:val="baseline"/>
        </w:rPr>
        <w:t> yr</w:t>
      </w:r>
      <w:r>
        <w:rPr>
          <w:vertAlign w:val="superscript"/>
        </w:rPr>
        <w:t>-1</w:t>
      </w:r>
      <w:r>
        <w:rPr>
          <w:vertAlign w:val="baseline"/>
        </w:rPr>
        <w:t> P</w:t>
      </w:r>
      <w:r>
        <w:rPr>
          <w:vertAlign w:val="subscript"/>
        </w:rPr>
        <w:t>f</w:t>
      </w:r>
      <w:r>
        <w:rPr>
          <w:vertAlign w:val="baseline"/>
        </w:rPr>
        <w:t> = ice-free period, days</w:t>
      </w:r>
    </w:p>
    <w:p>
      <w:pPr>
        <w:pStyle w:val="BodyText"/>
        <w:spacing w:line="229" w:lineRule="exact"/>
        <w:ind w:left="725"/>
      </w:pPr>
      <w:r>
        <w:rPr/>
        <w:t>P</w:t>
      </w:r>
      <w:r>
        <w:rPr>
          <w:vertAlign w:val="subscript"/>
        </w:rPr>
        <w:t>i</w:t>
      </w:r>
      <w:r>
        <w:rPr>
          <w:vertAlign w:val="baseline"/>
        </w:rPr>
        <w:t> = period with ice cover,</w:t>
      </w:r>
      <w:r>
        <w:rPr>
          <w:spacing w:val="-15"/>
          <w:vertAlign w:val="baseline"/>
        </w:rPr>
        <w:t> </w:t>
      </w:r>
      <w:r>
        <w:rPr>
          <w:vertAlign w:val="baseline"/>
        </w:rPr>
        <w:t>days</w:t>
      </w:r>
    </w:p>
    <w:p>
      <w:pPr>
        <w:pStyle w:val="BodyText"/>
        <w:spacing w:before="120"/>
        <w:ind w:left="1810" w:right="312" w:hanging="1109"/>
      </w:pPr>
      <w:r>
        <w:rPr/>
        <w:t>E</w:t>
      </w:r>
      <w:r>
        <w:rPr>
          <w:vertAlign w:val="subscript"/>
        </w:rPr>
        <w:t>f</w:t>
      </w:r>
      <w:r>
        <w:rPr>
          <w:vertAlign w:val="baseline"/>
        </w:rPr>
        <w:t>(CO</w:t>
      </w:r>
      <w:r>
        <w:rPr>
          <w:vertAlign w:val="subscript"/>
        </w:rPr>
        <w:t>2</w:t>
      </w:r>
      <w:r>
        <w:rPr>
          <w:vertAlign w:val="baseline"/>
        </w:rPr>
        <w:t>)</w:t>
      </w:r>
      <w:r>
        <w:rPr>
          <w:vertAlign w:val="subscript"/>
        </w:rPr>
        <w:t>diff</w:t>
      </w:r>
      <w:r>
        <w:rPr>
          <w:vertAlign w:val="baseline"/>
        </w:rPr>
        <w:t> = averaged daily diffusive emissions  from  air  water-interface  during  the  ice-free  period, Gg CO</w:t>
      </w:r>
      <w:r>
        <w:rPr>
          <w:vertAlign w:val="subscript"/>
        </w:rPr>
        <w:t>2</w:t>
      </w:r>
      <w:r>
        <w:rPr>
          <w:vertAlign w:val="baseline"/>
        </w:rPr>
        <w:t> ha</w:t>
      </w:r>
      <w:r>
        <w:rPr>
          <w:vertAlign w:val="superscript"/>
        </w:rPr>
        <w:t>-1</w:t>
      </w:r>
      <w:r>
        <w:rPr>
          <w:spacing w:val="-2"/>
          <w:vertAlign w:val="baseline"/>
        </w:rPr>
        <w:t> </w:t>
      </w:r>
      <w:r>
        <w:rPr>
          <w:vertAlign w:val="baseline"/>
        </w:rPr>
        <w:t>day</w:t>
      </w:r>
      <w:r>
        <w:rPr>
          <w:vertAlign w:val="superscript"/>
        </w:rPr>
        <w:t>-1</w:t>
      </w:r>
    </w:p>
    <w:p>
      <w:pPr>
        <w:pStyle w:val="BodyText"/>
        <w:spacing w:line="362" w:lineRule="auto" w:before="121"/>
        <w:ind w:left="701" w:right="1889"/>
      </w:pPr>
      <w:r>
        <w:rPr/>
        <w:t>E</w:t>
      </w:r>
      <w:r>
        <w:rPr>
          <w:vertAlign w:val="subscript"/>
        </w:rPr>
        <w:t>i</w:t>
      </w:r>
      <w:r>
        <w:rPr>
          <w:vertAlign w:val="baseline"/>
        </w:rPr>
        <w:t>(CO</w:t>
      </w:r>
      <w:r>
        <w:rPr>
          <w:vertAlign w:val="subscript"/>
        </w:rPr>
        <w:t>2</w:t>
      </w:r>
      <w:r>
        <w:rPr>
          <w:vertAlign w:val="baseline"/>
        </w:rPr>
        <w:t>)</w:t>
      </w:r>
      <w:r>
        <w:rPr>
          <w:vertAlign w:val="subscript"/>
        </w:rPr>
        <w:t>i</w:t>
      </w:r>
      <w:r>
        <w:rPr>
          <w:vertAlign w:val="baseline"/>
        </w:rPr>
        <w:t> = diffusive emissions related to the ice-cover period, Gg CO</w:t>
      </w:r>
      <w:r>
        <w:rPr>
          <w:vertAlign w:val="subscript"/>
        </w:rPr>
        <w:t>2</w:t>
      </w:r>
      <w:r>
        <w:rPr>
          <w:vertAlign w:val="baseline"/>
        </w:rPr>
        <w:t> ha</w:t>
      </w:r>
      <w:r>
        <w:rPr>
          <w:vertAlign w:val="superscript"/>
        </w:rPr>
        <w:t>-1</w:t>
      </w:r>
      <w:r>
        <w:rPr>
          <w:vertAlign w:val="baseline"/>
        </w:rPr>
        <w:t> day</w:t>
      </w:r>
      <w:r>
        <w:rPr>
          <w:vertAlign w:val="superscript"/>
        </w:rPr>
        <w:t>-1</w:t>
      </w:r>
      <w:r>
        <w:rPr>
          <w:vertAlign w:val="baseline"/>
        </w:rPr>
        <w:t> A</w:t>
      </w:r>
      <w:r>
        <w:rPr>
          <w:vertAlign w:val="subscript"/>
        </w:rPr>
        <w:t>flood,</w:t>
      </w:r>
      <w:r>
        <w:rPr>
          <w:vertAlign w:val="baseline"/>
        </w:rPr>
        <w:t> </w:t>
      </w:r>
      <w:r>
        <w:rPr>
          <w:vertAlign w:val="subscript"/>
        </w:rPr>
        <w:t>land</w:t>
      </w:r>
      <w:r>
        <w:rPr>
          <w:vertAlign w:val="baseline"/>
        </w:rPr>
        <w:t> = flooded land area, ha</w:t>
      </w:r>
    </w:p>
    <w:p>
      <w:pPr>
        <w:pStyle w:val="BodyText"/>
        <w:spacing w:before="4"/>
        <w:ind w:left="701"/>
      </w:pPr>
      <w:r>
        <w:rPr/>
        <w:t>[CO</w:t>
      </w:r>
      <w:r>
        <w:rPr>
          <w:vertAlign w:val="subscript"/>
        </w:rPr>
        <w:t>2</w:t>
      </w:r>
      <w:r>
        <w:rPr>
          <w:vertAlign w:val="baseline"/>
        </w:rPr>
        <w:t>]</w:t>
      </w:r>
      <w:r>
        <w:rPr>
          <w:vertAlign w:val="subscript"/>
        </w:rPr>
        <w:t>diss</w:t>
      </w:r>
      <w:r>
        <w:rPr>
          <w:vertAlign w:val="baseline"/>
        </w:rPr>
        <w:t> = averaged concentrations of CO</w:t>
      </w:r>
      <w:r>
        <w:rPr>
          <w:vertAlign w:val="subscript"/>
        </w:rPr>
        <w:t>2</w:t>
      </w:r>
      <w:r>
        <w:rPr>
          <w:vertAlign w:val="baseline"/>
        </w:rPr>
        <w:t> before the turbines (water intake depth), kg l</w:t>
      </w:r>
      <w:r>
        <w:rPr>
          <w:vertAlign w:val="superscript"/>
        </w:rPr>
        <w:t>-1</w:t>
      </w:r>
    </w:p>
    <w:p>
      <w:pPr>
        <w:pStyle w:val="BodyText"/>
        <w:spacing w:before="120"/>
        <w:ind w:left="1740" w:right="532" w:hanging="1040"/>
      </w:pPr>
      <w:r>
        <w:rPr/>
        <w:t>[CO</w:t>
      </w:r>
      <w:r>
        <w:rPr>
          <w:vertAlign w:val="subscript"/>
        </w:rPr>
        <w:t>2</w:t>
      </w:r>
      <w:r>
        <w:rPr>
          <w:vertAlign w:val="baseline"/>
        </w:rPr>
        <w:t>]</w:t>
      </w:r>
      <w:r>
        <w:rPr>
          <w:vertAlign w:val="subscript"/>
        </w:rPr>
        <w:t>equ</w:t>
      </w:r>
      <w:r>
        <w:rPr>
          <w:vertAlign w:val="baseline"/>
        </w:rPr>
        <w:t> =  averaged concentrations of CO</w:t>
      </w:r>
      <w:r>
        <w:rPr>
          <w:vertAlign w:val="subscript"/>
        </w:rPr>
        <w:t>2</w:t>
      </w:r>
      <w:r>
        <w:rPr>
          <w:vertAlign w:val="baseline"/>
        </w:rPr>
        <w:t> dissolved gases downstream of the dam or at equilibrium  with the atmosphere, kg</w:t>
      </w:r>
      <w:r>
        <w:rPr>
          <w:spacing w:val="-3"/>
          <w:vertAlign w:val="baseline"/>
        </w:rPr>
        <w:t> </w:t>
      </w:r>
      <w:r>
        <w:rPr>
          <w:vertAlign w:val="baseline"/>
        </w:rPr>
        <w:t>l</w:t>
      </w:r>
      <w:r>
        <w:rPr>
          <w:vertAlign w:val="superscript"/>
        </w:rPr>
        <w:t>-1</w:t>
      </w:r>
    </w:p>
    <w:p>
      <w:pPr>
        <w:pStyle w:val="BodyText"/>
        <w:spacing w:before="119"/>
        <w:ind w:left="701"/>
      </w:pPr>
      <w:r>
        <w:rPr/>
        <w:t>[CO</w:t>
      </w:r>
      <w:r>
        <w:rPr>
          <w:vertAlign w:val="subscript"/>
        </w:rPr>
        <w:t>2</w:t>
      </w:r>
      <w:r>
        <w:rPr>
          <w:vertAlign w:val="baseline"/>
        </w:rPr>
        <w:t>]</w:t>
      </w:r>
      <w:r>
        <w:rPr>
          <w:vertAlign w:val="subscript"/>
        </w:rPr>
        <w:t>spillway</w:t>
      </w:r>
      <w:r>
        <w:rPr>
          <w:vertAlign w:val="baseline"/>
        </w:rPr>
        <w:t> = averaged concentrations of CO</w:t>
      </w:r>
      <w:r>
        <w:rPr>
          <w:vertAlign w:val="subscript"/>
        </w:rPr>
        <w:t>2</w:t>
      </w:r>
      <w:r>
        <w:rPr>
          <w:vertAlign w:val="baseline"/>
        </w:rPr>
        <w:t> before the spillway (water intake depth), kg l</w:t>
      </w:r>
      <w:r>
        <w:rPr>
          <w:vertAlign w:val="superscript"/>
        </w:rPr>
        <w:t>-1</w:t>
      </w:r>
    </w:p>
    <w:p>
      <w:pPr>
        <w:pStyle w:val="BodyText"/>
        <w:spacing w:line="364" w:lineRule="auto" w:before="120"/>
        <w:ind w:left="701"/>
      </w:pPr>
      <w:r>
        <w:rPr/>
        <w:t>Outflow = the averaged annual outflow rate in litres at the turbines, per hydroelectric reservoir, l yr</w:t>
      </w:r>
      <w:r>
        <w:rPr>
          <w:vertAlign w:val="superscript"/>
        </w:rPr>
        <w:t>-1</w:t>
      </w:r>
      <w:r>
        <w:rPr>
          <w:vertAlign w:val="baseline"/>
        </w:rPr>
        <w:t> Spillway = the averaged annual outflow rate in litres at the spillway, per hydroelectric reservoir, l yr</w:t>
      </w:r>
      <w:r>
        <w:rPr>
          <w:vertAlign w:val="superscript"/>
        </w:rPr>
        <w:t>-1</w:t>
      </w:r>
    </w:p>
    <w:p>
      <w:pPr>
        <w:pStyle w:val="BodyText"/>
        <w:rPr>
          <w:sz w:val="24"/>
        </w:rPr>
      </w:pPr>
    </w:p>
    <w:p>
      <w:pPr>
        <w:pStyle w:val="BodyText"/>
        <w:rPr>
          <w:sz w:val="24"/>
        </w:rPr>
      </w:pPr>
    </w:p>
    <w:p>
      <w:pPr>
        <w:spacing w:before="153"/>
        <w:ind w:left="159" w:right="0" w:firstLine="0"/>
        <w:jc w:val="left"/>
        <w:rPr>
          <w:b/>
          <w:sz w:val="20"/>
        </w:rPr>
      </w:pPr>
      <w:r>
        <w:rPr>
          <w:b/>
          <w:sz w:val="20"/>
        </w:rPr>
        <w:t>CH</w:t>
      </w:r>
      <w:r>
        <w:rPr>
          <w:b/>
          <w:sz w:val="20"/>
          <w:vertAlign w:val="subscript"/>
        </w:rPr>
        <w:t>4</w:t>
      </w:r>
      <w:r>
        <w:rPr>
          <w:b/>
          <w:sz w:val="20"/>
          <w:vertAlign w:val="baseline"/>
        </w:rPr>
        <w:t> emissions</w:t>
      </w:r>
    </w:p>
    <w:p>
      <w:pPr>
        <w:pStyle w:val="BodyText"/>
        <w:spacing w:before="115"/>
        <w:ind w:left="159"/>
      </w:pPr>
      <w:r>
        <w:rPr/>
        <w:t>Tier 2 can extend the Tier 1 method by replacing default values with country-specific emission factors, by accounting for differences in diffusion and bubble emissions during periods when reservoirs are ice-free or ice-</w:t>
      </w:r>
    </w:p>
    <w:p>
      <w:pPr>
        <w:spacing w:after="0"/>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6"/>
        <w:jc w:val="both"/>
      </w:pPr>
      <w:r>
        <w:rPr/>
        <w:t>covered (for countries in the “boreal, wet” climate zone), by including (if data are available) degassing emissions from outflows and spillways (mostly hydroelectric reservoirs), and by correcting area estimates to flooded land area. Flooded land area may also be disaggregated by climatic zone. Tier 2 is described in Equation 3a.3.12:</w:t>
      </w:r>
    </w:p>
    <w:p>
      <w:pPr>
        <w:pStyle w:val="BodyText"/>
      </w:pPr>
    </w:p>
    <w:p>
      <w:pPr>
        <w:pStyle w:val="BodyText"/>
        <w:spacing w:before="1"/>
        <w:rPr>
          <w:sz w:val="11"/>
        </w:rPr>
      </w:pPr>
      <w:r>
        <w:rPr/>
        <w:pict>
          <v:shape style="position:absolute;margin-left:91.960999pt;margin-top:9.080762pt;width:411.5pt;height:73pt;mso-position-horizontal-relative:page;mso-position-vertical-relative:paragraph;z-index:14696;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E</w:t>
                  </w:r>
                  <w:r>
                    <w:rPr>
                      <w:b/>
                      <w:sz w:val="16"/>
                    </w:rPr>
                    <w:t>QUATION </w:t>
                  </w:r>
                  <w:r>
                    <w:rPr>
                      <w:b/>
                      <w:sz w:val="20"/>
                    </w:rPr>
                    <w:t>3a.3.12</w:t>
                  </w:r>
                </w:p>
                <w:p>
                  <w:pPr>
                    <w:spacing w:before="0"/>
                    <w:ind w:left="68" w:right="68" w:firstLine="0"/>
                    <w:jc w:val="center"/>
                    <w:rPr>
                      <w:b/>
                      <w:sz w:val="20"/>
                    </w:rPr>
                  </w:pPr>
                  <w:r>
                    <w:rPr>
                      <w:b/>
                      <w:sz w:val="20"/>
                    </w:rPr>
                    <w:t>CH</w:t>
                  </w:r>
                  <w:r>
                    <w:rPr>
                      <w:b/>
                      <w:sz w:val="20"/>
                      <w:vertAlign w:val="subscript"/>
                    </w:rPr>
                    <w:t>4</w:t>
                  </w:r>
                  <w:r>
                    <w:rPr>
                      <w:b/>
                      <w:sz w:val="20"/>
                      <w:vertAlign w:val="baseline"/>
                    </w:rPr>
                    <w:t> E</w:t>
                  </w:r>
                  <w:r>
                    <w:rPr>
                      <w:b/>
                      <w:sz w:val="16"/>
                      <w:vertAlign w:val="baseline"/>
                    </w:rPr>
                    <w:t>MISSIONS FROM </w:t>
                  </w:r>
                  <w:r>
                    <w:rPr>
                      <w:b/>
                      <w:sz w:val="20"/>
                      <w:vertAlign w:val="baseline"/>
                    </w:rPr>
                    <w:t>F</w:t>
                  </w:r>
                  <w:r>
                    <w:rPr>
                      <w:b/>
                      <w:sz w:val="16"/>
                      <w:vertAlign w:val="baseline"/>
                    </w:rPr>
                    <w:t>LOODED LANDS </w:t>
                  </w:r>
                  <w:r>
                    <w:rPr>
                      <w:b/>
                      <w:sz w:val="20"/>
                      <w:vertAlign w:val="baseline"/>
                    </w:rPr>
                    <w:t>(T</w:t>
                  </w:r>
                  <w:r>
                    <w:rPr>
                      <w:b/>
                      <w:sz w:val="16"/>
                      <w:vertAlign w:val="baseline"/>
                    </w:rPr>
                    <w:t>IER </w:t>
                  </w:r>
                  <w:r>
                    <w:rPr>
                      <w:b/>
                      <w:sz w:val="20"/>
                      <w:vertAlign w:val="baseline"/>
                    </w:rPr>
                    <w:t>2)</w:t>
                  </w:r>
                </w:p>
                <w:p>
                  <w:pPr>
                    <w:pStyle w:val="BodyText"/>
                    <w:spacing w:before="75"/>
                    <w:jc w:val="center"/>
                  </w:pPr>
                  <w:r>
                    <w:rPr/>
                    <w:t>CH</w:t>
                  </w:r>
                  <w:r>
                    <w:rPr>
                      <w:vertAlign w:val="subscript"/>
                    </w:rPr>
                    <w:t>4</w:t>
                  </w:r>
                  <w:r>
                    <w:rPr>
                      <w:vertAlign w:val="baseline"/>
                    </w:rPr>
                    <w:t> emissions</w:t>
                  </w:r>
                  <w:r>
                    <w:rPr>
                      <w:vertAlign w:val="subscript"/>
                    </w:rPr>
                    <w:t>WW</w:t>
                  </w:r>
                  <w:r>
                    <w:rPr>
                      <w:vertAlign w:val="baseline"/>
                    </w:rPr>
                    <w:t> </w:t>
                  </w:r>
                  <w:r>
                    <w:rPr>
                      <w:vertAlign w:val="subscript"/>
                    </w:rPr>
                    <w:t>flood</w:t>
                  </w:r>
                  <w:r>
                    <w:rPr>
                      <w:vertAlign w:val="baseline"/>
                    </w:rPr>
                    <w:t> = (P</w:t>
                  </w:r>
                  <w:r>
                    <w:rPr>
                      <w:vertAlign w:val="subscript"/>
                    </w:rPr>
                    <w:t>f</w:t>
                  </w:r>
                  <w:r>
                    <w:rPr>
                      <w:vertAlign w:val="baseline"/>
                    </w:rPr>
                    <w:t> ● E(CH</w:t>
                  </w:r>
                  <w:r>
                    <w:rPr>
                      <w:vertAlign w:val="subscript"/>
                    </w:rPr>
                    <w:t>4</w:t>
                  </w:r>
                  <w:r>
                    <w:rPr>
                      <w:vertAlign w:val="baseline"/>
                    </w:rPr>
                    <w:t>)</w:t>
                  </w:r>
                  <w:r>
                    <w:rPr>
                      <w:vertAlign w:val="subscript"/>
                    </w:rPr>
                    <w:t>diff</w:t>
                  </w:r>
                  <w:r>
                    <w:rPr>
                      <w:vertAlign w:val="baseline"/>
                    </w:rPr>
                    <w:t> ● A</w:t>
                  </w:r>
                  <w:r>
                    <w:rPr>
                      <w:vertAlign w:val="subscript"/>
                    </w:rPr>
                    <w:t>flood,</w:t>
                  </w:r>
                  <w:r>
                    <w:rPr>
                      <w:vertAlign w:val="baseline"/>
                    </w:rPr>
                    <w:t> </w:t>
                  </w:r>
                  <w:r>
                    <w:rPr>
                      <w:vertAlign w:val="subscript"/>
                    </w:rPr>
                    <w:t>land</w:t>
                  </w:r>
                  <w:r>
                    <w:rPr>
                      <w:vertAlign w:val="baseline"/>
                    </w:rPr>
                    <w:t>) + (P</w:t>
                  </w:r>
                  <w:r>
                    <w:rPr>
                      <w:vertAlign w:val="subscript"/>
                    </w:rPr>
                    <w:t>f</w:t>
                  </w:r>
                  <w:r>
                    <w:rPr>
                      <w:vertAlign w:val="baseline"/>
                    </w:rPr>
                    <w:t> ● E(CH</w:t>
                  </w:r>
                  <w:r>
                    <w:rPr>
                      <w:vertAlign w:val="subscript"/>
                    </w:rPr>
                    <w:t>4</w:t>
                  </w:r>
                  <w:r>
                    <w:rPr>
                      <w:vertAlign w:val="baseline"/>
                    </w:rPr>
                    <w:t>)</w:t>
                  </w:r>
                  <w:r>
                    <w:rPr>
                      <w:vertAlign w:val="subscript"/>
                    </w:rPr>
                    <w:t>b</w:t>
                  </w:r>
                  <w:r>
                    <w:rPr>
                      <w:vertAlign w:val="baseline"/>
                    </w:rPr>
                    <w:t> ● A</w:t>
                  </w:r>
                  <w:r>
                    <w:rPr>
                      <w:vertAlign w:val="subscript"/>
                    </w:rPr>
                    <w:t>flood,</w:t>
                  </w:r>
                  <w:r>
                    <w:rPr>
                      <w:vertAlign w:val="baseline"/>
                    </w:rPr>
                    <w:t> </w:t>
                  </w:r>
                  <w:r>
                    <w:rPr>
                      <w:vertAlign w:val="subscript"/>
                    </w:rPr>
                    <w:t>land</w:t>
                  </w:r>
                  <w:r>
                    <w:rPr>
                      <w:vertAlign w:val="baseline"/>
                    </w:rPr>
                    <w:t>) + P</w:t>
                  </w:r>
                  <w:r>
                    <w:rPr>
                      <w:vertAlign w:val="subscript"/>
                    </w:rPr>
                    <w:t>i</w:t>
                  </w:r>
                  <w:r>
                    <w:rPr>
                      <w:vertAlign w:val="baseline"/>
                    </w:rPr>
                    <w:t> ● (Ei(CH</w:t>
                  </w:r>
                  <w:r>
                    <w:rPr>
                      <w:vertAlign w:val="subscript"/>
                    </w:rPr>
                    <w:t>4</w:t>
                  </w:r>
                  <w:r>
                    <w:rPr>
                      <w:vertAlign w:val="baseline"/>
                    </w:rPr>
                    <w:t>)</w:t>
                  </w:r>
                  <w:r>
                    <w:rPr>
                      <w:vertAlign w:val="subscript"/>
                    </w:rPr>
                    <w:t>diff</w:t>
                  </w:r>
                </w:p>
                <w:p>
                  <w:pPr>
                    <w:pStyle w:val="BodyText"/>
                    <w:ind w:left="68" w:right="68"/>
                    <w:jc w:val="center"/>
                  </w:pPr>
                  <w:r>
                    <w:rPr/>
                    <w:t>+ Ei(CH</w:t>
                  </w:r>
                  <w:r>
                    <w:rPr>
                      <w:vertAlign w:val="subscript"/>
                    </w:rPr>
                    <w:t>4</w:t>
                  </w:r>
                  <w:r>
                    <w:rPr>
                      <w:vertAlign w:val="baseline"/>
                    </w:rPr>
                    <w:t>)</w:t>
                  </w:r>
                  <w:r>
                    <w:rPr>
                      <w:vertAlign w:val="subscript"/>
                    </w:rPr>
                    <w:t>bubble</w:t>
                  </w:r>
                  <w:r>
                    <w:rPr>
                      <w:vertAlign w:val="baseline"/>
                    </w:rPr>
                    <w:t>) ● A</w:t>
                  </w:r>
                  <w:r>
                    <w:rPr>
                      <w:vertAlign w:val="subscript"/>
                    </w:rPr>
                    <w:t>flood,</w:t>
                  </w:r>
                  <w:r>
                    <w:rPr>
                      <w:vertAlign w:val="baseline"/>
                    </w:rPr>
                    <w:t> </w:t>
                  </w:r>
                  <w:r>
                    <w:rPr>
                      <w:vertAlign w:val="subscript"/>
                    </w:rPr>
                    <w:t>land</w:t>
                  </w:r>
                  <w:r>
                    <w:rPr>
                      <w:vertAlign w:val="baseline"/>
                    </w:rPr>
                    <w:t> + (([CH</w:t>
                  </w:r>
                  <w:r>
                    <w:rPr>
                      <w:vertAlign w:val="subscript"/>
                    </w:rPr>
                    <w:t>4</w:t>
                  </w:r>
                  <w:r>
                    <w:rPr>
                      <w:vertAlign w:val="baseline"/>
                    </w:rPr>
                    <w:t>]</w:t>
                  </w:r>
                  <w:r>
                    <w:rPr>
                      <w:vertAlign w:val="subscript"/>
                    </w:rPr>
                    <w:t>diss</w:t>
                  </w:r>
                  <w:r>
                    <w:rPr>
                      <w:vertAlign w:val="baseline"/>
                    </w:rPr>
                    <w:t> – [CH</w:t>
                  </w:r>
                  <w:r>
                    <w:rPr>
                      <w:vertAlign w:val="subscript"/>
                    </w:rPr>
                    <w:t>4</w:t>
                  </w:r>
                  <w:r>
                    <w:rPr>
                      <w:vertAlign w:val="baseline"/>
                    </w:rPr>
                    <w:t>]</w:t>
                  </w:r>
                  <w:r>
                    <w:rPr>
                      <w:vertAlign w:val="subscript"/>
                    </w:rPr>
                    <w:t>equ</w:t>
                  </w:r>
                  <w:r>
                    <w:rPr>
                      <w:vertAlign w:val="baseline"/>
                    </w:rPr>
                    <w:t>.) ● Outflow● 10</w:t>
                  </w:r>
                  <w:r>
                    <w:rPr>
                      <w:vertAlign w:val="superscript"/>
                    </w:rPr>
                    <w:t>-6</w:t>
                  </w:r>
                  <w:r>
                    <w:rPr>
                      <w:vertAlign w:val="baseline"/>
                    </w:rPr>
                    <w:t>) + (([CH</w:t>
                  </w:r>
                  <w:r>
                    <w:rPr>
                      <w:vertAlign w:val="subscript"/>
                    </w:rPr>
                    <w:t>4</w:t>
                  </w:r>
                  <w:r>
                    <w:rPr>
                      <w:vertAlign w:val="baseline"/>
                    </w:rPr>
                    <w:t>]</w:t>
                  </w:r>
                  <w:r>
                    <w:rPr>
                      <w:vertAlign w:val="subscript"/>
                    </w:rPr>
                    <w:t>spillway</w:t>
                  </w:r>
                  <w:r>
                    <w:rPr>
                      <w:vertAlign w:val="baseline"/>
                    </w:rPr>
                    <w:t> – [CH</w:t>
                  </w:r>
                  <w:r>
                    <w:rPr>
                      <w:vertAlign w:val="subscript"/>
                    </w:rPr>
                    <w:t>4</w:t>
                  </w:r>
                  <w:r>
                    <w:rPr>
                      <w:vertAlign w:val="baseline"/>
                    </w:rPr>
                    <w:t>]</w:t>
                  </w:r>
                  <w:r>
                    <w:rPr>
                      <w:vertAlign w:val="subscript"/>
                    </w:rPr>
                    <w:t>equ</w:t>
                  </w:r>
                  <w:r>
                    <w:rPr>
                      <w:vertAlign w:val="baseline"/>
                    </w:rPr>
                    <w:t>)</w:t>
                  </w:r>
                </w:p>
                <w:p>
                  <w:pPr>
                    <w:pStyle w:val="BodyText"/>
                    <w:numPr>
                      <w:ilvl w:val="0"/>
                      <w:numId w:val="120"/>
                    </w:numPr>
                    <w:tabs>
                      <w:tab w:pos="3531" w:val="left" w:leader="none"/>
                    </w:tabs>
                    <w:spacing w:line="240" w:lineRule="auto" w:before="3" w:after="0"/>
                    <w:ind w:left="3530" w:right="0" w:hanging="170"/>
                    <w:jc w:val="left"/>
                  </w:pPr>
                  <w:r>
                    <w:rPr/>
                    <w:t>Spillway ●</w:t>
                  </w:r>
                  <w:r>
                    <w:rPr>
                      <w:spacing w:val="-3"/>
                    </w:rPr>
                    <w:t> </w:t>
                  </w:r>
                  <w:r>
                    <w:rPr/>
                    <w:t>10</w:t>
                  </w:r>
                  <w:r>
                    <w:rPr>
                      <w:vertAlign w:val="superscript"/>
                    </w:rPr>
                    <w:t>-6</w:t>
                  </w:r>
                  <w:r>
                    <w:rPr>
                      <w:vertAlign w:val="baseline"/>
                    </w:rPr>
                    <w:t>)</w:t>
                  </w:r>
                </w:p>
              </w:txbxContent>
            </v:textbox>
            <v:stroke dashstyle="solid"/>
            <w10:wrap type="topAndBottom"/>
          </v:shape>
        </w:pict>
      </w:r>
    </w:p>
    <w:p>
      <w:pPr>
        <w:pStyle w:val="BodyText"/>
        <w:spacing w:before="4"/>
        <w:ind w:left="159"/>
      </w:pPr>
      <w:r>
        <w:rPr/>
        <w:t>Where:</w:t>
      </w:r>
    </w:p>
    <w:p>
      <w:pPr>
        <w:pStyle w:val="BodyText"/>
        <w:spacing w:line="364" w:lineRule="auto" w:before="121"/>
        <w:ind w:left="725" w:right="1655"/>
      </w:pPr>
      <w:r>
        <w:rPr/>
        <w:t>CH</w:t>
      </w:r>
      <w:r>
        <w:rPr>
          <w:vertAlign w:val="subscript"/>
        </w:rPr>
        <w:t>4</w:t>
      </w:r>
      <w:r>
        <w:rPr>
          <w:vertAlign w:val="baseline"/>
        </w:rPr>
        <w:t> emissions</w:t>
      </w:r>
      <w:r>
        <w:rPr>
          <w:vertAlign w:val="subscript"/>
        </w:rPr>
        <w:t>WW</w:t>
      </w:r>
      <w:r>
        <w:rPr>
          <w:vertAlign w:val="baseline"/>
        </w:rPr>
        <w:t> </w:t>
      </w:r>
      <w:r>
        <w:rPr>
          <w:vertAlign w:val="subscript"/>
        </w:rPr>
        <w:t>flood</w:t>
      </w:r>
      <w:r>
        <w:rPr>
          <w:vertAlign w:val="baseline"/>
        </w:rPr>
        <w:t> = total CH</w:t>
      </w:r>
      <w:r>
        <w:rPr>
          <w:vertAlign w:val="subscript"/>
        </w:rPr>
        <w:t>4</w:t>
      </w:r>
      <w:r>
        <w:rPr>
          <w:vertAlign w:val="baseline"/>
        </w:rPr>
        <w:t> emissions from flooded lands per year, Gg CH</w:t>
      </w:r>
      <w:r>
        <w:rPr>
          <w:vertAlign w:val="subscript"/>
        </w:rPr>
        <w:t>4</w:t>
      </w:r>
      <w:r>
        <w:rPr>
          <w:vertAlign w:val="baseline"/>
        </w:rPr>
        <w:t> yr</w:t>
      </w:r>
      <w:r>
        <w:rPr>
          <w:vertAlign w:val="superscript"/>
        </w:rPr>
        <w:t>-1</w:t>
      </w:r>
      <w:r>
        <w:rPr>
          <w:vertAlign w:val="baseline"/>
        </w:rPr>
        <w:t> P</w:t>
      </w:r>
      <w:r>
        <w:rPr>
          <w:vertAlign w:val="subscript"/>
        </w:rPr>
        <w:t>f</w:t>
      </w:r>
      <w:r>
        <w:rPr>
          <w:vertAlign w:val="baseline"/>
        </w:rPr>
        <w:t> = ice-free period, days</w:t>
      </w:r>
    </w:p>
    <w:p>
      <w:pPr>
        <w:pStyle w:val="BodyText"/>
        <w:spacing w:line="229" w:lineRule="exact"/>
        <w:ind w:left="725"/>
      </w:pPr>
      <w:r>
        <w:rPr/>
        <w:t>P</w:t>
      </w:r>
      <w:r>
        <w:rPr>
          <w:vertAlign w:val="subscript"/>
        </w:rPr>
        <w:t>i</w:t>
      </w:r>
      <w:r>
        <w:rPr>
          <w:vertAlign w:val="baseline"/>
        </w:rPr>
        <w:t> = period with ice cover, days</w:t>
      </w:r>
    </w:p>
    <w:p>
      <w:pPr>
        <w:pStyle w:val="BodyText"/>
        <w:spacing w:line="364" w:lineRule="auto" w:before="120"/>
        <w:ind w:left="725" w:right="1393"/>
      </w:pPr>
      <w:r>
        <w:rPr/>
        <w:t>E(CH</w:t>
      </w:r>
      <w:r>
        <w:rPr>
          <w:vertAlign w:val="subscript"/>
        </w:rPr>
        <w:t>4</w:t>
      </w:r>
      <w:r>
        <w:rPr>
          <w:vertAlign w:val="baseline"/>
        </w:rPr>
        <w:t>)</w:t>
      </w:r>
      <w:r>
        <w:rPr>
          <w:vertAlign w:val="subscript"/>
        </w:rPr>
        <w:t>diff</w:t>
      </w:r>
      <w:r>
        <w:rPr>
          <w:vertAlign w:val="baseline"/>
        </w:rPr>
        <w:t> = averaged daily diffusive emissions from air water-interface, Gg CH</w:t>
      </w:r>
      <w:r>
        <w:rPr>
          <w:vertAlign w:val="subscript"/>
        </w:rPr>
        <w:t>4</w:t>
      </w:r>
      <w:r>
        <w:rPr>
          <w:vertAlign w:val="baseline"/>
        </w:rPr>
        <w:t> ha</w:t>
      </w:r>
      <w:r>
        <w:rPr>
          <w:vertAlign w:val="superscript"/>
        </w:rPr>
        <w:t>-1</w:t>
      </w:r>
      <w:r>
        <w:rPr>
          <w:vertAlign w:val="baseline"/>
        </w:rPr>
        <w:t> day</w:t>
      </w:r>
      <w:r>
        <w:rPr>
          <w:vertAlign w:val="superscript"/>
        </w:rPr>
        <w:t>-1</w:t>
      </w:r>
      <w:r>
        <w:rPr>
          <w:vertAlign w:val="baseline"/>
        </w:rPr>
        <w:t> E(CH</w:t>
      </w:r>
      <w:r>
        <w:rPr>
          <w:vertAlign w:val="subscript"/>
        </w:rPr>
        <w:t>4</w:t>
      </w:r>
      <w:r>
        <w:rPr>
          <w:vertAlign w:val="baseline"/>
        </w:rPr>
        <w:t>)</w:t>
      </w:r>
      <w:r>
        <w:rPr>
          <w:vertAlign w:val="subscript"/>
        </w:rPr>
        <w:t>bubble</w:t>
      </w:r>
      <w:r>
        <w:rPr>
          <w:vertAlign w:val="baseline"/>
        </w:rPr>
        <w:t> = averaged bubbles emissions from air water-interface, Gg CH</w:t>
      </w:r>
      <w:r>
        <w:rPr>
          <w:vertAlign w:val="subscript"/>
        </w:rPr>
        <w:t>4</w:t>
      </w:r>
      <w:r>
        <w:rPr>
          <w:vertAlign w:val="baseline"/>
        </w:rPr>
        <w:t> ha</w:t>
      </w:r>
      <w:r>
        <w:rPr>
          <w:vertAlign w:val="superscript"/>
        </w:rPr>
        <w:t>-1</w:t>
      </w:r>
      <w:r>
        <w:rPr>
          <w:vertAlign w:val="baseline"/>
        </w:rPr>
        <w:t> day</w:t>
      </w:r>
      <w:r>
        <w:rPr>
          <w:vertAlign w:val="superscript"/>
        </w:rPr>
        <w:t>-1</w:t>
      </w:r>
      <w:r>
        <w:rPr>
          <w:vertAlign w:val="baseline"/>
        </w:rPr>
        <w:t> A</w:t>
      </w:r>
      <w:r>
        <w:rPr>
          <w:vertAlign w:val="subscript"/>
        </w:rPr>
        <w:t>flood,</w:t>
      </w:r>
      <w:r>
        <w:rPr>
          <w:vertAlign w:val="baseline"/>
        </w:rPr>
        <w:t> </w:t>
      </w:r>
      <w:r>
        <w:rPr>
          <w:vertAlign w:val="subscript"/>
        </w:rPr>
        <w:t>land</w:t>
      </w:r>
      <w:r>
        <w:rPr>
          <w:vertAlign w:val="baseline"/>
        </w:rPr>
        <w:t> = flooded land area, ha</w:t>
      </w:r>
    </w:p>
    <w:p>
      <w:pPr>
        <w:pStyle w:val="BodyText"/>
        <w:ind w:left="725"/>
      </w:pPr>
      <w:r>
        <w:rPr/>
        <w:t>[CH</w:t>
      </w:r>
      <w:r>
        <w:rPr>
          <w:vertAlign w:val="subscript"/>
        </w:rPr>
        <w:t>4</w:t>
      </w:r>
      <w:r>
        <w:rPr>
          <w:vertAlign w:val="baseline"/>
        </w:rPr>
        <w:t>]</w:t>
      </w:r>
      <w:r>
        <w:rPr>
          <w:vertAlign w:val="subscript"/>
        </w:rPr>
        <w:t>diss</w:t>
      </w:r>
      <w:r>
        <w:rPr>
          <w:vertAlign w:val="baseline"/>
        </w:rPr>
        <w:t> = averaged concentrations of CH</w:t>
      </w:r>
      <w:r>
        <w:rPr>
          <w:vertAlign w:val="subscript"/>
        </w:rPr>
        <w:t>4</w:t>
      </w:r>
      <w:r>
        <w:rPr>
          <w:vertAlign w:val="baseline"/>
        </w:rPr>
        <w:t> before the turbines (water intake depth), kg l</w:t>
      </w:r>
      <w:r>
        <w:rPr>
          <w:vertAlign w:val="superscript"/>
        </w:rPr>
        <w:t>-1</w:t>
      </w:r>
    </w:p>
    <w:p>
      <w:pPr>
        <w:pStyle w:val="BodyText"/>
        <w:spacing w:before="121"/>
        <w:ind w:left="1755" w:right="312" w:hanging="1054"/>
      </w:pPr>
      <w:r>
        <w:rPr/>
        <w:t>[CH</w:t>
      </w:r>
      <w:r>
        <w:rPr>
          <w:vertAlign w:val="subscript"/>
        </w:rPr>
        <w:t>4</w:t>
      </w:r>
      <w:r>
        <w:rPr>
          <w:vertAlign w:val="baseline"/>
        </w:rPr>
        <w:t> ]</w:t>
      </w:r>
      <w:r>
        <w:rPr>
          <w:vertAlign w:val="subscript"/>
        </w:rPr>
        <w:t>equ</w:t>
      </w:r>
      <w:r>
        <w:rPr>
          <w:vertAlign w:val="baseline"/>
        </w:rPr>
        <w:t>. = averaged concentrations of CH</w:t>
      </w:r>
      <w:r>
        <w:rPr>
          <w:vertAlign w:val="subscript"/>
        </w:rPr>
        <w:t>4</w:t>
      </w:r>
      <w:r>
        <w:rPr>
          <w:vertAlign w:val="baseline"/>
        </w:rPr>
        <w:t> dissolved gases downstream of the dam or at equilibrium with the atmosphere, kg</w:t>
      </w:r>
      <w:r>
        <w:rPr>
          <w:spacing w:val="-3"/>
          <w:vertAlign w:val="baseline"/>
        </w:rPr>
        <w:t> </w:t>
      </w:r>
      <w:r>
        <w:rPr>
          <w:vertAlign w:val="baseline"/>
        </w:rPr>
        <w:t>l</w:t>
      </w:r>
      <w:r>
        <w:rPr>
          <w:vertAlign w:val="superscript"/>
        </w:rPr>
        <w:t>-1</w:t>
      </w:r>
    </w:p>
    <w:p>
      <w:pPr>
        <w:pStyle w:val="BodyText"/>
        <w:spacing w:before="120"/>
        <w:ind w:left="725"/>
      </w:pPr>
      <w:r>
        <w:rPr/>
        <w:t>[CH</w:t>
      </w:r>
      <w:r>
        <w:rPr>
          <w:vertAlign w:val="subscript"/>
        </w:rPr>
        <w:t>4</w:t>
      </w:r>
      <w:r>
        <w:rPr>
          <w:vertAlign w:val="baseline"/>
        </w:rPr>
        <w:t>]</w:t>
      </w:r>
      <w:r>
        <w:rPr>
          <w:vertAlign w:val="subscript"/>
        </w:rPr>
        <w:t>spillway</w:t>
      </w:r>
      <w:r>
        <w:rPr>
          <w:vertAlign w:val="baseline"/>
        </w:rPr>
        <w:t> = averaged concentrations of CH</w:t>
      </w:r>
      <w:r>
        <w:rPr>
          <w:vertAlign w:val="subscript"/>
        </w:rPr>
        <w:t>4</w:t>
      </w:r>
      <w:r>
        <w:rPr>
          <w:vertAlign w:val="baseline"/>
        </w:rPr>
        <w:t> before the spillway (water intake depth), kg l</w:t>
      </w:r>
      <w:r>
        <w:rPr>
          <w:vertAlign w:val="superscript"/>
        </w:rPr>
        <w:t>-1</w:t>
      </w:r>
    </w:p>
    <w:p>
      <w:pPr>
        <w:pStyle w:val="BodyText"/>
        <w:spacing w:line="364" w:lineRule="auto" w:before="118"/>
        <w:ind w:left="725" w:right="166"/>
      </w:pPr>
      <w:r>
        <w:rPr/>
        <w:t>Outflow = the averaged annual outflow rate in litre at the turbines, per hydroelectric reservoir, l yr</w:t>
      </w:r>
      <w:r>
        <w:rPr>
          <w:vertAlign w:val="superscript"/>
        </w:rPr>
        <w:t>-1</w:t>
      </w:r>
      <w:r>
        <w:rPr>
          <w:vertAlign w:val="baseline"/>
        </w:rPr>
        <w:t> Spillway = the averaged annual outflow rate in litre at the spillway, per hydroelectric reservoir, l yr</w:t>
      </w:r>
      <w:r>
        <w:rPr>
          <w:vertAlign w:val="superscript"/>
        </w:rPr>
        <w:t>-1</w:t>
      </w:r>
    </w:p>
    <w:p>
      <w:pPr>
        <w:pStyle w:val="BodyText"/>
        <w:spacing w:before="1"/>
        <w:rPr>
          <w:sz w:val="31"/>
        </w:rPr>
      </w:pPr>
    </w:p>
    <w:p>
      <w:pPr>
        <w:spacing w:before="0"/>
        <w:ind w:left="159" w:right="0" w:firstLine="0"/>
        <w:jc w:val="left"/>
        <w:rPr>
          <w:b/>
          <w:sz w:val="20"/>
        </w:rPr>
      </w:pPr>
      <w:r>
        <w:rPr>
          <w:b/>
          <w:sz w:val="20"/>
        </w:rPr>
        <w:t>N</w:t>
      </w:r>
      <w:r>
        <w:rPr>
          <w:b/>
          <w:sz w:val="20"/>
          <w:vertAlign w:val="subscript"/>
        </w:rPr>
        <w:t>2</w:t>
      </w:r>
      <w:r>
        <w:rPr>
          <w:b/>
          <w:sz w:val="20"/>
          <w:vertAlign w:val="baseline"/>
        </w:rPr>
        <w:t>O emissions</w:t>
      </w:r>
    </w:p>
    <w:p>
      <w:pPr>
        <w:pStyle w:val="BodyText"/>
        <w:spacing w:before="113"/>
        <w:ind w:left="159" w:right="162"/>
        <w:jc w:val="both"/>
      </w:pPr>
      <w:r>
        <w:rPr/>
        <w:t>The Tier 2 method for estimating N</w:t>
      </w:r>
      <w:r>
        <w:rPr>
          <w:vertAlign w:val="subscript"/>
        </w:rPr>
        <w:t>2</w:t>
      </w:r>
      <w:r>
        <w:rPr>
          <w:vertAlign w:val="baseline"/>
        </w:rPr>
        <w:t>O emissions from flooded lands is the same as shown in Equation 3a.3.10, except that country-specific emission factors can be used, and (where data are available) flooded land surface area should be used rather than total flooded surface area.</w:t>
      </w:r>
    </w:p>
    <w:p>
      <w:pPr>
        <w:pStyle w:val="BodyText"/>
        <w:spacing w:before="5"/>
        <w:rPr>
          <w:sz w:val="21"/>
        </w:rPr>
      </w:pPr>
    </w:p>
    <w:p>
      <w:pPr>
        <w:pStyle w:val="Heading6"/>
      </w:pPr>
      <w:r>
        <w:rPr/>
        <w:t>Tier 3</w:t>
      </w:r>
    </w:p>
    <w:p>
      <w:pPr>
        <w:pStyle w:val="BodyText"/>
        <w:spacing w:before="54"/>
        <w:ind w:left="159" w:right="121"/>
        <w:jc w:val="both"/>
      </w:pPr>
      <w:r>
        <w:rPr/>
        <w:t>The Tier 3 </w:t>
      </w:r>
      <w:r>
        <w:rPr>
          <w:spacing w:val="-3"/>
        </w:rPr>
        <w:t>methods </w:t>
      </w:r>
      <w:r>
        <w:rPr>
          <w:spacing w:val="-2"/>
        </w:rPr>
        <w:t>for </w:t>
      </w:r>
      <w:r>
        <w:rPr/>
        <w:t>estimating emissions of all gases are more comprehensive and can </w:t>
      </w:r>
      <w:r>
        <w:rPr>
          <w:spacing w:val="-3"/>
        </w:rPr>
        <w:t>include additional country-specific </w:t>
      </w:r>
      <w:r>
        <w:rPr/>
        <w:t>data, such as emissions from above-water </w:t>
      </w:r>
      <w:r>
        <w:rPr>
          <w:spacing w:val="-3"/>
        </w:rPr>
        <w:t>biomass. </w:t>
      </w:r>
      <w:r>
        <w:rPr/>
        <w:t>Tier 3 requires partitioning between </w:t>
      </w:r>
      <w:r>
        <w:rPr>
          <w:spacing w:val="-3"/>
        </w:rPr>
        <w:t>emissions </w:t>
      </w:r>
      <w:r>
        <w:rPr/>
        <w:t>from</w:t>
      </w:r>
      <w:r>
        <w:rPr>
          <w:spacing w:val="-13"/>
        </w:rPr>
        <w:t> </w:t>
      </w:r>
      <w:r>
        <w:rPr/>
        <w:t>the</w:t>
      </w:r>
      <w:r>
        <w:rPr>
          <w:spacing w:val="-10"/>
        </w:rPr>
        <w:t> </w:t>
      </w:r>
      <w:r>
        <w:rPr/>
        <w:t>degradation</w:t>
      </w:r>
      <w:r>
        <w:rPr>
          <w:spacing w:val="-13"/>
        </w:rPr>
        <w:t> </w:t>
      </w:r>
      <w:r>
        <w:rPr/>
        <w:t>of</w:t>
      </w:r>
      <w:r>
        <w:rPr>
          <w:spacing w:val="-11"/>
        </w:rPr>
        <w:t> </w:t>
      </w:r>
      <w:r>
        <w:rPr/>
        <w:t>flooded</w:t>
      </w:r>
      <w:r>
        <w:rPr>
          <w:spacing w:val="-11"/>
        </w:rPr>
        <w:t> </w:t>
      </w:r>
      <w:r>
        <w:rPr>
          <w:spacing w:val="-3"/>
        </w:rPr>
        <w:t>organic</w:t>
      </w:r>
      <w:r>
        <w:rPr>
          <w:spacing w:val="-10"/>
        </w:rPr>
        <w:t> </w:t>
      </w:r>
      <w:r>
        <w:rPr/>
        <w:t>matter</w:t>
      </w:r>
      <w:r>
        <w:rPr>
          <w:spacing w:val="-9"/>
        </w:rPr>
        <w:t> </w:t>
      </w:r>
      <w:r>
        <w:rPr/>
        <w:t>and</w:t>
      </w:r>
      <w:r>
        <w:rPr>
          <w:spacing w:val="-10"/>
        </w:rPr>
        <w:t> </w:t>
      </w:r>
      <w:r>
        <w:rPr/>
        <w:t>from</w:t>
      </w:r>
      <w:r>
        <w:rPr>
          <w:spacing w:val="-13"/>
        </w:rPr>
        <w:t> </w:t>
      </w:r>
      <w:r>
        <w:rPr/>
        <w:t>the</w:t>
      </w:r>
      <w:r>
        <w:rPr>
          <w:spacing w:val="-9"/>
        </w:rPr>
        <w:t> </w:t>
      </w:r>
      <w:r>
        <w:rPr/>
        <w:t>decay</w:t>
      </w:r>
      <w:r>
        <w:rPr>
          <w:spacing w:val="-15"/>
        </w:rPr>
        <w:t> </w:t>
      </w:r>
      <w:r>
        <w:rPr/>
        <w:t>of</w:t>
      </w:r>
      <w:r>
        <w:rPr>
          <w:spacing w:val="-13"/>
        </w:rPr>
        <w:t> </w:t>
      </w:r>
      <w:r>
        <w:rPr/>
        <w:t>organic</w:t>
      </w:r>
      <w:r>
        <w:rPr>
          <w:spacing w:val="-9"/>
        </w:rPr>
        <w:t> </w:t>
      </w:r>
      <w:r>
        <w:rPr/>
        <w:t>matter</w:t>
      </w:r>
      <w:r>
        <w:rPr>
          <w:spacing w:val="-11"/>
        </w:rPr>
        <w:t> </w:t>
      </w:r>
      <w:r>
        <w:rPr/>
        <w:t>that</w:t>
      </w:r>
      <w:r>
        <w:rPr>
          <w:spacing w:val="-12"/>
        </w:rPr>
        <w:t> </w:t>
      </w:r>
      <w:r>
        <w:rPr/>
        <w:t>comes</w:t>
      </w:r>
      <w:r>
        <w:rPr>
          <w:spacing w:val="-11"/>
        </w:rPr>
        <w:t> </w:t>
      </w:r>
      <w:r>
        <w:rPr/>
        <w:t>from</w:t>
      </w:r>
      <w:r>
        <w:rPr>
          <w:spacing w:val="-13"/>
        </w:rPr>
        <w:t> </w:t>
      </w:r>
      <w:r>
        <w:rPr/>
        <w:t>the</w:t>
      </w:r>
      <w:r>
        <w:rPr>
          <w:spacing w:val="-8"/>
        </w:rPr>
        <w:t> </w:t>
      </w:r>
      <w:r>
        <w:rPr>
          <w:spacing w:val="-3"/>
        </w:rPr>
        <w:t>watershed.</w:t>
      </w:r>
    </w:p>
    <w:p>
      <w:pPr>
        <w:pStyle w:val="BodyText"/>
        <w:spacing w:before="2"/>
        <w:rPr>
          <w:sz w:val="21"/>
        </w:rPr>
      </w:pPr>
    </w:p>
    <w:p>
      <w:pPr>
        <w:pStyle w:val="Heading6"/>
      </w:pPr>
      <w:r>
        <w:rPr/>
        <w:t>CHOICE OF EMISSION FACTORS </w:t>
      </w:r>
    </w:p>
    <w:p>
      <w:pPr>
        <w:pStyle w:val="BodyText"/>
        <w:spacing w:before="117"/>
        <w:ind w:left="159" w:right="116"/>
        <w:jc w:val="both"/>
      </w:pPr>
      <w:r>
        <w:rPr/>
        <w:t>The key default values needed to implement Tier 1 method are emission factors for CO</w:t>
      </w:r>
      <w:r>
        <w:rPr>
          <w:vertAlign w:val="subscript"/>
        </w:rPr>
        <w:t>2</w:t>
      </w:r>
      <w:r>
        <w:rPr>
          <w:vertAlign w:val="baseline"/>
        </w:rPr>
        <w:t>, CH</w:t>
      </w:r>
      <w:r>
        <w:rPr>
          <w:vertAlign w:val="subscript"/>
        </w:rPr>
        <w:t>4</w:t>
      </w:r>
      <w:r>
        <w:rPr>
          <w:vertAlign w:val="baseline"/>
        </w:rPr>
        <w:t> and N</w:t>
      </w:r>
      <w:r>
        <w:rPr>
          <w:vertAlign w:val="subscript"/>
        </w:rPr>
        <w:t>2</w:t>
      </w:r>
      <w:r>
        <w:rPr>
          <w:vertAlign w:val="baseline"/>
        </w:rPr>
        <w:t>O via the diffusion pathways, and an emission factor for CH</w:t>
      </w:r>
      <w:r>
        <w:rPr>
          <w:vertAlign w:val="subscript"/>
        </w:rPr>
        <w:t>4</w:t>
      </w:r>
      <w:r>
        <w:rPr>
          <w:vertAlign w:val="baseline"/>
        </w:rPr>
        <w:t> via the bubbles pathways. Table 3a.3.5 provides default emission factors for various climate zones that can be used under Tier 1. These default emission factors integrate some spatial and temporal variations in the emissions from reservoirs, as well as fluxes at the water-air interface of reservoirs. All default data have been obtained from measurements in hydroelectric or flood control reservoirs. The emissions factors for the ice-free period should be used in Tier 1 for the entire year.</w:t>
      </w:r>
    </w:p>
    <w:p>
      <w:pPr>
        <w:pStyle w:val="BodyText"/>
        <w:spacing w:before="117"/>
        <w:ind w:left="159" w:right="165"/>
        <w:jc w:val="both"/>
      </w:pPr>
      <w:r>
        <w:rPr/>
        <w:t>For Tier 2, in addition to the above factors, data on CH</w:t>
      </w:r>
      <w:r>
        <w:rPr>
          <w:vertAlign w:val="subscript"/>
        </w:rPr>
        <w:t>4</w:t>
      </w:r>
      <w:r>
        <w:rPr>
          <w:vertAlign w:val="baseline"/>
        </w:rPr>
        <w:t> concentrations at various points upstream and downstream of the dam are needed to estimates degassing emissions. Country-specific emissions should be used instead of default factors to the extent possible. It is anticipated that a mix of default values and country-specific emission factors will be used when the latter do not cover the full range of environmental and management conditions. The development of country-specific emission factors is discussed in Box 3a.3.1. The derivation of country-specific factors should be clearly documented, and ideally published in peer reviewed literature. Guidance in Box 3a.3.1 is applicable also for derivation of emission factors for Tier 3.</w:t>
      </w:r>
    </w:p>
    <w:p>
      <w:pPr>
        <w:spacing w:after="0"/>
        <w:jc w:val="both"/>
        <w:sectPr>
          <w:pgSz w:w="11900" w:h="16840"/>
          <w:pgMar w:header="230" w:footer="408" w:top="560" w:bottom="600" w:left="1260" w:right="1240"/>
        </w:sectPr>
      </w:pPr>
    </w:p>
    <w:p>
      <w:pPr>
        <w:pStyle w:val="BodyText"/>
      </w:pPr>
    </w:p>
    <w:p>
      <w:pPr>
        <w:pStyle w:val="BodyText"/>
        <w:spacing w:before="9"/>
        <w:rPr>
          <w:sz w:val="18"/>
        </w:rPr>
      </w:pPr>
    </w:p>
    <w:tbl>
      <w:tblPr>
        <w:tblW w:w="0" w:type="auto"/>
        <w:jc w:val="left"/>
        <w:tblInd w:w="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3"/>
        <w:gridCol w:w="1221"/>
        <w:gridCol w:w="1223"/>
        <w:gridCol w:w="1221"/>
        <w:gridCol w:w="3443"/>
      </w:tblGrid>
      <w:tr>
        <w:trPr>
          <w:trHeight w:val="445" w:hRule="atLeast"/>
        </w:trPr>
        <w:tc>
          <w:tcPr>
            <w:tcW w:w="9011" w:type="dxa"/>
            <w:gridSpan w:val="5"/>
            <w:tcBorders>
              <w:bottom w:val="double" w:sz="1" w:space="0" w:color="000000"/>
            </w:tcBorders>
          </w:tcPr>
          <w:p>
            <w:pPr>
              <w:pStyle w:val="TableParagraph"/>
              <w:spacing w:before="14"/>
              <w:ind w:left="1949" w:right="1940"/>
              <w:jc w:val="center"/>
              <w:rPr>
                <w:b/>
                <w:sz w:val="18"/>
              </w:rPr>
            </w:pPr>
            <w:r>
              <w:rPr>
                <w:b/>
                <w:sz w:val="18"/>
              </w:rPr>
              <w:t>T</w:t>
            </w:r>
            <w:r>
              <w:rPr>
                <w:b/>
                <w:sz w:val="14"/>
              </w:rPr>
              <w:t>ABLE </w:t>
            </w:r>
            <w:r>
              <w:rPr>
                <w:b/>
                <w:sz w:val="18"/>
              </w:rPr>
              <w:t>3</w:t>
            </w:r>
            <w:r>
              <w:rPr>
                <w:b/>
                <w:sz w:val="14"/>
              </w:rPr>
              <w:t>A</w:t>
            </w:r>
            <w:r>
              <w:rPr>
                <w:b/>
                <w:sz w:val="18"/>
              </w:rPr>
              <w:t>.3.5</w:t>
            </w:r>
          </w:p>
          <w:p>
            <w:pPr>
              <w:pStyle w:val="TableParagraph"/>
              <w:spacing w:line="203" w:lineRule="exact" w:before="2"/>
              <w:ind w:left="1951" w:right="1940"/>
              <w:jc w:val="center"/>
              <w:rPr>
                <w:b/>
                <w:sz w:val="14"/>
              </w:rPr>
            </w:pPr>
            <w:r>
              <w:rPr>
                <w:b/>
                <w:sz w:val="18"/>
              </w:rPr>
              <w:t>D</w:t>
            </w:r>
            <w:r>
              <w:rPr>
                <w:b/>
                <w:sz w:val="14"/>
              </w:rPr>
              <w:t>EFAULT EMISSIONS FACTORS FOR RESERVOIRS</w:t>
            </w:r>
          </w:p>
        </w:tc>
      </w:tr>
      <w:tr>
        <w:trPr>
          <w:trHeight w:val="412" w:hRule="atLeast"/>
        </w:trPr>
        <w:tc>
          <w:tcPr>
            <w:tcW w:w="1903" w:type="dxa"/>
            <w:tcBorders>
              <w:top w:val="double" w:sz="1" w:space="0" w:color="000000"/>
            </w:tcBorders>
          </w:tcPr>
          <w:p>
            <w:pPr>
              <w:pStyle w:val="TableParagraph"/>
              <w:spacing w:before="105"/>
              <w:ind w:left="626" w:right="617"/>
              <w:jc w:val="center"/>
              <w:rPr>
                <w:b/>
                <w:sz w:val="18"/>
              </w:rPr>
            </w:pPr>
            <w:r>
              <w:rPr>
                <w:b/>
                <w:sz w:val="18"/>
              </w:rPr>
              <w:t>Climate</w:t>
            </w:r>
          </w:p>
        </w:tc>
        <w:tc>
          <w:tcPr>
            <w:tcW w:w="3665" w:type="dxa"/>
            <w:gridSpan w:val="3"/>
            <w:tcBorders>
              <w:top w:val="double" w:sz="1" w:space="0" w:color="000000"/>
            </w:tcBorders>
          </w:tcPr>
          <w:p>
            <w:pPr>
              <w:pStyle w:val="TableParagraph"/>
              <w:spacing w:line="206" w:lineRule="exact" w:before="5"/>
              <w:ind w:left="904" w:right="430" w:hanging="444"/>
              <w:rPr>
                <w:b/>
                <w:sz w:val="18"/>
              </w:rPr>
            </w:pPr>
            <w:r>
              <w:rPr>
                <w:b/>
                <w:sz w:val="18"/>
              </w:rPr>
              <w:t>Diffusive emissions (ice-free period) E</w:t>
            </w:r>
            <w:r>
              <w:rPr>
                <w:b/>
                <w:sz w:val="18"/>
                <w:vertAlign w:val="subscript"/>
              </w:rPr>
              <w:t>f</w:t>
            </w:r>
            <w:r>
              <w:rPr>
                <w:b/>
                <w:sz w:val="18"/>
                <w:vertAlign w:val="baseline"/>
              </w:rPr>
              <w:t> (GHG)</w:t>
            </w:r>
            <w:r>
              <w:rPr>
                <w:b/>
                <w:sz w:val="18"/>
                <w:vertAlign w:val="subscript"/>
              </w:rPr>
              <w:t>diff</w:t>
            </w:r>
            <w:r>
              <w:rPr>
                <w:b/>
                <w:sz w:val="18"/>
                <w:vertAlign w:val="baseline"/>
              </w:rPr>
              <w:t> (kg ha</w:t>
            </w:r>
            <w:r>
              <w:rPr>
                <w:b/>
                <w:sz w:val="18"/>
                <w:vertAlign w:val="superscript"/>
              </w:rPr>
              <w:t>-1</w:t>
            </w:r>
            <w:r>
              <w:rPr>
                <w:b/>
                <w:sz w:val="18"/>
                <w:vertAlign w:val="baseline"/>
              </w:rPr>
              <w:t> d</w:t>
            </w:r>
            <w:r>
              <w:rPr>
                <w:b/>
                <w:sz w:val="18"/>
                <w:vertAlign w:val="superscript"/>
              </w:rPr>
              <w:t>-1</w:t>
            </w:r>
            <w:r>
              <w:rPr>
                <w:b/>
                <w:sz w:val="18"/>
                <w:vertAlign w:val="baseline"/>
              </w:rPr>
              <w:t>)</w:t>
            </w:r>
          </w:p>
        </w:tc>
        <w:tc>
          <w:tcPr>
            <w:tcW w:w="3443" w:type="dxa"/>
            <w:tcBorders>
              <w:top w:val="double" w:sz="1" w:space="0" w:color="000000"/>
            </w:tcBorders>
          </w:tcPr>
          <w:p>
            <w:pPr>
              <w:pStyle w:val="TableParagraph"/>
              <w:spacing w:before="105"/>
              <w:ind w:left="1284" w:right="1269"/>
              <w:jc w:val="center"/>
              <w:rPr>
                <w:b/>
                <w:sz w:val="18"/>
              </w:rPr>
            </w:pPr>
            <w:r>
              <w:rPr>
                <w:b/>
                <w:sz w:val="18"/>
              </w:rPr>
              <w:t>References</w:t>
            </w:r>
          </w:p>
        </w:tc>
      </w:tr>
      <w:tr>
        <w:trPr>
          <w:trHeight w:val="270" w:hRule="atLeast"/>
        </w:trPr>
        <w:tc>
          <w:tcPr>
            <w:tcW w:w="1903" w:type="dxa"/>
          </w:tcPr>
          <w:p>
            <w:pPr>
              <w:pStyle w:val="TableParagraph"/>
              <w:rPr>
                <w:sz w:val="18"/>
              </w:rPr>
            </w:pPr>
          </w:p>
        </w:tc>
        <w:tc>
          <w:tcPr>
            <w:tcW w:w="1221" w:type="dxa"/>
          </w:tcPr>
          <w:p>
            <w:pPr>
              <w:pStyle w:val="TableParagraph"/>
              <w:spacing w:before="28"/>
              <w:ind w:left="285" w:right="275"/>
              <w:jc w:val="center"/>
              <w:rPr>
                <w:b/>
                <w:sz w:val="18"/>
              </w:rPr>
            </w:pPr>
            <w:r>
              <w:rPr>
                <w:b/>
                <w:sz w:val="18"/>
              </w:rPr>
              <w:t>CH</w:t>
            </w:r>
            <w:r>
              <w:rPr>
                <w:b/>
                <w:sz w:val="18"/>
                <w:vertAlign w:val="subscript"/>
              </w:rPr>
              <w:t>4</w:t>
            </w:r>
          </w:p>
        </w:tc>
        <w:tc>
          <w:tcPr>
            <w:tcW w:w="1223" w:type="dxa"/>
          </w:tcPr>
          <w:p>
            <w:pPr>
              <w:pStyle w:val="TableParagraph"/>
              <w:spacing w:before="28"/>
              <w:ind w:left="446"/>
              <w:rPr>
                <w:b/>
                <w:sz w:val="18"/>
              </w:rPr>
            </w:pPr>
            <w:r>
              <w:rPr>
                <w:b/>
                <w:sz w:val="18"/>
              </w:rPr>
              <w:t>CO</w:t>
            </w:r>
            <w:r>
              <w:rPr>
                <w:b/>
                <w:sz w:val="18"/>
                <w:vertAlign w:val="subscript"/>
              </w:rPr>
              <w:t>2</w:t>
            </w:r>
          </w:p>
        </w:tc>
        <w:tc>
          <w:tcPr>
            <w:tcW w:w="1221" w:type="dxa"/>
          </w:tcPr>
          <w:p>
            <w:pPr>
              <w:pStyle w:val="TableParagraph"/>
              <w:spacing w:before="28"/>
              <w:ind w:left="285" w:right="271"/>
              <w:jc w:val="center"/>
              <w:rPr>
                <w:b/>
                <w:sz w:val="18"/>
              </w:rPr>
            </w:pPr>
            <w:r>
              <w:rPr>
                <w:b/>
                <w:sz w:val="18"/>
              </w:rPr>
              <w:t>N</w:t>
            </w:r>
            <w:r>
              <w:rPr>
                <w:b/>
                <w:sz w:val="18"/>
                <w:vertAlign w:val="subscript"/>
              </w:rPr>
              <w:t>2</w:t>
            </w:r>
            <w:r>
              <w:rPr>
                <w:b/>
                <w:sz w:val="18"/>
                <w:vertAlign w:val="baseline"/>
              </w:rPr>
              <w:t>O</w:t>
            </w:r>
          </w:p>
        </w:tc>
        <w:tc>
          <w:tcPr>
            <w:tcW w:w="3443" w:type="dxa"/>
          </w:tcPr>
          <w:p>
            <w:pPr>
              <w:pStyle w:val="TableParagraph"/>
              <w:rPr>
                <w:sz w:val="18"/>
              </w:rPr>
            </w:pPr>
          </w:p>
        </w:tc>
      </w:tr>
      <w:tr>
        <w:trPr>
          <w:trHeight w:val="243" w:hRule="atLeast"/>
        </w:trPr>
        <w:tc>
          <w:tcPr>
            <w:tcW w:w="1903" w:type="dxa"/>
            <w:vMerge w:val="restart"/>
          </w:tcPr>
          <w:p>
            <w:pPr>
              <w:pStyle w:val="TableParagraph"/>
              <w:spacing w:before="141"/>
              <w:ind w:left="107"/>
              <w:rPr>
                <w:sz w:val="18"/>
              </w:rPr>
            </w:pPr>
            <w:r>
              <w:rPr>
                <w:sz w:val="18"/>
              </w:rPr>
              <w:t>Boreal, wet</w:t>
            </w:r>
          </w:p>
        </w:tc>
        <w:tc>
          <w:tcPr>
            <w:tcW w:w="1221" w:type="dxa"/>
            <w:tcBorders>
              <w:bottom w:val="nil"/>
            </w:tcBorders>
          </w:tcPr>
          <w:p>
            <w:pPr>
              <w:pStyle w:val="TableParagraph"/>
              <w:spacing w:line="186" w:lineRule="exact" w:before="38"/>
              <w:ind w:left="282" w:right="276"/>
              <w:jc w:val="center"/>
              <w:rPr>
                <w:sz w:val="18"/>
              </w:rPr>
            </w:pPr>
            <w:r>
              <w:rPr>
                <w:sz w:val="18"/>
              </w:rPr>
              <w:t>0.11</w:t>
            </w:r>
          </w:p>
        </w:tc>
        <w:tc>
          <w:tcPr>
            <w:tcW w:w="1223" w:type="dxa"/>
            <w:tcBorders>
              <w:bottom w:val="nil"/>
            </w:tcBorders>
          </w:tcPr>
          <w:p>
            <w:pPr>
              <w:pStyle w:val="TableParagraph"/>
              <w:spacing w:line="186" w:lineRule="exact" w:before="38"/>
              <w:ind w:left="454"/>
              <w:rPr>
                <w:sz w:val="18"/>
              </w:rPr>
            </w:pPr>
            <w:r>
              <w:rPr>
                <w:sz w:val="18"/>
              </w:rPr>
              <w:t>15.5</w:t>
            </w:r>
          </w:p>
        </w:tc>
        <w:tc>
          <w:tcPr>
            <w:tcW w:w="1221" w:type="dxa"/>
            <w:tcBorders>
              <w:bottom w:val="nil"/>
            </w:tcBorders>
          </w:tcPr>
          <w:p>
            <w:pPr>
              <w:pStyle w:val="TableParagraph"/>
              <w:spacing w:line="186" w:lineRule="exact" w:before="38"/>
              <w:ind w:left="285" w:right="269"/>
              <w:jc w:val="center"/>
              <w:rPr>
                <w:sz w:val="18"/>
              </w:rPr>
            </w:pPr>
            <w:r>
              <w:rPr>
                <w:sz w:val="18"/>
              </w:rPr>
              <w:t>0.008</w:t>
            </w:r>
          </w:p>
        </w:tc>
        <w:tc>
          <w:tcPr>
            <w:tcW w:w="3443" w:type="dxa"/>
            <w:tcBorders>
              <w:bottom w:val="nil"/>
            </w:tcBorders>
          </w:tcPr>
          <w:p>
            <w:pPr>
              <w:pStyle w:val="TableParagraph"/>
              <w:spacing w:line="186" w:lineRule="exact" w:before="38"/>
              <w:ind w:left="88"/>
              <w:rPr>
                <w:sz w:val="18"/>
              </w:rPr>
            </w:pPr>
            <w:r>
              <w:rPr>
                <w:sz w:val="18"/>
              </w:rPr>
              <w:t>Duchemin, 2000; Huttunen </w:t>
            </w:r>
            <w:r>
              <w:rPr>
                <w:i/>
                <w:sz w:val="18"/>
              </w:rPr>
              <w:t>et al.</w:t>
            </w:r>
            <w:r>
              <w:rPr>
                <w:sz w:val="18"/>
              </w:rPr>
              <w:t>, 2002;</w:t>
            </w:r>
          </w:p>
        </w:tc>
      </w:tr>
      <w:tr>
        <w:trPr>
          <w:trHeight w:val="245" w:hRule="atLeast"/>
        </w:trPr>
        <w:tc>
          <w:tcPr>
            <w:tcW w:w="1903" w:type="dxa"/>
            <w:vMerge/>
            <w:tcBorders>
              <w:top w:val="nil"/>
            </w:tcBorders>
          </w:tcPr>
          <w:p>
            <w:pPr>
              <w:rPr>
                <w:sz w:val="2"/>
                <w:szCs w:val="2"/>
              </w:rPr>
            </w:pPr>
          </w:p>
        </w:tc>
        <w:tc>
          <w:tcPr>
            <w:tcW w:w="1221" w:type="dxa"/>
            <w:tcBorders>
              <w:top w:val="nil"/>
            </w:tcBorders>
          </w:tcPr>
          <w:p>
            <w:pPr>
              <w:pStyle w:val="TableParagraph"/>
              <w:spacing w:line="198" w:lineRule="exact"/>
              <w:ind w:left="285" w:right="275"/>
              <w:jc w:val="center"/>
              <w:rPr>
                <w:sz w:val="18"/>
              </w:rPr>
            </w:pPr>
            <w:r>
              <w:rPr>
                <w:sz w:val="18"/>
              </w:rPr>
              <w:t>± 88%</w:t>
            </w:r>
          </w:p>
        </w:tc>
        <w:tc>
          <w:tcPr>
            <w:tcW w:w="1223" w:type="dxa"/>
            <w:tcBorders>
              <w:top w:val="nil"/>
            </w:tcBorders>
          </w:tcPr>
          <w:p>
            <w:pPr>
              <w:pStyle w:val="TableParagraph"/>
              <w:spacing w:line="198" w:lineRule="exact"/>
              <w:ind w:left="396"/>
              <w:rPr>
                <w:sz w:val="18"/>
              </w:rPr>
            </w:pPr>
            <w:r>
              <w:rPr>
                <w:sz w:val="18"/>
              </w:rPr>
              <w:t>±56%</w:t>
            </w:r>
          </w:p>
        </w:tc>
        <w:tc>
          <w:tcPr>
            <w:tcW w:w="1221" w:type="dxa"/>
            <w:tcBorders>
              <w:top w:val="nil"/>
            </w:tcBorders>
          </w:tcPr>
          <w:p>
            <w:pPr>
              <w:pStyle w:val="TableParagraph"/>
              <w:spacing w:line="198" w:lineRule="exact"/>
              <w:ind w:left="285" w:right="269"/>
              <w:jc w:val="center"/>
              <w:rPr>
                <w:sz w:val="18"/>
              </w:rPr>
            </w:pPr>
            <w:r>
              <w:rPr>
                <w:sz w:val="18"/>
              </w:rPr>
              <w:t>±300%</w:t>
            </w:r>
          </w:p>
        </w:tc>
        <w:tc>
          <w:tcPr>
            <w:tcW w:w="3443" w:type="dxa"/>
            <w:tcBorders>
              <w:top w:val="nil"/>
            </w:tcBorders>
          </w:tcPr>
          <w:p>
            <w:pPr>
              <w:pStyle w:val="TableParagraph"/>
              <w:spacing w:line="198" w:lineRule="exact"/>
              <w:ind w:left="88"/>
              <w:rPr>
                <w:sz w:val="18"/>
              </w:rPr>
            </w:pPr>
            <w:r>
              <w:rPr>
                <w:sz w:val="18"/>
              </w:rPr>
              <w:t>Schlellhase, 1994, Duchemin </w:t>
            </w:r>
            <w:r>
              <w:rPr>
                <w:i/>
                <w:sz w:val="18"/>
              </w:rPr>
              <w:t>et al.</w:t>
            </w:r>
            <w:r>
              <w:rPr>
                <w:sz w:val="18"/>
              </w:rPr>
              <w:t>, 1999</w:t>
            </w:r>
          </w:p>
        </w:tc>
      </w:tr>
      <w:tr>
        <w:trPr>
          <w:trHeight w:val="243" w:hRule="atLeast"/>
        </w:trPr>
        <w:tc>
          <w:tcPr>
            <w:tcW w:w="1903" w:type="dxa"/>
            <w:vMerge w:val="restart"/>
          </w:tcPr>
          <w:p>
            <w:pPr>
              <w:pStyle w:val="TableParagraph"/>
              <w:spacing w:before="141"/>
              <w:ind w:left="107"/>
              <w:rPr>
                <w:sz w:val="18"/>
              </w:rPr>
            </w:pPr>
            <w:r>
              <w:rPr>
                <w:sz w:val="18"/>
              </w:rPr>
              <w:t>Cold temperate, wet</w:t>
            </w:r>
          </w:p>
        </w:tc>
        <w:tc>
          <w:tcPr>
            <w:tcW w:w="1221" w:type="dxa"/>
            <w:tcBorders>
              <w:bottom w:val="nil"/>
            </w:tcBorders>
          </w:tcPr>
          <w:p>
            <w:pPr>
              <w:pStyle w:val="TableParagraph"/>
              <w:spacing w:line="186" w:lineRule="exact" w:before="38"/>
              <w:ind w:left="285" w:right="275"/>
              <w:jc w:val="center"/>
              <w:rPr>
                <w:sz w:val="18"/>
              </w:rPr>
            </w:pPr>
            <w:r>
              <w:rPr>
                <w:sz w:val="18"/>
              </w:rPr>
              <w:t>0.2</w:t>
            </w:r>
          </w:p>
        </w:tc>
        <w:tc>
          <w:tcPr>
            <w:tcW w:w="1223" w:type="dxa"/>
            <w:tcBorders>
              <w:bottom w:val="nil"/>
            </w:tcBorders>
          </w:tcPr>
          <w:p>
            <w:pPr>
              <w:pStyle w:val="TableParagraph"/>
              <w:spacing w:line="186" w:lineRule="exact" w:before="38"/>
              <w:ind w:left="213" w:right="204"/>
              <w:jc w:val="center"/>
              <w:rPr>
                <w:sz w:val="18"/>
              </w:rPr>
            </w:pPr>
            <w:r>
              <w:rPr>
                <w:sz w:val="18"/>
              </w:rPr>
              <w:t>9.3</w:t>
            </w:r>
          </w:p>
        </w:tc>
        <w:tc>
          <w:tcPr>
            <w:tcW w:w="1221" w:type="dxa"/>
            <w:vMerge w:val="restart"/>
          </w:tcPr>
          <w:p>
            <w:pPr>
              <w:pStyle w:val="TableParagraph"/>
              <w:spacing w:before="141"/>
              <w:ind w:left="285" w:right="267"/>
              <w:jc w:val="center"/>
              <w:rPr>
                <w:sz w:val="18"/>
              </w:rPr>
            </w:pPr>
            <w:r>
              <w:rPr>
                <w:sz w:val="18"/>
              </w:rPr>
              <w:t>nm</w:t>
            </w:r>
          </w:p>
        </w:tc>
        <w:tc>
          <w:tcPr>
            <w:tcW w:w="3443" w:type="dxa"/>
            <w:tcBorders>
              <w:bottom w:val="nil"/>
            </w:tcBorders>
          </w:tcPr>
          <w:p>
            <w:pPr>
              <w:pStyle w:val="TableParagraph"/>
              <w:spacing w:line="186" w:lineRule="exact" w:before="38"/>
              <w:ind w:left="88"/>
              <w:rPr>
                <w:sz w:val="18"/>
              </w:rPr>
            </w:pPr>
            <w:r>
              <w:rPr>
                <w:sz w:val="18"/>
              </w:rPr>
              <w:t>Duchemin, 2000; Duchemin 2002a, St-Louis</w:t>
            </w:r>
          </w:p>
        </w:tc>
      </w:tr>
      <w:tr>
        <w:trPr>
          <w:trHeight w:val="247" w:hRule="atLeast"/>
        </w:trPr>
        <w:tc>
          <w:tcPr>
            <w:tcW w:w="1903" w:type="dxa"/>
            <w:vMerge/>
            <w:tcBorders>
              <w:top w:val="nil"/>
            </w:tcBorders>
          </w:tcPr>
          <w:p>
            <w:pPr>
              <w:rPr>
                <w:sz w:val="2"/>
                <w:szCs w:val="2"/>
              </w:rPr>
            </w:pPr>
          </w:p>
        </w:tc>
        <w:tc>
          <w:tcPr>
            <w:tcW w:w="1221" w:type="dxa"/>
            <w:tcBorders>
              <w:top w:val="nil"/>
            </w:tcBorders>
          </w:tcPr>
          <w:p>
            <w:pPr>
              <w:pStyle w:val="TableParagraph"/>
              <w:spacing w:line="198" w:lineRule="exact"/>
              <w:ind w:left="285" w:right="273"/>
              <w:jc w:val="center"/>
              <w:rPr>
                <w:sz w:val="18"/>
              </w:rPr>
            </w:pPr>
            <w:r>
              <w:rPr>
                <w:sz w:val="18"/>
              </w:rPr>
              <w:t>±55%</w:t>
            </w:r>
          </w:p>
        </w:tc>
        <w:tc>
          <w:tcPr>
            <w:tcW w:w="1223" w:type="dxa"/>
            <w:tcBorders>
              <w:top w:val="nil"/>
            </w:tcBorders>
          </w:tcPr>
          <w:p>
            <w:pPr>
              <w:pStyle w:val="TableParagraph"/>
              <w:spacing w:line="198" w:lineRule="exact"/>
              <w:ind w:left="396"/>
              <w:rPr>
                <w:sz w:val="18"/>
              </w:rPr>
            </w:pPr>
            <w:r>
              <w:rPr>
                <w:sz w:val="18"/>
              </w:rPr>
              <w:t>±55%</w:t>
            </w:r>
          </w:p>
        </w:tc>
        <w:tc>
          <w:tcPr>
            <w:tcW w:w="1221" w:type="dxa"/>
            <w:vMerge/>
            <w:tcBorders>
              <w:top w:val="nil"/>
            </w:tcBorders>
          </w:tcPr>
          <w:p>
            <w:pPr>
              <w:rPr>
                <w:sz w:val="2"/>
                <w:szCs w:val="2"/>
              </w:rPr>
            </w:pPr>
          </w:p>
        </w:tc>
        <w:tc>
          <w:tcPr>
            <w:tcW w:w="3443" w:type="dxa"/>
            <w:tcBorders>
              <w:top w:val="nil"/>
            </w:tcBorders>
          </w:tcPr>
          <w:p>
            <w:pPr>
              <w:pStyle w:val="TableParagraph"/>
              <w:spacing w:line="198" w:lineRule="exact"/>
              <w:ind w:left="88"/>
              <w:rPr>
                <w:sz w:val="18"/>
              </w:rPr>
            </w:pPr>
            <w:r>
              <w:rPr>
                <w:i/>
                <w:sz w:val="18"/>
              </w:rPr>
              <w:t>et al.</w:t>
            </w:r>
            <w:r>
              <w:rPr>
                <w:sz w:val="18"/>
              </w:rPr>
              <w:t>, 2000; Smith and Lewis, 1992</w:t>
            </w:r>
          </w:p>
        </w:tc>
      </w:tr>
      <w:tr>
        <w:trPr>
          <w:trHeight w:val="243" w:hRule="atLeast"/>
        </w:trPr>
        <w:tc>
          <w:tcPr>
            <w:tcW w:w="1903" w:type="dxa"/>
            <w:vMerge w:val="restart"/>
          </w:tcPr>
          <w:p>
            <w:pPr>
              <w:pStyle w:val="TableParagraph"/>
              <w:spacing w:before="141"/>
              <w:ind w:left="107"/>
              <w:rPr>
                <w:sz w:val="18"/>
              </w:rPr>
            </w:pPr>
            <w:r>
              <w:rPr>
                <w:sz w:val="18"/>
              </w:rPr>
              <w:t>Warm temperate, dry</w:t>
            </w:r>
          </w:p>
        </w:tc>
        <w:tc>
          <w:tcPr>
            <w:tcW w:w="1221" w:type="dxa"/>
            <w:tcBorders>
              <w:bottom w:val="nil"/>
            </w:tcBorders>
          </w:tcPr>
          <w:p>
            <w:pPr>
              <w:pStyle w:val="TableParagraph"/>
              <w:spacing w:line="209" w:lineRule="exact" w:before="14"/>
              <w:ind w:left="285" w:right="275"/>
              <w:jc w:val="center"/>
              <w:rPr>
                <w:sz w:val="20"/>
              </w:rPr>
            </w:pPr>
            <w:r>
              <w:rPr>
                <w:sz w:val="20"/>
              </w:rPr>
              <w:t>0.063</w:t>
            </w:r>
          </w:p>
        </w:tc>
        <w:tc>
          <w:tcPr>
            <w:tcW w:w="1223" w:type="dxa"/>
            <w:tcBorders>
              <w:bottom w:val="nil"/>
            </w:tcBorders>
          </w:tcPr>
          <w:p>
            <w:pPr>
              <w:pStyle w:val="TableParagraph"/>
              <w:spacing w:line="186" w:lineRule="exact" w:before="38"/>
              <w:ind w:left="213" w:right="202"/>
              <w:jc w:val="center"/>
              <w:rPr>
                <w:sz w:val="18"/>
              </w:rPr>
            </w:pPr>
            <w:r>
              <w:rPr>
                <w:sz w:val="18"/>
              </w:rPr>
              <w:t>-3.1</w:t>
            </w:r>
          </w:p>
        </w:tc>
        <w:tc>
          <w:tcPr>
            <w:tcW w:w="1221" w:type="dxa"/>
            <w:vMerge w:val="restart"/>
          </w:tcPr>
          <w:p>
            <w:pPr>
              <w:pStyle w:val="TableParagraph"/>
              <w:spacing w:before="141"/>
              <w:ind w:left="285" w:right="268"/>
              <w:jc w:val="center"/>
              <w:rPr>
                <w:sz w:val="18"/>
              </w:rPr>
            </w:pPr>
            <w:r>
              <w:rPr>
                <w:sz w:val="18"/>
              </w:rPr>
              <w:t>nm</w:t>
            </w:r>
          </w:p>
        </w:tc>
        <w:tc>
          <w:tcPr>
            <w:tcW w:w="3443" w:type="dxa"/>
            <w:vMerge w:val="restart"/>
          </w:tcPr>
          <w:p>
            <w:pPr>
              <w:pStyle w:val="TableParagraph"/>
              <w:spacing w:before="141"/>
              <w:ind w:left="88"/>
              <w:rPr>
                <w:sz w:val="18"/>
              </w:rPr>
            </w:pPr>
            <w:r>
              <w:rPr>
                <w:sz w:val="18"/>
              </w:rPr>
              <w:t>Duchemin 2002b</w:t>
            </w:r>
          </w:p>
        </w:tc>
      </w:tr>
      <w:tr>
        <w:trPr>
          <w:trHeight w:val="245" w:hRule="atLeast"/>
        </w:trPr>
        <w:tc>
          <w:tcPr>
            <w:tcW w:w="1903" w:type="dxa"/>
            <w:vMerge/>
            <w:tcBorders>
              <w:top w:val="nil"/>
            </w:tcBorders>
          </w:tcPr>
          <w:p>
            <w:pPr>
              <w:rPr>
                <w:sz w:val="2"/>
                <w:szCs w:val="2"/>
              </w:rPr>
            </w:pPr>
          </w:p>
        </w:tc>
        <w:tc>
          <w:tcPr>
            <w:tcW w:w="1221" w:type="dxa"/>
            <w:tcBorders>
              <w:top w:val="nil"/>
            </w:tcBorders>
          </w:tcPr>
          <w:p>
            <w:pPr>
              <w:pStyle w:val="TableParagraph"/>
              <w:spacing w:line="221" w:lineRule="exact"/>
              <w:ind w:left="285" w:right="276"/>
              <w:jc w:val="center"/>
              <w:rPr>
                <w:sz w:val="20"/>
              </w:rPr>
            </w:pPr>
            <w:r>
              <w:rPr>
                <w:sz w:val="20"/>
              </w:rPr>
              <w:t>± 0.032</w:t>
            </w:r>
          </w:p>
        </w:tc>
        <w:tc>
          <w:tcPr>
            <w:tcW w:w="1223" w:type="dxa"/>
            <w:tcBorders>
              <w:top w:val="nil"/>
            </w:tcBorders>
          </w:tcPr>
          <w:p>
            <w:pPr>
              <w:pStyle w:val="TableParagraph"/>
              <w:spacing w:line="198" w:lineRule="exact"/>
              <w:ind w:left="449"/>
              <w:rPr>
                <w:sz w:val="18"/>
              </w:rPr>
            </w:pPr>
            <w:r>
              <w:rPr>
                <w:sz w:val="18"/>
              </w:rPr>
              <w:t>±3.6</w:t>
            </w:r>
          </w:p>
        </w:tc>
        <w:tc>
          <w:tcPr>
            <w:tcW w:w="1221" w:type="dxa"/>
            <w:vMerge/>
            <w:tcBorders>
              <w:top w:val="nil"/>
            </w:tcBorders>
          </w:tcPr>
          <w:p>
            <w:pPr>
              <w:rPr>
                <w:sz w:val="2"/>
                <w:szCs w:val="2"/>
              </w:rPr>
            </w:pPr>
          </w:p>
        </w:tc>
        <w:tc>
          <w:tcPr>
            <w:tcW w:w="3443" w:type="dxa"/>
            <w:vMerge/>
            <w:tcBorders>
              <w:top w:val="nil"/>
            </w:tcBorders>
          </w:tcPr>
          <w:p>
            <w:pPr>
              <w:rPr>
                <w:sz w:val="2"/>
                <w:szCs w:val="2"/>
              </w:rPr>
            </w:pPr>
          </w:p>
        </w:tc>
      </w:tr>
      <w:tr>
        <w:trPr>
          <w:trHeight w:val="244" w:hRule="atLeast"/>
        </w:trPr>
        <w:tc>
          <w:tcPr>
            <w:tcW w:w="1903" w:type="dxa"/>
            <w:vMerge w:val="restart"/>
          </w:tcPr>
          <w:p>
            <w:pPr>
              <w:pStyle w:val="TableParagraph"/>
              <w:spacing w:before="141"/>
              <w:ind w:left="107"/>
              <w:rPr>
                <w:sz w:val="18"/>
              </w:rPr>
            </w:pPr>
            <w:r>
              <w:rPr>
                <w:sz w:val="18"/>
              </w:rPr>
              <w:t>Warm Temperate, wet</w:t>
            </w:r>
          </w:p>
        </w:tc>
        <w:tc>
          <w:tcPr>
            <w:tcW w:w="1221" w:type="dxa"/>
            <w:tcBorders>
              <w:bottom w:val="nil"/>
            </w:tcBorders>
          </w:tcPr>
          <w:p>
            <w:pPr>
              <w:pStyle w:val="TableParagraph"/>
              <w:spacing w:line="210" w:lineRule="exact" w:before="14"/>
              <w:ind w:left="285" w:right="275"/>
              <w:jc w:val="center"/>
              <w:rPr>
                <w:sz w:val="20"/>
              </w:rPr>
            </w:pPr>
            <w:r>
              <w:rPr>
                <w:sz w:val="20"/>
              </w:rPr>
              <w:t>0.096</w:t>
            </w:r>
          </w:p>
        </w:tc>
        <w:tc>
          <w:tcPr>
            <w:tcW w:w="1223" w:type="dxa"/>
            <w:tcBorders>
              <w:bottom w:val="nil"/>
            </w:tcBorders>
          </w:tcPr>
          <w:p>
            <w:pPr>
              <w:pStyle w:val="TableParagraph"/>
              <w:spacing w:line="210" w:lineRule="exact" w:before="14"/>
              <w:ind w:left="434"/>
              <w:rPr>
                <w:sz w:val="20"/>
              </w:rPr>
            </w:pPr>
            <w:r>
              <w:rPr>
                <w:sz w:val="20"/>
              </w:rPr>
              <w:t>13.2</w:t>
            </w:r>
          </w:p>
        </w:tc>
        <w:tc>
          <w:tcPr>
            <w:tcW w:w="1221" w:type="dxa"/>
            <w:vMerge w:val="restart"/>
          </w:tcPr>
          <w:p>
            <w:pPr>
              <w:pStyle w:val="TableParagraph"/>
              <w:spacing w:before="141"/>
              <w:ind w:left="285" w:right="268"/>
              <w:jc w:val="center"/>
              <w:rPr>
                <w:sz w:val="18"/>
              </w:rPr>
            </w:pPr>
            <w:r>
              <w:rPr>
                <w:sz w:val="18"/>
              </w:rPr>
              <w:t>nm</w:t>
            </w:r>
          </w:p>
        </w:tc>
        <w:tc>
          <w:tcPr>
            <w:tcW w:w="3443" w:type="dxa"/>
            <w:vMerge w:val="restart"/>
          </w:tcPr>
          <w:p>
            <w:pPr>
              <w:pStyle w:val="TableParagraph"/>
              <w:spacing w:before="141"/>
              <w:ind w:left="88"/>
              <w:rPr>
                <w:sz w:val="18"/>
              </w:rPr>
            </w:pPr>
            <w:r>
              <w:rPr>
                <w:sz w:val="18"/>
              </w:rPr>
              <w:t>Duchemin 2002b</w:t>
            </w:r>
          </w:p>
        </w:tc>
      </w:tr>
      <w:tr>
        <w:trPr>
          <w:trHeight w:val="246" w:hRule="atLeast"/>
        </w:trPr>
        <w:tc>
          <w:tcPr>
            <w:tcW w:w="1903" w:type="dxa"/>
            <w:vMerge/>
            <w:tcBorders>
              <w:top w:val="nil"/>
            </w:tcBorders>
          </w:tcPr>
          <w:p>
            <w:pPr>
              <w:rPr>
                <w:sz w:val="2"/>
                <w:szCs w:val="2"/>
              </w:rPr>
            </w:pPr>
          </w:p>
        </w:tc>
        <w:tc>
          <w:tcPr>
            <w:tcW w:w="1221" w:type="dxa"/>
            <w:tcBorders>
              <w:top w:val="nil"/>
            </w:tcBorders>
          </w:tcPr>
          <w:p>
            <w:pPr>
              <w:pStyle w:val="TableParagraph"/>
              <w:spacing w:line="221" w:lineRule="exact"/>
              <w:ind w:left="283" w:right="276"/>
              <w:jc w:val="center"/>
              <w:rPr>
                <w:sz w:val="20"/>
              </w:rPr>
            </w:pPr>
            <w:r>
              <w:rPr>
                <w:sz w:val="20"/>
              </w:rPr>
              <w:t>±0.074</w:t>
            </w:r>
          </w:p>
        </w:tc>
        <w:tc>
          <w:tcPr>
            <w:tcW w:w="1223" w:type="dxa"/>
            <w:tcBorders>
              <w:top w:val="nil"/>
            </w:tcBorders>
          </w:tcPr>
          <w:p>
            <w:pPr>
              <w:pStyle w:val="TableParagraph"/>
              <w:spacing w:line="221" w:lineRule="exact"/>
              <w:ind w:left="430"/>
              <w:rPr>
                <w:sz w:val="20"/>
              </w:rPr>
            </w:pPr>
            <w:r>
              <w:rPr>
                <w:sz w:val="20"/>
              </w:rPr>
              <w:t>±6.9</w:t>
            </w:r>
          </w:p>
        </w:tc>
        <w:tc>
          <w:tcPr>
            <w:tcW w:w="1221" w:type="dxa"/>
            <w:vMerge/>
            <w:tcBorders>
              <w:top w:val="nil"/>
            </w:tcBorders>
          </w:tcPr>
          <w:p>
            <w:pPr>
              <w:rPr>
                <w:sz w:val="2"/>
                <w:szCs w:val="2"/>
              </w:rPr>
            </w:pPr>
          </w:p>
        </w:tc>
        <w:tc>
          <w:tcPr>
            <w:tcW w:w="3443" w:type="dxa"/>
            <w:vMerge/>
            <w:tcBorders>
              <w:top w:val="nil"/>
            </w:tcBorders>
          </w:tcPr>
          <w:p>
            <w:pPr>
              <w:rPr>
                <w:sz w:val="2"/>
                <w:szCs w:val="2"/>
              </w:rPr>
            </w:pPr>
          </w:p>
        </w:tc>
      </w:tr>
      <w:tr>
        <w:trPr>
          <w:trHeight w:val="618" w:hRule="atLeast"/>
        </w:trPr>
        <w:tc>
          <w:tcPr>
            <w:tcW w:w="1903" w:type="dxa"/>
          </w:tcPr>
          <w:p>
            <w:pPr>
              <w:pStyle w:val="TableParagraph"/>
              <w:spacing w:before="5"/>
              <w:rPr>
                <w:sz w:val="17"/>
              </w:rPr>
            </w:pPr>
          </w:p>
          <w:p>
            <w:pPr>
              <w:pStyle w:val="TableParagraph"/>
              <w:spacing w:before="1"/>
              <w:ind w:left="107"/>
              <w:rPr>
                <w:sz w:val="18"/>
              </w:rPr>
            </w:pPr>
            <w:r>
              <w:rPr>
                <w:sz w:val="18"/>
              </w:rPr>
              <w:t>Tropical, wet</w:t>
            </w:r>
          </w:p>
        </w:tc>
        <w:tc>
          <w:tcPr>
            <w:tcW w:w="1221" w:type="dxa"/>
          </w:tcPr>
          <w:p>
            <w:pPr>
              <w:pStyle w:val="TableParagraph"/>
              <w:spacing w:line="207" w:lineRule="exact" w:before="98"/>
              <w:ind w:left="282" w:right="276"/>
              <w:jc w:val="center"/>
              <w:rPr>
                <w:sz w:val="18"/>
              </w:rPr>
            </w:pPr>
            <w:r>
              <w:rPr>
                <w:sz w:val="18"/>
              </w:rPr>
              <w:t>0.64</w:t>
            </w:r>
          </w:p>
          <w:p>
            <w:pPr>
              <w:pStyle w:val="TableParagraph"/>
              <w:spacing w:line="207" w:lineRule="exact"/>
              <w:ind w:left="285" w:right="273"/>
              <w:jc w:val="center"/>
              <w:rPr>
                <w:sz w:val="18"/>
              </w:rPr>
            </w:pPr>
            <w:r>
              <w:rPr>
                <w:sz w:val="18"/>
              </w:rPr>
              <w:t>±330%</w:t>
            </w:r>
          </w:p>
        </w:tc>
        <w:tc>
          <w:tcPr>
            <w:tcW w:w="1223" w:type="dxa"/>
          </w:tcPr>
          <w:p>
            <w:pPr>
              <w:pStyle w:val="TableParagraph"/>
              <w:spacing w:line="207" w:lineRule="exact" w:before="98"/>
              <w:ind w:left="213" w:right="203"/>
              <w:jc w:val="center"/>
              <w:rPr>
                <w:sz w:val="18"/>
              </w:rPr>
            </w:pPr>
            <w:r>
              <w:rPr>
                <w:sz w:val="18"/>
              </w:rPr>
              <w:t>60.4</w:t>
            </w:r>
          </w:p>
          <w:p>
            <w:pPr>
              <w:pStyle w:val="TableParagraph"/>
              <w:spacing w:line="207" w:lineRule="exact"/>
              <w:ind w:left="213" w:right="201"/>
              <w:jc w:val="center"/>
              <w:rPr>
                <w:sz w:val="18"/>
              </w:rPr>
            </w:pPr>
            <w:r>
              <w:rPr>
                <w:sz w:val="18"/>
              </w:rPr>
              <w:t>±145%</w:t>
            </w:r>
          </w:p>
        </w:tc>
        <w:tc>
          <w:tcPr>
            <w:tcW w:w="1221" w:type="dxa"/>
          </w:tcPr>
          <w:p>
            <w:pPr>
              <w:pStyle w:val="TableParagraph"/>
              <w:spacing w:line="207" w:lineRule="exact" w:before="98"/>
              <w:ind w:left="285" w:right="271"/>
              <w:jc w:val="center"/>
              <w:rPr>
                <w:sz w:val="18"/>
              </w:rPr>
            </w:pPr>
            <w:r>
              <w:rPr>
                <w:sz w:val="18"/>
              </w:rPr>
              <w:t>0.05</w:t>
            </w:r>
          </w:p>
          <w:p>
            <w:pPr>
              <w:pStyle w:val="TableParagraph"/>
              <w:spacing w:line="207" w:lineRule="exact"/>
              <w:ind w:left="285" w:right="269"/>
              <w:jc w:val="center"/>
              <w:rPr>
                <w:sz w:val="18"/>
              </w:rPr>
            </w:pPr>
            <w:r>
              <w:rPr>
                <w:sz w:val="18"/>
              </w:rPr>
              <w:t>±100%</w:t>
            </w:r>
          </w:p>
        </w:tc>
        <w:tc>
          <w:tcPr>
            <w:tcW w:w="3443" w:type="dxa"/>
          </w:tcPr>
          <w:p>
            <w:pPr>
              <w:pStyle w:val="TableParagraph"/>
              <w:ind w:left="88" w:right="115"/>
              <w:rPr>
                <w:sz w:val="18"/>
              </w:rPr>
            </w:pPr>
            <w:r>
              <w:rPr>
                <w:sz w:val="18"/>
              </w:rPr>
              <w:t>Keller et Stallard, 1994; Galy-Lacaux </w:t>
            </w:r>
            <w:r>
              <w:rPr>
                <w:i/>
                <w:sz w:val="18"/>
              </w:rPr>
              <w:t>et al.</w:t>
            </w:r>
            <w:r>
              <w:rPr>
                <w:sz w:val="18"/>
              </w:rPr>
              <w:t>, 1997; Duchemin </w:t>
            </w:r>
            <w:r>
              <w:rPr>
                <w:i/>
                <w:sz w:val="18"/>
              </w:rPr>
              <w:t>et al.</w:t>
            </w:r>
            <w:r>
              <w:rPr>
                <w:sz w:val="18"/>
              </w:rPr>
              <w:t>, 2000; Pinguelli Rosa</w:t>
            </w:r>
          </w:p>
          <w:p>
            <w:pPr>
              <w:pStyle w:val="TableParagraph"/>
              <w:spacing w:line="190" w:lineRule="exact"/>
              <w:ind w:left="88"/>
              <w:rPr>
                <w:sz w:val="18"/>
              </w:rPr>
            </w:pPr>
            <w:r>
              <w:rPr>
                <w:i/>
                <w:sz w:val="18"/>
              </w:rPr>
              <w:t>et al.</w:t>
            </w:r>
            <w:r>
              <w:rPr>
                <w:sz w:val="18"/>
              </w:rPr>
              <w:t>, 2002</w:t>
            </w:r>
          </w:p>
        </w:tc>
      </w:tr>
      <w:tr>
        <w:trPr>
          <w:trHeight w:val="244" w:hRule="atLeast"/>
        </w:trPr>
        <w:tc>
          <w:tcPr>
            <w:tcW w:w="1903" w:type="dxa"/>
            <w:tcBorders>
              <w:bottom w:val="nil"/>
            </w:tcBorders>
          </w:tcPr>
          <w:p>
            <w:pPr>
              <w:pStyle w:val="TableParagraph"/>
              <w:spacing w:line="187" w:lineRule="exact" w:before="38"/>
              <w:ind w:left="107"/>
              <w:rPr>
                <w:sz w:val="18"/>
              </w:rPr>
            </w:pPr>
            <w:r>
              <w:rPr>
                <w:sz w:val="18"/>
              </w:rPr>
              <w:t>Tropical,</w:t>
            </w:r>
          </w:p>
        </w:tc>
        <w:tc>
          <w:tcPr>
            <w:tcW w:w="1221" w:type="dxa"/>
            <w:tcBorders>
              <w:bottom w:val="nil"/>
            </w:tcBorders>
          </w:tcPr>
          <w:p>
            <w:pPr>
              <w:pStyle w:val="TableParagraph"/>
              <w:spacing w:line="187" w:lineRule="exact" w:before="38"/>
              <w:ind w:left="282" w:right="276"/>
              <w:jc w:val="center"/>
              <w:rPr>
                <w:sz w:val="18"/>
              </w:rPr>
            </w:pPr>
            <w:r>
              <w:rPr>
                <w:sz w:val="18"/>
              </w:rPr>
              <w:t>0.31</w:t>
            </w:r>
          </w:p>
        </w:tc>
        <w:tc>
          <w:tcPr>
            <w:tcW w:w="1223" w:type="dxa"/>
            <w:tcBorders>
              <w:bottom w:val="nil"/>
            </w:tcBorders>
          </w:tcPr>
          <w:p>
            <w:pPr>
              <w:pStyle w:val="TableParagraph"/>
              <w:spacing w:line="187" w:lineRule="exact" w:before="38"/>
              <w:ind w:left="408"/>
              <w:rPr>
                <w:sz w:val="18"/>
              </w:rPr>
            </w:pPr>
            <w:r>
              <w:rPr>
                <w:sz w:val="18"/>
              </w:rPr>
              <w:t>11.65</w:t>
            </w:r>
          </w:p>
        </w:tc>
        <w:tc>
          <w:tcPr>
            <w:tcW w:w="1221" w:type="dxa"/>
            <w:vMerge w:val="restart"/>
          </w:tcPr>
          <w:p>
            <w:pPr>
              <w:pStyle w:val="TableParagraph"/>
              <w:spacing w:before="141"/>
              <w:ind w:left="285" w:right="267"/>
              <w:jc w:val="center"/>
              <w:rPr>
                <w:sz w:val="18"/>
              </w:rPr>
            </w:pPr>
            <w:r>
              <w:rPr>
                <w:sz w:val="18"/>
              </w:rPr>
              <w:t>nm</w:t>
            </w:r>
          </w:p>
        </w:tc>
        <w:tc>
          <w:tcPr>
            <w:tcW w:w="3443" w:type="dxa"/>
            <w:tcBorders>
              <w:bottom w:val="nil"/>
            </w:tcBorders>
          </w:tcPr>
          <w:p>
            <w:pPr>
              <w:pStyle w:val="TableParagraph"/>
              <w:spacing w:line="187" w:lineRule="exact" w:before="38"/>
              <w:ind w:left="88"/>
              <w:rPr>
                <w:sz w:val="18"/>
              </w:rPr>
            </w:pPr>
            <w:r>
              <w:rPr>
                <w:sz w:val="18"/>
              </w:rPr>
              <w:t>Pinguelli Rosa </w:t>
            </w:r>
            <w:r>
              <w:rPr>
                <w:i/>
                <w:sz w:val="18"/>
              </w:rPr>
              <w:t>et al.</w:t>
            </w:r>
            <w:r>
              <w:rPr>
                <w:sz w:val="18"/>
              </w:rPr>
              <w:t>, 2002; Dos Santos,</w:t>
            </w:r>
          </w:p>
        </w:tc>
      </w:tr>
      <w:tr>
        <w:trPr>
          <w:trHeight w:val="246" w:hRule="atLeast"/>
        </w:trPr>
        <w:tc>
          <w:tcPr>
            <w:tcW w:w="1903" w:type="dxa"/>
            <w:tcBorders>
              <w:top w:val="nil"/>
            </w:tcBorders>
          </w:tcPr>
          <w:p>
            <w:pPr>
              <w:pStyle w:val="TableParagraph"/>
              <w:spacing w:line="199" w:lineRule="exact"/>
              <w:ind w:left="107"/>
              <w:rPr>
                <w:sz w:val="18"/>
              </w:rPr>
            </w:pPr>
            <w:r>
              <w:rPr>
                <w:sz w:val="18"/>
              </w:rPr>
              <w:t>moist-long dry season</w:t>
            </w:r>
          </w:p>
        </w:tc>
        <w:tc>
          <w:tcPr>
            <w:tcW w:w="1221" w:type="dxa"/>
            <w:tcBorders>
              <w:top w:val="nil"/>
            </w:tcBorders>
          </w:tcPr>
          <w:p>
            <w:pPr>
              <w:pStyle w:val="TableParagraph"/>
              <w:spacing w:line="199" w:lineRule="exact"/>
              <w:ind w:left="285" w:right="273"/>
              <w:jc w:val="center"/>
              <w:rPr>
                <w:sz w:val="18"/>
              </w:rPr>
            </w:pPr>
            <w:r>
              <w:rPr>
                <w:sz w:val="18"/>
              </w:rPr>
              <w:t>±190%</w:t>
            </w:r>
          </w:p>
        </w:tc>
        <w:tc>
          <w:tcPr>
            <w:tcW w:w="1223" w:type="dxa"/>
            <w:tcBorders>
              <w:top w:val="nil"/>
            </w:tcBorders>
          </w:tcPr>
          <w:p>
            <w:pPr>
              <w:pStyle w:val="TableParagraph"/>
              <w:spacing w:line="199" w:lineRule="exact"/>
              <w:ind w:left="350"/>
              <w:rPr>
                <w:sz w:val="18"/>
              </w:rPr>
            </w:pPr>
            <w:r>
              <w:rPr>
                <w:sz w:val="18"/>
              </w:rPr>
              <w:t>±260%</w:t>
            </w:r>
          </w:p>
        </w:tc>
        <w:tc>
          <w:tcPr>
            <w:tcW w:w="1221" w:type="dxa"/>
            <w:vMerge/>
            <w:tcBorders>
              <w:top w:val="nil"/>
            </w:tcBorders>
          </w:tcPr>
          <w:p>
            <w:pPr>
              <w:rPr>
                <w:sz w:val="2"/>
                <w:szCs w:val="2"/>
              </w:rPr>
            </w:pPr>
          </w:p>
        </w:tc>
        <w:tc>
          <w:tcPr>
            <w:tcW w:w="3443" w:type="dxa"/>
            <w:tcBorders>
              <w:top w:val="nil"/>
            </w:tcBorders>
          </w:tcPr>
          <w:p>
            <w:pPr>
              <w:pStyle w:val="TableParagraph"/>
              <w:spacing w:line="199" w:lineRule="exact"/>
              <w:ind w:left="88"/>
              <w:rPr>
                <w:sz w:val="18"/>
              </w:rPr>
            </w:pPr>
            <w:r>
              <w:rPr>
                <w:sz w:val="18"/>
              </w:rPr>
              <w:t>2000</w:t>
            </w:r>
          </w:p>
        </w:tc>
      </w:tr>
      <w:tr>
        <w:trPr>
          <w:trHeight w:val="243" w:hRule="atLeast"/>
        </w:trPr>
        <w:tc>
          <w:tcPr>
            <w:tcW w:w="1903" w:type="dxa"/>
            <w:tcBorders>
              <w:bottom w:val="nil"/>
            </w:tcBorders>
          </w:tcPr>
          <w:p>
            <w:pPr>
              <w:pStyle w:val="TableParagraph"/>
              <w:spacing w:line="186" w:lineRule="exact" w:before="38"/>
              <w:ind w:left="107"/>
              <w:rPr>
                <w:sz w:val="18"/>
              </w:rPr>
            </w:pPr>
            <w:r>
              <w:rPr>
                <w:sz w:val="18"/>
              </w:rPr>
              <w:t>Tropical,</w:t>
            </w:r>
          </w:p>
        </w:tc>
        <w:tc>
          <w:tcPr>
            <w:tcW w:w="1221" w:type="dxa"/>
            <w:tcBorders>
              <w:bottom w:val="nil"/>
            </w:tcBorders>
          </w:tcPr>
          <w:p>
            <w:pPr>
              <w:pStyle w:val="TableParagraph"/>
              <w:spacing w:line="186" w:lineRule="exact" w:before="38"/>
              <w:ind w:left="282" w:right="276"/>
              <w:jc w:val="center"/>
              <w:rPr>
                <w:sz w:val="18"/>
              </w:rPr>
            </w:pPr>
            <w:r>
              <w:rPr>
                <w:sz w:val="18"/>
              </w:rPr>
              <w:t>0.44</w:t>
            </w:r>
          </w:p>
        </w:tc>
        <w:tc>
          <w:tcPr>
            <w:tcW w:w="1223" w:type="dxa"/>
            <w:tcBorders>
              <w:bottom w:val="nil"/>
            </w:tcBorders>
          </w:tcPr>
          <w:p>
            <w:pPr>
              <w:pStyle w:val="TableParagraph"/>
              <w:spacing w:line="186" w:lineRule="exact" w:before="38"/>
              <w:ind w:left="454"/>
              <w:rPr>
                <w:sz w:val="18"/>
              </w:rPr>
            </w:pPr>
            <w:r>
              <w:rPr>
                <w:sz w:val="18"/>
              </w:rPr>
              <w:t>35.1</w:t>
            </w:r>
          </w:p>
        </w:tc>
        <w:tc>
          <w:tcPr>
            <w:tcW w:w="1221" w:type="dxa"/>
            <w:vMerge w:val="restart"/>
          </w:tcPr>
          <w:p>
            <w:pPr>
              <w:pStyle w:val="TableParagraph"/>
              <w:spacing w:before="141"/>
              <w:ind w:left="285" w:right="267"/>
              <w:jc w:val="center"/>
              <w:rPr>
                <w:sz w:val="18"/>
              </w:rPr>
            </w:pPr>
            <w:r>
              <w:rPr>
                <w:sz w:val="18"/>
              </w:rPr>
              <w:t>nm</w:t>
            </w:r>
          </w:p>
        </w:tc>
        <w:tc>
          <w:tcPr>
            <w:tcW w:w="3443" w:type="dxa"/>
            <w:tcBorders>
              <w:bottom w:val="nil"/>
            </w:tcBorders>
          </w:tcPr>
          <w:p>
            <w:pPr>
              <w:pStyle w:val="TableParagraph"/>
              <w:spacing w:line="186" w:lineRule="exact" w:before="38"/>
              <w:ind w:left="88"/>
              <w:rPr>
                <w:sz w:val="18"/>
              </w:rPr>
            </w:pPr>
            <w:r>
              <w:rPr>
                <w:sz w:val="18"/>
              </w:rPr>
              <w:t>Pinguelli Rosa </w:t>
            </w:r>
            <w:r>
              <w:rPr>
                <w:i/>
                <w:sz w:val="18"/>
              </w:rPr>
              <w:t>et al.</w:t>
            </w:r>
            <w:r>
              <w:rPr>
                <w:sz w:val="18"/>
              </w:rPr>
              <w:t>, 2002; Dos Santos,</w:t>
            </w:r>
          </w:p>
        </w:tc>
      </w:tr>
      <w:tr>
        <w:trPr>
          <w:trHeight w:val="245" w:hRule="atLeast"/>
        </w:trPr>
        <w:tc>
          <w:tcPr>
            <w:tcW w:w="1903" w:type="dxa"/>
            <w:tcBorders>
              <w:top w:val="nil"/>
            </w:tcBorders>
          </w:tcPr>
          <w:p>
            <w:pPr>
              <w:pStyle w:val="TableParagraph"/>
              <w:spacing w:line="198" w:lineRule="exact"/>
              <w:ind w:left="107"/>
              <w:rPr>
                <w:sz w:val="18"/>
              </w:rPr>
            </w:pPr>
            <w:r>
              <w:rPr>
                <w:sz w:val="18"/>
              </w:rPr>
              <w:t>moist-short dry season</w:t>
            </w:r>
          </w:p>
        </w:tc>
        <w:tc>
          <w:tcPr>
            <w:tcW w:w="1221" w:type="dxa"/>
            <w:tcBorders>
              <w:top w:val="nil"/>
            </w:tcBorders>
          </w:tcPr>
          <w:p>
            <w:pPr>
              <w:pStyle w:val="TableParagraph"/>
              <w:spacing w:line="198" w:lineRule="exact"/>
              <w:ind w:left="285" w:right="273"/>
              <w:jc w:val="center"/>
              <w:rPr>
                <w:sz w:val="18"/>
              </w:rPr>
            </w:pPr>
            <w:r>
              <w:rPr>
                <w:sz w:val="18"/>
              </w:rPr>
              <w:t>±465%</w:t>
            </w:r>
          </w:p>
        </w:tc>
        <w:tc>
          <w:tcPr>
            <w:tcW w:w="1223" w:type="dxa"/>
            <w:tcBorders>
              <w:top w:val="nil"/>
            </w:tcBorders>
          </w:tcPr>
          <w:p>
            <w:pPr>
              <w:pStyle w:val="TableParagraph"/>
              <w:spacing w:line="198" w:lineRule="exact"/>
              <w:ind w:left="350"/>
              <w:rPr>
                <w:sz w:val="18"/>
              </w:rPr>
            </w:pPr>
            <w:r>
              <w:rPr>
                <w:sz w:val="18"/>
              </w:rPr>
              <w:t>±290%</w:t>
            </w:r>
          </w:p>
        </w:tc>
        <w:tc>
          <w:tcPr>
            <w:tcW w:w="1221" w:type="dxa"/>
            <w:vMerge/>
            <w:tcBorders>
              <w:top w:val="nil"/>
            </w:tcBorders>
          </w:tcPr>
          <w:p>
            <w:pPr>
              <w:rPr>
                <w:sz w:val="2"/>
                <w:szCs w:val="2"/>
              </w:rPr>
            </w:pPr>
          </w:p>
        </w:tc>
        <w:tc>
          <w:tcPr>
            <w:tcW w:w="3443" w:type="dxa"/>
            <w:tcBorders>
              <w:top w:val="nil"/>
            </w:tcBorders>
          </w:tcPr>
          <w:p>
            <w:pPr>
              <w:pStyle w:val="TableParagraph"/>
              <w:spacing w:line="198" w:lineRule="exact"/>
              <w:ind w:left="88"/>
              <w:rPr>
                <w:sz w:val="18"/>
              </w:rPr>
            </w:pPr>
            <w:r>
              <w:rPr>
                <w:sz w:val="18"/>
              </w:rPr>
              <w:t>2000</w:t>
            </w:r>
          </w:p>
        </w:tc>
      </w:tr>
      <w:tr>
        <w:trPr>
          <w:trHeight w:val="244" w:hRule="atLeast"/>
        </w:trPr>
        <w:tc>
          <w:tcPr>
            <w:tcW w:w="1903" w:type="dxa"/>
            <w:vMerge w:val="restart"/>
          </w:tcPr>
          <w:p>
            <w:pPr>
              <w:pStyle w:val="TableParagraph"/>
              <w:spacing w:before="141"/>
              <w:ind w:left="107"/>
              <w:rPr>
                <w:sz w:val="18"/>
              </w:rPr>
            </w:pPr>
            <w:r>
              <w:rPr>
                <w:sz w:val="18"/>
              </w:rPr>
              <w:t>Tropical, dry</w:t>
            </w:r>
          </w:p>
        </w:tc>
        <w:tc>
          <w:tcPr>
            <w:tcW w:w="1221" w:type="dxa"/>
            <w:tcBorders>
              <w:bottom w:val="nil"/>
            </w:tcBorders>
          </w:tcPr>
          <w:p>
            <w:pPr>
              <w:pStyle w:val="TableParagraph"/>
              <w:spacing w:line="187" w:lineRule="exact" w:before="38"/>
              <w:ind w:left="285" w:right="275"/>
              <w:jc w:val="center"/>
              <w:rPr>
                <w:sz w:val="18"/>
              </w:rPr>
            </w:pPr>
            <w:r>
              <w:rPr>
                <w:sz w:val="18"/>
              </w:rPr>
              <w:t>0.3</w:t>
            </w:r>
          </w:p>
        </w:tc>
        <w:tc>
          <w:tcPr>
            <w:tcW w:w="1223" w:type="dxa"/>
            <w:tcBorders>
              <w:bottom w:val="nil"/>
            </w:tcBorders>
          </w:tcPr>
          <w:p>
            <w:pPr>
              <w:pStyle w:val="TableParagraph"/>
              <w:spacing w:line="187" w:lineRule="exact" w:before="38"/>
              <w:ind w:left="454"/>
              <w:rPr>
                <w:sz w:val="18"/>
              </w:rPr>
            </w:pPr>
            <w:r>
              <w:rPr>
                <w:sz w:val="18"/>
              </w:rPr>
              <w:t>58.7</w:t>
            </w:r>
          </w:p>
        </w:tc>
        <w:tc>
          <w:tcPr>
            <w:tcW w:w="1221" w:type="dxa"/>
            <w:vMerge w:val="restart"/>
          </w:tcPr>
          <w:p>
            <w:pPr>
              <w:pStyle w:val="TableParagraph"/>
              <w:spacing w:before="141"/>
              <w:ind w:left="285" w:right="267"/>
              <w:jc w:val="center"/>
              <w:rPr>
                <w:sz w:val="18"/>
              </w:rPr>
            </w:pPr>
            <w:r>
              <w:rPr>
                <w:sz w:val="18"/>
              </w:rPr>
              <w:t>nm</w:t>
            </w:r>
          </w:p>
        </w:tc>
        <w:tc>
          <w:tcPr>
            <w:tcW w:w="3443" w:type="dxa"/>
            <w:tcBorders>
              <w:bottom w:val="nil"/>
            </w:tcBorders>
          </w:tcPr>
          <w:p>
            <w:pPr>
              <w:pStyle w:val="TableParagraph"/>
              <w:spacing w:line="187" w:lineRule="exact" w:before="38"/>
              <w:ind w:left="88"/>
              <w:rPr>
                <w:sz w:val="18"/>
              </w:rPr>
            </w:pPr>
            <w:r>
              <w:rPr>
                <w:sz w:val="18"/>
              </w:rPr>
              <w:t>Pinguelli Rosa </w:t>
            </w:r>
            <w:r>
              <w:rPr>
                <w:i/>
                <w:sz w:val="18"/>
              </w:rPr>
              <w:t>et al.</w:t>
            </w:r>
            <w:r>
              <w:rPr>
                <w:sz w:val="18"/>
              </w:rPr>
              <w:t>, 2002; Dos Santos,</w:t>
            </w:r>
          </w:p>
        </w:tc>
      </w:tr>
      <w:tr>
        <w:trPr>
          <w:trHeight w:val="246" w:hRule="atLeast"/>
        </w:trPr>
        <w:tc>
          <w:tcPr>
            <w:tcW w:w="1903" w:type="dxa"/>
            <w:vMerge/>
            <w:tcBorders>
              <w:top w:val="nil"/>
            </w:tcBorders>
          </w:tcPr>
          <w:p>
            <w:pPr>
              <w:rPr>
                <w:sz w:val="2"/>
                <w:szCs w:val="2"/>
              </w:rPr>
            </w:pPr>
          </w:p>
        </w:tc>
        <w:tc>
          <w:tcPr>
            <w:tcW w:w="1221" w:type="dxa"/>
            <w:tcBorders>
              <w:top w:val="nil"/>
            </w:tcBorders>
          </w:tcPr>
          <w:p>
            <w:pPr>
              <w:pStyle w:val="TableParagraph"/>
              <w:spacing w:line="199" w:lineRule="exact"/>
              <w:ind w:left="285" w:right="273"/>
              <w:jc w:val="center"/>
              <w:rPr>
                <w:sz w:val="18"/>
              </w:rPr>
            </w:pPr>
            <w:r>
              <w:rPr>
                <w:sz w:val="18"/>
              </w:rPr>
              <w:t>±115%</w:t>
            </w:r>
          </w:p>
        </w:tc>
        <w:tc>
          <w:tcPr>
            <w:tcW w:w="1223" w:type="dxa"/>
            <w:tcBorders>
              <w:top w:val="nil"/>
            </w:tcBorders>
          </w:tcPr>
          <w:p>
            <w:pPr>
              <w:pStyle w:val="TableParagraph"/>
              <w:spacing w:line="199" w:lineRule="exact"/>
              <w:ind w:left="350"/>
              <w:rPr>
                <w:sz w:val="18"/>
              </w:rPr>
            </w:pPr>
            <w:r>
              <w:rPr>
                <w:sz w:val="18"/>
              </w:rPr>
              <w:t>±270%</w:t>
            </w:r>
          </w:p>
        </w:tc>
        <w:tc>
          <w:tcPr>
            <w:tcW w:w="1221" w:type="dxa"/>
            <w:vMerge/>
            <w:tcBorders>
              <w:top w:val="nil"/>
            </w:tcBorders>
          </w:tcPr>
          <w:p>
            <w:pPr>
              <w:rPr>
                <w:sz w:val="2"/>
                <w:szCs w:val="2"/>
              </w:rPr>
            </w:pPr>
          </w:p>
        </w:tc>
        <w:tc>
          <w:tcPr>
            <w:tcW w:w="3443" w:type="dxa"/>
            <w:tcBorders>
              <w:top w:val="nil"/>
            </w:tcBorders>
          </w:tcPr>
          <w:p>
            <w:pPr>
              <w:pStyle w:val="TableParagraph"/>
              <w:spacing w:line="199" w:lineRule="exact"/>
              <w:ind w:left="88"/>
              <w:rPr>
                <w:sz w:val="18"/>
              </w:rPr>
            </w:pPr>
            <w:r>
              <w:rPr>
                <w:sz w:val="18"/>
              </w:rPr>
              <w:t>2000</w:t>
            </w:r>
          </w:p>
        </w:tc>
      </w:tr>
      <w:tr>
        <w:trPr>
          <w:trHeight w:val="443" w:hRule="atLeast"/>
        </w:trPr>
        <w:tc>
          <w:tcPr>
            <w:tcW w:w="1903" w:type="dxa"/>
          </w:tcPr>
          <w:p>
            <w:pPr>
              <w:pStyle w:val="TableParagraph"/>
              <w:rPr>
                <w:sz w:val="18"/>
              </w:rPr>
            </w:pPr>
          </w:p>
        </w:tc>
        <w:tc>
          <w:tcPr>
            <w:tcW w:w="3665" w:type="dxa"/>
            <w:gridSpan w:val="3"/>
          </w:tcPr>
          <w:p>
            <w:pPr>
              <w:pStyle w:val="TableParagraph"/>
              <w:spacing w:line="206" w:lineRule="exact" w:before="17"/>
              <w:ind w:left="825" w:right="430" w:hanging="329"/>
              <w:rPr>
                <w:b/>
                <w:sz w:val="18"/>
              </w:rPr>
            </w:pPr>
            <w:r>
              <w:rPr>
                <w:b/>
                <w:sz w:val="18"/>
              </w:rPr>
              <w:t>Bubbles emissions (ice-free period) E</w:t>
            </w:r>
            <w:r>
              <w:rPr>
                <w:b/>
                <w:sz w:val="18"/>
                <w:vertAlign w:val="subscript"/>
              </w:rPr>
              <w:t>f</w:t>
            </w:r>
            <w:r>
              <w:rPr>
                <w:b/>
                <w:sz w:val="18"/>
                <w:vertAlign w:val="baseline"/>
              </w:rPr>
              <w:t> (GHG)</w:t>
            </w:r>
            <w:r>
              <w:rPr>
                <w:b/>
                <w:sz w:val="18"/>
                <w:vertAlign w:val="subscript"/>
              </w:rPr>
              <w:t>bubble</w:t>
            </w:r>
            <w:r>
              <w:rPr>
                <w:b/>
                <w:sz w:val="18"/>
                <w:vertAlign w:val="baseline"/>
              </w:rPr>
              <w:t> (kg ha</w:t>
            </w:r>
            <w:r>
              <w:rPr>
                <w:b/>
                <w:sz w:val="18"/>
                <w:vertAlign w:val="superscript"/>
              </w:rPr>
              <w:t>-1</w:t>
            </w:r>
            <w:r>
              <w:rPr>
                <w:b/>
                <w:sz w:val="18"/>
                <w:vertAlign w:val="baseline"/>
              </w:rPr>
              <w:t> d</w:t>
            </w:r>
            <w:r>
              <w:rPr>
                <w:b/>
                <w:sz w:val="18"/>
                <w:vertAlign w:val="superscript"/>
              </w:rPr>
              <w:t>-1</w:t>
            </w:r>
            <w:r>
              <w:rPr>
                <w:b/>
                <w:sz w:val="18"/>
                <w:vertAlign w:val="baseline"/>
              </w:rPr>
              <w:t>)</w:t>
            </w:r>
          </w:p>
        </w:tc>
        <w:tc>
          <w:tcPr>
            <w:tcW w:w="3443" w:type="dxa"/>
          </w:tcPr>
          <w:p>
            <w:pPr>
              <w:pStyle w:val="TableParagraph"/>
              <w:rPr>
                <w:sz w:val="18"/>
              </w:rPr>
            </w:pPr>
          </w:p>
        </w:tc>
      </w:tr>
      <w:tr>
        <w:trPr>
          <w:trHeight w:val="501" w:hRule="atLeast"/>
        </w:trPr>
        <w:tc>
          <w:tcPr>
            <w:tcW w:w="1903" w:type="dxa"/>
          </w:tcPr>
          <w:p>
            <w:pPr>
              <w:pStyle w:val="TableParagraph"/>
              <w:spacing w:before="141"/>
              <w:ind w:left="107"/>
              <w:rPr>
                <w:sz w:val="18"/>
              </w:rPr>
            </w:pPr>
            <w:r>
              <w:rPr>
                <w:sz w:val="18"/>
              </w:rPr>
              <w:t>Boreal, wet</w:t>
            </w:r>
          </w:p>
        </w:tc>
        <w:tc>
          <w:tcPr>
            <w:tcW w:w="1221" w:type="dxa"/>
          </w:tcPr>
          <w:p>
            <w:pPr>
              <w:pStyle w:val="TableParagraph"/>
              <w:spacing w:line="207" w:lineRule="exact" w:before="38"/>
              <w:ind w:left="282" w:right="276"/>
              <w:jc w:val="center"/>
              <w:rPr>
                <w:sz w:val="18"/>
              </w:rPr>
            </w:pPr>
            <w:r>
              <w:rPr>
                <w:sz w:val="18"/>
              </w:rPr>
              <w:t>0.29</w:t>
            </w:r>
          </w:p>
          <w:p>
            <w:pPr>
              <w:pStyle w:val="TableParagraph"/>
              <w:spacing w:line="207" w:lineRule="exact"/>
              <w:ind w:left="285" w:right="273"/>
              <w:jc w:val="center"/>
              <w:rPr>
                <w:sz w:val="18"/>
              </w:rPr>
            </w:pPr>
            <w:r>
              <w:rPr>
                <w:sz w:val="18"/>
              </w:rPr>
              <w:t>±160%</w:t>
            </w:r>
          </w:p>
        </w:tc>
        <w:tc>
          <w:tcPr>
            <w:tcW w:w="1223" w:type="dxa"/>
          </w:tcPr>
          <w:p>
            <w:pPr>
              <w:pStyle w:val="TableParagraph"/>
              <w:spacing w:before="141"/>
              <w:ind w:left="213" w:right="202"/>
              <w:jc w:val="center"/>
              <w:rPr>
                <w:sz w:val="18"/>
              </w:rPr>
            </w:pPr>
            <w:r>
              <w:rPr>
                <w:sz w:val="18"/>
              </w:rPr>
              <w:t>ns</w:t>
            </w:r>
          </w:p>
        </w:tc>
        <w:tc>
          <w:tcPr>
            <w:tcW w:w="1221" w:type="dxa"/>
          </w:tcPr>
          <w:p>
            <w:pPr>
              <w:pStyle w:val="TableParagraph"/>
              <w:spacing w:before="141"/>
              <w:ind w:left="285" w:right="270"/>
              <w:jc w:val="center"/>
              <w:rPr>
                <w:sz w:val="18"/>
              </w:rPr>
            </w:pPr>
            <w:r>
              <w:rPr>
                <w:sz w:val="18"/>
              </w:rPr>
              <w:t>ns</w:t>
            </w:r>
          </w:p>
        </w:tc>
        <w:tc>
          <w:tcPr>
            <w:tcW w:w="3443" w:type="dxa"/>
          </w:tcPr>
          <w:p>
            <w:pPr>
              <w:pStyle w:val="TableParagraph"/>
              <w:spacing w:line="207" w:lineRule="exact" w:before="38"/>
              <w:ind w:left="88"/>
              <w:rPr>
                <w:sz w:val="18"/>
              </w:rPr>
            </w:pPr>
            <w:r>
              <w:rPr>
                <w:sz w:val="18"/>
              </w:rPr>
              <w:t>Duchemin, 2000, Huttunen </w:t>
            </w:r>
            <w:r>
              <w:rPr>
                <w:i/>
                <w:sz w:val="18"/>
              </w:rPr>
              <w:t>et al.</w:t>
            </w:r>
            <w:r>
              <w:rPr>
                <w:sz w:val="18"/>
              </w:rPr>
              <w:t>, 2002;</w:t>
            </w:r>
          </w:p>
          <w:p>
            <w:pPr>
              <w:pStyle w:val="TableParagraph"/>
              <w:spacing w:line="207" w:lineRule="exact"/>
              <w:ind w:left="88"/>
              <w:rPr>
                <w:sz w:val="18"/>
              </w:rPr>
            </w:pPr>
            <w:r>
              <w:rPr>
                <w:sz w:val="18"/>
              </w:rPr>
              <w:t>Schlellhase, 1994</w:t>
            </w:r>
          </w:p>
        </w:tc>
      </w:tr>
      <w:tr>
        <w:trPr>
          <w:trHeight w:val="498" w:hRule="atLeast"/>
        </w:trPr>
        <w:tc>
          <w:tcPr>
            <w:tcW w:w="1903" w:type="dxa"/>
          </w:tcPr>
          <w:p>
            <w:pPr>
              <w:pStyle w:val="TableParagraph"/>
              <w:spacing w:before="141"/>
              <w:ind w:left="107"/>
              <w:rPr>
                <w:sz w:val="18"/>
              </w:rPr>
            </w:pPr>
            <w:r>
              <w:rPr>
                <w:sz w:val="18"/>
              </w:rPr>
              <w:t>Cold temperate, wet</w:t>
            </w:r>
          </w:p>
        </w:tc>
        <w:tc>
          <w:tcPr>
            <w:tcW w:w="1221" w:type="dxa"/>
          </w:tcPr>
          <w:p>
            <w:pPr>
              <w:pStyle w:val="TableParagraph"/>
              <w:spacing w:line="207" w:lineRule="exact" w:before="38"/>
              <w:ind w:left="282" w:right="276"/>
              <w:jc w:val="center"/>
              <w:rPr>
                <w:sz w:val="18"/>
              </w:rPr>
            </w:pPr>
            <w:r>
              <w:rPr>
                <w:sz w:val="18"/>
              </w:rPr>
              <w:t>0.14</w:t>
            </w:r>
          </w:p>
          <w:p>
            <w:pPr>
              <w:pStyle w:val="TableParagraph"/>
              <w:spacing w:line="207" w:lineRule="exact"/>
              <w:ind w:left="285" w:right="273"/>
              <w:jc w:val="center"/>
              <w:rPr>
                <w:sz w:val="18"/>
              </w:rPr>
            </w:pPr>
            <w:r>
              <w:rPr>
                <w:sz w:val="18"/>
              </w:rPr>
              <w:t>±70%</w:t>
            </w:r>
          </w:p>
        </w:tc>
        <w:tc>
          <w:tcPr>
            <w:tcW w:w="1223" w:type="dxa"/>
          </w:tcPr>
          <w:p>
            <w:pPr>
              <w:pStyle w:val="TableParagraph"/>
              <w:spacing w:before="141"/>
              <w:ind w:left="213" w:right="202"/>
              <w:jc w:val="center"/>
              <w:rPr>
                <w:sz w:val="18"/>
              </w:rPr>
            </w:pPr>
            <w:r>
              <w:rPr>
                <w:sz w:val="18"/>
              </w:rPr>
              <w:t>ns</w:t>
            </w:r>
          </w:p>
        </w:tc>
        <w:tc>
          <w:tcPr>
            <w:tcW w:w="1221" w:type="dxa"/>
          </w:tcPr>
          <w:p>
            <w:pPr>
              <w:pStyle w:val="TableParagraph"/>
              <w:spacing w:before="141"/>
              <w:ind w:left="285" w:right="270"/>
              <w:jc w:val="center"/>
              <w:rPr>
                <w:sz w:val="18"/>
              </w:rPr>
            </w:pPr>
            <w:r>
              <w:rPr>
                <w:sz w:val="18"/>
              </w:rPr>
              <w:t>ns</w:t>
            </w:r>
          </w:p>
        </w:tc>
        <w:tc>
          <w:tcPr>
            <w:tcW w:w="3443" w:type="dxa"/>
          </w:tcPr>
          <w:p>
            <w:pPr>
              <w:pStyle w:val="TableParagraph"/>
              <w:spacing w:before="38"/>
              <w:ind w:left="88" w:right="425"/>
              <w:rPr>
                <w:sz w:val="18"/>
              </w:rPr>
            </w:pPr>
            <w:r>
              <w:rPr>
                <w:sz w:val="18"/>
              </w:rPr>
              <w:t>Duchemin, 2002a; St-Louis </w:t>
            </w:r>
            <w:r>
              <w:rPr>
                <w:i/>
                <w:sz w:val="18"/>
              </w:rPr>
              <w:t>et al.</w:t>
            </w:r>
            <w:r>
              <w:rPr>
                <w:sz w:val="18"/>
              </w:rPr>
              <w:t>, 2000; Smith and Lewis, 1992</w:t>
            </w:r>
          </w:p>
        </w:tc>
      </w:tr>
      <w:tr>
        <w:trPr>
          <w:trHeight w:val="501" w:hRule="atLeast"/>
        </w:trPr>
        <w:tc>
          <w:tcPr>
            <w:tcW w:w="1903" w:type="dxa"/>
          </w:tcPr>
          <w:p>
            <w:pPr>
              <w:pStyle w:val="TableParagraph"/>
              <w:spacing w:before="141"/>
              <w:ind w:left="107"/>
              <w:rPr>
                <w:sz w:val="18"/>
              </w:rPr>
            </w:pPr>
            <w:r>
              <w:rPr>
                <w:sz w:val="18"/>
              </w:rPr>
              <w:t>Tropical, wet</w:t>
            </w:r>
          </w:p>
        </w:tc>
        <w:tc>
          <w:tcPr>
            <w:tcW w:w="1221" w:type="dxa"/>
          </w:tcPr>
          <w:p>
            <w:pPr>
              <w:pStyle w:val="TableParagraph"/>
              <w:spacing w:line="207" w:lineRule="exact" w:before="38"/>
              <w:ind w:left="282" w:right="276"/>
              <w:jc w:val="center"/>
              <w:rPr>
                <w:sz w:val="18"/>
              </w:rPr>
            </w:pPr>
            <w:r>
              <w:rPr>
                <w:sz w:val="18"/>
              </w:rPr>
              <w:t>2.83</w:t>
            </w:r>
          </w:p>
          <w:p>
            <w:pPr>
              <w:pStyle w:val="TableParagraph"/>
              <w:spacing w:line="207" w:lineRule="exact"/>
              <w:ind w:left="285" w:right="273"/>
              <w:jc w:val="center"/>
              <w:rPr>
                <w:sz w:val="18"/>
              </w:rPr>
            </w:pPr>
            <w:r>
              <w:rPr>
                <w:sz w:val="18"/>
              </w:rPr>
              <w:t>±45%</w:t>
            </w:r>
          </w:p>
        </w:tc>
        <w:tc>
          <w:tcPr>
            <w:tcW w:w="1223" w:type="dxa"/>
          </w:tcPr>
          <w:p>
            <w:pPr>
              <w:pStyle w:val="TableParagraph"/>
              <w:spacing w:before="141"/>
              <w:ind w:left="213" w:right="202"/>
              <w:jc w:val="center"/>
              <w:rPr>
                <w:sz w:val="18"/>
              </w:rPr>
            </w:pPr>
            <w:r>
              <w:rPr>
                <w:sz w:val="18"/>
              </w:rPr>
              <w:t>ns</w:t>
            </w:r>
          </w:p>
        </w:tc>
        <w:tc>
          <w:tcPr>
            <w:tcW w:w="1221" w:type="dxa"/>
          </w:tcPr>
          <w:p>
            <w:pPr>
              <w:pStyle w:val="TableParagraph"/>
              <w:spacing w:before="141"/>
              <w:ind w:left="285" w:right="270"/>
              <w:jc w:val="center"/>
              <w:rPr>
                <w:sz w:val="18"/>
              </w:rPr>
            </w:pPr>
            <w:r>
              <w:rPr>
                <w:sz w:val="18"/>
              </w:rPr>
              <w:t>ns</w:t>
            </w:r>
          </w:p>
        </w:tc>
        <w:tc>
          <w:tcPr>
            <w:tcW w:w="3443" w:type="dxa"/>
          </w:tcPr>
          <w:p>
            <w:pPr>
              <w:pStyle w:val="TableParagraph"/>
              <w:spacing w:before="38"/>
              <w:ind w:left="88" w:right="235"/>
              <w:rPr>
                <w:sz w:val="18"/>
              </w:rPr>
            </w:pPr>
            <w:r>
              <w:rPr>
                <w:sz w:val="18"/>
              </w:rPr>
              <w:t>Galy-Lacaux </w:t>
            </w:r>
            <w:r>
              <w:rPr>
                <w:i/>
                <w:sz w:val="18"/>
              </w:rPr>
              <w:t>et al.</w:t>
            </w:r>
            <w:r>
              <w:rPr>
                <w:sz w:val="18"/>
              </w:rPr>
              <w:t>, 1997; Duchemin </w:t>
            </w:r>
            <w:r>
              <w:rPr>
                <w:i/>
                <w:sz w:val="18"/>
              </w:rPr>
              <w:t>et al.</w:t>
            </w:r>
            <w:r>
              <w:rPr>
                <w:sz w:val="18"/>
              </w:rPr>
              <w:t>, 2000; Pinguelli Rosa </w:t>
            </w:r>
            <w:r>
              <w:rPr>
                <w:i/>
                <w:sz w:val="18"/>
              </w:rPr>
              <w:t>et al.</w:t>
            </w:r>
            <w:r>
              <w:rPr>
                <w:sz w:val="18"/>
              </w:rPr>
              <w:t>, 2002</w:t>
            </w:r>
          </w:p>
        </w:tc>
      </w:tr>
      <w:tr>
        <w:trPr>
          <w:trHeight w:val="498" w:hRule="atLeast"/>
        </w:trPr>
        <w:tc>
          <w:tcPr>
            <w:tcW w:w="1903" w:type="dxa"/>
          </w:tcPr>
          <w:p>
            <w:pPr>
              <w:pStyle w:val="TableParagraph"/>
              <w:spacing w:line="207" w:lineRule="exact" w:before="38"/>
              <w:ind w:left="107"/>
              <w:rPr>
                <w:sz w:val="18"/>
              </w:rPr>
            </w:pPr>
            <w:r>
              <w:rPr>
                <w:sz w:val="18"/>
              </w:rPr>
              <w:t>Tropical,</w:t>
            </w:r>
          </w:p>
          <w:p>
            <w:pPr>
              <w:pStyle w:val="TableParagraph"/>
              <w:spacing w:line="207" w:lineRule="exact"/>
              <w:ind w:left="107"/>
              <w:rPr>
                <w:sz w:val="18"/>
              </w:rPr>
            </w:pPr>
            <w:r>
              <w:rPr>
                <w:sz w:val="18"/>
              </w:rPr>
              <w:t>moist-long dry season</w:t>
            </w:r>
          </w:p>
        </w:tc>
        <w:tc>
          <w:tcPr>
            <w:tcW w:w="1221" w:type="dxa"/>
          </w:tcPr>
          <w:p>
            <w:pPr>
              <w:pStyle w:val="TableParagraph"/>
              <w:spacing w:line="207" w:lineRule="exact" w:before="38"/>
              <w:ind w:left="285" w:right="275"/>
              <w:jc w:val="center"/>
              <w:rPr>
                <w:sz w:val="18"/>
              </w:rPr>
            </w:pPr>
            <w:r>
              <w:rPr>
                <w:sz w:val="18"/>
              </w:rPr>
              <w:t>1.9</w:t>
            </w:r>
          </w:p>
          <w:p>
            <w:pPr>
              <w:pStyle w:val="TableParagraph"/>
              <w:spacing w:line="207" w:lineRule="exact"/>
              <w:ind w:left="285" w:right="273"/>
              <w:jc w:val="center"/>
              <w:rPr>
                <w:sz w:val="18"/>
              </w:rPr>
            </w:pPr>
            <w:r>
              <w:rPr>
                <w:sz w:val="18"/>
              </w:rPr>
              <w:t>±155%</w:t>
            </w:r>
          </w:p>
        </w:tc>
        <w:tc>
          <w:tcPr>
            <w:tcW w:w="1223" w:type="dxa"/>
          </w:tcPr>
          <w:p>
            <w:pPr>
              <w:pStyle w:val="TableParagraph"/>
              <w:spacing w:before="141"/>
              <w:ind w:left="213" w:right="203"/>
              <w:jc w:val="center"/>
              <w:rPr>
                <w:sz w:val="18"/>
              </w:rPr>
            </w:pPr>
            <w:r>
              <w:rPr>
                <w:sz w:val="18"/>
              </w:rPr>
              <w:t>ns</w:t>
            </w:r>
          </w:p>
        </w:tc>
        <w:tc>
          <w:tcPr>
            <w:tcW w:w="1221" w:type="dxa"/>
          </w:tcPr>
          <w:p>
            <w:pPr>
              <w:pStyle w:val="TableParagraph"/>
              <w:spacing w:before="141"/>
              <w:ind w:left="285" w:right="271"/>
              <w:jc w:val="center"/>
              <w:rPr>
                <w:sz w:val="18"/>
              </w:rPr>
            </w:pPr>
            <w:r>
              <w:rPr>
                <w:sz w:val="18"/>
              </w:rPr>
              <w:t>ns</w:t>
            </w:r>
          </w:p>
        </w:tc>
        <w:tc>
          <w:tcPr>
            <w:tcW w:w="3443" w:type="dxa"/>
          </w:tcPr>
          <w:p>
            <w:pPr>
              <w:pStyle w:val="TableParagraph"/>
              <w:spacing w:before="141"/>
              <w:ind w:left="89"/>
              <w:rPr>
                <w:sz w:val="18"/>
              </w:rPr>
            </w:pPr>
            <w:r>
              <w:rPr>
                <w:sz w:val="18"/>
              </w:rPr>
              <w:t>Pinguelli Rosa </w:t>
            </w:r>
            <w:r>
              <w:rPr>
                <w:i/>
                <w:sz w:val="18"/>
              </w:rPr>
              <w:t>et al.</w:t>
            </w:r>
            <w:r>
              <w:rPr>
                <w:sz w:val="18"/>
              </w:rPr>
              <w:t>, 2002</w:t>
            </w:r>
          </w:p>
        </w:tc>
      </w:tr>
      <w:tr>
        <w:trPr>
          <w:trHeight w:val="501" w:hRule="atLeast"/>
        </w:trPr>
        <w:tc>
          <w:tcPr>
            <w:tcW w:w="1903" w:type="dxa"/>
          </w:tcPr>
          <w:p>
            <w:pPr>
              <w:pStyle w:val="TableParagraph"/>
              <w:spacing w:line="207" w:lineRule="exact" w:before="38"/>
              <w:ind w:left="107"/>
              <w:rPr>
                <w:sz w:val="18"/>
              </w:rPr>
            </w:pPr>
            <w:r>
              <w:rPr>
                <w:sz w:val="18"/>
              </w:rPr>
              <w:t>Tropical,</w:t>
            </w:r>
          </w:p>
          <w:p>
            <w:pPr>
              <w:pStyle w:val="TableParagraph"/>
              <w:spacing w:line="207" w:lineRule="exact"/>
              <w:ind w:left="107"/>
              <w:rPr>
                <w:sz w:val="18"/>
              </w:rPr>
            </w:pPr>
            <w:r>
              <w:rPr>
                <w:sz w:val="18"/>
              </w:rPr>
              <w:t>moist-short dry season</w:t>
            </w:r>
          </w:p>
        </w:tc>
        <w:tc>
          <w:tcPr>
            <w:tcW w:w="1221" w:type="dxa"/>
          </w:tcPr>
          <w:p>
            <w:pPr>
              <w:pStyle w:val="TableParagraph"/>
              <w:spacing w:line="207" w:lineRule="exact" w:before="38"/>
              <w:ind w:left="282" w:right="276"/>
              <w:jc w:val="center"/>
              <w:rPr>
                <w:sz w:val="18"/>
              </w:rPr>
            </w:pPr>
            <w:r>
              <w:rPr>
                <w:sz w:val="18"/>
              </w:rPr>
              <w:t>0.13</w:t>
            </w:r>
          </w:p>
          <w:p>
            <w:pPr>
              <w:pStyle w:val="TableParagraph"/>
              <w:spacing w:line="207" w:lineRule="exact"/>
              <w:ind w:left="285" w:right="273"/>
              <w:jc w:val="center"/>
              <w:rPr>
                <w:sz w:val="18"/>
              </w:rPr>
            </w:pPr>
            <w:r>
              <w:rPr>
                <w:sz w:val="18"/>
              </w:rPr>
              <w:t>±135%</w:t>
            </w:r>
          </w:p>
        </w:tc>
        <w:tc>
          <w:tcPr>
            <w:tcW w:w="1223" w:type="dxa"/>
          </w:tcPr>
          <w:p>
            <w:pPr>
              <w:pStyle w:val="TableParagraph"/>
              <w:spacing w:before="141"/>
              <w:ind w:left="213" w:right="203"/>
              <w:jc w:val="center"/>
              <w:rPr>
                <w:sz w:val="18"/>
              </w:rPr>
            </w:pPr>
            <w:r>
              <w:rPr>
                <w:sz w:val="18"/>
              </w:rPr>
              <w:t>ns</w:t>
            </w:r>
          </w:p>
        </w:tc>
        <w:tc>
          <w:tcPr>
            <w:tcW w:w="1221" w:type="dxa"/>
          </w:tcPr>
          <w:p>
            <w:pPr>
              <w:pStyle w:val="TableParagraph"/>
              <w:spacing w:before="141"/>
              <w:ind w:left="285" w:right="271"/>
              <w:jc w:val="center"/>
              <w:rPr>
                <w:sz w:val="18"/>
              </w:rPr>
            </w:pPr>
            <w:r>
              <w:rPr>
                <w:sz w:val="18"/>
              </w:rPr>
              <w:t>ns</w:t>
            </w:r>
          </w:p>
        </w:tc>
        <w:tc>
          <w:tcPr>
            <w:tcW w:w="3443" w:type="dxa"/>
          </w:tcPr>
          <w:p>
            <w:pPr>
              <w:pStyle w:val="TableParagraph"/>
              <w:spacing w:before="141"/>
              <w:ind w:left="89"/>
              <w:rPr>
                <w:sz w:val="18"/>
              </w:rPr>
            </w:pPr>
            <w:r>
              <w:rPr>
                <w:sz w:val="18"/>
              </w:rPr>
              <w:t>Pinguelli Rosa </w:t>
            </w:r>
            <w:r>
              <w:rPr>
                <w:i/>
                <w:sz w:val="18"/>
              </w:rPr>
              <w:t>et al.</w:t>
            </w:r>
            <w:r>
              <w:rPr>
                <w:sz w:val="18"/>
              </w:rPr>
              <w:t>, 2002</w:t>
            </w:r>
          </w:p>
        </w:tc>
      </w:tr>
      <w:tr>
        <w:trPr>
          <w:trHeight w:val="498" w:hRule="atLeast"/>
        </w:trPr>
        <w:tc>
          <w:tcPr>
            <w:tcW w:w="1903" w:type="dxa"/>
          </w:tcPr>
          <w:p>
            <w:pPr>
              <w:pStyle w:val="TableParagraph"/>
              <w:spacing w:before="141"/>
              <w:ind w:left="107"/>
              <w:rPr>
                <w:sz w:val="18"/>
              </w:rPr>
            </w:pPr>
            <w:r>
              <w:rPr>
                <w:sz w:val="18"/>
              </w:rPr>
              <w:t>Tropical, dry</w:t>
            </w:r>
          </w:p>
        </w:tc>
        <w:tc>
          <w:tcPr>
            <w:tcW w:w="1221" w:type="dxa"/>
          </w:tcPr>
          <w:p>
            <w:pPr>
              <w:pStyle w:val="TableParagraph"/>
              <w:spacing w:line="207" w:lineRule="exact" w:before="38"/>
              <w:ind w:left="285" w:right="275"/>
              <w:jc w:val="center"/>
              <w:rPr>
                <w:sz w:val="18"/>
              </w:rPr>
            </w:pPr>
            <w:r>
              <w:rPr>
                <w:sz w:val="18"/>
              </w:rPr>
              <w:t>0.3</w:t>
            </w:r>
          </w:p>
          <w:p>
            <w:pPr>
              <w:pStyle w:val="TableParagraph"/>
              <w:spacing w:line="207" w:lineRule="exact"/>
              <w:ind w:left="285" w:right="273"/>
              <w:jc w:val="center"/>
              <w:rPr>
                <w:sz w:val="18"/>
              </w:rPr>
            </w:pPr>
            <w:r>
              <w:rPr>
                <w:sz w:val="18"/>
              </w:rPr>
              <w:t>±324%</w:t>
            </w:r>
          </w:p>
        </w:tc>
        <w:tc>
          <w:tcPr>
            <w:tcW w:w="1223" w:type="dxa"/>
          </w:tcPr>
          <w:p>
            <w:pPr>
              <w:pStyle w:val="TableParagraph"/>
              <w:spacing w:before="141"/>
              <w:ind w:left="213" w:right="203"/>
              <w:jc w:val="center"/>
              <w:rPr>
                <w:sz w:val="18"/>
              </w:rPr>
            </w:pPr>
            <w:r>
              <w:rPr>
                <w:sz w:val="18"/>
              </w:rPr>
              <w:t>ns</w:t>
            </w:r>
          </w:p>
        </w:tc>
        <w:tc>
          <w:tcPr>
            <w:tcW w:w="1221" w:type="dxa"/>
          </w:tcPr>
          <w:p>
            <w:pPr>
              <w:pStyle w:val="TableParagraph"/>
              <w:spacing w:before="141"/>
              <w:ind w:left="285" w:right="271"/>
              <w:jc w:val="center"/>
              <w:rPr>
                <w:sz w:val="18"/>
              </w:rPr>
            </w:pPr>
            <w:r>
              <w:rPr>
                <w:sz w:val="18"/>
              </w:rPr>
              <w:t>ns</w:t>
            </w:r>
          </w:p>
        </w:tc>
        <w:tc>
          <w:tcPr>
            <w:tcW w:w="3443" w:type="dxa"/>
          </w:tcPr>
          <w:p>
            <w:pPr>
              <w:pStyle w:val="TableParagraph"/>
              <w:spacing w:before="141"/>
              <w:ind w:left="89"/>
              <w:rPr>
                <w:sz w:val="18"/>
              </w:rPr>
            </w:pPr>
            <w:r>
              <w:rPr>
                <w:sz w:val="18"/>
              </w:rPr>
              <w:t>Pinguelli Rosa </w:t>
            </w:r>
            <w:r>
              <w:rPr>
                <w:i/>
                <w:sz w:val="18"/>
              </w:rPr>
              <w:t>et al.</w:t>
            </w:r>
            <w:r>
              <w:rPr>
                <w:sz w:val="18"/>
              </w:rPr>
              <w:t>, 2002</w:t>
            </w:r>
          </w:p>
        </w:tc>
      </w:tr>
      <w:tr>
        <w:trPr>
          <w:trHeight w:val="827" w:hRule="atLeast"/>
        </w:trPr>
        <w:tc>
          <w:tcPr>
            <w:tcW w:w="1903" w:type="dxa"/>
          </w:tcPr>
          <w:p>
            <w:pPr>
              <w:pStyle w:val="TableParagraph"/>
              <w:rPr>
                <w:sz w:val="18"/>
              </w:rPr>
            </w:pPr>
          </w:p>
        </w:tc>
        <w:tc>
          <w:tcPr>
            <w:tcW w:w="3665" w:type="dxa"/>
            <w:gridSpan w:val="3"/>
          </w:tcPr>
          <w:p>
            <w:pPr>
              <w:pStyle w:val="TableParagraph"/>
              <w:ind w:left="340" w:right="328"/>
              <w:jc w:val="center"/>
              <w:rPr>
                <w:b/>
                <w:sz w:val="18"/>
              </w:rPr>
            </w:pPr>
            <w:r>
              <w:rPr>
                <w:b/>
                <w:sz w:val="18"/>
              </w:rPr>
              <w:t>Emissions associated with the ice cover period</w:t>
            </w:r>
          </w:p>
          <w:p>
            <w:pPr>
              <w:pStyle w:val="TableParagraph"/>
              <w:spacing w:line="208" w:lineRule="exact"/>
              <w:ind w:left="724" w:right="710"/>
              <w:jc w:val="center"/>
              <w:rPr>
                <w:b/>
                <w:sz w:val="18"/>
              </w:rPr>
            </w:pPr>
            <w:r>
              <w:rPr>
                <w:b/>
                <w:sz w:val="18"/>
              </w:rPr>
              <w:t>E</w:t>
            </w:r>
            <w:r>
              <w:rPr>
                <w:b/>
                <w:sz w:val="18"/>
                <w:vertAlign w:val="subscript"/>
              </w:rPr>
              <w:t>i</w:t>
            </w:r>
            <w:r>
              <w:rPr>
                <w:b/>
                <w:sz w:val="18"/>
                <w:vertAlign w:val="baseline"/>
              </w:rPr>
              <w:t> (GHG)</w:t>
            </w:r>
            <w:r>
              <w:rPr>
                <w:b/>
                <w:sz w:val="18"/>
                <w:vertAlign w:val="subscript"/>
              </w:rPr>
              <w:t>diff</w:t>
            </w:r>
            <w:r>
              <w:rPr>
                <w:b/>
                <w:sz w:val="18"/>
                <w:vertAlign w:val="baseline"/>
              </w:rPr>
              <w:t> + E</w:t>
            </w:r>
            <w:r>
              <w:rPr>
                <w:b/>
                <w:sz w:val="18"/>
                <w:vertAlign w:val="subscript"/>
              </w:rPr>
              <w:t>i</w:t>
            </w:r>
            <w:r>
              <w:rPr>
                <w:b/>
                <w:sz w:val="18"/>
                <w:vertAlign w:val="baseline"/>
              </w:rPr>
              <w:t> (GHG)</w:t>
            </w:r>
            <w:r>
              <w:rPr>
                <w:b/>
                <w:sz w:val="18"/>
                <w:vertAlign w:val="subscript"/>
              </w:rPr>
              <w:t>bubble</w:t>
            </w:r>
            <w:r>
              <w:rPr>
                <w:b/>
                <w:sz w:val="18"/>
                <w:vertAlign w:val="baseline"/>
              </w:rPr>
              <w:t> (kg ha</w:t>
            </w:r>
            <w:r>
              <w:rPr>
                <w:b/>
                <w:sz w:val="18"/>
                <w:vertAlign w:val="superscript"/>
              </w:rPr>
              <w:t>-1</w:t>
            </w:r>
            <w:r>
              <w:rPr>
                <w:b/>
                <w:sz w:val="18"/>
                <w:vertAlign w:val="baseline"/>
              </w:rPr>
              <w:t> d</w:t>
            </w:r>
            <w:r>
              <w:rPr>
                <w:b/>
                <w:sz w:val="18"/>
                <w:vertAlign w:val="superscript"/>
              </w:rPr>
              <w:t>-1</w:t>
            </w:r>
            <w:r>
              <w:rPr>
                <w:b/>
                <w:sz w:val="18"/>
                <w:vertAlign w:val="baseline"/>
              </w:rPr>
              <w:t>)</w:t>
            </w:r>
          </w:p>
        </w:tc>
        <w:tc>
          <w:tcPr>
            <w:tcW w:w="3443" w:type="dxa"/>
          </w:tcPr>
          <w:p>
            <w:pPr>
              <w:pStyle w:val="TableParagraph"/>
              <w:rPr>
                <w:sz w:val="18"/>
              </w:rPr>
            </w:pPr>
          </w:p>
        </w:tc>
      </w:tr>
      <w:tr>
        <w:trPr>
          <w:trHeight w:val="241" w:hRule="atLeast"/>
        </w:trPr>
        <w:tc>
          <w:tcPr>
            <w:tcW w:w="1903" w:type="dxa"/>
            <w:vMerge w:val="restart"/>
          </w:tcPr>
          <w:p>
            <w:pPr>
              <w:pStyle w:val="TableParagraph"/>
              <w:spacing w:before="139"/>
              <w:ind w:left="107"/>
              <w:rPr>
                <w:sz w:val="18"/>
              </w:rPr>
            </w:pPr>
            <w:r>
              <w:rPr>
                <w:sz w:val="18"/>
              </w:rPr>
              <w:t>Boreal, wet</w:t>
            </w:r>
          </w:p>
        </w:tc>
        <w:tc>
          <w:tcPr>
            <w:tcW w:w="1221" w:type="dxa"/>
            <w:tcBorders>
              <w:bottom w:val="nil"/>
            </w:tcBorders>
          </w:tcPr>
          <w:p>
            <w:pPr>
              <w:pStyle w:val="TableParagraph"/>
              <w:spacing w:line="186" w:lineRule="exact" w:before="35"/>
              <w:ind w:left="282" w:right="276"/>
              <w:jc w:val="center"/>
              <w:rPr>
                <w:sz w:val="18"/>
              </w:rPr>
            </w:pPr>
            <w:r>
              <w:rPr>
                <w:sz w:val="18"/>
              </w:rPr>
              <w:t>0.05</w:t>
            </w:r>
          </w:p>
        </w:tc>
        <w:tc>
          <w:tcPr>
            <w:tcW w:w="1223" w:type="dxa"/>
            <w:tcBorders>
              <w:bottom w:val="nil"/>
            </w:tcBorders>
          </w:tcPr>
          <w:p>
            <w:pPr>
              <w:pStyle w:val="TableParagraph"/>
              <w:spacing w:line="186" w:lineRule="exact" w:before="35"/>
              <w:ind w:left="454"/>
              <w:rPr>
                <w:sz w:val="18"/>
              </w:rPr>
            </w:pPr>
            <w:r>
              <w:rPr>
                <w:sz w:val="18"/>
              </w:rPr>
              <w:t>0.45</w:t>
            </w:r>
          </w:p>
        </w:tc>
        <w:tc>
          <w:tcPr>
            <w:tcW w:w="1221" w:type="dxa"/>
            <w:vMerge w:val="restart"/>
          </w:tcPr>
          <w:p>
            <w:pPr>
              <w:pStyle w:val="TableParagraph"/>
              <w:spacing w:before="139"/>
              <w:ind w:left="285" w:right="269"/>
              <w:jc w:val="center"/>
              <w:rPr>
                <w:sz w:val="18"/>
              </w:rPr>
            </w:pPr>
            <w:r>
              <w:rPr>
                <w:sz w:val="18"/>
              </w:rPr>
              <w:t>nm</w:t>
            </w:r>
          </w:p>
        </w:tc>
        <w:tc>
          <w:tcPr>
            <w:tcW w:w="3443" w:type="dxa"/>
            <w:vMerge w:val="restart"/>
          </w:tcPr>
          <w:p>
            <w:pPr>
              <w:pStyle w:val="TableParagraph"/>
              <w:spacing w:before="139"/>
              <w:ind w:left="88"/>
              <w:rPr>
                <w:sz w:val="18"/>
              </w:rPr>
            </w:pPr>
            <w:r>
              <w:rPr>
                <w:sz w:val="18"/>
              </w:rPr>
              <w:t>Duchemin, 2000; Duchemin </w:t>
            </w:r>
            <w:r>
              <w:rPr>
                <w:i/>
                <w:sz w:val="18"/>
              </w:rPr>
              <w:t>et al.</w:t>
            </w:r>
            <w:r>
              <w:rPr>
                <w:sz w:val="18"/>
              </w:rPr>
              <w:t>, 2002a</w:t>
            </w:r>
          </w:p>
        </w:tc>
      </w:tr>
      <w:tr>
        <w:trPr>
          <w:trHeight w:val="245" w:hRule="atLeast"/>
        </w:trPr>
        <w:tc>
          <w:tcPr>
            <w:tcW w:w="1903" w:type="dxa"/>
            <w:vMerge/>
            <w:tcBorders>
              <w:top w:val="nil"/>
            </w:tcBorders>
          </w:tcPr>
          <w:p>
            <w:pPr>
              <w:rPr>
                <w:sz w:val="2"/>
                <w:szCs w:val="2"/>
              </w:rPr>
            </w:pPr>
          </w:p>
        </w:tc>
        <w:tc>
          <w:tcPr>
            <w:tcW w:w="1221" w:type="dxa"/>
            <w:tcBorders>
              <w:top w:val="nil"/>
            </w:tcBorders>
          </w:tcPr>
          <w:p>
            <w:pPr>
              <w:pStyle w:val="TableParagraph"/>
              <w:spacing w:line="198" w:lineRule="exact"/>
              <w:ind w:left="285" w:right="273"/>
              <w:jc w:val="center"/>
              <w:rPr>
                <w:sz w:val="18"/>
              </w:rPr>
            </w:pPr>
            <w:r>
              <w:rPr>
                <w:sz w:val="18"/>
              </w:rPr>
              <w:t>±60%</w:t>
            </w:r>
          </w:p>
        </w:tc>
        <w:tc>
          <w:tcPr>
            <w:tcW w:w="1223" w:type="dxa"/>
            <w:tcBorders>
              <w:top w:val="nil"/>
            </w:tcBorders>
          </w:tcPr>
          <w:p>
            <w:pPr>
              <w:pStyle w:val="TableParagraph"/>
              <w:spacing w:line="198" w:lineRule="exact"/>
              <w:ind w:left="396"/>
              <w:rPr>
                <w:sz w:val="18"/>
              </w:rPr>
            </w:pPr>
            <w:r>
              <w:rPr>
                <w:sz w:val="18"/>
              </w:rPr>
              <w:t>±55%</w:t>
            </w:r>
          </w:p>
        </w:tc>
        <w:tc>
          <w:tcPr>
            <w:tcW w:w="1221" w:type="dxa"/>
            <w:vMerge/>
            <w:tcBorders>
              <w:top w:val="nil"/>
            </w:tcBorders>
          </w:tcPr>
          <w:p>
            <w:pPr>
              <w:rPr>
                <w:sz w:val="2"/>
                <w:szCs w:val="2"/>
              </w:rPr>
            </w:pPr>
          </w:p>
        </w:tc>
        <w:tc>
          <w:tcPr>
            <w:tcW w:w="3443" w:type="dxa"/>
            <w:vMerge/>
            <w:tcBorders>
              <w:top w:val="nil"/>
            </w:tcBorders>
          </w:tcPr>
          <w:p>
            <w:pPr>
              <w:rPr>
                <w:sz w:val="2"/>
                <w:szCs w:val="2"/>
              </w:rPr>
            </w:pPr>
          </w:p>
        </w:tc>
      </w:tr>
      <w:tr>
        <w:trPr>
          <w:trHeight w:val="275" w:hRule="atLeast"/>
        </w:trPr>
        <w:tc>
          <w:tcPr>
            <w:tcW w:w="9011" w:type="dxa"/>
            <w:gridSpan w:val="5"/>
          </w:tcPr>
          <w:p>
            <w:pPr>
              <w:pStyle w:val="TableParagraph"/>
              <w:spacing w:before="28"/>
              <w:ind w:left="107"/>
              <w:rPr>
                <w:sz w:val="18"/>
              </w:rPr>
            </w:pPr>
            <w:r>
              <w:rPr>
                <w:sz w:val="18"/>
              </w:rPr>
              <w:t>ns : not significant, nm: not measured</w:t>
            </w:r>
          </w:p>
        </w:tc>
      </w:tr>
    </w:tbl>
    <w:p>
      <w:pPr>
        <w:pStyle w:val="BodyText"/>
      </w:pPr>
    </w:p>
    <w:p>
      <w:pPr>
        <w:pStyle w:val="BodyText"/>
        <w:spacing w:before="9"/>
      </w:pPr>
    </w:p>
    <w:p>
      <w:pPr>
        <w:pStyle w:val="Heading6"/>
      </w:pPr>
      <w:r>
        <w:rPr/>
        <w:t>CHOICE OF ACTIVITY DATA</w:t>
      </w:r>
    </w:p>
    <w:p>
      <w:pPr>
        <w:pStyle w:val="BodyText"/>
        <w:spacing w:before="113"/>
        <w:ind w:left="159" w:right="163"/>
        <w:jc w:val="both"/>
      </w:pPr>
      <w:r>
        <w:rPr/>
        <w:t>Several different types of activity data may be needed to estimate flooded land emissions, depending on the tier being implemented and the climatic zone. For Tier 1, total flooded area is required in all cases. For Tier 2, additional activity data includes the period during which reservoirs are ice-covered or ice-free in boreal wet regions as well as flow rates through hydroelectric outflow and spillways and flooded land area.</w:t>
      </w:r>
    </w:p>
    <w:p>
      <w:pPr>
        <w:spacing w:before="125"/>
        <w:ind w:left="159" w:right="0" w:firstLine="0"/>
        <w:jc w:val="left"/>
        <w:rPr>
          <w:b/>
          <w:sz w:val="20"/>
        </w:rPr>
      </w:pPr>
      <w:r>
        <w:rPr>
          <w:b/>
          <w:sz w:val="20"/>
        </w:rPr>
        <w:t>Flooded land area</w:t>
      </w:r>
    </w:p>
    <w:p>
      <w:pPr>
        <w:pStyle w:val="BodyText"/>
        <w:spacing w:before="115"/>
        <w:ind w:left="159" w:right="167"/>
        <w:jc w:val="both"/>
      </w:pPr>
      <w:r>
        <w:rPr/>
        <w:t>Ideally, data on flooded area should be collected from national agencies. If such data are unavailable, however, Table 3a.3.6 contains information on total flooded surface area that can be used to estimate the emissions under Tier 1. This table only includes surface area of flooded land that existed before 1990.</w:t>
      </w:r>
    </w:p>
    <w:p>
      <w:pPr>
        <w:pStyle w:val="BodyText"/>
        <w:spacing w:before="119"/>
        <w:ind w:left="159" w:right="166"/>
        <w:jc w:val="both"/>
      </w:pPr>
      <w:r>
        <w:rPr/>
        <w:t>For Tier 2, flooded land area is required to estimate diffusive and bubble emissions. These data can frequently be obtained from hydro utility companies. Alternatively, countries can obtain the flooded land area by a drainage basin cover analysis or by national dams database.</w:t>
      </w:r>
    </w:p>
    <w:p>
      <w:pPr>
        <w:spacing w:after="0"/>
        <w:jc w:val="both"/>
        <w:sectPr>
          <w:footerReference w:type="even" r:id="rId273"/>
          <w:footerReference w:type="default" r:id="rId274"/>
          <w:pgSz w:w="11900" w:h="16840"/>
          <w:pgMar w:footer="408" w:header="230" w:top="560" w:bottom="600" w:left="1260" w:right="1240"/>
        </w:sectPr>
      </w:pPr>
    </w:p>
    <w:p>
      <w:pPr>
        <w:pStyle w:val="BodyText"/>
      </w:pPr>
    </w:p>
    <w:p>
      <w:pPr>
        <w:pStyle w:val="BodyText"/>
      </w:pPr>
    </w:p>
    <w:p>
      <w:pPr>
        <w:pStyle w:val="BodyText"/>
      </w:pPr>
    </w:p>
    <w:p>
      <w:pPr>
        <w:pStyle w:val="BodyText"/>
      </w:pPr>
    </w:p>
    <w:p>
      <w:pPr>
        <w:pStyle w:val="BodyText"/>
        <w:spacing w:before="8"/>
        <w:rPr>
          <w:sz w:val="19"/>
        </w:rPr>
      </w:pPr>
    </w:p>
    <w:tbl>
      <w:tblPr>
        <w:tblW w:w="0" w:type="auto"/>
        <w:jc w:val="left"/>
        <w:tblInd w:w="1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1"/>
        <w:gridCol w:w="2278"/>
        <w:gridCol w:w="2616"/>
      </w:tblGrid>
      <w:tr>
        <w:trPr>
          <w:trHeight w:val="500" w:hRule="atLeast"/>
        </w:trPr>
        <w:tc>
          <w:tcPr>
            <w:tcW w:w="6795" w:type="dxa"/>
            <w:gridSpan w:val="3"/>
            <w:tcBorders>
              <w:bottom w:val="double" w:sz="1" w:space="0" w:color="000000"/>
            </w:tcBorders>
          </w:tcPr>
          <w:p>
            <w:pPr>
              <w:pStyle w:val="TableParagraph"/>
              <w:spacing w:line="207" w:lineRule="exact" w:before="43"/>
              <w:ind w:left="1815" w:right="1805"/>
              <w:jc w:val="center"/>
              <w:rPr>
                <w:b/>
                <w:sz w:val="18"/>
              </w:rPr>
            </w:pPr>
            <w:r>
              <w:rPr>
                <w:b/>
                <w:sz w:val="18"/>
              </w:rPr>
              <w:t>T</w:t>
            </w:r>
            <w:r>
              <w:rPr>
                <w:b/>
                <w:sz w:val="14"/>
              </w:rPr>
              <w:t>ABLE </w:t>
            </w:r>
            <w:r>
              <w:rPr>
                <w:b/>
                <w:sz w:val="18"/>
              </w:rPr>
              <w:t>3a.3.6</w:t>
            </w:r>
          </w:p>
          <w:p>
            <w:pPr>
              <w:pStyle w:val="TableParagraph"/>
              <w:spacing w:line="207" w:lineRule="exact"/>
              <w:ind w:left="1815" w:right="1805"/>
              <w:jc w:val="center"/>
              <w:rPr>
                <w:b/>
                <w:sz w:val="14"/>
              </w:rPr>
            </w:pPr>
            <w:r>
              <w:rPr>
                <w:b/>
                <w:sz w:val="18"/>
              </w:rPr>
              <w:t>D</w:t>
            </w:r>
            <w:r>
              <w:rPr>
                <w:b/>
                <w:sz w:val="14"/>
              </w:rPr>
              <w:t>EFAULT RESERVOIR SURFACE AREA DATA</w:t>
            </w:r>
          </w:p>
        </w:tc>
      </w:tr>
      <w:tr>
        <w:trPr>
          <w:trHeight w:val="253" w:hRule="atLeast"/>
        </w:trPr>
        <w:tc>
          <w:tcPr>
            <w:tcW w:w="1901" w:type="dxa"/>
            <w:tcBorders>
              <w:top w:val="double" w:sz="1" w:space="0" w:color="000000"/>
            </w:tcBorders>
          </w:tcPr>
          <w:p>
            <w:pPr>
              <w:pStyle w:val="TableParagraph"/>
              <w:rPr>
                <w:sz w:val="18"/>
              </w:rPr>
            </w:pPr>
          </w:p>
        </w:tc>
        <w:tc>
          <w:tcPr>
            <w:tcW w:w="2278" w:type="dxa"/>
            <w:tcBorders>
              <w:top w:val="double" w:sz="1" w:space="0" w:color="000000"/>
            </w:tcBorders>
          </w:tcPr>
          <w:p>
            <w:pPr>
              <w:pStyle w:val="TableParagraph"/>
              <w:spacing w:before="23"/>
              <w:ind w:left="814" w:right="822"/>
              <w:jc w:val="center"/>
              <w:rPr>
                <w:b/>
                <w:sz w:val="18"/>
              </w:rPr>
            </w:pPr>
            <w:r>
              <w:rPr>
                <w:b/>
                <w:sz w:val="18"/>
              </w:rPr>
              <w:t>ICOLD</w:t>
            </w:r>
          </w:p>
        </w:tc>
        <w:tc>
          <w:tcPr>
            <w:tcW w:w="2616" w:type="dxa"/>
            <w:tcBorders>
              <w:top w:val="double" w:sz="1" w:space="0" w:color="000000"/>
            </w:tcBorders>
          </w:tcPr>
          <w:p>
            <w:pPr>
              <w:pStyle w:val="TableParagraph"/>
              <w:spacing w:before="23"/>
              <w:ind w:left="460" w:right="460"/>
              <w:jc w:val="center"/>
              <w:rPr>
                <w:b/>
                <w:sz w:val="18"/>
              </w:rPr>
            </w:pPr>
            <w:r>
              <w:rPr>
                <w:b/>
                <w:sz w:val="18"/>
              </w:rPr>
              <w:t>Specific-country data</w:t>
            </w:r>
          </w:p>
        </w:tc>
      </w:tr>
      <w:tr>
        <w:trPr>
          <w:trHeight w:val="443" w:hRule="atLeast"/>
        </w:trPr>
        <w:tc>
          <w:tcPr>
            <w:tcW w:w="1901" w:type="dxa"/>
          </w:tcPr>
          <w:p>
            <w:pPr>
              <w:pStyle w:val="TableParagraph"/>
              <w:spacing w:line="207" w:lineRule="exact"/>
              <w:ind w:left="626"/>
              <w:rPr>
                <w:b/>
                <w:sz w:val="18"/>
              </w:rPr>
            </w:pPr>
            <w:r>
              <w:rPr>
                <w:b/>
                <w:sz w:val="18"/>
              </w:rPr>
              <w:t>Country</w:t>
            </w:r>
          </w:p>
        </w:tc>
        <w:tc>
          <w:tcPr>
            <w:tcW w:w="2278" w:type="dxa"/>
          </w:tcPr>
          <w:p>
            <w:pPr>
              <w:pStyle w:val="TableParagraph"/>
              <w:ind w:left="897" w:right="622" w:hanging="246"/>
              <w:rPr>
                <w:b/>
                <w:sz w:val="18"/>
              </w:rPr>
            </w:pPr>
            <w:r>
              <w:rPr>
                <w:b/>
                <w:sz w:val="18"/>
              </w:rPr>
              <w:t>Surface area (Mha)</w:t>
            </w:r>
          </w:p>
        </w:tc>
        <w:tc>
          <w:tcPr>
            <w:tcW w:w="2616" w:type="dxa"/>
          </w:tcPr>
          <w:p>
            <w:pPr>
              <w:pStyle w:val="TableParagraph"/>
              <w:ind w:left="1067" w:right="792" w:hanging="248"/>
              <w:rPr>
                <w:b/>
                <w:sz w:val="18"/>
              </w:rPr>
            </w:pPr>
            <w:r>
              <w:rPr>
                <w:b/>
                <w:sz w:val="18"/>
              </w:rPr>
              <w:t>Surface area (Mha)</w:t>
            </w:r>
          </w:p>
        </w:tc>
      </w:tr>
      <w:tr>
        <w:trPr>
          <w:trHeight w:val="273" w:hRule="atLeast"/>
        </w:trPr>
        <w:tc>
          <w:tcPr>
            <w:tcW w:w="1901" w:type="dxa"/>
          </w:tcPr>
          <w:p>
            <w:pPr>
              <w:pStyle w:val="TableParagraph"/>
              <w:spacing w:before="28"/>
              <w:ind w:left="107"/>
              <w:rPr>
                <w:sz w:val="18"/>
              </w:rPr>
            </w:pPr>
            <w:r>
              <w:rPr>
                <w:sz w:val="18"/>
              </w:rPr>
              <w:t>Russia</w:t>
            </w:r>
          </w:p>
        </w:tc>
        <w:tc>
          <w:tcPr>
            <w:tcW w:w="2278" w:type="dxa"/>
          </w:tcPr>
          <w:p>
            <w:pPr>
              <w:pStyle w:val="TableParagraph"/>
              <w:spacing w:before="28"/>
              <w:ind w:left="814" w:right="809"/>
              <w:jc w:val="center"/>
              <w:rPr>
                <w:sz w:val="18"/>
              </w:rPr>
            </w:pPr>
            <w:r>
              <w:rPr>
                <w:sz w:val="18"/>
              </w:rPr>
              <w:t>7.32</w:t>
            </w:r>
          </w:p>
        </w:tc>
        <w:tc>
          <w:tcPr>
            <w:tcW w:w="2616" w:type="dxa"/>
          </w:tcPr>
          <w:p>
            <w:pPr>
              <w:pStyle w:val="TableParagraph"/>
              <w:spacing w:before="28"/>
              <w:ind w:left="460" w:right="453"/>
              <w:jc w:val="center"/>
              <w:rPr>
                <w:sz w:val="18"/>
              </w:rPr>
            </w:pPr>
            <w:r>
              <w:rPr>
                <w:sz w:val="18"/>
              </w:rPr>
              <w:t>7.96</w:t>
            </w:r>
          </w:p>
        </w:tc>
      </w:tr>
      <w:tr>
        <w:trPr>
          <w:trHeight w:val="275" w:hRule="atLeast"/>
        </w:trPr>
        <w:tc>
          <w:tcPr>
            <w:tcW w:w="1901" w:type="dxa"/>
          </w:tcPr>
          <w:p>
            <w:pPr>
              <w:pStyle w:val="TableParagraph"/>
              <w:spacing w:before="28"/>
              <w:ind w:left="107"/>
              <w:rPr>
                <w:sz w:val="18"/>
              </w:rPr>
            </w:pPr>
            <w:r>
              <w:rPr>
                <w:sz w:val="18"/>
              </w:rPr>
              <w:t>USA</w:t>
            </w:r>
          </w:p>
        </w:tc>
        <w:tc>
          <w:tcPr>
            <w:tcW w:w="2278" w:type="dxa"/>
          </w:tcPr>
          <w:p>
            <w:pPr>
              <w:pStyle w:val="TableParagraph"/>
              <w:spacing w:before="28"/>
              <w:ind w:left="814" w:right="806"/>
              <w:jc w:val="center"/>
              <w:rPr>
                <w:sz w:val="18"/>
              </w:rPr>
            </w:pPr>
            <w:r>
              <w:rPr>
                <w:sz w:val="18"/>
              </w:rPr>
              <w:t>---</w:t>
            </w:r>
          </w:p>
        </w:tc>
        <w:tc>
          <w:tcPr>
            <w:tcW w:w="2616" w:type="dxa"/>
          </w:tcPr>
          <w:p>
            <w:pPr>
              <w:pStyle w:val="TableParagraph"/>
              <w:spacing w:before="28"/>
              <w:ind w:left="460" w:right="454"/>
              <w:jc w:val="center"/>
              <w:rPr>
                <w:sz w:val="18"/>
              </w:rPr>
            </w:pPr>
            <w:r>
              <w:rPr>
                <w:sz w:val="18"/>
              </w:rPr>
              <w:t>6.98</w:t>
            </w:r>
          </w:p>
        </w:tc>
      </w:tr>
      <w:tr>
        <w:trPr>
          <w:trHeight w:val="273" w:hRule="atLeast"/>
        </w:trPr>
        <w:tc>
          <w:tcPr>
            <w:tcW w:w="1901" w:type="dxa"/>
          </w:tcPr>
          <w:p>
            <w:pPr>
              <w:pStyle w:val="TableParagraph"/>
              <w:spacing w:before="28"/>
              <w:ind w:left="107"/>
              <w:rPr>
                <w:sz w:val="18"/>
              </w:rPr>
            </w:pPr>
            <w:r>
              <w:rPr>
                <w:sz w:val="18"/>
              </w:rPr>
              <w:t>Canada</w:t>
            </w:r>
          </w:p>
        </w:tc>
        <w:tc>
          <w:tcPr>
            <w:tcW w:w="2278" w:type="dxa"/>
          </w:tcPr>
          <w:p>
            <w:pPr>
              <w:pStyle w:val="TableParagraph"/>
              <w:spacing w:before="28"/>
              <w:ind w:left="5"/>
              <w:jc w:val="center"/>
              <w:rPr>
                <w:sz w:val="18"/>
              </w:rPr>
            </w:pPr>
            <w:r>
              <w:rPr>
                <w:sz w:val="18"/>
              </w:rPr>
              <w:t>0</w:t>
            </w:r>
          </w:p>
        </w:tc>
        <w:tc>
          <w:tcPr>
            <w:tcW w:w="2616" w:type="dxa"/>
          </w:tcPr>
          <w:p>
            <w:pPr>
              <w:pStyle w:val="TableParagraph"/>
              <w:spacing w:before="28"/>
              <w:ind w:left="460" w:right="454"/>
              <w:jc w:val="center"/>
              <w:rPr>
                <w:sz w:val="18"/>
              </w:rPr>
            </w:pPr>
            <w:r>
              <w:rPr>
                <w:sz w:val="18"/>
              </w:rPr>
              <w:t>6.5</w:t>
            </w:r>
          </w:p>
        </w:tc>
      </w:tr>
      <w:tr>
        <w:trPr>
          <w:trHeight w:val="273" w:hRule="atLeast"/>
        </w:trPr>
        <w:tc>
          <w:tcPr>
            <w:tcW w:w="1901" w:type="dxa"/>
          </w:tcPr>
          <w:p>
            <w:pPr>
              <w:pStyle w:val="TableParagraph"/>
              <w:spacing w:before="28"/>
              <w:ind w:left="107"/>
              <w:rPr>
                <w:sz w:val="18"/>
              </w:rPr>
            </w:pPr>
            <w:r>
              <w:rPr>
                <w:sz w:val="18"/>
              </w:rPr>
              <w:t>China</w:t>
            </w:r>
          </w:p>
        </w:tc>
        <w:tc>
          <w:tcPr>
            <w:tcW w:w="2278" w:type="dxa"/>
          </w:tcPr>
          <w:p>
            <w:pPr>
              <w:pStyle w:val="TableParagraph"/>
              <w:spacing w:before="28"/>
              <w:ind w:left="814" w:right="805"/>
              <w:jc w:val="center"/>
              <w:rPr>
                <w:sz w:val="18"/>
              </w:rPr>
            </w:pPr>
            <w:r>
              <w:rPr>
                <w:sz w:val="18"/>
              </w:rPr>
              <w:t>---</w:t>
            </w:r>
          </w:p>
        </w:tc>
        <w:tc>
          <w:tcPr>
            <w:tcW w:w="2616" w:type="dxa"/>
          </w:tcPr>
          <w:p>
            <w:pPr>
              <w:pStyle w:val="TableParagraph"/>
              <w:spacing w:before="28"/>
              <w:ind w:left="460" w:right="456"/>
              <w:jc w:val="center"/>
              <w:rPr>
                <w:sz w:val="18"/>
              </w:rPr>
            </w:pPr>
            <w:r>
              <w:rPr>
                <w:sz w:val="18"/>
              </w:rPr>
              <w:t>5.8</w:t>
            </w:r>
          </w:p>
        </w:tc>
      </w:tr>
      <w:tr>
        <w:trPr>
          <w:trHeight w:val="275" w:hRule="atLeast"/>
        </w:trPr>
        <w:tc>
          <w:tcPr>
            <w:tcW w:w="1901" w:type="dxa"/>
          </w:tcPr>
          <w:p>
            <w:pPr>
              <w:pStyle w:val="TableParagraph"/>
              <w:spacing w:before="28"/>
              <w:ind w:left="107"/>
              <w:rPr>
                <w:sz w:val="18"/>
              </w:rPr>
            </w:pPr>
            <w:r>
              <w:rPr>
                <w:sz w:val="18"/>
              </w:rPr>
              <w:t>India</w:t>
            </w:r>
          </w:p>
        </w:tc>
        <w:tc>
          <w:tcPr>
            <w:tcW w:w="2278" w:type="dxa"/>
          </w:tcPr>
          <w:p>
            <w:pPr>
              <w:pStyle w:val="TableParagraph"/>
              <w:spacing w:before="28"/>
              <w:ind w:left="814" w:right="809"/>
              <w:jc w:val="center"/>
              <w:rPr>
                <w:sz w:val="18"/>
              </w:rPr>
            </w:pPr>
            <w:r>
              <w:rPr>
                <w:sz w:val="18"/>
              </w:rPr>
              <w:t>4.57</w:t>
            </w:r>
          </w:p>
        </w:tc>
        <w:tc>
          <w:tcPr>
            <w:tcW w:w="2616" w:type="dxa"/>
          </w:tcPr>
          <w:p>
            <w:pPr>
              <w:pStyle w:val="TableParagraph"/>
              <w:spacing w:before="28"/>
              <w:ind w:left="460" w:right="454"/>
              <w:jc w:val="center"/>
              <w:rPr>
                <w:sz w:val="18"/>
              </w:rPr>
            </w:pPr>
            <w:r>
              <w:rPr>
                <w:sz w:val="18"/>
              </w:rPr>
              <w:t>---</w:t>
            </w:r>
          </w:p>
        </w:tc>
      </w:tr>
      <w:tr>
        <w:trPr>
          <w:trHeight w:val="273" w:hRule="atLeast"/>
        </w:trPr>
        <w:tc>
          <w:tcPr>
            <w:tcW w:w="1901" w:type="dxa"/>
          </w:tcPr>
          <w:p>
            <w:pPr>
              <w:pStyle w:val="TableParagraph"/>
              <w:spacing w:before="28"/>
              <w:ind w:left="107"/>
              <w:rPr>
                <w:sz w:val="18"/>
              </w:rPr>
            </w:pPr>
            <w:r>
              <w:rPr>
                <w:sz w:val="18"/>
              </w:rPr>
              <w:t>Brazil</w:t>
            </w:r>
          </w:p>
        </w:tc>
        <w:tc>
          <w:tcPr>
            <w:tcW w:w="2278" w:type="dxa"/>
          </w:tcPr>
          <w:p>
            <w:pPr>
              <w:pStyle w:val="TableParagraph"/>
              <w:spacing w:before="28"/>
              <w:ind w:left="814" w:right="808"/>
              <w:jc w:val="center"/>
              <w:rPr>
                <w:sz w:val="18"/>
              </w:rPr>
            </w:pPr>
            <w:r>
              <w:rPr>
                <w:sz w:val="18"/>
              </w:rPr>
              <w:t>0.69</w:t>
            </w:r>
          </w:p>
        </w:tc>
        <w:tc>
          <w:tcPr>
            <w:tcW w:w="2616" w:type="dxa"/>
          </w:tcPr>
          <w:p>
            <w:pPr>
              <w:pStyle w:val="TableParagraph"/>
              <w:spacing w:before="28"/>
              <w:ind w:left="460" w:right="453"/>
              <w:jc w:val="center"/>
              <w:rPr>
                <w:sz w:val="18"/>
              </w:rPr>
            </w:pPr>
            <w:r>
              <w:rPr>
                <w:sz w:val="18"/>
              </w:rPr>
              <w:t>3.98</w:t>
            </w:r>
          </w:p>
        </w:tc>
      </w:tr>
      <w:tr>
        <w:trPr>
          <w:trHeight w:val="273" w:hRule="atLeast"/>
        </w:trPr>
        <w:tc>
          <w:tcPr>
            <w:tcW w:w="1901" w:type="dxa"/>
          </w:tcPr>
          <w:p>
            <w:pPr>
              <w:pStyle w:val="TableParagraph"/>
              <w:spacing w:before="28"/>
              <w:ind w:left="107"/>
              <w:rPr>
                <w:sz w:val="18"/>
              </w:rPr>
            </w:pPr>
            <w:r>
              <w:rPr>
                <w:sz w:val="18"/>
              </w:rPr>
              <w:t>Finland</w:t>
            </w:r>
          </w:p>
        </w:tc>
        <w:tc>
          <w:tcPr>
            <w:tcW w:w="2278" w:type="dxa"/>
          </w:tcPr>
          <w:p>
            <w:pPr>
              <w:pStyle w:val="TableParagraph"/>
              <w:spacing w:before="28"/>
              <w:ind w:left="814" w:right="810"/>
              <w:jc w:val="center"/>
              <w:rPr>
                <w:sz w:val="18"/>
              </w:rPr>
            </w:pPr>
            <w:r>
              <w:rPr>
                <w:sz w:val="18"/>
              </w:rPr>
              <w:t>0.73</w:t>
            </w:r>
          </w:p>
        </w:tc>
        <w:tc>
          <w:tcPr>
            <w:tcW w:w="2616" w:type="dxa"/>
          </w:tcPr>
          <w:p>
            <w:pPr>
              <w:pStyle w:val="TableParagraph"/>
              <w:spacing w:before="28"/>
              <w:ind w:left="460" w:right="456"/>
              <w:jc w:val="center"/>
              <w:rPr>
                <w:sz w:val="18"/>
              </w:rPr>
            </w:pPr>
            <w:r>
              <w:rPr>
                <w:sz w:val="18"/>
              </w:rPr>
              <w:t>---</w:t>
            </w:r>
          </w:p>
        </w:tc>
      </w:tr>
      <w:tr>
        <w:trPr>
          <w:trHeight w:val="275" w:hRule="atLeast"/>
        </w:trPr>
        <w:tc>
          <w:tcPr>
            <w:tcW w:w="1901" w:type="dxa"/>
          </w:tcPr>
          <w:p>
            <w:pPr>
              <w:pStyle w:val="TableParagraph"/>
              <w:spacing w:before="28"/>
              <w:ind w:left="107"/>
              <w:rPr>
                <w:sz w:val="18"/>
              </w:rPr>
            </w:pPr>
            <w:r>
              <w:rPr>
                <w:sz w:val="18"/>
              </w:rPr>
              <w:t>Thailand</w:t>
            </w:r>
          </w:p>
        </w:tc>
        <w:tc>
          <w:tcPr>
            <w:tcW w:w="2278" w:type="dxa"/>
          </w:tcPr>
          <w:p>
            <w:pPr>
              <w:pStyle w:val="TableParagraph"/>
              <w:spacing w:before="28"/>
              <w:ind w:left="814" w:right="808"/>
              <w:jc w:val="center"/>
              <w:rPr>
                <w:sz w:val="18"/>
              </w:rPr>
            </w:pPr>
            <w:r>
              <w:rPr>
                <w:sz w:val="18"/>
              </w:rPr>
              <w:t>0.71</w:t>
            </w:r>
          </w:p>
        </w:tc>
        <w:tc>
          <w:tcPr>
            <w:tcW w:w="2616" w:type="dxa"/>
          </w:tcPr>
          <w:p>
            <w:pPr>
              <w:pStyle w:val="TableParagraph"/>
              <w:spacing w:before="28"/>
              <w:ind w:left="460" w:right="454"/>
              <w:jc w:val="center"/>
              <w:rPr>
                <w:sz w:val="18"/>
              </w:rPr>
            </w:pPr>
            <w:r>
              <w:rPr>
                <w:sz w:val="18"/>
              </w:rPr>
              <w:t>---</w:t>
            </w:r>
          </w:p>
        </w:tc>
      </w:tr>
      <w:tr>
        <w:trPr>
          <w:trHeight w:val="273" w:hRule="atLeast"/>
        </w:trPr>
        <w:tc>
          <w:tcPr>
            <w:tcW w:w="1901" w:type="dxa"/>
          </w:tcPr>
          <w:p>
            <w:pPr>
              <w:pStyle w:val="TableParagraph"/>
              <w:spacing w:before="28"/>
              <w:ind w:left="107"/>
              <w:rPr>
                <w:sz w:val="18"/>
              </w:rPr>
            </w:pPr>
            <w:r>
              <w:rPr>
                <w:sz w:val="18"/>
              </w:rPr>
              <w:t>Egypt</w:t>
            </w:r>
          </w:p>
        </w:tc>
        <w:tc>
          <w:tcPr>
            <w:tcW w:w="2278" w:type="dxa"/>
          </w:tcPr>
          <w:p>
            <w:pPr>
              <w:pStyle w:val="TableParagraph"/>
              <w:spacing w:before="28"/>
              <w:ind w:left="814" w:right="810"/>
              <w:jc w:val="center"/>
              <w:rPr>
                <w:sz w:val="18"/>
              </w:rPr>
            </w:pPr>
            <w:r>
              <w:rPr>
                <w:sz w:val="18"/>
              </w:rPr>
              <w:t>0.70</w:t>
            </w:r>
          </w:p>
        </w:tc>
        <w:tc>
          <w:tcPr>
            <w:tcW w:w="2616" w:type="dxa"/>
          </w:tcPr>
          <w:p>
            <w:pPr>
              <w:pStyle w:val="TableParagraph"/>
              <w:spacing w:before="28"/>
              <w:ind w:left="460" w:right="455"/>
              <w:jc w:val="center"/>
              <w:rPr>
                <w:sz w:val="18"/>
              </w:rPr>
            </w:pPr>
            <w:r>
              <w:rPr>
                <w:sz w:val="18"/>
              </w:rPr>
              <w:t>---</w:t>
            </w:r>
          </w:p>
        </w:tc>
      </w:tr>
      <w:tr>
        <w:trPr>
          <w:trHeight w:val="273" w:hRule="atLeast"/>
        </w:trPr>
        <w:tc>
          <w:tcPr>
            <w:tcW w:w="1901" w:type="dxa"/>
          </w:tcPr>
          <w:p>
            <w:pPr>
              <w:pStyle w:val="TableParagraph"/>
              <w:spacing w:before="28"/>
              <w:ind w:left="107"/>
              <w:rPr>
                <w:sz w:val="18"/>
              </w:rPr>
            </w:pPr>
            <w:r>
              <w:rPr>
                <w:sz w:val="18"/>
              </w:rPr>
              <w:t>Australia</w:t>
            </w:r>
          </w:p>
        </w:tc>
        <w:tc>
          <w:tcPr>
            <w:tcW w:w="2278" w:type="dxa"/>
          </w:tcPr>
          <w:p>
            <w:pPr>
              <w:pStyle w:val="TableParagraph"/>
              <w:spacing w:before="28"/>
              <w:ind w:left="814" w:right="809"/>
              <w:jc w:val="center"/>
              <w:rPr>
                <w:sz w:val="18"/>
              </w:rPr>
            </w:pPr>
            <w:r>
              <w:rPr>
                <w:sz w:val="18"/>
              </w:rPr>
              <w:t>0.66</w:t>
            </w:r>
          </w:p>
        </w:tc>
        <w:tc>
          <w:tcPr>
            <w:tcW w:w="2616" w:type="dxa"/>
          </w:tcPr>
          <w:p>
            <w:pPr>
              <w:pStyle w:val="TableParagraph"/>
              <w:spacing w:before="28"/>
              <w:ind w:left="460" w:right="455"/>
              <w:jc w:val="center"/>
              <w:rPr>
                <w:sz w:val="18"/>
              </w:rPr>
            </w:pPr>
            <w:r>
              <w:rPr>
                <w:sz w:val="18"/>
              </w:rPr>
              <w:t>---</w:t>
            </w:r>
          </w:p>
        </w:tc>
      </w:tr>
      <w:tr>
        <w:trPr>
          <w:trHeight w:val="275" w:hRule="atLeast"/>
        </w:trPr>
        <w:tc>
          <w:tcPr>
            <w:tcW w:w="1901" w:type="dxa"/>
          </w:tcPr>
          <w:p>
            <w:pPr>
              <w:pStyle w:val="TableParagraph"/>
              <w:spacing w:before="28"/>
              <w:ind w:left="107"/>
              <w:rPr>
                <w:sz w:val="18"/>
              </w:rPr>
            </w:pPr>
            <w:r>
              <w:rPr>
                <w:sz w:val="18"/>
              </w:rPr>
              <w:t>Mexico</w:t>
            </w:r>
          </w:p>
        </w:tc>
        <w:tc>
          <w:tcPr>
            <w:tcW w:w="2278" w:type="dxa"/>
          </w:tcPr>
          <w:p>
            <w:pPr>
              <w:pStyle w:val="TableParagraph"/>
              <w:spacing w:before="28"/>
              <w:ind w:left="814" w:right="809"/>
              <w:jc w:val="center"/>
              <w:rPr>
                <w:sz w:val="18"/>
              </w:rPr>
            </w:pPr>
            <w:r>
              <w:rPr>
                <w:sz w:val="18"/>
              </w:rPr>
              <w:t>0.60</w:t>
            </w:r>
          </w:p>
        </w:tc>
        <w:tc>
          <w:tcPr>
            <w:tcW w:w="2616" w:type="dxa"/>
          </w:tcPr>
          <w:p>
            <w:pPr>
              <w:pStyle w:val="TableParagraph"/>
              <w:spacing w:before="28"/>
              <w:ind w:left="460" w:right="455"/>
              <w:jc w:val="center"/>
              <w:rPr>
                <w:sz w:val="18"/>
              </w:rPr>
            </w:pPr>
            <w:r>
              <w:rPr>
                <w:sz w:val="18"/>
              </w:rPr>
              <w:t>---</w:t>
            </w:r>
          </w:p>
        </w:tc>
      </w:tr>
      <w:tr>
        <w:trPr>
          <w:trHeight w:val="273" w:hRule="atLeast"/>
        </w:trPr>
        <w:tc>
          <w:tcPr>
            <w:tcW w:w="1901" w:type="dxa"/>
          </w:tcPr>
          <w:p>
            <w:pPr>
              <w:pStyle w:val="TableParagraph"/>
              <w:spacing w:before="28"/>
              <w:ind w:left="107"/>
              <w:rPr>
                <w:sz w:val="18"/>
              </w:rPr>
            </w:pPr>
            <w:r>
              <w:rPr>
                <w:sz w:val="18"/>
              </w:rPr>
              <w:t>Zimbabwe</w:t>
            </w:r>
          </w:p>
        </w:tc>
        <w:tc>
          <w:tcPr>
            <w:tcW w:w="2278" w:type="dxa"/>
          </w:tcPr>
          <w:p>
            <w:pPr>
              <w:pStyle w:val="TableParagraph"/>
              <w:spacing w:before="28"/>
              <w:ind w:left="814" w:right="809"/>
              <w:jc w:val="center"/>
              <w:rPr>
                <w:sz w:val="18"/>
              </w:rPr>
            </w:pPr>
            <w:r>
              <w:rPr>
                <w:sz w:val="18"/>
              </w:rPr>
              <w:t>0.59</w:t>
            </w:r>
          </w:p>
        </w:tc>
        <w:tc>
          <w:tcPr>
            <w:tcW w:w="2616" w:type="dxa"/>
          </w:tcPr>
          <w:p>
            <w:pPr>
              <w:pStyle w:val="TableParagraph"/>
              <w:spacing w:before="28"/>
              <w:ind w:left="460" w:right="455"/>
              <w:jc w:val="center"/>
              <w:rPr>
                <w:sz w:val="18"/>
              </w:rPr>
            </w:pPr>
            <w:r>
              <w:rPr>
                <w:sz w:val="18"/>
              </w:rPr>
              <w:t>---</w:t>
            </w:r>
          </w:p>
        </w:tc>
      </w:tr>
      <w:tr>
        <w:trPr>
          <w:trHeight w:val="273" w:hRule="atLeast"/>
        </w:trPr>
        <w:tc>
          <w:tcPr>
            <w:tcW w:w="1901" w:type="dxa"/>
          </w:tcPr>
          <w:p>
            <w:pPr>
              <w:pStyle w:val="TableParagraph"/>
              <w:spacing w:before="28"/>
              <w:ind w:left="107"/>
              <w:rPr>
                <w:sz w:val="18"/>
              </w:rPr>
            </w:pPr>
            <w:r>
              <w:rPr>
                <w:sz w:val="18"/>
              </w:rPr>
              <w:t>Venezuela</w:t>
            </w:r>
          </w:p>
        </w:tc>
        <w:tc>
          <w:tcPr>
            <w:tcW w:w="2278" w:type="dxa"/>
          </w:tcPr>
          <w:p>
            <w:pPr>
              <w:pStyle w:val="TableParagraph"/>
              <w:spacing w:before="28"/>
              <w:ind w:left="814" w:right="807"/>
              <w:jc w:val="center"/>
              <w:rPr>
                <w:sz w:val="18"/>
              </w:rPr>
            </w:pPr>
            <w:r>
              <w:rPr>
                <w:sz w:val="18"/>
              </w:rPr>
              <w:t>0.58</w:t>
            </w:r>
          </w:p>
        </w:tc>
        <w:tc>
          <w:tcPr>
            <w:tcW w:w="2616" w:type="dxa"/>
          </w:tcPr>
          <w:p>
            <w:pPr>
              <w:pStyle w:val="TableParagraph"/>
              <w:spacing w:before="28"/>
              <w:ind w:left="460" w:right="454"/>
              <w:jc w:val="center"/>
              <w:rPr>
                <w:sz w:val="18"/>
              </w:rPr>
            </w:pPr>
            <w:r>
              <w:rPr>
                <w:sz w:val="18"/>
              </w:rPr>
              <w:t>---</w:t>
            </w:r>
          </w:p>
        </w:tc>
      </w:tr>
      <w:tr>
        <w:trPr>
          <w:trHeight w:val="275" w:hRule="atLeast"/>
        </w:trPr>
        <w:tc>
          <w:tcPr>
            <w:tcW w:w="1901" w:type="dxa"/>
          </w:tcPr>
          <w:p>
            <w:pPr>
              <w:pStyle w:val="TableParagraph"/>
              <w:spacing w:before="28"/>
              <w:ind w:left="107"/>
              <w:rPr>
                <w:sz w:val="18"/>
              </w:rPr>
            </w:pPr>
            <w:r>
              <w:rPr>
                <w:sz w:val="18"/>
              </w:rPr>
              <w:t>Turkey</w:t>
            </w:r>
          </w:p>
        </w:tc>
        <w:tc>
          <w:tcPr>
            <w:tcW w:w="2278" w:type="dxa"/>
          </w:tcPr>
          <w:p>
            <w:pPr>
              <w:pStyle w:val="TableParagraph"/>
              <w:spacing w:before="28"/>
              <w:ind w:left="814" w:right="809"/>
              <w:jc w:val="center"/>
              <w:rPr>
                <w:sz w:val="18"/>
              </w:rPr>
            </w:pPr>
            <w:r>
              <w:rPr>
                <w:sz w:val="18"/>
              </w:rPr>
              <w:t>0.56</w:t>
            </w:r>
          </w:p>
        </w:tc>
        <w:tc>
          <w:tcPr>
            <w:tcW w:w="2616" w:type="dxa"/>
          </w:tcPr>
          <w:p>
            <w:pPr>
              <w:pStyle w:val="TableParagraph"/>
              <w:spacing w:before="28"/>
              <w:ind w:left="460" w:right="454"/>
              <w:jc w:val="center"/>
              <w:rPr>
                <w:sz w:val="18"/>
              </w:rPr>
            </w:pPr>
            <w:r>
              <w:rPr>
                <w:sz w:val="18"/>
              </w:rPr>
              <w:t>---</w:t>
            </w:r>
          </w:p>
        </w:tc>
      </w:tr>
      <w:tr>
        <w:trPr>
          <w:trHeight w:val="273" w:hRule="atLeast"/>
        </w:trPr>
        <w:tc>
          <w:tcPr>
            <w:tcW w:w="1901" w:type="dxa"/>
          </w:tcPr>
          <w:p>
            <w:pPr>
              <w:pStyle w:val="TableParagraph"/>
              <w:spacing w:before="28"/>
              <w:ind w:left="107"/>
              <w:rPr>
                <w:sz w:val="18"/>
              </w:rPr>
            </w:pPr>
            <w:r>
              <w:rPr>
                <w:sz w:val="18"/>
              </w:rPr>
              <w:t>Argentina</w:t>
            </w:r>
          </w:p>
        </w:tc>
        <w:tc>
          <w:tcPr>
            <w:tcW w:w="2278" w:type="dxa"/>
          </w:tcPr>
          <w:p>
            <w:pPr>
              <w:pStyle w:val="TableParagraph"/>
              <w:spacing w:before="28"/>
              <w:ind w:left="814" w:right="809"/>
              <w:jc w:val="center"/>
              <w:rPr>
                <w:sz w:val="18"/>
              </w:rPr>
            </w:pPr>
            <w:r>
              <w:rPr>
                <w:sz w:val="18"/>
              </w:rPr>
              <w:t>0.50</w:t>
            </w:r>
          </w:p>
        </w:tc>
        <w:tc>
          <w:tcPr>
            <w:tcW w:w="2616" w:type="dxa"/>
          </w:tcPr>
          <w:p>
            <w:pPr>
              <w:pStyle w:val="TableParagraph"/>
              <w:spacing w:before="28"/>
              <w:ind w:left="460" w:right="455"/>
              <w:jc w:val="center"/>
              <w:rPr>
                <w:sz w:val="18"/>
              </w:rPr>
            </w:pPr>
            <w:r>
              <w:rPr>
                <w:sz w:val="18"/>
              </w:rPr>
              <w:t>---</w:t>
            </w:r>
          </w:p>
        </w:tc>
      </w:tr>
      <w:tr>
        <w:trPr>
          <w:trHeight w:val="273" w:hRule="atLeast"/>
        </w:trPr>
        <w:tc>
          <w:tcPr>
            <w:tcW w:w="1901" w:type="dxa"/>
          </w:tcPr>
          <w:p>
            <w:pPr>
              <w:pStyle w:val="TableParagraph"/>
              <w:spacing w:before="28"/>
              <w:ind w:left="107"/>
              <w:rPr>
                <w:sz w:val="18"/>
              </w:rPr>
            </w:pPr>
            <w:r>
              <w:rPr>
                <w:sz w:val="18"/>
              </w:rPr>
              <w:t>Ivory coast</w:t>
            </w:r>
          </w:p>
        </w:tc>
        <w:tc>
          <w:tcPr>
            <w:tcW w:w="2278" w:type="dxa"/>
          </w:tcPr>
          <w:p>
            <w:pPr>
              <w:pStyle w:val="TableParagraph"/>
              <w:spacing w:before="28"/>
              <w:ind w:left="814" w:right="807"/>
              <w:jc w:val="center"/>
              <w:rPr>
                <w:sz w:val="18"/>
              </w:rPr>
            </w:pPr>
            <w:r>
              <w:rPr>
                <w:sz w:val="18"/>
              </w:rPr>
              <w:t>0.29</w:t>
            </w:r>
          </w:p>
        </w:tc>
        <w:tc>
          <w:tcPr>
            <w:tcW w:w="2616" w:type="dxa"/>
          </w:tcPr>
          <w:p>
            <w:pPr>
              <w:pStyle w:val="TableParagraph"/>
              <w:spacing w:before="28"/>
              <w:ind w:left="460" w:right="453"/>
              <w:jc w:val="center"/>
              <w:rPr>
                <w:sz w:val="18"/>
              </w:rPr>
            </w:pPr>
            <w:r>
              <w:rPr>
                <w:sz w:val="18"/>
              </w:rPr>
              <w:t>---</w:t>
            </w:r>
          </w:p>
        </w:tc>
      </w:tr>
      <w:tr>
        <w:trPr>
          <w:trHeight w:val="275" w:hRule="atLeast"/>
        </w:trPr>
        <w:tc>
          <w:tcPr>
            <w:tcW w:w="1901" w:type="dxa"/>
          </w:tcPr>
          <w:p>
            <w:pPr>
              <w:pStyle w:val="TableParagraph"/>
              <w:spacing w:before="28"/>
              <w:ind w:left="107"/>
              <w:rPr>
                <w:sz w:val="18"/>
              </w:rPr>
            </w:pPr>
            <w:r>
              <w:rPr>
                <w:sz w:val="18"/>
              </w:rPr>
              <w:t>New-Zealand</w:t>
            </w:r>
          </w:p>
        </w:tc>
        <w:tc>
          <w:tcPr>
            <w:tcW w:w="2278" w:type="dxa"/>
          </w:tcPr>
          <w:p>
            <w:pPr>
              <w:pStyle w:val="TableParagraph"/>
              <w:spacing w:before="28"/>
              <w:ind w:left="814" w:right="808"/>
              <w:jc w:val="center"/>
              <w:rPr>
                <w:sz w:val="18"/>
              </w:rPr>
            </w:pPr>
            <w:r>
              <w:rPr>
                <w:sz w:val="18"/>
              </w:rPr>
              <w:t>0.21</w:t>
            </w:r>
          </w:p>
        </w:tc>
        <w:tc>
          <w:tcPr>
            <w:tcW w:w="2616" w:type="dxa"/>
          </w:tcPr>
          <w:p>
            <w:pPr>
              <w:pStyle w:val="TableParagraph"/>
              <w:spacing w:before="28"/>
              <w:ind w:left="460" w:right="454"/>
              <w:jc w:val="center"/>
              <w:rPr>
                <w:sz w:val="18"/>
              </w:rPr>
            </w:pPr>
            <w:r>
              <w:rPr>
                <w:sz w:val="18"/>
              </w:rPr>
              <w:t>---</w:t>
            </w:r>
          </w:p>
        </w:tc>
      </w:tr>
      <w:tr>
        <w:trPr>
          <w:trHeight w:val="510" w:hRule="atLeast"/>
        </w:trPr>
        <w:tc>
          <w:tcPr>
            <w:tcW w:w="6795" w:type="dxa"/>
            <w:gridSpan w:val="3"/>
          </w:tcPr>
          <w:p>
            <w:pPr>
              <w:pStyle w:val="TableParagraph"/>
              <w:spacing w:before="54"/>
              <w:ind w:left="102" w:right="290"/>
              <w:rPr>
                <w:sz w:val="18"/>
              </w:rPr>
            </w:pPr>
            <w:r>
              <w:rPr>
                <w:sz w:val="16"/>
              </w:rPr>
              <w:t>Malik </w:t>
            </w:r>
            <w:r>
              <w:rPr>
                <w:i/>
                <w:sz w:val="16"/>
              </w:rPr>
              <w:t>et al.</w:t>
            </w:r>
            <w:r>
              <w:rPr>
                <w:sz w:val="16"/>
              </w:rPr>
              <w:t>, 2000; US Army Corps Dams Database 1996; WCD, 2001; ICOLD 1998. Environment Canada Reservoir Database (Duchemin, 2002a); Dos Santos, 2000</w:t>
            </w:r>
            <w:r>
              <w:rPr>
                <w:sz w:val="18"/>
              </w:rPr>
              <w:t>.</w:t>
            </w:r>
          </w:p>
        </w:tc>
      </w:tr>
    </w:tbl>
    <w:p>
      <w:pPr>
        <w:pStyle w:val="BodyText"/>
        <w:spacing w:before="4"/>
        <w:rPr>
          <w:sz w:val="22"/>
        </w:rPr>
      </w:pPr>
    </w:p>
    <w:p>
      <w:pPr>
        <w:spacing w:before="91"/>
        <w:ind w:left="159" w:right="0" w:firstLine="0"/>
        <w:jc w:val="left"/>
        <w:rPr>
          <w:b/>
          <w:sz w:val="20"/>
        </w:rPr>
      </w:pPr>
      <w:r>
        <w:rPr>
          <w:b/>
          <w:sz w:val="20"/>
        </w:rPr>
        <w:t>Period of ice-free cover/Period of ice-cover</w:t>
      </w:r>
    </w:p>
    <w:p>
      <w:pPr>
        <w:pStyle w:val="BodyText"/>
        <w:spacing w:before="113"/>
        <w:ind w:left="159" w:right="168"/>
        <w:jc w:val="both"/>
      </w:pPr>
      <w:r>
        <w:rPr/>
        <w:t>Under Tiers 2, and 3, the periods during which the reservoirs are ice-free or ice-covered are required to estimate diffusive and bubbles emissions of CH</w:t>
      </w:r>
      <w:r>
        <w:rPr>
          <w:vertAlign w:val="subscript"/>
        </w:rPr>
        <w:t>4</w:t>
      </w:r>
      <w:r>
        <w:rPr>
          <w:vertAlign w:val="baseline"/>
        </w:rPr>
        <w:t>. These data can be obtained from national meteorological services or hydro utilitity companies.</w:t>
      </w:r>
    </w:p>
    <w:p>
      <w:pPr>
        <w:spacing w:before="126"/>
        <w:ind w:left="159" w:right="0" w:firstLine="0"/>
        <w:jc w:val="left"/>
        <w:rPr>
          <w:b/>
          <w:sz w:val="20"/>
        </w:rPr>
      </w:pPr>
      <w:r>
        <w:rPr>
          <w:b/>
          <w:sz w:val="20"/>
        </w:rPr>
        <w:t>Outflow/Spillway Volume</w:t>
      </w:r>
    </w:p>
    <w:p>
      <w:pPr>
        <w:pStyle w:val="BodyText"/>
        <w:spacing w:before="114"/>
        <w:ind w:left="159" w:right="166"/>
        <w:jc w:val="both"/>
      </w:pPr>
      <w:r>
        <w:rPr/>
        <w:t>Under Tier 2, flooded land outflow and spillway volume are required to estimate degassing emissions of CH</w:t>
      </w:r>
      <w:r>
        <w:rPr>
          <w:vertAlign w:val="subscript"/>
        </w:rPr>
        <w:t>4</w:t>
      </w:r>
      <w:r>
        <w:rPr>
          <w:vertAlign w:val="baseline"/>
        </w:rPr>
        <w:t>. These data can be obtained from hydro utility companies. Degassing fluxes are, mainly, a particularity of hydroelectric reservoirs.</w:t>
      </w:r>
    </w:p>
    <w:p>
      <w:pPr>
        <w:pStyle w:val="BodyText"/>
        <w:spacing w:before="121"/>
        <w:ind w:left="159" w:right="164"/>
        <w:jc w:val="both"/>
      </w:pPr>
      <w:r>
        <w:rPr/>
        <w:t>Tier 3 has much more extensive data requirements which can support more complex modelling of emissions  over time. Generally, this data can be compiled in a national reservoir inventory. The national  reservoir inventory should cover all types of reservoirs and include data and/or information on reservoir names, types, surface area, depth, outflow rates, gas concentration before and after the turbines, climate conditions, water pH, geological basement, eco-region type, and geographical coordinates (Duchemin, 2000; Duchemin </w:t>
      </w:r>
      <w:r>
        <w:rPr>
          <w:i/>
        </w:rPr>
        <w:t>et al.</w:t>
      </w:r>
      <w:r>
        <w:rPr/>
        <w:t>, 1995; Tavares de lima, 2002; Duchemin </w:t>
      </w:r>
      <w:r>
        <w:rPr>
          <w:i/>
        </w:rPr>
        <w:t>et al.</w:t>
      </w:r>
      <w:r>
        <w:rPr/>
        <w:t>, 1999; Duchemin,</w:t>
      </w:r>
      <w:r>
        <w:rPr>
          <w:spacing w:val="-2"/>
        </w:rPr>
        <w:t> </w:t>
      </w:r>
      <w:r>
        <w:rPr/>
        <w:t>2002a).</w:t>
      </w:r>
    </w:p>
    <w:p>
      <w:pPr>
        <w:spacing w:before="122"/>
        <w:ind w:left="159" w:right="0" w:firstLine="0"/>
        <w:jc w:val="left"/>
        <w:rPr>
          <w:b/>
          <w:sz w:val="20"/>
        </w:rPr>
      </w:pPr>
      <w:r>
        <w:rPr>
          <w:b/>
          <w:sz w:val="20"/>
        </w:rPr>
        <w:t>CO</w:t>
      </w:r>
      <w:r>
        <w:rPr>
          <w:b/>
          <w:sz w:val="20"/>
          <w:vertAlign w:val="subscript"/>
        </w:rPr>
        <w:t>2</w:t>
      </w:r>
      <w:r>
        <w:rPr>
          <w:b/>
          <w:sz w:val="20"/>
          <w:vertAlign w:val="baseline"/>
        </w:rPr>
        <w:t> and CH</w:t>
      </w:r>
      <w:r>
        <w:rPr>
          <w:b/>
          <w:sz w:val="20"/>
          <w:vertAlign w:val="subscript"/>
        </w:rPr>
        <w:t>4</w:t>
      </w:r>
      <w:r>
        <w:rPr>
          <w:b/>
          <w:sz w:val="20"/>
          <w:vertAlign w:val="baseline"/>
        </w:rPr>
        <w:t> concentrations upstream and downstream of dams</w:t>
      </w:r>
    </w:p>
    <w:p>
      <w:pPr>
        <w:pStyle w:val="BodyText"/>
        <w:spacing w:before="116"/>
        <w:ind w:left="159" w:right="164"/>
        <w:jc w:val="both"/>
      </w:pPr>
      <w:r>
        <w:rPr/>
        <w:t>Under Tiers 2 and 3, CH</w:t>
      </w:r>
      <w:r>
        <w:rPr>
          <w:vertAlign w:val="subscript"/>
        </w:rPr>
        <w:t>4</w:t>
      </w:r>
      <w:r>
        <w:rPr>
          <w:vertAlign w:val="baseline"/>
        </w:rPr>
        <w:t> concentrations upstream and downstream of dams would be needed for estimation of the degassing emissions. These data can be obtained as described by Fearnside (2002), Galy-Lacaux </w:t>
      </w:r>
      <w:r>
        <w:rPr>
          <w:i/>
          <w:vertAlign w:val="baseline"/>
        </w:rPr>
        <w:t>et al. </w:t>
      </w:r>
      <w:r>
        <w:rPr>
          <w:vertAlign w:val="baseline"/>
        </w:rPr>
        <w:t>(1997) and Duchemin (2002b).</w:t>
      </w:r>
    </w:p>
    <w:p>
      <w:pPr>
        <w:spacing w:after="0"/>
        <w:jc w:val="both"/>
        <w:sectPr>
          <w:pgSz w:w="11900" w:h="16840"/>
          <w:pgMar w:header="230" w:footer="408" w:top="560" w:bottom="600" w:left="1260" w:right="1240"/>
        </w:sectPr>
      </w:pPr>
    </w:p>
    <w:p>
      <w:pPr>
        <w:pStyle w:val="BodyText"/>
      </w:pPr>
    </w:p>
    <w:p>
      <w:pPr>
        <w:pStyle w:val="BodyText"/>
        <w:rPr>
          <w:sz w:val="22"/>
        </w:rPr>
      </w:pPr>
    </w:p>
    <w:p>
      <w:pPr>
        <w:spacing w:before="92"/>
        <w:ind w:left="556" w:right="565" w:firstLine="0"/>
        <w:jc w:val="center"/>
        <w:rPr>
          <w:b/>
          <w:sz w:val="18"/>
        </w:rPr>
      </w:pPr>
      <w:r>
        <w:rPr/>
        <w:pict>
          <v:group style="position:absolute;margin-left:91.240997pt;margin-top:-1.877356pt;width:412.95pt;height:506.4pt;mso-position-horizontal-relative:page;mso-position-vertical-relative:paragraph;z-index:-2439400" coordorigin="1825,-38" coordsize="8259,10128">
            <v:line style="position:absolute" from="1854,-23" to="10054,-23" stroked="true" strokeweight="1.44pt" strokecolor="#000000">
              <v:stroke dashstyle="solid"/>
            </v:line>
            <v:shape style="position:absolute;left:1839;top:-38;width:8216;height:10128" coordorigin="1839,-38" coordsize="8216,10128" path="m1854,10076l10054,10076m1839,-38l1839,10090e" filled="false" stroked="true" strokeweight="1.44pt" strokecolor="#000000">
              <v:path arrowok="t"/>
              <v:stroke dashstyle="solid"/>
            </v:shape>
            <v:line style="position:absolute" from="10069,-38" to="10069,10090" stroked="true" strokeweight="1.44pt" strokecolor="#000000">
              <v:stroke dashstyle="solid"/>
            </v:line>
            <w10:wrap type="none"/>
          </v:group>
        </w:pict>
      </w:r>
      <w:r>
        <w:rPr>
          <w:b/>
          <w:sz w:val="18"/>
        </w:rPr>
        <w:t>B</w:t>
      </w:r>
      <w:r>
        <w:rPr>
          <w:b/>
          <w:sz w:val="14"/>
        </w:rPr>
        <w:t>OX </w:t>
      </w:r>
      <w:r>
        <w:rPr>
          <w:b/>
          <w:sz w:val="18"/>
        </w:rPr>
        <w:t>3a.3.1</w:t>
      </w:r>
    </w:p>
    <w:p>
      <w:pPr>
        <w:spacing w:before="2"/>
        <w:ind w:left="2662" w:right="0" w:firstLine="0"/>
        <w:jc w:val="left"/>
        <w:rPr>
          <w:b/>
          <w:sz w:val="14"/>
        </w:rPr>
      </w:pPr>
      <w:r>
        <w:rPr>
          <w:b/>
          <w:sz w:val="18"/>
        </w:rPr>
        <w:t>D</w:t>
      </w:r>
      <w:r>
        <w:rPr>
          <w:b/>
          <w:sz w:val="14"/>
        </w:rPr>
        <w:t>ERIVATION OF COUNTRY</w:t>
      </w:r>
      <w:r>
        <w:rPr>
          <w:b/>
          <w:sz w:val="18"/>
        </w:rPr>
        <w:t>-</w:t>
      </w:r>
      <w:r>
        <w:rPr>
          <w:b/>
          <w:sz w:val="14"/>
        </w:rPr>
        <w:t>SPECIFIC EMISSION FACTORS</w:t>
      </w:r>
    </w:p>
    <w:p>
      <w:pPr>
        <w:pStyle w:val="BodyText"/>
        <w:spacing w:before="113"/>
        <w:ind w:left="720" w:right="723"/>
        <w:jc w:val="both"/>
      </w:pPr>
      <w:r>
        <w:rPr/>
        <w:t>In general, derivation of country-specific emission factors requires the measurement of emissions by individual sub-source category (i.e., flooded land surface area, flooded land age, management types, such as hydroelectric, agriculture, and water regulation). Emission levels vary widely between reservoirs depending upon factors such as: area, type of ecosystems flooded, reservoir depth and shape, local climate, geological basement the way in which the dam is operated, and ecological and physical characteristics of the dammed river basin. Emissions can also vary widely between different parts of the same reservoir (largely due to changes in depth, exposure to wind and sun, and growth of water plants), and from year to year, season to season, and even between night and day (Duchemin, 2000; Duchemin </w:t>
      </w:r>
      <w:r>
        <w:rPr>
          <w:i/>
        </w:rPr>
        <w:t>et al.</w:t>
      </w:r>
      <w:r>
        <w:rPr/>
        <w:t>, 1995; Tavares de lima, 2002; Duchemin </w:t>
      </w:r>
      <w:r>
        <w:rPr>
          <w:i/>
        </w:rPr>
        <w:t>et al.</w:t>
      </w:r>
      <w:r>
        <w:rPr/>
        <w:t>, 1999; Duchemin, 2002a).</w:t>
      </w:r>
    </w:p>
    <w:p>
      <w:pPr>
        <w:pStyle w:val="BodyText"/>
        <w:spacing w:before="117"/>
        <w:ind w:left="720" w:right="727"/>
        <w:jc w:val="both"/>
      </w:pPr>
      <w:r>
        <w:rPr/>
        <w:t>For emission factors to be representative of environmental and management conditions within the country, measurements should be made in different flooded lands regions within a country, in all seasons, and if relevant, in different geographic regions and under different management regimes (Duchemin </w:t>
      </w:r>
      <w:r>
        <w:rPr>
          <w:i/>
        </w:rPr>
        <w:t>et al.</w:t>
      </w:r>
      <w:r>
        <w:rPr/>
        <w:t>, 1999, Duchemin </w:t>
      </w:r>
      <w:r>
        <w:rPr>
          <w:i/>
        </w:rPr>
        <w:t>et al.</w:t>
      </w:r>
      <w:r>
        <w:rPr/>
        <w:t>, 2002a). Appropriate selection of regions or regimes may enable a reduction in the number of sites that must be sampled to derive a reliable flux estimate. Maps, remote sensing data, or a dams database can provide a useful basis for delineation by utilising the variability of a system or landscape. Aggregation errors may occur if available measurements do not cover the actual range of environmental and flooded lands management conditions, and inter-annual climatic variability. Validated, calibrated, and well-documented simulation models may be a useful tool to develop area-average emission factors on the basis of measurement data (Duchemin, 2000).</w:t>
      </w:r>
    </w:p>
    <w:p>
      <w:pPr>
        <w:pStyle w:val="BodyText"/>
        <w:spacing w:before="120"/>
        <w:ind w:left="720" w:right="727"/>
        <w:jc w:val="both"/>
      </w:pPr>
      <w:r>
        <w:rPr/>
        <w:t>Regarding measurement period and frequency, emission measurements should be taken over an entire year, and preferably over a series of years, in order to reflect differences in weather conditions, inter-annual climatic variability and flooded land evolution (Scott </w:t>
      </w:r>
      <w:r>
        <w:rPr>
          <w:i/>
        </w:rPr>
        <w:t>et al.</w:t>
      </w:r>
      <w:r>
        <w:rPr/>
        <w:t>, 1999; Duchemin, 2000; Tavares de Lima, 2002). A good description of the measurement techniques that are available can be found in Duchemin </w:t>
      </w:r>
      <w:r>
        <w:rPr>
          <w:i/>
        </w:rPr>
        <w:t>et al. </w:t>
      </w:r>
      <w:r>
        <w:rPr/>
        <w:t>(1995), Galy-Lacaux </w:t>
      </w:r>
      <w:r>
        <w:rPr>
          <w:i/>
        </w:rPr>
        <w:t>et al. </w:t>
      </w:r>
      <w:r>
        <w:rPr/>
        <w:t>(1997), Duchemin (2000), Fearnside (2002) and Duchemin et al</w:t>
      </w:r>
      <w:r>
        <w:rPr>
          <w:spacing w:val="-3"/>
        </w:rPr>
        <w:t> </w:t>
      </w:r>
      <w:r>
        <w:rPr/>
        <w:t>(2002b).</w:t>
      </w:r>
    </w:p>
    <w:p>
      <w:pPr>
        <w:pStyle w:val="BodyText"/>
        <w:spacing w:before="117"/>
        <w:ind w:left="720" w:right="725"/>
        <w:jc w:val="both"/>
      </w:pPr>
      <w:r>
        <w:rPr/>
        <w:t>To</w:t>
      </w:r>
      <w:r>
        <w:rPr>
          <w:spacing w:val="-11"/>
        </w:rPr>
        <w:t> </w:t>
      </w:r>
      <w:r>
        <w:rPr>
          <w:spacing w:val="-3"/>
        </w:rPr>
        <w:t>ensure</w:t>
      </w:r>
      <w:r>
        <w:rPr>
          <w:spacing w:val="-10"/>
        </w:rPr>
        <w:t> </w:t>
      </w:r>
      <w:r>
        <w:rPr/>
        <w:t>accurate</w:t>
      </w:r>
      <w:r>
        <w:rPr>
          <w:spacing w:val="-10"/>
        </w:rPr>
        <w:t> </w:t>
      </w:r>
      <w:r>
        <w:rPr/>
        <w:t>emission</w:t>
      </w:r>
      <w:r>
        <w:rPr>
          <w:spacing w:val="-11"/>
        </w:rPr>
        <w:t> </w:t>
      </w:r>
      <w:r>
        <w:rPr/>
        <w:t>factors</w:t>
      </w:r>
      <w:r>
        <w:rPr>
          <w:spacing w:val="-12"/>
        </w:rPr>
        <w:t> </w:t>
      </w:r>
      <w:r>
        <w:rPr/>
        <w:t>of</w:t>
      </w:r>
      <w:r>
        <w:rPr>
          <w:spacing w:val="-14"/>
        </w:rPr>
        <w:t> </w:t>
      </w:r>
      <w:r>
        <w:rPr>
          <w:spacing w:val="-3"/>
        </w:rPr>
        <w:t>diffusive</w:t>
      </w:r>
      <w:r>
        <w:rPr>
          <w:spacing w:val="-10"/>
        </w:rPr>
        <w:t> </w:t>
      </w:r>
      <w:r>
        <w:rPr/>
        <w:t>and</w:t>
      </w:r>
      <w:r>
        <w:rPr>
          <w:spacing w:val="-11"/>
        </w:rPr>
        <w:t> </w:t>
      </w:r>
      <w:r>
        <w:rPr>
          <w:spacing w:val="-3"/>
        </w:rPr>
        <w:t>bubble</w:t>
      </w:r>
      <w:r>
        <w:rPr>
          <w:spacing w:val="-12"/>
        </w:rPr>
        <w:t> </w:t>
      </w:r>
      <w:r>
        <w:rPr/>
        <w:t>emissions,</w:t>
      </w:r>
      <w:r>
        <w:rPr>
          <w:spacing w:val="-11"/>
        </w:rPr>
        <w:t> </w:t>
      </w:r>
      <w:r>
        <w:rPr/>
        <w:t>representative</w:t>
      </w:r>
      <w:r>
        <w:rPr>
          <w:spacing w:val="-10"/>
        </w:rPr>
        <w:t> </w:t>
      </w:r>
      <w:r>
        <w:rPr/>
        <w:t>sites</w:t>
      </w:r>
      <w:r>
        <w:rPr>
          <w:spacing w:val="-11"/>
        </w:rPr>
        <w:t> </w:t>
      </w:r>
      <w:r>
        <w:rPr/>
        <w:t>for</w:t>
      </w:r>
      <w:r>
        <w:rPr>
          <w:spacing w:val="-12"/>
        </w:rPr>
        <w:t> </w:t>
      </w:r>
      <w:r>
        <w:rPr/>
        <w:t>factors that</w:t>
      </w:r>
      <w:r>
        <w:rPr>
          <w:spacing w:val="-5"/>
        </w:rPr>
        <w:t> </w:t>
      </w:r>
      <w:r>
        <w:rPr/>
        <w:t>may</w:t>
      </w:r>
      <w:r>
        <w:rPr>
          <w:spacing w:val="-8"/>
        </w:rPr>
        <w:t> </w:t>
      </w:r>
      <w:r>
        <w:rPr/>
        <w:t>influence</w:t>
      </w:r>
      <w:r>
        <w:rPr>
          <w:spacing w:val="-5"/>
        </w:rPr>
        <w:t> </w:t>
      </w:r>
      <w:r>
        <w:rPr/>
        <w:t>annual</w:t>
      </w:r>
      <w:r>
        <w:rPr>
          <w:spacing w:val="-7"/>
        </w:rPr>
        <w:t> </w:t>
      </w:r>
      <w:r>
        <w:rPr/>
        <w:t>and</w:t>
      </w:r>
      <w:r>
        <w:rPr>
          <w:spacing w:val="-4"/>
        </w:rPr>
        <w:t> </w:t>
      </w:r>
      <w:r>
        <w:rPr/>
        <w:t>inter-annual</w:t>
      </w:r>
      <w:r>
        <w:rPr>
          <w:spacing w:val="-5"/>
        </w:rPr>
        <w:t> </w:t>
      </w:r>
      <w:r>
        <w:rPr/>
        <w:t>variability</w:t>
      </w:r>
      <w:r>
        <w:rPr>
          <w:spacing w:val="-8"/>
        </w:rPr>
        <w:t> </w:t>
      </w:r>
      <w:r>
        <w:rPr/>
        <w:t>of</w:t>
      </w:r>
      <w:r>
        <w:rPr>
          <w:spacing w:val="-8"/>
        </w:rPr>
        <w:t> </w:t>
      </w:r>
      <w:r>
        <w:rPr/>
        <w:t>the</w:t>
      </w:r>
      <w:r>
        <w:rPr>
          <w:spacing w:val="-5"/>
        </w:rPr>
        <w:t> </w:t>
      </w:r>
      <w:r>
        <w:rPr/>
        <w:t>emissions,</w:t>
      </w:r>
      <w:r>
        <w:rPr>
          <w:spacing w:val="-2"/>
        </w:rPr>
        <w:t> </w:t>
      </w:r>
      <w:r>
        <w:rPr>
          <w:spacing w:val="-3"/>
        </w:rPr>
        <w:t>would</w:t>
      </w:r>
      <w:r>
        <w:rPr>
          <w:spacing w:val="-5"/>
        </w:rPr>
        <w:t> </w:t>
      </w:r>
      <w:r>
        <w:rPr/>
        <w:t>need</w:t>
      </w:r>
      <w:r>
        <w:rPr>
          <w:spacing w:val="-6"/>
        </w:rPr>
        <w:t> </w:t>
      </w:r>
      <w:r>
        <w:rPr/>
        <w:t>to</w:t>
      </w:r>
      <w:r>
        <w:rPr>
          <w:spacing w:val="-5"/>
        </w:rPr>
        <w:t> </w:t>
      </w:r>
      <w:r>
        <w:rPr/>
        <w:t>be</w:t>
      </w:r>
      <w:r>
        <w:rPr>
          <w:spacing w:val="-5"/>
        </w:rPr>
        <w:t> </w:t>
      </w:r>
      <w:r>
        <w:rPr>
          <w:spacing w:val="-3"/>
        </w:rPr>
        <w:t>monitored. </w:t>
      </w:r>
      <w:r>
        <w:rPr/>
        <w:t>Such factors include depth and water level variation, water temperature, </w:t>
      </w:r>
      <w:r>
        <w:rPr>
          <w:spacing w:val="-3"/>
        </w:rPr>
        <w:t>wind </w:t>
      </w:r>
      <w:r>
        <w:rPr>
          <w:spacing w:val="-2"/>
        </w:rPr>
        <w:t>speed. </w:t>
      </w:r>
      <w:r>
        <w:rPr/>
        <w:t>Degassing emission factors may vary with </w:t>
      </w:r>
      <w:r>
        <w:rPr>
          <w:spacing w:val="-3"/>
        </w:rPr>
        <w:t>water temperature, </w:t>
      </w:r>
      <w:r>
        <w:rPr/>
        <w:t>which should be </w:t>
      </w:r>
      <w:r>
        <w:rPr>
          <w:spacing w:val="-3"/>
        </w:rPr>
        <w:t>measured </w:t>
      </w:r>
      <w:r>
        <w:rPr/>
        <w:t>upstream of </w:t>
      </w:r>
      <w:r>
        <w:rPr>
          <w:spacing w:val="-3"/>
        </w:rPr>
        <w:t>turbines </w:t>
      </w:r>
      <w:r>
        <w:rPr>
          <w:spacing w:val="-2"/>
        </w:rPr>
        <w:t>and</w:t>
      </w:r>
      <w:r>
        <w:rPr>
          <w:spacing w:val="-7"/>
        </w:rPr>
        <w:t> </w:t>
      </w:r>
      <w:r>
        <w:rPr/>
        <w:t>downstream</w:t>
      </w:r>
      <w:r>
        <w:rPr>
          <w:spacing w:val="-9"/>
        </w:rPr>
        <w:t> </w:t>
      </w:r>
      <w:r>
        <w:rPr/>
        <w:t>of</w:t>
      </w:r>
      <w:r>
        <w:rPr>
          <w:spacing w:val="-9"/>
        </w:rPr>
        <w:t> </w:t>
      </w:r>
      <w:r>
        <w:rPr/>
        <w:t>dams</w:t>
      </w:r>
      <w:r>
        <w:rPr>
          <w:spacing w:val="-6"/>
        </w:rPr>
        <w:t> </w:t>
      </w:r>
      <w:r>
        <w:rPr/>
        <w:t>so</w:t>
      </w:r>
      <w:r>
        <w:rPr>
          <w:spacing w:val="-7"/>
        </w:rPr>
        <w:t> </w:t>
      </w:r>
      <w:r>
        <w:rPr/>
        <w:t>that</w:t>
      </w:r>
      <w:r>
        <w:rPr>
          <w:spacing w:val="-8"/>
        </w:rPr>
        <w:t> </w:t>
      </w:r>
      <w:r>
        <w:rPr/>
        <w:t>the</w:t>
      </w:r>
      <w:r>
        <w:rPr>
          <w:spacing w:val="-7"/>
        </w:rPr>
        <w:t> </w:t>
      </w:r>
      <w:r>
        <w:rPr/>
        <w:t>correlation</w:t>
      </w:r>
      <w:r>
        <w:rPr>
          <w:spacing w:val="-9"/>
        </w:rPr>
        <w:t> </w:t>
      </w:r>
      <w:r>
        <w:rPr/>
        <w:t>can</w:t>
      </w:r>
      <w:r>
        <w:rPr>
          <w:spacing w:val="-9"/>
        </w:rPr>
        <w:t> </w:t>
      </w:r>
      <w:r>
        <w:rPr/>
        <w:t>be</w:t>
      </w:r>
      <w:r>
        <w:rPr>
          <w:spacing w:val="-7"/>
        </w:rPr>
        <w:t> </w:t>
      </w:r>
      <w:r>
        <w:rPr/>
        <w:t>established</w:t>
      </w:r>
      <w:r>
        <w:rPr>
          <w:spacing w:val="-7"/>
        </w:rPr>
        <w:t> </w:t>
      </w:r>
      <w:r>
        <w:rPr>
          <w:spacing w:val="-2"/>
        </w:rPr>
        <w:t>for</w:t>
      </w:r>
      <w:r>
        <w:rPr>
          <w:spacing w:val="-5"/>
        </w:rPr>
        <w:t> </w:t>
      </w:r>
      <w:r>
        <w:rPr>
          <w:spacing w:val="-3"/>
        </w:rPr>
        <w:t>higher</w:t>
      </w:r>
      <w:r>
        <w:rPr>
          <w:spacing w:val="-7"/>
        </w:rPr>
        <w:t> </w:t>
      </w:r>
      <w:r>
        <w:rPr/>
        <w:t>tier</w:t>
      </w:r>
      <w:r>
        <w:rPr>
          <w:spacing w:val="-5"/>
        </w:rPr>
        <w:t> </w:t>
      </w:r>
      <w:r>
        <w:rPr>
          <w:spacing w:val="-3"/>
        </w:rPr>
        <w:t>methods.</w:t>
      </w:r>
    </w:p>
    <w:p>
      <w:pPr>
        <w:pStyle w:val="BodyText"/>
        <w:spacing w:before="120"/>
        <w:ind w:left="720" w:right="728"/>
        <w:jc w:val="both"/>
      </w:pPr>
      <w:r>
        <w:rPr/>
        <w:t>The frequency of measurement should be consistent with the frequency of the factors that </w:t>
      </w:r>
      <w:r>
        <w:rPr>
          <w:spacing w:val="-3"/>
        </w:rPr>
        <w:t>influence </w:t>
      </w:r>
      <w:r>
        <w:rPr/>
        <w:t>annual and inter-annual variability. Emissions are likely to be variable among geographic regions, especially among different eco-regions, climatic zones and geological basements.</w:t>
      </w:r>
    </w:p>
    <w:p>
      <w:pPr>
        <w:pStyle w:val="BodyText"/>
        <w:spacing w:line="242" w:lineRule="auto" w:before="119"/>
        <w:ind w:left="720" w:right="729"/>
        <w:jc w:val="both"/>
      </w:pPr>
      <w:r>
        <w:rPr/>
        <w:t>In general, emission factors are determined by taking the mean of the emissions of representative sites. This averaging needs to consider the importance of each geographic zone and seasonal period for the</w:t>
      </w:r>
      <w:r>
        <w:rPr>
          <w:spacing w:val="2"/>
        </w:rPr>
        <w:t> </w:t>
      </w:r>
      <w:r>
        <w:rPr/>
        <w:t>country.</w:t>
      </w:r>
    </w:p>
    <w:p>
      <w:pPr>
        <w:pStyle w:val="BodyText"/>
      </w:pPr>
    </w:p>
    <w:p>
      <w:pPr>
        <w:pStyle w:val="BodyText"/>
        <w:spacing w:before="10"/>
        <w:rPr>
          <w:sz w:val="17"/>
        </w:rPr>
      </w:pPr>
    </w:p>
    <w:p>
      <w:pPr>
        <w:tabs>
          <w:tab w:pos="1606" w:val="left" w:leader="none"/>
        </w:tabs>
        <w:spacing w:before="89"/>
        <w:ind w:left="159" w:right="0" w:firstLine="0"/>
        <w:jc w:val="left"/>
        <w:rPr>
          <w:b/>
          <w:sz w:val="22"/>
        </w:rPr>
      </w:pPr>
      <w:r>
        <w:rPr>
          <w:b/>
          <w:spacing w:val="16"/>
          <w:sz w:val="28"/>
        </w:rPr>
        <w:t>3a.3.3.2</w:t>
        <w:tab/>
      </w:r>
      <w:r>
        <w:rPr>
          <w:b/>
          <w:spacing w:val="17"/>
          <w:sz w:val="28"/>
        </w:rPr>
        <w:t>U</w:t>
      </w:r>
      <w:r>
        <w:rPr>
          <w:b/>
          <w:spacing w:val="17"/>
          <w:sz w:val="22"/>
        </w:rPr>
        <w:t>NCERTAINTY</w:t>
      </w:r>
      <w:r>
        <w:rPr>
          <w:b/>
          <w:spacing w:val="39"/>
          <w:sz w:val="22"/>
        </w:rPr>
        <w:t> </w:t>
      </w:r>
      <w:r>
        <w:rPr>
          <w:b/>
          <w:spacing w:val="16"/>
          <w:sz w:val="22"/>
        </w:rPr>
        <w:t>ASSESSMENT</w:t>
      </w:r>
    </w:p>
    <w:p>
      <w:pPr>
        <w:pStyle w:val="BodyText"/>
        <w:spacing w:before="209"/>
        <w:ind w:left="159" w:right="167"/>
        <w:jc w:val="both"/>
      </w:pPr>
      <w:r>
        <w:rPr/>
        <w:t>The two largest sources of uncertainty in the estimation of greenhouse gas emissions from reservoirs are associated with the emission factors from the various pathways (diffusive, bubble and degassing) and to the reservoir surface area estimates.</w:t>
      </w:r>
    </w:p>
    <w:p>
      <w:pPr>
        <w:pStyle w:val="BodyText"/>
        <w:spacing w:before="10"/>
        <w:rPr>
          <w:sz w:val="19"/>
        </w:rPr>
      </w:pPr>
    </w:p>
    <w:p>
      <w:pPr>
        <w:pStyle w:val="BodyText"/>
        <w:spacing w:before="1"/>
        <w:ind w:left="159" w:right="165"/>
        <w:jc w:val="both"/>
      </w:pPr>
      <w:r>
        <w:rPr>
          <w:b/>
        </w:rPr>
        <w:t>Emission factors</w:t>
      </w:r>
      <w:r>
        <w:rPr/>
        <w:t>: Daily average diffusive emissions, derived from field measurements, vary by an order of magnitude for CH</w:t>
      </w:r>
      <w:r>
        <w:rPr>
          <w:vertAlign w:val="subscript"/>
        </w:rPr>
        <w:t>4</w:t>
      </w:r>
      <w:r>
        <w:rPr>
          <w:vertAlign w:val="baseline"/>
        </w:rPr>
        <w:t> and by a factor of 5 for CO</w:t>
      </w:r>
      <w:r>
        <w:rPr>
          <w:vertAlign w:val="subscript"/>
        </w:rPr>
        <w:t>2</w:t>
      </w:r>
      <w:r>
        <w:rPr>
          <w:vertAlign w:val="baseline"/>
        </w:rPr>
        <w:t> and N</w:t>
      </w:r>
      <w:r>
        <w:rPr>
          <w:vertAlign w:val="subscript"/>
        </w:rPr>
        <w:t>2</w:t>
      </w:r>
      <w:r>
        <w:rPr>
          <w:vertAlign w:val="baseline"/>
        </w:rPr>
        <w:t>O (Table 3a.3.4). Furthermore, daily average bubble emissions of CH</w:t>
      </w:r>
      <w:r>
        <w:rPr>
          <w:vertAlign w:val="subscript"/>
        </w:rPr>
        <w:t>4</w:t>
      </w:r>
      <w:r>
        <w:rPr>
          <w:vertAlign w:val="baseline"/>
        </w:rPr>
        <w:t> vary by more than an order of magnitude. Use of default measurements for different reservoir types and in other regions will also result in uncertainty. Furthermore, most of the greenhouse gas flux measurements have been undertaken on hydroelectric reservoirs, so that other types of reservoirs are not included in the default emissions</w:t>
      </w:r>
      <w:r>
        <w:rPr>
          <w:spacing w:val="-1"/>
          <w:vertAlign w:val="baseline"/>
        </w:rPr>
        <w:t> </w:t>
      </w:r>
      <w:r>
        <w:rPr>
          <w:vertAlign w:val="baseline"/>
        </w:rPr>
        <w:t>estimates.</w:t>
      </w:r>
    </w:p>
    <w:p>
      <w:pPr>
        <w:pStyle w:val="BodyText"/>
      </w:pPr>
    </w:p>
    <w:p>
      <w:pPr>
        <w:pStyle w:val="BodyText"/>
        <w:ind w:left="159" w:right="167"/>
        <w:jc w:val="both"/>
      </w:pPr>
      <w:r>
        <w:rPr>
          <w:b/>
        </w:rPr>
        <w:t>Flooded land surface area: </w:t>
      </w:r>
      <w:r>
        <w:rPr/>
        <w:t>Information on the flooded area retained behind larger dams should be available and will probably be uncertain by no more than a few percent. However, information on the flooded land surface area</w:t>
      </w:r>
      <w:r>
        <w:rPr>
          <w:spacing w:val="19"/>
        </w:rPr>
        <w:t> </w:t>
      </w:r>
      <w:r>
        <w:rPr/>
        <w:t>may</w:t>
      </w:r>
      <w:r>
        <w:rPr>
          <w:spacing w:val="18"/>
        </w:rPr>
        <w:t> </w:t>
      </w:r>
      <w:r>
        <w:rPr/>
        <w:t>be</w:t>
      </w:r>
      <w:r>
        <w:rPr>
          <w:spacing w:val="21"/>
        </w:rPr>
        <w:t> </w:t>
      </w:r>
      <w:r>
        <w:rPr/>
        <w:t>more</w:t>
      </w:r>
      <w:r>
        <w:rPr>
          <w:spacing w:val="20"/>
        </w:rPr>
        <w:t> </w:t>
      </w:r>
      <w:r>
        <w:rPr/>
        <w:t>difficult</w:t>
      </w:r>
      <w:r>
        <w:rPr>
          <w:spacing w:val="19"/>
        </w:rPr>
        <w:t> </w:t>
      </w:r>
      <w:r>
        <w:rPr/>
        <w:t>to</w:t>
      </w:r>
      <w:r>
        <w:rPr>
          <w:spacing w:val="20"/>
        </w:rPr>
        <w:t> </w:t>
      </w:r>
      <w:r>
        <w:rPr/>
        <w:t>obtain</w:t>
      </w:r>
      <w:r>
        <w:rPr>
          <w:spacing w:val="17"/>
        </w:rPr>
        <w:t> </w:t>
      </w:r>
      <w:r>
        <w:rPr/>
        <w:t>and</w:t>
      </w:r>
      <w:r>
        <w:rPr>
          <w:spacing w:val="22"/>
        </w:rPr>
        <w:t> </w:t>
      </w:r>
      <w:r>
        <w:rPr/>
        <w:t>will</w:t>
      </w:r>
      <w:r>
        <w:rPr>
          <w:spacing w:val="19"/>
        </w:rPr>
        <w:t> </w:t>
      </w:r>
      <w:r>
        <w:rPr/>
        <w:t>probably</w:t>
      </w:r>
      <w:r>
        <w:rPr>
          <w:spacing w:val="15"/>
        </w:rPr>
        <w:t> </w:t>
      </w:r>
      <w:r>
        <w:rPr/>
        <w:t>be</w:t>
      </w:r>
      <w:r>
        <w:rPr>
          <w:spacing w:val="20"/>
        </w:rPr>
        <w:t> </w:t>
      </w:r>
      <w:r>
        <w:rPr/>
        <w:t>uncertain</w:t>
      </w:r>
      <w:r>
        <w:rPr>
          <w:spacing w:val="17"/>
        </w:rPr>
        <w:t> </w:t>
      </w:r>
      <w:r>
        <w:rPr/>
        <w:t>to</w:t>
      </w:r>
      <w:r>
        <w:rPr>
          <w:spacing w:val="22"/>
        </w:rPr>
        <w:t> </w:t>
      </w:r>
      <w:r>
        <w:rPr/>
        <w:t>more</w:t>
      </w:r>
      <w:r>
        <w:rPr>
          <w:spacing w:val="19"/>
        </w:rPr>
        <w:t> </w:t>
      </w:r>
      <w:r>
        <w:rPr/>
        <w:t>than</w:t>
      </w:r>
      <w:r>
        <w:rPr>
          <w:spacing w:val="18"/>
        </w:rPr>
        <w:t> </w:t>
      </w:r>
      <w:r>
        <w:rPr/>
        <w:t>a</w:t>
      </w:r>
      <w:r>
        <w:rPr>
          <w:spacing w:val="20"/>
        </w:rPr>
        <w:t> </w:t>
      </w:r>
      <w:r>
        <w:rPr/>
        <w:t>few</w:t>
      </w:r>
      <w:r>
        <w:rPr>
          <w:spacing w:val="19"/>
        </w:rPr>
        <w:t> </w:t>
      </w:r>
      <w:r>
        <w:rPr/>
        <w:t>percent,</w:t>
      </w:r>
      <w:r>
        <w:rPr>
          <w:spacing w:val="20"/>
        </w:rPr>
        <w:t> </w:t>
      </w:r>
      <w:r>
        <w:rPr/>
        <w:t>especially</w:t>
      </w:r>
      <w:r>
        <w:rPr>
          <w:spacing w:val="15"/>
        </w:rPr>
        <w:t> </w:t>
      </w:r>
      <w:r>
        <w:rPr/>
        <w:t>in</w:t>
      </w:r>
    </w:p>
    <w:p>
      <w:pPr>
        <w:spacing w:after="0"/>
        <w:jc w:val="both"/>
        <w:sectPr>
          <w:footerReference w:type="even" r:id="rId275"/>
          <w:footerReference w:type="default" r:id="rId276"/>
          <w:pgSz w:w="11900" w:h="16840"/>
          <w:pgMar w:footer="408" w:header="230" w:top="560" w:bottom="600" w:left="1260" w:right="1240"/>
          <w:pgNumType w:start="292"/>
        </w:sectPr>
      </w:pPr>
    </w:p>
    <w:p>
      <w:pPr>
        <w:pStyle w:val="BodyText"/>
      </w:pPr>
    </w:p>
    <w:p>
      <w:pPr>
        <w:pStyle w:val="BodyText"/>
        <w:spacing w:before="2"/>
        <w:rPr>
          <w:sz w:val="18"/>
        </w:rPr>
      </w:pPr>
    </w:p>
    <w:p>
      <w:pPr>
        <w:pStyle w:val="BodyText"/>
        <w:ind w:left="159" w:right="167"/>
        <w:jc w:val="both"/>
      </w:pPr>
      <w:r>
        <w:rPr/>
        <w:t>countries without large dams or with only a few hydroelectric reservoirs. Detailed information on the location, type and function of smaller dams may be also difficult to obtain, though statistical inference may be possible based on the size distribution of reservoirs for which data are available. In addition, reservoirs are created for variety of reasons that influence the availability of data.</w:t>
      </w:r>
    </w:p>
    <w:p>
      <w:pPr>
        <w:pStyle w:val="BodyText"/>
        <w:spacing w:before="6"/>
        <w:rPr>
          <w:sz w:val="24"/>
        </w:rPr>
      </w:pPr>
    </w:p>
    <w:p>
      <w:pPr>
        <w:spacing w:before="0"/>
        <w:ind w:left="159" w:right="0" w:firstLine="0"/>
        <w:jc w:val="both"/>
        <w:rPr>
          <w:b/>
          <w:sz w:val="22"/>
        </w:rPr>
      </w:pPr>
      <w:r>
        <w:rPr>
          <w:b/>
          <w:spacing w:val="16"/>
          <w:sz w:val="28"/>
        </w:rPr>
        <w:t>3a.3.3.3</w:t>
      </w:r>
      <w:r>
        <w:rPr>
          <w:b/>
          <w:spacing w:val="70"/>
          <w:sz w:val="28"/>
        </w:rPr>
        <w:t> </w:t>
      </w:r>
      <w:r>
        <w:rPr>
          <w:b/>
          <w:spacing w:val="18"/>
          <w:sz w:val="28"/>
        </w:rPr>
        <w:t>C</w:t>
      </w:r>
      <w:r>
        <w:rPr>
          <w:b/>
          <w:spacing w:val="18"/>
          <w:sz w:val="22"/>
        </w:rPr>
        <w:t>OMPLETENESS</w:t>
      </w:r>
    </w:p>
    <w:p>
      <w:pPr>
        <w:pStyle w:val="BodyText"/>
        <w:spacing w:before="209"/>
        <w:ind w:left="159" w:right="163"/>
        <w:jc w:val="both"/>
      </w:pPr>
      <w:r>
        <w:rPr/>
        <w:t>A complete inventory should include all flooded lands. Maintaining a full area accounting, stratified by major climate and ecosystem zones and by purposes is encouraged.</w:t>
      </w:r>
    </w:p>
    <w:p>
      <w:pPr>
        <w:pStyle w:val="BodyText"/>
        <w:rPr>
          <w:sz w:val="22"/>
        </w:rPr>
      </w:pPr>
    </w:p>
    <w:p>
      <w:pPr>
        <w:spacing w:before="146"/>
        <w:ind w:left="159" w:right="0" w:firstLine="0"/>
        <w:jc w:val="both"/>
        <w:rPr>
          <w:b/>
          <w:sz w:val="22"/>
        </w:rPr>
      </w:pPr>
      <w:r>
        <w:rPr>
          <w:b/>
          <w:sz w:val="28"/>
        </w:rPr>
        <w:t>3a.3.3.4 D</w:t>
      </w:r>
      <w:r>
        <w:rPr>
          <w:b/>
          <w:sz w:val="22"/>
        </w:rPr>
        <w:t>EVELOPING A CONSISTENT TIME SERIES</w:t>
      </w:r>
    </w:p>
    <w:p>
      <w:pPr>
        <w:pStyle w:val="BodyText"/>
        <w:spacing w:before="211"/>
        <w:ind w:left="159" w:right="163"/>
        <w:jc w:val="both"/>
      </w:pPr>
      <w:r>
        <w:rPr/>
        <w:t>General guidance on consistency in time series can be found in Section 5.6 (Time Series Consistency and Recalculation). The emission estimation method should be applied consistently to every year in the time series, at the same level of disaggregation. Moreover, when country-specific data are used, national inventories agency should use same measurements protocol (sampling strategy, method, etc.). If it is not possible to use the same method or measurement protocol throughout the time series, the guidance on recalculation presented in Chapter 5 should be followed. Differences in greenhouse gas emissions between inventory years should be explained, e.g., by demonstrating changes in areas of flooded lands or by updated emission factors. Consistency checks should be made (i.e., by contacting hydro utility companies) to gather temporal information about areas affected by former or future</w:t>
      </w:r>
      <w:r>
        <w:rPr>
          <w:spacing w:val="3"/>
        </w:rPr>
        <w:t> </w:t>
      </w:r>
      <w:r>
        <w:rPr/>
        <w:t>flooding.</w:t>
      </w:r>
    </w:p>
    <w:p>
      <w:pPr>
        <w:pStyle w:val="BodyText"/>
        <w:rPr>
          <w:sz w:val="22"/>
        </w:rPr>
      </w:pPr>
    </w:p>
    <w:p>
      <w:pPr>
        <w:spacing w:before="144"/>
        <w:ind w:left="159" w:right="0" w:firstLine="0"/>
        <w:jc w:val="both"/>
        <w:rPr>
          <w:b/>
          <w:sz w:val="22"/>
        </w:rPr>
      </w:pPr>
      <w:r>
        <w:rPr>
          <w:b/>
          <w:sz w:val="28"/>
        </w:rPr>
        <w:t>3a.3.3.5 R</w:t>
      </w:r>
      <w:r>
        <w:rPr>
          <w:b/>
          <w:sz w:val="22"/>
        </w:rPr>
        <w:t>EPORTING AND DOCUMENTATION</w:t>
      </w:r>
    </w:p>
    <w:p>
      <w:pPr>
        <w:pStyle w:val="BodyText"/>
        <w:spacing w:before="211"/>
        <w:ind w:left="159" w:right="165"/>
        <w:jc w:val="both"/>
      </w:pPr>
      <w:r>
        <w:rPr/>
        <w:t>It</w:t>
      </w:r>
      <w:r>
        <w:rPr>
          <w:spacing w:val="-7"/>
        </w:rPr>
        <w:t> </w:t>
      </w:r>
      <w:r>
        <w:rPr/>
        <w:t>is</w:t>
      </w:r>
      <w:r>
        <w:rPr>
          <w:spacing w:val="-7"/>
        </w:rPr>
        <w:t> </w:t>
      </w:r>
      <w:r>
        <w:rPr/>
        <w:t>appropriate</w:t>
      </w:r>
      <w:r>
        <w:rPr>
          <w:spacing w:val="-7"/>
        </w:rPr>
        <w:t> </w:t>
      </w:r>
      <w:r>
        <w:rPr/>
        <w:t>to</w:t>
      </w:r>
      <w:r>
        <w:rPr>
          <w:spacing w:val="-6"/>
        </w:rPr>
        <w:t> </w:t>
      </w:r>
      <w:r>
        <w:rPr/>
        <w:t>document</w:t>
      </w:r>
      <w:r>
        <w:rPr>
          <w:spacing w:val="-6"/>
        </w:rPr>
        <w:t> </w:t>
      </w:r>
      <w:r>
        <w:rPr>
          <w:spacing w:val="-2"/>
        </w:rPr>
        <w:t>and</w:t>
      </w:r>
      <w:r>
        <w:rPr>
          <w:spacing w:val="-6"/>
        </w:rPr>
        <w:t> </w:t>
      </w:r>
      <w:r>
        <w:rPr/>
        <w:t>archive</w:t>
      </w:r>
      <w:r>
        <w:rPr>
          <w:spacing w:val="-5"/>
        </w:rPr>
        <w:t> </w:t>
      </w:r>
      <w:r>
        <w:rPr/>
        <w:t>all</w:t>
      </w:r>
      <w:r>
        <w:rPr>
          <w:spacing w:val="-7"/>
        </w:rPr>
        <w:t> </w:t>
      </w:r>
      <w:r>
        <w:rPr/>
        <w:t>information</w:t>
      </w:r>
      <w:r>
        <w:rPr>
          <w:spacing w:val="-7"/>
        </w:rPr>
        <w:t> </w:t>
      </w:r>
      <w:r>
        <w:rPr/>
        <w:t>required</w:t>
      </w:r>
      <w:r>
        <w:rPr>
          <w:spacing w:val="-6"/>
        </w:rPr>
        <w:t> </w:t>
      </w:r>
      <w:r>
        <w:rPr/>
        <w:t>to</w:t>
      </w:r>
      <w:r>
        <w:rPr>
          <w:spacing w:val="-6"/>
        </w:rPr>
        <w:t> </w:t>
      </w:r>
      <w:r>
        <w:rPr/>
        <w:t>produce</w:t>
      </w:r>
      <w:r>
        <w:rPr>
          <w:spacing w:val="-5"/>
        </w:rPr>
        <w:t> </w:t>
      </w:r>
      <w:r>
        <w:rPr/>
        <w:t>the</w:t>
      </w:r>
      <w:r>
        <w:rPr>
          <w:spacing w:val="-5"/>
        </w:rPr>
        <w:t> </w:t>
      </w:r>
      <w:r>
        <w:rPr/>
        <w:t>national</w:t>
      </w:r>
      <w:r>
        <w:rPr>
          <w:spacing w:val="-6"/>
        </w:rPr>
        <w:t> </w:t>
      </w:r>
      <w:r>
        <w:rPr/>
        <w:t>inventory</w:t>
      </w:r>
      <w:r>
        <w:rPr>
          <w:spacing w:val="-10"/>
        </w:rPr>
        <w:t> </w:t>
      </w:r>
      <w:r>
        <w:rPr/>
        <w:t>estimates.</w:t>
      </w:r>
      <w:r>
        <w:rPr>
          <w:spacing w:val="-5"/>
        </w:rPr>
        <w:t> </w:t>
      </w:r>
      <w:r>
        <w:rPr/>
        <w:t>It</w:t>
      </w:r>
      <w:r>
        <w:rPr>
          <w:spacing w:val="-7"/>
        </w:rPr>
        <w:t> </w:t>
      </w:r>
      <w:r>
        <w:rPr/>
        <w:t>is </w:t>
      </w:r>
      <w:r>
        <w:rPr>
          <w:spacing w:val="-3"/>
        </w:rPr>
        <w:t>suggested</w:t>
      </w:r>
      <w:r>
        <w:rPr>
          <w:spacing w:val="-8"/>
        </w:rPr>
        <w:t> </w:t>
      </w:r>
      <w:r>
        <w:rPr/>
        <w:t>that</w:t>
      </w:r>
      <w:r>
        <w:rPr>
          <w:spacing w:val="-11"/>
        </w:rPr>
        <w:t> </w:t>
      </w:r>
      <w:r>
        <w:rPr/>
        <w:t>the</w:t>
      </w:r>
      <w:r>
        <w:rPr>
          <w:spacing w:val="-9"/>
        </w:rPr>
        <w:t> </w:t>
      </w:r>
      <w:r>
        <w:rPr/>
        <w:t>following</w:t>
      </w:r>
      <w:r>
        <w:rPr>
          <w:spacing w:val="-12"/>
        </w:rPr>
        <w:t> </w:t>
      </w:r>
      <w:r>
        <w:rPr/>
        <w:t>additional</w:t>
      </w:r>
      <w:r>
        <w:rPr>
          <w:spacing w:val="-11"/>
        </w:rPr>
        <w:t> </w:t>
      </w:r>
      <w:r>
        <w:rPr>
          <w:spacing w:val="-2"/>
        </w:rPr>
        <w:t>information</w:t>
      </w:r>
      <w:r>
        <w:rPr>
          <w:spacing w:val="-10"/>
        </w:rPr>
        <w:t> </w:t>
      </w:r>
      <w:r>
        <w:rPr/>
        <w:t>is</w:t>
      </w:r>
      <w:r>
        <w:rPr>
          <w:spacing w:val="-11"/>
        </w:rPr>
        <w:t> </w:t>
      </w:r>
      <w:r>
        <w:rPr/>
        <w:t>particularly</w:t>
      </w:r>
      <w:r>
        <w:rPr>
          <w:spacing w:val="-12"/>
        </w:rPr>
        <w:t> </w:t>
      </w:r>
      <w:r>
        <w:rPr>
          <w:spacing w:val="-3"/>
        </w:rPr>
        <w:t>important</w:t>
      </w:r>
      <w:r>
        <w:rPr>
          <w:spacing w:val="-11"/>
        </w:rPr>
        <w:t> </w:t>
      </w:r>
      <w:r>
        <w:rPr/>
        <w:t>to</w:t>
      </w:r>
      <w:r>
        <w:rPr>
          <w:spacing w:val="-10"/>
        </w:rPr>
        <w:t> </w:t>
      </w:r>
      <w:r>
        <w:rPr/>
        <w:t>document</w:t>
      </w:r>
      <w:r>
        <w:rPr>
          <w:spacing w:val="-9"/>
        </w:rPr>
        <w:t> </w:t>
      </w:r>
      <w:r>
        <w:rPr>
          <w:spacing w:val="-2"/>
        </w:rPr>
        <w:t>for</w:t>
      </w:r>
      <w:r>
        <w:rPr>
          <w:spacing w:val="-8"/>
        </w:rPr>
        <w:t> </w:t>
      </w:r>
      <w:r>
        <w:rPr/>
        <w:t>this</w:t>
      </w:r>
      <w:r>
        <w:rPr>
          <w:spacing w:val="-9"/>
        </w:rPr>
        <w:t> </w:t>
      </w:r>
      <w:r>
        <w:rPr/>
        <w:t>source</w:t>
      </w:r>
      <w:r>
        <w:rPr>
          <w:spacing w:val="-10"/>
        </w:rPr>
        <w:t> </w:t>
      </w:r>
      <w:r>
        <w:rPr>
          <w:spacing w:val="-3"/>
        </w:rPr>
        <w:t>category:</w:t>
      </w:r>
    </w:p>
    <w:p>
      <w:pPr>
        <w:pStyle w:val="BodyText"/>
        <w:spacing w:before="119"/>
        <w:ind w:left="159" w:right="166"/>
        <w:jc w:val="both"/>
      </w:pPr>
      <w:r>
        <w:rPr>
          <w:b/>
        </w:rPr>
        <w:t>Emission factors: </w:t>
      </w:r>
      <w:r>
        <w:rPr/>
        <w:t>The sources of the emission factors and parameters that were used (i.e., specific IPCC default values or otherwise) should be given. If country- or region-specific emission factors and parameters were used, and if new methods (other than IPCC default methods) were used, the scientific basis of these emission factors, parameters and models should be well- documented. This includes defining the input parameters and describing the process by which the emission factors, parameters and models were derived, as well as describing sources and magnitudes of</w:t>
      </w:r>
      <w:r>
        <w:rPr>
          <w:spacing w:val="1"/>
        </w:rPr>
        <w:t> </w:t>
      </w:r>
      <w:r>
        <w:rPr/>
        <w:t>uncertainties.</w:t>
      </w:r>
    </w:p>
    <w:p>
      <w:pPr>
        <w:pStyle w:val="BodyText"/>
        <w:spacing w:before="120"/>
        <w:ind w:left="159" w:right="165"/>
        <w:jc w:val="both"/>
      </w:pPr>
      <w:r>
        <w:rPr>
          <w:b/>
        </w:rPr>
        <w:t>Activity data: </w:t>
      </w:r>
      <w:r>
        <w:rPr/>
        <w:t>Sources of all activity data used in the calculations should be documented (i.e. complete citations for the statistical databases from which the data were collected, communication with companies dealing with reservoirs). In cases where activity data were not available directly from databases or multiple data sets were combined, the information, assumptions and procedures that were used to derive the activity data should be described. This documentation should include the frequency of data collection and estimation, and estimates of accuracy and precision.</w:t>
      </w:r>
    </w:p>
    <w:p>
      <w:pPr>
        <w:pStyle w:val="BodyText"/>
        <w:spacing w:before="118"/>
        <w:ind w:left="159" w:right="165"/>
        <w:jc w:val="both"/>
      </w:pPr>
      <w:r>
        <w:rPr>
          <w:b/>
        </w:rPr>
        <w:t>Emission results: </w:t>
      </w:r>
      <w:r>
        <w:rPr/>
        <w:t>Significant fluctuations in emissions between years should be explained. A distinction should be made between changes in activity levels and changes in emission factors, parameters and methods from year to year, and the reasons for these changes documented. If different emission factors, parameters and methods are used for different years, the reasons for this should be explained and documented.</w:t>
      </w:r>
    </w:p>
    <w:p>
      <w:pPr>
        <w:pStyle w:val="BodyText"/>
        <w:rPr>
          <w:sz w:val="22"/>
        </w:rPr>
      </w:pPr>
    </w:p>
    <w:p>
      <w:pPr>
        <w:spacing w:before="146"/>
        <w:ind w:left="159" w:right="0" w:firstLine="0"/>
        <w:jc w:val="both"/>
        <w:rPr>
          <w:b/>
          <w:sz w:val="28"/>
        </w:rPr>
      </w:pPr>
      <w:r>
        <w:rPr>
          <w:b/>
          <w:sz w:val="28"/>
        </w:rPr>
        <w:t>3a.3.3.6 I</w:t>
      </w:r>
      <w:r>
        <w:rPr>
          <w:b/>
          <w:sz w:val="22"/>
        </w:rPr>
        <w:t>NVENTORY </w:t>
      </w:r>
      <w:r>
        <w:rPr>
          <w:b/>
          <w:sz w:val="28"/>
        </w:rPr>
        <w:t>QA/QC</w:t>
      </w:r>
    </w:p>
    <w:p>
      <w:pPr>
        <w:pStyle w:val="BodyText"/>
        <w:spacing w:before="209"/>
        <w:ind w:left="159" w:right="164"/>
        <w:jc w:val="both"/>
      </w:pPr>
      <w:r>
        <w:rPr/>
        <w:t>It is appropriate to implement quality assurance/quality control (QA/QC) checks as outlined in Chapter 5 (Section 5.5) of this report, and to conduct expert review of the emission estimates. Given the shortage of data these reviews should be conducted regularly to take account of new research findings. Additional quality control checks as outlined in Tier 2 procedures in Chapter 8, QA/QC, of </w:t>
      </w:r>
      <w:r>
        <w:rPr>
          <w:i/>
        </w:rPr>
        <w:t>GPG2000</w:t>
      </w:r>
      <w:r>
        <w:rPr/>
        <w:t>, and quality assurance procedures may also be applicable, particularly if higher tier methods are used to quantify emissions from this source category. Where country-specific emission factors are being used they should be based on high quality experimental data, developed using a rigorous measurement programme, and be adequately</w:t>
      </w:r>
      <w:r>
        <w:rPr>
          <w:spacing w:val="-21"/>
        </w:rPr>
        <w:t> </w:t>
      </w:r>
      <w:r>
        <w:rPr/>
        <w:t>documented.</w:t>
      </w:r>
    </w:p>
    <w:p>
      <w:pPr>
        <w:pStyle w:val="BodyText"/>
        <w:spacing w:before="121"/>
        <w:ind w:left="159" w:right="169"/>
        <w:jc w:val="both"/>
      </w:pPr>
      <w:r>
        <w:rPr/>
        <w:t>It is, at present, not possible to cross-check emissions estimates from flooded lands through external measurements. However, the inventory agency should ensure that emission estimates undergo quality control by:</w:t>
      </w:r>
    </w:p>
    <w:p>
      <w:pPr>
        <w:pStyle w:val="ListParagraph"/>
        <w:numPr>
          <w:ilvl w:val="0"/>
          <w:numId w:val="117"/>
        </w:numPr>
        <w:tabs>
          <w:tab w:pos="519" w:val="left" w:leader="none"/>
          <w:tab w:pos="520" w:val="left" w:leader="none"/>
        </w:tabs>
        <w:spacing w:line="223" w:lineRule="auto" w:before="144" w:after="0"/>
        <w:ind w:left="516" w:right="168" w:hanging="357"/>
        <w:jc w:val="left"/>
        <w:rPr>
          <w:sz w:val="20"/>
        </w:rPr>
      </w:pPr>
      <w:r>
        <w:rPr>
          <w:sz w:val="20"/>
        </w:rPr>
        <w:t>Cross-referencing reported country-specific emissions factors with default values and data from other countries;</w:t>
      </w:r>
    </w:p>
    <w:p>
      <w:pPr>
        <w:spacing w:after="0" w:line="223" w:lineRule="auto"/>
        <w:jc w:val="left"/>
        <w:rPr>
          <w:sz w:val="20"/>
        </w:rPr>
        <w:sectPr>
          <w:pgSz w:w="11900" w:h="16840"/>
          <w:pgMar w:header="230" w:footer="408" w:top="560" w:bottom="600" w:left="1260" w:right="1240"/>
        </w:sectPr>
      </w:pPr>
    </w:p>
    <w:p>
      <w:pPr>
        <w:pStyle w:val="BodyText"/>
        <w:spacing w:before="5"/>
        <w:rPr>
          <w:sz w:val="29"/>
        </w:rPr>
      </w:pPr>
    </w:p>
    <w:p>
      <w:pPr>
        <w:pStyle w:val="ListParagraph"/>
        <w:numPr>
          <w:ilvl w:val="0"/>
          <w:numId w:val="117"/>
        </w:numPr>
        <w:tabs>
          <w:tab w:pos="519" w:val="left" w:leader="none"/>
          <w:tab w:pos="520" w:val="left" w:leader="none"/>
        </w:tabs>
        <w:spacing w:line="223" w:lineRule="auto" w:before="127" w:after="0"/>
        <w:ind w:left="516" w:right="167" w:hanging="357"/>
        <w:jc w:val="left"/>
        <w:rPr>
          <w:sz w:val="20"/>
        </w:rPr>
      </w:pPr>
      <w:r>
        <w:rPr>
          <w:sz w:val="20"/>
        </w:rPr>
        <w:t>Cross-referencing areas of flooded land with data of hydro utility companies, with the database of the International Commission on Large Dams, and with data submitted to national dams safety</w:t>
      </w:r>
      <w:r>
        <w:rPr>
          <w:spacing w:val="-15"/>
          <w:sz w:val="20"/>
        </w:rPr>
        <w:t> </w:t>
      </w:r>
      <w:r>
        <w:rPr>
          <w:sz w:val="20"/>
        </w:rPr>
        <w:t>inventories.</w:t>
      </w:r>
    </w:p>
    <w:p>
      <w:pPr>
        <w:spacing w:after="0" w:line="223" w:lineRule="auto"/>
        <w:jc w:val="left"/>
        <w:rPr>
          <w:sz w:val="20"/>
        </w:rPr>
        <w:sectPr>
          <w:pgSz w:w="11900" w:h="16840"/>
          <w:pgMar w:header="230" w:footer="408" w:top="560" w:bottom="600" w:left="1260" w:right="1240"/>
        </w:sectPr>
      </w:pPr>
    </w:p>
    <w:p>
      <w:pPr>
        <w:pStyle w:val="BodyText"/>
      </w:pPr>
    </w:p>
    <w:p>
      <w:pPr>
        <w:pStyle w:val="BodyText"/>
      </w:pPr>
    </w:p>
    <w:p>
      <w:pPr>
        <w:pStyle w:val="BodyText"/>
        <w:spacing w:before="3"/>
        <w:rPr>
          <w:sz w:val="17"/>
        </w:rPr>
      </w:pPr>
    </w:p>
    <w:p>
      <w:pPr>
        <w:pStyle w:val="Heading2"/>
        <w:spacing w:before="86"/>
        <w:ind w:left="159" w:firstLine="0"/>
      </w:pPr>
      <w:r>
        <w:rPr/>
        <w:t>Appendix 3a.4 Settlements:</w:t>
      </w:r>
    </w:p>
    <w:p>
      <w:pPr>
        <w:spacing w:before="2"/>
        <w:ind w:left="2314" w:right="0" w:firstLine="0"/>
        <w:jc w:val="left"/>
        <w:rPr>
          <w:b/>
          <w:sz w:val="32"/>
        </w:rPr>
      </w:pPr>
      <w:r>
        <w:rPr>
          <w:b/>
          <w:sz w:val="32"/>
        </w:rPr>
        <w:t>Basis for Future Methodological Development</w:t>
      </w:r>
    </w:p>
    <w:p>
      <w:pPr>
        <w:pStyle w:val="BodyText"/>
        <w:spacing w:before="173"/>
        <w:ind w:left="159" w:right="163"/>
        <w:jc w:val="both"/>
      </w:pPr>
      <w:r>
        <w:rPr/>
        <w:t>Appendix 3a.4 presents a basic method for estimating emissions and removals of carbon by trees in settlements. This land-use category was addressed in the Reference Manual of the </w:t>
      </w:r>
      <w:r>
        <w:rPr>
          <w:i/>
        </w:rPr>
        <w:t>IPCC Guidelines </w:t>
      </w:r>
      <w:r>
        <w:rPr/>
        <w:t>in Section 5.2 (Changes in Forest and Other Woody Biomass Stocks. The methodology covers the subcategory of changes in carbon stocks in living biomass. At this point, sufficient information is not available to develop a basic methodology with default data to estimate the contribution of dead organic matter and soils to CO</w:t>
      </w:r>
      <w:r>
        <w:rPr>
          <w:vertAlign w:val="subscript"/>
        </w:rPr>
        <w:t>2</w:t>
      </w:r>
      <w:r>
        <w:rPr>
          <w:vertAlign w:val="baseline"/>
        </w:rPr>
        <w:t> emissions and removals in settlements.</w:t>
      </w:r>
    </w:p>
    <w:p>
      <w:pPr>
        <w:pStyle w:val="BodyText"/>
        <w:spacing w:before="10"/>
        <w:rPr>
          <w:sz w:val="31"/>
        </w:rPr>
      </w:pPr>
    </w:p>
    <w:p>
      <w:pPr>
        <w:pStyle w:val="Heading2"/>
        <w:tabs>
          <w:tab w:pos="1361" w:val="left" w:leader="none"/>
        </w:tabs>
        <w:ind w:left="159" w:firstLine="0"/>
      </w:pPr>
      <w:r>
        <w:rPr>
          <w:spacing w:val="8"/>
        </w:rPr>
        <w:t>3a.4.1</w:t>
        <w:tab/>
        <w:t>Settlements Remaining</w:t>
      </w:r>
      <w:r>
        <w:rPr>
          <w:spacing w:val="32"/>
        </w:rPr>
        <w:t> </w:t>
      </w:r>
      <w:r>
        <w:rPr>
          <w:spacing w:val="9"/>
        </w:rPr>
        <w:t>Settlements</w:t>
      </w:r>
    </w:p>
    <w:p>
      <w:pPr>
        <w:pStyle w:val="BodyText"/>
        <w:spacing w:before="113"/>
        <w:ind w:left="159" w:right="163"/>
        <w:jc w:val="both"/>
      </w:pPr>
      <w:r>
        <w:rPr/>
        <w:t>The category of settlements remaining settlements refers to all classes of urban tree formations, focusing primarily on urban trees grown along streets, in gardens, and parks, in lands that have been in use as settlements (e.g., areas that are functionally or administratively associated with cities, villages, etc.) since the last data collection period. Emissions and removals of CO</w:t>
      </w:r>
      <w:r>
        <w:rPr>
          <w:vertAlign w:val="subscript"/>
        </w:rPr>
        <w:t>2</w:t>
      </w:r>
      <w:r>
        <w:rPr>
          <w:vertAlign w:val="baseline"/>
        </w:rPr>
        <w:t> in this category are estimated by a single subcategory of changes in carbon stocks in biomass, as summarised in Equation 3a.4.1.</w:t>
      </w:r>
    </w:p>
    <w:p>
      <w:pPr>
        <w:pStyle w:val="BodyText"/>
      </w:pPr>
    </w:p>
    <w:p>
      <w:pPr>
        <w:pStyle w:val="BodyText"/>
        <w:spacing w:before="3" w:after="1"/>
        <w:rPr>
          <w:sz w:val="13"/>
        </w:rPr>
      </w:pPr>
    </w:p>
    <w:p>
      <w:pPr>
        <w:pStyle w:val="BodyText"/>
        <w:ind w:left="564"/>
      </w:pPr>
      <w:r>
        <w:rPr/>
        <w:pict>
          <v:group style="width:412.95pt;height:66.6pt;mso-position-horizontal-relative:char;mso-position-vertical-relative:line" coordorigin="0,0" coordsize="8259,1332">
            <v:line style="position:absolute" from="29,14" to="8230,14" stroked="true" strokeweight="1.44pt" strokecolor="#000000">
              <v:stroke dashstyle="solid"/>
            </v:line>
            <v:line style="position:absolute" from="29,1318" to="8230,1318" stroked="true" strokeweight="1.44pt" strokecolor="#000000">
              <v:stroke dashstyle="solid"/>
            </v:line>
            <v:line style="position:absolute" from="14,0" to="14,1332" stroked="true" strokeweight="1.44pt" strokecolor="#000000">
              <v:stroke dashstyle="solid"/>
            </v:line>
            <v:line style="position:absolute" from="8244,0" to="8244,1332" stroked="true" strokeweight="1.44pt" strokecolor="#000000">
              <v:stroke dashstyle="solid"/>
            </v:line>
            <v:shape style="position:absolute;left:4552;top:1072;width:186;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3540;top:895;width:1033;height:261" type="#_x0000_t202" filled="false" stroked="false">
              <v:textbox inset="0,0,0,0">
                <w:txbxContent>
                  <w:p>
                    <w:pPr>
                      <w:spacing w:line="246" w:lineRule="exact" w:before="14"/>
                      <w:ind w:left="0" w:right="0" w:firstLine="0"/>
                      <w:jc w:val="left"/>
                      <w:rPr>
                        <w:sz w:val="20"/>
                      </w:rPr>
                    </w:pPr>
                    <w:r>
                      <w:rPr>
                        <w:rFonts w:ascii="Symbol" w:hAnsi="Symbol"/>
                        <w:sz w:val="20"/>
                      </w:rPr>
                      <w:t>∆</w:t>
                    </w:r>
                    <w:r>
                      <w:rPr>
                        <w:sz w:val="20"/>
                      </w:rPr>
                      <w:t>C</w:t>
                    </w:r>
                    <w:r>
                      <w:rPr>
                        <w:sz w:val="20"/>
                        <w:vertAlign w:val="subscript"/>
                      </w:rPr>
                      <w:t>SS</w:t>
                    </w:r>
                    <w:r>
                      <w:rPr>
                        <w:sz w:val="20"/>
                        <w:vertAlign w:val="baseline"/>
                      </w:rPr>
                      <w:t> = </w:t>
                    </w:r>
                    <w:r>
                      <w:rPr>
                        <w:rFonts w:ascii="Symbol" w:hAnsi="Symbol"/>
                        <w:spacing w:val="-41"/>
                        <w:sz w:val="20"/>
                        <w:vertAlign w:val="baseline"/>
                      </w:rPr>
                      <w:t>∆</w:t>
                    </w:r>
                    <w:r>
                      <w:rPr>
                        <w:spacing w:val="-41"/>
                        <w:sz w:val="20"/>
                        <w:vertAlign w:val="baseline"/>
                      </w:rPr>
                      <w:t>C</w:t>
                    </w:r>
                    <w:r>
                      <w:rPr>
                        <w:spacing w:val="-41"/>
                        <w:sz w:val="20"/>
                        <w:vertAlign w:val="subscript"/>
                      </w:rPr>
                      <w:t>SS</w:t>
                    </w:r>
                  </w:p>
                </w:txbxContent>
              </v:textbox>
              <w10:wrap type="none"/>
            </v:shape>
            <v:shape style="position:absolute;left:1809;top:136;width:4658;height:674" type="#_x0000_t202" filled="false" stroked="false">
              <v:textbox inset="0,0,0,0">
                <w:txbxContent>
                  <w:p>
                    <w:pPr>
                      <w:spacing w:line="221" w:lineRule="exact" w:before="0"/>
                      <w:ind w:left="0" w:right="19" w:firstLine="0"/>
                      <w:jc w:val="center"/>
                      <w:rPr>
                        <w:b/>
                        <w:sz w:val="20"/>
                      </w:rPr>
                    </w:pPr>
                    <w:r>
                      <w:rPr>
                        <w:b/>
                        <w:sz w:val="20"/>
                      </w:rPr>
                      <w:t>E</w:t>
                    </w:r>
                    <w:r>
                      <w:rPr>
                        <w:b/>
                        <w:sz w:val="16"/>
                      </w:rPr>
                      <w:t>QUATION </w:t>
                    </w:r>
                    <w:r>
                      <w:rPr>
                        <w:b/>
                        <w:sz w:val="20"/>
                      </w:rPr>
                      <w:t>3a.4.1</w:t>
                    </w:r>
                  </w:p>
                  <w:p>
                    <w:pPr>
                      <w:spacing w:line="278" w:lineRule="auto" w:before="0"/>
                      <w:ind w:left="0" w:right="18" w:firstLine="0"/>
                      <w:jc w:val="center"/>
                      <w:rPr>
                        <w:b/>
                        <w:sz w:val="16"/>
                      </w:rPr>
                    </w:pPr>
                    <w:r>
                      <w:rPr>
                        <w:b/>
                        <w:sz w:val="20"/>
                      </w:rPr>
                      <w:t>S</w:t>
                    </w:r>
                    <w:r>
                      <w:rPr>
                        <w:b/>
                        <w:sz w:val="16"/>
                      </w:rPr>
                      <w:t>UMMARY EQUATION FOR CHANGES IN CARBON STOCKS IN SETTLEMENTS REMAINING SETTLEMENTS</w:t>
                    </w:r>
                  </w:p>
                </w:txbxContent>
              </v:textbox>
              <w10:wrap type="none"/>
            </v:shape>
          </v:group>
        </w:pict>
      </w:r>
      <w:r>
        <w:rPr/>
      </w:r>
    </w:p>
    <w:p>
      <w:pPr>
        <w:spacing w:after="0"/>
        <w:sectPr>
          <w:headerReference w:type="default" r:id="rId277"/>
          <w:headerReference w:type="even" r:id="rId278"/>
          <w:pgSz w:w="11900" w:h="16840"/>
          <w:pgMar w:header="230" w:footer="408" w:top="560" w:bottom="600" w:left="1260" w:right="1240"/>
        </w:sectPr>
      </w:pPr>
    </w:p>
    <w:p>
      <w:pPr>
        <w:pStyle w:val="BodyText"/>
        <w:spacing w:before="1"/>
        <w:ind w:left="159"/>
      </w:pPr>
      <w:r>
        <w:rPr/>
        <w:t>Where:</w:t>
      </w:r>
    </w:p>
    <w:p>
      <w:pPr>
        <w:pStyle w:val="BodyText"/>
        <w:rPr>
          <w:sz w:val="32"/>
        </w:rPr>
      </w:pPr>
      <w:r>
        <w:rPr/>
        <w:br w:type="column"/>
      </w:r>
      <w:r>
        <w:rPr>
          <w:sz w:val="32"/>
        </w:rPr>
      </w:r>
    </w:p>
    <w:p>
      <w:pPr>
        <w:pStyle w:val="BodyText"/>
        <w:tabs>
          <w:tab w:pos="864" w:val="left" w:leader="none"/>
          <w:tab w:pos="1226" w:val="left" w:leader="none"/>
        </w:tabs>
        <w:ind w:left="159"/>
      </w:pPr>
      <w:r>
        <w:rPr>
          <w:rFonts w:ascii="Symbol" w:hAnsi="Symbol"/>
        </w:rPr>
        <w:t>∆</w:t>
      </w:r>
      <w:r>
        <w:rPr/>
        <w:t>C</w:t>
      </w:r>
      <w:r>
        <w:rPr>
          <w:vertAlign w:val="subscript"/>
        </w:rPr>
        <w:t>SS</w:t>
      </w:r>
      <w:r>
        <w:rPr>
          <w:vertAlign w:val="baseline"/>
        </w:rPr>
        <w:tab/>
        <w:t>=</w:t>
        <w:tab/>
        <w:t>changes in carbon stocks in settlements remaining settlements, tonnes C</w:t>
      </w:r>
      <w:r>
        <w:rPr>
          <w:spacing w:val="-12"/>
          <w:vertAlign w:val="baseline"/>
        </w:rPr>
        <w:t> </w:t>
      </w:r>
      <w:r>
        <w:rPr>
          <w:vertAlign w:val="baseline"/>
        </w:rPr>
        <w:t>yr</w:t>
      </w:r>
      <w:r>
        <w:rPr>
          <w:vertAlign w:val="superscript"/>
        </w:rPr>
        <w:t>-1</w:t>
      </w:r>
    </w:p>
    <w:p>
      <w:pPr>
        <w:spacing w:after="0"/>
        <w:sectPr>
          <w:type w:val="continuous"/>
          <w:pgSz w:w="11900" w:h="16840"/>
          <w:pgMar w:top="1060" w:bottom="280" w:left="1260" w:right="1240"/>
          <w:cols w:num="2" w:equalWidth="0">
            <w:col w:w="788" w:space="136"/>
            <w:col w:w="8476"/>
          </w:cols>
        </w:sectPr>
      </w:pPr>
    </w:p>
    <w:p>
      <w:pPr>
        <w:pStyle w:val="BodyText"/>
        <w:spacing w:before="116"/>
        <w:ind w:left="1083"/>
      </w:pPr>
      <w:r>
        <w:rPr/>
        <w:pict>
          <v:shape style="position:absolute;margin-left:137.200531pt;margin-top:13.921539pt;width:8.0500pt;height:7.2pt;mso-position-horizontal-relative:page;mso-position-vertical-relative:paragraph;z-index:17032"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SS</w:t>
      </w:r>
    </w:p>
    <w:p>
      <w:pPr>
        <w:pStyle w:val="BodyText"/>
        <w:tabs>
          <w:tab w:pos="465" w:val="left" w:leader="none"/>
        </w:tabs>
        <w:spacing w:line="302" w:lineRule="auto" w:before="116"/>
        <w:ind w:left="466" w:right="808" w:hanging="363"/>
      </w:pPr>
      <w:r>
        <w:rPr/>
        <w:br w:type="column"/>
      </w:r>
      <w:r>
        <w:rPr/>
        <w:t>=</w:t>
        <w:tab/>
        <w:t>changes in carbon stocks in living biomass in settlements remaining settlements, tonnes C</w:t>
      </w:r>
      <w:r>
        <w:rPr>
          <w:spacing w:val="-1"/>
        </w:rPr>
        <w:t> </w:t>
      </w:r>
      <w:r>
        <w:rPr/>
        <w:t>yr</w:t>
      </w:r>
      <w:r>
        <w:rPr>
          <w:vertAlign w:val="superscript"/>
        </w:rPr>
        <w:t>-1</w:t>
      </w:r>
    </w:p>
    <w:p>
      <w:pPr>
        <w:spacing w:after="0" w:line="302" w:lineRule="auto"/>
        <w:sectPr>
          <w:type w:val="continuous"/>
          <w:pgSz w:w="11900" w:h="16840"/>
          <w:pgMar w:top="1060" w:bottom="280" w:left="1260" w:right="1240"/>
          <w:cols w:num="2" w:equalWidth="0">
            <w:col w:w="1645" w:space="40"/>
            <w:col w:w="7715"/>
          </w:cols>
        </w:sectPr>
      </w:pPr>
    </w:p>
    <w:p>
      <w:pPr>
        <w:pStyle w:val="BodyText"/>
        <w:rPr>
          <w:sz w:val="22"/>
        </w:rPr>
      </w:pPr>
    </w:p>
    <w:p>
      <w:pPr>
        <w:pStyle w:val="Heading6"/>
        <w:tabs>
          <w:tab w:pos="1599" w:val="left" w:leader="none"/>
        </w:tabs>
        <w:spacing w:before="89"/>
      </w:pPr>
      <w:r>
        <w:rPr>
          <w:spacing w:val="16"/>
          <w:sz w:val="28"/>
        </w:rPr>
        <w:t>3a.4.1.1</w:t>
        <w:tab/>
        <w:t>C</w:t>
      </w:r>
      <w:r>
        <w:rPr>
          <w:spacing w:val="16"/>
        </w:rPr>
        <w:t>HANGES </w:t>
      </w:r>
      <w:r>
        <w:rPr>
          <w:spacing w:val="11"/>
        </w:rPr>
        <w:t>IN </w:t>
      </w:r>
      <w:r>
        <w:rPr>
          <w:spacing w:val="16"/>
        </w:rPr>
        <w:t>CARBON </w:t>
      </w:r>
      <w:r>
        <w:rPr>
          <w:spacing w:val="15"/>
        </w:rPr>
        <w:t>STOCKS </w:t>
      </w:r>
      <w:r>
        <w:rPr>
          <w:spacing w:val="10"/>
        </w:rPr>
        <w:t>IN </w:t>
      </w:r>
      <w:r>
        <w:rPr>
          <w:spacing w:val="15"/>
        </w:rPr>
        <w:t>LIVING</w:t>
      </w:r>
      <w:r>
        <w:rPr>
          <w:spacing w:val="37"/>
        </w:rPr>
        <w:t> </w:t>
      </w:r>
      <w:r>
        <w:rPr>
          <w:spacing w:val="17"/>
        </w:rPr>
        <w:t>BIOMASS</w:t>
      </w:r>
    </w:p>
    <w:p>
      <w:pPr>
        <w:pStyle w:val="BodyText"/>
        <w:rPr>
          <w:b/>
          <w:sz w:val="29"/>
        </w:rPr>
      </w:pPr>
    </w:p>
    <w:p>
      <w:pPr>
        <w:tabs>
          <w:tab w:pos="1600" w:val="left" w:leader="none"/>
        </w:tabs>
        <w:spacing w:line="251" w:lineRule="exact" w:before="0"/>
        <w:ind w:left="159" w:right="0" w:firstLine="0"/>
        <w:jc w:val="left"/>
        <w:rPr>
          <w:b/>
          <w:sz w:val="22"/>
        </w:rPr>
      </w:pPr>
      <w:r>
        <w:rPr>
          <w:b/>
          <w:spacing w:val="15"/>
          <w:sz w:val="22"/>
        </w:rPr>
        <w:t>3A.4.</w:t>
      </w:r>
      <w:r>
        <w:rPr>
          <w:b/>
          <w:spacing w:val="-34"/>
          <w:sz w:val="22"/>
        </w:rPr>
        <w:t> </w:t>
      </w:r>
      <w:r>
        <w:rPr>
          <w:b/>
          <w:spacing w:val="15"/>
          <w:sz w:val="22"/>
        </w:rPr>
        <w:t>1.1.1</w:t>
        <w:tab/>
      </w:r>
      <w:r>
        <w:rPr>
          <w:b/>
          <w:spacing w:val="17"/>
          <w:sz w:val="22"/>
        </w:rPr>
        <w:t>METHODOLOGICAL</w:t>
      </w:r>
      <w:r>
        <w:rPr>
          <w:b/>
          <w:spacing w:val="38"/>
          <w:sz w:val="22"/>
        </w:rPr>
        <w:t> </w:t>
      </w:r>
      <w:r>
        <w:rPr>
          <w:b/>
          <w:spacing w:val="16"/>
          <w:sz w:val="22"/>
        </w:rPr>
        <w:t>ISSUES</w:t>
      </w:r>
    </w:p>
    <w:p>
      <w:pPr>
        <w:pStyle w:val="BodyText"/>
        <w:ind w:left="159" w:right="167"/>
        <w:jc w:val="both"/>
      </w:pPr>
      <w:r>
        <w:rPr/>
        <w:t>When estimating emissions for settlements, it is assumed that changes in carbon stocks occur only in tree biomass. Changes in carbon stocks in bush biomass are not considered because data on bush growth are scarce. However, if there are activity data and parameter values for bush species, their effect on CO</w:t>
      </w:r>
      <w:r>
        <w:rPr>
          <w:vertAlign w:val="subscript"/>
        </w:rPr>
        <w:t>2</w:t>
      </w:r>
      <w:r>
        <w:rPr>
          <w:vertAlign w:val="baseline"/>
        </w:rPr>
        <w:t> emissions and removals can be estimated with either a Tier 2 or Tier 3 method. Also meadow and ornamental plants in parks and gardens are not addressed because sufficient information is not available.</w:t>
      </w:r>
    </w:p>
    <w:p>
      <w:pPr>
        <w:pStyle w:val="BodyText"/>
        <w:spacing w:before="118"/>
        <w:ind w:left="159" w:right="166"/>
        <w:jc w:val="both"/>
      </w:pPr>
      <w:r>
        <w:rPr/>
        <w:t>Few data are available to estimate carbon removal by trees in settlements. Novak and Crane (2002) estimated the carbon removal by trees in settlements in the conterminous USA as 23 million tonnes C yr</w:t>
      </w:r>
      <w:r>
        <w:rPr>
          <w:vertAlign w:val="superscript"/>
        </w:rPr>
        <w:t>-1</w:t>
      </w:r>
      <w:r>
        <w:rPr>
          <w:vertAlign w:val="baseline"/>
        </w:rPr>
        <w:t>. Besides an evaluation of the sink capacity of urban trees in Sydney (Brack, 2002), there are no similar studies from other regions of the world. The methods described in this section are based on research carried out mainly in US cities. They are useful as a first approximation to assess the net CO</w:t>
      </w:r>
      <w:r>
        <w:rPr>
          <w:vertAlign w:val="subscript"/>
        </w:rPr>
        <w:t>2</w:t>
      </w:r>
      <w:r>
        <w:rPr>
          <w:vertAlign w:val="baseline"/>
        </w:rPr>
        <w:t> emissions and removals by urban trees. However, it should be recognised that additional data are needed for other regions to develop a fully generalised</w:t>
      </w:r>
      <w:r>
        <w:rPr>
          <w:spacing w:val="-28"/>
          <w:vertAlign w:val="baseline"/>
        </w:rPr>
        <w:t> </w:t>
      </w:r>
      <w:r>
        <w:rPr>
          <w:vertAlign w:val="baseline"/>
        </w:rPr>
        <w:t>method.</w:t>
      </w:r>
    </w:p>
    <w:p>
      <w:pPr>
        <w:pStyle w:val="BodyText"/>
        <w:spacing w:before="120"/>
        <w:ind w:left="159" w:right="165"/>
        <w:jc w:val="both"/>
      </w:pPr>
      <w:r>
        <w:rPr/>
        <w:t>The general method estimates changes in biomass carbon stocks as a result of tree growth, subtracting out losses in biomass carbon stocks as a result of pruning and mortality. Depending on the magnitude of growth and losses, the resulting average annual changes in living biomass carbon stocks may be positive or negative.</w:t>
      </w:r>
    </w:p>
    <w:p>
      <w:pPr>
        <w:pStyle w:val="BodyText"/>
        <w:spacing w:before="119"/>
        <w:ind w:left="159"/>
        <w:jc w:val="both"/>
      </w:pPr>
      <w:r>
        <w:rPr/>
        <w:t>This method is shown in Equation 3a.4.2.</w:t>
      </w:r>
    </w:p>
    <w:p>
      <w:pPr>
        <w:pStyle w:val="BodyText"/>
        <w:spacing w:before="10"/>
        <w:rPr>
          <w:sz w:val="9"/>
        </w:rPr>
      </w:pPr>
      <w:r>
        <w:rPr/>
        <w:pict>
          <v:group style="position:absolute;margin-left:91.240997pt;margin-top:8.412056pt;width:412.95pt;height:55.1pt;mso-position-horizontal-relative:page;mso-position-vertical-relative:paragraph;z-index:14960;mso-wrap-distance-left:0;mso-wrap-distance-right:0" coordorigin="1825,168" coordsize="8259,1102">
            <v:line style="position:absolute" from="1854,183" to="10054,183" stroked="true" strokeweight="1.44pt" strokecolor="#000000">
              <v:stroke dashstyle="solid"/>
            </v:line>
            <v:line style="position:absolute" from="1854,1255" to="10054,1255" stroked="true" strokeweight="1.44pt" strokecolor="#000000">
              <v:stroke dashstyle="solid"/>
            </v:line>
            <v:line style="position:absolute" from="1839,168" to="1839,1270" stroked="true" strokeweight="1.44pt" strokecolor="#000000">
              <v:stroke dashstyle="solid"/>
            </v:line>
            <v:line style="position:absolute" from="10069,168" to="10069,1270" stroked="true" strokeweight="1.44pt" strokecolor="#000000">
              <v:stroke dashstyle="solid"/>
            </v:line>
            <v:shape style="position:absolute;left:6840;top:1010;width:100;height:144"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v:shape style="position:absolute;left:6164;top:1010;width:114;height:144"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v:shape style="position:absolute;left:5386;top:1010;width:181;height:144" type="#_x0000_t202" filled="false" stroked="false">
              <v:textbox inset="0,0,0,0">
                <w:txbxContent>
                  <w:p>
                    <w:pPr>
                      <w:spacing w:line="144" w:lineRule="exact" w:before="0"/>
                      <w:ind w:left="0" w:right="0" w:firstLine="0"/>
                      <w:jc w:val="left"/>
                      <w:rPr>
                        <w:sz w:val="13"/>
                      </w:rPr>
                    </w:pPr>
                    <w:r>
                      <w:rPr>
                        <w:sz w:val="13"/>
                      </w:rPr>
                      <w:t>LB</w:t>
                    </w:r>
                  </w:p>
                </w:txbxContent>
              </v:textbox>
              <w10:wrap type="none"/>
            </v:shape>
            <v:shape style="position:absolute;left:4985;top:833;width:1876;height:261" type="#_x0000_t202" filled="false" stroked="false">
              <v:textbox inset="0,0,0,0">
                <w:txbxContent>
                  <w:p>
                    <w:pPr>
                      <w:tabs>
                        <w:tab w:pos="614" w:val="left" w:leader="none"/>
                      </w:tabs>
                      <w:spacing w:line="246" w:lineRule="exact" w:before="14"/>
                      <w:ind w:left="0" w:right="0" w:firstLine="0"/>
                      <w:jc w:val="left"/>
                      <w:rPr>
                        <w:sz w:val="20"/>
                      </w:rPr>
                    </w:pPr>
                    <w:r>
                      <w:rPr>
                        <w:rFonts w:ascii="Symbol" w:hAnsi="Symbol"/>
                        <w:sz w:val="20"/>
                      </w:rPr>
                      <w:t>∆</w:t>
                    </w:r>
                    <w:r>
                      <w:rPr>
                        <w:sz w:val="20"/>
                      </w:rPr>
                      <w:t>C</w:t>
                    </w:r>
                    <w:r>
                      <w:rPr>
                        <w:sz w:val="20"/>
                        <w:vertAlign w:val="subscript"/>
                      </w:rPr>
                      <w:t>SS</w:t>
                    </w:r>
                    <w:r>
                      <w:rPr>
                        <w:sz w:val="20"/>
                        <w:vertAlign w:val="baseline"/>
                      </w:rPr>
                      <w:tab/>
                      <w:t>= </w:t>
                    </w:r>
                    <w:r>
                      <w:rPr>
                        <w:rFonts w:ascii="Symbol" w:hAnsi="Symbol"/>
                        <w:sz w:val="20"/>
                        <w:vertAlign w:val="baseline"/>
                      </w:rPr>
                      <w:t>∆</w:t>
                    </w:r>
                    <w:r>
                      <w:rPr>
                        <w:sz w:val="20"/>
                        <w:vertAlign w:val="baseline"/>
                      </w:rPr>
                      <w:t>C</w:t>
                    </w:r>
                    <w:r>
                      <w:rPr>
                        <w:sz w:val="20"/>
                        <w:vertAlign w:val="subscript"/>
                      </w:rPr>
                      <w:t>SS</w:t>
                    </w:r>
                    <w:r>
                      <w:rPr>
                        <w:sz w:val="20"/>
                        <w:vertAlign w:val="baseline"/>
                      </w:rPr>
                      <w:t> –</w:t>
                    </w:r>
                    <w:r>
                      <w:rPr>
                        <w:spacing w:val="-15"/>
                        <w:sz w:val="20"/>
                        <w:vertAlign w:val="baseline"/>
                      </w:rPr>
                      <w:t> </w:t>
                    </w:r>
                    <w:r>
                      <w:rPr>
                        <w:rFonts w:ascii="Symbol" w:hAnsi="Symbol"/>
                        <w:spacing w:val="-41"/>
                        <w:sz w:val="20"/>
                        <w:vertAlign w:val="baseline"/>
                      </w:rPr>
                      <w:t>∆</w:t>
                    </w:r>
                    <w:r>
                      <w:rPr>
                        <w:spacing w:val="-41"/>
                        <w:sz w:val="20"/>
                        <w:vertAlign w:val="baseline"/>
                      </w:rPr>
                      <w:t>C</w:t>
                    </w:r>
                    <w:r>
                      <w:rPr>
                        <w:spacing w:val="-41"/>
                        <w:sz w:val="20"/>
                        <w:vertAlign w:val="subscript"/>
                      </w:rPr>
                      <w:t>SS</w:t>
                    </w:r>
                  </w:p>
                </w:txbxContent>
              </v:textbox>
              <w10:wrap type="none"/>
            </v:shape>
            <v:shape style="position:absolute;left:2379;top:305;width:7170;height:451" type="#_x0000_t202" filled="false" stroked="false">
              <v:textbox inset="0,0,0,0">
                <w:txbxContent>
                  <w:p>
                    <w:pPr>
                      <w:spacing w:line="221" w:lineRule="exact" w:before="0"/>
                      <w:ind w:left="0" w:right="21" w:firstLine="0"/>
                      <w:jc w:val="center"/>
                      <w:rPr>
                        <w:b/>
                        <w:sz w:val="20"/>
                      </w:rPr>
                    </w:pPr>
                    <w:r>
                      <w:rPr>
                        <w:b/>
                        <w:sz w:val="20"/>
                      </w:rPr>
                      <w:t>E</w:t>
                    </w:r>
                    <w:r>
                      <w:rPr>
                        <w:b/>
                        <w:sz w:val="16"/>
                      </w:rPr>
                      <w:t>QUATION </w:t>
                    </w:r>
                    <w:r>
                      <w:rPr>
                        <w:b/>
                        <w:sz w:val="20"/>
                      </w:rPr>
                      <w:t>3a.4.2</w:t>
                    </w:r>
                  </w:p>
                  <w:p>
                    <w:pPr>
                      <w:spacing w:before="0"/>
                      <w:ind w:left="0" w:right="18" w:firstLine="0"/>
                      <w:jc w:val="center"/>
                      <w:rPr>
                        <w:b/>
                        <w:sz w:val="16"/>
                      </w:rPr>
                    </w:pPr>
                    <w:r>
                      <w:rPr>
                        <w:b/>
                        <w:sz w:val="20"/>
                      </w:rPr>
                      <w:t>C</w:t>
                    </w:r>
                    <w:r>
                      <w:rPr>
                        <w:b/>
                        <w:sz w:val="16"/>
                      </w:rPr>
                      <w:t>HANGES IN CARBON STOCKS IN BIOMASS IN SETTLEMENTS REMAINING SETTLEMENTS</w:t>
                    </w:r>
                  </w:p>
                </w:txbxContent>
              </v:textbox>
              <w10:wrap type="none"/>
            </v:shape>
            <w10:wrap type="topAndBottom"/>
          </v:group>
        </w:pict>
      </w:r>
    </w:p>
    <w:p>
      <w:pPr>
        <w:spacing w:after="0"/>
        <w:rPr>
          <w:sz w:val="9"/>
        </w:rPr>
        <w:sectPr>
          <w:type w:val="continuous"/>
          <w:pgSz w:w="11900" w:h="16840"/>
          <w:pgMar w:top="1060" w:bottom="280" w:left="1260" w:right="1240"/>
        </w:sectPr>
      </w:pPr>
    </w:p>
    <w:p>
      <w:pPr>
        <w:pStyle w:val="BodyText"/>
      </w:pPr>
    </w:p>
    <w:p>
      <w:pPr>
        <w:pStyle w:val="BodyText"/>
        <w:spacing w:before="2"/>
        <w:rPr>
          <w:sz w:val="18"/>
        </w:rPr>
      </w:pPr>
    </w:p>
    <w:p>
      <w:pPr>
        <w:pStyle w:val="BodyText"/>
        <w:ind w:left="159"/>
      </w:pPr>
      <w:r>
        <w:rPr/>
        <w:t>Where:</w:t>
      </w:r>
    </w:p>
    <w:p>
      <w:pPr>
        <w:pStyle w:val="BodyText"/>
        <w:tabs>
          <w:tab w:pos="1339" w:val="left" w:leader="none"/>
        </w:tabs>
        <w:spacing w:before="135"/>
        <w:ind w:left="725"/>
      </w:pPr>
      <w:r>
        <w:rPr/>
        <w:pict>
          <v:shape style="position:absolute;margin-left:119.320526pt;margin-top:14.872023pt;width:8.0500pt;height:7.2pt;mso-position-horizontal-relative:page;mso-position-vertical-relative:paragraph;z-index:-2438800"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SS</w:t>
      </w:r>
      <w:r>
        <w:rPr>
          <w:vertAlign w:val="baseline"/>
        </w:rPr>
        <w:tab/>
        <w:t>= changes in carbon stocks in living biomass in settlements remaining settlements, tonnes C</w:t>
      </w:r>
      <w:r>
        <w:rPr>
          <w:spacing w:val="-25"/>
          <w:vertAlign w:val="baseline"/>
        </w:rPr>
        <w:t> </w:t>
      </w:r>
      <w:r>
        <w:rPr>
          <w:vertAlign w:val="baseline"/>
        </w:rPr>
        <w:t>yr-1</w:t>
      </w:r>
    </w:p>
    <w:p>
      <w:pPr>
        <w:spacing w:after="0"/>
        <w:sectPr>
          <w:pgSz w:w="11900" w:h="16840"/>
          <w:pgMar w:header="230" w:footer="408" w:top="560" w:bottom="600" w:left="1260" w:right="1240"/>
        </w:sectPr>
      </w:pPr>
    </w:p>
    <w:p>
      <w:pPr>
        <w:pStyle w:val="BodyText"/>
        <w:spacing w:before="178"/>
        <w:ind w:left="725"/>
      </w:pPr>
      <w:r>
        <w:rPr/>
        <w:pict>
          <v:shape style="position:absolute;margin-left:119.200645pt;margin-top:17.022093pt;width:4.7pt;height:7.2pt;mso-position-horizontal-relative:page;mso-position-vertical-relative:paragraph;z-index:17392"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rFonts w:ascii="Symbol" w:hAnsi="Symbol"/>
          <w:w w:val="101"/>
        </w:rPr>
        <w:t>∆</w:t>
      </w:r>
      <w:r>
        <w:rPr>
          <w:spacing w:val="1"/>
          <w:w w:val="99"/>
        </w:rPr>
        <w:t>C</w:t>
      </w:r>
      <w:r>
        <w:rPr>
          <w:spacing w:val="-1"/>
          <w:w w:val="99"/>
          <w:vertAlign w:val="subscript"/>
        </w:rPr>
        <w:t>SS</w:t>
      </w:r>
    </w:p>
    <w:p>
      <w:pPr>
        <w:pStyle w:val="BodyText"/>
        <w:spacing w:before="6"/>
        <w:rPr>
          <w:sz w:val="35"/>
        </w:rPr>
      </w:pPr>
    </w:p>
    <w:p>
      <w:pPr>
        <w:pStyle w:val="BodyText"/>
        <w:ind w:left="725"/>
      </w:pPr>
      <w:r>
        <w:rPr>
          <w:rFonts w:ascii="Symbol" w:hAnsi="Symbol"/>
          <w:w w:val="101"/>
        </w:rPr>
        <w:t>∆</w:t>
      </w:r>
      <w:r>
        <w:rPr>
          <w:spacing w:val="1"/>
          <w:w w:val="99"/>
        </w:rPr>
        <w:t>C</w:t>
      </w:r>
      <w:r>
        <w:rPr>
          <w:spacing w:val="-1"/>
          <w:w w:val="99"/>
          <w:vertAlign w:val="subscript"/>
        </w:rPr>
        <w:t>SS</w:t>
      </w:r>
    </w:p>
    <w:p>
      <w:pPr>
        <w:pStyle w:val="BodyText"/>
        <w:spacing w:line="302" w:lineRule="auto" w:before="178"/>
        <w:ind w:left="432" w:hanging="264"/>
      </w:pPr>
      <w:r>
        <w:rPr/>
        <w:br w:type="column"/>
      </w:r>
      <w:r>
        <w:rPr/>
        <w:t>= changes in carbon stocks due to growth in living biomass in settlements remaining settlements, tonnes C</w:t>
      </w:r>
      <w:r>
        <w:rPr>
          <w:spacing w:val="-1"/>
        </w:rPr>
        <w:t> </w:t>
      </w:r>
      <w:r>
        <w:rPr/>
        <w:t>yr-1</w:t>
      </w:r>
    </w:p>
    <w:p>
      <w:pPr>
        <w:pStyle w:val="BodyText"/>
        <w:spacing w:line="300" w:lineRule="auto" w:before="76"/>
        <w:ind w:left="420" w:hanging="224"/>
      </w:pPr>
      <w:r>
        <w:rPr/>
        <w:pict>
          <v:shape style="position:absolute;margin-left:119.320526pt;margin-top:11.921779pt;width:4pt;height:7.2pt;mso-position-horizontal-relative:page;mso-position-vertical-relative:paragraph;z-index:17416"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t>= changes in carbon stocks due to losses in living biomass in settlements remaining settlements, tonnes C</w:t>
      </w:r>
      <w:r>
        <w:rPr>
          <w:spacing w:val="-1"/>
        </w:rPr>
        <w:t> </w:t>
      </w:r>
      <w:r>
        <w:rPr/>
        <w:t>yr-1</w:t>
      </w:r>
    </w:p>
    <w:p>
      <w:pPr>
        <w:spacing w:after="0" w:line="300" w:lineRule="auto"/>
        <w:sectPr>
          <w:type w:val="continuous"/>
          <w:pgSz w:w="11900" w:h="16840"/>
          <w:pgMar w:top="1060" w:bottom="280" w:left="1260" w:right="1240"/>
          <w:cols w:num="2" w:equalWidth="0">
            <w:col w:w="1127" w:space="40"/>
            <w:col w:w="8233"/>
          </w:cols>
        </w:sectPr>
      </w:pPr>
    </w:p>
    <w:p>
      <w:pPr>
        <w:pStyle w:val="Heading6"/>
        <w:spacing w:before="189"/>
      </w:pPr>
      <w:r>
        <w:rPr/>
        <w:t>3a.4.1. 1.1.1 Choice of Method</w:t>
      </w:r>
    </w:p>
    <w:p>
      <w:pPr>
        <w:pStyle w:val="BodyText"/>
        <w:spacing w:before="56"/>
        <w:ind w:left="159" w:right="163"/>
        <w:jc w:val="both"/>
      </w:pPr>
      <w:r>
        <w:rPr/>
        <w:t>Depending on the availability of relevant data, either of the methodological tiers described in what follows can be used. Both are based on the same methodology (growth minus losses) as in Section 3.2.1.1 and shown in Equation</w:t>
      </w:r>
      <w:r>
        <w:rPr>
          <w:spacing w:val="-2"/>
        </w:rPr>
        <w:t> </w:t>
      </w:r>
      <w:r>
        <w:rPr/>
        <w:t>3a.4.2.</w:t>
      </w:r>
    </w:p>
    <w:p>
      <w:pPr>
        <w:pStyle w:val="BodyText"/>
        <w:spacing w:before="119"/>
        <w:ind w:left="159" w:right="312"/>
      </w:pPr>
      <w:r>
        <w:rPr>
          <w:b/>
        </w:rPr>
        <w:t>Tier 1: </w:t>
      </w:r>
      <w:r>
        <w:rPr/>
        <w:t>There are two options for a Tier 1 estimation of changes in living biomass in settlements remaining settlements. Tier 1a uses changes in carbon stocks per tree crown cover area as a removal factor, and Tier 1b uses changes in carbon stocks per number of trees as a removal factor. The choice of method will depend on availability of activity data.</w:t>
      </w:r>
    </w:p>
    <w:p>
      <w:pPr>
        <w:spacing w:before="124"/>
        <w:ind w:left="159" w:right="0" w:firstLine="0"/>
        <w:jc w:val="left"/>
        <w:rPr>
          <w:b/>
          <w:sz w:val="20"/>
        </w:rPr>
      </w:pPr>
      <w:r>
        <w:rPr>
          <w:b/>
          <w:sz w:val="20"/>
        </w:rPr>
        <w:t>Tier 1a: Crown cover area method</w:t>
      </w:r>
    </w:p>
    <w:p>
      <w:pPr>
        <w:pStyle w:val="BodyText"/>
        <w:spacing w:before="115"/>
        <w:ind w:left="159"/>
      </w:pPr>
      <w:r>
        <w:rPr/>
        <w:t>This method is represented by Equation 3a.4.3A and should be used when data are available on total area of tree crown cover in settlements remaining settlements.</w:t>
      </w:r>
    </w:p>
    <w:p>
      <w:pPr>
        <w:pStyle w:val="BodyText"/>
        <w:spacing w:before="11"/>
        <w:rPr>
          <w:sz w:val="9"/>
        </w:rPr>
      </w:pPr>
      <w:r>
        <w:rPr/>
        <w:pict>
          <v:group style="position:absolute;margin-left:91.240997pt;margin-top:8.449355pt;width:412.95pt;height:55.1pt;mso-position-horizontal-relative:page;mso-position-vertical-relative:paragraph;z-index:15080;mso-wrap-distance-left:0;mso-wrap-distance-right:0" coordorigin="1825,169" coordsize="8259,1102">
            <v:line style="position:absolute" from="1854,183" to="10054,183" stroked="true" strokeweight="1.44pt" strokecolor="#000000">
              <v:stroke dashstyle="solid"/>
            </v:line>
            <v:line style="position:absolute" from="1854,1256" to="10054,1256" stroked="true" strokeweight="1.44pt" strokecolor="#000000">
              <v:stroke dashstyle="solid"/>
            </v:line>
            <v:line style="position:absolute" from="1839,169" to="1839,1271" stroked="true" strokeweight="1.44pt" strokecolor="#000000">
              <v:stroke dashstyle="solid"/>
            </v:line>
            <v:line style="position:absolute" from="10069,169" to="10069,1271" stroked="true" strokeweight="1.44pt" strokecolor="#000000">
              <v:stroke dashstyle="solid"/>
            </v:line>
            <v:shape style="position:absolute;left:5288;top:1011;width:114;height:144"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v:shape style="position:absolute;left:4889;top:834;width:2146;height:261" type="#_x0000_t202" filled="false" stroked="false">
              <v:textbox inset="0,0,0,0">
                <w:txbxContent>
                  <w:p>
                    <w:pPr>
                      <w:spacing w:line="246" w:lineRule="exact" w:before="14"/>
                      <w:ind w:left="0" w:right="0" w:firstLine="0"/>
                      <w:jc w:val="left"/>
                      <w:rPr>
                        <w:sz w:val="20"/>
                      </w:rPr>
                    </w:pPr>
                    <w:r>
                      <w:rPr>
                        <w:rFonts w:ascii="Symbol" w:hAnsi="Symbol"/>
                        <w:sz w:val="20"/>
                      </w:rPr>
                      <w:t>∆</w:t>
                    </w:r>
                    <w:r>
                      <w:rPr>
                        <w:sz w:val="20"/>
                      </w:rPr>
                      <w:t>B</w:t>
                    </w:r>
                    <w:r>
                      <w:rPr>
                        <w:sz w:val="20"/>
                        <w:vertAlign w:val="subscript"/>
                      </w:rPr>
                      <w:t>SS</w:t>
                    </w:r>
                    <w:r>
                      <w:rPr>
                        <w:sz w:val="20"/>
                        <w:vertAlign w:val="baseline"/>
                      </w:rPr>
                      <w:t> = (A</w:t>
                    </w:r>
                    <w:r>
                      <w:rPr>
                        <w:sz w:val="20"/>
                        <w:vertAlign w:val="subscript"/>
                      </w:rPr>
                      <w:t>CROWN</w:t>
                    </w:r>
                    <w:r>
                      <w:rPr>
                        <w:sz w:val="20"/>
                        <w:vertAlign w:val="baseline"/>
                      </w:rPr>
                      <w:t> ● CRW)</w:t>
                    </w:r>
                  </w:p>
                </w:txbxContent>
              </v:textbox>
              <w10:wrap type="none"/>
            </v:shape>
            <v:shape style="position:absolute;left:3190;top:305;width:5546;height:452" type="#_x0000_t202" filled="false" stroked="false">
              <v:textbox inset="0,0,0,0">
                <w:txbxContent>
                  <w:p>
                    <w:pPr>
                      <w:spacing w:line="221" w:lineRule="exact" w:before="0"/>
                      <w:ind w:left="0" w:right="17" w:firstLine="0"/>
                      <w:jc w:val="center"/>
                      <w:rPr>
                        <w:b/>
                        <w:sz w:val="20"/>
                      </w:rPr>
                    </w:pPr>
                    <w:r>
                      <w:rPr>
                        <w:b/>
                        <w:sz w:val="20"/>
                      </w:rPr>
                      <w:t>E</w:t>
                    </w:r>
                    <w:r>
                      <w:rPr>
                        <w:b/>
                        <w:sz w:val="16"/>
                      </w:rPr>
                      <w:t>QUATION </w:t>
                    </w:r>
                    <w:r>
                      <w:rPr>
                        <w:b/>
                        <w:sz w:val="20"/>
                      </w:rPr>
                      <w:t>3a.4.3A</w:t>
                    </w:r>
                  </w:p>
                  <w:p>
                    <w:pPr>
                      <w:spacing w:before="0"/>
                      <w:ind w:left="0" w:right="18" w:firstLine="0"/>
                      <w:jc w:val="center"/>
                      <w:rPr>
                        <w:b/>
                        <w:sz w:val="16"/>
                      </w:rPr>
                    </w:pPr>
                    <w:r>
                      <w:rPr>
                        <w:b/>
                        <w:sz w:val="20"/>
                      </w:rPr>
                      <w:t>A</w:t>
                    </w:r>
                    <w:r>
                      <w:rPr>
                        <w:b/>
                        <w:sz w:val="16"/>
                      </w:rPr>
                      <w:t>NNUAL BIOMASS GROWTH BASED ON TOTAL CROWN COVER AREA</w:t>
                    </w:r>
                  </w:p>
                </w:txbxContent>
              </v:textbox>
              <w10:wrap type="none"/>
            </v:shape>
            <w10:wrap type="topAndBottom"/>
          </v:group>
        </w:pict>
      </w:r>
    </w:p>
    <w:p>
      <w:pPr>
        <w:pStyle w:val="BodyText"/>
        <w:spacing w:line="220" w:lineRule="exact"/>
        <w:ind w:left="159"/>
      </w:pPr>
      <w:r>
        <w:rPr/>
        <w:t>Where:</w:t>
      </w:r>
    </w:p>
    <w:p>
      <w:pPr>
        <w:pStyle w:val="BodyText"/>
        <w:spacing w:line="400" w:lineRule="auto" w:before="135"/>
        <w:ind w:left="725" w:right="1954"/>
      </w:pPr>
      <w:r>
        <w:rPr/>
        <w:pict>
          <v:shape style="position:absolute;margin-left:119.200645pt;margin-top:14.872023pt;width:4.7pt;height:7.2pt;mso-position-horizontal-relative:page;mso-position-vertical-relative:paragraph;z-index:-2438728"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rFonts w:ascii="Symbol" w:hAnsi="Symbol"/>
        </w:rPr>
        <w:t>∆</w:t>
      </w:r>
      <w:r>
        <w:rPr/>
        <w:t>B</w:t>
      </w:r>
      <w:r>
        <w:rPr>
          <w:vertAlign w:val="subscript"/>
        </w:rPr>
        <w:t>SS</w:t>
      </w:r>
      <w:r>
        <w:rPr>
          <w:vertAlign w:val="baseline"/>
        </w:rPr>
        <w:t> = annual biomass growth in settlements remaining settlements, tonnes C yr-1 A</w:t>
      </w:r>
      <w:r>
        <w:rPr>
          <w:vertAlign w:val="subscript"/>
        </w:rPr>
        <w:t>CROWN</w:t>
      </w:r>
      <w:r>
        <w:rPr>
          <w:vertAlign w:val="baseline"/>
        </w:rPr>
        <w:t> = total crown cover area, ha</w:t>
      </w:r>
    </w:p>
    <w:p>
      <w:pPr>
        <w:pStyle w:val="BodyText"/>
        <w:spacing w:line="206" w:lineRule="exact"/>
        <w:ind w:left="725"/>
      </w:pPr>
      <w:r>
        <w:rPr/>
        <w:t>CRW = crown cover area-based growth rate, tonnes C (ha crown cover)</w:t>
      </w:r>
      <w:r>
        <w:rPr>
          <w:vertAlign w:val="superscript"/>
        </w:rPr>
        <w:t>-1</w:t>
      </w:r>
      <w:r>
        <w:rPr>
          <w:vertAlign w:val="baseline"/>
        </w:rPr>
        <w:t> yr</w:t>
      </w:r>
      <w:r>
        <w:rPr>
          <w:vertAlign w:val="superscript"/>
        </w:rPr>
        <w:t>-1</w:t>
      </w:r>
    </w:p>
    <w:p>
      <w:pPr>
        <w:pStyle w:val="BodyText"/>
        <w:rPr>
          <w:sz w:val="24"/>
        </w:rPr>
      </w:pPr>
    </w:p>
    <w:p>
      <w:pPr>
        <w:pStyle w:val="BodyText"/>
        <w:spacing w:before="192"/>
        <w:ind w:left="159"/>
      </w:pPr>
      <w:r>
        <w:rPr/>
        <w:t>This method can be implemented in three steps:</w:t>
      </w:r>
    </w:p>
    <w:p>
      <w:pPr>
        <w:pStyle w:val="BodyText"/>
        <w:spacing w:before="120"/>
        <w:ind w:left="159"/>
      </w:pPr>
      <w:r>
        <w:rPr>
          <w:b/>
        </w:rPr>
        <w:t>Step 1: </w:t>
      </w:r>
      <w:r>
        <w:rPr/>
        <w:t>Estimate the total tree crown area of trees in all settlements remaining settlements.</w:t>
      </w:r>
    </w:p>
    <w:p>
      <w:pPr>
        <w:pStyle w:val="BodyText"/>
        <w:spacing w:line="254" w:lineRule="auto" w:before="121"/>
        <w:ind w:left="838" w:right="1606" w:hanging="680"/>
      </w:pPr>
      <w:r>
        <w:rPr/>
        <w:pict>
          <v:shape style="position:absolute;margin-left:253.360641pt;margin-top:26.412724pt;width:4.7pt;height:7.2pt;mso-position-horizontal-relative:page;mso-position-vertical-relative:paragraph;z-index:-2438704"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pict>
          <v:shape style="position:absolute;margin-left:374.680542pt;margin-top:47.652725pt;width:4pt;height:7.2pt;mso-position-horizontal-relative:page;mso-position-vertical-relative:paragraph;z-index:17536"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b/>
        </w:rPr>
        <w:t>Step 2: </w:t>
      </w:r>
      <w:r>
        <w:rPr/>
        <w:t>Multiply the total tree crown area by the appropriate default removal factor for CRW (see Sec. 3a.4.1.1.1.2) to obtain </w:t>
      </w:r>
      <w:r>
        <w:rPr>
          <w:rFonts w:ascii="Symbol" w:hAnsi="Symbol"/>
        </w:rPr>
        <w:t>∆</w:t>
      </w:r>
      <w:r>
        <w:rPr/>
        <w:t>B</w:t>
      </w:r>
      <w:r>
        <w:rPr>
          <w:vertAlign w:val="subscript"/>
        </w:rPr>
        <w:t>SS</w:t>
      </w:r>
      <w:r>
        <w:rPr>
          <w:vertAlign w:val="baseline"/>
        </w:rPr>
        <w:t> .</w:t>
      </w:r>
    </w:p>
    <w:p>
      <w:pPr>
        <w:spacing w:after="0" w:line="254" w:lineRule="auto"/>
        <w:sectPr>
          <w:type w:val="continuous"/>
          <w:pgSz w:w="11900" w:h="16840"/>
          <w:pgMar w:top="1060" w:bottom="280" w:left="1260" w:right="1240"/>
        </w:sectPr>
      </w:pPr>
    </w:p>
    <w:p>
      <w:pPr>
        <w:spacing w:before="165"/>
        <w:ind w:left="159" w:right="0" w:firstLine="0"/>
        <w:jc w:val="left"/>
        <w:rPr>
          <w:sz w:val="20"/>
        </w:rPr>
      </w:pPr>
      <w:r>
        <w:rPr/>
        <w:pict>
          <v:shape style="position:absolute;margin-left:207.640533pt;margin-top:16.372164pt;width:4.7pt;height:7.2pt;mso-position-horizontal-relative:page;mso-position-vertical-relative:paragraph;z-index:17512"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b/>
          <w:sz w:val="20"/>
        </w:rPr>
        <w:t>Step 3: </w:t>
      </w:r>
      <w:r>
        <w:rPr>
          <w:sz w:val="20"/>
        </w:rPr>
        <w:t>Use the estimate for </w:t>
      </w:r>
      <w:r>
        <w:rPr>
          <w:rFonts w:ascii="Symbol" w:hAnsi="Symbol"/>
          <w:sz w:val="20"/>
        </w:rPr>
        <w:t>∆</w:t>
      </w:r>
      <w:r>
        <w:rPr>
          <w:sz w:val="20"/>
        </w:rPr>
        <w:t>B</w:t>
      </w:r>
      <w:r>
        <w:rPr>
          <w:sz w:val="20"/>
          <w:vertAlign w:val="subscript"/>
        </w:rPr>
        <w:t>SS</w:t>
      </w:r>
    </w:p>
    <w:p>
      <w:pPr>
        <w:pStyle w:val="BodyText"/>
        <w:spacing w:before="165"/>
        <w:ind w:left="-7"/>
      </w:pPr>
      <w:r>
        <w:rPr/>
        <w:br w:type="column"/>
      </w:r>
      <w:r>
        <w:rPr/>
        <w:t>in Equation 3a.4.2. In addition, set </w:t>
      </w:r>
      <w:r>
        <w:rPr>
          <w:rFonts w:ascii="Symbol" w:hAnsi="Symbol"/>
        </w:rPr>
        <w:t>∆</w:t>
      </w:r>
      <w:r>
        <w:rPr/>
        <w:t>B</w:t>
      </w:r>
      <w:r>
        <w:rPr>
          <w:vertAlign w:val="subscript"/>
        </w:rPr>
        <w:t>SS</w:t>
      </w:r>
    </w:p>
    <w:p>
      <w:pPr>
        <w:pStyle w:val="BodyText"/>
        <w:spacing w:before="165"/>
        <w:ind w:left="8"/>
      </w:pPr>
      <w:r>
        <w:rPr/>
        <w:br w:type="column"/>
      </w:r>
      <w:r>
        <w:rPr/>
        <w:t>= 0 if the average age of the tree</w:t>
      </w:r>
    </w:p>
    <w:p>
      <w:pPr>
        <w:spacing w:after="0"/>
        <w:sectPr>
          <w:type w:val="continuous"/>
          <w:pgSz w:w="11900" w:h="16840"/>
          <w:pgMar w:top="1060" w:bottom="280" w:left="1260" w:right="1240"/>
          <w:cols w:num="3" w:equalWidth="0">
            <w:col w:w="2987" w:space="40"/>
            <w:col w:w="3287" w:space="39"/>
            <w:col w:w="3047"/>
          </w:cols>
        </w:sectPr>
      </w:pPr>
    </w:p>
    <w:p>
      <w:pPr>
        <w:pStyle w:val="BodyText"/>
        <w:spacing w:before="56"/>
        <w:ind w:left="838"/>
      </w:pPr>
      <w:r>
        <w:rPr/>
        <w:pict>
          <v:shape style="position:absolute;margin-left:373.960663pt;margin-top:10.921497pt;width:4.7pt;height:7.2pt;mso-position-horizontal-relative:page;mso-position-vertical-relative:paragraph;z-index:17488"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t>population is less than or equal to 20 years; otherwise assume</w:t>
      </w:r>
      <w:r>
        <w:rPr>
          <w:spacing w:val="-24"/>
        </w:rPr>
        <w:t> </w:t>
      </w:r>
      <w:r>
        <w:rPr>
          <w:rFonts w:ascii="Symbol" w:hAnsi="Symbol"/>
          <w:spacing w:val="-18"/>
        </w:rPr>
        <w:t>∆</w:t>
      </w:r>
      <w:r>
        <w:rPr>
          <w:spacing w:val="-18"/>
        </w:rPr>
        <w:t>B</w:t>
      </w:r>
      <w:r>
        <w:rPr>
          <w:spacing w:val="-18"/>
          <w:vertAlign w:val="subscript"/>
        </w:rPr>
        <w:t>SS</w:t>
      </w:r>
    </w:p>
    <w:p>
      <w:pPr>
        <w:pStyle w:val="BodyText"/>
        <w:spacing w:before="56"/>
        <w:ind w:left="84"/>
      </w:pPr>
      <w:r>
        <w:rPr/>
        <w:br w:type="column"/>
      </w:r>
      <w:r>
        <w:rPr/>
        <w:t>= </w:t>
      </w:r>
      <w:r>
        <w:rPr>
          <w:rFonts w:ascii="Symbol" w:hAnsi="Symbol"/>
        </w:rPr>
        <w:t>∆</w:t>
      </w:r>
      <w:r>
        <w:rPr/>
        <w:t>B</w:t>
      </w:r>
      <w:r>
        <w:rPr>
          <w:vertAlign w:val="subscript"/>
        </w:rPr>
        <w:t>SS</w:t>
      </w:r>
    </w:p>
    <w:p>
      <w:pPr>
        <w:pStyle w:val="BodyText"/>
        <w:spacing w:before="56"/>
        <w:ind w:left="-9"/>
      </w:pPr>
      <w:r>
        <w:rPr/>
        <w:br w:type="column"/>
      </w:r>
      <w:r>
        <w:rPr/>
        <w:t>(see Section 3a.4.1.1.1.2).</w:t>
      </w:r>
    </w:p>
    <w:p>
      <w:pPr>
        <w:spacing w:after="0"/>
        <w:sectPr>
          <w:type w:val="continuous"/>
          <w:pgSz w:w="11900" w:h="16840"/>
          <w:pgMar w:top="1060" w:bottom="280" w:left="1260" w:right="1240"/>
          <w:cols w:num="3" w:equalWidth="0">
            <w:col w:w="6222" w:space="40"/>
            <w:col w:w="729" w:space="39"/>
            <w:col w:w="2370"/>
          </w:cols>
        </w:sectPr>
      </w:pPr>
    </w:p>
    <w:p>
      <w:pPr>
        <w:spacing w:before="169"/>
        <w:ind w:left="159" w:right="0" w:firstLine="0"/>
        <w:jc w:val="left"/>
        <w:rPr>
          <w:b/>
          <w:sz w:val="20"/>
        </w:rPr>
      </w:pPr>
      <w:r>
        <w:rPr/>
        <w:pict>
          <v:shape style="position:absolute;margin-left:408.520538pt;margin-top:-4.187871pt;width:4pt;height:7.2pt;mso-position-horizontal-relative:page;mso-position-vertical-relative:paragraph;z-index:17560"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b/>
          <w:sz w:val="20"/>
        </w:rPr>
        <w:t>Tier 1b: Tree growth rate method</w:t>
      </w:r>
    </w:p>
    <w:p>
      <w:pPr>
        <w:pStyle w:val="BodyText"/>
        <w:spacing w:before="116"/>
        <w:ind w:left="159"/>
      </w:pPr>
      <w:r>
        <w:rPr/>
        <w:t>The method is represented by Equation 3a.4.3B and should be used where data on the number of trees by broad species class in settlements remaining settlements are available.</w:t>
      </w:r>
    </w:p>
    <w:p>
      <w:pPr>
        <w:pStyle w:val="BodyText"/>
        <w:spacing w:before="10"/>
        <w:rPr>
          <w:sz w:val="9"/>
        </w:rPr>
      </w:pPr>
      <w:r>
        <w:rPr/>
        <w:pict>
          <v:group style="position:absolute;margin-left:91.240997pt;margin-top:8.412802pt;width:412.95pt;height:87.4pt;mso-position-horizontal-relative:page;mso-position-vertical-relative:paragraph;z-index:15296;mso-wrap-distance-left:0;mso-wrap-distance-right:0" coordorigin="1825,168" coordsize="8259,1748">
            <v:line style="position:absolute" from="1854,183" to="10054,183" stroked="true" strokeweight="1.44pt" strokecolor="#000000">
              <v:stroke dashstyle="solid"/>
            </v:line>
            <v:line style="position:absolute" from="1854,1901" to="10054,1901" stroked="true" strokeweight="1.44pt" strokecolor="#000000">
              <v:stroke dashstyle="solid"/>
            </v:line>
            <v:line style="position:absolute" from="1839,168" to="1839,1915" stroked="true" strokeweight="1.44pt" strokecolor="#000000">
              <v:stroke dashstyle="solid"/>
            </v:line>
            <v:line style="position:absolute" from="10069,168" to="10069,1915" stroked="true" strokeweight="1.44pt" strokecolor="#000000">
              <v:stroke dashstyle="solid"/>
            </v:line>
            <v:shape style="position:absolute;left:7035;top:1327;width:87;height:221" type="#_x0000_t202" filled="false" stroked="false">
              <v:textbox inset="0,0,0,0">
                <w:txbxContent>
                  <w:p>
                    <w:pPr>
                      <w:spacing w:line="221" w:lineRule="exact" w:before="0"/>
                      <w:ind w:left="0" w:right="0" w:firstLine="0"/>
                      <w:jc w:val="left"/>
                      <w:rPr>
                        <w:sz w:val="20"/>
                      </w:rPr>
                    </w:pPr>
                    <w:r>
                      <w:rPr>
                        <w:w w:val="99"/>
                        <w:sz w:val="20"/>
                      </w:rPr>
                      <w:t>)</w:t>
                    </w:r>
                  </w:p>
                </w:txbxContent>
              </v:textbox>
              <w10:wrap type="none"/>
            </v:shape>
            <v:shape style="position:absolute;left:6339;top:1420;width:683;height:204" type="#_x0000_t202" filled="false" stroked="false">
              <v:textbox inset="0,0,0,0">
                <w:txbxContent>
                  <w:p>
                    <w:pPr>
                      <w:tabs>
                        <w:tab w:pos="388" w:val="left" w:leader="none"/>
                      </w:tabs>
                      <w:spacing w:line="228" w:lineRule="auto" w:before="0"/>
                      <w:ind w:left="0" w:right="0" w:firstLine="0"/>
                      <w:jc w:val="left"/>
                      <w:rPr>
                        <w:sz w:val="13"/>
                      </w:rPr>
                    </w:pPr>
                    <w:r>
                      <w:rPr>
                        <w:sz w:val="13"/>
                      </w:rPr>
                      <w:t>i</w:t>
                      <w:tab/>
                      <w:t>Rate</w:t>
                    </w:r>
                    <w:r>
                      <w:rPr>
                        <w:position w:val="-5"/>
                        <w:sz w:val="13"/>
                      </w:rPr>
                      <w:t>i</w:t>
                    </w:r>
                  </w:p>
                </w:txbxContent>
              </v:textbox>
              <w10:wrap type="none"/>
            </v:shape>
            <v:shape style="position:absolute;left:6003;top:1327;width:746;height:221" type="#_x0000_t202" filled="false" stroked="false">
              <v:textbox inset="0,0,0,0">
                <w:txbxContent>
                  <w:p>
                    <w:pPr>
                      <w:spacing w:line="221" w:lineRule="exact" w:before="0"/>
                      <w:ind w:left="0" w:right="0" w:firstLine="0"/>
                      <w:jc w:val="left"/>
                      <w:rPr>
                        <w:sz w:val="20"/>
                      </w:rPr>
                    </w:pPr>
                    <w:r>
                      <w:rPr>
                        <w:sz w:val="20"/>
                      </w:rPr>
                      <w:t>(NT ● C</w:t>
                    </w:r>
                  </w:p>
                </w:txbxContent>
              </v:textbox>
              <w10:wrap type="none"/>
            </v:shape>
            <v:shape style="position:absolute;left:5523;top:1176;width:365;height:623" type="#_x0000_t202" filled="false" stroked="false">
              <v:textbox inset="0,0,0,0">
                <w:txbxContent>
                  <w:p>
                    <w:pPr>
                      <w:spacing w:line="190" w:lineRule="exact" w:before="0"/>
                      <w:ind w:left="0" w:right="37" w:firstLine="0"/>
                      <w:jc w:val="center"/>
                      <w:rPr>
                        <w:sz w:val="20"/>
                      </w:rPr>
                    </w:pPr>
                    <w:r>
                      <w:rPr>
                        <w:w w:val="99"/>
                        <w:sz w:val="20"/>
                      </w:rPr>
                      <w:t>n</w:t>
                    </w:r>
                  </w:p>
                  <w:p>
                    <w:pPr>
                      <w:spacing w:line="193" w:lineRule="exact" w:before="0"/>
                      <w:ind w:left="93" w:right="0" w:firstLine="0"/>
                      <w:jc w:val="left"/>
                      <w:rPr>
                        <w:rFonts w:ascii="Arial" w:hAnsi="Arial"/>
                        <w:sz w:val="20"/>
                      </w:rPr>
                    </w:pPr>
                    <w:r>
                      <w:rPr>
                        <w:rFonts w:ascii="Arial" w:hAnsi="Arial"/>
                        <w:w w:val="99"/>
                        <w:sz w:val="20"/>
                      </w:rPr>
                      <w:t>∑</w:t>
                    </w:r>
                  </w:p>
                  <w:p>
                    <w:pPr>
                      <w:spacing w:line="240" w:lineRule="exact" w:before="0"/>
                      <w:ind w:left="0" w:right="18" w:firstLine="0"/>
                      <w:jc w:val="center"/>
                      <w:rPr>
                        <w:sz w:val="20"/>
                      </w:rPr>
                    </w:pPr>
                    <w:r>
                      <w:rPr>
                        <w:sz w:val="20"/>
                      </w:rPr>
                      <w:t>i </w:t>
                    </w:r>
                    <w:r>
                      <w:rPr>
                        <w:rFonts w:ascii="Symbol"/>
                        <w:sz w:val="20"/>
                      </w:rPr>
                      <w:t>=</w:t>
                    </w:r>
                    <w:r>
                      <w:rPr>
                        <w:rFonts w:ascii="Symbol"/>
                        <w:spacing w:val="-21"/>
                        <w:sz w:val="20"/>
                      </w:rPr>
                      <w:t> </w:t>
                    </w:r>
                    <w:r>
                      <w:rPr>
                        <w:spacing w:val="-18"/>
                        <w:sz w:val="20"/>
                      </w:rPr>
                      <w:t>1</w:t>
                    </w:r>
                  </w:p>
                </w:txbxContent>
              </v:textbox>
              <w10:wrap type="none"/>
            </v:shape>
            <v:shape style="position:absolute;left:5328;top:1327;width:133;height:221" type="#_x0000_t202" filled="false" stroked="false">
              <v:textbox inset="0,0,0,0">
                <w:txbxContent>
                  <w:p>
                    <w:pPr>
                      <w:spacing w:line="221" w:lineRule="exact" w:before="0"/>
                      <w:ind w:left="0" w:right="0" w:firstLine="0"/>
                      <w:jc w:val="left"/>
                      <w:rPr>
                        <w:sz w:val="20"/>
                      </w:rPr>
                    </w:pPr>
                    <w:r>
                      <w:rPr>
                        <w:w w:val="99"/>
                        <w:sz w:val="20"/>
                      </w:rPr>
                      <w:t>=</w:t>
                    </w:r>
                  </w:p>
                </w:txbxContent>
              </v:textbox>
              <w10:wrap type="none"/>
            </v:shape>
            <v:shape style="position:absolute;left:5060;top:1420;width:256;height:204" type="#_x0000_t202" filled="false" stroked="false">
              <v:textbox inset="0,0,0,0">
                <w:txbxContent>
                  <w:p>
                    <w:pPr>
                      <w:spacing w:line="228" w:lineRule="auto" w:before="0"/>
                      <w:ind w:left="0" w:right="0" w:firstLine="0"/>
                      <w:jc w:val="left"/>
                      <w:rPr>
                        <w:sz w:val="13"/>
                      </w:rPr>
                    </w:pPr>
                    <w:r>
                      <w:rPr>
                        <w:sz w:val="13"/>
                      </w:rPr>
                      <w:t>SS</w:t>
                    </w:r>
                    <w:r>
                      <w:rPr>
                        <w:position w:val="-5"/>
                        <w:sz w:val="13"/>
                      </w:rPr>
                      <w:t>G</w:t>
                    </w:r>
                  </w:p>
                </w:txbxContent>
              </v:textbox>
              <w10:wrap type="none"/>
            </v:shape>
            <v:shape style="position:absolute;left:4803;top:1303;width:276;height:260" type="#_x0000_t202" filled="false" stroked="false">
              <v:textbox inset="0,0,0,0">
                <w:txbxContent>
                  <w:p>
                    <w:pPr>
                      <w:spacing w:line="245" w:lineRule="exact" w:before="14"/>
                      <w:ind w:left="0" w:right="0" w:firstLine="0"/>
                      <w:jc w:val="left"/>
                      <w:rPr>
                        <w:sz w:val="20"/>
                      </w:rPr>
                    </w:pPr>
                    <w:r>
                      <w:rPr>
                        <w:rFonts w:ascii="Symbol" w:hAnsi="Symbol"/>
                        <w:w w:val="101"/>
                        <w:sz w:val="20"/>
                      </w:rPr>
                      <w:t>∆</w:t>
                    </w:r>
                    <w:r>
                      <w:rPr>
                        <w:w w:val="99"/>
                        <w:sz w:val="20"/>
                      </w:rPr>
                      <w:t>B</w:t>
                    </w:r>
                  </w:p>
                </w:txbxContent>
              </v:textbox>
              <w10:wrap type="none"/>
            </v:shape>
            <v:shape style="position:absolute;left:2564;top:305;width:6798;height:753" type="#_x0000_t202" filled="false" stroked="false">
              <v:textbox inset="0,0,0,0">
                <w:txbxContent>
                  <w:p>
                    <w:pPr>
                      <w:spacing w:line="220" w:lineRule="exact" w:before="0"/>
                      <w:ind w:left="0" w:right="18" w:firstLine="0"/>
                      <w:jc w:val="center"/>
                      <w:rPr>
                        <w:b/>
                        <w:sz w:val="20"/>
                      </w:rPr>
                    </w:pPr>
                    <w:r>
                      <w:rPr>
                        <w:b/>
                        <w:sz w:val="20"/>
                      </w:rPr>
                      <w:t>E</w:t>
                    </w:r>
                    <w:r>
                      <w:rPr>
                        <w:b/>
                        <w:sz w:val="16"/>
                      </w:rPr>
                      <w:t>QUATION </w:t>
                    </w:r>
                    <w:r>
                      <w:rPr>
                        <w:b/>
                        <w:sz w:val="20"/>
                      </w:rPr>
                      <w:t>3a.4.3B</w:t>
                    </w:r>
                  </w:p>
                  <w:p>
                    <w:pPr>
                      <w:spacing w:line="229" w:lineRule="exact" w:before="0"/>
                      <w:ind w:left="0" w:right="18" w:firstLine="0"/>
                      <w:jc w:val="center"/>
                      <w:rPr>
                        <w:b/>
                        <w:sz w:val="16"/>
                      </w:rPr>
                    </w:pPr>
                    <w:r>
                      <w:rPr>
                        <w:b/>
                        <w:sz w:val="20"/>
                      </w:rPr>
                      <w:t>A</w:t>
                    </w:r>
                    <w:r>
                      <w:rPr>
                        <w:b/>
                        <w:sz w:val="16"/>
                      </w:rPr>
                      <w:t>NNUAL AMOUNT OF BIOMASS GROWTH BASED ON NUMBER OF INDIVIDUAL TREES</w:t>
                    </w:r>
                  </w:p>
                  <w:p>
                    <w:pPr>
                      <w:spacing w:before="119"/>
                      <w:ind w:left="0" w:right="17" w:firstLine="0"/>
                      <w:jc w:val="center"/>
                      <w:rPr>
                        <w:b/>
                        <w:sz w:val="16"/>
                      </w:rPr>
                    </w:pPr>
                    <w:r>
                      <w:rPr>
                        <w:b/>
                        <w:sz w:val="16"/>
                      </w:rPr>
                      <w:t>IN BROAD SPECIES CLASSES</w:t>
                    </w:r>
                  </w:p>
                </w:txbxContent>
              </v:textbox>
              <w10:wrap type="none"/>
            </v:shape>
            <w10:wrap type="topAndBottom"/>
          </v:group>
        </w:pict>
      </w:r>
    </w:p>
    <w:p>
      <w:pPr>
        <w:pStyle w:val="BodyText"/>
        <w:spacing w:line="220" w:lineRule="exact"/>
        <w:ind w:left="159"/>
      </w:pPr>
      <w:r>
        <w:rPr/>
        <w:t>Where:</w:t>
      </w:r>
    </w:p>
    <w:p>
      <w:pPr>
        <w:pStyle w:val="BodyText"/>
        <w:spacing w:line="340" w:lineRule="auto" w:before="135"/>
        <w:ind w:left="725" w:right="1936"/>
      </w:pPr>
      <w:r>
        <w:rPr>
          <w:rFonts w:ascii="Symbol" w:hAnsi="Symbol"/>
        </w:rPr>
        <w:t>∆</w:t>
      </w:r>
      <w:r>
        <w:rPr/>
        <w:t>B</w:t>
      </w:r>
      <w:r>
        <w:rPr>
          <w:vertAlign w:val="subscript"/>
        </w:rPr>
        <w:t>SS</w:t>
      </w:r>
      <w:r>
        <w:rPr>
          <w:position w:val="-8"/>
          <w:sz w:val="13"/>
          <w:vertAlign w:val="baseline"/>
        </w:rPr>
        <w:t>G </w:t>
      </w:r>
      <w:r>
        <w:rPr>
          <w:vertAlign w:val="baseline"/>
        </w:rPr>
        <w:t>= annual biomass growth in settlements remaining settlements, tonnes C yr</w:t>
      </w:r>
      <w:r>
        <w:rPr>
          <w:vertAlign w:val="superscript"/>
        </w:rPr>
        <w:t>-1</w:t>
      </w:r>
      <w:r>
        <w:rPr>
          <w:vertAlign w:val="baseline"/>
        </w:rPr>
        <w:t> NT</w:t>
      </w:r>
      <w:r>
        <w:rPr>
          <w:vertAlign w:val="subscript"/>
        </w:rPr>
        <w:t>i</w:t>
      </w:r>
      <w:r>
        <w:rPr>
          <w:vertAlign w:val="baseline"/>
        </w:rPr>
        <w:t> = number of trees in broad species class </w:t>
      </w:r>
      <w:r>
        <w:rPr>
          <w:i/>
          <w:vertAlign w:val="baseline"/>
        </w:rPr>
        <w:t>i</w:t>
      </w:r>
      <w:r>
        <w:rPr>
          <w:vertAlign w:val="baseline"/>
        </w:rPr>
        <w:t>, tree #;</w:t>
      </w:r>
    </w:p>
    <w:p>
      <w:pPr>
        <w:spacing w:after="0" w:line="340" w:lineRule="auto"/>
        <w:sectPr>
          <w:type w:val="continuous"/>
          <w:pgSz w:w="11900" w:h="16840"/>
          <w:pgMar w:top="1060" w:bottom="280" w:left="1260" w:right="1240"/>
        </w:sectPr>
      </w:pPr>
    </w:p>
    <w:p>
      <w:pPr>
        <w:pStyle w:val="BodyText"/>
        <w:spacing w:before="8"/>
        <w:rPr>
          <w:sz w:val="27"/>
        </w:rPr>
      </w:pPr>
    </w:p>
    <w:p>
      <w:pPr>
        <w:pStyle w:val="BodyText"/>
        <w:spacing w:before="121"/>
        <w:ind w:left="725"/>
      </w:pPr>
      <w:r>
        <w:rPr/>
        <w:pict>
          <v:shape style="position:absolute;margin-left:117.760384pt;margin-top:14.171768pt;width:1.8pt;height:7.2pt;mso-position-horizontal-relative:page;mso-position-vertical-relative:paragraph;z-index:-2438584" type="#_x0000_t202" filled="false" stroked="false">
            <v:textbox inset="0,0,0,0">
              <w:txbxContent>
                <w:p>
                  <w:pPr>
                    <w:spacing w:line="144" w:lineRule="exact" w:before="0"/>
                    <w:ind w:left="0" w:right="0" w:firstLine="0"/>
                    <w:jc w:val="left"/>
                    <w:rPr>
                      <w:sz w:val="13"/>
                    </w:rPr>
                  </w:pPr>
                  <w:r>
                    <w:rPr>
                      <w:w w:val="99"/>
                      <w:sz w:val="13"/>
                    </w:rPr>
                    <w:t>i</w:t>
                  </w:r>
                </w:p>
              </w:txbxContent>
            </v:textbox>
            <w10:wrap type="none"/>
          </v:shape>
        </w:pict>
      </w:r>
      <w:r>
        <w:rPr/>
        <w:t>C</w:t>
      </w:r>
      <w:r>
        <w:rPr>
          <w:vertAlign w:val="subscript"/>
        </w:rPr>
        <w:t>Rate</w:t>
      </w:r>
      <w:r>
        <w:rPr>
          <w:vertAlign w:val="baseline"/>
        </w:rPr>
        <w:t> = annual average carbon accumulation per tree of broad species class </w:t>
      </w:r>
      <w:r>
        <w:rPr>
          <w:i/>
          <w:vertAlign w:val="baseline"/>
        </w:rPr>
        <w:t>i</w:t>
      </w:r>
      <w:r>
        <w:rPr>
          <w:vertAlign w:val="baseline"/>
        </w:rPr>
        <w:t>, tonnes C yr</w:t>
      </w:r>
      <w:r>
        <w:rPr>
          <w:vertAlign w:val="superscript"/>
        </w:rPr>
        <w:t>-1</w:t>
      </w:r>
      <w:r>
        <w:rPr>
          <w:vertAlign w:val="baseline"/>
        </w:rPr>
        <w:t> tree #</w:t>
      </w:r>
      <w:r>
        <w:rPr>
          <w:vertAlign w:val="superscript"/>
        </w:rPr>
        <w:t>-1</w:t>
      </w:r>
    </w:p>
    <w:p>
      <w:pPr>
        <w:pStyle w:val="BodyText"/>
      </w:pPr>
    </w:p>
    <w:p>
      <w:pPr>
        <w:pStyle w:val="BodyText"/>
        <w:spacing w:before="8"/>
        <w:rPr>
          <w:sz w:val="26"/>
        </w:rPr>
      </w:pPr>
    </w:p>
    <w:tbl>
      <w:tblPr>
        <w:tblW w:w="0" w:type="auto"/>
        <w:jc w:val="left"/>
        <w:tblInd w:w="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02"/>
        <w:gridCol w:w="5112"/>
      </w:tblGrid>
      <w:tr>
        <w:trPr>
          <w:trHeight w:val="740" w:hRule="atLeast"/>
        </w:trPr>
        <w:tc>
          <w:tcPr>
            <w:tcW w:w="9014" w:type="dxa"/>
            <w:gridSpan w:val="2"/>
            <w:tcBorders>
              <w:bottom w:val="double" w:sz="1" w:space="0" w:color="000000"/>
            </w:tcBorders>
          </w:tcPr>
          <w:p>
            <w:pPr>
              <w:pStyle w:val="TableParagraph"/>
              <w:spacing w:line="195" w:lineRule="exact" w:before="59"/>
              <w:ind w:left="120" w:right="114"/>
              <w:jc w:val="center"/>
              <w:rPr>
                <w:b/>
                <w:sz w:val="18"/>
              </w:rPr>
            </w:pPr>
            <w:r>
              <w:rPr>
                <w:b/>
                <w:sz w:val="18"/>
              </w:rPr>
              <w:t>T</w:t>
            </w:r>
            <w:r>
              <w:rPr>
                <w:b/>
                <w:sz w:val="14"/>
              </w:rPr>
              <w:t>ABLE </w:t>
            </w:r>
            <w:r>
              <w:rPr>
                <w:b/>
                <w:sz w:val="18"/>
              </w:rPr>
              <w:t>3</w:t>
            </w:r>
            <w:r>
              <w:rPr>
                <w:b/>
                <w:sz w:val="14"/>
              </w:rPr>
              <w:t>A</w:t>
            </w:r>
            <w:r>
              <w:rPr>
                <w:b/>
                <w:sz w:val="18"/>
              </w:rPr>
              <w:t>.4.1</w:t>
            </w:r>
          </w:p>
          <w:p>
            <w:pPr>
              <w:pStyle w:val="TableParagraph"/>
              <w:spacing w:line="208" w:lineRule="exact" w:before="14"/>
              <w:ind w:left="1237" w:right="1228"/>
              <w:jc w:val="center"/>
              <w:rPr>
                <w:b/>
                <w:sz w:val="14"/>
              </w:rPr>
            </w:pPr>
            <w:r>
              <w:rPr>
                <w:b/>
                <w:sz w:val="18"/>
              </w:rPr>
              <w:t>T</w:t>
            </w:r>
            <w:r>
              <w:rPr>
                <w:b/>
                <w:sz w:val="14"/>
              </w:rPr>
              <w:t>IER </w:t>
            </w:r>
            <w:r>
              <w:rPr>
                <w:b/>
                <w:sz w:val="18"/>
              </w:rPr>
              <w:t>1</w:t>
            </w:r>
            <w:r>
              <w:rPr>
                <w:b/>
                <w:sz w:val="14"/>
              </w:rPr>
              <w:t>B DEFAULT AVERAGE ANNUAL CARBON ACCUMULATION PER TREE </w:t>
            </w:r>
            <w:r>
              <w:rPr>
                <w:b/>
                <w:sz w:val="18"/>
              </w:rPr>
              <w:t>(</w:t>
            </w:r>
            <w:r>
              <w:rPr>
                <w:b/>
                <w:sz w:val="14"/>
              </w:rPr>
              <w:t>TONNES </w:t>
            </w:r>
            <w:r>
              <w:rPr>
                <w:b/>
                <w:sz w:val="18"/>
              </w:rPr>
              <w:t>C </w:t>
            </w:r>
            <w:r>
              <w:rPr>
                <w:b/>
                <w:sz w:val="14"/>
              </w:rPr>
              <w:t>YR</w:t>
            </w:r>
            <w:r>
              <w:rPr>
                <w:b/>
                <w:position w:val="8"/>
                <w:sz w:val="12"/>
              </w:rPr>
              <w:t>-1</w:t>
            </w:r>
            <w:r>
              <w:rPr>
                <w:b/>
                <w:sz w:val="18"/>
              </w:rPr>
              <w:t>) </w:t>
            </w:r>
            <w:r>
              <w:rPr>
                <w:b/>
                <w:sz w:val="14"/>
              </w:rPr>
              <w:t>IN URBAN TREES BY SPECIES CLASSES</w:t>
            </w:r>
          </w:p>
        </w:tc>
      </w:tr>
      <w:tr>
        <w:trPr>
          <w:trHeight w:val="328" w:hRule="atLeast"/>
        </w:trPr>
        <w:tc>
          <w:tcPr>
            <w:tcW w:w="3902" w:type="dxa"/>
            <w:tcBorders>
              <w:top w:val="double" w:sz="1" w:space="0" w:color="000000"/>
            </w:tcBorders>
          </w:tcPr>
          <w:p>
            <w:pPr>
              <w:pStyle w:val="TableParagraph"/>
              <w:spacing w:before="61"/>
              <w:ind w:left="107"/>
              <w:rPr>
                <w:b/>
                <w:sz w:val="18"/>
              </w:rPr>
            </w:pPr>
            <w:r>
              <w:rPr>
                <w:b/>
                <w:sz w:val="18"/>
              </w:rPr>
              <w:t>Broad species class</w:t>
            </w:r>
          </w:p>
        </w:tc>
        <w:tc>
          <w:tcPr>
            <w:tcW w:w="5112" w:type="dxa"/>
            <w:tcBorders>
              <w:top w:val="double" w:sz="1" w:space="0" w:color="000000"/>
            </w:tcBorders>
          </w:tcPr>
          <w:p>
            <w:pPr>
              <w:pStyle w:val="TableParagraph"/>
              <w:spacing w:before="61"/>
              <w:ind w:left="110"/>
              <w:rPr>
                <w:b/>
                <w:sz w:val="18"/>
              </w:rPr>
            </w:pPr>
            <w:r>
              <w:rPr>
                <w:b/>
                <w:sz w:val="18"/>
              </w:rPr>
              <w:t>Default annual carbon accumulation per tree(tonnes C yr</w:t>
            </w:r>
            <w:r>
              <w:rPr>
                <w:b/>
                <w:sz w:val="18"/>
                <w:vertAlign w:val="superscript"/>
              </w:rPr>
              <w:t>-1</w:t>
            </w:r>
            <w:r>
              <w:rPr>
                <w:b/>
                <w:sz w:val="18"/>
                <w:vertAlign w:val="baseline"/>
              </w:rPr>
              <w:t>)</w:t>
            </w:r>
          </w:p>
        </w:tc>
      </w:tr>
      <w:tr>
        <w:trPr>
          <w:trHeight w:val="273" w:hRule="atLeast"/>
        </w:trPr>
        <w:tc>
          <w:tcPr>
            <w:tcW w:w="3902" w:type="dxa"/>
          </w:tcPr>
          <w:p>
            <w:pPr>
              <w:pStyle w:val="TableParagraph"/>
              <w:spacing w:before="28"/>
              <w:ind w:left="170"/>
              <w:rPr>
                <w:sz w:val="18"/>
              </w:rPr>
            </w:pPr>
            <w:r>
              <w:rPr>
                <w:sz w:val="18"/>
              </w:rPr>
              <w:t>Aspen</w:t>
            </w:r>
          </w:p>
        </w:tc>
        <w:tc>
          <w:tcPr>
            <w:tcW w:w="5112" w:type="dxa"/>
          </w:tcPr>
          <w:p>
            <w:pPr>
              <w:pStyle w:val="TableParagraph"/>
              <w:spacing w:before="28"/>
              <w:ind w:left="2286" w:right="2280"/>
              <w:jc w:val="center"/>
              <w:rPr>
                <w:sz w:val="18"/>
              </w:rPr>
            </w:pPr>
            <w:r>
              <w:rPr>
                <w:sz w:val="18"/>
              </w:rPr>
              <w:t>0.0096</w:t>
            </w:r>
          </w:p>
        </w:tc>
      </w:tr>
      <w:tr>
        <w:trPr>
          <w:trHeight w:val="273" w:hRule="atLeast"/>
        </w:trPr>
        <w:tc>
          <w:tcPr>
            <w:tcW w:w="3902" w:type="dxa"/>
          </w:tcPr>
          <w:p>
            <w:pPr>
              <w:pStyle w:val="TableParagraph"/>
              <w:spacing w:before="28"/>
              <w:ind w:left="170"/>
              <w:rPr>
                <w:sz w:val="18"/>
              </w:rPr>
            </w:pPr>
            <w:r>
              <w:rPr>
                <w:sz w:val="18"/>
              </w:rPr>
              <w:t>Soft Maple</w:t>
            </w:r>
          </w:p>
        </w:tc>
        <w:tc>
          <w:tcPr>
            <w:tcW w:w="5112" w:type="dxa"/>
          </w:tcPr>
          <w:p>
            <w:pPr>
              <w:pStyle w:val="TableParagraph"/>
              <w:spacing w:before="28"/>
              <w:ind w:left="2286" w:right="2280"/>
              <w:jc w:val="center"/>
              <w:rPr>
                <w:sz w:val="18"/>
              </w:rPr>
            </w:pPr>
            <w:r>
              <w:rPr>
                <w:sz w:val="18"/>
              </w:rPr>
              <w:t>0.0118</w:t>
            </w:r>
          </w:p>
        </w:tc>
      </w:tr>
      <w:tr>
        <w:trPr>
          <w:trHeight w:val="275" w:hRule="atLeast"/>
        </w:trPr>
        <w:tc>
          <w:tcPr>
            <w:tcW w:w="3902" w:type="dxa"/>
          </w:tcPr>
          <w:p>
            <w:pPr>
              <w:pStyle w:val="TableParagraph"/>
              <w:spacing w:before="28"/>
              <w:ind w:left="170"/>
              <w:rPr>
                <w:sz w:val="18"/>
              </w:rPr>
            </w:pPr>
            <w:r>
              <w:rPr>
                <w:sz w:val="18"/>
              </w:rPr>
              <w:t>Mixed Hardwood</w:t>
            </w:r>
          </w:p>
        </w:tc>
        <w:tc>
          <w:tcPr>
            <w:tcW w:w="5112" w:type="dxa"/>
          </w:tcPr>
          <w:p>
            <w:pPr>
              <w:pStyle w:val="TableParagraph"/>
              <w:spacing w:before="28"/>
              <w:ind w:left="2286" w:right="2279"/>
              <w:jc w:val="center"/>
              <w:rPr>
                <w:sz w:val="18"/>
              </w:rPr>
            </w:pPr>
            <w:r>
              <w:rPr>
                <w:sz w:val="18"/>
              </w:rPr>
              <w:t>0.0100</w:t>
            </w:r>
          </w:p>
        </w:tc>
      </w:tr>
      <w:tr>
        <w:trPr>
          <w:trHeight w:val="273" w:hRule="atLeast"/>
        </w:trPr>
        <w:tc>
          <w:tcPr>
            <w:tcW w:w="3902" w:type="dxa"/>
          </w:tcPr>
          <w:p>
            <w:pPr>
              <w:pStyle w:val="TableParagraph"/>
              <w:spacing w:before="28"/>
              <w:ind w:left="170"/>
              <w:rPr>
                <w:sz w:val="18"/>
              </w:rPr>
            </w:pPr>
            <w:r>
              <w:rPr>
                <w:sz w:val="18"/>
              </w:rPr>
              <w:t>Hardwood Maple</w:t>
            </w:r>
          </w:p>
        </w:tc>
        <w:tc>
          <w:tcPr>
            <w:tcW w:w="5112" w:type="dxa"/>
          </w:tcPr>
          <w:p>
            <w:pPr>
              <w:pStyle w:val="TableParagraph"/>
              <w:spacing w:before="28"/>
              <w:ind w:left="2286" w:right="2280"/>
              <w:jc w:val="center"/>
              <w:rPr>
                <w:sz w:val="18"/>
              </w:rPr>
            </w:pPr>
            <w:r>
              <w:rPr>
                <w:sz w:val="18"/>
              </w:rPr>
              <w:t>0.0142</w:t>
            </w:r>
          </w:p>
        </w:tc>
      </w:tr>
      <w:tr>
        <w:trPr>
          <w:trHeight w:val="273" w:hRule="atLeast"/>
        </w:trPr>
        <w:tc>
          <w:tcPr>
            <w:tcW w:w="3902" w:type="dxa"/>
          </w:tcPr>
          <w:p>
            <w:pPr>
              <w:pStyle w:val="TableParagraph"/>
              <w:spacing w:before="28"/>
              <w:ind w:left="170"/>
              <w:rPr>
                <w:sz w:val="18"/>
              </w:rPr>
            </w:pPr>
            <w:r>
              <w:rPr>
                <w:sz w:val="18"/>
              </w:rPr>
              <w:t>Juniper</w:t>
            </w:r>
          </w:p>
        </w:tc>
        <w:tc>
          <w:tcPr>
            <w:tcW w:w="5112" w:type="dxa"/>
          </w:tcPr>
          <w:p>
            <w:pPr>
              <w:pStyle w:val="TableParagraph"/>
              <w:spacing w:before="28"/>
              <w:ind w:left="2286" w:right="2279"/>
              <w:jc w:val="center"/>
              <w:rPr>
                <w:sz w:val="18"/>
              </w:rPr>
            </w:pPr>
            <w:r>
              <w:rPr>
                <w:sz w:val="18"/>
              </w:rPr>
              <w:t>0.0033</w:t>
            </w:r>
          </w:p>
        </w:tc>
      </w:tr>
      <w:tr>
        <w:trPr>
          <w:trHeight w:val="275" w:hRule="atLeast"/>
        </w:trPr>
        <w:tc>
          <w:tcPr>
            <w:tcW w:w="3902" w:type="dxa"/>
          </w:tcPr>
          <w:p>
            <w:pPr>
              <w:pStyle w:val="TableParagraph"/>
              <w:spacing w:before="28"/>
              <w:ind w:left="170"/>
              <w:rPr>
                <w:sz w:val="18"/>
              </w:rPr>
            </w:pPr>
            <w:r>
              <w:rPr>
                <w:sz w:val="18"/>
              </w:rPr>
              <w:t>Cedar/larch</w:t>
            </w:r>
          </w:p>
        </w:tc>
        <w:tc>
          <w:tcPr>
            <w:tcW w:w="5112" w:type="dxa"/>
          </w:tcPr>
          <w:p>
            <w:pPr>
              <w:pStyle w:val="TableParagraph"/>
              <w:spacing w:before="28"/>
              <w:ind w:left="2286" w:right="2279"/>
              <w:jc w:val="center"/>
              <w:rPr>
                <w:sz w:val="18"/>
              </w:rPr>
            </w:pPr>
            <w:r>
              <w:rPr>
                <w:sz w:val="18"/>
              </w:rPr>
              <w:t>0.0072</w:t>
            </w:r>
          </w:p>
        </w:tc>
      </w:tr>
      <w:tr>
        <w:trPr>
          <w:trHeight w:val="273" w:hRule="atLeast"/>
        </w:trPr>
        <w:tc>
          <w:tcPr>
            <w:tcW w:w="3902" w:type="dxa"/>
          </w:tcPr>
          <w:p>
            <w:pPr>
              <w:pStyle w:val="TableParagraph"/>
              <w:spacing w:before="28"/>
              <w:ind w:left="170"/>
              <w:rPr>
                <w:sz w:val="18"/>
              </w:rPr>
            </w:pPr>
            <w:r>
              <w:rPr>
                <w:sz w:val="18"/>
              </w:rPr>
              <w:t>Douglas fir</w:t>
            </w:r>
          </w:p>
        </w:tc>
        <w:tc>
          <w:tcPr>
            <w:tcW w:w="5112" w:type="dxa"/>
          </w:tcPr>
          <w:p>
            <w:pPr>
              <w:pStyle w:val="TableParagraph"/>
              <w:spacing w:before="28"/>
              <w:ind w:left="2285" w:right="2280"/>
              <w:jc w:val="center"/>
              <w:rPr>
                <w:sz w:val="18"/>
              </w:rPr>
            </w:pPr>
            <w:r>
              <w:rPr>
                <w:sz w:val="18"/>
              </w:rPr>
              <w:t>0.0122</w:t>
            </w:r>
          </w:p>
        </w:tc>
      </w:tr>
      <w:tr>
        <w:trPr>
          <w:trHeight w:val="273" w:hRule="atLeast"/>
        </w:trPr>
        <w:tc>
          <w:tcPr>
            <w:tcW w:w="3902" w:type="dxa"/>
          </w:tcPr>
          <w:p>
            <w:pPr>
              <w:pStyle w:val="TableParagraph"/>
              <w:spacing w:before="28"/>
              <w:ind w:left="170"/>
              <w:rPr>
                <w:sz w:val="18"/>
              </w:rPr>
            </w:pPr>
            <w:r>
              <w:rPr>
                <w:sz w:val="18"/>
              </w:rPr>
              <w:t>True fir/Hemlock</w:t>
            </w:r>
          </w:p>
        </w:tc>
        <w:tc>
          <w:tcPr>
            <w:tcW w:w="5112" w:type="dxa"/>
          </w:tcPr>
          <w:p>
            <w:pPr>
              <w:pStyle w:val="TableParagraph"/>
              <w:spacing w:before="28"/>
              <w:ind w:left="2286" w:right="2280"/>
              <w:jc w:val="center"/>
              <w:rPr>
                <w:sz w:val="18"/>
              </w:rPr>
            </w:pPr>
            <w:r>
              <w:rPr>
                <w:sz w:val="18"/>
              </w:rPr>
              <w:t>0.0104</w:t>
            </w:r>
          </w:p>
        </w:tc>
      </w:tr>
      <w:tr>
        <w:trPr>
          <w:trHeight w:val="275" w:hRule="atLeast"/>
        </w:trPr>
        <w:tc>
          <w:tcPr>
            <w:tcW w:w="3902" w:type="dxa"/>
          </w:tcPr>
          <w:p>
            <w:pPr>
              <w:pStyle w:val="TableParagraph"/>
              <w:spacing w:before="28"/>
              <w:ind w:left="170"/>
              <w:rPr>
                <w:sz w:val="18"/>
              </w:rPr>
            </w:pPr>
            <w:r>
              <w:rPr>
                <w:sz w:val="18"/>
              </w:rPr>
              <w:t>Pine</w:t>
            </w:r>
          </w:p>
        </w:tc>
        <w:tc>
          <w:tcPr>
            <w:tcW w:w="5112" w:type="dxa"/>
          </w:tcPr>
          <w:p>
            <w:pPr>
              <w:pStyle w:val="TableParagraph"/>
              <w:spacing w:before="28"/>
              <w:ind w:left="2286" w:right="2280"/>
              <w:jc w:val="center"/>
              <w:rPr>
                <w:sz w:val="18"/>
              </w:rPr>
            </w:pPr>
            <w:r>
              <w:rPr>
                <w:sz w:val="18"/>
              </w:rPr>
              <w:t>0.0087</w:t>
            </w:r>
          </w:p>
        </w:tc>
      </w:tr>
      <w:tr>
        <w:trPr>
          <w:trHeight w:val="273" w:hRule="atLeast"/>
        </w:trPr>
        <w:tc>
          <w:tcPr>
            <w:tcW w:w="3902" w:type="dxa"/>
          </w:tcPr>
          <w:p>
            <w:pPr>
              <w:pStyle w:val="TableParagraph"/>
              <w:spacing w:before="28"/>
              <w:ind w:left="170"/>
              <w:rPr>
                <w:sz w:val="18"/>
              </w:rPr>
            </w:pPr>
            <w:r>
              <w:rPr>
                <w:sz w:val="18"/>
              </w:rPr>
              <w:t>Spruce</w:t>
            </w:r>
          </w:p>
        </w:tc>
        <w:tc>
          <w:tcPr>
            <w:tcW w:w="5112" w:type="dxa"/>
          </w:tcPr>
          <w:p>
            <w:pPr>
              <w:pStyle w:val="TableParagraph"/>
              <w:spacing w:before="28"/>
              <w:ind w:left="2285" w:right="2280"/>
              <w:jc w:val="center"/>
              <w:rPr>
                <w:sz w:val="18"/>
              </w:rPr>
            </w:pPr>
            <w:r>
              <w:rPr>
                <w:sz w:val="18"/>
              </w:rPr>
              <w:t>0.0092</w:t>
            </w:r>
          </w:p>
        </w:tc>
      </w:tr>
      <w:tr>
        <w:trPr>
          <w:trHeight w:val="285" w:hRule="atLeast"/>
        </w:trPr>
        <w:tc>
          <w:tcPr>
            <w:tcW w:w="9014" w:type="dxa"/>
            <w:gridSpan w:val="2"/>
          </w:tcPr>
          <w:p>
            <w:pPr>
              <w:pStyle w:val="TableParagraph"/>
              <w:spacing w:before="35"/>
              <w:ind w:left="107"/>
              <w:rPr>
                <w:sz w:val="16"/>
              </w:rPr>
            </w:pPr>
            <w:r>
              <w:rPr>
                <w:sz w:val="16"/>
              </w:rPr>
              <w:t>Source: D. Nowak (2002; personal communication)</w:t>
            </w:r>
          </w:p>
        </w:tc>
      </w:tr>
    </w:tbl>
    <w:p>
      <w:pPr>
        <w:pStyle w:val="BodyText"/>
        <w:spacing w:before="11"/>
        <w:rPr>
          <w:sz w:val="21"/>
        </w:rPr>
      </w:pPr>
    </w:p>
    <w:p>
      <w:pPr>
        <w:pStyle w:val="BodyText"/>
        <w:spacing w:before="91"/>
        <w:ind w:left="159"/>
      </w:pPr>
      <w:r>
        <w:rPr/>
        <w:t>This method can be implemented in four steps:</w:t>
      </w:r>
    </w:p>
    <w:p>
      <w:pPr>
        <w:pStyle w:val="BodyText"/>
        <w:spacing w:before="118"/>
        <w:ind w:left="159"/>
      </w:pPr>
      <w:r>
        <w:rPr>
          <w:b/>
        </w:rPr>
        <w:t>Step 1: </w:t>
      </w:r>
      <w:r>
        <w:rPr/>
        <w:t>Estimate the number of trees in settlements remaining settlements for each broad species class.</w:t>
      </w:r>
    </w:p>
    <w:p>
      <w:pPr>
        <w:pStyle w:val="BodyText"/>
        <w:spacing w:before="120"/>
        <w:ind w:left="838" w:right="166" w:hanging="680"/>
      </w:pPr>
      <w:r>
        <w:rPr>
          <w:b/>
        </w:rPr>
        <w:t>Step 2: </w:t>
      </w:r>
      <w:r>
        <w:rPr/>
        <w:t>Multiply each estimate by the appropriate rate of changes in carbon per tree to obtain the amount of carbon removed.</w:t>
      </w:r>
    </w:p>
    <w:p>
      <w:pPr>
        <w:pStyle w:val="BodyText"/>
        <w:spacing w:before="121"/>
        <w:ind w:left="838" w:hanging="680"/>
      </w:pPr>
      <w:r>
        <w:rPr/>
        <w:pict>
          <v:shape style="position:absolute;margin-left:374.680542pt;margin-top:43.811764pt;width:4pt;height:7.2pt;mso-position-horizontal-relative:page;mso-position-vertical-relative:paragraph;z-index:17704"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b/>
        </w:rPr>
        <w:t>Step 3: </w:t>
      </w:r>
      <w:r>
        <w:rPr/>
        <w:t>Sum the amount of carbon removed by each broad species class over all classes present in settlements remaining settlements.</w:t>
      </w:r>
    </w:p>
    <w:p>
      <w:pPr>
        <w:spacing w:after="0"/>
        <w:sectPr>
          <w:pgSz w:w="11900" w:h="16840"/>
          <w:pgMar w:header="230" w:footer="408" w:top="560" w:bottom="600" w:left="1260" w:right="1240"/>
        </w:sectPr>
      </w:pPr>
    </w:p>
    <w:p>
      <w:pPr>
        <w:spacing w:before="133"/>
        <w:ind w:left="159" w:right="0" w:firstLine="0"/>
        <w:jc w:val="left"/>
        <w:rPr>
          <w:sz w:val="20"/>
        </w:rPr>
      </w:pPr>
      <w:r>
        <w:rPr/>
        <w:pict>
          <v:shape style="position:absolute;margin-left:207.640533pt;margin-top:14.77175pt;width:4.7pt;height:7.2pt;mso-position-horizontal-relative:page;mso-position-vertical-relative:paragraph;z-index:17680"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b/>
          <w:sz w:val="20"/>
        </w:rPr>
        <w:t>Step 4: </w:t>
      </w:r>
      <w:r>
        <w:rPr>
          <w:sz w:val="20"/>
        </w:rPr>
        <w:t>Use the estimate for </w:t>
      </w:r>
      <w:r>
        <w:rPr>
          <w:rFonts w:ascii="Symbol" w:hAnsi="Symbol"/>
          <w:sz w:val="20"/>
        </w:rPr>
        <w:t>∆</w:t>
      </w:r>
      <w:r>
        <w:rPr>
          <w:sz w:val="20"/>
        </w:rPr>
        <w:t>B</w:t>
      </w:r>
      <w:r>
        <w:rPr>
          <w:sz w:val="20"/>
          <w:vertAlign w:val="subscript"/>
        </w:rPr>
        <w:t>SS</w:t>
      </w:r>
    </w:p>
    <w:p>
      <w:pPr>
        <w:pStyle w:val="BodyText"/>
        <w:spacing w:before="133"/>
        <w:ind w:left="-7"/>
      </w:pPr>
      <w:r>
        <w:rPr/>
        <w:br w:type="column"/>
      </w:r>
      <w:r>
        <w:rPr/>
        <w:t>in Equation 3a.4.2. In addition, set </w:t>
      </w:r>
      <w:r>
        <w:rPr>
          <w:rFonts w:ascii="Symbol" w:hAnsi="Symbol"/>
        </w:rPr>
        <w:t>∆</w:t>
      </w:r>
      <w:r>
        <w:rPr/>
        <w:t>B</w:t>
      </w:r>
      <w:r>
        <w:rPr>
          <w:vertAlign w:val="subscript"/>
        </w:rPr>
        <w:t>SS</w:t>
      </w:r>
    </w:p>
    <w:p>
      <w:pPr>
        <w:pStyle w:val="BodyText"/>
        <w:spacing w:before="133"/>
        <w:ind w:left="8"/>
      </w:pPr>
      <w:r>
        <w:rPr/>
        <w:br w:type="column"/>
      </w:r>
      <w:r>
        <w:rPr/>
        <w:t>= 0 if the average age of the tree</w:t>
      </w:r>
    </w:p>
    <w:p>
      <w:pPr>
        <w:spacing w:after="0"/>
        <w:sectPr>
          <w:type w:val="continuous"/>
          <w:pgSz w:w="11900" w:h="16840"/>
          <w:pgMar w:top="1060" w:bottom="280" w:left="1260" w:right="1240"/>
          <w:cols w:num="3" w:equalWidth="0">
            <w:col w:w="2987" w:space="40"/>
            <w:col w:w="3287" w:space="39"/>
            <w:col w:w="3047"/>
          </w:cols>
        </w:sectPr>
      </w:pPr>
    </w:p>
    <w:p>
      <w:pPr>
        <w:pStyle w:val="BodyText"/>
        <w:spacing w:before="58"/>
        <w:ind w:left="838"/>
      </w:pPr>
      <w:r>
        <w:rPr/>
        <w:pict>
          <v:shape style="position:absolute;margin-left:373.960663pt;margin-top:11.021974pt;width:4.7pt;height:7.2pt;mso-position-horizontal-relative:page;mso-position-vertical-relative:paragraph;z-index:17608"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t>population is less than or equal to 20 years; otherwise assume</w:t>
      </w:r>
      <w:r>
        <w:rPr>
          <w:spacing w:val="-20"/>
        </w:rPr>
        <w:t> </w:t>
      </w:r>
      <w:r>
        <w:rPr>
          <w:rFonts w:ascii="Symbol" w:hAnsi="Symbol"/>
          <w:spacing w:val="-19"/>
        </w:rPr>
        <w:t>∆</w:t>
      </w:r>
      <w:r>
        <w:rPr>
          <w:spacing w:val="-19"/>
        </w:rPr>
        <w:t>B</w:t>
      </w:r>
      <w:r>
        <w:rPr>
          <w:spacing w:val="-19"/>
          <w:vertAlign w:val="subscript"/>
        </w:rPr>
        <w:t>SS</w:t>
      </w:r>
    </w:p>
    <w:p>
      <w:pPr>
        <w:pStyle w:val="BodyText"/>
        <w:spacing w:before="58"/>
        <w:ind w:left="84"/>
      </w:pPr>
      <w:r>
        <w:rPr/>
        <w:br w:type="column"/>
      </w:r>
      <w:r>
        <w:rPr/>
        <w:t>= </w:t>
      </w:r>
      <w:r>
        <w:rPr>
          <w:rFonts w:ascii="Symbol" w:hAnsi="Symbol"/>
        </w:rPr>
        <w:t>∆</w:t>
      </w:r>
      <w:r>
        <w:rPr/>
        <w:t>B</w:t>
      </w:r>
      <w:r>
        <w:rPr>
          <w:vertAlign w:val="subscript"/>
        </w:rPr>
        <w:t>SS</w:t>
      </w:r>
    </w:p>
    <w:p>
      <w:pPr>
        <w:pStyle w:val="BodyText"/>
        <w:spacing w:before="58"/>
        <w:ind w:left="-9"/>
      </w:pPr>
      <w:r>
        <w:rPr/>
        <w:br w:type="column"/>
      </w:r>
      <w:r>
        <w:rPr/>
        <w:t>(see Section 3a.4.1.1.1.2).</w:t>
      </w:r>
    </w:p>
    <w:p>
      <w:pPr>
        <w:spacing w:after="0"/>
        <w:sectPr>
          <w:type w:val="continuous"/>
          <w:pgSz w:w="11900" w:h="16840"/>
          <w:pgMar w:top="1060" w:bottom="280" w:left="1260" w:right="1240"/>
          <w:cols w:num="3" w:equalWidth="0">
            <w:col w:w="6222" w:space="40"/>
            <w:col w:w="729" w:space="39"/>
            <w:col w:w="2370"/>
          </w:cols>
        </w:sectPr>
      </w:pPr>
    </w:p>
    <w:p>
      <w:pPr>
        <w:pStyle w:val="BodyText"/>
        <w:spacing w:before="164"/>
        <w:ind w:left="159"/>
      </w:pPr>
      <w:r>
        <w:rPr/>
        <w:pict>
          <v:shape style="position:absolute;margin-left:158.680389pt;margin-top:27.84177pt;width:1.8pt;height:7.2pt;mso-position-horizontal-relative:page;mso-position-vertical-relative:paragraph;z-index:-2438536" type="#_x0000_t202" filled="false" stroked="false">
            <v:textbox inset="0,0,0,0">
              <w:txbxContent>
                <w:p>
                  <w:pPr>
                    <w:spacing w:line="144" w:lineRule="exact" w:before="0"/>
                    <w:ind w:left="0" w:right="0" w:firstLine="0"/>
                    <w:jc w:val="left"/>
                    <w:rPr>
                      <w:sz w:val="13"/>
                    </w:rPr>
                  </w:pPr>
                  <w:r>
                    <w:rPr>
                      <w:w w:val="99"/>
                      <w:sz w:val="13"/>
                    </w:rPr>
                    <w:t>i</w:t>
                  </w:r>
                </w:p>
              </w:txbxContent>
            </v:textbox>
            <w10:wrap type="none"/>
          </v:shape>
        </w:pict>
      </w:r>
      <w:r>
        <w:rPr/>
        <w:pict>
          <v:shape style="position:absolute;margin-left:408.520538pt;margin-top:-4.198229pt;width:4pt;height:7.2pt;mso-position-horizontal-relative:page;mso-position-vertical-relative:paragraph;z-index:17728"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b/>
        </w:rPr>
        <w:t>Tier 2: </w:t>
      </w:r>
      <w:r>
        <w:rPr/>
        <w:t>Under Tier 2, the basic equations laid out in Tiers 1a and 1b can be used with country-specific removal factors (CRW or C</w:t>
      </w:r>
      <w:r>
        <w:rPr>
          <w:vertAlign w:val="subscript"/>
        </w:rPr>
        <w:t>Rate</w:t>
      </w:r>
      <w:r>
        <w:rPr>
          <w:vertAlign w:val="baseline"/>
        </w:rPr>
        <w:t> ). In addition to relying on country-specific data, Tier 2 methods may disaggregate</w:t>
      </w:r>
    </w:p>
    <w:p>
      <w:pPr>
        <w:pStyle w:val="BodyText"/>
        <w:spacing w:line="261" w:lineRule="auto" w:before="75"/>
        <w:ind w:left="159" w:right="295"/>
      </w:pPr>
      <w:r>
        <w:rPr/>
        <w:pict>
          <v:shape style="position:absolute;margin-left:510.880524pt;margin-top:11.871944pt;width:4pt;height:7.2pt;mso-position-horizontal-relative:page;mso-position-vertical-relative:paragraph;z-index:-2438512"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t>settlements by climate regions in order to apply more detailed removal factors to the data. Biomass loss (</w:t>
      </w:r>
      <w:r>
        <w:rPr>
          <w:rFonts w:ascii="Symbol" w:hAnsi="Symbol"/>
        </w:rPr>
        <w:t>∆</w:t>
      </w:r>
      <w:r>
        <w:rPr/>
        <w:t>B</w:t>
      </w:r>
      <w:r>
        <w:rPr>
          <w:vertAlign w:val="subscript"/>
        </w:rPr>
        <w:t>SS</w:t>
      </w:r>
      <w:r>
        <w:rPr>
          <w:vertAlign w:val="baseline"/>
        </w:rPr>
        <w:t> </w:t>
      </w:r>
      <w:r>
        <w:rPr>
          <w:spacing w:val="-67"/>
          <w:vertAlign w:val="baseline"/>
        </w:rPr>
        <w:t>)</w:t>
      </w:r>
      <w:r>
        <w:rPr>
          <w:spacing w:val="-48"/>
          <w:vertAlign w:val="baseline"/>
        </w:rPr>
        <w:t> </w:t>
      </w:r>
      <w:r>
        <w:rPr>
          <w:vertAlign w:val="baseline"/>
        </w:rPr>
        <w:t>should be estimated explicitly rather than relying on default assumptions. Higher-level estimates of changes in carbon stocks in settlements may also include additional subcategories in the estimation, such as belowground</w:t>
      </w:r>
    </w:p>
    <w:p>
      <w:pPr>
        <w:pStyle w:val="BodyText"/>
        <w:spacing w:line="210" w:lineRule="exact"/>
        <w:ind w:left="159"/>
      </w:pPr>
      <w:r>
        <w:rPr/>
        <w:t>biomass, dead organic matter, and soil organic matter.</w:t>
      </w:r>
    </w:p>
    <w:p>
      <w:pPr>
        <w:pStyle w:val="BodyText"/>
        <w:spacing w:before="1"/>
        <w:ind w:left="159" w:right="165"/>
        <w:jc w:val="both"/>
      </w:pPr>
      <w:r>
        <w:rPr/>
        <w:t>Given the preliminary nature of this methodology, an explicit Tier 3 method is not provided. However, countries may choose to develop higher order estimation approaches, provided they yield more certain estimates of greenhouse gas emissions and removals in settlements.</w:t>
      </w:r>
    </w:p>
    <w:p>
      <w:pPr>
        <w:pStyle w:val="BodyText"/>
        <w:spacing w:before="2"/>
        <w:rPr>
          <w:sz w:val="21"/>
        </w:rPr>
      </w:pPr>
    </w:p>
    <w:p>
      <w:pPr>
        <w:pStyle w:val="Heading6"/>
        <w:spacing w:before="1"/>
      </w:pPr>
      <w:r>
        <w:rPr>
          <w:spacing w:val="16"/>
        </w:rPr>
        <w:t>3a.4.1. </w:t>
      </w:r>
      <w:r>
        <w:rPr>
          <w:spacing w:val="15"/>
        </w:rPr>
        <w:t>1.1.2 Choice </w:t>
      </w:r>
      <w:r>
        <w:rPr>
          <w:spacing w:val="9"/>
        </w:rPr>
        <w:t>of </w:t>
      </w:r>
      <w:r>
        <w:rPr>
          <w:spacing w:val="17"/>
        </w:rPr>
        <w:t>Emission/Removal</w:t>
      </w:r>
      <w:r>
        <w:rPr>
          <w:spacing w:val="84"/>
        </w:rPr>
        <w:t> </w:t>
      </w:r>
      <w:r>
        <w:rPr>
          <w:spacing w:val="19"/>
        </w:rPr>
        <w:t>Factors</w:t>
      </w:r>
    </w:p>
    <w:p>
      <w:pPr>
        <w:pStyle w:val="BodyText"/>
        <w:spacing w:before="56"/>
        <w:ind w:left="159" w:right="166"/>
      </w:pPr>
      <w:r>
        <w:rPr/>
        <w:t>In Tier 1a, the removal factor is CRW in Equation 3a.4.3A. If using Tier 1a, use a default CRW of 2.9 tonnes C (ha crown cover)</w:t>
      </w:r>
      <w:r>
        <w:rPr>
          <w:vertAlign w:val="superscript"/>
        </w:rPr>
        <w:t>-1</w:t>
      </w:r>
      <w:r>
        <w:rPr>
          <w:vertAlign w:val="baseline"/>
        </w:rPr>
        <w:t> yr</w:t>
      </w:r>
      <w:r>
        <w:rPr>
          <w:vertAlign w:val="superscript"/>
        </w:rPr>
        <w:t>-1</w:t>
      </w:r>
      <w:r>
        <w:rPr>
          <w:vertAlign w:val="baseline"/>
        </w:rPr>
        <w:t>. This estimate is based on a sample of eight US cities, with values that ranged from 1.8 to</w:t>
      </w:r>
    </w:p>
    <w:p>
      <w:pPr>
        <w:pStyle w:val="BodyText"/>
        <w:spacing w:line="228" w:lineRule="exact"/>
        <w:ind w:left="159"/>
      </w:pPr>
      <w:r>
        <w:rPr/>
        <w:t>3.4 tonnes C (ha crown cover)</w:t>
      </w:r>
      <w:r>
        <w:rPr>
          <w:vertAlign w:val="superscript"/>
        </w:rPr>
        <w:t>-1</w:t>
      </w:r>
      <w:r>
        <w:rPr>
          <w:vertAlign w:val="baseline"/>
        </w:rPr>
        <w:t> yr</w:t>
      </w:r>
      <w:r>
        <w:rPr>
          <w:vertAlign w:val="superscript"/>
        </w:rPr>
        <w:t>-1</w:t>
      </w:r>
      <w:r>
        <w:rPr>
          <w:vertAlign w:val="baseline"/>
        </w:rPr>
        <w:t> (Nowak, 2002).</w:t>
      </w:r>
    </w:p>
    <w:p>
      <w:pPr>
        <w:pStyle w:val="BodyText"/>
        <w:spacing w:line="232" w:lineRule="auto" w:before="123"/>
        <w:ind w:left="159" w:right="163"/>
        <w:jc w:val="both"/>
      </w:pPr>
      <w:r>
        <w:rPr/>
        <w:t>In Tier 1b, the removal factor is C</w:t>
      </w:r>
      <w:r>
        <w:rPr>
          <w:vertAlign w:val="subscript"/>
        </w:rPr>
        <w:t>Rate</w:t>
      </w:r>
      <w:r>
        <w:rPr>
          <w:position w:val="-8"/>
          <w:sz w:val="13"/>
          <w:vertAlign w:val="baseline"/>
        </w:rPr>
        <w:t>i </w:t>
      </w:r>
      <w:r>
        <w:rPr>
          <w:vertAlign w:val="baseline"/>
        </w:rPr>
        <w:t>in Equation 3a.4.3B. If using Tier 1b, use defaults in Table 3a.4.1 for carbon accumulation rates for each broad species class. These estimates are based on various allometric equations and limited field data from urban areas in the</w:t>
      </w:r>
      <w:r>
        <w:rPr>
          <w:spacing w:val="-10"/>
          <w:vertAlign w:val="baseline"/>
        </w:rPr>
        <w:t> </w:t>
      </w:r>
      <w:r>
        <w:rPr>
          <w:vertAlign w:val="baseline"/>
        </w:rPr>
        <w:t>USA.</w:t>
      </w:r>
    </w:p>
    <w:p>
      <w:pPr>
        <w:pStyle w:val="BodyText"/>
        <w:spacing w:before="124"/>
        <w:ind w:left="159" w:right="162"/>
        <w:jc w:val="both"/>
      </w:pPr>
      <w:r>
        <w:rPr/>
        <w:t>Under higher tiers, countries should develop removal factors that are appropriate for national circumstances. Either area- or individual-based rates may be used. Country-specific removal rates should be based on the dominant climate zones and tree species of settlements areas in a country. If country-specific removal rates are developed from estimates of biomass dry matter, they must be converted to units of carbon using either a default carbon fraction (CF) of 0.5 tonnes carbon per tonne dry matter, or a carbon fraction that is determined to be more appropriate for country-specific data.</w:t>
      </w:r>
    </w:p>
    <w:p>
      <w:pPr>
        <w:spacing w:after="0"/>
        <w:jc w:val="both"/>
        <w:sectPr>
          <w:type w:val="continuous"/>
          <w:pgSz w:w="11900" w:h="16840"/>
          <w:pgMar w:top="1060" w:bottom="280" w:left="1260" w:right="1240"/>
        </w:sectPr>
      </w:pPr>
    </w:p>
    <w:p>
      <w:pPr>
        <w:pStyle w:val="BodyText"/>
        <w:spacing w:before="5"/>
        <w:rPr>
          <w:sz w:val="29"/>
        </w:rPr>
      </w:pPr>
    </w:p>
    <w:p>
      <w:pPr>
        <w:spacing w:after="0"/>
        <w:rPr>
          <w:sz w:val="29"/>
        </w:rPr>
        <w:sectPr>
          <w:pgSz w:w="11900" w:h="16840"/>
          <w:pgMar w:header="230" w:footer="408" w:top="560" w:bottom="600" w:left="1260" w:right="1240"/>
        </w:sectPr>
      </w:pPr>
    </w:p>
    <w:p>
      <w:pPr>
        <w:pStyle w:val="BodyText"/>
        <w:spacing w:before="115"/>
        <w:ind w:left="159"/>
      </w:pPr>
      <w:r>
        <w:rPr/>
        <w:pict>
          <v:shape style="position:absolute;margin-left:159.520523pt;margin-top:13.871737pt;width:4pt;height:7.2pt;mso-position-horizontal-relative:page;mso-position-vertical-relative:paragraph;z-index:17800"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t>The default that </w:t>
      </w:r>
      <w:r>
        <w:rPr>
          <w:rFonts w:ascii="Symbol" w:hAnsi="Symbol"/>
        </w:rPr>
        <w:t>∆</w:t>
      </w:r>
      <w:r>
        <w:rPr/>
        <w:t>B</w:t>
      </w:r>
      <w:r>
        <w:rPr>
          <w:vertAlign w:val="subscript"/>
        </w:rPr>
        <w:t>SS</w:t>
      </w:r>
    </w:p>
    <w:p>
      <w:pPr>
        <w:pStyle w:val="BodyText"/>
        <w:spacing w:before="115"/>
        <w:ind w:left="27"/>
      </w:pPr>
      <w:r>
        <w:rPr/>
        <w:br w:type="column"/>
      </w:r>
      <w:r>
        <w:rPr/>
        <w:t>= 0 is based on the assumption that urban trees are net sinks for carbon when they are</w:t>
      </w:r>
    </w:p>
    <w:p>
      <w:pPr>
        <w:spacing w:after="0"/>
        <w:sectPr>
          <w:type w:val="continuous"/>
          <w:pgSz w:w="11900" w:h="16840"/>
          <w:pgMar w:top="1060" w:bottom="280" w:left="1260" w:right="1240"/>
          <w:cols w:num="2" w:equalWidth="0">
            <w:col w:w="2010" w:space="40"/>
            <w:col w:w="7350"/>
          </w:cols>
        </w:sectPr>
      </w:pPr>
    </w:p>
    <w:p>
      <w:pPr>
        <w:pStyle w:val="BodyText"/>
        <w:spacing w:line="242" w:lineRule="auto" w:before="44"/>
        <w:ind w:left="159" w:right="163"/>
        <w:jc w:val="both"/>
      </w:pPr>
      <w:r>
        <w:rPr/>
        <w:pict>
          <v:shape style="position:absolute;margin-left:372.160645pt;margin-top:80.042145pt;width:38.550pt;height:7.2pt;mso-position-horizontal-relative:page;mso-position-vertical-relative:paragraph;z-index:-2438392" type="#_x0000_t202" filled="false" stroked="false">
            <v:textbox inset="0,0,0,0">
              <w:txbxContent>
                <w:p>
                  <w:pPr>
                    <w:tabs>
                      <w:tab w:pos="691" w:val="left" w:leader="none"/>
                    </w:tabs>
                    <w:spacing w:line="144" w:lineRule="exact" w:before="0"/>
                    <w:ind w:left="0" w:right="0" w:firstLine="0"/>
                    <w:jc w:val="left"/>
                    <w:rPr>
                      <w:sz w:val="13"/>
                    </w:rPr>
                  </w:pPr>
                  <w:r>
                    <w:rPr>
                      <w:sz w:val="13"/>
                    </w:rPr>
                    <w:t>G</w:t>
                    <w:tab/>
                  </w:r>
                  <w:r>
                    <w:rPr>
                      <w:spacing w:val="-20"/>
                      <w:sz w:val="13"/>
                    </w:rPr>
                    <w:t>L</w:t>
                  </w:r>
                </w:p>
              </w:txbxContent>
            </v:textbox>
            <w10:wrap type="none"/>
          </v:shape>
        </w:pict>
      </w:r>
      <w:r>
        <w:rPr/>
        <w:t>actively growing and that the active growing period is roughly 20 years, depending on tree species, planting density, and location (e.g., trees along thoroughfares or in parks, in shaded or sunny places, etc.). While growing conditions in parks and gardens may be good, the growth and health condition of older trees are assumed to progressively deteriorate with time because of the harshness of urban conditions (e.g., relatively low radiation levels, air pollution). Therefore, the method assumes that the accumulation of carbon in biomass slows with age, and thus for trees greater than 20 years of age, increases in biomass carbon are assumed offset by losses from pruning and mortality. This is conservatively accounted for by setting </w:t>
      </w:r>
      <w:r>
        <w:rPr>
          <w:rFonts w:ascii="Symbol" w:hAnsi="Symbol"/>
        </w:rPr>
        <w:t>∆</w:t>
      </w:r>
      <w:r>
        <w:rPr/>
        <w:t>B</w:t>
      </w:r>
      <w:r>
        <w:rPr>
          <w:vertAlign w:val="subscript"/>
        </w:rPr>
        <w:t>SS</w:t>
      </w:r>
      <w:r>
        <w:rPr>
          <w:vertAlign w:val="baseline"/>
        </w:rPr>
        <w:t> = </w:t>
      </w:r>
      <w:r>
        <w:rPr>
          <w:rFonts w:ascii="Symbol" w:hAnsi="Symbol"/>
          <w:vertAlign w:val="baseline"/>
        </w:rPr>
        <w:t>∆</w:t>
      </w:r>
      <w:r>
        <w:rPr>
          <w:vertAlign w:val="baseline"/>
        </w:rPr>
        <w:t>B</w:t>
      </w:r>
      <w:r>
        <w:rPr>
          <w:vertAlign w:val="subscript"/>
        </w:rPr>
        <w:t>SS</w:t>
      </w:r>
      <w:r>
        <w:rPr>
          <w:vertAlign w:val="baseline"/>
        </w:rPr>
        <w:t> .</w:t>
      </w:r>
    </w:p>
    <w:p>
      <w:pPr>
        <w:pStyle w:val="BodyText"/>
        <w:spacing w:line="261" w:lineRule="auto" w:before="177"/>
        <w:ind w:left="159" w:right="162"/>
        <w:jc w:val="both"/>
      </w:pPr>
      <w:r>
        <w:rPr/>
        <w:pict>
          <v:shape style="position:absolute;margin-left:276.760529pt;margin-top:16.972pt;width:4pt;height:7.2pt;mso-position-horizontal-relative:page;mso-position-vertical-relative:paragraph;z-index:-2438416" type="#_x0000_t202" filled="false" stroked="false">
            <v:textbox inset="0,0,0,0">
              <w:txbxContent>
                <w:p>
                  <w:pPr>
                    <w:spacing w:line="144" w:lineRule="exact" w:before="0"/>
                    <w:ind w:left="0" w:right="0" w:firstLine="0"/>
                    <w:jc w:val="left"/>
                    <w:rPr>
                      <w:sz w:val="13"/>
                    </w:rPr>
                  </w:pPr>
                  <w:r>
                    <w:rPr>
                      <w:w w:val="99"/>
                      <w:sz w:val="13"/>
                    </w:rPr>
                    <w:t>L</w:t>
                  </w:r>
                </w:p>
              </w:txbxContent>
            </v:textbox>
            <w10:wrap type="none"/>
          </v:shape>
        </w:pict>
      </w:r>
      <w:r>
        <w:rPr/>
        <w:t>Under higher tier levels, the assumptions for </w:t>
      </w:r>
      <w:r>
        <w:rPr>
          <w:rFonts w:ascii="Symbol" w:hAnsi="Symbol"/>
        </w:rPr>
        <w:t>∆</w:t>
      </w:r>
      <w:r>
        <w:rPr/>
        <w:t>B</w:t>
      </w:r>
      <w:r>
        <w:rPr>
          <w:vertAlign w:val="subscript"/>
        </w:rPr>
        <w:t>SS</w:t>
      </w:r>
      <w:r>
        <w:rPr>
          <w:vertAlign w:val="baseline"/>
        </w:rPr>
        <w:t> should be evaluated and modified to better address national circumstances. For instance, countries may have information on age-dependent and or species-specific carbon losses in settlements trees. In this case, countries should develop a loss term and document the resources and</w:t>
      </w:r>
    </w:p>
    <w:p>
      <w:pPr>
        <w:pStyle w:val="BodyText"/>
        <w:spacing w:line="210" w:lineRule="exact"/>
        <w:ind w:left="159"/>
        <w:jc w:val="both"/>
      </w:pPr>
      <w:r>
        <w:rPr/>
        <w:t>rationale used in its development.</w:t>
      </w:r>
    </w:p>
    <w:p>
      <w:pPr>
        <w:pStyle w:val="BodyText"/>
        <w:spacing w:before="4"/>
        <w:rPr>
          <w:sz w:val="21"/>
        </w:rPr>
      </w:pPr>
    </w:p>
    <w:p>
      <w:pPr>
        <w:pStyle w:val="Heading6"/>
        <w:jc w:val="both"/>
      </w:pPr>
      <w:r>
        <w:rPr/>
        <w:t>3a.4.1. 1.1.3 Choice of Activity Data</w:t>
      </w:r>
    </w:p>
    <w:p>
      <w:pPr>
        <w:pStyle w:val="BodyText"/>
        <w:spacing w:before="56"/>
        <w:ind w:left="159" w:right="164"/>
        <w:jc w:val="both"/>
      </w:pPr>
      <w:r>
        <w:rPr/>
        <w:t>The activity data needed to implement a Tier 1 method are either A</w:t>
      </w:r>
      <w:r>
        <w:rPr>
          <w:vertAlign w:val="subscript"/>
        </w:rPr>
        <w:t>CROWN</w:t>
      </w:r>
      <w:r>
        <w:rPr>
          <w:vertAlign w:val="baseline"/>
        </w:rPr>
        <w:t>, areas of tree crown cover, or NT</w:t>
      </w:r>
      <w:r>
        <w:rPr>
          <w:vertAlign w:val="subscript"/>
        </w:rPr>
        <w:t>i</w:t>
      </w:r>
      <w:r>
        <w:rPr>
          <w:vertAlign w:val="baseline"/>
        </w:rPr>
        <w:t>, number of individual trees in broad species classes. For Tier 1a, crown cover area data (A</w:t>
      </w:r>
      <w:r>
        <w:rPr>
          <w:vertAlign w:val="subscript"/>
        </w:rPr>
        <w:t>CROWN</w:t>
      </w:r>
      <w:r>
        <w:rPr>
          <w:vertAlign w:val="baseline"/>
        </w:rPr>
        <w:t>) can be obtained from aerial photographs of urban areas with the help of personnel skilled in photo interpretation, image sampling and area measurement (Nowak </w:t>
      </w:r>
      <w:r>
        <w:rPr>
          <w:i/>
          <w:vertAlign w:val="baseline"/>
        </w:rPr>
        <w:t>et al.</w:t>
      </w:r>
      <w:r>
        <w:rPr>
          <w:vertAlign w:val="baseline"/>
        </w:rPr>
        <w:t>, 1996). Crown cover is typically defined as the percent of ground covered by a vertical projection of the outermost perimeter of the natural spread of the foliage of plants. It is important to note that Equation 3a.4.3A uses a term for area and not percent. Values in percent crown cover should be converted to total crown cover area for use in Equation 3a.4.3A by multiplying the percent crown cover by the total area of trees.</w:t>
      </w:r>
    </w:p>
    <w:p>
      <w:pPr>
        <w:pStyle w:val="BodyText"/>
        <w:spacing w:before="119"/>
        <w:ind w:left="159" w:right="170"/>
        <w:jc w:val="both"/>
      </w:pPr>
      <w:r>
        <w:rPr/>
        <w:t>For Tier 1b, records of tree populations, disaggregated into species or broad species classes may be obtained from municipal agencies caring for urban vegetation or from sampling</w:t>
      </w:r>
      <w:r>
        <w:rPr>
          <w:spacing w:val="-10"/>
        </w:rPr>
        <w:t> </w:t>
      </w:r>
      <w:r>
        <w:rPr/>
        <w:t>methods.</w:t>
      </w:r>
    </w:p>
    <w:p>
      <w:pPr>
        <w:pStyle w:val="BodyText"/>
        <w:spacing w:before="120"/>
        <w:ind w:left="159" w:right="162"/>
        <w:jc w:val="both"/>
      </w:pPr>
      <w:r>
        <w:rPr/>
        <w:t>Under Tier 2, tree population numbers, disaggregated into species or broad species classes, can be obtained by  an appropriate sampling design. The area sampling methods described in Chapter 5, Section 5.3 (Sampling) can be adapted to that</w:t>
      </w:r>
      <w:r>
        <w:rPr>
          <w:spacing w:val="-2"/>
        </w:rPr>
        <w:t> </w:t>
      </w:r>
      <w:r>
        <w:rPr/>
        <w:t>purpose.</w:t>
      </w:r>
    </w:p>
    <w:p>
      <w:pPr>
        <w:pStyle w:val="BodyText"/>
        <w:spacing w:before="3"/>
        <w:rPr>
          <w:sz w:val="21"/>
        </w:rPr>
      </w:pPr>
    </w:p>
    <w:p>
      <w:pPr>
        <w:pStyle w:val="Heading6"/>
        <w:jc w:val="both"/>
      </w:pPr>
      <w:r>
        <w:rPr/>
        <w:t>3a.4.1. 1.1.4 Uncertainty Assessment</w:t>
      </w:r>
    </w:p>
    <w:p>
      <w:pPr>
        <w:pStyle w:val="BodyText"/>
        <w:spacing w:before="56"/>
        <w:ind w:left="159" w:right="165"/>
        <w:jc w:val="both"/>
      </w:pPr>
      <w:r>
        <w:rPr/>
        <w:t>There are two primary sources of uncertainty in the basic methods: uncertainty in removal factors and uncertainty in activity data. The default Tier 1a removal factor, CRW, has an uncertainty of ±50% of the mean. The default values provided for Tier 1b removal factors have a general uncertainty of ±30% of the mean, based on expert judgement. Countries will need to assess the uncertainty of area estimates or tree numbers used in either the Tier 1a or 1b approach. Common to the activity data of each of the tiers is the uncertainty in the delineation of settlements boundaries. These influence the relative sizes of urban land-use types (e.g., commercial, residential, parks, etc.) differing in tree population and extent of paved and built surfaces. Uncertainties in activity data depend on the method used to estimate tree crown cover area. Most methods are based on the interpretation of aerial photographs, but differ in the methods used for sampling those photographs. The relative uncertainty of crown cover area estimates may conservatively range from ±5% to ±20% of the mean estimate. Uncertainties in activity data (number of trees in each broad species class) are mainly derived from the sampling methods used for estimating the size of the tree population. Conservative uncertainty estimates range from ±15% to ±25% of the tree number</w:t>
      </w:r>
      <w:r>
        <w:rPr>
          <w:spacing w:val="-7"/>
        </w:rPr>
        <w:t> </w:t>
      </w:r>
      <w:r>
        <w:rPr/>
        <w:t>value.</w:t>
      </w:r>
    </w:p>
    <w:p>
      <w:pPr>
        <w:pStyle w:val="BodyText"/>
        <w:spacing w:before="119"/>
        <w:ind w:left="159" w:right="164"/>
        <w:jc w:val="both"/>
      </w:pPr>
      <w:r>
        <w:rPr/>
        <w:t>For general guidance to identifying, quantifying, and combining uncertainties refer to Chapter 5, Section 5.2 (Identifying and Quantifying Uncertainties) of this report.</w:t>
      </w:r>
    </w:p>
    <w:p>
      <w:pPr>
        <w:pStyle w:val="BodyText"/>
        <w:rPr>
          <w:sz w:val="22"/>
        </w:rPr>
      </w:pPr>
    </w:p>
    <w:p>
      <w:pPr>
        <w:pStyle w:val="BodyText"/>
        <w:spacing w:before="3"/>
      </w:pPr>
    </w:p>
    <w:p>
      <w:pPr>
        <w:pStyle w:val="Heading2"/>
        <w:ind w:left="159" w:firstLine="0"/>
        <w:jc w:val="both"/>
      </w:pPr>
      <w:r>
        <w:rPr/>
        <w:t>3a.4.2 Completeness</w:t>
      </w:r>
    </w:p>
    <w:p>
      <w:pPr>
        <w:pStyle w:val="BodyText"/>
        <w:spacing w:before="114"/>
        <w:ind w:left="159" w:right="167"/>
        <w:jc w:val="both"/>
      </w:pPr>
      <w:r>
        <w:rPr/>
        <w:t>Ensuring the completeness of emission and removal estimates from settlements requires the inclusion of all settlements in a country or at least those above some definite threshold size, and estimates of all greenhouse gases and sources and sinks relevant to settlements.</w:t>
      </w:r>
    </w:p>
    <w:p>
      <w:pPr>
        <w:pStyle w:val="BodyText"/>
        <w:spacing w:before="121"/>
        <w:ind w:left="159" w:right="164"/>
        <w:jc w:val="both"/>
      </w:pPr>
      <w:r>
        <w:rPr/>
        <w:t>At present, developing a complete estimate of changes in carbon stocks for this land-use category is constrained by the lack of worldwide studies providing both quantification methods and default parameter data. With data available at most municipal agencies, however, the methods and methodological approaches presented above should allow for a fairly complete accounting of the changes in the carbon pools of settlements.</w:t>
      </w:r>
    </w:p>
    <w:p>
      <w:pPr>
        <w:spacing w:after="0"/>
        <w:jc w:val="both"/>
        <w:sectPr>
          <w:type w:val="continuous"/>
          <w:pgSz w:w="11900" w:h="16840"/>
          <w:pgMar w:top="1060" w:bottom="280" w:left="1260" w:right="1240"/>
        </w:sectPr>
      </w:pPr>
    </w:p>
    <w:p>
      <w:pPr>
        <w:pStyle w:val="BodyText"/>
      </w:pPr>
    </w:p>
    <w:p>
      <w:pPr>
        <w:pStyle w:val="Heading2"/>
        <w:tabs>
          <w:tab w:pos="1361" w:val="left" w:leader="none"/>
        </w:tabs>
        <w:spacing w:before="215"/>
        <w:ind w:left="159" w:firstLine="0"/>
      </w:pPr>
      <w:r>
        <w:rPr>
          <w:spacing w:val="8"/>
        </w:rPr>
        <w:t>3a.4.3</w:t>
        <w:tab/>
        <w:t>Developing </w:t>
      </w:r>
      <w:r>
        <w:rPr/>
        <w:t>a </w:t>
      </w:r>
      <w:r>
        <w:rPr>
          <w:spacing w:val="8"/>
        </w:rPr>
        <w:t>consistent </w:t>
      </w:r>
      <w:r>
        <w:rPr>
          <w:spacing w:val="7"/>
        </w:rPr>
        <w:t>time</w:t>
      </w:r>
      <w:r>
        <w:rPr>
          <w:spacing w:val="66"/>
        </w:rPr>
        <w:t> </w:t>
      </w:r>
      <w:r>
        <w:rPr>
          <w:spacing w:val="9"/>
        </w:rPr>
        <w:t>series</w:t>
      </w:r>
    </w:p>
    <w:p>
      <w:pPr>
        <w:pStyle w:val="BodyText"/>
        <w:spacing w:before="116"/>
        <w:ind w:left="159" w:right="165"/>
        <w:jc w:val="both"/>
      </w:pPr>
      <w:r>
        <w:rPr/>
        <w:t>Guidance for developing consistent time series is given in Chapter 5, Section 5.6 (Time Series Consistency and Recalculations). To develop a consistent time series for the category of settlements remaining settlements, efforts should be made to develop a regular inventory of settlements trees. The inventory may occur annually or over some other regular time period, and include the number of individual species, and a measure of tree size, such as diameter at breast height (dbh) such that growth can be estimated over multiple sampling periods. In addition, biomass losses through pruning and mortality should also be tracked, ideally through the regular settlements tree inventory.</w:t>
      </w:r>
    </w:p>
    <w:p>
      <w:pPr>
        <w:pStyle w:val="BodyText"/>
        <w:rPr>
          <w:sz w:val="22"/>
        </w:rPr>
      </w:pPr>
    </w:p>
    <w:p>
      <w:pPr>
        <w:pStyle w:val="BodyText"/>
        <w:spacing w:before="3"/>
      </w:pPr>
    </w:p>
    <w:p>
      <w:pPr>
        <w:pStyle w:val="Heading2"/>
        <w:tabs>
          <w:tab w:pos="1361" w:val="left" w:leader="none"/>
        </w:tabs>
        <w:ind w:left="159" w:firstLine="0"/>
      </w:pPr>
      <w:r>
        <w:rPr>
          <w:spacing w:val="8"/>
        </w:rPr>
        <w:t>3a.4.4</w:t>
        <w:tab/>
        <w:t>Reporting </w:t>
      </w:r>
      <w:r>
        <w:rPr>
          <w:spacing w:val="6"/>
        </w:rPr>
        <w:t>and</w:t>
      </w:r>
      <w:r>
        <w:rPr>
          <w:spacing w:val="31"/>
        </w:rPr>
        <w:t> </w:t>
      </w:r>
      <w:r>
        <w:rPr>
          <w:spacing w:val="9"/>
        </w:rPr>
        <w:t>Documentation</w:t>
      </w:r>
    </w:p>
    <w:p>
      <w:pPr>
        <w:pStyle w:val="BodyText"/>
        <w:spacing w:before="114"/>
        <w:ind w:left="159" w:right="103"/>
      </w:pPr>
      <w:r>
        <w:rPr/>
        <w:t>Countries should document estimates of emissions and removals in biomass of settlements remaining settlements in reporting tables. Changes in carbon stocks (tonnes C yr</w:t>
      </w:r>
      <w:r>
        <w:rPr>
          <w:vertAlign w:val="superscript"/>
        </w:rPr>
        <w:t>-1</w:t>
      </w:r>
      <w:r>
        <w:rPr>
          <w:vertAlign w:val="baseline"/>
        </w:rPr>
        <w:t>) as well as emissions / removals of CO</w:t>
      </w:r>
      <w:r>
        <w:rPr>
          <w:vertAlign w:val="subscript"/>
        </w:rPr>
        <w:t>2</w:t>
      </w:r>
      <w:r>
        <w:rPr>
          <w:vertAlign w:val="baseline"/>
        </w:rPr>
        <w:t> (Gg CO</w:t>
      </w:r>
      <w:r>
        <w:rPr>
          <w:vertAlign w:val="subscript"/>
        </w:rPr>
        <w:t>2</w:t>
      </w:r>
      <w:r>
        <w:rPr>
          <w:vertAlign w:val="baseline"/>
        </w:rPr>
        <w:t> yr</w:t>
      </w:r>
      <w:r>
        <w:rPr>
          <w:vertAlign w:val="superscript"/>
        </w:rPr>
        <w:t>-1</w:t>
      </w:r>
      <w:r>
        <w:rPr>
          <w:vertAlign w:val="baseline"/>
        </w:rPr>
        <w:t>) should be included in the reporting tables. It is critical to note that, by convention, changes in carbon stocks are positive when carbon stocks in terrestrial pools are increasing and negative when carbon stocks in terrestrial  pools are decreasing. In contrast, CO</w:t>
      </w:r>
      <w:r>
        <w:rPr>
          <w:vertAlign w:val="subscript"/>
        </w:rPr>
        <w:t>2</w:t>
      </w:r>
      <w:r>
        <w:rPr>
          <w:vertAlign w:val="baseline"/>
        </w:rPr>
        <w:t> emissions / removals follow an opposing convention. More guidance on  the sign convention is given in Section 3.1.7 Reporting and in Annex 3A.2 Reporting</w:t>
      </w:r>
      <w:r>
        <w:rPr>
          <w:spacing w:val="-11"/>
          <w:vertAlign w:val="baseline"/>
        </w:rPr>
        <w:t> </w:t>
      </w:r>
      <w:r>
        <w:rPr>
          <w:vertAlign w:val="baseline"/>
        </w:rPr>
        <w:t>tables.</w:t>
      </w:r>
    </w:p>
    <w:p>
      <w:pPr>
        <w:pStyle w:val="BodyText"/>
        <w:spacing w:before="120"/>
        <w:ind w:left="159" w:right="165"/>
        <w:jc w:val="both"/>
      </w:pPr>
      <w:r>
        <w:rPr/>
        <w:t>For the purposes of transparent reporting and to facilitate further refinement of inventory estimates, countries should carefully document decisions made and approaches used to estimate CO</w:t>
      </w:r>
      <w:r>
        <w:rPr>
          <w:vertAlign w:val="subscript"/>
        </w:rPr>
        <w:t>2</w:t>
      </w:r>
      <w:r>
        <w:rPr>
          <w:vertAlign w:val="baseline"/>
        </w:rPr>
        <w:t> emissions and removals from settlements. To meet this end, countries should consider the following items when developing documentation:</w:t>
      </w:r>
    </w:p>
    <w:p>
      <w:pPr>
        <w:pStyle w:val="ListParagraph"/>
        <w:numPr>
          <w:ilvl w:val="0"/>
          <w:numId w:val="117"/>
        </w:numPr>
        <w:tabs>
          <w:tab w:pos="519" w:val="left" w:leader="none"/>
          <w:tab w:pos="520" w:val="left" w:leader="none"/>
        </w:tabs>
        <w:spacing w:line="240" w:lineRule="auto" w:before="133" w:after="0"/>
        <w:ind w:left="519" w:right="0" w:hanging="360"/>
        <w:jc w:val="left"/>
        <w:rPr>
          <w:sz w:val="20"/>
        </w:rPr>
      </w:pPr>
      <w:r>
        <w:rPr>
          <w:sz w:val="20"/>
        </w:rPr>
        <w:t>Name and geographical location of each</w:t>
      </w:r>
      <w:r>
        <w:rPr>
          <w:spacing w:val="-3"/>
          <w:sz w:val="20"/>
        </w:rPr>
        <w:t> </w:t>
      </w:r>
      <w:r>
        <w:rPr>
          <w:sz w:val="20"/>
        </w:rPr>
        <w:t>settlements;</w:t>
      </w:r>
    </w:p>
    <w:p>
      <w:pPr>
        <w:pStyle w:val="ListParagraph"/>
        <w:numPr>
          <w:ilvl w:val="0"/>
          <w:numId w:val="117"/>
        </w:numPr>
        <w:tabs>
          <w:tab w:pos="519" w:val="left" w:leader="none"/>
          <w:tab w:pos="520" w:val="left" w:leader="none"/>
        </w:tabs>
        <w:spacing w:line="240" w:lineRule="auto" w:before="118" w:after="0"/>
        <w:ind w:left="519" w:right="0" w:hanging="360"/>
        <w:jc w:val="left"/>
        <w:rPr>
          <w:sz w:val="20"/>
        </w:rPr>
      </w:pPr>
      <w:r>
        <w:rPr>
          <w:sz w:val="20"/>
        </w:rPr>
        <w:t>Name of the source (or sources) of activity data, or of data the latter were derived</w:t>
      </w:r>
      <w:r>
        <w:rPr>
          <w:spacing w:val="-10"/>
          <w:sz w:val="20"/>
        </w:rPr>
        <w:t> </w:t>
      </w:r>
      <w:r>
        <w:rPr>
          <w:sz w:val="20"/>
        </w:rPr>
        <w:t>from;</w:t>
      </w:r>
    </w:p>
    <w:p>
      <w:pPr>
        <w:pStyle w:val="ListParagraph"/>
        <w:numPr>
          <w:ilvl w:val="0"/>
          <w:numId w:val="117"/>
        </w:numPr>
        <w:tabs>
          <w:tab w:pos="519" w:val="left" w:leader="none"/>
          <w:tab w:pos="520" w:val="left" w:leader="none"/>
        </w:tabs>
        <w:spacing w:line="240" w:lineRule="auto" w:before="119" w:after="0"/>
        <w:ind w:left="519" w:right="0" w:hanging="360"/>
        <w:jc w:val="left"/>
        <w:rPr>
          <w:sz w:val="20"/>
        </w:rPr>
      </w:pPr>
      <w:r>
        <w:rPr>
          <w:sz w:val="20"/>
        </w:rPr>
        <w:t>Methods used to obtain activity</w:t>
      </w:r>
      <w:r>
        <w:rPr>
          <w:spacing w:val="-2"/>
          <w:sz w:val="20"/>
        </w:rPr>
        <w:t> </w:t>
      </w:r>
      <w:r>
        <w:rPr>
          <w:sz w:val="20"/>
        </w:rPr>
        <w:t>data;</w:t>
      </w:r>
    </w:p>
    <w:p>
      <w:pPr>
        <w:pStyle w:val="ListParagraph"/>
        <w:numPr>
          <w:ilvl w:val="0"/>
          <w:numId w:val="117"/>
        </w:numPr>
        <w:tabs>
          <w:tab w:pos="519" w:val="left" w:leader="none"/>
          <w:tab w:pos="520" w:val="left" w:leader="none"/>
        </w:tabs>
        <w:spacing w:line="240" w:lineRule="auto" w:before="118" w:after="0"/>
        <w:ind w:left="519" w:right="0" w:hanging="360"/>
        <w:jc w:val="left"/>
        <w:rPr>
          <w:sz w:val="20"/>
        </w:rPr>
      </w:pPr>
      <w:r>
        <w:rPr>
          <w:sz w:val="20"/>
        </w:rPr>
        <w:t>Criteria used for including tree species into the broad species classes indicated in Table</w:t>
      </w:r>
      <w:r>
        <w:rPr>
          <w:spacing w:val="-12"/>
          <w:sz w:val="20"/>
        </w:rPr>
        <w:t> </w:t>
      </w:r>
      <w:r>
        <w:rPr>
          <w:sz w:val="20"/>
        </w:rPr>
        <w:t>3a.4.1;</w:t>
      </w:r>
    </w:p>
    <w:p>
      <w:pPr>
        <w:pStyle w:val="ListParagraph"/>
        <w:numPr>
          <w:ilvl w:val="0"/>
          <w:numId w:val="117"/>
        </w:numPr>
        <w:tabs>
          <w:tab w:pos="519" w:val="left" w:leader="none"/>
          <w:tab w:pos="520" w:val="left" w:leader="none"/>
        </w:tabs>
        <w:spacing w:line="223" w:lineRule="auto" w:before="128" w:after="0"/>
        <w:ind w:left="516" w:right="164" w:hanging="357"/>
        <w:jc w:val="left"/>
        <w:rPr>
          <w:sz w:val="20"/>
        </w:rPr>
      </w:pPr>
      <w:r>
        <w:rPr>
          <w:sz w:val="20"/>
        </w:rPr>
        <w:t>Factors and/or ratios used to adjust average annual carbon accumulation per tree to growth in urban conditions, if</w:t>
      </w:r>
      <w:r>
        <w:rPr>
          <w:spacing w:val="-3"/>
          <w:sz w:val="20"/>
        </w:rPr>
        <w:t> </w:t>
      </w:r>
      <w:r>
        <w:rPr>
          <w:sz w:val="20"/>
        </w:rPr>
        <w:t>applicable;</w:t>
      </w:r>
    </w:p>
    <w:p>
      <w:pPr>
        <w:pStyle w:val="ListParagraph"/>
        <w:numPr>
          <w:ilvl w:val="0"/>
          <w:numId w:val="117"/>
        </w:numPr>
        <w:tabs>
          <w:tab w:pos="519" w:val="left" w:leader="none"/>
          <w:tab w:pos="520" w:val="left" w:leader="none"/>
        </w:tabs>
        <w:spacing w:line="223" w:lineRule="auto" w:before="151" w:after="0"/>
        <w:ind w:left="516" w:right="164" w:hanging="357"/>
        <w:jc w:val="left"/>
        <w:rPr>
          <w:sz w:val="20"/>
        </w:rPr>
      </w:pPr>
      <w:r>
        <w:rPr>
          <w:sz w:val="20"/>
        </w:rPr>
        <w:t>Source (or sources) of growth equations and methods used for combining them, and for obtaining parameter values different from those presented in this</w:t>
      </w:r>
      <w:r>
        <w:rPr>
          <w:spacing w:val="-7"/>
          <w:sz w:val="20"/>
        </w:rPr>
        <w:t> </w:t>
      </w:r>
      <w:r>
        <w:rPr>
          <w:sz w:val="20"/>
        </w:rPr>
        <w:t>appendix;</w:t>
      </w:r>
    </w:p>
    <w:p>
      <w:pPr>
        <w:pStyle w:val="ListParagraph"/>
        <w:numPr>
          <w:ilvl w:val="0"/>
          <w:numId w:val="117"/>
        </w:numPr>
        <w:tabs>
          <w:tab w:pos="519" w:val="left" w:leader="none"/>
          <w:tab w:pos="520" w:val="left" w:leader="none"/>
        </w:tabs>
        <w:spacing w:line="240" w:lineRule="auto" w:before="139" w:after="0"/>
        <w:ind w:left="519" w:right="0" w:hanging="360"/>
        <w:jc w:val="left"/>
        <w:rPr>
          <w:sz w:val="20"/>
        </w:rPr>
      </w:pPr>
      <w:r>
        <w:rPr>
          <w:sz w:val="20"/>
        </w:rPr>
        <w:t>Sampling methods and models used for developing country-specific carbon accumulation</w:t>
      </w:r>
      <w:r>
        <w:rPr>
          <w:spacing w:val="-8"/>
          <w:sz w:val="20"/>
        </w:rPr>
        <w:t> </w:t>
      </w:r>
      <w:r>
        <w:rPr>
          <w:sz w:val="20"/>
        </w:rPr>
        <w:t>rates;</w:t>
      </w:r>
    </w:p>
    <w:p>
      <w:pPr>
        <w:pStyle w:val="ListParagraph"/>
        <w:numPr>
          <w:ilvl w:val="0"/>
          <w:numId w:val="117"/>
        </w:numPr>
        <w:tabs>
          <w:tab w:pos="519" w:val="left" w:leader="none"/>
          <w:tab w:pos="520" w:val="left" w:leader="none"/>
        </w:tabs>
        <w:spacing w:line="240" w:lineRule="auto" w:before="118" w:after="0"/>
        <w:ind w:left="519" w:right="0" w:hanging="360"/>
        <w:jc w:val="left"/>
        <w:rPr>
          <w:sz w:val="20"/>
        </w:rPr>
      </w:pPr>
      <w:r>
        <w:rPr>
          <w:sz w:val="20"/>
        </w:rPr>
        <w:t>Description of the methods used for settlements area delimitation;</w:t>
      </w:r>
      <w:r>
        <w:rPr>
          <w:spacing w:val="-3"/>
          <w:sz w:val="20"/>
        </w:rPr>
        <w:t> </w:t>
      </w:r>
      <w:r>
        <w:rPr>
          <w:sz w:val="20"/>
        </w:rPr>
        <w:t>and</w:t>
      </w:r>
    </w:p>
    <w:p>
      <w:pPr>
        <w:pStyle w:val="ListParagraph"/>
        <w:numPr>
          <w:ilvl w:val="0"/>
          <w:numId w:val="117"/>
        </w:numPr>
        <w:tabs>
          <w:tab w:pos="520" w:val="left" w:leader="none"/>
        </w:tabs>
        <w:spacing w:line="232" w:lineRule="auto" w:before="121" w:after="0"/>
        <w:ind w:left="516" w:right="165" w:hanging="357"/>
        <w:jc w:val="both"/>
        <w:rPr>
          <w:sz w:val="20"/>
        </w:rPr>
      </w:pPr>
      <w:r>
        <w:rPr>
          <w:sz w:val="20"/>
        </w:rPr>
        <w:t>The results of time-trend analysis of previous emission records, the justification of their recalculation, and the procedures used to that end. Large oscillations in the series values should be explained. For general guidance see Chapter 5 of this</w:t>
      </w:r>
      <w:r>
        <w:rPr>
          <w:spacing w:val="2"/>
          <w:sz w:val="20"/>
        </w:rPr>
        <w:t> </w:t>
      </w:r>
      <w:r>
        <w:rPr>
          <w:sz w:val="20"/>
        </w:rPr>
        <w:t>report.</w:t>
      </w:r>
    </w:p>
    <w:p>
      <w:pPr>
        <w:pStyle w:val="BodyText"/>
        <w:spacing w:before="6"/>
        <w:rPr>
          <w:sz w:val="30"/>
        </w:rPr>
      </w:pPr>
    </w:p>
    <w:p>
      <w:pPr>
        <w:pStyle w:val="BodyText"/>
        <w:ind w:left="159"/>
      </w:pPr>
      <w:r>
        <w:rPr/>
        <w:t>The foregoing documentation should be properly archived for future reference.</w:t>
      </w:r>
    </w:p>
    <w:p>
      <w:pPr>
        <w:pStyle w:val="BodyText"/>
        <w:spacing w:before="7"/>
        <w:rPr>
          <w:sz w:val="31"/>
        </w:rPr>
      </w:pPr>
    </w:p>
    <w:p>
      <w:pPr>
        <w:pStyle w:val="Heading2"/>
        <w:tabs>
          <w:tab w:pos="1361" w:val="left" w:leader="none"/>
        </w:tabs>
        <w:ind w:left="159" w:firstLine="0"/>
      </w:pPr>
      <w:r>
        <w:rPr>
          <w:spacing w:val="8"/>
        </w:rPr>
        <w:t>3a.4.5</w:t>
        <w:tab/>
        <w:t>Inventory </w:t>
      </w:r>
      <w:r>
        <w:rPr>
          <w:spacing w:val="7"/>
        </w:rPr>
        <w:t>Quality </w:t>
      </w:r>
      <w:r>
        <w:rPr>
          <w:spacing w:val="9"/>
        </w:rPr>
        <w:t>Assurance/Quality</w:t>
      </w:r>
      <w:r>
        <w:rPr>
          <w:spacing w:val="46"/>
        </w:rPr>
        <w:t> </w:t>
      </w:r>
      <w:r>
        <w:rPr>
          <w:spacing w:val="10"/>
        </w:rPr>
        <w:t>Control</w:t>
      </w:r>
    </w:p>
    <w:p>
      <w:pPr>
        <w:pStyle w:val="BodyText"/>
        <w:spacing w:before="116"/>
        <w:ind w:left="159" w:right="163"/>
        <w:jc w:val="both"/>
      </w:pPr>
      <w:r>
        <w:rPr/>
        <w:t>It is advisable to implement quality control checks as outlined in Chapter 5, Section 5.5 (Quality Assurance and Quality Control) of this report, and supplement the general QA/QC related to data processing, handling, and reporting as outlined in Chapter 5 of this report, with source-specific procedures, particularly the review of the parameters, equations, and calculations used to estimate emission values. External specialists (particularly experts on urban forestry) as well as concerned stakeholders should peer-review the inventory estimates and the values of all important parameters and emission</w:t>
      </w:r>
      <w:r>
        <w:rPr>
          <w:spacing w:val="-6"/>
        </w:rPr>
        <w:t> </w:t>
      </w:r>
      <w:r>
        <w:rPr/>
        <w:t>factors.</w:t>
      </w:r>
    </w:p>
    <w:p>
      <w:pPr>
        <w:spacing w:after="0"/>
        <w:jc w:val="both"/>
        <w:sectPr>
          <w:pgSz w:w="11900" w:h="16840"/>
          <w:pgMar w:header="230" w:footer="408" w:top="560" w:bottom="600" w:left="1260" w:right="1240"/>
        </w:sectPr>
      </w:pPr>
    </w:p>
    <w:p>
      <w:pPr>
        <w:pStyle w:val="BodyText"/>
        <w:spacing w:before="4"/>
        <w:rPr>
          <w:sz w:val="17"/>
        </w:rPr>
      </w:pPr>
    </w:p>
    <w:p>
      <w:pPr>
        <w:spacing w:after="0"/>
        <w:rPr>
          <w:sz w:val="17"/>
        </w:rPr>
        <w:sectPr>
          <w:headerReference w:type="even" r:id="rId279"/>
          <w:footerReference w:type="even" r:id="rId280"/>
          <w:pgSz w:w="11900" w:h="16840"/>
          <w:pgMar w:header="0" w:footer="0" w:top="1600" w:bottom="280" w:left="1260" w:right="1240"/>
        </w:sectPr>
      </w:pPr>
    </w:p>
    <w:p>
      <w:pPr>
        <w:pStyle w:val="BodyText"/>
      </w:pPr>
    </w:p>
    <w:p>
      <w:pPr>
        <w:pStyle w:val="BodyText"/>
        <w:rPr>
          <w:sz w:val="27"/>
        </w:rPr>
      </w:pPr>
    </w:p>
    <w:p>
      <w:pPr>
        <w:tabs>
          <w:tab w:pos="2064" w:val="left" w:leader="none"/>
          <w:tab w:pos="9259" w:val="left" w:leader="none"/>
        </w:tabs>
        <w:spacing w:before="80"/>
        <w:ind w:left="159" w:right="0" w:firstLine="0"/>
        <w:jc w:val="left"/>
        <w:rPr>
          <w:b/>
          <w:sz w:val="48"/>
        </w:rPr>
      </w:pPr>
      <w:r>
        <w:rPr>
          <w:b/>
          <w:spacing w:val="39"/>
          <w:sz w:val="48"/>
          <w:u w:val="thick"/>
        </w:rPr>
        <w:t>A</w:t>
      </w:r>
      <w:r>
        <w:rPr>
          <w:b/>
          <w:spacing w:val="39"/>
          <w:sz w:val="38"/>
          <w:u w:val="thick"/>
        </w:rPr>
        <w:t>NN</w:t>
      </w:r>
      <w:r>
        <w:rPr>
          <w:b/>
          <w:spacing w:val="-37"/>
          <w:sz w:val="38"/>
          <w:u w:val="thick"/>
        </w:rPr>
        <w:t> </w:t>
      </w:r>
      <w:r>
        <w:rPr>
          <w:b/>
          <w:sz w:val="38"/>
          <w:u w:val="thick"/>
        </w:rPr>
        <w:t>E</w:t>
      </w:r>
      <w:r>
        <w:rPr>
          <w:b/>
          <w:spacing w:val="-36"/>
          <w:sz w:val="38"/>
          <w:u w:val="thick"/>
        </w:rPr>
        <w:t> </w:t>
      </w:r>
      <w:r>
        <w:rPr>
          <w:b/>
          <w:sz w:val="38"/>
          <w:u w:val="thick"/>
        </w:rPr>
        <w:t>X</w:t>
        <w:tab/>
      </w:r>
      <w:r>
        <w:rPr>
          <w:b/>
          <w:sz w:val="48"/>
          <w:u w:val="thick"/>
        </w:rPr>
        <w:t>B</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1"/>
      </w:pPr>
      <w:r>
        <w:rPr/>
        <w:t>BASIC INFORMATION</w:t>
      </w:r>
    </w:p>
    <w:p>
      <w:pPr>
        <w:spacing w:after="0"/>
        <w:sectPr>
          <w:headerReference w:type="default" r:id="rId281"/>
          <w:footerReference w:type="default" r:id="rId282"/>
          <w:pgSz w:w="11900" w:h="16840"/>
          <w:pgMar w:header="0" w:footer="408" w:top="1600" w:bottom="600" w:left="1260" w:right="1240"/>
        </w:sectPr>
      </w:pPr>
    </w:p>
    <w:p>
      <w:pPr>
        <w:pStyle w:val="BodyText"/>
        <w:spacing w:before="61"/>
        <w:ind w:left="159"/>
      </w:pPr>
      <w:r>
        <w:rPr/>
        <w:pict>
          <v:line style="position:absolute;mso-position-horizontal-relative:page;mso-position-vertical-relative:paragraph;z-index:15776;mso-wrap-distance-left:0;mso-wrap-distance-right:0" from="70.960999pt,20.306219pt" to="524.440999pt,20.306219pt" stroked="true" strokeweight=".75pt" strokecolor="#010101">
            <v:stroke dashstyle="solid"/>
            <w10:wrap type="topAndBottom"/>
          </v:line>
        </w:pict>
      </w:r>
      <w:r>
        <w:rPr/>
        <w:t>Annex B: Basic Information</w:t>
      </w:r>
    </w:p>
    <w:p>
      <w:pPr>
        <w:pStyle w:val="BodyText"/>
      </w:pPr>
    </w:p>
    <w:p>
      <w:pPr>
        <w:pStyle w:val="BodyText"/>
      </w:pPr>
    </w:p>
    <w:p>
      <w:pPr>
        <w:pStyle w:val="BodyText"/>
      </w:pPr>
    </w:p>
    <w:p>
      <w:pPr>
        <w:pStyle w:val="BodyText"/>
        <w:spacing w:before="7"/>
        <w:rPr>
          <w:sz w:val="19"/>
        </w:rPr>
      </w:pPr>
    </w:p>
    <w:p>
      <w:pPr>
        <w:pStyle w:val="Heading4"/>
        <w:spacing w:before="89"/>
        <w:ind w:left="3020"/>
        <w:rPr>
          <w:rFonts w:ascii="Times New Roman"/>
        </w:rPr>
      </w:pPr>
      <w:r>
        <w:rPr>
          <w:rFonts w:ascii="Times New Roman"/>
        </w:rPr>
        <w:t>BASIC INFORMATION</w:t>
      </w:r>
    </w:p>
    <w:p>
      <w:pPr>
        <w:pStyle w:val="BodyText"/>
        <w:rPr>
          <w:b/>
          <w:sz w:val="30"/>
        </w:rPr>
      </w:pPr>
    </w:p>
    <w:p>
      <w:pPr>
        <w:spacing w:before="195"/>
        <w:ind w:left="860" w:right="0" w:firstLine="0"/>
        <w:jc w:val="left"/>
        <w:rPr>
          <w:b/>
          <w:sz w:val="30"/>
        </w:rPr>
      </w:pPr>
      <w:r>
        <w:rPr/>
        <w:pict>
          <v:group style="position:absolute;margin-left:106.000999pt;margin-top:33.114193pt;width:379.6pt;height:.5pt;mso-position-horizontal-relative:page;mso-position-vertical-relative:paragraph;z-index:15800;mso-wrap-distance-left:0;mso-wrap-distance-right:0" coordorigin="2120,662" coordsize="7592,10">
            <v:line style="position:absolute" from="2120,667" to="4311,667" stroked="true" strokeweight=".48pt" strokecolor="#000000">
              <v:stroke dashstyle="solid"/>
            </v:line>
            <v:rect style="position:absolute;left:4311;top:662;width:10;height:10" filled="true" fillcolor="#000000" stroked="false">
              <v:fill type="solid"/>
            </v:rect>
            <v:line style="position:absolute" from="4321,667" to="6248,667" stroked="true" strokeweight=".48pt" strokecolor="#000000">
              <v:stroke dashstyle="solid"/>
            </v:line>
            <v:rect style="position:absolute;left:6248;top:662;width:10;height:10" filled="true" fillcolor="#000000" stroked="false">
              <v:fill type="solid"/>
            </v:rect>
            <v:line style="position:absolute" from="6258,667" to="7813,667" stroked="true" strokeweight=".48pt" strokecolor="#000000">
              <v:stroke dashstyle="solid"/>
            </v:line>
            <v:rect style="position:absolute;left:7812;top:662;width:10;height:10" filled="true" fillcolor="#000000" stroked="false">
              <v:fill type="solid"/>
            </v:rect>
            <v:line style="position:absolute" from="7822,667" to="9711,667" stroked="true" strokeweight=".48pt" strokecolor="#000000">
              <v:stroke dashstyle="solid"/>
            </v:line>
            <w10:wrap type="topAndBottom"/>
          </v:group>
        </w:pict>
      </w:r>
      <w:r>
        <w:rPr>
          <w:b/>
          <w:sz w:val="30"/>
        </w:rPr>
        <w:t>Prefixes and multiplication factors</w:t>
      </w:r>
    </w:p>
    <w:p>
      <w:pPr>
        <w:tabs>
          <w:tab w:pos="2460" w:val="left" w:leader="none"/>
          <w:tab w:pos="4136" w:val="left" w:leader="none"/>
          <w:tab w:pos="5699" w:val="left" w:leader="none"/>
        </w:tabs>
        <w:spacing w:before="29"/>
        <w:ind w:left="0" w:right="1137" w:firstLine="0"/>
        <w:jc w:val="center"/>
        <w:rPr>
          <w:b/>
          <w:sz w:val="20"/>
        </w:rPr>
      </w:pPr>
      <w:r>
        <w:rPr>
          <w:b/>
          <w:sz w:val="20"/>
        </w:rPr>
        <w:t>Multiplication</w:t>
      </w:r>
      <w:r>
        <w:rPr>
          <w:b/>
          <w:spacing w:val="-1"/>
          <w:sz w:val="20"/>
        </w:rPr>
        <w:t> </w:t>
      </w:r>
      <w:r>
        <w:rPr>
          <w:b/>
          <w:sz w:val="20"/>
        </w:rPr>
        <w:t>Factor</w:t>
        <w:tab/>
        <w:t>Abbreviation</w:t>
        <w:tab/>
        <w:t>Prefix</w:t>
        <w:tab/>
        <w:t>Symbol</w:t>
      </w:r>
    </w:p>
    <w:p>
      <w:pPr>
        <w:pStyle w:val="BodyText"/>
        <w:spacing w:before="9"/>
        <w:rPr>
          <w:b/>
          <w:sz w:val="5"/>
        </w:rPr>
      </w:pPr>
    </w:p>
    <w:tbl>
      <w:tblPr>
        <w:tblW w:w="0" w:type="auto"/>
        <w:jc w:val="left"/>
        <w:tblInd w:w="8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4"/>
        <w:gridCol w:w="1251"/>
        <w:gridCol w:w="1532"/>
        <w:gridCol w:w="2246"/>
      </w:tblGrid>
      <w:tr>
        <w:trPr>
          <w:trHeight w:val="350" w:hRule="atLeast"/>
        </w:trPr>
        <w:tc>
          <w:tcPr>
            <w:tcW w:w="5357" w:type="dxa"/>
            <w:gridSpan w:val="3"/>
            <w:tcBorders>
              <w:top w:val="single" w:sz="4" w:space="0" w:color="000000"/>
              <w:bottom w:val="single" w:sz="4" w:space="0" w:color="000000"/>
            </w:tcBorders>
          </w:tcPr>
          <w:p>
            <w:pPr>
              <w:pStyle w:val="TableParagraph"/>
              <w:tabs>
                <w:tab w:pos="3009" w:val="left" w:leader="none"/>
                <w:tab w:pos="4341" w:val="left" w:leader="none"/>
              </w:tabs>
              <w:spacing w:before="53"/>
              <w:ind w:left="254"/>
              <w:rPr>
                <w:sz w:val="20"/>
              </w:rPr>
            </w:pPr>
            <w:r>
              <w:rPr>
                <w:sz w:val="20"/>
              </w:rPr>
              <w:t>1 000 000 000</w:t>
            </w:r>
            <w:r>
              <w:rPr>
                <w:spacing w:val="-3"/>
                <w:sz w:val="20"/>
              </w:rPr>
              <w:t> </w:t>
            </w:r>
            <w:r>
              <w:rPr>
                <w:sz w:val="20"/>
              </w:rPr>
              <w:t>000 000</w:t>
              <w:tab/>
              <w:t>10</w:t>
            </w:r>
            <w:r>
              <w:rPr>
                <w:sz w:val="20"/>
                <w:vertAlign w:val="superscript"/>
              </w:rPr>
              <w:t>15</w:t>
            </w:r>
            <w:r>
              <w:rPr>
                <w:sz w:val="20"/>
                <w:vertAlign w:val="baseline"/>
              </w:rPr>
              <w:tab/>
              <w:t>peta</w:t>
            </w:r>
          </w:p>
        </w:tc>
        <w:tc>
          <w:tcPr>
            <w:tcW w:w="2246" w:type="dxa"/>
            <w:tcBorders>
              <w:top w:val="single" w:sz="4" w:space="0" w:color="000000"/>
              <w:bottom w:val="single" w:sz="4" w:space="0" w:color="000000"/>
            </w:tcBorders>
          </w:tcPr>
          <w:p>
            <w:pPr>
              <w:pStyle w:val="TableParagraph"/>
              <w:spacing w:before="53"/>
              <w:ind w:left="549"/>
              <w:rPr>
                <w:sz w:val="20"/>
              </w:rPr>
            </w:pPr>
            <w:r>
              <w:rPr>
                <w:w w:val="99"/>
                <w:sz w:val="20"/>
              </w:rPr>
              <w:t>P</w:t>
            </w:r>
          </w:p>
        </w:tc>
      </w:tr>
      <w:tr>
        <w:trPr>
          <w:trHeight w:val="350" w:hRule="atLeast"/>
        </w:trPr>
        <w:tc>
          <w:tcPr>
            <w:tcW w:w="5357" w:type="dxa"/>
            <w:gridSpan w:val="3"/>
            <w:tcBorders>
              <w:top w:val="single" w:sz="4" w:space="0" w:color="000000"/>
              <w:bottom w:val="single" w:sz="4" w:space="0" w:color="000000"/>
            </w:tcBorders>
          </w:tcPr>
          <w:p>
            <w:pPr>
              <w:pStyle w:val="TableParagraph"/>
              <w:tabs>
                <w:tab w:pos="3009" w:val="left" w:leader="none"/>
                <w:tab w:pos="4341" w:val="left" w:leader="none"/>
              </w:tabs>
              <w:spacing w:before="53"/>
              <w:ind w:left="604"/>
              <w:rPr>
                <w:sz w:val="20"/>
              </w:rPr>
            </w:pPr>
            <w:r>
              <w:rPr>
                <w:sz w:val="20"/>
              </w:rPr>
              <w:t>1 000 000</w:t>
            </w:r>
            <w:r>
              <w:rPr>
                <w:spacing w:val="-2"/>
                <w:sz w:val="20"/>
              </w:rPr>
              <w:t> </w:t>
            </w:r>
            <w:r>
              <w:rPr>
                <w:sz w:val="20"/>
              </w:rPr>
              <w:t>000 000</w:t>
              <w:tab/>
              <w:t>10</w:t>
            </w:r>
            <w:r>
              <w:rPr>
                <w:sz w:val="20"/>
                <w:vertAlign w:val="superscript"/>
              </w:rPr>
              <w:t>12</w:t>
            </w:r>
            <w:r>
              <w:rPr>
                <w:sz w:val="20"/>
                <w:vertAlign w:val="baseline"/>
              </w:rPr>
              <w:tab/>
              <w:t>tera</w:t>
            </w:r>
          </w:p>
        </w:tc>
        <w:tc>
          <w:tcPr>
            <w:tcW w:w="2246" w:type="dxa"/>
            <w:tcBorders>
              <w:top w:val="single" w:sz="4" w:space="0" w:color="000000"/>
              <w:bottom w:val="single" w:sz="4" w:space="0" w:color="000000"/>
            </w:tcBorders>
          </w:tcPr>
          <w:p>
            <w:pPr>
              <w:pStyle w:val="TableParagraph"/>
              <w:spacing w:before="53"/>
              <w:ind w:left="550"/>
              <w:rPr>
                <w:sz w:val="20"/>
              </w:rPr>
            </w:pPr>
            <w:r>
              <w:rPr>
                <w:w w:val="99"/>
                <w:sz w:val="20"/>
              </w:rPr>
              <w:t>T</w:t>
            </w:r>
          </w:p>
        </w:tc>
      </w:tr>
      <w:tr>
        <w:trPr>
          <w:trHeight w:val="350" w:hRule="atLeast"/>
        </w:trPr>
        <w:tc>
          <w:tcPr>
            <w:tcW w:w="2574" w:type="dxa"/>
            <w:tcBorders>
              <w:bottom w:val="single" w:sz="4" w:space="0" w:color="000000"/>
            </w:tcBorders>
          </w:tcPr>
          <w:p>
            <w:pPr>
              <w:pStyle w:val="TableParagraph"/>
              <w:spacing w:before="48"/>
              <w:ind w:right="466"/>
              <w:jc w:val="right"/>
              <w:rPr>
                <w:sz w:val="20"/>
              </w:rPr>
            </w:pPr>
            <w:r>
              <w:rPr>
                <w:sz w:val="20"/>
              </w:rPr>
              <w:t>1 000 000 000</w:t>
            </w:r>
          </w:p>
        </w:tc>
        <w:tc>
          <w:tcPr>
            <w:tcW w:w="1251" w:type="dxa"/>
            <w:tcBorders>
              <w:bottom w:val="single" w:sz="4" w:space="0" w:color="000000"/>
            </w:tcBorders>
          </w:tcPr>
          <w:p>
            <w:pPr>
              <w:pStyle w:val="TableParagraph"/>
              <w:spacing w:before="48"/>
              <w:ind w:left="466"/>
              <w:rPr>
                <w:sz w:val="20"/>
              </w:rPr>
            </w:pPr>
            <w:r>
              <w:rPr>
                <w:sz w:val="20"/>
              </w:rPr>
              <w:t>10</w:t>
            </w:r>
            <w:r>
              <w:rPr>
                <w:sz w:val="20"/>
                <w:vertAlign w:val="superscript"/>
              </w:rPr>
              <w:t>9</w:t>
            </w:r>
          </w:p>
        </w:tc>
        <w:tc>
          <w:tcPr>
            <w:tcW w:w="1532" w:type="dxa"/>
            <w:tcBorders>
              <w:bottom w:val="single" w:sz="4" w:space="0" w:color="000000"/>
            </w:tcBorders>
          </w:tcPr>
          <w:p>
            <w:pPr>
              <w:pStyle w:val="TableParagraph"/>
              <w:spacing w:before="48"/>
              <w:ind w:left="346" w:right="503"/>
              <w:jc w:val="center"/>
              <w:rPr>
                <w:sz w:val="20"/>
              </w:rPr>
            </w:pPr>
            <w:r>
              <w:rPr>
                <w:sz w:val="20"/>
              </w:rPr>
              <w:t>giga</w:t>
            </w:r>
          </w:p>
        </w:tc>
        <w:tc>
          <w:tcPr>
            <w:tcW w:w="2246" w:type="dxa"/>
            <w:tcBorders>
              <w:bottom w:val="single" w:sz="4" w:space="0" w:color="000000"/>
            </w:tcBorders>
          </w:tcPr>
          <w:p>
            <w:pPr>
              <w:pStyle w:val="TableParagraph"/>
              <w:spacing w:before="48"/>
              <w:ind w:left="549"/>
              <w:rPr>
                <w:sz w:val="20"/>
              </w:rPr>
            </w:pPr>
            <w:r>
              <w:rPr>
                <w:w w:val="99"/>
                <w:sz w:val="20"/>
              </w:rPr>
              <w:t>G</w:t>
            </w:r>
          </w:p>
        </w:tc>
      </w:tr>
      <w:tr>
        <w:trPr>
          <w:trHeight w:val="350" w:hRule="atLeast"/>
        </w:trPr>
        <w:tc>
          <w:tcPr>
            <w:tcW w:w="2574" w:type="dxa"/>
            <w:tcBorders>
              <w:top w:val="single" w:sz="4" w:space="0" w:color="000000"/>
              <w:bottom w:val="single" w:sz="4" w:space="0" w:color="000000"/>
            </w:tcBorders>
          </w:tcPr>
          <w:p>
            <w:pPr>
              <w:pStyle w:val="TableParagraph"/>
              <w:spacing w:before="53"/>
              <w:ind w:right="466"/>
              <w:jc w:val="right"/>
              <w:rPr>
                <w:sz w:val="20"/>
              </w:rPr>
            </w:pPr>
            <w:r>
              <w:rPr>
                <w:sz w:val="20"/>
              </w:rPr>
              <w:t>1 000 000</w:t>
            </w:r>
          </w:p>
        </w:tc>
        <w:tc>
          <w:tcPr>
            <w:tcW w:w="1251" w:type="dxa"/>
            <w:tcBorders>
              <w:top w:val="single" w:sz="4" w:space="0" w:color="000000"/>
              <w:bottom w:val="single" w:sz="4" w:space="0" w:color="000000"/>
            </w:tcBorders>
          </w:tcPr>
          <w:p>
            <w:pPr>
              <w:pStyle w:val="TableParagraph"/>
              <w:spacing w:before="53"/>
              <w:ind w:left="466"/>
              <w:rPr>
                <w:sz w:val="20"/>
              </w:rPr>
            </w:pPr>
            <w:r>
              <w:rPr>
                <w:sz w:val="20"/>
              </w:rPr>
              <w:t>10</w:t>
            </w:r>
            <w:r>
              <w:rPr>
                <w:sz w:val="20"/>
                <w:vertAlign w:val="superscript"/>
              </w:rPr>
              <w:t>6</w:t>
            </w:r>
          </w:p>
        </w:tc>
        <w:tc>
          <w:tcPr>
            <w:tcW w:w="1532" w:type="dxa"/>
            <w:tcBorders>
              <w:top w:val="single" w:sz="4" w:space="0" w:color="000000"/>
              <w:bottom w:val="single" w:sz="4" w:space="0" w:color="000000"/>
            </w:tcBorders>
          </w:tcPr>
          <w:p>
            <w:pPr>
              <w:pStyle w:val="TableParagraph"/>
              <w:spacing w:before="53"/>
              <w:ind w:left="438" w:right="503"/>
              <w:jc w:val="center"/>
              <w:rPr>
                <w:sz w:val="20"/>
              </w:rPr>
            </w:pPr>
            <w:r>
              <w:rPr>
                <w:sz w:val="20"/>
              </w:rPr>
              <w:t>mega</w:t>
            </w:r>
          </w:p>
        </w:tc>
        <w:tc>
          <w:tcPr>
            <w:tcW w:w="2246" w:type="dxa"/>
            <w:tcBorders>
              <w:top w:val="single" w:sz="4" w:space="0" w:color="000000"/>
              <w:bottom w:val="single" w:sz="4" w:space="0" w:color="000000"/>
            </w:tcBorders>
          </w:tcPr>
          <w:p>
            <w:pPr>
              <w:pStyle w:val="TableParagraph"/>
              <w:spacing w:before="53"/>
              <w:ind w:left="549"/>
              <w:rPr>
                <w:sz w:val="20"/>
              </w:rPr>
            </w:pPr>
            <w:r>
              <w:rPr>
                <w:w w:val="99"/>
                <w:sz w:val="20"/>
              </w:rPr>
              <w:t>M</w:t>
            </w:r>
          </w:p>
        </w:tc>
      </w:tr>
      <w:tr>
        <w:trPr>
          <w:trHeight w:val="347" w:hRule="atLeast"/>
        </w:trPr>
        <w:tc>
          <w:tcPr>
            <w:tcW w:w="2574" w:type="dxa"/>
            <w:tcBorders>
              <w:top w:val="single" w:sz="4" w:space="0" w:color="000000"/>
              <w:bottom w:val="single" w:sz="4" w:space="0" w:color="000000"/>
            </w:tcBorders>
          </w:tcPr>
          <w:p>
            <w:pPr>
              <w:pStyle w:val="TableParagraph"/>
              <w:spacing w:before="53"/>
              <w:ind w:right="464"/>
              <w:jc w:val="right"/>
              <w:rPr>
                <w:sz w:val="20"/>
              </w:rPr>
            </w:pPr>
            <w:r>
              <w:rPr>
                <w:sz w:val="20"/>
              </w:rPr>
              <w:t>1 000</w:t>
            </w:r>
          </w:p>
        </w:tc>
        <w:tc>
          <w:tcPr>
            <w:tcW w:w="1251" w:type="dxa"/>
            <w:tcBorders>
              <w:top w:val="single" w:sz="4" w:space="0" w:color="000000"/>
              <w:bottom w:val="single" w:sz="4" w:space="0" w:color="000000"/>
            </w:tcBorders>
          </w:tcPr>
          <w:p>
            <w:pPr>
              <w:pStyle w:val="TableParagraph"/>
              <w:spacing w:before="53"/>
              <w:ind w:left="466"/>
              <w:rPr>
                <w:sz w:val="20"/>
              </w:rPr>
            </w:pPr>
            <w:r>
              <w:rPr>
                <w:sz w:val="20"/>
              </w:rPr>
              <w:t>10</w:t>
            </w:r>
            <w:r>
              <w:rPr>
                <w:sz w:val="20"/>
                <w:vertAlign w:val="superscript"/>
              </w:rPr>
              <w:t>3</w:t>
            </w:r>
          </w:p>
        </w:tc>
        <w:tc>
          <w:tcPr>
            <w:tcW w:w="1532" w:type="dxa"/>
            <w:tcBorders>
              <w:top w:val="single" w:sz="4" w:space="0" w:color="000000"/>
              <w:bottom w:val="single" w:sz="4" w:space="0" w:color="000000"/>
            </w:tcBorders>
          </w:tcPr>
          <w:p>
            <w:pPr>
              <w:pStyle w:val="TableParagraph"/>
              <w:spacing w:before="53"/>
              <w:ind w:left="317" w:right="503"/>
              <w:jc w:val="center"/>
              <w:rPr>
                <w:sz w:val="20"/>
              </w:rPr>
            </w:pPr>
            <w:r>
              <w:rPr>
                <w:sz w:val="20"/>
              </w:rPr>
              <w:t>kilo</w:t>
            </w:r>
          </w:p>
        </w:tc>
        <w:tc>
          <w:tcPr>
            <w:tcW w:w="2246" w:type="dxa"/>
            <w:tcBorders>
              <w:top w:val="single" w:sz="4" w:space="0" w:color="000000"/>
              <w:bottom w:val="single" w:sz="4" w:space="0" w:color="000000"/>
            </w:tcBorders>
          </w:tcPr>
          <w:p>
            <w:pPr>
              <w:pStyle w:val="TableParagraph"/>
              <w:spacing w:before="53"/>
              <w:ind w:left="550"/>
              <w:rPr>
                <w:sz w:val="20"/>
              </w:rPr>
            </w:pPr>
            <w:r>
              <w:rPr>
                <w:w w:val="99"/>
                <w:sz w:val="20"/>
              </w:rPr>
              <w:t>k</w:t>
            </w:r>
          </w:p>
        </w:tc>
      </w:tr>
      <w:tr>
        <w:trPr>
          <w:trHeight w:val="350" w:hRule="atLeast"/>
        </w:trPr>
        <w:tc>
          <w:tcPr>
            <w:tcW w:w="2574" w:type="dxa"/>
            <w:tcBorders>
              <w:top w:val="single" w:sz="4" w:space="0" w:color="000000"/>
              <w:bottom w:val="single" w:sz="4" w:space="0" w:color="000000"/>
            </w:tcBorders>
          </w:tcPr>
          <w:p>
            <w:pPr>
              <w:pStyle w:val="TableParagraph"/>
              <w:spacing w:before="53"/>
              <w:ind w:right="464"/>
              <w:jc w:val="right"/>
              <w:rPr>
                <w:sz w:val="20"/>
              </w:rPr>
            </w:pPr>
            <w:r>
              <w:rPr>
                <w:sz w:val="20"/>
              </w:rPr>
              <w:t>100</w:t>
            </w:r>
          </w:p>
        </w:tc>
        <w:tc>
          <w:tcPr>
            <w:tcW w:w="1251" w:type="dxa"/>
            <w:tcBorders>
              <w:top w:val="single" w:sz="4" w:space="0" w:color="000000"/>
              <w:bottom w:val="single" w:sz="4" w:space="0" w:color="000000"/>
            </w:tcBorders>
          </w:tcPr>
          <w:p>
            <w:pPr>
              <w:pStyle w:val="TableParagraph"/>
              <w:spacing w:before="53"/>
              <w:ind w:left="466"/>
              <w:rPr>
                <w:sz w:val="20"/>
              </w:rPr>
            </w:pPr>
            <w:r>
              <w:rPr>
                <w:sz w:val="20"/>
              </w:rPr>
              <w:t>10</w:t>
            </w:r>
            <w:r>
              <w:rPr>
                <w:sz w:val="20"/>
                <w:vertAlign w:val="superscript"/>
              </w:rPr>
              <w:t>2</w:t>
            </w:r>
          </w:p>
        </w:tc>
        <w:tc>
          <w:tcPr>
            <w:tcW w:w="1532" w:type="dxa"/>
            <w:tcBorders>
              <w:top w:val="single" w:sz="4" w:space="0" w:color="000000"/>
              <w:bottom w:val="single" w:sz="4" w:space="0" w:color="000000"/>
            </w:tcBorders>
          </w:tcPr>
          <w:p>
            <w:pPr>
              <w:pStyle w:val="TableParagraph"/>
              <w:spacing w:before="53"/>
              <w:ind w:left="438" w:right="503"/>
              <w:jc w:val="center"/>
              <w:rPr>
                <w:sz w:val="20"/>
              </w:rPr>
            </w:pPr>
            <w:r>
              <w:rPr>
                <w:sz w:val="20"/>
              </w:rPr>
              <w:t>hecto</w:t>
            </w:r>
          </w:p>
        </w:tc>
        <w:tc>
          <w:tcPr>
            <w:tcW w:w="2246" w:type="dxa"/>
            <w:tcBorders>
              <w:top w:val="single" w:sz="4" w:space="0" w:color="000000"/>
              <w:bottom w:val="single" w:sz="4" w:space="0" w:color="000000"/>
            </w:tcBorders>
          </w:tcPr>
          <w:p>
            <w:pPr>
              <w:pStyle w:val="TableParagraph"/>
              <w:spacing w:before="53"/>
              <w:ind w:left="550"/>
              <w:rPr>
                <w:sz w:val="20"/>
              </w:rPr>
            </w:pPr>
            <w:r>
              <w:rPr>
                <w:w w:val="99"/>
                <w:sz w:val="20"/>
              </w:rPr>
              <w:t>h</w:t>
            </w:r>
          </w:p>
        </w:tc>
      </w:tr>
      <w:tr>
        <w:trPr>
          <w:trHeight w:val="350" w:hRule="atLeast"/>
        </w:trPr>
        <w:tc>
          <w:tcPr>
            <w:tcW w:w="2574" w:type="dxa"/>
            <w:tcBorders>
              <w:top w:val="single" w:sz="4" w:space="0" w:color="000000"/>
              <w:bottom w:val="single" w:sz="4" w:space="0" w:color="000000"/>
            </w:tcBorders>
          </w:tcPr>
          <w:p>
            <w:pPr>
              <w:pStyle w:val="TableParagraph"/>
              <w:spacing w:before="53"/>
              <w:ind w:right="464"/>
              <w:jc w:val="right"/>
              <w:rPr>
                <w:sz w:val="20"/>
              </w:rPr>
            </w:pPr>
            <w:r>
              <w:rPr>
                <w:sz w:val="20"/>
              </w:rPr>
              <w:t>10</w:t>
            </w:r>
          </w:p>
        </w:tc>
        <w:tc>
          <w:tcPr>
            <w:tcW w:w="1251" w:type="dxa"/>
            <w:tcBorders>
              <w:top w:val="single" w:sz="4" w:space="0" w:color="000000"/>
              <w:bottom w:val="single" w:sz="4" w:space="0" w:color="000000"/>
            </w:tcBorders>
          </w:tcPr>
          <w:p>
            <w:pPr>
              <w:pStyle w:val="TableParagraph"/>
              <w:spacing w:before="53"/>
              <w:ind w:left="466"/>
              <w:rPr>
                <w:sz w:val="20"/>
              </w:rPr>
            </w:pPr>
            <w:r>
              <w:rPr>
                <w:sz w:val="20"/>
              </w:rPr>
              <w:t>10</w:t>
            </w:r>
            <w:r>
              <w:rPr>
                <w:sz w:val="20"/>
                <w:vertAlign w:val="superscript"/>
              </w:rPr>
              <w:t>1</w:t>
            </w:r>
          </w:p>
        </w:tc>
        <w:tc>
          <w:tcPr>
            <w:tcW w:w="1532" w:type="dxa"/>
            <w:tcBorders>
              <w:top w:val="single" w:sz="4" w:space="0" w:color="000000"/>
              <w:bottom w:val="single" w:sz="4" w:space="0" w:color="000000"/>
            </w:tcBorders>
          </w:tcPr>
          <w:p>
            <w:pPr>
              <w:pStyle w:val="TableParagraph"/>
              <w:spacing w:before="53"/>
              <w:ind w:left="374" w:right="503"/>
              <w:jc w:val="center"/>
              <w:rPr>
                <w:sz w:val="20"/>
              </w:rPr>
            </w:pPr>
            <w:r>
              <w:rPr>
                <w:sz w:val="20"/>
              </w:rPr>
              <w:t>deca</w:t>
            </w:r>
          </w:p>
        </w:tc>
        <w:tc>
          <w:tcPr>
            <w:tcW w:w="2246" w:type="dxa"/>
            <w:tcBorders>
              <w:top w:val="single" w:sz="4" w:space="0" w:color="000000"/>
              <w:bottom w:val="single" w:sz="4" w:space="0" w:color="000000"/>
            </w:tcBorders>
          </w:tcPr>
          <w:p>
            <w:pPr>
              <w:pStyle w:val="TableParagraph"/>
              <w:spacing w:before="53"/>
              <w:ind w:left="549"/>
              <w:rPr>
                <w:sz w:val="20"/>
              </w:rPr>
            </w:pPr>
            <w:r>
              <w:rPr>
                <w:sz w:val="20"/>
              </w:rPr>
              <w:t>da</w:t>
            </w:r>
          </w:p>
        </w:tc>
      </w:tr>
      <w:tr>
        <w:trPr>
          <w:trHeight w:val="350" w:hRule="atLeast"/>
        </w:trPr>
        <w:tc>
          <w:tcPr>
            <w:tcW w:w="5357" w:type="dxa"/>
            <w:gridSpan w:val="3"/>
            <w:tcBorders>
              <w:bottom w:val="single" w:sz="4" w:space="0" w:color="000000"/>
            </w:tcBorders>
          </w:tcPr>
          <w:p>
            <w:pPr>
              <w:pStyle w:val="TableParagraph"/>
              <w:tabs>
                <w:tab w:pos="3019" w:val="left" w:leader="none"/>
                <w:tab w:pos="4341" w:val="left" w:leader="none"/>
              </w:tabs>
              <w:spacing w:before="48"/>
              <w:ind w:left="1855"/>
              <w:rPr>
                <w:sz w:val="20"/>
              </w:rPr>
            </w:pPr>
            <w:r>
              <w:rPr>
                <w:sz w:val="20"/>
              </w:rPr>
              <w:t>0.1</w:t>
              <w:tab/>
              <w:t>10</w:t>
            </w:r>
            <w:r>
              <w:rPr>
                <w:sz w:val="20"/>
                <w:vertAlign w:val="superscript"/>
              </w:rPr>
              <w:t>-1</w:t>
            </w:r>
            <w:r>
              <w:rPr>
                <w:sz w:val="20"/>
                <w:vertAlign w:val="baseline"/>
              </w:rPr>
              <w:tab/>
              <w:t>deci</w:t>
            </w:r>
          </w:p>
        </w:tc>
        <w:tc>
          <w:tcPr>
            <w:tcW w:w="2246" w:type="dxa"/>
            <w:tcBorders>
              <w:bottom w:val="single" w:sz="4" w:space="0" w:color="000000"/>
            </w:tcBorders>
          </w:tcPr>
          <w:p>
            <w:pPr>
              <w:pStyle w:val="TableParagraph"/>
              <w:spacing w:before="48"/>
              <w:ind w:left="550"/>
              <w:rPr>
                <w:sz w:val="20"/>
              </w:rPr>
            </w:pPr>
            <w:r>
              <w:rPr>
                <w:w w:val="99"/>
                <w:sz w:val="20"/>
              </w:rPr>
              <w:t>d</w:t>
            </w:r>
          </w:p>
        </w:tc>
      </w:tr>
      <w:tr>
        <w:trPr>
          <w:trHeight w:val="350" w:hRule="atLeast"/>
        </w:trPr>
        <w:tc>
          <w:tcPr>
            <w:tcW w:w="5357" w:type="dxa"/>
            <w:gridSpan w:val="3"/>
            <w:tcBorders>
              <w:top w:val="single" w:sz="4" w:space="0" w:color="000000"/>
              <w:bottom w:val="single" w:sz="4" w:space="0" w:color="000000"/>
            </w:tcBorders>
          </w:tcPr>
          <w:p>
            <w:pPr>
              <w:pStyle w:val="TableParagraph"/>
              <w:tabs>
                <w:tab w:pos="3019" w:val="left" w:leader="none"/>
                <w:tab w:pos="4341" w:val="left" w:leader="none"/>
              </w:tabs>
              <w:spacing w:before="53"/>
              <w:ind w:left="1754"/>
              <w:rPr>
                <w:sz w:val="20"/>
              </w:rPr>
            </w:pPr>
            <w:r>
              <w:rPr>
                <w:sz w:val="20"/>
              </w:rPr>
              <w:t>0.01</w:t>
              <w:tab/>
              <w:t>10</w:t>
            </w:r>
            <w:r>
              <w:rPr>
                <w:sz w:val="20"/>
                <w:vertAlign w:val="superscript"/>
              </w:rPr>
              <w:t>-2</w:t>
            </w:r>
            <w:r>
              <w:rPr>
                <w:sz w:val="20"/>
                <w:vertAlign w:val="baseline"/>
              </w:rPr>
              <w:tab/>
              <w:t>centi</w:t>
            </w:r>
          </w:p>
        </w:tc>
        <w:tc>
          <w:tcPr>
            <w:tcW w:w="2246" w:type="dxa"/>
            <w:tcBorders>
              <w:top w:val="single" w:sz="4" w:space="0" w:color="000000"/>
              <w:bottom w:val="single" w:sz="4" w:space="0" w:color="000000"/>
            </w:tcBorders>
          </w:tcPr>
          <w:p>
            <w:pPr>
              <w:pStyle w:val="TableParagraph"/>
              <w:spacing w:before="53"/>
              <w:ind w:left="550"/>
              <w:rPr>
                <w:sz w:val="20"/>
              </w:rPr>
            </w:pPr>
            <w:r>
              <w:rPr>
                <w:w w:val="99"/>
                <w:sz w:val="20"/>
              </w:rPr>
              <w:t>c</w:t>
            </w:r>
          </w:p>
        </w:tc>
      </w:tr>
      <w:tr>
        <w:trPr>
          <w:trHeight w:val="350" w:hRule="atLeast"/>
        </w:trPr>
        <w:tc>
          <w:tcPr>
            <w:tcW w:w="5357" w:type="dxa"/>
            <w:gridSpan w:val="3"/>
            <w:tcBorders>
              <w:top w:val="single" w:sz="4" w:space="0" w:color="000000"/>
              <w:bottom w:val="single" w:sz="4" w:space="0" w:color="000000"/>
            </w:tcBorders>
          </w:tcPr>
          <w:p>
            <w:pPr>
              <w:pStyle w:val="TableParagraph"/>
              <w:tabs>
                <w:tab w:pos="3019" w:val="left" w:leader="none"/>
                <w:tab w:pos="4343" w:val="left" w:leader="none"/>
              </w:tabs>
              <w:spacing w:before="53"/>
              <w:ind w:left="1653"/>
              <w:rPr>
                <w:sz w:val="20"/>
              </w:rPr>
            </w:pPr>
            <w:r>
              <w:rPr>
                <w:sz w:val="20"/>
              </w:rPr>
              <w:t>0.001</w:t>
              <w:tab/>
              <w:t>10</w:t>
            </w:r>
            <w:r>
              <w:rPr>
                <w:sz w:val="20"/>
                <w:vertAlign w:val="superscript"/>
              </w:rPr>
              <w:t>-3</w:t>
            </w:r>
            <w:r>
              <w:rPr>
                <w:sz w:val="20"/>
                <w:vertAlign w:val="baseline"/>
              </w:rPr>
              <w:tab/>
              <w:t>milli</w:t>
            </w:r>
          </w:p>
        </w:tc>
        <w:tc>
          <w:tcPr>
            <w:tcW w:w="2246" w:type="dxa"/>
            <w:tcBorders>
              <w:top w:val="single" w:sz="4" w:space="0" w:color="000000"/>
              <w:bottom w:val="single" w:sz="4" w:space="0" w:color="000000"/>
            </w:tcBorders>
          </w:tcPr>
          <w:p>
            <w:pPr>
              <w:pStyle w:val="TableParagraph"/>
              <w:spacing w:before="53"/>
              <w:ind w:left="552"/>
              <w:rPr>
                <w:sz w:val="20"/>
              </w:rPr>
            </w:pPr>
            <w:r>
              <w:rPr>
                <w:w w:val="99"/>
                <w:sz w:val="20"/>
              </w:rPr>
              <w:t>m</w:t>
            </w:r>
          </w:p>
        </w:tc>
      </w:tr>
      <w:tr>
        <w:trPr>
          <w:trHeight w:val="364" w:hRule="atLeast"/>
        </w:trPr>
        <w:tc>
          <w:tcPr>
            <w:tcW w:w="5357" w:type="dxa"/>
            <w:gridSpan w:val="3"/>
            <w:tcBorders>
              <w:top w:val="single" w:sz="4" w:space="0" w:color="000000"/>
              <w:bottom w:val="single" w:sz="4" w:space="0" w:color="000000"/>
            </w:tcBorders>
          </w:tcPr>
          <w:p>
            <w:pPr>
              <w:pStyle w:val="TableParagraph"/>
              <w:tabs>
                <w:tab w:pos="3019" w:val="left" w:leader="none"/>
                <w:tab w:pos="4343" w:val="left" w:leader="none"/>
              </w:tabs>
              <w:spacing w:before="53"/>
              <w:ind w:left="1305"/>
              <w:rPr>
                <w:sz w:val="20"/>
              </w:rPr>
            </w:pPr>
            <w:r>
              <w:rPr>
                <w:sz w:val="20"/>
              </w:rPr>
              <w:t>0.000</w:t>
            </w:r>
            <w:r>
              <w:rPr>
                <w:spacing w:val="-1"/>
                <w:sz w:val="20"/>
              </w:rPr>
              <w:t> </w:t>
            </w:r>
            <w:r>
              <w:rPr>
                <w:sz w:val="20"/>
              </w:rPr>
              <w:t>001</w:t>
              <w:tab/>
              <w:t>10</w:t>
            </w:r>
            <w:r>
              <w:rPr>
                <w:sz w:val="20"/>
                <w:vertAlign w:val="superscript"/>
              </w:rPr>
              <w:t>-6</w:t>
            </w:r>
            <w:r>
              <w:rPr>
                <w:sz w:val="20"/>
                <w:vertAlign w:val="baseline"/>
              </w:rPr>
              <w:tab/>
              <w:t>micro</w:t>
            </w:r>
          </w:p>
        </w:tc>
        <w:tc>
          <w:tcPr>
            <w:tcW w:w="2246" w:type="dxa"/>
            <w:tcBorders>
              <w:top w:val="single" w:sz="4" w:space="0" w:color="000000"/>
              <w:bottom w:val="single" w:sz="4" w:space="0" w:color="000000"/>
            </w:tcBorders>
          </w:tcPr>
          <w:p>
            <w:pPr>
              <w:pStyle w:val="TableParagraph"/>
              <w:spacing w:before="96"/>
              <w:ind w:left="551"/>
              <w:rPr>
                <w:rFonts w:ascii="Symbol" w:hAnsi="Symbol"/>
                <w:sz w:val="20"/>
              </w:rPr>
            </w:pPr>
            <w:r>
              <w:rPr>
                <w:rFonts w:ascii="Symbol" w:hAnsi="Symbol"/>
                <w:w w:val="95"/>
                <w:sz w:val="20"/>
              </w:rPr>
              <w:t>µ</w:t>
            </w:r>
          </w:p>
        </w:tc>
      </w:tr>
    </w:tbl>
    <w:p>
      <w:pPr>
        <w:pStyle w:val="BodyText"/>
        <w:rPr>
          <w:b/>
          <w:sz w:val="22"/>
        </w:rPr>
      </w:pPr>
    </w:p>
    <w:p>
      <w:pPr>
        <w:pStyle w:val="BodyText"/>
        <w:spacing w:before="10"/>
        <w:rPr>
          <w:b/>
          <w:sz w:val="21"/>
        </w:rPr>
      </w:pPr>
    </w:p>
    <w:p>
      <w:pPr>
        <w:spacing w:before="0"/>
        <w:ind w:left="860" w:right="0" w:firstLine="0"/>
        <w:jc w:val="left"/>
        <w:rPr>
          <w:b/>
          <w:sz w:val="30"/>
        </w:rPr>
      </w:pPr>
      <w:r>
        <w:rPr/>
        <w:pict>
          <v:group style="position:absolute;margin-left:106.000999pt;margin-top:23.244209pt;width:359.65pt;height:.5pt;mso-position-horizontal-relative:page;mso-position-vertical-relative:paragraph;z-index:15824;mso-wrap-distance-left:0;mso-wrap-distance-right:0" coordorigin="2120,465" coordsize="7193,10">
            <v:line style="position:absolute" from="2120,470" to="4311,470" stroked="true" strokeweight=".48pt" strokecolor="#000000">
              <v:stroke dashstyle="solid"/>
            </v:line>
            <v:rect style="position:absolute;left:4311;top:464;width:10;height:10" filled="true" fillcolor="#000000" stroked="false">
              <v:fill type="solid"/>
            </v:rect>
            <v:line style="position:absolute" from="4321,470" to="5012,470" stroked="true" strokeweight=".48pt" strokecolor="#000000">
              <v:stroke dashstyle="solid"/>
            </v:line>
            <v:rect style="position:absolute;left:5012;top:464;width:10;height:10" filled="true" fillcolor="#000000" stroked="false">
              <v:fill type="solid"/>
            </v:rect>
            <v:line style="position:absolute" from="5022,470" to="9313,470" stroked="true" strokeweight=".48pt" strokecolor="#000000">
              <v:stroke dashstyle="solid"/>
            </v:line>
            <w10:wrap type="topAndBottom"/>
          </v:group>
        </w:pict>
      </w:r>
      <w:r>
        <w:rPr>
          <w:b/>
          <w:spacing w:val="18"/>
          <w:sz w:val="30"/>
        </w:rPr>
        <w:t>Abbreviations </w:t>
      </w:r>
      <w:r>
        <w:rPr>
          <w:b/>
          <w:spacing w:val="14"/>
          <w:sz w:val="30"/>
        </w:rPr>
        <w:t>for </w:t>
      </w:r>
      <w:r>
        <w:rPr>
          <w:b/>
          <w:spacing w:val="17"/>
          <w:sz w:val="30"/>
        </w:rPr>
        <w:t>chemical</w:t>
      </w:r>
      <w:r>
        <w:rPr>
          <w:b/>
          <w:spacing w:val="88"/>
          <w:sz w:val="30"/>
        </w:rPr>
        <w:t> </w:t>
      </w:r>
      <w:r>
        <w:rPr>
          <w:b/>
          <w:spacing w:val="20"/>
          <w:sz w:val="30"/>
        </w:rPr>
        <w:t>compounds</w:t>
      </w:r>
    </w:p>
    <w:p>
      <w:pPr>
        <w:pStyle w:val="BodyText"/>
        <w:tabs>
          <w:tab w:pos="3857" w:val="left" w:leader="none"/>
        </w:tabs>
        <w:spacing w:before="24" w:after="67"/>
        <w:ind w:left="2619"/>
      </w:pPr>
      <w:r>
        <w:rPr/>
        <w:t>CH</w:t>
      </w:r>
      <w:r>
        <w:rPr>
          <w:vertAlign w:val="subscript"/>
        </w:rPr>
        <w:t>4</w:t>
      </w:r>
      <w:r>
        <w:rPr>
          <w:vertAlign w:val="baseline"/>
        </w:rPr>
        <w:tab/>
        <w:t>Methane</w:t>
      </w:r>
    </w:p>
    <w:p>
      <w:pPr>
        <w:pStyle w:val="BodyText"/>
        <w:spacing w:line="20" w:lineRule="exact"/>
        <w:ind w:left="855"/>
        <w:rPr>
          <w:sz w:val="2"/>
        </w:rPr>
      </w:pPr>
      <w:r>
        <w:rPr>
          <w:sz w:val="2"/>
        </w:rPr>
        <w:pict>
          <v:group style="width:359.65pt;height:.5pt;mso-position-horizontal-relative:char;mso-position-vertical-relative:line" coordorigin="0,0" coordsize="7193,10">
            <v:line style="position:absolute" from="0,5" to="2191,5" stroked="true" strokeweight=".48pt" strokecolor="#000000">
              <v:stroke dashstyle="solid"/>
            </v:line>
            <v:rect style="position:absolute;left:2191;top:0;width:10;height:10" filled="true" fillcolor="#000000" stroked="false">
              <v:fill type="solid"/>
            </v:rect>
            <v:line style="position:absolute" from="2201,5" to="2892,5" stroked="true" strokeweight=".48pt" strokecolor="#000000">
              <v:stroke dashstyle="solid"/>
            </v:line>
            <v:rect style="position:absolute;left:2892;top:0;width:10;height:10" filled="true" fillcolor="#000000" stroked="false">
              <v:fill type="solid"/>
            </v:rect>
            <v:line style="position:absolute" from="2902,5" to="7193,5" stroked="true" strokeweight=".48pt" strokecolor="#000000">
              <v:stroke dashstyle="solid"/>
            </v:line>
          </v:group>
        </w:pict>
      </w:r>
      <w:r>
        <w:rPr>
          <w:sz w:val="2"/>
        </w:rPr>
      </w:r>
    </w:p>
    <w:p>
      <w:pPr>
        <w:pStyle w:val="BodyText"/>
        <w:tabs>
          <w:tab w:pos="3857" w:val="left" w:leader="none"/>
        </w:tabs>
        <w:spacing w:before="43"/>
        <w:ind w:left="2607"/>
      </w:pPr>
      <w:r>
        <w:rPr/>
        <w:pict>
          <v:group style="position:absolute;margin-left:106.000999pt;margin-top:17.006239pt;width:359.65pt;height:.5pt;mso-position-horizontal-relative:page;mso-position-vertical-relative:paragraph;z-index:15872;mso-wrap-distance-left:0;mso-wrap-distance-right:0" coordorigin="2120,340" coordsize="7193,10">
            <v:line style="position:absolute" from="2120,345" to="4311,345" stroked="true" strokeweight=".48pt" strokecolor="#000000">
              <v:stroke dashstyle="solid"/>
            </v:line>
            <v:rect style="position:absolute;left:4311;top:340;width:10;height:10" filled="true" fillcolor="#000000" stroked="false">
              <v:fill type="solid"/>
            </v:rect>
            <v:line style="position:absolute" from="4321,345" to="5012,345" stroked="true" strokeweight=".48pt" strokecolor="#000000">
              <v:stroke dashstyle="solid"/>
            </v:line>
            <v:rect style="position:absolute;left:5012;top:340;width:10;height:10" filled="true" fillcolor="#000000" stroked="false">
              <v:fill type="solid"/>
            </v:rect>
            <v:line style="position:absolute" from="5022,345" to="9313,345" stroked="true" strokeweight=".48pt" strokecolor="#000000">
              <v:stroke dashstyle="solid"/>
            </v:line>
            <w10:wrap type="topAndBottom"/>
          </v:group>
        </w:pict>
      </w:r>
      <w:r>
        <w:rPr/>
        <w:t>N</w:t>
      </w:r>
      <w:r>
        <w:rPr>
          <w:vertAlign w:val="subscript"/>
        </w:rPr>
        <w:t>2</w:t>
      </w:r>
      <w:r>
        <w:rPr>
          <w:vertAlign w:val="baseline"/>
        </w:rPr>
        <w:t>O</w:t>
        <w:tab/>
        <w:t>Nitrous</w:t>
      </w:r>
      <w:r>
        <w:rPr>
          <w:spacing w:val="-1"/>
          <w:vertAlign w:val="baseline"/>
        </w:rPr>
        <w:t> </w:t>
      </w:r>
      <w:r>
        <w:rPr>
          <w:vertAlign w:val="baseline"/>
        </w:rPr>
        <w:t>oxide</w:t>
      </w:r>
    </w:p>
    <w:p>
      <w:pPr>
        <w:pStyle w:val="BodyText"/>
        <w:tabs>
          <w:tab w:pos="3857" w:val="left" w:leader="none"/>
        </w:tabs>
        <w:spacing w:before="24" w:after="67"/>
        <w:ind w:left="2619"/>
      </w:pPr>
      <w:r>
        <w:rPr/>
        <w:t>CO</w:t>
      </w:r>
      <w:r>
        <w:rPr>
          <w:vertAlign w:val="subscript"/>
        </w:rPr>
        <w:t>2</w:t>
      </w:r>
      <w:r>
        <w:rPr>
          <w:vertAlign w:val="baseline"/>
        </w:rPr>
        <w:tab/>
        <w:t>Carbon</w:t>
      </w:r>
      <w:r>
        <w:rPr>
          <w:spacing w:val="-2"/>
          <w:vertAlign w:val="baseline"/>
        </w:rPr>
        <w:t> </w:t>
      </w:r>
      <w:r>
        <w:rPr>
          <w:vertAlign w:val="baseline"/>
        </w:rPr>
        <w:t>dioxide</w:t>
      </w:r>
    </w:p>
    <w:p>
      <w:pPr>
        <w:pStyle w:val="BodyText"/>
        <w:spacing w:line="20" w:lineRule="exact"/>
        <w:ind w:left="855"/>
        <w:rPr>
          <w:sz w:val="2"/>
        </w:rPr>
      </w:pPr>
      <w:r>
        <w:rPr>
          <w:sz w:val="2"/>
        </w:rPr>
        <w:pict>
          <v:group style="width:359.65pt;height:.5pt;mso-position-horizontal-relative:char;mso-position-vertical-relative:line" coordorigin="0,0" coordsize="7193,10">
            <v:line style="position:absolute" from="0,5" to="2191,5" stroked="true" strokeweight=".48pt" strokecolor="#000000">
              <v:stroke dashstyle="solid"/>
            </v:line>
            <v:rect style="position:absolute;left:2191;top:0;width:10;height:10" filled="true" fillcolor="#000000" stroked="false">
              <v:fill type="solid"/>
            </v:rect>
            <v:line style="position:absolute" from="2201,5" to="2892,5" stroked="true" strokeweight=".48pt" strokecolor="#000000">
              <v:stroke dashstyle="solid"/>
            </v:line>
            <v:rect style="position:absolute;left:2892;top:0;width:10;height:10" filled="true" fillcolor="#000000" stroked="false">
              <v:fill type="solid"/>
            </v:rect>
            <v:line style="position:absolute" from="2902,5" to="7193,5" stroked="true" strokeweight=".48pt" strokecolor="#000000">
              <v:stroke dashstyle="solid"/>
            </v:line>
          </v:group>
        </w:pict>
      </w:r>
      <w:r>
        <w:rPr>
          <w:sz w:val="2"/>
        </w:rPr>
      </w:r>
    </w:p>
    <w:p>
      <w:pPr>
        <w:pStyle w:val="BodyText"/>
        <w:tabs>
          <w:tab w:pos="3857" w:val="left" w:leader="none"/>
        </w:tabs>
        <w:spacing w:before="43"/>
        <w:ind w:left="2684"/>
      </w:pPr>
      <w:r>
        <w:rPr/>
        <w:pict>
          <v:group style="position:absolute;margin-left:106.000999pt;margin-top:17.006239pt;width:359.65pt;height:.5pt;mso-position-horizontal-relative:page;mso-position-vertical-relative:paragraph;z-index:15920;mso-wrap-distance-left:0;mso-wrap-distance-right:0" coordorigin="2120,340" coordsize="7193,10">
            <v:line style="position:absolute" from="2120,345" to="4311,345" stroked="true" strokeweight=".48pt" strokecolor="#000000">
              <v:stroke dashstyle="solid"/>
            </v:line>
            <v:rect style="position:absolute;left:4311;top:340;width:10;height:10" filled="true" fillcolor="#000000" stroked="false">
              <v:fill type="solid"/>
            </v:rect>
            <v:line style="position:absolute" from="4321,345" to="5012,345" stroked="true" strokeweight=".48pt" strokecolor="#000000">
              <v:stroke dashstyle="solid"/>
            </v:line>
            <v:rect style="position:absolute;left:5012;top:340;width:10;height:10" filled="true" fillcolor="#000000" stroked="false">
              <v:fill type="solid"/>
            </v:rect>
            <v:line style="position:absolute" from="5022,345" to="9313,345" stroked="true" strokeweight=".48pt" strokecolor="#000000">
              <v:stroke dashstyle="solid"/>
            </v:line>
            <w10:wrap type="topAndBottom"/>
          </v:group>
        </w:pict>
      </w:r>
      <w:r>
        <w:rPr/>
        <w:t>CO</w:t>
        <w:tab/>
        <w:t>Carbon monoxide</w:t>
      </w:r>
    </w:p>
    <w:p>
      <w:pPr>
        <w:pStyle w:val="BodyText"/>
        <w:tabs>
          <w:tab w:pos="3857" w:val="left" w:leader="none"/>
        </w:tabs>
        <w:spacing w:before="24" w:after="67"/>
        <w:ind w:left="2578"/>
      </w:pPr>
      <w:r>
        <w:rPr/>
        <w:t>NO</w:t>
      </w:r>
      <w:r>
        <w:rPr>
          <w:vertAlign w:val="subscript"/>
        </w:rPr>
        <w:t>X</w:t>
      </w:r>
      <w:r>
        <w:rPr>
          <w:vertAlign w:val="baseline"/>
        </w:rPr>
        <w:tab/>
        <w:t>Nitrogen</w:t>
      </w:r>
      <w:r>
        <w:rPr>
          <w:spacing w:val="-2"/>
          <w:vertAlign w:val="baseline"/>
        </w:rPr>
        <w:t> </w:t>
      </w:r>
      <w:r>
        <w:rPr>
          <w:vertAlign w:val="baseline"/>
        </w:rPr>
        <w:t>oxides</w:t>
      </w:r>
    </w:p>
    <w:p>
      <w:pPr>
        <w:pStyle w:val="BodyText"/>
        <w:spacing w:line="20" w:lineRule="exact"/>
        <w:ind w:left="855"/>
        <w:rPr>
          <w:sz w:val="2"/>
        </w:rPr>
      </w:pPr>
      <w:r>
        <w:rPr>
          <w:sz w:val="2"/>
        </w:rPr>
        <w:pict>
          <v:group style="width:359.65pt;height:.5pt;mso-position-horizontal-relative:char;mso-position-vertical-relative:line" coordorigin="0,0" coordsize="7193,10">
            <v:line style="position:absolute" from="0,5" to="2191,5" stroked="true" strokeweight=".48pt" strokecolor="#000000">
              <v:stroke dashstyle="solid"/>
            </v:line>
            <v:rect style="position:absolute;left:2191;top:0;width:10;height:10" filled="true" fillcolor="#000000" stroked="false">
              <v:fill type="solid"/>
            </v:rect>
            <v:line style="position:absolute" from="2201,5" to="2892,5" stroked="true" strokeweight=".48pt" strokecolor="#000000">
              <v:stroke dashstyle="solid"/>
            </v:line>
            <v:rect style="position:absolute;left:2892;top:0;width:10;height:10" filled="true" fillcolor="#000000" stroked="false">
              <v:fill type="solid"/>
            </v:rect>
            <v:line style="position:absolute" from="2902,5" to="7193,5" stroked="true" strokeweight=".48pt" strokecolor="#000000">
              <v:stroke dashstyle="solid"/>
            </v:line>
          </v:group>
        </w:pict>
      </w:r>
      <w:r>
        <w:rPr>
          <w:sz w:val="2"/>
        </w:rPr>
      </w:r>
    </w:p>
    <w:p>
      <w:pPr>
        <w:pStyle w:val="BodyText"/>
        <w:tabs>
          <w:tab w:pos="3857" w:val="left" w:leader="none"/>
        </w:tabs>
        <w:spacing w:line="376" w:lineRule="auto" w:before="43"/>
        <w:ind w:left="2607" w:right="2259" w:hanging="389"/>
      </w:pPr>
      <w:r>
        <w:rPr/>
        <w:pict>
          <v:group style="position:absolute;margin-left:106.000999pt;margin-top:17.006239pt;width:359.65pt;height:.5pt;mso-position-horizontal-relative:page;mso-position-vertical-relative:paragraph;z-index:-2437960" coordorigin="2120,340" coordsize="7193,10">
            <v:line style="position:absolute" from="2120,345" to="4311,345" stroked="true" strokeweight=".48pt" strokecolor="#000000">
              <v:stroke dashstyle="solid"/>
            </v:line>
            <v:rect style="position:absolute;left:4311;top:340;width:10;height:10" filled="true" fillcolor="#000000" stroked="false">
              <v:fill type="solid"/>
            </v:rect>
            <v:line style="position:absolute" from="4321,345" to="5012,345" stroked="true" strokeweight=".48pt" strokecolor="#000000">
              <v:stroke dashstyle="solid"/>
            </v:line>
            <v:rect style="position:absolute;left:5012;top:340;width:10;height:10" filled="true" fillcolor="#000000" stroked="false">
              <v:fill type="solid"/>
            </v:rect>
            <v:line style="position:absolute" from="5022,345" to="9313,345" stroked="true" strokeweight=".48pt" strokecolor="#000000">
              <v:stroke dashstyle="solid"/>
            </v:line>
            <w10:wrap type="none"/>
          </v:group>
        </w:pict>
      </w:r>
      <w:r>
        <w:rPr/>
        <w:pict>
          <v:group style="position:absolute;margin-left:106.000999pt;margin-top:35.006241pt;width:359.65pt;height:.5pt;mso-position-horizontal-relative:page;mso-position-vertical-relative:paragraph;z-index:-2437936" coordorigin="2120,700" coordsize="7193,10">
            <v:line style="position:absolute" from="2120,705" to="4311,705" stroked="true" strokeweight=".48pt" strokecolor="#000000">
              <v:stroke dashstyle="solid"/>
            </v:line>
            <v:rect style="position:absolute;left:4311;top:700;width:10;height:10" filled="true" fillcolor="#000000" stroked="false">
              <v:fill type="solid"/>
            </v:rect>
            <v:line style="position:absolute" from="4321,705" to="5012,705" stroked="true" strokeweight=".48pt" strokecolor="#000000">
              <v:stroke dashstyle="solid"/>
            </v:line>
            <v:rect style="position:absolute;left:5012;top:700;width:10;height:10" filled="true" fillcolor="#000000" stroked="false">
              <v:fill type="solid"/>
            </v:rect>
            <v:line style="position:absolute" from="5022,705" to="9313,705" stroked="true" strokeweight=".48pt" strokecolor="#000000">
              <v:stroke dashstyle="solid"/>
            </v:line>
            <w10:wrap type="none"/>
          </v:group>
        </w:pict>
      </w:r>
      <w:r>
        <w:rPr/>
        <w:t>NMVOC</w:t>
        <w:tab/>
        <w:t>Non-methane volatile organic</w:t>
      </w:r>
      <w:r>
        <w:rPr>
          <w:spacing w:val="-17"/>
        </w:rPr>
        <w:t> </w:t>
      </w:r>
      <w:r>
        <w:rPr/>
        <w:t>compound NH</w:t>
      </w:r>
      <w:r>
        <w:rPr>
          <w:vertAlign w:val="subscript"/>
        </w:rPr>
        <w:t>3</w:t>
      </w:r>
      <w:r>
        <w:rPr>
          <w:vertAlign w:val="baseline"/>
        </w:rPr>
        <w:tab/>
        <w:t>Ammonia</w:t>
      </w:r>
    </w:p>
    <w:p>
      <w:pPr>
        <w:pStyle w:val="BodyText"/>
        <w:tabs>
          <w:tab w:pos="1351" w:val="left" w:leader="none"/>
        </w:tabs>
        <w:spacing w:line="228" w:lineRule="exact"/>
        <w:ind w:right="1367"/>
        <w:jc w:val="center"/>
      </w:pPr>
      <w:r>
        <w:rPr/>
        <w:pict>
          <v:group style="position:absolute;margin-left:106.000999pt;margin-top:14.749306pt;width:359.65pt;height:.5pt;mso-position-horizontal-relative:page;mso-position-vertical-relative:paragraph;z-index:15968;mso-wrap-distance-left:0;mso-wrap-distance-right:0" coordorigin="2120,295" coordsize="7193,10">
            <v:line style="position:absolute" from="2120,300" to="4311,300" stroked="true" strokeweight=".48pt" strokecolor="#000000">
              <v:stroke dashstyle="solid"/>
            </v:line>
            <v:rect style="position:absolute;left:4311;top:294;width:10;height:10" filled="true" fillcolor="#000000" stroked="false">
              <v:fill type="solid"/>
            </v:rect>
            <v:line style="position:absolute" from="4321,300" to="5012,300" stroked="true" strokeweight=".48pt" strokecolor="#000000">
              <v:stroke dashstyle="solid"/>
            </v:line>
            <v:rect style="position:absolute;left:5012;top:294;width:10;height:10" filled="true" fillcolor="#000000" stroked="false">
              <v:fill type="solid"/>
            </v:rect>
            <v:line style="position:absolute" from="5022,300" to="9313,300" stroked="true" strokeweight=".48pt" strokecolor="#000000">
              <v:stroke dashstyle="solid"/>
            </v:line>
            <w10:wrap type="topAndBottom"/>
          </v:group>
        </w:pict>
      </w:r>
      <w:r>
        <w:rPr/>
        <w:t>CFCs</w:t>
        <w:tab/>
        <w:t>Chlorofluorocarbons</w:t>
      </w:r>
    </w:p>
    <w:p>
      <w:pPr>
        <w:pStyle w:val="BodyText"/>
        <w:tabs>
          <w:tab w:pos="3857" w:val="left" w:leader="none"/>
        </w:tabs>
        <w:spacing w:before="24" w:after="67"/>
        <w:ind w:left="2494"/>
      </w:pPr>
      <w:r>
        <w:rPr/>
        <w:t>HFCs</w:t>
        <w:tab/>
        <w:t>Hydrofluorocarbons</w:t>
      </w:r>
    </w:p>
    <w:p>
      <w:pPr>
        <w:pStyle w:val="BodyText"/>
        <w:spacing w:line="20" w:lineRule="exact"/>
        <w:ind w:left="855"/>
        <w:rPr>
          <w:sz w:val="2"/>
        </w:rPr>
      </w:pPr>
      <w:r>
        <w:rPr>
          <w:sz w:val="2"/>
        </w:rPr>
        <w:pict>
          <v:group style="width:359.65pt;height:.5pt;mso-position-horizontal-relative:char;mso-position-vertical-relative:line" coordorigin="0,0" coordsize="7193,10">
            <v:line style="position:absolute" from="0,5" to="2191,5" stroked="true" strokeweight=".48pt" strokecolor="#000000">
              <v:stroke dashstyle="solid"/>
            </v:line>
            <v:rect style="position:absolute;left:2191;top:0;width:10;height:10" filled="true" fillcolor="#000000" stroked="false">
              <v:fill type="solid"/>
            </v:rect>
            <v:line style="position:absolute" from="2201,5" to="2892,5" stroked="true" strokeweight=".48pt" strokecolor="#000000">
              <v:stroke dashstyle="solid"/>
            </v:line>
            <v:rect style="position:absolute;left:2892;top:0;width:10;height:10" filled="true" fillcolor="#000000" stroked="false">
              <v:fill type="solid"/>
            </v:rect>
            <v:line style="position:absolute" from="2902,5" to="7193,5" stroked="true" strokeweight=".48pt" strokecolor="#000000">
              <v:stroke dashstyle="solid"/>
            </v:line>
          </v:group>
        </w:pict>
      </w:r>
      <w:r>
        <w:rPr>
          <w:sz w:val="2"/>
        </w:rPr>
      </w:r>
    </w:p>
    <w:p>
      <w:pPr>
        <w:pStyle w:val="BodyText"/>
        <w:tabs>
          <w:tab w:pos="3857" w:val="left" w:leader="none"/>
        </w:tabs>
        <w:spacing w:before="43"/>
        <w:ind w:left="2528"/>
      </w:pPr>
      <w:r>
        <w:rPr/>
        <w:pict>
          <v:group style="position:absolute;margin-left:106.000999pt;margin-top:17.006239pt;width:359.65pt;height:.5pt;mso-position-horizontal-relative:page;mso-position-vertical-relative:paragraph;z-index:16016;mso-wrap-distance-left:0;mso-wrap-distance-right:0" coordorigin="2120,340" coordsize="7193,10">
            <v:line style="position:absolute" from="2120,345" to="4311,345" stroked="true" strokeweight=".48pt" strokecolor="#000000">
              <v:stroke dashstyle="solid"/>
            </v:line>
            <v:rect style="position:absolute;left:4311;top:340;width:10;height:10" filled="true" fillcolor="#000000" stroked="false">
              <v:fill type="solid"/>
            </v:rect>
            <v:line style="position:absolute" from="4321,345" to="5012,345" stroked="true" strokeweight=".48pt" strokecolor="#000000">
              <v:stroke dashstyle="solid"/>
            </v:line>
            <v:rect style="position:absolute;left:5012;top:340;width:10;height:10" filled="true" fillcolor="#000000" stroked="false">
              <v:fill type="solid"/>
            </v:rect>
            <v:line style="position:absolute" from="5022,345" to="9313,345" stroked="true" strokeweight=".48pt" strokecolor="#000000">
              <v:stroke dashstyle="solid"/>
            </v:line>
            <w10:wrap type="topAndBottom"/>
          </v:group>
        </w:pict>
      </w:r>
      <w:r>
        <w:rPr/>
        <w:t>PFCs</w:t>
        <w:tab/>
        <w:t>Perfluorocarbons</w:t>
      </w:r>
    </w:p>
    <w:p>
      <w:pPr>
        <w:pStyle w:val="BodyText"/>
        <w:tabs>
          <w:tab w:pos="3857" w:val="left" w:leader="none"/>
        </w:tabs>
        <w:spacing w:before="24" w:after="67"/>
        <w:ind w:left="2674"/>
      </w:pPr>
      <w:r>
        <w:rPr/>
        <w:t>SF</w:t>
      </w:r>
      <w:r>
        <w:rPr>
          <w:vertAlign w:val="subscript"/>
        </w:rPr>
        <w:t>6</w:t>
      </w:r>
      <w:r>
        <w:rPr>
          <w:vertAlign w:val="baseline"/>
        </w:rPr>
        <w:tab/>
        <w:t>Sulphur</w:t>
      </w:r>
      <w:r>
        <w:rPr>
          <w:spacing w:val="-13"/>
          <w:vertAlign w:val="baseline"/>
        </w:rPr>
        <w:t> </w:t>
      </w:r>
      <w:r>
        <w:rPr>
          <w:vertAlign w:val="baseline"/>
        </w:rPr>
        <w:t>hexafluoride</w:t>
      </w:r>
    </w:p>
    <w:p>
      <w:pPr>
        <w:pStyle w:val="BodyText"/>
        <w:spacing w:line="20" w:lineRule="exact"/>
        <w:ind w:left="855"/>
        <w:rPr>
          <w:sz w:val="2"/>
        </w:rPr>
      </w:pPr>
      <w:r>
        <w:rPr>
          <w:sz w:val="2"/>
        </w:rPr>
        <w:pict>
          <v:group style="width:359.65pt;height:.5pt;mso-position-horizontal-relative:char;mso-position-vertical-relative:line" coordorigin="0,0" coordsize="7193,10">
            <v:line style="position:absolute" from="0,5" to="2191,5" stroked="true" strokeweight=".48pt" strokecolor="#000000">
              <v:stroke dashstyle="solid"/>
            </v:line>
            <v:rect style="position:absolute;left:2191;top:0;width:10;height:10" filled="true" fillcolor="#000000" stroked="false">
              <v:fill type="solid"/>
            </v:rect>
            <v:line style="position:absolute" from="2201,5" to="2892,5" stroked="true" strokeweight=".48pt" strokecolor="#000000">
              <v:stroke dashstyle="solid"/>
            </v:line>
            <v:rect style="position:absolute;left:2892;top:0;width:10;height:10" filled="true" fillcolor="#000000" stroked="false">
              <v:fill type="solid"/>
            </v:rect>
            <v:line style="position:absolute" from="2902,5" to="7193,5" stroked="true" strokeweight=".48pt" strokecolor="#000000">
              <v:stroke dashstyle="solid"/>
            </v:line>
          </v:group>
        </w:pict>
      </w:r>
      <w:r>
        <w:rPr>
          <w:sz w:val="2"/>
        </w:rPr>
      </w:r>
    </w:p>
    <w:p>
      <w:pPr>
        <w:pStyle w:val="BodyText"/>
        <w:tabs>
          <w:tab w:pos="3857" w:val="left" w:leader="none"/>
        </w:tabs>
        <w:spacing w:before="43"/>
        <w:ind w:left="2576"/>
      </w:pPr>
      <w:r>
        <w:rPr/>
        <w:pict>
          <v:group style="position:absolute;margin-left:106.000999pt;margin-top:16.886238pt;width:359.65pt;height:.5pt;mso-position-horizontal-relative:page;mso-position-vertical-relative:paragraph;z-index:16064;mso-wrap-distance-left:0;mso-wrap-distance-right:0" coordorigin="2120,338" coordsize="7193,10">
            <v:line style="position:absolute" from="2120,343" to="4311,343" stroked="true" strokeweight=".48pt" strokecolor="#000000">
              <v:stroke dashstyle="solid"/>
            </v:line>
            <v:rect style="position:absolute;left:4311;top:337;width:10;height:10" filled="true" fillcolor="#000000" stroked="false">
              <v:fill type="solid"/>
            </v:rect>
            <v:line style="position:absolute" from="4321,343" to="5012,343" stroked="true" strokeweight=".48pt" strokecolor="#000000">
              <v:stroke dashstyle="solid"/>
            </v:line>
            <v:rect style="position:absolute;left:5012;top:337;width:10;height:10" filled="true" fillcolor="#000000" stroked="false">
              <v:fill type="solid"/>
            </v:rect>
            <v:line style="position:absolute" from="5022,343" to="9313,343" stroked="true" strokeweight=".48pt" strokecolor="#000000">
              <v:stroke dashstyle="solid"/>
            </v:line>
            <w10:wrap type="topAndBottom"/>
          </v:group>
        </w:pict>
      </w:r>
      <w:r>
        <w:rPr/>
        <w:t>CCl</w:t>
      </w:r>
      <w:r>
        <w:rPr>
          <w:vertAlign w:val="subscript"/>
        </w:rPr>
        <w:t>4</w:t>
      </w:r>
      <w:r>
        <w:rPr>
          <w:vertAlign w:val="baseline"/>
        </w:rPr>
        <w:tab/>
        <w:t>Carbon</w:t>
      </w:r>
      <w:r>
        <w:rPr>
          <w:spacing w:val="-6"/>
          <w:vertAlign w:val="baseline"/>
        </w:rPr>
        <w:t> </w:t>
      </w:r>
      <w:r>
        <w:rPr>
          <w:vertAlign w:val="baseline"/>
        </w:rPr>
        <w:t>tetrachloride</w:t>
      </w:r>
    </w:p>
    <w:p>
      <w:pPr>
        <w:pStyle w:val="BodyText"/>
        <w:tabs>
          <w:tab w:pos="3857" w:val="left" w:leader="none"/>
        </w:tabs>
        <w:spacing w:before="24" w:after="67"/>
        <w:ind w:left="2588"/>
      </w:pPr>
      <w:r>
        <w:rPr/>
        <w:t>C</w:t>
      </w:r>
      <w:r>
        <w:rPr>
          <w:vertAlign w:val="subscript"/>
        </w:rPr>
        <w:t>2</w:t>
      </w:r>
      <w:r>
        <w:rPr>
          <w:vertAlign w:val="baseline"/>
        </w:rPr>
        <w:t>F</w:t>
      </w:r>
      <w:r>
        <w:rPr>
          <w:vertAlign w:val="subscript"/>
        </w:rPr>
        <w:t>6</w:t>
      </w:r>
      <w:r>
        <w:rPr>
          <w:vertAlign w:val="baseline"/>
        </w:rPr>
        <w:tab/>
        <w:t>Hexafluoroethane</w:t>
      </w:r>
    </w:p>
    <w:p>
      <w:pPr>
        <w:pStyle w:val="BodyText"/>
        <w:spacing w:line="20" w:lineRule="exact"/>
        <w:ind w:left="855"/>
        <w:rPr>
          <w:sz w:val="2"/>
        </w:rPr>
      </w:pPr>
      <w:r>
        <w:rPr>
          <w:sz w:val="2"/>
        </w:rPr>
        <w:pict>
          <v:group style="width:359.65pt;height:.5pt;mso-position-horizontal-relative:char;mso-position-vertical-relative:line" coordorigin="0,0" coordsize="7193,10">
            <v:line style="position:absolute" from="0,5" to="2191,5" stroked="true" strokeweight=".48pt" strokecolor="#000000">
              <v:stroke dashstyle="solid"/>
            </v:line>
            <v:rect style="position:absolute;left:2191;top:0;width:10;height:10" filled="true" fillcolor="#000000" stroked="false">
              <v:fill type="solid"/>
            </v:rect>
            <v:line style="position:absolute" from="2201,5" to="2892,5" stroked="true" strokeweight=".48pt" strokecolor="#000000">
              <v:stroke dashstyle="solid"/>
            </v:line>
            <v:rect style="position:absolute;left:2892;top:0;width:10;height:10" filled="true" fillcolor="#000000" stroked="false">
              <v:fill type="solid"/>
            </v:rect>
            <v:line style="position:absolute" from="2902,5" to="7193,5" stroked="true" strokeweight=".48pt" strokecolor="#000000">
              <v:stroke dashstyle="solid"/>
            </v:line>
          </v:group>
        </w:pict>
      </w:r>
      <w:r>
        <w:rPr>
          <w:sz w:val="2"/>
        </w:rPr>
      </w:r>
    </w:p>
    <w:p>
      <w:pPr>
        <w:pStyle w:val="BodyText"/>
        <w:tabs>
          <w:tab w:pos="3857" w:val="left" w:leader="none"/>
        </w:tabs>
        <w:spacing w:before="43"/>
        <w:ind w:left="2652"/>
      </w:pPr>
      <w:r>
        <w:rPr/>
        <w:pict>
          <v:group style="position:absolute;margin-left:105.280998pt;margin-top:17.006233pt;width:360.75pt;height:.5pt;mso-position-horizontal-relative:page;mso-position-vertical-relative:paragraph;z-index:16112;mso-wrap-distance-left:0;mso-wrap-distance-right:0" coordorigin="2106,340" coordsize="7215,10">
            <v:line style="position:absolute" from="2106,345" to="4318,345" stroked="true" strokeweight=".48pt" strokecolor="#000000">
              <v:stroke dashstyle="solid"/>
            </v:line>
            <v:rect style="position:absolute;left:4304;top:340;width:10;height:10" filled="true" fillcolor="#000000" stroked="false">
              <v:fill type="solid"/>
            </v:rect>
            <v:line style="position:absolute" from="4314,345" to="5019,345" stroked="true" strokeweight=".48pt" strokecolor="#000000">
              <v:stroke dashstyle="solid"/>
            </v:line>
            <v:rect style="position:absolute;left:5004;top:340;width:10;height:10" filled="true" fillcolor="#000000" stroked="false">
              <v:fill type="solid"/>
            </v:rect>
            <v:line style="position:absolute" from="5014,345" to="9320,345" stroked="true" strokeweight=".48pt" strokecolor="#000000">
              <v:stroke dashstyle="solid"/>
            </v:line>
            <w10:wrap type="topAndBottom"/>
          </v:group>
        </w:pict>
      </w:r>
      <w:r>
        <w:rPr/>
        <w:t>CF</w:t>
      </w:r>
      <w:r>
        <w:rPr>
          <w:vertAlign w:val="subscript"/>
        </w:rPr>
        <w:t>4</w:t>
      </w:r>
      <w:r>
        <w:rPr>
          <w:vertAlign w:val="baseline"/>
        </w:rPr>
        <w:tab/>
        <w:t>Tetrafluoromethane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1"/>
        </w:rPr>
      </w:pPr>
      <w:r>
        <w:rPr/>
        <w:pict>
          <v:line style="position:absolute;mso-position-horizontal-relative:page;mso-position-vertical-relative:paragraph;z-index:16136;mso-wrap-distance-left:0;mso-wrap-distance-right:0" from="70.960999pt,14.970742pt" to="524.440999pt,14.970742pt" stroked="true" strokeweight=".75pt" strokecolor="#010101">
            <v:stroke dashstyle="solid"/>
            <w10:wrap type="topAndBottom"/>
          </v:line>
        </w:pict>
      </w:r>
    </w:p>
    <w:p>
      <w:pPr>
        <w:pStyle w:val="BodyText"/>
        <w:tabs>
          <w:tab w:pos="5649" w:val="left" w:leader="none"/>
        </w:tabs>
        <w:spacing w:before="9"/>
        <w:ind w:left="159"/>
      </w:pPr>
      <w:r>
        <w:rPr/>
        <w:t>B.2</w:t>
        <w:tab/>
        <w:t>IPCC Good Practice Guidance for</w:t>
      </w:r>
      <w:r>
        <w:rPr>
          <w:spacing w:val="-11"/>
        </w:rPr>
        <w:t> </w:t>
      </w:r>
      <w:r>
        <w:rPr/>
        <w:t>LULUCF</w:t>
      </w:r>
    </w:p>
    <w:p>
      <w:pPr>
        <w:spacing w:after="0"/>
        <w:sectPr>
          <w:headerReference w:type="even" r:id="rId283"/>
          <w:footerReference w:type="even" r:id="rId284"/>
          <w:pgSz w:w="11900" w:h="16840"/>
          <w:pgMar w:header="0" w:footer="0" w:top="160" w:bottom="280" w:left="1260" w:right="1240"/>
        </w:sectPr>
      </w:pPr>
    </w:p>
    <w:p>
      <w:pPr>
        <w:pStyle w:val="BodyText"/>
        <w:spacing w:before="61"/>
        <w:ind w:right="167"/>
        <w:jc w:val="right"/>
      </w:pPr>
      <w:r>
        <w:rPr/>
        <w:pict>
          <v:line style="position:absolute;mso-position-horizontal-relative:page;mso-position-vertical-relative:paragraph;z-index:16208;mso-wrap-distance-left:0;mso-wrap-distance-right:0" from="70.960999pt,20.306219pt" to="524.440999pt,20.306219pt" stroked="true" strokeweight=".75pt" strokecolor="#010101">
            <v:stroke dashstyle="solid"/>
            <w10:wrap type="topAndBottom"/>
          </v:line>
        </w:pict>
      </w:r>
      <w:r>
        <w:rPr/>
        <w:t>Annex B: Basic Information</w:t>
      </w:r>
    </w:p>
    <w:p>
      <w:pPr>
        <w:pStyle w:val="BodyText"/>
      </w:pPr>
    </w:p>
    <w:p>
      <w:pPr>
        <w:pStyle w:val="BodyText"/>
      </w:pPr>
    </w:p>
    <w:p>
      <w:pPr>
        <w:pStyle w:val="BodyText"/>
      </w:pPr>
    </w:p>
    <w:p>
      <w:pPr>
        <w:pStyle w:val="BodyText"/>
      </w:pPr>
    </w:p>
    <w:p>
      <w:pPr>
        <w:pStyle w:val="BodyText"/>
      </w:pPr>
    </w:p>
    <w:p>
      <w:pPr>
        <w:pStyle w:val="BodyText"/>
      </w:pPr>
    </w:p>
    <w:p>
      <w:pPr>
        <w:pStyle w:val="BodyText"/>
        <w:spacing w:before="9"/>
      </w:pPr>
    </w:p>
    <w:p>
      <w:pPr>
        <w:spacing w:before="87"/>
        <w:ind w:left="860" w:right="0" w:firstLine="0"/>
        <w:jc w:val="left"/>
        <w:rPr>
          <w:b/>
          <w:sz w:val="30"/>
        </w:rPr>
      </w:pPr>
      <w:r>
        <w:rPr/>
        <w:pict>
          <v:group style="position:absolute;margin-left:106.000999pt;margin-top:27.594231pt;width:314.650pt;height:.5pt;mso-position-horizontal-relative:page;mso-position-vertical-relative:paragraph;z-index:16232;mso-wrap-distance-left:0;mso-wrap-distance-right:0" coordorigin="2120,552" coordsize="6293,10">
            <v:line style="position:absolute" from="2120,557" to="4695,557" stroked="true" strokeweight=".48pt" strokecolor="#000000">
              <v:stroke dashstyle="solid"/>
            </v:line>
            <v:rect style="position:absolute;left:4695;top:551;width:10;height:10" filled="true" fillcolor="#000000" stroked="false">
              <v:fill type="solid"/>
            </v:rect>
            <v:line style="position:absolute" from="4705,557" to="5012,557" stroked="true" strokeweight=".48pt" strokecolor="#000000">
              <v:stroke dashstyle="solid"/>
            </v:line>
            <v:rect style="position:absolute;left:5012;top:551;width:10;height:10" filled="true" fillcolor="#000000" stroked="false">
              <v:fill type="solid"/>
            </v:rect>
            <v:line style="position:absolute" from="5022,557" to="8413,557" stroked="true" strokeweight=".48pt" strokecolor="#000000">
              <v:stroke dashstyle="solid"/>
            </v:line>
            <w10:wrap type="topAndBottom"/>
          </v:group>
        </w:pict>
      </w:r>
      <w:r>
        <w:rPr>
          <w:b/>
          <w:sz w:val="30"/>
        </w:rPr>
        <w:t>Standard equivalents</w:t>
      </w:r>
    </w:p>
    <w:p>
      <w:pPr>
        <w:pStyle w:val="BodyText"/>
        <w:tabs>
          <w:tab w:pos="3857" w:val="left" w:leader="none"/>
        </w:tabs>
        <w:spacing w:line="376" w:lineRule="auto" w:before="24"/>
        <w:ind w:left="958" w:right="4235"/>
      </w:pPr>
      <w:r>
        <w:rPr/>
        <w:t>1 tonne of oil</w:t>
      </w:r>
      <w:r>
        <w:rPr>
          <w:spacing w:val="-9"/>
        </w:rPr>
        <w:t> </w:t>
      </w:r>
      <w:r>
        <w:rPr/>
        <w:t>equivalent</w:t>
      </w:r>
      <w:r>
        <w:rPr>
          <w:spacing w:val="-2"/>
        </w:rPr>
        <w:t> </w:t>
      </w:r>
      <w:r>
        <w:rPr/>
        <w:t>(toe)</w:t>
        <w:tab/>
        <w:t>1 x 10</w:t>
      </w:r>
      <w:r>
        <w:rPr>
          <w:vertAlign w:val="superscript"/>
        </w:rPr>
        <w:t>10</w:t>
      </w:r>
      <w:r>
        <w:rPr>
          <w:vertAlign w:val="baseline"/>
        </w:rPr>
        <w:t> calories 10</w:t>
      </w:r>
      <w:r>
        <w:rPr>
          <w:vertAlign w:val="superscript"/>
        </w:rPr>
        <w:t>3</w:t>
      </w:r>
      <w:r>
        <w:rPr>
          <w:vertAlign w:val="baseline"/>
        </w:rPr>
        <w:t> toe</w:t>
        <w:tab/>
        <w:t>41.868</w:t>
      </w:r>
      <w:r>
        <w:rPr>
          <w:spacing w:val="-3"/>
          <w:vertAlign w:val="baseline"/>
        </w:rPr>
        <w:t> </w:t>
      </w:r>
      <w:r>
        <w:rPr>
          <w:vertAlign w:val="baseline"/>
        </w:rPr>
        <w:t>TJ</w:t>
      </w:r>
    </w:p>
    <w:p>
      <w:pPr>
        <w:pStyle w:val="BodyText"/>
        <w:tabs>
          <w:tab w:pos="3857" w:val="left" w:leader="none"/>
        </w:tabs>
        <w:spacing w:line="228" w:lineRule="exact"/>
        <w:ind w:left="958"/>
      </w:pPr>
      <w:r>
        <w:rPr/>
        <w:pict>
          <v:group style="position:absolute;margin-left:106.000999pt;margin-top:14.749297pt;width:314.650pt;height:.5pt;mso-position-horizontal-relative:page;mso-position-vertical-relative:paragraph;z-index:16256;mso-wrap-distance-left:0;mso-wrap-distance-right:0" coordorigin="2120,295" coordsize="6293,10">
            <v:line style="position:absolute" from="2120,300" to="4695,300" stroked="true" strokeweight=".48pt" strokecolor="#000000">
              <v:stroke dashstyle="solid"/>
            </v:line>
            <v:rect style="position:absolute;left:4695;top:294;width:10;height:10" filled="true" fillcolor="#000000" stroked="false">
              <v:fill type="solid"/>
            </v:rect>
            <v:line style="position:absolute" from="4705,300" to="5012,300" stroked="true" strokeweight=".48pt" strokecolor="#000000">
              <v:stroke dashstyle="solid"/>
            </v:line>
            <v:rect style="position:absolute;left:5012;top:294;width:10;height:10" filled="true" fillcolor="#000000" stroked="false">
              <v:fill type="solid"/>
            </v:rect>
            <v:line style="position:absolute" from="5022,300" to="8413,300" stroked="true" strokeweight=".48pt" strokecolor="#000000">
              <v:stroke dashstyle="solid"/>
            </v:line>
            <w10:wrap type="topAndBottom"/>
          </v:group>
        </w:pict>
      </w:r>
      <w:r>
        <w:rPr/>
        <w:pict>
          <v:group style="position:absolute;margin-left:106.000999pt;margin-top:-21.250704pt;width:314.650pt;height:.5pt;mso-position-horizontal-relative:page;mso-position-vertical-relative:paragraph;z-index:-2437336" coordorigin="2120,-425" coordsize="6293,10">
            <v:line style="position:absolute" from="2120,-420" to="4695,-420" stroked="true" strokeweight=".48pt" strokecolor="#000000">
              <v:stroke dashstyle="solid"/>
            </v:line>
            <v:rect style="position:absolute;left:4695;top:-426;width:10;height:10" filled="true" fillcolor="#000000" stroked="false">
              <v:fill type="solid"/>
            </v:rect>
            <v:line style="position:absolute" from="4705,-420" to="5012,-420" stroked="true" strokeweight=".48pt" strokecolor="#000000">
              <v:stroke dashstyle="solid"/>
            </v:line>
            <v:rect style="position:absolute;left:5012;top:-426;width:10;height:10" filled="true" fillcolor="#000000" stroked="false">
              <v:fill type="solid"/>
            </v:rect>
            <v:line style="position:absolute" from="5022,-420" to="8413,-420" stroked="true" strokeweight=".48pt" strokecolor="#000000">
              <v:stroke dashstyle="solid"/>
            </v:line>
            <w10:wrap type="none"/>
          </v:group>
        </w:pict>
      </w:r>
      <w:r>
        <w:rPr/>
        <w:pict>
          <v:group style="position:absolute;margin-left:106.000999pt;margin-top:-3.250703pt;width:314.650pt;height:.5pt;mso-position-horizontal-relative:page;mso-position-vertical-relative:paragraph;z-index:-2437312" coordorigin="2120,-65" coordsize="6293,10">
            <v:line style="position:absolute" from="2120,-60" to="4695,-60" stroked="true" strokeweight=".48pt" strokecolor="#000000">
              <v:stroke dashstyle="solid"/>
            </v:line>
            <v:rect style="position:absolute;left:4695;top:-66;width:10;height:10" filled="true" fillcolor="#000000" stroked="false">
              <v:fill type="solid"/>
            </v:rect>
            <v:line style="position:absolute" from="4705,-60" to="5012,-60" stroked="true" strokeweight=".48pt" strokecolor="#000000">
              <v:stroke dashstyle="solid"/>
            </v:line>
            <v:rect style="position:absolute;left:5012;top:-66;width:10;height:10" filled="true" fillcolor="#000000" stroked="false">
              <v:fill type="solid"/>
            </v:rect>
            <v:line style="position:absolute" from="5022,-60" to="8413,-60" stroked="true" strokeweight=".48pt" strokecolor="#000000">
              <v:stroke dashstyle="solid"/>
            </v:line>
            <w10:wrap type="none"/>
          </v:group>
        </w:pict>
      </w:r>
      <w:r>
        <w:rPr/>
        <w:t>1 short</w:t>
      </w:r>
      <w:r>
        <w:rPr>
          <w:spacing w:val="-1"/>
        </w:rPr>
        <w:t> </w:t>
      </w:r>
      <w:r>
        <w:rPr/>
        <w:t>ton</w:t>
        <w:tab/>
        <w:t>0.9072</w:t>
      </w:r>
      <w:r>
        <w:rPr>
          <w:spacing w:val="1"/>
        </w:rPr>
        <w:t> </w:t>
      </w:r>
      <w:r>
        <w:rPr/>
        <w:t>tonne</w:t>
      </w:r>
    </w:p>
    <w:p>
      <w:pPr>
        <w:pStyle w:val="BodyText"/>
        <w:tabs>
          <w:tab w:pos="3857" w:val="left" w:leader="none"/>
        </w:tabs>
        <w:spacing w:before="24" w:after="67"/>
        <w:ind w:left="958"/>
      </w:pPr>
      <w:r>
        <w:rPr/>
        <w:t>1</w:t>
      </w:r>
      <w:r>
        <w:rPr>
          <w:spacing w:val="-1"/>
        </w:rPr>
        <w:t> </w:t>
      </w:r>
      <w:r>
        <w:rPr/>
        <w:t>tonne</w:t>
        <w:tab/>
        <w:t>1.1023 short tons</w:t>
      </w:r>
    </w:p>
    <w:p>
      <w:pPr>
        <w:pStyle w:val="BodyText"/>
        <w:spacing w:line="20" w:lineRule="exact"/>
        <w:ind w:left="855"/>
        <w:rPr>
          <w:sz w:val="2"/>
        </w:rPr>
      </w:pPr>
      <w:r>
        <w:rPr>
          <w:sz w:val="2"/>
        </w:rPr>
        <w:pict>
          <v:group style="width:314.650pt;height:.5pt;mso-position-horizontal-relative:char;mso-position-vertical-relative:line" coordorigin="0,0" coordsize="6293,10">
            <v:line style="position:absolute" from="0,5" to="2575,5" stroked="true" strokeweight=".48pt" strokecolor="#000000">
              <v:stroke dashstyle="solid"/>
            </v:line>
            <v:rect style="position:absolute;left:2575;top:0;width:10;height:10" filled="true" fillcolor="#000000" stroked="false">
              <v:fill type="solid"/>
            </v:rect>
            <v:line style="position:absolute" from="2585,5" to="2892,5" stroked="true" strokeweight=".48pt" strokecolor="#000000">
              <v:stroke dashstyle="solid"/>
            </v:line>
            <v:rect style="position:absolute;left:2892;top:0;width:10;height:10" filled="true" fillcolor="#000000" stroked="false">
              <v:fill type="solid"/>
            </v:rect>
            <v:line style="position:absolute" from="2902,5" to="6293,5" stroked="true" strokeweight=".48pt" strokecolor="#000000">
              <v:stroke dashstyle="solid"/>
            </v:line>
          </v:group>
        </w:pict>
      </w:r>
      <w:r>
        <w:rPr>
          <w:sz w:val="2"/>
        </w:rPr>
      </w:r>
    </w:p>
    <w:p>
      <w:pPr>
        <w:pStyle w:val="BodyText"/>
        <w:tabs>
          <w:tab w:pos="3857" w:val="left" w:leader="none"/>
        </w:tabs>
        <w:spacing w:before="43"/>
        <w:ind w:left="958"/>
      </w:pPr>
      <w:r>
        <w:rPr/>
        <w:pict>
          <v:group style="position:absolute;margin-left:106.000999pt;margin-top:17.006231pt;width:314.650pt;height:.5pt;mso-position-horizontal-relative:page;mso-position-vertical-relative:paragraph;z-index:16304;mso-wrap-distance-left:0;mso-wrap-distance-right:0" coordorigin="2120,340" coordsize="6293,10">
            <v:line style="position:absolute" from="2120,345" to="4695,345" stroked="true" strokeweight=".48pt" strokecolor="#000000">
              <v:stroke dashstyle="solid"/>
            </v:line>
            <v:rect style="position:absolute;left:4695;top:340;width:10;height:10" filled="true" fillcolor="#000000" stroked="false">
              <v:fill type="solid"/>
            </v:rect>
            <v:line style="position:absolute" from="4705,345" to="5012,345" stroked="true" strokeweight=".48pt" strokecolor="#000000">
              <v:stroke dashstyle="solid"/>
            </v:line>
            <v:rect style="position:absolute;left:5012;top:340;width:10;height:10" filled="true" fillcolor="#000000" stroked="false">
              <v:fill type="solid"/>
            </v:rect>
            <v:line style="position:absolute" from="5022,345" to="8413,345" stroked="true" strokeweight=".48pt" strokecolor="#000000">
              <v:stroke dashstyle="solid"/>
            </v:line>
            <w10:wrap type="topAndBottom"/>
          </v:group>
        </w:pict>
      </w:r>
      <w:r>
        <w:rPr/>
        <w:t>1</w:t>
      </w:r>
      <w:r>
        <w:rPr>
          <w:spacing w:val="-1"/>
        </w:rPr>
        <w:t> </w:t>
      </w:r>
      <w:r>
        <w:rPr/>
        <w:t>tonne</w:t>
        <w:tab/>
        <w:t>1</w:t>
      </w:r>
      <w:r>
        <w:rPr>
          <w:spacing w:val="1"/>
        </w:rPr>
        <w:t> </w:t>
      </w:r>
      <w:r>
        <w:rPr/>
        <w:t>megagram</w:t>
      </w:r>
    </w:p>
    <w:p>
      <w:pPr>
        <w:pStyle w:val="BodyText"/>
        <w:tabs>
          <w:tab w:pos="3857" w:val="left" w:leader="none"/>
        </w:tabs>
        <w:spacing w:before="24" w:after="67"/>
        <w:ind w:left="958"/>
      </w:pPr>
      <w:r>
        <w:rPr/>
        <w:t>1</w:t>
      </w:r>
      <w:r>
        <w:rPr>
          <w:spacing w:val="-3"/>
        </w:rPr>
        <w:t> </w:t>
      </w:r>
      <w:r>
        <w:rPr/>
        <w:t>kilotonne</w:t>
        <w:tab/>
        <w:t>1</w:t>
      </w:r>
      <w:r>
        <w:rPr>
          <w:spacing w:val="1"/>
        </w:rPr>
        <w:t> </w:t>
      </w:r>
      <w:r>
        <w:rPr/>
        <w:t>gigagram</w:t>
      </w:r>
    </w:p>
    <w:p>
      <w:pPr>
        <w:pStyle w:val="BodyText"/>
        <w:spacing w:line="20" w:lineRule="exact"/>
        <w:ind w:left="855"/>
        <w:rPr>
          <w:sz w:val="2"/>
        </w:rPr>
      </w:pPr>
      <w:r>
        <w:rPr>
          <w:sz w:val="2"/>
        </w:rPr>
        <w:pict>
          <v:group style="width:314.650pt;height:.5pt;mso-position-horizontal-relative:char;mso-position-vertical-relative:line" coordorigin="0,0" coordsize="6293,10">
            <v:line style="position:absolute" from="0,5" to="2575,5" stroked="true" strokeweight=".48pt" strokecolor="#000000">
              <v:stroke dashstyle="solid"/>
            </v:line>
            <v:rect style="position:absolute;left:2575;top:0;width:10;height:10" filled="true" fillcolor="#000000" stroked="false">
              <v:fill type="solid"/>
            </v:rect>
            <v:line style="position:absolute" from="2585,5" to="2892,5" stroked="true" strokeweight=".48pt" strokecolor="#000000">
              <v:stroke dashstyle="solid"/>
            </v:line>
            <v:rect style="position:absolute;left:2892;top:0;width:10;height:10" filled="true" fillcolor="#000000" stroked="false">
              <v:fill type="solid"/>
            </v:rect>
            <v:line style="position:absolute" from="2902,5" to="6293,5" stroked="true" strokeweight=".48pt" strokecolor="#000000">
              <v:stroke dashstyle="solid"/>
            </v:line>
          </v:group>
        </w:pict>
      </w:r>
      <w:r>
        <w:rPr>
          <w:sz w:val="2"/>
        </w:rPr>
      </w:r>
    </w:p>
    <w:p>
      <w:pPr>
        <w:pStyle w:val="BodyText"/>
        <w:tabs>
          <w:tab w:pos="3857" w:val="left" w:leader="none"/>
        </w:tabs>
        <w:spacing w:before="43"/>
        <w:ind w:left="958"/>
      </w:pPr>
      <w:r>
        <w:rPr/>
        <w:pict>
          <v:group style="position:absolute;margin-left:106.000999pt;margin-top:17.006231pt;width:314.650pt;height:.5pt;mso-position-horizontal-relative:page;mso-position-vertical-relative:paragraph;z-index:16352;mso-wrap-distance-left:0;mso-wrap-distance-right:0" coordorigin="2120,340" coordsize="6293,10">
            <v:line style="position:absolute" from="2120,345" to="4695,345" stroked="true" strokeweight=".48pt" strokecolor="#000000">
              <v:stroke dashstyle="solid"/>
            </v:line>
            <v:rect style="position:absolute;left:4695;top:340;width:10;height:10" filled="true" fillcolor="#000000" stroked="false">
              <v:fill type="solid"/>
            </v:rect>
            <v:line style="position:absolute" from="4705,345" to="5012,345" stroked="true" strokeweight=".48pt" strokecolor="#000000">
              <v:stroke dashstyle="solid"/>
            </v:line>
            <v:rect style="position:absolute;left:5012;top:340;width:10;height:10" filled="true" fillcolor="#000000" stroked="false">
              <v:fill type="solid"/>
            </v:rect>
            <v:line style="position:absolute" from="5022,345" to="8413,345" stroked="true" strokeweight=".48pt" strokecolor="#000000">
              <v:stroke dashstyle="solid"/>
            </v:line>
            <w10:wrap type="topAndBottom"/>
          </v:group>
        </w:pict>
      </w:r>
      <w:r>
        <w:rPr/>
        <w:t>1</w:t>
      </w:r>
      <w:r>
        <w:rPr>
          <w:spacing w:val="-3"/>
        </w:rPr>
        <w:t> </w:t>
      </w:r>
      <w:r>
        <w:rPr/>
        <w:t>megatonne</w:t>
        <w:tab/>
        <w:t>1</w:t>
      </w:r>
      <w:r>
        <w:rPr>
          <w:spacing w:val="-3"/>
        </w:rPr>
        <w:t> </w:t>
      </w:r>
      <w:r>
        <w:rPr/>
        <w:t>teragram</w:t>
      </w:r>
    </w:p>
    <w:p>
      <w:pPr>
        <w:pStyle w:val="BodyText"/>
        <w:tabs>
          <w:tab w:pos="3857" w:val="left" w:leader="none"/>
        </w:tabs>
        <w:spacing w:before="24" w:after="67"/>
        <w:ind w:left="958"/>
      </w:pPr>
      <w:r>
        <w:rPr/>
        <w:t>1</w:t>
      </w:r>
      <w:r>
        <w:rPr>
          <w:spacing w:val="-3"/>
        </w:rPr>
        <w:t> </w:t>
      </w:r>
      <w:r>
        <w:rPr/>
        <w:t>gigatonne</w:t>
        <w:tab/>
        <w:t>1</w:t>
      </w:r>
      <w:r>
        <w:rPr>
          <w:spacing w:val="-2"/>
        </w:rPr>
        <w:t> </w:t>
      </w:r>
      <w:r>
        <w:rPr/>
        <w:t>petagram</w:t>
      </w:r>
    </w:p>
    <w:p>
      <w:pPr>
        <w:pStyle w:val="BodyText"/>
        <w:spacing w:line="20" w:lineRule="exact"/>
        <w:ind w:left="855"/>
        <w:rPr>
          <w:sz w:val="2"/>
        </w:rPr>
      </w:pPr>
      <w:r>
        <w:rPr>
          <w:sz w:val="2"/>
        </w:rPr>
        <w:pict>
          <v:group style="width:314.650pt;height:.5pt;mso-position-horizontal-relative:char;mso-position-vertical-relative:line" coordorigin="0,0" coordsize="6293,10">
            <v:line style="position:absolute" from="0,5" to="2575,5" stroked="true" strokeweight=".48pt" strokecolor="#000000">
              <v:stroke dashstyle="solid"/>
            </v:line>
            <v:rect style="position:absolute;left:2575;top:0;width:10;height:10" filled="true" fillcolor="#000000" stroked="false">
              <v:fill type="solid"/>
            </v:rect>
            <v:line style="position:absolute" from="2585,5" to="2892,5" stroked="true" strokeweight=".48pt" strokecolor="#000000">
              <v:stroke dashstyle="solid"/>
            </v:line>
            <v:rect style="position:absolute;left:2892;top:0;width:10;height:10" filled="true" fillcolor="#000000" stroked="false">
              <v:fill type="solid"/>
            </v:rect>
            <v:line style="position:absolute" from="2902,5" to="6293,5" stroked="true" strokeweight=".48pt" strokecolor="#000000">
              <v:stroke dashstyle="solid"/>
            </v:line>
          </v:group>
        </w:pict>
      </w:r>
      <w:r>
        <w:rPr>
          <w:sz w:val="2"/>
        </w:rPr>
      </w:r>
    </w:p>
    <w:p>
      <w:pPr>
        <w:pStyle w:val="BodyText"/>
        <w:tabs>
          <w:tab w:pos="3857" w:val="left" w:leader="none"/>
        </w:tabs>
        <w:spacing w:before="43"/>
        <w:ind w:left="958"/>
      </w:pPr>
      <w:r>
        <w:rPr/>
        <w:pict>
          <v:group style="position:absolute;margin-left:106.000999pt;margin-top:17.006231pt;width:314.650pt;height:.5pt;mso-position-horizontal-relative:page;mso-position-vertical-relative:paragraph;z-index:16400;mso-wrap-distance-left:0;mso-wrap-distance-right:0" coordorigin="2120,340" coordsize="6293,10">
            <v:line style="position:absolute" from="2120,345" to="4695,345" stroked="true" strokeweight=".48pt" strokecolor="#000000">
              <v:stroke dashstyle="solid"/>
            </v:line>
            <v:rect style="position:absolute;left:4695;top:340;width:10;height:10" filled="true" fillcolor="#000000" stroked="false">
              <v:fill type="solid"/>
            </v:rect>
            <v:line style="position:absolute" from="4705,345" to="5012,345" stroked="true" strokeweight=".48pt" strokecolor="#000000">
              <v:stroke dashstyle="solid"/>
            </v:line>
            <v:rect style="position:absolute;left:5012;top:340;width:10;height:10" filled="true" fillcolor="#000000" stroked="false">
              <v:fill type="solid"/>
            </v:rect>
            <v:line style="position:absolute" from="5022,345" to="8413,345" stroked="true" strokeweight=".48pt" strokecolor="#000000">
              <v:stroke dashstyle="solid"/>
            </v:line>
            <w10:wrap type="topAndBottom"/>
          </v:group>
        </w:pict>
      </w:r>
      <w:r>
        <w:rPr/>
        <w:t>1</w:t>
      </w:r>
      <w:r>
        <w:rPr>
          <w:spacing w:val="-1"/>
        </w:rPr>
        <w:t> </w:t>
      </w:r>
      <w:r>
        <w:rPr/>
        <w:t>kilogram</w:t>
        <w:tab/>
        <w:t>2.2046</w:t>
      </w:r>
      <w:r>
        <w:rPr>
          <w:spacing w:val="1"/>
        </w:rPr>
        <w:t> </w:t>
      </w:r>
      <w:r>
        <w:rPr/>
        <w:t>lbs</w:t>
      </w:r>
    </w:p>
    <w:p>
      <w:pPr>
        <w:pStyle w:val="BodyText"/>
        <w:tabs>
          <w:tab w:pos="3859" w:val="left" w:leader="none"/>
        </w:tabs>
        <w:spacing w:before="24" w:after="65"/>
        <w:ind w:left="958"/>
      </w:pPr>
      <w:r>
        <w:rPr/>
        <w:t>1</w:t>
      </w:r>
      <w:r>
        <w:rPr>
          <w:spacing w:val="-1"/>
        </w:rPr>
        <w:t> </w:t>
      </w:r>
      <w:r>
        <w:rPr/>
        <w:t>hectare</w:t>
        <w:tab/>
        <w:t>10</w:t>
      </w:r>
      <w:r>
        <w:rPr>
          <w:vertAlign w:val="superscript"/>
        </w:rPr>
        <w:t>4</w:t>
      </w:r>
      <w:r>
        <w:rPr>
          <w:vertAlign w:val="baseline"/>
        </w:rPr>
        <w:t> m</w:t>
      </w:r>
      <w:r>
        <w:rPr>
          <w:vertAlign w:val="superscript"/>
        </w:rPr>
        <w:t>2</w:t>
      </w:r>
    </w:p>
    <w:p>
      <w:pPr>
        <w:pStyle w:val="BodyText"/>
        <w:spacing w:line="20" w:lineRule="exact"/>
        <w:ind w:left="855"/>
        <w:rPr>
          <w:sz w:val="2"/>
        </w:rPr>
      </w:pPr>
      <w:r>
        <w:rPr>
          <w:sz w:val="2"/>
        </w:rPr>
        <w:pict>
          <v:group style="width:314.650pt;height:.5pt;mso-position-horizontal-relative:char;mso-position-vertical-relative:line" coordorigin="0,0" coordsize="6293,10">
            <v:line style="position:absolute" from="0,5" to="2575,5" stroked="true" strokeweight=".48pt" strokecolor="#000000">
              <v:stroke dashstyle="solid"/>
            </v:line>
            <v:rect style="position:absolute;left:2575;top:0;width:10;height:10" filled="true" fillcolor="#000000" stroked="false">
              <v:fill type="solid"/>
            </v:rect>
            <v:line style="position:absolute" from="2585,5" to="2892,5" stroked="true" strokeweight=".48pt" strokecolor="#000000">
              <v:stroke dashstyle="solid"/>
            </v:line>
            <v:rect style="position:absolute;left:2892;top:0;width:10;height:10" filled="true" fillcolor="#000000" stroked="false">
              <v:fill type="solid"/>
            </v:rect>
            <v:line style="position:absolute" from="2902,5" to="6293,5" stroked="true" strokeweight=".48pt" strokecolor="#000000">
              <v:stroke dashstyle="solid"/>
            </v:line>
          </v:group>
        </w:pict>
      </w:r>
      <w:r>
        <w:rPr>
          <w:sz w:val="2"/>
        </w:rPr>
      </w:r>
    </w:p>
    <w:p>
      <w:pPr>
        <w:pStyle w:val="BodyText"/>
        <w:tabs>
          <w:tab w:pos="3857" w:val="left" w:leader="none"/>
        </w:tabs>
        <w:spacing w:before="43"/>
        <w:ind w:left="958"/>
      </w:pPr>
      <w:r>
        <w:rPr/>
        <w:pict>
          <v:group style="position:absolute;margin-left:106.000999pt;margin-top:17.006226pt;width:314.650pt;height:.5pt;mso-position-horizontal-relative:page;mso-position-vertical-relative:paragraph;z-index:16448;mso-wrap-distance-left:0;mso-wrap-distance-right:0" coordorigin="2120,340" coordsize="6293,10">
            <v:line style="position:absolute" from="2120,345" to="4695,345" stroked="true" strokeweight=".48pt" strokecolor="#000000">
              <v:stroke dashstyle="solid"/>
            </v:line>
            <v:rect style="position:absolute;left:4695;top:340;width:10;height:10" filled="true" fillcolor="#000000" stroked="false">
              <v:fill type="solid"/>
            </v:rect>
            <v:line style="position:absolute" from="4705,345" to="5012,345" stroked="true" strokeweight=".48pt" strokecolor="#000000">
              <v:stroke dashstyle="solid"/>
            </v:line>
            <v:rect style="position:absolute;left:5012;top:340;width:10;height:10" filled="true" fillcolor="#000000" stroked="false">
              <v:fill type="solid"/>
            </v:rect>
            <v:line style="position:absolute" from="5022,345" to="8413,345" stroked="true" strokeweight=".48pt" strokecolor="#000000">
              <v:stroke dashstyle="solid"/>
            </v:line>
            <w10:wrap type="topAndBottom"/>
          </v:group>
        </w:pict>
      </w:r>
      <w:r>
        <w:rPr/>
        <w:t>1</w:t>
      </w:r>
      <w:r>
        <w:rPr>
          <w:spacing w:val="-2"/>
        </w:rPr>
        <w:t> </w:t>
      </w:r>
      <w:r>
        <w:rPr/>
        <w:t>calorie</w:t>
      </w:r>
      <w:r>
        <w:rPr>
          <w:vertAlign w:val="subscript"/>
        </w:rPr>
        <w:t>IT</w:t>
      </w:r>
      <w:r>
        <w:rPr>
          <w:vertAlign w:val="baseline"/>
        </w:rPr>
        <w:tab/>
        <w:t>4.1868</w:t>
      </w:r>
      <w:r>
        <w:rPr>
          <w:spacing w:val="-1"/>
          <w:vertAlign w:val="baseline"/>
        </w:rPr>
        <w:t> </w:t>
      </w:r>
      <w:r>
        <w:rPr>
          <w:vertAlign w:val="baseline"/>
        </w:rPr>
        <w:t>Joules</w:t>
      </w:r>
    </w:p>
    <w:p>
      <w:pPr>
        <w:pStyle w:val="BodyText"/>
        <w:tabs>
          <w:tab w:pos="3858" w:val="left" w:leader="none"/>
        </w:tabs>
        <w:spacing w:before="24" w:after="67"/>
        <w:ind w:left="958"/>
      </w:pPr>
      <w:r>
        <w:rPr/>
        <w:t>1</w:t>
      </w:r>
      <w:r>
        <w:rPr>
          <w:spacing w:val="-2"/>
        </w:rPr>
        <w:t> </w:t>
      </w:r>
      <w:r>
        <w:rPr/>
        <w:t>atmosphere</w:t>
        <w:tab/>
        <w:t>101.325</w:t>
      </w:r>
      <w:r>
        <w:rPr>
          <w:spacing w:val="1"/>
        </w:rPr>
        <w:t> </w:t>
      </w:r>
      <w:r>
        <w:rPr/>
        <w:t>kPa</w:t>
      </w:r>
    </w:p>
    <w:p>
      <w:pPr>
        <w:pStyle w:val="BodyText"/>
        <w:spacing w:line="20" w:lineRule="exact"/>
        <w:ind w:left="840"/>
        <w:rPr>
          <w:sz w:val="2"/>
        </w:rPr>
      </w:pPr>
      <w:r>
        <w:rPr>
          <w:sz w:val="2"/>
        </w:rPr>
        <w:pict>
          <v:group style="width:315.75pt;height:.5pt;mso-position-horizontal-relative:char;mso-position-vertical-relative:line" coordorigin="0,0" coordsize="6315,10">
            <v:line style="position:absolute" from="0,5" to="2597,5" stroked="true" strokeweight=".48pt" strokecolor="#000000">
              <v:stroke dashstyle="solid"/>
            </v:line>
            <v:rect style="position:absolute;left:2582;top:0;width:10;height:10" filled="true" fillcolor="#000000" stroked="false">
              <v:fill type="solid"/>
            </v:rect>
            <v:line style="position:absolute" from="2592,5" to="2914,5" stroked="true" strokeweight=".48pt" strokecolor="#000000">
              <v:stroke dashstyle="solid"/>
            </v:line>
            <v:rect style="position:absolute;left:2899;top:0;width:10;height:10" filled="true" fillcolor="#000000" stroked="false">
              <v:fill type="solid"/>
            </v:rect>
            <v:line style="position:absolute" from="2909,5" to="6314,5" stroked="true" strokeweight=".48pt" strokecolor="#000000">
              <v:stroke dashstyle="solid"/>
            </v:line>
          </v:group>
        </w:pict>
      </w:r>
      <w:r>
        <w:rPr>
          <w:sz w:val="2"/>
        </w:rPr>
      </w:r>
    </w:p>
    <w:p>
      <w:pPr>
        <w:pStyle w:val="BodyText"/>
      </w:pPr>
    </w:p>
    <w:p>
      <w:pPr>
        <w:pStyle w:val="BodyText"/>
      </w:pPr>
    </w:p>
    <w:p>
      <w:pPr>
        <w:pStyle w:val="BodyText"/>
      </w:pPr>
    </w:p>
    <w:p>
      <w:pPr>
        <w:pStyle w:val="BodyText"/>
      </w:pPr>
    </w:p>
    <w:p>
      <w:pPr>
        <w:pStyle w:val="Heading3"/>
        <w:spacing w:before="225"/>
      </w:pPr>
      <w:r>
        <w:rPr/>
        <w:pict>
          <v:group style="position:absolute;margin-left:106.000999pt;margin-top:34.494217pt;width:244.6pt;height:.5pt;mso-position-horizontal-relative:page;mso-position-vertical-relative:paragraph;z-index:16496;mso-wrap-distance-left:0;mso-wrap-distance-right:0" coordorigin="2120,690" coordsize="4892,10">
            <v:line style="position:absolute" from="2120,695" to="3913,695" stroked="true" strokeweight=".48pt" strokecolor="#000000">
              <v:stroke dashstyle="solid"/>
            </v:line>
            <v:rect style="position:absolute;left:3912;top:689;width:10;height:10" filled="true" fillcolor="#000000" stroked="false">
              <v:fill type="solid"/>
            </v:rect>
            <v:line style="position:absolute" from="3922,695" to="5012,695" stroked="true" strokeweight=".48pt" strokecolor="#000000">
              <v:stroke dashstyle="solid"/>
            </v:line>
            <v:rect style="position:absolute;left:5012;top:689;width:10;height:10" filled="true" fillcolor="#000000" stroked="false">
              <v:fill type="solid"/>
            </v:rect>
            <v:line style="position:absolute" from="5022,695" to="7011,695" stroked="true" strokeweight=".48pt" strokecolor="#000000">
              <v:stroke dashstyle="solid"/>
            </v:line>
            <w10:wrap type="topAndBottom"/>
          </v:group>
        </w:pict>
      </w:r>
      <w:r>
        <w:rPr/>
        <w:t>Units and abbreviations</w:t>
      </w:r>
    </w:p>
    <w:p>
      <w:pPr>
        <w:pStyle w:val="BodyText"/>
        <w:tabs>
          <w:tab w:pos="3857" w:val="left" w:leader="none"/>
        </w:tabs>
        <w:spacing w:before="24" w:after="67"/>
        <w:ind w:left="958"/>
      </w:pPr>
      <w:r>
        <w:rPr/>
        <w:t>cubic</w:t>
      </w:r>
      <w:r>
        <w:rPr>
          <w:spacing w:val="-1"/>
        </w:rPr>
        <w:t> </w:t>
      </w:r>
      <w:r>
        <w:rPr/>
        <w:t>metre</w:t>
        <w:tab/>
        <w:t>m</w:t>
      </w:r>
      <w:r>
        <w:rPr>
          <w:vertAlign w:val="superscript"/>
        </w:rPr>
        <w:t>3</w:t>
      </w:r>
    </w:p>
    <w:p>
      <w:pPr>
        <w:pStyle w:val="BodyText"/>
        <w:spacing w:line="20" w:lineRule="exact"/>
        <w:ind w:left="855"/>
        <w:rPr>
          <w:sz w:val="2"/>
        </w:rPr>
      </w:pPr>
      <w:r>
        <w:rPr>
          <w:sz w:val="2"/>
        </w:rPr>
        <w:pict>
          <v:group style="width:244.6pt;height:.5pt;mso-position-horizontal-relative:char;mso-position-vertical-relative:line" coordorigin="0,0" coordsize="4892,10">
            <v:line style="position:absolute" from="0,5" to="1793,5" stroked="true" strokeweight=".48pt" strokecolor="#000000">
              <v:stroke dashstyle="solid"/>
            </v:line>
            <v:rect style="position:absolute;left:1792;top:0;width:10;height:10" filled="true" fillcolor="#000000" stroked="false">
              <v:fill type="solid"/>
            </v:rect>
            <v:line style="position:absolute" from="1802,5" to="2892,5" stroked="true" strokeweight=".48pt" strokecolor="#000000">
              <v:stroke dashstyle="solid"/>
            </v:line>
            <v:rect style="position:absolute;left:2892;top:0;width:10;height:10" filled="true" fillcolor="#000000" stroked="false">
              <v:fill type="solid"/>
            </v:rect>
            <v:line style="position:absolute" from="2902,5" to="4891,5" stroked="true" strokeweight=".48pt" strokecolor="#000000">
              <v:stroke dashstyle="solid"/>
            </v:line>
          </v:group>
        </w:pict>
      </w:r>
      <w:r>
        <w:rPr>
          <w:sz w:val="2"/>
        </w:rPr>
      </w:r>
    </w:p>
    <w:p>
      <w:pPr>
        <w:pStyle w:val="BodyText"/>
        <w:tabs>
          <w:tab w:pos="3857" w:val="left" w:leader="none"/>
        </w:tabs>
        <w:spacing w:before="43"/>
        <w:ind w:left="958"/>
      </w:pPr>
      <w:r>
        <w:rPr/>
        <w:pict>
          <v:group style="position:absolute;margin-left:106.000999pt;margin-top:17.006245pt;width:244.6pt;height:.5pt;mso-position-horizontal-relative:page;mso-position-vertical-relative:paragraph;z-index:16544;mso-wrap-distance-left:0;mso-wrap-distance-right:0" coordorigin="2120,340" coordsize="4892,10">
            <v:line style="position:absolute" from="2120,345" to="3913,345" stroked="true" strokeweight=".48pt" strokecolor="#000000">
              <v:stroke dashstyle="solid"/>
            </v:line>
            <v:rect style="position:absolute;left:3912;top:340;width:10;height:10" filled="true" fillcolor="#000000" stroked="false">
              <v:fill type="solid"/>
            </v:rect>
            <v:line style="position:absolute" from="3922,345" to="5012,345" stroked="true" strokeweight=".48pt" strokecolor="#000000">
              <v:stroke dashstyle="solid"/>
            </v:line>
            <v:rect style="position:absolute;left:5012;top:340;width:10;height:10" filled="true" fillcolor="#000000" stroked="false">
              <v:fill type="solid"/>
            </v:rect>
            <v:line style="position:absolute" from="5022,345" to="7011,345" stroked="true" strokeweight=".48pt" strokecolor="#000000">
              <v:stroke dashstyle="solid"/>
            </v:line>
            <w10:wrap type="topAndBottom"/>
          </v:group>
        </w:pict>
      </w:r>
      <w:r>
        <w:rPr/>
        <w:t>hectare</w:t>
        <w:tab/>
        <w:t>ha</w:t>
      </w:r>
    </w:p>
    <w:p>
      <w:pPr>
        <w:pStyle w:val="BodyText"/>
        <w:tabs>
          <w:tab w:pos="3857" w:val="left" w:leader="none"/>
        </w:tabs>
        <w:spacing w:before="24" w:after="67"/>
        <w:ind w:left="958"/>
      </w:pPr>
      <w:r>
        <w:rPr/>
        <w:t>gram</w:t>
        <w:tab/>
        <w:t>g</w:t>
      </w:r>
    </w:p>
    <w:p>
      <w:pPr>
        <w:pStyle w:val="BodyText"/>
        <w:spacing w:line="20" w:lineRule="exact"/>
        <w:ind w:left="855"/>
        <w:rPr>
          <w:sz w:val="2"/>
        </w:rPr>
      </w:pPr>
      <w:r>
        <w:rPr>
          <w:sz w:val="2"/>
        </w:rPr>
        <w:pict>
          <v:group style="width:244.6pt;height:.5pt;mso-position-horizontal-relative:char;mso-position-vertical-relative:line" coordorigin="0,0" coordsize="4892,10">
            <v:line style="position:absolute" from="0,5" to="1793,5" stroked="true" strokeweight=".48pt" strokecolor="#000000">
              <v:stroke dashstyle="solid"/>
            </v:line>
            <v:rect style="position:absolute;left:1792;top:0;width:10;height:10" filled="true" fillcolor="#000000" stroked="false">
              <v:fill type="solid"/>
            </v:rect>
            <v:line style="position:absolute" from="1802,5" to="2892,5" stroked="true" strokeweight=".48pt" strokecolor="#000000">
              <v:stroke dashstyle="solid"/>
            </v:line>
            <v:rect style="position:absolute;left:2892;top:0;width:10;height:10" filled="true" fillcolor="#000000" stroked="false">
              <v:fill type="solid"/>
            </v:rect>
            <v:line style="position:absolute" from="2902,5" to="4891,5" stroked="true" strokeweight=".48pt" strokecolor="#000000">
              <v:stroke dashstyle="solid"/>
            </v:line>
          </v:group>
        </w:pict>
      </w:r>
      <w:r>
        <w:rPr>
          <w:sz w:val="2"/>
        </w:rPr>
      </w:r>
    </w:p>
    <w:p>
      <w:pPr>
        <w:pStyle w:val="BodyText"/>
        <w:tabs>
          <w:tab w:pos="3857" w:val="left" w:leader="none"/>
        </w:tabs>
        <w:spacing w:before="43"/>
        <w:ind w:left="958"/>
      </w:pPr>
      <w:r>
        <w:rPr/>
        <w:pict>
          <v:group style="position:absolute;margin-left:106.000999pt;margin-top:17.006245pt;width:244.6pt;height:.5pt;mso-position-horizontal-relative:page;mso-position-vertical-relative:paragraph;z-index:16592;mso-wrap-distance-left:0;mso-wrap-distance-right:0" coordorigin="2120,340" coordsize="4892,10">
            <v:line style="position:absolute" from="2120,345" to="3913,345" stroked="true" strokeweight=".48pt" strokecolor="#000000">
              <v:stroke dashstyle="solid"/>
            </v:line>
            <v:rect style="position:absolute;left:3912;top:340;width:10;height:10" filled="true" fillcolor="#000000" stroked="false">
              <v:fill type="solid"/>
            </v:rect>
            <v:line style="position:absolute" from="3922,345" to="5012,345" stroked="true" strokeweight=".48pt" strokecolor="#000000">
              <v:stroke dashstyle="solid"/>
            </v:line>
            <v:rect style="position:absolute;left:5012;top:340;width:10;height:10" filled="true" fillcolor="#000000" stroked="false">
              <v:fill type="solid"/>
            </v:rect>
            <v:line style="position:absolute" from="5022,345" to="7011,345" stroked="true" strokeweight=".48pt" strokecolor="#000000">
              <v:stroke dashstyle="solid"/>
            </v:line>
            <w10:wrap type="topAndBottom"/>
          </v:group>
        </w:pict>
      </w:r>
      <w:r>
        <w:rPr/>
        <w:t>tonne</w:t>
        <w:tab/>
        <w:t>t</w:t>
      </w:r>
    </w:p>
    <w:p>
      <w:pPr>
        <w:pStyle w:val="BodyText"/>
        <w:tabs>
          <w:tab w:pos="3857" w:val="left" w:leader="none"/>
        </w:tabs>
        <w:spacing w:before="24" w:after="67"/>
        <w:ind w:left="958"/>
      </w:pPr>
      <w:r>
        <w:rPr/>
        <w:t>joule</w:t>
        <w:tab/>
        <w:t>J</w:t>
      </w:r>
    </w:p>
    <w:p>
      <w:pPr>
        <w:pStyle w:val="BodyText"/>
        <w:spacing w:line="20" w:lineRule="exact"/>
        <w:ind w:left="855"/>
        <w:rPr>
          <w:sz w:val="2"/>
        </w:rPr>
      </w:pPr>
      <w:r>
        <w:rPr>
          <w:sz w:val="2"/>
        </w:rPr>
        <w:pict>
          <v:group style="width:244.6pt;height:.5pt;mso-position-horizontal-relative:char;mso-position-vertical-relative:line" coordorigin="0,0" coordsize="4892,10">
            <v:line style="position:absolute" from="0,5" to="1793,5" stroked="true" strokeweight=".48pt" strokecolor="#000000">
              <v:stroke dashstyle="solid"/>
            </v:line>
            <v:rect style="position:absolute;left:1792;top:0;width:10;height:10" filled="true" fillcolor="#000000" stroked="false">
              <v:fill type="solid"/>
            </v:rect>
            <v:line style="position:absolute" from="1802,5" to="2892,5" stroked="true" strokeweight=".48pt" strokecolor="#000000">
              <v:stroke dashstyle="solid"/>
            </v:line>
            <v:rect style="position:absolute;left:2892;top:0;width:10;height:10" filled="true" fillcolor="#000000" stroked="false">
              <v:fill type="solid"/>
            </v:rect>
            <v:line style="position:absolute" from="2902,5" to="4891,5" stroked="true" strokeweight=".48pt" strokecolor="#000000">
              <v:stroke dashstyle="solid"/>
            </v:line>
          </v:group>
        </w:pict>
      </w:r>
      <w:r>
        <w:rPr>
          <w:sz w:val="2"/>
        </w:rPr>
      </w:r>
    </w:p>
    <w:p>
      <w:pPr>
        <w:pStyle w:val="BodyText"/>
        <w:tabs>
          <w:tab w:pos="3857" w:val="left" w:leader="none"/>
        </w:tabs>
        <w:spacing w:before="36"/>
        <w:ind w:left="958"/>
        <w:rPr>
          <w:rFonts w:ascii="Arial Unicode MS" w:hAnsi="Arial Unicode MS"/>
        </w:rPr>
      </w:pPr>
      <w:r>
        <w:rPr/>
        <w:pict>
          <v:group style="position:absolute;margin-left:106.000999pt;margin-top:18.448784pt;width:244.6pt;height:.5pt;mso-position-horizontal-relative:page;mso-position-vertical-relative:paragraph;z-index:16640;mso-wrap-distance-left:0;mso-wrap-distance-right:0" coordorigin="2120,369" coordsize="4892,10">
            <v:line style="position:absolute" from="2120,374" to="3913,374" stroked="true" strokeweight=".48pt" strokecolor="#000000">
              <v:stroke dashstyle="solid"/>
            </v:line>
            <v:rect style="position:absolute;left:3912;top:368;width:10;height:10" filled="true" fillcolor="#000000" stroked="false">
              <v:fill type="solid"/>
            </v:rect>
            <v:line style="position:absolute" from="3922,374" to="5012,374" stroked="true" strokeweight=".48pt" strokecolor="#000000">
              <v:stroke dashstyle="solid"/>
            </v:line>
            <v:rect style="position:absolute;left:5012;top:368;width:10;height:10" filled="true" fillcolor="#000000" stroked="false">
              <v:fill type="solid"/>
            </v:rect>
            <v:line style="position:absolute" from="5022,374" to="7011,374" stroked="true" strokeweight=".48pt" strokecolor="#000000">
              <v:stroke dashstyle="solid"/>
            </v:line>
            <w10:wrap type="topAndBottom"/>
          </v:group>
        </w:pict>
      </w:r>
      <w:r>
        <w:rPr/>
        <w:t>degree</w:t>
      </w:r>
      <w:r>
        <w:rPr>
          <w:spacing w:val="-3"/>
        </w:rPr>
        <w:t> </w:t>
      </w:r>
      <w:r>
        <w:rPr/>
        <w:t>Celsius</w:t>
        <w:tab/>
      </w:r>
      <w:r>
        <w:rPr>
          <w:rFonts w:ascii="Arial Unicode MS" w:hAnsi="Arial Unicode MS"/>
          <w:position w:val="-1"/>
        </w:rPr>
        <w:t>℃</w:t>
      </w:r>
    </w:p>
    <w:p>
      <w:pPr>
        <w:pStyle w:val="BodyText"/>
        <w:tabs>
          <w:tab w:pos="3857" w:val="left" w:leader="none"/>
        </w:tabs>
        <w:spacing w:before="24" w:after="67"/>
        <w:ind w:left="958"/>
      </w:pPr>
      <w:r>
        <w:rPr/>
        <w:t>calorie</w:t>
        <w:tab/>
        <w:t>cal</w:t>
      </w:r>
    </w:p>
    <w:p>
      <w:pPr>
        <w:pStyle w:val="BodyText"/>
        <w:spacing w:line="20" w:lineRule="exact"/>
        <w:ind w:left="855"/>
        <w:rPr>
          <w:sz w:val="2"/>
        </w:rPr>
      </w:pPr>
      <w:r>
        <w:rPr>
          <w:sz w:val="2"/>
        </w:rPr>
        <w:pict>
          <v:group style="width:244.6pt;height:.5pt;mso-position-horizontal-relative:char;mso-position-vertical-relative:line" coordorigin="0,0" coordsize="4892,10">
            <v:line style="position:absolute" from="0,5" to="1793,5" stroked="true" strokeweight=".48pt" strokecolor="#000000">
              <v:stroke dashstyle="solid"/>
            </v:line>
            <v:rect style="position:absolute;left:1792;top:0;width:10;height:10" filled="true" fillcolor="#000000" stroked="false">
              <v:fill type="solid"/>
            </v:rect>
            <v:line style="position:absolute" from="1802,5" to="2892,5" stroked="true" strokeweight=".48pt" strokecolor="#000000">
              <v:stroke dashstyle="solid"/>
            </v:line>
            <v:rect style="position:absolute;left:2892;top:0;width:10;height:10" filled="true" fillcolor="#000000" stroked="false">
              <v:fill type="solid"/>
            </v:rect>
            <v:line style="position:absolute" from="2902,5" to="4891,5" stroked="true" strokeweight=".48pt" strokecolor="#000000">
              <v:stroke dashstyle="solid"/>
            </v:line>
          </v:group>
        </w:pict>
      </w:r>
      <w:r>
        <w:rPr>
          <w:sz w:val="2"/>
        </w:rPr>
      </w:r>
    </w:p>
    <w:p>
      <w:pPr>
        <w:pStyle w:val="BodyText"/>
        <w:tabs>
          <w:tab w:pos="3857" w:val="left" w:leader="none"/>
        </w:tabs>
        <w:spacing w:before="43"/>
        <w:ind w:left="958"/>
      </w:pPr>
      <w:r>
        <w:rPr/>
        <w:pict>
          <v:group style="position:absolute;margin-left:106.000999pt;margin-top:17.006243pt;width:244.6pt;height:.5pt;mso-position-horizontal-relative:page;mso-position-vertical-relative:paragraph;z-index:16688;mso-wrap-distance-left:0;mso-wrap-distance-right:0" coordorigin="2120,340" coordsize="4892,10">
            <v:line style="position:absolute" from="2120,345" to="3913,345" stroked="true" strokeweight=".48pt" strokecolor="#000000">
              <v:stroke dashstyle="solid"/>
            </v:line>
            <v:rect style="position:absolute;left:3912;top:340;width:10;height:10" filled="true" fillcolor="#000000" stroked="false">
              <v:fill type="solid"/>
            </v:rect>
            <v:line style="position:absolute" from="3922,345" to="5012,345" stroked="true" strokeweight=".48pt" strokecolor="#000000">
              <v:stroke dashstyle="solid"/>
            </v:line>
            <v:rect style="position:absolute;left:5012;top:340;width:10;height:10" filled="true" fillcolor="#000000" stroked="false">
              <v:fill type="solid"/>
            </v:rect>
            <v:line style="position:absolute" from="5022,345" to="7011,345" stroked="true" strokeweight=".48pt" strokecolor="#000000">
              <v:stroke dashstyle="solid"/>
            </v:line>
            <w10:wrap type="topAndBottom"/>
          </v:group>
        </w:pict>
      </w:r>
      <w:r>
        <w:rPr/>
        <w:t>year</w:t>
        <w:tab/>
        <w:t>yr</w:t>
      </w:r>
    </w:p>
    <w:p>
      <w:pPr>
        <w:pStyle w:val="BodyText"/>
        <w:tabs>
          <w:tab w:pos="3858" w:val="left" w:leader="none"/>
        </w:tabs>
        <w:spacing w:before="24" w:after="67"/>
        <w:ind w:left="958"/>
      </w:pPr>
      <w:r>
        <w:rPr/>
        <w:t>capita</w:t>
        <w:tab/>
        <w:t>cap</w:t>
      </w:r>
    </w:p>
    <w:p>
      <w:pPr>
        <w:pStyle w:val="BodyText"/>
        <w:spacing w:line="20" w:lineRule="exact"/>
        <w:ind w:left="855"/>
        <w:rPr>
          <w:sz w:val="2"/>
        </w:rPr>
      </w:pPr>
      <w:r>
        <w:rPr>
          <w:sz w:val="2"/>
        </w:rPr>
        <w:pict>
          <v:group style="width:244.6pt;height:.5pt;mso-position-horizontal-relative:char;mso-position-vertical-relative:line" coordorigin="0,0" coordsize="4892,10">
            <v:line style="position:absolute" from="0,5" to="1793,5" stroked="true" strokeweight=".48pt" strokecolor="#000000">
              <v:stroke dashstyle="solid"/>
            </v:line>
            <v:rect style="position:absolute;left:1792;top:0;width:10;height:10" filled="true" fillcolor="#000000" stroked="false">
              <v:fill type="solid"/>
            </v:rect>
            <v:line style="position:absolute" from="1802,5" to="2892,5" stroked="true" strokeweight=".48pt" strokecolor="#000000">
              <v:stroke dashstyle="solid"/>
            </v:line>
            <v:rect style="position:absolute;left:2892;top:0;width:10;height:10" filled="true" fillcolor="#000000" stroked="false">
              <v:fill type="solid"/>
            </v:rect>
            <v:line style="position:absolute" from="2902,5" to="4891,5" stroked="true" strokeweight=".48pt" strokecolor="#000000">
              <v:stroke dashstyle="solid"/>
            </v:line>
          </v:group>
        </w:pict>
      </w:r>
      <w:r>
        <w:rPr>
          <w:sz w:val="2"/>
        </w:rPr>
      </w:r>
    </w:p>
    <w:p>
      <w:pPr>
        <w:pStyle w:val="BodyText"/>
        <w:tabs>
          <w:tab w:pos="3857" w:val="left" w:leader="none"/>
        </w:tabs>
        <w:spacing w:before="43"/>
        <w:ind w:left="958"/>
      </w:pPr>
      <w:r>
        <w:rPr/>
        <w:pict>
          <v:group style="position:absolute;margin-left:106.000999pt;margin-top:17.006243pt;width:244.6pt;height:.5pt;mso-position-horizontal-relative:page;mso-position-vertical-relative:paragraph;z-index:16736;mso-wrap-distance-left:0;mso-wrap-distance-right:0" coordorigin="2120,340" coordsize="4892,10">
            <v:line style="position:absolute" from="2120,345" to="3913,345" stroked="true" strokeweight=".48pt" strokecolor="#000000">
              <v:stroke dashstyle="solid"/>
            </v:line>
            <v:rect style="position:absolute;left:3912;top:340;width:10;height:10" filled="true" fillcolor="#000000" stroked="false">
              <v:fill type="solid"/>
            </v:rect>
            <v:line style="position:absolute" from="3922,345" to="5012,345" stroked="true" strokeweight=".48pt" strokecolor="#000000">
              <v:stroke dashstyle="solid"/>
            </v:line>
            <v:rect style="position:absolute;left:5012;top:340;width:10;height:10" filled="true" fillcolor="#000000" stroked="false">
              <v:fill type="solid"/>
            </v:rect>
            <v:line style="position:absolute" from="5022,345" to="7011,345" stroked="true" strokeweight=".48pt" strokecolor="#000000">
              <v:stroke dashstyle="solid"/>
            </v:line>
            <w10:wrap type="topAndBottom"/>
          </v:group>
        </w:pict>
      </w:r>
      <w:r>
        <w:rPr/>
        <w:t>gallon</w:t>
        <w:tab/>
        <w:t>gal</w:t>
      </w:r>
    </w:p>
    <w:p>
      <w:pPr>
        <w:pStyle w:val="BodyText"/>
        <w:tabs>
          <w:tab w:pos="3857" w:val="left" w:leader="none"/>
        </w:tabs>
        <w:spacing w:before="24" w:after="67"/>
        <w:ind w:left="958"/>
      </w:pPr>
      <w:r>
        <w:rPr/>
        <w:t>dry</w:t>
      </w:r>
      <w:r>
        <w:rPr>
          <w:spacing w:val="-4"/>
        </w:rPr>
        <w:t> </w:t>
      </w:r>
      <w:r>
        <w:rPr/>
        <w:t>matter</w:t>
        <w:tab/>
        <w:t>d.m.</w:t>
      </w:r>
    </w:p>
    <w:p>
      <w:pPr>
        <w:pStyle w:val="BodyText"/>
        <w:spacing w:line="20" w:lineRule="exact"/>
        <w:ind w:left="840"/>
        <w:rPr>
          <w:sz w:val="2"/>
        </w:rPr>
      </w:pPr>
      <w:r>
        <w:rPr>
          <w:sz w:val="2"/>
        </w:rPr>
        <w:pict>
          <v:group style="width:245.65pt;height:.5pt;mso-position-horizontal-relative:char;mso-position-vertical-relative:line" coordorigin="0,0" coordsize="4913,10">
            <v:line style="position:absolute" from="0,5" to="1814,5" stroked="true" strokeweight=".48pt" strokecolor="#000000">
              <v:stroke dashstyle="solid"/>
            </v:line>
            <v:rect style="position:absolute;left:1800;top:0;width:10;height:10" filled="true" fillcolor="#000000" stroked="false">
              <v:fill type="solid"/>
            </v:rect>
            <v:line style="position:absolute" from="1810,5" to="2914,5" stroked="true" strokeweight=".48pt" strokecolor="#000000">
              <v:stroke dashstyle="solid"/>
            </v:line>
            <v:rect style="position:absolute;left:2899;top:0;width:10;height:10" filled="true" fillcolor="#000000" stroked="false">
              <v:fill type="solid"/>
            </v:rect>
            <v:line style="position:absolute" from="2909,5" to="4913,5" stroked="true" strokeweight=".48pt" strokecolor="#000000">
              <v:stroke dashstyle="solid"/>
            </v:line>
          </v:group>
        </w:pict>
      </w:r>
      <w:r>
        <w:rPr>
          <w:sz w:val="2"/>
        </w:rPr>
      </w:r>
    </w:p>
    <w:p>
      <w:pPr>
        <w:spacing w:after="0" w:line="20" w:lineRule="exact"/>
        <w:rPr>
          <w:sz w:val="2"/>
        </w:rPr>
        <w:sectPr>
          <w:headerReference w:type="default" r:id="rId285"/>
          <w:footerReference w:type="default" r:id="rId286"/>
          <w:footerReference w:type="even" r:id="rId287"/>
          <w:pgSz w:w="11900" w:h="16840"/>
          <w:pgMar w:header="0" w:footer="408" w:top="160" w:bottom="600" w:left="1260" w:right="1240"/>
        </w:sectPr>
      </w:pPr>
    </w:p>
    <w:p>
      <w:pPr>
        <w:pStyle w:val="BodyText"/>
      </w:pPr>
    </w:p>
    <w:p>
      <w:pPr>
        <w:pStyle w:val="BodyText"/>
        <w:rPr>
          <w:sz w:val="27"/>
        </w:rPr>
      </w:pPr>
    </w:p>
    <w:p>
      <w:pPr>
        <w:tabs>
          <w:tab w:pos="9259" w:val="left" w:leader="none"/>
        </w:tabs>
        <w:spacing w:before="80"/>
        <w:ind w:left="159" w:right="0" w:firstLine="0"/>
        <w:jc w:val="left"/>
        <w:rPr>
          <w:b/>
          <w:sz w:val="48"/>
        </w:rPr>
      </w:pPr>
      <w:r>
        <w:rPr>
          <w:b/>
          <w:sz w:val="48"/>
          <w:u w:val="thick"/>
        </w:rPr>
        <w:t>4</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4"/>
        <w:rPr>
          <w:b/>
          <w:sz w:val="23"/>
        </w:rPr>
      </w:pPr>
    </w:p>
    <w:p>
      <w:pPr>
        <w:spacing w:line="240" w:lineRule="auto" w:before="80"/>
        <w:ind w:left="159" w:right="220" w:firstLine="0"/>
        <w:jc w:val="left"/>
        <w:rPr>
          <w:b/>
          <w:sz w:val="48"/>
        </w:rPr>
      </w:pPr>
      <w:r>
        <w:rPr>
          <w:b/>
          <w:sz w:val="48"/>
        </w:rPr>
        <w:t>SUPPLEMENTARY METHODS AND GOOD PRACTICE GUIDANCE ARISING FROM THE KYOTO PROTOCOL</w:t>
      </w:r>
    </w:p>
    <w:p>
      <w:pPr>
        <w:spacing w:after="0" w:line="240" w:lineRule="auto"/>
        <w:jc w:val="left"/>
        <w:rPr>
          <w:sz w:val="48"/>
        </w:rPr>
        <w:sectPr>
          <w:headerReference w:type="even" r:id="rId288"/>
          <w:pgSz w:w="11900" w:h="16840"/>
          <w:pgMar w:header="0" w:footer="408" w:top="1600" w:bottom="600" w:left="1260" w:right="1240"/>
        </w:sectPr>
      </w:pPr>
    </w:p>
    <w:p>
      <w:pPr>
        <w:pStyle w:val="BodyText"/>
        <w:rPr>
          <w:b/>
        </w:rPr>
      </w:pPr>
    </w:p>
    <w:p>
      <w:pPr>
        <w:pStyle w:val="Heading5"/>
        <w:spacing w:before="213"/>
        <w:ind w:left="2451"/>
      </w:pPr>
      <w:r>
        <w:rPr/>
        <w:t>AUTHORS AND REVIEW EDITORS</w:t>
      </w:r>
    </w:p>
    <w:p>
      <w:pPr>
        <w:pStyle w:val="BodyText"/>
        <w:spacing w:before="8"/>
        <w:rPr>
          <w:b/>
          <w:sz w:val="28"/>
        </w:rPr>
      </w:pPr>
    </w:p>
    <w:p>
      <w:pPr>
        <w:spacing w:before="90"/>
        <w:ind w:left="159" w:right="0" w:firstLine="0"/>
        <w:jc w:val="left"/>
        <w:rPr>
          <w:b/>
          <w:sz w:val="24"/>
        </w:rPr>
      </w:pPr>
      <w:r>
        <w:rPr>
          <w:b/>
          <w:spacing w:val="17"/>
          <w:sz w:val="24"/>
        </w:rPr>
        <w:t>Sections </w:t>
      </w:r>
      <w:r>
        <w:rPr>
          <w:b/>
          <w:sz w:val="24"/>
        </w:rPr>
        <w:t>4 </w:t>
      </w:r>
      <w:r>
        <w:rPr>
          <w:b/>
          <w:spacing w:val="9"/>
          <w:sz w:val="24"/>
        </w:rPr>
        <w:t>.1 </w:t>
      </w:r>
      <w:r>
        <w:rPr>
          <w:b/>
          <w:sz w:val="24"/>
        </w:rPr>
        <w:t>– 4 </w:t>
      </w:r>
      <w:r>
        <w:rPr>
          <w:b/>
          <w:spacing w:val="19"/>
          <w:sz w:val="24"/>
        </w:rPr>
        <w:t>.2</w:t>
      </w:r>
    </w:p>
    <w:p>
      <w:pPr>
        <w:pStyle w:val="BodyText"/>
        <w:rPr>
          <w:b/>
          <w:sz w:val="26"/>
        </w:rPr>
      </w:pPr>
    </w:p>
    <w:p>
      <w:pPr>
        <w:spacing w:before="1"/>
        <w:ind w:left="159" w:right="0" w:firstLine="0"/>
        <w:jc w:val="left"/>
        <w:rPr>
          <w:b/>
          <w:sz w:val="24"/>
        </w:rPr>
      </w:pPr>
      <w:r>
        <w:rPr>
          <w:b/>
          <w:sz w:val="24"/>
        </w:rPr>
        <w:t>Coordinating Lead Authors</w:t>
      </w:r>
    </w:p>
    <w:p>
      <w:pPr>
        <w:pStyle w:val="BodyText"/>
        <w:spacing w:before="56"/>
        <w:ind w:left="159"/>
      </w:pPr>
      <w:r>
        <w:rPr/>
        <w:t>Bernhard Schlamadinger (Austria)</w:t>
      </w:r>
    </w:p>
    <w:p>
      <w:pPr>
        <w:pStyle w:val="BodyText"/>
        <w:spacing w:before="1"/>
        <w:ind w:left="159"/>
      </w:pPr>
      <w:r>
        <w:rPr/>
        <w:t>Kansri Boonpragob (Thailand), Henry Janzen (Canada), Werner Kurz (Canada), Rodel Lasco (Philippines), and Pete Smith (UK)</w:t>
      </w:r>
    </w:p>
    <w:p>
      <w:pPr>
        <w:pStyle w:val="BodyText"/>
        <w:spacing w:before="5"/>
        <w:rPr>
          <w:sz w:val="31"/>
        </w:rPr>
      </w:pPr>
    </w:p>
    <w:p>
      <w:pPr>
        <w:pStyle w:val="Heading5"/>
      </w:pPr>
      <w:r>
        <w:rPr/>
        <w:t>Lead Authors</w:t>
      </w:r>
    </w:p>
    <w:p>
      <w:pPr>
        <w:pStyle w:val="BodyText"/>
        <w:spacing w:before="57"/>
        <w:ind w:left="159" w:right="167"/>
        <w:jc w:val="both"/>
      </w:pPr>
      <w:r>
        <w:rPr/>
        <w:t>Pascale Collas (Canada), El Nur Abdalla El Siddig (Sudan), Andreas Fischlin (Switzerland), Mitsuo Matsumoto (Japan), Alexander Nakhutin (Russia), Ian Noble (Australia), Gérôme Pignard (France), Zoltán Somogyi (Hungary), and Xiao-Quan Zhang (China)</w:t>
      </w:r>
    </w:p>
    <w:p>
      <w:pPr>
        <w:pStyle w:val="BodyText"/>
        <w:spacing w:before="8"/>
        <w:rPr>
          <w:sz w:val="31"/>
        </w:rPr>
      </w:pPr>
    </w:p>
    <w:p>
      <w:pPr>
        <w:pStyle w:val="Heading5"/>
      </w:pPr>
      <w:r>
        <w:rPr/>
        <w:t>Contributing Authors</w:t>
      </w:r>
    </w:p>
    <w:p>
      <w:pPr>
        <w:pStyle w:val="BodyText"/>
        <w:spacing w:before="54"/>
        <w:ind w:left="159"/>
      </w:pPr>
      <w:r>
        <w:rPr/>
        <w:t>Mark Easter (USA), Wojciech Galinski (Poland), Geneviève Patenaude (Canada), Keith Paustian (USA), and Yoshiki Yamagata (Japan)</w:t>
      </w:r>
    </w:p>
    <w:p>
      <w:pPr>
        <w:pStyle w:val="BodyText"/>
        <w:spacing w:before="8"/>
        <w:rPr>
          <w:sz w:val="31"/>
        </w:rPr>
      </w:pPr>
    </w:p>
    <w:p>
      <w:pPr>
        <w:pStyle w:val="Heading5"/>
      </w:pPr>
      <w:r>
        <w:rPr/>
        <w:t>Review Editors</w:t>
      </w:r>
    </w:p>
    <w:p>
      <w:pPr>
        <w:pStyle w:val="BodyText"/>
        <w:spacing w:before="56"/>
        <w:ind w:left="159"/>
      </w:pPr>
      <w:r>
        <w:rPr/>
        <w:t>Masahiro Amano (Japan) and Eveline Trines (Netherlands)</w:t>
      </w:r>
    </w:p>
    <w:p>
      <w:pPr>
        <w:pStyle w:val="BodyText"/>
        <w:rPr>
          <w:sz w:val="22"/>
        </w:rPr>
      </w:pPr>
    </w:p>
    <w:p>
      <w:pPr>
        <w:pStyle w:val="BodyText"/>
        <w:rPr>
          <w:sz w:val="22"/>
        </w:rPr>
      </w:pPr>
    </w:p>
    <w:p>
      <w:pPr>
        <w:pStyle w:val="BodyText"/>
        <w:spacing w:before="11"/>
        <w:rPr>
          <w:sz w:val="17"/>
        </w:rPr>
      </w:pPr>
    </w:p>
    <w:p>
      <w:pPr>
        <w:pStyle w:val="Heading5"/>
      </w:pPr>
      <w:r>
        <w:rPr/>
        <w:t>Section 4. 3</w:t>
      </w:r>
    </w:p>
    <w:p>
      <w:pPr>
        <w:pStyle w:val="BodyText"/>
        <w:spacing w:before="1"/>
        <w:rPr>
          <w:b/>
          <w:sz w:val="26"/>
        </w:rPr>
      </w:pPr>
    </w:p>
    <w:p>
      <w:pPr>
        <w:spacing w:before="0"/>
        <w:ind w:left="159" w:right="0" w:firstLine="0"/>
        <w:jc w:val="left"/>
        <w:rPr>
          <w:b/>
          <w:sz w:val="24"/>
        </w:rPr>
      </w:pPr>
      <w:r>
        <w:rPr>
          <w:b/>
          <w:sz w:val="24"/>
        </w:rPr>
        <w:t>Coordinating Lead Authors</w:t>
      </w:r>
    </w:p>
    <w:p>
      <w:pPr>
        <w:pStyle w:val="BodyText"/>
        <w:spacing w:before="56"/>
        <w:ind w:left="159"/>
      </w:pPr>
      <w:r>
        <w:rPr/>
        <w:t>Sandra Brown (USA) and Omar Masera (Mexico)</w:t>
      </w:r>
    </w:p>
    <w:p>
      <w:pPr>
        <w:pStyle w:val="BodyText"/>
        <w:spacing w:before="8"/>
        <w:rPr>
          <w:sz w:val="31"/>
        </w:rPr>
      </w:pPr>
    </w:p>
    <w:p>
      <w:pPr>
        <w:pStyle w:val="Heading5"/>
      </w:pPr>
      <w:r>
        <w:rPr/>
        <w:t>Lead Authors</w:t>
      </w:r>
    </w:p>
    <w:p>
      <w:pPr>
        <w:pStyle w:val="BodyText"/>
        <w:spacing w:before="56"/>
        <w:ind w:left="159"/>
      </w:pPr>
      <w:r>
        <w:rPr/>
        <w:t>Vitus Ambia (New Papua Guinea), Barbara Braatz (USA), Markku Kanninen (Finland), Thelma Krug (Brazil), Daniel Martino (Uruguay), Phanuel Oballa (Kenya), Richard Tipper (UK), and Jenny L. P. Wong (Malaysia)</w:t>
      </w:r>
    </w:p>
    <w:p>
      <w:pPr>
        <w:pStyle w:val="BodyText"/>
        <w:spacing w:before="6"/>
        <w:rPr>
          <w:sz w:val="31"/>
        </w:rPr>
      </w:pPr>
    </w:p>
    <w:p>
      <w:pPr>
        <w:pStyle w:val="Heading5"/>
      </w:pPr>
      <w:r>
        <w:rPr/>
        <w:t>Contributing Authors</w:t>
      </w:r>
    </w:p>
    <w:p>
      <w:pPr>
        <w:pStyle w:val="BodyText"/>
        <w:spacing w:before="56"/>
        <w:ind w:left="159"/>
      </w:pPr>
      <w:r>
        <w:rPr/>
        <w:t>Ben de Jong (Mexico) and David Shoch (USA)</w:t>
      </w:r>
    </w:p>
    <w:p>
      <w:pPr>
        <w:pStyle w:val="BodyText"/>
        <w:spacing w:before="8"/>
        <w:rPr>
          <w:sz w:val="31"/>
        </w:rPr>
      </w:pPr>
    </w:p>
    <w:p>
      <w:pPr>
        <w:pStyle w:val="Heading5"/>
      </w:pPr>
      <w:r>
        <w:rPr/>
        <w:t>Review Editor</w:t>
      </w:r>
    </w:p>
    <w:p>
      <w:pPr>
        <w:pStyle w:val="BodyText"/>
        <w:spacing w:before="56"/>
        <w:ind w:left="159"/>
      </w:pPr>
      <w:r>
        <w:rPr/>
        <w:t>Soobaraj N. Sok Appadu (Mauritius)</w:t>
      </w:r>
    </w:p>
    <w:p>
      <w:pPr>
        <w:spacing w:after="0"/>
        <w:sectPr>
          <w:headerReference w:type="even" r:id="rId289"/>
          <w:headerReference w:type="default" r:id="rId290"/>
          <w:footerReference w:type="even" r:id="rId291"/>
          <w:footerReference w:type="default" r:id="rId292"/>
          <w:pgSz w:w="11900" w:h="16840"/>
          <w:pgMar w:header="230" w:footer="408" w:top="560" w:bottom="600" w:left="1260" w:right="1240"/>
          <w:pgNumType w:start="2"/>
        </w:sectPr>
      </w:pPr>
    </w:p>
    <w:p>
      <w:pPr>
        <w:pStyle w:val="BodyText"/>
      </w:pPr>
    </w:p>
    <w:p>
      <w:pPr>
        <w:pStyle w:val="BodyText"/>
      </w:pPr>
    </w:p>
    <w:p>
      <w:pPr>
        <w:pStyle w:val="BodyText"/>
      </w:pPr>
    </w:p>
    <w:p>
      <w:pPr>
        <w:pStyle w:val="BodyText"/>
      </w:pPr>
    </w:p>
    <w:p>
      <w:pPr>
        <w:pStyle w:val="BodyText"/>
        <w:spacing w:before="3"/>
        <w:rPr>
          <w:sz w:val="24"/>
        </w:rPr>
      </w:pPr>
    </w:p>
    <w:p>
      <w:pPr>
        <w:spacing w:before="86"/>
        <w:ind w:left="556" w:right="566" w:firstLine="0"/>
        <w:jc w:val="center"/>
        <w:rPr>
          <w:b/>
          <w:sz w:val="32"/>
        </w:rPr>
      </w:pPr>
      <w:r>
        <w:rPr>
          <w:b/>
          <w:sz w:val="32"/>
        </w:rPr>
        <w:t>Contents</w:t>
      </w:r>
    </w:p>
    <w:p>
      <w:pPr>
        <w:numPr>
          <w:ilvl w:val="1"/>
          <w:numId w:val="121"/>
        </w:numPr>
        <w:tabs>
          <w:tab w:pos="1179" w:val="left" w:leader="none"/>
          <w:tab w:pos="1180" w:val="left" w:leader="none"/>
          <w:tab w:pos="8979" w:val="left" w:leader="none"/>
        </w:tabs>
        <w:spacing w:before="601"/>
        <w:ind w:left="1179" w:right="0" w:hanging="1020"/>
        <w:jc w:val="left"/>
        <w:rPr>
          <w:b/>
          <w:sz w:val="20"/>
        </w:rPr>
      </w:pPr>
      <w:r>
        <w:rPr>
          <w:b/>
          <w:sz w:val="20"/>
        </w:rPr>
        <w:t>INTRODUCTION</w:t>
        <w:tab/>
        <w:t>4.9</w:t>
      </w:r>
    </w:p>
    <w:p>
      <w:pPr>
        <w:pStyle w:val="ListParagraph"/>
        <w:numPr>
          <w:ilvl w:val="2"/>
          <w:numId w:val="121"/>
        </w:numPr>
        <w:tabs>
          <w:tab w:pos="1179" w:val="left" w:leader="none"/>
          <w:tab w:pos="1180" w:val="left" w:leader="none"/>
        </w:tabs>
        <w:spacing w:line="240" w:lineRule="auto" w:before="113" w:after="0"/>
        <w:ind w:left="1179" w:right="0" w:hanging="737"/>
        <w:jc w:val="left"/>
        <w:rPr>
          <w:sz w:val="20"/>
        </w:rPr>
      </w:pPr>
      <w:r>
        <w:rPr>
          <w:sz w:val="20"/>
        </w:rPr>
        <w:t>Overview of Steps to Estimating and Reporting Supplementary Information for</w:t>
      </w:r>
      <w:r>
        <w:rPr>
          <w:spacing w:val="-16"/>
          <w:sz w:val="20"/>
        </w:rPr>
        <w:t> </w:t>
      </w:r>
      <w:r>
        <w:rPr>
          <w:sz w:val="20"/>
        </w:rPr>
        <w:t>Activities</w:t>
      </w:r>
    </w:p>
    <w:p>
      <w:pPr>
        <w:pStyle w:val="BodyText"/>
        <w:tabs>
          <w:tab w:pos="8879" w:val="left" w:leader="dot"/>
        </w:tabs>
        <w:ind w:left="1179"/>
      </w:pPr>
      <w:r>
        <w:rPr/>
        <w:t>Under Articles 3.3, 3.4, 6</w:t>
      </w:r>
      <w:r>
        <w:rPr>
          <w:spacing w:val="-9"/>
        </w:rPr>
        <w:t> </w:t>
      </w:r>
      <w:r>
        <w:rPr/>
        <w:t>and</w:t>
      </w:r>
      <w:r>
        <w:rPr>
          <w:spacing w:val="-4"/>
        </w:rPr>
        <w:t> </w:t>
      </w:r>
      <w:r>
        <w:rPr/>
        <w:t>12</w:t>
        <w:tab/>
        <w:t>4.10</w:t>
      </w:r>
    </w:p>
    <w:p>
      <w:pPr>
        <w:pStyle w:val="ListParagraph"/>
        <w:numPr>
          <w:ilvl w:val="2"/>
          <w:numId w:val="121"/>
        </w:numPr>
        <w:tabs>
          <w:tab w:pos="1178" w:val="left" w:leader="none"/>
          <w:tab w:pos="1179" w:val="left" w:leader="none"/>
          <w:tab w:pos="8880" w:val="left" w:leader="dot"/>
        </w:tabs>
        <w:spacing w:line="240" w:lineRule="auto" w:before="121" w:after="0"/>
        <w:ind w:left="1178" w:right="0" w:hanging="736"/>
        <w:jc w:val="left"/>
        <w:rPr>
          <w:sz w:val="20"/>
        </w:rPr>
      </w:pPr>
      <w:r>
        <w:rPr>
          <w:sz w:val="20"/>
        </w:rPr>
        <w:t>General Rules for Categorisation of Land Areas under Articles 3.3</w:t>
      </w:r>
      <w:r>
        <w:rPr>
          <w:spacing w:val="-22"/>
          <w:sz w:val="20"/>
        </w:rPr>
        <w:t> </w:t>
      </w:r>
      <w:r>
        <w:rPr>
          <w:sz w:val="20"/>
        </w:rPr>
        <w:t>and</w:t>
      </w:r>
      <w:r>
        <w:rPr>
          <w:spacing w:val="-1"/>
          <w:sz w:val="20"/>
        </w:rPr>
        <w:t> </w:t>
      </w:r>
      <w:r>
        <w:rPr>
          <w:sz w:val="20"/>
        </w:rPr>
        <w:t>3.4</w:t>
        <w:tab/>
        <w:t>4.13</w:t>
      </w:r>
    </w:p>
    <w:p>
      <w:pPr>
        <w:pStyle w:val="ListParagraph"/>
        <w:numPr>
          <w:ilvl w:val="2"/>
          <w:numId w:val="121"/>
        </w:numPr>
        <w:tabs>
          <w:tab w:pos="1177" w:val="left" w:leader="none"/>
          <w:tab w:pos="1178" w:val="left" w:leader="none"/>
          <w:tab w:pos="8881" w:val="left" w:leader="dot"/>
        </w:tabs>
        <w:spacing w:line="240" w:lineRule="auto" w:before="120" w:after="0"/>
        <w:ind w:left="1177" w:right="0" w:hanging="735"/>
        <w:jc w:val="left"/>
        <w:rPr>
          <w:sz w:val="20"/>
        </w:rPr>
      </w:pPr>
      <w:r>
        <w:rPr>
          <w:sz w:val="20"/>
        </w:rPr>
        <w:t>Relationship between Annex I Parties’ National Inventories and Article 6</w:t>
      </w:r>
      <w:r>
        <w:rPr>
          <w:spacing w:val="-30"/>
          <w:sz w:val="20"/>
        </w:rPr>
        <w:t> </w:t>
      </w:r>
      <w:r>
        <w:rPr>
          <w:sz w:val="20"/>
        </w:rPr>
        <w:t>LULUCF</w:t>
      </w:r>
      <w:r>
        <w:rPr>
          <w:spacing w:val="-3"/>
          <w:sz w:val="20"/>
        </w:rPr>
        <w:t> </w:t>
      </w:r>
      <w:r>
        <w:rPr>
          <w:sz w:val="20"/>
        </w:rPr>
        <w:t>Projects</w:t>
        <w:tab/>
        <w:t>4.19</w:t>
      </w:r>
    </w:p>
    <w:p>
      <w:pPr>
        <w:numPr>
          <w:ilvl w:val="1"/>
          <w:numId w:val="121"/>
        </w:numPr>
        <w:tabs>
          <w:tab w:pos="1179" w:val="left" w:leader="none"/>
          <w:tab w:pos="1180" w:val="left" w:leader="none"/>
          <w:tab w:pos="8878" w:val="left" w:leader="none"/>
        </w:tabs>
        <w:spacing w:before="243"/>
        <w:ind w:left="1179" w:right="167" w:hanging="1020"/>
        <w:jc w:val="left"/>
        <w:rPr>
          <w:b/>
          <w:sz w:val="20"/>
        </w:rPr>
      </w:pPr>
      <w:r>
        <w:rPr>
          <w:b/>
          <w:sz w:val="20"/>
        </w:rPr>
        <w:t>METHODS FOR ESTIMATION, MEASUREMENT, MONITORING AND REPORTING OF LULUCF ACTIVITIES UNDER ARTICLES 3.3</w:t>
      </w:r>
      <w:r>
        <w:rPr>
          <w:b/>
          <w:spacing w:val="-17"/>
          <w:sz w:val="20"/>
        </w:rPr>
        <w:t> </w:t>
      </w:r>
      <w:r>
        <w:rPr>
          <w:b/>
          <w:sz w:val="20"/>
        </w:rPr>
        <w:t>AND</w:t>
      </w:r>
      <w:r>
        <w:rPr>
          <w:b/>
          <w:spacing w:val="-4"/>
          <w:sz w:val="20"/>
        </w:rPr>
        <w:t> </w:t>
      </w:r>
      <w:r>
        <w:rPr>
          <w:b/>
          <w:sz w:val="20"/>
        </w:rPr>
        <w:t>3.4</w:t>
        <w:tab/>
      </w:r>
      <w:r>
        <w:rPr>
          <w:b/>
          <w:spacing w:val="-5"/>
          <w:sz w:val="20"/>
        </w:rPr>
        <w:t>4.20</w:t>
      </w:r>
    </w:p>
    <w:p>
      <w:pPr>
        <w:pStyle w:val="ListParagraph"/>
        <w:numPr>
          <w:ilvl w:val="2"/>
          <w:numId w:val="121"/>
        </w:numPr>
        <w:tabs>
          <w:tab w:pos="1179" w:val="left" w:leader="none"/>
          <w:tab w:pos="1180" w:val="left" w:leader="none"/>
        </w:tabs>
        <w:spacing w:line="240" w:lineRule="auto" w:before="116" w:after="0"/>
        <w:ind w:left="1179" w:right="0" w:hanging="737"/>
        <w:jc w:val="left"/>
        <w:rPr>
          <w:sz w:val="20"/>
        </w:rPr>
      </w:pPr>
      <w:r>
        <w:rPr>
          <w:sz w:val="20"/>
        </w:rPr>
        <w:t>Relationship between UNFCCC Land-Use Categories and Kyoto Protocol (Articles</w:t>
      </w:r>
      <w:r>
        <w:rPr>
          <w:spacing w:val="-9"/>
          <w:sz w:val="20"/>
        </w:rPr>
        <w:t> </w:t>
      </w:r>
      <w:r>
        <w:rPr>
          <w:sz w:val="20"/>
        </w:rPr>
        <w:t>3.3</w:t>
      </w:r>
    </w:p>
    <w:p>
      <w:pPr>
        <w:pStyle w:val="BodyText"/>
        <w:tabs>
          <w:tab w:pos="8879" w:val="left" w:leader="dot"/>
        </w:tabs>
        <w:ind w:left="1179"/>
      </w:pPr>
      <w:r>
        <w:rPr/>
        <w:t>and 3.4)</w:t>
      </w:r>
      <w:r>
        <w:rPr>
          <w:spacing w:val="-4"/>
        </w:rPr>
        <w:t> </w:t>
      </w:r>
      <w:r>
        <w:rPr/>
        <w:t>Land-Use</w:t>
      </w:r>
      <w:r>
        <w:rPr>
          <w:spacing w:val="-3"/>
        </w:rPr>
        <w:t> </w:t>
      </w:r>
      <w:r>
        <w:rPr/>
        <w:t>Categories</w:t>
        <w:tab/>
        <w:t>4.20</w:t>
      </w:r>
    </w:p>
    <w:p>
      <w:pPr>
        <w:pStyle w:val="ListParagraph"/>
        <w:numPr>
          <w:ilvl w:val="2"/>
          <w:numId w:val="121"/>
        </w:numPr>
        <w:tabs>
          <w:tab w:pos="1178" w:val="left" w:leader="none"/>
          <w:tab w:pos="1179" w:val="left" w:leader="none"/>
          <w:tab w:pos="8881" w:val="left" w:leader="dot"/>
        </w:tabs>
        <w:spacing w:line="240" w:lineRule="auto" w:before="118" w:after="0"/>
        <w:ind w:left="1178" w:right="0" w:hanging="736"/>
        <w:jc w:val="left"/>
        <w:rPr>
          <w:sz w:val="20"/>
        </w:rPr>
      </w:pPr>
      <w:r>
        <w:rPr>
          <w:sz w:val="20"/>
        </w:rPr>
        <w:t>Generic Methodologies for Area Identification, Stratification</w:t>
      </w:r>
      <w:r>
        <w:rPr>
          <w:spacing w:val="-28"/>
          <w:sz w:val="20"/>
        </w:rPr>
        <w:t> </w:t>
      </w:r>
      <w:r>
        <w:rPr>
          <w:sz w:val="20"/>
        </w:rPr>
        <w:t>and</w:t>
      </w:r>
      <w:r>
        <w:rPr>
          <w:spacing w:val="-4"/>
          <w:sz w:val="20"/>
        </w:rPr>
        <w:t> </w:t>
      </w:r>
      <w:r>
        <w:rPr>
          <w:sz w:val="20"/>
        </w:rPr>
        <w:t>Reporting</w:t>
        <w:tab/>
        <w:t>4.23</w:t>
      </w:r>
    </w:p>
    <w:p>
      <w:pPr>
        <w:pStyle w:val="ListParagraph"/>
        <w:numPr>
          <w:ilvl w:val="3"/>
          <w:numId w:val="121"/>
        </w:numPr>
        <w:tabs>
          <w:tab w:pos="1614" w:val="left" w:leader="none"/>
          <w:tab w:pos="8879" w:val="left" w:leader="dot"/>
        </w:tabs>
        <w:spacing w:line="240" w:lineRule="auto" w:before="121" w:after="0"/>
        <w:ind w:left="1613" w:right="0" w:hanging="734"/>
        <w:jc w:val="left"/>
        <w:rPr>
          <w:sz w:val="20"/>
        </w:rPr>
      </w:pPr>
      <w:r>
        <w:rPr>
          <w:sz w:val="20"/>
        </w:rPr>
        <w:t>Reporting</w:t>
      </w:r>
      <w:r>
        <w:rPr>
          <w:spacing w:val="-5"/>
          <w:sz w:val="20"/>
        </w:rPr>
        <w:t> </w:t>
      </w:r>
      <w:r>
        <w:rPr>
          <w:sz w:val="20"/>
        </w:rPr>
        <w:t>requirements</w:t>
        <w:tab/>
        <w:t>4.23</w:t>
      </w:r>
    </w:p>
    <w:p>
      <w:pPr>
        <w:pStyle w:val="ListParagraph"/>
        <w:numPr>
          <w:ilvl w:val="3"/>
          <w:numId w:val="121"/>
        </w:numPr>
        <w:tabs>
          <w:tab w:pos="1615" w:val="left" w:leader="none"/>
          <w:tab w:pos="8882" w:val="left" w:leader="dot"/>
        </w:tabs>
        <w:spacing w:line="240" w:lineRule="auto" w:before="120" w:after="0"/>
        <w:ind w:left="1614" w:right="0" w:hanging="735"/>
        <w:jc w:val="left"/>
        <w:rPr>
          <w:sz w:val="20"/>
        </w:rPr>
      </w:pPr>
      <w:r>
        <w:rPr>
          <w:sz w:val="20"/>
        </w:rPr>
        <w:t>Reporting Methods for lands subject to Article 3.3 and Article</w:t>
      </w:r>
      <w:r>
        <w:rPr>
          <w:spacing w:val="-26"/>
          <w:sz w:val="20"/>
        </w:rPr>
        <w:t> </w:t>
      </w:r>
      <w:r>
        <w:rPr>
          <w:sz w:val="20"/>
        </w:rPr>
        <w:t>3.4</w:t>
      </w:r>
      <w:r>
        <w:rPr>
          <w:spacing w:val="-2"/>
          <w:sz w:val="20"/>
        </w:rPr>
        <w:t> </w:t>
      </w:r>
      <w:r>
        <w:rPr>
          <w:sz w:val="20"/>
        </w:rPr>
        <w:t>activities</w:t>
        <w:tab/>
        <w:t>4.24</w:t>
      </w:r>
    </w:p>
    <w:p>
      <w:pPr>
        <w:pStyle w:val="ListParagraph"/>
        <w:numPr>
          <w:ilvl w:val="3"/>
          <w:numId w:val="121"/>
        </w:numPr>
        <w:tabs>
          <w:tab w:pos="1616" w:val="left" w:leader="none"/>
          <w:tab w:pos="8882" w:val="left" w:leader="dot"/>
        </w:tabs>
        <w:spacing w:line="240" w:lineRule="auto" w:before="121" w:after="0"/>
        <w:ind w:left="1615" w:right="0" w:hanging="736"/>
        <w:jc w:val="left"/>
        <w:rPr>
          <w:sz w:val="20"/>
        </w:rPr>
      </w:pPr>
      <w:r>
        <w:rPr>
          <w:sz w:val="20"/>
        </w:rPr>
        <w:t>Relationship between Approaches in Chapter 2 and Reporting Methods in</w:t>
      </w:r>
      <w:r>
        <w:rPr>
          <w:spacing w:val="-30"/>
          <w:sz w:val="20"/>
        </w:rPr>
        <w:t> </w:t>
      </w:r>
      <w:r>
        <w:rPr>
          <w:sz w:val="20"/>
        </w:rPr>
        <w:t>Chapter</w:t>
      </w:r>
      <w:r>
        <w:rPr>
          <w:spacing w:val="-2"/>
          <w:sz w:val="20"/>
        </w:rPr>
        <w:t> </w:t>
      </w:r>
      <w:r>
        <w:rPr>
          <w:sz w:val="20"/>
        </w:rPr>
        <w:t>4</w:t>
        <w:tab/>
        <w:t>4.25</w:t>
      </w:r>
    </w:p>
    <w:p>
      <w:pPr>
        <w:pStyle w:val="ListParagraph"/>
        <w:numPr>
          <w:ilvl w:val="3"/>
          <w:numId w:val="121"/>
        </w:numPr>
        <w:tabs>
          <w:tab w:pos="1615" w:val="left" w:leader="none"/>
          <w:tab w:pos="8879" w:val="left" w:leader="dot"/>
        </w:tabs>
        <w:spacing w:line="240" w:lineRule="auto" w:before="118" w:after="0"/>
        <w:ind w:left="1614" w:right="0" w:hanging="735"/>
        <w:jc w:val="left"/>
        <w:rPr>
          <w:sz w:val="20"/>
        </w:rPr>
      </w:pPr>
      <w:r>
        <w:rPr>
          <w:sz w:val="20"/>
        </w:rPr>
        <w:t>Choice of</w:t>
      </w:r>
      <w:r>
        <w:rPr>
          <w:spacing w:val="-4"/>
          <w:sz w:val="20"/>
        </w:rPr>
        <w:t> </w:t>
      </w:r>
      <w:r>
        <w:rPr>
          <w:sz w:val="20"/>
        </w:rPr>
        <w:t>Reporting</w:t>
      </w:r>
      <w:r>
        <w:rPr>
          <w:spacing w:val="-4"/>
          <w:sz w:val="20"/>
        </w:rPr>
        <w:t> </w:t>
      </w:r>
      <w:r>
        <w:rPr>
          <w:sz w:val="20"/>
        </w:rPr>
        <w:t>Method</w:t>
        <w:tab/>
        <w:t>4.26</w:t>
      </w:r>
    </w:p>
    <w:p>
      <w:pPr>
        <w:pStyle w:val="ListParagraph"/>
        <w:numPr>
          <w:ilvl w:val="3"/>
          <w:numId w:val="121"/>
        </w:numPr>
        <w:tabs>
          <w:tab w:pos="1615" w:val="left" w:leader="none"/>
          <w:tab w:pos="8878" w:val="left" w:leader="dot"/>
        </w:tabs>
        <w:spacing w:line="240" w:lineRule="auto" w:before="120" w:after="0"/>
        <w:ind w:left="1614" w:right="0" w:hanging="735"/>
        <w:jc w:val="left"/>
        <w:rPr>
          <w:sz w:val="20"/>
        </w:rPr>
      </w:pPr>
      <w:r>
        <w:rPr>
          <w:sz w:val="20"/>
        </w:rPr>
        <w:t>How to identify lands (units of land)</w:t>
      </w:r>
      <w:r>
        <w:rPr>
          <w:spacing w:val="-16"/>
          <w:sz w:val="20"/>
        </w:rPr>
        <w:t> </w:t>
      </w:r>
      <w:r>
        <w:rPr>
          <w:sz w:val="20"/>
        </w:rPr>
        <w:t>in</w:t>
      </w:r>
      <w:r>
        <w:rPr>
          <w:spacing w:val="-2"/>
          <w:sz w:val="20"/>
        </w:rPr>
        <w:t> </w:t>
      </w:r>
      <w:r>
        <w:rPr>
          <w:sz w:val="20"/>
        </w:rPr>
        <w:t>general</w:t>
        <w:tab/>
        <w:t>4.27</w:t>
      </w:r>
    </w:p>
    <w:p>
      <w:pPr>
        <w:pStyle w:val="ListParagraph"/>
        <w:numPr>
          <w:ilvl w:val="2"/>
          <w:numId w:val="121"/>
        </w:numPr>
        <w:tabs>
          <w:tab w:pos="1179" w:val="left" w:leader="none"/>
          <w:tab w:pos="1180" w:val="left" w:leader="none"/>
        </w:tabs>
        <w:spacing w:line="240" w:lineRule="auto" w:before="120" w:after="0"/>
        <w:ind w:left="1179" w:right="0" w:hanging="737"/>
        <w:jc w:val="left"/>
        <w:rPr>
          <w:sz w:val="20"/>
        </w:rPr>
      </w:pPr>
      <w:r>
        <w:rPr>
          <w:sz w:val="20"/>
        </w:rPr>
        <w:t>Generic Methodological Issues For Estimating Carbon Stock Changes And</w:t>
      </w:r>
      <w:r>
        <w:rPr>
          <w:spacing w:val="-11"/>
          <w:sz w:val="20"/>
        </w:rPr>
        <w:t> </w:t>
      </w:r>
      <w:r>
        <w:rPr>
          <w:sz w:val="20"/>
        </w:rPr>
        <w:t>Non-CO</w:t>
      </w:r>
      <w:r>
        <w:rPr>
          <w:sz w:val="20"/>
          <w:vertAlign w:val="subscript"/>
        </w:rPr>
        <w:t>2</w:t>
      </w:r>
    </w:p>
    <w:p>
      <w:pPr>
        <w:pStyle w:val="BodyText"/>
        <w:tabs>
          <w:tab w:pos="8879" w:val="left" w:leader="dot"/>
        </w:tabs>
        <w:spacing w:before="1"/>
        <w:ind w:left="1179"/>
      </w:pPr>
      <w:r>
        <w:rPr/>
        <w:t>Greenhouse</w:t>
      </w:r>
      <w:r>
        <w:rPr>
          <w:spacing w:val="-2"/>
        </w:rPr>
        <w:t> </w:t>
      </w:r>
      <w:r>
        <w:rPr/>
        <w:t>Gas</w:t>
      </w:r>
      <w:r>
        <w:rPr>
          <w:spacing w:val="-4"/>
        </w:rPr>
        <w:t> </w:t>
      </w:r>
      <w:r>
        <w:rPr/>
        <w:t>Emissions</w:t>
        <w:tab/>
        <w:t>4.29</w:t>
      </w:r>
    </w:p>
    <w:p>
      <w:pPr>
        <w:pStyle w:val="ListParagraph"/>
        <w:numPr>
          <w:ilvl w:val="3"/>
          <w:numId w:val="121"/>
        </w:numPr>
        <w:tabs>
          <w:tab w:pos="1615" w:val="left" w:leader="none"/>
          <w:tab w:pos="8879" w:val="left" w:leader="dot"/>
        </w:tabs>
        <w:spacing w:line="240" w:lineRule="auto" w:before="118" w:after="0"/>
        <w:ind w:left="1614" w:right="0" w:hanging="735"/>
        <w:jc w:val="left"/>
        <w:rPr>
          <w:sz w:val="20"/>
        </w:rPr>
      </w:pPr>
      <w:r>
        <w:rPr>
          <w:sz w:val="20"/>
        </w:rPr>
        <w:t>Pools to</w:t>
      </w:r>
      <w:r>
        <w:rPr>
          <w:spacing w:val="-5"/>
          <w:sz w:val="20"/>
        </w:rPr>
        <w:t> </w:t>
      </w:r>
      <w:r>
        <w:rPr>
          <w:sz w:val="20"/>
        </w:rPr>
        <w:t>be reported</w:t>
        <w:tab/>
        <w:t>4.30</w:t>
      </w:r>
    </w:p>
    <w:p>
      <w:pPr>
        <w:pStyle w:val="ListParagraph"/>
        <w:numPr>
          <w:ilvl w:val="3"/>
          <w:numId w:val="121"/>
        </w:numPr>
        <w:tabs>
          <w:tab w:pos="1616" w:val="left" w:leader="none"/>
          <w:tab w:pos="8878" w:val="left" w:leader="dot"/>
        </w:tabs>
        <w:spacing w:line="364" w:lineRule="auto" w:before="120" w:after="0"/>
        <w:ind w:left="879" w:right="166" w:firstLine="0"/>
        <w:jc w:val="left"/>
        <w:rPr>
          <w:sz w:val="20"/>
        </w:rPr>
      </w:pPr>
      <w:r>
        <w:rPr>
          <w:sz w:val="20"/>
        </w:rPr>
        <w:t>Years for which to estimate carbon stock changes and non-CO</w:t>
      </w:r>
      <w:r>
        <w:rPr>
          <w:sz w:val="20"/>
          <w:vertAlign w:val="subscript"/>
        </w:rPr>
        <w:t>2</w:t>
      </w:r>
      <w:r>
        <w:rPr>
          <w:sz w:val="20"/>
          <w:vertAlign w:val="baseline"/>
        </w:rPr>
        <w:t> greenhouse gas emissions 4.31 4.2.3.3    Reporting and</w:t>
      </w:r>
      <w:r>
        <w:rPr>
          <w:spacing w:val="-27"/>
          <w:sz w:val="20"/>
          <w:vertAlign w:val="baseline"/>
        </w:rPr>
        <w:t> </w:t>
      </w:r>
      <w:r>
        <w:rPr>
          <w:sz w:val="20"/>
          <w:vertAlign w:val="baseline"/>
        </w:rPr>
        <w:t>measurement</w:t>
      </w:r>
      <w:r>
        <w:rPr>
          <w:spacing w:val="-2"/>
          <w:sz w:val="20"/>
          <w:vertAlign w:val="baseline"/>
        </w:rPr>
        <w:t> </w:t>
      </w:r>
      <w:r>
        <w:rPr>
          <w:sz w:val="20"/>
          <w:vertAlign w:val="baseline"/>
        </w:rPr>
        <w:t>intervals</w:t>
        <w:tab/>
      </w:r>
      <w:r>
        <w:rPr>
          <w:spacing w:val="-4"/>
          <w:sz w:val="20"/>
          <w:vertAlign w:val="baseline"/>
        </w:rPr>
        <w:t>4.32</w:t>
      </w:r>
    </w:p>
    <w:p>
      <w:pPr>
        <w:pStyle w:val="ListParagraph"/>
        <w:numPr>
          <w:ilvl w:val="3"/>
          <w:numId w:val="122"/>
        </w:numPr>
        <w:tabs>
          <w:tab w:pos="1615" w:val="left" w:leader="none"/>
          <w:tab w:pos="8879" w:val="left" w:leader="dot"/>
        </w:tabs>
        <w:spacing w:line="240" w:lineRule="auto" w:before="2" w:after="0"/>
        <w:ind w:left="1614" w:right="0" w:hanging="735"/>
        <w:jc w:val="left"/>
        <w:rPr>
          <w:sz w:val="20"/>
        </w:rPr>
      </w:pPr>
      <w:r>
        <w:rPr>
          <w:sz w:val="20"/>
        </w:rPr>
        <w:t>Choice</w:t>
      </w:r>
      <w:r>
        <w:rPr>
          <w:spacing w:val="-2"/>
          <w:sz w:val="20"/>
        </w:rPr>
        <w:t> </w:t>
      </w:r>
      <w:r>
        <w:rPr>
          <w:sz w:val="20"/>
        </w:rPr>
        <w:t>of</w:t>
      </w:r>
      <w:r>
        <w:rPr>
          <w:spacing w:val="-1"/>
          <w:sz w:val="20"/>
        </w:rPr>
        <w:t> </w:t>
      </w:r>
      <w:r>
        <w:rPr>
          <w:sz w:val="20"/>
        </w:rPr>
        <w:t>method</w:t>
        <w:tab/>
        <w:t>4.32</w:t>
      </w:r>
    </w:p>
    <w:p>
      <w:pPr>
        <w:pStyle w:val="ListParagraph"/>
        <w:numPr>
          <w:ilvl w:val="3"/>
          <w:numId w:val="122"/>
        </w:numPr>
        <w:tabs>
          <w:tab w:pos="1615" w:val="left" w:leader="none"/>
          <w:tab w:pos="8879" w:val="left" w:leader="dot"/>
        </w:tabs>
        <w:spacing w:line="240" w:lineRule="auto" w:before="118" w:after="0"/>
        <w:ind w:left="1614" w:right="0" w:hanging="735"/>
        <w:jc w:val="left"/>
        <w:rPr>
          <w:sz w:val="20"/>
        </w:rPr>
      </w:pPr>
      <w:r>
        <w:rPr>
          <w:sz w:val="20"/>
        </w:rPr>
        <w:t>Factoring out indirect, natural and</w:t>
      </w:r>
      <w:r>
        <w:rPr>
          <w:spacing w:val="-19"/>
          <w:sz w:val="20"/>
        </w:rPr>
        <w:t> </w:t>
      </w:r>
      <w:r>
        <w:rPr>
          <w:sz w:val="20"/>
        </w:rPr>
        <w:t>pre-1990</w:t>
      </w:r>
      <w:r>
        <w:rPr>
          <w:spacing w:val="-3"/>
          <w:sz w:val="20"/>
        </w:rPr>
        <w:t> </w:t>
      </w:r>
      <w:r>
        <w:rPr>
          <w:sz w:val="20"/>
        </w:rPr>
        <w:t>effects</w:t>
        <w:tab/>
        <w:t>4.32</w:t>
      </w:r>
    </w:p>
    <w:p>
      <w:pPr>
        <w:pStyle w:val="ListParagraph"/>
        <w:numPr>
          <w:ilvl w:val="3"/>
          <w:numId w:val="122"/>
        </w:numPr>
        <w:tabs>
          <w:tab w:pos="1615" w:val="left" w:leader="none"/>
          <w:tab w:pos="8879" w:val="left" w:leader="dot"/>
        </w:tabs>
        <w:spacing w:line="240" w:lineRule="auto" w:before="120" w:after="0"/>
        <w:ind w:left="1614" w:right="0" w:hanging="735"/>
        <w:jc w:val="left"/>
        <w:rPr>
          <w:sz w:val="20"/>
        </w:rPr>
      </w:pPr>
      <w:r>
        <w:rPr>
          <w:sz w:val="20"/>
        </w:rPr>
        <w:t>Disturbances</w:t>
        <w:tab/>
        <w:t>4.33</w:t>
      </w:r>
    </w:p>
    <w:p>
      <w:pPr>
        <w:pStyle w:val="ListParagraph"/>
        <w:numPr>
          <w:ilvl w:val="3"/>
          <w:numId w:val="122"/>
        </w:numPr>
        <w:tabs>
          <w:tab w:pos="1615" w:val="left" w:leader="none"/>
          <w:tab w:pos="8879" w:val="left" w:leader="dot"/>
        </w:tabs>
        <w:spacing w:line="240" w:lineRule="auto" w:before="121" w:after="0"/>
        <w:ind w:left="1614" w:right="0" w:hanging="735"/>
        <w:jc w:val="left"/>
        <w:rPr>
          <w:sz w:val="20"/>
        </w:rPr>
      </w:pPr>
      <w:r>
        <w:rPr>
          <w:sz w:val="20"/>
        </w:rPr>
        <w:t>Interannual</w:t>
      </w:r>
      <w:r>
        <w:rPr>
          <w:spacing w:val="-3"/>
          <w:sz w:val="20"/>
        </w:rPr>
        <w:t> </w:t>
      </w:r>
      <w:r>
        <w:rPr>
          <w:sz w:val="20"/>
        </w:rPr>
        <w:t>variability</w:t>
        <w:tab/>
        <w:t>4.33</w:t>
      </w:r>
    </w:p>
    <w:p>
      <w:pPr>
        <w:pStyle w:val="ListParagraph"/>
        <w:numPr>
          <w:ilvl w:val="2"/>
          <w:numId w:val="122"/>
        </w:numPr>
        <w:tabs>
          <w:tab w:pos="1177" w:val="left" w:leader="none"/>
          <w:tab w:pos="1179" w:val="left" w:leader="none"/>
          <w:tab w:pos="8879" w:val="left" w:leader="dot"/>
        </w:tabs>
        <w:spacing w:line="240" w:lineRule="auto" w:before="120" w:after="0"/>
        <w:ind w:left="1178" w:right="0" w:hanging="736"/>
        <w:jc w:val="left"/>
        <w:rPr>
          <w:sz w:val="20"/>
        </w:rPr>
      </w:pPr>
      <w:r>
        <w:rPr>
          <w:sz w:val="20"/>
        </w:rPr>
        <w:t>Other Generic</w:t>
      </w:r>
      <w:r>
        <w:rPr>
          <w:spacing w:val="-7"/>
          <w:sz w:val="20"/>
        </w:rPr>
        <w:t> </w:t>
      </w:r>
      <w:r>
        <w:rPr>
          <w:sz w:val="20"/>
        </w:rPr>
        <w:t>Methodological</w:t>
      </w:r>
      <w:r>
        <w:rPr>
          <w:spacing w:val="-3"/>
          <w:sz w:val="20"/>
        </w:rPr>
        <w:t> </w:t>
      </w:r>
      <w:r>
        <w:rPr>
          <w:sz w:val="20"/>
        </w:rPr>
        <w:t>Issues</w:t>
        <w:tab/>
        <w:t>4.34</w:t>
      </w:r>
    </w:p>
    <w:p>
      <w:pPr>
        <w:pStyle w:val="ListParagraph"/>
        <w:numPr>
          <w:ilvl w:val="3"/>
          <w:numId w:val="123"/>
        </w:numPr>
        <w:tabs>
          <w:tab w:pos="1615" w:val="left" w:leader="none"/>
          <w:tab w:pos="8878" w:val="left" w:leader="dot"/>
        </w:tabs>
        <w:spacing w:line="240" w:lineRule="auto" w:before="118" w:after="0"/>
        <w:ind w:left="1614" w:right="0" w:hanging="735"/>
        <w:jc w:val="left"/>
        <w:rPr>
          <w:sz w:val="20"/>
        </w:rPr>
      </w:pPr>
      <w:r>
        <w:rPr>
          <w:sz w:val="20"/>
        </w:rPr>
        <w:t>Developing a consistent</w:t>
      </w:r>
      <w:r>
        <w:rPr>
          <w:spacing w:val="-7"/>
          <w:sz w:val="20"/>
        </w:rPr>
        <w:t> </w:t>
      </w:r>
      <w:r>
        <w:rPr>
          <w:sz w:val="20"/>
        </w:rPr>
        <w:t>time</w:t>
      </w:r>
      <w:r>
        <w:rPr>
          <w:spacing w:val="-2"/>
          <w:sz w:val="20"/>
        </w:rPr>
        <w:t> </w:t>
      </w:r>
      <w:r>
        <w:rPr>
          <w:sz w:val="20"/>
        </w:rPr>
        <w:t>series</w:t>
        <w:tab/>
        <w:t>4.34</w:t>
      </w:r>
    </w:p>
    <w:p>
      <w:pPr>
        <w:pStyle w:val="ListParagraph"/>
        <w:numPr>
          <w:ilvl w:val="3"/>
          <w:numId w:val="123"/>
        </w:numPr>
        <w:tabs>
          <w:tab w:pos="1615" w:val="left" w:leader="none"/>
          <w:tab w:pos="8879" w:val="left" w:leader="dot"/>
        </w:tabs>
        <w:spacing w:line="240" w:lineRule="auto" w:before="121" w:after="0"/>
        <w:ind w:left="1614" w:right="0" w:hanging="735"/>
        <w:jc w:val="left"/>
        <w:rPr>
          <w:sz w:val="20"/>
        </w:rPr>
      </w:pPr>
      <w:r>
        <w:rPr>
          <w:sz w:val="20"/>
        </w:rPr>
        <w:t>Uncertainty</w:t>
      </w:r>
      <w:r>
        <w:rPr>
          <w:spacing w:val="-7"/>
          <w:sz w:val="20"/>
        </w:rPr>
        <w:t> </w:t>
      </w:r>
      <w:r>
        <w:rPr>
          <w:sz w:val="20"/>
        </w:rPr>
        <w:t>assessment</w:t>
        <w:tab/>
        <w:t>4.36</w:t>
      </w:r>
    </w:p>
    <w:p>
      <w:pPr>
        <w:pStyle w:val="ListParagraph"/>
        <w:numPr>
          <w:ilvl w:val="3"/>
          <w:numId w:val="123"/>
        </w:numPr>
        <w:tabs>
          <w:tab w:pos="1615" w:val="left" w:leader="none"/>
          <w:tab w:pos="8879" w:val="left" w:leader="dot"/>
        </w:tabs>
        <w:spacing w:line="240" w:lineRule="auto" w:before="120" w:after="0"/>
        <w:ind w:left="1614" w:right="0" w:hanging="735"/>
        <w:jc w:val="left"/>
        <w:rPr>
          <w:sz w:val="20"/>
        </w:rPr>
      </w:pPr>
      <w:r>
        <w:rPr>
          <w:sz w:val="20"/>
        </w:rPr>
        <w:t>Reporting</w:t>
      </w:r>
      <w:r>
        <w:rPr>
          <w:spacing w:val="-4"/>
          <w:sz w:val="20"/>
        </w:rPr>
        <w:t> </w:t>
      </w:r>
      <w:r>
        <w:rPr>
          <w:sz w:val="20"/>
        </w:rPr>
        <w:t>and</w:t>
      </w:r>
      <w:r>
        <w:rPr>
          <w:spacing w:val="-3"/>
          <w:sz w:val="20"/>
        </w:rPr>
        <w:t> </w:t>
      </w:r>
      <w:r>
        <w:rPr>
          <w:sz w:val="20"/>
        </w:rPr>
        <w:t>documentation</w:t>
        <w:tab/>
        <w:t>4.39</w:t>
      </w:r>
    </w:p>
    <w:p>
      <w:pPr>
        <w:pStyle w:val="ListParagraph"/>
        <w:numPr>
          <w:ilvl w:val="3"/>
          <w:numId w:val="123"/>
        </w:numPr>
        <w:tabs>
          <w:tab w:pos="1615" w:val="left" w:leader="none"/>
          <w:tab w:pos="8878" w:val="left" w:leader="dot"/>
        </w:tabs>
        <w:spacing w:line="240" w:lineRule="auto" w:before="121" w:after="0"/>
        <w:ind w:left="1614" w:right="0" w:hanging="735"/>
        <w:jc w:val="left"/>
        <w:rPr>
          <w:sz w:val="20"/>
        </w:rPr>
      </w:pPr>
      <w:r>
        <w:rPr>
          <w:sz w:val="20"/>
        </w:rPr>
        <w:t>Quality assurance and</w:t>
      </w:r>
      <w:r>
        <w:rPr>
          <w:spacing w:val="-7"/>
          <w:sz w:val="20"/>
        </w:rPr>
        <w:t> </w:t>
      </w:r>
      <w:r>
        <w:rPr>
          <w:sz w:val="20"/>
        </w:rPr>
        <w:t>quality</w:t>
      </w:r>
      <w:r>
        <w:rPr>
          <w:spacing w:val="-4"/>
          <w:sz w:val="20"/>
        </w:rPr>
        <w:t> </w:t>
      </w:r>
      <w:r>
        <w:rPr>
          <w:sz w:val="20"/>
        </w:rPr>
        <w:t>control</w:t>
        <w:tab/>
        <w:t>4.50</w:t>
      </w:r>
    </w:p>
    <w:p>
      <w:pPr>
        <w:pStyle w:val="ListParagraph"/>
        <w:numPr>
          <w:ilvl w:val="3"/>
          <w:numId w:val="123"/>
        </w:numPr>
        <w:tabs>
          <w:tab w:pos="1615" w:val="left" w:leader="none"/>
          <w:tab w:pos="8879" w:val="left" w:leader="dot"/>
        </w:tabs>
        <w:spacing w:line="240" w:lineRule="auto" w:before="118" w:after="0"/>
        <w:ind w:left="1614" w:right="0" w:hanging="735"/>
        <w:jc w:val="left"/>
        <w:rPr>
          <w:sz w:val="20"/>
        </w:rPr>
      </w:pPr>
      <w:r>
        <w:rPr>
          <w:sz w:val="20"/>
        </w:rPr>
        <w:t>Verification</w:t>
        <w:tab/>
        <w:t>4.50</w:t>
      </w:r>
    </w:p>
    <w:p>
      <w:pPr>
        <w:pStyle w:val="ListParagraph"/>
        <w:numPr>
          <w:ilvl w:val="2"/>
          <w:numId w:val="123"/>
        </w:numPr>
        <w:tabs>
          <w:tab w:pos="1177" w:val="left" w:leader="none"/>
          <w:tab w:pos="1178" w:val="left" w:leader="none"/>
          <w:tab w:pos="8879" w:val="left" w:leader="dot"/>
        </w:tabs>
        <w:spacing w:line="240" w:lineRule="auto" w:before="120" w:after="0"/>
        <w:ind w:left="1177" w:right="0" w:hanging="735"/>
        <w:jc w:val="left"/>
        <w:rPr>
          <w:sz w:val="20"/>
        </w:rPr>
      </w:pPr>
      <w:r>
        <w:rPr>
          <w:sz w:val="20"/>
        </w:rPr>
        <w:t>Afforestation</w:t>
      </w:r>
      <w:r>
        <w:rPr>
          <w:spacing w:val="-4"/>
          <w:sz w:val="20"/>
        </w:rPr>
        <w:t> </w:t>
      </w:r>
      <w:r>
        <w:rPr>
          <w:sz w:val="20"/>
        </w:rPr>
        <w:t>and</w:t>
      </w:r>
      <w:r>
        <w:rPr>
          <w:spacing w:val="-3"/>
          <w:sz w:val="20"/>
        </w:rPr>
        <w:t> </w:t>
      </w:r>
      <w:r>
        <w:rPr>
          <w:sz w:val="20"/>
        </w:rPr>
        <w:t>Reforestation</w:t>
        <w:tab/>
        <w:t>4.51</w:t>
      </w:r>
    </w:p>
    <w:p>
      <w:pPr>
        <w:pStyle w:val="ListParagraph"/>
        <w:numPr>
          <w:ilvl w:val="3"/>
          <w:numId w:val="123"/>
        </w:numPr>
        <w:tabs>
          <w:tab w:pos="1614" w:val="left" w:leader="none"/>
          <w:tab w:pos="8876" w:val="left" w:leader="dot"/>
        </w:tabs>
        <w:spacing w:line="240" w:lineRule="auto" w:before="120" w:after="0"/>
        <w:ind w:left="1613" w:right="0" w:hanging="734"/>
        <w:jc w:val="left"/>
        <w:rPr>
          <w:sz w:val="20"/>
        </w:rPr>
      </w:pPr>
      <w:r>
        <w:rPr>
          <w:sz w:val="20"/>
        </w:rPr>
        <w:t>Definitional issues and</w:t>
      </w:r>
      <w:r>
        <w:rPr>
          <w:spacing w:val="-11"/>
          <w:sz w:val="20"/>
        </w:rPr>
        <w:t> </w:t>
      </w:r>
      <w:r>
        <w:rPr>
          <w:sz w:val="20"/>
        </w:rPr>
        <w:t>reporting</w:t>
      </w:r>
      <w:r>
        <w:rPr>
          <w:spacing w:val="-4"/>
          <w:sz w:val="20"/>
        </w:rPr>
        <w:t> </w:t>
      </w:r>
      <w:r>
        <w:rPr>
          <w:sz w:val="20"/>
        </w:rPr>
        <w:t>requirements</w:t>
        <w:tab/>
        <w:t>4.51</w:t>
      </w:r>
    </w:p>
    <w:p>
      <w:pPr>
        <w:pStyle w:val="ListParagraph"/>
        <w:numPr>
          <w:ilvl w:val="3"/>
          <w:numId w:val="123"/>
        </w:numPr>
        <w:tabs>
          <w:tab w:pos="1616" w:val="left" w:leader="none"/>
        </w:tabs>
        <w:spacing w:line="229" w:lineRule="exact" w:before="121" w:after="0"/>
        <w:ind w:left="1615" w:right="0" w:hanging="736"/>
        <w:jc w:val="left"/>
        <w:rPr>
          <w:sz w:val="20"/>
        </w:rPr>
      </w:pPr>
      <w:r>
        <w:rPr>
          <w:sz w:val="20"/>
        </w:rPr>
        <w:t>Choice of methods for identifying units of land subject to direct</w:t>
      </w:r>
      <w:r>
        <w:rPr>
          <w:spacing w:val="-11"/>
          <w:sz w:val="20"/>
        </w:rPr>
        <w:t> </w:t>
      </w:r>
      <w:r>
        <w:rPr>
          <w:sz w:val="20"/>
        </w:rPr>
        <w:t>human-induced</w:t>
      </w:r>
    </w:p>
    <w:p>
      <w:pPr>
        <w:pStyle w:val="BodyText"/>
        <w:tabs>
          <w:tab w:pos="8878" w:val="left" w:leader="dot"/>
        </w:tabs>
        <w:spacing w:line="229" w:lineRule="exact"/>
        <w:ind w:left="1616"/>
      </w:pPr>
      <w:r>
        <w:rPr/>
        <w:t>afforestation/</w:t>
      </w:r>
      <w:r>
        <w:rPr>
          <w:spacing w:val="-5"/>
        </w:rPr>
        <w:t> </w:t>
      </w:r>
      <w:r>
        <w:rPr/>
        <w:t>reforestation</w:t>
        <w:tab/>
        <w:t>4.51</w:t>
      </w:r>
    </w:p>
    <w:p>
      <w:pPr>
        <w:pStyle w:val="ListParagraph"/>
        <w:numPr>
          <w:ilvl w:val="3"/>
          <w:numId w:val="123"/>
        </w:numPr>
        <w:tabs>
          <w:tab w:pos="1616" w:val="left" w:leader="none"/>
          <w:tab w:pos="8879" w:val="left" w:leader="dot"/>
        </w:tabs>
        <w:spacing w:line="240" w:lineRule="auto" w:before="120" w:after="0"/>
        <w:ind w:left="1615" w:right="0" w:hanging="736"/>
        <w:jc w:val="left"/>
        <w:rPr>
          <w:sz w:val="20"/>
        </w:rPr>
      </w:pPr>
      <w:r>
        <w:rPr>
          <w:sz w:val="20"/>
        </w:rPr>
        <w:t>Choice of methods for estimating carbon stock changes and</w:t>
      </w:r>
      <w:r>
        <w:rPr>
          <w:spacing w:val="-32"/>
          <w:sz w:val="20"/>
        </w:rPr>
        <w:t> </w:t>
      </w:r>
      <w:r>
        <w:rPr>
          <w:sz w:val="20"/>
        </w:rPr>
        <w:t>non-CO</w:t>
      </w:r>
      <w:r>
        <w:rPr>
          <w:sz w:val="20"/>
          <w:vertAlign w:val="subscript"/>
        </w:rPr>
        <w:t>2</w:t>
      </w:r>
      <w:r>
        <w:rPr>
          <w:spacing w:val="-3"/>
          <w:sz w:val="20"/>
          <w:vertAlign w:val="baseline"/>
        </w:rPr>
        <w:t> </w:t>
      </w:r>
      <w:r>
        <w:rPr>
          <w:sz w:val="20"/>
          <w:vertAlign w:val="baseline"/>
        </w:rPr>
        <w:t>emissions</w:t>
        <w:tab/>
        <w:t>4.54</w:t>
      </w:r>
    </w:p>
    <w:p>
      <w:pPr>
        <w:pStyle w:val="ListParagraph"/>
        <w:numPr>
          <w:ilvl w:val="2"/>
          <w:numId w:val="123"/>
        </w:numPr>
        <w:tabs>
          <w:tab w:pos="1177" w:val="left" w:leader="none"/>
          <w:tab w:pos="1178" w:val="left" w:leader="none"/>
          <w:tab w:pos="8879" w:val="left" w:leader="dot"/>
        </w:tabs>
        <w:spacing w:line="240" w:lineRule="auto" w:before="121" w:after="0"/>
        <w:ind w:left="1177" w:right="0" w:hanging="735"/>
        <w:jc w:val="left"/>
        <w:rPr>
          <w:sz w:val="20"/>
        </w:rPr>
      </w:pPr>
      <w:r>
        <w:rPr>
          <w:sz w:val="20"/>
        </w:rPr>
        <w:t>Deforestation</w:t>
        <w:tab/>
        <w:t>4.56</w:t>
      </w:r>
    </w:p>
    <w:p>
      <w:pPr>
        <w:pStyle w:val="ListParagraph"/>
        <w:numPr>
          <w:ilvl w:val="3"/>
          <w:numId w:val="123"/>
        </w:numPr>
        <w:tabs>
          <w:tab w:pos="1614" w:val="left" w:leader="none"/>
          <w:tab w:pos="8877" w:val="left" w:leader="dot"/>
        </w:tabs>
        <w:spacing w:line="240" w:lineRule="auto" w:before="120" w:after="0"/>
        <w:ind w:left="1613" w:right="0" w:hanging="734"/>
        <w:jc w:val="left"/>
        <w:rPr>
          <w:sz w:val="20"/>
        </w:rPr>
      </w:pPr>
      <w:r>
        <w:rPr>
          <w:sz w:val="20"/>
        </w:rPr>
        <w:t>Definitional issues and</w:t>
      </w:r>
      <w:r>
        <w:rPr>
          <w:spacing w:val="-11"/>
          <w:sz w:val="20"/>
        </w:rPr>
        <w:t> </w:t>
      </w:r>
      <w:r>
        <w:rPr>
          <w:sz w:val="20"/>
        </w:rPr>
        <w:t>reporting</w:t>
      </w:r>
      <w:r>
        <w:rPr>
          <w:spacing w:val="-4"/>
          <w:sz w:val="20"/>
        </w:rPr>
        <w:t> </w:t>
      </w:r>
      <w:r>
        <w:rPr>
          <w:sz w:val="20"/>
        </w:rPr>
        <w:t>requirements</w:t>
        <w:tab/>
        <w:t>4.56</w:t>
      </w:r>
    </w:p>
    <w:p>
      <w:pPr>
        <w:spacing w:after="0" w:line="240" w:lineRule="auto"/>
        <w:jc w:val="left"/>
        <w:rPr>
          <w:sz w:val="20"/>
        </w:rPr>
        <w:sectPr>
          <w:pgSz w:w="11900" w:h="16840"/>
          <w:pgMar w:header="230" w:footer="408" w:top="560" w:bottom="600" w:left="1260" w:right="1240"/>
        </w:sectPr>
      </w:pPr>
    </w:p>
    <w:p>
      <w:pPr>
        <w:pStyle w:val="ListParagraph"/>
        <w:numPr>
          <w:ilvl w:val="3"/>
          <w:numId w:val="123"/>
        </w:numPr>
        <w:tabs>
          <w:tab w:pos="1616" w:val="left" w:leader="none"/>
        </w:tabs>
        <w:spacing w:line="240" w:lineRule="auto" w:before="439" w:after="0"/>
        <w:ind w:left="1615" w:right="0" w:hanging="736"/>
        <w:jc w:val="left"/>
        <w:rPr>
          <w:sz w:val="20"/>
        </w:rPr>
      </w:pPr>
      <w:r>
        <w:rPr>
          <w:sz w:val="20"/>
        </w:rPr>
        <w:t>Choice of methods for identifying units of land subject to direct</w:t>
      </w:r>
      <w:r>
        <w:rPr>
          <w:spacing w:val="-11"/>
          <w:sz w:val="20"/>
        </w:rPr>
        <w:t> </w:t>
      </w:r>
      <w:r>
        <w:rPr>
          <w:sz w:val="20"/>
        </w:rPr>
        <w:t>human-induced</w:t>
      </w:r>
    </w:p>
    <w:p>
      <w:pPr>
        <w:pStyle w:val="BodyText"/>
        <w:tabs>
          <w:tab w:pos="8879" w:val="left" w:leader="dot"/>
        </w:tabs>
        <w:spacing w:before="120"/>
        <w:ind w:left="1616"/>
      </w:pPr>
      <w:r>
        <w:rPr/>
        <w:t>deforestation</w:t>
        <w:tab/>
        <w:t>4.57</w:t>
      </w:r>
    </w:p>
    <w:p>
      <w:pPr>
        <w:pStyle w:val="ListParagraph"/>
        <w:numPr>
          <w:ilvl w:val="3"/>
          <w:numId w:val="123"/>
        </w:numPr>
        <w:tabs>
          <w:tab w:pos="1616" w:val="left" w:leader="none"/>
          <w:tab w:pos="8879" w:val="left" w:leader="dot"/>
        </w:tabs>
        <w:spacing w:line="240" w:lineRule="auto" w:before="121" w:after="0"/>
        <w:ind w:left="1616" w:right="166" w:hanging="737"/>
        <w:jc w:val="left"/>
        <w:rPr>
          <w:sz w:val="20"/>
        </w:rPr>
      </w:pPr>
      <w:r>
        <w:rPr>
          <w:sz w:val="20"/>
        </w:rPr>
        <w:t>Choice of methods for estimating carbon stock-changes and non-CO</w:t>
      </w:r>
      <w:r>
        <w:rPr>
          <w:sz w:val="20"/>
          <w:vertAlign w:val="subscript"/>
        </w:rPr>
        <w:t>2</w:t>
      </w:r>
      <w:r>
        <w:rPr>
          <w:sz w:val="20"/>
          <w:vertAlign w:val="baseline"/>
        </w:rPr>
        <w:t> greenhouse gas emissions</w:t>
        <w:tab/>
      </w:r>
      <w:r>
        <w:rPr>
          <w:spacing w:val="-4"/>
          <w:sz w:val="20"/>
          <w:vertAlign w:val="baseline"/>
        </w:rPr>
        <w:t>4.59</w:t>
      </w:r>
    </w:p>
    <w:p>
      <w:pPr>
        <w:pStyle w:val="ListParagraph"/>
        <w:numPr>
          <w:ilvl w:val="2"/>
          <w:numId w:val="123"/>
        </w:numPr>
        <w:tabs>
          <w:tab w:pos="1177" w:val="left" w:leader="none"/>
          <w:tab w:pos="1178" w:val="left" w:leader="none"/>
          <w:tab w:pos="8879" w:val="left" w:leader="dot"/>
        </w:tabs>
        <w:spacing w:line="240" w:lineRule="auto" w:before="118" w:after="0"/>
        <w:ind w:left="1178" w:right="0" w:hanging="736"/>
        <w:jc w:val="left"/>
        <w:rPr>
          <w:sz w:val="20"/>
        </w:rPr>
      </w:pPr>
      <w:r>
        <w:rPr>
          <w:sz w:val="20"/>
        </w:rPr>
        <w:t>Forest</w:t>
      </w:r>
      <w:r>
        <w:rPr>
          <w:spacing w:val="-4"/>
          <w:sz w:val="20"/>
        </w:rPr>
        <w:t> </w:t>
      </w:r>
      <w:r>
        <w:rPr>
          <w:sz w:val="20"/>
        </w:rPr>
        <w:t>Management</w:t>
        <w:tab/>
        <w:t>4.61</w:t>
      </w:r>
    </w:p>
    <w:p>
      <w:pPr>
        <w:pStyle w:val="ListParagraph"/>
        <w:numPr>
          <w:ilvl w:val="3"/>
          <w:numId w:val="123"/>
        </w:numPr>
        <w:tabs>
          <w:tab w:pos="1614" w:val="left" w:leader="none"/>
          <w:tab w:pos="8876" w:val="left" w:leader="dot"/>
        </w:tabs>
        <w:spacing w:line="240" w:lineRule="auto" w:before="121" w:after="0"/>
        <w:ind w:left="1613" w:right="0" w:hanging="734"/>
        <w:jc w:val="left"/>
        <w:rPr>
          <w:sz w:val="20"/>
        </w:rPr>
      </w:pPr>
      <w:r>
        <w:rPr>
          <w:sz w:val="20"/>
        </w:rPr>
        <w:t>Definitional issues and</w:t>
      </w:r>
      <w:r>
        <w:rPr>
          <w:spacing w:val="-11"/>
          <w:sz w:val="20"/>
        </w:rPr>
        <w:t> </w:t>
      </w:r>
      <w:r>
        <w:rPr>
          <w:sz w:val="20"/>
        </w:rPr>
        <w:t>reporting</w:t>
      </w:r>
      <w:r>
        <w:rPr>
          <w:spacing w:val="-4"/>
          <w:sz w:val="20"/>
        </w:rPr>
        <w:t> </w:t>
      </w:r>
      <w:r>
        <w:rPr>
          <w:sz w:val="20"/>
        </w:rPr>
        <w:t>requirements</w:t>
        <w:tab/>
        <w:t>4.61</w:t>
      </w:r>
    </w:p>
    <w:p>
      <w:pPr>
        <w:pStyle w:val="ListParagraph"/>
        <w:numPr>
          <w:ilvl w:val="3"/>
          <w:numId w:val="123"/>
        </w:numPr>
        <w:tabs>
          <w:tab w:pos="1615" w:val="left" w:leader="none"/>
          <w:tab w:pos="8880" w:val="left" w:leader="dot"/>
        </w:tabs>
        <w:spacing w:line="240" w:lineRule="auto" w:before="120" w:after="0"/>
        <w:ind w:left="1614" w:right="0" w:hanging="735"/>
        <w:jc w:val="left"/>
        <w:rPr>
          <w:sz w:val="20"/>
        </w:rPr>
      </w:pPr>
      <w:r>
        <w:rPr>
          <w:sz w:val="20"/>
        </w:rPr>
        <w:t>Choice of methods for identifying lands subject to</w:t>
      </w:r>
      <w:r>
        <w:rPr>
          <w:spacing w:val="-23"/>
          <w:sz w:val="20"/>
        </w:rPr>
        <w:t> </w:t>
      </w:r>
      <w:r>
        <w:rPr>
          <w:sz w:val="20"/>
        </w:rPr>
        <w:t>forest</w:t>
      </w:r>
      <w:r>
        <w:rPr>
          <w:spacing w:val="-1"/>
          <w:sz w:val="20"/>
        </w:rPr>
        <w:t> </w:t>
      </w:r>
      <w:r>
        <w:rPr>
          <w:sz w:val="20"/>
        </w:rPr>
        <w:t>management</w:t>
        <w:tab/>
        <w:t>4.61</w:t>
      </w:r>
    </w:p>
    <w:p>
      <w:pPr>
        <w:pStyle w:val="ListParagraph"/>
        <w:numPr>
          <w:ilvl w:val="3"/>
          <w:numId w:val="123"/>
        </w:numPr>
        <w:tabs>
          <w:tab w:pos="1616" w:val="left" w:leader="none"/>
          <w:tab w:pos="8879" w:val="left" w:leader="dot"/>
        </w:tabs>
        <w:spacing w:line="240" w:lineRule="auto" w:before="121" w:after="0"/>
        <w:ind w:left="1616" w:right="166" w:hanging="737"/>
        <w:jc w:val="left"/>
        <w:rPr>
          <w:sz w:val="20"/>
        </w:rPr>
      </w:pPr>
      <w:r>
        <w:rPr>
          <w:sz w:val="20"/>
        </w:rPr>
        <w:t>Choice of methods for estimating carbon stock changes and non-CO</w:t>
      </w:r>
      <w:r>
        <w:rPr>
          <w:sz w:val="20"/>
          <w:vertAlign w:val="subscript"/>
        </w:rPr>
        <w:t>2</w:t>
      </w:r>
      <w:r>
        <w:rPr>
          <w:sz w:val="20"/>
          <w:vertAlign w:val="baseline"/>
        </w:rPr>
        <w:t> greenhouse gas emissions</w:t>
        <w:tab/>
      </w:r>
      <w:r>
        <w:rPr>
          <w:spacing w:val="-4"/>
          <w:sz w:val="20"/>
          <w:vertAlign w:val="baseline"/>
        </w:rPr>
        <w:t>4.64</w:t>
      </w:r>
    </w:p>
    <w:p>
      <w:pPr>
        <w:pStyle w:val="ListParagraph"/>
        <w:numPr>
          <w:ilvl w:val="2"/>
          <w:numId w:val="123"/>
        </w:numPr>
        <w:tabs>
          <w:tab w:pos="1178" w:val="left" w:leader="none"/>
          <w:tab w:pos="1179" w:val="left" w:leader="none"/>
          <w:tab w:pos="8879" w:val="left" w:leader="dot"/>
        </w:tabs>
        <w:spacing w:line="240" w:lineRule="auto" w:before="118" w:after="0"/>
        <w:ind w:left="1178" w:right="0" w:hanging="736"/>
        <w:jc w:val="left"/>
        <w:rPr>
          <w:sz w:val="20"/>
        </w:rPr>
      </w:pPr>
      <w:r>
        <w:rPr>
          <w:sz w:val="20"/>
        </w:rPr>
        <w:t>Cropland</w:t>
      </w:r>
      <w:r>
        <w:rPr>
          <w:spacing w:val="-4"/>
          <w:sz w:val="20"/>
        </w:rPr>
        <w:t> </w:t>
      </w:r>
      <w:r>
        <w:rPr>
          <w:sz w:val="20"/>
        </w:rPr>
        <w:t>Management</w:t>
        <w:tab/>
        <w:t>4.66</w:t>
      </w:r>
    </w:p>
    <w:p>
      <w:pPr>
        <w:pStyle w:val="ListParagraph"/>
        <w:numPr>
          <w:ilvl w:val="3"/>
          <w:numId w:val="123"/>
        </w:numPr>
        <w:tabs>
          <w:tab w:pos="1614" w:val="left" w:leader="none"/>
          <w:tab w:pos="8876" w:val="left" w:leader="dot"/>
        </w:tabs>
        <w:spacing w:line="240" w:lineRule="auto" w:before="120" w:after="0"/>
        <w:ind w:left="1613" w:right="0" w:hanging="734"/>
        <w:jc w:val="left"/>
        <w:rPr>
          <w:sz w:val="20"/>
        </w:rPr>
      </w:pPr>
      <w:r>
        <w:rPr>
          <w:sz w:val="20"/>
        </w:rPr>
        <w:t>Definitional issues and</w:t>
      </w:r>
      <w:r>
        <w:rPr>
          <w:spacing w:val="-11"/>
          <w:sz w:val="20"/>
        </w:rPr>
        <w:t> </w:t>
      </w:r>
      <w:r>
        <w:rPr>
          <w:sz w:val="20"/>
        </w:rPr>
        <w:t>reporting</w:t>
      </w:r>
      <w:r>
        <w:rPr>
          <w:spacing w:val="-4"/>
          <w:sz w:val="20"/>
        </w:rPr>
        <w:t> </w:t>
      </w:r>
      <w:r>
        <w:rPr>
          <w:sz w:val="20"/>
        </w:rPr>
        <w:t>requirements</w:t>
        <w:tab/>
        <w:t>4.66</w:t>
      </w:r>
    </w:p>
    <w:p>
      <w:pPr>
        <w:pStyle w:val="ListParagraph"/>
        <w:numPr>
          <w:ilvl w:val="3"/>
          <w:numId w:val="123"/>
        </w:numPr>
        <w:tabs>
          <w:tab w:pos="1615" w:val="left" w:leader="none"/>
          <w:tab w:pos="8878" w:val="left" w:leader="dot"/>
        </w:tabs>
        <w:spacing w:line="240" w:lineRule="auto" w:before="121" w:after="0"/>
        <w:ind w:left="1614" w:right="0" w:hanging="735"/>
        <w:jc w:val="left"/>
        <w:rPr>
          <w:sz w:val="20"/>
        </w:rPr>
      </w:pPr>
      <w:r>
        <w:rPr>
          <w:sz w:val="20"/>
        </w:rPr>
        <w:t>Choice of methods for</w:t>
      </w:r>
      <w:r>
        <w:rPr>
          <w:spacing w:val="-9"/>
          <w:sz w:val="20"/>
        </w:rPr>
        <w:t> </w:t>
      </w:r>
      <w:r>
        <w:rPr>
          <w:sz w:val="20"/>
        </w:rPr>
        <w:t>identifying</w:t>
      </w:r>
      <w:r>
        <w:rPr>
          <w:spacing w:val="-3"/>
          <w:sz w:val="20"/>
        </w:rPr>
        <w:t> </w:t>
      </w:r>
      <w:r>
        <w:rPr>
          <w:sz w:val="20"/>
        </w:rPr>
        <w:t>lands</w:t>
        <w:tab/>
        <w:t>4.68</w:t>
      </w:r>
    </w:p>
    <w:p>
      <w:pPr>
        <w:pStyle w:val="ListParagraph"/>
        <w:numPr>
          <w:ilvl w:val="3"/>
          <w:numId w:val="123"/>
        </w:numPr>
        <w:tabs>
          <w:tab w:pos="1616" w:val="left" w:leader="none"/>
          <w:tab w:pos="8879" w:val="left" w:leader="dot"/>
        </w:tabs>
        <w:spacing w:line="240" w:lineRule="auto" w:before="118" w:after="0"/>
        <w:ind w:left="1616" w:right="166" w:hanging="737"/>
        <w:jc w:val="left"/>
        <w:rPr>
          <w:sz w:val="20"/>
        </w:rPr>
      </w:pPr>
      <w:r>
        <w:rPr>
          <w:sz w:val="20"/>
        </w:rPr>
        <w:t>Choice of methods for estimating carbon stock changes and non-CO</w:t>
      </w:r>
      <w:r>
        <w:rPr>
          <w:sz w:val="20"/>
          <w:vertAlign w:val="subscript"/>
        </w:rPr>
        <w:t>2</w:t>
      </w:r>
      <w:r>
        <w:rPr>
          <w:sz w:val="20"/>
          <w:vertAlign w:val="baseline"/>
        </w:rPr>
        <w:t> greenhouse gas emissions</w:t>
        <w:tab/>
      </w:r>
      <w:r>
        <w:rPr>
          <w:spacing w:val="-4"/>
          <w:sz w:val="20"/>
          <w:vertAlign w:val="baseline"/>
        </w:rPr>
        <w:t>4.69</w:t>
      </w:r>
    </w:p>
    <w:p>
      <w:pPr>
        <w:pStyle w:val="ListParagraph"/>
        <w:numPr>
          <w:ilvl w:val="2"/>
          <w:numId w:val="123"/>
        </w:numPr>
        <w:tabs>
          <w:tab w:pos="1177" w:val="left" w:leader="none"/>
          <w:tab w:pos="1179" w:val="left" w:leader="none"/>
          <w:tab w:pos="8879" w:val="left" w:leader="dot"/>
        </w:tabs>
        <w:spacing w:line="240" w:lineRule="auto" w:before="121" w:after="0"/>
        <w:ind w:left="1178" w:right="0" w:hanging="736"/>
        <w:jc w:val="left"/>
        <w:rPr>
          <w:sz w:val="20"/>
        </w:rPr>
      </w:pPr>
      <w:r>
        <w:rPr>
          <w:sz w:val="20"/>
        </w:rPr>
        <w:t>Grazing</w:t>
      </w:r>
      <w:r>
        <w:rPr>
          <w:spacing w:val="-4"/>
          <w:sz w:val="20"/>
        </w:rPr>
        <w:t> </w:t>
      </w:r>
      <w:r>
        <w:rPr>
          <w:sz w:val="20"/>
        </w:rPr>
        <w:t>Land management</w:t>
        <w:tab/>
        <w:t>4.81</w:t>
      </w:r>
    </w:p>
    <w:p>
      <w:pPr>
        <w:pStyle w:val="ListParagraph"/>
        <w:numPr>
          <w:ilvl w:val="3"/>
          <w:numId w:val="123"/>
        </w:numPr>
        <w:tabs>
          <w:tab w:pos="1614" w:val="left" w:leader="none"/>
          <w:tab w:pos="8877" w:val="left" w:leader="dot"/>
        </w:tabs>
        <w:spacing w:line="240" w:lineRule="auto" w:before="120" w:after="0"/>
        <w:ind w:left="1613" w:right="0" w:hanging="734"/>
        <w:jc w:val="left"/>
        <w:rPr>
          <w:sz w:val="20"/>
        </w:rPr>
      </w:pPr>
      <w:r>
        <w:rPr>
          <w:sz w:val="20"/>
        </w:rPr>
        <w:t>Definitional issues and</w:t>
      </w:r>
      <w:r>
        <w:rPr>
          <w:spacing w:val="-11"/>
          <w:sz w:val="20"/>
        </w:rPr>
        <w:t> </w:t>
      </w:r>
      <w:r>
        <w:rPr>
          <w:sz w:val="20"/>
        </w:rPr>
        <w:t>reporting</w:t>
      </w:r>
      <w:r>
        <w:rPr>
          <w:spacing w:val="-4"/>
          <w:sz w:val="20"/>
        </w:rPr>
        <w:t> </w:t>
      </w:r>
      <w:r>
        <w:rPr>
          <w:sz w:val="20"/>
        </w:rPr>
        <w:t>requirements</w:t>
        <w:tab/>
        <w:t>4.81</w:t>
      </w:r>
    </w:p>
    <w:p>
      <w:pPr>
        <w:pStyle w:val="ListParagraph"/>
        <w:numPr>
          <w:ilvl w:val="3"/>
          <w:numId w:val="123"/>
        </w:numPr>
        <w:tabs>
          <w:tab w:pos="1615" w:val="left" w:leader="none"/>
          <w:tab w:pos="8878" w:val="left" w:leader="dot"/>
        </w:tabs>
        <w:spacing w:line="240" w:lineRule="auto" w:before="118" w:after="0"/>
        <w:ind w:left="1614" w:right="0" w:hanging="735"/>
        <w:jc w:val="left"/>
        <w:rPr>
          <w:sz w:val="20"/>
        </w:rPr>
      </w:pPr>
      <w:r>
        <w:rPr>
          <w:sz w:val="20"/>
        </w:rPr>
        <w:t>Choice of methods for</w:t>
      </w:r>
      <w:r>
        <w:rPr>
          <w:spacing w:val="-9"/>
          <w:sz w:val="20"/>
        </w:rPr>
        <w:t> </w:t>
      </w:r>
      <w:r>
        <w:rPr>
          <w:sz w:val="20"/>
        </w:rPr>
        <w:t>identifying</w:t>
      </w:r>
      <w:r>
        <w:rPr>
          <w:spacing w:val="-3"/>
          <w:sz w:val="20"/>
        </w:rPr>
        <w:t> </w:t>
      </w:r>
      <w:r>
        <w:rPr>
          <w:sz w:val="20"/>
        </w:rPr>
        <w:t>lands</w:t>
        <w:tab/>
        <w:t>4.82</w:t>
      </w:r>
    </w:p>
    <w:p>
      <w:pPr>
        <w:pStyle w:val="ListParagraph"/>
        <w:numPr>
          <w:ilvl w:val="3"/>
          <w:numId w:val="123"/>
        </w:numPr>
        <w:tabs>
          <w:tab w:pos="1616" w:val="left" w:leader="none"/>
          <w:tab w:pos="8879" w:val="left" w:leader="dot"/>
        </w:tabs>
        <w:spacing w:line="240" w:lineRule="auto" w:before="121" w:after="0"/>
        <w:ind w:left="1616" w:right="166" w:hanging="737"/>
        <w:jc w:val="left"/>
        <w:rPr>
          <w:sz w:val="20"/>
        </w:rPr>
      </w:pPr>
      <w:r>
        <w:rPr>
          <w:sz w:val="20"/>
        </w:rPr>
        <w:t>Choice of methods for estimating carbon stock changes and non-CO</w:t>
      </w:r>
      <w:r>
        <w:rPr>
          <w:sz w:val="20"/>
          <w:vertAlign w:val="subscript"/>
        </w:rPr>
        <w:t>2</w:t>
      </w:r>
      <w:r>
        <w:rPr>
          <w:sz w:val="20"/>
          <w:vertAlign w:val="baseline"/>
        </w:rPr>
        <w:t> greenhouse gas emissions</w:t>
        <w:tab/>
      </w:r>
      <w:r>
        <w:rPr>
          <w:spacing w:val="-4"/>
          <w:sz w:val="20"/>
          <w:vertAlign w:val="baseline"/>
        </w:rPr>
        <w:t>4.83</w:t>
      </w:r>
    </w:p>
    <w:p>
      <w:pPr>
        <w:pStyle w:val="ListParagraph"/>
        <w:numPr>
          <w:ilvl w:val="2"/>
          <w:numId w:val="123"/>
        </w:numPr>
        <w:tabs>
          <w:tab w:pos="1177" w:val="left" w:leader="none"/>
          <w:tab w:pos="1178" w:val="left" w:leader="none"/>
          <w:tab w:pos="8879" w:val="left" w:leader="dot"/>
        </w:tabs>
        <w:spacing w:line="240" w:lineRule="auto" w:before="120" w:after="0"/>
        <w:ind w:left="1177" w:right="0" w:hanging="735"/>
        <w:jc w:val="left"/>
        <w:rPr>
          <w:sz w:val="20"/>
        </w:rPr>
      </w:pPr>
      <w:r>
        <w:rPr>
          <w:sz w:val="20"/>
        </w:rPr>
        <w:t>Revegetation</w:t>
        <w:tab/>
        <w:t>4.85</w:t>
      </w:r>
    </w:p>
    <w:p>
      <w:pPr>
        <w:pStyle w:val="ListParagraph"/>
        <w:numPr>
          <w:ilvl w:val="3"/>
          <w:numId w:val="123"/>
        </w:numPr>
        <w:tabs>
          <w:tab w:pos="1615" w:val="left" w:leader="none"/>
          <w:tab w:pos="8877" w:val="left" w:leader="dot"/>
        </w:tabs>
        <w:spacing w:line="240" w:lineRule="auto" w:before="118" w:after="0"/>
        <w:ind w:left="1614" w:right="0" w:hanging="735"/>
        <w:jc w:val="left"/>
        <w:rPr>
          <w:sz w:val="20"/>
        </w:rPr>
      </w:pPr>
      <w:r>
        <w:rPr>
          <w:sz w:val="20"/>
        </w:rPr>
        <w:t>Definitional issues and</w:t>
      </w:r>
      <w:r>
        <w:rPr>
          <w:spacing w:val="-11"/>
          <w:sz w:val="20"/>
        </w:rPr>
        <w:t> </w:t>
      </w:r>
      <w:r>
        <w:rPr>
          <w:sz w:val="20"/>
        </w:rPr>
        <w:t>reporting</w:t>
      </w:r>
      <w:r>
        <w:rPr>
          <w:spacing w:val="-4"/>
          <w:sz w:val="20"/>
        </w:rPr>
        <w:t> </w:t>
      </w:r>
      <w:r>
        <w:rPr>
          <w:sz w:val="20"/>
        </w:rPr>
        <w:t>requirements</w:t>
        <w:tab/>
        <w:t>4.85</w:t>
      </w:r>
    </w:p>
    <w:p>
      <w:pPr>
        <w:pStyle w:val="ListParagraph"/>
        <w:numPr>
          <w:ilvl w:val="3"/>
          <w:numId w:val="123"/>
        </w:numPr>
        <w:tabs>
          <w:tab w:pos="1615" w:val="left" w:leader="none"/>
          <w:tab w:pos="8878" w:val="left" w:leader="dot"/>
        </w:tabs>
        <w:spacing w:line="240" w:lineRule="auto" w:before="121" w:after="0"/>
        <w:ind w:left="1614" w:right="0" w:hanging="735"/>
        <w:jc w:val="left"/>
        <w:rPr>
          <w:sz w:val="20"/>
        </w:rPr>
      </w:pPr>
      <w:r>
        <w:rPr>
          <w:sz w:val="20"/>
        </w:rPr>
        <w:t>Choice of methods for</w:t>
      </w:r>
      <w:r>
        <w:rPr>
          <w:spacing w:val="-9"/>
          <w:sz w:val="20"/>
        </w:rPr>
        <w:t> </w:t>
      </w:r>
      <w:r>
        <w:rPr>
          <w:sz w:val="20"/>
        </w:rPr>
        <w:t>identifying</w:t>
      </w:r>
      <w:r>
        <w:rPr>
          <w:spacing w:val="-3"/>
          <w:sz w:val="20"/>
        </w:rPr>
        <w:t> </w:t>
      </w:r>
      <w:r>
        <w:rPr>
          <w:sz w:val="20"/>
        </w:rPr>
        <w:t>lands</w:t>
        <w:tab/>
        <w:t>4.86</w:t>
      </w:r>
    </w:p>
    <w:p>
      <w:pPr>
        <w:pStyle w:val="ListParagraph"/>
        <w:numPr>
          <w:ilvl w:val="3"/>
          <w:numId w:val="123"/>
        </w:numPr>
        <w:tabs>
          <w:tab w:pos="1617" w:val="left" w:leader="none"/>
          <w:tab w:pos="8879" w:val="left" w:leader="dot"/>
        </w:tabs>
        <w:spacing w:line="240" w:lineRule="auto" w:before="120" w:after="0"/>
        <w:ind w:left="1616" w:right="166" w:hanging="737"/>
        <w:jc w:val="left"/>
        <w:rPr>
          <w:sz w:val="20"/>
        </w:rPr>
      </w:pPr>
      <w:r>
        <w:rPr>
          <w:sz w:val="20"/>
        </w:rPr>
        <w:t>Choice of methods for estimating carbon stock changes and non-CO</w:t>
      </w:r>
      <w:r>
        <w:rPr>
          <w:sz w:val="20"/>
          <w:vertAlign w:val="subscript"/>
        </w:rPr>
        <w:t>2</w:t>
      </w:r>
      <w:r>
        <w:rPr>
          <w:sz w:val="20"/>
          <w:vertAlign w:val="baseline"/>
        </w:rPr>
        <w:t> greenhouse gas emissions</w:t>
        <w:tab/>
      </w:r>
      <w:r>
        <w:rPr>
          <w:spacing w:val="-4"/>
          <w:sz w:val="20"/>
          <w:vertAlign w:val="baseline"/>
        </w:rPr>
        <w:t>4.86</w:t>
      </w:r>
    </w:p>
    <w:p>
      <w:pPr>
        <w:numPr>
          <w:ilvl w:val="1"/>
          <w:numId w:val="123"/>
        </w:numPr>
        <w:tabs>
          <w:tab w:pos="1179" w:val="left" w:leader="none"/>
          <w:tab w:pos="1180" w:val="left" w:leader="none"/>
          <w:tab w:pos="8877" w:val="left" w:leader="none"/>
        </w:tabs>
        <w:spacing w:before="244"/>
        <w:ind w:left="1179" w:right="0" w:hanging="1020"/>
        <w:jc w:val="left"/>
        <w:rPr>
          <w:b/>
          <w:sz w:val="20"/>
        </w:rPr>
      </w:pPr>
      <w:r>
        <w:rPr>
          <w:b/>
          <w:sz w:val="20"/>
        </w:rPr>
        <w:t>LULUCF</w:t>
      </w:r>
      <w:r>
        <w:rPr>
          <w:b/>
          <w:spacing w:val="-1"/>
          <w:sz w:val="20"/>
        </w:rPr>
        <w:t> </w:t>
      </w:r>
      <w:r>
        <w:rPr>
          <w:b/>
          <w:sz w:val="20"/>
        </w:rPr>
        <w:t>PROJECTS</w:t>
        <w:tab/>
        <w:t>4.89</w:t>
      </w:r>
    </w:p>
    <w:p>
      <w:pPr>
        <w:pStyle w:val="ListParagraph"/>
        <w:numPr>
          <w:ilvl w:val="2"/>
          <w:numId w:val="124"/>
        </w:numPr>
        <w:tabs>
          <w:tab w:pos="1178" w:val="left" w:leader="none"/>
          <w:tab w:pos="1179" w:val="left" w:leader="none"/>
          <w:tab w:pos="8879" w:val="left" w:leader="dot"/>
        </w:tabs>
        <w:spacing w:line="240" w:lineRule="auto" w:before="115" w:after="0"/>
        <w:ind w:left="1178" w:right="0" w:hanging="736"/>
        <w:jc w:val="left"/>
        <w:rPr>
          <w:sz w:val="20"/>
        </w:rPr>
      </w:pPr>
      <w:r>
        <w:rPr>
          <w:sz w:val="20"/>
        </w:rPr>
        <w:t>Introduction</w:t>
        <w:tab/>
        <w:t>4.89</w:t>
      </w:r>
    </w:p>
    <w:p>
      <w:pPr>
        <w:pStyle w:val="ListParagraph"/>
        <w:numPr>
          <w:ilvl w:val="3"/>
          <w:numId w:val="124"/>
        </w:numPr>
        <w:tabs>
          <w:tab w:pos="1615" w:val="left" w:leader="none"/>
          <w:tab w:pos="8880" w:val="left" w:leader="dot"/>
        </w:tabs>
        <w:spacing w:line="240" w:lineRule="auto" w:before="121" w:after="0"/>
        <w:ind w:left="1614" w:right="0" w:hanging="735"/>
        <w:jc w:val="left"/>
        <w:rPr>
          <w:sz w:val="20"/>
        </w:rPr>
      </w:pPr>
      <w:r>
        <w:rPr>
          <w:sz w:val="20"/>
        </w:rPr>
        <w:t>Definition of Projects and relevance to Articles 6</w:t>
      </w:r>
      <w:r>
        <w:rPr>
          <w:spacing w:val="-17"/>
          <w:sz w:val="20"/>
        </w:rPr>
        <w:t> </w:t>
      </w:r>
      <w:r>
        <w:rPr>
          <w:sz w:val="20"/>
        </w:rPr>
        <w:t>and</w:t>
      </w:r>
      <w:r>
        <w:rPr>
          <w:spacing w:val="-2"/>
          <w:sz w:val="20"/>
        </w:rPr>
        <w:t> </w:t>
      </w:r>
      <w:r>
        <w:rPr>
          <w:sz w:val="20"/>
        </w:rPr>
        <w:t>12</w:t>
        <w:tab/>
        <w:t>4.90</w:t>
      </w:r>
    </w:p>
    <w:p>
      <w:pPr>
        <w:pStyle w:val="ListParagraph"/>
        <w:numPr>
          <w:ilvl w:val="2"/>
          <w:numId w:val="124"/>
        </w:numPr>
        <w:tabs>
          <w:tab w:pos="1177" w:val="left" w:leader="none"/>
          <w:tab w:pos="1179" w:val="left" w:leader="none"/>
          <w:tab w:pos="8879" w:val="left" w:leader="dot"/>
        </w:tabs>
        <w:spacing w:line="240" w:lineRule="auto" w:before="120" w:after="0"/>
        <w:ind w:left="1178" w:right="0" w:hanging="736"/>
        <w:jc w:val="left"/>
        <w:rPr>
          <w:sz w:val="20"/>
        </w:rPr>
      </w:pPr>
      <w:r>
        <w:rPr>
          <w:sz w:val="20"/>
        </w:rPr>
        <w:t>Project</w:t>
      </w:r>
      <w:r>
        <w:rPr>
          <w:spacing w:val="-2"/>
          <w:sz w:val="20"/>
        </w:rPr>
        <w:t> </w:t>
      </w:r>
      <w:r>
        <w:rPr>
          <w:sz w:val="20"/>
        </w:rPr>
        <w:t>Boundaries</w:t>
        <w:tab/>
        <w:t>4.90</w:t>
      </w:r>
    </w:p>
    <w:p>
      <w:pPr>
        <w:pStyle w:val="ListParagraph"/>
        <w:numPr>
          <w:ilvl w:val="3"/>
          <w:numId w:val="124"/>
        </w:numPr>
        <w:tabs>
          <w:tab w:pos="1614" w:val="left" w:leader="none"/>
          <w:tab w:pos="8879" w:val="left" w:leader="dot"/>
        </w:tabs>
        <w:spacing w:line="240" w:lineRule="auto" w:before="118" w:after="0"/>
        <w:ind w:left="1613" w:right="0" w:hanging="734"/>
        <w:jc w:val="left"/>
        <w:rPr>
          <w:sz w:val="20"/>
        </w:rPr>
      </w:pPr>
      <w:r>
        <w:rPr>
          <w:sz w:val="20"/>
        </w:rPr>
        <w:t>Geographic</w:t>
      </w:r>
      <w:r>
        <w:rPr>
          <w:spacing w:val="-2"/>
          <w:sz w:val="20"/>
        </w:rPr>
        <w:t> </w:t>
      </w:r>
      <w:r>
        <w:rPr>
          <w:sz w:val="20"/>
        </w:rPr>
        <w:t>area</w:t>
        <w:tab/>
        <w:t>4.90</w:t>
      </w:r>
    </w:p>
    <w:p>
      <w:pPr>
        <w:pStyle w:val="ListParagraph"/>
        <w:numPr>
          <w:ilvl w:val="3"/>
          <w:numId w:val="124"/>
        </w:numPr>
        <w:tabs>
          <w:tab w:pos="1615" w:val="left" w:leader="none"/>
          <w:tab w:pos="8879" w:val="left" w:leader="dot"/>
        </w:tabs>
        <w:spacing w:line="240" w:lineRule="auto" w:before="120" w:after="0"/>
        <w:ind w:left="1614" w:right="0" w:hanging="735"/>
        <w:jc w:val="left"/>
        <w:rPr>
          <w:sz w:val="20"/>
        </w:rPr>
      </w:pPr>
      <w:r>
        <w:rPr>
          <w:sz w:val="20"/>
        </w:rPr>
        <w:t>Temporal</w:t>
      </w:r>
      <w:r>
        <w:rPr>
          <w:spacing w:val="-3"/>
          <w:sz w:val="20"/>
        </w:rPr>
        <w:t> </w:t>
      </w:r>
      <w:r>
        <w:rPr>
          <w:sz w:val="20"/>
        </w:rPr>
        <w:t>boundaries</w:t>
        <w:tab/>
        <w:t>4.91</w:t>
      </w:r>
    </w:p>
    <w:p>
      <w:pPr>
        <w:pStyle w:val="ListParagraph"/>
        <w:numPr>
          <w:ilvl w:val="3"/>
          <w:numId w:val="124"/>
        </w:numPr>
        <w:tabs>
          <w:tab w:pos="1615" w:val="left" w:leader="none"/>
          <w:tab w:pos="8879" w:val="left" w:leader="dot"/>
        </w:tabs>
        <w:spacing w:line="240" w:lineRule="auto" w:before="121" w:after="0"/>
        <w:ind w:left="1614" w:right="0" w:hanging="735"/>
        <w:jc w:val="left"/>
        <w:rPr>
          <w:sz w:val="20"/>
        </w:rPr>
      </w:pPr>
      <w:r>
        <w:rPr>
          <w:sz w:val="20"/>
        </w:rPr>
        <w:t>Activities</w:t>
      </w:r>
      <w:r>
        <w:rPr>
          <w:spacing w:val="-4"/>
          <w:sz w:val="20"/>
        </w:rPr>
        <w:t> </w:t>
      </w:r>
      <w:r>
        <w:rPr>
          <w:sz w:val="20"/>
        </w:rPr>
        <w:t>and</w:t>
      </w:r>
      <w:r>
        <w:rPr>
          <w:spacing w:val="-1"/>
          <w:sz w:val="20"/>
        </w:rPr>
        <w:t> </w:t>
      </w:r>
      <w:r>
        <w:rPr>
          <w:sz w:val="20"/>
        </w:rPr>
        <w:t>practices</w:t>
        <w:tab/>
        <w:t>4.91</w:t>
      </w:r>
    </w:p>
    <w:p>
      <w:pPr>
        <w:pStyle w:val="ListParagraph"/>
        <w:numPr>
          <w:ilvl w:val="2"/>
          <w:numId w:val="124"/>
        </w:numPr>
        <w:tabs>
          <w:tab w:pos="1178" w:val="left" w:leader="none"/>
          <w:tab w:pos="1179" w:val="left" w:leader="none"/>
        </w:tabs>
        <w:spacing w:line="229" w:lineRule="exact" w:before="120" w:after="0"/>
        <w:ind w:left="1178" w:right="0" w:hanging="736"/>
        <w:jc w:val="left"/>
        <w:rPr>
          <w:sz w:val="20"/>
        </w:rPr>
      </w:pPr>
      <w:r>
        <w:rPr>
          <w:sz w:val="20"/>
        </w:rPr>
        <w:t>Measuring, Monitoring, and Estimating Changes in Carbon Stocks and Non-CO</w:t>
      </w:r>
      <w:r>
        <w:rPr>
          <w:sz w:val="20"/>
          <w:vertAlign w:val="subscript"/>
        </w:rPr>
        <w:t>2</w:t>
      </w:r>
      <w:r>
        <w:rPr>
          <w:spacing w:val="-17"/>
          <w:sz w:val="20"/>
          <w:vertAlign w:val="baseline"/>
        </w:rPr>
        <w:t> </w:t>
      </w:r>
      <w:r>
        <w:rPr>
          <w:sz w:val="20"/>
          <w:vertAlign w:val="baseline"/>
        </w:rPr>
        <w:t>Greenhouse</w:t>
      </w:r>
    </w:p>
    <w:p>
      <w:pPr>
        <w:pStyle w:val="BodyText"/>
        <w:tabs>
          <w:tab w:pos="8879" w:val="left" w:leader="dot"/>
        </w:tabs>
        <w:spacing w:line="229" w:lineRule="exact"/>
        <w:ind w:left="1179"/>
      </w:pPr>
      <w:r>
        <w:rPr/>
        <w:t>Gas</w:t>
      </w:r>
      <w:r>
        <w:rPr>
          <w:spacing w:val="-3"/>
        </w:rPr>
        <w:t> </w:t>
      </w:r>
      <w:r>
        <w:rPr/>
        <w:t>Emissions</w:t>
        <w:tab/>
        <w:t>4.93</w:t>
      </w:r>
    </w:p>
    <w:p>
      <w:pPr>
        <w:pStyle w:val="ListParagraph"/>
        <w:numPr>
          <w:ilvl w:val="3"/>
          <w:numId w:val="124"/>
        </w:numPr>
        <w:tabs>
          <w:tab w:pos="1615" w:val="left" w:leader="none"/>
          <w:tab w:pos="8879" w:val="left" w:leader="dot"/>
        </w:tabs>
        <w:spacing w:line="240" w:lineRule="auto" w:before="121" w:after="0"/>
        <w:ind w:left="1614" w:right="0" w:hanging="735"/>
        <w:jc w:val="left"/>
        <w:rPr>
          <w:sz w:val="20"/>
        </w:rPr>
      </w:pPr>
      <w:r>
        <w:rPr>
          <w:sz w:val="20"/>
        </w:rPr>
        <w:t>Baseline</w:t>
        <w:tab/>
        <w:t>4.94</w:t>
      </w:r>
    </w:p>
    <w:p>
      <w:pPr>
        <w:pStyle w:val="ListParagraph"/>
        <w:numPr>
          <w:ilvl w:val="3"/>
          <w:numId w:val="124"/>
        </w:numPr>
        <w:tabs>
          <w:tab w:pos="1615" w:val="left" w:leader="none"/>
          <w:tab w:pos="8879" w:val="left" w:leader="dot"/>
        </w:tabs>
        <w:spacing w:line="240" w:lineRule="auto" w:before="120" w:after="0"/>
        <w:ind w:left="1614" w:right="0" w:hanging="735"/>
        <w:jc w:val="left"/>
        <w:rPr>
          <w:sz w:val="20"/>
        </w:rPr>
      </w:pPr>
      <w:r>
        <w:rPr>
          <w:sz w:val="20"/>
        </w:rPr>
        <w:t>Stratification of the</w:t>
      </w:r>
      <w:r>
        <w:rPr>
          <w:spacing w:val="-7"/>
          <w:sz w:val="20"/>
        </w:rPr>
        <w:t> </w:t>
      </w:r>
      <w:r>
        <w:rPr>
          <w:sz w:val="20"/>
        </w:rPr>
        <w:t>project area</w:t>
        <w:tab/>
        <w:t>4.95</w:t>
      </w:r>
    </w:p>
    <w:p>
      <w:pPr>
        <w:pStyle w:val="ListParagraph"/>
        <w:numPr>
          <w:ilvl w:val="3"/>
          <w:numId w:val="124"/>
        </w:numPr>
        <w:tabs>
          <w:tab w:pos="1617" w:val="left" w:leader="none"/>
          <w:tab w:pos="8879" w:val="left" w:leader="dot"/>
        </w:tabs>
        <w:spacing w:line="240" w:lineRule="auto" w:before="120" w:after="0"/>
        <w:ind w:left="1616" w:right="0" w:hanging="737"/>
        <w:jc w:val="left"/>
        <w:rPr>
          <w:sz w:val="20"/>
        </w:rPr>
      </w:pPr>
      <w:r>
        <w:rPr>
          <w:sz w:val="20"/>
        </w:rPr>
        <w:t>Selection of carbon pools and non-CO</w:t>
      </w:r>
      <w:r>
        <w:rPr>
          <w:sz w:val="20"/>
          <w:vertAlign w:val="subscript"/>
        </w:rPr>
        <w:t>2</w:t>
      </w:r>
      <w:r>
        <w:rPr>
          <w:spacing w:val="-20"/>
          <w:sz w:val="20"/>
          <w:vertAlign w:val="baseline"/>
        </w:rPr>
        <w:t> </w:t>
      </w:r>
      <w:r>
        <w:rPr>
          <w:sz w:val="20"/>
          <w:vertAlign w:val="baseline"/>
        </w:rPr>
        <w:t>greenhouse</w:t>
      </w:r>
      <w:r>
        <w:rPr>
          <w:spacing w:val="-2"/>
          <w:sz w:val="20"/>
          <w:vertAlign w:val="baseline"/>
        </w:rPr>
        <w:t> </w:t>
      </w:r>
      <w:r>
        <w:rPr>
          <w:sz w:val="20"/>
          <w:vertAlign w:val="baseline"/>
        </w:rPr>
        <w:t>gases</w:t>
        <w:tab/>
        <w:t>4.95</w:t>
      </w:r>
    </w:p>
    <w:p>
      <w:pPr>
        <w:pStyle w:val="ListParagraph"/>
        <w:numPr>
          <w:ilvl w:val="3"/>
          <w:numId w:val="124"/>
        </w:numPr>
        <w:tabs>
          <w:tab w:pos="1615" w:val="left" w:leader="none"/>
          <w:tab w:pos="8879" w:val="left" w:leader="dot"/>
        </w:tabs>
        <w:spacing w:line="240" w:lineRule="auto" w:before="119" w:after="0"/>
        <w:ind w:left="1614" w:right="0" w:hanging="735"/>
        <w:jc w:val="left"/>
        <w:rPr>
          <w:sz w:val="20"/>
        </w:rPr>
      </w:pPr>
      <w:r>
        <w:rPr>
          <w:sz w:val="20"/>
        </w:rPr>
        <w:t>Sampling</w:t>
      </w:r>
      <w:r>
        <w:rPr>
          <w:spacing w:val="-3"/>
          <w:sz w:val="20"/>
        </w:rPr>
        <w:t> </w:t>
      </w:r>
      <w:r>
        <w:rPr>
          <w:sz w:val="20"/>
        </w:rPr>
        <w:t>design</w:t>
        <w:tab/>
        <w:t>4.96</w:t>
      </w:r>
    </w:p>
    <w:p>
      <w:pPr>
        <w:pStyle w:val="ListParagraph"/>
        <w:numPr>
          <w:ilvl w:val="3"/>
          <w:numId w:val="124"/>
        </w:numPr>
        <w:tabs>
          <w:tab w:pos="1615" w:val="left" w:leader="none"/>
          <w:tab w:pos="8782" w:val="left" w:leader="dot"/>
        </w:tabs>
        <w:spacing w:line="240" w:lineRule="auto" w:before="120" w:after="0"/>
        <w:ind w:left="1614" w:right="0" w:hanging="735"/>
        <w:jc w:val="left"/>
        <w:rPr>
          <w:sz w:val="20"/>
        </w:rPr>
      </w:pPr>
      <w:r>
        <w:rPr>
          <w:sz w:val="20"/>
        </w:rPr>
        <w:t>Field measurements and data analysis for estimating</w:t>
      </w:r>
      <w:r>
        <w:rPr>
          <w:spacing w:val="-17"/>
          <w:sz w:val="20"/>
        </w:rPr>
        <w:t> </w:t>
      </w:r>
      <w:r>
        <w:rPr>
          <w:sz w:val="20"/>
        </w:rPr>
        <w:t>carbon</w:t>
      </w:r>
      <w:r>
        <w:rPr>
          <w:spacing w:val="-4"/>
          <w:sz w:val="20"/>
        </w:rPr>
        <w:t> </w:t>
      </w:r>
      <w:r>
        <w:rPr>
          <w:sz w:val="20"/>
        </w:rPr>
        <w:t>stocks</w:t>
        <w:tab/>
        <w:t>4.100</w:t>
      </w:r>
    </w:p>
    <w:p>
      <w:pPr>
        <w:pStyle w:val="ListParagraph"/>
        <w:numPr>
          <w:ilvl w:val="3"/>
          <w:numId w:val="124"/>
        </w:numPr>
        <w:tabs>
          <w:tab w:pos="1617" w:val="left" w:leader="none"/>
          <w:tab w:pos="8782" w:val="left" w:leader="dot"/>
        </w:tabs>
        <w:spacing w:line="240" w:lineRule="auto" w:before="120" w:after="0"/>
        <w:ind w:left="1616" w:right="0" w:hanging="737"/>
        <w:jc w:val="left"/>
        <w:rPr>
          <w:sz w:val="20"/>
        </w:rPr>
      </w:pPr>
      <w:r>
        <w:rPr>
          <w:sz w:val="20"/>
        </w:rPr>
        <w:t>Estimating changes in non-CO</w:t>
      </w:r>
      <w:r>
        <w:rPr>
          <w:sz w:val="20"/>
          <w:vertAlign w:val="subscript"/>
        </w:rPr>
        <w:t>2</w:t>
      </w:r>
      <w:r>
        <w:rPr>
          <w:sz w:val="20"/>
          <w:vertAlign w:val="baseline"/>
        </w:rPr>
        <w:t> greenhouse gas emissions</w:t>
      </w:r>
      <w:r>
        <w:rPr>
          <w:spacing w:val="-22"/>
          <w:sz w:val="20"/>
          <w:vertAlign w:val="baseline"/>
        </w:rPr>
        <w:t> </w:t>
      </w:r>
      <w:r>
        <w:rPr>
          <w:sz w:val="20"/>
          <w:vertAlign w:val="baseline"/>
        </w:rPr>
        <w:t>and</w:t>
      </w:r>
      <w:r>
        <w:rPr>
          <w:spacing w:val="-3"/>
          <w:sz w:val="20"/>
          <w:vertAlign w:val="baseline"/>
        </w:rPr>
        <w:t> </w:t>
      </w:r>
      <w:r>
        <w:rPr>
          <w:sz w:val="20"/>
          <w:vertAlign w:val="baseline"/>
        </w:rPr>
        <w:t>removals</w:t>
        <w:tab/>
        <w:t>4.106</w:t>
      </w:r>
    </w:p>
    <w:p>
      <w:pPr>
        <w:pStyle w:val="ListParagraph"/>
        <w:numPr>
          <w:ilvl w:val="3"/>
          <w:numId w:val="124"/>
        </w:numPr>
        <w:tabs>
          <w:tab w:pos="1616" w:val="left" w:leader="none"/>
          <w:tab w:pos="8781" w:val="left" w:leader="dot"/>
        </w:tabs>
        <w:spacing w:line="240" w:lineRule="auto" w:before="121" w:after="0"/>
        <w:ind w:left="1616" w:right="167" w:hanging="737"/>
        <w:jc w:val="left"/>
        <w:rPr>
          <w:sz w:val="20"/>
        </w:rPr>
      </w:pPr>
      <w:r>
        <w:rPr>
          <w:sz w:val="20"/>
        </w:rPr>
        <w:t>Monitoring changes in greenhouse gas emissions and removals from project operation practices</w:t>
        <w:tab/>
      </w:r>
      <w:r>
        <w:rPr>
          <w:spacing w:val="-4"/>
          <w:sz w:val="20"/>
        </w:rPr>
        <w:t>4.109</w:t>
      </w:r>
    </w:p>
    <w:p>
      <w:pPr>
        <w:pStyle w:val="ListParagraph"/>
        <w:numPr>
          <w:ilvl w:val="3"/>
          <w:numId w:val="124"/>
        </w:numPr>
        <w:tabs>
          <w:tab w:pos="1615" w:val="left" w:leader="none"/>
          <w:tab w:pos="8780" w:val="left" w:leader="dot"/>
        </w:tabs>
        <w:spacing w:line="240" w:lineRule="auto" w:before="118" w:after="0"/>
        <w:ind w:left="1614" w:right="0" w:hanging="735"/>
        <w:jc w:val="left"/>
        <w:rPr>
          <w:sz w:val="20"/>
        </w:rPr>
      </w:pPr>
      <w:r>
        <w:rPr>
          <w:sz w:val="20"/>
        </w:rPr>
        <w:t>Considerations for the</w:t>
      </w:r>
      <w:r>
        <w:rPr>
          <w:spacing w:val="-4"/>
          <w:sz w:val="20"/>
        </w:rPr>
        <w:t> </w:t>
      </w:r>
      <w:r>
        <w:rPr>
          <w:sz w:val="20"/>
        </w:rPr>
        <w:t>monitoring</w:t>
      </w:r>
      <w:r>
        <w:rPr>
          <w:spacing w:val="-4"/>
          <w:sz w:val="20"/>
        </w:rPr>
        <w:t> </w:t>
      </w:r>
      <w:r>
        <w:rPr>
          <w:sz w:val="20"/>
        </w:rPr>
        <w:t>plan</w:t>
        <w:tab/>
        <w:t>4.109</w:t>
      </w:r>
    </w:p>
    <w:p>
      <w:pPr>
        <w:pStyle w:val="ListParagraph"/>
        <w:numPr>
          <w:ilvl w:val="2"/>
          <w:numId w:val="124"/>
        </w:numPr>
        <w:tabs>
          <w:tab w:pos="1177" w:val="left" w:leader="none"/>
          <w:tab w:pos="1178" w:val="left" w:leader="none"/>
          <w:tab w:pos="8779" w:val="left" w:leader="dot"/>
        </w:tabs>
        <w:spacing w:line="240" w:lineRule="auto" w:before="121" w:after="0"/>
        <w:ind w:left="1177" w:right="0" w:hanging="735"/>
        <w:jc w:val="left"/>
        <w:rPr>
          <w:sz w:val="20"/>
        </w:rPr>
      </w:pPr>
      <w:r>
        <w:rPr>
          <w:sz w:val="20"/>
        </w:rPr>
        <w:t>Quality Assurance and Quality</w:t>
      </w:r>
      <w:r>
        <w:rPr>
          <w:spacing w:val="-11"/>
          <w:sz w:val="20"/>
        </w:rPr>
        <w:t> </w:t>
      </w:r>
      <w:r>
        <w:rPr>
          <w:sz w:val="20"/>
        </w:rPr>
        <w:t>Control</w:t>
      </w:r>
      <w:r>
        <w:rPr>
          <w:spacing w:val="-2"/>
          <w:sz w:val="20"/>
        </w:rPr>
        <w:t> </w:t>
      </w:r>
      <w:r>
        <w:rPr>
          <w:sz w:val="20"/>
        </w:rPr>
        <w:t>Plan</w:t>
        <w:tab/>
        <w:t>4.111</w:t>
      </w:r>
    </w:p>
    <w:p>
      <w:pPr>
        <w:spacing w:after="0" w:line="240" w:lineRule="auto"/>
        <w:jc w:val="left"/>
        <w:rPr>
          <w:sz w:val="20"/>
        </w:rPr>
        <w:sectPr>
          <w:pgSz w:w="11900" w:h="16840"/>
          <w:pgMar w:header="230" w:footer="408" w:top="560" w:bottom="600" w:left="1260" w:right="1240"/>
        </w:sectPr>
      </w:pPr>
    </w:p>
    <w:p>
      <w:pPr>
        <w:pStyle w:val="ListParagraph"/>
        <w:numPr>
          <w:ilvl w:val="3"/>
          <w:numId w:val="124"/>
        </w:numPr>
        <w:tabs>
          <w:tab w:pos="1615" w:val="left" w:leader="none"/>
          <w:tab w:pos="9064" w:val="right" w:leader="dot"/>
        </w:tabs>
        <w:spacing w:line="240" w:lineRule="auto" w:before="439" w:after="0"/>
        <w:ind w:left="1614" w:right="0" w:hanging="735"/>
        <w:jc w:val="left"/>
        <w:rPr>
          <w:sz w:val="20"/>
        </w:rPr>
      </w:pPr>
      <w:r>
        <w:rPr>
          <w:sz w:val="20"/>
        </w:rPr>
        <w:t>Procedures to ensure reliable field</w:t>
      </w:r>
      <w:r>
        <w:rPr>
          <w:spacing w:val="2"/>
          <w:sz w:val="20"/>
        </w:rPr>
        <w:t> </w:t>
      </w:r>
      <w:r>
        <w:rPr>
          <w:sz w:val="20"/>
        </w:rPr>
        <w:t>measurements</w:t>
        <w:tab/>
        <w:t>4.111</w:t>
      </w:r>
    </w:p>
    <w:p>
      <w:pPr>
        <w:pStyle w:val="ListParagraph"/>
        <w:numPr>
          <w:ilvl w:val="3"/>
          <w:numId w:val="124"/>
        </w:numPr>
        <w:tabs>
          <w:tab w:pos="1615" w:val="left" w:leader="none"/>
          <w:tab w:pos="9060" w:val="right" w:leader="dot"/>
        </w:tabs>
        <w:spacing w:line="240" w:lineRule="auto" w:before="120" w:after="0"/>
        <w:ind w:left="1614" w:right="0" w:hanging="735"/>
        <w:jc w:val="left"/>
        <w:rPr>
          <w:sz w:val="20"/>
        </w:rPr>
      </w:pPr>
      <w:r>
        <w:rPr>
          <w:sz w:val="20"/>
        </w:rPr>
        <w:t>Procedures to verify field</w:t>
      </w:r>
      <w:r>
        <w:rPr>
          <w:spacing w:val="-1"/>
          <w:sz w:val="20"/>
        </w:rPr>
        <w:t> </w:t>
      </w:r>
      <w:r>
        <w:rPr>
          <w:sz w:val="20"/>
        </w:rPr>
        <w:t>data collection</w:t>
        <w:tab/>
        <w:t>4.111</w:t>
      </w:r>
    </w:p>
    <w:p>
      <w:pPr>
        <w:pStyle w:val="ListParagraph"/>
        <w:numPr>
          <w:ilvl w:val="3"/>
          <w:numId w:val="124"/>
        </w:numPr>
        <w:tabs>
          <w:tab w:pos="1615" w:val="left" w:leader="none"/>
          <w:tab w:pos="9057" w:val="right" w:leader="dot"/>
        </w:tabs>
        <w:spacing w:line="240" w:lineRule="auto" w:before="121" w:after="0"/>
        <w:ind w:left="1614" w:right="0" w:hanging="735"/>
        <w:jc w:val="left"/>
        <w:rPr>
          <w:sz w:val="20"/>
        </w:rPr>
      </w:pPr>
      <w:r>
        <w:rPr>
          <w:sz w:val="20"/>
        </w:rPr>
        <w:t>Procedures to verify data entry</w:t>
      </w:r>
      <w:r>
        <w:rPr>
          <w:spacing w:val="-3"/>
          <w:sz w:val="20"/>
        </w:rPr>
        <w:t> </w:t>
      </w:r>
      <w:r>
        <w:rPr>
          <w:sz w:val="20"/>
        </w:rPr>
        <w:t>and</w:t>
      </w:r>
      <w:r>
        <w:rPr>
          <w:spacing w:val="1"/>
          <w:sz w:val="20"/>
        </w:rPr>
        <w:t> </w:t>
      </w:r>
      <w:r>
        <w:rPr>
          <w:sz w:val="20"/>
        </w:rPr>
        <w:t>analysis</w:t>
        <w:tab/>
        <w:t>4.111</w:t>
      </w:r>
    </w:p>
    <w:p>
      <w:pPr>
        <w:pStyle w:val="ListParagraph"/>
        <w:numPr>
          <w:ilvl w:val="3"/>
          <w:numId w:val="124"/>
        </w:numPr>
        <w:tabs>
          <w:tab w:pos="1615" w:val="left" w:leader="none"/>
          <w:tab w:pos="9060" w:val="right" w:leader="dot"/>
        </w:tabs>
        <w:spacing w:line="240" w:lineRule="auto" w:before="120" w:after="0"/>
        <w:ind w:left="1614" w:right="0" w:hanging="735"/>
        <w:jc w:val="left"/>
        <w:rPr>
          <w:sz w:val="20"/>
        </w:rPr>
      </w:pPr>
      <w:r>
        <w:rPr>
          <w:sz w:val="20"/>
        </w:rPr>
        <w:t>Data maintenance</w:t>
      </w:r>
      <w:r>
        <w:rPr>
          <w:spacing w:val="3"/>
          <w:sz w:val="20"/>
        </w:rPr>
        <w:t> </w:t>
      </w:r>
      <w:r>
        <w:rPr>
          <w:sz w:val="20"/>
        </w:rPr>
        <w:t>and</w:t>
      </w:r>
      <w:r>
        <w:rPr>
          <w:spacing w:val="1"/>
          <w:sz w:val="20"/>
        </w:rPr>
        <w:t> </w:t>
      </w:r>
      <w:r>
        <w:rPr>
          <w:sz w:val="20"/>
        </w:rPr>
        <w:t>storage</w:t>
        <w:tab/>
        <w:t>4.112</w:t>
      </w:r>
    </w:p>
    <w:p>
      <w:pPr>
        <w:pStyle w:val="BodyText"/>
        <w:spacing w:before="6"/>
        <w:rPr>
          <w:sz w:val="21"/>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1"/>
        <w:gridCol w:w="7055"/>
        <w:gridCol w:w="916"/>
      </w:tblGrid>
      <w:tr>
        <w:trPr>
          <w:trHeight w:val="575" w:hRule="atLeast"/>
        </w:trPr>
        <w:tc>
          <w:tcPr>
            <w:tcW w:w="1201" w:type="dxa"/>
          </w:tcPr>
          <w:p>
            <w:pPr>
              <w:pStyle w:val="TableParagraph"/>
              <w:spacing w:line="221" w:lineRule="exact"/>
              <w:ind w:left="50"/>
              <w:rPr>
                <w:b/>
                <w:sz w:val="20"/>
              </w:rPr>
            </w:pPr>
            <w:r>
              <w:rPr>
                <w:b/>
                <w:sz w:val="20"/>
              </w:rPr>
              <w:t>Annex 4A.1</w:t>
            </w:r>
          </w:p>
        </w:tc>
        <w:tc>
          <w:tcPr>
            <w:tcW w:w="7055" w:type="dxa"/>
          </w:tcPr>
          <w:p>
            <w:pPr>
              <w:pStyle w:val="TableParagraph"/>
              <w:ind w:left="152" w:right="390"/>
              <w:rPr>
                <w:sz w:val="20"/>
              </w:rPr>
            </w:pPr>
            <w:r>
              <w:rPr>
                <w:sz w:val="20"/>
              </w:rPr>
              <w:t>Tool for estimation of changes in soil carbon stocks associated with management changes in croplands and grazing lands based on IPCC default data</w:t>
            </w:r>
          </w:p>
        </w:tc>
        <w:tc>
          <w:tcPr>
            <w:tcW w:w="916" w:type="dxa"/>
          </w:tcPr>
          <w:p>
            <w:pPr>
              <w:pStyle w:val="TableParagraph"/>
              <w:spacing w:before="2"/>
              <w:rPr>
                <w:sz w:val="19"/>
              </w:rPr>
            </w:pPr>
          </w:p>
          <w:p>
            <w:pPr>
              <w:pStyle w:val="TableParagraph"/>
              <w:ind w:right="49"/>
              <w:jc w:val="right"/>
              <w:rPr>
                <w:b/>
                <w:sz w:val="20"/>
              </w:rPr>
            </w:pPr>
            <w:r>
              <w:rPr>
                <w:b/>
                <w:sz w:val="20"/>
              </w:rPr>
              <w:t>4.113</w:t>
            </w:r>
          </w:p>
        </w:tc>
      </w:tr>
      <w:tr>
        <w:trPr>
          <w:trHeight w:val="701" w:hRule="atLeast"/>
        </w:trPr>
        <w:tc>
          <w:tcPr>
            <w:tcW w:w="1201" w:type="dxa"/>
          </w:tcPr>
          <w:p>
            <w:pPr>
              <w:pStyle w:val="TableParagraph"/>
              <w:spacing w:before="115"/>
              <w:ind w:left="50"/>
              <w:rPr>
                <w:b/>
                <w:sz w:val="20"/>
              </w:rPr>
            </w:pPr>
            <w:r>
              <w:rPr>
                <w:b/>
                <w:sz w:val="20"/>
              </w:rPr>
              <w:t>Annex 4A.2</w:t>
            </w:r>
          </w:p>
        </w:tc>
        <w:tc>
          <w:tcPr>
            <w:tcW w:w="7055" w:type="dxa"/>
          </w:tcPr>
          <w:p>
            <w:pPr>
              <w:pStyle w:val="TableParagraph"/>
              <w:spacing w:before="115"/>
              <w:ind w:left="152" w:right="390"/>
              <w:rPr>
                <w:sz w:val="20"/>
              </w:rPr>
            </w:pPr>
            <w:r>
              <w:rPr>
                <w:sz w:val="20"/>
              </w:rPr>
              <w:t>Examples of allometric equations for estimating aboveground biomass and belowground biomass of trees</w:t>
            </w:r>
          </w:p>
        </w:tc>
        <w:tc>
          <w:tcPr>
            <w:tcW w:w="916" w:type="dxa"/>
          </w:tcPr>
          <w:p>
            <w:pPr>
              <w:pStyle w:val="TableParagraph"/>
              <w:spacing w:before="1"/>
              <w:rPr>
                <w:sz w:val="30"/>
              </w:rPr>
            </w:pPr>
          </w:p>
          <w:p>
            <w:pPr>
              <w:pStyle w:val="TableParagraph"/>
              <w:ind w:right="49"/>
              <w:jc w:val="right"/>
              <w:rPr>
                <w:b/>
                <w:sz w:val="20"/>
              </w:rPr>
            </w:pPr>
            <w:r>
              <w:rPr>
                <w:b/>
                <w:w w:val="95"/>
                <w:sz w:val="20"/>
              </w:rPr>
              <w:t>4.114</w:t>
            </w:r>
          </w:p>
        </w:tc>
      </w:tr>
      <w:tr>
        <w:trPr>
          <w:trHeight w:val="346" w:hRule="atLeast"/>
        </w:trPr>
        <w:tc>
          <w:tcPr>
            <w:tcW w:w="1201" w:type="dxa"/>
          </w:tcPr>
          <w:p>
            <w:pPr>
              <w:pStyle w:val="TableParagraph"/>
              <w:spacing w:line="210" w:lineRule="exact" w:before="117"/>
              <w:ind w:left="50"/>
              <w:rPr>
                <w:b/>
                <w:sz w:val="20"/>
              </w:rPr>
            </w:pPr>
            <w:r>
              <w:rPr>
                <w:b/>
                <w:sz w:val="20"/>
              </w:rPr>
              <w:t>References</w:t>
            </w:r>
          </w:p>
        </w:tc>
        <w:tc>
          <w:tcPr>
            <w:tcW w:w="7055" w:type="dxa"/>
          </w:tcPr>
          <w:p>
            <w:pPr>
              <w:pStyle w:val="TableParagraph"/>
              <w:rPr>
                <w:sz w:val="20"/>
              </w:rPr>
            </w:pPr>
          </w:p>
        </w:tc>
        <w:tc>
          <w:tcPr>
            <w:tcW w:w="916" w:type="dxa"/>
          </w:tcPr>
          <w:p>
            <w:pPr>
              <w:pStyle w:val="TableParagraph"/>
              <w:spacing w:line="210" w:lineRule="exact" w:before="117"/>
              <w:ind w:right="47"/>
              <w:jc w:val="right"/>
              <w:rPr>
                <w:b/>
                <w:sz w:val="20"/>
              </w:rPr>
            </w:pPr>
            <w:r>
              <w:rPr>
                <w:b/>
                <w:sz w:val="20"/>
              </w:rPr>
              <w:t>4.117</w:t>
            </w:r>
          </w:p>
        </w:tc>
      </w:tr>
    </w:tbl>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4"/>
        <w:rPr>
          <w:sz w:val="26"/>
        </w:rPr>
      </w:pPr>
    </w:p>
    <w:p>
      <w:pPr>
        <w:spacing w:before="0"/>
        <w:ind w:left="556" w:right="582" w:firstLine="0"/>
        <w:jc w:val="center"/>
        <w:rPr>
          <w:b/>
          <w:sz w:val="32"/>
        </w:rPr>
      </w:pPr>
      <w:r>
        <w:rPr>
          <w:b/>
          <w:sz w:val="32"/>
        </w:rPr>
        <w:t>Equations</w:t>
      </w:r>
    </w:p>
    <w:p>
      <w:pPr>
        <w:pStyle w:val="BodyText"/>
        <w:spacing w:before="2"/>
        <w:rPr>
          <w:b/>
          <w:sz w:val="41"/>
        </w:rPr>
      </w:pPr>
    </w:p>
    <w:p>
      <w:pPr>
        <w:pStyle w:val="BodyText"/>
        <w:tabs>
          <w:tab w:pos="8711" w:val="left" w:leader="dot"/>
        </w:tabs>
        <w:spacing w:before="1"/>
        <w:ind w:left="556"/>
        <w:jc w:val="center"/>
      </w:pPr>
      <w:r>
        <w:rPr/>
        <w:t>Equation 4.2.1 Annual soil carbon emissions/removals from</w:t>
      </w:r>
      <w:r>
        <w:rPr>
          <w:spacing w:val="-8"/>
        </w:rPr>
        <w:t> </w:t>
      </w:r>
      <w:r>
        <w:rPr/>
        <w:t>cropland</w:t>
      </w:r>
      <w:r>
        <w:rPr>
          <w:spacing w:val="-1"/>
        </w:rPr>
        <w:t> </w:t>
      </w:r>
      <w:r>
        <w:rPr/>
        <w:t>management</w:t>
        <w:tab/>
        <w:t>4.72</w:t>
      </w:r>
    </w:p>
    <w:p>
      <w:pPr>
        <w:pStyle w:val="BodyText"/>
        <w:tabs>
          <w:tab w:pos="8617" w:val="left" w:leader="dot"/>
        </w:tabs>
        <w:spacing w:before="120"/>
        <w:ind w:left="558"/>
        <w:jc w:val="center"/>
      </w:pPr>
      <w:r>
        <w:rPr/>
        <w:t>Equation 4.3.1 Estimation of aboveground biomass</w:t>
      </w:r>
      <w:r>
        <w:rPr>
          <w:spacing w:val="4"/>
        </w:rPr>
        <w:t> </w:t>
      </w:r>
      <w:r>
        <w:rPr/>
        <w:t>of</w:t>
      </w:r>
      <w:r>
        <w:rPr>
          <w:spacing w:val="-4"/>
        </w:rPr>
        <w:t> </w:t>
      </w:r>
      <w:r>
        <w:rPr/>
        <w:t>forests</w:t>
        <w:tab/>
        <w:t>4.102</w:t>
      </w:r>
    </w:p>
    <w:p>
      <w:pPr>
        <w:pStyle w:val="BodyText"/>
        <w:tabs>
          <w:tab w:pos="8610" w:val="left" w:leader="dot"/>
        </w:tabs>
        <w:spacing w:before="120"/>
        <w:ind w:left="555"/>
        <w:jc w:val="center"/>
      </w:pPr>
      <w:r>
        <w:rPr/>
        <w:t>Equation 4.3.2 Volume of lying</w:t>
      </w:r>
      <w:r>
        <w:rPr>
          <w:spacing w:val="7"/>
        </w:rPr>
        <w:t> </w:t>
      </w:r>
      <w:r>
        <w:rPr/>
        <w:t>dead wood</w:t>
        <w:tab/>
        <w:t>4.105</w:t>
      </w:r>
    </w:p>
    <w:p>
      <w:pPr>
        <w:pStyle w:val="BodyText"/>
        <w:tabs>
          <w:tab w:pos="8611" w:val="left" w:leader="dot"/>
        </w:tabs>
        <w:spacing w:before="118"/>
        <w:ind w:left="556"/>
        <w:jc w:val="center"/>
      </w:pPr>
      <w:r>
        <w:rPr/>
        <w:t>Equation 4.3.3 Soil organic</w:t>
      </w:r>
      <w:r>
        <w:rPr>
          <w:spacing w:val="12"/>
        </w:rPr>
        <w:t> </w:t>
      </w:r>
      <w:r>
        <w:rPr/>
        <w:t>carbon</w:t>
      </w:r>
      <w:r>
        <w:rPr>
          <w:spacing w:val="-4"/>
        </w:rPr>
        <w:t> </w:t>
      </w:r>
      <w:r>
        <w:rPr/>
        <w:t>content</w:t>
        <w:tab/>
        <w:t>4.106</w:t>
      </w:r>
    </w:p>
    <w:p>
      <w:pPr>
        <w:spacing w:after="0"/>
        <w:jc w:val="center"/>
        <w:sectPr>
          <w:pgSz w:w="11900" w:h="16840"/>
          <w:pgMar w:header="230" w:footer="408" w:top="560" w:bottom="600" w:left="1260" w:right="1240"/>
        </w:sectPr>
      </w:pPr>
    </w:p>
    <w:p>
      <w:pPr>
        <w:pStyle w:val="BodyText"/>
      </w:pPr>
    </w:p>
    <w:p>
      <w:pPr>
        <w:pStyle w:val="BodyText"/>
      </w:pPr>
    </w:p>
    <w:p>
      <w:pPr>
        <w:pStyle w:val="BodyText"/>
      </w:pPr>
    </w:p>
    <w:p>
      <w:pPr>
        <w:pStyle w:val="BodyText"/>
      </w:pPr>
    </w:p>
    <w:p>
      <w:pPr>
        <w:pStyle w:val="BodyText"/>
        <w:spacing w:before="3"/>
        <w:rPr>
          <w:sz w:val="24"/>
        </w:rPr>
      </w:pPr>
    </w:p>
    <w:p>
      <w:pPr>
        <w:pStyle w:val="Heading2"/>
        <w:spacing w:before="86"/>
        <w:ind w:left="556" w:right="584" w:firstLine="0"/>
        <w:jc w:val="center"/>
      </w:pPr>
      <w:r>
        <w:rPr/>
        <w:t>Figures</w:t>
      </w:r>
    </w:p>
    <w:p>
      <w:pPr>
        <w:pStyle w:val="BodyText"/>
        <w:spacing w:before="4"/>
        <w:rPr>
          <w:b/>
          <w:sz w:val="41"/>
        </w:rPr>
      </w:pPr>
    </w:p>
    <w:p>
      <w:pPr>
        <w:pStyle w:val="BodyText"/>
        <w:tabs>
          <w:tab w:pos="1972" w:val="left" w:leader="none"/>
        </w:tabs>
        <w:ind w:left="1973" w:right="920" w:hanging="1248"/>
      </w:pPr>
      <w:r>
        <w:rPr/>
        <w:t>Figure</w:t>
      </w:r>
      <w:r>
        <w:rPr>
          <w:spacing w:val="-2"/>
        </w:rPr>
        <w:t> </w:t>
      </w:r>
      <w:r>
        <w:rPr/>
        <w:t>4.1.1</w:t>
        <w:tab/>
        <w:t>Decision tree for classifying a unit of land under Article 3.3 (ARD) or land under Article 3.4 (FM, CM, GM and RV) as of year X of the</w:t>
      </w:r>
      <w:r>
        <w:rPr>
          <w:spacing w:val="-10"/>
        </w:rPr>
        <w:t> </w:t>
      </w:r>
      <w:r>
        <w:rPr/>
        <w:t>commitment</w:t>
      </w:r>
    </w:p>
    <w:p>
      <w:pPr>
        <w:pStyle w:val="BodyText"/>
        <w:tabs>
          <w:tab w:pos="8883" w:val="left" w:leader="dot"/>
        </w:tabs>
        <w:spacing w:line="228" w:lineRule="exact"/>
        <w:ind w:left="1973"/>
      </w:pPr>
      <w:r>
        <w:rPr/>
        <w:t>period (2008, 2009,</w:t>
      </w:r>
      <w:r>
        <w:rPr>
          <w:spacing w:val="-7"/>
        </w:rPr>
        <w:t> </w:t>
      </w:r>
      <w:r>
        <w:rPr/>
        <w:t>…,</w:t>
      </w:r>
      <w:r>
        <w:rPr>
          <w:spacing w:val="-2"/>
        </w:rPr>
        <w:t> </w:t>
      </w:r>
      <w:r>
        <w:rPr/>
        <w:t>2012)</w:t>
        <w:tab/>
        <w:t>4.14</w:t>
      </w:r>
    </w:p>
    <w:p>
      <w:pPr>
        <w:pStyle w:val="BodyText"/>
        <w:tabs>
          <w:tab w:pos="1972" w:val="left" w:leader="none"/>
          <w:tab w:pos="8879" w:val="left" w:leader="dot"/>
        </w:tabs>
        <w:spacing w:before="121"/>
        <w:ind w:left="1973" w:right="167" w:hanging="1248"/>
      </w:pPr>
      <w:r>
        <w:rPr/>
        <w:t>Figure</w:t>
      </w:r>
      <w:r>
        <w:rPr>
          <w:spacing w:val="-2"/>
        </w:rPr>
        <w:t> </w:t>
      </w:r>
      <w:r>
        <w:rPr/>
        <w:t>4.2.1</w:t>
        <w:tab/>
        <w:t>Land classification in the national inventories under the UNFCCC of a hypothetical country in year X of the</w:t>
      </w:r>
      <w:r>
        <w:rPr>
          <w:spacing w:val="-11"/>
        </w:rPr>
        <w:t> </w:t>
      </w:r>
      <w:r>
        <w:rPr/>
        <w:t>commitment</w:t>
      </w:r>
      <w:r>
        <w:rPr>
          <w:spacing w:val="-2"/>
        </w:rPr>
        <w:t> </w:t>
      </w:r>
      <w:r>
        <w:rPr/>
        <w:t>period.</w:t>
        <w:tab/>
      </w:r>
      <w:r>
        <w:rPr>
          <w:spacing w:val="-4"/>
        </w:rPr>
        <w:t>4.22</w:t>
      </w:r>
    </w:p>
    <w:p>
      <w:pPr>
        <w:pStyle w:val="BodyText"/>
        <w:tabs>
          <w:tab w:pos="1973" w:val="left" w:leader="none"/>
        </w:tabs>
        <w:spacing w:before="118"/>
        <w:ind w:left="725"/>
      </w:pPr>
      <w:r>
        <w:rPr/>
        <w:t>Figure</w:t>
      </w:r>
      <w:r>
        <w:rPr>
          <w:spacing w:val="-2"/>
        </w:rPr>
        <w:t> </w:t>
      </w:r>
      <w:r>
        <w:rPr/>
        <w:t>4.2.2</w:t>
        <w:tab/>
        <w:t>Land classification for Kyoto Protocol reporting for a hypothetical country</w:t>
      </w:r>
      <w:r>
        <w:rPr>
          <w:spacing w:val="-9"/>
        </w:rPr>
        <w:t> </w:t>
      </w:r>
      <w:r>
        <w:rPr/>
        <w:t>in</w:t>
      </w:r>
    </w:p>
    <w:p>
      <w:pPr>
        <w:pStyle w:val="BodyText"/>
        <w:tabs>
          <w:tab w:pos="8879" w:val="left" w:leader="dot"/>
        </w:tabs>
        <w:spacing w:before="1"/>
        <w:ind w:left="1973"/>
      </w:pPr>
      <w:r>
        <w:rPr/>
        <w:t>Year X of the</w:t>
      </w:r>
      <w:r>
        <w:rPr>
          <w:spacing w:val="-6"/>
        </w:rPr>
        <w:t> </w:t>
      </w:r>
      <w:r>
        <w:rPr/>
        <w:t>commitment</w:t>
      </w:r>
      <w:r>
        <w:rPr>
          <w:spacing w:val="-1"/>
        </w:rPr>
        <w:t> </w:t>
      </w:r>
      <w:r>
        <w:rPr/>
        <w:t>period</w:t>
        <w:tab/>
        <w:t>4.22</w:t>
      </w:r>
    </w:p>
    <w:p>
      <w:pPr>
        <w:pStyle w:val="BodyText"/>
        <w:tabs>
          <w:tab w:pos="1972" w:val="left" w:leader="none"/>
          <w:tab w:pos="8882" w:val="left" w:leader="dot"/>
        </w:tabs>
        <w:spacing w:before="120"/>
        <w:ind w:left="725"/>
      </w:pPr>
      <w:r>
        <w:rPr/>
        <w:t>Figure</w:t>
      </w:r>
      <w:r>
        <w:rPr>
          <w:spacing w:val="-2"/>
        </w:rPr>
        <w:t> </w:t>
      </w:r>
      <w:r>
        <w:rPr/>
        <w:t>4.2.3</w:t>
        <w:tab/>
        <w:t>Two Reporting Methods for land subject to Articles 3.3 and</w:t>
      </w:r>
      <w:r>
        <w:rPr>
          <w:spacing w:val="-25"/>
        </w:rPr>
        <w:t> </w:t>
      </w:r>
      <w:r>
        <w:rPr/>
        <w:t>3.4</w:t>
      </w:r>
      <w:r>
        <w:rPr>
          <w:spacing w:val="-2"/>
        </w:rPr>
        <w:t> </w:t>
      </w:r>
      <w:r>
        <w:rPr/>
        <w:t>activities</w:t>
        <w:tab/>
        <w:t>4.24</w:t>
      </w:r>
    </w:p>
    <w:p>
      <w:pPr>
        <w:pStyle w:val="BodyText"/>
        <w:tabs>
          <w:tab w:pos="1973" w:val="left" w:leader="none"/>
        </w:tabs>
        <w:spacing w:line="229" w:lineRule="exact" w:before="120"/>
        <w:ind w:left="725"/>
      </w:pPr>
      <w:r>
        <w:rPr/>
        <w:t>Figure</w:t>
      </w:r>
      <w:r>
        <w:rPr>
          <w:spacing w:val="-1"/>
        </w:rPr>
        <w:t> </w:t>
      </w:r>
      <w:r>
        <w:rPr/>
        <w:t>4.2.4</w:t>
        <w:tab/>
        <w:t>Decision tree for choosing a reporting method for land subject to activities</w:t>
      </w:r>
      <w:r>
        <w:rPr>
          <w:spacing w:val="-6"/>
        </w:rPr>
        <w:t> </w:t>
      </w:r>
      <w:r>
        <w:rPr/>
        <w:t>under</w:t>
      </w:r>
    </w:p>
    <w:p>
      <w:pPr>
        <w:pStyle w:val="BodyText"/>
        <w:tabs>
          <w:tab w:pos="8880" w:val="left" w:leader="dot"/>
        </w:tabs>
        <w:spacing w:line="229" w:lineRule="exact"/>
        <w:ind w:left="1973"/>
      </w:pPr>
      <w:r>
        <w:rPr/>
        <w:t>Articles 3.3</w:t>
      </w:r>
      <w:r>
        <w:rPr>
          <w:spacing w:val="-4"/>
        </w:rPr>
        <w:t> </w:t>
      </w:r>
      <w:r>
        <w:rPr/>
        <w:t>and</w:t>
      </w:r>
      <w:r>
        <w:rPr>
          <w:spacing w:val="-1"/>
        </w:rPr>
        <w:t> </w:t>
      </w:r>
      <w:r>
        <w:rPr/>
        <w:t>3.4.</w:t>
        <w:tab/>
        <w:t>4.26</w:t>
      </w:r>
    </w:p>
    <w:p>
      <w:pPr>
        <w:pStyle w:val="BodyText"/>
        <w:tabs>
          <w:tab w:pos="1972" w:val="left" w:leader="none"/>
        </w:tabs>
        <w:spacing w:before="121"/>
        <w:ind w:left="725"/>
      </w:pPr>
      <w:r>
        <w:rPr/>
        <w:t>Figure</w:t>
      </w:r>
      <w:r>
        <w:rPr>
          <w:spacing w:val="-2"/>
        </w:rPr>
        <w:t> </w:t>
      </w:r>
      <w:r>
        <w:rPr/>
        <w:t>4.2.5</w:t>
        <w:tab/>
        <w:t>Decision tree for determining whether a unit of land qualifies for</w:t>
      </w:r>
      <w:r>
        <w:rPr>
          <w:spacing w:val="-6"/>
        </w:rPr>
        <w:t> </w:t>
      </w:r>
      <w:r>
        <w:rPr/>
        <w:t>direct</w:t>
      </w:r>
    </w:p>
    <w:p>
      <w:pPr>
        <w:pStyle w:val="BodyText"/>
        <w:tabs>
          <w:tab w:pos="8880" w:val="left" w:leader="dot"/>
        </w:tabs>
        <w:ind w:left="1973"/>
      </w:pPr>
      <w:r>
        <w:rPr/>
        <w:t>human-induced (dhi) Afforestation/Reforestation (AR) or</w:t>
      </w:r>
      <w:r>
        <w:rPr>
          <w:spacing w:val="-20"/>
        </w:rPr>
        <w:t> </w:t>
      </w:r>
      <w:r>
        <w:rPr/>
        <w:t>Revegetation</w:t>
      </w:r>
      <w:r>
        <w:rPr>
          <w:spacing w:val="-5"/>
        </w:rPr>
        <w:t> </w:t>
      </w:r>
      <w:r>
        <w:rPr/>
        <w:t>(RV).</w:t>
        <w:tab/>
        <w:t>4.53</w:t>
      </w:r>
    </w:p>
    <w:p>
      <w:pPr>
        <w:pStyle w:val="BodyText"/>
        <w:tabs>
          <w:tab w:pos="1972" w:val="left" w:leader="none"/>
        </w:tabs>
        <w:spacing w:line="229" w:lineRule="exact" w:before="121"/>
        <w:ind w:left="725"/>
      </w:pPr>
      <w:r>
        <w:rPr/>
        <w:t>Figure</w:t>
      </w:r>
      <w:r>
        <w:rPr>
          <w:spacing w:val="-2"/>
        </w:rPr>
        <w:t> </w:t>
      </w:r>
      <w:r>
        <w:rPr/>
        <w:t>4.2.6</w:t>
        <w:tab/>
        <w:t>Decision tree for determining whether a unit of land is subject to</w:t>
      </w:r>
      <w:r>
        <w:rPr>
          <w:spacing w:val="-6"/>
        </w:rPr>
        <w:t> </w:t>
      </w:r>
      <w:r>
        <w:rPr/>
        <w:t>direct</w:t>
      </w:r>
    </w:p>
    <w:p>
      <w:pPr>
        <w:pStyle w:val="BodyText"/>
        <w:tabs>
          <w:tab w:pos="8880" w:val="left" w:leader="dot"/>
        </w:tabs>
        <w:spacing w:line="229" w:lineRule="exact"/>
        <w:ind w:left="1973"/>
      </w:pPr>
      <w:r>
        <w:rPr/>
        <w:t>human-induced (dhi)</w:t>
      </w:r>
      <w:r>
        <w:rPr>
          <w:spacing w:val="-6"/>
        </w:rPr>
        <w:t> </w:t>
      </w:r>
      <w:r>
        <w:rPr/>
        <w:t>Deforestation</w:t>
      </w:r>
      <w:r>
        <w:rPr>
          <w:spacing w:val="-4"/>
        </w:rPr>
        <w:t> </w:t>
      </w:r>
      <w:r>
        <w:rPr/>
        <w:t>(D)</w:t>
        <w:tab/>
        <w:t>4.59</w:t>
      </w:r>
    </w:p>
    <w:p>
      <w:pPr>
        <w:pStyle w:val="BodyText"/>
        <w:tabs>
          <w:tab w:pos="1973" w:val="left" w:leader="none"/>
          <w:tab w:pos="8882" w:val="left" w:leader="dot"/>
        </w:tabs>
        <w:spacing w:before="120"/>
        <w:ind w:left="725"/>
      </w:pPr>
      <w:r>
        <w:rPr/>
        <w:t>Figure</w:t>
      </w:r>
      <w:r>
        <w:rPr>
          <w:spacing w:val="-1"/>
        </w:rPr>
        <w:t> </w:t>
      </w:r>
      <w:r>
        <w:rPr/>
        <w:t>4.2.7</w:t>
        <w:tab/>
        <w:t>Relationship between different</w:t>
      </w:r>
      <w:r>
        <w:rPr>
          <w:spacing w:val="-11"/>
        </w:rPr>
        <w:t> </w:t>
      </w:r>
      <w:r>
        <w:rPr/>
        <w:t>forest</w:t>
      </w:r>
      <w:r>
        <w:rPr>
          <w:spacing w:val="-4"/>
        </w:rPr>
        <w:t> </w:t>
      </w:r>
      <w:r>
        <w:rPr/>
        <w:t>categories</w:t>
        <w:tab/>
        <w:t>4.62</w:t>
      </w:r>
    </w:p>
    <w:p>
      <w:pPr>
        <w:pStyle w:val="BodyText"/>
        <w:tabs>
          <w:tab w:pos="1972" w:val="left" w:leader="none"/>
          <w:tab w:pos="8878" w:val="left" w:leader="dot"/>
        </w:tabs>
        <w:spacing w:before="120"/>
        <w:ind w:left="1973" w:right="166" w:hanging="1248"/>
      </w:pPr>
      <w:r>
        <w:rPr/>
        <w:t>Figure</w:t>
      </w:r>
      <w:r>
        <w:rPr>
          <w:spacing w:val="-2"/>
        </w:rPr>
        <w:t> </w:t>
      </w:r>
      <w:r>
        <w:rPr/>
        <w:t>4.2.8</w:t>
        <w:tab/>
        <w:t>Decision tree for determining whether land qualifies as being subject to Forest Management</w:t>
        <w:tab/>
      </w:r>
      <w:r>
        <w:rPr>
          <w:spacing w:val="-4"/>
        </w:rPr>
        <w:t>4.63</w:t>
      </w:r>
    </w:p>
    <w:p>
      <w:pPr>
        <w:pStyle w:val="BodyText"/>
        <w:tabs>
          <w:tab w:pos="1972" w:val="left" w:leader="none"/>
        </w:tabs>
        <w:spacing w:before="119"/>
        <w:ind w:left="725"/>
      </w:pPr>
      <w:r>
        <w:rPr/>
        <w:t>Figure</w:t>
      </w:r>
      <w:r>
        <w:rPr>
          <w:spacing w:val="-2"/>
        </w:rPr>
        <w:t> </w:t>
      </w:r>
      <w:r>
        <w:rPr/>
        <w:t>4.2.9</w:t>
        <w:tab/>
        <w:t>Decision tree for selecting the appropriate tier for estimating carbon stock</w:t>
      </w:r>
      <w:r>
        <w:rPr>
          <w:spacing w:val="-13"/>
        </w:rPr>
        <w:t> </w:t>
      </w:r>
      <w:r>
        <w:rPr/>
        <w:t>changes</w:t>
      </w:r>
    </w:p>
    <w:p>
      <w:pPr>
        <w:pStyle w:val="BodyText"/>
        <w:tabs>
          <w:tab w:pos="8879" w:val="left" w:leader="dot"/>
        </w:tabs>
        <w:ind w:left="1973"/>
      </w:pPr>
      <w:r>
        <w:rPr/>
        <w:t>in mineral soils under cropland for Kyoto</w:t>
      </w:r>
      <w:r>
        <w:rPr>
          <w:spacing w:val="-17"/>
        </w:rPr>
        <w:t> </w:t>
      </w:r>
      <w:r>
        <w:rPr/>
        <w:t>Protocol</w:t>
      </w:r>
      <w:r>
        <w:rPr>
          <w:spacing w:val="-3"/>
        </w:rPr>
        <w:t> </w:t>
      </w:r>
      <w:r>
        <w:rPr/>
        <w:t>reporting</w:t>
        <w:tab/>
        <w:t>4.71</w:t>
      </w:r>
    </w:p>
    <w:p>
      <w:pPr>
        <w:pStyle w:val="BodyText"/>
        <w:spacing w:before="121"/>
        <w:ind w:left="1973" w:right="849" w:hanging="1248"/>
      </w:pPr>
      <w:r>
        <w:rPr/>
        <w:t>Figure 4.2.10 Conceptual illustration of the matrix of carbon stock change factors derived for different land-use, land-management transitions for each set of biophysical</w:t>
      </w:r>
    </w:p>
    <w:p>
      <w:pPr>
        <w:pStyle w:val="BodyText"/>
        <w:tabs>
          <w:tab w:pos="8880" w:val="left" w:leader="dot"/>
        </w:tabs>
        <w:spacing w:line="228" w:lineRule="exact"/>
        <w:ind w:left="1973"/>
      </w:pPr>
      <w:r>
        <w:rPr/>
        <w:t>combinations</w:t>
      </w:r>
      <w:r>
        <w:rPr>
          <w:spacing w:val="-3"/>
        </w:rPr>
        <w:t> </w:t>
      </w:r>
      <w:r>
        <w:rPr/>
        <w:t>(Tier 1)</w:t>
        <w:tab/>
        <w:t>4.72</w:t>
      </w:r>
    </w:p>
    <w:p>
      <w:pPr>
        <w:pStyle w:val="BodyText"/>
        <w:spacing w:before="120"/>
        <w:ind w:left="725"/>
      </w:pPr>
      <w:r>
        <w:rPr/>
        <w:t>Figure 4.2.11 Schematic representation of a change in soil carbon stocks after a</w:t>
      </w:r>
    </w:p>
    <w:p>
      <w:pPr>
        <w:pStyle w:val="BodyText"/>
        <w:tabs>
          <w:tab w:pos="8880" w:val="left" w:leader="dot"/>
        </w:tabs>
        <w:spacing w:before="1"/>
        <w:ind w:left="1973"/>
      </w:pPr>
      <w:r>
        <w:rPr/>
        <w:t>carbon-sequestering management change</w:t>
      </w:r>
      <w:r>
        <w:rPr>
          <w:spacing w:val="-14"/>
        </w:rPr>
        <w:t> </w:t>
      </w:r>
      <w:r>
        <w:rPr/>
        <w:t>is</w:t>
      </w:r>
      <w:r>
        <w:rPr>
          <w:spacing w:val="-5"/>
        </w:rPr>
        <w:t> </w:t>
      </w:r>
      <w:r>
        <w:rPr/>
        <w:t>imposed.</w:t>
        <w:tab/>
        <w:t>4.74</w:t>
      </w:r>
    </w:p>
    <w:p>
      <w:pPr>
        <w:pStyle w:val="BodyText"/>
        <w:spacing w:before="120"/>
        <w:ind w:left="1973" w:right="849" w:hanging="1248"/>
      </w:pPr>
      <w:r>
        <w:rPr/>
        <w:t>Figure 4.2.12 Conceptual illustration of the matrix of carbon stock change factors derived for different land-use, land-management transitions for each set of biophysical</w:t>
      </w:r>
    </w:p>
    <w:p>
      <w:pPr>
        <w:pStyle w:val="BodyText"/>
        <w:tabs>
          <w:tab w:pos="8880" w:val="left" w:leader="dot"/>
        </w:tabs>
        <w:spacing w:line="228" w:lineRule="exact"/>
        <w:ind w:left="1973"/>
      </w:pPr>
      <w:r>
        <w:rPr/>
        <w:t>combinations</w:t>
      </w:r>
      <w:r>
        <w:rPr>
          <w:spacing w:val="-3"/>
        </w:rPr>
        <w:t> </w:t>
      </w:r>
      <w:r>
        <w:rPr/>
        <w:t>(Tier 2)</w:t>
        <w:tab/>
        <w:t>4.75</w:t>
      </w:r>
    </w:p>
    <w:p>
      <w:pPr>
        <w:pStyle w:val="BodyText"/>
        <w:spacing w:before="120"/>
        <w:ind w:left="725"/>
      </w:pPr>
      <w:r>
        <w:rPr/>
        <w:t>Figure 4.2.13 Decision tree for selecting the tier at which to report carbon stock changes in</w:t>
      </w:r>
    </w:p>
    <w:p>
      <w:pPr>
        <w:pStyle w:val="BodyText"/>
        <w:tabs>
          <w:tab w:pos="8880" w:val="left" w:leader="dot"/>
        </w:tabs>
        <w:spacing w:before="1"/>
        <w:ind w:left="1973"/>
      </w:pPr>
      <w:r>
        <w:rPr/>
        <w:t>organic soils under the</w:t>
      </w:r>
      <w:r>
        <w:rPr>
          <w:spacing w:val="-10"/>
        </w:rPr>
        <w:t> </w:t>
      </w:r>
      <w:r>
        <w:rPr/>
        <w:t>Kyoto Protocol</w:t>
        <w:tab/>
        <w:t>4.77</w:t>
      </w:r>
    </w:p>
    <w:p>
      <w:pPr>
        <w:pStyle w:val="BodyText"/>
        <w:tabs>
          <w:tab w:pos="1973" w:val="left" w:leader="none"/>
          <w:tab w:pos="8882" w:val="left" w:leader="dot"/>
        </w:tabs>
        <w:spacing w:before="118"/>
        <w:ind w:left="725"/>
      </w:pPr>
      <w:r>
        <w:rPr/>
        <w:t>Figure</w:t>
      </w:r>
      <w:r>
        <w:rPr>
          <w:spacing w:val="-1"/>
        </w:rPr>
        <w:t> </w:t>
      </w:r>
      <w:r>
        <w:rPr/>
        <w:t>4.3.1</w:t>
        <w:tab/>
        <w:t>An example of the relationship between number of plots and</w:t>
      </w:r>
      <w:r>
        <w:rPr>
          <w:spacing w:val="-25"/>
        </w:rPr>
        <w:t> </w:t>
      </w:r>
      <w:r>
        <w:rPr/>
        <w:t>precision</w:t>
      </w:r>
      <w:r>
        <w:rPr>
          <w:spacing w:val="-3"/>
        </w:rPr>
        <w:t> </w:t>
      </w:r>
      <w:r>
        <w:rPr/>
        <w:t>level</w:t>
        <w:tab/>
        <w:t>4.97</w:t>
      </w:r>
    </w:p>
    <w:p>
      <w:pPr>
        <w:pStyle w:val="BodyText"/>
        <w:tabs>
          <w:tab w:pos="1972" w:val="left" w:leader="none"/>
        </w:tabs>
        <w:spacing w:before="120"/>
        <w:ind w:left="1973" w:right="1058" w:hanging="1248"/>
      </w:pPr>
      <w:r>
        <w:rPr/>
        <w:t>Figure</w:t>
      </w:r>
      <w:r>
        <w:rPr>
          <w:spacing w:val="-2"/>
        </w:rPr>
        <w:t> </w:t>
      </w:r>
      <w:r>
        <w:rPr/>
        <w:t>4.3.2</w:t>
        <w:tab/>
        <w:t>Illustration of the relationship between the magnitude of the Reliable Minimum Estimate (RME) between Time 1 and Time 2 sampling periods and the</w:t>
      </w:r>
      <w:r>
        <w:rPr>
          <w:spacing w:val="-23"/>
        </w:rPr>
        <w:t> </w:t>
      </w:r>
      <w:r>
        <w:rPr/>
        <w:t>95%</w:t>
      </w:r>
    </w:p>
    <w:p>
      <w:pPr>
        <w:pStyle w:val="BodyText"/>
        <w:tabs>
          <w:tab w:pos="8880" w:val="left" w:leader="dot"/>
        </w:tabs>
        <w:spacing w:before="1"/>
        <w:ind w:left="1973"/>
      </w:pPr>
      <w:r>
        <w:rPr/>
        <w:t>confidence interval around the mean soil</w:t>
      </w:r>
      <w:r>
        <w:rPr>
          <w:spacing w:val="-14"/>
        </w:rPr>
        <w:t> </w:t>
      </w:r>
      <w:r>
        <w:rPr/>
        <w:t>carbon</w:t>
      </w:r>
      <w:r>
        <w:rPr>
          <w:spacing w:val="-5"/>
        </w:rPr>
        <w:t> </w:t>
      </w:r>
      <w:r>
        <w:rPr/>
        <w:t>content</w:t>
        <w:tab/>
        <w:t>4.99</w:t>
      </w:r>
    </w:p>
    <w:p>
      <w:pPr>
        <w:pStyle w:val="BodyText"/>
        <w:tabs>
          <w:tab w:pos="1972" w:val="left" w:leader="none"/>
        </w:tabs>
        <w:spacing w:before="118"/>
        <w:ind w:left="1973" w:right="952" w:hanging="1248"/>
      </w:pPr>
      <w:r>
        <w:rPr/>
        <w:t>Figure</w:t>
      </w:r>
      <w:r>
        <w:rPr>
          <w:spacing w:val="-2"/>
        </w:rPr>
        <w:t> </w:t>
      </w:r>
      <w:r>
        <w:rPr/>
        <w:t>4.3.3</w:t>
        <w:tab/>
        <w:t>An example of how the percent absolute change in mean soil carbon (with 95% confidence) for an afforestation project varies in relation to the sampling</w:t>
      </w:r>
      <w:r>
        <w:rPr>
          <w:spacing w:val="-34"/>
        </w:rPr>
        <w:t> </w:t>
      </w:r>
      <w:r>
        <w:rPr/>
        <w:t>interval</w:t>
      </w:r>
    </w:p>
    <w:p>
      <w:pPr>
        <w:pStyle w:val="BodyText"/>
        <w:tabs>
          <w:tab w:pos="8780" w:val="left" w:leader="dot"/>
        </w:tabs>
        <w:spacing w:before="1"/>
        <w:ind w:left="1973"/>
      </w:pPr>
      <w:r>
        <w:rPr/>
        <w:t>and</w:t>
      </w:r>
      <w:r>
        <w:rPr>
          <w:spacing w:val="-2"/>
        </w:rPr>
        <w:t> </w:t>
      </w:r>
      <w:r>
        <w:rPr/>
        <w:t>sample size</w:t>
        <w:tab/>
        <w:t>4.100</w:t>
      </w:r>
    </w:p>
    <w:p>
      <w:pPr>
        <w:spacing w:after="0"/>
        <w:sectPr>
          <w:pgSz w:w="11900" w:h="16840"/>
          <w:pgMar w:header="230" w:footer="408" w:top="560" w:bottom="600" w:left="1260" w:right="1240"/>
        </w:sectPr>
      </w:pPr>
    </w:p>
    <w:p>
      <w:pPr>
        <w:pStyle w:val="BodyText"/>
        <w:rPr>
          <w:sz w:val="34"/>
        </w:rPr>
      </w:pPr>
    </w:p>
    <w:p>
      <w:pPr>
        <w:pStyle w:val="BodyText"/>
        <w:rPr>
          <w:sz w:val="34"/>
        </w:rPr>
      </w:pPr>
    </w:p>
    <w:p>
      <w:pPr>
        <w:pStyle w:val="BodyText"/>
        <w:spacing w:before="8"/>
        <w:rPr>
          <w:sz w:val="43"/>
        </w:rPr>
      </w:pPr>
    </w:p>
    <w:p>
      <w:pPr>
        <w:pStyle w:val="Heading2"/>
        <w:ind w:left="556" w:right="566" w:firstLine="0"/>
        <w:jc w:val="center"/>
      </w:pPr>
      <w:r>
        <w:rPr/>
        <w:t>Tables</w:t>
      </w:r>
    </w:p>
    <w:p>
      <w:pPr>
        <w:pStyle w:val="BodyText"/>
        <w:spacing w:before="5"/>
        <w:rPr>
          <w:b/>
          <w:sz w:val="41"/>
        </w:rPr>
      </w:pPr>
    </w:p>
    <w:p>
      <w:pPr>
        <w:pStyle w:val="BodyText"/>
        <w:tabs>
          <w:tab w:pos="1973" w:val="left" w:leader="none"/>
          <w:tab w:pos="8878" w:val="left" w:leader="dot"/>
        </w:tabs>
        <w:ind w:left="1973" w:right="166" w:hanging="1248"/>
      </w:pPr>
      <w:r>
        <w:rPr/>
        <w:t>Table</w:t>
      </w:r>
      <w:r>
        <w:rPr>
          <w:spacing w:val="-3"/>
        </w:rPr>
        <w:t> </w:t>
      </w:r>
      <w:r>
        <w:rPr/>
        <w:t>4.1.1</w:t>
        <w:tab/>
        <w:t>Summary of the LULUCF Activities under the Kyoto Protocol and the associated accounting</w:t>
      </w:r>
      <w:r>
        <w:rPr>
          <w:spacing w:val="-4"/>
        </w:rPr>
        <w:t> </w:t>
      </w:r>
      <w:r>
        <w:rPr/>
        <w:t>rules</w:t>
        <w:tab/>
      </w:r>
      <w:r>
        <w:rPr>
          <w:spacing w:val="-4"/>
        </w:rPr>
        <w:t>4.13</w:t>
      </w:r>
    </w:p>
    <w:p>
      <w:pPr>
        <w:pStyle w:val="BodyText"/>
        <w:tabs>
          <w:tab w:pos="1973" w:val="left" w:leader="none"/>
        </w:tabs>
        <w:spacing w:before="118"/>
        <w:ind w:left="725"/>
      </w:pPr>
      <w:r>
        <w:rPr/>
        <w:t>Table</w:t>
      </w:r>
      <w:r>
        <w:rPr>
          <w:spacing w:val="-3"/>
        </w:rPr>
        <w:t> </w:t>
      </w:r>
      <w:r>
        <w:rPr/>
        <w:t>4.2.1</w:t>
        <w:tab/>
        <w:t>Relationship between activities under Articles 3.3 and 3.4 of the Kyoto Protocol</w:t>
      </w:r>
      <w:r>
        <w:rPr>
          <w:spacing w:val="-11"/>
        </w:rPr>
        <w:t> </w:t>
      </w:r>
      <w:r>
        <w:rPr/>
        <w:t>and</w:t>
      </w:r>
    </w:p>
    <w:p>
      <w:pPr>
        <w:pStyle w:val="BodyText"/>
        <w:tabs>
          <w:tab w:pos="8879" w:val="left" w:leader="dot"/>
        </w:tabs>
        <w:spacing w:before="1"/>
        <w:ind w:left="1973"/>
      </w:pPr>
      <w:r>
        <w:rPr/>
        <w:t>the basic land-use categories of</w:t>
      </w:r>
      <w:r>
        <w:rPr>
          <w:spacing w:val="-13"/>
        </w:rPr>
        <w:t> </w:t>
      </w:r>
      <w:r>
        <w:rPr/>
        <w:t>Section</w:t>
      </w:r>
      <w:r>
        <w:rPr>
          <w:spacing w:val="-3"/>
        </w:rPr>
        <w:t> </w:t>
      </w:r>
      <w:r>
        <w:rPr/>
        <w:t>2.2</w:t>
        <w:tab/>
        <w:t>4.21</w:t>
      </w:r>
    </w:p>
    <w:p>
      <w:pPr>
        <w:pStyle w:val="BodyText"/>
        <w:tabs>
          <w:tab w:pos="1972" w:val="left" w:leader="none"/>
        </w:tabs>
        <w:spacing w:line="350" w:lineRule="atLeast"/>
        <w:ind w:left="725" w:right="167"/>
      </w:pPr>
      <w:r>
        <w:rPr/>
        <w:t>Table</w:t>
      </w:r>
      <w:r>
        <w:rPr>
          <w:spacing w:val="-3"/>
        </w:rPr>
        <w:t> </w:t>
      </w:r>
      <w:r>
        <w:rPr/>
        <w:t>4.2.2</w:t>
        <w:tab/>
        <w:t>Relationship between Approaches in Chapter 2 and Reporting Methods in Chapter </w:t>
      </w:r>
      <w:r>
        <w:rPr>
          <w:spacing w:val="7"/>
        </w:rPr>
        <w:t>4. </w:t>
      </w:r>
      <w:r>
        <w:rPr/>
        <w:t>4.26 Table</w:t>
      </w:r>
      <w:r>
        <w:rPr>
          <w:spacing w:val="-3"/>
        </w:rPr>
        <w:t> </w:t>
      </w:r>
      <w:r>
        <w:rPr/>
        <w:t>4.2.3</w:t>
        <w:tab/>
        <w:t>Calendar Years for which carbon stock changes are to be reported (for each</w:t>
      </w:r>
      <w:r>
        <w:rPr>
          <w:spacing w:val="-20"/>
        </w:rPr>
        <w:t> </w:t>
      </w:r>
      <w:r>
        <w:rPr/>
        <w:t>activity</w:t>
      </w:r>
    </w:p>
    <w:p>
      <w:pPr>
        <w:pStyle w:val="BodyText"/>
        <w:spacing w:line="228" w:lineRule="exact"/>
        <w:ind w:left="1973"/>
      </w:pPr>
      <w:r>
        <w:rPr/>
        <w:t>and each of the five pools described above), as a function of the time when the</w:t>
      </w:r>
    </w:p>
    <w:p>
      <w:pPr>
        <w:pStyle w:val="BodyText"/>
        <w:tabs>
          <w:tab w:pos="8878" w:val="left" w:leader="dot"/>
        </w:tabs>
        <w:spacing w:before="1"/>
        <w:ind w:left="1973"/>
      </w:pPr>
      <w:r>
        <w:rPr/>
        <w:t>activity</w:t>
      </w:r>
      <w:r>
        <w:rPr>
          <w:spacing w:val="-3"/>
        </w:rPr>
        <w:t> </w:t>
      </w:r>
      <w:r>
        <w:rPr/>
        <w:t>started</w:t>
        <w:tab/>
        <w:t>4.31</w:t>
      </w:r>
    </w:p>
    <w:p>
      <w:pPr>
        <w:pStyle w:val="BodyText"/>
        <w:tabs>
          <w:tab w:pos="1973" w:val="left" w:leader="none"/>
        </w:tabs>
        <w:spacing w:line="229" w:lineRule="exact" w:before="120"/>
        <w:ind w:left="725"/>
      </w:pPr>
      <w:r>
        <w:rPr/>
        <w:t>Table</w:t>
      </w:r>
      <w:r>
        <w:rPr>
          <w:spacing w:val="-3"/>
        </w:rPr>
        <w:t> </w:t>
      </w:r>
      <w:r>
        <w:rPr/>
        <w:t>4.2.4a</w:t>
        <w:tab/>
        <w:t>Supplementary Inventory Information to be reported prior to 1 January 2007 or</w:t>
      </w:r>
      <w:r>
        <w:rPr>
          <w:spacing w:val="-25"/>
        </w:rPr>
        <w:t> </w:t>
      </w:r>
      <w:r>
        <w:rPr/>
        <w:t>one</w:t>
      </w:r>
    </w:p>
    <w:p>
      <w:pPr>
        <w:pStyle w:val="BodyText"/>
        <w:tabs>
          <w:tab w:pos="8880" w:val="left" w:leader="dot"/>
        </w:tabs>
        <w:spacing w:line="229" w:lineRule="exact"/>
        <w:ind w:left="1973"/>
      </w:pPr>
      <w:r>
        <w:rPr/>
        <w:t>year after the entry into force of the Kyoto Protocol for the Party, whichever</w:t>
      </w:r>
      <w:r>
        <w:rPr>
          <w:spacing w:val="-27"/>
        </w:rPr>
        <w:t> </w:t>
      </w:r>
      <w:r>
        <w:rPr/>
        <w:t>is</w:t>
      </w:r>
      <w:r>
        <w:rPr>
          <w:spacing w:val="-2"/>
        </w:rPr>
        <w:t> </w:t>
      </w:r>
      <w:r>
        <w:rPr/>
        <w:t>later</w:t>
        <w:tab/>
        <w:t>4.40</w:t>
      </w:r>
    </w:p>
    <w:p>
      <w:pPr>
        <w:pStyle w:val="BodyText"/>
        <w:tabs>
          <w:tab w:pos="1973" w:val="left" w:leader="none"/>
        </w:tabs>
        <w:spacing w:before="120"/>
        <w:ind w:left="725"/>
      </w:pPr>
      <w:r>
        <w:rPr/>
        <w:t>Table</w:t>
      </w:r>
      <w:r>
        <w:rPr>
          <w:spacing w:val="-2"/>
        </w:rPr>
        <w:t> </w:t>
      </w:r>
      <w:r>
        <w:rPr/>
        <w:t>4.2.4b</w:t>
        <w:tab/>
        <w:t>Supplementary Information to be reported for the annual greenhouse gas</w:t>
      </w:r>
      <w:r>
        <w:rPr>
          <w:spacing w:val="-15"/>
        </w:rPr>
        <w:t> </w:t>
      </w:r>
      <w:r>
        <w:rPr/>
        <w:t>inventory</w:t>
      </w:r>
    </w:p>
    <w:p>
      <w:pPr>
        <w:pStyle w:val="BodyText"/>
        <w:tabs>
          <w:tab w:pos="8879" w:val="left" w:leader="dot"/>
        </w:tabs>
        <w:spacing w:before="1"/>
        <w:ind w:left="1973"/>
      </w:pPr>
      <w:r>
        <w:rPr/>
        <w:t>during the first commitment period according to the</w:t>
      </w:r>
      <w:r>
        <w:rPr>
          <w:spacing w:val="-21"/>
        </w:rPr>
        <w:t> </w:t>
      </w:r>
      <w:r>
        <w:rPr/>
        <w:t>Marrakesh</w:t>
      </w:r>
      <w:r>
        <w:rPr>
          <w:spacing w:val="-2"/>
        </w:rPr>
        <w:t> </w:t>
      </w:r>
      <w:r>
        <w:rPr/>
        <w:t>Accords</w:t>
        <w:tab/>
        <w:t>4.41</w:t>
      </w:r>
    </w:p>
    <w:p>
      <w:pPr>
        <w:pStyle w:val="BodyText"/>
        <w:tabs>
          <w:tab w:pos="1972" w:val="left" w:leader="none"/>
          <w:tab w:pos="8879" w:val="left" w:leader="dot"/>
        </w:tabs>
        <w:spacing w:before="120"/>
        <w:ind w:left="725"/>
      </w:pPr>
      <w:r>
        <w:rPr/>
        <w:t>Table</w:t>
      </w:r>
      <w:r>
        <w:rPr>
          <w:spacing w:val="-3"/>
        </w:rPr>
        <w:t> </w:t>
      </w:r>
      <w:r>
        <w:rPr/>
        <w:t>4.2.5</w:t>
        <w:tab/>
        <w:t>Land</w:t>
      </w:r>
      <w:r>
        <w:rPr>
          <w:spacing w:val="-2"/>
        </w:rPr>
        <w:t> </w:t>
      </w:r>
      <w:r>
        <w:rPr/>
        <w:t>transition</w:t>
      </w:r>
      <w:r>
        <w:rPr>
          <w:spacing w:val="-3"/>
        </w:rPr>
        <w:t> </w:t>
      </w:r>
      <w:r>
        <w:rPr/>
        <w:t>matrix</w:t>
        <w:tab/>
        <w:t>4.44</w:t>
      </w:r>
    </w:p>
    <w:p>
      <w:pPr>
        <w:pStyle w:val="BodyText"/>
        <w:tabs>
          <w:tab w:pos="1972" w:val="left" w:leader="none"/>
          <w:tab w:pos="8880" w:val="left" w:leader="dot"/>
        </w:tabs>
        <w:spacing w:before="118"/>
        <w:ind w:left="725"/>
      </w:pPr>
      <w:r>
        <w:rPr/>
        <w:t>Table</w:t>
      </w:r>
      <w:r>
        <w:rPr>
          <w:spacing w:val="-3"/>
        </w:rPr>
        <w:t> </w:t>
      </w:r>
      <w:r>
        <w:rPr/>
        <w:t>4.2.6a</w:t>
        <w:tab/>
        <w:t>Table for</w:t>
      </w:r>
      <w:r>
        <w:rPr>
          <w:spacing w:val="-2"/>
        </w:rPr>
        <w:t> </w:t>
      </w:r>
      <w:r>
        <w:rPr/>
        <w:t>Reporting</w:t>
      </w:r>
      <w:r>
        <w:rPr>
          <w:spacing w:val="-3"/>
        </w:rPr>
        <w:t> </w:t>
      </w:r>
      <w:r>
        <w:rPr/>
        <w:t>(AR/D/FM)</w:t>
        <w:tab/>
        <w:t>4.45</w:t>
      </w:r>
    </w:p>
    <w:p>
      <w:pPr>
        <w:pStyle w:val="BodyText"/>
        <w:tabs>
          <w:tab w:pos="1972" w:val="left" w:leader="none"/>
          <w:tab w:pos="8880" w:val="left" w:leader="dot"/>
        </w:tabs>
        <w:spacing w:before="121"/>
        <w:ind w:left="725"/>
      </w:pPr>
      <w:r>
        <w:rPr/>
        <w:t>Table</w:t>
      </w:r>
      <w:r>
        <w:rPr>
          <w:spacing w:val="-3"/>
        </w:rPr>
        <w:t> </w:t>
      </w:r>
      <w:r>
        <w:rPr/>
        <w:t>4.2.6b</w:t>
        <w:tab/>
        <w:t>Table for</w:t>
      </w:r>
      <w:r>
        <w:rPr>
          <w:spacing w:val="-3"/>
        </w:rPr>
        <w:t> </w:t>
      </w:r>
      <w:r>
        <w:rPr/>
        <w:t>Reporting</w:t>
      </w:r>
      <w:r>
        <w:rPr>
          <w:spacing w:val="-3"/>
        </w:rPr>
        <w:t> </w:t>
      </w:r>
      <w:r>
        <w:rPr/>
        <w:t>(CM/GM/RV)</w:t>
        <w:tab/>
        <w:t>4.46</w:t>
      </w:r>
    </w:p>
    <w:p>
      <w:pPr>
        <w:pStyle w:val="BodyText"/>
        <w:tabs>
          <w:tab w:pos="1972" w:val="left" w:leader="none"/>
          <w:tab w:pos="8878" w:val="left" w:leader="dot"/>
        </w:tabs>
        <w:spacing w:before="120"/>
        <w:ind w:left="725"/>
      </w:pPr>
      <w:r>
        <w:rPr/>
        <w:t>Table</w:t>
      </w:r>
      <w:r>
        <w:rPr>
          <w:spacing w:val="-3"/>
        </w:rPr>
        <w:t> </w:t>
      </w:r>
      <w:r>
        <w:rPr/>
        <w:t>4.2.6c</w:t>
        <w:tab/>
        <w:t>Table for</w:t>
      </w:r>
      <w:r>
        <w:rPr>
          <w:spacing w:val="-3"/>
        </w:rPr>
        <w:t> </w:t>
      </w:r>
      <w:r>
        <w:rPr/>
        <w:t>Reporting</w:t>
      </w:r>
      <w:r>
        <w:rPr>
          <w:spacing w:val="-3"/>
        </w:rPr>
        <w:t> </w:t>
      </w:r>
      <w:r>
        <w:rPr/>
        <w:t>(Projects)</w:t>
        <w:tab/>
        <w:t>4.47</w:t>
      </w:r>
    </w:p>
    <w:p>
      <w:pPr>
        <w:pStyle w:val="BodyText"/>
        <w:tabs>
          <w:tab w:pos="1973" w:val="left" w:leader="none"/>
        </w:tabs>
        <w:spacing w:line="229" w:lineRule="exact" w:before="120"/>
        <w:ind w:left="725"/>
      </w:pPr>
      <w:r>
        <w:rPr/>
        <w:t>Table</w:t>
      </w:r>
      <w:r>
        <w:rPr>
          <w:spacing w:val="-3"/>
        </w:rPr>
        <w:t> </w:t>
      </w:r>
      <w:r>
        <w:rPr/>
        <w:t>4.2.7</w:t>
        <w:tab/>
        <w:t>Summary table of greenhouse gas emissions by sources and removals by sinks</w:t>
      </w:r>
      <w:r>
        <w:rPr>
          <w:spacing w:val="-22"/>
        </w:rPr>
        <w:t> </w:t>
      </w:r>
      <w:r>
        <w:rPr/>
        <w:t>by</w:t>
      </w:r>
    </w:p>
    <w:p>
      <w:pPr>
        <w:pStyle w:val="BodyText"/>
        <w:tabs>
          <w:tab w:pos="8880" w:val="left" w:leader="dot"/>
        </w:tabs>
        <w:spacing w:line="229" w:lineRule="exact"/>
        <w:ind w:left="1973"/>
      </w:pPr>
      <w:r>
        <w:rPr/>
        <w:t>Articles 3.3, 3.4 and 6 activities for the</w:t>
      </w:r>
      <w:r>
        <w:rPr>
          <w:spacing w:val="-20"/>
        </w:rPr>
        <w:t> </w:t>
      </w:r>
      <w:r>
        <w:rPr/>
        <w:t>inventory</w:t>
      </w:r>
      <w:r>
        <w:rPr>
          <w:spacing w:val="-3"/>
        </w:rPr>
        <w:t> </w:t>
      </w:r>
      <w:r>
        <w:rPr/>
        <w:t>year</w:t>
        <w:tab/>
        <w:t>4.48</w:t>
      </w:r>
    </w:p>
    <w:p>
      <w:pPr>
        <w:pStyle w:val="BodyText"/>
        <w:tabs>
          <w:tab w:pos="1973" w:val="left" w:leader="none"/>
        </w:tabs>
        <w:spacing w:before="121"/>
        <w:ind w:left="725"/>
      </w:pPr>
      <w:r>
        <w:rPr/>
        <w:t>Table</w:t>
      </w:r>
      <w:r>
        <w:rPr>
          <w:spacing w:val="-3"/>
        </w:rPr>
        <w:t> </w:t>
      </w:r>
      <w:r>
        <w:rPr/>
        <w:t>4.2.8</w:t>
        <w:tab/>
        <w:t>Sections where methodologies can be found for estimating different carbon</w:t>
      </w:r>
      <w:r>
        <w:rPr>
          <w:spacing w:val="-12"/>
        </w:rPr>
        <w:t> </w:t>
      </w:r>
      <w:r>
        <w:rPr/>
        <w:t>pools</w:t>
      </w:r>
    </w:p>
    <w:p>
      <w:pPr>
        <w:pStyle w:val="BodyText"/>
        <w:tabs>
          <w:tab w:pos="8878" w:val="left" w:leader="dot"/>
        </w:tabs>
        <w:ind w:left="1973"/>
      </w:pPr>
      <w:r>
        <w:rPr/>
        <w:t>on</w:t>
      </w:r>
      <w:r>
        <w:rPr>
          <w:spacing w:val="-3"/>
        </w:rPr>
        <w:t> </w:t>
      </w:r>
      <w:r>
        <w:rPr/>
        <w:t>cropland</w:t>
        <w:tab/>
        <w:t>4.69</w:t>
      </w:r>
    </w:p>
    <w:p>
      <w:pPr>
        <w:pStyle w:val="BodyText"/>
        <w:tabs>
          <w:tab w:pos="1973" w:val="left" w:leader="none"/>
        </w:tabs>
        <w:spacing w:line="229" w:lineRule="exact" w:before="121"/>
        <w:ind w:left="725"/>
      </w:pPr>
      <w:r>
        <w:rPr/>
        <w:t>Table</w:t>
      </w:r>
      <w:r>
        <w:rPr>
          <w:spacing w:val="-3"/>
        </w:rPr>
        <w:t> </w:t>
      </w:r>
      <w:r>
        <w:rPr/>
        <w:t>4.3.1</w:t>
        <w:tab/>
        <w:t>A decision matrix to illustrate possible selection criteria of pools to measure</w:t>
      </w:r>
      <w:r>
        <w:rPr>
          <w:spacing w:val="-8"/>
        </w:rPr>
        <w:t> </w:t>
      </w:r>
      <w:r>
        <w:rPr/>
        <w:t>and</w:t>
      </w:r>
    </w:p>
    <w:p>
      <w:pPr>
        <w:pStyle w:val="BodyText"/>
        <w:tabs>
          <w:tab w:pos="8881" w:val="left" w:leader="dot"/>
        </w:tabs>
        <w:spacing w:line="229" w:lineRule="exact"/>
        <w:ind w:left="1973"/>
      </w:pPr>
      <w:r>
        <w:rPr/>
        <w:t>monitor in</w:t>
      </w:r>
      <w:r>
        <w:rPr>
          <w:spacing w:val="-3"/>
        </w:rPr>
        <w:t> </w:t>
      </w:r>
      <w:r>
        <w:rPr/>
        <w:t>LULUCF</w:t>
      </w:r>
      <w:r>
        <w:rPr>
          <w:spacing w:val="-1"/>
        </w:rPr>
        <w:t> </w:t>
      </w:r>
      <w:r>
        <w:rPr/>
        <w:t>projects</w:t>
        <w:tab/>
        <w:t>4.96</w:t>
      </w:r>
    </w:p>
    <w:p>
      <w:pPr>
        <w:pStyle w:val="BodyText"/>
        <w:tabs>
          <w:tab w:pos="1973" w:val="left" w:leader="none"/>
        </w:tabs>
        <w:spacing w:before="120"/>
        <w:ind w:left="725"/>
      </w:pPr>
      <w:r>
        <w:rPr/>
        <w:t>Table</w:t>
      </w:r>
      <w:r>
        <w:rPr>
          <w:spacing w:val="-3"/>
        </w:rPr>
        <w:t> </w:t>
      </w:r>
      <w:r>
        <w:rPr/>
        <w:t>4.3.2</w:t>
        <w:tab/>
        <w:t>Possible LULUCF project practices that may result in emissions or removals</w:t>
      </w:r>
      <w:r>
        <w:rPr>
          <w:spacing w:val="-16"/>
        </w:rPr>
        <w:t> </w:t>
      </w:r>
      <w:r>
        <w:rPr/>
        <w:t>of</w:t>
      </w:r>
    </w:p>
    <w:p>
      <w:pPr>
        <w:pStyle w:val="BodyText"/>
        <w:tabs>
          <w:tab w:pos="8781" w:val="left" w:leader="dot"/>
        </w:tabs>
        <w:ind w:left="1973"/>
      </w:pPr>
      <w:r>
        <w:rPr/>
        <w:t>non-CO</w:t>
      </w:r>
      <w:r>
        <w:rPr>
          <w:vertAlign w:val="subscript"/>
        </w:rPr>
        <w:t>2</w:t>
      </w:r>
      <w:r>
        <w:rPr>
          <w:spacing w:val="-4"/>
          <w:vertAlign w:val="baseline"/>
        </w:rPr>
        <w:t> </w:t>
      </w:r>
      <w:r>
        <w:rPr>
          <w:vertAlign w:val="baseline"/>
        </w:rPr>
        <w:t>greenhouse</w:t>
      </w:r>
      <w:r>
        <w:rPr>
          <w:spacing w:val="-2"/>
          <w:vertAlign w:val="baseline"/>
        </w:rPr>
        <w:t> </w:t>
      </w:r>
      <w:r>
        <w:rPr>
          <w:vertAlign w:val="baseline"/>
        </w:rPr>
        <w:t>gases</w:t>
        <w:tab/>
        <w:t>4.107</w:t>
      </w:r>
    </w:p>
    <w:p>
      <w:pPr>
        <w:pStyle w:val="BodyText"/>
        <w:tabs>
          <w:tab w:pos="1972" w:val="left" w:leader="none"/>
        </w:tabs>
        <w:spacing w:line="229" w:lineRule="exact" w:before="121"/>
        <w:ind w:left="725"/>
      </w:pPr>
      <w:r>
        <w:rPr/>
        <w:t>Table</w:t>
      </w:r>
      <w:r>
        <w:rPr>
          <w:spacing w:val="-3"/>
        </w:rPr>
        <w:t> </w:t>
      </w:r>
      <w:r>
        <w:rPr/>
        <w:t>4.3.3</w:t>
        <w:tab/>
        <w:t>Location of IPCC default methods and data for estimation of non-CO</w:t>
      </w:r>
      <w:r>
        <w:rPr>
          <w:vertAlign w:val="subscript"/>
        </w:rPr>
        <w:t>2</w:t>
      </w:r>
      <w:r>
        <w:rPr>
          <w:spacing w:val="-18"/>
          <w:vertAlign w:val="baseline"/>
        </w:rPr>
        <w:t> </w:t>
      </w:r>
      <w:r>
        <w:rPr>
          <w:vertAlign w:val="baseline"/>
        </w:rPr>
        <w:t>greenhouse</w:t>
      </w:r>
    </w:p>
    <w:p>
      <w:pPr>
        <w:pStyle w:val="BodyText"/>
        <w:tabs>
          <w:tab w:pos="8781" w:val="left" w:leader="dot"/>
        </w:tabs>
        <w:spacing w:line="229" w:lineRule="exact"/>
        <w:ind w:left="1973"/>
      </w:pPr>
      <w:r>
        <w:rPr/>
        <w:t>gas emissions</w:t>
      </w:r>
      <w:r>
        <w:rPr>
          <w:spacing w:val="-8"/>
        </w:rPr>
        <w:t> </w:t>
      </w:r>
      <w:r>
        <w:rPr/>
        <w:t>and</w:t>
      </w:r>
      <w:r>
        <w:rPr>
          <w:spacing w:val="-2"/>
        </w:rPr>
        <w:t> </w:t>
      </w:r>
      <w:r>
        <w:rPr/>
        <w:t>removals</w:t>
        <w:tab/>
        <w:t>4.108</w:t>
      </w:r>
    </w:p>
    <w:p>
      <w:pPr>
        <w:pStyle w:val="BodyText"/>
        <w:tabs>
          <w:tab w:pos="1973" w:val="left" w:leader="none"/>
        </w:tabs>
        <w:spacing w:before="120"/>
        <w:ind w:left="725"/>
      </w:pPr>
      <w:r>
        <w:rPr/>
        <w:t>Table</w:t>
      </w:r>
      <w:r>
        <w:rPr>
          <w:spacing w:val="-4"/>
        </w:rPr>
        <w:t> </w:t>
      </w:r>
      <w:r>
        <w:rPr/>
        <w:t>4.A.1</w:t>
        <w:tab/>
        <w:t>Allometric equations for estimating aboveground biomass of tropical</w:t>
      </w:r>
      <w:r>
        <w:rPr>
          <w:spacing w:val="-6"/>
        </w:rPr>
        <w:t> </w:t>
      </w:r>
      <w:r>
        <w:rPr/>
        <w:t>and</w:t>
      </w:r>
    </w:p>
    <w:p>
      <w:pPr>
        <w:pStyle w:val="BodyText"/>
        <w:tabs>
          <w:tab w:pos="8783" w:val="left" w:leader="dot"/>
        </w:tabs>
        <w:spacing w:before="1"/>
        <w:ind w:left="1973"/>
      </w:pPr>
      <w:r>
        <w:rPr/>
        <w:t>temperate hardwood and</w:t>
      </w:r>
      <w:r>
        <w:rPr>
          <w:spacing w:val="-9"/>
        </w:rPr>
        <w:t> </w:t>
      </w:r>
      <w:r>
        <w:rPr/>
        <w:t>pine</w:t>
      </w:r>
      <w:r>
        <w:rPr>
          <w:spacing w:val="-1"/>
        </w:rPr>
        <w:t> </w:t>
      </w:r>
      <w:r>
        <w:rPr/>
        <w:t>species</w:t>
        <w:tab/>
        <w:t>4.114</w:t>
      </w:r>
    </w:p>
    <w:p>
      <w:pPr>
        <w:pStyle w:val="BodyText"/>
        <w:tabs>
          <w:tab w:pos="1973" w:val="left" w:leader="none"/>
        </w:tabs>
        <w:spacing w:line="229" w:lineRule="exact" w:before="120"/>
        <w:ind w:left="725"/>
      </w:pPr>
      <w:r>
        <w:rPr/>
        <w:t>Table</w:t>
      </w:r>
      <w:r>
        <w:rPr>
          <w:spacing w:val="-4"/>
        </w:rPr>
        <w:t> </w:t>
      </w:r>
      <w:r>
        <w:rPr/>
        <w:t>4.A.2</w:t>
        <w:tab/>
        <w:t>Allometric equations for estimating aboveground biomass of palm trees</w:t>
      </w:r>
      <w:r>
        <w:rPr>
          <w:spacing w:val="-15"/>
        </w:rPr>
        <w:t> </w:t>
      </w:r>
      <w:r>
        <w:rPr/>
        <w:t>common</w:t>
      </w:r>
    </w:p>
    <w:p>
      <w:pPr>
        <w:pStyle w:val="BodyText"/>
        <w:tabs>
          <w:tab w:pos="8782" w:val="left" w:leader="dot"/>
        </w:tabs>
        <w:spacing w:line="229" w:lineRule="exact"/>
        <w:ind w:left="1973"/>
      </w:pPr>
      <w:r>
        <w:rPr/>
        <w:t>in tropical humid forests of</w:t>
      </w:r>
      <w:r>
        <w:rPr>
          <w:spacing w:val="-10"/>
        </w:rPr>
        <w:t> </w:t>
      </w:r>
      <w:r>
        <w:rPr/>
        <w:t>Latin</w:t>
      </w:r>
      <w:r>
        <w:rPr>
          <w:spacing w:val="-2"/>
        </w:rPr>
        <w:t> </w:t>
      </w:r>
      <w:r>
        <w:rPr/>
        <w:t>America</w:t>
        <w:tab/>
        <w:t>4.114</w:t>
      </w:r>
    </w:p>
    <w:p>
      <w:pPr>
        <w:pStyle w:val="BodyText"/>
        <w:tabs>
          <w:tab w:pos="1973" w:val="left" w:leader="none"/>
        </w:tabs>
        <w:spacing w:before="121"/>
        <w:ind w:left="725"/>
      </w:pPr>
      <w:r>
        <w:rPr/>
        <w:t>Table</w:t>
      </w:r>
      <w:r>
        <w:rPr>
          <w:spacing w:val="-4"/>
        </w:rPr>
        <w:t> </w:t>
      </w:r>
      <w:r>
        <w:rPr/>
        <w:t>4.A.3</w:t>
        <w:tab/>
        <w:t>Examples of allometric equations for estimating aboveground biomass of</w:t>
      </w:r>
      <w:r>
        <w:rPr>
          <w:spacing w:val="-18"/>
        </w:rPr>
        <w:t> </w:t>
      </w:r>
      <w:r>
        <w:rPr/>
        <w:t>some</w:t>
      </w:r>
    </w:p>
    <w:p>
      <w:pPr>
        <w:pStyle w:val="BodyText"/>
        <w:tabs>
          <w:tab w:pos="8781" w:val="left" w:leader="dot"/>
        </w:tabs>
        <w:ind w:left="1973"/>
      </w:pPr>
      <w:r>
        <w:rPr/>
        <w:t>individual species commonly used in</w:t>
      </w:r>
      <w:r>
        <w:rPr>
          <w:spacing w:val="-9"/>
        </w:rPr>
        <w:t> </w:t>
      </w:r>
      <w:r>
        <w:rPr/>
        <w:t>the</w:t>
      </w:r>
      <w:r>
        <w:rPr>
          <w:spacing w:val="-1"/>
        </w:rPr>
        <w:t> </w:t>
      </w:r>
      <w:r>
        <w:rPr/>
        <w:t>Tropics</w:t>
        <w:tab/>
        <w:t>4.115</w:t>
      </w:r>
    </w:p>
    <w:p>
      <w:pPr>
        <w:pStyle w:val="BodyText"/>
        <w:tabs>
          <w:tab w:pos="1973" w:val="left" w:leader="none"/>
          <w:tab w:pos="8781" w:val="left" w:leader="dot"/>
        </w:tabs>
        <w:spacing w:before="120"/>
        <w:ind w:left="725"/>
      </w:pPr>
      <w:r>
        <w:rPr/>
        <w:t>Table</w:t>
      </w:r>
      <w:r>
        <w:rPr>
          <w:spacing w:val="-4"/>
        </w:rPr>
        <w:t> </w:t>
      </w:r>
      <w:r>
        <w:rPr/>
        <w:t>4.A.4</w:t>
        <w:tab/>
        <w:t>Allometric equations for estimating belowground or root biomass</w:t>
      </w:r>
      <w:r>
        <w:rPr>
          <w:spacing w:val="-23"/>
        </w:rPr>
        <w:t> </w:t>
      </w:r>
      <w:r>
        <w:rPr/>
        <w:t>of</w:t>
      </w:r>
      <w:r>
        <w:rPr>
          <w:spacing w:val="-2"/>
        </w:rPr>
        <w:t> </w:t>
      </w:r>
      <w:r>
        <w:rPr/>
        <w:t>forests</w:t>
        <w:tab/>
        <w:t>4.115</w:t>
      </w:r>
    </w:p>
    <w:p>
      <w:pPr>
        <w:spacing w:after="0"/>
        <w:sectPr>
          <w:pgSz w:w="11900" w:h="16840"/>
          <w:pgMar w:header="230" w:footer="408" w:top="560" w:bottom="600" w:left="1260" w:right="1240"/>
        </w:sectPr>
      </w:pPr>
    </w:p>
    <w:p>
      <w:pPr>
        <w:pStyle w:val="BodyText"/>
      </w:pPr>
    </w:p>
    <w:p>
      <w:pPr>
        <w:pStyle w:val="BodyText"/>
      </w:pPr>
    </w:p>
    <w:p>
      <w:pPr>
        <w:pStyle w:val="BodyText"/>
      </w:pPr>
    </w:p>
    <w:p>
      <w:pPr>
        <w:pStyle w:val="BodyText"/>
      </w:pPr>
    </w:p>
    <w:p>
      <w:pPr>
        <w:pStyle w:val="BodyText"/>
        <w:spacing w:before="3"/>
        <w:rPr>
          <w:sz w:val="24"/>
        </w:rPr>
      </w:pPr>
    </w:p>
    <w:p>
      <w:pPr>
        <w:pStyle w:val="Heading2"/>
        <w:spacing w:before="86"/>
        <w:ind w:left="556" w:right="563" w:firstLine="0"/>
        <w:jc w:val="center"/>
      </w:pPr>
      <w:r>
        <w:rPr/>
        <w:t>Boxes</w:t>
      </w:r>
    </w:p>
    <w:p>
      <w:pPr>
        <w:pStyle w:val="BodyText"/>
        <w:spacing w:before="4"/>
        <w:rPr>
          <w:b/>
          <w:sz w:val="41"/>
        </w:rPr>
      </w:pPr>
    </w:p>
    <w:p>
      <w:pPr>
        <w:pStyle w:val="BodyText"/>
        <w:tabs>
          <w:tab w:pos="1973" w:val="left" w:leader="none"/>
        </w:tabs>
        <w:spacing w:line="229" w:lineRule="exact"/>
        <w:ind w:left="725"/>
      </w:pPr>
      <w:r>
        <w:rPr/>
        <w:t>Box</w:t>
      </w:r>
      <w:r>
        <w:rPr>
          <w:spacing w:val="-2"/>
        </w:rPr>
        <w:t> </w:t>
      </w:r>
      <w:r>
        <w:rPr/>
        <w:t>4.1.1</w:t>
        <w:tab/>
        <w:t>Examples for the assignment of units of land to Article 3.3 activities and lands</w:t>
      </w:r>
      <w:r>
        <w:rPr>
          <w:spacing w:val="-8"/>
        </w:rPr>
        <w:t> </w:t>
      </w:r>
      <w:r>
        <w:rPr/>
        <w:t>to</w:t>
      </w:r>
    </w:p>
    <w:p>
      <w:pPr>
        <w:pStyle w:val="BodyText"/>
        <w:tabs>
          <w:tab w:pos="8881" w:val="left" w:leader="dot"/>
        </w:tabs>
        <w:spacing w:line="229" w:lineRule="exact"/>
        <w:ind w:left="1973"/>
      </w:pPr>
      <w:r>
        <w:rPr/>
        <w:t>Article 3.4 activities</w:t>
      </w:r>
      <w:r>
        <w:rPr>
          <w:spacing w:val="-7"/>
        </w:rPr>
        <w:t> </w:t>
      </w:r>
      <w:r>
        <w:rPr/>
        <w:t>over</w:t>
      </w:r>
      <w:r>
        <w:rPr>
          <w:spacing w:val="-1"/>
        </w:rPr>
        <w:t> </w:t>
      </w:r>
      <w:r>
        <w:rPr/>
        <w:t>time</w:t>
        <w:tab/>
        <w:t>4.17</w:t>
      </w:r>
    </w:p>
    <w:p>
      <w:pPr>
        <w:pStyle w:val="BodyText"/>
        <w:tabs>
          <w:tab w:pos="1971" w:val="left" w:leader="none"/>
          <w:tab w:pos="8881" w:val="left" w:leader="dot"/>
        </w:tabs>
        <w:spacing w:before="121"/>
        <w:ind w:left="725"/>
      </w:pPr>
      <w:r>
        <w:rPr/>
        <w:t>Box</w:t>
      </w:r>
      <w:r>
        <w:rPr>
          <w:spacing w:val="-3"/>
        </w:rPr>
        <w:t> </w:t>
      </w:r>
      <w:r>
        <w:rPr/>
        <w:t>4.2.1</w:t>
        <w:tab/>
        <w:t>An example of consistency for</w:t>
      </w:r>
      <w:r>
        <w:rPr>
          <w:spacing w:val="-13"/>
        </w:rPr>
        <w:t> </w:t>
      </w:r>
      <w:r>
        <w:rPr/>
        <w:t>management</w:t>
      </w:r>
      <w:r>
        <w:rPr>
          <w:spacing w:val="-3"/>
        </w:rPr>
        <w:t> </w:t>
      </w:r>
      <w:r>
        <w:rPr/>
        <w:t>practices</w:t>
        <w:tab/>
        <w:t>4.35</w:t>
      </w:r>
    </w:p>
    <w:p>
      <w:pPr>
        <w:pStyle w:val="BodyText"/>
        <w:tabs>
          <w:tab w:pos="1971" w:val="left" w:leader="none"/>
          <w:tab w:pos="8879" w:val="left" w:leader="dot"/>
        </w:tabs>
        <w:spacing w:before="120"/>
        <w:ind w:left="725"/>
      </w:pPr>
      <w:r>
        <w:rPr/>
        <w:t>Box</w:t>
      </w:r>
      <w:r>
        <w:rPr>
          <w:spacing w:val="-3"/>
        </w:rPr>
        <w:t> </w:t>
      </w:r>
      <w:r>
        <w:rPr/>
        <w:t>4.2.2</w:t>
        <w:tab/>
        <w:t>Links</w:t>
        <w:tab/>
        <w:t>4.54</w:t>
      </w:r>
    </w:p>
    <w:p>
      <w:pPr>
        <w:pStyle w:val="BodyText"/>
        <w:tabs>
          <w:tab w:pos="1970" w:val="left" w:leader="none"/>
          <w:tab w:pos="8879" w:val="left" w:leader="dot"/>
        </w:tabs>
        <w:spacing w:before="121"/>
        <w:ind w:left="725"/>
      </w:pPr>
      <w:r>
        <w:rPr/>
        <w:t>Box</w:t>
      </w:r>
      <w:r>
        <w:rPr>
          <w:spacing w:val="-3"/>
        </w:rPr>
        <w:t> </w:t>
      </w:r>
      <w:r>
        <w:rPr/>
        <w:t>4.2.3</w:t>
        <w:tab/>
        <w:t>Links</w:t>
        <w:tab/>
        <w:t>4.55</w:t>
      </w:r>
    </w:p>
    <w:p>
      <w:pPr>
        <w:pStyle w:val="BodyText"/>
        <w:tabs>
          <w:tab w:pos="1970" w:val="left" w:leader="none"/>
          <w:tab w:pos="8879" w:val="left" w:leader="dot"/>
        </w:tabs>
        <w:spacing w:before="118"/>
        <w:ind w:left="725"/>
      </w:pPr>
      <w:r>
        <w:rPr/>
        <w:t>Box</w:t>
      </w:r>
      <w:r>
        <w:rPr>
          <w:spacing w:val="-3"/>
        </w:rPr>
        <w:t> </w:t>
      </w:r>
      <w:r>
        <w:rPr/>
        <w:t>4.2.4</w:t>
        <w:tab/>
        <w:t>Links</w:t>
        <w:tab/>
        <w:t>4.57</w:t>
      </w:r>
    </w:p>
    <w:p>
      <w:pPr>
        <w:pStyle w:val="BodyText"/>
        <w:tabs>
          <w:tab w:pos="1970" w:val="left" w:leader="none"/>
          <w:tab w:pos="8879" w:val="left" w:leader="dot"/>
        </w:tabs>
        <w:spacing w:before="120"/>
        <w:ind w:left="725"/>
      </w:pPr>
      <w:r>
        <w:rPr/>
        <w:t>Box</w:t>
      </w:r>
      <w:r>
        <w:rPr>
          <w:spacing w:val="-3"/>
        </w:rPr>
        <w:t> </w:t>
      </w:r>
      <w:r>
        <w:rPr/>
        <w:t>4.2.5</w:t>
        <w:tab/>
        <w:t>Links</w:t>
        <w:tab/>
        <w:t>4.60</w:t>
      </w:r>
    </w:p>
    <w:p>
      <w:pPr>
        <w:pStyle w:val="BodyText"/>
        <w:tabs>
          <w:tab w:pos="1970" w:val="left" w:leader="none"/>
          <w:tab w:pos="8879" w:val="left" w:leader="dot"/>
        </w:tabs>
        <w:spacing w:before="120"/>
        <w:ind w:left="725"/>
      </w:pPr>
      <w:r>
        <w:rPr/>
        <w:t>Box</w:t>
      </w:r>
      <w:r>
        <w:rPr>
          <w:spacing w:val="-3"/>
        </w:rPr>
        <w:t> </w:t>
      </w:r>
      <w:r>
        <w:rPr/>
        <w:t>4.2.6</w:t>
        <w:tab/>
        <w:t>Links</w:t>
        <w:tab/>
        <w:t>4.64</w:t>
      </w:r>
    </w:p>
    <w:p>
      <w:pPr>
        <w:pStyle w:val="BodyText"/>
        <w:tabs>
          <w:tab w:pos="1970" w:val="left" w:leader="none"/>
          <w:tab w:pos="8879" w:val="left" w:leader="dot"/>
        </w:tabs>
        <w:spacing w:before="121"/>
        <w:ind w:left="725"/>
      </w:pPr>
      <w:r>
        <w:rPr/>
        <w:t>Box</w:t>
      </w:r>
      <w:r>
        <w:rPr>
          <w:spacing w:val="-3"/>
        </w:rPr>
        <w:t> </w:t>
      </w:r>
      <w:r>
        <w:rPr/>
        <w:t>4.2.7</w:t>
        <w:tab/>
        <w:t>Links</w:t>
        <w:tab/>
        <w:t>4.65</w:t>
      </w:r>
    </w:p>
    <w:p>
      <w:pPr>
        <w:pStyle w:val="BodyText"/>
        <w:tabs>
          <w:tab w:pos="1971" w:val="left" w:leader="none"/>
        </w:tabs>
        <w:spacing w:before="118"/>
        <w:ind w:left="725"/>
      </w:pPr>
      <w:r>
        <w:rPr/>
        <w:t>Box</w:t>
      </w:r>
      <w:r>
        <w:rPr>
          <w:spacing w:val="-3"/>
        </w:rPr>
        <w:t> </w:t>
      </w:r>
      <w:r>
        <w:rPr/>
        <w:t>4.2.8</w:t>
        <w:tab/>
        <w:t>An example of cropland management areas in 1990 and the commitment</w:t>
      </w:r>
      <w:r>
        <w:rPr>
          <w:spacing w:val="-13"/>
        </w:rPr>
        <w:t> </w:t>
      </w:r>
      <w:r>
        <w:rPr/>
        <w:t>period</w:t>
      </w:r>
    </w:p>
    <w:p>
      <w:pPr>
        <w:pStyle w:val="BodyText"/>
        <w:tabs>
          <w:tab w:pos="8879" w:val="left" w:leader="dot"/>
        </w:tabs>
        <w:ind w:left="1973"/>
      </w:pPr>
      <w:r>
        <w:rPr/>
        <w:t>(net-net</w:t>
      </w:r>
      <w:r>
        <w:rPr>
          <w:spacing w:val="-3"/>
        </w:rPr>
        <w:t> </w:t>
      </w:r>
      <w:r>
        <w:rPr/>
        <w:t>accounting)</w:t>
        <w:tab/>
        <w:t>4.67</w:t>
      </w:r>
    </w:p>
    <w:p>
      <w:pPr>
        <w:pStyle w:val="BodyText"/>
        <w:tabs>
          <w:tab w:pos="1970" w:val="left" w:leader="none"/>
          <w:tab w:pos="8879" w:val="left" w:leader="dot"/>
        </w:tabs>
        <w:spacing w:before="121"/>
        <w:ind w:left="725"/>
      </w:pPr>
      <w:r>
        <w:rPr/>
        <w:t>Box</w:t>
      </w:r>
      <w:r>
        <w:rPr>
          <w:spacing w:val="-3"/>
        </w:rPr>
        <w:t> </w:t>
      </w:r>
      <w:r>
        <w:rPr/>
        <w:t>4.2.9</w:t>
        <w:tab/>
        <w:t>Links</w:t>
        <w:tab/>
        <w:t>4.69</w:t>
      </w:r>
    </w:p>
    <w:p>
      <w:pPr>
        <w:pStyle w:val="BodyText"/>
        <w:tabs>
          <w:tab w:pos="1970" w:val="left" w:leader="none"/>
          <w:tab w:pos="8879" w:val="left" w:leader="dot"/>
        </w:tabs>
        <w:spacing w:before="120"/>
        <w:ind w:left="725"/>
      </w:pPr>
      <w:r>
        <w:rPr/>
        <w:t>Box</w:t>
      </w:r>
      <w:r>
        <w:rPr>
          <w:spacing w:val="-3"/>
        </w:rPr>
        <w:t> </w:t>
      </w:r>
      <w:r>
        <w:rPr/>
        <w:t>4.2.10</w:t>
        <w:tab/>
        <w:t>Links</w:t>
        <w:tab/>
        <w:t>4.70</w:t>
      </w:r>
    </w:p>
    <w:p>
      <w:pPr>
        <w:pStyle w:val="BodyText"/>
        <w:tabs>
          <w:tab w:pos="1972" w:val="left" w:leader="none"/>
        </w:tabs>
        <w:spacing w:before="118"/>
        <w:ind w:left="725"/>
      </w:pPr>
      <w:r>
        <w:rPr/>
        <w:t>Box</w:t>
      </w:r>
      <w:r>
        <w:rPr>
          <w:spacing w:val="-3"/>
        </w:rPr>
        <w:t> </w:t>
      </w:r>
      <w:r>
        <w:rPr/>
        <w:t>4.2.11</w:t>
        <w:tab/>
        <w:t>Examples of possible influences of carbon stock changes on emissions</w:t>
      </w:r>
      <w:r>
        <w:rPr>
          <w:spacing w:val="-17"/>
        </w:rPr>
        <w:t> </w:t>
      </w:r>
      <w:r>
        <w:rPr/>
        <w:t>of</w:t>
      </w:r>
    </w:p>
    <w:p>
      <w:pPr>
        <w:pStyle w:val="BodyText"/>
        <w:tabs>
          <w:tab w:pos="8880" w:val="left" w:leader="dot"/>
        </w:tabs>
        <w:spacing w:before="1"/>
        <w:ind w:left="1973"/>
      </w:pPr>
      <w:r>
        <w:rPr/>
        <w:t>non-CO</w:t>
      </w:r>
      <w:r>
        <w:rPr>
          <w:vertAlign w:val="subscript"/>
        </w:rPr>
        <w:t>2</w:t>
      </w:r>
      <w:r>
        <w:rPr>
          <w:spacing w:val="-2"/>
          <w:vertAlign w:val="baseline"/>
        </w:rPr>
        <w:t> </w:t>
      </w:r>
      <w:r>
        <w:rPr>
          <w:vertAlign w:val="baseline"/>
        </w:rPr>
        <w:t>gases</w:t>
        <w:tab/>
        <w:t>4.80</w:t>
      </w:r>
    </w:p>
    <w:p>
      <w:pPr>
        <w:pStyle w:val="BodyText"/>
        <w:tabs>
          <w:tab w:pos="1970" w:val="left" w:leader="none"/>
          <w:tab w:pos="8879" w:val="left" w:leader="dot"/>
        </w:tabs>
        <w:spacing w:before="120"/>
        <w:ind w:left="725"/>
      </w:pPr>
      <w:r>
        <w:rPr/>
        <w:t>Box</w:t>
      </w:r>
      <w:r>
        <w:rPr>
          <w:spacing w:val="-3"/>
        </w:rPr>
        <w:t> </w:t>
      </w:r>
      <w:r>
        <w:rPr/>
        <w:t>4.2.12</w:t>
        <w:tab/>
        <w:t>Links</w:t>
        <w:tab/>
        <w:t>4.82</w:t>
      </w:r>
    </w:p>
    <w:p>
      <w:pPr>
        <w:pStyle w:val="BodyText"/>
        <w:tabs>
          <w:tab w:pos="1970" w:val="left" w:leader="none"/>
          <w:tab w:pos="8879" w:val="left" w:leader="dot"/>
        </w:tabs>
        <w:spacing w:before="120"/>
        <w:ind w:left="725"/>
      </w:pPr>
      <w:r>
        <w:rPr/>
        <w:t>Box</w:t>
      </w:r>
      <w:r>
        <w:rPr>
          <w:spacing w:val="-3"/>
        </w:rPr>
        <w:t> </w:t>
      </w:r>
      <w:r>
        <w:rPr/>
        <w:t>4.2.13</w:t>
        <w:tab/>
        <w:t>Links</w:t>
        <w:tab/>
        <w:t>4.83</w:t>
      </w:r>
    </w:p>
    <w:p>
      <w:pPr>
        <w:pStyle w:val="BodyText"/>
        <w:tabs>
          <w:tab w:pos="1970" w:val="left" w:leader="none"/>
          <w:tab w:pos="8879" w:val="left" w:leader="dot"/>
        </w:tabs>
        <w:spacing w:before="118"/>
        <w:ind w:left="725"/>
      </w:pPr>
      <w:r>
        <w:rPr/>
        <w:t>Box</w:t>
      </w:r>
      <w:r>
        <w:rPr>
          <w:spacing w:val="-3"/>
        </w:rPr>
        <w:t> </w:t>
      </w:r>
      <w:r>
        <w:rPr/>
        <w:t>4.2.14</w:t>
        <w:tab/>
        <w:t>Links</w:t>
        <w:tab/>
        <w:t>4.86</w:t>
      </w:r>
    </w:p>
    <w:p>
      <w:pPr>
        <w:pStyle w:val="BodyText"/>
        <w:tabs>
          <w:tab w:pos="1970" w:val="left" w:leader="none"/>
          <w:tab w:pos="8879" w:val="left" w:leader="dot"/>
        </w:tabs>
        <w:spacing w:before="121"/>
        <w:ind w:left="725"/>
      </w:pPr>
      <w:r>
        <w:rPr/>
        <w:t>Box</w:t>
      </w:r>
      <w:r>
        <w:rPr>
          <w:spacing w:val="-3"/>
        </w:rPr>
        <w:t> </w:t>
      </w:r>
      <w:r>
        <w:rPr/>
        <w:t>4.2.15</w:t>
        <w:tab/>
        <w:t>Links</w:t>
        <w:tab/>
        <w:t>4.87</w:t>
      </w:r>
    </w:p>
    <w:p>
      <w:pPr>
        <w:pStyle w:val="BodyText"/>
        <w:tabs>
          <w:tab w:pos="1970" w:val="left" w:leader="none"/>
          <w:tab w:pos="8880" w:val="left" w:leader="dot"/>
        </w:tabs>
        <w:spacing w:before="120"/>
        <w:ind w:left="725"/>
      </w:pPr>
      <w:r>
        <w:rPr/>
        <w:t>Box</w:t>
      </w:r>
      <w:r>
        <w:rPr>
          <w:spacing w:val="-3"/>
        </w:rPr>
        <w:t> </w:t>
      </w:r>
      <w:r>
        <w:rPr/>
        <w:t>4.3.1</w:t>
        <w:tab/>
        <w:t>Afforestation or</w:t>
      </w:r>
      <w:r>
        <w:rPr>
          <w:spacing w:val="-6"/>
        </w:rPr>
        <w:t> </w:t>
      </w:r>
      <w:r>
        <w:rPr/>
        <w:t>Reforestation</w:t>
      </w:r>
      <w:r>
        <w:rPr>
          <w:spacing w:val="-3"/>
        </w:rPr>
        <w:t> </w:t>
      </w:r>
      <w:r>
        <w:rPr/>
        <w:t>projects</w:t>
        <w:tab/>
        <w:t>4.91</w:t>
      </w:r>
    </w:p>
    <w:p>
      <w:pPr>
        <w:pStyle w:val="BodyText"/>
        <w:tabs>
          <w:tab w:pos="1973" w:val="left" w:leader="none"/>
          <w:tab w:pos="8878" w:val="left" w:leader="dot"/>
        </w:tabs>
        <w:spacing w:before="121"/>
        <w:ind w:left="1973" w:right="167" w:hanging="1248"/>
      </w:pPr>
      <w:r>
        <w:rPr/>
        <w:t>Box</w:t>
      </w:r>
      <w:r>
        <w:rPr>
          <w:spacing w:val="-2"/>
        </w:rPr>
        <w:t> </w:t>
      </w:r>
      <w:r>
        <w:rPr/>
        <w:t>4.3.2</w:t>
        <w:tab/>
        <w:t>Cropland management projects: conversion from conventional to zero tillage in agriculture</w:t>
        <w:tab/>
      </w:r>
      <w:r>
        <w:rPr>
          <w:spacing w:val="-4"/>
        </w:rPr>
        <w:t>4.92</w:t>
      </w:r>
    </w:p>
    <w:p>
      <w:pPr>
        <w:pStyle w:val="BodyText"/>
        <w:tabs>
          <w:tab w:pos="1971" w:val="left" w:leader="none"/>
          <w:tab w:pos="8882" w:val="left" w:leader="dot"/>
        </w:tabs>
        <w:spacing w:before="118"/>
        <w:ind w:left="725"/>
      </w:pPr>
      <w:r>
        <w:rPr/>
        <w:t>Box</w:t>
      </w:r>
      <w:r>
        <w:rPr>
          <w:spacing w:val="-3"/>
        </w:rPr>
        <w:t> </w:t>
      </w:r>
      <w:r>
        <w:rPr/>
        <w:t>4.3.3</w:t>
        <w:tab/>
        <w:t>Forest management projects: reduced</w:t>
      </w:r>
      <w:r>
        <w:rPr>
          <w:spacing w:val="-14"/>
        </w:rPr>
        <w:t> </w:t>
      </w:r>
      <w:r>
        <w:rPr/>
        <w:t>impact</w:t>
      </w:r>
      <w:r>
        <w:rPr>
          <w:spacing w:val="-3"/>
        </w:rPr>
        <w:t> </w:t>
      </w:r>
      <w:r>
        <w:rPr/>
        <w:t>logging</w:t>
        <w:tab/>
        <w:t>4.92</w:t>
      </w:r>
    </w:p>
    <w:p>
      <w:pPr>
        <w:pStyle w:val="BodyText"/>
        <w:tabs>
          <w:tab w:pos="1972" w:val="left" w:leader="none"/>
        </w:tabs>
        <w:spacing w:before="121"/>
        <w:ind w:left="725"/>
      </w:pPr>
      <w:r>
        <w:rPr/>
        <w:t>Box</w:t>
      </w:r>
      <w:r>
        <w:rPr>
          <w:spacing w:val="-3"/>
        </w:rPr>
        <w:t> </w:t>
      </w:r>
      <w:r>
        <w:rPr/>
        <w:t>4.3.4</w:t>
        <w:tab/>
        <w:t>Forest improvement projects: enrichment planting on logged-over forest</w:t>
      </w:r>
      <w:r>
        <w:rPr>
          <w:spacing w:val="-12"/>
        </w:rPr>
        <w:t> </w:t>
      </w:r>
      <w:r>
        <w:rPr/>
        <w:t>or</w:t>
      </w:r>
    </w:p>
    <w:p>
      <w:pPr>
        <w:pStyle w:val="BodyText"/>
        <w:tabs>
          <w:tab w:pos="8880" w:val="left" w:leader="dot"/>
        </w:tabs>
        <w:ind w:left="1973"/>
      </w:pPr>
      <w:r>
        <w:rPr/>
        <w:t>secondary</w:t>
      </w:r>
      <w:r>
        <w:rPr>
          <w:spacing w:val="-6"/>
        </w:rPr>
        <w:t> </w:t>
      </w:r>
      <w:r>
        <w:rPr/>
        <w:t>growth</w:t>
      </w:r>
      <w:r>
        <w:rPr>
          <w:spacing w:val="-3"/>
        </w:rPr>
        <w:t> </w:t>
      </w:r>
      <w:r>
        <w:rPr/>
        <w:t>forest</w:t>
        <w:tab/>
        <w:t>4.92</w:t>
      </w:r>
    </w:p>
    <w:p>
      <w:pPr>
        <w:pStyle w:val="BodyText"/>
        <w:tabs>
          <w:tab w:pos="1970" w:val="left" w:leader="none"/>
          <w:tab w:pos="8779" w:val="left" w:leader="dot"/>
        </w:tabs>
        <w:spacing w:before="118"/>
        <w:ind w:left="725"/>
      </w:pPr>
      <w:r>
        <w:rPr/>
        <w:t>Box</w:t>
      </w:r>
      <w:r>
        <w:rPr>
          <w:spacing w:val="-3"/>
        </w:rPr>
        <w:t> </w:t>
      </w:r>
      <w:r>
        <w:rPr/>
        <w:t>4.3.5</w:t>
        <w:tab/>
        <w:t>Guidance on estimating greenhouse gas emissions from</w:t>
      </w:r>
      <w:r>
        <w:rPr>
          <w:spacing w:val="-19"/>
        </w:rPr>
        <w:t> </w:t>
      </w:r>
      <w:r>
        <w:rPr/>
        <w:t>mobile</w:t>
      </w:r>
      <w:r>
        <w:rPr>
          <w:spacing w:val="-2"/>
        </w:rPr>
        <w:t> </w:t>
      </w:r>
      <w:r>
        <w:rPr/>
        <w:t>sources</w:t>
        <w:tab/>
        <w:t>4.109</w:t>
      </w:r>
    </w:p>
    <w:p>
      <w:pPr>
        <w:pStyle w:val="BodyText"/>
        <w:tabs>
          <w:tab w:pos="1972" w:val="left" w:leader="none"/>
          <w:tab w:pos="8782" w:val="left" w:leader="dot"/>
        </w:tabs>
        <w:spacing w:before="120"/>
        <w:ind w:left="725"/>
      </w:pPr>
      <w:r>
        <w:rPr/>
        <w:t>Box</w:t>
      </w:r>
      <w:r>
        <w:rPr>
          <w:spacing w:val="-2"/>
        </w:rPr>
        <w:t> </w:t>
      </w:r>
      <w:r>
        <w:rPr/>
        <w:t>4.3.6</w:t>
        <w:tab/>
        <w:t>Monitoring projects involving multiple</w:t>
      </w:r>
      <w:r>
        <w:rPr>
          <w:spacing w:val="-11"/>
        </w:rPr>
        <w:t> </w:t>
      </w:r>
      <w:r>
        <w:rPr/>
        <w:t>small-scale</w:t>
      </w:r>
      <w:r>
        <w:rPr>
          <w:spacing w:val="-3"/>
        </w:rPr>
        <w:t> </w:t>
      </w:r>
      <w:r>
        <w:rPr/>
        <w:t>landholders</w:t>
        <w:tab/>
        <w:t>4.110</w:t>
      </w:r>
    </w:p>
    <w:p>
      <w:pPr>
        <w:spacing w:after="0"/>
        <w:sectPr>
          <w:pgSz w:w="11900" w:h="16840"/>
          <w:pgMar w:header="230" w:footer="408" w:top="560" w:bottom="600" w:left="1260" w:right="1240"/>
        </w:sectPr>
      </w:pPr>
    </w:p>
    <w:p>
      <w:pPr>
        <w:pStyle w:val="BodyText"/>
        <w:rPr>
          <w:sz w:val="34"/>
        </w:rPr>
      </w:pPr>
    </w:p>
    <w:p>
      <w:pPr>
        <w:pStyle w:val="Heading2"/>
        <w:numPr>
          <w:ilvl w:val="1"/>
          <w:numId w:val="125"/>
        </w:numPr>
        <w:tabs>
          <w:tab w:pos="1361" w:val="left" w:leader="none"/>
          <w:tab w:pos="1362" w:val="left" w:leader="none"/>
        </w:tabs>
        <w:spacing w:line="240" w:lineRule="auto" w:before="294" w:after="0"/>
        <w:ind w:left="1361" w:right="0" w:hanging="1202"/>
        <w:jc w:val="left"/>
      </w:pPr>
      <w:r>
        <w:rPr>
          <w:spacing w:val="20"/>
        </w:rPr>
        <w:t>INTRODUCTION</w:t>
      </w:r>
    </w:p>
    <w:p>
      <w:pPr>
        <w:pStyle w:val="BodyText"/>
        <w:spacing w:before="176"/>
        <w:ind w:left="159" w:right="117"/>
        <w:jc w:val="both"/>
      </w:pPr>
      <w:r>
        <w:rPr/>
        <w:t>This chapter describes the supplementary methods and </w:t>
      </w:r>
      <w:r>
        <w:rPr>
          <w:i/>
        </w:rPr>
        <w:t>good practice </w:t>
      </w:r>
      <w:r>
        <w:rPr/>
        <w:t>guidance specifically linked to the land use, land-use change and forestry (LULUCF) activities in the Kyoto Protocol and gives full consideration to the requirements and methodologies for measuring, estimating and reporting of activities under Article 3.3,  and under Article 3.4 (if elected by a Party). The supplementary methods and </w:t>
      </w:r>
      <w:r>
        <w:rPr>
          <w:i/>
        </w:rPr>
        <w:t>good practice </w:t>
      </w:r>
      <w:r>
        <w:rPr/>
        <w:t>guidance of this chapter apply generally to those Parties listed in Annex B of the Kyoto Protocol that have ratified the Protocol. This chapter also provides </w:t>
      </w:r>
      <w:r>
        <w:rPr>
          <w:i/>
        </w:rPr>
        <w:t>good practice </w:t>
      </w:r>
      <w:r>
        <w:rPr/>
        <w:t>guidance for LULUCF projects hosted by Parties listed in Annex B (Article  6 projects) and afforestation / reforestation projects hosted by Parties not listed in Annex B of the Kyoto Protocol (Article 12, Clean Development Mechanism or CDM projects), see Section</w:t>
      </w:r>
      <w:r>
        <w:rPr>
          <w:spacing w:val="-11"/>
        </w:rPr>
        <w:t> </w:t>
      </w:r>
      <w:r>
        <w:rPr/>
        <w:t>4.3.</w:t>
      </w:r>
      <w:r>
        <w:rPr>
          <w:vertAlign w:val="superscript"/>
        </w:rPr>
        <w:t>1</w:t>
      </w:r>
    </w:p>
    <w:p>
      <w:pPr>
        <w:pStyle w:val="BodyText"/>
        <w:spacing w:before="118"/>
        <w:ind w:left="159" w:right="102"/>
      </w:pPr>
      <w:r>
        <w:rPr/>
        <w:t>Under the Kyoto Protocol, Parties are to report emissions by sources and removals by sinks of CO</w:t>
      </w:r>
      <w:r>
        <w:rPr>
          <w:vertAlign w:val="subscript"/>
        </w:rPr>
        <w:t>2</w:t>
      </w:r>
      <w:r>
        <w:rPr>
          <w:vertAlign w:val="baseline"/>
        </w:rPr>
        <w:t> and other greenhouse gases resulting from LULUCF activities under Article 3.3, namely afforestation (A), reforestation (R) and deforestation (D) that occurred since 1990. They are also to report any elected human-induced activities under Article 3.4, which can be: forest management, revegetation, cropland management and grazing land management.</w:t>
      </w:r>
      <w:r>
        <w:rPr>
          <w:vertAlign w:val="superscript"/>
        </w:rPr>
        <w:t>2</w:t>
      </w:r>
      <w:r>
        <w:rPr>
          <w:vertAlign w:val="baseline"/>
        </w:rPr>
        <w:t> In the commitment period Parties have to report annually, along with their annual reports of greenhouse gas emissions by sources and removals by sinks, supplementary information related to LULUCF under the provisions of the Kyoto Protocol and the Marrakesh Accords to ensure compliance with their emission-limitation and reduction commitments.</w:t>
      </w:r>
      <w:r>
        <w:rPr>
          <w:vertAlign w:val="superscript"/>
        </w:rPr>
        <w:t>3</w:t>
      </w:r>
      <w:r>
        <w:rPr>
          <w:vertAlign w:val="baseline"/>
        </w:rPr>
        <w:t> The annual reporting requirement does not imply a need for annual measurements; however, Parties are expected to develop systems that combine measurements, models  and other tools that enable them to report on an annual</w:t>
      </w:r>
      <w:r>
        <w:rPr>
          <w:spacing w:val="-5"/>
          <w:vertAlign w:val="baseline"/>
        </w:rPr>
        <w:t> </w:t>
      </w:r>
      <w:r>
        <w:rPr>
          <w:vertAlign w:val="baseline"/>
        </w:rPr>
        <w:t>basis.</w:t>
      </w:r>
    </w:p>
    <w:p>
      <w:pPr>
        <w:pStyle w:val="BodyText"/>
      </w:pPr>
    </w:p>
    <w:p>
      <w:pPr>
        <w:pStyle w:val="BodyText"/>
        <w:spacing w:before="3"/>
        <w:rPr>
          <w:sz w:val="27"/>
        </w:rPr>
      </w:pPr>
      <w:r>
        <w:rPr/>
        <w:pict>
          <v:line style="position:absolute;mso-position-horizontal-relative:page;mso-position-vertical-relative:paragraph;z-index:16832;mso-wrap-distance-left:0;mso-wrap-distance-right:0" from="70.960999pt,17.876778pt" to="214.960999pt,17.876778pt" stroked="true" strokeweight=".48pt" strokecolor="#000000">
            <v:stroke dashstyle="solid"/>
            <w10:wrap type="topAndBottom"/>
          </v:line>
        </w:pict>
      </w:r>
    </w:p>
    <w:p>
      <w:pPr>
        <w:spacing w:before="153"/>
        <w:ind w:left="317" w:right="165" w:hanging="159"/>
        <w:jc w:val="both"/>
        <w:rPr>
          <w:sz w:val="18"/>
        </w:rPr>
      </w:pPr>
      <w:r>
        <w:rPr>
          <w:position w:val="8"/>
          <w:sz w:val="12"/>
        </w:rPr>
        <w:t>1 </w:t>
      </w:r>
      <w:r>
        <w:rPr>
          <w:sz w:val="18"/>
        </w:rPr>
        <w:t>It is assumed that the reader is familiar with Articles 3.3, 3.4, 3.7, 6 and 12 of the Kyoto Protocol </w:t>
      </w:r>
      <w:hyperlink r:id="rId295">
        <w:r>
          <w:rPr>
            <w:sz w:val="18"/>
          </w:rPr>
          <w:t>(h</w:t>
        </w:r>
      </w:hyperlink>
      <w:r>
        <w:rPr>
          <w:sz w:val="18"/>
        </w:rPr>
        <w:t>t</w:t>
      </w:r>
      <w:hyperlink r:id="rId295">
        <w:r>
          <w:rPr>
            <w:sz w:val="18"/>
          </w:rPr>
          <w:t>tp://unfccc.int/resource/docs/convkp/kpeng.pdf).</w:t>
        </w:r>
      </w:hyperlink>
    </w:p>
    <w:p>
      <w:pPr>
        <w:spacing w:before="95"/>
        <w:ind w:left="317" w:right="164" w:hanging="159"/>
        <w:jc w:val="both"/>
        <w:rPr>
          <w:sz w:val="18"/>
        </w:rPr>
      </w:pPr>
      <w:r>
        <w:rPr>
          <w:position w:val="8"/>
          <w:sz w:val="12"/>
        </w:rPr>
        <w:t>2 </w:t>
      </w:r>
      <w:r>
        <w:rPr>
          <w:sz w:val="18"/>
        </w:rPr>
        <w:t>LULUCF related requirements are outlined in paragraph 1 of the Annex to draft decision -/CMP.1 (Land use, land-use change and forestry) contained in document FCCC/CP/2001/13/Add.1, p.58:</w:t>
      </w:r>
    </w:p>
    <w:p>
      <w:pPr>
        <w:spacing w:before="119"/>
        <w:ind w:left="317" w:right="166" w:hanging="17"/>
        <w:jc w:val="both"/>
        <w:rPr>
          <w:sz w:val="18"/>
        </w:rPr>
      </w:pPr>
      <w:r>
        <w:rPr>
          <w:sz w:val="18"/>
        </w:rPr>
        <w:t>“Afforestation” is the direct human-induced conversion of land that has not been forested for a period of at least 50 years to forested land through planting, seeding and/or the human-induced promotion of natural seed sources.</w:t>
      </w:r>
    </w:p>
    <w:p>
      <w:pPr>
        <w:spacing w:before="121"/>
        <w:ind w:left="317" w:right="160" w:hanging="17"/>
        <w:jc w:val="both"/>
        <w:rPr>
          <w:sz w:val="18"/>
        </w:rPr>
      </w:pPr>
      <w:r>
        <w:rPr>
          <w:sz w:val="18"/>
        </w:rPr>
        <w:t>“Reforestation” is the direct human-induced conversion of non-forested land to forested land through planting, seeding and/or the human-induced promotion of natural seed sources, on land that was forested but that has been converted to non- forested land. For the first commitment period, reforestation activities will be limited to reforestation occurring on those lands that did not contain forest 31 December 1989.</w:t>
      </w:r>
    </w:p>
    <w:p>
      <w:pPr>
        <w:spacing w:before="117"/>
        <w:ind w:left="300" w:right="0" w:firstLine="0"/>
        <w:jc w:val="left"/>
        <w:rPr>
          <w:sz w:val="18"/>
        </w:rPr>
      </w:pPr>
      <w:r>
        <w:rPr>
          <w:sz w:val="18"/>
        </w:rPr>
        <w:t>“Deforestation” is the direct human-induced conversion of forested land to non-forested land.</w:t>
      </w:r>
    </w:p>
    <w:p>
      <w:pPr>
        <w:spacing w:before="122"/>
        <w:ind w:left="317" w:right="162" w:firstLine="0"/>
        <w:jc w:val="both"/>
        <w:rPr>
          <w:sz w:val="18"/>
        </w:rPr>
      </w:pPr>
      <w:r>
        <w:rPr>
          <w:sz w:val="18"/>
        </w:rPr>
        <w:t>“Revegetation” is a direct human-induced activity to increase carbon stocks on sites through the establishment of vegetation that covers a minimum area of 0.05 hectares and does not meet the definitions of afforestation and reforestation contained</w:t>
      </w:r>
      <w:r>
        <w:rPr>
          <w:spacing w:val="-2"/>
          <w:sz w:val="18"/>
        </w:rPr>
        <w:t> </w:t>
      </w:r>
      <w:r>
        <w:rPr>
          <w:sz w:val="18"/>
        </w:rPr>
        <w:t>here.</w:t>
      </w:r>
    </w:p>
    <w:p>
      <w:pPr>
        <w:spacing w:before="119"/>
        <w:ind w:left="317" w:right="164" w:firstLine="0"/>
        <w:jc w:val="both"/>
        <w:rPr>
          <w:sz w:val="18"/>
        </w:rPr>
      </w:pPr>
      <w:r>
        <w:rPr>
          <w:sz w:val="18"/>
        </w:rPr>
        <w:t>“Forest management” is a system of practices for stewardship and use of forest land aimed at fulfilling relevant ecological (including biological diversity), economic and social functions of the forest in a sustainable manner.</w:t>
      </w:r>
    </w:p>
    <w:p>
      <w:pPr>
        <w:spacing w:before="118"/>
        <w:ind w:left="317" w:right="163" w:firstLine="0"/>
        <w:jc w:val="both"/>
        <w:rPr>
          <w:sz w:val="18"/>
        </w:rPr>
      </w:pPr>
      <w:r>
        <w:rPr>
          <w:sz w:val="18"/>
        </w:rPr>
        <w:t>“Cropland management” is the system of practices on land on which agricultural crops are grown and on land that is set aside or temporarily not being used for crop production.</w:t>
      </w:r>
    </w:p>
    <w:p>
      <w:pPr>
        <w:spacing w:before="122"/>
        <w:ind w:left="317" w:right="160" w:firstLine="0"/>
        <w:jc w:val="both"/>
        <w:rPr>
          <w:sz w:val="18"/>
        </w:rPr>
      </w:pPr>
      <w:r>
        <w:rPr>
          <w:sz w:val="18"/>
        </w:rPr>
        <w:t>“Grazing land management” is the system of practices on land used for livestock production aimed at manipulating the amount and type of vegetation and livestock produced.</w:t>
      </w:r>
    </w:p>
    <w:p>
      <w:pPr>
        <w:spacing w:before="94"/>
        <w:ind w:left="317" w:right="157" w:hanging="159"/>
        <w:jc w:val="both"/>
        <w:rPr>
          <w:i/>
          <w:sz w:val="18"/>
        </w:rPr>
      </w:pPr>
      <w:r>
        <w:rPr>
          <w:position w:val="8"/>
          <w:sz w:val="12"/>
        </w:rPr>
        <w:t>3 </w:t>
      </w:r>
      <w:r>
        <w:rPr>
          <w:sz w:val="18"/>
        </w:rPr>
        <w:t>Paragraph 5 of the Annex to draft decision -/CMP.1 (Article 7) contained in document FCCC/CP/2001/13/Add.3, p.22: </w:t>
      </w:r>
      <w:r>
        <w:rPr>
          <w:i/>
          <w:sz w:val="18"/>
        </w:rPr>
        <w:t>Each Party included in Annex I shall include in its annual greenhouse gas inventory information on anthropogenic greenhouse gas emissions by sources and removals by sinks from land use, land-use change and forestry activities under Article 3, paragraph 3 and, if any, elected activities under Article 3, paragraph 4, in accordance with Article 5, paragraph 2, as elaborated by any good practice guidance in accordance with relevant decisions of the COP/MOP on land use, land- use change and forestry. Estimates for Article 3, paragraphs 3 and 4, shall be clearly distinguished from anthropogenic emissions from the sources listed in Annex A to the Kyoto Protocol. In reporting the information requested above, each Party included in Annex I shall include the reporting requirements specified in the paragraphs 6 to 9 below, taking into consideration the selected values in accordance with paragraph 16 of the annex to decision -/CMP.1 (Land use, land-use change and forestry)</w:t>
      </w:r>
      <w:r>
        <w:rPr>
          <w:sz w:val="18"/>
        </w:rPr>
        <w:t>. The footnote to the word “annual” in the first sentence says: </w:t>
      </w:r>
      <w:r>
        <w:rPr>
          <w:i/>
          <w:sz w:val="18"/>
        </w:rPr>
        <w:t>It is recognised in the IPCC 1996 Revised Guidelines that the current practice on land use, land-use change and forestry does not in every situation request annual data collection for the purpose of preparing annual inventories based on sound scientific</w:t>
      </w:r>
      <w:r>
        <w:rPr>
          <w:i/>
          <w:spacing w:val="-14"/>
          <w:sz w:val="18"/>
        </w:rPr>
        <w:t> </w:t>
      </w:r>
      <w:r>
        <w:rPr>
          <w:i/>
          <w:sz w:val="18"/>
        </w:rPr>
        <w:t>basis.</w:t>
      </w:r>
    </w:p>
    <w:p>
      <w:pPr>
        <w:spacing w:before="118"/>
        <w:ind w:left="317" w:right="162" w:firstLine="0"/>
        <w:jc w:val="both"/>
        <w:rPr>
          <w:sz w:val="18"/>
        </w:rPr>
      </w:pPr>
      <w:r>
        <w:rPr>
          <w:sz w:val="18"/>
        </w:rPr>
        <w:t>Article 7, paragraph 3 of the Kyoto Protocol: </w:t>
      </w:r>
      <w:r>
        <w:rPr>
          <w:i/>
          <w:sz w:val="18"/>
        </w:rPr>
        <w:t>Each Party included in Annex I shall submit the information required under paragraph 1 above annually, beginning with the first inventory due under the Convention for the first year of the commitment period after this Protocol has entered into force for that Party</w:t>
      </w:r>
      <w:r>
        <w:rPr>
          <w:sz w:val="18"/>
        </w:rPr>
        <w:t>[…].</w:t>
      </w:r>
    </w:p>
    <w:p>
      <w:pPr>
        <w:spacing w:after="0"/>
        <w:jc w:val="both"/>
        <w:rPr>
          <w:sz w:val="18"/>
        </w:rPr>
        <w:sectPr>
          <w:headerReference w:type="even" r:id="rId293"/>
          <w:headerReference w:type="default" r:id="rId294"/>
          <w:pgSz w:w="11900" w:h="16840"/>
          <w:pgMar w:header="230" w:footer="408" w:top="560" w:bottom="600" w:left="1260" w:right="1240"/>
        </w:sectPr>
      </w:pPr>
    </w:p>
    <w:p>
      <w:pPr>
        <w:pStyle w:val="BodyText"/>
      </w:pPr>
    </w:p>
    <w:p>
      <w:pPr>
        <w:pStyle w:val="BodyText"/>
        <w:spacing w:before="7"/>
        <w:rPr>
          <w:sz w:val="18"/>
        </w:rPr>
      </w:pPr>
    </w:p>
    <w:p>
      <w:pPr>
        <w:spacing w:before="0"/>
        <w:ind w:left="159" w:right="0" w:firstLine="0"/>
        <w:jc w:val="left"/>
        <w:rPr>
          <w:b/>
          <w:sz w:val="20"/>
        </w:rPr>
      </w:pPr>
      <w:r>
        <w:rPr>
          <w:b/>
          <w:sz w:val="20"/>
        </w:rPr>
        <w:t>Relationship between UNFCCC and Kyoto reporting:</w:t>
      </w:r>
    </w:p>
    <w:p>
      <w:pPr>
        <w:pStyle w:val="BodyText"/>
        <w:spacing w:before="116"/>
        <w:ind w:left="159" w:right="167"/>
        <w:jc w:val="both"/>
      </w:pPr>
      <w:r>
        <w:rPr/>
        <w:t>The information to be reported under the Kyoto Protocol is supplementary to the information reported under the Convention. Countries do not have to submit two separate inventories but should provide information under the Kyoto Protocol as supplementary, within the inventory report.</w:t>
      </w:r>
      <w:r>
        <w:rPr>
          <w:vertAlign w:val="superscript"/>
        </w:rPr>
        <w:t>4</w:t>
      </w:r>
    </w:p>
    <w:p>
      <w:pPr>
        <w:pStyle w:val="BodyText"/>
        <w:spacing w:before="118"/>
        <w:ind w:left="159" w:right="165"/>
        <w:jc w:val="both"/>
      </w:pPr>
      <w:r>
        <w:rPr/>
        <w:t>In practice, national circumstances, and specifically the technical details of the carbon accounting systems put into place by each country, will determine the sequence in which the reporting information is compiled. For example, it is possible to start with the UNFCCC inventory (with the additional spatial information required for Kyoto Protocol reporting) and expand it to the Kyoto Protocol inventory, or it is possible to use a system that generates the information for both UNFCCC and Kyoto Protocol reporting.</w:t>
      </w:r>
    </w:p>
    <w:p>
      <w:pPr>
        <w:pStyle w:val="BodyText"/>
        <w:spacing w:before="120"/>
        <w:ind w:left="159" w:right="162"/>
        <w:jc w:val="both"/>
      </w:pPr>
      <w:r>
        <w:rPr/>
        <w:t>Example: when a Party that has elected cropland management under Article 3.4 prepares its UNFCCC inventory for croplands according to Section 3.3 of this report, it is efficient to use the stratification into geographical boundaries (Section 4.2.2) in doing so. Then, in preparing the supplementary information to be reported under the Kyoto Protocol, the Party would delineate those UNFCCC cropland areas that were forests before (Section 3.3.2, Land converted to cropland), report these under deforestation according to Article 3.3, and report the remaining croplands under Article</w:t>
      </w:r>
      <w:r>
        <w:rPr>
          <w:spacing w:val="-2"/>
        </w:rPr>
        <w:t> </w:t>
      </w:r>
      <w:r>
        <w:rPr/>
        <w:t>3.4.</w:t>
      </w:r>
    </w:p>
    <w:p>
      <w:pPr>
        <w:pStyle w:val="BodyText"/>
        <w:spacing w:before="120"/>
        <w:ind w:left="159" w:right="164"/>
        <w:jc w:val="both"/>
      </w:pPr>
      <w:r>
        <w:rPr/>
        <w:t>This chapter covers supplementary estimation and inventory reporting requirements needed for accounting under the Kyoto Protocol. However, it does not address the implementation of accounting rules as agreed in the Kyoto Protocol and Marrakesh Accords (such as caps, net-net accounting</w:t>
      </w:r>
      <w:r>
        <w:rPr>
          <w:vertAlign w:val="superscript"/>
        </w:rPr>
        <w:t>5</w:t>
      </w:r>
      <w:r>
        <w:rPr>
          <w:vertAlign w:val="baseline"/>
        </w:rPr>
        <w:t> and other specific provisions related to accounting). This is because accounting is a policy matter and is not covered in the request to the IPCC. Estimation refers to the way in which inventory estimates are calculated, reporting in the tables or other standard formats used to transmit inventory information. Accounting refers to the way the information is used to assess compliance with commitments under the Protocol.</w:t>
      </w:r>
    </w:p>
    <w:p>
      <w:pPr>
        <w:pStyle w:val="BodyText"/>
        <w:spacing w:before="118"/>
        <w:ind w:left="159"/>
      </w:pPr>
      <w:r>
        <w:rPr/>
        <w:t>The Marrakesh Accords refer to land in two ways, and these terms are adopted here:</w:t>
      </w:r>
    </w:p>
    <w:p>
      <w:pPr>
        <w:pStyle w:val="ListParagraph"/>
        <w:numPr>
          <w:ilvl w:val="0"/>
          <w:numId w:val="117"/>
        </w:numPr>
        <w:tabs>
          <w:tab w:pos="519" w:val="left" w:leader="none"/>
          <w:tab w:pos="520" w:val="left" w:leader="none"/>
        </w:tabs>
        <w:spacing w:line="223" w:lineRule="auto" w:before="147" w:after="0"/>
        <w:ind w:left="519" w:right="168" w:hanging="360"/>
        <w:jc w:val="left"/>
        <w:rPr>
          <w:sz w:val="20"/>
        </w:rPr>
      </w:pPr>
      <w:r>
        <w:rPr>
          <w:i/>
          <w:sz w:val="20"/>
        </w:rPr>
        <w:t>Units of land </w:t>
      </w:r>
      <w:r>
        <w:rPr>
          <w:sz w:val="20"/>
        </w:rPr>
        <w:t>refers to those areas subject to the activities defined under Article 3.3, namely afforestation, reforestation and deforestation, and</w:t>
      </w:r>
    </w:p>
    <w:p>
      <w:pPr>
        <w:pStyle w:val="ListParagraph"/>
        <w:numPr>
          <w:ilvl w:val="0"/>
          <w:numId w:val="117"/>
        </w:numPr>
        <w:tabs>
          <w:tab w:pos="519" w:val="left" w:leader="none"/>
          <w:tab w:pos="520" w:val="left" w:leader="none"/>
        </w:tabs>
        <w:spacing w:line="223" w:lineRule="auto" w:before="149" w:after="0"/>
        <w:ind w:left="519" w:right="170" w:hanging="360"/>
        <w:jc w:val="left"/>
        <w:rPr>
          <w:sz w:val="20"/>
        </w:rPr>
      </w:pPr>
      <w:r>
        <w:rPr>
          <w:i/>
          <w:sz w:val="20"/>
        </w:rPr>
        <w:t>Land </w:t>
      </w:r>
      <w:r>
        <w:rPr>
          <w:sz w:val="20"/>
        </w:rPr>
        <w:t>refers to those areas subject to the activities defined under Article 3.4, namely forest management, cropland management, grazing land management, and</w:t>
      </w:r>
      <w:r>
        <w:rPr>
          <w:spacing w:val="5"/>
          <w:sz w:val="20"/>
        </w:rPr>
        <w:t> </w:t>
      </w:r>
      <w:r>
        <w:rPr>
          <w:sz w:val="20"/>
        </w:rPr>
        <w:t>revegetation.</w:t>
      </w:r>
    </w:p>
    <w:p>
      <w:pPr>
        <w:pStyle w:val="BodyText"/>
        <w:rPr>
          <w:sz w:val="22"/>
        </w:rPr>
      </w:pPr>
    </w:p>
    <w:p>
      <w:pPr>
        <w:pStyle w:val="BodyText"/>
        <w:spacing w:before="7"/>
      </w:pPr>
    </w:p>
    <w:p>
      <w:pPr>
        <w:pStyle w:val="Heading2"/>
        <w:numPr>
          <w:ilvl w:val="2"/>
          <w:numId w:val="125"/>
        </w:numPr>
        <w:tabs>
          <w:tab w:pos="1361" w:val="left" w:leader="none"/>
          <w:tab w:pos="1362" w:val="left" w:leader="none"/>
        </w:tabs>
        <w:spacing w:line="240" w:lineRule="auto" w:before="0" w:after="0"/>
        <w:ind w:left="1361" w:right="1152" w:hanging="1202"/>
        <w:jc w:val="left"/>
      </w:pPr>
      <w:r>
        <w:rPr>
          <w:spacing w:val="8"/>
        </w:rPr>
        <w:t>Overview </w:t>
      </w:r>
      <w:r>
        <w:rPr>
          <w:spacing w:val="4"/>
        </w:rPr>
        <w:t>of </w:t>
      </w:r>
      <w:r>
        <w:rPr>
          <w:spacing w:val="8"/>
        </w:rPr>
        <w:t>steps </w:t>
      </w:r>
      <w:r>
        <w:rPr>
          <w:spacing w:val="4"/>
        </w:rPr>
        <w:t>to </w:t>
      </w:r>
      <w:r>
        <w:rPr>
          <w:spacing w:val="8"/>
        </w:rPr>
        <w:t>estimating </w:t>
      </w:r>
      <w:r>
        <w:rPr>
          <w:spacing w:val="7"/>
        </w:rPr>
        <w:t>and </w:t>
      </w:r>
      <w:r>
        <w:rPr>
          <w:spacing w:val="9"/>
        </w:rPr>
        <w:t>reporting </w:t>
      </w:r>
      <w:r>
        <w:rPr>
          <w:spacing w:val="8"/>
        </w:rPr>
        <w:t>supplementary information </w:t>
      </w:r>
      <w:r>
        <w:rPr>
          <w:spacing w:val="6"/>
        </w:rPr>
        <w:t>for </w:t>
      </w:r>
      <w:r>
        <w:rPr>
          <w:spacing w:val="8"/>
        </w:rPr>
        <w:t>activities under Articles 3.3, 3.4, </w:t>
      </w:r>
      <w:r>
        <w:rPr/>
        <w:t>6 </w:t>
      </w:r>
      <w:r>
        <w:rPr>
          <w:spacing w:val="6"/>
        </w:rPr>
        <w:t>and</w:t>
      </w:r>
      <w:r>
        <w:rPr>
          <w:spacing w:val="69"/>
        </w:rPr>
        <w:t> </w:t>
      </w:r>
      <w:r>
        <w:rPr>
          <w:spacing w:val="10"/>
        </w:rPr>
        <w:t>12</w:t>
      </w:r>
    </w:p>
    <w:p>
      <w:pPr>
        <w:pStyle w:val="BodyText"/>
        <w:spacing w:before="112"/>
        <w:ind w:left="159" w:right="163"/>
        <w:jc w:val="both"/>
      </w:pPr>
      <w:r>
        <w:rPr/>
        <w:t>This section gives an overview of the steps required to estimate, measure, monitor and report changes in carbon stocks and emissions and removals of non-CO</w:t>
      </w:r>
      <w:r>
        <w:rPr>
          <w:vertAlign w:val="subscript"/>
        </w:rPr>
        <w:t>2</w:t>
      </w:r>
      <w:r>
        <w:rPr>
          <w:vertAlign w:val="baseline"/>
        </w:rPr>
        <w:t> greenhouse gases for Articles 3.3, 3.4, 6 and 12 under the Kyoto Protocol</w:t>
      </w:r>
      <w:r>
        <w:rPr>
          <w:color w:val="1A1A1A"/>
          <w:vertAlign w:val="baseline"/>
        </w:rPr>
        <w:t>. </w:t>
      </w:r>
      <w:r>
        <w:rPr>
          <w:vertAlign w:val="baseline"/>
        </w:rPr>
        <w:t>Detailed methods and </w:t>
      </w:r>
      <w:r>
        <w:rPr>
          <w:i/>
          <w:vertAlign w:val="baseline"/>
        </w:rPr>
        <w:t>good practice </w:t>
      </w:r>
      <w:r>
        <w:rPr>
          <w:vertAlign w:val="baseline"/>
        </w:rPr>
        <w:t>guidance for each individual activity are provided in Sections 4.2 and 4.3.</w:t>
      </w:r>
    </w:p>
    <w:p>
      <w:pPr>
        <w:spacing w:before="124"/>
        <w:ind w:left="159" w:right="168" w:firstLine="0"/>
        <w:jc w:val="both"/>
        <w:rPr>
          <w:b/>
          <w:sz w:val="20"/>
        </w:rPr>
      </w:pPr>
      <w:r>
        <w:rPr>
          <w:b/>
          <w:sz w:val="20"/>
        </w:rPr>
        <w:t>STEP 1: Define “forest”, apply definitions to national circumstances, establishing precedence conditions and/or a hierarchy among selected Article 3.4 activities.</w:t>
      </w:r>
    </w:p>
    <w:p>
      <w:pPr>
        <w:pStyle w:val="BodyText"/>
        <w:spacing w:before="116"/>
        <w:ind w:left="159"/>
        <w:jc w:val="both"/>
      </w:pPr>
      <w:r>
        <w:rPr/>
        <w:t>STEP 1.1: Select the numerical values in the definition of “forest”.</w:t>
      </w:r>
      <w:r>
        <w:rPr>
          <w:vertAlign w:val="superscript"/>
        </w:rPr>
        <w:t>6</w:t>
      </w:r>
    </w:p>
    <w:p>
      <w:pPr>
        <w:pStyle w:val="BodyText"/>
      </w:pPr>
    </w:p>
    <w:p>
      <w:pPr>
        <w:pStyle w:val="BodyText"/>
        <w:spacing w:before="3"/>
        <w:rPr>
          <w:sz w:val="21"/>
        </w:rPr>
      </w:pPr>
      <w:r>
        <w:rPr/>
        <w:pict>
          <v:line style="position:absolute;mso-position-horizontal-relative:page;mso-position-vertical-relative:paragraph;z-index:16856;mso-wrap-distance-left:0;mso-wrap-distance-right:0" from="70.960999pt,14.437109pt" to="214.960999pt,14.437109pt" stroked="true" strokeweight=".48pt" strokecolor="#000000">
            <v:stroke dashstyle="solid"/>
            <w10:wrap type="topAndBottom"/>
          </v:line>
        </w:pict>
      </w:r>
    </w:p>
    <w:p>
      <w:pPr>
        <w:spacing w:before="153"/>
        <w:ind w:left="317" w:right="169" w:hanging="159"/>
        <w:jc w:val="both"/>
        <w:rPr>
          <w:sz w:val="18"/>
        </w:rPr>
      </w:pPr>
      <w:r>
        <w:rPr>
          <w:position w:val="8"/>
          <w:sz w:val="12"/>
        </w:rPr>
        <w:t>4 </w:t>
      </w:r>
      <w:r>
        <w:rPr>
          <w:sz w:val="18"/>
        </w:rPr>
        <w:t>Article 7, paragraph 1 of the Kyoto Protocol: </w:t>
      </w:r>
      <w:r>
        <w:rPr>
          <w:i/>
          <w:sz w:val="18"/>
        </w:rPr>
        <w:t>Each Party included in Annex I shall incorporate in its annual inventory […] the necessary supplementary information for the purposes of ensuring compliance with Article 3 </w:t>
      </w:r>
      <w:r>
        <w:rPr>
          <w:sz w:val="18"/>
        </w:rPr>
        <w:t>[…].</w:t>
      </w:r>
    </w:p>
    <w:p>
      <w:pPr>
        <w:spacing w:before="119"/>
        <w:ind w:left="317" w:right="164" w:firstLine="0"/>
        <w:jc w:val="both"/>
        <w:rPr>
          <w:sz w:val="18"/>
        </w:rPr>
      </w:pPr>
      <w:r>
        <w:rPr>
          <w:sz w:val="18"/>
        </w:rPr>
        <w:t>Article 7, paragraph 2 of the Kyoto Protocol: </w:t>
      </w:r>
      <w:r>
        <w:rPr>
          <w:i/>
          <w:sz w:val="18"/>
        </w:rPr>
        <w:t>Each Party included in Annex I shall incorporate in its national communication, submitted under Article 12 of the Convention, the supplementary information necessary to demonstrate compliance with its commitments under this Protocol</w:t>
      </w:r>
      <w:r>
        <w:rPr>
          <w:sz w:val="18"/>
        </w:rPr>
        <w:t>.</w:t>
      </w:r>
    </w:p>
    <w:p>
      <w:pPr>
        <w:spacing w:before="94"/>
        <w:ind w:left="317" w:right="165" w:hanging="159"/>
        <w:jc w:val="both"/>
        <w:rPr>
          <w:sz w:val="18"/>
        </w:rPr>
      </w:pPr>
      <w:r>
        <w:rPr>
          <w:position w:val="8"/>
          <w:sz w:val="12"/>
        </w:rPr>
        <w:t>5 </w:t>
      </w:r>
      <w:r>
        <w:rPr>
          <w:sz w:val="18"/>
        </w:rPr>
        <w:t>Net-net accounting refers to the provisions of paragraph 9 of the Annex to draft decision -/CMP.1 (Land use, land-use change and forestry) contained in document FCCC/CP/2001/13/Add.1, p.59-60.</w:t>
      </w:r>
    </w:p>
    <w:p>
      <w:pPr>
        <w:spacing w:before="97"/>
        <w:ind w:left="317" w:right="163" w:hanging="159"/>
        <w:jc w:val="both"/>
        <w:rPr>
          <w:sz w:val="18"/>
        </w:rPr>
      </w:pPr>
      <w:r>
        <w:rPr>
          <w:position w:val="8"/>
          <w:sz w:val="12"/>
        </w:rPr>
        <w:t>6 </w:t>
      </w:r>
      <w:r>
        <w:rPr>
          <w:sz w:val="18"/>
        </w:rPr>
        <w:t>According to the Marrakesh Accords, “forest” is a minimum area of land of 0.05 – 1.0 hectares with tree crown cover (or equivalent stocking level) of more than 10 – 30 per cent with trees with the potential to reach a minimum height of 2 – 5 metres at maturity in situ. A forest may consist either of closed forest formations where trees of various storeys and undergrowth cover a high proportion of the ground, or open forest. Young natural stands and all plantations which have yet to reach a crown density of 10 – 30 per cent or tree height of 2 – 5 metres are included under forest, as are areas normally forming part of the forest area which are temporarily unstocked as a result of human intervention such as harvesting or</w:t>
      </w:r>
    </w:p>
    <w:p>
      <w:pPr>
        <w:spacing w:after="0"/>
        <w:jc w:val="both"/>
        <w:rPr>
          <w:sz w:val="18"/>
        </w:rPr>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4"/>
        <w:jc w:val="both"/>
      </w:pPr>
      <w:r>
        <w:rPr/>
        <w:t>Parties </w:t>
      </w:r>
      <w:r>
        <w:rPr>
          <w:spacing w:val="-3"/>
        </w:rPr>
        <w:t>must, </w:t>
      </w:r>
      <w:r>
        <w:rPr/>
        <w:t>by the end of 2006, decide on their choice of parameters to define </w:t>
      </w:r>
      <w:r>
        <w:rPr>
          <w:spacing w:val="-3"/>
        </w:rPr>
        <w:t>forest, </w:t>
      </w:r>
      <w:r>
        <w:rPr/>
        <w:t>i.e., they must </w:t>
      </w:r>
      <w:r>
        <w:rPr>
          <w:spacing w:val="-2"/>
        </w:rPr>
        <w:t>choose </w:t>
      </w:r>
      <w:r>
        <w:rPr/>
        <w:t>a minimum area (0.05 – 1 ha), the minimum crown closure at maturity (10 – 30%), </w:t>
      </w:r>
      <w:r>
        <w:rPr>
          <w:spacing w:val="-2"/>
        </w:rPr>
        <w:t>and </w:t>
      </w:r>
      <w:r>
        <w:rPr/>
        <w:t>the minimum tree height at maturity</w:t>
      </w:r>
      <w:r>
        <w:rPr>
          <w:spacing w:val="-13"/>
        </w:rPr>
        <w:t> </w:t>
      </w:r>
      <w:r>
        <w:rPr/>
        <w:t>(2</w:t>
      </w:r>
      <w:r>
        <w:rPr>
          <w:spacing w:val="-12"/>
        </w:rPr>
        <w:t> </w:t>
      </w:r>
      <w:r>
        <w:rPr/>
        <w:t>–</w:t>
      </w:r>
      <w:r>
        <w:rPr>
          <w:spacing w:val="-11"/>
        </w:rPr>
        <w:t> </w:t>
      </w:r>
      <w:r>
        <w:rPr/>
        <w:t>5</w:t>
      </w:r>
      <w:r>
        <w:rPr>
          <w:spacing w:val="-7"/>
        </w:rPr>
        <w:t> </w:t>
      </w:r>
      <w:r>
        <w:rPr>
          <w:spacing w:val="-3"/>
        </w:rPr>
        <w:t>m).</w:t>
      </w:r>
      <w:r>
        <w:rPr>
          <w:spacing w:val="-7"/>
        </w:rPr>
        <w:t> </w:t>
      </w:r>
      <w:r>
        <w:rPr/>
        <w:t>Areas</w:t>
      </w:r>
      <w:r>
        <w:rPr>
          <w:spacing w:val="-11"/>
        </w:rPr>
        <w:t> </w:t>
      </w:r>
      <w:r>
        <w:rPr/>
        <w:t>that</w:t>
      </w:r>
      <w:r>
        <w:rPr>
          <w:spacing w:val="-9"/>
        </w:rPr>
        <w:t> </w:t>
      </w:r>
      <w:r>
        <w:rPr/>
        <w:t>meet</w:t>
      </w:r>
      <w:r>
        <w:rPr>
          <w:spacing w:val="-12"/>
        </w:rPr>
        <w:t> </w:t>
      </w:r>
      <w:r>
        <w:rPr/>
        <w:t>these</w:t>
      </w:r>
      <w:r>
        <w:rPr>
          <w:spacing w:val="-10"/>
        </w:rPr>
        <w:t> </w:t>
      </w:r>
      <w:r>
        <w:rPr/>
        <w:t>minimum</w:t>
      </w:r>
      <w:r>
        <w:rPr>
          <w:spacing w:val="-13"/>
        </w:rPr>
        <w:t> </w:t>
      </w:r>
      <w:r>
        <w:rPr/>
        <w:t>criteria</w:t>
      </w:r>
      <w:r>
        <w:rPr>
          <w:spacing w:val="-10"/>
        </w:rPr>
        <w:t> </w:t>
      </w:r>
      <w:r>
        <w:rPr/>
        <w:t>are</w:t>
      </w:r>
      <w:r>
        <w:rPr>
          <w:spacing w:val="-11"/>
        </w:rPr>
        <w:t> </w:t>
      </w:r>
      <w:r>
        <w:rPr/>
        <w:t>considered</w:t>
      </w:r>
      <w:r>
        <w:rPr>
          <w:spacing w:val="-9"/>
        </w:rPr>
        <w:t> </w:t>
      </w:r>
      <w:r>
        <w:rPr>
          <w:spacing w:val="-3"/>
        </w:rPr>
        <w:t>forest,</w:t>
      </w:r>
      <w:r>
        <w:rPr>
          <w:spacing w:val="-9"/>
        </w:rPr>
        <w:t> </w:t>
      </w:r>
      <w:r>
        <w:rPr/>
        <w:t>as</w:t>
      </w:r>
      <w:r>
        <w:rPr>
          <w:spacing w:val="-11"/>
        </w:rPr>
        <w:t> </w:t>
      </w:r>
      <w:r>
        <w:rPr/>
        <w:t>are</w:t>
      </w:r>
      <w:r>
        <w:rPr>
          <w:spacing w:val="-11"/>
        </w:rPr>
        <w:t> </w:t>
      </w:r>
      <w:r>
        <w:rPr/>
        <w:t>recently</w:t>
      </w:r>
      <w:r>
        <w:rPr>
          <w:spacing w:val="-13"/>
        </w:rPr>
        <w:t> </w:t>
      </w:r>
      <w:r>
        <w:rPr/>
        <w:t>disturbed</w:t>
      </w:r>
      <w:r>
        <w:rPr>
          <w:spacing w:val="-10"/>
        </w:rPr>
        <w:t> </w:t>
      </w:r>
      <w:r>
        <w:rPr>
          <w:spacing w:val="-3"/>
        </w:rPr>
        <w:t>forests</w:t>
      </w:r>
      <w:r>
        <w:rPr>
          <w:spacing w:val="-13"/>
        </w:rPr>
        <w:t> </w:t>
      </w:r>
      <w:r>
        <w:rPr/>
        <w:t>or young forests that are expected to reach these parameter </w:t>
      </w:r>
      <w:r>
        <w:rPr>
          <w:spacing w:val="-3"/>
        </w:rPr>
        <w:t>thresholds. </w:t>
      </w:r>
      <w:r>
        <w:rPr/>
        <w:t>The numerical values of </w:t>
      </w:r>
      <w:r>
        <w:rPr>
          <w:spacing w:val="-3"/>
        </w:rPr>
        <w:t>those </w:t>
      </w:r>
      <w:r>
        <w:rPr/>
        <w:t>parameters cannot be changed </w:t>
      </w:r>
      <w:r>
        <w:rPr>
          <w:spacing w:val="-2"/>
        </w:rPr>
        <w:t>for </w:t>
      </w:r>
      <w:r>
        <w:rPr/>
        <w:t>the commitment period. Each Party has to justify in its reporting that such values are consistent </w:t>
      </w:r>
      <w:r>
        <w:rPr>
          <w:spacing w:val="-3"/>
        </w:rPr>
        <w:t>with </w:t>
      </w:r>
      <w:r>
        <w:rPr/>
        <w:t>the information that has </w:t>
      </w:r>
      <w:r>
        <w:rPr>
          <w:spacing w:val="-3"/>
        </w:rPr>
        <w:t>historically </w:t>
      </w:r>
      <w:r>
        <w:rPr/>
        <w:t>been reported to the Food and Agriculture </w:t>
      </w:r>
      <w:r>
        <w:rPr>
          <w:spacing w:val="-2"/>
        </w:rPr>
        <w:t>Organization </w:t>
      </w:r>
      <w:r>
        <w:rPr/>
        <w:t>of the </w:t>
      </w:r>
      <w:r>
        <w:rPr>
          <w:spacing w:val="-3"/>
        </w:rPr>
        <w:t>United</w:t>
      </w:r>
      <w:r>
        <w:rPr>
          <w:spacing w:val="-12"/>
        </w:rPr>
        <w:t> </w:t>
      </w:r>
      <w:r>
        <w:rPr/>
        <w:t>Nations</w:t>
      </w:r>
      <w:r>
        <w:rPr>
          <w:spacing w:val="-12"/>
        </w:rPr>
        <w:t> </w:t>
      </w:r>
      <w:r>
        <w:rPr/>
        <w:t>or</w:t>
      </w:r>
      <w:r>
        <w:rPr>
          <w:spacing w:val="-11"/>
        </w:rPr>
        <w:t> </w:t>
      </w:r>
      <w:r>
        <w:rPr/>
        <w:t>other</w:t>
      </w:r>
      <w:r>
        <w:rPr>
          <w:spacing w:val="-12"/>
        </w:rPr>
        <w:t> </w:t>
      </w:r>
      <w:r>
        <w:rPr/>
        <w:t>international</w:t>
      </w:r>
      <w:r>
        <w:rPr>
          <w:spacing w:val="-11"/>
        </w:rPr>
        <w:t> </w:t>
      </w:r>
      <w:r>
        <w:rPr>
          <w:spacing w:val="-3"/>
        </w:rPr>
        <w:t>bodies,</w:t>
      </w:r>
      <w:r>
        <w:rPr>
          <w:spacing w:val="-10"/>
        </w:rPr>
        <w:t> </w:t>
      </w:r>
      <w:r>
        <w:rPr>
          <w:spacing w:val="-2"/>
        </w:rPr>
        <w:t>and</w:t>
      </w:r>
      <w:r>
        <w:rPr>
          <w:spacing w:val="-9"/>
        </w:rPr>
        <w:t> </w:t>
      </w:r>
      <w:r>
        <w:rPr/>
        <w:t>if</w:t>
      </w:r>
      <w:r>
        <w:rPr>
          <w:spacing w:val="-13"/>
        </w:rPr>
        <w:t> </w:t>
      </w:r>
      <w:r>
        <w:rPr/>
        <w:t>they</w:t>
      </w:r>
      <w:r>
        <w:rPr>
          <w:spacing w:val="-13"/>
        </w:rPr>
        <w:t> </w:t>
      </w:r>
      <w:r>
        <w:rPr/>
        <w:t>differ,</w:t>
      </w:r>
      <w:r>
        <w:rPr>
          <w:spacing w:val="-11"/>
        </w:rPr>
        <w:t> </w:t>
      </w:r>
      <w:r>
        <w:rPr/>
        <w:t>explain</w:t>
      </w:r>
      <w:r>
        <w:rPr>
          <w:spacing w:val="-11"/>
        </w:rPr>
        <w:t> </w:t>
      </w:r>
      <w:r>
        <w:rPr/>
        <w:t>why</w:t>
      </w:r>
      <w:r>
        <w:rPr>
          <w:spacing w:val="-13"/>
        </w:rPr>
        <w:t> </w:t>
      </w:r>
      <w:r>
        <w:rPr/>
        <w:t>and</w:t>
      </w:r>
      <w:r>
        <w:rPr>
          <w:spacing w:val="-11"/>
        </w:rPr>
        <w:t> </w:t>
      </w:r>
      <w:r>
        <w:rPr/>
        <w:t>how</w:t>
      </w:r>
      <w:r>
        <w:rPr>
          <w:spacing w:val="-14"/>
        </w:rPr>
        <w:t> </w:t>
      </w:r>
      <w:r>
        <w:rPr/>
        <w:t>differing</w:t>
      </w:r>
      <w:r>
        <w:rPr>
          <w:spacing w:val="-11"/>
        </w:rPr>
        <w:t> </w:t>
      </w:r>
      <w:r>
        <w:rPr/>
        <w:t>values</w:t>
      </w:r>
      <w:r>
        <w:rPr>
          <w:spacing w:val="-10"/>
        </w:rPr>
        <w:t> </w:t>
      </w:r>
      <w:r>
        <w:rPr>
          <w:spacing w:val="-3"/>
        </w:rPr>
        <w:t>were</w:t>
      </w:r>
      <w:r>
        <w:rPr>
          <w:spacing w:val="-9"/>
        </w:rPr>
        <w:t> </w:t>
      </w:r>
      <w:r>
        <w:rPr/>
        <w:t>chosen.</w:t>
      </w:r>
    </w:p>
    <w:p>
      <w:pPr>
        <w:pStyle w:val="BodyText"/>
        <w:spacing w:before="121"/>
        <w:ind w:left="159" w:right="164"/>
        <w:jc w:val="both"/>
      </w:pPr>
      <w:r>
        <w:rPr/>
        <w:t>In addition to the minimum area of forest, it is </w:t>
      </w:r>
      <w:r>
        <w:rPr>
          <w:i/>
        </w:rPr>
        <w:t>good practice </w:t>
      </w:r>
      <w:r>
        <w:rPr/>
        <w:t>that countries specify the minimum width that they will apply to define forest and units of land subject to ARD activities, as explained in Section 4.2.2.5.1.</w:t>
      </w:r>
    </w:p>
    <w:p>
      <w:pPr>
        <w:pStyle w:val="BodyText"/>
        <w:spacing w:before="118"/>
        <w:ind w:left="159"/>
        <w:jc w:val="both"/>
      </w:pPr>
      <w:r>
        <w:rPr/>
        <w:t>STEP 1.2: Apply definitions to national circumstances.</w:t>
      </w:r>
    </w:p>
    <w:p>
      <w:pPr>
        <w:pStyle w:val="BodyText"/>
        <w:spacing w:before="120"/>
        <w:ind w:left="159" w:right="166"/>
        <w:jc w:val="both"/>
      </w:pPr>
      <w:r>
        <w:rPr/>
        <w:t>Parties must, by the end of 2006, decide and report which, if any, activities under Article 3.4 they elect (forest management, cropland management, grazing land management and/or revegetation). It is </w:t>
      </w:r>
      <w:r>
        <w:rPr>
          <w:i/>
        </w:rPr>
        <w:t>good practice </w:t>
      </w:r>
      <w:r>
        <w:rPr/>
        <w:t>that Parties document, for each elected activity, how the definitions will be applied to national circumstances and that they list the criteria that determine under which activity a land would be assigned. These criteria should be chosen in such a way as to minimize or avoid overlap and should be consistent with the guidance provided in the decision tree in Figure 4.1.1 in Section</w:t>
      </w:r>
      <w:r>
        <w:rPr>
          <w:spacing w:val="-3"/>
        </w:rPr>
        <w:t> </w:t>
      </w:r>
      <w:r>
        <w:rPr/>
        <w:t>4.1.2.</w:t>
      </w:r>
    </w:p>
    <w:p>
      <w:pPr>
        <w:pStyle w:val="BodyText"/>
        <w:spacing w:before="118"/>
        <w:ind w:left="159"/>
        <w:jc w:val="both"/>
      </w:pPr>
      <w:r>
        <w:rPr/>
        <w:t>STEP 1.3: Establish precedence conditions and/or a hierarchy among selected Article 3.4 activities.</w:t>
      </w:r>
    </w:p>
    <w:p>
      <w:pPr>
        <w:pStyle w:val="BodyText"/>
        <w:spacing w:before="121"/>
        <w:ind w:left="159" w:right="164"/>
        <w:jc w:val="both"/>
      </w:pPr>
      <w:r>
        <w:rPr/>
        <w:t>For cases where overlaps may occur, it is </w:t>
      </w:r>
      <w:r>
        <w:rPr>
          <w:i/>
        </w:rPr>
        <w:t>good practice </w:t>
      </w:r>
      <w:r>
        <w:rPr/>
        <w:t>that the country specifies its precedence conditions and/or a hierarchy among Article 3.4 activities prior to the commitment period, rather than on a case-by-case basis. For example, if land could fall into both cropland management and forest management (such as in agroforestry systems), then it is </w:t>
      </w:r>
      <w:r>
        <w:rPr>
          <w:i/>
        </w:rPr>
        <w:t>good practice </w:t>
      </w:r>
      <w:r>
        <w:rPr/>
        <w:t>to consistently apply the specified scheme of precedence conditions and/or hierarchy</w:t>
      </w:r>
      <w:r>
        <w:rPr>
          <w:vertAlign w:val="superscript"/>
        </w:rPr>
        <w:t>7</w:t>
      </w:r>
      <w:r>
        <w:rPr>
          <w:vertAlign w:val="baseline"/>
        </w:rPr>
        <w:t> in determining under which activity the land is to be reported.</w:t>
      </w:r>
    </w:p>
    <w:p>
      <w:pPr>
        <w:spacing w:before="124"/>
        <w:ind w:left="159" w:right="0" w:firstLine="0"/>
        <w:jc w:val="both"/>
        <w:rPr>
          <w:b/>
          <w:sz w:val="20"/>
        </w:rPr>
      </w:pPr>
      <w:r>
        <w:rPr>
          <w:b/>
          <w:sz w:val="20"/>
        </w:rPr>
        <w:t>STEP 2: Identify lands subject to activities under Article 3.3 and any elected activities under Article 3.4.</w:t>
      </w:r>
    </w:p>
    <w:p>
      <w:pPr>
        <w:pStyle w:val="BodyText"/>
        <w:spacing w:before="56"/>
        <w:ind w:left="159" w:right="165"/>
        <w:jc w:val="both"/>
      </w:pPr>
      <w:r>
        <w:rPr/>
        <w:t>The second step of the inventory assessment is to determine the areas on which the activities have taken place since 1990 (and for which emissions and removals must be calculated). This step builds on the approaches described in Chapter 2.</w:t>
      </w:r>
    </w:p>
    <w:p>
      <w:pPr>
        <w:pStyle w:val="BodyText"/>
        <w:spacing w:before="119"/>
        <w:ind w:left="159"/>
        <w:jc w:val="both"/>
      </w:pPr>
      <w:r>
        <w:rPr/>
        <w:t>STEP 2.1: Compile land-use and land-cover information in 1990 for the relevant activities.</w:t>
      </w:r>
    </w:p>
    <w:p>
      <w:pPr>
        <w:pStyle w:val="BodyText"/>
        <w:spacing w:before="120"/>
        <w:ind w:left="159" w:right="163"/>
        <w:jc w:val="both"/>
      </w:pPr>
      <w:r>
        <w:rPr/>
        <w:t>Using the selected definition of forest, develop means for determining forest and non-forest areas in 1990. This can be accomplished with a map that identifies all areas considered forest on 1 January 1990. All forest-related land-use change activities since 1990 can then be determined with reference to this base map (see Section 4.2.2.2 Reporting methods for lands subject to Article 3.3 and Article 3.4 activities).</w:t>
      </w:r>
    </w:p>
    <w:p>
      <w:pPr>
        <w:pStyle w:val="BodyText"/>
        <w:spacing w:before="119"/>
        <w:ind w:left="159" w:right="98"/>
      </w:pPr>
      <w:r>
        <w:rPr/>
        <w:t>STEP 2.2:  Stratify the country into areas of land for which the geographic boundaries will be reported, as well   as the area of the units of land subject to Article 3.3 and/or the areas of lands subject to Article 3.4 within these geographic boundaries (see Section 4.2.2.4). This step can be omitted if Reporting Method 2 (see Section 4.2.2.2) is</w:t>
      </w:r>
      <w:r>
        <w:rPr>
          <w:spacing w:val="-2"/>
        </w:rPr>
        <w:t> </w:t>
      </w:r>
      <w:r>
        <w:rPr/>
        <w:t>used.</w:t>
      </w:r>
    </w:p>
    <w:p>
      <w:pPr>
        <w:pStyle w:val="BodyText"/>
        <w:spacing w:before="120"/>
        <w:ind w:left="159" w:right="162"/>
        <w:jc w:val="both"/>
      </w:pPr>
      <w:r>
        <w:rPr/>
        <w:t>STEP 2.3: Identify units of land that, since 1990, are subject to activities defined in Article 3.3, and estimate the total area of these units of land within each geographic boundary. Under Reporting Method 2 (Section 4.2.2.2) the estimation of the area of the units of land will be carried out individually for each unit of land.</w:t>
      </w:r>
    </w:p>
    <w:p>
      <w:pPr>
        <w:pStyle w:val="BodyText"/>
        <w:spacing w:before="118"/>
        <w:ind w:left="159" w:right="164"/>
        <w:jc w:val="both"/>
      </w:pPr>
      <w:r>
        <w:rPr/>
        <w:t>Article 3.3 of </w:t>
      </w:r>
      <w:r>
        <w:rPr>
          <w:spacing w:val="-3"/>
        </w:rPr>
        <w:t>the </w:t>
      </w:r>
      <w:r>
        <w:rPr/>
        <w:t>Kyoto Protocol requires that net carbon stock changes and </w:t>
      </w:r>
      <w:r>
        <w:rPr>
          <w:spacing w:val="-3"/>
        </w:rPr>
        <w:t>non-CO</w:t>
      </w:r>
      <w:r>
        <w:rPr>
          <w:spacing w:val="-3"/>
          <w:vertAlign w:val="subscript"/>
        </w:rPr>
        <w:t>2</w:t>
      </w:r>
      <w:r>
        <w:rPr>
          <w:spacing w:val="-3"/>
          <w:vertAlign w:val="baseline"/>
        </w:rPr>
        <w:t> greenhouse gas </w:t>
      </w:r>
      <w:r>
        <w:rPr>
          <w:vertAlign w:val="baseline"/>
        </w:rPr>
        <w:t>emissions during the commitment period on land areas subject to afforestation (see </w:t>
      </w:r>
      <w:r>
        <w:rPr>
          <w:spacing w:val="-3"/>
          <w:vertAlign w:val="baseline"/>
        </w:rPr>
        <w:t>Footnote </w:t>
      </w:r>
      <w:r>
        <w:rPr>
          <w:vertAlign w:val="baseline"/>
        </w:rPr>
        <w:t>1 above), reforestation (R) and </w:t>
      </w:r>
      <w:r>
        <w:rPr>
          <w:spacing w:val="-3"/>
          <w:vertAlign w:val="baseline"/>
        </w:rPr>
        <w:t>deforestation </w:t>
      </w:r>
      <w:r>
        <w:rPr>
          <w:vertAlign w:val="baseline"/>
        </w:rPr>
        <w:t>(D) </w:t>
      </w:r>
      <w:r>
        <w:rPr>
          <w:spacing w:val="-3"/>
          <w:vertAlign w:val="baseline"/>
        </w:rPr>
        <w:t>since </w:t>
      </w:r>
      <w:r>
        <w:rPr>
          <w:vertAlign w:val="baseline"/>
        </w:rPr>
        <w:t>1990 are used to meet the commitments </w:t>
      </w:r>
      <w:r>
        <w:rPr>
          <w:spacing w:val="-3"/>
          <w:vertAlign w:val="baseline"/>
        </w:rPr>
        <w:t>under </w:t>
      </w:r>
      <w:r>
        <w:rPr>
          <w:vertAlign w:val="baseline"/>
        </w:rPr>
        <w:t>Article 3. The Marrakesh </w:t>
      </w:r>
      <w:r>
        <w:rPr>
          <w:spacing w:val="-3"/>
          <w:vertAlign w:val="baseline"/>
        </w:rPr>
        <w:t>Accords </w:t>
      </w:r>
      <w:r>
        <w:rPr>
          <w:vertAlign w:val="baseline"/>
        </w:rPr>
        <w:t>require Parties to estimate the area of the </w:t>
      </w:r>
      <w:r>
        <w:rPr>
          <w:spacing w:val="-2"/>
          <w:vertAlign w:val="baseline"/>
        </w:rPr>
        <w:t>units </w:t>
      </w:r>
      <w:r>
        <w:rPr>
          <w:vertAlign w:val="baseline"/>
        </w:rPr>
        <w:t>of lands that have been </w:t>
      </w:r>
      <w:r>
        <w:rPr>
          <w:spacing w:val="-3"/>
          <w:vertAlign w:val="baseline"/>
        </w:rPr>
        <w:t>subject </w:t>
      </w:r>
      <w:r>
        <w:rPr>
          <w:vertAlign w:val="baseline"/>
        </w:rPr>
        <w:t>to afforestation, reforestation and/or </w:t>
      </w:r>
      <w:r>
        <w:rPr>
          <w:spacing w:val="-3"/>
          <w:vertAlign w:val="baseline"/>
        </w:rPr>
        <w:t>deforestation</w:t>
      </w:r>
      <w:r>
        <w:rPr>
          <w:spacing w:val="-10"/>
          <w:vertAlign w:val="baseline"/>
        </w:rPr>
        <w:t> </w:t>
      </w:r>
      <w:r>
        <w:rPr>
          <w:spacing w:val="-3"/>
          <w:vertAlign w:val="baseline"/>
        </w:rPr>
        <w:t>within</w:t>
      </w:r>
      <w:r>
        <w:rPr>
          <w:spacing w:val="-11"/>
          <w:vertAlign w:val="baseline"/>
        </w:rPr>
        <w:t> </w:t>
      </w:r>
      <w:r>
        <w:rPr>
          <w:vertAlign w:val="baseline"/>
        </w:rPr>
        <w:t>the</w:t>
      </w:r>
      <w:r>
        <w:rPr>
          <w:spacing w:val="-12"/>
          <w:vertAlign w:val="baseline"/>
        </w:rPr>
        <w:t> </w:t>
      </w:r>
      <w:r>
        <w:rPr>
          <w:vertAlign w:val="baseline"/>
        </w:rPr>
        <w:t>boundaries</w:t>
      </w:r>
      <w:r>
        <w:rPr>
          <w:spacing w:val="-11"/>
          <w:vertAlign w:val="baseline"/>
        </w:rPr>
        <w:t> </w:t>
      </w:r>
      <w:r>
        <w:rPr>
          <w:vertAlign w:val="baseline"/>
        </w:rPr>
        <w:t>mentioned</w:t>
      </w:r>
      <w:r>
        <w:rPr>
          <w:spacing w:val="-11"/>
          <w:vertAlign w:val="baseline"/>
        </w:rPr>
        <w:t> </w:t>
      </w:r>
      <w:r>
        <w:rPr>
          <w:vertAlign w:val="baseline"/>
        </w:rPr>
        <w:t>in</w:t>
      </w:r>
      <w:r>
        <w:rPr>
          <w:spacing w:val="-14"/>
          <w:vertAlign w:val="baseline"/>
        </w:rPr>
        <w:t> </w:t>
      </w:r>
      <w:r>
        <w:rPr>
          <w:vertAlign w:val="baseline"/>
        </w:rPr>
        <w:t>STEP</w:t>
      </w:r>
      <w:r>
        <w:rPr>
          <w:spacing w:val="-11"/>
          <w:vertAlign w:val="baseline"/>
        </w:rPr>
        <w:t> </w:t>
      </w:r>
      <w:r>
        <w:rPr>
          <w:vertAlign w:val="baseline"/>
        </w:rPr>
        <w:t>2.2</w:t>
      </w:r>
      <w:r>
        <w:rPr>
          <w:spacing w:val="-12"/>
          <w:vertAlign w:val="baseline"/>
        </w:rPr>
        <w:t> </w:t>
      </w:r>
      <w:r>
        <w:rPr>
          <w:vertAlign w:val="baseline"/>
        </w:rPr>
        <w:t>above</w:t>
      </w:r>
      <w:r>
        <w:rPr>
          <w:spacing w:val="-12"/>
          <w:vertAlign w:val="baseline"/>
        </w:rPr>
        <w:t> </w:t>
      </w:r>
      <w:r>
        <w:rPr>
          <w:vertAlign w:val="baseline"/>
        </w:rPr>
        <w:t>(for</w:t>
      </w:r>
      <w:r>
        <w:rPr>
          <w:spacing w:val="-11"/>
          <w:vertAlign w:val="baseline"/>
        </w:rPr>
        <w:t> </w:t>
      </w:r>
      <w:r>
        <w:rPr>
          <w:vertAlign w:val="baseline"/>
        </w:rPr>
        <w:t>details</w:t>
      </w:r>
      <w:r>
        <w:rPr>
          <w:spacing w:val="-11"/>
          <w:vertAlign w:val="baseline"/>
        </w:rPr>
        <w:t> </w:t>
      </w:r>
      <w:r>
        <w:rPr>
          <w:spacing w:val="-2"/>
          <w:vertAlign w:val="baseline"/>
        </w:rPr>
        <w:t>see</w:t>
      </w:r>
      <w:r>
        <w:rPr>
          <w:spacing w:val="-12"/>
          <w:vertAlign w:val="baseline"/>
        </w:rPr>
        <w:t> </w:t>
      </w:r>
      <w:r>
        <w:rPr>
          <w:vertAlign w:val="baseline"/>
        </w:rPr>
        <w:t>Sections</w:t>
      </w:r>
      <w:r>
        <w:rPr>
          <w:spacing w:val="-13"/>
          <w:vertAlign w:val="baseline"/>
        </w:rPr>
        <w:t> </w:t>
      </w:r>
      <w:r>
        <w:rPr>
          <w:vertAlign w:val="baseline"/>
        </w:rPr>
        <w:t>4.2.2.2,</w:t>
      </w:r>
      <w:r>
        <w:rPr>
          <w:spacing w:val="-12"/>
          <w:vertAlign w:val="baseline"/>
        </w:rPr>
        <w:t> </w:t>
      </w:r>
      <w:r>
        <w:rPr>
          <w:vertAlign w:val="baseline"/>
        </w:rPr>
        <w:t>4.2.5</w:t>
      </w:r>
      <w:r>
        <w:rPr>
          <w:spacing w:val="-12"/>
          <w:vertAlign w:val="baseline"/>
        </w:rPr>
        <w:t> </w:t>
      </w:r>
      <w:r>
        <w:rPr>
          <w:spacing w:val="-2"/>
          <w:vertAlign w:val="baseline"/>
        </w:rPr>
        <w:t>and</w:t>
      </w:r>
      <w:r>
        <w:rPr>
          <w:spacing w:val="-11"/>
          <w:vertAlign w:val="baseline"/>
        </w:rPr>
        <w:t> </w:t>
      </w:r>
      <w:r>
        <w:rPr>
          <w:vertAlign w:val="baseline"/>
        </w:rPr>
        <w:t>4.2.6).</w:t>
      </w:r>
    </w:p>
    <w:p>
      <w:pPr>
        <w:pStyle w:val="BodyText"/>
        <w:spacing w:before="120"/>
        <w:ind w:left="159" w:right="167"/>
        <w:jc w:val="both"/>
      </w:pPr>
      <w:r>
        <w:rPr/>
        <w:t>STEP 2.4: Identify land areas subject to elected activities under Article 3.4, and estimate the total size of these land areas within each geographic boundary. Under Reporting Method 2 (Section 4.2.2.2) the estimation of land will be carried out individually for each land area subject to elected Article 3.4 activities.</w:t>
      </w:r>
    </w:p>
    <w:p>
      <w:pPr>
        <w:pStyle w:val="BodyText"/>
        <w:spacing w:before="119"/>
        <w:ind w:left="159" w:right="164"/>
        <w:jc w:val="both"/>
      </w:pPr>
      <w:r>
        <w:rPr/>
        <w:t>For forest management (FM), if elected, each Party must identify the land area subject to forest management in each inventory year of the commitment period. A Party could interpret the definition of forest management in terms of specified forest management practices, such as fire suppression, harvesting or thinning, undertaken since 1990. Alternatively, a country could interpret the definition of forest management in terms of a</w:t>
      </w:r>
      <w:r>
        <w:rPr>
          <w:spacing w:val="10"/>
        </w:rPr>
        <w:t> </w:t>
      </w:r>
      <w:r>
        <w:rPr/>
        <w:t>broad</w:t>
      </w:r>
    </w:p>
    <w:p>
      <w:pPr>
        <w:pStyle w:val="BodyText"/>
        <w:spacing w:before="5"/>
        <w:rPr>
          <w:sz w:val="15"/>
        </w:rPr>
      </w:pPr>
      <w:r>
        <w:rPr/>
        <w:pict>
          <v:line style="position:absolute;mso-position-horizontal-relative:page;mso-position-vertical-relative:paragraph;z-index:16880;mso-wrap-distance-left:0;mso-wrap-distance-right:0" from="70.960999pt,11.115684pt" to="524.440999pt,11.115684pt" stroked="true" strokeweight=".48pt" strokecolor="#000000">
            <v:stroke dashstyle="solid"/>
            <w10:wrap type="topAndBottom"/>
          </v:line>
        </w:pict>
      </w:r>
    </w:p>
    <w:p>
      <w:pPr>
        <w:pStyle w:val="BodyText"/>
        <w:spacing w:before="1"/>
        <w:rPr>
          <w:sz w:val="7"/>
        </w:rPr>
      </w:pPr>
    </w:p>
    <w:p>
      <w:pPr>
        <w:spacing w:before="93"/>
        <w:ind w:left="317" w:right="166" w:firstLine="0"/>
        <w:jc w:val="left"/>
        <w:rPr>
          <w:sz w:val="18"/>
        </w:rPr>
      </w:pPr>
      <w:r>
        <w:rPr>
          <w:sz w:val="18"/>
        </w:rPr>
        <w:t>natural causes but which are expected to revert to forest. See paragraph 1(a) in the Annex to draft decision -/CMP.1 (Land use, land-use change and forestry), contained in document FCCC/CP/2001/13/Add.1, p.58.</w:t>
      </w:r>
    </w:p>
    <w:p>
      <w:pPr>
        <w:spacing w:before="97"/>
        <w:ind w:left="159" w:right="0" w:firstLine="0"/>
        <w:jc w:val="left"/>
        <w:rPr>
          <w:sz w:val="18"/>
        </w:rPr>
      </w:pPr>
      <w:r>
        <w:rPr>
          <w:position w:val="8"/>
          <w:sz w:val="12"/>
        </w:rPr>
        <w:t>7 </w:t>
      </w:r>
      <w:r>
        <w:rPr>
          <w:sz w:val="18"/>
        </w:rPr>
        <w:t>Such as, e.g., “precedence is given to the dominant activity”, or “precedence is given to cropland management”.</w:t>
      </w:r>
    </w:p>
    <w:p>
      <w:pPr>
        <w:spacing w:after="0"/>
        <w:jc w:val="left"/>
        <w:rPr>
          <w:sz w:val="18"/>
        </w:rPr>
        <w:sectPr>
          <w:pgSz w:w="11900" w:h="16840"/>
          <w:pgMar w:header="230" w:footer="408" w:top="560" w:bottom="600" w:left="1260" w:right="1240"/>
        </w:sectPr>
      </w:pPr>
    </w:p>
    <w:p>
      <w:pPr>
        <w:pStyle w:val="BodyText"/>
      </w:pPr>
    </w:p>
    <w:p>
      <w:pPr>
        <w:pStyle w:val="BodyText"/>
        <w:spacing w:before="209"/>
        <w:ind w:left="159" w:right="166"/>
        <w:jc w:val="both"/>
      </w:pPr>
      <w:r>
        <w:rPr/>
        <w:t>classification of land subject to a system of forest management practices, without the requirement that a specified forest management practice has occurred on each land. (For details see Sections 4.2.2.2 and 4.2.7).</w:t>
      </w:r>
      <w:r>
        <w:rPr>
          <w:vertAlign w:val="superscript"/>
        </w:rPr>
        <w:t>8</w:t>
      </w:r>
    </w:p>
    <w:p>
      <w:pPr>
        <w:pStyle w:val="BodyText"/>
        <w:spacing w:before="121"/>
        <w:ind w:left="159" w:right="162"/>
        <w:jc w:val="both"/>
      </w:pPr>
      <w:r>
        <w:rPr/>
        <w:t>For cropland management (CM), grazing land management (GM), or revegetation (RV), the area subject to each of these activities in any inventory year during the commitment period needs to be determined. As is discussed  in more depth in Sections 4.2.8 – 4.2.10, the area under the same activity in 1990 (or the applicable base year) will also have to be determined, because carbon stock changes and non-CO</w:t>
      </w:r>
      <w:r>
        <w:rPr>
          <w:vertAlign w:val="subscript"/>
        </w:rPr>
        <w:t>2</w:t>
      </w:r>
      <w:r>
        <w:rPr>
          <w:vertAlign w:val="baseline"/>
        </w:rPr>
        <w:t> greenhouse gas emissions on this area in 1990 have to be known in order to implement net-net accounting rules of the Marrakesh Accords (see Section</w:t>
      </w:r>
      <w:r>
        <w:rPr>
          <w:spacing w:val="-2"/>
          <w:vertAlign w:val="baseline"/>
        </w:rPr>
        <w:t> </w:t>
      </w:r>
      <w:r>
        <w:rPr>
          <w:vertAlign w:val="baseline"/>
        </w:rPr>
        <w:t>4.2.8.1.1).</w:t>
      </w:r>
    </w:p>
    <w:p>
      <w:pPr>
        <w:pStyle w:val="BodyText"/>
        <w:spacing w:before="118"/>
        <w:ind w:left="159"/>
      </w:pPr>
      <w:r>
        <w:rPr/>
        <w:t>STEP 2.5: Identify the areas subject to projects under Article 6.</w:t>
      </w:r>
    </w:p>
    <w:p>
      <w:pPr>
        <w:pStyle w:val="BodyText"/>
        <w:spacing w:before="120"/>
        <w:ind w:left="159" w:right="163"/>
        <w:jc w:val="both"/>
      </w:pPr>
      <w:r>
        <w:rPr/>
        <w:t>Some units of land subject to Article 3.3 or lands subject to Article 3.4 can also be projects under Article 6 of the Kyoto Protocol. These have to be reported under Article 3.3 or Article 3.4 (if the relevant activity was elected). In addition, these units of land or lands need to be delineated and the carbon stock changes and non-CO</w:t>
      </w:r>
      <w:r>
        <w:rPr>
          <w:vertAlign w:val="subscript"/>
        </w:rPr>
        <w:t>2</w:t>
      </w:r>
      <w:r>
        <w:rPr>
          <w:vertAlign w:val="baseline"/>
        </w:rPr>
        <w:t> greenhouse gas emissions reported separately as part of the project reporting (see Section 4.3). The relationship between estimation and reporting of activities under Articles 3.3 and 3.4, and projects under Article 6, is discussed in Section</w:t>
      </w:r>
      <w:r>
        <w:rPr>
          <w:spacing w:val="-2"/>
          <w:vertAlign w:val="baseline"/>
        </w:rPr>
        <w:t> </w:t>
      </w:r>
      <w:r>
        <w:rPr>
          <w:vertAlign w:val="baseline"/>
        </w:rPr>
        <w:t>4.1.3.</w:t>
      </w:r>
    </w:p>
    <w:p>
      <w:pPr>
        <w:spacing w:before="125"/>
        <w:ind w:left="159" w:right="167" w:firstLine="0"/>
        <w:jc w:val="both"/>
        <w:rPr>
          <w:b/>
          <w:sz w:val="20"/>
        </w:rPr>
      </w:pPr>
      <w:r>
        <w:rPr>
          <w:b/>
          <w:sz w:val="20"/>
        </w:rPr>
        <w:t>STEP 3: Estimate carbon stock changes and non-CO</w:t>
      </w:r>
      <w:r>
        <w:rPr>
          <w:b/>
          <w:sz w:val="20"/>
          <w:vertAlign w:val="subscript"/>
        </w:rPr>
        <w:t>2</w:t>
      </w:r>
      <w:r>
        <w:rPr>
          <w:b/>
          <w:sz w:val="20"/>
          <w:vertAlign w:val="baseline"/>
        </w:rPr>
        <w:t> greenhouse gas emissions on the lands identified under Step 2 above.</w:t>
      </w:r>
    </w:p>
    <w:p>
      <w:pPr>
        <w:pStyle w:val="BodyText"/>
        <w:spacing w:before="114"/>
        <w:ind w:left="159"/>
      </w:pPr>
      <w:r>
        <w:rPr/>
        <w:t>This step builds on the methodologies provided by Chapter 3 of this report (LUCF sector </w:t>
      </w:r>
      <w:r>
        <w:rPr>
          <w:i/>
        </w:rPr>
        <w:t>good practice </w:t>
      </w:r>
      <w:r>
        <w:rPr/>
        <w:t>guidance) and shows supplementary methodologies relevant to reporting of carbon stock changes and non-CO</w:t>
      </w:r>
      <w:r>
        <w:rPr>
          <w:vertAlign w:val="subscript"/>
        </w:rPr>
        <w:t>2</w:t>
      </w:r>
      <w:r>
        <w:rPr>
          <w:vertAlign w:val="baseline"/>
        </w:rPr>
        <w:t> greenhouse gas emissions under the Kyoto Protocol.</w:t>
      </w:r>
    </w:p>
    <w:p>
      <w:pPr>
        <w:pStyle w:val="BodyText"/>
        <w:spacing w:before="118"/>
        <w:ind w:left="159" w:right="145"/>
      </w:pPr>
      <w:r>
        <w:rPr/>
        <w:t>STEP 3.1: Estimate carbon stock changes and non-CO</w:t>
      </w:r>
      <w:r>
        <w:rPr>
          <w:vertAlign w:val="subscript"/>
        </w:rPr>
        <w:t>2</w:t>
      </w:r>
      <w:r>
        <w:rPr>
          <w:vertAlign w:val="baseline"/>
        </w:rPr>
        <w:t> greenhouse gas emissions for each year of the commitment period, on all areas subject to afforestation, reforestation or deforestation (as identified in STEP 2.3) and all areas subject to elected activities covered under Article 3.4 (as identified in STEP 2.4), while ensuring  that there are no gaps and no double</w:t>
      </w:r>
      <w:r>
        <w:rPr>
          <w:spacing w:val="3"/>
          <w:vertAlign w:val="baseline"/>
        </w:rPr>
        <w:t> </w:t>
      </w:r>
      <w:r>
        <w:rPr>
          <w:vertAlign w:val="baseline"/>
        </w:rPr>
        <w:t>counting.</w:t>
      </w:r>
    </w:p>
    <w:p>
      <w:pPr>
        <w:pStyle w:val="BodyText"/>
        <w:spacing w:before="120"/>
        <w:ind w:left="159" w:right="164"/>
        <w:jc w:val="both"/>
      </w:pPr>
      <w:r>
        <w:rPr/>
        <w:t>The estimation of carbon stock changes and non-CO</w:t>
      </w:r>
      <w:r>
        <w:rPr>
          <w:vertAlign w:val="subscript"/>
        </w:rPr>
        <w:t>2</w:t>
      </w:r>
      <w:r>
        <w:rPr>
          <w:vertAlign w:val="baseline"/>
        </w:rPr>
        <w:t> greenhouse gas emissions for an activity begins with the onset of the activity or the beginning of the commitment period, whichever comes later. For further details regarding the beginning of an activity see Section 4.2.3.2 (Years for which to estimate stock changes and non- CO</w:t>
      </w:r>
      <w:r>
        <w:rPr>
          <w:vertAlign w:val="subscript"/>
        </w:rPr>
        <w:t>2</w:t>
      </w:r>
      <w:r>
        <w:rPr>
          <w:vertAlign w:val="baseline"/>
        </w:rPr>
        <w:t> greenhouse gas emissions).</w:t>
      </w:r>
    </w:p>
    <w:p>
      <w:pPr>
        <w:pStyle w:val="BodyText"/>
        <w:spacing w:before="119"/>
        <w:ind w:left="159" w:right="166"/>
        <w:jc w:val="both"/>
      </w:pPr>
      <w:r>
        <w:rPr/>
        <w:t>STEP 3.2: Estimate carbon stock changes and non-CO</w:t>
      </w:r>
      <w:r>
        <w:rPr>
          <w:vertAlign w:val="subscript"/>
        </w:rPr>
        <w:t>2</w:t>
      </w:r>
      <w:r>
        <w:rPr>
          <w:vertAlign w:val="baseline"/>
        </w:rPr>
        <w:t> greenhouse gas emissions in projects under Article 6 (see Section 4.3.3 Measuring, monitoring, and estimating changes in carbon stocks and non-CO</w:t>
      </w:r>
      <w:r>
        <w:rPr>
          <w:vertAlign w:val="subscript"/>
        </w:rPr>
        <w:t>2</w:t>
      </w:r>
      <w:r>
        <w:rPr>
          <w:vertAlign w:val="baseline"/>
        </w:rPr>
        <w:t> greenhouse gas emissions).</w:t>
      </w:r>
    </w:p>
    <w:p>
      <w:pPr>
        <w:pStyle w:val="BodyText"/>
        <w:rPr>
          <w:sz w:val="22"/>
        </w:rPr>
      </w:pPr>
    </w:p>
    <w:p>
      <w:pPr>
        <w:pStyle w:val="BodyText"/>
        <w:spacing w:before="2"/>
        <w:rPr>
          <w:sz w:val="19"/>
        </w:rPr>
      </w:pPr>
    </w:p>
    <w:p>
      <w:pPr>
        <w:spacing w:before="1"/>
        <w:ind w:left="159" w:right="0" w:firstLine="0"/>
        <w:jc w:val="left"/>
        <w:rPr>
          <w:b/>
          <w:sz w:val="20"/>
        </w:rPr>
      </w:pPr>
      <w:r>
        <w:rPr>
          <w:b/>
          <w:sz w:val="20"/>
        </w:rPr>
        <w:t>For Article 12 Projects:</w:t>
      </w:r>
    </w:p>
    <w:p>
      <w:pPr>
        <w:spacing w:before="115"/>
        <w:ind w:left="159" w:right="0" w:firstLine="0"/>
        <w:jc w:val="left"/>
        <w:rPr>
          <w:sz w:val="20"/>
        </w:rPr>
      </w:pPr>
      <w:r>
        <w:rPr>
          <w:b/>
          <w:sz w:val="20"/>
        </w:rPr>
        <w:t>STEP 1: Identify areas. </w:t>
      </w:r>
      <w:r>
        <w:rPr>
          <w:sz w:val="20"/>
        </w:rPr>
        <w:t>(Details can be found in Section 4.3.2 Project boundaries)</w:t>
      </w:r>
    </w:p>
    <w:p>
      <w:pPr>
        <w:spacing w:before="121"/>
        <w:ind w:left="159" w:right="165" w:firstLine="0"/>
        <w:jc w:val="both"/>
        <w:rPr>
          <w:sz w:val="20"/>
        </w:rPr>
      </w:pPr>
      <w:r>
        <w:rPr>
          <w:b/>
          <w:sz w:val="20"/>
        </w:rPr>
        <w:t>STEP 2: Estimate carbon stock changes and non-CO</w:t>
      </w:r>
      <w:r>
        <w:rPr>
          <w:b/>
          <w:sz w:val="20"/>
          <w:vertAlign w:val="subscript"/>
        </w:rPr>
        <w:t>2</w:t>
      </w:r>
      <w:r>
        <w:rPr>
          <w:b/>
          <w:sz w:val="20"/>
          <w:vertAlign w:val="baseline"/>
        </w:rPr>
        <w:t> greenhouse gas emissions. </w:t>
      </w:r>
      <w:r>
        <w:rPr>
          <w:sz w:val="20"/>
          <w:vertAlign w:val="baseline"/>
        </w:rPr>
        <w:t>(Details can be found in Section 4.3.3 Measuring, monitoring, and estimating changes in carbon stocks and non-CO</w:t>
      </w:r>
      <w:r>
        <w:rPr>
          <w:sz w:val="20"/>
          <w:vertAlign w:val="subscript"/>
        </w:rPr>
        <w:t>2</w:t>
      </w:r>
      <w:r>
        <w:rPr>
          <w:sz w:val="20"/>
          <w:vertAlign w:val="baseline"/>
        </w:rPr>
        <w:t> greenhouse gas emissions).</w:t>
      </w:r>
    </w:p>
    <w:p>
      <w:pPr>
        <w:pStyle w:val="BodyText"/>
        <w:spacing w:before="119"/>
        <w:ind w:left="159" w:right="166"/>
        <w:jc w:val="both"/>
      </w:pPr>
      <w:r>
        <w:rPr/>
        <w:t>Table 4.1.1 provides an overview of the LULUCF activities in the Kyoto Protocol, and the accounting rules that are prescribed by the Marrakesh Accords. This information is summarized here because it has implications for the supplementary estimation and inventory reporting requirements under the Kyoto</w:t>
      </w:r>
      <w:r>
        <w:rPr>
          <w:spacing w:val="-14"/>
        </w:rPr>
        <w:t> </w:t>
      </w:r>
      <w:r>
        <w:rPr/>
        <w:t>Protocol.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1"/>
        </w:rPr>
      </w:pPr>
      <w:r>
        <w:rPr/>
        <w:pict>
          <v:line style="position:absolute;mso-position-horizontal-relative:page;mso-position-vertical-relative:paragraph;z-index:16904;mso-wrap-distance-left:0;mso-wrap-distance-right:0" from="70.960999pt,8.541806pt" to="214.960999pt,8.541806pt" stroked="true" strokeweight=".48pt" strokecolor="#000000">
            <v:stroke dashstyle="solid"/>
            <w10:wrap type="topAndBottom"/>
          </v:line>
        </w:pict>
      </w:r>
    </w:p>
    <w:p>
      <w:pPr>
        <w:spacing w:before="150"/>
        <w:ind w:left="317" w:right="162" w:hanging="159"/>
        <w:jc w:val="both"/>
        <w:rPr>
          <w:i/>
          <w:sz w:val="18"/>
        </w:rPr>
      </w:pPr>
      <w:r>
        <w:rPr>
          <w:position w:val="8"/>
          <w:sz w:val="12"/>
        </w:rPr>
        <w:t>8 </w:t>
      </w:r>
      <w:r>
        <w:rPr>
          <w:sz w:val="18"/>
        </w:rPr>
        <w:t>Possible issues related to unbalanced accounting resulting from selective inclusion of forest management and revegetation are addressed in the IPCC Report on </w:t>
      </w:r>
      <w:r>
        <w:rPr>
          <w:i/>
          <w:sz w:val="18"/>
        </w:rPr>
        <w:t>Definitions and Methodological Options to Inventory and Report Emissions from Direct Human-Induced Degradation of Forests and Devegetation of Other Vegetation Types.</w:t>
      </w:r>
    </w:p>
    <w:p>
      <w:pPr>
        <w:spacing w:after="0"/>
        <w:jc w:val="both"/>
        <w:rPr>
          <w:sz w:val="18"/>
        </w:rPr>
        <w:sectPr>
          <w:pgSz w:w="11900" w:h="16840"/>
          <w:pgMar w:header="230" w:footer="408" w:top="560" w:bottom="600" w:left="1260" w:right="1240"/>
        </w:sectPr>
      </w:pPr>
    </w:p>
    <w:p>
      <w:pPr>
        <w:pStyle w:val="BodyText"/>
        <w:rPr>
          <w:i/>
        </w:rPr>
      </w:pPr>
    </w:p>
    <w:p>
      <w:pPr>
        <w:pStyle w:val="BodyText"/>
        <w:rPr>
          <w:i/>
          <w:sz w:val="19"/>
        </w:rPr>
      </w:pPr>
    </w:p>
    <w:tbl>
      <w:tblPr>
        <w:tblW w:w="0" w:type="auto"/>
        <w:jc w:val="left"/>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61"/>
        <w:gridCol w:w="1788"/>
        <w:gridCol w:w="1788"/>
        <w:gridCol w:w="1788"/>
      </w:tblGrid>
      <w:tr>
        <w:trPr>
          <w:trHeight w:val="486" w:hRule="atLeast"/>
        </w:trPr>
        <w:tc>
          <w:tcPr>
            <w:tcW w:w="8825" w:type="dxa"/>
            <w:gridSpan w:val="4"/>
            <w:tcBorders>
              <w:bottom w:val="double" w:sz="1" w:space="0" w:color="000000"/>
            </w:tcBorders>
          </w:tcPr>
          <w:p>
            <w:pPr>
              <w:pStyle w:val="TableParagraph"/>
              <w:spacing w:line="207" w:lineRule="exact" w:before="43"/>
              <w:ind w:left="184" w:right="179"/>
              <w:jc w:val="center"/>
              <w:rPr>
                <w:b/>
                <w:sz w:val="18"/>
              </w:rPr>
            </w:pPr>
            <w:r>
              <w:rPr>
                <w:b/>
                <w:sz w:val="18"/>
              </w:rPr>
              <w:t>T</w:t>
            </w:r>
            <w:r>
              <w:rPr>
                <w:b/>
                <w:sz w:val="14"/>
              </w:rPr>
              <w:t>ABLE </w:t>
            </w:r>
            <w:r>
              <w:rPr>
                <w:b/>
                <w:sz w:val="18"/>
              </w:rPr>
              <w:t>4.1.1</w:t>
            </w:r>
          </w:p>
          <w:p>
            <w:pPr>
              <w:pStyle w:val="TableParagraph"/>
              <w:spacing w:line="207" w:lineRule="exact"/>
              <w:ind w:left="186" w:right="179"/>
              <w:jc w:val="center"/>
              <w:rPr>
                <w:b/>
                <w:sz w:val="14"/>
              </w:rPr>
            </w:pPr>
            <w:r>
              <w:rPr>
                <w:b/>
                <w:sz w:val="18"/>
              </w:rPr>
              <w:t>S</w:t>
            </w:r>
            <w:r>
              <w:rPr>
                <w:b/>
                <w:sz w:val="14"/>
              </w:rPr>
              <w:t>UMMARY OF THE </w:t>
            </w:r>
            <w:r>
              <w:rPr>
                <w:b/>
                <w:sz w:val="18"/>
              </w:rPr>
              <w:t>LULUCF </w:t>
            </w:r>
            <w:r>
              <w:rPr>
                <w:b/>
                <w:sz w:val="14"/>
              </w:rPr>
              <w:t>ACTIVITIES UNDER THE </w:t>
            </w:r>
            <w:r>
              <w:rPr>
                <w:b/>
                <w:sz w:val="18"/>
              </w:rPr>
              <w:t>K</w:t>
            </w:r>
            <w:r>
              <w:rPr>
                <w:b/>
                <w:sz w:val="14"/>
              </w:rPr>
              <w:t>YOTO </w:t>
            </w:r>
            <w:r>
              <w:rPr>
                <w:b/>
                <w:sz w:val="18"/>
              </w:rPr>
              <w:t>P</w:t>
            </w:r>
            <w:r>
              <w:rPr>
                <w:b/>
                <w:sz w:val="14"/>
              </w:rPr>
              <w:t>ROTOCOL AND THE ASSOCIATED ACCOUNTING RULES</w:t>
            </w:r>
          </w:p>
        </w:tc>
      </w:tr>
      <w:tr>
        <w:trPr>
          <w:trHeight w:val="311" w:hRule="atLeast"/>
        </w:trPr>
        <w:tc>
          <w:tcPr>
            <w:tcW w:w="3461" w:type="dxa"/>
            <w:tcBorders>
              <w:top w:val="double" w:sz="1" w:space="0" w:color="000000"/>
            </w:tcBorders>
          </w:tcPr>
          <w:p>
            <w:pPr>
              <w:pStyle w:val="TableParagraph"/>
              <w:spacing w:before="52"/>
              <w:ind w:left="1349" w:right="1342"/>
              <w:jc w:val="center"/>
              <w:rPr>
                <w:b/>
                <w:sz w:val="18"/>
              </w:rPr>
            </w:pPr>
            <w:r>
              <w:rPr>
                <w:b/>
                <w:sz w:val="18"/>
              </w:rPr>
              <w:t>Activities</w:t>
            </w:r>
          </w:p>
        </w:tc>
        <w:tc>
          <w:tcPr>
            <w:tcW w:w="1788" w:type="dxa"/>
            <w:tcBorders>
              <w:top w:val="double" w:sz="1" w:space="0" w:color="000000"/>
            </w:tcBorders>
          </w:tcPr>
          <w:p>
            <w:pPr>
              <w:pStyle w:val="TableParagraph"/>
              <w:spacing w:before="52"/>
              <w:ind w:left="116" w:right="107"/>
              <w:jc w:val="center"/>
              <w:rPr>
                <w:b/>
                <w:sz w:val="18"/>
              </w:rPr>
            </w:pPr>
            <w:r>
              <w:rPr>
                <w:b/>
                <w:sz w:val="18"/>
              </w:rPr>
              <w:t>Net-net accounting</w:t>
            </w:r>
            <w:r>
              <w:rPr>
                <w:b/>
                <w:sz w:val="18"/>
                <w:vertAlign w:val="superscript"/>
              </w:rPr>
              <w:t>9</w:t>
            </w:r>
          </w:p>
        </w:tc>
        <w:tc>
          <w:tcPr>
            <w:tcW w:w="1788" w:type="dxa"/>
            <w:tcBorders>
              <w:top w:val="double" w:sz="1" w:space="0" w:color="000000"/>
            </w:tcBorders>
          </w:tcPr>
          <w:p>
            <w:pPr>
              <w:pStyle w:val="TableParagraph"/>
              <w:spacing w:before="52"/>
              <w:ind w:left="116" w:right="106"/>
              <w:jc w:val="center"/>
              <w:rPr>
                <w:b/>
                <w:sz w:val="18"/>
              </w:rPr>
            </w:pPr>
            <w:r>
              <w:rPr>
                <w:b/>
                <w:sz w:val="18"/>
              </w:rPr>
              <w:t>Baseline scenario</w:t>
            </w:r>
          </w:p>
        </w:tc>
        <w:tc>
          <w:tcPr>
            <w:tcW w:w="1788" w:type="dxa"/>
            <w:tcBorders>
              <w:top w:val="double" w:sz="1" w:space="0" w:color="000000"/>
            </w:tcBorders>
          </w:tcPr>
          <w:p>
            <w:pPr>
              <w:pStyle w:val="TableParagraph"/>
              <w:spacing w:before="52"/>
              <w:ind w:left="113" w:right="107"/>
              <w:jc w:val="center"/>
              <w:rPr>
                <w:b/>
                <w:sz w:val="18"/>
              </w:rPr>
            </w:pPr>
            <w:r>
              <w:rPr>
                <w:b/>
                <w:sz w:val="18"/>
              </w:rPr>
              <w:t>Cap on Credits</w:t>
            </w:r>
            <w:r>
              <w:rPr>
                <w:b/>
                <w:sz w:val="18"/>
                <w:vertAlign w:val="superscript"/>
              </w:rPr>
              <w:t>10</w:t>
            </w:r>
          </w:p>
        </w:tc>
      </w:tr>
      <w:tr>
        <w:trPr>
          <w:trHeight w:val="515" w:hRule="atLeast"/>
        </w:trPr>
        <w:tc>
          <w:tcPr>
            <w:tcW w:w="3461" w:type="dxa"/>
          </w:tcPr>
          <w:p>
            <w:pPr>
              <w:pStyle w:val="TableParagraph"/>
              <w:spacing w:before="67"/>
              <w:ind w:left="114" w:right="377"/>
              <w:rPr>
                <w:sz w:val="18"/>
              </w:rPr>
            </w:pPr>
            <w:r>
              <w:rPr>
                <w:sz w:val="18"/>
              </w:rPr>
              <w:t>Article 3.3 (Afforestation, Reforestation, Deforestation)</w:t>
            </w:r>
          </w:p>
        </w:tc>
        <w:tc>
          <w:tcPr>
            <w:tcW w:w="1788" w:type="dxa"/>
          </w:tcPr>
          <w:p>
            <w:pPr>
              <w:pStyle w:val="TableParagraph"/>
              <w:spacing w:before="148"/>
              <w:ind w:left="112" w:right="107"/>
              <w:jc w:val="center"/>
              <w:rPr>
                <w:sz w:val="18"/>
              </w:rPr>
            </w:pPr>
            <w:r>
              <w:rPr>
                <w:sz w:val="18"/>
              </w:rPr>
              <w:t>No</w:t>
            </w:r>
          </w:p>
        </w:tc>
        <w:tc>
          <w:tcPr>
            <w:tcW w:w="1788" w:type="dxa"/>
          </w:tcPr>
          <w:p>
            <w:pPr>
              <w:pStyle w:val="TableParagraph"/>
              <w:spacing w:before="148"/>
              <w:ind w:left="65" w:right="107"/>
              <w:jc w:val="center"/>
              <w:rPr>
                <w:sz w:val="18"/>
              </w:rPr>
            </w:pPr>
            <w:r>
              <w:rPr>
                <w:sz w:val="18"/>
              </w:rPr>
              <w:t>No</w:t>
            </w:r>
          </w:p>
        </w:tc>
        <w:tc>
          <w:tcPr>
            <w:tcW w:w="1788" w:type="dxa"/>
          </w:tcPr>
          <w:p>
            <w:pPr>
              <w:pStyle w:val="TableParagraph"/>
              <w:spacing w:before="148"/>
              <w:ind w:left="116" w:right="102"/>
              <w:jc w:val="center"/>
              <w:rPr>
                <w:sz w:val="18"/>
              </w:rPr>
            </w:pPr>
            <w:r>
              <w:rPr>
                <w:sz w:val="18"/>
              </w:rPr>
              <w:t>No</w:t>
            </w:r>
          </w:p>
        </w:tc>
      </w:tr>
      <w:tr>
        <w:trPr>
          <w:trHeight w:val="345" w:hRule="atLeast"/>
        </w:trPr>
        <w:tc>
          <w:tcPr>
            <w:tcW w:w="3461" w:type="dxa"/>
          </w:tcPr>
          <w:p>
            <w:pPr>
              <w:pStyle w:val="TableParagraph"/>
              <w:spacing w:before="67"/>
              <w:ind w:left="114"/>
              <w:rPr>
                <w:sz w:val="18"/>
              </w:rPr>
            </w:pPr>
            <w:r>
              <w:rPr>
                <w:sz w:val="18"/>
              </w:rPr>
              <w:t>Article 3.4 (Forest Management)</w:t>
            </w:r>
          </w:p>
        </w:tc>
        <w:tc>
          <w:tcPr>
            <w:tcW w:w="1788" w:type="dxa"/>
          </w:tcPr>
          <w:p>
            <w:pPr>
              <w:pStyle w:val="TableParagraph"/>
              <w:spacing w:before="67"/>
              <w:ind w:left="112" w:right="107"/>
              <w:jc w:val="center"/>
              <w:rPr>
                <w:sz w:val="18"/>
              </w:rPr>
            </w:pPr>
            <w:r>
              <w:rPr>
                <w:sz w:val="18"/>
              </w:rPr>
              <w:t>No</w:t>
            </w:r>
          </w:p>
        </w:tc>
        <w:tc>
          <w:tcPr>
            <w:tcW w:w="1788" w:type="dxa"/>
          </w:tcPr>
          <w:p>
            <w:pPr>
              <w:pStyle w:val="TableParagraph"/>
              <w:spacing w:before="67"/>
              <w:ind w:left="57" w:right="107"/>
              <w:jc w:val="center"/>
              <w:rPr>
                <w:sz w:val="18"/>
              </w:rPr>
            </w:pPr>
            <w:r>
              <w:rPr>
                <w:sz w:val="18"/>
              </w:rPr>
              <w:t>No</w:t>
            </w:r>
          </w:p>
        </w:tc>
        <w:tc>
          <w:tcPr>
            <w:tcW w:w="1788" w:type="dxa"/>
          </w:tcPr>
          <w:p>
            <w:pPr>
              <w:pStyle w:val="TableParagraph"/>
              <w:spacing w:before="67"/>
              <w:ind w:left="113" w:right="107"/>
              <w:jc w:val="center"/>
              <w:rPr>
                <w:sz w:val="18"/>
              </w:rPr>
            </w:pPr>
            <w:r>
              <w:rPr>
                <w:sz w:val="18"/>
              </w:rPr>
              <w:t>Yes</w:t>
            </w:r>
          </w:p>
        </w:tc>
      </w:tr>
      <w:tr>
        <w:trPr>
          <w:trHeight w:val="345" w:hRule="atLeast"/>
        </w:trPr>
        <w:tc>
          <w:tcPr>
            <w:tcW w:w="3461" w:type="dxa"/>
          </w:tcPr>
          <w:p>
            <w:pPr>
              <w:pStyle w:val="TableParagraph"/>
              <w:spacing w:before="67"/>
              <w:ind w:left="114"/>
              <w:rPr>
                <w:sz w:val="18"/>
              </w:rPr>
            </w:pPr>
            <w:r>
              <w:rPr>
                <w:sz w:val="18"/>
              </w:rPr>
              <w:t>Article 3.4 (all other)</w:t>
            </w:r>
          </w:p>
        </w:tc>
        <w:tc>
          <w:tcPr>
            <w:tcW w:w="1788" w:type="dxa"/>
          </w:tcPr>
          <w:p>
            <w:pPr>
              <w:pStyle w:val="TableParagraph"/>
              <w:spacing w:before="67"/>
              <w:ind w:left="113" w:right="107"/>
              <w:jc w:val="center"/>
              <w:rPr>
                <w:sz w:val="18"/>
              </w:rPr>
            </w:pPr>
            <w:r>
              <w:rPr>
                <w:sz w:val="18"/>
              </w:rPr>
              <w:t>Yes</w:t>
            </w:r>
          </w:p>
        </w:tc>
        <w:tc>
          <w:tcPr>
            <w:tcW w:w="1788" w:type="dxa"/>
          </w:tcPr>
          <w:p>
            <w:pPr>
              <w:pStyle w:val="TableParagraph"/>
              <w:spacing w:before="67"/>
              <w:ind w:left="57" w:right="107"/>
              <w:jc w:val="center"/>
              <w:rPr>
                <w:sz w:val="18"/>
              </w:rPr>
            </w:pPr>
            <w:r>
              <w:rPr>
                <w:sz w:val="18"/>
              </w:rPr>
              <w:t>No</w:t>
            </w:r>
          </w:p>
        </w:tc>
        <w:tc>
          <w:tcPr>
            <w:tcW w:w="1788" w:type="dxa"/>
          </w:tcPr>
          <w:p>
            <w:pPr>
              <w:pStyle w:val="TableParagraph"/>
              <w:spacing w:before="67"/>
              <w:ind w:left="112" w:right="107"/>
              <w:jc w:val="center"/>
              <w:rPr>
                <w:sz w:val="18"/>
              </w:rPr>
            </w:pPr>
            <w:r>
              <w:rPr>
                <w:sz w:val="18"/>
              </w:rPr>
              <w:t>No</w:t>
            </w:r>
          </w:p>
        </w:tc>
      </w:tr>
      <w:tr>
        <w:trPr>
          <w:trHeight w:val="573" w:hRule="atLeast"/>
        </w:trPr>
        <w:tc>
          <w:tcPr>
            <w:tcW w:w="3461" w:type="dxa"/>
          </w:tcPr>
          <w:p>
            <w:pPr>
              <w:pStyle w:val="TableParagraph"/>
              <w:spacing w:before="177"/>
              <w:ind w:left="114"/>
              <w:rPr>
                <w:sz w:val="18"/>
              </w:rPr>
            </w:pPr>
            <w:r>
              <w:rPr>
                <w:sz w:val="18"/>
              </w:rPr>
              <w:t>Article 6</w:t>
            </w:r>
          </w:p>
        </w:tc>
        <w:tc>
          <w:tcPr>
            <w:tcW w:w="1788" w:type="dxa"/>
          </w:tcPr>
          <w:p>
            <w:pPr>
              <w:pStyle w:val="TableParagraph"/>
              <w:spacing w:before="177"/>
              <w:ind w:left="111" w:right="107"/>
              <w:jc w:val="center"/>
              <w:rPr>
                <w:sz w:val="18"/>
              </w:rPr>
            </w:pPr>
            <w:r>
              <w:rPr>
                <w:sz w:val="18"/>
              </w:rPr>
              <w:t>No</w:t>
            </w:r>
          </w:p>
        </w:tc>
        <w:tc>
          <w:tcPr>
            <w:tcW w:w="1788" w:type="dxa"/>
          </w:tcPr>
          <w:p>
            <w:pPr>
              <w:pStyle w:val="TableParagraph"/>
              <w:spacing w:before="177"/>
              <w:ind w:left="66" w:right="107"/>
              <w:jc w:val="center"/>
              <w:rPr>
                <w:sz w:val="18"/>
              </w:rPr>
            </w:pPr>
            <w:r>
              <w:rPr>
                <w:sz w:val="18"/>
              </w:rPr>
              <w:t>Yes</w:t>
            </w:r>
          </w:p>
        </w:tc>
        <w:tc>
          <w:tcPr>
            <w:tcW w:w="1788" w:type="dxa"/>
          </w:tcPr>
          <w:p>
            <w:pPr>
              <w:pStyle w:val="TableParagraph"/>
              <w:spacing w:before="74"/>
              <w:ind w:left="426" w:right="348" w:hanging="46"/>
              <w:rPr>
                <w:sz w:val="18"/>
              </w:rPr>
            </w:pPr>
            <w:r>
              <w:rPr>
                <w:sz w:val="18"/>
              </w:rPr>
              <w:t>Yes for Forest Management</w:t>
            </w:r>
          </w:p>
        </w:tc>
      </w:tr>
      <w:tr>
        <w:trPr>
          <w:trHeight w:val="570" w:hRule="atLeast"/>
        </w:trPr>
        <w:tc>
          <w:tcPr>
            <w:tcW w:w="3461" w:type="dxa"/>
          </w:tcPr>
          <w:p>
            <w:pPr>
              <w:pStyle w:val="TableParagraph"/>
              <w:spacing w:line="207" w:lineRule="exact" w:before="74"/>
              <w:ind w:left="114"/>
              <w:rPr>
                <w:sz w:val="18"/>
              </w:rPr>
            </w:pPr>
            <w:r>
              <w:rPr>
                <w:sz w:val="18"/>
              </w:rPr>
              <w:t>Article 12</w:t>
            </w:r>
          </w:p>
          <w:p>
            <w:pPr>
              <w:pStyle w:val="TableParagraph"/>
              <w:spacing w:line="207" w:lineRule="exact"/>
              <w:ind w:left="114"/>
              <w:rPr>
                <w:sz w:val="18"/>
              </w:rPr>
            </w:pPr>
            <w:r>
              <w:rPr>
                <w:sz w:val="18"/>
              </w:rPr>
              <w:t>(Clean Development Mechanism)</w:t>
            </w:r>
          </w:p>
        </w:tc>
        <w:tc>
          <w:tcPr>
            <w:tcW w:w="1788" w:type="dxa"/>
          </w:tcPr>
          <w:p>
            <w:pPr>
              <w:pStyle w:val="TableParagraph"/>
              <w:spacing w:before="177"/>
              <w:ind w:left="111" w:right="107"/>
              <w:jc w:val="center"/>
              <w:rPr>
                <w:sz w:val="18"/>
              </w:rPr>
            </w:pPr>
            <w:r>
              <w:rPr>
                <w:sz w:val="18"/>
              </w:rPr>
              <w:t>No</w:t>
            </w:r>
          </w:p>
        </w:tc>
        <w:tc>
          <w:tcPr>
            <w:tcW w:w="1788" w:type="dxa"/>
          </w:tcPr>
          <w:p>
            <w:pPr>
              <w:pStyle w:val="TableParagraph"/>
              <w:spacing w:before="177"/>
              <w:ind w:left="58" w:right="107"/>
              <w:jc w:val="center"/>
              <w:rPr>
                <w:sz w:val="18"/>
              </w:rPr>
            </w:pPr>
            <w:r>
              <w:rPr>
                <w:sz w:val="18"/>
              </w:rPr>
              <w:t>Yes</w:t>
            </w:r>
          </w:p>
        </w:tc>
        <w:tc>
          <w:tcPr>
            <w:tcW w:w="1788" w:type="dxa"/>
          </w:tcPr>
          <w:p>
            <w:pPr>
              <w:pStyle w:val="TableParagraph"/>
              <w:spacing w:before="177"/>
              <w:ind w:left="113" w:right="107"/>
              <w:jc w:val="center"/>
              <w:rPr>
                <w:sz w:val="18"/>
              </w:rPr>
            </w:pPr>
            <w:r>
              <w:rPr>
                <w:sz w:val="18"/>
              </w:rPr>
              <w:t>Yes</w:t>
            </w:r>
          </w:p>
        </w:tc>
      </w:tr>
    </w:tbl>
    <w:p>
      <w:pPr>
        <w:pStyle w:val="BodyText"/>
        <w:spacing w:before="11"/>
        <w:rPr>
          <w:i/>
          <w:sz w:val="23"/>
        </w:rPr>
      </w:pPr>
    </w:p>
    <w:p>
      <w:pPr>
        <w:pStyle w:val="Heading2"/>
        <w:numPr>
          <w:ilvl w:val="2"/>
          <w:numId w:val="125"/>
        </w:numPr>
        <w:tabs>
          <w:tab w:pos="1361" w:val="left" w:leader="none"/>
          <w:tab w:pos="1362" w:val="left" w:leader="none"/>
        </w:tabs>
        <w:spacing w:line="240" w:lineRule="auto" w:before="85" w:after="0"/>
        <w:ind w:left="1361" w:right="434" w:hanging="1202"/>
        <w:jc w:val="left"/>
      </w:pPr>
      <w:r>
        <w:rPr>
          <w:spacing w:val="8"/>
        </w:rPr>
        <w:t>General </w:t>
      </w:r>
      <w:r>
        <w:rPr>
          <w:spacing w:val="7"/>
        </w:rPr>
        <w:t>rules for </w:t>
      </w:r>
      <w:r>
        <w:rPr>
          <w:spacing w:val="8"/>
        </w:rPr>
        <w:t>categorisation </w:t>
      </w:r>
      <w:r>
        <w:rPr>
          <w:spacing w:val="4"/>
        </w:rPr>
        <w:t>of </w:t>
      </w:r>
      <w:r>
        <w:rPr>
          <w:spacing w:val="7"/>
        </w:rPr>
        <w:t>land areas </w:t>
      </w:r>
      <w:r>
        <w:rPr>
          <w:spacing w:val="10"/>
        </w:rPr>
        <w:t>under </w:t>
      </w:r>
      <w:r>
        <w:rPr>
          <w:spacing w:val="8"/>
        </w:rPr>
        <w:t>Articles </w:t>
      </w:r>
      <w:r>
        <w:rPr>
          <w:spacing w:val="6"/>
        </w:rPr>
        <w:t>3.3 and</w:t>
      </w:r>
      <w:r>
        <w:rPr>
          <w:spacing w:val="48"/>
        </w:rPr>
        <w:t> </w:t>
      </w:r>
      <w:r>
        <w:rPr>
          <w:spacing w:val="6"/>
        </w:rPr>
        <w:t>3.4</w:t>
      </w:r>
    </w:p>
    <w:p>
      <w:pPr>
        <w:pStyle w:val="BodyText"/>
        <w:spacing w:before="113"/>
        <w:ind w:left="159" w:right="165"/>
        <w:jc w:val="both"/>
      </w:pPr>
      <w:r>
        <w:rPr/>
        <w:t>Chapter 2 (Basis for consistent representation of land areas) describes approaches to classifying and representing land areas associated with LULUCF activities. This is the basis for the </w:t>
      </w:r>
      <w:r>
        <w:rPr>
          <w:i/>
        </w:rPr>
        <w:t>good practice </w:t>
      </w:r>
      <w:r>
        <w:rPr/>
        <w:t>guidance in Chapter 4 for identifying all relevant lands, for Kyoto reporting and for avoiding double counting of lands. It is </w:t>
      </w:r>
      <w:r>
        <w:rPr>
          <w:i/>
        </w:rPr>
        <w:t>good practice </w:t>
      </w:r>
      <w:r>
        <w:rPr/>
        <w:t>to follow the decision tree in Figure 4.1.1 for each year of the commitment period in order to</w:t>
      </w:r>
    </w:p>
    <w:p>
      <w:pPr>
        <w:pStyle w:val="BodyText"/>
        <w:spacing w:line="232" w:lineRule="auto" w:before="139"/>
        <w:ind w:left="519" w:right="165" w:hanging="360"/>
        <w:jc w:val="both"/>
      </w:pPr>
      <w:r>
        <w:rPr>
          <w:rFonts w:ascii="Symbol" w:hAnsi="Symbol"/>
        </w:rPr>
        <w:t>• </w:t>
      </w:r>
      <w:r>
        <w:rPr/>
        <w:t>Distinguish between afforestation and reforestation, deforestation, forest  management,  cropland  management, grazing land management and revegetation activities under Articles 3.3 and 3.4, as well as to remove potential overlaps and gaps between them; and</w:t>
      </w:r>
      <w:r>
        <w:rPr>
          <w:spacing w:val="-1"/>
        </w:rPr>
        <w:t> </w:t>
      </w:r>
      <w:r>
        <w:rPr/>
        <w:t>to</w:t>
      </w:r>
    </w:p>
    <w:p>
      <w:pPr>
        <w:pStyle w:val="BodyText"/>
        <w:spacing w:line="235" w:lineRule="auto" w:before="97"/>
        <w:ind w:left="519" w:right="164" w:hanging="360"/>
        <w:jc w:val="both"/>
      </w:pPr>
      <w:r>
        <w:rPr>
          <w:rFonts w:ascii="Symbol" w:hAnsi="Symbol"/>
        </w:rPr>
        <w:t>• </w:t>
      </w:r>
      <w:r>
        <w:rPr/>
        <w:t>Assign lands to a single activity at any given point in time (i.e., for each year of the commitment period 2008-2012). This is required because of the possible land-use changes which can lead to double counting of units of lands / lands subject to Articles 3.3 and/or 3.4. Additional guidance on how to deal with shifts in land use over time is given in the examples of Box 4.1.1 at the end of this section.</w:t>
      </w:r>
    </w:p>
    <w:p>
      <w:pPr>
        <w:pStyle w:val="BodyText"/>
        <w:spacing w:before="77"/>
        <w:ind w:left="159" w:right="163"/>
        <w:jc w:val="both"/>
      </w:pPr>
      <w:r>
        <w:rPr/>
        <w:t>The decision tree in Figure 4.1.1 is based on Marrakesh Accords (MA) definitions and it identifies a single activity for a given year X of the commitment period under which the land should be reported. The decision tree recognises that a given piece of land could be reported under different activities over time, subject to certain conditions explained below. The decision tree is to be applied annually during the commitment period in order to update the allocation of lands to activities, thus taking into account shifts in land use that may have occurred. This may be achieved by annual tracking of land or by</w:t>
      </w:r>
      <w:r>
        <w:rPr>
          <w:spacing w:val="-12"/>
        </w:rPr>
        <w:t> </w:t>
      </w:r>
      <w:r>
        <w:rPr/>
        <w:t>interpolation.</w:t>
      </w:r>
    </w:p>
    <w:p>
      <w:pPr>
        <w:pStyle w:val="BodyText"/>
        <w:spacing w:before="118"/>
        <w:ind w:left="159" w:right="163"/>
        <w:jc w:val="both"/>
      </w:pPr>
      <w:r>
        <w:rPr/>
        <w:t>There are two main branches in the decision tree in Figure 4.1.1. If a unit of land was subject to an afforestation, reforestation or deforestation activity since 1990, then in addition, if a Party has elected one or more Article 3.4 activities, then the questions in the right branch should be answered to determine whether the land was also subject to an elected Article 3.4 activity (secondary classification). This is needed to fulfil the reporting needs of the Marrakesh Accords </w:t>
      </w:r>
      <w:r>
        <w:rPr>
          <w:vertAlign w:val="superscript"/>
        </w:rPr>
        <w:t>11</w:t>
      </w:r>
      <w:r>
        <w:rPr>
          <w:vertAlign w:val="baseline"/>
        </w:rPr>
        <w:t> and to demonstrate that there is no double counting (which could occur if full enumeration was not applied). More detailed decision trees to determine whether or not land or a unit of land is subject to specific activities are presented in Sections 4.2.5 through 4.2.10.</w:t>
      </w:r>
    </w:p>
    <w:p>
      <w:pPr>
        <w:pStyle w:val="BodyText"/>
      </w:pPr>
    </w:p>
    <w:p>
      <w:pPr>
        <w:pStyle w:val="BodyText"/>
        <w:spacing w:before="8"/>
        <w:rPr>
          <w:sz w:val="11"/>
        </w:rPr>
      </w:pPr>
      <w:r>
        <w:rPr/>
        <w:pict>
          <v:line style="position:absolute;mso-position-horizontal-relative:page;mso-position-vertical-relative:paragraph;z-index:16928;mso-wrap-distance-left:0;mso-wrap-distance-right:0" from="70.960999pt,8.928105pt" to="214.960999pt,8.928105pt" stroked="true" strokeweight=".48pt" strokecolor="#000000">
            <v:stroke dashstyle="solid"/>
            <w10:wrap type="topAndBottom"/>
          </v:line>
        </w:pict>
      </w:r>
    </w:p>
    <w:p>
      <w:pPr>
        <w:spacing w:before="150"/>
        <w:ind w:left="317" w:right="166" w:hanging="159"/>
        <w:jc w:val="left"/>
        <w:rPr>
          <w:sz w:val="18"/>
        </w:rPr>
      </w:pPr>
      <w:r>
        <w:rPr>
          <w:position w:val="8"/>
          <w:sz w:val="12"/>
        </w:rPr>
        <w:t>9 </w:t>
      </w:r>
      <w:r>
        <w:rPr>
          <w:sz w:val="18"/>
        </w:rPr>
        <w:t>Net-net accounting refers to the provisions of paragraph 9 of the Annex to draft decision -/CMP.1 (Land use, land-use change and forestry) contained in document FCCC/CP/2001/13/Add.1, p.59-60.</w:t>
      </w:r>
    </w:p>
    <w:p>
      <w:pPr>
        <w:spacing w:before="98"/>
        <w:ind w:left="317" w:right="166" w:hanging="159"/>
        <w:jc w:val="left"/>
        <w:rPr>
          <w:sz w:val="18"/>
        </w:rPr>
      </w:pPr>
      <w:r>
        <w:rPr>
          <w:position w:val="8"/>
          <w:sz w:val="12"/>
        </w:rPr>
        <w:t>10 </w:t>
      </w:r>
      <w:r>
        <w:rPr>
          <w:sz w:val="18"/>
        </w:rPr>
        <w:t>See paragraphs 10 to 12 and 14 of the Annex to draft decision -/CMP.1 (Land use, land-use change and forestry) contained in document FCCC/CP/2001/13/Add.1, p.60-61.</w:t>
      </w:r>
    </w:p>
    <w:p>
      <w:pPr>
        <w:spacing w:before="95"/>
        <w:ind w:left="317" w:right="0" w:hanging="159"/>
        <w:jc w:val="left"/>
        <w:rPr>
          <w:sz w:val="18"/>
        </w:rPr>
      </w:pPr>
      <w:r>
        <w:rPr>
          <w:position w:val="8"/>
          <w:sz w:val="12"/>
        </w:rPr>
        <w:t>11 </w:t>
      </w:r>
      <w:r>
        <w:rPr>
          <w:sz w:val="18"/>
        </w:rPr>
        <w:t>Paragraph 6 (b), bullet (ii) in the Annex to draft decision -/CMP.1 (Article 7), contained in document FCCC/CP/2001/13/Add.3, p.22:</w:t>
      </w:r>
    </w:p>
    <w:p>
      <w:pPr>
        <w:pStyle w:val="ListParagraph"/>
        <w:numPr>
          <w:ilvl w:val="1"/>
          <w:numId w:val="96"/>
        </w:numPr>
        <w:tabs>
          <w:tab w:pos="485" w:val="left" w:leader="none"/>
        </w:tabs>
        <w:spacing w:line="240" w:lineRule="auto" w:before="118" w:after="0"/>
        <w:ind w:left="442" w:right="166" w:hanging="142"/>
        <w:jc w:val="left"/>
        <w:rPr>
          <w:i/>
          <w:sz w:val="18"/>
        </w:rPr>
      </w:pPr>
      <w:r>
        <w:rPr>
          <w:i/>
          <w:sz w:val="18"/>
        </w:rPr>
        <w:t>General information to be reported for activities under Article 3, paragraph 3, and any elected activities under Article 3, paragraph 4, shall</w:t>
      </w:r>
      <w:r>
        <w:rPr>
          <w:i/>
          <w:spacing w:val="-3"/>
          <w:sz w:val="18"/>
        </w:rPr>
        <w:t> </w:t>
      </w:r>
      <w:r>
        <w:rPr>
          <w:i/>
          <w:sz w:val="18"/>
        </w:rPr>
        <w:t>include:[…]</w:t>
      </w:r>
    </w:p>
    <w:p>
      <w:pPr>
        <w:spacing w:before="62"/>
        <w:ind w:left="567" w:right="0" w:firstLine="0"/>
        <w:jc w:val="left"/>
        <w:rPr>
          <w:i/>
          <w:sz w:val="18"/>
        </w:rPr>
      </w:pPr>
      <w:r>
        <w:rPr>
          <w:i/>
          <w:sz w:val="18"/>
        </w:rPr>
        <w:t>(b) The geographical boundaries of the areas that encompass:</w:t>
      </w:r>
    </w:p>
    <w:p>
      <w:pPr>
        <w:pStyle w:val="ListParagraph"/>
        <w:numPr>
          <w:ilvl w:val="0"/>
          <w:numId w:val="126"/>
        </w:numPr>
        <w:tabs>
          <w:tab w:pos="827" w:val="left" w:leader="none"/>
        </w:tabs>
        <w:spacing w:line="207" w:lineRule="exact" w:before="59" w:after="0"/>
        <w:ind w:left="826" w:right="0" w:hanging="214"/>
        <w:jc w:val="left"/>
        <w:rPr>
          <w:i/>
          <w:sz w:val="18"/>
        </w:rPr>
      </w:pPr>
      <w:r>
        <w:rPr>
          <w:i/>
          <w:sz w:val="18"/>
        </w:rPr>
        <w:t>Units of land subject to activities under Article 3, paragraph</w:t>
      </w:r>
      <w:r>
        <w:rPr>
          <w:i/>
          <w:spacing w:val="-5"/>
          <w:sz w:val="18"/>
        </w:rPr>
        <w:t> </w:t>
      </w:r>
      <w:r>
        <w:rPr>
          <w:i/>
          <w:sz w:val="18"/>
        </w:rPr>
        <w:t>3;</w:t>
      </w:r>
    </w:p>
    <w:p>
      <w:pPr>
        <w:pStyle w:val="ListParagraph"/>
        <w:numPr>
          <w:ilvl w:val="0"/>
          <w:numId w:val="126"/>
        </w:numPr>
        <w:tabs>
          <w:tab w:pos="859" w:val="left" w:leader="none"/>
        </w:tabs>
        <w:spacing w:line="240" w:lineRule="auto" w:before="0" w:after="0"/>
        <w:ind w:left="730" w:right="161" w:hanging="144"/>
        <w:jc w:val="left"/>
        <w:rPr>
          <w:i/>
          <w:sz w:val="18"/>
        </w:rPr>
      </w:pPr>
      <w:r>
        <w:rPr>
          <w:i/>
          <w:sz w:val="18"/>
        </w:rPr>
        <w:t>Units of land subject to activities under Article 3, paragraph 3, which would otherwise be included in land subject to</w:t>
      </w:r>
      <w:r>
        <w:rPr>
          <w:i/>
          <w:spacing w:val="19"/>
          <w:sz w:val="18"/>
        </w:rPr>
        <w:t> </w:t>
      </w:r>
      <w:r>
        <w:rPr>
          <w:i/>
          <w:sz w:val="18"/>
        </w:rPr>
        <w:t>elected</w:t>
      </w:r>
      <w:r>
        <w:rPr>
          <w:i/>
          <w:spacing w:val="21"/>
          <w:sz w:val="18"/>
        </w:rPr>
        <w:t> </w:t>
      </w:r>
      <w:r>
        <w:rPr>
          <w:i/>
          <w:sz w:val="18"/>
        </w:rPr>
        <w:t>activities</w:t>
      </w:r>
      <w:r>
        <w:rPr>
          <w:i/>
          <w:spacing w:val="20"/>
          <w:sz w:val="18"/>
        </w:rPr>
        <w:t> </w:t>
      </w:r>
      <w:r>
        <w:rPr>
          <w:i/>
          <w:sz w:val="18"/>
        </w:rPr>
        <w:t>under</w:t>
      </w:r>
      <w:r>
        <w:rPr>
          <w:i/>
          <w:spacing w:val="20"/>
          <w:sz w:val="18"/>
        </w:rPr>
        <w:t> </w:t>
      </w:r>
      <w:r>
        <w:rPr>
          <w:i/>
          <w:sz w:val="18"/>
        </w:rPr>
        <w:t>Article</w:t>
      </w:r>
      <w:r>
        <w:rPr>
          <w:i/>
          <w:spacing w:val="19"/>
          <w:sz w:val="18"/>
        </w:rPr>
        <w:t> </w:t>
      </w:r>
      <w:r>
        <w:rPr>
          <w:i/>
          <w:sz w:val="18"/>
        </w:rPr>
        <w:t>3,</w:t>
      </w:r>
      <w:r>
        <w:rPr>
          <w:i/>
          <w:spacing w:val="19"/>
          <w:sz w:val="18"/>
        </w:rPr>
        <w:t> </w:t>
      </w:r>
      <w:r>
        <w:rPr>
          <w:i/>
          <w:sz w:val="18"/>
        </w:rPr>
        <w:t>paragraph</w:t>
      </w:r>
      <w:r>
        <w:rPr>
          <w:i/>
          <w:spacing w:val="20"/>
          <w:sz w:val="18"/>
        </w:rPr>
        <w:t> </w:t>
      </w:r>
      <w:r>
        <w:rPr>
          <w:i/>
          <w:sz w:val="18"/>
        </w:rPr>
        <w:t>4,</w:t>
      </w:r>
      <w:r>
        <w:rPr>
          <w:i/>
          <w:spacing w:val="20"/>
          <w:sz w:val="18"/>
        </w:rPr>
        <w:t> </w:t>
      </w:r>
      <w:r>
        <w:rPr>
          <w:i/>
          <w:sz w:val="18"/>
        </w:rPr>
        <w:t>under</w:t>
      </w:r>
      <w:r>
        <w:rPr>
          <w:i/>
          <w:spacing w:val="20"/>
          <w:sz w:val="18"/>
        </w:rPr>
        <w:t> </w:t>
      </w:r>
      <w:r>
        <w:rPr>
          <w:i/>
          <w:sz w:val="18"/>
        </w:rPr>
        <w:t>the</w:t>
      </w:r>
      <w:r>
        <w:rPr>
          <w:i/>
          <w:spacing w:val="19"/>
          <w:sz w:val="18"/>
        </w:rPr>
        <w:t> </w:t>
      </w:r>
      <w:r>
        <w:rPr>
          <w:i/>
          <w:sz w:val="18"/>
        </w:rPr>
        <w:t>provisions</w:t>
      </w:r>
      <w:r>
        <w:rPr>
          <w:i/>
          <w:spacing w:val="20"/>
          <w:sz w:val="18"/>
        </w:rPr>
        <w:t> </w:t>
      </w:r>
      <w:r>
        <w:rPr>
          <w:i/>
          <w:sz w:val="18"/>
        </w:rPr>
        <w:t>of</w:t>
      </w:r>
      <w:r>
        <w:rPr>
          <w:i/>
          <w:spacing w:val="17"/>
          <w:sz w:val="18"/>
        </w:rPr>
        <w:t> </w:t>
      </w:r>
      <w:r>
        <w:rPr>
          <w:i/>
          <w:sz w:val="18"/>
        </w:rPr>
        <w:t>paragraph</w:t>
      </w:r>
      <w:r>
        <w:rPr>
          <w:i/>
          <w:spacing w:val="20"/>
          <w:sz w:val="18"/>
        </w:rPr>
        <w:t> </w:t>
      </w:r>
      <w:r>
        <w:rPr>
          <w:i/>
          <w:sz w:val="18"/>
        </w:rPr>
        <w:t>8</w:t>
      </w:r>
      <w:r>
        <w:rPr>
          <w:i/>
          <w:spacing w:val="18"/>
          <w:sz w:val="18"/>
        </w:rPr>
        <w:t> </w:t>
      </w:r>
      <w:r>
        <w:rPr>
          <w:i/>
          <w:sz w:val="18"/>
        </w:rPr>
        <w:t>of</w:t>
      </w:r>
      <w:r>
        <w:rPr>
          <w:i/>
          <w:spacing w:val="20"/>
          <w:sz w:val="18"/>
        </w:rPr>
        <w:t> </w:t>
      </w:r>
      <w:r>
        <w:rPr>
          <w:i/>
          <w:sz w:val="18"/>
        </w:rPr>
        <w:t>the</w:t>
      </w:r>
      <w:r>
        <w:rPr>
          <w:i/>
          <w:spacing w:val="19"/>
          <w:sz w:val="18"/>
        </w:rPr>
        <w:t> </w:t>
      </w:r>
      <w:r>
        <w:rPr>
          <w:i/>
          <w:sz w:val="18"/>
        </w:rPr>
        <w:t>annex</w:t>
      </w:r>
      <w:r>
        <w:rPr>
          <w:i/>
          <w:spacing w:val="19"/>
          <w:sz w:val="18"/>
        </w:rPr>
        <w:t> </w:t>
      </w:r>
      <w:r>
        <w:rPr>
          <w:i/>
          <w:sz w:val="18"/>
        </w:rPr>
        <w:t>to</w:t>
      </w:r>
      <w:r>
        <w:rPr>
          <w:i/>
          <w:spacing w:val="20"/>
          <w:sz w:val="18"/>
        </w:rPr>
        <w:t> </w:t>
      </w:r>
      <w:r>
        <w:rPr>
          <w:i/>
          <w:sz w:val="18"/>
        </w:rPr>
        <w:t>decision</w:t>
      </w:r>
      <w:r>
        <w:rPr>
          <w:i/>
          <w:spacing w:val="20"/>
          <w:sz w:val="18"/>
        </w:rPr>
        <w:t> </w:t>
      </w:r>
      <w:r>
        <w:rPr>
          <w:i/>
          <w:sz w:val="18"/>
        </w:rPr>
        <w:t>-</w:t>
      </w:r>
    </w:p>
    <w:p>
      <w:pPr>
        <w:spacing w:line="206" w:lineRule="exact" w:before="0"/>
        <w:ind w:left="730" w:right="0" w:firstLine="0"/>
        <w:jc w:val="left"/>
        <w:rPr>
          <w:i/>
          <w:sz w:val="18"/>
        </w:rPr>
      </w:pPr>
      <w:r>
        <w:rPr>
          <w:i/>
          <w:sz w:val="18"/>
        </w:rPr>
        <w:t>/CMP.1 (Land use, land-use change and forestry); and</w:t>
      </w:r>
    </w:p>
    <w:p>
      <w:pPr>
        <w:pStyle w:val="ListParagraph"/>
        <w:numPr>
          <w:ilvl w:val="0"/>
          <w:numId w:val="126"/>
        </w:numPr>
        <w:tabs>
          <w:tab w:pos="884" w:val="left" w:leader="none"/>
        </w:tabs>
        <w:spacing w:line="240" w:lineRule="auto" w:before="2" w:after="0"/>
        <w:ind w:left="883" w:right="0" w:hanging="316"/>
        <w:jc w:val="left"/>
        <w:rPr>
          <w:sz w:val="18"/>
        </w:rPr>
      </w:pPr>
      <w:r>
        <w:rPr>
          <w:i/>
          <w:sz w:val="18"/>
        </w:rPr>
        <w:t>Land subject to elected activities under Article 3, paragraph</w:t>
      </w:r>
      <w:r>
        <w:rPr>
          <w:i/>
          <w:spacing w:val="-1"/>
          <w:sz w:val="18"/>
        </w:rPr>
        <w:t> </w:t>
      </w:r>
      <w:r>
        <w:rPr>
          <w:i/>
          <w:sz w:val="18"/>
        </w:rPr>
        <w:t>4</w:t>
      </w:r>
      <w:r>
        <w:rPr>
          <w:sz w:val="18"/>
        </w:rPr>
        <w:t>.</w:t>
      </w:r>
    </w:p>
    <w:p>
      <w:pPr>
        <w:spacing w:after="0" w:line="240" w:lineRule="auto"/>
        <w:jc w:val="left"/>
        <w:rPr>
          <w:sz w:val="18"/>
        </w:rPr>
        <w:sectPr>
          <w:pgSz w:w="11900" w:h="16840"/>
          <w:pgMar w:header="230" w:footer="408" w:top="560" w:bottom="600" w:left="1260" w:right="1240"/>
        </w:sectPr>
      </w:pPr>
    </w:p>
    <w:p>
      <w:pPr>
        <w:pStyle w:val="BodyText"/>
      </w:pPr>
    </w:p>
    <w:p>
      <w:pPr>
        <w:pStyle w:val="BodyText"/>
        <w:rPr>
          <w:sz w:val="19"/>
        </w:rPr>
      </w:pPr>
    </w:p>
    <w:p>
      <w:pPr>
        <w:tabs>
          <w:tab w:pos="1860" w:val="left" w:leader="none"/>
        </w:tabs>
        <w:spacing w:line="242" w:lineRule="auto" w:before="91"/>
        <w:ind w:left="1860" w:right="532" w:hanging="1702"/>
        <w:jc w:val="left"/>
        <w:rPr>
          <w:b/>
          <w:sz w:val="20"/>
        </w:rPr>
      </w:pPr>
      <w:r>
        <w:rPr>
          <w:b/>
          <w:spacing w:val="8"/>
          <w:sz w:val="20"/>
        </w:rPr>
        <w:t>Figure</w:t>
      </w:r>
      <w:r>
        <w:rPr>
          <w:b/>
          <w:spacing w:val="18"/>
          <w:sz w:val="20"/>
        </w:rPr>
        <w:t> </w:t>
      </w:r>
      <w:r>
        <w:rPr>
          <w:b/>
          <w:spacing w:val="8"/>
          <w:sz w:val="20"/>
        </w:rPr>
        <w:t>4.1.1</w:t>
        <w:tab/>
        <w:t>Decision tree </w:t>
      </w:r>
      <w:r>
        <w:rPr>
          <w:b/>
          <w:spacing w:val="6"/>
          <w:sz w:val="20"/>
        </w:rPr>
        <w:t>for </w:t>
      </w:r>
      <w:r>
        <w:rPr>
          <w:b/>
          <w:spacing w:val="9"/>
          <w:sz w:val="20"/>
        </w:rPr>
        <w:t>classifying </w:t>
      </w:r>
      <w:r>
        <w:rPr>
          <w:b/>
          <w:sz w:val="20"/>
        </w:rPr>
        <w:t>a </w:t>
      </w:r>
      <w:r>
        <w:rPr>
          <w:b/>
          <w:spacing w:val="7"/>
          <w:sz w:val="20"/>
        </w:rPr>
        <w:t>unit </w:t>
      </w:r>
      <w:r>
        <w:rPr>
          <w:b/>
          <w:spacing w:val="5"/>
          <w:sz w:val="20"/>
        </w:rPr>
        <w:t>of </w:t>
      </w:r>
      <w:r>
        <w:rPr>
          <w:b/>
          <w:spacing w:val="7"/>
          <w:sz w:val="20"/>
        </w:rPr>
        <w:t>land under </w:t>
      </w:r>
      <w:r>
        <w:rPr>
          <w:b/>
          <w:spacing w:val="8"/>
          <w:sz w:val="20"/>
        </w:rPr>
        <w:t>Article </w:t>
      </w:r>
      <w:r>
        <w:rPr>
          <w:b/>
          <w:spacing w:val="6"/>
          <w:sz w:val="20"/>
        </w:rPr>
        <w:t>3.3 </w:t>
      </w:r>
      <w:r>
        <w:rPr>
          <w:b/>
          <w:spacing w:val="8"/>
          <w:sz w:val="20"/>
        </w:rPr>
        <w:t>(ARD) </w:t>
      </w:r>
      <w:r>
        <w:rPr>
          <w:b/>
          <w:spacing w:val="5"/>
          <w:sz w:val="20"/>
        </w:rPr>
        <w:t>or </w:t>
      </w:r>
      <w:r>
        <w:rPr>
          <w:b/>
          <w:spacing w:val="9"/>
          <w:sz w:val="20"/>
        </w:rPr>
        <w:t>land </w:t>
      </w:r>
      <w:r>
        <w:rPr>
          <w:b/>
          <w:spacing w:val="7"/>
          <w:sz w:val="20"/>
        </w:rPr>
        <w:t>under </w:t>
      </w:r>
      <w:r>
        <w:rPr>
          <w:b/>
          <w:spacing w:val="8"/>
          <w:sz w:val="20"/>
        </w:rPr>
        <w:t>Article </w:t>
      </w:r>
      <w:r>
        <w:rPr>
          <w:b/>
          <w:spacing w:val="6"/>
          <w:sz w:val="20"/>
        </w:rPr>
        <w:t>3.4 </w:t>
      </w:r>
      <w:r>
        <w:rPr>
          <w:b/>
          <w:spacing w:val="8"/>
          <w:sz w:val="20"/>
        </w:rPr>
        <w:t>(FM, </w:t>
      </w:r>
      <w:r>
        <w:rPr>
          <w:b/>
          <w:spacing w:val="7"/>
          <w:sz w:val="20"/>
        </w:rPr>
        <w:t>CM, </w:t>
      </w:r>
      <w:r>
        <w:rPr>
          <w:b/>
          <w:spacing w:val="4"/>
          <w:sz w:val="20"/>
        </w:rPr>
        <w:t>GM </w:t>
      </w:r>
      <w:r>
        <w:rPr>
          <w:b/>
          <w:spacing w:val="6"/>
          <w:sz w:val="20"/>
        </w:rPr>
        <w:t>and RV) </w:t>
      </w:r>
      <w:r>
        <w:rPr>
          <w:b/>
          <w:spacing w:val="5"/>
          <w:sz w:val="20"/>
        </w:rPr>
        <w:t>as of </w:t>
      </w:r>
      <w:r>
        <w:rPr>
          <w:b/>
          <w:spacing w:val="7"/>
          <w:sz w:val="20"/>
        </w:rPr>
        <w:t>year </w:t>
      </w:r>
      <w:r>
        <w:rPr>
          <w:b/>
          <w:sz w:val="20"/>
        </w:rPr>
        <w:t>X </w:t>
      </w:r>
      <w:r>
        <w:rPr>
          <w:b/>
          <w:spacing w:val="5"/>
          <w:sz w:val="20"/>
        </w:rPr>
        <w:t>of </w:t>
      </w:r>
      <w:r>
        <w:rPr>
          <w:b/>
          <w:spacing w:val="6"/>
          <w:sz w:val="20"/>
        </w:rPr>
        <w:t>the </w:t>
      </w:r>
      <w:r>
        <w:rPr>
          <w:b/>
          <w:spacing w:val="9"/>
          <w:sz w:val="20"/>
        </w:rPr>
        <w:t>commitment </w:t>
      </w:r>
      <w:r>
        <w:rPr>
          <w:b/>
          <w:spacing w:val="8"/>
          <w:sz w:val="20"/>
        </w:rPr>
        <w:t>period (2008, 2009, </w:t>
      </w:r>
      <w:r>
        <w:rPr>
          <w:b/>
          <w:spacing w:val="4"/>
          <w:sz w:val="20"/>
        </w:rPr>
        <w:t>…,</w:t>
      </w:r>
      <w:r>
        <w:rPr>
          <w:b/>
          <w:spacing w:val="55"/>
          <w:sz w:val="20"/>
        </w:rPr>
        <w:t> </w:t>
      </w:r>
      <w:r>
        <w:rPr>
          <w:b/>
          <w:spacing w:val="9"/>
          <w:sz w:val="20"/>
        </w:rPr>
        <w:t>2012)</w:t>
      </w:r>
    </w:p>
    <w:p>
      <w:pPr>
        <w:pStyle w:val="BodyText"/>
        <w:spacing w:before="8"/>
        <w:rPr>
          <w:b/>
          <w:sz w:val="26"/>
        </w:rPr>
      </w:pPr>
      <w:r>
        <w:rPr/>
        <w:pict>
          <v:group style="position:absolute;margin-left:78.386002pt;margin-top:17.354864pt;width:438.65pt;height:526.6pt;mso-position-horizontal-relative:page;mso-position-vertical-relative:paragraph;z-index:17744;mso-wrap-distance-left:0;mso-wrap-distance-right:0" coordorigin="1568,347" coordsize="8773,10532">
            <v:shape style="position:absolute;left:1834;top:1674;width:3260;height:1008" coordorigin="1834,1675" coordsize="3260,1008" path="m3464,1675l1834,2179,3464,2683,5094,2179,3464,1675xe" filled="false" stroked="true" strokeweight=".75pt" strokecolor="#010101">
              <v:path arrowok="t"/>
              <v:stroke dashstyle="solid"/>
            </v:shape>
            <v:shape style="position:absolute;left:1834;top:3126;width:3260;height:1044" coordorigin="1834,3127" coordsize="3260,1044" path="m3464,3127l1834,3647,3464,4171,5094,3647,3464,3127xe" filled="false" stroked="true" strokeweight=".75pt" strokecolor="#010101">
              <v:path arrowok="t"/>
              <v:stroke dashstyle="solid"/>
            </v:shape>
            <v:shape style="position:absolute;left:3406;top:2675;width:120;height:452" coordorigin="3406,2675" coordsize="120,452" path="m3459,3007l3406,3007,3466,3127,3513,3033,3462,3033,3459,3031,3459,3007xm3469,2675l3462,2675,3457,2678,3457,2683,3459,3007,3459,3031,3462,3033,3471,3033,3474,3031,3473,3007,3471,2683,3471,2678,3469,2675xm3526,3007l3473,3007,3474,3031,3471,3033,3513,3033,3526,3007xe" filled="true" fillcolor="#010101" stroked="false">
              <v:path arrowok="t"/>
              <v:fill type="solid"/>
            </v:shape>
            <v:shape style="position:absolute;left:5086;top:2123;width:3444;height:120" coordorigin="5086,2123" coordsize="3444,120" path="m8410,2191l8410,2243,8516,2191,8434,2191,8410,2191xm8410,2176l8410,2191,8434,2191,8439,2188,8439,2179,8434,2176,8410,2176xm8410,2123l8410,2176,8430,2176,8434,2176,8439,2179,8439,2188,8434,2191,8516,2191,8530,2183,8410,2123xm5094,2171l5091,2171,5086,2174,5086,2181,5091,2186,8410,2191,8410,2176,5094,2171xe" filled="true" fillcolor="#010101" stroked="false">
              <v:path arrowok="t"/>
              <v:fill type="solid"/>
            </v:shape>
            <v:shape style="position:absolute;left:5393;top:2901;width:2936;height:1479" coordorigin="5394,2901" coordsize="2936,1479" path="m6862,2901l5394,3640,6862,4379,8329,3640,6862,2901xe" filled="false" stroked="true" strokeweight=".75pt" strokecolor="#010101">
              <v:path arrowok="t"/>
              <v:stroke dashstyle="solid"/>
            </v:shape>
            <v:shape style="position:absolute;left:5086;top:3585;width:308;height:120" type="#_x0000_t75" stroked="false">
              <v:imagedata r:id="rId296" o:title=""/>
            </v:shape>
            <v:shape style="position:absolute;left:6855;top:2800;width:1676;height:120" coordorigin="6855,2800" coordsize="1676,120" path="m8410,2800l8410,2920,8516,2867,8434,2867,8439,2865,8439,2855,8434,2853,8516,2853,8410,2800xm8410,2853l6858,2853,6855,2855,6855,2906,6858,2908,6865,2908,6870,2906,6870,2867,6862,2867,6870,2860,8410,2860,8410,2853xm6870,2860l6862,2867,6870,2867,6870,2860xm8410,2860l6870,2860,6870,2867,8410,2867,8410,2860xm8516,2853l8434,2853,8439,2855,8439,2865,8434,2867,8516,2867,8530,2860,8516,2853xe" filled="true" fillcolor="#010101" stroked="false">
              <v:path arrowok="t"/>
              <v:fill type="solid"/>
            </v:shape>
            <v:shape style="position:absolute;left:8319;top:3580;width:212;height:120" type="#_x0000_t75" stroked="false">
              <v:imagedata r:id="rId297" o:title=""/>
            </v:shape>
            <v:shape style="position:absolute;left:1834;top:4674;width:3260;height:975" coordorigin="1834,4675" coordsize="3260,975" path="m3464,4675l1834,5162,3464,5649,5094,5162,3464,4675xe" filled="false" stroked="true" strokeweight=".75pt" strokecolor="#010101">
              <v:path arrowok="t"/>
              <v:stroke dashstyle="solid"/>
            </v:shape>
            <v:shape style="position:absolute;left:3406;top:4163;width:120;height:512" coordorigin="3406,4163" coordsize="120,512" path="m3459,4555l3406,4555,3466,4675,3513,4581,3462,4581,3459,4579,3459,4555xm3469,4163l3462,4163,3457,4166,3457,4171,3459,4555,3459,4579,3462,4581,3471,4581,3474,4579,3474,4555,3471,4171,3471,4166,3469,4163xm3526,4555l3474,4555,3474,4579,3471,4581,3513,4581,3526,4555xe" filled="true" fillcolor="#010101" stroked="false">
              <v:path arrowok="t"/>
              <v:fill type="solid"/>
            </v:shape>
            <v:shape style="position:absolute;left:6372;top:4674;width:3257;height:975" coordorigin="6373,4675" coordsize="3257,975" path="m8002,4675l6373,5162,8002,5649,9630,5162,8002,4675xe" filled="false" stroked="true" strokeweight=".75pt" strokecolor="#010101">
              <v:path arrowok="t"/>
              <v:stroke dashstyle="solid"/>
            </v:shape>
            <v:shape style="position:absolute;left:3401;top:5641;width:120;height:416" coordorigin="3402,5642" coordsize="120,416" path="m3454,5937l3402,5937,3462,6057,3508,5963,3457,5963,3454,5961,3454,5937xm3466,5642l3459,5642,3454,5647,3454,5961,3457,5963,3466,5963,3469,5961,3469,5937,3471,5649,3471,5647,3466,5642xm3522,5937l3469,5937,3469,5961,3466,5963,3508,5963,3522,5937xe" filled="true" fillcolor="#010101" stroked="false">
              <v:path arrowok="t"/>
              <v:fill type="solid"/>
            </v:shape>
            <v:shape style="position:absolute;left:6536;top:6057;width:2933;height:1678" coordorigin="6536,6057" coordsize="2933,1678" path="m8002,6057l6536,6895,8002,7735,9469,6895,8002,6057xe" filled="false" stroked="true" strokeweight=".75pt" strokecolor="#010101">
              <v:path arrowok="t"/>
              <v:stroke dashstyle="solid"/>
            </v:shape>
            <v:shape style="position:absolute;left:7942;top:5641;width:120;height:416" coordorigin="7942,5642" coordsize="120,416" path="m7995,5937l7942,5937,8002,6057,8049,5963,7998,5963,7995,5961,7995,5937xm8005,5642l7998,5642,7993,5647,7995,5937,7995,5961,7998,5963,8007,5963,8010,5961,8009,5937,8007,5649,8007,5647,8005,5642xm8062,5937l8009,5937,8010,5961,8007,5963,8049,5963,8062,5937xe" filled="true" fillcolor="#010101" stroked="false">
              <v:path arrowok="t"/>
              <v:fill type="solid"/>
            </v:shape>
            <v:rect style="position:absolute;left:4743;top:5740;width:1539;height:735" filled="false" stroked="true" strokeweight="1.25pt" strokecolor="#010101">
              <v:stroke dashstyle="solid"/>
            </v:rect>
            <v:shape style="position:absolute;left:4920;top:6486;width:653;height:418" coordorigin="4921,6487" coordsize="653,418" path="m5506,6887l4923,6887,4921,6892,4921,6899,4923,6904,5516,6904,5521,6899,5521,6895,5506,6895,5506,6887xm5516,6580l5509,6580,5506,6583,5506,6895,5514,6887,5521,6887,5521,6583,5516,6580xm5521,6887l5514,6887,5506,6895,5521,6895,5521,6887xm5514,6487l5454,6607,5506,6607,5506,6583,5509,6580,5560,6580,5514,6487xm5560,6580l5516,6580,5521,6583,5521,6607,5574,6607,5560,6580xe" filled="true" fillcolor="#010101" stroked="false">
              <v:path arrowok="t"/>
              <v:fill type="solid"/>
            </v:shape>
            <v:shape style="position:absolute;left:5086;top:5154;width:488;height:574" coordorigin="5086,5155" coordsize="488,574" path="m5506,5608l5454,5608,5514,5728,5560,5635,5509,5635,5506,5632,5506,5608xm5506,5162l5506,5632,5509,5635,5516,5635,5521,5632,5521,5171,5514,5171,5506,5162xm5574,5608l5521,5608,5521,5632,5516,5635,5560,5635,5574,5608xm5516,5155l5089,5155,5086,5159,5086,5167,5089,5171,5506,5171,5506,5162,5521,5162,5521,5159,5516,5155xm5521,5162l5506,5162,5514,5171,5521,5171,5521,5162xe" filled="true" fillcolor="#010101" stroked="false">
              <v:path arrowok="t"/>
              <v:fill type="solid"/>
            </v:shape>
            <v:shape style="position:absolute;left:2568;top:8085;width:1800;height:1443" coordorigin="2569,8085" coordsize="1800,1443" path="m3469,8085l2569,8807,3469,9527,4369,8807,3469,8085xe" filled="false" stroked="true" strokeweight=".75pt" strokecolor="#010101">
              <v:path arrowok="t"/>
              <v:stroke dashstyle="solid"/>
            </v:shape>
            <v:shape style="position:absolute;left:3406;top:7727;width:120;height:358" type="#_x0000_t75" stroked="false">
              <v:imagedata r:id="rId298" o:title=""/>
            </v:shape>
            <v:shape style="position:absolute;left:9622;top:5154;width:214;height:4548" coordorigin="9622,5155" coordsize="214,4548" path="m9769,9583l9716,9583,9776,9703,9823,9609,9774,9609,9769,9607,9769,9583xm9769,5162l9769,9607,9774,9609,9781,9609,9783,9607,9783,5171,9776,5171,9769,5162xm9836,9583l9783,9583,9783,9607,9781,9609,9823,9609,9836,9583xm9781,5155l9625,5155,9622,5159,9622,5167,9625,5171,9769,5171,9769,5162,9783,5162,9783,5159,9781,5155xm9783,5162l9769,5162,9776,5171,9783,5171,9783,5162xe" filled="true" fillcolor="#010101" stroked="false">
              <v:path arrowok="t"/>
              <v:fill type="solid"/>
            </v:shape>
            <v:shape style="position:absolute;left:7942;top:4307;width:120;height:368" type="#_x0000_t75" stroked="false">
              <v:imagedata r:id="rId299" o:title=""/>
            </v:shape>
            <v:shape style="position:absolute;left:9994;top:2109;width:332;height:120" type="#_x0000_t75" stroked="false">
              <v:imagedata r:id="rId300" o:title=""/>
            </v:shape>
            <v:shape style="position:absolute;left:9992;top:2814;width:334;height:120" type="#_x0000_t75" stroked="false">
              <v:imagedata r:id="rId301" o:title=""/>
            </v:shape>
            <v:shape style="position:absolute;left:9994;top:3577;width:332;height:120" type="#_x0000_t75" stroked="false">
              <v:imagedata r:id="rId300" o:title=""/>
            </v:shape>
            <v:line style="position:absolute" from="10333,2167" to="10333,4315" stroked="true" strokeweight=".75pt" strokecolor="#010101">
              <v:stroke dashstyle="solid"/>
            </v:line>
            <v:line style="position:absolute" from="8002,4315" to="10321,4315" stroked="true" strokeweight=".75pt" strokecolor="#010101">
              <v:stroke dashstyle="solid"/>
            </v:line>
            <v:shape style="position:absolute;left:9459;top:6837;width:298;height:120" type="#_x0000_t75" stroked="false">
              <v:imagedata r:id="rId302" o:title=""/>
            </v:shape>
            <v:shape style="position:absolute;left:1992;top:6057;width:2936;height:1678" coordorigin="1993,6057" coordsize="2936,1678" path="m3462,6057l1993,6895,3462,7735,4928,6895,3462,6057xe" filled="true" fillcolor="#ffffff" stroked="false">
              <v:path arrowok="t"/>
              <v:fill type="solid"/>
            </v:shape>
            <v:shape style="position:absolute;left:1992;top:6057;width:2936;height:1678" coordorigin="1993,6057" coordsize="2936,1678" path="m3462,6057l1993,6895,3462,7735,4928,6895,3462,6057xe" filled="false" stroked="true" strokeweight=".75pt" strokecolor="#010101">
              <v:path arrowok="t"/>
              <v:stroke dashstyle="solid"/>
            </v:shape>
            <v:shape style="position:absolute;left:7942;top:7720;width:120;height:324" type="#_x0000_t75" stroked="false">
              <v:imagedata r:id="rId303" o:title=""/>
            </v:shape>
            <v:shape style="position:absolute;left:1920;top:354;width:3060;height:1078" coordorigin="1921,355" coordsize="3060,1078" path="m3452,355l1921,892,3452,1432,4981,892,3452,355xe" filled="true" fillcolor="#ffffff" stroked="false">
              <v:path arrowok="t"/>
              <v:fill type="solid"/>
            </v:shape>
            <v:shape style="position:absolute;left:1920;top:354;width:3060;height:1078" coordorigin="1921,355" coordsize="3060,1078" path="m3452,355l1921,892,3452,1432,4981,892,3452,355xe" filled="false" stroked="true" strokeweight=".75pt" strokecolor="#010101">
              <v:path arrowok="t"/>
              <v:stroke dashstyle="solid"/>
            </v:shape>
            <v:shape style="position:absolute;left:3404;top:1425;width:118;height:269" type="#_x0000_t75" stroked="false">
              <v:imagedata r:id="rId304" o:title=""/>
            </v:shape>
            <v:shape style="position:absolute;left:4311;top:8800;width:120;height:905" coordorigin="4311,8800" coordsize="120,905" path="m4364,9585l4311,9585,4371,9705,4417,9614,4366,9614,4364,9609,4364,9585xm4374,8800l4366,8800,4362,8803,4364,9609,4366,9614,4374,9614,4378,9609,4378,8803,4374,8800xm4431,9585l4378,9585,4378,9609,4374,9614,4417,9614,4431,9585xe" filled="true" fillcolor="#010101" stroked="false">
              <v:path arrowok="t"/>
              <v:fill type="solid"/>
            </v:shape>
            <v:shape style="position:absolute;left:7104;top:8044;width:1800;height:1443" coordorigin="7105,8044" coordsize="1800,1443" path="m8005,8044l7105,8764,8005,9487,8905,8764,8005,8044xe" filled="false" stroked="true" strokeweight=".75pt" strokecolor="#010101">
              <v:path arrowok="t"/>
              <v:stroke dashstyle="solid"/>
            </v:shape>
            <v:shape style="position:absolute;left:6219;top:8757;width:120;height:958" coordorigin="6219,8757" coordsize="120,958" path="m6272,9595l6219,9595,6279,9715,6326,9621,6274,9621,6272,9619,6272,9595xm6282,8757l6274,8757,6270,8759,6272,9619,6274,9621,6282,9621,6286,9619,6286,8759,6282,8757xm6339,9595l6286,9595,6286,9619,6282,9621,6326,9621,6339,9595xe" filled="true" fillcolor="#010101" stroked="false">
              <v:path arrowok="t"/>
              <v:fill type="solid"/>
            </v:shape>
            <v:shape style="position:absolute;left:7954;top:9477;width:120;height:238" type="#_x0000_t75" stroked="false">
              <v:imagedata r:id="rId305" o:title=""/>
            </v:shape>
            <v:shape style="position:absolute;left:1568;top:5104;width:267;height:120" type="#_x0000_t75" stroked="false">
              <v:imagedata r:id="rId306" o:title=""/>
            </v:shape>
            <v:line style="position:absolute" from="1575,895" to="1578,5171" stroked="true" strokeweight=".75pt" strokecolor="#010101">
              <v:stroke dashstyle="solid"/>
            </v:line>
            <v:line style="position:absolute" from="1964,895" to="1575,895" stroked="true" strokeweight=".75pt" strokecolor="#010101">
              <v:stroke dashstyle="solid"/>
            </v:line>
            <v:shape style="position:absolute;left:2511;top:8800;width:120;height:915" coordorigin="2511,8800" coordsize="120,915" path="m2564,9595l2511,9595,2571,9715,2617,9623,2566,9623,2564,9619,2564,9595xm2574,8800l2566,8800,2562,8803,2564,9619,2566,9623,2574,9623,2578,9619,2578,8803,2574,8800xm2631,9595l2578,9595,2578,9619,2574,9623,2617,9623,2631,9595xe" filled="true" fillcolor="#010101" stroked="false">
              <v:path arrowok="t"/>
              <v:fill type="solid"/>
            </v:shape>
            <v:shape style="position:absolute;left:1908;top:428;width:2759;height:2104" type="#_x0000_t202" filled="false" stroked="false">
              <v:textbox inset="0,0,0,0">
                <w:txbxContent>
                  <w:p>
                    <w:pPr>
                      <w:spacing w:line="178" w:lineRule="exact" w:before="0"/>
                      <w:ind w:left="1372" w:right="0" w:firstLine="0"/>
                      <w:jc w:val="left"/>
                      <w:rPr>
                        <w:sz w:val="17"/>
                      </w:rPr>
                    </w:pPr>
                    <w:r>
                      <w:rPr>
                        <w:sz w:val="17"/>
                      </w:rPr>
                      <w:t>Has</w:t>
                    </w:r>
                  </w:p>
                  <w:p>
                    <w:pPr>
                      <w:tabs>
                        <w:tab w:pos="964" w:val="left" w:leader="none"/>
                      </w:tabs>
                      <w:spacing w:line="205" w:lineRule="exact" w:before="0"/>
                      <w:ind w:left="0" w:right="0" w:firstLine="0"/>
                      <w:jc w:val="left"/>
                      <w:rPr>
                        <w:sz w:val="17"/>
                      </w:rPr>
                    </w:pPr>
                    <w:r>
                      <w:rPr>
                        <w:position w:val="2"/>
                        <w:sz w:val="17"/>
                      </w:rPr>
                      <w:t>No</w:t>
                      <w:tab/>
                    </w:r>
                    <w:r>
                      <w:rPr>
                        <w:sz w:val="17"/>
                      </w:rPr>
                      <w:t>forest ever been</w:t>
                    </w:r>
                  </w:p>
                  <w:p>
                    <w:pPr>
                      <w:spacing w:line="244" w:lineRule="auto" w:before="1"/>
                      <w:ind w:left="835" w:right="-1" w:hanging="433"/>
                      <w:jc w:val="left"/>
                      <w:rPr>
                        <w:sz w:val="17"/>
                      </w:rPr>
                    </w:pPr>
                    <w:r>
                      <w:rPr>
                        <w:sz w:val="17"/>
                      </w:rPr>
                      <w:t>present on this land or unit of land since 31 Dec 1989?</w:t>
                    </w:r>
                  </w:p>
                  <w:p>
                    <w:pPr>
                      <w:spacing w:before="103"/>
                      <w:ind w:left="0" w:right="514" w:firstLine="0"/>
                      <w:jc w:val="right"/>
                      <w:rPr>
                        <w:sz w:val="17"/>
                      </w:rPr>
                    </w:pPr>
                    <w:r>
                      <w:rPr>
                        <w:sz w:val="17"/>
                      </w:rPr>
                      <w:t>Yes</w:t>
                    </w:r>
                  </w:p>
                  <w:p>
                    <w:pPr>
                      <w:spacing w:line="240" w:lineRule="auto" w:before="11"/>
                      <w:rPr>
                        <w:b/>
                        <w:sz w:val="20"/>
                      </w:rPr>
                    </w:pPr>
                  </w:p>
                  <w:p>
                    <w:pPr>
                      <w:spacing w:line="195" w:lineRule="exact" w:before="0"/>
                      <w:ind w:left="1327" w:right="0" w:firstLine="0"/>
                      <w:jc w:val="left"/>
                      <w:rPr>
                        <w:sz w:val="17"/>
                      </w:rPr>
                    </w:pPr>
                    <w:r>
                      <w:rPr>
                        <w:sz w:val="17"/>
                      </w:rPr>
                      <w:t>Has the</w:t>
                    </w:r>
                  </w:p>
                  <w:p>
                    <w:pPr>
                      <w:spacing w:before="0"/>
                      <w:ind w:left="556" w:right="147" w:firstLine="3"/>
                      <w:jc w:val="center"/>
                      <w:rPr>
                        <w:sz w:val="17"/>
                      </w:rPr>
                    </w:pPr>
                    <w:r>
                      <w:rPr>
                        <w:sz w:val="17"/>
                      </w:rPr>
                      <w:t>unit of land been subject to a D activity since 31 Dec 1989?</w:t>
                    </w:r>
                  </w:p>
                  <w:p>
                    <w:pPr>
                      <w:spacing w:before="0"/>
                      <w:ind w:left="1298" w:right="0" w:firstLine="0"/>
                      <w:jc w:val="left"/>
                      <w:rPr>
                        <w:sz w:val="17"/>
                      </w:rPr>
                    </w:pPr>
                    <w:r>
                      <w:rPr>
                        <w:sz w:val="17"/>
                      </w:rPr>
                      <w:t>(Note 1)</w:t>
                    </w:r>
                  </w:p>
                </w:txbxContent>
              </v:textbox>
              <w10:wrap type="none"/>
            </v:shape>
            <v:shape style="position:absolute;left:4968;top:1861;width:283;height:189" type="#_x0000_t202" filled="false" stroked="false">
              <v:textbox inset="0,0,0,0">
                <w:txbxContent>
                  <w:p>
                    <w:pPr>
                      <w:spacing w:line="189" w:lineRule="exact" w:before="0"/>
                      <w:ind w:left="0" w:right="0" w:firstLine="0"/>
                      <w:jc w:val="left"/>
                      <w:rPr>
                        <w:sz w:val="17"/>
                      </w:rPr>
                    </w:pPr>
                    <w:r>
                      <w:rPr>
                        <w:sz w:val="17"/>
                      </w:rPr>
                      <w:t>Yes</w:t>
                    </w:r>
                  </w:p>
                </w:txbxContent>
              </v:textbox>
              <w10:wrap type="none"/>
            </v:shape>
            <v:shape style="position:absolute;left:6768;top:2583;width:283;height:189" type="#_x0000_t202" filled="false" stroked="false">
              <v:textbox inset="0,0,0,0">
                <w:txbxContent>
                  <w:p>
                    <w:pPr>
                      <w:spacing w:line="189" w:lineRule="exact" w:before="0"/>
                      <w:ind w:left="0" w:right="0" w:firstLine="0"/>
                      <w:jc w:val="left"/>
                      <w:rPr>
                        <w:sz w:val="17"/>
                      </w:rPr>
                    </w:pPr>
                    <w:r>
                      <w:rPr>
                        <w:sz w:val="17"/>
                      </w:rPr>
                      <w:t>Yes</w:t>
                    </w:r>
                  </w:p>
                </w:txbxContent>
              </v:textbox>
              <w10:wrap type="none"/>
            </v:shape>
            <v:shape style="position:absolute;left:2451;top:2761;width:2620;height:1096" type="#_x0000_t202" filled="false" stroked="false">
              <v:textbox inset="0,0,0,0">
                <w:txbxContent>
                  <w:p>
                    <w:pPr>
                      <w:spacing w:line="189" w:lineRule="exact" w:before="0"/>
                      <w:ind w:left="1077" w:right="0" w:firstLine="0"/>
                      <w:jc w:val="left"/>
                      <w:rPr>
                        <w:sz w:val="17"/>
                      </w:rPr>
                    </w:pPr>
                    <w:r>
                      <w:rPr>
                        <w:sz w:val="17"/>
                      </w:rPr>
                      <w:t>No</w:t>
                    </w:r>
                  </w:p>
                  <w:p>
                    <w:pPr>
                      <w:spacing w:line="240" w:lineRule="auto" w:before="0"/>
                      <w:rPr>
                        <w:b/>
                        <w:sz w:val="18"/>
                      </w:rPr>
                    </w:pPr>
                  </w:p>
                  <w:p>
                    <w:pPr>
                      <w:tabs>
                        <w:tab w:pos="2337" w:val="left" w:leader="none"/>
                      </w:tabs>
                      <w:spacing w:line="218" w:lineRule="auto" w:before="126"/>
                      <w:ind w:left="0" w:right="18" w:firstLine="600"/>
                      <w:jc w:val="left"/>
                      <w:rPr>
                        <w:sz w:val="17"/>
                      </w:rPr>
                    </w:pPr>
                    <w:r>
                      <w:rPr>
                        <w:sz w:val="17"/>
                      </w:rPr>
                      <w:t>Has the</w:t>
                    </w:r>
                    <w:r>
                      <w:rPr>
                        <w:spacing w:val="-2"/>
                        <w:sz w:val="17"/>
                      </w:rPr>
                      <w:t> </w:t>
                    </w:r>
                    <w:r>
                      <w:rPr>
                        <w:sz w:val="17"/>
                      </w:rPr>
                      <w:t>unit</w:t>
                      <w:tab/>
                    </w:r>
                    <w:r>
                      <w:rPr>
                        <w:spacing w:val="-7"/>
                        <w:position w:val="-1"/>
                        <w:sz w:val="17"/>
                      </w:rPr>
                      <w:t>Yes </w:t>
                    </w:r>
                    <w:r>
                      <w:rPr>
                        <w:sz w:val="17"/>
                      </w:rPr>
                      <w:t>of land been subject to an</w:t>
                    </w:r>
                    <w:r>
                      <w:rPr>
                        <w:spacing w:val="-7"/>
                        <w:sz w:val="17"/>
                      </w:rPr>
                      <w:t> </w:t>
                    </w:r>
                    <w:r>
                      <w:rPr>
                        <w:sz w:val="17"/>
                      </w:rPr>
                      <w:t>AR</w:t>
                    </w:r>
                  </w:p>
                  <w:p>
                    <w:pPr>
                      <w:spacing w:before="3"/>
                      <w:ind w:left="67" w:right="0" w:firstLine="0"/>
                      <w:jc w:val="left"/>
                      <w:rPr>
                        <w:sz w:val="17"/>
                      </w:rPr>
                    </w:pPr>
                    <w:r>
                      <w:rPr>
                        <w:sz w:val="17"/>
                      </w:rPr>
                      <w:t>activity since 31 Dec 1989?</w:t>
                    </w:r>
                  </w:p>
                </w:txbxContent>
              </v:textbox>
              <w10:wrap type="none"/>
            </v:shape>
            <v:shape style="position:absolute;left:5744;top:3065;width:2255;height:1166" type="#_x0000_t202" filled="false" stroked="false">
              <v:textbox inset="0,0,0,0">
                <w:txbxContent>
                  <w:p>
                    <w:pPr>
                      <w:spacing w:line="189" w:lineRule="exact" w:before="0"/>
                      <w:ind w:left="166" w:right="182" w:firstLine="0"/>
                      <w:jc w:val="center"/>
                      <w:rPr>
                        <w:sz w:val="17"/>
                      </w:rPr>
                    </w:pPr>
                    <w:r>
                      <w:rPr>
                        <w:sz w:val="17"/>
                      </w:rPr>
                      <w:t>Has the</w:t>
                    </w:r>
                  </w:p>
                  <w:p>
                    <w:pPr>
                      <w:spacing w:line="195" w:lineRule="exact" w:before="1"/>
                      <w:ind w:left="542" w:right="0" w:firstLine="0"/>
                      <w:jc w:val="left"/>
                      <w:rPr>
                        <w:sz w:val="17"/>
                      </w:rPr>
                    </w:pPr>
                    <w:r>
                      <w:rPr>
                        <w:sz w:val="17"/>
                      </w:rPr>
                      <w:t>unit of land been</w:t>
                    </w:r>
                  </w:p>
                  <w:p>
                    <w:pPr>
                      <w:spacing w:before="0"/>
                      <w:ind w:left="-1" w:right="18" w:firstLine="0"/>
                      <w:jc w:val="center"/>
                      <w:rPr>
                        <w:sz w:val="17"/>
                      </w:rPr>
                    </w:pPr>
                    <w:r>
                      <w:rPr>
                        <w:sz w:val="17"/>
                      </w:rPr>
                      <w:t>non-forested for at least 50</w:t>
                    </w:r>
                    <w:r>
                      <w:rPr>
                        <w:spacing w:val="-20"/>
                        <w:sz w:val="17"/>
                      </w:rPr>
                      <w:t> </w:t>
                    </w:r>
                    <w:r>
                      <w:rPr>
                        <w:sz w:val="17"/>
                      </w:rPr>
                      <w:t>years before the start of the conversion?</w:t>
                    </w:r>
                  </w:p>
                  <w:p>
                    <w:pPr>
                      <w:spacing w:line="195" w:lineRule="exact" w:before="0"/>
                      <w:ind w:left="165" w:right="182" w:firstLine="0"/>
                      <w:jc w:val="center"/>
                      <w:rPr>
                        <w:sz w:val="17"/>
                      </w:rPr>
                    </w:pPr>
                    <w:r>
                      <w:rPr>
                        <w:sz w:val="17"/>
                      </w:rPr>
                      <w:t>(Note 2)</w:t>
                    </w:r>
                  </w:p>
                </w:txbxContent>
              </v:textbox>
              <w10:wrap type="none"/>
            </v:shape>
            <v:shape style="position:absolute;left:8208;top:3301;width:227;height:189" type="#_x0000_t202" filled="false" stroked="false">
              <v:textbox inset="0,0,0,0">
                <w:txbxContent>
                  <w:p>
                    <w:pPr>
                      <w:spacing w:line="189" w:lineRule="exact" w:before="0"/>
                      <w:ind w:left="0" w:right="0" w:firstLine="0"/>
                      <w:jc w:val="left"/>
                      <w:rPr>
                        <w:sz w:val="17"/>
                      </w:rPr>
                    </w:pPr>
                    <w:r>
                      <w:rPr>
                        <w:sz w:val="17"/>
                      </w:rPr>
                      <w:t>No</w:t>
                    </w:r>
                  </w:p>
                </w:txbxContent>
              </v:textbox>
              <w10:wrap type="none"/>
            </v:shape>
            <v:shape style="position:absolute;left:3708;top:4201;width:227;height:189" type="#_x0000_t202" filled="false" stroked="false">
              <v:textbox inset="0,0,0,0">
                <w:txbxContent>
                  <w:p>
                    <w:pPr>
                      <w:spacing w:line="189" w:lineRule="exact" w:before="0"/>
                      <w:ind w:left="0" w:right="0" w:firstLine="0"/>
                      <w:jc w:val="left"/>
                      <w:rPr>
                        <w:sz w:val="17"/>
                      </w:rPr>
                    </w:pPr>
                    <w:r>
                      <w:rPr>
                        <w:sz w:val="17"/>
                      </w:rPr>
                      <w:t>No</w:t>
                    </w:r>
                  </w:p>
                </w:txbxContent>
              </v:textbox>
              <w10:wrap type="none"/>
            </v:shape>
            <v:shape style="position:absolute;left:2520;top:4861;width:1902;height:580" type="#_x0000_t202" filled="false" stroked="false">
              <v:textbox inset="0,0,0,0">
                <w:txbxContent>
                  <w:p>
                    <w:pPr>
                      <w:spacing w:line="189" w:lineRule="exact" w:before="0"/>
                      <w:ind w:left="0" w:right="22" w:firstLine="0"/>
                      <w:jc w:val="center"/>
                      <w:rPr>
                        <w:sz w:val="17"/>
                      </w:rPr>
                    </w:pPr>
                    <w:r>
                      <w:rPr>
                        <w:sz w:val="17"/>
                      </w:rPr>
                      <w:t>Did your</w:t>
                    </w:r>
                  </w:p>
                  <w:p>
                    <w:pPr>
                      <w:spacing w:before="1"/>
                      <w:ind w:left="0" w:right="18" w:firstLine="0"/>
                      <w:jc w:val="center"/>
                      <w:rPr>
                        <w:sz w:val="17"/>
                      </w:rPr>
                    </w:pPr>
                    <w:r>
                      <w:rPr>
                        <w:sz w:val="17"/>
                      </w:rPr>
                      <w:t>country elect FM, CM, GM or RV?</w:t>
                    </w:r>
                  </w:p>
                </w:txbxContent>
              </v:textbox>
              <w10:wrap type="none"/>
            </v:shape>
            <v:shape style="position:absolute;left:4968;top:4921;width:227;height:189" type="#_x0000_t202" filled="false" stroked="false">
              <v:textbox inset="0,0,0,0">
                <w:txbxContent>
                  <w:p>
                    <w:pPr>
                      <w:spacing w:line="189" w:lineRule="exact" w:before="0"/>
                      <w:ind w:left="0" w:right="0" w:firstLine="0"/>
                      <w:jc w:val="left"/>
                      <w:rPr>
                        <w:sz w:val="17"/>
                      </w:rPr>
                    </w:pPr>
                    <w:r>
                      <w:rPr>
                        <w:sz w:val="17"/>
                      </w:rPr>
                      <w:t>No</w:t>
                    </w:r>
                  </w:p>
                </w:txbxContent>
              </v:textbox>
              <w10:wrap type="none"/>
            </v:shape>
            <v:shape style="position:absolute;left:7059;top:4861;width:1902;height:580" type="#_x0000_t202" filled="false" stroked="false">
              <v:textbox inset="0,0,0,0">
                <w:txbxContent>
                  <w:p>
                    <w:pPr>
                      <w:spacing w:line="189" w:lineRule="exact" w:before="0"/>
                      <w:ind w:left="0" w:right="22" w:firstLine="0"/>
                      <w:jc w:val="center"/>
                      <w:rPr>
                        <w:sz w:val="17"/>
                      </w:rPr>
                    </w:pPr>
                    <w:r>
                      <w:rPr>
                        <w:sz w:val="17"/>
                      </w:rPr>
                      <w:t>Did your</w:t>
                    </w:r>
                  </w:p>
                  <w:p>
                    <w:pPr>
                      <w:spacing w:before="1"/>
                      <w:ind w:left="0" w:right="18" w:firstLine="0"/>
                      <w:jc w:val="center"/>
                      <w:rPr>
                        <w:sz w:val="17"/>
                      </w:rPr>
                    </w:pPr>
                    <w:r>
                      <w:rPr>
                        <w:sz w:val="17"/>
                      </w:rPr>
                      <w:t>country elect FM, CM, GM or RV?</w:t>
                    </w:r>
                  </w:p>
                </w:txbxContent>
              </v:textbox>
              <w10:wrap type="none"/>
            </v:shape>
            <v:shape style="position:absolute;left:9468;top:4921;width:227;height:189" type="#_x0000_t202" filled="false" stroked="false">
              <v:textbox inset="0,0,0,0">
                <w:txbxContent>
                  <w:p>
                    <w:pPr>
                      <w:spacing w:line="189" w:lineRule="exact" w:before="0"/>
                      <w:ind w:left="0" w:right="0" w:firstLine="0"/>
                      <w:jc w:val="left"/>
                      <w:rPr>
                        <w:sz w:val="17"/>
                      </w:rPr>
                    </w:pPr>
                    <w:r>
                      <w:rPr>
                        <w:sz w:val="17"/>
                      </w:rPr>
                      <w:t>No</w:t>
                    </w:r>
                  </w:p>
                </w:txbxContent>
              </v:textbox>
              <w10:wrap type="none"/>
            </v:shape>
            <v:shape style="position:absolute;left:3528;top:5641;width:283;height:189" type="#_x0000_t202" filled="false" stroked="false">
              <v:textbox inset="0,0,0,0">
                <w:txbxContent>
                  <w:p>
                    <w:pPr>
                      <w:spacing w:line="189" w:lineRule="exact" w:before="0"/>
                      <w:ind w:left="0" w:right="0" w:firstLine="0"/>
                      <w:jc w:val="left"/>
                      <w:rPr>
                        <w:sz w:val="17"/>
                      </w:rPr>
                    </w:pPr>
                    <w:r>
                      <w:rPr>
                        <w:sz w:val="17"/>
                      </w:rPr>
                      <w:t>Yes</w:t>
                    </w:r>
                  </w:p>
                </w:txbxContent>
              </v:textbox>
              <w10:wrap type="none"/>
            </v:shape>
            <v:shape style="position:absolute;left:8208;top:5641;width:283;height:189" type="#_x0000_t202" filled="false" stroked="false">
              <v:textbox inset="0,0,0,0">
                <w:txbxContent>
                  <w:p>
                    <w:pPr>
                      <w:spacing w:line="189" w:lineRule="exact" w:before="0"/>
                      <w:ind w:left="0" w:right="0" w:firstLine="0"/>
                      <w:jc w:val="left"/>
                      <w:rPr>
                        <w:sz w:val="17"/>
                      </w:rPr>
                    </w:pPr>
                    <w:r>
                      <w:rPr>
                        <w:sz w:val="17"/>
                      </w:rPr>
                      <w:t>Yes</w:t>
                    </w:r>
                  </w:p>
                </w:txbxContent>
              </v:textbox>
              <w10:wrap type="none"/>
            </v:shape>
            <v:shape style="position:absolute;left:2501;top:5821;width:3727;height:1588" type="#_x0000_t202" filled="false" stroked="false">
              <v:textbox inset="0,0,0,0">
                <w:txbxContent>
                  <w:p>
                    <w:pPr>
                      <w:spacing w:line="237" w:lineRule="auto" w:before="0"/>
                      <w:ind w:left="2311" w:right="-2" w:firstLine="45"/>
                      <w:jc w:val="left"/>
                      <w:rPr>
                        <w:sz w:val="17"/>
                      </w:rPr>
                    </w:pPr>
                    <w:r>
                      <w:rPr>
                        <w:sz w:val="17"/>
                      </w:rPr>
                      <w:t>No reporting of the land in year X under</w:t>
                    </w:r>
                  </w:p>
                  <w:p>
                    <w:pPr>
                      <w:tabs>
                        <w:tab w:pos="2527" w:val="left" w:leader="none"/>
                      </w:tabs>
                      <w:spacing w:before="0"/>
                      <w:ind w:left="825" w:right="0" w:firstLine="0"/>
                      <w:jc w:val="left"/>
                      <w:rPr>
                        <w:sz w:val="17"/>
                      </w:rPr>
                    </w:pPr>
                    <w:r>
                      <w:rPr>
                        <w:position w:val="-2"/>
                        <w:sz w:val="17"/>
                      </w:rPr>
                      <w:t>Has</w:t>
                      <w:tab/>
                    </w:r>
                    <w:r>
                      <w:rPr>
                        <w:sz w:val="17"/>
                      </w:rPr>
                      <w:t>Art. 3.3 or</w:t>
                    </w:r>
                    <w:r>
                      <w:rPr>
                        <w:spacing w:val="-2"/>
                        <w:sz w:val="17"/>
                      </w:rPr>
                      <w:t> </w:t>
                    </w:r>
                    <w:r>
                      <w:rPr>
                        <w:sz w:val="17"/>
                      </w:rPr>
                      <w:t>3.4</w:t>
                    </w:r>
                  </w:p>
                  <w:p>
                    <w:pPr>
                      <w:spacing w:line="195" w:lineRule="exact" w:before="0"/>
                      <w:ind w:left="599" w:right="0" w:firstLine="0"/>
                      <w:jc w:val="left"/>
                      <w:rPr>
                        <w:sz w:val="17"/>
                      </w:rPr>
                    </w:pPr>
                    <w:r>
                      <w:rPr>
                        <w:sz w:val="17"/>
                      </w:rPr>
                      <w:t>the land in</w:t>
                    </w:r>
                  </w:p>
                  <w:p>
                    <w:pPr>
                      <w:spacing w:before="0"/>
                      <w:ind w:left="208" w:right="1791" w:hanging="209"/>
                      <w:jc w:val="left"/>
                      <w:rPr>
                        <w:sz w:val="17"/>
                      </w:rPr>
                    </w:pPr>
                    <w:r>
                      <w:rPr>
                        <w:sz w:val="17"/>
                      </w:rPr>
                      <w:t>any year of the commitment period been subject to FM, CM, GM or RV?</w:t>
                    </w:r>
                  </w:p>
                  <w:p>
                    <w:pPr>
                      <w:spacing w:line="195" w:lineRule="exact" w:before="0"/>
                      <w:ind w:left="672" w:right="0" w:firstLine="0"/>
                      <w:jc w:val="left"/>
                      <w:rPr>
                        <w:sz w:val="17"/>
                      </w:rPr>
                    </w:pPr>
                    <w:r>
                      <w:rPr>
                        <w:sz w:val="17"/>
                      </w:rPr>
                      <w:t>(Note 3)</w:t>
                    </w:r>
                  </w:p>
                </w:txbxContent>
              </v:textbox>
              <w10:wrap type="none"/>
            </v:shape>
            <v:shape style="position:absolute;left:7044;top:6243;width:1935;height:1166" type="#_x0000_t202" filled="false" stroked="false">
              <v:textbox inset="0,0,0,0">
                <w:txbxContent>
                  <w:p>
                    <w:pPr>
                      <w:spacing w:line="242" w:lineRule="auto" w:before="0"/>
                      <w:ind w:left="477" w:right="479" w:firstLine="220"/>
                      <w:jc w:val="left"/>
                      <w:rPr>
                        <w:sz w:val="17"/>
                      </w:rPr>
                    </w:pPr>
                    <w:r>
                      <w:rPr>
                        <w:sz w:val="17"/>
                      </w:rPr>
                      <w:t>Has the unit of land in</w:t>
                    </w:r>
                  </w:p>
                  <w:p>
                    <w:pPr>
                      <w:spacing w:line="240" w:lineRule="auto" w:before="0"/>
                      <w:ind w:left="208" w:right="-1" w:hanging="209"/>
                      <w:jc w:val="left"/>
                      <w:rPr>
                        <w:sz w:val="17"/>
                      </w:rPr>
                    </w:pPr>
                    <w:r>
                      <w:rPr>
                        <w:sz w:val="17"/>
                      </w:rPr>
                      <w:t>any year of the commitment period been subject to FM, CM, GM or RV?</w:t>
                    </w:r>
                  </w:p>
                  <w:p>
                    <w:pPr>
                      <w:spacing w:line="195" w:lineRule="exact" w:before="0"/>
                      <w:ind w:left="652" w:right="671" w:firstLine="0"/>
                      <w:jc w:val="center"/>
                      <w:rPr>
                        <w:sz w:val="17"/>
                      </w:rPr>
                    </w:pPr>
                    <w:r>
                      <w:rPr>
                        <w:sz w:val="17"/>
                      </w:rPr>
                      <w:t>(Note 3)</w:t>
                    </w:r>
                  </w:p>
                </w:txbxContent>
              </v:textbox>
              <w10:wrap type="none"/>
            </v:shape>
            <v:shape style="position:absolute;left:9288;top:6519;width:227;height:189" type="#_x0000_t202" filled="false" stroked="false">
              <v:textbox inset="0,0,0,0">
                <w:txbxContent>
                  <w:p>
                    <w:pPr>
                      <w:spacing w:line="189" w:lineRule="exact" w:before="0"/>
                      <w:ind w:left="0" w:right="0" w:firstLine="0"/>
                      <w:jc w:val="left"/>
                      <w:rPr>
                        <w:sz w:val="17"/>
                      </w:rPr>
                    </w:pPr>
                    <w:r>
                      <w:rPr>
                        <w:sz w:val="17"/>
                      </w:rPr>
                      <w:t>No</w:t>
                    </w:r>
                  </w:p>
                </w:txbxContent>
              </v:textbox>
              <w10:wrap type="none"/>
            </v:shape>
            <v:shape style="position:absolute;left:4968;top:6903;width:227;height:189" type="#_x0000_t202" filled="false" stroked="false">
              <v:textbox inset="0,0,0,0">
                <w:txbxContent>
                  <w:p>
                    <w:pPr>
                      <w:spacing w:line="189" w:lineRule="exact" w:before="0"/>
                      <w:ind w:left="0" w:right="0" w:firstLine="0"/>
                      <w:jc w:val="left"/>
                      <w:rPr>
                        <w:sz w:val="17"/>
                      </w:rPr>
                    </w:pPr>
                    <w:r>
                      <w:rPr>
                        <w:sz w:val="17"/>
                      </w:rPr>
                      <w:t>No</w:t>
                    </w:r>
                  </w:p>
                </w:txbxContent>
              </v:textbox>
              <w10:wrap type="none"/>
            </v:shape>
            <v:shape style="position:absolute;left:3708;top:7621;width:283;height:189" type="#_x0000_t202" filled="false" stroked="false">
              <v:textbox inset="0,0,0,0">
                <w:txbxContent>
                  <w:p>
                    <w:pPr>
                      <w:spacing w:line="189" w:lineRule="exact" w:before="0"/>
                      <w:ind w:left="0" w:right="0" w:firstLine="0"/>
                      <w:jc w:val="left"/>
                      <w:rPr>
                        <w:sz w:val="17"/>
                      </w:rPr>
                    </w:pPr>
                    <w:r>
                      <w:rPr>
                        <w:sz w:val="17"/>
                      </w:rPr>
                      <w:t>Yes</w:t>
                    </w:r>
                  </w:p>
                </w:txbxContent>
              </v:textbox>
              <w10:wrap type="none"/>
            </v:shape>
            <v:shape style="position:absolute;left:8208;top:7621;width:283;height:189" type="#_x0000_t202" filled="false" stroked="false">
              <v:textbox inset="0,0,0,0">
                <w:txbxContent>
                  <w:p>
                    <w:pPr>
                      <w:spacing w:line="189" w:lineRule="exact" w:before="0"/>
                      <w:ind w:left="0" w:right="0" w:firstLine="0"/>
                      <w:jc w:val="left"/>
                      <w:rPr>
                        <w:sz w:val="17"/>
                      </w:rPr>
                    </w:pPr>
                    <w:r>
                      <w:rPr>
                        <w:sz w:val="17"/>
                      </w:rPr>
                      <w:t>Yes</w:t>
                    </w:r>
                  </w:p>
                </w:txbxContent>
              </v:textbox>
              <w10:wrap type="none"/>
            </v:shape>
            <v:shape style="position:absolute;left:2268;top:8521;width:227;height:189" type="#_x0000_t202" filled="false" stroked="false">
              <v:textbox inset="0,0,0,0">
                <w:txbxContent>
                  <w:p>
                    <w:pPr>
                      <w:spacing w:line="189" w:lineRule="exact" w:before="0"/>
                      <w:ind w:left="0" w:right="0" w:firstLine="0"/>
                      <w:jc w:val="left"/>
                      <w:rPr>
                        <w:sz w:val="17"/>
                      </w:rPr>
                    </w:pPr>
                    <w:r>
                      <w:rPr>
                        <w:sz w:val="17"/>
                      </w:rPr>
                      <w:t>No</w:t>
                    </w:r>
                  </w:p>
                </w:txbxContent>
              </v:textbox>
              <w10:wrap type="none"/>
            </v:shape>
            <v:shape style="position:absolute;left:2801;top:8273;width:1359;height:969" type="#_x0000_t202" filled="false" stroked="false">
              <v:textbox inset="0,0,0,0">
                <w:txbxContent>
                  <w:p>
                    <w:pPr>
                      <w:spacing w:line="237" w:lineRule="auto" w:before="0"/>
                      <w:ind w:left="398" w:right="414" w:firstLine="208"/>
                      <w:jc w:val="left"/>
                      <w:rPr>
                        <w:sz w:val="17"/>
                      </w:rPr>
                    </w:pPr>
                    <w:r>
                      <w:rPr>
                        <w:sz w:val="17"/>
                      </w:rPr>
                      <w:t>Is the</w:t>
                    </w:r>
                    <w:r>
                      <w:rPr>
                        <w:spacing w:val="2"/>
                        <w:sz w:val="17"/>
                      </w:rPr>
                      <w:t> </w:t>
                    </w:r>
                    <w:r>
                      <w:rPr>
                        <w:spacing w:val="-6"/>
                        <w:sz w:val="17"/>
                      </w:rPr>
                      <w:t>land</w:t>
                    </w:r>
                  </w:p>
                  <w:p>
                    <w:pPr>
                      <w:spacing w:line="195" w:lineRule="exact" w:before="0"/>
                      <w:ind w:left="213" w:right="0" w:hanging="214"/>
                      <w:jc w:val="left"/>
                      <w:rPr>
                        <w:sz w:val="17"/>
                      </w:rPr>
                    </w:pPr>
                    <w:r>
                      <w:rPr>
                        <w:sz w:val="17"/>
                      </w:rPr>
                      <w:t>subject to FM, CM,</w:t>
                    </w:r>
                  </w:p>
                  <w:p>
                    <w:pPr>
                      <w:spacing w:before="0"/>
                      <w:ind w:left="213" w:right="228" w:firstLine="0"/>
                      <w:jc w:val="center"/>
                      <w:rPr>
                        <w:sz w:val="17"/>
                      </w:rPr>
                    </w:pPr>
                    <w:r>
                      <w:rPr>
                        <w:sz w:val="17"/>
                      </w:rPr>
                      <w:t>GM or RV in year X?</w:t>
                    </w:r>
                  </w:p>
                </w:txbxContent>
              </v:textbox>
              <w10:wrap type="none"/>
            </v:shape>
            <v:shape style="position:absolute;left:4428;top:8521;width:283;height:189" type="#_x0000_t202" filled="false" stroked="false">
              <v:textbox inset="0,0,0,0">
                <w:txbxContent>
                  <w:p>
                    <w:pPr>
                      <w:spacing w:line="189" w:lineRule="exact" w:before="0"/>
                      <w:ind w:left="0" w:right="0" w:firstLine="0"/>
                      <w:jc w:val="left"/>
                      <w:rPr>
                        <w:sz w:val="17"/>
                      </w:rPr>
                    </w:pPr>
                    <w:r>
                      <w:rPr>
                        <w:sz w:val="17"/>
                      </w:rPr>
                      <w:t>Yes</w:t>
                    </w:r>
                  </w:p>
                </w:txbxContent>
              </v:textbox>
              <w10:wrap type="none"/>
            </v:shape>
            <v:shape style="position:absolute;left:7613;top:8230;width:805;height:386" type="#_x0000_t202" filled="false" stroked="false">
              <v:textbox inset="0,0,0,0">
                <w:txbxContent>
                  <w:p>
                    <w:pPr>
                      <w:spacing w:line="242" w:lineRule="auto" w:before="0"/>
                      <w:ind w:left="0" w:right="1" w:firstLine="206"/>
                      <w:jc w:val="left"/>
                      <w:rPr>
                        <w:sz w:val="17"/>
                      </w:rPr>
                    </w:pPr>
                    <w:r>
                      <w:rPr>
                        <w:sz w:val="17"/>
                      </w:rPr>
                      <w:t>Is the unit of land</w:t>
                    </w:r>
                  </w:p>
                </w:txbxContent>
              </v:textbox>
              <w10:wrap type="none"/>
            </v:shape>
            <v:shape style="position:absolute;left:6284;top:8621;width:2412;height:808" type="#_x0000_t202" filled="false" stroked="false">
              <v:textbox inset="0,0,0,0">
                <w:txbxContent>
                  <w:p>
                    <w:pPr>
                      <w:tabs>
                        <w:tab w:pos="835" w:val="left" w:leader="none"/>
                        <w:tab w:pos="1053" w:val="left" w:leader="none"/>
                      </w:tabs>
                      <w:spacing w:line="188" w:lineRule="exact" w:before="0"/>
                      <w:ind w:left="0" w:right="0" w:firstLine="0"/>
                      <w:jc w:val="left"/>
                      <w:rPr>
                        <w:sz w:val="17"/>
                      </w:rPr>
                    </w:pPr>
                    <w:r>
                      <w:rPr>
                        <w:w w:val="100"/>
                        <w:sz w:val="17"/>
                        <w:u w:val="single" w:color="010101"/>
                      </w:rPr>
                      <w:t> </w:t>
                    </w:r>
                    <w:r>
                      <w:rPr>
                        <w:sz w:val="17"/>
                        <w:u w:val="single" w:color="010101"/>
                      </w:rPr>
                      <w:tab/>
                    </w:r>
                    <w:r>
                      <w:rPr>
                        <w:sz w:val="17"/>
                      </w:rPr>
                      <w:tab/>
                      <w:t>subject to FM,</w:t>
                    </w:r>
                    <w:r>
                      <w:rPr>
                        <w:spacing w:val="-7"/>
                        <w:sz w:val="17"/>
                      </w:rPr>
                      <w:t> </w:t>
                    </w:r>
                    <w:r>
                      <w:rPr>
                        <w:sz w:val="17"/>
                      </w:rPr>
                      <w:t>CM,</w:t>
                    </w:r>
                  </w:p>
                  <w:p>
                    <w:pPr>
                      <w:spacing w:before="0"/>
                      <w:ind w:left="1454" w:right="214" w:hanging="188"/>
                      <w:jc w:val="left"/>
                      <w:rPr>
                        <w:sz w:val="17"/>
                      </w:rPr>
                    </w:pPr>
                    <w:r>
                      <w:rPr>
                        <w:sz w:val="17"/>
                      </w:rPr>
                      <w:t>GM or RV in year X?</w:t>
                    </w:r>
                  </w:p>
                  <w:p>
                    <w:pPr>
                      <w:spacing w:before="33"/>
                      <w:ind w:left="0" w:right="98" w:firstLine="0"/>
                      <w:jc w:val="right"/>
                      <w:rPr>
                        <w:sz w:val="17"/>
                      </w:rPr>
                    </w:pPr>
                    <w:r>
                      <w:rPr>
                        <w:sz w:val="17"/>
                      </w:rPr>
                      <w:t>No</w:t>
                    </w:r>
                  </w:p>
                </w:txbxContent>
              </v:textbox>
              <w10:wrap type="none"/>
            </v:shape>
            <v:shape style="position:absolute;left:6768;top:8521;width:283;height:189" type="#_x0000_t202" filled="false" stroked="false">
              <v:textbox inset="0,0,0,0">
                <w:txbxContent>
                  <w:p>
                    <w:pPr>
                      <w:spacing w:line="189" w:lineRule="exact" w:before="0"/>
                      <w:ind w:left="0" w:right="0" w:firstLine="0"/>
                      <w:jc w:val="left"/>
                      <w:rPr>
                        <w:sz w:val="17"/>
                      </w:rPr>
                    </w:pPr>
                    <w:r>
                      <w:rPr>
                        <w:sz w:val="17"/>
                      </w:rPr>
                      <w:t>Yes</w:t>
                    </w:r>
                  </w:p>
                </w:txbxContent>
              </v:textbox>
              <w10:wrap type="none"/>
            </v:shape>
            <v:shape style="position:absolute;left:9236;top:9714;width:1080;height:1152" type="#_x0000_t202" filled="false" stroked="true" strokeweight="1.25pt" strokecolor="#010101">
              <v:textbox inset="0,0,0,0">
                <w:txbxContent>
                  <w:p>
                    <w:pPr>
                      <w:spacing w:before="157"/>
                      <w:ind w:left="133" w:right="134" w:firstLine="2"/>
                      <w:jc w:val="center"/>
                      <w:rPr>
                        <w:sz w:val="17"/>
                      </w:rPr>
                    </w:pPr>
                    <w:r>
                      <w:rPr>
                        <w:sz w:val="17"/>
                      </w:rPr>
                      <w:t>Classify as unit of land subject to AR or D</w:t>
                    </w:r>
                  </w:p>
                </w:txbxContent>
              </v:textbox>
              <v:stroke dashstyle="solid"/>
              <w10:wrap type="none"/>
            </v:shape>
            <v:shape style="position:absolute;left:7188;top:9714;width:1944;height:1152" type="#_x0000_t202" filled="false" stroked="true" strokeweight="1.25pt" strokecolor="#010101">
              <v:textbox inset="0,0,0,0">
                <w:txbxContent>
                  <w:p>
                    <w:pPr>
                      <w:spacing w:line="242" w:lineRule="auto" w:before="37"/>
                      <w:ind w:left="95" w:right="87" w:firstLine="0"/>
                      <w:jc w:val="center"/>
                      <w:rPr>
                        <w:sz w:val="17"/>
                      </w:rPr>
                    </w:pPr>
                    <w:r>
                      <w:rPr>
                        <w:sz w:val="17"/>
                      </w:rPr>
                      <w:t>Keep classification of the previous year in the commitment period, including the secondary classification</w:t>
                    </w:r>
                  </w:p>
                </w:txbxContent>
              </v:textbox>
              <v:stroke dashstyle="solid"/>
              <w10:wrap type="none"/>
            </v:shape>
            <v:shape style="position:absolute;left:5016;top:9714;width:1992;height:1152" type="#_x0000_t202" filled="false" stroked="true" strokeweight="1.25pt" strokecolor="#010101">
              <v:textbox inset="0,0,0,0">
                <w:txbxContent>
                  <w:p>
                    <w:pPr>
                      <w:spacing w:line="242" w:lineRule="auto" w:before="37"/>
                      <w:ind w:left="73" w:right="72" w:firstLine="3"/>
                      <w:jc w:val="center"/>
                      <w:rPr>
                        <w:sz w:val="17"/>
                      </w:rPr>
                    </w:pPr>
                    <w:r>
                      <w:rPr>
                        <w:sz w:val="17"/>
                      </w:rPr>
                      <w:t>Classify as unit of land subject to AR or D with secondary classification under the FM, CM, GM or RV activity for year X</w:t>
                    </w:r>
                  </w:p>
                </w:txbxContent>
              </v:textbox>
              <v:stroke dashstyle="solid"/>
              <w10:wrap type="none"/>
            </v:shape>
            <v:shape style="position:absolute;left:3569;top:9714;width:1311;height:1152" type="#_x0000_t202" filled="false" stroked="true" strokeweight="1.25pt" strokecolor="#010101">
              <v:textbox inset="0,0,0,0">
                <w:txbxContent>
                  <w:p>
                    <w:pPr>
                      <w:spacing w:before="37"/>
                      <w:ind w:left="97" w:right="97" w:firstLine="4"/>
                      <w:jc w:val="both"/>
                      <w:rPr>
                        <w:sz w:val="17"/>
                      </w:rPr>
                    </w:pPr>
                    <w:r>
                      <w:rPr>
                        <w:sz w:val="17"/>
                      </w:rPr>
                      <w:t>Classify as land subject to FM, CM, GM or RV</w:t>
                    </w:r>
                  </w:p>
                  <w:p>
                    <w:pPr>
                      <w:spacing w:line="244" w:lineRule="auto" w:before="2"/>
                      <w:ind w:left="412" w:right="247" w:hanging="144"/>
                      <w:jc w:val="left"/>
                      <w:rPr>
                        <w:sz w:val="17"/>
                      </w:rPr>
                    </w:pPr>
                    <w:r>
                      <w:rPr>
                        <w:sz w:val="17"/>
                      </w:rPr>
                      <w:t>activity for year X</w:t>
                    </w:r>
                  </w:p>
                </w:txbxContent>
              </v:textbox>
              <v:stroke dashstyle="solid"/>
              <w10:wrap type="none"/>
            </v:shape>
            <v:shape style="position:absolute;left:1760;top:9714;width:1630;height:1152" type="#_x0000_t202" filled="false" stroked="true" strokeweight="1.25pt" strokecolor="#010101">
              <v:textbox inset="0,0,0,0">
                <w:txbxContent>
                  <w:p>
                    <w:pPr>
                      <w:spacing w:line="240" w:lineRule="auto" w:before="9"/>
                      <w:rPr>
                        <w:b/>
                        <w:sz w:val="15"/>
                      </w:rPr>
                    </w:pPr>
                  </w:p>
                  <w:p>
                    <w:pPr>
                      <w:spacing w:line="242" w:lineRule="auto" w:before="0"/>
                      <w:ind w:left="59" w:right="61" w:firstLine="0"/>
                      <w:jc w:val="center"/>
                      <w:rPr>
                        <w:sz w:val="17"/>
                      </w:rPr>
                    </w:pPr>
                    <w:r>
                      <w:rPr>
                        <w:sz w:val="17"/>
                      </w:rPr>
                      <w:t>Keep classification of the previous year in the commitment period</w:t>
                    </w:r>
                  </w:p>
                </w:txbxContent>
              </v:textbox>
              <v:stroke dashstyle="solid"/>
              <w10:wrap type="none"/>
            </v:shape>
            <v:shape style="position:absolute;left:8530;top:3364;width:1467;height:548" type="#_x0000_t202" filled="false" stroked="true" strokeweight=".75pt" strokecolor="#010101">
              <v:textbox inset="0,0,0,0">
                <w:txbxContent>
                  <w:p>
                    <w:pPr>
                      <w:spacing w:before="61"/>
                      <w:ind w:left="153" w:right="90" w:hanging="44"/>
                      <w:jc w:val="left"/>
                      <w:rPr>
                        <w:sz w:val="17"/>
                      </w:rPr>
                    </w:pPr>
                    <w:r>
                      <w:rPr>
                        <w:sz w:val="17"/>
                      </w:rPr>
                      <w:t>Classify as unit of land subject to R</w:t>
                    </w:r>
                  </w:p>
                </w:txbxContent>
              </v:textbox>
              <v:stroke dashstyle="solid"/>
              <w10:wrap type="none"/>
            </v:shape>
            <v:shape style="position:absolute;left:8530;top:2586;width:1467;height:548" type="#_x0000_t202" filled="false" stroked="true" strokeweight=".75pt" strokecolor="#010101">
              <v:textbox inset="0,0,0,0">
                <w:txbxContent>
                  <w:p>
                    <w:pPr>
                      <w:spacing w:before="61"/>
                      <w:ind w:left="146" w:right="89" w:hanging="36"/>
                      <w:jc w:val="left"/>
                      <w:rPr>
                        <w:sz w:val="17"/>
                      </w:rPr>
                    </w:pPr>
                    <w:r>
                      <w:rPr>
                        <w:sz w:val="17"/>
                      </w:rPr>
                      <w:t>Classify as unit of land subject to A</w:t>
                    </w:r>
                  </w:p>
                </w:txbxContent>
              </v:textbox>
              <v:stroke dashstyle="solid"/>
              <w10:wrap type="none"/>
            </v:shape>
            <v:shape style="position:absolute;left:8530;top:1909;width:1472;height:548" type="#_x0000_t202" filled="false" stroked="true" strokeweight=".75pt" strokecolor="#010101">
              <v:textbox inset="0,0,0,0">
                <w:txbxContent>
                  <w:p>
                    <w:pPr>
                      <w:spacing w:line="247" w:lineRule="auto" w:before="59"/>
                      <w:ind w:left="148" w:right="92" w:hanging="36"/>
                      <w:jc w:val="left"/>
                      <w:rPr>
                        <w:sz w:val="17"/>
                      </w:rPr>
                    </w:pPr>
                    <w:r>
                      <w:rPr>
                        <w:sz w:val="17"/>
                      </w:rPr>
                      <w:t>Classify as unit of land subject to D</w:t>
                    </w:r>
                  </w:p>
                </w:txbxContent>
              </v:textbox>
              <v:stroke dashstyle="solid"/>
              <w10:wrap type="none"/>
            </v:shape>
            <w10:wrap type="topAndBottom"/>
          </v:group>
        </w:pict>
      </w:r>
    </w:p>
    <w:p>
      <w:pPr>
        <w:spacing w:line="195" w:lineRule="exact" w:before="53"/>
        <w:ind w:left="572" w:right="0" w:firstLine="0"/>
        <w:jc w:val="left"/>
        <w:rPr>
          <w:sz w:val="17"/>
        </w:rPr>
      </w:pPr>
      <w:r>
        <w:rPr>
          <w:b/>
          <w:sz w:val="17"/>
        </w:rPr>
        <w:t>Note 1: </w:t>
      </w:r>
      <w:r>
        <w:rPr>
          <w:sz w:val="17"/>
        </w:rPr>
        <w:t>No matter whether it had been subject to an AR activity before.</w:t>
      </w:r>
    </w:p>
    <w:p>
      <w:pPr>
        <w:spacing w:before="0"/>
        <w:ind w:left="572" w:right="312" w:firstLine="0"/>
        <w:jc w:val="left"/>
        <w:rPr>
          <w:sz w:val="17"/>
        </w:rPr>
      </w:pPr>
      <w:r>
        <w:rPr>
          <w:b/>
          <w:sz w:val="17"/>
        </w:rPr>
        <w:t>Note 2: </w:t>
      </w:r>
      <w:r>
        <w:rPr>
          <w:sz w:val="17"/>
        </w:rPr>
        <w:t>The distinction between A and R is often irrelevant, in particular if the same methodologies apply. But sometimes they might differ in the rate and direction of soil and litter C stock change.</w:t>
      </w:r>
    </w:p>
    <w:p>
      <w:pPr>
        <w:spacing w:before="0"/>
        <w:ind w:left="572" w:right="0" w:firstLine="0"/>
        <w:jc w:val="left"/>
        <w:rPr>
          <w:sz w:val="17"/>
        </w:rPr>
      </w:pPr>
      <w:r>
        <w:rPr>
          <w:b/>
          <w:sz w:val="17"/>
        </w:rPr>
        <w:t>Note 3: </w:t>
      </w:r>
      <w:r>
        <w:rPr>
          <w:sz w:val="17"/>
        </w:rPr>
        <w:t>Apply this test only to those activities that your country has elected.</w:t>
      </w:r>
    </w:p>
    <w:p>
      <w:pPr>
        <w:pStyle w:val="BodyText"/>
        <w:spacing w:before="10"/>
        <w:rPr>
          <w:sz w:val="29"/>
        </w:rPr>
      </w:pPr>
    </w:p>
    <w:p>
      <w:pPr>
        <w:spacing w:before="91"/>
        <w:ind w:left="159" w:right="0" w:firstLine="0"/>
        <w:jc w:val="left"/>
        <w:rPr>
          <w:b/>
          <w:sz w:val="20"/>
        </w:rPr>
      </w:pPr>
      <w:r>
        <w:rPr>
          <w:b/>
          <w:sz w:val="20"/>
        </w:rPr>
        <w:t>Abbreviations used in the Figure:</w:t>
      </w:r>
    </w:p>
    <w:p>
      <w:pPr>
        <w:pStyle w:val="BodyText"/>
        <w:spacing w:before="4" w:after="1"/>
        <w:rPr>
          <w:b/>
          <w:sz w:val="10"/>
        </w:rPr>
      </w:pPr>
    </w:p>
    <w:tbl>
      <w:tblPr>
        <w:tblW w:w="0" w:type="auto"/>
        <w:jc w:val="left"/>
        <w:tblInd w:w="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75"/>
        <w:gridCol w:w="2760"/>
        <w:gridCol w:w="540"/>
        <w:gridCol w:w="2477"/>
        <w:gridCol w:w="677"/>
        <w:gridCol w:w="1879"/>
      </w:tblGrid>
      <w:tr>
        <w:trPr>
          <w:trHeight w:val="256" w:hRule="atLeast"/>
        </w:trPr>
        <w:tc>
          <w:tcPr>
            <w:tcW w:w="475" w:type="dxa"/>
          </w:tcPr>
          <w:p>
            <w:pPr>
              <w:pStyle w:val="TableParagraph"/>
              <w:spacing w:line="223" w:lineRule="exact"/>
              <w:ind w:left="17" w:right="64"/>
              <w:jc w:val="center"/>
              <w:rPr>
                <w:sz w:val="20"/>
              </w:rPr>
            </w:pPr>
            <w:r>
              <w:rPr>
                <w:sz w:val="20"/>
              </w:rPr>
              <w:t>AR</w:t>
            </w:r>
          </w:p>
        </w:tc>
        <w:tc>
          <w:tcPr>
            <w:tcW w:w="2760" w:type="dxa"/>
          </w:tcPr>
          <w:p>
            <w:pPr>
              <w:pStyle w:val="TableParagraph"/>
              <w:spacing w:line="223" w:lineRule="exact"/>
              <w:ind w:left="69"/>
              <w:rPr>
                <w:sz w:val="20"/>
              </w:rPr>
            </w:pPr>
            <w:r>
              <w:rPr>
                <w:sz w:val="20"/>
              </w:rPr>
              <w:t>Afforestation / Reforestation</w:t>
            </w:r>
          </w:p>
        </w:tc>
        <w:tc>
          <w:tcPr>
            <w:tcW w:w="540" w:type="dxa"/>
          </w:tcPr>
          <w:p>
            <w:pPr>
              <w:pStyle w:val="TableParagraph"/>
              <w:spacing w:line="223" w:lineRule="exact"/>
              <w:ind w:left="70"/>
              <w:rPr>
                <w:sz w:val="20"/>
              </w:rPr>
            </w:pPr>
            <w:r>
              <w:rPr>
                <w:w w:val="99"/>
                <w:sz w:val="20"/>
              </w:rPr>
              <w:t>D</w:t>
            </w:r>
          </w:p>
        </w:tc>
        <w:tc>
          <w:tcPr>
            <w:tcW w:w="2477" w:type="dxa"/>
          </w:tcPr>
          <w:p>
            <w:pPr>
              <w:pStyle w:val="TableParagraph"/>
              <w:spacing w:line="223" w:lineRule="exact"/>
              <w:ind w:left="70"/>
              <w:rPr>
                <w:sz w:val="20"/>
              </w:rPr>
            </w:pPr>
            <w:r>
              <w:rPr>
                <w:sz w:val="20"/>
              </w:rPr>
              <w:t>Deforestation</w:t>
            </w:r>
          </w:p>
        </w:tc>
        <w:tc>
          <w:tcPr>
            <w:tcW w:w="677" w:type="dxa"/>
          </w:tcPr>
          <w:p>
            <w:pPr>
              <w:pStyle w:val="TableParagraph"/>
              <w:spacing w:line="223" w:lineRule="exact"/>
              <w:ind w:left="72"/>
              <w:rPr>
                <w:sz w:val="20"/>
              </w:rPr>
            </w:pPr>
            <w:r>
              <w:rPr>
                <w:sz w:val="20"/>
              </w:rPr>
              <w:t>FM</w:t>
            </w:r>
          </w:p>
        </w:tc>
        <w:tc>
          <w:tcPr>
            <w:tcW w:w="1879" w:type="dxa"/>
          </w:tcPr>
          <w:p>
            <w:pPr>
              <w:pStyle w:val="TableParagraph"/>
              <w:spacing w:line="223" w:lineRule="exact"/>
              <w:ind w:left="69"/>
              <w:rPr>
                <w:sz w:val="20"/>
              </w:rPr>
            </w:pPr>
            <w:r>
              <w:rPr>
                <w:sz w:val="20"/>
              </w:rPr>
              <w:t>Forest Management</w:t>
            </w:r>
          </w:p>
        </w:tc>
      </w:tr>
      <w:tr>
        <w:trPr>
          <w:trHeight w:val="270" w:hRule="atLeast"/>
        </w:trPr>
        <w:tc>
          <w:tcPr>
            <w:tcW w:w="475" w:type="dxa"/>
          </w:tcPr>
          <w:p>
            <w:pPr>
              <w:pStyle w:val="TableParagraph"/>
              <w:spacing w:line="223" w:lineRule="exact"/>
              <w:ind w:left="48" w:right="64"/>
              <w:jc w:val="center"/>
              <w:rPr>
                <w:sz w:val="20"/>
              </w:rPr>
            </w:pPr>
            <w:r>
              <w:rPr>
                <w:sz w:val="20"/>
              </w:rPr>
              <w:t>CM</w:t>
            </w:r>
          </w:p>
        </w:tc>
        <w:tc>
          <w:tcPr>
            <w:tcW w:w="2760" w:type="dxa"/>
          </w:tcPr>
          <w:p>
            <w:pPr>
              <w:pStyle w:val="TableParagraph"/>
              <w:spacing w:line="223" w:lineRule="exact"/>
              <w:ind w:left="69"/>
              <w:rPr>
                <w:sz w:val="20"/>
              </w:rPr>
            </w:pPr>
            <w:r>
              <w:rPr>
                <w:sz w:val="20"/>
              </w:rPr>
              <w:t>Cropland Management</w:t>
            </w:r>
          </w:p>
        </w:tc>
        <w:tc>
          <w:tcPr>
            <w:tcW w:w="540" w:type="dxa"/>
          </w:tcPr>
          <w:p>
            <w:pPr>
              <w:pStyle w:val="TableParagraph"/>
              <w:spacing w:line="223" w:lineRule="exact"/>
              <w:ind w:left="69"/>
              <w:rPr>
                <w:sz w:val="20"/>
              </w:rPr>
            </w:pPr>
            <w:r>
              <w:rPr>
                <w:sz w:val="20"/>
              </w:rPr>
              <w:t>GM</w:t>
            </w:r>
          </w:p>
        </w:tc>
        <w:tc>
          <w:tcPr>
            <w:tcW w:w="2477" w:type="dxa"/>
          </w:tcPr>
          <w:p>
            <w:pPr>
              <w:pStyle w:val="TableParagraph"/>
              <w:spacing w:line="223" w:lineRule="exact"/>
              <w:ind w:left="69"/>
              <w:rPr>
                <w:sz w:val="20"/>
              </w:rPr>
            </w:pPr>
            <w:r>
              <w:rPr>
                <w:sz w:val="20"/>
              </w:rPr>
              <w:t>Grazing Land Management</w:t>
            </w:r>
          </w:p>
        </w:tc>
        <w:tc>
          <w:tcPr>
            <w:tcW w:w="677" w:type="dxa"/>
          </w:tcPr>
          <w:p>
            <w:pPr>
              <w:pStyle w:val="TableParagraph"/>
              <w:spacing w:line="223" w:lineRule="exact"/>
              <w:ind w:left="72"/>
              <w:rPr>
                <w:sz w:val="20"/>
              </w:rPr>
            </w:pPr>
            <w:r>
              <w:rPr>
                <w:sz w:val="20"/>
              </w:rPr>
              <w:t>RV</w:t>
            </w:r>
          </w:p>
        </w:tc>
        <w:tc>
          <w:tcPr>
            <w:tcW w:w="1879" w:type="dxa"/>
          </w:tcPr>
          <w:p>
            <w:pPr>
              <w:pStyle w:val="TableParagraph"/>
              <w:spacing w:line="223" w:lineRule="exact"/>
              <w:ind w:left="69"/>
              <w:rPr>
                <w:sz w:val="20"/>
              </w:rPr>
            </w:pPr>
            <w:r>
              <w:rPr>
                <w:sz w:val="20"/>
              </w:rPr>
              <w:t>Revegetation</w:t>
            </w:r>
          </w:p>
        </w:tc>
      </w:tr>
    </w:tbl>
    <w:p>
      <w:pPr>
        <w:spacing w:after="0" w:line="223" w:lineRule="exact"/>
        <w:rPr>
          <w:sz w:val="20"/>
        </w:rPr>
        <w:sectPr>
          <w:pgSz w:w="11900" w:h="16840"/>
          <w:pgMar w:header="230" w:footer="408" w:top="560" w:bottom="600" w:left="1260" w:right="1240"/>
        </w:sectPr>
      </w:pPr>
    </w:p>
    <w:p>
      <w:pPr>
        <w:pStyle w:val="BodyText"/>
        <w:rPr>
          <w:b/>
        </w:rPr>
      </w:pPr>
    </w:p>
    <w:p>
      <w:pPr>
        <w:pStyle w:val="BodyText"/>
        <w:spacing w:before="2"/>
        <w:rPr>
          <w:b/>
          <w:sz w:val="18"/>
        </w:rPr>
      </w:pPr>
    </w:p>
    <w:p>
      <w:pPr>
        <w:pStyle w:val="BodyText"/>
        <w:ind w:left="159" w:right="164"/>
        <w:jc w:val="both"/>
      </w:pPr>
      <w:r>
        <w:rPr/>
        <w:t>The left branch is for lands that are reported under Article 3.4, and needs to be checked by Parties that have elected one or more Article 3.4 activities. This is necessary to know whether a land was subject to an Article 3.4 activity, and also to determine which Article 3.4 activity (if elected) applied on the land most recently. If a land is subject to more than one Article 3.4 activity over the course of time, it is </w:t>
      </w:r>
      <w:r>
        <w:rPr>
          <w:i/>
        </w:rPr>
        <w:t>good practice </w:t>
      </w:r>
      <w:r>
        <w:rPr/>
        <w:t>to classify that land under only one Article 3.4 category. Therefore, it is </w:t>
      </w:r>
      <w:r>
        <w:rPr>
          <w:i/>
        </w:rPr>
        <w:t>good practice </w:t>
      </w:r>
      <w:r>
        <w:rPr/>
        <w:t>for countries to set up a hierarchy among the activities forest management, cropland management, grazing land management and revegetation, and – within the scope of the definitions in the Marrakesh Accords – to set up criteria by which lands will be assigned to a single category (see Section 4.1.1, Overview, STEP 1.3). For example, where agriculture and forestry are practiced on the same land, the land may qualify under forest management and under cropland management or grazing land management. It is </w:t>
      </w:r>
      <w:r>
        <w:rPr>
          <w:i/>
        </w:rPr>
        <w:t>good practice </w:t>
      </w:r>
      <w:r>
        <w:rPr/>
        <w:t>to assign land according to specific, pre-determined rules, rather than on a case-by-case basis. The definitions in the Marrakesh Accords imply</w:t>
      </w:r>
      <w:r>
        <w:rPr>
          <w:spacing w:val="-9"/>
        </w:rPr>
        <w:t> </w:t>
      </w:r>
      <w:r>
        <w:rPr/>
        <w:t>that</w:t>
      </w:r>
    </w:p>
    <w:p>
      <w:pPr>
        <w:pStyle w:val="BodyText"/>
        <w:tabs>
          <w:tab w:pos="583" w:val="left" w:leader="none"/>
        </w:tabs>
        <w:spacing w:line="244" w:lineRule="exact" w:before="134"/>
        <w:ind w:left="159"/>
      </w:pPr>
      <w:r>
        <w:rPr>
          <w:rFonts w:ascii="Symbol" w:hAnsi="Symbol"/>
        </w:rPr>
        <w:t>•</w:t>
        <w:tab/>
      </w:r>
      <w:r>
        <w:rPr/>
        <w:t>Forest management can only take place on lands that meet the definition of a</w:t>
      </w:r>
      <w:r>
        <w:rPr>
          <w:spacing w:val="-8"/>
        </w:rPr>
        <w:t> </w:t>
      </w:r>
      <w:r>
        <w:rPr/>
        <w:t>forest;</w:t>
      </w:r>
    </w:p>
    <w:p>
      <w:pPr>
        <w:pStyle w:val="BodyText"/>
        <w:spacing w:line="223" w:lineRule="auto" w:before="10"/>
        <w:ind w:left="584" w:right="167" w:hanging="425"/>
        <w:jc w:val="both"/>
      </w:pPr>
      <w:r>
        <w:rPr>
          <w:rFonts w:ascii="Symbol" w:hAnsi="Symbol"/>
        </w:rPr>
        <w:t>• </w:t>
      </w:r>
      <w:r>
        <w:rPr/>
        <w:t>Revegetation can only take place when the land is forest neither before nor after the transition (otherwise it would be afforestation, reforestation or forest management); and</w:t>
      </w:r>
    </w:p>
    <w:p>
      <w:pPr>
        <w:pStyle w:val="BodyText"/>
        <w:spacing w:line="230" w:lineRule="auto" w:before="26"/>
        <w:ind w:left="584" w:right="166" w:hanging="425"/>
        <w:jc w:val="both"/>
      </w:pPr>
      <w:r>
        <w:rPr>
          <w:rFonts w:ascii="Symbol" w:hAnsi="Symbol"/>
        </w:rPr>
        <w:t>• </w:t>
      </w:r>
      <w:r>
        <w:rPr/>
        <w:t>Grazing land and cropland management can take place on either forest or non-forest lands, but will be predominantly on non-forest lands in practice. Any forest land under grazing land or cropland management can be subject to a deforestation activity.</w:t>
      </w:r>
    </w:p>
    <w:p>
      <w:pPr>
        <w:pStyle w:val="BodyText"/>
        <w:spacing w:before="123"/>
        <w:ind w:left="159" w:right="167"/>
        <w:jc w:val="both"/>
      </w:pPr>
      <w:r>
        <w:rPr/>
        <w:t>Regarding the relationship between forest management on the one hand, and cropland/grazing land management on the other hand, countries have two options: 1) It is </w:t>
      </w:r>
      <w:r>
        <w:rPr>
          <w:i/>
        </w:rPr>
        <w:t>good practice </w:t>
      </w:r>
      <w:r>
        <w:rPr/>
        <w:t>to interpret the definition of forest management such that all managed forests are included, including those where also cropland and grazing land management takes place. With this, all lands subject to grazing or cropland management would necessarily have to be non-forest. 2) Alternatively, it is also </w:t>
      </w:r>
      <w:r>
        <w:rPr>
          <w:i/>
        </w:rPr>
        <w:t>good practice </w:t>
      </w:r>
      <w:r>
        <w:rPr/>
        <w:t>to use pre-defined criteria other than "forest / non- forest" to determine whether a land area is subject to forest management or grazing land management / cropland management. In that case it is possible that some forest lands are included under cropland or grazing land management.</w:t>
      </w:r>
    </w:p>
    <w:p>
      <w:pPr>
        <w:pStyle w:val="BodyText"/>
        <w:spacing w:before="8"/>
      </w:pPr>
    </w:p>
    <w:p>
      <w:pPr>
        <w:pStyle w:val="BodyText"/>
        <w:spacing w:before="1"/>
        <w:ind w:left="159" w:right="164"/>
        <w:jc w:val="both"/>
      </w:pPr>
      <w:r>
        <w:rPr/>
        <w:t>Special attention </w:t>
      </w:r>
      <w:r>
        <w:rPr>
          <w:spacing w:val="-3"/>
        </w:rPr>
        <w:t>should </w:t>
      </w:r>
      <w:r>
        <w:rPr/>
        <w:t>be given to avoid overlap or gaps between lands subject to revegetation (if elected) that </w:t>
      </w:r>
      <w:r>
        <w:rPr>
          <w:spacing w:val="-3"/>
        </w:rPr>
        <w:t>could</w:t>
      </w:r>
      <w:r>
        <w:rPr>
          <w:spacing w:val="-16"/>
        </w:rPr>
        <w:t> </w:t>
      </w:r>
      <w:r>
        <w:rPr/>
        <w:t>qualify</w:t>
      </w:r>
      <w:r>
        <w:rPr>
          <w:spacing w:val="-16"/>
        </w:rPr>
        <w:t> </w:t>
      </w:r>
      <w:r>
        <w:rPr/>
        <w:t>under</w:t>
      </w:r>
      <w:r>
        <w:rPr>
          <w:spacing w:val="-15"/>
        </w:rPr>
        <w:t> </w:t>
      </w:r>
      <w:r>
        <w:rPr/>
        <w:t>cropland</w:t>
      </w:r>
      <w:r>
        <w:rPr>
          <w:spacing w:val="-15"/>
        </w:rPr>
        <w:t> </w:t>
      </w:r>
      <w:r>
        <w:rPr/>
        <w:t>management,</w:t>
      </w:r>
      <w:r>
        <w:rPr>
          <w:spacing w:val="-15"/>
        </w:rPr>
        <w:t> </w:t>
      </w:r>
      <w:r>
        <w:rPr/>
        <w:t>grazing</w:t>
      </w:r>
      <w:r>
        <w:rPr>
          <w:spacing w:val="-17"/>
        </w:rPr>
        <w:t> </w:t>
      </w:r>
      <w:r>
        <w:rPr/>
        <w:t>land</w:t>
      </w:r>
      <w:r>
        <w:rPr>
          <w:spacing w:val="-14"/>
        </w:rPr>
        <w:t> </w:t>
      </w:r>
      <w:r>
        <w:rPr/>
        <w:t>management</w:t>
      </w:r>
      <w:r>
        <w:rPr>
          <w:spacing w:val="-16"/>
        </w:rPr>
        <w:t> </w:t>
      </w:r>
      <w:r>
        <w:rPr/>
        <w:t>or</w:t>
      </w:r>
      <w:r>
        <w:rPr>
          <w:spacing w:val="-16"/>
        </w:rPr>
        <w:t> </w:t>
      </w:r>
      <w:r>
        <w:rPr/>
        <w:t>potentially</w:t>
      </w:r>
      <w:r>
        <w:rPr>
          <w:spacing w:val="-15"/>
        </w:rPr>
        <w:t> </w:t>
      </w:r>
      <w:r>
        <w:rPr>
          <w:spacing w:val="-3"/>
        </w:rPr>
        <w:t>forest</w:t>
      </w:r>
      <w:r>
        <w:rPr>
          <w:spacing w:val="-15"/>
        </w:rPr>
        <w:t> </w:t>
      </w:r>
      <w:r>
        <w:rPr/>
        <w:t>management</w:t>
      </w:r>
      <w:r>
        <w:rPr>
          <w:spacing w:val="-17"/>
        </w:rPr>
        <w:t> </w:t>
      </w:r>
      <w:r>
        <w:rPr/>
        <w:t>(if</w:t>
      </w:r>
      <w:r>
        <w:rPr>
          <w:spacing w:val="-17"/>
        </w:rPr>
        <w:t> </w:t>
      </w:r>
      <w:r>
        <w:rPr/>
        <w:t>elected).</w:t>
      </w:r>
    </w:p>
    <w:p>
      <w:pPr>
        <w:pStyle w:val="BodyText"/>
        <w:spacing w:before="10"/>
      </w:pPr>
    </w:p>
    <w:p>
      <w:pPr>
        <w:pStyle w:val="BodyText"/>
        <w:spacing w:before="1"/>
        <w:ind w:left="159"/>
      </w:pPr>
      <w:r>
        <w:rPr/>
        <w:t>In addition note that:</w:t>
      </w:r>
    </w:p>
    <w:p>
      <w:pPr>
        <w:pStyle w:val="BodyText"/>
        <w:spacing w:line="235" w:lineRule="auto" w:before="135"/>
        <w:ind w:left="521" w:right="163" w:hanging="363"/>
        <w:jc w:val="both"/>
      </w:pPr>
      <w:r>
        <w:rPr>
          <w:rFonts w:ascii="Symbol" w:hAnsi="Symbol"/>
        </w:rPr>
        <w:t>• </w:t>
      </w:r>
      <w:r>
        <w:rPr/>
        <w:t>The decision tree in Fig. 4.1.1 is not sufficient to identify all lands that fall under each activity. For the reporting of these lands, it is </w:t>
      </w:r>
      <w:r>
        <w:rPr>
          <w:i/>
        </w:rPr>
        <w:t>good practice </w:t>
      </w:r>
      <w:r>
        <w:rPr/>
        <w:t>to follow the methodological guidance provided under “Identification of lands” in the generic Section 4.2.2, and in the activity-specific sections on land identification (Sections 4.2.5.1 / 4.2.6.1 / 4.2.7.1 / 4.2.8.1 / 4.2.9.1 and</w:t>
      </w:r>
      <w:r>
        <w:rPr>
          <w:spacing w:val="-15"/>
        </w:rPr>
        <w:t> </w:t>
      </w:r>
      <w:r>
        <w:rPr/>
        <w:t>4.2.10.1).</w:t>
      </w:r>
    </w:p>
    <w:p>
      <w:pPr>
        <w:pStyle w:val="BodyText"/>
        <w:spacing w:line="223" w:lineRule="auto" w:before="144"/>
        <w:ind w:left="521" w:right="166" w:hanging="363"/>
        <w:jc w:val="both"/>
      </w:pPr>
      <w:r>
        <w:rPr>
          <w:rFonts w:ascii="Symbol" w:hAnsi="Symbol"/>
        </w:rPr>
        <w:t>•   </w:t>
      </w:r>
      <w:r>
        <w:rPr/>
        <w:t>For the first commitment period, Article 3.3 applies to land that is subject to an afforestation, reforestation    or deforestation activity at any time between 1 January 1990 and 31 December</w:t>
      </w:r>
      <w:r>
        <w:rPr>
          <w:spacing w:val="-15"/>
        </w:rPr>
        <w:t> </w:t>
      </w:r>
      <w:r>
        <w:rPr/>
        <w:t>2012.</w:t>
      </w:r>
    </w:p>
    <w:p>
      <w:pPr>
        <w:pStyle w:val="BodyText"/>
        <w:spacing w:line="235" w:lineRule="auto" w:before="143"/>
        <w:ind w:left="521" w:right="167" w:hanging="363"/>
        <w:jc w:val="both"/>
      </w:pPr>
      <w:r>
        <w:rPr>
          <w:rFonts w:ascii="Symbol" w:hAnsi="Symbol"/>
        </w:rPr>
        <w:t>• </w:t>
      </w:r>
      <w:r>
        <w:rPr/>
        <w:t>For reporting during the commitment period Article 3.4 applies to land that is subject to an elected forest management, cropland management, and grazing land management activity during the commitment period</w:t>
      </w:r>
      <w:r>
        <w:rPr>
          <w:vertAlign w:val="superscript"/>
        </w:rPr>
        <w:t>12,13</w:t>
      </w:r>
      <w:r>
        <w:rPr>
          <w:vertAlign w:val="baseline"/>
        </w:rPr>
        <w:t>. Article 3.4 also applies to land subject to revegetation resulting from direct human-induced activities since 1 January 1990.</w:t>
      </w:r>
      <w:r>
        <w:rPr>
          <w:vertAlign w:val="superscript"/>
        </w:rPr>
        <w:t>14</w:t>
      </w:r>
    </w:p>
    <w:p>
      <w:pPr>
        <w:pStyle w:val="BodyText"/>
        <w:spacing w:line="223" w:lineRule="auto" w:before="144"/>
        <w:ind w:left="521" w:right="165" w:hanging="363"/>
        <w:jc w:val="both"/>
      </w:pPr>
      <w:r>
        <w:rPr>
          <w:rFonts w:ascii="Symbol" w:hAnsi="Symbol"/>
        </w:rPr>
        <w:t>• </w:t>
      </w:r>
      <w:r>
        <w:rPr/>
        <w:t>Once a land is reported under Article 3.3 or Article 3.4, all anthropogenic greenhouse gas emissions by  sources and removals by sinks on this land must be reported during the first and</w:t>
      </w:r>
      <w:r>
        <w:rPr>
          <w:spacing w:val="6"/>
        </w:rPr>
        <w:t> </w:t>
      </w:r>
      <w:r>
        <w:rPr/>
        <w:t>throughout subsequent and</w:t>
      </w:r>
    </w:p>
    <w:p>
      <w:pPr>
        <w:pStyle w:val="BodyText"/>
      </w:pPr>
    </w:p>
    <w:p>
      <w:pPr>
        <w:pStyle w:val="BodyText"/>
        <w:spacing w:before="1"/>
        <w:rPr>
          <w:sz w:val="15"/>
        </w:rPr>
      </w:pPr>
      <w:r>
        <w:rPr/>
        <w:pict>
          <v:line style="position:absolute;mso-position-horizontal-relative:page;mso-position-vertical-relative:paragraph;z-index:17768;mso-wrap-distance-left:0;mso-wrap-distance-right:0" from="70.960999pt,10.923725pt" to="214.960999pt,10.923725pt" stroked="true" strokeweight=".48pt" strokecolor="#000000">
            <v:stroke dashstyle="solid"/>
            <w10:wrap type="topAndBottom"/>
          </v:line>
        </w:pict>
      </w:r>
    </w:p>
    <w:p>
      <w:pPr>
        <w:spacing w:before="150"/>
        <w:ind w:left="317" w:right="167" w:hanging="159"/>
        <w:jc w:val="both"/>
        <w:rPr>
          <w:sz w:val="18"/>
        </w:rPr>
      </w:pPr>
      <w:r>
        <w:rPr>
          <w:position w:val="8"/>
          <w:sz w:val="12"/>
        </w:rPr>
        <w:t>12 </w:t>
      </w:r>
      <w:r>
        <w:rPr>
          <w:sz w:val="18"/>
        </w:rPr>
        <w:t>Conversely, for base year reporting, Article 3.4 applies to land that was subject to an elected cropland management, grazing land management or revegetation activity in the base year.</w:t>
      </w:r>
    </w:p>
    <w:p>
      <w:pPr>
        <w:spacing w:before="98"/>
        <w:ind w:left="317" w:right="164" w:hanging="159"/>
        <w:jc w:val="both"/>
        <w:rPr>
          <w:sz w:val="18"/>
        </w:rPr>
      </w:pPr>
      <w:r>
        <w:rPr>
          <w:position w:val="8"/>
          <w:sz w:val="12"/>
        </w:rPr>
        <w:t>13 </w:t>
      </w:r>
      <w:r>
        <w:rPr>
          <w:sz w:val="18"/>
        </w:rPr>
        <w:t>The reason is that if a land was subject to an Article 3.4 activity between 1 January 1990 and 31 December 2007, but is no longer in the years 2008-2012, it could not be accounted for under the Kyoto Protocol. Carbon reporting of this land during the commitment period would be highly complicated because the land would be under a different land use. Land that left the FM category as a result of deforestation would, of course, be reported under Article 3.3.</w:t>
      </w:r>
    </w:p>
    <w:p>
      <w:pPr>
        <w:spacing w:before="93"/>
        <w:ind w:left="317" w:right="161" w:hanging="159"/>
        <w:jc w:val="both"/>
        <w:rPr>
          <w:sz w:val="18"/>
        </w:rPr>
      </w:pPr>
      <w:r>
        <w:rPr>
          <w:position w:val="8"/>
          <w:sz w:val="12"/>
        </w:rPr>
        <w:t>14 </w:t>
      </w:r>
      <w:r>
        <w:rPr>
          <w:sz w:val="18"/>
        </w:rPr>
        <w:t>As stated in STEP 1.2 above, it is </w:t>
      </w:r>
      <w:r>
        <w:rPr>
          <w:i/>
          <w:sz w:val="18"/>
        </w:rPr>
        <w:t>good practice </w:t>
      </w:r>
      <w:r>
        <w:rPr>
          <w:sz w:val="18"/>
        </w:rPr>
        <w:t>to apply the definitions of Article 3.4 activities to national circumstances. In doing so, there may be Article 3.4 activities where an individual practice triggers the land to be reported (“narrowly defined activities”). This is likely to apply to revegetation, also possibly to forest management, and requires to report all lands that are subject to the activity since 1990 (as for AR and D). On the other hand, there will be Article 3.4 activities where the mere classification of the land, without a concrete practice, will suffice for the land to be reported (“broadly defined activities”). This is most likely for cropland and grazing land management – also because there the practices are most likely to occur on an annual basis anyway. Here it is sufficient to report the lands subject to the activity in the reporting year of the commitment period.</w:t>
      </w:r>
    </w:p>
    <w:p>
      <w:pPr>
        <w:spacing w:after="0"/>
        <w:jc w:val="both"/>
        <w:rPr>
          <w:sz w:val="18"/>
        </w:rPr>
        <w:sectPr>
          <w:pgSz w:w="11900" w:h="16840"/>
          <w:pgMar w:header="230" w:footer="408" w:top="560" w:bottom="600" w:left="1260" w:right="1240"/>
        </w:sectPr>
      </w:pPr>
    </w:p>
    <w:p>
      <w:pPr>
        <w:pStyle w:val="BodyText"/>
        <w:spacing w:before="8"/>
        <w:rPr>
          <w:sz w:val="27"/>
        </w:rPr>
      </w:pPr>
    </w:p>
    <w:p>
      <w:pPr>
        <w:pStyle w:val="BodyText"/>
        <w:spacing w:before="121"/>
        <w:ind w:left="521" w:right="185"/>
      </w:pPr>
      <w:r>
        <w:rPr/>
        <w:t>contiguous commitment periods</w:t>
      </w:r>
      <w:r>
        <w:rPr>
          <w:vertAlign w:val="superscript"/>
        </w:rPr>
        <w:t>15</w:t>
      </w:r>
      <w:r>
        <w:rPr>
          <w:vertAlign w:val="baseline"/>
        </w:rPr>
        <w:t>, except the Party chooses not to report a pool that has been shown not to be a source as explained in Section 4.2.3.1. That is, the total land area included in the reporting of Article</w:t>
      </w:r>
    </w:p>
    <w:p>
      <w:pPr>
        <w:pStyle w:val="BodyText"/>
        <w:ind w:left="521"/>
      </w:pPr>
      <w:r>
        <w:rPr/>
        <w:t>3.3 and 3.4 activities can never decrease.</w:t>
      </w:r>
    </w:p>
    <w:p>
      <w:pPr>
        <w:pStyle w:val="ListParagraph"/>
        <w:numPr>
          <w:ilvl w:val="0"/>
          <w:numId w:val="117"/>
        </w:numPr>
        <w:tabs>
          <w:tab w:pos="520" w:val="left" w:leader="none"/>
        </w:tabs>
        <w:spacing w:line="230" w:lineRule="auto" w:before="142" w:after="0"/>
        <w:ind w:left="521" w:right="162" w:hanging="362"/>
        <w:jc w:val="both"/>
        <w:rPr>
          <w:sz w:val="20"/>
        </w:rPr>
      </w:pPr>
      <w:r>
        <w:rPr>
          <w:sz w:val="20"/>
        </w:rPr>
        <w:t>If certain activities occur during the commitment period, it is possible that a unit of land or land can be reported under different activities in Article 3.3 and/or Article 3.4 over time during the commitment period. However, for each year it can only be reported under a single</w:t>
      </w:r>
      <w:r>
        <w:rPr>
          <w:spacing w:val="-7"/>
          <w:sz w:val="20"/>
        </w:rPr>
        <w:t> </w:t>
      </w:r>
      <w:r>
        <w:rPr>
          <w:sz w:val="20"/>
        </w:rPr>
        <w:t>activity.</w:t>
      </w:r>
    </w:p>
    <w:p>
      <w:pPr>
        <w:pStyle w:val="ListParagraph"/>
        <w:numPr>
          <w:ilvl w:val="0"/>
          <w:numId w:val="117"/>
        </w:numPr>
        <w:tabs>
          <w:tab w:pos="520" w:val="left" w:leader="none"/>
        </w:tabs>
        <w:spacing w:line="223" w:lineRule="auto" w:before="150" w:after="0"/>
        <w:ind w:left="521" w:right="169" w:hanging="362"/>
        <w:jc w:val="both"/>
        <w:rPr>
          <w:sz w:val="20"/>
        </w:rPr>
      </w:pPr>
      <w:r>
        <w:rPr>
          <w:sz w:val="20"/>
        </w:rPr>
        <w:t>In order to avoid the reporting of lands or units of land in more than one activity in any year during the commitment period, the following should be applied:</w:t>
      </w:r>
    </w:p>
    <w:p>
      <w:pPr>
        <w:pStyle w:val="ListParagraph"/>
        <w:numPr>
          <w:ilvl w:val="2"/>
          <w:numId w:val="96"/>
        </w:numPr>
        <w:tabs>
          <w:tab w:pos="884" w:val="left" w:leader="none"/>
        </w:tabs>
        <w:spacing w:line="240" w:lineRule="auto" w:before="122" w:after="0"/>
        <w:ind w:left="883" w:right="164" w:hanging="456"/>
        <w:jc w:val="both"/>
        <w:rPr>
          <w:sz w:val="20"/>
        </w:rPr>
      </w:pPr>
      <w:r>
        <w:rPr>
          <w:sz w:val="20"/>
        </w:rPr>
        <w:t>Units of land subject to activities under Article 3.3 which would otherwise be included in land subject to an Article 3.4 activity (see item (ii) in footnote 11) must be reported separately as lands that are both subject to Article 3.3 and 3.4 activities (referred to as AR or D land with a secondary classification in the decision tree). The decision tree implies that afforestation, reforestation and deforestation have precedence over the other activities for land classification and reporting purposes not only in a given year, but for the entire period between 1990 and</w:t>
      </w:r>
      <w:r>
        <w:rPr>
          <w:spacing w:val="-1"/>
          <w:sz w:val="20"/>
        </w:rPr>
        <w:t> </w:t>
      </w:r>
      <w:r>
        <w:rPr>
          <w:sz w:val="20"/>
        </w:rPr>
        <w:t>2012.</w:t>
      </w:r>
      <w:r>
        <w:rPr>
          <w:sz w:val="20"/>
          <w:vertAlign w:val="superscript"/>
        </w:rPr>
        <w:t>16</w:t>
      </w:r>
    </w:p>
    <w:p>
      <w:pPr>
        <w:pStyle w:val="ListParagraph"/>
        <w:numPr>
          <w:ilvl w:val="2"/>
          <w:numId w:val="96"/>
        </w:numPr>
        <w:tabs>
          <w:tab w:pos="884" w:val="left" w:leader="none"/>
        </w:tabs>
        <w:spacing w:line="240" w:lineRule="auto" w:before="120" w:after="0"/>
        <w:ind w:left="883" w:right="168" w:hanging="484"/>
        <w:jc w:val="both"/>
        <w:rPr>
          <w:sz w:val="20"/>
        </w:rPr>
      </w:pPr>
      <w:r>
        <w:rPr>
          <w:sz w:val="20"/>
        </w:rPr>
        <w:t>For lands that are subject to several activities under Article 3.4 it is </w:t>
      </w:r>
      <w:r>
        <w:rPr>
          <w:i/>
          <w:sz w:val="20"/>
        </w:rPr>
        <w:t>good practice </w:t>
      </w:r>
      <w:r>
        <w:rPr>
          <w:sz w:val="20"/>
        </w:rPr>
        <w:t>to apply the national criteria that establish the hierarchy among Article 3.4 activities (in the Marrakesh Accords no precedence is implied among Article 3.4 activities, see STEP 1.3</w:t>
      </w:r>
      <w:r>
        <w:rPr>
          <w:spacing w:val="-3"/>
          <w:sz w:val="20"/>
        </w:rPr>
        <w:t> </w:t>
      </w:r>
      <w:r>
        <w:rPr>
          <w:sz w:val="20"/>
        </w:rPr>
        <w:t>above).</w:t>
      </w:r>
    </w:p>
    <w:p>
      <w:pPr>
        <w:pStyle w:val="ListParagraph"/>
        <w:numPr>
          <w:ilvl w:val="0"/>
          <w:numId w:val="117"/>
        </w:numPr>
        <w:tabs>
          <w:tab w:pos="519" w:val="left" w:leader="none"/>
          <w:tab w:pos="520" w:val="left" w:leader="none"/>
        </w:tabs>
        <w:spacing w:line="240" w:lineRule="auto" w:before="133" w:after="0"/>
        <w:ind w:left="519" w:right="0" w:hanging="360"/>
        <w:jc w:val="left"/>
        <w:rPr>
          <w:sz w:val="20"/>
        </w:rPr>
      </w:pPr>
      <w:r>
        <w:rPr>
          <w:sz w:val="20"/>
        </w:rPr>
        <w:t>A land subject to land-use changes (LUCs) can move between categories in the following</w:t>
      </w:r>
      <w:r>
        <w:rPr>
          <w:spacing w:val="-18"/>
          <w:sz w:val="20"/>
        </w:rPr>
        <w:t> </w:t>
      </w:r>
      <w:r>
        <w:rPr>
          <w:sz w:val="20"/>
        </w:rPr>
        <w:t>cases:</w:t>
      </w:r>
    </w:p>
    <w:p>
      <w:pPr>
        <w:pStyle w:val="ListParagraph"/>
        <w:numPr>
          <w:ilvl w:val="1"/>
          <w:numId w:val="117"/>
        </w:numPr>
        <w:tabs>
          <w:tab w:pos="810" w:val="left" w:leader="none"/>
        </w:tabs>
        <w:spacing w:line="230" w:lineRule="auto" w:before="125" w:after="0"/>
        <w:ind w:left="809" w:right="164" w:hanging="288"/>
        <w:jc w:val="both"/>
        <w:rPr>
          <w:sz w:val="20"/>
        </w:rPr>
      </w:pPr>
      <w:r>
        <w:rPr>
          <w:sz w:val="20"/>
        </w:rPr>
        <w:t>Afforestation/reforestation land that is subsequently deforested is reclassified as deforestation land (Section 4.2.4.3.2 describes specific provisions for units of land subject to afforestation and reforestation activities since</w:t>
      </w:r>
      <w:r>
        <w:rPr>
          <w:spacing w:val="-1"/>
          <w:sz w:val="20"/>
        </w:rPr>
        <w:t> </w:t>
      </w:r>
      <w:r>
        <w:rPr>
          <w:sz w:val="20"/>
        </w:rPr>
        <w:t>1990).</w:t>
      </w:r>
    </w:p>
    <w:p>
      <w:pPr>
        <w:pStyle w:val="ListParagraph"/>
        <w:numPr>
          <w:ilvl w:val="1"/>
          <w:numId w:val="117"/>
        </w:numPr>
        <w:tabs>
          <w:tab w:pos="810" w:val="left" w:leader="none"/>
        </w:tabs>
        <w:spacing w:line="223" w:lineRule="auto" w:before="150" w:after="0"/>
        <w:ind w:left="809" w:right="163" w:hanging="288"/>
        <w:jc w:val="both"/>
        <w:rPr>
          <w:sz w:val="20"/>
        </w:rPr>
      </w:pPr>
      <w:r>
        <w:rPr>
          <w:sz w:val="20"/>
        </w:rPr>
        <w:t>Land under one elected Article 3.4 activity is converted into land under another elected Article 3.4 activity and must be reclassified accordingly.</w:t>
      </w:r>
    </w:p>
    <w:p>
      <w:pPr>
        <w:pStyle w:val="ListParagraph"/>
        <w:numPr>
          <w:ilvl w:val="1"/>
          <w:numId w:val="117"/>
        </w:numPr>
        <w:tabs>
          <w:tab w:pos="810" w:val="left" w:leader="none"/>
        </w:tabs>
        <w:spacing w:line="223" w:lineRule="auto" w:before="151" w:after="0"/>
        <w:ind w:left="809" w:right="164" w:hanging="288"/>
        <w:jc w:val="both"/>
        <w:rPr>
          <w:sz w:val="20"/>
        </w:rPr>
      </w:pPr>
      <w:r>
        <w:rPr>
          <w:sz w:val="20"/>
        </w:rPr>
        <w:t>Land under an elected Article 3.4 activity becomes subject to an Article 3.3 activity and must subsequently be reported under the</w:t>
      </w:r>
      <w:r>
        <w:rPr>
          <w:spacing w:val="-2"/>
          <w:sz w:val="20"/>
        </w:rPr>
        <w:t> </w:t>
      </w:r>
      <w:r>
        <w:rPr>
          <w:sz w:val="20"/>
        </w:rPr>
        <w:t>latter.</w:t>
      </w:r>
    </w:p>
    <w:p>
      <w:pPr>
        <w:pStyle w:val="ListParagraph"/>
        <w:numPr>
          <w:ilvl w:val="0"/>
          <w:numId w:val="117"/>
        </w:numPr>
        <w:tabs>
          <w:tab w:pos="517" w:val="left" w:leader="none"/>
        </w:tabs>
        <w:spacing w:line="232" w:lineRule="auto" w:before="141" w:after="0"/>
        <w:ind w:left="516" w:right="166" w:hanging="357"/>
        <w:jc w:val="both"/>
        <w:rPr>
          <w:sz w:val="20"/>
        </w:rPr>
      </w:pPr>
      <w:r>
        <w:rPr>
          <w:sz w:val="20"/>
        </w:rPr>
        <w:t>On the other hand, the following transitions are not possible. Note that these restrictions apply to reporting under the Kyoto Protocol (but do of course not affect the actual management that a country applies to its lands):</w:t>
      </w:r>
    </w:p>
    <w:p>
      <w:pPr>
        <w:pStyle w:val="ListParagraph"/>
        <w:numPr>
          <w:ilvl w:val="1"/>
          <w:numId w:val="117"/>
        </w:numPr>
        <w:tabs>
          <w:tab w:pos="810" w:val="left" w:leader="none"/>
        </w:tabs>
        <w:spacing w:line="240" w:lineRule="auto" w:before="133" w:after="0"/>
        <w:ind w:left="809" w:right="0" w:hanging="288"/>
        <w:jc w:val="left"/>
        <w:rPr>
          <w:sz w:val="20"/>
        </w:rPr>
      </w:pPr>
      <w:r>
        <w:rPr>
          <w:sz w:val="20"/>
        </w:rPr>
        <w:t>Land cannot shift from an elected Article 3.4 activity to another Article 3.4 activity that was not</w:t>
      </w:r>
      <w:r>
        <w:rPr>
          <w:spacing w:val="-24"/>
          <w:sz w:val="20"/>
        </w:rPr>
        <w:t> </w:t>
      </w:r>
      <w:r>
        <w:rPr>
          <w:sz w:val="20"/>
        </w:rPr>
        <w:t>elected.</w:t>
      </w:r>
    </w:p>
    <w:p>
      <w:pPr>
        <w:pStyle w:val="ListParagraph"/>
        <w:numPr>
          <w:ilvl w:val="1"/>
          <w:numId w:val="117"/>
        </w:numPr>
        <w:tabs>
          <w:tab w:pos="810" w:val="left" w:leader="none"/>
        </w:tabs>
        <w:spacing w:line="240" w:lineRule="auto" w:before="118" w:after="0"/>
        <w:ind w:left="809" w:right="0" w:hanging="288"/>
        <w:jc w:val="left"/>
        <w:rPr>
          <w:sz w:val="20"/>
        </w:rPr>
      </w:pPr>
      <w:r>
        <w:rPr>
          <w:sz w:val="20"/>
        </w:rPr>
        <w:t>Land cannot leave the Article 3.3</w:t>
      </w:r>
      <w:r>
        <w:rPr>
          <w:spacing w:val="6"/>
          <w:sz w:val="20"/>
        </w:rPr>
        <w:t> </w:t>
      </w:r>
      <w:r>
        <w:rPr>
          <w:sz w:val="20"/>
        </w:rPr>
        <w:t>reporting.</w:t>
      </w:r>
    </w:p>
    <w:p>
      <w:pPr>
        <w:pStyle w:val="ListParagraph"/>
        <w:numPr>
          <w:ilvl w:val="1"/>
          <w:numId w:val="117"/>
        </w:numPr>
        <w:tabs>
          <w:tab w:pos="810" w:val="left" w:leader="none"/>
        </w:tabs>
        <w:spacing w:line="237" w:lineRule="auto" w:before="120" w:after="0"/>
        <w:ind w:left="809" w:right="112" w:hanging="288"/>
        <w:jc w:val="both"/>
        <w:rPr>
          <w:sz w:val="20"/>
        </w:rPr>
      </w:pPr>
      <w:r>
        <w:rPr>
          <w:sz w:val="20"/>
        </w:rPr>
        <w:t>Deforestation land cannot become afforestation/reforestation land in the first commitment period. That is, if a forest is established on land deforested since 1990, the carbon removals cannot be reported as a reforestation activity during the first commitment period because of the time limits in the definition for reforestation agreed in the Marrakesh Accords, designed not to credit reforestation on lands that were forest land in 1990.</w:t>
      </w:r>
      <w:r>
        <w:rPr>
          <w:sz w:val="20"/>
          <w:vertAlign w:val="superscript"/>
        </w:rPr>
        <w:t>17</w:t>
      </w:r>
      <w:r>
        <w:rPr>
          <w:sz w:val="20"/>
          <w:vertAlign w:val="baseline"/>
        </w:rPr>
        <w:t> However, because there is the need for continuous full reporting of lands subject to Article 3.3 and 3.4 activities, any carbon stock increases later in the commitment period on deforestation lands will be reported under the deforestation category.</w:t>
      </w:r>
    </w:p>
    <w:p>
      <w:pPr>
        <w:pStyle w:val="ListParagraph"/>
        <w:numPr>
          <w:ilvl w:val="0"/>
          <w:numId w:val="117"/>
        </w:numPr>
        <w:tabs>
          <w:tab w:pos="520" w:val="left" w:leader="none"/>
        </w:tabs>
        <w:spacing w:line="237" w:lineRule="auto" w:before="132" w:after="0"/>
        <w:ind w:left="519" w:right="164" w:hanging="360"/>
        <w:jc w:val="both"/>
        <w:rPr>
          <w:sz w:val="20"/>
        </w:rPr>
      </w:pPr>
      <w:r>
        <w:rPr>
          <w:sz w:val="20"/>
        </w:rPr>
        <w:t>Boundaries between forest management and cropland or grazing land systems can be difficult to define where these activities are practiced on the same land area. The decision tree in Figure 4.1.1 suggests that planting of shelterbelt trees or orchards after 1990 that meet the criteria for a forest would be reported under the afforestation and reforestation category, even if they occur on lands whose use is mainly agricultural. For shelterbelts and orchards which already existed in 1990, however, the decision tree implies that the country can prioritise the Article 3.4 reporting category as either cropland management or grazing land management, or as forest management – provided that the land meets the definition of the category chosen, and the prioritisation is consistent with the hierarchy of Article 3.4 activities set up at the beginning. For example,</w:t>
      </w:r>
      <w:r>
        <w:rPr>
          <w:spacing w:val="18"/>
          <w:sz w:val="20"/>
        </w:rPr>
        <w:t> </w:t>
      </w:r>
      <w:r>
        <w:rPr>
          <w:sz w:val="20"/>
        </w:rPr>
        <w:t>if</w:t>
      </w:r>
      <w:r>
        <w:rPr>
          <w:spacing w:val="16"/>
          <w:sz w:val="20"/>
        </w:rPr>
        <w:t> </w:t>
      </w:r>
      <w:r>
        <w:rPr>
          <w:sz w:val="20"/>
        </w:rPr>
        <w:t>shelterbelts</w:t>
      </w:r>
      <w:r>
        <w:rPr>
          <w:spacing w:val="17"/>
          <w:sz w:val="20"/>
        </w:rPr>
        <w:t> </w:t>
      </w:r>
      <w:r>
        <w:rPr>
          <w:sz w:val="20"/>
        </w:rPr>
        <w:t>or</w:t>
      </w:r>
      <w:r>
        <w:rPr>
          <w:spacing w:val="19"/>
          <w:sz w:val="20"/>
        </w:rPr>
        <w:t> </w:t>
      </w:r>
      <w:r>
        <w:rPr>
          <w:sz w:val="20"/>
        </w:rPr>
        <w:t>farm</w:t>
      </w:r>
      <w:r>
        <w:rPr>
          <w:spacing w:val="16"/>
          <w:sz w:val="20"/>
        </w:rPr>
        <w:t> </w:t>
      </w:r>
      <w:r>
        <w:rPr>
          <w:sz w:val="20"/>
        </w:rPr>
        <w:t>woodlots</w:t>
      </w:r>
      <w:r>
        <w:rPr>
          <w:spacing w:val="17"/>
          <w:sz w:val="20"/>
        </w:rPr>
        <w:t> </w:t>
      </w:r>
      <w:r>
        <w:rPr>
          <w:sz w:val="20"/>
        </w:rPr>
        <w:t>do</w:t>
      </w:r>
      <w:r>
        <w:rPr>
          <w:spacing w:val="18"/>
          <w:sz w:val="20"/>
        </w:rPr>
        <w:t> </w:t>
      </w:r>
      <w:r>
        <w:rPr>
          <w:sz w:val="20"/>
        </w:rPr>
        <w:t>not</w:t>
      </w:r>
      <w:r>
        <w:rPr>
          <w:spacing w:val="18"/>
          <w:sz w:val="20"/>
        </w:rPr>
        <w:t> </w:t>
      </w:r>
      <w:r>
        <w:rPr>
          <w:sz w:val="20"/>
        </w:rPr>
        <w:t>appear</w:t>
      </w:r>
      <w:r>
        <w:rPr>
          <w:spacing w:val="16"/>
          <w:sz w:val="20"/>
        </w:rPr>
        <w:t> </w:t>
      </w:r>
      <w:r>
        <w:rPr>
          <w:sz w:val="20"/>
        </w:rPr>
        <w:t>to</w:t>
      </w:r>
      <w:r>
        <w:rPr>
          <w:spacing w:val="14"/>
          <w:sz w:val="20"/>
        </w:rPr>
        <w:t> </w:t>
      </w:r>
      <w:r>
        <w:rPr>
          <w:sz w:val="20"/>
        </w:rPr>
        <w:t>be</w:t>
      </w:r>
      <w:r>
        <w:rPr>
          <w:spacing w:val="19"/>
          <w:sz w:val="20"/>
        </w:rPr>
        <w:t> </w:t>
      </w:r>
      <w:r>
        <w:rPr>
          <w:sz w:val="20"/>
        </w:rPr>
        <w:t>part</w:t>
      </w:r>
      <w:r>
        <w:rPr>
          <w:spacing w:val="17"/>
          <w:sz w:val="20"/>
        </w:rPr>
        <w:t> </w:t>
      </w:r>
      <w:r>
        <w:rPr>
          <w:sz w:val="20"/>
        </w:rPr>
        <w:t>of</w:t>
      </w:r>
      <w:r>
        <w:rPr>
          <w:spacing w:val="16"/>
          <w:sz w:val="20"/>
        </w:rPr>
        <w:t> </w:t>
      </w:r>
      <w:r>
        <w:rPr>
          <w:sz w:val="20"/>
        </w:rPr>
        <w:t>forest</w:t>
      </w:r>
      <w:r>
        <w:rPr>
          <w:spacing w:val="17"/>
          <w:sz w:val="20"/>
        </w:rPr>
        <w:t> </w:t>
      </w:r>
      <w:r>
        <w:rPr>
          <w:sz w:val="20"/>
        </w:rPr>
        <w:t>management</w:t>
      </w:r>
      <w:r>
        <w:rPr>
          <w:spacing w:val="21"/>
          <w:sz w:val="20"/>
        </w:rPr>
        <w:t> </w:t>
      </w:r>
      <w:r>
        <w:rPr>
          <w:sz w:val="20"/>
        </w:rPr>
        <w:t>as</w:t>
      </w:r>
      <w:r>
        <w:rPr>
          <w:spacing w:val="17"/>
          <w:sz w:val="20"/>
        </w:rPr>
        <w:t> </w:t>
      </w:r>
      <w:r>
        <w:rPr>
          <w:sz w:val="20"/>
        </w:rPr>
        <w:t>such,</w:t>
      </w:r>
      <w:r>
        <w:rPr>
          <w:spacing w:val="18"/>
          <w:sz w:val="20"/>
        </w:rPr>
        <w:t> </w:t>
      </w:r>
      <w:r>
        <w:rPr>
          <w:sz w:val="20"/>
        </w:rPr>
        <w:t>and</w:t>
      </w:r>
      <w:r>
        <w:rPr>
          <w:spacing w:val="18"/>
          <w:sz w:val="20"/>
        </w:rPr>
        <w:t> </w:t>
      </w:r>
      <w:r>
        <w:rPr>
          <w:sz w:val="20"/>
        </w:rPr>
        <w:t>are</w:t>
      </w:r>
    </w:p>
    <w:p>
      <w:pPr>
        <w:pStyle w:val="BodyText"/>
      </w:pPr>
    </w:p>
    <w:p>
      <w:pPr>
        <w:pStyle w:val="BodyText"/>
        <w:spacing w:before="6"/>
      </w:pPr>
      <w:r>
        <w:rPr/>
        <w:pict>
          <v:line style="position:absolute;mso-position-horizontal-relative:page;mso-position-vertical-relative:paragraph;z-index:17792;mso-wrap-distance-left:0;mso-wrap-distance-right:0" from="70.960999pt,14.014179pt" to="214.960999pt,14.014179pt" stroked="true" strokeweight=".48pt" strokecolor="#000000">
            <v:stroke dashstyle="solid"/>
            <w10:wrap type="topAndBottom"/>
          </v:line>
        </w:pict>
      </w:r>
    </w:p>
    <w:p>
      <w:pPr>
        <w:spacing w:before="153"/>
        <w:ind w:left="317" w:right="0" w:hanging="159"/>
        <w:jc w:val="left"/>
        <w:rPr>
          <w:sz w:val="18"/>
        </w:rPr>
      </w:pPr>
      <w:r>
        <w:rPr>
          <w:position w:val="8"/>
          <w:sz w:val="12"/>
        </w:rPr>
        <w:t>15 </w:t>
      </w:r>
      <w:r>
        <w:rPr>
          <w:sz w:val="18"/>
        </w:rPr>
        <w:t>Paragraph 19 of the Annex to draft decision -/CMP.1 (Land use, land-use change and forestry), contained in document FCCC/CP/2001/13/Add.1, p.61.</w:t>
      </w:r>
    </w:p>
    <w:p>
      <w:pPr>
        <w:spacing w:before="95"/>
        <w:ind w:left="159" w:right="0" w:firstLine="0"/>
        <w:jc w:val="left"/>
        <w:rPr>
          <w:sz w:val="18"/>
        </w:rPr>
      </w:pPr>
      <w:r>
        <w:rPr>
          <w:position w:val="8"/>
          <w:sz w:val="12"/>
        </w:rPr>
        <w:t>16 </w:t>
      </w:r>
      <w:r>
        <w:rPr>
          <w:sz w:val="18"/>
        </w:rPr>
        <w:t>This is implied in the text of the Marrakesh Accords cited in footnote 11 above, item b (ii).</w:t>
      </w:r>
    </w:p>
    <w:p>
      <w:pPr>
        <w:spacing w:before="95"/>
        <w:ind w:left="317" w:right="0" w:hanging="159"/>
        <w:jc w:val="left"/>
        <w:rPr>
          <w:sz w:val="18"/>
        </w:rPr>
      </w:pPr>
      <w:r>
        <w:rPr>
          <w:position w:val="8"/>
          <w:sz w:val="12"/>
        </w:rPr>
        <w:t>17 </w:t>
      </w:r>
      <w:r>
        <w:rPr>
          <w:sz w:val="18"/>
        </w:rPr>
        <w:t>Paragraph 1(c) of the Annex to draft decision -/CMP.1 (Land use, land-use change and forestry), contained in document FCCC/CP/2001/13/Add.1, p 58.</w:t>
      </w:r>
    </w:p>
    <w:p>
      <w:pPr>
        <w:spacing w:after="0"/>
        <w:jc w:val="left"/>
        <w:rPr>
          <w:sz w:val="18"/>
        </w:rPr>
        <w:sectPr>
          <w:pgSz w:w="11900" w:h="16840"/>
          <w:pgMar w:header="230" w:footer="408" w:top="560" w:bottom="600" w:left="1260" w:right="1240"/>
        </w:sectPr>
      </w:pPr>
    </w:p>
    <w:p>
      <w:pPr>
        <w:pStyle w:val="BodyText"/>
      </w:pPr>
    </w:p>
    <w:p>
      <w:pPr>
        <w:pStyle w:val="BodyText"/>
        <w:spacing w:before="2"/>
        <w:rPr>
          <w:sz w:val="18"/>
        </w:rPr>
      </w:pPr>
    </w:p>
    <w:p>
      <w:pPr>
        <w:pStyle w:val="BodyText"/>
        <w:ind w:left="519"/>
      </w:pPr>
      <w:r>
        <w:rPr/>
        <w:t>clearly associated with cropping or grazing land systems, the hierarchical system set up by a country might determine this to be reported under cropland management or grazing land management.</w:t>
      </w:r>
    </w:p>
    <w:p>
      <w:pPr>
        <w:pStyle w:val="BodyText"/>
        <w:spacing w:before="121"/>
        <w:ind w:left="161" w:right="166"/>
        <w:jc w:val="both"/>
      </w:pPr>
      <w:r>
        <w:rPr/>
        <w:t>In summary, this means that the area under Article 3.3 (afforestation, reforestation and deforestation lands) will grow from 0 hectares on 1 January 1990 up to a certain value in 2012. At any given point in time, the afforestation, reforestation and deforestation categories should contain all areas of land that have been afforested, reforested or deforested since 1990. The area under Article 3.3 (deforestation) will stay constant or increase in size during the commitment period. The land area in the afforestation and reforestation category will typically increase, but can also decrease if afforestation and reforestation lands are subject to deforestation activities.</w:t>
      </w:r>
    </w:p>
    <w:p>
      <w:pPr>
        <w:pStyle w:val="BodyText"/>
        <w:spacing w:before="118"/>
        <w:ind w:left="159" w:right="165"/>
        <w:jc w:val="both"/>
      </w:pPr>
      <w:r>
        <w:rPr/>
        <w:t>The amount of lands in the forest management, cropland management, grazing land management, and revegetation categories can fluctuate because of various land-use changes. It is unlikely that those areas will stay constant over time for the purpose of reporting because, for example:</w:t>
      </w:r>
    </w:p>
    <w:p>
      <w:pPr>
        <w:pStyle w:val="ListParagraph"/>
        <w:numPr>
          <w:ilvl w:val="0"/>
          <w:numId w:val="117"/>
        </w:numPr>
        <w:tabs>
          <w:tab w:pos="583" w:val="left" w:leader="none"/>
          <w:tab w:pos="585" w:val="left" w:leader="none"/>
        </w:tabs>
        <w:spacing w:line="244" w:lineRule="exact" w:before="135" w:after="0"/>
        <w:ind w:left="584" w:right="0" w:hanging="425"/>
        <w:jc w:val="left"/>
        <w:rPr>
          <w:sz w:val="20"/>
        </w:rPr>
      </w:pPr>
      <w:r>
        <w:rPr>
          <w:sz w:val="20"/>
        </w:rPr>
        <w:t>Afforestation and reforestation, and deforestation land areas are allowed to grow;</w:t>
      </w:r>
    </w:p>
    <w:p>
      <w:pPr>
        <w:pStyle w:val="ListParagraph"/>
        <w:numPr>
          <w:ilvl w:val="0"/>
          <w:numId w:val="117"/>
        </w:numPr>
        <w:tabs>
          <w:tab w:pos="583" w:val="left" w:leader="none"/>
          <w:tab w:pos="585" w:val="left" w:leader="none"/>
        </w:tabs>
        <w:spacing w:line="244" w:lineRule="exact" w:before="0" w:after="0"/>
        <w:ind w:left="584" w:right="0" w:hanging="425"/>
        <w:jc w:val="left"/>
        <w:rPr>
          <w:sz w:val="20"/>
        </w:rPr>
      </w:pPr>
      <w:r>
        <w:rPr>
          <w:sz w:val="20"/>
        </w:rPr>
        <w:t>Grazing lands can become croplands and vice</w:t>
      </w:r>
      <w:r>
        <w:rPr>
          <w:spacing w:val="-3"/>
          <w:sz w:val="20"/>
        </w:rPr>
        <w:t> </w:t>
      </w:r>
      <w:r>
        <w:rPr>
          <w:sz w:val="20"/>
        </w:rPr>
        <w:t>versa;</w:t>
      </w:r>
    </w:p>
    <w:p>
      <w:pPr>
        <w:pStyle w:val="ListParagraph"/>
        <w:numPr>
          <w:ilvl w:val="0"/>
          <w:numId w:val="117"/>
        </w:numPr>
        <w:tabs>
          <w:tab w:pos="583" w:val="left" w:leader="none"/>
          <w:tab w:pos="585" w:val="left" w:leader="none"/>
        </w:tabs>
        <w:spacing w:line="245" w:lineRule="exact" w:before="0" w:after="0"/>
        <w:ind w:left="584" w:right="0" w:hanging="425"/>
        <w:jc w:val="left"/>
        <w:rPr>
          <w:sz w:val="20"/>
        </w:rPr>
      </w:pPr>
      <w:r>
        <w:rPr>
          <w:sz w:val="20"/>
        </w:rPr>
        <w:t>Revegetated lands can become croplands or grazing lands or vice versa;</w:t>
      </w:r>
      <w:r>
        <w:rPr>
          <w:spacing w:val="-8"/>
          <w:sz w:val="20"/>
        </w:rPr>
        <w:t> </w:t>
      </w:r>
      <w:r>
        <w:rPr>
          <w:sz w:val="20"/>
        </w:rPr>
        <w:t>and</w:t>
      </w:r>
    </w:p>
    <w:p>
      <w:pPr>
        <w:pStyle w:val="ListParagraph"/>
        <w:numPr>
          <w:ilvl w:val="0"/>
          <w:numId w:val="117"/>
        </w:numPr>
        <w:tabs>
          <w:tab w:pos="583" w:val="left" w:leader="none"/>
          <w:tab w:pos="585" w:val="left" w:leader="none"/>
        </w:tabs>
        <w:spacing w:line="223" w:lineRule="auto" w:before="11" w:after="0"/>
        <w:ind w:left="584" w:right="170" w:hanging="425"/>
        <w:jc w:val="left"/>
        <w:rPr>
          <w:sz w:val="20"/>
        </w:rPr>
      </w:pPr>
      <w:r>
        <w:rPr>
          <w:sz w:val="20"/>
        </w:rPr>
        <w:t>Forest management land areas can increase, for example, as countries expand the road infrastructure to areas previously</w:t>
      </w:r>
      <w:r>
        <w:rPr>
          <w:spacing w:val="-3"/>
          <w:sz w:val="20"/>
        </w:rPr>
        <w:t> </w:t>
      </w:r>
      <w:r>
        <w:rPr>
          <w:sz w:val="20"/>
        </w:rPr>
        <w:t>unmanaged.</w:t>
      </w:r>
    </w:p>
    <w:p>
      <w:pPr>
        <w:pStyle w:val="BodyText"/>
        <w:spacing w:before="123"/>
        <w:ind w:left="159" w:right="160"/>
        <w:jc w:val="both"/>
      </w:pPr>
      <w:r>
        <w:rPr/>
        <w:pict>
          <v:group style="position:absolute;margin-left:91.240997pt;margin-top:69.968468pt;width:413.05pt;height:436.8pt;mso-position-horizontal-relative:page;mso-position-vertical-relative:paragraph;z-index:-2436304" coordorigin="1825,1399" coordsize="8261,8736">
            <v:line style="position:absolute" from="1854,1414" to="10057,1414" stroked="true" strokeweight="1.44pt" strokecolor="#000000">
              <v:stroke dashstyle="solid"/>
            </v:line>
            <v:shape style="position:absolute;left:1839;top:1399;width:8218;height:8736" coordorigin="1839,1399" coordsize="8218,8736" path="m1854,10121l10057,10121m1839,1399l1839,10135e" filled="false" stroked="true" strokeweight="1.44pt" strokecolor="#000000">
              <v:path arrowok="t"/>
              <v:stroke dashstyle="solid"/>
            </v:shape>
            <v:line style="position:absolute" from="10071,1399" to="10071,10135" stroked="true" strokeweight="1.44pt" strokecolor="#000000">
              <v:stroke dashstyle="solid"/>
            </v:line>
            <w10:wrap type="none"/>
          </v:group>
        </w:pict>
      </w:r>
      <w:r>
        <w:rPr/>
        <w:t>Box 4.1.1 provides several examples that summarise the Marrakesh Accords and the considerations that apply for lands subject to activities under Articles 3.3 and 3.4 of the Kyoto Protocol. The preceding sections of Chapter 4 have provided merely an overview of the Marrekech Accords. For more detailed explanations of the rationale behind the examples in Box 4.1.1, the reader is referred to the detailed explanations in the remaining sections of Chapter 4.</w:t>
      </w:r>
    </w:p>
    <w:p>
      <w:pPr>
        <w:pStyle w:val="BodyText"/>
        <w:spacing w:before="2"/>
        <w:rPr>
          <w:sz w:val="22"/>
        </w:rPr>
      </w:pPr>
    </w:p>
    <w:p>
      <w:pPr>
        <w:spacing w:before="1"/>
        <w:ind w:left="556" w:right="567" w:firstLine="0"/>
        <w:jc w:val="center"/>
        <w:rPr>
          <w:b/>
          <w:sz w:val="18"/>
        </w:rPr>
      </w:pPr>
      <w:r>
        <w:rPr>
          <w:b/>
          <w:sz w:val="18"/>
        </w:rPr>
        <w:t>B</w:t>
      </w:r>
      <w:r>
        <w:rPr>
          <w:b/>
          <w:sz w:val="14"/>
        </w:rPr>
        <w:t>OX </w:t>
      </w:r>
      <w:r>
        <w:rPr>
          <w:b/>
          <w:sz w:val="18"/>
        </w:rPr>
        <w:t>4.1.1</w:t>
      </w:r>
    </w:p>
    <w:p>
      <w:pPr>
        <w:spacing w:before="1"/>
        <w:ind w:left="1745" w:right="1751" w:firstLine="0"/>
        <w:jc w:val="center"/>
        <w:rPr>
          <w:b/>
          <w:sz w:val="14"/>
        </w:rPr>
      </w:pPr>
      <w:r>
        <w:rPr>
          <w:b/>
          <w:sz w:val="18"/>
        </w:rPr>
        <w:t>E</w:t>
      </w:r>
      <w:r>
        <w:rPr>
          <w:b/>
          <w:sz w:val="14"/>
        </w:rPr>
        <w:t>XAMPLES FOR THE ASSIGNMENT OF UNITS OF LAND TO </w:t>
      </w:r>
      <w:r>
        <w:rPr>
          <w:b/>
          <w:sz w:val="18"/>
        </w:rPr>
        <w:t>A</w:t>
      </w:r>
      <w:r>
        <w:rPr>
          <w:b/>
          <w:sz w:val="14"/>
        </w:rPr>
        <w:t>RTICLE </w:t>
      </w:r>
      <w:r>
        <w:rPr>
          <w:b/>
          <w:sz w:val="18"/>
        </w:rPr>
        <w:t>3.3 </w:t>
      </w:r>
      <w:r>
        <w:rPr>
          <w:b/>
          <w:sz w:val="14"/>
        </w:rPr>
        <w:t>ACTIVITIES AND LANDS TO </w:t>
      </w:r>
      <w:r>
        <w:rPr>
          <w:b/>
          <w:sz w:val="18"/>
        </w:rPr>
        <w:t>A</w:t>
      </w:r>
      <w:r>
        <w:rPr>
          <w:b/>
          <w:sz w:val="14"/>
        </w:rPr>
        <w:t>RTICLE </w:t>
      </w:r>
      <w:r>
        <w:rPr>
          <w:b/>
          <w:sz w:val="18"/>
        </w:rPr>
        <w:t>3.4 </w:t>
      </w:r>
      <w:r>
        <w:rPr>
          <w:b/>
          <w:sz w:val="14"/>
        </w:rPr>
        <w:t>ACTIVITIES OVER TIME</w:t>
      </w:r>
    </w:p>
    <w:p>
      <w:pPr>
        <w:pStyle w:val="BodyText"/>
        <w:spacing w:before="113"/>
        <w:ind w:left="720" w:right="726"/>
        <w:jc w:val="both"/>
      </w:pPr>
      <w:r>
        <w:rPr/>
        <w:t>The following examples are intended to show, conceptually, how different land-use transitions would be categorised in different inventory years under the Kyoto Protocol. This does not necessarily imply that the land-use transition can be directly measured on an annual basis. Note that for croplands and grazing lands only carbon stock changes are discussed in the examples below. Non-CO</w:t>
      </w:r>
      <w:r>
        <w:rPr>
          <w:vertAlign w:val="subscript"/>
        </w:rPr>
        <w:t>2</w:t>
      </w:r>
      <w:r>
        <w:rPr>
          <w:vertAlign w:val="baseline"/>
        </w:rPr>
        <w:t> greenhouse gas emissions for such lands are reported under the Agriculture Sector of the </w:t>
      </w:r>
      <w:r>
        <w:rPr>
          <w:i/>
          <w:vertAlign w:val="baseline"/>
        </w:rPr>
        <w:t>IPCC Guidelines </w:t>
      </w:r>
      <w:r>
        <w:rPr>
          <w:vertAlign w:val="baseline"/>
        </w:rPr>
        <w:t>(Section 4.5.2 in the Reference Manual), independently of which Article 3.4 activities were elected by the</w:t>
      </w:r>
      <w:r>
        <w:rPr>
          <w:spacing w:val="-1"/>
          <w:vertAlign w:val="baseline"/>
        </w:rPr>
        <w:t> </w:t>
      </w:r>
      <w:r>
        <w:rPr>
          <w:vertAlign w:val="baseline"/>
        </w:rPr>
        <w:t>Party.</w:t>
      </w:r>
    </w:p>
    <w:p>
      <w:pPr>
        <w:spacing w:before="123"/>
        <w:ind w:left="720" w:right="0" w:firstLine="0"/>
        <w:jc w:val="both"/>
        <w:rPr>
          <w:b/>
          <w:sz w:val="20"/>
        </w:rPr>
      </w:pPr>
      <w:r>
        <w:rPr>
          <w:b/>
          <w:sz w:val="20"/>
          <w:u w:val="single"/>
        </w:rPr>
        <w:t>Example 1: A land under forest management is deforested in 1995 and turned into a cropland.</w:t>
      </w:r>
    </w:p>
    <w:p>
      <w:pPr>
        <w:pStyle w:val="BodyText"/>
        <w:spacing w:before="115"/>
        <w:ind w:left="720" w:right="724"/>
        <w:jc w:val="both"/>
      </w:pPr>
      <w:r>
        <w:rPr/>
        <w:t>2008-2012: Carbon stock changes and non-CO</w:t>
      </w:r>
      <w:r>
        <w:rPr>
          <w:vertAlign w:val="subscript"/>
        </w:rPr>
        <w:t>2</w:t>
      </w:r>
      <w:r>
        <w:rPr>
          <w:vertAlign w:val="baseline"/>
        </w:rPr>
        <w:t> greenhouse gas emissions on this land are reported under deforestation. The methodology for croplands that were previously forest (Section 3.3.2) is to be</w:t>
      </w:r>
      <w:r>
        <w:rPr>
          <w:spacing w:val="1"/>
          <w:vertAlign w:val="baseline"/>
        </w:rPr>
        <w:t> </w:t>
      </w:r>
      <w:r>
        <w:rPr>
          <w:vertAlign w:val="baseline"/>
        </w:rPr>
        <w:t>used.</w:t>
      </w:r>
    </w:p>
    <w:p>
      <w:pPr>
        <w:pStyle w:val="BodyText"/>
        <w:spacing w:before="119"/>
        <w:ind w:left="720" w:right="725"/>
        <w:jc w:val="both"/>
      </w:pPr>
      <w:r>
        <w:rPr/>
        <w:t>Carbon stock changes on this land will not be reported under cropland management, even if cropland management was elected, because deforestation takes precedence over cropland management. The decision tree in Figure 4.1.1 therefore assigns this land to deforestation, with cropland management as a secondary classification.</w:t>
      </w:r>
    </w:p>
    <w:p>
      <w:pPr>
        <w:pStyle w:val="BodyText"/>
        <w:spacing w:before="119"/>
        <w:ind w:left="720" w:right="726"/>
        <w:jc w:val="both"/>
      </w:pPr>
      <w:r>
        <w:rPr>
          <w:spacing w:val="-3"/>
        </w:rPr>
        <w:t>Should </w:t>
      </w:r>
      <w:r>
        <w:rPr/>
        <w:t>trees be </w:t>
      </w:r>
      <w:r>
        <w:rPr>
          <w:spacing w:val="-3"/>
        </w:rPr>
        <w:t>re-established </w:t>
      </w:r>
      <w:r>
        <w:rPr/>
        <w:t>on this land again, </w:t>
      </w:r>
      <w:r>
        <w:rPr>
          <w:spacing w:val="-2"/>
        </w:rPr>
        <w:t>for </w:t>
      </w:r>
      <w:r>
        <w:rPr>
          <w:spacing w:val="-3"/>
        </w:rPr>
        <w:t>example </w:t>
      </w:r>
      <w:r>
        <w:rPr/>
        <w:t>in 2011, </w:t>
      </w:r>
      <w:r>
        <w:rPr>
          <w:spacing w:val="-3"/>
        </w:rPr>
        <w:t>the </w:t>
      </w:r>
      <w:r>
        <w:rPr/>
        <w:t>land remains in the </w:t>
      </w:r>
      <w:r>
        <w:rPr>
          <w:spacing w:val="-3"/>
        </w:rPr>
        <w:t>deforestation </w:t>
      </w:r>
      <w:r>
        <w:rPr/>
        <w:t>category, because </w:t>
      </w:r>
      <w:r>
        <w:rPr>
          <w:spacing w:val="-3"/>
        </w:rPr>
        <w:t>reforestation </w:t>
      </w:r>
      <w:r>
        <w:rPr/>
        <w:t>is </w:t>
      </w:r>
      <w:r>
        <w:rPr>
          <w:spacing w:val="-2"/>
        </w:rPr>
        <w:t>not </w:t>
      </w:r>
      <w:r>
        <w:rPr/>
        <w:t>admissible on lands that were </w:t>
      </w:r>
      <w:r>
        <w:rPr>
          <w:spacing w:val="-3"/>
        </w:rPr>
        <w:t>forest </w:t>
      </w:r>
      <w:r>
        <w:rPr/>
        <w:t>in 1990. The methodology to be </w:t>
      </w:r>
      <w:r>
        <w:rPr>
          <w:spacing w:val="-3"/>
        </w:rPr>
        <w:t>used </w:t>
      </w:r>
      <w:r>
        <w:rPr/>
        <w:t>to estimate </w:t>
      </w:r>
      <w:r>
        <w:rPr>
          <w:spacing w:val="-2"/>
        </w:rPr>
        <w:t>for </w:t>
      </w:r>
      <w:r>
        <w:rPr/>
        <w:t>carbon stock changes, however, is the one </w:t>
      </w:r>
      <w:r>
        <w:rPr>
          <w:spacing w:val="-2"/>
        </w:rPr>
        <w:t>for </w:t>
      </w:r>
      <w:r>
        <w:rPr/>
        <w:t>reforestation.</w:t>
      </w:r>
    </w:p>
    <w:p>
      <w:pPr>
        <w:spacing w:before="124"/>
        <w:ind w:left="1796" w:right="849" w:hanging="1076"/>
        <w:jc w:val="left"/>
        <w:rPr>
          <w:b/>
          <w:sz w:val="20"/>
        </w:rPr>
      </w:pPr>
      <w:r>
        <w:rPr>
          <w:b/>
          <w:sz w:val="20"/>
          <w:u w:val="single"/>
        </w:rPr>
        <w:t>Example 2: A land under forest management is deforested on 1 January 2010 and turned</w:t>
      </w:r>
      <w:r>
        <w:rPr>
          <w:b/>
          <w:sz w:val="20"/>
        </w:rPr>
        <w:t> </w:t>
      </w:r>
      <w:r>
        <w:rPr>
          <w:b/>
          <w:sz w:val="20"/>
          <w:u w:val="single"/>
        </w:rPr>
        <w:t>into a</w:t>
      </w:r>
      <w:r>
        <w:rPr>
          <w:b/>
          <w:spacing w:val="1"/>
          <w:sz w:val="20"/>
          <w:u w:val="single"/>
        </w:rPr>
        <w:t> </w:t>
      </w:r>
      <w:r>
        <w:rPr>
          <w:b/>
          <w:sz w:val="20"/>
          <w:u w:val="single"/>
        </w:rPr>
        <w:t>cropland.</w:t>
      </w:r>
    </w:p>
    <w:p>
      <w:pPr>
        <w:pStyle w:val="BodyText"/>
        <w:spacing w:before="116"/>
        <w:ind w:left="720" w:right="727"/>
        <w:jc w:val="both"/>
      </w:pPr>
      <w:r>
        <w:rPr/>
        <w:t>2008-2009: Carbon stock changes and non-CO</w:t>
      </w:r>
      <w:r>
        <w:rPr>
          <w:vertAlign w:val="subscript"/>
        </w:rPr>
        <w:t>2</w:t>
      </w:r>
      <w:r>
        <w:rPr>
          <w:vertAlign w:val="baseline"/>
        </w:rPr>
        <w:t> greenhouse gas emissions on this land for the years 2008 and 2009 are reported under forest management (if forest management is elected, otherwise they are not reported at all under the Kyoto Protocol, only as part of the regular annual LUCF inventory under the</w:t>
      </w:r>
      <w:r>
        <w:rPr>
          <w:spacing w:val="-2"/>
          <w:vertAlign w:val="baseline"/>
        </w:rPr>
        <w:t> </w:t>
      </w:r>
      <w:r>
        <w:rPr>
          <w:vertAlign w:val="baseline"/>
        </w:rPr>
        <w:t>UNFCCC).</w:t>
      </w:r>
    </w:p>
    <w:p>
      <w:pPr>
        <w:pStyle w:val="BodyText"/>
        <w:spacing w:before="119"/>
        <w:ind w:left="720" w:right="726"/>
        <w:jc w:val="both"/>
      </w:pPr>
      <w:r>
        <w:rPr/>
        <w:t>2010-2012: Carbon stock changes and non-CO</w:t>
      </w:r>
      <w:r>
        <w:rPr>
          <w:vertAlign w:val="subscript"/>
        </w:rPr>
        <w:t>2</w:t>
      </w:r>
      <w:r>
        <w:rPr>
          <w:vertAlign w:val="baseline"/>
        </w:rPr>
        <w:t> greenhouse gas emissions on this land in the years 2010-2012 are reported under deforestation. The methodology for croplands that were previously forest (Section 3.3.2) should be used. Non-CO</w:t>
      </w:r>
      <w:r>
        <w:rPr>
          <w:vertAlign w:val="subscript"/>
        </w:rPr>
        <w:t>2</w:t>
      </w:r>
      <w:r>
        <w:rPr>
          <w:vertAlign w:val="baseline"/>
        </w:rPr>
        <w:t> greenhouse gas emissions directly resulting from the deforestation should be reported under the Deforestation category. Non-CO</w:t>
      </w:r>
      <w:r>
        <w:rPr>
          <w:vertAlign w:val="subscript"/>
        </w:rPr>
        <w:t>2</w:t>
      </w:r>
      <w:r>
        <w:rPr>
          <w:vertAlign w:val="baseline"/>
        </w:rPr>
        <w:t> greenhouse gas emissions resulting from the agricultural practices should be reported in the Agriculture sector of the national inventory as per the </w:t>
      </w:r>
      <w:r>
        <w:rPr>
          <w:i/>
          <w:vertAlign w:val="baseline"/>
        </w:rPr>
        <w:t>IPCC Guidelines</w:t>
      </w:r>
      <w:r>
        <w:rPr>
          <w:vertAlign w:val="baseline"/>
        </w:rPr>
        <w:t>. Double counting should be avoided.</w:t>
      </w:r>
    </w:p>
    <w:p>
      <w:pPr>
        <w:spacing w:after="0"/>
        <w:jc w:val="both"/>
        <w:sectPr>
          <w:pgSz w:w="11900" w:h="16840"/>
          <w:pgMar w:header="230" w:footer="408" w:top="560" w:bottom="600" w:left="1260" w:right="1240"/>
        </w:sectPr>
      </w:pPr>
    </w:p>
    <w:p>
      <w:pPr>
        <w:pStyle w:val="BodyText"/>
      </w:pPr>
    </w:p>
    <w:p>
      <w:pPr>
        <w:pStyle w:val="BodyText"/>
        <w:rPr>
          <w:sz w:val="22"/>
        </w:rPr>
      </w:pPr>
    </w:p>
    <w:p>
      <w:pPr>
        <w:spacing w:before="92"/>
        <w:ind w:left="3420" w:right="0" w:firstLine="0"/>
        <w:jc w:val="left"/>
        <w:rPr>
          <w:b/>
          <w:sz w:val="18"/>
        </w:rPr>
      </w:pPr>
      <w:r>
        <w:rPr/>
        <w:pict>
          <v:group style="position:absolute;margin-left:91.240997pt;margin-top:-1.877356pt;width:413.05pt;height:649.450pt;mso-position-horizontal-relative:page;mso-position-vertical-relative:paragraph;z-index:-2436256" coordorigin="1825,-38" coordsize="8261,12989">
            <v:line style="position:absolute" from="1854,-23" to="10057,-23" stroked="true" strokeweight="1.44pt" strokecolor="#000000">
              <v:stroke dashstyle="solid"/>
            </v:line>
            <v:shape style="position:absolute;left:1839;top:-38;width:8218;height:12989" coordorigin="1839,-38" coordsize="8218,12989" path="m1854,12937l10057,12937m1839,-38l1839,12951e" filled="false" stroked="true" strokeweight="1.44pt" strokecolor="#000000">
              <v:path arrowok="t"/>
              <v:stroke dashstyle="solid"/>
            </v:shape>
            <v:line style="position:absolute" from="10071,-38" to="10071,12951" stroked="true" strokeweight="1.44pt" strokecolor="#000000">
              <v:stroke dashstyle="solid"/>
            </v:line>
            <w10:wrap type="none"/>
          </v:group>
        </w:pict>
      </w:r>
      <w:r>
        <w:rPr>
          <w:b/>
          <w:sz w:val="18"/>
        </w:rPr>
        <w:t>B</w:t>
      </w:r>
      <w:r>
        <w:rPr>
          <w:b/>
          <w:sz w:val="14"/>
        </w:rPr>
        <w:t>OX </w:t>
      </w:r>
      <w:r>
        <w:rPr>
          <w:b/>
          <w:sz w:val="18"/>
        </w:rPr>
        <w:t>4.1.1 </w:t>
      </w:r>
      <w:r>
        <w:rPr>
          <w:b/>
          <w:sz w:val="14"/>
        </w:rPr>
        <w:t>EXAMPLES </w:t>
      </w:r>
      <w:r>
        <w:rPr>
          <w:b/>
          <w:sz w:val="18"/>
        </w:rPr>
        <w:t>(</w:t>
      </w:r>
      <w:r>
        <w:rPr>
          <w:b/>
          <w:sz w:val="14"/>
        </w:rPr>
        <w:t>CONTINUED</w:t>
      </w:r>
      <w:r>
        <w:rPr>
          <w:b/>
          <w:sz w:val="18"/>
        </w:rPr>
        <w:t>)</w:t>
      </w:r>
    </w:p>
    <w:p>
      <w:pPr>
        <w:pStyle w:val="BodyText"/>
        <w:spacing w:before="116"/>
        <w:ind w:left="720" w:right="725"/>
        <w:jc w:val="both"/>
      </w:pPr>
      <w:r>
        <w:rPr/>
        <w:t>Carbon stock changes on this land will not be reported under cropland management, even if cropland management has been elected, because deforestation takes precedence over cropland management. The decision tree in Figure 4.1.1 therefore assigns this land to deforestation with cropland as a secondary classification.</w:t>
      </w:r>
    </w:p>
    <w:p>
      <w:pPr>
        <w:pStyle w:val="BodyText"/>
        <w:rPr>
          <w:sz w:val="22"/>
        </w:rPr>
      </w:pPr>
    </w:p>
    <w:p>
      <w:pPr>
        <w:pStyle w:val="BodyText"/>
        <w:spacing w:before="2"/>
        <w:rPr>
          <w:sz w:val="19"/>
        </w:rPr>
      </w:pPr>
    </w:p>
    <w:p>
      <w:pPr>
        <w:spacing w:before="1"/>
        <w:ind w:left="720" w:right="0" w:firstLine="0"/>
        <w:jc w:val="both"/>
        <w:rPr>
          <w:b/>
          <w:sz w:val="20"/>
        </w:rPr>
      </w:pPr>
      <w:r>
        <w:rPr>
          <w:b/>
          <w:sz w:val="20"/>
          <w:u w:val="single"/>
        </w:rPr>
        <w:t>Example 3: A cropland is turned into a grazing land in 2010.</w:t>
      </w:r>
    </w:p>
    <w:p>
      <w:pPr>
        <w:pStyle w:val="BodyText"/>
        <w:spacing w:before="113"/>
        <w:ind w:left="720" w:right="726"/>
        <w:jc w:val="both"/>
      </w:pPr>
      <w:r>
        <w:rPr/>
        <w:t>2008-2009: Carbon stock changes and non-CO</w:t>
      </w:r>
      <w:r>
        <w:rPr>
          <w:vertAlign w:val="subscript"/>
        </w:rPr>
        <w:t>2</w:t>
      </w:r>
      <w:r>
        <w:rPr>
          <w:vertAlign w:val="baseline"/>
        </w:rPr>
        <w:t> GHG emissions on this land are reported under cropland management (if elected, otherwise not reported at all under the Kyoto Protocol, only as part of the annual LUCF inventory).</w:t>
      </w:r>
    </w:p>
    <w:p>
      <w:pPr>
        <w:pStyle w:val="BodyText"/>
        <w:spacing w:before="121"/>
        <w:ind w:left="720" w:right="726"/>
        <w:jc w:val="both"/>
      </w:pPr>
      <w:r>
        <w:rPr/>
        <w:t>2010-2012: If grazing land management is elected, carbon stock changes and non-CO</w:t>
      </w:r>
      <w:r>
        <w:rPr>
          <w:vertAlign w:val="subscript"/>
        </w:rPr>
        <w:t>2</w:t>
      </w:r>
      <w:r>
        <w:rPr>
          <w:vertAlign w:val="baseline"/>
        </w:rPr>
        <w:t> greenhouse gas emissions from this land are reported under grazing land management (Sections 3.4.2 and 4.2.9). If grazing land management is not elected, carbon stock changes and non-CO</w:t>
      </w:r>
      <w:r>
        <w:rPr>
          <w:vertAlign w:val="subscript"/>
        </w:rPr>
        <w:t>2</w:t>
      </w:r>
      <w:r>
        <w:rPr>
          <w:vertAlign w:val="baseline"/>
        </w:rPr>
        <w:t> greenhouse gas emissions on this land will still have to be reported under cropland management for those years (if cropland management is elected), because of the requirement to continue to report on future stock changes once land has entered the Kyoto reporting system.</w:t>
      </w:r>
    </w:p>
    <w:p>
      <w:pPr>
        <w:pStyle w:val="BodyText"/>
        <w:rPr>
          <w:sz w:val="22"/>
        </w:rPr>
      </w:pPr>
    </w:p>
    <w:p>
      <w:pPr>
        <w:pStyle w:val="BodyText"/>
        <w:spacing w:before="1"/>
        <w:rPr>
          <w:sz w:val="19"/>
        </w:rPr>
      </w:pPr>
    </w:p>
    <w:p>
      <w:pPr>
        <w:spacing w:before="0"/>
        <w:ind w:left="720" w:right="0" w:firstLine="0"/>
        <w:jc w:val="both"/>
        <w:rPr>
          <w:b/>
          <w:sz w:val="20"/>
        </w:rPr>
      </w:pPr>
      <w:r>
        <w:rPr>
          <w:b/>
          <w:sz w:val="20"/>
          <w:u w:val="single"/>
        </w:rPr>
        <w:t>Example 4: A grazing land is turned into a settlement in 2005.</w:t>
      </w:r>
    </w:p>
    <w:p>
      <w:pPr>
        <w:pStyle w:val="BodyText"/>
        <w:spacing w:before="116"/>
        <w:ind w:left="720" w:right="727"/>
        <w:jc w:val="both"/>
      </w:pPr>
      <w:r>
        <w:rPr/>
        <w:t>2008-2012: Carbon stock changes and non-CO</w:t>
      </w:r>
      <w:r>
        <w:rPr>
          <w:vertAlign w:val="subscript"/>
        </w:rPr>
        <w:t>2</w:t>
      </w:r>
      <w:r>
        <w:rPr>
          <w:vertAlign w:val="baseline"/>
        </w:rPr>
        <w:t> greenhouse gas emissions from this land are not reported under the Kyoto Protocol, since it was not subject to an elected activity during the commitment period.</w:t>
      </w:r>
    </w:p>
    <w:p>
      <w:pPr>
        <w:pStyle w:val="BodyText"/>
        <w:rPr>
          <w:sz w:val="22"/>
        </w:rPr>
      </w:pPr>
    </w:p>
    <w:p>
      <w:pPr>
        <w:pStyle w:val="BodyText"/>
        <w:spacing w:before="3"/>
        <w:rPr>
          <w:sz w:val="19"/>
        </w:rPr>
      </w:pPr>
    </w:p>
    <w:p>
      <w:pPr>
        <w:spacing w:before="0"/>
        <w:ind w:left="720" w:right="0" w:firstLine="0"/>
        <w:jc w:val="both"/>
        <w:rPr>
          <w:b/>
          <w:sz w:val="20"/>
        </w:rPr>
      </w:pPr>
      <w:r>
        <w:rPr>
          <w:b/>
          <w:sz w:val="20"/>
          <w:u w:val="single"/>
        </w:rPr>
        <w:t>Example 5: A grazing land is turned into a settlement land in 2010.</w:t>
      </w:r>
    </w:p>
    <w:p>
      <w:pPr>
        <w:pStyle w:val="BodyText"/>
        <w:spacing w:before="113"/>
        <w:ind w:left="720" w:right="726"/>
        <w:jc w:val="both"/>
      </w:pPr>
      <w:r>
        <w:rPr/>
        <w:t>The land needs to be reported as being subject to grazing land management (if elected) in all five years of the commitment period (because it was under grazing land management at least in one year during the commitment period). Pre-2010, the grazing land methods need to be used whereas, starting in 2010, the methodologies for conversion to settlements need to be</w:t>
      </w:r>
      <w:r>
        <w:rPr>
          <w:spacing w:val="-8"/>
        </w:rPr>
        <w:t> </w:t>
      </w:r>
      <w:r>
        <w:rPr/>
        <w:t>used.</w:t>
      </w:r>
    </w:p>
    <w:p>
      <w:pPr>
        <w:pStyle w:val="BodyText"/>
        <w:rPr>
          <w:sz w:val="22"/>
        </w:rPr>
      </w:pPr>
    </w:p>
    <w:p>
      <w:pPr>
        <w:pStyle w:val="BodyText"/>
        <w:spacing w:before="3"/>
        <w:rPr>
          <w:sz w:val="19"/>
        </w:rPr>
      </w:pPr>
    </w:p>
    <w:p>
      <w:pPr>
        <w:spacing w:before="0"/>
        <w:ind w:left="720" w:right="0" w:firstLine="0"/>
        <w:jc w:val="both"/>
        <w:rPr>
          <w:b/>
          <w:sz w:val="20"/>
        </w:rPr>
      </w:pPr>
      <w:r>
        <w:rPr>
          <w:b/>
          <w:sz w:val="20"/>
          <w:u w:val="single"/>
        </w:rPr>
        <w:t>Example 6: Forest management land is turned into a settlement in 2010.</w:t>
      </w:r>
    </w:p>
    <w:p>
      <w:pPr>
        <w:pStyle w:val="BodyText"/>
        <w:spacing w:before="116"/>
        <w:ind w:left="720" w:right="727"/>
        <w:jc w:val="both"/>
      </w:pPr>
      <w:r>
        <w:rPr/>
        <w:t>2008-2009: Carbon stock changes and non-CO</w:t>
      </w:r>
      <w:r>
        <w:rPr>
          <w:vertAlign w:val="subscript"/>
        </w:rPr>
        <w:t>2</w:t>
      </w:r>
      <w:r>
        <w:rPr>
          <w:vertAlign w:val="baseline"/>
        </w:rPr>
        <w:t> greenhouse gas emissions from this land are reported under forest management (if elected, otherwise not reported at all under the Kyoto Protocol, only under the managed forest of the regular LUCF inventory).</w:t>
      </w:r>
    </w:p>
    <w:p>
      <w:pPr>
        <w:pStyle w:val="BodyText"/>
        <w:spacing w:before="118"/>
        <w:ind w:left="720" w:right="728"/>
        <w:jc w:val="both"/>
      </w:pPr>
      <w:r>
        <w:rPr/>
        <w:t>2010-2012: Land reported as “deforested”, using the methodologies of Chapter 3, Section 3.6, for lands converted to settlements.</w:t>
      </w:r>
    </w:p>
    <w:p>
      <w:pPr>
        <w:pStyle w:val="BodyText"/>
        <w:spacing w:before="121"/>
        <w:ind w:left="720" w:right="727"/>
        <w:jc w:val="both"/>
      </w:pPr>
      <w:r>
        <w:rPr/>
        <w:t>Example 6 shows that land which is converted from an elected land use during the commitment period should continue to be reported. This does not apply to Example 4 because no removal units will have been generated.</w:t>
      </w:r>
    </w:p>
    <w:p>
      <w:pPr>
        <w:pStyle w:val="BodyText"/>
        <w:rPr>
          <w:sz w:val="22"/>
        </w:rPr>
      </w:pPr>
    </w:p>
    <w:p>
      <w:pPr>
        <w:pStyle w:val="BodyText"/>
        <w:spacing w:before="9"/>
        <w:rPr>
          <w:sz w:val="18"/>
        </w:rPr>
      </w:pPr>
    </w:p>
    <w:p>
      <w:pPr>
        <w:spacing w:before="1"/>
        <w:ind w:left="720" w:right="0" w:firstLine="0"/>
        <w:jc w:val="both"/>
        <w:rPr>
          <w:b/>
          <w:sz w:val="20"/>
        </w:rPr>
      </w:pPr>
      <w:r>
        <w:rPr/>
        <w:pict>
          <v:line style="position:absolute;mso-position-horizontal-relative:page;mso-position-vertical-relative:paragraph;z-index:19936" from="99.041pt,10.94624pt" to="414.761pt,10.94624pt" stroked="true" strokeweight=".96pt" strokecolor="#000000">
            <v:stroke dashstyle="solid"/>
            <w10:wrap type="none"/>
          </v:line>
        </w:pict>
      </w:r>
      <w:r>
        <w:rPr>
          <w:b/>
          <w:sz w:val="20"/>
        </w:rPr>
        <w:t>Example 7: Forest management land is turned into a settlement</w:t>
      </w:r>
      <w:r>
        <w:rPr>
          <w:sz w:val="20"/>
          <w:vertAlign w:val="superscript"/>
        </w:rPr>
        <w:t>18</w:t>
      </w:r>
      <w:r>
        <w:rPr>
          <w:sz w:val="20"/>
          <w:vertAlign w:val="baseline"/>
        </w:rPr>
        <w:t> </w:t>
      </w:r>
      <w:r>
        <w:rPr>
          <w:b/>
          <w:sz w:val="20"/>
          <w:vertAlign w:val="baseline"/>
        </w:rPr>
        <w:t>in 1995.</w:t>
      </w:r>
    </w:p>
    <w:p>
      <w:pPr>
        <w:pStyle w:val="BodyText"/>
        <w:spacing w:before="118"/>
        <w:ind w:left="720"/>
        <w:jc w:val="both"/>
      </w:pPr>
      <w:r>
        <w:rPr/>
        <w:t>2008-2012 carbon stock changes are reported under Article 3.3, deforestation.</w:t>
      </w:r>
    </w:p>
    <w:p>
      <w:pPr>
        <w:pStyle w:val="BodyText"/>
        <w:rPr>
          <w:sz w:val="22"/>
        </w:rPr>
      </w:pPr>
    </w:p>
    <w:p>
      <w:pPr>
        <w:pStyle w:val="BodyText"/>
        <w:spacing w:before="4"/>
        <w:rPr>
          <w:sz w:val="19"/>
        </w:rPr>
      </w:pPr>
    </w:p>
    <w:p>
      <w:pPr>
        <w:spacing w:before="0"/>
        <w:ind w:left="720" w:right="0" w:firstLine="0"/>
        <w:jc w:val="both"/>
        <w:rPr>
          <w:b/>
          <w:sz w:val="20"/>
        </w:rPr>
      </w:pPr>
      <w:r>
        <w:rPr>
          <w:b/>
          <w:sz w:val="20"/>
          <w:u w:val="single"/>
        </w:rPr>
        <w:t>Example 8: Other land is turned into grazing land (and reported as revegetation) in 2005.</w:t>
      </w:r>
    </w:p>
    <w:p>
      <w:pPr>
        <w:pStyle w:val="BodyText"/>
        <w:spacing w:before="115"/>
        <w:ind w:left="720" w:right="1119"/>
      </w:pPr>
      <w:r>
        <w:rPr/>
        <w:t>In each year of the commitment period the carbon stock changes and non-CO</w:t>
      </w:r>
      <w:r>
        <w:rPr>
          <w:vertAlign w:val="subscript"/>
        </w:rPr>
        <w:t>2</w:t>
      </w:r>
      <w:r>
        <w:rPr>
          <w:vertAlign w:val="baseline"/>
        </w:rPr>
        <w:t> greenhouse gas emissions from this land are reported under revegetation (if elected).</w:t>
      </w:r>
    </w:p>
    <w:p>
      <w:pPr>
        <w:pStyle w:val="BodyText"/>
      </w:pPr>
    </w:p>
    <w:p>
      <w:pPr>
        <w:pStyle w:val="BodyText"/>
      </w:pPr>
    </w:p>
    <w:p>
      <w:pPr>
        <w:pStyle w:val="BodyText"/>
      </w:pPr>
    </w:p>
    <w:p>
      <w:pPr>
        <w:pStyle w:val="BodyText"/>
        <w:spacing w:before="8"/>
        <w:rPr>
          <w:sz w:val="23"/>
        </w:rPr>
      </w:pPr>
      <w:r>
        <w:rPr/>
        <w:pict>
          <v:line style="position:absolute;mso-position-horizontal-relative:page;mso-position-vertical-relative:paragraph;z-index:17840;mso-wrap-distance-left:0;mso-wrap-distance-right:0" from="70.960999pt,15.833955pt" to="214.960999pt,15.833955pt" stroked="true" strokeweight=".48pt" strokecolor="#000000">
            <v:stroke dashstyle="solid"/>
            <w10:wrap type="topAndBottom"/>
          </v:line>
        </w:pict>
      </w:r>
    </w:p>
    <w:p>
      <w:pPr>
        <w:spacing w:before="153"/>
        <w:ind w:left="159" w:right="0" w:firstLine="0"/>
        <w:jc w:val="left"/>
        <w:rPr>
          <w:sz w:val="18"/>
        </w:rPr>
      </w:pPr>
      <w:r>
        <w:rPr>
          <w:position w:val="8"/>
          <w:sz w:val="12"/>
        </w:rPr>
        <w:t>18 </w:t>
      </w:r>
      <w:r>
        <w:rPr>
          <w:sz w:val="18"/>
        </w:rPr>
        <w:t>which, by definition, is non-forest, see Chapter 2.</w:t>
      </w:r>
    </w:p>
    <w:p>
      <w:pPr>
        <w:spacing w:after="0"/>
        <w:jc w:val="left"/>
        <w:rPr>
          <w:sz w:val="18"/>
        </w:rPr>
        <w:sectPr>
          <w:pgSz w:w="11900" w:h="16840"/>
          <w:pgMar w:header="230" w:footer="408" w:top="560" w:bottom="600" w:left="1260" w:right="1240"/>
        </w:sectPr>
      </w:pPr>
    </w:p>
    <w:p>
      <w:pPr>
        <w:pStyle w:val="BodyText"/>
      </w:pPr>
    </w:p>
    <w:p>
      <w:pPr>
        <w:pStyle w:val="BodyText"/>
      </w:pPr>
    </w:p>
    <w:p>
      <w:pPr>
        <w:pStyle w:val="BodyText"/>
        <w:spacing w:before="6"/>
        <w:rPr>
          <w:sz w:val="22"/>
        </w:rPr>
      </w:pPr>
    </w:p>
    <w:p>
      <w:pPr>
        <w:pStyle w:val="Heading2"/>
        <w:numPr>
          <w:ilvl w:val="2"/>
          <w:numId w:val="125"/>
        </w:numPr>
        <w:tabs>
          <w:tab w:pos="1361" w:val="left" w:leader="none"/>
          <w:tab w:pos="1362" w:val="left" w:leader="none"/>
        </w:tabs>
        <w:spacing w:line="240" w:lineRule="auto" w:before="86" w:after="0"/>
        <w:ind w:left="1361" w:right="1136" w:hanging="1202"/>
        <w:jc w:val="left"/>
      </w:pPr>
      <w:r>
        <w:rPr>
          <w:spacing w:val="8"/>
        </w:rPr>
        <w:t>Relationship between </w:t>
      </w:r>
      <w:r>
        <w:rPr>
          <w:spacing w:val="7"/>
        </w:rPr>
        <w:t>Annex </w:t>
      </w:r>
      <w:r>
        <w:rPr/>
        <w:t>I </w:t>
      </w:r>
      <w:r>
        <w:rPr>
          <w:spacing w:val="8"/>
        </w:rPr>
        <w:t>Parties’ </w:t>
      </w:r>
      <w:r>
        <w:rPr>
          <w:spacing w:val="9"/>
        </w:rPr>
        <w:t>national </w:t>
      </w:r>
      <w:r>
        <w:rPr>
          <w:spacing w:val="8"/>
        </w:rPr>
        <w:t>inventories </w:t>
      </w:r>
      <w:r>
        <w:rPr>
          <w:spacing w:val="6"/>
        </w:rPr>
        <w:t>and </w:t>
      </w:r>
      <w:r>
        <w:rPr>
          <w:spacing w:val="8"/>
        </w:rPr>
        <w:t>Article </w:t>
      </w:r>
      <w:r>
        <w:rPr/>
        <w:t>6 </w:t>
      </w:r>
      <w:r>
        <w:rPr>
          <w:spacing w:val="8"/>
        </w:rPr>
        <w:t>LULUCF</w:t>
      </w:r>
      <w:r>
        <w:rPr>
          <w:spacing w:val="84"/>
        </w:rPr>
        <w:t> </w:t>
      </w:r>
      <w:r>
        <w:rPr>
          <w:spacing w:val="8"/>
        </w:rPr>
        <w:t>projects</w:t>
      </w:r>
    </w:p>
    <w:p>
      <w:pPr>
        <w:pStyle w:val="BodyText"/>
        <w:spacing w:before="115"/>
        <w:ind w:left="159" w:right="164"/>
        <w:jc w:val="both"/>
      </w:pPr>
      <w:r>
        <w:rPr/>
        <w:t>Emissions or removals resulting from Article 6 projects will be part of the host country’s annual inventory under the UNFCCC and Kyoto Protocol reporting. The methods for estimating, measuring, monitoring and reporting greenhouse gas emissions and removals resulting from LULUCF project activities are addressed in Section 4.3 (LULUCF Projects).</w:t>
      </w:r>
    </w:p>
    <w:p>
      <w:pPr>
        <w:pStyle w:val="BodyText"/>
        <w:spacing w:before="119"/>
        <w:ind w:left="159" w:right="163"/>
        <w:jc w:val="both"/>
      </w:pPr>
      <w:r>
        <w:rPr/>
        <w:t>When estimating the greenhouse gas emissions and removals of Article 3.3 and 3.4 activities, it is possible to use the information that is reported for, or is meeting the standards of, Article 6 LULUCF projects on these lands (but not </w:t>
      </w:r>
      <w:r>
        <w:rPr>
          <w:i/>
        </w:rPr>
        <w:t>vice versa</w:t>
      </w:r>
      <w:r>
        <w:rPr/>
        <w:t>). Two options exist for Article 3.3 and Article 3.4 estimation, both of which are considered </w:t>
      </w:r>
      <w:r>
        <w:rPr>
          <w:i/>
        </w:rPr>
        <w:t>good</w:t>
      </w:r>
      <w:r>
        <w:rPr>
          <w:i/>
          <w:spacing w:val="-1"/>
        </w:rPr>
        <w:t> </w:t>
      </w:r>
      <w:r>
        <w:rPr>
          <w:i/>
        </w:rPr>
        <w:t>practice</w:t>
      </w:r>
      <w:r>
        <w:rPr/>
        <w:t>:</w:t>
      </w:r>
    </w:p>
    <w:p>
      <w:pPr>
        <w:pStyle w:val="BodyText"/>
        <w:spacing w:before="120"/>
        <w:ind w:left="159" w:right="163"/>
        <w:jc w:val="both"/>
      </w:pPr>
      <w:r>
        <w:rPr>
          <w:b/>
        </w:rPr>
        <w:t>Option 1: </w:t>
      </w:r>
      <w:r>
        <w:rPr/>
        <w:t>Carry out Article 3.3 and Article 3.4 assessment without consideration of information reported for Article 6 projects (which are reported separately according to Section 4.3). This assumes that a  properly designed national system will also automatically include the effects of Article 6 projects. This approach is also taken in the other emission sectors. For example, an Article 6 project that reduces emissions from fossil fuels is not </w:t>
      </w:r>
      <w:r>
        <w:rPr>
          <w:i/>
        </w:rPr>
        <w:t>individually </w:t>
      </w:r>
      <w:r>
        <w:rPr/>
        <w:t>considered in the national emissions inventory, but will </w:t>
      </w:r>
      <w:r>
        <w:rPr>
          <w:i/>
        </w:rPr>
        <w:t>implicitly </w:t>
      </w:r>
      <w:r>
        <w:rPr/>
        <w:t>be included due to the project’s impacts in the national statistics for fossil fuels.</w:t>
      </w:r>
    </w:p>
    <w:p>
      <w:pPr>
        <w:pStyle w:val="BodyText"/>
        <w:spacing w:before="117"/>
        <w:ind w:left="159" w:right="160"/>
        <w:jc w:val="both"/>
      </w:pPr>
      <w:r>
        <w:rPr>
          <w:b/>
        </w:rPr>
        <w:t>Option 2: </w:t>
      </w:r>
      <w:r>
        <w:rPr/>
        <w:t>Consider all changes of carbon stocks as well as greenhouse gas emissions and removals at the project level as a primary data source for Article 3.3 and/or Article 3.4 estimation and reporting, for example by considering projects as a separate stratum. Any Article 3.3 and 3.4 activities that are not projects need to be monitored separately. In this case, the design of the monitoring must ensure that projects are explicitly excluded from the remaining lands under Articles 3.3 and 3.4, to avoid double counting.</w:t>
      </w:r>
    </w:p>
    <w:p>
      <w:pPr>
        <w:pStyle w:val="BodyText"/>
        <w:spacing w:before="120"/>
        <w:ind w:left="159" w:right="164"/>
        <w:jc w:val="both"/>
      </w:pPr>
      <w:r>
        <w:rPr/>
        <w:t>One important difference between project and national (Articles 3.3 and 3.4) accounting is that projects have a baseline scenario (i.e., only </w:t>
      </w:r>
      <w:r>
        <w:rPr>
          <w:b/>
        </w:rPr>
        <w:t>additional </w:t>
      </w:r>
      <w:r>
        <w:rPr/>
        <w:t>carbon stock changes and non-CO</w:t>
      </w:r>
      <w:r>
        <w:rPr>
          <w:vertAlign w:val="subscript"/>
        </w:rPr>
        <w:t>2</w:t>
      </w:r>
      <w:r>
        <w:rPr>
          <w:vertAlign w:val="baseline"/>
        </w:rPr>
        <w:t> greenhouse gas emissions due to the project are accounted), while afforestation, reforestation, deforestation, forest management, cropland management, grazing land management and revegetation do not have a baseline scenario. Therefore, when using project-level information for reporting under Articles 3.3 and 3.4, one must take account of the overall carbon stock changes and non-CO</w:t>
      </w:r>
      <w:r>
        <w:rPr>
          <w:vertAlign w:val="subscript"/>
        </w:rPr>
        <w:t>2</w:t>
      </w:r>
      <w:r>
        <w:rPr>
          <w:vertAlign w:val="baseline"/>
        </w:rPr>
        <w:t> greenhouse gas emissions associated with the projects, and not just the change relative to the baseline scenario.</w:t>
      </w:r>
    </w:p>
    <w:p>
      <w:pPr>
        <w:spacing w:after="0"/>
        <w:jc w:val="both"/>
        <w:sectPr>
          <w:pgSz w:w="11900" w:h="16840"/>
          <w:pgMar w:header="230" w:footer="408" w:top="560" w:bottom="600" w:left="1260" w:right="1240"/>
        </w:sectPr>
      </w:pPr>
    </w:p>
    <w:p>
      <w:pPr>
        <w:pStyle w:val="BodyText"/>
      </w:pPr>
    </w:p>
    <w:p>
      <w:pPr>
        <w:pStyle w:val="BodyText"/>
      </w:pPr>
    </w:p>
    <w:p>
      <w:pPr>
        <w:pStyle w:val="Heading2"/>
        <w:spacing w:before="225"/>
        <w:ind w:left="159" w:firstLine="0"/>
        <w:jc w:val="both"/>
      </w:pPr>
      <w:r>
        <w:rPr>
          <w:spacing w:val="12"/>
        </w:rPr>
        <w:t>4.2 </w:t>
      </w:r>
      <w:r>
        <w:rPr>
          <w:spacing w:val="17"/>
        </w:rPr>
        <w:t>METHODS </w:t>
      </w:r>
      <w:r>
        <w:rPr>
          <w:spacing w:val="14"/>
        </w:rPr>
        <w:t>FOR</w:t>
      </w:r>
      <w:r>
        <w:rPr>
          <w:spacing w:val="90"/>
        </w:rPr>
        <w:t> </w:t>
      </w:r>
      <w:r>
        <w:rPr>
          <w:spacing w:val="20"/>
        </w:rPr>
        <w:t>ESTIMATION,</w:t>
      </w:r>
    </w:p>
    <w:p>
      <w:pPr>
        <w:spacing w:line="368" w:lineRule="exact" w:before="1"/>
        <w:ind w:left="1361" w:right="0" w:firstLine="0"/>
        <w:jc w:val="left"/>
        <w:rPr>
          <w:b/>
          <w:sz w:val="32"/>
        </w:rPr>
      </w:pPr>
      <w:r>
        <w:rPr>
          <w:b/>
          <w:sz w:val="32"/>
        </w:rPr>
        <w:t>MEASUREMENT, MONITORING AND</w:t>
      </w:r>
    </w:p>
    <w:p>
      <w:pPr>
        <w:spacing w:before="0"/>
        <w:ind w:left="1361" w:right="0" w:firstLine="0"/>
        <w:jc w:val="left"/>
        <w:rPr>
          <w:b/>
          <w:sz w:val="32"/>
        </w:rPr>
      </w:pPr>
      <w:r>
        <w:rPr>
          <w:b/>
          <w:spacing w:val="17"/>
          <w:sz w:val="32"/>
        </w:rPr>
        <w:t>REPORTING </w:t>
      </w:r>
      <w:r>
        <w:rPr>
          <w:b/>
          <w:spacing w:val="10"/>
          <w:sz w:val="32"/>
        </w:rPr>
        <w:t>OF </w:t>
      </w:r>
      <w:r>
        <w:rPr>
          <w:b/>
          <w:spacing w:val="16"/>
          <w:sz w:val="32"/>
        </w:rPr>
        <w:t>LULUCF </w:t>
      </w:r>
      <w:r>
        <w:rPr>
          <w:b/>
          <w:spacing w:val="18"/>
          <w:sz w:val="32"/>
        </w:rPr>
        <w:t>ACTIVITIES </w:t>
      </w:r>
      <w:r>
        <w:rPr>
          <w:b/>
          <w:spacing w:val="17"/>
          <w:sz w:val="32"/>
        </w:rPr>
        <w:t>UNDER ARTICLES </w:t>
      </w:r>
      <w:r>
        <w:rPr>
          <w:b/>
          <w:spacing w:val="13"/>
          <w:sz w:val="32"/>
        </w:rPr>
        <w:t>3.3 AND</w:t>
      </w:r>
      <w:r>
        <w:rPr>
          <w:b/>
          <w:spacing w:val="86"/>
          <w:sz w:val="32"/>
        </w:rPr>
        <w:t> </w:t>
      </w:r>
      <w:r>
        <w:rPr>
          <w:b/>
          <w:spacing w:val="13"/>
          <w:sz w:val="32"/>
        </w:rPr>
        <w:t>3.4</w:t>
      </w:r>
    </w:p>
    <w:p>
      <w:pPr>
        <w:pStyle w:val="BodyText"/>
        <w:spacing w:before="173"/>
        <w:ind w:left="159" w:right="166"/>
        <w:jc w:val="both"/>
      </w:pPr>
      <w:r>
        <w:rPr/>
        <w:t>Section 4.2 provides a discussion of generic methodological issues that concern all possible land use, land-use change and forestry (LULUCF) activities under Kyoto Protocol Articles 3.3 and 3.4 (Section 4.2.1 on the relationship between land-use categories in reporting under the UNFCCC and the Kyoto Protocol, 4.2.2 on land areas, Section 4.2.3 on estimating carbon stock changes and non-CO</w:t>
      </w:r>
      <w:r>
        <w:rPr>
          <w:vertAlign w:val="subscript"/>
        </w:rPr>
        <w:t>2</w:t>
      </w:r>
      <w:r>
        <w:rPr>
          <w:vertAlign w:val="baseline"/>
        </w:rPr>
        <w:t> greenhouse gas emissions, and Section</w:t>
      </w:r>
    </w:p>
    <w:p>
      <w:pPr>
        <w:pStyle w:val="BodyText"/>
        <w:ind w:left="159" w:right="166"/>
        <w:jc w:val="both"/>
      </w:pPr>
      <w:r>
        <w:rPr/>
        <w:t>4.2.4 on other generic methodological issues). This is followed by specific methodologies for monitoring afforestation and reforestation (treated together), deforestation, forest management, cropland management, grazing land management and revegetation (Sections 4.2.5 – 4.2.10), and projects (Section 4.3). Readers should refer to both the generic and the specific issues for any one of the activities.</w:t>
      </w:r>
    </w:p>
    <w:p>
      <w:pPr>
        <w:pStyle w:val="BodyText"/>
        <w:rPr>
          <w:sz w:val="22"/>
        </w:rPr>
      </w:pPr>
    </w:p>
    <w:p>
      <w:pPr>
        <w:pStyle w:val="BodyText"/>
        <w:spacing w:before="1"/>
      </w:pPr>
    </w:p>
    <w:p>
      <w:pPr>
        <w:pStyle w:val="Heading2"/>
        <w:numPr>
          <w:ilvl w:val="2"/>
          <w:numId w:val="127"/>
        </w:numPr>
        <w:tabs>
          <w:tab w:pos="1361" w:val="left" w:leader="none"/>
          <w:tab w:pos="1362" w:val="left" w:leader="none"/>
        </w:tabs>
        <w:spacing w:line="240" w:lineRule="auto" w:before="0" w:after="0"/>
        <w:ind w:left="1361" w:right="536" w:hanging="1202"/>
        <w:jc w:val="left"/>
      </w:pPr>
      <w:r>
        <w:rPr>
          <w:spacing w:val="8"/>
        </w:rPr>
        <w:t>Relationship between UNFCCC land-use categories </w:t>
      </w:r>
      <w:r>
        <w:rPr>
          <w:spacing w:val="6"/>
        </w:rPr>
        <w:t>and </w:t>
      </w:r>
      <w:r>
        <w:rPr>
          <w:spacing w:val="7"/>
        </w:rPr>
        <w:t>Kyoto </w:t>
      </w:r>
      <w:r>
        <w:rPr>
          <w:spacing w:val="8"/>
        </w:rPr>
        <w:t>Protocol (Articles </w:t>
      </w:r>
      <w:r>
        <w:rPr>
          <w:spacing w:val="6"/>
        </w:rPr>
        <w:t>3.3 and </w:t>
      </w:r>
      <w:r>
        <w:rPr>
          <w:spacing w:val="8"/>
        </w:rPr>
        <w:t>3.4) </w:t>
      </w:r>
      <w:r>
        <w:rPr>
          <w:spacing w:val="9"/>
        </w:rPr>
        <w:t>land-use categories</w:t>
      </w:r>
    </w:p>
    <w:p>
      <w:pPr>
        <w:pStyle w:val="BodyText"/>
        <w:spacing w:before="115"/>
        <w:ind w:left="159" w:right="167"/>
        <w:jc w:val="both"/>
      </w:pPr>
      <w:r>
        <w:rPr/>
        <w:t>This subsection provides an overview of how the activities under Articles 3.3 and 3.4 relate to the land-use categories introduced in Chapter 2 and elaborated/utilized for the purposes of reporting on national greenhouse gas emissions and removals under the UNFCCC in Chapter 3 (LUCF sector good practice guidance).</w:t>
      </w:r>
    </w:p>
    <w:p>
      <w:pPr>
        <w:pStyle w:val="BodyText"/>
        <w:spacing w:before="118"/>
        <w:ind w:left="159"/>
        <w:jc w:val="both"/>
      </w:pPr>
      <w:r>
        <w:rPr/>
        <w:t>Land-use systems are classified in Chapters 2 and 3 into:</w:t>
      </w:r>
    </w:p>
    <w:p>
      <w:pPr>
        <w:pStyle w:val="ListParagraph"/>
        <w:numPr>
          <w:ilvl w:val="0"/>
          <w:numId w:val="128"/>
        </w:numPr>
        <w:tabs>
          <w:tab w:pos="726" w:val="left" w:leader="none"/>
        </w:tabs>
        <w:spacing w:line="240" w:lineRule="auto" w:before="121" w:after="0"/>
        <w:ind w:left="725" w:right="0" w:hanging="566"/>
        <w:jc w:val="both"/>
        <w:rPr>
          <w:sz w:val="20"/>
        </w:rPr>
      </w:pPr>
      <w:r>
        <w:rPr>
          <w:sz w:val="20"/>
        </w:rPr>
        <w:t>Forest land (managed and unmanaged) (Section</w:t>
      </w:r>
      <w:r>
        <w:rPr>
          <w:spacing w:val="1"/>
          <w:sz w:val="20"/>
        </w:rPr>
        <w:t> </w:t>
      </w:r>
      <w:r>
        <w:rPr>
          <w:sz w:val="20"/>
        </w:rPr>
        <w:t>3.2)</w:t>
      </w:r>
    </w:p>
    <w:p>
      <w:pPr>
        <w:pStyle w:val="ListParagraph"/>
        <w:numPr>
          <w:ilvl w:val="0"/>
          <w:numId w:val="128"/>
        </w:numPr>
        <w:tabs>
          <w:tab w:pos="726" w:val="left" w:leader="none"/>
        </w:tabs>
        <w:spacing w:line="240" w:lineRule="auto" w:before="120" w:after="0"/>
        <w:ind w:left="725" w:right="0" w:hanging="566"/>
        <w:jc w:val="both"/>
        <w:rPr>
          <w:sz w:val="20"/>
        </w:rPr>
      </w:pPr>
      <w:r>
        <w:rPr>
          <w:sz w:val="20"/>
        </w:rPr>
        <w:t>Cropland (Section</w:t>
      </w:r>
      <w:r>
        <w:rPr>
          <w:spacing w:val="-1"/>
          <w:sz w:val="20"/>
        </w:rPr>
        <w:t> </w:t>
      </w:r>
      <w:r>
        <w:rPr>
          <w:sz w:val="20"/>
        </w:rPr>
        <w:t>3.3)</w:t>
      </w:r>
    </w:p>
    <w:p>
      <w:pPr>
        <w:pStyle w:val="ListParagraph"/>
        <w:numPr>
          <w:ilvl w:val="0"/>
          <w:numId w:val="128"/>
        </w:numPr>
        <w:tabs>
          <w:tab w:pos="726" w:val="left" w:leader="none"/>
        </w:tabs>
        <w:spacing w:line="240" w:lineRule="auto" w:before="118" w:after="0"/>
        <w:ind w:left="725" w:right="0" w:hanging="566"/>
        <w:jc w:val="both"/>
        <w:rPr>
          <w:sz w:val="20"/>
        </w:rPr>
      </w:pPr>
      <w:r>
        <w:rPr>
          <w:sz w:val="20"/>
        </w:rPr>
        <w:t>Grassland (managed and unmanaged) (Section</w:t>
      </w:r>
      <w:r>
        <w:rPr>
          <w:spacing w:val="1"/>
          <w:sz w:val="20"/>
        </w:rPr>
        <w:t> </w:t>
      </w:r>
      <w:r>
        <w:rPr>
          <w:sz w:val="20"/>
        </w:rPr>
        <w:t>3.4)</w:t>
      </w:r>
    </w:p>
    <w:p>
      <w:pPr>
        <w:pStyle w:val="ListParagraph"/>
        <w:numPr>
          <w:ilvl w:val="0"/>
          <w:numId w:val="128"/>
        </w:numPr>
        <w:tabs>
          <w:tab w:pos="726" w:val="left" w:leader="none"/>
        </w:tabs>
        <w:spacing w:line="240" w:lineRule="auto" w:before="121" w:after="0"/>
        <w:ind w:left="725" w:right="0" w:hanging="566"/>
        <w:jc w:val="both"/>
        <w:rPr>
          <w:sz w:val="20"/>
        </w:rPr>
      </w:pPr>
      <w:r>
        <w:rPr>
          <w:sz w:val="20"/>
        </w:rPr>
        <w:t>Wetlands (Section 3.5 and Appendix</w:t>
      </w:r>
      <w:r>
        <w:rPr>
          <w:spacing w:val="-1"/>
          <w:sz w:val="20"/>
        </w:rPr>
        <w:t> </w:t>
      </w:r>
      <w:r>
        <w:rPr>
          <w:sz w:val="20"/>
        </w:rPr>
        <w:t>3a.3)</w:t>
      </w:r>
    </w:p>
    <w:p>
      <w:pPr>
        <w:pStyle w:val="ListParagraph"/>
        <w:numPr>
          <w:ilvl w:val="0"/>
          <w:numId w:val="128"/>
        </w:numPr>
        <w:tabs>
          <w:tab w:pos="725" w:val="left" w:leader="none"/>
        </w:tabs>
        <w:spacing w:line="240" w:lineRule="auto" w:before="120" w:after="0"/>
        <w:ind w:left="724" w:right="0" w:hanging="565"/>
        <w:jc w:val="both"/>
        <w:rPr>
          <w:sz w:val="20"/>
        </w:rPr>
      </w:pPr>
      <w:r>
        <w:rPr>
          <w:sz w:val="20"/>
        </w:rPr>
        <w:t>Settlements (Section 3.6 and Appendix</w:t>
      </w:r>
      <w:r>
        <w:rPr>
          <w:spacing w:val="-1"/>
          <w:sz w:val="20"/>
        </w:rPr>
        <w:t> </w:t>
      </w:r>
      <w:r>
        <w:rPr>
          <w:sz w:val="20"/>
        </w:rPr>
        <w:t>3a.4)</w:t>
      </w:r>
    </w:p>
    <w:p>
      <w:pPr>
        <w:pStyle w:val="ListParagraph"/>
        <w:numPr>
          <w:ilvl w:val="0"/>
          <w:numId w:val="128"/>
        </w:numPr>
        <w:tabs>
          <w:tab w:pos="726" w:val="left" w:leader="none"/>
        </w:tabs>
        <w:spacing w:line="240" w:lineRule="auto" w:before="120" w:after="0"/>
        <w:ind w:left="725" w:right="0" w:hanging="566"/>
        <w:jc w:val="both"/>
        <w:rPr>
          <w:sz w:val="20"/>
        </w:rPr>
      </w:pPr>
      <w:r>
        <w:rPr>
          <w:sz w:val="20"/>
        </w:rPr>
        <w:t>Other land (Section</w:t>
      </w:r>
      <w:r>
        <w:rPr>
          <w:spacing w:val="-1"/>
          <w:sz w:val="20"/>
        </w:rPr>
        <w:t> </w:t>
      </w:r>
      <w:r>
        <w:rPr>
          <w:sz w:val="20"/>
        </w:rPr>
        <w:t>3.7)</w:t>
      </w:r>
    </w:p>
    <w:p>
      <w:pPr>
        <w:pStyle w:val="BodyText"/>
        <w:spacing w:before="118"/>
        <w:ind w:left="159" w:right="165"/>
        <w:jc w:val="both"/>
      </w:pPr>
      <w:r>
        <w:rPr/>
        <w:t>Relationships exist between the basic land-use categories (i) to (vi) described in Section 2.2 and the activities of the Kyoto Protocol and Marrakesh Accords (Table 4.2.1). Land subject to Kyoto Protocol activities should be identified as a subcategory of one of these six main</w:t>
      </w:r>
      <w:r>
        <w:rPr>
          <w:spacing w:val="-5"/>
        </w:rPr>
        <w:t> </w:t>
      </w:r>
      <w:r>
        <w:rPr/>
        <w:t>types.</w:t>
      </w:r>
    </w:p>
    <w:p>
      <w:pPr>
        <w:pStyle w:val="BodyText"/>
        <w:spacing w:before="122"/>
        <w:ind w:left="159" w:right="163"/>
        <w:jc w:val="both"/>
      </w:pPr>
      <w:r>
        <w:rPr/>
        <w:t>Using categories (i) to (vi) as a basis for estimating the effects of Articles 3.3 and 3.4 activities helps meet </w:t>
      </w:r>
      <w:r>
        <w:rPr>
          <w:i/>
        </w:rPr>
        <w:t>good practice </w:t>
      </w:r>
      <w:r>
        <w:rPr/>
        <w:t>requirements and will be consistent with the national land categorization used for preparing LUCF greenhouse gas inventories under the Convention. For example: Forest Land could be partitioned into: a) Forest Land under Article 3.3; b) Forest Land under Article 3.4, c) Other managed Forest Land (this would be the case if the definition of “managed forests” differs from the definition of “lands subject to forest management”); and d) Unmanaged Forest Land. More information on the relationship between “managed forests” and “forest management” can be found in Section 4.2.7, Figure</w:t>
      </w:r>
      <w:r>
        <w:rPr>
          <w:spacing w:val="-2"/>
        </w:rPr>
        <w:t> </w:t>
      </w:r>
      <w:r>
        <w:rPr/>
        <w:t>4.2.7.</w:t>
      </w:r>
    </w:p>
    <w:p>
      <w:pPr>
        <w:pStyle w:val="BodyText"/>
        <w:spacing w:before="118"/>
        <w:ind w:left="159" w:right="165"/>
        <w:jc w:val="both"/>
      </w:pPr>
      <w:r>
        <w:rPr/>
        <w:t>Many of the methods described in subsequent sections of Chapter 4 build on methodologies that appear in Chapters 2 and 3 of this report or in the </w:t>
      </w:r>
      <w:r>
        <w:rPr>
          <w:i/>
        </w:rPr>
        <w:t>IPCC Guidelines</w:t>
      </w:r>
      <w:r>
        <w:rPr/>
        <w:t>. For continuity and clarity, cross-references back to these preceding descriptions appear periodically in Boxes, as they become pertinent. Direct references to the results in Chapter 3 reporting tables is not possible because for Kyoto Protocol reporting additional spatial stratification is required that cannot be inferred from Chapter 3 Reporting Tables.</w:t>
      </w:r>
    </w:p>
    <w:p>
      <w:pPr>
        <w:spacing w:after="0"/>
        <w:jc w:val="both"/>
        <w:sectPr>
          <w:pgSz w:w="11900" w:h="16840"/>
          <w:pgMar w:header="230" w:footer="408" w:top="560" w:bottom="600" w:left="1260" w:right="1240"/>
        </w:sectPr>
      </w:pPr>
    </w:p>
    <w:p>
      <w:pPr>
        <w:pStyle w:val="BodyText"/>
      </w:pPr>
    </w:p>
    <w:p>
      <w:pPr>
        <w:pStyle w:val="BodyText"/>
      </w:pPr>
    </w:p>
    <w:p>
      <w:pPr>
        <w:pStyle w:val="BodyText"/>
        <w:spacing w:before="4"/>
        <w:rPr>
          <w:sz w:val="27"/>
        </w:rPr>
      </w:pPr>
    </w:p>
    <w:tbl>
      <w:tblPr>
        <w:tblW w:w="0" w:type="auto"/>
        <w:jc w:val="left"/>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4"/>
        <w:gridCol w:w="986"/>
        <w:gridCol w:w="964"/>
        <w:gridCol w:w="962"/>
        <w:gridCol w:w="964"/>
        <w:gridCol w:w="964"/>
        <w:gridCol w:w="962"/>
        <w:gridCol w:w="964"/>
        <w:gridCol w:w="1005"/>
      </w:tblGrid>
      <w:tr>
        <w:trPr>
          <w:trHeight w:val="882" w:hRule="atLeast"/>
        </w:trPr>
        <w:tc>
          <w:tcPr>
            <w:tcW w:w="8995" w:type="dxa"/>
            <w:gridSpan w:val="9"/>
            <w:tcBorders>
              <w:bottom w:val="double" w:sz="1" w:space="0" w:color="000000"/>
            </w:tcBorders>
          </w:tcPr>
          <w:p>
            <w:pPr>
              <w:pStyle w:val="TableParagraph"/>
              <w:spacing w:line="207" w:lineRule="exact" w:before="131"/>
              <w:ind w:left="1029" w:right="1016"/>
              <w:jc w:val="center"/>
              <w:rPr>
                <w:b/>
                <w:sz w:val="18"/>
              </w:rPr>
            </w:pPr>
            <w:r>
              <w:rPr>
                <w:b/>
                <w:sz w:val="18"/>
              </w:rPr>
              <w:t>T</w:t>
            </w:r>
            <w:r>
              <w:rPr>
                <w:b/>
                <w:sz w:val="14"/>
              </w:rPr>
              <w:t>ABLE </w:t>
            </w:r>
            <w:r>
              <w:rPr>
                <w:b/>
                <w:sz w:val="18"/>
              </w:rPr>
              <w:t>4.2.1</w:t>
            </w:r>
          </w:p>
          <w:p>
            <w:pPr>
              <w:pStyle w:val="TableParagraph"/>
              <w:ind w:left="1033" w:right="1016"/>
              <w:jc w:val="center"/>
              <w:rPr>
                <w:b/>
                <w:sz w:val="18"/>
              </w:rPr>
            </w:pPr>
            <w:r>
              <w:rPr>
                <w:b/>
                <w:sz w:val="18"/>
              </w:rPr>
              <w:t>R</w:t>
            </w:r>
            <w:r>
              <w:rPr>
                <w:b/>
                <w:sz w:val="14"/>
              </w:rPr>
              <w:t>ELATIONSHIP BETWEEN ACTIVITIES UNDER </w:t>
            </w:r>
            <w:r>
              <w:rPr>
                <w:b/>
                <w:sz w:val="18"/>
              </w:rPr>
              <w:t>A</w:t>
            </w:r>
            <w:r>
              <w:rPr>
                <w:b/>
                <w:sz w:val="14"/>
              </w:rPr>
              <w:t>RTICLES </w:t>
            </w:r>
            <w:r>
              <w:rPr>
                <w:b/>
                <w:sz w:val="18"/>
              </w:rPr>
              <w:t>3.3 </w:t>
            </w:r>
            <w:r>
              <w:rPr>
                <w:b/>
                <w:sz w:val="14"/>
              </w:rPr>
              <w:t>AND </w:t>
            </w:r>
            <w:r>
              <w:rPr>
                <w:b/>
                <w:sz w:val="18"/>
              </w:rPr>
              <w:t>3.4 </w:t>
            </w:r>
            <w:r>
              <w:rPr>
                <w:b/>
                <w:sz w:val="14"/>
              </w:rPr>
              <w:t>OF THE </w:t>
            </w:r>
            <w:r>
              <w:rPr>
                <w:b/>
                <w:sz w:val="18"/>
              </w:rPr>
              <w:t>K</w:t>
            </w:r>
            <w:r>
              <w:rPr>
                <w:b/>
                <w:sz w:val="14"/>
              </w:rPr>
              <w:t>YOTO </w:t>
            </w:r>
            <w:r>
              <w:rPr>
                <w:b/>
                <w:sz w:val="18"/>
              </w:rPr>
              <w:t>P</w:t>
            </w:r>
            <w:r>
              <w:rPr>
                <w:b/>
                <w:sz w:val="14"/>
              </w:rPr>
              <w:t>ROTOCOL AND THE BASIC LAND</w:t>
            </w:r>
            <w:r>
              <w:rPr>
                <w:b/>
                <w:sz w:val="18"/>
              </w:rPr>
              <w:t>-</w:t>
            </w:r>
            <w:r>
              <w:rPr>
                <w:b/>
                <w:sz w:val="14"/>
              </w:rPr>
              <w:t>USE CATEGORIES OF </w:t>
            </w:r>
            <w:r>
              <w:rPr>
                <w:b/>
                <w:sz w:val="18"/>
              </w:rPr>
              <w:t>S</w:t>
            </w:r>
            <w:r>
              <w:rPr>
                <w:b/>
                <w:sz w:val="14"/>
              </w:rPr>
              <w:t>ECTION </w:t>
            </w:r>
            <w:r>
              <w:rPr>
                <w:b/>
                <w:sz w:val="18"/>
              </w:rPr>
              <w:t>2.2</w:t>
            </w:r>
          </w:p>
        </w:tc>
      </w:tr>
      <w:tr>
        <w:trPr>
          <w:trHeight w:val="1300" w:hRule="atLeast"/>
        </w:trPr>
        <w:tc>
          <w:tcPr>
            <w:tcW w:w="8995" w:type="dxa"/>
            <w:gridSpan w:val="9"/>
            <w:tcBorders>
              <w:top w:val="double" w:sz="1" w:space="0" w:color="000000"/>
            </w:tcBorders>
          </w:tcPr>
          <w:p>
            <w:pPr>
              <w:pStyle w:val="TableParagraph"/>
              <w:spacing w:before="129"/>
              <w:ind w:left="71" w:right="49"/>
              <w:jc w:val="both"/>
              <w:rPr>
                <w:sz w:val="18"/>
              </w:rPr>
            </w:pPr>
            <w:r>
              <w:rPr>
                <w:sz w:val="18"/>
              </w:rPr>
              <w:t>Read this table as follows: For example, if a land is initially cropland and then managed forest, then this event </w:t>
            </w:r>
            <w:r>
              <w:rPr>
                <w:b/>
                <w:sz w:val="18"/>
              </w:rPr>
              <w:t>must </w:t>
            </w:r>
            <w:r>
              <w:rPr>
                <w:sz w:val="18"/>
              </w:rPr>
              <w:t>constitute either afforestation or reforestation. Such mandatory Article 3.3-related classifications are highlighted in </w:t>
            </w:r>
            <w:r>
              <w:rPr>
                <w:b/>
                <w:sz w:val="18"/>
              </w:rPr>
              <w:t>bold</w:t>
            </w:r>
            <w:r>
              <w:rPr>
                <w:sz w:val="18"/>
              </w:rPr>
              <w:t>. On the other hand, if a land is first cropland and then managed grassland, then this may constitute GM or RV. The latter choice depends on the election of Article 3.4 activities by a country and on how national circumstances are applied to the definitions related to Article 3.4. Such Article 3.4-related, election-dependent classifications are printed in normal font.</w:t>
            </w:r>
          </w:p>
        </w:tc>
      </w:tr>
      <w:tr>
        <w:trPr>
          <w:trHeight w:val="738" w:hRule="atLeast"/>
        </w:trPr>
        <w:tc>
          <w:tcPr>
            <w:tcW w:w="1224" w:type="dxa"/>
            <w:tcBorders>
              <w:right w:val="single" w:sz="6" w:space="0" w:color="000000"/>
            </w:tcBorders>
          </w:tcPr>
          <w:p>
            <w:pPr>
              <w:pStyle w:val="TableParagraph"/>
              <w:spacing w:before="59"/>
              <w:ind w:left="767"/>
              <w:rPr>
                <w:b/>
                <w:sz w:val="18"/>
              </w:rPr>
            </w:pPr>
            <w:r>
              <w:rPr>
                <w:b/>
                <w:sz w:val="18"/>
              </w:rPr>
              <w:t>Final</w:t>
            </w:r>
          </w:p>
          <w:p>
            <w:pPr>
              <w:pStyle w:val="TableParagraph"/>
              <w:spacing w:before="2"/>
              <w:rPr>
                <w:sz w:val="23"/>
              </w:rPr>
            </w:pPr>
          </w:p>
          <w:p>
            <w:pPr>
              <w:pStyle w:val="TableParagraph"/>
              <w:spacing w:line="186" w:lineRule="exact"/>
              <w:ind w:left="54"/>
              <w:rPr>
                <w:b/>
                <w:sz w:val="18"/>
              </w:rPr>
            </w:pPr>
            <w:r>
              <w:rPr>
                <w:b/>
                <w:sz w:val="18"/>
              </w:rPr>
              <w:t>Initial</w:t>
            </w:r>
          </w:p>
        </w:tc>
        <w:tc>
          <w:tcPr>
            <w:tcW w:w="986" w:type="dxa"/>
            <w:tcBorders>
              <w:left w:val="single" w:sz="6" w:space="0" w:color="000000"/>
              <w:right w:val="single" w:sz="6" w:space="0" w:color="000000"/>
            </w:tcBorders>
          </w:tcPr>
          <w:p>
            <w:pPr>
              <w:pStyle w:val="TableParagraph"/>
              <w:spacing w:before="163"/>
              <w:ind w:left="45" w:right="31" w:firstLine="76"/>
              <w:rPr>
                <w:b/>
                <w:sz w:val="18"/>
              </w:rPr>
            </w:pPr>
            <w:r>
              <w:rPr>
                <w:b/>
                <w:sz w:val="18"/>
              </w:rPr>
              <w:t>Managed Forest land</w:t>
            </w:r>
          </w:p>
        </w:tc>
        <w:tc>
          <w:tcPr>
            <w:tcW w:w="964" w:type="dxa"/>
            <w:tcBorders>
              <w:left w:val="single" w:sz="6" w:space="0" w:color="000000"/>
              <w:right w:val="single" w:sz="6" w:space="0" w:color="000000"/>
            </w:tcBorders>
          </w:tcPr>
          <w:p>
            <w:pPr>
              <w:pStyle w:val="TableParagraph"/>
              <w:spacing w:before="163"/>
              <w:ind w:left="33" w:right="-8" w:hanging="27"/>
              <w:rPr>
                <w:b/>
                <w:sz w:val="18"/>
              </w:rPr>
            </w:pPr>
            <w:r>
              <w:rPr>
                <w:b/>
                <w:sz w:val="18"/>
              </w:rPr>
              <w:t>Unmanaged Forest land</w:t>
            </w:r>
          </w:p>
        </w:tc>
        <w:tc>
          <w:tcPr>
            <w:tcW w:w="962" w:type="dxa"/>
            <w:tcBorders>
              <w:left w:val="single" w:sz="6" w:space="0" w:color="000000"/>
              <w:right w:val="single" w:sz="6" w:space="0" w:color="000000"/>
            </w:tcBorders>
          </w:tcPr>
          <w:p>
            <w:pPr>
              <w:pStyle w:val="TableParagraph"/>
              <w:spacing w:before="1"/>
              <w:rPr>
                <w:sz w:val="23"/>
              </w:rPr>
            </w:pPr>
          </w:p>
          <w:p>
            <w:pPr>
              <w:pStyle w:val="TableParagraph"/>
              <w:ind w:right="104"/>
              <w:jc w:val="right"/>
              <w:rPr>
                <w:b/>
                <w:sz w:val="18"/>
              </w:rPr>
            </w:pPr>
            <w:r>
              <w:rPr>
                <w:b/>
                <w:sz w:val="18"/>
              </w:rPr>
              <w:t>Cropland</w:t>
            </w:r>
          </w:p>
        </w:tc>
        <w:tc>
          <w:tcPr>
            <w:tcW w:w="964" w:type="dxa"/>
            <w:tcBorders>
              <w:left w:val="single" w:sz="6" w:space="0" w:color="000000"/>
              <w:right w:val="single" w:sz="6" w:space="0" w:color="000000"/>
            </w:tcBorders>
          </w:tcPr>
          <w:p>
            <w:pPr>
              <w:pStyle w:val="TableParagraph"/>
              <w:spacing w:before="163"/>
              <w:ind w:left="78" w:right="60" w:firstLine="36"/>
              <w:rPr>
                <w:b/>
                <w:sz w:val="18"/>
              </w:rPr>
            </w:pPr>
            <w:r>
              <w:rPr>
                <w:b/>
                <w:sz w:val="18"/>
              </w:rPr>
              <w:t>Managed Grassland</w:t>
            </w:r>
          </w:p>
        </w:tc>
        <w:tc>
          <w:tcPr>
            <w:tcW w:w="964" w:type="dxa"/>
            <w:tcBorders>
              <w:left w:val="single" w:sz="6" w:space="0" w:color="000000"/>
              <w:right w:val="single" w:sz="6" w:space="0" w:color="000000"/>
            </w:tcBorders>
          </w:tcPr>
          <w:p>
            <w:pPr>
              <w:pStyle w:val="TableParagraph"/>
              <w:spacing w:before="163"/>
              <w:ind w:left="78" w:right="-10" w:hanging="70"/>
              <w:rPr>
                <w:b/>
                <w:sz w:val="18"/>
              </w:rPr>
            </w:pPr>
            <w:r>
              <w:rPr>
                <w:b/>
                <w:sz w:val="18"/>
              </w:rPr>
              <w:t>Unmanaged Grassland</w:t>
            </w:r>
          </w:p>
        </w:tc>
        <w:tc>
          <w:tcPr>
            <w:tcW w:w="962" w:type="dxa"/>
            <w:tcBorders>
              <w:left w:val="single" w:sz="6" w:space="0" w:color="000000"/>
              <w:right w:val="single" w:sz="6" w:space="0" w:color="000000"/>
            </w:tcBorders>
          </w:tcPr>
          <w:p>
            <w:pPr>
              <w:pStyle w:val="TableParagraph"/>
              <w:spacing w:before="1"/>
              <w:rPr>
                <w:sz w:val="23"/>
              </w:rPr>
            </w:pPr>
          </w:p>
          <w:p>
            <w:pPr>
              <w:pStyle w:val="TableParagraph"/>
              <w:ind w:left="123" w:right="122"/>
              <w:jc w:val="center"/>
              <w:rPr>
                <w:b/>
                <w:sz w:val="18"/>
              </w:rPr>
            </w:pPr>
            <w:r>
              <w:rPr>
                <w:b/>
                <w:sz w:val="18"/>
              </w:rPr>
              <w:t>Wetland</w:t>
            </w:r>
          </w:p>
        </w:tc>
        <w:tc>
          <w:tcPr>
            <w:tcW w:w="964" w:type="dxa"/>
            <w:tcBorders>
              <w:left w:val="single" w:sz="6" w:space="0" w:color="000000"/>
              <w:right w:val="single" w:sz="6" w:space="0" w:color="000000"/>
            </w:tcBorders>
          </w:tcPr>
          <w:p>
            <w:pPr>
              <w:pStyle w:val="TableParagraph"/>
              <w:spacing w:before="1"/>
              <w:rPr>
                <w:sz w:val="23"/>
              </w:rPr>
            </w:pPr>
          </w:p>
          <w:p>
            <w:pPr>
              <w:pStyle w:val="TableParagraph"/>
              <w:ind w:left="9" w:right="10"/>
              <w:jc w:val="center"/>
              <w:rPr>
                <w:b/>
                <w:sz w:val="18"/>
              </w:rPr>
            </w:pPr>
            <w:r>
              <w:rPr>
                <w:b/>
                <w:sz w:val="18"/>
              </w:rPr>
              <w:t>Settlements</w:t>
            </w:r>
          </w:p>
        </w:tc>
        <w:tc>
          <w:tcPr>
            <w:tcW w:w="1005" w:type="dxa"/>
            <w:tcBorders>
              <w:left w:val="single" w:sz="6" w:space="0" w:color="000000"/>
            </w:tcBorders>
          </w:tcPr>
          <w:p>
            <w:pPr>
              <w:pStyle w:val="TableParagraph"/>
              <w:spacing w:before="1"/>
              <w:rPr>
                <w:sz w:val="23"/>
              </w:rPr>
            </w:pPr>
          </w:p>
          <w:p>
            <w:pPr>
              <w:pStyle w:val="TableParagraph"/>
              <w:ind w:left="55" w:right="52"/>
              <w:jc w:val="center"/>
              <w:rPr>
                <w:b/>
                <w:sz w:val="18"/>
              </w:rPr>
            </w:pPr>
            <w:r>
              <w:rPr>
                <w:b/>
                <w:sz w:val="18"/>
              </w:rPr>
              <w:t>Other land</w:t>
            </w:r>
          </w:p>
        </w:tc>
      </w:tr>
      <w:tr>
        <w:trPr>
          <w:trHeight w:val="534" w:hRule="atLeast"/>
        </w:trPr>
        <w:tc>
          <w:tcPr>
            <w:tcW w:w="1224" w:type="dxa"/>
            <w:tcBorders>
              <w:bottom w:val="single" w:sz="6" w:space="0" w:color="000000"/>
              <w:right w:val="single" w:sz="6" w:space="0" w:color="000000"/>
            </w:tcBorders>
          </w:tcPr>
          <w:p>
            <w:pPr>
              <w:pStyle w:val="TableParagraph"/>
              <w:spacing w:before="59"/>
              <w:ind w:left="54" w:right="262"/>
              <w:rPr>
                <w:b/>
                <w:sz w:val="18"/>
              </w:rPr>
            </w:pPr>
            <w:r>
              <w:rPr>
                <w:b/>
                <w:sz w:val="18"/>
              </w:rPr>
              <w:t>Managed Forest land</w:t>
            </w:r>
          </w:p>
        </w:tc>
        <w:tc>
          <w:tcPr>
            <w:tcW w:w="986" w:type="dxa"/>
            <w:tcBorders>
              <w:left w:val="single" w:sz="6" w:space="0" w:color="000000"/>
              <w:bottom w:val="single" w:sz="6" w:space="0" w:color="000000"/>
              <w:right w:val="single" w:sz="6" w:space="0" w:color="000000"/>
            </w:tcBorders>
          </w:tcPr>
          <w:p>
            <w:pPr>
              <w:pStyle w:val="TableParagraph"/>
              <w:spacing w:before="55"/>
              <w:ind w:left="266" w:right="50" w:hanging="156"/>
              <w:rPr>
                <w:sz w:val="18"/>
              </w:rPr>
            </w:pPr>
            <w:r>
              <w:rPr>
                <w:sz w:val="18"/>
              </w:rPr>
              <w:t>FM or GM or CM</w:t>
            </w:r>
          </w:p>
        </w:tc>
        <w:tc>
          <w:tcPr>
            <w:tcW w:w="964" w:type="dxa"/>
            <w:tcBorders>
              <w:left w:val="single" w:sz="6" w:space="0" w:color="000000"/>
              <w:bottom w:val="single" w:sz="6" w:space="0" w:color="000000"/>
              <w:right w:val="single" w:sz="6" w:space="0" w:color="000000"/>
            </w:tcBorders>
          </w:tcPr>
          <w:p>
            <w:pPr>
              <w:pStyle w:val="TableParagraph"/>
              <w:rPr>
                <w:sz w:val="16"/>
              </w:rPr>
            </w:pPr>
          </w:p>
        </w:tc>
        <w:tc>
          <w:tcPr>
            <w:tcW w:w="962" w:type="dxa"/>
            <w:tcBorders>
              <w:left w:val="single" w:sz="6" w:space="0" w:color="000000"/>
              <w:bottom w:val="single" w:sz="6" w:space="0" w:color="000000"/>
              <w:right w:val="single" w:sz="6" w:space="0" w:color="000000"/>
            </w:tcBorders>
          </w:tcPr>
          <w:p>
            <w:pPr>
              <w:pStyle w:val="TableParagraph"/>
              <w:spacing w:before="163"/>
              <w:ind w:left="123" w:right="91"/>
              <w:jc w:val="center"/>
              <w:rPr>
                <w:b/>
                <w:sz w:val="18"/>
              </w:rPr>
            </w:pPr>
            <w:r>
              <w:rPr>
                <w:b/>
                <w:sz w:val="18"/>
              </w:rPr>
              <w:t>D*</w:t>
            </w:r>
          </w:p>
        </w:tc>
        <w:tc>
          <w:tcPr>
            <w:tcW w:w="964" w:type="dxa"/>
            <w:tcBorders>
              <w:left w:val="single" w:sz="6" w:space="0" w:color="000000"/>
              <w:bottom w:val="single" w:sz="6" w:space="0" w:color="000000"/>
              <w:right w:val="single" w:sz="6" w:space="0" w:color="000000"/>
            </w:tcBorders>
          </w:tcPr>
          <w:p>
            <w:pPr>
              <w:pStyle w:val="TableParagraph"/>
              <w:spacing w:before="163"/>
              <w:ind w:left="45" w:right="10"/>
              <w:jc w:val="center"/>
              <w:rPr>
                <w:b/>
                <w:sz w:val="18"/>
              </w:rPr>
            </w:pPr>
            <w:r>
              <w:rPr>
                <w:b/>
                <w:sz w:val="18"/>
              </w:rPr>
              <w:t>D*</w:t>
            </w:r>
          </w:p>
        </w:tc>
        <w:tc>
          <w:tcPr>
            <w:tcW w:w="964" w:type="dxa"/>
            <w:tcBorders>
              <w:left w:val="single" w:sz="6" w:space="0" w:color="000000"/>
              <w:bottom w:val="single" w:sz="6" w:space="0" w:color="000000"/>
              <w:right w:val="single" w:sz="6" w:space="0" w:color="000000"/>
            </w:tcBorders>
          </w:tcPr>
          <w:p>
            <w:pPr>
              <w:pStyle w:val="TableParagraph"/>
              <w:rPr>
                <w:sz w:val="16"/>
              </w:rPr>
            </w:pPr>
          </w:p>
        </w:tc>
        <w:tc>
          <w:tcPr>
            <w:tcW w:w="962" w:type="dxa"/>
            <w:tcBorders>
              <w:left w:val="single" w:sz="6" w:space="0" w:color="000000"/>
              <w:bottom w:val="single" w:sz="6" w:space="0" w:color="000000"/>
              <w:right w:val="single" w:sz="6" w:space="0" w:color="000000"/>
            </w:tcBorders>
          </w:tcPr>
          <w:p>
            <w:pPr>
              <w:pStyle w:val="TableParagraph"/>
              <w:spacing w:before="163"/>
              <w:ind w:left="123" w:right="87"/>
              <w:jc w:val="center"/>
              <w:rPr>
                <w:b/>
                <w:sz w:val="18"/>
              </w:rPr>
            </w:pPr>
            <w:r>
              <w:rPr>
                <w:b/>
                <w:sz w:val="18"/>
              </w:rPr>
              <w:t>D*</w:t>
            </w:r>
          </w:p>
        </w:tc>
        <w:tc>
          <w:tcPr>
            <w:tcW w:w="964" w:type="dxa"/>
            <w:tcBorders>
              <w:left w:val="single" w:sz="6" w:space="0" w:color="000000"/>
              <w:bottom w:val="single" w:sz="6" w:space="0" w:color="000000"/>
              <w:right w:val="single" w:sz="6" w:space="0" w:color="000000"/>
            </w:tcBorders>
          </w:tcPr>
          <w:p>
            <w:pPr>
              <w:pStyle w:val="TableParagraph"/>
              <w:spacing w:before="163"/>
              <w:ind w:left="49" w:right="10"/>
              <w:jc w:val="center"/>
              <w:rPr>
                <w:b/>
                <w:sz w:val="18"/>
              </w:rPr>
            </w:pPr>
            <w:r>
              <w:rPr>
                <w:b/>
                <w:sz w:val="18"/>
              </w:rPr>
              <w:t>D*</w:t>
            </w:r>
          </w:p>
        </w:tc>
        <w:tc>
          <w:tcPr>
            <w:tcW w:w="1005" w:type="dxa"/>
            <w:tcBorders>
              <w:left w:val="single" w:sz="6" w:space="0" w:color="000000"/>
              <w:bottom w:val="single" w:sz="6" w:space="0" w:color="000000"/>
            </w:tcBorders>
          </w:tcPr>
          <w:p>
            <w:pPr>
              <w:pStyle w:val="TableParagraph"/>
              <w:spacing w:before="163"/>
              <w:ind w:left="55" w:right="15"/>
              <w:jc w:val="center"/>
              <w:rPr>
                <w:b/>
                <w:sz w:val="18"/>
              </w:rPr>
            </w:pPr>
            <w:r>
              <w:rPr>
                <w:b/>
                <w:sz w:val="18"/>
              </w:rPr>
              <w:t>D*</w:t>
            </w:r>
          </w:p>
        </w:tc>
      </w:tr>
      <w:tr>
        <w:trPr>
          <w:trHeight w:val="532" w:hRule="atLeast"/>
        </w:trPr>
        <w:tc>
          <w:tcPr>
            <w:tcW w:w="1224" w:type="dxa"/>
            <w:tcBorders>
              <w:top w:val="single" w:sz="6" w:space="0" w:color="000000"/>
              <w:bottom w:val="single" w:sz="6" w:space="0" w:color="000000"/>
              <w:right w:val="single" w:sz="6" w:space="0" w:color="000000"/>
            </w:tcBorders>
          </w:tcPr>
          <w:p>
            <w:pPr>
              <w:pStyle w:val="TableParagraph"/>
              <w:spacing w:before="59"/>
              <w:ind w:left="54" w:right="207"/>
              <w:rPr>
                <w:b/>
                <w:sz w:val="18"/>
              </w:rPr>
            </w:pPr>
            <w:r>
              <w:rPr>
                <w:b/>
                <w:sz w:val="18"/>
              </w:rPr>
              <w:t>Unmanaged Forest land</w:t>
            </w:r>
          </w:p>
        </w:tc>
        <w:tc>
          <w:tcPr>
            <w:tcW w:w="986" w:type="dxa"/>
            <w:tcBorders>
              <w:top w:val="single" w:sz="6" w:space="0" w:color="000000"/>
              <w:left w:val="single" w:sz="6" w:space="0" w:color="000000"/>
              <w:bottom w:val="single" w:sz="6" w:space="0" w:color="000000"/>
              <w:right w:val="single" w:sz="6" w:space="0" w:color="000000"/>
            </w:tcBorders>
          </w:tcPr>
          <w:p>
            <w:pPr>
              <w:pStyle w:val="TableParagraph"/>
              <w:spacing w:before="158"/>
              <w:ind w:left="283" w:right="245"/>
              <w:jc w:val="center"/>
              <w:rPr>
                <w:sz w:val="18"/>
              </w:rPr>
            </w:pPr>
            <w:r>
              <w:rPr>
                <w:sz w:val="18"/>
              </w:rPr>
              <w:t>FM</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163"/>
              <w:ind w:left="123" w:right="91"/>
              <w:jc w:val="center"/>
              <w:rPr>
                <w:b/>
                <w:sz w:val="18"/>
              </w:rPr>
            </w:pPr>
            <w:r>
              <w:rPr>
                <w:b/>
                <w:sz w:val="18"/>
              </w:rPr>
              <w:t>D*</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163"/>
              <w:ind w:left="45" w:right="10"/>
              <w:jc w:val="center"/>
              <w:rPr>
                <w:b/>
                <w:sz w:val="18"/>
              </w:rPr>
            </w:pPr>
            <w:r>
              <w:rPr>
                <w:b/>
                <w:sz w:val="18"/>
              </w:rPr>
              <w:t>D*</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163"/>
              <w:ind w:left="123" w:right="87"/>
              <w:jc w:val="center"/>
              <w:rPr>
                <w:b/>
                <w:sz w:val="18"/>
              </w:rPr>
            </w:pPr>
            <w:r>
              <w:rPr>
                <w:b/>
                <w:sz w:val="18"/>
              </w:rPr>
              <w:t>D*</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163"/>
              <w:ind w:left="49" w:right="10"/>
              <w:jc w:val="center"/>
              <w:rPr>
                <w:b/>
                <w:sz w:val="18"/>
              </w:rPr>
            </w:pPr>
            <w:r>
              <w:rPr>
                <w:b/>
                <w:sz w:val="18"/>
              </w:rPr>
              <w:t>D*</w:t>
            </w:r>
          </w:p>
        </w:tc>
        <w:tc>
          <w:tcPr>
            <w:tcW w:w="1005" w:type="dxa"/>
            <w:tcBorders>
              <w:top w:val="single" w:sz="6" w:space="0" w:color="000000"/>
              <w:left w:val="single" w:sz="6" w:space="0" w:color="000000"/>
              <w:bottom w:val="single" w:sz="6" w:space="0" w:color="000000"/>
            </w:tcBorders>
          </w:tcPr>
          <w:p>
            <w:pPr>
              <w:pStyle w:val="TableParagraph"/>
              <w:spacing w:before="163"/>
              <w:ind w:left="55" w:right="15"/>
              <w:jc w:val="center"/>
              <w:rPr>
                <w:b/>
                <w:sz w:val="18"/>
              </w:rPr>
            </w:pPr>
            <w:r>
              <w:rPr>
                <w:b/>
                <w:sz w:val="18"/>
              </w:rPr>
              <w:t>D*</w:t>
            </w:r>
          </w:p>
        </w:tc>
      </w:tr>
      <w:tr>
        <w:trPr>
          <w:trHeight w:val="328" w:hRule="atLeast"/>
        </w:trPr>
        <w:tc>
          <w:tcPr>
            <w:tcW w:w="1224" w:type="dxa"/>
            <w:tcBorders>
              <w:top w:val="single" w:sz="6" w:space="0" w:color="000000"/>
              <w:bottom w:val="single" w:sz="6" w:space="0" w:color="000000"/>
              <w:right w:val="single" w:sz="6" w:space="0" w:color="000000"/>
            </w:tcBorders>
          </w:tcPr>
          <w:p>
            <w:pPr>
              <w:pStyle w:val="TableParagraph"/>
              <w:spacing w:before="59"/>
              <w:ind w:left="54"/>
              <w:rPr>
                <w:b/>
                <w:sz w:val="18"/>
              </w:rPr>
            </w:pPr>
            <w:r>
              <w:rPr>
                <w:b/>
                <w:sz w:val="18"/>
              </w:rPr>
              <w:t>Cropland</w:t>
            </w:r>
          </w:p>
        </w:tc>
        <w:tc>
          <w:tcPr>
            <w:tcW w:w="986" w:type="dxa"/>
            <w:tcBorders>
              <w:top w:val="single" w:sz="6" w:space="0" w:color="000000"/>
              <w:left w:val="single" w:sz="6" w:space="0" w:color="000000"/>
              <w:bottom w:val="single" w:sz="6" w:space="0" w:color="000000"/>
              <w:right w:val="single" w:sz="6" w:space="0" w:color="000000"/>
            </w:tcBorders>
          </w:tcPr>
          <w:p>
            <w:pPr>
              <w:pStyle w:val="TableParagraph"/>
              <w:spacing w:before="59"/>
              <w:ind w:left="283" w:right="246"/>
              <w:jc w:val="center"/>
              <w:rPr>
                <w:b/>
                <w:sz w:val="18"/>
              </w:rPr>
            </w:pPr>
            <w:r>
              <w:rPr>
                <w:b/>
                <w:sz w:val="18"/>
              </w:rPr>
              <w:t>A/R*</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55"/>
              <w:ind w:right="145"/>
              <w:jc w:val="right"/>
              <w:rPr>
                <w:sz w:val="18"/>
              </w:rPr>
            </w:pPr>
            <w:r>
              <w:rPr>
                <w:sz w:val="18"/>
              </w:rPr>
              <w:t>CM, 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55"/>
              <w:ind w:left="44" w:right="10"/>
              <w:jc w:val="center"/>
              <w:rPr>
                <w:sz w:val="18"/>
              </w:rPr>
            </w:pPr>
            <w:r>
              <w:rPr>
                <w:sz w:val="18"/>
              </w:rPr>
              <w:t>GM or 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55"/>
              <w:ind w:left="123" w:right="85"/>
              <w:jc w:val="center"/>
              <w:rPr>
                <w:sz w:val="18"/>
              </w:rPr>
            </w:pPr>
            <w:r>
              <w:rPr>
                <w:sz w:val="18"/>
              </w:rPr>
              <w:t>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55"/>
              <w:ind w:left="52" w:right="10"/>
              <w:jc w:val="center"/>
              <w:rPr>
                <w:sz w:val="18"/>
              </w:rPr>
            </w:pPr>
            <w:r>
              <w:rPr>
                <w:sz w:val="18"/>
              </w:rPr>
              <w:t>RV</w:t>
            </w:r>
          </w:p>
        </w:tc>
        <w:tc>
          <w:tcPr>
            <w:tcW w:w="1005" w:type="dxa"/>
            <w:tcBorders>
              <w:top w:val="single" w:sz="6" w:space="0" w:color="000000"/>
              <w:left w:val="single" w:sz="6" w:space="0" w:color="000000"/>
              <w:bottom w:val="single" w:sz="6" w:space="0" w:color="000000"/>
            </w:tcBorders>
          </w:tcPr>
          <w:p>
            <w:pPr>
              <w:pStyle w:val="TableParagraph"/>
              <w:rPr>
                <w:sz w:val="16"/>
              </w:rPr>
            </w:pPr>
          </w:p>
        </w:tc>
      </w:tr>
      <w:tr>
        <w:trPr>
          <w:trHeight w:val="534" w:hRule="atLeast"/>
        </w:trPr>
        <w:tc>
          <w:tcPr>
            <w:tcW w:w="1224" w:type="dxa"/>
            <w:tcBorders>
              <w:top w:val="single" w:sz="6" w:space="0" w:color="000000"/>
              <w:bottom w:val="single" w:sz="6" w:space="0" w:color="000000"/>
              <w:right w:val="single" w:sz="6" w:space="0" w:color="000000"/>
            </w:tcBorders>
          </w:tcPr>
          <w:p>
            <w:pPr>
              <w:pStyle w:val="TableParagraph"/>
              <w:spacing w:before="59"/>
              <w:ind w:left="54" w:right="347"/>
              <w:rPr>
                <w:b/>
                <w:sz w:val="18"/>
              </w:rPr>
            </w:pPr>
            <w:r>
              <w:rPr>
                <w:b/>
                <w:sz w:val="18"/>
              </w:rPr>
              <w:t>Managed Grassland</w:t>
            </w:r>
          </w:p>
        </w:tc>
        <w:tc>
          <w:tcPr>
            <w:tcW w:w="986" w:type="dxa"/>
            <w:tcBorders>
              <w:top w:val="single" w:sz="6" w:space="0" w:color="000000"/>
              <w:left w:val="single" w:sz="6" w:space="0" w:color="000000"/>
              <w:bottom w:val="single" w:sz="6" w:space="0" w:color="000000"/>
              <w:right w:val="single" w:sz="6" w:space="0" w:color="000000"/>
            </w:tcBorders>
          </w:tcPr>
          <w:p>
            <w:pPr>
              <w:pStyle w:val="TableParagraph"/>
              <w:spacing w:before="163"/>
              <w:ind w:left="283" w:right="246"/>
              <w:jc w:val="center"/>
              <w:rPr>
                <w:b/>
                <w:sz w:val="18"/>
              </w:rPr>
            </w:pPr>
            <w:r>
              <w:rPr>
                <w:b/>
                <w:sz w:val="18"/>
              </w:rPr>
              <w:t>A/R*</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158"/>
              <w:ind w:left="351"/>
              <w:rPr>
                <w:sz w:val="18"/>
              </w:rPr>
            </w:pPr>
            <w:r>
              <w:rPr>
                <w:sz w:val="18"/>
              </w:rPr>
              <w:t>CM</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158"/>
              <w:ind w:left="45" w:right="10"/>
              <w:jc w:val="center"/>
              <w:rPr>
                <w:sz w:val="18"/>
              </w:rPr>
            </w:pPr>
            <w:r>
              <w:rPr>
                <w:sz w:val="18"/>
              </w:rPr>
              <w:t>GM or 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158"/>
              <w:ind w:left="123" w:right="85"/>
              <w:jc w:val="center"/>
              <w:rPr>
                <w:sz w:val="18"/>
              </w:rPr>
            </w:pPr>
            <w:r>
              <w:rPr>
                <w:sz w:val="18"/>
              </w:rPr>
              <w:t>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158"/>
              <w:ind w:left="52" w:right="10"/>
              <w:jc w:val="center"/>
              <w:rPr>
                <w:sz w:val="18"/>
              </w:rPr>
            </w:pPr>
            <w:r>
              <w:rPr>
                <w:sz w:val="18"/>
              </w:rPr>
              <w:t>RV</w:t>
            </w:r>
          </w:p>
        </w:tc>
        <w:tc>
          <w:tcPr>
            <w:tcW w:w="1005" w:type="dxa"/>
            <w:tcBorders>
              <w:top w:val="single" w:sz="6" w:space="0" w:color="000000"/>
              <w:left w:val="single" w:sz="6" w:space="0" w:color="000000"/>
              <w:bottom w:val="single" w:sz="6" w:space="0" w:color="000000"/>
            </w:tcBorders>
          </w:tcPr>
          <w:p>
            <w:pPr>
              <w:pStyle w:val="TableParagraph"/>
              <w:rPr>
                <w:sz w:val="16"/>
              </w:rPr>
            </w:pPr>
          </w:p>
        </w:tc>
      </w:tr>
      <w:tr>
        <w:trPr>
          <w:trHeight w:val="532" w:hRule="atLeast"/>
        </w:trPr>
        <w:tc>
          <w:tcPr>
            <w:tcW w:w="1224" w:type="dxa"/>
            <w:tcBorders>
              <w:top w:val="single" w:sz="6" w:space="0" w:color="000000"/>
              <w:bottom w:val="single" w:sz="6" w:space="0" w:color="000000"/>
              <w:right w:val="single" w:sz="6" w:space="0" w:color="000000"/>
            </w:tcBorders>
          </w:tcPr>
          <w:p>
            <w:pPr>
              <w:pStyle w:val="TableParagraph"/>
              <w:spacing w:before="59"/>
              <w:ind w:left="54" w:right="207"/>
              <w:rPr>
                <w:b/>
                <w:sz w:val="18"/>
              </w:rPr>
            </w:pPr>
            <w:r>
              <w:rPr>
                <w:b/>
                <w:sz w:val="18"/>
              </w:rPr>
              <w:t>Unmanaged Grassland</w:t>
            </w:r>
          </w:p>
        </w:tc>
        <w:tc>
          <w:tcPr>
            <w:tcW w:w="986" w:type="dxa"/>
            <w:tcBorders>
              <w:top w:val="single" w:sz="6" w:space="0" w:color="000000"/>
              <w:left w:val="single" w:sz="6" w:space="0" w:color="000000"/>
              <w:bottom w:val="single" w:sz="6" w:space="0" w:color="000000"/>
              <w:right w:val="single" w:sz="6" w:space="0" w:color="000000"/>
            </w:tcBorders>
          </w:tcPr>
          <w:p>
            <w:pPr>
              <w:pStyle w:val="TableParagraph"/>
              <w:spacing w:before="163"/>
              <w:ind w:left="283" w:right="246"/>
              <w:jc w:val="center"/>
              <w:rPr>
                <w:b/>
                <w:sz w:val="18"/>
              </w:rPr>
            </w:pPr>
            <w:r>
              <w:rPr>
                <w:b/>
                <w:sz w:val="18"/>
              </w:rPr>
              <w:t>A/R*</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158"/>
              <w:ind w:left="351"/>
              <w:rPr>
                <w:sz w:val="18"/>
              </w:rPr>
            </w:pPr>
            <w:r>
              <w:rPr>
                <w:sz w:val="18"/>
              </w:rPr>
              <w:t>CM</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158"/>
              <w:ind w:left="46" w:right="10"/>
              <w:jc w:val="center"/>
              <w:rPr>
                <w:sz w:val="18"/>
              </w:rPr>
            </w:pPr>
            <w:r>
              <w:rPr>
                <w:sz w:val="18"/>
              </w:rPr>
              <w:t>GM</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158"/>
              <w:ind w:left="51" w:right="10"/>
              <w:jc w:val="center"/>
              <w:rPr>
                <w:sz w:val="18"/>
              </w:rPr>
            </w:pPr>
            <w:r>
              <w:rPr>
                <w:sz w:val="18"/>
              </w:rPr>
              <w:t>RV</w:t>
            </w:r>
          </w:p>
        </w:tc>
        <w:tc>
          <w:tcPr>
            <w:tcW w:w="1005" w:type="dxa"/>
            <w:tcBorders>
              <w:top w:val="single" w:sz="6" w:space="0" w:color="000000"/>
              <w:left w:val="single" w:sz="6" w:space="0" w:color="000000"/>
              <w:bottom w:val="single" w:sz="6" w:space="0" w:color="000000"/>
            </w:tcBorders>
          </w:tcPr>
          <w:p>
            <w:pPr>
              <w:pStyle w:val="TableParagraph"/>
              <w:rPr>
                <w:sz w:val="16"/>
              </w:rPr>
            </w:pPr>
          </w:p>
        </w:tc>
      </w:tr>
      <w:tr>
        <w:trPr>
          <w:trHeight w:val="328" w:hRule="atLeast"/>
        </w:trPr>
        <w:tc>
          <w:tcPr>
            <w:tcW w:w="1224" w:type="dxa"/>
            <w:tcBorders>
              <w:top w:val="single" w:sz="6" w:space="0" w:color="000000"/>
              <w:bottom w:val="single" w:sz="6" w:space="0" w:color="000000"/>
              <w:right w:val="single" w:sz="6" w:space="0" w:color="000000"/>
            </w:tcBorders>
          </w:tcPr>
          <w:p>
            <w:pPr>
              <w:pStyle w:val="TableParagraph"/>
              <w:spacing w:before="59"/>
              <w:ind w:left="54"/>
              <w:rPr>
                <w:b/>
                <w:sz w:val="18"/>
              </w:rPr>
            </w:pPr>
            <w:r>
              <w:rPr>
                <w:b/>
                <w:sz w:val="18"/>
              </w:rPr>
              <w:t>Wetland</w:t>
            </w:r>
          </w:p>
        </w:tc>
        <w:tc>
          <w:tcPr>
            <w:tcW w:w="986" w:type="dxa"/>
            <w:tcBorders>
              <w:top w:val="single" w:sz="6" w:space="0" w:color="000000"/>
              <w:left w:val="single" w:sz="6" w:space="0" w:color="000000"/>
              <w:bottom w:val="single" w:sz="6" w:space="0" w:color="000000"/>
              <w:right w:val="single" w:sz="6" w:space="0" w:color="000000"/>
            </w:tcBorders>
          </w:tcPr>
          <w:p>
            <w:pPr>
              <w:pStyle w:val="TableParagraph"/>
              <w:spacing w:before="59"/>
              <w:ind w:left="283" w:right="247"/>
              <w:jc w:val="center"/>
              <w:rPr>
                <w:b/>
                <w:sz w:val="18"/>
              </w:rPr>
            </w:pPr>
            <w:r>
              <w:rPr>
                <w:b/>
                <w:sz w:val="18"/>
              </w:rPr>
              <w:t>A/R*</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55"/>
              <w:ind w:left="351"/>
              <w:rPr>
                <w:sz w:val="18"/>
              </w:rPr>
            </w:pPr>
            <w:r>
              <w:rPr>
                <w:sz w:val="18"/>
              </w:rPr>
              <w:t>CM</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55"/>
              <w:ind w:left="46" w:right="10"/>
              <w:jc w:val="center"/>
              <w:rPr>
                <w:sz w:val="18"/>
              </w:rPr>
            </w:pPr>
            <w:r>
              <w:rPr>
                <w:sz w:val="18"/>
              </w:rPr>
              <w:t>GM</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55"/>
              <w:ind w:left="123" w:right="85"/>
              <w:jc w:val="center"/>
              <w:rPr>
                <w:sz w:val="18"/>
              </w:rPr>
            </w:pPr>
            <w:r>
              <w:rPr>
                <w:sz w:val="18"/>
              </w:rPr>
              <w:t>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55"/>
              <w:ind w:left="51" w:right="10"/>
              <w:jc w:val="center"/>
              <w:rPr>
                <w:sz w:val="18"/>
              </w:rPr>
            </w:pPr>
            <w:r>
              <w:rPr>
                <w:sz w:val="18"/>
              </w:rPr>
              <w:t>RV</w:t>
            </w:r>
          </w:p>
        </w:tc>
        <w:tc>
          <w:tcPr>
            <w:tcW w:w="1005" w:type="dxa"/>
            <w:tcBorders>
              <w:top w:val="single" w:sz="6" w:space="0" w:color="000000"/>
              <w:left w:val="single" w:sz="6" w:space="0" w:color="000000"/>
              <w:bottom w:val="single" w:sz="6" w:space="0" w:color="000000"/>
            </w:tcBorders>
          </w:tcPr>
          <w:p>
            <w:pPr>
              <w:pStyle w:val="TableParagraph"/>
              <w:rPr>
                <w:sz w:val="16"/>
              </w:rPr>
            </w:pPr>
          </w:p>
        </w:tc>
      </w:tr>
      <w:tr>
        <w:trPr>
          <w:trHeight w:val="325" w:hRule="atLeast"/>
        </w:trPr>
        <w:tc>
          <w:tcPr>
            <w:tcW w:w="1224" w:type="dxa"/>
            <w:tcBorders>
              <w:top w:val="single" w:sz="6" w:space="0" w:color="000000"/>
              <w:bottom w:val="single" w:sz="6" w:space="0" w:color="000000"/>
              <w:right w:val="single" w:sz="6" w:space="0" w:color="000000"/>
            </w:tcBorders>
          </w:tcPr>
          <w:p>
            <w:pPr>
              <w:pStyle w:val="TableParagraph"/>
              <w:spacing w:before="59"/>
              <w:ind w:left="54"/>
              <w:rPr>
                <w:b/>
                <w:sz w:val="18"/>
              </w:rPr>
            </w:pPr>
            <w:r>
              <w:rPr>
                <w:b/>
                <w:sz w:val="18"/>
              </w:rPr>
              <w:t>Settlements</w:t>
            </w:r>
          </w:p>
        </w:tc>
        <w:tc>
          <w:tcPr>
            <w:tcW w:w="986" w:type="dxa"/>
            <w:tcBorders>
              <w:top w:val="single" w:sz="6" w:space="0" w:color="000000"/>
              <w:left w:val="single" w:sz="6" w:space="0" w:color="000000"/>
              <w:bottom w:val="single" w:sz="6" w:space="0" w:color="000000"/>
              <w:right w:val="single" w:sz="6" w:space="0" w:color="000000"/>
            </w:tcBorders>
          </w:tcPr>
          <w:p>
            <w:pPr>
              <w:pStyle w:val="TableParagraph"/>
              <w:spacing w:before="59"/>
              <w:ind w:left="283" w:right="247"/>
              <w:jc w:val="center"/>
              <w:rPr>
                <w:b/>
                <w:sz w:val="18"/>
              </w:rPr>
            </w:pPr>
            <w:r>
              <w:rPr>
                <w:b/>
                <w:sz w:val="18"/>
              </w:rPr>
              <w:t>A/R*</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55"/>
              <w:ind w:left="351"/>
              <w:rPr>
                <w:sz w:val="18"/>
              </w:rPr>
            </w:pPr>
            <w:r>
              <w:rPr>
                <w:sz w:val="18"/>
              </w:rPr>
              <w:t>CM</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55"/>
              <w:ind w:left="45" w:right="10"/>
              <w:jc w:val="center"/>
              <w:rPr>
                <w:sz w:val="18"/>
              </w:rPr>
            </w:pPr>
            <w:r>
              <w:rPr>
                <w:sz w:val="18"/>
              </w:rPr>
              <w:t>GM or 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55"/>
              <w:ind w:left="123" w:right="85"/>
              <w:jc w:val="center"/>
              <w:rPr>
                <w:sz w:val="18"/>
              </w:rPr>
            </w:pPr>
            <w:r>
              <w:rPr>
                <w:sz w:val="18"/>
              </w:rPr>
              <w:t>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55"/>
              <w:ind w:left="51" w:right="10"/>
              <w:jc w:val="center"/>
              <w:rPr>
                <w:sz w:val="18"/>
              </w:rPr>
            </w:pPr>
            <w:r>
              <w:rPr>
                <w:sz w:val="18"/>
              </w:rPr>
              <w:t>RV</w:t>
            </w:r>
          </w:p>
        </w:tc>
        <w:tc>
          <w:tcPr>
            <w:tcW w:w="1005" w:type="dxa"/>
            <w:tcBorders>
              <w:top w:val="single" w:sz="6" w:space="0" w:color="000000"/>
              <w:left w:val="single" w:sz="6" w:space="0" w:color="000000"/>
              <w:bottom w:val="single" w:sz="6" w:space="0" w:color="000000"/>
            </w:tcBorders>
          </w:tcPr>
          <w:p>
            <w:pPr>
              <w:pStyle w:val="TableParagraph"/>
              <w:rPr>
                <w:sz w:val="16"/>
              </w:rPr>
            </w:pPr>
          </w:p>
        </w:tc>
      </w:tr>
      <w:tr>
        <w:trPr>
          <w:trHeight w:val="325" w:hRule="atLeast"/>
        </w:trPr>
        <w:tc>
          <w:tcPr>
            <w:tcW w:w="1224" w:type="dxa"/>
            <w:tcBorders>
              <w:top w:val="single" w:sz="6" w:space="0" w:color="000000"/>
              <w:bottom w:val="single" w:sz="6" w:space="0" w:color="000000"/>
              <w:right w:val="single" w:sz="6" w:space="0" w:color="000000"/>
            </w:tcBorders>
          </w:tcPr>
          <w:p>
            <w:pPr>
              <w:pStyle w:val="TableParagraph"/>
              <w:spacing w:before="59"/>
              <w:ind w:left="54"/>
              <w:rPr>
                <w:b/>
                <w:sz w:val="18"/>
              </w:rPr>
            </w:pPr>
            <w:r>
              <w:rPr>
                <w:b/>
                <w:sz w:val="18"/>
              </w:rPr>
              <w:t>Other land</w:t>
            </w:r>
          </w:p>
        </w:tc>
        <w:tc>
          <w:tcPr>
            <w:tcW w:w="986" w:type="dxa"/>
            <w:tcBorders>
              <w:top w:val="single" w:sz="6" w:space="0" w:color="000000"/>
              <w:left w:val="single" w:sz="6" w:space="0" w:color="000000"/>
              <w:bottom w:val="single" w:sz="6" w:space="0" w:color="000000"/>
              <w:right w:val="single" w:sz="6" w:space="0" w:color="000000"/>
            </w:tcBorders>
          </w:tcPr>
          <w:p>
            <w:pPr>
              <w:pStyle w:val="TableParagraph"/>
              <w:spacing w:before="59"/>
              <w:ind w:left="283" w:right="246"/>
              <w:jc w:val="center"/>
              <w:rPr>
                <w:b/>
                <w:sz w:val="18"/>
              </w:rPr>
            </w:pPr>
            <w:r>
              <w:rPr>
                <w:b/>
                <w:sz w:val="18"/>
              </w:rPr>
              <w:t>A/R*</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55"/>
              <w:ind w:right="145"/>
              <w:jc w:val="right"/>
              <w:rPr>
                <w:sz w:val="18"/>
              </w:rPr>
            </w:pPr>
            <w:r>
              <w:rPr>
                <w:sz w:val="18"/>
              </w:rPr>
              <w:t>CM, 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55"/>
              <w:ind w:left="44" w:right="10"/>
              <w:jc w:val="center"/>
              <w:rPr>
                <w:sz w:val="18"/>
              </w:rPr>
            </w:pPr>
            <w:r>
              <w:rPr>
                <w:sz w:val="18"/>
              </w:rPr>
              <w:t>GM or 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rPr>
                <w:sz w:val="16"/>
              </w:rPr>
            </w:pPr>
          </w:p>
        </w:tc>
        <w:tc>
          <w:tcPr>
            <w:tcW w:w="962" w:type="dxa"/>
            <w:tcBorders>
              <w:top w:val="single" w:sz="6" w:space="0" w:color="000000"/>
              <w:left w:val="single" w:sz="6" w:space="0" w:color="000000"/>
              <w:bottom w:val="single" w:sz="6" w:space="0" w:color="000000"/>
              <w:right w:val="single" w:sz="6" w:space="0" w:color="000000"/>
            </w:tcBorders>
          </w:tcPr>
          <w:p>
            <w:pPr>
              <w:pStyle w:val="TableParagraph"/>
              <w:spacing w:before="55"/>
              <w:ind w:left="123" w:right="85"/>
              <w:jc w:val="center"/>
              <w:rPr>
                <w:sz w:val="18"/>
              </w:rPr>
            </w:pPr>
            <w:r>
              <w:rPr>
                <w:sz w:val="18"/>
              </w:rPr>
              <w:t>RV</w:t>
            </w:r>
          </w:p>
        </w:tc>
        <w:tc>
          <w:tcPr>
            <w:tcW w:w="964" w:type="dxa"/>
            <w:tcBorders>
              <w:top w:val="single" w:sz="6" w:space="0" w:color="000000"/>
              <w:left w:val="single" w:sz="6" w:space="0" w:color="000000"/>
              <w:bottom w:val="single" w:sz="6" w:space="0" w:color="000000"/>
              <w:right w:val="single" w:sz="6" w:space="0" w:color="000000"/>
            </w:tcBorders>
          </w:tcPr>
          <w:p>
            <w:pPr>
              <w:pStyle w:val="TableParagraph"/>
              <w:spacing w:before="55"/>
              <w:ind w:left="52" w:right="10"/>
              <w:jc w:val="center"/>
              <w:rPr>
                <w:sz w:val="18"/>
              </w:rPr>
            </w:pPr>
            <w:r>
              <w:rPr>
                <w:sz w:val="18"/>
              </w:rPr>
              <w:t>RV</w:t>
            </w:r>
          </w:p>
        </w:tc>
        <w:tc>
          <w:tcPr>
            <w:tcW w:w="1005" w:type="dxa"/>
            <w:tcBorders>
              <w:top w:val="single" w:sz="6" w:space="0" w:color="000000"/>
              <w:left w:val="single" w:sz="6" w:space="0" w:color="000000"/>
              <w:bottom w:val="single" w:sz="6" w:space="0" w:color="000000"/>
            </w:tcBorders>
          </w:tcPr>
          <w:p>
            <w:pPr>
              <w:pStyle w:val="TableParagraph"/>
              <w:rPr>
                <w:sz w:val="16"/>
              </w:rPr>
            </w:pPr>
          </w:p>
        </w:tc>
      </w:tr>
      <w:tr>
        <w:trPr>
          <w:trHeight w:val="2524" w:hRule="atLeast"/>
        </w:trPr>
        <w:tc>
          <w:tcPr>
            <w:tcW w:w="8995" w:type="dxa"/>
            <w:gridSpan w:val="9"/>
            <w:tcBorders>
              <w:top w:val="single" w:sz="6" w:space="0" w:color="000000"/>
            </w:tcBorders>
          </w:tcPr>
          <w:p>
            <w:pPr>
              <w:pStyle w:val="TableParagraph"/>
              <w:spacing w:before="35"/>
              <w:ind w:left="54"/>
              <w:rPr>
                <w:sz w:val="16"/>
              </w:rPr>
            </w:pPr>
            <w:r>
              <w:rPr>
                <w:sz w:val="16"/>
              </w:rPr>
              <w:t>* Transitions involving Article 3.3 activities have to be the result of direct human-induced activities.</w:t>
            </w:r>
          </w:p>
          <w:p>
            <w:pPr>
              <w:pStyle w:val="TableParagraph"/>
              <w:spacing w:before="104"/>
              <w:ind w:left="54"/>
              <w:rPr>
                <w:b/>
                <w:sz w:val="16"/>
              </w:rPr>
            </w:pPr>
            <w:r>
              <w:rPr>
                <w:b/>
                <w:sz w:val="16"/>
              </w:rPr>
              <w:t>Notes</w:t>
            </w:r>
          </w:p>
          <w:p>
            <w:pPr>
              <w:pStyle w:val="TableParagraph"/>
              <w:numPr>
                <w:ilvl w:val="0"/>
                <w:numId w:val="129"/>
              </w:numPr>
              <w:tabs>
                <w:tab w:pos="339" w:val="left" w:leader="none"/>
              </w:tabs>
              <w:spacing w:line="240" w:lineRule="auto" w:before="97" w:after="0"/>
              <w:ind w:left="345" w:right="275" w:hanging="290"/>
              <w:jc w:val="left"/>
              <w:rPr>
                <w:sz w:val="16"/>
              </w:rPr>
            </w:pPr>
            <w:r>
              <w:rPr>
                <w:sz w:val="16"/>
              </w:rPr>
              <w:t>“Initial” and “Final” refer to the categories before and after a land-use change. A – Afforestation (land has not been forested for at least 50 years), R – Reforestation (land has not been forested at the end of the year 1989), D – Deforestation, FM – Forest management, CM – Cropland management, GM – Grazing land management, RV – Revegetation (activities other than A or R that increase carbon stocks by establishment of</w:t>
            </w:r>
            <w:r>
              <w:rPr>
                <w:spacing w:val="-6"/>
                <w:sz w:val="16"/>
              </w:rPr>
              <w:t> </w:t>
            </w:r>
            <w:r>
              <w:rPr>
                <w:sz w:val="16"/>
              </w:rPr>
              <w:t>vegetation).</w:t>
            </w:r>
          </w:p>
          <w:p>
            <w:pPr>
              <w:pStyle w:val="TableParagraph"/>
              <w:numPr>
                <w:ilvl w:val="0"/>
                <w:numId w:val="129"/>
              </w:numPr>
              <w:tabs>
                <w:tab w:pos="339" w:val="left" w:leader="none"/>
              </w:tabs>
              <w:spacing w:line="240" w:lineRule="auto" w:before="99" w:after="0"/>
              <w:ind w:left="345" w:right="180" w:hanging="291"/>
              <w:jc w:val="left"/>
              <w:rPr>
                <w:sz w:val="16"/>
              </w:rPr>
            </w:pPr>
            <w:r>
              <w:rPr>
                <w:spacing w:val="-3"/>
                <w:sz w:val="16"/>
              </w:rPr>
              <w:t>If </w:t>
            </w:r>
            <w:r>
              <w:rPr>
                <w:sz w:val="16"/>
              </w:rPr>
              <w:t>the “initial” categorization was done for a year of the commitment period, then the land must be classified under the same activity for all subsequent years, even if the land use changes once</w:t>
            </w:r>
            <w:r>
              <w:rPr>
                <w:spacing w:val="-7"/>
                <w:sz w:val="16"/>
              </w:rPr>
              <w:t> </w:t>
            </w:r>
            <w:r>
              <w:rPr>
                <w:sz w:val="16"/>
              </w:rPr>
              <w:t>more.</w:t>
            </w:r>
          </w:p>
          <w:p>
            <w:pPr>
              <w:pStyle w:val="TableParagraph"/>
              <w:numPr>
                <w:ilvl w:val="0"/>
                <w:numId w:val="129"/>
              </w:numPr>
              <w:tabs>
                <w:tab w:pos="339" w:val="left" w:leader="none"/>
              </w:tabs>
              <w:spacing w:line="240" w:lineRule="auto" w:before="100" w:after="0"/>
              <w:ind w:left="345" w:right="63" w:hanging="291"/>
              <w:jc w:val="left"/>
              <w:rPr>
                <w:sz w:val="16"/>
              </w:rPr>
            </w:pPr>
            <w:r>
              <w:rPr>
                <w:spacing w:val="-2"/>
                <w:sz w:val="16"/>
              </w:rPr>
              <w:t>All </w:t>
            </w:r>
            <w:r>
              <w:rPr>
                <w:sz w:val="16"/>
              </w:rPr>
              <w:t>units of land subject to direct human-induced A/R activities are considered to be managed forests, and therefore unmanaged forest land cannot result from an A/R event in the table. Similarly, it is assumed that all units of land subject to direct human-induced D activities are managed lands. This includes natural D followed by a change to a </w:t>
            </w:r>
            <w:r>
              <w:rPr>
                <w:i/>
                <w:sz w:val="16"/>
              </w:rPr>
              <w:t>managed </w:t>
            </w:r>
            <w:r>
              <w:rPr>
                <w:sz w:val="16"/>
              </w:rPr>
              <w:t>land</w:t>
            </w:r>
            <w:r>
              <w:rPr>
                <w:spacing w:val="-16"/>
                <w:sz w:val="16"/>
              </w:rPr>
              <w:t> </w:t>
            </w:r>
            <w:r>
              <w:rPr>
                <w:sz w:val="16"/>
              </w:rPr>
              <w:t>use.</w:t>
            </w:r>
          </w:p>
        </w:tc>
      </w:tr>
    </w:tbl>
    <w:p>
      <w:pPr>
        <w:pStyle w:val="BodyText"/>
        <w:spacing w:before="9"/>
        <w:rPr>
          <w:sz w:val="21"/>
        </w:rPr>
      </w:pPr>
    </w:p>
    <w:p>
      <w:pPr>
        <w:pStyle w:val="BodyText"/>
        <w:spacing w:before="90"/>
        <w:ind w:left="159" w:right="165"/>
        <w:jc w:val="both"/>
      </w:pPr>
      <w:r>
        <w:rPr/>
        <w:t>Figures 4.2.1 and 4.2.2 graphically show the relationship between these land-use categories reported in national inventories under the UNFCCC and those under Articles 3.3 and 3.4 of the Kyoto Protocol in any single reporting year. The outer rectangle represents the boundaries of a hypothetical country. The top diagram shows the reporting categories for the UNFCCC national inventory according to Chapter 3, and the bottom diagram includes an additional layer with the Article 3.3 and Article 3.4 categories under the Kyoto</w:t>
      </w:r>
      <w:r>
        <w:rPr>
          <w:spacing w:val="-10"/>
        </w:rPr>
        <w:t> </w:t>
      </w:r>
      <w:r>
        <w:rPr/>
        <w:t>Protocol.</w:t>
      </w:r>
    </w:p>
    <w:p>
      <w:pPr>
        <w:spacing w:after="0"/>
        <w:jc w:val="both"/>
        <w:sectPr>
          <w:headerReference w:type="even" r:id="rId307"/>
          <w:headerReference w:type="default" r:id="rId308"/>
          <w:pgSz w:w="11900" w:h="16840"/>
          <w:pgMar w:header="230" w:footer="408" w:top="560" w:bottom="600" w:left="1260" w:right="1240"/>
        </w:sectPr>
      </w:pPr>
    </w:p>
    <w:p>
      <w:pPr>
        <w:pStyle w:val="BodyText"/>
      </w:pPr>
    </w:p>
    <w:p>
      <w:pPr>
        <w:pStyle w:val="BodyText"/>
      </w:pPr>
    </w:p>
    <w:p>
      <w:pPr>
        <w:pStyle w:val="BodyText"/>
        <w:spacing w:before="7"/>
        <w:rPr>
          <w:sz w:val="22"/>
        </w:rPr>
      </w:pPr>
    </w:p>
    <w:p>
      <w:pPr>
        <w:tabs>
          <w:tab w:pos="1861" w:val="left" w:leader="none"/>
        </w:tabs>
        <w:spacing w:line="242" w:lineRule="auto" w:before="0"/>
        <w:ind w:left="1860" w:right="849" w:hanging="1702"/>
        <w:jc w:val="left"/>
        <w:rPr>
          <w:b/>
          <w:sz w:val="20"/>
        </w:rPr>
      </w:pPr>
      <w:r>
        <w:rPr>
          <w:b/>
          <w:spacing w:val="8"/>
          <w:sz w:val="20"/>
        </w:rPr>
        <w:t>Figure</w:t>
      </w:r>
      <w:r>
        <w:rPr>
          <w:b/>
          <w:spacing w:val="18"/>
          <w:sz w:val="20"/>
        </w:rPr>
        <w:t> </w:t>
      </w:r>
      <w:r>
        <w:rPr>
          <w:b/>
          <w:spacing w:val="8"/>
          <w:sz w:val="20"/>
        </w:rPr>
        <w:t>4.2.1</w:t>
        <w:tab/>
        <w:tab/>
      </w:r>
      <w:r>
        <w:rPr>
          <w:b/>
          <w:spacing w:val="7"/>
          <w:sz w:val="20"/>
        </w:rPr>
        <w:t>Land </w:t>
      </w:r>
      <w:r>
        <w:rPr>
          <w:b/>
          <w:spacing w:val="9"/>
          <w:sz w:val="20"/>
        </w:rPr>
        <w:t>classification </w:t>
      </w:r>
      <w:r>
        <w:rPr>
          <w:b/>
          <w:spacing w:val="4"/>
          <w:sz w:val="20"/>
        </w:rPr>
        <w:t>in </w:t>
      </w:r>
      <w:r>
        <w:rPr>
          <w:b/>
          <w:spacing w:val="7"/>
          <w:sz w:val="20"/>
        </w:rPr>
        <w:t>the </w:t>
      </w:r>
      <w:r>
        <w:rPr>
          <w:b/>
          <w:spacing w:val="8"/>
          <w:sz w:val="20"/>
        </w:rPr>
        <w:t>national </w:t>
      </w:r>
      <w:r>
        <w:rPr>
          <w:b/>
          <w:spacing w:val="9"/>
          <w:sz w:val="20"/>
        </w:rPr>
        <w:t>inventories </w:t>
      </w:r>
      <w:r>
        <w:rPr>
          <w:b/>
          <w:spacing w:val="7"/>
          <w:sz w:val="20"/>
        </w:rPr>
        <w:t>under </w:t>
      </w:r>
      <w:r>
        <w:rPr>
          <w:b/>
          <w:spacing w:val="6"/>
          <w:sz w:val="20"/>
        </w:rPr>
        <w:t>the </w:t>
      </w:r>
      <w:r>
        <w:rPr>
          <w:b/>
          <w:spacing w:val="8"/>
          <w:sz w:val="20"/>
        </w:rPr>
        <w:t>UNFCCC </w:t>
      </w:r>
      <w:r>
        <w:rPr>
          <w:b/>
          <w:spacing w:val="5"/>
          <w:sz w:val="20"/>
        </w:rPr>
        <w:t>of </w:t>
      </w:r>
      <w:r>
        <w:rPr>
          <w:b/>
          <w:sz w:val="20"/>
        </w:rPr>
        <w:t>a </w:t>
      </w:r>
      <w:r>
        <w:rPr>
          <w:b/>
          <w:spacing w:val="9"/>
          <w:sz w:val="20"/>
        </w:rPr>
        <w:t>hypothetical </w:t>
      </w:r>
      <w:r>
        <w:rPr>
          <w:b/>
          <w:spacing w:val="8"/>
          <w:sz w:val="20"/>
        </w:rPr>
        <w:t>country </w:t>
      </w:r>
      <w:r>
        <w:rPr>
          <w:b/>
          <w:spacing w:val="5"/>
          <w:sz w:val="20"/>
        </w:rPr>
        <w:t>in </w:t>
      </w:r>
      <w:r>
        <w:rPr>
          <w:b/>
          <w:spacing w:val="7"/>
          <w:sz w:val="20"/>
        </w:rPr>
        <w:t>year </w:t>
      </w:r>
      <w:r>
        <w:rPr>
          <w:b/>
          <w:sz w:val="20"/>
        </w:rPr>
        <w:t>X </w:t>
      </w:r>
      <w:r>
        <w:rPr>
          <w:b/>
          <w:spacing w:val="5"/>
          <w:sz w:val="20"/>
        </w:rPr>
        <w:t>of </w:t>
      </w:r>
      <w:r>
        <w:rPr>
          <w:b/>
          <w:spacing w:val="6"/>
          <w:sz w:val="20"/>
        </w:rPr>
        <w:t>the </w:t>
      </w:r>
      <w:r>
        <w:rPr>
          <w:b/>
          <w:spacing w:val="9"/>
          <w:sz w:val="20"/>
        </w:rPr>
        <w:t>commitment</w:t>
      </w:r>
      <w:r>
        <w:rPr>
          <w:b/>
          <w:spacing w:val="66"/>
          <w:sz w:val="20"/>
        </w:rPr>
        <w:t> </w:t>
      </w:r>
      <w:r>
        <w:rPr>
          <w:b/>
          <w:spacing w:val="8"/>
          <w:sz w:val="20"/>
        </w:rPr>
        <w:t>period</w:t>
      </w:r>
      <w:r>
        <w:rPr>
          <w:b/>
          <w:spacing w:val="8"/>
          <w:sz w:val="20"/>
          <w:vertAlign w:val="superscript"/>
        </w:rPr>
        <w:t>19</w:t>
      </w:r>
    </w:p>
    <w:p>
      <w:pPr>
        <w:pStyle w:val="BodyText"/>
        <w:rPr>
          <w:b/>
          <w:sz w:val="23"/>
        </w:rPr>
      </w:pPr>
    </w:p>
    <w:tbl>
      <w:tblPr>
        <w:tblW w:w="0" w:type="auto"/>
        <w:jc w:val="left"/>
        <w:tblInd w:w="13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47"/>
        <w:gridCol w:w="2539"/>
        <w:gridCol w:w="837"/>
        <w:gridCol w:w="1819"/>
      </w:tblGrid>
      <w:tr>
        <w:trPr>
          <w:trHeight w:val="405" w:hRule="atLeast"/>
        </w:trPr>
        <w:tc>
          <w:tcPr>
            <w:tcW w:w="6642" w:type="dxa"/>
            <w:gridSpan w:val="4"/>
          </w:tcPr>
          <w:p>
            <w:pPr>
              <w:pStyle w:val="TableParagraph"/>
              <w:spacing w:before="100"/>
              <w:ind w:left="3172"/>
              <w:rPr>
                <w:rFonts w:ascii="Arial"/>
                <w:b/>
                <w:sz w:val="19"/>
              </w:rPr>
            </w:pPr>
            <w:r>
              <w:rPr>
                <w:rFonts w:ascii="Arial"/>
                <w:b/>
                <w:sz w:val="19"/>
              </w:rPr>
              <w:t>Wetland, Settlements, Other Lands</w:t>
            </w:r>
          </w:p>
        </w:tc>
      </w:tr>
      <w:tr>
        <w:trPr>
          <w:trHeight w:val="1652" w:hRule="atLeast"/>
        </w:trPr>
        <w:tc>
          <w:tcPr>
            <w:tcW w:w="3986" w:type="dxa"/>
            <w:gridSpan w:val="2"/>
            <w:tcBorders>
              <w:bottom w:val="nil"/>
              <w:right w:val="single" w:sz="8" w:space="0" w:color="000000"/>
            </w:tcBorders>
            <w:shd w:val="clear" w:color="auto" w:fill="EAEAEA"/>
          </w:tcPr>
          <w:p>
            <w:pPr>
              <w:pStyle w:val="TableParagraph"/>
              <w:spacing w:before="148"/>
              <w:ind w:left="206"/>
              <w:rPr>
                <w:rFonts w:ascii="Arial"/>
                <w:b/>
                <w:sz w:val="19"/>
              </w:rPr>
            </w:pPr>
            <w:r>
              <w:rPr>
                <w:rFonts w:ascii="Arial"/>
                <w:b/>
                <w:sz w:val="19"/>
              </w:rPr>
              <w:t>Managed forest</w:t>
            </w:r>
          </w:p>
        </w:tc>
        <w:tc>
          <w:tcPr>
            <w:tcW w:w="2656" w:type="dxa"/>
            <w:gridSpan w:val="2"/>
            <w:tcBorders>
              <w:left w:val="single" w:sz="8" w:space="0" w:color="000000"/>
              <w:bottom w:val="nil"/>
            </w:tcBorders>
            <w:shd w:val="clear" w:color="auto" w:fill="EAEAEA"/>
          </w:tcPr>
          <w:p>
            <w:pPr>
              <w:pStyle w:val="TableParagraph"/>
              <w:spacing w:before="148"/>
              <w:ind w:left="249"/>
              <w:rPr>
                <w:rFonts w:ascii="Arial"/>
                <w:b/>
                <w:sz w:val="19"/>
              </w:rPr>
            </w:pPr>
            <w:r>
              <w:rPr>
                <w:rFonts w:ascii="Arial"/>
                <w:b/>
                <w:sz w:val="19"/>
              </w:rPr>
              <w:t>Managed grassland</w:t>
            </w:r>
          </w:p>
        </w:tc>
      </w:tr>
      <w:tr>
        <w:trPr>
          <w:trHeight w:val="953" w:hRule="atLeast"/>
        </w:trPr>
        <w:tc>
          <w:tcPr>
            <w:tcW w:w="1447" w:type="dxa"/>
            <w:tcBorders>
              <w:top w:val="nil"/>
              <w:bottom w:val="single" w:sz="12" w:space="0" w:color="000000"/>
            </w:tcBorders>
            <w:shd w:val="clear" w:color="auto" w:fill="EAEAEA"/>
          </w:tcPr>
          <w:p>
            <w:pPr>
              <w:pStyle w:val="TableParagraph"/>
              <w:rPr>
                <w:sz w:val="18"/>
              </w:rPr>
            </w:pPr>
          </w:p>
        </w:tc>
        <w:tc>
          <w:tcPr>
            <w:tcW w:w="2539" w:type="dxa"/>
            <w:tcBorders>
              <w:bottom w:val="single" w:sz="12" w:space="0" w:color="000000"/>
              <w:right w:val="single" w:sz="8" w:space="0" w:color="000000"/>
            </w:tcBorders>
            <w:shd w:val="clear" w:color="auto" w:fill="C0C0C0"/>
          </w:tcPr>
          <w:p>
            <w:pPr>
              <w:pStyle w:val="TableParagraph"/>
              <w:rPr>
                <w:b/>
                <w:sz w:val="20"/>
              </w:rPr>
            </w:pPr>
          </w:p>
          <w:p>
            <w:pPr>
              <w:pStyle w:val="TableParagraph"/>
              <w:spacing w:line="244" w:lineRule="auto" w:before="119"/>
              <w:ind w:left="1007" w:right="252" w:hanging="279"/>
              <w:rPr>
                <w:rFonts w:ascii="Arial"/>
                <w:b/>
                <w:sz w:val="19"/>
              </w:rPr>
            </w:pPr>
            <w:r>
              <w:rPr>
                <w:rFonts w:ascii="Arial"/>
                <w:b/>
                <w:w w:val="95"/>
                <w:sz w:val="19"/>
              </w:rPr>
              <w:t>Unmanaged </w:t>
            </w:r>
            <w:r>
              <w:rPr>
                <w:rFonts w:ascii="Arial"/>
                <w:b/>
                <w:sz w:val="19"/>
              </w:rPr>
              <w:t>forest</w:t>
            </w:r>
          </w:p>
        </w:tc>
        <w:tc>
          <w:tcPr>
            <w:tcW w:w="837" w:type="dxa"/>
            <w:tcBorders>
              <w:top w:val="nil"/>
              <w:left w:val="single" w:sz="8" w:space="0" w:color="000000"/>
              <w:bottom w:val="single" w:sz="12" w:space="0" w:color="000000"/>
            </w:tcBorders>
            <w:shd w:val="clear" w:color="auto" w:fill="EAEAEA"/>
          </w:tcPr>
          <w:p>
            <w:pPr>
              <w:pStyle w:val="TableParagraph"/>
              <w:rPr>
                <w:sz w:val="18"/>
              </w:rPr>
            </w:pPr>
          </w:p>
        </w:tc>
        <w:tc>
          <w:tcPr>
            <w:tcW w:w="1819" w:type="dxa"/>
            <w:tcBorders>
              <w:bottom w:val="single" w:sz="12" w:space="0" w:color="000000"/>
              <w:right w:val="single" w:sz="8" w:space="0" w:color="000000"/>
            </w:tcBorders>
            <w:shd w:val="clear" w:color="auto" w:fill="C0C0C0"/>
          </w:tcPr>
          <w:p>
            <w:pPr>
              <w:pStyle w:val="TableParagraph"/>
              <w:spacing w:before="2"/>
              <w:rPr>
                <w:b/>
                <w:sz w:val="22"/>
              </w:rPr>
            </w:pPr>
          </w:p>
          <w:p>
            <w:pPr>
              <w:pStyle w:val="TableParagraph"/>
              <w:spacing w:line="244" w:lineRule="auto" w:before="1"/>
              <w:ind w:left="444" w:hanging="94"/>
              <w:rPr>
                <w:rFonts w:ascii="Arial"/>
                <w:b/>
                <w:sz w:val="19"/>
              </w:rPr>
            </w:pPr>
            <w:r>
              <w:rPr>
                <w:rFonts w:ascii="Arial"/>
                <w:b/>
                <w:w w:val="95"/>
                <w:sz w:val="19"/>
              </w:rPr>
              <w:t>Unmanaged </w:t>
            </w:r>
            <w:r>
              <w:rPr>
                <w:rFonts w:ascii="Arial"/>
                <w:b/>
                <w:sz w:val="19"/>
              </w:rPr>
              <w:t>grassland</w:t>
            </w:r>
          </w:p>
        </w:tc>
      </w:tr>
      <w:tr>
        <w:trPr>
          <w:trHeight w:val="696" w:hRule="atLeast"/>
        </w:trPr>
        <w:tc>
          <w:tcPr>
            <w:tcW w:w="6642" w:type="dxa"/>
            <w:gridSpan w:val="4"/>
            <w:tcBorders>
              <w:top w:val="single" w:sz="12" w:space="0" w:color="000000"/>
              <w:right w:val="single" w:sz="8" w:space="0" w:color="000000"/>
            </w:tcBorders>
            <w:shd w:val="clear" w:color="auto" w:fill="EAEAEA"/>
          </w:tcPr>
          <w:p>
            <w:pPr>
              <w:pStyle w:val="TableParagraph"/>
              <w:spacing w:before="120"/>
              <w:ind w:left="4060"/>
              <w:rPr>
                <w:rFonts w:ascii="Arial"/>
                <w:b/>
                <w:sz w:val="19"/>
              </w:rPr>
            </w:pPr>
            <w:r>
              <w:rPr>
                <w:rFonts w:ascii="Arial"/>
                <w:b/>
                <w:sz w:val="19"/>
              </w:rPr>
              <w:t>Cropland/arable/tillage</w:t>
            </w:r>
          </w:p>
        </w:tc>
      </w:tr>
    </w:tbl>
    <w:p>
      <w:pPr>
        <w:pStyle w:val="BodyText"/>
        <w:rPr>
          <w:b/>
          <w:sz w:val="24"/>
        </w:rPr>
      </w:pPr>
    </w:p>
    <w:p>
      <w:pPr>
        <w:pStyle w:val="BodyText"/>
        <w:spacing w:before="4"/>
        <w:rPr>
          <w:b/>
          <w:sz w:val="32"/>
        </w:rPr>
      </w:pPr>
    </w:p>
    <w:p>
      <w:pPr>
        <w:tabs>
          <w:tab w:pos="1861" w:val="left" w:leader="none"/>
        </w:tabs>
        <w:spacing w:line="240" w:lineRule="auto" w:before="0"/>
        <w:ind w:left="1860" w:right="394" w:hanging="1702"/>
        <w:jc w:val="left"/>
        <w:rPr>
          <w:b/>
          <w:sz w:val="20"/>
        </w:rPr>
      </w:pPr>
      <w:r>
        <w:rPr>
          <w:b/>
          <w:spacing w:val="8"/>
          <w:sz w:val="20"/>
        </w:rPr>
        <w:t>Figure</w:t>
      </w:r>
      <w:r>
        <w:rPr>
          <w:b/>
          <w:spacing w:val="18"/>
          <w:sz w:val="20"/>
        </w:rPr>
        <w:t> </w:t>
      </w:r>
      <w:r>
        <w:rPr>
          <w:b/>
          <w:spacing w:val="8"/>
          <w:sz w:val="20"/>
        </w:rPr>
        <w:t>4.2.2</w:t>
        <w:tab/>
        <w:tab/>
      </w:r>
      <w:r>
        <w:rPr>
          <w:b/>
          <w:spacing w:val="7"/>
          <w:sz w:val="20"/>
        </w:rPr>
        <w:t>Land </w:t>
      </w:r>
      <w:r>
        <w:rPr>
          <w:b/>
          <w:spacing w:val="9"/>
          <w:sz w:val="20"/>
        </w:rPr>
        <w:t>classification </w:t>
      </w:r>
      <w:r>
        <w:rPr>
          <w:b/>
          <w:spacing w:val="6"/>
          <w:sz w:val="20"/>
        </w:rPr>
        <w:t>for </w:t>
      </w:r>
      <w:r>
        <w:rPr>
          <w:b/>
          <w:spacing w:val="8"/>
          <w:sz w:val="20"/>
        </w:rPr>
        <w:t>Kyoto Protocol reporting </w:t>
      </w:r>
      <w:r>
        <w:rPr>
          <w:b/>
          <w:spacing w:val="7"/>
          <w:sz w:val="20"/>
        </w:rPr>
        <w:t>for </w:t>
      </w:r>
      <w:r>
        <w:rPr>
          <w:b/>
          <w:sz w:val="20"/>
        </w:rPr>
        <w:t>a </w:t>
      </w:r>
      <w:r>
        <w:rPr>
          <w:b/>
          <w:spacing w:val="9"/>
          <w:sz w:val="20"/>
        </w:rPr>
        <w:t>hypothetical country </w:t>
      </w:r>
      <w:r>
        <w:rPr>
          <w:b/>
          <w:spacing w:val="5"/>
          <w:sz w:val="20"/>
        </w:rPr>
        <w:t>in </w:t>
      </w:r>
      <w:r>
        <w:rPr>
          <w:b/>
          <w:spacing w:val="7"/>
          <w:sz w:val="20"/>
        </w:rPr>
        <w:t>year </w:t>
      </w:r>
      <w:r>
        <w:rPr>
          <w:b/>
          <w:sz w:val="20"/>
        </w:rPr>
        <w:t>X </w:t>
      </w:r>
      <w:r>
        <w:rPr>
          <w:b/>
          <w:spacing w:val="5"/>
          <w:sz w:val="20"/>
        </w:rPr>
        <w:t>of </w:t>
      </w:r>
      <w:r>
        <w:rPr>
          <w:b/>
          <w:spacing w:val="7"/>
          <w:sz w:val="20"/>
        </w:rPr>
        <w:t>the </w:t>
      </w:r>
      <w:r>
        <w:rPr>
          <w:b/>
          <w:spacing w:val="9"/>
          <w:sz w:val="20"/>
        </w:rPr>
        <w:t>commitment </w:t>
      </w:r>
      <w:r>
        <w:rPr>
          <w:b/>
          <w:spacing w:val="8"/>
          <w:sz w:val="20"/>
        </w:rPr>
        <w:t>period. </w:t>
      </w:r>
      <w:r>
        <w:rPr>
          <w:b/>
          <w:spacing w:val="7"/>
          <w:sz w:val="20"/>
        </w:rPr>
        <w:t>This </w:t>
      </w:r>
      <w:r>
        <w:rPr>
          <w:b/>
          <w:spacing w:val="9"/>
          <w:sz w:val="20"/>
        </w:rPr>
        <w:t>classification corresponds </w:t>
      </w:r>
      <w:r>
        <w:rPr>
          <w:b/>
          <w:spacing w:val="5"/>
          <w:sz w:val="20"/>
        </w:rPr>
        <w:t>to </w:t>
      </w:r>
      <w:r>
        <w:rPr>
          <w:b/>
          <w:spacing w:val="10"/>
          <w:sz w:val="20"/>
        </w:rPr>
        <w:t>the </w:t>
      </w:r>
      <w:r>
        <w:rPr>
          <w:b/>
          <w:spacing w:val="8"/>
          <w:sz w:val="20"/>
        </w:rPr>
        <w:t>“final” status </w:t>
      </w:r>
      <w:r>
        <w:rPr>
          <w:b/>
          <w:spacing w:val="5"/>
          <w:sz w:val="20"/>
        </w:rPr>
        <w:t>in </w:t>
      </w:r>
      <w:r>
        <w:rPr>
          <w:b/>
          <w:spacing w:val="7"/>
          <w:sz w:val="20"/>
        </w:rPr>
        <w:t>Table</w:t>
      </w:r>
      <w:r>
        <w:rPr>
          <w:b/>
          <w:spacing w:val="57"/>
          <w:sz w:val="20"/>
        </w:rPr>
        <w:t> </w:t>
      </w:r>
      <w:r>
        <w:rPr>
          <w:b/>
          <w:spacing w:val="10"/>
          <w:sz w:val="20"/>
        </w:rPr>
        <w:t>4.2.1.</w:t>
      </w:r>
    </w:p>
    <w:p>
      <w:pPr>
        <w:pStyle w:val="BodyText"/>
        <w:spacing w:before="2"/>
        <w:rPr>
          <w:b/>
          <w:sz w:val="25"/>
        </w:rPr>
      </w:pPr>
      <w:r>
        <w:rPr/>
        <w:pict>
          <v:group style="position:absolute;margin-left:125.200996pt;margin-top:16.505665pt;width:333pt;height:190pt;mso-position-horizontal-relative:page;mso-position-vertical-relative:paragraph;z-index:18296;mso-wrap-distance-left:0;mso-wrap-distance-right:0" coordorigin="2504,330" coordsize="6660,3800">
            <v:rect style="position:absolute;left:6502;top:759;width:2652;height:2640" filled="true" fillcolor="#eaeaea" stroked="false">
              <v:fill type="solid"/>
            </v:rect>
            <v:rect style="position:absolute;left:6502;top:759;width:2652;height:2640" filled="false" stroked="true" strokeweight=".72pt" strokecolor="#000000">
              <v:stroke dashstyle="solid"/>
            </v:rect>
            <v:rect style="position:absolute;left:2511;top:759;width:3987;height:2633" filled="true" fillcolor="#eaeaea" stroked="false">
              <v:fill type="solid"/>
            </v:rect>
            <v:rect style="position:absolute;left:2511;top:759;width:3987;height:2633" filled="false" stroked="true" strokeweight=".72pt" strokecolor="#000000">
              <v:stroke dashstyle="solid"/>
            </v:rect>
            <v:rect style="position:absolute;left:4671;top:1098;width:742;height:538" filled="true" fillcolor="#ffffff" stroked="false">
              <v:fill type="solid"/>
            </v:rect>
            <v:rect style="position:absolute;left:4671;top:1098;width:742;height:538" filled="false" stroked="true" strokeweight=".72pt" strokecolor="#000000">
              <v:stroke dashstyle="solid"/>
            </v:rect>
            <v:rect style="position:absolute;left:5571;top:1098;width:742;height:538" filled="true" fillcolor="#ffffff" stroked="false">
              <v:fill type="solid"/>
            </v:rect>
            <v:rect style="position:absolute;left:5571;top:1098;width:742;height:538" filled="false" stroked="true" strokeweight=".72pt" strokecolor="#000000">
              <v:stroke dashstyle="solid"/>
            </v:rect>
            <v:rect style="position:absolute;left:2511;top:337;width:6644;height:420" filled="false" stroked="true" strokeweight=".72pt" strokecolor="#000000">
              <v:stroke dashstyle="solid"/>
            </v:rect>
            <v:rect style="position:absolute;left:2511;top:337;width:6644;height:3766" filled="false" stroked="true" strokeweight=".72pt" strokecolor="#000000">
              <v:stroke dashstyle="solid"/>
            </v:rect>
            <v:rect style="position:absolute;left:2511;top:3406;width:6646;height:716" filled="true" fillcolor="#eaeaea" stroked="false">
              <v:fill type="solid"/>
            </v:rect>
            <v:rect style="position:absolute;left:2511;top:3406;width:6646;height:716" filled="false" stroked="true" strokeweight=".72pt" strokecolor="#000000">
              <v:stroke dashstyle="solid"/>
            </v:rect>
            <v:rect style="position:absolute;left:7335;top:2427;width:1815;height:977" filled="true" fillcolor="#c0c0c0" stroked="false">
              <v:fill type="solid"/>
            </v:rect>
            <v:rect style="position:absolute;left:7335;top:2427;width:1815;height:977" filled="false" stroked="true" strokeweight=".72pt" strokecolor="#000000">
              <v:stroke dashstyle="solid"/>
            </v:rect>
            <v:rect style="position:absolute;left:3958;top:2427;width:2540;height:977" filled="true" fillcolor="#c0c0c0" stroked="false">
              <v:fill type="solid"/>
            </v:rect>
            <v:rect style="position:absolute;left:3958;top:2427;width:2540;height:977" filled="false" stroked="true" strokeweight=".72pt" strokecolor="#000000">
              <v:stroke dashstyle="solid"/>
            </v:rect>
            <v:rect style="position:absolute;left:2691;top:385;width:759;height:279" filled="false" stroked="true" strokeweight=".72pt" strokecolor="#000000">
              <v:stroke dashstyle="solid"/>
            </v:rect>
            <v:rect style="position:absolute;left:3543;top:385;width:768;height:279" filled="false" stroked="true" strokeweight=".72pt" strokecolor="#000000">
              <v:stroke dashstyle="solid"/>
            </v:rect>
            <v:rect style="position:absolute;left:3771;top:1098;width:742;height:538" filled="true" fillcolor="#ffffff" stroked="false">
              <v:fill type="solid"/>
            </v:rect>
            <v:rect style="position:absolute;left:3771;top:1098;width:742;height:538" filled="false" stroked="true" strokeweight=".72pt" strokecolor="#000000">
              <v:stroke dashstyle="solid"/>
            </v:rect>
            <v:rect style="position:absolute;left:2691;top:3663;width:759;height:284" filled="true" fillcolor="#ffffff" stroked="false">
              <v:fill type="solid"/>
            </v:rect>
            <v:rect style="position:absolute;left:2691;top:3663;width:759;height:284" filled="false" stroked="true" strokeweight=".72pt" strokecolor="#000000">
              <v:stroke dashstyle="solid"/>
            </v:rect>
            <v:rect style="position:absolute;left:7760;top:1102;width:692;height:540" filled="true" fillcolor="#ffffff" stroked="false">
              <v:fill type="solid"/>
            </v:rect>
            <v:rect style="position:absolute;left:7760;top:1102;width:692;height:540" filled="false" stroked="true" strokeweight=".72pt" strokecolor="#000000">
              <v:stroke dashstyle="solid"/>
            </v:rect>
            <v:rect style="position:absolute;left:6831;top:1102;width:766;height:540" filled="true" fillcolor="#ffffff" stroked="false">
              <v:fill type="solid"/>
            </v:rect>
            <v:rect style="position:absolute;left:6831;top:1102;width:766;height:540" filled="false" stroked="true" strokeweight=".72pt" strokecolor="#000000">
              <v:stroke dashstyle="solid"/>
            </v:rect>
            <v:rect style="position:absolute;left:6543;top:1218;width:120;height:32" filled="true" fillcolor="#969696" stroked="false">
              <v:fill type="solid"/>
            </v:rect>
            <v:rect style="position:absolute;left:6754;top:1218;width:120;height:32" filled="true" fillcolor="#969696" stroked="false">
              <v:fill type="solid"/>
            </v:rect>
            <v:rect style="position:absolute;left:6963;top:1218;width:120;height:32" filled="true" fillcolor="#969696" stroked="false">
              <v:fill type="solid"/>
            </v:rect>
            <v:rect style="position:absolute;left:7174;top:1218;width:120;height:32" filled="true" fillcolor="#969696" stroked="false">
              <v:fill type="solid"/>
            </v:rect>
            <v:rect style="position:absolute;left:7383;top:1218;width:120;height:32" filled="true" fillcolor="#969696" stroked="false">
              <v:fill type="solid"/>
            </v:rect>
            <v:rect style="position:absolute;left:7594;top:1218;width:120;height:32" filled="true" fillcolor="#969696" stroked="false">
              <v:fill type="solid"/>
            </v:rect>
            <v:rect style="position:absolute;left:7803;top:1218;width:120;height:32" filled="true" fillcolor="#969696" stroked="false">
              <v:fill type="solid"/>
            </v:rect>
            <v:rect style="position:absolute;left:8014;top:1218;width:120;height:32" filled="true" fillcolor="#969696" stroked="false">
              <v:fill type="solid"/>
            </v:rect>
            <v:rect style="position:absolute;left:8223;top:1218;width:120;height:32" filled="true" fillcolor="#969696" stroked="false">
              <v:fill type="solid"/>
            </v:rect>
            <v:rect style="position:absolute;left:8434;top:1218;width:120;height:32" filled="true" fillcolor="#969696" stroked="false">
              <v:fill type="solid"/>
            </v:rect>
            <v:rect style="position:absolute;left:8643;top:1218;width:120;height:32" filled="true" fillcolor="#969696" stroked="false">
              <v:fill type="solid"/>
            </v:rect>
            <v:rect style="position:absolute;left:8854;top:1218;width:120;height:32" filled="true" fillcolor="#969696" stroked="false">
              <v:fill type="solid"/>
            </v:rect>
            <v:shape style="position:absolute;left:9063;top:1218;width:44;height:32" coordorigin="9063,1218" coordsize="44,32" path="m9063,1218l9063,1249,9106,1249,9106,1221,9063,1218xe" filled="true" fillcolor="#969696" stroked="false">
              <v:path arrowok="t"/>
              <v:fill type="solid"/>
            </v:shape>
            <v:rect style="position:absolute;left:9106;top:1321;width:29;height:120" filled="true" fillcolor="#969696" stroked="false">
              <v:fill type="solid"/>
            </v:rect>
            <v:rect style="position:absolute;left:9106;top:1530;width:29;height:120" filled="true" fillcolor="#969696" stroked="false">
              <v:fill type="solid"/>
            </v:rect>
            <v:rect style="position:absolute;left:9106;top:1741;width:29;height:120" filled="true" fillcolor="#969696" stroked="false">
              <v:fill type="solid"/>
            </v:rect>
            <v:rect style="position:absolute;left:9106;top:1950;width:29;height:120" filled="true" fillcolor="#969696" stroked="false">
              <v:fill type="solid"/>
            </v:rect>
            <v:rect style="position:absolute;left:9106;top:2161;width:29;height:120" filled="true" fillcolor="#969696" stroked="false">
              <v:fill type="solid"/>
            </v:rect>
            <v:rect style="position:absolute;left:9015;top:2370;width:120;height:32" filled="true" fillcolor="#969696" stroked="false">
              <v:fill type="solid"/>
            </v:rect>
            <v:rect style="position:absolute;left:8806;top:2370;width:120;height:32" filled="true" fillcolor="#969696" stroked="false">
              <v:fill type="solid"/>
            </v:rect>
            <v:rect style="position:absolute;left:8595;top:2370;width:120;height:32" filled="true" fillcolor="#969696" stroked="false">
              <v:fill type="solid"/>
            </v:rect>
            <v:rect style="position:absolute;left:8386;top:2370;width:120;height:32" filled="true" fillcolor="#969696" stroked="false">
              <v:fill type="solid"/>
            </v:rect>
            <v:rect style="position:absolute;left:8175;top:2370;width:120;height:32" filled="true" fillcolor="#969696" stroked="false">
              <v:fill type="solid"/>
            </v:rect>
            <v:rect style="position:absolute;left:7966;top:2370;width:120;height:32" filled="true" fillcolor="#969696" stroked="false">
              <v:fill type="solid"/>
            </v:rect>
            <v:rect style="position:absolute;left:7755;top:2370;width:120;height:32" filled="true" fillcolor="#969696" stroked="false">
              <v:fill type="solid"/>
            </v:rect>
            <v:rect style="position:absolute;left:7546;top:2370;width:120;height:32" filled="true" fillcolor="#969696" stroked="false">
              <v:fill type="solid"/>
            </v:rect>
            <v:rect style="position:absolute;left:7335;top:2370;width:120;height:32" filled="true" fillcolor="#969696" stroked="false">
              <v:fill type="solid"/>
            </v:rect>
            <v:rect style="position:absolute;left:7277;top:2398;width:29;height:120" filled="true" fillcolor="#969696" stroked="false">
              <v:fill type="solid"/>
            </v:rect>
            <v:rect style="position:absolute;left:7277;top:2610;width:29;height:120" filled="true" fillcolor="#969696" stroked="false">
              <v:fill type="solid"/>
            </v:rect>
            <v:rect style="position:absolute;left:7277;top:2818;width:29;height:120" filled="true" fillcolor="#969696" stroked="false">
              <v:fill type="solid"/>
            </v:rect>
            <v:rect style="position:absolute;left:7277;top:3030;width:29;height:120" filled="true" fillcolor="#969696" stroked="false">
              <v:fill type="solid"/>
            </v:rect>
            <v:rect style="position:absolute;left:7277;top:3238;width:29;height:120" filled="true" fillcolor="#969696" stroked="false">
              <v:fill type="solid"/>
            </v:rect>
            <v:rect style="position:absolute;left:7143;top:3334;width:120;height:32" filled="true" fillcolor="#969696" stroked="false">
              <v:fill type="solid"/>
            </v:rect>
            <v:rect style="position:absolute;left:6934;top:3334;width:120;height:32" filled="true" fillcolor="#969696" stroked="false">
              <v:fill type="solid"/>
            </v:rect>
            <v:rect style="position:absolute;left:6723;top:3334;width:120;height:32" filled="true" fillcolor="#969696" stroked="false">
              <v:fill type="solid"/>
            </v:rect>
            <v:shape style="position:absolute;left:6543;top:3334;width:92;height:32" coordorigin="6543,3335" coordsize="92,32" path="m6634,3335l6543,3337,6543,3366,6634,3366,6634,3335xe" filled="true" fillcolor="#969696" stroked="false">
              <v:path arrowok="t"/>
              <v:fill type="solid"/>
            </v:shape>
            <v:rect style="position:absolute;left:6528;top:1232;width:32;height:120" filled="true" fillcolor="#969696" stroked="false">
              <v:fill type="solid"/>
            </v:rect>
            <v:rect style="position:absolute;left:6528;top:1443;width:32;height:120" filled="true" fillcolor="#969696" stroked="false">
              <v:fill type="solid"/>
            </v:rect>
            <v:rect style="position:absolute;left:6528;top:1652;width:32;height:120" filled="true" fillcolor="#969696" stroked="false">
              <v:fill type="solid"/>
            </v:rect>
            <v:rect style="position:absolute;left:6528;top:1863;width:32;height:120" filled="true" fillcolor="#969696" stroked="false">
              <v:fill type="solid"/>
            </v:rect>
            <v:rect style="position:absolute;left:6528;top:2072;width:32;height:120" filled="true" fillcolor="#969696" stroked="false">
              <v:fill type="solid"/>
            </v:rect>
            <v:rect style="position:absolute;left:6528;top:2283;width:32;height:120" filled="true" fillcolor="#969696" stroked="false">
              <v:fill type="solid"/>
            </v:rect>
            <v:rect style="position:absolute;left:6528;top:2492;width:32;height:120" filled="true" fillcolor="#969696" stroked="false">
              <v:fill type="solid"/>
            </v:rect>
            <v:rect style="position:absolute;left:6528;top:2703;width:32;height:120" filled="true" fillcolor="#969696" stroked="false">
              <v:fill type="solid"/>
            </v:rect>
            <v:rect style="position:absolute;left:6528;top:2912;width:32;height:120" filled="true" fillcolor="#969696" stroked="false">
              <v:fill type="solid"/>
            </v:rect>
            <v:rect style="position:absolute;left:6528;top:3123;width:32;height:120" filled="true" fillcolor="#969696" stroked="false">
              <v:fill type="solid"/>
            </v:rect>
            <v:shape style="position:absolute;left:6528;top:3332;width:32;height:32" coordorigin="6529,3333" coordsize="32,32" path="m6560,3333l6529,3333,6531,3364,6560,3364,6560,3333xe" filled="true" fillcolor="#969696" stroked="false">
              <v:path arrowok="t"/>
              <v:fill type="solid"/>
            </v:shape>
            <v:rect style="position:absolute;left:2540;top:1227;width:32;height:120" filled="true" fillcolor="#969696" stroked="false">
              <v:fill type="solid"/>
            </v:rect>
            <v:rect style="position:absolute;left:2540;top:1438;width:32;height:120" filled="true" fillcolor="#969696" stroked="false">
              <v:fill type="solid"/>
            </v:rect>
            <v:rect style="position:absolute;left:2540;top:1647;width:32;height:120" filled="true" fillcolor="#969696" stroked="false">
              <v:fill type="solid"/>
            </v:rect>
            <v:rect style="position:absolute;left:2540;top:1858;width:32;height:120" filled="true" fillcolor="#969696" stroked="false">
              <v:fill type="solid"/>
            </v:rect>
            <v:rect style="position:absolute;left:2540;top:2067;width:32;height:120" filled="true" fillcolor="#969696" stroked="false">
              <v:fill type="solid"/>
            </v:rect>
            <v:rect style="position:absolute;left:2540;top:2278;width:32;height:120" filled="true" fillcolor="#969696" stroked="false">
              <v:fill type="solid"/>
            </v:rect>
            <v:rect style="position:absolute;left:2540;top:2487;width:32;height:120" filled="true" fillcolor="#969696" stroked="false">
              <v:fill type="solid"/>
            </v:rect>
            <v:rect style="position:absolute;left:2540;top:2698;width:32;height:120" filled="true" fillcolor="#969696" stroked="false">
              <v:fill type="solid"/>
            </v:rect>
            <v:rect style="position:absolute;left:2540;top:2907;width:32;height:120" filled="true" fillcolor="#969696" stroked="false">
              <v:fill type="solid"/>
            </v:rect>
            <v:rect style="position:absolute;left:2540;top:3118;width:32;height:120" filled="true" fillcolor="#969696" stroked="false">
              <v:fill type="solid"/>
            </v:rect>
            <v:rect style="position:absolute;left:2554;top:3320;width:120;height:32" filled="true" fillcolor="#969696" stroked="false">
              <v:fill type="solid"/>
            </v:rect>
            <v:rect style="position:absolute;left:2765;top:3320;width:120;height:32" filled="true" fillcolor="#969696" stroked="false">
              <v:fill type="solid"/>
            </v:rect>
            <v:rect style="position:absolute;left:2974;top:3320;width:120;height:32" filled="true" fillcolor="#969696" stroked="false">
              <v:fill type="solid"/>
            </v:rect>
            <v:rect style="position:absolute;left:3185;top:3320;width:120;height:32" filled="true" fillcolor="#969696" stroked="false">
              <v:fill type="solid"/>
            </v:rect>
            <v:rect style="position:absolute;left:3394;top:3320;width:120;height:32" filled="true" fillcolor="#969696" stroked="false">
              <v:fill type="solid"/>
            </v:rect>
            <v:rect style="position:absolute;left:3605;top:3320;width:120;height:32" filled="true" fillcolor="#969696" stroked="false">
              <v:fill type="solid"/>
            </v:rect>
            <v:shape style="position:absolute;left:3814;top:3320;width:29;height:32" coordorigin="3814,3321" coordsize="29,32" path="m3814,3321l3814,3352,3843,3352,3843,3323,3814,3321xe" filled="true" fillcolor="#969696" stroked="false">
              <v:path arrowok="t"/>
              <v:fill type="solid"/>
            </v:shape>
            <v:rect style="position:absolute;left:3908;top:3229;width:32;height:120" filled="true" fillcolor="#969696" stroked="false">
              <v:fill type="solid"/>
            </v:rect>
            <v:rect style="position:absolute;left:3908;top:3020;width:32;height:120" filled="true" fillcolor="#969696" stroked="false">
              <v:fill type="solid"/>
            </v:rect>
            <v:rect style="position:absolute;left:3908;top:2809;width:32;height:120" filled="true" fillcolor="#969696" stroked="false">
              <v:fill type="solid"/>
            </v:rect>
            <v:rect style="position:absolute;left:3908;top:2600;width:32;height:120" filled="true" fillcolor="#969696" stroked="false">
              <v:fill type="solid"/>
            </v:rect>
            <v:rect style="position:absolute;left:3908;top:2389;width:32;height:120" filled="true" fillcolor="#969696" stroked="false">
              <v:fill type="solid"/>
            </v:rect>
            <v:rect style="position:absolute;left:3936;top:2384;width:120;height:32" filled="true" fillcolor="#969696" stroked="false">
              <v:fill type="solid"/>
            </v:rect>
            <v:rect style="position:absolute;left:4145;top:2384;width:120;height:32" filled="true" fillcolor="#969696" stroked="false">
              <v:fill type="solid"/>
            </v:rect>
            <v:rect style="position:absolute;left:4356;top:2384;width:120;height:32" filled="true" fillcolor="#969696" stroked="false">
              <v:fill type="solid"/>
            </v:rect>
            <v:rect style="position:absolute;left:4565;top:2384;width:120;height:32" filled="true" fillcolor="#969696" stroked="false">
              <v:fill type="solid"/>
            </v:rect>
            <v:rect style="position:absolute;left:4776;top:2384;width:120;height:32" filled="true" fillcolor="#969696" stroked="false">
              <v:fill type="solid"/>
            </v:rect>
            <v:rect style="position:absolute;left:4985;top:2384;width:120;height:32" filled="true" fillcolor="#969696" stroked="false">
              <v:fill type="solid"/>
            </v:rect>
            <v:rect style="position:absolute;left:5196;top:2384;width:120;height:32" filled="true" fillcolor="#969696" stroked="false">
              <v:fill type="solid"/>
            </v:rect>
            <v:rect style="position:absolute;left:5405;top:2384;width:120;height:32" filled="true" fillcolor="#969696" stroked="false">
              <v:fill type="solid"/>
            </v:rect>
            <v:rect style="position:absolute;left:5616;top:2384;width:120;height:32" filled="true" fillcolor="#969696" stroked="false">
              <v:fill type="solid"/>
            </v:rect>
            <v:rect style="position:absolute;left:5825;top:2384;width:120;height:32" filled="true" fillcolor="#969696" stroked="false">
              <v:fill type="solid"/>
            </v:rect>
            <v:rect style="position:absolute;left:6036;top:2384;width:120;height:32" filled="true" fillcolor="#969696" stroked="false">
              <v:fill type="solid"/>
            </v:rect>
            <v:rect style="position:absolute;left:6245;top:2384;width:120;height:32" filled="true" fillcolor="#969696" stroked="false">
              <v:fill type="solid"/>
            </v:rect>
            <v:shape style="position:absolute;left:6456;top:2384;width:15;height:32" coordorigin="6457,2385" coordsize="15,32" path="m6457,2385l6457,2416,6471,2416,6471,2387,6457,2385xe" filled="true" fillcolor="#969696" stroked="false">
              <v:path arrowok="t"/>
              <v:fill type="solid"/>
            </v:shape>
            <v:rect style="position:absolute;left:2604;top:1213;width:120;height:32" filled="true" fillcolor="#969696" stroked="false">
              <v:fill type="solid"/>
            </v:rect>
            <v:rect style="position:absolute;left:2816;top:1213;width:120;height:32" filled="true" fillcolor="#969696" stroked="false">
              <v:fill type="solid"/>
            </v:rect>
            <v:rect style="position:absolute;left:3024;top:1213;width:120;height:32" filled="true" fillcolor="#969696" stroked="false">
              <v:fill type="solid"/>
            </v:rect>
            <v:rect style="position:absolute;left:3236;top:1213;width:120;height:32" filled="true" fillcolor="#969696" stroked="false">
              <v:fill type="solid"/>
            </v:rect>
            <v:rect style="position:absolute;left:3444;top:1213;width:120;height:32" filled="true" fillcolor="#969696" stroked="false">
              <v:fill type="solid"/>
            </v:rect>
            <v:rect style="position:absolute;left:3656;top:1213;width:120;height:32" filled="true" fillcolor="#969696" stroked="false">
              <v:fill type="solid"/>
            </v:rect>
            <v:rect style="position:absolute;left:3864;top:1213;width:120;height:32" filled="true" fillcolor="#969696" stroked="false">
              <v:fill type="solid"/>
            </v:rect>
            <v:rect style="position:absolute;left:4076;top:1213;width:120;height:32" filled="true" fillcolor="#969696" stroked="false">
              <v:fill type="solid"/>
            </v:rect>
            <v:rect style="position:absolute;left:4284;top:1213;width:120;height:32" filled="true" fillcolor="#969696" stroked="false">
              <v:fill type="solid"/>
            </v:rect>
            <v:rect style="position:absolute;left:4496;top:1213;width:120;height:32" filled="true" fillcolor="#969696" stroked="false">
              <v:fill type="solid"/>
            </v:rect>
            <v:rect style="position:absolute;left:4704;top:1213;width:120;height:32" filled="true" fillcolor="#969696" stroked="false">
              <v:fill type="solid"/>
            </v:rect>
            <v:rect style="position:absolute;left:4916;top:1213;width:120;height:32" filled="true" fillcolor="#969696" stroked="false">
              <v:fill type="solid"/>
            </v:rect>
            <v:rect style="position:absolute;left:5124;top:1213;width:120;height:32" filled="true" fillcolor="#969696" stroked="false">
              <v:fill type="solid"/>
            </v:rect>
            <v:rect style="position:absolute;left:5336;top:1213;width:120;height:32" filled="true" fillcolor="#969696" stroked="false">
              <v:fill type="solid"/>
            </v:rect>
            <v:rect style="position:absolute;left:5544;top:1213;width:120;height:32" filled="true" fillcolor="#969696" stroked="false">
              <v:fill type="solid"/>
            </v:rect>
            <v:rect style="position:absolute;left:5756;top:1213;width:120;height:32" filled="true" fillcolor="#969696" stroked="false">
              <v:fill type="solid"/>
            </v:rect>
            <v:rect style="position:absolute;left:5964;top:1213;width:120;height:32" filled="true" fillcolor="#969696" stroked="false">
              <v:fill type="solid"/>
            </v:rect>
            <v:rect style="position:absolute;left:6176;top:1213;width:120;height:32" filled="true" fillcolor="#969696" stroked="false">
              <v:fill type="solid"/>
            </v:rect>
            <v:rect style="position:absolute;left:6384;top:1213;width:87;height:32" filled="true" fillcolor="#969696" stroked="false">
              <v:fill type="solid"/>
            </v:rect>
            <v:rect style="position:absolute;left:6456;top:1227;width:32;height:120" filled="true" fillcolor="#969696" stroked="false">
              <v:fill type="solid"/>
            </v:rect>
            <v:rect style="position:absolute;left:6456;top:1438;width:32;height:120" filled="true" fillcolor="#969696" stroked="false">
              <v:fill type="solid"/>
            </v:rect>
            <v:rect style="position:absolute;left:6456;top:1647;width:32;height:120" filled="true" fillcolor="#969696" stroked="false">
              <v:fill type="solid"/>
            </v:rect>
            <v:rect style="position:absolute;left:6456;top:1858;width:32;height:120" filled="true" fillcolor="#969696" stroked="false">
              <v:fill type="solid"/>
            </v:rect>
            <v:rect style="position:absolute;left:6456;top:2067;width:32;height:120" filled="true" fillcolor="#969696" stroked="false">
              <v:fill type="solid"/>
            </v:rect>
            <v:shape style="position:absolute;left:6456;top:2278;width:32;height:44" coordorigin="6457,2279" coordsize="32,44" path="m6488,2279l6457,2279,6459,2322,6488,2322,6488,2279xe" filled="true" fillcolor="#969696" stroked="false">
              <v:path arrowok="t"/>
              <v:fill type="solid"/>
            </v:shape>
            <v:rect style="position:absolute;left:2554;top:3435;width:120;height:32" filled="true" fillcolor="#969696" stroked="false">
              <v:fill type="solid"/>
            </v:rect>
            <v:rect style="position:absolute;left:2765;top:3435;width:120;height:32" filled="true" fillcolor="#969696" stroked="false">
              <v:fill type="solid"/>
            </v:rect>
            <v:rect style="position:absolute;left:2974;top:3435;width:120;height:32" filled="true" fillcolor="#969696" stroked="false">
              <v:fill type="solid"/>
            </v:rect>
            <v:rect style="position:absolute;left:3185;top:3435;width:120;height:32" filled="true" fillcolor="#969696" stroked="false">
              <v:fill type="solid"/>
            </v:rect>
            <v:rect style="position:absolute;left:3394;top:3435;width:120;height:32" filled="true" fillcolor="#969696" stroked="false">
              <v:fill type="solid"/>
            </v:rect>
            <v:rect style="position:absolute;left:3605;top:3435;width:120;height:32" filled="true" fillcolor="#969696" stroked="false">
              <v:fill type="solid"/>
            </v:rect>
            <v:rect style="position:absolute;left:3814;top:3435;width:120;height:32" filled="true" fillcolor="#969696" stroked="false">
              <v:fill type="solid"/>
            </v:rect>
            <v:rect style="position:absolute;left:4025;top:3435;width:120;height:32" filled="true" fillcolor="#969696" stroked="false">
              <v:fill type="solid"/>
            </v:rect>
            <v:rect style="position:absolute;left:4234;top:3435;width:120;height:32" filled="true" fillcolor="#969696" stroked="false">
              <v:fill type="solid"/>
            </v:rect>
            <v:rect style="position:absolute;left:4445;top:3435;width:120;height:32" filled="true" fillcolor="#969696" stroked="false">
              <v:fill type="solid"/>
            </v:rect>
            <v:rect style="position:absolute;left:4654;top:3435;width:120;height:32" filled="true" fillcolor="#969696" stroked="false">
              <v:fill type="solid"/>
            </v:rect>
            <v:rect style="position:absolute;left:4865;top:3435;width:120;height:32" filled="true" fillcolor="#969696" stroked="false">
              <v:fill type="solid"/>
            </v:rect>
            <v:rect style="position:absolute;left:5074;top:3435;width:120;height:32" filled="true" fillcolor="#969696" stroked="false">
              <v:fill type="solid"/>
            </v:rect>
            <v:rect style="position:absolute;left:5285;top:3435;width:120;height:32" filled="true" fillcolor="#969696" stroked="false">
              <v:fill type="solid"/>
            </v:rect>
            <v:rect style="position:absolute;left:5494;top:3435;width:120;height:32" filled="true" fillcolor="#969696" stroked="false">
              <v:fill type="solid"/>
            </v:rect>
            <v:rect style="position:absolute;left:5705;top:3435;width:120;height:32" filled="true" fillcolor="#969696" stroked="false">
              <v:fill type="solid"/>
            </v:rect>
            <v:rect style="position:absolute;left:5914;top:3435;width:120;height:32" filled="true" fillcolor="#969696" stroked="false">
              <v:fill type="solid"/>
            </v:rect>
            <v:rect style="position:absolute;left:6125;top:3435;width:120;height:32" filled="true" fillcolor="#969696" stroked="false">
              <v:fill type="solid"/>
            </v:rect>
            <v:rect style="position:absolute;left:6334;top:3435;width:120;height:32" filled="true" fillcolor="#969696" stroked="false">
              <v:fill type="solid"/>
            </v:rect>
            <v:rect style="position:absolute;left:6545;top:3435;width:120;height:32" filled="true" fillcolor="#969696" stroked="false">
              <v:fill type="solid"/>
            </v:rect>
            <v:rect style="position:absolute;left:6754;top:3435;width:120;height:32" filled="true" fillcolor="#969696" stroked="false">
              <v:fill type="solid"/>
            </v:rect>
            <v:rect style="position:absolute;left:6965;top:3435;width:120;height:32" filled="true" fillcolor="#969696" stroked="false">
              <v:fill type="solid"/>
            </v:rect>
            <v:rect style="position:absolute;left:7174;top:3435;width:120;height:32" filled="true" fillcolor="#969696" stroked="false">
              <v:fill type="solid"/>
            </v:rect>
            <v:rect style="position:absolute;left:7385;top:3435;width:120;height:32" filled="true" fillcolor="#969696" stroked="false">
              <v:fill type="solid"/>
            </v:rect>
            <v:rect style="position:absolute;left:7594;top:3435;width:120;height:32" filled="true" fillcolor="#969696" stroked="false">
              <v:fill type="solid"/>
            </v:rect>
            <v:rect style="position:absolute;left:7805;top:3435;width:120;height:32" filled="true" fillcolor="#969696" stroked="false">
              <v:fill type="solid"/>
            </v:rect>
            <v:rect style="position:absolute;left:8014;top:3435;width:120;height:32" filled="true" fillcolor="#969696" stroked="false">
              <v:fill type="solid"/>
            </v:rect>
            <v:rect style="position:absolute;left:8225;top:3435;width:120;height:32" filled="true" fillcolor="#969696" stroked="false">
              <v:fill type="solid"/>
            </v:rect>
            <v:rect style="position:absolute;left:8434;top:3435;width:120;height:32" filled="true" fillcolor="#969696" stroked="false">
              <v:fill type="solid"/>
            </v:rect>
            <v:rect style="position:absolute;left:8645;top:3435;width:120;height:32" filled="true" fillcolor="#969696" stroked="false">
              <v:fill type="solid"/>
            </v:rect>
            <v:rect style="position:absolute;left:8854;top:3435;width:120;height:32" filled="true" fillcolor="#969696" stroked="false">
              <v:fill type="solid"/>
            </v:rect>
            <v:shape style="position:absolute;left:9065;top:3435;width:41;height:32" coordorigin="9066,3436" coordsize="41,32" path="m9066,3436l9066,3467,9106,3467,9106,3438,9066,3436xe" filled="true" fillcolor="#969696" stroked="false">
              <v:path arrowok="t"/>
              <v:fill type="solid"/>
            </v:shape>
            <v:rect style="position:absolute;left:9092;top:3478;width:32;height:120" filled="true" fillcolor="#969696" stroked="false">
              <v:fill type="solid"/>
            </v:rect>
            <v:rect style="position:absolute;left:9092;top:3687;width:32;height:120" filled="true" fillcolor="#969696" stroked="false">
              <v:fill type="solid"/>
            </v:rect>
            <v:rect style="position:absolute;left:9092;top:3898;width:32;height:120" filled="true" fillcolor="#969696" stroked="false">
              <v:fill type="solid"/>
            </v:rect>
            <v:rect style="position:absolute;left:8986;top:4071;width:120;height:29" filled="true" fillcolor="#969696" stroked="false">
              <v:fill type="solid"/>
            </v:rect>
            <v:rect style="position:absolute;left:8777;top:4071;width:120;height:29" filled="true" fillcolor="#969696" stroked="false">
              <v:fill type="solid"/>
            </v:rect>
            <v:rect style="position:absolute;left:8566;top:4071;width:120;height:29" filled="true" fillcolor="#969696" stroked="false">
              <v:fill type="solid"/>
            </v:rect>
            <v:rect style="position:absolute;left:8357;top:4071;width:120;height:29" filled="true" fillcolor="#969696" stroked="false">
              <v:fill type="solid"/>
            </v:rect>
            <v:rect style="position:absolute;left:8146;top:4071;width:120;height:29" filled="true" fillcolor="#969696" stroked="false">
              <v:fill type="solid"/>
            </v:rect>
            <v:rect style="position:absolute;left:7937;top:4071;width:120;height:29" filled="true" fillcolor="#969696" stroked="false">
              <v:fill type="solid"/>
            </v:rect>
            <v:rect style="position:absolute;left:7726;top:4071;width:120;height:29" filled="true" fillcolor="#969696" stroked="false">
              <v:fill type="solid"/>
            </v:rect>
            <v:rect style="position:absolute;left:7517;top:4071;width:120;height:29" filled="true" fillcolor="#969696" stroked="false">
              <v:fill type="solid"/>
            </v:rect>
            <v:rect style="position:absolute;left:7306;top:4071;width:120;height:29" filled="true" fillcolor="#969696" stroked="false">
              <v:fill type="solid"/>
            </v:rect>
            <v:rect style="position:absolute;left:7097;top:4071;width:120;height:29" filled="true" fillcolor="#969696" stroked="false">
              <v:fill type="solid"/>
            </v:rect>
            <v:rect style="position:absolute;left:6886;top:4071;width:120;height:29" filled="true" fillcolor="#969696" stroked="false">
              <v:fill type="solid"/>
            </v:rect>
            <v:rect style="position:absolute;left:6677;top:4071;width:120;height:29" filled="true" fillcolor="#969696" stroked="false">
              <v:fill type="solid"/>
            </v:rect>
            <v:rect style="position:absolute;left:6466;top:4071;width:120;height:29" filled="true" fillcolor="#969696" stroked="false">
              <v:fill type="solid"/>
            </v:rect>
            <v:rect style="position:absolute;left:6257;top:4071;width:120;height:29" filled="true" fillcolor="#969696" stroked="false">
              <v:fill type="solid"/>
            </v:rect>
            <v:rect style="position:absolute;left:6046;top:4071;width:120;height:29" filled="true" fillcolor="#969696" stroked="false">
              <v:fill type="solid"/>
            </v:rect>
            <v:rect style="position:absolute;left:5837;top:4071;width:120;height:29" filled="true" fillcolor="#969696" stroked="false">
              <v:fill type="solid"/>
            </v:rect>
            <v:rect style="position:absolute;left:5626;top:4071;width:120;height:29" filled="true" fillcolor="#969696" stroked="false">
              <v:fill type="solid"/>
            </v:rect>
            <v:rect style="position:absolute;left:5417;top:4071;width:120;height:29" filled="true" fillcolor="#969696" stroked="false">
              <v:fill type="solid"/>
            </v:rect>
            <v:rect style="position:absolute;left:5206;top:4071;width:120;height:29" filled="true" fillcolor="#969696" stroked="false">
              <v:fill type="solid"/>
            </v:rect>
            <v:rect style="position:absolute;left:4997;top:4071;width:120;height:29" filled="true" fillcolor="#969696" stroked="false">
              <v:fill type="solid"/>
            </v:rect>
            <v:rect style="position:absolute;left:4786;top:4071;width:120;height:29" filled="true" fillcolor="#969696" stroked="false">
              <v:fill type="solid"/>
            </v:rect>
            <v:rect style="position:absolute;left:4577;top:4071;width:120;height:29" filled="true" fillcolor="#969696" stroked="false">
              <v:fill type="solid"/>
            </v:rect>
            <v:rect style="position:absolute;left:4366;top:4071;width:120;height:29" filled="true" fillcolor="#969696" stroked="false">
              <v:fill type="solid"/>
            </v:rect>
            <v:rect style="position:absolute;left:4157;top:4071;width:120;height:29" filled="true" fillcolor="#969696" stroked="false">
              <v:fill type="solid"/>
            </v:rect>
            <v:rect style="position:absolute;left:3946;top:4071;width:120;height:29" filled="true" fillcolor="#969696" stroked="false">
              <v:fill type="solid"/>
            </v:rect>
            <v:rect style="position:absolute;left:3737;top:4071;width:120;height:29" filled="true" fillcolor="#969696" stroked="false">
              <v:fill type="solid"/>
            </v:rect>
            <v:rect style="position:absolute;left:3526;top:4071;width:120;height:29" filled="true" fillcolor="#969696" stroked="false">
              <v:fill type="solid"/>
            </v:rect>
            <v:rect style="position:absolute;left:3317;top:4071;width:120;height:29" filled="true" fillcolor="#969696" stroked="false">
              <v:fill type="solid"/>
            </v:rect>
            <v:rect style="position:absolute;left:3106;top:4071;width:120;height:29" filled="true" fillcolor="#969696" stroked="false">
              <v:fill type="solid"/>
            </v:rect>
            <v:rect style="position:absolute;left:2897;top:4071;width:120;height:29" filled="true" fillcolor="#969696" stroked="false">
              <v:fill type="solid"/>
            </v:rect>
            <v:rect style="position:absolute;left:2686;top:4071;width:120;height:29" filled="true" fillcolor="#969696" stroked="false">
              <v:fill type="solid"/>
            </v:rect>
            <v:shape style="position:absolute;left:2554;top:4071;width:44;height:32" coordorigin="2554,4072" coordsize="44,32" path="m2598,4072l2554,4072,2554,4103,2598,4101,2598,4072xe" filled="true" fillcolor="#969696" stroked="false">
              <v:path arrowok="t"/>
              <v:fill type="solid"/>
            </v:shape>
            <v:rect style="position:absolute;left:2540;top:3478;width:32;height:120" filled="true" fillcolor="#969696" stroked="false">
              <v:fill type="solid"/>
            </v:rect>
            <v:rect style="position:absolute;left:2540;top:3687;width:32;height:120" filled="true" fillcolor="#969696" stroked="false">
              <v:fill type="solid"/>
            </v:rect>
            <v:rect style="position:absolute;left:2540;top:3898;width:32;height:120" filled="true" fillcolor="#969696" stroked="false">
              <v:fill type="solid"/>
            </v:rect>
            <v:shape style="position:absolute;left:2904;top:424;width:352;height:209" type="#_x0000_t202" filled="false" stroked="false">
              <v:textbox inset="0,0,0,0">
                <w:txbxContent>
                  <w:p>
                    <w:pPr>
                      <w:spacing w:line="144" w:lineRule="auto" w:before="24"/>
                      <w:ind w:left="0" w:right="0" w:firstLine="0"/>
                      <w:jc w:val="left"/>
                      <w:rPr>
                        <w:rFonts w:ascii="Arial"/>
                        <w:b/>
                        <w:sz w:val="10"/>
                      </w:rPr>
                    </w:pPr>
                    <w:r>
                      <w:rPr>
                        <w:rFonts w:ascii="Arial"/>
                        <w:b/>
                        <w:position w:val="-7"/>
                        <w:sz w:val="16"/>
                      </w:rPr>
                      <w:t>RV</w:t>
                    </w:r>
                    <w:r>
                      <w:rPr>
                        <w:rFonts w:ascii="Arial"/>
                        <w:b/>
                        <w:sz w:val="10"/>
                      </w:rPr>
                      <w:t>##</w:t>
                    </w:r>
                  </w:p>
                </w:txbxContent>
              </v:textbox>
              <w10:wrap type="none"/>
            </v:shape>
            <v:shape style="position:absolute;left:3814;top:424;width:246;height:209" type="#_x0000_t202" filled="false" stroked="false">
              <v:textbox inset="0,0,0,0">
                <w:txbxContent>
                  <w:p>
                    <w:pPr>
                      <w:spacing w:line="144" w:lineRule="auto" w:before="24"/>
                      <w:ind w:left="0" w:right="0" w:firstLine="0"/>
                      <w:jc w:val="left"/>
                      <w:rPr>
                        <w:rFonts w:ascii="Arial"/>
                        <w:b/>
                        <w:sz w:val="10"/>
                      </w:rPr>
                    </w:pPr>
                    <w:r>
                      <w:rPr>
                        <w:rFonts w:ascii="Arial"/>
                        <w:b/>
                        <w:position w:val="-7"/>
                        <w:sz w:val="16"/>
                      </w:rPr>
                      <w:t>D</w:t>
                    </w:r>
                    <w:r>
                      <w:rPr>
                        <w:rFonts w:ascii="Arial"/>
                        <w:b/>
                        <w:sz w:val="10"/>
                      </w:rPr>
                      <w:t>##</w:t>
                    </w:r>
                  </w:p>
                </w:txbxContent>
              </v:textbox>
              <w10:wrap type="none"/>
            </v:shape>
            <v:shape style="position:absolute;left:2623;top:806;width:1424;height:212" type="#_x0000_t202" filled="false" stroked="false">
              <v:textbox inset="0,0,0,0">
                <w:txbxContent>
                  <w:p>
                    <w:pPr>
                      <w:spacing w:line="212" w:lineRule="exact" w:before="0"/>
                      <w:ind w:left="0" w:right="0" w:firstLine="0"/>
                      <w:jc w:val="left"/>
                      <w:rPr>
                        <w:rFonts w:ascii="Arial"/>
                        <w:b/>
                        <w:sz w:val="19"/>
                      </w:rPr>
                    </w:pPr>
                    <w:r>
                      <w:rPr>
                        <w:rFonts w:ascii="Arial"/>
                        <w:b/>
                        <w:sz w:val="19"/>
                      </w:rPr>
                      <w:t>Managed forest</w:t>
                    </w:r>
                  </w:p>
                </w:txbxContent>
              </v:textbox>
              <w10:wrap type="none"/>
            </v:shape>
            <v:shape style="position:absolute;left:5684;top:448;width:3167;height:570" type="#_x0000_t202" filled="false" stroked="false">
              <v:textbox inset="0,0,0,0">
                <w:txbxContent>
                  <w:p>
                    <w:pPr>
                      <w:spacing w:line="212" w:lineRule="exact" w:before="0"/>
                      <w:ind w:left="0" w:right="0" w:firstLine="0"/>
                      <w:jc w:val="left"/>
                      <w:rPr>
                        <w:rFonts w:ascii="Arial"/>
                        <w:b/>
                        <w:sz w:val="19"/>
                      </w:rPr>
                    </w:pPr>
                    <w:r>
                      <w:rPr>
                        <w:rFonts w:ascii="Arial"/>
                        <w:b/>
                        <w:sz w:val="19"/>
                      </w:rPr>
                      <w:t>Wetland, Settlements, Other Lands</w:t>
                    </w:r>
                  </w:p>
                  <w:p>
                    <w:pPr>
                      <w:spacing w:before="139"/>
                      <w:ind w:left="1101" w:right="0" w:firstLine="0"/>
                      <w:jc w:val="left"/>
                      <w:rPr>
                        <w:rFonts w:ascii="Arial"/>
                        <w:b/>
                        <w:sz w:val="19"/>
                      </w:rPr>
                    </w:pPr>
                    <w:r>
                      <w:rPr>
                        <w:rFonts w:ascii="Arial"/>
                        <w:b/>
                        <w:sz w:val="19"/>
                      </w:rPr>
                      <w:t>Managed grassland</w:t>
                    </w:r>
                  </w:p>
                </w:txbxContent>
              </v:textbox>
              <w10:wrap type="none"/>
            </v:shape>
            <v:shape style="position:absolute;left:3389;top:1339;width:248;height:179" type="#_x0000_t202" filled="false" stroked="false">
              <v:textbox inset="0,0,0,0">
                <w:txbxContent>
                  <w:p>
                    <w:pPr>
                      <w:spacing w:line="178" w:lineRule="exact" w:before="0"/>
                      <w:ind w:left="0" w:right="0" w:firstLine="0"/>
                      <w:jc w:val="left"/>
                      <w:rPr>
                        <w:rFonts w:ascii="Arial"/>
                        <w:b/>
                        <w:sz w:val="16"/>
                      </w:rPr>
                    </w:pPr>
                    <w:r>
                      <w:rPr>
                        <w:rFonts w:ascii="Arial"/>
                        <w:b/>
                        <w:color w:val="999999"/>
                        <w:sz w:val="16"/>
                      </w:rPr>
                      <w:t>FM</w:t>
                    </w:r>
                  </w:p>
                </w:txbxContent>
              </v:textbox>
              <w10:wrap type="none"/>
            </v:shape>
            <v:shape style="position:absolute;left:3941;top:1324;width:424;height:206" type="#_x0000_t202" filled="false" stroked="false">
              <v:textbox inset="0,0,0,0">
                <w:txbxContent>
                  <w:p>
                    <w:pPr>
                      <w:spacing w:line="144" w:lineRule="auto" w:before="24"/>
                      <w:ind w:left="0" w:right="0" w:firstLine="0"/>
                      <w:jc w:val="left"/>
                      <w:rPr>
                        <w:rFonts w:ascii="Arial"/>
                        <w:b/>
                        <w:sz w:val="10"/>
                      </w:rPr>
                    </w:pPr>
                    <w:r>
                      <w:rPr>
                        <w:rFonts w:ascii="Arial"/>
                        <w:b/>
                        <w:position w:val="-7"/>
                        <w:sz w:val="16"/>
                      </w:rPr>
                      <w:t>AR</w:t>
                    </w:r>
                    <w:r>
                      <w:rPr>
                        <w:rFonts w:ascii="Arial"/>
                        <w:b/>
                        <w:sz w:val="10"/>
                      </w:rPr>
                      <w:t>* ##</w:t>
                    </w:r>
                  </w:p>
                </w:txbxContent>
              </v:textbox>
              <w10:wrap type="none"/>
            </v:shape>
            <v:shape style="position:absolute;left:4918;top:1351;width:269;height:179" type="#_x0000_t202" filled="false" stroked="false">
              <v:textbox inset="0,0,0,0">
                <w:txbxContent>
                  <w:p>
                    <w:pPr>
                      <w:spacing w:line="178" w:lineRule="exact" w:before="0"/>
                      <w:ind w:left="0" w:right="0" w:firstLine="0"/>
                      <w:jc w:val="left"/>
                      <w:rPr>
                        <w:rFonts w:ascii="Arial"/>
                        <w:b/>
                        <w:sz w:val="16"/>
                      </w:rPr>
                    </w:pPr>
                    <w:r>
                      <w:rPr>
                        <w:rFonts w:ascii="Arial"/>
                        <w:b/>
                        <w:sz w:val="16"/>
                      </w:rPr>
                      <w:t>CM</w:t>
                    </w:r>
                  </w:p>
                </w:txbxContent>
              </v:textbox>
              <w10:wrap type="none"/>
            </v:shape>
            <v:shape style="position:absolute;left:5816;top:1351;width:274;height:179" type="#_x0000_t202" filled="false" stroked="false">
              <v:textbox inset="0,0,0,0">
                <w:txbxContent>
                  <w:p>
                    <w:pPr>
                      <w:spacing w:line="178" w:lineRule="exact" w:before="0"/>
                      <w:ind w:left="0" w:right="0" w:firstLine="0"/>
                      <w:jc w:val="left"/>
                      <w:rPr>
                        <w:rFonts w:ascii="Arial"/>
                        <w:b/>
                        <w:sz w:val="16"/>
                      </w:rPr>
                    </w:pPr>
                    <w:r>
                      <w:rPr>
                        <w:rFonts w:ascii="Arial"/>
                        <w:b/>
                        <w:sz w:val="16"/>
                      </w:rPr>
                      <w:t>GM</w:t>
                    </w:r>
                  </w:p>
                </w:txbxContent>
              </v:textbox>
              <w10:wrap type="none"/>
            </v:shape>
            <v:shape style="position:absolute;left:6972;top:1315;width:505;height:234" type="#_x0000_t202" filled="false" stroked="false">
              <v:textbox inset="0,0,0,0">
                <w:txbxContent>
                  <w:p>
                    <w:pPr>
                      <w:spacing w:line="153" w:lineRule="auto" w:before="24"/>
                      <w:ind w:left="0" w:right="0" w:firstLine="0"/>
                      <w:jc w:val="left"/>
                      <w:rPr>
                        <w:rFonts w:ascii="Arial"/>
                        <w:sz w:val="12"/>
                      </w:rPr>
                    </w:pPr>
                    <w:r>
                      <w:rPr>
                        <w:rFonts w:ascii="Arial"/>
                        <w:position w:val="-8"/>
                        <w:sz w:val="18"/>
                      </w:rPr>
                      <w:t>RV</w:t>
                    </w:r>
                    <w:r>
                      <w:rPr>
                        <w:rFonts w:ascii="Arial"/>
                        <w:sz w:val="12"/>
                      </w:rPr>
                      <w:t># ##</w:t>
                    </w:r>
                  </w:p>
                </w:txbxContent>
              </v:textbox>
              <w10:wrap type="none"/>
            </v:shape>
            <v:shape style="position:absolute;left:7908;top:1325;width:418;height:236" type="#_x0000_t202" filled="false" stroked="false">
              <v:textbox inset="0,0,0,0">
                <w:txbxContent>
                  <w:p>
                    <w:pPr>
                      <w:spacing w:line="144" w:lineRule="auto" w:before="30"/>
                      <w:ind w:left="0" w:right="0" w:firstLine="0"/>
                      <w:jc w:val="left"/>
                      <w:rPr>
                        <w:rFonts w:ascii="Arial"/>
                        <w:sz w:val="12"/>
                      </w:rPr>
                    </w:pPr>
                    <w:r>
                      <w:rPr>
                        <w:rFonts w:ascii="Arial"/>
                        <w:position w:val="-8"/>
                        <w:sz w:val="19"/>
                      </w:rPr>
                      <w:t>D</w:t>
                    </w:r>
                    <w:r>
                      <w:rPr>
                        <w:rFonts w:ascii="Arial"/>
                        <w:sz w:val="12"/>
                      </w:rPr>
                      <w:t>** ##</w:t>
                    </w:r>
                  </w:p>
                </w:txbxContent>
              </v:textbox>
              <w10:wrap type="none"/>
            </v:shape>
            <v:shape style="position:absolute;left:8235;top:2100;width:279;height:179" type="#_x0000_t202" filled="false" stroked="false">
              <v:textbox inset="0,0,0,0">
                <w:txbxContent>
                  <w:p>
                    <w:pPr>
                      <w:spacing w:line="178" w:lineRule="exact" w:before="0"/>
                      <w:ind w:left="0" w:right="0" w:firstLine="0"/>
                      <w:jc w:val="left"/>
                      <w:rPr>
                        <w:rFonts w:ascii="Arial"/>
                        <w:b/>
                        <w:sz w:val="16"/>
                      </w:rPr>
                    </w:pPr>
                    <w:r>
                      <w:rPr>
                        <w:rFonts w:ascii="Arial"/>
                        <w:b/>
                        <w:color w:val="999999"/>
                        <w:sz w:val="16"/>
                      </w:rPr>
                      <w:t>GM</w:t>
                    </w:r>
                  </w:p>
                </w:txbxContent>
              </v:textbox>
              <w10:wrap type="none"/>
            </v:shape>
            <v:shape style="position:absolute;left:4620;top:2793;width:1108;height:436" type="#_x0000_t202" filled="false" stroked="false">
              <v:textbox inset="0,0,0,0">
                <w:txbxContent>
                  <w:p>
                    <w:pPr>
                      <w:spacing w:line="244" w:lineRule="auto" w:before="0"/>
                      <w:ind w:left="280" w:right="1" w:hanging="281"/>
                      <w:jc w:val="left"/>
                      <w:rPr>
                        <w:rFonts w:ascii="Arial"/>
                        <w:b/>
                        <w:sz w:val="19"/>
                      </w:rPr>
                    </w:pPr>
                    <w:r>
                      <w:rPr>
                        <w:rFonts w:ascii="Arial"/>
                        <w:b/>
                        <w:sz w:val="19"/>
                      </w:rPr>
                      <w:t>Unmanaged forest</w:t>
                    </w:r>
                  </w:p>
                </w:txbxContent>
              </v:textbox>
              <w10:wrap type="none"/>
            </v:shape>
            <v:shape style="position:absolute;left:7685;top:2697;width:1106;height:433" type="#_x0000_t202" filled="false" stroked="false">
              <v:textbox inset="0,0,0,0">
                <w:txbxContent>
                  <w:p>
                    <w:pPr>
                      <w:spacing w:line="242" w:lineRule="auto" w:before="0"/>
                      <w:ind w:left="93" w:right="0" w:hanging="94"/>
                      <w:jc w:val="left"/>
                      <w:rPr>
                        <w:rFonts w:ascii="Arial"/>
                        <w:b/>
                        <w:sz w:val="19"/>
                      </w:rPr>
                    </w:pPr>
                    <w:r>
                      <w:rPr>
                        <w:rFonts w:ascii="Arial"/>
                        <w:b/>
                        <w:w w:val="95"/>
                        <w:sz w:val="19"/>
                      </w:rPr>
                      <w:t>Unmanaged </w:t>
                    </w:r>
                    <w:r>
                      <w:rPr>
                        <w:rFonts w:ascii="Arial"/>
                        <w:b/>
                        <w:sz w:val="19"/>
                      </w:rPr>
                      <w:t>grassland</w:t>
                    </w:r>
                  </w:p>
                </w:txbxContent>
              </v:textbox>
              <w10:wrap type="none"/>
            </v:shape>
            <v:shape style="position:absolute;left:2864;top:3703;width:436;height:209" type="#_x0000_t202" filled="false" stroked="false">
              <v:textbox inset="0,0,0,0">
                <w:txbxContent>
                  <w:p>
                    <w:pPr>
                      <w:spacing w:line="144" w:lineRule="auto" w:before="24"/>
                      <w:ind w:left="0" w:right="0" w:firstLine="0"/>
                      <w:jc w:val="left"/>
                      <w:rPr>
                        <w:rFonts w:ascii="Arial"/>
                        <w:b/>
                        <w:sz w:val="10"/>
                      </w:rPr>
                    </w:pPr>
                    <w:r>
                      <w:rPr>
                        <w:rFonts w:ascii="Arial"/>
                        <w:b/>
                        <w:position w:val="-7"/>
                        <w:sz w:val="16"/>
                      </w:rPr>
                      <w:t>RV</w:t>
                    </w:r>
                    <w:r>
                      <w:rPr>
                        <w:rFonts w:ascii="Arial"/>
                        <w:b/>
                        <w:sz w:val="10"/>
                      </w:rPr>
                      <w:t># ##</w:t>
                    </w:r>
                  </w:p>
                </w:txbxContent>
              </v:textbox>
              <w10:wrap type="none"/>
            </v:shape>
            <v:shape style="position:absolute;left:6627;top:3544;width:2070;height:410" type="#_x0000_t202" filled="false" stroked="false">
              <v:textbox inset="0,0,0,0">
                <w:txbxContent>
                  <w:p>
                    <w:pPr>
                      <w:spacing w:line="212" w:lineRule="exact" w:before="0"/>
                      <w:ind w:left="33" w:right="51" w:firstLine="0"/>
                      <w:jc w:val="center"/>
                      <w:rPr>
                        <w:rFonts w:ascii="Arial"/>
                        <w:b/>
                        <w:sz w:val="19"/>
                      </w:rPr>
                    </w:pPr>
                    <w:r>
                      <w:rPr>
                        <w:rFonts w:ascii="Arial"/>
                        <w:b/>
                        <w:w w:val="95"/>
                        <w:sz w:val="19"/>
                      </w:rPr>
                      <w:t>Cropland/arable/tillage</w:t>
                    </w:r>
                  </w:p>
                  <w:p>
                    <w:pPr>
                      <w:spacing w:before="13"/>
                      <w:ind w:left="197" w:right="51" w:firstLine="0"/>
                      <w:jc w:val="center"/>
                      <w:rPr>
                        <w:rFonts w:ascii="Arial"/>
                        <w:b/>
                        <w:sz w:val="16"/>
                      </w:rPr>
                    </w:pPr>
                    <w:r>
                      <w:rPr>
                        <w:rFonts w:ascii="Arial"/>
                        <w:b/>
                        <w:color w:val="999999"/>
                        <w:sz w:val="16"/>
                      </w:rPr>
                      <w:t>CM</w:t>
                    </w:r>
                  </w:p>
                </w:txbxContent>
              </v:textbox>
              <w10:wrap type="none"/>
            </v:shape>
            <v:shape style="position:absolute;left:3543;top:3663;width:768;height:284" type="#_x0000_t202" filled="true" fillcolor="#ffffff" stroked="true" strokeweight=".72pt" strokecolor="#000000">
              <v:textbox inset="0,0,0,0">
                <w:txbxContent>
                  <w:p>
                    <w:pPr>
                      <w:spacing w:before="28"/>
                      <w:ind w:left="177" w:right="0" w:firstLine="0"/>
                      <w:jc w:val="left"/>
                      <w:rPr>
                        <w:rFonts w:ascii="Arial"/>
                        <w:b/>
                        <w:sz w:val="10"/>
                      </w:rPr>
                    </w:pPr>
                    <w:r>
                      <w:rPr>
                        <w:rFonts w:ascii="Arial"/>
                        <w:b/>
                        <w:position w:val="-7"/>
                        <w:sz w:val="16"/>
                      </w:rPr>
                      <w:t>D</w:t>
                    </w:r>
                    <w:r>
                      <w:rPr>
                        <w:rFonts w:ascii="Arial"/>
                        <w:b/>
                        <w:sz w:val="10"/>
                      </w:rPr>
                      <w:t>** ##</w:t>
                    </w:r>
                  </w:p>
                </w:txbxContent>
              </v:textbox>
              <v:fill type="solid"/>
              <v:stroke dashstyle="solid"/>
              <w10:wrap type="none"/>
            </v:shape>
            <w10:wrap type="topAndBottom"/>
          </v:group>
        </w:pict>
      </w:r>
    </w:p>
    <w:p>
      <w:pPr>
        <w:pStyle w:val="BodyText"/>
        <w:rPr>
          <w:b/>
          <w:sz w:val="22"/>
        </w:rPr>
      </w:pPr>
    </w:p>
    <w:p>
      <w:pPr>
        <w:tabs>
          <w:tab w:pos="725" w:val="left" w:leader="none"/>
          <w:tab w:pos="1063" w:val="left" w:leader="none"/>
        </w:tabs>
        <w:spacing w:before="148"/>
        <w:ind w:left="159" w:right="0" w:firstLine="0"/>
        <w:jc w:val="left"/>
        <w:rPr>
          <w:sz w:val="16"/>
        </w:rPr>
      </w:pPr>
      <w:r>
        <w:rPr>
          <w:b/>
          <w:sz w:val="16"/>
        </w:rPr>
        <w:t>Note</w:t>
        <w:tab/>
      </w:r>
      <w:r>
        <w:rPr>
          <w:sz w:val="16"/>
        </w:rPr>
        <w:t>*</w:t>
        <w:tab/>
        <w:t>A/R takes precedence over FM, and therefore the land is subject to FM, but not reported in the FM</w:t>
      </w:r>
      <w:r>
        <w:rPr>
          <w:spacing w:val="-21"/>
          <w:sz w:val="16"/>
        </w:rPr>
        <w:t> </w:t>
      </w:r>
      <w:r>
        <w:rPr>
          <w:sz w:val="16"/>
        </w:rPr>
        <w:t>category.</w:t>
      </w:r>
    </w:p>
    <w:p>
      <w:pPr>
        <w:spacing w:before="61"/>
        <w:ind w:left="725" w:right="0" w:firstLine="0"/>
        <w:jc w:val="left"/>
        <w:rPr>
          <w:sz w:val="16"/>
        </w:rPr>
      </w:pPr>
      <w:r>
        <w:rPr>
          <w:sz w:val="16"/>
        </w:rPr>
        <w:t>** D takes precedence over cropland/grassland categories.</w:t>
      </w:r>
    </w:p>
    <w:p>
      <w:pPr>
        <w:tabs>
          <w:tab w:pos="1063" w:val="left" w:leader="none"/>
        </w:tabs>
        <w:spacing w:before="61"/>
        <w:ind w:left="725" w:right="0" w:firstLine="0"/>
        <w:jc w:val="left"/>
        <w:rPr>
          <w:sz w:val="16"/>
        </w:rPr>
      </w:pPr>
      <w:r>
        <w:rPr>
          <w:sz w:val="16"/>
        </w:rPr>
        <w:t>#</w:t>
        <w:tab/>
        <w:t>Land can only count either in RV or in cropland/grassland management (choice according to hierarchy by</w:t>
      </w:r>
      <w:r>
        <w:rPr>
          <w:spacing w:val="-27"/>
          <w:sz w:val="16"/>
        </w:rPr>
        <w:t> </w:t>
      </w:r>
      <w:r>
        <w:rPr>
          <w:sz w:val="16"/>
        </w:rPr>
        <w:t>country)</w:t>
      </w:r>
    </w:p>
    <w:p>
      <w:pPr>
        <w:spacing w:before="58"/>
        <w:ind w:left="1056" w:right="312" w:hanging="332"/>
        <w:jc w:val="left"/>
        <w:rPr>
          <w:sz w:val="16"/>
        </w:rPr>
      </w:pPr>
      <w:r>
        <w:rPr>
          <w:sz w:val="16"/>
        </w:rPr>
        <w:t>## For A/R, D and RV the units of land are shown after the land-use transition has occurred. Therefore, A/R is in forest land, </w:t>
      </w:r>
      <w:r>
        <w:rPr>
          <w:spacing w:val="-2"/>
          <w:sz w:val="16"/>
        </w:rPr>
        <w:t>and </w:t>
      </w:r>
      <w:r>
        <w:rPr>
          <w:sz w:val="16"/>
        </w:rPr>
        <w:t>RV and D are in non-forest lands in the</w:t>
      </w:r>
      <w:r>
        <w:rPr>
          <w:spacing w:val="-10"/>
          <w:sz w:val="16"/>
        </w:rPr>
        <w:t> </w:t>
      </w:r>
      <w:r>
        <w:rPr>
          <w:sz w:val="16"/>
        </w:rPr>
        <w:t>Figure.</w:t>
      </w:r>
    </w:p>
    <w:p>
      <w:pPr>
        <w:spacing w:before="60"/>
        <w:ind w:left="701" w:right="1404" w:firstLine="0"/>
        <w:jc w:val="left"/>
        <w:rPr>
          <w:sz w:val="16"/>
        </w:rPr>
      </w:pPr>
      <w:r>
        <w:rPr>
          <w:sz w:val="16"/>
        </w:rPr>
        <w:t>A/R : Afforestation / Reforestation, D : Deforestation, FM : Forest Management, CM : Cropland Management GM : Grazing Land Management, RV :</w:t>
      </w:r>
      <w:r>
        <w:rPr>
          <w:spacing w:val="37"/>
          <w:sz w:val="16"/>
        </w:rPr>
        <w:t> </w:t>
      </w:r>
      <w:r>
        <w:rPr>
          <w:sz w:val="16"/>
        </w:rPr>
        <w:t>Revegetation</w:t>
      </w:r>
    </w:p>
    <w:p>
      <w:pPr>
        <w:pStyle w:val="BodyText"/>
        <w:rPr>
          <w:sz w:val="18"/>
        </w:rPr>
      </w:pPr>
    </w:p>
    <w:p>
      <w:pPr>
        <w:pStyle w:val="BodyText"/>
        <w:spacing w:before="141"/>
        <w:ind w:left="159"/>
      </w:pPr>
      <w:r>
        <w:rPr/>
        <w:t>Some further observations relating to Figure</w:t>
      </w:r>
      <w:r>
        <w:rPr>
          <w:spacing w:val="-31"/>
        </w:rPr>
        <w:t> </w:t>
      </w:r>
      <w:r>
        <w:rPr/>
        <w:t>4.2.2:</w:t>
      </w:r>
    </w:p>
    <w:p>
      <w:pPr>
        <w:pStyle w:val="ListParagraph"/>
        <w:numPr>
          <w:ilvl w:val="0"/>
          <w:numId w:val="117"/>
        </w:numPr>
        <w:tabs>
          <w:tab w:pos="519" w:val="left" w:leader="none"/>
          <w:tab w:pos="520" w:val="left" w:leader="none"/>
        </w:tabs>
        <w:spacing w:line="223" w:lineRule="auto" w:before="147" w:after="0"/>
        <w:ind w:left="519" w:right="164" w:hanging="360"/>
        <w:jc w:val="left"/>
        <w:rPr>
          <w:sz w:val="20"/>
        </w:rPr>
      </w:pPr>
      <w:r>
        <w:rPr>
          <w:sz w:val="20"/>
        </w:rPr>
        <w:t>The areas surrounded by dashed lines are areas subject to the additional activities under Article 3.4, i.e., forest management, cropland management and grazing land management</w:t>
      </w:r>
      <w:r>
        <w:rPr>
          <w:spacing w:val="6"/>
          <w:sz w:val="20"/>
        </w:rPr>
        <w:t> </w:t>
      </w:r>
      <w:r>
        <w:rPr>
          <w:sz w:val="20"/>
        </w:rPr>
        <w:t>activities.</w:t>
      </w:r>
    </w:p>
    <w:p>
      <w:pPr>
        <w:pStyle w:val="BodyText"/>
      </w:pPr>
    </w:p>
    <w:p>
      <w:pPr>
        <w:pStyle w:val="BodyText"/>
        <w:spacing w:before="6"/>
        <w:rPr>
          <w:sz w:val="16"/>
        </w:rPr>
      </w:pPr>
      <w:r>
        <w:rPr/>
        <w:pict>
          <v:line style="position:absolute;mso-position-horizontal-relative:page;mso-position-vertical-relative:paragraph;z-index:18320;mso-wrap-distance-left:0;mso-wrap-distance-right:0" from="70.960999pt,11.745996pt" to="214.960999pt,11.745996pt" stroked="true" strokeweight=".48pt" strokecolor="#000000">
            <v:stroke dashstyle="solid"/>
            <w10:wrap type="topAndBottom"/>
          </v:line>
        </w:pict>
      </w:r>
    </w:p>
    <w:p>
      <w:pPr>
        <w:spacing w:before="153"/>
        <w:ind w:left="159" w:right="0" w:firstLine="0"/>
        <w:jc w:val="left"/>
        <w:rPr>
          <w:sz w:val="18"/>
        </w:rPr>
      </w:pPr>
      <w:r>
        <w:rPr>
          <w:position w:val="8"/>
          <w:sz w:val="12"/>
        </w:rPr>
        <w:t>19 </w:t>
      </w:r>
      <w:r>
        <w:rPr>
          <w:sz w:val="18"/>
        </w:rPr>
        <w:t>Unmanaged forests and unmanaged grasslands are not reported in UNFCCC inventories.</w:t>
      </w:r>
    </w:p>
    <w:p>
      <w:pPr>
        <w:spacing w:after="0"/>
        <w:jc w:val="left"/>
        <w:rPr>
          <w:sz w:val="18"/>
        </w:rPr>
        <w:sectPr>
          <w:pgSz w:w="11900" w:h="16840"/>
          <w:pgMar w:header="230" w:footer="408" w:top="560" w:bottom="600" w:left="1260" w:right="1240"/>
        </w:sectPr>
      </w:pPr>
    </w:p>
    <w:p>
      <w:pPr>
        <w:pStyle w:val="BodyText"/>
        <w:spacing w:before="5"/>
        <w:rPr>
          <w:sz w:val="29"/>
        </w:rPr>
      </w:pPr>
    </w:p>
    <w:p>
      <w:pPr>
        <w:pStyle w:val="ListParagraph"/>
        <w:numPr>
          <w:ilvl w:val="0"/>
          <w:numId w:val="117"/>
        </w:numPr>
        <w:tabs>
          <w:tab w:pos="520" w:val="left" w:leader="none"/>
        </w:tabs>
        <w:spacing w:line="237" w:lineRule="auto" w:before="117" w:after="0"/>
        <w:ind w:left="519" w:right="160" w:hanging="360"/>
        <w:jc w:val="both"/>
        <w:rPr>
          <w:sz w:val="20"/>
        </w:rPr>
      </w:pPr>
      <w:r>
        <w:rPr>
          <w:sz w:val="20"/>
        </w:rPr>
        <w:t>Forest, as defined by the Marrakesh Accords, relates to the physical characteristics of forests. An area subject to forest management is subsequently determined as an area upon which particular management practices are undertaken, consistent with Article 3.4 and the Marrakesh Accords. Forest management lands can include all managed forests according to the </w:t>
      </w:r>
      <w:r>
        <w:rPr>
          <w:i/>
          <w:sz w:val="20"/>
        </w:rPr>
        <w:t>IPCC Guidelines</w:t>
      </w:r>
      <w:r>
        <w:rPr>
          <w:sz w:val="20"/>
        </w:rPr>
        <w:t>. However, this situation may not always apply, because (i) countries could use different thresholds for defining forests for Kyoto Protocol as opposed to UNFCCC reporting, (ii) Article 3.4 as well as the Marrakesh Accords require that the activity took place since 1990, and (iii) the Marrakesh Accords’ definition of forest management</w:t>
      </w:r>
      <w:r>
        <w:rPr>
          <w:sz w:val="20"/>
          <w:vertAlign w:val="superscript"/>
        </w:rPr>
        <w:t>20</w:t>
      </w:r>
      <w:r>
        <w:rPr>
          <w:sz w:val="20"/>
          <w:vertAlign w:val="baseline"/>
        </w:rPr>
        <w:t> contains additional criteria on stewardship. For further discussion of this possible definitional difference see Figure 4.2.8 and accompanying text in Section 4.2.7.2 (Choice of Methods for identifying lands subject to forest management). Unmanaged forests that remain unmanaged are included neither in the UNFCCC nor in the Kyoto Protocol reporting.</w:t>
      </w:r>
    </w:p>
    <w:p>
      <w:pPr>
        <w:pStyle w:val="ListParagraph"/>
        <w:numPr>
          <w:ilvl w:val="0"/>
          <w:numId w:val="117"/>
        </w:numPr>
        <w:tabs>
          <w:tab w:pos="520" w:val="left" w:leader="none"/>
        </w:tabs>
        <w:spacing w:line="223" w:lineRule="auto" w:before="131" w:after="0"/>
        <w:ind w:left="500" w:right="166" w:hanging="341"/>
        <w:jc w:val="both"/>
        <w:rPr>
          <w:sz w:val="20"/>
        </w:rPr>
      </w:pPr>
      <w:r>
        <w:rPr>
          <w:sz w:val="20"/>
        </w:rPr>
        <w:t>For Kyoto reporting lands subject to cropland management as described in the Marrakesh Accords are identical to Cropland/arable/tillage lands in UNFCCC</w:t>
      </w:r>
      <w:r>
        <w:rPr>
          <w:spacing w:val="-3"/>
          <w:sz w:val="20"/>
        </w:rPr>
        <w:t> </w:t>
      </w:r>
      <w:r>
        <w:rPr>
          <w:sz w:val="20"/>
        </w:rPr>
        <w:t>reporting.</w:t>
      </w:r>
    </w:p>
    <w:p>
      <w:pPr>
        <w:pStyle w:val="ListParagraph"/>
        <w:numPr>
          <w:ilvl w:val="0"/>
          <w:numId w:val="117"/>
        </w:numPr>
        <w:tabs>
          <w:tab w:pos="520" w:val="left" w:leader="none"/>
        </w:tabs>
        <w:spacing w:line="235" w:lineRule="auto" w:before="121" w:after="0"/>
        <w:ind w:left="500" w:right="163" w:hanging="341"/>
        <w:jc w:val="both"/>
        <w:rPr>
          <w:sz w:val="20"/>
        </w:rPr>
      </w:pPr>
      <w:r>
        <w:rPr>
          <w:sz w:val="20"/>
        </w:rPr>
        <w:t>Grazing land management usually occurs on lands classified as grasslands in the UNFCCC inventory. However, grazing land management can also occur in managed forests, and not all grasslands are necessarily grazing lands. Unmanaged grasslands will be excluded from both the UNFCCC and the Kyoto Protocol reporting.</w:t>
      </w:r>
    </w:p>
    <w:p>
      <w:pPr>
        <w:pStyle w:val="ListParagraph"/>
        <w:numPr>
          <w:ilvl w:val="0"/>
          <w:numId w:val="117"/>
        </w:numPr>
        <w:tabs>
          <w:tab w:pos="520" w:val="left" w:leader="none"/>
        </w:tabs>
        <w:spacing w:line="223" w:lineRule="auto" w:before="125" w:after="0"/>
        <w:ind w:left="500" w:right="169" w:hanging="341"/>
        <w:jc w:val="both"/>
        <w:rPr>
          <w:sz w:val="20"/>
        </w:rPr>
      </w:pPr>
      <w:r>
        <w:rPr>
          <w:sz w:val="20"/>
        </w:rPr>
        <w:t>Afforested and reforested (A/R) lands are always managed forests. Yet, carbon stock changes and non-CO</w:t>
      </w:r>
      <w:r>
        <w:rPr>
          <w:sz w:val="20"/>
          <w:vertAlign w:val="subscript"/>
        </w:rPr>
        <w:t>2</w:t>
      </w:r>
      <w:r>
        <w:rPr>
          <w:sz w:val="20"/>
          <w:vertAlign w:val="baseline"/>
        </w:rPr>
        <w:t> greenhouse gas emissions are to be reported under Article 3.3</w:t>
      </w:r>
      <w:r>
        <w:rPr>
          <w:spacing w:val="1"/>
          <w:sz w:val="20"/>
          <w:vertAlign w:val="baseline"/>
        </w:rPr>
        <w:t> </w:t>
      </w:r>
      <w:r>
        <w:rPr>
          <w:sz w:val="20"/>
          <w:vertAlign w:val="baseline"/>
        </w:rPr>
        <w:t>only.</w:t>
      </w:r>
    </w:p>
    <w:p>
      <w:pPr>
        <w:pStyle w:val="ListParagraph"/>
        <w:numPr>
          <w:ilvl w:val="0"/>
          <w:numId w:val="117"/>
        </w:numPr>
        <w:tabs>
          <w:tab w:pos="520" w:val="left" w:leader="none"/>
        </w:tabs>
        <w:spacing w:line="232" w:lineRule="auto" w:before="123" w:after="0"/>
        <w:ind w:left="500" w:right="166" w:hanging="341"/>
        <w:jc w:val="both"/>
        <w:rPr>
          <w:sz w:val="20"/>
        </w:rPr>
      </w:pPr>
      <w:r>
        <w:rPr>
          <w:sz w:val="20"/>
        </w:rPr>
        <w:t>Deforested lands are usually managed (thus, there is no “D” box in the unmanaged grasslands). An exception is a wetland created from alterations of a hydrological regime, e.g., through the construction of a road.</w:t>
      </w:r>
    </w:p>
    <w:p>
      <w:pPr>
        <w:pStyle w:val="BodyText"/>
        <w:rPr>
          <w:sz w:val="22"/>
        </w:rPr>
      </w:pPr>
    </w:p>
    <w:p>
      <w:pPr>
        <w:pStyle w:val="BodyText"/>
        <w:spacing w:before="4"/>
        <w:rPr>
          <w:sz w:val="18"/>
        </w:rPr>
      </w:pPr>
    </w:p>
    <w:p>
      <w:pPr>
        <w:pStyle w:val="Heading2"/>
        <w:numPr>
          <w:ilvl w:val="2"/>
          <w:numId w:val="127"/>
        </w:numPr>
        <w:tabs>
          <w:tab w:pos="1361" w:val="left" w:leader="none"/>
          <w:tab w:pos="1362" w:val="left" w:leader="none"/>
        </w:tabs>
        <w:spacing w:line="240" w:lineRule="auto" w:before="0" w:after="0"/>
        <w:ind w:left="1361" w:right="1315" w:hanging="1202"/>
        <w:jc w:val="left"/>
      </w:pPr>
      <w:r>
        <w:rPr>
          <w:spacing w:val="8"/>
        </w:rPr>
        <w:t>Generic methodologies </w:t>
      </w:r>
      <w:r>
        <w:rPr>
          <w:spacing w:val="7"/>
        </w:rPr>
        <w:t>for area </w:t>
      </w:r>
      <w:r>
        <w:rPr>
          <w:spacing w:val="9"/>
        </w:rPr>
        <w:t>identification, stratification </w:t>
      </w:r>
      <w:r>
        <w:rPr>
          <w:spacing w:val="7"/>
        </w:rPr>
        <w:t>and</w:t>
      </w:r>
      <w:r>
        <w:rPr>
          <w:spacing w:val="26"/>
        </w:rPr>
        <w:t> </w:t>
      </w:r>
      <w:r>
        <w:rPr>
          <w:spacing w:val="9"/>
        </w:rPr>
        <w:t>reporting</w:t>
      </w:r>
    </w:p>
    <w:p>
      <w:pPr>
        <w:pStyle w:val="BodyText"/>
        <w:spacing w:before="5"/>
        <w:rPr>
          <w:b/>
          <w:sz w:val="34"/>
        </w:rPr>
      </w:pPr>
    </w:p>
    <w:p>
      <w:pPr>
        <w:pStyle w:val="Heading6"/>
        <w:numPr>
          <w:ilvl w:val="3"/>
          <w:numId w:val="127"/>
        </w:numPr>
        <w:tabs>
          <w:tab w:pos="1599" w:val="left" w:leader="none"/>
          <w:tab w:pos="1600" w:val="left" w:leader="none"/>
        </w:tabs>
        <w:spacing w:line="240" w:lineRule="auto" w:before="0" w:after="0"/>
        <w:ind w:left="1599" w:right="0" w:hanging="1440"/>
        <w:jc w:val="left"/>
      </w:pPr>
      <w:r>
        <w:rPr>
          <w:spacing w:val="17"/>
          <w:sz w:val="28"/>
        </w:rPr>
        <w:t>R</w:t>
      </w:r>
      <w:r>
        <w:rPr>
          <w:spacing w:val="17"/>
        </w:rPr>
        <w:t>EPORTING</w:t>
      </w:r>
      <w:r>
        <w:rPr>
          <w:spacing w:val="39"/>
        </w:rPr>
        <w:t> </w:t>
      </w:r>
      <w:r>
        <w:rPr>
          <w:spacing w:val="17"/>
        </w:rPr>
        <w:t>REQUIREMENTS</w:t>
      </w:r>
    </w:p>
    <w:p>
      <w:pPr>
        <w:pStyle w:val="BodyText"/>
        <w:spacing w:before="208"/>
        <w:ind w:left="159"/>
      </w:pPr>
      <w:r>
        <w:rPr/>
        <w:t>The Marrakesh Accords state that areas of land subject to Article 3.3 and Article 3.4 activities must be identifiable</w:t>
      </w:r>
      <w:r>
        <w:rPr>
          <w:vertAlign w:val="superscript"/>
        </w:rPr>
        <w:t>21</w:t>
      </w:r>
      <w:r>
        <w:rPr>
          <w:vertAlign w:val="baseline"/>
        </w:rPr>
        <w:t>, adequately reported</w:t>
      </w:r>
      <w:r>
        <w:rPr>
          <w:vertAlign w:val="superscript"/>
        </w:rPr>
        <w:t>22</w:t>
      </w:r>
      <w:r>
        <w:rPr>
          <w:vertAlign w:val="baseline"/>
        </w:rPr>
        <w:t> and tracked in the future.</w:t>
      </w:r>
      <w:r>
        <w:rPr>
          <w:vertAlign w:val="superscript"/>
        </w:rPr>
        <w:t>23</w:t>
      </w:r>
      <w:r>
        <w:rPr>
          <w:vertAlign w:val="baseline"/>
        </w:rPr>
        <w:t> Section 4.2.2.2 discusses two land reporting</w:t>
      </w:r>
    </w:p>
    <w:p>
      <w:pPr>
        <w:pStyle w:val="BodyText"/>
        <w:spacing w:before="9"/>
        <w:rPr>
          <w:sz w:val="14"/>
        </w:rPr>
      </w:pPr>
      <w:r>
        <w:rPr/>
        <w:pict>
          <v:line style="position:absolute;mso-position-horizontal-relative:page;mso-position-vertical-relative:paragraph;z-index:18344;mso-wrap-distance-left:0;mso-wrap-distance-right:0" from="70.960999pt,10.736436pt" to="214.960999pt,10.736436pt" stroked="true" strokeweight=".48pt" strokecolor="#000000">
            <v:stroke dashstyle="solid"/>
            <w10:wrap type="topAndBottom"/>
          </v:line>
        </w:pict>
      </w:r>
    </w:p>
    <w:p>
      <w:pPr>
        <w:spacing w:before="153"/>
        <w:ind w:left="317" w:right="163" w:hanging="159"/>
        <w:jc w:val="both"/>
        <w:rPr>
          <w:sz w:val="18"/>
        </w:rPr>
      </w:pPr>
      <w:r>
        <w:rPr>
          <w:position w:val="8"/>
          <w:sz w:val="12"/>
        </w:rPr>
        <w:t>20 </w:t>
      </w:r>
      <w:r>
        <w:rPr>
          <w:sz w:val="18"/>
        </w:rPr>
        <w:t>Paragraph 1 (f) of the Annex to the draft decision -/CMP.1 (Land use, land-use change and forestry), contained in document FCCC/CP/2001/13/Add.1, p. 58: “</w:t>
      </w:r>
      <w:r>
        <w:rPr>
          <w:i/>
          <w:sz w:val="18"/>
        </w:rPr>
        <w:t>Forest management” is a system of practices for stewardship and use of forest land aimed at fulfilling relevant ecological </w:t>
      </w:r>
      <w:r>
        <w:rPr>
          <w:sz w:val="18"/>
        </w:rPr>
        <w:t>(</w:t>
      </w:r>
      <w:r>
        <w:rPr>
          <w:i/>
          <w:sz w:val="18"/>
        </w:rPr>
        <w:t>including biological diversity</w:t>
      </w:r>
      <w:r>
        <w:rPr>
          <w:sz w:val="18"/>
        </w:rPr>
        <w:t>), </w:t>
      </w:r>
      <w:r>
        <w:rPr>
          <w:i/>
          <w:sz w:val="18"/>
        </w:rPr>
        <w:t>economic and social functions of the forest in a sustainable</w:t>
      </w:r>
      <w:r>
        <w:rPr>
          <w:i/>
          <w:spacing w:val="-2"/>
          <w:sz w:val="18"/>
        </w:rPr>
        <w:t> </w:t>
      </w:r>
      <w:r>
        <w:rPr>
          <w:i/>
          <w:sz w:val="18"/>
        </w:rPr>
        <w:t>manner</w:t>
      </w:r>
      <w:r>
        <w:rPr>
          <w:sz w:val="18"/>
        </w:rPr>
        <w:t>.</w:t>
      </w:r>
    </w:p>
    <w:p>
      <w:pPr>
        <w:spacing w:before="94"/>
        <w:ind w:left="317" w:right="161" w:hanging="159"/>
        <w:jc w:val="both"/>
        <w:rPr>
          <w:i/>
          <w:sz w:val="18"/>
        </w:rPr>
      </w:pPr>
      <w:r>
        <w:rPr>
          <w:position w:val="8"/>
          <w:sz w:val="12"/>
        </w:rPr>
        <w:t>21 </w:t>
      </w:r>
      <w:r>
        <w:rPr>
          <w:sz w:val="18"/>
        </w:rPr>
        <w:t>Paragraph 20 of the Annex to the draft decision -/CMP.1 (Land use, land-use change and forestry), contained in document FCCC/CP/2001/13/Add.1, p.61: </w:t>
      </w:r>
      <w:r>
        <w:rPr>
          <w:i/>
          <w:sz w:val="18"/>
        </w:rPr>
        <w:t>National inventory systems under Article 5.1 shall ensure that areas of land subject to land use, land-use change and forestry activities under Article 3, paragraphs 3 and 4 are identifiable, and information about these areas should be provided by each Party included in Annex I in their national inventories in accordance with Article 7. Such information will be reviewed in accordance with Article</w:t>
      </w:r>
      <w:r>
        <w:rPr>
          <w:i/>
          <w:spacing w:val="-12"/>
          <w:sz w:val="18"/>
        </w:rPr>
        <w:t> </w:t>
      </w:r>
      <w:r>
        <w:rPr>
          <w:i/>
          <w:sz w:val="18"/>
        </w:rPr>
        <w:t>8.</w:t>
      </w:r>
    </w:p>
    <w:p>
      <w:pPr>
        <w:spacing w:before="95"/>
        <w:ind w:left="300" w:right="0" w:hanging="142"/>
        <w:jc w:val="both"/>
        <w:rPr>
          <w:sz w:val="18"/>
        </w:rPr>
      </w:pPr>
      <w:r>
        <w:rPr>
          <w:position w:val="8"/>
          <w:sz w:val="12"/>
        </w:rPr>
        <w:t>22 </w:t>
      </w:r>
      <w:r>
        <w:rPr>
          <w:sz w:val="18"/>
        </w:rPr>
        <w:t>Paragraph 6 of the Annex of the draft decision -/CMP.1 (Article 7), contained in document FCCC/CP/2001/13/Add.3, p.22:</w:t>
      </w:r>
    </w:p>
    <w:p>
      <w:pPr>
        <w:spacing w:before="119"/>
        <w:ind w:left="300" w:right="0" w:firstLine="0"/>
        <w:jc w:val="left"/>
        <w:rPr>
          <w:i/>
          <w:sz w:val="18"/>
        </w:rPr>
      </w:pPr>
      <w:r>
        <w:rPr>
          <w:i/>
          <w:sz w:val="18"/>
        </w:rPr>
        <w:t>General information to be reported for activities under Article 3, paragraph 3, and any elected activities under Article 3, paragraph 4, shall include: […]</w:t>
      </w:r>
    </w:p>
    <w:p>
      <w:pPr>
        <w:pStyle w:val="ListParagraph"/>
        <w:numPr>
          <w:ilvl w:val="0"/>
          <w:numId w:val="130"/>
        </w:numPr>
        <w:tabs>
          <w:tab w:pos="753" w:val="left" w:leader="none"/>
        </w:tabs>
        <w:spacing w:line="240" w:lineRule="auto" w:before="62" w:after="0"/>
        <w:ind w:left="752" w:right="0" w:hanging="209"/>
        <w:jc w:val="left"/>
        <w:rPr>
          <w:i/>
          <w:sz w:val="18"/>
        </w:rPr>
      </w:pPr>
      <w:r>
        <w:rPr>
          <w:i/>
          <w:sz w:val="18"/>
        </w:rPr>
        <w:t>The geographical location of the boundaries of the areas that</w:t>
      </w:r>
      <w:r>
        <w:rPr>
          <w:i/>
          <w:spacing w:val="-8"/>
          <w:sz w:val="18"/>
        </w:rPr>
        <w:t> </w:t>
      </w:r>
      <w:r>
        <w:rPr>
          <w:i/>
          <w:sz w:val="18"/>
        </w:rPr>
        <w:t>encompass:</w:t>
      </w:r>
    </w:p>
    <w:p>
      <w:pPr>
        <w:pStyle w:val="ListParagraph"/>
        <w:numPr>
          <w:ilvl w:val="1"/>
          <w:numId w:val="130"/>
        </w:numPr>
        <w:tabs>
          <w:tab w:pos="1248" w:val="left" w:leader="none"/>
        </w:tabs>
        <w:spacing w:line="240" w:lineRule="auto" w:before="59" w:after="0"/>
        <w:ind w:left="1247" w:right="0" w:hanging="342"/>
        <w:jc w:val="left"/>
        <w:rPr>
          <w:i/>
          <w:sz w:val="18"/>
        </w:rPr>
      </w:pPr>
      <w:r>
        <w:rPr>
          <w:i/>
          <w:sz w:val="18"/>
        </w:rPr>
        <w:t>Units of land subject to activities under Article 3, paragraph</w:t>
      </w:r>
      <w:r>
        <w:rPr>
          <w:i/>
          <w:spacing w:val="-10"/>
          <w:sz w:val="18"/>
        </w:rPr>
        <w:t> </w:t>
      </w:r>
      <w:r>
        <w:rPr>
          <w:i/>
          <w:sz w:val="18"/>
        </w:rPr>
        <w:t>3;</w:t>
      </w:r>
    </w:p>
    <w:p>
      <w:pPr>
        <w:pStyle w:val="ListParagraph"/>
        <w:numPr>
          <w:ilvl w:val="1"/>
          <w:numId w:val="130"/>
        </w:numPr>
        <w:tabs>
          <w:tab w:pos="1248" w:val="left" w:leader="none"/>
        </w:tabs>
        <w:spacing w:line="240" w:lineRule="auto" w:before="60" w:after="0"/>
        <w:ind w:left="1246" w:right="163" w:hanging="338"/>
        <w:jc w:val="both"/>
        <w:rPr>
          <w:i/>
          <w:sz w:val="18"/>
        </w:rPr>
      </w:pPr>
      <w:r>
        <w:rPr>
          <w:i/>
          <w:sz w:val="18"/>
        </w:rPr>
        <w:t>Units of land subject to activities under Article 3, paragraph 3, which would otherwise be included in land subject to elected activities under Article 3, paragraph 4, under the provisions of paragraph 8 of the annex to decision -/CMP.1 (Land use, land-use change and forestry);</w:t>
      </w:r>
      <w:r>
        <w:rPr>
          <w:i/>
          <w:spacing w:val="-3"/>
          <w:sz w:val="18"/>
        </w:rPr>
        <w:t> </w:t>
      </w:r>
      <w:r>
        <w:rPr>
          <w:i/>
          <w:sz w:val="18"/>
        </w:rPr>
        <w:t>and</w:t>
      </w:r>
    </w:p>
    <w:p>
      <w:pPr>
        <w:pStyle w:val="ListParagraph"/>
        <w:numPr>
          <w:ilvl w:val="1"/>
          <w:numId w:val="130"/>
        </w:numPr>
        <w:tabs>
          <w:tab w:pos="1249" w:val="left" w:leader="none"/>
        </w:tabs>
        <w:spacing w:line="240" w:lineRule="auto" w:before="60" w:after="0"/>
        <w:ind w:left="1248" w:right="0" w:hanging="343"/>
        <w:jc w:val="left"/>
        <w:rPr>
          <w:i/>
          <w:sz w:val="18"/>
        </w:rPr>
      </w:pPr>
      <w:r>
        <w:rPr>
          <w:i/>
          <w:sz w:val="18"/>
        </w:rPr>
        <w:t>Land subject to elected activities under Article 3, paragraph 4.</w:t>
      </w:r>
      <w:r>
        <w:rPr>
          <w:i/>
          <w:spacing w:val="-11"/>
          <w:sz w:val="18"/>
        </w:rPr>
        <w:t> </w:t>
      </w:r>
      <w:r>
        <w:rPr>
          <w:i/>
          <w:sz w:val="18"/>
        </w:rPr>
        <w:t>[…]</w:t>
      </w:r>
    </w:p>
    <w:p>
      <w:pPr>
        <w:pStyle w:val="ListParagraph"/>
        <w:numPr>
          <w:ilvl w:val="0"/>
          <w:numId w:val="130"/>
        </w:numPr>
        <w:tabs>
          <w:tab w:pos="741" w:val="left" w:leader="none"/>
        </w:tabs>
        <w:spacing w:line="240" w:lineRule="auto" w:before="60" w:after="0"/>
        <w:ind w:left="701" w:right="165" w:hanging="158"/>
        <w:jc w:val="left"/>
        <w:rPr>
          <w:i/>
          <w:sz w:val="18"/>
        </w:rPr>
      </w:pPr>
      <w:r>
        <w:rPr>
          <w:i/>
          <w:sz w:val="18"/>
        </w:rPr>
        <w:t>The spatial assessment unit used for determining the area of accounting for afforestation, reforestation and deforestation.</w:t>
      </w:r>
    </w:p>
    <w:p>
      <w:pPr>
        <w:spacing w:before="94"/>
        <w:ind w:left="317" w:right="163" w:hanging="159"/>
        <w:jc w:val="both"/>
        <w:rPr>
          <w:i/>
          <w:sz w:val="18"/>
        </w:rPr>
      </w:pPr>
      <w:r>
        <w:rPr>
          <w:position w:val="8"/>
          <w:sz w:val="12"/>
        </w:rPr>
        <w:t>23 </w:t>
      </w:r>
      <w:r>
        <w:rPr>
          <w:sz w:val="18"/>
        </w:rPr>
        <w:t>Paragraph 19 of the Annex to the draft decision -/CMP.1 (Land use, land-use change and forestry), contained in document FCCC/CP/2001/13/Add.1, p.61: </w:t>
      </w:r>
      <w:r>
        <w:rPr>
          <w:i/>
          <w:sz w:val="18"/>
        </w:rPr>
        <w:t>Once land is accounted for under Article 3, paragraphs 3 and 4, all anthropogenic greenhouse gas emissions by sources from and removals by sinks on this land must be accounted for throughout subsequent and contiguous commitment periods.</w:t>
      </w:r>
    </w:p>
    <w:p>
      <w:pPr>
        <w:spacing w:after="0"/>
        <w:jc w:val="both"/>
        <w:rPr>
          <w:sz w:val="18"/>
        </w:rPr>
        <w:sectPr>
          <w:pgSz w:w="11900" w:h="16840"/>
          <w:pgMar w:header="230" w:footer="408" w:top="560" w:bottom="600" w:left="1260" w:right="1240"/>
        </w:sectPr>
      </w:pPr>
    </w:p>
    <w:p>
      <w:pPr>
        <w:pStyle w:val="BodyText"/>
        <w:rPr>
          <w:i/>
        </w:rPr>
      </w:pPr>
    </w:p>
    <w:p>
      <w:pPr>
        <w:pStyle w:val="BodyText"/>
        <w:spacing w:before="2"/>
        <w:rPr>
          <w:i/>
          <w:sz w:val="18"/>
        </w:rPr>
      </w:pPr>
    </w:p>
    <w:p>
      <w:pPr>
        <w:pStyle w:val="BodyText"/>
        <w:ind w:left="159" w:right="167"/>
        <w:jc w:val="both"/>
      </w:pPr>
      <w:r>
        <w:rPr/>
        <w:t>methods that can be applied to all Article 3.3 and Article 3.4 activities. Section 4.2.2.3 discusses how these reporting methods can draw on the three approaches presented in Chapter 2. Section 4.2.2.4 provides a decision tree for selecting one of the two reporting methods, and Section 4.2.2.5 includes a more detailed discussion of how lands subject to Articles 3.3 and 3.4 can be identified, so that the requirements of either reporting method can be satisfied.</w:t>
      </w:r>
    </w:p>
    <w:p>
      <w:pPr>
        <w:pStyle w:val="BodyText"/>
        <w:rPr>
          <w:sz w:val="22"/>
        </w:rPr>
      </w:pPr>
    </w:p>
    <w:p>
      <w:pPr>
        <w:pStyle w:val="Heading6"/>
        <w:numPr>
          <w:ilvl w:val="3"/>
          <w:numId w:val="127"/>
        </w:numPr>
        <w:tabs>
          <w:tab w:pos="1600" w:val="left" w:leader="none"/>
        </w:tabs>
        <w:spacing w:line="240" w:lineRule="auto" w:before="145" w:after="0"/>
        <w:ind w:left="1599" w:right="0" w:hanging="1440"/>
        <w:jc w:val="both"/>
      </w:pPr>
      <w:r>
        <w:rPr>
          <w:spacing w:val="17"/>
          <w:sz w:val="28"/>
        </w:rPr>
        <w:t>R</w:t>
      </w:r>
      <w:r>
        <w:rPr>
          <w:spacing w:val="17"/>
        </w:rPr>
        <w:t>EPORTING </w:t>
      </w:r>
      <w:r>
        <w:rPr>
          <w:spacing w:val="16"/>
          <w:sz w:val="28"/>
        </w:rPr>
        <w:t>M</w:t>
      </w:r>
      <w:r>
        <w:rPr>
          <w:spacing w:val="16"/>
        </w:rPr>
        <w:t>ETHODS </w:t>
      </w:r>
      <w:r>
        <w:rPr>
          <w:spacing w:val="13"/>
        </w:rPr>
        <w:t>FOR </w:t>
      </w:r>
      <w:r>
        <w:rPr>
          <w:spacing w:val="15"/>
          <w:sz w:val="28"/>
        </w:rPr>
        <w:t>L</w:t>
      </w:r>
      <w:r>
        <w:rPr>
          <w:spacing w:val="15"/>
        </w:rPr>
        <w:t>ANDS </w:t>
      </w:r>
      <w:r>
        <w:rPr>
          <w:spacing w:val="16"/>
        </w:rPr>
        <w:t>SUBJECT </w:t>
      </w:r>
      <w:r>
        <w:rPr>
          <w:spacing w:val="9"/>
        </w:rPr>
        <w:t>TO</w:t>
      </w:r>
      <w:r>
        <w:rPr>
          <w:spacing w:val="36"/>
        </w:rPr>
        <w:t> </w:t>
      </w:r>
      <w:r>
        <w:rPr>
          <w:spacing w:val="18"/>
          <w:sz w:val="28"/>
        </w:rPr>
        <w:t>A</w:t>
      </w:r>
      <w:r>
        <w:rPr>
          <w:spacing w:val="18"/>
        </w:rPr>
        <w:t>RTICLE</w:t>
      </w:r>
    </w:p>
    <w:p>
      <w:pPr>
        <w:spacing w:before="2"/>
        <w:ind w:left="1577" w:right="0" w:firstLine="0"/>
        <w:jc w:val="left"/>
        <w:rPr>
          <w:b/>
          <w:sz w:val="22"/>
        </w:rPr>
      </w:pPr>
      <w:r>
        <w:rPr>
          <w:b/>
          <w:sz w:val="28"/>
        </w:rPr>
        <w:t>3.3 </w:t>
      </w:r>
      <w:r>
        <w:rPr>
          <w:b/>
          <w:sz w:val="22"/>
        </w:rPr>
        <w:t>AND ARTICLE </w:t>
      </w:r>
      <w:r>
        <w:rPr>
          <w:b/>
          <w:sz w:val="28"/>
        </w:rPr>
        <w:t>3.4 </w:t>
      </w:r>
      <w:r>
        <w:rPr>
          <w:b/>
          <w:sz w:val="22"/>
        </w:rPr>
        <w:t>ACTIVITIES</w:t>
      </w:r>
    </w:p>
    <w:p>
      <w:pPr>
        <w:pStyle w:val="BodyText"/>
        <w:spacing w:before="209"/>
        <w:ind w:left="159" w:right="160"/>
        <w:jc w:val="both"/>
      </w:pPr>
      <w:r>
        <w:rPr/>
        <w:t>To meet the reporting requirements of the Marrakesh Accords, general information to be reported on activities under Articles 3.3 and 3.4 must include the geographical boundaries of areas encompassing units of land subject to afforestation and reforestation, deforestation, and lands subject to elected activities among forest management, cropland management, grazing land management and revegetation activities. To achieve this, a Party may choose one of two methods (Figure 4.2.3):</w:t>
      </w:r>
    </w:p>
    <w:p>
      <w:pPr>
        <w:pStyle w:val="BodyText"/>
        <w:spacing w:before="119"/>
        <w:ind w:left="159" w:right="165"/>
        <w:jc w:val="both"/>
      </w:pPr>
      <w:r>
        <w:rPr>
          <w:b/>
        </w:rPr>
        <w:t>Reporting Method 1 </w:t>
      </w:r>
      <w:r>
        <w:rPr/>
        <w:t>entails delineating areas that include multiple land units subject to Article 3.3 and 3.4 activities by using legal, administrative, or ecosystem boundaries. This stratification is based on sampling techniques, administrative data, or grids on images produced by remote sensing techniques. The identified geographic boundaries must be georeferenced.</w:t>
      </w:r>
    </w:p>
    <w:p>
      <w:pPr>
        <w:pStyle w:val="BodyText"/>
        <w:spacing w:before="120"/>
        <w:ind w:left="159" w:right="167"/>
        <w:jc w:val="both"/>
      </w:pPr>
      <w:r>
        <w:rPr>
          <w:b/>
        </w:rPr>
        <w:t>Reporting Method 2 </w:t>
      </w:r>
      <w:r>
        <w:rPr/>
        <w:t>is based on the spatially explicit and complete geographical identification of all units of land subject to Article 3.3 activities and all lands subject to Article 3.4 activities.</w:t>
      </w:r>
    </w:p>
    <w:p>
      <w:pPr>
        <w:pStyle w:val="BodyText"/>
        <w:spacing w:before="120"/>
        <w:ind w:left="159" w:right="164"/>
        <w:jc w:val="both"/>
      </w:pPr>
      <w:r>
        <w:rPr/>
        <w:t>To implement Reporting Method 1, it is </w:t>
      </w:r>
      <w:r>
        <w:rPr>
          <w:i/>
        </w:rPr>
        <w:t>good practice </w:t>
      </w:r>
      <w:r>
        <w:rPr/>
        <w:t>to stratify the entire country and to define and report the geographic boundaries of these areas of land. Criteria for stratification of the country could include statistical considerations for the sampling intensity or sampling approaches, considerations of the type and amount of land- use change activities (Article 3.3) and elected activities (Articles 3.4), as well as ecological or administrative considerations. Within each resulting geographic boundary the units of land subject to Article 3.3 activities and the lands subject to any Article 3.4 activities (if elected) must then be quantified using the approaches described in Chapter 2 (Section 2.3 Representing land areas), in accordance with the guidance in Section 4.2.2.3, as well as the methods in Sections 4.2.2.5 (generic methods) and 4.2.5 to 4.2.10 (activity specific methods).</w:t>
      </w:r>
    </w:p>
    <w:p>
      <w:pPr>
        <w:pStyle w:val="BodyText"/>
        <w:spacing w:before="119"/>
        <w:ind w:left="159" w:right="162"/>
        <w:jc w:val="both"/>
      </w:pPr>
      <w:r>
        <w:rPr/>
        <w:t>To implement Reporting Method 2, a Party should identify and report the spatial location of all lands and units  of land based on a complete mapping of all areas within its national boundaries. This is described in Chapter 2 as the wall-to-wall mapping version of Approach 3 (Section 2.3.2.3). This reporting method uniquely identifies lands and units of land and enables activities to be reported without the risk of double counting. To put this reporting method fully into practice requires large-scale data collection and analysis, and the preparation of summary statistics to ensure that reporting is transparent yet</w:t>
      </w:r>
      <w:r>
        <w:rPr>
          <w:spacing w:val="-4"/>
        </w:rPr>
        <w:t> </w:t>
      </w:r>
      <w:r>
        <w:rPr/>
        <w:t>concise.</w:t>
      </w:r>
    </w:p>
    <w:p>
      <w:pPr>
        <w:pStyle w:val="BodyText"/>
        <w:rPr>
          <w:sz w:val="22"/>
        </w:rPr>
      </w:pPr>
    </w:p>
    <w:p>
      <w:pPr>
        <w:tabs>
          <w:tab w:pos="1860" w:val="left" w:leader="none"/>
        </w:tabs>
        <w:spacing w:before="146"/>
        <w:ind w:left="159" w:right="0" w:firstLine="0"/>
        <w:jc w:val="both"/>
        <w:rPr>
          <w:b/>
          <w:sz w:val="20"/>
        </w:rPr>
      </w:pPr>
      <w:r>
        <w:rPr>
          <w:b/>
          <w:spacing w:val="8"/>
          <w:sz w:val="20"/>
        </w:rPr>
        <w:t>Figure</w:t>
      </w:r>
      <w:r>
        <w:rPr>
          <w:b/>
          <w:spacing w:val="18"/>
          <w:sz w:val="20"/>
        </w:rPr>
        <w:t> </w:t>
      </w:r>
      <w:r>
        <w:rPr>
          <w:b/>
          <w:spacing w:val="8"/>
          <w:sz w:val="20"/>
        </w:rPr>
        <w:t>4.2.3</w:t>
        <w:tab/>
      </w:r>
      <w:r>
        <w:rPr>
          <w:b/>
          <w:spacing w:val="6"/>
          <w:sz w:val="20"/>
        </w:rPr>
        <w:t>Two</w:t>
      </w:r>
      <w:r>
        <w:rPr>
          <w:b/>
          <w:spacing w:val="21"/>
          <w:sz w:val="20"/>
        </w:rPr>
        <w:t> </w:t>
      </w:r>
      <w:r>
        <w:rPr>
          <w:b/>
          <w:spacing w:val="8"/>
          <w:sz w:val="20"/>
        </w:rPr>
        <w:t>reporting</w:t>
      </w:r>
      <w:r>
        <w:rPr>
          <w:b/>
          <w:spacing w:val="23"/>
          <w:sz w:val="20"/>
        </w:rPr>
        <w:t> </w:t>
      </w:r>
      <w:r>
        <w:rPr>
          <w:b/>
          <w:spacing w:val="8"/>
          <w:sz w:val="20"/>
        </w:rPr>
        <w:t>methods</w:t>
      </w:r>
      <w:r>
        <w:rPr>
          <w:b/>
          <w:spacing w:val="19"/>
          <w:sz w:val="20"/>
        </w:rPr>
        <w:t> </w:t>
      </w:r>
      <w:r>
        <w:rPr>
          <w:b/>
          <w:spacing w:val="7"/>
          <w:sz w:val="20"/>
        </w:rPr>
        <w:t>for</w:t>
      </w:r>
      <w:r>
        <w:rPr>
          <w:b/>
          <w:spacing w:val="20"/>
          <w:sz w:val="20"/>
        </w:rPr>
        <w:t> </w:t>
      </w:r>
      <w:r>
        <w:rPr>
          <w:b/>
          <w:spacing w:val="7"/>
          <w:sz w:val="20"/>
        </w:rPr>
        <w:t>land</w:t>
      </w:r>
      <w:r>
        <w:rPr>
          <w:b/>
          <w:spacing w:val="22"/>
          <w:sz w:val="20"/>
        </w:rPr>
        <w:t> </w:t>
      </w:r>
      <w:r>
        <w:rPr>
          <w:b/>
          <w:spacing w:val="8"/>
          <w:sz w:val="20"/>
        </w:rPr>
        <w:t>subject</w:t>
      </w:r>
      <w:r>
        <w:rPr>
          <w:b/>
          <w:spacing w:val="20"/>
          <w:sz w:val="20"/>
        </w:rPr>
        <w:t> </w:t>
      </w:r>
      <w:r>
        <w:rPr>
          <w:b/>
          <w:spacing w:val="5"/>
          <w:sz w:val="20"/>
        </w:rPr>
        <w:t>to</w:t>
      </w:r>
      <w:r>
        <w:rPr>
          <w:b/>
          <w:spacing w:val="21"/>
          <w:sz w:val="20"/>
        </w:rPr>
        <w:t> </w:t>
      </w:r>
      <w:r>
        <w:rPr>
          <w:b/>
          <w:spacing w:val="8"/>
          <w:sz w:val="20"/>
        </w:rPr>
        <w:t>Articles</w:t>
      </w:r>
      <w:r>
        <w:rPr>
          <w:b/>
          <w:spacing w:val="18"/>
          <w:sz w:val="20"/>
        </w:rPr>
        <w:t> </w:t>
      </w:r>
      <w:r>
        <w:rPr>
          <w:b/>
          <w:spacing w:val="6"/>
          <w:sz w:val="20"/>
        </w:rPr>
        <w:t>3.3</w:t>
      </w:r>
      <w:r>
        <w:rPr>
          <w:b/>
          <w:spacing w:val="21"/>
          <w:sz w:val="20"/>
        </w:rPr>
        <w:t> </w:t>
      </w:r>
      <w:r>
        <w:rPr>
          <w:b/>
          <w:spacing w:val="6"/>
          <w:sz w:val="20"/>
        </w:rPr>
        <w:t>and</w:t>
      </w:r>
      <w:r>
        <w:rPr>
          <w:b/>
          <w:spacing w:val="19"/>
          <w:sz w:val="20"/>
        </w:rPr>
        <w:t> </w:t>
      </w:r>
      <w:r>
        <w:rPr>
          <w:b/>
          <w:spacing w:val="6"/>
          <w:sz w:val="20"/>
        </w:rPr>
        <w:t>3.4</w:t>
      </w:r>
      <w:r>
        <w:rPr>
          <w:b/>
          <w:spacing w:val="21"/>
          <w:sz w:val="20"/>
        </w:rPr>
        <w:t> </w:t>
      </w:r>
      <w:r>
        <w:rPr>
          <w:b/>
          <w:spacing w:val="9"/>
          <w:sz w:val="20"/>
        </w:rPr>
        <w:t>activities</w:t>
      </w:r>
    </w:p>
    <w:p>
      <w:pPr>
        <w:pStyle w:val="BodyText"/>
        <w:spacing w:before="11"/>
        <w:rPr>
          <w:b/>
          <w:sz w:val="19"/>
        </w:rPr>
      </w:pPr>
      <w:r>
        <w:rPr/>
        <w:drawing>
          <wp:anchor distT="0" distB="0" distL="0" distR="0" allowOverlap="1" layoutInCell="1" locked="0" behindDoc="0" simplePos="0" relativeHeight="808">
            <wp:simplePos x="0" y="0"/>
            <wp:positionH relativeFrom="page">
              <wp:posOffset>1321823</wp:posOffset>
            </wp:positionH>
            <wp:positionV relativeFrom="paragraph">
              <wp:posOffset>170581</wp:posOffset>
            </wp:positionV>
            <wp:extent cx="4918309" cy="2731008"/>
            <wp:effectExtent l="0" t="0" r="0" b="0"/>
            <wp:wrapTopAndBottom/>
            <wp:docPr id="9" name="image56.png" descr=""/>
            <wp:cNvGraphicFramePr>
              <a:graphicFrameLocks noChangeAspect="1"/>
            </wp:cNvGraphicFramePr>
            <a:graphic>
              <a:graphicData uri="http://schemas.openxmlformats.org/drawingml/2006/picture">
                <pic:pic>
                  <pic:nvPicPr>
                    <pic:cNvPr id="10" name="image56.png"/>
                    <pic:cNvPicPr/>
                  </pic:nvPicPr>
                  <pic:blipFill>
                    <a:blip r:embed="rId309" cstate="print"/>
                    <a:stretch>
                      <a:fillRect/>
                    </a:stretch>
                  </pic:blipFill>
                  <pic:spPr>
                    <a:xfrm>
                      <a:off x="0" y="0"/>
                      <a:ext cx="4918309" cy="2731008"/>
                    </a:xfrm>
                    <a:prstGeom prst="rect">
                      <a:avLst/>
                    </a:prstGeom>
                  </pic:spPr>
                </pic:pic>
              </a:graphicData>
            </a:graphic>
          </wp:anchor>
        </w:drawing>
      </w:r>
    </w:p>
    <w:p>
      <w:pPr>
        <w:spacing w:after="0"/>
        <w:rPr>
          <w:sz w:val="19"/>
        </w:rPr>
        <w:sectPr>
          <w:pgSz w:w="11900" w:h="16840"/>
          <w:pgMar w:header="230" w:footer="408" w:top="560" w:bottom="600" w:left="1260" w:right="1240"/>
        </w:sectPr>
      </w:pPr>
    </w:p>
    <w:p>
      <w:pPr>
        <w:pStyle w:val="BodyText"/>
        <w:rPr>
          <w:b/>
        </w:rPr>
      </w:pPr>
    </w:p>
    <w:p>
      <w:pPr>
        <w:pStyle w:val="BodyText"/>
        <w:spacing w:before="2"/>
        <w:rPr>
          <w:b/>
          <w:sz w:val="18"/>
        </w:rPr>
      </w:pPr>
    </w:p>
    <w:p>
      <w:pPr>
        <w:pStyle w:val="BodyText"/>
        <w:ind w:left="159" w:right="166"/>
        <w:jc w:val="both"/>
      </w:pPr>
      <w:r>
        <w:rPr/>
        <w:t>With either reporting method, once land is reported as being subject to activities specified under the Marrakesh Accords, it should be traceable for the first and subsequent commitment periods. Therefore, if a Party chooses Reporting Method 1, it is </w:t>
      </w:r>
      <w:r>
        <w:rPr>
          <w:i/>
        </w:rPr>
        <w:t>good practice </w:t>
      </w:r>
      <w:r>
        <w:rPr/>
        <w:t>to record the information needed to identify the sample locations and the units of land or lands identified in the samples, and to use the same sample locations for any future monitoring. This ensures that changes in the status of land covered by sample plots (Reporting Method 1) or in the entire country (Reporting Method 2) can be tracked and monitored from 1990 to the end of the commitment period.</w:t>
      </w:r>
    </w:p>
    <w:p>
      <w:pPr>
        <w:pStyle w:val="BodyText"/>
        <w:spacing w:before="120"/>
        <w:ind w:left="159" w:right="166"/>
        <w:jc w:val="both"/>
      </w:pPr>
      <w:r>
        <w:rPr/>
        <w:t>The geographic boundaries resulting from the stratification of the country should be reported using printed maps or digital maps, as described in Section 4.2.4.3.1 (Reporting).</w:t>
      </w:r>
    </w:p>
    <w:p>
      <w:pPr>
        <w:pStyle w:val="BodyText"/>
        <w:rPr>
          <w:sz w:val="22"/>
        </w:rPr>
      </w:pPr>
    </w:p>
    <w:p>
      <w:pPr>
        <w:pStyle w:val="Heading6"/>
        <w:numPr>
          <w:ilvl w:val="3"/>
          <w:numId w:val="127"/>
        </w:numPr>
        <w:tabs>
          <w:tab w:pos="1600" w:val="left" w:leader="none"/>
        </w:tabs>
        <w:spacing w:line="240" w:lineRule="auto" w:before="144" w:after="0"/>
        <w:ind w:left="1599" w:right="0" w:hanging="1440"/>
        <w:jc w:val="both"/>
        <w:rPr>
          <w:sz w:val="28"/>
        </w:rPr>
      </w:pPr>
      <w:r>
        <w:rPr>
          <w:spacing w:val="17"/>
          <w:sz w:val="28"/>
        </w:rPr>
        <w:t>R</w:t>
      </w:r>
      <w:r>
        <w:rPr>
          <w:spacing w:val="17"/>
        </w:rPr>
        <w:t>ELATIONSHIP </w:t>
      </w:r>
      <w:r>
        <w:rPr>
          <w:spacing w:val="16"/>
        </w:rPr>
        <w:t>BETWEEN </w:t>
      </w:r>
      <w:r>
        <w:rPr>
          <w:spacing w:val="17"/>
          <w:sz w:val="28"/>
        </w:rPr>
        <w:t>A</w:t>
      </w:r>
      <w:r>
        <w:rPr>
          <w:spacing w:val="17"/>
        </w:rPr>
        <w:t>PPROACHES </w:t>
      </w:r>
      <w:r>
        <w:rPr>
          <w:spacing w:val="10"/>
        </w:rPr>
        <w:t>IN </w:t>
      </w:r>
      <w:r>
        <w:rPr>
          <w:spacing w:val="16"/>
          <w:sz w:val="28"/>
        </w:rPr>
        <w:t>C</w:t>
      </w:r>
      <w:r>
        <w:rPr>
          <w:spacing w:val="16"/>
        </w:rPr>
        <w:t>HAPTER</w:t>
      </w:r>
      <w:r>
        <w:rPr>
          <w:spacing w:val="8"/>
        </w:rPr>
        <w:t> </w:t>
      </w:r>
      <w:r>
        <w:rPr>
          <w:sz w:val="28"/>
        </w:rPr>
        <w:t>2</w:t>
      </w:r>
    </w:p>
    <w:p>
      <w:pPr>
        <w:spacing w:before="2"/>
        <w:ind w:left="1606" w:right="0" w:firstLine="0"/>
        <w:jc w:val="left"/>
        <w:rPr>
          <w:b/>
          <w:sz w:val="28"/>
        </w:rPr>
      </w:pPr>
      <w:r>
        <w:rPr>
          <w:b/>
          <w:sz w:val="22"/>
        </w:rPr>
        <w:t>AND </w:t>
      </w:r>
      <w:r>
        <w:rPr>
          <w:b/>
          <w:sz w:val="28"/>
        </w:rPr>
        <w:t>R</w:t>
      </w:r>
      <w:r>
        <w:rPr>
          <w:b/>
          <w:sz w:val="22"/>
        </w:rPr>
        <w:t>EPORTING METHODS IN </w:t>
      </w:r>
      <w:r>
        <w:rPr>
          <w:b/>
          <w:sz w:val="28"/>
        </w:rPr>
        <w:t>C</w:t>
      </w:r>
      <w:r>
        <w:rPr>
          <w:b/>
          <w:sz w:val="22"/>
        </w:rPr>
        <w:t>HAPTER </w:t>
      </w:r>
      <w:r>
        <w:rPr>
          <w:b/>
          <w:sz w:val="28"/>
        </w:rPr>
        <w:t>4</w:t>
      </w:r>
    </w:p>
    <w:p>
      <w:pPr>
        <w:pStyle w:val="BodyText"/>
        <w:spacing w:before="211"/>
        <w:ind w:left="159" w:right="162"/>
        <w:jc w:val="both"/>
      </w:pPr>
      <w:r>
        <w:rPr/>
        <w:t>Chapter 2 (Basis for consistent representation of land areas) describes three approaches to representing land area. The detailed reporting requirements of Articles 3.3 and 3.4 of the Kyoto Protocol as elaborated in the Marrakesh Accords are met by the two reporting methods given in this chapter, and underpinned by the approaches described in Chapter 2. This section, summarised in Table 4.2.2, discusses which of the three Chapter 2 approaches are suitable for identifying units of land subject to Article 3.3 activities or lands subject to selected activities under Article 3.4. Note that even the most data-intensive Approach 3 outlined in Chapter 2 can only meet the requirements of the Marrakesh Accords without supplemental information if the spatial resolution at which land-use changes are tracked is consistent with the size parameter selected by a country to define forest, i.e., polygon sizes of 0.05 to 1 ha or grids of 20 to 100 m (see STEP 1.1 in Section 4.1.1). Land cover and land- use mapping using, for example, 1 km</w:t>
      </w:r>
      <w:r>
        <w:rPr>
          <w:vertAlign w:val="superscript"/>
        </w:rPr>
        <w:t>2</w:t>
      </w:r>
      <w:r>
        <w:rPr>
          <w:vertAlign w:val="baseline"/>
        </w:rPr>
        <w:t> (100 ha) pixel resolution does not meet the Protocol’s requirements and supplemental information will be required.</w:t>
      </w:r>
    </w:p>
    <w:p>
      <w:pPr>
        <w:pStyle w:val="BodyText"/>
        <w:spacing w:before="5"/>
        <w:rPr>
          <w:sz w:val="29"/>
        </w:rPr>
      </w:pPr>
    </w:p>
    <w:p>
      <w:pPr>
        <w:pStyle w:val="Heading6"/>
        <w:numPr>
          <w:ilvl w:val="4"/>
          <w:numId w:val="127"/>
        </w:numPr>
        <w:tabs>
          <w:tab w:pos="1312" w:val="left" w:leader="none"/>
        </w:tabs>
        <w:spacing w:line="240" w:lineRule="auto" w:before="0" w:after="0"/>
        <w:ind w:left="1311" w:right="0" w:hanging="1152"/>
        <w:jc w:val="both"/>
      </w:pPr>
      <w:r>
        <w:rPr/>
        <w:t>1 </w:t>
      </w:r>
      <w:r>
        <w:rPr>
          <w:spacing w:val="16"/>
        </w:rPr>
        <w:t>APPROACH</w:t>
      </w:r>
      <w:r>
        <w:rPr>
          <w:spacing w:val="42"/>
        </w:rPr>
        <w:t> </w:t>
      </w:r>
      <w:r>
        <w:rPr/>
        <w:t>1</w:t>
      </w:r>
    </w:p>
    <w:p>
      <w:pPr>
        <w:pStyle w:val="BodyText"/>
        <w:spacing w:before="208"/>
        <w:ind w:left="159" w:right="163"/>
        <w:jc w:val="both"/>
      </w:pPr>
      <w:r>
        <w:rPr/>
        <w:t>Approach 1 in Chapter 2 provides information that is not spatially explicit and it only reports the net changes in the areas of different land-use categories. Hence, this approach does not meet the land identification requirements of the Marrakesh Accords. National inventory databases are often compiled from detailed spatial inventories that can be based, for example, on sampling approaches that involve a grid or sample plot system. In countries where this is the case, it may be possible to re-compile the detailed inventory information for the geographical boundaries, which have resulted from the stratification of the country, to meet the reporting requirements of the Marrakesh Accords. This means that Approach 1 can only be applied to Reporting Method 1 if additional spatial data at the required spatial resolution are available as a result of re-compiling the inventory information, and if the gross land-use transitions (rather than the net changes in land-use categories) are quantified.</w:t>
      </w:r>
    </w:p>
    <w:p>
      <w:pPr>
        <w:pStyle w:val="BodyText"/>
        <w:spacing w:before="7"/>
        <w:rPr>
          <w:sz w:val="29"/>
        </w:rPr>
      </w:pPr>
    </w:p>
    <w:p>
      <w:pPr>
        <w:pStyle w:val="Heading6"/>
        <w:numPr>
          <w:ilvl w:val="4"/>
          <w:numId w:val="127"/>
        </w:numPr>
        <w:tabs>
          <w:tab w:pos="1312" w:val="left" w:leader="none"/>
        </w:tabs>
        <w:spacing w:line="240" w:lineRule="auto" w:before="0" w:after="0"/>
        <w:ind w:left="1311" w:right="0" w:hanging="1152"/>
        <w:jc w:val="both"/>
      </w:pPr>
      <w:r>
        <w:rPr/>
        <w:t>2 </w:t>
      </w:r>
      <w:r>
        <w:rPr>
          <w:spacing w:val="16"/>
        </w:rPr>
        <w:t>APPROACH</w:t>
      </w:r>
      <w:r>
        <w:rPr>
          <w:spacing w:val="42"/>
        </w:rPr>
        <w:t> </w:t>
      </w:r>
      <w:r>
        <w:rPr/>
        <w:t>2</w:t>
      </w:r>
    </w:p>
    <w:p>
      <w:pPr>
        <w:pStyle w:val="BodyText"/>
        <w:spacing w:before="207"/>
        <w:ind w:left="159" w:right="164"/>
        <w:jc w:val="both"/>
      </w:pPr>
      <w:r>
        <w:rPr/>
        <w:t>Approach 2 focuses on land-use transitions. Although it provides useful information on land-use changes, especially regarding afforestation, reforestation and deforestation under Article 3.3, it is not spatially explicit. Hence, additional spatial information at the required spatial resolution is necessary to meet the reporting requirements of the Marrakesh Accords. This approach can therefore only be used to identify units of land or land subject to activities under Articles 3.3 and 3.4 if additional spatial data are available. As with Approach 1, it may be possible to apply Approach 2 to Reporting Method 1 if additional spatial data at the required spatial resolution become available from re-compiling the inventory</w:t>
      </w:r>
      <w:r>
        <w:rPr>
          <w:spacing w:val="-7"/>
        </w:rPr>
        <w:t> </w:t>
      </w:r>
      <w:r>
        <w:rPr/>
        <w:t>information.</w:t>
      </w:r>
    </w:p>
    <w:p>
      <w:pPr>
        <w:pStyle w:val="BodyText"/>
        <w:spacing w:before="8"/>
        <w:rPr>
          <w:sz w:val="29"/>
        </w:rPr>
      </w:pPr>
    </w:p>
    <w:p>
      <w:pPr>
        <w:pStyle w:val="Heading6"/>
        <w:numPr>
          <w:ilvl w:val="4"/>
          <w:numId w:val="127"/>
        </w:numPr>
        <w:tabs>
          <w:tab w:pos="1312" w:val="left" w:leader="none"/>
        </w:tabs>
        <w:spacing w:line="240" w:lineRule="auto" w:before="0" w:after="0"/>
        <w:ind w:left="1311" w:right="0" w:hanging="1152"/>
        <w:jc w:val="both"/>
      </w:pPr>
      <w:r>
        <w:rPr/>
        <w:t>3 </w:t>
      </w:r>
      <w:r>
        <w:rPr>
          <w:spacing w:val="16"/>
        </w:rPr>
        <w:t>APPROACH</w:t>
      </w:r>
      <w:r>
        <w:rPr>
          <w:spacing w:val="42"/>
        </w:rPr>
        <w:t> </w:t>
      </w:r>
      <w:r>
        <w:rPr/>
        <w:t>3</w:t>
      </w:r>
    </w:p>
    <w:p>
      <w:pPr>
        <w:pStyle w:val="BodyText"/>
        <w:spacing w:before="208"/>
        <w:ind w:left="159" w:right="167"/>
        <w:jc w:val="both"/>
      </w:pPr>
      <w:r>
        <w:rPr/>
        <w:t>Approach 3 explicitly tracks land based on sample approaches, a grid system, or a polygon system within the geographic boundaries, which have resulted from the stratification of the country. This approach is applicable to Reporting Methods 1 and 2 above, as long as the spatial resolution is fine enough to represent the minimum forest area as defined by the Party under the Marrakesh</w:t>
      </w:r>
      <w:r>
        <w:rPr>
          <w:spacing w:val="-6"/>
        </w:rPr>
        <w:t> </w:t>
      </w:r>
      <w:r>
        <w:rPr/>
        <w:t>Accords.</w:t>
      </w:r>
    </w:p>
    <w:p>
      <w:pPr>
        <w:spacing w:after="0"/>
        <w:jc w:val="both"/>
        <w:sectPr>
          <w:pgSz w:w="11900" w:h="16840"/>
          <w:pgMar w:header="230" w:footer="408" w:top="560" w:bottom="600" w:left="1260" w:right="1240"/>
        </w:sectPr>
      </w:pPr>
    </w:p>
    <w:p>
      <w:pPr>
        <w:pStyle w:val="BodyText"/>
      </w:pPr>
    </w:p>
    <w:p>
      <w:pPr>
        <w:pStyle w:val="BodyText"/>
        <w:spacing w:before="9"/>
        <w:rPr>
          <w:sz w:val="18"/>
        </w:rPr>
      </w:pPr>
    </w:p>
    <w:tbl>
      <w:tblPr>
        <w:tblW w:w="0" w:type="auto"/>
        <w:jc w:val="left"/>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72"/>
        <w:gridCol w:w="4140"/>
        <w:gridCol w:w="2664"/>
      </w:tblGrid>
      <w:tr>
        <w:trPr>
          <w:trHeight w:val="680" w:hRule="atLeast"/>
        </w:trPr>
        <w:tc>
          <w:tcPr>
            <w:tcW w:w="8976" w:type="dxa"/>
            <w:gridSpan w:val="3"/>
            <w:tcBorders>
              <w:bottom w:val="double" w:sz="1" w:space="0" w:color="000000"/>
            </w:tcBorders>
          </w:tcPr>
          <w:p>
            <w:pPr>
              <w:pStyle w:val="TableParagraph"/>
              <w:spacing w:before="134"/>
              <w:ind w:left="987" w:right="984"/>
              <w:jc w:val="center"/>
              <w:rPr>
                <w:b/>
                <w:sz w:val="18"/>
              </w:rPr>
            </w:pPr>
            <w:r>
              <w:rPr>
                <w:b/>
                <w:sz w:val="18"/>
              </w:rPr>
              <w:t>T</w:t>
            </w:r>
            <w:r>
              <w:rPr>
                <w:b/>
                <w:sz w:val="14"/>
              </w:rPr>
              <w:t>ABLE </w:t>
            </w:r>
            <w:r>
              <w:rPr>
                <w:b/>
                <w:sz w:val="18"/>
              </w:rPr>
              <w:t>4.2.2</w:t>
            </w:r>
          </w:p>
          <w:p>
            <w:pPr>
              <w:pStyle w:val="TableParagraph"/>
              <w:spacing w:before="2"/>
              <w:ind w:left="987" w:right="984"/>
              <w:jc w:val="center"/>
              <w:rPr>
                <w:b/>
                <w:sz w:val="18"/>
              </w:rPr>
            </w:pPr>
            <w:r>
              <w:rPr>
                <w:b/>
                <w:sz w:val="18"/>
              </w:rPr>
              <w:t>R</w:t>
            </w:r>
            <w:r>
              <w:rPr>
                <w:b/>
                <w:sz w:val="14"/>
              </w:rPr>
              <w:t>ELATIONSHIP BETWEEN APPROACHES IN </w:t>
            </w:r>
            <w:r>
              <w:rPr>
                <w:b/>
                <w:sz w:val="18"/>
              </w:rPr>
              <w:t>C</w:t>
            </w:r>
            <w:r>
              <w:rPr>
                <w:b/>
                <w:sz w:val="14"/>
              </w:rPr>
              <w:t>HAPTER </w:t>
            </w:r>
            <w:r>
              <w:rPr>
                <w:b/>
                <w:sz w:val="18"/>
              </w:rPr>
              <w:t>2 </w:t>
            </w:r>
            <w:r>
              <w:rPr>
                <w:b/>
                <w:sz w:val="14"/>
              </w:rPr>
              <w:t>AND REPORTING METHODS IN </w:t>
            </w:r>
            <w:r>
              <w:rPr>
                <w:b/>
                <w:sz w:val="18"/>
              </w:rPr>
              <w:t>C</w:t>
            </w:r>
            <w:r>
              <w:rPr>
                <w:b/>
                <w:sz w:val="14"/>
              </w:rPr>
              <w:t>HAPTER </w:t>
            </w:r>
            <w:r>
              <w:rPr>
                <w:b/>
                <w:sz w:val="18"/>
              </w:rPr>
              <w:t>4</w:t>
            </w:r>
          </w:p>
        </w:tc>
      </w:tr>
      <w:tr>
        <w:trPr>
          <w:trHeight w:val="539" w:hRule="atLeast"/>
        </w:trPr>
        <w:tc>
          <w:tcPr>
            <w:tcW w:w="2172" w:type="dxa"/>
            <w:tcBorders>
              <w:top w:val="double" w:sz="1" w:space="0" w:color="000000"/>
            </w:tcBorders>
          </w:tcPr>
          <w:p>
            <w:pPr>
              <w:pStyle w:val="TableParagraph"/>
              <w:spacing w:before="167"/>
              <w:ind w:left="192" w:right="190"/>
              <w:jc w:val="center"/>
              <w:rPr>
                <w:b/>
                <w:sz w:val="18"/>
              </w:rPr>
            </w:pPr>
            <w:r>
              <w:rPr>
                <w:b/>
                <w:sz w:val="18"/>
              </w:rPr>
              <w:t>Chapter 2 Approaches</w:t>
            </w:r>
          </w:p>
        </w:tc>
        <w:tc>
          <w:tcPr>
            <w:tcW w:w="4140" w:type="dxa"/>
            <w:tcBorders>
              <w:top w:val="double" w:sz="1" w:space="0" w:color="000000"/>
            </w:tcBorders>
          </w:tcPr>
          <w:p>
            <w:pPr>
              <w:pStyle w:val="TableParagraph"/>
              <w:spacing w:before="64"/>
              <w:ind w:left="1043" w:right="1017" w:firstLine="244"/>
              <w:rPr>
                <w:b/>
                <w:sz w:val="18"/>
              </w:rPr>
            </w:pPr>
            <w:r>
              <w:rPr>
                <w:b/>
                <w:sz w:val="18"/>
              </w:rPr>
              <w:t>Reporting Method 1 (Broad area identification)</w:t>
            </w:r>
          </w:p>
        </w:tc>
        <w:tc>
          <w:tcPr>
            <w:tcW w:w="2664" w:type="dxa"/>
            <w:tcBorders>
              <w:top w:val="double" w:sz="1" w:space="0" w:color="000000"/>
            </w:tcBorders>
          </w:tcPr>
          <w:p>
            <w:pPr>
              <w:pStyle w:val="TableParagraph"/>
              <w:spacing w:before="64"/>
              <w:ind w:left="371" w:firstLine="180"/>
              <w:rPr>
                <w:b/>
                <w:sz w:val="18"/>
              </w:rPr>
            </w:pPr>
            <w:r>
              <w:rPr>
                <w:b/>
                <w:sz w:val="18"/>
              </w:rPr>
              <w:t>Reporting Method 2 (Complete identification)</w:t>
            </w:r>
          </w:p>
        </w:tc>
      </w:tr>
      <w:tr>
        <w:trPr>
          <w:trHeight w:val="542" w:hRule="atLeast"/>
        </w:trPr>
        <w:tc>
          <w:tcPr>
            <w:tcW w:w="2172" w:type="dxa"/>
          </w:tcPr>
          <w:p>
            <w:pPr>
              <w:pStyle w:val="TableParagraph"/>
              <w:spacing w:before="165"/>
              <w:ind w:left="192" w:right="189"/>
              <w:jc w:val="center"/>
              <w:rPr>
                <w:b/>
                <w:sz w:val="18"/>
              </w:rPr>
            </w:pPr>
            <w:r>
              <w:rPr>
                <w:b/>
                <w:sz w:val="18"/>
              </w:rPr>
              <w:t>Approach 1</w:t>
            </w:r>
          </w:p>
        </w:tc>
        <w:tc>
          <w:tcPr>
            <w:tcW w:w="4140" w:type="dxa"/>
          </w:tcPr>
          <w:p>
            <w:pPr>
              <w:pStyle w:val="TableParagraph"/>
              <w:spacing w:before="57"/>
              <w:ind w:left="698" w:right="174" w:hanging="502"/>
              <w:rPr>
                <w:sz w:val="18"/>
              </w:rPr>
            </w:pPr>
            <w:r>
              <w:rPr>
                <w:sz w:val="18"/>
              </w:rPr>
              <w:t>Can only be used if additional spatial information is available by re-compiling inventories.</w:t>
            </w:r>
          </w:p>
        </w:tc>
        <w:tc>
          <w:tcPr>
            <w:tcW w:w="2664" w:type="dxa"/>
          </w:tcPr>
          <w:p>
            <w:pPr>
              <w:pStyle w:val="TableParagraph"/>
              <w:spacing w:before="160"/>
              <w:ind w:left="784" w:right="774"/>
              <w:jc w:val="center"/>
              <w:rPr>
                <w:sz w:val="18"/>
              </w:rPr>
            </w:pPr>
            <w:r>
              <w:rPr>
                <w:sz w:val="18"/>
              </w:rPr>
              <w:t>Not applicable</w:t>
            </w:r>
          </w:p>
        </w:tc>
      </w:tr>
      <w:tr>
        <w:trPr>
          <w:trHeight w:val="539" w:hRule="atLeast"/>
        </w:trPr>
        <w:tc>
          <w:tcPr>
            <w:tcW w:w="2172" w:type="dxa"/>
          </w:tcPr>
          <w:p>
            <w:pPr>
              <w:pStyle w:val="TableParagraph"/>
              <w:spacing w:before="165"/>
              <w:ind w:left="192" w:right="189"/>
              <w:jc w:val="center"/>
              <w:rPr>
                <w:b/>
                <w:sz w:val="18"/>
              </w:rPr>
            </w:pPr>
            <w:r>
              <w:rPr>
                <w:b/>
                <w:sz w:val="18"/>
              </w:rPr>
              <w:t>Approach 2</w:t>
            </w:r>
          </w:p>
        </w:tc>
        <w:tc>
          <w:tcPr>
            <w:tcW w:w="4140" w:type="dxa"/>
          </w:tcPr>
          <w:p>
            <w:pPr>
              <w:pStyle w:val="TableParagraph"/>
              <w:spacing w:before="57"/>
              <w:ind w:left="698" w:right="174" w:hanging="502"/>
              <w:rPr>
                <w:sz w:val="18"/>
              </w:rPr>
            </w:pPr>
            <w:r>
              <w:rPr>
                <w:sz w:val="18"/>
              </w:rPr>
              <w:t>Can only be used if additional spatial information is available by re-compiling inventories.</w:t>
            </w:r>
          </w:p>
        </w:tc>
        <w:tc>
          <w:tcPr>
            <w:tcW w:w="2664" w:type="dxa"/>
          </w:tcPr>
          <w:p>
            <w:pPr>
              <w:pStyle w:val="TableParagraph"/>
              <w:spacing w:before="160"/>
              <w:ind w:left="784" w:right="774"/>
              <w:jc w:val="center"/>
              <w:rPr>
                <w:sz w:val="18"/>
              </w:rPr>
            </w:pPr>
            <w:r>
              <w:rPr>
                <w:sz w:val="18"/>
              </w:rPr>
              <w:t>Not applicable</w:t>
            </w:r>
          </w:p>
        </w:tc>
      </w:tr>
      <w:tr>
        <w:trPr>
          <w:trHeight w:val="1067" w:hRule="atLeast"/>
        </w:trPr>
        <w:tc>
          <w:tcPr>
            <w:tcW w:w="2172" w:type="dxa"/>
          </w:tcPr>
          <w:p>
            <w:pPr>
              <w:pStyle w:val="TableParagraph"/>
              <w:rPr>
                <w:sz w:val="20"/>
              </w:rPr>
            </w:pPr>
          </w:p>
          <w:p>
            <w:pPr>
              <w:pStyle w:val="TableParagraph"/>
              <w:spacing w:before="3"/>
              <w:rPr>
                <w:sz w:val="17"/>
              </w:rPr>
            </w:pPr>
          </w:p>
          <w:p>
            <w:pPr>
              <w:pStyle w:val="TableParagraph"/>
              <w:spacing w:before="1"/>
              <w:ind w:left="192" w:right="189"/>
              <w:jc w:val="center"/>
              <w:rPr>
                <w:b/>
                <w:sz w:val="18"/>
              </w:rPr>
            </w:pPr>
            <w:r>
              <w:rPr>
                <w:b/>
                <w:sz w:val="18"/>
              </w:rPr>
              <w:t>Approach 3</w:t>
            </w:r>
          </w:p>
        </w:tc>
        <w:tc>
          <w:tcPr>
            <w:tcW w:w="4140" w:type="dxa"/>
          </w:tcPr>
          <w:p>
            <w:pPr>
              <w:pStyle w:val="TableParagraph"/>
              <w:spacing w:before="55"/>
              <w:ind w:left="277" w:right="269"/>
              <w:jc w:val="center"/>
              <w:rPr>
                <w:i/>
                <w:sz w:val="18"/>
              </w:rPr>
            </w:pPr>
            <w:r>
              <w:rPr>
                <w:i/>
                <w:sz w:val="18"/>
              </w:rPr>
              <w:t>Good practice</w:t>
            </w:r>
          </w:p>
          <w:p>
            <w:pPr>
              <w:pStyle w:val="TableParagraph"/>
              <w:spacing w:before="119"/>
              <w:ind w:left="280" w:right="269"/>
              <w:jc w:val="center"/>
              <w:rPr>
                <w:sz w:val="18"/>
              </w:rPr>
            </w:pPr>
            <w:r>
              <w:rPr>
                <w:sz w:val="18"/>
              </w:rPr>
              <w:t>if resolution is fine enough to represent minimum forest area. Involves aggregating data within the reported geographic boundaries.</w:t>
            </w:r>
          </w:p>
        </w:tc>
        <w:tc>
          <w:tcPr>
            <w:tcW w:w="2664" w:type="dxa"/>
          </w:tcPr>
          <w:p>
            <w:pPr>
              <w:pStyle w:val="TableParagraph"/>
              <w:spacing w:before="55"/>
              <w:ind w:left="813"/>
              <w:rPr>
                <w:i/>
                <w:sz w:val="18"/>
              </w:rPr>
            </w:pPr>
            <w:r>
              <w:rPr>
                <w:i/>
                <w:sz w:val="18"/>
              </w:rPr>
              <w:t>Good practice</w:t>
            </w:r>
          </w:p>
          <w:p>
            <w:pPr>
              <w:pStyle w:val="TableParagraph"/>
              <w:spacing w:before="119"/>
              <w:ind w:left="208" w:right="194" w:hanging="4"/>
              <w:jc w:val="center"/>
              <w:rPr>
                <w:sz w:val="18"/>
              </w:rPr>
            </w:pPr>
            <w:r>
              <w:rPr>
                <w:sz w:val="18"/>
              </w:rPr>
              <w:t>if resolution is fine enough to represent minimum forest area.</w:t>
            </w:r>
          </w:p>
        </w:tc>
      </w:tr>
    </w:tbl>
    <w:p>
      <w:pPr>
        <w:pStyle w:val="BodyText"/>
        <w:rPr>
          <w:sz w:val="16"/>
        </w:rPr>
      </w:pPr>
    </w:p>
    <w:p>
      <w:pPr>
        <w:pStyle w:val="Heading6"/>
        <w:numPr>
          <w:ilvl w:val="3"/>
          <w:numId w:val="127"/>
        </w:numPr>
        <w:tabs>
          <w:tab w:pos="1599" w:val="left" w:leader="none"/>
          <w:tab w:pos="1600" w:val="left" w:leader="none"/>
        </w:tabs>
        <w:spacing w:line="240" w:lineRule="auto" w:before="90" w:after="0"/>
        <w:ind w:left="1599" w:right="0" w:hanging="1440"/>
        <w:jc w:val="left"/>
      </w:pPr>
      <w:r>
        <w:rPr>
          <w:spacing w:val="16"/>
          <w:sz w:val="28"/>
        </w:rPr>
        <w:t>C</w:t>
      </w:r>
      <w:r>
        <w:rPr>
          <w:spacing w:val="16"/>
        </w:rPr>
        <w:t>HOICE </w:t>
      </w:r>
      <w:r>
        <w:rPr>
          <w:spacing w:val="10"/>
        </w:rPr>
        <w:t>OF </w:t>
      </w:r>
      <w:r>
        <w:rPr>
          <w:spacing w:val="17"/>
          <w:sz w:val="28"/>
        </w:rPr>
        <w:t>R</w:t>
      </w:r>
      <w:r>
        <w:rPr>
          <w:spacing w:val="17"/>
        </w:rPr>
        <w:t>EPORTING</w:t>
      </w:r>
      <w:r>
        <w:rPr>
          <w:spacing w:val="25"/>
        </w:rPr>
        <w:t> </w:t>
      </w:r>
      <w:r>
        <w:rPr>
          <w:spacing w:val="16"/>
          <w:sz w:val="28"/>
        </w:rPr>
        <w:t>M</w:t>
      </w:r>
      <w:r>
        <w:rPr>
          <w:spacing w:val="16"/>
        </w:rPr>
        <w:t>ETHOD</w:t>
      </w:r>
      <w:r>
        <w:rPr>
          <w:spacing w:val="-35"/>
        </w:rPr>
        <w:t> </w:t>
      </w:r>
    </w:p>
    <w:p>
      <w:pPr>
        <w:pStyle w:val="BodyText"/>
        <w:spacing w:before="208"/>
        <w:ind w:left="159" w:right="164"/>
        <w:jc w:val="both"/>
      </w:pPr>
      <w:r>
        <w:rPr/>
        <w:t>It is </w:t>
      </w:r>
      <w:r>
        <w:rPr>
          <w:i/>
        </w:rPr>
        <w:t>good practice </w:t>
      </w:r>
      <w:r>
        <w:rPr/>
        <w:t>to choose an appropriate reporting method using the decision tree given in Figure 4.2.4. National circumstances may allow a Party to use a combination of both reporting methods. In such a case, it is </w:t>
      </w:r>
      <w:r>
        <w:rPr>
          <w:i/>
        </w:rPr>
        <w:t>good practice </w:t>
      </w:r>
      <w:r>
        <w:rPr/>
        <w:t>to first stratify the entire country and then to quantify and report the area of units of land and land using Reporting Method 1. Within those geographical boundaries where complete spatial identification of lands and units of land is possible, Reporting Method 2 can then be applied.</w:t>
      </w:r>
    </w:p>
    <w:p>
      <w:pPr>
        <w:pStyle w:val="BodyText"/>
        <w:rPr>
          <w:sz w:val="22"/>
        </w:rPr>
      </w:pPr>
    </w:p>
    <w:p>
      <w:pPr>
        <w:tabs>
          <w:tab w:pos="1860" w:val="left" w:leader="none"/>
        </w:tabs>
        <w:spacing w:before="148"/>
        <w:ind w:left="1860" w:right="532" w:hanging="1702"/>
        <w:jc w:val="left"/>
        <w:rPr>
          <w:b/>
          <w:sz w:val="20"/>
        </w:rPr>
      </w:pPr>
      <w:r>
        <w:rPr>
          <w:b/>
          <w:spacing w:val="8"/>
          <w:sz w:val="20"/>
        </w:rPr>
        <w:t>Figure</w:t>
      </w:r>
      <w:r>
        <w:rPr>
          <w:b/>
          <w:spacing w:val="19"/>
          <w:sz w:val="20"/>
        </w:rPr>
        <w:t> </w:t>
      </w:r>
      <w:r>
        <w:rPr>
          <w:b/>
          <w:spacing w:val="8"/>
          <w:sz w:val="20"/>
        </w:rPr>
        <w:t>4.2.4</w:t>
        <w:tab/>
        <w:t>Decision tree </w:t>
      </w:r>
      <w:r>
        <w:rPr>
          <w:b/>
          <w:spacing w:val="6"/>
          <w:sz w:val="20"/>
        </w:rPr>
        <w:t>for </w:t>
      </w:r>
      <w:r>
        <w:rPr>
          <w:b/>
          <w:spacing w:val="8"/>
          <w:sz w:val="20"/>
        </w:rPr>
        <w:t>choosing </w:t>
      </w:r>
      <w:r>
        <w:rPr>
          <w:b/>
          <w:sz w:val="20"/>
        </w:rPr>
        <w:t>a </w:t>
      </w:r>
      <w:r>
        <w:rPr>
          <w:b/>
          <w:spacing w:val="8"/>
          <w:sz w:val="20"/>
        </w:rPr>
        <w:t>reporting method </w:t>
      </w:r>
      <w:r>
        <w:rPr>
          <w:b/>
          <w:spacing w:val="6"/>
          <w:sz w:val="20"/>
        </w:rPr>
        <w:t>for </w:t>
      </w:r>
      <w:r>
        <w:rPr>
          <w:b/>
          <w:spacing w:val="7"/>
          <w:sz w:val="20"/>
        </w:rPr>
        <w:t>land </w:t>
      </w:r>
      <w:r>
        <w:rPr>
          <w:b/>
          <w:spacing w:val="8"/>
          <w:sz w:val="20"/>
        </w:rPr>
        <w:t>subject </w:t>
      </w:r>
      <w:r>
        <w:rPr>
          <w:b/>
          <w:spacing w:val="5"/>
          <w:sz w:val="20"/>
        </w:rPr>
        <w:t>to </w:t>
      </w:r>
      <w:r>
        <w:rPr>
          <w:b/>
          <w:spacing w:val="10"/>
          <w:sz w:val="20"/>
        </w:rPr>
        <w:t>activities </w:t>
      </w:r>
      <w:r>
        <w:rPr>
          <w:b/>
          <w:spacing w:val="7"/>
          <w:sz w:val="20"/>
        </w:rPr>
        <w:t>under </w:t>
      </w:r>
      <w:r>
        <w:rPr>
          <w:b/>
          <w:spacing w:val="8"/>
          <w:sz w:val="20"/>
        </w:rPr>
        <w:t>Articles </w:t>
      </w:r>
      <w:r>
        <w:rPr>
          <w:b/>
          <w:spacing w:val="6"/>
          <w:sz w:val="20"/>
        </w:rPr>
        <w:t>3.3 and</w:t>
      </w:r>
      <w:r>
        <w:rPr>
          <w:b/>
          <w:spacing w:val="56"/>
          <w:sz w:val="20"/>
        </w:rPr>
        <w:t> </w:t>
      </w:r>
      <w:r>
        <w:rPr>
          <w:b/>
          <w:spacing w:val="7"/>
          <w:sz w:val="20"/>
        </w:rPr>
        <w:t>3.4</w:t>
      </w:r>
    </w:p>
    <w:p>
      <w:pPr>
        <w:pStyle w:val="BodyText"/>
        <w:spacing w:before="11"/>
        <w:rPr>
          <w:b/>
          <w:sz w:val="15"/>
        </w:rPr>
      </w:pPr>
      <w:r>
        <w:rPr/>
        <w:pict>
          <v:group style="position:absolute;margin-left:71.185997pt;margin-top:11.165058pt;width:444.15pt;height:308.350pt;mso-position-horizontal-relative:page;mso-position-vertical-relative:paragraph;z-index:18680;mso-wrap-distance-left:0;mso-wrap-distance-right:0" coordorigin="1424,223" coordsize="8883,6167">
            <v:shape style="position:absolute;left:3420;top:230;width:3430;height:1467" coordorigin="3421,231" coordsize="3430,1467" path="m5137,231l3421,965,5137,1697,6850,965,5137,231xe" filled="false" stroked="true" strokeweight=".75pt" strokecolor="#010101">
              <v:path arrowok="t"/>
              <v:stroke dashstyle="solid"/>
            </v:shape>
            <v:shape style="position:absolute;left:3284;top:3170;width:3692;height:2110" coordorigin="3284,3171" coordsize="3692,2110" path="m5130,3171l3284,4224,5130,5280,6975,4224,5130,3171xe" filled="false" stroked="true" strokeweight=".75pt" strokecolor="#010101">
              <v:path arrowok="t"/>
              <v:stroke dashstyle="solid"/>
            </v:shape>
            <v:shape style="position:absolute;left:5069;top:5273;width:120;height:574" coordorigin="5070,5273" coordsize="120,574" path="m5122,5727l5070,5727,5130,5847,5176,5753,5127,5753,5122,5751,5122,5727xm5134,5273l5125,5273,5122,5276,5122,5751,5127,5753,5134,5753,5139,5751,5139,5727,5137,5280,5137,5276,5134,5273xm5190,5727l5139,5727,5139,5751,5134,5753,5176,5753,5190,5727xe" filled="true" fillcolor="#010101" stroked="false">
              <v:path arrowok="t"/>
              <v:fill type="solid"/>
            </v:shape>
            <v:shape style="position:absolute;left:3005;top:4159;width:286;height:120" type="#_x0000_t75" stroked="false">
              <v:imagedata r:id="rId310" o:title=""/>
            </v:shape>
            <v:shape style="position:absolute;left:7344;top:3216;width:2955;height:2016" coordorigin="7345,3216" coordsize="2955,2016" path="m8821,3216l7345,4224,8821,5232,10299,4224,8821,3216xe" filled="false" stroked="true" strokeweight=".75pt" strokecolor="#010101">
              <v:path arrowok="t"/>
              <v:stroke dashstyle="solid"/>
            </v:shape>
            <v:shape style="position:absolute;left:6843;top:958;width:2038;height:2259" coordorigin="6843,958" coordsize="2038,2259" path="m8814,3096l8761,3096,8821,3216,8868,3123,8818,3123,8814,3120,8814,3096xm8814,965l8814,3120,8818,3123,8826,3123,8830,3120,8830,972,8821,972,8814,965xm8881,3096l8830,3096,8830,3120,8826,3123,8868,3123,8881,3096xm8826,958l6846,958,6843,960,6843,968,6846,972,8814,972,8814,965,8830,965,8830,960,8826,958xm8830,965l8814,965,8821,972,8830,972,8830,965xe" filled="true" fillcolor="#010101" stroked="false">
              <v:path arrowok="t"/>
              <v:fill type="solid"/>
            </v:shape>
            <v:shape style="position:absolute;left:6975;top:4166;width:377;height:120" type="#_x0000_t75" stroked="false">
              <v:imagedata r:id="rId311" o:title=""/>
            </v:shape>
            <v:shape style="position:absolute;left:8758;top:5225;width:120;height:600" coordorigin="8758,5225" coordsize="120,600" path="m8758,5703l8816,5825,8865,5732,8814,5732,8811,5729,8811,5704,8758,5703xm8811,5704l8811,5729,8814,5732,8821,5732,8826,5729,8826,5704,8811,5704xm8826,5704l8826,5729,8821,5732,8865,5732,8878,5705,8826,5704xm8826,5225l8818,5225,8814,5230,8811,5704,8826,5704,8830,5232,8830,5230,8826,5225xe" filled="true" fillcolor="#010101" stroked="false">
              <v:path arrowok="t"/>
              <v:fill type="solid"/>
            </v:shape>
            <v:shape style="position:absolute;left:6680;top:593;width:581;height:267" coordorigin="6680,593" coordsize="581,267" path="m7230,593l6714,593,6700,596,6690,603,6683,613,6680,627,6680,826,6683,839,6690,850,6700,857,6714,860,7230,860,7242,857,7252,850,7258,839,7261,826,7261,627,7258,613,7252,603,7242,596,7230,593xe" filled="true" fillcolor="#ffffff" stroked="false">
              <v:path arrowok="t"/>
              <v:fill type="solid"/>
            </v:shape>
            <v:shape style="position:absolute;left:5232;top:1680;width:543;height:360" coordorigin="5233,1680" coordsize="543,360" path="m5730,1680l5276,1680,5259,1684,5245,1693,5236,1707,5233,1724,5233,1997,5236,2014,5245,2028,5259,2037,5276,2040,5730,2040,5748,2037,5762,2028,5772,2014,5775,1997,5775,1724,5772,1707,5762,1693,5748,1684,5730,1680xe" filled="true" fillcolor="#ffffff" stroked="false">
              <v:path arrowok="t"/>
              <v:fill type="solid"/>
            </v:shape>
            <v:shape style="position:absolute;left:5072;top:1690;width:120;height:351" type="#_x0000_t75" stroked="false">
              <v:imagedata r:id="rId312" o:title=""/>
            </v:shape>
            <v:shape style="position:absolute;left:5069;top:2887;width:120;height:284" type="#_x0000_t75" stroked="false">
              <v:imagedata r:id="rId313" o:title=""/>
            </v:shape>
            <v:shape style="position:absolute;left:2290;top:4567;width:2835;height:972" coordorigin="2290,4568" coordsize="2835,972" path="m5005,5420l5005,5540,5110,5487,5029,5487,5034,5484,5034,5475,5029,5472,5110,5472,5005,5420xm2300,4568l2293,4568,2290,4570,2290,5484,2293,5487,5005,5487,5005,5480,2305,5480,2298,5472,2305,5472,2305,4570,2300,4568xm5110,5472l5029,5472,5034,5475,5034,5484,5029,5487,5110,5487,5125,5480,5110,5472xm2305,5472l2298,5472,2305,5480,2305,5472xm5005,5472l2305,5472,2305,5480,5005,5480,5005,5472xe" filled="true" fillcolor="#010101" stroked="false">
              <v:path arrowok="t"/>
              <v:fill type="solid"/>
            </v:shape>
            <v:rect style="position:absolute;left:3912;top:5827;width:2434;height:545" filled="true" fillcolor="#ffffff" stroked="false">
              <v:fill type="solid"/>
            </v:rect>
            <v:shape style="position:absolute;left:4040;top:528;width:2220;height:910" type="#_x0000_t202" filled="false" stroked="false">
              <v:textbox inset="0,0,0,0">
                <w:txbxContent>
                  <w:p>
                    <w:pPr>
                      <w:spacing w:line="220" w:lineRule="exact" w:before="0"/>
                      <w:ind w:left="686" w:right="0" w:firstLine="0"/>
                      <w:jc w:val="left"/>
                      <w:rPr>
                        <w:sz w:val="20"/>
                      </w:rPr>
                    </w:pPr>
                    <w:r>
                      <w:rPr>
                        <w:sz w:val="20"/>
                      </w:rPr>
                      <w:t>Does</w:t>
                    </w:r>
                    <w:r>
                      <w:rPr>
                        <w:spacing w:val="-6"/>
                        <w:sz w:val="20"/>
                      </w:rPr>
                      <w:t> </w:t>
                    </w:r>
                    <w:r>
                      <w:rPr>
                        <w:sz w:val="20"/>
                      </w:rPr>
                      <w:t>your</w:t>
                    </w:r>
                  </w:p>
                  <w:p>
                    <w:pPr>
                      <w:spacing w:before="0"/>
                      <w:ind w:left="-1" w:right="18" w:firstLine="0"/>
                      <w:jc w:val="center"/>
                      <w:rPr>
                        <w:sz w:val="20"/>
                      </w:rPr>
                    </w:pPr>
                    <w:r>
                      <w:rPr>
                        <w:sz w:val="20"/>
                      </w:rPr>
                      <w:t>country use Approach 3</w:t>
                    </w:r>
                    <w:r>
                      <w:rPr>
                        <w:spacing w:val="-13"/>
                        <w:sz w:val="20"/>
                      </w:rPr>
                      <w:t> </w:t>
                    </w:r>
                    <w:r>
                      <w:rPr>
                        <w:sz w:val="20"/>
                      </w:rPr>
                      <w:t>for national UNFCCC reporting?</w:t>
                    </w:r>
                  </w:p>
                </w:txbxContent>
              </v:textbox>
              <w10:wrap type="none"/>
            </v:shape>
            <v:shape style="position:absolute;left:6804;top:619;width:331;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5357;top:1709;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3188;top:4430;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3905;top:3586;width:2492;height:1138" type="#_x0000_t202" filled="false" stroked="false">
              <v:textbox inset="0,0,0,0">
                <w:txbxContent>
                  <w:p>
                    <w:pPr>
                      <w:spacing w:line="237" w:lineRule="auto" w:before="0"/>
                      <w:ind w:left="191" w:right="192" w:firstLine="686"/>
                      <w:jc w:val="left"/>
                      <w:rPr>
                        <w:sz w:val="20"/>
                      </w:rPr>
                    </w:pPr>
                    <w:r>
                      <w:rPr>
                        <w:sz w:val="20"/>
                      </w:rPr>
                      <w:t>Is spatial information of boundaries</w:t>
                    </w:r>
                  </w:p>
                  <w:p>
                    <w:pPr>
                      <w:spacing w:before="0"/>
                      <w:ind w:left="0" w:right="18" w:hanging="1"/>
                      <w:jc w:val="center"/>
                      <w:rPr>
                        <w:sz w:val="20"/>
                      </w:rPr>
                    </w:pPr>
                    <w:r>
                      <w:rPr>
                        <w:sz w:val="20"/>
                      </w:rPr>
                      <w:t>encompassing units of land or land under Articles 3.3 and 3.4 available?</w:t>
                    </w:r>
                  </w:p>
                </w:txbxContent>
              </v:textbox>
              <w10:wrap type="none"/>
            </v:shape>
            <v:shape style="position:absolute;left:7352;top:3564;width:2576;height:1140" type="#_x0000_t202" filled="false" stroked="false">
              <v:textbox inset="0,0,0,0">
                <w:txbxContent>
                  <w:p>
                    <w:pPr>
                      <w:spacing w:line="240" w:lineRule="auto" w:before="0"/>
                      <w:ind w:left="633" w:right="88" w:firstLine="381"/>
                      <w:jc w:val="left"/>
                      <w:rPr>
                        <w:sz w:val="20"/>
                      </w:rPr>
                    </w:pPr>
                    <w:r>
                      <w:rPr>
                        <w:sz w:val="20"/>
                      </w:rPr>
                      <w:t>Is fine-scale spatial information</w:t>
                    </w:r>
                    <w:r>
                      <w:rPr>
                        <w:spacing w:val="-5"/>
                        <w:sz w:val="20"/>
                      </w:rPr>
                      <w:t> </w:t>
                    </w:r>
                    <w:r>
                      <w:rPr>
                        <w:spacing w:val="-10"/>
                        <w:sz w:val="20"/>
                      </w:rPr>
                      <w:t>of</w:t>
                    </w:r>
                  </w:p>
                  <w:p>
                    <w:pPr>
                      <w:spacing w:before="0"/>
                      <w:ind w:left="712" w:right="14" w:hanging="272"/>
                      <w:jc w:val="left"/>
                      <w:rPr>
                        <w:sz w:val="20"/>
                      </w:rPr>
                    </w:pPr>
                    <w:r>
                      <w:rPr>
                        <w:sz w:val="20"/>
                      </w:rPr>
                      <w:t>units of land or land</w:t>
                    </w:r>
                    <w:r>
                      <w:rPr>
                        <w:spacing w:val="-15"/>
                        <w:sz w:val="20"/>
                      </w:rPr>
                      <w:t> </w:t>
                    </w:r>
                    <w:r>
                      <w:rPr>
                        <w:sz w:val="20"/>
                      </w:rPr>
                      <w:t>under Articles 3.3 and</w:t>
                    </w:r>
                    <w:r>
                      <w:rPr>
                        <w:spacing w:val="-4"/>
                        <w:sz w:val="20"/>
                      </w:rPr>
                      <w:t> </w:t>
                    </w:r>
                    <w:r>
                      <w:rPr>
                        <w:sz w:val="20"/>
                      </w:rPr>
                      <w:t>3.4</w:t>
                    </w:r>
                  </w:p>
                  <w:p>
                    <w:pPr>
                      <w:tabs>
                        <w:tab w:pos="1094" w:val="left" w:leader="none"/>
                      </w:tabs>
                      <w:spacing w:line="228" w:lineRule="exact" w:before="0"/>
                      <w:ind w:left="0" w:right="0" w:firstLine="0"/>
                      <w:jc w:val="left"/>
                      <w:rPr>
                        <w:sz w:val="20"/>
                      </w:rPr>
                    </w:pPr>
                    <w:r>
                      <w:rPr>
                        <w:position w:val="5"/>
                        <w:sz w:val="20"/>
                      </w:rPr>
                      <w:t>No</w:t>
                      <w:tab/>
                    </w:r>
                    <w:r>
                      <w:rPr>
                        <w:sz w:val="20"/>
                      </w:rPr>
                      <w:t>available?</w:t>
                    </w:r>
                  </w:p>
                </w:txbxContent>
              </v:textbox>
              <w10:wrap type="none"/>
            </v:shape>
            <v:shape style="position:absolute;left:5364;top:5335;width:331;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9116;top:5258;width:331;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7656;top:5827;width:2300;height:548" type="#_x0000_t202" filled="false" stroked="true" strokeweight="1.5pt" strokecolor="#010101">
              <v:textbox inset="0,0,0,0">
                <w:txbxContent>
                  <w:p>
                    <w:pPr>
                      <w:spacing w:before="144"/>
                      <w:ind w:left="140" w:right="0" w:firstLine="0"/>
                      <w:jc w:val="left"/>
                      <w:rPr>
                        <w:sz w:val="20"/>
                      </w:rPr>
                    </w:pPr>
                    <w:r>
                      <w:rPr>
                        <w:sz w:val="20"/>
                      </w:rPr>
                      <w:t>Use Reporting Method 2</w:t>
                    </w:r>
                  </w:p>
                </w:txbxContent>
              </v:textbox>
              <v:stroke dashstyle="solid"/>
              <w10:wrap type="none"/>
            </v:shape>
            <v:shape style="position:absolute;left:3912;top:5827;width:2434;height:548" type="#_x0000_t202" filled="false" stroked="true" strokeweight="1.5pt" strokecolor="#010101">
              <v:textbox inset="0,0,0,0">
                <w:txbxContent>
                  <w:p>
                    <w:pPr>
                      <w:spacing w:before="144"/>
                      <w:ind w:left="210" w:right="0" w:firstLine="0"/>
                      <w:jc w:val="left"/>
                      <w:rPr>
                        <w:sz w:val="20"/>
                      </w:rPr>
                    </w:pPr>
                    <w:r>
                      <w:rPr>
                        <w:sz w:val="20"/>
                      </w:rPr>
                      <w:t>Use Reporting Method 1</w:t>
                    </w:r>
                  </w:p>
                </w:txbxContent>
              </v:textbox>
              <v:stroke dashstyle="solid"/>
              <w10:wrap type="none"/>
            </v:shape>
            <v:shape style="position:absolute;left:1431;top:3852;width:1575;height:723" type="#_x0000_t202" filled="false" stroked="true" strokeweight=".75pt" strokecolor="#010101">
              <v:textbox inset="0,0,0,0">
                <w:txbxContent>
                  <w:p>
                    <w:pPr>
                      <w:spacing w:before="7"/>
                      <w:ind w:left="196" w:right="154" w:hanging="41"/>
                      <w:jc w:val="both"/>
                      <w:rPr>
                        <w:sz w:val="20"/>
                      </w:rPr>
                    </w:pPr>
                    <w:r>
                      <w:rPr>
                        <w:sz w:val="20"/>
                      </w:rPr>
                      <w:t>Develop spatial information of the boundaries</w:t>
                    </w:r>
                  </w:p>
                </w:txbxContent>
              </v:textbox>
              <v:stroke dashstyle="solid"/>
              <w10:wrap type="none"/>
            </v:shape>
            <v:shape style="position:absolute;left:3653;top:2040;width:2952;height:855" type="#_x0000_t202" filled="false" stroked="true" strokeweight=".75pt" strokecolor="#010101">
              <v:textbox inset="0,0,0,0">
                <w:txbxContent>
                  <w:p>
                    <w:pPr>
                      <w:spacing w:before="53"/>
                      <w:ind w:left="330" w:right="327" w:hanging="2"/>
                      <w:jc w:val="center"/>
                      <w:rPr>
                        <w:sz w:val="20"/>
                      </w:rPr>
                    </w:pPr>
                    <w:r>
                      <w:rPr>
                        <w:sz w:val="20"/>
                      </w:rPr>
                      <w:t>Develop additional spatial information by re-compiling detailed inventory database</w:t>
                    </w:r>
                  </w:p>
                </w:txbxContent>
              </v:textbox>
              <v:stroke dashstyle="solid"/>
              <w10:wrap type="none"/>
            </v:shape>
            <w10:wrap type="topAndBottom"/>
          </v:group>
        </w:pict>
      </w:r>
    </w:p>
    <w:p>
      <w:pPr>
        <w:pStyle w:val="BodyText"/>
        <w:spacing w:before="5"/>
        <w:rPr>
          <w:b/>
          <w:sz w:val="22"/>
        </w:rPr>
      </w:pPr>
    </w:p>
    <w:p>
      <w:pPr>
        <w:pStyle w:val="BodyText"/>
        <w:spacing w:before="1"/>
        <w:ind w:left="159" w:right="165"/>
        <w:jc w:val="both"/>
      </w:pPr>
      <w:r>
        <w:rPr/>
        <w:t>When using Method 1 it is usually </w:t>
      </w:r>
      <w:r>
        <w:rPr>
          <w:i/>
        </w:rPr>
        <w:t>good practice </w:t>
      </w:r>
      <w:r>
        <w:rPr/>
        <w:t>to use the same geographical boundaries for all activities. This will greatly facilitate the identification, quantification, and reporting of land-use changes. However, national circumstances may provide justification for different choices of geographic boundaries for different activities. For example, different geographic boundaries may be chosen so as to reduce the variance of estimates for one activity within a given boundary. When a Party uses more than one set of geographic boundaries (i.e., more than one</w:t>
      </w:r>
      <w:r>
        <w:rPr>
          <w:spacing w:val="10"/>
        </w:rPr>
        <w:t> </w:t>
      </w:r>
      <w:r>
        <w:rPr/>
        <w:t>stratification</w:t>
      </w:r>
      <w:r>
        <w:rPr>
          <w:spacing w:val="10"/>
        </w:rPr>
        <w:t> </w:t>
      </w:r>
      <w:r>
        <w:rPr/>
        <w:t>system</w:t>
      </w:r>
      <w:r>
        <w:rPr>
          <w:spacing w:val="10"/>
        </w:rPr>
        <w:t> </w:t>
      </w:r>
      <w:r>
        <w:rPr/>
        <w:t>is</w:t>
      </w:r>
      <w:r>
        <w:rPr>
          <w:spacing w:val="13"/>
        </w:rPr>
        <w:t> </w:t>
      </w:r>
      <w:r>
        <w:rPr/>
        <w:t>used),</w:t>
      </w:r>
      <w:r>
        <w:rPr>
          <w:spacing w:val="11"/>
        </w:rPr>
        <w:t> </w:t>
      </w:r>
      <w:r>
        <w:rPr/>
        <w:t>lands</w:t>
      </w:r>
      <w:r>
        <w:rPr>
          <w:spacing w:val="11"/>
        </w:rPr>
        <w:t> </w:t>
      </w:r>
      <w:r>
        <w:rPr/>
        <w:t>or</w:t>
      </w:r>
      <w:r>
        <w:rPr>
          <w:spacing w:val="9"/>
        </w:rPr>
        <w:t> </w:t>
      </w:r>
      <w:r>
        <w:rPr/>
        <w:t>units</w:t>
      </w:r>
      <w:r>
        <w:rPr>
          <w:spacing w:val="11"/>
        </w:rPr>
        <w:t> </w:t>
      </w:r>
      <w:r>
        <w:rPr/>
        <w:t>of</w:t>
      </w:r>
      <w:r>
        <w:rPr>
          <w:spacing w:val="10"/>
        </w:rPr>
        <w:t> </w:t>
      </w:r>
      <w:r>
        <w:rPr/>
        <w:t>land</w:t>
      </w:r>
      <w:r>
        <w:rPr>
          <w:spacing w:val="12"/>
        </w:rPr>
        <w:t> </w:t>
      </w:r>
      <w:r>
        <w:rPr/>
        <w:t>subject</w:t>
      </w:r>
      <w:r>
        <w:rPr>
          <w:spacing w:val="11"/>
        </w:rPr>
        <w:t> </w:t>
      </w:r>
      <w:r>
        <w:rPr/>
        <w:t>to</w:t>
      </w:r>
      <w:r>
        <w:rPr>
          <w:spacing w:val="10"/>
        </w:rPr>
        <w:t> </w:t>
      </w:r>
      <w:r>
        <w:rPr/>
        <w:t>Article</w:t>
      </w:r>
      <w:r>
        <w:rPr>
          <w:spacing w:val="10"/>
        </w:rPr>
        <w:t> </w:t>
      </w:r>
      <w:r>
        <w:rPr/>
        <w:t>3.3</w:t>
      </w:r>
      <w:r>
        <w:rPr>
          <w:spacing w:val="13"/>
        </w:rPr>
        <w:t> </w:t>
      </w:r>
      <w:r>
        <w:rPr/>
        <w:t>or</w:t>
      </w:r>
      <w:r>
        <w:rPr>
          <w:spacing w:val="12"/>
        </w:rPr>
        <w:t> </w:t>
      </w:r>
      <w:r>
        <w:rPr/>
        <w:t>3.4</w:t>
      </w:r>
      <w:r>
        <w:rPr>
          <w:spacing w:val="12"/>
        </w:rPr>
        <w:t> </w:t>
      </w:r>
      <w:r>
        <w:rPr/>
        <w:t>activities</w:t>
      </w:r>
      <w:r>
        <w:rPr>
          <w:spacing w:val="11"/>
        </w:rPr>
        <w:t> </w:t>
      </w:r>
      <w:r>
        <w:rPr/>
        <w:t>that</w:t>
      </w:r>
      <w:r>
        <w:rPr>
          <w:spacing w:val="13"/>
        </w:rPr>
        <w:t> </w:t>
      </w:r>
      <w:r>
        <w:rPr/>
        <w:t>moved</w:t>
      </w:r>
      <w:r>
        <w:rPr>
          <w:spacing w:val="13"/>
        </w:rPr>
        <w:t> </w:t>
      </w:r>
      <w:r>
        <w:rPr/>
        <w:t>from</w:t>
      </w:r>
    </w:p>
    <w:p>
      <w:pPr>
        <w:spacing w:after="0"/>
        <w:jc w:val="both"/>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5"/>
        <w:jc w:val="both"/>
      </w:pPr>
      <w:r>
        <w:rPr/>
        <w:t>one category to another must be appropriately assigned to the correct geographical boundary. This might require proportional allocation of the units of land to each stratification system in use.</w:t>
      </w:r>
    </w:p>
    <w:p>
      <w:pPr>
        <w:pStyle w:val="BodyText"/>
        <w:rPr>
          <w:sz w:val="22"/>
        </w:rPr>
      </w:pPr>
    </w:p>
    <w:p>
      <w:pPr>
        <w:pStyle w:val="Heading6"/>
        <w:numPr>
          <w:ilvl w:val="3"/>
          <w:numId w:val="127"/>
        </w:numPr>
        <w:tabs>
          <w:tab w:pos="1600" w:val="left" w:leader="none"/>
        </w:tabs>
        <w:spacing w:line="240" w:lineRule="auto" w:before="146" w:after="0"/>
        <w:ind w:left="1599" w:right="0" w:hanging="1440"/>
        <w:jc w:val="both"/>
      </w:pPr>
      <w:r>
        <w:rPr>
          <w:spacing w:val="13"/>
          <w:sz w:val="28"/>
        </w:rPr>
        <w:t>H</w:t>
      </w:r>
      <w:r>
        <w:rPr>
          <w:spacing w:val="13"/>
        </w:rPr>
        <w:t>OW </w:t>
      </w:r>
      <w:r>
        <w:rPr>
          <w:spacing w:val="9"/>
        </w:rPr>
        <w:t>TO </w:t>
      </w:r>
      <w:r>
        <w:rPr>
          <w:spacing w:val="16"/>
        </w:rPr>
        <w:t>IDENTIFY </w:t>
      </w:r>
      <w:r>
        <w:rPr>
          <w:spacing w:val="15"/>
        </w:rPr>
        <w:t>LANDS </w:t>
      </w:r>
      <w:r>
        <w:rPr>
          <w:spacing w:val="16"/>
          <w:sz w:val="28"/>
        </w:rPr>
        <w:t>(</w:t>
      </w:r>
      <w:r>
        <w:rPr>
          <w:spacing w:val="16"/>
        </w:rPr>
        <w:t>UNITS </w:t>
      </w:r>
      <w:r>
        <w:rPr>
          <w:spacing w:val="10"/>
        </w:rPr>
        <w:t>OF </w:t>
      </w:r>
      <w:r>
        <w:rPr>
          <w:spacing w:val="14"/>
        </w:rPr>
        <w:t>LAND</w:t>
      </w:r>
      <w:r>
        <w:rPr>
          <w:spacing w:val="14"/>
          <w:sz w:val="28"/>
        </w:rPr>
        <w:t>) </w:t>
      </w:r>
      <w:r>
        <w:rPr>
          <w:spacing w:val="11"/>
        </w:rPr>
        <w:t>IN</w:t>
      </w:r>
      <w:r>
        <w:rPr>
          <w:spacing w:val="20"/>
        </w:rPr>
        <w:t> </w:t>
      </w:r>
      <w:r>
        <w:rPr>
          <w:spacing w:val="16"/>
        </w:rPr>
        <w:t>GENERAL</w:t>
      </w:r>
    </w:p>
    <w:p>
      <w:pPr>
        <w:pStyle w:val="ListParagraph"/>
        <w:numPr>
          <w:ilvl w:val="4"/>
          <w:numId w:val="127"/>
        </w:numPr>
        <w:tabs>
          <w:tab w:pos="1311" w:val="left" w:leader="none"/>
          <w:tab w:pos="1312" w:val="left" w:leader="none"/>
        </w:tabs>
        <w:spacing w:line="240" w:lineRule="auto" w:before="243" w:after="0"/>
        <w:ind w:left="1311" w:right="186" w:hanging="1152"/>
        <w:jc w:val="left"/>
        <w:rPr>
          <w:b/>
          <w:sz w:val="22"/>
        </w:rPr>
      </w:pPr>
      <w:r>
        <w:rPr>
          <w:b/>
          <w:sz w:val="22"/>
        </w:rPr>
        <w:t>1</w:t>
        <w:tab/>
      </w:r>
      <w:r>
        <w:rPr>
          <w:b/>
          <w:spacing w:val="16"/>
          <w:sz w:val="22"/>
        </w:rPr>
        <w:t>SPATIAL </w:t>
      </w:r>
      <w:r>
        <w:rPr>
          <w:b/>
          <w:spacing w:val="17"/>
          <w:sz w:val="22"/>
        </w:rPr>
        <w:t>CONFIGURATION </w:t>
      </w:r>
      <w:r>
        <w:rPr>
          <w:b/>
          <w:spacing w:val="10"/>
          <w:sz w:val="22"/>
        </w:rPr>
        <w:t>OF </w:t>
      </w:r>
      <w:r>
        <w:rPr>
          <w:b/>
          <w:spacing w:val="16"/>
          <w:sz w:val="22"/>
        </w:rPr>
        <w:t>FORESTS </w:t>
      </w:r>
      <w:r>
        <w:rPr>
          <w:b/>
          <w:spacing w:val="12"/>
          <w:sz w:val="22"/>
        </w:rPr>
        <w:t>AND </w:t>
      </w:r>
      <w:r>
        <w:rPr>
          <w:b/>
          <w:spacing w:val="19"/>
          <w:sz w:val="22"/>
        </w:rPr>
        <w:t>AFFORESTATION, </w:t>
      </w:r>
      <w:r>
        <w:rPr>
          <w:b/>
          <w:spacing w:val="17"/>
          <w:sz w:val="22"/>
        </w:rPr>
        <w:t>REFORESTATION </w:t>
      </w:r>
      <w:r>
        <w:rPr>
          <w:b/>
          <w:spacing w:val="11"/>
          <w:sz w:val="22"/>
        </w:rPr>
        <w:t>OR </w:t>
      </w:r>
      <w:r>
        <w:rPr>
          <w:b/>
          <w:spacing w:val="17"/>
          <w:sz w:val="22"/>
        </w:rPr>
        <w:t>DEFORESTATION</w:t>
      </w:r>
      <w:r>
        <w:rPr>
          <w:b/>
          <w:spacing w:val="23"/>
          <w:sz w:val="22"/>
        </w:rPr>
        <w:t> </w:t>
      </w:r>
      <w:r>
        <w:rPr>
          <w:b/>
          <w:spacing w:val="18"/>
          <w:sz w:val="22"/>
        </w:rPr>
        <w:t>EVENTS</w:t>
      </w:r>
    </w:p>
    <w:p>
      <w:pPr>
        <w:pStyle w:val="BodyText"/>
        <w:spacing w:before="209"/>
        <w:ind w:left="159" w:right="163"/>
        <w:jc w:val="both"/>
      </w:pPr>
      <w:r>
        <w:rPr/>
        <w:t>The Marrakesh Accords specify that each Annex I Party to the Kyoto Protocol must choose country-specific parameters within the definition of forest as an integral part of their Kyoto Protocol reporting. The latest possible date to do that is 31 December 2006, or one year after the entry into force of the Kyoto Protocol for that Party, whichever is later</w:t>
      </w:r>
      <w:r>
        <w:rPr>
          <w:vertAlign w:val="superscript"/>
        </w:rPr>
        <w:t>24</w:t>
      </w:r>
      <w:r>
        <w:rPr>
          <w:vertAlign w:val="baseline"/>
        </w:rPr>
        <w:t>. This requires selecting values for the following three parameters: the size of the minimum area of land that can constitute a forest, ranging between 0.05 and 1 ha, and parameters for crown cover (10 – 30%) and tree height at maturity (2 – 5 m). The parameter for the minimum area of land that constitutes a forest does also specify the minimum area on which afforestation/reforestation or deforestation events occur. Thus a country that selects, say 0.5 ha as the minimum area of forest land, must also identify all deforestation events  that occur on lands that are 0.5 ha or larger. The identification of units of land on which land-use changes occur, such as deforestation, requires the detection of a reduction in forest cover from above to below the country- specific threshold of forest, accompanied by a change in</w:t>
      </w:r>
      <w:r>
        <w:rPr>
          <w:spacing w:val="-7"/>
          <w:vertAlign w:val="baseline"/>
        </w:rPr>
        <w:t> </w:t>
      </w:r>
      <w:r>
        <w:rPr>
          <w:vertAlign w:val="baseline"/>
        </w:rPr>
        <w:t>land-use.</w:t>
      </w:r>
    </w:p>
    <w:p>
      <w:pPr>
        <w:pStyle w:val="BodyText"/>
        <w:spacing w:before="117"/>
        <w:ind w:left="159" w:right="164"/>
        <w:jc w:val="both"/>
      </w:pPr>
      <w:r>
        <w:rPr/>
        <w:t>The Marrakesh Accords do not specify the shape of areas, neither for forest, nor for those areas on which afforestation, reforestation or deforestation events occur. Square areas that meet the size range of the Marrakesh Accords would be 22.36 m (0.05 ha) to 100 m (1 ha) on each side. But a rectangle that is 10 m wide and 1,000 m long is also 1 ha in area, as is a 5 m wide and 2,000 m long rectangle. Therefore, a treed shelterbelt or any other strip of trees that exceeds these sizes could be considered a forest. But if such “linear forests” are included in a Party’s definition of forest, it is </w:t>
      </w:r>
      <w:r>
        <w:rPr>
          <w:i/>
        </w:rPr>
        <w:t>good practice </w:t>
      </w:r>
      <w:r>
        <w:rPr/>
        <w:t>to also consider as non-forest any areas being cleared from trees by "linear deforestation events", such as roads, transmission right-of-ways, or pipeline corridors. When such corridors</w:t>
      </w:r>
      <w:r>
        <w:rPr>
          <w:spacing w:val="-4"/>
        </w:rPr>
        <w:t> </w:t>
      </w:r>
      <w:r>
        <w:rPr/>
        <w:t>have</w:t>
      </w:r>
      <w:r>
        <w:rPr>
          <w:spacing w:val="-3"/>
        </w:rPr>
        <w:t> </w:t>
      </w:r>
      <w:r>
        <w:rPr/>
        <w:t>resulted</w:t>
      </w:r>
      <w:r>
        <w:rPr>
          <w:spacing w:val="-2"/>
        </w:rPr>
        <w:t> </w:t>
      </w:r>
      <w:r>
        <w:rPr/>
        <w:t>from</w:t>
      </w:r>
      <w:r>
        <w:rPr>
          <w:spacing w:val="-6"/>
        </w:rPr>
        <w:t> </w:t>
      </w:r>
      <w:r>
        <w:rPr/>
        <w:t>cuts</w:t>
      </w:r>
      <w:r>
        <w:rPr>
          <w:spacing w:val="-1"/>
        </w:rPr>
        <w:t> </w:t>
      </w:r>
      <w:r>
        <w:rPr/>
        <w:t>since</w:t>
      </w:r>
      <w:r>
        <w:rPr>
          <w:spacing w:val="-2"/>
        </w:rPr>
        <w:t> </w:t>
      </w:r>
      <w:r>
        <w:rPr/>
        <w:t>1990,</w:t>
      </w:r>
      <w:r>
        <w:rPr>
          <w:spacing w:val="-2"/>
        </w:rPr>
        <w:t> </w:t>
      </w:r>
      <w:r>
        <w:rPr/>
        <w:t>they</w:t>
      </w:r>
      <w:r>
        <w:rPr>
          <w:spacing w:val="-7"/>
        </w:rPr>
        <w:t> </w:t>
      </w:r>
      <w:r>
        <w:rPr/>
        <w:t>should</w:t>
      </w:r>
      <w:r>
        <w:rPr>
          <w:spacing w:val="-1"/>
        </w:rPr>
        <w:t> </w:t>
      </w:r>
      <w:r>
        <w:rPr/>
        <w:t>be treated</w:t>
      </w:r>
      <w:r>
        <w:rPr>
          <w:spacing w:val="-2"/>
        </w:rPr>
        <w:t> </w:t>
      </w:r>
      <w:r>
        <w:rPr/>
        <w:t>as</w:t>
      </w:r>
      <w:r>
        <w:rPr>
          <w:spacing w:val="-4"/>
        </w:rPr>
        <w:t> </w:t>
      </w:r>
      <w:r>
        <w:rPr/>
        <w:t>deforestation</w:t>
      </w:r>
      <w:r>
        <w:rPr>
          <w:spacing w:val="-4"/>
        </w:rPr>
        <w:t> </w:t>
      </w:r>
      <w:r>
        <w:rPr/>
        <w:t>events</w:t>
      </w:r>
      <w:r>
        <w:rPr>
          <w:spacing w:val="-3"/>
        </w:rPr>
        <w:t> </w:t>
      </w:r>
      <w:r>
        <w:rPr/>
        <w:t>under</w:t>
      </w:r>
      <w:r>
        <w:rPr>
          <w:spacing w:val="-2"/>
        </w:rPr>
        <w:t> </w:t>
      </w:r>
      <w:r>
        <w:rPr/>
        <w:t>Article</w:t>
      </w:r>
      <w:r>
        <w:rPr>
          <w:spacing w:val="-3"/>
        </w:rPr>
        <w:t> </w:t>
      </w:r>
      <w:r>
        <w:rPr/>
        <w:t>3.3.</w:t>
      </w:r>
    </w:p>
    <w:p>
      <w:pPr>
        <w:pStyle w:val="BodyText"/>
        <w:spacing w:before="119"/>
        <w:ind w:left="159" w:right="162"/>
        <w:jc w:val="both"/>
      </w:pPr>
      <w:r>
        <w:rPr/>
        <w:t>For example, if a country selects 1 ha as the minimum area of forests and afforestation, reforestation or deforestation events, and further specifies that these areas are square, then a 20 m wide corridor cut through a forest with 100% canopy closure, will reduce canopy closure to 80%. This is higher than the range of canopy closures (10 – 30%) that could be selected by a Party. Therefore the residual area is defined as forest, and even when this corridor through the forest is cut since 1990, it would not constitute a deforestation event. If this  "only" 20 m wide corridor is part of a long corridor, which streches for many kilometers, such as a transmission right-of-way or a pipeline corridor, the total corridor area is much greater than 1 ha. Therefore the definitional criteria applied to specify the shape of the forests and of the areas subject to afforestation, reforestation or deforestation events can have a large impact on the amount of land reported under Article</w:t>
      </w:r>
      <w:r>
        <w:rPr>
          <w:spacing w:val="-9"/>
        </w:rPr>
        <w:t> </w:t>
      </w:r>
      <w:r>
        <w:rPr/>
        <w:t>3.3.</w:t>
      </w:r>
    </w:p>
    <w:p>
      <w:pPr>
        <w:pStyle w:val="BodyText"/>
        <w:spacing w:before="119"/>
        <w:ind w:left="159" w:right="162"/>
        <w:jc w:val="both"/>
      </w:pPr>
      <w:r>
        <w:rPr/>
        <w:t>It is therefore </w:t>
      </w:r>
      <w:r>
        <w:rPr>
          <w:i/>
        </w:rPr>
        <w:t>good practice </w:t>
      </w:r>
      <w:r>
        <w:rPr/>
        <w:t>for countries to include, with their report on the choice of forest definitions, a description of the definitional criteria which are used to identify forests and areas on which afforestation, reforestation or deforestation events occur. It is also </w:t>
      </w:r>
      <w:r>
        <w:rPr>
          <w:i/>
        </w:rPr>
        <w:t>good practice </w:t>
      </w:r>
      <w:r>
        <w:rPr/>
        <w:t>to apply these criteria consistently to the identification of both deforestation and afforestation or reforestation events that have occurred since 1990. For instance, these criteria can simply be defined as the minimum width that will be accepted for a forest and an area subject to an afforestation, reforestation or deforestation event. Then the minimum length of the area follows from the combination of width and the chosen parameter for minimum area which can constitute a forest. For example, if the size were defined as 1 ha, with a minimum width of 20 m, then a rectangle of minimum width has to be at least 500 m long to meet the 1 ha size</w:t>
      </w:r>
      <w:r>
        <w:rPr>
          <w:spacing w:val="-5"/>
        </w:rPr>
        <w:t> </w:t>
      </w:r>
      <w:r>
        <w:rPr/>
        <w:t>requirement.</w:t>
      </w:r>
    </w:p>
    <w:p>
      <w:pPr>
        <w:pStyle w:val="BodyText"/>
        <w:spacing w:before="118"/>
        <w:ind w:left="159" w:right="164"/>
        <w:jc w:val="both"/>
      </w:pPr>
      <w:r>
        <w:rPr/>
        <w:t>"Linear deforestation events" narrower than the selected minimum width criteria can contribute to reported carbon stock changes if they occur within lands subject to FM activities, given the Party has elected FM as Article 3.4 activity. Similarly, shelterbelts that are narrower than the selected minimum width criteria can also contribute to reported carbon stock changes, if these shelterbelts are within lands subject to cropland management, grazing land management, or revegetation activities, given the Party has elected the respective Article 3.4 activity.</w:t>
      </w:r>
    </w:p>
    <w:p>
      <w:pPr>
        <w:pStyle w:val="BodyText"/>
      </w:pPr>
    </w:p>
    <w:p>
      <w:pPr>
        <w:pStyle w:val="BodyText"/>
      </w:pPr>
    </w:p>
    <w:p>
      <w:pPr>
        <w:pStyle w:val="BodyText"/>
      </w:pPr>
    </w:p>
    <w:p>
      <w:pPr>
        <w:pStyle w:val="BodyText"/>
        <w:rPr>
          <w:sz w:val="19"/>
        </w:rPr>
      </w:pPr>
      <w:r>
        <w:rPr/>
        <w:pict>
          <v:line style="position:absolute;mso-position-horizontal-relative:page;mso-position-vertical-relative:paragraph;z-index:18704;mso-wrap-distance-left:0;mso-wrap-distance-right:0" from="70.960999pt,13.168321pt" to="214.960999pt,13.168321pt" stroked="true" strokeweight=".48pt" strokecolor="#000000">
            <v:stroke dashstyle="solid"/>
            <w10:wrap type="topAndBottom"/>
          </v:line>
        </w:pict>
      </w:r>
    </w:p>
    <w:p>
      <w:pPr>
        <w:spacing w:before="150"/>
        <w:ind w:left="317" w:right="166" w:hanging="159"/>
        <w:jc w:val="both"/>
        <w:rPr>
          <w:sz w:val="18"/>
        </w:rPr>
      </w:pPr>
      <w:r>
        <w:rPr>
          <w:position w:val="8"/>
          <w:sz w:val="12"/>
        </w:rPr>
        <w:t>24 </w:t>
      </w:r>
      <w:r>
        <w:rPr>
          <w:sz w:val="18"/>
        </w:rPr>
        <w:t>See paragraph 16 of the Annex of Draft decision -/CMP.1 (Land use, land-use change and forestry), contained in document FCCC/CP/2001/13/Add.1, p. 61, and paragraph 8 (b) of the Annex to Draft decision -/CMP.1 (Modalities for the accounting of assigned amounts), contained in document FCCC/CP/2001/13/Add.2, p. 59, and also Table</w:t>
      </w:r>
      <w:r>
        <w:rPr>
          <w:spacing w:val="-28"/>
          <w:sz w:val="18"/>
        </w:rPr>
        <w:t> </w:t>
      </w:r>
      <w:r>
        <w:rPr>
          <w:sz w:val="18"/>
        </w:rPr>
        <w:t>4.2.4a.</w:t>
      </w:r>
    </w:p>
    <w:p>
      <w:pPr>
        <w:spacing w:after="0"/>
        <w:jc w:val="both"/>
        <w:rPr>
          <w:sz w:val="18"/>
        </w:rPr>
        <w:sectPr>
          <w:pgSz w:w="11900" w:h="16840"/>
          <w:pgMar w:header="230" w:footer="408" w:top="560" w:bottom="600" w:left="1260" w:right="1240"/>
        </w:sectPr>
      </w:pPr>
    </w:p>
    <w:p>
      <w:pPr>
        <w:pStyle w:val="BodyText"/>
      </w:pPr>
    </w:p>
    <w:p>
      <w:pPr>
        <w:pStyle w:val="BodyText"/>
        <w:rPr>
          <w:sz w:val="19"/>
        </w:rPr>
      </w:pPr>
    </w:p>
    <w:p>
      <w:pPr>
        <w:pStyle w:val="Heading6"/>
        <w:numPr>
          <w:ilvl w:val="4"/>
          <w:numId w:val="127"/>
        </w:numPr>
        <w:tabs>
          <w:tab w:pos="1600" w:val="left" w:leader="none"/>
        </w:tabs>
        <w:spacing w:line="240" w:lineRule="auto" w:before="92" w:after="0"/>
        <w:ind w:left="1599" w:right="0" w:hanging="1440"/>
        <w:jc w:val="both"/>
      </w:pPr>
      <w:r>
        <w:rPr/>
        <w:t>2 </w:t>
      </w:r>
      <w:r>
        <w:rPr>
          <w:spacing w:val="16"/>
        </w:rPr>
        <w:t>SOURCES </w:t>
      </w:r>
      <w:r>
        <w:rPr>
          <w:spacing w:val="10"/>
        </w:rPr>
        <w:t>OF </w:t>
      </w:r>
      <w:r>
        <w:rPr>
          <w:spacing w:val="14"/>
        </w:rPr>
        <w:t>DATA </w:t>
      </w:r>
      <w:r>
        <w:rPr>
          <w:spacing w:val="13"/>
        </w:rPr>
        <w:t>FOR </w:t>
      </w:r>
      <w:r>
        <w:rPr>
          <w:spacing w:val="17"/>
        </w:rPr>
        <w:t>IDENTIFYING</w:t>
      </w:r>
      <w:r>
        <w:rPr>
          <w:spacing w:val="-20"/>
        </w:rPr>
        <w:t> </w:t>
      </w:r>
      <w:r>
        <w:rPr>
          <w:spacing w:val="18"/>
        </w:rPr>
        <w:t>LANDS</w:t>
      </w:r>
    </w:p>
    <w:p>
      <w:pPr>
        <w:pStyle w:val="BodyText"/>
        <w:spacing w:before="210"/>
        <w:ind w:left="159" w:right="166"/>
        <w:jc w:val="both"/>
      </w:pPr>
      <w:r>
        <w:rPr/>
        <w:t>The needs for the reporting of lands subject to activities under Articles 3.3 and 3.4 have been outlined in the previous sections. The data and information available to a country to meet these needs will depend largely on national circumstances. These include the land and forest inventory systems already in place and the additional measures a country chooses to implement in order to meet the reporting requirements.</w:t>
      </w:r>
    </w:p>
    <w:p>
      <w:pPr>
        <w:pStyle w:val="BodyText"/>
        <w:spacing w:before="119"/>
        <w:ind w:left="159"/>
        <w:jc w:val="both"/>
      </w:pPr>
      <w:r>
        <w:rPr/>
        <w:t>In very general terms there are three major options that can be taken to meet the information needs:</w:t>
      </w:r>
    </w:p>
    <w:p>
      <w:pPr>
        <w:pStyle w:val="ListParagraph"/>
        <w:numPr>
          <w:ilvl w:val="0"/>
          <w:numId w:val="117"/>
        </w:numPr>
        <w:tabs>
          <w:tab w:pos="388" w:val="left" w:leader="none"/>
        </w:tabs>
        <w:spacing w:line="240" w:lineRule="auto" w:before="135" w:after="0"/>
        <w:ind w:left="387" w:right="0" w:hanging="228"/>
        <w:jc w:val="both"/>
        <w:rPr>
          <w:sz w:val="20"/>
        </w:rPr>
      </w:pPr>
      <w:r>
        <w:rPr>
          <w:sz w:val="20"/>
        </w:rPr>
        <w:t>To use information from existing land-use and forest inventory</w:t>
      </w:r>
      <w:r>
        <w:rPr>
          <w:spacing w:val="-9"/>
          <w:sz w:val="20"/>
        </w:rPr>
        <w:t> </w:t>
      </w:r>
      <w:r>
        <w:rPr>
          <w:sz w:val="20"/>
        </w:rPr>
        <w:t>systems.</w:t>
      </w:r>
    </w:p>
    <w:p>
      <w:pPr>
        <w:pStyle w:val="ListParagraph"/>
        <w:numPr>
          <w:ilvl w:val="0"/>
          <w:numId w:val="117"/>
        </w:numPr>
        <w:tabs>
          <w:tab w:pos="388" w:val="left" w:leader="none"/>
        </w:tabs>
        <w:spacing w:line="240" w:lineRule="auto" w:before="116" w:after="0"/>
        <w:ind w:left="387" w:right="0" w:hanging="228"/>
        <w:jc w:val="both"/>
        <w:rPr>
          <w:sz w:val="20"/>
        </w:rPr>
      </w:pPr>
      <w:r>
        <w:rPr>
          <w:sz w:val="20"/>
        </w:rPr>
        <w:t>To implement a monitoring and measurement system.</w:t>
      </w:r>
    </w:p>
    <w:p>
      <w:pPr>
        <w:pStyle w:val="ListParagraph"/>
        <w:numPr>
          <w:ilvl w:val="0"/>
          <w:numId w:val="117"/>
        </w:numPr>
        <w:tabs>
          <w:tab w:pos="388" w:val="left" w:leader="none"/>
        </w:tabs>
        <w:spacing w:line="240" w:lineRule="auto" w:before="118" w:after="0"/>
        <w:ind w:left="387" w:right="0" w:hanging="228"/>
        <w:jc w:val="both"/>
        <w:rPr>
          <w:sz w:val="20"/>
        </w:rPr>
      </w:pPr>
      <w:r>
        <w:rPr>
          <w:sz w:val="20"/>
        </w:rPr>
        <w:t>To</w:t>
      </w:r>
      <w:r>
        <w:rPr>
          <w:spacing w:val="-5"/>
          <w:sz w:val="20"/>
        </w:rPr>
        <w:t> </w:t>
      </w:r>
      <w:r>
        <w:rPr>
          <w:sz w:val="20"/>
        </w:rPr>
        <w:t>implement</w:t>
      </w:r>
      <w:r>
        <w:rPr>
          <w:spacing w:val="-3"/>
          <w:sz w:val="20"/>
        </w:rPr>
        <w:t> </w:t>
      </w:r>
      <w:r>
        <w:rPr>
          <w:sz w:val="20"/>
        </w:rPr>
        <w:t>an</w:t>
      </w:r>
      <w:r>
        <w:rPr>
          <w:spacing w:val="-4"/>
          <w:sz w:val="20"/>
        </w:rPr>
        <w:t> </w:t>
      </w:r>
      <w:r>
        <w:rPr>
          <w:sz w:val="20"/>
        </w:rPr>
        <w:t>activity</w:t>
      </w:r>
      <w:r>
        <w:rPr>
          <w:spacing w:val="-6"/>
          <w:sz w:val="20"/>
        </w:rPr>
        <w:t> </w:t>
      </w:r>
      <w:r>
        <w:rPr>
          <w:sz w:val="20"/>
        </w:rPr>
        <w:t>reporting</w:t>
      </w:r>
      <w:r>
        <w:rPr>
          <w:spacing w:val="-3"/>
          <w:sz w:val="20"/>
        </w:rPr>
        <w:t> </w:t>
      </w:r>
      <w:r>
        <w:rPr>
          <w:sz w:val="20"/>
        </w:rPr>
        <w:t>system</w:t>
      </w:r>
      <w:r>
        <w:rPr>
          <w:spacing w:val="-4"/>
          <w:sz w:val="20"/>
        </w:rPr>
        <w:t> </w:t>
      </w:r>
      <w:r>
        <w:rPr>
          <w:sz w:val="20"/>
        </w:rPr>
        <w:t>that</w:t>
      </w:r>
      <w:r>
        <w:rPr>
          <w:spacing w:val="-3"/>
          <w:sz w:val="20"/>
        </w:rPr>
        <w:t> </w:t>
      </w:r>
      <w:r>
        <w:rPr>
          <w:sz w:val="20"/>
        </w:rPr>
        <w:t>includes</w:t>
      </w:r>
      <w:r>
        <w:rPr>
          <w:spacing w:val="-1"/>
          <w:sz w:val="20"/>
        </w:rPr>
        <w:t> </w:t>
      </w:r>
      <w:r>
        <w:rPr>
          <w:sz w:val="20"/>
        </w:rPr>
        <w:t>verification</w:t>
      </w:r>
      <w:r>
        <w:rPr>
          <w:spacing w:val="-4"/>
          <w:sz w:val="20"/>
        </w:rPr>
        <w:t> </w:t>
      </w:r>
      <w:r>
        <w:rPr>
          <w:sz w:val="20"/>
        </w:rPr>
        <w:t>and</w:t>
      </w:r>
      <w:r>
        <w:rPr>
          <w:spacing w:val="-3"/>
          <w:sz w:val="20"/>
        </w:rPr>
        <w:t> </w:t>
      </w:r>
      <w:r>
        <w:rPr>
          <w:sz w:val="20"/>
        </w:rPr>
        <w:t>auditing</w:t>
      </w:r>
      <w:r>
        <w:rPr>
          <w:spacing w:val="-4"/>
          <w:sz w:val="20"/>
        </w:rPr>
        <w:t> </w:t>
      </w:r>
      <w:r>
        <w:rPr>
          <w:sz w:val="20"/>
        </w:rPr>
        <w:t>procedures.</w:t>
      </w:r>
    </w:p>
    <w:p>
      <w:pPr>
        <w:pStyle w:val="BodyText"/>
        <w:spacing w:before="104"/>
        <w:ind w:left="159" w:right="166"/>
        <w:jc w:val="both"/>
      </w:pPr>
      <w:r>
        <w:rPr/>
        <w:t>It is likely that in most countries the existing land use and inventory systems are inadequate to meet all the land reporting requirements of the Kyoto Protocol, and that, with varying degrees of incremental efforts, additional information must be obtained through monitoring or in-country reporting systems. A country’s choices of the appropriate systems will depend on national circumstances. For example, a country could determine that it would be most efficient to combine an activity reporting system to identify units of land subject to afforestation/reforestation, and a monitoring system to identify units of land subject to</w:t>
      </w:r>
      <w:r>
        <w:rPr>
          <w:spacing w:val="-11"/>
        </w:rPr>
        <w:t> </w:t>
      </w:r>
      <w:r>
        <w:rPr/>
        <w:t>deforestation.</w:t>
      </w:r>
    </w:p>
    <w:p>
      <w:pPr>
        <w:pStyle w:val="BodyText"/>
        <w:spacing w:before="1"/>
        <w:rPr>
          <w:sz w:val="21"/>
        </w:rPr>
      </w:pPr>
    </w:p>
    <w:p>
      <w:pPr>
        <w:pStyle w:val="Heading6"/>
        <w:jc w:val="both"/>
      </w:pPr>
      <w:r>
        <w:rPr/>
        <w:t>Use of existing inventories</w:t>
      </w:r>
    </w:p>
    <w:p>
      <w:pPr>
        <w:pStyle w:val="BodyText"/>
        <w:spacing w:before="117"/>
        <w:ind w:left="159" w:right="157"/>
        <w:jc w:val="both"/>
      </w:pPr>
      <w:r>
        <w:rPr/>
        <w:t>Countries that maintain detailed forest and other land-use inventories or collect annual or periodic spatial land statistics may be able to identify lands affected by Article 3.3 and 3.4 activities since 1990 from their inventories. This, however, will only be possible if the national inventory and data collection systems meet  stringent technical requirements. The systems must be able to define the land use and forest area in 1990, have an update cycle that is sufficiently short to capture land-use change events between 1990 and 2008, and between 2008 and 2012, and be of sufficient spatial resolution to identify events of the size of the minimum forest area chosen by the country, i.e., 1 ha or smaller. Also, the sample plots within a “boundary” need to be georeferenced and used repeatedly during future monitoring. If the latter is not possible, e.g., because monitoring procedures were changed, it is </w:t>
      </w:r>
      <w:r>
        <w:rPr>
          <w:i/>
        </w:rPr>
        <w:t>good practice </w:t>
      </w:r>
      <w:r>
        <w:rPr/>
        <w:t>to develop computational procedures, which allow to convert the data between the used sampling schemes or which, at least to have a method, allow to map the data from a previous to a successor sampling scheme (see also Sections 4.2.4.1. Developing a consistent time series and 4.2.4.1.1 Recalculation).</w:t>
      </w:r>
    </w:p>
    <w:p>
      <w:pPr>
        <w:pStyle w:val="BodyText"/>
        <w:spacing w:before="117"/>
        <w:ind w:left="159" w:right="162"/>
        <w:jc w:val="both"/>
      </w:pPr>
      <w:r>
        <w:rPr/>
        <w:t>Forest inventories in large countries often do not record polygons less than, for example, 3 ha in size. The requirement to identify afforestation, reforestation or deforestation activities at a resolution of 0.05 to 1 hectares can be met, however, with additional statistical analyses to establish the area subject to afforestation, reforestation or deforestation events that occurred in units less than 3 ha in size. One possible approach could be to determine the size-class distributions of afforestation/reforestation and of deforestation events in the country, using a statistical sampling approach. The proportion of the area of afforestation/reforestation and of deforestation events that is between 0.05 – 1 ha and the minimum mapping unit in the inventory (in this example 3 ha) can then be applied to estimate the area of afforestation/reforestation and deforestation events from the 3- ha resolution inventory. For example, if the 3-ha resolution inventory shows that there have been 1,000 ha of afforestation/reforestation events in units of 3 ha or larger, and the sample-based size-class distribution of afforestation/reforestation events shows that on average 5% of the afforestation/reforestation events is in areas of size between 0.05 – 1 ha and 3 ha, then the 1,000 ha represent 95% of the total afforestation/reforestation area (and the total is estimated to be 1,000 • 100/95 = 1,052.6 ha). It is </w:t>
      </w:r>
      <w:r>
        <w:rPr>
          <w:i/>
        </w:rPr>
        <w:t>good practice </w:t>
      </w:r>
      <w:r>
        <w:rPr/>
        <w:t>to document the statistical validity of the sample-based size-class distribution, and its regional and temporal variation. Note that this approach to augmenting existing inventory information also has implications for the determination of carbon stock changes: since these 5% of the area are not geographically referenced, only statistical methods such as regional averages can be used to determine their carbon stock changes and trace their fate, once they are included under Article 3.3 or 3.4, over</w:t>
      </w:r>
      <w:r>
        <w:rPr>
          <w:spacing w:val="5"/>
        </w:rPr>
        <w:t> </w:t>
      </w:r>
      <w:r>
        <w:rPr/>
        <w:t>time.</w:t>
      </w:r>
    </w:p>
    <w:p>
      <w:pPr>
        <w:pStyle w:val="BodyText"/>
        <w:spacing w:before="115"/>
        <w:ind w:left="159" w:right="164"/>
        <w:jc w:val="both"/>
      </w:pPr>
      <w:r>
        <w:rPr/>
        <w:t>Countries that choose an inventory-based approach for the identification of units of land subject to afforestation/reforestation activities can face the challenge that non-forest areas are not normally included in the forest inventory. In this case, countries must ensure that their inventory system detects land-use transitions from non-forest to forest and expands the forest inventory into the newly created forest area. Some countries monitor changes from non-forest to forest by means of remote sensing of lands not previously covered by the forest inventory or by maintaining inventory plots on non-forest land.</w:t>
      </w:r>
    </w:p>
    <w:p>
      <w:pPr>
        <w:spacing w:after="0"/>
        <w:jc w:val="both"/>
        <w:sectPr>
          <w:pgSz w:w="11900" w:h="16840"/>
          <w:pgMar w:header="230" w:footer="408" w:top="560" w:bottom="600" w:left="1260" w:right="1240"/>
        </w:sectPr>
      </w:pPr>
    </w:p>
    <w:p>
      <w:pPr>
        <w:pStyle w:val="BodyText"/>
      </w:pPr>
    </w:p>
    <w:p>
      <w:pPr>
        <w:pStyle w:val="Heading6"/>
        <w:spacing w:before="214"/>
        <w:jc w:val="both"/>
      </w:pPr>
      <w:r>
        <w:rPr/>
        <w:t>Monitoring and measurement of activities</w:t>
      </w:r>
    </w:p>
    <w:p>
      <w:pPr>
        <w:pStyle w:val="BodyText"/>
        <w:spacing w:before="117"/>
        <w:ind w:left="159" w:right="163"/>
        <w:jc w:val="both"/>
      </w:pPr>
      <w:r>
        <w:rPr/>
        <w:t>In order to meet the reporting requirements of Articles 3.3 and 3.4, countries may have to develop  and implement a monitoring system for the identification and recording of land use and land-use change. Such a monitoring system could combine a base map (or other sources of spatial information) on forest area and land use on 31 December 1989 with spatial data on land-use and forest area in subsequent years. Changes in land-use and forest area can then be inferred from a time series of spatial data. This may require interpolation, for  example where a base map has been derived from composite satellite images obtained over several years, as is often the case where cloud cover, sensor failures, or other technical reasons make it impossible to obtain complete national coverage for a single point in time.</w:t>
      </w:r>
    </w:p>
    <w:p>
      <w:pPr>
        <w:pStyle w:val="BodyText"/>
        <w:spacing w:before="118"/>
        <w:ind w:left="159" w:right="163"/>
        <w:jc w:val="both"/>
      </w:pPr>
      <w:r>
        <w:rPr/>
        <w:t>In many countries repeated complete (wall-to-wall) coverage of the entire country is not feasible on an annual basis. When implementing temporal and spatial sampling strategies, it is </w:t>
      </w:r>
      <w:r>
        <w:rPr>
          <w:i/>
        </w:rPr>
        <w:t>good practice </w:t>
      </w:r>
      <w:r>
        <w:rPr/>
        <w:t>to ensure that the sampling methods are statistically sound, well-documented and transparent, and that estimates of uncertainty are provided (see Sections 2.4.2 Sampling methods; 4.2.4.3 Uncertainty assessment; 5.2 Identifying and quantifying uncertainties; and 5.3 Sampling). Appropriate pre-stratification of the country (see Section 4.1.1, STEP 1.3) for which sample estimates will be developed may reduce the uncertainty.</w:t>
      </w:r>
    </w:p>
    <w:p>
      <w:pPr>
        <w:pStyle w:val="BodyText"/>
        <w:spacing w:before="1"/>
        <w:rPr>
          <w:sz w:val="21"/>
        </w:rPr>
      </w:pPr>
    </w:p>
    <w:p>
      <w:pPr>
        <w:pStyle w:val="Heading6"/>
        <w:spacing w:before="1"/>
        <w:jc w:val="both"/>
      </w:pPr>
      <w:r>
        <w:rPr/>
        <w:t>Activity reporting</w:t>
      </w:r>
    </w:p>
    <w:p>
      <w:pPr>
        <w:pStyle w:val="BodyText"/>
        <w:spacing w:before="116"/>
        <w:ind w:left="159" w:right="165"/>
        <w:jc w:val="both"/>
      </w:pPr>
      <w:r>
        <w:rPr/>
        <w:t>Identification of lands that are subject to activities under Articles 3.3 and 3.4 can be achieved through the implementation of an activity reporting system. For example, since afforestation events are often difficult to detect through remote sensing and often occur outside the area of existing forest inventories, a country may choose to identify these lands through an activity reporting system. Instead of trying to detect afforestation events from inventory or monitoring systems, countries can request that those individuals or agencies that afforest or reforest areas report on their activities. Activity reporting may also be most efficient where information about land use is required that may not be readily determined from remote sensing, such as cropland management, or grazing land</w:t>
      </w:r>
      <w:r>
        <w:rPr>
          <w:spacing w:val="4"/>
        </w:rPr>
        <w:t> </w:t>
      </w:r>
      <w:r>
        <w:rPr/>
        <w:t>management.</w:t>
      </w:r>
    </w:p>
    <w:p>
      <w:pPr>
        <w:pStyle w:val="BodyText"/>
        <w:spacing w:before="118"/>
        <w:ind w:left="159" w:right="163"/>
        <w:jc w:val="both"/>
      </w:pPr>
      <w:r>
        <w:rPr/>
        <w:t>Reporting systems can usefully include spatial databases that facilitate the compilation of the pertinent activity information. It is </w:t>
      </w:r>
      <w:r>
        <w:rPr>
          <w:i/>
        </w:rPr>
        <w:t>good practice </w:t>
      </w:r>
      <w:r>
        <w:rPr/>
        <w:t>to include the location and the area of the activity, and information relevant to the estimation of carbon stock changes, such as site preparation methods, tree species planted, and the actual as well as the expected volume growth function for the</w:t>
      </w:r>
      <w:r>
        <w:rPr>
          <w:spacing w:val="3"/>
        </w:rPr>
        <w:t> </w:t>
      </w:r>
      <w:r>
        <w:rPr/>
        <w:t>land.</w:t>
      </w:r>
    </w:p>
    <w:p>
      <w:pPr>
        <w:pStyle w:val="BodyText"/>
        <w:spacing w:before="120"/>
        <w:ind w:left="159" w:right="165"/>
        <w:jc w:val="both"/>
      </w:pPr>
      <w:r>
        <w:rPr/>
        <w:t>It is </w:t>
      </w:r>
      <w:r>
        <w:rPr>
          <w:i/>
        </w:rPr>
        <w:t>good practice </w:t>
      </w:r>
      <w:r>
        <w:rPr/>
        <w:t>for Parties that rely on activity reporting systems, which put into place methods for internal auditing and verification to ensure that activities are neither over- nor underreported. Administrative information on programmes or subsidies for afforestation activities alone may not include information on plantation establishment success. Spatially explicit information, i.e., either the delineation of the units of land, or references to a country’s national map grid coordinates (e.g., UTM, Universal Transverse Mercator) or legal description of the units of land subject to an activity, are required for the domestic audit and verification procedures applied to a reporting</w:t>
      </w:r>
      <w:r>
        <w:rPr>
          <w:spacing w:val="-1"/>
        </w:rPr>
        <w:t> </w:t>
      </w:r>
      <w:r>
        <w:rPr/>
        <w:t>system.</w:t>
      </w:r>
    </w:p>
    <w:p>
      <w:pPr>
        <w:pStyle w:val="BodyText"/>
        <w:spacing w:before="118"/>
        <w:ind w:left="159" w:right="168"/>
        <w:jc w:val="both"/>
      </w:pPr>
      <w:r>
        <w:rPr/>
        <w:t>Further details on the identification of lands are provided in the activity-specific sections of this chapter (Sections 4.2.5 to 4.2.10).</w:t>
      </w:r>
    </w:p>
    <w:p>
      <w:pPr>
        <w:pStyle w:val="BodyText"/>
        <w:rPr>
          <w:sz w:val="22"/>
        </w:rPr>
      </w:pPr>
    </w:p>
    <w:p>
      <w:pPr>
        <w:pStyle w:val="BodyText"/>
        <w:spacing w:before="1"/>
      </w:pPr>
    </w:p>
    <w:p>
      <w:pPr>
        <w:pStyle w:val="Heading2"/>
        <w:numPr>
          <w:ilvl w:val="2"/>
          <w:numId w:val="131"/>
        </w:numPr>
        <w:tabs>
          <w:tab w:pos="1361" w:val="left" w:leader="none"/>
          <w:tab w:pos="1362" w:val="left" w:leader="none"/>
        </w:tabs>
        <w:spacing w:line="240" w:lineRule="auto" w:before="0" w:after="0"/>
        <w:ind w:left="1361" w:right="300" w:hanging="1202"/>
        <w:jc w:val="left"/>
      </w:pPr>
      <w:r>
        <w:rPr/>
        <w:t>Generic Methodological Issues for Estimating Carbon Stock Changes and Non-CO</w:t>
      </w:r>
      <w:r>
        <w:rPr>
          <w:vertAlign w:val="subscript"/>
        </w:rPr>
        <w:t>2</w:t>
      </w:r>
      <w:r>
        <w:rPr>
          <w:vertAlign w:val="baseline"/>
        </w:rPr>
        <w:t> Greenhouse Gas</w:t>
      </w:r>
      <w:r>
        <w:rPr>
          <w:spacing w:val="-23"/>
          <w:vertAlign w:val="baseline"/>
        </w:rPr>
        <w:t> </w:t>
      </w:r>
      <w:r>
        <w:rPr>
          <w:vertAlign w:val="baseline"/>
        </w:rPr>
        <w:t>Emissions</w:t>
      </w:r>
    </w:p>
    <w:p>
      <w:pPr>
        <w:pStyle w:val="BodyText"/>
        <w:spacing w:before="115"/>
        <w:ind w:left="159" w:right="165"/>
        <w:jc w:val="both"/>
      </w:pPr>
      <w:r>
        <w:rPr/>
        <w:t>Once the areas subject to activities under Articles 3.3 and 3.4 have been determined, the Marrekesh Accords specify that the carbon stock changes and non-CO</w:t>
      </w:r>
      <w:r>
        <w:rPr>
          <w:vertAlign w:val="subscript"/>
        </w:rPr>
        <w:t>2</w:t>
      </w:r>
      <w:r>
        <w:rPr>
          <w:vertAlign w:val="baseline"/>
        </w:rPr>
        <w:t> greenhouse gas emissions on these areas must be estimated. The generic methods of estimating the carbon stock changes, for all pools to be reported (see below), are described in Chapter 3 (LUCF sector good practice guidance). This section provides supplementary guidance applicable to all activities under Articles 3.3 and 3.4. Guidance for specific activities can be found in Sections 4.2.5 to 4.2.10.</w:t>
      </w:r>
    </w:p>
    <w:p>
      <w:pPr>
        <w:pStyle w:val="BodyText"/>
        <w:spacing w:before="118"/>
        <w:ind w:left="159" w:right="166"/>
        <w:jc w:val="both"/>
      </w:pPr>
      <w:r>
        <w:rPr/>
        <w:t>Coverage of activities under Articles 3.3 and 3.4 requires an estimation of all carbon stock changes, and emissions and removals of non-CO</w:t>
      </w:r>
      <w:r>
        <w:rPr>
          <w:vertAlign w:val="subscript"/>
        </w:rPr>
        <w:t>2</w:t>
      </w:r>
      <w:r>
        <w:rPr>
          <w:vertAlign w:val="baseline"/>
        </w:rPr>
        <w:t> greenhouse gases (regardless of cause, such as growth, harvest, natural disturbance, decomposition etc.) from all lands subject to the included activities and for all pools with discretionary omission of those that are not a source of carbon, with higher-tier methods used for key categories.</w:t>
      </w:r>
    </w:p>
    <w:p>
      <w:pPr>
        <w:pStyle w:val="BodyText"/>
        <w:spacing w:before="119"/>
        <w:ind w:left="159" w:right="163"/>
        <w:jc w:val="both"/>
      </w:pPr>
      <w:r>
        <w:rPr/>
        <w:t>The methodology used to estimate greenhouse gas emissions and removals for a particular year (1990, 2008, 2009,…, or 2012) depends on the land use in the current and in prior years, because shifts in categories or land</w:t>
      </w:r>
    </w:p>
    <w:p>
      <w:pPr>
        <w:spacing w:after="0"/>
        <w:jc w:val="both"/>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3"/>
        <w:jc w:val="both"/>
      </w:pPr>
      <w:r>
        <w:rPr/>
        <w:t>uses can occur over time (see Section 4.1.2). Therefore the methodologies may vary between units of land or land within one Article 3.3 or Article 3.4 category. </w:t>
      </w:r>
      <w:r>
        <w:rPr>
          <w:vertAlign w:val="superscript"/>
        </w:rPr>
        <w:t>25</w:t>
      </w:r>
      <w:r>
        <w:rPr>
          <w:vertAlign w:val="baseline"/>
        </w:rPr>
        <w:t> The methodology used to calculate greenhouse gas emissions or removals associated with a unit of land or land at a given year should correspond to the actual land use on that land in that year, supplemented by additional methodologies to account for past land uses and changes in land use, where appropriate. If the land use in the current year does not correspond to an Article 3.3 activity or an elected Article 3.4 activity, and if a reporting requirement was not established through land use or land-use change in prior years, then the land is not reported at all under the Kyoto</w:t>
      </w:r>
      <w:r>
        <w:rPr>
          <w:spacing w:val="-12"/>
          <w:vertAlign w:val="baseline"/>
        </w:rPr>
        <w:t> </w:t>
      </w:r>
      <w:r>
        <w:rPr>
          <w:vertAlign w:val="baseline"/>
        </w:rPr>
        <w:t>Protocol.</w:t>
      </w:r>
    </w:p>
    <w:p>
      <w:pPr>
        <w:pStyle w:val="BodyText"/>
        <w:rPr>
          <w:sz w:val="22"/>
        </w:rPr>
      </w:pPr>
    </w:p>
    <w:p>
      <w:pPr>
        <w:pStyle w:val="Heading6"/>
        <w:numPr>
          <w:ilvl w:val="3"/>
          <w:numId w:val="131"/>
        </w:numPr>
        <w:tabs>
          <w:tab w:pos="1600" w:val="left" w:leader="none"/>
        </w:tabs>
        <w:spacing w:line="240" w:lineRule="auto" w:before="148" w:after="0"/>
        <w:ind w:left="1599" w:right="0" w:hanging="1440"/>
        <w:jc w:val="both"/>
      </w:pPr>
      <w:r>
        <w:rPr>
          <w:spacing w:val="15"/>
          <w:sz w:val="28"/>
        </w:rPr>
        <w:t>P</w:t>
      </w:r>
      <w:r>
        <w:rPr>
          <w:spacing w:val="15"/>
        </w:rPr>
        <w:t>OOLS </w:t>
      </w:r>
      <w:r>
        <w:rPr>
          <w:spacing w:val="9"/>
        </w:rPr>
        <w:t>TO </w:t>
      </w:r>
      <w:r>
        <w:rPr>
          <w:spacing w:val="10"/>
        </w:rPr>
        <w:t>BE</w:t>
      </w:r>
      <w:r>
        <w:rPr>
          <w:spacing w:val="29"/>
        </w:rPr>
        <w:t> </w:t>
      </w:r>
      <w:r>
        <w:rPr>
          <w:spacing w:val="16"/>
        </w:rPr>
        <w:t>REPORTED</w:t>
      </w:r>
      <w:r>
        <w:rPr>
          <w:spacing w:val="-35"/>
        </w:rPr>
        <w:t> </w:t>
      </w:r>
    </w:p>
    <w:p>
      <w:pPr>
        <w:pStyle w:val="BodyText"/>
        <w:spacing w:before="209"/>
        <w:ind w:left="159" w:right="162"/>
        <w:jc w:val="both"/>
      </w:pPr>
      <w:r>
        <w:rPr/>
        <w:t>The </w:t>
      </w:r>
      <w:r>
        <w:rPr>
          <w:i/>
        </w:rPr>
        <w:t>IPCC Guidelines </w:t>
      </w:r>
      <w:r>
        <w:rPr/>
        <w:t>provide methodologies for the estimation of the carbon stock changes in two major carbon pools: biomass and soil organic carbon; they mention dead organic matter as an area that should be considered in future work on inventory methods. The Marrakesh Accords specify that carbon stock changes in five pools must be reported: aboveground biomass, belowground biomass, dead wood, litter, and soil organic carbon (Table 3.1.2). Decreases in one pool may be offset by increases in another pool, e.g., biomass pools decline after a disturbance but litter and dead wood pools can increase. Thus the change in a single pool can be greater than the net change in the sum of the pools.</w:t>
      </w:r>
    </w:p>
    <w:p>
      <w:pPr>
        <w:pStyle w:val="BodyText"/>
        <w:spacing w:before="118"/>
        <w:ind w:left="159" w:right="162"/>
        <w:jc w:val="both"/>
      </w:pPr>
      <w:r>
        <w:rPr/>
        <w:t>Once the individual pools have been estimated and reported for a specific area, the sum of the carbon stock increases or decreases in the five pools is calculated. Any net decrease in carbon stocks is converted to the equivalent CO</w:t>
      </w:r>
      <w:r>
        <w:rPr>
          <w:vertAlign w:val="subscript"/>
        </w:rPr>
        <w:t>2</w:t>
      </w:r>
      <w:r>
        <w:rPr>
          <w:vertAlign w:val="baseline"/>
        </w:rPr>
        <w:t> emission in the reporting tables (see Section 4.2.4.3) and any net increase is reported as the equivalent CO</w:t>
      </w:r>
      <w:r>
        <w:rPr>
          <w:vertAlign w:val="subscript"/>
        </w:rPr>
        <w:t>2</w:t>
      </w:r>
      <w:r>
        <w:rPr>
          <w:vertAlign w:val="baseline"/>
        </w:rPr>
        <w:t> removal. Carbon stock changes are converted to CO</w:t>
      </w:r>
      <w:r>
        <w:rPr>
          <w:vertAlign w:val="subscript"/>
        </w:rPr>
        <w:t>2</w:t>
      </w:r>
      <w:r>
        <w:rPr>
          <w:vertAlign w:val="baseline"/>
        </w:rPr>
        <w:t> emissions and removals by multiplying the net carbon stock change by 44/12 (the stochiometric ratio of CO</w:t>
      </w:r>
      <w:r>
        <w:rPr>
          <w:vertAlign w:val="subscript"/>
        </w:rPr>
        <w:t>2</w:t>
      </w:r>
      <w:r>
        <w:rPr>
          <w:vertAlign w:val="baseline"/>
        </w:rPr>
        <w:t> and C) and by converting the sign: a decrease in carbon stocks (negative sign) leads to an emission to the atmosphere (positive sign) and vice versa. The storage of carbon in harvested wood products is not included in the reporting since it is not listed as a pool covered by the Marrakesh Accords. Chapter 3 provides clear definitions of carbon pools (Table 3.1.2). If  national circumstances require modifications to those definitions, rationale and documentation should be provided for these modifications and on the criteria used to distinguish between carbon pools. It is </w:t>
      </w:r>
      <w:r>
        <w:rPr>
          <w:i/>
          <w:vertAlign w:val="baseline"/>
        </w:rPr>
        <w:t>good practice </w:t>
      </w:r>
      <w:r>
        <w:rPr>
          <w:vertAlign w:val="baseline"/>
        </w:rPr>
        <w:t>to provide such information on both the individual pools included in the reporting, and on the total carbon stock change of the five pools.</w:t>
      </w:r>
    </w:p>
    <w:p>
      <w:pPr>
        <w:pStyle w:val="BodyText"/>
        <w:spacing w:before="118"/>
        <w:ind w:left="159" w:right="164"/>
        <w:jc w:val="both"/>
      </w:pPr>
      <w:r>
        <w:rPr/>
        <w:t>The Marrakesh Accords specify that a Party may choose not to account for a given pool in a commitment period, if transparent and verifiable information is provided that the pool is not a source.</w:t>
      </w:r>
      <w:r>
        <w:rPr>
          <w:vertAlign w:val="superscript"/>
        </w:rPr>
        <w:t>26</w:t>
      </w:r>
      <w:r>
        <w:rPr>
          <w:vertAlign w:val="baseline"/>
        </w:rPr>
        <w:t> </w:t>
      </w:r>
      <w:r>
        <w:rPr>
          <w:i/>
          <w:vertAlign w:val="baseline"/>
        </w:rPr>
        <w:t>Good practice </w:t>
      </w:r>
      <w:r>
        <w:rPr>
          <w:vertAlign w:val="baseline"/>
        </w:rPr>
        <w:t>in providing verifiable information, which demonstrates that excluded pools, if any, are not a net source of greenhouse gases, can be achieved by:</w:t>
      </w:r>
    </w:p>
    <w:p>
      <w:pPr>
        <w:pStyle w:val="ListParagraph"/>
        <w:numPr>
          <w:ilvl w:val="0"/>
          <w:numId w:val="117"/>
        </w:numPr>
        <w:tabs>
          <w:tab w:pos="584" w:val="left" w:leader="none"/>
        </w:tabs>
        <w:spacing w:line="232" w:lineRule="auto" w:before="139" w:after="0"/>
        <w:ind w:left="584" w:right="164" w:hanging="425"/>
        <w:jc w:val="both"/>
        <w:rPr>
          <w:sz w:val="20"/>
        </w:rPr>
      </w:pPr>
      <w:r>
        <w:rPr>
          <w:sz w:val="20"/>
        </w:rPr>
        <w:t>Representative and verifiable sampling and analysis to show that the pool has not decreased. It is </w:t>
      </w:r>
      <w:r>
        <w:rPr>
          <w:i/>
          <w:sz w:val="20"/>
        </w:rPr>
        <w:t>good practice </w:t>
      </w:r>
      <w:r>
        <w:rPr>
          <w:sz w:val="20"/>
        </w:rPr>
        <w:t>under this approach to measure the pool at enough sites, within regions, to provide statistical confidence, and to document the sampling and research</w:t>
      </w:r>
      <w:r>
        <w:rPr>
          <w:spacing w:val="2"/>
          <w:sz w:val="20"/>
        </w:rPr>
        <w:t> </w:t>
      </w:r>
      <w:r>
        <w:rPr>
          <w:sz w:val="20"/>
        </w:rPr>
        <w:t>methods;</w:t>
      </w:r>
    </w:p>
    <w:p>
      <w:pPr>
        <w:pStyle w:val="ListParagraph"/>
        <w:numPr>
          <w:ilvl w:val="0"/>
          <w:numId w:val="117"/>
        </w:numPr>
        <w:tabs>
          <w:tab w:pos="585" w:val="left" w:leader="none"/>
        </w:tabs>
        <w:spacing w:line="235" w:lineRule="auto" w:before="135" w:after="0"/>
        <w:ind w:left="584" w:right="166" w:hanging="425"/>
        <w:jc w:val="both"/>
        <w:rPr>
          <w:sz w:val="20"/>
        </w:rPr>
      </w:pPr>
      <w:r>
        <w:rPr>
          <w:sz w:val="20"/>
        </w:rPr>
        <w:t>Reasoning based on sound knowledge of likely system responses. For instance, if cropland is converted to forest land by afforestation or reforestation, the dead wood pool cannot decrease, because there is typically no deadwood in a cropland (if it does not contain trees, e.g., if it does not contain any shelterbelts, was no orchard, and was no other agroforestry</w:t>
      </w:r>
      <w:r>
        <w:rPr>
          <w:spacing w:val="-1"/>
          <w:sz w:val="20"/>
        </w:rPr>
        <w:t> </w:t>
      </w:r>
      <w:r>
        <w:rPr>
          <w:sz w:val="20"/>
        </w:rPr>
        <w:t>system);</w:t>
      </w:r>
    </w:p>
    <w:p>
      <w:pPr>
        <w:pStyle w:val="ListParagraph"/>
        <w:numPr>
          <w:ilvl w:val="0"/>
          <w:numId w:val="117"/>
        </w:numPr>
        <w:tabs>
          <w:tab w:pos="585" w:val="left" w:leader="none"/>
        </w:tabs>
        <w:spacing w:line="232" w:lineRule="auto" w:before="138" w:after="0"/>
        <w:ind w:left="584" w:right="168" w:hanging="425"/>
        <w:jc w:val="both"/>
        <w:rPr>
          <w:sz w:val="20"/>
        </w:rPr>
      </w:pPr>
      <w:r>
        <w:rPr>
          <w:sz w:val="20"/>
        </w:rPr>
        <w:t>Surveys of peer-reviewed literature for the activity, ecosystem type, region and pool in question (for example, showing that in the climatic situation and with the soil types of the region, afforestation or reforestation of cropland leads to increases in soil organic carbon stocks);</w:t>
      </w:r>
      <w:r>
        <w:rPr>
          <w:spacing w:val="-9"/>
          <w:sz w:val="20"/>
        </w:rPr>
        <w:t> </w:t>
      </w:r>
      <w:r>
        <w:rPr>
          <w:sz w:val="20"/>
        </w:rPr>
        <w:t>or</w:t>
      </w:r>
    </w:p>
    <w:p>
      <w:pPr>
        <w:pStyle w:val="ListParagraph"/>
        <w:numPr>
          <w:ilvl w:val="0"/>
          <w:numId w:val="117"/>
        </w:numPr>
        <w:tabs>
          <w:tab w:pos="585" w:val="left" w:leader="none"/>
        </w:tabs>
        <w:spacing w:line="240" w:lineRule="auto" w:before="134" w:after="0"/>
        <w:ind w:left="584" w:right="0" w:hanging="425"/>
        <w:jc w:val="both"/>
        <w:rPr>
          <w:sz w:val="20"/>
        </w:rPr>
      </w:pPr>
      <w:r>
        <w:rPr>
          <w:sz w:val="20"/>
        </w:rPr>
        <w:t>Combined</w:t>
      </w:r>
      <w:r>
        <w:rPr>
          <w:spacing w:val="3"/>
          <w:sz w:val="20"/>
        </w:rPr>
        <w:t> </w:t>
      </w:r>
      <w:r>
        <w:rPr>
          <w:sz w:val="20"/>
        </w:rPr>
        <w:t>methods.</w:t>
      </w:r>
    </w:p>
    <w:p>
      <w:pPr>
        <w:pStyle w:val="BodyText"/>
        <w:spacing w:before="102"/>
        <w:ind w:left="159" w:right="166"/>
        <w:jc w:val="both"/>
      </w:pPr>
      <w:r>
        <w:rPr/>
        <w:t>It is </w:t>
      </w:r>
      <w:r>
        <w:rPr>
          <w:i/>
        </w:rPr>
        <w:t>good practice </w:t>
      </w:r>
      <w:r>
        <w:rPr/>
        <w:t>to report, wherever it is applicable, levels of confidence in estimates that led to the exclusion of a pool, and how this level of confidence was established (see also Section 4.2.4.2 Uncertainty Assessment).</w:t>
      </w:r>
    </w:p>
    <w:p>
      <w:pPr>
        <w:pStyle w:val="BodyText"/>
      </w:pPr>
    </w:p>
    <w:p>
      <w:pPr>
        <w:pStyle w:val="BodyText"/>
      </w:pPr>
    </w:p>
    <w:p>
      <w:pPr>
        <w:pStyle w:val="BodyText"/>
      </w:pPr>
    </w:p>
    <w:p>
      <w:pPr>
        <w:pStyle w:val="BodyText"/>
        <w:spacing w:before="2"/>
        <w:rPr>
          <w:sz w:val="23"/>
        </w:rPr>
      </w:pPr>
      <w:r>
        <w:rPr/>
        <w:pict>
          <v:line style="position:absolute;mso-position-horizontal-relative:page;mso-position-vertical-relative:paragraph;z-index:18728;mso-wrap-distance-left:0;mso-wrap-distance-right:0" from="70.960999pt,15.573184pt" to="214.960999pt,15.573184pt" stroked="true" strokeweight=".48pt" strokecolor="#000000">
            <v:stroke dashstyle="solid"/>
            <w10:wrap type="topAndBottom"/>
          </v:line>
        </w:pict>
      </w:r>
    </w:p>
    <w:p>
      <w:pPr>
        <w:spacing w:before="153"/>
        <w:ind w:left="317" w:right="162" w:hanging="159"/>
        <w:jc w:val="both"/>
        <w:rPr>
          <w:sz w:val="18"/>
        </w:rPr>
      </w:pPr>
      <w:r>
        <w:rPr>
          <w:position w:val="8"/>
          <w:sz w:val="12"/>
        </w:rPr>
        <w:t>25 </w:t>
      </w:r>
      <w:r>
        <w:rPr>
          <w:sz w:val="18"/>
        </w:rPr>
        <w:t>For example, two units of land may both be in the cropland management category. However, one of them may have resulted from grassland conversion into cropland, the other from continuing cropland management, so that the greenhouse gas assessment methods need to take account of differing values of soil carbon resulting from their different management histories.</w:t>
      </w:r>
    </w:p>
    <w:p>
      <w:pPr>
        <w:spacing w:before="94"/>
        <w:ind w:left="317" w:right="166" w:hanging="159"/>
        <w:jc w:val="both"/>
        <w:rPr>
          <w:sz w:val="18"/>
        </w:rPr>
      </w:pPr>
      <w:r>
        <w:rPr>
          <w:position w:val="8"/>
          <w:sz w:val="12"/>
        </w:rPr>
        <w:t>26 </w:t>
      </w:r>
      <w:r>
        <w:rPr>
          <w:sz w:val="18"/>
        </w:rPr>
        <w:t>See paragraph 21 in the Annex to the draft decision -/CMP.1 (Land use, lan-use change and forestry), contained in document FCCC/CP/2001/13/Add.1, p.62.</w:t>
      </w:r>
    </w:p>
    <w:p>
      <w:pPr>
        <w:spacing w:after="0"/>
        <w:jc w:val="both"/>
        <w:rPr>
          <w:sz w:val="18"/>
        </w:rPr>
        <w:sectPr>
          <w:pgSz w:w="11900" w:h="16840"/>
          <w:pgMar w:header="230" w:footer="408" w:top="560" w:bottom="600" w:left="1260" w:right="1240"/>
        </w:sectPr>
      </w:pPr>
    </w:p>
    <w:p>
      <w:pPr>
        <w:pStyle w:val="BodyText"/>
      </w:pPr>
    </w:p>
    <w:p>
      <w:pPr>
        <w:pStyle w:val="BodyText"/>
        <w:rPr>
          <w:sz w:val="19"/>
        </w:rPr>
      </w:pPr>
    </w:p>
    <w:p>
      <w:pPr>
        <w:pStyle w:val="Heading6"/>
        <w:numPr>
          <w:ilvl w:val="3"/>
          <w:numId w:val="131"/>
        </w:numPr>
        <w:tabs>
          <w:tab w:pos="1600" w:val="left" w:leader="none"/>
        </w:tabs>
        <w:spacing w:line="240" w:lineRule="auto" w:before="89" w:after="0"/>
        <w:ind w:left="1599" w:right="0" w:hanging="1440"/>
        <w:jc w:val="both"/>
      </w:pPr>
      <w:r>
        <w:rPr>
          <w:spacing w:val="14"/>
          <w:sz w:val="28"/>
        </w:rPr>
        <w:t>Y</w:t>
      </w:r>
      <w:r>
        <w:rPr>
          <w:spacing w:val="14"/>
        </w:rPr>
        <w:t>EARS </w:t>
      </w:r>
      <w:r>
        <w:rPr>
          <w:spacing w:val="13"/>
        </w:rPr>
        <w:t>FOR </w:t>
      </w:r>
      <w:r>
        <w:rPr>
          <w:spacing w:val="15"/>
        </w:rPr>
        <w:t>WHICH </w:t>
      </w:r>
      <w:r>
        <w:rPr>
          <w:spacing w:val="9"/>
        </w:rPr>
        <w:t>TO </w:t>
      </w:r>
      <w:r>
        <w:rPr>
          <w:spacing w:val="16"/>
        </w:rPr>
        <w:t>ESTIMATE CARBON</w:t>
      </w:r>
      <w:r>
        <w:rPr>
          <w:spacing w:val="-26"/>
        </w:rPr>
        <w:t> </w:t>
      </w:r>
      <w:r>
        <w:rPr>
          <w:spacing w:val="14"/>
        </w:rPr>
        <w:t>STOCK</w:t>
      </w:r>
    </w:p>
    <w:p>
      <w:pPr>
        <w:spacing w:before="2"/>
        <w:ind w:left="1606" w:right="0" w:firstLine="0"/>
        <w:jc w:val="left"/>
        <w:rPr>
          <w:b/>
          <w:sz w:val="22"/>
        </w:rPr>
      </w:pPr>
      <w:r>
        <w:rPr>
          <w:b/>
          <w:sz w:val="22"/>
        </w:rPr>
        <w:t>CHANGES AND NON</w:t>
      </w:r>
      <w:r>
        <w:rPr>
          <w:b/>
          <w:sz w:val="28"/>
        </w:rPr>
        <w:t>-CO</w:t>
      </w:r>
      <w:r>
        <w:rPr>
          <w:b/>
          <w:sz w:val="28"/>
          <w:vertAlign w:val="subscript"/>
        </w:rPr>
        <w:t>2</w:t>
      </w:r>
      <w:r>
        <w:rPr>
          <w:b/>
          <w:sz w:val="28"/>
          <w:vertAlign w:val="baseline"/>
        </w:rPr>
        <w:t> </w:t>
      </w:r>
      <w:r>
        <w:rPr>
          <w:b/>
          <w:sz w:val="22"/>
          <w:vertAlign w:val="baseline"/>
        </w:rPr>
        <w:t>GREENHOUSE GAS EMISSIONS</w:t>
      </w:r>
    </w:p>
    <w:p>
      <w:pPr>
        <w:pStyle w:val="BodyText"/>
        <w:spacing w:before="211"/>
        <w:ind w:left="159" w:right="161"/>
        <w:jc w:val="both"/>
      </w:pPr>
      <w:r>
        <w:rPr/>
        <w:t>The Marrakesh Accords specify that the carbon stock changes for each unit of land subject to an Article 3.3 activity, and for lands subject to elected activities under Article 3.4 be reported for each year of the commitment period</w:t>
      </w:r>
      <w:r>
        <w:rPr>
          <w:vertAlign w:val="superscript"/>
        </w:rPr>
        <w:t>27</w:t>
      </w:r>
      <w:r>
        <w:rPr>
          <w:vertAlign w:val="baseline"/>
        </w:rPr>
        <w:t>, beginning with the start of the commitment period, or with the start of the activity, whichever is later.</w:t>
      </w:r>
    </w:p>
    <w:p>
      <w:pPr>
        <w:pStyle w:val="BodyText"/>
        <w:spacing w:before="119"/>
        <w:ind w:left="159" w:right="165"/>
        <w:jc w:val="both"/>
      </w:pPr>
      <w:r>
        <w:rPr/>
        <w:t>To ensure that actual carbon stock changes are reported, and not artefacts resulting from changes in area over time, the calculations of carbon stock changes should be implemented in the following sequence: For each unit of land or land, the carbon stock change should first be calculated for the year of interest, and these stock changes should then be summed for all areas. The inverse sequence, i.e., first summing up the carbon stocks across all areas at times t</w:t>
      </w:r>
      <w:r>
        <w:rPr>
          <w:vertAlign w:val="subscript"/>
        </w:rPr>
        <w:t>1</w:t>
      </w:r>
      <w:r>
        <w:rPr>
          <w:vertAlign w:val="baseline"/>
        </w:rPr>
        <w:t> and t</w:t>
      </w:r>
      <w:r>
        <w:rPr>
          <w:vertAlign w:val="subscript"/>
        </w:rPr>
        <w:t>2</w:t>
      </w:r>
      <w:r>
        <w:rPr>
          <w:vertAlign w:val="baseline"/>
        </w:rPr>
        <w:t> and then calculating the difference in carbon stocks, can result in errors if the area at times t</w:t>
      </w:r>
      <w:r>
        <w:rPr>
          <w:vertAlign w:val="subscript"/>
        </w:rPr>
        <w:t>1</w:t>
      </w:r>
      <w:r>
        <w:rPr>
          <w:vertAlign w:val="baseline"/>
        </w:rPr>
        <w:t> and t</w:t>
      </w:r>
      <w:r>
        <w:rPr>
          <w:vertAlign w:val="subscript"/>
        </w:rPr>
        <w:t>2</w:t>
      </w:r>
      <w:r>
        <w:rPr>
          <w:vertAlign w:val="baseline"/>
        </w:rPr>
        <w:t> is not the same, and is therefore not</w:t>
      </w:r>
      <w:r>
        <w:rPr>
          <w:spacing w:val="-8"/>
          <w:vertAlign w:val="baseline"/>
        </w:rPr>
        <w:t> </w:t>
      </w:r>
      <w:r>
        <w:rPr>
          <w:vertAlign w:val="baseline"/>
        </w:rPr>
        <w:t>recommended.</w:t>
      </w:r>
      <w:r>
        <w:rPr>
          <w:vertAlign w:val="superscript"/>
        </w:rPr>
        <w:t>28</w:t>
      </w:r>
    </w:p>
    <w:p>
      <w:pPr>
        <w:pStyle w:val="BodyText"/>
        <w:spacing w:before="117"/>
        <w:ind w:left="159" w:right="166"/>
        <w:jc w:val="both"/>
      </w:pPr>
      <w:r>
        <w:rPr/>
        <w:t>It is therefore </w:t>
      </w:r>
      <w:r>
        <w:rPr>
          <w:i/>
        </w:rPr>
        <w:t>good practice </w:t>
      </w:r>
      <w:r>
        <w:rPr/>
        <w:t>to conduct all calculations of carbon stock changes and greenhouse gas emissions for the area at the end of the inventory year, and to use this approach consistently through</w:t>
      </w:r>
      <w:r>
        <w:rPr>
          <w:spacing w:val="-17"/>
        </w:rPr>
        <w:t> </w:t>
      </w:r>
      <w:r>
        <w:rPr/>
        <w:t>time.</w:t>
      </w:r>
    </w:p>
    <w:p>
      <w:pPr>
        <w:pStyle w:val="BodyText"/>
        <w:spacing w:before="121"/>
        <w:ind w:left="159" w:right="161"/>
        <w:jc w:val="both"/>
      </w:pPr>
      <w:r>
        <w:rPr/>
        <w:t>This means that if the activity started on 1 July 2009, then the carbon stock changes and greenhouse gas emissions should be reported for each of the last four years of the commitment period, 2009-2012. If the activity started after 1990 but before 1 January 2008, then reporting of the carbon stock changes and greenhouse gas emissions for the commitment period should cover each of the five years of the commitment period, 1 January 2008 to 31 December 2012. These reporting requirements as a function of time are summarized in Table 4.2.3. Where differences occur between the sum of the five annual reports and the report for the entire commitment period, these should be addressed and reconciled at the end of the commitment period (see Sections 4.2.3.3,</w:t>
      </w:r>
    </w:p>
    <w:p>
      <w:pPr>
        <w:pStyle w:val="BodyText"/>
        <w:spacing w:line="228" w:lineRule="exact"/>
        <w:ind w:left="159"/>
        <w:jc w:val="both"/>
      </w:pPr>
      <w:r>
        <w:rPr/>
        <w:t>4.2.4.1.1 and Chapter 5).</w:t>
      </w:r>
    </w:p>
    <w:p>
      <w:pPr>
        <w:pStyle w:val="BodyText"/>
      </w:pPr>
    </w:p>
    <w:p>
      <w:pPr>
        <w:pStyle w:val="BodyText"/>
        <w:spacing w:before="6"/>
        <w:rPr>
          <w:sz w:val="21"/>
        </w:rPr>
      </w:pPr>
    </w:p>
    <w:tbl>
      <w:tblPr>
        <w:tblW w:w="0" w:type="auto"/>
        <w:jc w:val="left"/>
        <w:tblInd w:w="1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90"/>
        <w:gridCol w:w="1136"/>
        <w:gridCol w:w="1134"/>
        <w:gridCol w:w="1136"/>
        <w:gridCol w:w="1134"/>
        <w:gridCol w:w="1136"/>
      </w:tblGrid>
      <w:tr>
        <w:trPr>
          <w:trHeight w:val="1009" w:hRule="atLeast"/>
        </w:trPr>
        <w:tc>
          <w:tcPr>
            <w:tcW w:w="7666" w:type="dxa"/>
            <w:gridSpan w:val="6"/>
            <w:tcBorders>
              <w:bottom w:val="double" w:sz="1" w:space="0" w:color="000000"/>
            </w:tcBorders>
          </w:tcPr>
          <w:p>
            <w:pPr>
              <w:pStyle w:val="TableParagraph"/>
              <w:spacing w:before="98"/>
              <w:ind w:left="3359" w:right="3360"/>
              <w:jc w:val="center"/>
              <w:rPr>
                <w:b/>
                <w:sz w:val="18"/>
              </w:rPr>
            </w:pPr>
            <w:r>
              <w:rPr>
                <w:b/>
                <w:sz w:val="18"/>
              </w:rPr>
              <w:t>T</w:t>
            </w:r>
            <w:r>
              <w:rPr>
                <w:b/>
                <w:sz w:val="14"/>
              </w:rPr>
              <w:t>ABLE </w:t>
            </w:r>
            <w:r>
              <w:rPr>
                <w:b/>
                <w:sz w:val="18"/>
              </w:rPr>
              <w:t>4.2.3</w:t>
            </w:r>
          </w:p>
          <w:p>
            <w:pPr>
              <w:pStyle w:val="TableParagraph"/>
              <w:spacing w:line="237" w:lineRule="auto" w:before="3"/>
              <w:ind w:left="170" w:right="168" w:firstLine="2"/>
              <w:jc w:val="center"/>
              <w:rPr>
                <w:b/>
                <w:sz w:val="14"/>
              </w:rPr>
            </w:pPr>
            <w:r>
              <w:rPr>
                <w:b/>
                <w:sz w:val="18"/>
              </w:rPr>
              <w:t>C</w:t>
            </w:r>
            <w:r>
              <w:rPr>
                <w:b/>
                <w:sz w:val="14"/>
              </w:rPr>
              <w:t>ALENDAR YEARS FOR WHICH CARBON STOCK CHANGES ARE TO BE REPORTED </w:t>
            </w:r>
            <w:r>
              <w:rPr>
                <w:b/>
                <w:sz w:val="18"/>
              </w:rPr>
              <w:t>(</w:t>
            </w:r>
            <w:r>
              <w:rPr>
                <w:b/>
                <w:sz w:val="14"/>
              </w:rPr>
              <w:t>FOR EACH ACTIVITY AND EACH OF THE FIVE POOLS DESCRIBED ABOVE</w:t>
            </w:r>
            <w:r>
              <w:rPr>
                <w:b/>
                <w:sz w:val="18"/>
              </w:rPr>
              <w:t>),</w:t>
            </w:r>
            <w:r>
              <w:rPr>
                <w:b/>
                <w:spacing w:val="-34"/>
                <w:sz w:val="18"/>
              </w:rPr>
              <w:t> </w:t>
            </w:r>
            <w:r>
              <w:rPr>
                <w:b/>
                <w:sz w:val="14"/>
              </w:rPr>
              <w:t>AS A FUNCTION OF THE TIME WHEN THE ACTIVITY STARTED</w:t>
            </w:r>
            <w:r>
              <w:rPr>
                <w:b/>
                <w:sz w:val="18"/>
              </w:rPr>
              <w:t>. “R” </w:t>
            </w:r>
            <w:r>
              <w:rPr>
                <w:b/>
                <w:sz w:val="14"/>
              </w:rPr>
              <w:t>DENOTES YEARS FOR WHICH REPORTING IS</w:t>
            </w:r>
            <w:r>
              <w:rPr>
                <w:b/>
                <w:spacing w:val="-20"/>
                <w:sz w:val="14"/>
              </w:rPr>
              <w:t> </w:t>
            </w:r>
            <w:r>
              <w:rPr>
                <w:b/>
                <w:sz w:val="14"/>
              </w:rPr>
              <w:t>NECESSARY</w:t>
            </w:r>
          </w:p>
        </w:tc>
      </w:tr>
      <w:tr>
        <w:trPr>
          <w:trHeight w:val="253" w:hRule="atLeast"/>
        </w:trPr>
        <w:tc>
          <w:tcPr>
            <w:tcW w:w="1990" w:type="dxa"/>
            <w:vMerge w:val="restart"/>
            <w:tcBorders>
              <w:top w:val="double" w:sz="1" w:space="0" w:color="000000"/>
            </w:tcBorders>
          </w:tcPr>
          <w:p>
            <w:pPr>
              <w:pStyle w:val="TableParagraph"/>
              <w:spacing w:before="150"/>
              <w:ind w:left="398"/>
              <w:rPr>
                <w:b/>
                <w:sz w:val="18"/>
              </w:rPr>
            </w:pPr>
            <w:r>
              <w:rPr>
                <w:b/>
                <w:sz w:val="18"/>
              </w:rPr>
              <w:t>Activity started</w:t>
            </w:r>
          </w:p>
        </w:tc>
        <w:tc>
          <w:tcPr>
            <w:tcW w:w="5676" w:type="dxa"/>
            <w:gridSpan w:val="5"/>
            <w:tcBorders>
              <w:top w:val="double" w:sz="1" w:space="0" w:color="000000"/>
            </w:tcBorders>
          </w:tcPr>
          <w:p>
            <w:pPr>
              <w:pStyle w:val="TableParagraph"/>
              <w:spacing w:before="23"/>
              <w:ind w:left="1028"/>
              <w:rPr>
                <w:b/>
                <w:sz w:val="18"/>
              </w:rPr>
            </w:pPr>
            <w:r>
              <w:rPr>
                <w:b/>
                <w:sz w:val="18"/>
              </w:rPr>
              <w:t>Calendar year for which reporting is necessary</w:t>
            </w:r>
          </w:p>
        </w:tc>
      </w:tr>
      <w:tr>
        <w:trPr>
          <w:trHeight w:val="275" w:hRule="atLeast"/>
        </w:trPr>
        <w:tc>
          <w:tcPr>
            <w:tcW w:w="1990" w:type="dxa"/>
            <w:vMerge/>
            <w:tcBorders>
              <w:top w:val="nil"/>
            </w:tcBorders>
          </w:tcPr>
          <w:p>
            <w:pPr>
              <w:rPr>
                <w:sz w:val="2"/>
                <w:szCs w:val="2"/>
              </w:rPr>
            </w:pPr>
          </w:p>
        </w:tc>
        <w:tc>
          <w:tcPr>
            <w:tcW w:w="1136" w:type="dxa"/>
          </w:tcPr>
          <w:p>
            <w:pPr>
              <w:pStyle w:val="TableParagraph"/>
              <w:spacing w:before="33"/>
              <w:ind w:left="361" w:right="360"/>
              <w:jc w:val="center"/>
              <w:rPr>
                <w:b/>
                <w:sz w:val="18"/>
              </w:rPr>
            </w:pPr>
            <w:r>
              <w:rPr>
                <w:b/>
                <w:sz w:val="18"/>
              </w:rPr>
              <w:t>2008</w:t>
            </w:r>
          </w:p>
        </w:tc>
        <w:tc>
          <w:tcPr>
            <w:tcW w:w="1134" w:type="dxa"/>
          </w:tcPr>
          <w:p>
            <w:pPr>
              <w:pStyle w:val="TableParagraph"/>
              <w:spacing w:before="33"/>
              <w:ind w:left="361" w:right="359"/>
              <w:jc w:val="center"/>
              <w:rPr>
                <w:b/>
                <w:sz w:val="18"/>
              </w:rPr>
            </w:pPr>
            <w:r>
              <w:rPr>
                <w:b/>
                <w:sz w:val="18"/>
              </w:rPr>
              <w:t>2009</w:t>
            </w:r>
          </w:p>
        </w:tc>
        <w:tc>
          <w:tcPr>
            <w:tcW w:w="1136" w:type="dxa"/>
          </w:tcPr>
          <w:p>
            <w:pPr>
              <w:pStyle w:val="TableParagraph"/>
              <w:spacing w:before="33"/>
              <w:ind w:left="361" w:right="362"/>
              <w:jc w:val="center"/>
              <w:rPr>
                <w:b/>
                <w:sz w:val="18"/>
              </w:rPr>
            </w:pPr>
            <w:r>
              <w:rPr>
                <w:b/>
                <w:sz w:val="18"/>
              </w:rPr>
              <w:t>2010</w:t>
            </w:r>
          </w:p>
        </w:tc>
        <w:tc>
          <w:tcPr>
            <w:tcW w:w="1134" w:type="dxa"/>
          </w:tcPr>
          <w:p>
            <w:pPr>
              <w:pStyle w:val="TableParagraph"/>
              <w:spacing w:before="33"/>
              <w:ind w:left="360" w:right="361"/>
              <w:jc w:val="center"/>
              <w:rPr>
                <w:b/>
                <w:sz w:val="18"/>
              </w:rPr>
            </w:pPr>
            <w:r>
              <w:rPr>
                <w:b/>
                <w:sz w:val="18"/>
              </w:rPr>
              <w:t>2011</w:t>
            </w:r>
          </w:p>
        </w:tc>
        <w:tc>
          <w:tcPr>
            <w:tcW w:w="1136" w:type="dxa"/>
          </w:tcPr>
          <w:p>
            <w:pPr>
              <w:pStyle w:val="TableParagraph"/>
              <w:spacing w:before="33"/>
              <w:ind w:left="359" w:right="362"/>
              <w:jc w:val="center"/>
              <w:rPr>
                <w:b/>
                <w:sz w:val="18"/>
              </w:rPr>
            </w:pPr>
            <w:r>
              <w:rPr>
                <w:b/>
                <w:sz w:val="18"/>
              </w:rPr>
              <w:t>2012</w:t>
            </w:r>
          </w:p>
        </w:tc>
      </w:tr>
      <w:tr>
        <w:trPr>
          <w:trHeight w:val="273" w:hRule="atLeast"/>
        </w:trPr>
        <w:tc>
          <w:tcPr>
            <w:tcW w:w="1990" w:type="dxa"/>
          </w:tcPr>
          <w:p>
            <w:pPr>
              <w:pStyle w:val="TableParagraph"/>
              <w:spacing w:line="198" w:lineRule="exact" w:before="55"/>
              <w:ind w:left="525" w:right="519"/>
              <w:jc w:val="center"/>
              <w:rPr>
                <w:sz w:val="18"/>
              </w:rPr>
            </w:pPr>
            <w:r>
              <w:rPr>
                <w:sz w:val="18"/>
              </w:rPr>
              <w:t>Before 2008</w:t>
            </w:r>
          </w:p>
        </w:tc>
        <w:tc>
          <w:tcPr>
            <w:tcW w:w="1136" w:type="dxa"/>
          </w:tcPr>
          <w:p>
            <w:pPr>
              <w:pStyle w:val="TableParagraph"/>
              <w:spacing w:line="198" w:lineRule="exact" w:before="55"/>
              <w:ind w:left="4"/>
              <w:jc w:val="center"/>
              <w:rPr>
                <w:sz w:val="18"/>
              </w:rPr>
            </w:pPr>
            <w:r>
              <w:rPr>
                <w:sz w:val="18"/>
              </w:rPr>
              <w:t>R</w:t>
            </w:r>
          </w:p>
        </w:tc>
        <w:tc>
          <w:tcPr>
            <w:tcW w:w="1134" w:type="dxa"/>
          </w:tcPr>
          <w:p>
            <w:pPr>
              <w:pStyle w:val="TableParagraph"/>
              <w:spacing w:line="198" w:lineRule="exact" w:before="55"/>
              <w:ind w:left="5"/>
              <w:jc w:val="center"/>
              <w:rPr>
                <w:sz w:val="18"/>
              </w:rPr>
            </w:pPr>
            <w:r>
              <w:rPr>
                <w:sz w:val="18"/>
              </w:rPr>
              <w:t>R</w:t>
            </w:r>
          </w:p>
        </w:tc>
        <w:tc>
          <w:tcPr>
            <w:tcW w:w="1136" w:type="dxa"/>
          </w:tcPr>
          <w:p>
            <w:pPr>
              <w:pStyle w:val="TableParagraph"/>
              <w:spacing w:line="198" w:lineRule="exact" w:before="55"/>
              <w:jc w:val="center"/>
              <w:rPr>
                <w:sz w:val="18"/>
              </w:rPr>
            </w:pPr>
            <w:r>
              <w:rPr>
                <w:sz w:val="18"/>
              </w:rPr>
              <w:t>R</w:t>
            </w:r>
          </w:p>
        </w:tc>
        <w:tc>
          <w:tcPr>
            <w:tcW w:w="1134" w:type="dxa"/>
          </w:tcPr>
          <w:p>
            <w:pPr>
              <w:pStyle w:val="TableParagraph"/>
              <w:spacing w:line="198" w:lineRule="exact" w:before="55"/>
              <w:ind w:left="1"/>
              <w:jc w:val="center"/>
              <w:rPr>
                <w:sz w:val="18"/>
              </w:rPr>
            </w:pPr>
            <w:r>
              <w:rPr>
                <w:sz w:val="18"/>
              </w:rPr>
              <w:t>R</w:t>
            </w:r>
          </w:p>
        </w:tc>
        <w:tc>
          <w:tcPr>
            <w:tcW w:w="1136" w:type="dxa"/>
          </w:tcPr>
          <w:p>
            <w:pPr>
              <w:pStyle w:val="TableParagraph"/>
              <w:spacing w:line="198" w:lineRule="exact" w:before="55"/>
              <w:jc w:val="center"/>
              <w:rPr>
                <w:sz w:val="18"/>
              </w:rPr>
            </w:pPr>
            <w:r>
              <w:rPr>
                <w:sz w:val="18"/>
              </w:rPr>
              <w:t>R</w:t>
            </w:r>
          </w:p>
        </w:tc>
      </w:tr>
      <w:tr>
        <w:trPr>
          <w:trHeight w:val="273" w:hRule="atLeast"/>
        </w:trPr>
        <w:tc>
          <w:tcPr>
            <w:tcW w:w="1990" w:type="dxa"/>
          </w:tcPr>
          <w:p>
            <w:pPr>
              <w:pStyle w:val="TableParagraph"/>
              <w:spacing w:line="198" w:lineRule="exact" w:before="55"/>
              <w:ind w:left="524" w:right="519"/>
              <w:jc w:val="center"/>
              <w:rPr>
                <w:sz w:val="18"/>
              </w:rPr>
            </w:pPr>
            <w:r>
              <w:rPr>
                <w:sz w:val="18"/>
              </w:rPr>
              <w:t>In 2008</w:t>
            </w:r>
          </w:p>
        </w:tc>
        <w:tc>
          <w:tcPr>
            <w:tcW w:w="1136" w:type="dxa"/>
          </w:tcPr>
          <w:p>
            <w:pPr>
              <w:pStyle w:val="TableParagraph"/>
              <w:spacing w:line="198" w:lineRule="exact" w:before="55"/>
              <w:ind w:left="5"/>
              <w:jc w:val="center"/>
              <w:rPr>
                <w:sz w:val="18"/>
              </w:rPr>
            </w:pPr>
            <w:r>
              <w:rPr>
                <w:sz w:val="18"/>
              </w:rPr>
              <w:t>R</w:t>
            </w:r>
          </w:p>
        </w:tc>
        <w:tc>
          <w:tcPr>
            <w:tcW w:w="1134" w:type="dxa"/>
          </w:tcPr>
          <w:p>
            <w:pPr>
              <w:pStyle w:val="TableParagraph"/>
              <w:spacing w:line="198" w:lineRule="exact" w:before="55"/>
              <w:ind w:left="6"/>
              <w:jc w:val="center"/>
              <w:rPr>
                <w:sz w:val="18"/>
              </w:rPr>
            </w:pPr>
            <w:r>
              <w:rPr>
                <w:sz w:val="18"/>
              </w:rPr>
              <w:t>R</w:t>
            </w:r>
          </w:p>
        </w:tc>
        <w:tc>
          <w:tcPr>
            <w:tcW w:w="1136" w:type="dxa"/>
          </w:tcPr>
          <w:p>
            <w:pPr>
              <w:pStyle w:val="TableParagraph"/>
              <w:spacing w:line="198" w:lineRule="exact" w:before="55"/>
              <w:ind w:left="1"/>
              <w:jc w:val="center"/>
              <w:rPr>
                <w:sz w:val="18"/>
              </w:rPr>
            </w:pPr>
            <w:r>
              <w:rPr>
                <w:sz w:val="18"/>
              </w:rPr>
              <w:t>R</w:t>
            </w:r>
          </w:p>
        </w:tc>
        <w:tc>
          <w:tcPr>
            <w:tcW w:w="1134" w:type="dxa"/>
          </w:tcPr>
          <w:p>
            <w:pPr>
              <w:pStyle w:val="TableParagraph"/>
              <w:spacing w:line="198" w:lineRule="exact" w:before="55"/>
              <w:ind w:left="2"/>
              <w:jc w:val="center"/>
              <w:rPr>
                <w:sz w:val="18"/>
              </w:rPr>
            </w:pPr>
            <w:r>
              <w:rPr>
                <w:sz w:val="18"/>
              </w:rPr>
              <w:t>R</w:t>
            </w:r>
          </w:p>
        </w:tc>
        <w:tc>
          <w:tcPr>
            <w:tcW w:w="1136" w:type="dxa"/>
          </w:tcPr>
          <w:p>
            <w:pPr>
              <w:pStyle w:val="TableParagraph"/>
              <w:spacing w:line="198" w:lineRule="exact" w:before="55"/>
              <w:ind w:right="1"/>
              <w:jc w:val="center"/>
              <w:rPr>
                <w:sz w:val="18"/>
              </w:rPr>
            </w:pPr>
            <w:r>
              <w:rPr>
                <w:sz w:val="18"/>
              </w:rPr>
              <w:t>R</w:t>
            </w:r>
          </w:p>
        </w:tc>
      </w:tr>
      <w:tr>
        <w:trPr>
          <w:trHeight w:val="275" w:hRule="atLeast"/>
        </w:trPr>
        <w:tc>
          <w:tcPr>
            <w:tcW w:w="1990" w:type="dxa"/>
          </w:tcPr>
          <w:p>
            <w:pPr>
              <w:pStyle w:val="TableParagraph"/>
              <w:spacing w:line="201" w:lineRule="exact" w:before="55"/>
              <w:ind w:left="523" w:right="519"/>
              <w:jc w:val="center"/>
              <w:rPr>
                <w:sz w:val="18"/>
              </w:rPr>
            </w:pPr>
            <w:r>
              <w:rPr>
                <w:sz w:val="18"/>
              </w:rPr>
              <w:t>In 2009</w:t>
            </w:r>
          </w:p>
        </w:tc>
        <w:tc>
          <w:tcPr>
            <w:tcW w:w="1136" w:type="dxa"/>
            <w:shd w:val="clear" w:color="auto" w:fill="D9D9D9"/>
          </w:tcPr>
          <w:p>
            <w:pPr>
              <w:pStyle w:val="TableParagraph"/>
              <w:rPr>
                <w:sz w:val="18"/>
              </w:rPr>
            </w:pPr>
          </w:p>
        </w:tc>
        <w:tc>
          <w:tcPr>
            <w:tcW w:w="1134" w:type="dxa"/>
          </w:tcPr>
          <w:p>
            <w:pPr>
              <w:pStyle w:val="TableParagraph"/>
              <w:spacing w:line="201" w:lineRule="exact" w:before="55"/>
              <w:ind w:left="6"/>
              <w:jc w:val="center"/>
              <w:rPr>
                <w:sz w:val="18"/>
              </w:rPr>
            </w:pPr>
            <w:r>
              <w:rPr>
                <w:sz w:val="18"/>
              </w:rPr>
              <w:t>R</w:t>
            </w:r>
          </w:p>
        </w:tc>
        <w:tc>
          <w:tcPr>
            <w:tcW w:w="1136" w:type="dxa"/>
          </w:tcPr>
          <w:p>
            <w:pPr>
              <w:pStyle w:val="TableParagraph"/>
              <w:spacing w:line="201" w:lineRule="exact" w:before="55"/>
              <w:ind w:left="1"/>
              <w:jc w:val="center"/>
              <w:rPr>
                <w:sz w:val="18"/>
              </w:rPr>
            </w:pPr>
            <w:r>
              <w:rPr>
                <w:sz w:val="18"/>
              </w:rPr>
              <w:t>R</w:t>
            </w:r>
          </w:p>
        </w:tc>
        <w:tc>
          <w:tcPr>
            <w:tcW w:w="1134" w:type="dxa"/>
          </w:tcPr>
          <w:p>
            <w:pPr>
              <w:pStyle w:val="TableParagraph"/>
              <w:spacing w:line="201" w:lineRule="exact" w:before="55"/>
              <w:ind w:left="2"/>
              <w:jc w:val="center"/>
              <w:rPr>
                <w:sz w:val="18"/>
              </w:rPr>
            </w:pPr>
            <w:r>
              <w:rPr>
                <w:sz w:val="18"/>
              </w:rPr>
              <w:t>R</w:t>
            </w:r>
          </w:p>
        </w:tc>
        <w:tc>
          <w:tcPr>
            <w:tcW w:w="1136" w:type="dxa"/>
          </w:tcPr>
          <w:p>
            <w:pPr>
              <w:pStyle w:val="TableParagraph"/>
              <w:spacing w:line="201" w:lineRule="exact" w:before="55"/>
              <w:jc w:val="center"/>
              <w:rPr>
                <w:sz w:val="18"/>
              </w:rPr>
            </w:pPr>
            <w:r>
              <w:rPr>
                <w:sz w:val="18"/>
              </w:rPr>
              <w:t>R</w:t>
            </w:r>
          </w:p>
        </w:tc>
      </w:tr>
      <w:tr>
        <w:trPr>
          <w:trHeight w:val="273" w:hRule="atLeast"/>
        </w:trPr>
        <w:tc>
          <w:tcPr>
            <w:tcW w:w="1990" w:type="dxa"/>
          </w:tcPr>
          <w:p>
            <w:pPr>
              <w:pStyle w:val="TableParagraph"/>
              <w:spacing w:line="198" w:lineRule="exact" w:before="55"/>
              <w:ind w:left="523" w:right="519"/>
              <w:jc w:val="center"/>
              <w:rPr>
                <w:sz w:val="18"/>
              </w:rPr>
            </w:pPr>
            <w:r>
              <w:rPr>
                <w:sz w:val="18"/>
              </w:rPr>
              <w:t>In 2010</w:t>
            </w:r>
          </w:p>
        </w:tc>
        <w:tc>
          <w:tcPr>
            <w:tcW w:w="1136" w:type="dxa"/>
            <w:shd w:val="clear" w:color="auto" w:fill="D9D9D9"/>
          </w:tcPr>
          <w:p>
            <w:pPr>
              <w:pStyle w:val="TableParagraph"/>
              <w:rPr>
                <w:sz w:val="18"/>
              </w:rPr>
            </w:pPr>
          </w:p>
        </w:tc>
        <w:tc>
          <w:tcPr>
            <w:tcW w:w="1134" w:type="dxa"/>
            <w:shd w:val="clear" w:color="auto" w:fill="D9D9D9"/>
          </w:tcPr>
          <w:p>
            <w:pPr>
              <w:pStyle w:val="TableParagraph"/>
              <w:rPr>
                <w:sz w:val="18"/>
              </w:rPr>
            </w:pPr>
          </w:p>
        </w:tc>
        <w:tc>
          <w:tcPr>
            <w:tcW w:w="1136" w:type="dxa"/>
          </w:tcPr>
          <w:p>
            <w:pPr>
              <w:pStyle w:val="TableParagraph"/>
              <w:spacing w:line="198" w:lineRule="exact" w:before="55"/>
              <w:ind w:left="1"/>
              <w:jc w:val="center"/>
              <w:rPr>
                <w:sz w:val="18"/>
              </w:rPr>
            </w:pPr>
            <w:r>
              <w:rPr>
                <w:sz w:val="18"/>
              </w:rPr>
              <w:t>R</w:t>
            </w:r>
          </w:p>
        </w:tc>
        <w:tc>
          <w:tcPr>
            <w:tcW w:w="1134" w:type="dxa"/>
          </w:tcPr>
          <w:p>
            <w:pPr>
              <w:pStyle w:val="TableParagraph"/>
              <w:spacing w:line="198" w:lineRule="exact" w:before="55"/>
              <w:ind w:left="2"/>
              <w:jc w:val="center"/>
              <w:rPr>
                <w:sz w:val="18"/>
              </w:rPr>
            </w:pPr>
            <w:r>
              <w:rPr>
                <w:sz w:val="18"/>
              </w:rPr>
              <w:t>R</w:t>
            </w:r>
          </w:p>
        </w:tc>
        <w:tc>
          <w:tcPr>
            <w:tcW w:w="1136" w:type="dxa"/>
          </w:tcPr>
          <w:p>
            <w:pPr>
              <w:pStyle w:val="TableParagraph"/>
              <w:spacing w:line="198" w:lineRule="exact" w:before="55"/>
              <w:jc w:val="center"/>
              <w:rPr>
                <w:sz w:val="18"/>
              </w:rPr>
            </w:pPr>
            <w:r>
              <w:rPr>
                <w:sz w:val="18"/>
              </w:rPr>
              <w:t>R</w:t>
            </w:r>
          </w:p>
        </w:tc>
      </w:tr>
      <w:tr>
        <w:trPr>
          <w:trHeight w:val="273" w:hRule="atLeast"/>
        </w:trPr>
        <w:tc>
          <w:tcPr>
            <w:tcW w:w="1990" w:type="dxa"/>
          </w:tcPr>
          <w:p>
            <w:pPr>
              <w:pStyle w:val="TableParagraph"/>
              <w:spacing w:line="198" w:lineRule="exact" w:before="55"/>
              <w:ind w:left="523" w:right="519"/>
              <w:jc w:val="center"/>
              <w:rPr>
                <w:sz w:val="18"/>
              </w:rPr>
            </w:pPr>
            <w:r>
              <w:rPr>
                <w:sz w:val="18"/>
              </w:rPr>
              <w:t>In 2011</w:t>
            </w:r>
          </w:p>
        </w:tc>
        <w:tc>
          <w:tcPr>
            <w:tcW w:w="1136" w:type="dxa"/>
            <w:shd w:val="clear" w:color="auto" w:fill="D9D9D9"/>
          </w:tcPr>
          <w:p>
            <w:pPr>
              <w:pStyle w:val="TableParagraph"/>
              <w:rPr>
                <w:sz w:val="18"/>
              </w:rPr>
            </w:pPr>
          </w:p>
        </w:tc>
        <w:tc>
          <w:tcPr>
            <w:tcW w:w="1134" w:type="dxa"/>
            <w:shd w:val="clear" w:color="auto" w:fill="D9D9D9"/>
          </w:tcPr>
          <w:p>
            <w:pPr>
              <w:pStyle w:val="TableParagraph"/>
              <w:rPr>
                <w:sz w:val="18"/>
              </w:rPr>
            </w:pPr>
          </w:p>
        </w:tc>
        <w:tc>
          <w:tcPr>
            <w:tcW w:w="1136" w:type="dxa"/>
            <w:shd w:val="clear" w:color="auto" w:fill="D9D9D9"/>
          </w:tcPr>
          <w:p>
            <w:pPr>
              <w:pStyle w:val="TableParagraph"/>
              <w:rPr>
                <w:sz w:val="18"/>
              </w:rPr>
            </w:pPr>
          </w:p>
        </w:tc>
        <w:tc>
          <w:tcPr>
            <w:tcW w:w="1134" w:type="dxa"/>
          </w:tcPr>
          <w:p>
            <w:pPr>
              <w:pStyle w:val="TableParagraph"/>
              <w:spacing w:line="198" w:lineRule="exact" w:before="55"/>
              <w:ind w:left="2"/>
              <w:jc w:val="center"/>
              <w:rPr>
                <w:sz w:val="18"/>
              </w:rPr>
            </w:pPr>
            <w:r>
              <w:rPr>
                <w:sz w:val="18"/>
              </w:rPr>
              <w:t>R</w:t>
            </w:r>
          </w:p>
        </w:tc>
        <w:tc>
          <w:tcPr>
            <w:tcW w:w="1136" w:type="dxa"/>
          </w:tcPr>
          <w:p>
            <w:pPr>
              <w:pStyle w:val="TableParagraph"/>
              <w:spacing w:line="198" w:lineRule="exact" w:before="55"/>
              <w:jc w:val="center"/>
              <w:rPr>
                <w:sz w:val="18"/>
              </w:rPr>
            </w:pPr>
            <w:r>
              <w:rPr>
                <w:sz w:val="18"/>
              </w:rPr>
              <w:t>R</w:t>
            </w:r>
          </w:p>
        </w:tc>
      </w:tr>
      <w:tr>
        <w:trPr>
          <w:trHeight w:val="275" w:hRule="atLeast"/>
        </w:trPr>
        <w:tc>
          <w:tcPr>
            <w:tcW w:w="1990" w:type="dxa"/>
          </w:tcPr>
          <w:p>
            <w:pPr>
              <w:pStyle w:val="TableParagraph"/>
              <w:spacing w:line="201" w:lineRule="exact" w:before="55"/>
              <w:ind w:left="523" w:right="519"/>
              <w:jc w:val="center"/>
              <w:rPr>
                <w:sz w:val="18"/>
              </w:rPr>
            </w:pPr>
            <w:r>
              <w:rPr>
                <w:sz w:val="18"/>
              </w:rPr>
              <w:t>In 2012</w:t>
            </w:r>
          </w:p>
        </w:tc>
        <w:tc>
          <w:tcPr>
            <w:tcW w:w="1136" w:type="dxa"/>
            <w:shd w:val="clear" w:color="auto" w:fill="D9D9D9"/>
          </w:tcPr>
          <w:p>
            <w:pPr>
              <w:pStyle w:val="TableParagraph"/>
              <w:rPr>
                <w:sz w:val="18"/>
              </w:rPr>
            </w:pPr>
          </w:p>
        </w:tc>
        <w:tc>
          <w:tcPr>
            <w:tcW w:w="1134" w:type="dxa"/>
            <w:shd w:val="clear" w:color="auto" w:fill="D9D9D9"/>
          </w:tcPr>
          <w:p>
            <w:pPr>
              <w:pStyle w:val="TableParagraph"/>
              <w:rPr>
                <w:sz w:val="18"/>
              </w:rPr>
            </w:pPr>
          </w:p>
        </w:tc>
        <w:tc>
          <w:tcPr>
            <w:tcW w:w="1136" w:type="dxa"/>
            <w:shd w:val="clear" w:color="auto" w:fill="D9D9D9"/>
          </w:tcPr>
          <w:p>
            <w:pPr>
              <w:pStyle w:val="TableParagraph"/>
              <w:rPr>
                <w:sz w:val="18"/>
              </w:rPr>
            </w:pPr>
          </w:p>
        </w:tc>
        <w:tc>
          <w:tcPr>
            <w:tcW w:w="1134" w:type="dxa"/>
            <w:shd w:val="clear" w:color="auto" w:fill="D9D9D9"/>
          </w:tcPr>
          <w:p>
            <w:pPr>
              <w:pStyle w:val="TableParagraph"/>
              <w:rPr>
                <w:sz w:val="18"/>
              </w:rPr>
            </w:pPr>
          </w:p>
        </w:tc>
        <w:tc>
          <w:tcPr>
            <w:tcW w:w="1136" w:type="dxa"/>
          </w:tcPr>
          <w:p>
            <w:pPr>
              <w:pStyle w:val="TableParagraph"/>
              <w:spacing w:line="201" w:lineRule="exact" w:before="55"/>
              <w:jc w:val="center"/>
              <w:rPr>
                <w:sz w:val="18"/>
              </w:rPr>
            </w:pPr>
            <w:r>
              <w:rPr>
                <w:sz w:val="18"/>
              </w:rPr>
              <w:t>R</w:t>
            </w:r>
          </w:p>
        </w:tc>
      </w:tr>
    </w:tbl>
    <w:p>
      <w:pPr>
        <w:pStyle w:val="BodyText"/>
      </w:pPr>
    </w:p>
    <w:p>
      <w:pPr>
        <w:pStyle w:val="BodyText"/>
      </w:pPr>
    </w:p>
    <w:p>
      <w:pPr>
        <w:pStyle w:val="BodyText"/>
        <w:spacing w:before="1"/>
      </w:pPr>
    </w:p>
    <w:p>
      <w:pPr>
        <w:pStyle w:val="BodyText"/>
        <w:ind w:left="159" w:right="161"/>
        <w:jc w:val="both"/>
      </w:pPr>
      <w:r>
        <w:rPr/>
        <w:t>Each activity (afforestation, reforestation, deforestation, forest management, cropland management, grazing land management and revegetation) may consist of a suite of practices and may begin with one or several of these. For instance, an afforestation programme may begin with planning, land purchase, producing propagation material etc. Operations like site preparation can also precede the planting or seeding (as a result of which the land actually becomes a “forest”). Some of these operations are carbon-neutral, while others like site preparation may result in significant carbon, nitrous oxide or methane emissions. It is </w:t>
      </w:r>
      <w:r>
        <w:rPr>
          <w:i/>
        </w:rPr>
        <w:t>good practice </w:t>
      </w:r>
      <w:r>
        <w:rPr/>
        <w:t>to interpret the beginning of an activity as the start of </w:t>
      </w:r>
      <w:r>
        <w:rPr>
          <w:i/>
        </w:rPr>
        <w:t>in situ </w:t>
      </w:r>
      <w:r>
        <w:rPr/>
        <w:t>carbon stock change and/or non-CO</w:t>
      </w:r>
      <w:r>
        <w:rPr>
          <w:vertAlign w:val="subscript"/>
        </w:rPr>
        <w:t>2</w:t>
      </w:r>
      <w:r>
        <w:rPr>
          <w:vertAlign w:val="baseline"/>
        </w:rPr>
        <w:t> emissions due to any of the suite of the operations. For example, if an afforestation activity includes site preparation, then it is </w:t>
      </w:r>
      <w:r>
        <w:rPr>
          <w:i/>
          <w:vertAlign w:val="baseline"/>
        </w:rPr>
        <w:t>good practice </w:t>
      </w:r>
      <w:r>
        <w:rPr>
          <w:vertAlign w:val="baseline"/>
        </w:rPr>
        <w:t>to</w:t>
      </w:r>
      <w:r>
        <w:rPr>
          <w:spacing w:val="19"/>
          <w:vertAlign w:val="baseline"/>
        </w:rPr>
        <w:t> </w:t>
      </w:r>
      <w:r>
        <w:rPr>
          <w:vertAlign w:val="baseline"/>
        </w:rPr>
        <w:t>include</w:t>
      </w:r>
      <w:r>
        <w:rPr>
          <w:spacing w:val="19"/>
          <w:vertAlign w:val="baseline"/>
        </w:rPr>
        <w:t> </w:t>
      </w:r>
      <w:r>
        <w:rPr>
          <w:vertAlign w:val="baseline"/>
        </w:rPr>
        <w:t>carbon</w:t>
      </w:r>
      <w:r>
        <w:rPr>
          <w:spacing w:val="17"/>
          <w:vertAlign w:val="baseline"/>
        </w:rPr>
        <w:t> </w:t>
      </w:r>
      <w:r>
        <w:rPr>
          <w:vertAlign w:val="baseline"/>
        </w:rPr>
        <w:t>stock</w:t>
      </w:r>
      <w:r>
        <w:rPr>
          <w:spacing w:val="17"/>
          <w:vertAlign w:val="baseline"/>
        </w:rPr>
        <w:t> </w:t>
      </w:r>
      <w:r>
        <w:rPr>
          <w:vertAlign w:val="baseline"/>
        </w:rPr>
        <w:t>changes</w:t>
      </w:r>
      <w:r>
        <w:rPr>
          <w:spacing w:val="18"/>
          <w:vertAlign w:val="baseline"/>
        </w:rPr>
        <w:t> </w:t>
      </w:r>
      <w:r>
        <w:rPr>
          <w:vertAlign w:val="baseline"/>
        </w:rPr>
        <w:t>caused</w:t>
      </w:r>
      <w:r>
        <w:rPr>
          <w:spacing w:val="19"/>
          <w:vertAlign w:val="baseline"/>
        </w:rPr>
        <w:t> </w:t>
      </w:r>
      <w:r>
        <w:rPr>
          <w:vertAlign w:val="baseline"/>
        </w:rPr>
        <w:t>by</w:t>
      </w:r>
      <w:r>
        <w:rPr>
          <w:spacing w:val="17"/>
          <w:vertAlign w:val="baseline"/>
        </w:rPr>
        <w:t> </w:t>
      </w:r>
      <w:r>
        <w:rPr>
          <w:vertAlign w:val="baseline"/>
        </w:rPr>
        <w:t>site</w:t>
      </w:r>
      <w:r>
        <w:rPr>
          <w:spacing w:val="19"/>
          <w:vertAlign w:val="baseline"/>
        </w:rPr>
        <w:t> </w:t>
      </w:r>
      <w:r>
        <w:rPr>
          <w:vertAlign w:val="baseline"/>
        </w:rPr>
        <w:t>preparation.</w:t>
      </w:r>
      <w:r>
        <w:rPr>
          <w:spacing w:val="19"/>
          <w:vertAlign w:val="baseline"/>
        </w:rPr>
        <w:t> </w:t>
      </w:r>
      <w:r>
        <w:rPr>
          <w:vertAlign w:val="baseline"/>
        </w:rPr>
        <w:t>In</w:t>
      </w:r>
      <w:r>
        <w:rPr>
          <w:spacing w:val="18"/>
          <w:vertAlign w:val="baseline"/>
        </w:rPr>
        <w:t> </w:t>
      </w:r>
      <w:r>
        <w:rPr>
          <w:vertAlign w:val="baseline"/>
        </w:rPr>
        <w:t>order</w:t>
      </w:r>
      <w:r>
        <w:rPr>
          <w:spacing w:val="19"/>
          <w:vertAlign w:val="baseline"/>
        </w:rPr>
        <w:t> </w:t>
      </w:r>
      <w:r>
        <w:rPr>
          <w:vertAlign w:val="baseline"/>
        </w:rPr>
        <w:t>to</w:t>
      </w:r>
      <w:r>
        <w:rPr>
          <w:spacing w:val="17"/>
          <w:vertAlign w:val="baseline"/>
        </w:rPr>
        <w:t> </w:t>
      </w:r>
      <w:r>
        <w:rPr>
          <w:vertAlign w:val="baseline"/>
        </w:rPr>
        <w:t>do</w:t>
      </w:r>
      <w:r>
        <w:rPr>
          <w:spacing w:val="20"/>
          <w:vertAlign w:val="baseline"/>
        </w:rPr>
        <w:t> </w:t>
      </w:r>
      <w:r>
        <w:rPr>
          <w:vertAlign w:val="baseline"/>
        </w:rPr>
        <w:t>that,</w:t>
      </w:r>
      <w:r>
        <w:rPr>
          <w:spacing w:val="19"/>
          <w:vertAlign w:val="baseline"/>
        </w:rPr>
        <w:t> </w:t>
      </w:r>
      <w:r>
        <w:rPr>
          <w:vertAlign w:val="baseline"/>
        </w:rPr>
        <w:t>one</w:t>
      </w:r>
      <w:r>
        <w:rPr>
          <w:spacing w:val="19"/>
          <w:vertAlign w:val="baseline"/>
        </w:rPr>
        <w:t> </w:t>
      </w:r>
      <w:r>
        <w:rPr>
          <w:vertAlign w:val="baseline"/>
        </w:rPr>
        <w:t>can</w:t>
      </w:r>
      <w:r>
        <w:rPr>
          <w:spacing w:val="17"/>
          <w:vertAlign w:val="baseline"/>
        </w:rPr>
        <w:t> </w:t>
      </w:r>
      <w:r>
        <w:rPr>
          <w:vertAlign w:val="baseline"/>
        </w:rPr>
        <w:t>either</w:t>
      </w:r>
      <w:r>
        <w:rPr>
          <w:spacing w:val="19"/>
          <w:vertAlign w:val="baseline"/>
        </w:rPr>
        <w:t> </w:t>
      </w:r>
      <w:r>
        <w:rPr>
          <w:vertAlign w:val="baseline"/>
        </w:rPr>
        <w:t>a)</w:t>
      </w:r>
      <w:r>
        <w:rPr>
          <w:spacing w:val="21"/>
          <w:vertAlign w:val="baseline"/>
        </w:rPr>
        <w:t> </w:t>
      </w:r>
      <w:r>
        <w:rPr>
          <w:vertAlign w:val="baseline"/>
        </w:rPr>
        <w:t>measure</w:t>
      </w:r>
      <w:r>
        <w:rPr>
          <w:spacing w:val="19"/>
          <w:vertAlign w:val="baseline"/>
        </w:rPr>
        <w:t> </w:t>
      </w:r>
      <w:r>
        <w:rPr>
          <w:vertAlign w:val="baseline"/>
        </w:rPr>
        <w:t>the</w:t>
      </w:r>
    </w:p>
    <w:p>
      <w:pPr>
        <w:pStyle w:val="BodyText"/>
        <w:spacing w:before="10"/>
      </w:pPr>
      <w:r>
        <w:rPr/>
        <w:pict>
          <v:line style="position:absolute;mso-position-horizontal-relative:page;mso-position-vertical-relative:paragraph;z-index:18752;mso-wrap-distance-left:0;mso-wrap-distance-right:0" from="70.960999pt,14.241718pt" to="214.960999pt,14.241718pt" stroked="true" strokeweight=".48pt" strokecolor="#000000">
            <v:stroke dashstyle="solid"/>
            <w10:wrap type="topAndBottom"/>
          </v:line>
        </w:pict>
      </w:r>
    </w:p>
    <w:p>
      <w:pPr>
        <w:spacing w:before="153"/>
        <w:ind w:left="317" w:right="118" w:hanging="159"/>
        <w:jc w:val="both"/>
        <w:rPr>
          <w:sz w:val="18"/>
        </w:rPr>
      </w:pPr>
      <w:r>
        <w:rPr>
          <w:position w:val="8"/>
          <w:sz w:val="12"/>
        </w:rPr>
        <w:t>27 </w:t>
      </w:r>
      <w:r>
        <w:rPr>
          <w:sz w:val="18"/>
        </w:rPr>
        <w:t>See paragraph 5 in the Annex to the draft decision -/CMP.1 (Article 7), contained in document FCCC/CP/2001/13/Add.3, p. 22.</w:t>
      </w:r>
    </w:p>
    <w:p>
      <w:pPr>
        <w:spacing w:before="95"/>
        <w:ind w:left="317" w:right="161" w:hanging="159"/>
        <w:jc w:val="both"/>
        <w:rPr>
          <w:sz w:val="18"/>
        </w:rPr>
      </w:pPr>
      <w:r>
        <w:rPr>
          <w:position w:val="8"/>
          <w:sz w:val="12"/>
        </w:rPr>
        <w:t>28 </w:t>
      </w:r>
      <w:r>
        <w:rPr>
          <w:sz w:val="18"/>
        </w:rPr>
        <w:t>For example, if the area of an Article 3.4 activity is 100 ha at the beginning of an inventory year and 200 ha at the end of the same inventory year, then the difference in carbon stocks on the 200 ha over the inventory year must be calculated – otherwise the carbon stock at the beginning of the year (X tonnes of C / ha • 100 ha) is almost always smaller than the carbon stock at the end of the year (Y tonnes of C / ha • 200 ha), and an apparent increase would merely result from the presence of carbon stocks as the area</w:t>
      </w:r>
      <w:r>
        <w:rPr>
          <w:spacing w:val="-6"/>
          <w:sz w:val="18"/>
        </w:rPr>
        <w:t> </w:t>
      </w:r>
      <w:r>
        <w:rPr>
          <w:sz w:val="18"/>
        </w:rPr>
        <w:t>increases.</w:t>
      </w:r>
    </w:p>
    <w:p>
      <w:pPr>
        <w:spacing w:after="0"/>
        <w:jc w:val="both"/>
        <w:rPr>
          <w:sz w:val="18"/>
        </w:rPr>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7"/>
        <w:jc w:val="both"/>
      </w:pPr>
      <w:r>
        <w:rPr/>
        <w:t>carbon stocks on the site prior to the start of any operations related to the activity (in case carbon stock changes are estimated using multiple stock measurements), or b) make sure that the estimate of the stock change includes an estimate of the emissions resulting from these initial operations.</w:t>
      </w:r>
    </w:p>
    <w:p>
      <w:pPr>
        <w:pStyle w:val="BodyText"/>
        <w:rPr>
          <w:sz w:val="22"/>
        </w:rPr>
      </w:pPr>
    </w:p>
    <w:p>
      <w:pPr>
        <w:spacing w:before="149"/>
        <w:ind w:left="159" w:right="0" w:firstLine="0"/>
        <w:jc w:val="both"/>
        <w:rPr>
          <w:b/>
          <w:sz w:val="22"/>
        </w:rPr>
      </w:pPr>
      <w:r>
        <w:rPr>
          <w:b/>
          <w:sz w:val="28"/>
        </w:rPr>
        <w:t>4.2.3.3 R</w:t>
      </w:r>
      <w:r>
        <w:rPr>
          <w:b/>
          <w:sz w:val="22"/>
        </w:rPr>
        <w:t>EPORTING AND MEASUREMENT INTERVALS</w:t>
      </w:r>
    </w:p>
    <w:p>
      <w:pPr>
        <w:pStyle w:val="BodyText"/>
        <w:spacing w:before="209"/>
        <w:ind w:left="159" w:right="165"/>
        <w:jc w:val="both"/>
      </w:pPr>
      <w:r>
        <w:rPr/>
        <w:t>The Marrakesh Accords specify that all emissions from sources and removal by sinks caused by Article 3.3 and elected Article 3.4 activities be reported annually. </w:t>
      </w:r>
      <w:r>
        <w:rPr>
          <w:vertAlign w:val="superscript"/>
        </w:rPr>
        <w:t>29</w:t>
      </w:r>
      <w:r>
        <w:rPr>
          <w:vertAlign w:val="baseline"/>
        </w:rPr>
        <w:t> A number of methods are available to obtain annual estimates and the annual reporting requirement does not imply that annual field measurements are necessary. This would be neither feasible nor cost-effective. In fact, although more frequent measurement will generally decrease</w:t>
      </w:r>
      <w:r>
        <w:rPr>
          <w:spacing w:val="20"/>
          <w:vertAlign w:val="baseline"/>
        </w:rPr>
        <w:t> </w:t>
      </w:r>
      <w:r>
        <w:rPr>
          <w:vertAlign w:val="baseline"/>
        </w:rPr>
        <w:t>uncertainties,</w:t>
      </w:r>
      <w:r>
        <w:rPr>
          <w:spacing w:val="21"/>
          <w:vertAlign w:val="baseline"/>
        </w:rPr>
        <w:t> </w:t>
      </w:r>
      <w:r>
        <w:rPr>
          <w:vertAlign w:val="baseline"/>
        </w:rPr>
        <w:t>the</w:t>
      </w:r>
      <w:r>
        <w:rPr>
          <w:spacing w:val="20"/>
          <w:vertAlign w:val="baseline"/>
        </w:rPr>
        <w:t> </w:t>
      </w:r>
      <w:r>
        <w:rPr>
          <w:vertAlign w:val="baseline"/>
        </w:rPr>
        <w:t>opposite</w:t>
      </w:r>
      <w:r>
        <w:rPr>
          <w:spacing w:val="21"/>
          <w:vertAlign w:val="baseline"/>
        </w:rPr>
        <w:t> </w:t>
      </w:r>
      <w:r>
        <w:rPr>
          <w:vertAlign w:val="baseline"/>
        </w:rPr>
        <w:t>can</w:t>
      </w:r>
      <w:r>
        <w:rPr>
          <w:spacing w:val="19"/>
          <w:vertAlign w:val="baseline"/>
        </w:rPr>
        <w:t> </w:t>
      </w:r>
      <w:r>
        <w:rPr>
          <w:vertAlign w:val="baseline"/>
        </w:rPr>
        <w:t>also</w:t>
      </w:r>
      <w:r>
        <w:rPr>
          <w:spacing w:val="23"/>
          <w:vertAlign w:val="baseline"/>
        </w:rPr>
        <w:t> </w:t>
      </w:r>
      <w:r>
        <w:rPr>
          <w:vertAlign w:val="baseline"/>
        </w:rPr>
        <w:t>happen</w:t>
      </w:r>
      <w:r>
        <w:rPr>
          <w:spacing w:val="19"/>
          <w:vertAlign w:val="baseline"/>
        </w:rPr>
        <w:t> </w:t>
      </w:r>
      <w:r>
        <w:rPr>
          <w:vertAlign w:val="baseline"/>
        </w:rPr>
        <w:t>because</w:t>
      </w:r>
      <w:r>
        <w:rPr>
          <w:spacing w:val="19"/>
          <w:vertAlign w:val="baseline"/>
        </w:rPr>
        <w:t> </w:t>
      </w:r>
      <w:r>
        <w:rPr>
          <w:vertAlign w:val="baseline"/>
        </w:rPr>
        <w:t>of</w:t>
      </w:r>
      <w:r>
        <w:rPr>
          <w:spacing w:val="21"/>
          <w:vertAlign w:val="baseline"/>
        </w:rPr>
        <w:t> </w:t>
      </w:r>
      <w:r>
        <w:rPr>
          <w:vertAlign w:val="baseline"/>
        </w:rPr>
        <w:t>short-term</w:t>
      </w:r>
      <w:r>
        <w:rPr>
          <w:spacing w:val="22"/>
          <w:vertAlign w:val="baseline"/>
        </w:rPr>
        <w:t> </w:t>
      </w:r>
      <w:r>
        <w:rPr>
          <w:vertAlign w:val="baseline"/>
        </w:rPr>
        <w:t>variability,</w:t>
      </w:r>
      <w:r>
        <w:rPr>
          <w:spacing w:val="23"/>
          <w:vertAlign w:val="baseline"/>
        </w:rPr>
        <w:t> </w:t>
      </w:r>
      <w:r>
        <w:rPr>
          <w:vertAlign w:val="baseline"/>
        </w:rPr>
        <w:t>as</w:t>
      </w:r>
      <w:r>
        <w:rPr>
          <w:spacing w:val="20"/>
          <w:vertAlign w:val="baseline"/>
        </w:rPr>
        <w:t> </w:t>
      </w:r>
      <w:r>
        <w:rPr>
          <w:vertAlign w:val="baseline"/>
        </w:rPr>
        <w:t>discussed</w:t>
      </w:r>
      <w:r>
        <w:rPr>
          <w:spacing w:val="23"/>
          <w:vertAlign w:val="baseline"/>
        </w:rPr>
        <w:t> </w:t>
      </w:r>
      <w:r>
        <w:rPr>
          <w:vertAlign w:val="baseline"/>
        </w:rPr>
        <w:t>in</w:t>
      </w:r>
      <w:r>
        <w:rPr>
          <w:spacing w:val="22"/>
          <w:vertAlign w:val="baseline"/>
        </w:rPr>
        <w:t> </w:t>
      </w:r>
      <w:r>
        <w:rPr>
          <w:vertAlign w:val="baseline"/>
        </w:rPr>
        <w:t>Section</w:t>
      </w:r>
    </w:p>
    <w:p>
      <w:pPr>
        <w:pStyle w:val="BodyText"/>
        <w:ind w:left="159" w:right="115"/>
        <w:jc w:val="both"/>
      </w:pPr>
      <w:r>
        <w:rPr/>
        <w:t>4.2.3.7 (Interannual variability). Carbon stock changes for pools with high uncertainties, e.g., soil organic carbon, are usually not detectable on an annual or short-term basis. Broadly speaking, when countries are developing and selecting methods to meet their reporting requirements, they should seek a balance which is affordable, make  best use of data that are already available, allow stock changes to be verified consistently with the approaches set out in Chapter 5 (Section 5.7 Verification), and not make inventories susceptible to the impacts of annual fluctuations in weather. Although Section 4.2.3.7 suggests that field data collection on a five-year cycle may represent a reasonable compromise, the re-measurement interval also depends on the pool and the magnitude of the expected changes relative to the spatial variability in the pool and the uncertainties involved in pool size assessments. For example, changes in soil carbon can often only be detected over longer time periods. Data already available annually, such as planting or harvest statistics, may be combined with measurements conducted over longer time periods – which are less affected by annual fluctuations – or with data based on a five-year running mean.</w:t>
      </w:r>
    </w:p>
    <w:p>
      <w:pPr>
        <w:pStyle w:val="BodyText"/>
        <w:rPr>
          <w:sz w:val="22"/>
        </w:rPr>
      </w:pPr>
    </w:p>
    <w:p>
      <w:pPr>
        <w:spacing w:before="145"/>
        <w:ind w:left="159" w:right="0" w:firstLine="0"/>
        <w:jc w:val="both"/>
        <w:rPr>
          <w:b/>
          <w:sz w:val="22"/>
        </w:rPr>
      </w:pPr>
      <w:r>
        <w:rPr>
          <w:b/>
          <w:sz w:val="28"/>
        </w:rPr>
        <w:t>4.2.3.4 C</w:t>
      </w:r>
      <w:r>
        <w:rPr>
          <w:b/>
          <w:sz w:val="22"/>
        </w:rPr>
        <w:t>HOICE OF METHOD </w:t>
      </w:r>
    </w:p>
    <w:p>
      <w:pPr>
        <w:pStyle w:val="BodyText"/>
        <w:spacing w:before="208"/>
        <w:ind w:left="159"/>
        <w:jc w:val="both"/>
      </w:pPr>
      <w:r>
        <w:rPr/>
        <w:t>Estimation of carbon stock changes and non-CO</w:t>
      </w:r>
      <w:r>
        <w:rPr>
          <w:vertAlign w:val="subscript"/>
        </w:rPr>
        <w:t>2</w:t>
      </w:r>
      <w:r>
        <w:rPr>
          <w:vertAlign w:val="baseline"/>
        </w:rPr>
        <w:t> greenhouse gas emissions from Articles 3.3 and elected Article</w:t>
      </w:r>
    </w:p>
    <w:p>
      <w:pPr>
        <w:pStyle w:val="BodyText"/>
        <w:spacing w:before="1"/>
        <w:ind w:left="159" w:right="165"/>
        <w:jc w:val="both"/>
      </w:pPr>
      <w:r>
        <w:rPr/>
        <w:t>3.4 activities should be consistent with the methods set out in Chapter 3. For each unit of land under Article 3.3 or land under Article 3.4, it is </w:t>
      </w:r>
      <w:r>
        <w:rPr>
          <w:i/>
        </w:rPr>
        <w:t>good practice </w:t>
      </w:r>
      <w:r>
        <w:rPr/>
        <w:t>to use the same tier or a higher tier for estimating stock changes and greenhouse gas emissions as the one that was used for the same land in the UNFCCC inventory, following Chapter 3 of this report. The only exception to this rule is revegetation: if the lands on which revegetation occurs are not a key category, then revegetation is also not a key category. If the lands on which the revegetation occurs are a key category in the UNFCCC inventory</w:t>
      </w:r>
      <w:r>
        <w:rPr>
          <w:vertAlign w:val="superscript"/>
        </w:rPr>
        <w:t>30</w:t>
      </w:r>
      <w:r>
        <w:rPr>
          <w:vertAlign w:val="baseline"/>
        </w:rPr>
        <w:t>, then revegetation can either be treated as a key category, or a separate test to identify the “key category” can be applied (see Chapter 5, Section 5.4.4 Identifying key categories under Kyoto Protocol Articles 3.3 and</w:t>
      </w:r>
      <w:r>
        <w:rPr>
          <w:spacing w:val="-1"/>
          <w:vertAlign w:val="baseline"/>
        </w:rPr>
        <w:t> </w:t>
      </w:r>
      <w:r>
        <w:rPr>
          <w:vertAlign w:val="baseline"/>
        </w:rPr>
        <w:t>3.4).</w:t>
      </w:r>
    </w:p>
    <w:p>
      <w:pPr>
        <w:pStyle w:val="BodyText"/>
        <w:spacing w:before="118"/>
        <w:ind w:left="159" w:right="163"/>
        <w:jc w:val="both"/>
      </w:pPr>
      <w:r>
        <w:rPr/>
        <w:t>Tier 1 as elaborated in Chapter 3 assumes that the net change in the carbon stock for litter (forest floor), dead wood and soil organic carbon (SOC) pools is zero, but the Marrakesh Accords specify that above- and belowground biomass, litter, dead wood and SOC should all be counted unless the country chooses not to count  a pool that can be shown not to be a source. Therefore Tier 1 can only be applied if the litter, dead wood and SOC pools can be shown not to be a source using the methods outlined in the Section 4.2.3.1. Tier 1 can also only be applied if forest management is not considered a key category, which can only be the case if “forests remaining forests” in Chapter 3 are not a key</w:t>
      </w:r>
      <w:r>
        <w:rPr>
          <w:spacing w:val="-3"/>
        </w:rPr>
        <w:t> </w:t>
      </w:r>
      <w:r>
        <w:rPr/>
        <w:t>category.</w:t>
      </w:r>
    </w:p>
    <w:p>
      <w:pPr>
        <w:pStyle w:val="BodyText"/>
        <w:rPr>
          <w:sz w:val="22"/>
        </w:rPr>
      </w:pPr>
    </w:p>
    <w:p>
      <w:pPr>
        <w:pStyle w:val="Heading6"/>
        <w:numPr>
          <w:ilvl w:val="3"/>
          <w:numId w:val="132"/>
        </w:numPr>
        <w:tabs>
          <w:tab w:pos="1600" w:val="left" w:leader="none"/>
        </w:tabs>
        <w:spacing w:line="240" w:lineRule="auto" w:before="144" w:after="0"/>
        <w:ind w:left="1599" w:right="0" w:hanging="1440"/>
        <w:jc w:val="both"/>
        <w:rPr>
          <w:sz w:val="28"/>
        </w:rPr>
      </w:pPr>
      <w:r>
        <w:rPr>
          <w:spacing w:val="16"/>
          <w:sz w:val="28"/>
        </w:rPr>
        <w:t>F</w:t>
      </w:r>
      <w:r>
        <w:rPr>
          <w:spacing w:val="16"/>
        </w:rPr>
        <w:t>ACTORING </w:t>
      </w:r>
      <w:r>
        <w:rPr>
          <w:spacing w:val="12"/>
        </w:rPr>
        <w:t>OUT </w:t>
      </w:r>
      <w:r>
        <w:rPr>
          <w:spacing w:val="17"/>
        </w:rPr>
        <w:t>INDIRECT</w:t>
      </w:r>
      <w:r>
        <w:rPr>
          <w:spacing w:val="17"/>
          <w:sz w:val="28"/>
        </w:rPr>
        <w:t>, </w:t>
      </w:r>
      <w:r>
        <w:rPr>
          <w:spacing w:val="16"/>
        </w:rPr>
        <w:t>NATURAL </w:t>
      </w:r>
      <w:r>
        <w:rPr>
          <w:spacing w:val="12"/>
        </w:rPr>
        <w:t>AND</w:t>
      </w:r>
      <w:r>
        <w:rPr>
          <w:spacing w:val="65"/>
        </w:rPr>
        <w:t> </w:t>
      </w:r>
      <w:r>
        <w:rPr>
          <w:spacing w:val="19"/>
        </w:rPr>
        <w:t>PRE</w:t>
      </w:r>
      <w:r>
        <w:rPr>
          <w:spacing w:val="19"/>
          <w:sz w:val="28"/>
        </w:rPr>
        <w:t>-1990</w:t>
      </w:r>
    </w:p>
    <w:p>
      <w:pPr>
        <w:spacing w:before="55"/>
        <w:ind w:left="1606" w:right="0" w:firstLine="0"/>
        <w:jc w:val="left"/>
        <w:rPr>
          <w:b/>
          <w:sz w:val="22"/>
        </w:rPr>
      </w:pPr>
      <w:r>
        <w:rPr>
          <w:b/>
          <w:sz w:val="22"/>
        </w:rPr>
        <w:t>EFFECTS</w:t>
      </w:r>
    </w:p>
    <w:p>
      <w:pPr>
        <w:pStyle w:val="BodyText"/>
        <w:spacing w:before="6"/>
        <w:rPr>
          <w:b/>
          <w:sz w:val="19"/>
        </w:rPr>
      </w:pPr>
    </w:p>
    <w:p>
      <w:pPr>
        <w:pStyle w:val="BodyText"/>
        <w:ind w:left="159" w:right="164"/>
        <w:jc w:val="both"/>
      </w:pPr>
      <w:r>
        <w:rPr/>
        <w:t>The Marrakesh Accords specify that information be provided whether or not anthropogenic greenhouse gas emissions by sources and removals by sinks from activities under Articles 3.3 and 3.4 factor out removals from elevated carbon dioxide concentrations above pre-industrial levels, indirect nitrogen deposition, and the dynamic</w:t>
      </w:r>
    </w:p>
    <w:p>
      <w:pPr>
        <w:pStyle w:val="BodyText"/>
      </w:pPr>
    </w:p>
    <w:p>
      <w:pPr>
        <w:pStyle w:val="BodyText"/>
        <w:spacing w:before="8"/>
      </w:pPr>
      <w:r>
        <w:rPr/>
        <w:pict>
          <v:line style="position:absolute;mso-position-horizontal-relative:page;mso-position-vertical-relative:paragraph;z-index:18776;mso-wrap-distance-left:0;mso-wrap-distance-right:0" from="70.960999pt,14.110244pt" to="214.960999pt,14.110244pt" stroked="true" strokeweight=".48pt" strokecolor="#000000">
            <v:stroke dashstyle="solid"/>
            <w10:wrap type="topAndBottom"/>
          </v:line>
        </w:pict>
      </w:r>
    </w:p>
    <w:p>
      <w:pPr>
        <w:spacing w:before="153"/>
        <w:ind w:left="317" w:right="164" w:hanging="159"/>
        <w:jc w:val="both"/>
        <w:rPr>
          <w:sz w:val="18"/>
        </w:rPr>
      </w:pPr>
      <w:r>
        <w:rPr>
          <w:position w:val="8"/>
          <w:sz w:val="12"/>
        </w:rPr>
        <w:t>29 </w:t>
      </w:r>
      <w:r>
        <w:rPr>
          <w:sz w:val="18"/>
        </w:rPr>
        <w:t>Note that although annual reporting is required, countries have the option to account either annually or over the entire commitment period (cf. paragraph 8(d) in the Annex to draft decision -/CMP.1 (Modalities for the accounting of assigned amounts), contained in document FCCC/CP/2001/13/Add.2, p.59).</w:t>
      </w:r>
    </w:p>
    <w:p>
      <w:pPr>
        <w:spacing w:before="94"/>
        <w:ind w:left="317" w:right="163" w:hanging="159"/>
        <w:jc w:val="both"/>
        <w:rPr>
          <w:sz w:val="18"/>
        </w:rPr>
      </w:pPr>
      <w:r>
        <w:rPr>
          <w:position w:val="8"/>
          <w:sz w:val="12"/>
        </w:rPr>
        <w:t>30 </w:t>
      </w:r>
      <w:r>
        <w:rPr>
          <w:sz w:val="18"/>
        </w:rPr>
        <w:t>This is possible where the croplands or grasslands on which the revegetation takes place are key categories with respect to the UNFCCC inventory, whereas the area on which the revegetation takes place may be very small compared to those under cropland or grassland</w:t>
      </w:r>
      <w:r>
        <w:rPr>
          <w:spacing w:val="-1"/>
          <w:sz w:val="18"/>
        </w:rPr>
        <w:t> </w:t>
      </w:r>
      <w:r>
        <w:rPr>
          <w:sz w:val="18"/>
        </w:rPr>
        <w:t>management.</w:t>
      </w:r>
    </w:p>
    <w:p>
      <w:pPr>
        <w:spacing w:after="0"/>
        <w:jc w:val="both"/>
        <w:rPr>
          <w:sz w:val="18"/>
        </w:rPr>
        <w:sectPr>
          <w:pgSz w:w="11900" w:h="16840"/>
          <w:pgMar w:header="230" w:footer="408" w:top="560" w:bottom="600" w:left="1260" w:right="1240"/>
        </w:sectPr>
      </w:pPr>
    </w:p>
    <w:p>
      <w:pPr>
        <w:pStyle w:val="BodyText"/>
        <w:spacing w:before="8"/>
        <w:rPr>
          <w:sz w:val="27"/>
        </w:rPr>
      </w:pPr>
    </w:p>
    <w:p>
      <w:pPr>
        <w:pStyle w:val="BodyText"/>
        <w:spacing w:before="121"/>
        <w:ind w:left="159" w:right="163"/>
        <w:jc w:val="both"/>
      </w:pPr>
      <w:r>
        <w:rPr/>
        <w:t>effects of age structure resulting from activities prior to 1 January 1990.</w:t>
      </w:r>
      <w:r>
        <w:rPr>
          <w:vertAlign w:val="superscript"/>
        </w:rPr>
        <w:t>31</w:t>
      </w:r>
      <w:r>
        <w:rPr>
          <w:vertAlign w:val="baseline"/>
        </w:rPr>
        <w:t> In addition to the requirement to report whether or not these effects are factored out, those Parties that choose factoring out should also report the methods they used. For the purpose of accounting under the Kyoto Protocol for the first commitment period, “factoring out” has been addressed through the cap for carbon credits for forest management under Articles 3.4 and 6. The "factoring out" issue is currently under consideration by the IPCC and will therefore not be addressed further here.</w:t>
      </w:r>
    </w:p>
    <w:p>
      <w:pPr>
        <w:pStyle w:val="BodyText"/>
        <w:rPr>
          <w:sz w:val="22"/>
        </w:rPr>
      </w:pPr>
    </w:p>
    <w:p>
      <w:pPr>
        <w:pStyle w:val="Heading6"/>
        <w:numPr>
          <w:ilvl w:val="3"/>
          <w:numId w:val="132"/>
        </w:numPr>
        <w:tabs>
          <w:tab w:pos="1600" w:val="left" w:leader="none"/>
        </w:tabs>
        <w:spacing w:line="240" w:lineRule="auto" w:before="147" w:after="0"/>
        <w:ind w:left="1599" w:right="0" w:hanging="1440"/>
        <w:jc w:val="both"/>
      </w:pPr>
      <w:r>
        <w:rPr>
          <w:spacing w:val="17"/>
          <w:sz w:val="28"/>
        </w:rPr>
        <w:t>D</w:t>
      </w:r>
      <w:r>
        <w:rPr>
          <w:spacing w:val="17"/>
        </w:rPr>
        <w:t>ISTURBANCES</w:t>
      </w:r>
    </w:p>
    <w:p>
      <w:pPr>
        <w:pStyle w:val="BodyText"/>
        <w:spacing w:before="209"/>
        <w:ind w:left="159" w:right="166"/>
        <w:jc w:val="both"/>
      </w:pPr>
      <w:r>
        <w:rPr/>
        <w:t>Disturbances include processes that reduce or redistribute carbon pools in terrestrial ecosystems. Examples include fire, windthrow, insects, droughts, flooding, ice storms, etc. Although disturbances can be either natural or human-induced, or of unknown causes, they affect the carbon cycle of managed forests and other managed lands, and therefore, they are to be included in the carbon stock change and greenhouse gas assessments for  those landsthat are subject to activities under Articles 3.3, 3.4 or 6. These disturbances are also considered in the inventories under the UNFCCC (see Chapter 3, e.g., the Introduction to Section 3.2 Forest</w:t>
      </w:r>
      <w:r>
        <w:rPr>
          <w:spacing w:val="-8"/>
        </w:rPr>
        <w:t> </w:t>
      </w:r>
      <w:r>
        <w:rPr/>
        <w:t>land).</w:t>
      </w:r>
    </w:p>
    <w:p>
      <w:pPr>
        <w:pStyle w:val="BodyText"/>
        <w:spacing w:before="120"/>
        <w:ind w:left="159" w:right="169"/>
        <w:jc w:val="both"/>
      </w:pPr>
      <w:r>
        <w:rPr/>
        <w:t>Since unmanaged forests and other unmanaged lands are included neither in the UNFCCC nor in the Kyoto Protocol reporting requirements disturbances in areas which remain unmanaged are not to be considered.</w:t>
      </w:r>
    </w:p>
    <w:p>
      <w:pPr>
        <w:pStyle w:val="BodyText"/>
        <w:spacing w:before="118"/>
        <w:ind w:left="159" w:right="162"/>
        <w:jc w:val="both"/>
      </w:pPr>
      <w:r>
        <w:rPr/>
        <w:t>Four major impacts of disturbances on managed ecosystems can be identified. First, disturbances can cause direct releases of carbon and non-CO</w:t>
      </w:r>
      <w:r>
        <w:rPr>
          <w:vertAlign w:val="subscript"/>
        </w:rPr>
        <w:t>2</w:t>
      </w:r>
      <w:r>
        <w:rPr>
          <w:vertAlign w:val="baseline"/>
        </w:rPr>
        <w:t> greenhouse gases to the atmosphere (e.g., during fires) or transfers of carbon out of the ecosystem (e.g., during harvest). Second, they redistribute carbon between ecosystem carbon pools, e.g., live biomass is transferred to dead wood and litter. Third, they result in post-disturbance emissions, e.g., through the decay of residual biomass after a disturbance. Forth, they re-set stand dynamics to an earlier age class of the same or a new growth trajectory. Tier 3 models that estimate carbon stock changes in forested landscapes simulate each of these processes and integrate the impacts of disturbances on stand and landscape- level carbon stocks (e.g., Kurz </w:t>
      </w:r>
      <w:r>
        <w:rPr>
          <w:i/>
          <w:vertAlign w:val="baseline"/>
        </w:rPr>
        <w:t>et al.</w:t>
      </w:r>
      <w:r>
        <w:rPr>
          <w:vertAlign w:val="baseline"/>
        </w:rPr>
        <w:t>, 1992; Kurz and Apps</w:t>
      </w:r>
      <w:r>
        <w:rPr>
          <w:spacing w:val="-2"/>
          <w:vertAlign w:val="baseline"/>
        </w:rPr>
        <w:t> </w:t>
      </w:r>
      <w:r>
        <w:rPr>
          <w:vertAlign w:val="baseline"/>
        </w:rPr>
        <w:t>1999).</w:t>
      </w:r>
    </w:p>
    <w:p>
      <w:pPr>
        <w:pStyle w:val="BodyText"/>
        <w:spacing w:before="119"/>
        <w:ind w:left="159"/>
        <w:jc w:val="both"/>
      </w:pPr>
      <w:r>
        <w:rPr/>
        <w:t>Taking this into account, the following can be said:</w:t>
      </w:r>
    </w:p>
    <w:p>
      <w:pPr>
        <w:pStyle w:val="ListParagraph"/>
        <w:numPr>
          <w:ilvl w:val="0"/>
          <w:numId w:val="117"/>
        </w:numPr>
        <w:tabs>
          <w:tab w:pos="520" w:val="left" w:leader="none"/>
        </w:tabs>
        <w:spacing w:line="237" w:lineRule="auto" w:before="137" w:after="0"/>
        <w:ind w:left="519" w:right="165" w:hanging="360"/>
        <w:jc w:val="both"/>
        <w:rPr>
          <w:sz w:val="20"/>
        </w:rPr>
      </w:pPr>
      <w:r>
        <w:rPr>
          <w:sz w:val="20"/>
        </w:rPr>
        <w:t>Carbon stock changes and non-CO</w:t>
      </w:r>
      <w:r>
        <w:rPr>
          <w:sz w:val="20"/>
          <w:vertAlign w:val="subscript"/>
        </w:rPr>
        <w:t>2</w:t>
      </w:r>
      <w:r>
        <w:rPr>
          <w:sz w:val="20"/>
          <w:vertAlign w:val="baseline"/>
        </w:rPr>
        <w:t> greenhouse gas emissions resulting from disturbances on land subject to an Article 3.3 activity (afforestation, reforestation, and deforestation) or an elected Article 3.4 activity (e.g., forest management) have to be included in the reported numbers. See for example, Section 3.2.1.1 for guidance on how to estimate and report carbon stock changes and Section 3.2.1.4 for greenhouse gas emissions from fires. If the carbon stock changes resulting from disturbances were not included in the UNFCCC reporting, they have to be added for the Kyoto</w:t>
      </w:r>
      <w:r>
        <w:rPr>
          <w:spacing w:val="2"/>
          <w:sz w:val="20"/>
          <w:vertAlign w:val="baseline"/>
        </w:rPr>
        <w:t> </w:t>
      </w:r>
      <w:r>
        <w:rPr>
          <w:sz w:val="20"/>
          <w:vertAlign w:val="baseline"/>
        </w:rPr>
        <w:t>reporting.</w:t>
      </w:r>
    </w:p>
    <w:p>
      <w:pPr>
        <w:pStyle w:val="ListParagraph"/>
        <w:numPr>
          <w:ilvl w:val="0"/>
          <w:numId w:val="117"/>
        </w:numPr>
        <w:tabs>
          <w:tab w:pos="519" w:val="left" w:leader="none"/>
          <w:tab w:pos="520" w:val="left" w:leader="none"/>
        </w:tabs>
        <w:spacing w:line="223" w:lineRule="auto" w:before="139" w:after="0"/>
        <w:ind w:left="519" w:right="169" w:hanging="360"/>
        <w:jc w:val="left"/>
        <w:rPr>
          <w:sz w:val="20"/>
        </w:rPr>
      </w:pPr>
      <w:r>
        <w:rPr>
          <w:sz w:val="20"/>
        </w:rPr>
        <w:t>Carbon stock changes and non-CO</w:t>
      </w:r>
      <w:r>
        <w:rPr>
          <w:sz w:val="20"/>
          <w:vertAlign w:val="subscript"/>
        </w:rPr>
        <w:t>2</w:t>
      </w:r>
      <w:r>
        <w:rPr>
          <w:sz w:val="20"/>
          <w:vertAlign w:val="baseline"/>
        </w:rPr>
        <w:t> greenhouse gas emissions resulting from disturbances during the commitment period on land subject to projects (Article 6) have to be included in the reported</w:t>
      </w:r>
      <w:r>
        <w:rPr>
          <w:spacing w:val="-31"/>
          <w:sz w:val="20"/>
          <w:vertAlign w:val="baseline"/>
        </w:rPr>
        <w:t> </w:t>
      </w:r>
      <w:r>
        <w:rPr>
          <w:sz w:val="20"/>
          <w:vertAlign w:val="baseline"/>
        </w:rPr>
        <w:t>numbers.</w:t>
      </w:r>
    </w:p>
    <w:p>
      <w:pPr>
        <w:pStyle w:val="ListParagraph"/>
        <w:numPr>
          <w:ilvl w:val="0"/>
          <w:numId w:val="117"/>
        </w:numPr>
        <w:tabs>
          <w:tab w:pos="520" w:val="left" w:leader="none"/>
        </w:tabs>
        <w:spacing w:line="235" w:lineRule="auto" w:before="143" w:after="0"/>
        <w:ind w:left="519" w:right="163" w:hanging="360"/>
        <w:jc w:val="both"/>
        <w:rPr>
          <w:sz w:val="20"/>
        </w:rPr>
      </w:pPr>
      <w:r>
        <w:rPr>
          <w:sz w:val="20"/>
        </w:rPr>
        <w:t>If project-related management activities (e.g., Article 6) result in a reduction or avoidance of disturbances (e.g., fire or insect control), a change in carbon stocks relative to a baseline (with disturbances) can occur. It is </w:t>
      </w:r>
      <w:r>
        <w:rPr>
          <w:i/>
          <w:sz w:val="20"/>
        </w:rPr>
        <w:t>good practice </w:t>
      </w:r>
      <w:r>
        <w:rPr>
          <w:sz w:val="20"/>
        </w:rPr>
        <w:t>to estimate and include in the reporting the actual carbon stock changes occurring in the project area.</w:t>
      </w:r>
    </w:p>
    <w:p>
      <w:pPr>
        <w:pStyle w:val="BodyText"/>
        <w:rPr>
          <w:sz w:val="22"/>
        </w:rPr>
      </w:pPr>
    </w:p>
    <w:p>
      <w:pPr>
        <w:pStyle w:val="Heading6"/>
        <w:numPr>
          <w:ilvl w:val="3"/>
          <w:numId w:val="132"/>
        </w:numPr>
        <w:tabs>
          <w:tab w:pos="1600" w:val="left" w:leader="none"/>
        </w:tabs>
        <w:spacing w:line="240" w:lineRule="auto" w:before="145" w:after="0"/>
        <w:ind w:left="1599" w:right="0" w:hanging="1440"/>
        <w:jc w:val="both"/>
      </w:pPr>
      <w:r>
        <w:rPr>
          <w:spacing w:val="17"/>
          <w:sz w:val="28"/>
        </w:rPr>
        <w:t>I</w:t>
      </w:r>
      <w:r>
        <w:rPr>
          <w:spacing w:val="17"/>
        </w:rPr>
        <w:t>NTERANNUAL</w:t>
      </w:r>
      <w:r>
        <w:rPr>
          <w:spacing w:val="40"/>
        </w:rPr>
        <w:t> </w:t>
      </w:r>
      <w:r>
        <w:rPr>
          <w:spacing w:val="17"/>
        </w:rPr>
        <w:t>VARIABILITY</w:t>
      </w:r>
    </w:p>
    <w:p>
      <w:pPr>
        <w:pStyle w:val="BodyText"/>
        <w:spacing w:before="209"/>
        <w:ind w:left="159" w:right="164"/>
        <w:jc w:val="both"/>
      </w:pPr>
      <w:r>
        <w:rPr/>
        <w:t>The annual rate of net carbon emissions or removals in an ecosystem is strongly influenced by local weather patterns, climate variability, management actions, natural disturbance variations and other factors that alter growth and decomposition rates (e.g., in Griffis </w:t>
      </w:r>
      <w:r>
        <w:rPr>
          <w:i/>
        </w:rPr>
        <w:t>et al.,</w:t>
      </w:r>
      <w:r>
        <w:rPr/>
        <w:t>2000 ; Tian </w:t>
      </w:r>
      <w:r>
        <w:rPr>
          <w:i/>
        </w:rPr>
        <w:t>et al., </w:t>
      </w:r>
      <w:r>
        <w:rPr/>
        <w:t>1998; Flanagan </w:t>
      </w:r>
      <w:r>
        <w:rPr>
          <w:i/>
        </w:rPr>
        <w:t>et al.</w:t>
      </w:r>
      <w:r>
        <w:rPr/>
        <w:t>, 2002). Consequently, the rate of net carbon emissions or removals in a given area may vary from year to year, and can shift between a net source and a net sink in successive years.</w:t>
      </w:r>
    </w:p>
    <w:p>
      <w:pPr>
        <w:pStyle w:val="BodyText"/>
        <w:spacing w:before="119"/>
        <w:ind w:left="159" w:right="165"/>
        <w:jc w:val="both"/>
      </w:pPr>
      <w:r>
        <w:rPr/>
        <w:t>There are two aspects to interannual variability, and they need to be addressed independently. First, the national statistics on the between-years variation in harvest rates, land-use change, or natural disturbances such as the area burned, are usually available, and it is </w:t>
      </w:r>
      <w:r>
        <w:rPr>
          <w:i/>
        </w:rPr>
        <w:t>good practice </w:t>
      </w:r>
      <w:r>
        <w:rPr/>
        <w:t>to include these in the calculation of carbon stock changes. Second, the variations in growth and decomposition rates due to seasonal and annual variations in environmental conditions, such as moisture regimes, temperature, or growing season length are much more difficult to quantify.</w:t>
      </w:r>
    </w:p>
    <w:p>
      <w:pPr>
        <w:pStyle w:val="BodyText"/>
      </w:pPr>
    </w:p>
    <w:p>
      <w:pPr>
        <w:pStyle w:val="BodyText"/>
        <w:spacing w:before="9"/>
        <w:rPr>
          <w:sz w:val="23"/>
        </w:rPr>
      </w:pPr>
      <w:r>
        <w:rPr/>
        <w:pict>
          <v:line style="position:absolute;mso-position-horizontal-relative:page;mso-position-vertical-relative:paragraph;z-index:18800;mso-wrap-distance-left:0;mso-wrap-distance-right:0" from="70.960999pt,15.87624pt" to="214.960999pt,15.87624pt" stroked="true" strokeweight=".48pt" strokecolor="#000000">
            <v:stroke dashstyle="solid"/>
            <w10:wrap type="topAndBottom"/>
          </v:line>
        </w:pict>
      </w:r>
    </w:p>
    <w:p>
      <w:pPr>
        <w:spacing w:before="153"/>
        <w:ind w:left="159" w:right="0" w:firstLine="0"/>
        <w:jc w:val="left"/>
        <w:rPr>
          <w:sz w:val="18"/>
        </w:rPr>
      </w:pPr>
      <w:r>
        <w:rPr>
          <w:position w:val="8"/>
          <w:sz w:val="12"/>
        </w:rPr>
        <w:t>31 </w:t>
      </w:r>
      <w:r>
        <w:rPr>
          <w:sz w:val="18"/>
        </w:rPr>
        <w:t>See paragraph 7 in the Annex to draft decision -/CMP.1 (Article 7), contained in document FCCC/CP/2001/13/Add.3, p. 23.</w:t>
      </w:r>
    </w:p>
    <w:p>
      <w:pPr>
        <w:spacing w:after="0"/>
        <w:jc w:val="left"/>
        <w:rPr>
          <w:sz w:val="18"/>
        </w:rPr>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4"/>
        <w:jc w:val="both"/>
      </w:pPr>
      <w:r>
        <w:rPr/>
        <w:t>The impacts of interannual variability in environmental conditions on the estimates of annual rates of net emissions and removals of carbon may result in incorrect conclusions about long-term trends where estimates from a single year are extrapolated. Conversely, interpolation of long-term trends in, for example, forest growth rates may result in under- or overestimation of the actual growth in a single year. The forest growth functions and yield tables used in countries with forest management planning systems are based on measurements of periodic growth (e.g., over 5 or 10-year re-measurement intervals) and thus are incorporating and averaging the impacts of past interannual variability of environmental conditions. One approach that would meet </w:t>
      </w:r>
      <w:r>
        <w:rPr>
          <w:i/>
        </w:rPr>
        <w:t>good practice </w:t>
      </w:r>
      <w:r>
        <w:rPr/>
        <w:t>is to use such growth functions to estimate biomass growth rates, because they represent the average growth  rates and are therefore influenced little by short-term fluctuations in environmental</w:t>
      </w:r>
      <w:r>
        <w:rPr>
          <w:spacing w:val="-12"/>
        </w:rPr>
        <w:t> </w:t>
      </w:r>
      <w:r>
        <w:rPr/>
        <w:t>conditions.</w:t>
      </w:r>
    </w:p>
    <w:p>
      <w:pPr>
        <w:pStyle w:val="BodyText"/>
        <w:spacing w:before="119"/>
        <w:ind w:left="159" w:right="164"/>
        <w:jc w:val="both"/>
      </w:pPr>
      <w:r>
        <w:rPr/>
        <w:t>Where empirical growth and yield functions are used to estimate stand growth, it is </w:t>
      </w:r>
      <w:r>
        <w:rPr>
          <w:i/>
        </w:rPr>
        <w:t>good practice </w:t>
      </w:r>
      <w:r>
        <w:rPr/>
        <w:t>to evaluate the potential influences of interannual variability in environmental conditions, for example through comparisons of predicted and actual growth on a set of regionally distributed permanent sample plots. Where the periodic (e.g., 5-year) increment is consistently under- or over-predicted, the growth estimates should be adjusted accordingly. Countries that use process-based models to simulate annual variability in stand growth and other stock changes need to also evaluate these predictions against measurements of periodic stock changes on permanent sample plots and adjust the predictions where necessary.</w:t>
      </w:r>
    </w:p>
    <w:p>
      <w:pPr>
        <w:pStyle w:val="BodyText"/>
        <w:spacing w:before="118"/>
        <w:ind w:left="159" w:right="167"/>
        <w:jc w:val="both"/>
      </w:pPr>
      <w:r>
        <w:rPr/>
        <w:t>In addition to the carbon stock changes and non-CO</w:t>
      </w:r>
      <w:r>
        <w:rPr>
          <w:vertAlign w:val="subscript"/>
        </w:rPr>
        <w:t>2</w:t>
      </w:r>
      <w:r>
        <w:rPr>
          <w:vertAlign w:val="baseline"/>
        </w:rPr>
        <w:t> greenhouse gas emissions during the commitment period, the Kyoto Protocol also requires an estimate of carbon stock changes during the base year (1990 in most cases) for those elected activities for which net-net accounting applies (Table 4.1.1). The impact of this estimate for a single year could be large because it will be compared against the estimates for each year in the commitment period in which this activity occurred. The effects of interannual variability in the base year could therefore be large. The direction of the impact depends on how the year 1990 deviated from the long-term climatic averages. Moreover, it may be difficult to confirm the estimate for the base year using direct measurements, unless these were already taken in 1990. Where environmental conditions in the base year (e.g., 1990) caused major deviations in the carbon stock changes and non-CO</w:t>
      </w:r>
      <w:r>
        <w:rPr>
          <w:vertAlign w:val="subscript"/>
        </w:rPr>
        <w:t>2</w:t>
      </w:r>
      <w:r>
        <w:rPr>
          <w:vertAlign w:val="baseline"/>
        </w:rPr>
        <w:t> greenhouse gas emissions from their longer-term (e.g., 5- year) averages, it is </w:t>
      </w:r>
      <w:r>
        <w:rPr>
          <w:i/>
          <w:vertAlign w:val="baseline"/>
        </w:rPr>
        <w:t>good practice </w:t>
      </w:r>
      <w:r>
        <w:rPr>
          <w:vertAlign w:val="baseline"/>
        </w:rPr>
        <w:t>to consistently report emissions using longer-term averages of environmental conditions or actual annual estimates of emissions when estimating stock changes and non-CO</w:t>
      </w:r>
      <w:r>
        <w:rPr>
          <w:vertAlign w:val="subscript"/>
        </w:rPr>
        <w:t>2</w:t>
      </w:r>
      <w:r>
        <w:rPr>
          <w:vertAlign w:val="baseline"/>
        </w:rPr>
        <w:t> greenhouse gas emissions.</w:t>
      </w:r>
    </w:p>
    <w:p>
      <w:pPr>
        <w:pStyle w:val="BodyText"/>
        <w:spacing w:before="118"/>
        <w:ind w:left="159" w:right="164"/>
        <w:jc w:val="both"/>
      </w:pPr>
      <w:r>
        <w:rPr/>
        <w:t>The effect of interannual variability may decrease as the geographical area considered increases. For example, the effects of local weather patterns may partially offset each other across a large country, but may be very pronounced in a small country or within a small region of a country. There are, however, climatic processes that can synchronize variations in weather over large regions, such as El Niño Southern Oscillation (ENSO) events which typically occur on time scales of 3 to 7 years, or global climate change. Within limits, the longer the measurement or estimation interval the more likely it is that the results will capture the true long-term average value. Where non-linear processes are involved, e.g., the sigmoidal accumulation of forest biomass over age, simple linear interpolation for intermediate years will become increasingly unreliable with longer time periods. In general, an averaging period of about five years is likely to reduce the impacts of interannual</w:t>
      </w:r>
      <w:r>
        <w:rPr>
          <w:spacing w:val="-34"/>
        </w:rPr>
        <w:t> </w:t>
      </w:r>
      <w:r>
        <w:rPr/>
        <w:t>variation.</w:t>
      </w:r>
    </w:p>
    <w:p>
      <w:pPr>
        <w:pStyle w:val="BodyText"/>
        <w:spacing w:before="119"/>
        <w:ind w:left="159" w:right="166"/>
        <w:jc w:val="both"/>
      </w:pPr>
      <w:r>
        <w:rPr/>
        <w:t>It is </w:t>
      </w:r>
      <w:r>
        <w:rPr>
          <w:i/>
        </w:rPr>
        <w:t>good practice </w:t>
      </w:r>
      <w:r>
        <w:rPr/>
        <w:t>to document whether the methods selected for the estimation of carbon stock changes and non-CO</w:t>
      </w:r>
      <w:r>
        <w:rPr>
          <w:vertAlign w:val="subscript"/>
        </w:rPr>
        <w:t>2</w:t>
      </w:r>
      <w:r>
        <w:rPr>
          <w:vertAlign w:val="baseline"/>
        </w:rPr>
        <w:t> greenhouse gas emissions are sensitive to interannual variability of environmental conditions during the commitment period, and to report how interannual variation was addressed in the inventory calculations.</w:t>
      </w:r>
    </w:p>
    <w:p>
      <w:pPr>
        <w:pStyle w:val="BodyText"/>
        <w:rPr>
          <w:sz w:val="22"/>
        </w:rPr>
      </w:pPr>
    </w:p>
    <w:p>
      <w:pPr>
        <w:pStyle w:val="BodyText"/>
        <w:spacing w:before="1"/>
      </w:pPr>
    </w:p>
    <w:p>
      <w:pPr>
        <w:pStyle w:val="Heading2"/>
        <w:numPr>
          <w:ilvl w:val="2"/>
          <w:numId w:val="133"/>
        </w:numPr>
        <w:tabs>
          <w:tab w:pos="1362" w:val="left" w:leader="none"/>
        </w:tabs>
        <w:spacing w:line="240" w:lineRule="auto" w:before="1" w:after="0"/>
        <w:ind w:left="1361" w:right="0" w:hanging="1202"/>
        <w:jc w:val="both"/>
      </w:pPr>
      <w:r>
        <w:rPr>
          <w:spacing w:val="7"/>
        </w:rPr>
        <w:t>Other </w:t>
      </w:r>
      <w:r>
        <w:rPr>
          <w:spacing w:val="8"/>
        </w:rPr>
        <w:t>generic </w:t>
      </w:r>
      <w:r>
        <w:rPr>
          <w:spacing w:val="9"/>
        </w:rPr>
        <w:t>methodological</w:t>
      </w:r>
      <w:r>
        <w:rPr>
          <w:spacing w:val="46"/>
        </w:rPr>
        <w:t> </w:t>
      </w:r>
      <w:r>
        <w:rPr>
          <w:spacing w:val="10"/>
        </w:rPr>
        <w:t>issues</w:t>
      </w:r>
    </w:p>
    <w:p>
      <w:pPr>
        <w:pStyle w:val="BodyText"/>
        <w:spacing w:before="5"/>
        <w:rPr>
          <w:b/>
          <w:sz w:val="34"/>
        </w:rPr>
      </w:pPr>
    </w:p>
    <w:p>
      <w:pPr>
        <w:pStyle w:val="Heading6"/>
        <w:numPr>
          <w:ilvl w:val="3"/>
          <w:numId w:val="133"/>
        </w:numPr>
        <w:tabs>
          <w:tab w:pos="1600" w:val="left" w:leader="none"/>
        </w:tabs>
        <w:spacing w:line="240" w:lineRule="auto" w:before="0" w:after="0"/>
        <w:ind w:left="1599" w:right="0" w:hanging="1440"/>
        <w:jc w:val="both"/>
      </w:pPr>
      <w:r>
        <w:rPr>
          <w:spacing w:val="17"/>
          <w:sz w:val="28"/>
        </w:rPr>
        <w:t>D</w:t>
      </w:r>
      <w:r>
        <w:rPr>
          <w:spacing w:val="17"/>
        </w:rPr>
        <w:t>EVELOPING </w:t>
      </w:r>
      <w:r>
        <w:rPr/>
        <w:t>A </w:t>
      </w:r>
      <w:r>
        <w:rPr>
          <w:spacing w:val="17"/>
        </w:rPr>
        <w:t>CONSISTENT </w:t>
      </w:r>
      <w:r>
        <w:rPr>
          <w:spacing w:val="14"/>
        </w:rPr>
        <w:t>TIME</w:t>
      </w:r>
      <w:r>
        <w:rPr>
          <w:spacing w:val="-2"/>
        </w:rPr>
        <w:t> </w:t>
      </w:r>
      <w:r>
        <w:rPr>
          <w:spacing w:val="18"/>
        </w:rPr>
        <w:t>SERIES</w:t>
      </w:r>
    </w:p>
    <w:p>
      <w:pPr>
        <w:pStyle w:val="BodyText"/>
        <w:spacing w:before="209"/>
        <w:ind w:left="159" w:right="161"/>
        <w:jc w:val="both"/>
      </w:pPr>
      <w:r>
        <w:rPr/>
        <w:t>The lands subject to Article 3.3 or elected Article 3.4 activities and the management thereon need to be tracked continuously through time, to ensure that all emissions and removals are reported. Moreover, the continuity of management greatly influences carbon emissions and removals, and changes in management or land use are often the periods associated with the greatest changes in carbon stocks. For example, it is not sufficient merely to state that 10% of a cropland management area has been under no-till for a specified period. The rate of carbon stock change for the total area depends on whether the same 10% of land has remained under no-till or whether the 10% of no-till occurred on a different portion of the area in different years. It is therefore </w:t>
      </w:r>
      <w:r>
        <w:rPr>
          <w:i/>
        </w:rPr>
        <w:t>good practice </w:t>
      </w:r>
      <w:r>
        <w:rPr/>
        <w:t>to follow</w:t>
      </w:r>
      <w:r>
        <w:rPr>
          <w:spacing w:val="-8"/>
        </w:rPr>
        <w:t> </w:t>
      </w:r>
      <w:r>
        <w:rPr/>
        <w:t>continuously</w:t>
      </w:r>
      <w:r>
        <w:rPr>
          <w:spacing w:val="-3"/>
        </w:rPr>
        <w:t> </w:t>
      </w:r>
      <w:r>
        <w:rPr/>
        <w:t>the management</w:t>
      </w:r>
      <w:r>
        <w:rPr>
          <w:spacing w:val="-2"/>
        </w:rPr>
        <w:t> </w:t>
      </w:r>
      <w:r>
        <w:rPr/>
        <w:t>of</w:t>
      </w:r>
      <w:r>
        <w:rPr>
          <w:spacing w:val="-5"/>
        </w:rPr>
        <w:t> </w:t>
      </w:r>
      <w:r>
        <w:rPr/>
        <w:t>land</w:t>
      </w:r>
      <w:r>
        <w:rPr>
          <w:spacing w:val="-1"/>
        </w:rPr>
        <w:t> </w:t>
      </w:r>
      <w:r>
        <w:rPr/>
        <w:t>subject</w:t>
      </w:r>
      <w:r>
        <w:rPr>
          <w:spacing w:val="-3"/>
        </w:rPr>
        <w:t> </w:t>
      </w:r>
      <w:r>
        <w:rPr/>
        <w:t>to</w:t>
      </w:r>
      <w:r>
        <w:rPr>
          <w:spacing w:val="-2"/>
        </w:rPr>
        <w:t> </w:t>
      </w:r>
      <w:r>
        <w:rPr/>
        <w:t>Article</w:t>
      </w:r>
      <w:r>
        <w:rPr>
          <w:spacing w:val="-3"/>
        </w:rPr>
        <w:t> </w:t>
      </w:r>
      <w:r>
        <w:rPr/>
        <w:t>3.3</w:t>
      </w:r>
      <w:r>
        <w:rPr>
          <w:spacing w:val="-2"/>
        </w:rPr>
        <w:t> </w:t>
      </w:r>
      <w:r>
        <w:rPr/>
        <w:t>and</w:t>
      </w:r>
      <w:r>
        <w:rPr>
          <w:spacing w:val="-3"/>
        </w:rPr>
        <w:t> </w:t>
      </w:r>
      <w:r>
        <w:rPr/>
        <w:t>elected</w:t>
      </w:r>
      <w:r>
        <w:rPr>
          <w:spacing w:val="-2"/>
        </w:rPr>
        <w:t> </w:t>
      </w:r>
      <w:r>
        <w:rPr/>
        <w:t>3.4</w:t>
      </w:r>
      <w:r>
        <w:rPr>
          <w:spacing w:val="-2"/>
        </w:rPr>
        <w:t> </w:t>
      </w:r>
      <w:r>
        <w:rPr/>
        <w:t>activities.</w:t>
      </w:r>
      <w:r>
        <w:rPr>
          <w:spacing w:val="-3"/>
        </w:rPr>
        <w:t> </w:t>
      </w:r>
      <w:r>
        <w:rPr/>
        <w:t>(See</w:t>
      </w:r>
      <w:r>
        <w:rPr>
          <w:spacing w:val="-2"/>
        </w:rPr>
        <w:t> </w:t>
      </w:r>
      <w:r>
        <w:rPr/>
        <w:t>also</w:t>
      </w:r>
      <w:r>
        <w:rPr>
          <w:spacing w:val="-2"/>
        </w:rPr>
        <w:t> </w:t>
      </w:r>
      <w:r>
        <w:rPr/>
        <w:t>Box</w:t>
      </w:r>
      <w:r>
        <w:rPr>
          <w:spacing w:val="-3"/>
        </w:rPr>
        <w:t> </w:t>
      </w:r>
      <w:r>
        <w:rPr/>
        <w:t>4.2.1)</w:t>
      </w:r>
    </w:p>
    <w:p>
      <w:pPr>
        <w:pStyle w:val="BodyText"/>
        <w:spacing w:before="118"/>
        <w:ind w:left="159" w:right="163"/>
        <w:jc w:val="both"/>
      </w:pPr>
      <w:r>
        <w:rPr/>
        <w:t>Assessment of the continuity of management on land could be achieved either by continuously tracking lands subject to an Article 3.3 or elected Article 3.4 activity from 1990 until the end of the commitment period (cf. Section 4.2.7.2 Choice of methods for identification of forest management lands), or by developing statistical sampling</w:t>
      </w:r>
      <w:r>
        <w:rPr>
          <w:spacing w:val="6"/>
        </w:rPr>
        <w:t> </w:t>
      </w:r>
      <w:r>
        <w:rPr/>
        <w:t>techniques</w:t>
      </w:r>
      <w:r>
        <w:rPr>
          <w:spacing w:val="9"/>
        </w:rPr>
        <w:t> </w:t>
      </w:r>
      <w:r>
        <w:rPr/>
        <w:t>that</w:t>
      </w:r>
      <w:r>
        <w:rPr>
          <w:spacing w:val="8"/>
        </w:rPr>
        <w:t> </w:t>
      </w:r>
      <w:r>
        <w:rPr/>
        <w:t>allow</w:t>
      </w:r>
      <w:r>
        <w:rPr>
          <w:spacing w:val="8"/>
        </w:rPr>
        <w:t> </w:t>
      </w:r>
      <w:r>
        <w:rPr/>
        <w:t>the</w:t>
      </w:r>
      <w:r>
        <w:rPr>
          <w:spacing w:val="10"/>
        </w:rPr>
        <w:t> </w:t>
      </w:r>
      <w:r>
        <w:rPr/>
        <w:t>transition</w:t>
      </w:r>
      <w:r>
        <w:rPr>
          <w:spacing w:val="7"/>
        </w:rPr>
        <w:t> </w:t>
      </w:r>
      <w:r>
        <w:rPr/>
        <w:t>of</w:t>
      </w:r>
      <w:r>
        <w:rPr>
          <w:spacing w:val="8"/>
        </w:rPr>
        <w:t> </w:t>
      </w:r>
      <w:r>
        <w:rPr/>
        <w:t>different</w:t>
      </w:r>
      <w:r>
        <w:rPr>
          <w:spacing w:val="8"/>
        </w:rPr>
        <w:t> </w:t>
      </w:r>
      <w:r>
        <w:rPr/>
        <w:t>types</w:t>
      </w:r>
      <w:r>
        <w:rPr>
          <w:spacing w:val="7"/>
        </w:rPr>
        <w:t> </w:t>
      </w:r>
      <w:r>
        <w:rPr/>
        <w:t>of</w:t>
      </w:r>
      <w:r>
        <w:rPr>
          <w:spacing w:val="8"/>
        </w:rPr>
        <w:t> </w:t>
      </w:r>
      <w:r>
        <w:rPr/>
        <w:t>management</w:t>
      </w:r>
      <w:r>
        <w:rPr>
          <w:spacing w:val="8"/>
        </w:rPr>
        <w:t> </w:t>
      </w:r>
      <w:r>
        <w:rPr/>
        <w:t>on</w:t>
      </w:r>
      <w:r>
        <w:rPr>
          <w:spacing w:val="9"/>
        </w:rPr>
        <w:t> </w:t>
      </w:r>
      <w:r>
        <w:rPr/>
        <w:t>land</w:t>
      </w:r>
      <w:r>
        <w:rPr>
          <w:spacing w:val="11"/>
        </w:rPr>
        <w:t> </w:t>
      </w:r>
      <w:r>
        <w:rPr/>
        <w:t>subject</w:t>
      </w:r>
      <w:r>
        <w:rPr>
          <w:spacing w:val="8"/>
        </w:rPr>
        <w:t> </w:t>
      </w:r>
      <w:r>
        <w:rPr/>
        <w:t>to</w:t>
      </w:r>
      <w:r>
        <w:rPr>
          <w:spacing w:val="11"/>
        </w:rPr>
        <w:t> </w:t>
      </w:r>
      <w:r>
        <w:rPr/>
        <w:t>Article</w:t>
      </w:r>
      <w:r>
        <w:rPr>
          <w:spacing w:val="8"/>
        </w:rPr>
        <w:t> </w:t>
      </w:r>
      <w:r>
        <w:rPr/>
        <w:t>3.3</w:t>
      </w:r>
      <w:r>
        <w:rPr>
          <w:spacing w:val="9"/>
        </w:rPr>
        <w:t> </w:t>
      </w:r>
      <w:r>
        <w:rPr/>
        <w:t>or</w:t>
      </w:r>
    </w:p>
    <w:p>
      <w:pPr>
        <w:spacing w:after="0"/>
        <w:jc w:val="both"/>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6"/>
      </w:pPr>
      <w:r>
        <w:rPr/>
        <w:t>elected 3.4 activities to be determined (see Section 5.3 Sampling). An example of how such a scheme could operate is given in Box 4.2.1.</w:t>
      </w:r>
    </w:p>
    <w:p>
      <w:pPr>
        <w:pStyle w:val="BodyText"/>
        <w:spacing w:before="121"/>
        <w:ind w:left="159" w:right="166"/>
      </w:pPr>
      <w:r>
        <w:rPr/>
        <w:t>A supplementary condition for developing a consistent time series is to use the same methods for estimating carbon stock change and non-CO</w:t>
      </w:r>
      <w:r>
        <w:rPr>
          <w:vertAlign w:val="subscript"/>
        </w:rPr>
        <w:t>2</w:t>
      </w:r>
      <w:r>
        <w:rPr>
          <w:vertAlign w:val="baseline"/>
        </w:rPr>
        <w:t> greenhouse gas emissions during the whole period.</w:t>
      </w:r>
    </w:p>
    <w:p>
      <w:pPr>
        <w:pStyle w:val="BodyText"/>
        <w:spacing w:before="118"/>
        <w:ind w:left="159"/>
      </w:pPr>
      <w:r>
        <w:rPr/>
        <w:pict>
          <v:group style="position:absolute;margin-left:91.240997pt;margin-top:35.2761pt;width:412.95pt;height:334.45pt;mso-position-horizontal-relative:page;mso-position-vertical-relative:paragraph;z-index:-2435224" coordorigin="1825,706" coordsize="8259,6689">
            <v:line style="position:absolute" from="1854,720" to="10054,720" stroked="true" strokeweight="1.44pt" strokecolor="#000000">
              <v:stroke dashstyle="solid"/>
            </v:line>
            <v:shape style="position:absolute;left:1839;top:705;width:8216;height:6689" coordorigin="1839,706" coordsize="8216,6689" path="m1854,7380l10054,7380m1839,706l1839,7394e" filled="false" stroked="true" strokeweight="1.44pt" strokecolor="#000000">
              <v:path arrowok="t"/>
              <v:stroke dashstyle="solid"/>
            </v:shape>
            <v:line style="position:absolute" from="10069,706" to="10069,7394" stroked="true" strokeweight="1.44pt" strokecolor="#000000">
              <v:stroke dashstyle="solid"/>
            </v:line>
            <v:shape style="position:absolute;left:1980;top:842;width:7972;height:4438" type="#_x0000_t202" filled="false" stroked="false">
              <v:textbox inset="0,0,0,0">
                <w:txbxContent>
                  <w:p>
                    <w:pPr>
                      <w:spacing w:line="199" w:lineRule="exact" w:before="0"/>
                      <w:ind w:left="1295" w:right="1320" w:firstLine="0"/>
                      <w:jc w:val="center"/>
                      <w:rPr>
                        <w:b/>
                        <w:sz w:val="18"/>
                      </w:rPr>
                    </w:pPr>
                    <w:r>
                      <w:rPr>
                        <w:b/>
                        <w:sz w:val="18"/>
                      </w:rPr>
                      <w:t>B</w:t>
                    </w:r>
                    <w:r>
                      <w:rPr>
                        <w:b/>
                        <w:sz w:val="14"/>
                      </w:rPr>
                      <w:t>OX</w:t>
                    </w:r>
                    <w:r>
                      <w:rPr>
                        <w:b/>
                        <w:spacing w:val="-1"/>
                        <w:sz w:val="14"/>
                      </w:rPr>
                      <w:t> </w:t>
                    </w:r>
                    <w:r>
                      <w:rPr>
                        <w:b/>
                        <w:sz w:val="18"/>
                      </w:rPr>
                      <w:t>4.2.1</w:t>
                    </w:r>
                  </w:p>
                  <w:p>
                    <w:pPr>
                      <w:spacing w:line="207" w:lineRule="exact" w:before="0"/>
                      <w:ind w:left="1718" w:right="0" w:firstLine="0"/>
                      <w:jc w:val="left"/>
                      <w:rPr>
                        <w:b/>
                        <w:sz w:val="14"/>
                      </w:rPr>
                    </w:pPr>
                    <w:r>
                      <w:rPr>
                        <w:b/>
                        <w:sz w:val="18"/>
                      </w:rPr>
                      <w:t>A</w:t>
                    </w:r>
                    <w:r>
                      <w:rPr>
                        <w:b/>
                        <w:sz w:val="14"/>
                      </w:rPr>
                      <w:t>N EXAMPLE OF CONSISTENCY FOR MANAGEMENT PRACTICES</w:t>
                    </w:r>
                  </w:p>
                  <w:p>
                    <w:pPr>
                      <w:spacing w:before="112"/>
                      <w:ind w:left="0" w:right="20" w:firstLine="0"/>
                      <w:jc w:val="both"/>
                      <w:rPr>
                        <w:sz w:val="20"/>
                      </w:rPr>
                    </w:pPr>
                    <w:r>
                      <w:rPr>
                        <w:sz w:val="20"/>
                      </w:rPr>
                      <w:t>To estimate changes in soil carbon stocks, whether by Tier 1, 2 or 3 methods, management practices on applicable lands need to be followed continuously over time. Ideally, the management of each land would be tracked explicitly. But such data may not always be available. An  alternative approach may be to estimate the </w:t>
                    </w:r>
                    <w:r>
                      <w:rPr>
                        <w:i/>
                        <w:sz w:val="20"/>
                      </w:rPr>
                      <w:t>average </w:t>
                    </w:r>
                    <w:r>
                      <w:rPr>
                        <w:sz w:val="20"/>
                      </w:rPr>
                      <w:t>history of lands now under a given management. Consider the following</w:t>
                    </w:r>
                    <w:r>
                      <w:rPr>
                        <w:spacing w:val="2"/>
                        <w:sz w:val="20"/>
                      </w:rPr>
                      <w:t> </w:t>
                    </w:r>
                    <w:r>
                      <w:rPr>
                        <w:sz w:val="20"/>
                      </w:rPr>
                      <w:t>example.</w:t>
                    </w:r>
                  </w:p>
                  <w:p>
                    <w:pPr>
                      <w:spacing w:before="120"/>
                      <w:ind w:left="0" w:right="0" w:firstLine="0"/>
                      <w:jc w:val="left"/>
                      <w:rPr>
                        <w:sz w:val="20"/>
                      </w:rPr>
                    </w:pPr>
                    <w:r>
                      <w:rPr>
                        <w:b/>
                        <w:sz w:val="20"/>
                      </w:rPr>
                      <w:t>Example: </w:t>
                    </w:r>
                    <w:r>
                      <w:rPr>
                        <w:sz w:val="20"/>
                      </w:rPr>
                      <w:t>Cropland management</w:t>
                    </w:r>
                  </w:p>
                  <w:p>
                    <w:pPr>
                      <w:spacing w:before="121"/>
                      <w:ind w:left="0" w:right="18" w:firstLine="0"/>
                      <w:jc w:val="both"/>
                      <w:rPr>
                        <w:sz w:val="20"/>
                      </w:rPr>
                    </w:pPr>
                    <w:r>
                      <w:rPr>
                        <w:sz w:val="20"/>
                      </w:rPr>
                      <w:t>Suppose there was a cropland region of 10,000 ha, of which 5,000 are in no-till (NT) in the year 2000, up from 2,000 ha in 1990. The remainder, in each year, is under conventional tillage (CT).  In order to simplify this example, suppose also that the land management in the year 1990 was unchanged for a long period before (more than 20 years). The estimated soil carbon change is based on a matrix of coefficients; say 0.3 Mg C/ha/yr for land shifting from CT to NT, -0.3 Mg C/ha/yr for a shift from NT to CT. (The carbon stock change is calculated by the amount of soil carbon, the relative carbon stock change</w:t>
                    </w:r>
                    <w:r>
                      <w:rPr>
                        <w:sz w:val="20"/>
                        <w:vertAlign w:val="superscript"/>
                      </w:rPr>
                      <w:t>32</w:t>
                    </w:r>
                    <w:r>
                      <w:rPr>
                        <w:sz w:val="20"/>
                        <w:vertAlign w:val="baseline"/>
                      </w:rPr>
                      <w:t> factor, over 20 years, for the management activity, and the length of the period, one year. See Chapter 3.3.1.2, and Tables 3.3.3 and 3.3.4.) Unfortunately, there has been no tracking of management on individual land. However, based on a statistical analysis</w:t>
                    </w:r>
                    <w:r>
                      <w:rPr>
                        <w:spacing w:val="-5"/>
                        <w:sz w:val="20"/>
                        <w:vertAlign w:val="baseline"/>
                      </w:rPr>
                      <w:t> </w:t>
                    </w:r>
                    <w:r>
                      <w:rPr>
                        <w:sz w:val="20"/>
                        <w:vertAlign w:val="baseline"/>
                      </w:rPr>
                      <w:t>(e.g.,</w:t>
                    </w:r>
                    <w:r>
                      <w:rPr>
                        <w:spacing w:val="-3"/>
                        <w:sz w:val="20"/>
                        <w:vertAlign w:val="baseline"/>
                      </w:rPr>
                      <w:t> </w:t>
                    </w:r>
                    <w:r>
                      <w:rPr>
                        <w:sz w:val="20"/>
                        <w:vertAlign w:val="baseline"/>
                      </w:rPr>
                      <w:t>a</w:t>
                    </w:r>
                    <w:r>
                      <w:rPr>
                        <w:spacing w:val="-3"/>
                        <w:sz w:val="20"/>
                        <w:vertAlign w:val="baseline"/>
                      </w:rPr>
                      <w:t> </w:t>
                    </w:r>
                    <w:r>
                      <w:rPr>
                        <w:sz w:val="20"/>
                        <w:vertAlign w:val="baseline"/>
                      </w:rPr>
                      <w:t>survey),</w:t>
                    </w:r>
                    <w:r>
                      <w:rPr>
                        <w:spacing w:val="-3"/>
                        <w:sz w:val="20"/>
                        <w:vertAlign w:val="baseline"/>
                      </w:rPr>
                      <w:t> </w:t>
                    </w:r>
                    <w:r>
                      <w:rPr>
                        <w:sz w:val="20"/>
                        <w:vertAlign w:val="baseline"/>
                      </w:rPr>
                      <w:t>it</w:t>
                    </w:r>
                    <w:r>
                      <w:rPr>
                        <w:spacing w:val="-3"/>
                        <w:sz w:val="20"/>
                        <w:vertAlign w:val="baseline"/>
                      </w:rPr>
                      <w:t> </w:t>
                    </w:r>
                    <w:r>
                      <w:rPr>
                        <w:sz w:val="20"/>
                        <w:vertAlign w:val="baseline"/>
                      </w:rPr>
                      <w:t>is</w:t>
                    </w:r>
                    <w:r>
                      <w:rPr>
                        <w:spacing w:val="-4"/>
                        <w:sz w:val="20"/>
                        <w:vertAlign w:val="baseline"/>
                      </w:rPr>
                      <w:t> </w:t>
                    </w:r>
                    <w:r>
                      <w:rPr>
                        <w:sz w:val="20"/>
                        <w:vertAlign w:val="baseline"/>
                      </w:rPr>
                      <w:t>possible</w:t>
                    </w:r>
                    <w:r>
                      <w:rPr>
                        <w:spacing w:val="-3"/>
                        <w:sz w:val="20"/>
                        <w:vertAlign w:val="baseline"/>
                      </w:rPr>
                      <w:t> </w:t>
                    </w:r>
                    <w:r>
                      <w:rPr>
                        <w:sz w:val="20"/>
                        <w:vertAlign w:val="baseline"/>
                      </w:rPr>
                      <w:t>to</w:t>
                    </w:r>
                    <w:r>
                      <w:rPr>
                        <w:spacing w:val="-3"/>
                        <w:sz w:val="20"/>
                        <w:vertAlign w:val="baseline"/>
                      </w:rPr>
                      <w:t> </w:t>
                    </w:r>
                    <w:r>
                      <w:rPr>
                        <w:sz w:val="20"/>
                        <w:vertAlign w:val="baseline"/>
                      </w:rPr>
                      <w:t>estimate, with</w:t>
                    </w:r>
                    <w:r>
                      <w:rPr>
                        <w:spacing w:val="-4"/>
                        <w:sz w:val="20"/>
                        <w:vertAlign w:val="baseline"/>
                      </w:rPr>
                      <w:t> </w:t>
                    </w:r>
                    <w:r>
                      <w:rPr>
                        <w:sz w:val="20"/>
                        <w:vertAlign w:val="baseline"/>
                      </w:rPr>
                      <w:t>reasonable</w:t>
                    </w:r>
                    <w:r>
                      <w:rPr>
                        <w:spacing w:val="-3"/>
                        <w:sz w:val="20"/>
                        <w:vertAlign w:val="baseline"/>
                      </w:rPr>
                      <w:t> </w:t>
                    </w:r>
                    <w:r>
                      <w:rPr>
                        <w:sz w:val="20"/>
                        <w:vertAlign w:val="baseline"/>
                      </w:rPr>
                      <w:t>confidence,</w:t>
                    </w:r>
                    <w:r>
                      <w:rPr>
                        <w:spacing w:val="-3"/>
                        <w:sz w:val="20"/>
                        <w:vertAlign w:val="baseline"/>
                      </w:rPr>
                      <w:t> </w:t>
                    </w:r>
                    <w:r>
                      <w:rPr>
                        <w:sz w:val="20"/>
                        <w:vertAlign w:val="baseline"/>
                      </w:rPr>
                      <w:t>the</w:t>
                    </w:r>
                    <w:r>
                      <w:rPr>
                        <w:spacing w:val="-1"/>
                        <w:sz w:val="20"/>
                        <w:vertAlign w:val="baseline"/>
                      </w:rPr>
                      <w:t> </w:t>
                    </w:r>
                    <w:r>
                      <w:rPr>
                        <w:sz w:val="20"/>
                        <w:vertAlign w:val="baseline"/>
                      </w:rPr>
                      <w:t>following</w:t>
                    </w:r>
                    <w:r>
                      <w:rPr>
                        <w:spacing w:val="-4"/>
                        <w:sz w:val="20"/>
                        <w:vertAlign w:val="baseline"/>
                      </w:rPr>
                      <w:t> </w:t>
                    </w:r>
                    <w:r>
                      <w:rPr>
                        <w:sz w:val="20"/>
                        <w:vertAlign w:val="baseline"/>
                      </w:rPr>
                      <w:t>shifts:</w:t>
                    </w:r>
                  </w:p>
                </w:txbxContent>
              </v:textbox>
              <w10:wrap type="none"/>
            </v:shape>
            <v:shape style="position:absolute;left:1980;top:6806;width:6149;height:454" type="#_x0000_t202" filled="false" stroked="false">
              <v:textbox inset="0,0,0,0">
                <w:txbxContent>
                  <w:p>
                    <w:pPr>
                      <w:spacing w:line="221" w:lineRule="exact" w:before="0"/>
                      <w:ind w:left="0" w:right="0" w:firstLine="0"/>
                      <w:jc w:val="left"/>
                      <w:rPr>
                        <w:sz w:val="20"/>
                      </w:rPr>
                    </w:pPr>
                    <w:r>
                      <w:rPr>
                        <w:sz w:val="20"/>
                      </w:rPr>
                      <w:t>The total carbon gain is therefore:</w:t>
                    </w:r>
                  </w:p>
                  <w:p>
                    <w:pPr>
                      <w:spacing w:before="3"/>
                      <w:ind w:left="100" w:right="0" w:firstLine="0"/>
                      <w:jc w:val="left"/>
                      <w:rPr>
                        <w:sz w:val="20"/>
                      </w:rPr>
                    </w:pPr>
                    <w:r>
                      <w:rPr>
                        <w:sz w:val="20"/>
                      </w:rPr>
                      <w:t>(3,500 • 0.3 + 4,500 • 0 + 500 • (-0.3) + 1,500 • 0) Mg C/yr = 900 Mg C/yr.</w:t>
                    </w:r>
                  </w:p>
                </w:txbxContent>
              </v:textbox>
              <w10:wrap type="none"/>
            </v:shape>
            <w10:wrap type="none"/>
          </v:group>
        </w:pict>
      </w:r>
      <w:r>
        <w:rPr/>
        <w:t>Time series consistency is discussed further in Section 5.6 (Time series consistency and recalculations) of this report.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8"/>
        </w:rPr>
      </w:pPr>
    </w:p>
    <w:tbl>
      <w:tblPr>
        <w:tblW w:w="0" w:type="auto"/>
        <w:jc w:val="left"/>
        <w:tblInd w:w="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7"/>
        <w:gridCol w:w="755"/>
        <w:gridCol w:w="965"/>
      </w:tblGrid>
      <w:tr>
        <w:trPr>
          <w:trHeight w:val="296" w:hRule="atLeast"/>
        </w:trPr>
        <w:tc>
          <w:tcPr>
            <w:tcW w:w="1227" w:type="dxa"/>
          </w:tcPr>
          <w:p>
            <w:pPr>
              <w:pStyle w:val="TableParagraph"/>
              <w:tabs>
                <w:tab w:pos="769" w:val="left" w:leader="none"/>
              </w:tabs>
              <w:spacing w:line="253" w:lineRule="exact"/>
              <w:ind w:left="50"/>
              <w:rPr>
                <w:rFonts w:ascii="Arial Unicode MS" w:hAnsi="Arial Unicode MS"/>
                <w:sz w:val="20"/>
              </w:rPr>
            </w:pPr>
            <w:r>
              <w:rPr>
                <w:w w:val="105"/>
                <w:sz w:val="20"/>
              </w:rPr>
              <w:t>CT</w:t>
              <w:tab/>
            </w:r>
            <w:r>
              <w:rPr>
                <w:rFonts w:ascii="Arial Unicode MS" w:hAnsi="Arial Unicode MS"/>
                <w:w w:val="105"/>
                <w:sz w:val="20"/>
              </w:rPr>
              <w:t>➔</w:t>
            </w:r>
          </w:p>
        </w:tc>
        <w:tc>
          <w:tcPr>
            <w:tcW w:w="755" w:type="dxa"/>
          </w:tcPr>
          <w:p>
            <w:pPr>
              <w:pStyle w:val="TableParagraph"/>
              <w:spacing w:before="12"/>
              <w:ind w:right="224"/>
              <w:jc w:val="right"/>
              <w:rPr>
                <w:sz w:val="20"/>
              </w:rPr>
            </w:pPr>
            <w:r>
              <w:rPr>
                <w:w w:val="95"/>
                <w:sz w:val="20"/>
              </w:rPr>
              <w:t>NT</w:t>
            </w:r>
          </w:p>
        </w:tc>
        <w:tc>
          <w:tcPr>
            <w:tcW w:w="965" w:type="dxa"/>
          </w:tcPr>
          <w:p>
            <w:pPr>
              <w:pStyle w:val="TableParagraph"/>
              <w:spacing w:before="12"/>
              <w:ind w:right="46"/>
              <w:jc w:val="right"/>
              <w:rPr>
                <w:sz w:val="20"/>
              </w:rPr>
            </w:pPr>
            <w:r>
              <w:rPr>
                <w:sz w:val="20"/>
              </w:rPr>
              <w:t>3,500 ha</w:t>
            </w:r>
          </w:p>
        </w:tc>
      </w:tr>
      <w:tr>
        <w:trPr>
          <w:trHeight w:val="350" w:hRule="atLeast"/>
        </w:trPr>
        <w:tc>
          <w:tcPr>
            <w:tcW w:w="1227" w:type="dxa"/>
          </w:tcPr>
          <w:p>
            <w:pPr>
              <w:pStyle w:val="TableParagraph"/>
              <w:tabs>
                <w:tab w:pos="769" w:val="left" w:leader="none"/>
              </w:tabs>
              <w:spacing w:before="39"/>
              <w:ind w:left="50"/>
              <w:rPr>
                <w:rFonts w:ascii="Arial Unicode MS" w:hAnsi="Arial Unicode MS"/>
                <w:sz w:val="20"/>
              </w:rPr>
            </w:pPr>
            <w:r>
              <w:rPr>
                <w:w w:val="105"/>
                <w:sz w:val="20"/>
              </w:rPr>
              <w:t>CT</w:t>
              <w:tab/>
            </w:r>
            <w:r>
              <w:rPr>
                <w:rFonts w:ascii="Arial Unicode MS" w:hAnsi="Arial Unicode MS"/>
                <w:w w:val="105"/>
                <w:sz w:val="20"/>
              </w:rPr>
              <w:t>➔</w:t>
            </w:r>
          </w:p>
        </w:tc>
        <w:tc>
          <w:tcPr>
            <w:tcW w:w="755" w:type="dxa"/>
          </w:tcPr>
          <w:p>
            <w:pPr>
              <w:pStyle w:val="TableParagraph"/>
              <w:spacing w:before="66"/>
              <w:ind w:right="236"/>
              <w:jc w:val="right"/>
              <w:rPr>
                <w:sz w:val="20"/>
              </w:rPr>
            </w:pPr>
            <w:r>
              <w:rPr>
                <w:w w:val="95"/>
                <w:sz w:val="20"/>
              </w:rPr>
              <w:t>CT</w:t>
            </w:r>
          </w:p>
        </w:tc>
        <w:tc>
          <w:tcPr>
            <w:tcW w:w="965" w:type="dxa"/>
          </w:tcPr>
          <w:p>
            <w:pPr>
              <w:pStyle w:val="TableParagraph"/>
              <w:spacing w:before="66"/>
              <w:ind w:right="46"/>
              <w:jc w:val="right"/>
              <w:rPr>
                <w:sz w:val="20"/>
              </w:rPr>
            </w:pPr>
            <w:r>
              <w:rPr>
                <w:sz w:val="20"/>
              </w:rPr>
              <w:t>4,500 ha</w:t>
            </w:r>
          </w:p>
        </w:tc>
      </w:tr>
      <w:tr>
        <w:trPr>
          <w:trHeight w:val="350" w:hRule="atLeast"/>
        </w:trPr>
        <w:tc>
          <w:tcPr>
            <w:tcW w:w="1227" w:type="dxa"/>
          </w:tcPr>
          <w:p>
            <w:pPr>
              <w:pStyle w:val="TableParagraph"/>
              <w:tabs>
                <w:tab w:pos="769" w:val="left" w:leader="none"/>
              </w:tabs>
              <w:spacing w:before="39"/>
              <w:ind w:left="50"/>
              <w:rPr>
                <w:rFonts w:ascii="Arial Unicode MS" w:hAnsi="Arial Unicode MS"/>
                <w:sz w:val="20"/>
              </w:rPr>
            </w:pPr>
            <w:r>
              <w:rPr>
                <w:w w:val="105"/>
                <w:sz w:val="20"/>
              </w:rPr>
              <w:t>NT</w:t>
              <w:tab/>
            </w:r>
            <w:r>
              <w:rPr>
                <w:rFonts w:ascii="Arial Unicode MS" w:hAnsi="Arial Unicode MS"/>
                <w:w w:val="105"/>
                <w:sz w:val="20"/>
              </w:rPr>
              <w:t>➔</w:t>
            </w:r>
          </w:p>
        </w:tc>
        <w:tc>
          <w:tcPr>
            <w:tcW w:w="755" w:type="dxa"/>
          </w:tcPr>
          <w:p>
            <w:pPr>
              <w:pStyle w:val="TableParagraph"/>
              <w:spacing w:before="66"/>
              <w:ind w:right="236"/>
              <w:jc w:val="right"/>
              <w:rPr>
                <w:sz w:val="20"/>
              </w:rPr>
            </w:pPr>
            <w:r>
              <w:rPr>
                <w:w w:val="95"/>
                <w:sz w:val="20"/>
              </w:rPr>
              <w:t>CT</w:t>
            </w:r>
          </w:p>
        </w:tc>
        <w:tc>
          <w:tcPr>
            <w:tcW w:w="965" w:type="dxa"/>
          </w:tcPr>
          <w:p>
            <w:pPr>
              <w:pStyle w:val="TableParagraph"/>
              <w:spacing w:before="66"/>
              <w:ind w:right="47"/>
              <w:jc w:val="right"/>
              <w:rPr>
                <w:sz w:val="20"/>
              </w:rPr>
            </w:pPr>
            <w:r>
              <w:rPr>
                <w:sz w:val="20"/>
              </w:rPr>
              <w:t>500 ha</w:t>
            </w:r>
          </w:p>
        </w:tc>
      </w:tr>
      <w:tr>
        <w:trPr>
          <w:trHeight w:val="296" w:hRule="atLeast"/>
        </w:trPr>
        <w:tc>
          <w:tcPr>
            <w:tcW w:w="1227" w:type="dxa"/>
          </w:tcPr>
          <w:p>
            <w:pPr>
              <w:pStyle w:val="TableParagraph"/>
              <w:tabs>
                <w:tab w:pos="769" w:val="left" w:leader="none"/>
              </w:tabs>
              <w:spacing w:line="237" w:lineRule="exact" w:before="39"/>
              <w:ind w:left="50"/>
              <w:rPr>
                <w:rFonts w:ascii="Arial Unicode MS" w:hAnsi="Arial Unicode MS"/>
                <w:sz w:val="20"/>
              </w:rPr>
            </w:pPr>
            <w:r>
              <w:rPr>
                <w:w w:val="105"/>
                <w:sz w:val="20"/>
              </w:rPr>
              <w:t>NT</w:t>
              <w:tab/>
            </w:r>
            <w:r>
              <w:rPr>
                <w:rFonts w:ascii="Arial Unicode MS" w:hAnsi="Arial Unicode MS"/>
                <w:w w:val="105"/>
                <w:sz w:val="20"/>
              </w:rPr>
              <w:t>➔</w:t>
            </w:r>
          </w:p>
        </w:tc>
        <w:tc>
          <w:tcPr>
            <w:tcW w:w="755" w:type="dxa"/>
          </w:tcPr>
          <w:p>
            <w:pPr>
              <w:pStyle w:val="TableParagraph"/>
              <w:spacing w:line="210" w:lineRule="exact" w:before="66"/>
              <w:ind w:right="224"/>
              <w:jc w:val="right"/>
              <w:rPr>
                <w:sz w:val="20"/>
              </w:rPr>
            </w:pPr>
            <w:r>
              <w:rPr>
                <w:w w:val="95"/>
                <w:sz w:val="20"/>
              </w:rPr>
              <w:t>NT</w:t>
            </w:r>
          </w:p>
        </w:tc>
        <w:tc>
          <w:tcPr>
            <w:tcW w:w="965" w:type="dxa"/>
          </w:tcPr>
          <w:p>
            <w:pPr>
              <w:pStyle w:val="TableParagraph"/>
              <w:spacing w:line="210" w:lineRule="exact" w:before="66"/>
              <w:ind w:right="46"/>
              <w:jc w:val="right"/>
              <w:rPr>
                <w:sz w:val="20"/>
              </w:rPr>
            </w:pPr>
            <w:r>
              <w:rPr>
                <w:sz w:val="20"/>
              </w:rPr>
              <w:t>1,500 ha</w:t>
            </w:r>
          </w:p>
        </w:tc>
      </w:tr>
    </w:tbl>
    <w:p>
      <w:pPr>
        <w:pStyle w:val="BodyText"/>
      </w:pPr>
    </w:p>
    <w:p>
      <w:pPr>
        <w:pStyle w:val="BodyText"/>
      </w:pPr>
    </w:p>
    <w:p>
      <w:pPr>
        <w:pStyle w:val="BodyText"/>
      </w:pPr>
    </w:p>
    <w:p>
      <w:pPr>
        <w:pStyle w:val="BodyText"/>
        <w:spacing w:before="4"/>
        <w:rPr>
          <w:sz w:val="23"/>
        </w:rPr>
      </w:pPr>
    </w:p>
    <w:p>
      <w:pPr>
        <w:pStyle w:val="Heading6"/>
        <w:tabs>
          <w:tab w:pos="1311" w:val="left" w:leader="none"/>
        </w:tabs>
        <w:spacing w:before="91"/>
      </w:pPr>
      <w:r>
        <w:rPr>
          <w:spacing w:val="16"/>
        </w:rPr>
        <w:t>4.2.4.1</w:t>
      </w:r>
      <w:r>
        <w:rPr>
          <w:spacing w:val="-34"/>
        </w:rPr>
        <w:t> </w:t>
      </w:r>
      <w:r>
        <w:rPr>
          <w:spacing w:val="9"/>
        </w:rPr>
        <w:t>.1</w:t>
        <w:tab/>
      </w:r>
      <w:r>
        <w:rPr>
          <w:spacing w:val="17"/>
        </w:rPr>
        <w:t>RECALCULATION</w:t>
      </w:r>
    </w:p>
    <w:p>
      <w:pPr>
        <w:pStyle w:val="BodyText"/>
        <w:spacing w:before="210"/>
        <w:ind w:left="159" w:right="114"/>
        <w:jc w:val="both"/>
      </w:pPr>
      <w:r>
        <w:rPr/>
        <w:t>As inventory capacity and data availability improve, the methods and data used to calculate estimates  are updated and refined. Recalculation of historic emissions and removals is </w:t>
      </w:r>
      <w:r>
        <w:rPr>
          <w:i/>
        </w:rPr>
        <w:t>good practice </w:t>
      </w:r>
      <w:r>
        <w:rPr/>
        <w:t>when new methods are introduced or existing ones refined, when new sources and sinks categories are included, or when data are updated (for example through new measurements during the commitment period or the availability of new information on verification). Recalculations may also be needed if lands are reclassified at a later time (e.g., for lands that have lost forest cover but where a classification as deforested lands was pending and has been resolved, see Section</w:t>
      </w:r>
      <w:r>
        <w:rPr>
          <w:spacing w:val="-1"/>
        </w:rPr>
        <w:t> </w:t>
      </w:r>
      <w:r>
        <w:rPr/>
        <w:t>4.2.6.2.1).</w:t>
      </w:r>
    </w:p>
    <w:p>
      <w:pPr>
        <w:pStyle w:val="BodyText"/>
        <w:spacing w:before="118"/>
        <w:ind w:left="159" w:right="162"/>
        <w:jc w:val="both"/>
      </w:pPr>
      <w:r>
        <w:rPr/>
        <w:t>The Marrakesh Accords make provisions for recalculation</w:t>
      </w:r>
      <w:r>
        <w:rPr>
          <w:vertAlign w:val="superscript"/>
        </w:rPr>
        <w:t>33</w:t>
      </w:r>
      <w:r>
        <w:rPr>
          <w:vertAlign w:val="baseline"/>
        </w:rPr>
        <w:t>, consistent with the UNFCCC reporting guidelines</w:t>
      </w:r>
      <w:r>
        <w:rPr>
          <w:i/>
          <w:vertAlign w:val="baseline"/>
        </w:rPr>
        <w:t>, </w:t>
      </w:r>
      <w:r>
        <w:rPr>
          <w:vertAlign w:val="baseline"/>
        </w:rPr>
        <w:t>and mention that previous estimates should be recalculated using the new methods for all years in the time series. Annual greenhouse gas emissions and removals reported for a given year during the commitment period can be recalculated in subsequent reporting years (up to reporting for 2012). Special attention must be given to those activities under Article 3.4 to which the net-net accounting rule applies, i.e., all activities except Forest Management. For these activities, the use of refined or updated data or changed methods should be peer- reviewed or validated in another way before being implemented, especially if data in the base year will change as a result (see Chapter 7, Section 7.3 Recalculations, in </w:t>
      </w:r>
      <w:r>
        <w:rPr>
          <w:i/>
          <w:vertAlign w:val="baseline"/>
        </w:rPr>
        <w:t>GPG2000 </w:t>
      </w:r>
      <w:r>
        <w:rPr>
          <w:vertAlign w:val="baseline"/>
        </w:rPr>
        <w:t>and Chapter 5, Section 5.6.3 Recalculation and</w:t>
      </w:r>
    </w:p>
    <w:p>
      <w:pPr>
        <w:pStyle w:val="BodyText"/>
        <w:spacing w:before="4"/>
        <w:rPr>
          <w:sz w:val="24"/>
        </w:rPr>
      </w:pPr>
      <w:r>
        <w:rPr/>
        <w:pict>
          <v:line style="position:absolute;mso-position-horizontal-relative:page;mso-position-vertical-relative:paragraph;z-index:18824;mso-wrap-distance-left:0;mso-wrap-distance-right:0" from="70.960999pt,16.240643pt" to="214.960999pt,16.240643pt" stroked="true" strokeweight=".48pt" strokecolor="#000000">
            <v:stroke dashstyle="solid"/>
            <w10:wrap type="topAndBottom"/>
          </v:line>
        </w:pict>
      </w:r>
    </w:p>
    <w:p>
      <w:pPr>
        <w:spacing w:before="153"/>
        <w:ind w:left="317" w:right="166" w:hanging="159"/>
        <w:jc w:val="left"/>
        <w:rPr>
          <w:sz w:val="18"/>
        </w:rPr>
      </w:pPr>
      <w:r>
        <w:rPr>
          <w:position w:val="8"/>
          <w:sz w:val="12"/>
        </w:rPr>
        <w:t>32 </w:t>
      </w:r>
      <w:r>
        <w:rPr>
          <w:sz w:val="18"/>
        </w:rPr>
        <w:t>While Chapter 3 uses the language of emission/removal factors, in Chapter 4 also the term “carbon stock change factor” is in use to refer to carbon emission/removal factors.</w:t>
      </w:r>
    </w:p>
    <w:p>
      <w:pPr>
        <w:spacing w:before="95"/>
        <w:ind w:left="317" w:right="849" w:hanging="159"/>
        <w:jc w:val="left"/>
        <w:rPr>
          <w:sz w:val="18"/>
        </w:rPr>
      </w:pPr>
      <w:r>
        <w:rPr>
          <w:position w:val="8"/>
          <w:sz w:val="12"/>
        </w:rPr>
        <w:t>33 </w:t>
      </w:r>
      <w:r>
        <w:rPr>
          <w:sz w:val="18"/>
        </w:rPr>
        <w:t>See paragraphs 4, 12 (notably 12(d) and12(e)), 13 and 14(e) in the Annex to draft decision -/CMP.1 (Article 5.1),  contained in document FCCC/CP/2001/13/Add.3, pp.</w:t>
      </w:r>
      <w:r>
        <w:rPr>
          <w:spacing w:val="-3"/>
          <w:sz w:val="18"/>
        </w:rPr>
        <w:t> </w:t>
      </w:r>
      <w:r>
        <w:rPr>
          <w:sz w:val="18"/>
        </w:rPr>
        <w:t>5-8.</w:t>
      </w:r>
    </w:p>
    <w:p>
      <w:pPr>
        <w:spacing w:after="0"/>
        <w:jc w:val="left"/>
        <w:rPr>
          <w:sz w:val="18"/>
        </w:rPr>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4"/>
        <w:jc w:val="both"/>
      </w:pPr>
      <w:r>
        <w:rPr/>
        <w:t>periodic data, in this report for additional guidance). When recalculating emissions and/or removals, time series consistency must be checked and ensured. It is also </w:t>
      </w:r>
      <w:r>
        <w:rPr>
          <w:i/>
        </w:rPr>
        <w:t>good practice </w:t>
      </w:r>
      <w:r>
        <w:rPr/>
        <w:t>to report why the new estimates are regarded as more accurate or less</w:t>
      </w:r>
      <w:r>
        <w:rPr>
          <w:spacing w:val="3"/>
        </w:rPr>
        <w:t> </w:t>
      </w:r>
      <w:r>
        <w:rPr/>
        <w:t>uncertain.</w:t>
      </w:r>
    </w:p>
    <w:p>
      <w:pPr>
        <w:pStyle w:val="BodyText"/>
        <w:spacing w:before="121"/>
        <w:ind w:left="159" w:right="167"/>
        <w:jc w:val="both"/>
      </w:pPr>
      <w:r>
        <w:rPr/>
        <w:t>One potential problem in recalculating previous estimates is that certain data sets may not be available for the earlier years. There are several ways of overcoming this limitation and they are explained in detail in Chapter 5 (Cross-cutting issues) of this report and Section 7.3 (Recalculations) of the </w:t>
      </w:r>
      <w:r>
        <w:rPr>
          <w:i/>
        </w:rPr>
        <w:t>GPG2000</w:t>
      </w:r>
      <w:r>
        <w:rPr/>
        <w:t>.</w:t>
      </w:r>
    </w:p>
    <w:p>
      <w:pPr>
        <w:pStyle w:val="BodyText"/>
        <w:rPr>
          <w:sz w:val="22"/>
        </w:rPr>
      </w:pPr>
    </w:p>
    <w:p>
      <w:pPr>
        <w:pStyle w:val="Heading6"/>
        <w:numPr>
          <w:ilvl w:val="3"/>
          <w:numId w:val="133"/>
        </w:numPr>
        <w:tabs>
          <w:tab w:pos="1361" w:val="left" w:leader="none"/>
          <w:tab w:pos="1362" w:val="left" w:leader="none"/>
        </w:tabs>
        <w:spacing w:line="240" w:lineRule="auto" w:before="147" w:after="0"/>
        <w:ind w:left="1361" w:right="0" w:hanging="1202"/>
        <w:jc w:val="left"/>
      </w:pPr>
      <w:r>
        <w:rPr>
          <w:spacing w:val="17"/>
          <w:sz w:val="28"/>
        </w:rPr>
        <w:t>U</w:t>
      </w:r>
      <w:r>
        <w:rPr>
          <w:spacing w:val="17"/>
        </w:rPr>
        <w:t>NCERTAINTY</w:t>
      </w:r>
      <w:r>
        <w:rPr>
          <w:spacing w:val="39"/>
        </w:rPr>
        <w:t> </w:t>
      </w:r>
      <w:r>
        <w:rPr>
          <w:spacing w:val="16"/>
        </w:rPr>
        <w:t>ASSESSMENT</w:t>
      </w:r>
    </w:p>
    <w:p>
      <w:pPr>
        <w:pStyle w:val="BodyText"/>
        <w:spacing w:before="208"/>
        <w:ind w:left="159" w:right="167"/>
        <w:jc w:val="both"/>
      </w:pPr>
      <w:r>
        <w:rPr/>
        <w:t>According to the Marrakesh Accords, uncertainties should be quantified and all information on anthropogenic greenhouse gas emissions by sources and removals by sinks which result from activities under Articles 3.3 and</w:t>
      </w:r>
    </w:p>
    <w:p>
      <w:pPr>
        <w:pStyle w:val="BodyText"/>
        <w:spacing w:before="1"/>
        <w:ind w:left="159" w:right="161"/>
        <w:jc w:val="both"/>
      </w:pPr>
      <w:r>
        <w:rPr/>
        <w:t>3.4 have to be within levels of confidence as elaborated by any IPCC good practice guidance adopted by the COP/MOP. </w:t>
      </w:r>
      <w:r>
        <w:rPr>
          <w:vertAlign w:val="superscript"/>
        </w:rPr>
        <w:t>34</w:t>
      </w:r>
      <w:r>
        <w:rPr>
          <w:vertAlign w:val="baseline"/>
        </w:rPr>
        <w:t> Generally, the approaches provided in Chapters 2 and 3 and Sections 5.2 Identifying and quantifying uncertainties, and 5.3 Sampling, can be used for assessing uncertainties associated with estimates reported under the UNFCCC and under the Kyoto Protocol LULUCF activities. However, some issues and terms which are specific to the Kyoto Protocol require additional uncertainty assessment, for example the identification of the areas subject to Article 3.3 and 3.4 activities or the need to track activities since 1990. For Kyoto Protocol reporting, uncertainty assessment is particularly important in order to support verification in accordance with the Quality Assurance and Quality Control requirements as specified in Chapter 5.</w:t>
      </w:r>
      <w:r>
        <w:rPr>
          <w:vertAlign w:val="superscript"/>
        </w:rPr>
        <w:t>35</w:t>
      </w:r>
      <w:r>
        <w:rPr>
          <w:vertAlign w:val="baseline"/>
        </w:rPr>
        <w:t> In addition, to be consistent with </w:t>
      </w:r>
      <w:r>
        <w:rPr>
          <w:i/>
          <w:vertAlign w:val="baseline"/>
        </w:rPr>
        <w:t>good practice</w:t>
      </w:r>
      <w:r>
        <w:rPr>
          <w:vertAlign w:val="baseline"/>
        </w:rPr>
        <w:t>, the uncertainties in inventory estimates should be reduced as far as practicable. Moreover, while selecting a particular tier to estimate changes in carbon stocks and non-CO</w:t>
      </w:r>
      <w:r>
        <w:rPr>
          <w:vertAlign w:val="subscript"/>
        </w:rPr>
        <w:t>2</w:t>
      </w:r>
      <w:r>
        <w:rPr>
          <w:vertAlign w:val="baseline"/>
        </w:rPr>
        <w:t> greenhouse gas emissions, it is </w:t>
      </w:r>
      <w:r>
        <w:rPr>
          <w:i/>
          <w:vertAlign w:val="baseline"/>
        </w:rPr>
        <w:t>good practice </w:t>
      </w:r>
      <w:r>
        <w:rPr>
          <w:vertAlign w:val="baseline"/>
        </w:rPr>
        <w:t>to consider the implications of this choice for the management of</w:t>
      </w:r>
      <w:r>
        <w:rPr>
          <w:spacing w:val="-11"/>
          <w:vertAlign w:val="baseline"/>
        </w:rPr>
        <w:t> </w:t>
      </w:r>
      <w:r>
        <w:rPr>
          <w:vertAlign w:val="baseline"/>
        </w:rPr>
        <w:t>uncertainties.</w:t>
      </w:r>
    </w:p>
    <w:p>
      <w:pPr>
        <w:pStyle w:val="BodyText"/>
        <w:spacing w:before="5"/>
        <w:rPr>
          <w:sz w:val="29"/>
        </w:rPr>
      </w:pPr>
    </w:p>
    <w:p>
      <w:pPr>
        <w:pStyle w:val="Heading6"/>
        <w:numPr>
          <w:ilvl w:val="4"/>
          <w:numId w:val="134"/>
        </w:numPr>
        <w:tabs>
          <w:tab w:pos="1311" w:val="left" w:leader="none"/>
          <w:tab w:pos="1312" w:val="left" w:leader="none"/>
        </w:tabs>
        <w:spacing w:line="240" w:lineRule="auto" w:before="1" w:after="0"/>
        <w:ind w:left="1311" w:right="0" w:hanging="1152"/>
        <w:jc w:val="left"/>
      </w:pPr>
      <w:r>
        <w:rPr/>
        <w:t>1</w:t>
        <w:tab/>
      </w:r>
      <w:r>
        <w:rPr>
          <w:spacing w:val="17"/>
        </w:rPr>
        <w:t>IDENTIFYING</w:t>
      </w:r>
      <w:r>
        <w:rPr>
          <w:spacing w:val="40"/>
        </w:rPr>
        <w:t> </w:t>
      </w:r>
      <w:r>
        <w:rPr>
          <w:spacing w:val="17"/>
        </w:rPr>
        <w:t>UNCERTAINTIES</w:t>
      </w:r>
    </w:p>
    <w:p>
      <w:pPr>
        <w:pStyle w:val="BodyText"/>
        <w:spacing w:before="207"/>
        <w:ind w:left="159" w:right="162"/>
        <w:jc w:val="both"/>
      </w:pPr>
      <w:r>
        <w:rPr/>
        <w:t>For a complete enumeration and explanation of each possible source of uncertainty relevant in the inventory under the UNFCCC, the reader is referred to Chapters 2 and 3. In the context of the Kyoto Protocol  the following sources of uncertainties are likely to be</w:t>
      </w:r>
      <w:r>
        <w:rPr>
          <w:spacing w:val="-2"/>
        </w:rPr>
        <w:t> </w:t>
      </w:r>
      <w:r>
        <w:rPr/>
        <w:t>significant:</w:t>
      </w:r>
    </w:p>
    <w:p>
      <w:pPr>
        <w:pStyle w:val="ListParagraph"/>
        <w:numPr>
          <w:ilvl w:val="0"/>
          <w:numId w:val="117"/>
        </w:numPr>
        <w:tabs>
          <w:tab w:pos="388" w:val="left" w:leader="none"/>
        </w:tabs>
        <w:spacing w:line="230" w:lineRule="auto" w:before="142" w:after="0"/>
        <w:ind w:left="387" w:right="166" w:hanging="228"/>
        <w:jc w:val="both"/>
        <w:rPr>
          <w:sz w:val="20"/>
        </w:rPr>
      </w:pPr>
      <w:r>
        <w:rPr>
          <w:sz w:val="20"/>
        </w:rPr>
        <w:t>Definitional errors, such as bias and inconsistencies resulting from the interpretation and implementation of the various definitions in the Kyoto Protocol and the Marrakesh Accords (including the potential mismatch between data available to Parties and their interpretation of the</w:t>
      </w:r>
      <w:r>
        <w:rPr>
          <w:spacing w:val="-6"/>
          <w:sz w:val="20"/>
        </w:rPr>
        <w:t> </w:t>
      </w:r>
      <w:r>
        <w:rPr>
          <w:sz w:val="20"/>
        </w:rPr>
        <w:t>definitions);</w:t>
      </w:r>
    </w:p>
    <w:p>
      <w:pPr>
        <w:pStyle w:val="ListParagraph"/>
        <w:numPr>
          <w:ilvl w:val="0"/>
          <w:numId w:val="117"/>
        </w:numPr>
        <w:tabs>
          <w:tab w:pos="388" w:val="left" w:leader="none"/>
        </w:tabs>
        <w:spacing w:line="223" w:lineRule="auto" w:before="150" w:after="0"/>
        <w:ind w:left="387" w:right="166" w:hanging="228"/>
        <w:jc w:val="both"/>
        <w:rPr>
          <w:sz w:val="20"/>
        </w:rPr>
      </w:pPr>
      <w:r>
        <w:rPr>
          <w:sz w:val="20"/>
        </w:rPr>
        <w:t>Classification errors, such as land use and land transition classification errors (e.g., forest vs. non-forest classification with possible errors regarding temporarily unstocked forest</w:t>
      </w:r>
      <w:r>
        <w:rPr>
          <w:spacing w:val="-11"/>
          <w:sz w:val="20"/>
        </w:rPr>
        <w:t> </w:t>
      </w:r>
      <w:r>
        <w:rPr>
          <w:sz w:val="20"/>
        </w:rPr>
        <w:t>lands);</w:t>
      </w:r>
    </w:p>
    <w:p>
      <w:pPr>
        <w:pStyle w:val="ListParagraph"/>
        <w:numPr>
          <w:ilvl w:val="0"/>
          <w:numId w:val="117"/>
        </w:numPr>
        <w:tabs>
          <w:tab w:pos="388" w:val="left" w:leader="none"/>
        </w:tabs>
        <w:spacing w:line="223" w:lineRule="auto" w:before="148" w:after="0"/>
        <w:ind w:left="387" w:right="164" w:hanging="228"/>
        <w:jc w:val="both"/>
        <w:rPr>
          <w:sz w:val="20"/>
        </w:rPr>
      </w:pPr>
      <w:r>
        <w:rPr>
          <w:sz w:val="20"/>
        </w:rPr>
        <w:t>Activity data errors (e.g., distinction between the harvesting-regeneration cycle (Article 3.4) vs. deforestation (Article 3.3) or human-inducement of afforestation and</w:t>
      </w:r>
      <w:r>
        <w:rPr>
          <w:spacing w:val="-3"/>
          <w:sz w:val="20"/>
        </w:rPr>
        <w:t> </w:t>
      </w:r>
      <w:r>
        <w:rPr>
          <w:sz w:val="20"/>
        </w:rPr>
        <w:t>reforestation);</w:t>
      </w:r>
    </w:p>
    <w:p>
      <w:pPr>
        <w:pStyle w:val="ListParagraph"/>
        <w:numPr>
          <w:ilvl w:val="0"/>
          <w:numId w:val="117"/>
        </w:numPr>
        <w:tabs>
          <w:tab w:pos="388" w:val="left" w:leader="none"/>
        </w:tabs>
        <w:spacing w:line="235" w:lineRule="auto" w:before="143" w:after="0"/>
        <w:ind w:left="387" w:right="164" w:hanging="228"/>
        <w:jc w:val="both"/>
        <w:rPr>
          <w:sz w:val="20"/>
        </w:rPr>
      </w:pPr>
      <w:r>
        <w:rPr>
          <w:sz w:val="20"/>
        </w:rPr>
        <w:t>Estimation errors, such as errors in area estimates (e.g., due to incorrect classification of change events i.e., both omission and commission errors in remote sensing (see below for details), or due to differing scales used to identify lands subject to the various activities, e.g., afforestation/reforestation vs. deforestation, or modifications made to the sampling procedures and/or densities during the course of</w:t>
      </w:r>
      <w:r>
        <w:rPr>
          <w:spacing w:val="-15"/>
          <w:sz w:val="20"/>
        </w:rPr>
        <w:t> </w:t>
      </w:r>
      <w:r>
        <w:rPr>
          <w:sz w:val="20"/>
        </w:rPr>
        <w:t>time);</w:t>
      </w:r>
    </w:p>
    <w:p>
      <w:pPr>
        <w:pStyle w:val="ListParagraph"/>
        <w:numPr>
          <w:ilvl w:val="0"/>
          <w:numId w:val="117"/>
        </w:numPr>
        <w:tabs>
          <w:tab w:pos="388" w:val="left" w:leader="none"/>
        </w:tabs>
        <w:spacing w:line="230" w:lineRule="auto" w:before="139" w:after="0"/>
        <w:ind w:left="387" w:right="166" w:hanging="228"/>
        <w:jc w:val="both"/>
        <w:rPr>
          <w:sz w:val="20"/>
        </w:rPr>
      </w:pPr>
      <w:r>
        <w:rPr>
          <w:sz w:val="20"/>
        </w:rPr>
        <w:t>Identification errors arising while defining the geographical boundaries of areas encompassing lands and units of lands subject to the activities in Articles 3.3 and 3.4 (although this may not have a direct impact on the uncertainty of the carbon stock change estimates for a given</w:t>
      </w:r>
      <w:r>
        <w:rPr>
          <w:spacing w:val="-10"/>
          <w:sz w:val="20"/>
        </w:rPr>
        <w:t> </w:t>
      </w:r>
      <w:r>
        <w:rPr>
          <w:sz w:val="20"/>
        </w:rPr>
        <w:t>activity);</w:t>
      </w:r>
    </w:p>
    <w:p>
      <w:pPr>
        <w:pStyle w:val="ListParagraph"/>
        <w:numPr>
          <w:ilvl w:val="0"/>
          <w:numId w:val="117"/>
        </w:numPr>
        <w:tabs>
          <w:tab w:pos="388" w:val="left" w:leader="none"/>
        </w:tabs>
        <w:spacing w:line="223" w:lineRule="auto" w:before="149" w:after="0"/>
        <w:ind w:left="387" w:right="164" w:hanging="228"/>
        <w:jc w:val="both"/>
        <w:rPr>
          <w:sz w:val="20"/>
        </w:rPr>
      </w:pPr>
      <w:r>
        <w:rPr>
          <w:sz w:val="20"/>
        </w:rPr>
        <w:t>Model errors occur whenever models or allometric equations are used to estimate carbon stock changes or non-CO</w:t>
      </w:r>
      <w:r>
        <w:rPr>
          <w:sz w:val="20"/>
          <w:vertAlign w:val="subscript"/>
        </w:rPr>
        <w:t>2</w:t>
      </w:r>
      <w:r>
        <w:rPr>
          <w:spacing w:val="4"/>
          <w:sz w:val="20"/>
          <w:vertAlign w:val="baseline"/>
        </w:rPr>
        <w:t> </w:t>
      </w:r>
      <w:r>
        <w:rPr>
          <w:sz w:val="20"/>
          <w:vertAlign w:val="baseline"/>
        </w:rPr>
        <w:t>greenhouse</w:t>
      </w:r>
      <w:r>
        <w:rPr>
          <w:spacing w:val="7"/>
          <w:sz w:val="20"/>
          <w:vertAlign w:val="baseline"/>
        </w:rPr>
        <w:t> </w:t>
      </w:r>
      <w:r>
        <w:rPr>
          <w:sz w:val="20"/>
          <w:vertAlign w:val="baseline"/>
        </w:rPr>
        <w:t>gas</w:t>
      </w:r>
      <w:r>
        <w:rPr>
          <w:spacing w:val="4"/>
          <w:sz w:val="20"/>
          <w:vertAlign w:val="baseline"/>
        </w:rPr>
        <w:t> </w:t>
      </w:r>
      <w:r>
        <w:rPr>
          <w:sz w:val="20"/>
          <w:vertAlign w:val="baseline"/>
        </w:rPr>
        <w:t>emissions</w:t>
      </w:r>
      <w:r>
        <w:rPr>
          <w:spacing w:val="3"/>
          <w:sz w:val="20"/>
          <w:vertAlign w:val="baseline"/>
        </w:rPr>
        <w:t> </w:t>
      </w:r>
      <w:r>
        <w:rPr>
          <w:sz w:val="20"/>
          <w:vertAlign w:val="baseline"/>
        </w:rPr>
        <w:t>and</w:t>
      </w:r>
      <w:r>
        <w:rPr>
          <w:spacing w:val="6"/>
          <w:sz w:val="20"/>
          <w:vertAlign w:val="baseline"/>
        </w:rPr>
        <w:t> </w:t>
      </w:r>
      <w:r>
        <w:rPr>
          <w:sz w:val="20"/>
          <w:vertAlign w:val="baseline"/>
        </w:rPr>
        <w:t>removals,</w:t>
      </w:r>
      <w:r>
        <w:rPr>
          <w:spacing w:val="7"/>
          <w:sz w:val="20"/>
          <w:vertAlign w:val="baseline"/>
        </w:rPr>
        <w:t> </w:t>
      </w:r>
      <w:r>
        <w:rPr>
          <w:sz w:val="20"/>
          <w:vertAlign w:val="baseline"/>
        </w:rPr>
        <w:t>which</w:t>
      </w:r>
      <w:r>
        <w:rPr>
          <w:spacing w:val="3"/>
          <w:sz w:val="20"/>
          <w:vertAlign w:val="baseline"/>
        </w:rPr>
        <w:t> </w:t>
      </w:r>
      <w:r>
        <w:rPr>
          <w:sz w:val="20"/>
          <w:vertAlign w:val="baseline"/>
        </w:rPr>
        <w:t>is</w:t>
      </w:r>
      <w:r>
        <w:rPr>
          <w:spacing w:val="4"/>
          <w:sz w:val="20"/>
          <w:vertAlign w:val="baseline"/>
        </w:rPr>
        <w:t> </w:t>
      </w:r>
      <w:r>
        <w:rPr>
          <w:sz w:val="20"/>
          <w:vertAlign w:val="baseline"/>
        </w:rPr>
        <w:t>likely</w:t>
      </w:r>
      <w:r>
        <w:rPr>
          <w:spacing w:val="3"/>
          <w:sz w:val="20"/>
          <w:vertAlign w:val="baseline"/>
        </w:rPr>
        <w:t> </w:t>
      </w:r>
      <w:r>
        <w:rPr>
          <w:sz w:val="20"/>
          <w:vertAlign w:val="baseline"/>
        </w:rPr>
        <w:t>to</w:t>
      </w:r>
      <w:r>
        <w:rPr>
          <w:spacing w:val="6"/>
          <w:sz w:val="20"/>
          <w:vertAlign w:val="baseline"/>
        </w:rPr>
        <w:t> </w:t>
      </w:r>
      <w:r>
        <w:rPr>
          <w:sz w:val="20"/>
          <w:vertAlign w:val="baseline"/>
        </w:rPr>
        <w:t>be</w:t>
      </w:r>
      <w:r>
        <w:rPr>
          <w:spacing w:val="5"/>
          <w:sz w:val="20"/>
          <w:vertAlign w:val="baseline"/>
        </w:rPr>
        <w:t> </w:t>
      </w:r>
      <w:r>
        <w:rPr>
          <w:sz w:val="20"/>
          <w:vertAlign w:val="baseline"/>
        </w:rPr>
        <w:t>the</w:t>
      </w:r>
      <w:r>
        <w:rPr>
          <w:spacing w:val="5"/>
          <w:sz w:val="20"/>
          <w:vertAlign w:val="baseline"/>
        </w:rPr>
        <w:t> </w:t>
      </w:r>
      <w:r>
        <w:rPr>
          <w:sz w:val="20"/>
          <w:vertAlign w:val="baseline"/>
        </w:rPr>
        <w:t>case</w:t>
      </w:r>
      <w:r>
        <w:rPr>
          <w:spacing w:val="6"/>
          <w:sz w:val="20"/>
          <w:vertAlign w:val="baseline"/>
        </w:rPr>
        <w:t> </w:t>
      </w:r>
      <w:r>
        <w:rPr>
          <w:sz w:val="20"/>
          <w:vertAlign w:val="baseline"/>
        </w:rPr>
        <w:t>at</w:t>
      </w:r>
      <w:r>
        <w:rPr>
          <w:spacing w:val="6"/>
          <w:sz w:val="20"/>
          <w:vertAlign w:val="baseline"/>
        </w:rPr>
        <w:t> </w:t>
      </w:r>
      <w:r>
        <w:rPr>
          <w:sz w:val="20"/>
          <w:vertAlign w:val="baseline"/>
        </w:rPr>
        <w:t>higher</w:t>
      </w:r>
      <w:r>
        <w:rPr>
          <w:spacing w:val="6"/>
          <w:sz w:val="20"/>
          <w:vertAlign w:val="baseline"/>
        </w:rPr>
        <w:t> </w:t>
      </w:r>
      <w:r>
        <w:rPr>
          <w:sz w:val="20"/>
          <w:vertAlign w:val="baseline"/>
        </w:rPr>
        <w:t>tiers.</w:t>
      </w:r>
      <w:r>
        <w:rPr>
          <w:spacing w:val="5"/>
          <w:sz w:val="20"/>
          <w:vertAlign w:val="baseline"/>
        </w:rPr>
        <w:t> </w:t>
      </w:r>
      <w:r>
        <w:rPr>
          <w:sz w:val="20"/>
          <w:vertAlign w:val="baseline"/>
        </w:rPr>
        <w:t>It</w:t>
      </w:r>
      <w:r>
        <w:rPr>
          <w:spacing w:val="4"/>
          <w:sz w:val="20"/>
          <w:vertAlign w:val="baseline"/>
        </w:rPr>
        <w:t> </w:t>
      </w:r>
      <w:r>
        <w:rPr>
          <w:sz w:val="20"/>
          <w:vertAlign w:val="baseline"/>
        </w:rPr>
        <w:t>can</w:t>
      </w:r>
      <w:r>
        <w:rPr>
          <w:spacing w:val="4"/>
          <w:sz w:val="20"/>
          <w:vertAlign w:val="baseline"/>
        </w:rPr>
        <w:t> </w:t>
      </w:r>
      <w:r>
        <w:rPr>
          <w:sz w:val="20"/>
          <w:vertAlign w:val="baseline"/>
        </w:rPr>
        <w:t>be</w:t>
      </w:r>
      <w:r>
        <w:rPr>
          <w:spacing w:val="5"/>
          <w:sz w:val="20"/>
          <w:vertAlign w:val="baseline"/>
        </w:rPr>
        <w:t> </w:t>
      </w:r>
      <w:r>
        <w:rPr>
          <w:sz w:val="20"/>
          <w:vertAlign w:val="baseline"/>
        </w:rPr>
        <w:t>very</w:t>
      </w:r>
    </w:p>
    <w:p>
      <w:pPr>
        <w:pStyle w:val="BodyText"/>
        <w:spacing w:before="8"/>
        <w:rPr>
          <w:sz w:val="10"/>
        </w:rPr>
      </w:pPr>
      <w:r>
        <w:rPr/>
        <w:pict>
          <v:line style="position:absolute;mso-position-horizontal-relative:page;mso-position-vertical-relative:paragraph;z-index:18920;mso-wrap-distance-left:0;mso-wrap-distance-right:0" from="70.960999pt,8.392002pt" to="214.960999pt,8.392002pt" stroked="true" strokeweight=".48pt" strokecolor="#000000">
            <v:stroke dashstyle="solid"/>
            <w10:wrap type="topAndBottom"/>
          </v:line>
        </w:pict>
      </w:r>
    </w:p>
    <w:p>
      <w:pPr>
        <w:spacing w:line="231" w:lineRule="exact" w:before="153"/>
        <w:ind w:left="159" w:right="0" w:firstLine="0"/>
        <w:jc w:val="left"/>
        <w:rPr>
          <w:sz w:val="18"/>
        </w:rPr>
      </w:pPr>
      <w:r>
        <w:rPr>
          <w:position w:val="8"/>
          <w:sz w:val="12"/>
        </w:rPr>
        <w:t>34 </w:t>
      </w:r>
      <w:r>
        <w:rPr>
          <w:sz w:val="18"/>
        </w:rPr>
        <w:t>This refers to paragraph 6 (d) including footnote 5, and paragraph 9 including footnote 7 in the Annex to draft decision</w:t>
      </w:r>
    </w:p>
    <w:p>
      <w:pPr>
        <w:spacing w:line="207" w:lineRule="exact" w:before="0"/>
        <w:ind w:left="317" w:right="0" w:firstLine="0"/>
        <w:jc w:val="left"/>
        <w:rPr>
          <w:sz w:val="18"/>
        </w:rPr>
      </w:pPr>
      <w:r>
        <w:rPr>
          <w:sz w:val="18"/>
        </w:rPr>
        <w:t>-/CMP.1 (Article 7) contained in FCCC/CP/2001/13/Add.3, p.23 and p.24, respectively.</w:t>
      </w:r>
    </w:p>
    <w:p>
      <w:pPr>
        <w:spacing w:before="95"/>
        <w:ind w:left="317" w:right="164" w:hanging="159"/>
        <w:jc w:val="both"/>
        <w:rPr>
          <w:sz w:val="18"/>
        </w:rPr>
      </w:pPr>
      <w:r>
        <w:rPr>
          <w:position w:val="8"/>
          <w:sz w:val="12"/>
        </w:rPr>
        <w:t>35 </w:t>
      </w:r>
      <w:r>
        <w:rPr>
          <w:sz w:val="18"/>
        </w:rPr>
        <w:t>For instance activities under Article 3.3 shall be "...</w:t>
      </w:r>
      <w:r>
        <w:rPr>
          <w:i/>
          <w:sz w:val="18"/>
        </w:rPr>
        <w:t>measured as verifiable changes in carbon stocks in each commitment period...</w:t>
      </w:r>
      <w:r>
        <w:rPr>
          <w:sz w:val="18"/>
        </w:rPr>
        <w:t>" and "</w:t>
      </w:r>
      <w:r>
        <w:rPr>
          <w:i/>
          <w:sz w:val="18"/>
        </w:rPr>
        <w:t>...The greenhouse gas emissions by sources and removals by sinks associated with those activities shall be reported in a transparent and verifiable manner</w:t>
      </w:r>
      <w:r>
        <w:rPr>
          <w:sz w:val="18"/>
        </w:rPr>
        <w:t>…". Article 3.4 explicitly mentions uncertainties, i.e., "</w:t>
      </w:r>
      <w:r>
        <w:rPr>
          <w:i/>
          <w:sz w:val="18"/>
        </w:rPr>
        <w:t>...human-induced activities related to changes in greenhouse gas emissions by sources and removals by sinks in the agricultural soils and the land-use change and forestry categories shall be added to, or subtracted from, the assigned amounts for Parties included in Annex I, taking into account uncertainties, transparency in reporting, [and] verifiability...</w:t>
      </w:r>
      <w:r>
        <w:rPr>
          <w:sz w:val="18"/>
        </w:rPr>
        <w:t>". (Kyoto Protocol Articles 3.3 and 3.4). See also paragraphs 3(a), 3(b) and 3(c) in the Annex to draft decision -/CMP.1 (Article 5.1), contained in FCCC/CP/2001/13/Add.3,</w:t>
      </w:r>
      <w:r>
        <w:rPr>
          <w:spacing w:val="-3"/>
          <w:sz w:val="18"/>
        </w:rPr>
        <w:t> </w:t>
      </w:r>
      <w:r>
        <w:rPr>
          <w:sz w:val="18"/>
        </w:rPr>
        <w:t>pp.4-5.</w:t>
      </w:r>
    </w:p>
    <w:p>
      <w:pPr>
        <w:spacing w:after="0"/>
        <w:jc w:val="both"/>
        <w:rPr>
          <w:sz w:val="18"/>
        </w:rPr>
        <w:sectPr>
          <w:pgSz w:w="11900" w:h="16840"/>
          <w:pgMar w:header="230" w:footer="408" w:top="560" w:bottom="600" w:left="1260" w:right="1240"/>
        </w:sectPr>
      </w:pPr>
    </w:p>
    <w:p>
      <w:pPr>
        <w:pStyle w:val="BodyText"/>
      </w:pPr>
    </w:p>
    <w:p>
      <w:pPr>
        <w:pStyle w:val="BodyText"/>
        <w:spacing w:before="2"/>
        <w:rPr>
          <w:sz w:val="18"/>
        </w:rPr>
      </w:pPr>
    </w:p>
    <w:p>
      <w:pPr>
        <w:pStyle w:val="BodyText"/>
        <w:ind w:left="387" w:right="164"/>
        <w:jc w:val="both"/>
      </w:pPr>
      <w:r>
        <w:rPr/>
        <w:t>cumbersome to trace the propagation of errors through complex models chained to each other. In general, this may introduce additional uncertainties, except for those cases where simpler models can be used to estimate typical uncertainty ranges that can be combined with central estimates from complex models.</w:t>
      </w:r>
    </w:p>
    <w:p>
      <w:pPr>
        <w:pStyle w:val="ListParagraph"/>
        <w:numPr>
          <w:ilvl w:val="0"/>
          <w:numId w:val="117"/>
        </w:numPr>
        <w:tabs>
          <w:tab w:pos="388" w:val="left" w:leader="none"/>
        </w:tabs>
        <w:spacing w:line="235" w:lineRule="auto" w:before="139" w:after="0"/>
        <w:ind w:left="387" w:right="163" w:hanging="228"/>
        <w:jc w:val="both"/>
        <w:rPr>
          <w:sz w:val="20"/>
        </w:rPr>
      </w:pPr>
      <w:r>
        <w:rPr>
          <w:sz w:val="20"/>
        </w:rPr>
        <w:t>Sampling errors associated with the number of samples (number and location) within a “geographical boundary”. In this case samples do not sufficiently cover the temporal and spatial variability of the estimated parameters. This is particularly critical when using Reporting Method 1 (as described in Section 4.2.2.2). Sampling issues are described in detail in Section 5.3</w:t>
      </w:r>
      <w:r>
        <w:rPr>
          <w:spacing w:val="-6"/>
          <w:sz w:val="20"/>
        </w:rPr>
        <w:t> </w:t>
      </w:r>
      <w:r>
        <w:rPr>
          <w:sz w:val="20"/>
        </w:rPr>
        <w:t>(Sampling).</w:t>
      </w:r>
    </w:p>
    <w:p>
      <w:pPr>
        <w:pStyle w:val="BodyText"/>
        <w:spacing w:before="7"/>
        <w:rPr>
          <w:sz w:val="31"/>
        </w:rPr>
      </w:pPr>
    </w:p>
    <w:p>
      <w:pPr>
        <w:pStyle w:val="Heading6"/>
        <w:jc w:val="both"/>
      </w:pPr>
      <w:r>
        <w:rPr>
          <w:spacing w:val="14"/>
        </w:rPr>
        <w:t>Some </w:t>
      </w:r>
      <w:r>
        <w:rPr>
          <w:spacing w:val="15"/>
        </w:rPr>
        <w:t>notes </w:t>
      </w:r>
      <w:r>
        <w:rPr>
          <w:spacing w:val="10"/>
        </w:rPr>
        <w:t>on </w:t>
      </w:r>
      <w:r>
        <w:rPr>
          <w:spacing w:val="16"/>
        </w:rPr>
        <w:t>factors </w:t>
      </w:r>
      <w:r>
        <w:rPr>
          <w:spacing w:val="17"/>
        </w:rPr>
        <w:t>affecting</w:t>
      </w:r>
      <w:r>
        <w:rPr>
          <w:spacing w:val="74"/>
        </w:rPr>
        <w:t> </w:t>
      </w:r>
      <w:r>
        <w:rPr>
          <w:spacing w:val="19"/>
        </w:rPr>
        <w:t>uncertainty</w:t>
      </w:r>
    </w:p>
    <w:p>
      <w:pPr>
        <w:pStyle w:val="Heading7"/>
        <w:spacing w:before="119"/>
        <w:ind w:left="159"/>
      </w:pPr>
      <w:r>
        <w:rPr/>
        <w:t>Natural Variability </w:t>
      </w:r>
    </w:p>
    <w:p>
      <w:pPr>
        <w:pStyle w:val="BodyText"/>
        <w:ind w:left="159" w:right="163"/>
        <w:jc w:val="both"/>
      </w:pPr>
      <w:r>
        <w:rPr/>
        <w:t>Natural variability is a result of variations in natural controlling variables, such as annual climate variability, and variability within units of land that are assumed to be homogenous, e.g., the spatial variability of e.g., forest soils within a given unit of land. When sufficient experimental data are available, </w:t>
      </w:r>
      <w:r>
        <w:rPr>
          <w:i/>
        </w:rPr>
        <w:t>good practice </w:t>
      </w:r>
      <w:r>
        <w:rPr/>
        <w:t>should permit determination of the resulting combined plot-level and upscaling uncertainties using standard statistical methods (e.g., Tate </w:t>
      </w:r>
      <w:r>
        <w:rPr>
          <w:i/>
        </w:rPr>
        <w:t>et al.</w:t>
      </w:r>
      <w:r>
        <w:rPr/>
        <w:t>, 2003). In some cases, especially for inter-annual or inter-decadal variability, considerable effects may result that can change the sign of the reported net emissions and removals of an entire country or region. In inventory calculations uncertainty due to natural variability can be reduced by using time average coefficients and by averaging direct measurements over a time period sufficiently long to assess the variability, as discussed in Section 4.2.3.7</w:t>
      </w:r>
      <w:r>
        <w:rPr>
          <w:spacing w:val="-2"/>
        </w:rPr>
        <w:t> </w:t>
      </w:r>
      <w:r>
        <w:rPr/>
        <w:t>above.</w:t>
      </w:r>
    </w:p>
    <w:p>
      <w:pPr>
        <w:pStyle w:val="Heading7"/>
        <w:spacing w:before="121"/>
        <w:ind w:left="159"/>
      </w:pPr>
      <w:r>
        <w:rPr/>
        <w:t>Lack of activity data and documentation in time- series consistency </w:t>
      </w:r>
    </w:p>
    <w:p>
      <w:pPr>
        <w:pStyle w:val="BodyText"/>
        <w:ind w:left="159" w:right="164"/>
        <w:jc w:val="both"/>
      </w:pPr>
      <w:r>
        <w:rPr/>
        <w:t>In addition to uncertainties in default carbon emission and removal factors, there are known inaccuracies in the case of missing activity data (cf. Section 4.2.8.1.1). Determining retrospectively the inventory for the base year, i.e., for most Parties the year 1990, may pose a particular challenge for cropland management, grazing land management and revegetation. Where the 1990 base year net carbon emission and removals cannot be established using the default carbon emission and removal factors, they may be estimated by extrapolating a consistent time series. This requires data on the land management history for the past 20 years, because the default method for estimation of the greenhouse gas emissions/removals assumes that it takes 20 years for the soil carbon pool to reach a new equilibrium after a land-use change to agriculture. Options to address the lack of reliable</w:t>
      </w:r>
      <w:r>
        <w:rPr>
          <w:spacing w:val="-3"/>
        </w:rPr>
        <w:t> </w:t>
      </w:r>
      <w:r>
        <w:rPr/>
        <w:t>data</w:t>
      </w:r>
      <w:r>
        <w:rPr>
          <w:spacing w:val="-3"/>
        </w:rPr>
        <w:t> </w:t>
      </w:r>
      <w:r>
        <w:rPr/>
        <w:t>for</w:t>
      </w:r>
      <w:r>
        <w:rPr>
          <w:spacing w:val="-2"/>
        </w:rPr>
        <w:t> </w:t>
      </w:r>
      <w:r>
        <w:rPr/>
        <w:t>the</w:t>
      </w:r>
      <w:r>
        <w:rPr>
          <w:spacing w:val="-2"/>
        </w:rPr>
        <w:t> </w:t>
      </w:r>
      <w:r>
        <w:rPr/>
        <w:t>period</w:t>
      </w:r>
      <w:r>
        <w:rPr>
          <w:spacing w:val="-2"/>
        </w:rPr>
        <w:t> </w:t>
      </w:r>
      <w:r>
        <w:rPr/>
        <w:t>1970</w:t>
      </w:r>
      <w:r>
        <w:rPr>
          <w:spacing w:val="-2"/>
        </w:rPr>
        <w:t> </w:t>
      </w:r>
      <w:r>
        <w:rPr/>
        <w:t>to</w:t>
      </w:r>
      <w:r>
        <w:rPr>
          <w:spacing w:val="-2"/>
        </w:rPr>
        <w:t> </w:t>
      </w:r>
      <w:r>
        <w:rPr/>
        <w:t>1990</w:t>
      </w:r>
      <w:r>
        <w:rPr>
          <w:spacing w:val="-4"/>
        </w:rPr>
        <w:t> </w:t>
      </w:r>
      <w:r>
        <w:rPr/>
        <w:t>can</w:t>
      </w:r>
      <w:r>
        <w:rPr>
          <w:spacing w:val="-4"/>
        </w:rPr>
        <w:t> </w:t>
      </w:r>
      <w:r>
        <w:rPr/>
        <w:t>be</w:t>
      </w:r>
      <w:r>
        <w:rPr>
          <w:spacing w:val="-2"/>
        </w:rPr>
        <w:t> </w:t>
      </w:r>
      <w:r>
        <w:rPr/>
        <w:t>found</w:t>
      </w:r>
      <w:r>
        <w:rPr>
          <w:spacing w:val="-2"/>
        </w:rPr>
        <w:t> </w:t>
      </w:r>
      <w:r>
        <w:rPr/>
        <w:t>in</w:t>
      </w:r>
      <w:r>
        <w:rPr>
          <w:spacing w:val="-2"/>
        </w:rPr>
        <w:t> </w:t>
      </w:r>
      <w:r>
        <w:rPr/>
        <w:t>Section</w:t>
      </w:r>
      <w:r>
        <w:rPr>
          <w:spacing w:val="-4"/>
        </w:rPr>
        <w:t> </w:t>
      </w:r>
      <w:r>
        <w:rPr/>
        <w:t>4.2.8.1.1</w:t>
      </w:r>
      <w:r>
        <w:rPr>
          <w:spacing w:val="-2"/>
        </w:rPr>
        <w:t> </w:t>
      </w:r>
      <w:r>
        <w:rPr/>
        <w:t>(Base</w:t>
      </w:r>
      <w:r>
        <w:rPr>
          <w:spacing w:val="-2"/>
        </w:rPr>
        <w:t> </w:t>
      </w:r>
      <w:r>
        <w:rPr/>
        <w:t>year,</w:t>
      </w:r>
      <w:r>
        <w:rPr>
          <w:spacing w:val="-2"/>
        </w:rPr>
        <w:t> </w:t>
      </w:r>
      <w:r>
        <w:rPr/>
        <w:t>Cropland</w:t>
      </w:r>
      <w:r>
        <w:rPr>
          <w:spacing w:val="-2"/>
        </w:rPr>
        <w:t> </w:t>
      </w:r>
      <w:r>
        <w:rPr/>
        <w:t>Management).</w:t>
      </w:r>
    </w:p>
    <w:p>
      <w:pPr>
        <w:pStyle w:val="Heading7"/>
        <w:spacing w:before="121"/>
        <w:ind w:left="159"/>
      </w:pPr>
      <w:r>
        <w:rPr/>
        <w:t>Resolution of remote sensing and ground truth</w:t>
      </w:r>
    </w:p>
    <w:p>
      <w:pPr>
        <w:pStyle w:val="BodyText"/>
        <w:ind w:left="159" w:right="163"/>
        <w:jc w:val="both"/>
      </w:pPr>
      <w:r>
        <w:rPr/>
        <w:t>The objective of using satellite imagery for land cover assessments is to obtain, for an inventory region, total area estimates, percentages of land-cover classes, or geographical boundaries. Remote sensing is particularly well suited to produce a complete identification of lands and units of land when using Reporting Method 2 (see Section 4.2.2.2). A primary source of uncertainty is the selection of imagery of inadequate resolution. In order to capture changes in areas as small as one hectare, the resolution of the imagery must be finer than one hectare. In addition, improper or insufficient ground truthing can result in classification</w:t>
      </w:r>
      <w:r>
        <w:rPr>
          <w:spacing w:val="-6"/>
        </w:rPr>
        <w:t> </w:t>
      </w:r>
      <w:r>
        <w:rPr/>
        <w:t>errors.</w:t>
      </w:r>
    </w:p>
    <w:p>
      <w:pPr>
        <w:pStyle w:val="BodyText"/>
        <w:spacing w:before="117"/>
        <w:ind w:left="159" w:right="161"/>
        <w:jc w:val="both"/>
      </w:pPr>
      <w:r>
        <w:rPr>
          <w:b/>
        </w:rPr>
        <w:t>Positional errors </w:t>
      </w:r>
      <w:r>
        <w:rPr/>
        <w:t>occur where (a) the geometric correction is not done, incomplete or false, (b) the pixel location and location of ground truth plot do not coincide, and (c) there is insufficient accuracy in the definition of the borderlines. For example, when detecting land-use changes by a time series of remotely sensed images, the spatial displacement of pixels from one sampled image to the next will introduce errors. In the case of detection of a transition from forest to non-forest or vice versa, the associated uncertainties will be larger when forests are fragmented. </w:t>
      </w:r>
      <w:r>
        <w:rPr>
          <w:b/>
        </w:rPr>
        <w:t>Classification errors </w:t>
      </w:r>
      <w:r>
        <w:rPr/>
        <w:t>arise from an incorrect identification of the real land cover class. They comprise omission errors, i.e., a population element from a given category is omitted and put erroneously into another class, and commission errors, i.e., classifying wrong categories into a given ground truth category.</w:t>
      </w:r>
    </w:p>
    <w:p>
      <w:pPr>
        <w:pStyle w:val="BodyText"/>
        <w:spacing w:before="6"/>
        <w:rPr>
          <w:sz w:val="29"/>
        </w:rPr>
      </w:pPr>
    </w:p>
    <w:p>
      <w:pPr>
        <w:pStyle w:val="Heading6"/>
        <w:numPr>
          <w:ilvl w:val="4"/>
          <w:numId w:val="134"/>
        </w:numPr>
        <w:tabs>
          <w:tab w:pos="1312" w:val="left" w:leader="none"/>
        </w:tabs>
        <w:spacing w:line="240" w:lineRule="auto" w:before="1" w:after="0"/>
        <w:ind w:left="1311" w:right="0" w:hanging="1152"/>
        <w:jc w:val="both"/>
      </w:pPr>
      <w:r>
        <w:rPr/>
        <w:t>2 </w:t>
      </w:r>
      <w:r>
        <w:rPr>
          <w:spacing w:val="17"/>
        </w:rPr>
        <w:t>QUANTIFYING</w:t>
      </w:r>
      <w:r>
        <w:rPr>
          <w:spacing w:val="44"/>
        </w:rPr>
        <w:t> </w:t>
      </w:r>
      <w:r>
        <w:rPr>
          <w:spacing w:val="17"/>
        </w:rPr>
        <w:t>UNCERTAINTIES</w:t>
      </w:r>
    </w:p>
    <w:p>
      <w:pPr>
        <w:pStyle w:val="BodyText"/>
        <w:spacing w:before="207"/>
        <w:ind w:left="159" w:right="166"/>
        <w:jc w:val="both"/>
      </w:pPr>
      <w:r>
        <w:rPr/>
        <w:t>Uncertainties are to be quantified according to methods as described in this report: Chapters 2 and 3 provide the necessary data and methodological advice on estimating uncertainties associated with carbon stock changes and emissions estimation. Chapter 5 (see equations in Section 5.2) shows how to combine these estimates into  overall</w:t>
      </w:r>
      <w:r>
        <w:rPr>
          <w:spacing w:val="-1"/>
        </w:rPr>
        <w:t> </w:t>
      </w:r>
      <w:r>
        <w:rPr/>
        <w:t>uncertainties.</w:t>
      </w:r>
    </w:p>
    <w:p>
      <w:pPr>
        <w:pStyle w:val="BodyText"/>
        <w:spacing w:before="119"/>
        <w:ind w:left="159" w:right="164"/>
        <w:jc w:val="both"/>
      </w:pPr>
      <w:r>
        <w:rPr/>
        <w:t>It is </w:t>
      </w:r>
      <w:r>
        <w:rPr>
          <w:i/>
        </w:rPr>
        <w:t>good practice </w:t>
      </w:r>
      <w:r>
        <w:rPr/>
        <w:t>to derive confidence intervals by applying a quantitative method to existing data. Confidence intervals at given confidence levels provide a minimum basis for a simple quantitative estimate of uncertainty. To remain consistent with </w:t>
      </w:r>
      <w:r>
        <w:rPr>
          <w:i/>
        </w:rPr>
        <w:t>GPG2000</w:t>
      </w:r>
      <w:r>
        <w:rPr/>
        <w:t>, uncertainties should be estimated at the 95% confidence limits, using component uncertainties assessed by expert judgement aiming at 95% confidence where quantification is not otherwise possible (see Section 5.2 for guidance on expert</w:t>
      </w:r>
      <w:r>
        <w:rPr>
          <w:spacing w:val="-1"/>
        </w:rPr>
        <w:t> </w:t>
      </w:r>
      <w:r>
        <w:rPr/>
        <w:t>judgement).</w:t>
      </w:r>
    </w:p>
    <w:p>
      <w:pPr>
        <w:spacing w:after="0"/>
        <w:jc w:val="both"/>
        <w:sectPr>
          <w:pgSz w:w="11900" w:h="16840"/>
          <w:pgMar w:header="230" w:footer="408" w:top="560" w:bottom="600" w:left="1260" w:right="1240"/>
        </w:sectPr>
      </w:pPr>
    </w:p>
    <w:p>
      <w:pPr>
        <w:pStyle w:val="BodyText"/>
      </w:pPr>
    </w:p>
    <w:p>
      <w:pPr>
        <w:pStyle w:val="BodyText"/>
        <w:spacing w:before="2"/>
        <w:rPr>
          <w:sz w:val="18"/>
        </w:rPr>
      </w:pPr>
    </w:p>
    <w:p>
      <w:pPr>
        <w:pStyle w:val="BodyText"/>
        <w:ind w:left="159" w:right="170"/>
        <w:jc w:val="both"/>
      </w:pPr>
      <w:r>
        <w:rPr/>
        <w:t>Uncertainties for the Kyoto activities can be treated in the same way as other uncertainty estimates taking into account that:</w:t>
      </w:r>
    </w:p>
    <w:p>
      <w:pPr>
        <w:pStyle w:val="ListParagraph"/>
        <w:numPr>
          <w:ilvl w:val="0"/>
          <w:numId w:val="117"/>
        </w:numPr>
        <w:tabs>
          <w:tab w:pos="520" w:val="left" w:leader="none"/>
        </w:tabs>
        <w:spacing w:line="237" w:lineRule="auto" w:before="137" w:after="0"/>
        <w:ind w:left="521" w:right="165" w:hanging="362"/>
        <w:jc w:val="both"/>
        <w:rPr>
          <w:i/>
          <w:sz w:val="20"/>
        </w:rPr>
      </w:pPr>
      <w:r>
        <w:rPr>
          <w:sz w:val="20"/>
        </w:rPr>
        <w:t>The “since 1990” clause and the use of definitions specific to the Kyoto Protocol and the Marrakesh Accords are likely to cause systematic errors related to the estimation of the required activity data. The potential for differences between the managed forest area and the area subject to forest management, and also between grassland area and area subject to grazing land management implies that the areas whose uncertainties are being assessed may differ between the Kyoto Protocol activities and the corresponding categories of the </w:t>
      </w:r>
      <w:r>
        <w:rPr>
          <w:i/>
          <w:sz w:val="20"/>
        </w:rPr>
        <w:t>IPCC</w:t>
      </w:r>
      <w:r>
        <w:rPr>
          <w:i/>
          <w:spacing w:val="-4"/>
          <w:sz w:val="20"/>
        </w:rPr>
        <w:t> </w:t>
      </w:r>
      <w:r>
        <w:rPr>
          <w:i/>
          <w:sz w:val="20"/>
        </w:rPr>
        <w:t>Guidelines.</w:t>
      </w:r>
    </w:p>
    <w:p>
      <w:pPr>
        <w:pStyle w:val="ListParagraph"/>
        <w:numPr>
          <w:ilvl w:val="0"/>
          <w:numId w:val="117"/>
        </w:numPr>
        <w:tabs>
          <w:tab w:pos="520" w:val="left" w:leader="none"/>
        </w:tabs>
        <w:spacing w:line="235" w:lineRule="auto" w:before="131" w:after="0"/>
        <w:ind w:left="521" w:right="164" w:hanging="362"/>
        <w:jc w:val="both"/>
        <w:rPr>
          <w:sz w:val="20"/>
        </w:rPr>
      </w:pPr>
      <w:r>
        <w:rPr>
          <w:sz w:val="20"/>
        </w:rPr>
        <w:t>Activity data can also relate to individual practices or ownership structures, e.g., the fraction of cropland farmers using a given amendment on a particular soil. If the fraction is estimated by survey, the survey design should incorporate an uncertainty estimate depending on the level of inventory data disaggregation, otherwise the uncertainty will have to come from expert</w:t>
      </w:r>
      <w:r>
        <w:rPr>
          <w:spacing w:val="-3"/>
          <w:sz w:val="20"/>
        </w:rPr>
        <w:t> </w:t>
      </w:r>
      <w:r>
        <w:rPr>
          <w:sz w:val="20"/>
        </w:rPr>
        <w:t>judgement.</w:t>
      </w:r>
    </w:p>
    <w:p>
      <w:pPr>
        <w:pStyle w:val="ListParagraph"/>
        <w:numPr>
          <w:ilvl w:val="0"/>
          <w:numId w:val="117"/>
        </w:numPr>
        <w:tabs>
          <w:tab w:pos="520" w:val="left" w:leader="none"/>
        </w:tabs>
        <w:spacing w:line="237" w:lineRule="auto" w:before="134" w:after="0"/>
        <w:ind w:left="521" w:right="164" w:hanging="362"/>
        <w:jc w:val="both"/>
        <w:rPr>
          <w:sz w:val="20"/>
        </w:rPr>
      </w:pPr>
      <w:r>
        <w:rPr>
          <w:sz w:val="20"/>
        </w:rPr>
        <w:t>For cropland management, grazing land management and/or revegetation (if elected) uncertainty estimates are needed also for the base year. These are likely to be higher than for estimates in the commitment period, because this information may often be derived only by backward extrapolations or models, rather than by actual inventories in or near the base year. In addition, determination of activities in the base year, where required, may pose difficulties if pre-base year surveys of land use are not available. Section 4.2.8  (Cropland Management) discusses a default approach to this problem. The associated uncertainties could, in principle, be assessed by formal statistical methods, but more likely by expert judgement which is based on the feasible ranges of backward extrapolation of time trends. Further advice on providing missing data in this way is given in Section</w:t>
      </w:r>
      <w:r>
        <w:rPr>
          <w:spacing w:val="-4"/>
          <w:sz w:val="20"/>
        </w:rPr>
        <w:t> </w:t>
      </w:r>
      <w:r>
        <w:rPr>
          <w:sz w:val="20"/>
        </w:rPr>
        <w:t>5.6.</w:t>
      </w:r>
    </w:p>
    <w:p>
      <w:pPr>
        <w:pStyle w:val="ListParagraph"/>
        <w:numPr>
          <w:ilvl w:val="0"/>
          <w:numId w:val="117"/>
        </w:numPr>
        <w:tabs>
          <w:tab w:pos="520" w:val="left" w:leader="none"/>
        </w:tabs>
        <w:spacing w:line="235" w:lineRule="auto" w:before="139" w:after="0"/>
        <w:ind w:left="499" w:right="163" w:hanging="340"/>
        <w:jc w:val="both"/>
        <w:rPr>
          <w:sz w:val="20"/>
        </w:rPr>
      </w:pPr>
      <w:r>
        <w:rPr>
          <w:sz w:val="20"/>
        </w:rPr>
        <w:t>When remote sensing is employed for classification of land use and detection of land-use change including units of land subject to Article 3.3, the uncertainties could be quantified by verifying classified lands with adequate actual ground truth data or higher resolution imagery (see Sections 5.7.2 and 2.4.4). A confusion matrix as described in Section 2.4.4 can be used to assess</w:t>
      </w:r>
      <w:r>
        <w:rPr>
          <w:spacing w:val="-6"/>
          <w:sz w:val="20"/>
        </w:rPr>
        <w:t> </w:t>
      </w:r>
      <w:r>
        <w:rPr>
          <w:sz w:val="20"/>
        </w:rPr>
        <w:t>accuracy.</w:t>
      </w:r>
    </w:p>
    <w:p>
      <w:pPr>
        <w:pStyle w:val="BodyText"/>
        <w:spacing w:before="118"/>
        <w:ind w:left="159" w:right="164"/>
        <w:jc w:val="both"/>
      </w:pPr>
      <w:r>
        <w:rPr/>
        <w:t>Separate annual uncertainty estimates need to be made for each activity under Articles 3.3 and 3.4, for each reported carbon pool, each greenhouse gas and geographical location. Estimates should be reported using tables generated following the model of Tables 4.2.6a, 4.2.6b and 4.2.6c as found in Section 4.2.4.3 (Reporting and Documentation). Separate tables should be reported for the base year in case CM, GM and/or RV are elected. Estimates should be expressed as percent of the area and of the emissions by sources or removals by sinks (or changes in stocks) reported in Tables 4.2.6 a, b and c.</w:t>
      </w:r>
    </w:p>
    <w:p>
      <w:pPr>
        <w:pStyle w:val="BodyText"/>
        <w:spacing w:before="120"/>
        <w:ind w:left="159" w:right="162"/>
        <w:jc w:val="both"/>
      </w:pPr>
      <w:r>
        <w:rPr/>
        <w:t>Uncertainty associated with areas of lands and units of land need to be estimated. When using Reporting Method 1, it is </w:t>
      </w:r>
      <w:r>
        <w:rPr>
          <w:i/>
        </w:rPr>
        <w:t>good practice </w:t>
      </w:r>
      <w:r>
        <w:rPr/>
        <w:t>to report a separate estimate of uncertainty for each of the Article 3.3 activities, and each of the elected Article 3.4 activities within a given geographical boundary. Under Reporting Method 2, each geographical boundary is subject to a single activity. Therefore there will only be one uncertainty estimate needed for each geographical</w:t>
      </w:r>
      <w:r>
        <w:rPr>
          <w:spacing w:val="3"/>
        </w:rPr>
        <w:t> </w:t>
      </w:r>
      <w:r>
        <w:rPr/>
        <w:t>boundary.</w:t>
      </w:r>
    </w:p>
    <w:p>
      <w:pPr>
        <w:pStyle w:val="BodyText"/>
        <w:spacing w:before="117"/>
        <w:ind w:left="159" w:right="163"/>
        <w:jc w:val="both"/>
      </w:pPr>
      <w:r>
        <w:rPr/>
        <w:t>Where uncertainties are difficult to derive, default values for uncertainties are to be used. Guidance on selecting default carbon emission or removal factors for cropland management can be found in Annex 4A.1, Tool for Estimation of Changes in Soil Carbon Stocks associated with Management Changes in Croplands and Grazing Lands based on IPCC Default Data. Since these factors are taken from the </w:t>
      </w:r>
      <w:r>
        <w:rPr>
          <w:i/>
        </w:rPr>
        <w:t>IPCC Guidelines</w:t>
      </w:r>
      <w:r>
        <w:rPr/>
        <w:t>, no true uncertainty ranges can be assigned. However, using expert judgement, default uncertainty ranges corresponding to a coefficient of variation (the ratio of the standard deviation and the mean) of 50% can be assigned, based on an analysis of no-till long-term experiments in Europe in which the 95% confidence interval of the mean annual emission or removal estimate was found to be around ±50% of that mean (Smith </w:t>
      </w:r>
      <w:r>
        <w:rPr>
          <w:i/>
        </w:rPr>
        <w:t>et al</w:t>
      </w:r>
      <w:r>
        <w:rPr/>
        <w:t>., 1998). For revegetation, default uncertainty ranges cannot be specified. It is </w:t>
      </w:r>
      <w:r>
        <w:rPr>
          <w:i/>
        </w:rPr>
        <w:t>good practice </w:t>
      </w:r>
      <w:r>
        <w:rPr/>
        <w:t>for a Party electing revegetation to provide its own estimates of the uncertainty associated with emissions and removals from all pools for the affected lands. These could be derived from using Tier 2 and 3 methods to assess emissions and removals of carbon due to revegetation (see Section 5.2 Identifying and quantifying uncertainties).</w:t>
      </w:r>
    </w:p>
    <w:p>
      <w:pPr>
        <w:pStyle w:val="BodyText"/>
        <w:spacing w:before="118"/>
        <w:ind w:left="159" w:right="164"/>
        <w:jc w:val="both"/>
      </w:pPr>
      <w:r>
        <w:rPr/>
        <w:t>Problems may arise when activity data are lacking or are not well-documented. Activity data necessary to apply scaling factors (i.e., data on agricultural practices and organic amendments) may not be available in current databases/statistics. Estimates of the fraction of farmers using a particular practice or amendment should then be based on expert judgement, and so should the range in the estimated fraction. As a default value for the uncertainty in the fraction estimate, ±0.2 is proposed (e.g., the fraction of farmers using organic amendment estimated at 0.4, the uncertainty range being 0.2–0.6). Chapter 6 in </w:t>
      </w:r>
      <w:r>
        <w:rPr>
          <w:i/>
        </w:rPr>
        <w:t>GPG2000 </w:t>
      </w:r>
      <w:r>
        <w:rPr/>
        <w:t>(Quantifying Uncertainties in Practice) and Chapter 5 of this report (Cross-cutting ssues) provide advice on quantifying uncertainties in practice, including combining expert judgements and empirical data into overall uncertainty estimates.</w:t>
      </w:r>
    </w:p>
    <w:p>
      <w:pPr>
        <w:spacing w:after="0"/>
        <w:jc w:val="both"/>
        <w:sectPr>
          <w:pgSz w:w="11900" w:h="16840"/>
          <w:pgMar w:header="230" w:footer="408" w:top="560" w:bottom="600" w:left="1260" w:right="1240"/>
        </w:sectPr>
      </w:pPr>
    </w:p>
    <w:p>
      <w:pPr>
        <w:pStyle w:val="BodyText"/>
      </w:pPr>
    </w:p>
    <w:p>
      <w:pPr>
        <w:pStyle w:val="BodyText"/>
        <w:rPr>
          <w:sz w:val="19"/>
        </w:rPr>
      </w:pPr>
    </w:p>
    <w:p>
      <w:pPr>
        <w:pStyle w:val="Heading6"/>
        <w:numPr>
          <w:ilvl w:val="4"/>
          <w:numId w:val="134"/>
        </w:numPr>
        <w:tabs>
          <w:tab w:pos="1312" w:val="left" w:leader="none"/>
        </w:tabs>
        <w:spacing w:line="240" w:lineRule="auto" w:before="92" w:after="0"/>
        <w:ind w:left="1311" w:right="0" w:hanging="1152"/>
        <w:jc w:val="both"/>
      </w:pPr>
      <w:r>
        <w:rPr/>
        <w:t>3 </w:t>
      </w:r>
      <w:r>
        <w:rPr>
          <w:spacing w:val="16"/>
        </w:rPr>
        <w:t>REDUCING</w:t>
      </w:r>
      <w:r>
        <w:rPr>
          <w:spacing w:val="43"/>
        </w:rPr>
        <w:t> </w:t>
      </w:r>
      <w:r>
        <w:rPr>
          <w:spacing w:val="17"/>
        </w:rPr>
        <w:t>UNCERTAINTIES</w:t>
      </w:r>
    </w:p>
    <w:p>
      <w:pPr>
        <w:pStyle w:val="BodyText"/>
        <w:spacing w:before="210"/>
        <w:ind w:left="159" w:right="165"/>
        <w:jc w:val="both"/>
      </w:pPr>
      <w:r>
        <w:rPr/>
        <w:t>Estimating uncertainties in a quantitative manner helps to identify major sources of uncertainties and to pin-point areas of potential improvements in order to reduce uncertainties in future assessments. In particular, for reporting under the Kyoto Protocol it is recommended to make efforts to convey the overall uncertainty estimates to all agencies and/or firms involved in order to encourage improvement, i.e., reduced uncertainties in estimates of future reports. It is also </w:t>
      </w:r>
      <w:r>
        <w:rPr>
          <w:i/>
        </w:rPr>
        <w:t>good practice </w:t>
      </w:r>
      <w:r>
        <w:rPr/>
        <w:t>to establish institutional means and procedures that are likely to contribute towards reducing uncertainties. For instance, a country may choose on purpose to estimate uncertainties by more than one procedure. This will produce complementary results for the same country and data category, prompting further research in potential sources of inconsistency and ultimately enhancing the robustness of estimates.</w:t>
      </w:r>
    </w:p>
    <w:p>
      <w:pPr>
        <w:pStyle w:val="BodyText"/>
        <w:spacing w:before="118"/>
        <w:ind w:left="159" w:right="164"/>
        <w:jc w:val="both"/>
      </w:pPr>
      <w:r>
        <w:rPr/>
        <w:t>Often, uncertainties can be reduced if areas subject to land-use change are estimated directly as a class by themselves within a stratification scheme, rather than as a difference between two overall estimates of land-use areas.</w:t>
      </w:r>
    </w:p>
    <w:p>
      <w:pPr>
        <w:pStyle w:val="BodyText"/>
        <w:spacing w:before="119"/>
        <w:ind w:left="159" w:right="163"/>
        <w:jc w:val="both"/>
      </w:pPr>
      <w:r>
        <w:rPr/>
        <w:t>The extra effort required for area identification should help to reduce uncertainties in the assessment of areas subject to Kyoto Protocol activities.</w:t>
      </w:r>
    </w:p>
    <w:p>
      <w:pPr>
        <w:pStyle w:val="BodyText"/>
        <w:spacing w:before="121"/>
        <w:ind w:left="159" w:right="163"/>
        <w:jc w:val="both"/>
      </w:pPr>
      <w:r>
        <w:rPr/>
        <w:t>Uncertainties are likely to be reduced by implementing means to make the design, procedure and frequency of data collection more systematic, for example by establishing – whenever possible – long-term, statistically sound monitoring programmes.</w:t>
      </w:r>
    </w:p>
    <w:p>
      <w:pPr>
        <w:pStyle w:val="BodyText"/>
        <w:rPr>
          <w:sz w:val="22"/>
        </w:rPr>
      </w:pPr>
    </w:p>
    <w:p>
      <w:pPr>
        <w:pStyle w:val="Heading6"/>
        <w:numPr>
          <w:ilvl w:val="3"/>
          <w:numId w:val="135"/>
        </w:numPr>
        <w:tabs>
          <w:tab w:pos="1600" w:val="left" w:leader="none"/>
        </w:tabs>
        <w:spacing w:line="240" w:lineRule="auto" w:before="144" w:after="0"/>
        <w:ind w:left="1599" w:right="0" w:hanging="1440"/>
        <w:jc w:val="both"/>
      </w:pPr>
      <w:r>
        <w:rPr>
          <w:spacing w:val="17"/>
          <w:sz w:val="28"/>
        </w:rPr>
        <w:t>R</w:t>
      </w:r>
      <w:r>
        <w:rPr>
          <w:spacing w:val="17"/>
        </w:rPr>
        <w:t>EPORTING </w:t>
      </w:r>
      <w:r>
        <w:rPr>
          <w:spacing w:val="12"/>
        </w:rPr>
        <w:t>AND</w:t>
      </w:r>
      <w:r>
        <w:rPr>
          <w:spacing w:val="-10"/>
        </w:rPr>
        <w:t> </w:t>
      </w:r>
      <w:r>
        <w:rPr>
          <w:spacing w:val="17"/>
        </w:rPr>
        <w:t>DOCUMENTATION</w:t>
      </w:r>
    </w:p>
    <w:p>
      <w:pPr>
        <w:pStyle w:val="ListParagraph"/>
        <w:numPr>
          <w:ilvl w:val="4"/>
          <w:numId w:val="135"/>
        </w:numPr>
        <w:tabs>
          <w:tab w:pos="1312" w:val="left" w:leader="none"/>
        </w:tabs>
        <w:spacing w:line="240" w:lineRule="auto" w:before="243" w:after="0"/>
        <w:ind w:left="1311" w:right="0" w:hanging="1152"/>
        <w:jc w:val="both"/>
        <w:rPr>
          <w:b/>
          <w:sz w:val="22"/>
        </w:rPr>
      </w:pPr>
      <w:r>
        <w:rPr>
          <w:b/>
          <w:sz w:val="22"/>
        </w:rPr>
        <w:t>1</w:t>
      </w:r>
      <w:r>
        <w:rPr>
          <w:b/>
          <w:spacing w:val="3"/>
          <w:sz w:val="22"/>
        </w:rPr>
        <w:t> </w:t>
      </w:r>
      <w:r>
        <w:rPr>
          <w:b/>
          <w:spacing w:val="17"/>
          <w:sz w:val="22"/>
        </w:rPr>
        <w:t>REPORTING</w:t>
      </w:r>
    </w:p>
    <w:p>
      <w:pPr>
        <w:pStyle w:val="BodyText"/>
        <w:spacing w:before="207"/>
        <w:ind w:left="159" w:right="164"/>
        <w:jc w:val="both"/>
      </w:pPr>
      <w:r>
        <w:rPr/>
        <w:t>The anthropogenic greenhouse gas emissions by sources and removals by sinks from land use, land-use change and forestry activities, estimated using the methods described before and in the activity-specific Sections 4.2.5 – 4.2.10, must be reported as outlined in the Marrakesh Accords.</w:t>
      </w:r>
      <w:r>
        <w:rPr>
          <w:vertAlign w:val="superscript"/>
        </w:rPr>
        <w:t>36</w:t>
      </w:r>
      <w:r>
        <w:rPr>
          <w:vertAlign w:val="baseline"/>
        </w:rPr>
        <w:t> Some information on definitions and elected activities must be reported prior to the first commitment period (by the end of 2006), whereas much supplementary information must be reported annually during the first commitment period. The information to be reported is summarised in Tables 4.2.4a and 4.2.4b, respectively, but excludes information associated with removal unit (RMU) accounting. It is </w:t>
      </w:r>
      <w:r>
        <w:rPr>
          <w:i/>
          <w:vertAlign w:val="baseline"/>
        </w:rPr>
        <w:t>good practice </w:t>
      </w:r>
      <w:r>
        <w:rPr>
          <w:vertAlign w:val="baseline"/>
        </w:rPr>
        <w:t>to report all information requested in these tables.</w:t>
      </w:r>
    </w:p>
    <w:p>
      <w:pPr>
        <w:pStyle w:val="BodyText"/>
        <w:spacing w:before="121"/>
        <w:ind w:left="159" w:right="165"/>
        <w:jc w:val="both"/>
      </w:pPr>
      <w:r>
        <w:rPr/>
        <w:t>Annual reports under the Kyoto Protocol must include estimates of areas of land subject to activities under Article 3.3 and 3.4 (where elected), of emissions by sources and removals by sinks on these areas of land, and the associated uncertainties, using Tables 4.2.5 through 4.2.7. It is </w:t>
      </w:r>
      <w:r>
        <w:rPr>
          <w:i/>
        </w:rPr>
        <w:t>good practice </w:t>
      </w:r>
      <w:r>
        <w:rPr/>
        <w:t>to include in these reports additional information on methods and approaches used to identify lands and to estimate the emissions and removals.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9"/>
        </w:rPr>
      </w:pPr>
      <w:r>
        <w:rPr/>
        <w:pict>
          <v:line style="position:absolute;mso-position-horizontal-relative:page;mso-position-vertical-relative:paragraph;z-index:18944;mso-wrap-distance-left:0;mso-wrap-distance-right:0" from="70.960999pt,19.312393pt" to="214.960999pt,19.312393pt" stroked="true" strokeweight=".48pt" strokecolor="#000000">
            <v:stroke dashstyle="solid"/>
            <w10:wrap type="topAndBottom"/>
          </v:line>
        </w:pict>
      </w:r>
    </w:p>
    <w:p>
      <w:pPr>
        <w:spacing w:before="150"/>
        <w:ind w:left="317" w:right="167" w:hanging="159"/>
        <w:jc w:val="left"/>
        <w:rPr>
          <w:sz w:val="18"/>
        </w:rPr>
      </w:pPr>
      <w:r>
        <w:rPr>
          <w:position w:val="8"/>
          <w:sz w:val="12"/>
        </w:rPr>
        <w:t>36 </w:t>
      </w:r>
      <w:r>
        <w:rPr>
          <w:sz w:val="18"/>
        </w:rPr>
        <w:t>See paragraphs 4 to 9 of the Annex to draft decision -/CMP.1 (Article 7), contained in document FCCC/CP/2001/13/Add.3, pp.22-24.</w:t>
      </w:r>
    </w:p>
    <w:p>
      <w:pPr>
        <w:spacing w:after="0"/>
        <w:jc w:val="left"/>
        <w:rPr>
          <w:sz w:val="18"/>
        </w:rPr>
        <w:sectPr>
          <w:pgSz w:w="11900" w:h="16840"/>
          <w:pgMar w:header="230" w:footer="408" w:top="560" w:bottom="600" w:left="1260" w:right="1240"/>
        </w:sectPr>
      </w:pPr>
    </w:p>
    <w:p>
      <w:pPr>
        <w:pStyle w:val="BodyText"/>
      </w:pPr>
    </w:p>
    <w:p>
      <w:pPr>
        <w:pStyle w:val="BodyText"/>
      </w:pPr>
    </w:p>
    <w:p>
      <w:pPr>
        <w:pStyle w:val="BodyText"/>
        <w:spacing w:before="4"/>
        <w:rPr>
          <w:sz w:val="27"/>
        </w:rPr>
      </w:pPr>
    </w:p>
    <w:tbl>
      <w:tblPr>
        <w:tblW w:w="0" w:type="auto"/>
        <w:jc w:val="left"/>
        <w:tblInd w:w="1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8"/>
        <w:gridCol w:w="5906"/>
        <w:gridCol w:w="1236"/>
      </w:tblGrid>
      <w:tr>
        <w:trPr>
          <w:trHeight w:val="738" w:hRule="atLeast"/>
        </w:trPr>
        <w:tc>
          <w:tcPr>
            <w:tcW w:w="9050" w:type="dxa"/>
            <w:gridSpan w:val="3"/>
            <w:tcBorders>
              <w:bottom w:val="double" w:sz="1" w:space="0" w:color="000000"/>
            </w:tcBorders>
          </w:tcPr>
          <w:p>
            <w:pPr>
              <w:pStyle w:val="TableParagraph"/>
              <w:spacing w:line="207" w:lineRule="exact" w:before="59"/>
              <w:ind w:left="59" w:right="47"/>
              <w:jc w:val="center"/>
              <w:rPr>
                <w:b/>
                <w:sz w:val="18"/>
              </w:rPr>
            </w:pPr>
            <w:r>
              <w:rPr>
                <w:b/>
                <w:sz w:val="18"/>
              </w:rPr>
              <w:t>T</w:t>
            </w:r>
            <w:r>
              <w:rPr>
                <w:b/>
                <w:sz w:val="14"/>
              </w:rPr>
              <w:t>ABLE </w:t>
            </w:r>
            <w:r>
              <w:rPr>
                <w:b/>
                <w:sz w:val="18"/>
              </w:rPr>
              <w:t>4.2.4a</w:t>
            </w:r>
          </w:p>
          <w:p>
            <w:pPr>
              <w:pStyle w:val="TableParagraph"/>
              <w:spacing w:line="213" w:lineRule="auto" w:before="19"/>
              <w:ind w:left="59" w:right="49"/>
              <w:jc w:val="center"/>
              <w:rPr>
                <w:b/>
                <w:sz w:val="12"/>
              </w:rPr>
            </w:pPr>
            <w:r>
              <w:rPr>
                <w:b/>
                <w:sz w:val="18"/>
              </w:rPr>
              <w:t>S</w:t>
            </w:r>
            <w:r>
              <w:rPr>
                <w:b/>
                <w:sz w:val="14"/>
              </w:rPr>
              <w:t>UPPLEMENTARY INVENTORY INFORMATION TO BE REPORTED PRIOR TO </w:t>
            </w:r>
            <w:r>
              <w:rPr>
                <w:b/>
                <w:sz w:val="18"/>
              </w:rPr>
              <w:t>1 J</w:t>
            </w:r>
            <w:r>
              <w:rPr>
                <w:b/>
                <w:sz w:val="14"/>
              </w:rPr>
              <w:t>ANUARY </w:t>
            </w:r>
            <w:r>
              <w:rPr>
                <w:b/>
                <w:sz w:val="18"/>
              </w:rPr>
              <w:t>2007 </w:t>
            </w:r>
            <w:r>
              <w:rPr>
                <w:b/>
                <w:sz w:val="14"/>
              </w:rPr>
              <w:t>OR ONE YEAR AFTER THE ENTRY INTO FORCE OF THE </w:t>
            </w:r>
            <w:r>
              <w:rPr>
                <w:b/>
                <w:sz w:val="18"/>
              </w:rPr>
              <w:t>K</w:t>
            </w:r>
            <w:r>
              <w:rPr>
                <w:b/>
                <w:sz w:val="14"/>
              </w:rPr>
              <w:t>YOTO </w:t>
            </w:r>
            <w:r>
              <w:rPr>
                <w:b/>
                <w:sz w:val="18"/>
              </w:rPr>
              <w:t>P</w:t>
            </w:r>
            <w:r>
              <w:rPr>
                <w:b/>
                <w:sz w:val="14"/>
              </w:rPr>
              <w:t>ROTOCOL FOR THE </w:t>
            </w:r>
            <w:r>
              <w:rPr>
                <w:b/>
                <w:sz w:val="18"/>
              </w:rPr>
              <w:t>P</w:t>
            </w:r>
            <w:r>
              <w:rPr>
                <w:b/>
                <w:sz w:val="14"/>
              </w:rPr>
              <w:t>ARTY</w:t>
            </w:r>
            <w:r>
              <w:rPr>
                <w:b/>
                <w:sz w:val="18"/>
              </w:rPr>
              <w:t>, </w:t>
            </w:r>
            <w:r>
              <w:rPr>
                <w:b/>
                <w:sz w:val="14"/>
              </w:rPr>
              <w:t>WHICHEVER IS LATER</w:t>
            </w:r>
            <w:r>
              <w:rPr>
                <w:b/>
                <w:position w:val="8"/>
                <w:sz w:val="12"/>
              </w:rPr>
              <w:t>37</w:t>
            </w:r>
          </w:p>
        </w:tc>
      </w:tr>
      <w:tr>
        <w:trPr>
          <w:trHeight w:val="764" w:hRule="atLeast"/>
        </w:trPr>
        <w:tc>
          <w:tcPr>
            <w:tcW w:w="1908" w:type="dxa"/>
            <w:tcBorders>
              <w:top w:val="double" w:sz="1" w:space="0" w:color="000000"/>
            </w:tcBorders>
          </w:tcPr>
          <w:p>
            <w:pPr>
              <w:pStyle w:val="TableParagraph"/>
              <w:spacing w:before="177"/>
              <w:ind w:left="618" w:right="246" w:hanging="346"/>
              <w:rPr>
                <w:b/>
                <w:sz w:val="18"/>
              </w:rPr>
            </w:pPr>
            <w:r>
              <w:rPr>
                <w:b/>
                <w:sz w:val="18"/>
              </w:rPr>
              <w:t>Information to be reported</w:t>
            </w:r>
          </w:p>
        </w:tc>
        <w:tc>
          <w:tcPr>
            <w:tcW w:w="5906" w:type="dxa"/>
            <w:tcBorders>
              <w:top w:val="double" w:sz="1" w:space="0" w:color="000000"/>
            </w:tcBorders>
          </w:tcPr>
          <w:p>
            <w:pPr>
              <w:pStyle w:val="TableParagraph"/>
              <w:spacing w:before="4"/>
              <w:rPr>
                <w:sz w:val="24"/>
              </w:rPr>
            </w:pPr>
          </w:p>
          <w:p>
            <w:pPr>
              <w:pStyle w:val="TableParagraph"/>
              <w:ind w:left="2129" w:right="2121"/>
              <w:jc w:val="center"/>
              <w:rPr>
                <w:b/>
                <w:sz w:val="18"/>
              </w:rPr>
            </w:pPr>
            <w:r>
              <w:rPr>
                <w:b/>
                <w:sz w:val="18"/>
              </w:rPr>
              <w:t>Detailed information</w:t>
            </w:r>
          </w:p>
        </w:tc>
        <w:tc>
          <w:tcPr>
            <w:tcW w:w="1236" w:type="dxa"/>
            <w:tcBorders>
              <w:top w:val="double" w:sz="1" w:space="0" w:color="000000"/>
            </w:tcBorders>
          </w:tcPr>
          <w:p>
            <w:pPr>
              <w:pStyle w:val="TableParagraph"/>
              <w:spacing w:line="249" w:lineRule="auto" w:before="61"/>
              <w:ind w:left="134" w:right="125"/>
              <w:jc w:val="center"/>
              <w:rPr>
                <w:b/>
                <w:sz w:val="18"/>
              </w:rPr>
            </w:pPr>
            <w:r>
              <w:rPr>
                <w:b/>
                <w:sz w:val="18"/>
              </w:rPr>
              <w:t>Reference in Marrakesh Accords</w:t>
            </w:r>
            <w:r>
              <w:rPr>
                <w:b/>
                <w:sz w:val="18"/>
                <w:vertAlign w:val="superscript"/>
              </w:rPr>
              <w:t>38</w:t>
            </w:r>
          </w:p>
        </w:tc>
      </w:tr>
      <w:tr>
        <w:trPr>
          <w:trHeight w:val="2634" w:hRule="atLeast"/>
        </w:trPr>
        <w:tc>
          <w:tcPr>
            <w:tcW w:w="1908" w:type="dxa"/>
          </w:tcPr>
          <w:p>
            <w:pPr>
              <w:pStyle w:val="TableParagraph"/>
              <w:spacing w:before="55"/>
              <w:ind w:left="69" w:right="194"/>
              <w:rPr>
                <w:sz w:val="18"/>
              </w:rPr>
            </w:pPr>
            <w:r>
              <w:rPr>
                <w:sz w:val="18"/>
              </w:rPr>
              <w:t>Definition of forest by the Party</w:t>
            </w:r>
          </w:p>
        </w:tc>
        <w:tc>
          <w:tcPr>
            <w:tcW w:w="5906" w:type="dxa"/>
          </w:tcPr>
          <w:p>
            <w:pPr>
              <w:pStyle w:val="TableParagraph"/>
              <w:numPr>
                <w:ilvl w:val="0"/>
                <w:numId w:val="136"/>
              </w:numPr>
              <w:tabs>
                <w:tab w:pos="429" w:val="left" w:leader="none"/>
                <w:tab w:pos="430" w:val="left" w:leader="none"/>
              </w:tabs>
              <w:spacing w:line="240" w:lineRule="auto" w:before="45" w:after="0"/>
              <w:ind w:left="427" w:right="0" w:hanging="358"/>
              <w:jc w:val="left"/>
              <w:rPr>
                <w:sz w:val="18"/>
              </w:rPr>
            </w:pPr>
            <w:r>
              <w:rPr>
                <w:sz w:val="18"/>
              </w:rPr>
              <w:t>A single minimum land area value between 0.05 and 1</w:t>
            </w:r>
            <w:r>
              <w:rPr>
                <w:spacing w:val="-11"/>
                <w:sz w:val="18"/>
              </w:rPr>
              <w:t> </w:t>
            </w:r>
            <w:r>
              <w:rPr>
                <w:sz w:val="18"/>
              </w:rPr>
              <w:t>hectare;</w:t>
            </w:r>
          </w:p>
          <w:p>
            <w:pPr>
              <w:pStyle w:val="TableParagraph"/>
              <w:numPr>
                <w:ilvl w:val="0"/>
                <w:numId w:val="136"/>
              </w:numPr>
              <w:tabs>
                <w:tab w:pos="429" w:val="left" w:leader="none"/>
                <w:tab w:pos="430" w:val="left" w:leader="none"/>
              </w:tabs>
              <w:spacing w:line="220" w:lineRule="auto" w:before="93" w:after="0"/>
              <w:ind w:left="427" w:right="120" w:hanging="358"/>
              <w:jc w:val="left"/>
              <w:rPr>
                <w:sz w:val="18"/>
              </w:rPr>
            </w:pPr>
            <w:r>
              <w:rPr>
                <w:sz w:val="18"/>
              </w:rPr>
              <w:t>The minimum width that defines the spatial configuration of that area (see Section</w:t>
            </w:r>
            <w:r>
              <w:rPr>
                <w:spacing w:val="-2"/>
                <w:sz w:val="18"/>
              </w:rPr>
              <w:t> </w:t>
            </w:r>
            <w:r>
              <w:rPr>
                <w:sz w:val="18"/>
              </w:rPr>
              <w:t>4.2.2.5.1);</w:t>
            </w:r>
          </w:p>
          <w:p>
            <w:pPr>
              <w:pStyle w:val="TableParagraph"/>
              <w:numPr>
                <w:ilvl w:val="0"/>
                <w:numId w:val="136"/>
              </w:numPr>
              <w:tabs>
                <w:tab w:pos="429" w:val="left" w:leader="none"/>
                <w:tab w:pos="430" w:val="left" w:leader="none"/>
              </w:tabs>
              <w:spacing w:line="240" w:lineRule="auto" w:before="96" w:after="0"/>
              <w:ind w:left="429" w:right="0" w:hanging="360"/>
              <w:jc w:val="left"/>
              <w:rPr>
                <w:sz w:val="18"/>
              </w:rPr>
            </w:pPr>
            <w:r>
              <w:rPr>
                <w:sz w:val="18"/>
              </w:rPr>
              <w:t>A single minimum tree crown cover value between 10 and</w:t>
            </w:r>
            <w:r>
              <w:rPr>
                <w:spacing w:val="-10"/>
                <w:sz w:val="18"/>
              </w:rPr>
              <w:t> </w:t>
            </w:r>
            <w:r>
              <w:rPr>
                <w:sz w:val="18"/>
              </w:rPr>
              <w:t>30%;</w:t>
            </w:r>
          </w:p>
          <w:p>
            <w:pPr>
              <w:pStyle w:val="TableParagraph"/>
              <w:numPr>
                <w:ilvl w:val="0"/>
                <w:numId w:val="136"/>
              </w:numPr>
              <w:tabs>
                <w:tab w:pos="429" w:val="left" w:leader="none"/>
                <w:tab w:pos="430" w:val="left" w:leader="none"/>
              </w:tabs>
              <w:spacing w:line="240" w:lineRule="auto" w:before="78" w:after="0"/>
              <w:ind w:left="429" w:right="0" w:hanging="360"/>
              <w:jc w:val="left"/>
              <w:rPr>
                <w:sz w:val="18"/>
              </w:rPr>
            </w:pPr>
            <w:r>
              <w:rPr>
                <w:sz w:val="18"/>
              </w:rPr>
              <w:t>A single minimum tree height value between 2 and 5</w:t>
            </w:r>
            <w:r>
              <w:rPr>
                <w:spacing w:val="-11"/>
                <w:sz w:val="18"/>
              </w:rPr>
              <w:t> </w:t>
            </w:r>
            <w:r>
              <w:rPr>
                <w:sz w:val="18"/>
              </w:rPr>
              <w:t>metres;</w:t>
            </w:r>
          </w:p>
          <w:p>
            <w:pPr>
              <w:pStyle w:val="TableParagraph"/>
              <w:numPr>
                <w:ilvl w:val="0"/>
                <w:numId w:val="136"/>
              </w:numPr>
              <w:tabs>
                <w:tab w:pos="429" w:val="left" w:leader="none"/>
                <w:tab w:pos="430" w:val="left" w:leader="none"/>
              </w:tabs>
              <w:spacing w:line="232" w:lineRule="auto" w:before="85" w:after="0"/>
              <w:ind w:left="427" w:right="54" w:hanging="358"/>
              <w:jc w:val="left"/>
              <w:rPr>
                <w:sz w:val="18"/>
              </w:rPr>
            </w:pPr>
            <w:r>
              <w:rPr>
                <w:sz w:val="18"/>
              </w:rPr>
              <w:t>Justification that such values are consistent with the information that has historically been reported to the Food and Agriculture Organization of the United Nations or other international bodies, and if they differ, explanation why and how such values were</w:t>
            </w:r>
            <w:r>
              <w:rPr>
                <w:spacing w:val="-6"/>
                <w:sz w:val="18"/>
              </w:rPr>
              <w:t> </w:t>
            </w:r>
            <w:r>
              <w:rPr>
                <w:sz w:val="18"/>
              </w:rPr>
              <w:t>chosen.</w:t>
            </w:r>
          </w:p>
        </w:tc>
        <w:tc>
          <w:tcPr>
            <w:tcW w:w="1236" w:type="dxa"/>
          </w:tcPr>
          <w:p>
            <w:pPr>
              <w:pStyle w:val="TableParagraph"/>
              <w:spacing w:before="55"/>
              <w:ind w:left="130" w:right="125"/>
              <w:jc w:val="center"/>
              <w:rPr>
                <w:sz w:val="18"/>
              </w:rPr>
            </w:pPr>
            <w:r>
              <w:rPr>
                <w:sz w:val="18"/>
              </w:rPr>
              <w:t>8 (b)</w:t>
            </w:r>
          </w:p>
          <w:p>
            <w:pPr>
              <w:pStyle w:val="TableParagraph"/>
              <w:spacing w:before="119"/>
              <w:ind w:left="144" w:firstLine="340"/>
              <w:rPr>
                <w:sz w:val="18"/>
              </w:rPr>
            </w:pPr>
            <w:r>
              <w:rPr>
                <w:sz w:val="18"/>
              </w:rPr>
              <w:t>and</w:t>
            </w:r>
          </w:p>
          <w:p>
            <w:pPr>
              <w:pStyle w:val="TableParagraph"/>
              <w:spacing w:before="120"/>
              <w:ind w:left="134" w:right="121"/>
              <w:jc w:val="center"/>
              <w:rPr>
                <w:sz w:val="18"/>
              </w:rPr>
            </w:pPr>
            <w:r>
              <w:rPr>
                <w:sz w:val="18"/>
              </w:rPr>
              <w:t>paragraph 16 of the Annex to draft decision</w:t>
            </w:r>
          </w:p>
          <w:p>
            <w:pPr>
              <w:pStyle w:val="TableParagraph"/>
              <w:ind w:left="185" w:right="175" w:hanging="4"/>
              <w:jc w:val="center"/>
              <w:rPr>
                <w:sz w:val="18"/>
              </w:rPr>
            </w:pPr>
            <w:r>
              <w:rPr>
                <w:sz w:val="18"/>
              </w:rPr>
              <w:t>-/CMP.1 (LULUCF), FCCC/CP/</w:t>
            </w:r>
          </w:p>
          <w:p>
            <w:pPr>
              <w:pStyle w:val="TableParagraph"/>
              <w:ind w:left="74" w:right="63"/>
              <w:jc w:val="center"/>
              <w:rPr>
                <w:sz w:val="18"/>
              </w:rPr>
            </w:pPr>
            <w:r>
              <w:rPr>
                <w:sz w:val="18"/>
              </w:rPr>
              <w:t>2001/13/Add.1 p.61</w:t>
            </w:r>
          </w:p>
        </w:tc>
      </w:tr>
      <w:tr>
        <w:trPr>
          <w:trHeight w:val="1312" w:hRule="atLeast"/>
        </w:trPr>
        <w:tc>
          <w:tcPr>
            <w:tcW w:w="1908" w:type="dxa"/>
          </w:tcPr>
          <w:p>
            <w:pPr>
              <w:pStyle w:val="TableParagraph"/>
              <w:spacing w:before="55"/>
              <w:ind w:left="69" w:right="119"/>
              <w:rPr>
                <w:sz w:val="18"/>
              </w:rPr>
            </w:pPr>
            <w:r>
              <w:rPr>
                <w:sz w:val="18"/>
              </w:rPr>
              <w:t>Elected activities under Article 3, paragraph 4</w:t>
            </w:r>
          </w:p>
        </w:tc>
        <w:tc>
          <w:tcPr>
            <w:tcW w:w="5906" w:type="dxa"/>
          </w:tcPr>
          <w:p>
            <w:pPr>
              <w:pStyle w:val="TableParagraph"/>
              <w:numPr>
                <w:ilvl w:val="0"/>
                <w:numId w:val="137"/>
              </w:numPr>
              <w:tabs>
                <w:tab w:pos="429" w:val="left" w:leader="none"/>
                <w:tab w:pos="430" w:val="left" w:leader="none"/>
              </w:tabs>
              <w:spacing w:line="240" w:lineRule="auto" w:before="45" w:after="0"/>
              <w:ind w:left="427" w:right="0" w:hanging="358"/>
              <w:jc w:val="left"/>
              <w:rPr>
                <w:sz w:val="18"/>
              </w:rPr>
            </w:pPr>
            <w:r>
              <w:rPr>
                <w:sz w:val="18"/>
              </w:rPr>
              <w:t>A list of activities elected by the</w:t>
            </w:r>
            <w:r>
              <w:rPr>
                <w:spacing w:val="-2"/>
                <w:sz w:val="18"/>
              </w:rPr>
              <w:t> </w:t>
            </w:r>
            <w:r>
              <w:rPr>
                <w:sz w:val="18"/>
              </w:rPr>
              <w:t>Party</w:t>
            </w:r>
          </w:p>
          <w:p>
            <w:pPr>
              <w:pStyle w:val="TableParagraph"/>
              <w:numPr>
                <w:ilvl w:val="0"/>
                <w:numId w:val="137"/>
              </w:numPr>
              <w:tabs>
                <w:tab w:pos="429" w:val="left" w:leader="none"/>
                <w:tab w:pos="430" w:val="left" w:leader="none"/>
              </w:tabs>
              <w:spacing w:line="220" w:lineRule="auto" w:before="93" w:after="0"/>
              <w:ind w:left="427" w:right="90" w:hanging="358"/>
              <w:jc w:val="left"/>
              <w:rPr>
                <w:sz w:val="18"/>
              </w:rPr>
            </w:pPr>
            <w:r>
              <w:rPr>
                <w:sz w:val="18"/>
              </w:rPr>
              <w:t>Information on how the Party’s national system under Article 5, paragraph 1 will identify land areas associated with the elected</w:t>
            </w:r>
            <w:r>
              <w:rPr>
                <w:spacing w:val="-6"/>
                <w:sz w:val="18"/>
              </w:rPr>
              <w:t> </w:t>
            </w:r>
            <w:r>
              <w:rPr>
                <w:sz w:val="18"/>
              </w:rPr>
              <w:t>activities</w:t>
            </w:r>
          </w:p>
          <w:p>
            <w:pPr>
              <w:pStyle w:val="TableParagraph"/>
              <w:numPr>
                <w:ilvl w:val="0"/>
                <w:numId w:val="137"/>
              </w:numPr>
              <w:tabs>
                <w:tab w:pos="429" w:val="left" w:leader="none"/>
                <w:tab w:pos="430" w:val="left" w:leader="none"/>
              </w:tabs>
              <w:spacing w:line="220" w:lineRule="auto" w:before="111" w:after="0"/>
              <w:ind w:left="427" w:right="155" w:hanging="358"/>
              <w:jc w:val="left"/>
              <w:rPr>
                <w:sz w:val="18"/>
              </w:rPr>
            </w:pPr>
            <w:r>
              <w:rPr>
                <w:sz w:val="18"/>
              </w:rPr>
              <w:t>Information on how the Party interprets the definition of Art 3.4 activities (e.g., what activities are included under forest</w:t>
            </w:r>
            <w:r>
              <w:rPr>
                <w:spacing w:val="-7"/>
                <w:sz w:val="18"/>
              </w:rPr>
              <w:t> </w:t>
            </w:r>
            <w:r>
              <w:rPr>
                <w:sz w:val="18"/>
              </w:rPr>
              <w:t>management)</w:t>
            </w:r>
          </w:p>
        </w:tc>
        <w:tc>
          <w:tcPr>
            <w:tcW w:w="1236" w:type="dxa"/>
          </w:tcPr>
          <w:p>
            <w:pPr>
              <w:pStyle w:val="TableParagraph"/>
              <w:spacing w:before="55"/>
              <w:ind w:left="130" w:right="125"/>
              <w:jc w:val="center"/>
              <w:rPr>
                <w:sz w:val="18"/>
              </w:rPr>
            </w:pPr>
            <w:r>
              <w:rPr>
                <w:sz w:val="18"/>
              </w:rPr>
              <w:t>8</w:t>
            </w:r>
            <w:r>
              <w:rPr>
                <w:spacing w:val="2"/>
                <w:sz w:val="18"/>
              </w:rPr>
              <w:t> </w:t>
            </w:r>
            <w:r>
              <w:rPr>
                <w:sz w:val="18"/>
              </w:rPr>
              <w:t>(b)</w:t>
            </w:r>
          </w:p>
          <w:p>
            <w:pPr>
              <w:pStyle w:val="TableParagraph"/>
              <w:spacing w:before="119"/>
              <w:ind w:left="132" w:right="125"/>
              <w:jc w:val="center"/>
              <w:rPr>
                <w:sz w:val="18"/>
              </w:rPr>
            </w:pPr>
            <w:r>
              <w:rPr>
                <w:sz w:val="18"/>
              </w:rPr>
              <w:t>8 (c)</w:t>
            </w:r>
          </w:p>
        </w:tc>
      </w:tr>
      <w:tr>
        <w:trPr>
          <w:trHeight w:val="947" w:hRule="atLeast"/>
        </w:trPr>
        <w:tc>
          <w:tcPr>
            <w:tcW w:w="1908" w:type="dxa"/>
          </w:tcPr>
          <w:p>
            <w:pPr>
              <w:pStyle w:val="TableParagraph"/>
              <w:spacing w:before="55"/>
              <w:ind w:left="69" w:right="80"/>
              <w:rPr>
                <w:sz w:val="18"/>
              </w:rPr>
            </w:pPr>
            <w:r>
              <w:rPr>
                <w:sz w:val="18"/>
              </w:rPr>
              <w:t>The Party’s own precedence or hierarchy among Article 3.4 activities</w:t>
            </w:r>
          </w:p>
        </w:tc>
        <w:tc>
          <w:tcPr>
            <w:tcW w:w="5906" w:type="dxa"/>
          </w:tcPr>
          <w:p>
            <w:pPr>
              <w:pStyle w:val="TableParagraph"/>
              <w:numPr>
                <w:ilvl w:val="0"/>
                <w:numId w:val="138"/>
              </w:numPr>
              <w:tabs>
                <w:tab w:pos="429" w:val="left" w:leader="none"/>
                <w:tab w:pos="430" w:val="left" w:leader="none"/>
              </w:tabs>
              <w:spacing w:line="232" w:lineRule="auto" w:before="52" w:after="0"/>
              <w:ind w:left="427" w:right="65" w:hanging="358"/>
              <w:jc w:val="left"/>
              <w:rPr>
                <w:sz w:val="18"/>
              </w:rPr>
            </w:pPr>
            <w:r>
              <w:rPr>
                <w:sz w:val="18"/>
              </w:rPr>
              <w:t>As outlined in Section 4.1.1 it is </w:t>
            </w:r>
            <w:r>
              <w:rPr>
                <w:i/>
                <w:sz w:val="18"/>
              </w:rPr>
              <w:t>good practice </w:t>
            </w:r>
            <w:r>
              <w:rPr>
                <w:sz w:val="18"/>
              </w:rPr>
              <w:t>to establish precedence conditions and/or a hierarchy among 3.4 activities to facilitate the estimation and reporting procedures, and so that lands are allocated only to one of the Article 3.4</w:t>
            </w:r>
            <w:r>
              <w:rPr>
                <w:spacing w:val="-5"/>
                <w:sz w:val="18"/>
              </w:rPr>
              <w:t> </w:t>
            </w:r>
            <w:r>
              <w:rPr>
                <w:sz w:val="18"/>
              </w:rPr>
              <w:t>activities.</w:t>
            </w:r>
          </w:p>
        </w:tc>
        <w:tc>
          <w:tcPr>
            <w:tcW w:w="1236" w:type="dxa"/>
          </w:tcPr>
          <w:p>
            <w:pPr>
              <w:pStyle w:val="TableParagraph"/>
              <w:rPr>
                <w:sz w:val="16"/>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7"/>
        </w:rPr>
      </w:pPr>
      <w:r>
        <w:rPr/>
        <w:pict>
          <v:line style="position:absolute;mso-position-horizontal-relative:page;mso-position-vertical-relative:paragraph;z-index:18968;mso-wrap-distance-left:0;mso-wrap-distance-right:0" from="70.960999pt,17.804415pt" to="214.960999pt,17.804415pt" stroked="true" strokeweight=".48pt" strokecolor="#000000">
            <v:stroke dashstyle="solid"/>
            <w10:wrap type="topAndBottom"/>
          </v:line>
        </w:pict>
      </w:r>
    </w:p>
    <w:p>
      <w:pPr>
        <w:spacing w:before="153"/>
        <w:ind w:left="317" w:right="166" w:hanging="159"/>
        <w:jc w:val="both"/>
        <w:rPr>
          <w:sz w:val="18"/>
        </w:rPr>
      </w:pPr>
      <w:r>
        <w:rPr>
          <w:position w:val="8"/>
          <w:sz w:val="12"/>
        </w:rPr>
        <w:t>37 </w:t>
      </w:r>
      <w:r>
        <w:rPr>
          <w:sz w:val="18"/>
        </w:rPr>
        <w:t>Paragraph 2 in draft decision -/CMP.1 (Modalities for accounting of assigned amounts), contained in document FCCC/CP/2001/13/Add.2, p.56.</w:t>
      </w:r>
    </w:p>
    <w:p>
      <w:pPr>
        <w:spacing w:before="95"/>
        <w:ind w:left="317" w:right="165" w:hanging="159"/>
        <w:jc w:val="both"/>
        <w:rPr>
          <w:sz w:val="18"/>
        </w:rPr>
      </w:pPr>
      <w:r>
        <w:rPr>
          <w:position w:val="8"/>
          <w:sz w:val="12"/>
        </w:rPr>
        <w:t>38 </w:t>
      </w:r>
      <w:r>
        <w:rPr>
          <w:sz w:val="18"/>
        </w:rPr>
        <w:t>Entries in this column refer to relevant paragraphs in the Annex to draft decision -/CMP.1 (Modalities for the accounting of assigned amounts), contained in document FCCC/CP/2001/13/Add.2, pp.57-72. In the table not necessarily </w:t>
      </w:r>
      <w:r>
        <w:rPr>
          <w:i/>
          <w:sz w:val="18"/>
        </w:rPr>
        <w:t>all </w:t>
      </w:r>
      <w:r>
        <w:rPr>
          <w:sz w:val="18"/>
        </w:rPr>
        <w:t>relevant legal texts are referred to.</w:t>
      </w:r>
    </w:p>
    <w:p>
      <w:pPr>
        <w:spacing w:after="0"/>
        <w:jc w:val="both"/>
        <w:rPr>
          <w:sz w:val="18"/>
        </w:rPr>
        <w:sectPr>
          <w:pgSz w:w="11900" w:h="16840"/>
          <w:pgMar w:header="230" w:footer="408" w:top="560" w:bottom="600" w:left="1260" w:right="1240"/>
        </w:sectPr>
      </w:pPr>
    </w:p>
    <w:p>
      <w:pPr>
        <w:pStyle w:val="BodyText"/>
      </w:pPr>
    </w:p>
    <w:p>
      <w:pPr>
        <w:pStyle w:val="BodyText"/>
      </w:pPr>
    </w:p>
    <w:p>
      <w:pPr>
        <w:pStyle w:val="BodyText"/>
        <w:spacing w:before="4"/>
        <w:rPr>
          <w:sz w:val="27"/>
        </w:rPr>
      </w:pPr>
    </w:p>
    <w:tbl>
      <w:tblPr>
        <w:tblW w:w="0" w:type="auto"/>
        <w:jc w:val="left"/>
        <w:tblInd w:w="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7"/>
        <w:gridCol w:w="5945"/>
        <w:gridCol w:w="1229"/>
      </w:tblGrid>
      <w:tr>
        <w:trPr>
          <w:trHeight w:val="1009" w:hRule="atLeast"/>
        </w:trPr>
        <w:tc>
          <w:tcPr>
            <w:tcW w:w="9051" w:type="dxa"/>
            <w:gridSpan w:val="3"/>
            <w:tcBorders>
              <w:bottom w:val="double" w:sz="1" w:space="0" w:color="000000"/>
            </w:tcBorders>
          </w:tcPr>
          <w:p>
            <w:pPr>
              <w:pStyle w:val="TableParagraph"/>
              <w:spacing w:line="207" w:lineRule="exact" w:before="91"/>
              <w:ind w:left="129" w:right="139"/>
              <w:jc w:val="center"/>
              <w:rPr>
                <w:b/>
                <w:sz w:val="18"/>
              </w:rPr>
            </w:pPr>
            <w:r>
              <w:rPr>
                <w:b/>
                <w:sz w:val="18"/>
              </w:rPr>
              <w:t>T</w:t>
            </w:r>
            <w:r>
              <w:rPr>
                <w:b/>
                <w:sz w:val="14"/>
              </w:rPr>
              <w:t>ABLE </w:t>
            </w:r>
            <w:r>
              <w:rPr>
                <w:b/>
                <w:sz w:val="18"/>
              </w:rPr>
              <w:t>4.2.4b</w:t>
            </w:r>
          </w:p>
          <w:p>
            <w:pPr>
              <w:pStyle w:val="TableParagraph"/>
              <w:ind w:left="123" w:right="139"/>
              <w:jc w:val="center"/>
              <w:rPr>
                <w:b/>
                <w:sz w:val="14"/>
              </w:rPr>
            </w:pPr>
            <w:r>
              <w:rPr>
                <w:b/>
                <w:sz w:val="18"/>
              </w:rPr>
              <w:t>S</w:t>
            </w:r>
            <w:r>
              <w:rPr>
                <w:b/>
                <w:sz w:val="14"/>
              </w:rPr>
              <w:t>UPPLEMENTARY INFORMATION TO BE REPORTED FOR THE ANNUAL GREENHOUSE GAS INVENTORY DURING THE FIRST COMMITMENT PERIOD ACCORDING TO THE </w:t>
            </w:r>
            <w:r>
              <w:rPr>
                <w:b/>
                <w:sz w:val="18"/>
              </w:rPr>
              <w:t>M</w:t>
            </w:r>
            <w:r>
              <w:rPr>
                <w:b/>
                <w:sz w:val="14"/>
              </w:rPr>
              <w:t>ARRAKESH </w:t>
            </w:r>
            <w:r>
              <w:rPr>
                <w:b/>
                <w:sz w:val="18"/>
              </w:rPr>
              <w:t>A</w:t>
            </w:r>
            <w:r>
              <w:rPr>
                <w:b/>
                <w:sz w:val="14"/>
              </w:rPr>
              <w:t>CCORDS</w:t>
            </w:r>
            <w:r>
              <w:rPr>
                <w:b/>
                <w:sz w:val="18"/>
              </w:rPr>
              <w:t>. T</w:t>
            </w:r>
            <w:r>
              <w:rPr>
                <w:b/>
                <w:sz w:val="14"/>
              </w:rPr>
              <w:t>EXT IN ITALICS INDICATES A DIRECT QUOTE FROM THE RELEVANT PARAGRAPHS IN THE </w:t>
            </w:r>
            <w:r>
              <w:rPr>
                <w:b/>
                <w:sz w:val="18"/>
              </w:rPr>
              <w:t>M</w:t>
            </w:r>
            <w:r>
              <w:rPr>
                <w:b/>
                <w:sz w:val="14"/>
              </w:rPr>
              <w:t>ARRAKESH </w:t>
            </w:r>
            <w:r>
              <w:rPr>
                <w:b/>
                <w:sz w:val="18"/>
              </w:rPr>
              <w:t>A</w:t>
            </w:r>
            <w:r>
              <w:rPr>
                <w:b/>
                <w:sz w:val="14"/>
              </w:rPr>
              <w:t>CCORDS</w:t>
            </w:r>
          </w:p>
        </w:tc>
      </w:tr>
      <w:tr>
        <w:trPr>
          <w:trHeight w:val="764" w:hRule="atLeast"/>
        </w:trPr>
        <w:tc>
          <w:tcPr>
            <w:tcW w:w="1877" w:type="dxa"/>
            <w:tcBorders>
              <w:top w:val="double" w:sz="1" w:space="0" w:color="000000"/>
            </w:tcBorders>
          </w:tcPr>
          <w:p>
            <w:pPr>
              <w:pStyle w:val="TableParagraph"/>
              <w:spacing w:before="177"/>
              <w:ind w:left="590" w:right="243" w:hanging="346"/>
              <w:rPr>
                <w:b/>
                <w:sz w:val="18"/>
              </w:rPr>
            </w:pPr>
            <w:r>
              <w:rPr>
                <w:b/>
                <w:sz w:val="18"/>
              </w:rPr>
              <w:t>Information to be reported</w:t>
            </w:r>
          </w:p>
        </w:tc>
        <w:tc>
          <w:tcPr>
            <w:tcW w:w="5945" w:type="dxa"/>
            <w:tcBorders>
              <w:top w:val="double" w:sz="1" w:space="0" w:color="000000"/>
            </w:tcBorders>
          </w:tcPr>
          <w:p>
            <w:pPr>
              <w:pStyle w:val="TableParagraph"/>
              <w:spacing w:before="4"/>
              <w:rPr>
                <w:sz w:val="24"/>
              </w:rPr>
            </w:pPr>
          </w:p>
          <w:p>
            <w:pPr>
              <w:pStyle w:val="TableParagraph"/>
              <w:ind w:left="2115" w:right="2129"/>
              <w:jc w:val="center"/>
              <w:rPr>
                <w:b/>
                <w:sz w:val="18"/>
              </w:rPr>
            </w:pPr>
            <w:r>
              <w:rPr>
                <w:b/>
                <w:sz w:val="18"/>
              </w:rPr>
              <w:t>Detailed information</w:t>
            </w:r>
          </w:p>
        </w:tc>
        <w:tc>
          <w:tcPr>
            <w:tcW w:w="1229" w:type="dxa"/>
            <w:tcBorders>
              <w:top w:val="double" w:sz="1" w:space="0" w:color="000000"/>
            </w:tcBorders>
          </w:tcPr>
          <w:p>
            <w:pPr>
              <w:pStyle w:val="TableParagraph"/>
              <w:spacing w:line="237" w:lineRule="auto" w:before="73"/>
              <w:ind w:left="212" w:right="116" w:hanging="94"/>
              <w:rPr>
                <w:sz w:val="18"/>
              </w:rPr>
            </w:pPr>
            <w:r>
              <w:rPr>
                <w:b/>
                <w:sz w:val="18"/>
              </w:rPr>
              <w:t>Reference in Marakesh Accords</w:t>
            </w:r>
            <w:r>
              <w:rPr>
                <w:sz w:val="18"/>
                <w:vertAlign w:val="superscript"/>
              </w:rPr>
              <w:t>39</w:t>
            </w:r>
          </w:p>
        </w:tc>
      </w:tr>
      <w:tr>
        <w:trPr>
          <w:trHeight w:val="326" w:hRule="atLeast"/>
        </w:trPr>
        <w:tc>
          <w:tcPr>
            <w:tcW w:w="9051" w:type="dxa"/>
            <w:gridSpan w:val="3"/>
          </w:tcPr>
          <w:p>
            <w:pPr>
              <w:pStyle w:val="TableParagraph"/>
              <w:spacing w:before="59"/>
              <w:ind w:left="69"/>
              <w:rPr>
                <w:b/>
                <w:sz w:val="18"/>
              </w:rPr>
            </w:pPr>
            <w:r>
              <w:rPr>
                <w:b/>
                <w:sz w:val="18"/>
              </w:rPr>
              <w:t>Land related information</w:t>
            </w:r>
          </w:p>
        </w:tc>
      </w:tr>
      <w:tr>
        <w:trPr>
          <w:trHeight w:val="1600" w:hRule="atLeast"/>
        </w:trPr>
        <w:tc>
          <w:tcPr>
            <w:tcW w:w="1877" w:type="dxa"/>
          </w:tcPr>
          <w:p>
            <w:pPr>
              <w:pStyle w:val="TableParagraph"/>
              <w:spacing w:before="55"/>
              <w:ind w:left="69" w:right="223"/>
              <w:rPr>
                <w:sz w:val="18"/>
              </w:rPr>
            </w:pPr>
            <w:r>
              <w:rPr>
                <w:sz w:val="18"/>
              </w:rPr>
              <w:t>Approach for geographical location and identification of units of land</w:t>
            </w:r>
          </w:p>
        </w:tc>
        <w:tc>
          <w:tcPr>
            <w:tcW w:w="5945" w:type="dxa"/>
          </w:tcPr>
          <w:p>
            <w:pPr>
              <w:pStyle w:val="TableParagraph"/>
              <w:spacing w:before="55"/>
              <w:ind w:left="66"/>
              <w:rPr>
                <w:i/>
                <w:sz w:val="18"/>
              </w:rPr>
            </w:pPr>
            <w:r>
              <w:rPr>
                <w:i/>
                <w:sz w:val="18"/>
              </w:rPr>
              <w:t>The geographical location of the boundaries of the areas that encompass:</w:t>
            </w:r>
          </w:p>
          <w:p>
            <w:pPr>
              <w:pStyle w:val="TableParagraph"/>
              <w:numPr>
                <w:ilvl w:val="0"/>
                <w:numId w:val="139"/>
              </w:numPr>
              <w:tabs>
                <w:tab w:pos="355" w:val="left" w:leader="none"/>
              </w:tabs>
              <w:spacing w:line="240" w:lineRule="auto" w:before="97" w:after="0"/>
              <w:ind w:left="354" w:right="0" w:hanging="288"/>
              <w:jc w:val="left"/>
              <w:rPr>
                <w:i/>
                <w:sz w:val="18"/>
              </w:rPr>
            </w:pPr>
            <w:r>
              <w:rPr>
                <w:i/>
                <w:sz w:val="18"/>
              </w:rPr>
              <w:t>Units of land subject to activities under Article 3, paragraph</w:t>
            </w:r>
            <w:r>
              <w:rPr>
                <w:i/>
                <w:spacing w:val="-14"/>
                <w:sz w:val="18"/>
              </w:rPr>
              <w:t> </w:t>
            </w:r>
            <w:r>
              <w:rPr>
                <w:i/>
                <w:sz w:val="18"/>
              </w:rPr>
              <w:t>3;</w:t>
            </w:r>
          </w:p>
          <w:p>
            <w:pPr>
              <w:pStyle w:val="TableParagraph"/>
              <w:numPr>
                <w:ilvl w:val="0"/>
                <w:numId w:val="139"/>
              </w:numPr>
              <w:tabs>
                <w:tab w:pos="355" w:val="left" w:leader="none"/>
              </w:tabs>
              <w:spacing w:line="240" w:lineRule="auto" w:before="81" w:after="0"/>
              <w:ind w:left="354" w:right="65" w:hanging="288"/>
              <w:jc w:val="left"/>
              <w:rPr>
                <w:i/>
                <w:sz w:val="18"/>
              </w:rPr>
            </w:pPr>
            <w:r>
              <w:rPr>
                <w:i/>
                <w:sz w:val="18"/>
              </w:rPr>
              <w:t>Units of land subject to activities under Article 3, paragraph 3, which would otherwise be included in land subject to elected activities under Article 3, paragraph 4,</w:t>
            </w:r>
            <w:r>
              <w:rPr>
                <w:i/>
                <w:spacing w:val="-1"/>
                <w:sz w:val="18"/>
              </w:rPr>
              <w:t> </w:t>
            </w:r>
            <w:r>
              <w:rPr>
                <w:i/>
                <w:sz w:val="18"/>
              </w:rPr>
              <w:t>[…];</w:t>
            </w:r>
          </w:p>
          <w:p>
            <w:pPr>
              <w:pStyle w:val="TableParagraph"/>
              <w:numPr>
                <w:ilvl w:val="0"/>
                <w:numId w:val="139"/>
              </w:numPr>
              <w:tabs>
                <w:tab w:pos="355" w:val="left" w:leader="none"/>
              </w:tabs>
              <w:spacing w:line="240" w:lineRule="auto" w:before="80" w:after="0"/>
              <w:ind w:left="354" w:right="0" w:hanging="288"/>
              <w:jc w:val="left"/>
              <w:rPr>
                <w:i/>
                <w:sz w:val="18"/>
              </w:rPr>
            </w:pPr>
            <w:r>
              <w:rPr>
                <w:i/>
                <w:sz w:val="18"/>
              </w:rPr>
              <w:t>Land subject to elected activities under Article 3, paragraph</w:t>
            </w:r>
            <w:r>
              <w:rPr>
                <w:i/>
                <w:spacing w:val="-11"/>
                <w:sz w:val="18"/>
              </w:rPr>
              <w:t> </w:t>
            </w:r>
            <w:r>
              <w:rPr>
                <w:i/>
                <w:sz w:val="18"/>
              </w:rPr>
              <w:t>4.</w:t>
            </w:r>
          </w:p>
        </w:tc>
        <w:tc>
          <w:tcPr>
            <w:tcW w:w="1229" w:type="dxa"/>
          </w:tcPr>
          <w:p>
            <w:pPr>
              <w:pStyle w:val="TableParagraph"/>
              <w:spacing w:line="223" w:lineRule="exact"/>
              <w:ind w:left="4" w:right="19"/>
              <w:jc w:val="center"/>
              <w:rPr>
                <w:sz w:val="20"/>
              </w:rPr>
            </w:pPr>
            <w:r>
              <w:rPr>
                <w:sz w:val="20"/>
              </w:rPr>
              <w:t>6 (b)</w:t>
            </w:r>
          </w:p>
        </w:tc>
      </w:tr>
      <w:tr>
        <w:trPr>
          <w:trHeight w:val="534" w:hRule="atLeast"/>
        </w:trPr>
        <w:tc>
          <w:tcPr>
            <w:tcW w:w="1877" w:type="dxa"/>
          </w:tcPr>
          <w:p>
            <w:pPr>
              <w:pStyle w:val="TableParagraph"/>
              <w:spacing w:before="55"/>
              <w:ind w:left="69"/>
              <w:rPr>
                <w:sz w:val="18"/>
              </w:rPr>
            </w:pPr>
            <w:r>
              <w:rPr>
                <w:sz w:val="18"/>
              </w:rPr>
              <w:t>Spatial assessment unit</w:t>
            </w:r>
          </w:p>
        </w:tc>
        <w:tc>
          <w:tcPr>
            <w:tcW w:w="5945" w:type="dxa"/>
          </w:tcPr>
          <w:p>
            <w:pPr>
              <w:pStyle w:val="TableParagraph"/>
              <w:spacing w:before="55"/>
              <w:ind w:left="66" w:right="404"/>
              <w:rPr>
                <w:i/>
                <w:sz w:val="18"/>
              </w:rPr>
            </w:pPr>
            <w:r>
              <w:rPr>
                <w:i/>
                <w:sz w:val="18"/>
              </w:rPr>
              <w:t>The spatial assessment unit used for determining the area of accounting for afforestation, reforestation and deforestation</w:t>
            </w:r>
          </w:p>
        </w:tc>
        <w:tc>
          <w:tcPr>
            <w:tcW w:w="1229" w:type="dxa"/>
          </w:tcPr>
          <w:p>
            <w:pPr>
              <w:pStyle w:val="TableParagraph"/>
              <w:spacing w:line="223" w:lineRule="exact"/>
              <w:ind w:left="6" w:right="19"/>
              <w:jc w:val="center"/>
              <w:rPr>
                <w:sz w:val="20"/>
              </w:rPr>
            </w:pPr>
            <w:r>
              <w:rPr>
                <w:sz w:val="20"/>
              </w:rPr>
              <w:t>6 (c)</w:t>
            </w:r>
          </w:p>
        </w:tc>
      </w:tr>
      <w:tr>
        <w:trPr>
          <w:trHeight w:val="325" w:hRule="atLeast"/>
        </w:trPr>
        <w:tc>
          <w:tcPr>
            <w:tcW w:w="9051" w:type="dxa"/>
            <w:gridSpan w:val="3"/>
          </w:tcPr>
          <w:p>
            <w:pPr>
              <w:pStyle w:val="TableParagraph"/>
              <w:spacing w:before="59"/>
              <w:ind w:left="69"/>
              <w:rPr>
                <w:b/>
                <w:sz w:val="18"/>
              </w:rPr>
            </w:pPr>
            <w:r>
              <w:rPr>
                <w:b/>
                <w:sz w:val="18"/>
              </w:rPr>
              <w:t>Information on methods and approaches to estimate emissions and removals</w:t>
            </w:r>
          </w:p>
        </w:tc>
      </w:tr>
      <w:tr>
        <w:trPr>
          <w:trHeight w:val="3016" w:hRule="atLeast"/>
        </w:trPr>
        <w:tc>
          <w:tcPr>
            <w:tcW w:w="1877" w:type="dxa"/>
          </w:tcPr>
          <w:p>
            <w:pPr>
              <w:pStyle w:val="TableParagraph"/>
              <w:spacing w:before="55"/>
              <w:ind w:left="69" w:right="343"/>
              <w:rPr>
                <w:sz w:val="18"/>
              </w:rPr>
            </w:pPr>
            <w:r>
              <w:rPr>
                <w:sz w:val="18"/>
              </w:rPr>
              <w:t>Description of methodologies used</w:t>
            </w:r>
          </w:p>
        </w:tc>
        <w:tc>
          <w:tcPr>
            <w:tcW w:w="5945" w:type="dxa"/>
          </w:tcPr>
          <w:p>
            <w:pPr>
              <w:pStyle w:val="TableParagraph"/>
              <w:spacing w:before="55"/>
              <w:ind w:left="66" w:right="53"/>
              <w:rPr>
                <w:sz w:val="18"/>
              </w:rPr>
            </w:pPr>
            <w:r>
              <w:rPr>
                <w:sz w:val="18"/>
              </w:rPr>
              <w:t>The emissions and removals should be estimated using methodologies given in the </w:t>
            </w:r>
            <w:r>
              <w:rPr>
                <w:i/>
                <w:sz w:val="18"/>
              </w:rPr>
              <w:t>IPCC Guidelines </w:t>
            </w:r>
            <w:r>
              <w:rPr>
                <w:sz w:val="18"/>
              </w:rPr>
              <w:t>as elaborated by this report, and using the principles as laid out in the draft decision -/CMP.1 (Land use, land-use change and forestry). The methodologies used should be reported with information on the reporting method for lands subject to Articles 3.3 and 3.4 (Reporting Method 1, 2 or a combination thereof), the approach(es) used for land identification, and the tier level(s) for estimating the emissions and removals. National approaches, models, parameters and other related information should be described transparently indicating how they improve the accuracy of the reporting. The assumptions and methodologies used for an inventory should be clearly explained to facilitate replication and assessment of the inventory by users of the report and taking into account the principles in paragraph 1, items (a), (b), (d), (g), (h) in the Marrakesh Accords, draft decision -/CMP.1 (Land use, land- use change and forestry), cf. document FCCC/CP/2001/13/Add.1,</w:t>
            </w:r>
            <w:r>
              <w:rPr>
                <w:spacing w:val="-11"/>
                <w:sz w:val="18"/>
              </w:rPr>
              <w:t> </w:t>
            </w:r>
            <w:r>
              <w:rPr>
                <w:sz w:val="18"/>
              </w:rPr>
              <w:t>p.56.</w:t>
            </w:r>
          </w:p>
        </w:tc>
        <w:tc>
          <w:tcPr>
            <w:tcW w:w="1229" w:type="dxa"/>
          </w:tcPr>
          <w:p>
            <w:pPr>
              <w:pStyle w:val="TableParagraph"/>
              <w:spacing w:line="223" w:lineRule="exact"/>
              <w:ind w:left="4" w:right="19"/>
              <w:jc w:val="center"/>
              <w:rPr>
                <w:sz w:val="20"/>
              </w:rPr>
            </w:pPr>
            <w:r>
              <w:rPr>
                <w:sz w:val="20"/>
              </w:rPr>
              <w:t>see 6 (a)</w:t>
            </w:r>
          </w:p>
        </w:tc>
      </w:tr>
      <w:tr>
        <w:trPr>
          <w:trHeight w:val="1154" w:hRule="atLeast"/>
        </w:trPr>
        <w:tc>
          <w:tcPr>
            <w:tcW w:w="1877" w:type="dxa"/>
          </w:tcPr>
          <w:p>
            <w:pPr>
              <w:pStyle w:val="TableParagraph"/>
              <w:spacing w:before="55"/>
              <w:ind w:left="69" w:right="328"/>
              <w:rPr>
                <w:sz w:val="18"/>
              </w:rPr>
            </w:pPr>
            <w:r>
              <w:rPr>
                <w:sz w:val="18"/>
              </w:rPr>
              <w:t>Justification when omitting any carbon pool</w:t>
            </w:r>
          </w:p>
        </w:tc>
        <w:tc>
          <w:tcPr>
            <w:tcW w:w="5945" w:type="dxa"/>
          </w:tcPr>
          <w:p>
            <w:pPr>
              <w:pStyle w:val="TableParagraph"/>
              <w:spacing w:before="55"/>
              <w:ind w:left="66" w:right="124"/>
              <w:rPr>
                <w:i/>
                <w:sz w:val="18"/>
              </w:rPr>
            </w:pPr>
            <w:r>
              <w:rPr>
                <w:i/>
                <w:sz w:val="18"/>
              </w:rPr>
              <w:t>Information on which, if any, of the following pools: above-ground biomass, below-ground biomass, litter, dead wood and/or soil organic carbon were not accounted for, together with verifiable information that demonstrates that these unaccounted pools were not a net source of anthropogenic greenhouse gas emissions</w:t>
            </w:r>
          </w:p>
        </w:tc>
        <w:tc>
          <w:tcPr>
            <w:tcW w:w="1229" w:type="dxa"/>
          </w:tcPr>
          <w:p>
            <w:pPr>
              <w:pStyle w:val="TableParagraph"/>
              <w:spacing w:line="223" w:lineRule="exact"/>
              <w:ind w:left="6" w:right="19"/>
              <w:jc w:val="center"/>
              <w:rPr>
                <w:sz w:val="20"/>
              </w:rPr>
            </w:pPr>
            <w:r>
              <w:rPr>
                <w:sz w:val="20"/>
              </w:rPr>
              <w:t>6 (e)</w:t>
            </w:r>
          </w:p>
        </w:tc>
      </w:tr>
      <w:tr>
        <w:trPr>
          <w:trHeight w:val="2461" w:hRule="atLeast"/>
        </w:trPr>
        <w:tc>
          <w:tcPr>
            <w:tcW w:w="1877" w:type="dxa"/>
          </w:tcPr>
          <w:p>
            <w:pPr>
              <w:pStyle w:val="TableParagraph"/>
              <w:spacing w:before="55"/>
              <w:ind w:left="69" w:right="98"/>
              <w:rPr>
                <w:sz w:val="18"/>
              </w:rPr>
            </w:pPr>
            <w:r>
              <w:rPr>
                <w:sz w:val="18"/>
              </w:rPr>
              <w:t>Information on indirect factors on greenhouse gas emissions and removals</w:t>
            </w:r>
          </w:p>
        </w:tc>
        <w:tc>
          <w:tcPr>
            <w:tcW w:w="5945" w:type="dxa"/>
          </w:tcPr>
          <w:p>
            <w:pPr>
              <w:pStyle w:val="TableParagraph"/>
              <w:spacing w:before="55"/>
              <w:ind w:left="66" w:right="49"/>
              <w:rPr>
                <w:i/>
                <w:sz w:val="18"/>
              </w:rPr>
            </w:pPr>
            <w:r>
              <w:rPr>
                <w:i/>
                <w:sz w:val="18"/>
              </w:rPr>
              <w:t>Information should also be provided which indicates whether or not anthropogenic greenhouse gas emissions by sources and removals by sinks from land use, land-use change and forestry activities under Article 3 paragraph 3 and elected activities under Article 3 paragraph 4 factor out removals</w:t>
            </w:r>
            <w:r>
              <w:rPr>
                <w:i/>
                <w:spacing w:val="-12"/>
                <w:sz w:val="18"/>
              </w:rPr>
              <w:t> </w:t>
            </w:r>
            <w:r>
              <w:rPr>
                <w:i/>
                <w:sz w:val="18"/>
              </w:rPr>
              <w:t>from:</w:t>
            </w:r>
          </w:p>
          <w:p>
            <w:pPr>
              <w:pStyle w:val="TableParagraph"/>
              <w:numPr>
                <w:ilvl w:val="0"/>
                <w:numId w:val="140"/>
              </w:numPr>
              <w:tabs>
                <w:tab w:pos="322" w:val="left" w:leader="none"/>
              </w:tabs>
              <w:spacing w:line="240" w:lineRule="auto" w:before="120" w:after="0"/>
              <w:ind w:left="321" w:right="0" w:hanging="255"/>
              <w:jc w:val="left"/>
              <w:rPr>
                <w:i/>
                <w:sz w:val="18"/>
              </w:rPr>
            </w:pPr>
            <w:r>
              <w:rPr>
                <w:i/>
                <w:sz w:val="18"/>
              </w:rPr>
              <w:t>Elevated</w:t>
            </w:r>
            <w:r>
              <w:rPr>
                <w:i/>
                <w:spacing w:val="-5"/>
                <w:sz w:val="18"/>
              </w:rPr>
              <w:t> </w:t>
            </w:r>
            <w:r>
              <w:rPr>
                <w:i/>
                <w:sz w:val="18"/>
              </w:rPr>
              <w:t>carbon</w:t>
            </w:r>
            <w:r>
              <w:rPr>
                <w:i/>
                <w:spacing w:val="-6"/>
                <w:sz w:val="18"/>
              </w:rPr>
              <w:t> </w:t>
            </w:r>
            <w:r>
              <w:rPr>
                <w:i/>
                <w:sz w:val="18"/>
              </w:rPr>
              <w:t>dioxide</w:t>
            </w:r>
            <w:r>
              <w:rPr>
                <w:i/>
                <w:spacing w:val="-7"/>
                <w:sz w:val="18"/>
              </w:rPr>
              <w:t> </w:t>
            </w:r>
            <w:r>
              <w:rPr>
                <w:i/>
                <w:sz w:val="18"/>
              </w:rPr>
              <w:t>concentrations</w:t>
            </w:r>
            <w:r>
              <w:rPr>
                <w:i/>
                <w:spacing w:val="-8"/>
                <w:sz w:val="18"/>
              </w:rPr>
              <w:t> </w:t>
            </w:r>
            <w:r>
              <w:rPr>
                <w:i/>
                <w:sz w:val="18"/>
              </w:rPr>
              <w:t>above</w:t>
            </w:r>
            <w:r>
              <w:rPr>
                <w:i/>
                <w:spacing w:val="-6"/>
                <w:sz w:val="18"/>
              </w:rPr>
              <w:t> </w:t>
            </w:r>
            <w:r>
              <w:rPr>
                <w:i/>
                <w:sz w:val="18"/>
              </w:rPr>
              <w:t>pre-industrial</w:t>
            </w:r>
            <w:r>
              <w:rPr>
                <w:i/>
                <w:spacing w:val="-7"/>
                <w:sz w:val="18"/>
              </w:rPr>
              <w:t> </w:t>
            </w:r>
            <w:r>
              <w:rPr>
                <w:i/>
                <w:sz w:val="18"/>
              </w:rPr>
              <w:t>levels;</w:t>
            </w:r>
          </w:p>
          <w:p>
            <w:pPr>
              <w:pStyle w:val="TableParagraph"/>
              <w:numPr>
                <w:ilvl w:val="0"/>
                <w:numId w:val="140"/>
              </w:numPr>
              <w:tabs>
                <w:tab w:pos="322" w:val="left" w:leader="none"/>
              </w:tabs>
              <w:spacing w:line="240" w:lineRule="auto" w:before="119" w:after="0"/>
              <w:ind w:left="321" w:right="0" w:hanging="255"/>
              <w:jc w:val="left"/>
              <w:rPr>
                <w:i/>
                <w:sz w:val="18"/>
              </w:rPr>
            </w:pPr>
            <w:r>
              <w:rPr>
                <w:i/>
                <w:sz w:val="18"/>
              </w:rPr>
              <w:t>Indirect nitrogen deposition;</w:t>
            </w:r>
            <w:r>
              <w:rPr>
                <w:i/>
                <w:spacing w:val="-4"/>
                <w:sz w:val="18"/>
              </w:rPr>
              <w:t> </w:t>
            </w:r>
            <w:r>
              <w:rPr>
                <w:i/>
                <w:sz w:val="18"/>
              </w:rPr>
              <w:t>and</w:t>
            </w:r>
          </w:p>
          <w:p>
            <w:pPr>
              <w:pStyle w:val="TableParagraph"/>
              <w:numPr>
                <w:ilvl w:val="0"/>
                <w:numId w:val="140"/>
              </w:numPr>
              <w:tabs>
                <w:tab w:pos="310" w:val="left" w:leader="none"/>
              </w:tabs>
              <w:spacing w:line="240" w:lineRule="auto" w:before="120" w:after="0"/>
              <w:ind w:left="321" w:right="502" w:hanging="255"/>
              <w:jc w:val="left"/>
              <w:rPr>
                <w:i/>
                <w:sz w:val="18"/>
              </w:rPr>
            </w:pPr>
            <w:r>
              <w:rPr>
                <w:i/>
                <w:sz w:val="18"/>
              </w:rPr>
              <w:t>The dynamic effects of age structure resulting from activities prior to 1 January</w:t>
            </w:r>
            <w:r>
              <w:rPr>
                <w:i/>
                <w:spacing w:val="-1"/>
                <w:sz w:val="18"/>
              </w:rPr>
              <w:t> </w:t>
            </w:r>
            <w:r>
              <w:rPr>
                <w:i/>
                <w:sz w:val="18"/>
              </w:rPr>
              <w:t>1990</w:t>
            </w:r>
          </w:p>
          <w:p>
            <w:pPr>
              <w:pStyle w:val="TableParagraph"/>
              <w:spacing w:before="118"/>
              <w:ind w:left="66"/>
              <w:rPr>
                <w:sz w:val="18"/>
              </w:rPr>
            </w:pPr>
            <w:r>
              <w:rPr>
                <w:sz w:val="18"/>
              </w:rPr>
              <w:t>(See Section</w:t>
            </w:r>
            <w:r>
              <w:rPr>
                <w:spacing w:val="-9"/>
                <w:sz w:val="18"/>
              </w:rPr>
              <w:t> </w:t>
            </w:r>
            <w:r>
              <w:rPr>
                <w:sz w:val="18"/>
              </w:rPr>
              <w:t>4.2.3.5.)</w:t>
            </w:r>
          </w:p>
        </w:tc>
        <w:tc>
          <w:tcPr>
            <w:tcW w:w="1229" w:type="dxa"/>
          </w:tcPr>
          <w:p>
            <w:pPr>
              <w:pStyle w:val="TableParagraph"/>
              <w:spacing w:before="55"/>
              <w:ind w:right="14"/>
              <w:jc w:val="center"/>
              <w:rPr>
                <w:sz w:val="18"/>
              </w:rPr>
            </w:pPr>
            <w:r>
              <w:rPr>
                <w:sz w:val="18"/>
              </w:rPr>
              <w:t>7</w:t>
            </w:r>
          </w:p>
        </w:tc>
      </w:tr>
      <w:tr>
        <w:trPr>
          <w:trHeight w:val="1566" w:hRule="atLeast"/>
        </w:trPr>
        <w:tc>
          <w:tcPr>
            <w:tcW w:w="1877" w:type="dxa"/>
          </w:tcPr>
          <w:p>
            <w:pPr>
              <w:pStyle w:val="TableParagraph"/>
              <w:spacing w:before="55"/>
              <w:ind w:left="69" w:right="323"/>
              <w:rPr>
                <w:sz w:val="18"/>
              </w:rPr>
            </w:pPr>
            <w:r>
              <w:rPr>
                <w:sz w:val="18"/>
              </w:rPr>
              <w:t>Changes in data and methods</w:t>
            </w:r>
          </w:p>
        </w:tc>
        <w:tc>
          <w:tcPr>
            <w:tcW w:w="5945" w:type="dxa"/>
          </w:tcPr>
          <w:p>
            <w:pPr>
              <w:pStyle w:val="TableParagraph"/>
              <w:spacing w:before="55"/>
              <w:ind w:left="66" w:right="165"/>
              <w:rPr>
                <w:sz w:val="18"/>
              </w:rPr>
            </w:pPr>
            <w:r>
              <w:rPr>
                <w:sz w:val="18"/>
              </w:rPr>
              <w:t>Any changes in data or methodology since the report of the previous year, e.g., in the choice of methods, activity data collection method, activity data, difficulties of detection (e.g., distinction between harvesting and deforestation when estimating the D area), parameters used in the calculations should be reported in a transparent manner. The reporting should include information on whether these changes have been applied also to reporting on previous inventory years to ensure consistency of the time series.</w:t>
            </w:r>
          </w:p>
        </w:tc>
        <w:tc>
          <w:tcPr>
            <w:tcW w:w="1229" w:type="dxa"/>
          </w:tcPr>
          <w:p>
            <w:pPr>
              <w:pStyle w:val="TableParagraph"/>
              <w:spacing w:before="55"/>
              <w:ind w:left="6" w:right="19"/>
              <w:jc w:val="center"/>
              <w:rPr>
                <w:sz w:val="18"/>
              </w:rPr>
            </w:pPr>
            <w:r>
              <w:rPr>
                <w:sz w:val="18"/>
              </w:rPr>
              <w:t>10</w:t>
            </w:r>
          </w:p>
        </w:tc>
      </w:tr>
    </w:tbl>
    <w:p>
      <w:pPr>
        <w:pStyle w:val="BodyText"/>
      </w:pPr>
    </w:p>
    <w:p>
      <w:pPr>
        <w:pStyle w:val="BodyText"/>
        <w:spacing w:before="10"/>
        <w:rPr>
          <w:sz w:val="13"/>
        </w:rPr>
      </w:pPr>
      <w:r>
        <w:rPr/>
        <w:pict>
          <v:line style="position:absolute;mso-position-horizontal-relative:page;mso-position-vertical-relative:paragraph;z-index:18992;mso-wrap-distance-left:0;mso-wrap-distance-right:0" from="70.960999pt,10.220977pt" to="214.960999pt,10.220977pt" stroked="true" strokeweight=".48pt" strokecolor="#000000">
            <v:stroke dashstyle="solid"/>
            <w10:wrap type="topAndBottom"/>
          </v:line>
        </w:pict>
      </w:r>
    </w:p>
    <w:p>
      <w:pPr>
        <w:spacing w:before="150"/>
        <w:ind w:left="317" w:right="166" w:hanging="159"/>
        <w:jc w:val="left"/>
        <w:rPr>
          <w:sz w:val="18"/>
        </w:rPr>
      </w:pPr>
      <w:r>
        <w:rPr>
          <w:position w:val="8"/>
          <w:sz w:val="12"/>
        </w:rPr>
        <w:t>39 </w:t>
      </w:r>
      <w:r>
        <w:rPr>
          <w:sz w:val="18"/>
        </w:rPr>
        <w:t>Entries in this column refer to relevant paragraphs in the Annex to draft decision -/CMP.1 (Article 7), contained in document FCCC/CP/2001/13/Add.3, pp.21-29. In the table not necessarily </w:t>
      </w:r>
      <w:r>
        <w:rPr>
          <w:i/>
          <w:sz w:val="18"/>
        </w:rPr>
        <w:t>all </w:t>
      </w:r>
      <w:r>
        <w:rPr>
          <w:sz w:val="18"/>
        </w:rPr>
        <w:t>relevant legal texts are referred to.</w:t>
      </w:r>
    </w:p>
    <w:p>
      <w:pPr>
        <w:spacing w:after="0"/>
        <w:jc w:val="left"/>
        <w:rPr>
          <w:sz w:val="18"/>
        </w:rPr>
        <w:sectPr>
          <w:pgSz w:w="11900" w:h="16840"/>
          <w:pgMar w:header="230" w:footer="408" w:top="560" w:bottom="600" w:left="1260" w:right="1240"/>
        </w:sectPr>
      </w:pPr>
    </w:p>
    <w:p>
      <w:pPr>
        <w:pStyle w:val="BodyText"/>
      </w:pPr>
    </w:p>
    <w:p>
      <w:pPr>
        <w:pStyle w:val="BodyText"/>
      </w:pPr>
    </w:p>
    <w:p>
      <w:pPr>
        <w:pStyle w:val="BodyText"/>
        <w:spacing w:before="3"/>
        <w:rPr>
          <w:sz w:val="29"/>
        </w:rPr>
      </w:pPr>
    </w:p>
    <w:tbl>
      <w:tblPr>
        <w:tblW w:w="0" w:type="auto"/>
        <w:jc w:val="left"/>
        <w:tblInd w:w="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7"/>
        <w:gridCol w:w="5945"/>
        <w:gridCol w:w="1229"/>
      </w:tblGrid>
      <w:tr>
        <w:trPr>
          <w:trHeight w:val="827" w:hRule="atLeast"/>
        </w:trPr>
        <w:tc>
          <w:tcPr>
            <w:tcW w:w="9051" w:type="dxa"/>
            <w:gridSpan w:val="3"/>
            <w:tcBorders>
              <w:bottom w:val="double" w:sz="1" w:space="0" w:color="000000"/>
            </w:tcBorders>
          </w:tcPr>
          <w:p>
            <w:pPr>
              <w:pStyle w:val="TableParagraph"/>
              <w:spacing w:line="206" w:lineRule="exact"/>
              <w:ind w:left="149" w:right="114"/>
              <w:jc w:val="center"/>
              <w:rPr>
                <w:b/>
                <w:sz w:val="18"/>
              </w:rPr>
            </w:pPr>
            <w:r>
              <w:rPr>
                <w:b/>
                <w:sz w:val="18"/>
              </w:rPr>
              <w:t>T</w:t>
            </w:r>
            <w:r>
              <w:rPr>
                <w:b/>
                <w:sz w:val="14"/>
              </w:rPr>
              <w:t>ABLE </w:t>
            </w:r>
            <w:r>
              <w:rPr>
                <w:b/>
                <w:sz w:val="18"/>
              </w:rPr>
              <w:t>4.2.4b (C</w:t>
            </w:r>
            <w:r>
              <w:rPr>
                <w:b/>
                <w:sz w:val="14"/>
              </w:rPr>
              <w:t>ONTINUED</w:t>
            </w:r>
            <w:r>
              <w:rPr>
                <w:b/>
                <w:sz w:val="18"/>
              </w:rPr>
              <w:t>)</w:t>
            </w:r>
          </w:p>
          <w:p>
            <w:pPr>
              <w:pStyle w:val="TableParagraph"/>
              <w:spacing w:line="207" w:lineRule="exact"/>
              <w:ind w:left="198" w:firstLine="67"/>
              <w:rPr>
                <w:b/>
                <w:sz w:val="14"/>
              </w:rPr>
            </w:pPr>
            <w:r>
              <w:rPr>
                <w:b/>
                <w:sz w:val="18"/>
              </w:rPr>
              <w:t>S</w:t>
            </w:r>
            <w:r>
              <w:rPr>
                <w:b/>
                <w:sz w:val="14"/>
              </w:rPr>
              <w:t>UPPLEMENTARY INFORMATION TO BE REPORTED FOR THE ANNUAL GREENHOUSE GAS INVENTORY DURING THE FIRST</w:t>
            </w:r>
          </w:p>
          <w:p>
            <w:pPr>
              <w:pStyle w:val="TableParagraph"/>
              <w:spacing w:line="206" w:lineRule="exact" w:before="5"/>
              <w:ind w:left="149" w:right="113"/>
              <w:jc w:val="center"/>
              <w:rPr>
                <w:b/>
                <w:sz w:val="14"/>
              </w:rPr>
            </w:pPr>
            <w:r>
              <w:rPr>
                <w:b/>
                <w:sz w:val="14"/>
              </w:rPr>
              <w:t>COMMITMENT PERIOD ACCORDING TO THE </w:t>
            </w:r>
            <w:r>
              <w:rPr>
                <w:b/>
                <w:sz w:val="18"/>
              </w:rPr>
              <w:t>M</w:t>
            </w:r>
            <w:r>
              <w:rPr>
                <w:b/>
                <w:sz w:val="14"/>
              </w:rPr>
              <w:t>ARRAKESH </w:t>
            </w:r>
            <w:r>
              <w:rPr>
                <w:b/>
                <w:sz w:val="18"/>
              </w:rPr>
              <w:t>A</w:t>
            </w:r>
            <w:r>
              <w:rPr>
                <w:b/>
                <w:sz w:val="14"/>
              </w:rPr>
              <w:t>CCORDS</w:t>
            </w:r>
            <w:r>
              <w:rPr>
                <w:b/>
                <w:sz w:val="18"/>
              </w:rPr>
              <w:t>. T</w:t>
            </w:r>
            <w:r>
              <w:rPr>
                <w:b/>
                <w:sz w:val="14"/>
              </w:rPr>
              <w:t>EXT IN ITALICS INDICATES A DIRECT QUOTE FROM THE RELEVANT PARAGRAPHS IN THE </w:t>
            </w:r>
            <w:r>
              <w:rPr>
                <w:b/>
                <w:sz w:val="18"/>
              </w:rPr>
              <w:t>M</w:t>
            </w:r>
            <w:r>
              <w:rPr>
                <w:b/>
                <w:sz w:val="14"/>
              </w:rPr>
              <w:t>ARRAKESH </w:t>
            </w:r>
            <w:r>
              <w:rPr>
                <w:b/>
                <w:sz w:val="18"/>
              </w:rPr>
              <w:t>A</w:t>
            </w:r>
            <w:r>
              <w:rPr>
                <w:b/>
                <w:sz w:val="14"/>
              </w:rPr>
              <w:t>CCORDS</w:t>
            </w:r>
          </w:p>
        </w:tc>
      </w:tr>
      <w:tr>
        <w:trPr>
          <w:trHeight w:val="761" w:hRule="atLeast"/>
        </w:trPr>
        <w:tc>
          <w:tcPr>
            <w:tcW w:w="1877" w:type="dxa"/>
            <w:tcBorders>
              <w:top w:val="double" w:sz="1" w:space="0" w:color="000000"/>
            </w:tcBorders>
          </w:tcPr>
          <w:p>
            <w:pPr>
              <w:pStyle w:val="TableParagraph"/>
              <w:spacing w:before="174"/>
              <w:ind w:left="616" w:right="217" w:hanging="346"/>
              <w:rPr>
                <w:b/>
                <w:sz w:val="18"/>
              </w:rPr>
            </w:pPr>
            <w:r>
              <w:rPr>
                <w:b/>
                <w:sz w:val="18"/>
              </w:rPr>
              <w:t>Information to be reported</w:t>
            </w:r>
          </w:p>
        </w:tc>
        <w:tc>
          <w:tcPr>
            <w:tcW w:w="5945" w:type="dxa"/>
            <w:tcBorders>
              <w:top w:val="double" w:sz="1" w:space="0" w:color="000000"/>
            </w:tcBorders>
          </w:tcPr>
          <w:p>
            <w:pPr>
              <w:pStyle w:val="TableParagraph"/>
              <w:spacing w:before="1"/>
              <w:rPr>
                <w:sz w:val="24"/>
              </w:rPr>
            </w:pPr>
          </w:p>
          <w:p>
            <w:pPr>
              <w:pStyle w:val="TableParagraph"/>
              <w:ind w:left="2138" w:right="2107"/>
              <w:jc w:val="center"/>
              <w:rPr>
                <w:b/>
                <w:sz w:val="18"/>
              </w:rPr>
            </w:pPr>
            <w:r>
              <w:rPr>
                <w:b/>
                <w:sz w:val="18"/>
              </w:rPr>
              <w:t>Detailed information</w:t>
            </w:r>
          </w:p>
        </w:tc>
        <w:tc>
          <w:tcPr>
            <w:tcW w:w="1229" w:type="dxa"/>
            <w:tcBorders>
              <w:top w:val="double" w:sz="1" w:space="0" w:color="000000"/>
            </w:tcBorders>
          </w:tcPr>
          <w:p>
            <w:pPr>
              <w:pStyle w:val="TableParagraph"/>
              <w:spacing w:line="237" w:lineRule="auto" w:before="70"/>
              <w:ind w:left="224" w:right="104" w:hanging="94"/>
              <w:rPr>
                <w:sz w:val="18"/>
              </w:rPr>
            </w:pPr>
            <w:r>
              <w:rPr>
                <w:b/>
                <w:sz w:val="18"/>
              </w:rPr>
              <w:t>Reference in Marakesh Accords</w:t>
            </w:r>
            <w:r>
              <w:rPr>
                <w:sz w:val="18"/>
                <w:vertAlign w:val="superscript"/>
              </w:rPr>
              <w:t>40</w:t>
            </w:r>
          </w:p>
        </w:tc>
      </w:tr>
      <w:tr>
        <w:trPr>
          <w:trHeight w:val="532" w:hRule="atLeast"/>
        </w:trPr>
        <w:tc>
          <w:tcPr>
            <w:tcW w:w="1877" w:type="dxa"/>
          </w:tcPr>
          <w:p>
            <w:pPr>
              <w:pStyle w:val="TableParagraph"/>
              <w:spacing w:before="55"/>
              <w:ind w:left="69" w:right="183"/>
              <w:rPr>
                <w:sz w:val="18"/>
              </w:rPr>
            </w:pPr>
            <w:r>
              <w:rPr>
                <w:sz w:val="18"/>
              </w:rPr>
              <w:t>Other generic methodological issues</w:t>
            </w:r>
          </w:p>
        </w:tc>
        <w:tc>
          <w:tcPr>
            <w:tcW w:w="5945" w:type="dxa"/>
          </w:tcPr>
          <w:p>
            <w:pPr>
              <w:pStyle w:val="TableParagraph"/>
              <w:spacing w:before="55"/>
              <w:ind w:left="66" w:right="165"/>
              <w:rPr>
                <w:sz w:val="18"/>
              </w:rPr>
            </w:pPr>
            <w:r>
              <w:rPr>
                <w:sz w:val="18"/>
              </w:rPr>
              <w:t>Any additional relevant information on methodological issues, such as measurement intervals, disturbances, interannual variability (see Section 4.2.3)</w:t>
            </w:r>
          </w:p>
        </w:tc>
        <w:tc>
          <w:tcPr>
            <w:tcW w:w="1229" w:type="dxa"/>
          </w:tcPr>
          <w:p>
            <w:pPr>
              <w:pStyle w:val="TableParagraph"/>
              <w:rPr>
                <w:sz w:val="16"/>
              </w:rPr>
            </w:pPr>
          </w:p>
        </w:tc>
      </w:tr>
      <w:tr>
        <w:trPr>
          <w:trHeight w:val="328" w:hRule="atLeast"/>
        </w:trPr>
        <w:tc>
          <w:tcPr>
            <w:tcW w:w="9051" w:type="dxa"/>
            <w:gridSpan w:val="3"/>
          </w:tcPr>
          <w:p>
            <w:pPr>
              <w:pStyle w:val="TableParagraph"/>
              <w:spacing w:before="59"/>
              <w:ind w:left="69"/>
              <w:rPr>
                <w:b/>
                <w:sz w:val="18"/>
              </w:rPr>
            </w:pPr>
            <w:r>
              <w:rPr>
                <w:b/>
                <w:sz w:val="18"/>
              </w:rPr>
              <w:t>Specific information for activities under Article 3, paragraphs 3 and 4</w:t>
            </w:r>
          </w:p>
        </w:tc>
      </w:tr>
      <w:tr>
        <w:trPr>
          <w:trHeight w:val="2140" w:hRule="atLeast"/>
        </w:trPr>
        <w:tc>
          <w:tcPr>
            <w:tcW w:w="1877" w:type="dxa"/>
          </w:tcPr>
          <w:p>
            <w:pPr>
              <w:pStyle w:val="TableParagraph"/>
              <w:spacing w:before="55"/>
              <w:ind w:left="69" w:right="403"/>
              <w:rPr>
                <w:sz w:val="18"/>
              </w:rPr>
            </w:pPr>
            <w:r>
              <w:rPr>
                <w:sz w:val="18"/>
              </w:rPr>
              <w:t>Article 3.3 specific information</w:t>
            </w:r>
          </w:p>
        </w:tc>
        <w:tc>
          <w:tcPr>
            <w:tcW w:w="5945" w:type="dxa"/>
          </w:tcPr>
          <w:p>
            <w:pPr>
              <w:pStyle w:val="TableParagraph"/>
              <w:numPr>
                <w:ilvl w:val="0"/>
                <w:numId w:val="141"/>
              </w:numPr>
              <w:tabs>
                <w:tab w:pos="427" w:val="left" w:leader="none"/>
              </w:tabs>
              <w:spacing w:line="230" w:lineRule="auto" w:before="54" w:after="0"/>
              <w:ind w:left="407" w:right="117" w:hanging="341"/>
              <w:jc w:val="both"/>
              <w:rPr>
                <w:sz w:val="18"/>
              </w:rPr>
            </w:pPr>
            <w:r>
              <w:rPr>
                <w:i/>
                <w:sz w:val="18"/>
              </w:rPr>
              <w:t>Information that demonstrates that activities under Article 3, paragraph 3, began on or after 1 January 1990 and before 31 December of the last year of the commitment period, and are directly</w:t>
            </w:r>
            <w:r>
              <w:rPr>
                <w:i/>
                <w:spacing w:val="-8"/>
                <w:sz w:val="18"/>
              </w:rPr>
              <w:t> </w:t>
            </w:r>
            <w:r>
              <w:rPr>
                <w:i/>
                <w:sz w:val="18"/>
              </w:rPr>
              <w:t>human-induced</w:t>
            </w:r>
            <w:r>
              <w:rPr>
                <w:sz w:val="18"/>
              </w:rPr>
              <w:t>;</w:t>
            </w:r>
          </w:p>
          <w:p>
            <w:pPr>
              <w:pStyle w:val="TableParagraph"/>
              <w:numPr>
                <w:ilvl w:val="0"/>
                <w:numId w:val="141"/>
              </w:numPr>
              <w:tabs>
                <w:tab w:pos="426" w:val="left" w:leader="none"/>
                <w:tab w:pos="427" w:val="left" w:leader="none"/>
              </w:tabs>
              <w:spacing w:line="220" w:lineRule="auto" w:before="108" w:after="0"/>
              <w:ind w:left="407" w:right="79" w:hanging="341"/>
              <w:jc w:val="left"/>
              <w:rPr>
                <w:sz w:val="18"/>
              </w:rPr>
            </w:pPr>
            <w:r>
              <w:rPr>
                <w:i/>
                <w:sz w:val="18"/>
              </w:rPr>
              <w:t>Information on how harvesting or forest disturbance that is followed by the re-establishment of a forest is distinguished from</w:t>
            </w:r>
            <w:r>
              <w:rPr>
                <w:i/>
                <w:spacing w:val="-10"/>
                <w:sz w:val="18"/>
              </w:rPr>
              <w:t> </w:t>
            </w:r>
            <w:r>
              <w:rPr>
                <w:i/>
                <w:sz w:val="18"/>
              </w:rPr>
              <w:t>deforestation</w:t>
            </w:r>
            <w:r>
              <w:rPr>
                <w:sz w:val="18"/>
              </w:rPr>
              <w:t>;</w:t>
            </w:r>
          </w:p>
          <w:p>
            <w:pPr>
              <w:pStyle w:val="TableParagraph"/>
              <w:numPr>
                <w:ilvl w:val="0"/>
                <w:numId w:val="141"/>
              </w:numPr>
              <w:tabs>
                <w:tab w:pos="426" w:val="left" w:leader="none"/>
                <w:tab w:pos="427" w:val="left" w:leader="none"/>
              </w:tabs>
              <w:spacing w:line="232" w:lineRule="auto" w:before="103" w:after="0"/>
              <w:ind w:left="407" w:right="108" w:hanging="341"/>
              <w:jc w:val="left"/>
              <w:rPr>
                <w:sz w:val="18"/>
              </w:rPr>
            </w:pPr>
            <w:r>
              <w:rPr>
                <w:sz w:val="18"/>
              </w:rPr>
              <w:t>It is good practice to provide information on the size and geographical location of forest areas that have lost forest cover but which cannot be classifed as deforested (and will therefore remain classified as forest with a re-assessment in the next</w:t>
            </w:r>
            <w:r>
              <w:rPr>
                <w:spacing w:val="-2"/>
                <w:sz w:val="18"/>
              </w:rPr>
              <w:t> </w:t>
            </w:r>
            <w:r>
              <w:rPr>
                <w:sz w:val="18"/>
              </w:rPr>
              <w:t>inventory).</w:t>
            </w:r>
          </w:p>
        </w:tc>
        <w:tc>
          <w:tcPr>
            <w:tcW w:w="1229" w:type="dxa"/>
          </w:tcPr>
          <w:p>
            <w:pPr>
              <w:pStyle w:val="TableParagraph"/>
              <w:spacing w:before="55"/>
              <w:ind w:left="27" w:right="19"/>
              <w:jc w:val="center"/>
              <w:rPr>
                <w:sz w:val="18"/>
              </w:rPr>
            </w:pPr>
            <w:r>
              <w:rPr>
                <w:sz w:val="18"/>
              </w:rPr>
              <w:t>8</w:t>
            </w:r>
            <w:r>
              <w:rPr>
                <w:spacing w:val="-2"/>
                <w:sz w:val="18"/>
              </w:rPr>
              <w:t> </w:t>
            </w:r>
            <w:r>
              <w:rPr>
                <w:sz w:val="18"/>
              </w:rPr>
              <w:t>(a)</w:t>
            </w:r>
          </w:p>
          <w:p>
            <w:pPr>
              <w:pStyle w:val="TableParagraph"/>
              <w:rPr>
                <w:sz w:val="20"/>
              </w:rPr>
            </w:pPr>
          </w:p>
          <w:p>
            <w:pPr>
              <w:pStyle w:val="TableParagraph"/>
              <w:spacing w:before="3"/>
              <w:rPr>
                <w:sz w:val="26"/>
              </w:rPr>
            </w:pPr>
          </w:p>
          <w:p>
            <w:pPr>
              <w:pStyle w:val="TableParagraph"/>
              <w:ind w:left="25" w:right="19"/>
              <w:jc w:val="center"/>
              <w:rPr>
                <w:sz w:val="18"/>
              </w:rPr>
            </w:pPr>
            <w:r>
              <w:rPr>
                <w:sz w:val="18"/>
              </w:rPr>
              <w:t>8</w:t>
            </w:r>
            <w:r>
              <w:rPr>
                <w:spacing w:val="2"/>
                <w:sz w:val="18"/>
              </w:rPr>
              <w:t> </w:t>
            </w:r>
            <w:r>
              <w:rPr>
                <w:sz w:val="18"/>
              </w:rPr>
              <w:t>(b)</w:t>
            </w:r>
          </w:p>
        </w:tc>
      </w:tr>
      <w:tr>
        <w:trPr>
          <w:trHeight w:val="532" w:hRule="atLeast"/>
        </w:trPr>
        <w:tc>
          <w:tcPr>
            <w:tcW w:w="1877" w:type="dxa"/>
          </w:tcPr>
          <w:p>
            <w:pPr>
              <w:pStyle w:val="TableParagraph"/>
              <w:spacing w:before="55"/>
              <w:ind w:left="69" w:right="403"/>
              <w:rPr>
                <w:sz w:val="18"/>
              </w:rPr>
            </w:pPr>
            <w:r>
              <w:rPr>
                <w:sz w:val="18"/>
              </w:rPr>
              <w:t>Article 3.4 specific information</w:t>
            </w:r>
          </w:p>
        </w:tc>
        <w:tc>
          <w:tcPr>
            <w:tcW w:w="5945" w:type="dxa"/>
          </w:tcPr>
          <w:p>
            <w:pPr>
              <w:pStyle w:val="TableParagraph"/>
              <w:spacing w:before="55"/>
              <w:ind w:left="66" w:right="379"/>
              <w:rPr>
                <w:i/>
                <w:sz w:val="18"/>
              </w:rPr>
            </w:pPr>
            <w:r>
              <w:rPr>
                <w:i/>
                <w:sz w:val="18"/>
              </w:rPr>
              <w:t>A demonstration that activities under Article 3, paragraph 4, have occurred since 1 January 1990 and are human induced</w:t>
            </w:r>
          </w:p>
        </w:tc>
        <w:tc>
          <w:tcPr>
            <w:tcW w:w="1229" w:type="dxa"/>
          </w:tcPr>
          <w:p>
            <w:pPr>
              <w:pStyle w:val="TableParagraph"/>
              <w:spacing w:before="55"/>
              <w:ind w:left="27" w:right="19"/>
              <w:jc w:val="center"/>
              <w:rPr>
                <w:sz w:val="18"/>
              </w:rPr>
            </w:pPr>
            <w:r>
              <w:rPr>
                <w:sz w:val="18"/>
              </w:rPr>
              <w:t>9 (a)</w:t>
            </w:r>
          </w:p>
        </w:tc>
      </w:tr>
      <w:tr>
        <w:trPr>
          <w:trHeight w:val="534" w:hRule="atLeast"/>
        </w:trPr>
        <w:tc>
          <w:tcPr>
            <w:tcW w:w="9051" w:type="dxa"/>
            <w:gridSpan w:val="3"/>
          </w:tcPr>
          <w:p>
            <w:pPr>
              <w:pStyle w:val="TableParagraph"/>
              <w:spacing w:before="59"/>
              <w:ind w:left="69" w:right="2372"/>
              <w:rPr>
                <w:b/>
                <w:sz w:val="18"/>
              </w:rPr>
            </w:pPr>
            <w:r>
              <w:rPr>
                <w:b/>
                <w:sz w:val="18"/>
              </w:rPr>
              <w:t>Information related to the estimates of emissions by sources and removals by sinks (for reporting data, see Tables 4.2.5-4.2.6)</w:t>
            </w:r>
          </w:p>
        </w:tc>
      </w:tr>
      <w:tr>
        <w:trPr>
          <w:trHeight w:val="1360" w:hRule="atLeast"/>
        </w:trPr>
        <w:tc>
          <w:tcPr>
            <w:tcW w:w="1877" w:type="dxa"/>
          </w:tcPr>
          <w:p>
            <w:pPr>
              <w:pStyle w:val="TableParagraph"/>
              <w:spacing w:before="55"/>
              <w:ind w:left="69" w:right="173"/>
              <w:rPr>
                <w:sz w:val="18"/>
              </w:rPr>
            </w:pPr>
            <w:r>
              <w:rPr>
                <w:sz w:val="18"/>
              </w:rPr>
              <w:t>Estimates for greenhouse gas emissions by sources and removals by sinks</w:t>
            </w:r>
          </w:p>
        </w:tc>
        <w:tc>
          <w:tcPr>
            <w:tcW w:w="5945" w:type="dxa"/>
          </w:tcPr>
          <w:p>
            <w:pPr>
              <w:pStyle w:val="TableParagraph"/>
              <w:spacing w:before="55"/>
              <w:ind w:left="66" w:right="305"/>
              <w:rPr>
                <w:sz w:val="18"/>
              </w:rPr>
            </w:pPr>
            <w:r>
              <w:rPr>
                <w:sz w:val="18"/>
              </w:rPr>
              <w:t>Estimates of greenhouse gas emissions by sources and removals by sinks for human-induced activities under Article 3, paragraphs 3, and, if any, elected activities under Article 3, paragraph 4, and for all geographical locations reported in the current and previous years, since the beginning of the commitment period or the onset of the activity, whichever comes later. In the latter case the year of the onset of the activity must also be included.</w:t>
            </w:r>
          </w:p>
        </w:tc>
        <w:tc>
          <w:tcPr>
            <w:tcW w:w="1229" w:type="dxa"/>
          </w:tcPr>
          <w:p>
            <w:pPr>
              <w:pStyle w:val="TableParagraph"/>
              <w:spacing w:before="55"/>
              <w:ind w:left="25" w:right="19"/>
              <w:jc w:val="center"/>
              <w:rPr>
                <w:sz w:val="18"/>
              </w:rPr>
            </w:pPr>
            <w:r>
              <w:rPr>
                <w:sz w:val="18"/>
              </w:rPr>
              <w:t>see 6 (d)</w:t>
            </w:r>
          </w:p>
        </w:tc>
      </w:tr>
      <w:tr>
        <w:trPr>
          <w:trHeight w:val="741" w:hRule="atLeast"/>
        </w:trPr>
        <w:tc>
          <w:tcPr>
            <w:tcW w:w="1877" w:type="dxa"/>
          </w:tcPr>
          <w:p>
            <w:pPr>
              <w:pStyle w:val="TableParagraph"/>
              <w:rPr>
                <w:sz w:val="16"/>
              </w:rPr>
            </w:pPr>
          </w:p>
        </w:tc>
        <w:tc>
          <w:tcPr>
            <w:tcW w:w="5945" w:type="dxa"/>
          </w:tcPr>
          <w:p>
            <w:pPr>
              <w:pStyle w:val="TableParagraph"/>
              <w:spacing w:before="55"/>
              <w:ind w:left="66" w:right="159"/>
              <w:rPr>
                <w:i/>
                <w:sz w:val="18"/>
              </w:rPr>
            </w:pPr>
            <w:r>
              <w:rPr>
                <w:i/>
                <w:sz w:val="18"/>
              </w:rPr>
              <w:t>[…] Estimates for Article 3, paragraphs 3 and 4, shall be clearly distinguished from anthropogenic emissions from the sources listed in Annex A to the Kyoto Protocol.[…]</w:t>
            </w:r>
          </w:p>
        </w:tc>
        <w:tc>
          <w:tcPr>
            <w:tcW w:w="1229" w:type="dxa"/>
          </w:tcPr>
          <w:p>
            <w:pPr>
              <w:pStyle w:val="TableParagraph"/>
              <w:spacing w:before="55"/>
              <w:ind w:left="7"/>
              <w:jc w:val="center"/>
              <w:rPr>
                <w:sz w:val="18"/>
              </w:rPr>
            </w:pPr>
            <w:r>
              <w:rPr>
                <w:sz w:val="18"/>
              </w:rPr>
              <w:t>5</w:t>
            </w:r>
          </w:p>
        </w:tc>
      </w:tr>
      <w:tr>
        <w:trPr>
          <w:trHeight w:val="1153" w:hRule="atLeast"/>
        </w:trPr>
        <w:tc>
          <w:tcPr>
            <w:tcW w:w="1877" w:type="dxa"/>
          </w:tcPr>
          <w:p>
            <w:pPr>
              <w:pStyle w:val="TableParagraph"/>
              <w:spacing w:before="55"/>
              <w:ind w:left="69" w:right="513"/>
              <w:rPr>
                <w:sz w:val="18"/>
              </w:rPr>
            </w:pPr>
            <w:r>
              <w:rPr>
                <w:sz w:val="18"/>
              </w:rPr>
              <w:t>Afforestation and Reforestation</w:t>
            </w:r>
          </w:p>
        </w:tc>
        <w:tc>
          <w:tcPr>
            <w:tcW w:w="5945" w:type="dxa"/>
          </w:tcPr>
          <w:p>
            <w:pPr>
              <w:pStyle w:val="TableParagraph"/>
              <w:spacing w:before="55"/>
              <w:ind w:left="66" w:right="134"/>
              <w:rPr>
                <w:i/>
                <w:sz w:val="18"/>
              </w:rPr>
            </w:pPr>
            <w:r>
              <w:rPr>
                <w:i/>
                <w:sz w:val="18"/>
              </w:rPr>
              <w:t>Information on emissions and removals of greenhouse gases from lands harvested during the first commitment period following afforestation and reforestation on these units of land since 1990 consistent with the requirements under paragraph 4 of the annex to draft decision –/CMP.1 (Land use, land-use change and forestry).</w:t>
            </w:r>
          </w:p>
        </w:tc>
        <w:tc>
          <w:tcPr>
            <w:tcW w:w="1229" w:type="dxa"/>
          </w:tcPr>
          <w:p>
            <w:pPr>
              <w:pStyle w:val="TableParagraph"/>
              <w:spacing w:before="55"/>
              <w:ind w:left="27" w:right="19"/>
              <w:jc w:val="center"/>
              <w:rPr>
                <w:sz w:val="18"/>
              </w:rPr>
            </w:pPr>
            <w:r>
              <w:rPr>
                <w:sz w:val="18"/>
              </w:rPr>
              <w:t>8 (c)</w:t>
            </w:r>
          </w:p>
        </w:tc>
      </w:tr>
      <w:tr>
        <w:trPr>
          <w:trHeight w:val="1773" w:hRule="atLeast"/>
        </w:trPr>
        <w:tc>
          <w:tcPr>
            <w:tcW w:w="1877" w:type="dxa"/>
          </w:tcPr>
          <w:p>
            <w:pPr>
              <w:pStyle w:val="TableParagraph"/>
              <w:spacing w:before="55"/>
              <w:ind w:left="69" w:right="98"/>
              <w:rPr>
                <w:sz w:val="18"/>
              </w:rPr>
            </w:pPr>
            <w:r>
              <w:rPr>
                <w:sz w:val="18"/>
              </w:rPr>
              <w:t>Cropland management, grazing land management and revegetation</w:t>
            </w:r>
          </w:p>
        </w:tc>
        <w:tc>
          <w:tcPr>
            <w:tcW w:w="5945" w:type="dxa"/>
          </w:tcPr>
          <w:p>
            <w:pPr>
              <w:pStyle w:val="TableParagraph"/>
              <w:spacing w:before="55"/>
              <w:ind w:left="66" w:right="150"/>
              <w:rPr>
                <w:sz w:val="18"/>
              </w:rPr>
            </w:pPr>
            <w:r>
              <w:rPr>
                <w:sz w:val="18"/>
              </w:rPr>
              <w:t>Anthropogenic greenhouse gas emissions by sources and removals by sinks for </w:t>
            </w:r>
            <w:r>
              <w:rPr>
                <w:b/>
                <w:sz w:val="18"/>
              </w:rPr>
              <w:t>each year of the commitment period </w:t>
            </w:r>
            <w:r>
              <w:rPr>
                <w:sz w:val="18"/>
              </w:rPr>
              <w:t>and for the </w:t>
            </w:r>
            <w:r>
              <w:rPr>
                <w:b/>
                <w:sz w:val="18"/>
              </w:rPr>
              <w:t>base year </w:t>
            </w:r>
            <w:r>
              <w:rPr>
                <w:sz w:val="18"/>
              </w:rPr>
              <w:t>for each of the elected activities on the geographical locations identified, excluding emissions reported under the Agriculture sector of the </w:t>
            </w:r>
            <w:r>
              <w:rPr>
                <w:i/>
                <w:sz w:val="18"/>
              </w:rPr>
              <w:t>IPCC Guidelines</w:t>
            </w:r>
            <w:r>
              <w:rPr>
                <w:sz w:val="18"/>
              </w:rPr>
              <w:t>.</w:t>
            </w:r>
          </w:p>
        </w:tc>
        <w:tc>
          <w:tcPr>
            <w:tcW w:w="1229" w:type="dxa"/>
          </w:tcPr>
          <w:p>
            <w:pPr>
              <w:pStyle w:val="TableParagraph"/>
              <w:spacing w:line="207" w:lineRule="exact" w:before="55"/>
              <w:ind w:left="265"/>
              <w:rPr>
                <w:sz w:val="18"/>
              </w:rPr>
            </w:pPr>
            <w:r>
              <w:rPr>
                <w:sz w:val="18"/>
              </w:rPr>
              <w:t>9 (b), and</w:t>
            </w:r>
          </w:p>
          <w:p>
            <w:pPr>
              <w:pStyle w:val="TableParagraph"/>
              <w:ind w:left="31" w:right="19"/>
              <w:jc w:val="center"/>
              <w:rPr>
                <w:sz w:val="18"/>
              </w:rPr>
            </w:pPr>
            <w:r>
              <w:rPr>
                <w:sz w:val="18"/>
              </w:rPr>
              <w:t>paragraph 9 of the annex to draft decision</w:t>
            </w:r>
          </w:p>
          <w:p>
            <w:pPr>
              <w:pStyle w:val="TableParagraph"/>
              <w:ind w:left="42" w:right="33" w:hanging="3"/>
              <w:jc w:val="center"/>
              <w:rPr>
                <w:sz w:val="18"/>
              </w:rPr>
            </w:pPr>
            <w:r>
              <w:rPr>
                <w:sz w:val="18"/>
              </w:rPr>
              <w:t>-/CMP.1 (LULUCF), </w:t>
            </w:r>
            <w:r>
              <w:rPr>
                <w:spacing w:val="-1"/>
                <w:sz w:val="18"/>
              </w:rPr>
              <w:t>FCCC/CP/2001</w:t>
            </w:r>
          </w:p>
          <w:p>
            <w:pPr>
              <w:pStyle w:val="TableParagraph"/>
              <w:ind w:left="28" w:right="19"/>
              <w:jc w:val="center"/>
              <w:rPr>
                <w:sz w:val="18"/>
              </w:rPr>
            </w:pPr>
            <w:r>
              <w:rPr>
                <w:sz w:val="18"/>
              </w:rPr>
              <w:t>/13/Add.1,</w:t>
            </w:r>
            <w:r>
              <w:rPr>
                <w:spacing w:val="2"/>
                <w:sz w:val="18"/>
              </w:rPr>
              <w:t> </w:t>
            </w:r>
            <w:r>
              <w:rPr>
                <w:sz w:val="18"/>
              </w:rPr>
              <w:t>p.59</w:t>
            </w:r>
          </w:p>
        </w:tc>
      </w:tr>
      <w:tr>
        <w:trPr>
          <w:trHeight w:val="741" w:hRule="atLeast"/>
        </w:trPr>
        <w:tc>
          <w:tcPr>
            <w:tcW w:w="1877" w:type="dxa"/>
          </w:tcPr>
          <w:p>
            <w:pPr>
              <w:pStyle w:val="TableParagraph"/>
              <w:spacing w:before="55"/>
              <w:ind w:left="69" w:right="349"/>
              <w:jc w:val="both"/>
              <w:rPr>
                <w:sz w:val="18"/>
              </w:rPr>
            </w:pPr>
            <w:r>
              <w:rPr>
                <w:sz w:val="18"/>
              </w:rPr>
              <w:t>Absence of overlap between 3.3 and 3.4 activities</w:t>
            </w:r>
          </w:p>
        </w:tc>
        <w:tc>
          <w:tcPr>
            <w:tcW w:w="5945" w:type="dxa"/>
          </w:tcPr>
          <w:p>
            <w:pPr>
              <w:pStyle w:val="TableParagraph"/>
              <w:ind w:left="66" w:right="139"/>
              <w:rPr>
                <w:sz w:val="20"/>
              </w:rPr>
            </w:pPr>
            <w:r>
              <w:rPr>
                <w:i/>
                <w:sz w:val="18"/>
              </w:rPr>
              <w:t>Information that demonstrates that emissions by sources and removals by sinks resulting from elected Article 3, paragraph 4, activities are not accounted for under activities under Article 3, paragraph 3</w:t>
            </w:r>
            <w:r>
              <w:rPr>
                <w:sz w:val="20"/>
              </w:rPr>
              <w:t>.</w:t>
            </w:r>
          </w:p>
        </w:tc>
        <w:tc>
          <w:tcPr>
            <w:tcW w:w="1229" w:type="dxa"/>
          </w:tcPr>
          <w:p>
            <w:pPr>
              <w:pStyle w:val="TableParagraph"/>
              <w:spacing w:before="55"/>
              <w:ind w:left="27" w:right="19"/>
              <w:jc w:val="center"/>
              <w:rPr>
                <w:sz w:val="18"/>
              </w:rPr>
            </w:pPr>
            <w:r>
              <w:rPr>
                <w:sz w:val="18"/>
              </w:rPr>
              <w:t>9 (c)</w:t>
            </w:r>
          </w:p>
        </w:tc>
      </w:tr>
      <w:tr>
        <w:trPr>
          <w:trHeight w:val="911" w:hRule="atLeast"/>
        </w:trPr>
        <w:tc>
          <w:tcPr>
            <w:tcW w:w="1877" w:type="dxa"/>
          </w:tcPr>
          <w:p>
            <w:pPr>
              <w:pStyle w:val="TableParagraph"/>
              <w:spacing w:before="55"/>
              <w:ind w:left="69" w:right="48"/>
              <w:rPr>
                <w:sz w:val="18"/>
              </w:rPr>
            </w:pPr>
            <w:r>
              <w:rPr>
                <w:sz w:val="18"/>
              </w:rPr>
              <w:t>Uncertainty of emission and removal estimates</w:t>
            </w:r>
          </w:p>
        </w:tc>
        <w:tc>
          <w:tcPr>
            <w:tcW w:w="5945" w:type="dxa"/>
          </w:tcPr>
          <w:p>
            <w:pPr>
              <w:pStyle w:val="TableParagraph"/>
              <w:spacing w:line="237" w:lineRule="auto"/>
              <w:ind w:left="66" w:right="85"/>
              <w:rPr>
                <w:i/>
                <w:sz w:val="20"/>
              </w:rPr>
            </w:pPr>
            <w:r>
              <w:rPr>
                <w:sz w:val="18"/>
              </w:rPr>
              <w:t>Estimates of emissions and removals </w:t>
            </w:r>
            <w:r>
              <w:rPr>
                <w:i/>
                <w:sz w:val="18"/>
              </w:rPr>
              <w:t>shall be within levels of confidence as elaborated by any IPCC good practice guidance adopted by the COP/MOP and in accordance with relevant decisions of the COP/MOP on land use, land-use change and forestry</w:t>
            </w:r>
            <w:r>
              <w:rPr>
                <w:i/>
                <w:sz w:val="20"/>
              </w:rPr>
              <w:t>.</w:t>
            </w:r>
          </w:p>
        </w:tc>
        <w:tc>
          <w:tcPr>
            <w:tcW w:w="1229" w:type="dxa"/>
          </w:tcPr>
          <w:p>
            <w:pPr>
              <w:pStyle w:val="TableParagraph"/>
              <w:spacing w:before="55"/>
              <w:ind w:left="26" w:right="19"/>
              <w:jc w:val="center"/>
              <w:rPr>
                <w:sz w:val="18"/>
              </w:rPr>
            </w:pPr>
            <w:r>
              <w:rPr>
                <w:sz w:val="18"/>
              </w:rPr>
              <w:t>6(d), footnote 5</w:t>
            </w:r>
          </w:p>
        </w:tc>
      </w:tr>
    </w:tbl>
    <w:p>
      <w:pPr>
        <w:pStyle w:val="BodyText"/>
      </w:pPr>
    </w:p>
    <w:p>
      <w:pPr>
        <w:pStyle w:val="BodyText"/>
      </w:pPr>
    </w:p>
    <w:p>
      <w:pPr>
        <w:pStyle w:val="BodyText"/>
        <w:spacing w:before="10"/>
        <w:rPr>
          <w:sz w:val="25"/>
        </w:rPr>
      </w:pPr>
      <w:r>
        <w:rPr/>
        <w:pict>
          <v:line style="position:absolute;mso-position-horizontal-relative:page;mso-position-vertical-relative:paragraph;z-index:19016;mso-wrap-distance-left:0;mso-wrap-distance-right:0" from="70.960999pt,17.081953pt" to="214.960999pt,17.081953pt" stroked="true" strokeweight=".48pt" strokecolor="#000000">
            <v:stroke dashstyle="solid"/>
            <w10:wrap type="topAndBottom"/>
          </v:line>
        </w:pict>
      </w:r>
    </w:p>
    <w:p>
      <w:pPr>
        <w:spacing w:before="150"/>
        <w:ind w:left="317" w:right="166" w:hanging="159"/>
        <w:jc w:val="left"/>
        <w:rPr>
          <w:sz w:val="18"/>
        </w:rPr>
      </w:pPr>
      <w:r>
        <w:rPr>
          <w:position w:val="8"/>
          <w:sz w:val="12"/>
        </w:rPr>
        <w:t>40 </w:t>
      </w:r>
      <w:r>
        <w:rPr>
          <w:sz w:val="18"/>
        </w:rPr>
        <w:t>Entries in this column refer to relevant paragraphs in the Annex to draft decision -/CMP.1 (Article 7), contained in document FCCC/CP/2001/13/Add.3, pp.21-29. In the table not necessarily </w:t>
      </w:r>
      <w:r>
        <w:rPr>
          <w:i/>
          <w:sz w:val="18"/>
        </w:rPr>
        <w:t>all </w:t>
      </w:r>
      <w:r>
        <w:rPr>
          <w:sz w:val="18"/>
        </w:rPr>
        <w:t>relevant legal texts are referred to.</w:t>
      </w:r>
    </w:p>
    <w:p>
      <w:pPr>
        <w:spacing w:after="0"/>
        <w:jc w:val="left"/>
        <w:rPr>
          <w:sz w:val="18"/>
        </w:rPr>
        <w:sectPr>
          <w:pgSz w:w="11900" w:h="16840"/>
          <w:pgMar w:header="230" w:footer="408" w:top="560" w:bottom="600" w:left="1260" w:right="1240"/>
        </w:sectPr>
      </w:pPr>
    </w:p>
    <w:p>
      <w:pPr>
        <w:pStyle w:val="BodyText"/>
      </w:pPr>
    </w:p>
    <w:p>
      <w:pPr>
        <w:pStyle w:val="BodyText"/>
        <w:spacing w:before="2"/>
        <w:rPr>
          <w:sz w:val="18"/>
        </w:rPr>
      </w:pPr>
    </w:p>
    <w:p>
      <w:pPr>
        <w:pStyle w:val="BodyText"/>
        <w:ind w:left="159" w:right="165"/>
        <w:jc w:val="both"/>
      </w:pPr>
      <w:r>
        <w:rPr/>
        <w:t>It is </w:t>
      </w:r>
      <w:r>
        <w:rPr>
          <w:i/>
        </w:rPr>
        <w:t>good practice </w:t>
      </w:r>
      <w:r>
        <w:rPr/>
        <w:t>to use coordinates as set out in Section 4.2.4.3.2 below for the reporting of the geographical location of the boundaries that encompass the units of land subject to activities under Article 3.3 and the lands subject to elected activities under Article 3.4. This information can be summarised on a map for visual presentation and data sharing. It is also </w:t>
      </w:r>
      <w:r>
        <w:rPr>
          <w:i/>
        </w:rPr>
        <w:t>good practice </w:t>
      </w:r>
      <w:r>
        <w:rPr/>
        <w:t>to report the land transition matrix below (Table 4.2.5) to demonstrate that the Party has accounted for all areas where afforestation, reforestation and deforestation and, if elected, Article 3.4 activities have occurred. The diagonal cells of the table indicate the area of lands remaining in the same category (e.g., FM land remaining FM land), while other cells indicate the areas of lands converted to other categories (e.g., cropland converted to afforested land). It is </w:t>
      </w:r>
      <w:r>
        <w:rPr>
          <w:i/>
        </w:rPr>
        <w:t>good practice </w:t>
      </w:r>
      <w:r>
        <w:rPr/>
        <w:t>to explain any changes in the total area over consecutive</w:t>
      </w:r>
      <w:r>
        <w:rPr>
          <w:spacing w:val="-1"/>
        </w:rPr>
        <w:t> </w:t>
      </w:r>
      <w:r>
        <w:rPr/>
        <w:t>inventories.</w:t>
      </w:r>
    </w:p>
    <w:p>
      <w:pPr>
        <w:pStyle w:val="BodyText"/>
        <w:spacing w:before="119"/>
        <w:ind w:left="159" w:right="164"/>
        <w:jc w:val="both"/>
      </w:pPr>
      <w:r>
        <w:rPr/>
        <w:t>It is </w:t>
      </w:r>
      <w:r>
        <w:rPr>
          <w:i/>
        </w:rPr>
        <w:t>good practice </w:t>
      </w:r>
      <w:r>
        <w:rPr/>
        <w:t>to use Tables 4.2.6a-c and Table 4.2.7 to submit annual estimates. For Article 3.3 and 3.4 activities (Tables 4.2.6a and 4.2.6b), data must be provided by geographical locations, whereas for projects (Table 4.2.6c) data must be filled in by project. The Marrakesh Accords also require that, in addition to the data for the actual inventory year, a Party also reports this information for the base year for cropland management, grazing land management, and revegetation. No reporting is necessary for those Article 3.4 activities that were not elected by the Party.</w:t>
      </w:r>
    </w:p>
    <w:p>
      <w:pPr>
        <w:pStyle w:val="BodyText"/>
        <w:spacing w:before="120"/>
        <w:ind w:left="159" w:right="165"/>
        <w:jc w:val="both"/>
      </w:pPr>
      <w:r>
        <w:rPr/>
        <w:t>When filling in these tables, care should be taken to insert carbon stock changes for each pool with proper signs. Carbon stock changes are to be reported in units of carbon as positive when the carbon stock has increased, and as negative when the carbon stock has decreased. All changes are totalled for each geographic location, and the total values are then multiplied by 44/12 to convert carbon stock changes to CO</w:t>
      </w:r>
      <w:r>
        <w:rPr>
          <w:vertAlign w:val="subscript"/>
        </w:rPr>
        <w:t>2</w:t>
      </w:r>
      <w:r>
        <w:rPr>
          <w:vertAlign w:val="baseline"/>
        </w:rPr>
        <w:t> emissions or removals. This conversion also involves sign change from the equations used to make the estimates. Non-CO</w:t>
      </w:r>
      <w:r>
        <w:rPr>
          <w:vertAlign w:val="subscript"/>
        </w:rPr>
        <w:t>2</w:t>
      </w:r>
      <w:r>
        <w:rPr>
          <w:vertAlign w:val="baseline"/>
        </w:rPr>
        <w:t> greenhouse gas emissions are to be reported as positive, as these represent increases in abundances in the atmosphere.</w:t>
      </w:r>
    </w:p>
    <w:p>
      <w:pPr>
        <w:pStyle w:val="BodyText"/>
        <w:spacing w:before="118"/>
        <w:ind w:left="159" w:right="162"/>
        <w:jc w:val="both"/>
      </w:pPr>
      <w:r>
        <w:rPr/>
        <w:t>Table 4.2.7 is a summary table of carbon stock changes resulting from activities under Articles 3.3 and 3.4 for the inventory year. It is </w:t>
      </w:r>
      <w:r>
        <w:rPr>
          <w:i/>
        </w:rPr>
        <w:t>good practice </w:t>
      </w:r>
      <w:r>
        <w:rPr/>
        <w:t>to use the table also for the base year if cropland management, grazing land management, and/or revegetation have been elected. This table summarises data of the compilation tables by activity across all carbon pools and across all strata within a</w:t>
      </w:r>
      <w:r>
        <w:rPr>
          <w:spacing w:val="-14"/>
        </w:rPr>
        <w:t> </w:t>
      </w:r>
      <w:r>
        <w:rPr/>
        <w:t>country.</w:t>
      </w:r>
    </w:p>
    <w:p>
      <w:pPr>
        <w:pStyle w:val="BodyText"/>
        <w:spacing w:before="119"/>
        <w:ind w:left="159" w:right="164"/>
        <w:jc w:val="both"/>
      </w:pPr>
      <w:r>
        <w:rPr/>
        <w:t>In addition to the data in the Tables 4.2.6a-c and 4.2.7, respectively, it is </w:t>
      </w:r>
      <w:r>
        <w:rPr>
          <w:i/>
        </w:rPr>
        <w:t>good practice </w:t>
      </w:r>
      <w:r>
        <w:rPr/>
        <w:t>to report the underlying assumptions and factors used for the calculation of the carbon stock changes and emissions of CH</w:t>
      </w:r>
      <w:r>
        <w:rPr>
          <w:vertAlign w:val="subscript"/>
        </w:rPr>
        <w:t>4</w:t>
      </w:r>
      <w:r>
        <w:rPr>
          <w:vertAlign w:val="baseline"/>
        </w:rPr>
        <w:t> and N</w:t>
      </w:r>
      <w:r>
        <w:rPr>
          <w:vertAlign w:val="subscript"/>
        </w:rPr>
        <w:t>2</w:t>
      </w:r>
      <w:r>
        <w:rPr>
          <w:vertAlign w:val="baseline"/>
        </w:rPr>
        <w:t>O, as well as for the calculation of the uncertainties. Such information can be obtained using the worksheets in Chapter 3 or from equivalent information supporting the estimates obtained using higher tiers or other methods.</w:t>
      </w:r>
    </w:p>
    <w:p>
      <w:pPr>
        <w:pStyle w:val="BodyText"/>
        <w:spacing w:before="119"/>
        <w:ind w:left="159" w:right="161"/>
        <w:jc w:val="both"/>
      </w:pPr>
      <w:r>
        <w:rPr/>
        <w:t>The Marrakesh Accords contain a clause that carbon stock changes resulting from harvesting of afforestation/reforestation land during the first commitment period will not result in a debit greater than the credit previously accounted for that unit of land (see Table 4.2.4).</w:t>
      </w:r>
      <w:r>
        <w:rPr>
          <w:vertAlign w:val="superscript"/>
        </w:rPr>
        <w:t>41</w:t>
      </w:r>
      <w:r>
        <w:rPr>
          <w:vertAlign w:val="baseline"/>
        </w:rPr>
        <w:t> If such units of land exist for the inventory year, it is </w:t>
      </w:r>
      <w:r>
        <w:rPr>
          <w:i/>
          <w:vertAlign w:val="baseline"/>
        </w:rPr>
        <w:t>good practice </w:t>
      </w:r>
      <w:r>
        <w:rPr>
          <w:vertAlign w:val="baseline"/>
        </w:rPr>
        <w:t>to distinguish them from other afforestation/reforestation lands and to report them (and the associated carbon stock changes and non-CO</w:t>
      </w:r>
      <w:r>
        <w:rPr>
          <w:vertAlign w:val="subscript"/>
        </w:rPr>
        <w:t>2</w:t>
      </w:r>
      <w:r>
        <w:rPr>
          <w:vertAlign w:val="baseline"/>
        </w:rPr>
        <w:t> greenhouse gas emissions) separately in Tables 4.2.6 to 4.2.7. Although this is an issue related to accounting, it is mentioned here because inventory data are likely to be needed to implement the</w:t>
      </w:r>
      <w:r>
        <w:rPr>
          <w:spacing w:val="1"/>
          <w:vertAlign w:val="baseline"/>
        </w:rPr>
        <w:t> </w:t>
      </w:r>
      <w:r>
        <w:rPr>
          <w:vertAlign w:val="baseline"/>
        </w:rPr>
        <w:t>provision.</w:t>
      </w:r>
    </w:p>
    <w:p>
      <w:pPr>
        <w:pStyle w:val="BodyText"/>
        <w:spacing w:before="119"/>
        <w:ind w:left="159" w:right="163"/>
        <w:jc w:val="both"/>
      </w:pPr>
      <w:r>
        <w:rPr/>
        <w:t>Finally, separate annual uncertainty estimates should be reported for each activity under Articles 3.3 and 3.4, for each carbon pool, each greenhouse gas and geographical location. Estimates should be reported using tables generated following the model of Tables 4.2.6a, b and c. Separate tables should be reported for the base year when CM, GM and/or RV are elected. Uncertainty estimates are to be made at the 95% confidence limits expressed as percent of the emissions by sources or removals by sinks (or changes in stocks) reported in Tables 4.2.6a, b and c.</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2"/>
        </w:rPr>
      </w:pPr>
      <w:r>
        <w:rPr/>
        <w:pict>
          <v:line style="position:absolute;mso-position-horizontal-relative:page;mso-position-vertical-relative:paragraph;z-index:19040;mso-wrap-distance-left:0;mso-wrap-distance-right:0" from="70.960999pt,14.890567pt" to="214.960999pt,14.890567pt" stroked="true" strokeweight=".48pt" strokecolor="#000000">
            <v:stroke dashstyle="solid"/>
            <w10:wrap type="topAndBottom"/>
          </v:line>
        </w:pict>
      </w:r>
    </w:p>
    <w:p>
      <w:pPr>
        <w:spacing w:before="150"/>
        <w:ind w:left="317" w:right="0" w:hanging="159"/>
        <w:jc w:val="left"/>
        <w:rPr>
          <w:sz w:val="18"/>
        </w:rPr>
      </w:pPr>
      <w:r>
        <w:rPr>
          <w:position w:val="8"/>
          <w:sz w:val="12"/>
        </w:rPr>
        <w:t>41 </w:t>
      </w:r>
      <w:r>
        <w:rPr>
          <w:sz w:val="18"/>
        </w:rPr>
        <w:t>Paragraph 4 in the Annex to draft decision -/CMP.1 (Land use, land-use change and forestry), contained in document FCCC/CP/2001/13/Add.1, p.59.</w:t>
      </w:r>
    </w:p>
    <w:p>
      <w:pPr>
        <w:spacing w:after="0"/>
        <w:jc w:val="left"/>
        <w:rPr>
          <w:sz w:val="18"/>
        </w:rPr>
        <w:sectPr>
          <w:pgSz w:w="11900" w:h="16840"/>
          <w:pgMar w:header="230" w:footer="408" w:top="560" w:bottom="600" w:left="1260" w:right="1240"/>
        </w:sectPr>
      </w:pPr>
    </w:p>
    <w:p>
      <w:pPr>
        <w:pStyle w:val="BodyText"/>
      </w:pPr>
    </w:p>
    <w:p>
      <w:pPr>
        <w:pStyle w:val="BodyText"/>
      </w:pPr>
    </w:p>
    <w:p>
      <w:pPr>
        <w:pStyle w:val="BodyText"/>
      </w:pPr>
    </w:p>
    <w:p>
      <w:pPr>
        <w:pStyle w:val="BodyText"/>
        <w:spacing w:before="5"/>
        <w:rPr>
          <w:sz w:val="13"/>
        </w:rPr>
      </w:pPr>
    </w:p>
    <w:tbl>
      <w:tblPr>
        <w:tblW w:w="0" w:type="auto"/>
        <w:jc w:val="left"/>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5"/>
        <w:gridCol w:w="1483"/>
        <w:gridCol w:w="1361"/>
        <w:gridCol w:w="1363"/>
        <w:gridCol w:w="1363"/>
        <w:gridCol w:w="1363"/>
        <w:gridCol w:w="1363"/>
        <w:gridCol w:w="1363"/>
        <w:gridCol w:w="1363"/>
        <w:gridCol w:w="1363"/>
        <w:gridCol w:w="1363"/>
      </w:tblGrid>
      <w:tr>
        <w:trPr>
          <w:trHeight w:val="851" w:hRule="atLeast"/>
        </w:trPr>
        <w:tc>
          <w:tcPr>
            <w:tcW w:w="14343" w:type="dxa"/>
            <w:gridSpan w:val="11"/>
            <w:tcBorders>
              <w:bottom w:val="double" w:sz="1" w:space="0" w:color="000000"/>
            </w:tcBorders>
          </w:tcPr>
          <w:p>
            <w:pPr>
              <w:pStyle w:val="TableParagraph"/>
              <w:spacing w:line="207" w:lineRule="exact" w:before="76"/>
              <w:ind w:left="2178" w:right="2171"/>
              <w:jc w:val="center"/>
              <w:rPr>
                <w:b/>
                <w:sz w:val="18"/>
              </w:rPr>
            </w:pPr>
            <w:r>
              <w:rPr>
                <w:b/>
                <w:sz w:val="18"/>
              </w:rPr>
              <w:t>T</w:t>
            </w:r>
            <w:r>
              <w:rPr>
                <w:b/>
                <w:sz w:val="14"/>
              </w:rPr>
              <w:t>ABLE </w:t>
            </w:r>
            <w:r>
              <w:rPr>
                <w:b/>
                <w:sz w:val="18"/>
              </w:rPr>
              <w:t>4.2.5</w:t>
            </w:r>
          </w:p>
          <w:p>
            <w:pPr>
              <w:pStyle w:val="TableParagraph"/>
              <w:spacing w:line="207" w:lineRule="exact"/>
              <w:ind w:left="2182" w:right="2171"/>
              <w:jc w:val="center"/>
              <w:rPr>
                <w:b/>
                <w:sz w:val="14"/>
              </w:rPr>
            </w:pPr>
            <w:r>
              <w:rPr>
                <w:b/>
                <w:sz w:val="18"/>
              </w:rPr>
              <w:t>L</w:t>
            </w:r>
            <w:r>
              <w:rPr>
                <w:b/>
                <w:sz w:val="14"/>
              </w:rPr>
              <w:t>AND TRANSITION MATRIX</w:t>
            </w:r>
            <w:r>
              <w:rPr>
                <w:b/>
                <w:sz w:val="18"/>
              </w:rPr>
              <w:t>: </w:t>
            </w:r>
            <w:r>
              <w:rPr>
                <w:b/>
                <w:sz w:val="14"/>
              </w:rPr>
              <w:t>LAND AREA </w:t>
            </w:r>
            <w:r>
              <w:rPr>
                <w:b/>
                <w:sz w:val="18"/>
              </w:rPr>
              <w:t>(</w:t>
            </w:r>
            <w:r>
              <w:rPr>
                <w:b/>
                <w:sz w:val="14"/>
              </w:rPr>
              <w:t>IN HA</w:t>
            </w:r>
            <w:r>
              <w:rPr>
                <w:b/>
                <w:sz w:val="18"/>
              </w:rPr>
              <w:t>) </w:t>
            </w:r>
            <w:r>
              <w:rPr>
                <w:b/>
                <w:sz w:val="14"/>
              </w:rPr>
              <w:t>SUBJECT TO THE VARIOUS ACTIVITIES IN THE INVENTORY YEAR AND THE PREVIOUS YEAR</w:t>
            </w:r>
          </w:p>
          <w:p>
            <w:pPr>
              <w:pStyle w:val="TableParagraph"/>
              <w:spacing w:before="110"/>
              <w:ind w:left="107"/>
              <w:rPr>
                <w:sz w:val="18"/>
              </w:rPr>
            </w:pPr>
            <w:r>
              <w:rPr>
                <w:sz w:val="18"/>
              </w:rPr>
              <w:t>Note that some of the transitions in the matrix may not be possible (e.g., once land has become subject to A, R, or D, it cannot become subject to FM, CM, GM, or RV in the next year)</w:t>
            </w:r>
          </w:p>
        </w:tc>
      </w:tr>
      <w:tr>
        <w:trPr>
          <w:trHeight w:val="236" w:hRule="atLeast"/>
        </w:trPr>
        <w:tc>
          <w:tcPr>
            <w:tcW w:w="14343" w:type="dxa"/>
            <w:gridSpan w:val="11"/>
            <w:tcBorders>
              <w:top w:val="double" w:sz="1" w:space="0" w:color="000000"/>
              <w:bottom w:val="single" w:sz="48" w:space="0" w:color="FFFFFF"/>
            </w:tcBorders>
          </w:tcPr>
          <w:p>
            <w:pPr>
              <w:pStyle w:val="TableParagraph"/>
              <w:spacing w:line="155" w:lineRule="exact" w:before="61"/>
              <w:ind w:left="107"/>
              <w:rPr>
                <w:b/>
                <w:sz w:val="18"/>
              </w:rPr>
            </w:pPr>
            <w:r>
              <w:rPr>
                <w:b/>
                <w:sz w:val="18"/>
              </w:rPr>
              <w:t>I</w:t>
            </w:r>
            <w:r>
              <w:rPr>
                <w:b/>
                <w:sz w:val="14"/>
              </w:rPr>
              <w:t>NVENTORY YEAR</w:t>
            </w:r>
            <w:r>
              <w:rPr>
                <w:b/>
                <w:sz w:val="18"/>
              </w:rPr>
              <w:t>:</w:t>
            </w:r>
          </w:p>
        </w:tc>
      </w:tr>
      <w:tr>
        <w:trPr>
          <w:trHeight w:val="266" w:hRule="atLeast"/>
        </w:trPr>
        <w:tc>
          <w:tcPr>
            <w:tcW w:w="595" w:type="dxa"/>
            <w:tcBorders>
              <w:top w:val="single" w:sz="48" w:space="0" w:color="FFFFFF"/>
            </w:tcBorders>
          </w:tcPr>
          <w:p>
            <w:pPr>
              <w:pStyle w:val="TableParagraph"/>
              <w:rPr>
                <w:sz w:val="16"/>
              </w:rPr>
            </w:pPr>
          </w:p>
        </w:tc>
        <w:tc>
          <w:tcPr>
            <w:tcW w:w="13748" w:type="dxa"/>
            <w:gridSpan w:val="10"/>
            <w:tcBorders>
              <w:top w:val="single" w:sz="48" w:space="0" w:color="FFFFFF"/>
            </w:tcBorders>
          </w:tcPr>
          <w:p>
            <w:pPr>
              <w:pStyle w:val="TableParagraph"/>
              <w:spacing w:line="190" w:lineRule="exact"/>
              <w:ind w:left="5540" w:right="5531"/>
              <w:jc w:val="center"/>
              <w:rPr>
                <w:b/>
                <w:sz w:val="18"/>
              </w:rPr>
            </w:pPr>
            <w:r>
              <w:rPr>
                <w:b/>
                <w:sz w:val="18"/>
              </w:rPr>
              <w:t>Land in inventory year by activity</w:t>
            </w:r>
          </w:p>
        </w:tc>
      </w:tr>
      <w:tr>
        <w:trPr>
          <w:trHeight w:val="273" w:hRule="atLeast"/>
        </w:trPr>
        <w:tc>
          <w:tcPr>
            <w:tcW w:w="595" w:type="dxa"/>
            <w:vMerge w:val="restart"/>
            <w:textDirection w:val="btLr"/>
          </w:tcPr>
          <w:p>
            <w:pPr>
              <w:pStyle w:val="TableParagraph"/>
              <w:spacing w:line="247" w:lineRule="auto" w:before="83"/>
              <w:ind w:left="1014" w:right="183" w:hanging="804"/>
              <w:rPr>
                <w:b/>
                <w:sz w:val="18"/>
              </w:rPr>
            </w:pPr>
            <w:r>
              <w:rPr>
                <w:b/>
                <w:sz w:val="18"/>
              </w:rPr>
              <w:t>Land in year prior to inventory by activity</w:t>
            </w:r>
          </w:p>
        </w:tc>
        <w:tc>
          <w:tcPr>
            <w:tcW w:w="1483" w:type="dxa"/>
          </w:tcPr>
          <w:p>
            <w:pPr>
              <w:pStyle w:val="TableParagraph"/>
              <w:rPr>
                <w:sz w:val="16"/>
              </w:rPr>
            </w:pPr>
          </w:p>
        </w:tc>
        <w:tc>
          <w:tcPr>
            <w:tcW w:w="1361" w:type="dxa"/>
          </w:tcPr>
          <w:p>
            <w:pPr>
              <w:pStyle w:val="TableParagraph"/>
              <w:spacing w:before="33"/>
              <w:ind w:left="12"/>
              <w:jc w:val="center"/>
              <w:rPr>
                <w:b/>
                <w:sz w:val="18"/>
              </w:rPr>
            </w:pPr>
            <w:r>
              <w:rPr>
                <w:b/>
                <w:sz w:val="18"/>
              </w:rPr>
              <w:t>A</w:t>
            </w:r>
          </w:p>
        </w:tc>
        <w:tc>
          <w:tcPr>
            <w:tcW w:w="1363" w:type="dxa"/>
          </w:tcPr>
          <w:p>
            <w:pPr>
              <w:pStyle w:val="TableParagraph"/>
              <w:spacing w:before="33"/>
              <w:ind w:left="10"/>
              <w:jc w:val="center"/>
              <w:rPr>
                <w:b/>
                <w:sz w:val="18"/>
              </w:rPr>
            </w:pPr>
            <w:r>
              <w:rPr>
                <w:b/>
                <w:sz w:val="18"/>
              </w:rPr>
              <w:t>R</w:t>
            </w:r>
          </w:p>
        </w:tc>
        <w:tc>
          <w:tcPr>
            <w:tcW w:w="1363" w:type="dxa"/>
          </w:tcPr>
          <w:p>
            <w:pPr>
              <w:pStyle w:val="TableParagraph"/>
              <w:spacing w:before="33"/>
              <w:ind w:left="10"/>
              <w:jc w:val="center"/>
              <w:rPr>
                <w:b/>
                <w:sz w:val="18"/>
              </w:rPr>
            </w:pPr>
            <w:r>
              <w:rPr>
                <w:b/>
                <w:sz w:val="18"/>
              </w:rPr>
              <w:t>D</w:t>
            </w:r>
          </w:p>
        </w:tc>
        <w:tc>
          <w:tcPr>
            <w:tcW w:w="1363" w:type="dxa"/>
          </w:tcPr>
          <w:p>
            <w:pPr>
              <w:pStyle w:val="TableParagraph"/>
              <w:spacing w:before="33"/>
              <w:ind w:left="177"/>
              <w:rPr>
                <w:b/>
                <w:sz w:val="18"/>
              </w:rPr>
            </w:pPr>
            <w:r>
              <w:rPr>
                <w:b/>
                <w:sz w:val="18"/>
              </w:rPr>
              <w:t>FM if elected</w:t>
            </w:r>
          </w:p>
        </w:tc>
        <w:tc>
          <w:tcPr>
            <w:tcW w:w="1363" w:type="dxa"/>
          </w:tcPr>
          <w:p>
            <w:pPr>
              <w:pStyle w:val="TableParagraph"/>
              <w:spacing w:before="33"/>
              <w:ind w:left="168"/>
              <w:rPr>
                <w:b/>
                <w:sz w:val="18"/>
              </w:rPr>
            </w:pPr>
            <w:r>
              <w:rPr>
                <w:b/>
                <w:sz w:val="18"/>
              </w:rPr>
              <w:t>CM if elected</w:t>
            </w:r>
          </w:p>
        </w:tc>
        <w:tc>
          <w:tcPr>
            <w:tcW w:w="1363" w:type="dxa"/>
          </w:tcPr>
          <w:p>
            <w:pPr>
              <w:pStyle w:val="TableParagraph"/>
              <w:spacing w:before="33"/>
              <w:ind w:left="163"/>
              <w:rPr>
                <w:b/>
                <w:sz w:val="18"/>
              </w:rPr>
            </w:pPr>
            <w:r>
              <w:rPr>
                <w:b/>
                <w:sz w:val="18"/>
              </w:rPr>
              <w:t>GM if elected</w:t>
            </w:r>
          </w:p>
        </w:tc>
        <w:tc>
          <w:tcPr>
            <w:tcW w:w="1363" w:type="dxa"/>
          </w:tcPr>
          <w:p>
            <w:pPr>
              <w:pStyle w:val="TableParagraph"/>
              <w:spacing w:before="33"/>
              <w:ind w:left="188"/>
              <w:rPr>
                <w:b/>
                <w:sz w:val="18"/>
              </w:rPr>
            </w:pPr>
            <w:r>
              <w:rPr>
                <w:b/>
                <w:sz w:val="18"/>
              </w:rPr>
              <w:t>RV if elected</w:t>
            </w:r>
          </w:p>
        </w:tc>
        <w:tc>
          <w:tcPr>
            <w:tcW w:w="1363" w:type="dxa"/>
          </w:tcPr>
          <w:p>
            <w:pPr>
              <w:pStyle w:val="TableParagraph"/>
              <w:spacing w:before="33"/>
              <w:ind w:left="452"/>
              <w:rPr>
                <w:b/>
                <w:sz w:val="18"/>
              </w:rPr>
            </w:pPr>
            <w:r>
              <w:rPr>
                <w:b/>
                <w:sz w:val="18"/>
              </w:rPr>
              <w:t>Other</w:t>
            </w:r>
          </w:p>
        </w:tc>
        <w:tc>
          <w:tcPr>
            <w:tcW w:w="1363" w:type="dxa"/>
          </w:tcPr>
          <w:p>
            <w:pPr>
              <w:pStyle w:val="TableParagraph"/>
              <w:spacing w:before="33"/>
              <w:ind w:left="457" w:right="445"/>
              <w:jc w:val="center"/>
              <w:rPr>
                <w:b/>
                <w:sz w:val="18"/>
              </w:rPr>
            </w:pPr>
            <w:r>
              <w:rPr>
                <w:b/>
                <w:sz w:val="18"/>
              </w:rPr>
              <w:t>Total</w:t>
            </w:r>
          </w:p>
        </w:tc>
      </w:tr>
      <w:tr>
        <w:trPr>
          <w:trHeight w:val="275" w:hRule="atLeast"/>
        </w:trPr>
        <w:tc>
          <w:tcPr>
            <w:tcW w:w="595" w:type="dxa"/>
            <w:vMerge/>
            <w:tcBorders>
              <w:top w:val="nil"/>
            </w:tcBorders>
            <w:textDirection w:val="btLr"/>
          </w:tcPr>
          <w:p>
            <w:pPr>
              <w:rPr>
                <w:sz w:val="2"/>
                <w:szCs w:val="2"/>
              </w:rPr>
            </w:pPr>
          </w:p>
        </w:tc>
        <w:tc>
          <w:tcPr>
            <w:tcW w:w="1483" w:type="dxa"/>
          </w:tcPr>
          <w:p>
            <w:pPr>
              <w:pStyle w:val="TableParagraph"/>
              <w:spacing w:before="33"/>
              <w:ind w:left="107"/>
              <w:rPr>
                <w:b/>
                <w:sz w:val="18"/>
              </w:rPr>
            </w:pPr>
            <w:r>
              <w:rPr>
                <w:b/>
                <w:sz w:val="18"/>
              </w:rPr>
              <w:t>A</w:t>
            </w:r>
          </w:p>
        </w:tc>
        <w:tc>
          <w:tcPr>
            <w:tcW w:w="1361"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r>
      <w:tr>
        <w:trPr>
          <w:trHeight w:val="273" w:hRule="atLeast"/>
        </w:trPr>
        <w:tc>
          <w:tcPr>
            <w:tcW w:w="595" w:type="dxa"/>
            <w:vMerge/>
            <w:tcBorders>
              <w:top w:val="nil"/>
            </w:tcBorders>
            <w:textDirection w:val="btLr"/>
          </w:tcPr>
          <w:p>
            <w:pPr>
              <w:rPr>
                <w:sz w:val="2"/>
                <w:szCs w:val="2"/>
              </w:rPr>
            </w:pPr>
          </w:p>
        </w:tc>
        <w:tc>
          <w:tcPr>
            <w:tcW w:w="1483" w:type="dxa"/>
          </w:tcPr>
          <w:p>
            <w:pPr>
              <w:pStyle w:val="TableParagraph"/>
              <w:spacing w:before="33"/>
              <w:ind w:left="107"/>
              <w:rPr>
                <w:b/>
                <w:sz w:val="18"/>
              </w:rPr>
            </w:pPr>
            <w:r>
              <w:rPr>
                <w:b/>
                <w:sz w:val="18"/>
              </w:rPr>
              <w:t>R</w:t>
            </w:r>
          </w:p>
        </w:tc>
        <w:tc>
          <w:tcPr>
            <w:tcW w:w="1361"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r>
      <w:tr>
        <w:trPr>
          <w:trHeight w:val="273" w:hRule="atLeast"/>
        </w:trPr>
        <w:tc>
          <w:tcPr>
            <w:tcW w:w="595" w:type="dxa"/>
            <w:vMerge/>
            <w:tcBorders>
              <w:top w:val="nil"/>
            </w:tcBorders>
            <w:textDirection w:val="btLr"/>
          </w:tcPr>
          <w:p>
            <w:pPr>
              <w:rPr>
                <w:sz w:val="2"/>
                <w:szCs w:val="2"/>
              </w:rPr>
            </w:pPr>
          </w:p>
        </w:tc>
        <w:tc>
          <w:tcPr>
            <w:tcW w:w="1483" w:type="dxa"/>
          </w:tcPr>
          <w:p>
            <w:pPr>
              <w:pStyle w:val="TableParagraph"/>
              <w:spacing w:before="33"/>
              <w:ind w:left="107"/>
              <w:rPr>
                <w:b/>
                <w:sz w:val="18"/>
              </w:rPr>
            </w:pPr>
            <w:r>
              <w:rPr>
                <w:b/>
                <w:sz w:val="18"/>
              </w:rPr>
              <w:t>D</w:t>
            </w:r>
          </w:p>
        </w:tc>
        <w:tc>
          <w:tcPr>
            <w:tcW w:w="1361"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r>
      <w:tr>
        <w:trPr>
          <w:trHeight w:val="275" w:hRule="atLeast"/>
        </w:trPr>
        <w:tc>
          <w:tcPr>
            <w:tcW w:w="595" w:type="dxa"/>
            <w:vMerge/>
            <w:tcBorders>
              <w:top w:val="nil"/>
            </w:tcBorders>
            <w:textDirection w:val="btLr"/>
          </w:tcPr>
          <w:p>
            <w:pPr>
              <w:rPr>
                <w:sz w:val="2"/>
                <w:szCs w:val="2"/>
              </w:rPr>
            </w:pPr>
          </w:p>
        </w:tc>
        <w:tc>
          <w:tcPr>
            <w:tcW w:w="1483" w:type="dxa"/>
          </w:tcPr>
          <w:p>
            <w:pPr>
              <w:pStyle w:val="TableParagraph"/>
              <w:spacing w:before="33"/>
              <w:ind w:left="107"/>
              <w:rPr>
                <w:b/>
                <w:sz w:val="18"/>
              </w:rPr>
            </w:pPr>
            <w:r>
              <w:rPr>
                <w:b/>
                <w:sz w:val="18"/>
              </w:rPr>
              <w:t>FM if elected</w:t>
            </w:r>
          </w:p>
        </w:tc>
        <w:tc>
          <w:tcPr>
            <w:tcW w:w="1361"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r>
      <w:tr>
        <w:trPr>
          <w:trHeight w:val="273" w:hRule="atLeast"/>
        </w:trPr>
        <w:tc>
          <w:tcPr>
            <w:tcW w:w="595" w:type="dxa"/>
            <w:vMerge/>
            <w:tcBorders>
              <w:top w:val="nil"/>
            </w:tcBorders>
            <w:textDirection w:val="btLr"/>
          </w:tcPr>
          <w:p>
            <w:pPr>
              <w:rPr>
                <w:sz w:val="2"/>
                <w:szCs w:val="2"/>
              </w:rPr>
            </w:pPr>
          </w:p>
        </w:tc>
        <w:tc>
          <w:tcPr>
            <w:tcW w:w="1483" w:type="dxa"/>
          </w:tcPr>
          <w:p>
            <w:pPr>
              <w:pStyle w:val="TableParagraph"/>
              <w:spacing w:before="33"/>
              <w:ind w:left="107"/>
              <w:rPr>
                <w:b/>
                <w:sz w:val="18"/>
              </w:rPr>
            </w:pPr>
            <w:r>
              <w:rPr>
                <w:b/>
                <w:sz w:val="18"/>
              </w:rPr>
              <w:t>CM if elected</w:t>
            </w:r>
          </w:p>
        </w:tc>
        <w:tc>
          <w:tcPr>
            <w:tcW w:w="1361"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r>
      <w:tr>
        <w:trPr>
          <w:trHeight w:val="273" w:hRule="atLeast"/>
        </w:trPr>
        <w:tc>
          <w:tcPr>
            <w:tcW w:w="595" w:type="dxa"/>
            <w:vMerge/>
            <w:tcBorders>
              <w:top w:val="nil"/>
            </w:tcBorders>
            <w:textDirection w:val="btLr"/>
          </w:tcPr>
          <w:p>
            <w:pPr>
              <w:rPr>
                <w:sz w:val="2"/>
                <w:szCs w:val="2"/>
              </w:rPr>
            </w:pPr>
          </w:p>
        </w:tc>
        <w:tc>
          <w:tcPr>
            <w:tcW w:w="1483" w:type="dxa"/>
          </w:tcPr>
          <w:p>
            <w:pPr>
              <w:pStyle w:val="TableParagraph"/>
              <w:spacing w:before="33"/>
              <w:ind w:left="107"/>
              <w:rPr>
                <w:b/>
                <w:sz w:val="18"/>
              </w:rPr>
            </w:pPr>
            <w:r>
              <w:rPr>
                <w:b/>
                <w:sz w:val="18"/>
              </w:rPr>
              <w:t>GM if elected</w:t>
            </w:r>
          </w:p>
        </w:tc>
        <w:tc>
          <w:tcPr>
            <w:tcW w:w="1361"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r>
      <w:tr>
        <w:trPr>
          <w:trHeight w:val="275" w:hRule="atLeast"/>
        </w:trPr>
        <w:tc>
          <w:tcPr>
            <w:tcW w:w="595" w:type="dxa"/>
            <w:vMerge/>
            <w:tcBorders>
              <w:top w:val="nil"/>
            </w:tcBorders>
            <w:textDirection w:val="btLr"/>
          </w:tcPr>
          <w:p>
            <w:pPr>
              <w:rPr>
                <w:sz w:val="2"/>
                <w:szCs w:val="2"/>
              </w:rPr>
            </w:pPr>
          </w:p>
        </w:tc>
        <w:tc>
          <w:tcPr>
            <w:tcW w:w="1483" w:type="dxa"/>
          </w:tcPr>
          <w:p>
            <w:pPr>
              <w:pStyle w:val="TableParagraph"/>
              <w:spacing w:before="33"/>
              <w:ind w:left="107"/>
              <w:rPr>
                <w:b/>
                <w:sz w:val="18"/>
              </w:rPr>
            </w:pPr>
            <w:r>
              <w:rPr>
                <w:b/>
                <w:sz w:val="18"/>
              </w:rPr>
              <w:t>RV if elected</w:t>
            </w:r>
          </w:p>
        </w:tc>
        <w:tc>
          <w:tcPr>
            <w:tcW w:w="1361"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r>
      <w:tr>
        <w:trPr>
          <w:trHeight w:val="273" w:hRule="atLeast"/>
        </w:trPr>
        <w:tc>
          <w:tcPr>
            <w:tcW w:w="595" w:type="dxa"/>
            <w:vMerge/>
            <w:tcBorders>
              <w:top w:val="nil"/>
            </w:tcBorders>
            <w:textDirection w:val="btLr"/>
          </w:tcPr>
          <w:p>
            <w:pPr>
              <w:rPr>
                <w:sz w:val="2"/>
                <w:szCs w:val="2"/>
              </w:rPr>
            </w:pPr>
          </w:p>
        </w:tc>
        <w:tc>
          <w:tcPr>
            <w:tcW w:w="1483" w:type="dxa"/>
          </w:tcPr>
          <w:p>
            <w:pPr>
              <w:pStyle w:val="TableParagraph"/>
              <w:spacing w:before="33"/>
              <w:ind w:left="107"/>
              <w:rPr>
                <w:b/>
                <w:sz w:val="18"/>
              </w:rPr>
            </w:pPr>
            <w:r>
              <w:rPr>
                <w:b/>
                <w:sz w:val="18"/>
              </w:rPr>
              <w:t>Other</w:t>
            </w:r>
          </w:p>
        </w:tc>
        <w:tc>
          <w:tcPr>
            <w:tcW w:w="1361"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r>
      <w:tr>
        <w:trPr>
          <w:trHeight w:val="275" w:hRule="atLeast"/>
        </w:trPr>
        <w:tc>
          <w:tcPr>
            <w:tcW w:w="595" w:type="dxa"/>
            <w:vMerge/>
            <w:tcBorders>
              <w:top w:val="nil"/>
            </w:tcBorders>
            <w:textDirection w:val="btLr"/>
          </w:tcPr>
          <w:p>
            <w:pPr>
              <w:rPr>
                <w:sz w:val="2"/>
                <w:szCs w:val="2"/>
              </w:rPr>
            </w:pPr>
          </w:p>
        </w:tc>
        <w:tc>
          <w:tcPr>
            <w:tcW w:w="1483" w:type="dxa"/>
          </w:tcPr>
          <w:p>
            <w:pPr>
              <w:pStyle w:val="TableParagraph"/>
              <w:spacing w:before="33"/>
              <w:ind w:left="107"/>
              <w:rPr>
                <w:b/>
                <w:sz w:val="18"/>
              </w:rPr>
            </w:pPr>
            <w:r>
              <w:rPr>
                <w:b/>
                <w:sz w:val="18"/>
              </w:rPr>
              <w:t>Total</w:t>
            </w:r>
          </w:p>
        </w:tc>
        <w:tc>
          <w:tcPr>
            <w:tcW w:w="1361"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c>
          <w:tcPr>
            <w:tcW w:w="1363" w:type="dxa"/>
          </w:tcPr>
          <w:p>
            <w:pPr>
              <w:pStyle w:val="TableParagraph"/>
              <w:rPr>
                <w:sz w:val="16"/>
              </w:rPr>
            </w:pPr>
          </w:p>
        </w:tc>
      </w:tr>
    </w:tbl>
    <w:p>
      <w:pPr>
        <w:spacing w:after="0"/>
        <w:rPr>
          <w:sz w:val="16"/>
        </w:rPr>
        <w:sectPr>
          <w:headerReference w:type="even" r:id="rId314"/>
          <w:headerReference w:type="default" r:id="rId315"/>
          <w:footerReference w:type="even" r:id="rId316"/>
          <w:footerReference w:type="default" r:id="rId317"/>
          <w:pgSz w:w="16840" w:h="11900" w:orient="landscape"/>
          <w:pgMar w:header="230" w:footer="1137" w:top="560" w:bottom="1320" w:left="1200" w:right="920"/>
          <w:pgNumType w:start="44"/>
        </w:sectPr>
      </w:pPr>
    </w:p>
    <w:p>
      <w:pPr>
        <w:pStyle w:val="BodyText"/>
        <w:spacing w:before="8"/>
        <w:rPr>
          <w:sz w:val="27"/>
        </w:rPr>
      </w:pPr>
      <w:r>
        <w:rPr/>
        <w:pict>
          <v:rect style="position:absolute;margin-left:77.760002pt;margin-top:111.359001pt;width:706.44pt;height:10.44pt;mso-position-horizontal-relative:page;mso-position-vertical-relative:page;z-index:-2435056" filled="true" fillcolor="#ffffff" stroked="false">
            <v:fill type="solid"/>
            <w10:wrap type="none"/>
          </v:rect>
        </w:pict>
      </w:r>
      <w:r>
        <w:rPr/>
        <w:pict>
          <v:rect style="position:absolute;margin-left:665.880005pt;margin-top:212.998993pt;width:53.64pt;height:13.32pt;mso-position-horizontal-relative:page;mso-position-vertical-relative:page;z-index:-2435032" filled="true" fillcolor="#ffffff" stroked="false">
            <v:fill type="solid"/>
            <w10:wrap type="none"/>
          </v:rect>
        </w:pict>
      </w:r>
      <w:r>
        <w:rPr/>
        <w:pict>
          <v:rect style="position:absolute;margin-left:730.440002pt;margin-top:212.998993pt;width:53.76pt;height:13.32pt;mso-position-horizontal-relative:page;mso-position-vertical-relative:page;z-index:-2435008" filled="true" fillcolor="#ffffff" stroked="false">
            <v:fill type="solid"/>
            <w10:wrap type="none"/>
          </v:rect>
        </w:pict>
      </w:r>
    </w:p>
    <w:tbl>
      <w:tblPr>
        <w:tblW w:w="0" w:type="auto"/>
        <w:jc w:val="left"/>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54"/>
        <w:gridCol w:w="1076"/>
        <w:gridCol w:w="1122"/>
        <w:gridCol w:w="1124"/>
        <w:gridCol w:w="1122"/>
        <w:gridCol w:w="1124"/>
        <w:gridCol w:w="1122"/>
        <w:gridCol w:w="1223"/>
        <w:gridCol w:w="1348"/>
        <w:gridCol w:w="1458"/>
        <w:gridCol w:w="1292"/>
        <w:gridCol w:w="1292"/>
      </w:tblGrid>
      <w:tr>
        <w:trPr>
          <w:trHeight w:val="1302" w:hRule="atLeast"/>
        </w:trPr>
        <w:tc>
          <w:tcPr>
            <w:tcW w:w="14357" w:type="dxa"/>
            <w:gridSpan w:val="12"/>
            <w:tcBorders>
              <w:bottom w:val="double" w:sz="1" w:space="0" w:color="000000"/>
            </w:tcBorders>
          </w:tcPr>
          <w:p>
            <w:pPr>
              <w:pStyle w:val="TableParagraph"/>
              <w:spacing w:line="207" w:lineRule="exact" w:before="59"/>
              <w:ind w:left="117" w:right="117"/>
              <w:jc w:val="center"/>
              <w:rPr>
                <w:b/>
                <w:sz w:val="18"/>
              </w:rPr>
            </w:pPr>
            <w:r>
              <w:rPr>
                <w:b/>
                <w:sz w:val="18"/>
              </w:rPr>
              <w:t>T</w:t>
            </w:r>
            <w:r>
              <w:rPr>
                <w:b/>
                <w:sz w:val="14"/>
              </w:rPr>
              <w:t>ABLE </w:t>
            </w:r>
            <w:r>
              <w:rPr>
                <w:b/>
                <w:sz w:val="18"/>
              </w:rPr>
              <w:t>4.2.6a</w:t>
            </w:r>
          </w:p>
          <w:p>
            <w:pPr>
              <w:pStyle w:val="TableParagraph"/>
              <w:spacing w:line="203" w:lineRule="exact"/>
              <w:ind w:left="282"/>
              <w:rPr>
                <w:b/>
                <w:sz w:val="18"/>
              </w:rPr>
            </w:pPr>
            <w:r>
              <w:rPr>
                <w:b/>
                <w:sz w:val="18"/>
              </w:rPr>
              <w:t>T</w:t>
            </w:r>
            <w:r>
              <w:rPr>
                <w:b/>
                <w:sz w:val="14"/>
              </w:rPr>
              <w:t>ABLE</w:t>
            </w:r>
            <w:r>
              <w:rPr>
                <w:b/>
                <w:spacing w:val="-2"/>
                <w:sz w:val="14"/>
              </w:rPr>
              <w:t> </w:t>
            </w:r>
            <w:r>
              <w:rPr>
                <w:b/>
                <w:sz w:val="14"/>
              </w:rPr>
              <w:t>FOR</w:t>
            </w:r>
            <w:r>
              <w:rPr>
                <w:b/>
                <w:spacing w:val="-2"/>
                <w:sz w:val="14"/>
              </w:rPr>
              <w:t> </w:t>
            </w:r>
            <w:r>
              <w:rPr>
                <w:b/>
                <w:sz w:val="18"/>
              </w:rPr>
              <w:t>R</w:t>
            </w:r>
            <w:r>
              <w:rPr>
                <w:b/>
                <w:sz w:val="14"/>
              </w:rPr>
              <w:t>EPORTING</w:t>
            </w:r>
            <w:r>
              <w:rPr>
                <w:b/>
                <w:sz w:val="18"/>
              </w:rPr>
              <w:t>,</w:t>
            </w:r>
            <w:r>
              <w:rPr>
                <w:b/>
                <w:spacing w:val="-14"/>
                <w:sz w:val="18"/>
              </w:rPr>
              <w:t> </w:t>
            </w:r>
            <w:r>
              <w:rPr>
                <w:b/>
                <w:sz w:val="14"/>
              </w:rPr>
              <w:t>FOR</w:t>
            </w:r>
            <w:r>
              <w:rPr>
                <w:b/>
                <w:spacing w:val="-2"/>
                <w:sz w:val="14"/>
              </w:rPr>
              <w:t> </w:t>
            </w:r>
            <w:r>
              <w:rPr>
                <w:b/>
                <w:sz w:val="14"/>
              </w:rPr>
              <w:t>THE</w:t>
            </w:r>
            <w:r>
              <w:rPr>
                <w:b/>
                <w:spacing w:val="-2"/>
                <w:sz w:val="14"/>
              </w:rPr>
              <w:t> </w:t>
            </w:r>
            <w:r>
              <w:rPr>
                <w:b/>
                <w:sz w:val="18"/>
              </w:rPr>
              <w:t>I</w:t>
            </w:r>
            <w:r>
              <w:rPr>
                <w:b/>
                <w:sz w:val="14"/>
              </w:rPr>
              <w:t>NVENTORY</w:t>
            </w:r>
            <w:r>
              <w:rPr>
                <w:b/>
                <w:spacing w:val="-2"/>
                <w:sz w:val="14"/>
              </w:rPr>
              <w:t> </w:t>
            </w:r>
            <w:r>
              <w:rPr>
                <w:b/>
                <w:sz w:val="18"/>
              </w:rPr>
              <w:t>Y</w:t>
            </w:r>
            <w:r>
              <w:rPr>
                <w:b/>
                <w:sz w:val="14"/>
              </w:rPr>
              <w:t>EAR</w:t>
            </w:r>
            <w:r>
              <w:rPr>
                <w:b/>
                <w:sz w:val="18"/>
              </w:rPr>
              <w:t>,</w:t>
            </w:r>
            <w:r>
              <w:rPr>
                <w:b/>
                <w:spacing w:val="-12"/>
                <w:sz w:val="18"/>
              </w:rPr>
              <w:t> </w:t>
            </w:r>
            <w:r>
              <w:rPr>
                <w:b/>
                <w:sz w:val="18"/>
              </w:rPr>
              <w:t>C</w:t>
            </w:r>
            <w:r>
              <w:rPr>
                <w:b/>
                <w:sz w:val="14"/>
              </w:rPr>
              <w:t>ARBON</w:t>
            </w:r>
            <w:r>
              <w:rPr>
                <w:b/>
                <w:spacing w:val="-1"/>
                <w:sz w:val="14"/>
              </w:rPr>
              <w:t> </w:t>
            </w:r>
            <w:r>
              <w:rPr>
                <w:b/>
                <w:sz w:val="18"/>
              </w:rPr>
              <w:t>S</w:t>
            </w:r>
            <w:r>
              <w:rPr>
                <w:b/>
                <w:sz w:val="14"/>
              </w:rPr>
              <w:t>TOCK</w:t>
            </w:r>
            <w:r>
              <w:rPr>
                <w:b/>
                <w:spacing w:val="-3"/>
                <w:sz w:val="14"/>
              </w:rPr>
              <w:t> </w:t>
            </w:r>
            <w:r>
              <w:rPr>
                <w:b/>
                <w:sz w:val="18"/>
              </w:rPr>
              <w:t>C</w:t>
            </w:r>
            <w:r>
              <w:rPr>
                <w:b/>
                <w:sz w:val="14"/>
              </w:rPr>
              <w:t>HANGES</w:t>
            </w:r>
            <w:r>
              <w:rPr>
                <w:b/>
                <w:spacing w:val="-3"/>
                <w:sz w:val="14"/>
              </w:rPr>
              <w:t> </w:t>
            </w:r>
            <w:r>
              <w:rPr>
                <w:b/>
                <w:sz w:val="14"/>
              </w:rPr>
              <w:t>AND</w:t>
            </w:r>
            <w:r>
              <w:rPr>
                <w:b/>
                <w:spacing w:val="-3"/>
                <w:sz w:val="14"/>
              </w:rPr>
              <w:t> </w:t>
            </w:r>
            <w:r>
              <w:rPr>
                <w:b/>
                <w:sz w:val="18"/>
              </w:rPr>
              <w:t>N</w:t>
            </w:r>
            <w:r>
              <w:rPr>
                <w:b/>
                <w:sz w:val="14"/>
              </w:rPr>
              <w:t>ON</w:t>
            </w:r>
            <w:r>
              <w:rPr>
                <w:b/>
                <w:sz w:val="18"/>
              </w:rPr>
              <w:t>-CO</w:t>
            </w:r>
            <w:r>
              <w:rPr>
                <w:b/>
                <w:position w:val="-2"/>
                <w:sz w:val="12"/>
              </w:rPr>
              <w:t>2</w:t>
            </w:r>
            <w:r>
              <w:rPr>
                <w:b/>
                <w:spacing w:val="3"/>
                <w:position w:val="-2"/>
                <w:sz w:val="12"/>
              </w:rPr>
              <w:t> </w:t>
            </w:r>
            <w:r>
              <w:rPr>
                <w:b/>
                <w:sz w:val="18"/>
              </w:rPr>
              <w:t>E</w:t>
            </w:r>
            <w:r>
              <w:rPr>
                <w:b/>
                <w:sz w:val="14"/>
              </w:rPr>
              <w:t>MISSIONS</w:t>
            </w:r>
            <w:r>
              <w:rPr>
                <w:b/>
                <w:spacing w:val="-3"/>
                <w:sz w:val="14"/>
              </w:rPr>
              <w:t> </w:t>
            </w:r>
            <w:r>
              <w:rPr>
                <w:b/>
                <w:sz w:val="14"/>
              </w:rPr>
              <w:t>BY</w:t>
            </w:r>
            <w:r>
              <w:rPr>
                <w:b/>
                <w:spacing w:val="-1"/>
                <w:sz w:val="14"/>
              </w:rPr>
              <w:t> </w:t>
            </w:r>
            <w:r>
              <w:rPr>
                <w:b/>
                <w:sz w:val="14"/>
              </w:rPr>
              <w:t>SOURCES</w:t>
            </w:r>
            <w:r>
              <w:rPr>
                <w:b/>
                <w:spacing w:val="-3"/>
                <w:sz w:val="14"/>
              </w:rPr>
              <w:t> </w:t>
            </w:r>
            <w:r>
              <w:rPr>
                <w:b/>
                <w:sz w:val="14"/>
              </w:rPr>
              <w:t>AND</w:t>
            </w:r>
            <w:r>
              <w:rPr>
                <w:b/>
                <w:spacing w:val="-2"/>
                <w:sz w:val="14"/>
              </w:rPr>
              <w:t> </w:t>
            </w:r>
            <w:r>
              <w:rPr>
                <w:b/>
                <w:sz w:val="14"/>
              </w:rPr>
              <w:t>REMOVALS</w:t>
            </w:r>
            <w:r>
              <w:rPr>
                <w:b/>
                <w:spacing w:val="-3"/>
                <w:sz w:val="14"/>
              </w:rPr>
              <w:t> </w:t>
            </w:r>
            <w:r>
              <w:rPr>
                <w:b/>
                <w:sz w:val="14"/>
              </w:rPr>
              <w:t>BY</w:t>
            </w:r>
            <w:r>
              <w:rPr>
                <w:b/>
                <w:spacing w:val="-2"/>
                <w:sz w:val="14"/>
              </w:rPr>
              <w:t> </w:t>
            </w:r>
            <w:r>
              <w:rPr>
                <w:b/>
                <w:sz w:val="14"/>
              </w:rPr>
              <w:t>SINKS</w:t>
            </w:r>
            <w:r>
              <w:rPr>
                <w:b/>
                <w:spacing w:val="-3"/>
                <w:sz w:val="14"/>
              </w:rPr>
              <w:t> </w:t>
            </w:r>
            <w:r>
              <w:rPr>
                <w:b/>
                <w:sz w:val="14"/>
              </w:rPr>
              <w:t>FOR</w:t>
            </w:r>
            <w:r>
              <w:rPr>
                <w:b/>
                <w:spacing w:val="-1"/>
                <w:sz w:val="14"/>
              </w:rPr>
              <w:t> </w:t>
            </w:r>
            <w:r>
              <w:rPr>
                <w:b/>
                <w:sz w:val="14"/>
              </w:rPr>
              <w:t>EACH</w:t>
            </w:r>
            <w:r>
              <w:rPr>
                <w:b/>
                <w:spacing w:val="-2"/>
                <w:sz w:val="14"/>
              </w:rPr>
              <w:t> </w:t>
            </w:r>
            <w:r>
              <w:rPr>
                <w:b/>
                <w:sz w:val="14"/>
              </w:rPr>
              <w:t>OF</w:t>
            </w:r>
            <w:r>
              <w:rPr>
                <w:b/>
                <w:spacing w:val="-1"/>
                <w:sz w:val="14"/>
              </w:rPr>
              <w:t> </w:t>
            </w:r>
            <w:r>
              <w:rPr>
                <w:b/>
                <w:sz w:val="14"/>
              </w:rPr>
              <w:t>THE</w:t>
            </w:r>
            <w:r>
              <w:rPr>
                <w:b/>
                <w:spacing w:val="-2"/>
                <w:sz w:val="14"/>
              </w:rPr>
              <w:t> </w:t>
            </w:r>
            <w:r>
              <w:rPr>
                <w:b/>
                <w:sz w:val="14"/>
              </w:rPr>
              <w:t>FOLLOWING</w:t>
            </w:r>
            <w:r>
              <w:rPr>
                <w:b/>
                <w:spacing w:val="-2"/>
                <w:sz w:val="14"/>
              </w:rPr>
              <w:t> </w:t>
            </w:r>
            <w:r>
              <w:rPr>
                <w:b/>
                <w:sz w:val="14"/>
              </w:rPr>
              <w:t>ACTIVITIES</w:t>
            </w:r>
            <w:r>
              <w:rPr>
                <w:b/>
                <w:spacing w:val="-1"/>
                <w:sz w:val="14"/>
              </w:rPr>
              <w:t> </w:t>
            </w:r>
            <w:r>
              <w:rPr>
                <w:b/>
                <w:sz w:val="18"/>
              </w:rPr>
              <w:t>/</w:t>
            </w:r>
          </w:p>
          <w:p>
            <w:pPr>
              <w:pStyle w:val="TableParagraph"/>
              <w:spacing w:line="216" w:lineRule="auto"/>
              <w:ind w:left="119" w:right="117"/>
              <w:jc w:val="center"/>
              <w:rPr>
                <w:b/>
                <w:sz w:val="18"/>
              </w:rPr>
            </w:pPr>
            <w:r>
              <w:rPr>
                <w:b/>
                <w:sz w:val="14"/>
              </w:rPr>
              <w:t>LANDS</w:t>
            </w:r>
            <w:r>
              <w:rPr>
                <w:b/>
                <w:sz w:val="18"/>
              </w:rPr>
              <w:t>:</w:t>
            </w:r>
            <w:r>
              <w:rPr>
                <w:b/>
                <w:spacing w:val="-12"/>
                <w:sz w:val="18"/>
              </w:rPr>
              <w:t> </w:t>
            </w:r>
            <w:r>
              <w:rPr>
                <w:b/>
                <w:sz w:val="18"/>
              </w:rPr>
              <w:t>(I)</w:t>
            </w:r>
            <w:r>
              <w:rPr>
                <w:b/>
                <w:spacing w:val="-11"/>
                <w:sz w:val="18"/>
              </w:rPr>
              <w:t> </w:t>
            </w:r>
            <w:r>
              <w:rPr>
                <w:b/>
                <w:sz w:val="18"/>
              </w:rPr>
              <w:t>A</w:t>
            </w:r>
            <w:r>
              <w:rPr>
                <w:b/>
                <w:spacing w:val="-12"/>
                <w:sz w:val="18"/>
              </w:rPr>
              <w:t> </w:t>
            </w:r>
            <w:r>
              <w:rPr>
                <w:b/>
                <w:sz w:val="14"/>
              </w:rPr>
              <w:t>AND</w:t>
            </w:r>
            <w:r>
              <w:rPr>
                <w:b/>
                <w:spacing w:val="-2"/>
                <w:sz w:val="14"/>
              </w:rPr>
              <w:t> </w:t>
            </w:r>
            <w:r>
              <w:rPr>
                <w:b/>
                <w:sz w:val="18"/>
              </w:rPr>
              <w:t>R</w:t>
            </w:r>
            <w:r>
              <w:rPr>
                <w:b/>
                <w:position w:val="8"/>
                <w:sz w:val="12"/>
              </w:rPr>
              <w:t>1</w:t>
            </w:r>
            <w:r>
              <w:rPr>
                <w:b/>
                <w:spacing w:val="4"/>
                <w:position w:val="8"/>
                <w:sz w:val="12"/>
              </w:rPr>
              <w:t> </w:t>
            </w:r>
            <w:r>
              <w:rPr>
                <w:b/>
                <w:sz w:val="14"/>
              </w:rPr>
              <w:t>NOT</w:t>
            </w:r>
            <w:r>
              <w:rPr>
                <w:b/>
                <w:spacing w:val="-1"/>
                <w:sz w:val="14"/>
              </w:rPr>
              <w:t> </w:t>
            </w:r>
            <w:r>
              <w:rPr>
                <w:b/>
                <w:sz w:val="14"/>
              </w:rPr>
              <w:t>HARVESTED</w:t>
            </w:r>
            <w:r>
              <w:rPr>
                <w:b/>
                <w:spacing w:val="-2"/>
                <w:sz w:val="14"/>
              </w:rPr>
              <w:t> </w:t>
            </w:r>
            <w:r>
              <w:rPr>
                <w:b/>
                <w:sz w:val="14"/>
              </w:rPr>
              <w:t>DURING</w:t>
            </w:r>
            <w:r>
              <w:rPr>
                <w:b/>
                <w:spacing w:val="-1"/>
                <w:sz w:val="14"/>
              </w:rPr>
              <w:t> </w:t>
            </w:r>
            <w:r>
              <w:rPr>
                <w:b/>
                <w:sz w:val="14"/>
              </w:rPr>
              <w:t>THE</w:t>
            </w:r>
            <w:r>
              <w:rPr>
                <w:b/>
                <w:spacing w:val="-1"/>
                <w:sz w:val="14"/>
              </w:rPr>
              <w:t> </w:t>
            </w:r>
            <w:r>
              <w:rPr>
                <w:b/>
                <w:sz w:val="14"/>
              </w:rPr>
              <w:t>FIRST</w:t>
            </w:r>
            <w:r>
              <w:rPr>
                <w:b/>
                <w:spacing w:val="-2"/>
                <w:sz w:val="14"/>
              </w:rPr>
              <w:t> </w:t>
            </w:r>
            <w:r>
              <w:rPr>
                <w:b/>
                <w:sz w:val="14"/>
              </w:rPr>
              <w:t>COMMITMENT</w:t>
            </w:r>
            <w:r>
              <w:rPr>
                <w:b/>
                <w:spacing w:val="-4"/>
                <w:sz w:val="14"/>
              </w:rPr>
              <w:t> </w:t>
            </w:r>
            <w:r>
              <w:rPr>
                <w:b/>
                <w:sz w:val="14"/>
              </w:rPr>
              <w:t>PERIOD</w:t>
            </w:r>
            <w:r>
              <w:rPr>
                <w:b/>
                <w:sz w:val="18"/>
              </w:rPr>
              <w:t>;</w:t>
            </w:r>
            <w:r>
              <w:rPr>
                <w:b/>
                <w:spacing w:val="-11"/>
                <w:sz w:val="18"/>
              </w:rPr>
              <w:t> </w:t>
            </w:r>
            <w:r>
              <w:rPr>
                <w:b/>
                <w:sz w:val="18"/>
              </w:rPr>
              <w:t>(II)</w:t>
            </w:r>
            <w:r>
              <w:rPr>
                <w:b/>
                <w:spacing w:val="-12"/>
                <w:sz w:val="18"/>
              </w:rPr>
              <w:t> </w:t>
            </w:r>
            <w:r>
              <w:rPr>
                <w:b/>
                <w:sz w:val="18"/>
              </w:rPr>
              <w:t>A</w:t>
            </w:r>
            <w:r>
              <w:rPr>
                <w:b/>
                <w:spacing w:val="-12"/>
                <w:sz w:val="18"/>
              </w:rPr>
              <w:t> </w:t>
            </w:r>
            <w:r>
              <w:rPr>
                <w:b/>
                <w:sz w:val="14"/>
              </w:rPr>
              <w:t>AND</w:t>
            </w:r>
            <w:r>
              <w:rPr>
                <w:b/>
                <w:spacing w:val="-1"/>
                <w:sz w:val="14"/>
              </w:rPr>
              <w:t> </w:t>
            </w:r>
            <w:r>
              <w:rPr>
                <w:b/>
                <w:sz w:val="18"/>
              </w:rPr>
              <w:t>R</w:t>
            </w:r>
            <w:r>
              <w:rPr>
                <w:b/>
                <w:position w:val="8"/>
                <w:sz w:val="12"/>
              </w:rPr>
              <w:t>1,2</w:t>
            </w:r>
            <w:r>
              <w:rPr>
                <w:b/>
                <w:spacing w:val="3"/>
                <w:position w:val="8"/>
                <w:sz w:val="12"/>
              </w:rPr>
              <w:t> </w:t>
            </w:r>
            <w:r>
              <w:rPr>
                <w:b/>
                <w:sz w:val="14"/>
              </w:rPr>
              <w:t>HARVESTED</w:t>
            </w:r>
            <w:r>
              <w:rPr>
                <w:b/>
                <w:spacing w:val="-1"/>
                <w:sz w:val="14"/>
              </w:rPr>
              <w:t> </w:t>
            </w:r>
            <w:r>
              <w:rPr>
                <w:b/>
                <w:sz w:val="14"/>
              </w:rPr>
              <w:t>DURING</w:t>
            </w:r>
            <w:r>
              <w:rPr>
                <w:b/>
                <w:spacing w:val="-1"/>
                <w:sz w:val="14"/>
              </w:rPr>
              <w:t> </w:t>
            </w:r>
            <w:r>
              <w:rPr>
                <w:b/>
                <w:sz w:val="14"/>
              </w:rPr>
              <w:t>THE</w:t>
            </w:r>
            <w:r>
              <w:rPr>
                <w:b/>
                <w:spacing w:val="-2"/>
                <w:sz w:val="14"/>
              </w:rPr>
              <w:t> </w:t>
            </w:r>
            <w:r>
              <w:rPr>
                <w:b/>
                <w:sz w:val="14"/>
              </w:rPr>
              <w:t>FIRST</w:t>
            </w:r>
            <w:r>
              <w:rPr>
                <w:b/>
                <w:spacing w:val="-1"/>
                <w:sz w:val="14"/>
              </w:rPr>
              <w:t> </w:t>
            </w:r>
            <w:r>
              <w:rPr>
                <w:b/>
                <w:sz w:val="14"/>
              </w:rPr>
              <w:t>COMMITMENT</w:t>
            </w:r>
            <w:r>
              <w:rPr>
                <w:b/>
                <w:spacing w:val="-3"/>
                <w:sz w:val="14"/>
              </w:rPr>
              <w:t> </w:t>
            </w:r>
            <w:r>
              <w:rPr>
                <w:b/>
                <w:sz w:val="14"/>
              </w:rPr>
              <w:t>PERIOD</w:t>
            </w:r>
            <w:r>
              <w:rPr>
                <w:b/>
                <w:sz w:val="18"/>
              </w:rPr>
              <w:t>;</w:t>
            </w:r>
            <w:r>
              <w:rPr>
                <w:b/>
                <w:spacing w:val="-11"/>
                <w:sz w:val="18"/>
              </w:rPr>
              <w:t> </w:t>
            </w:r>
            <w:r>
              <w:rPr>
                <w:b/>
                <w:sz w:val="18"/>
              </w:rPr>
              <w:t>(III)</w:t>
            </w:r>
            <w:r>
              <w:rPr>
                <w:b/>
                <w:spacing w:val="-12"/>
                <w:sz w:val="18"/>
              </w:rPr>
              <w:t> </w:t>
            </w:r>
            <w:r>
              <w:rPr>
                <w:b/>
                <w:sz w:val="18"/>
              </w:rPr>
              <w:t>A</w:t>
            </w:r>
            <w:r>
              <w:rPr>
                <w:b/>
                <w:spacing w:val="-12"/>
                <w:sz w:val="18"/>
              </w:rPr>
              <w:t> </w:t>
            </w:r>
            <w:r>
              <w:rPr>
                <w:b/>
                <w:sz w:val="14"/>
              </w:rPr>
              <w:t>AND</w:t>
            </w:r>
            <w:r>
              <w:rPr>
                <w:b/>
                <w:spacing w:val="-4"/>
                <w:sz w:val="14"/>
              </w:rPr>
              <w:t> </w:t>
            </w:r>
            <w:r>
              <w:rPr>
                <w:b/>
                <w:sz w:val="18"/>
              </w:rPr>
              <w:t>R</w:t>
            </w:r>
            <w:r>
              <w:rPr>
                <w:b/>
                <w:position w:val="8"/>
                <w:sz w:val="12"/>
              </w:rPr>
              <w:t>1</w:t>
            </w:r>
            <w:r>
              <w:rPr>
                <w:b/>
                <w:spacing w:val="3"/>
                <w:position w:val="8"/>
                <w:sz w:val="12"/>
              </w:rPr>
              <w:t> </w:t>
            </w:r>
            <w:r>
              <w:rPr>
                <w:b/>
                <w:sz w:val="14"/>
              </w:rPr>
              <w:t>THAT</w:t>
            </w:r>
            <w:r>
              <w:rPr>
                <w:b/>
                <w:spacing w:val="-1"/>
                <w:sz w:val="14"/>
              </w:rPr>
              <w:t> </w:t>
            </w:r>
            <w:r>
              <w:rPr>
                <w:b/>
                <w:sz w:val="14"/>
              </w:rPr>
              <w:t>ARE</w:t>
            </w:r>
            <w:r>
              <w:rPr>
                <w:b/>
                <w:spacing w:val="-1"/>
                <w:sz w:val="14"/>
              </w:rPr>
              <w:t> </w:t>
            </w:r>
            <w:r>
              <w:rPr>
                <w:b/>
                <w:sz w:val="14"/>
              </w:rPr>
              <w:t>ALSO</w:t>
            </w:r>
            <w:r>
              <w:rPr>
                <w:b/>
                <w:spacing w:val="-2"/>
                <w:sz w:val="14"/>
              </w:rPr>
              <w:t> </w:t>
            </w:r>
            <w:r>
              <w:rPr>
                <w:b/>
                <w:sz w:val="14"/>
              </w:rPr>
              <w:t>SUBJECT</w:t>
            </w:r>
            <w:r>
              <w:rPr>
                <w:b/>
                <w:spacing w:val="-2"/>
                <w:sz w:val="14"/>
              </w:rPr>
              <w:t> </w:t>
            </w:r>
            <w:r>
              <w:rPr>
                <w:b/>
                <w:sz w:val="14"/>
              </w:rPr>
              <w:t>TO ELECTED</w:t>
            </w:r>
            <w:r>
              <w:rPr>
                <w:b/>
                <w:spacing w:val="-2"/>
                <w:sz w:val="14"/>
              </w:rPr>
              <w:t> </w:t>
            </w:r>
            <w:r>
              <w:rPr>
                <w:b/>
                <w:sz w:val="18"/>
              </w:rPr>
              <w:t>A</w:t>
            </w:r>
            <w:r>
              <w:rPr>
                <w:b/>
                <w:sz w:val="14"/>
              </w:rPr>
              <w:t>RTICLE</w:t>
            </w:r>
            <w:r>
              <w:rPr>
                <w:b/>
                <w:spacing w:val="-3"/>
                <w:sz w:val="14"/>
              </w:rPr>
              <w:t> </w:t>
            </w:r>
            <w:r>
              <w:rPr>
                <w:b/>
                <w:sz w:val="18"/>
              </w:rPr>
              <w:t>3.4</w:t>
            </w:r>
            <w:r>
              <w:rPr>
                <w:b/>
                <w:spacing w:val="-13"/>
                <w:sz w:val="18"/>
              </w:rPr>
              <w:t> </w:t>
            </w:r>
            <w:r>
              <w:rPr>
                <w:b/>
                <w:sz w:val="14"/>
              </w:rPr>
              <w:t>ACTIVITIES</w:t>
            </w:r>
            <w:r>
              <w:rPr>
                <w:b/>
                <w:position w:val="8"/>
                <w:sz w:val="12"/>
              </w:rPr>
              <w:t>3</w:t>
            </w:r>
            <w:r>
              <w:rPr>
                <w:b/>
                <w:sz w:val="18"/>
              </w:rPr>
              <w:t>;</w:t>
            </w:r>
            <w:r>
              <w:rPr>
                <w:b/>
                <w:spacing w:val="-11"/>
                <w:sz w:val="18"/>
              </w:rPr>
              <w:t> </w:t>
            </w:r>
            <w:r>
              <w:rPr>
                <w:b/>
                <w:sz w:val="18"/>
              </w:rPr>
              <w:t>(IV)</w:t>
            </w:r>
            <w:r>
              <w:rPr>
                <w:b/>
                <w:spacing w:val="-11"/>
                <w:sz w:val="18"/>
              </w:rPr>
              <w:t> </w:t>
            </w:r>
            <w:r>
              <w:rPr>
                <w:b/>
                <w:sz w:val="18"/>
              </w:rPr>
              <w:t>D;</w:t>
            </w:r>
            <w:r>
              <w:rPr>
                <w:b/>
                <w:spacing w:val="-12"/>
                <w:sz w:val="18"/>
              </w:rPr>
              <w:t> </w:t>
            </w:r>
            <w:r>
              <w:rPr>
                <w:b/>
                <w:sz w:val="18"/>
              </w:rPr>
              <w:t>(V)</w:t>
            </w:r>
            <w:r>
              <w:rPr>
                <w:b/>
                <w:spacing w:val="-11"/>
                <w:sz w:val="18"/>
              </w:rPr>
              <w:t> </w:t>
            </w:r>
            <w:r>
              <w:rPr>
                <w:b/>
                <w:sz w:val="18"/>
              </w:rPr>
              <w:t>D</w:t>
            </w:r>
            <w:r>
              <w:rPr>
                <w:b/>
                <w:spacing w:val="-12"/>
                <w:sz w:val="18"/>
              </w:rPr>
              <w:t> </w:t>
            </w:r>
            <w:r>
              <w:rPr>
                <w:b/>
                <w:sz w:val="14"/>
              </w:rPr>
              <w:t>THAT</w:t>
            </w:r>
            <w:r>
              <w:rPr>
                <w:b/>
                <w:spacing w:val="-1"/>
                <w:sz w:val="14"/>
              </w:rPr>
              <w:t> </w:t>
            </w:r>
            <w:r>
              <w:rPr>
                <w:b/>
                <w:sz w:val="14"/>
              </w:rPr>
              <w:t>IS</w:t>
            </w:r>
            <w:r>
              <w:rPr>
                <w:b/>
                <w:spacing w:val="-2"/>
                <w:sz w:val="14"/>
              </w:rPr>
              <w:t> </w:t>
            </w:r>
            <w:r>
              <w:rPr>
                <w:b/>
                <w:sz w:val="14"/>
              </w:rPr>
              <w:t>ALSO</w:t>
            </w:r>
            <w:r>
              <w:rPr>
                <w:b/>
                <w:spacing w:val="-3"/>
                <w:sz w:val="14"/>
              </w:rPr>
              <w:t> </w:t>
            </w:r>
            <w:r>
              <w:rPr>
                <w:b/>
                <w:sz w:val="14"/>
              </w:rPr>
              <w:t>TO</w:t>
            </w:r>
            <w:r>
              <w:rPr>
                <w:b/>
                <w:spacing w:val="-2"/>
                <w:sz w:val="14"/>
              </w:rPr>
              <w:t> </w:t>
            </w:r>
            <w:r>
              <w:rPr>
                <w:b/>
                <w:sz w:val="14"/>
              </w:rPr>
              <w:t>SUBJECT</w:t>
            </w:r>
            <w:r>
              <w:rPr>
                <w:b/>
                <w:spacing w:val="-1"/>
                <w:sz w:val="14"/>
              </w:rPr>
              <w:t> </w:t>
            </w:r>
            <w:r>
              <w:rPr>
                <w:b/>
                <w:sz w:val="14"/>
              </w:rPr>
              <w:t>TO</w:t>
            </w:r>
            <w:r>
              <w:rPr>
                <w:b/>
                <w:spacing w:val="-2"/>
                <w:sz w:val="14"/>
              </w:rPr>
              <w:t> </w:t>
            </w:r>
            <w:r>
              <w:rPr>
                <w:b/>
                <w:sz w:val="14"/>
              </w:rPr>
              <w:t>ELECTED</w:t>
            </w:r>
            <w:r>
              <w:rPr>
                <w:b/>
                <w:spacing w:val="-3"/>
                <w:sz w:val="14"/>
              </w:rPr>
              <w:t> </w:t>
            </w:r>
            <w:r>
              <w:rPr>
                <w:b/>
                <w:sz w:val="18"/>
              </w:rPr>
              <w:t>A</w:t>
            </w:r>
            <w:r>
              <w:rPr>
                <w:b/>
                <w:sz w:val="14"/>
              </w:rPr>
              <w:t>RTICLE</w:t>
            </w:r>
            <w:r>
              <w:rPr>
                <w:b/>
                <w:spacing w:val="-3"/>
                <w:sz w:val="14"/>
              </w:rPr>
              <w:t> </w:t>
            </w:r>
            <w:r>
              <w:rPr>
                <w:b/>
                <w:sz w:val="18"/>
              </w:rPr>
              <w:t>3.4</w:t>
            </w:r>
            <w:r>
              <w:rPr>
                <w:b/>
                <w:spacing w:val="-13"/>
                <w:sz w:val="18"/>
              </w:rPr>
              <w:t> </w:t>
            </w:r>
            <w:r>
              <w:rPr>
                <w:b/>
                <w:sz w:val="14"/>
              </w:rPr>
              <w:t>ACTIVITIES</w:t>
            </w:r>
            <w:r>
              <w:rPr>
                <w:b/>
                <w:position w:val="8"/>
                <w:sz w:val="12"/>
              </w:rPr>
              <w:t>3</w:t>
            </w:r>
            <w:r>
              <w:rPr>
                <w:b/>
                <w:sz w:val="18"/>
              </w:rPr>
              <w:t>;</w:t>
            </w:r>
            <w:r>
              <w:rPr>
                <w:b/>
                <w:spacing w:val="-12"/>
                <w:sz w:val="18"/>
              </w:rPr>
              <w:t> </w:t>
            </w:r>
            <w:r>
              <w:rPr>
                <w:b/>
                <w:sz w:val="14"/>
              </w:rPr>
              <w:t>AND</w:t>
            </w:r>
            <w:r>
              <w:rPr>
                <w:b/>
                <w:spacing w:val="-4"/>
                <w:sz w:val="14"/>
              </w:rPr>
              <w:t> </w:t>
            </w:r>
            <w:r>
              <w:rPr>
                <w:b/>
                <w:sz w:val="18"/>
              </w:rPr>
              <w:t>(VI)</w:t>
            </w:r>
            <w:r>
              <w:rPr>
                <w:b/>
                <w:spacing w:val="-11"/>
                <w:sz w:val="18"/>
              </w:rPr>
              <w:t> </w:t>
            </w:r>
            <w:r>
              <w:rPr>
                <w:b/>
                <w:sz w:val="18"/>
              </w:rPr>
              <w:t>FM</w:t>
            </w:r>
            <w:r>
              <w:rPr>
                <w:b/>
                <w:spacing w:val="-11"/>
                <w:sz w:val="18"/>
              </w:rPr>
              <w:t> </w:t>
            </w:r>
            <w:r>
              <w:rPr>
                <w:b/>
                <w:sz w:val="14"/>
              </w:rPr>
              <w:t>IF</w:t>
            </w:r>
            <w:r>
              <w:rPr>
                <w:b/>
                <w:spacing w:val="-5"/>
                <w:sz w:val="14"/>
              </w:rPr>
              <w:t> </w:t>
            </w:r>
            <w:r>
              <w:rPr>
                <w:b/>
                <w:sz w:val="14"/>
              </w:rPr>
              <w:t>ELECTED</w:t>
            </w:r>
            <w:r>
              <w:rPr>
                <w:b/>
                <w:sz w:val="18"/>
              </w:rPr>
              <w:t>.</w:t>
            </w:r>
            <w:r>
              <w:rPr>
                <w:b/>
                <w:spacing w:val="-11"/>
                <w:sz w:val="18"/>
              </w:rPr>
              <w:t> </w:t>
            </w:r>
            <w:r>
              <w:rPr>
                <w:b/>
                <w:sz w:val="18"/>
              </w:rPr>
              <w:t>(I)</w:t>
            </w:r>
            <w:r>
              <w:rPr>
                <w:b/>
                <w:spacing w:val="-14"/>
                <w:sz w:val="18"/>
              </w:rPr>
              <w:t> </w:t>
            </w:r>
            <w:r>
              <w:rPr>
                <w:b/>
                <w:sz w:val="14"/>
              </w:rPr>
              <w:t>PLUS</w:t>
            </w:r>
            <w:r>
              <w:rPr>
                <w:b/>
                <w:spacing w:val="-3"/>
                <w:sz w:val="14"/>
              </w:rPr>
              <w:t> </w:t>
            </w:r>
            <w:r>
              <w:rPr>
                <w:b/>
                <w:sz w:val="18"/>
              </w:rPr>
              <w:t>(II)</w:t>
            </w:r>
            <w:r>
              <w:rPr>
                <w:b/>
                <w:spacing w:val="-11"/>
                <w:sz w:val="18"/>
              </w:rPr>
              <w:t> </w:t>
            </w:r>
            <w:r>
              <w:rPr>
                <w:b/>
                <w:sz w:val="14"/>
              </w:rPr>
              <w:t>EQUALS</w:t>
            </w:r>
            <w:r>
              <w:rPr>
                <w:b/>
                <w:spacing w:val="-2"/>
                <w:sz w:val="14"/>
              </w:rPr>
              <w:t> </w:t>
            </w:r>
            <w:r>
              <w:rPr>
                <w:b/>
                <w:sz w:val="14"/>
              </w:rPr>
              <w:t>ALL</w:t>
            </w:r>
            <w:r>
              <w:rPr>
                <w:b/>
                <w:spacing w:val="-1"/>
                <w:sz w:val="14"/>
              </w:rPr>
              <w:t> </w:t>
            </w:r>
            <w:r>
              <w:rPr>
                <w:b/>
                <w:sz w:val="18"/>
              </w:rPr>
              <w:t>A</w:t>
            </w:r>
            <w:r>
              <w:rPr>
                <w:b/>
                <w:spacing w:val="-12"/>
                <w:sz w:val="18"/>
              </w:rPr>
              <w:t> </w:t>
            </w:r>
            <w:r>
              <w:rPr>
                <w:b/>
                <w:sz w:val="14"/>
              </w:rPr>
              <w:t>AND</w:t>
            </w:r>
            <w:r>
              <w:rPr>
                <w:b/>
                <w:spacing w:val="-2"/>
                <w:sz w:val="14"/>
              </w:rPr>
              <w:t> </w:t>
            </w:r>
            <w:r>
              <w:rPr>
                <w:b/>
                <w:sz w:val="18"/>
              </w:rPr>
              <w:t>R</w:t>
            </w:r>
            <w:r>
              <w:rPr>
                <w:b/>
                <w:spacing w:val="-12"/>
                <w:sz w:val="18"/>
              </w:rPr>
              <w:t> </w:t>
            </w:r>
            <w:r>
              <w:rPr>
                <w:b/>
                <w:sz w:val="14"/>
              </w:rPr>
              <w:t>LANDS</w:t>
            </w:r>
            <w:r>
              <w:rPr>
                <w:b/>
                <w:sz w:val="18"/>
              </w:rPr>
              <w:t>.</w:t>
            </w:r>
            <w:r>
              <w:rPr>
                <w:b/>
                <w:spacing w:val="-11"/>
                <w:sz w:val="18"/>
              </w:rPr>
              <w:t> </w:t>
            </w:r>
            <w:r>
              <w:rPr>
                <w:b/>
                <w:sz w:val="18"/>
              </w:rPr>
              <w:t>(IV)</w:t>
            </w:r>
          </w:p>
          <w:p>
            <w:pPr>
              <w:pStyle w:val="TableParagraph"/>
              <w:spacing w:line="206" w:lineRule="exact" w:before="2"/>
              <w:ind w:left="114" w:right="117"/>
              <w:jc w:val="center"/>
              <w:rPr>
                <w:b/>
                <w:sz w:val="18"/>
              </w:rPr>
            </w:pPr>
            <w:r>
              <w:rPr>
                <w:b/>
                <w:sz w:val="14"/>
              </w:rPr>
              <w:t>EQUALS</w:t>
            </w:r>
            <w:r>
              <w:rPr>
                <w:b/>
                <w:spacing w:val="-3"/>
                <w:sz w:val="14"/>
              </w:rPr>
              <w:t> </w:t>
            </w:r>
            <w:r>
              <w:rPr>
                <w:b/>
                <w:sz w:val="14"/>
              </w:rPr>
              <w:t>ALL</w:t>
            </w:r>
            <w:r>
              <w:rPr>
                <w:b/>
                <w:spacing w:val="-1"/>
                <w:sz w:val="14"/>
              </w:rPr>
              <w:t> </w:t>
            </w:r>
            <w:r>
              <w:rPr>
                <w:b/>
                <w:sz w:val="18"/>
              </w:rPr>
              <w:t>D</w:t>
            </w:r>
            <w:r>
              <w:rPr>
                <w:b/>
                <w:spacing w:val="-12"/>
                <w:sz w:val="18"/>
              </w:rPr>
              <w:t> </w:t>
            </w:r>
            <w:r>
              <w:rPr>
                <w:b/>
                <w:sz w:val="14"/>
              </w:rPr>
              <w:t>LANDS</w:t>
            </w:r>
            <w:r>
              <w:rPr>
                <w:b/>
                <w:sz w:val="18"/>
              </w:rPr>
              <w:t>.</w:t>
            </w:r>
            <w:r>
              <w:rPr>
                <w:b/>
                <w:spacing w:val="-12"/>
                <w:sz w:val="18"/>
              </w:rPr>
              <w:t> </w:t>
            </w:r>
            <w:r>
              <w:rPr>
                <w:b/>
                <w:sz w:val="18"/>
              </w:rPr>
              <w:t>(I)</w:t>
            </w:r>
            <w:r>
              <w:rPr>
                <w:b/>
                <w:spacing w:val="-11"/>
                <w:sz w:val="18"/>
              </w:rPr>
              <w:t> </w:t>
            </w:r>
            <w:r>
              <w:rPr>
                <w:b/>
                <w:sz w:val="14"/>
              </w:rPr>
              <w:t>PLUS</w:t>
            </w:r>
            <w:r>
              <w:rPr>
                <w:b/>
                <w:spacing w:val="-2"/>
                <w:sz w:val="14"/>
              </w:rPr>
              <w:t> </w:t>
            </w:r>
            <w:r>
              <w:rPr>
                <w:b/>
                <w:sz w:val="18"/>
              </w:rPr>
              <w:t>(II)</w:t>
            </w:r>
            <w:r>
              <w:rPr>
                <w:b/>
                <w:spacing w:val="-12"/>
                <w:sz w:val="18"/>
              </w:rPr>
              <w:t> </w:t>
            </w:r>
            <w:r>
              <w:rPr>
                <w:b/>
                <w:sz w:val="14"/>
              </w:rPr>
              <w:t>PLUS</w:t>
            </w:r>
            <w:r>
              <w:rPr>
                <w:b/>
                <w:spacing w:val="-2"/>
                <w:sz w:val="14"/>
              </w:rPr>
              <w:t> </w:t>
            </w:r>
            <w:r>
              <w:rPr>
                <w:b/>
                <w:sz w:val="18"/>
              </w:rPr>
              <w:t>(IV)</w:t>
            </w:r>
            <w:r>
              <w:rPr>
                <w:b/>
                <w:spacing w:val="-11"/>
                <w:sz w:val="18"/>
              </w:rPr>
              <w:t> </w:t>
            </w:r>
            <w:r>
              <w:rPr>
                <w:b/>
                <w:sz w:val="14"/>
              </w:rPr>
              <w:t>EQUALS</w:t>
            </w:r>
            <w:r>
              <w:rPr>
                <w:b/>
                <w:spacing w:val="-3"/>
                <w:sz w:val="14"/>
              </w:rPr>
              <w:t> </w:t>
            </w:r>
            <w:r>
              <w:rPr>
                <w:b/>
                <w:sz w:val="14"/>
              </w:rPr>
              <w:t>ALL</w:t>
            </w:r>
            <w:r>
              <w:rPr>
                <w:b/>
                <w:spacing w:val="-1"/>
                <w:sz w:val="14"/>
              </w:rPr>
              <w:t> </w:t>
            </w:r>
            <w:r>
              <w:rPr>
                <w:b/>
                <w:sz w:val="18"/>
              </w:rPr>
              <w:t>A,</w:t>
            </w:r>
            <w:r>
              <w:rPr>
                <w:b/>
                <w:spacing w:val="-11"/>
                <w:sz w:val="18"/>
              </w:rPr>
              <w:t> </w:t>
            </w:r>
            <w:r>
              <w:rPr>
                <w:b/>
                <w:sz w:val="18"/>
              </w:rPr>
              <w:t>R,</w:t>
            </w:r>
            <w:r>
              <w:rPr>
                <w:b/>
                <w:spacing w:val="-12"/>
                <w:sz w:val="18"/>
              </w:rPr>
              <w:t> </w:t>
            </w:r>
            <w:r>
              <w:rPr>
                <w:b/>
                <w:sz w:val="14"/>
              </w:rPr>
              <w:t>AND</w:t>
            </w:r>
            <w:r>
              <w:rPr>
                <w:b/>
                <w:spacing w:val="-1"/>
                <w:sz w:val="14"/>
              </w:rPr>
              <w:t> </w:t>
            </w:r>
            <w:r>
              <w:rPr>
                <w:b/>
                <w:sz w:val="18"/>
              </w:rPr>
              <w:t>D</w:t>
            </w:r>
            <w:r>
              <w:rPr>
                <w:b/>
                <w:spacing w:val="-13"/>
                <w:sz w:val="18"/>
              </w:rPr>
              <w:t> </w:t>
            </w:r>
            <w:r>
              <w:rPr>
                <w:b/>
                <w:sz w:val="14"/>
              </w:rPr>
              <w:t>LANDS</w:t>
            </w:r>
            <w:r>
              <w:rPr>
                <w:b/>
                <w:spacing w:val="-2"/>
                <w:sz w:val="14"/>
              </w:rPr>
              <w:t> </w:t>
            </w:r>
            <w:r>
              <w:rPr>
                <w:b/>
                <w:sz w:val="18"/>
              </w:rPr>
              <w:t>(A</w:t>
            </w:r>
            <w:r>
              <w:rPr>
                <w:b/>
                <w:sz w:val="14"/>
              </w:rPr>
              <w:t>RTICLE</w:t>
            </w:r>
            <w:r>
              <w:rPr>
                <w:b/>
                <w:spacing w:val="-1"/>
                <w:sz w:val="14"/>
              </w:rPr>
              <w:t> </w:t>
            </w:r>
            <w:r>
              <w:rPr>
                <w:b/>
                <w:sz w:val="18"/>
              </w:rPr>
              <w:t>3.3).</w:t>
            </w:r>
            <w:r>
              <w:rPr>
                <w:b/>
                <w:spacing w:val="-13"/>
                <w:sz w:val="18"/>
              </w:rPr>
              <w:t> </w:t>
            </w:r>
            <w:r>
              <w:rPr>
                <w:b/>
                <w:sz w:val="18"/>
              </w:rPr>
              <w:t>(VI)</w:t>
            </w:r>
            <w:r>
              <w:rPr>
                <w:b/>
                <w:spacing w:val="-12"/>
                <w:sz w:val="18"/>
              </w:rPr>
              <w:t> </w:t>
            </w:r>
            <w:r>
              <w:rPr>
                <w:b/>
                <w:sz w:val="14"/>
              </w:rPr>
              <w:t>MUST</w:t>
            </w:r>
            <w:r>
              <w:rPr>
                <w:b/>
                <w:spacing w:val="-1"/>
                <w:sz w:val="14"/>
              </w:rPr>
              <w:t> </w:t>
            </w:r>
            <w:r>
              <w:rPr>
                <w:b/>
                <w:sz w:val="14"/>
              </w:rPr>
              <w:t>NOT</w:t>
            </w:r>
            <w:r>
              <w:rPr>
                <w:b/>
                <w:spacing w:val="-1"/>
                <w:sz w:val="14"/>
              </w:rPr>
              <w:t> </w:t>
            </w:r>
            <w:r>
              <w:rPr>
                <w:b/>
                <w:sz w:val="14"/>
              </w:rPr>
              <w:t>INCLUDE</w:t>
            </w:r>
            <w:r>
              <w:rPr>
                <w:b/>
                <w:spacing w:val="-2"/>
                <w:sz w:val="14"/>
              </w:rPr>
              <w:t> </w:t>
            </w:r>
            <w:r>
              <w:rPr>
                <w:b/>
                <w:sz w:val="14"/>
              </w:rPr>
              <w:t>ANY</w:t>
            </w:r>
            <w:r>
              <w:rPr>
                <w:b/>
                <w:spacing w:val="-1"/>
                <w:sz w:val="14"/>
              </w:rPr>
              <w:t> </w:t>
            </w:r>
            <w:r>
              <w:rPr>
                <w:b/>
                <w:sz w:val="18"/>
              </w:rPr>
              <w:t>A,</w:t>
            </w:r>
            <w:r>
              <w:rPr>
                <w:b/>
                <w:spacing w:val="-13"/>
                <w:sz w:val="18"/>
              </w:rPr>
              <w:t> </w:t>
            </w:r>
            <w:r>
              <w:rPr>
                <w:b/>
                <w:sz w:val="18"/>
              </w:rPr>
              <w:t>R,</w:t>
            </w:r>
            <w:r>
              <w:rPr>
                <w:b/>
                <w:spacing w:val="-12"/>
                <w:sz w:val="18"/>
              </w:rPr>
              <w:t> </w:t>
            </w:r>
            <w:r>
              <w:rPr>
                <w:b/>
                <w:sz w:val="14"/>
              </w:rPr>
              <w:t>OR</w:t>
            </w:r>
            <w:r>
              <w:rPr>
                <w:b/>
                <w:spacing w:val="-4"/>
                <w:sz w:val="14"/>
              </w:rPr>
              <w:t> </w:t>
            </w:r>
            <w:r>
              <w:rPr>
                <w:b/>
                <w:sz w:val="18"/>
              </w:rPr>
              <w:t>D</w:t>
            </w:r>
            <w:r>
              <w:rPr>
                <w:b/>
                <w:spacing w:val="-12"/>
                <w:sz w:val="18"/>
              </w:rPr>
              <w:t> </w:t>
            </w:r>
            <w:r>
              <w:rPr>
                <w:b/>
                <w:sz w:val="18"/>
              </w:rPr>
              <w:t>(A</w:t>
            </w:r>
            <w:r>
              <w:rPr>
                <w:b/>
                <w:sz w:val="14"/>
              </w:rPr>
              <w:t>RTICLE</w:t>
            </w:r>
            <w:r>
              <w:rPr>
                <w:b/>
                <w:spacing w:val="-3"/>
                <w:sz w:val="14"/>
              </w:rPr>
              <w:t> </w:t>
            </w:r>
            <w:r>
              <w:rPr>
                <w:b/>
                <w:sz w:val="18"/>
              </w:rPr>
              <w:t>3.3)</w:t>
            </w:r>
            <w:r>
              <w:rPr>
                <w:b/>
                <w:spacing w:val="-12"/>
                <w:sz w:val="18"/>
              </w:rPr>
              <w:t> </w:t>
            </w:r>
            <w:r>
              <w:rPr>
                <w:b/>
                <w:sz w:val="14"/>
              </w:rPr>
              <w:t>LANDS</w:t>
            </w:r>
            <w:r>
              <w:rPr>
                <w:b/>
                <w:sz w:val="18"/>
              </w:rPr>
              <w:t>.</w:t>
            </w:r>
            <w:r>
              <w:rPr>
                <w:b/>
                <w:spacing w:val="-11"/>
                <w:sz w:val="18"/>
              </w:rPr>
              <w:t> </w:t>
            </w:r>
            <w:r>
              <w:rPr>
                <w:b/>
                <w:sz w:val="18"/>
              </w:rPr>
              <w:t>(III)</w:t>
            </w:r>
            <w:r>
              <w:rPr>
                <w:b/>
                <w:spacing w:val="-12"/>
                <w:sz w:val="18"/>
              </w:rPr>
              <w:t> </w:t>
            </w:r>
            <w:r>
              <w:rPr>
                <w:b/>
                <w:sz w:val="14"/>
              </w:rPr>
              <w:t>AND</w:t>
            </w:r>
            <w:r>
              <w:rPr>
                <w:b/>
                <w:spacing w:val="-1"/>
                <w:sz w:val="14"/>
              </w:rPr>
              <w:t> </w:t>
            </w:r>
            <w:r>
              <w:rPr>
                <w:b/>
                <w:sz w:val="18"/>
              </w:rPr>
              <w:t>(V)</w:t>
            </w:r>
            <w:r>
              <w:rPr>
                <w:b/>
                <w:spacing w:val="-11"/>
                <w:sz w:val="18"/>
              </w:rPr>
              <w:t> </w:t>
            </w:r>
            <w:r>
              <w:rPr>
                <w:b/>
                <w:sz w:val="14"/>
              </w:rPr>
              <w:t>ARE</w:t>
            </w:r>
            <w:r>
              <w:rPr>
                <w:b/>
                <w:spacing w:val="-2"/>
                <w:sz w:val="14"/>
              </w:rPr>
              <w:t> </w:t>
            </w:r>
            <w:r>
              <w:rPr>
                <w:b/>
                <w:sz w:val="14"/>
              </w:rPr>
              <w:t>PROVIDED</w:t>
            </w:r>
            <w:r>
              <w:rPr>
                <w:b/>
                <w:spacing w:val="-1"/>
                <w:sz w:val="14"/>
              </w:rPr>
              <w:t> </w:t>
            </w:r>
            <w:r>
              <w:rPr>
                <w:b/>
                <w:sz w:val="14"/>
              </w:rPr>
              <w:t>ONLY FOR INFORMATION</w:t>
            </w:r>
            <w:r>
              <w:rPr>
                <w:b/>
                <w:spacing w:val="1"/>
                <w:sz w:val="14"/>
              </w:rPr>
              <w:t> </w:t>
            </w:r>
            <w:r>
              <w:rPr>
                <w:b/>
                <w:sz w:val="14"/>
              </w:rPr>
              <w:t>PURPOSES</w:t>
            </w:r>
            <w:r>
              <w:rPr>
                <w:b/>
                <w:position w:val="8"/>
                <w:sz w:val="12"/>
              </w:rPr>
              <w:t>4</w:t>
            </w:r>
            <w:r>
              <w:rPr>
                <w:b/>
                <w:sz w:val="18"/>
              </w:rPr>
              <w:t>.</w:t>
            </w:r>
          </w:p>
        </w:tc>
      </w:tr>
      <w:tr>
        <w:trPr>
          <w:trHeight w:val="653" w:hRule="atLeast"/>
        </w:trPr>
        <w:tc>
          <w:tcPr>
            <w:tcW w:w="14357" w:type="dxa"/>
            <w:gridSpan w:val="12"/>
            <w:tcBorders>
              <w:top w:val="double" w:sz="1" w:space="0" w:color="000000"/>
            </w:tcBorders>
          </w:tcPr>
          <w:p>
            <w:pPr>
              <w:pStyle w:val="TableParagraph"/>
              <w:spacing w:before="61"/>
              <w:ind w:left="107"/>
              <w:rPr>
                <w:b/>
                <w:sz w:val="18"/>
              </w:rPr>
            </w:pPr>
            <w:r>
              <w:rPr>
                <w:b/>
                <w:sz w:val="18"/>
              </w:rPr>
              <w:t>Activity:</w:t>
            </w:r>
          </w:p>
          <w:p>
            <w:pPr>
              <w:pStyle w:val="TableParagraph"/>
              <w:spacing w:before="119"/>
              <w:ind w:left="107"/>
              <w:rPr>
                <w:b/>
                <w:sz w:val="18"/>
              </w:rPr>
            </w:pPr>
            <w:r>
              <w:rPr>
                <w:b/>
                <w:sz w:val="18"/>
              </w:rPr>
              <w:t>Inventory year:</w:t>
            </w:r>
          </w:p>
        </w:tc>
      </w:tr>
      <w:tr>
        <w:trPr>
          <w:trHeight w:val="273" w:hRule="atLeast"/>
        </w:trPr>
        <w:tc>
          <w:tcPr>
            <w:tcW w:w="2130" w:type="dxa"/>
            <w:gridSpan w:val="2"/>
            <w:vMerge w:val="restart"/>
          </w:tcPr>
          <w:p>
            <w:pPr>
              <w:pStyle w:val="TableParagraph"/>
              <w:rPr>
                <w:sz w:val="22"/>
              </w:rPr>
            </w:pPr>
          </w:p>
          <w:p>
            <w:pPr>
              <w:pStyle w:val="TableParagraph"/>
              <w:spacing w:before="152"/>
              <w:ind w:left="107"/>
              <w:rPr>
                <w:b/>
                <w:sz w:val="18"/>
              </w:rPr>
            </w:pPr>
            <w:r>
              <w:rPr>
                <w:b/>
                <w:sz w:val="18"/>
              </w:rPr>
              <w:t>Geographical Location</w:t>
            </w:r>
            <w:r>
              <w:rPr>
                <w:b/>
                <w:sz w:val="18"/>
                <w:vertAlign w:val="superscript"/>
              </w:rPr>
              <w:t>5</w:t>
            </w:r>
          </w:p>
        </w:tc>
        <w:tc>
          <w:tcPr>
            <w:tcW w:w="1122" w:type="dxa"/>
            <w:vMerge w:val="restart"/>
          </w:tcPr>
          <w:p>
            <w:pPr>
              <w:pStyle w:val="TableParagraph"/>
              <w:spacing w:before="3"/>
              <w:rPr>
                <w:sz w:val="26"/>
              </w:rPr>
            </w:pPr>
          </w:p>
          <w:p>
            <w:pPr>
              <w:pStyle w:val="TableParagraph"/>
              <w:ind w:left="255" w:right="227" w:firstLine="16"/>
              <w:rPr>
                <w:b/>
                <w:sz w:val="18"/>
              </w:rPr>
            </w:pPr>
            <w:r>
              <w:rPr>
                <w:b/>
                <w:sz w:val="18"/>
              </w:rPr>
              <w:t>Area of Activity</w:t>
            </w:r>
          </w:p>
        </w:tc>
        <w:tc>
          <w:tcPr>
            <w:tcW w:w="5715" w:type="dxa"/>
            <w:gridSpan w:val="5"/>
          </w:tcPr>
          <w:p>
            <w:pPr>
              <w:pStyle w:val="TableParagraph"/>
              <w:spacing w:line="193" w:lineRule="exact" w:before="59"/>
              <w:ind w:left="971"/>
              <w:rPr>
                <w:b/>
                <w:sz w:val="18"/>
              </w:rPr>
            </w:pPr>
            <w:r>
              <w:rPr>
                <w:b/>
                <w:sz w:val="18"/>
              </w:rPr>
              <w:t>Increases (+) and Decreases (-) in Carbon Stock </w:t>
            </w:r>
            <w:r>
              <w:rPr>
                <w:b/>
                <w:sz w:val="18"/>
                <w:vertAlign w:val="superscript"/>
              </w:rPr>
              <w:t>6</w:t>
            </w:r>
          </w:p>
        </w:tc>
        <w:tc>
          <w:tcPr>
            <w:tcW w:w="1348" w:type="dxa"/>
            <w:vMerge w:val="restart"/>
          </w:tcPr>
          <w:p>
            <w:pPr>
              <w:pStyle w:val="TableParagraph"/>
              <w:spacing w:before="196"/>
              <w:ind w:left="143" w:right="149"/>
              <w:jc w:val="center"/>
              <w:rPr>
                <w:b/>
                <w:sz w:val="18"/>
              </w:rPr>
            </w:pPr>
            <w:r>
              <w:rPr>
                <w:b/>
                <w:sz w:val="18"/>
              </w:rPr>
              <w:t>Total Carbon Stock Changes</w:t>
            </w:r>
            <w:r>
              <w:rPr>
                <w:b/>
                <w:sz w:val="18"/>
                <w:vertAlign w:val="superscript"/>
              </w:rPr>
              <w:t>7</w:t>
            </w:r>
          </w:p>
        </w:tc>
        <w:tc>
          <w:tcPr>
            <w:tcW w:w="1458" w:type="dxa"/>
            <w:vMerge w:val="restart"/>
          </w:tcPr>
          <w:p>
            <w:pPr>
              <w:pStyle w:val="TableParagraph"/>
              <w:spacing w:before="93"/>
              <w:ind w:left="122" w:right="130" w:hanging="3"/>
              <w:jc w:val="center"/>
              <w:rPr>
                <w:b/>
                <w:sz w:val="18"/>
              </w:rPr>
            </w:pPr>
            <w:r>
              <w:rPr>
                <w:b/>
                <w:sz w:val="18"/>
              </w:rPr>
              <w:t>Emissions (+) or Removals (-) from Carbon Stock Changes</w:t>
            </w:r>
            <w:r>
              <w:rPr>
                <w:b/>
                <w:sz w:val="18"/>
                <w:vertAlign w:val="superscript"/>
              </w:rPr>
              <w:t>8</w:t>
            </w:r>
          </w:p>
        </w:tc>
        <w:tc>
          <w:tcPr>
            <w:tcW w:w="1292" w:type="dxa"/>
            <w:vMerge w:val="restart"/>
          </w:tcPr>
          <w:p>
            <w:pPr>
              <w:pStyle w:val="TableParagraph"/>
              <w:spacing w:before="3"/>
              <w:rPr>
                <w:sz w:val="26"/>
              </w:rPr>
            </w:pPr>
          </w:p>
          <w:p>
            <w:pPr>
              <w:pStyle w:val="TableParagraph"/>
              <w:spacing w:line="207" w:lineRule="exact"/>
              <w:ind w:left="228" w:right="240"/>
              <w:jc w:val="center"/>
              <w:rPr>
                <w:b/>
                <w:sz w:val="18"/>
              </w:rPr>
            </w:pPr>
            <w:r>
              <w:rPr>
                <w:b/>
                <w:sz w:val="18"/>
              </w:rPr>
              <w:t>CH</w:t>
            </w:r>
            <w:r>
              <w:rPr>
                <w:b/>
                <w:sz w:val="18"/>
                <w:vertAlign w:val="subscript"/>
              </w:rPr>
              <w:t>4</w:t>
            </w:r>
          </w:p>
          <w:p>
            <w:pPr>
              <w:pStyle w:val="TableParagraph"/>
              <w:spacing w:line="207" w:lineRule="exact"/>
              <w:ind w:left="226" w:right="241"/>
              <w:jc w:val="center"/>
              <w:rPr>
                <w:b/>
                <w:sz w:val="18"/>
              </w:rPr>
            </w:pPr>
            <w:r>
              <w:rPr>
                <w:b/>
                <w:sz w:val="18"/>
              </w:rPr>
              <w:t>Emissions</w:t>
            </w:r>
          </w:p>
        </w:tc>
        <w:tc>
          <w:tcPr>
            <w:tcW w:w="1292" w:type="dxa"/>
            <w:vMerge w:val="restart"/>
          </w:tcPr>
          <w:p>
            <w:pPr>
              <w:pStyle w:val="TableParagraph"/>
              <w:spacing w:before="3"/>
              <w:rPr>
                <w:sz w:val="26"/>
              </w:rPr>
            </w:pPr>
          </w:p>
          <w:p>
            <w:pPr>
              <w:pStyle w:val="TableParagraph"/>
              <w:spacing w:line="207" w:lineRule="exact"/>
              <w:ind w:left="228" w:right="241"/>
              <w:jc w:val="center"/>
              <w:rPr>
                <w:b/>
                <w:sz w:val="18"/>
              </w:rPr>
            </w:pPr>
            <w:r>
              <w:rPr>
                <w:b/>
                <w:sz w:val="18"/>
              </w:rPr>
              <w:t>N</w:t>
            </w:r>
            <w:r>
              <w:rPr>
                <w:b/>
                <w:sz w:val="18"/>
                <w:vertAlign w:val="subscript"/>
              </w:rPr>
              <w:t>2</w:t>
            </w:r>
            <w:r>
              <w:rPr>
                <w:b/>
                <w:sz w:val="18"/>
                <w:vertAlign w:val="baseline"/>
              </w:rPr>
              <w:t>O</w:t>
            </w:r>
          </w:p>
          <w:p>
            <w:pPr>
              <w:pStyle w:val="TableParagraph"/>
              <w:spacing w:line="207" w:lineRule="exact"/>
              <w:ind w:left="228" w:right="240"/>
              <w:jc w:val="center"/>
              <w:rPr>
                <w:b/>
                <w:sz w:val="18"/>
              </w:rPr>
            </w:pPr>
            <w:r>
              <w:rPr>
                <w:b/>
                <w:sz w:val="18"/>
              </w:rPr>
              <w:t>Emissions</w:t>
            </w:r>
          </w:p>
        </w:tc>
      </w:tr>
      <w:tr>
        <w:trPr>
          <w:trHeight w:val="743" w:hRule="atLeast"/>
        </w:trPr>
        <w:tc>
          <w:tcPr>
            <w:tcW w:w="2130" w:type="dxa"/>
            <w:gridSpan w:val="2"/>
            <w:vMerge/>
            <w:tcBorders>
              <w:top w:val="nil"/>
            </w:tcBorders>
          </w:tcPr>
          <w:p>
            <w:pPr>
              <w:rPr>
                <w:sz w:val="2"/>
                <w:szCs w:val="2"/>
              </w:rPr>
            </w:pPr>
          </w:p>
        </w:tc>
        <w:tc>
          <w:tcPr>
            <w:tcW w:w="1122" w:type="dxa"/>
            <w:vMerge/>
            <w:tcBorders>
              <w:top w:val="nil"/>
            </w:tcBorders>
          </w:tcPr>
          <w:p>
            <w:pPr>
              <w:rPr>
                <w:sz w:val="2"/>
                <w:szCs w:val="2"/>
              </w:rPr>
            </w:pPr>
          </w:p>
        </w:tc>
        <w:tc>
          <w:tcPr>
            <w:tcW w:w="1124" w:type="dxa"/>
          </w:tcPr>
          <w:p>
            <w:pPr>
              <w:pStyle w:val="TableParagraph"/>
              <w:spacing w:before="59"/>
              <w:ind w:left="249" w:right="245" w:firstLine="64"/>
              <w:jc w:val="both"/>
              <w:rPr>
                <w:b/>
                <w:sz w:val="18"/>
              </w:rPr>
            </w:pPr>
            <w:r>
              <w:rPr>
                <w:b/>
                <w:sz w:val="18"/>
              </w:rPr>
              <w:t>Above ground </w:t>
            </w:r>
            <w:r>
              <w:rPr>
                <w:b/>
                <w:spacing w:val="-1"/>
                <w:sz w:val="18"/>
              </w:rPr>
              <w:t>biomass</w:t>
            </w:r>
          </w:p>
        </w:tc>
        <w:tc>
          <w:tcPr>
            <w:tcW w:w="1122" w:type="dxa"/>
          </w:tcPr>
          <w:p>
            <w:pPr>
              <w:pStyle w:val="TableParagraph"/>
              <w:spacing w:before="59"/>
              <w:ind w:left="248" w:right="244" w:firstLine="72"/>
              <w:jc w:val="both"/>
              <w:rPr>
                <w:b/>
                <w:sz w:val="18"/>
              </w:rPr>
            </w:pPr>
            <w:r>
              <w:rPr>
                <w:b/>
                <w:sz w:val="18"/>
              </w:rPr>
              <w:t>Below ground </w:t>
            </w:r>
            <w:r>
              <w:rPr>
                <w:b/>
                <w:spacing w:val="-1"/>
                <w:sz w:val="18"/>
              </w:rPr>
              <w:t>biomass</w:t>
            </w:r>
          </w:p>
        </w:tc>
        <w:tc>
          <w:tcPr>
            <w:tcW w:w="1124" w:type="dxa"/>
          </w:tcPr>
          <w:p>
            <w:pPr>
              <w:pStyle w:val="TableParagraph"/>
              <w:spacing w:before="4"/>
              <w:rPr>
                <w:sz w:val="23"/>
              </w:rPr>
            </w:pPr>
          </w:p>
          <w:p>
            <w:pPr>
              <w:pStyle w:val="TableParagraph"/>
              <w:ind w:left="164" w:right="164"/>
              <w:jc w:val="center"/>
              <w:rPr>
                <w:b/>
                <w:sz w:val="18"/>
              </w:rPr>
            </w:pPr>
            <w:r>
              <w:rPr>
                <w:b/>
                <w:sz w:val="18"/>
              </w:rPr>
              <w:t>Litter</w:t>
            </w:r>
          </w:p>
        </w:tc>
        <w:tc>
          <w:tcPr>
            <w:tcW w:w="1122" w:type="dxa"/>
          </w:tcPr>
          <w:p>
            <w:pPr>
              <w:pStyle w:val="TableParagraph"/>
              <w:spacing w:before="4"/>
              <w:rPr>
                <w:sz w:val="23"/>
              </w:rPr>
            </w:pPr>
          </w:p>
          <w:p>
            <w:pPr>
              <w:pStyle w:val="TableParagraph"/>
              <w:ind w:left="108" w:right="108"/>
              <w:jc w:val="center"/>
              <w:rPr>
                <w:b/>
                <w:sz w:val="18"/>
              </w:rPr>
            </w:pPr>
            <w:r>
              <w:rPr>
                <w:b/>
                <w:sz w:val="18"/>
              </w:rPr>
              <w:t>Dead wood</w:t>
            </w:r>
          </w:p>
        </w:tc>
        <w:tc>
          <w:tcPr>
            <w:tcW w:w="1223" w:type="dxa"/>
          </w:tcPr>
          <w:p>
            <w:pPr>
              <w:pStyle w:val="TableParagraph"/>
              <w:spacing w:before="4"/>
              <w:rPr>
                <w:sz w:val="23"/>
              </w:rPr>
            </w:pPr>
          </w:p>
          <w:p>
            <w:pPr>
              <w:pStyle w:val="TableParagraph"/>
              <w:ind w:left="213" w:right="215"/>
              <w:jc w:val="center"/>
              <w:rPr>
                <w:b/>
                <w:sz w:val="18"/>
              </w:rPr>
            </w:pPr>
            <w:r>
              <w:rPr>
                <w:b/>
                <w:sz w:val="18"/>
              </w:rPr>
              <w:t>Soil</w:t>
            </w:r>
          </w:p>
        </w:tc>
        <w:tc>
          <w:tcPr>
            <w:tcW w:w="1348" w:type="dxa"/>
            <w:vMerge/>
            <w:tcBorders>
              <w:top w:val="nil"/>
            </w:tcBorders>
          </w:tcPr>
          <w:p>
            <w:pPr>
              <w:rPr>
                <w:sz w:val="2"/>
                <w:szCs w:val="2"/>
              </w:rPr>
            </w:pPr>
          </w:p>
        </w:tc>
        <w:tc>
          <w:tcPr>
            <w:tcW w:w="1458" w:type="dxa"/>
            <w:vMerge/>
            <w:tcBorders>
              <w:top w:val="nil"/>
            </w:tcBorders>
          </w:tcPr>
          <w:p>
            <w:pPr>
              <w:rPr>
                <w:sz w:val="2"/>
                <w:szCs w:val="2"/>
              </w:rPr>
            </w:pPr>
          </w:p>
        </w:tc>
        <w:tc>
          <w:tcPr>
            <w:tcW w:w="1292" w:type="dxa"/>
            <w:vMerge/>
            <w:tcBorders>
              <w:top w:val="nil"/>
            </w:tcBorders>
          </w:tcPr>
          <w:p>
            <w:pPr>
              <w:rPr>
                <w:sz w:val="2"/>
                <w:szCs w:val="2"/>
              </w:rPr>
            </w:pPr>
          </w:p>
        </w:tc>
        <w:tc>
          <w:tcPr>
            <w:tcW w:w="1292" w:type="dxa"/>
            <w:vMerge/>
            <w:tcBorders>
              <w:top w:val="nil"/>
            </w:tcBorders>
          </w:tcPr>
          <w:p>
            <w:pPr>
              <w:rPr>
                <w:sz w:val="2"/>
                <w:szCs w:val="2"/>
              </w:rPr>
            </w:pPr>
          </w:p>
        </w:tc>
      </w:tr>
      <w:tr>
        <w:trPr>
          <w:trHeight w:val="273" w:hRule="atLeast"/>
        </w:trPr>
        <w:tc>
          <w:tcPr>
            <w:tcW w:w="1054" w:type="dxa"/>
          </w:tcPr>
          <w:p>
            <w:pPr>
              <w:pStyle w:val="TableParagraph"/>
              <w:spacing w:before="33"/>
              <w:ind w:left="125" w:right="119"/>
              <w:jc w:val="center"/>
              <w:rPr>
                <w:b/>
                <w:sz w:val="18"/>
              </w:rPr>
            </w:pPr>
            <w:r>
              <w:rPr>
                <w:b/>
                <w:sz w:val="18"/>
              </w:rPr>
              <w:t>Serial No.</w:t>
            </w:r>
          </w:p>
        </w:tc>
        <w:tc>
          <w:tcPr>
            <w:tcW w:w="1076" w:type="dxa"/>
          </w:tcPr>
          <w:p>
            <w:pPr>
              <w:pStyle w:val="TableParagraph"/>
              <w:spacing w:before="33"/>
              <w:ind w:left="62" w:right="55"/>
              <w:jc w:val="center"/>
              <w:rPr>
                <w:sz w:val="18"/>
              </w:rPr>
            </w:pPr>
            <w:r>
              <w:rPr>
                <w:b/>
                <w:sz w:val="18"/>
              </w:rPr>
              <w:t>ID</w:t>
            </w:r>
            <w:r>
              <w:rPr>
                <w:sz w:val="18"/>
                <w:vertAlign w:val="superscript"/>
              </w:rPr>
              <w:t>9</w:t>
            </w:r>
          </w:p>
        </w:tc>
        <w:tc>
          <w:tcPr>
            <w:tcW w:w="1122" w:type="dxa"/>
          </w:tcPr>
          <w:p>
            <w:pPr>
              <w:pStyle w:val="TableParagraph"/>
              <w:spacing w:before="33"/>
              <w:ind w:left="108" w:right="100"/>
              <w:jc w:val="center"/>
              <w:rPr>
                <w:b/>
                <w:sz w:val="18"/>
              </w:rPr>
            </w:pPr>
            <w:r>
              <w:rPr>
                <w:b/>
                <w:sz w:val="18"/>
              </w:rPr>
              <w:t>(ha)</w:t>
            </w:r>
          </w:p>
        </w:tc>
        <w:tc>
          <w:tcPr>
            <w:tcW w:w="1124" w:type="dxa"/>
          </w:tcPr>
          <w:p>
            <w:pPr>
              <w:pStyle w:val="TableParagraph"/>
              <w:spacing w:before="33"/>
              <w:ind w:left="184"/>
              <w:rPr>
                <w:b/>
                <w:sz w:val="18"/>
              </w:rPr>
            </w:pPr>
            <w:r>
              <w:rPr>
                <w:b/>
                <w:sz w:val="18"/>
              </w:rPr>
              <w:t>(Gg C/yr)</w:t>
            </w:r>
          </w:p>
        </w:tc>
        <w:tc>
          <w:tcPr>
            <w:tcW w:w="1122" w:type="dxa"/>
          </w:tcPr>
          <w:p>
            <w:pPr>
              <w:pStyle w:val="TableParagraph"/>
              <w:spacing w:before="33"/>
              <w:ind w:left="183"/>
              <w:rPr>
                <w:b/>
                <w:sz w:val="18"/>
              </w:rPr>
            </w:pPr>
            <w:r>
              <w:rPr>
                <w:b/>
                <w:sz w:val="18"/>
              </w:rPr>
              <w:t>(Gg C/yr)</w:t>
            </w:r>
          </w:p>
        </w:tc>
        <w:tc>
          <w:tcPr>
            <w:tcW w:w="1124" w:type="dxa"/>
          </w:tcPr>
          <w:p>
            <w:pPr>
              <w:pStyle w:val="TableParagraph"/>
              <w:spacing w:before="33"/>
              <w:ind w:left="164" w:right="164"/>
              <w:jc w:val="center"/>
              <w:rPr>
                <w:b/>
                <w:sz w:val="18"/>
              </w:rPr>
            </w:pPr>
            <w:r>
              <w:rPr>
                <w:b/>
                <w:sz w:val="18"/>
              </w:rPr>
              <w:t>(Gg C/yr)</w:t>
            </w:r>
          </w:p>
        </w:tc>
        <w:tc>
          <w:tcPr>
            <w:tcW w:w="1122" w:type="dxa"/>
          </w:tcPr>
          <w:p>
            <w:pPr>
              <w:pStyle w:val="TableParagraph"/>
              <w:spacing w:before="33"/>
              <w:ind w:left="108" w:right="108"/>
              <w:jc w:val="center"/>
              <w:rPr>
                <w:b/>
                <w:sz w:val="18"/>
              </w:rPr>
            </w:pPr>
            <w:r>
              <w:rPr>
                <w:b/>
                <w:sz w:val="18"/>
              </w:rPr>
              <w:t>(Gg C/yr)</w:t>
            </w:r>
          </w:p>
        </w:tc>
        <w:tc>
          <w:tcPr>
            <w:tcW w:w="1223" w:type="dxa"/>
          </w:tcPr>
          <w:p>
            <w:pPr>
              <w:pStyle w:val="TableParagraph"/>
              <w:spacing w:before="33"/>
              <w:ind w:left="213" w:right="215"/>
              <w:jc w:val="center"/>
              <w:rPr>
                <w:b/>
                <w:sz w:val="18"/>
              </w:rPr>
            </w:pPr>
            <w:r>
              <w:rPr>
                <w:b/>
                <w:sz w:val="18"/>
              </w:rPr>
              <w:t>(Gg C/yr)</w:t>
            </w:r>
          </w:p>
        </w:tc>
        <w:tc>
          <w:tcPr>
            <w:tcW w:w="1348" w:type="dxa"/>
          </w:tcPr>
          <w:p>
            <w:pPr>
              <w:pStyle w:val="TableParagraph"/>
              <w:spacing w:before="33"/>
              <w:ind w:left="291"/>
              <w:rPr>
                <w:b/>
                <w:sz w:val="18"/>
              </w:rPr>
            </w:pPr>
            <w:r>
              <w:rPr>
                <w:b/>
                <w:sz w:val="18"/>
              </w:rPr>
              <w:t>(Gg C/yr)</w:t>
            </w:r>
          </w:p>
        </w:tc>
        <w:tc>
          <w:tcPr>
            <w:tcW w:w="1458" w:type="dxa"/>
          </w:tcPr>
          <w:p>
            <w:pPr>
              <w:pStyle w:val="TableParagraph"/>
              <w:spacing w:before="33"/>
              <w:ind w:left="206"/>
              <w:rPr>
                <w:b/>
                <w:sz w:val="18"/>
              </w:rPr>
            </w:pPr>
            <w:r>
              <w:rPr>
                <w:b/>
                <w:sz w:val="18"/>
              </w:rPr>
              <w:t>(Gg CO</w:t>
            </w:r>
            <w:r>
              <w:rPr>
                <w:b/>
                <w:sz w:val="18"/>
                <w:vertAlign w:val="subscript"/>
              </w:rPr>
              <w:t>2</w:t>
            </w:r>
            <w:r>
              <w:rPr>
                <w:b/>
                <w:sz w:val="18"/>
                <w:vertAlign w:val="baseline"/>
              </w:rPr>
              <w:t>e/yr)</w:t>
            </w:r>
          </w:p>
        </w:tc>
        <w:tc>
          <w:tcPr>
            <w:tcW w:w="1292" w:type="dxa"/>
          </w:tcPr>
          <w:p>
            <w:pPr>
              <w:pStyle w:val="TableParagraph"/>
              <w:spacing w:before="33"/>
              <w:ind w:left="346"/>
              <w:rPr>
                <w:b/>
                <w:sz w:val="18"/>
              </w:rPr>
            </w:pPr>
            <w:r>
              <w:rPr>
                <w:b/>
                <w:sz w:val="18"/>
              </w:rPr>
              <w:t>(Gg/yr)</w:t>
            </w:r>
          </w:p>
        </w:tc>
        <w:tc>
          <w:tcPr>
            <w:tcW w:w="1292" w:type="dxa"/>
          </w:tcPr>
          <w:p>
            <w:pPr>
              <w:pStyle w:val="TableParagraph"/>
              <w:spacing w:before="33"/>
              <w:ind w:left="348"/>
              <w:rPr>
                <w:b/>
                <w:sz w:val="18"/>
              </w:rPr>
            </w:pPr>
            <w:r>
              <w:rPr>
                <w:b/>
                <w:sz w:val="18"/>
              </w:rPr>
              <w:t>(Gg/yr)</w:t>
            </w:r>
          </w:p>
        </w:tc>
      </w:tr>
      <w:tr>
        <w:trPr>
          <w:trHeight w:val="273" w:hRule="atLeast"/>
        </w:trPr>
        <w:tc>
          <w:tcPr>
            <w:tcW w:w="1054" w:type="dxa"/>
          </w:tcPr>
          <w:p>
            <w:pPr>
              <w:pStyle w:val="TableParagraph"/>
              <w:spacing w:before="33"/>
              <w:ind w:left="5"/>
              <w:jc w:val="center"/>
              <w:rPr>
                <w:b/>
                <w:sz w:val="18"/>
              </w:rPr>
            </w:pPr>
            <w:r>
              <w:rPr>
                <w:b/>
                <w:sz w:val="18"/>
              </w:rPr>
              <w:t>1</w:t>
            </w:r>
          </w:p>
        </w:tc>
        <w:tc>
          <w:tcPr>
            <w:tcW w:w="1076"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223" w:type="dxa"/>
          </w:tcPr>
          <w:p>
            <w:pPr>
              <w:pStyle w:val="TableParagraph"/>
              <w:rPr>
                <w:sz w:val="16"/>
              </w:rPr>
            </w:pPr>
          </w:p>
        </w:tc>
        <w:tc>
          <w:tcPr>
            <w:tcW w:w="1348" w:type="dxa"/>
          </w:tcPr>
          <w:p>
            <w:pPr>
              <w:pStyle w:val="TableParagraph"/>
              <w:rPr>
                <w:sz w:val="16"/>
              </w:rPr>
            </w:pPr>
          </w:p>
        </w:tc>
        <w:tc>
          <w:tcPr>
            <w:tcW w:w="1458" w:type="dxa"/>
          </w:tcPr>
          <w:p>
            <w:pPr>
              <w:pStyle w:val="TableParagraph"/>
              <w:rPr>
                <w:sz w:val="16"/>
              </w:rPr>
            </w:pPr>
          </w:p>
        </w:tc>
        <w:tc>
          <w:tcPr>
            <w:tcW w:w="1292" w:type="dxa"/>
          </w:tcPr>
          <w:p>
            <w:pPr>
              <w:pStyle w:val="TableParagraph"/>
              <w:rPr>
                <w:sz w:val="16"/>
              </w:rPr>
            </w:pPr>
          </w:p>
        </w:tc>
        <w:tc>
          <w:tcPr>
            <w:tcW w:w="1292" w:type="dxa"/>
          </w:tcPr>
          <w:p>
            <w:pPr>
              <w:pStyle w:val="TableParagraph"/>
              <w:rPr>
                <w:sz w:val="16"/>
              </w:rPr>
            </w:pPr>
          </w:p>
        </w:tc>
      </w:tr>
      <w:tr>
        <w:trPr>
          <w:trHeight w:val="275" w:hRule="atLeast"/>
        </w:trPr>
        <w:tc>
          <w:tcPr>
            <w:tcW w:w="1054" w:type="dxa"/>
          </w:tcPr>
          <w:p>
            <w:pPr>
              <w:pStyle w:val="TableParagraph"/>
              <w:spacing w:before="33"/>
              <w:ind w:left="5"/>
              <w:jc w:val="center"/>
              <w:rPr>
                <w:b/>
                <w:sz w:val="18"/>
              </w:rPr>
            </w:pPr>
            <w:r>
              <w:rPr>
                <w:b/>
                <w:sz w:val="18"/>
              </w:rPr>
              <w:t>2</w:t>
            </w:r>
          </w:p>
        </w:tc>
        <w:tc>
          <w:tcPr>
            <w:tcW w:w="1076"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223" w:type="dxa"/>
          </w:tcPr>
          <w:p>
            <w:pPr>
              <w:pStyle w:val="TableParagraph"/>
              <w:rPr>
                <w:sz w:val="16"/>
              </w:rPr>
            </w:pPr>
          </w:p>
        </w:tc>
        <w:tc>
          <w:tcPr>
            <w:tcW w:w="1348" w:type="dxa"/>
          </w:tcPr>
          <w:p>
            <w:pPr>
              <w:pStyle w:val="TableParagraph"/>
              <w:rPr>
                <w:sz w:val="16"/>
              </w:rPr>
            </w:pPr>
          </w:p>
        </w:tc>
        <w:tc>
          <w:tcPr>
            <w:tcW w:w="1458" w:type="dxa"/>
          </w:tcPr>
          <w:p>
            <w:pPr>
              <w:pStyle w:val="TableParagraph"/>
              <w:rPr>
                <w:sz w:val="16"/>
              </w:rPr>
            </w:pPr>
          </w:p>
        </w:tc>
        <w:tc>
          <w:tcPr>
            <w:tcW w:w="1292" w:type="dxa"/>
          </w:tcPr>
          <w:p>
            <w:pPr>
              <w:pStyle w:val="TableParagraph"/>
              <w:rPr>
                <w:sz w:val="16"/>
              </w:rPr>
            </w:pPr>
          </w:p>
        </w:tc>
        <w:tc>
          <w:tcPr>
            <w:tcW w:w="1292" w:type="dxa"/>
          </w:tcPr>
          <w:p>
            <w:pPr>
              <w:pStyle w:val="TableParagraph"/>
              <w:rPr>
                <w:sz w:val="16"/>
              </w:rPr>
            </w:pPr>
          </w:p>
        </w:tc>
      </w:tr>
      <w:tr>
        <w:trPr>
          <w:trHeight w:val="273" w:hRule="atLeast"/>
        </w:trPr>
        <w:tc>
          <w:tcPr>
            <w:tcW w:w="1054" w:type="dxa"/>
          </w:tcPr>
          <w:p>
            <w:pPr>
              <w:pStyle w:val="TableParagraph"/>
              <w:spacing w:before="33"/>
              <w:ind w:left="5"/>
              <w:jc w:val="center"/>
              <w:rPr>
                <w:b/>
                <w:sz w:val="18"/>
              </w:rPr>
            </w:pPr>
            <w:r>
              <w:rPr>
                <w:b/>
                <w:sz w:val="18"/>
              </w:rPr>
              <w:t>3</w:t>
            </w:r>
          </w:p>
        </w:tc>
        <w:tc>
          <w:tcPr>
            <w:tcW w:w="1076"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223" w:type="dxa"/>
          </w:tcPr>
          <w:p>
            <w:pPr>
              <w:pStyle w:val="TableParagraph"/>
              <w:rPr>
                <w:sz w:val="16"/>
              </w:rPr>
            </w:pPr>
          </w:p>
        </w:tc>
        <w:tc>
          <w:tcPr>
            <w:tcW w:w="1348" w:type="dxa"/>
          </w:tcPr>
          <w:p>
            <w:pPr>
              <w:pStyle w:val="TableParagraph"/>
              <w:rPr>
                <w:sz w:val="16"/>
              </w:rPr>
            </w:pPr>
          </w:p>
        </w:tc>
        <w:tc>
          <w:tcPr>
            <w:tcW w:w="1458" w:type="dxa"/>
          </w:tcPr>
          <w:p>
            <w:pPr>
              <w:pStyle w:val="TableParagraph"/>
              <w:rPr>
                <w:sz w:val="16"/>
              </w:rPr>
            </w:pPr>
          </w:p>
        </w:tc>
        <w:tc>
          <w:tcPr>
            <w:tcW w:w="1292" w:type="dxa"/>
          </w:tcPr>
          <w:p>
            <w:pPr>
              <w:pStyle w:val="TableParagraph"/>
              <w:rPr>
                <w:sz w:val="16"/>
              </w:rPr>
            </w:pPr>
          </w:p>
        </w:tc>
        <w:tc>
          <w:tcPr>
            <w:tcW w:w="1292" w:type="dxa"/>
          </w:tcPr>
          <w:p>
            <w:pPr>
              <w:pStyle w:val="TableParagraph"/>
              <w:rPr>
                <w:sz w:val="16"/>
              </w:rPr>
            </w:pPr>
          </w:p>
        </w:tc>
      </w:tr>
      <w:tr>
        <w:trPr>
          <w:trHeight w:val="273" w:hRule="atLeast"/>
        </w:trPr>
        <w:tc>
          <w:tcPr>
            <w:tcW w:w="1054" w:type="dxa"/>
          </w:tcPr>
          <w:p>
            <w:pPr>
              <w:pStyle w:val="TableParagraph"/>
              <w:spacing w:before="33"/>
              <w:ind w:left="9"/>
              <w:jc w:val="center"/>
              <w:rPr>
                <w:b/>
                <w:sz w:val="18"/>
              </w:rPr>
            </w:pPr>
            <w:r>
              <w:rPr>
                <w:b/>
                <w:sz w:val="18"/>
              </w:rPr>
              <w:t>…</w:t>
            </w:r>
          </w:p>
        </w:tc>
        <w:tc>
          <w:tcPr>
            <w:tcW w:w="1076"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223" w:type="dxa"/>
          </w:tcPr>
          <w:p>
            <w:pPr>
              <w:pStyle w:val="TableParagraph"/>
              <w:rPr>
                <w:sz w:val="16"/>
              </w:rPr>
            </w:pPr>
          </w:p>
        </w:tc>
        <w:tc>
          <w:tcPr>
            <w:tcW w:w="1348" w:type="dxa"/>
          </w:tcPr>
          <w:p>
            <w:pPr>
              <w:pStyle w:val="TableParagraph"/>
              <w:rPr>
                <w:sz w:val="16"/>
              </w:rPr>
            </w:pPr>
          </w:p>
        </w:tc>
        <w:tc>
          <w:tcPr>
            <w:tcW w:w="1458" w:type="dxa"/>
          </w:tcPr>
          <w:p>
            <w:pPr>
              <w:pStyle w:val="TableParagraph"/>
              <w:rPr>
                <w:sz w:val="16"/>
              </w:rPr>
            </w:pPr>
          </w:p>
        </w:tc>
        <w:tc>
          <w:tcPr>
            <w:tcW w:w="1292" w:type="dxa"/>
          </w:tcPr>
          <w:p>
            <w:pPr>
              <w:pStyle w:val="TableParagraph"/>
              <w:rPr>
                <w:sz w:val="16"/>
              </w:rPr>
            </w:pPr>
          </w:p>
        </w:tc>
        <w:tc>
          <w:tcPr>
            <w:tcW w:w="1292" w:type="dxa"/>
          </w:tcPr>
          <w:p>
            <w:pPr>
              <w:pStyle w:val="TableParagraph"/>
              <w:rPr>
                <w:sz w:val="16"/>
              </w:rPr>
            </w:pPr>
          </w:p>
        </w:tc>
      </w:tr>
      <w:tr>
        <w:trPr>
          <w:trHeight w:val="275" w:hRule="atLeast"/>
        </w:trPr>
        <w:tc>
          <w:tcPr>
            <w:tcW w:w="1054" w:type="dxa"/>
          </w:tcPr>
          <w:p>
            <w:pPr>
              <w:pStyle w:val="TableParagraph"/>
              <w:spacing w:before="33"/>
              <w:ind w:left="7"/>
              <w:jc w:val="center"/>
              <w:rPr>
                <w:b/>
                <w:sz w:val="18"/>
              </w:rPr>
            </w:pPr>
            <w:r>
              <w:rPr>
                <w:b/>
                <w:sz w:val="18"/>
              </w:rPr>
              <w:t>N</w:t>
            </w:r>
          </w:p>
        </w:tc>
        <w:tc>
          <w:tcPr>
            <w:tcW w:w="1076"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223" w:type="dxa"/>
          </w:tcPr>
          <w:p>
            <w:pPr>
              <w:pStyle w:val="TableParagraph"/>
              <w:rPr>
                <w:sz w:val="16"/>
              </w:rPr>
            </w:pPr>
          </w:p>
        </w:tc>
        <w:tc>
          <w:tcPr>
            <w:tcW w:w="1348" w:type="dxa"/>
          </w:tcPr>
          <w:p>
            <w:pPr>
              <w:pStyle w:val="TableParagraph"/>
              <w:rPr>
                <w:sz w:val="16"/>
              </w:rPr>
            </w:pPr>
          </w:p>
        </w:tc>
        <w:tc>
          <w:tcPr>
            <w:tcW w:w="1458" w:type="dxa"/>
          </w:tcPr>
          <w:p>
            <w:pPr>
              <w:pStyle w:val="TableParagraph"/>
              <w:rPr>
                <w:sz w:val="16"/>
              </w:rPr>
            </w:pPr>
          </w:p>
        </w:tc>
        <w:tc>
          <w:tcPr>
            <w:tcW w:w="1292" w:type="dxa"/>
          </w:tcPr>
          <w:p>
            <w:pPr>
              <w:pStyle w:val="TableParagraph"/>
              <w:rPr>
                <w:sz w:val="16"/>
              </w:rPr>
            </w:pPr>
          </w:p>
        </w:tc>
        <w:tc>
          <w:tcPr>
            <w:tcW w:w="1292" w:type="dxa"/>
          </w:tcPr>
          <w:p>
            <w:pPr>
              <w:pStyle w:val="TableParagraph"/>
              <w:rPr>
                <w:sz w:val="16"/>
              </w:rPr>
            </w:pPr>
          </w:p>
        </w:tc>
      </w:tr>
      <w:tr>
        <w:trPr>
          <w:trHeight w:val="273" w:hRule="atLeast"/>
        </w:trPr>
        <w:tc>
          <w:tcPr>
            <w:tcW w:w="2130" w:type="dxa"/>
            <w:gridSpan w:val="2"/>
          </w:tcPr>
          <w:p>
            <w:pPr>
              <w:pStyle w:val="TableParagraph"/>
              <w:spacing w:before="33"/>
              <w:ind w:left="107"/>
              <w:rPr>
                <w:b/>
                <w:sz w:val="18"/>
              </w:rPr>
            </w:pPr>
            <w:r>
              <w:rPr>
                <w:b/>
                <w:sz w:val="18"/>
              </w:rPr>
              <w:t>Total for the activity</w:t>
            </w: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124" w:type="dxa"/>
          </w:tcPr>
          <w:p>
            <w:pPr>
              <w:pStyle w:val="TableParagraph"/>
              <w:rPr>
                <w:sz w:val="16"/>
              </w:rPr>
            </w:pPr>
          </w:p>
        </w:tc>
        <w:tc>
          <w:tcPr>
            <w:tcW w:w="1122" w:type="dxa"/>
          </w:tcPr>
          <w:p>
            <w:pPr>
              <w:pStyle w:val="TableParagraph"/>
              <w:rPr>
                <w:sz w:val="16"/>
              </w:rPr>
            </w:pPr>
          </w:p>
        </w:tc>
        <w:tc>
          <w:tcPr>
            <w:tcW w:w="1223" w:type="dxa"/>
          </w:tcPr>
          <w:p>
            <w:pPr>
              <w:pStyle w:val="TableParagraph"/>
              <w:rPr>
                <w:sz w:val="16"/>
              </w:rPr>
            </w:pPr>
          </w:p>
        </w:tc>
        <w:tc>
          <w:tcPr>
            <w:tcW w:w="1348" w:type="dxa"/>
          </w:tcPr>
          <w:p>
            <w:pPr>
              <w:pStyle w:val="TableParagraph"/>
              <w:rPr>
                <w:sz w:val="16"/>
              </w:rPr>
            </w:pPr>
          </w:p>
        </w:tc>
        <w:tc>
          <w:tcPr>
            <w:tcW w:w="1458" w:type="dxa"/>
          </w:tcPr>
          <w:p>
            <w:pPr>
              <w:pStyle w:val="TableParagraph"/>
              <w:rPr>
                <w:sz w:val="16"/>
              </w:rPr>
            </w:pPr>
          </w:p>
        </w:tc>
        <w:tc>
          <w:tcPr>
            <w:tcW w:w="1292" w:type="dxa"/>
          </w:tcPr>
          <w:p>
            <w:pPr>
              <w:pStyle w:val="TableParagraph"/>
              <w:rPr>
                <w:sz w:val="16"/>
              </w:rPr>
            </w:pPr>
          </w:p>
        </w:tc>
        <w:tc>
          <w:tcPr>
            <w:tcW w:w="1292" w:type="dxa"/>
          </w:tcPr>
          <w:p>
            <w:pPr>
              <w:pStyle w:val="TableParagraph"/>
              <w:rPr>
                <w:sz w:val="16"/>
              </w:rPr>
            </w:pPr>
          </w:p>
        </w:tc>
      </w:tr>
      <w:tr>
        <w:trPr>
          <w:trHeight w:val="3328" w:hRule="atLeast"/>
        </w:trPr>
        <w:tc>
          <w:tcPr>
            <w:tcW w:w="14357" w:type="dxa"/>
            <w:gridSpan w:val="12"/>
          </w:tcPr>
          <w:p>
            <w:pPr>
              <w:pStyle w:val="TableParagraph"/>
              <w:spacing w:before="35"/>
              <w:ind w:left="107" w:right="206"/>
              <w:rPr>
                <w:sz w:val="16"/>
              </w:rPr>
            </w:pPr>
            <w:r>
              <w:rPr>
                <w:sz w:val="16"/>
              </w:rPr>
              <w:t>Note that those countries that use Tier 1 or Tier 2 methods that allow separate reporting of increases (such as growth) and decreases (such as harvesting) of a pool should also do so by approppriately expanding the table. In these cases, the net stock changes should also be reported, and these are subsequently used for the calculation of the total stock changes.</w:t>
            </w:r>
          </w:p>
          <w:p>
            <w:pPr>
              <w:pStyle w:val="TableParagraph"/>
              <w:spacing w:line="244" w:lineRule="auto" w:before="36"/>
              <w:ind w:left="220" w:hanging="113"/>
              <w:rPr>
                <w:sz w:val="16"/>
              </w:rPr>
            </w:pPr>
            <w:r>
              <w:rPr>
                <w:position w:val="8"/>
                <w:sz w:val="12"/>
              </w:rPr>
              <w:t>1 </w:t>
            </w:r>
            <w:r>
              <w:rPr>
                <w:sz w:val="16"/>
              </w:rPr>
              <w:t>As afforestation (A) and reforestation (R) activities are treated in the same way, they can be reported together. The separation of afforestation and reforestation lands that are harvested from those that are not harvested during the first commitment period is necessary because of the requirement set in paragraph 4 in the Annex to draft decision -/CMP.1 (Land use, land-use change and forestry), cf. FCCC/CP/2001/13/Add.1, p.59.</w:t>
            </w:r>
          </w:p>
          <w:p>
            <w:pPr>
              <w:pStyle w:val="TableParagraph"/>
              <w:spacing w:line="244" w:lineRule="auto" w:before="11"/>
              <w:ind w:left="220" w:hanging="113"/>
              <w:rPr>
                <w:sz w:val="16"/>
              </w:rPr>
            </w:pPr>
            <w:r>
              <w:rPr>
                <w:position w:val="8"/>
                <w:sz w:val="12"/>
              </w:rPr>
              <w:t>2 </w:t>
            </w:r>
            <w:r>
              <w:rPr>
                <w:sz w:val="16"/>
              </w:rPr>
              <w:t>If A and R lands have been harvested in the inventory year, then special carbon accounting rules apply that allow countries to limit debits from harvesting. This requires the tracking of “credits” earned on these lands in previous inventory years or commitment periods.</w:t>
            </w:r>
          </w:p>
          <w:p>
            <w:pPr>
              <w:pStyle w:val="TableParagraph"/>
              <w:spacing w:before="14"/>
              <w:ind w:left="107"/>
              <w:rPr>
                <w:sz w:val="16"/>
              </w:rPr>
            </w:pPr>
            <w:r>
              <w:rPr>
                <w:position w:val="8"/>
                <w:sz w:val="12"/>
              </w:rPr>
              <w:t>3 </w:t>
            </w:r>
            <w:r>
              <w:rPr>
                <w:sz w:val="16"/>
              </w:rPr>
              <w:t>Units of land subject to activities under Article 3.3 which would otherwise be included in land subject to elected activities under Article 3.4 must be reported (cf. paragraph 6 item (b) (ii) in the Annex to draft decision</w:t>
            </w:r>
          </w:p>
          <w:p>
            <w:pPr>
              <w:pStyle w:val="TableParagraph"/>
              <w:spacing w:before="4"/>
              <w:ind w:left="261"/>
              <w:rPr>
                <w:sz w:val="16"/>
              </w:rPr>
            </w:pPr>
            <w:r>
              <w:rPr>
                <w:sz w:val="16"/>
              </w:rPr>
              <w:t>-/CMP.1 (Article 7), contained in FCCC/CP/2001/13/Add 3, p.22).</w:t>
            </w:r>
          </w:p>
          <w:p>
            <w:pPr>
              <w:pStyle w:val="TableParagraph"/>
              <w:spacing w:line="266" w:lineRule="auto" w:before="13"/>
              <w:ind w:left="107" w:right="5595"/>
              <w:jc w:val="both"/>
              <w:rPr>
                <w:sz w:val="18"/>
              </w:rPr>
            </w:pPr>
            <w:r>
              <w:rPr>
                <w:position w:val="8"/>
                <w:sz w:val="12"/>
              </w:rPr>
              <w:t>4 </w:t>
            </w:r>
            <w:r>
              <w:rPr>
                <w:sz w:val="16"/>
              </w:rPr>
              <w:t>See paragraph 6, in particular 6 (b), of the Annex to draft decision -/CMP.1 (Article 7), contained in FCCC/CP/2001/13/Add 3, p.22. </w:t>
            </w:r>
            <w:r>
              <w:rPr>
                <w:position w:val="8"/>
                <w:sz w:val="12"/>
              </w:rPr>
              <w:t>5 </w:t>
            </w:r>
            <w:r>
              <w:rPr>
                <w:sz w:val="16"/>
              </w:rPr>
              <w:t>Geographical location refers to the areas that encompass units of land subject to Article 3.3 and lands subject to Article 3.4 activities. </w:t>
            </w:r>
            <w:r>
              <w:rPr>
                <w:position w:val="8"/>
                <w:sz w:val="12"/>
              </w:rPr>
              <w:t>6 </w:t>
            </w:r>
            <w:r>
              <w:rPr>
                <w:sz w:val="16"/>
              </w:rPr>
              <w:t>If a pool is not reported, the text “NR” (for “not reported”) must be entered, and it must be demonstrated that the pool is not a source. </w:t>
            </w:r>
            <w:r>
              <w:rPr>
                <w:position w:val="8"/>
                <w:sz w:val="12"/>
              </w:rPr>
              <w:t>7 </w:t>
            </w:r>
            <w:r>
              <w:rPr>
                <w:sz w:val="16"/>
              </w:rPr>
              <w:t>“Total carbon stock changes” is the sum of carbon stock changes of all five pools</w:t>
            </w:r>
            <w:r>
              <w:rPr>
                <w:sz w:val="18"/>
              </w:rPr>
              <w:t>.</w:t>
            </w:r>
          </w:p>
          <w:p>
            <w:pPr>
              <w:pStyle w:val="TableParagraph"/>
              <w:spacing w:line="227" w:lineRule="exact"/>
              <w:ind w:left="107"/>
              <w:rPr>
                <w:sz w:val="18"/>
              </w:rPr>
            </w:pPr>
            <w:r>
              <w:rPr>
                <w:position w:val="10"/>
                <w:sz w:val="12"/>
              </w:rPr>
              <w:t>8 </w:t>
            </w:r>
            <w:r>
              <w:rPr>
                <w:position w:val="2"/>
                <w:sz w:val="16"/>
              </w:rPr>
              <w:t>Emissions/Removals are calculated by multiplying total carbon stock changes by 44/12 to convert to CO</w:t>
            </w:r>
            <w:r>
              <w:rPr>
                <w:sz w:val="10"/>
              </w:rPr>
              <w:t>2 </w:t>
            </w:r>
            <w:r>
              <w:rPr>
                <w:position w:val="2"/>
                <w:sz w:val="16"/>
              </w:rPr>
              <w:t>followed by reversing the sign to follow conventions of emissions/removals reporting</w:t>
            </w:r>
            <w:r>
              <w:rPr>
                <w:position w:val="2"/>
                <w:sz w:val="18"/>
              </w:rPr>
              <w:t>.</w:t>
            </w:r>
          </w:p>
          <w:p>
            <w:pPr>
              <w:pStyle w:val="TableParagraph"/>
              <w:spacing w:before="12"/>
              <w:ind w:left="107"/>
              <w:rPr>
                <w:sz w:val="16"/>
              </w:rPr>
            </w:pPr>
            <w:r>
              <w:rPr>
                <w:position w:val="9"/>
                <w:sz w:val="13"/>
              </w:rPr>
              <w:t>9 </w:t>
            </w:r>
            <w:r>
              <w:rPr>
                <w:sz w:val="16"/>
              </w:rPr>
              <w:t>ID: unique identifier of the geographic location.</w:t>
            </w:r>
          </w:p>
        </w:tc>
      </w:tr>
    </w:tbl>
    <w:p>
      <w:pPr>
        <w:spacing w:after="0"/>
        <w:rPr>
          <w:sz w:val="16"/>
        </w:rPr>
        <w:sectPr>
          <w:pgSz w:w="16840" w:h="11900" w:orient="landscape"/>
          <w:pgMar w:header="1150" w:footer="1137" w:top="1420" w:bottom="1320" w:left="1200" w:right="920"/>
        </w:sectPr>
      </w:pPr>
    </w:p>
    <w:p>
      <w:pPr>
        <w:pStyle w:val="BodyText"/>
      </w:pPr>
      <w:r>
        <w:rPr/>
        <w:pict>
          <v:rect style="position:absolute;margin-left:78.120003pt;margin-top:111.359001pt;width:706.44pt;height:10.44pt;mso-position-horizontal-relative:page;mso-position-vertical-relative:page;z-index:-2434984" filled="true" fillcolor="#ffffff" stroked="false">
            <v:fill type="solid"/>
            <w10:wrap type="none"/>
          </v:rect>
        </w:pict>
      </w:r>
      <w:r>
        <w:rPr/>
        <w:pict>
          <v:rect style="position:absolute;margin-left:78.120003pt;margin-top:132.119003pt;width:706.44pt;height:13.32pt;mso-position-horizontal-relative:page;mso-position-vertical-relative:page;z-index:-2434960" filled="true" fillcolor="#ffffff" stroked="false">
            <v:fill type="solid"/>
            <w10:wrap type="none"/>
          </v:rect>
        </w:pict>
      </w:r>
      <w:r>
        <w:rPr/>
        <w:pict>
          <v:rect style="position:absolute;margin-left:620.520020pt;margin-top:206.998993pt;width:55.92pt;height:13.32pt;mso-position-horizontal-relative:page;mso-position-vertical-relative:page;z-index:-2434936" filled="true" fillcolor="#ffffff" stroked="false">
            <v:fill type="solid"/>
            <w10:wrap type="none"/>
          </v:rect>
        </w:pict>
      </w:r>
      <w:r>
        <w:rPr/>
        <w:pict>
          <v:rect style="position:absolute;margin-left:687.23999pt;margin-top:206.998993pt;width:42.96pt;height:13.32pt;mso-position-horizontal-relative:page;mso-position-vertical-relative:page;z-index:-2434912" filled="true" fillcolor="#ffffff" stroked="false">
            <v:fill type="solid"/>
            <w10:wrap type="none"/>
          </v:rect>
        </w:pict>
      </w:r>
      <w:r>
        <w:rPr/>
        <w:pict>
          <v:rect style="position:absolute;margin-left:741.119995pt;margin-top:206.998993pt;width:43.44pt;height:13.32pt;mso-position-horizontal-relative:page;mso-position-vertical-relative:page;z-index:-2434888" filled="true" fillcolor="#ffffff" stroked="false">
            <v:fill type="solid"/>
            <w10:wrap type="none"/>
          </v:rect>
        </w:pict>
      </w:r>
    </w:p>
    <w:p>
      <w:pPr>
        <w:pStyle w:val="BodyText"/>
      </w:pPr>
    </w:p>
    <w:p>
      <w:pPr>
        <w:pStyle w:val="BodyText"/>
      </w:pPr>
    </w:p>
    <w:p>
      <w:pPr>
        <w:pStyle w:val="BodyText"/>
      </w:pPr>
    </w:p>
    <w:p>
      <w:pPr>
        <w:pStyle w:val="BodyText"/>
        <w:spacing w:before="9"/>
        <w:rPr>
          <w:sz w:val="21"/>
        </w:rPr>
      </w:pPr>
    </w:p>
    <w:tbl>
      <w:tblPr>
        <w:tblW w:w="0" w:type="auto"/>
        <w:jc w:val="left"/>
        <w:tblInd w:w="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5"/>
        <w:gridCol w:w="905"/>
        <w:gridCol w:w="1078"/>
        <w:gridCol w:w="1020"/>
        <w:gridCol w:w="1020"/>
        <w:gridCol w:w="1020"/>
        <w:gridCol w:w="1020"/>
        <w:gridCol w:w="1020"/>
        <w:gridCol w:w="1133"/>
        <w:gridCol w:w="1548"/>
        <w:gridCol w:w="1334"/>
        <w:gridCol w:w="1077"/>
        <w:gridCol w:w="1084"/>
      </w:tblGrid>
      <w:tr>
        <w:trPr>
          <w:trHeight w:val="1153" w:hRule="atLeast"/>
        </w:trPr>
        <w:tc>
          <w:tcPr>
            <w:tcW w:w="14344" w:type="dxa"/>
            <w:gridSpan w:val="13"/>
            <w:tcBorders>
              <w:bottom w:val="double" w:sz="1" w:space="0" w:color="000000"/>
            </w:tcBorders>
          </w:tcPr>
          <w:p>
            <w:pPr>
              <w:pStyle w:val="TableParagraph"/>
              <w:spacing w:line="207" w:lineRule="exact" w:before="59"/>
              <w:ind w:left="6655" w:right="6642"/>
              <w:jc w:val="center"/>
              <w:rPr>
                <w:b/>
                <w:sz w:val="18"/>
              </w:rPr>
            </w:pPr>
            <w:r>
              <w:rPr>
                <w:b/>
                <w:sz w:val="18"/>
              </w:rPr>
              <w:t>T</w:t>
            </w:r>
            <w:r>
              <w:rPr>
                <w:b/>
                <w:sz w:val="14"/>
              </w:rPr>
              <w:t>ABLE </w:t>
            </w:r>
            <w:r>
              <w:rPr>
                <w:b/>
                <w:sz w:val="18"/>
              </w:rPr>
              <w:t>4.2.6b</w:t>
            </w:r>
          </w:p>
          <w:p>
            <w:pPr>
              <w:pStyle w:val="TableParagraph"/>
              <w:spacing w:line="228" w:lineRule="auto" w:before="8"/>
              <w:ind w:left="177" w:right="167" w:firstLine="4"/>
              <w:jc w:val="center"/>
              <w:rPr>
                <w:b/>
                <w:sz w:val="14"/>
              </w:rPr>
            </w:pPr>
            <w:r>
              <w:rPr>
                <w:b/>
                <w:sz w:val="18"/>
              </w:rPr>
              <w:t>T</w:t>
            </w:r>
            <w:r>
              <w:rPr>
                <w:b/>
                <w:sz w:val="14"/>
              </w:rPr>
              <w:t>ABLE FOR REPORTING</w:t>
            </w:r>
            <w:r>
              <w:rPr>
                <w:b/>
                <w:sz w:val="18"/>
              </w:rPr>
              <w:t>, </w:t>
            </w:r>
            <w:r>
              <w:rPr>
                <w:b/>
                <w:sz w:val="14"/>
              </w:rPr>
              <w:t>FOR THE INVENTORY YEAR</w:t>
            </w:r>
            <w:r>
              <w:rPr>
                <w:b/>
                <w:sz w:val="18"/>
              </w:rPr>
              <w:t>, C</w:t>
            </w:r>
            <w:r>
              <w:rPr>
                <w:b/>
                <w:sz w:val="14"/>
              </w:rPr>
              <w:t>ARBON </w:t>
            </w:r>
            <w:r>
              <w:rPr>
                <w:b/>
                <w:sz w:val="18"/>
              </w:rPr>
              <w:t>S</w:t>
            </w:r>
            <w:r>
              <w:rPr>
                <w:b/>
                <w:sz w:val="14"/>
              </w:rPr>
              <w:t>TOCK </w:t>
            </w:r>
            <w:r>
              <w:rPr>
                <w:b/>
                <w:sz w:val="18"/>
              </w:rPr>
              <w:t>C</w:t>
            </w:r>
            <w:r>
              <w:rPr>
                <w:b/>
                <w:sz w:val="14"/>
              </w:rPr>
              <w:t>HANGES AND </w:t>
            </w:r>
            <w:r>
              <w:rPr>
                <w:b/>
                <w:sz w:val="18"/>
              </w:rPr>
              <w:t>N</w:t>
            </w:r>
            <w:r>
              <w:rPr>
                <w:b/>
                <w:sz w:val="14"/>
              </w:rPr>
              <w:t>ON</w:t>
            </w:r>
            <w:r>
              <w:rPr>
                <w:b/>
                <w:sz w:val="18"/>
              </w:rPr>
              <w:t>-CO</w:t>
            </w:r>
            <w:r>
              <w:rPr>
                <w:b/>
                <w:position w:val="-2"/>
                <w:sz w:val="12"/>
              </w:rPr>
              <w:t>2 </w:t>
            </w:r>
            <w:r>
              <w:rPr>
                <w:b/>
                <w:sz w:val="18"/>
              </w:rPr>
              <w:t>E</w:t>
            </w:r>
            <w:r>
              <w:rPr>
                <w:b/>
                <w:sz w:val="14"/>
              </w:rPr>
              <w:t>MISSIONS BY </w:t>
            </w:r>
            <w:r>
              <w:rPr>
                <w:b/>
                <w:sz w:val="18"/>
              </w:rPr>
              <w:t>S</w:t>
            </w:r>
            <w:r>
              <w:rPr>
                <w:b/>
                <w:sz w:val="14"/>
              </w:rPr>
              <w:t>OURCES AND </w:t>
            </w:r>
            <w:r>
              <w:rPr>
                <w:b/>
                <w:sz w:val="18"/>
              </w:rPr>
              <w:t>R</w:t>
            </w:r>
            <w:r>
              <w:rPr>
                <w:b/>
                <w:sz w:val="14"/>
              </w:rPr>
              <w:t>EMOVALS BY </w:t>
            </w:r>
            <w:r>
              <w:rPr>
                <w:b/>
                <w:sz w:val="18"/>
              </w:rPr>
              <w:t>S</w:t>
            </w:r>
            <w:r>
              <w:rPr>
                <w:b/>
                <w:sz w:val="14"/>
              </w:rPr>
              <w:t>INKS FOR EACH OF THE </w:t>
            </w:r>
            <w:r>
              <w:rPr>
                <w:b/>
                <w:sz w:val="18"/>
              </w:rPr>
              <w:t>F</w:t>
            </w:r>
            <w:r>
              <w:rPr>
                <w:b/>
                <w:sz w:val="14"/>
              </w:rPr>
              <w:t>OLLOWING </w:t>
            </w:r>
            <w:r>
              <w:rPr>
                <w:b/>
                <w:sz w:val="18"/>
              </w:rPr>
              <w:t>A</w:t>
            </w:r>
            <w:r>
              <w:rPr>
                <w:b/>
                <w:sz w:val="14"/>
              </w:rPr>
              <w:t>RTICLE </w:t>
            </w:r>
            <w:r>
              <w:rPr>
                <w:b/>
                <w:sz w:val="18"/>
              </w:rPr>
              <w:t>3.4 A</w:t>
            </w:r>
            <w:r>
              <w:rPr>
                <w:b/>
                <w:sz w:val="14"/>
              </w:rPr>
              <w:t>CTIVITIES</w:t>
            </w:r>
            <w:r>
              <w:rPr>
                <w:b/>
                <w:sz w:val="18"/>
              </w:rPr>
              <w:t>/L</w:t>
            </w:r>
            <w:r>
              <w:rPr>
                <w:b/>
                <w:sz w:val="14"/>
              </w:rPr>
              <w:t>ANDS</w:t>
            </w:r>
            <w:r>
              <w:rPr>
                <w:b/>
                <w:sz w:val="18"/>
              </w:rPr>
              <w:t>:</w:t>
            </w:r>
            <w:r>
              <w:rPr>
                <w:b/>
                <w:spacing w:val="-12"/>
                <w:sz w:val="18"/>
              </w:rPr>
              <w:t> </w:t>
            </w:r>
            <w:r>
              <w:rPr>
                <w:b/>
                <w:sz w:val="18"/>
              </w:rPr>
              <w:t>(I)</w:t>
            </w:r>
            <w:r>
              <w:rPr>
                <w:b/>
                <w:spacing w:val="-12"/>
                <w:sz w:val="18"/>
              </w:rPr>
              <w:t> </w:t>
            </w:r>
            <w:r>
              <w:rPr>
                <w:b/>
                <w:sz w:val="18"/>
              </w:rPr>
              <w:t>CM;</w:t>
            </w:r>
            <w:r>
              <w:rPr>
                <w:b/>
                <w:spacing w:val="-15"/>
                <w:sz w:val="18"/>
              </w:rPr>
              <w:t> </w:t>
            </w:r>
            <w:r>
              <w:rPr>
                <w:b/>
                <w:sz w:val="18"/>
              </w:rPr>
              <w:t>(II)</w:t>
            </w:r>
            <w:r>
              <w:rPr>
                <w:b/>
                <w:spacing w:val="-14"/>
                <w:sz w:val="18"/>
              </w:rPr>
              <w:t> </w:t>
            </w:r>
            <w:r>
              <w:rPr>
                <w:b/>
                <w:sz w:val="18"/>
              </w:rPr>
              <w:t>GM;</w:t>
            </w:r>
            <w:r>
              <w:rPr>
                <w:b/>
                <w:spacing w:val="-13"/>
                <w:sz w:val="18"/>
              </w:rPr>
              <w:t> </w:t>
            </w:r>
            <w:r>
              <w:rPr>
                <w:b/>
                <w:sz w:val="18"/>
              </w:rPr>
              <w:t>(III)</w:t>
            </w:r>
            <w:r>
              <w:rPr>
                <w:b/>
                <w:spacing w:val="-11"/>
                <w:sz w:val="18"/>
              </w:rPr>
              <w:t> </w:t>
            </w:r>
            <w:r>
              <w:rPr>
                <w:b/>
                <w:sz w:val="18"/>
              </w:rPr>
              <w:t>RV.</w:t>
            </w:r>
            <w:r>
              <w:rPr>
                <w:b/>
                <w:spacing w:val="-12"/>
                <w:sz w:val="18"/>
              </w:rPr>
              <w:t> </w:t>
            </w:r>
            <w:r>
              <w:rPr>
                <w:b/>
                <w:sz w:val="18"/>
              </w:rPr>
              <w:t>S</w:t>
            </w:r>
            <w:r>
              <w:rPr>
                <w:b/>
                <w:sz w:val="14"/>
              </w:rPr>
              <w:t>EPARATE</w:t>
            </w:r>
            <w:r>
              <w:rPr>
                <w:b/>
                <w:spacing w:val="-4"/>
                <w:sz w:val="14"/>
              </w:rPr>
              <w:t> </w:t>
            </w:r>
            <w:r>
              <w:rPr>
                <w:b/>
                <w:sz w:val="14"/>
              </w:rPr>
              <w:t>TABLES</w:t>
            </w:r>
            <w:r>
              <w:rPr>
                <w:b/>
                <w:spacing w:val="-2"/>
                <w:sz w:val="14"/>
              </w:rPr>
              <w:t> </w:t>
            </w:r>
            <w:r>
              <w:rPr>
                <w:b/>
                <w:sz w:val="18"/>
              </w:rPr>
              <w:t>(</w:t>
            </w:r>
            <w:r>
              <w:rPr>
                <w:b/>
                <w:sz w:val="14"/>
              </w:rPr>
              <w:t>OR</w:t>
            </w:r>
            <w:r>
              <w:rPr>
                <w:b/>
                <w:spacing w:val="-2"/>
                <w:sz w:val="14"/>
              </w:rPr>
              <w:t> </w:t>
            </w:r>
            <w:r>
              <w:rPr>
                <w:b/>
                <w:sz w:val="14"/>
              </w:rPr>
              <w:t>SEPARATE</w:t>
            </w:r>
            <w:r>
              <w:rPr>
                <w:b/>
                <w:spacing w:val="-2"/>
                <w:sz w:val="14"/>
              </w:rPr>
              <w:t> </w:t>
            </w:r>
            <w:r>
              <w:rPr>
                <w:b/>
                <w:sz w:val="14"/>
              </w:rPr>
              <w:t>ROWS</w:t>
            </w:r>
            <w:r>
              <w:rPr>
                <w:b/>
                <w:spacing w:val="-3"/>
                <w:sz w:val="14"/>
              </w:rPr>
              <w:t> </w:t>
            </w:r>
            <w:r>
              <w:rPr>
                <w:b/>
                <w:sz w:val="14"/>
              </w:rPr>
              <w:t>IN</w:t>
            </w:r>
            <w:r>
              <w:rPr>
                <w:b/>
                <w:spacing w:val="-1"/>
                <w:sz w:val="14"/>
              </w:rPr>
              <w:t> </w:t>
            </w:r>
            <w:r>
              <w:rPr>
                <w:b/>
                <w:sz w:val="14"/>
              </w:rPr>
              <w:t>ONE</w:t>
            </w:r>
            <w:r>
              <w:rPr>
                <w:b/>
                <w:spacing w:val="-2"/>
                <w:sz w:val="14"/>
              </w:rPr>
              <w:t> </w:t>
            </w:r>
            <w:r>
              <w:rPr>
                <w:b/>
                <w:sz w:val="14"/>
              </w:rPr>
              <w:t>TABLE</w:t>
            </w:r>
            <w:r>
              <w:rPr>
                <w:b/>
                <w:sz w:val="18"/>
              </w:rPr>
              <w:t>)</w:t>
            </w:r>
            <w:r>
              <w:rPr>
                <w:b/>
                <w:spacing w:val="-12"/>
                <w:sz w:val="18"/>
              </w:rPr>
              <w:t> </w:t>
            </w:r>
            <w:r>
              <w:rPr>
                <w:b/>
                <w:sz w:val="14"/>
              </w:rPr>
              <w:t>SHOULD</w:t>
            </w:r>
            <w:r>
              <w:rPr>
                <w:b/>
                <w:spacing w:val="-2"/>
                <w:sz w:val="14"/>
              </w:rPr>
              <w:t> </w:t>
            </w:r>
            <w:r>
              <w:rPr>
                <w:b/>
                <w:sz w:val="14"/>
              </w:rPr>
              <w:t>BE</w:t>
            </w:r>
            <w:r>
              <w:rPr>
                <w:b/>
                <w:spacing w:val="-1"/>
                <w:sz w:val="14"/>
              </w:rPr>
              <w:t> </w:t>
            </w:r>
            <w:r>
              <w:rPr>
                <w:b/>
                <w:sz w:val="14"/>
              </w:rPr>
              <w:t>USED</w:t>
            </w:r>
            <w:r>
              <w:rPr>
                <w:b/>
                <w:spacing w:val="-2"/>
                <w:sz w:val="14"/>
              </w:rPr>
              <w:t> </w:t>
            </w:r>
            <w:r>
              <w:rPr>
                <w:b/>
                <w:sz w:val="14"/>
              </w:rPr>
              <w:t>TO</w:t>
            </w:r>
            <w:r>
              <w:rPr>
                <w:b/>
                <w:spacing w:val="-2"/>
                <w:sz w:val="14"/>
              </w:rPr>
              <w:t> </w:t>
            </w:r>
            <w:r>
              <w:rPr>
                <w:b/>
                <w:sz w:val="14"/>
              </w:rPr>
              <w:t>REPORT</w:t>
            </w:r>
            <w:r>
              <w:rPr>
                <w:b/>
                <w:spacing w:val="-2"/>
                <w:sz w:val="14"/>
              </w:rPr>
              <w:t> </w:t>
            </w:r>
            <w:r>
              <w:rPr>
                <w:b/>
                <w:sz w:val="14"/>
              </w:rPr>
              <w:t>THOSE</w:t>
            </w:r>
            <w:r>
              <w:rPr>
                <w:b/>
                <w:spacing w:val="-1"/>
                <w:sz w:val="14"/>
              </w:rPr>
              <w:t> </w:t>
            </w:r>
            <w:r>
              <w:rPr>
                <w:b/>
                <w:sz w:val="14"/>
              </w:rPr>
              <w:t>ACTIVITIES</w:t>
            </w:r>
            <w:r>
              <w:rPr>
                <w:b/>
                <w:spacing w:val="-3"/>
                <w:sz w:val="14"/>
              </w:rPr>
              <w:t> </w:t>
            </w:r>
            <w:r>
              <w:rPr>
                <w:b/>
                <w:sz w:val="14"/>
              </w:rPr>
              <w:t>THAT</w:t>
            </w:r>
            <w:r>
              <w:rPr>
                <w:b/>
                <w:spacing w:val="-2"/>
                <w:sz w:val="14"/>
              </w:rPr>
              <w:t> </w:t>
            </w:r>
            <w:r>
              <w:rPr>
                <w:b/>
                <w:sz w:val="14"/>
              </w:rPr>
              <w:t>OCCUR</w:t>
            </w:r>
            <w:r>
              <w:rPr>
                <w:b/>
                <w:spacing w:val="-2"/>
                <w:sz w:val="14"/>
              </w:rPr>
              <w:t> </w:t>
            </w:r>
            <w:r>
              <w:rPr>
                <w:b/>
                <w:sz w:val="14"/>
              </w:rPr>
              <w:t>ON</w:t>
            </w:r>
            <w:r>
              <w:rPr>
                <w:b/>
                <w:spacing w:val="-1"/>
                <w:sz w:val="14"/>
              </w:rPr>
              <w:t> </w:t>
            </w:r>
            <w:r>
              <w:rPr>
                <w:b/>
                <w:sz w:val="14"/>
              </w:rPr>
              <w:t>MINERAL</w:t>
            </w:r>
            <w:r>
              <w:rPr>
                <w:b/>
                <w:spacing w:val="-2"/>
                <w:sz w:val="14"/>
              </w:rPr>
              <w:t> </w:t>
            </w:r>
            <w:r>
              <w:rPr>
                <w:b/>
                <w:sz w:val="14"/>
              </w:rPr>
              <w:t>SOILS</w:t>
            </w:r>
            <w:r>
              <w:rPr>
                <w:b/>
                <w:spacing w:val="-3"/>
                <w:sz w:val="14"/>
              </w:rPr>
              <w:t> </w:t>
            </w:r>
            <w:r>
              <w:rPr>
                <w:b/>
                <w:sz w:val="14"/>
              </w:rPr>
              <w:t>AND</w:t>
            </w:r>
            <w:r>
              <w:rPr>
                <w:b/>
                <w:spacing w:val="-1"/>
                <w:sz w:val="14"/>
              </w:rPr>
              <w:t> </w:t>
            </w:r>
            <w:r>
              <w:rPr>
                <w:b/>
                <w:sz w:val="14"/>
              </w:rPr>
              <w:t>ON ORGANIC SOILS</w:t>
            </w:r>
            <w:r>
              <w:rPr>
                <w:b/>
                <w:sz w:val="18"/>
              </w:rPr>
              <w:t>. </w:t>
            </w:r>
            <w:r>
              <w:rPr>
                <w:b/>
                <w:sz w:val="14"/>
              </w:rPr>
              <w:t>THE COLUMN </w:t>
            </w:r>
            <w:r>
              <w:rPr>
                <w:b/>
                <w:sz w:val="18"/>
              </w:rPr>
              <w:t>“L</w:t>
            </w:r>
            <w:r>
              <w:rPr>
                <w:b/>
                <w:sz w:val="14"/>
              </w:rPr>
              <w:t>IMING </w:t>
            </w:r>
            <w:r>
              <w:rPr>
                <w:b/>
                <w:sz w:val="18"/>
              </w:rPr>
              <w:t>CO</w:t>
            </w:r>
            <w:r>
              <w:rPr>
                <w:b/>
                <w:position w:val="-2"/>
                <w:sz w:val="12"/>
              </w:rPr>
              <w:t>2 </w:t>
            </w:r>
            <w:r>
              <w:rPr>
                <w:b/>
                <w:sz w:val="14"/>
              </w:rPr>
              <w:t>EMISSIONS</w:t>
            </w:r>
            <w:r>
              <w:rPr>
                <w:b/>
                <w:sz w:val="18"/>
              </w:rPr>
              <w:t>” </w:t>
            </w:r>
            <w:r>
              <w:rPr>
                <w:b/>
                <w:sz w:val="14"/>
              </w:rPr>
              <w:t>IS TO BE FILLED FOR GEOGRAPHICAL LOCATIONS WHERE THESE EMISSIONS APPLY</w:t>
            </w:r>
            <w:r>
              <w:rPr>
                <w:b/>
                <w:sz w:val="18"/>
              </w:rPr>
              <w:t>. (S</w:t>
            </w:r>
            <w:r>
              <w:rPr>
                <w:b/>
                <w:sz w:val="14"/>
              </w:rPr>
              <w:t>EE SECTIONS </w:t>
            </w:r>
            <w:r>
              <w:rPr>
                <w:b/>
                <w:sz w:val="18"/>
              </w:rPr>
              <w:t>4.2.8 </w:t>
            </w:r>
            <w:r>
              <w:rPr>
                <w:b/>
                <w:sz w:val="14"/>
              </w:rPr>
              <w:t>AND </w:t>
            </w:r>
            <w:r>
              <w:rPr>
                <w:b/>
                <w:sz w:val="18"/>
              </w:rPr>
              <w:t>4.2.9 </w:t>
            </w:r>
            <w:r>
              <w:rPr>
                <w:b/>
                <w:sz w:val="14"/>
              </w:rPr>
              <w:t>FOR DETAILS</w:t>
            </w:r>
            <w:r>
              <w:rPr>
                <w:b/>
                <w:sz w:val="18"/>
              </w:rPr>
              <w:t>.) T</w:t>
            </w:r>
            <w:r>
              <w:rPr>
                <w:b/>
                <w:sz w:val="14"/>
              </w:rPr>
              <w:t>HESE TABLES SHOULD ALSO BE PROVIDED FOR THE BASE</w:t>
            </w:r>
            <w:r>
              <w:rPr>
                <w:b/>
                <w:spacing w:val="4"/>
                <w:sz w:val="14"/>
              </w:rPr>
              <w:t> </w:t>
            </w:r>
            <w:r>
              <w:rPr>
                <w:b/>
                <w:sz w:val="14"/>
              </w:rPr>
              <w:t>YEAR</w:t>
            </w:r>
          </w:p>
        </w:tc>
      </w:tr>
      <w:tr>
        <w:trPr>
          <w:trHeight w:val="654" w:hRule="atLeast"/>
        </w:trPr>
        <w:tc>
          <w:tcPr>
            <w:tcW w:w="14344" w:type="dxa"/>
            <w:gridSpan w:val="13"/>
            <w:tcBorders>
              <w:top w:val="double" w:sz="1" w:space="0" w:color="000000"/>
            </w:tcBorders>
          </w:tcPr>
          <w:p>
            <w:pPr>
              <w:pStyle w:val="TableParagraph"/>
              <w:spacing w:before="61"/>
              <w:ind w:left="107"/>
              <w:rPr>
                <w:b/>
                <w:sz w:val="18"/>
              </w:rPr>
            </w:pPr>
            <w:r>
              <w:rPr>
                <w:b/>
                <w:sz w:val="18"/>
              </w:rPr>
              <w:t>Activity:</w:t>
            </w:r>
          </w:p>
          <w:p>
            <w:pPr>
              <w:pStyle w:val="TableParagraph"/>
              <w:spacing w:before="120"/>
              <w:ind w:left="107"/>
              <w:rPr>
                <w:b/>
                <w:sz w:val="18"/>
              </w:rPr>
            </w:pPr>
            <w:r>
              <w:rPr>
                <w:b/>
                <w:sz w:val="18"/>
              </w:rPr>
              <w:t>Inventory year:</w:t>
            </w:r>
          </w:p>
        </w:tc>
      </w:tr>
      <w:tr>
        <w:trPr>
          <w:trHeight w:val="335" w:hRule="atLeast"/>
        </w:trPr>
        <w:tc>
          <w:tcPr>
            <w:tcW w:w="1990" w:type="dxa"/>
            <w:gridSpan w:val="2"/>
            <w:vMerge w:val="restart"/>
          </w:tcPr>
          <w:p>
            <w:pPr>
              <w:pStyle w:val="TableParagraph"/>
              <w:spacing w:before="8"/>
              <w:rPr>
                <w:sz w:val="28"/>
              </w:rPr>
            </w:pPr>
          </w:p>
          <w:p>
            <w:pPr>
              <w:pStyle w:val="TableParagraph"/>
              <w:spacing w:before="1"/>
              <w:ind w:left="626" w:right="446" w:hanging="152"/>
              <w:rPr>
                <w:b/>
                <w:sz w:val="18"/>
              </w:rPr>
            </w:pPr>
            <w:r>
              <w:rPr>
                <w:b/>
                <w:sz w:val="18"/>
              </w:rPr>
              <w:t>Geographical Location</w:t>
            </w:r>
            <w:r>
              <w:rPr>
                <w:b/>
                <w:sz w:val="18"/>
                <w:vertAlign w:val="superscript"/>
              </w:rPr>
              <w:t>1</w:t>
            </w:r>
          </w:p>
        </w:tc>
        <w:tc>
          <w:tcPr>
            <w:tcW w:w="1078" w:type="dxa"/>
            <w:vMerge w:val="restart"/>
          </w:tcPr>
          <w:p>
            <w:pPr>
              <w:pStyle w:val="TableParagraph"/>
              <w:spacing w:before="8"/>
              <w:rPr>
                <w:sz w:val="28"/>
              </w:rPr>
            </w:pPr>
          </w:p>
          <w:p>
            <w:pPr>
              <w:pStyle w:val="TableParagraph"/>
              <w:spacing w:before="1"/>
              <w:ind w:left="232" w:right="206" w:firstLine="19"/>
              <w:rPr>
                <w:b/>
                <w:sz w:val="18"/>
              </w:rPr>
            </w:pPr>
            <w:r>
              <w:rPr>
                <w:b/>
                <w:sz w:val="18"/>
              </w:rPr>
              <w:t>Area of Activity</w:t>
            </w:r>
          </w:p>
        </w:tc>
        <w:tc>
          <w:tcPr>
            <w:tcW w:w="5100" w:type="dxa"/>
            <w:gridSpan w:val="5"/>
          </w:tcPr>
          <w:p>
            <w:pPr>
              <w:pStyle w:val="TableParagraph"/>
              <w:spacing w:before="59"/>
              <w:ind w:left="690"/>
              <w:rPr>
                <w:b/>
                <w:sz w:val="18"/>
              </w:rPr>
            </w:pPr>
            <w:r>
              <w:rPr>
                <w:b/>
                <w:sz w:val="18"/>
              </w:rPr>
              <w:t>Increases (+) and Decreases (-) in Carbon Stock</w:t>
            </w:r>
            <w:r>
              <w:rPr>
                <w:b/>
                <w:sz w:val="18"/>
                <w:vertAlign w:val="superscript"/>
              </w:rPr>
              <w:t>2</w:t>
            </w:r>
          </w:p>
        </w:tc>
        <w:tc>
          <w:tcPr>
            <w:tcW w:w="1133" w:type="dxa"/>
            <w:vMerge w:val="restart"/>
          </w:tcPr>
          <w:p>
            <w:pPr>
              <w:pStyle w:val="TableParagraph"/>
              <w:spacing w:before="124"/>
              <w:ind w:left="205" w:right="198" w:firstLine="2"/>
              <w:jc w:val="center"/>
              <w:rPr>
                <w:b/>
                <w:sz w:val="18"/>
              </w:rPr>
            </w:pPr>
            <w:r>
              <w:rPr>
                <w:b/>
                <w:sz w:val="18"/>
              </w:rPr>
              <w:t>Total Carbon Stock Changes</w:t>
            </w:r>
            <w:r>
              <w:rPr>
                <w:b/>
                <w:sz w:val="18"/>
                <w:vertAlign w:val="superscript"/>
              </w:rPr>
              <w:t>3</w:t>
            </w:r>
          </w:p>
        </w:tc>
        <w:tc>
          <w:tcPr>
            <w:tcW w:w="1548" w:type="dxa"/>
            <w:vMerge w:val="restart"/>
          </w:tcPr>
          <w:p>
            <w:pPr>
              <w:pStyle w:val="TableParagraph"/>
              <w:spacing w:before="124"/>
              <w:ind w:left="147" w:right="137"/>
              <w:jc w:val="center"/>
              <w:rPr>
                <w:b/>
                <w:sz w:val="18"/>
              </w:rPr>
            </w:pPr>
            <w:r>
              <w:rPr>
                <w:b/>
                <w:sz w:val="18"/>
              </w:rPr>
              <w:t>Emissions (+) or Removals (-) from Carbon Stock Changes</w:t>
            </w:r>
            <w:r>
              <w:rPr>
                <w:b/>
                <w:sz w:val="18"/>
                <w:vertAlign w:val="superscript"/>
              </w:rPr>
              <w:t>4</w:t>
            </w:r>
          </w:p>
        </w:tc>
        <w:tc>
          <w:tcPr>
            <w:tcW w:w="1334" w:type="dxa"/>
            <w:vMerge w:val="restart"/>
          </w:tcPr>
          <w:p>
            <w:pPr>
              <w:pStyle w:val="TableParagraph"/>
              <w:spacing w:before="8"/>
              <w:rPr>
                <w:sz w:val="28"/>
              </w:rPr>
            </w:pPr>
          </w:p>
          <w:p>
            <w:pPr>
              <w:pStyle w:val="TableParagraph"/>
              <w:spacing w:before="1"/>
              <w:ind w:left="301" w:right="173" w:hanging="104"/>
              <w:rPr>
                <w:b/>
                <w:sz w:val="18"/>
              </w:rPr>
            </w:pPr>
            <w:r>
              <w:rPr>
                <w:b/>
                <w:sz w:val="18"/>
              </w:rPr>
              <w:t>Liming CO</w:t>
            </w:r>
            <w:r>
              <w:rPr>
                <w:b/>
                <w:sz w:val="18"/>
                <w:vertAlign w:val="subscript"/>
              </w:rPr>
              <w:t>2</w:t>
            </w:r>
            <w:r>
              <w:rPr>
                <w:b/>
                <w:sz w:val="18"/>
                <w:vertAlign w:val="baseline"/>
              </w:rPr>
              <w:t> emissions</w:t>
            </w:r>
          </w:p>
        </w:tc>
        <w:tc>
          <w:tcPr>
            <w:tcW w:w="1077" w:type="dxa"/>
            <w:vMerge w:val="restart"/>
          </w:tcPr>
          <w:p>
            <w:pPr>
              <w:pStyle w:val="TableParagraph"/>
              <w:spacing w:before="8"/>
              <w:rPr>
                <w:sz w:val="28"/>
              </w:rPr>
            </w:pPr>
          </w:p>
          <w:p>
            <w:pPr>
              <w:pStyle w:val="TableParagraph"/>
              <w:spacing w:line="207" w:lineRule="exact" w:before="1"/>
              <w:ind w:left="101" w:right="97"/>
              <w:jc w:val="center"/>
              <w:rPr>
                <w:b/>
                <w:sz w:val="18"/>
              </w:rPr>
            </w:pPr>
            <w:r>
              <w:rPr>
                <w:b/>
                <w:sz w:val="18"/>
              </w:rPr>
              <w:t>CH</w:t>
            </w:r>
            <w:r>
              <w:rPr>
                <w:b/>
                <w:sz w:val="18"/>
                <w:vertAlign w:val="subscript"/>
              </w:rPr>
              <w:t>4</w:t>
            </w:r>
          </w:p>
          <w:p>
            <w:pPr>
              <w:pStyle w:val="TableParagraph"/>
              <w:spacing w:line="207" w:lineRule="exact"/>
              <w:ind w:left="101" w:right="97"/>
              <w:jc w:val="center"/>
              <w:rPr>
                <w:b/>
                <w:sz w:val="18"/>
              </w:rPr>
            </w:pPr>
            <w:r>
              <w:rPr>
                <w:b/>
                <w:sz w:val="18"/>
              </w:rPr>
              <w:t>Emissions</w:t>
            </w:r>
            <w:r>
              <w:rPr>
                <w:b/>
                <w:sz w:val="18"/>
                <w:vertAlign w:val="superscript"/>
              </w:rPr>
              <w:t>5</w:t>
            </w:r>
          </w:p>
        </w:tc>
        <w:tc>
          <w:tcPr>
            <w:tcW w:w="1084" w:type="dxa"/>
            <w:vMerge w:val="restart"/>
          </w:tcPr>
          <w:p>
            <w:pPr>
              <w:pStyle w:val="TableParagraph"/>
              <w:spacing w:before="8"/>
              <w:rPr>
                <w:sz w:val="28"/>
              </w:rPr>
            </w:pPr>
          </w:p>
          <w:p>
            <w:pPr>
              <w:pStyle w:val="TableParagraph"/>
              <w:spacing w:line="207" w:lineRule="exact" w:before="1"/>
              <w:ind w:left="106" w:right="98"/>
              <w:jc w:val="center"/>
              <w:rPr>
                <w:b/>
                <w:sz w:val="18"/>
              </w:rPr>
            </w:pPr>
            <w:r>
              <w:rPr>
                <w:b/>
                <w:sz w:val="18"/>
              </w:rPr>
              <w:t>N</w:t>
            </w:r>
            <w:r>
              <w:rPr>
                <w:b/>
                <w:sz w:val="18"/>
                <w:vertAlign w:val="subscript"/>
              </w:rPr>
              <w:t>2</w:t>
            </w:r>
            <w:r>
              <w:rPr>
                <w:b/>
                <w:sz w:val="18"/>
                <w:vertAlign w:val="baseline"/>
              </w:rPr>
              <w:t>O</w:t>
            </w:r>
          </w:p>
          <w:p>
            <w:pPr>
              <w:pStyle w:val="TableParagraph"/>
              <w:spacing w:line="207" w:lineRule="exact"/>
              <w:ind w:left="106" w:right="99"/>
              <w:jc w:val="center"/>
              <w:rPr>
                <w:b/>
                <w:sz w:val="18"/>
              </w:rPr>
            </w:pPr>
            <w:r>
              <w:rPr>
                <w:b/>
                <w:sz w:val="18"/>
              </w:rPr>
              <w:t>Emissions</w:t>
            </w:r>
            <w:r>
              <w:rPr>
                <w:b/>
                <w:sz w:val="18"/>
                <w:vertAlign w:val="superscript"/>
              </w:rPr>
              <w:t>5</w:t>
            </w:r>
          </w:p>
        </w:tc>
      </w:tr>
      <w:tr>
        <w:trPr>
          <w:trHeight w:val="741" w:hRule="atLeast"/>
        </w:trPr>
        <w:tc>
          <w:tcPr>
            <w:tcW w:w="1990" w:type="dxa"/>
            <w:gridSpan w:val="2"/>
            <w:vMerge/>
            <w:tcBorders>
              <w:top w:val="nil"/>
            </w:tcBorders>
          </w:tcPr>
          <w:p>
            <w:pPr>
              <w:rPr>
                <w:sz w:val="2"/>
                <w:szCs w:val="2"/>
              </w:rPr>
            </w:pPr>
          </w:p>
        </w:tc>
        <w:tc>
          <w:tcPr>
            <w:tcW w:w="1078" w:type="dxa"/>
            <w:vMerge/>
            <w:tcBorders>
              <w:top w:val="nil"/>
            </w:tcBorders>
          </w:tcPr>
          <w:p>
            <w:pPr>
              <w:rPr>
                <w:sz w:val="2"/>
                <w:szCs w:val="2"/>
              </w:rPr>
            </w:pPr>
          </w:p>
        </w:tc>
        <w:tc>
          <w:tcPr>
            <w:tcW w:w="1020" w:type="dxa"/>
          </w:tcPr>
          <w:p>
            <w:pPr>
              <w:pStyle w:val="TableParagraph"/>
              <w:spacing w:before="59"/>
              <w:ind w:left="200" w:right="190" w:firstLine="64"/>
              <w:jc w:val="both"/>
              <w:rPr>
                <w:b/>
                <w:sz w:val="18"/>
              </w:rPr>
            </w:pPr>
            <w:r>
              <w:rPr>
                <w:b/>
                <w:sz w:val="18"/>
              </w:rPr>
              <w:t>Above ground </w:t>
            </w:r>
            <w:r>
              <w:rPr>
                <w:b/>
                <w:spacing w:val="-1"/>
                <w:sz w:val="18"/>
              </w:rPr>
              <w:t>biomass</w:t>
            </w:r>
          </w:p>
        </w:tc>
        <w:tc>
          <w:tcPr>
            <w:tcW w:w="1020" w:type="dxa"/>
          </w:tcPr>
          <w:p>
            <w:pPr>
              <w:pStyle w:val="TableParagraph"/>
              <w:spacing w:before="59"/>
              <w:ind w:left="200" w:right="190" w:firstLine="72"/>
              <w:jc w:val="both"/>
              <w:rPr>
                <w:b/>
                <w:sz w:val="18"/>
              </w:rPr>
            </w:pPr>
            <w:r>
              <w:rPr>
                <w:b/>
                <w:sz w:val="18"/>
              </w:rPr>
              <w:t>Below ground </w:t>
            </w:r>
            <w:r>
              <w:rPr>
                <w:b/>
                <w:spacing w:val="-1"/>
                <w:sz w:val="18"/>
              </w:rPr>
              <w:t>biomass</w:t>
            </w:r>
          </w:p>
        </w:tc>
        <w:tc>
          <w:tcPr>
            <w:tcW w:w="1020" w:type="dxa"/>
          </w:tcPr>
          <w:p>
            <w:pPr>
              <w:pStyle w:val="TableParagraph"/>
              <w:spacing w:before="1"/>
              <w:rPr>
                <w:sz w:val="23"/>
              </w:rPr>
            </w:pPr>
          </w:p>
          <w:p>
            <w:pPr>
              <w:pStyle w:val="TableParagraph"/>
              <w:ind w:left="116" w:right="109"/>
              <w:jc w:val="center"/>
              <w:rPr>
                <w:b/>
                <w:sz w:val="18"/>
              </w:rPr>
            </w:pPr>
            <w:r>
              <w:rPr>
                <w:b/>
                <w:sz w:val="18"/>
              </w:rPr>
              <w:t>Litter</w:t>
            </w:r>
          </w:p>
        </w:tc>
        <w:tc>
          <w:tcPr>
            <w:tcW w:w="1020" w:type="dxa"/>
          </w:tcPr>
          <w:p>
            <w:pPr>
              <w:pStyle w:val="TableParagraph"/>
              <w:spacing w:before="163"/>
              <w:ind w:left="303" w:right="276" w:firstLine="4"/>
              <w:rPr>
                <w:b/>
                <w:sz w:val="18"/>
              </w:rPr>
            </w:pPr>
            <w:r>
              <w:rPr>
                <w:b/>
                <w:sz w:val="18"/>
              </w:rPr>
              <w:t>Dead wood</w:t>
            </w:r>
          </w:p>
        </w:tc>
        <w:tc>
          <w:tcPr>
            <w:tcW w:w="1020" w:type="dxa"/>
          </w:tcPr>
          <w:p>
            <w:pPr>
              <w:pStyle w:val="TableParagraph"/>
              <w:spacing w:before="1"/>
              <w:rPr>
                <w:sz w:val="23"/>
              </w:rPr>
            </w:pPr>
          </w:p>
          <w:p>
            <w:pPr>
              <w:pStyle w:val="TableParagraph"/>
              <w:ind w:left="116" w:right="108"/>
              <w:jc w:val="center"/>
              <w:rPr>
                <w:b/>
                <w:sz w:val="18"/>
              </w:rPr>
            </w:pPr>
            <w:r>
              <w:rPr>
                <w:b/>
                <w:sz w:val="18"/>
              </w:rPr>
              <w:t>Soil</w:t>
            </w:r>
          </w:p>
        </w:tc>
        <w:tc>
          <w:tcPr>
            <w:tcW w:w="1133" w:type="dxa"/>
            <w:vMerge/>
            <w:tcBorders>
              <w:top w:val="nil"/>
            </w:tcBorders>
          </w:tcPr>
          <w:p>
            <w:pPr>
              <w:rPr>
                <w:sz w:val="2"/>
                <w:szCs w:val="2"/>
              </w:rPr>
            </w:pPr>
          </w:p>
        </w:tc>
        <w:tc>
          <w:tcPr>
            <w:tcW w:w="1548" w:type="dxa"/>
            <w:vMerge/>
            <w:tcBorders>
              <w:top w:val="nil"/>
            </w:tcBorders>
          </w:tcPr>
          <w:p>
            <w:pPr>
              <w:rPr>
                <w:sz w:val="2"/>
                <w:szCs w:val="2"/>
              </w:rPr>
            </w:pPr>
          </w:p>
        </w:tc>
        <w:tc>
          <w:tcPr>
            <w:tcW w:w="1334" w:type="dxa"/>
            <w:vMerge/>
            <w:tcBorders>
              <w:top w:val="nil"/>
            </w:tcBorders>
          </w:tcPr>
          <w:p>
            <w:pPr>
              <w:rPr>
                <w:sz w:val="2"/>
                <w:szCs w:val="2"/>
              </w:rPr>
            </w:pPr>
          </w:p>
        </w:tc>
        <w:tc>
          <w:tcPr>
            <w:tcW w:w="1077" w:type="dxa"/>
            <w:vMerge/>
            <w:tcBorders>
              <w:top w:val="nil"/>
            </w:tcBorders>
          </w:tcPr>
          <w:p>
            <w:pPr>
              <w:rPr>
                <w:sz w:val="2"/>
                <w:szCs w:val="2"/>
              </w:rPr>
            </w:pPr>
          </w:p>
        </w:tc>
        <w:tc>
          <w:tcPr>
            <w:tcW w:w="1084" w:type="dxa"/>
            <w:vMerge/>
            <w:tcBorders>
              <w:top w:val="nil"/>
            </w:tcBorders>
          </w:tcPr>
          <w:p>
            <w:pPr>
              <w:rPr>
                <w:sz w:val="2"/>
                <w:szCs w:val="2"/>
              </w:rPr>
            </w:pPr>
          </w:p>
        </w:tc>
      </w:tr>
      <w:tr>
        <w:trPr>
          <w:trHeight w:val="275" w:hRule="atLeast"/>
        </w:trPr>
        <w:tc>
          <w:tcPr>
            <w:tcW w:w="1085" w:type="dxa"/>
          </w:tcPr>
          <w:p>
            <w:pPr>
              <w:pStyle w:val="TableParagraph"/>
              <w:spacing w:before="33"/>
              <w:ind w:left="141" w:right="134"/>
              <w:jc w:val="center"/>
              <w:rPr>
                <w:b/>
                <w:sz w:val="18"/>
              </w:rPr>
            </w:pPr>
            <w:r>
              <w:rPr>
                <w:b/>
                <w:sz w:val="18"/>
              </w:rPr>
              <w:t>Serial No.</w:t>
            </w:r>
          </w:p>
        </w:tc>
        <w:tc>
          <w:tcPr>
            <w:tcW w:w="905" w:type="dxa"/>
          </w:tcPr>
          <w:p>
            <w:pPr>
              <w:pStyle w:val="TableParagraph"/>
              <w:spacing w:before="33"/>
              <w:ind w:left="24" w:right="18"/>
              <w:jc w:val="center"/>
              <w:rPr>
                <w:sz w:val="18"/>
              </w:rPr>
            </w:pPr>
            <w:r>
              <w:rPr>
                <w:b/>
                <w:sz w:val="18"/>
              </w:rPr>
              <w:t>ID</w:t>
            </w:r>
            <w:r>
              <w:rPr>
                <w:sz w:val="18"/>
                <w:vertAlign w:val="superscript"/>
              </w:rPr>
              <w:t>6</w:t>
            </w:r>
          </w:p>
        </w:tc>
        <w:tc>
          <w:tcPr>
            <w:tcW w:w="1078" w:type="dxa"/>
          </w:tcPr>
          <w:p>
            <w:pPr>
              <w:pStyle w:val="TableParagraph"/>
              <w:spacing w:before="33"/>
              <w:ind w:left="29" w:right="24"/>
              <w:jc w:val="center"/>
              <w:rPr>
                <w:b/>
                <w:sz w:val="18"/>
              </w:rPr>
            </w:pPr>
            <w:r>
              <w:rPr>
                <w:b/>
                <w:sz w:val="18"/>
              </w:rPr>
              <w:t>(ha)</w:t>
            </w:r>
          </w:p>
        </w:tc>
        <w:tc>
          <w:tcPr>
            <w:tcW w:w="1020" w:type="dxa"/>
          </w:tcPr>
          <w:p>
            <w:pPr>
              <w:pStyle w:val="TableParagraph"/>
              <w:spacing w:before="33"/>
              <w:ind w:left="135"/>
              <w:rPr>
                <w:b/>
                <w:sz w:val="18"/>
              </w:rPr>
            </w:pPr>
            <w:r>
              <w:rPr>
                <w:b/>
                <w:sz w:val="18"/>
              </w:rPr>
              <w:t>(Gg C/yr)</w:t>
            </w:r>
          </w:p>
        </w:tc>
        <w:tc>
          <w:tcPr>
            <w:tcW w:w="1020" w:type="dxa"/>
          </w:tcPr>
          <w:p>
            <w:pPr>
              <w:pStyle w:val="TableParagraph"/>
              <w:spacing w:before="33"/>
              <w:ind w:left="135"/>
              <w:rPr>
                <w:b/>
                <w:sz w:val="18"/>
              </w:rPr>
            </w:pPr>
            <w:r>
              <w:rPr>
                <w:b/>
                <w:sz w:val="18"/>
              </w:rPr>
              <w:t>(Gg C/yr)</w:t>
            </w:r>
          </w:p>
        </w:tc>
        <w:tc>
          <w:tcPr>
            <w:tcW w:w="1020" w:type="dxa"/>
          </w:tcPr>
          <w:p>
            <w:pPr>
              <w:pStyle w:val="TableParagraph"/>
              <w:spacing w:before="33"/>
              <w:ind w:left="116" w:right="109"/>
              <w:jc w:val="center"/>
              <w:rPr>
                <w:b/>
                <w:sz w:val="18"/>
              </w:rPr>
            </w:pPr>
            <w:r>
              <w:rPr>
                <w:b/>
                <w:sz w:val="18"/>
              </w:rPr>
              <w:t>(Gg C/yr)</w:t>
            </w:r>
          </w:p>
        </w:tc>
        <w:tc>
          <w:tcPr>
            <w:tcW w:w="1020" w:type="dxa"/>
          </w:tcPr>
          <w:p>
            <w:pPr>
              <w:pStyle w:val="TableParagraph"/>
              <w:spacing w:before="33"/>
              <w:ind w:left="135"/>
              <w:rPr>
                <w:b/>
                <w:sz w:val="18"/>
              </w:rPr>
            </w:pPr>
            <w:r>
              <w:rPr>
                <w:b/>
                <w:sz w:val="18"/>
              </w:rPr>
              <w:t>(Gg C/yr)</w:t>
            </w:r>
          </w:p>
        </w:tc>
        <w:tc>
          <w:tcPr>
            <w:tcW w:w="1020" w:type="dxa"/>
          </w:tcPr>
          <w:p>
            <w:pPr>
              <w:pStyle w:val="TableParagraph"/>
              <w:spacing w:before="33"/>
              <w:ind w:left="116" w:right="109"/>
              <w:jc w:val="center"/>
              <w:rPr>
                <w:b/>
                <w:sz w:val="18"/>
              </w:rPr>
            </w:pPr>
            <w:r>
              <w:rPr>
                <w:b/>
                <w:sz w:val="18"/>
              </w:rPr>
              <w:t>(Gg C/yr)</w:t>
            </w:r>
          </w:p>
        </w:tc>
        <w:tc>
          <w:tcPr>
            <w:tcW w:w="1133" w:type="dxa"/>
          </w:tcPr>
          <w:p>
            <w:pPr>
              <w:pStyle w:val="TableParagraph"/>
              <w:spacing w:before="33"/>
              <w:ind w:left="190"/>
              <w:rPr>
                <w:b/>
                <w:sz w:val="18"/>
              </w:rPr>
            </w:pPr>
            <w:r>
              <w:rPr>
                <w:b/>
                <w:sz w:val="18"/>
              </w:rPr>
              <w:t>(Gg C/yr)</w:t>
            </w:r>
          </w:p>
        </w:tc>
        <w:tc>
          <w:tcPr>
            <w:tcW w:w="1548" w:type="dxa"/>
          </w:tcPr>
          <w:p>
            <w:pPr>
              <w:pStyle w:val="TableParagraph"/>
              <w:spacing w:before="33"/>
              <w:ind w:left="260"/>
              <w:rPr>
                <w:b/>
                <w:sz w:val="18"/>
              </w:rPr>
            </w:pPr>
            <w:r>
              <w:rPr>
                <w:b/>
                <w:sz w:val="18"/>
              </w:rPr>
              <w:t>(Gg CO</w:t>
            </w:r>
            <w:r>
              <w:rPr>
                <w:b/>
                <w:sz w:val="18"/>
                <w:vertAlign w:val="subscript"/>
              </w:rPr>
              <w:t>2</w:t>
            </w:r>
            <w:r>
              <w:rPr>
                <w:b/>
                <w:sz w:val="18"/>
                <w:vertAlign w:val="baseline"/>
              </w:rPr>
              <w:t>e/yr)</w:t>
            </w:r>
          </w:p>
        </w:tc>
        <w:tc>
          <w:tcPr>
            <w:tcW w:w="1334" w:type="dxa"/>
          </w:tcPr>
          <w:p>
            <w:pPr>
              <w:pStyle w:val="TableParagraph"/>
              <w:spacing w:before="33"/>
              <w:ind w:left="152"/>
              <w:rPr>
                <w:b/>
                <w:sz w:val="18"/>
              </w:rPr>
            </w:pPr>
            <w:r>
              <w:rPr>
                <w:b/>
                <w:sz w:val="18"/>
              </w:rPr>
              <w:t>(Gg CO</w:t>
            </w:r>
            <w:r>
              <w:rPr>
                <w:b/>
                <w:sz w:val="18"/>
                <w:vertAlign w:val="subscript"/>
              </w:rPr>
              <w:t>2</w:t>
            </w:r>
            <w:r>
              <w:rPr>
                <w:b/>
                <w:sz w:val="18"/>
                <w:vertAlign w:val="baseline"/>
              </w:rPr>
              <w:t>e/yr)</w:t>
            </w:r>
          </w:p>
        </w:tc>
        <w:tc>
          <w:tcPr>
            <w:tcW w:w="1077" w:type="dxa"/>
          </w:tcPr>
          <w:p>
            <w:pPr>
              <w:pStyle w:val="TableParagraph"/>
              <w:spacing w:before="33"/>
              <w:ind w:left="251"/>
              <w:rPr>
                <w:b/>
                <w:sz w:val="18"/>
              </w:rPr>
            </w:pPr>
            <w:r>
              <w:rPr>
                <w:b/>
                <w:sz w:val="18"/>
              </w:rPr>
              <w:t>(Gg/yr)</w:t>
            </w:r>
          </w:p>
        </w:tc>
        <w:tc>
          <w:tcPr>
            <w:tcW w:w="1084" w:type="dxa"/>
          </w:tcPr>
          <w:p>
            <w:pPr>
              <w:pStyle w:val="TableParagraph"/>
              <w:spacing w:before="33"/>
              <w:ind w:left="256"/>
              <w:rPr>
                <w:b/>
                <w:sz w:val="18"/>
              </w:rPr>
            </w:pPr>
            <w:r>
              <w:rPr>
                <w:b/>
                <w:sz w:val="18"/>
              </w:rPr>
              <w:t>(Gg/yr)</w:t>
            </w:r>
          </w:p>
        </w:tc>
      </w:tr>
      <w:tr>
        <w:trPr>
          <w:trHeight w:val="273" w:hRule="atLeast"/>
        </w:trPr>
        <w:tc>
          <w:tcPr>
            <w:tcW w:w="1085" w:type="dxa"/>
          </w:tcPr>
          <w:p>
            <w:pPr>
              <w:pStyle w:val="TableParagraph"/>
              <w:spacing w:before="33"/>
              <w:ind w:left="8"/>
              <w:jc w:val="center"/>
              <w:rPr>
                <w:b/>
                <w:sz w:val="18"/>
              </w:rPr>
            </w:pPr>
            <w:r>
              <w:rPr>
                <w:b/>
                <w:sz w:val="18"/>
              </w:rPr>
              <w:t>1</w:t>
            </w:r>
          </w:p>
        </w:tc>
        <w:tc>
          <w:tcPr>
            <w:tcW w:w="905" w:type="dxa"/>
          </w:tcPr>
          <w:p>
            <w:pPr>
              <w:pStyle w:val="TableParagraph"/>
              <w:rPr>
                <w:sz w:val="16"/>
              </w:rPr>
            </w:pPr>
          </w:p>
        </w:tc>
        <w:tc>
          <w:tcPr>
            <w:tcW w:w="1078"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133" w:type="dxa"/>
          </w:tcPr>
          <w:p>
            <w:pPr>
              <w:pStyle w:val="TableParagraph"/>
              <w:rPr>
                <w:sz w:val="16"/>
              </w:rPr>
            </w:pPr>
          </w:p>
        </w:tc>
        <w:tc>
          <w:tcPr>
            <w:tcW w:w="1548" w:type="dxa"/>
          </w:tcPr>
          <w:p>
            <w:pPr>
              <w:pStyle w:val="TableParagraph"/>
              <w:rPr>
                <w:sz w:val="16"/>
              </w:rPr>
            </w:pPr>
          </w:p>
        </w:tc>
        <w:tc>
          <w:tcPr>
            <w:tcW w:w="1334" w:type="dxa"/>
          </w:tcPr>
          <w:p>
            <w:pPr>
              <w:pStyle w:val="TableParagraph"/>
              <w:rPr>
                <w:sz w:val="16"/>
              </w:rPr>
            </w:pPr>
          </w:p>
        </w:tc>
        <w:tc>
          <w:tcPr>
            <w:tcW w:w="1077" w:type="dxa"/>
          </w:tcPr>
          <w:p>
            <w:pPr>
              <w:pStyle w:val="TableParagraph"/>
              <w:rPr>
                <w:sz w:val="16"/>
              </w:rPr>
            </w:pPr>
          </w:p>
        </w:tc>
        <w:tc>
          <w:tcPr>
            <w:tcW w:w="1084" w:type="dxa"/>
          </w:tcPr>
          <w:p>
            <w:pPr>
              <w:pStyle w:val="TableParagraph"/>
              <w:rPr>
                <w:sz w:val="16"/>
              </w:rPr>
            </w:pPr>
          </w:p>
        </w:tc>
      </w:tr>
      <w:tr>
        <w:trPr>
          <w:trHeight w:val="273" w:hRule="atLeast"/>
        </w:trPr>
        <w:tc>
          <w:tcPr>
            <w:tcW w:w="1085" w:type="dxa"/>
          </w:tcPr>
          <w:p>
            <w:pPr>
              <w:pStyle w:val="TableParagraph"/>
              <w:spacing w:before="33"/>
              <w:ind w:left="8"/>
              <w:jc w:val="center"/>
              <w:rPr>
                <w:b/>
                <w:sz w:val="18"/>
              </w:rPr>
            </w:pPr>
            <w:r>
              <w:rPr>
                <w:b/>
                <w:sz w:val="18"/>
              </w:rPr>
              <w:t>2</w:t>
            </w:r>
          </w:p>
        </w:tc>
        <w:tc>
          <w:tcPr>
            <w:tcW w:w="905" w:type="dxa"/>
          </w:tcPr>
          <w:p>
            <w:pPr>
              <w:pStyle w:val="TableParagraph"/>
              <w:rPr>
                <w:sz w:val="16"/>
              </w:rPr>
            </w:pPr>
          </w:p>
        </w:tc>
        <w:tc>
          <w:tcPr>
            <w:tcW w:w="1078"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133" w:type="dxa"/>
          </w:tcPr>
          <w:p>
            <w:pPr>
              <w:pStyle w:val="TableParagraph"/>
              <w:rPr>
                <w:sz w:val="16"/>
              </w:rPr>
            </w:pPr>
          </w:p>
        </w:tc>
        <w:tc>
          <w:tcPr>
            <w:tcW w:w="1548" w:type="dxa"/>
          </w:tcPr>
          <w:p>
            <w:pPr>
              <w:pStyle w:val="TableParagraph"/>
              <w:rPr>
                <w:sz w:val="16"/>
              </w:rPr>
            </w:pPr>
          </w:p>
        </w:tc>
        <w:tc>
          <w:tcPr>
            <w:tcW w:w="1334" w:type="dxa"/>
          </w:tcPr>
          <w:p>
            <w:pPr>
              <w:pStyle w:val="TableParagraph"/>
              <w:rPr>
                <w:sz w:val="16"/>
              </w:rPr>
            </w:pPr>
          </w:p>
        </w:tc>
        <w:tc>
          <w:tcPr>
            <w:tcW w:w="1077" w:type="dxa"/>
          </w:tcPr>
          <w:p>
            <w:pPr>
              <w:pStyle w:val="TableParagraph"/>
              <w:rPr>
                <w:sz w:val="16"/>
              </w:rPr>
            </w:pPr>
          </w:p>
        </w:tc>
        <w:tc>
          <w:tcPr>
            <w:tcW w:w="1084" w:type="dxa"/>
          </w:tcPr>
          <w:p>
            <w:pPr>
              <w:pStyle w:val="TableParagraph"/>
              <w:rPr>
                <w:sz w:val="16"/>
              </w:rPr>
            </w:pPr>
          </w:p>
        </w:tc>
      </w:tr>
      <w:tr>
        <w:trPr>
          <w:trHeight w:val="275" w:hRule="atLeast"/>
        </w:trPr>
        <w:tc>
          <w:tcPr>
            <w:tcW w:w="1085" w:type="dxa"/>
          </w:tcPr>
          <w:p>
            <w:pPr>
              <w:pStyle w:val="TableParagraph"/>
              <w:spacing w:before="33"/>
              <w:ind w:left="8"/>
              <w:jc w:val="center"/>
              <w:rPr>
                <w:b/>
                <w:sz w:val="18"/>
              </w:rPr>
            </w:pPr>
            <w:r>
              <w:rPr>
                <w:b/>
                <w:sz w:val="18"/>
              </w:rPr>
              <w:t>3</w:t>
            </w:r>
          </w:p>
        </w:tc>
        <w:tc>
          <w:tcPr>
            <w:tcW w:w="905" w:type="dxa"/>
          </w:tcPr>
          <w:p>
            <w:pPr>
              <w:pStyle w:val="TableParagraph"/>
              <w:rPr>
                <w:sz w:val="16"/>
              </w:rPr>
            </w:pPr>
          </w:p>
        </w:tc>
        <w:tc>
          <w:tcPr>
            <w:tcW w:w="1078"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133" w:type="dxa"/>
          </w:tcPr>
          <w:p>
            <w:pPr>
              <w:pStyle w:val="TableParagraph"/>
              <w:rPr>
                <w:sz w:val="16"/>
              </w:rPr>
            </w:pPr>
          </w:p>
        </w:tc>
        <w:tc>
          <w:tcPr>
            <w:tcW w:w="1548" w:type="dxa"/>
          </w:tcPr>
          <w:p>
            <w:pPr>
              <w:pStyle w:val="TableParagraph"/>
              <w:rPr>
                <w:sz w:val="16"/>
              </w:rPr>
            </w:pPr>
          </w:p>
        </w:tc>
        <w:tc>
          <w:tcPr>
            <w:tcW w:w="1334" w:type="dxa"/>
          </w:tcPr>
          <w:p>
            <w:pPr>
              <w:pStyle w:val="TableParagraph"/>
              <w:rPr>
                <w:sz w:val="16"/>
              </w:rPr>
            </w:pPr>
          </w:p>
        </w:tc>
        <w:tc>
          <w:tcPr>
            <w:tcW w:w="1077" w:type="dxa"/>
          </w:tcPr>
          <w:p>
            <w:pPr>
              <w:pStyle w:val="TableParagraph"/>
              <w:rPr>
                <w:sz w:val="16"/>
              </w:rPr>
            </w:pPr>
          </w:p>
        </w:tc>
        <w:tc>
          <w:tcPr>
            <w:tcW w:w="1084" w:type="dxa"/>
          </w:tcPr>
          <w:p>
            <w:pPr>
              <w:pStyle w:val="TableParagraph"/>
              <w:rPr>
                <w:sz w:val="16"/>
              </w:rPr>
            </w:pPr>
          </w:p>
        </w:tc>
      </w:tr>
      <w:tr>
        <w:trPr>
          <w:trHeight w:val="273" w:hRule="atLeast"/>
        </w:trPr>
        <w:tc>
          <w:tcPr>
            <w:tcW w:w="1085" w:type="dxa"/>
          </w:tcPr>
          <w:p>
            <w:pPr>
              <w:pStyle w:val="TableParagraph"/>
              <w:spacing w:before="33"/>
              <w:ind w:left="11"/>
              <w:jc w:val="center"/>
              <w:rPr>
                <w:b/>
                <w:sz w:val="18"/>
              </w:rPr>
            </w:pPr>
            <w:r>
              <w:rPr>
                <w:b/>
                <w:sz w:val="18"/>
              </w:rPr>
              <w:t>…</w:t>
            </w:r>
          </w:p>
        </w:tc>
        <w:tc>
          <w:tcPr>
            <w:tcW w:w="905" w:type="dxa"/>
          </w:tcPr>
          <w:p>
            <w:pPr>
              <w:pStyle w:val="TableParagraph"/>
              <w:rPr>
                <w:sz w:val="16"/>
              </w:rPr>
            </w:pPr>
          </w:p>
        </w:tc>
        <w:tc>
          <w:tcPr>
            <w:tcW w:w="1078"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133" w:type="dxa"/>
          </w:tcPr>
          <w:p>
            <w:pPr>
              <w:pStyle w:val="TableParagraph"/>
              <w:rPr>
                <w:sz w:val="16"/>
              </w:rPr>
            </w:pPr>
          </w:p>
        </w:tc>
        <w:tc>
          <w:tcPr>
            <w:tcW w:w="1548" w:type="dxa"/>
          </w:tcPr>
          <w:p>
            <w:pPr>
              <w:pStyle w:val="TableParagraph"/>
              <w:rPr>
                <w:sz w:val="16"/>
              </w:rPr>
            </w:pPr>
          </w:p>
        </w:tc>
        <w:tc>
          <w:tcPr>
            <w:tcW w:w="1334" w:type="dxa"/>
          </w:tcPr>
          <w:p>
            <w:pPr>
              <w:pStyle w:val="TableParagraph"/>
              <w:rPr>
                <w:sz w:val="16"/>
              </w:rPr>
            </w:pPr>
          </w:p>
        </w:tc>
        <w:tc>
          <w:tcPr>
            <w:tcW w:w="1077" w:type="dxa"/>
          </w:tcPr>
          <w:p>
            <w:pPr>
              <w:pStyle w:val="TableParagraph"/>
              <w:rPr>
                <w:sz w:val="16"/>
              </w:rPr>
            </w:pPr>
          </w:p>
        </w:tc>
        <w:tc>
          <w:tcPr>
            <w:tcW w:w="1084" w:type="dxa"/>
          </w:tcPr>
          <w:p>
            <w:pPr>
              <w:pStyle w:val="TableParagraph"/>
              <w:rPr>
                <w:sz w:val="16"/>
              </w:rPr>
            </w:pPr>
          </w:p>
        </w:tc>
      </w:tr>
      <w:tr>
        <w:trPr>
          <w:trHeight w:val="273" w:hRule="atLeast"/>
        </w:trPr>
        <w:tc>
          <w:tcPr>
            <w:tcW w:w="1085" w:type="dxa"/>
          </w:tcPr>
          <w:p>
            <w:pPr>
              <w:pStyle w:val="TableParagraph"/>
              <w:spacing w:before="33"/>
              <w:ind w:left="9"/>
              <w:jc w:val="center"/>
              <w:rPr>
                <w:b/>
                <w:sz w:val="18"/>
              </w:rPr>
            </w:pPr>
            <w:r>
              <w:rPr>
                <w:b/>
                <w:sz w:val="18"/>
              </w:rPr>
              <w:t>N</w:t>
            </w:r>
          </w:p>
        </w:tc>
        <w:tc>
          <w:tcPr>
            <w:tcW w:w="905" w:type="dxa"/>
          </w:tcPr>
          <w:p>
            <w:pPr>
              <w:pStyle w:val="TableParagraph"/>
              <w:rPr>
                <w:sz w:val="16"/>
              </w:rPr>
            </w:pPr>
          </w:p>
        </w:tc>
        <w:tc>
          <w:tcPr>
            <w:tcW w:w="1078"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133" w:type="dxa"/>
          </w:tcPr>
          <w:p>
            <w:pPr>
              <w:pStyle w:val="TableParagraph"/>
              <w:rPr>
                <w:sz w:val="16"/>
              </w:rPr>
            </w:pPr>
          </w:p>
        </w:tc>
        <w:tc>
          <w:tcPr>
            <w:tcW w:w="1548" w:type="dxa"/>
          </w:tcPr>
          <w:p>
            <w:pPr>
              <w:pStyle w:val="TableParagraph"/>
              <w:rPr>
                <w:sz w:val="16"/>
              </w:rPr>
            </w:pPr>
          </w:p>
        </w:tc>
        <w:tc>
          <w:tcPr>
            <w:tcW w:w="1334" w:type="dxa"/>
          </w:tcPr>
          <w:p>
            <w:pPr>
              <w:pStyle w:val="TableParagraph"/>
              <w:rPr>
                <w:sz w:val="16"/>
              </w:rPr>
            </w:pPr>
          </w:p>
        </w:tc>
        <w:tc>
          <w:tcPr>
            <w:tcW w:w="1077" w:type="dxa"/>
          </w:tcPr>
          <w:p>
            <w:pPr>
              <w:pStyle w:val="TableParagraph"/>
              <w:rPr>
                <w:sz w:val="16"/>
              </w:rPr>
            </w:pPr>
          </w:p>
        </w:tc>
        <w:tc>
          <w:tcPr>
            <w:tcW w:w="1084" w:type="dxa"/>
          </w:tcPr>
          <w:p>
            <w:pPr>
              <w:pStyle w:val="TableParagraph"/>
              <w:rPr>
                <w:sz w:val="16"/>
              </w:rPr>
            </w:pPr>
          </w:p>
        </w:tc>
      </w:tr>
      <w:tr>
        <w:trPr>
          <w:trHeight w:val="275" w:hRule="atLeast"/>
        </w:trPr>
        <w:tc>
          <w:tcPr>
            <w:tcW w:w="1990" w:type="dxa"/>
            <w:gridSpan w:val="2"/>
          </w:tcPr>
          <w:p>
            <w:pPr>
              <w:pStyle w:val="TableParagraph"/>
              <w:spacing w:before="33"/>
              <w:ind w:left="203"/>
              <w:rPr>
                <w:b/>
                <w:sz w:val="18"/>
              </w:rPr>
            </w:pPr>
            <w:r>
              <w:rPr>
                <w:b/>
                <w:sz w:val="18"/>
              </w:rPr>
              <w:t>Total for the activity</w:t>
            </w:r>
          </w:p>
        </w:tc>
        <w:tc>
          <w:tcPr>
            <w:tcW w:w="1078"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020" w:type="dxa"/>
          </w:tcPr>
          <w:p>
            <w:pPr>
              <w:pStyle w:val="TableParagraph"/>
              <w:rPr>
                <w:sz w:val="16"/>
              </w:rPr>
            </w:pPr>
          </w:p>
        </w:tc>
        <w:tc>
          <w:tcPr>
            <w:tcW w:w="1133" w:type="dxa"/>
          </w:tcPr>
          <w:p>
            <w:pPr>
              <w:pStyle w:val="TableParagraph"/>
              <w:rPr>
                <w:sz w:val="16"/>
              </w:rPr>
            </w:pPr>
          </w:p>
        </w:tc>
        <w:tc>
          <w:tcPr>
            <w:tcW w:w="1548" w:type="dxa"/>
          </w:tcPr>
          <w:p>
            <w:pPr>
              <w:pStyle w:val="TableParagraph"/>
              <w:rPr>
                <w:sz w:val="16"/>
              </w:rPr>
            </w:pPr>
          </w:p>
        </w:tc>
        <w:tc>
          <w:tcPr>
            <w:tcW w:w="1334" w:type="dxa"/>
          </w:tcPr>
          <w:p>
            <w:pPr>
              <w:pStyle w:val="TableParagraph"/>
              <w:rPr>
                <w:sz w:val="16"/>
              </w:rPr>
            </w:pPr>
          </w:p>
        </w:tc>
        <w:tc>
          <w:tcPr>
            <w:tcW w:w="1077" w:type="dxa"/>
          </w:tcPr>
          <w:p>
            <w:pPr>
              <w:pStyle w:val="TableParagraph"/>
              <w:rPr>
                <w:sz w:val="16"/>
              </w:rPr>
            </w:pPr>
          </w:p>
        </w:tc>
        <w:tc>
          <w:tcPr>
            <w:tcW w:w="1084" w:type="dxa"/>
          </w:tcPr>
          <w:p>
            <w:pPr>
              <w:pStyle w:val="TableParagraph"/>
              <w:rPr>
                <w:sz w:val="16"/>
              </w:rPr>
            </w:pPr>
          </w:p>
        </w:tc>
      </w:tr>
      <w:tr>
        <w:trPr>
          <w:trHeight w:val="1727" w:hRule="atLeast"/>
        </w:trPr>
        <w:tc>
          <w:tcPr>
            <w:tcW w:w="14344" w:type="dxa"/>
            <w:gridSpan w:val="13"/>
          </w:tcPr>
          <w:p>
            <w:pPr>
              <w:pStyle w:val="TableParagraph"/>
              <w:spacing w:before="9"/>
              <w:ind w:left="107"/>
              <w:rPr>
                <w:sz w:val="18"/>
              </w:rPr>
            </w:pPr>
            <w:r>
              <w:rPr>
                <w:position w:val="8"/>
                <w:sz w:val="12"/>
              </w:rPr>
              <w:t>1 </w:t>
            </w:r>
            <w:r>
              <w:rPr>
                <w:sz w:val="18"/>
              </w:rPr>
              <w:t>Geographical location refers to the areas that encompass lands subject to Article 3.4 activities.</w:t>
            </w:r>
          </w:p>
          <w:p>
            <w:pPr>
              <w:pStyle w:val="TableParagraph"/>
              <w:spacing w:before="14"/>
              <w:ind w:left="107"/>
              <w:rPr>
                <w:sz w:val="18"/>
              </w:rPr>
            </w:pPr>
            <w:r>
              <w:rPr>
                <w:position w:val="8"/>
                <w:sz w:val="12"/>
              </w:rPr>
              <w:t>2 </w:t>
            </w:r>
            <w:r>
              <w:rPr>
                <w:sz w:val="18"/>
              </w:rPr>
              <w:t>If a pool is not reported, the text “NR” (for “not reported”) should be entered, and it must be demonstrated that the pool is not a source.</w:t>
            </w:r>
          </w:p>
          <w:p>
            <w:pPr>
              <w:pStyle w:val="TableParagraph"/>
              <w:spacing w:before="16"/>
              <w:ind w:left="107"/>
              <w:rPr>
                <w:sz w:val="18"/>
              </w:rPr>
            </w:pPr>
            <w:r>
              <w:rPr>
                <w:position w:val="8"/>
                <w:sz w:val="12"/>
              </w:rPr>
              <w:t>3 </w:t>
            </w:r>
            <w:r>
              <w:rPr>
                <w:sz w:val="18"/>
              </w:rPr>
              <w:t>“Total carbon stock changes” are the sum of carbon stock changes of all five pools.</w:t>
            </w:r>
          </w:p>
          <w:p>
            <w:pPr>
              <w:pStyle w:val="TableParagraph"/>
              <w:spacing w:before="16"/>
              <w:ind w:left="107"/>
              <w:rPr>
                <w:sz w:val="18"/>
              </w:rPr>
            </w:pPr>
            <w:r>
              <w:rPr>
                <w:position w:val="8"/>
                <w:sz w:val="12"/>
              </w:rPr>
              <w:t>4 </w:t>
            </w:r>
            <w:r>
              <w:rPr>
                <w:sz w:val="18"/>
              </w:rPr>
              <w:t>Emissions/Removals are calculated by multiplying total carbon stock changes by 44/12 to convert to CO</w:t>
            </w:r>
            <w:r>
              <w:rPr>
                <w:sz w:val="18"/>
                <w:vertAlign w:val="subscript"/>
              </w:rPr>
              <w:t>2</w:t>
            </w:r>
            <w:r>
              <w:rPr>
                <w:sz w:val="18"/>
                <w:vertAlign w:val="baseline"/>
              </w:rPr>
              <w:t> followed by reversing the sign to follow conventions of emissions/removals reporting.</w:t>
            </w:r>
          </w:p>
          <w:p>
            <w:pPr>
              <w:pStyle w:val="TableParagraph"/>
              <w:spacing w:line="237" w:lineRule="auto" w:before="21"/>
              <w:ind w:left="220" w:hanging="113"/>
              <w:rPr>
                <w:sz w:val="18"/>
              </w:rPr>
            </w:pPr>
            <w:r>
              <w:rPr>
                <w:position w:val="8"/>
                <w:sz w:val="12"/>
              </w:rPr>
              <w:t>5 </w:t>
            </w:r>
            <w:r>
              <w:rPr>
                <w:sz w:val="18"/>
              </w:rPr>
              <w:t>For CM, GM and RV, if elected, methane and nitrous oxide emissions are reported here for transparency purposes only. They are reported and accounted along with the Kyoto Protocol Annex A sources in the Agriculture sector.</w:t>
            </w:r>
          </w:p>
          <w:p>
            <w:pPr>
              <w:pStyle w:val="TableParagraph"/>
              <w:spacing w:before="15"/>
              <w:ind w:left="107"/>
              <w:rPr>
                <w:sz w:val="18"/>
              </w:rPr>
            </w:pPr>
            <w:r>
              <w:rPr>
                <w:position w:val="8"/>
                <w:sz w:val="12"/>
              </w:rPr>
              <w:t>6 </w:t>
            </w:r>
            <w:r>
              <w:rPr>
                <w:sz w:val="18"/>
              </w:rPr>
              <w:t>ID: unique identifier of the geographic location.</w:t>
            </w:r>
          </w:p>
        </w:tc>
      </w:tr>
    </w:tbl>
    <w:p>
      <w:pPr>
        <w:spacing w:after="0"/>
        <w:rPr>
          <w:sz w:val="18"/>
        </w:rPr>
        <w:sectPr>
          <w:pgSz w:w="16840" w:h="11900" w:orient="landscape"/>
          <w:pgMar w:header="230" w:footer="1137" w:top="560" w:bottom="1320" w:left="1200" w:right="920"/>
        </w:sectPr>
      </w:pPr>
    </w:p>
    <w:p>
      <w:pPr>
        <w:pStyle w:val="BodyText"/>
        <w:spacing w:before="9"/>
        <w:rPr>
          <w:sz w:val="29"/>
        </w:rPr>
      </w:pPr>
      <w:r>
        <w:rPr/>
        <w:pict>
          <v:rect style="position:absolute;margin-left:70.919998pt;margin-top:118.558998pt;width:682.32pt;height:13.32pt;mso-position-horizontal-relative:page;mso-position-vertical-relative:page;z-index:-2434864" filled="true" fillcolor="#ffffff" stroked="false">
            <v:fill type="solid"/>
            <w10:wrap type="none"/>
          </v:rect>
        </w:pict>
      </w:r>
      <w:r>
        <w:rPr/>
        <w:pict>
          <v:rect style="position:absolute;margin-left:646.440002pt;margin-top:193.199005pt;width:43.44pt;height:13.32pt;mso-position-horizontal-relative:page;mso-position-vertical-relative:page;z-index:-2434840" filled="true" fillcolor="#ffffff" stroked="false">
            <v:fill type="solid"/>
            <w10:wrap type="none"/>
          </v:rect>
        </w:pict>
      </w:r>
      <w:r>
        <w:rPr/>
        <w:pict>
          <v:rect style="position:absolute;margin-left:700.799988pt;margin-top:193.199005pt;width:52.56pt;height:13.32pt;mso-position-horizontal-relative:page;mso-position-vertical-relative:page;z-index:-2434816" filled="true" fillcolor="#ffffff" stroked="false">
            <v:fill type="solid"/>
            <w10:wrap type="none"/>
          </v:rect>
        </w:pic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66"/>
        <w:gridCol w:w="871"/>
        <w:gridCol w:w="905"/>
        <w:gridCol w:w="1085"/>
        <w:gridCol w:w="1087"/>
        <w:gridCol w:w="1085"/>
        <w:gridCol w:w="1087"/>
        <w:gridCol w:w="1085"/>
        <w:gridCol w:w="1630"/>
        <w:gridCol w:w="1810"/>
        <w:gridCol w:w="1088"/>
        <w:gridCol w:w="1268"/>
      </w:tblGrid>
      <w:tr>
        <w:trPr>
          <w:trHeight w:val="858" w:hRule="atLeast"/>
        </w:trPr>
        <w:tc>
          <w:tcPr>
            <w:tcW w:w="13867" w:type="dxa"/>
            <w:gridSpan w:val="12"/>
            <w:tcBorders>
              <w:bottom w:val="double" w:sz="1" w:space="0" w:color="000000"/>
            </w:tcBorders>
          </w:tcPr>
          <w:p>
            <w:pPr>
              <w:pStyle w:val="TableParagraph"/>
              <w:spacing w:before="59"/>
              <w:ind w:left="353" w:right="345"/>
              <w:jc w:val="center"/>
              <w:rPr>
                <w:b/>
                <w:sz w:val="18"/>
              </w:rPr>
            </w:pPr>
            <w:r>
              <w:rPr>
                <w:b/>
                <w:sz w:val="18"/>
              </w:rPr>
              <w:t>T</w:t>
            </w:r>
            <w:r>
              <w:rPr>
                <w:b/>
                <w:sz w:val="14"/>
              </w:rPr>
              <w:t>ABLE </w:t>
            </w:r>
            <w:r>
              <w:rPr>
                <w:b/>
                <w:sz w:val="18"/>
              </w:rPr>
              <w:t>4.2.6c</w:t>
            </w:r>
          </w:p>
          <w:p>
            <w:pPr>
              <w:pStyle w:val="TableParagraph"/>
              <w:spacing w:line="215" w:lineRule="exact" w:before="120"/>
              <w:ind w:left="353" w:right="350"/>
              <w:jc w:val="center"/>
              <w:rPr>
                <w:b/>
                <w:sz w:val="18"/>
              </w:rPr>
            </w:pPr>
            <w:r>
              <w:rPr>
                <w:b/>
                <w:sz w:val="18"/>
              </w:rPr>
              <w:t>T</w:t>
            </w:r>
            <w:r>
              <w:rPr>
                <w:b/>
                <w:sz w:val="14"/>
              </w:rPr>
              <w:t>ABLE FOR </w:t>
            </w:r>
            <w:r>
              <w:rPr>
                <w:b/>
                <w:sz w:val="18"/>
              </w:rPr>
              <w:t>R</w:t>
            </w:r>
            <w:r>
              <w:rPr>
                <w:b/>
                <w:sz w:val="14"/>
              </w:rPr>
              <w:t>EPORTING</w:t>
            </w:r>
            <w:r>
              <w:rPr>
                <w:b/>
                <w:sz w:val="18"/>
              </w:rPr>
              <w:t>, </w:t>
            </w:r>
            <w:r>
              <w:rPr>
                <w:b/>
                <w:sz w:val="14"/>
              </w:rPr>
              <w:t>FOR THE </w:t>
            </w:r>
            <w:r>
              <w:rPr>
                <w:b/>
                <w:sz w:val="18"/>
              </w:rPr>
              <w:t>I</w:t>
            </w:r>
            <w:r>
              <w:rPr>
                <w:b/>
                <w:sz w:val="14"/>
              </w:rPr>
              <w:t>NVENTORY </w:t>
            </w:r>
            <w:r>
              <w:rPr>
                <w:b/>
                <w:sz w:val="18"/>
              </w:rPr>
              <w:t>Y</w:t>
            </w:r>
            <w:r>
              <w:rPr>
                <w:b/>
                <w:sz w:val="14"/>
              </w:rPr>
              <w:t>EAR</w:t>
            </w:r>
            <w:r>
              <w:rPr>
                <w:b/>
                <w:sz w:val="18"/>
              </w:rPr>
              <w:t>, C</w:t>
            </w:r>
            <w:r>
              <w:rPr>
                <w:b/>
                <w:sz w:val="14"/>
              </w:rPr>
              <w:t>ARBON </w:t>
            </w:r>
            <w:r>
              <w:rPr>
                <w:b/>
                <w:sz w:val="18"/>
              </w:rPr>
              <w:t>S</w:t>
            </w:r>
            <w:r>
              <w:rPr>
                <w:b/>
                <w:sz w:val="14"/>
              </w:rPr>
              <w:t>TOCK </w:t>
            </w:r>
            <w:r>
              <w:rPr>
                <w:b/>
                <w:sz w:val="18"/>
              </w:rPr>
              <w:t>C</w:t>
            </w:r>
            <w:r>
              <w:rPr>
                <w:b/>
                <w:sz w:val="14"/>
              </w:rPr>
              <w:t>HANGES AND </w:t>
            </w:r>
            <w:r>
              <w:rPr>
                <w:b/>
                <w:sz w:val="18"/>
              </w:rPr>
              <w:t>N</w:t>
            </w:r>
            <w:r>
              <w:rPr>
                <w:b/>
                <w:sz w:val="14"/>
              </w:rPr>
              <w:t>ON</w:t>
            </w:r>
            <w:r>
              <w:rPr>
                <w:b/>
                <w:sz w:val="18"/>
              </w:rPr>
              <w:t>-CO</w:t>
            </w:r>
            <w:r>
              <w:rPr>
                <w:b/>
                <w:position w:val="-2"/>
                <w:sz w:val="12"/>
              </w:rPr>
              <w:t>2 </w:t>
            </w:r>
            <w:r>
              <w:rPr>
                <w:b/>
                <w:sz w:val="18"/>
              </w:rPr>
              <w:t>E</w:t>
            </w:r>
            <w:r>
              <w:rPr>
                <w:b/>
                <w:sz w:val="14"/>
              </w:rPr>
              <w:t>MISSIONS BY SOURCES AND REMOVALS BY SINKS FOR </w:t>
            </w:r>
            <w:r>
              <w:rPr>
                <w:b/>
                <w:sz w:val="18"/>
              </w:rPr>
              <w:t>P</w:t>
            </w:r>
            <w:r>
              <w:rPr>
                <w:b/>
                <w:sz w:val="14"/>
              </w:rPr>
              <w:t>ROJECTS UNDER </w:t>
            </w:r>
            <w:r>
              <w:rPr>
                <w:b/>
                <w:sz w:val="18"/>
              </w:rPr>
              <w:t>A</w:t>
            </w:r>
            <w:r>
              <w:rPr>
                <w:b/>
                <w:sz w:val="14"/>
              </w:rPr>
              <w:t>RTICLE </w:t>
            </w:r>
            <w:r>
              <w:rPr>
                <w:b/>
                <w:sz w:val="18"/>
              </w:rPr>
              <w:t>6.</w:t>
            </w:r>
          </w:p>
          <w:p>
            <w:pPr>
              <w:pStyle w:val="TableParagraph"/>
              <w:spacing w:line="198" w:lineRule="exact"/>
              <w:ind w:left="353" w:right="349"/>
              <w:jc w:val="center"/>
              <w:rPr>
                <w:b/>
                <w:sz w:val="18"/>
              </w:rPr>
            </w:pPr>
            <w:r>
              <w:rPr>
                <w:b/>
                <w:sz w:val="18"/>
              </w:rPr>
              <w:t>A </w:t>
            </w:r>
            <w:r>
              <w:rPr>
                <w:b/>
                <w:sz w:val="14"/>
              </w:rPr>
              <w:t>COPY OF THIS TABLE MUST BE PROVIDED FOR EACH TYPE OF ACTIVITY</w:t>
            </w:r>
            <w:r>
              <w:rPr>
                <w:b/>
                <w:sz w:val="18"/>
              </w:rPr>
              <w:t>.</w:t>
            </w:r>
          </w:p>
        </w:tc>
      </w:tr>
      <w:tr>
        <w:trPr>
          <w:trHeight w:val="654" w:hRule="atLeast"/>
        </w:trPr>
        <w:tc>
          <w:tcPr>
            <w:tcW w:w="13867" w:type="dxa"/>
            <w:gridSpan w:val="12"/>
            <w:tcBorders>
              <w:top w:val="double" w:sz="1" w:space="0" w:color="000000"/>
            </w:tcBorders>
          </w:tcPr>
          <w:p>
            <w:pPr>
              <w:pStyle w:val="TableParagraph"/>
              <w:spacing w:before="61"/>
              <w:ind w:left="107"/>
              <w:rPr>
                <w:b/>
                <w:sz w:val="18"/>
              </w:rPr>
            </w:pPr>
            <w:r>
              <w:rPr>
                <w:b/>
                <w:sz w:val="18"/>
              </w:rPr>
              <w:t>Project</w:t>
            </w:r>
            <w:r>
              <w:rPr>
                <w:b/>
                <w:spacing w:val="-10"/>
                <w:sz w:val="18"/>
              </w:rPr>
              <w:t> </w:t>
            </w:r>
            <w:r>
              <w:rPr>
                <w:b/>
                <w:sz w:val="18"/>
              </w:rPr>
              <w:t>activity:</w:t>
            </w:r>
          </w:p>
          <w:p>
            <w:pPr>
              <w:pStyle w:val="TableParagraph"/>
              <w:spacing w:before="120"/>
              <w:ind w:left="107"/>
              <w:rPr>
                <w:b/>
                <w:sz w:val="18"/>
              </w:rPr>
            </w:pPr>
            <w:r>
              <w:rPr>
                <w:b/>
                <w:sz w:val="18"/>
              </w:rPr>
              <w:t>Inventory</w:t>
            </w:r>
            <w:r>
              <w:rPr>
                <w:b/>
                <w:spacing w:val="-8"/>
                <w:sz w:val="18"/>
              </w:rPr>
              <w:t> </w:t>
            </w:r>
            <w:r>
              <w:rPr>
                <w:b/>
                <w:sz w:val="18"/>
              </w:rPr>
              <w:t>year:</w:t>
            </w:r>
          </w:p>
        </w:tc>
      </w:tr>
      <w:tr>
        <w:trPr>
          <w:trHeight w:val="325" w:hRule="atLeast"/>
        </w:trPr>
        <w:tc>
          <w:tcPr>
            <w:tcW w:w="866" w:type="dxa"/>
            <w:vMerge w:val="restart"/>
          </w:tcPr>
          <w:p>
            <w:pPr>
              <w:pStyle w:val="TableParagraph"/>
              <w:rPr>
                <w:sz w:val="20"/>
              </w:rPr>
            </w:pPr>
          </w:p>
          <w:p>
            <w:pPr>
              <w:pStyle w:val="TableParagraph"/>
              <w:spacing w:before="11"/>
              <w:rPr>
                <w:sz w:val="22"/>
              </w:rPr>
            </w:pPr>
          </w:p>
          <w:p>
            <w:pPr>
              <w:pStyle w:val="TableParagraph"/>
              <w:ind w:left="129" w:right="96" w:firstLine="79"/>
              <w:rPr>
                <w:b/>
                <w:sz w:val="18"/>
              </w:rPr>
            </w:pPr>
            <w:r>
              <w:rPr>
                <w:b/>
                <w:sz w:val="18"/>
              </w:rPr>
              <w:t>Serial number</w:t>
            </w:r>
          </w:p>
        </w:tc>
        <w:tc>
          <w:tcPr>
            <w:tcW w:w="871" w:type="dxa"/>
            <w:vMerge w:val="restart"/>
          </w:tcPr>
          <w:p>
            <w:pPr>
              <w:pStyle w:val="TableParagraph"/>
              <w:rPr>
                <w:sz w:val="22"/>
              </w:rPr>
            </w:pPr>
          </w:p>
          <w:p>
            <w:pPr>
              <w:pStyle w:val="TableParagraph"/>
              <w:spacing w:before="11"/>
              <w:rPr>
                <w:sz w:val="20"/>
              </w:rPr>
            </w:pPr>
          </w:p>
          <w:p>
            <w:pPr>
              <w:pStyle w:val="TableParagraph"/>
              <w:ind w:left="304" w:right="126" w:hanging="149"/>
              <w:rPr>
                <w:b/>
                <w:sz w:val="18"/>
              </w:rPr>
            </w:pPr>
            <w:r>
              <w:rPr>
                <w:b/>
                <w:sz w:val="18"/>
              </w:rPr>
              <w:t>Project ID</w:t>
            </w:r>
            <w:r>
              <w:rPr>
                <w:b/>
                <w:sz w:val="18"/>
                <w:vertAlign w:val="superscript"/>
              </w:rPr>
              <w:t>1</w:t>
            </w:r>
          </w:p>
        </w:tc>
        <w:tc>
          <w:tcPr>
            <w:tcW w:w="905" w:type="dxa"/>
            <w:vMerge w:val="restart"/>
          </w:tcPr>
          <w:p>
            <w:pPr>
              <w:pStyle w:val="TableParagraph"/>
              <w:spacing w:before="4"/>
              <w:rPr>
                <w:sz w:val="28"/>
              </w:rPr>
            </w:pPr>
          </w:p>
          <w:p>
            <w:pPr>
              <w:pStyle w:val="TableParagraph"/>
              <w:ind w:left="173" w:right="135" w:hanging="8"/>
              <w:rPr>
                <w:b/>
                <w:sz w:val="18"/>
              </w:rPr>
            </w:pPr>
            <w:r>
              <w:rPr>
                <w:b/>
                <w:sz w:val="18"/>
              </w:rPr>
              <w:t>Area of Project</w:t>
            </w:r>
          </w:p>
        </w:tc>
        <w:tc>
          <w:tcPr>
            <w:tcW w:w="5429" w:type="dxa"/>
            <w:gridSpan w:val="5"/>
          </w:tcPr>
          <w:p>
            <w:pPr>
              <w:pStyle w:val="TableParagraph"/>
              <w:spacing w:before="59"/>
              <w:ind w:left="856"/>
              <w:rPr>
                <w:b/>
                <w:sz w:val="18"/>
              </w:rPr>
            </w:pPr>
            <w:r>
              <w:rPr>
                <w:b/>
                <w:sz w:val="18"/>
              </w:rPr>
              <w:t>Increases (+) and Decreases (-) in Carbon Stock</w:t>
            </w:r>
            <w:r>
              <w:rPr>
                <w:b/>
                <w:sz w:val="18"/>
                <w:vertAlign w:val="superscript"/>
              </w:rPr>
              <w:t>2</w:t>
            </w:r>
          </w:p>
        </w:tc>
        <w:tc>
          <w:tcPr>
            <w:tcW w:w="1630" w:type="dxa"/>
            <w:vMerge w:val="restart"/>
          </w:tcPr>
          <w:p>
            <w:pPr>
              <w:pStyle w:val="TableParagraph"/>
              <w:spacing w:before="4"/>
              <w:rPr>
                <w:sz w:val="28"/>
              </w:rPr>
            </w:pPr>
          </w:p>
          <w:p>
            <w:pPr>
              <w:pStyle w:val="TableParagraph"/>
              <w:ind w:left="218" w:right="188" w:firstLine="74"/>
              <w:rPr>
                <w:b/>
                <w:sz w:val="18"/>
              </w:rPr>
            </w:pPr>
            <w:r>
              <w:rPr>
                <w:b/>
                <w:sz w:val="18"/>
              </w:rPr>
              <w:t>Total Carbon Stock Changes</w:t>
            </w:r>
            <w:r>
              <w:rPr>
                <w:b/>
                <w:sz w:val="18"/>
                <w:vertAlign w:val="superscript"/>
              </w:rPr>
              <w:t>3</w:t>
            </w:r>
          </w:p>
        </w:tc>
        <w:tc>
          <w:tcPr>
            <w:tcW w:w="1810" w:type="dxa"/>
            <w:vMerge w:val="restart"/>
          </w:tcPr>
          <w:p>
            <w:pPr>
              <w:pStyle w:val="TableParagraph"/>
              <w:spacing w:before="119"/>
              <w:ind w:left="205" w:right="192" w:hanging="6"/>
              <w:jc w:val="center"/>
              <w:rPr>
                <w:b/>
                <w:sz w:val="18"/>
              </w:rPr>
            </w:pPr>
            <w:r>
              <w:rPr>
                <w:b/>
                <w:sz w:val="18"/>
              </w:rPr>
              <w:t>Emissions (+) or Removals (-) from Carbon Stock Changes</w:t>
            </w:r>
            <w:r>
              <w:rPr>
                <w:b/>
                <w:sz w:val="18"/>
                <w:vertAlign w:val="superscript"/>
              </w:rPr>
              <w:t>4</w:t>
            </w:r>
          </w:p>
        </w:tc>
        <w:tc>
          <w:tcPr>
            <w:tcW w:w="1088" w:type="dxa"/>
            <w:vMerge w:val="restart"/>
          </w:tcPr>
          <w:p>
            <w:pPr>
              <w:pStyle w:val="TableParagraph"/>
              <w:spacing w:before="4"/>
              <w:rPr>
                <w:sz w:val="28"/>
              </w:rPr>
            </w:pPr>
          </w:p>
          <w:p>
            <w:pPr>
              <w:pStyle w:val="TableParagraph"/>
              <w:spacing w:line="207" w:lineRule="exact"/>
              <w:ind w:left="126" w:right="119"/>
              <w:jc w:val="center"/>
              <w:rPr>
                <w:b/>
                <w:sz w:val="18"/>
              </w:rPr>
            </w:pPr>
            <w:r>
              <w:rPr>
                <w:b/>
                <w:sz w:val="18"/>
              </w:rPr>
              <w:t>CH</w:t>
            </w:r>
            <w:r>
              <w:rPr>
                <w:b/>
                <w:sz w:val="18"/>
                <w:vertAlign w:val="subscript"/>
              </w:rPr>
              <w:t>4</w:t>
            </w:r>
          </w:p>
          <w:p>
            <w:pPr>
              <w:pStyle w:val="TableParagraph"/>
              <w:spacing w:line="207" w:lineRule="exact"/>
              <w:ind w:left="124" w:right="119"/>
              <w:jc w:val="center"/>
              <w:rPr>
                <w:b/>
                <w:sz w:val="18"/>
              </w:rPr>
            </w:pPr>
            <w:r>
              <w:rPr>
                <w:b/>
                <w:sz w:val="18"/>
              </w:rPr>
              <w:t>Emissions</w:t>
            </w:r>
          </w:p>
        </w:tc>
        <w:tc>
          <w:tcPr>
            <w:tcW w:w="1268" w:type="dxa"/>
            <w:vMerge w:val="restart"/>
          </w:tcPr>
          <w:p>
            <w:pPr>
              <w:pStyle w:val="TableParagraph"/>
              <w:spacing w:before="4"/>
              <w:rPr>
                <w:sz w:val="28"/>
              </w:rPr>
            </w:pPr>
          </w:p>
          <w:p>
            <w:pPr>
              <w:pStyle w:val="TableParagraph"/>
              <w:spacing w:line="207" w:lineRule="exact"/>
              <w:ind w:left="214" w:right="210"/>
              <w:jc w:val="center"/>
              <w:rPr>
                <w:b/>
                <w:sz w:val="18"/>
              </w:rPr>
            </w:pPr>
            <w:r>
              <w:rPr>
                <w:b/>
                <w:sz w:val="18"/>
              </w:rPr>
              <w:t>N</w:t>
            </w:r>
            <w:r>
              <w:rPr>
                <w:b/>
                <w:sz w:val="18"/>
                <w:vertAlign w:val="subscript"/>
              </w:rPr>
              <w:t>2</w:t>
            </w:r>
            <w:r>
              <w:rPr>
                <w:b/>
                <w:sz w:val="18"/>
                <w:vertAlign w:val="baseline"/>
              </w:rPr>
              <w:t>O</w:t>
            </w:r>
          </w:p>
          <w:p>
            <w:pPr>
              <w:pStyle w:val="TableParagraph"/>
              <w:spacing w:line="207" w:lineRule="exact"/>
              <w:ind w:left="215" w:right="210"/>
              <w:jc w:val="center"/>
              <w:rPr>
                <w:b/>
                <w:sz w:val="18"/>
              </w:rPr>
            </w:pPr>
            <w:r>
              <w:rPr>
                <w:b/>
                <w:sz w:val="18"/>
              </w:rPr>
              <w:t>Emissions</w:t>
            </w:r>
          </w:p>
        </w:tc>
      </w:tr>
      <w:tr>
        <w:trPr>
          <w:trHeight w:val="741" w:hRule="atLeast"/>
        </w:trPr>
        <w:tc>
          <w:tcPr>
            <w:tcW w:w="866" w:type="dxa"/>
            <w:vMerge/>
            <w:tcBorders>
              <w:top w:val="nil"/>
            </w:tcBorders>
          </w:tcPr>
          <w:p>
            <w:pPr>
              <w:rPr>
                <w:sz w:val="2"/>
                <w:szCs w:val="2"/>
              </w:rPr>
            </w:pPr>
          </w:p>
        </w:tc>
        <w:tc>
          <w:tcPr>
            <w:tcW w:w="871" w:type="dxa"/>
            <w:vMerge/>
            <w:tcBorders>
              <w:top w:val="nil"/>
            </w:tcBorders>
          </w:tcPr>
          <w:p>
            <w:pPr>
              <w:rPr>
                <w:sz w:val="2"/>
                <w:szCs w:val="2"/>
              </w:rPr>
            </w:pPr>
          </w:p>
        </w:tc>
        <w:tc>
          <w:tcPr>
            <w:tcW w:w="905" w:type="dxa"/>
            <w:vMerge/>
            <w:tcBorders>
              <w:top w:val="nil"/>
            </w:tcBorders>
          </w:tcPr>
          <w:p>
            <w:pPr>
              <w:rPr>
                <w:sz w:val="2"/>
                <w:szCs w:val="2"/>
              </w:rPr>
            </w:pPr>
          </w:p>
        </w:tc>
        <w:tc>
          <w:tcPr>
            <w:tcW w:w="1085" w:type="dxa"/>
          </w:tcPr>
          <w:p>
            <w:pPr>
              <w:pStyle w:val="TableParagraph"/>
              <w:spacing w:before="59"/>
              <w:ind w:left="235" w:right="220" w:firstLine="64"/>
              <w:jc w:val="both"/>
              <w:rPr>
                <w:b/>
                <w:sz w:val="18"/>
              </w:rPr>
            </w:pPr>
            <w:r>
              <w:rPr>
                <w:b/>
                <w:sz w:val="18"/>
              </w:rPr>
              <w:t>Above ground </w:t>
            </w:r>
            <w:r>
              <w:rPr>
                <w:b/>
                <w:spacing w:val="-1"/>
                <w:sz w:val="18"/>
              </w:rPr>
              <w:t>biomass</w:t>
            </w:r>
          </w:p>
        </w:tc>
        <w:tc>
          <w:tcPr>
            <w:tcW w:w="1087" w:type="dxa"/>
          </w:tcPr>
          <w:p>
            <w:pPr>
              <w:pStyle w:val="TableParagraph"/>
              <w:spacing w:before="59"/>
              <w:ind w:left="235" w:right="222" w:firstLine="72"/>
              <w:jc w:val="both"/>
              <w:rPr>
                <w:b/>
                <w:sz w:val="18"/>
              </w:rPr>
            </w:pPr>
            <w:r>
              <w:rPr>
                <w:b/>
                <w:sz w:val="18"/>
              </w:rPr>
              <w:t>Below ground </w:t>
            </w:r>
            <w:r>
              <w:rPr>
                <w:b/>
                <w:spacing w:val="-1"/>
                <w:sz w:val="18"/>
              </w:rPr>
              <w:t>biomass</w:t>
            </w:r>
          </w:p>
        </w:tc>
        <w:tc>
          <w:tcPr>
            <w:tcW w:w="1085" w:type="dxa"/>
          </w:tcPr>
          <w:p>
            <w:pPr>
              <w:pStyle w:val="TableParagraph"/>
              <w:spacing w:before="1"/>
              <w:rPr>
                <w:sz w:val="23"/>
              </w:rPr>
            </w:pPr>
          </w:p>
          <w:p>
            <w:pPr>
              <w:pStyle w:val="TableParagraph"/>
              <w:ind w:left="141" w:right="129"/>
              <w:jc w:val="center"/>
              <w:rPr>
                <w:b/>
                <w:sz w:val="18"/>
              </w:rPr>
            </w:pPr>
            <w:r>
              <w:rPr>
                <w:b/>
                <w:sz w:val="18"/>
              </w:rPr>
              <w:t>Litter</w:t>
            </w:r>
          </w:p>
        </w:tc>
        <w:tc>
          <w:tcPr>
            <w:tcW w:w="1087" w:type="dxa"/>
          </w:tcPr>
          <w:p>
            <w:pPr>
              <w:pStyle w:val="TableParagraph"/>
              <w:spacing w:before="1"/>
              <w:rPr>
                <w:sz w:val="23"/>
              </w:rPr>
            </w:pPr>
          </w:p>
          <w:p>
            <w:pPr>
              <w:pStyle w:val="TableParagraph"/>
              <w:ind w:left="89" w:right="82"/>
              <w:jc w:val="center"/>
              <w:rPr>
                <w:b/>
                <w:sz w:val="18"/>
              </w:rPr>
            </w:pPr>
            <w:r>
              <w:rPr>
                <w:b/>
                <w:sz w:val="18"/>
              </w:rPr>
              <w:t>Dead wood</w:t>
            </w:r>
          </w:p>
        </w:tc>
        <w:tc>
          <w:tcPr>
            <w:tcW w:w="1085" w:type="dxa"/>
          </w:tcPr>
          <w:p>
            <w:pPr>
              <w:pStyle w:val="TableParagraph"/>
              <w:spacing w:before="1"/>
              <w:rPr>
                <w:sz w:val="23"/>
              </w:rPr>
            </w:pPr>
          </w:p>
          <w:p>
            <w:pPr>
              <w:pStyle w:val="TableParagraph"/>
              <w:ind w:left="141" w:right="129"/>
              <w:jc w:val="center"/>
              <w:rPr>
                <w:b/>
                <w:sz w:val="18"/>
              </w:rPr>
            </w:pPr>
            <w:r>
              <w:rPr>
                <w:b/>
                <w:sz w:val="18"/>
              </w:rPr>
              <w:t>Soil</w:t>
            </w:r>
          </w:p>
        </w:tc>
        <w:tc>
          <w:tcPr>
            <w:tcW w:w="1630" w:type="dxa"/>
            <w:vMerge/>
            <w:tcBorders>
              <w:top w:val="nil"/>
            </w:tcBorders>
          </w:tcPr>
          <w:p>
            <w:pPr>
              <w:rPr>
                <w:sz w:val="2"/>
                <w:szCs w:val="2"/>
              </w:rPr>
            </w:pPr>
          </w:p>
        </w:tc>
        <w:tc>
          <w:tcPr>
            <w:tcW w:w="1810" w:type="dxa"/>
            <w:vMerge/>
            <w:tcBorders>
              <w:top w:val="nil"/>
            </w:tcBorders>
          </w:tcPr>
          <w:p>
            <w:pPr>
              <w:rPr>
                <w:sz w:val="2"/>
                <w:szCs w:val="2"/>
              </w:rPr>
            </w:pPr>
          </w:p>
        </w:tc>
        <w:tc>
          <w:tcPr>
            <w:tcW w:w="1088" w:type="dxa"/>
            <w:vMerge/>
            <w:tcBorders>
              <w:top w:val="nil"/>
            </w:tcBorders>
          </w:tcPr>
          <w:p>
            <w:pPr>
              <w:rPr>
                <w:sz w:val="2"/>
                <w:szCs w:val="2"/>
              </w:rPr>
            </w:pPr>
          </w:p>
        </w:tc>
        <w:tc>
          <w:tcPr>
            <w:tcW w:w="1268" w:type="dxa"/>
            <w:vMerge/>
            <w:tcBorders>
              <w:top w:val="nil"/>
            </w:tcBorders>
          </w:tcPr>
          <w:p>
            <w:pPr>
              <w:rPr>
                <w:sz w:val="2"/>
                <w:szCs w:val="2"/>
              </w:rPr>
            </w:pPr>
          </w:p>
        </w:tc>
      </w:tr>
      <w:tr>
        <w:trPr>
          <w:trHeight w:val="328" w:hRule="atLeast"/>
        </w:trPr>
        <w:tc>
          <w:tcPr>
            <w:tcW w:w="866" w:type="dxa"/>
            <w:vMerge/>
            <w:tcBorders>
              <w:top w:val="nil"/>
            </w:tcBorders>
          </w:tcPr>
          <w:p>
            <w:pPr>
              <w:rPr>
                <w:sz w:val="2"/>
                <w:szCs w:val="2"/>
              </w:rPr>
            </w:pPr>
          </w:p>
        </w:tc>
        <w:tc>
          <w:tcPr>
            <w:tcW w:w="871" w:type="dxa"/>
            <w:vMerge/>
            <w:tcBorders>
              <w:top w:val="nil"/>
            </w:tcBorders>
          </w:tcPr>
          <w:p>
            <w:pPr>
              <w:rPr>
                <w:sz w:val="2"/>
                <w:szCs w:val="2"/>
              </w:rPr>
            </w:pPr>
          </w:p>
        </w:tc>
        <w:tc>
          <w:tcPr>
            <w:tcW w:w="905" w:type="dxa"/>
          </w:tcPr>
          <w:p>
            <w:pPr>
              <w:pStyle w:val="TableParagraph"/>
              <w:spacing w:before="59"/>
              <w:ind w:left="297"/>
              <w:rPr>
                <w:b/>
                <w:sz w:val="18"/>
              </w:rPr>
            </w:pPr>
            <w:r>
              <w:rPr>
                <w:b/>
                <w:sz w:val="18"/>
              </w:rPr>
              <w:t>(ha)</w:t>
            </w:r>
          </w:p>
        </w:tc>
        <w:tc>
          <w:tcPr>
            <w:tcW w:w="1085" w:type="dxa"/>
          </w:tcPr>
          <w:p>
            <w:pPr>
              <w:pStyle w:val="TableParagraph"/>
              <w:spacing w:before="59"/>
              <w:ind w:left="170"/>
              <w:rPr>
                <w:b/>
                <w:sz w:val="18"/>
              </w:rPr>
            </w:pPr>
            <w:r>
              <w:rPr>
                <w:b/>
                <w:sz w:val="18"/>
              </w:rPr>
              <w:t>(Gg C/yr)</w:t>
            </w:r>
          </w:p>
        </w:tc>
        <w:tc>
          <w:tcPr>
            <w:tcW w:w="1087" w:type="dxa"/>
          </w:tcPr>
          <w:p>
            <w:pPr>
              <w:pStyle w:val="TableParagraph"/>
              <w:spacing w:before="59"/>
              <w:ind w:left="170"/>
              <w:rPr>
                <w:b/>
                <w:sz w:val="18"/>
              </w:rPr>
            </w:pPr>
            <w:r>
              <w:rPr>
                <w:b/>
                <w:sz w:val="18"/>
              </w:rPr>
              <w:t>(Gg C/yr)</w:t>
            </w:r>
          </w:p>
        </w:tc>
        <w:tc>
          <w:tcPr>
            <w:tcW w:w="1085" w:type="dxa"/>
          </w:tcPr>
          <w:p>
            <w:pPr>
              <w:pStyle w:val="TableParagraph"/>
              <w:spacing w:before="59"/>
              <w:ind w:left="141" w:right="129"/>
              <w:jc w:val="center"/>
              <w:rPr>
                <w:b/>
                <w:sz w:val="18"/>
              </w:rPr>
            </w:pPr>
            <w:r>
              <w:rPr>
                <w:b/>
                <w:sz w:val="18"/>
              </w:rPr>
              <w:t>(Gg C/yr)</w:t>
            </w:r>
          </w:p>
        </w:tc>
        <w:tc>
          <w:tcPr>
            <w:tcW w:w="1087" w:type="dxa"/>
          </w:tcPr>
          <w:p>
            <w:pPr>
              <w:pStyle w:val="TableParagraph"/>
              <w:spacing w:before="59"/>
              <w:ind w:left="89" w:right="79"/>
              <w:jc w:val="center"/>
              <w:rPr>
                <w:b/>
                <w:sz w:val="18"/>
              </w:rPr>
            </w:pPr>
            <w:r>
              <w:rPr>
                <w:b/>
                <w:sz w:val="18"/>
              </w:rPr>
              <w:t>(Gg C/yr)</w:t>
            </w:r>
          </w:p>
        </w:tc>
        <w:tc>
          <w:tcPr>
            <w:tcW w:w="1085" w:type="dxa"/>
          </w:tcPr>
          <w:p>
            <w:pPr>
              <w:pStyle w:val="TableParagraph"/>
              <w:spacing w:before="59"/>
              <w:ind w:left="141" w:right="129"/>
              <w:jc w:val="center"/>
              <w:rPr>
                <w:b/>
                <w:sz w:val="18"/>
              </w:rPr>
            </w:pPr>
            <w:r>
              <w:rPr>
                <w:b/>
                <w:sz w:val="18"/>
              </w:rPr>
              <w:t>(Gg C/yr)</w:t>
            </w:r>
          </w:p>
        </w:tc>
        <w:tc>
          <w:tcPr>
            <w:tcW w:w="1630" w:type="dxa"/>
          </w:tcPr>
          <w:p>
            <w:pPr>
              <w:pStyle w:val="TableParagraph"/>
              <w:spacing w:before="59"/>
              <w:ind w:left="441"/>
              <w:rPr>
                <w:b/>
                <w:sz w:val="18"/>
              </w:rPr>
            </w:pPr>
            <w:r>
              <w:rPr>
                <w:b/>
                <w:sz w:val="18"/>
              </w:rPr>
              <w:t>(Gg C/yr)</w:t>
            </w:r>
          </w:p>
        </w:tc>
        <w:tc>
          <w:tcPr>
            <w:tcW w:w="1810" w:type="dxa"/>
          </w:tcPr>
          <w:p>
            <w:pPr>
              <w:pStyle w:val="TableParagraph"/>
              <w:spacing w:before="59"/>
              <w:ind w:left="369"/>
              <w:rPr>
                <w:b/>
                <w:sz w:val="18"/>
              </w:rPr>
            </w:pPr>
            <w:r>
              <w:rPr>
                <w:b/>
                <w:sz w:val="18"/>
              </w:rPr>
              <w:t>(Gg CO</w:t>
            </w:r>
            <w:r>
              <w:rPr>
                <w:b/>
                <w:sz w:val="18"/>
                <w:vertAlign w:val="subscript"/>
              </w:rPr>
              <w:t>2</w:t>
            </w:r>
            <w:r>
              <w:rPr>
                <w:b/>
                <w:sz w:val="18"/>
                <w:vertAlign w:val="baseline"/>
              </w:rPr>
              <w:t> e/yr)</w:t>
            </w:r>
          </w:p>
        </w:tc>
        <w:tc>
          <w:tcPr>
            <w:tcW w:w="1088" w:type="dxa"/>
          </w:tcPr>
          <w:p>
            <w:pPr>
              <w:pStyle w:val="TableParagraph"/>
              <w:spacing w:before="59"/>
              <w:ind w:left="255"/>
              <w:rPr>
                <w:b/>
                <w:sz w:val="18"/>
              </w:rPr>
            </w:pPr>
            <w:r>
              <w:rPr>
                <w:b/>
                <w:sz w:val="18"/>
              </w:rPr>
              <w:t>(Gg/yr)</w:t>
            </w:r>
          </w:p>
        </w:tc>
        <w:tc>
          <w:tcPr>
            <w:tcW w:w="1268" w:type="dxa"/>
          </w:tcPr>
          <w:p>
            <w:pPr>
              <w:pStyle w:val="TableParagraph"/>
              <w:spacing w:before="59"/>
              <w:ind w:left="346"/>
              <w:rPr>
                <w:b/>
                <w:sz w:val="18"/>
              </w:rPr>
            </w:pPr>
            <w:r>
              <w:rPr>
                <w:b/>
                <w:sz w:val="18"/>
              </w:rPr>
              <w:t>(Gg/yr)</w:t>
            </w:r>
          </w:p>
        </w:tc>
      </w:tr>
      <w:tr>
        <w:trPr>
          <w:trHeight w:val="206" w:hRule="atLeast"/>
        </w:trPr>
        <w:tc>
          <w:tcPr>
            <w:tcW w:w="866" w:type="dxa"/>
          </w:tcPr>
          <w:p>
            <w:pPr>
              <w:pStyle w:val="TableParagraph"/>
              <w:spacing w:line="186" w:lineRule="exact"/>
              <w:ind w:left="6"/>
              <w:jc w:val="center"/>
              <w:rPr>
                <w:b/>
                <w:sz w:val="18"/>
              </w:rPr>
            </w:pPr>
            <w:r>
              <w:rPr>
                <w:b/>
                <w:sz w:val="18"/>
              </w:rPr>
              <w:t>1</w:t>
            </w:r>
          </w:p>
        </w:tc>
        <w:tc>
          <w:tcPr>
            <w:tcW w:w="871" w:type="dxa"/>
          </w:tcPr>
          <w:p>
            <w:pPr>
              <w:pStyle w:val="TableParagraph"/>
              <w:rPr>
                <w:sz w:val="14"/>
              </w:rPr>
            </w:pPr>
          </w:p>
        </w:tc>
        <w:tc>
          <w:tcPr>
            <w:tcW w:w="905"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630" w:type="dxa"/>
          </w:tcPr>
          <w:p>
            <w:pPr>
              <w:pStyle w:val="TableParagraph"/>
              <w:rPr>
                <w:sz w:val="14"/>
              </w:rPr>
            </w:pPr>
          </w:p>
        </w:tc>
        <w:tc>
          <w:tcPr>
            <w:tcW w:w="1810" w:type="dxa"/>
          </w:tcPr>
          <w:p>
            <w:pPr>
              <w:pStyle w:val="TableParagraph"/>
              <w:rPr>
                <w:sz w:val="14"/>
              </w:rPr>
            </w:pPr>
          </w:p>
        </w:tc>
        <w:tc>
          <w:tcPr>
            <w:tcW w:w="1088" w:type="dxa"/>
          </w:tcPr>
          <w:p>
            <w:pPr>
              <w:pStyle w:val="TableParagraph"/>
              <w:rPr>
                <w:sz w:val="14"/>
              </w:rPr>
            </w:pPr>
          </w:p>
        </w:tc>
        <w:tc>
          <w:tcPr>
            <w:tcW w:w="1268" w:type="dxa"/>
          </w:tcPr>
          <w:p>
            <w:pPr>
              <w:pStyle w:val="TableParagraph"/>
              <w:rPr>
                <w:sz w:val="14"/>
              </w:rPr>
            </w:pPr>
          </w:p>
        </w:tc>
      </w:tr>
      <w:tr>
        <w:trPr>
          <w:trHeight w:val="205" w:hRule="atLeast"/>
        </w:trPr>
        <w:tc>
          <w:tcPr>
            <w:tcW w:w="866" w:type="dxa"/>
          </w:tcPr>
          <w:p>
            <w:pPr>
              <w:pStyle w:val="TableParagraph"/>
              <w:spacing w:line="186" w:lineRule="exact"/>
              <w:ind w:left="6"/>
              <w:jc w:val="center"/>
              <w:rPr>
                <w:b/>
                <w:sz w:val="18"/>
              </w:rPr>
            </w:pPr>
            <w:r>
              <w:rPr>
                <w:b/>
                <w:sz w:val="18"/>
              </w:rPr>
              <w:t>2</w:t>
            </w:r>
          </w:p>
        </w:tc>
        <w:tc>
          <w:tcPr>
            <w:tcW w:w="871" w:type="dxa"/>
          </w:tcPr>
          <w:p>
            <w:pPr>
              <w:pStyle w:val="TableParagraph"/>
              <w:rPr>
                <w:sz w:val="14"/>
              </w:rPr>
            </w:pPr>
          </w:p>
        </w:tc>
        <w:tc>
          <w:tcPr>
            <w:tcW w:w="905"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630" w:type="dxa"/>
          </w:tcPr>
          <w:p>
            <w:pPr>
              <w:pStyle w:val="TableParagraph"/>
              <w:rPr>
                <w:sz w:val="14"/>
              </w:rPr>
            </w:pPr>
          </w:p>
        </w:tc>
        <w:tc>
          <w:tcPr>
            <w:tcW w:w="1810" w:type="dxa"/>
          </w:tcPr>
          <w:p>
            <w:pPr>
              <w:pStyle w:val="TableParagraph"/>
              <w:rPr>
                <w:sz w:val="14"/>
              </w:rPr>
            </w:pPr>
          </w:p>
        </w:tc>
        <w:tc>
          <w:tcPr>
            <w:tcW w:w="1088" w:type="dxa"/>
          </w:tcPr>
          <w:p>
            <w:pPr>
              <w:pStyle w:val="TableParagraph"/>
              <w:rPr>
                <w:sz w:val="14"/>
              </w:rPr>
            </w:pPr>
          </w:p>
        </w:tc>
        <w:tc>
          <w:tcPr>
            <w:tcW w:w="1268" w:type="dxa"/>
          </w:tcPr>
          <w:p>
            <w:pPr>
              <w:pStyle w:val="TableParagraph"/>
              <w:rPr>
                <w:sz w:val="14"/>
              </w:rPr>
            </w:pPr>
          </w:p>
        </w:tc>
      </w:tr>
      <w:tr>
        <w:trPr>
          <w:trHeight w:val="208" w:hRule="atLeast"/>
        </w:trPr>
        <w:tc>
          <w:tcPr>
            <w:tcW w:w="866" w:type="dxa"/>
          </w:tcPr>
          <w:p>
            <w:pPr>
              <w:pStyle w:val="TableParagraph"/>
              <w:spacing w:line="188" w:lineRule="exact"/>
              <w:ind w:left="6"/>
              <w:jc w:val="center"/>
              <w:rPr>
                <w:b/>
                <w:sz w:val="18"/>
              </w:rPr>
            </w:pPr>
            <w:r>
              <w:rPr>
                <w:b/>
                <w:sz w:val="18"/>
              </w:rPr>
              <w:t>3</w:t>
            </w:r>
          </w:p>
        </w:tc>
        <w:tc>
          <w:tcPr>
            <w:tcW w:w="871" w:type="dxa"/>
          </w:tcPr>
          <w:p>
            <w:pPr>
              <w:pStyle w:val="TableParagraph"/>
              <w:rPr>
                <w:sz w:val="14"/>
              </w:rPr>
            </w:pPr>
          </w:p>
        </w:tc>
        <w:tc>
          <w:tcPr>
            <w:tcW w:w="905"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630" w:type="dxa"/>
          </w:tcPr>
          <w:p>
            <w:pPr>
              <w:pStyle w:val="TableParagraph"/>
              <w:rPr>
                <w:sz w:val="14"/>
              </w:rPr>
            </w:pPr>
          </w:p>
        </w:tc>
        <w:tc>
          <w:tcPr>
            <w:tcW w:w="1810" w:type="dxa"/>
          </w:tcPr>
          <w:p>
            <w:pPr>
              <w:pStyle w:val="TableParagraph"/>
              <w:rPr>
                <w:sz w:val="14"/>
              </w:rPr>
            </w:pPr>
          </w:p>
        </w:tc>
        <w:tc>
          <w:tcPr>
            <w:tcW w:w="1088" w:type="dxa"/>
          </w:tcPr>
          <w:p>
            <w:pPr>
              <w:pStyle w:val="TableParagraph"/>
              <w:rPr>
                <w:sz w:val="14"/>
              </w:rPr>
            </w:pPr>
          </w:p>
        </w:tc>
        <w:tc>
          <w:tcPr>
            <w:tcW w:w="1268" w:type="dxa"/>
          </w:tcPr>
          <w:p>
            <w:pPr>
              <w:pStyle w:val="TableParagraph"/>
              <w:rPr>
                <w:sz w:val="14"/>
              </w:rPr>
            </w:pPr>
          </w:p>
        </w:tc>
      </w:tr>
      <w:tr>
        <w:trPr>
          <w:trHeight w:val="206" w:hRule="atLeast"/>
        </w:trPr>
        <w:tc>
          <w:tcPr>
            <w:tcW w:w="866" w:type="dxa"/>
          </w:tcPr>
          <w:p>
            <w:pPr>
              <w:pStyle w:val="TableParagraph"/>
              <w:spacing w:line="186" w:lineRule="exact"/>
              <w:ind w:left="9"/>
              <w:jc w:val="center"/>
              <w:rPr>
                <w:b/>
                <w:sz w:val="18"/>
              </w:rPr>
            </w:pPr>
            <w:r>
              <w:rPr>
                <w:b/>
                <w:sz w:val="18"/>
              </w:rPr>
              <w:t>…</w:t>
            </w:r>
          </w:p>
        </w:tc>
        <w:tc>
          <w:tcPr>
            <w:tcW w:w="871" w:type="dxa"/>
          </w:tcPr>
          <w:p>
            <w:pPr>
              <w:pStyle w:val="TableParagraph"/>
              <w:rPr>
                <w:sz w:val="14"/>
              </w:rPr>
            </w:pPr>
          </w:p>
        </w:tc>
        <w:tc>
          <w:tcPr>
            <w:tcW w:w="905"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630" w:type="dxa"/>
          </w:tcPr>
          <w:p>
            <w:pPr>
              <w:pStyle w:val="TableParagraph"/>
              <w:rPr>
                <w:sz w:val="14"/>
              </w:rPr>
            </w:pPr>
          </w:p>
        </w:tc>
        <w:tc>
          <w:tcPr>
            <w:tcW w:w="1810" w:type="dxa"/>
          </w:tcPr>
          <w:p>
            <w:pPr>
              <w:pStyle w:val="TableParagraph"/>
              <w:rPr>
                <w:sz w:val="14"/>
              </w:rPr>
            </w:pPr>
          </w:p>
        </w:tc>
        <w:tc>
          <w:tcPr>
            <w:tcW w:w="1088" w:type="dxa"/>
          </w:tcPr>
          <w:p>
            <w:pPr>
              <w:pStyle w:val="TableParagraph"/>
              <w:rPr>
                <w:sz w:val="14"/>
              </w:rPr>
            </w:pPr>
          </w:p>
        </w:tc>
        <w:tc>
          <w:tcPr>
            <w:tcW w:w="1268" w:type="dxa"/>
          </w:tcPr>
          <w:p>
            <w:pPr>
              <w:pStyle w:val="TableParagraph"/>
              <w:rPr>
                <w:sz w:val="14"/>
              </w:rPr>
            </w:pPr>
          </w:p>
        </w:tc>
      </w:tr>
      <w:tr>
        <w:trPr>
          <w:trHeight w:val="205" w:hRule="atLeast"/>
        </w:trPr>
        <w:tc>
          <w:tcPr>
            <w:tcW w:w="866" w:type="dxa"/>
          </w:tcPr>
          <w:p>
            <w:pPr>
              <w:pStyle w:val="TableParagraph"/>
              <w:spacing w:line="186" w:lineRule="exact"/>
              <w:ind w:left="7"/>
              <w:jc w:val="center"/>
              <w:rPr>
                <w:b/>
                <w:sz w:val="18"/>
              </w:rPr>
            </w:pPr>
            <w:r>
              <w:rPr>
                <w:b/>
                <w:sz w:val="18"/>
              </w:rPr>
              <w:t>N</w:t>
            </w:r>
          </w:p>
        </w:tc>
        <w:tc>
          <w:tcPr>
            <w:tcW w:w="871" w:type="dxa"/>
          </w:tcPr>
          <w:p>
            <w:pPr>
              <w:pStyle w:val="TableParagraph"/>
              <w:rPr>
                <w:sz w:val="14"/>
              </w:rPr>
            </w:pPr>
          </w:p>
        </w:tc>
        <w:tc>
          <w:tcPr>
            <w:tcW w:w="905"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087" w:type="dxa"/>
          </w:tcPr>
          <w:p>
            <w:pPr>
              <w:pStyle w:val="TableParagraph"/>
              <w:rPr>
                <w:sz w:val="14"/>
              </w:rPr>
            </w:pPr>
          </w:p>
        </w:tc>
        <w:tc>
          <w:tcPr>
            <w:tcW w:w="1085" w:type="dxa"/>
          </w:tcPr>
          <w:p>
            <w:pPr>
              <w:pStyle w:val="TableParagraph"/>
              <w:rPr>
                <w:sz w:val="14"/>
              </w:rPr>
            </w:pPr>
          </w:p>
        </w:tc>
        <w:tc>
          <w:tcPr>
            <w:tcW w:w="1630" w:type="dxa"/>
          </w:tcPr>
          <w:p>
            <w:pPr>
              <w:pStyle w:val="TableParagraph"/>
              <w:rPr>
                <w:sz w:val="14"/>
              </w:rPr>
            </w:pPr>
          </w:p>
        </w:tc>
        <w:tc>
          <w:tcPr>
            <w:tcW w:w="1810" w:type="dxa"/>
          </w:tcPr>
          <w:p>
            <w:pPr>
              <w:pStyle w:val="TableParagraph"/>
              <w:rPr>
                <w:sz w:val="14"/>
              </w:rPr>
            </w:pPr>
          </w:p>
        </w:tc>
        <w:tc>
          <w:tcPr>
            <w:tcW w:w="1088" w:type="dxa"/>
          </w:tcPr>
          <w:p>
            <w:pPr>
              <w:pStyle w:val="TableParagraph"/>
              <w:rPr>
                <w:sz w:val="14"/>
              </w:rPr>
            </w:pPr>
          </w:p>
        </w:tc>
        <w:tc>
          <w:tcPr>
            <w:tcW w:w="1268" w:type="dxa"/>
          </w:tcPr>
          <w:p>
            <w:pPr>
              <w:pStyle w:val="TableParagraph"/>
              <w:rPr>
                <w:sz w:val="14"/>
              </w:rPr>
            </w:pPr>
          </w:p>
        </w:tc>
      </w:tr>
      <w:tr>
        <w:trPr>
          <w:trHeight w:val="414" w:hRule="atLeast"/>
        </w:trPr>
        <w:tc>
          <w:tcPr>
            <w:tcW w:w="1737" w:type="dxa"/>
            <w:gridSpan w:val="2"/>
          </w:tcPr>
          <w:p>
            <w:pPr>
              <w:pStyle w:val="TableParagraph"/>
              <w:spacing w:line="206" w:lineRule="exact" w:before="3"/>
              <w:ind w:left="583" w:right="354" w:hanging="200"/>
              <w:rPr>
                <w:b/>
                <w:sz w:val="18"/>
              </w:rPr>
            </w:pPr>
            <w:r>
              <w:rPr>
                <w:b/>
                <w:sz w:val="18"/>
              </w:rPr>
              <w:t>Total for the activity</w:t>
            </w:r>
          </w:p>
        </w:tc>
        <w:tc>
          <w:tcPr>
            <w:tcW w:w="905" w:type="dxa"/>
          </w:tcPr>
          <w:p>
            <w:pPr>
              <w:pStyle w:val="TableParagraph"/>
              <w:rPr>
                <w:sz w:val="16"/>
              </w:rPr>
            </w:pPr>
          </w:p>
        </w:tc>
        <w:tc>
          <w:tcPr>
            <w:tcW w:w="1085" w:type="dxa"/>
          </w:tcPr>
          <w:p>
            <w:pPr>
              <w:pStyle w:val="TableParagraph"/>
              <w:rPr>
                <w:sz w:val="16"/>
              </w:rPr>
            </w:pPr>
          </w:p>
        </w:tc>
        <w:tc>
          <w:tcPr>
            <w:tcW w:w="1087" w:type="dxa"/>
          </w:tcPr>
          <w:p>
            <w:pPr>
              <w:pStyle w:val="TableParagraph"/>
              <w:rPr>
                <w:sz w:val="16"/>
              </w:rPr>
            </w:pPr>
          </w:p>
        </w:tc>
        <w:tc>
          <w:tcPr>
            <w:tcW w:w="1085" w:type="dxa"/>
          </w:tcPr>
          <w:p>
            <w:pPr>
              <w:pStyle w:val="TableParagraph"/>
              <w:rPr>
                <w:sz w:val="16"/>
              </w:rPr>
            </w:pPr>
          </w:p>
        </w:tc>
        <w:tc>
          <w:tcPr>
            <w:tcW w:w="1087" w:type="dxa"/>
          </w:tcPr>
          <w:p>
            <w:pPr>
              <w:pStyle w:val="TableParagraph"/>
              <w:rPr>
                <w:sz w:val="16"/>
              </w:rPr>
            </w:pPr>
          </w:p>
        </w:tc>
        <w:tc>
          <w:tcPr>
            <w:tcW w:w="1085" w:type="dxa"/>
          </w:tcPr>
          <w:p>
            <w:pPr>
              <w:pStyle w:val="TableParagraph"/>
              <w:rPr>
                <w:sz w:val="16"/>
              </w:rPr>
            </w:pPr>
          </w:p>
        </w:tc>
        <w:tc>
          <w:tcPr>
            <w:tcW w:w="1630" w:type="dxa"/>
          </w:tcPr>
          <w:p>
            <w:pPr>
              <w:pStyle w:val="TableParagraph"/>
              <w:rPr>
                <w:sz w:val="16"/>
              </w:rPr>
            </w:pPr>
          </w:p>
        </w:tc>
        <w:tc>
          <w:tcPr>
            <w:tcW w:w="1810" w:type="dxa"/>
          </w:tcPr>
          <w:p>
            <w:pPr>
              <w:pStyle w:val="TableParagraph"/>
              <w:rPr>
                <w:sz w:val="16"/>
              </w:rPr>
            </w:pPr>
          </w:p>
        </w:tc>
        <w:tc>
          <w:tcPr>
            <w:tcW w:w="1088" w:type="dxa"/>
          </w:tcPr>
          <w:p>
            <w:pPr>
              <w:pStyle w:val="TableParagraph"/>
              <w:rPr>
                <w:sz w:val="16"/>
              </w:rPr>
            </w:pPr>
          </w:p>
        </w:tc>
        <w:tc>
          <w:tcPr>
            <w:tcW w:w="1268" w:type="dxa"/>
          </w:tcPr>
          <w:p>
            <w:pPr>
              <w:pStyle w:val="TableParagraph"/>
              <w:rPr>
                <w:sz w:val="16"/>
              </w:rPr>
            </w:pPr>
          </w:p>
        </w:tc>
      </w:tr>
      <w:tr>
        <w:trPr>
          <w:trHeight w:val="1439" w:hRule="atLeast"/>
        </w:trPr>
        <w:tc>
          <w:tcPr>
            <w:tcW w:w="13867" w:type="dxa"/>
            <w:gridSpan w:val="12"/>
          </w:tcPr>
          <w:p>
            <w:pPr>
              <w:pStyle w:val="TableParagraph"/>
              <w:spacing w:before="9"/>
              <w:ind w:left="107"/>
              <w:rPr>
                <w:sz w:val="18"/>
              </w:rPr>
            </w:pPr>
            <w:r>
              <w:rPr>
                <w:position w:val="8"/>
                <w:sz w:val="12"/>
              </w:rPr>
              <w:t>1 </w:t>
            </w:r>
            <w:r>
              <w:rPr>
                <w:sz w:val="18"/>
              </w:rPr>
              <w:t>Project ID is a unique identifier of the project.</w:t>
            </w:r>
          </w:p>
          <w:p>
            <w:pPr>
              <w:pStyle w:val="TableParagraph"/>
              <w:spacing w:before="14"/>
              <w:ind w:left="107"/>
              <w:rPr>
                <w:sz w:val="18"/>
              </w:rPr>
            </w:pPr>
            <w:r>
              <w:rPr>
                <w:position w:val="8"/>
                <w:sz w:val="12"/>
              </w:rPr>
              <w:t>2 </w:t>
            </w:r>
            <w:r>
              <w:rPr>
                <w:sz w:val="18"/>
              </w:rPr>
              <w:t>If a pool is not reported, the text “NR” (for “not reported”) must be entered, and it must be demonstrated that the pool is not a source.</w:t>
            </w:r>
          </w:p>
          <w:p>
            <w:pPr>
              <w:pStyle w:val="TableParagraph"/>
              <w:spacing w:line="237" w:lineRule="auto" w:before="20"/>
              <w:ind w:left="220" w:right="143" w:hanging="113"/>
              <w:rPr>
                <w:sz w:val="18"/>
              </w:rPr>
            </w:pPr>
            <w:r>
              <w:rPr>
                <w:position w:val="8"/>
                <w:sz w:val="12"/>
              </w:rPr>
              <w:t>3 </w:t>
            </w:r>
            <w:r>
              <w:rPr>
                <w:b/>
                <w:sz w:val="18"/>
              </w:rPr>
              <w:t>“</w:t>
            </w:r>
            <w:r>
              <w:rPr>
                <w:sz w:val="18"/>
              </w:rPr>
              <w:t>Total carbon stock changes” is the sum of carbon stock changes of all five pools if temporary plots are used, but if permanent plots are used, the change in stock in each component  should be summed by plot and the mean and confidence intervals be computed across all plots. See Section 4.3 for</w:t>
            </w:r>
            <w:r>
              <w:rPr>
                <w:spacing w:val="-12"/>
                <w:sz w:val="18"/>
              </w:rPr>
              <w:t> </w:t>
            </w:r>
            <w:r>
              <w:rPr>
                <w:sz w:val="18"/>
              </w:rPr>
              <w:t>details.</w:t>
            </w:r>
          </w:p>
          <w:p>
            <w:pPr>
              <w:pStyle w:val="TableParagraph"/>
              <w:spacing w:line="237" w:lineRule="auto" w:before="20"/>
              <w:ind w:left="220" w:hanging="113"/>
              <w:rPr>
                <w:sz w:val="18"/>
              </w:rPr>
            </w:pPr>
            <w:r>
              <w:rPr>
                <w:position w:val="8"/>
                <w:sz w:val="12"/>
              </w:rPr>
              <w:t>4 </w:t>
            </w:r>
            <w:r>
              <w:rPr>
                <w:sz w:val="18"/>
              </w:rPr>
              <w:t>Emissions/Removals are calculated by multiplying total carbon stock changes by 44/12 to convert to CO</w:t>
            </w:r>
            <w:r>
              <w:rPr>
                <w:sz w:val="18"/>
                <w:vertAlign w:val="subscript"/>
              </w:rPr>
              <w:t>2</w:t>
            </w:r>
            <w:r>
              <w:rPr>
                <w:sz w:val="18"/>
                <w:vertAlign w:val="baseline"/>
              </w:rPr>
              <w:t> followed by reversing the sign to follow conventions of emissions/removals reporting.</w:t>
            </w:r>
          </w:p>
        </w:tc>
      </w:tr>
    </w:tbl>
    <w:p>
      <w:pPr>
        <w:spacing w:after="0" w:line="237" w:lineRule="auto"/>
        <w:rPr>
          <w:sz w:val="18"/>
        </w:rPr>
        <w:sectPr>
          <w:pgSz w:w="16840" w:h="11900" w:orient="landscape"/>
          <w:pgMar w:header="1150" w:footer="1137" w:top="1420" w:bottom="1320" w:left="1200" w:right="920"/>
        </w:sectPr>
      </w:pPr>
    </w:p>
    <w:p>
      <w:pPr>
        <w:pStyle w:val="BodyText"/>
      </w:pPr>
      <w:r>
        <w:rPr/>
        <w:pict>
          <v:rect style="position:absolute;margin-left:350.92099pt;margin-top:141.479996pt;width:68.760pt;height:10.32pt;mso-position-horizontal-relative:page;mso-position-vertical-relative:page;z-index:-2434792" filled="true" fillcolor="#ffffff" stroked="false">
            <v:fill type="solid"/>
            <w10:wrap type="none"/>
          </v:rect>
        </w:pict>
      </w:r>
    </w:p>
    <w:p>
      <w:pPr>
        <w:pStyle w:val="BodyText"/>
      </w:pPr>
    </w:p>
    <w:p>
      <w:pPr>
        <w:pStyle w:val="BodyText"/>
        <w:spacing w:before="9"/>
        <w:rPr>
          <w:sz w:val="17"/>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98"/>
        <w:gridCol w:w="2200"/>
        <w:gridCol w:w="906"/>
        <w:gridCol w:w="1446"/>
        <w:gridCol w:w="1084"/>
        <w:gridCol w:w="933"/>
      </w:tblGrid>
      <w:tr>
        <w:trPr>
          <w:trHeight w:val="947" w:hRule="atLeast"/>
        </w:trPr>
        <w:tc>
          <w:tcPr>
            <w:tcW w:w="9067" w:type="dxa"/>
            <w:gridSpan w:val="6"/>
            <w:tcBorders>
              <w:bottom w:val="double" w:sz="1" w:space="0" w:color="000000"/>
            </w:tcBorders>
          </w:tcPr>
          <w:p>
            <w:pPr>
              <w:pStyle w:val="TableParagraph"/>
              <w:spacing w:line="207" w:lineRule="exact" w:before="59"/>
              <w:ind w:left="36" w:right="28"/>
              <w:jc w:val="center"/>
              <w:rPr>
                <w:b/>
                <w:sz w:val="18"/>
              </w:rPr>
            </w:pPr>
            <w:r>
              <w:rPr>
                <w:b/>
                <w:sz w:val="18"/>
              </w:rPr>
              <w:t>T</w:t>
            </w:r>
            <w:r>
              <w:rPr>
                <w:b/>
                <w:sz w:val="14"/>
              </w:rPr>
              <w:t>ABLE </w:t>
            </w:r>
            <w:r>
              <w:rPr>
                <w:b/>
                <w:sz w:val="18"/>
              </w:rPr>
              <w:t>4.2.7</w:t>
            </w:r>
          </w:p>
          <w:p>
            <w:pPr>
              <w:pStyle w:val="TableParagraph"/>
              <w:spacing w:line="207" w:lineRule="exact"/>
              <w:ind w:left="41" w:right="28"/>
              <w:jc w:val="center"/>
              <w:rPr>
                <w:b/>
                <w:sz w:val="18"/>
              </w:rPr>
            </w:pPr>
            <w:r>
              <w:rPr>
                <w:b/>
                <w:sz w:val="18"/>
              </w:rPr>
              <w:t>S</w:t>
            </w:r>
            <w:r>
              <w:rPr>
                <w:b/>
                <w:sz w:val="14"/>
              </w:rPr>
              <w:t>UMMARY TABLE OF GREENHOUSE GAS EMISSIONS BY SOURCES AND REMOVALS BY SINKS BY </w:t>
            </w:r>
            <w:r>
              <w:rPr>
                <w:b/>
                <w:sz w:val="18"/>
              </w:rPr>
              <w:t>A</w:t>
            </w:r>
            <w:r>
              <w:rPr>
                <w:b/>
                <w:sz w:val="14"/>
              </w:rPr>
              <w:t>RTICLES </w:t>
            </w:r>
            <w:r>
              <w:rPr>
                <w:b/>
                <w:sz w:val="18"/>
              </w:rPr>
              <w:t>3.3, 3.4 </w:t>
            </w:r>
            <w:r>
              <w:rPr>
                <w:b/>
                <w:sz w:val="14"/>
              </w:rPr>
              <w:t>AND </w:t>
            </w:r>
            <w:r>
              <w:rPr>
                <w:b/>
                <w:sz w:val="18"/>
              </w:rPr>
              <w:t>6</w:t>
            </w:r>
          </w:p>
          <w:p>
            <w:pPr>
              <w:pStyle w:val="TableParagraph"/>
              <w:spacing w:line="207" w:lineRule="exact" w:before="2"/>
              <w:ind w:left="44" w:right="28"/>
              <w:jc w:val="center"/>
              <w:rPr>
                <w:b/>
                <w:sz w:val="14"/>
              </w:rPr>
            </w:pPr>
            <w:r>
              <w:rPr>
                <w:b/>
                <w:sz w:val="14"/>
              </w:rPr>
              <w:t>ACTIVITIES FOR THE INVENTORY YEAR</w:t>
            </w:r>
            <w:r>
              <w:rPr>
                <w:b/>
                <w:sz w:val="18"/>
              </w:rPr>
              <w:t>. N</w:t>
            </w:r>
            <w:r>
              <w:rPr>
                <w:b/>
                <w:sz w:val="14"/>
              </w:rPr>
              <w:t>OTE THAT </w:t>
            </w:r>
            <w:r>
              <w:rPr>
                <w:b/>
                <w:sz w:val="18"/>
              </w:rPr>
              <w:t>E</w:t>
            </w:r>
            <w:r>
              <w:rPr>
                <w:b/>
                <w:sz w:val="14"/>
              </w:rPr>
              <w:t>MISSIONS ARE TO BE REPORTED BY PROPERLY APPLYING ONE OF TWO</w:t>
            </w:r>
          </w:p>
          <w:p>
            <w:pPr>
              <w:pStyle w:val="TableParagraph"/>
              <w:spacing w:line="207" w:lineRule="exact"/>
              <w:ind w:left="39" w:right="28"/>
              <w:jc w:val="center"/>
              <w:rPr>
                <w:b/>
                <w:sz w:val="18"/>
              </w:rPr>
            </w:pPr>
            <w:r>
              <w:rPr>
                <w:b/>
                <w:sz w:val="18"/>
              </w:rPr>
              <w:t>R</w:t>
            </w:r>
            <w:r>
              <w:rPr>
                <w:b/>
                <w:sz w:val="14"/>
              </w:rPr>
              <w:t>EPORTING </w:t>
            </w:r>
            <w:r>
              <w:rPr>
                <w:b/>
                <w:sz w:val="18"/>
              </w:rPr>
              <w:t>M</w:t>
            </w:r>
            <w:r>
              <w:rPr>
                <w:b/>
                <w:sz w:val="14"/>
              </w:rPr>
              <w:t>ETHODS DETAILED IN </w:t>
            </w:r>
            <w:r>
              <w:rPr>
                <w:b/>
                <w:sz w:val="18"/>
              </w:rPr>
              <w:t>S</w:t>
            </w:r>
            <w:r>
              <w:rPr>
                <w:b/>
                <w:sz w:val="14"/>
              </w:rPr>
              <w:t>ECTION </w:t>
            </w:r>
            <w:r>
              <w:rPr>
                <w:b/>
                <w:sz w:val="18"/>
              </w:rPr>
              <w:t>4.2.2.2.</w:t>
            </w:r>
          </w:p>
        </w:tc>
      </w:tr>
      <w:tr>
        <w:trPr>
          <w:trHeight w:val="327" w:hRule="atLeast"/>
        </w:trPr>
        <w:tc>
          <w:tcPr>
            <w:tcW w:w="9067" w:type="dxa"/>
            <w:gridSpan w:val="6"/>
            <w:tcBorders>
              <w:top w:val="double" w:sz="1" w:space="0" w:color="000000"/>
            </w:tcBorders>
          </w:tcPr>
          <w:p>
            <w:pPr>
              <w:pStyle w:val="TableParagraph"/>
              <w:spacing w:before="61"/>
              <w:ind w:left="66"/>
              <w:rPr>
                <w:b/>
                <w:sz w:val="18"/>
              </w:rPr>
            </w:pPr>
            <w:r>
              <w:rPr>
                <w:b/>
                <w:sz w:val="18"/>
              </w:rPr>
              <w:t>Inventory year:</w:t>
            </w:r>
          </w:p>
        </w:tc>
      </w:tr>
      <w:tr>
        <w:trPr>
          <w:trHeight w:val="738" w:hRule="atLeast"/>
        </w:trPr>
        <w:tc>
          <w:tcPr>
            <w:tcW w:w="4698" w:type="dxa"/>
            <w:gridSpan w:val="2"/>
            <w:vMerge w:val="restart"/>
          </w:tcPr>
          <w:p>
            <w:pPr>
              <w:pStyle w:val="TableParagraph"/>
              <w:rPr>
                <w:sz w:val="20"/>
              </w:rPr>
            </w:pPr>
          </w:p>
          <w:p>
            <w:pPr>
              <w:pStyle w:val="TableParagraph"/>
              <w:spacing w:before="6"/>
              <w:rPr>
                <w:sz w:val="17"/>
              </w:rPr>
            </w:pPr>
          </w:p>
          <w:p>
            <w:pPr>
              <w:pStyle w:val="TableParagraph"/>
              <w:ind w:left="2057" w:right="1981"/>
              <w:jc w:val="center"/>
              <w:rPr>
                <w:b/>
                <w:sz w:val="18"/>
              </w:rPr>
            </w:pPr>
            <w:r>
              <w:rPr>
                <w:b/>
                <w:sz w:val="18"/>
              </w:rPr>
              <w:t>Activity</w:t>
            </w:r>
          </w:p>
        </w:tc>
        <w:tc>
          <w:tcPr>
            <w:tcW w:w="906" w:type="dxa"/>
          </w:tcPr>
          <w:p>
            <w:pPr>
              <w:pStyle w:val="TableParagraph"/>
              <w:spacing w:before="1"/>
              <w:rPr>
                <w:sz w:val="23"/>
              </w:rPr>
            </w:pPr>
          </w:p>
          <w:p>
            <w:pPr>
              <w:pStyle w:val="TableParagraph"/>
              <w:ind w:left="85" w:right="5"/>
              <w:jc w:val="center"/>
              <w:rPr>
                <w:b/>
                <w:sz w:val="18"/>
              </w:rPr>
            </w:pPr>
            <w:r>
              <w:rPr>
                <w:b/>
                <w:sz w:val="18"/>
              </w:rPr>
              <w:t>Areas</w:t>
            </w:r>
          </w:p>
        </w:tc>
        <w:tc>
          <w:tcPr>
            <w:tcW w:w="1446" w:type="dxa"/>
          </w:tcPr>
          <w:p>
            <w:pPr>
              <w:pStyle w:val="TableParagraph"/>
              <w:spacing w:line="207" w:lineRule="exact" w:before="59"/>
              <w:ind w:left="131" w:right="49"/>
              <w:jc w:val="center"/>
              <w:rPr>
                <w:b/>
                <w:sz w:val="18"/>
              </w:rPr>
            </w:pPr>
            <w:r>
              <w:rPr>
                <w:b/>
                <w:sz w:val="18"/>
              </w:rPr>
              <w:t>CO</w:t>
            </w:r>
            <w:r>
              <w:rPr>
                <w:b/>
                <w:sz w:val="18"/>
                <w:vertAlign w:val="subscript"/>
              </w:rPr>
              <w:t>2</w:t>
            </w:r>
          </w:p>
          <w:p>
            <w:pPr>
              <w:pStyle w:val="TableParagraph"/>
              <w:ind w:left="134" w:right="49"/>
              <w:jc w:val="center"/>
              <w:rPr>
                <w:b/>
                <w:sz w:val="18"/>
              </w:rPr>
            </w:pPr>
            <w:r>
              <w:rPr>
                <w:b/>
                <w:sz w:val="18"/>
              </w:rPr>
              <w:t>Emissions (+) or Removals (-)</w:t>
            </w:r>
          </w:p>
        </w:tc>
        <w:tc>
          <w:tcPr>
            <w:tcW w:w="1084" w:type="dxa"/>
          </w:tcPr>
          <w:p>
            <w:pPr>
              <w:pStyle w:val="TableParagraph"/>
              <w:spacing w:before="8"/>
              <w:rPr>
                <w:sz w:val="22"/>
              </w:rPr>
            </w:pPr>
          </w:p>
          <w:p>
            <w:pPr>
              <w:pStyle w:val="TableParagraph"/>
              <w:ind w:left="360"/>
              <w:rPr>
                <w:sz w:val="18"/>
              </w:rPr>
            </w:pPr>
            <w:r>
              <w:rPr>
                <w:b/>
                <w:sz w:val="18"/>
              </w:rPr>
              <w:t>CH</w:t>
            </w:r>
            <w:r>
              <w:rPr>
                <w:b/>
                <w:sz w:val="18"/>
                <w:vertAlign w:val="subscript"/>
              </w:rPr>
              <w:t>4</w:t>
            </w:r>
            <w:r>
              <w:rPr>
                <w:b/>
                <w:sz w:val="18"/>
                <w:vertAlign w:val="baseline"/>
              </w:rPr>
              <w:t> </w:t>
            </w:r>
            <w:r>
              <w:rPr>
                <w:sz w:val="18"/>
                <w:vertAlign w:val="superscript"/>
              </w:rPr>
              <w:t>4</w:t>
            </w:r>
          </w:p>
        </w:tc>
        <w:tc>
          <w:tcPr>
            <w:tcW w:w="933" w:type="dxa"/>
          </w:tcPr>
          <w:p>
            <w:pPr>
              <w:pStyle w:val="TableParagraph"/>
              <w:spacing w:before="8"/>
              <w:rPr>
                <w:sz w:val="22"/>
              </w:rPr>
            </w:pPr>
          </w:p>
          <w:p>
            <w:pPr>
              <w:pStyle w:val="TableParagraph"/>
              <w:ind w:left="198" w:right="112"/>
              <w:jc w:val="center"/>
              <w:rPr>
                <w:sz w:val="18"/>
              </w:rPr>
            </w:pPr>
            <w:r>
              <w:rPr>
                <w:b/>
                <w:sz w:val="18"/>
              </w:rPr>
              <w:t>N</w:t>
            </w:r>
            <w:r>
              <w:rPr>
                <w:b/>
                <w:sz w:val="18"/>
                <w:vertAlign w:val="subscript"/>
              </w:rPr>
              <w:t>2</w:t>
            </w:r>
            <w:r>
              <w:rPr>
                <w:b/>
                <w:sz w:val="18"/>
                <w:vertAlign w:val="baseline"/>
              </w:rPr>
              <w:t>O </w:t>
            </w:r>
            <w:r>
              <w:rPr>
                <w:sz w:val="18"/>
                <w:vertAlign w:val="superscript"/>
              </w:rPr>
              <w:t>4</w:t>
            </w:r>
          </w:p>
        </w:tc>
      </w:tr>
      <w:tr>
        <w:trPr>
          <w:trHeight w:val="330" w:hRule="atLeast"/>
        </w:trPr>
        <w:tc>
          <w:tcPr>
            <w:tcW w:w="4698" w:type="dxa"/>
            <w:gridSpan w:val="2"/>
            <w:vMerge/>
            <w:tcBorders>
              <w:top w:val="nil"/>
            </w:tcBorders>
          </w:tcPr>
          <w:p>
            <w:pPr>
              <w:rPr>
                <w:sz w:val="2"/>
                <w:szCs w:val="2"/>
              </w:rPr>
            </w:pPr>
          </w:p>
        </w:tc>
        <w:tc>
          <w:tcPr>
            <w:tcW w:w="906" w:type="dxa"/>
          </w:tcPr>
          <w:p>
            <w:pPr>
              <w:pStyle w:val="TableParagraph"/>
              <w:spacing w:before="62"/>
              <w:ind w:left="85" w:right="5"/>
              <w:jc w:val="center"/>
              <w:rPr>
                <w:b/>
                <w:sz w:val="18"/>
              </w:rPr>
            </w:pPr>
            <w:r>
              <w:rPr>
                <w:b/>
                <w:sz w:val="18"/>
              </w:rPr>
              <w:t>(ha)</w:t>
            </w:r>
          </w:p>
        </w:tc>
        <w:tc>
          <w:tcPr>
            <w:tcW w:w="1446" w:type="dxa"/>
          </w:tcPr>
          <w:p>
            <w:pPr>
              <w:pStyle w:val="TableParagraph"/>
              <w:spacing w:before="62"/>
              <w:ind w:left="222"/>
              <w:rPr>
                <w:b/>
                <w:sz w:val="18"/>
              </w:rPr>
            </w:pPr>
            <w:r>
              <w:rPr>
                <w:b/>
                <w:sz w:val="18"/>
              </w:rPr>
              <w:t>(Gg CO</w:t>
            </w:r>
            <w:r>
              <w:rPr>
                <w:b/>
                <w:sz w:val="18"/>
                <w:vertAlign w:val="subscript"/>
              </w:rPr>
              <w:t>2</w:t>
            </w:r>
            <w:r>
              <w:rPr>
                <w:b/>
                <w:sz w:val="18"/>
                <w:vertAlign w:val="baseline"/>
              </w:rPr>
              <w:t> e/yr)</w:t>
            </w:r>
          </w:p>
        </w:tc>
        <w:tc>
          <w:tcPr>
            <w:tcW w:w="1084" w:type="dxa"/>
          </w:tcPr>
          <w:p>
            <w:pPr>
              <w:pStyle w:val="TableParagraph"/>
              <w:spacing w:before="62"/>
              <w:ind w:left="293"/>
              <w:rPr>
                <w:b/>
                <w:sz w:val="18"/>
              </w:rPr>
            </w:pPr>
            <w:r>
              <w:rPr>
                <w:b/>
                <w:sz w:val="18"/>
              </w:rPr>
              <w:t>(Gg/yr)</w:t>
            </w:r>
          </w:p>
        </w:tc>
        <w:tc>
          <w:tcPr>
            <w:tcW w:w="933" w:type="dxa"/>
          </w:tcPr>
          <w:p>
            <w:pPr>
              <w:pStyle w:val="TableParagraph"/>
              <w:spacing w:before="62"/>
              <w:ind w:left="200" w:right="112"/>
              <w:jc w:val="center"/>
              <w:rPr>
                <w:b/>
                <w:sz w:val="18"/>
              </w:rPr>
            </w:pPr>
            <w:r>
              <w:rPr>
                <w:b/>
                <w:sz w:val="18"/>
              </w:rPr>
              <w:t>(Gg/yr)</w:t>
            </w:r>
          </w:p>
        </w:tc>
      </w:tr>
      <w:tr>
        <w:trPr>
          <w:trHeight w:val="273" w:hRule="atLeast"/>
        </w:trPr>
        <w:tc>
          <w:tcPr>
            <w:tcW w:w="4698" w:type="dxa"/>
            <w:gridSpan w:val="2"/>
          </w:tcPr>
          <w:p>
            <w:pPr>
              <w:pStyle w:val="TableParagraph"/>
              <w:spacing w:before="33"/>
              <w:ind w:left="66"/>
              <w:rPr>
                <w:b/>
                <w:sz w:val="18"/>
              </w:rPr>
            </w:pPr>
            <w:r>
              <w:rPr>
                <w:b/>
                <w:sz w:val="18"/>
              </w:rPr>
              <w:t>A and R not harvested during the first commitment period</w:t>
            </w:r>
            <w:r>
              <w:rPr>
                <w:b/>
                <w:sz w:val="18"/>
                <w:vertAlign w:val="superscript"/>
              </w:rPr>
              <w:t>1</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5" w:hRule="atLeast"/>
        </w:trPr>
        <w:tc>
          <w:tcPr>
            <w:tcW w:w="4698" w:type="dxa"/>
            <w:gridSpan w:val="2"/>
          </w:tcPr>
          <w:p>
            <w:pPr>
              <w:pStyle w:val="TableParagraph"/>
              <w:spacing w:before="33"/>
              <w:ind w:left="66"/>
              <w:rPr>
                <w:b/>
                <w:sz w:val="18"/>
              </w:rPr>
            </w:pPr>
            <w:r>
              <w:rPr>
                <w:b/>
                <w:sz w:val="18"/>
              </w:rPr>
              <w:t>A and R harvested during the first commitment period</w:t>
            </w:r>
            <w:r>
              <w:rPr>
                <w:b/>
                <w:sz w:val="18"/>
                <w:vertAlign w:val="superscript"/>
              </w:rPr>
              <w:t>1</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443" w:hRule="atLeast"/>
        </w:trPr>
        <w:tc>
          <w:tcPr>
            <w:tcW w:w="4698" w:type="dxa"/>
            <w:gridSpan w:val="2"/>
          </w:tcPr>
          <w:p>
            <w:pPr>
              <w:pStyle w:val="TableParagraph"/>
              <w:spacing w:line="206" w:lineRule="exact" w:before="17"/>
              <w:ind w:left="66" w:right="692"/>
              <w:rPr>
                <w:b/>
                <w:sz w:val="18"/>
              </w:rPr>
            </w:pPr>
            <w:r>
              <w:rPr>
                <w:b/>
                <w:sz w:val="18"/>
              </w:rPr>
              <w:t>A and R that is also to subject to elected Article 3.4 activities</w:t>
            </w:r>
            <w:r>
              <w:rPr>
                <w:b/>
                <w:sz w:val="18"/>
                <w:vertAlign w:val="superscript"/>
              </w:rPr>
              <w:t>1,</w:t>
            </w:r>
            <w:r>
              <w:rPr>
                <w:b/>
                <w:sz w:val="18"/>
                <w:vertAlign w:val="baseline"/>
              </w:rPr>
              <w:t> </w:t>
            </w:r>
            <w:r>
              <w:rPr>
                <w:b/>
                <w:sz w:val="18"/>
                <w:vertAlign w:val="superscript"/>
              </w:rPr>
              <w:t>6</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3" w:hRule="atLeast"/>
        </w:trPr>
        <w:tc>
          <w:tcPr>
            <w:tcW w:w="4698" w:type="dxa"/>
            <w:gridSpan w:val="2"/>
          </w:tcPr>
          <w:p>
            <w:pPr>
              <w:pStyle w:val="TableParagraph"/>
              <w:spacing w:before="33"/>
              <w:ind w:left="66"/>
              <w:rPr>
                <w:b/>
                <w:sz w:val="18"/>
              </w:rPr>
            </w:pPr>
            <w:r>
              <w:rPr>
                <w:b/>
                <w:sz w:val="18"/>
              </w:rPr>
              <w:t>D</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5" w:hRule="atLeast"/>
        </w:trPr>
        <w:tc>
          <w:tcPr>
            <w:tcW w:w="4698" w:type="dxa"/>
            <w:gridSpan w:val="2"/>
          </w:tcPr>
          <w:p>
            <w:pPr>
              <w:pStyle w:val="TableParagraph"/>
              <w:spacing w:before="33"/>
              <w:ind w:left="66"/>
              <w:rPr>
                <w:b/>
                <w:sz w:val="18"/>
              </w:rPr>
            </w:pPr>
            <w:r>
              <w:rPr>
                <w:b/>
                <w:sz w:val="18"/>
              </w:rPr>
              <w:t>D that is also to subject to elected Article 3.4 activities</w:t>
            </w:r>
            <w:r>
              <w:rPr>
                <w:b/>
                <w:sz w:val="18"/>
                <w:vertAlign w:val="superscript"/>
              </w:rPr>
              <w:t>6</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3" w:hRule="atLeast"/>
        </w:trPr>
        <w:tc>
          <w:tcPr>
            <w:tcW w:w="4698" w:type="dxa"/>
            <w:gridSpan w:val="2"/>
          </w:tcPr>
          <w:p>
            <w:pPr>
              <w:pStyle w:val="TableParagraph"/>
              <w:spacing w:before="33"/>
              <w:ind w:left="66"/>
              <w:rPr>
                <w:b/>
                <w:sz w:val="18"/>
              </w:rPr>
            </w:pPr>
            <w:r>
              <w:rPr>
                <w:b/>
                <w:sz w:val="18"/>
              </w:rPr>
              <w:t>Article 3.4 FM if elected</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3" w:hRule="atLeast"/>
        </w:trPr>
        <w:tc>
          <w:tcPr>
            <w:tcW w:w="2498" w:type="dxa"/>
            <w:vMerge w:val="restart"/>
          </w:tcPr>
          <w:p>
            <w:pPr>
              <w:pStyle w:val="TableParagraph"/>
              <w:spacing w:before="1"/>
              <w:rPr>
                <w:sz w:val="27"/>
              </w:rPr>
            </w:pPr>
          </w:p>
          <w:p>
            <w:pPr>
              <w:pStyle w:val="TableParagraph"/>
              <w:ind w:left="66"/>
              <w:rPr>
                <w:b/>
                <w:sz w:val="18"/>
              </w:rPr>
            </w:pPr>
            <w:r>
              <w:rPr>
                <w:b/>
                <w:sz w:val="18"/>
              </w:rPr>
              <w:t>Article 3.4 CM if elected</w:t>
            </w:r>
            <w:r>
              <w:rPr>
                <w:b/>
                <w:sz w:val="18"/>
                <w:vertAlign w:val="superscript"/>
              </w:rPr>
              <w:t>2</w:t>
            </w:r>
          </w:p>
        </w:tc>
        <w:tc>
          <w:tcPr>
            <w:tcW w:w="2200" w:type="dxa"/>
          </w:tcPr>
          <w:p>
            <w:pPr>
              <w:pStyle w:val="TableParagraph"/>
              <w:spacing w:before="33"/>
              <w:ind w:left="67"/>
              <w:rPr>
                <w:b/>
                <w:sz w:val="18"/>
              </w:rPr>
            </w:pPr>
            <w:r>
              <w:rPr>
                <w:b/>
                <w:sz w:val="18"/>
              </w:rPr>
              <w:t>Mineral Soils</w:t>
            </w:r>
            <w:r>
              <w:rPr>
                <w:b/>
                <w:sz w:val="18"/>
                <w:vertAlign w:val="superscript"/>
              </w:rPr>
              <w:t>5</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5" w:hRule="atLeast"/>
        </w:trPr>
        <w:tc>
          <w:tcPr>
            <w:tcW w:w="2498" w:type="dxa"/>
            <w:vMerge/>
            <w:tcBorders>
              <w:top w:val="nil"/>
            </w:tcBorders>
          </w:tcPr>
          <w:p>
            <w:pPr>
              <w:rPr>
                <w:sz w:val="2"/>
                <w:szCs w:val="2"/>
              </w:rPr>
            </w:pPr>
          </w:p>
        </w:tc>
        <w:tc>
          <w:tcPr>
            <w:tcW w:w="2200" w:type="dxa"/>
          </w:tcPr>
          <w:p>
            <w:pPr>
              <w:pStyle w:val="TableParagraph"/>
              <w:spacing w:before="33"/>
              <w:ind w:left="67"/>
              <w:rPr>
                <w:b/>
                <w:sz w:val="18"/>
              </w:rPr>
            </w:pPr>
            <w:r>
              <w:rPr>
                <w:b/>
                <w:sz w:val="18"/>
              </w:rPr>
              <w:t>Organic Soils</w:t>
            </w:r>
            <w:r>
              <w:rPr>
                <w:b/>
                <w:sz w:val="18"/>
                <w:vertAlign w:val="superscript"/>
              </w:rPr>
              <w:t>5</w:t>
            </w:r>
          </w:p>
        </w:tc>
        <w:tc>
          <w:tcPr>
            <w:tcW w:w="906" w:type="dxa"/>
          </w:tcPr>
          <w:p>
            <w:pPr>
              <w:pStyle w:val="TableParagraph"/>
              <w:rPr>
                <w:sz w:val="16"/>
              </w:rPr>
            </w:pPr>
          </w:p>
        </w:tc>
        <w:tc>
          <w:tcPr>
            <w:tcW w:w="1446" w:type="dxa"/>
          </w:tcPr>
          <w:p>
            <w:pPr>
              <w:pStyle w:val="TableParagraph"/>
              <w:rPr>
                <w:sz w:val="16"/>
              </w:rPr>
            </w:pPr>
          </w:p>
        </w:tc>
        <w:tc>
          <w:tcPr>
            <w:tcW w:w="1084" w:type="dxa"/>
            <w:shd w:val="clear" w:color="auto" w:fill="C0C0C0"/>
          </w:tcPr>
          <w:p>
            <w:pPr>
              <w:pStyle w:val="TableParagraph"/>
              <w:rPr>
                <w:sz w:val="16"/>
              </w:rPr>
            </w:pPr>
          </w:p>
        </w:tc>
        <w:tc>
          <w:tcPr>
            <w:tcW w:w="933" w:type="dxa"/>
            <w:shd w:val="clear" w:color="auto" w:fill="C0C0C0"/>
          </w:tcPr>
          <w:p>
            <w:pPr>
              <w:pStyle w:val="TableParagraph"/>
              <w:rPr>
                <w:sz w:val="16"/>
              </w:rPr>
            </w:pPr>
          </w:p>
        </w:tc>
      </w:tr>
      <w:tr>
        <w:trPr>
          <w:trHeight w:val="273" w:hRule="atLeast"/>
        </w:trPr>
        <w:tc>
          <w:tcPr>
            <w:tcW w:w="2498" w:type="dxa"/>
            <w:vMerge/>
            <w:tcBorders>
              <w:top w:val="nil"/>
            </w:tcBorders>
          </w:tcPr>
          <w:p>
            <w:pPr>
              <w:rPr>
                <w:sz w:val="2"/>
                <w:szCs w:val="2"/>
              </w:rPr>
            </w:pPr>
          </w:p>
        </w:tc>
        <w:tc>
          <w:tcPr>
            <w:tcW w:w="2200" w:type="dxa"/>
          </w:tcPr>
          <w:p>
            <w:pPr>
              <w:pStyle w:val="TableParagraph"/>
              <w:spacing w:before="33"/>
              <w:ind w:left="67"/>
              <w:rPr>
                <w:b/>
                <w:sz w:val="18"/>
              </w:rPr>
            </w:pPr>
            <w:r>
              <w:rPr>
                <w:b/>
                <w:sz w:val="18"/>
              </w:rPr>
              <w:t>Liming</w:t>
            </w:r>
          </w:p>
        </w:tc>
        <w:tc>
          <w:tcPr>
            <w:tcW w:w="906" w:type="dxa"/>
          </w:tcPr>
          <w:p>
            <w:pPr>
              <w:pStyle w:val="TableParagraph"/>
              <w:rPr>
                <w:sz w:val="16"/>
              </w:rPr>
            </w:pPr>
          </w:p>
        </w:tc>
        <w:tc>
          <w:tcPr>
            <w:tcW w:w="1446" w:type="dxa"/>
          </w:tcPr>
          <w:p>
            <w:pPr>
              <w:pStyle w:val="TableParagraph"/>
              <w:rPr>
                <w:sz w:val="16"/>
              </w:rPr>
            </w:pPr>
          </w:p>
        </w:tc>
        <w:tc>
          <w:tcPr>
            <w:tcW w:w="1084" w:type="dxa"/>
            <w:shd w:val="clear" w:color="auto" w:fill="C0C0C0"/>
          </w:tcPr>
          <w:p>
            <w:pPr>
              <w:pStyle w:val="TableParagraph"/>
              <w:rPr>
                <w:sz w:val="16"/>
              </w:rPr>
            </w:pPr>
          </w:p>
        </w:tc>
        <w:tc>
          <w:tcPr>
            <w:tcW w:w="933" w:type="dxa"/>
            <w:shd w:val="clear" w:color="auto" w:fill="C0C0C0"/>
          </w:tcPr>
          <w:p>
            <w:pPr>
              <w:pStyle w:val="TableParagraph"/>
              <w:rPr>
                <w:sz w:val="16"/>
              </w:rPr>
            </w:pPr>
          </w:p>
        </w:tc>
      </w:tr>
      <w:tr>
        <w:trPr>
          <w:trHeight w:val="273" w:hRule="atLeast"/>
        </w:trPr>
        <w:tc>
          <w:tcPr>
            <w:tcW w:w="2498" w:type="dxa"/>
            <w:vMerge w:val="restart"/>
          </w:tcPr>
          <w:p>
            <w:pPr>
              <w:pStyle w:val="TableParagraph"/>
              <w:spacing w:before="1"/>
              <w:rPr>
                <w:sz w:val="27"/>
              </w:rPr>
            </w:pPr>
          </w:p>
          <w:p>
            <w:pPr>
              <w:pStyle w:val="TableParagraph"/>
              <w:ind w:left="66"/>
              <w:rPr>
                <w:b/>
                <w:sz w:val="18"/>
              </w:rPr>
            </w:pPr>
            <w:r>
              <w:rPr>
                <w:b/>
                <w:sz w:val="18"/>
              </w:rPr>
              <w:t>Article 3.4 GM if elected</w:t>
            </w:r>
            <w:r>
              <w:rPr>
                <w:b/>
                <w:sz w:val="18"/>
                <w:vertAlign w:val="superscript"/>
              </w:rPr>
              <w:t>2</w:t>
            </w:r>
          </w:p>
        </w:tc>
        <w:tc>
          <w:tcPr>
            <w:tcW w:w="2200" w:type="dxa"/>
          </w:tcPr>
          <w:p>
            <w:pPr>
              <w:pStyle w:val="TableParagraph"/>
              <w:spacing w:before="33"/>
              <w:ind w:left="67"/>
              <w:rPr>
                <w:b/>
                <w:sz w:val="18"/>
              </w:rPr>
            </w:pPr>
            <w:r>
              <w:rPr>
                <w:b/>
                <w:sz w:val="18"/>
              </w:rPr>
              <w:t>Mineral Soils</w:t>
            </w:r>
            <w:r>
              <w:rPr>
                <w:b/>
                <w:sz w:val="18"/>
                <w:vertAlign w:val="superscript"/>
              </w:rPr>
              <w:t>5</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5" w:hRule="atLeast"/>
        </w:trPr>
        <w:tc>
          <w:tcPr>
            <w:tcW w:w="2498" w:type="dxa"/>
            <w:vMerge/>
            <w:tcBorders>
              <w:top w:val="nil"/>
            </w:tcBorders>
          </w:tcPr>
          <w:p>
            <w:pPr>
              <w:rPr>
                <w:sz w:val="2"/>
                <w:szCs w:val="2"/>
              </w:rPr>
            </w:pPr>
          </w:p>
        </w:tc>
        <w:tc>
          <w:tcPr>
            <w:tcW w:w="2200" w:type="dxa"/>
          </w:tcPr>
          <w:p>
            <w:pPr>
              <w:pStyle w:val="TableParagraph"/>
              <w:spacing w:before="33"/>
              <w:ind w:left="67"/>
              <w:rPr>
                <w:b/>
                <w:sz w:val="18"/>
              </w:rPr>
            </w:pPr>
            <w:r>
              <w:rPr>
                <w:b/>
                <w:sz w:val="18"/>
              </w:rPr>
              <w:t>Organic Soils</w:t>
            </w:r>
            <w:r>
              <w:rPr>
                <w:b/>
                <w:sz w:val="18"/>
                <w:vertAlign w:val="superscript"/>
              </w:rPr>
              <w:t>5</w:t>
            </w:r>
          </w:p>
        </w:tc>
        <w:tc>
          <w:tcPr>
            <w:tcW w:w="906" w:type="dxa"/>
          </w:tcPr>
          <w:p>
            <w:pPr>
              <w:pStyle w:val="TableParagraph"/>
              <w:rPr>
                <w:sz w:val="16"/>
              </w:rPr>
            </w:pPr>
          </w:p>
        </w:tc>
        <w:tc>
          <w:tcPr>
            <w:tcW w:w="1446" w:type="dxa"/>
          </w:tcPr>
          <w:p>
            <w:pPr>
              <w:pStyle w:val="TableParagraph"/>
              <w:rPr>
                <w:sz w:val="16"/>
              </w:rPr>
            </w:pPr>
          </w:p>
        </w:tc>
        <w:tc>
          <w:tcPr>
            <w:tcW w:w="1084" w:type="dxa"/>
            <w:shd w:val="clear" w:color="auto" w:fill="C0C0C0"/>
          </w:tcPr>
          <w:p>
            <w:pPr>
              <w:pStyle w:val="TableParagraph"/>
              <w:rPr>
                <w:sz w:val="16"/>
              </w:rPr>
            </w:pPr>
          </w:p>
        </w:tc>
        <w:tc>
          <w:tcPr>
            <w:tcW w:w="933" w:type="dxa"/>
            <w:shd w:val="clear" w:color="auto" w:fill="C0C0C0"/>
          </w:tcPr>
          <w:p>
            <w:pPr>
              <w:pStyle w:val="TableParagraph"/>
              <w:rPr>
                <w:sz w:val="16"/>
              </w:rPr>
            </w:pPr>
          </w:p>
        </w:tc>
      </w:tr>
      <w:tr>
        <w:trPr>
          <w:trHeight w:val="273" w:hRule="atLeast"/>
        </w:trPr>
        <w:tc>
          <w:tcPr>
            <w:tcW w:w="2498" w:type="dxa"/>
            <w:vMerge/>
            <w:tcBorders>
              <w:top w:val="nil"/>
            </w:tcBorders>
          </w:tcPr>
          <w:p>
            <w:pPr>
              <w:rPr>
                <w:sz w:val="2"/>
                <w:szCs w:val="2"/>
              </w:rPr>
            </w:pPr>
          </w:p>
        </w:tc>
        <w:tc>
          <w:tcPr>
            <w:tcW w:w="2200" w:type="dxa"/>
          </w:tcPr>
          <w:p>
            <w:pPr>
              <w:pStyle w:val="TableParagraph"/>
              <w:spacing w:before="33"/>
              <w:ind w:left="67"/>
              <w:rPr>
                <w:b/>
                <w:sz w:val="18"/>
              </w:rPr>
            </w:pPr>
            <w:r>
              <w:rPr>
                <w:b/>
                <w:sz w:val="18"/>
              </w:rPr>
              <w:t>Liming</w:t>
            </w:r>
          </w:p>
        </w:tc>
        <w:tc>
          <w:tcPr>
            <w:tcW w:w="906" w:type="dxa"/>
          </w:tcPr>
          <w:p>
            <w:pPr>
              <w:pStyle w:val="TableParagraph"/>
              <w:rPr>
                <w:sz w:val="16"/>
              </w:rPr>
            </w:pPr>
          </w:p>
        </w:tc>
        <w:tc>
          <w:tcPr>
            <w:tcW w:w="1446" w:type="dxa"/>
          </w:tcPr>
          <w:p>
            <w:pPr>
              <w:pStyle w:val="TableParagraph"/>
              <w:rPr>
                <w:sz w:val="16"/>
              </w:rPr>
            </w:pPr>
          </w:p>
        </w:tc>
        <w:tc>
          <w:tcPr>
            <w:tcW w:w="1084" w:type="dxa"/>
            <w:shd w:val="clear" w:color="auto" w:fill="C0C0C0"/>
          </w:tcPr>
          <w:p>
            <w:pPr>
              <w:pStyle w:val="TableParagraph"/>
              <w:rPr>
                <w:sz w:val="16"/>
              </w:rPr>
            </w:pPr>
          </w:p>
        </w:tc>
        <w:tc>
          <w:tcPr>
            <w:tcW w:w="933" w:type="dxa"/>
            <w:shd w:val="clear" w:color="auto" w:fill="C0C0C0"/>
          </w:tcPr>
          <w:p>
            <w:pPr>
              <w:pStyle w:val="TableParagraph"/>
              <w:rPr>
                <w:sz w:val="16"/>
              </w:rPr>
            </w:pPr>
          </w:p>
        </w:tc>
      </w:tr>
      <w:tr>
        <w:trPr>
          <w:trHeight w:val="273" w:hRule="atLeast"/>
        </w:trPr>
        <w:tc>
          <w:tcPr>
            <w:tcW w:w="2498" w:type="dxa"/>
            <w:vMerge w:val="restart"/>
          </w:tcPr>
          <w:p>
            <w:pPr>
              <w:pStyle w:val="TableParagraph"/>
              <w:spacing w:before="1"/>
              <w:rPr>
                <w:sz w:val="27"/>
              </w:rPr>
            </w:pPr>
          </w:p>
          <w:p>
            <w:pPr>
              <w:pStyle w:val="TableParagraph"/>
              <w:ind w:left="66"/>
              <w:rPr>
                <w:b/>
                <w:sz w:val="18"/>
              </w:rPr>
            </w:pPr>
            <w:r>
              <w:rPr>
                <w:b/>
                <w:sz w:val="18"/>
              </w:rPr>
              <w:t>Article 3.4 RV if elected</w:t>
            </w:r>
            <w:r>
              <w:rPr>
                <w:b/>
                <w:sz w:val="18"/>
                <w:vertAlign w:val="superscript"/>
              </w:rPr>
              <w:t>2</w:t>
            </w:r>
          </w:p>
        </w:tc>
        <w:tc>
          <w:tcPr>
            <w:tcW w:w="2200" w:type="dxa"/>
          </w:tcPr>
          <w:p>
            <w:pPr>
              <w:pStyle w:val="TableParagraph"/>
              <w:spacing w:before="33"/>
              <w:ind w:left="67"/>
              <w:rPr>
                <w:b/>
                <w:sz w:val="18"/>
              </w:rPr>
            </w:pPr>
            <w:r>
              <w:rPr>
                <w:b/>
                <w:sz w:val="18"/>
              </w:rPr>
              <w:t>Mineral Soils</w:t>
            </w:r>
            <w:r>
              <w:rPr>
                <w:b/>
                <w:sz w:val="18"/>
                <w:vertAlign w:val="superscript"/>
              </w:rPr>
              <w:t>5</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5" w:hRule="atLeast"/>
        </w:trPr>
        <w:tc>
          <w:tcPr>
            <w:tcW w:w="2498" w:type="dxa"/>
            <w:vMerge/>
            <w:tcBorders>
              <w:top w:val="nil"/>
            </w:tcBorders>
          </w:tcPr>
          <w:p>
            <w:pPr>
              <w:rPr>
                <w:sz w:val="2"/>
                <w:szCs w:val="2"/>
              </w:rPr>
            </w:pPr>
          </w:p>
        </w:tc>
        <w:tc>
          <w:tcPr>
            <w:tcW w:w="2200" w:type="dxa"/>
          </w:tcPr>
          <w:p>
            <w:pPr>
              <w:pStyle w:val="TableParagraph"/>
              <w:spacing w:before="33"/>
              <w:ind w:left="67"/>
              <w:rPr>
                <w:b/>
                <w:sz w:val="18"/>
              </w:rPr>
            </w:pPr>
            <w:r>
              <w:rPr>
                <w:b/>
                <w:sz w:val="18"/>
              </w:rPr>
              <w:t>Organic Soils</w:t>
            </w:r>
            <w:r>
              <w:rPr>
                <w:b/>
                <w:sz w:val="18"/>
                <w:vertAlign w:val="superscript"/>
              </w:rPr>
              <w:t>5</w:t>
            </w:r>
          </w:p>
        </w:tc>
        <w:tc>
          <w:tcPr>
            <w:tcW w:w="906" w:type="dxa"/>
          </w:tcPr>
          <w:p>
            <w:pPr>
              <w:pStyle w:val="TableParagraph"/>
              <w:rPr>
                <w:sz w:val="16"/>
              </w:rPr>
            </w:pPr>
          </w:p>
        </w:tc>
        <w:tc>
          <w:tcPr>
            <w:tcW w:w="1446" w:type="dxa"/>
          </w:tcPr>
          <w:p>
            <w:pPr>
              <w:pStyle w:val="TableParagraph"/>
              <w:rPr>
                <w:sz w:val="16"/>
              </w:rPr>
            </w:pPr>
          </w:p>
        </w:tc>
        <w:tc>
          <w:tcPr>
            <w:tcW w:w="1084" w:type="dxa"/>
            <w:shd w:val="clear" w:color="auto" w:fill="C0C0C0"/>
          </w:tcPr>
          <w:p>
            <w:pPr>
              <w:pStyle w:val="TableParagraph"/>
              <w:rPr>
                <w:sz w:val="16"/>
              </w:rPr>
            </w:pPr>
          </w:p>
        </w:tc>
        <w:tc>
          <w:tcPr>
            <w:tcW w:w="933" w:type="dxa"/>
            <w:shd w:val="clear" w:color="auto" w:fill="C0C0C0"/>
          </w:tcPr>
          <w:p>
            <w:pPr>
              <w:pStyle w:val="TableParagraph"/>
              <w:rPr>
                <w:sz w:val="16"/>
              </w:rPr>
            </w:pPr>
          </w:p>
        </w:tc>
      </w:tr>
      <w:tr>
        <w:trPr>
          <w:trHeight w:val="273" w:hRule="atLeast"/>
        </w:trPr>
        <w:tc>
          <w:tcPr>
            <w:tcW w:w="2498" w:type="dxa"/>
            <w:vMerge/>
            <w:tcBorders>
              <w:top w:val="nil"/>
            </w:tcBorders>
          </w:tcPr>
          <w:p>
            <w:pPr>
              <w:rPr>
                <w:sz w:val="2"/>
                <w:szCs w:val="2"/>
              </w:rPr>
            </w:pPr>
          </w:p>
        </w:tc>
        <w:tc>
          <w:tcPr>
            <w:tcW w:w="2200" w:type="dxa"/>
          </w:tcPr>
          <w:p>
            <w:pPr>
              <w:pStyle w:val="TableParagraph"/>
              <w:spacing w:before="33"/>
              <w:ind w:left="67"/>
              <w:rPr>
                <w:b/>
                <w:sz w:val="18"/>
              </w:rPr>
            </w:pPr>
            <w:r>
              <w:rPr>
                <w:b/>
                <w:sz w:val="18"/>
              </w:rPr>
              <w:t>Liming</w:t>
            </w:r>
          </w:p>
        </w:tc>
        <w:tc>
          <w:tcPr>
            <w:tcW w:w="906" w:type="dxa"/>
          </w:tcPr>
          <w:p>
            <w:pPr>
              <w:pStyle w:val="TableParagraph"/>
              <w:rPr>
                <w:sz w:val="16"/>
              </w:rPr>
            </w:pPr>
          </w:p>
        </w:tc>
        <w:tc>
          <w:tcPr>
            <w:tcW w:w="1446" w:type="dxa"/>
          </w:tcPr>
          <w:p>
            <w:pPr>
              <w:pStyle w:val="TableParagraph"/>
              <w:rPr>
                <w:sz w:val="16"/>
              </w:rPr>
            </w:pPr>
          </w:p>
        </w:tc>
        <w:tc>
          <w:tcPr>
            <w:tcW w:w="1084" w:type="dxa"/>
            <w:shd w:val="clear" w:color="auto" w:fill="C0C0C0"/>
          </w:tcPr>
          <w:p>
            <w:pPr>
              <w:pStyle w:val="TableParagraph"/>
              <w:rPr>
                <w:sz w:val="16"/>
              </w:rPr>
            </w:pPr>
          </w:p>
        </w:tc>
        <w:tc>
          <w:tcPr>
            <w:tcW w:w="933" w:type="dxa"/>
            <w:shd w:val="clear" w:color="auto" w:fill="C0C0C0"/>
          </w:tcPr>
          <w:p>
            <w:pPr>
              <w:pStyle w:val="TableParagraph"/>
              <w:rPr>
                <w:sz w:val="16"/>
              </w:rPr>
            </w:pPr>
          </w:p>
        </w:tc>
      </w:tr>
      <w:tr>
        <w:trPr>
          <w:trHeight w:val="273" w:hRule="atLeast"/>
        </w:trPr>
        <w:tc>
          <w:tcPr>
            <w:tcW w:w="4698" w:type="dxa"/>
            <w:gridSpan w:val="2"/>
          </w:tcPr>
          <w:p>
            <w:pPr>
              <w:pStyle w:val="TableParagraph"/>
              <w:spacing w:before="28"/>
              <w:ind w:left="66"/>
              <w:rPr>
                <w:sz w:val="18"/>
              </w:rPr>
            </w:pPr>
            <w:r>
              <w:rPr>
                <w:b/>
                <w:sz w:val="18"/>
              </w:rPr>
              <w:t>Article 6 A and R activities</w:t>
            </w:r>
            <w:r>
              <w:rPr>
                <w:sz w:val="18"/>
                <w:vertAlign w:val="superscript"/>
              </w:rPr>
              <w:t>3</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5" w:hRule="atLeast"/>
        </w:trPr>
        <w:tc>
          <w:tcPr>
            <w:tcW w:w="4698" w:type="dxa"/>
            <w:gridSpan w:val="2"/>
          </w:tcPr>
          <w:p>
            <w:pPr>
              <w:pStyle w:val="TableParagraph"/>
              <w:spacing w:before="28"/>
              <w:ind w:left="66"/>
              <w:rPr>
                <w:sz w:val="18"/>
              </w:rPr>
            </w:pPr>
            <w:r>
              <w:rPr>
                <w:b/>
                <w:sz w:val="18"/>
              </w:rPr>
              <w:t>Article 6 FM activities</w:t>
            </w:r>
            <w:r>
              <w:rPr>
                <w:sz w:val="18"/>
                <w:vertAlign w:val="superscript"/>
              </w:rPr>
              <w:t>3</w:t>
            </w: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3" w:hRule="atLeast"/>
        </w:trPr>
        <w:tc>
          <w:tcPr>
            <w:tcW w:w="2498" w:type="dxa"/>
          </w:tcPr>
          <w:p>
            <w:pPr>
              <w:pStyle w:val="TableParagraph"/>
              <w:spacing w:before="28"/>
              <w:ind w:left="66"/>
              <w:rPr>
                <w:sz w:val="18"/>
              </w:rPr>
            </w:pPr>
            <w:r>
              <w:rPr>
                <w:b/>
                <w:sz w:val="18"/>
              </w:rPr>
              <w:t>Article 6 CM activities</w:t>
            </w:r>
            <w:r>
              <w:rPr>
                <w:sz w:val="18"/>
                <w:vertAlign w:val="superscript"/>
              </w:rPr>
              <w:t>3</w:t>
            </w:r>
          </w:p>
        </w:tc>
        <w:tc>
          <w:tcPr>
            <w:tcW w:w="2200" w:type="dxa"/>
          </w:tcPr>
          <w:p>
            <w:pPr>
              <w:pStyle w:val="TableParagraph"/>
              <w:rPr>
                <w:sz w:val="16"/>
              </w:rPr>
            </w:pP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3" w:hRule="atLeast"/>
        </w:trPr>
        <w:tc>
          <w:tcPr>
            <w:tcW w:w="2498" w:type="dxa"/>
          </w:tcPr>
          <w:p>
            <w:pPr>
              <w:pStyle w:val="TableParagraph"/>
              <w:spacing w:before="28"/>
              <w:ind w:left="66"/>
              <w:rPr>
                <w:sz w:val="18"/>
              </w:rPr>
            </w:pPr>
            <w:r>
              <w:rPr>
                <w:b/>
                <w:sz w:val="18"/>
              </w:rPr>
              <w:t>Article 6 GM activities</w:t>
            </w:r>
            <w:r>
              <w:rPr>
                <w:sz w:val="18"/>
                <w:vertAlign w:val="superscript"/>
              </w:rPr>
              <w:t>3</w:t>
            </w:r>
          </w:p>
        </w:tc>
        <w:tc>
          <w:tcPr>
            <w:tcW w:w="2200" w:type="dxa"/>
          </w:tcPr>
          <w:p>
            <w:pPr>
              <w:pStyle w:val="TableParagraph"/>
              <w:rPr>
                <w:sz w:val="16"/>
              </w:rPr>
            </w:pP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275" w:hRule="atLeast"/>
        </w:trPr>
        <w:tc>
          <w:tcPr>
            <w:tcW w:w="2498" w:type="dxa"/>
          </w:tcPr>
          <w:p>
            <w:pPr>
              <w:pStyle w:val="TableParagraph"/>
              <w:spacing w:before="28"/>
              <w:ind w:left="66"/>
              <w:rPr>
                <w:sz w:val="18"/>
              </w:rPr>
            </w:pPr>
            <w:r>
              <w:rPr>
                <w:b/>
                <w:sz w:val="18"/>
              </w:rPr>
              <w:t>Article 6 RV activities</w:t>
            </w:r>
            <w:r>
              <w:rPr>
                <w:sz w:val="18"/>
                <w:vertAlign w:val="superscript"/>
              </w:rPr>
              <w:t>3</w:t>
            </w:r>
          </w:p>
        </w:tc>
        <w:tc>
          <w:tcPr>
            <w:tcW w:w="2200" w:type="dxa"/>
          </w:tcPr>
          <w:p>
            <w:pPr>
              <w:pStyle w:val="TableParagraph"/>
              <w:rPr>
                <w:sz w:val="16"/>
              </w:rPr>
            </w:pPr>
          </w:p>
        </w:tc>
        <w:tc>
          <w:tcPr>
            <w:tcW w:w="906" w:type="dxa"/>
          </w:tcPr>
          <w:p>
            <w:pPr>
              <w:pStyle w:val="TableParagraph"/>
              <w:rPr>
                <w:sz w:val="16"/>
              </w:rPr>
            </w:pPr>
          </w:p>
        </w:tc>
        <w:tc>
          <w:tcPr>
            <w:tcW w:w="1446" w:type="dxa"/>
          </w:tcPr>
          <w:p>
            <w:pPr>
              <w:pStyle w:val="TableParagraph"/>
              <w:rPr>
                <w:sz w:val="16"/>
              </w:rPr>
            </w:pPr>
          </w:p>
        </w:tc>
        <w:tc>
          <w:tcPr>
            <w:tcW w:w="1084" w:type="dxa"/>
          </w:tcPr>
          <w:p>
            <w:pPr>
              <w:pStyle w:val="TableParagraph"/>
              <w:rPr>
                <w:sz w:val="16"/>
              </w:rPr>
            </w:pPr>
          </w:p>
        </w:tc>
        <w:tc>
          <w:tcPr>
            <w:tcW w:w="933" w:type="dxa"/>
          </w:tcPr>
          <w:p>
            <w:pPr>
              <w:pStyle w:val="TableParagraph"/>
              <w:rPr>
                <w:sz w:val="16"/>
              </w:rPr>
            </w:pPr>
          </w:p>
        </w:tc>
      </w:tr>
      <w:tr>
        <w:trPr>
          <w:trHeight w:val="4480" w:hRule="atLeast"/>
        </w:trPr>
        <w:tc>
          <w:tcPr>
            <w:tcW w:w="9067" w:type="dxa"/>
            <w:gridSpan w:val="6"/>
          </w:tcPr>
          <w:p>
            <w:pPr>
              <w:pStyle w:val="TableParagraph"/>
              <w:spacing w:before="9"/>
              <w:ind w:left="196" w:right="46" w:hanging="130"/>
              <w:jc w:val="both"/>
              <w:rPr>
                <w:sz w:val="18"/>
              </w:rPr>
            </w:pPr>
            <w:r>
              <w:rPr>
                <w:position w:val="8"/>
                <w:sz w:val="12"/>
              </w:rPr>
              <w:t>1 </w:t>
            </w:r>
            <w:r>
              <w:rPr>
                <w:sz w:val="18"/>
              </w:rPr>
              <w:t>As afforestation (A) and reforestation (R) activities are treated the same way, they can be reported together. The separation of afforestation and reforestation lands that are harvested from those that are not harvested during the first commitment period is necessary because of the requirement set in paragraph 4 in the Annex to draft decision -/CMP.1 (Land use, land-use change and forestry), cf. FCCC/CP/2001/13/Add.1,</w:t>
            </w:r>
            <w:r>
              <w:rPr>
                <w:spacing w:val="-6"/>
                <w:sz w:val="18"/>
              </w:rPr>
              <w:t> </w:t>
            </w:r>
            <w:r>
              <w:rPr>
                <w:sz w:val="18"/>
              </w:rPr>
              <w:t>p.59.</w:t>
            </w:r>
          </w:p>
          <w:p>
            <w:pPr>
              <w:pStyle w:val="TableParagraph"/>
              <w:spacing w:before="96"/>
              <w:ind w:left="66"/>
              <w:rPr>
                <w:sz w:val="18"/>
              </w:rPr>
            </w:pPr>
            <w:r>
              <w:rPr>
                <w:position w:val="8"/>
                <w:sz w:val="12"/>
              </w:rPr>
              <w:t>2 </w:t>
            </w:r>
            <w:r>
              <w:rPr>
                <w:sz w:val="18"/>
              </w:rPr>
              <w:t>If CM, GM and/or RV is elected, a copy of this table should be completed and reported for the base year.</w:t>
            </w:r>
          </w:p>
          <w:p>
            <w:pPr>
              <w:pStyle w:val="TableParagraph"/>
              <w:spacing w:before="96"/>
              <w:ind w:left="196" w:right="47" w:hanging="130"/>
              <w:jc w:val="both"/>
              <w:rPr>
                <w:sz w:val="18"/>
              </w:rPr>
            </w:pPr>
            <w:r>
              <w:rPr>
                <w:position w:val="8"/>
                <w:sz w:val="12"/>
              </w:rPr>
              <w:t>3 </w:t>
            </w:r>
            <w:r>
              <w:rPr>
                <w:sz w:val="18"/>
              </w:rPr>
              <w:t>Emissions and removals related to Article 6 projects hosted by the reporting Party, if any, should be reported in the final five rows, recognizing that they are already implicitly included in the national estimates of activities under Articles 3.3 and 3.4 reported in this table. Double counting will be avoided at the accounting stage when converting Removal Units into Emission Reduction Units.</w:t>
            </w:r>
          </w:p>
          <w:p>
            <w:pPr>
              <w:pStyle w:val="TableParagraph"/>
              <w:spacing w:before="96"/>
              <w:ind w:left="196" w:right="48" w:hanging="130"/>
              <w:jc w:val="both"/>
              <w:rPr>
                <w:sz w:val="18"/>
              </w:rPr>
            </w:pPr>
            <w:r>
              <w:rPr>
                <w:position w:val="8"/>
                <w:sz w:val="12"/>
              </w:rPr>
              <w:t>4 </w:t>
            </w:r>
            <w:r>
              <w:rPr>
                <w:sz w:val="18"/>
              </w:rPr>
              <w:t>For Article 3.4 CM, GM and RV, if elected, methane and nitrous oxide emissions are reported here for transparency purposes only. They are reported and accounted along with the Kyoto Protocol Annex A sources in the Agriculture  sector.</w:t>
            </w:r>
          </w:p>
          <w:p>
            <w:pPr>
              <w:pStyle w:val="TableParagraph"/>
              <w:spacing w:before="94"/>
              <w:ind w:left="196" w:right="47" w:hanging="130"/>
              <w:jc w:val="both"/>
              <w:rPr>
                <w:sz w:val="18"/>
              </w:rPr>
            </w:pPr>
            <w:r>
              <w:rPr>
                <w:position w:val="8"/>
                <w:sz w:val="12"/>
              </w:rPr>
              <w:t>5 </w:t>
            </w:r>
            <w:r>
              <w:rPr>
                <w:sz w:val="18"/>
              </w:rPr>
              <w:t>The headings “Mineral soils” and “Organic Soils” follow the breakdown by sources and sinks in the CM, GM and RV sections of Chapter 4. It should include all C pools, if applicable (i.e., shelterbelts…), occurring on croplands, grazing lands or revegetation lands with mineral and organic soils, respectively and should be equal, for each activity, to the total of the column “Total changes in carbon stocks” of Table 4.2.6b.</w:t>
            </w:r>
          </w:p>
          <w:p>
            <w:pPr>
              <w:pStyle w:val="TableParagraph"/>
              <w:spacing w:before="96"/>
              <w:ind w:left="196" w:right="52" w:hanging="130"/>
              <w:jc w:val="both"/>
              <w:rPr>
                <w:sz w:val="18"/>
              </w:rPr>
            </w:pPr>
            <w:r>
              <w:rPr>
                <w:position w:val="8"/>
                <w:sz w:val="12"/>
              </w:rPr>
              <w:t>6 </w:t>
            </w:r>
            <w:r>
              <w:rPr>
                <w:sz w:val="18"/>
              </w:rPr>
              <w:t>Afforestation (A), reforestation (R) and deforestation (D) lands, which are also subject to elected Article 3.4 activities, are already included in the A/R and D totals.</w:t>
            </w:r>
          </w:p>
        </w:tc>
      </w:tr>
    </w:tbl>
    <w:p>
      <w:pPr>
        <w:spacing w:after="0"/>
        <w:jc w:val="both"/>
        <w:rPr>
          <w:sz w:val="18"/>
        </w:rPr>
        <w:sectPr>
          <w:headerReference w:type="even" r:id="rId318"/>
          <w:footerReference w:type="even" r:id="rId319"/>
          <w:footerReference w:type="default" r:id="rId320"/>
          <w:pgSz w:w="11900" w:h="16840"/>
          <w:pgMar w:header="235" w:footer="408" w:top="560" w:bottom="600" w:left="1240" w:right="0"/>
          <w:pgNumType w:start="48"/>
        </w:sectPr>
      </w:pPr>
    </w:p>
    <w:p>
      <w:pPr>
        <w:pStyle w:val="BodyText"/>
        <w:spacing w:before="63"/>
        <w:ind w:left="414"/>
      </w:pPr>
      <w:r>
        <w:rPr/>
        <w:pict>
          <v:line style="position:absolute;mso-position-horizontal-relative:page;mso-position-vertical-relative:paragraph;z-index:19352;mso-wrap-distance-left:0;mso-wrap-distance-right:0" from="70.960999pt,20.286222pt" to="524.440999pt,20.286222pt" stroked="true" strokeweight=".75pt" strokecolor="#010101">
            <v:stroke dashstyle="solid"/>
            <w10:wrap type="topAndBottom"/>
          </v:line>
        </w:pict>
      </w:r>
      <w:r>
        <w:rPr/>
        <w:t>Methods for estimation, measurement, monitoring and reporting of LULUCF activities under Articles 3.3 &amp; 3.4</w:t>
      </w:r>
    </w:p>
    <w:p>
      <w:pPr>
        <w:pStyle w:val="BodyText"/>
      </w:pPr>
    </w:p>
    <w:p>
      <w:pPr>
        <w:pStyle w:val="BodyText"/>
        <w:spacing w:before="10"/>
        <w:rPr>
          <w:sz w:val="26"/>
        </w:rPr>
      </w:pPr>
    </w:p>
    <w:p>
      <w:pPr>
        <w:pStyle w:val="Heading6"/>
        <w:numPr>
          <w:ilvl w:val="4"/>
          <w:numId w:val="135"/>
        </w:numPr>
        <w:tabs>
          <w:tab w:pos="1323" w:val="left" w:leader="none"/>
          <w:tab w:pos="1324" w:val="left" w:leader="none"/>
        </w:tabs>
        <w:spacing w:line="240" w:lineRule="auto" w:before="92" w:after="0"/>
        <w:ind w:left="1324" w:right="0" w:hanging="1152"/>
        <w:jc w:val="left"/>
      </w:pPr>
      <w:r>
        <w:rPr/>
        <w:t>2</w:t>
        <w:tab/>
      </w:r>
      <w:r>
        <w:rPr>
          <w:spacing w:val="17"/>
        </w:rPr>
        <w:t>DOCUMENTATION</w:t>
      </w:r>
    </w:p>
    <w:p>
      <w:pPr>
        <w:pStyle w:val="BodyText"/>
        <w:spacing w:before="210"/>
        <w:ind w:left="172" w:right="1597"/>
      </w:pPr>
      <w:r>
        <w:rPr/>
        <w:t>Documentation requirements under the Kyoto Protocol are outlined in the Marrakesh Accords as part of the description of the requirements for inventory</w:t>
      </w:r>
      <w:r>
        <w:rPr>
          <w:spacing w:val="-5"/>
        </w:rPr>
        <w:t> </w:t>
      </w:r>
      <w:r>
        <w:rPr/>
        <w:t>management.</w:t>
      </w:r>
      <w:r>
        <w:rPr>
          <w:vertAlign w:val="superscript"/>
        </w:rPr>
        <w:t>42</w:t>
      </w:r>
    </w:p>
    <w:p>
      <w:pPr>
        <w:pStyle w:val="BodyText"/>
        <w:spacing w:before="118"/>
        <w:ind w:left="172" w:right="1397"/>
        <w:jc w:val="both"/>
      </w:pPr>
      <w:r>
        <w:rPr/>
        <w:t>It is </w:t>
      </w:r>
      <w:r>
        <w:rPr>
          <w:i/>
        </w:rPr>
        <w:t>good practice </w:t>
      </w:r>
      <w:r>
        <w:rPr/>
        <w:t>to document and archive all information, i.e., the underlying data and description of, or reference to, methods, assumptions and parameters used, which are used to produce estimates of emissions by sources and removals by sinks of greenhouse gases that would allow independent reviewers to follow the process of developing the reported estimates. Documented data and explanation of methods should be provided for both steps: the identification of land and the assessment of carbon stock changes and the emissions of non-CO</w:t>
      </w:r>
      <w:r>
        <w:rPr>
          <w:vertAlign w:val="subscript"/>
        </w:rPr>
        <w:t>2</w:t>
      </w:r>
      <w:r>
        <w:rPr>
          <w:vertAlign w:val="baseline"/>
        </w:rPr>
        <w:t> greenhouse gases.</w:t>
      </w:r>
    </w:p>
    <w:p>
      <w:pPr>
        <w:pStyle w:val="BodyText"/>
        <w:spacing w:before="120"/>
        <w:ind w:left="172" w:right="1400"/>
        <w:jc w:val="both"/>
      </w:pPr>
      <w:r>
        <w:rPr/>
        <w:t>Documentation should also include information about uncertainty assessment (see also Section 4.2.4.2 Uncertainty Assessment), QA/QC procedures, external and internal reviews, verification activities and key category identification (see Chapter 5, Cross-cutting Issues).</w:t>
      </w:r>
    </w:p>
    <w:p>
      <w:pPr>
        <w:pStyle w:val="BodyText"/>
        <w:spacing w:before="3"/>
        <w:rPr>
          <w:sz w:val="21"/>
        </w:rPr>
      </w:pPr>
    </w:p>
    <w:p>
      <w:pPr>
        <w:pStyle w:val="Heading6"/>
        <w:ind w:left="172"/>
      </w:pPr>
      <w:r>
        <w:rPr/>
        <w:t>Activities definition and identification </w:t>
      </w:r>
    </w:p>
    <w:p>
      <w:pPr>
        <w:pStyle w:val="BodyText"/>
        <w:spacing w:before="114"/>
        <w:ind w:left="172" w:right="1398"/>
        <w:jc w:val="both"/>
      </w:pPr>
      <w:r>
        <w:rPr/>
        <w:t>It is </w:t>
      </w:r>
      <w:r>
        <w:rPr>
          <w:i/>
        </w:rPr>
        <w:t>good practice </w:t>
      </w:r>
      <w:r>
        <w:rPr/>
        <w:t>to explain how the Marrakesh Accords definitions of the elected Article 3.4 activities have been interpreted according to national circumstances. For instance, if only a part of the managed forests reported in the UNFCCC greenhouse gas inventory is included under forest management in the Kyoto reporting, the criteria that are used to distinguish forests under “forest management” from “managed forests” should be provided. Differences between croplands (or grasslands) in the UNFCCC greenhouse gas inventory and lands undergoing cropland management (or grazing land management) under the Kyoto reporting should also be documented.</w:t>
      </w:r>
    </w:p>
    <w:p>
      <w:pPr>
        <w:pStyle w:val="BodyText"/>
        <w:spacing w:before="4"/>
        <w:rPr>
          <w:sz w:val="21"/>
        </w:rPr>
      </w:pPr>
    </w:p>
    <w:p>
      <w:pPr>
        <w:pStyle w:val="Heading6"/>
        <w:ind w:left="172"/>
      </w:pPr>
      <w:r>
        <w:rPr/>
        <w:t>Data documentation</w:t>
      </w:r>
    </w:p>
    <w:p>
      <w:pPr>
        <w:pStyle w:val="BodyText"/>
        <w:spacing w:before="114"/>
        <w:ind w:left="172" w:right="1401"/>
        <w:jc w:val="both"/>
      </w:pPr>
      <w:r>
        <w:rPr/>
        <w:t>In particular when using Reporting Method 1, the areas encompassed by the geographical boundaries resulting from the stratification of a country, should be identified by unique serial numbers in the tables. These serial numbers are to be cross-referenced to a database or other archive (the LULUCF Archive) specifying the locations in terms of established legal or administrative boundaries, or by means of an existing coordinate system, for example an established national grid system, the UTM (Universal Transverse Mercator) grid or latitude and longitude.</w:t>
      </w:r>
    </w:p>
    <w:p>
      <w:pPr>
        <w:pStyle w:val="BodyText"/>
        <w:spacing w:before="120"/>
        <w:ind w:left="172"/>
      </w:pPr>
      <w:r>
        <w:rPr/>
        <w:t>The documentation of estimates of greenhouse gas emissions and removals must include:</w:t>
      </w:r>
    </w:p>
    <w:p>
      <w:pPr>
        <w:pStyle w:val="ListParagraph"/>
        <w:numPr>
          <w:ilvl w:val="0"/>
          <w:numId w:val="117"/>
        </w:numPr>
        <w:tabs>
          <w:tab w:pos="531" w:val="left" w:leader="none"/>
          <w:tab w:pos="532" w:val="left" w:leader="none"/>
        </w:tabs>
        <w:spacing w:line="223" w:lineRule="auto" w:before="144" w:after="0"/>
        <w:ind w:left="534" w:right="1398" w:hanging="362"/>
        <w:jc w:val="left"/>
        <w:rPr>
          <w:sz w:val="20"/>
        </w:rPr>
      </w:pPr>
      <w:r>
        <w:rPr>
          <w:sz w:val="20"/>
        </w:rPr>
        <w:t>The sources of all data used in the calculations (i.e., complete citations for the statistical database(s) from which data were</w:t>
      </w:r>
      <w:r>
        <w:rPr>
          <w:spacing w:val="1"/>
          <w:sz w:val="20"/>
        </w:rPr>
        <w:t> </w:t>
      </w:r>
      <w:r>
        <w:rPr>
          <w:sz w:val="20"/>
        </w:rPr>
        <w:t>collected);</w:t>
      </w:r>
    </w:p>
    <w:p>
      <w:pPr>
        <w:pStyle w:val="ListParagraph"/>
        <w:numPr>
          <w:ilvl w:val="0"/>
          <w:numId w:val="117"/>
        </w:numPr>
        <w:tabs>
          <w:tab w:pos="532" w:val="left" w:leader="none"/>
        </w:tabs>
        <w:spacing w:line="230" w:lineRule="auto" w:before="146" w:after="0"/>
        <w:ind w:left="534" w:right="1400" w:hanging="362"/>
        <w:jc w:val="both"/>
        <w:rPr>
          <w:sz w:val="20"/>
        </w:rPr>
      </w:pPr>
      <w:r>
        <w:rPr>
          <w:sz w:val="20"/>
        </w:rPr>
        <w:t>The information, rationale and assumptions that were used to develop reported data and results, in cases they were not directly available from databases (for instance if interpolation or extrapolation methods have been applied);</w:t>
      </w:r>
    </w:p>
    <w:p>
      <w:pPr>
        <w:pStyle w:val="ListParagraph"/>
        <w:numPr>
          <w:ilvl w:val="0"/>
          <w:numId w:val="117"/>
        </w:numPr>
        <w:tabs>
          <w:tab w:pos="531" w:val="left" w:leader="none"/>
          <w:tab w:pos="532" w:val="left" w:leader="none"/>
        </w:tabs>
        <w:spacing w:line="240" w:lineRule="auto" w:before="137" w:after="0"/>
        <w:ind w:left="531" w:right="0" w:hanging="360"/>
        <w:jc w:val="left"/>
        <w:rPr>
          <w:sz w:val="20"/>
        </w:rPr>
      </w:pPr>
      <w:r>
        <w:rPr>
          <w:sz w:val="20"/>
        </w:rPr>
        <w:t>The frequency of data collection;</w:t>
      </w:r>
      <w:r>
        <w:rPr>
          <w:spacing w:val="-7"/>
          <w:sz w:val="20"/>
        </w:rPr>
        <w:t> </w:t>
      </w:r>
      <w:r>
        <w:rPr>
          <w:sz w:val="20"/>
        </w:rPr>
        <w:t>and</w:t>
      </w:r>
    </w:p>
    <w:p>
      <w:pPr>
        <w:pStyle w:val="ListParagraph"/>
        <w:numPr>
          <w:ilvl w:val="0"/>
          <w:numId w:val="117"/>
        </w:numPr>
        <w:tabs>
          <w:tab w:pos="531" w:val="left" w:leader="none"/>
          <w:tab w:pos="532" w:val="left" w:leader="none"/>
        </w:tabs>
        <w:spacing w:line="223" w:lineRule="auto" w:before="131" w:after="0"/>
        <w:ind w:left="534" w:right="1402" w:hanging="363"/>
        <w:jc w:val="left"/>
        <w:rPr>
          <w:sz w:val="20"/>
        </w:rPr>
      </w:pPr>
      <w:r>
        <w:rPr>
          <w:sz w:val="20"/>
        </w:rPr>
        <w:t>Estimates of the associated uncertainties together with a description of the major sources of  the uncertainties.</w:t>
      </w:r>
    </w:p>
    <w:p>
      <w:pPr>
        <w:pStyle w:val="BodyText"/>
        <w:spacing w:before="6"/>
        <w:rPr>
          <w:sz w:val="21"/>
        </w:rPr>
      </w:pPr>
    </w:p>
    <w:p>
      <w:pPr>
        <w:pStyle w:val="Heading6"/>
        <w:ind w:left="172" w:right="1597"/>
      </w:pPr>
      <w:r>
        <w:rPr/>
        <w:t>Description of the methods used in land identification and estimation of emissions and removals</w:t>
      </w:r>
    </w:p>
    <w:p>
      <w:pPr>
        <w:pStyle w:val="BodyText"/>
        <w:spacing w:before="115"/>
        <w:ind w:left="172"/>
      </w:pPr>
      <w:r>
        <w:rPr/>
        <w:t>The methods should be documented with the following information:</w:t>
      </w:r>
    </w:p>
    <w:p>
      <w:pPr>
        <w:pStyle w:val="ListParagraph"/>
        <w:numPr>
          <w:ilvl w:val="0"/>
          <w:numId w:val="117"/>
        </w:numPr>
        <w:tabs>
          <w:tab w:pos="531" w:val="left" w:leader="none"/>
          <w:tab w:pos="532" w:val="left" w:leader="none"/>
        </w:tabs>
        <w:spacing w:line="223" w:lineRule="auto" w:before="147" w:after="0"/>
        <w:ind w:left="534" w:right="1399" w:hanging="362"/>
        <w:jc w:val="left"/>
        <w:rPr>
          <w:sz w:val="20"/>
        </w:rPr>
      </w:pPr>
      <w:r>
        <w:rPr>
          <w:sz w:val="20"/>
        </w:rPr>
        <w:t>Choice of reporting methods for lands subject to Articles 3.3 and 3.4 (Reporting Method 1, 2) or a description of the reporting method, if a combination of the two is</w:t>
      </w:r>
      <w:r>
        <w:rPr>
          <w:spacing w:val="-5"/>
          <w:sz w:val="20"/>
        </w:rPr>
        <w:t> </w:t>
      </w:r>
      <w:r>
        <w:rPr>
          <w:sz w:val="20"/>
        </w:rPr>
        <w:t>used;</w:t>
      </w:r>
    </w:p>
    <w:p>
      <w:pPr>
        <w:pStyle w:val="ListParagraph"/>
        <w:numPr>
          <w:ilvl w:val="0"/>
          <w:numId w:val="117"/>
        </w:numPr>
        <w:tabs>
          <w:tab w:pos="531" w:val="left" w:leader="none"/>
          <w:tab w:pos="532" w:val="left" w:leader="none"/>
        </w:tabs>
        <w:spacing w:line="223" w:lineRule="auto" w:before="148" w:after="0"/>
        <w:ind w:left="534" w:right="1403" w:hanging="362"/>
        <w:jc w:val="left"/>
        <w:rPr>
          <w:sz w:val="20"/>
        </w:rPr>
      </w:pPr>
      <w:r>
        <w:rPr>
          <w:sz w:val="20"/>
        </w:rPr>
        <w:t>Description of the approach used for geographical location and identification of the geographical boundaries, lands, and units of land; references of maps used, if</w:t>
      </w:r>
      <w:r>
        <w:rPr>
          <w:spacing w:val="-5"/>
          <w:sz w:val="20"/>
        </w:rPr>
        <w:t> </w:t>
      </w:r>
      <w:r>
        <w:rPr>
          <w:sz w:val="20"/>
        </w:rPr>
        <w:t>any;</w:t>
      </w:r>
    </w:p>
    <w:p>
      <w:pPr>
        <w:pStyle w:val="ListParagraph"/>
        <w:numPr>
          <w:ilvl w:val="0"/>
          <w:numId w:val="117"/>
        </w:numPr>
        <w:tabs>
          <w:tab w:pos="531" w:val="left" w:leader="none"/>
          <w:tab w:pos="532" w:val="left" w:leader="none"/>
        </w:tabs>
        <w:spacing w:line="240" w:lineRule="auto" w:before="139" w:after="0"/>
        <w:ind w:left="531" w:right="0" w:hanging="360"/>
        <w:jc w:val="left"/>
        <w:rPr>
          <w:sz w:val="20"/>
        </w:rPr>
      </w:pPr>
      <w:r>
        <w:rPr>
          <w:sz w:val="20"/>
        </w:rPr>
        <w:t>Choice of tier(s) used for estimating greenhouse gas emissions and</w:t>
      </w:r>
      <w:r>
        <w:rPr>
          <w:spacing w:val="-4"/>
          <w:sz w:val="20"/>
        </w:rPr>
        <w:t> </w:t>
      </w:r>
      <w:r>
        <w:rPr>
          <w:sz w:val="20"/>
        </w:rPr>
        <w:t>removals;</w:t>
      </w:r>
    </w:p>
    <w:p>
      <w:pPr>
        <w:pStyle w:val="ListParagraph"/>
        <w:numPr>
          <w:ilvl w:val="0"/>
          <w:numId w:val="117"/>
        </w:numPr>
        <w:tabs>
          <w:tab w:pos="531" w:val="left" w:leader="none"/>
          <w:tab w:pos="532" w:val="left" w:leader="none"/>
        </w:tabs>
        <w:spacing w:line="223" w:lineRule="auto" w:before="128" w:after="0"/>
        <w:ind w:left="534" w:right="1401" w:hanging="363"/>
        <w:jc w:val="left"/>
        <w:rPr>
          <w:sz w:val="20"/>
        </w:rPr>
      </w:pPr>
      <w:r>
        <w:rPr>
          <w:sz w:val="20"/>
        </w:rPr>
        <w:t>Methods used for estimating carbon stock changes, non-CO</w:t>
      </w:r>
      <w:r>
        <w:rPr>
          <w:sz w:val="20"/>
          <w:vertAlign w:val="subscript"/>
        </w:rPr>
        <w:t>2</w:t>
      </w:r>
      <w:r>
        <w:rPr>
          <w:sz w:val="20"/>
          <w:vertAlign w:val="baseline"/>
        </w:rPr>
        <w:t> greenhouse gas emissions and magnitudes of the corresponding uncertainties;</w:t>
      </w:r>
    </w:p>
    <w:p>
      <w:pPr>
        <w:pStyle w:val="BodyText"/>
        <w:spacing w:before="6"/>
        <w:rPr>
          <w:sz w:val="15"/>
        </w:rPr>
      </w:pPr>
      <w:r>
        <w:rPr/>
        <w:pict>
          <v:line style="position:absolute;mso-position-horizontal-relative:page;mso-position-vertical-relative:paragraph;z-index:19376;mso-wrap-distance-left:0;mso-wrap-distance-right:0" from="70.600998pt,11.143369pt" to="214.600998pt,11.143369pt" stroked="true" strokeweight=".48pt" strokecolor="#000000">
            <v:stroke dashstyle="solid"/>
            <w10:wrap type="topAndBottom"/>
          </v:line>
        </w:pict>
      </w:r>
    </w:p>
    <w:p>
      <w:pPr>
        <w:spacing w:before="150"/>
        <w:ind w:left="172" w:right="0" w:firstLine="0"/>
        <w:jc w:val="left"/>
        <w:rPr>
          <w:sz w:val="18"/>
        </w:rPr>
      </w:pPr>
      <w:r>
        <w:rPr>
          <w:position w:val="9"/>
          <w:sz w:val="13"/>
        </w:rPr>
        <w:t>42 </w:t>
      </w:r>
      <w:r>
        <w:rPr>
          <w:sz w:val="18"/>
        </w:rPr>
        <w:t>Paragraph 16 (a) in the Annex to the draft decision -/CMP.1 (Article 5.1), contained in FCCC/CP/2001/13/Add.3, p.9.</w:t>
      </w:r>
    </w:p>
    <w:p>
      <w:pPr>
        <w:spacing w:after="0"/>
        <w:jc w:val="left"/>
        <w:rPr>
          <w:sz w:val="18"/>
        </w:rPr>
        <w:sectPr>
          <w:headerReference w:type="even" r:id="rId321"/>
          <w:pgSz w:w="11900" w:h="16840"/>
          <w:pgMar w:header="0" w:footer="408" w:top="160" w:bottom="600" w:left="1240" w:right="0"/>
        </w:sectPr>
      </w:pPr>
    </w:p>
    <w:p>
      <w:pPr>
        <w:pStyle w:val="BodyText"/>
        <w:spacing w:before="5"/>
        <w:rPr>
          <w:sz w:val="29"/>
        </w:rPr>
      </w:pPr>
    </w:p>
    <w:p>
      <w:pPr>
        <w:pStyle w:val="ListParagraph"/>
        <w:numPr>
          <w:ilvl w:val="0"/>
          <w:numId w:val="117"/>
        </w:numPr>
        <w:tabs>
          <w:tab w:pos="531" w:val="left" w:leader="none"/>
          <w:tab w:pos="532" w:val="left" w:leader="none"/>
        </w:tabs>
        <w:spacing w:line="240" w:lineRule="auto" w:before="115" w:after="0"/>
        <w:ind w:left="532" w:right="0" w:hanging="360"/>
        <w:jc w:val="left"/>
        <w:rPr>
          <w:sz w:val="20"/>
        </w:rPr>
      </w:pPr>
      <w:r>
        <w:rPr>
          <w:sz w:val="20"/>
        </w:rPr>
        <w:t>Choice of activity</w:t>
      </w:r>
      <w:r>
        <w:rPr>
          <w:spacing w:val="-7"/>
          <w:sz w:val="20"/>
        </w:rPr>
        <w:t> </w:t>
      </w:r>
      <w:r>
        <w:rPr>
          <w:sz w:val="20"/>
        </w:rPr>
        <w:t>data;</w:t>
      </w:r>
    </w:p>
    <w:p>
      <w:pPr>
        <w:pStyle w:val="ListParagraph"/>
        <w:numPr>
          <w:ilvl w:val="0"/>
          <w:numId w:val="117"/>
        </w:numPr>
        <w:tabs>
          <w:tab w:pos="531" w:val="left" w:leader="none"/>
          <w:tab w:pos="532" w:val="left" w:leader="none"/>
        </w:tabs>
        <w:spacing w:line="240" w:lineRule="auto" w:before="118" w:after="0"/>
        <w:ind w:left="532" w:right="0" w:hanging="360"/>
        <w:jc w:val="left"/>
        <w:rPr>
          <w:sz w:val="20"/>
        </w:rPr>
      </w:pPr>
      <w:r>
        <w:rPr>
          <w:sz w:val="20"/>
        </w:rPr>
        <w:t>If Tier 1 is used: all values of default parameters and emission/removal factors</w:t>
      </w:r>
      <w:r>
        <w:rPr>
          <w:spacing w:val="-4"/>
          <w:sz w:val="20"/>
        </w:rPr>
        <w:t> </w:t>
      </w:r>
      <w:r>
        <w:rPr>
          <w:sz w:val="20"/>
        </w:rPr>
        <w:t>used;</w:t>
      </w:r>
    </w:p>
    <w:p>
      <w:pPr>
        <w:pStyle w:val="ListParagraph"/>
        <w:numPr>
          <w:ilvl w:val="0"/>
          <w:numId w:val="117"/>
        </w:numPr>
        <w:tabs>
          <w:tab w:pos="531" w:val="left" w:leader="none"/>
          <w:tab w:pos="532" w:val="left" w:leader="none"/>
        </w:tabs>
        <w:spacing w:line="223" w:lineRule="auto" w:before="131" w:after="0"/>
        <w:ind w:left="534" w:right="1401" w:hanging="362"/>
        <w:jc w:val="left"/>
        <w:rPr>
          <w:sz w:val="20"/>
        </w:rPr>
      </w:pPr>
      <w:r>
        <w:rPr>
          <w:sz w:val="20"/>
        </w:rPr>
        <w:t>If Tier 2 is used: all values and references of default and national parameters and emission/removal factors used;</w:t>
      </w:r>
    </w:p>
    <w:p>
      <w:pPr>
        <w:pStyle w:val="ListParagraph"/>
        <w:numPr>
          <w:ilvl w:val="0"/>
          <w:numId w:val="117"/>
        </w:numPr>
        <w:tabs>
          <w:tab w:pos="531" w:val="left" w:leader="none"/>
          <w:tab w:pos="532" w:val="left" w:leader="none"/>
        </w:tabs>
        <w:spacing w:line="223" w:lineRule="auto" w:before="148" w:after="0"/>
        <w:ind w:left="534" w:right="1403" w:hanging="362"/>
        <w:jc w:val="left"/>
        <w:rPr>
          <w:sz w:val="20"/>
        </w:rPr>
      </w:pPr>
      <w:r>
        <w:rPr>
          <w:sz w:val="20"/>
        </w:rPr>
        <w:t>If Tier 3 is used: description of, or references to, the scientific basis for the models used, description of the process by which carbon stock changes and emissions or removals are</w:t>
      </w:r>
      <w:r>
        <w:rPr>
          <w:spacing w:val="-11"/>
          <w:sz w:val="20"/>
        </w:rPr>
        <w:t> </w:t>
      </w:r>
      <w:r>
        <w:rPr>
          <w:sz w:val="20"/>
        </w:rPr>
        <w:t>estimated;</w:t>
      </w:r>
    </w:p>
    <w:p>
      <w:pPr>
        <w:pStyle w:val="ListParagraph"/>
        <w:numPr>
          <w:ilvl w:val="0"/>
          <w:numId w:val="117"/>
        </w:numPr>
        <w:tabs>
          <w:tab w:pos="531" w:val="left" w:leader="none"/>
          <w:tab w:pos="532" w:val="left" w:leader="none"/>
        </w:tabs>
        <w:spacing w:line="240" w:lineRule="auto" w:before="139" w:after="0"/>
        <w:ind w:left="531" w:right="0" w:hanging="360"/>
        <w:jc w:val="left"/>
        <w:rPr>
          <w:sz w:val="20"/>
        </w:rPr>
      </w:pPr>
      <w:r>
        <w:rPr>
          <w:sz w:val="20"/>
        </w:rPr>
        <w:t>In case of Tier 2 or 3 the documentation should justify the use of specific parameters, factors or</w:t>
      </w:r>
      <w:r>
        <w:rPr>
          <w:spacing w:val="-14"/>
          <w:sz w:val="20"/>
        </w:rPr>
        <w:t> </w:t>
      </w:r>
      <w:r>
        <w:rPr>
          <w:sz w:val="20"/>
        </w:rPr>
        <w:t>models;</w:t>
      </w:r>
    </w:p>
    <w:p>
      <w:pPr>
        <w:pStyle w:val="ListParagraph"/>
        <w:numPr>
          <w:ilvl w:val="0"/>
          <w:numId w:val="117"/>
        </w:numPr>
        <w:tabs>
          <w:tab w:pos="531" w:val="left" w:leader="none"/>
          <w:tab w:pos="532" w:val="left" w:leader="none"/>
        </w:tabs>
        <w:spacing w:line="223" w:lineRule="auto" w:before="130" w:after="0"/>
        <w:ind w:left="534" w:right="1402" w:hanging="363"/>
        <w:jc w:val="left"/>
        <w:rPr>
          <w:sz w:val="20"/>
        </w:rPr>
      </w:pPr>
      <w:r>
        <w:rPr>
          <w:sz w:val="20"/>
        </w:rPr>
        <w:t>Transparent and verifiable information that demonstrates that the pools not included in the reporting are not sources.</w:t>
      </w:r>
    </w:p>
    <w:p>
      <w:pPr>
        <w:pStyle w:val="BodyText"/>
        <w:spacing w:before="6"/>
        <w:rPr>
          <w:sz w:val="21"/>
        </w:rPr>
      </w:pPr>
    </w:p>
    <w:p>
      <w:pPr>
        <w:pStyle w:val="Heading6"/>
        <w:ind w:left="172"/>
      </w:pPr>
      <w:r>
        <w:rPr>
          <w:spacing w:val="16"/>
        </w:rPr>
        <w:t>Analysis </w:t>
      </w:r>
      <w:r>
        <w:rPr>
          <w:spacing w:val="9"/>
        </w:rPr>
        <w:t>of </w:t>
      </w:r>
      <w:r>
        <w:rPr/>
        <w:t>f </w:t>
      </w:r>
      <w:r>
        <w:rPr>
          <w:spacing w:val="19"/>
        </w:rPr>
        <w:t>luctuations</w:t>
      </w:r>
    </w:p>
    <w:p>
      <w:pPr>
        <w:pStyle w:val="BodyText"/>
        <w:spacing w:before="114"/>
        <w:ind w:left="172" w:right="1400"/>
        <w:jc w:val="both"/>
      </w:pPr>
      <w:r>
        <w:rPr/>
        <w:t>It is </w:t>
      </w:r>
      <w:r>
        <w:rPr>
          <w:i/>
        </w:rPr>
        <w:t>good practice </w:t>
      </w:r>
      <w:r>
        <w:rPr/>
        <w:t>to explain significant fluctuations in reported emissions or removals between years. The reasons for any changes in activity levels and in parameter values from year to year should be documented. If the reason for the changes is an improvement in methods, it is </w:t>
      </w:r>
      <w:r>
        <w:rPr>
          <w:i/>
        </w:rPr>
        <w:t>good practice </w:t>
      </w:r>
      <w:r>
        <w:rPr/>
        <w:t>to recalculate results for the preceding years by using the new methods, new activity and/or new parameter values (see Chapter 5, Section 5.6 Time series consistency and recalculations).</w:t>
      </w:r>
    </w:p>
    <w:p>
      <w:pPr>
        <w:pStyle w:val="BodyText"/>
        <w:rPr>
          <w:sz w:val="22"/>
        </w:rPr>
      </w:pPr>
    </w:p>
    <w:p>
      <w:pPr>
        <w:pStyle w:val="Heading6"/>
        <w:numPr>
          <w:ilvl w:val="3"/>
          <w:numId w:val="142"/>
        </w:numPr>
        <w:tabs>
          <w:tab w:pos="1611" w:val="left" w:leader="none"/>
          <w:tab w:pos="1613" w:val="left" w:leader="none"/>
        </w:tabs>
        <w:spacing w:line="240" w:lineRule="auto" w:before="147" w:after="0"/>
        <w:ind w:left="1612" w:right="0" w:hanging="1440"/>
        <w:jc w:val="left"/>
      </w:pPr>
      <w:r>
        <w:rPr>
          <w:spacing w:val="16"/>
          <w:sz w:val="28"/>
        </w:rPr>
        <w:t>Q</w:t>
      </w:r>
      <w:r>
        <w:rPr>
          <w:spacing w:val="16"/>
        </w:rPr>
        <w:t>UALITY </w:t>
      </w:r>
      <w:r>
        <w:rPr>
          <w:spacing w:val="17"/>
        </w:rPr>
        <w:t>ASSURANCE </w:t>
      </w:r>
      <w:r>
        <w:rPr>
          <w:spacing w:val="12"/>
        </w:rPr>
        <w:t>AND </w:t>
      </w:r>
      <w:r>
        <w:rPr>
          <w:spacing w:val="16"/>
        </w:rPr>
        <w:t>QUALITY</w:t>
      </w:r>
      <w:r>
        <w:rPr>
          <w:spacing w:val="-24"/>
        </w:rPr>
        <w:t> </w:t>
      </w:r>
      <w:r>
        <w:rPr>
          <w:spacing w:val="16"/>
        </w:rPr>
        <w:t>CONTROL</w:t>
      </w:r>
    </w:p>
    <w:p>
      <w:pPr>
        <w:pStyle w:val="BodyText"/>
        <w:spacing w:before="209"/>
        <w:ind w:left="172" w:right="1402"/>
        <w:jc w:val="both"/>
      </w:pPr>
      <w:r>
        <w:rPr/>
        <w:t>It is </w:t>
      </w:r>
      <w:r>
        <w:rPr>
          <w:i/>
        </w:rPr>
        <w:t>good practice </w:t>
      </w:r>
      <w:r>
        <w:rPr/>
        <w:t>to implement quality control checks as outlined in Chapter 5, Section 5.5 (Quality Assurance and Quality Control) on category-specific QC Procedures, and expert review of the emission estimates. Additional quality control checks as outlined in Tier 2 procedures in Section 5.5 and quality assurance procedures may also be applicable, particularly if higher-tier methods are used to estimate carbon stock changes and non-CO</w:t>
      </w:r>
      <w:r>
        <w:rPr>
          <w:vertAlign w:val="subscript"/>
        </w:rPr>
        <w:t>2</w:t>
      </w:r>
      <w:r>
        <w:rPr>
          <w:vertAlign w:val="baseline"/>
        </w:rPr>
        <w:t> greenhouse gas emissions. A detailed treatment of inventory QA/QC for field measurement is described in Appendix 4A.3 of the</w:t>
      </w:r>
      <w:r>
        <w:rPr>
          <w:spacing w:val="-2"/>
          <w:vertAlign w:val="baseline"/>
        </w:rPr>
        <w:t> </w:t>
      </w:r>
      <w:r>
        <w:rPr>
          <w:i/>
          <w:vertAlign w:val="baseline"/>
        </w:rPr>
        <w:t>GPG2000</w:t>
      </w:r>
      <w:r>
        <w:rPr>
          <w:vertAlign w:val="baseline"/>
        </w:rPr>
        <w:t>.</w:t>
      </w:r>
    </w:p>
    <w:p>
      <w:pPr>
        <w:pStyle w:val="BodyText"/>
        <w:spacing w:before="120"/>
        <w:ind w:left="172"/>
      </w:pPr>
      <w:r>
        <w:rPr/>
        <w:t>Some important issues are highlighted and summarised below.</w:t>
      </w:r>
    </w:p>
    <w:p>
      <w:pPr>
        <w:pStyle w:val="BodyText"/>
        <w:spacing w:before="121"/>
        <w:ind w:left="171" w:right="1399"/>
        <w:jc w:val="both"/>
      </w:pPr>
      <w:r>
        <w:rPr/>
        <w:t>When compiling data, it is </w:t>
      </w:r>
      <w:r>
        <w:rPr>
          <w:i/>
        </w:rPr>
        <w:t>good practice </w:t>
      </w:r>
      <w:r>
        <w:rPr/>
        <w:t>to cross-check estimates of emissions and removals of greenhouse gases against independent estimates. The inventory agency should ensure that estimates undergo quality control by:</w:t>
      </w:r>
    </w:p>
    <w:p>
      <w:pPr>
        <w:pStyle w:val="ListParagraph"/>
        <w:numPr>
          <w:ilvl w:val="0"/>
          <w:numId w:val="117"/>
        </w:numPr>
        <w:tabs>
          <w:tab w:pos="531" w:val="left" w:leader="none"/>
          <w:tab w:pos="532" w:val="left" w:leader="none"/>
        </w:tabs>
        <w:spacing w:line="223" w:lineRule="auto" w:before="145" w:after="0"/>
        <w:ind w:left="534" w:right="1401" w:hanging="363"/>
        <w:jc w:val="left"/>
        <w:rPr>
          <w:sz w:val="20"/>
        </w:rPr>
      </w:pPr>
      <w:r>
        <w:rPr>
          <w:sz w:val="20"/>
        </w:rPr>
        <w:t>Cross-referencing aggregated production data (e.g., crop yield, tree growth) and reported area statistics with national totals or other sources of national data (e.g., agriculture / forestry</w:t>
      </w:r>
      <w:r>
        <w:rPr>
          <w:spacing w:val="-7"/>
          <w:sz w:val="20"/>
        </w:rPr>
        <w:t> </w:t>
      </w:r>
      <w:r>
        <w:rPr>
          <w:sz w:val="20"/>
        </w:rPr>
        <w:t>statistics);</w:t>
      </w:r>
    </w:p>
    <w:p>
      <w:pPr>
        <w:pStyle w:val="ListParagraph"/>
        <w:numPr>
          <w:ilvl w:val="0"/>
          <w:numId w:val="117"/>
        </w:numPr>
        <w:tabs>
          <w:tab w:pos="531" w:val="left" w:leader="none"/>
          <w:tab w:pos="532" w:val="left" w:leader="none"/>
        </w:tabs>
        <w:spacing w:line="240" w:lineRule="auto" w:before="136" w:after="0"/>
        <w:ind w:left="531" w:right="0" w:hanging="360"/>
        <w:jc w:val="left"/>
        <w:rPr>
          <w:sz w:val="20"/>
        </w:rPr>
      </w:pPr>
      <w:r>
        <w:rPr>
          <w:sz w:val="20"/>
        </w:rPr>
        <w:t>Back-calculating national emission/removal factors from aggregated emissions and other</w:t>
      </w:r>
      <w:r>
        <w:rPr>
          <w:spacing w:val="-8"/>
          <w:sz w:val="20"/>
        </w:rPr>
        <w:t> </w:t>
      </w:r>
      <w:r>
        <w:rPr>
          <w:sz w:val="20"/>
        </w:rPr>
        <w:t>data;</w:t>
      </w:r>
    </w:p>
    <w:p>
      <w:pPr>
        <w:pStyle w:val="ListParagraph"/>
        <w:numPr>
          <w:ilvl w:val="0"/>
          <w:numId w:val="117"/>
        </w:numPr>
        <w:tabs>
          <w:tab w:pos="531" w:val="left" w:leader="none"/>
          <w:tab w:pos="532" w:val="left" w:leader="none"/>
        </w:tabs>
        <w:spacing w:line="240" w:lineRule="auto" w:before="119" w:after="0"/>
        <w:ind w:left="531" w:right="0" w:hanging="360"/>
        <w:jc w:val="left"/>
        <w:rPr>
          <w:sz w:val="20"/>
        </w:rPr>
      </w:pPr>
      <w:r>
        <w:rPr>
          <w:sz w:val="20"/>
        </w:rPr>
        <w:t>Comparing reported national totals with default values and data from other</w:t>
      </w:r>
      <w:r>
        <w:rPr>
          <w:spacing w:val="-6"/>
          <w:sz w:val="20"/>
        </w:rPr>
        <w:t> </w:t>
      </w:r>
      <w:r>
        <w:rPr>
          <w:sz w:val="20"/>
        </w:rPr>
        <w:t>countries.</w:t>
      </w:r>
    </w:p>
    <w:p>
      <w:pPr>
        <w:pStyle w:val="BodyText"/>
        <w:spacing w:before="104"/>
        <w:ind w:left="171" w:right="1400"/>
        <w:jc w:val="both"/>
      </w:pPr>
      <w:r>
        <w:rPr/>
        <w:t>It is also </w:t>
      </w:r>
      <w:r>
        <w:rPr>
          <w:i/>
        </w:rPr>
        <w:t>good practice </w:t>
      </w:r>
      <w:r>
        <w:rPr/>
        <w:t>to verify that the sum of the disaggregated areas used to estimate the various emissions/removals equals the total area under the activity, reported as per guidance in Chapters 2 and 3 (using the LU/LUC matrix).</w:t>
      </w:r>
    </w:p>
    <w:p>
      <w:pPr>
        <w:pStyle w:val="BodyText"/>
        <w:rPr>
          <w:sz w:val="22"/>
        </w:rPr>
      </w:pPr>
    </w:p>
    <w:p>
      <w:pPr>
        <w:pStyle w:val="Heading6"/>
        <w:numPr>
          <w:ilvl w:val="3"/>
          <w:numId w:val="142"/>
        </w:numPr>
        <w:tabs>
          <w:tab w:pos="1611" w:val="left" w:leader="none"/>
          <w:tab w:pos="1613" w:val="left" w:leader="none"/>
        </w:tabs>
        <w:spacing w:line="240" w:lineRule="auto" w:before="146" w:after="0"/>
        <w:ind w:left="1612" w:right="0" w:hanging="1440"/>
        <w:jc w:val="left"/>
      </w:pPr>
      <w:r>
        <w:rPr>
          <w:spacing w:val="17"/>
          <w:sz w:val="28"/>
        </w:rPr>
        <w:t>V</w:t>
      </w:r>
      <w:r>
        <w:rPr>
          <w:spacing w:val="17"/>
        </w:rPr>
        <w:t>ERIFICATION</w:t>
      </w:r>
    </w:p>
    <w:p>
      <w:pPr>
        <w:spacing w:before="209"/>
        <w:ind w:left="172" w:right="0" w:firstLine="0"/>
        <w:jc w:val="left"/>
        <w:rPr>
          <w:sz w:val="20"/>
        </w:rPr>
      </w:pPr>
      <w:r>
        <w:rPr>
          <w:i/>
          <w:sz w:val="20"/>
        </w:rPr>
        <w:t>Good practice guidance </w:t>
      </w:r>
      <w:r>
        <w:rPr>
          <w:sz w:val="20"/>
        </w:rPr>
        <w:t>for verification is given in Chapter 5, Section 5.7 (Verification).</w:t>
      </w:r>
    </w:p>
    <w:p>
      <w:pPr>
        <w:spacing w:after="0"/>
        <w:jc w:val="left"/>
        <w:rPr>
          <w:sz w:val="20"/>
        </w:rPr>
        <w:sectPr>
          <w:headerReference w:type="even" r:id="rId322"/>
          <w:headerReference w:type="default" r:id="rId323"/>
          <w:footerReference w:type="even" r:id="rId324"/>
          <w:footerReference w:type="default" r:id="rId325"/>
          <w:pgSz w:w="11900" w:h="16840"/>
          <w:pgMar w:header="233" w:footer="423" w:top="560" w:bottom="620" w:left="1240" w:right="0"/>
          <w:pgNumType w:start="50"/>
        </w:sectPr>
      </w:pPr>
    </w:p>
    <w:p>
      <w:pPr>
        <w:pStyle w:val="BodyText"/>
      </w:pPr>
    </w:p>
    <w:p>
      <w:pPr>
        <w:pStyle w:val="BodyText"/>
      </w:pPr>
    </w:p>
    <w:p>
      <w:pPr>
        <w:pStyle w:val="Heading2"/>
        <w:spacing w:before="225"/>
        <w:ind w:left="179" w:firstLine="0"/>
        <w:jc w:val="both"/>
      </w:pPr>
      <w:r>
        <w:rPr/>
        <w:t>4.3 LULUCF PROJECTS</w:t>
      </w:r>
    </w:p>
    <w:p>
      <w:pPr>
        <w:pStyle w:val="BodyText"/>
        <w:spacing w:before="1"/>
        <w:rPr>
          <w:b/>
          <w:sz w:val="47"/>
        </w:rPr>
      </w:pPr>
    </w:p>
    <w:p>
      <w:pPr>
        <w:spacing w:before="0"/>
        <w:ind w:left="179" w:right="0" w:firstLine="0"/>
        <w:jc w:val="both"/>
        <w:rPr>
          <w:b/>
          <w:sz w:val="32"/>
        </w:rPr>
      </w:pPr>
      <w:r>
        <w:rPr>
          <w:b/>
          <w:sz w:val="32"/>
        </w:rPr>
        <w:t>4.3.1 Introduction</w:t>
      </w:r>
    </w:p>
    <w:p>
      <w:pPr>
        <w:pStyle w:val="BodyText"/>
        <w:spacing w:before="114"/>
        <w:ind w:left="179" w:right="1357"/>
        <w:jc w:val="both"/>
      </w:pPr>
      <w:r>
        <w:rPr/>
        <w:t>This section provides </w:t>
      </w:r>
      <w:r>
        <w:rPr>
          <w:i/>
        </w:rPr>
        <w:t>good practice guidance </w:t>
      </w:r>
      <w:r>
        <w:rPr/>
        <w:t>for defining project boundaries, measuring, monitoring, and estimating changes in carbon stocks and non-CO</w:t>
      </w:r>
      <w:r>
        <w:rPr>
          <w:vertAlign w:val="subscript"/>
        </w:rPr>
        <w:t>2</w:t>
      </w:r>
      <w:r>
        <w:rPr>
          <w:vertAlign w:val="baseline"/>
        </w:rPr>
        <w:t> greenhouse gases, implementing plans to measure and monitor, and developing quality assurance and quality control plans. The material is intended for use with projects under Article 6 (Joint Implementation)</w:t>
      </w:r>
      <w:r>
        <w:rPr>
          <w:vertAlign w:val="superscript"/>
        </w:rPr>
        <w:t>62</w:t>
      </w:r>
      <w:r>
        <w:rPr>
          <w:vertAlign w:val="baseline"/>
        </w:rPr>
        <w:t> and Article 12 (Clean Development Mechanism) of the Kyoto Protocol. It  does not address issues that are, at the time of writing, under the Subsidiary Body for Scientific and Technological Advice (SBSTA) of the United Nations Framework Convention on Climate Change (UNFCCC)</w:t>
      </w:r>
      <w:r>
        <w:rPr>
          <w:vertAlign w:val="superscript"/>
        </w:rPr>
        <w:t>63</w:t>
      </w:r>
      <w:r>
        <w:rPr>
          <w:vertAlign w:val="baseline"/>
        </w:rPr>
        <w:t>, in the context of Article 12 of the Kyoto</w:t>
      </w:r>
      <w:r>
        <w:rPr>
          <w:spacing w:val="-1"/>
          <w:vertAlign w:val="baseline"/>
        </w:rPr>
        <w:t> </w:t>
      </w:r>
      <w:r>
        <w:rPr>
          <w:vertAlign w:val="baseline"/>
        </w:rPr>
        <w:t>Protocol.</w:t>
      </w:r>
    </w:p>
    <w:p>
      <w:pPr>
        <w:pStyle w:val="BodyText"/>
        <w:spacing w:before="118"/>
        <w:ind w:left="179" w:right="1355"/>
        <w:jc w:val="both"/>
      </w:pPr>
      <w:r>
        <w:rPr/>
        <w:t>Guidance is provided for those elements for which standard methods exist and are applicable for  project activities under Articles 6 and 12. In addition, guidance and/or recommendations are given on how to define project boundaries and on aspects to be considered within a project’s baseline for activities under Article 6. However, other elements of Article 12 project activities, such as definitions for “project boundary” and “baseline”, depend on decisions scheduled to be made at the ninth session of the Conference of the Parties (COP). These are not included in this </w:t>
      </w:r>
      <w:r>
        <w:rPr>
          <w:i/>
        </w:rPr>
        <w:t>good practice guidance</w:t>
      </w:r>
      <w:r>
        <w:rPr/>
        <w:t>. In general the application of this </w:t>
      </w:r>
      <w:r>
        <w:rPr>
          <w:i/>
        </w:rPr>
        <w:t>good practice guidance </w:t>
      </w:r>
      <w:r>
        <w:rPr/>
        <w:t>in respect of Article 6 and Article 12 projects depends on the requirements of the relevant COP decisions, including notably those relevant to Article 6 and the decisions which, at the time of writing, are under  negotiation in respect of LULUCF projects under Article</w:t>
      </w:r>
      <w:r>
        <w:rPr>
          <w:spacing w:val="-2"/>
        </w:rPr>
        <w:t> </w:t>
      </w:r>
      <w:r>
        <w:rPr/>
        <w:t>12.</w:t>
      </w:r>
    </w:p>
    <w:p>
      <w:pPr>
        <w:pStyle w:val="BodyText"/>
        <w:spacing w:before="119"/>
        <w:ind w:left="179" w:right="1403"/>
        <w:jc w:val="both"/>
      </w:pPr>
      <w:r>
        <w:rPr/>
        <w:t>Section 4.1.1 provides an overview of the steps required by Annex I Parties to meet the requirements for reporting changes in carbon stocks and emissions and removals of greenhouse gases associated with Article 6 projects under the Kyoto Protocol. Emissions and/or removals resulting from Article 6 projects are also part of an Annex I host country’s annual inventory, and Section 4.1.3 elaborates the relationship between the estimation and reporting of Article 3.3 and elected Article 3.4 activities on the one hand, and Article 6 project activities on the</w:t>
      </w:r>
      <w:r>
        <w:rPr>
          <w:spacing w:val="-1"/>
        </w:rPr>
        <w:t> </w:t>
      </w:r>
      <w:r>
        <w:rPr/>
        <w:t>other.</w:t>
      </w:r>
    </w:p>
    <w:p>
      <w:pPr>
        <w:pStyle w:val="BodyText"/>
        <w:spacing w:before="117"/>
        <w:ind w:left="179" w:right="1406"/>
        <w:jc w:val="both"/>
      </w:pPr>
      <w:r>
        <w:rPr/>
        <w:t>Reporting for project activities under Article 12 (comprising the validation, monitoring and verification reports) involves the project participants, their contracted designated operational entity, the Parties involved and the CDM Executive Board. The reports are also made publicly available upon transmission to the CDM Executive Board. The modalities and procedures for reporting under Article 12 are also, at the time of writing, being considered by the SBSTA. Hence, reporting requirements for Article 12 project activities are not included as part of this </w:t>
      </w:r>
      <w:r>
        <w:rPr>
          <w:i/>
        </w:rPr>
        <w:t>good practice</w:t>
      </w:r>
      <w:r>
        <w:rPr>
          <w:i/>
          <w:spacing w:val="-2"/>
        </w:rPr>
        <w:t> </w:t>
      </w:r>
      <w:r>
        <w:rPr>
          <w:i/>
        </w:rPr>
        <w:t>guidance</w:t>
      </w:r>
      <w:r>
        <w:rPr/>
        <w:t>.</w:t>
      </w:r>
    </w:p>
    <w:p>
      <w:pPr>
        <w:pStyle w:val="BodyText"/>
        <w:spacing w:before="120"/>
        <w:ind w:left="179" w:right="1404" w:hanging="1"/>
        <w:jc w:val="both"/>
      </w:pPr>
      <w:r>
        <w:rPr/>
        <w:t>Estimating and monitoring anthropogenic changes in carbon stocks and non-CO</w:t>
      </w:r>
      <w:r>
        <w:rPr>
          <w:vertAlign w:val="subscript"/>
        </w:rPr>
        <w:t>2</w:t>
      </w:r>
      <w:r>
        <w:rPr>
          <w:vertAlign w:val="baseline"/>
        </w:rPr>
        <w:t> greenhouse gas emissions and removals at the project level involve several challenges and specific circumstances, which may not be appropriately captured within </w:t>
      </w:r>
      <w:r>
        <w:rPr>
          <w:i/>
          <w:vertAlign w:val="baseline"/>
        </w:rPr>
        <w:t>good practice guidance </w:t>
      </w:r>
      <w:r>
        <w:rPr>
          <w:vertAlign w:val="baseline"/>
        </w:rPr>
        <w:t>developed for national inventories. It is therefore recommended to apply higher-tier methods, based on field measurements or field measurements in combination with models (e.g., allometric equations, simulation models). The recommended multiple methods, presented as a series of practical steps within a measuring, monitoring, and estimation plan, are detailed in Section 4.3.3 and its subsections. Options for standard sampling and field measurement techniques are described, along with the advantages and disadvantages of each. As clarified under Section 4.1.3, some areas with activities under Articles</w:t>
      </w:r>
    </w:p>
    <w:p>
      <w:pPr>
        <w:pStyle w:val="BodyText"/>
        <w:ind w:left="179" w:right="1405"/>
        <w:jc w:val="both"/>
      </w:pPr>
      <w:r>
        <w:rPr/>
        <w:t>3.3 and 3.4 can also be projects under Article 6. In such cases, it is </w:t>
      </w:r>
      <w:r>
        <w:rPr>
          <w:i/>
        </w:rPr>
        <w:t>good practice </w:t>
      </w:r>
      <w:r>
        <w:rPr/>
        <w:t>to use the same tier or a higher tier for estimating carbon stock changes and greenhouse gas emissions as was used for the same land in the UNFCCC inventory as specified in Chapter 3 of this report (refer to Section 4.2.3.4, Choice of method).</w:t>
      </w:r>
    </w:p>
    <w:p>
      <w:pPr>
        <w:pStyle w:val="BodyText"/>
      </w:pPr>
    </w:p>
    <w:p>
      <w:pPr>
        <w:pStyle w:val="BodyText"/>
      </w:pPr>
    </w:p>
    <w:p>
      <w:pPr>
        <w:pStyle w:val="BodyText"/>
      </w:pPr>
    </w:p>
    <w:p>
      <w:pPr>
        <w:pStyle w:val="BodyText"/>
      </w:pPr>
    </w:p>
    <w:p>
      <w:pPr>
        <w:pStyle w:val="BodyText"/>
      </w:pPr>
    </w:p>
    <w:p>
      <w:pPr>
        <w:pStyle w:val="BodyText"/>
        <w:spacing w:before="1"/>
      </w:pPr>
      <w:r>
        <w:rPr/>
        <w:pict>
          <v:line style="position:absolute;mso-position-horizontal-relative:page;mso-position-vertical-relative:paragraph;z-index:19400;mso-wrap-distance-left:0;mso-wrap-distance-right:0" from="70.960999pt,13.790341pt" to="214.960999pt,13.790341pt" stroked="true" strokeweight=".48pt" strokecolor="#000000">
            <v:stroke dashstyle="solid"/>
            <w10:wrap type="topAndBottom"/>
          </v:line>
        </w:pict>
      </w:r>
    </w:p>
    <w:p>
      <w:pPr>
        <w:spacing w:before="153"/>
        <w:ind w:left="337" w:right="1400" w:hanging="159"/>
        <w:jc w:val="both"/>
        <w:rPr>
          <w:sz w:val="18"/>
        </w:rPr>
      </w:pPr>
      <w:r>
        <w:rPr>
          <w:position w:val="8"/>
          <w:sz w:val="12"/>
        </w:rPr>
        <w:t>62 </w:t>
      </w:r>
      <w:r>
        <w:rPr>
          <w:sz w:val="18"/>
        </w:rPr>
        <w:t>Guidelines for the implementation of Article 6 of the Kyoto Protocol are found in the Annex to the Draft decision –/CMP.1 (Article 6), contained in document FCCC/CP/2001/13/Add.2, pp. 8-19.</w:t>
      </w:r>
    </w:p>
    <w:p>
      <w:pPr>
        <w:spacing w:before="95"/>
        <w:ind w:left="337" w:right="1401" w:hanging="159"/>
        <w:jc w:val="both"/>
        <w:rPr>
          <w:sz w:val="18"/>
        </w:rPr>
      </w:pPr>
      <w:r>
        <w:rPr>
          <w:position w:val="8"/>
          <w:sz w:val="12"/>
        </w:rPr>
        <w:t>63 </w:t>
      </w:r>
      <w:r>
        <w:rPr>
          <w:sz w:val="18"/>
        </w:rPr>
        <w:t>In Decision 17/CP.7, the SBSTA was requested to develop definitions and modalities for including afforestation and reforestation project activities under the CDM in the first commitment period, taking into account the issues of non- permanence, additionality, leakage, uncertainties, and socio-economic and environmental impacts, including impacts on biodiversity and natural ecosystems. A decision on these definitions and modalities will be adopted at the ninth session of the COP.</w:t>
      </w:r>
    </w:p>
    <w:p>
      <w:pPr>
        <w:spacing w:after="0"/>
        <w:jc w:val="both"/>
        <w:rPr>
          <w:sz w:val="18"/>
        </w:rPr>
        <w:sectPr>
          <w:pgSz w:w="11900" w:h="16840"/>
          <w:pgMar w:header="230" w:footer="408" w:top="560" w:bottom="600" w:left="1240" w:right="0"/>
        </w:sectPr>
      </w:pPr>
    </w:p>
    <w:p>
      <w:pPr>
        <w:pStyle w:val="BodyText"/>
      </w:pPr>
    </w:p>
    <w:p>
      <w:pPr>
        <w:pStyle w:val="BodyText"/>
        <w:rPr>
          <w:sz w:val="19"/>
        </w:rPr>
      </w:pPr>
    </w:p>
    <w:p>
      <w:pPr>
        <w:pStyle w:val="Heading6"/>
        <w:spacing w:before="89"/>
        <w:ind w:left="179"/>
        <w:jc w:val="both"/>
      </w:pPr>
      <w:r>
        <w:rPr>
          <w:sz w:val="28"/>
        </w:rPr>
        <w:t>4.3.1.1 D</w:t>
      </w:r>
      <w:r>
        <w:rPr/>
        <w:t>EFINITION OF </w:t>
      </w:r>
      <w:r>
        <w:rPr>
          <w:sz w:val="28"/>
        </w:rPr>
        <w:t>P</w:t>
      </w:r>
      <w:r>
        <w:rPr/>
        <w:t>ROJECTS AND RELEVANCE TO </w:t>
      </w:r>
      <w:r>
        <w:rPr>
          <w:sz w:val="28"/>
        </w:rPr>
        <w:t>A</w:t>
      </w:r>
      <w:r>
        <w:rPr/>
        <w:t>RTICLES</w:t>
      </w:r>
    </w:p>
    <w:p>
      <w:pPr>
        <w:spacing w:before="2"/>
        <w:ind w:left="1619" w:right="0" w:firstLine="0"/>
        <w:jc w:val="left"/>
        <w:rPr>
          <w:b/>
          <w:sz w:val="28"/>
        </w:rPr>
      </w:pPr>
      <w:r>
        <w:rPr>
          <w:b/>
          <w:sz w:val="28"/>
        </w:rPr>
        <w:t>6 </w:t>
      </w:r>
      <w:r>
        <w:rPr>
          <w:b/>
          <w:sz w:val="22"/>
        </w:rPr>
        <w:t>AND </w:t>
      </w:r>
      <w:r>
        <w:rPr>
          <w:b/>
          <w:sz w:val="28"/>
        </w:rPr>
        <w:t>12</w:t>
      </w:r>
    </w:p>
    <w:p>
      <w:pPr>
        <w:pStyle w:val="BodyText"/>
        <w:spacing w:before="211"/>
        <w:ind w:left="179" w:right="1406"/>
        <w:jc w:val="both"/>
      </w:pPr>
      <w:r>
        <w:rPr/>
        <w:t>A LULUCF project can be defined as a planned set of eligible activities within a specific geographic location that have the purpose of resulting in net greenhouse gas removals that are additional to those that would occur in the absence of the proposed project. A LULUCF project may be implemented by public or private entities, or a combination of the two, including private investors, private enterprises, local and national governments, other public institutions, and non-government organisations</w:t>
      </w:r>
      <w:r>
        <w:rPr>
          <w:spacing w:val="-2"/>
        </w:rPr>
        <w:t> </w:t>
      </w:r>
      <w:r>
        <w:rPr/>
        <w:t>(NGOs).</w:t>
      </w:r>
    </w:p>
    <w:p>
      <w:pPr>
        <w:pStyle w:val="BodyText"/>
        <w:spacing w:before="117"/>
        <w:ind w:left="179" w:right="1405"/>
        <w:jc w:val="both"/>
      </w:pPr>
      <w:r>
        <w:rPr/>
        <w:t>For the first commitment period, eligible activities under Article 6 may include afforestation and reforestation, forest management, grazing land management, cropland management, and revegetation. Under Article 12, eligible activities for the first commitment period are limited to afforestation and reforestation. Under either article, projects can comprise multiple activities. For example, under Article 6, a project could consist of a combination of changes in both grazing and forest land management; under Article 12, a project could consist of afforestation with timber species and multipurpose tree species.</w:t>
      </w:r>
    </w:p>
    <w:p>
      <w:pPr>
        <w:pStyle w:val="BodyText"/>
        <w:rPr>
          <w:sz w:val="22"/>
        </w:rPr>
      </w:pPr>
    </w:p>
    <w:p>
      <w:pPr>
        <w:pStyle w:val="BodyText"/>
        <w:spacing w:before="3"/>
      </w:pPr>
    </w:p>
    <w:p>
      <w:pPr>
        <w:pStyle w:val="Heading2"/>
        <w:numPr>
          <w:ilvl w:val="2"/>
          <w:numId w:val="143"/>
        </w:numPr>
        <w:tabs>
          <w:tab w:pos="1382" w:val="left" w:leader="none"/>
        </w:tabs>
        <w:spacing w:line="240" w:lineRule="auto" w:before="0" w:after="0"/>
        <w:ind w:left="1381" w:right="0" w:hanging="1202"/>
        <w:jc w:val="both"/>
      </w:pPr>
      <w:r>
        <w:rPr>
          <w:spacing w:val="8"/>
        </w:rPr>
        <w:t>Project</w:t>
      </w:r>
      <w:r>
        <w:rPr>
          <w:spacing w:val="18"/>
        </w:rPr>
        <w:t> </w:t>
      </w:r>
      <w:r>
        <w:rPr>
          <w:spacing w:val="9"/>
        </w:rPr>
        <w:t>Boundaries</w:t>
      </w:r>
    </w:p>
    <w:p>
      <w:pPr>
        <w:pStyle w:val="BodyText"/>
        <w:spacing w:before="114"/>
        <w:ind w:left="179" w:right="1402"/>
        <w:jc w:val="both"/>
      </w:pPr>
      <w:r>
        <w:rPr/>
        <w:t>The Marrakesh Accords specify that the project boundary for Article 6 shall “encompass all anthropogenic emissions by sources and/or removals by sinks of greenhouse gases under the control of the project participants that are significant and reasonably attributable to the Article 6 project”.</w:t>
      </w:r>
      <w:r>
        <w:rPr>
          <w:vertAlign w:val="superscript"/>
        </w:rPr>
        <w:t>64</w:t>
      </w:r>
      <w:r>
        <w:rPr>
          <w:vertAlign w:val="baseline"/>
        </w:rPr>
        <w:t> The definition for project boundary for LULUCF activities under Article 12 remains, at time of writing, under consideration by SBSTA. Therefore, it is </w:t>
      </w:r>
      <w:r>
        <w:rPr>
          <w:i/>
          <w:vertAlign w:val="baseline"/>
        </w:rPr>
        <w:t>good practice </w:t>
      </w:r>
      <w:r>
        <w:rPr>
          <w:vertAlign w:val="baseline"/>
        </w:rPr>
        <w:t>to identify all anthropogenic emissions by sources of greenhouse gases and removals by sinks arising from activities and practices associated with LULUCF projects. In a general sense, project boundaries  can be thought of in terms of geographical area, temporal limits (project duration), and in terms of the project activities and practices responsible for greenhouse gas emissions and removals that are significant and reasonably attributable to the project</w:t>
      </w:r>
      <w:r>
        <w:rPr>
          <w:spacing w:val="-1"/>
          <w:vertAlign w:val="baseline"/>
        </w:rPr>
        <w:t> </w:t>
      </w:r>
      <w:r>
        <w:rPr>
          <w:vertAlign w:val="baseline"/>
        </w:rPr>
        <w:t>activities.</w:t>
      </w:r>
    </w:p>
    <w:p>
      <w:pPr>
        <w:pStyle w:val="BodyText"/>
        <w:rPr>
          <w:sz w:val="22"/>
        </w:rPr>
      </w:pPr>
    </w:p>
    <w:p>
      <w:pPr>
        <w:pStyle w:val="Heading6"/>
        <w:numPr>
          <w:ilvl w:val="3"/>
          <w:numId w:val="143"/>
        </w:numPr>
        <w:tabs>
          <w:tab w:pos="1620" w:val="left" w:leader="none"/>
        </w:tabs>
        <w:spacing w:line="240" w:lineRule="auto" w:before="146" w:after="0"/>
        <w:ind w:left="1619" w:right="0" w:hanging="1440"/>
        <w:jc w:val="both"/>
      </w:pPr>
      <w:r>
        <w:rPr>
          <w:spacing w:val="17"/>
          <w:sz w:val="28"/>
        </w:rPr>
        <w:t>G</w:t>
      </w:r>
      <w:r>
        <w:rPr>
          <w:spacing w:val="17"/>
        </w:rPr>
        <w:t>EOGRAPHIC</w:t>
      </w:r>
      <w:r>
        <w:rPr>
          <w:spacing w:val="37"/>
        </w:rPr>
        <w:t> </w:t>
      </w:r>
      <w:r>
        <w:rPr>
          <w:spacing w:val="14"/>
        </w:rPr>
        <w:t>AREA</w:t>
      </w:r>
    </w:p>
    <w:p>
      <w:pPr>
        <w:pStyle w:val="BodyText"/>
        <w:spacing w:before="209"/>
        <w:ind w:left="179" w:right="1404"/>
        <w:jc w:val="both"/>
      </w:pPr>
      <w:r>
        <w:rPr/>
        <w:t>Projects may vary in size and may be confined to a single or several geographic areas. Depending on the rules agreed for projects the area could be one contiguous block of land having a single owner or many small blocks  of land spread more widely, perhaps having a large number of small land owners all being joined in some form of a cooperative or association</w:t>
      </w:r>
      <w:r>
        <w:rPr>
          <w:color w:val="4A4A4A"/>
        </w:rPr>
        <w:t>. </w:t>
      </w:r>
      <w:r>
        <w:rPr/>
        <w:t>It is </w:t>
      </w:r>
      <w:r>
        <w:rPr>
          <w:i/>
        </w:rPr>
        <w:t>good practice </w:t>
      </w:r>
      <w:r>
        <w:rPr/>
        <w:t>to specify and clearly define spatial boundaries of the project lands so as to facilitate accurate measuring, monitoring, accounting, and verifying the project. These boundaries need to be identifiable by all stakeholders including project developers and Parties. It is </w:t>
      </w:r>
      <w:r>
        <w:rPr>
          <w:i/>
        </w:rPr>
        <w:t>good practice</w:t>
      </w:r>
      <w:r>
        <w:rPr/>
        <w:t>, when describing physical project boundaries, to include the following</w:t>
      </w:r>
      <w:r>
        <w:rPr>
          <w:spacing w:val="-6"/>
        </w:rPr>
        <w:t> </w:t>
      </w:r>
      <w:r>
        <w:rPr/>
        <w:t>information:</w:t>
      </w:r>
    </w:p>
    <w:p>
      <w:pPr>
        <w:pStyle w:val="ListParagraph"/>
        <w:numPr>
          <w:ilvl w:val="0"/>
          <w:numId w:val="117"/>
        </w:numPr>
        <w:tabs>
          <w:tab w:pos="540" w:val="left" w:leader="none"/>
        </w:tabs>
        <w:spacing w:line="240" w:lineRule="auto" w:before="132" w:after="0"/>
        <w:ind w:left="539" w:right="0" w:hanging="360"/>
        <w:jc w:val="both"/>
        <w:rPr>
          <w:sz w:val="20"/>
        </w:rPr>
      </w:pPr>
      <w:r>
        <w:rPr>
          <w:sz w:val="20"/>
        </w:rPr>
        <w:t>Name of the project area ( e.g., compartment number, allotment number, local name,</w:t>
      </w:r>
      <w:r>
        <w:rPr>
          <w:spacing w:val="-5"/>
          <w:sz w:val="20"/>
        </w:rPr>
        <w:t> </w:t>
      </w:r>
      <w:r>
        <w:rPr>
          <w:sz w:val="20"/>
        </w:rPr>
        <w:t>etc.)</w:t>
      </w:r>
    </w:p>
    <w:p>
      <w:pPr>
        <w:pStyle w:val="ListParagraph"/>
        <w:numPr>
          <w:ilvl w:val="0"/>
          <w:numId w:val="117"/>
        </w:numPr>
        <w:tabs>
          <w:tab w:pos="540" w:val="left" w:leader="none"/>
        </w:tabs>
        <w:spacing w:line="240" w:lineRule="auto" w:before="119" w:after="0"/>
        <w:ind w:left="539" w:right="0" w:hanging="360"/>
        <w:jc w:val="both"/>
        <w:rPr>
          <w:sz w:val="20"/>
        </w:rPr>
      </w:pPr>
      <w:r>
        <w:rPr>
          <w:sz w:val="20"/>
        </w:rPr>
        <w:t>Map(s) of the area (paper format and/or digital format, if</w:t>
      </w:r>
      <w:r>
        <w:rPr>
          <w:spacing w:val="-6"/>
          <w:sz w:val="20"/>
        </w:rPr>
        <w:t> </w:t>
      </w:r>
      <w:r>
        <w:rPr>
          <w:sz w:val="20"/>
        </w:rPr>
        <w:t>available)</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Geographic</w:t>
      </w:r>
      <w:r>
        <w:rPr>
          <w:spacing w:val="-1"/>
          <w:sz w:val="20"/>
        </w:rPr>
        <w:t> </w:t>
      </w:r>
      <w:r>
        <w:rPr>
          <w:sz w:val="20"/>
        </w:rPr>
        <w:t>coordinates</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Total land area</w:t>
      </w:r>
    </w:p>
    <w:p>
      <w:pPr>
        <w:pStyle w:val="ListParagraph"/>
        <w:numPr>
          <w:ilvl w:val="0"/>
          <w:numId w:val="117"/>
        </w:numPr>
        <w:tabs>
          <w:tab w:pos="540" w:val="left" w:leader="none"/>
        </w:tabs>
        <w:spacing w:line="240" w:lineRule="auto" w:before="116" w:after="0"/>
        <w:ind w:left="539" w:right="0" w:hanging="360"/>
        <w:jc w:val="both"/>
        <w:rPr>
          <w:sz w:val="20"/>
        </w:rPr>
      </w:pPr>
      <w:r>
        <w:rPr>
          <w:sz w:val="20"/>
        </w:rPr>
        <w:t>Details of</w:t>
      </w:r>
      <w:r>
        <w:rPr>
          <w:spacing w:val="-4"/>
          <w:sz w:val="20"/>
        </w:rPr>
        <w:t> </w:t>
      </w:r>
      <w:r>
        <w:rPr>
          <w:sz w:val="20"/>
        </w:rPr>
        <w:t>ownership</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Land use and management history of the selected</w:t>
      </w:r>
      <w:r>
        <w:rPr>
          <w:spacing w:val="-1"/>
          <w:sz w:val="20"/>
        </w:rPr>
        <w:t> </w:t>
      </w:r>
      <w:r>
        <w:rPr>
          <w:sz w:val="20"/>
        </w:rPr>
        <w:t>site(s).</w:t>
      </w:r>
    </w:p>
    <w:p>
      <w:pPr>
        <w:pStyle w:val="BodyText"/>
        <w:spacing w:before="104"/>
        <w:ind w:left="179" w:right="1403"/>
        <w:jc w:val="both"/>
      </w:pPr>
      <w:r>
        <w:rPr/>
        <w:t>The expectation is that boundaries remain unchanged during the duration of the project. In the event that boundary changes are inevitable, subject to the rules agreed for projects, then these would need to be reported and inclusions and/or exclusions of physical land area need to be surveyed using the above described methods (this would mean adjusting the net emissions or removals of greenhouse gases attributable to the</w:t>
      </w:r>
      <w:r>
        <w:rPr>
          <w:spacing w:val="-23"/>
        </w:rPr>
        <w:t> </w:t>
      </w:r>
      <w:r>
        <w:rPr/>
        <w:t>project).</w:t>
      </w:r>
    </w:p>
    <w:p>
      <w:pPr>
        <w:pStyle w:val="BodyText"/>
        <w:spacing w:before="120"/>
        <w:ind w:left="179" w:right="1404"/>
        <w:jc w:val="both"/>
      </w:pPr>
      <w:r>
        <w:rPr/>
        <w:t>There are many different methods and tools that can be employed to identify and delineate physical project boundaries. These include, amongst others, the following:</w:t>
      </w:r>
    </w:p>
    <w:p>
      <w:pPr>
        <w:pStyle w:val="ListParagraph"/>
        <w:numPr>
          <w:ilvl w:val="0"/>
          <w:numId w:val="117"/>
        </w:numPr>
        <w:tabs>
          <w:tab w:pos="537" w:val="left" w:leader="none"/>
        </w:tabs>
        <w:spacing w:line="240" w:lineRule="auto" w:before="135" w:after="0"/>
        <w:ind w:left="536" w:right="0" w:hanging="357"/>
        <w:jc w:val="both"/>
        <w:rPr>
          <w:sz w:val="20"/>
        </w:rPr>
      </w:pPr>
      <w:r>
        <w:rPr>
          <w:sz w:val="20"/>
        </w:rPr>
        <w:t>Permanent boundary markers (e.g., fences, hedgerows, walls,</w:t>
      </w:r>
      <w:r>
        <w:rPr>
          <w:spacing w:val="4"/>
          <w:sz w:val="20"/>
        </w:rPr>
        <w:t> </w:t>
      </w:r>
      <w:r>
        <w:rPr>
          <w:sz w:val="20"/>
        </w:rPr>
        <w:t>etc.);</w:t>
      </w:r>
    </w:p>
    <w:p>
      <w:pPr>
        <w:pStyle w:val="BodyText"/>
        <w:spacing w:before="10"/>
        <w:rPr>
          <w:sz w:val="21"/>
        </w:rPr>
      </w:pPr>
      <w:r>
        <w:rPr/>
        <w:pict>
          <v:line style="position:absolute;mso-position-horizontal-relative:page;mso-position-vertical-relative:paragraph;z-index:19424;mso-wrap-distance-left:0;mso-wrap-distance-right:0" from="70.960999pt,14.783389pt" to="214.960999pt,14.783389pt" stroked="true" strokeweight=".48pt" strokecolor="#000000">
            <v:stroke dashstyle="solid"/>
            <w10:wrap type="topAndBottom"/>
          </v:line>
        </w:pict>
      </w:r>
    </w:p>
    <w:p>
      <w:pPr>
        <w:spacing w:before="150"/>
        <w:ind w:left="337" w:right="1597" w:hanging="159"/>
        <w:jc w:val="left"/>
        <w:rPr>
          <w:sz w:val="18"/>
        </w:rPr>
      </w:pPr>
      <w:r>
        <w:rPr>
          <w:position w:val="8"/>
          <w:sz w:val="12"/>
        </w:rPr>
        <w:t>64 </w:t>
      </w:r>
      <w:r>
        <w:rPr>
          <w:sz w:val="18"/>
        </w:rPr>
        <w:t>See Appendix B, paragraph 4(c) to draft decision -/CMP.1 (Article 6), contained in document FCCC/CP/2001/13/Add.2, p.19.</w:t>
      </w:r>
    </w:p>
    <w:p>
      <w:pPr>
        <w:spacing w:after="0"/>
        <w:jc w:val="left"/>
        <w:rPr>
          <w:sz w:val="18"/>
        </w:rPr>
        <w:sectPr>
          <w:footerReference w:type="even" r:id="rId326"/>
          <w:footerReference w:type="default" r:id="rId327"/>
          <w:pgSz w:w="11900" w:h="16840"/>
          <w:pgMar w:footer="408" w:header="233" w:top="560" w:bottom="600" w:left="1240" w:right="0"/>
          <w:pgNumType w:start="90"/>
        </w:sectPr>
      </w:pPr>
    </w:p>
    <w:p>
      <w:pPr>
        <w:pStyle w:val="BodyText"/>
        <w:spacing w:before="5"/>
        <w:rPr>
          <w:sz w:val="29"/>
        </w:rPr>
      </w:pPr>
    </w:p>
    <w:p>
      <w:pPr>
        <w:pStyle w:val="ListParagraph"/>
        <w:numPr>
          <w:ilvl w:val="0"/>
          <w:numId w:val="117"/>
        </w:numPr>
        <w:tabs>
          <w:tab w:pos="536" w:val="left" w:leader="none"/>
          <w:tab w:pos="537" w:val="left" w:leader="none"/>
        </w:tabs>
        <w:spacing w:line="225" w:lineRule="auto" w:before="125" w:after="0"/>
        <w:ind w:left="536" w:right="1409" w:hanging="357"/>
        <w:jc w:val="left"/>
        <w:rPr>
          <w:sz w:val="20"/>
        </w:rPr>
      </w:pPr>
      <w:r>
        <w:rPr>
          <w:sz w:val="20"/>
        </w:rPr>
        <w:t>Remote sensing data e.g., satellite imagery from optical and/or radar sensor systems, aerial photographs, airborne videos, etc.;</w:t>
      </w:r>
    </w:p>
    <w:p>
      <w:pPr>
        <w:pStyle w:val="ListParagraph"/>
        <w:numPr>
          <w:ilvl w:val="0"/>
          <w:numId w:val="117"/>
        </w:numPr>
        <w:tabs>
          <w:tab w:pos="536" w:val="left" w:leader="none"/>
          <w:tab w:pos="537" w:val="left" w:leader="none"/>
        </w:tabs>
        <w:spacing w:line="240" w:lineRule="auto" w:before="98" w:after="0"/>
        <w:ind w:left="536" w:right="0" w:hanging="357"/>
        <w:jc w:val="left"/>
        <w:rPr>
          <w:sz w:val="20"/>
        </w:rPr>
      </w:pPr>
      <w:r>
        <w:rPr>
          <w:sz w:val="20"/>
        </w:rPr>
        <w:t>Cadastral surveys (ground-based surveys to delineate property</w:t>
      </w:r>
      <w:r>
        <w:rPr>
          <w:spacing w:val="-3"/>
          <w:sz w:val="20"/>
        </w:rPr>
        <w:t> </w:t>
      </w:r>
      <w:r>
        <w:rPr>
          <w:sz w:val="20"/>
        </w:rPr>
        <w:t>boundaries);</w:t>
      </w:r>
    </w:p>
    <w:p>
      <w:pPr>
        <w:pStyle w:val="ListParagraph"/>
        <w:numPr>
          <w:ilvl w:val="0"/>
          <w:numId w:val="117"/>
        </w:numPr>
        <w:tabs>
          <w:tab w:pos="536" w:val="left" w:leader="none"/>
          <w:tab w:pos="537" w:val="left" w:leader="none"/>
        </w:tabs>
        <w:spacing w:line="240" w:lineRule="auto" w:before="77" w:after="0"/>
        <w:ind w:left="536" w:right="0" w:hanging="357"/>
        <w:jc w:val="left"/>
        <w:rPr>
          <w:sz w:val="20"/>
        </w:rPr>
      </w:pPr>
      <w:r>
        <w:rPr>
          <w:sz w:val="20"/>
        </w:rPr>
        <w:t>Global Positioning Systems;</w:t>
      </w:r>
    </w:p>
    <w:p>
      <w:pPr>
        <w:pStyle w:val="ListParagraph"/>
        <w:numPr>
          <w:ilvl w:val="0"/>
          <w:numId w:val="117"/>
        </w:numPr>
        <w:tabs>
          <w:tab w:pos="536" w:val="left" w:leader="none"/>
          <w:tab w:pos="537" w:val="left" w:leader="none"/>
        </w:tabs>
        <w:spacing w:line="240" w:lineRule="auto" w:before="78" w:after="0"/>
        <w:ind w:left="536" w:right="0" w:hanging="357"/>
        <w:jc w:val="left"/>
        <w:rPr>
          <w:sz w:val="20"/>
        </w:rPr>
      </w:pPr>
      <w:r>
        <w:rPr>
          <w:sz w:val="20"/>
        </w:rPr>
        <w:t>Land records;</w:t>
      </w:r>
    </w:p>
    <w:p>
      <w:pPr>
        <w:pStyle w:val="ListParagraph"/>
        <w:numPr>
          <w:ilvl w:val="0"/>
          <w:numId w:val="117"/>
        </w:numPr>
        <w:tabs>
          <w:tab w:pos="536" w:val="left" w:leader="none"/>
          <w:tab w:pos="537" w:val="left" w:leader="none"/>
        </w:tabs>
        <w:spacing w:line="225" w:lineRule="auto" w:before="85" w:after="0"/>
        <w:ind w:left="536" w:right="1407" w:hanging="357"/>
        <w:jc w:val="left"/>
        <w:rPr>
          <w:sz w:val="20"/>
        </w:rPr>
      </w:pPr>
      <w:r>
        <w:rPr>
          <w:sz w:val="20"/>
        </w:rPr>
        <w:t>National certified topographic maps with clearly defined topographic descriptions (e.g., rivers/creeks, mountain ridges);</w:t>
      </w:r>
      <w:r>
        <w:rPr>
          <w:spacing w:val="-2"/>
          <w:sz w:val="20"/>
        </w:rPr>
        <w:t> </w:t>
      </w:r>
      <w:r>
        <w:rPr>
          <w:sz w:val="20"/>
        </w:rPr>
        <w:t>and</w:t>
      </w:r>
    </w:p>
    <w:p>
      <w:pPr>
        <w:pStyle w:val="ListParagraph"/>
        <w:numPr>
          <w:ilvl w:val="0"/>
          <w:numId w:val="117"/>
        </w:numPr>
        <w:tabs>
          <w:tab w:pos="536" w:val="left" w:leader="none"/>
          <w:tab w:pos="537" w:val="left" w:leader="none"/>
        </w:tabs>
        <w:spacing w:line="240" w:lineRule="auto" w:before="98" w:after="0"/>
        <w:ind w:left="536" w:right="0" w:hanging="357"/>
        <w:jc w:val="left"/>
        <w:rPr>
          <w:sz w:val="20"/>
        </w:rPr>
      </w:pPr>
      <w:r>
        <w:rPr>
          <w:sz w:val="20"/>
        </w:rPr>
        <w:t>Other nationally recognized systems.</w:t>
      </w:r>
    </w:p>
    <w:p>
      <w:pPr>
        <w:pStyle w:val="BodyText"/>
        <w:spacing w:before="61"/>
        <w:ind w:left="183"/>
      </w:pPr>
      <w:r>
        <w:rPr/>
        <w:t>Parties may opt to use any of these methods or tools, alone or in combination, provided accuracy is maintained.</w:t>
      </w:r>
    </w:p>
    <w:p>
      <w:pPr>
        <w:pStyle w:val="BodyText"/>
        <w:rPr>
          <w:sz w:val="22"/>
        </w:rPr>
      </w:pPr>
    </w:p>
    <w:p>
      <w:pPr>
        <w:pStyle w:val="Heading6"/>
        <w:numPr>
          <w:ilvl w:val="3"/>
          <w:numId w:val="143"/>
        </w:numPr>
        <w:tabs>
          <w:tab w:pos="1619" w:val="left" w:leader="none"/>
          <w:tab w:pos="1620" w:val="left" w:leader="none"/>
        </w:tabs>
        <w:spacing w:line="240" w:lineRule="auto" w:before="148" w:after="0"/>
        <w:ind w:left="1619" w:right="0" w:hanging="1440"/>
        <w:jc w:val="left"/>
      </w:pPr>
      <w:r>
        <w:rPr>
          <w:spacing w:val="16"/>
          <w:sz w:val="28"/>
        </w:rPr>
        <w:t>T</w:t>
      </w:r>
      <w:r>
        <w:rPr>
          <w:spacing w:val="16"/>
        </w:rPr>
        <w:t>EMPORAL</w:t>
      </w:r>
      <w:r>
        <w:rPr>
          <w:spacing w:val="37"/>
        </w:rPr>
        <w:t> </w:t>
      </w:r>
      <w:r>
        <w:rPr>
          <w:spacing w:val="19"/>
        </w:rPr>
        <w:t>BOUNDARIES</w:t>
      </w:r>
    </w:p>
    <w:p>
      <w:pPr>
        <w:pStyle w:val="BodyText"/>
        <w:spacing w:before="208"/>
        <w:ind w:left="179" w:right="1405"/>
        <w:jc w:val="both"/>
      </w:pPr>
      <w:r>
        <w:rPr/>
        <w:t>Temporal boundaries (i.e., time boundaries), which are defined by the project starting and ending dates, should be set so that the boundaries encompass all changes in carbon stocks and non-CO</w:t>
      </w:r>
      <w:r>
        <w:rPr>
          <w:vertAlign w:val="subscript"/>
        </w:rPr>
        <w:t>2</w:t>
      </w:r>
      <w:r>
        <w:rPr>
          <w:vertAlign w:val="baseline"/>
        </w:rPr>
        <w:t> greenhouse gases emissions and removals that are reasonably attributable to project practices. Different project types have different patterns and rates of carbon accumulation as described in detail in the IPCC Special Report on LULUCF (Brown </w:t>
      </w:r>
      <w:r>
        <w:rPr>
          <w:i/>
          <w:vertAlign w:val="baseline"/>
        </w:rPr>
        <w:t>et al.</w:t>
      </w:r>
      <w:r>
        <w:rPr>
          <w:vertAlign w:val="baseline"/>
        </w:rPr>
        <w:t>, 2000b). For afforestation and reforestation projects activities under Article 12, the issue of project duration and its relation to permanence is not discussed here because it is being addressed by SBSTA (see Section</w:t>
      </w:r>
      <w:r>
        <w:rPr>
          <w:spacing w:val="-33"/>
          <w:vertAlign w:val="baseline"/>
        </w:rPr>
        <w:t> </w:t>
      </w:r>
      <w:r>
        <w:rPr>
          <w:vertAlign w:val="baseline"/>
        </w:rPr>
        <w:t>4.3.1).</w:t>
      </w:r>
    </w:p>
    <w:p>
      <w:pPr>
        <w:pStyle w:val="BodyText"/>
        <w:rPr>
          <w:sz w:val="22"/>
        </w:rPr>
      </w:pPr>
    </w:p>
    <w:p>
      <w:pPr>
        <w:pStyle w:val="Heading6"/>
        <w:numPr>
          <w:ilvl w:val="3"/>
          <w:numId w:val="143"/>
        </w:numPr>
        <w:tabs>
          <w:tab w:pos="1619" w:val="left" w:leader="none"/>
          <w:tab w:pos="1620" w:val="left" w:leader="none"/>
        </w:tabs>
        <w:spacing w:line="240" w:lineRule="auto" w:before="148" w:after="0"/>
        <w:ind w:left="1619" w:right="0" w:hanging="1440"/>
        <w:jc w:val="left"/>
      </w:pPr>
      <w:r>
        <w:rPr>
          <w:spacing w:val="17"/>
          <w:sz w:val="28"/>
        </w:rPr>
        <w:t>A</w:t>
      </w:r>
      <w:r>
        <w:rPr>
          <w:spacing w:val="17"/>
        </w:rPr>
        <w:t>CTIVITIES </w:t>
      </w:r>
      <w:r>
        <w:rPr>
          <w:spacing w:val="12"/>
        </w:rPr>
        <w:t>AND</w:t>
      </w:r>
      <w:r>
        <w:rPr>
          <w:spacing w:val="-12"/>
        </w:rPr>
        <w:t> </w:t>
      </w:r>
      <w:r>
        <w:rPr>
          <w:spacing w:val="19"/>
        </w:rPr>
        <w:t>PRACTICES</w:t>
      </w:r>
    </w:p>
    <w:p>
      <w:pPr>
        <w:pStyle w:val="BodyText"/>
        <w:spacing w:before="209"/>
        <w:ind w:left="179" w:right="1406"/>
        <w:jc w:val="both"/>
      </w:pPr>
      <w:r>
        <w:rPr/>
        <w:t>Different LULUCF projects have different direct human-induced changes in carbon stocks and non-CO</w:t>
      </w:r>
      <w:r>
        <w:rPr>
          <w:vertAlign w:val="subscript"/>
        </w:rPr>
        <w:t>2</w:t>
      </w:r>
      <w:r>
        <w:rPr>
          <w:vertAlign w:val="baseline"/>
        </w:rPr>
        <w:t> greenhouse gases. Examples of different project types and the likely changes in carbon stocks and non-CO</w:t>
      </w:r>
      <w:r>
        <w:rPr>
          <w:vertAlign w:val="subscript"/>
        </w:rPr>
        <w:t>2</w:t>
      </w:r>
      <w:r>
        <w:rPr>
          <w:vertAlign w:val="baseline"/>
        </w:rPr>
        <w:t> greenhouse gas emissions are provided in Box 4.3.1 (applicable to Articles 6 and 12, subject to the negotiations) and Boxes 4.3.2—4.3.4 (applicable to Article 6). Steps for identifying greenhouse gas emissions and removals caused by the project include the following:</w:t>
      </w:r>
    </w:p>
    <w:p>
      <w:pPr>
        <w:pStyle w:val="ListParagraph"/>
        <w:numPr>
          <w:ilvl w:val="0"/>
          <w:numId w:val="117"/>
        </w:numPr>
        <w:tabs>
          <w:tab w:pos="539" w:val="left" w:leader="none"/>
          <w:tab w:pos="540" w:val="left" w:leader="none"/>
        </w:tabs>
        <w:spacing w:line="238" w:lineRule="exact" w:before="134" w:after="0"/>
        <w:ind w:left="539" w:right="0" w:hanging="360"/>
        <w:jc w:val="left"/>
        <w:rPr>
          <w:sz w:val="20"/>
        </w:rPr>
      </w:pPr>
      <w:r>
        <w:rPr>
          <w:sz w:val="20"/>
        </w:rPr>
        <w:t>List and describe the greenhouse</w:t>
      </w:r>
      <w:r>
        <w:rPr>
          <w:spacing w:val="11"/>
          <w:sz w:val="20"/>
        </w:rPr>
        <w:t> </w:t>
      </w:r>
      <w:r>
        <w:rPr>
          <w:sz w:val="20"/>
        </w:rPr>
        <w:t>gas emissions and removals resulting from the primary project practices—</w:t>
      </w:r>
    </w:p>
    <w:p>
      <w:pPr>
        <w:pStyle w:val="BodyText"/>
        <w:spacing w:line="222" w:lineRule="exact"/>
        <w:ind w:left="536"/>
      </w:pPr>
      <w:r>
        <w:rPr/>
        <w:t>e. g. tree planting, crop tillage, changed forest harvesting, etc.</w:t>
      </w:r>
    </w:p>
    <w:p>
      <w:pPr>
        <w:pStyle w:val="ListParagraph"/>
        <w:numPr>
          <w:ilvl w:val="0"/>
          <w:numId w:val="117"/>
        </w:numPr>
        <w:tabs>
          <w:tab w:pos="540" w:val="left" w:leader="none"/>
        </w:tabs>
        <w:spacing w:line="232" w:lineRule="auto" w:before="137" w:after="0"/>
        <w:ind w:left="536" w:right="1406" w:hanging="357"/>
        <w:jc w:val="both"/>
        <w:rPr>
          <w:sz w:val="20"/>
        </w:rPr>
      </w:pPr>
      <w:r>
        <w:rPr>
          <w:sz w:val="20"/>
        </w:rPr>
        <w:t>List and describe the greenhouse gas emissions and removals resulting from ancillary practices related to project operation and management—e. g. land preparation, nursery management, planting, thinning, logging—and describe these practices.</w:t>
      </w:r>
    </w:p>
    <w:p>
      <w:pPr>
        <w:pStyle w:val="ListParagraph"/>
        <w:numPr>
          <w:ilvl w:val="0"/>
          <w:numId w:val="117"/>
        </w:numPr>
        <w:tabs>
          <w:tab w:pos="539" w:val="left" w:leader="none"/>
          <w:tab w:pos="540" w:val="left" w:leader="none"/>
        </w:tabs>
        <w:spacing w:line="240" w:lineRule="auto" w:before="135" w:after="0"/>
        <w:ind w:left="539" w:right="0" w:hanging="360"/>
        <w:jc w:val="left"/>
        <w:rPr>
          <w:sz w:val="20"/>
        </w:rPr>
      </w:pPr>
      <w:r>
        <w:rPr>
          <w:sz w:val="20"/>
        </w:rPr>
        <w:t>Evaluate and report the emissions and removals of project-related greenhouse gases (CO</w:t>
      </w:r>
      <w:r>
        <w:rPr>
          <w:sz w:val="20"/>
          <w:vertAlign w:val="subscript"/>
        </w:rPr>
        <w:t>2</w:t>
      </w:r>
      <w:r>
        <w:rPr>
          <w:sz w:val="20"/>
          <w:vertAlign w:val="baseline"/>
        </w:rPr>
        <w:t>, CH</w:t>
      </w:r>
      <w:r>
        <w:rPr>
          <w:sz w:val="20"/>
          <w:vertAlign w:val="subscript"/>
        </w:rPr>
        <w:t>4</w:t>
      </w:r>
      <w:r>
        <w:rPr>
          <w:sz w:val="20"/>
          <w:vertAlign w:val="baseline"/>
        </w:rPr>
        <w:t>, and</w:t>
      </w:r>
      <w:r>
        <w:rPr>
          <w:spacing w:val="-11"/>
          <w:sz w:val="20"/>
          <w:vertAlign w:val="baseline"/>
        </w:rPr>
        <w:t> </w:t>
      </w:r>
      <w:r>
        <w:rPr>
          <w:sz w:val="20"/>
          <w:vertAlign w:val="baseline"/>
        </w:rPr>
        <w:t>N</w:t>
      </w:r>
      <w:r>
        <w:rPr>
          <w:sz w:val="20"/>
          <w:vertAlign w:val="subscript"/>
        </w:rPr>
        <w:t>2</w:t>
      </w:r>
      <w:r>
        <w:rPr>
          <w:sz w:val="20"/>
          <w:vertAlign w:val="baseline"/>
        </w:rPr>
        <w:t>O).</w:t>
      </w:r>
    </w:p>
    <w:p>
      <w:pPr>
        <w:pStyle w:val="BodyText"/>
        <w:rPr>
          <w:sz w:val="26"/>
        </w:rPr>
      </w:pPr>
      <w:r>
        <w:rPr/>
        <w:pict>
          <v:shape style="position:absolute;margin-left:91.960999pt;margin-top:17.674084pt;width:411.5pt;height:227.55pt;mso-position-horizontal-relative:page;mso-position-vertical-relative:paragraph;z-index:19448;mso-wrap-distance-left:0;mso-wrap-distance-right:0" type="#_x0000_t202" filled="false" stroked="true" strokeweight="1.44pt" strokecolor="#000000">
            <v:textbox inset="0,0,0,0">
              <w:txbxContent>
                <w:p>
                  <w:pPr>
                    <w:spacing w:line="205" w:lineRule="exact" w:before="100"/>
                    <w:ind w:left="67" w:right="68" w:firstLine="0"/>
                    <w:jc w:val="center"/>
                    <w:rPr>
                      <w:b/>
                      <w:sz w:val="18"/>
                    </w:rPr>
                  </w:pPr>
                  <w:r>
                    <w:rPr>
                      <w:b/>
                      <w:sz w:val="18"/>
                    </w:rPr>
                    <w:t>B</w:t>
                  </w:r>
                  <w:r>
                    <w:rPr>
                      <w:b/>
                      <w:sz w:val="14"/>
                    </w:rPr>
                    <w:t>OX </w:t>
                  </w:r>
                  <w:r>
                    <w:rPr>
                      <w:b/>
                      <w:sz w:val="18"/>
                    </w:rPr>
                    <w:t>4.3.1</w:t>
                  </w:r>
                </w:p>
                <w:p>
                  <w:pPr>
                    <w:spacing w:line="205" w:lineRule="exact" w:before="0"/>
                    <w:ind w:left="2325" w:right="0" w:firstLine="0"/>
                    <w:jc w:val="left"/>
                    <w:rPr>
                      <w:b/>
                      <w:sz w:val="14"/>
                    </w:rPr>
                  </w:pPr>
                  <w:r>
                    <w:rPr>
                      <w:b/>
                      <w:sz w:val="18"/>
                    </w:rPr>
                    <w:t>A</w:t>
                  </w:r>
                  <w:r>
                    <w:rPr>
                      <w:b/>
                      <w:sz w:val="14"/>
                    </w:rPr>
                    <w:t>FFORESTATION OR </w:t>
                  </w:r>
                  <w:r>
                    <w:rPr>
                      <w:b/>
                      <w:sz w:val="18"/>
                    </w:rPr>
                    <w:t>R</w:t>
                  </w:r>
                  <w:r>
                    <w:rPr>
                      <w:b/>
                      <w:sz w:val="14"/>
                    </w:rPr>
                    <w:t>EFORESTATION </w:t>
                  </w:r>
                  <w:r>
                    <w:rPr>
                      <w:b/>
                      <w:sz w:val="18"/>
                    </w:rPr>
                    <w:t>P</w:t>
                  </w:r>
                  <w:r>
                    <w:rPr>
                      <w:b/>
                      <w:sz w:val="14"/>
                    </w:rPr>
                    <w:t>ROJECTS</w:t>
                  </w:r>
                </w:p>
                <w:p>
                  <w:pPr>
                    <w:pStyle w:val="BodyText"/>
                    <w:spacing w:before="96"/>
                    <w:ind w:left="127" w:right="120"/>
                    <w:jc w:val="both"/>
                  </w:pPr>
                  <w:r>
                    <w:rPr/>
                    <w:t>Tree planting on non-forested sites generally increases carbon stocks. These tree-planting projects could include planting with commercial timber species, planting with non-commercial native species, planting with multipurpose species (e.g., fruit trees, shade trees for coffee), or a combination of these species groups. Tree planting may also change emissions of greenhouse gases, in particular CO</w:t>
                  </w:r>
                  <w:r>
                    <w:rPr>
                      <w:vertAlign w:val="subscript"/>
                    </w:rPr>
                    <w:t>2</w:t>
                  </w:r>
                  <w:r>
                    <w:rPr>
                      <w:vertAlign w:val="baseline"/>
                    </w:rPr>
                    <w:t>, CH</w:t>
                  </w:r>
                  <w:r>
                    <w:rPr>
                      <w:vertAlign w:val="subscript"/>
                    </w:rPr>
                    <w:t>4</w:t>
                  </w:r>
                  <w:r>
                    <w:rPr>
                      <w:vertAlign w:val="baseline"/>
                    </w:rPr>
                    <w:t> and</w:t>
                  </w:r>
                  <w:r>
                    <w:rPr>
                      <w:spacing w:val="3"/>
                      <w:vertAlign w:val="baseline"/>
                    </w:rPr>
                    <w:t> </w:t>
                  </w:r>
                  <w:r>
                    <w:rPr>
                      <w:vertAlign w:val="baseline"/>
                    </w:rPr>
                    <w:t>N</w:t>
                  </w:r>
                  <w:r>
                    <w:rPr>
                      <w:vertAlign w:val="subscript"/>
                    </w:rPr>
                    <w:t>2</w:t>
                  </w:r>
                  <w:r>
                    <w:rPr>
                      <w:vertAlign w:val="baseline"/>
                    </w:rPr>
                    <w:t>O.</w:t>
                  </w:r>
                </w:p>
                <w:p>
                  <w:pPr>
                    <w:pStyle w:val="BodyText"/>
                    <w:spacing w:before="120"/>
                    <w:ind w:left="127"/>
                  </w:pPr>
                  <w:r>
                    <w:rPr/>
                    <w:t>The list below contains factors that may be relevant for measuring and monitoring in addition to changes in carbon stocks in pools defined by the Marrakesh Accords and decisions of the COP:</w:t>
                  </w:r>
                </w:p>
                <w:p>
                  <w:pPr>
                    <w:pStyle w:val="BodyText"/>
                    <w:numPr>
                      <w:ilvl w:val="0"/>
                      <w:numId w:val="144"/>
                    </w:numPr>
                    <w:tabs>
                      <w:tab w:pos="344" w:val="left" w:leader="none"/>
                    </w:tabs>
                    <w:spacing w:line="216" w:lineRule="auto" w:before="175" w:after="0"/>
                    <w:ind w:left="343" w:right="126" w:hanging="216"/>
                    <w:jc w:val="left"/>
                  </w:pPr>
                  <w:r>
                    <w:rPr/>
                    <w:t>Changes in emissions of greenhouse gases by burning of fossil fuels or biomass resulting from site preparation, monitoring activities, tree harvesting, and wood</w:t>
                  </w:r>
                  <w:r>
                    <w:rPr>
                      <w:spacing w:val="-4"/>
                    </w:rPr>
                    <w:t> </w:t>
                  </w:r>
                  <w:r>
                    <w:rPr/>
                    <w:t>transportation.</w:t>
                  </w:r>
                </w:p>
                <w:p>
                  <w:pPr>
                    <w:pStyle w:val="BodyText"/>
                    <w:numPr>
                      <w:ilvl w:val="0"/>
                      <w:numId w:val="144"/>
                    </w:numPr>
                    <w:tabs>
                      <w:tab w:pos="344" w:val="left" w:leader="none"/>
                    </w:tabs>
                    <w:spacing w:line="240" w:lineRule="auto" w:before="159" w:after="0"/>
                    <w:ind w:left="343" w:right="0" w:hanging="216"/>
                    <w:jc w:val="left"/>
                  </w:pPr>
                  <w:r>
                    <w:rPr/>
                    <w:t>Changes in nitrous oxide emissions caused by nitrogen fertilization</w:t>
                  </w:r>
                  <w:r>
                    <w:rPr>
                      <w:spacing w:val="-8"/>
                    </w:rPr>
                    <w:t> </w:t>
                  </w:r>
                  <w:r>
                    <w:rPr/>
                    <w:t>practices.</w:t>
                  </w:r>
                </w:p>
                <w:p>
                  <w:pPr>
                    <w:pStyle w:val="BodyText"/>
                    <w:numPr>
                      <w:ilvl w:val="0"/>
                      <w:numId w:val="144"/>
                    </w:numPr>
                    <w:tabs>
                      <w:tab w:pos="344" w:val="left" w:leader="none"/>
                    </w:tabs>
                    <w:spacing w:line="240" w:lineRule="auto" w:before="134" w:after="0"/>
                    <w:ind w:left="343" w:right="0" w:hanging="216"/>
                    <w:jc w:val="left"/>
                  </w:pPr>
                  <w:r>
                    <w:rPr/>
                    <w:t>Changes in nitrous oxide emissions from planting of leguminous</w:t>
                  </w:r>
                  <w:r>
                    <w:rPr>
                      <w:spacing w:val="-14"/>
                    </w:rPr>
                    <w:t> </w:t>
                  </w:r>
                  <w:r>
                    <w:rPr/>
                    <w:t>trees.</w:t>
                  </w:r>
                </w:p>
                <w:p>
                  <w:pPr>
                    <w:pStyle w:val="BodyText"/>
                    <w:numPr>
                      <w:ilvl w:val="0"/>
                      <w:numId w:val="144"/>
                    </w:numPr>
                    <w:tabs>
                      <w:tab w:pos="344" w:val="left" w:leader="none"/>
                    </w:tabs>
                    <w:spacing w:line="218" w:lineRule="auto" w:before="148" w:after="0"/>
                    <w:ind w:left="343" w:right="126" w:hanging="216"/>
                    <w:jc w:val="left"/>
                  </w:pPr>
                  <w:r>
                    <w:rPr/>
                    <w:t>Changes in methane oxidation due to alteration of groundwater table level (particularly in high organic soil types), tree planting and soil</w:t>
                  </w:r>
                  <w:r>
                    <w:rPr>
                      <w:spacing w:val="-1"/>
                    </w:rPr>
                    <w:t> </w:t>
                  </w:r>
                  <w:r>
                    <w:rPr/>
                    <w:t>management.</w:t>
                  </w:r>
                </w:p>
              </w:txbxContent>
            </v:textbox>
            <v:stroke dashstyle="solid"/>
            <w10:wrap type="topAndBottom"/>
          </v:shape>
        </w:pict>
      </w:r>
    </w:p>
    <w:p>
      <w:pPr>
        <w:spacing w:after="0"/>
        <w:rPr>
          <w:sz w:val="26"/>
        </w:rPr>
        <w:sectPr>
          <w:pgSz w:w="11900" w:h="16840"/>
          <w:pgMar w:header="230" w:footer="408" w:top="560" w:bottom="600" w:left="1240" w:right="0"/>
        </w:sectPr>
      </w:pPr>
    </w:p>
    <w:p>
      <w:pPr>
        <w:pStyle w:val="BodyText"/>
      </w:pPr>
    </w:p>
    <w:p>
      <w:pPr>
        <w:pStyle w:val="BodyText"/>
        <w:spacing w:before="8"/>
        <w:rPr>
          <w:sz w:val="18"/>
        </w:rPr>
      </w:pPr>
    </w:p>
    <w:p>
      <w:pPr>
        <w:pStyle w:val="BodyText"/>
        <w:ind w:left="603"/>
      </w:pPr>
      <w:r>
        <w:rPr>
          <w:position w:val="0"/>
        </w:rPr>
        <w:pict>
          <v:shape style="width:409.6pt;height:179.2pt;mso-position-horizontal-relative:char;mso-position-vertical-relative:line" type="#_x0000_t202" filled="false" stroked="true" strokeweight="1.44pt" strokecolor="#000000">
            <w10:anchorlock/>
            <v:textbox inset="0,0,0,0">
              <w:txbxContent>
                <w:p>
                  <w:pPr>
                    <w:spacing w:before="100"/>
                    <w:ind w:left="3698" w:right="3699" w:firstLine="0"/>
                    <w:jc w:val="center"/>
                    <w:rPr>
                      <w:b/>
                      <w:sz w:val="18"/>
                    </w:rPr>
                  </w:pPr>
                  <w:r>
                    <w:rPr>
                      <w:b/>
                      <w:sz w:val="18"/>
                    </w:rPr>
                    <w:t>B</w:t>
                  </w:r>
                  <w:r>
                    <w:rPr>
                      <w:b/>
                      <w:sz w:val="14"/>
                    </w:rPr>
                    <w:t>OX </w:t>
                  </w:r>
                  <w:r>
                    <w:rPr>
                      <w:b/>
                      <w:sz w:val="18"/>
                    </w:rPr>
                    <w:t>4.3.2</w:t>
                  </w:r>
                </w:p>
                <w:p>
                  <w:pPr>
                    <w:spacing w:line="207" w:lineRule="exact" w:before="2"/>
                    <w:ind w:left="2692" w:right="0" w:firstLine="0"/>
                    <w:jc w:val="left"/>
                    <w:rPr>
                      <w:b/>
                      <w:sz w:val="18"/>
                    </w:rPr>
                  </w:pPr>
                  <w:r>
                    <w:rPr>
                      <w:b/>
                      <w:sz w:val="18"/>
                    </w:rPr>
                    <w:t>C</w:t>
                  </w:r>
                  <w:r>
                    <w:rPr>
                      <w:b/>
                      <w:sz w:val="14"/>
                    </w:rPr>
                    <w:t>ROPLAND </w:t>
                  </w:r>
                  <w:r>
                    <w:rPr>
                      <w:b/>
                      <w:sz w:val="18"/>
                    </w:rPr>
                    <w:t>M</w:t>
                  </w:r>
                  <w:r>
                    <w:rPr>
                      <w:b/>
                      <w:sz w:val="14"/>
                    </w:rPr>
                    <w:t>ANAGEMENT PROJECTS</w:t>
                  </w:r>
                  <w:r>
                    <w:rPr>
                      <w:b/>
                      <w:sz w:val="18"/>
                    </w:rPr>
                    <w:t>:</w:t>
                  </w:r>
                </w:p>
                <w:p>
                  <w:pPr>
                    <w:spacing w:line="207" w:lineRule="exact" w:before="0"/>
                    <w:ind w:left="1418" w:right="0" w:firstLine="0"/>
                    <w:jc w:val="left"/>
                    <w:rPr>
                      <w:b/>
                      <w:sz w:val="14"/>
                    </w:rPr>
                  </w:pPr>
                  <w:r>
                    <w:rPr>
                      <w:b/>
                      <w:sz w:val="18"/>
                    </w:rPr>
                    <w:t>C</w:t>
                  </w:r>
                  <w:r>
                    <w:rPr>
                      <w:b/>
                      <w:sz w:val="14"/>
                    </w:rPr>
                    <w:t>ONVERSION FROM </w:t>
                  </w:r>
                  <w:r>
                    <w:rPr>
                      <w:b/>
                      <w:sz w:val="18"/>
                    </w:rPr>
                    <w:t>C</w:t>
                  </w:r>
                  <w:r>
                    <w:rPr>
                      <w:b/>
                      <w:sz w:val="14"/>
                    </w:rPr>
                    <w:t>ONVENTIONAL TO </w:t>
                  </w:r>
                  <w:r>
                    <w:rPr>
                      <w:b/>
                      <w:sz w:val="18"/>
                    </w:rPr>
                    <w:t>Z</w:t>
                  </w:r>
                  <w:r>
                    <w:rPr>
                      <w:b/>
                      <w:sz w:val="14"/>
                    </w:rPr>
                    <w:t>ERO </w:t>
                  </w:r>
                  <w:r>
                    <w:rPr>
                      <w:b/>
                      <w:sz w:val="18"/>
                    </w:rPr>
                    <w:t>T</w:t>
                  </w:r>
                  <w:r>
                    <w:rPr>
                      <w:b/>
                      <w:sz w:val="14"/>
                    </w:rPr>
                    <w:t>ILLAGE IN </w:t>
                  </w:r>
                  <w:r>
                    <w:rPr>
                      <w:b/>
                      <w:sz w:val="18"/>
                    </w:rPr>
                    <w:t>A</w:t>
                  </w:r>
                  <w:r>
                    <w:rPr>
                      <w:b/>
                      <w:sz w:val="14"/>
                    </w:rPr>
                    <w:t>GRICULTURE</w:t>
                  </w:r>
                </w:p>
                <w:p>
                  <w:pPr>
                    <w:pStyle w:val="BodyText"/>
                    <w:spacing w:before="113"/>
                    <w:ind w:left="107" w:right="101"/>
                    <w:jc w:val="both"/>
                  </w:pPr>
                  <w:r>
                    <w:rPr/>
                    <w:t>Switching from conventional to reduced or zero tillage may cause modifications in soil physical, chemical and biological properties, as well as in water regimes, nutrient dynamics, fossil fuel use, and other factors related to the greenhouse gas balance of the system. The list below contains factors that may be taken into consideration for measuring and monitoring, in addition to changes in the soil organic carbon pool:</w:t>
                  </w:r>
                </w:p>
                <w:p>
                  <w:pPr>
                    <w:pStyle w:val="BodyText"/>
                    <w:numPr>
                      <w:ilvl w:val="0"/>
                      <w:numId w:val="145"/>
                    </w:numPr>
                    <w:tabs>
                      <w:tab w:pos="324" w:val="left" w:leader="none"/>
                    </w:tabs>
                    <w:spacing w:line="240" w:lineRule="auto" w:before="156" w:after="0"/>
                    <w:ind w:left="324" w:right="0" w:hanging="216"/>
                    <w:jc w:val="left"/>
                  </w:pPr>
                  <w:r>
                    <w:rPr/>
                    <w:t>Changes in nitrous oxide and methane emissions from</w:t>
                  </w:r>
                  <w:r>
                    <w:rPr>
                      <w:spacing w:val="-7"/>
                    </w:rPr>
                    <w:t> </w:t>
                  </w:r>
                  <w:r>
                    <w:rPr/>
                    <w:t>soil.</w:t>
                  </w:r>
                </w:p>
                <w:p>
                  <w:pPr>
                    <w:pStyle w:val="BodyText"/>
                    <w:numPr>
                      <w:ilvl w:val="0"/>
                      <w:numId w:val="145"/>
                    </w:numPr>
                    <w:tabs>
                      <w:tab w:pos="324" w:val="left" w:leader="none"/>
                    </w:tabs>
                    <w:spacing w:line="216" w:lineRule="auto" w:before="149" w:after="0"/>
                    <w:ind w:left="324" w:right="105" w:hanging="216"/>
                    <w:jc w:val="left"/>
                  </w:pPr>
                  <w:r>
                    <w:rPr/>
                    <w:t>Changes in carbon dioxide emissions by transportation of agro-chemicals used in addition to those in the baseline</w:t>
                  </w:r>
                  <w:r>
                    <w:rPr>
                      <w:spacing w:val="-2"/>
                    </w:rPr>
                    <w:t> </w:t>
                  </w:r>
                  <w:r>
                    <w:rPr/>
                    <w:t>case.</w:t>
                  </w:r>
                </w:p>
                <w:p>
                  <w:pPr>
                    <w:pStyle w:val="BodyText"/>
                    <w:numPr>
                      <w:ilvl w:val="0"/>
                      <w:numId w:val="145"/>
                    </w:numPr>
                    <w:tabs>
                      <w:tab w:pos="324" w:val="left" w:leader="none"/>
                    </w:tabs>
                    <w:spacing w:line="240" w:lineRule="auto" w:before="162" w:after="0"/>
                    <w:ind w:left="324" w:right="0" w:hanging="216"/>
                    <w:jc w:val="both"/>
                  </w:pPr>
                  <w:r>
                    <w:rPr/>
                    <w:t>Changes in carbon dioxide emissions by burning of fossil fuels in farm</w:t>
                  </w:r>
                  <w:r>
                    <w:rPr>
                      <w:spacing w:val="-22"/>
                    </w:rPr>
                    <w:t> </w:t>
                  </w:r>
                  <w:r>
                    <w:rPr/>
                    <w:t>equipment.</w:t>
                  </w:r>
                </w:p>
              </w:txbxContent>
            </v:textbox>
            <v:stroke dashstyle="solid"/>
          </v:shape>
        </w:pict>
      </w:r>
      <w:r>
        <w:rPr>
          <w:position w:val="0"/>
        </w:rPr>
      </w:r>
    </w:p>
    <w:p>
      <w:pPr>
        <w:pStyle w:val="BodyText"/>
      </w:pPr>
    </w:p>
    <w:p>
      <w:pPr>
        <w:pStyle w:val="BodyText"/>
        <w:spacing w:before="10"/>
        <w:rPr>
          <w:sz w:val="15"/>
        </w:rPr>
      </w:pPr>
      <w:r>
        <w:rPr/>
        <w:pict>
          <v:shape style="position:absolute;margin-left:91.960999pt;margin-top:11.870976pt;width:411.5pt;height:162.15pt;mso-position-horizontal-relative:page;mso-position-vertical-relative:paragraph;z-index:19496;mso-wrap-distance-left:0;mso-wrap-distance-right:0" type="#_x0000_t202" filled="false" stroked="true" strokeweight="1.44pt" strokecolor="#000000">
            <v:textbox inset="0,0,0,0">
              <w:txbxContent>
                <w:p>
                  <w:pPr>
                    <w:spacing w:before="100"/>
                    <w:ind w:left="67" w:right="68" w:firstLine="0"/>
                    <w:jc w:val="center"/>
                    <w:rPr>
                      <w:b/>
                      <w:sz w:val="18"/>
                    </w:rPr>
                  </w:pPr>
                  <w:r>
                    <w:rPr>
                      <w:b/>
                      <w:sz w:val="18"/>
                    </w:rPr>
                    <w:t>B</w:t>
                  </w:r>
                  <w:r>
                    <w:rPr>
                      <w:b/>
                      <w:sz w:val="14"/>
                    </w:rPr>
                    <w:t>OX </w:t>
                  </w:r>
                  <w:r>
                    <w:rPr>
                      <w:b/>
                      <w:sz w:val="18"/>
                    </w:rPr>
                    <w:t>4.3.3</w:t>
                  </w:r>
                </w:p>
                <w:p>
                  <w:pPr>
                    <w:spacing w:before="2"/>
                    <w:ind w:left="1792" w:right="0" w:firstLine="0"/>
                    <w:jc w:val="left"/>
                    <w:rPr>
                      <w:b/>
                      <w:sz w:val="14"/>
                    </w:rPr>
                  </w:pPr>
                  <w:r>
                    <w:rPr>
                      <w:b/>
                      <w:sz w:val="18"/>
                    </w:rPr>
                    <w:t>F</w:t>
                  </w:r>
                  <w:r>
                    <w:rPr>
                      <w:b/>
                      <w:sz w:val="14"/>
                    </w:rPr>
                    <w:t>OREST </w:t>
                  </w:r>
                  <w:r>
                    <w:rPr>
                      <w:b/>
                      <w:sz w:val="18"/>
                    </w:rPr>
                    <w:t>M</w:t>
                  </w:r>
                  <w:r>
                    <w:rPr>
                      <w:b/>
                      <w:sz w:val="14"/>
                    </w:rPr>
                    <w:t>ANAGEMENT </w:t>
                  </w:r>
                  <w:r>
                    <w:rPr>
                      <w:b/>
                      <w:sz w:val="18"/>
                    </w:rPr>
                    <w:t>P</w:t>
                  </w:r>
                  <w:r>
                    <w:rPr>
                      <w:b/>
                      <w:sz w:val="14"/>
                    </w:rPr>
                    <w:t>ROJECTS</w:t>
                  </w:r>
                  <w:r>
                    <w:rPr>
                      <w:b/>
                      <w:sz w:val="18"/>
                    </w:rPr>
                    <w:t>: </w:t>
                  </w:r>
                  <w:r>
                    <w:rPr>
                      <w:b/>
                      <w:sz w:val="14"/>
                    </w:rPr>
                    <w:t>REDUCED IMPACT LOGGING</w:t>
                  </w:r>
                </w:p>
                <w:p>
                  <w:pPr>
                    <w:pStyle w:val="BodyText"/>
                    <w:spacing w:before="113"/>
                    <w:ind w:left="127" w:right="121"/>
                    <w:jc w:val="both"/>
                  </w:pPr>
                  <w:r>
                    <w:rPr/>
                    <w:t>Some logging practices in forests can cause damage to both vegetation and soils that seriously impair regeneration. If adopted as part of sustainable forest management, reduced impact logging is a technique that aims at minimizing these negative impacts, thus reducing carbon dioxide emissions and improving the carbon removal capacity of regrowth. The list below contains factors that may be taken into consideration for measuring and monitoring in addition to changes in carbon stocks in relevant pools, particularly dead wood and soil organic carbon</w:t>
                  </w:r>
                  <w:r>
                    <w:rPr>
                      <w:spacing w:val="-19"/>
                    </w:rPr>
                    <w:t> </w:t>
                  </w:r>
                  <w:r>
                    <w:rPr/>
                    <w:t>pools:</w:t>
                  </w:r>
                </w:p>
                <w:p>
                  <w:pPr>
                    <w:pStyle w:val="BodyText"/>
                    <w:numPr>
                      <w:ilvl w:val="0"/>
                      <w:numId w:val="146"/>
                    </w:numPr>
                    <w:tabs>
                      <w:tab w:pos="344" w:val="left" w:leader="none"/>
                    </w:tabs>
                    <w:spacing w:line="216" w:lineRule="auto" w:before="172" w:after="0"/>
                    <w:ind w:left="343" w:right="121" w:hanging="216"/>
                    <w:jc w:val="left"/>
                  </w:pPr>
                  <w:r>
                    <w:rPr/>
                    <w:t>Changes in carbon dioxide emissions from burning of fossil fuels due to improved harvesting and logging</w:t>
                  </w:r>
                  <w:r>
                    <w:rPr>
                      <w:spacing w:val="-1"/>
                    </w:rPr>
                    <w:t> </w:t>
                  </w:r>
                  <w:r>
                    <w:rPr/>
                    <w:t>logistics.</w:t>
                  </w:r>
                </w:p>
                <w:p>
                  <w:pPr>
                    <w:pStyle w:val="BodyText"/>
                    <w:numPr>
                      <w:ilvl w:val="0"/>
                      <w:numId w:val="146"/>
                    </w:numPr>
                    <w:tabs>
                      <w:tab w:pos="344" w:val="left" w:leader="none"/>
                    </w:tabs>
                    <w:spacing w:line="240" w:lineRule="auto" w:before="161" w:after="0"/>
                    <w:ind w:left="343" w:right="0" w:hanging="216"/>
                    <w:jc w:val="both"/>
                  </w:pPr>
                  <w:r>
                    <w:rPr/>
                    <w:t>Changes in nitrous oxide and methane emissions from</w:t>
                  </w:r>
                  <w:r>
                    <w:rPr>
                      <w:spacing w:val="-7"/>
                    </w:rPr>
                    <w:t> </w:t>
                  </w:r>
                  <w:r>
                    <w:rPr/>
                    <w:t>soil.</w:t>
                  </w:r>
                </w:p>
              </w:txbxContent>
            </v:textbox>
            <v:stroke dashstyle="solid"/>
            <w10:wrap type="topAndBottom"/>
          </v:shape>
        </w:pict>
      </w:r>
    </w:p>
    <w:p>
      <w:pPr>
        <w:pStyle w:val="BodyText"/>
      </w:pPr>
    </w:p>
    <w:p>
      <w:pPr>
        <w:pStyle w:val="BodyText"/>
        <w:spacing w:before="3"/>
        <w:rPr>
          <w:sz w:val="25"/>
        </w:rPr>
      </w:pPr>
      <w:r>
        <w:rPr/>
        <w:pict>
          <v:shape style="position:absolute;margin-left:91.960999pt;margin-top:17.260977pt;width:411.5pt;height:179.2pt;mso-position-horizontal-relative:page;mso-position-vertical-relative:paragraph;z-index:19520;mso-wrap-distance-left:0;mso-wrap-distance-right:0" type="#_x0000_t202" filled="false" stroked="true" strokeweight="1.44pt" strokecolor="#000000">
            <v:textbox inset="0,0,0,0">
              <w:txbxContent>
                <w:p>
                  <w:pPr>
                    <w:spacing w:line="207" w:lineRule="exact" w:before="100"/>
                    <w:ind w:left="67" w:right="68" w:firstLine="0"/>
                    <w:jc w:val="center"/>
                    <w:rPr>
                      <w:b/>
                      <w:sz w:val="18"/>
                    </w:rPr>
                  </w:pPr>
                  <w:r>
                    <w:rPr>
                      <w:b/>
                      <w:sz w:val="18"/>
                    </w:rPr>
                    <w:t>B</w:t>
                  </w:r>
                  <w:r>
                    <w:rPr>
                      <w:b/>
                      <w:sz w:val="14"/>
                    </w:rPr>
                    <w:t>OX </w:t>
                  </w:r>
                  <w:r>
                    <w:rPr>
                      <w:b/>
                      <w:sz w:val="18"/>
                    </w:rPr>
                    <w:t>4.3.4</w:t>
                  </w:r>
                </w:p>
                <w:p>
                  <w:pPr>
                    <w:spacing w:line="206" w:lineRule="exact" w:before="0"/>
                    <w:ind w:left="67" w:right="68" w:firstLine="0"/>
                    <w:jc w:val="center"/>
                    <w:rPr>
                      <w:b/>
                      <w:sz w:val="18"/>
                    </w:rPr>
                  </w:pPr>
                  <w:r>
                    <w:rPr>
                      <w:b/>
                      <w:sz w:val="18"/>
                    </w:rPr>
                    <w:t>F</w:t>
                  </w:r>
                  <w:r>
                    <w:rPr>
                      <w:b/>
                      <w:sz w:val="14"/>
                    </w:rPr>
                    <w:t>OREST IMPROVEMENT</w:t>
                  </w:r>
                  <w:r>
                    <w:rPr>
                      <w:b/>
                      <w:spacing w:val="1"/>
                      <w:sz w:val="14"/>
                    </w:rPr>
                    <w:t> </w:t>
                  </w:r>
                  <w:r>
                    <w:rPr>
                      <w:b/>
                      <w:sz w:val="18"/>
                    </w:rPr>
                    <w:t>P</w:t>
                  </w:r>
                  <w:r>
                    <w:rPr>
                      <w:b/>
                      <w:sz w:val="14"/>
                    </w:rPr>
                    <w:t>ROJECTS</w:t>
                  </w:r>
                  <w:r>
                    <w:rPr>
                      <w:b/>
                      <w:sz w:val="18"/>
                    </w:rPr>
                    <w:t>:</w:t>
                  </w:r>
                </w:p>
                <w:p>
                  <w:pPr>
                    <w:spacing w:line="207" w:lineRule="exact" w:before="0"/>
                    <w:ind w:left="926" w:right="0" w:firstLine="0"/>
                    <w:jc w:val="left"/>
                    <w:rPr>
                      <w:b/>
                      <w:sz w:val="14"/>
                    </w:rPr>
                  </w:pPr>
                  <w:r>
                    <w:rPr>
                      <w:b/>
                      <w:sz w:val="18"/>
                    </w:rPr>
                    <w:t>E</w:t>
                  </w:r>
                  <w:r>
                    <w:rPr>
                      <w:b/>
                      <w:sz w:val="14"/>
                    </w:rPr>
                    <w:t>NRICHMENT </w:t>
                  </w:r>
                  <w:r>
                    <w:rPr>
                      <w:b/>
                      <w:sz w:val="18"/>
                    </w:rPr>
                    <w:t>P</w:t>
                  </w:r>
                  <w:r>
                    <w:rPr>
                      <w:b/>
                      <w:sz w:val="14"/>
                    </w:rPr>
                    <w:t>LANTING ON </w:t>
                  </w:r>
                  <w:r>
                    <w:rPr>
                      <w:b/>
                      <w:sz w:val="18"/>
                    </w:rPr>
                    <w:t>L</w:t>
                  </w:r>
                  <w:r>
                    <w:rPr>
                      <w:b/>
                      <w:sz w:val="14"/>
                    </w:rPr>
                    <w:t>OGGED</w:t>
                  </w:r>
                  <w:r>
                    <w:rPr>
                      <w:b/>
                      <w:sz w:val="18"/>
                    </w:rPr>
                    <w:t>-</w:t>
                  </w:r>
                  <w:r>
                    <w:rPr>
                      <w:b/>
                      <w:sz w:val="14"/>
                    </w:rPr>
                    <w:t>OVER </w:t>
                  </w:r>
                  <w:r>
                    <w:rPr>
                      <w:b/>
                      <w:sz w:val="18"/>
                    </w:rPr>
                    <w:t>F</w:t>
                  </w:r>
                  <w:r>
                    <w:rPr>
                      <w:b/>
                      <w:sz w:val="14"/>
                    </w:rPr>
                    <w:t>OREST OR </w:t>
                  </w:r>
                  <w:r>
                    <w:rPr>
                      <w:b/>
                      <w:sz w:val="18"/>
                    </w:rPr>
                    <w:t>S</w:t>
                  </w:r>
                  <w:r>
                    <w:rPr>
                      <w:b/>
                      <w:sz w:val="14"/>
                    </w:rPr>
                    <w:t>ECONDARY </w:t>
                  </w:r>
                  <w:r>
                    <w:rPr>
                      <w:b/>
                      <w:sz w:val="18"/>
                    </w:rPr>
                    <w:t>G</w:t>
                  </w:r>
                  <w:r>
                    <w:rPr>
                      <w:b/>
                      <w:sz w:val="14"/>
                    </w:rPr>
                    <w:t>ROWTH </w:t>
                  </w:r>
                  <w:r>
                    <w:rPr>
                      <w:b/>
                      <w:sz w:val="18"/>
                    </w:rPr>
                    <w:t>F</w:t>
                  </w:r>
                  <w:r>
                    <w:rPr>
                      <w:b/>
                      <w:sz w:val="14"/>
                    </w:rPr>
                    <w:t>OREST</w:t>
                  </w:r>
                </w:p>
                <w:p>
                  <w:pPr>
                    <w:pStyle w:val="BodyText"/>
                    <w:spacing w:before="116"/>
                    <w:ind w:left="127" w:right="122"/>
                    <w:jc w:val="both"/>
                  </w:pPr>
                  <w:r>
                    <w:rPr/>
                    <w:t>Certain forest harvesting practices, such as selective logging, may cause poor residual tree growth. Enrichment planting with high-growth, commercially-valuable, or multipurpose species usually increases carbon stocks. The list below contains factors that may be taken into consideration for measuring and monitoring in addition to changes in carbon stocks in relevant carbon pools:</w:t>
                  </w:r>
                </w:p>
                <w:p>
                  <w:pPr>
                    <w:pStyle w:val="BodyText"/>
                    <w:numPr>
                      <w:ilvl w:val="0"/>
                      <w:numId w:val="147"/>
                    </w:numPr>
                    <w:tabs>
                      <w:tab w:pos="344" w:val="left" w:leader="none"/>
                    </w:tabs>
                    <w:spacing w:line="216" w:lineRule="auto" w:before="173" w:after="0"/>
                    <w:ind w:left="343" w:right="126" w:hanging="216"/>
                    <w:jc w:val="left"/>
                  </w:pPr>
                  <w:r>
                    <w:rPr/>
                    <w:t>Changes in nitrous oxide emissions from soils due to nitrogen inputs (fertilizers or use of leguminous</w:t>
                  </w:r>
                  <w:r>
                    <w:rPr>
                      <w:spacing w:val="-1"/>
                    </w:rPr>
                    <w:t> </w:t>
                  </w:r>
                  <w:r>
                    <w:rPr/>
                    <w:t>trees).</w:t>
                  </w:r>
                </w:p>
                <w:p>
                  <w:pPr>
                    <w:pStyle w:val="BodyText"/>
                    <w:numPr>
                      <w:ilvl w:val="0"/>
                      <w:numId w:val="147"/>
                    </w:numPr>
                    <w:tabs>
                      <w:tab w:pos="344" w:val="left" w:leader="none"/>
                    </w:tabs>
                    <w:spacing w:line="218" w:lineRule="auto" w:before="176" w:after="0"/>
                    <w:ind w:left="343" w:right="124" w:hanging="216"/>
                    <w:jc w:val="left"/>
                  </w:pPr>
                  <w:r>
                    <w:rPr/>
                    <w:t>Changes in carbon dioxide emissions by burning of fossil fuels for site preparation, logging and wood transportation, in addition to those in the baseline</w:t>
                  </w:r>
                  <w:r>
                    <w:rPr>
                      <w:spacing w:val="-4"/>
                    </w:rPr>
                    <w:t> </w:t>
                  </w:r>
                  <w:r>
                    <w:rPr/>
                    <w:t>case.</w:t>
                  </w:r>
                </w:p>
                <w:p>
                  <w:pPr>
                    <w:pStyle w:val="BodyText"/>
                    <w:numPr>
                      <w:ilvl w:val="0"/>
                      <w:numId w:val="147"/>
                    </w:numPr>
                    <w:tabs>
                      <w:tab w:pos="344" w:val="left" w:leader="none"/>
                    </w:tabs>
                    <w:spacing w:line="240" w:lineRule="auto" w:before="158" w:after="0"/>
                    <w:ind w:left="343" w:right="0" w:hanging="216"/>
                    <w:jc w:val="left"/>
                  </w:pPr>
                  <w:r>
                    <w:rPr/>
                    <w:t>Changes in methane oxidation caused by changes in vegetation and soil</w:t>
                  </w:r>
                  <w:r>
                    <w:rPr>
                      <w:spacing w:val="-12"/>
                    </w:rPr>
                    <w:t> </w:t>
                  </w:r>
                  <w:r>
                    <w:rPr/>
                    <w:t>management.</w:t>
                  </w:r>
                </w:p>
              </w:txbxContent>
            </v:textbox>
            <v:stroke dashstyle="solid"/>
            <w10:wrap type="topAndBottom"/>
          </v:shape>
        </w:pict>
      </w:r>
    </w:p>
    <w:p>
      <w:pPr>
        <w:spacing w:after="0"/>
        <w:rPr>
          <w:sz w:val="25"/>
        </w:rPr>
        <w:sectPr>
          <w:pgSz w:w="11900" w:h="16840"/>
          <w:pgMar w:header="233" w:footer="408" w:top="560" w:bottom="600" w:left="1240" w:right="0"/>
        </w:sectPr>
      </w:pPr>
    </w:p>
    <w:p>
      <w:pPr>
        <w:pStyle w:val="BodyText"/>
      </w:pPr>
    </w:p>
    <w:p>
      <w:pPr>
        <w:pStyle w:val="BodyText"/>
      </w:pPr>
    </w:p>
    <w:p>
      <w:pPr>
        <w:pStyle w:val="BodyText"/>
        <w:spacing w:before="6"/>
        <w:rPr>
          <w:sz w:val="22"/>
        </w:rPr>
      </w:pPr>
    </w:p>
    <w:p>
      <w:pPr>
        <w:pStyle w:val="Heading2"/>
        <w:numPr>
          <w:ilvl w:val="2"/>
          <w:numId w:val="143"/>
        </w:numPr>
        <w:tabs>
          <w:tab w:pos="1381" w:val="left" w:leader="none"/>
          <w:tab w:pos="1382" w:val="left" w:leader="none"/>
        </w:tabs>
        <w:spacing w:line="240" w:lineRule="auto" w:before="86" w:after="0"/>
        <w:ind w:left="1381" w:right="1953" w:hanging="1202"/>
        <w:jc w:val="left"/>
      </w:pPr>
      <w:r>
        <w:rPr>
          <w:spacing w:val="8"/>
        </w:rPr>
        <w:t>Measuring, monitoring, </w:t>
      </w:r>
      <w:r>
        <w:rPr>
          <w:spacing w:val="7"/>
        </w:rPr>
        <w:t>and </w:t>
      </w:r>
      <w:r>
        <w:rPr>
          <w:spacing w:val="8"/>
        </w:rPr>
        <w:t>estimating changes </w:t>
      </w:r>
      <w:r>
        <w:rPr>
          <w:spacing w:val="6"/>
        </w:rPr>
        <w:t>in </w:t>
      </w:r>
      <w:r>
        <w:rPr>
          <w:spacing w:val="8"/>
        </w:rPr>
        <w:t>carbon stocks </w:t>
      </w:r>
      <w:r>
        <w:rPr>
          <w:spacing w:val="6"/>
        </w:rPr>
        <w:t>and </w:t>
      </w:r>
      <w:r>
        <w:rPr>
          <w:spacing w:val="7"/>
        </w:rPr>
        <w:t>non-CO</w:t>
      </w:r>
      <w:r>
        <w:rPr>
          <w:spacing w:val="7"/>
          <w:vertAlign w:val="subscript"/>
        </w:rPr>
        <w:t>2</w:t>
      </w:r>
      <w:r>
        <w:rPr>
          <w:spacing w:val="7"/>
          <w:vertAlign w:val="baseline"/>
        </w:rPr>
        <w:t> </w:t>
      </w:r>
      <w:r>
        <w:rPr>
          <w:spacing w:val="9"/>
          <w:vertAlign w:val="baseline"/>
        </w:rPr>
        <w:t>greenhouse</w:t>
      </w:r>
      <w:r>
        <w:rPr>
          <w:spacing w:val="67"/>
          <w:vertAlign w:val="baseline"/>
        </w:rPr>
        <w:t> </w:t>
      </w:r>
      <w:r>
        <w:rPr>
          <w:spacing w:val="10"/>
          <w:vertAlign w:val="baseline"/>
        </w:rPr>
        <w:t>gas</w:t>
      </w:r>
    </w:p>
    <w:p>
      <w:pPr>
        <w:spacing w:line="362" w:lineRule="exact" w:before="0"/>
        <w:ind w:left="1381" w:right="0" w:firstLine="0"/>
        <w:jc w:val="left"/>
        <w:rPr>
          <w:sz w:val="32"/>
        </w:rPr>
      </w:pPr>
      <w:r>
        <w:rPr>
          <w:b/>
          <w:sz w:val="32"/>
        </w:rPr>
        <w:t>emissions</w:t>
      </w:r>
      <w:r>
        <w:rPr>
          <w:sz w:val="32"/>
          <w:vertAlign w:val="superscript"/>
        </w:rPr>
        <w:t>65</w:t>
      </w:r>
    </w:p>
    <w:p>
      <w:pPr>
        <w:pStyle w:val="BodyText"/>
        <w:spacing w:before="121"/>
        <w:ind w:left="179" w:right="1404"/>
        <w:jc w:val="both"/>
      </w:pPr>
      <w:r>
        <w:rPr/>
        <w:t>A key aspect of implementing LULUCF projects for mitigating greenhouse gas emissions is the accurate and precise estimation of greenhouse gas emissions and removals that are directly attributable to project activities. Techniques and methods for measuring, monitoring, and estimating terrestrial carbon pools that are based on commonly accepted principles of forest inventory, soil sampling, and ecological surveys are well established and applicable to LULUCF projects (Paivinen </w:t>
      </w:r>
      <w:r>
        <w:rPr>
          <w:i/>
        </w:rPr>
        <w:t>et al.</w:t>
      </w:r>
      <w:r>
        <w:rPr/>
        <w:t>, 1994; Pinard and Putz, 1997; MacDicken, 1997; Post </w:t>
      </w:r>
      <w:r>
        <w:rPr>
          <w:i/>
        </w:rPr>
        <w:t>et al.</w:t>
      </w:r>
      <w:r>
        <w:rPr/>
        <w:t>, 1999; Brown </w:t>
      </w:r>
      <w:r>
        <w:rPr>
          <w:i/>
        </w:rPr>
        <w:t>et al.</w:t>
      </w:r>
      <w:r>
        <w:rPr/>
        <w:t>, 2000a, 2000b; Schlegel </w:t>
      </w:r>
      <w:r>
        <w:rPr>
          <w:i/>
        </w:rPr>
        <w:t>et al.</w:t>
      </w:r>
      <w:r>
        <w:rPr/>
        <w:t>, 2001; Brown, 2002; Segura and Kanninen, 2002). These techniques and methods will be elaborated further in this section.</w:t>
      </w:r>
    </w:p>
    <w:p>
      <w:pPr>
        <w:pStyle w:val="BodyText"/>
        <w:spacing w:before="118"/>
        <w:ind w:left="179" w:right="1403"/>
        <w:jc w:val="both"/>
      </w:pPr>
      <w:r>
        <w:rPr/>
        <w:t>Methods for measuring and estimating non-CO</w:t>
      </w:r>
      <w:r>
        <w:rPr>
          <w:vertAlign w:val="subscript"/>
        </w:rPr>
        <w:t>2</w:t>
      </w:r>
      <w:r>
        <w:rPr>
          <w:vertAlign w:val="baseline"/>
        </w:rPr>
        <w:t> greenhouse gas emissions and removals are less well developed. However, projects could include practices that affect non-CO</w:t>
      </w:r>
      <w:r>
        <w:rPr>
          <w:vertAlign w:val="subscript"/>
        </w:rPr>
        <w:t>2</w:t>
      </w:r>
      <w:r>
        <w:rPr>
          <w:vertAlign w:val="baseline"/>
        </w:rPr>
        <w:t> greenhouse gases. Such practices include fertilizer application to enhance tree growth (possible N</w:t>
      </w:r>
      <w:r>
        <w:rPr>
          <w:vertAlign w:val="subscript"/>
        </w:rPr>
        <w:t>2</w:t>
      </w:r>
      <w:r>
        <w:rPr>
          <w:vertAlign w:val="baseline"/>
        </w:rPr>
        <w:t>O emissions), wetland restoration (possible increase in CH</w:t>
      </w:r>
      <w:r>
        <w:rPr>
          <w:vertAlign w:val="subscript"/>
        </w:rPr>
        <w:t>4</w:t>
      </w:r>
      <w:r>
        <w:rPr>
          <w:vertAlign w:val="baseline"/>
        </w:rPr>
        <w:t> emissions), use of nitrogen-fixing plants (possible increase in N</w:t>
      </w:r>
      <w:r>
        <w:rPr>
          <w:vertAlign w:val="subscript"/>
        </w:rPr>
        <w:t>2</w:t>
      </w:r>
      <w:r>
        <w:rPr>
          <w:vertAlign w:val="baseline"/>
        </w:rPr>
        <w:t>O emissions) and biomass burning during site preparation (possible change in N</w:t>
      </w:r>
      <w:r>
        <w:rPr>
          <w:vertAlign w:val="subscript"/>
        </w:rPr>
        <w:t>2</w:t>
      </w:r>
      <w:r>
        <w:rPr>
          <w:vertAlign w:val="baseline"/>
        </w:rPr>
        <w:t>O and CH</w:t>
      </w:r>
      <w:r>
        <w:rPr>
          <w:vertAlign w:val="subscript"/>
        </w:rPr>
        <w:t>4</w:t>
      </w:r>
      <w:r>
        <w:rPr>
          <w:vertAlign w:val="baseline"/>
        </w:rPr>
        <w:t> emissions). Section 4.3.3.6 gives further advice on measuring, monitoring, and estimating emissions of non-CO</w:t>
      </w:r>
      <w:r>
        <w:rPr>
          <w:vertAlign w:val="subscript"/>
        </w:rPr>
        <w:t>2</w:t>
      </w:r>
      <w:r>
        <w:rPr>
          <w:vertAlign w:val="baseline"/>
        </w:rPr>
        <w:t> greenhouse gases for LULUCF projects.</w:t>
      </w:r>
    </w:p>
    <w:p>
      <w:pPr>
        <w:pStyle w:val="BodyText"/>
        <w:spacing w:before="120"/>
        <w:ind w:left="179" w:right="1354"/>
        <w:jc w:val="both"/>
      </w:pPr>
      <w:r>
        <w:rPr/>
        <w:t>Although the methods described here are appropriate for most situations at present, scientists are constantly developing new, and often more cost-effective, methods, and it is recommended to maintain awareness of the progress in this area. For example, remote sensing technology is a fast developing field and new sensors are  being tested and launched ( e.g., higher resolution sensors, radar systems) that could prove to be useful for planning, stratifying, and measuring and monitoring projects more cost-effectively. Furthermore, costs could be defrayed</w:t>
      </w:r>
      <w:r>
        <w:rPr>
          <w:spacing w:val="-4"/>
        </w:rPr>
        <w:t> </w:t>
      </w:r>
      <w:r>
        <w:rPr/>
        <w:t>if</w:t>
      </w:r>
      <w:r>
        <w:rPr>
          <w:spacing w:val="-3"/>
        </w:rPr>
        <w:t> </w:t>
      </w:r>
      <w:r>
        <w:rPr/>
        <w:t>measuring</w:t>
      </w:r>
      <w:r>
        <w:rPr>
          <w:spacing w:val="-5"/>
        </w:rPr>
        <w:t> </w:t>
      </w:r>
      <w:r>
        <w:rPr/>
        <w:t>and</w:t>
      </w:r>
      <w:r>
        <w:rPr>
          <w:spacing w:val="-2"/>
        </w:rPr>
        <w:t> </w:t>
      </w:r>
      <w:r>
        <w:rPr/>
        <w:t>monitoring</w:t>
      </w:r>
      <w:r>
        <w:rPr>
          <w:spacing w:val="-5"/>
        </w:rPr>
        <w:t> </w:t>
      </w:r>
      <w:r>
        <w:rPr/>
        <w:t>carbon</w:t>
      </w:r>
      <w:r>
        <w:rPr>
          <w:spacing w:val="-3"/>
        </w:rPr>
        <w:t> </w:t>
      </w:r>
      <w:r>
        <w:rPr/>
        <w:t>was</w:t>
      </w:r>
      <w:r>
        <w:rPr>
          <w:spacing w:val="-5"/>
        </w:rPr>
        <w:t> </w:t>
      </w:r>
      <w:r>
        <w:rPr/>
        <w:t>combined</w:t>
      </w:r>
      <w:r>
        <w:rPr>
          <w:spacing w:val="1"/>
        </w:rPr>
        <w:t> </w:t>
      </w:r>
      <w:r>
        <w:rPr/>
        <w:t>with</w:t>
      </w:r>
      <w:r>
        <w:rPr>
          <w:spacing w:val="-1"/>
        </w:rPr>
        <w:t> </w:t>
      </w:r>
      <w:r>
        <w:rPr/>
        <w:t>multipurpose</w:t>
      </w:r>
      <w:r>
        <w:rPr>
          <w:spacing w:val="-3"/>
        </w:rPr>
        <w:t> </w:t>
      </w:r>
      <w:r>
        <w:rPr/>
        <w:t>resource</w:t>
      </w:r>
      <w:r>
        <w:rPr>
          <w:spacing w:val="-3"/>
        </w:rPr>
        <w:t> </w:t>
      </w:r>
      <w:r>
        <w:rPr/>
        <w:t>inventories</w:t>
      </w:r>
      <w:r>
        <w:rPr>
          <w:spacing w:val="-5"/>
        </w:rPr>
        <w:t> </w:t>
      </w:r>
      <w:r>
        <w:rPr/>
        <w:t>(Lund</w:t>
      </w:r>
      <w:r>
        <w:rPr>
          <w:spacing w:val="-4"/>
        </w:rPr>
        <w:t> </w:t>
      </w:r>
      <w:r>
        <w:rPr/>
        <w:t>1998).</w:t>
      </w:r>
    </w:p>
    <w:p>
      <w:pPr>
        <w:pStyle w:val="BodyText"/>
        <w:spacing w:before="118"/>
        <w:ind w:left="179" w:right="1400"/>
        <w:jc w:val="both"/>
      </w:pPr>
      <w:r>
        <w:rPr/>
        <w:t>Selective or partial accounting systems of the pools may be appropriate for projects as long as all pools for which emissions are likely to increase as a result of the project (loss of carbon or emission of non-CO</w:t>
      </w:r>
      <w:r>
        <w:rPr>
          <w:vertAlign w:val="subscript"/>
        </w:rPr>
        <w:t>2</w:t>
      </w:r>
      <w:r>
        <w:rPr>
          <w:vertAlign w:val="baseline"/>
        </w:rPr>
        <w:t> greenhouse gases) are included (Brown </w:t>
      </w:r>
      <w:r>
        <w:rPr>
          <w:i/>
          <w:vertAlign w:val="baseline"/>
        </w:rPr>
        <w:t>et al.</w:t>
      </w:r>
      <w:r>
        <w:rPr>
          <w:vertAlign w:val="baseline"/>
        </w:rPr>
        <w:t>, 2000b). However, for Article 12, the decision regarding the application of selective accounting of the pools is still under discussion by SBSTA. Possible criteria affecting the selection of carbon-accumulating pools to measure and monitor include the following: magnitude of the pool and its rate of change; availability of appropriate methods; cost to measure; attainable accuracy and precision (cf. Section 4.3.3.3).</w:t>
      </w:r>
    </w:p>
    <w:p>
      <w:pPr>
        <w:pStyle w:val="BodyText"/>
        <w:spacing w:before="120"/>
        <w:ind w:left="179" w:right="1402"/>
        <w:jc w:val="both"/>
      </w:pPr>
      <w:r>
        <w:rPr/>
        <w:t>There is a trade-off between the desired precision level of carbon-stock estimates and cost that is related to the spatial variability of the carbon-stock changes within the project boundary. The more spatially variable the carbon stocks in a project, the more sampling plots are needed to attain a given precision at the same confidence level. This may result, in principle, in cost implications to implement the measuring and monitoring plan. Stratification of the project lands into a reasonable number of relatively homogeneous units can reduce the number of plots needed for measuring, monitoring, and estimating. In general, the costs will increase with: the number of pools that need to be monitored; frequency of monitoring; precision level that is targeted; and the complexity of monitoring methods. The frequency of monitoring that is needed to detect change is related to the rate and magnitude of change: the smaller the expected change, the greater the potential that frequent monitoring will not detect a significant change. That is, frequency of monitoring should be determined by the magnitude of expected change—more frequent monitoring is applicable if the expected magnitude of change is large.</w:t>
      </w:r>
    </w:p>
    <w:p>
      <w:pPr>
        <w:pStyle w:val="BodyText"/>
        <w:spacing w:before="117"/>
        <w:ind w:left="179" w:right="1402"/>
        <w:jc w:val="both"/>
      </w:pPr>
      <w:r>
        <w:rPr/>
        <w:t>It is also necessary to monitor the overall performance of the project site to demonstrate that the project has accomplished what was originally proposed (e.g., that the project has achieved the targeted total planted area.) Measuring carbon at sampling plots only will not accomplish this, and additional steps are needed to monitor the overall performance of the project area.</w:t>
      </w:r>
    </w:p>
    <w:p>
      <w:pPr>
        <w:pStyle w:val="BodyText"/>
        <w:spacing w:before="120"/>
        <w:ind w:left="179" w:right="1406"/>
        <w:jc w:val="both"/>
      </w:pPr>
      <w:r>
        <w:rPr/>
        <w:t>Practical steps for designing and implementing a carbon measuring and monitoring plan are provided below, with multiple methods for various carbon pools. All methods provided are a combination of default data, field measurements, and models. In other words, the methods described here are multi-tier</w:t>
      </w:r>
      <w:r>
        <w:rPr>
          <w:spacing w:val="-6"/>
        </w:rPr>
        <w:t> </w:t>
      </w:r>
      <w:r>
        <w:rPr/>
        <w:t>approaches.</w:t>
      </w:r>
    </w:p>
    <w:p>
      <w:pPr>
        <w:pStyle w:val="BodyText"/>
      </w:pPr>
    </w:p>
    <w:p>
      <w:pPr>
        <w:pStyle w:val="BodyText"/>
        <w:spacing w:before="10"/>
        <w:rPr>
          <w:sz w:val="19"/>
        </w:rPr>
      </w:pPr>
      <w:r>
        <w:rPr/>
        <w:pict>
          <v:line style="position:absolute;mso-position-horizontal-relative:page;mso-position-vertical-relative:paragraph;z-index:19544;mso-wrap-distance-left:0;mso-wrap-distance-right:0" from="70.960999pt,13.623859pt" to="214.960999pt,13.623859pt" stroked="true" strokeweight=".48pt" strokecolor="#000000">
            <v:stroke dashstyle="solid"/>
            <w10:wrap type="topAndBottom"/>
          </v:line>
        </w:pict>
      </w:r>
    </w:p>
    <w:p>
      <w:pPr>
        <w:spacing w:before="153"/>
        <w:ind w:left="337" w:right="1403" w:hanging="159"/>
        <w:jc w:val="both"/>
        <w:rPr>
          <w:sz w:val="18"/>
        </w:rPr>
      </w:pPr>
      <w:r>
        <w:rPr>
          <w:position w:val="8"/>
          <w:sz w:val="12"/>
        </w:rPr>
        <w:t>65 </w:t>
      </w:r>
      <w:r>
        <w:rPr>
          <w:sz w:val="18"/>
        </w:rPr>
        <w:t>According to paragraph 53 in the Annex to the draft Decision -/CMP.1 (Article 12), project participants of Article 12 project activities are required to include the monitoring plan that provides for the collection and archiving of all relevant data necessary for estimating or measuring anthropogenic emissions by sources or removals by sinks of greenhouse gases occurring within the project boundary, cf. document FCCC/CP/2001/13/Add.2,</w:t>
      </w:r>
      <w:r>
        <w:rPr>
          <w:spacing w:val="-3"/>
          <w:sz w:val="18"/>
        </w:rPr>
        <w:t> </w:t>
      </w:r>
      <w:r>
        <w:rPr>
          <w:sz w:val="18"/>
        </w:rPr>
        <w:t>p.38.</w:t>
      </w:r>
    </w:p>
    <w:p>
      <w:pPr>
        <w:spacing w:after="0"/>
        <w:jc w:val="both"/>
        <w:rPr>
          <w:sz w:val="18"/>
        </w:rPr>
        <w:sectPr>
          <w:pgSz w:w="11900" w:h="16840"/>
          <w:pgMar w:header="230" w:footer="408" w:top="560" w:bottom="600" w:left="1240" w:right="0"/>
        </w:sectPr>
      </w:pPr>
    </w:p>
    <w:p>
      <w:pPr>
        <w:pStyle w:val="BodyText"/>
      </w:pPr>
    </w:p>
    <w:p>
      <w:pPr>
        <w:pStyle w:val="BodyText"/>
        <w:spacing w:before="209"/>
        <w:ind w:left="179" w:right="1407"/>
      </w:pPr>
      <w:r>
        <w:rPr/>
        <w:t>The recommended practical steps for designing and implementing a plan to measure, monitor, and estimate carbon-stock changes and non-CO</w:t>
      </w:r>
      <w:r>
        <w:rPr>
          <w:vertAlign w:val="subscript"/>
        </w:rPr>
        <w:t>2</w:t>
      </w:r>
      <w:r>
        <w:rPr>
          <w:vertAlign w:val="baseline"/>
        </w:rPr>
        <w:t> greenhouse gas emissions are</w:t>
      </w:r>
      <w:r>
        <w:rPr>
          <w:vertAlign w:val="superscript"/>
        </w:rPr>
        <w:t>66</w:t>
      </w:r>
      <w:r>
        <w:rPr>
          <w:vertAlign w:val="baseline"/>
        </w:rPr>
        <w:t>:</w:t>
      </w:r>
    </w:p>
    <w:p>
      <w:pPr>
        <w:pStyle w:val="ListParagraph"/>
        <w:numPr>
          <w:ilvl w:val="0"/>
          <w:numId w:val="117"/>
        </w:numPr>
        <w:tabs>
          <w:tab w:pos="539" w:val="left" w:leader="none"/>
          <w:tab w:pos="540" w:val="left" w:leader="none"/>
        </w:tabs>
        <w:spacing w:line="240" w:lineRule="auto" w:before="135" w:after="0"/>
        <w:ind w:left="539" w:right="0" w:hanging="360"/>
        <w:jc w:val="left"/>
        <w:rPr>
          <w:sz w:val="20"/>
        </w:rPr>
      </w:pPr>
      <w:r>
        <w:rPr>
          <w:sz w:val="20"/>
        </w:rPr>
        <w:t>Develop the</w:t>
      </w:r>
      <w:r>
        <w:rPr>
          <w:spacing w:val="1"/>
          <w:sz w:val="20"/>
        </w:rPr>
        <w:t> </w:t>
      </w:r>
      <w:r>
        <w:rPr>
          <w:sz w:val="20"/>
        </w:rPr>
        <w:t>baseline.</w:t>
      </w:r>
    </w:p>
    <w:p>
      <w:pPr>
        <w:pStyle w:val="ListParagraph"/>
        <w:numPr>
          <w:ilvl w:val="0"/>
          <w:numId w:val="117"/>
        </w:numPr>
        <w:tabs>
          <w:tab w:pos="539" w:val="left" w:leader="none"/>
          <w:tab w:pos="540" w:val="left" w:leader="none"/>
        </w:tabs>
        <w:spacing w:line="240" w:lineRule="auto" w:before="119" w:after="0"/>
        <w:ind w:left="539" w:right="0" w:hanging="360"/>
        <w:jc w:val="left"/>
        <w:rPr>
          <w:sz w:val="20"/>
        </w:rPr>
      </w:pPr>
      <w:r>
        <w:rPr>
          <w:sz w:val="20"/>
        </w:rPr>
        <w:t>Stratify the project</w:t>
      </w:r>
      <w:r>
        <w:rPr>
          <w:spacing w:val="-2"/>
          <w:sz w:val="20"/>
        </w:rPr>
        <w:t> </w:t>
      </w:r>
      <w:r>
        <w:rPr>
          <w:sz w:val="20"/>
        </w:rPr>
        <w:t>area.</w:t>
      </w:r>
    </w:p>
    <w:p>
      <w:pPr>
        <w:pStyle w:val="ListParagraph"/>
        <w:numPr>
          <w:ilvl w:val="0"/>
          <w:numId w:val="117"/>
        </w:numPr>
        <w:tabs>
          <w:tab w:pos="539" w:val="left" w:leader="none"/>
          <w:tab w:pos="540" w:val="left" w:leader="none"/>
        </w:tabs>
        <w:spacing w:line="223" w:lineRule="auto" w:before="127" w:after="0"/>
        <w:ind w:left="536" w:right="1408" w:hanging="357"/>
        <w:jc w:val="left"/>
        <w:rPr>
          <w:sz w:val="20"/>
        </w:rPr>
      </w:pPr>
      <w:r>
        <w:rPr>
          <w:sz w:val="20"/>
        </w:rPr>
        <w:t>Identify the relevant carbon pools and non-CO</w:t>
      </w:r>
      <w:r>
        <w:rPr>
          <w:sz w:val="20"/>
          <w:vertAlign w:val="subscript"/>
        </w:rPr>
        <w:t>2</w:t>
      </w:r>
      <w:r>
        <w:rPr>
          <w:sz w:val="20"/>
          <w:vertAlign w:val="baseline"/>
        </w:rPr>
        <w:t> greenhouse gases (this applies presently for Article 6 only; pools to be included in Article 12 are presently being discussed by the</w:t>
      </w:r>
      <w:r>
        <w:rPr>
          <w:spacing w:val="-13"/>
          <w:sz w:val="20"/>
          <w:vertAlign w:val="baseline"/>
        </w:rPr>
        <w:t> </w:t>
      </w:r>
      <w:r>
        <w:rPr>
          <w:sz w:val="20"/>
          <w:vertAlign w:val="baseline"/>
        </w:rPr>
        <w:t>SBSTA).</w:t>
      </w:r>
    </w:p>
    <w:p>
      <w:pPr>
        <w:pStyle w:val="ListParagraph"/>
        <w:numPr>
          <w:ilvl w:val="0"/>
          <w:numId w:val="117"/>
        </w:numPr>
        <w:tabs>
          <w:tab w:pos="539" w:val="left" w:leader="none"/>
          <w:tab w:pos="540" w:val="left" w:leader="none"/>
        </w:tabs>
        <w:spacing w:line="240" w:lineRule="auto" w:before="139" w:after="0"/>
        <w:ind w:left="539" w:right="0" w:hanging="360"/>
        <w:jc w:val="left"/>
        <w:rPr>
          <w:sz w:val="20"/>
        </w:rPr>
      </w:pPr>
      <w:r>
        <w:rPr>
          <w:sz w:val="20"/>
        </w:rPr>
        <w:t>Design the sampling</w:t>
      </w:r>
      <w:r>
        <w:rPr>
          <w:spacing w:val="-1"/>
          <w:sz w:val="20"/>
        </w:rPr>
        <w:t> </w:t>
      </w:r>
      <w:r>
        <w:rPr>
          <w:sz w:val="20"/>
        </w:rPr>
        <w:t>framework.</w:t>
      </w:r>
    </w:p>
    <w:p>
      <w:pPr>
        <w:pStyle w:val="ListParagraph"/>
        <w:numPr>
          <w:ilvl w:val="0"/>
          <w:numId w:val="117"/>
        </w:numPr>
        <w:tabs>
          <w:tab w:pos="539" w:val="left" w:leader="none"/>
          <w:tab w:pos="540" w:val="left" w:leader="none"/>
        </w:tabs>
        <w:spacing w:line="240" w:lineRule="auto" w:before="119" w:after="0"/>
        <w:ind w:left="539" w:right="0" w:hanging="360"/>
        <w:jc w:val="left"/>
        <w:rPr>
          <w:sz w:val="20"/>
        </w:rPr>
      </w:pPr>
      <w:r>
        <w:rPr>
          <w:sz w:val="20"/>
        </w:rPr>
        <w:t>Identify the methods (field and models) for monitoring carbon pools and non-CO</w:t>
      </w:r>
      <w:r>
        <w:rPr>
          <w:sz w:val="20"/>
          <w:vertAlign w:val="subscript"/>
        </w:rPr>
        <w:t>2</w:t>
      </w:r>
      <w:r>
        <w:rPr>
          <w:sz w:val="20"/>
          <w:vertAlign w:val="baseline"/>
        </w:rPr>
        <w:t> greenhouse</w:t>
      </w:r>
      <w:r>
        <w:rPr>
          <w:spacing w:val="-7"/>
          <w:sz w:val="20"/>
          <w:vertAlign w:val="baseline"/>
        </w:rPr>
        <w:t> </w:t>
      </w:r>
      <w:r>
        <w:rPr>
          <w:sz w:val="20"/>
          <w:vertAlign w:val="baseline"/>
        </w:rPr>
        <w:t>gases.</w:t>
      </w:r>
    </w:p>
    <w:p>
      <w:pPr>
        <w:pStyle w:val="ListParagraph"/>
        <w:numPr>
          <w:ilvl w:val="0"/>
          <w:numId w:val="117"/>
        </w:numPr>
        <w:tabs>
          <w:tab w:pos="539" w:val="left" w:leader="none"/>
          <w:tab w:pos="540" w:val="left" w:leader="none"/>
        </w:tabs>
        <w:spacing w:line="340" w:lineRule="auto" w:before="116" w:after="0"/>
        <w:ind w:left="179" w:right="3559" w:firstLine="0"/>
        <w:jc w:val="left"/>
        <w:rPr>
          <w:sz w:val="20"/>
        </w:rPr>
      </w:pPr>
      <w:r>
        <w:rPr>
          <w:sz w:val="20"/>
        </w:rPr>
        <w:t>Develop the monitoring plan, including the quality assurance/quality control plan. The details on each one of these steps are described</w:t>
      </w:r>
      <w:r>
        <w:rPr>
          <w:spacing w:val="-6"/>
          <w:sz w:val="20"/>
        </w:rPr>
        <w:t> </w:t>
      </w:r>
      <w:r>
        <w:rPr>
          <w:sz w:val="20"/>
        </w:rPr>
        <w:t>next.</w:t>
      </w:r>
    </w:p>
    <w:p>
      <w:pPr>
        <w:pStyle w:val="BodyText"/>
        <w:spacing w:before="1"/>
        <w:rPr>
          <w:sz w:val="27"/>
        </w:rPr>
      </w:pPr>
    </w:p>
    <w:p>
      <w:pPr>
        <w:pStyle w:val="Heading6"/>
        <w:numPr>
          <w:ilvl w:val="3"/>
          <w:numId w:val="143"/>
        </w:numPr>
        <w:tabs>
          <w:tab w:pos="1619" w:val="left" w:leader="none"/>
          <w:tab w:pos="1620" w:val="left" w:leader="none"/>
        </w:tabs>
        <w:spacing w:line="240" w:lineRule="auto" w:before="0" w:after="0"/>
        <w:ind w:left="1619" w:right="0" w:hanging="1440"/>
        <w:jc w:val="left"/>
      </w:pPr>
      <w:r>
        <w:rPr>
          <w:spacing w:val="16"/>
          <w:sz w:val="28"/>
        </w:rPr>
        <w:t>B</w:t>
      </w:r>
      <w:r>
        <w:rPr>
          <w:spacing w:val="16"/>
        </w:rPr>
        <w:t>ASELINE</w:t>
      </w:r>
    </w:p>
    <w:p>
      <w:pPr>
        <w:pStyle w:val="BodyText"/>
        <w:spacing w:before="209"/>
        <w:ind w:left="179" w:right="1406"/>
        <w:jc w:val="both"/>
      </w:pPr>
      <w:r>
        <w:rPr/>
        <w:t>The baseline for an Article 6 project is the scenario that reasonably represents the anthropogenic emissions by sources and anthropogenic removals by sinks of greenhouse gases that would occur in the absence of the proposed project. This implies the need to assess potential greenhouse gas emissions and removals in a manner consistent with those associated with the project. For Article 12, issues related to the definition, which pools, gases, and activities the baseline shall include, how the baseline will be established, and choices of a baseline methodology are presently under consideration by SBSTA.</w:t>
      </w:r>
    </w:p>
    <w:p>
      <w:pPr>
        <w:pStyle w:val="BodyText"/>
        <w:spacing w:before="120"/>
        <w:ind w:left="179" w:right="1402"/>
        <w:jc w:val="both"/>
      </w:pPr>
      <w:r>
        <w:rPr/>
        <w:t>Changes in the carbon stocks in the relevant carbon pools and the non-CO</w:t>
      </w:r>
      <w:r>
        <w:rPr>
          <w:vertAlign w:val="subscript"/>
        </w:rPr>
        <w:t>2</w:t>
      </w:r>
      <w:r>
        <w:rPr>
          <w:vertAlign w:val="baseline"/>
        </w:rPr>
        <w:t> greenhouse gas emissions associated with the project need to be measured and monitored and then compared to those of the project’s baseline. There are two aspects that have to be considered:</w:t>
      </w:r>
    </w:p>
    <w:p>
      <w:pPr>
        <w:pStyle w:val="ListParagraph"/>
        <w:numPr>
          <w:ilvl w:val="0"/>
          <w:numId w:val="117"/>
        </w:numPr>
        <w:tabs>
          <w:tab w:pos="540" w:val="left" w:leader="none"/>
        </w:tabs>
        <w:spacing w:line="237" w:lineRule="auto" w:before="135" w:after="0"/>
        <w:ind w:left="539" w:right="1402" w:hanging="360"/>
        <w:jc w:val="both"/>
        <w:rPr>
          <w:sz w:val="20"/>
        </w:rPr>
      </w:pPr>
      <w:r>
        <w:rPr>
          <w:sz w:val="20"/>
        </w:rPr>
        <w:t>The relevant carbon pools and non-CO</w:t>
      </w:r>
      <w:r>
        <w:rPr>
          <w:sz w:val="20"/>
          <w:vertAlign w:val="subscript"/>
        </w:rPr>
        <w:t>2</w:t>
      </w:r>
      <w:r>
        <w:rPr>
          <w:sz w:val="20"/>
          <w:vertAlign w:val="baseline"/>
        </w:rPr>
        <w:t> greenhouse gas emissions prior to the start of project activity need to be estimated. This estimation should preferably be based on measurements made on the same site where the project will be established. It is possible to use alternative ways for estimating carbon stocks and non- CO</w:t>
      </w:r>
      <w:r>
        <w:rPr>
          <w:sz w:val="20"/>
          <w:vertAlign w:val="subscript"/>
        </w:rPr>
        <w:t>2</w:t>
      </w:r>
      <w:r>
        <w:rPr>
          <w:sz w:val="20"/>
          <w:vertAlign w:val="baseline"/>
        </w:rPr>
        <w:t> greenhouse gas emissions, including for example, measurements on sites that are considered to reproduce, as far as possible, the initial condition of the project site (i.e., sites with similar soil type, vegetation cover and land-use history). Another possibility consists of using simulation models that have been calibrated for local</w:t>
      </w:r>
      <w:r>
        <w:rPr>
          <w:spacing w:val="-2"/>
          <w:sz w:val="20"/>
          <w:vertAlign w:val="baseline"/>
        </w:rPr>
        <w:t> </w:t>
      </w:r>
      <w:r>
        <w:rPr>
          <w:sz w:val="20"/>
          <w:vertAlign w:val="baseline"/>
        </w:rPr>
        <w:t>conditions.</w:t>
      </w:r>
    </w:p>
    <w:p>
      <w:pPr>
        <w:pStyle w:val="ListParagraph"/>
        <w:numPr>
          <w:ilvl w:val="0"/>
          <w:numId w:val="117"/>
        </w:numPr>
        <w:tabs>
          <w:tab w:pos="540" w:val="left" w:leader="none"/>
        </w:tabs>
        <w:spacing w:line="235" w:lineRule="auto" w:before="16" w:after="0"/>
        <w:ind w:left="539" w:right="1404" w:hanging="360"/>
        <w:jc w:val="both"/>
        <w:rPr>
          <w:sz w:val="20"/>
        </w:rPr>
      </w:pPr>
      <w:r>
        <w:rPr>
          <w:sz w:val="20"/>
        </w:rPr>
        <w:t>A projection</w:t>
      </w:r>
      <w:r>
        <w:rPr>
          <w:sz w:val="20"/>
          <w:vertAlign w:val="superscript"/>
        </w:rPr>
        <w:t>67</w:t>
      </w:r>
      <w:r>
        <w:rPr>
          <w:sz w:val="20"/>
          <w:vertAlign w:val="baseline"/>
        </w:rPr>
        <w:t> of the carbon stocks in the relevant carbon pools and non-CO</w:t>
      </w:r>
      <w:r>
        <w:rPr>
          <w:sz w:val="20"/>
          <w:vertAlign w:val="subscript"/>
        </w:rPr>
        <w:t>2</w:t>
      </w:r>
      <w:r>
        <w:rPr>
          <w:sz w:val="20"/>
          <w:vertAlign w:val="baseline"/>
        </w:rPr>
        <w:t> greenhouse gas emissions in the project area has to be elaborated to estimate their trajectory without the project activity. The projection of the carbon stocks and non-CO</w:t>
      </w:r>
      <w:r>
        <w:rPr>
          <w:sz w:val="20"/>
          <w:vertAlign w:val="subscript"/>
        </w:rPr>
        <w:t>2</w:t>
      </w:r>
      <w:r>
        <w:rPr>
          <w:sz w:val="20"/>
          <w:vertAlign w:val="baseline"/>
        </w:rPr>
        <w:t> greenhouse gas emissions in the project area can be developed through  the use of either, or both, of the</w:t>
      </w:r>
      <w:r>
        <w:rPr>
          <w:spacing w:val="-1"/>
          <w:sz w:val="20"/>
          <w:vertAlign w:val="baseline"/>
        </w:rPr>
        <w:t> </w:t>
      </w:r>
      <w:r>
        <w:rPr>
          <w:sz w:val="20"/>
          <w:vertAlign w:val="baseline"/>
        </w:rPr>
        <w:t>following:</w:t>
      </w:r>
    </w:p>
    <w:p>
      <w:pPr>
        <w:pStyle w:val="ListParagraph"/>
        <w:numPr>
          <w:ilvl w:val="1"/>
          <w:numId w:val="117"/>
        </w:numPr>
        <w:tabs>
          <w:tab w:pos="691" w:val="left" w:leader="none"/>
        </w:tabs>
        <w:spacing w:line="235" w:lineRule="auto" w:before="136" w:after="0"/>
        <w:ind w:left="690" w:right="1403" w:hanging="228"/>
        <w:jc w:val="both"/>
        <w:rPr>
          <w:sz w:val="20"/>
        </w:rPr>
      </w:pPr>
      <w:r>
        <w:rPr>
          <w:sz w:val="20"/>
        </w:rPr>
        <w:t>Peer-reviewed simulation models (e.g., CO2fix —Masera </w:t>
      </w:r>
      <w:r>
        <w:rPr>
          <w:i/>
          <w:sz w:val="20"/>
        </w:rPr>
        <w:t>et al.</w:t>
      </w:r>
      <w:r>
        <w:rPr>
          <w:sz w:val="20"/>
        </w:rPr>
        <w:t>, 2003; CENTURY—Parton </w:t>
      </w:r>
      <w:r>
        <w:rPr>
          <w:i/>
          <w:sz w:val="20"/>
        </w:rPr>
        <w:t>et al.</w:t>
      </w:r>
      <w:r>
        <w:rPr>
          <w:sz w:val="20"/>
        </w:rPr>
        <w:t>,  1987; or a locally developed model). Such models project the changes in carbon stocks of those components to be measured in the project case in each land-use category over time, and in some cases, project non-CO</w:t>
      </w:r>
      <w:r>
        <w:rPr>
          <w:sz w:val="20"/>
          <w:vertAlign w:val="subscript"/>
        </w:rPr>
        <w:t>2</w:t>
      </w:r>
      <w:r>
        <w:rPr>
          <w:sz w:val="20"/>
          <w:vertAlign w:val="baseline"/>
        </w:rPr>
        <w:t> greenhouse gas emissions too. It is recommended that these models be used to simulate changes in the selected carbon stocks and non-CO</w:t>
      </w:r>
      <w:r>
        <w:rPr>
          <w:sz w:val="20"/>
          <w:vertAlign w:val="subscript"/>
        </w:rPr>
        <w:t>2</w:t>
      </w:r>
      <w:r>
        <w:rPr>
          <w:sz w:val="20"/>
          <w:vertAlign w:val="baseline"/>
        </w:rPr>
        <w:t> greenhouse gas emissions without the project activity at the start of the</w:t>
      </w:r>
      <w:r>
        <w:rPr>
          <w:spacing w:val="-1"/>
          <w:sz w:val="20"/>
          <w:vertAlign w:val="baseline"/>
        </w:rPr>
        <w:t> </w:t>
      </w:r>
      <w:r>
        <w:rPr>
          <w:sz w:val="20"/>
          <w:vertAlign w:val="baseline"/>
        </w:rPr>
        <w:t>project.</w:t>
      </w:r>
    </w:p>
    <w:p>
      <w:pPr>
        <w:pStyle w:val="ListParagraph"/>
        <w:numPr>
          <w:ilvl w:val="1"/>
          <w:numId w:val="117"/>
        </w:numPr>
        <w:tabs>
          <w:tab w:pos="691" w:val="left" w:leader="none"/>
        </w:tabs>
        <w:spacing w:line="232" w:lineRule="auto" w:before="144" w:after="0"/>
        <w:ind w:left="690" w:right="1405" w:hanging="228"/>
        <w:jc w:val="both"/>
        <w:rPr>
          <w:sz w:val="20"/>
        </w:rPr>
      </w:pPr>
      <w:r>
        <w:rPr>
          <w:sz w:val="20"/>
        </w:rPr>
        <w:t>Control areas where the selected carbon pools and non-CO</w:t>
      </w:r>
      <w:r>
        <w:rPr>
          <w:sz w:val="20"/>
          <w:vertAlign w:val="subscript"/>
        </w:rPr>
        <w:t>2</w:t>
      </w:r>
      <w:r>
        <w:rPr>
          <w:sz w:val="20"/>
          <w:vertAlign w:val="baseline"/>
        </w:rPr>
        <w:t> greenhouse gases are measured and monitored over time. Data from the control areas can also be used in combination with the models in the previous step to improve the simulation</w:t>
      </w:r>
      <w:r>
        <w:rPr>
          <w:spacing w:val="2"/>
          <w:sz w:val="20"/>
          <w:vertAlign w:val="baseline"/>
        </w:rPr>
        <w:t> </w:t>
      </w:r>
      <w:r>
        <w:rPr>
          <w:sz w:val="20"/>
          <w:vertAlign w:val="baseline"/>
        </w:rPr>
        <w:t>results.</w:t>
      </w:r>
    </w:p>
    <w:p>
      <w:pPr>
        <w:pStyle w:val="BodyText"/>
      </w:pPr>
    </w:p>
    <w:p>
      <w:pPr>
        <w:pStyle w:val="BodyText"/>
      </w:pPr>
    </w:p>
    <w:p>
      <w:pPr>
        <w:pStyle w:val="BodyText"/>
      </w:pPr>
    </w:p>
    <w:p>
      <w:pPr>
        <w:pStyle w:val="BodyText"/>
        <w:spacing w:before="9"/>
        <w:rPr>
          <w:sz w:val="17"/>
        </w:rPr>
      </w:pPr>
      <w:r>
        <w:rPr/>
        <w:pict>
          <v:line style="position:absolute;mso-position-horizontal-relative:page;mso-position-vertical-relative:paragraph;z-index:19568;mso-wrap-distance-left:0;mso-wrap-distance-right:0" from="70.960999pt,12.453056pt" to="214.960999pt,12.453056pt" stroked="true" strokeweight=".48pt" strokecolor="#000000">
            <v:stroke dashstyle="solid"/>
            <w10:wrap type="topAndBottom"/>
          </v:line>
        </w:pict>
      </w:r>
    </w:p>
    <w:p>
      <w:pPr>
        <w:spacing w:before="150"/>
        <w:ind w:left="337" w:right="1405" w:hanging="159"/>
        <w:jc w:val="both"/>
        <w:rPr>
          <w:sz w:val="18"/>
        </w:rPr>
      </w:pPr>
      <w:r>
        <w:rPr>
          <w:position w:val="8"/>
          <w:sz w:val="12"/>
        </w:rPr>
        <w:t>66 </w:t>
      </w:r>
      <w:r>
        <w:rPr>
          <w:sz w:val="18"/>
        </w:rPr>
        <w:t>For Article 12, it is recognized that leakage is an additional element in the monitoring plan; however, it has not been addressed here due to the ongoing work by SBSTA. For Article 6, leakage outside the project boundary is less of an issue because it should be accounted for in national greenhouse gas inventories (Brown </w:t>
      </w:r>
      <w:r>
        <w:rPr>
          <w:i/>
          <w:sz w:val="18"/>
        </w:rPr>
        <w:t>et al.</w:t>
      </w:r>
      <w:r>
        <w:rPr>
          <w:sz w:val="18"/>
        </w:rPr>
        <w:t>, 2000b).</w:t>
      </w:r>
    </w:p>
    <w:p>
      <w:pPr>
        <w:spacing w:before="97"/>
        <w:ind w:left="337" w:right="1401" w:hanging="159"/>
        <w:jc w:val="both"/>
        <w:rPr>
          <w:sz w:val="18"/>
        </w:rPr>
      </w:pPr>
      <w:r>
        <w:rPr>
          <w:position w:val="8"/>
          <w:sz w:val="12"/>
        </w:rPr>
        <w:t>67 </w:t>
      </w:r>
      <w:r>
        <w:rPr>
          <w:sz w:val="18"/>
        </w:rPr>
        <w:t>The projection may require consideration of socio-economic and other factors that go well beyond the scope of inventory guidance as set out in Appendix B to the draft decision -/CMP.1 (Article 6) (cf. document FCCC/CP/2001/13/Add.2, p.18), and (for non-LULUCF projects) in section G of the draft decision -/CMP.1 (Article 12) dealing with the CDM (cf. document FCCC/CP/2001/13/Add.2, pp.36-37). Provisions for LULUCF baseline projections are expected to be agreed upon at COP10.</w:t>
      </w:r>
    </w:p>
    <w:p>
      <w:pPr>
        <w:spacing w:after="0"/>
        <w:jc w:val="both"/>
        <w:rPr>
          <w:sz w:val="18"/>
        </w:rPr>
        <w:sectPr>
          <w:pgSz w:w="11900" w:h="16840"/>
          <w:pgMar w:header="233" w:footer="408" w:top="560" w:bottom="600" w:left="1240" w:right="0"/>
        </w:sectPr>
      </w:pPr>
    </w:p>
    <w:p>
      <w:pPr>
        <w:pStyle w:val="BodyText"/>
      </w:pPr>
    </w:p>
    <w:p>
      <w:pPr>
        <w:pStyle w:val="BodyText"/>
        <w:spacing w:before="2"/>
        <w:rPr>
          <w:sz w:val="19"/>
        </w:rPr>
      </w:pPr>
    </w:p>
    <w:p>
      <w:pPr>
        <w:pStyle w:val="Heading6"/>
        <w:numPr>
          <w:ilvl w:val="3"/>
          <w:numId w:val="143"/>
        </w:numPr>
        <w:tabs>
          <w:tab w:pos="1620" w:val="left" w:leader="none"/>
        </w:tabs>
        <w:spacing w:line="240" w:lineRule="auto" w:before="89" w:after="0"/>
        <w:ind w:left="1619" w:right="0" w:hanging="1440"/>
        <w:jc w:val="both"/>
        <w:rPr>
          <w:b w:val="0"/>
          <w:sz w:val="13"/>
        </w:rPr>
      </w:pPr>
      <w:r>
        <w:rPr>
          <w:spacing w:val="17"/>
          <w:sz w:val="28"/>
        </w:rPr>
        <w:t>S</w:t>
      </w:r>
      <w:r>
        <w:rPr>
          <w:spacing w:val="17"/>
        </w:rPr>
        <w:t>TRATIFICATION </w:t>
      </w:r>
      <w:r>
        <w:rPr>
          <w:spacing w:val="10"/>
        </w:rPr>
        <w:t>OF </w:t>
      </w:r>
      <w:r>
        <w:rPr>
          <w:spacing w:val="12"/>
        </w:rPr>
        <w:t>THE </w:t>
      </w:r>
      <w:r>
        <w:rPr>
          <w:spacing w:val="16"/>
        </w:rPr>
        <w:t>PROJECT </w:t>
      </w:r>
      <w:r>
        <w:rPr>
          <w:spacing w:val="14"/>
        </w:rPr>
        <w:t>AREA</w:t>
      </w:r>
      <w:r>
        <w:rPr>
          <w:spacing w:val="4"/>
        </w:rPr>
        <w:t> </w:t>
      </w:r>
      <w:r>
        <w:rPr>
          <w:b w:val="0"/>
          <w:position w:val="9"/>
          <w:sz w:val="13"/>
        </w:rPr>
        <w:t>68</w:t>
      </w:r>
    </w:p>
    <w:p>
      <w:pPr>
        <w:pStyle w:val="BodyText"/>
        <w:spacing w:before="211"/>
        <w:ind w:left="179" w:right="1404"/>
        <w:jc w:val="both"/>
      </w:pPr>
      <w:r>
        <w:rPr/>
        <w:t>At the start of a project, it is </w:t>
      </w:r>
      <w:r>
        <w:rPr>
          <w:i/>
        </w:rPr>
        <w:t>good practice </w:t>
      </w:r>
      <w:r>
        <w:rPr/>
        <w:t>to collect basic background information and data about the important bio-physical, and socio-economic characteristics of the project area. The information and data include, e.g.,: land-use history; maps of soil, vegetation, and topography; and land ownership. It is </w:t>
      </w:r>
      <w:r>
        <w:rPr>
          <w:i/>
        </w:rPr>
        <w:t>good practice </w:t>
      </w:r>
      <w:r>
        <w:rPr/>
        <w:t>that the land proposed for the project be geo-referenced. A geographic information system (GIS) would be useful for integrating the data from different sources, which can then be used to identify and stratify the project area into more or less homogeneous units.</w:t>
      </w:r>
    </w:p>
    <w:p>
      <w:pPr>
        <w:pStyle w:val="BodyText"/>
        <w:spacing w:before="118"/>
        <w:ind w:left="179" w:right="1401"/>
        <w:jc w:val="both"/>
      </w:pPr>
      <w:r>
        <w:rPr/>
        <w:t>It is </w:t>
      </w:r>
      <w:r>
        <w:rPr>
          <w:i/>
        </w:rPr>
        <w:t>good practice </w:t>
      </w:r>
      <w:r>
        <w:rPr/>
        <w:t>to stratify the project area (population of interest) into sub-populations or strata that form relatively homogenous units, if the project is not homogenous. Stratification can be done prior to implementing the measuring and monitoring plan (pre-stratification) or after (post-stratification) (see also Section 5.3.3). Post- stratification defines the strata using auxiliary data after the field measurements have been made.</w:t>
      </w:r>
    </w:p>
    <w:p>
      <w:pPr>
        <w:pStyle w:val="BodyText"/>
        <w:spacing w:before="119"/>
        <w:ind w:left="179" w:right="1401"/>
        <w:jc w:val="both"/>
      </w:pPr>
      <w:r>
        <w:rPr/>
        <w:t>Stratification of the project area can increase the accuracy and precision of the measuring and monitoring in a cost-effective manner. The size and spatial distribution of a project does not influence this step – one large contiguous block of land or many small parcels are considered the population of interest and are stratified in the same manner. In general, stratification decreases the costs of measuring and monitoring because it is expected to diminish the sampling effort necessary to achieve a given level of confidence caused by smaller variance in each stratum than in the project area itself. The stratification should be carried out using criteria that are directly related to the variables to be measured and monitored, e.g., the change in carbon stocks in trees for afforestation, or soil for cropland management.</w:t>
      </w:r>
    </w:p>
    <w:p>
      <w:pPr>
        <w:pStyle w:val="BodyText"/>
        <w:spacing w:before="119"/>
        <w:ind w:left="179" w:right="1403"/>
        <w:jc w:val="both"/>
      </w:pPr>
      <w:r>
        <w:rPr/>
        <w:t>For pre-stratification of an afforestation/reforestation project, the strata may be defined on the basis of one or more variables such as the tree species to be planted (if several), age class (as generated by delay in practical planting schedules), initial vegetation (e.g., completely cleared versus cleared with patches or scattered trees), and/or site factors (soil type, elevation, and slope etc.). For some afforestation/reforestation projects, the project site may appear to be homogeneous in all these and any other characteristics. However, it is possible that after the first monitoring event, the change in carbon stocks is highly variable and that on further analysis it is found that the measurements can be grouped into similar classes—in other words can be</w:t>
      </w:r>
      <w:r>
        <w:rPr>
          <w:spacing w:val="-8"/>
        </w:rPr>
        <w:t> </w:t>
      </w:r>
      <w:r>
        <w:rPr/>
        <w:t>post-stratified.</w:t>
      </w:r>
    </w:p>
    <w:p>
      <w:pPr>
        <w:pStyle w:val="BodyText"/>
        <w:spacing w:before="118"/>
        <w:ind w:left="179" w:right="1356"/>
        <w:jc w:val="both"/>
      </w:pPr>
      <w:r>
        <w:rPr/>
        <w:t>There is a trade-off between the number of strata and sampling intensity. The goal is to balance the number of strata identified against the total number of plots needed to adequately sample each stratum. There is no hard and fast rule, and project developers need to use their expert judgement in deciding on the number of strata to include.</w:t>
      </w:r>
    </w:p>
    <w:p>
      <w:pPr>
        <w:pStyle w:val="BodyText"/>
        <w:rPr>
          <w:sz w:val="22"/>
        </w:rPr>
      </w:pPr>
    </w:p>
    <w:p>
      <w:pPr>
        <w:pStyle w:val="Heading6"/>
        <w:numPr>
          <w:ilvl w:val="3"/>
          <w:numId w:val="143"/>
        </w:numPr>
        <w:tabs>
          <w:tab w:pos="1620" w:val="left" w:leader="none"/>
        </w:tabs>
        <w:spacing w:line="240" w:lineRule="auto" w:before="146" w:after="0"/>
        <w:ind w:left="1619" w:right="0" w:hanging="1440"/>
        <w:jc w:val="both"/>
        <w:rPr>
          <w:sz w:val="28"/>
        </w:rPr>
      </w:pPr>
      <w:r>
        <w:rPr>
          <w:spacing w:val="16"/>
          <w:sz w:val="28"/>
        </w:rPr>
        <w:t>S</w:t>
      </w:r>
      <w:r>
        <w:rPr>
          <w:spacing w:val="16"/>
        </w:rPr>
        <w:t>ELECTION </w:t>
      </w:r>
      <w:r>
        <w:rPr>
          <w:spacing w:val="10"/>
        </w:rPr>
        <w:t>OF </w:t>
      </w:r>
      <w:r>
        <w:rPr>
          <w:spacing w:val="16"/>
        </w:rPr>
        <w:t>CARBON </w:t>
      </w:r>
      <w:r>
        <w:rPr>
          <w:spacing w:val="15"/>
        </w:rPr>
        <w:t>POOLS </w:t>
      </w:r>
      <w:r>
        <w:rPr>
          <w:spacing w:val="12"/>
        </w:rPr>
        <w:t>AND</w:t>
      </w:r>
      <w:r>
        <w:rPr>
          <w:spacing w:val="73"/>
        </w:rPr>
        <w:t> </w:t>
      </w:r>
      <w:r>
        <w:rPr>
          <w:spacing w:val="16"/>
        </w:rPr>
        <w:t>NON</w:t>
      </w:r>
      <w:r>
        <w:rPr>
          <w:spacing w:val="16"/>
          <w:sz w:val="28"/>
        </w:rPr>
        <w:t>-CO</w:t>
      </w:r>
      <w:r>
        <w:rPr>
          <w:spacing w:val="16"/>
          <w:sz w:val="28"/>
          <w:vertAlign w:val="subscript"/>
        </w:rPr>
        <w:t>2</w:t>
      </w:r>
    </w:p>
    <w:p>
      <w:pPr>
        <w:spacing w:before="56"/>
        <w:ind w:left="1619" w:right="0" w:firstLine="0"/>
        <w:jc w:val="left"/>
        <w:rPr>
          <w:sz w:val="12"/>
        </w:rPr>
      </w:pPr>
      <w:r>
        <w:rPr>
          <w:b/>
          <w:sz w:val="22"/>
        </w:rPr>
        <w:t>GREENHOUSE GASES </w:t>
      </w:r>
      <w:r>
        <w:rPr>
          <w:position w:val="8"/>
          <w:sz w:val="12"/>
        </w:rPr>
        <w:t>69</w:t>
      </w:r>
    </w:p>
    <w:p>
      <w:pPr>
        <w:pStyle w:val="BodyText"/>
        <w:spacing w:before="5"/>
        <w:rPr>
          <w:sz w:val="19"/>
        </w:rPr>
      </w:pPr>
    </w:p>
    <w:p>
      <w:pPr>
        <w:pStyle w:val="BodyText"/>
        <w:spacing w:before="1"/>
        <w:ind w:left="179" w:right="1405"/>
        <w:jc w:val="both"/>
      </w:pPr>
      <w:r>
        <w:rPr/>
        <w:t>The major carbon pools in LULUCF projects are: aboveground biomass, belowground biomass, litter, dead wood, and soil organic carbon, which in turn, can be further subdivided (Table 4.3.1; see also Chapter 3 and Glossary). The major non-CO</w:t>
      </w:r>
      <w:r>
        <w:rPr>
          <w:vertAlign w:val="subscript"/>
        </w:rPr>
        <w:t>2</w:t>
      </w:r>
      <w:r>
        <w:rPr>
          <w:vertAlign w:val="baseline"/>
        </w:rPr>
        <w:t> greenhouse gases in LULUCF projects are N</w:t>
      </w:r>
      <w:r>
        <w:rPr>
          <w:vertAlign w:val="subscript"/>
        </w:rPr>
        <w:t>2</w:t>
      </w:r>
      <w:r>
        <w:rPr>
          <w:vertAlign w:val="baseline"/>
        </w:rPr>
        <w:t>O and CH</w:t>
      </w:r>
      <w:r>
        <w:rPr>
          <w:vertAlign w:val="subscript"/>
        </w:rPr>
        <w:t>4</w:t>
      </w:r>
      <w:r>
        <w:rPr>
          <w:vertAlign w:val="baseline"/>
        </w:rPr>
        <w:t>. For different types of LULUCF projects, a decision matrix that illustrates the possible choices of carbon pools for measuring and monitoring is shown in Table 4.3.1.</w:t>
      </w:r>
    </w:p>
    <w:p>
      <w:pPr>
        <w:pStyle w:val="BodyText"/>
        <w:spacing w:before="119"/>
        <w:ind w:left="179" w:right="1403"/>
        <w:jc w:val="both"/>
      </w:pPr>
      <w:r>
        <w:rPr/>
        <w:t>The selection of which pools to measure and monitor under agreed rules</w:t>
      </w:r>
      <w:r>
        <w:rPr>
          <w:vertAlign w:val="superscript"/>
        </w:rPr>
        <w:t>70</w:t>
      </w:r>
      <w:r>
        <w:rPr>
          <w:vertAlign w:val="baseline"/>
        </w:rPr>
        <w:t> is likely to depend on several factors, including expected rate of change, magnitude and direction of the change, availability and accuracy of methods to quantify change, and cost to measure. Provisions could include that all pools that are expected to decrease as a result of project activities must be measured and monitored, or that all pools that are expected to increase need not be measured and monitored. In practical terms, the latter provision could be the case if monitoring costs are high relative to the expected increase in carbon stocks—which might be the case, for example, with understorey herbaceous vegetation in an afforestation/reforestation</w:t>
      </w:r>
      <w:r>
        <w:rPr>
          <w:spacing w:val="-7"/>
          <w:vertAlign w:val="baseline"/>
        </w:rPr>
        <w:t> </w:t>
      </w:r>
      <w:r>
        <w:rPr>
          <w:vertAlign w:val="baseline"/>
        </w:rPr>
        <w:t>project.</w:t>
      </w:r>
    </w:p>
    <w:p>
      <w:pPr>
        <w:pStyle w:val="BodyText"/>
      </w:pPr>
    </w:p>
    <w:p>
      <w:pPr>
        <w:pStyle w:val="BodyText"/>
      </w:pPr>
    </w:p>
    <w:p>
      <w:pPr>
        <w:pStyle w:val="BodyText"/>
        <w:spacing w:before="6"/>
        <w:rPr>
          <w:sz w:val="17"/>
        </w:rPr>
      </w:pPr>
      <w:r>
        <w:rPr/>
        <w:pict>
          <v:line style="position:absolute;mso-position-horizontal-relative:page;mso-position-vertical-relative:paragraph;z-index:19592;mso-wrap-distance-left:0;mso-wrap-distance-right:0" from="70.960999pt,12.31373pt" to="214.960999pt,12.31373pt" stroked="true" strokeweight=".48pt" strokecolor="#000000">
            <v:stroke dashstyle="solid"/>
            <w10:wrap type="topAndBottom"/>
          </v:line>
        </w:pict>
      </w:r>
    </w:p>
    <w:p>
      <w:pPr>
        <w:spacing w:before="153"/>
        <w:ind w:left="179" w:right="0" w:firstLine="0"/>
        <w:jc w:val="left"/>
        <w:rPr>
          <w:sz w:val="18"/>
        </w:rPr>
      </w:pPr>
      <w:r>
        <w:rPr>
          <w:position w:val="8"/>
          <w:sz w:val="12"/>
        </w:rPr>
        <w:t>68 </w:t>
      </w:r>
      <w:r>
        <w:rPr>
          <w:sz w:val="18"/>
        </w:rPr>
        <w:t>See Chapter 5, Section 5.3.3.1 for further discussion on stratification.</w:t>
      </w:r>
    </w:p>
    <w:p>
      <w:pPr>
        <w:spacing w:before="95"/>
        <w:ind w:left="337" w:right="1405" w:hanging="159"/>
        <w:jc w:val="both"/>
        <w:rPr>
          <w:sz w:val="18"/>
        </w:rPr>
      </w:pPr>
      <w:r>
        <w:rPr>
          <w:position w:val="8"/>
          <w:sz w:val="12"/>
        </w:rPr>
        <w:t>69 </w:t>
      </w:r>
      <w:r>
        <w:rPr>
          <w:sz w:val="18"/>
        </w:rPr>
        <w:t>In paragraph 21 of the Annex to the draft decision -/CMP.1 (Land use, land-use change and forestry) it is stated: “A Party may choose not to account for a given pool in a commitment period, if transparent and verifiable information is provided that the pool is not a source.” (cf. document FCCC/CP/2001/13/Add.1, p. 62). The discussion in this section refers to Article 6, and may also be applicable to Article 12, depending upon the decisions to be made by SBSTA.</w:t>
      </w:r>
    </w:p>
    <w:p>
      <w:pPr>
        <w:spacing w:before="94"/>
        <w:ind w:left="337" w:right="1404" w:hanging="159"/>
        <w:jc w:val="both"/>
        <w:rPr>
          <w:sz w:val="18"/>
        </w:rPr>
      </w:pPr>
      <w:r>
        <w:rPr>
          <w:position w:val="8"/>
          <w:sz w:val="12"/>
        </w:rPr>
        <w:t>70 </w:t>
      </w:r>
      <w:r>
        <w:rPr>
          <w:sz w:val="18"/>
        </w:rPr>
        <w:t>For Article 6 projects, see paragraph 21 of the Annex in the draft decision -/CMP.1 (Land use, land-use change and forestry), cf. document FCCC/CP/2001/13/Add.1, p. 62; rules for Article 12 projects are scheduled for adoption at COP9.</w:t>
      </w:r>
    </w:p>
    <w:p>
      <w:pPr>
        <w:spacing w:after="0"/>
        <w:jc w:val="both"/>
        <w:rPr>
          <w:sz w:val="18"/>
        </w:rPr>
        <w:sectPr>
          <w:pgSz w:w="11900" w:h="16840"/>
          <w:pgMar w:header="230" w:footer="408" w:top="560" w:bottom="600" w:left="1240" w:right="0"/>
        </w:sectPr>
      </w:pPr>
    </w:p>
    <w:p>
      <w:pPr>
        <w:pStyle w:val="BodyText"/>
      </w:pPr>
    </w:p>
    <w:p>
      <w:pPr>
        <w:pStyle w:val="BodyText"/>
      </w:pPr>
    </w:p>
    <w:p>
      <w:pPr>
        <w:pStyle w:val="BodyText"/>
        <w:spacing w:before="4"/>
        <w:rPr>
          <w:sz w:val="27"/>
        </w:rPr>
      </w:pPr>
    </w:p>
    <w:tbl>
      <w:tblPr>
        <w:tblW w:w="0" w:type="auto"/>
        <w:jc w:val="left"/>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7"/>
        <w:gridCol w:w="1351"/>
        <w:gridCol w:w="1344"/>
        <w:gridCol w:w="1039"/>
        <w:gridCol w:w="936"/>
        <w:gridCol w:w="934"/>
        <w:gridCol w:w="1052"/>
      </w:tblGrid>
      <w:tr>
        <w:trPr>
          <w:trHeight w:val="618" w:hRule="atLeast"/>
        </w:trPr>
        <w:tc>
          <w:tcPr>
            <w:tcW w:w="9073" w:type="dxa"/>
            <w:gridSpan w:val="7"/>
            <w:tcBorders>
              <w:bottom w:val="double" w:sz="1" w:space="0" w:color="000000"/>
            </w:tcBorders>
          </w:tcPr>
          <w:p>
            <w:pPr>
              <w:pStyle w:val="TableParagraph"/>
              <w:spacing w:line="206" w:lineRule="exact"/>
              <w:ind w:left="156" w:right="149"/>
              <w:jc w:val="center"/>
              <w:rPr>
                <w:b/>
                <w:sz w:val="18"/>
              </w:rPr>
            </w:pPr>
            <w:r>
              <w:rPr>
                <w:b/>
                <w:sz w:val="18"/>
              </w:rPr>
              <w:t>T</w:t>
            </w:r>
            <w:r>
              <w:rPr>
                <w:b/>
                <w:sz w:val="14"/>
              </w:rPr>
              <w:t>ABLE </w:t>
            </w:r>
            <w:r>
              <w:rPr>
                <w:b/>
                <w:sz w:val="18"/>
              </w:rPr>
              <w:t>4.3.1</w:t>
            </w:r>
          </w:p>
          <w:p>
            <w:pPr>
              <w:pStyle w:val="TableParagraph"/>
              <w:spacing w:line="206" w:lineRule="exact"/>
              <w:ind w:left="156" w:right="149"/>
              <w:jc w:val="center"/>
              <w:rPr>
                <w:b/>
                <w:sz w:val="18"/>
              </w:rPr>
            </w:pPr>
            <w:r>
              <w:rPr>
                <w:b/>
                <w:sz w:val="18"/>
              </w:rPr>
              <w:t>A </w:t>
            </w:r>
            <w:r>
              <w:rPr>
                <w:b/>
                <w:sz w:val="14"/>
              </w:rPr>
              <w:t>DECISION MATRIX TO ILLUSTRATE POSSIBLE SELECTION CRITERIA OF POOLS TO MEASURE AND MONITOR IN </w:t>
            </w:r>
            <w:r>
              <w:rPr>
                <w:b/>
                <w:sz w:val="18"/>
              </w:rPr>
              <w:t>LULUCF</w:t>
            </w:r>
          </w:p>
          <w:p>
            <w:pPr>
              <w:pStyle w:val="TableParagraph"/>
              <w:spacing w:line="186" w:lineRule="exact"/>
              <w:ind w:left="156" w:right="148"/>
              <w:jc w:val="center"/>
              <w:rPr>
                <w:b/>
                <w:sz w:val="18"/>
              </w:rPr>
            </w:pPr>
            <w:r>
              <w:rPr>
                <w:b/>
                <w:sz w:val="14"/>
              </w:rPr>
              <w:t>PROJECTS </w:t>
            </w:r>
            <w:r>
              <w:rPr>
                <w:b/>
                <w:sz w:val="18"/>
              </w:rPr>
              <w:t>(F</w:t>
            </w:r>
            <w:r>
              <w:rPr>
                <w:b/>
                <w:sz w:val="14"/>
              </w:rPr>
              <w:t>OR EXPLANATION OF LETTERS AND NUMBERS IN THIS TABLE</w:t>
            </w:r>
            <w:r>
              <w:rPr>
                <w:b/>
                <w:sz w:val="18"/>
              </w:rPr>
              <w:t>, </w:t>
            </w:r>
            <w:r>
              <w:rPr>
                <w:b/>
                <w:sz w:val="14"/>
              </w:rPr>
              <w:t>SEE IMMEDIATELY BELOW THE TABLE</w:t>
            </w:r>
            <w:r>
              <w:rPr>
                <w:b/>
                <w:sz w:val="18"/>
              </w:rPr>
              <w:t>)</w:t>
            </w:r>
          </w:p>
        </w:tc>
      </w:tr>
      <w:tr>
        <w:trPr>
          <w:trHeight w:val="255" w:hRule="atLeast"/>
        </w:trPr>
        <w:tc>
          <w:tcPr>
            <w:tcW w:w="2417" w:type="dxa"/>
            <w:vMerge w:val="restart"/>
            <w:tcBorders>
              <w:top w:val="double" w:sz="1" w:space="0" w:color="000000"/>
            </w:tcBorders>
          </w:tcPr>
          <w:p>
            <w:pPr>
              <w:pStyle w:val="TableParagraph"/>
              <w:rPr>
                <w:sz w:val="20"/>
              </w:rPr>
            </w:pPr>
          </w:p>
          <w:p>
            <w:pPr>
              <w:pStyle w:val="TableParagraph"/>
              <w:spacing w:before="2"/>
              <w:rPr>
                <w:sz w:val="25"/>
              </w:rPr>
            </w:pPr>
          </w:p>
          <w:p>
            <w:pPr>
              <w:pStyle w:val="TableParagraph"/>
              <w:ind w:left="741"/>
              <w:rPr>
                <w:b/>
                <w:sz w:val="18"/>
              </w:rPr>
            </w:pPr>
            <w:r>
              <w:rPr>
                <w:b/>
                <w:sz w:val="18"/>
              </w:rPr>
              <w:t>Project type</w:t>
            </w:r>
          </w:p>
        </w:tc>
        <w:tc>
          <w:tcPr>
            <w:tcW w:w="6656" w:type="dxa"/>
            <w:gridSpan w:val="6"/>
            <w:tcBorders>
              <w:top w:val="double" w:sz="1" w:space="0" w:color="000000"/>
            </w:tcBorders>
          </w:tcPr>
          <w:p>
            <w:pPr>
              <w:pStyle w:val="TableParagraph"/>
              <w:spacing w:before="23"/>
              <w:ind w:left="2788" w:right="2782"/>
              <w:jc w:val="center"/>
              <w:rPr>
                <w:b/>
                <w:sz w:val="18"/>
              </w:rPr>
            </w:pPr>
            <w:r>
              <w:rPr>
                <w:b/>
                <w:sz w:val="18"/>
              </w:rPr>
              <w:t>Carbon pools</w:t>
            </w:r>
          </w:p>
        </w:tc>
      </w:tr>
      <w:tr>
        <w:trPr>
          <w:trHeight w:val="498" w:hRule="atLeast"/>
        </w:trPr>
        <w:tc>
          <w:tcPr>
            <w:tcW w:w="2417" w:type="dxa"/>
            <w:vMerge/>
            <w:tcBorders>
              <w:top w:val="nil"/>
            </w:tcBorders>
          </w:tcPr>
          <w:p>
            <w:pPr>
              <w:rPr>
                <w:sz w:val="2"/>
                <w:szCs w:val="2"/>
              </w:rPr>
            </w:pPr>
          </w:p>
        </w:tc>
        <w:tc>
          <w:tcPr>
            <w:tcW w:w="3734" w:type="dxa"/>
            <w:gridSpan w:val="3"/>
          </w:tcPr>
          <w:p>
            <w:pPr>
              <w:pStyle w:val="TableParagraph"/>
              <w:spacing w:before="146"/>
              <w:ind w:left="1265" w:right="1253"/>
              <w:jc w:val="center"/>
              <w:rPr>
                <w:b/>
                <w:sz w:val="18"/>
              </w:rPr>
            </w:pPr>
            <w:r>
              <w:rPr>
                <w:b/>
                <w:sz w:val="18"/>
              </w:rPr>
              <w:t>Living biomass</w:t>
            </w:r>
          </w:p>
        </w:tc>
        <w:tc>
          <w:tcPr>
            <w:tcW w:w="1870" w:type="dxa"/>
            <w:gridSpan w:val="2"/>
          </w:tcPr>
          <w:p>
            <w:pPr>
              <w:pStyle w:val="TableParagraph"/>
              <w:spacing w:before="43"/>
              <w:ind w:left="662" w:right="370" w:hanging="267"/>
              <w:rPr>
                <w:b/>
                <w:sz w:val="18"/>
              </w:rPr>
            </w:pPr>
            <w:r>
              <w:rPr>
                <w:b/>
                <w:sz w:val="18"/>
              </w:rPr>
              <w:t>Dead Organic Matter</w:t>
            </w:r>
          </w:p>
        </w:tc>
        <w:tc>
          <w:tcPr>
            <w:tcW w:w="1052" w:type="dxa"/>
            <w:vMerge w:val="restart"/>
          </w:tcPr>
          <w:p>
            <w:pPr>
              <w:pStyle w:val="TableParagraph"/>
              <w:spacing w:before="5"/>
              <w:rPr>
                <w:sz w:val="16"/>
              </w:rPr>
            </w:pPr>
          </w:p>
          <w:p>
            <w:pPr>
              <w:pStyle w:val="TableParagraph"/>
              <w:ind w:left="210" w:right="182" w:firstLine="168"/>
              <w:rPr>
                <w:b/>
                <w:sz w:val="18"/>
              </w:rPr>
            </w:pPr>
            <w:r>
              <w:rPr>
                <w:b/>
                <w:sz w:val="18"/>
              </w:rPr>
              <w:t>Soil Organic Carbon</w:t>
            </w:r>
          </w:p>
        </w:tc>
      </w:tr>
      <w:tr>
        <w:trPr>
          <w:trHeight w:val="501" w:hRule="atLeast"/>
        </w:trPr>
        <w:tc>
          <w:tcPr>
            <w:tcW w:w="2417" w:type="dxa"/>
            <w:vMerge/>
            <w:tcBorders>
              <w:top w:val="nil"/>
            </w:tcBorders>
          </w:tcPr>
          <w:p>
            <w:pPr>
              <w:rPr>
                <w:sz w:val="2"/>
                <w:szCs w:val="2"/>
              </w:rPr>
            </w:pPr>
          </w:p>
        </w:tc>
        <w:tc>
          <w:tcPr>
            <w:tcW w:w="1351" w:type="dxa"/>
          </w:tcPr>
          <w:p>
            <w:pPr>
              <w:pStyle w:val="TableParagraph"/>
              <w:spacing w:before="43"/>
              <w:ind w:left="489" w:right="91" w:hanging="370"/>
              <w:rPr>
                <w:b/>
                <w:sz w:val="18"/>
              </w:rPr>
            </w:pPr>
            <w:r>
              <w:rPr>
                <w:b/>
                <w:sz w:val="18"/>
              </w:rPr>
              <w:t>Aboveground: trees</w:t>
            </w:r>
          </w:p>
        </w:tc>
        <w:tc>
          <w:tcPr>
            <w:tcW w:w="1344" w:type="dxa"/>
          </w:tcPr>
          <w:p>
            <w:pPr>
              <w:pStyle w:val="TableParagraph"/>
              <w:spacing w:before="43"/>
              <w:ind w:left="347" w:right="105" w:hanging="231"/>
              <w:rPr>
                <w:b/>
                <w:sz w:val="18"/>
              </w:rPr>
            </w:pPr>
            <w:r>
              <w:rPr>
                <w:b/>
                <w:sz w:val="18"/>
              </w:rPr>
              <w:t>Aboveground: non-tree</w:t>
            </w:r>
          </w:p>
        </w:tc>
        <w:tc>
          <w:tcPr>
            <w:tcW w:w="1039" w:type="dxa"/>
          </w:tcPr>
          <w:p>
            <w:pPr>
              <w:pStyle w:val="TableParagraph"/>
              <w:spacing w:before="43"/>
              <w:ind w:left="242" w:firstLine="12"/>
              <w:rPr>
                <w:b/>
                <w:sz w:val="18"/>
              </w:rPr>
            </w:pPr>
            <w:r>
              <w:rPr>
                <w:b/>
                <w:sz w:val="18"/>
              </w:rPr>
              <w:t>Below- ground</w:t>
            </w:r>
          </w:p>
        </w:tc>
        <w:tc>
          <w:tcPr>
            <w:tcW w:w="936" w:type="dxa"/>
          </w:tcPr>
          <w:p>
            <w:pPr>
              <w:pStyle w:val="TableParagraph"/>
              <w:spacing w:before="146"/>
              <w:ind w:left="221" w:right="214"/>
              <w:jc w:val="center"/>
              <w:rPr>
                <w:b/>
                <w:sz w:val="18"/>
              </w:rPr>
            </w:pPr>
            <w:r>
              <w:rPr>
                <w:b/>
                <w:sz w:val="18"/>
              </w:rPr>
              <w:t>Litter</w:t>
            </w:r>
          </w:p>
        </w:tc>
        <w:tc>
          <w:tcPr>
            <w:tcW w:w="934" w:type="dxa"/>
          </w:tcPr>
          <w:p>
            <w:pPr>
              <w:pStyle w:val="TableParagraph"/>
              <w:spacing w:before="43"/>
              <w:ind w:left="259" w:right="234" w:firstLine="7"/>
              <w:rPr>
                <w:b/>
                <w:sz w:val="18"/>
              </w:rPr>
            </w:pPr>
            <w:r>
              <w:rPr>
                <w:b/>
                <w:sz w:val="18"/>
              </w:rPr>
              <w:t>Dead wood</w:t>
            </w:r>
          </w:p>
        </w:tc>
        <w:tc>
          <w:tcPr>
            <w:tcW w:w="1052" w:type="dxa"/>
            <w:vMerge/>
            <w:tcBorders>
              <w:top w:val="nil"/>
            </w:tcBorders>
          </w:tcPr>
          <w:p>
            <w:pPr>
              <w:rPr>
                <w:sz w:val="2"/>
                <w:szCs w:val="2"/>
              </w:rPr>
            </w:pPr>
          </w:p>
        </w:tc>
      </w:tr>
      <w:tr>
        <w:trPr>
          <w:trHeight w:val="273" w:hRule="atLeast"/>
        </w:trPr>
        <w:tc>
          <w:tcPr>
            <w:tcW w:w="2417" w:type="dxa"/>
          </w:tcPr>
          <w:p>
            <w:pPr>
              <w:pStyle w:val="TableParagraph"/>
              <w:spacing w:before="28"/>
              <w:ind w:left="227" w:right="219"/>
              <w:jc w:val="center"/>
              <w:rPr>
                <w:sz w:val="18"/>
              </w:rPr>
            </w:pPr>
            <w:r>
              <w:rPr>
                <w:sz w:val="18"/>
              </w:rPr>
              <w:t>Afforestation/reforestation</w:t>
            </w:r>
          </w:p>
        </w:tc>
        <w:tc>
          <w:tcPr>
            <w:tcW w:w="1351" w:type="dxa"/>
          </w:tcPr>
          <w:p>
            <w:pPr>
              <w:pStyle w:val="TableParagraph"/>
              <w:spacing w:before="28"/>
              <w:ind w:left="529" w:right="516"/>
              <w:jc w:val="center"/>
              <w:rPr>
                <w:sz w:val="18"/>
              </w:rPr>
            </w:pPr>
            <w:r>
              <w:rPr>
                <w:sz w:val="18"/>
              </w:rPr>
              <w:t>Y1</w:t>
            </w:r>
          </w:p>
        </w:tc>
        <w:tc>
          <w:tcPr>
            <w:tcW w:w="1344" w:type="dxa"/>
          </w:tcPr>
          <w:p>
            <w:pPr>
              <w:pStyle w:val="TableParagraph"/>
              <w:spacing w:before="28"/>
              <w:ind w:left="89" w:right="80"/>
              <w:jc w:val="center"/>
              <w:rPr>
                <w:sz w:val="18"/>
              </w:rPr>
            </w:pPr>
            <w:r>
              <w:rPr>
                <w:sz w:val="18"/>
              </w:rPr>
              <w:t>M2</w:t>
            </w:r>
          </w:p>
        </w:tc>
        <w:tc>
          <w:tcPr>
            <w:tcW w:w="1039" w:type="dxa"/>
          </w:tcPr>
          <w:p>
            <w:pPr>
              <w:pStyle w:val="TableParagraph"/>
              <w:spacing w:before="28"/>
              <w:ind w:left="408"/>
              <w:rPr>
                <w:sz w:val="18"/>
              </w:rPr>
            </w:pPr>
            <w:r>
              <w:rPr>
                <w:sz w:val="18"/>
              </w:rPr>
              <w:t>Y3</w:t>
            </w:r>
          </w:p>
        </w:tc>
        <w:tc>
          <w:tcPr>
            <w:tcW w:w="936" w:type="dxa"/>
          </w:tcPr>
          <w:p>
            <w:pPr>
              <w:pStyle w:val="TableParagraph"/>
              <w:spacing w:before="28"/>
              <w:ind w:left="221" w:right="213"/>
              <w:jc w:val="center"/>
              <w:rPr>
                <w:sz w:val="18"/>
              </w:rPr>
            </w:pPr>
            <w:r>
              <w:rPr>
                <w:sz w:val="18"/>
              </w:rPr>
              <w:t>M4</w:t>
            </w:r>
          </w:p>
        </w:tc>
        <w:tc>
          <w:tcPr>
            <w:tcW w:w="934" w:type="dxa"/>
          </w:tcPr>
          <w:p>
            <w:pPr>
              <w:pStyle w:val="TableParagraph"/>
              <w:spacing w:before="28"/>
              <w:ind w:left="340"/>
              <w:rPr>
                <w:sz w:val="18"/>
              </w:rPr>
            </w:pPr>
            <w:r>
              <w:rPr>
                <w:sz w:val="18"/>
              </w:rPr>
              <w:t>M4</w:t>
            </w:r>
          </w:p>
        </w:tc>
        <w:tc>
          <w:tcPr>
            <w:tcW w:w="1052" w:type="dxa"/>
          </w:tcPr>
          <w:p>
            <w:pPr>
              <w:pStyle w:val="TableParagraph"/>
              <w:spacing w:before="28"/>
              <w:ind w:left="376" w:right="373"/>
              <w:jc w:val="center"/>
              <w:rPr>
                <w:sz w:val="18"/>
              </w:rPr>
            </w:pPr>
            <w:r>
              <w:rPr>
                <w:sz w:val="18"/>
              </w:rPr>
              <w:t>M5</w:t>
            </w:r>
          </w:p>
        </w:tc>
      </w:tr>
      <w:tr>
        <w:trPr>
          <w:trHeight w:val="273" w:hRule="atLeast"/>
        </w:trPr>
        <w:tc>
          <w:tcPr>
            <w:tcW w:w="2417" w:type="dxa"/>
          </w:tcPr>
          <w:p>
            <w:pPr>
              <w:pStyle w:val="TableParagraph"/>
              <w:spacing w:before="28"/>
              <w:ind w:left="227" w:right="218"/>
              <w:jc w:val="center"/>
              <w:rPr>
                <w:sz w:val="18"/>
              </w:rPr>
            </w:pPr>
            <w:r>
              <w:rPr>
                <w:sz w:val="18"/>
              </w:rPr>
              <w:t>Forest management</w:t>
            </w:r>
          </w:p>
        </w:tc>
        <w:tc>
          <w:tcPr>
            <w:tcW w:w="1351" w:type="dxa"/>
          </w:tcPr>
          <w:p>
            <w:pPr>
              <w:pStyle w:val="TableParagraph"/>
              <w:spacing w:before="28"/>
              <w:ind w:left="528" w:right="519"/>
              <w:jc w:val="center"/>
              <w:rPr>
                <w:sz w:val="18"/>
              </w:rPr>
            </w:pPr>
            <w:r>
              <w:rPr>
                <w:sz w:val="18"/>
              </w:rPr>
              <w:t>Y1</w:t>
            </w:r>
          </w:p>
        </w:tc>
        <w:tc>
          <w:tcPr>
            <w:tcW w:w="1344" w:type="dxa"/>
          </w:tcPr>
          <w:p>
            <w:pPr>
              <w:pStyle w:val="TableParagraph"/>
              <w:spacing w:before="28"/>
              <w:ind w:left="89" w:right="83"/>
              <w:jc w:val="center"/>
              <w:rPr>
                <w:sz w:val="18"/>
              </w:rPr>
            </w:pPr>
            <w:r>
              <w:rPr>
                <w:sz w:val="18"/>
              </w:rPr>
              <w:t>M2</w:t>
            </w:r>
          </w:p>
        </w:tc>
        <w:tc>
          <w:tcPr>
            <w:tcW w:w="1039" w:type="dxa"/>
          </w:tcPr>
          <w:p>
            <w:pPr>
              <w:pStyle w:val="TableParagraph"/>
              <w:spacing w:before="28"/>
              <w:ind w:left="407"/>
              <w:rPr>
                <w:sz w:val="18"/>
              </w:rPr>
            </w:pPr>
            <w:r>
              <w:rPr>
                <w:sz w:val="18"/>
              </w:rPr>
              <w:t>Y3</w:t>
            </w:r>
          </w:p>
        </w:tc>
        <w:tc>
          <w:tcPr>
            <w:tcW w:w="936" w:type="dxa"/>
          </w:tcPr>
          <w:p>
            <w:pPr>
              <w:pStyle w:val="TableParagraph"/>
              <w:spacing w:before="28"/>
              <w:ind w:left="220" w:right="214"/>
              <w:jc w:val="center"/>
              <w:rPr>
                <w:sz w:val="18"/>
              </w:rPr>
            </w:pPr>
            <w:r>
              <w:rPr>
                <w:sz w:val="18"/>
              </w:rPr>
              <w:t>M4</w:t>
            </w:r>
          </w:p>
        </w:tc>
        <w:tc>
          <w:tcPr>
            <w:tcW w:w="934" w:type="dxa"/>
          </w:tcPr>
          <w:p>
            <w:pPr>
              <w:pStyle w:val="TableParagraph"/>
              <w:spacing w:before="28"/>
              <w:ind w:left="354"/>
              <w:rPr>
                <w:sz w:val="18"/>
              </w:rPr>
            </w:pPr>
            <w:r>
              <w:rPr>
                <w:sz w:val="18"/>
              </w:rPr>
              <w:t>Y4</w:t>
            </w:r>
          </w:p>
        </w:tc>
        <w:tc>
          <w:tcPr>
            <w:tcW w:w="1052" w:type="dxa"/>
          </w:tcPr>
          <w:p>
            <w:pPr>
              <w:pStyle w:val="TableParagraph"/>
              <w:spacing w:before="28"/>
              <w:ind w:left="377" w:right="372"/>
              <w:jc w:val="center"/>
              <w:rPr>
                <w:sz w:val="18"/>
              </w:rPr>
            </w:pPr>
            <w:r>
              <w:rPr>
                <w:sz w:val="18"/>
              </w:rPr>
              <w:t>M5</w:t>
            </w:r>
          </w:p>
        </w:tc>
      </w:tr>
      <w:tr>
        <w:trPr>
          <w:trHeight w:val="275" w:hRule="atLeast"/>
        </w:trPr>
        <w:tc>
          <w:tcPr>
            <w:tcW w:w="2417" w:type="dxa"/>
          </w:tcPr>
          <w:p>
            <w:pPr>
              <w:pStyle w:val="TableParagraph"/>
              <w:spacing w:before="28"/>
              <w:ind w:left="227" w:right="218"/>
              <w:jc w:val="center"/>
              <w:rPr>
                <w:sz w:val="18"/>
              </w:rPr>
            </w:pPr>
            <w:r>
              <w:rPr>
                <w:sz w:val="18"/>
              </w:rPr>
              <w:t>Cropland management</w:t>
            </w:r>
          </w:p>
        </w:tc>
        <w:tc>
          <w:tcPr>
            <w:tcW w:w="1351" w:type="dxa"/>
          </w:tcPr>
          <w:p>
            <w:pPr>
              <w:pStyle w:val="TableParagraph"/>
              <w:spacing w:before="28"/>
              <w:ind w:left="529" w:right="519"/>
              <w:jc w:val="center"/>
              <w:rPr>
                <w:sz w:val="18"/>
              </w:rPr>
            </w:pPr>
            <w:r>
              <w:rPr>
                <w:sz w:val="18"/>
              </w:rPr>
              <w:t>M1</w:t>
            </w:r>
          </w:p>
        </w:tc>
        <w:tc>
          <w:tcPr>
            <w:tcW w:w="1344" w:type="dxa"/>
          </w:tcPr>
          <w:p>
            <w:pPr>
              <w:pStyle w:val="TableParagraph"/>
              <w:spacing w:before="28"/>
              <w:ind w:left="89" w:right="82"/>
              <w:jc w:val="center"/>
              <w:rPr>
                <w:sz w:val="18"/>
              </w:rPr>
            </w:pPr>
            <w:r>
              <w:rPr>
                <w:sz w:val="18"/>
              </w:rPr>
              <w:t>M2</w:t>
            </w:r>
          </w:p>
        </w:tc>
        <w:tc>
          <w:tcPr>
            <w:tcW w:w="1039" w:type="dxa"/>
          </w:tcPr>
          <w:p>
            <w:pPr>
              <w:pStyle w:val="TableParagraph"/>
              <w:spacing w:before="28"/>
              <w:ind w:left="393"/>
              <w:rPr>
                <w:sz w:val="18"/>
              </w:rPr>
            </w:pPr>
            <w:r>
              <w:rPr>
                <w:sz w:val="18"/>
              </w:rPr>
              <w:t>M3</w:t>
            </w:r>
          </w:p>
        </w:tc>
        <w:tc>
          <w:tcPr>
            <w:tcW w:w="936" w:type="dxa"/>
          </w:tcPr>
          <w:p>
            <w:pPr>
              <w:pStyle w:val="TableParagraph"/>
              <w:spacing w:before="28"/>
              <w:ind w:left="221" w:right="213"/>
              <w:jc w:val="center"/>
              <w:rPr>
                <w:sz w:val="18"/>
              </w:rPr>
            </w:pPr>
            <w:r>
              <w:rPr>
                <w:sz w:val="18"/>
              </w:rPr>
              <w:t>M4</w:t>
            </w:r>
          </w:p>
        </w:tc>
        <w:tc>
          <w:tcPr>
            <w:tcW w:w="934" w:type="dxa"/>
          </w:tcPr>
          <w:p>
            <w:pPr>
              <w:pStyle w:val="TableParagraph"/>
              <w:spacing w:before="28"/>
              <w:ind w:left="401"/>
              <w:rPr>
                <w:sz w:val="18"/>
              </w:rPr>
            </w:pPr>
            <w:r>
              <w:rPr>
                <w:sz w:val="18"/>
              </w:rPr>
              <w:t>N</w:t>
            </w:r>
          </w:p>
        </w:tc>
        <w:tc>
          <w:tcPr>
            <w:tcW w:w="1052" w:type="dxa"/>
          </w:tcPr>
          <w:p>
            <w:pPr>
              <w:pStyle w:val="TableParagraph"/>
              <w:spacing w:before="28"/>
              <w:ind w:left="377" w:right="370"/>
              <w:jc w:val="center"/>
              <w:rPr>
                <w:sz w:val="18"/>
              </w:rPr>
            </w:pPr>
            <w:r>
              <w:rPr>
                <w:sz w:val="18"/>
              </w:rPr>
              <w:t>Y5</w:t>
            </w:r>
          </w:p>
        </w:tc>
      </w:tr>
      <w:tr>
        <w:trPr>
          <w:trHeight w:val="273" w:hRule="atLeast"/>
        </w:trPr>
        <w:tc>
          <w:tcPr>
            <w:tcW w:w="2417" w:type="dxa"/>
          </w:tcPr>
          <w:p>
            <w:pPr>
              <w:pStyle w:val="TableParagraph"/>
              <w:spacing w:before="28"/>
              <w:ind w:left="227" w:right="218"/>
              <w:jc w:val="center"/>
              <w:rPr>
                <w:sz w:val="18"/>
              </w:rPr>
            </w:pPr>
            <w:r>
              <w:rPr>
                <w:sz w:val="18"/>
              </w:rPr>
              <w:t>Grazing land management</w:t>
            </w:r>
          </w:p>
        </w:tc>
        <w:tc>
          <w:tcPr>
            <w:tcW w:w="1351" w:type="dxa"/>
          </w:tcPr>
          <w:p>
            <w:pPr>
              <w:pStyle w:val="TableParagraph"/>
              <w:spacing w:before="28"/>
              <w:ind w:left="528" w:right="519"/>
              <w:jc w:val="center"/>
              <w:rPr>
                <w:sz w:val="18"/>
              </w:rPr>
            </w:pPr>
            <w:r>
              <w:rPr>
                <w:sz w:val="18"/>
              </w:rPr>
              <w:t>M1</w:t>
            </w:r>
          </w:p>
        </w:tc>
        <w:tc>
          <w:tcPr>
            <w:tcW w:w="1344" w:type="dxa"/>
          </w:tcPr>
          <w:p>
            <w:pPr>
              <w:pStyle w:val="TableParagraph"/>
              <w:spacing w:before="28"/>
              <w:ind w:left="89" w:right="81"/>
              <w:jc w:val="center"/>
              <w:rPr>
                <w:sz w:val="18"/>
              </w:rPr>
            </w:pPr>
            <w:r>
              <w:rPr>
                <w:sz w:val="18"/>
              </w:rPr>
              <w:t>Y2</w:t>
            </w:r>
          </w:p>
        </w:tc>
        <w:tc>
          <w:tcPr>
            <w:tcW w:w="1039" w:type="dxa"/>
          </w:tcPr>
          <w:p>
            <w:pPr>
              <w:pStyle w:val="TableParagraph"/>
              <w:spacing w:before="28"/>
              <w:ind w:left="393"/>
              <w:rPr>
                <w:sz w:val="18"/>
              </w:rPr>
            </w:pPr>
            <w:r>
              <w:rPr>
                <w:sz w:val="18"/>
              </w:rPr>
              <w:t>M3</w:t>
            </w:r>
          </w:p>
        </w:tc>
        <w:tc>
          <w:tcPr>
            <w:tcW w:w="936" w:type="dxa"/>
          </w:tcPr>
          <w:p>
            <w:pPr>
              <w:pStyle w:val="TableParagraph"/>
              <w:spacing w:before="28"/>
              <w:ind w:left="221" w:right="213"/>
              <w:jc w:val="center"/>
              <w:rPr>
                <w:sz w:val="18"/>
              </w:rPr>
            </w:pPr>
            <w:r>
              <w:rPr>
                <w:sz w:val="18"/>
              </w:rPr>
              <w:t>M4</w:t>
            </w:r>
          </w:p>
        </w:tc>
        <w:tc>
          <w:tcPr>
            <w:tcW w:w="934" w:type="dxa"/>
          </w:tcPr>
          <w:p>
            <w:pPr>
              <w:pStyle w:val="TableParagraph"/>
              <w:spacing w:before="28"/>
              <w:ind w:left="401"/>
              <w:rPr>
                <w:sz w:val="18"/>
              </w:rPr>
            </w:pPr>
            <w:r>
              <w:rPr>
                <w:sz w:val="18"/>
              </w:rPr>
              <w:t>N</w:t>
            </w:r>
          </w:p>
        </w:tc>
        <w:tc>
          <w:tcPr>
            <w:tcW w:w="1052" w:type="dxa"/>
          </w:tcPr>
          <w:p>
            <w:pPr>
              <w:pStyle w:val="TableParagraph"/>
              <w:spacing w:before="28"/>
              <w:ind w:left="377" w:right="370"/>
              <w:jc w:val="center"/>
              <w:rPr>
                <w:sz w:val="18"/>
              </w:rPr>
            </w:pPr>
            <w:r>
              <w:rPr>
                <w:sz w:val="18"/>
              </w:rPr>
              <w:t>Y5</w:t>
            </w:r>
          </w:p>
        </w:tc>
      </w:tr>
      <w:tr>
        <w:trPr>
          <w:trHeight w:val="273" w:hRule="atLeast"/>
        </w:trPr>
        <w:tc>
          <w:tcPr>
            <w:tcW w:w="2417" w:type="dxa"/>
          </w:tcPr>
          <w:p>
            <w:pPr>
              <w:pStyle w:val="TableParagraph"/>
              <w:spacing w:before="28"/>
              <w:ind w:left="227" w:right="219"/>
              <w:jc w:val="center"/>
              <w:rPr>
                <w:sz w:val="18"/>
              </w:rPr>
            </w:pPr>
            <w:r>
              <w:rPr>
                <w:sz w:val="18"/>
              </w:rPr>
              <w:t>Revegetation</w:t>
            </w:r>
          </w:p>
        </w:tc>
        <w:tc>
          <w:tcPr>
            <w:tcW w:w="1351" w:type="dxa"/>
          </w:tcPr>
          <w:p>
            <w:pPr>
              <w:pStyle w:val="TableParagraph"/>
              <w:spacing w:before="28"/>
              <w:ind w:left="529" w:right="517"/>
              <w:jc w:val="center"/>
              <w:rPr>
                <w:sz w:val="18"/>
              </w:rPr>
            </w:pPr>
            <w:r>
              <w:rPr>
                <w:sz w:val="18"/>
              </w:rPr>
              <w:t>M1</w:t>
            </w:r>
          </w:p>
        </w:tc>
        <w:tc>
          <w:tcPr>
            <w:tcW w:w="1344" w:type="dxa"/>
          </w:tcPr>
          <w:p>
            <w:pPr>
              <w:pStyle w:val="TableParagraph"/>
              <w:spacing w:before="28"/>
              <w:ind w:left="89" w:right="79"/>
              <w:jc w:val="center"/>
              <w:rPr>
                <w:sz w:val="18"/>
              </w:rPr>
            </w:pPr>
            <w:r>
              <w:rPr>
                <w:sz w:val="18"/>
              </w:rPr>
              <w:t>Y2</w:t>
            </w:r>
          </w:p>
        </w:tc>
        <w:tc>
          <w:tcPr>
            <w:tcW w:w="1039" w:type="dxa"/>
          </w:tcPr>
          <w:p>
            <w:pPr>
              <w:pStyle w:val="TableParagraph"/>
              <w:spacing w:before="28"/>
              <w:ind w:left="394"/>
              <w:rPr>
                <w:sz w:val="18"/>
              </w:rPr>
            </w:pPr>
            <w:r>
              <w:rPr>
                <w:sz w:val="18"/>
              </w:rPr>
              <w:t>M3</w:t>
            </w:r>
          </w:p>
        </w:tc>
        <w:tc>
          <w:tcPr>
            <w:tcW w:w="936" w:type="dxa"/>
          </w:tcPr>
          <w:p>
            <w:pPr>
              <w:pStyle w:val="TableParagraph"/>
              <w:spacing w:before="28"/>
              <w:ind w:left="221" w:right="213"/>
              <w:jc w:val="center"/>
              <w:rPr>
                <w:sz w:val="18"/>
              </w:rPr>
            </w:pPr>
            <w:r>
              <w:rPr>
                <w:sz w:val="18"/>
              </w:rPr>
              <w:t>M4</w:t>
            </w:r>
          </w:p>
        </w:tc>
        <w:tc>
          <w:tcPr>
            <w:tcW w:w="934" w:type="dxa"/>
          </w:tcPr>
          <w:p>
            <w:pPr>
              <w:pStyle w:val="TableParagraph"/>
              <w:spacing w:before="28"/>
              <w:ind w:left="340"/>
              <w:rPr>
                <w:sz w:val="18"/>
              </w:rPr>
            </w:pPr>
            <w:r>
              <w:rPr>
                <w:sz w:val="18"/>
              </w:rPr>
              <w:t>M4</w:t>
            </w:r>
          </w:p>
        </w:tc>
        <w:tc>
          <w:tcPr>
            <w:tcW w:w="1052" w:type="dxa"/>
          </w:tcPr>
          <w:p>
            <w:pPr>
              <w:pStyle w:val="TableParagraph"/>
              <w:spacing w:before="28"/>
              <w:ind w:left="377" w:right="373"/>
              <w:jc w:val="center"/>
              <w:rPr>
                <w:sz w:val="18"/>
              </w:rPr>
            </w:pPr>
            <w:r>
              <w:rPr>
                <w:sz w:val="18"/>
              </w:rPr>
              <w:t>M5</w:t>
            </w:r>
          </w:p>
        </w:tc>
      </w:tr>
      <w:tr>
        <w:trPr>
          <w:trHeight w:val="3289" w:hRule="atLeast"/>
        </w:trPr>
        <w:tc>
          <w:tcPr>
            <w:tcW w:w="9073" w:type="dxa"/>
            <w:gridSpan w:val="7"/>
          </w:tcPr>
          <w:p>
            <w:pPr>
              <w:pStyle w:val="TableParagraph"/>
              <w:spacing w:before="35"/>
              <w:ind w:left="107"/>
              <w:rPr>
                <w:sz w:val="16"/>
              </w:rPr>
            </w:pPr>
            <w:r>
              <w:rPr>
                <w:sz w:val="16"/>
              </w:rPr>
              <w:t>Letters in the above table refer to the need for measuring and monitoring the carbon pools:</w:t>
            </w:r>
          </w:p>
          <w:p>
            <w:pPr>
              <w:pStyle w:val="TableParagraph"/>
              <w:tabs>
                <w:tab w:pos="827" w:val="left" w:leader="none"/>
              </w:tabs>
              <w:spacing w:before="102"/>
              <w:ind w:left="107"/>
              <w:rPr>
                <w:sz w:val="16"/>
              </w:rPr>
            </w:pPr>
            <w:r>
              <w:rPr>
                <w:sz w:val="16"/>
              </w:rPr>
              <w:t>Y=</w:t>
              <w:tab/>
              <w:t>Yes – the change in this pool is likely to be large and should be</w:t>
            </w:r>
            <w:r>
              <w:rPr>
                <w:spacing w:val="-12"/>
                <w:sz w:val="16"/>
              </w:rPr>
              <w:t> </w:t>
            </w:r>
            <w:r>
              <w:rPr>
                <w:sz w:val="16"/>
              </w:rPr>
              <w:t>measured.</w:t>
            </w:r>
          </w:p>
          <w:p>
            <w:pPr>
              <w:pStyle w:val="TableParagraph"/>
              <w:tabs>
                <w:tab w:pos="827" w:val="left" w:leader="none"/>
              </w:tabs>
              <w:spacing w:before="99"/>
              <w:ind w:left="107"/>
              <w:rPr>
                <w:sz w:val="16"/>
              </w:rPr>
            </w:pPr>
            <w:r>
              <w:rPr>
                <w:sz w:val="16"/>
              </w:rPr>
              <w:t>N</w:t>
            </w:r>
            <w:r>
              <w:rPr>
                <w:spacing w:val="-1"/>
                <w:sz w:val="16"/>
              </w:rPr>
              <w:t> </w:t>
            </w:r>
            <w:r>
              <w:rPr>
                <w:sz w:val="16"/>
              </w:rPr>
              <w:t>=</w:t>
              <w:tab/>
              <w:t>No – the change is likely to be small to none and thus it is not necessary to measure this</w:t>
            </w:r>
            <w:r>
              <w:rPr>
                <w:spacing w:val="-28"/>
                <w:sz w:val="16"/>
              </w:rPr>
              <w:t> </w:t>
            </w:r>
            <w:r>
              <w:rPr>
                <w:sz w:val="16"/>
              </w:rPr>
              <w:t>pool.</w:t>
            </w:r>
          </w:p>
          <w:p>
            <w:pPr>
              <w:pStyle w:val="TableParagraph"/>
              <w:tabs>
                <w:tab w:pos="827" w:val="left" w:leader="none"/>
              </w:tabs>
              <w:spacing w:before="99"/>
              <w:ind w:left="827" w:right="182" w:hanging="720"/>
              <w:rPr>
                <w:sz w:val="16"/>
              </w:rPr>
            </w:pPr>
            <w:r>
              <w:rPr>
                <w:sz w:val="16"/>
              </w:rPr>
              <w:t>M</w:t>
            </w:r>
            <w:r>
              <w:rPr>
                <w:spacing w:val="1"/>
                <w:sz w:val="16"/>
              </w:rPr>
              <w:t> </w:t>
            </w:r>
            <w:r>
              <w:rPr>
                <w:sz w:val="16"/>
              </w:rPr>
              <w:t>=</w:t>
              <w:tab/>
              <w:t>Maybe – the change in this pool may need to be measured depending upon the forest type and/or management intensity of the project.</w:t>
            </w:r>
          </w:p>
          <w:p>
            <w:pPr>
              <w:pStyle w:val="TableParagraph"/>
              <w:tabs>
                <w:tab w:pos="827" w:val="left" w:leader="none"/>
              </w:tabs>
              <w:spacing w:line="369" w:lineRule="auto" w:before="100"/>
              <w:ind w:left="107" w:right="2414"/>
              <w:rPr>
                <w:sz w:val="16"/>
              </w:rPr>
            </w:pPr>
            <w:r>
              <w:rPr>
                <w:sz w:val="16"/>
              </w:rPr>
              <w:t>Numbers in the above table refer to different methods for measuring and monitoring the carbon pools: 1=</w:t>
              <w:tab/>
              <w:t>Use the method for aboveground biomass of trees in Section</w:t>
            </w:r>
            <w:r>
              <w:rPr>
                <w:spacing w:val="-6"/>
                <w:sz w:val="16"/>
              </w:rPr>
              <w:t> </w:t>
            </w:r>
            <w:r>
              <w:rPr>
                <w:sz w:val="16"/>
              </w:rPr>
              <w:t>4.3.3.5.1.</w:t>
            </w:r>
          </w:p>
          <w:p>
            <w:pPr>
              <w:pStyle w:val="TableParagraph"/>
              <w:tabs>
                <w:tab w:pos="827" w:val="left" w:leader="none"/>
              </w:tabs>
              <w:spacing w:line="372" w:lineRule="auto"/>
              <w:ind w:left="107" w:right="2718"/>
              <w:rPr>
                <w:sz w:val="16"/>
              </w:rPr>
            </w:pPr>
            <w:r>
              <w:rPr>
                <w:sz w:val="16"/>
              </w:rPr>
              <w:t>2</w:t>
            </w:r>
            <w:r>
              <w:rPr>
                <w:spacing w:val="1"/>
                <w:sz w:val="16"/>
              </w:rPr>
              <w:t> </w:t>
            </w:r>
            <w:r>
              <w:rPr>
                <w:sz w:val="16"/>
              </w:rPr>
              <w:t>=</w:t>
              <w:tab/>
              <w:t>Use the method for aboveground biomass of non-trees vegetation in Section 4.3.3.5.1. 3</w:t>
            </w:r>
            <w:r>
              <w:rPr>
                <w:spacing w:val="1"/>
                <w:sz w:val="16"/>
              </w:rPr>
              <w:t> </w:t>
            </w:r>
            <w:r>
              <w:rPr>
                <w:sz w:val="16"/>
              </w:rPr>
              <w:t>=</w:t>
              <w:tab/>
              <w:t>Use the method for belowground biomass in Section</w:t>
            </w:r>
            <w:r>
              <w:rPr>
                <w:spacing w:val="-4"/>
                <w:sz w:val="16"/>
              </w:rPr>
              <w:t> </w:t>
            </w:r>
            <w:r>
              <w:rPr>
                <w:sz w:val="16"/>
              </w:rPr>
              <w:t>4.3.3.5.2.</w:t>
            </w:r>
          </w:p>
          <w:p>
            <w:pPr>
              <w:pStyle w:val="TableParagraph"/>
              <w:tabs>
                <w:tab w:pos="827" w:val="left" w:leader="none"/>
              </w:tabs>
              <w:spacing w:line="369" w:lineRule="auto"/>
              <w:ind w:left="107" w:right="4323"/>
              <w:rPr>
                <w:sz w:val="16"/>
              </w:rPr>
            </w:pPr>
            <w:r>
              <w:rPr>
                <w:sz w:val="16"/>
              </w:rPr>
              <w:t>4</w:t>
            </w:r>
            <w:r>
              <w:rPr>
                <w:spacing w:val="1"/>
                <w:sz w:val="16"/>
              </w:rPr>
              <w:t> </w:t>
            </w:r>
            <w:r>
              <w:rPr>
                <w:sz w:val="16"/>
              </w:rPr>
              <w:t>=</w:t>
              <w:tab/>
              <w:t>Use the method for litter and dead wood in Section 4.3.3.5.3. 5</w:t>
            </w:r>
            <w:r>
              <w:rPr>
                <w:spacing w:val="1"/>
                <w:sz w:val="16"/>
              </w:rPr>
              <w:t> </w:t>
            </w:r>
            <w:r>
              <w:rPr>
                <w:sz w:val="16"/>
              </w:rPr>
              <w:t>=</w:t>
              <w:tab/>
              <w:t>Use the method for soils in Section</w:t>
            </w:r>
            <w:r>
              <w:rPr>
                <w:spacing w:val="-1"/>
                <w:sz w:val="16"/>
              </w:rPr>
              <w:t> </w:t>
            </w:r>
            <w:r>
              <w:rPr>
                <w:sz w:val="16"/>
              </w:rPr>
              <w:t>4.3.3.5.4.</w:t>
            </w:r>
          </w:p>
          <w:p>
            <w:pPr>
              <w:pStyle w:val="TableParagraph"/>
              <w:ind w:left="107"/>
              <w:rPr>
                <w:sz w:val="16"/>
              </w:rPr>
            </w:pPr>
            <w:r>
              <w:rPr>
                <w:sz w:val="16"/>
              </w:rPr>
              <w:t>Source: modified from Brown </w:t>
            </w:r>
            <w:r>
              <w:rPr>
                <w:i/>
                <w:sz w:val="16"/>
              </w:rPr>
              <w:t>et al.</w:t>
            </w:r>
            <w:r>
              <w:rPr>
                <w:sz w:val="16"/>
              </w:rPr>
              <w:t>, 2000b.</w:t>
            </w:r>
          </w:p>
        </w:tc>
      </w:tr>
    </w:tbl>
    <w:p>
      <w:pPr>
        <w:pStyle w:val="BodyText"/>
      </w:pPr>
    </w:p>
    <w:p>
      <w:pPr>
        <w:pStyle w:val="BodyText"/>
        <w:rPr>
          <w:sz w:val="22"/>
        </w:rPr>
      </w:pPr>
    </w:p>
    <w:p>
      <w:pPr>
        <w:pStyle w:val="BodyText"/>
        <w:spacing w:before="91"/>
        <w:ind w:left="179" w:right="1403"/>
        <w:jc w:val="both"/>
      </w:pPr>
      <w:r>
        <w:rPr/>
        <w:t>Changes in emissions of non-CO</w:t>
      </w:r>
      <w:r>
        <w:rPr>
          <w:vertAlign w:val="subscript"/>
        </w:rPr>
        <w:t>2</w:t>
      </w:r>
      <w:r>
        <w:rPr>
          <w:vertAlign w:val="baseline"/>
        </w:rPr>
        <w:t> greenhouse gases may result from all project activities under Article 6; the sources of the non-CO</w:t>
      </w:r>
      <w:r>
        <w:rPr>
          <w:vertAlign w:val="subscript"/>
        </w:rPr>
        <w:t>2</w:t>
      </w:r>
      <w:r>
        <w:rPr>
          <w:vertAlign w:val="baseline"/>
        </w:rPr>
        <w:t> greenhouse gases are biomass burning, fossil fuel combustion, and soil (see Boxes 4.3.1– 4.3.4). Furthermore, changes in grazing land management to enhance soil carbon, for example, can also change emissions of non-CO</w:t>
      </w:r>
      <w:r>
        <w:rPr>
          <w:vertAlign w:val="subscript"/>
        </w:rPr>
        <w:t>2</w:t>
      </w:r>
      <w:r>
        <w:rPr>
          <w:vertAlign w:val="baseline"/>
        </w:rPr>
        <w:t> greenhouse gases due to effects on livestock production (Sampson and Scholes, 2000). Under Article 12, afforestation/reforestation activities may also change emissions of non-CO</w:t>
      </w:r>
      <w:r>
        <w:rPr>
          <w:vertAlign w:val="subscript"/>
        </w:rPr>
        <w:t>2</w:t>
      </w:r>
      <w:r>
        <w:rPr>
          <w:vertAlign w:val="baseline"/>
        </w:rPr>
        <w:t> greenhouse gases through practices such as those given in Box 4.3.1 (see also Section 4.3.3.6).</w:t>
      </w:r>
    </w:p>
    <w:p>
      <w:pPr>
        <w:pStyle w:val="BodyText"/>
        <w:rPr>
          <w:sz w:val="22"/>
        </w:rPr>
      </w:pPr>
    </w:p>
    <w:p>
      <w:pPr>
        <w:pStyle w:val="Heading6"/>
        <w:numPr>
          <w:ilvl w:val="3"/>
          <w:numId w:val="143"/>
        </w:numPr>
        <w:tabs>
          <w:tab w:pos="1619" w:val="left" w:leader="none"/>
          <w:tab w:pos="1620" w:val="left" w:leader="none"/>
        </w:tabs>
        <w:spacing w:line="240" w:lineRule="auto" w:before="145" w:after="0"/>
        <w:ind w:left="1619" w:right="0" w:hanging="1440"/>
        <w:jc w:val="left"/>
      </w:pPr>
      <w:r>
        <w:rPr>
          <w:spacing w:val="16"/>
          <w:sz w:val="28"/>
        </w:rPr>
        <w:t>S</w:t>
      </w:r>
      <w:r>
        <w:rPr>
          <w:spacing w:val="16"/>
        </w:rPr>
        <w:t>AMPLING</w:t>
      </w:r>
      <w:r>
        <w:rPr>
          <w:spacing w:val="37"/>
        </w:rPr>
        <w:t> </w:t>
      </w:r>
      <w:r>
        <w:rPr>
          <w:spacing w:val="19"/>
        </w:rPr>
        <w:t>DESIGN</w:t>
      </w:r>
    </w:p>
    <w:p>
      <w:pPr>
        <w:pStyle w:val="BodyText"/>
        <w:spacing w:before="211"/>
        <w:ind w:left="179" w:right="1405"/>
        <w:jc w:val="both"/>
      </w:pPr>
      <w:r>
        <w:rPr/>
        <w:t>A discussion of general issues related to sampling design is given in detail in Section 5.3. For LULUCF projects, permanent or temporary sampling plots could be used for sampling over time to estimate changes in the relevant carbon pools and non-CO</w:t>
      </w:r>
      <w:r>
        <w:rPr>
          <w:vertAlign w:val="subscript"/>
        </w:rPr>
        <w:t>2</w:t>
      </w:r>
      <w:r>
        <w:rPr>
          <w:vertAlign w:val="baseline"/>
        </w:rPr>
        <w:t> greenhouse gases. Both methods have advantages and disadvantages. Permanent sample plots are generally regarded as statistically more efficient in estimating </w:t>
      </w:r>
      <w:r>
        <w:rPr>
          <w:u w:val="single"/>
          <w:vertAlign w:val="baseline"/>
        </w:rPr>
        <w:t>changes</w:t>
      </w:r>
      <w:r>
        <w:rPr>
          <w:vertAlign w:val="baseline"/>
        </w:rPr>
        <w:t> in forest carbon stocks than temporary plots because typically there is high covariance between observations at successive sampling events (Avery and Burkhart, 1983). Disadvantages of permanent plots are that their location could be known and they could be treated differently (such as by fertilizer, irrigation, etc. to enhance the carbon stocks), or that they could be destroyed or lost by disturbances over the project interval. The advantages of temporary plots is that they may be established more cost-effectively to estimate the carbon stocks of the relevant pools, their location changes after each sampling interval, and they would not be lost by disturbances. The main disadvantage of temporary plots is related to the precision in estimating the </w:t>
      </w:r>
      <w:r>
        <w:rPr>
          <w:u w:val="single"/>
          <w:vertAlign w:val="baseline"/>
        </w:rPr>
        <w:t>change</w:t>
      </w:r>
      <w:r>
        <w:rPr>
          <w:vertAlign w:val="baseline"/>
        </w:rPr>
        <w:t> in forest carbon stocks. Because individual trees are not tracked (see Clark </w:t>
      </w:r>
      <w:r>
        <w:rPr>
          <w:i/>
          <w:vertAlign w:val="baseline"/>
        </w:rPr>
        <w:t>et al.</w:t>
      </w:r>
      <w:r>
        <w:rPr>
          <w:vertAlign w:val="baseline"/>
        </w:rPr>
        <w:t>, 2000, for further discussion), the covariance term is non-existent and it will be more difficult to attain the targeted precision level without measuring more plots. Thus any cost advantage gained by using temporary over permanent forest plots may be lost by the need to install more temporary plots to achieve the targeted precision. For non-forestry based projects, where changes in carbon stocks of only soil or herbaceous vegetation are measured and monitored, temporary plots could be used because the statistical advantage of permanent plots (high covariance) is lost (see next Section 4.3.3.4.1).</w:t>
      </w:r>
    </w:p>
    <w:p>
      <w:pPr>
        <w:spacing w:after="0"/>
        <w:jc w:val="both"/>
        <w:sectPr>
          <w:pgSz w:w="11900" w:h="16840"/>
          <w:pgMar w:header="233" w:footer="408" w:top="560" w:bottom="600" w:left="1240" w:right="0"/>
        </w:sectPr>
      </w:pPr>
    </w:p>
    <w:p>
      <w:pPr>
        <w:pStyle w:val="BodyText"/>
      </w:pPr>
    </w:p>
    <w:p>
      <w:pPr>
        <w:pStyle w:val="Heading6"/>
        <w:tabs>
          <w:tab w:pos="1617" w:val="left" w:leader="none"/>
        </w:tabs>
        <w:spacing w:before="214"/>
        <w:ind w:left="179"/>
      </w:pPr>
      <w:r>
        <w:rPr>
          <w:spacing w:val="15"/>
        </w:rPr>
        <w:t>4.3.3.4</w:t>
      </w:r>
      <w:r>
        <w:rPr>
          <w:spacing w:val="-34"/>
        </w:rPr>
        <w:t> </w:t>
      </w:r>
      <w:r>
        <w:rPr>
          <w:spacing w:val="9"/>
        </w:rPr>
        <w:t>.1</w:t>
        <w:tab/>
      </w:r>
      <w:r>
        <w:rPr>
          <w:spacing w:val="12"/>
        </w:rPr>
        <w:t>THE </w:t>
      </w:r>
      <w:r>
        <w:rPr>
          <w:spacing w:val="15"/>
        </w:rPr>
        <w:t>NUMBER </w:t>
      </w:r>
      <w:r>
        <w:rPr>
          <w:spacing w:val="12"/>
        </w:rPr>
        <w:t>AND </w:t>
      </w:r>
      <w:r>
        <w:rPr>
          <w:spacing w:val="14"/>
        </w:rPr>
        <w:t>TYPE </w:t>
      </w:r>
      <w:r>
        <w:rPr>
          <w:spacing w:val="9"/>
        </w:rPr>
        <w:t>OF </w:t>
      </w:r>
      <w:r>
        <w:rPr>
          <w:spacing w:val="15"/>
        </w:rPr>
        <w:t>SAMPLE</w:t>
      </w:r>
      <w:r>
        <w:rPr>
          <w:spacing w:val="-23"/>
        </w:rPr>
        <w:t> </w:t>
      </w:r>
      <w:r>
        <w:rPr>
          <w:spacing w:val="19"/>
        </w:rPr>
        <w:t>PLOTS</w:t>
      </w:r>
    </w:p>
    <w:p>
      <w:pPr>
        <w:pStyle w:val="BodyText"/>
        <w:spacing w:before="117"/>
        <w:ind w:left="179" w:right="1401"/>
        <w:jc w:val="both"/>
      </w:pPr>
      <w:r>
        <w:rPr/>
        <w:t>It is </w:t>
      </w:r>
      <w:r>
        <w:rPr>
          <w:i/>
        </w:rPr>
        <w:t>good practice </w:t>
      </w:r>
      <w:r>
        <w:rPr/>
        <w:t>to define the sample size for measuring and monitoring in each stratum on the basis of the estimated variance of the carbon stock in each stratum and the ratio of the area of the stratum to the total project area. Typically, to estimate the number of plots needed for measuring and monitoring, at a given confidence level, it is necessary to first obtain an estimate of the variance of the variable (for example, carbon stock of the main pools – trees in an afforestation/reforestation project or soil in a cropland management project) in each stratum. This can be accomplished either from existing data of the type of project to be implemented (e.g., a forest or soil inventory in an area representative of the proposed project) or by making measurements on an existing area representing the proposed project. For example, if the project is to afforest/reforest agricultural lands and the project will last for 20 years, then a measure of the carbon stocks in the trees of about 10-15 plots (for plot dimensions see Section 4.3.3.4.2) of an existing 20 year forest would possibly suffice. If the project area comprises more than one stratum, then this procedure needs to be repeated for each of them. Such measurements will provide estimates of the variance in each</w:t>
      </w:r>
      <w:r>
        <w:rPr>
          <w:spacing w:val="-4"/>
        </w:rPr>
        <w:t> </w:t>
      </w:r>
      <w:r>
        <w:rPr/>
        <w:t>stratum.</w:t>
      </w:r>
    </w:p>
    <w:p>
      <w:pPr>
        <w:pStyle w:val="BodyText"/>
        <w:spacing w:before="117"/>
        <w:ind w:left="179" w:right="1401"/>
        <w:jc w:val="both"/>
      </w:pPr>
      <w:r>
        <w:rPr/>
        <w:t>The </w:t>
      </w:r>
      <w:r>
        <w:rPr>
          <w:spacing w:val="-2"/>
        </w:rPr>
        <w:t>sample </w:t>
      </w:r>
      <w:r>
        <w:rPr/>
        <w:t>size (number of sample plots) needed can be calculated </w:t>
      </w:r>
      <w:r>
        <w:rPr>
          <w:spacing w:val="-3"/>
        </w:rPr>
        <w:t>when </w:t>
      </w:r>
      <w:r>
        <w:rPr/>
        <w:t>the estimated variance in each stratum, area of each stratum, targeted precision level (based on sampling error </w:t>
      </w:r>
      <w:r>
        <w:rPr>
          <w:spacing w:val="-3"/>
        </w:rPr>
        <w:t>only), </w:t>
      </w:r>
      <w:r>
        <w:rPr/>
        <w:t>and estimation error are </w:t>
      </w:r>
      <w:r>
        <w:rPr>
          <w:spacing w:val="-3"/>
        </w:rPr>
        <w:t>known </w:t>
      </w:r>
      <w:r>
        <w:rPr/>
        <w:t>(see Section</w:t>
      </w:r>
      <w:r>
        <w:rPr>
          <w:spacing w:val="-11"/>
        </w:rPr>
        <w:t> </w:t>
      </w:r>
      <w:r>
        <w:rPr/>
        <w:t>5.3.6.2;</w:t>
      </w:r>
      <w:r>
        <w:rPr>
          <w:spacing w:val="-10"/>
        </w:rPr>
        <w:t> </w:t>
      </w:r>
      <w:r>
        <w:rPr/>
        <w:t>Freese,</w:t>
      </w:r>
      <w:r>
        <w:rPr>
          <w:spacing w:val="-8"/>
        </w:rPr>
        <w:t> </w:t>
      </w:r>
      <w:r>
        <w:rPr/>
        <w:t>1962;</w:t>
      </w:r>
      <w:r>
        <w:rPr>
          <w:spacing w:val="-10"/>
        </w:rPr>
        <w:t> </w:t>
      </w:r>
      <w:r>
        <w:rPr/>
        <w:t>MacDicken,</w:t>
      </w:r>
      <w:r>
        <w:rPr>
          <w:spacing w:val="-9"/>
        </w:rPr>
        <w:t> </w:t>
      </w:r>
      <w:r>
        <w:rPr/>
        <w:t>1997;</w:t>
      </w:r>
      <w:r>
        <w:rPr>
          <w:spacing w:val="-10"/>
        </w:rPr>
        <w:t> </w:t>
      </w:r>
      <w:r>
        <w:rPr/>
        <w:t>Schlegel</w:t>
      </w:r>
      <w:r>
        <w:rPr>
          <w:spacing w:val="-9"/>
        </w:rPr>
        <w:t> </w:t>
      </w:r>
      <w:r>
        <w:rPr>
          <w:i/>
        </w:rPr>
        <w:t>et</w:t>
      </w:r>
      <w:r>
        <w:rPr>
          <w:i/>
          <w:spacing w:val="-8"/>
        </w:rPr>
        <w:t> </w:t>
      </w:r>
      <w:r>
        <w:rPr>
          <w:i/>
        </w:rPr>
        <w:t>al.</w:t>
      </w:r>
      <w:r>
        <w:rPr/>
        <w:t>,</w:t>
      </w:r>
      <w:r>
        <w:rPr>
          <w:spacing w:val="-8"/>
        </w:rPr>
        <w:t> </w:t>
      </w:r>
      <w:r>
        <w:rPr/>
        <w:t>2001;</w:t>
      </w:r>
      <w:r>
        <w:rPr>
          <w:spacing w:val="-10"/>
        </w:rPr>
        <w:t> </w:t>
      </w:r>
      <w:r>
        <w:rPr>
          <w:spacing w:val="-3"/>
        </w:rPr>
        <w:t>Segura</w:t>
      </w:r>
      <w:r>
        <w:rPr>
          <w:spacing w:val="-9"/>
        </w:rPr>
        <w:t> </w:t>
      </w:r>
      <w:r>
        <w:rPr/>
        <w:t>and</w:t>
      </w:r>
      <w:r>
        <w:rPr>
          <w:spacing w:val="-9"/>
        </w:rPr>
        <w:t> </w:t>
      </w:r>
      <w:r>
        <w:rPr>
          <w:spacing w:val="-2"/>
        </w:rPr>
        <w:t>Kanninen,</w:t>
      </w:r>
      <w:r>
        <w:rPr>
          <w:spacing w:val="-9"/>
        </w:rPr>
        <w:t> </w:t>
      </w:r>
      <w:r>
        <w:rPr/>
        <w:t>2002).</w:t>
      </w:r>
      <w:r>
        <w:rPr>
          <w:spacing w:val="-8"/>
        </w:rPr>
        <w:t> </w:t>
      </w:r>
      <w:r>
        <w:rPr/>
        <w:t>These</w:t>
      </w:r>
      <w:r>
        <w:rPr>
          <w:spacing w:val="-9"/>
        </w:rPr>
        <w:t> </w:t>
      </w:r>
      <w:r>
        <w:rPr>
          <w:spacing w:val="-3"/>
        </w:rPr>
        <w:t>sources provide</w:t>
      </w:r>
      <w:r>
        <w:rPr>
          <w:spacing w:val="-5"/>
        </w:rPr>
        <w:t> </w:t>
      </w:r>
      <w:r>
        <w:rPr>
          <w:spacing w:val="-3"/>
        </w:rPr>
        <w:t>methods</w:t>
      </w:r>
      <w:r>
        <w:rPr>
          <w:spacing w:val="-8"/>
        </w:rPr>
        <w:t> </w:t>
      </w:r>
      <w:r>
        <w:rPr/>
        <w:t>and</w:t>
      </w:r>
      <w:r>
        <w:rPr>
          <w:spacing w:val="-6"/>
        </w:rPr>
        <w:t> </w:t>
      </w:r>
      <w:r>
        <w:rPr/>
        <w:t>equations</w:t>
      </w:r>
      <w:r>
        <w:rPr>
          <w:spacing w:val="-7"/>
        </w:rPr>
        <w:t> </w:t>
      </w:r>
      <w:r>
        <w:rPr/>
        <w:t>to</w:t>
      </w:r>
      <w:r>
        <w:rPr>
          <w:spacing w:val="-6"/>
        </w:rPr>
        <w:t> </w:t>
      </w:r>
      <w:r>
        <w:rPr>
          <w:spacing w:val="-3"/>
        </w:rPr>
        <w:t>compute</w:t>
      </w:r>
      <w:r>
        <w:rPr>
          <w:spacing w:val="-6"/>
        </w:rPr>
        <w:t> </w:t>
      </w:r>
      <w:r>
        <w:rPr/>
        <w:t>the</w:t>
      </w:r>
      <w:r>
        <w:rPr>
          <w:spacing w:val="-5"/>
        </w:rPr>
        <w:t> </w:t>
      </w:r>
      <w:r>
        <w:rPr/>
        <w:t>number</w:t>
      </w:r>
      <w:r>
        <w:rPr>
          <w:spacing w:val="-6"/>
        </w:rPr>
        <w:t> </w:t>
      </w:r>
      <w:r>
        <w:rPr/>
        <w:t>of</w:t>
      </w:r>
      <w:r>
        <w:rPr>
          <w:spacing w:val="-9"/>
        </w:rPr>
        <w:t> </w:t>
      </w:r>
      <w:r>
        <w:rPr/>
        <w:t>sample</w:t>
      </w:r>
      <w:r>
        <w:rPr>
          <w:spacing w:val="-7"/>
        </w:rPr>
        <w:t> </w:t>
      </w:r>
      <w:r>
        <w:rPr/>
        <w:t>plots</w:t>
      </w:r>
      <w:r>
        <w:rPr>
          <w:spacing w:val="-5"/>
        </w:rPr>
        <w:t> </w:t>
      </w:r>
      <w:r>
        <w:rPr>
          <w:spacing w:val="-2"/>
        </w:rPr>
        <w:t>within</w:t>
      </w:r>
      <w:r>
        <w:rPr>
          <w:spacing w:val="-8"/>
        </w:rPr>
        <w:t> </w:t>
      </w:r>
      <w:r>
        <w:rPr/>
        <w:t>each</w:t>
      </w:r>
      <w:r>
        <w:rPr>
          <w:spacing w:val="-8"/>
        </w:rPr>
        <w:t> </w:t>
      </w:r>
      <w:r>
        <w:rPr/>
        <w:t>stratum,</w:t>
      </w:r>
      <w:r>
        <w:rPr>
          <w:spacing w:val="-7"/>
        </w:rPr>
        <w:t> </w:t>
      </w:r>
      <w:r>
        <w:rPr/>
        <w:t>taking</w:t>
      </w:r>
      <w:r>
        <w:rPr>
          <w:spacing w:val="-8"/>
        </w:rPr>
        <w:t> </w:t>
      </w:r>
      <w:r>
        <w:rPr/>
        <w:t>into</w:t>
      </w:r>
      <w:r>
        <w:rPr>
          <w:spacing w:val="-6"/>
        </w:rPr>
        <w:t> </w:t>
      </w:r>
      <w:r>
        <w:rPr/>
        <w:t>account</w:t>
      </w:r>
      <w:r>
        <w:rPr>
          <w:spacing w:val="-5"/>
        </w:rPr>
        <w:t> </w:t>
      </w:r>
      <w:r>
        <w:rPr/>
        <w:t>the variance</w:t>
      </w:r>
      <w:r>
        <w:rPr>
          <w:spacing w:val="-6"/>
        </w:rPr>
        <w:t> </w:t>
      </w:r>
      <w:r>
        <w:rPr/>
        <w:t>and</w:t>
      </w:r>
      <w:r>
        <w:rPr>
          <w:spacing w:val="-6"/>
        </w:rPr>
        <w:t> </w:t>
      </w:r>
      <w:r>
        <w:rPr/>
        <w:t>area</w:t>
      </w:r>
      <w:r>
        <w:rPr>
          <w:spacing w:val="-6"/>
        </w:rPr>
        <w:t> </w:t>
      </w:r>
      <w:r>
        <w:rPr/>
        <w:t>of</w:t>
      </w:r>
      <w:r>
        <w:rPr>
          <w:spacing w:val="-8"/>
        </w:rPr>
        <w:t> </w:t>
      </w:r>
      <w:r>
        <w:rPr/>
        <w:t>each</w:t>
      </w:r>
      <w:r>
        <w:rPr>
          <w:spacing w:val="-7"/>
        </w:rPr>
        <w:t> </w:t>
      </w:r>
      <w:r>
        <w:rPr/>
        <w:t>stratum</w:t>
      </w:r>
      <w:r>
        <w:rPr>
          <w:spacing w:val="-8"/>
        </w:rPr>
        <w:t> </w:t>
      </w:r>
      <w:r>
        <w:rPr/>
        <w:t>and</w:t>
      </w:r>
      <w:r>
        <w:rPr>
          <w:spacing w:val="-6"/>
        </w:rPr>
        <w:t> </w:t>
      </w:r>
      <w:r>
        <w:rPr/>
        <w:t>the</w:t>
      </w:r>
      <w:r>
        <w:rPr>
          <w:spacing w:val="-6"/>
        </w:rPr>
        <w:t> </w:t>
      </w:r>
      <w:r>
        <w:rPr/>
        <w:t>targeted</w:t>
      </w:r>
      <w:r>
        <w:rPr>
          <w:spacing w:val="-6"/>
        </w:rPr>
        <w:t> </w:t>
      </w:r>
      <w:r>
        <w:rPr/>
        <w:t>precision</w:t>
      </w:r>
      <w:r>
        <w:rPr>
          <w:spacing w:val="-5"/>
        </w:rPr>
        <w:t> </w:t>
      </w:r>
      <w:r>
        <w:rPr/>
        <w:t>at</w:t>
      </w:r>
      <w:r>
        <w:rPr>
          <w:spacing w:val="-6"/>
        </w:rPr>
        <w:t> </w:t>
      </w:r>
      <w:r>
        <w:rPr/>
        <w:t>a</w:t>
      </w:r>
      <w:r>
        <w:rPr>
          <w:spacing w:val="-6"/>
        </w:rPr>
        <w:t> </w:t>
      </w:r>
      <w:r>
        <w:rPr/>
        <w:t>given</w:t>
      </w:r>
      <w:r>
        <w:rPr>
          <w:spacing w:val="-8"/>
        </w:rPr>
        <w:t> </w:t>
      </w:r>
      <w:r>
        <w:rPr/>
        <w:t>confidence</w:t>
      </w:r>
      <w:r>
        <w:rPr>
          <w:spacing w:val="-6"/>
        </w:rPr>
        <w:t> </w:t>
      </w:r>
      <w:r>
        <w:rPr/>
        <w:t>level.</w:t>
      </w:r>
      <w:r>
        <w:rPr>
          <w:spacing w:val="-4"/>
        </w:rPr>
        <w:t> </w:t>
      </w:r>
      <w:r>
        <w:rPr/>
        <w:t>Figure</w:t>
      </w:r>
      <w:r>
        <w:rPr>
          <w:spacing w:val="-6"/>
        </w:rPr>
        <w:t> </w:t>
      </w:r>
      <w:r>
        <w:rPr/>
        <w:t>4.3.1</w:t>
      </w:r>
      <w:r>
        <w:rPr>
          <w:spacing w:val="-6"/>
        </w:rPr>
        <w:t> </w:t>
      </w:r>
      <w:r>
        <w:rPr>
          <w:spacing w:val="-3"/>
        </w:rPr>
        <w:t>illustrates</w:t>
      </w:r>
      <w:r>
        <w:rPr>
          <w:spacing w:val="-6"/>
        </w:rPr>
        <w:t> </w:t>
      </w:r>
      <w:r>
        <w:rPr/>
        <w:t>the </w:t>
      </w:r>
      <w:r>
        <w:rPr>
          <w:spacing w:val="-3"/>
        </w:rPr>
        <w:t>relationship </w:t>
      </w:r>
      <w:r>
        <w:rPr/>
        <w:t>between targeted precision level and </w:t>
      </w:r>
      <w:r>
        <w:rPr>
          <w:spacing w:val="-2"/>
        </w:rPr>
        <w:t>number </w:t>
      </w:r>
      <w:r>
        <w:rPr/>
        <w:t>of sample plots (taking into </w:t>
      </w:r>
      <w:r>
        <w:rPr>
          <w:spacing w:val="-3"/>
        </w:rPr>
        <w:t>consideration </w:t>
      </w:r>
      <w:r>
        <w:rPr/>
        <w:t>the </w:t>
      </w:r>
      <w:r>
        <w:rPr>
          <w:spacing w:val="-3"/>
        </w:rPr>
        <w:t>variance </w:t>
      </w:r>
      <w:r>
        <w:rPr>
          <w:spacing w:val="-2"/>
        </w:rPr>
        <w:t>and </w:t>
      </w:r>
      <w:r>
        <w:rPr/>
        <w:t>area of each of the six strata present in this </w:t>
      </w:r>
      <w:r>
        <w:rPr>
          <w:spacing w:val="-3"/>
        </w:rPr>
        <w:t>forest) </w:t>
      </w:r>
      <w:r>
        <w:rPr/>
        <w:t>and shows that to attain increasing levels of precision </w:t>
      </w:r>
      <w:r>
        <w:rPr>
          <w:spacing w:val="-3"/>
        </w:rPr>
        <w:t>(expressed </w:t>
      </w:r>
      <w:r>
        <w:rPr/>
        <w:t>as </w:t>
      </w:r>
      <w:r>
        <w:rPr>
          <w:spacing w:val="-2"/>
        </w:rPr>
        <w:t>plus/minus </w:t>
      </w:r>
      <w:r>
        <w:rPr/>
        <w:t>a given percentage of the mean with 95% </w:t>
      </w:r>
      <w:r>
        <w:rPr>
          <w:spacing w:val="-3"/>
        </w:rPr>
        <w:t>confidence), </w:t>
      </w:r>
      <w:r>
        <w:rPr/>
        <w:t>an increasingly high number of plots is needed. It is also recommended that an additional 10% of the calculated </w:t>
      </w:r>
      <w:r>
        <w:rPr>
          <w:spacing w:val="-3"/>
        </w:rPr>
        <w:t>number </w:t>
      </w:r>
      <w:r>
        <w:rPr/>
        <w:t>of plots be installed to account</w:t>
      </w:r>
      <w:r>
        <w:rPr>
          <w:spacing w:val="-5"/>
        </w:rPr>
        <w:t> </w:t>
      </w:r>
      <w:r>
        <w:rPr>
          <w:spacing w:val="-2"/>
        </w:rPr>
        <w:t>for</w:t>
      </w:r>
      <w:r>
        <w:rPr>
          <w:spacing w:val="-4"/>
        </w:rPr>
        <w:t> </w:t>
      </w:r>
      <w:r>
        <w:rPr>
          <w:spacing w:val="-3"/>
        </w:rPr>
        <w:t>unexpected</w:t>
      </w:r>
      <w:r>
        <w:rPr>
          <w:spacing w:val="-5"/>
        </w:rPr>
        <w:t> </w:t>
      </w:r>
      <w:r>
        <w:rPr/>
        <w:t>events</w:t>
      </w:r>
      <w:r>
        <w:rPr>
          <w:spacing w:val="-5"/>
        </w:rPr>
        <w:t> </w:t>
      </w:r>
      <w:r>
        <w:rPr/>
        <w:t>that</w:t>
      </w:r>
      <w:r>
        <w:rPr>
          <w:spacing w:val="-5"/>
        </w:rPr>
        <w:t> </w:t>
      </w:r>
      <w:r>
        <w:rPr/>
        <w:t>may</w:t>
      </w:r>
      <w:r>
        <w:rPr>
          <w:spacing w:val="-5"/>
        </w:rPr>
        <w:t> </w:t>
      </w:r>
      <w:r>
        <w:rPr/>
        <w:t>make</w:t>
      </w:r>
      <w:r>
        <w:rPr>
          <w:spacing w:val="-6"/>
        </w:rPr>
        <w:t> </w:t>
      </w:r>
      <w:r>
        <w:rPr/>
        <w:t>it</w:t>
      </w:r>
      <w:r>
        <w:rPr>
          <w:spacing w:val="-6"/>
        </w:rPr>
        <w:t> </w:t>
      </w:r>
      <w:r>
        <w:rPr>
          <w:spacing w:val="-3"/>
        </w:rPr>
        <w:t>impossible</w:t>
      </w:r>
      <w:r>
        <w:rPr>
          <w:spacing w:val="-4"/>
        </w:rPr>
        <w:t> </w:t>
      </w:r>
      <w:r>
        <w:rPr/>
        <w:t>to</w:t>
      </w:r>
      <w:r>
        <w:rPr>
          <w:spacing w:val="-3"/>
        </w:rPr>
        <w:t> </w:t>
      </w:r>
      <w:r>
        <w:rPr/>
        <w:t>re-locate</w:t>
      </w:r>
      <w:r>
        <w:rPr>
          <w:spacing w:val="-5"/>
        </w:rPr>
        <w:t> </w:t>
      </w:r>
      <w:r>
        <w:rPr/>
        <w:t>all</w:t>
      </w:r>
      <w:r>
        <w:rPr>
          <w:spacing w:val="-7"/>
        </w:rPr>
        <w:t> </w:t>
      </w:r>
      <w:r>
        <w:rPr/>
        <w:t>plots</w:t>
      </w:r>
      <w:r>
        <w:rPr>
          <w:spacing w:val="-7"/>
        </w:rPr>
        <w:t> </w:t>
      </w:r>
      <w:r>
        <w:rPr/>
        <w:t>in</w:t>
      </w:r>
      <w:r>
        <w:rPr>
          <w:spacing w:val="-8"/>
        </w:rPr>
        <w:t> </w:t>
      </w:r>
      <w:r>
        <w:rPr/>
        <w:t>the</w:t>
      </w:r>
      <w:r>
        <w:rPr>
          <w:spacing w:val="-3"/>
        </w:rPr>
        <w:t> future.</w:t>
      </w:r>
    </w:p>
    <w:p>
      <w:pPr>
        <w:pStyle w:val="BodyText"/>
        <w:rPr>
          <w:sz w:val="22"/>
        </w:rPr>
      </w:pPr>
    </w:p>
    <w:p>
      <w:pPr>
        <w:tabs>
          <w:tab w:pos="1879" w:val="left" w:leader="none"/>
        </w:tabs>
        <w:spacing w:before="145"/>
        <w:ind w:left="179" w:right="0" w:firstLine="0"/>
        <w:jc w:val="left"/>
        <w:rPr>
          <w:b/>
          <w:sz w:val="20"/>
        </w:rPr>
      </w:pPr>
      <w:r>
        <w:rPr>
          <w:b/>
          <w:spacing w:val="8"/>
          <w:sz w:val="20"/>
        </w:rPr>
        <w:t>Figure</w:t>
      </w:r>
      <w:r>
        <w:rPr>
          <w:b/>
          <w:spacing w:val="19"/>
          <w:sz w:val="20"/>
        </w:rPr>
        <w:t> </w:t>
      </w:r>
      <w:r>
        <w:rPr>
          <w:b/>
          <w:spacing w:val="8"/>
          <w:sz w:val="20"/>
        </w:rPr>
        <w:t>4.3.1</w:t>
        <w:tab/>
      </w:r>
      <w:r>
        <w:rPr>
          <w:b/>
          <w:spacing w:val="4"/>
          <w:sz w:val="20"/>
        </w:rPr>
        <w:t>An</w:t>
      </w:r>
      <w:r>
        <w:rPr>
          <w:b/>
          <w:spacing w:val="19"/>
          <w:sz w:val="20"/>
        </w:rPr>
        <w:t> </w:t>
      </w:r>
      <w:r>
        <w:rPr>
          <w:b/>
          <w:spacing w:val="8"/>
          <w:sz w:val="20"/>
        </w:rPr>
        <w:t>example</w:t>
      </w:r>
      <w:r>
        <w:rPr>
          <w:b/>
          <w:spacing w:val="19"/>
          <w:sz w:val="20"/>
        </w:rPr>
        <w:t> </w:t>
      </w:r>
      <w:r>
        <w:rPr>
          <w:b/>
          <w:spacing w:val="5"/>
          <w:sz w:val="20"/>
        </w:rPr>
        <w:t>of</w:t>
      </w:r>
      <w:r>
        <w:rPr>
          <w:b/>
          <w:spacing w:val="20"/>
          <w:sz w:val="20"/>
        </w:rPr>
        <w:t> </w:t>
      </w:r>
      <w:r>
        <w:rPr>
          <w:b/>
          <w:spacing w:val="7"/>
          <w:sz w:val="20"/>
        </w:rPr>
        <w:t>the</w:t>
      </w:r>
      <w:r>
        <w:rPr>
          <w:b/>
          <w:spacing w:val="20"/>
          <w:sz w:val="20"/>
        </w:rPr>
        <w:t> </w:t>
      </w:r>
      <w:r>
        <w:rPr>
          <w:b/>
          <w:spacing w:val="9"/>
          <w:sz w:val="20"/>
        </w:rPr>
        <w:t>relationship</w:t>
      </w:r>
      <w:r>
        <w:rPr>
          <w:b/>
          <w:spacing w:val="22"/>
          <w:sz w:val="20"/>
        </w:rPr>
        <w:t> </w:t>
      </w:r>
      <w:r>
        <w:rPr>
          <w:b/>
          <w:spacing w:val="8"/>
          <w:sz w:val="20"/>
        </w:rPr>
        <w:t>between</w:t>
      </w:r>
      <w:r>
        <w:rPr>
          <w:b/>
          <w:spacing w:val="20"/>
          <w:sz w:val="20"/>
        </w:rPr>
        <w:t> </w:t>
      </w:r>
      <w:r>
        <w:rPr>
          <w:b/>
          <w:spacing w:val="7"/>
          <w:sz w:val="20"/>
        </w:rPr>
        <w:t>the</w:t>
      </w:r>
      <w:r>
        <w:rPr>
          <w:b/>
          <w:spacing w:val="20"/>
          <w:sz w:val="20"/>
        </w:rPr>
        <w:t> </w:t>
      </w:r>
      <w:r>
        <w:rPr>
          <w:b/>
          <w:spacing w:val="8"/>
          <w:sz w:val="20"/>
        </w:rPr>
        <w:t>number</w:t>
      </w:r>
      <w:r>
        <w:rPr>
          <w:b/>
          <w:spacing w:val="20"/>
          <w:sz w:val="20"/>
        </w:rPr>
        <w:t> </w:t>
      </w:r>
      <w:r>
        <w:rPr>
          <w:b/>
          <w:spacing w:val="5"/>
          <w:sz w:val="20"/>
        </w:rPr>
        <w:t>of</w:t>
      </w:r>
      <w:r>
        <w:rPr>
          <w:b/>
          <w:spacing w:val="19"/>
          <w:sz w:val="20"/>
        </w:rPr>
        <w:t> </w:t>
      </w:r>
      <w:r>
        <w:rPr>
          <w:b/>
          <w:spacing w:val="7"/>
          <w:sz w:val="20"/>
        </w:rPr>
        <w:t>plots</w:t>
      </w:r>
      <w:r>
        <w:rPr>
          <w:b/>
          <w:spacing w:val="18"/>
          <w:sz w:val="20"/>
        </w:rPr>
        <w:t> </w:t>
      </w:r>
      <w:r>
        <w:rPr>
          <w:b/>
          <w:spacing w:val="7"/>
          <w:sz w:val="20"/>
        </w:rPr>
        <w:t>and</w:t>
      </w:r>
      <w:r>
        <w:rPr>
          <w:b/>
          <w:spacing w:val="19"/>
          <w:sz w:val="20"/>
        </w:rPr>
        <w:t> </w:t>
      </w:r>
      <w:r>
        <w:rPr>
          <w:b/>
          <w:spacing w:val="7"/>
          <w:sz w:val="20"/>
        </w:rPr>
        <w:t>the</w:t>
      </w:r>
    </w:p>
    <w:p>
      <w:pPr>
        <w:spacing w:before="1"/>
        <w:ind w:left="1880" w:right="1596" w:firstLine="0"/>
        <w:jc w:val="both"/>
        <w:rPr>
          <w:b/>
          <w:sz w:val="20"/>
        </w:rPr>
      </w:pPr>
      <w:r>
        <w:rPr>
          <w:b/>
          <w:sz w:val="20"/>
        </w:rPr>
        <w:t>precision level (+/- % of total carbon stock in living and dead biomass, with 95% confidence) for all strata combined, for a complex tropical forest in</w:t>
      </w:r>
    </w:p>
    <w:p>
      <w:pPr>
        <w:spacing w:before="0"/>
        <w:ind w:left="1880" w:right="1660" w:firstLine="0"/>
        <w:jc w:val="both"/>
        <w:rPr>
          <w:b/>
          <w:sz w:val="20"/>
        </w:rPr>
      </w:pPr>
      <w:r>
        <w:rPr>
          <w:b/>
          <w:spacing w:val="8"/>
          <w:sz w:val="20"/>
        </w:rPr>
        <w:t>Bolivia </w:t>
      </w:r>
      <w:r>
        <w:rPr>
          <w:b/>
          <w:spacing w:val="7"/>
          <w:sz w:val="20"/>
        </w:rPr>
        <w:t>(the Noel </w:t>
      </w:r>
      <w:r>
        <w:rPr>
          <w:b/>
          <w:spacing w:val="8"/>
          <w:sz w:val="20"/>
        </w:rPr>
        <w:t>Kempff Pilot Project); </w:t>
      </w:r>
      <w:r>
        <w:rPr>
          <w:b/>
          <w:spacing w:val="6"/>
          <w:sz w:val="20"/>
        </w:rPr>
        <w:t>the </w:t>
      </w:r>
      <w:r>
        <w:rPr>
          <w:b/>
          <w:spacing w:val="8"/>
          <w:sz w:val="20"/>
        </w:rPr>
        <w:t>project encompassed </w:t>
      </w:r>
      <w:r>
        <w:rPr>
          <w:b/>
          <w:spacing w:val="6"/>
          <w:sz w:val="20"/>
        </w:rPr>
        <w:t>six </w:t>
      </w:r>
      <w:r>
        <w:rPr>
          <w:b/>
          <w:spacing w:val="9"/>
          <w:sz w:val="20"/>
        </w:rPr>
        <w:t>strata </w:t>
      </w:r>
      <w:r>
        <w:rPr>
          <w:b/>
          <w:spacing w:val="6"/>
          <w:sz w:val="20"/>
        </w:rPr>
        <w:t>and 625 </w:t>
      </w:r>
      <w:r>
        <w:rPr>
          <w:b/>
          <w:spacing w:val="8"/>
          <w:sz w:val="20"/>
        </w:rPr>
        <w:t>plots were actually </w:t>
      </w:r>
      <w:r>
        <w:rPr>
          <w:b/>
          <w:spacing w:val="9"/>
          <w:sz w:val="20"/>
        </w:rPr>
        <w:t>installed </w:t>
      </w:r>
      <w:r>
        <w:rPr>
          <w:b/>
          <w:spacing w:val="8"/>
          <w:sz w:val="20"/>
        </w:rPr>
        <w:t>(from </w:t>
      </w:r>
      <w:r>
        <w:rPr>
          <w:b/>
          <w:spacing w:val="7"/>
          <w:sz w:val="20"/>
        </w:rPr>
        <w:t>data </w:t>
      </w:r>
      <w:r>
        <w:rPr>
          <w:b/>
          <w:spacing w:val="5"/>
          <w:sz w:val="20"/>
        </w:rPr>
        <w:t>in </w:t>
      </w:r>
      <w:r>
        <w:rPr>
          <w:b/>
          <w:spacing w:val="8"/>
          <w:sz w:val="20"/>
        </w:rPr>
        <w:t>Boscolo </w:t>
      </w:r>
      <w:r>
        <w:rPr>
          <w:rFonts w:ascii="TimesNewRomanPS-BoldItalicMT"/>
          <w:b/>
          <w:i/>
          <w:spacing w:val="5"/>
          <w:sz w:val="20"/>
        </w:rPr>
        <w:t>et </w:t>
      </w:r>
      <w:r>
        <w:rPr>
          <w:rFonts w:ascii="TimesNewRomanPS-BoldItalicMT"/>
          <w:b/>
          <w:i/>
          <w:spacing w:val="6"/>
          <w:sz w:val="20"/>
        </w:rPr>
        <w:t>al.</w:t>
      </w:r>
      <w:r>
        <w:rPr>
          <w:b/>
          <w:spacing w:val="6"/>
          <w:sz w:val="20"/>
        </w:rPr>
        <w:t>, </w:t>
      </w:r>
      <w:r>
        <w:rPr>
          <w:b/>
          <w:spacing w:val="8"/>
          <w:sz w:val="20"/>
        </w:rPr>
        <w:t>2000, </w:t>
      </w:r>
      <w:r>
        <w:rPr>
          <w:b/>
          <w:spacing w:val="6"/>
          <w:sz w:val="20"/>
        </w:rPr>
        <w:t>and</w:t>
      </w:r>
      <w:r>
        <w:rPr>
          <w:b/>
          <w:spacing w:val="62"/>
          <w:sz w:val="20"/>
        </w:rPr>
        <w:t> </w:t>
      </w:r>
      <w:r>
        <w:rPr>
          <w:b/>
          <w:spacing w:val="8"/>
          <w:sz w:val="20"/>
        </w:rPr>
        <w:t>Brown </w:t>
      </w:r>
      <w:r>
        <w:rPr>
          <w:rFonts w:ascii="TimesNewRomanPS-BoldItalicMT"/>
          <w:b/>
          <w:i/>
          <w:spacing w:val="5"/>
          <w:sz w:val="20"/>
        </w:rPr>
        <w:t>et </w:t>
      </w:r>
      <w:r>
        <w:rPr>
          <w:rFonts w:ascii="TimesNewRomanPS-BoldItalicMT"/>
          <w:b/>
          <w:i/>
          <w:spacing w:val="6"/>
          <w:sz w:val="20"/>
        </w:rPr>
        <w:t>al.</w:t>
      </w:r>
      <w:r>
        <w:rPr>
          <w:b/>
          <w:spacing w:val="6"/>
          <w:sz w:val="20"/>
        </w:rPr>
        <w:t>, </w:t>
      </w:r>
      <w:r>
        <w:rPr>
          <w:b/>
          <w:spacing w:val="10"/>
          <w:sz w:val="20"/>
        </w:rPr>
        <w:t>2000a).</w:t>
      </w:r>
    </w:p>
    <w:p>
      <w:pPr>
        <w:pStyle w:val="BodyText"/>
        <w:rPr>
          <w:b/>
        </w:rPr>
      </w:pPr>
    </w:p>
    <w:p>
      <w:pPr>
        <w:pStyle w:val="BodyText"/>
        <w:spacing w:before="11"/>
        <w:rPr>
          <w:b/>
          <w:sz w:val="15"/>
        </w:rPr>
      </w:pPr>
    </w:p>
    <w:p>
      <w:pPr>
        <w:spacing w:before="101"/>
        <w:ind w:left="1892" w:right="8399" w:firstLine="0"/>
        <w:jc w:val="center"/>
        <w:rPr>
          <w:rFonts w:ascii="Arial Narrow"/>
          <w:b/>
          <w:sz w:val="24"/>
        </w:rPr>
      </w:pPr>
      <w:r>
        <w:rPr/>
        <w:pict>
          <v:group style="position:absolute;margin-left:188.046005pt;margin-top:24.726694pt;width:271.9pt;height:120.45pt;mso-position-horizontal-relative:page;mso-position-vertical-relative:paragraph;z-index:21808" coordorigin="3761,495" coordsize="5438,2409">
            <v:shape style="position:absolute;left:3778;top:512;width:5403;height:2374" coordorigin="3778,512" coordsize="5403,2374" path="m3778,512l5574,2470,7383,2826,9181,2886e" filled="false" stroked="true" strokeweight="1.75pt" strokecolor="#333333">
              <v:path arrowok="t"/>
              <v:stroke dashstyle="solid"/>
            </v:shape>
            <v:rect style="position:absolute;left:5528;top:2424;width:118;height:118" filled="true" fillcolor="#333333" stroked="false">
              <v:fill type="solid"/>
            </v:rect>
            <v:shape style="position:absolute;left:5528;top:2424;width:92;height:89" coordorigin="5528,2425" coordsize="92,89" path="m5574,2470l5574,2425m5574,2470l5574,2514m5574,2470l5528,2470m5574,2470l5619,2470e" filled="false" stroked="true" strokeweight=".6pt" strokecolor="#333333">
              <v:path arrowok="t"/>
              <v:stroke dashstyle="solid"/>
            </v:shape>
            <v:shape style="position:absolute;left:7331;top:2774;width:126;height:126" type="#_x0000_t75" stroked="false">
              <v:imagedata r:id="rId328" o:title=""/>
            </v:shape>
            <w10:wrap type="none"/>
          </v:group>
        </w:pict>
      </w:r>
      <w:r>
        <w:rPr/>
        <w:pict>
          <v:shape style="position:absolute;margin-left:188.621002pt;margin-top:12.701694pt;width:271.05pt;height:132.6pt;mso-position-horizontal-relative:page;mso-position-vertical-relative:paragraph;z-index:218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44"/>
                    <w:gridCol w:w="1575"/>
                    <w:gridCol w:w="1630"/>
                    <w:gridCol w:w="955"/>
                  </w:tblGrid>
                  <w:tr>
                    <w:trPr>
                      <w:trHeight w:val="257" w:hRule="atLeast"/>
                    </w:trPr>
                    <w:tc>
                      <w:tcPr>
                        <w:tcW w:w="5404" w:type="dxa"/>
                        <w:gridSpan w:val="4"/>
                        <w:tcBorders>
                          <w:top w:val="single" w:sz="6" w:space="0" w:color="010101"/>
                          <w:left w:val="single" w:sz="6" w:space="0" w:color="010101"/>
                        </w:tcBorders>
                      </w:tcPr>
                      <w:p>
                        <w:pPr>
                          <w:pStyle w:val="TableParagraph"/>
                          <w:rPr>
                            <w:sz w:val="18"/>
                          </w:rPr>
                        </w:pPr>
                      </w:p>
                    </w:tc>
                  </w:tr>
                  <w:tr>
                    <w:trPr>
                      <w:trHeight w:val="2367" w:hRule="atLeast"/>
                    </w:trPr>
                    <w:tc>
                      <w:tcPr>
                        <w:tcW w:w="1244" w:type="dxa"/>
                        <w:tcBorders>
                          <w:left w:val="single" w:sz="6" w:space="0" w:color="010101"/>
                          <w:bottom w:val="single" w:sz="6" w:space="0" w:color="010101"/>
                        </w:tcBorders>
                      </w:tcPr>
                      <w:p>
                        <w:pPr>
                          <w:pStyle w:val="TableParagraph"/>
                          <w:spacing w:before="3"/>
                          <w:ind w:left="353"/>
                          <w:rPr>
                            <w:rFonts w:ascii="Arial Narrow"/>
                            <w:b/>
                            <w:sz w:val="24"/>
                          </w:rPr>
                        </w:pPr>
                        <w:r>
                          <w:rPr>
                            <w:rFonts w:ascii="Arial Narrow"/>
                            <w:b/>
                            <w:sz w:val="24"/>
                          </w:rPr>
                          <w:t>452</w:t>
                        </w:r>
                      </w:p>
                    </w:tc>
                    <w:tc>
                      <w:tcPr>
                        <w:tcW w:w="1575" w:type="dxa"/>
                        <w:tcBorders>
                          <w:bottom w:val="single" w:sz="6" w:space="0" w:color="010101"/>
                        </w:tcBorders>
                      </w:tcPr>
                      <w:p>
                        <w:pPr>
                          <w:pStyle w:val="TableParagraph"/>
                          <w:rPr>
                            <w:sz w:val="28"/>
                          </w:rPr>
                        </w:pPr>
                      </w:p>
                      <w:p>
                        <w:pPr>
                          <w:pStyle w:val="TableParagraph"/>
                          <w:rPr>
                            <w:sz w:val="28"/>
                          </w:rPr>
                        </w:pPr>
                      </w:p>
                      <w:p>
                        <w:pPr>
                          <w:pStyle w:val="TableParagraph"/>
                          <w:rPr>
                            <w:sz w:val="28"/>
                          </w:rPr>
                        </w:pPr>
                      </w:p>
                      <w:p>
                        <w:pPr>
                          <w:pStyle w:val="TableParagraph"/>
                          <w:rPr>
                            <w:sz w:val="28"/>
                          </w:rPr>
                        </w:pPr>
                      </w:p>
                      <w:p>
                        <w:pPr>
                          <w:pStyle w:val="TableParagraph"/>
                          <w:spacing w:before="162"/>
                          <w:ind w:left="546" w:right="769"/>
                          <w:jc w:val="center"/>
                          <w:rPr>
                            <w:rFonts w:ascii="Arial Narrow"/>
                            <w:b/>
                            <w:sz w:val="24"/>
                          </w:rPr>
                        </w:pPr>
                        <w:r>
                          <w:rPr>
                            <w:rFonts w:ascii="Arial Narrow"/>
                            <w:b/>
                            <w:sz w:val="24"/>
                          </w:rPr>
                          <w:t>81</w:t>
                        </w:r>
                      </w:p>
                    </w:tc>
                    <w:tc>
                      <w:tcPr>
                        <w:tcW w:w="1630" w:type="dxa"/>
                        <w:tcBorders>
                          <w:bottom w:val="single" w:sz="6" w:space="0" w:color="010101"/>
                        </w:tcBorders>
                      </w:tcPr>
                      <w:p>
                        <w:pPr>
                          <w:pStyle w:val="TableParagraph"/>
                          <w:rPr>
                            <w:sz w:val="28"/>
                          </w:rPr>
                        </w:pPr>
                      </w:p>
                      <w:p>
                        <w:pPr>
                          <w:pStyle w:val="TableParagraph"/>
                          <w:rPr>
                            <w:sz w:val="28"/>
                          </w:rPr>
                        </w:pPr>
                      </w:p>
                      <w:p>
                        <w:pPr>
                          <w:pStyle w:val="TableParagraph"/>
                          <w:rPr>
                            <w:sz w:val="28"/>
                          </w:rPr>
                        </w:pPr>
                      </w:p>
                      <w:p>
                        <w:pPr>
                          <w:pStyle w:val="TableParagraph"/>
                          <w:rPr>
                            <w:sz w:val="28"/>
                          </w:rPr>
                        </w:pPr>
                      </w:p>
                      <w:p>
                        <w:pPr>
                          <w:pStyle w:val="TableParagraph"/>
                          <w:rPr>
                            <w:sz w:val="28"/>
                          </w:rPr>
                        </w:pPr>
                      </w:p>
                      <w:p>
                        <w:pPr>
                          <w:pStyle w:val="TableParagraph"/>
                          <w:spacing w:before="202"/>
                          <w:ind w:left="347" w:right="154"/>
                          <w:jc w:val="center"/>
                          <w:rPr>
                            <w:rFonts w:ascii="Arial Narrow"/>
                            <w:b/>
                            <w:sz w:val="24"/>
                          </w:rPr>
                        </w:pPr>
                        <w:r>
                          <w:rPr>
                            <w:rFonts w:ascii="Arial Narrow"/>
                            <w:b/>
                            <w:sz w:val="24"/>
                          </w:rPr>
                          <w:t>14</w:t>
                        </w:r>
                      </w:p>
                    </w:tc>
                    <w:tc>
                      <w:tcPr>
                        <w:tcW w:w="955" w:type="dxa"/>
                        <w:tcBorders>
                          <w:bottom w:val="single" w:sz="6" w:space="0" w:color="010101"/>
                          <w:right w:val="single" w:sz="6" w:space="0" w:color="010101"/>
                        </w:tcBorders>
                      </w:tcPr>
                      <w:p>
                        <w:pPr>
                          <w:pStyle w:val="TableParagraph"/>
                          <w:rPr>
                            <w:sz w:val="28"/>
                          </w:rPr>
                        </w:pPr>
                      </w:p>
                      <w:p>
                        <w:pPr>
                          <w:pStyle w:val="TableParagraph"/>
                          <w:rPr>
                            <w:sz w:val="28"/>
                          </w:rPr>
                        </w:pPr>
                      </w:p>
                      <w:p>
                        <w:pPr>
                          <w:pStyle w:val="TableParagraph"/>
                          <w:rPr>
                            <w:sz w:val="28"/>
                          </w:rPr>
                        </w:pPr>
                      </w:p>
                      <w:p>
                        <w:pPr>
                          <w:pStyle w:val="TableParagraph"/>
                          <w:rPr>
                            <w:sz w:val="28"/>
                          </w:rPr>
                        </w:pPr>
                      </w:p>
                      <w:p>
                        <w:pPr>
                          <w:pStyle w:val="TableParagraph"/>
                          <w:rPr>
                            <w:sz w:val="28"/>
                          </w:rPr>
                        </w:pPr>
                      </w:p>
                      <w:p>
                        <w:pPr>
                          <w:pStyle w:val="TableParagraph"/>
                          <w:spacing w:before="5"/>
                          <w:rPr>
                            <w:sz w:val="33"/>
                          </w:rPr>
                        </w:pPr>
                      </w:p>
                      <w:p>
                        <w:pPr>
                          <w:pStyle w:val="TableParagraph"/>
                          <w:ind w:left="618"/>
                          <w:rPr>
                            <w:rFonts w:ascii="Arial Narrow"/>
                            <w:b/>
                            <w:sz w:val="24"/>
                          </w:rPr>
                        </w:pPr>
                        <w:r>
                          <w:rPr>
                            <w:rFonts w:ascii="Arial Narrow"/>
                            <w:b/>
                            <w:sz w:val="24"/>
                          </w:rPr>
                          <w:t>4</w:t>
                        </w:r>
                      </w:p>
                    </w:tc>
                  </w:tr>
                </w:tbl>
                <w:p>
                  <w:pPr>
                    <w:pStyle w:val="BodyText"/>
                  </w:pPr>
                </w:p>
              </w:txbxContent>
            </v:textbox>
            <w10:wrap type="none"/>
          </v:shape>
        </w:pict>
      </w:r>
      <w:r>
        <w:rPr>
          <w:rFonts w:ascii="Arial Narrow"/>
          <w:b/>
          <w:sz w:val="24"/>
        </w:rPr>
        <w:t>500</w:t>
      </w:r>
    </w:p>
    <w:p>
      <w:pPr>
        <w:pStyle w:val="BodyText"/>
        <w:spacing w:before="2"/>
        <w:rPr>
          <w:rFonts w:ascii="Arial Narrow"/>
          <w:b/>
          <w:sz w:val="23"/>
        </w:rPr>
      </w:pPr>
    </w:p>
    <w:p>
      <w:pPr>
        <w:spacing w:before="0"/>
        <w:ind w:left="1892" w:right="8399" w:firstLine="0"/>
        <w:jc w:val="center"/>
        <w:rPr>
          <w:rFonts w:ascii="Arial Narrow"/>
          <w:b/>
          <w:sz w:val="24"/>
        </w:rPr>
      </w:pPr>
      <w:r>
        <w:rPr/>
        <w:pict>
          <v:line style="position:absolute;mso-position-horizontal-relative:page;mso-position-vertical-relative:paragraph;z-index:21736" from="185.080994pt,7.711694pt" to="188.920994pt,7.711694pt" stroked="true" strokeweight=".6pt" strokecolor="#010101">
            <v:stroke dashstyle="solid"/>
            <w10:wrap type="none"/>
          </v:line>
        </w:pict>
      </w:r>
      <w:r>
        <w:rPr/>
        <w:pict>
          <v:shape style="position:absolute;margin-left:120.425522pt;margin-top:7.455956pt;width:18.150pt;height:90.2pt;mso-position-horizontal-relative:page;mso-position-vertical-relative:paragraph;z-index:21832" type="#_x0000_t202" filled="false" stroked="false">
            <v:textbox inset="0,0,0,0" style="layout-flow:vertical;mso-layout-flow-alt:bottom-to-top">
              <w:txbxContent>
                <w:p>
                  <w:pPr>
                    <w:spacing w:before="21"/>
                    <w:ind w:left="20" w:right="0" w:firstLine="0"/>
                    <w:jc w:val="left"/>
                    <w:rPr>
                      <w:rFonts w:ascii="Arial Narrow"/>
                      <w:b/>
                      <w:sz w:val="28"/>
                    </w:rPr>
                  </w:pPr>
                  <w:r>
                    <w:rPr>
                      <w:rFonts w:ascii="Arial Narrow"/>
                      <w:b/>
                      <w:sz w:val="28"/>
                    </w:rPr>
                    <w:t>Number of plots</w:t>
                  </w:r>
                </w:p>
              </w:txbxContent>
            </v:textbox>
            <w10:wrap type="none"/>
          </v:shape>
        </w:pict>
      </w:r>
      <w:r>
        <w:rPr>
          <w:rFonts w:ascii="Arial Narrow"/>
          <w:b/>
          <w:sz w:val="24"/>
        </w:rPr>
        <w:t>400</w:t>
      </w:r>
    </w:p>
    <w:p>
      <w:pPr>
        <w:spacing w:before="245"/>
        <w:ind w:left="1892" w:right="8399" w:firstLine="0"/>
        <w:jc w:val="center"/>
        <w:rPr>
          <w:rFonts w:ascii="Arial Narrow"/>
          <w:b/>
          <w:sz w:val="24"/>
        </w:rPr>
      </w:pPr>
      <w:r>
        <w:rPr/>
        <w:pict>
          <v:line style="position:absolute;mso-position-horizontal-relative:page;mso-position-vertical-relative:paragraph;z-index:21712" from="185.080994pt,19.961712pt" to="188.920994pt,19.961712pt" stroked="true" strokeweight=".6pt" strokecolor="#010101">
            <v:stroke dashstyle="solid"/>
            <w10:wrap type="none"/>
          </v:line>
        </w:pict>
      </w:r>
      <w:r>
        <w:rPr>
          <w:rFonts w:ascii="Arial Narrow"/>
          <w:b/>
          <w:sz w:val="24"/>
        </w:rPr>
        <w:t>300</w:t>
      </w:r>
    </w:p>
    <w:p>
      <w:pPr>
        <w:pStyle w:val="BodyText"/>
        <w:spacing w:before="6"/>
        <w:rPr>
          <w:rFonts w:ascii="Arial Narrow"/>
          <w:b/>
          <w:sz w:val="22"/>
        </w:rPr>
      </w:pPr>
    </w:p>
    <w:p>
      <w:pPr>
        <w:spacing w:before="1"/>
        <w:ind w:left="1892" w:right="8399" w:firstLine="0"/>
        <w:jc w:val="center"/>
        <w:rPr>
          <w:rFonts w:ascii="Arial Narrow"/>
          <w:b/>
          <w:sz w:val="24"/>
        </w:rPr>
      </w:pPr>
      <w:r>
        <w:rPr/>
        <w:pict>
          <v:line style="position:absolute;mso-position-horizontal-relative:page;mso-position-vertical-relative:paragraph;z-index:21688" from="185.080994pt,7.761697pt" to="188.920994pt,7.881697pt" stroked="true" strokeweight=".6pt" strokecolor="#010101">
            <v:stroke dashstyle="solid"/>
            <w10:wrap type="none"/>
          </v:line>
        </w:pict>
      </w:r>
      <w:r>
        <w:rPr>
          <w:rFonts w:ascii="Arial Narrow"/>
          <w:b/>
          <w:sz w:val="24"/>
        </w:rPr>
        <w:t>200</w:t>
      </w:r>
    </w:p>
    <w:p>
      <w:pPr>
        <w:spacing w:before="246"/>
        <w:ind w:left="1892" w:right="8399" w:firstLine="0"/>
        <w:jc w:val="center"/>
        <w:rPr>
          <w:rFonts w:ascii="Arial Narrow"/>
          <w:b/>
          <w:sz w:val="24"/>
        </w:rPr>
      </w:pPr>
      <w:r>
        <w:rPr/>
        <w:pict>
          <v:line style="position:absolute;mso-position-horizontal-relative:page;mso-position-vertical-relative:paragraph;z-index:21664" from="185.080994pt,20.011719pt" to="188.920994pt,20.011719pt" stroked="true" strokeweight=".6pt" strokecolor="#010101">
            <v:stroke dashstyle="solid"/>
            <w10:wrap type="none"/>
          </v:line>
        </w:pict>
      </w:r>
      <w:r>
        <w:rPr>
          <w:rFonts w:ascii="Arial Narrow"/>
          <w:b/>
          <w:sz w:val="24"/>
        </w:rPr>
        <w:t>100</w:t>
      </w:r>
    </w:p>
    <w:p>
      <w:pPr>
        <w:pStyle w:val="BodyText"/>
        <w:spacing w:before="7"/>
        <w:rPr>
          <w:rFonts w:ascii="Arial Narrow"/>
          <w:b/>
          <w:sz w:val="22"/>
        </w:rPr>
      </w:pPr>
    </w:p>
    <w:p>
      <w:pPr>
        <w:spacing w:before="0"/>
        <w:ind w:left="0" w:right="6369" w:firstLine="0"/>
        <w:jc w:val="center"/>
        <w:rPr>
          <w:rFonts w:ascii="Arial Narrow"/>
          <w:b/>
          <w:sz w:val="24"/>
        </w:rPr>
      </w:pPr>
      <w:r>
        <w:rPr/>
        <w:pict>
          <v:line style="position:absolute;mso-position-horizontal-relative:page;mso-position-vertical-relative:paragraph;z-index:21760" from="278.681pt,11.431704pt" to="278.681pt,7.711704pt" stroked="true" strokeweight=".6pt" strokecolor="#010101">
            <v:stroke dashstyle="solid"/>
            <w10:wrap type="none"/>
          </v:line>
        </w:pict>
      </w:r>
      <w:r>
        <w:rPr/>
        <w:pict>
          <v:line style="position:absolute;mso-position-horizontal-relative:page;mso-position-vertical-relative:paragraph;z-index:21784" from="369.161011pt,11.431704pt" to="369.281011pt,7.711704pt" stroked="true" strokeweight=".6pt" strokecolor="#010101">
            <v:stroke dashstyle="solid"/>
            <w10:wrap type="none"/>
          </v:line>
        </w:pict>
      </w:r>
      <w:r>
        <w:rPr>
          <w:rFonts w:ascii="Arial Narrow"/>
          <w:b/>
          <w:sz w:val="24"/>
        </w:rPr>
        <w:t>0</w:t>
      </w:r>
    </w:p>
    <w:p>
      <w:pPr>
        <w:tabs>
          <w:tab w:pos="4227" w:val="left" w:leader="none"/>
          <w:tab w:pos="6039" w:val="left" w:leader="none"/>
          <w:tab w:pos="7835" w:val="left" w:leader="none"/>
        </w:tabs>
        <w:spacing w:before="83"/>
        <w:ind w:left="2492" w:right="0" w:firstLine="0"/>
        <w:jc w:val="left"/>
        <w:rPr>
          <w:rFonts w:ascii="Arial Narrow"/>
          <w:b/>
          <w:sz w:val="24"/>
        </w:rPr>
      </w:pPr>
      <w:r>
        <w:rPr>
          <w:rFonts w:ascii="Arial Narrow"/>
          <w:b/>
          <w:sz w:val="24"/>
        </w:rPr>
        <w:t>5</w:t>
        <w:tab/>
        <w:t>10</w:t>
        <w:tab/>
        <w:t>20</w:t>
        <w:tab/>
        <w:t>30</w:t>
      </w:r>
    </w:p>
    <w:p>
      <w:pPr>
        <w:spacing w:before="141"/>
        <w:ind w:left="1892" w:right="1772" w:firstLine="0"/>
        <w:jc w:val="center"/>
        <w:rPr>
          <w:rFonts w:ascii="Arial Narrow"/>
          <w:b/>
          <w:sz w:val="24"/>
        </w:rPr>
      </w:pPr>
      <w:r>
        <w:rPr>
          <w:rFonts w:ascii="Arial Narrow"/>
          <w:b/>
          <w:sz w:val="24"/>
        </w:rPr>
        <w:t>Precision Level +/- %</w:t>
      </w:r>
    </w:p>
    <w:p>
      <w:pPr>
        <w:pStyle w:val="BodyText"/>
        <w:spacing w:before="3"/>
        <w:rPr>
          <w:rFonts w:ascii="Arial Narrow"/>
          <w:b/>
          <w:sz w:val="16"/>
        </w:rPr>
      </w:pPr>
    </w:p>
    <w:p>
      <w:pPr>
        <w:pStyle w:val="BodyText"/>
        <w:spacing w:before="91"/>
        <w:ind w:left="179" w:right="1406"/>
        <w:jc w:val="both"/>
      </w:pPr>
      <w:r>
        <w:rPr/>
        <w:t>Experience has shown that in the LULUCF sector, carbon stocks and the change in carbon stocks in complex forests can be estimated to precision levels of within </w:t>
      </w:r>
      <w:r>
        <w:rPr>
          <w:rFonts w:ascii="Symbol" w:hAnsi="Symbol"/>
        </w:rPr>
        <w:t>±</w:t>
      </w:r>
      <w:r>
        <w:rPr/>
        <w:t>10% of the mean, with 95% confidence, at a modest cost (Brown, 2002; </w:t>
      </w:r>
      <w:hyperlink r:id="rId329">
        <w:r>
          <w:rPr/>
          <w:t>http://www.winrock.org/REEP/NoelKmpff_rpt.html).</w:t>
        </w:r>
      </w:hyperlink>
      <w:r>
        <w:rPr/>
        <w:t> National and regional forest inventories that are used to assess growing stock of timber typically target precision levels of less than 10% of the mean (see IPCC,</w:t>
      </w:r>
      <w:r>
        <w:rPr>
          <w:spacing w:val="1"/>
        </w:rPr>
        <w:t> </w:t>
      </w:r>
      <w:r>
        <w:rPr/>
        <w:t>2000b).</w:t>
      </w:r>
    </w:p>
    <w:p>
      <w:pPr>
        <w:pStyle w:val="BodyText"/>
        <w:spacing w:before="117"/>
        <w:ind w:left="179" w:right="1402"/>
        <w:jc w:val="both"/>
      </w:pPr>
      <w:r>
        <w:rPr/>
        <w:t>The procedure described in the previous paragraph provides an estimate of the number of plots for various levels of precision based only on sampling error. There are other sources of error when estimating carbon stocks, for example, the errors from the use of allometric equations (model error) and from field and laboratory measurements (measurement error). In general, the sampling error is the largest source of error and can account</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6"/>
        <w:jc w:val="both"/>
      </w:pPr>
      <w:r>
        <w:rPr/>
        <w:t>for up to 80% of the total error (Phillips </w:t>
      </w:r>
      <w:r>
        <w:rPr>
          <w:i/>
        </w:rPr>
        <w:t>et al.</w:t>
      </w:r>
      <w:r>
        <w:rPr/>
        <w:t>, 2000). See Section 5.3.6.3 for more details on how to account for other sources of error.</w:t>
      </w:r>
    </w:p>
    <w:p>
      <w:pPr>
        <w:pStyle w:val="BodyText"/>
        <w:spacing w:before="121"/>
        <w:ind w:left="179" w:right="1403"/>
        <w:jc w:val="both"/>
      </w:pPr>
      <w:r>
        <w:rPr/>
        <w:t>When permanent sample plots are used to monitor changes in carbon stocks over time, it is </w:t>
      </w:r>
      <w:r>
        <w:rPr>
          <w:i/>
        </w:rPr>
        <w:t>good practice </w:t>
      </w:r>
      <w:r>
        <w:rPr/>
        <w:t>to locate them systematically ( e.g., a uniform gid) with a random start, especially if stratified sampling is being used. The goal is to avoid subjective choice of plot locations (plot centres, plot reference points, movement of plot centres to more “convenient” positions). In the field, this is usually accomplished with the help of a GPS. Permanent sample plots may also be located in control areas (i.e., in areas adjacent to the project area that are biophysically similar to the project area) if it is expected that the reference case is likely to change over time       ( e.g., abandoned agriculture</w:t>
      </w:r>
      <w:r>
        <w:rPr>
          <w:spacing w:val="1"/>
        </w:rPr>
        <w:t> </w:t>
      </w:r>
      <w:r>
        <w:rPr/>
        <w:t>land).</w:t>
      </w:r>
    </w:p>
    <w:p>
      <w:pPr>
        <w:pStyle w:val="BodyText"/>
        <w:spacing w:before="118"/>
        <w:ind w:left="179" w:right="1405" w:hanging="1"/>
        <w:jc w:val="both"/>
      </w:pPr>
      <w:r>
        <w:rPr/>
        <w:t>In the case of projects where planting of trees may occur over several years, it is </w:t>
      </w:r>
      <w:r>
        <w:rPr>
          <w:i/>
        </w:rPr>
        <w:t>good practice </w:t>
      </w:r>
      <w:r>
        <w:rPr/>
        <w:t>to measure and monitor carbon stocks and non-CO</w:t>
      </w:r>
      <w:r>
        <w:rPr>
          <w:vertAlign w:val="subscript"/>
        </w:rPr>
        <w:t>2</w:t>
      </w:r>
      <w:r>
        <w:rPr>
          <w:vertAlign w:val="baseline"/>
        </w:rPr>
        <w:t> greenhouse gases in age-class cohorts (a group of trees of similar age), treating each cohort class as a population. It is recommended to combine no more than two to three age classes into a one-cohort class.</w:t>
      </w:r>
    </w:p>
    <w:p>
      <w:pPr>
        <w:pStyle w:val="BodyText"/>
        <w:spacing w:before="119"/>
        <w:ind w:left="179" w:right="1405"/>
        <w:jc w:val="both"/>
      </w:pPr>
      <w:r>
        <w:rPr/>
        <w:t>The carbon stocks and non-CO</w:t>
      </w:r>
      <w:r>
        <w:rPr>
          <w:vertAlign w:val="subscript"/>
        </w:rPr>
        <w:t>2</w:t>
      </w:r>
      <w:r>
        <w:rPr>
          <w:vertAlign w:val="baseline"/>
        </w:rPr>
        <w:t> greenhouse gases can be measured in reference plots if needed. If this is done, a number of plots similar to the number used in the project case will be required to maintain the targeted level of precision when comparing the with-project case to the baseline.</w:t>
      </w:r>
    </w:p>
    <w:p>
      <w:pPr>
        <w:pStyle w:val="BodyText"/>
        <w:spacing w:before="3"/>
        <w:rPr>
          <w:sz w:val="21"/>
        </w:rPr>
      </w:pPr>
    </w:p>
    <w:p>
      <w:pPr>
        <w:pStyle w:val="Heading6"/>
        <w:ind w:left="179"/>
        <w:jc w:val="both"/>
      </w:pPr>
      <w:r>
        <w:rPr/>
        <w:t>Estimating changes in carbon stocks over time from plot data</w:t>
      </w:r>
    </w:p>
    <w:p>
      <w:pPr>
        <w:pStyle w:val="BodyText"/>
        <w:spacing w:before="116"/>
        <w:ind w:left="179" w:right="1400"/>
        <w:jc w:val="both"/>
      </w:pPr>
      <w:r>
        <w:rPr/>
        <w:t>A key component of a project is to measure, monitor, and estimate the quantity of carbon accruing on the project area over the length of the project and over separate time periods. This is accomplished by estimating the changes in carbon stocks over time. Projections of the amount of carbon accumulating can be made by combining field measurements and models. However, if models are used, it is recommended to validate them with field measurements and to recalibrate as necessary.</w:t>
      </w:r>
    </w:p>
    <w:p>
      <w:pPr>
        <w:pStyle w:val="BodyText"/>
        <w:spacing w:before="117"/>
        <w:ind w:left="179" w:right="1403"/>
        <w:jc w:val="both"/>
      </w:pPr>
      <w:r>
        <w:rPr/>
        <w:t>For monitoring </w:t>
      </w:r>
      <w:r>
        <w:rPr>
          <w:u w:val="single"/>
        </w:rPr>
        <w:t>forests</w:t>
      </w:r>
      <w:r>
        <w:rPr/>
        <w:t> using permanent plots, it is </w:t>
      </w:r>
      <w:r>
        <w:rPr>
          <w:i/>
        </w:rPr>
        <w:t>good practice </w:t>
      </w:r>
      <w:r>
        <w:rPr/>
        <w:t>to measure the growth of individual trees at each time interval, keeping track of growth of survivors, mortality, and growth of new trees (ingrowth). Changes in carbon stocks for each tree are then estimated and summed per plot. Changes in carbon stocks in dead organic matter are also measured per plot and added to those for trees. Statistical analyses are then performed on net carbon accumulation in biomass per plot. As discussed above, because these plots undergo repeated measurements on basically the same components, there will be a high covariance term in the statistical analysis and</w:t>
      </w:r>
      <w:r>
        <w:rPr>
          <w:spacing w:val="-3"/>
        </w:rPr>
        <w:t> </w:t>
      </w:r>
      <w:r>
        <w:rPr/>
        <w:t>the</w:t>
      </w:r>
      <w:r>
        <w:rPr>
          <w:spacing w:val="1"/>
        </w:rPr>
        <w:t> </w:t>
      </w:r>
      <w:r>
        <w:rPr/>
        <w:t>uncertainty</w:t>
      </w:r>
      <w:r>
        <w:rPr>
          <w:spacing w:val="-3"/>
        </w:rPr>
        <w:t> </w:t>
      </w:r>
      <w:r>
        <w:rPr/>
        <w:t>around</w:t>
      </w:r>
      <w:r>
        <w:rPr>
          <w:spacing w:val="-2"/>
        </w:rPr>
        <w:t> </w:t>
      </w:r>
      <w:r>
        <w:rPr/>
        <w:t>the</w:t>
      </w:r>
      <w:r>
        <w:rPr>
          <w:spacing w:val="1"/>
        </w:rPr>
        <w:t> </w:t>
      </w:r>
      <w:r>
        <w:rPr/>
        <w:t>estimates</w:t>
      </w:r>
      <w:r>
        <w:rPr>
          <w:spacing w:val="-3"/>
        </w:rPr>
        <w:t> </w:t>
      </w:r>
      <w:r>
        <w:rPr/>
        <w:t>of</w:t>
      </w:r>
      <w:r>
        <w:rPr>
          <w:spacing w:val="-4"/>
        </w:rPr>
        <w:t> </w:t>
      </w:r>
      <w:r>
        <w:rPr/>
        <w:t>change</w:t>
      </w:r>
      <w:r>
        <w:rPr>
          <w:spacing w:val="-3"/>
        </w:rPr>
        <w:t> </w:t>
      </w:r>
      <w:r>
        <w:rPr/>
        <w:t>should</w:t>
      </w:r>
      <w:r>
        <w:rPr>
          <w:spacing w:val="-2"/>
        </w:rPr>
        <w:t> </w:t>
      </w:r>
      <w:r>
        <w:rPr/>
        <w:t>be</w:t>
      </w:r>
      <w:r>
        <w:rPr>
          <w:spacing w:val="1"/>
        </w:rPr>
        <w:t> </w:t>
      </w:r>
      <w:r>
        <w:rPr/>
        <w:t>within</w:t>
      </w:r>
      <w:r>
        <w:rPr>
          <w:spacing w:val="-3"/>
        </w:rPr>
        <w:t> </w:t>
      </w:r>
      <w:r>
        <w:rPr/>
        <w:t>the</w:t>
      </w:r>
      <w:r>
        <w:rPr>
          <w:spacing w:val="-3"/>
        </w:rPr>
        <w:t> </w:t>
      </w:r>
      <w:r>
        <w:rPr/>
        <w:t>level</w:t>
      </w:r>
      <w:r>
        <w:rPr>
          <w:spacing w:val="-2"/>
        </w:rPr>
        <w:t> </w:t>
      </w:r>
      <w:r>
        <w:rPr/>
        <w:t>targeted</w:t>
      </w:r>
      <w:r>
        <w:rPr>
          <w:spacing w:val="-2"/>
        </w:rPr>
        <w:t> </w:t>
      </w:r>
      <w:r>
        <w:rPr/>
        <w:t>by</w:t>
      </w:r>
      <w:r>
        <w:rPr>
          <w:spacing w:val="-6"/>
        </w:rPr>
        <w:t> </w:t>
      </w:r>
      <w:r>
        <w:rPr/>
        <w:t>the</w:t>
      </w:r>
      <w:r>
        <w:rPr>
          <w:spacing w:val="-2"/>
        </w:rPr>
        <w:t> </w:t>
      </w:r>
      <w:r>
        <w:rPr/>
        <w:t>sampling</w:t>
      </w:r>
      <w:r>
        <w:rPr>
          <w:spacing w:val="-3"/>
        </w:rPr>
        <w:t> </w:t>
      </w:r>
      <w:r>
        <w:rPr/>
        <w:t>design.</w:t>
      </w:r>
    </w:p>
    <w:p>
      <w:pPr>
        <w:pStyle w:val="BodyText"/>
        <w:spacing w:before="121"/>
        <w:ind w:left="179" w:right="1402"/>
        <w:jc w:val="both"/>
      </w:pPr>
      <w:r>
        <w:rPr/>
        <w:t>For </w:t>
      </w:r>
      <w:r>
        <w:rPr>
          <w:u w:val="single"/>
        </w:rPr>
        <w:t>soil or non-forest vegetation</w:t>
      </w:r>
      <w:r>
        <w:rPr/>
        <w:t> (e.g., croplands or grazing lands), in contrast to the procedure indicated for forests, the same soil or plant sample cannot be monitored over time. Instead, on each sample collection, the unit sampled (soil or plant sample) is destroyed for the analysis of its relevant components. Also, as variability  among samples can be high even at small spatial scales, the statistical concept of paired samples, even if collected only centimetres apart, cannot be reliably employed. Thus the changes in the mean carbon content between two temporally-separated sample pools are best quantified by comparing means, via, for instance, the Reliable Minimum Estimate (RME) approach (Dawkins, 1957), or by directly calculating the difference between the means and associated confidence limits (Sokal and Rohlf, 1995). (The following discussion uses soil as an example, but it could easily apply for vegetation on cropland and grazing land management</w:t>
      </w:r>
      <w:r>
        <w:rPr>
          <w:spacing w:val="-21"/>
        </w:rPr>
        <w:t> </w:t>
      </w:r>
      <w:r>
        <w:rPr/>
        <w:t>projects).</w:t>
      </w:r>
    </w:p>
    <w:p>
      <w:pPr>
        <w:pStyle w:val="BodyText"/>
        <w:spacing w:before="117"/>
        <w:ind w:left="179" w:right="1401" w:hanging="1"/>
        <w:jc w:val="both"/>
      </w:pPr>
      <w:r>
        <w:rPr/>
        <w:t>The</w:t>
      </w:r>
      <w:r>
        <w:rPr>
          <w:spacing w:val="-9"/>
        </w:rPr>
        <w:t> </w:t>
      </w:r>
      <w:r>
        <w:rPr/>
        <w:t>objective</w:t>
      </w:r>
      <w:r>
        <w:rPr>
          <w:spacing w:val="-8"/>
        </w:rPr>
        <w:t> </w:t>
      </w:r>
      <w:r>
        <w:rPr/>
        <w:t>is</w:t>
      </w:r>
      <w:r>
        <w:rPr>
          <w:spacing w:val="-8"/>
        </w:rPr>
        <w:t> </w:t>
      </w:r>
      <w:r>
        <w:rPr/>
        <w:t>to</w:t>
      </w:r>
      <w:r>
        <w:rPr>
          <w:spacing w:val="-8"/>
        </w:rPr>
        <w:t> </w:t>
      </w:r>
      <w:r>
        <w:rPr/>
        <w:t>estimate</w:t>
      </w:r>
      <w:r>
        <w:rPr>
          <w:spacing w:val="-8"/>
        </w:rPr>
        <w:t> </w:t>
      </w:r>
      <w:r>
        <w:rPr/>
        <w:t>the</w:t>
      </w:r>
      <w:r>
        <w:rPr>
          <w:spacing w:val="-7"/>
        </w:rPr>
        <w:t> </w:t>
      </w:r>
      <w:r>
        <w:rPr>
          <w:spacing w:val="-3"/>
        </w:rPr>
        <w:t>number</w:t>
      </w:r>
      <w:r>
        <w:rPr>
          <w:spacing w:val="-8"/>
        </w:rPr>
        <w:t> </w:t>
      </w:r>
      <w:r>
        <w:rPr/>
        <w:t>of</w:t>
      </w:r>
      <w:r>
        <w:rPr>
          <w:spacing w:val="-10"/>
        </w:rPr>
        <w:t> </w:t>
      </w:r>
      <w:r>
        <w:rPr/>
        <w:t>plots</w:t>
      </w:r>
      <w:r>
        <w:rPr>
          <w:spacing w:val="-7"/>
        </w:rPr>
        <w:t> </w:t>
      </w:r>
      <w:r>
        <w:rPr>
          <w:spacing w:val="-2"/>
        </w:rPr>
        <w:t>needed</w:t>
      </w:r>
      <w:r>
        <w:rPr>
          <w:spacing w:val="-9"/>
        </w:rPr>
        <w:t> </w:t>
      </w:r>
      <w:r>
        <w:rPr/>
        <w:t>to</w:t>
      </w:r>
      <w:r>
        <w:rPr>
          <w:spacing w:val="-8"/>
        </w:rPr>
        <w:t> </w:t>
      </w:r>
      <w:r>
        <w:rPr/>
        <w:t>establish</w:t>
      </w:r>
      <w:r>
        <w:rPr>
          <w:spacing w:val="-10"/>
        </w:rPr>
        <w:t> </w:t>
      </w:r>
      <w:r>
        <w:rPr/>
        <w:t>the</w:t>
      </w:r>
      <w:r>
        <w:rPr>
          <w:spacing w:val="-8"/>
        </w:rPr>
        <w:t> </w:t>
      </w:r>
      <w:r>
        <w:rPr>
          <w:i/>
        </w:rPr>
        <w:t>minimum</w:t>
      </w:r>
      <w:r>
        <w:rPr>
          <w:i/>
          <w:spacing w:val="-9"/>
        </w:rPr>
        <w:t> </w:t>
      </w:r>
      <w:r>
        <w:rPr/>
        <w:t>change</w:t>
      </w:r>
      <w:r>
        <w:rPr>
          <w:spacing w:val="-8"/>
        </w:rPr>
        <w:t> </w:t>
      </w:r>
      <w:r>
        <w:rPr/>
        <w:t>in</w:t>
      </w:r>
      <w:r>
        <w:rPr>
          <w:spacing w:val="-10"/>
        </w:rPr>
        <w:t> </w:t>
      </w:r>
      <w:r>
        <w:rPr/>
        <w:t>the</w:t>
      </w:r>
      <w:r>
        <w:rPr>
          <w:spacing w:val="-7"/>
        </w:rPr>
        <w:t> </w:t>
      </w:r>
      <w:r>
        <w:rPr>
          <w:spacing w:val="-3"/>
        </w:rPr>
        <w:t>mean</w:t>
      </w:r>
      <w:r>
        <w:rPr>
          <w:spacing w:val="-10"/>
        </w:rPr>
        <w:t> </w:t>
      </w:r>
      <w:r>
        <w:rPr/>
        <w:t>carbon</w:t>
      </w:r>
      <w:r>
        <w:rPr>
          <w:spacing w:val="-10"/>
        </w:rPr>
        <w:t> </w:t>
      </w:r>
      <w:r>
        <w:rPr>
          <w:spacing w:val="-3"/>
        </w:rPr>
        <w:t>stocks, </w:t>
      </w:r>
      <w:r>
        <w:rPr/>
        <w:t>with 95% confidence, that has taken place from one monitoring event to the </w:t>
      </w:r>
      <w:r>
        <w:rPr>
          <w:spacing w:val="-3"/>
        </w:rPr>
        <w:t>next, </w:t>
      </w:r>
      <w:r>
        <w:rPr/>
        <w:t>rather than to estimate the </w:t>
      </w:r>
      <w:r>
        <w:rPr>
          <w:spacing w:val="-2"/>
        </w:rPr>
        <w:t>number </w:t>
      </w:r>
      <w:r>
        <w:rPr/>
        <w:t>of plots </w:t>
      </w:r>
      <w:r>
        <w:rPr>
          <w:spacing w:val="-2"/>
        </w:rPr>
        <w:t>needed </w:t>
      </w:r>
      <w:r>
        <w:rPr/>
        <w:t>to establish that the two means are significantly different from each other. For the RME </w:t>
      </w:r>
      <w:r>
        <w:rPr>
          <w:spacing w:val="-4"/>
        </w:rPr>
        <w:t>approach (Figure 4.3.2), </w:t>
      </w:r>
      <w:r>
        <w:rPr>
          <w:spacing w:val="-3"/>
        </w:rPr>
        <w:t>the </w:t>
      </w:r>
      <w:r>
        <w:rPr>
          <w:spacing w:val="-4"/>
        </w:rPr>
        <w:t>monitoring results from plots </w:t>
      </w:r>
      <w:r>
        <w:rPr>
          <w:spacing w:val="-3"/>
        </w:rPr>
        <w:t>are </w:t>
      </w:r>
      <w:r>
        <w:rPr>
          <w:spacing w:val="-4"/>
        </w:rPr>
        <w:t>pooled </w:t>
      </w:r>
      <w:r>
        <w:rPr>
          <w:spacing w:val="-3"/>
        </w:rPr>
        <w:t>to </w:t>
      </w:r>
      <w:r>
        <w:rPr>
          <w:spacing w:val="-4"/>
        </w:rPr>
        <w:t>derive </w:t>
      </w:r>
      <w:r>
        <w:rPr/>
        <w:t>a </w:t>
      </w:r>
      <w:r>
        <w:rPr>
          <w:spacing w:val="-3"/>
        </w:rPr>
        <w:t>mean </w:t>
      </w:r>
      <w:r>
        <w:rPr>
          <w:spacing w:val="-4"/>
        </w:rPr>
        <w:t>for </w:t>
      </w:r>
      <w:r>
        <w:rPr>
          <w:spacing w:val="-3"/>
        </w:rPr>
        <w:t>the </w:t>
      </w:r>
      <w:r>
        <w:rPr>
          <w:spacing w:val="-4"/>
        </w:rPr>
        <w:t>sample population </w:t>
      </w:r>
      <w:r>
        <w:rPr/>
        <w:t>at </w:t>
      </w:r>
      <w:r>
        <w:rPr>
          <w:spacing w:val="-4"/>
        </w:rPr>
        <w:t>Time </w:t>
      </w:r>
      <w:r>
        <w:rPr/>
        <w:t>1 </w:t>
      </w:r>
      <w:r>
        <w:rPr>
          <w:spacing w:val="-3"/>
        </w:rPr>
        <w:t>and </w:t>
      </w:r>
      <w:r>
        <w:rPr>
          <w:spacing w:val="-4"/>
        </w:rPr>
        <w:t>Time </w:t>
      </w:r>
      <w:r>
        <w:rPr/>
        <w:t>2. </w:t>
      </w:r>
      <w:r>
        <w:rPr>
          <w:spacing w:val="-4"/>
        </w:rPr>
        <w:t>Change </w:t>
      </w:r>
      <w:r>
        <w:rPr/>
        <w:t>in </w:t>
      </w:r>
      <w:r>
        <w:rPr>
          <w:spacing w:val="-4"/>
        </w:rPr>
        <w:t>soil </w:t>
      </w:r>
      <w:r>
        <w:rPr>
          <w:spacing w:val="-3"/>
        </w:rPr>
        <w:t>carbon </w:t>
      </w:r>
      <w:r>
        <w:rPr/>
        <w:t>is </w:t>
      </w:r>
      <w:r>
        <w:rPr>
          <w:spacing w:val="-4"/>
        </w:rPr>
        <w:t>estimated </w:t>
      </w:r>
      <w:r>
        <w:rPr/>
        <w:t>by </w:t>
      </w:r>
      <w:r>
        <w:rPr>
          <w:spacing w:val="-4"/>
        </w:rPr>
        <w:t>subtracting </w:t>
      </w:r>
      <w:r>
        <w:rPr>
          <w:spacing w:val="-3"/>
        </w:rPr>
        <w:t>the </w:t>
      </w:r>
      <w:r>
        <w:rPr>
          <w:spacing w:val="-4"/>
        </w:rPr>
        <w:t>maximum estimate </w:t>
      </w:r>
      <w:r>
        <w:rPr/>
        <w:t>of </w:t>
      </w:r>
      <w:r>
        <w:rPr>
          <w:spacing w:val="-3"/>
        </w:rPr>
        <w:t>the </w:t>
      </w:r>
      <w:r>
        <w:rPr>
          <w:spacing w:val="-4"/>
        </w:rPr>
        <w:t>population mean </w:t>
      </w:r>
      <w:r>
        <w:rPr>
          <w:spacing w:val="-3"/>
        </w:rPr>
        <w:t>at</w:t>
      </w:r>
      <w:r>
        <w:rPr>
          <w:spacing w:val="-8"/>
        </w:rPr>
        <w:t> </w:t>
      </w:r>
      <w:r>
        <w:rPr>
          <w:spacing w:val="-3"/>
        </w:rPr>
        <w:t>Time</w:t>
      </w:r>
      <w:r>
        <w:rPr>
          <w:spacing w:val="-7"/>
        </w:rPr>
        <w:t> </w:t>
      </w:r>
      <w:r>
        <w:rPr/>
        <w:t>1</w:t>
      </w:r>
      <w:r>
        <w:rPr>
          <w:spacing w:val="-7"/>
        </w:rPr>
        <w:t> </w:t>
      </w:r>
      <w:r>
        <w:rPr>
          <w:spacing w:val="-3"/>
        </w:rPr>
        <w:t>(mean</w:t>
      </w:r>
      <w:r>
        <w:rPr>
          <w:spacing w:val="-9"/>
        </w:rPr>
        <w:t> </w:t>
      </w:r>
      <w:r>
        <w:rPr>
          <w:spacing w:val="-3"/>
        </w:rPr>
        <w:t>at</w:t>
      </w:r>
      <w:r>
        <w:rPr>
          <w:spacing w:val="-7"/>
        </w:rPr>
        <w:t> </w:t>
      </w:r>
      <w:r>
        <w:rPr>
          <w:spacing w:val="-3"/>
        </w:rPr>
        <w:t>Time</w:t>
      </w:r>
      <w:r>
        <w:rPr>
          <w:spacing w:val="-7"/>
        </w:rPr>
        <w:t> </w:t>
      </w:r>
      <w:r>
        <w:rPr/>
        <w:t>1</w:t>
      </w:r>
      <w:r>
        <w:rPr>
          <w:spacing w:val="-7"/>
        </w:rPr>
        <w:t> </w:t>
      </w:r>
      <w:r>
        <w:rPr>
          <w:spacing w:val="-3"/>
        </w:rPr>
        <w:t>plus</w:t>
      </w:r>
      <w:r>
        <w:rPr>
          <w:spacing w:val="-7"/>
        </w:rPr>
        <w:t> </w:t>
      </w:r>
      <w:r>
        <w:rPr>
          <w:spacing w:val="-3"/>
        </w:rPr>
        <w:t>half</w:t>
      </w:r>
      <w:r>
        <w:rPr>
          <w:spacing w:val="-9"/>
        </w:rPr>
        <w:t> </w:t>
      </w:r>
      <w:r>
        <w:rPr>
          <w:spacing w:val="-3"/>
        </w:rPr>
        <w:t>the</w:t>
      </w:r>
      <w:r>
        <w:rPr>
          <w:spacing w:val="-7"/>
        </w:rPr>
        <w:t> </w:t>
      </w:r>
      <w:r>
        <w:rPr>
          <w:spacing w:val="-4"/>
        </w:rPr>
        <w:t>95%</w:t>
      </w:r>
      <w:r>
        <w:rPr>
          <w:spacing w:val="-8"/>
        </w:rPr>
        <w:t> </w:t>
      </w:r>
      <w:r>
        <w:rPr>
          <w:spacing w:val="-4"/>
        </w:rPr>
        <w:t>confidence</w:t>
      </w:r>
      <w:r>
        <w:rPr>
          <w:spacing w:val="-7"/>
        </w:rPr>
        <w:t> </w:t>
      </w:r>
      <w:r>
        <w:rPr>
          <w:spacing w:val="-4"/>
        </w:rPr>
        <w:t>interval</w:t>
      </w:r>
      <w:r>
        <w:rPr>
          <w:spacing w:val="-7"/>
        </w:rPr>
        <w:t> </w:t>
      </w:r>
      <w:r>
        <w:rPr>
          <w:spacing w:val="-3"/>
        </w:rPr>
        <w:t>at</w:t>
      </w:r>
      <w:r>
        <w:rPr>
          <w:spacing w:val="-7"/>
        </w:rPr>
        <w:t> </w:t>
      </w:r>
      <w:r>
        <w:rPr>
          <w:spacing w:val="-3"/>
        </w:rPr>
        <w:t>Time</w:t>
      </w:r>
      <w:r>
        <w:rPr>
          <w:spacing w:val="-8"/>
        </w:rPr>
        <w:t> </w:t>
      </w:r>
      <w:r>
        <w:rPr>
          <w:spacing w:val="-3"/>
        </w:rPr>
        <w:t>1)</w:t>
      </w:r>
      <w:r>
        <w:rPr>
          <w:spacing w:val="-4"/>
        </w:rPr>
        <w:t> from</w:t>
      </w:r>
      <w:r>
        <w:rPr>
          <w:spacing w:val="-6"/>
        </w:rPr>
        <w:t> </w:t>
      </w:r>
      <w:r>
        <w:rPr>
          <w:spacing w:val="-3"/>
        </w:rPr>
        <w:t>the</w:t>
      </w:r>
      <w:r>
        <w:rPr>
          <w:spacing w:val="-5"/>
        </w:rPr>
        <w:t> </w:t>
      </w:r>
      <w:r>
        <w:rPr>
          <w:spacing w:val="-4"/>
        </w:rPr>
        <w:t>minimum</w:t>
      </w:r>
      <w:r>
        <w:rPr>
          <w:spacing w:val="-6"/>
        </w:rPr>
        <w:t> </w:t>
      </w:r>
      <w:r>
        <w:rPr>
          <w:spacing w:val="-3"/>
        </w:rPr>
        <w:t>mean</w:t>
      </w:r>
      <w:r>
        <w:rPr>
          <w:spacing w:val="-8"/>
        </w:rPr>
        <w:t> </w:t>
      </w:r>
      <w:r>
        <w:rPr>
          <w:spacing w:val="-4"/>
        </w:rPr>
        <w:t>estimate</w:t>
      </w:r>
      <w:r>
        <w:rPr>
          <w:spacing w:val="-7"/>
        </w:rPr>
        <w:t> </w:t>
      </w:r>
      <w:r>
        <w:rPr/>
        <w:t>at</w:t>
      </w:r>
      <w:r>
        <w:rPr>
          <w:spacing w:val="-8"/>
        </w:rPr>
        <w:t> </w:t>
      </w:r>
      <w:r>
        <w:rPr>
          <w:spacing w:val="-3"/>
        </w:rPr>
        <w:t>Time </w:t>
      </w:r>
      <w:r>
        <w:rPr/>
        <w:t>2 </w:t>
      </w:r>
      <w:r>
        <w:rPr>
          <w:spacing w:val="-4"/>
        </w:rPr>
        <w:t>(mean </w:t>
      </w:r>
      <w:r>
        <w:rPr/>
        <w:t>at </w:t>
      </w:r>
      <w:r>
        <w:rPr>
          <w:spacing w:val="-3"/>
        </w:rPr>
        <w:t>Time </w:t>
      </w:r>
      <w:r>
        <w:rPr/>
        <w:t>2 </w:t>
      </w:r>
      <w:r>
        <w:rPr>
          <w:spacing w:val="-4"/>
        </w:rPr>
        <w:t>minus </w:t>
      </w:r>
      <w:r>
        <w:rPr>
          <w:spacing w:val="-3"/>
        </w:rPr>
        <w:t>half the 95% </w:t>
      </w:r>
      <w:r>
        <w:rPr>
          <w:spacing w:val="-4"/>
        </w:rPr>
        <w:t>confidence interval </w:t>
      </w:r>
      <w:r>
        <w:rPr>
          <w:spacing w:val="-3"/>
        </w:rPr>
        <w:t>at </w:t>
      </w:r>
      <w:r>
        <w:rPr>
          <w:spacing w:val="-4"/>
        </w:rPr>
        <w:t>Time </w:t>
      </w:r>
      <w:r>
        <w:rPr>
          <w:spacing w:val="-3"/>
        </w:rPr>
        <w:t>2). The </w:t>
      </w:r>
      <w:r>
        <w:rPr>
          <w:spacing w:val="-4"/>
        </w:rPr>
        <w:t>resulting difference represents, with </w:t>
      </w:r>
      <w:r>
        <w:rPr>
          <w:spacing w:val="-3"/>
        </w:rPr>
        <w:t>95% </w:t>
      </w:r>
      <w:r>
        <w:rPr>
          <w:spacing w:val="-4"/>
        </w:rPr>
        <w:t>confidence,</w:t>
      </w:r>
      <w:r>
        <w:rPr>
          <w:spacing w:val="-7"/>
        </w:rPr>
        <w:t> </w:t>
      </w:r>
      <w:r>
        <w:rPr>
          <w:spacing w:val="-3"/>
        </w:rPr>
        <w:t>the</w:t>
      </w:r>
      <w:r>
        <w:rPr>
          <w:spacing w:val="-6"/>
        </w:rPr>
        <w:t> </w:t>
      </w:r>
      <w:r>
        <w:rPr>
          <w:spacing w:val="-4"/>
        </w:rPr>
        <w:t>minimum</w:t>
      </w:r>
      <w:r>
        <w:rPr>
          <w:spacing w:val="-11"/>
        </w:rPr>
        <w:t> </w:t>
      </w:r>
      <w:r>
        <w:rPr>
          <w:spacing w:val="-4"/>
        </w:rPr>
        <w:t>reliable</w:t>
      </w:r>
      <w:r>
        <w:rPr>
          <w:spacing w:val="-9"/>
        </w:rPr>
        <w:t> </w:t>
      </w:r>
      <w:r>
        <w:rPr>
          <w:spacing w:val="-3"/>
        </w:rPr>
        <w:t>change</w:t>
      </w:r>
      <w:r>
        <w:rPr>
          <w:spacing w:val="-7"/>
        </w:rPr>
        <w:t> </w:t>
      </w:r>
      <w:r>
        <w:rPr/>
        <w:t>in</w:t>
      </w:r>
      <w:r>
        <w:rPr>
          <w:spacing w:val="-8"/>
        </w:rPr>
        <w:t> </w:t>
      </w:r>
      <w:r>
        <w:rPr>
          <w:spacing w:val="-3"/>
        </w:rPr>
        <w:t>mean</w:t>
      </w:r>
      <w:r>
        <w:rPr>
          <w:spacing w:val="-8"/>
        </w:rPr>
        <w:t> </w:t>
      </w:r>
      <w:r>
        <w:rPr>
          <w:spacing w:val="-4"/>
        </w:rPr>
        <w:t>soil</w:t>
      </w:r>
      <w:r>
        <w:rPr>
          <w:spacing w:val="-10"/>
        </w:rPr>
        <w:t> </w:t>
      </w:r>
      <w:r>
        <w:rPr>
          <w:spacing w:val="-3"/>
        </w:rPr>
        <w:t>carbon</w:t>
      </w:r>
      <w:r>
        <w:rPr>
          <w:spacing w:val="-8"/>
        </w:rPr>
        <w:t> </w:t>
      </w:r>
      <w:r>
        <w:rPr>
          <w:spacing w:val="-3"/>
        </w:rPr>
        <w:t>from</w:t>
      </w:r>
      <w:r>
        <w:rPr>
          <w:spacing w:val="-13"/>
        </w:rPr>
        <w:t> </w:t>
      </w:r>
      <w:r>
        <w:rPr>
          <w:spacing w:val="-3"/>
        </w:rPr>
        <w:t>Time</w:t>
      </w:r>
      <w:r>
        <w:rPr>
          <w:spacing w:val="-7"/>
        </w:rPr>
        <w:t> </w:t>
      </w:r>
      <w:r>
        <w:rPr/>
        <w:t>1</w:t>
      </w:r>
      <w:r>
        <w:rPr>
          <w:spacing w:val="-9"/>
        </w:rPr>
        <w:t> </w:t>
      </w:r>
      <w:r>
        <w:rPr>
          <w:spacing w:val="-3"/>
        </w:rPr>
        <w:t>to</w:t>
      </w:r>
      <w:r>
        <w:rPr>
          <w:spacing w:val="-6"/>
        </w:rPr>
        <w:t> </w:t>
      </w:r>
      <w:r>
        <w:rPr>
          <w:spacing w:val="-3"/>
        </w:rPr>
        <w:t>Time</w:t>
      </w:r>
      <w:r>
        <w:rPr>
          <w:spacing w:val="-9"/>
        </w:rPr>
        <w:t> </w:t>
      </w:r>
      <w:r>
        <w:rPr/>
        <w:t>2</w:t>
      </w:r>
      <w:r>
        <w:rPr>
          <w:spacing w:val="-9"/>
        </w:rPr>
        <w:t> </w:t>
      </w:r>
      <w:r>
        <w:rPr>
          <w:spacing w:val="-4"/>
        </w:rPr>
        <w:t>(Figure</w:t>
      </w:r>
      <w:r>
        <w:rPr>
          <w:spacing w:val="-9"/>
        </w:rPr>
        <w:t> </w:t>
      </w:r>
      <w:r>
        <w:rPr>
          <w:spacing w:val="-4"/>
        </w:rPr>
        <w:t>4.3.2).</w:t>
      </w:r>
    </w:p>
    <w:p>
      <w:pPr>
        <w:spacing w:after="0"/>
        <w:jc w:val="both"/>
        <w:sectPr>
          <w:pgSz w:w="11900" w:h="16840"/>
          <w:pgMar w:header="233" w:footer="408" w:top="560" w:bottom="600" w:left="1240" w:right="0"/>
        </w:sectPr>
      </w:pPr>
    </w:p>
    <w:p>
      <w:pPr>
        <w:pStyle w:val="BodyText"/>
      </w:pPr>
    </w:p>
    <w:p>
      <w:pPr>
        <w:pStyle w:val="BodyText"/>
        <w:rPr>
          <w:sz w:val="19"/>
        </w:rPr>
      </w:pPr>
    </w:p>
    <w:p>
      <w:pPr>
        <w:tabs>
          <w:tab w:pos="1877" w:val="left" w:leader="none"/>
        </w:tabs>
        <w:spacing w:line="240" w:lineRule="auto" w:before="91"/>
        <w:ind w:left="1880" w:right="1407" w:hanging="1702"/>
        <w:jc w:val="both"/>
        <w:rPr>
          <w:b/>
          <w:sz w:val="20"/>
        </w:rPr>
      </w:pPr>
      <w:r>
        <w:rPr>
          <w:b/>
          <w:spacing w:val="8"/>
          <w:sz w:val="20"/>
        </w:rPr>
        <w:t>Figure</w:t>
      </w:r>
      <w:r>
        <w:rPr>
          <w:b/>
          <w:spacing w:val="19"/>
          <w:sz w:val="20"/>
        </w:rPr>
        <w:t> </w:t>
      </w:r>
      <w:r>
        <w:rPr>
          <w:b/>
          <w:spacing w:val="7"/>
          <w:sz w:val="20"/>
        </w:rPr>
        <w:t>4.3.2</w:t>
        <w:tab/>
      </w:r>
      <w:r>
        <w:rPr>
          <w:b/>
          <w:spacing w:val="8"/>
          <w:sz w:val="20"/>
        </w:rPr>
        <w:t>Illustration </w:t>
      </w:r>
      <w:r>
        <w:rPr>
          <w:b/>
          <w:spacing w:val="4"/>
          <w:sz w:val="20"/>
        </w:rPr>
        <w:t>of </w:t>
      </w:r>
      <w:r>
        <w:rPr>
          <w:b/>
          <w:spacing w:val="7"/>
          <w:sz w:val="20"/>
        </w:rPr>
        <w:t>the </w:t>
      </w:r>
      <w:r>
        <w:rPr>
          <w:b/>
          <w:spacing w:val="9"/>
          <w:sz w:val="20"/>
        </w:rPr>
        <w:t>relationship </w:t>
      </w:r>
      <w:r>
        <w:rPr>
          <w:b/>
          <w:spacing w:val="8"/>
          <w:sz w:val="20"/>
        </w:rPr>
        <w:t>between </w:t>
      </w:r>
      <w:r>
        <w:rPr>
          <w:b/>
          <w:spacing w:val="7"/>
          <w:sz w:val="20"/>
        </w:rPr>
        <w:t>the </w:t>
      </w:r>
      <w:r>
        <w:rPr>
          <w:b/>
          <w:spacing w:val="8"/>
          <w:sz w:val="20"/>
        </w:rPr>
        <w:t>magnitude </w:t>
      </w:r>
      <w:r>
        <w:rPr>
          <w:b/>
          <w:spacing w:val="4"/>
          <w:sz w:val="20"/>
        </w:rPr>
        <w:t>of </w:t>
      </w:r>
      <w:r>
        <w:rPr>
          <w:b/>
          <w:spacing w:val="7"/>
          <w:sz w:val="20"/>
        </w:rPr>
        <w:t>the </w:t>
      </w:r>
      <w:r>
        <w:rPr>
          <w:b/>
          <w:spacing w:val="8"/>
          <w:sz w:val="20"/>
        </w:rPr>
        <w:t>Reliable Minimum Estimate (RME) between </w:t>
      </w:r>
      <w:r>
        <w:rPr>
          <w:b/>
          <w:spacing w:val="7"/>
          <w:sz w:val="20"/>
        </w:rPr>
        <w:t>Time </w:t>
      </w:r>
      <w:r>
        <w:rPr>
          <w:b/>
          <w:sz w:val="20"/>
        </w:rPr>
        <w:t>1 </w:t>
      </w:r>
      <w:r>
        <w:rPr>
          <w:b/>
          <w:spacing w:val="6"/>
          <w:sz w:val="20"/>
        </w:rPr>
        <w:t>and </w:t>
      </w:r>
      <w:r>
        <w:rPr>
          <w:b/>
          <w:spacing w:val="7"/>
          <w:sz w:val="20"/>
        </w:rPr>
        <w:t>Time </w:t>
      </w:r>
      <w:r>
        <w:rPr>
          <w:b/>
          <w:sz w:val="20"/>
        </w:rPr>
        <w:t>2 </w:t>
      </w:r>
      <w:r>
        <w:rPr>
          <w:b/>
          <w:spacing w:val="8"/>
          <w:sz w:val="20"/>
        </w:rPr>
        <w:t>sampling periods </w:t>
      </w:r>
      <w:r>
        <w:rPr>
          <w:b/>
          <w:spacing w:val="7"/>
          <w:sz w:val="20"/>
        </w:rPr>
        <w:t>and </w:t>
      </w:r>
      <w:r>
        <w:rPr>
          <w:b/>
          <w:spacing w:val="6"/>
          <w:sz w:val="20"/>
        </w:rPr>
        <w:t>the 95% </w:t>
      </w:r>
      <w:r>
        <w:rPr>
          <w:b/>
          <w:spacing w:val="8"/>
          <w:sz w:val="20"/>
        </w:rPr>
        <w:t>confidence interval </w:t>
      </w:r>
      <w:r>
        <w:rPr>
          <w:b/>
          <w:spacing w:val="7"/>
          <w:sz w:val="20"/>
        </w:rPr>
        <w:t>(the solid </w:t>
      </w:r>
      <w:r>
        <w:rPr>
          <w:b/>
          <w:spacing w:val="6"/>
          <w:sz w:val="20"/>
        </w:rPr>
        <w:t>and </w:t>
      </w:r>
      <w:r>
        <w:rPr>
          <w:b/>
          <w:spacing w:val="8"/>
          <w:sz w:val="20"/>
        </w:rPr>
        <w:t>dashed </w:t>
      </w:r>
      <w:r>
        <w:rPr>
          <w:b/>
          <w:spacing w:val="7"/>
          <w:sz w:val="20"/>
        </w:rPr>
        <w:t>bars) </w:t>
      </w:r>
      <w:r>
        <w:rPr>
          <w:b/>
          <w:spacing w:val="8"/>
          <w:sz w:val="20"/>
        </w:rPr>
        <w:t>around </w:t>
      </w:r>
      <w:r>
        <w:rPr>
          <w:b/>
          <w:spacing w:val="6"/>
          <w:sz w:val="20"/>
        </w:rPr>
        <w:t>the mean </w:t>
      </w:r>
      <w:r>
        <w:rPr>
          <w:b/>
          <w:spacing w:val="9"/>
          <w:sz w:val="20"/>
        </w:rPr>
        <w:t>soil </w:t>
      </w:r>
      <w:r>
        <w:rPr>
          <w:b/>
          <w:spacing w:val="8"/>
          <w:sz w:val="20"/>
        </w:rPr>
        <w:t>carbon content (shaded circle). </w:t>
      </w:r>
      <w:r>
        <w:rPr>
          <w:b/>
          <w:spacing w:val="6"/>
          <w:sz w:val="20"/>
        </w:rPr>
        <w:t>The </w:t>
      </w:r>
      <w:r>
        <w:rPr>
          <w:b/>
          <w:spacing w:val="9"/>
          <w:sz w:val="20"/>
        </w:rPr>
        <w:t>confidence </w:t>
      </w:r>
      <w:r>
        <w:rPr>
          <w:b/>
          <w:spacing w:val="8"/>
          <w:sz w:val="20"/>
        </w:rPr>
        <w:t>interval </w:t>
      </w:r>
      <w:r>
        <w:rPr>
          <w:b/>
          <w:spacing w:val="5"/>
          <w:sz w:val="20"/>
        </w:rPr>
        <w:t>is </w:t>
      </w:r>
      <w:r>
        <w:rPr>
          <w:b/>
          <w:sz w:val="20"/>
        </w:rPr>
        <w:t>a </w:t>
      </w:r>
      <w:r>
        <w:rPr>
          <w:b/>
          <w:spacing w:val="8"/>
          <w:sz w:val="20"/>
        </w:rPr>
        <w:t>function </w:t>
      </w:r>
      <w:r>
        <w:rPr>
          <w:b/>
          <w:spacing w:val="5"/>
          <w:sz w:val="20"/>
        </w:rPr>
        <w:t>of </w:t>
      </w:r>
      <w:r>
        <w:rPr>
          <w:b/>
          <w:spacing w:val="7"/>
          <w:sz w:val="20"/>
        </w:rPr>
        <w:t>the </w:t>
      </w:r>
      <w:r>
        <w:rPr>
          <w:b/>
          <w:spacing w:val="8"/>
          <w:sz w:val="20"/>
        </w:rPr>
        <w:t>standard error, defined </w:t>
      </w:r>
      <w:r>
        <w:rPr>
          <w:b/>
          <w:spacing w:val="4"/>
          <w:sz w:val="20"/>
        </w:rPr>
        <w:t>as </w:t>
      </w:r>
      <w:r>
        <w:rPr>
          <w:b/>
          <w:spacing w:val="6"/>
          <w:sz w:val="20"/>
        </w:rPr>
        <w:t>the </w:t>
      </w:r>
      <w:r>
        <w:rPr>
          <w:b/>
          <w:spacing w:val="8"/>
          <w:sz w:val="20"/>
        </w:rPr>
        <w:t>ratio between </w:t>
      </w:r>
      <w:r>
        <w:rPr>
          <w:b/>
          <w:spacing w:val="6"/>
          <w:sz w:val="20"/>
        </w:rPr>
        <w:t>the </w:t>
      </w:r>
      <w:r>
        <w:rPr>
          <w:b/>
          <w:spacing w:val="8"/>
          <w:sz w:val="20"/>
        </w:rPr>
        <w:t>standard deviation </w:t>
      </w:r>
      <w:r>
        <w:rPr>
          <w:b/>
          <w:spacing w:val="6"/>
          <w:sz w:val="20"/>
        </w:rPr>
        <w:t>and </w:t>
      </w:r>
      <w:r>
        <w:rPr>
          <w:b/>
          <w:spacing w:val="9"/>
          <w:sz w:val="20"/>
        </w:rPr>
        <w:t>the </w:t>
      </w:r>
      <w:r>
        <w:rPr>
          <w:b/>
          <w:spacing w:val="8"/>
          <w:sz w:val="20"/>
        </w:rPr>
        <w:t>square </w:t>
      </w:r>
      <w:r>
        <w:rPr>
          <w:b/>
          <w:spacing w:val="7"/>
          <w:sz w:val="20"/>
        </w:rPr>
        <w:t>root </w:t>
      </w:r>
      <w:r>
        <w:rPr>
          <w:b/>
          <w:spacing w:val="5"/>
          <w:sz w:val="20"/>
        </w:rPr>
        <w:t>of </w:t>
      </w:r>
      <w:r>
        <w:rPr>
          <w:b/>
          <w:spacing w:val="6"/>
          <w:sz w:val="20"/>
        </w:rPr>
        <w:t>the </w:t>
      </w:r>
      <w:r>
        <w:rPr>
          <w:b/>
          <w:spacing w:val="8"/>
          <w:sz w:val="20"/>
        </w:rPr>
        <w:t>sample </w:t>
      </w:r>
      <w:r>
        <w:rPr>
          <w:b/>
          <w:spacing w:val="7"/>
          <w:sz w:val="20"/>
        </w:rPr>
        <w:t>size. </w:t>
      </w:r>
      <w:r>
        <w:rPr>
          <w:b/>
          <w:spacing w:val="6"/>
          <w:sz w:val="20"/>
        </w:rPr>
        <w:t>The </w:t>
      </w:r>
      <w:r>
        <w:rPr>
          <w:b/>
          <w:spacing w:val="8"/>
          <w:sz w:val="20"/>
        </w:rPr>
        <w:t>larger </w:t>
      </w:r>
      <w:r>
        <w:rPr>
          <w:b/>
          <w:spacing w:val="7"/>
          <w:sz w:val="20"/>
        </w:rPr>
        <w:t>the </w:t>
      </w:r>
      <w:r>
        <w:rPr>
          <w:b/>
          <w:spacing w:val="8"/>
          <w:sz w:val="20"/>
        </w:rPr>
        <w:t>sample </w:t>
      </w:r>
      <w:r>
        <w:rPr>
          <w:b/>
          <w:spacing w:val="6"/>
          <w:sz w:val="20"/>
        </w:rPr>
        <w:t>size </w:t>
      </w:r>
      <w:r>
        <w:rPr>
          <w:b/>
          <w:spacing w:val="7"/>
          <w:sz w:val="20"/>
        </w:rPr>
        <w:t>the </w:t>
      </w:r>
      <w:r>
        <w:rPr>
          <w:b/>
          <w:spacing w:val="8"/>
          <w:sz w:val="20"/>
        </w:rPr>
        <w:t>smaller </w:t>
      </w:r>
      <w:r>
        <w:rPr>
          <w:b/>
          <w:spacing w:val="7"/>
          <w:sz w:val="20"/>
        </w:rPr>
        <w:t>the </w:t>
      </w:r>
      <w:r>
        <w:rPr>
          <w:b/>
          <w:spacing w:val="8"/>
          <w:sz w:val="20"/>
        </w:rPr>
        <w:t>standard error </w:t>
      </w:r>
      <w:r>
        <w:rPr>
          <w:b/>
          <w:spacing w:val="6"/>
          <w:sz w:val="20"/>
        </w:rPr>
        <w:t>and </w:t>
      </w:r>
      <w:r>
        <w:rPr>
          <w:b/>
          <w:spacing w:val="8"/>
          <w:sz w:val="20"/>
        </w:rPr>
        <w:t>thus </w:t>
      </w:r>
      <w:r>
        <w:rPr>
          <w:b/>
          <w:spacing w:val="6"/>
          <w:sz w:val="20"/>
        </w:rPr>
        <w:t>the </w:t>
      </w:r>
      <w:r>
        <w:rPr>
          <w:b/>
          <w:spacing w:val="8"/>
          <w:sz w:val="20"/>
        </w:rPr>
        <w:t>smaller </w:t>
      </w:r>
      <w:r>
        <w:rPr>
          <w:b/>
          <w:spacing w:val="6"/>
          <w:sz w:val="20"/>
        </w:rPr>
        <w:t>the 95% </w:t>
      </w:r>
      <w:r>
        <w:rPr>
          <w:b/>
          <w:spacing w:val="9"/>
          <w:sz w:val="20"/>
        </w:rPr>
        <w:t>confidence </w:t>
      </w:r>
      <w:r>
        <w:rPr>
          <w:b/>
          <w:spacing w:val="8"/>
          <w:sz w:val="20"/>
        </w:rPr>
        <w:t>interval. </w:t>
      </w:r>
      <w:r>
        <w:rPr>
          <w:b/>
          <w:spacing w:val="10"/>
          <w:sz w:val="20"/>
        </w:rPr>
        <w:t>Hence, </w:t>
      </w:r>
      <w:r>
        <w:rPr>
          <w:b/>
          <w:spacing w:val="7"/>
          <w:sz w:val="20"/>
        </w:rPr>
        <w:t>RME1</w:t>
      </w:r>
      <w:r>
        <w:rPr>
          <w:b/>
          <w:spacing w:val="19"/>
          <w:sz w:val="20"/>
        </w:rPr>
        <w:t> </w:t>
      </w:r>
      <w:r>
        <w:rPr>
          <w:b/>
          <w:spacing w:val="4"/>
          <w:sz w:val="20"/>
        </w:rPr>
        <w:t>is</w:t>
      </w:r>
      <w:r>
        <w:rPr>
          <w:b/>
          <w:spacing w:val="18"/>
          <w:sz w:val="20"/>
        </w:rPr>
        <w:t> </w:t>
      </w:r>
      <w:r>
        <w:rPr>
          <w:b/>
          <w:spacing w:val="8"/>
          <w:sz w:val="20"/>
        </w:rPr>
        <w:t>smaller</w:t>
      </w:r>
      <w:r>
        <w:rPr>
          <w:b/>
          <w:spacing w:val="20"/>
          <w:sz w:val="20"/>
        </w:rPr>
        <w:t> </w:t>
      </w:r>
      <w:r>
        <w:rPr>
          <w:b/>
          <w:spacing w:val="7"/>
          <w:sz w:val="20"/>
        </w:rPr>
        <w:t>than</w:t>
      </w:r>
      <w:r>
        <w:rPr>
          <w:b/>
          <w:spacing w:val="21"/>
          <w:sz w:val="20"/>
        </w:rPr>
        <w:t> </w:t>
      </w:r>
      <w:r>
        <w:rPr>
          <w:b/>
          <w:spacing w:val="8"/>
          <w:sz w:val="20"/>
        </w:rPr>
        <w:t>RME2</w:t>
      </w:r>
      <w:r>
        <w:rPr>
          <w:b/>
          <w:spacing w:val="20"/>
          <w:sz w:val="20"/>
        </w:rPr>
        <w:t> </w:t>
      </w:r>
      <w:r>
        <w:rPr>
          <w:b/>
          <w:spacing w:val="5"/>
          <w:sz w:val="20"/>
        </w:rPr>
        <w:t>as</w:t>
      </w:r>
      <w:r>
        <w:rPr>
          <w:b/>
          <w:spacing w:val="18"/>
          <w:sz w:val="20"/>
        </w:rPr>
        <w:t> </w:t>
      </w:r>
      <w:r>
        <w:rPr>
          <w:b/>
          <w:sz w:val="20"/>
        </w:rPr>
        <w:t>a</w:t>
      </w:r>
      <w:r>
        <w:rPr>
          <w:b/>
          <w:spacing w:val="20"/>
          <w:sz w:val="20"/>
        </w:rPr>
        <w:t> </w:t>
      </w:r>
      <w:r>
        <w:rPr>
          <w:b/>
          <w:spacing w:val="7"/>
          <w:sz w:val="20"/>
        </w:rPr>
        <w:t>result</w:t>
      </w:r>
      <w:r>
        <w:rPr>
          <w:b/>
          <w:spacing w:val="20"/>
          <w:sz w:val="20"/>
        </w:rPr>
        <w:t> </w:t>
      </w:r>
      <w:r>
        <w:rPr>
          <w:b/>
          <w:spacing w:val="5"/>
          <w:sz w:val="20"/>
        </w:rPr>
        <w:t>of</w:t>
      </w:r>
      <w:r>
        <w:rPr>
          <w:b/>
          <w:spacing w:val="20"/>
          <w:sz w:val="20"/>
        </w:rPr>
        <w:t> </w:t>
      </w:r>
      <w:r>
        <w:rPr>
          <w:b/>
          <w:spacing w:val="8"/>
          <w:sz w:val="20"/>
        </w:rPr>
        <w:t>fewer</w:t>
      </w:r>
      <w:r>
        <w:rPr>
          <w:b/>
          <w:spacing w:val="22"/>
          <w:sz w:val="20"/>
        </w:rPr>
        <w:t> </w:t>
      </w:r>
      <w:r>
        <w:rPr>
          <w:b/>
          <w:spacing w:val="8"/>
          <w:sz w:val="20"/>
        </w:rPr>
        <w:t>samples.</w:t>
      </w:r>
    </w:p>
    <w:p>
      <w:pPr>
        <w:pStyle w:val="BodyText"/>
        <w:spacing w:before="11"/>
        <w:rPr>
          <w:b/>
          <w:sz w:val="23"/>
        </w:rPr>
      </w:pPr>
      <w:r>
        <w:rPr/>
        <w:pict>
          <v:group style="position:absolute;margin-left:119.678001pt;margin-top:15.776717pt;width:357.15pt;height:231.05pt;mso-position-horizontal-relative:page;mso-position-vertical-relative:paragraph;z-index:19952;mso-wrap-distance-left:0;mso-wrap-distance-right:0" coordorigin="2394,316" coordsize="7143,4621">
            <v:line style="position:absolute" from="2698,3589" to="4179,3589" stroked="true" strokeweight=".726pt" strokecolor="#000000">
              <v:stroke dashstyle="solid"/>
            </v:line>
            <v:line style="position:absolute" from="3438,2696" to="3438,4626" stroked="true" strokeweight=".726pt" strokecolor="#000000">
              <v:stroke dashstyle="solid"/>
            </v:line>
            <v:shape style="position:absolute;left:3286;top:3437;width:310;height:310" type="#_x0000_t75" stroked="false">
              <v:imagedata r:id="rId330" o:title=""/>
            </v:shape>
            <v:shape style="position:absolute;left:3430;top:2689;width:15;height:15" coordorigin="3430,2689" coordsize="15,15" path="m3445,2689l3438,2689,3430,2696,3438,2704,3445,2696,3445,2689xe" filled="true" fillcolor="#000000" stroked="false">
              <v:path arrowok="t"/>
              <v:fill type="solid"/>
            </v:shape>
            <v:shape style="position:absolute;left:3461;top:2689;width:15;height:15" coordorigin="3462,2689" coordsize="15,15" path="m3476,2689l3462,2689,3462,2704,3469,2704,3476,2696,3476,2689xe" filled="true" fillcolor="#000000" stroked="false">
              <v:path arrowok="t"/>
              <v:fill type="solid"/>
            </v:shape>
            <v:shape style="position:absolute;left:3490;top:2689;width:15;height:15" coordorigin="3490,2689" coordsize="15,15" path="m3505,2689l3490,2689,3490,2704,3498,2704,3505,2696,3505,2689xe" filled="true" fillcolor="#000000" stroked="false">
              <v:path arrowok="t"/>
              <v:fill type="solid"/>
            </v:shape>
            <v:shape style="position:absolute;left:3519;top:2689;width:15;height:15" coordorigin="3519,2689" coordsize="15,15" path="m3534,2689l3519,2689,3519,2704,3526,2704,3534,2696,3534,2689xe" filled="true" fillcolor="#000000" stroked="false">
              <v:path arrowok="t"/>
              <v:fill type="solid"/>
            </v:shape>
            <v:shape style="position:absolute;left:3548;top:2689;width:15;height:15" coordorigin="3548,2689" coordsize="15,15" path="m3562,2689l3548,2689,3548,2704,3555,2704,3562,2696,3562,2689xe" filled="true" fillcolor="#000000" stroked="false">
              <v:path arrowok="t"/>
              <v:fill type="solid"/>
            </v:shape>
            <v:shape style="position:absolute;left:3576;top:2689;width:15;height:15" coordorigin="3577,2689" coordsize="15,15" path="m3591,2689l3577,2689,3577,2704,3584,2704,3591,2696,3591,2689xe" filled="true" fillcolor="#000000" stroked="false">
              <v:path arrowok="t"/>
              <v:fill type="solid"/>
            </v:shape>
            <v:shape style="position:absolute;left:3605;top:2689;width:15;height:15" coordorigin="3606,2689" coordsize="15,15" path="m3620,2689l3606,2689,3606,2704,3613,2704,3620,2696,3620,2689xe" filled="true" fillcolor="#000000" stroked="false">
              <v:path arrowok="t"/>
              <v:fill type="solid"/>
            </v:shape>
            <v:shape style="position:absolute;left:3634;top:2689;width:15;height:15" coordorigin="3634,2689" coordsize="15,15" path="m3649,2689l3634,2689,3634,2704,3642,2704,3649,2696,3649,2689xe" filled="true" fillcolor="#000000" stroked="false">
              <v:path arrowok="t"/>
              <v:fill type="solid"/>
            </v:shape>
            <v:shape style="position:absolute;left:3663;top:2689;width:15;height:15" coordorigin="3663,2689" coordsize="15,15" path="m3678,2689l3663,2689,3663,2704,3670,2704,3678,2696,3678,2689xe" filled="true" fillcolor="#000000" stroked="false">
              <v:path arrowok="t"/>
              <v:fill type="solid"/>
            </v:shape>
            <v:shape style="position:absolute;left:3692;top:2689;width:15;height:15" coordorigin="3692,2689" coordsize="15,15" path="m3706,2689l3692,2689,3692,2704,3699,2704,3706,2696,3706,2689xe" filled="true" fillcolor="#000000" stroked="false">
              <v:path arrowok="t"/>
              <v:fill type="solid"/>
            </v:shape>
            <v:shape style="position:absolute;left:3720;top:2689;width:15;height:15" coordorigin="3721,2689" coordsize="15,15" path="m3735,2689l3721,2689,3721,2704,3728,2704,3735,2696,3735,2689xe" filled="true" fillcolor="#000000" stroked="false">
              <v:path arrowok="t"/>
              <v:fill type="solid"/>
            </v:shape>
            <v:shape style="position:absolute;left:3752;top:2689;width:15;height:15" coordorigin="3752,2689" coordsize="15,15" path="m3766,2689l3752,2689,3752,2704,3759,2704,3766,2696,3766,2689xe" filled="true" fillcolor="#000000" stroked="false">
              <v:path arrowok="t"/>
              <v:fill type="solid"/>
            </v:shape>
            <v:shape style="position:absolute;left:3780;top:2689;width:15;height:15" coordorigin="3781,2689" coordsize="15,15" path="m3795,2689l3781,2689,3781,2704,3788,2704,3795,2696,3795,2689xe" filled="true" fillcolor="#000000" stroked="false">
              <v:path arrowok="t"/>
              <v:fill type="solid"/>
            </v:shape>
            <v:shape style="position:absolute;left:3809;top:2689;width:15;height:15" coordorigin="3810,2689" coordsize="15,15" path="m3824,2689l3810,2689,3810,2704,3817,2704,3824,2696,3824,2689xe" filled="true" fillcolor="#000000" stroked="false">
              <v:path arrowok="t"/>
              <v:fill type="solid"/>
            </v:shape>
            <v:shape style="position:absolute;left:3838;top:2689;width:15;height:15" coordorigin="3838,2689" coordsize="15,15" path="m3853,2689l3838,2689,3838,2704,3846,2704,3853,2696,3853,2689xe" filled="true" fillcolor="#000000" stroked="false">
              <v:path arrowok="t"/>
              <v:fill type="solid"/>
            </v:shape>
            <v:shape style="position:absolute;left:3867;top:2689;width:15;height:15" coordorigin="3867,2689" coordsize="15,15" path="m3882,2689l3867,2689,3867,2704,3874,2704,3882,2696,3882,2689xe" filled="true" fillcolor="#000000" stroked="false">
              <v:path arrowok="t"/>
              <v:fill type="solid"/>
            </v:shape>
            <v:shape style="position:absolute;left:3896;top:2689;width:15;height:15" coordorigin="3896,2689" coordsize="15,15" path="m3910,2689l3896,2689,3896,2704,3903,2704,3910,2696,3910,2689xe" filled="true" fillcolor="#000000" stroked="false">
              <v:path arrowok="t"/>
              <v:fill type="solid"/>
            </v:shape>
            <v:shape style="position:absolute;left:3924;top:2689;width:15;height:15" coordorigin="3925,2689" coordsize="15,15" path="m3939,2689l3925,2689,3925,2704,3932,2704,3939,2696,3939,2689xe" filled="true" fillcolor="#000000" stroked="false">
              <v:path arrowok="t"/>
              <v:fill type="solid"/>
            </v:shape>
            <v:shape style="position:absolute;left:3953;top:2689;width:15;height:15" coordorigin="3954,2689" coordsize="15,15" path="m3968,2689l3954,2689,3954,2704,3961,2704,3968,2696,3968,2689xe" filled="true" fillcolor="#000000" stroked="false">
              <v:path arrowok="t"/>
              <v:fill type="solid"/>
            </v:shape>
            <v:shape style="position:absolute;left:3982;top:2689;width:15;height:15" coordorigin="3982,2689" coordsize="15,15" path="m3997,2689l3982,2689,3982,2704,3990,2704,3997,2696,3997,2689xe" filled="true" fillcolor="#000000" stroked="false">
              <v:path arrowok="t"/>
              <v:fill type="solid"/>
            </v:shape>
            <v:shape style="position:absolute;left:4011;top:2689;width:17;height:15" coordorigin="4011,2689" coordsize="17,15" path="m4028,2689l4011,2689,4011,2704,4018,2704,4028,2696,4028,2689xe" filled="true" fillcolor="#000000" stroked="false">
              <v:path arrowok="t"/>
              <v:fill type="solid"/>
            </v:shape>
            <v:shape style="position:absolute;left:4042;top:2689;width:15;height:15" coordorigin="4042,2689" coordsize="15,15" path="m4057,2689l4042,2689,4042,2704,4050,2704,4057,2696,4057,2689xe" filled="true" fillcolor="#000000" stroked="false">
              <v:path arrowok="t"/>
              <v:fill type="solid"/>
            </v:shape>
            <v:shape style="position:absolute;left:4071;top:2689;width:15;height:15" coordorigin="4071,2689" coordsize="15,15" path="m4086,2689l4071,2689,4071,2704,4078,2704,4086,2696,4086,2689xe" filled="true" fillcolor="#000000" stroked="false">
              <v:path arrowok="t"/>
              <v:fill type="solid"/>
            </v:shape>
            <v:shape style="position:absolute;left:4100;top:2689;width:15;height:15" coordorigin="4100,2689" coordsize="15,15" path="m4114,2689l4100,2689,4100,2704,4107,2704,4114,2696,4114,2689xe" filled="true" fillcolor="#000000" stroked="false">
              <v:path arrowok="t"/>
              <v:fill type="solid"/>
            </v:shape>
            <v:shape style="position:absolute;left:4128;top:2689;width:15;height:15" coordorigin="4129,2689" coordsize="15,15" path="m4143,2689l4129,2689,4129,2704,4136,2704,4143,2696,4143,2689xe" filled="true" fillcolor="#000000" stroked="false">
              <v:path arrowok="t"/>
              <v:fill type="solid"/>
            </v:shape>
            <v:shape style="position:absolute;left:4157;top:2689;width:15;height:15" coordorigin="4158,2689" coordsize="15,15" path="m4172,2689l4158,2689,4158,2704,4165,2704,4172,2696,4172,2689xe" filled="true" fillcolor="#000000" stroked="false">
              <v:path arrowok="t"/>
              <v:fill type="solid"/>
            </v:shape>
            <v:shape style="position:absolute;left:4186;top:2689;width:15;height:15" coordorigin="4186,2689" coordsize="15,15" path="m4201,2689l4186,2689,4186,2704,4194,2704,4201,2696,4201,2689xe" filled="true" fillcolor="#000000" stroked="false">
              <v:path arrowok="t"/>
              <v:fill type="solid"/>
            </v:shape>
            <v:shape style="position:absolute;left:4215;top:2689;width:15;height:15" coordorigin="4215,2689" coordsize="15,15" path="m4230,2689l4215,2689,4215,2704,4222,2704,4230,2696,4230,2689xe" filled="true" fillcolor="#000000" stroked="false">
              <v:path arrowok="t"/>
              <v:fill type="solid"/>
            </v:shape>
            <v:shape style="position:absolute;left:4244;top:2689;width:15;height:15" coordorigin="4244,2689" coordsize="15,15" path="m4258,2689l4244,2689,4244,2704,4251,2704,4258,2696,4258,2689xe" filled="true" fillcolor="#000000" stroked="false">
              <v:path arrowok="t"/>
              <v:fill type="solid"/>
            </v:shape>
            <v:shape style="position:absolute;left:4272;top:2689;width:15;height:15" coordorigin="4273,2689" coordsize="15,15" path="m4287,2689l4273,2689,4273,2704,4280,2704,4287,2696,4287,2689xe" filled="true" fillcolor="#000000" stroked="false">
              <v:path arrowok="t"/>
              <v:fill type="solid"/>
            </v:shape>
            <v:shape style="position:absolute;left:4301;top:2689;width:17;height:15" coordorigin="4302,2689" coordsize="17,15" path="m4318,2689l4302,2689,4302,2704,4311,2704,4318,2696,4318,2689xe" filled="true" fillcolor="#000000" stroked="false">
              <v:path arrowok="t"/>
              <v:fill type="solid"/>
            </v:shape>
            <v:shape style="position:absolute;left:4332;top:2689;width:15;height:15" coordorigin="4333,2689" coordsize="15,15" path="m4347,2689l4333,2689,4333,2704,4340,2704,4347,2696,4347,2689xe" filled="true" fillcolor="#000000" stroked="false">
              <v:path arrowok="t"/>
              <v:fill type="solid"/>
            </v:shape>
            <v:shape style="position:absolute;left:4361;top:2689;width:15;height:15" coordorigin="4362,2689" coordsize="15,15" path="m4376,2689l4362,2689,4362,2704,4369,2704,4376,2696,4376,2689xe" filled="true" fillcolor="#000000" stroked="false">
              <v:path arrowok="t"/>
              <v:fill type="solid"/>
            </v:shape>
            <v:shape style="position:absolute;left:4390;top:2689;width:15;height:15" coordorigin="4390,2689" coordsize="15,15" path="m4405,2689l4390,2689,4390,2704,4398,2704,4405,2696,4405,2689xe" filled="true" fillcolor="#000000" stroked="false">
              <v:path arrowok="t"/>
              <v:fill type="solid"/>
            </v:shape>
            <v:shape style="position:absolute;left:4419;top:2689;width:15;height:15" coordorigin="4419,2689" coordsize="15,15" path="m4434,2689l4419,2689,4419,2704,4426,2704,4434,2696,4434,2689xe" filled="true" fillcolor="#000000" stroked="false">
              <v:path arrowok="t"/>
              <v:fill type="solid"/>
            </v:shape>
            <v:shape style="position:absolute;left:4448;top:2689;width:15;height:15" coordorigin="4448,2689" coordsize="15,15" path="m4462,2689l4448,2689,4448,2704,4455,2704,4462,2696,4462,2689xe" filled="true" fillcolor="#000000" stroked="false">
              <v:path arrowok="t"/>
              <v:fill type="solid"/>
            </v:shape>
            <v:shape style="position:absolute;left:4476;top:2689;width:15;height:15" coordorigin="4477,2689" coordsize="15,15" path="m4491,2689l4477,2689,4477,2704,4484,2704,4491,2696,4491,2689xe" filled="true" fillcolor="#000000" stroked="false">
              <v:path arrowok="t"/>
              <v:fill type="solid"/>
            </v:shape>
            <v:shape style="position:absolute;left:4505;top:2689;width:15;height:15" coordorigin="4506,2689" coordsize="15,15" path="m4520,2689l4506,2689,4506,2704,4513,2704,4520,2696,4520,2689xe" filled="true" fillcolor="#000000" stroked="false">
              <v:path arrowok="t"/>
              <v:fill type="solid"/>
            </v:shape>
            <v:shape style="position:absolute;left:4534;top:2689;width:15;height:15" coordorigin="4534,2689" coordsize="15,15" path="m4549,2689l4534,2689,4534,2704,4542,2704,4549,2696,4549,2689xe" filled="true" fillcolor="#000000" stroked="false">
              <v:path arrowok="t"/>
              <v:fill type="solid"/>
            </v:shape>
            <v:shape style="position:absolute;left:4563;top:2689;width:15;height:15" coordorigin="4563,2689" coordsize="15,15" path="m4578,2689l4563,2689,4563,2704,4570,2704,4578,2696,4578,2689xe" filled="true" fillcolor="#000000" stroked="false">
              <v:path arrowok="t"/>
              <v:fill type="solid"/>
            </v:shape>
            <v:shape style="position:absolute;left:4594;top:2689;width:15;height:15" coordorigin="4594,2689" coordsize="15,15" path="m4609,2689l4594,2689,4594,2704,4602,2704,4609,2696,4609,2689xe" filled="true" fillcolor="#000000" stroked="false">
              <v:path arrowok="t"/>
              <v:fill type="solid"/>
            </v:shape>
            <v:shape style="position:absolute;left:4623;top:2689;width:15;height:15" coordorigin="4623,2689" coordsize="15,15" path="m4638,2689l4623,2689,4623,2704,4630,2704,4638,2696,4638,2689xe" filled="true" fillcolor="#000000" stroked="false">
              <v:path arrowok="t"/>
              <v:fill type="solid"/>
            </v:shape>
            <v:shape style="position:absolute;left:4652;top:2689;width:15;height:15" coordorigin="4652,2689" coordsize="15,15" path="m4666,2689l4652,2689,4652,2704,4659,2704,4666,2696,4666,2689xe" filled="true" fillcolor="#000000" stroked="false">
              <v:path arrowok="t"/>
              <v:fill type="solid"/>
            </v:shape>
            <v:shape style="position:absolute;left:4680;top:2689;width:15;height:15" coordorigin="4681,2689" coordsize="15,15" path="m4695,2689l4681,2689,4681,2704,4688,2704,4695,2696,4695,2689xe" filled="true" fillcolor="#000000" stroked="false">
              <v:path arrowok="t"/>
              <v:fill type="solid"/>
            </v:shape>
            <v:shape style="position:absolute;left:4709;top:2689;width:15;height:15" coordorigin="4710,2689" coordsize="15,15" path="m4724,2689l4710,2689,4710,2704,4717,2704,4724,2696,4724,2689xe" filled="true" fillcolor="#000000" stroked="false">
              <v:path arrowok="t"/>
              <v:fill type="solid"/>
            </v:shape>
            <v:shape style="position:absolute;left:4738;top:2689;width:15;height:15" coordorigin="4738,2689" coordsize="15,15" path="m4753,2689l4738,2689,4738,2704,4746,2704,4753,2696,4753,2689xe" filled="true" fillcolor="#000000" stroked="false">
              <v:path arrowok="t"/>
              <v:fill type="solid"/>
            </v:shape>
            <v:shape style="position:absolute;left:4767;top:2689;width:15;height:15" coordorigin="4767,2689" coordsize="15,15" path="m4782,2689l4767,2689,4767,2704,4774,2704,4782,2696,4782,2689xe" filled="true" fillcolor="#000000" stroked="false">
              <v:path arrowok="t"/>
              <v:fill type="solid"/>
            </v:shape>
            <v:shape style="position:absolute;left:4796;top:2689;width:15;height:15" coordorigin="4796,2689" coordsize="15,15" path="m4810,2689l4796,2689,4796,2704,4803,2704,4810,2696,4810,2689xe" filled="true" fillcolor="#000000" stroked="false">
              <v:path arrowok="t"/>
              <v:fill type="solid"/>
            </v:shape>
            <v:shape style="position:absolute;left:4824;top:2689;width:15;height:15" coordorigin="4825,2689" coordsize="15,15" path="m4839,2689l4825,2689,4825,2704,4832,2704,4839,2696,4839,2689xe" filled="true" fillcolor="#000000" stroked="false">
              <v:path arrowok="t"/>
              <v:fill type="solid"/>
            </v:shape>
            <v:shape style="position:absolute;left:4853;top:2689;width:15;height:15" coordorigin="4854,2689" coordsize="15,15" path="m4868,2689l4854,2689,4854,2704,4861,2704,4868,2696,4868,2689xe" filled="true" fillcolor="#000000" stroked="false">
              <v:path arrowok="t"/>
              <v:fill type="solid"/>
            </v:shape>
            <v:shape style="position:absolute;left:4884;top:2689;width:15;height:15" coordorigin="4885,2689" coordsize="15,15" path="m4899,2689l4885,2689,4885,2704,4892,2704,4899,2696,4899,2689xe" filled="true" fillcolor="#000000" stroked="false">
              <v:path arrowok="t"/>
              <v:fill type="solid"/>
            </v:shape>
            <v:shape style="position:absolute;left:4913;top:2689;width:15;height:15" coordorigin="4914,2689" coordsize="15,15" path="m4928,2689l4914,2689,4914,2704,4921,2704,4928,2696,4928,2689xe" filled="true" fillcolor="#000000" stroked="false">
              <v:path arrowok="t"/>
              <v:fill type="solid"/>
            </v:shape>
            <v:shape style="position:absolute;left:4942;top:2689;width:15;height:15" coordorigin="4942,2689" coordsize="15,15" path="m4957,2689l4942,2689,4942,2704,4950,2704,4957,2696,4957,2689xe" filled="true" fillcolor="#000000" stroked="false">
              <v:path arrowok="t"/>
              <v:fill type="solid"/>
            </v:shape>
            <v:shape style="position:absolute;left:4971;top:2689;width:15;height:15" coordorigin="4971,2689" coordsize="15,15" path="m4986,2689l4971,2689,4971,2704,4978,2704,4986,2696,4986,2689xe" filled="true" fillcolor="#000000" stroked="false">
              <v:path arrowok="t"/>
              <v:fill type="solid"/>
            </v:shape>
            <v:shape style="position:absolute;left:5000;top:2689;width:15;height:15" coordorigin="5000,2689" coordsize="15,15" path="m5014,2689l5000,2689,5000,2704,5007,2704,5014,2696,5014,2689xe" filled="true" fillcolor="#000000" stroked="false">
              <v:path arrowok="t"/>
              <v:fill type="solid"/>
            </v:shape>
            <v:shape style="position:absolute;left:5028;top:2689;width:15;height:15" coordorigin="5029,2689" coordsize="15,15" path="m5043,2689l5029,2689,5029,2704,5036,2704,5043,2696,5043,2689xe" filled="true" fillcolor="#000000" stroked="false">
              <v:path arrowok="t"/>
              <v:fill type="solid"/>
            </v:shape>
            <v:shape style="position:absolute;left:5057;top:2689;width:15;height:15" coordorigin="5058,2689" coordsize="15,15" path="m5072,2689l5058,2689,5058,2704,5065,2704,5072,2696,5072,2689xe" filled="true" fillcolor="#000000" stroked="false">
              <v:path arrowok="t"/>
              <v:fill type="solid"/>
            </v:shape>
            <v:shape style="position:absolute;left:5086;top:2689;width:15;height:15" coordorigin="5086,2689" coordsize="15,15" path="m5101,2689l5086,2689,5086,2704,5094,2704,5101,2696,5101,2689xe" filled="true" fillcolor="#000000" stroked="false">
              <v:path arrowok="t"/>
              <v:fill type="solid"/>
            </v:shape>
            <v:shape style="position:absolute;left:5115;top:2689;width:15;height:15" coordorigin="5115,2689" coordsize="15,15" path="m5130,2689l5115,2689,5115,2704,5122,2704,5130,2696,5130,2689xe" filled="true" fillcolor="#000000" stroked="false">
              <v:path arrowok="t"/>
              <v:fill type="solid"/>
            </v:shape>
            <v:shape style="position:absolute;left:5144;top:2689;width:17;height:15" coordorigin="5144,2689" coordsize="17,15" path="m5161,2689l5144,2689,5144,2704,5151,2704,5161,2696,5161,2689xe" filled="true" fillcolor="#000000" stroked="false">
              <v:path arrowok="t"/>
              <v:fill type="solid"/>
            </v:shape>
            <v:shape style="position:absolute;left:5175;top:2689;width:15;height:15" coordorigin="5175,2689" coordsize="15,15" path="m5190,2689l5175,2689,5175,2704,5182,2704,5190,2696,5190,2689xe" filled="true" fillcolor="#000000" stroked="false">
              <v:path arrowok="t"/>
              <v:fill type="solid"/>
            </v:shape>
            <v:shape style="position:absolute;left:5204;top:2689;width:15;height:15" coordorigin="5204,2689" coordsize="15,15" path="m5218,2689l5204,2689,5204,2704,5211,2704,5218,2696,5218,2689xe" filled="true" fillcolor="#000000" stroked="false">
              <v:path arrowok="t"/>
              <v:fill type="solid"/>
            </v:shape>
            <v:shape style="position:absolute;left:5232;top:2689;width:15;height:15" coordorigin="5233,2689" coordsize="15,15" path="m5247,2689l5233,2689,5233,2704,5240,2704,5247,2696,5247,2689xe" filled="true" fillcolor="#000000" stroked="false">
              <v:path arrowok="t"/>
              <v:fill type="solid"/>
            </v:shape>
            <v:shape style="position:absolute;left:5261;top:2689;width:15;height:15" coordorigin="5262,2689" coordsize="15,15" path="m5276,2689l5262,2689,5262,2704,5269,2704,5276,2696,5276,2689xe" filled="true" fillcolor="#000000" stroked="false">
              <v:path arrowok="t"/>
              <v:fill type="solid"/>
            </v:shape>
            <v:shape style="position:absolute;left:5290;top:2689;width:15;height:15" coordorigin="5290,2689" coordsize="15,15" path="m5305,2689l5290,2689,5290,2704,5298,2704,5305,2696,5305,2689xe" filled="true" fillcolor="#000000" stroked="false">
              <v:path arrowok="t"/>
              <v:fill type="solid"/>
            </v:shape>
            <v:shape style="position:absolute;left:5319;top:2689;width:15;height:15" coordorigin="5319,2689" coordsize="15,15" path="m5334,2689l5319,2689,5319,2704,5326,2704,5334,2696,5334,2689xe" filled="true" fillcolor="#000000" stroked="false">
              <v:path arrowok="t"/>
              <v:fill type="solid"/>
            </v:shape>
            <v:shape style="position:absolute;left:5348;top:2689;width:15;height:15" coordorigin="5348,2689" coordsize="15,15" path="m5362,2689l5348,2689,5348,2704,5355,2704,5362,2696,5362,2689xe" filled="true" fillcolor="#000000" stroked="false">
              <v:path arrowok="t"/>
              <v:fill type="solid"/>
            </v:shape>
            <v:shape style="position:absolute;left:5376;top:2689;width:15;height:15" coordorigin="5377,2689" coordsize="15,15" path="m5391,2689l5377,2689,5377,2704,5384,2704,5391,2696,5391,2689xe" filled="true" fillcolor="#000000" stroked="false">
              <v:path arrowok="t"/>
              <v:fill type="solid"/>
            </v:shape>
            <v:shape style="position:absolute;left:5405;top:2689;width:15;height:15" coordorigin="5406,2689" coordsize="15,15" path="m5420,2689l5406,2689,5406,2704,5413,2704,5420,2696,5420,2689xe" filled="true" fillcolor="#000000" stroked="false">
              <v:path arrowok="t"/>
              <v:fill type="solid"/>
            </v:shape>
            <v:shape style="position:absolute;left:5434;top:2689;width:17;height:15" coordorigin="5434,2689" coordsize="17,15" path="m5451,2689l5434,2689,5434,2704,5444,2704,5451,2696,5451,2689xe" filled="true" fillcolor="#000000" stroked="false">
              <v:path arrowok="t"/>
              <v:fill type="solid"/>
            </v:shape>
            <v:shape style="position:absolute;left:5465;top:2689;width:15;height:15" coordorigin="5466,2689" coordsize="15,15" path="m5480,2689l5466,2689,5466,2704,5473,2704,5480,2696,5480,2689xe" filled="true" fillcolor="#000000" stroked="false">
              <v:path arrowok="t"/>
              <v:fill type="solid"/>
            </v:shape>
            <v:shape style="position:absolute;left:5494;top:2689;width:15;height:15" coordorigin="5494,2689" coordsize="15,15" path="m5509,2689l5494,2689,5494,2704,5502,2704,5509,2696,5509,2689xe" filled="true" fillcolor="#000000" stroked="false">
              <v:path arrowok="t"/>
              <v:fill type="solid"/>
            </v:shape>
            <v:shape style="position:absolute;left:5523;top:2689;width:15;height:15" coordorigin="5523,2689" coordsize="15,15" path="m5538,2689l5523,2689,5523,2704,5530,2704,5538,2696,5538,2689xe" filled="true" fillcolor="#000000" stroked="false">
              <v:path arrowok="t"/>
              <v:fill type="solid"/>
            </v:shape>
            <v:shape style="position:absolute;left:5552;top:2689;width:15;height:15" coordorigin="5552,2689" coordsize="15,15" path="m5566,2689l5552,2689,5552,2704,5559,2704,5566,2696,5566,2689xe" filled="true" fillcolor="#000000" stroked="false">
              <v:path arrowok="t"/>
              <v:fill type="solid"/>
            </v:shape>
            <v:shape style="position:absolute;left:5580;top:2689;width:15;height:15" coordorigin="5581,2689" coordsize="15,15" path="m5595,2689l5581,2689,5581,2704,5588,2704,5595,2696,5595,2689xe" filled="true" fillcolor="#000000" stroked="false">
              <v:path arrowok="t"/>
              <v:fill type="solid"/>
            </v:shape>
            <v:shape style="position:absolute;left:5609;top:2689;width:15;height:15" coordorigin="5610,2689" coordsize="15,15" path="m5624,2689l5610,2689,5610,2704,5617,2704,5624,2696,5624,2689xe" filled="true" fillcolor="#000000" stroked="false">
              <v:path arrowok="t"/>
              <v:fill type="solid"/>
            </v:shape>
            <v:shape style="position:absolute;left:5638;top:2689;width:15;height:15" coordorigin="5638,2689" coordsize="15,15" path="m5653,2689l5638,2689,5638,2704,5646,2704,5653,2696,5653,2689xe" filled="true" fillcolor="#000000" stroked="false">
              <v:path arrowok="t"/>
              <v:fill type="solid"/>
            </v:shape>
            <v:line style="position:absolute" from="4179,3589" to="7294,3589" stroked="true" strokeweight=".726pt" strokecolor="#000000">
              <v:stroke dashstyle="solid"/>
            </v:line>
            <v:line style="position:absolute" from="5958,1369" to="7294,1369" stroked="true" strokeweight=".726pt" strokecolor="#000000">
              <v:stroke dashstyle="solid"/>
            </v:line>
            <v:line style="position:absolute" from="6706,476" to="6706,2255" stroked="true" strokeweight=".726pt" strokecolor="#000000">
              <v:stroke dashstyle="solid"/>
            </v:line>
            <v:shape style="position:absolute;left:6545;top:1208;width:320;height:317" type="#_x0000_t75" stroked="false">
              <v:imagedata r:id="rId331" o:title=""/>
            </v:shape>
            <v:shape style="position:absolute;left:5667;top:2254;width:291;height:442" coordorigin="5667,2255" coordsize="291,442" path="m5667,2255l5727,2255,5770,2262,5799,2276,5814,2291,5814,2442,5828,2456,5857,2464,5900,2478,5958,2478,5900,2478,5857,2485,5828,2500,5814,2516,5814,2660,5799,2675,5770,2689,5727,2696,5667,2696e" filled="false" stroked="true" strokeweight=".726pt" strokecolor="#000000">
              <v:path arrowok="t"/>
              <v:stroke dashstyle="solid"/>
            </v:shape>
            <v:shape style="position:absolute;left:5508;top:2247;width:15;height:15" coordorigin="5509,2248" coordsize="15,15" path="m5523,2248l5516,2248,5509,2255,5516,2262,5523,2255,5523,2248xe" filled="true" fillcolor="#000000" stroked="false">
              <v:path arrowok="t"/>
              <v:fill type="solid"/>
            </v:shape>
            <v:shape style="position:absolute;left:5537;top:2247;width:15;height:15" coordorigin="5538,2248" coordsize="15,15" path="m5552,2248l5538,2248,5538,2262,5545,2262,5552,2255,5552,2248xe" filled="true" fillcolor="#000000" stroked="false">
              <v:path arrowok="t"/>
              <v:fill type="solid"/>
            </v:shape>
            <v:shape style="position:absolute;left:5566;top:2247;width:15;height:15" coordorigin="5566,2248" coordsize="15,15" path="m5581,2248l5566,2248,5566,2262,5574,2262,5581,2255,5581,2248xe" filled="true" fillcolor="#000000" stroked="false">
              <v:path arrowok="t"/>
              <v:fill type="solid"/>
            </v:shape>
            <v:shape style="position:absolute;left:5595;top:2247;width:15;height:15" coordorigin="5595,2248" coordsize="15,15" path="m5610,2248l5595,2248,5595,2262,5602,2262,5610,2255,5610,2248xe" filled="true" fillcolor="#000000" stroked="false">
              <v:path arrowok="t"/>
              <v:fill type="solid"/>
            </v:shape>
            <v:shape style="position:absolute;left:5624;top:2247;width:15;height:15" coordorigin="5624,2248" coordsize="15,15" path="m5638,2248l5624,2248,5624,2262,5631,2262,5638,2255,5638,2248xe" filled="true" fillcolor="#000000" stroked="false">
              <v:path arrowok="t"/>
              <v:fill type="solid"/>
            </v:shape>
            <v:shape style="position:absolute;left:5652;top:2247;width:15;height:15" coordorigin="5653,2248" coordsize="15,15" path="m5667,2248l5653,2248,5653,2262,5660,2262,5667,2255,5667,2248xe" filled="true" fillcolor="#000000" stroked="false">
              <v:path arrowok="t"/>
              <v:fill type="solid"/>
            </v:shape>
            <v:shape style="position:absolute;left:5681;top:2247;width:15;height:15" coordorigin="5682,2248" coordsize="15,15" path="m5696,2248l5682,2248,5682,2262,5689,2262,5696,2255,5696,2248xe" filled="true" fillcolor="#000000" stroked="false">
              <v:path arrowok="t"/>
              <v:fill type="solid"/>
            </v:shape>
            <v:shape style="position:absolute;left:5710;top:2247;width:17;height:15" coordorigin="5710,2248" coordsize="17,15" path="m5727,2248l5710,2248,5710,2262,5718,2262,5727,2255,5727,2248xe" filled="true" fillcolor="#000000" stroked="false">
              <v:path arrowok="t"/>
              <v:fill type="solid"/>
            </v:shape>
            <v:shape style="position:absolute;left:5741;top:2247;width:15;height:15" coordorigin="5742,2248" coordsize="15,15" path="m5756,2248l5742,2248,5742,2262,5749,2262,5756,2255,5756,2248xe" filled="true" fillcolor="#000000" stroked="false">
              <v:path arrowok="t"/>
              <v:fill type="solid"/>
            </v:shape>
            <v:shape style="position:absolute;left:5770;top:2247;width:15;height:15" coordorigin="5770,2248" coordsize="15,15" path="m5785,2248l5770,2248,5770,2262,5778,2262,5785,2255,5785,2248xe" filled="true" fillcolor="#000000" stroked="false">
              <v:path arrowok="t"/>
              <v:fill type="solid"/>
            </v:shape>
            <v:shape style="position:absolute;left:5799;top:2247;width:15;height:15" coordorigin="5799,2248" coordsize="15,15" path="m5814,2248l5799,2248,5799,2262,5806,2262,5814,2255,5814,2248xe" filled="true" fillcolor="#000000" stroked="false">
              <v:path arrowok="t"/>
              <v:fill type="solid"/>
            </v:shape>
            <v:shape style="position:absolute;left:5828;top:2247;width:15;height:15" coordorigin="5828,2248" coordsize="15,15" path="m5842,2248l5828,2248,5828,2262,5835,2262,5842,2255,5842,2248xe" filled="true" fillcolor="#000000" stroked="false">
              <v:path arrowok="t"/>
              <v:fill type="solid"/>
            </v:shape>
            <v:shape style="position:absolute;left:5856;top:2247;width:15;height:15" coordorigin="5857,2248" coordsize="15,15" path="m5871,2248l5857,2248,5857,2262,5864,2262,5871,2255,5871,2248xe" filled="true" fillcolor="#000000" stroked="false">
              <v:path arrowok="t"/>
              <v:fill type="solid"/>
            </v:shape>
            <v:shape style="position:absolute;left:5885;top:2247;width:15;height:15" coordorigin="5886,2248" coordsize="15,15" path="m5900,2248l5886,2248,5886,2262,5893,2262,5900,2255,5900,2248xe" filled="true" fillcolor="#000000" stroked="false">
              <v:path arrowok="t"/>
              <v:fill type="solid"/>
            </v:shape>
            <v:shape style="position:absolute;left:5914;top:2247;width:15;height:15" coordorigin="5914,2248" coordsize="15,15" path="m5929,2248l5914,2248,5914,2262,5922,2262,5929,2255,5929,2248xe" filled="true" fillcolor="#000000" stroked="false">
              <v:path arrowok="t"/>
              <v:fill type="solid"/>
            </v:shape>
            <v:shape style="position:absolute;left:5943;top:2247;width:15;height:15" coordorigin="5943,2248" coordsize="15,15" path="m5958,2248l5943,2248,5943,2262,5950,2262,5958,2255,5958,2248xe" filled="true" fillcolor="#000000" stroked="false">
              <v:path arrowok="t"/>
              <v:fill type="solid"/>
            </v:shape>
            <v:shape style="position:absolute;left:5972;top:2247;width:15;height:15" coordorigin="5972,2248" coordsize="15,15" path="m5986,2248l5972,2248,5972,2262,5979,2262,5986,2255,5986,2248xe" filled="true" fillcolor="#000000" stroked="false">
              <v:path arrowok="t"/>
              <v:fill type="solid"/>
            </v:shape>
            <v:shape style="position:absolute;left:6000;top:2247;width:17;height:15" coordorigin="6001,2248" coordsize="17,15" path="m6018,2248l6001,2248,6001,2262,6010,2262,6018,2255,6018,2248xe" filled="true" fillcolor="#000000" stroked="false">
              <v:path arrowok="t"/>
              <v:fill type="solid"/>
            </v:shape>
            <v:shape style="position:absolute;left:6032;top:2247;width:15;height:15" coordorigin="6032,2248" coordsize="15,15" path="m6046,2248l6032,2248,6032,2262,6039,2262,6046,2255,6046,2248xe" filled="true" fillcolor="#000000" stroked="false">
              <v:path arrowok="t"/>
              <v:fill type="solid"/>
            </v:shape>
            <v:shape style="position:absolute;left:6060;top:2247;width:15;height:15" coordorigin="6061,2248" coordsize="15,15" path="m6075,2248l6061,2248,6061,2262,6068,2262,6075,2255,6075,2248xe" filled="true" fillcolor="#000000" stroked="false">
              <v:path arrowok="t"/>
              <v:fill type="solid"/>
            </v:shape>
            <v:shape style="position:absolute;left:6089;top:2247;width:15;height:15" coordorigin="6090,2248" coordsize="15,15" path="m6104,2248l6090,2248,6090,2262,6097,2262,6104,2255,6104,2248xe" filled="true" fillcolor="#000000" stroked="false">
              <v:path arrowok="t"/>
              <v:fill type="solid"/>
            </v:shape>
            <v:shape style="position:absolute;left:6118;top:2247;width:15;height:15" coordorigin="6118,2248" coordsize="15,15" path="m6133,2248l6118,2248,6118,2262,6126,2262,6133,2255,6133,2248xe" filled="true" fillcolor="#000000" stroked="false">
              <v:path arrowok="t"/>
              <v:fill type="solid"/>
            </v:shape>
            <v:shape style="position:absolute;left:6147;top:2247;width:15;height:15" coordorigin="6147,2248" coordsize="15,15" path="m6162,2248l6147,2248,6147,2262,6154,2262,6162,2255,6162,2248xe" filled="true" fillcolor="#000000" stroked="false">
              <v:path arrowok="t"/>
              <v:fill type="solid"/>
            </v:shape>
            <v:shape style="position:absolute;left:6176;top:2247;width:15;height:15" coordorigin="6176,2248" coordsize="15,15" path="m6190,2248l6176,2248,6176,2262,6183,2262,6190,2255,6190,2248xe" filled="true" fillcolor="#000000" stroked="false">
              <v:path arrowok="t"/>
              <v:fill type="solid"/>
            </v:shape>
            <v:shape style="position:absolute;left:6204;top:2247;width:15;height:15" coordorigin="6205,2248" coordsize="15,15" path="m6219,2248l6205,2248,6205,2262,6212,2262,6219,2255,6219,2248xe" filled="true" fillcolor="#000000" stroked="false">
              <v:path arrowok="t"/>
              <v:fill type="solid"/>
            </v:shape>
            <v:shape style="position:absolute;left:6233;top:2247;width:15;height:15" coordorigin="6234,2248" coordsize="15,15" path="m6248,2248l6234,2248,6234,2262,6241,2262,6248,2255,6248,2248xe" filled="true" fillcolor="#000000" stroked="false">
              <v:path arrowok="t"/>
              <v:fill type="solid"/>
            </v:shape>
            <v:shape style="position:absolute;left:6262;top:2247;width:15;height:15" coordorigin="6262,2248" coordsize="15,15" path="m6277,2248l6262,2248,6262,2262,6270,2262,6277,2255,6277,2248xe" filled="true" fillcolor="#000000" stroked="false">
              <v:path arrowok="t"/>
              <v:fill type="solid"/>
            </v:shape>
            <v:shape style="position:absolute;left:6293;top:2247;width:15;height:15" coordorigin="6294,2248" coordsize="15,15" path="m6308,2248l6294,2248,6294,2262,6301,2262,6308,2255,6308,2248xe" filled="true" fillcolor="#000000" stroked="false">
              <v:path arrowok="t"/>
              <v:fill type="solid"/>
            </v:shape>
            <v:shape style="position:absolute;left:6322;top:2247;width:15;height:15" coordorigin="6322,2248" coordsize="15,15" path="m6337,2248l6322,2248,6322,2262,6330,2262,6337,2255,6337,2248xe" filled="true" fillcolor="#000000" stroked="false">
              <v:path arrowok="t"/>
              <v:fill type="solid"/>
            </v:shape>
            <v:shape style="position:absolute;left:6351;top:2247;width:15;height:15" coordorigin="6351,2248" coordsize="15,15" path="m6366,2248l6351,2248,6351,2262,6358,2262,6366,2255,6366,2248xe" filled="true" fillcolor="#000000" stroked="false">
              <v:path arrowok="t"/>
              <v:fill type="solid"/>
            </v:shape>
            <v:shape style="position:absolute;left:6380;top:2247;width:15;height:15" coordorigin="6380,2248" coordsize="15,15" path="m6394,2248l6380,2248,6380,2262,6387,2262,6394,2255,6394,2248xe" filled="true" fillcolor="#000000" stroked="false">
              <v:path arrowok="t"/>
              <v:fill type="solid"/>
            </v:shape>
            <v:shape style="position:absolute;left:6408;top:2247;width:15;height:15" coordorigin="6409,2248" coordsize="15,15" path="m6423,2248l6409,2248,6409,2262,6416,2262,6423,2255,6423,2248xe" filled="true" fillcolor="#000000" stroked="false">
              <v:path arrowok="t"/>
              <v:fill type="solid"/>
            </v:shape>
            <v:shape style="position:absolute;left:6437;top:2247;width:15;height:15" coordorigin="6438,2248" coordsize="15,15" path="m6452,2248l6438,2248,6438,2262,6445,2262,6452,2255,6452,2248xe" filled="true" fillcolor="#000000" stroked="false">
              <v:path arrowok="t"/>
              <v:fill type="solid"/>
            </v:shape>
            <v:shape style="position:absolute;left:6466;top:2247;width:15;height:15" coordorigin="6466,2248" coordsize="15,15" path="m6481,2248l6466,2248,6466,2262,6474,2262,6481,2255,6481,2248xe" filled="true" fillcolor="#000000" stroked="false">
              <v:path arrowok="t"/>
              <v:fill type="solid"/>
            </v:shape>
            <v:shape style="position:absolute;left:6495;top:2247;width:15;height:15" coordorigin="6495,2248" coordsize="15,15" path="m6510,2248l6495,2248,6495,2262,6502,2262,6510,2255,6510,2248xe" filled="true" fillcolor="#000000" stroked="false">
              <v:path arrowok="t"/>
              <v:fill type="solid"/>
            </v:shape>
            <v:shape style="position:absolute;left:6524;top:2247;width:15;height:15" coordorigin="6524,2248" coordsize="15,15" path="m6538,2248l6524,2248,6524,2262,6531,2262,6538,2255,6538,2248xe" filled="true" fillcolor="#000000" stroked="false">
              <v:path arrowok="t"/>
              <v:fill type="solid"/>
            </v:shape>
            <v:shape style="position:absolute;left:6552;top:2247;width:17;height:15" coordorigin="6553,2248" coordsize="17,15" path="m6570,2248l6553,2248,6553,2262,6560,2262,6570,2255,6570,2248xe" filled="true" fillcolor="#000000" stroked="false">
              <v:path arrowok="t"/>
              <v:fill type="solid"/>
            </v:shape>
            <v:shape style="position:absolute;left:6584;top:2247;width:15;height:15" coordorigin="6584,2248" coordsize="15,15" path="m6598,2248l6584,2248,6584,2262,6591,2262,6598,2255,6598,2248xe" filled="true" fillcolor="#000000" stroked="false">
              <v:path arrowok="t"/>
              <v:fill type="solid"/>
            </v:shape>
            <v:shape style="position:absolute;left:6612;top:2247;width:15;height:15" coordorigin="6613,2248" coordsize="15,15" path="m6627,2248l6613,2248,6613,2262,6620,2262,6627,2255,6627,2248xe" filled="true" fillcolor="#000000" stroked="false">
              <v:path arrowok="t"/>
              <v:fill type="solid"/>
            </v:shape>
            <v:shape style="position:absolute;left:6641;top:2247;width:15;height:15" coordorigin="6642,2248" coordsize="15,15" path="m6656,2248l6642,2248,6642,2262,6649,2262,6656,2255,6656,2248xe" filled="true" fillcolor="#000000" stroked="false">
              <v:path arrowok="t"/>
              <v:fill type="solid"/>
            </v:shape>
            <v:shape style="position:absolute;left:6670;top:2247;width:15;height:15" coordorigin="6670,2248" coordsize="15,15" path="m6685,2248l6670,2248,6670,2262,6678,2262,6685,2255,6685,2248xe" filled="true" fillcolor="#000000" stroked="false">
              <v:path arrowok="t"/>
              <v:fill type="solid"/>
            </v:shape>
            <v:shape style="position:absolute;left:6545;top:910;width:15;height:75" coordorigin="6546,911" coordsize="15,75" path="m6553,911l6546,918,6546,976,6553,985,6560,985,6560,918,6553,911xe" filled="true" fillcolor="#000000" stroked="false">
              <v:path arrowok="t"/>
              <v:fill type="solid"/>
            </v:shape>
            <v:shape style="position:absolute;left:6545;top:1014;width:15;height:29" coordorigin="6546,1014" coordsize="15,29" path="m6560,1014l6553,1014,6546,1021,6546,1036,6553,1043,6560,1043,6560,1014xe" filled="true" fillcolor="#000000" stroked="false">
              <v:path arrowok="t"/>
              <v:fill type="solid"/>
            </v:shape>
            <v:shape style="position:absolute;left:6545;top:1071;width:15;height:72" coordorigin="6546,1072" coordsize="15,72" path="m6560,1072l6553,1072,6546,1079,6546,1136,6553,1144,6560,1144,6560,1072xe" filled="true" fillcolor="#000000" stroked="false">
              <v:path arrowok="t"/>
              <v:fill type="solid"/>
            </v:shape>
            <v:shape style="position:absolute;left:6545;top:1172;width:15;height:29" coordorigin="6546,1172" coordsize="15,29" path="m6560,1172l6553,1172,6546,1180,6546,1194,6553,1201,6560,1201,6560,1172xe" filled="true" fillcolor="#000000" stroked="false">
              <v:path arrowok="t"/>
              <v:fill type="solid"/>
            </v:shape>
            <v:shape style="position:absolute;left:6545;top:1230;width:15;height:75" coordorigin="6546,1230" coordsize="15,75" path="m6560,1230l6553,1230,6546,1237,6546,1297,6553,1304,6560,1304,6560,1230xe" filled="true" fillcolor="#000000" stroked="false">
              <v:path arrowok="t"/>
              <v:fill type="solid"/>
            </v:shape>
            <v:shape style="position:absolute;left:6545;top:1333;width:15;height:29" coordorigin="6546,1333" coordsize="15,29" path="m6560,1333l6553,1333,6546,1340,6546,1355,6553,1362,6560,1362,6560,1333xe" filled="true" fillcolor="#000000" stroked="false">
              <v:path arrowok="t"/>
              <v:fill type="solid"/>
            </v:shape>
            <v:shape style="position:absolute;left:6545;top:1390;width:15;height:72" coordorigin="6546,1391" coordsize="15,72" path="m6560,1391l6553,1391,6546,1398,6546,1456,6553,1463,6560,1463,6560,1391xe" filled="true" fillcolor="#000000" stroked="false">
              <v:path arrowok="t"/>
              <v:fill type="solid"/>
            </v:shape>
            <v:shape style="position:absolute;left:6545;top:1491;width:15;height:29" coordorigin="6546,1492" coordsize="15,29" path="m6560,1492l6553,1492,6546,1499,6546,1513,6553,1520,6560,1520,6560,1492xe" filled="true" fillcolor="#000000" stroked="false">
              <v:path arrowok="t"/>
              <v:fill type="solid"/>
            </v:shape>
            <v:shape style="position:absolute;left:6545;top:1549;width:15;height:75" coordorigin="6546,1549" coordsize="15,75" path="m6560,1549l6553,1549,6546,1556,6546,1616,6553,1624,6560,1624,6560,1549xe" filled="true" fillcolor="#000000" stroked="false">
              <v:path arrowok="t"/>
              <v:fill type="solid"/>
            </v:shape>
            <v:shape style="position:absolute;left:6545;top:1652;width:15;height:29" coordorigin="6546,1652" coordsize="15,29" path="m6560,1652l6553,1652,6546,1660,6546,1674,6553,1681,6560,1681,6560,1652xe" filled="true" fillcolor="#000000" stroked="false">
              <v:path arrowok="t"/>
              <v:fill type="solid"/>
            </v:shape>
            <v:shape style="position:absolute;left:6545;top:1710;width:15;height:72" coordorigin="6546,1710" coordsize="15,72" path="m6560,1710l6553,1710,6546,1717,6546,1775,6553,1782,6560,1782,6560,1710xe" filled="true" fillcolor="#000000" stroked="false">
              <v:path arrowok="t"/>
              <v:fill type="solid"/>
            </v:shape>
            <v:shape style="position:absolute;left:6545;top:1810;width:15;height:29" coordorigin="6546,1811" coordsize="15,29" path="m6560,1811l6553,1811,6546,1818,6546,1832,6553,1840,6560,1840,6560,1811xe" filled="true" fillcolor="#000000" stroked="false">
              <v:path arrowok="t"/>
              <v:fill type="solid"/>
            </v:shape>
            <v:shape style="position:absolute;left:6545;top:1868;width:15;height:75" coordorigin="6546,1868" coordsize="15,75" path="m6560,1868l6553,1868,6546,1876,6546,1936,6553,1943,6560,1943,6560,1868xe" filled="true" fillcolor="#000000" stroked="false">
              <v:path arrowok="t"/>
              <v:fill type="solid"/>
            </v:shape>
            <v:shape style="position:absolute;left:3576;top:3140;width:72;height:15" coordorigin="3577,3140" coordsize="72,15" path="m3642,3140l3584,3140,3577,3148,3584,3155,3642,3155,3649,3148,3642,3140xe" filled="true" fillcolor="#000000" stroked="false">
              <v:path arrowok="t"/>
              <v:fill type="solid"/>
            </v:shape>
            <v:shape style="position:absolute;left:3677;top:3140;width:29;height:15" coordorigin="3678,3140" coordsize="29,15" path="m3699,3140l3678,3140,3678,3155,3699,3155,3706,3148,3699,3140xe" filled="true" fillcolor="#000000" stroked="false">
              <v:path arrowok="t"/>
              <v:fill type="solid"/>
            </v:shape>
            <v:shape style="position:absolute;left:3735;top:3140;width:75;height:15" coordorigin="3735,3140" coordsize="75,15" path="m3802,3140l3735,3140,3735,3155,3802,3155,3810,3148,3802,3140xe" filled="true" fillcolor="#000000" stroked="false">
              <v:path arrowok="t"/>
              <v:fill type="solid"/>
            </v:shape>
            <v:shape style="position:absolute;left:3838;top:3140;width:29;height:15" coordorigin="3838,3140" coordsize="29,15" path="m3860,3140l3838,3140,3838,3155,3860,3155,3867,3148,3860,3140xe" filled="true" fillcolor="#000000" stroked="false">
              <v:path arrowok="t"/>
              <v:fill type="solid"/>
            </v:shape>
            <v:shape style="position:absolute;left:3896;top:3140;width:72;height:15" coordorigin="3896,3140" coordsize="72,15" path="m3961,3140l3896,3140,3896,3155,3961,3155,3968,3148,3961,3140xe" filled="true" fillcolor="#000000" stroked="false">
              <v:path arrowok="t"/>
              <v:fill type="solid"/>
            </v:shape>
            <v:shape style="position:absolute;left:3996;top:3140;width:32;height:15" coordorigin="3997,3140" coordsize="32,15" path="m4018,3140l3997,3140,3997,3155,4018,3155,4028,3148,4018,3140xe" filled="true" fillcolor="#000000" stroked="false">
              <v:path arrowok="t"/>
              <v:fill type="solid"/>
            </v:shape>
            <v:shape style="position:absolute;left:4056;top:3140;width:72;height:15" coordorigin="4057,3140" coordsize="72,15" path="m4122,3140l4057,3140,4057,3155,4122,3155,4129,3148,4122,3140xe" filled="true" fillcolor="#000000" stroked="false">
              <v:path arrowok="t"/>
              <v:fill type="solid"/>
            </v:shape>
            <v:shape style="position:absolute;left:4157;top:3140;width:29;height:15" coordorigin="4158,3140" coordsize="29,15" path="m4179,3140l4158,3140,4158,3155,4179,3155,4186,3148,4179,3140xe" filled="true" fillcolor="#000000" stroked="false">
              <v:path arrowok="t"/>
              <v:fill type="solid"/>
            </v:shape>
            <v:shape style="position:absolute;left:4215;top:3140;width:72;height:15" coordorigin="4215,3140" coordsize="72,15" path="m4280,3140l4215,3140,4215,3155,4280,3155,4287,3148,4280,3140xe" filled="true" fillcolor="#000000" stroked="false">
              <v:path arrowok="t"/>
              <v:fill type="solid"/>
            </v:shape>
            <v:shape style="position:absolute;left:4318;top:3140;width:29;height:15" coordorigin="4318,3140" coordsize="29,15" path="m4340,3140l4318,3140,4318,3155,4340,3155,4347,3148,4340,3140xe" filled="true" fillcolor="#000000" stroked="false">
              <v:path arrowok="t"/>
              <v:fill type="solid"/>
            </v:shape>
            <v:shape style="position:absolute;left:4376;top:3140;width:72;height:15" coordorigin="4376,3140" coordsize="72,15" path="m4441,3140l4376,3140,4376,3155,4441,3155,4448,3148,4441,3140xe" filled="true" fillcolor="#000000" stroked="false">
              <v:path arrowok="t"/>
              <v:fill type="solid"/>
            </v:shape>
            <v:shape style="position:absolute;left:4476;top:3140;width:29;height:15" coordorigin="4477,3140" coordsize="29,15" path="m4498,3140l4477,3140,4477,3155,4498,3155,4506,3148,4498,3140xe" filled="true" fillcolor="#000000" stroked="false">
              <v:path arrowok="t"/>
              <v:fill type="solid"/>
            </v:shape>
            <v:shape style="position:absolute;left:4534;top:3140;width:75;height:15" coordorigin="4534,3140" coordsize="75,15" path="m4602,3140l4534,3140,4534,3155,4602,3155,4609,3148,4602,3140xe" filled="true" fillcolor="#000000" stroked="false">
              <v:path arrowok="t"/>
              <v:fill type="solid"/>
            </v:shape>
            <v:shape style="position:absolute;left:4637;top:3140;width:29;height:15" coordorigin="4638,3140" coordsize="29,15" path="m4659,3140l4638,3140,4638,3155,4659,3155,4666,3148,4659,3140xe" filled="true" fillcolor="#000000" stroked="false">
              <v:path arrowok="t"/>
              <v:fill type="solid"/>
            </v:shape>
            <v:shape style="position:absolute;left:4695;top:3140;width:72;height:15" coordorigin="4695,3140" coordsize="72,15" path="m4760,3140l4695,3140,4695,3155,4760,3155,4767,3148,4760,3140xe" filled="true" fillcolor="#000000" stroked="false">
              <v:path arrowok="t"/>
              <v:fill type="solid"/>
            </v:shape>
            <v:shape style="position:absolute;left:4796;top:3140;width:29;height:15" coordorigin="4796,3140" coordsize="29,15" path="m4818,3140l4796,3140,4796,3155,4818,3155,4825,3148,4818,3140xe" filled="true" fillcolor="#000000" stroked="false">
              <v:path arrowok="t"/>
              <v:fill type="solid"/>
            </v:shape>
            <v:shape style="position:absolute;left:4853;top:3140;width:75;height:15" coordorigin="4854,3140" coordsize="75,15" path="m4921,3140l4854,3140,4854,3155,4921,3155,4928,3148,4921,3140xe" filled="true" fillcolor="#000000" stroked="false">
              <v:path arrowok="t"/>
              <v:fill type="solid"/>
            </v:shape>
            <v:shape style="position:absolute;left:4956;top:3140;width:29;height:15" coordorigin="4957,3140" coordsize="29,15" path="m4978,3140l4957,3140,4957,3155,4978,3155,4986,3148,4978,3140xe" filled="true" fillcolor="#000000" stroked="false">
              <v:path arrowok="t"/>
              <v:fill type="solid"/>
            </v:shape>
            <v:shape style="position:absolute;left:5014;top:3140;width:72;height:15" coordorigin="5014,3140" coordsize="72,15" path="m5079,3140l5014,3140,5014,3155,5079,3155,5086,3148,5079,3140xe" filled="true" fillcolor="#000000" stroked="false">
              <v:path arrowok="t"/>
              <v:fill type="solid"/>
            </v:shape>
            <v:shape style="position:absolute;left:5115;top:3140;width:29;height:15" coordorigin="5115,3140" coordsize="29,15" path="m5137,3140l5115,3140,5115,3155,5137,3155,5144,3148,5137,3140xe" filled="true" fillcolor="#000000" stroked="false">
              <v:path arrowok="t"/>
              <v:fill type="solid"/>
            </v:shape>
            <v:shape style="position:absolute;left:5175;top:3140;width:72;height:15" coordorigin="5175,3140" coordsize="72,15" path="m5240,3140l5175,3140,5175,3155,5240,3155,5247,3148,5240,3140xe" filled="true" fillcolor="#000000" stroked="false">
              <v:path arrowok="t"/>
              <v:fill type="solid"/>
            </v:shape>
            <v:shape style="position:absolute;left:5276;top:3140;width:29;height:15" coordorigin="5276,3140" coordsize="29,15" path="m5298,3140l5276,3140,5276,3155,5298,3155,5305,3148,5298,3140xe" filled="true" fillcolor="#000000" stroked="false">
              <v:path arrowok="t"/>
              <v:fill type="solid"/>
            </v:shape>
            <v:shape style="position:absolute;left:5333;top:3140;width:72;height:15" coordorigin="5334,3140" coordsize="72,15" path="m5398,3140l5334,3140,5334,3155,5398,3155,5406,3148,5398,3140xe" filled="true" fillcolor="#000000" stroked="false">
              <v:path arrowok="t"/>
              <v:fill type="solid"/>
            </v:shape>
            <v:shape style="position:absolute;left:5434;top:3140;width:32;height:15" coordorigin="5434,3140" coordsize="32,15" path="m5458,3140l5434,3140,5434,3155,5458,3155,5466,3148,5458,3140xe" filled="true" fillcolor="#000000" stroked="false">
              <v:path arrowok="t"/>
              <v:fill type="solid"/>
            </v:shape>
            <v:shape style="position:absolute;left:5494;top:3140;width:72;height:15" coordorigin="5494,3140" coordsize="72,15" path="m5559,3140l5494,3140,5494,3155,5559,3155,5566,3148,5559,3140xe" filled="true" fillcolor="#000000" stroked="false">
              <v:path arrowok="t"/>
              <v:fill type="solid"/>
            </v:shape>
            <v:shape style="position:absolute;left:5595;top:3140;width:29;height:15" coordorigin="5595,3140" coordsize="29,15" path="m5617,3140l5595,3140,5595,3155,5617,3155,5624,3148,5617,3140xe" filled="true" fillcolor="#000000" stroked="false">
              <v:path arrowok="t"/>
              <v:fill type="solid"/>
            </v:shape>
            <v:shape style="position:absolute;left:5652;top:3140;width:75;height:15" coordorigin="5653,3140" coordsize="75,15" path="m5718,3140l5653,3140,5653,3155,5718,3155,5727,3148,5718,3140xe" filled="true" fillcolor="#000000" stroked="false">
              <v:path arrowok="t"/>
              <v:fill type="solid"/>
            </v:shape>
            <v:shape style="position:absolute;left:5756;top:3140;width:29;height:15" coordorigin="5756,3140" coordsize="29,15" path="m5778,3140l5756,3140,5756,3155,5778,3155,5785,3148,5778,3140xe" filled="true" fillcolor="#000000" stroked="false">
              <v:path arrowok="t"/>
              <v:fill type="solid"/>
            </v:shape>
            <v:shape style="position:absolute;left:5813;top:3140;width:72;height:15" coordorigin="5814,3140" coordsize="72,15" path="m5878,3140l5814,3140,5814,3155,5878,3155,5886,3148,5878,3140xe" filled="true" fillcolor="#000000" stroked="false">
              <v:path arrowok="t"/>
              <v:fill type="solid"/>
            </v:shape>
            <v:shape style="position:absolute;left:5914;top:3140;width:29;height:15" coordorigin="5914,3140" coordsize="29,15" path="m5936,3140l5914,3140,5914,3155,5936,3155,5943,3148,5936,3140xe" filled="true" fillcolor="#000000" stroked="false">
              <v:path arrowok="t"/>
              <v:fill type="solid"/>
            </v:shape>
            <v:shape style="position:absolute;left:5972;top:3140;width:75;height:15" coordorigin="5972,3140" coordsize="75,15" path="m6039,3140l5972,3140,5972,3155,6039,3155,6046,3148,6039,3140xe" filled="true" fillcolor="#000000" stroked="false">
              <v:path arrowok="t"/>
              <v:fill type="solid"/>
            </v:shape>
            <v:shape style="position:absolute;left:6075;top:3140;width:29;height:15" coordorigin="6075,3140" coordsize="29,15" path="m6097,3140l6075,3140,6075,3155,6097,3155,6104,3148,6097,3140xe" filled="true" fillcolor="#000000" stroked="false">
              <v:path arrowok="t"/>
              <v:fill type="solid"/>
            </v:shape>
            <v:shape style="position:absolute;left:6132;top:3140;width:72;height:15" coordorigin="6133,3140" coordsize="72,15" path="m6198,3140l6133,3140,6133,3155,6198,3155,6205,3148,6198,3140xe" filled="true" fillcolor="#000000" stroked="false">
              <v:path arrowok="t"/>
              <v:fill type="solid"/>
            </v:shape>
            <v:shape style="position:absolute;left:6233;top:3140;width:29;height:15" coordorigin="6234,3140" coordsize="29,15" path="m6255,3140l6234,3140,6234,3155,6255,3155,6262,3148,6255,3140xe" filled="true" fillcolor="#000000" stroked="false">
              <v:path arrowok="t"/>
              <v:fill type="solid"/>
            </v:shape>
            <v:shape style="position:absolute;left:6255;top:1957;width:298;height:1191" coordorigin="6255,1957" coordsize="298,1191" path="m6255,1957l6315,1964,6366,1986,6394,2015,6409,2058,6409,2449,6423,2492,6452,2524,6495,2545,6553,2552,6495,2560,6452,2581,6423,2610,6409,2653,6409,3044,6394,3088,6366,3116,6315,3140,6255,3148e" filled="false" stroked="true" strokeweight=".726pt" strokecolor="#000000">
              <v:path arrowok="t"/>
              <v:stroke dashstyle="solid"/>
            </v:shape>
            <v:shape style="position:absolute;left:6488;top:1950;width:72;height:15" coordorigin="6488,1950" coordsize="72,15" path="m6553,1950l6495,1950,6488,1957,6495,1964,6560,1964,6560,1957,6553,1950xe" filled="true" fillcolor="#000000" stroked="false">
              <v:path arrowok="t"/>
              <v:fill type="solid"/>
            </v:shape>
            <v:shape style="position:absolute;left:6430;top:1950;width:29;height:15" coordorigin="6430,1950" coordsize="29,15" path="m6452,1950l6438,1950,6430,1957,6438,1964,6459,1964,6459,1957,6452,1950xe" filled="true" fillcolor="#000000" stroked="false">
              <v:path arrowok="t"/>
              <v:fill type="solid"/>
            </v:shape>
            <v:shape style="position:absolute;left:6329;top:1950;width:72;height:15" coordorigin="6330,1950" coordsize="72,15" path="m6394,1950l6337,1950,6330,1957,6337,1964,6402,1964,6402,1957,6394,1950xe" filled="true" fillcolor="#000000" stroked="false">
              <v:path arrowok="t"/>
              <v:fill type="solid"/>
            </v:shape>
            <v:shape style="position:absolute;left:6269;top:1950;width:32;height:15" coordorigin="6270,1950" coordsize="32,15" path="m6294,1950l6277,1950,6270,1957,6277,1964,6301,1964,6301,1957,6294,1950xe" filled="true" fillcolor="#000000" stroked="false">
              <v:path arrowok="t"/>
              <v:fill type="solid"/>
            </v:shape>
            <v:shape style="position:absolute;left:6168;top:1950;width:72;height:15" coordorigin="6169,1950" coordsize="72,15" path="m6234,1950l6176,1950,6169,1957,6176,1964,6241,1964,6241,1957,6234,1950xe" filled="true" fillcolor="#000000" stroked="false">
              <v:path arrowok="t"/>
              <v:fill type="solid"/>
            </v:shape>
            <v:shape style="position:absolute;left:6111;top:1950;width:29;height:15" coordorigin="6111,1950" coordsize="29,15" path="m6133,1950l6118,1950,6111,1957,6118,1964,6140,1964,6140,1957,6133,1950xe" filled="true" fillcolor="#000000" stroked="false">
              <v:path arrowok="t"/>
              <v:fill type="solid"/>
            </v:shape>
            <v:line style="position:absolute" from="3294,4626" to="3584,4626" stroked="true" strokeweight=".726pt" strokecolor="#000000">
              <v:stroke dashstyle="solid"/>
            </v:line>
            <v:line style="position:absolute" from="3294,2696" to="3584,2696" stroked="true" strokeweight=".726pt" strokecolor="#000000">
              <v:stroke dashstyle="solid"/>
            </v:line>
            <v:line style="position:absolute" from="6553,2255" to="6853,2255" stroked="true" strokeweight=".726pt" strokecolor="#000000">
              <v:stroke dashstyle="solid"/>
            </v:line>
            <v:line style="position:absolute" from="6553,476" to="6853,476" stroked="true" strokeweight=".726pt" strokecolor="#000000">
              <v:stroke dashstyle="solid"/>
            </v:line>
            <v:shape style="position:absolute;left:6401;top:910;width:72;height:15" coordorigin="6402,911" coordsize="72,15" path="m6466,911l6409,911,6402,918,6409,925,6466,925,6474,918,6466,911xe" filled="true" fillcolor="#000000" stroked="false">
              <v:path arrowok="t"/>
              <v:fill type="solid"/>
            </v:shape>
            <v:shape style="position:absolute;left:6502;top:910;width:29;height:15" coordorigin="6502,911" coordsize="29,15" path="m6524,911l6502,911,6502,925,6524,925,6531,918,6524,911xe" filled="true" fillcolor="#000000" stroked="false">
              <v:path arrowok="t"/>
              <v:fill type="solid"/>
            </v:shape>
            <v:shape style="position:absolute;left:6560;top:910;width:75;height:15" coordorigin="6560,911" coordsize="75,15" path="m6627,911l6560,911,6560,925,6627,925,6634,918,6627,911xe" filled="true" fillcolor="#000000" stroked="false">
              <v:path arrowok="t"/>
              <v:fill type="solid"/>
            </v:shape>
            <v:shape style="position:absolute;left:6663;top:910;width:29;height:15" coordorigin="6663,911" coordsize="29,15" path="m6685,911l6663,911,6663,925,6685,925,6692,918,6685,911xe" filled="true" fillcolor="#000000" stroked="false">
              <v:path arrowok="t"/>
              <v:fill type="solid"/>
            </v:shape>
            <v:shape style="position:absolute;left:3430;top:4177;width:75;height:15" coordorigin="3430,4177" coordsize="75,15" path="m3498,4177l3438,4177,3430,4184,3438,4192,3498,4192,3505,4184,3498,4177xe" filled="true" fillcolor="#000000" stroked="false">
              <v:path arrowok="t"/>
              <v:fill type="solid"/>
            </v:shape>
            <v:shape style="position:absolute;left:3533;top:4177;width:29;height:15" coordorigin="3534,4177" coordsize="29,15" path="m3555,4177l3534,4177,3534,4192,3555,4192,3562,4184,3555,4177xe" filled="true" fillcolor="#000000" stroked="false">
              <v:path arrowok="t"/>
              <v:fill type="solid"/>
            </v:shape>
            <v:shape style="position:absolute;left:3591;top:4177;width:72;height:15" coordorigin="3591,4177" coordsize="72,15" path="m3656,4177l3591,4177,3591,4192,3656,4192,3663,4184,3656,4177xe" filled="true" fillcolor="#000000" stroked="false">
              <v:path arrowok="t"/>
              <v:fill type="solid"/>
            </v:shape>
            <v:shape style="position:absolute;left:3692;top:4177;width:29;height:15" coordorigin="3692,4177" coordsize="29,15" path="m3714,4177l3692,4177,3692,4192,3714,4192,3721,4184,3714,4177xe" filled="true" fillcolor="#000000" stroked="false">
              <v:path arrowok="t"/>
              <v:fill type="solid"/>
            </v:shape>
            <v:shape style="position:absolute;left:3430;top:3140;width:75;height:15" coordorigin="3430,3140" coordsize="75,15" path="m3498,3140l3438,3140,3430,3148,3438,3155,3498,3155,3505,3148,3498,3140xe" filled="true" fillcolor="#000000" stroked="false">
              <v:path arrowok="t"/>
              <v:fill type="solid"/>
            </v:shape>
            <v:shape style="position:absolute;left:3533;top:3140;width:29;height:15" coordorigin="3534,3140" coordsize="29,15" path="m3555,3140l3534,3140,3534,3155,3555,3155,3562,3148,3555,3140xe" filled="true" fillcolor="#000000" stroked="false">
              <v:path arrowok="t"/>
              <v:fill type="solid"/>
            </v:shape>
            <v:shape style="position:absolute;left:3591;top:3140;width:72;height:15" coordorigin="3591,3140" coordsize="72,15" path="m3656,3140l3591,3140,3591,3155,3656,3155,3663,3148,3656,3140xe" filled="true" fillcolor="#000000" stroked="false">
              <v:path arrowok="t"/>
              <v:fill type="solid"/>
            </v:shape>
            <v:shape style="position:absolute;left:3692;top:3140;width:29;height:15" coordorigin="3692,3140" coordsize="29,15" path="m3714,3140l3692,3140,3692,3155,3714,3155,3721,3148,3714,3140xe" filled="true" fillcolor="#000000" stroked="false">
              <v:path arrowok="t"/>
              <v:fill type="solid"/>
            </v:shape>
            <v:shape style="position:absolute;left:6545;top:1950;width:75;height:15" coordorigin="6546,1950" coordsize="75,15" path="m6613,1950l6553,1950,6546,1957,6553,1964,6613,1964,6620,1957,6613,1950xe" filled="true" fillcolor="#000000" stroked="false">
              <v:path arrowok="t"/>
              <v:fill type="solid"/>
            </v:shape>
            <v:shape style="position:absolute;left:6648;top:1950;width:29;height:15" coordorigin="6649,1950" coordsize="29,15" path="m6670,1950l6649,1950,6649,1964,6670,1964,6678,1957,6670,1950xe" filled="true" fillcolor="#000000" stroked="false">
              <v:path arrowok="t"/>
              <v:fill type="solid"/>
            </v:shape>
            <v:shape style="position:absolute;left:7448;top:1369;width:442;height:2220" coordorigin="7448,1369" coordsize="442,2220" path="m7448,1369l7491,1376,7534,1384,7599,1420,7628,1448,7650,1477,7664,1549,7664,2291,7678,2363,7731,2420,7803,2464,7890,2478,7803,2492,7731,2531,7702,2560,7678,2588,7664,2660,7664,3400,7657,3438,7628,3510,7534,3575,7491,3589,7448,3589e" filled="false" stroked="true" strokeweight=".726pt" strokecolor="#000000">
              <v:path arrowok="t"/>
              <v:stroke dashstyle="solid"/>
            </v:shape>
            <v:rect style="position:absolute;left:2400;top:322;width:7128;height:4606" filled="false" stroked="true" strokeweight=".726pt" strokecolor="#000000">
              <v:stroke dashstyle="solid"/>
            </v:rect>
            <v:shape style="position:absolute;left:3627;top:3109;width:15;height:75" coordorigin="3627,3109" coordsize="15,75" path="m3634,3109l3627,3116,3627,3176,3634,3184,3642,3184,3642,3116,3634,3109xe" filled="true" fillcolor="#000000" stroked="false">
              <v:path arrowok="t"/>
              <v:fill type="solid"/>
            </v:shape>
            <v:shape style="position:absolute;left:3627;top:3212;width:15;height:29" coordorigin="3627,3212" coordsize="15,29" path="m3642,3212l3634,3212,3627,3220,3627,3234,3634,3241,3642,3241,3642,3212xe" filled="true" fillcolor="#000000" stroked="false">
              <v:path arrowok="t"/>
              <v:fill type="solid"/>
            </v:shape>
            <v:shape style="position:absolute;left:3627;top:3270;width:15;height:72" coordorigin="3627,3270" coordsize="15,72" path="m3642,3270l3634,3270,3627,3277,3627,3335,3634,3342,3642,3342,3642,3270xe" filled="true" fillcolor="#000000" stroked="false">
              <v:path arrowok="t"/>
              <v:fill type="solid"/>
            </v:shape>
            <v:shape style="position:absolute;left:3627;top:3370;width:15;height:29" coordorigin="3627,3371" coordsize="15,29" path="m3642,3371l3634,3371,3627,3378,3627,3392,3634,3400,3642,3400,3642,3371xe" filled="true" fillcolor="#000000" stroked="false">
              <v:path arrowok="t"/>
              <v:fill type="solid"/>
            </v:shape>
            <v:shape style="position:absolute;left:3627;top:3428;width:15;height:75" coordorigin="3627,3428" coordsize="15,75" path="m3642,3428l3634,3428,3627,3438,3627,3496,3634,3503,3642,3503,3642,3428xe" filled="true" fillcolor="#000000" stroked="false">
              <v:path arrowok="t"/>
              <v:fill type="solid"/>
            </v:shape>
            <v:shape style="position:absolute;left:3627;top:3531;width:15;height:29" coordorigin="3627,3532" coordsize="15,29" path="m3642,3532l3634,3532,3627,3539,3627,3553,3634,3560,3642,3560,3642,3532xe" filled="true" fillcolor="#000000" stroked="false">
              <v:path arrowok="t"/>
              <v:fill type="solid"/>
            </v:shape>
            <v:shape style="position:absolute;left:3627;top:3589;width:15;height:72" coordorigin="3627,3589" coordsize="15,72" path="m3642,3589l3634,3589,3627,3596,3627,3654,3634,3661,3642,3661,3642,3589xe" filled="true" fillcolor="#000000" stroked="false">
              <v:path arrowok="t"/>
              <v:fill type="solid"/>
            </v:shape>
            <v:shape style="position:absolute;left:3627;top:3690;width:15;height:29" coordorigin="3627,3690" coordsize="15,29" path="m3642,3690l3634,3690,3627,3697,3627,3712,3634,3719,3642,3719,3642,3690xe" filled="true" fillcolor="#000000" stroked="false">
              <v:path arrowok="t"/>
              <v:fill type="solid"/>
            </v:shape>
            <v:shape style="position:absolute;left:3627;top:3750;width:15;height:72" coordorigin="3627,3750" coordsize="15,72" path="m3642,3750l3634,3750,3627,3757,3627,3815,3634,3822,3642,3822,3642,3750xe" filled="true" fillcolor="#000000" stroked="false">
              <v:path arrowok="t"/>
              <v:fill type="solid"/>
            </v:shape>
            <v:shape style="position:absolute;left:3627;top:3850;width:15;height:29" coordorigin="3627,3851" coordsize="15,29" path="m3642,3851l3634,3851,3627,3858,3627,3872,3634,3880,3642,3880,3642,3851xe" filled="true" fillcolor="#000000" stroked="false">
              <v:path arrowok="t"/>
              <v:fill type="solid"/>
            </v:shape>
            <v:shape style="position:absolute;left:3627;top:3908;width:15;height:72" coordorigin="3627,3908" coordsize="15,72" path="m3642,3908l3634,3908,3627,3916,3627,3973,3634,3980,3642,3980,3642,3908xe" filled="true" fillcolor="#000000" stroked="false">
              <v:path arrowok="t"/>
              <v:fill type="solid"/>
            </v:shape>
            <v:shape style="position:absolute;left:3627;top:4009;width:15;height:29" coordorigin="3627,4009" coordsize="15,29" path="m3642,4009l3634,4009,3627,4016,3627,4031,3634,4038,3642,4038,3642,4009xe" filled="true" fillcolor="#000000" stroked="false">
              <v:path arrowok="t"/>
              <v:fill type="solid"/>
            </v:shape>
            <v:shape style="position:absolute;left:3627;top:4069;width:15;height:72" coordorigin="3627,4069" coordsize="15,72" path="m3642,4069l3634,4069,3627,4076,3627,4134,3634,4141,3642,4141,3642,4069xe" filled="true" fillcolor="#000000" stroked="false">
              <v:path arrowok="t"/>
              <v:fill type="solid"/>
            </v:shape>
            <v:shape style="position:absolute;left:3627;top:4170;width:15;height:29" coordorigin="3627,4170" coordsize="15,29" path="m3642,4170l3634,4170,3627,4177,3627,4192,3634,4199,3642,4199,3642,4170xe" filled="true" fillcolor="#000000" stroked="false">
              <v:path arrowok="t"/>
              <v:fill type="solid"/>
            </v:shape>
            <v:shape style="position:absolute;left:8014;top:2178;width:1112;height:584" type="#_x0000_t202" filled="false" stroked="false">
              <v:textbox inset="0,0,0,0">
                <w:txbxContent>
                  <w:p>
                    <w:pPr>
                      <w:spacing w:line="259" w:lineRule="auto" w:before="0"/>
                      <w:ind w:left="0" w:right="-9" w:firstLine="0"/>
                      <w:jc w:val="left"/>
                      <w:rPr>
                        <w:sz w:val="16"/>
                      </w:rPr>
                    </w:pPr>
                    <w:r>
                      <w:rPr>
                        <w:w w:val="105"/>
                        <w:sz w:val="16"/>
                      </w:rPr>
                      <w:t>Difference between the two means</w:t>
                    </w:r>
                  </w:p>
                </w:txbxContent>
              </v:textbox>
              <w10:wrap type="none"/>
            </v:shape>
            <v:shape style="position:absolute;left:6677;top:2475;width:459;height:185" type="#_x0000_t202" filled="false" stroked="false">
              <v:textbox inset="0,0,0,0">
                <w:txbxContent>
                  <w:p>
                    <w:pPr>
                      <w:spacing w:line="183" w:lineRule="exact" w:before="0"/>
                      <w:ind w:left="0" w:right="0" w:firstLine="0"/>
                      <w:jc w:val="left"/>
                      <w:rPr>
                        <w:sz w:val="16"/>
                      </w:rPr>
                    </w:pPr>
                    <w:r>
                      <w:rPr>
                        <w:w w:val="105"/>
                        <w:sz w:val="16"/>
                      </w:rPr>
                      <w:t>RME2</w:t>
                    </w:r>
                  </w:p>
                </w:txbxContent>
              </v:textbox>
              <w10:wrap type="none"/>
            </v:shape>
            <v:shape style="position:absolute;left:5043;top:2329;width:459;height:185" type="#_x0000_t202" filled="false" stroked="false">
              <v:textbox inset="0,0,0,0">
                <w:txbxContent>
                  <w:p>
                    <w:pPr>
                      <w:spacing w:line="183" w:lineRule="exact" w:before="0"/>
                      <w:ind w:left="0" w:right="0" w:firstLine="0"/>
                      <w:jc w:val="left"/>
                      <w:rPr>
                        <w:sz w:val="16"/>
                      </w:rPr>
                    </w:pPr>
                    <w:r>
                      <w:rPr>
                        <w:w w:val="105"/>
                        <w:sz w:val="16"/>
                      </w:rPr>
                      <w:t>RME1</w:t>
                    </w:r>
                  </w:p>
                </w:txbxContent>
              </v:textbox>
              <w10:wrap type="none"/>
            </v:shape>
            <v:shape style="position:absolute;left:6305;top:4054;width:1234;height:360" type="#_x0000_t202" filled="false" stroked="true" strokeweight=".75pt" strokecolor="#010101">
              <v:textbox inset="0,0,0,0">
                <w:txbxContent>
                  <w:p>
                    <w:pPr>
                      <w:spacing w:before="65"/>
                      <w:ind w:left="323" w:right="0" w:firstLine="0"/>
                      <w:jc w:val="left"/>
                      <w:rPr>
                        <w:sz w:val="20"/>
                      </w:rPr>
                    </w:pPr>
                    <w:r>
                      <w:rPr>
                        <w:sz w:val="20"/>
                      </w:rPr>
                      <w:t>Time 2</w:t>
                    </w:r>
                  </w:p>
                </w:txbxContent>
              </v:textbox>
              <v:stroke dashstyle="solid"/>
              <w10:wrap type="none"/>
            </v:shape>
            <v:shape style="position:absolute;left:2866;top:2242;width:1073;height:363" type="#_x0000_t202" filled="false" stroked="true" strokeweight=".75pt" strokecolor="#010101">
              <v:textbox inset="0,0,0,0">
                <w:txbxContent>
                  <w:p>
                    <w:pPr>
                      <w:spacing w:before="67"/>
                      <w:ind w:left="242" w:right="0" w:firstLine="0"/>
                      <w:jc w:val="left"/>
                      <w:rPr>
                        <w:sz w:val="20"/>
                      </w:rPr>
                    </w:pPr>
                    <w:r>
                      <w:rPr>
                        <w:sz w:val="20"/>
                      </w:rPr>
                      <w:t>Time 1</w:t>
                    </w:r>
                  </w:p>
                </w:txbxContent>
              </v:textbox>
              <v:stroke dashstyle="solid"/>
              <w10:wrap type="none"/>
            </v:shape>
            <w10:wrap type="topAndBottom"/>
          </v:group>
        </w:pict>
      </w:r>
    </w:p>
    <w:p>
      <w:pPr>
        <w:pStyle w:val="BodyText"/>
        <w:rPr>
          <w:b/>
          <w:sz w:val="7"/>
        </w:rPr>
      </w:pPr>
    </w:p>
    <w:p>
      <w:pPr>
        <w:pStyle w:val="BodyText"/>
        <w:spacing w:before="91"/>
        <w:ind w:left="179" w:right="1406"/>
        <w:jc w:val="both"/>
      </w:pPr>
      <w:r>
        <w:rPr/>
        <w:t>Both sampling intensity (i.e., number of soil samples) and frequency of sampling must be taken into consideration when attempting to estimate changes in soil carbon over time. The minimum estimated change in soil carbon stocks between two means at a given level of confidence can be expressed as a percentage of the absolute difference between the means. A targeted estimate ( e.g., 80% of the absolute difference between the means), or alternatively, a targeted magnitude of change in soil carbon (not to exceed the absolute difference between the means), can be achieved by adjusting sampling intensity, sampling frequency, or a combination of both (Figure 4.3.3).</w:t>
      </w:r>
    </w:p>
    <w:p>
      <w:pPr>
        <w:pStyle w:val="BodyText"/>
        <w:spacing w:before="121"/>
        <w:ind w:left="179" w:right="1403"/>
        <w:jc w:val="both"/>
      </w:pPr>
      <w:r>
        <w:rPr/>
        <w:t>In general, increasing the number of soil samples reduces the standard error around means separated in time, and better distinguishes the change that takes place (Figure 4.3.3). As high levels of variability in carbon among sample units are typical of soils (coefficient of variation of ~ 30%), high sampling intensity is generally needed to discern change. The resolution of change detection also depends on the magnitude of the change itself, and as this is time-dependent, it is appropriate to consider frequency of sampling. Increasing the time interval between sampling events is expected to increase the magnitude of the change that takes place, assuming the variance around the means stays the same. Thus, the percentage and magnitude of the absolute change estimated also increases (Figure 4.3.3). This is an important consideration, in that small changes expected with short sampling intervals may be undetectable, even with high sampling intensity. By assuming a rate of soil carbon accumulation, sampling intervals can be designed to achieve a targeted estimate of the minimum change in soil carbon. It is </w:t>
      </w:r>
      <w:r>
        <w:rPr>
          <w:i/>
        </w:rPr>
        <w:t>good practice </w:t>
      </w:r>
      <w:r>
        <w:rPr/>
        <w:t>to estimate the number of plots and sampling interval needed based on the variability in carbon stocks and an assumed rate of carbon accumulation. For the details on how to estimate sample size for soil sampling, refer to the RME method as described in MacDicken (1997), or by adapting the Minimum Detectable Difference calculation (Zar, 1996) to solve for sample size for a targeted difference in</w:t>
      </w:r>
      <w:r>
        <w:rPr>
          <w:spacing w:val="-21"/>
        </w:rPr>
        <w:t> </w:t>
      </w:r>
      <w:r>
        <w:rPr/>
        <w:t>means.</w:t>
      </w:r>
    </w:p>
    <w:p>
      <w:pPr>
        <w:spacing w:after="0"/>
        <w:jc w:val="both"/>
        <w:sectPr>
          <w:pgSz w:w="11900" w:h="16840"/>
          <w:pgMar w:header="230" w:footer="408" w:top="560" w:bottom="600" w:left="1240" w:right="0"/>
        </w:sectPr>
      </w:pPr>
    </w:p>
    <w:p>
      <w:pPr>
        <w:pStyle w:val="BodyText"/>
      </w:pPr>
    </w:p>
    <w:p>
      <w:pPr>
        <w:pStyle w:val="BodyText"/>
        <w:rPr>
          <w:sz w:val="19"/>
        </w:rPr>
      </w:pPr>
    </w:p>
    <w:p>
      <w:pPr>
        <w:spacing w:before="91"/>
        <w:ind w:left="179" w:right="0" w:firstLine="0"/>
        <w:jc w:val="left"/>
        <w:rPr>
          <w:b/>
          <w:sz w:val="20"/>
        </w:rPr>
      </w:pPr>
      <w:r>
        <w:rPr>
          <w:b/>
          <w:spacing w:val="8"/>
          <w:sz w:val="20"/>
        </w:rPr>
        <w:t>Figure</w:t>
      </w:r>
      <w:r>
        <w:rPr>
          <w:b/>
          <w:spacing w:val="20"/>
          <w:sz w:val="20"/>
        </w:rPr>
        <w:t> </w:t>
      </w:r>
      <w:r>
        <w:rPr>
          <w:b/>
          <w:spacing w:val="8"/>
          <w:sz w:val="20"/>
        </w:rPr>
        <w:t>4.3.3 </w:t>
      </w:r>
      <w:r>
        <w:rPr>
          <w:b/>
          <w:spacing w:val="22"/>
          <w:sz w:val="20"/>
        </w:rPr>
        <w:t> </w:t>
      </w:r>
      <w:r>
        <w:rPr>
          <w:b/>
          <w:spacing w:val="4"/>
          <w:sz w:val="20"/>
        </w:rPr>
        <w:t>An</w:t>
      </w:r>
      <w:r>
        <w:rPr>
          <w:b/>
          <w:spacing w:val="23"/>
          <w:sz w:val="20"/>
        </w:rPr>
        <w:t> </w:t>
      </w:r>
      <w:r>
        <w:rPr>
          <w:b/>
          <w:spacing w:val="8"/>
          <w:sz w:val="20"/>
        </w:rPr>
        <w:t>example</w:t>
      </w:r>
      <w:r>
        <w:rPr>
          <w:b/>
          <w:spacing w:val="22"/>
          <w:sz w:val="20"/>
        </w:rPr>
        <w:t> </w:t>
      </w:r>
      <w:r>
        <w:rPr>
          <w:b/>
          <w:spacing w:val="5"/>
          <w:sz w:val="20"/>
        </w:rPr>
        <w:t>of</w:t>
      </w:r>
      <w:r>
        <w:rPr>
          <w:b/>
          <w:spacing w:val="20"/>
          <w:sz w:val="20"/>
        </w:rPr>
        <w:t> </w:t>
      </w:r>
      <w:r>
        <w:rPr>
          <w:b/>
          <w:spacing w:val="6"/>
          <w:sz w:val="20"/>
        </w:rPr>
        <w:t>how</w:t>
      </w:r>
      <w:r>
        <w:rPr>
          <w:b/>
          <w:spacing w:val="23"/>
          <w:sz w:val="20"/>
        </w:rPr>
        <w:t> </w:t>
      </w:r>
      <w:r>
        <w:rPr>
          <w:b/>
          <w:spacing w:val="6"/>
          <w:sz w:val="20"/>
        </w:rPr>
        <w:t>the</w:t>
      </w:r>
      <w:r>
        <w:rPr>
          <w:b/>
          <w:spacing w:val="20"/>
          <w:sz w:val="20"/>
        </w:rPr>
        <w:t> </w:t>
      </w:r>
      <w:r>
        <w:rPr>
          <w:b/>
          <w:spacing w:val="8"/>
          <w:sz w:val="20"/>
        </w:rPr>
        <w:t>percent</w:t>
      </w:r>
      <w:r>
        <w:rPr>
          <w:b/>
          <w:spacing w:val="19"/>
          <w:sz w:val="20"/>
        </w:rPr>
        <w:t> </w:t>
      </w:r>
      <w:r>
        <w:rPr>
          <w:b/>
          <w:spacing w:val="8"/>
          <w:sz w:val="20"/>
        </w:rPr>
        <w:t>absolute</w:t>
      </w:r>
      <w:r>
        <w:rPr>
          <w:b/>
          <w:spacing w:val="21"/>
          <w:sz w:val="20"/>
        </w:rPr>
        <w:t> </w:t>
      </w:r>
      <w:r>
        <w:rPr>
          <w:b/>
          <w:spacing w:val="8"/>
          <w:sz w:val="20"/>
        </w:rPr>
        <w:t>change</w:t>
      </w:r>
      <w:r>
        <w:rPr>
          <w:b/>
          <w:spacing w:val="20"/>
          <w:sz w:val="20"/>
        </w:rPr>
        <w:t> </w:t>
      </w:r>
      <w:r>
        <w:rPr>
          <w:b/>
          <w:spacing w:val="5"/>
          <w:sz w:val="20"/>
        </w:rPr>
        <w:t>in</w:t>
      </w:r>
      <w:r>
        <w:rPr>
          <w:b/>
          <w:spacing w:val="24"/>
          <w:sz w:val="20"/>
        </w:rPr>
        <w:t> </w:t>
      </w:r>
      <w:r>
        <w:rPr>
          <w:b/>
          <w:spacing w:val="6"/>
          <w:sz w:val="20"/>
        </w:rPr>
        <w:t>mean</w:t>
      </w:r>
      <w:r>
        <w:rPr>
          <w:b/>
          <w:spacing w:val="22"/>
          <w:sz w:val="20"/>
        </w:rPr>
        <w:t> </w:t>
      </w:r>
      <w:r>
        <w:rPr>
          <w:b/>
          <w:spacing w:val="7"/>
          <w:sz w:val="20"/>
        </w:rPr>
        <w:t>soil</w:t>
      </w:r>
      <w:r>
        <w:rPr>
          <w:b/>
          <w:spacing w:val="21"/>
          <w:sz w:val="20"/>
        </w:rPr>
        <w:t> </w:t>
      </w:r>
      <w:r>
        <w:rPr>
          <w:b/>
          <w:spacing w:val="8"/>
          <w:sz w:val="20"/>
        </w:rPr>
        <w:t>carbon</w:t>
      </w:r>
      <w:r>
        <w:rPr>
          <w:b/>
          <w:spacing w:val="20"/>
          <w:sz w:val="20"/>
        </w:rPr>
        <w:t> </w:t>
      </w:r>
      <w:r>
        <w:rPr>
          <w:b/>
          <w:spacing w:val="8"/>
          <w:sz w:val="20"/>
        </w:rPr>
        <w:t>(with</w:t>
      </w:r>
      <w:r>
        <w:rPr>
          <w:b/>
          <w:spacing w:val="20"/>
          <w:sz w:val="20"/>
        </w:rPr>
        <w:t> </w:t>
      </w:r>
      <w:r>
        <w:rPr>
          <w:b/>
          <w:spacing w:val="10"/>
          <w:sz w:val="20"/>
        </w:rPr>
        <w:t>95%</w:t>
      </w:r>
    </w:p>
    <w:p>
      <w:pPr>
        <w:spacing w:before="1"/>
        <w:ind w:left="1439" w:right="1407" w:firstLine="0"/>
        <w:jc w:val="left"/>
        <w:rPr>
          <w:b/>
          <w:sz w:val="20"/>
        </w:rPr>
      </w:pPr>
      <w:r>
        <w:rPr>
          <w:b/>
          <w:spacing w:val="9"/>
          <w:sz w:val="20"/>
        </w:rPr>
        <w:t>confidence) </w:t>
      </w:r>
      <w:r>
        <w:rPr>
          <w:b/>
          <w:spacing w:val="6"/>
          <w:sz w:val="20"/>
        </w:rPr>
        <w:t>for </w:t>
      </w:r>
      <w:r>
        <w:rPr>
          <w:b/>
          <w:spacing w:val="5"/>
          <w:sz w:val="20"/>
        </w:rPr>
        <w:t>an </w:t>
      </w:r>
      <w:r>
        <w:rPr>
          <w:b/>
          <w:spacing w:val="9"/>
          <w:sz w:val="20"/>
        </w:rPr>
        <w:t>afforestation </w:t>
      </w:r>
      <w:r>
        <w:rPr>
          <w:b/>
          <w:spacing w:val="8"/>
          <w:sz w:val="20"/>
        </w:rPr>
        <w:t>project varies </w:t>
      </w:r>
      <w:r>
        <w:rPr>
          <w:b/>
          <w:spacing w:val="5"/>
          <w:sz w:val="20"/>
        </w:rPr>
        <w:t>in </w:t>
      </w:r>
      <w:r>
        <w:rPr>
          <w:b/>
          <w:spacing w:val="9"/>
          <w:sz w:val="20"/>
        </w:rPr>
        <w:t>relation </w:t>
      </w:r>
      <w:r>
        <w:rPr>
          <w:b/>
          <w:spacing w:val="5"/>
          <w:sz w:val="20"/>
        </w:rPr>
        <w:t>to </w:t>
      </w:r>
      <w:r>
        <w:rPr>
          <w:b/>
          <w:spacing w:val="6"/>
          <w:sz w:val="20"/>
        </w:rPr>
        <w:t>the </w:t>
      </w:r>
      <w:r>
        <w:rPr>
          <w:b/>
          <w:spacing w:val="8"/>
          <w:sz w:val="20"/>
        </w:rPr>
        <w:t>sampling </w:t>
      </w:r>
      <w:r>
        <w:rPr>
          <w:b/>
          <w:spacing w:val="10"/>
          <w:sz w:val="20"/>
        </w:rPr>
        <w:t>interval </w:t>
      </w:r>
      <w:r>
        <w:rPr>
          <w:b/>
          <w:spacing w:val="6"/>
          <w:sz w:val="20"/>
        </w:rPr>
        <w:t>and</w:t>
      </w:r>
      <w:r>
        <w:rPr>
          <w:b/>
          <w:spacing w:val="18"/>
          <w:sz w:val="20"/>
        </w:rPr>
        <w:t> </w:t>
      </w:r>
      <w:r>
        <w:rPr>
          <w:b/>
          <w:spacing w:val="8"/>
          <w:sz w:val="20"/>
        </w:rPr>
        <w:t>sample</w:t>
      </w:r>
      <w:r>
        <w:rPr>
          <w:b/>
          <w:spacing w:val="20"/>
          <w:sz w:val="20"/>
        </w:rPr>
        <w:t> </w:t>
      </w:r>
      <w:r>
        <w:rPr>
          <w:b/>
          <w:spacing w:val="7"/>
          <w:sz w:val="20"/>
        </w:rPr>
        <w:t>size</w:t>
      </w:r>
      <w:r>
        <w:rPr>
          <w:b/>
          <w:spacing w:val="20"/>
          <w:sz w:val="20"/>
        </w:rPr>
        <w:t> </w:t>
      </w:r>
      <w:r>
        <w:rPr>
          <w:b/>
          <w:spacing w:val="7"/>
          <w:sz w:val="20"/>
        </w:rPr>
        <w:t>(n),</w:t>
      </w:r>
      <w:r>
        <w:rPr>
          <w:b/>
          <w:spacing w:val="20"/>
          <w:sz w:val="20"/>
        </w:rPr>
        <w:t> </w:t>
      </w:r>
      <w:r>
        <w:rPr>
          <w:b/>
          <w:spacing w:val="8"/>
          <w:sz w:val="20"/>
        </w:rPr>
        <w:t>assuming</w:t>
      </w:r>
      <w:r>
        <w:rPr>
          <w:b/>
          <w:spacing w:val="20"/>
          <w:sz w:val="20"/>
        </w:rPr>
        <w:t> </w:t>
      </w:r>
      <w:r>
        <w:rPr>
          <w:b/>
          <w:spacing w:val="9"/>
          <w:sz w:val="20"/>
        </w:rPr>
        <w:t>constant</w:t>
      </w:r>
      <w:r>
        <w:rPr>
          <w:b/>
          <w:spacing w:val="20"/>
          <w:sz w:val="20"/>
        </w:rPr>
        <w:t> </w:t>
      </w:r>
      <w:r>
        <w:rPr>
          <w:b/>
          <w:spacing w:val="9"/>
          <w:sz w:val="20"/>
        </w:rPr>
        <w:t>coefficient</w:t>
      </w:r>
      <w:r>
        <w:rPr>
          <w:b/>
          <w:spacing w:val="22"/>
          <w:sz w:val="20"/>
        </w:rPr>
        <w:t> </w:t>
      </w:r>
      <w:r>
        <w:rPr>
          <w:b/>
          <w:spacing w:val="5"/>
          <w:sz w:val="20"/>
        </w:rPr>
        <w:t>of</w:t>
      </w:r>
      <w:r>
        <w:rPr>
          <w:b/>
          <w:spacing w:val="20"/>
          <w:sz w:val="20"/>
        </w:rPr>
        <w:t> </w:t>
      </w:r>
      <w:r>
        <w:rPr>
          <w:b/>
          <w:spacing w:val="8"/>
          <w:sz w:val="20"/>
        </w:rPr>
        <w:t>variation</w:t>
      </w:r>
      <w:r>
        <w:rPr>
          <w:b/>
          <w:spacing w:val="19"/>
          <w:sz w:val="20"/>
        </w:rPr>
        <w:t> </w:t>
      </w:r>
      <w:r>
        <w:rPr>
          <w:b/>
          <w:spacing w:val="8"/>
          <w:sz w:val="20"/>
        </w:rPr>
        <w:t>(30%),</w:t>
      </w:r>
      <w:r>
        <w:rPr>
          <w:b/>
          <w:spacing w:val="20"/>
          <w:sz w:val="20"/>
        </w:rPr>
        <w:t> </w:t>
      </w:r>
      <w:r>
        <w:rPr>
          <w:b/>
          <w:spacing w:val="8"/>
          <w:sz w:val="20"/>
        </w:rPr>
        <w:t>constant</w:t>
      </w:r>
    </w:p>
    <w:p>
      <w:pPr>
        <w:spacing w:line="242" w:lineRule="auto" w:before="0"/>
        <w:ind w:left="1439" w:right="1597" w:firstLine="0"/>
        <w:jc w:val="left"/>
        <w:rPr>
          <w:b/>
          <w:sz w:val="20"/>
        </w:rPr>
      </w:pPr>
      <w:r>
        <w:rPr/>
        <w:pict>
          <v:group style="position:absolute;margin-left:94.181pt;margin-top:37.836262pt;width:405.5pt;height:275.4pt;mso-position-horizontal-relative:page;mso-position-vertical-relative:paragraph;z-index:22336" coordorigin="1884,757" coordsize="8110,5508">
            <v:shape style="position:absolute;left:1884;top:757;width:8108;height:5506" coordorigin="1885,758" coordsize="8108,5506" path="m1885,6264l9992,6264,9992,758,1885,758,1885,6264xm3046,3840l8197,3840m3046,2467l8197,2467m3046,1094l8197,1094e" filled="false" stroked="true" strokeweight=".12pt" strokecolor="#000000">
              <v:path arrowok="t"/>
              <v:stroke dashstyle="solid"/>
            </v:shape>
            <v:rect style="position:absolute;left:3046;top:1093;width:5151;height:4119" filled="false" stroked="true" strokeweight=".807pt" strokecolor="#7f7f7f">
              <v:stroke dashstyle="solid"/>
            </v:rect>
            <v:line style="position:absolute" from="3046,1094" to="3046,5277" stroked="true" strokeweight=".12pt" strokecolor="#000000">
              <v:stroke dashstyle="solid"/>
            </v:line>
            <v:shape style="position:absolute;left:2981;top:1093;width:5216;height:4184" coordorigin="2982,1094" coordsize="5216,4184" path="m2982,5212l3046,5212m2982,3840l3046,3840m2982,2467l3046,2467m2982,1094l3046,1094m3046,5212l8197,5212m3901,5277l3901,5212m4758,5277l4758,5212e" filled="false" stroked="true" strokeweight=".12pt" strokecolor="#000000">
              <v:path arrowok="t"/>
              <v:stroke dashstyle="solid"/>
            </v:shape>
            <v:shape style="position:absolute;left:5307;top:1441;width:2949;height:3837" type="#_x0000_t75" stroked="false">
              <v:imagedata r:id="rId332" o:title=""/>
            </v:shape>
            <v:shape style="position:absolute;left:7342;top:5212;width:855;height:65" coordorigin="7342,5212" coordsize="855,65" path="m7342,5277l7342,5212m8197,5277l8197,5212e" filled="false" stroked="true" strokeweight=".12pt" strokecolor="#000000">
              <v:path arrowok="t"/>
              <v:stroke dashstyle="solid"/>
            </v:shape>
            <v:rect style="position:absolute;left:5403;top:4938;width:17;height:32" filled="true" fillcolor="#4b4b4b" stroked="false">
              <v:fill type="solid"/>
            </v:rect>
            <v:shape style="position:absolute;left:8585;top:1981;width:615;height:82" coordorigin="8586,1982" coordsize="615,82" path="m8617,2016l8586,2032,8586,2047,8617,2032,8617,2016m8715,2016l8682,2032,8682,2047,8715,2032,8715,2016m8811,2016l8780,2032,8780,2047,8811,2032,8811,2016m8941,2023l8937,2007,8929,1994,8916,1985,8900,1982,8885,1985,8872,1994,8863,2007,8859,2023,8863,2039,8872,2052,8885,2061,8900,2064,8916,2061,8929,2052,8937,2039,8941,2023m9006,2016l8972,2032,8972,2047,9006,2032,9006,2016m9102,2016l9070,2032,9070,2047,9102,2032,9102,2016m9200,2016l9166,2032,9166,2047,9200,2032,9200,2016e" filled="true" fillcolor="#4b4b4b" stroked="false">
              <v:path arrowok="t"/>
              <v:fill type="solid"/>
            </v:shape>
            <v:shape style="position:absolute;left:8859;top:1981;width:82;height:82" coordorigin="8859,1982" coordsize="82,82" path="m8941,2023l8937,2007,8929,1994,8916,1985,8900,1982,8885,1985,8872,1994,8863,2007,8859,2023,8863,2039,8872,2052,8885,2061,8900,2064,8916,2061,8929,2052,8937,2039,8941,2023xe" filled="false" stroked="true" strokeweight=".807pt" strokecolor="#4b4b4b">
              <v:path arrowok="t"/>
              <v:stroke dashstyle="solid"/>
            </v:shape>
            <v:shape style="position:absolute;left:8585;top:2322;width:615;height:80" coordorigin="8586,2323" coordsize="615,80" path="m8617,2354l8586,2371,8586,2388,8617,2371,8617,2354m8715,2354l8682,2371,8682,2388,8715,2371,8715,2354m8811,2354l8780,2371,8780,2388,8811,2371,8811,2354m8941,2323l8859,2323,8859,2402,8941,2402,8941,2323m9006,2354l8972,2371,8972,2388,9006,2371,9006,2354m9102,2354l9070,2371,9070,2388,9102,2371,9102,2354m9200,2354l9166,2371,9166,2388,9200,2371,9200,2354e" filled="true" fillcolor="#888888" stroked="false">
              <v:path arrowok="t"/>
              <v:fill type="solid"/>
            </v:shape>
            <v:shape style="position:absolute;left:8585;top:2661;width:615;height:96" coordorigin="8586,2661" coordsize="615,96" path="m8617,2692l8586,2709,8586,2726,8617,2709,8617,2692m8715,2692l8682,2709,8682,2726,8715,2709,8715,2692m8811,2692l8780,2709,8780,2726,8811,2709,8811,2692m8958,2757l8907,2661,8886,2704,8876,2709,8876,2724,8859,2757,8958,2757m9006,2692l8972,2709,8972,2726,9006,2709,9006,2692m9102,2692l9070,2709,9070,2726,9102,2709,9102,2692m9200,2692l9166,2709,9166,2726,9200,2709,9200,2692e" filled="true" fillcolor="#a6a6a6" stroked="false">
              <v:path arrowok="t"/>
              <v:fill type="solid"/>
            </v:shape>
            <v:shape style="position:absolute;left:8859;top:2661;width:99;height:96" coordorigin="8859,2661" coordsize="99,96" path="m8907,2661l8958,2757,8859,2757,8907,2661xe" filled="false" stroked="true" strokeweight=".807pt" strokecolor="#a6a6a6">
              <v:path arrowok="t"/>
              <v:stroke dashstyle="solid"/>
            </v:shape>
            <v:shape style="position:absolute;left:8585;top:2999;width:615;height:99" coordorigin="8586,3000" coordsize="615,99" path="m8617,3033l8586,3048,8586,3064,8617,3048,8617,3033m8715,3033l8682,3048,8682,3064,8715,3048,8715,3033m8811,3033l8780,3048,8780,3064,8811,3048,8811,3033m8958,3048l8907,3000,8859,3048,8907,3098,8958,3048m9006,3033l8972,3048,8972,3064,9006,3048,9006,3033m9102,3033l9070,3048,9070,3064,9102,3048,9102,3033m9200,3033l9166,3048,9166,3064,9200,3048,9200,3033e" filled="true" fillcolor="#4a4a4a" stroked="false">
              <v:path arrowok="t"/>
              <v:fill type="solid"/>
            </v:shape>
            <v:shape style="position:absolute;left:8859;top:2999;width:99;height:99" coordorigin="8859,3000" coordsize="99,99" path="m8907,3000l8958,3048,8907,3098,8859,3048,8907,3000xe" filled="false" stroked="true" strokeweight=".807pt" strokecolor="#4a4a4a">
              <v:path arrowok="t"/>
              <v:stroke dashstyle="solid"/>
            </v:shape>
            <v:shape style="position:absolute;left:8585;top:3340;width:615;height:80" coordorigin="8586,3340" coordsize="615,80" path="m8617,3372l8586,3388,8586,3403,8617,3388,8617,3372m8715,3372l8682,3388,8682,3403,8715,3388,8715,3372m8811,3372l8780,3388,8780,3403,8811,3388,8811,3372m8941,3340l8859,3340,8859,3420,8941,3420,8941,3340m9006,3372l8972,3388,8972,3403,9006,3388,9006,3372m9102,3372l9070,3388,9070,3403,9102,3388,9102,3372m9200,3372l9166,3388,9166,3403,9200,3388,9200,3372e" filled="true" fillcolor="#a6a6a6" stroked="false">
              <v:path arrowok="t"/>
              <v:fill type="solid"/>
            </v:shape>
            <v:shape style="position:absolute;left:8585;top:3678;width:615;height:80" coordorigin="8586,3679" coordsize="615,80" path="m8617,3710l8586,3727,8586,3744,8617,3727,8617,3710m8715,3710l8682,3727,8682,3744,8715,3727,8715,3710m8811,3710l8780,3727,8780,3744,8811,3727,8811,3710m8941,3720l8937,3703,8929,3690,8916,3682,8900,3679,8885,3682,8872,3690,8863,3703,8859,3720,8863,3735,8872,3747,8885,3755,8900,3758,8916,3755,8929,3747,8937,3735,8941,3720m9006,3710l8972,3727,8972,3744,9006,3727,9006,3710m9102,3710l9070,3727,9070,3744,9102,3727,9102,3710m9200,3710l9166,3727,9166,3744,9200,3727,9200,3710e" filled="true" fillcolor="#1a1a1a" stroked="false">
              <v:path arrowok="t"/>
              <v:fill type="solid"/>
            </v:shape>
            <v:shape style="position:absolute;left:8859;top:3678;width:82;height:80" coordorigin="8859,3679" coordsize="82,80" path="m8941,3720l8937,3703,8929,3690,8916,3682,8900,3679,8885,3682,8872,3690,8863,3703,8859,3720,8863,3735,8872,3747,8885,3755,8900,3758,8916,3755,8929,3747,8937,3735,8941,3720xe" filled="false" stroked="true" strokeweight=".807pt" strokecolor="#1a1a1a">
              <v:path arrowok="t"/>
              <v:stroke dashstyle="solid"/>
            </v:shape>
            <v:rect style="position:absolute;left:1884;top:757;width:8108;height:5506" filled="false" stroked="true" strokeweight=".12pt" strokecolor="#000000">
              <v:stroke dashstyle="solid"/>
            </v:rect>
            <v:shape style="position:absolute;left:3387;top:5766;width:4472;height:235" type="#_x0000_t202" filled="false" stroked="false">
              <v:textbox inset="0,0,0,0">
                <w:txbxContent>
                  <w:p>
                    <w:pPr>
                      <w:spacing w:line="234" w:lineRule="exact" w:before="0"/>
                      <w:ind w:left="0" w:right="0" w:firstLine="0"/>
                      <w:jc w:val="left"/>
                      <w:rPr>
                        <w:rFonts w:ascii="Arial"/>
                        <w:b/>
                        <w:sz w:val="17"/>
                      </w:rPr>
                    </w:pPr>
                    <w:r>
                      <w:rPr>
                        <w:rFonts w:ascii="Arial"/>
                        <w:b/>
                        <w:w w:val="105"/>
                        <w:sz w:val="21"/>
                      </w:rPr>
                      <w:t>Sampling interval </w:t>
                    </w:r>
                    <w:r>
                      <w:rPr>
                        <w:rFonts w:ascii="Arial"/>
                        <w:b/>
                        <w:w w:val="105"/>
                        <w:sz w:val="17"/>
                      </w:rPr>
                      <w:t>(years since forest initiation)</w:t>
                    </w:r>
                  </w:p>
                </w:txbxContent>
              </v:textbox>
              <w10:wrap type="none"/>
            </v:shape>
            <v:shape style="position:absolute;left:8086;top:5387;width:246;height:235" type="#_x0000_t202" filled="false" stroked="false">
              <v:textbox inset="0,0,0,0">
                <w:txbxContent>
                  <w:p>
                    <w:pPr>
                      <w:spacing w:line="234" w:lineRule="exact" w:before="0"/>
                      <w:ind w:left="0" w:right="0" w:firstLine="0"/>
                      <w:jc w:val="left"/>
                      <w:rPr>
                        <w:rFonts w:ascii="Arial"/>
                        <w:sz w:val="21"/>
                      </w:rPr>
                    </w:pPr>
                    <w:r>
                      <w:rPr>
                        <w:rFonts w:ascii="Arial"/>
                        <w:sz w:val="21"/>
                      </w:rPr>
                      <w:t>30</w:t>
                    </w:r>
                  </w:p>
                </w:txbxContent>
              </v:textbox>
              <w10:wrap type="none"/>
            </v:shape>
            <v:shape style="position:absolute;left:7229;top:5387;width:246;height:235" type="#_x0000_t202" filled="false" stroked="false">
              <v:textbox inset="0,0,0,0">
                <w:txbxContent>
                  <w:p>
                    <w:pPr>
                      <w:spacing w:line="234" w:lineRule="exact" w:before="0"/>
                      <w:ind w:left="0" w:right="0" w:firstLine="0"/>
                      <w:jc w:val="left"/>
                      <w:rPr>
                        <w:rFonts w:ascii="Arial"/>
                        <w:sz w:val="21"/>
                      </w:rPr>
                    </w:pPr>
                    <w:r>
                      <w:rPr>
                        <w:rFonts w:ascii="Arial"/>
                        <w:sz w:val="21"/>
                      </w:rPr>
                      <w:t>25</w:t>
                    </w:r>
                  </w:p>
                </w:txbxContent>
              </v:textbox>
              <w10:wrap type="none"/>
            </v:shape>
            <v:shape style="position:absolute;left:6372;top:5387;width:252;height:235" type="#_x0000_t202" filled="false" stroked="false">
              <v:textbox inset="0,0,0,0">
                <w:txbxContent>
                  <w:p>
                    <w:pPr>
                      <w:spacing w:line="234" w:lineRule="exact" w:before="0"/>
                      <w:ind w:left="0" w:right="0" w:firstLine="0"/>
                      <w:jc w:val="left"/>
                      <w:rPr>
                        <w:rFonts w:ascii="Arial"/>
                        <w:sz w:val="21"/>
                      </w:rPr>
                    </w:pPr>
                    <w:r>
                      <w:rPr>
                        <w:rFonts w:ascii="Arial"/>
                        <w:sz w:val="21"/>
                      </w:rPr>
                      <w:t>20</w:t>
                    </w:r>
                  </w:p>
                </w:txbxContent>
              </v:textbox>
              <w10:wrap type="none"/>
            </v:shape>
            <v:shape style="position:absolute;left:5518;top:5387;width:246;height:235" type="#_x0000_t202" filled="false" stroked="false">
              <v:textbox inset="0,0,0,0">
                <w:txbxContent>
                  <w:p>
                    <w:pPr>
                      <w:spacing w:line="234" w:lineRule="exact" w:before="0"/>
                      <w:ind w:left="0" w:right="0" w:firstLine="0"/>
                      <w:jc w:val="left"/>
                      <w:rPr>
                        <w:rFonts w:ascii="Arial"/>
                        <w:sz w:val="21"/>
                      </w:rPr>
                    </w:pPr>
                    <w:r>
                      <w:rPr>
                        <w:rFonts w:ascii="Arial"/>
                        <w:sz w:val="21"/>
                      </w:rPr>
                      <w:t>15</w:t>
                    </w:r>
                  </w:p>
                </w:txbxContent>
              </v:textbox>
              <w10:wrap type="none"/>
            </v:shape>
            <v:shape style="position:absolute;left:4644;top:5387;width:252;height:235" type="#_x0000_t202" filled="false" stroked="false">
              <v:textbox inset="0,0,0,0">
                <w:txbxContent>
                  <w:p>
                    <w:pPr>
                      <w:spacing w:line="234" w:lineRule="exact" w:before="0"/>
                      <w:ind w:left="0" w:right="0" w:firstLine="0"/>
                      <w:jc w:val="left"/>
                      <w:rPr>
                        <w:rFonts w:ascii="Arial"/>
                        <w:sz w:val="21"/>
                      </w:rPr>
                    </w:pPr>
                    <w:r>
                      <w:rPr>
                        <w:rFonts w:ascii="Arial"/>
                        <w:sz w:val="21"/>
                      </w:rPr>
                      <w:t>10</w:t>
                    </w:r>
                  </w:p>
                </w:txbxContent>
              </v:textbox>
              <w10:wrap type="none"/>
            </v:shape>
            <v:shape style="position:absolute;left:3855;top:5387;width:137;height:235" type="#_x0000_t202" filled="false" stroked="false">
              <v:textbox inset="0,0,0,0">
                <w:txbxContent>
                  <w:p>
                    <w:pPr>
                      <w:spacing w:line="234" w:lineRule="exact" w:before="0"/>
                      <w:ind w:left="0" w:right="0" w:firstLine="0"/>
                      <w:jc w:val="left"/>
                      <w:rPr>
                        <w:rFonts w:ascii="Arial"/>
                        <w:sz w:val="21"/>
                      </w:rPr>
                    </w:pPr>
                    <w:r>
                      <w:rPr>
                        <w:rFonts w:ascii="Arial"/>
                        <w:w w:val="100"/>
                        <w:sz w:val="21"/>
                      </w:rPr>
                      <w:t>5</w:t>
                    </w:r>
                  </w:p>
                </w:txbxContent>
              </v:textbox>
              <w10:wrap type="none"/>
            </v:shape>
            <v:shape style="position:absolute;left:2998;top:5387;width:137;height:235" type="#_x0000_t202" filled="false" stroked="false">
              <v:textbox inset="0,0,0,0">
                <w:txbxContent>
                  <w:p>
                    <w:pPr>
                      <w:spacing w:line="234" w:lineRule="exact" w:before="0"/>
                      <w:ind w:left="0" w:right="0" w:firstLine="0"/>
                      <w:jc w:val="left"/>
                      <w:rPr>
                        <w:rFonts w:ascii="Arial"/>
                        <w:sz w:val="21"/>
                      </w:rPr>
                    </w:pPr>
                    <w:r>
                      <w:rPr>
                        <w:rFonts w:ascii="Arial"/>
                        <w:w w:val="100"/>
                        <w:sz w:val="21"/>
                      </w:rPr>
                      <w:t>0</w:t>
                    </w:r>
                  </w:p>
                </w:txbxContent>
              </v:textbox>
              <w10:wrap type="none"/>
            </v:shape>
            <v:shape style="position:absolute;left:2578;top:5082;width:316;height:235" type="#_x0000_t202" filled="false" stroked="false">
              <v:textbox inset="0,0,0,0">
                <w:txbxContent>
                  <w:p>
                    <w:pPr>
                      <w:spacing w:line="234" w:lineRule="exact" w:before="0"/>
                      <w:ind w:left="0" w:right="0" w:firstLine="0"/>
                      <w:jc w:val="left"/>
                      <w:rPr>
                        <w:rFonts w:ascii="Arial"/>
                        <w:sz w:val="21"/>
                      </w:rPr>
                    </w:pPr>
                    <w:r>
                      <w:rPr>
                        <w:rFonts w:ascii="Arial"/>
                        <w:sz w:val="21"/>
                      </w:rPr>
                      <w:t>0%</w:t>
                    </w:r>
                  </w:p>
                </w:txbxContent>
              </v:textbox>
              <w10:wrap type="none"/>
            </v:shape>
            <v:shape style="position:absolute;left:9281;top:2223;width:488;height:1591" type="#_x0000_t202" filled="false" stroked="false">
              <v:textbox inset="0,0,0,0">
                <w:txbxContent>
                  <w:p>
                    <w:pPr>
                      <w:spacing w:line="336" w:lineRule="auto" w:before="0"/>
                      <w:ind w:left="0" w:right="18" w:firstLine="0"/>
                      <w:jc w:val="both"/>
                      <w:rPr>
                        <w:rFonts w:ascii="Arial"/>
                        <w:sz w:val="21"/>
                      </w:rPr>
                    </w:pPr>
                    <w:r>
                      <w:rPr>
                        <w:rFonts w:ascii="Arial"/>
                        <w:spacing w:val="-2"/>
                        <w:sz w:val="21"/>
                      </w:rPr>
                      <w:t>n=90 n=80 n=70 n=60</w:t>
                    </w:r>
                  </w:p>
                  <w:p>
                    <w:pPr>
                      <w:spacing w:before="0"/>
                      <w:ind w:left="0" w:right="0" w:firstLine="0"/>
                      <w:jc w:val="both"/>
                      <w:rPr>
                        <w:rFonts w:ascii="Arial"/>
                        <w:sz w:val="21"/>
                      </w:rPr>
                    </w:pPr>
                    <w:r>
                      <w:rPr>
                        <w:rFonts w:ascii="Arial"/>
                        <w:sz w:val="21"/>
                      </w:rPr>
                      <w:t>n=50</w:t>
                    </w:r>
                  </w:p>
                </w:txbxContent>
              </v:textbox>
              <w10:wrap type="none"/>
            </v:shape>
            <v:shape style="position:absolute;left:2465;top:2336;width:429;height:1608" type="#_x0000_t202" filled="false" stroked="false">
              <v:textbox inset="0,0,0,0">
                <w:txbxContent>
                  <w:p>
                    <w:pPr>
                      <w:spacing w:line="235" w:lineRule="exact" w:before="0"/>
                      <w:ind w:left="0" w:right="0" w:firstLine="0"/>
                      <w:jc w:val="left"/>
                      <w:rPr>
                        <w:rFonts w:ascii="Arial"/>
                        <w:sz w:val="21"/>
                      </w:rPr>
                    </w:pPr>
                    <w:r>
                      <w:rPr>
                        <w:rFonts w:ascii="Arial"/>
                        <w:spacing w:val="-4"/>
                        <w:sz w:val="21"/>
                      </w:rPr>
                      <w:t>40%</w:t>
                    </w:r>
                  </w:p>
                  <w:p>
                    <w:pPr>
                      <w:spacing w:line="240" w:lineRule="auto" w:before="0"/>
                      <w:rPr>
                        <w:sz w:val="22"/>
                      </w:rPr>
                    </w:pPr>
                  </w:p>
                  <w:p>
                    <w:pPr>
                      <w:spacing w:line="240" w:lineRule="auto" w:before="0"/>
                      <w:rPr>
                        <w:sz w:val="22"/>
                      </w:rPr>
                    </w:pPr>
                  </w:p>
                  <w:p>
                    <w:pPr>
                      <w:spacing w:line="240" w:lineRule="auto" w:before="0"/>
                      <w:rPr>
                        <w:sz w:val="22"/>
                      </w:rPr>
                    </w:pPr>
                  </w:p>
                  <w:p>
                    <w:pPr>
                      <w:spacing w:line="240" w:lineRule="auto" w:before="4"/>
                      <w:rPr>
                        <w:sz w:val="32"/>
                      </w:rPr>
                    </w:pPr>
                  </w:p>
                  <w:p>
                    <w:pPr>
                      <w:spacing w:before="0"/>
                      <w:ind w:left="0" w:right="0" w:firstLine="0"/>
                      <w:jc w:val="left"/>
                      <w:rPr>
                        <w:rFonts w:ascii="Arial"/>
                        <w:sz w:val="21"/>
                      </w:rPr>
                    </w:pPr>
                    <w:r>
                      <w:rPr>
                        <w:rFonts w:ascii="Arial"/>
                        <w:spacing w:val="-4"/>
                        <w:sz w:val="21"/>
                      </w:rPr>
                      <w:t>20%</w:t>
                    </w:r>
                  </w:p>
                </w:txbxContent>
              </v:textbox>
              <w10:wrap type="none"/>
            </v:shape>
            <v:shape style="position:absolute;left:9281;top:1885;width:601;height:235" type="#_x0000_t202" filled="false" stroked="false">
              <v:textbox inset="0,0,0,0">
                <w:txbxContent>
                  <w:p>
                    <w:pPr>
                      <w:spacing w:line="234" w:lineRule="exact" w:before="0"/>
                      <w:ind w:left="0" w:right="0" w:firstLine="0"/>
                      <w:jc w:val="left"/>
                      <w:rPr>
                        <w:rFonts w:ascii="Arial"/>
                        <w:sz w:val="21"/>
                      </w:rPr>
                    </w:pPr>
                    <w:r>
                      <w:rPr>
                        <w:rFonts w:ascii="Arial"/>
                        <w:sz w:val="21"/>
                      </w:rPr>
                      <w:t>n=100</w:t>
                    </w:r>
                  </w:p>
                </w:txbxContent>
              </v:textbox>
              <w10:wrap type="none"/>
            </v:shape>
            <v:shape style="position:absolute;left:2465;top:963;width:429;height:235" type="#_x0000_t202" filled="false" stroked="false">
              <v:textbox inset="0,0,0,0">
                <w:txbxContent>
                  <w:p>
                    <w:pPr>
                      <w:spacing w:line="234" w:lineRule="exact" w:before="0"/>
                      <w:ind w:left="0" w:right="0" w:firstLine="0"/>
                      <w:jc w:val="left"/>
                      <w:rPr>
                        <w:rFonts w:ascii="Arial"/>
                        <w:sz w:val="21"/>
                      </w:rPr>
                    </w:pPr>
                    <w:r>
                      <w:rPr>
                        <w:rFonts w:ascii="Arial"/>
                        <w:sz w:val="21"/>
                      </w:rPr>
                      <w:t>60%</w:t>
                    </w:r>
                  </w:p>
                </w:txbxContent>
              </v:textbox>
              <w10:wrap type="none"/>
            </v:shape>
            <w10:wrap type="none"/>
          </v:group>
        </w:pict>
      </w:r>
      <w:r>
        <w:rPr/>
        <w:pict>
          <v:shape style="position:absolute;margin-left:104.740295pt;margin-top:85.065941pt;width:13.75pt;height:146.7pt;mso-position-horizontal-relative:page;mso-position-vertical-relative:paragraph;z-index:22360" type="#_x0000_t202" filled="false" stroked="false">
            <v:textbox inset="0,0,0,0" style="layout-flow:vertical;mso-layout-flow-alt:bottom-to-top">
              <w:txbxContent>
                <w:p>
                  <w:pPr>
                    <w:spacing w:before="13"/>
                    <w:ind w:left="20" w:right="0" w:firstLine="0"/>
                    <w:jc w:val="left"/>
                    <w:rPr>
                      <w:rFonts w:ascii="Arial"/>
                      <w:b/>
                      <w:sz w:val="21"/>
                    </w:rPr>
                  </w:pPr>
                  <w:r>
                    <w:rPr>
                      <w:rFonts w:ascii="Arial"/>
                      <w:b/>
                      <w:sz w:val="21"/>
                    </w:rPr>
                    <w:t>% absolute change in means</w:t>
                  </w:r>
                </w:p>
              </w:txbxContent>
            </v:textbox>
            <w10:wrap type="none"/>
          </v:shape>
        </w:pict>
      </w:r>
      <w:r>
        <w:rPr>
          <w:b/>
          <w:sz w:val="20"/>
        </w:rPr>
        <w:t>annual rate of soil carbon accumulation of 0.5 tonnes C per hectare and year, and initial soil carbon of 50 tonnes C per hectare (generated from unpublished data).</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
        <w:rPr>
          <w:b/>
          <w:sz w:val="25"/>
        </w:rPr>
      </w:pPr>
    </w:p>
    <w:p>
      <w:pPr>
        <w:spacing w:before="92"/>
        <w:ind w:left="179" w:right="0" w:firstLine="0"/>
        <w:jc w:val="left"/>
        <w:rPr>
          <w:b/>
          <w:sz w:val="22"/>
        </w:rPr>
      </w:pPr>
      <w:r>
        <w:rPr>
          <w:b/>
          <w:sz w:val="22"/>
        </w:rPr>
        <w:t>4.3.3.4 .2 PLOT SHAPE AND SIZE</w:t>
      </w:r>
    </w:p>
    <w:p>
      <w:pPr>
        <w:pStyle w:val="BodyText"/>
        <w:spacing w:before="113"/>
        <w:ind w:left="179" w:right="1404"/>
        <w:jc w:val="both"/>
      </w:pPr>
      <w:r>
        <w:rPr/>
        <w:t>The type of plots used in vegetation and forest inventories include: fixed area plots that can be nested or clustered, variable radius or point sampling plots (e.g., prism or relascope plots), or transects. It is recommended to use permanent nested sample plots containing smaller sub-units of various shapes and sizes, depending on the variables to be measured. For instance, in an afforestation/reforestation project, saplings could be measured in a small circular plot; trees between 2.5 to 50 cm diameter at breast height (dbh) could be measured in a medium circular plot; trees above 50 cm dbh could be measured in a larger circular plot; and understorey and fine litter could be measured in four small square or circular plots located in each quadrant of the sample plot. The radius and diameter limits for each circular plot would be a function of local conditions and expected size of the trees through time.</w:t>
      </w:r>
    </w:p>
    <w:p>
      <w:pPr>
        <w:pStyle w:val="BodyText"/>
        <w:spacing w:before="119"/>
        <w:ind w:left="179" w:right="1401"/>
        <w:jc w:val="both"/>
      </w:pPr>
      <w:r>
        <w:rPr/>
        <w:t>The</w:t>
      </w:r>
      <w:r>
        <w:rPr>
          <w:spacing w:val="-6"/>
        </w:rPr>
        <w:t> </w:t>
      </w:r>
      <w:r>
        <w:rPr>
          <w:spacing w:val="-3"/>
        </w:rPr>
        <w:t>size</w:t>
      </w:r>
      <w:r>
        <w:rPr>
          <w:spacing w:val="-5"/>
        </w:rPr>
        <w:t> </w:t>
      </w:r>
      <w:r>
        <w:rPr/>
        <w:t>of</w:t>
      </w:r>
      <w:r>
        <w:rPr>
          <w:spacing w:val="-6"/>
        </w:rPr>
        <w:t> </w:t>
      </w:r>
      <w:r>
        <w:rPr/>
        <w:t>the</w:t>
      </w:r>
      <w:r>
        <w:rPr>
          <w:spacing w:val="-4"/>
        </w:rPr>
        <w:t> </w:t>
      </w:r>
      <w:r>
        <w:rPr/>
        <w:t>sample</w:t>
      </w:r>
      <w:r>
        <w:rPr>
          <w:spacing w:val="-5"/>
        </w:rPr>
        <w:t> </w:t>
      </w:r>
      <w:r>
        <w:rPr/>
        <w:t>plot</w:t>
      </w:r>
      <w:r>
        <w:rPr>
          <w:spacing w:val="-5"/>
        </w:rPr>
        <w:t> </w:t>
      </w:r>
      <w:r>
        <w:rPr/>
        <w:t>is</w:t>
      </w:r>
      <w:r>
        <w:rPr>
          <w:spacing w:val="-4"/>
        </w:rPr>
        <w:t> </w:t>
      </w:r>
      <w:r>
        <w:rPr/>
        <w:t>a</w:t>
      </w:r>
      <w:r>
        <w:rPr>
          <w:spacing w:val="-5"/>
        </w:rPr>
        <w:t> </w:t>
      </w:r>
      <w:r>
        <w:rPr/>
        <w:t>trade-off</w:t>
      </w:r>
      <w:r>
        <w:rPr>
          <w:spacing w:val="-7"/>
        </w:rPr>
        <w:t> </w:t>
      </w:r>
      <w:r>
        <w:rPr/>
        <w:t>between</w:t>
      </w:r>
      <w:r>
        <w:rPr>
          <w:spacing w:val="-7"/>
        </w:rPr>
        <w:t> </w:t>
      </w:r>
      <w:r>
        <w:rPr/>
        <w:t>accuracy,</w:t>
      </w:r>
      <w:r>
        <w:rPr>
          <w:spacing w:val="-3"/>
        </w:rPr>
        <w:t> </w:t>
      </w:r>
      <w:r>
        <w:rPr/>
        <w:t>precision,</w:t>
      </w:r>
      <w:r>
        <w:rPr>
          <w:spacing w:val="-6"/>
        </w:rPr>
        <w:t> </w:t>
      </w:r>
      <w:r>
        <w:rPr/>
        <w:t>and</w:t>
      </w:r>
      <w:r>
        <w:rPr>
          <w:spacing w:val="-5"/>
        </w:rPr>
        <w:t> </w:t>
      </w:r>
      <w:r>
        <w:rPr/>
        <w:t>time</w:t>
      </w:r>
      <w:r>
        <w:rPr>
          <w:spacing w:val="-5"/>
        </w:rPr>
        <w:t> </w:t>
      </w:r>
      <w:r>
        <w:rPr/>
        <w:t>(cost)</w:t>
      </w:r>
      <w:r>
        <w:rPr>
          <w:spacing w:val="-5"/>
        </w:rPr>
        <w:t> </w:t>
      </w:r>
      <w:r>
        <w:rPr/>
        <w:t>of</w:t>
      </w:r>
      <w:r>
        <w:rPr>
          <w:spacing w:val="-5"/>
        </w:rPr>
        <w:t> </w:t>
      </w:r>
      <w:r>
        <w:rPr/>
        <w:t>measurement.</w:t>
      </w:r>
      <w:r>
        <w:rPr>
          <w:spacing w:val="-5"/>
        </w:rPr>
        <w:t> </w:t>
      </w:r>
      <w:r>
        <w:rPr/>
        <w:t>The</w:t>
      </w:r>
      <w:r>
        <w:rPr>
          <w:spacing w:val="-4"/>
        </w:rPr>
        <w:t> </w:t>
      </w:r>
      <w:r>
        <w:rPr>
          <w:spacing w:val="-3"/>
        </w:rPr>
        <w:t>size </w:t>
      </w:r>
      <w:r>
        <w:rPr/>
        <w:t>of </w:t>
      </w:r>
      <w:r>
        <w:rPr>
          <w:spacing w:val="-3"/>
        </w:rPr>
        <w:t>the</w:t>
      </w:r>
      <w:r>
        <w:rPr>
          <w:spacing w:val="-10"/>
        </w:rPr>
        <w:t> </w:t>
      </w:r>
      <w:r>
        <w:rPr/>
        <w:t>plot</w:t>
      </w:r>
      <w:r>
        <w:rPr>
          <w:spacing w:val="-11"/>
        </w:rPr>
        <w:t> </w:t>
      </w:r>
      <w:r>
        <w:rPr/>
        <w:t>is</w:t>
      </w:r>
      <w:r>
        <w:rPr>
          <w:spacing w:val="-11"/>
        </w:rPr>
        <w:t> </w:t>
      </w:r>
      <w:r>
        <w:rPr/>
        <w:t>also</w:t>
      </w:r>
      <w:r>
        <w:rPr>
          <w:spacing w:val="-8"/>
        </w:rPr>
        <w:t> </w:t>
      </w:r>
      <w:r>
        <w:rPr/>
        <w:t>related</w:t>
      </w:r>
      <w:r>
        <w:rPr>
          <w:spacing w:val="-10"/>
        </w:rPr>
        <w:t> </w:t>
      </w:r>
      <w:r>
        <w:rPr/>
        <w:t>to</w:t>
      </w:r>
      <w:r>
        <w:rPr>
          <w:spacing w:val="-9"/>
        </w:rPr>
        <w:t> </w:t>
      </w:r>
      <w:r>
        <w:rPr/>
        <w:t>the</w:t>
      </w:r>
      <w:r>
        <w:rPr>
          <w:spacing w:val="-10"/>
        </w:rPr>
        <w:t> </w:t>
      </w:r>
      <w:r>
        <w:rPr>
          <w:spacing w:val="-2"/>
        </w:rPr>
        <w:t>number</w:t>
      </w:r>
      <w:r>
        <w:rPr>
          <w:spacing w:val="-10"/>
        </w:rPr>
        <w:t> </w:t>
      </w:r>
      <w:r>
        <w:rPr/>
        <w:t>of</w:t>
      </w:r>
      <w:r>
        <w:rPr>
          <w:spacing w:val="-11"/>
        </w:rPr>
        <w:t> </w:t>
      </w:r>
      <w:r>
        <w:rPr/>
        <w:t>trees,</w:t>
      </w:r>
      <w:r>
        <w:rPr>
          <w:spacing w:val="-10"/>
        </w:rPr>
        <w:t> </w:t>
      </w:r>
      <w:r>
        <w:rPr/>
        <w:t>their</w:t>
      </w:r>
      <w:r>
        <w:rPr>
          <w:spacing w:val="-10"/>
        </w:rPr>
        <w:t> </w:t>
      </w:r>
      <w:r>
        <w:rPr/>
        <w:t>diameter,</w:t>
      </w:r>
      <w:r>
        <w:rPr>
          <w:spacing w:val="-10"/>
        </w:rPr>
        <w:t> </w:t>
      </w:r>
      <w:r>
        <w:rPr/>
        <w:t>and</w:t>
      </w:r>
      <w:r>
        <w:rPr>
          <w:spacing w:val="-9"/>
        </w:rPr>
        <w:t> </w:t>
      </w:r>
      <w:r>
        <w:rPr/>
        <w:t>variance</w:t>
      </w:r>
      <w:r>
        <w:rPr>
          <w:spacing w:val="-10"/>
        </w:rPr>
        <w:t> </w:t>
      </w:r>
      <w:r>
        <w:rPr/>
        <w:t>of</w:t>
      </w:r>
      <w:r>
        <w:rPr>
          <w:spacing w:val="-12"/>
        </w:rPr>
        <w:t> </w:t>
      </w:r>
      <w:r>
        <w:rPr/>
        <w:t>the</w:t>
      </w:r>
      <w:r>
        <w:rPr>
          <w:spacing w:val="-9"/>
        </w:rPr>
        <w:t> </w:t>
      </w:r>
      <w:r>
        <w:rPr/>
        <w:t>carbon</w:t>
      </w:r>
      <w:r>
        <w:rPr>
          <w:spacing w:val="-12"/>
        </w:rPr>
        <w:t> </w:t>
      </w:r>
      <w:r>
        <w:rPr/>
        <w:t>stock</w:t>
      </w:r>
      <w:r>
        <w:rPr>
          <w:spacing w:val="-10"/>
        </w:rPr>
        <w:t> </w:t>
      </w:r>
      <w:r>
        <w:rPr/>
        <w:t>among</w:t>
      </w:r>
      <w:r>
        <w:rPr>
          <w:spacing w:val="-11"/>
        </w:rPr>
        <w:t> </w:t>
      </w:r>
      <w:r>
        <w:rPr/>
        <w:t>plots.</w:t>
      </w:r>
      <w:r>
        <w:rPr>
          <w:spacing w:val="-10"/>
        </w:rPr>
        <w:t> </w:t>
      </w:r>
      <w:r>
        <w:rPr/>
        <w:t>The</w:t>
      </w:r>
      <w:r>
        <w:rPr>
          <w:spacing w:val="-10"/>
        </w:rPr>
        <w:t> </w:t>
      </w:r>
      <w:r>
        <w:rPr>
          <w:spacing w:val="-3"/>
        </w:rPr>
        <w:t>plot should </w:t>
      </w:r>
      <w:r>
        <w:rPr/>
        <w:t>be large enough to contain an adequate </w:t>
      </w:r>
      <w:r>
        <w:rPr>
          <w:spacing w:val="-2"/>
        </w:rPr>
        <w:t>number </w:t>
      </w:r>
      <w:r>
        <w:rPr/>
        <w:t>of trees per plot to be </w:t>
      </w:r>
      <w:r>
        <w:rPr>
          <w:spacing w:val="-3"/>
        </w:rPr>
        <w:t>measured. </w:t>
      </w:r>
      <w:r>
        <w:rPr/>
        <w:t>In general, it is recommended</w:t>
      </w:r>
      <w:r>
        <w:rPr>
          <w:spacing w:val="-8"/>
        </w:rPr>
        <w:t> </w:t>
      </w:r>
      <w:r>
        <w:rPr/>
        <w:t>to</w:t>
      </w:r>
      <w:r>
        <w:rPr>
          <w:spacing w:val="-7"/>
        </w:rPr>
        <w:t> </w:t>
      </w:r>
      <w:r>
        <w:rPr/>
        <w:t>use</w:t>
      </w:r>
      <w:r>
        <w:rPr>
          <w:spacing w:val="-8"/>
        </w:rPr>
        <w:t> </w:t>
      </w:r>
      <w:r>
        <w:rPr/>
        <w:t>a</w:t>
      </w:r>
      <w:r>
        <w:rPr>
          <w:spacing w:val="-8"/>
        </w:rPr>
        <w:t> </w:t>
      </w:r>
      <w:r>
        <w:rPr>
          <w:spacing w:val="-3"/>
        </w:rPr>
        <w:t>single</w:t>
      </w:r>
      <w:r>
        <w:rPr>
          <w:spacing w:val="-8"/>
        </w:rPr>
        <w:t> </w:t>
      </w:r>
      <w:r>
        <w:rPr/>
        <w:t>plot</w:t>
      </w:r>
      <w:r>
        <w:rPr>
          <w:spacing w:val="-9"/>
        </w:rPr>
        <w:t> </w:t>
      </w:r>
      <w:r>
        <w:rPr/>
        <w:t>varying</w:t>
      </w:r>
      <w:r>
        <w:rPr>
          <w:spacing w:val="-10"/>
        </w:rPr>
        <w:t> </w:t>
      </w:r>
      <w:r>
        <w:rPr/>
        <w:t>between</w:t>
      </w:r>
      <w:r>
        <w:rPr>
          <w:spacing w:val="-9"/>
        </w:rPr>
        <w:t> </w:t>
      </w:r>
      <w:r>
        <w:rPr/>
        <w:t>100</w:t>
      </w:r>
      <w:r>
        <w:rPr>
          <w:spacing w:val="-6"/>
        </w:rPr>
        <w:t> </w:t>
      </w:r>
      <w:r>
        <w:rPr>
          <w:spacing w:val="-4"/>
        </w:rPr>
        <w:t>m</w:t>
      </w:r>
      <w:r>
        <w:rPr>
          <w:spacing w:val="-4"/>
          <w:vertAlign w:val="superscript"/>
        </w:rPr>
        <w:t>2</w:t>
      </w:r>
      <w:r>
        <w:rPr>
          <w:spacing w:val="-7"/>
          <w:vertAlign w:val="baseline"/>
        </w:rPr>
        <w:t> </w:t>
      </w:r>
      <w:r>
        <w:rPr>
          <w:vertAlign w:val="baseline"/>
        </w:rPr>
        <w:t>(for</w:t>
      </w:r>
      <w:r>
        <w:rPr>
          <w:spacing w:val="-8"/>
          <w:vertAlign w:val="baseline"/>
        </w:rPr>
        <w:t> </w:t>
      </w:r>
      <w:r>
        <w:rPr>
          <w:spacing w:val="-3"/>
          <w:vertAlign w:val="baseline"/>
        </w:rPr>
        <w:t>densely</w:t>
      </w:r>
      <w:r>
        <w:rPr>
          <w:spacing w:val="-10"/>
          <w:vertAlign w:val="baseline"/>
        </w:rPr>
        <w:t> </w:t>
      </w:r>
      <w:r>
        <w:rPr>
          <w:vertAlign w:val="baseline"/>
        </w:rPr>
        <w:t>planted</w:t>
      </w:r>
      <w:r>
        <w:rPr>
          <w:spacing w:val="-8"/>
          <w:vertAlign w:val="baseline"/>
        </w:rPr>
        <w:t> </w:t>
      </w:r>
      <w:r>
        <w:rPr>
          <w:vertAlign w:val="baseline"/>
        </w:rPr>
        <w:t>stand</w:t>
      </w:r>
      <w:r>
        <w:rPr>
          <w:spacing w:val="-8"/>
          <w:vertAlign w:val="baseline"/>
        </w:rPr>
        <w:t> </w:t>
      </w:r>
      <w:r>
        <w:rPr>
          <w:vertAlign w:val="baseline"/>
        </w:rPr>
        <w:t>of</w:t>
      </w:r>
      <w:r>
        <w:rPr>
          <w:spacing w:val="-9"/>
          <w:vertAlign w:val="baseline"/>
        </w:rPr>
        <w:t> </w:t>
      </w:r>
      <w:r>
        <w:rPr>
          <w:vertAlign w:val="baseline"/>
        </w:rPr>
        <w:t>1,000</w:t>
      </w:r>
      <w:r>
        <w:rPr>
          <w:spacing w:val="-8"/>
          <w:vertAlign w:val="baseline"/>
        </w:rPr>
        <w:t> </w:t>
      </w:r>
      <w:r>
        <w:rPr>
          <w:spacing w:val="-3"/>
          <w:vertAlign w:val="baseline"/>
        </w:rPr>
        <w:t>trees/ha</w:t>
      </w:r>
      <w:r>
        <w:rPr>
          <w:spacing w:val="-8"/>
          <w:vertAlign w:val="baseline"/>
        </w:rPr>
        <w:t> </w:t>
      </w:r>
      <w:r>
        <w:rPr>
          <w:vertAlign w:val="baseline"/>
        </w:rPr>
        <w:t>or</w:t>
      </w:r>
      <w:r>
        <w:rPr>
          <w:spacing w:val="-6"/>
          <w:vertAlign w:val="baseline"/>
        </w:rPr>
        <w:t> </w:t>
      </w:r>
      <w:r>
        <w:rPr>
          <w:spacing w:val="-3"/>
          <w:vertAlign w:val="baseline"/>
        </w:rPr>
        <w:t>more)</w:t>
      </w:r>
      <w:r>
        <w:rPr>
          <w:spacing w:val="-7"/>
          <w:vertAlign w:val="baseline"/>
        </w:rPr>
        <w:t> </w:t>
      </w:r>
      <w:r>
        <w:rPr>
          <w:spacing w:val="-2"/>
          <w:vertAlign w:val="baseline"/>
        </w:rPr>
        <w:t>and </w:t>
      </w:r>
      <w:r>
        <w:rPr>
          <w:vertAlign w:val="baseline"/>
        </w:rPr>
        <w:t>600 </w:t>
      </w:r>
      <w:r>
        <w:rPr>
          <w:spacing w:val="-4"/>
          <w:vertAlign w:val="baseline"/>
        </w:rPr>
        <w:t>m</w:t>
      </w:r>
      <w:r>
        <w:rPr>
          <w:spacing w:val="-4"/>
          <w:vertAlign w:val="superscript"/>
        </w:rPr>
        <w:t>2</w:t>
      </w:r>
      <w:r>
        <w:rPr>
          <w:spacing w:val="-4"/>
          <w:vertAlign w:val="baseline"/>
        </w:rPr>
        <w:t> </w:t>
      </w:r>
      <w:r>
        <w:rPr>
          <w:vertAlign w:val="baseline"/>
        </w:rPr>
        <w:t>(for sparsely planted stand of </w:t>
      </w:r>
      <w:r>
        <w:rPr>
          <w:spacing w:val="-3"/>
          <w:vertAlign w:val="baseline"/>
        </w:rPr>
        <w:t>multi-purpose </w:t>
      </w:r>
      <w:r>
        <w:rPr>
          <w:vertAlign w:val="baseline"/>
        </w:rPr>
        <w:t>trees) in area </w:t>
      </w:r>
      <w:r>
        <w:rPr>
          <w:spacing w:val="-2"/>
          <w:vertAlign w:val="baseline"/>
        </w:rPr>
        <w:t>for </w:t>
      </w:r>
      <w:r>
        <w:rPr>
          <w:vertAlign w:val="baseline"/>
        </w:rPr>
        <w:t>even-sized stands. For projects </w:t>
      </w:r>
      <w:r>
        <w:rPr>
          <w:spacing w:val="-3"/>
          <w:vertAlign w:val="baseline"/>
        </w:rPr>
        <w:t>where </w:t>
      </w:r>
      <w:r>
        <w:rPr>
          <w:vertAlign w:val="baseline"/>
        </w:rPr>
        <w:t>it is expected</w:t>
      </w:r>
      <w:r>
        <w:rPr>
          <w:spacing w:val="-12"/>
          <w:vertAlign w:val="baseline"/>
        </w:rPr>
        <w:t> </w:t>
      </w:r>
      <w:r>
        <w:rPr>
          <w:vertAlign w:val="baseline"/>
        </w:rPr>
        <w:t>that</w:t>
      </w:r>
      <w:r>
        <w:rPr>
          <w:spacing w:val="-11"/>
          <w:vertAlign w:val="baseline"/>
        </w:rPr>
        <w:t> </w:t>
      </w:r>
      <w:r>
        <w:rPr>
          <w:vertAlign w:val="baseline"/>
        </w:rPr>
        <w:t>the</w:t>
      </w:r>
      <w:r>
        <w:rPr>
          <w:spacing w:val="-9"/>
          <w:vertAlign w:val="baseline"/>
        </w:rPr>
        <w:t> </w:t>
      </w:r>
      <w:r>
        <w:rPr>
          <w:spacing w:val="-2"/>
          <w:vertAlign w:val="baseline"/>
        </w:rPr>
        <w:t>forest</w:t>
      </w:r>
      <w:r>
        <w:rPr>
          <w:spacing w:val="-9"/>
          <w:vertAlign w:val="baseline"/>
        </w:rPr>
        <w:t> </w:t>
      </w:r>
      <w:r>
        <w:rPr>
          <w:spacing w:val="-3"/>
          <w:vertAlign w:val="baseline"/>
        </w:rPr>
        <w:t>will</w:t>
      </w:r>
      <w:r>
        <w:rPr>
          <w:spacing w:val="-11"/>
          <w:vertAlign w:val="baseline"/>
        </w:rPr>
        <w:t> </w:t>
      </w:r>
      <w:r>
        <w:rPr>
          <w:vertAlign w:val="baseline"/>
        </w:rPr>
        <w:t>be</w:t>
      </w:r>
      <w:r>
        <w:rPr>
          <w:spacing w:val="-10"/>
          <w:vertAlign w:val="baseline"/>
        </w:rPr>
        <w:t> </w:t>
      </w:r>
      <w:r>
        <w:rPr>
          <w:vertAlign w:val="baseline"/>
        </w:rPr>
        <w:t>uneven-sized</w:t>
      </w:r>
      <w:r>
        <w:rPr>
          <w:spacing w:val="-12"/>
          <w:vertAlign w:val="baseline"/>
        </w:rPr>
        <w:t> </w:t>
      </w:r>
      <w:r>
        <w:rPr>
          <w:vertAlign w:val="baseline"/>
        </w:rPr>
        <w:t>(e.g.,</w:t>
      </w:r>
      <w:r>
        <w:rPr>
          <w:spacing w:val="-10"/>
          <w:vertAlign w:val="baseline"/>
        </w:rPr>
        <w:t> </w:t>
      </w:r>
      <w:r>
        <w:rPr>
          <w:vertAlign w:val="baseline"/>
        </w:rPr>
        <w:t>through</w:t>
      </w:r>
      <w:r>
        <w:rPr>
          <w:spacing w:val="-14"/>
          <w:vertAlign w:val="baseline"/>
        </w:rPr>
        <w:t> </w:t>
      </w:r>
      <w:r>
        <w:rPr>
          <w:vertAlign w:val="baseline"/>
        </w:rPr>
        <w:t>a</w:t>
      </w:r>
      <w:r>
        <w:rPr>
          <w:spacing w:val="-9"/>
          <w:vertAlign w:val="baseline"/>
        </w:rPr>
        <w:t> </w:t>
      </w:r>
      <w:r>
        <w:rPr>
          <w:vertAlign w:val="baseline"/>
        </w:rPr>
        <w:t>combination</w:t>
      </w:r>
      <w:r>
        <w:rPr>
          <w:spacing w:val="-12"/>
          <w:vertAlign w:val="baseline"/>
        </w:rPr>
        <w:t> </w:t>
      </w:r>
      <w:r>
        <w:rPr>
          <w:vertAlign w:val="baseline"/>
        </w:rPr>
        <w:t>of</w:t>
      </w:r>
      <w:r>
        <w:rPr>
          <w:spacing w:val="-12"/>
          <w:vertAlign w:val="baseline"/>
        </w:rPr>
        <w:t> </w:t>
      </w:r>
      <w:r>
        <w:rPr>
          <w:vertAlign w:val="baseline"/>
        </w:rPr>
        <w:t>planting</w:t>
      </w:r>
      <w:r>
        <w:rPr>
          <w:spacing w:val="-11"/>
          <w:vertAlign w:val="baseline"/>
        </w:rPr>
        <w:t> </w:t>
      </w:r>
      <w:r>
        <w:rPr>
          <w:spacing w:val="-2"/>
          <w:vertAlign w:val="baseline"/>
        </w:rPr>
        <w:t>and</w:t>
      </w:r>
      <w:r>
        <w:rPr>
          <w:spacing w:val="-10"/>
          <w:vertAlign w:val="baseline"/>
        </w:rPr>
        <w:t> </w:t>
      </w:r>
      <w:r>
        <w:rPr>
          <w:vertAlign w:val="baseline"/>
        </w:rPr>
        <w:t>natural</w:t>
      </w:r>
      <w:r>
        <w:rPr>
          <w:spacing w:val="-12"/>
          <w:vertAlign w:val="baseline"/>
        </w:rPr>
        <w:t> </w:t>
      </w:r>
      <w:r>
        <w:rPr>
          <w:vertAlign w:val="baseline"/>
        </w:rPr>
        <w:t>regeneration),</w:t>
      </w:r>
      <w:r>
        <w:rPr>
          <w:spacing w:val="-10"/>
          <w:vertAlign w:val="baseline"/>
        </w:rPr>
        <w:t> </w:t>
      </w:r>
      <w:r>
        <w:rPr>
          <w:vertAlign w:val="baseline"/>
        </w:rPr>
        <w:t>it</w:t>
      </w:r>
      <w:r>
        <w:rPr>
          <w:spacing w:val="-10"/>
          <w:vertAlign w:val="baseline"/>
        </w:rPr>
        <w:t> </w:t>
      </w:r>
      <w:r>
        <w:rPr>
          <w:vertAlign w:val="baseline"/>
        </w:rPr>
        <w:t>is recommended</w:t>
      </w:r>
      <w:r>
        <w:rPr>
          <w:spacing w:val="-13"/>
          <w:vertAlign w:val="baseline"/>
        </w:rPr>
        <w:t> </w:t>
      </w:r>
      <w:r>
        <w:rPr>
          <w:vertAlign w:val="baseline"/>
        </w:rPr>
        <w:t>to</w:t>
      </w:r>
      <w:r>
        <w:rPr>
          <w:spacing w:val="-10"/>
          <w:vertAlign w:val="baseline"/>
        </w:rPr>
        <w:t> </w:t>
      </w:r>
      <w:r>
        <w:rPr>
          <w:spacing w:val="-2"/>
          <w:vertAlign w:val="baseline"/>
        </w:rPr>
        <w:t>use</w:t>
      </w:r>
      <w:r>
        <w:rPr>
          <w:spacing w:val="-11"/>
          <w:vertAlign w:val="baseline"/>
        </w:rPr>
        <w:t> </w:t>
      </w:r>
      <w:r>
        <w:rPr>
          <w:spacing w:val="-3"/>
          <w:vertAlign w:val="baseline"/>
        </w:rPr>
        <w:t>nested</w:t>
      </w:r>
      <w:r>
        <w:rPr>
          <w:spacing w:val="-10"/>
          <w:vertAlign w:val="baseline"/>
        </w:rPr>
        <w:t> </w:t>
      </w:r>
      <w:r>
        <w:rPr>
          <w:vertAlign w:val="baseline"/>
        </w:rPr>
        <w:t>plots</w:t>
      </w:r>
      <w:r>
        <w:rPr>
          <w:spacing w:val="-14"/>
          <w:vertAlign w:val="baseline"/>
        </w:rPr>
        <w:t> </w:t>
      </w:r>
      <w:r>
        <w:rPr>
          <w:vertAlign w:val="baseline"/>
        </w:rPr>
        <w:t>or</w:t>
      </w:r>
      <w:r>
        <w:rPr>
          <w:spacing w:val="-13"/>
          <w:vertAlign w:val="baseline"/>
        </w:rPr>
        <w:t> </w:t>
      </w:r>
      <w:r>
        <w:rPr>
          <w:vertAlign w:val="baseline"/>
        </w:rPr>
        <w:t>even</w:t>
      </w:r>
      <w:r>
        <w:rPr>
          <w:spacing w:val="-14"/>
          <w:vertAlign w:val="baseline"/>
        </w:rPr>
        <w:t> </w:t>
      </w:r>
      <w:r>
        <w:rPr>
          <w:vertAlign w:val="baseline"/>
        </w:rPr>
        <w:t>clusters</w:t>
      </w:r>
      <w:r>
        <w:rPr>
          <w:spacing w:val="-14"/>
          <w:vertAlign w:val="baseline"/>
        </w:rPr>
        <w:t> </w:t>
      </w:r>
      <w:r>
        <w:rPr>
          <w:vertAlign w:val="baseline"/>
        </w:rPr>
        <w:t>of</w:t>
      </w:r>
      <w:r>
        <w:rPr>
          <w:spacing w:val="-13"/>
          <w:vertAlign w:val="baseline"/>
        </w:rPr>
        <w:t> </w:t>
      </w:r>
      <w:r>
        <w:rPr>
          <w:spacing w:val="-3"/>
          <w:vertAlign w:val="baseline"/>
        </w:rPr>
        <w:t>nested</w:t>
      </w:r>
      <w:r>
        <w:rPr>
          <w:spacing w:val="-10"/>
          <w:vertAlign w:val="baseline"/>
        </w:rPr>
        <w:t> </w:t>
      </w:r>
      <w:r>
        <w:rPr>
          <w:vertAlign w:val="baseline"/>
        </w:rPr>
        <w:t>plots</w:t>
      </w:r>
      <w:r>
        <w:rPr>
          <w:spacing w:val="-14"/>
          <w:vertAlign w:val="baseline"/>
        </w:rPr>
        <w:t> </w:t>
      </w:r>
      <w:r>
        <w:rPr>
          <w:vertAlign w:val="baseline"/>
        </w:rPr>
        <w:t>depending</w:t>
      </w:r>
      <w:r>
        <w:rPr>
          <w:spacing w:val="-13"/>
          <w:vertAlign w:val="baseline"/>
        </w:rPr>
        <w:t> </w:t>
      </w:r>
      <w:r>
        <w:rPr>
          <w:vertAlign w:val="baseline"/>
        </w:rPr>
        <w:t>upon</w:t>
      </w:r>
      <w:r>
        <w:rPr>
          <w:spacing w:val="-14"/>
          <w:vertAlign w:val="baseline"/>
        </w:rPr>
        <w:t> </w:t>
      </w:r>
      <w:r>
        <w:rPr>
          <w:vertAlign w:val="baseline"/>
        </w:rPr>
        <w:t>the</w:t>
      </w:r>
      <w:r>
        <w:rPr>
          <w:spacing w:val="-11"/>
          <w:vertAlign w:val="baseline"/>
        </w:rPr>
        <w:t> </w:t>
      </w:r>
      <w:r>
        <w:rPr>
          <w:spacing w:val="-2"/>
          <w:vertAlign w:val="baseline"/>
        </w:rPr>
        <w:t>forest</w:t>
      </w:r>
      <w:r>
        <w:rPr>
          <w:spacing w:val="-12"/>
          <w:vertAlign w:val="baseline"/>
        </w:rPr>
        <w:t> </w:t>
      </w:r>
      <w:r>
        <w:rPr>
          <w:vertAlign w:val="baseline"/>
        </w:rPr>
        <w:t>characteristics.</w:t>
      </w:r>
      <w:r>
        <w:rPr>
          <w:spacing w:val="-12"/>
          <w:vertAlign w:val="baseline"/>
        </w:rPr>
        <w:t> </w:t>
      </w:r>
      <w:r>
        <w:rPr>
          <w:vertAlign w:val="baseline"/>
        </w:rPr>
        <w:t>Whether </w:t>
      </w:r>
      <w:r>
        <w:rPr>
          <w:spacing w:val="-2"/>
          <w:vertAlign w:val="baseline"/>
        </w:rPr>
        <w:t>one </w:t>
      </w:r>
      <w:r>
        <w:rPr>
          <w:vertAlign w:val="baseline"/>
        </w:rPr>
        <w:t>uses circular or rectangular plots depends on local conditions. There are cases (e.g., rows of trees to serve as windbreaks or sand dune </w:t>
      </w:r>
      <w:r>
        <w:rPr>
          <w:spacing w:val="-3"/>
          <w:vertAlign w:val="baseline"/>
        </w:rPr>
        <w:t>stabilisation) where </w:t>
      </w:r>
      <w:r>
        <w:rPr>
          <w:vertAlign w:val="baseline"/>
        </w:rPr>
        <w:t>a </w:t>
      </w:r>
      <w:r>
        <w:rPr>
          <w:spacing w:val="-2"/>
          <w:vertAlign w:val="baseline"/>
        </w:rPr>
        <w:t>number </w:t>
      </w:r>
      <w:r>
        <w:rPr>
          <w:vertAlign w:val="baseline"/>
        </w:rPr>
        <w:t>of transects may be the </w:t>
      </w:r>
      <w:r>
        <w:rPr>
          <w:spacing w:val="-3"/>
          <w:vertAlign w:val="baseline"/>
        </w:rPr>
        <w:t>most </w:t>
      </w:r>
      <w:r>
        <w:rPr>
          <w:vertAlign w:val="baseline"/>
        </w:rPr>
        <w:t>appropriate sampling </w:t>
      </w:r>
      <w:r>
        <w:rPr>
          <w:spacing w:val="-3"/>
          <w:vertAlign w:val="baseline"/>
        </w:rPr>
        <w:t>method </w:t>
      </w:r>
      <w:r>
        <w:rPr>
          <w:vertAlign w:val="baseline"/>
        </w:rPr>
        <w:t>to</w:t>
      </w:r>
      <w:r>
        <w:rPr>
          <w:spacing w:val="-7"/>
          <w:vertAlign w:val="baseline"/>
        </w:rPr>
        <w:t> </w:t>
      </w:r>
      <w:r>
        <w:rPr>
          <w:vertAlign w:val="baseline"/>
        </w:rPr>
        <w:t>use;</w:t>
      </w:r>
      <w:r>
        <w:rPr>
          <w:spacing w:val="-8"/>
          <w:vertAlign w:val="baseline"/>
        </w:rPr>
        <w:t> </w:t>
      </w:r>
      <w:r>
        <w:rPr>
          <w:vertAlign w:val="baseline"/>
        </w:rPr>
        <w:t>and,</w:t>
      </w:r>
      <w:r>
        <w:rPr>
          <w:spacing w:val="-6"/>
          <w:vertAlign w:val="baseline"/>
        </w:rPr>
        <w:t> </w:t>
      </w:r>
      <w:r>
        <w:rPr>
          <w:vertAlign w:val="baseline"/>
        </w:rPr>
        <w:t>the</w:t>
      </w:r>
      <w:r>
        <w:rPr>
          <w:spacing w:val="-5"/>
          <w:vertAlign w:val="baseline"/>
        </w:rPr>
        <w:t> </w:t>
      </w:r>
      <w:r>
        <w:rPr>
          <w:spacing w:val="-2"/>
          <w:vertAlign w:val="baseline"/>
        </w:rPr>
        <w:t>number</w:t>
      </w:r>
      <w:r>
        <w:rPr>
          <w:spacing w:val="-6"/>
          <w:vertAlign w:val="baseline"/>
        </w:rPr>
        <w:t> </w:t>
      </w:r>
      <w:r>
        <w:rPr>
          <w:vertAlign w:val="baseline"/>
        </w:rPr>
        <w:t>of</w:t>
      </w:r>
      <w:r>
        <w:rPr>
          <w:spacing w:val="-9"/>
          <w:vertAlign w:val="baseline"/>
        </w:rPr>
        <w:t> </w:t>
      </w:r>
      <w:r>
        <w:rPr>
          <w:vertAlign w:val="baseline"/>
        </w:rPr>
        <w:t>transects</w:t>
      </w:r>
      <w:r>
        <w:rPr>
          <w:spacing w:val="-5"/>
          <w:vertAlign w:val="baseline"/>
        </w:rPr>
        <w:t> </w:t>
      </w:r>
      <w:r>
        <w:rPr>
          <w:spacing w:val="-2"/>
          <w:vertAlign w:val="baseline"/>
        </w:rPr>
        <w:t>needed</w:t>
      </w:r>
      <w:r>
        <w:rPr>
          <w:spacing w:val="-7"/>
          <w:vertAlign w:val="baseline"/>
        </w:rPr>
        <w:t> </w:t>
      </w:r>
      <w:r>
        <w:rPr>
          <w:spacing w:val="-2"/>
          <w:vertAlign w:val="baseline"/>
        </w:rPr>
        <w:t>should</w:t>
      </w:r>
      <w:r>
        <w:rPr>
          <w:spacing w:val="-6"/>
          <w:vertAlign w:val="baseline"/>
        </w:rPr>
        <w:t> </w:t>
      </w:r>
      <w:r>
        <w:rPr>
          <w:vertAlign w:val="baseline"/>
        </w:rPr>
        <w:t>be</w:t>
      </w:r>
      <w:r>
        <w:rPr>
          <w:spacing w:val="-7"/>
          <w:vertAlign w:val="baseline"/>
        </w:rPr>
        <w:t> </w:t>
      </w:r>
      <w:r>
        <w:rPr>
          <w:vertAlign w:val="baseline"/>
        </w:rPr>
        <w:t>based</w:t>
      </w:r>
      <w:r>
        <w:rPr>
          <w:spacing w:val="-6"/>
          <w:vertAlign w:val="baseline"/>
        </w:rPr>
        <w:t> </w:t>
      </w:r>
      <w:r>
        <w:rPr>
          <w:vertAlign w:val="baseline"/>
        </w:rPr>
        <w:t>on</w:t>
      </w:r>
      <w:r>
        <w:rPr>
          <w:spacing w:val="-9"/>
          <w:vertAlign w:val="baseline"/>
        </w:rPr>
        <w:t> </w:t>
      </w:r>
      <w:r>
        <w:rPr>
          <w:vertAlign w:val="baseline"/>
        </w:rPr>
        <w:t>the</w:t>
      </w:r>
      <w:r>
        <w:rPr>
          <w:spacing w:val="-5"/>
          <w:vertAlign w:val="baseline"/>
        </w:rPr>
        <w:t> </w:t>
      </w:r>
      <w:r>
        <w:rPr>
          <w:vertAlign w:val="baseline"/>
        </w:rPr>
        <w:t>variance,</w:t>
      </w:r>
      <w:r>
        <w:rPr>
          <w:spacing w:val="-6"/>
          <w:vertAlign w:val="baseline"/>
        </w:rPr>
        <w:t> </w:t>
      </w:r>
      <w:r>
        <w:rPr>
          <w:vertAlign w:val="baseline"/>
        </w:rPr>
        <w:t>as</w:t>
      </w:r>
      <w:r>
        <w:rPr>
          <w:spacing w:val="-8"/>
          <w:vertAlign w:val="baseline"/>
        </w:rPr>
        <w:t> </w:t>
      </w:r>
      <w:r>
        <w:rPr>
          <w:vertAlign w:val="baseline"/>
        </w:rPr>
        <w:t>described</w:t>
      </w:r>
      <w:r>
        <w:rPr>
          <w:spacing w:val="-7"/>
          <w:vertAlign w:val="baseline"/>
        </w:rPr>
        <w:t> </w:t>
      </w:r>
      <w:r>
        <w:rPr>
          <w:vertAlign w:val="baseline"/>
        </w:rPr>
        <w:t>above.</w:t>
      </w:r>
    </w:p>
    <w:p>
      <w:pPr>
        <w:pStyle w:val="BodyText"/>
        <w:rPr>
          <w:sz w:val="22"/>
        </w:rPr>
      </w:pPr>
    </w:p>
    <w:p>
      <w:pPr>
        <w:pStyle w:val="Heading6"/>
        <w:tabs>
          <w:tab w:pos="1619" w:val="left" w:leader="none"/>
        </w:tabs>
        <w:spacing w:line="280" w:lineRule="auto" w:before="147"/>
        <w:ind w:left="1619" w:right="2735" w:hanging="1440"/>
      </w:pPr>
      <w:r>
        <w:rPr>
          <w:spacing w:val="16"/>
          <w:sz w:val="28"/>
        </w:rPr>
        <w:t>4.3.3.5</w:t>
        <w:tab/>
      </w:r>
      <w:r>
        <w:rPr>
          <w:spacing w:val="15"/>
          <w:sz w:val="28"/>
        </w:rPr>
        <w:t>F</w:t>
      </w:r>
      <w:r>
        <w:rPr>
          <w:spacing w:val="15"/>
        </w:rPr>
        <w:t>IELD </w:t>
      </w:r>
      <w:r>
        <w:rPr>
          <w:spacing w:val="17"/>
        </w:rPr>
        <w:t>MEASUREMENTS </w:t>
      </w:r>
      <w:r>
        <w:rPr>
          <w:spacing w:val="12"/>
        </w:rPr>
        <w:t>AND </w:t>
      </w:r>
      <w:r>
        <w:rPr>
          <w:spacing w:val="14"/>
        </w:rPr>
        <w:t>DATA </w:t>
      </w:r>
      <w:r>
        <w:rPr>
          <w:spacing w:val="16"/>
        </w:rPr>
        <w:t>ANALYSIS </w:t>
      </w:r>
      <w:r>
        <w:rPr>
          <w:spacing w:val="13"/>
        </w:rPr>
        <w:t>FOR </w:t>
      </w:r>
      <w:r>
        <w:rPr>
          <w:spacing w:val="17"/>
        </w:rPr>
        <w:t>ESTIMATING </w:t>
      </w:r>
      <w:r>
        <w:rPr>
          <w:spacing w:val="16"/>
        </w:rPr>
        <w:t>CARBON</w:t>
      </w:r>
      <w:r>
        <w:rPr>
          <w:spacing w:val="-12"/>
        </w:rPr>
        <w:t> </w:t>
      </w:r>
      <w:r>
        <w:rPr>
          <w:spacing w:val="15"/>
        </w:rPr>
        <w:t>STOCKS</w:t>
      </w:r>
    </w:p>
    <w:p>
      <w:pPr>
        <w:pStyle w:val="BodyText"/>
        <w:spacing w:before="182"/>
        <w:ind w:left="179" w:right="1406"/>
        <w:jc w:val="both"/>
      </w:pPr>
      <w:r>
        <w:rPr/>
        <w:t>It is </w:t>
      </w:r>
      <w:r>
        <w:rPr>
          <w:i/>
        </w:rPr>
        <w:t>good practice </w:t>
      </w:r>
      <w:r>
        <w:rPr/>
        <w:t>to use standard techniques for field measurements of vegetation and soil. Details of such techniques are described in detail in MacDicken (1997) and Schlegel </w:t>
      </w:r>
      <w:r>
        <w:rPr>
          <w:i/>
        </w:rPr>
        <w:t>et al. </w:t>
      </w:r>
      <w:r>
        <w:rPr/>
        <w:t>(2001), among others. Any </w:t>
      </w:r>
      <w:r>
        <w:rPr>
          <w:i/>
        </w:rPr>
        <w:t>good practice </w:t>
      </w:r>
      <w:r>
        <w:rPr/>
        <w:t>method that requires ground-based field measurements should have a formal quality control plan (see</w:t>
      </w:r>
    </w:p>
    <w:p>
      <w:pPr>
        <w:spacing w:after="0"/>
        <w:jc w:val="both"/>
        <w:sectPr>
          <w:pgSz w:w="11900" w:h="16840"/>
          <w:pgMar w:header="233" w:footer="408" w:top="560" w:bottom="600" w:left="1240" w:right="0"/>
        </w:sectPr>
      </w:pPr>
    </w:p>
    <w:p>
      <w:pPr>
        <w:pStyle w:val="BodyText"/>
      </w:pPr>
    </w:p>
    <w:p>
      <w:pPr>
        <w:pStyle w:val="BodyText"/>
        <w:spacing w:before="2"/>
        <w:rPr>
          <w:sz w:val="18"/>
        </w:rPr>
      </w:pPr>
    </w:p>
    <w:p>
      <w:pPr>
        <w:pStyle w:val="BodyText"/>
        <w:ind w:left="179" w:right="1410"/>
        <w:jc w:val="both"/>
      </w:pPr>
      <w:r>
        <w:rPr/>
        <w:t>Section 4.3.4). This section focuses on what constitutes </w:t>
      </w:r>
      <w:r>
        <w:rPr>
          <w:i/>
        </w:rPr>
        <w:t>good practices </w:t>
      </w:r>
      <w:r>
        <w:rPr/>
        <w:t>in conducting these measurements and analysing them for carbon stock estimation.</w:t>
      </w:r>
    </w:p>
    <w:p>
      <w:pPr>
        <w:pStyle w:val="BodyText"/>
        <w:spacing w:before="121"/>
        <w:ind w:left="179" w:right="1408"/>
        <w:jc w:val="both"/>
      </w:pPr>
      <w:r>
        <w:rPr/>
        <w:t>For field measurements of carbon pools, the recommended sample unit is a permanent sample plot of nested fixed radius subplots (see above). The project area should be stratified as described in Section 4.3.3.2, and the number of sample plots to be established for each stratum should be</w:t>
      </w:r>
      <w:r>
        <w:rPr>
          <w:spacing w:val="-7"/>
        </w:rPr>
        <w:t> </w:t>
      </w:r>
      <w:r>
        <w:rPr/>
        <w:t>calculated.</w:t>
      </w:r>
    </w:p>
    <w:p>
      <w:pPr>
        <w:pStyle w:val="BodyText"/>
        <w:spacing w:before="119"/>
        <w:ind w:left="179" w:right="1404"/>
        <w:jc w:val="both"/>
      </w:pPr>
      <w:r>
        <w:rPr/>
        <w:t>All the biomass data obtained in field measurements must be expressed on an oven-dry basis, and converted to carbon by multiplying the oven-dry matter values by the carbon fraction of dry biomass. This value varies slightly depending on species and biomass component in question (trunk, branches, roots, understorey vegetation etc.) (see Chapter 3, Section 3.2). However, the value of 0.50 for the conversion is the approximation indicated in the </w:t>
      </w:r>
      <w:r>
        <w:rPr>
          <w:i/>
        </w:rPr>
        <w:t>IPCC Guidelines</w:t>
      </w:r>
      <w:r>
        <w:rPr/>
        <w:t>, and should be applied if no local values are</w:t>
      </w:r>
      <w:r>
        <w:rPr>
          <w:spacing w:val="-10"/>
        </w:rPr>
        <w:t> </w:t>
      </w:r>
      <w:r>
        <w:rPr/>
        <w:t>available.</w:t>
      </w:r>
    </w:p>
    <w:p>
      <w:pPr>
        <w:pStyle w:val="Heading6"/>
        <w:spacing w:line="490" w:lineRule="atLeast" w:before="8"/>
        <w:ind w:left="179" w:right="6354"/>
      </w:pPr>
      <w:r>
        <w:rPr/>
        <w:t>4.3.3.5 .1 ABOVEGROUND BIOMASS Trees </w:t>
      </w:r>
    </w:p>
    <w:p>
      <w:pPr>
        <w:pStyle w:val="BodyText"/>
        <w:spacing w:before="58"/>
        <w:ind w:left="179" w:right="1402"/>
        <w:jc w:val="both"/>
      </w:pPr>
      <w:r>
        <w:rPr/>
        <w:t>There are two approaches for estimating aboveground biomass in trees: a direct approach using allometric equations, and an indirect approach using biomass expansion factors. For LULUCF projects, it is </w:t>
      </w:r>
      <w:r>
        <w:rPr>
          <w:i/>
        </w:rPr>
        <w:t>good practice </w:t>
      </w:r>
      <w:r>
        <w:rPr/>
        <w:t>when using permanent sample plots to estimate the carbon stock of trees through the direct approach. The indirect approach is often used with temporary plots, a common practice in forest inventories. The details of both approaches are presented next.</w:t>
      </w:r>
    </w:p>
    <w:p>
      <w:pPr>
        <w:pStyle w:val="BodyText"/>
        <w:spacing w:before="1"/>
        <w:rPr>
          <w:sz w:val="21"/>
        </w:rPr>
      </w:pPr>
    </w:p>
    <w:p>
      <w:pPr>
        <w:pStyle w:val="Heading7"/>
        <w:spacing w:line="240" w:lineRule="auto"/>
        <w:ind w:left="179"/>
      </w:pPr>
      <w:r>
        <w:rPr/>
        <w:t>Direct approach</w:t>
      </w:r>
    </w:p>
    <w:p>
      <w:pPr>
        <w:pStyle w:val="BodyText"/>
        <w:spacing w:before="56"/>
        <w:ind w:left="179" w:right="1403"/>
        <w:jc w:val="both"/>
      </w:pPr>
      <w:r>
        <w:rPr>
          <w:b/>
        </w:rPr>
        <w:t>Step 1: </w:t>
      </w:r>
      <w:r>
        <w:rPr/>
        <w:t>The diameter at breast height (dbh; typically measured at 1.3 m above ground) of all the trees in the permanent sample plots above a minimum diameter is measured. The minimum dbh is often 5 cm, but can vary depending on the expected size of trees —for arid environments where trees grow slowly, the minimum dbh may be as small as 2.5 cm, whereas for humid environments where trees grow rapidly it could be up to 10 cm.</w:t>
      </w:r>
    </w:p>
    <w:p>
      <w:pPr>
        <w:pStyle w:val="BodyText"/>
        <w:spacing w:before="119"/>
        <w:ind w:left="179" w:right="1402"/>
        <w:jc w:val="both"/>
      </w:pPr>
      <w:r>
        <w:rPr/>
        <w:t>For afforestation/reforestation projects, small trees (e.g., saplings with dbh less than the minimum, but yet taller than breast height) will likely dominate during the early stages of establishment. These can be readily included in this approach by counting their number in a subplot.</w:t>
      </w:r>
    </w:p>
    <w:p>
      <w:pPr>
        <w:pStyle w:val="BodyText"/>
        <w:spacing w:before="119"/>
        <w:ind w:left="179" w:right="1402"/>
        <w:jc w:val="both"/>
      </w:pPr>
      <w:r>
        <w:rPr>
          <w:b/>
        </w:rPr>
        <w:t>Step 2: </w:t>
      </w:r>
      <w:r>
        <w:rPr/>
        <w:t>Biomass and carbon stock are estimated using appropriate allometric equations applied to the tree measurements in Step 1. There are many multi-species allometric equations for native temperate and tropical forest species (e.g., Araújo </w:t>
      </w:r>
      <w:r>
        <w:rPr>
          <w:i/>
        </w:rPr>
        <w:t>et al.</w:t>
      </w:r>
      <w:r>
        <w:rPr/>
        <w:t>, 1999; Brown, 1997; Schroeder </w:t>
      </w:r>
      <w:r>
        <w:rPr>
          <w:i/>
        </w:rPr>
        <w:t>et al.</w:t>
      </w:r>
      <w:r>
        <w:rPr/>
        <w:t>, 1997; Pérez and Kanninen, 2002 and 2003; Tables 4.A.1 to 4.A.3 of Annex 4A.2). These equations are developed using variables, singly or in combination, such as dbh, wood density, and total height as independent variables and aboveground biomass of trees as the dependent variable. Further discussion regarding the development of these equations and their use can be found in Brown (1997) and Parresol</w:t>
      </w:r>
      <w:r>
        <w:rPr>
          <w:spacing w:val="-4"/>
        </w:rPr>
        <w:t> </w:t>
      </w:r>
      <w:r>
        <w:rPr/>
        <w:t>(1999).</w:t>
      </w:r>
    </w:p>
    <w:p>
      <w:pPr>
        <w:pStyle w:val="BodyText"/>
        <w:spacing w:before="118"/>
        <w:ind w:left="179" w:right="1405"/>
        <w:jc w:val="both"/>
      </w:pPr>
      <w:r>
        <w:rPr/>
        <w:t>The minimum diameter tree included in most of the allometric equations (Tables 4.A.1–4.A.3 in Annex 4A.2) is smaller than the recommended minimum dbh given in Step 1 above, thus the biomass of these small trees can be estimated from the same allometric regressions. A typical approach is to estimate the common dbh of the saplings, usually the mid-point between the smallest size observed and the minimum diameter, estimate the biomass for this diameter sapling, and multiply this estimated biomass by the number of saplings counted. If the allometric equation does not include trees of the small size classes, an alternative approach to estimating the aboveground biomass is to grow and harvest about 10-15 such saplings planted in a site nearby the project area.</w:t>
      </w:r>
    </w:p>
    <w:p>
      <w:pPr>
        <w:pStyle w:val="BodyText"/>
        <w:spacing w:before="118"/>
        <w:ind w:left="179"/>
        <w:jc w:val="both"/>
      </w:pPr>
      <w:r>
        <w:rPr>
          <w:b/>
        </w:rPr>
        <w:t>Step 3: </w:t>
      </w:r>
      <w:r>
        <w:rPr/>
        <w:t>When allometric equations developed from a biome-wide database, such as those in Annex 4A.2, Tables</w:t>
      </w:r>
    </w:p>
    <w:p>
      <w:pPr>
        <w:pStyle w:val="BodyText"/>
        <w:spacing w:before="1"/>
        <w:ind w:left="179" w:right="1403"/>
        <w:jc w:val="both"/>
      </w:pPr>
      <w:r>
        <w:rPr/>
        <w:t>4.A.1 and 4.A.2, are used, it is </w:t>
      </w:r>
      <w:r>
        <w:rPr>
          <w:i/>
        </w:rPr>
        <w:t>good practice </w:t>
      </w:r>
      <w:r>
        <w:rPr/>
        <w:t>to verify the equation by destructively harvesting, within the project area but outside the sample plots, a few trees of different sizes and estimate their biomass and then compare against a selected equation. If the biomass estimated from the harvested trees is within about +/- 10% of that predicted by the equation, then it can be assumed that the selected equation is suitable for the project. If this is not the case, it is recommended to develop local allometric equations for the project use. For this, a sample of trees, representing different size classes, is destructively harvested, and its total aboveground biomass is determined. The number of trees to be destructively harvested and measured depends on the range of size classes and number of species—the greater the heterogeneity the more trees are required. If resources permit, the wood density (specific gravity) and the carbon content can be determined in the laboratory. Finally, allometric equations are constructed relating the biomass with values from easily measured variables, such as the dbh and total height. Further discussion of the development of local allometric equations is presented in Brown (1997), MacDicken (1997), Schlegel </w:t>
      </w:r>
      <w:r>
        <w:rPr>
          <w:i/>
        </w:rPr>
        <w:t>et al. </w:t>
      </w:r>
      <w:r>
        <w:rPr/>
        <w:t>(2001) and Segura and Kanninen</w:t>
      </w:r>
      <w:r>
        <w:rPr>
          <w:spacing w:val="-5"/>
        </w:rPr>
        <w:t> </w:t>
      </w:r>
      <w:r>
        <w:rPr/>
        <w:t>(2002).</w:t>
      </w:r>
    </w:p>
    <w:p>
      <w:pPr>
        <w:pStyle w:val="BodyText"/>
        <w:spacing w:before="118"/>
        <w:ind w:left="179" w:right="1405"/>
        <w:jc w:val="both"/>
      </w:pPr>
      <w:r>
        <w:rPr/>
        <w:t>Table 4.A.1 of Annex 4A.2 presents general allometric equations for estimating the aboveground biomass (kg dm/tree) for different forest types using the diameter at breast height as the independent variable. These equations are based on a multi-species database that contains biomass data for more than 450</w:t>
      </w:r>
      <w:r>
        <w:rPr>
          <w:spacing w:val="-28"/>
        </w:rPr>
        <w:t> </w:t>
      </w:r>
      <w:r>
        <w:rPr/>
        <w:t>individuals.</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5"/>
        <w:jc w:val="both"/>
      </w:pPr>
      <w:r>
        <w:rPr/>
        <w:t>In many tropical regions, palm trees of various species are common, both in restored forests and in abandoned pastures. Table 4.A.2 (Annex 4A.2) presents some allometric equations for estimating the aboveground biomass of several common palm species in tropical America. Biomass of palms does not relate well to their dbh; instead height is used alone as the independent variable.</w:t>
      </w:r>
    </w:p>
    <w:p>
      <w:pPr>
        <w:pStyle w:val="BodyText"/>
        <w:spacing w:before="119"/>
        <w:ind w:left="179" w:right="1404"/>
        <w:jc w:val="both"/>
      </w:pPr>
      <w:r>
        <w:rPr/>
        <w:t>Table 4.A.3 (Annex 4A.2) presents examples of allometric equations for individual species commonly used in the tropics. However, as discussed above, any project would need to assess the applicability of particular allometric equations for local conditions. This will be particularly important if species are grown in mixtures. If not, it is </w:t>
      </w:r>
      <w:r>
        <w:rPr>
          <w:i/>
        </w:rPr>
        <w:t>good practice </w:t>
      </w:r>
      <w:r>
        <w:rPr/>
        <w:t>either to validate existing equations with data collected at the project site or to develop local allometric equations based on field</w:t>
      </w:r>
      <w:r>
        <w:rPr>
          <w:spacing w:val="1"/>
        </w:rPr>
        <w:t> </w:t>
      </w:r>
      <w:r>
        <w:rPr/>
        <w:t>measurements.</w:t>
      </w:r>
    </w:p>
    <w:p>
      <w:pPr>
        <w:pStyle w:val="BodyText"/>
        <w:spacing w:before="4"/>
        <w:rPr>
          <w:sz w:val="21"/>
        </w:rPr>
      </w:pPr>
    </w:p>
    <w:p>
      <w:pPr>
        <w:pStyle w:val="Heading7"/>
        <w:spacing w:line="240" w:lineRule="auto"/>
        <w:ind w:left="179"/>
      </w:pPr>
      <w:r>
        <w:rPr/>
        <w:t>Indirect approach</w:t>
      </w:r>
    </w:p>
    <w:p>
      <w:pPr>
        <w:pStyle w:val="BodyText"/>
        <w:spacing w:before="54"/>
        <w:ind w:left="179" w:right="1406"/>
        <w:jc w:val="both"/>
      </w:pPr>
      <w:r>
        <w:rPr/>
        <w:t>An alternative approach for estimating aboveground biomass of forests, particularly commercial plantations, is to base it on the volume of the commercial component</w:t>
      </w:r>
      <w:r>
        <w:rPr>
          <w:vertAlign w:val="superscript"/>
        </w:rPr>
        <w:t>71</w:t>
      </w:r>
      <w:r>
        <w:rPr>
          <w:vertAlign w:val="baseline"/>
        </w:rPr>
        <w:t> of the tree for which there are often many equations or methods available for estimating this component. The indirect method is based on factors developed at the stand level, for closed canopy forests, and </w:t>
      </w:r>
      <w:r>
        <w:rPr>
          <w:u w:val="single"/>
          <w:vertAlign w:val="baseline"/>
        </w:rPr>
        <w:t>cannot</w:t>
      </w:r>
      <w:r>
        <w:rPr>
          <w:vertAlign w:val="baseline"/>
        </w:rPr>
        <w:t> be used for estimating biomass of individual trees. There are two ways of obtaining estimates of the commercial volume in this approach:</w:t>
      </w:r>
    </w:p>
    <w:p>
      <w:pPr>
        <w:pStyle w:val="BodyText"/>
        <w:spacing w:before="119"/>
        <w:ind w:left="179"/>
        <w:jc w:val="both"/>
      </w:pPr>
      <w:r>
        <w:rPr>
          <w:u w:val="single"/>
        </w:rPr>
        <w:t>Method 1:</w:t>
      </w:r>
    </w:p>
    <w:p>
      <w:pPr>
        <w:pStyle w:val="BodyText"/>
        <w:spacing w:before="121"/>
        <w:ind w:left="179"/>
        <w:jc w:val="both"/>
      </w:pPr>
      <w:r>
        <w:rPr>
          <w:b/>
        </w:rPr>
        <w:t>Step 1: </w:t>
      </w:r>
      <w:r>
        <w:rPr/>
        <w:t>As with the direct approach, the diameter of all trees above some minimum diameter is measured.</w:t>
      </w:r>
    </w:p>
    <w:p>
      <w:pPr>
        <w:pStyle w:val="BodyText"/>
        <w:spacing w:before="120"/>
        <w:ind w:left="179" w:right="1408"/>
        <w:jc w:val="both"/>
      </w:pPr>
      <w:r>
        <w:rPr>
          <w:b/>
        </w:rPr>
        <w:t>Step 2: </w:t>
      </w:r>
      <w:r>
        <w:rPr/>
        <w:t>The volume of the commercial component of each tree is then estimated based on locally derived methods or equations. The volume is then summed for all trees and expressed as volume per unit area (e.g., m</w:t>
      </w:r>
      <w:r>
        <w:rPr>
          <w:vertAlign w:val="superscript"/>
        </w:rPr>
        <w:t>3</w:t>
      </w:r>
      <w:r>
        <w:rPr>
          <w:vertAlign w:val="baseline"/>
        </w:rPr>
        <w:t>/ha).</w:t>
      </w:r>
    </w:p>
    <w:p>
      <w:pPr>
        <w:pStyle w:val="BodyText"/>
        <w:spacing w:before="119"/>
        <w:ind w:left="179"/>
        <w:jc w:val="both"/>
      </w:pPr>
      <w:r>
        <w:rPr>
          <w:u w:val="single"/>
        </w:rPr>
        <w:t>Method 2:</w:t>
      </w:r>
    </w:p>
    <w:p>
      <w:pPr>
        <w:pStyle w:val="BodyText"/>
        <w:spacing w:before="120"/>
        <w:ind w:left="179" w:right="1406"/>
        <w:jc w:val="both"/>
      </w:pPr>
      <w:r>
        <w:rPr>
          <w:b/>
        </w:rPr>
        <w:t>Steps 1 and 2 combined: </w:t>
      </w:r>
      <w:r>
        <w:rPr/>
        <w:t>There are field instruments ( e.g., relascope) that measure volume directly. Using this instrument or other appropriate means, the volume of each tree in the plots is measured. The sum for all trees is then expressed as volume per unit area.</w:t>
      </w:r>
    </w:p>
    <w:p>
      <w:pPr>
        <w:pStyle w:val="BodyText"/>
        <w:spacing w:before="119"/>
        <w:ind w:left="179" w:right="1404"/>
        <w:jc w:val="both"/>
      </w:pPr>
      <w:r>
        <w:rPr/>
        <w:t>Once the volume of the commercial component is estimated, it then needs to be converted to biomass and then estimates of the other tree components, such as branches, twigs, and leaves need to be added. This method is expressed in Equation 4.3.1 (Brown, 1997) (see also Section 3.2.1.1 on use of BEF and Annex 3A.1, Table 3A.1.10):</w:t>
      </w:r>
    </w:p>
    <w:p>
      <w:pPr>
        <w:pStyle w:val="BodyText"/>
      </w:pPr>
    </w:p>
    <w:p>
      <w:pPr>
        <w:pStyle w:val="BodyText"/>
        <w:spacing w:before="6"/>
        <w:rPr>
          <w:sz w:val="21"/>
        </w:rPr>
      </w:pPr>
      <w:r>
        <w:rPr/>
        <w:pict>
          <v:shape style="position:absolute;margin-left:91.960999pt;margin-top:15.111299pt;width:411.5pt;height:49.95pt;mso-position-horizontal-relative:page;mso-position-vertical-relative:paragraph;z-index:20336;mso-wrap-distance-left:0;mso-wrap-distance-right:0" type="#_x0000_t202" filled="false" stroked="true" strokeweight="1.44pt" strokecolor="#000000">
            <v:textbox inset="0,0,0,0">
              <w:txbxContent>
                <w:p>
                  <w:pPr>
                    <w:spacing w:line="229" w:lineRule="exact" w:before="99"/>
                    <w:ind w:left="67" w:right="68" w:firstLine="0"/>
                    <w:jc w:val="center"/>
                    <w:rPr>
                      <w:b/>
                      <w:sz w:val="20"/>
                    </w:rPr>
                  </w:pPr>
                  <w:r>
                    <w:rPr>
                      <w:b/>
                      <w:sz w:val="20"/>
                    </w:rPr>
                    <w:t>E</w:t>
                  </w:r>
                  <w:r>
                    <w:rPr>
                      <w:b/>
                      <w:sz w:val="16"/>
                    </w:rPr>
                    <w:t>QUATION </w:t>
                  </w:r>
                  <w:r>
                    <w:rPr>
                      <w:b/>
                      <w:sz w:val="20"/>
                    </w:rPr>
                    <w:t>4.3.1</w:t>
                  </w:r>
                </w:p>
                <w:p>
                  <w:pPr>
                    <w:spacing w:line="229" w:lineRule="exact" w:before="0"/>
                    <w:ind w:left="68" w:right="68" w:firstLine="0"/>
                    <w:jc w:val="center"/>
                    <w:rPr>
                      <w:b/>
                      <w:sz w:val="16"/>
                    </w:rPr>
                  </w:pPr>
                  <w:r>
                    <w:rPr>
                      <w:b/>
                      <w:sz w:val="20"/>
                    </w:rPr>
                    <w:t>E</w:t>
                  </w:r>
                  <w:r>
                    <w:rPr>
                      <w:b/>
                      <w:sz w:val="16"/>
                    </w:rPr>
                    <w:t>STIMATION OF ABOVEGROUND BIOMASS OF FORESTS</w:t>
                  </w:r>
                </w:p>
                <w:p>
                  <w:pPr>
                    <w:pStyle w:val="BodyText"/>
                    <w:spacing w:before="79"/>
                    <w:ind w:left="67" w:right="68"/>
                    <w:jc w:val="center"/>
                  </w:pPr>
                  <w:r>
                    <w:rPr/>
                    <w:t>Aboveground biomass = Commercial tree volume ● D ● BEF</w:t>
                  </w:r>
                </w:p>
              </w:txbxContent>
            </v:textbox>
            <v:stroke dashstyle="solid"/>
            <w10:wrap type="topAndBottom"/>
          </v:shape>
        </w:pict>
      </w:r>
    </w:p>
    <w:p>
      <w:pPr>
        <w:pStyle w:val="BodyText"/>
        <w:spacing w:before="4"/>
        <w:ind w:left="179"/>
      </w:pPr>
      <w:r>
        <w:rPr/>
        <w:t>Where:</w:t>
      </w:r>
    </w:p>
    <w:p>
      <w:pPr>
        <w:pStyle w:val="BodyText"/>
        <w:spacing w:line="362" w:lineRule="auto" w:before="121"/>
        <w:ind w:left="745" w:right="6026"/>
      </w:pPr>
      <w:r>
        <w:rPr/>
        <w:t>Aboveground biomass, tonnes of dry matter ha</w:t>
      </w:r>
      <w:r>
        <w:rPr>
          <w:vertAlign w:val="superscript"/>
        </w:rPr>
        <w:t>-1</w:t>
      </w:r>
      <w:r>
        <w:rPr>
          <w:vertAlign w:val="baseline"/>
        </w:rPr>
        <w:t> Commercial tree volume, m</w:t>
      </w:r>
      <w:r>
        <w:rPr>
          <w:vertAlign w:val="superscript"/>
        </w:rPr>
        <w:t>3</w:t>
      </w:r>
      <w:r>
        <w:rPr>
          <w:vertAlign w:val="baseline"/>
        </w:rPr>
        <w:t> ha</w:t>
      </w:r>
      <w:r>
        <w:rPr>
          <w:vertAlign w:val="superscript"/>
        </w:rPr>
        <w:t>-1</w:t>
      </w:r>
    </w:p>
    <w:p>
      <w:pPr>
        <w:pStyle w:val="BodyText"/>
        <w:spacing w:before="3"/>
        <w:ind w:left="745"/>
      </w:pPr>
      <w:r>
        <w:rPr/>
        <w:t>D = volume-weighted average wood density, tonnes of oven-dry matter per m</w:t>
      </w:r>
      <w:r>
        <w:rPr>
          <w:vertAlign w:val="superscript"/>
        </w:rPr>
        <w:t>3</w:t>
      </w:r>
      <w:r>
        <w:rPr>
          <w:vertAlign w:val="baseline"/>
        </w:rPr>
        <w:t> of green volume</w:t>
      </w:r>
    </w:p>
    <w:p>
      <w:pPr>
        <w:pStyle w:val="BodyText"/>
        <w:spacing w:before="121"/>
        <w:ind w:left="1103" w:right="1407" w:hanging="358"/>
      </w:pPr>
      <w:r>
        <w:rPr/>
        <w:t>BEF = biomass expansion factor (ratio of aboveground oven-dry biomass of trees to oven-dry biomass of commercial volume), dimensionless.</w:t>
      </w:r>
    </w:p>
    <w:p>
      <w:pPr>
        <w:pStyle w:val="BodyText"/>
        <w:spacing w:before="118"/>
        <w:ind w:left="179" w:right="1404"/>
        <w:jc w:val="both"/>
      </w:pPr>
      <w:r>
        <w:rPr/>
        <w:t>Wood </w:t>
      </w:r>
      <w:r>
        <w:rPr>
          <w:spacing w:val="-3"/>
        </w:rPr>
        <w:t>density </w:t>
      </w:r>
      <w:r>
        <w:rPr/>
        <w:t>values of most commercially important species are generally available (see, </w:t>
      </w:r>
      <w:r>
        <w:rPr>
          <w:spacing w:val="-2"/>
        </w:rPr>
        <w:t>for </w:t>
      </w:r>
      <w:r>
        <w:rPr/>
        <w:t>example, </w:t>
      </w:r>
      <w:r>
        <w:rPr>
          <w:spacing w:val="-2"/>
        </w:rPr>
        <w:t>Brown, </w:t>
      </w:r>
      <w:r>
        <w:rPr/>
        <w:t>1997; Fearnside, 1997; and Annex 3A.1 Table 3A.1.9) or relatively </w:t>
      </w:r>
      <w:r>
        <w:rPr>
          <w:spacing w:val="-3"/>
        </w:rPr>
        <w:t>straightforward </w:t>
      </w:r>
      <w:r>
        <w:rPr/>
        <w:t>to measure. Most published density values are </w:t>
      </w:r>
      <w:r>
        <w:rPr>
          <w:spacing w:val="-2"/>
        </w:rPr>
        <w:t>for </w:t>
      </w:r>
      <w:r>
        <w:rPr/>
        <w:t>mature </w:t>
      </w:r>
      <w:r>
        <w:rPr>
          <w:spacing w:val="-3"/>
        </w:rPr>
        <w:t>individuals; </w:t>
      </w:r>
      <w:r>
        <w:rPr/>
        <w:t>if </w:t>
      </w:r>
      <w:r>
        <w:rPr>
          <w:spacing w:val="-3"/>
        </w:rPr>
        <w:t>wood </w:t>
      </w:r>
      <w:r>
        <w:rPr/>
        <w:t>densities are </w:t>
      </w:r>
      <w:r>
        <w:rPr>
          <w:spacing w:val="-2"/>
        </w:rPr>
        <w:t>not </w:t>
      </w:r>
      <w:r>
        <w:rPr/>
        <w:t>available </w:t>
      </w:r>
      <w:r>
        <w:rPr>
          <w:spacing w:val="-2"/>
        </w:rPr>
        <w:t>for </w:t>
      </w:r>
      <w:r>
        <w:rPr/>
        <w:t>young </w:t>
      </w:r>
      <w:r>
        <w:rPr>
          <w:spacing w:val="-3"/>
        </w:rPr>
        <w:t>individuals, </w:t>
      </w:r>
      <w:r>
        <w:rPr/>
        <w:t>it is recommended that measurements be </w:t>
      </w:r>
      <w:r>
        <w:rPr>
          <w:spacing w:val="-3"/>
        </w:rPr>
        <w:t>made. </w:t>
      </w:r>
      <w:r>
        <w:rPr/>
        <w:t>The BEF is significantly related to </w:t>
      </w:r>
      <w:r>
        <w:rPr>
          <w:spacing w:val="-2"/>
        </w:rPr>
        <w:t>the </w:t>
      </w:r>
      <w:r>
        <w:rPr/>
        <w:t>commercial biomass </w:t>
      </w:r>
      <w:r>
        <w:rPr>
          <w:spacing w:val="-2"/>
        </w:rPr>
        <w:t>for </w:t>
      </w:r>
      <w:r>
        <w:rPr>
          <w:spacing w:val="-3"/>
        </w:rPr>
        <w:t>most </w:t>
      </w:r>
      <w:r>
        <w:rPr>
          <w:spacing w:val="-2"/>
        </w:rPr>
        <w:t>forest</w:t>
      </w:r>
      <w:r>
        <w:rPr>
          <w:spacing w:val="-6"/>
        </w:rPr>
        <w:t> </w:t>
      </w:r>
      <w:r>
        <w:rPr/>
        <w:t>types</w:t>
      </w:r>
      <w:r>
        <w:rPr>
          <w:spacing w:val="-7"/>
        </w:rPr>
        <w:t> </w:t>
      </w:r>
      <w:r>
        <w:rPr/>
        <w:t>(in</w:t>
      </w:r>
      <w:r>
        <w:rPr>
          <w:spacing w:val="-7"/>
        </w:rPr>
        <w:t> </w:t>
      </w:r>
      <w:r>
        <w:rPr/>
        <w:t>these</w:t>
      </w:r>
      <w:r>
        <w:rPr>
          <w:spacing w:val="-5"/>
        </w:rPr>
        <w:t> </w:t>
      </w:r>
      <w:r>
        <w:rPr/>
        <w:t>examples,</w:t>
      </w:r>
      <w:r>
        <w:rPr>
          <w:spacing w:val="-5"/>
        </w:rPr>
        <w:t> </w:t>
      </w:r>
      <w:r>
        <w:rPr>
          <w:spacing w:val="-3"/>
        </w:rPr>
        <w:t>volume</w:t>
      </w:r>
      <w:r>
        <w:rPr>
          <w:spacing w:val="-6"/>
        </w:rPr>
        <w:t> </w:t>
      </w:r>
      <w:r>
        <w:rPr/>
        <w:t>is</w:t>
      </w:r>
      <w:r>
        <w:rPr>
          <w:spacing w:val="-7"/>
        </w:rPr>
        <w:t> </w:t>
      </w:r>
      <w:r>
        <w:rPr/>
        <w:t>over-bark</w:t>
      </w:r>
      <w:r>
        <w:rPr>
          <w:spacing w:val="-7"/>
        </w:rPr>
        <w:t> </w:t>
      </w:r>
      <w:r>
        <w:rPr>
          <w:spacing w:val="-2"/>
        </w:rPr>
        <w:t>for</w:t>
      </w:r>
      <w:r>
        <w:rPr>
          <w:spacing w:val="-5"/>
        </w:rPr>
        <w:t> </w:t>
      </w:r>
      <w:r>
        <w:rPr/>
        <w:t>all</w:t>
      </w:r>
      <w:r>
        <w:rPr>
          <w:spacing w:val="-6"/>
        </w:rPr>
        <w:t> </w:t>
      </w:r>
      <w:r>
        <w:rPr/>
        <w:t>trees</w:t>
      </w:r>
      <w:r>
        <w:rPr>
          <w:spacing w:val="-4"/>
        </w:rPr>
        <w:t> </w:t>
      </w:r>
      <w:r>
        <w:rPr/>
        <w:t>with</w:t>
      </w:r>
      <w:r>
        <w:rPr>
          <w:spacing w:val="-7"/>
        </w:rPr>
        <w:t> </w:t>
      </w:r>
      <w:r>
        <w:rPr/>
        <w:t>a</w:t>
      </w:r>
      <w:r>
        <w:rPr>
          <w:spacing w:val="-5"/>
        </w:rPr>
        <w:t> </w:t>
      </w:r>
      <w:r>
        <w:rPr/>
        <w:t>dbh</w:t>
      </w:r>
      <w:r>
        <w:rPr>
          <w:spacing w:val="-7"/>
        </w:rPr>
        <w:t> </w:t>
      </w:r>
      <w:r>
        <w:rPr/>
        <w:t>of</w:t>
      </w:r>
      <w:r>
        <w:rPr>
          <w:spacing w:val="-8"/>
        </w:rPr>
        <w:t> </w:t>
      </w:r>
      <w:r>
        <w:rPr/>
        <w:t>10</w:t>
      </w:r>
      <w:r>
        <w:rPr>
          <w:spacing w:val="-5"/>
        </w:rPr>
        <w:t> </w:t>
      </w:r>
      <w:r>
        <w:rPr/>
        <w:t>cm</w:t>
      </w:r>
      <w:r>
        <w:rPr>
          <w:spacing w:val="-6"/>
        </w:rPr>
        <w:t> </w:t>
      </w:r>
      <w:r>
        <w:rPr>
          <w:spacing w:val="-2"/>
        </w:rPr>
        <w:t>and</w:t>
      </w:r>
      <w:r>
        <w:rPr>
          <w:spacing w:val="-6"/>
        </w:rPr>
        <w:t> </w:t>
      </w:r>
      <w:r>
        <w:rPr/>
        <w:t>above),</w:t>
      </w:r>
      <w:r>
        <w:rPr>
          <w:spacing w:val="-5"/>
        </w:rPr>
        <w:t> </w:t>
      </w:r>
      <w:r>
        <w:rPr/>
        <w:t>generally</w:t>
      </w:r>
      <w:r>
        <w:rPr>
          <w:spacing w:val="-6"/>
        </w:rPr>
        <w:t> </w:t>
      </w:r>
      <w:r>
        <w:rPr>
          <w:spacing w:val="-3"/>
        </w:rPr>
        <w:t>starting </w:t>
      </w:r>
      <w:r>
        <w:rPr/>
        <w:t>high (&gt;4.0) at low </w:t>
      </w:r>
      <w:r>
        <w:rPr>
          <w:spacing w:val="-3"/>
        </w:rPr>
        <w:t>volumes, </w:t>
      </w:r>
      <w:r>
        <w:rPr/>
        <w:t>then declining at an exponential rate to a constant low </w:t>
      </w:r>
      <w:r>
        <w:rPr>
          <w:spacing w:val="-3"/>
        </w:rPr>
        <w:t>value </w:t>
      </w:r>
      <w:r>
        <w:rPr>
          <w:spacing w:val="-2"/>
        </w:rPr>
        <w:t>(about </w:t>
      </w:r>
      <w:r>
        <w:rPr/>
        <w:t>1.3-1.8) at </w:t>
      </w:r>
      <w:r>
        <w:rPr>
          <w:spacing w:val="-3"/>
        </w:rPr>
        <w:t>high volumes. </w:t>
      </w:r>
      <w:r>
        <w:rPr/>
        <w:t>Thus, using </w:t>
      </w:r>
      <w:r>
        <w:rPr>
          <w:spacing w:val="-2"/>
        </w:rPr>
        <w:t>one </w:t>
      </w:r>
      <w:r>
        <w:rPr>
          <w:spacing w:val="-3"/>
        </w:rPr>
        <w:t>value </w:t>
      </w:r>
      <w:r>
        <w:rPr>
          <w:spacing w:val="-2"/>
        </w:rPr>
        <w:t>for </w:t>
      </w:r>
      <w:r>
        <w:rPr/>
        <w:t>the BEF </w:t>
      </w:r>
      <w:r>
        <w:rPr>
          <w:spacing w:val="-2"/>
        </w:rPr>
        <w:t>for </w:t>
      </w:r>
      <w:r>
        <w:rPr/>
        <w:t>all values of standing </w:t>
      </w:r>
      <w:r>
        <w:rPr>
          <w:spacing w:val="-3"/>
        </w:rPr>
        <w:t>volume </w:t>
      </w:r>
      <w:r>
        <w:rPr/>
        <w:t>is incorrect. It is recommended to either develop a local regression equation </w:t>
      </w:r>
      <w:r>
        <w:rPr>
          <w:spacing w:val="-2"/>
        </w:rPr>
        <w:t>for </w:t>
      </w:r>
      <w:r>
        <w:rPr/>
        <w:t>this relationship or </w:t>
      </w:r>
      <w:r>
        <w:rPr>
          <w:spacing w:val="-3"/>
        </w:rPr>
        <w:t>use </w:t>
      </w:r>
      <w:r>
        <w:rPr/>
        <w:t>those in Annex 3A.1 Table </w:t>
      </w:r>
      <w:r>
        <w:rPr>
          <w:spacing w:val="-3"/>
        </w:rPr>
        <w:t>3A.1.10 </w:t>
      </w:r>
      <w:r>
        <w:rPr/>
        <w:t>or from </w:t>
      </w:r>
      <w:r>
        <w:rPr>
          <w:spacing w:val="-3"/>
        </w:rPr>
        <w:t>published</w:t>
      </w:r>
      <w:r>
        <w:rPr>
          <w:spacing w:val="-8"/>
        </w:rPr>
        <w:t> </w:t>
      </w:r>
      <w:r>
        <w:rPr/>
        <w:t>sources</w:t>
      </w:r>
      <w:r>
        <w:rPr>
          <w:spacing w:val="-8"/>
        </w:rPr>
        <w:t> </w:t>
      </w:r>
      <w:r>
        <w:rPr/>
        <w:t>(</w:t>
      </w:r>
      <w:r>
        <w:rPr>
          <w:spacing w:val="-7"/>
        </w:rPr>
        <w:t> </w:t>
      </w:r>
      <w:r>
        <w:rPr/>
        <w:t>e.g.,</w:t>
      </w:r>
      <w:r>
        <w:rPr>
          <w:spacing w:val="-7"/>
        </w:rPr>
        <w:t> </w:t>
      </w:r>
      <w:r>
        <w:rPr>
          <w:spacing w:val="-2"/>
        </w:rPr>
        <w:t>Brown,</w:t>
      </w:r>
      <w:r>
        <w:rPr>
          <w:spacing w:val="-7"/>
        </w:rPr>
        <w:t> </w:t>
      </w:r>
      <w:r>
        <w:rPr/>
        <w:t>1997;</w:t>
      </w:r>
      <w:r>
        <w:rPr>
          <w:spacing w:val="-8"/>
        </w:rPr>
        <w:t> </w:t>
      </w:r>
      <w:r>
        <w:rPr/>
        <w:t>Brown</w:t>
      </w:r>
      <w:r>
        <w:rPr>
          <w:spacing w:val="-9"/>
        </w:rPr>
        <w:t> </w:t>
      </w:r>
      <w:r>
        <w:rPr>
          <w:spacing w:val="-2"/>
        </w:rPr>
        <w:t>and</w:t>
      </w:r>
      <w:r>
        <w:rPr>
          <w:spacing w:val="-7"/>
        </w:rPr>
        <w:t> </w:t>
      </w:r>
      <w:r>
        <w:rPr/>
        <w:t>Schroeder,</w:t>
      </w:r>
      <w:r>
        <w:rPr>
          <w:spacing w:val="-4"/>
        </w:rPr>
        <w:t> </w:t>
      </w:r>
      <w:r>
        <w:rPr/>
        <w:t>1999;</w:t>
      </w:r>
      <w:r>
        <w:rPr>
          <w:spacing w:val="-8"/>
        </w:rPr>
        <w:t> </w:t>
      </w:r>
      <w:r>
        <w:rPr>
          <w:spacing w:val="-3"/>
        </w:rPr>
        <w:t>Fang</w:t>
      </w:r>
      <w:r>
        <w:rPr>
          <w:spacing w:val="-9"/>
        </w:rPr>
        <w:t> </w:t>
      </w:r>
      <w:r>
        <w:rPr/>
        <w:t>et</w:t>
      </w:r>
      <w:r>
        <w:rPr>
          <w:spacing w:val="-8"/>
        </w:rPr>
        <w:t> </w:t>
      </w:r>
      <w:r>
        <w:rPr/>
        <w:t>al.,</w:t>
      </w:r>
      <w:r>
        <w:rPr>
          <w:spacing w:val="-7"/>
        </w:rPr>
        <w:t> </w:t>
      </w:r>
      <w:r>
        <w:rPr/>
        <w:t>2001).</w:t>
      </w:r>
      <w:r>
        <w:rPr>
          <w:spacing w:val="-7"/>
        </w:rPr>
        <w:t> </w:t>
      </w:r>
      <w:r>
        <w:rPr>
          <w:spacing w:val="-3"/>
        </w:rPr>
        <w:t>Additional</w:t>
      </w:r>
      <w:r>
        <w:rPr>
          <w:spacing w:val="-8"/>
        </w:rPr>
        <w:t> </w:t>
      </w:r>
      <w:r>
        <w:rPr>
          <w:spacing w:val="-3"/>
        </w:rPr>
        <w:t>discussion</w:t>
      </w:r>
      <w:r>
        <w:rPr>
          <w:spacing w:val="-9"/>
        </w:rPr>
        <w:t> </w:t>
      </w:r>
      <w:r>
        <w:rPr/>
        <w:t>on</w:t>
      </w:r>
      <w:r>
        <w:rPr>
          <w:spacing w:val="-9"/>
        </w:rPr>
        <w:t> </w:t>
      </w:r>
      <w:r>
        <w:rPr/>
        <w:t>the topic</w:t>
      </w:r>
      <w:r>
        <w:rPr>
          <w:spacing w:val="-7"/>
        </w:rPr>
        <w:t> </w:t>
      </w:r>
      <w:r>
        <w:rPr/>
        <w:t>of</w:t>
      </w:r>
      <w:r>
        <w:rPr>
          <w:spacing w:val="-9"/>
        </w:rPr>
        <w:t> </w:t>
      </w:r>
      <w:r>
        <w:rPr/>
        <w:t>converting</w:t>
      </w:r>
      <w:r>
        <w:rPr>
          <w:spacing w:val="-7"/>
        </w:rPr>
        <w:t> </w:t>
      </w:r>
      <w:r>
        <w:rPr/>
        <w:t>commercial</w:t>
      </w:r>
      <w:r>
        <w:rPr>
          <w:spacing w:val="-6"/>
        </w:rPr>
        <w:t> </w:t>
      </w:r>
      <w:r>
        <w:rPr>
          <w:spacing w:val="-3"/>
        </w:rPr>
        <w:t>volume</w:t>
      </w:r>
      <w:r>
        <w:rPr>
          <w:spacing w:val="-7"/>
        </w:rPr>
        <w:t> </w:t>
      </w:r>
      <w:r>
        <w:rPr/>
        <w:t>to</w:t>
      </w:r>
      <w:r>
        <w:rPr>
          <w:spacing w:val="-7"/>
        </w:rPr>
        <w:t> </w:t>
      </w:r>
      <w:r>
        <w:rPr/>
        <w:t>biomass</w:t>
      </w:r>
      <w:r>
        <w:rPr>
          <w:spacing w:val="-9"/>
        </w:rPr>
        <w:t> </w:t>
      </w:r>
      <w:r>
        <w:rPr/>
        <w:t>is</w:t>
      </w:r>
      <w:r>
        <w:rPr>
          <w:spacing w:val="-8"/>
        </w:rPr>
        <w:t> </w:t>
      </w:r>
      <w:r>
        <w:rPr/>
        <w:t>provided</w:t>
      </w:r>
      <w:r>
        <w:rPr>
          <w:spacing w:val="-5"/>
        </w:rPr>
        <w:t> </w:t>
      </w:r>
      <w:r>
        <w:rPr/>
        <w:t>in</w:t>
      </w:r>
      <w:r>
        <w:rPr>
          <w:spacing w:val="-6"/>
        </w:rPr>
        <w:t> </w:t>
      </w:r>
      <w:r>
        <w:rPr/>
        <w:t>Section</w:t>
      </w:r>
      <w:r>
        <w:rPr>
          <w:spacing w:val="-9"/>
        </w:rPr>
        <w:t> </w:t>
      </w:r>
      <w:r>
        <w:rPr/>
        <w:t>3.2.1.1</w:t>
      </w:r>
      <w:r>
        <w:rPr>
          <w:spacing w:val="-7"/>
        </w:rPr>
        <w:t> </w:t>
      </w:r>
      <w:r>
        <w:rPr/>
        <w:t>of</w:t>
      </w:r>
      <w:r>
        <w:rPr>
          <w:spacing w:val="-7"/>
        </w:rPr>
        <w:t> </w:t>
      </w:r>
      <w:r>
        <w:rPr/>
        <w:t>this</w:t>
      </w:r>
      <w:r>
        <w:rPr>
          <w:spacing w:val="-9"/>
        </w:rPr>
        <w:t> </w:t>
      </w:r>
      <w:r>
        <w:rPr/>
        <w:t>report.</w:t>
      </w:r>
    </w:p>
    <w:p>
      <w:pPr>
        <w:pStyle w:val="BodyText"/>
        <w:rPr>
          <w:sz w:val="14"/>
        </w:rPr>
      </w:pPr>
      <w:r>
        <w:rPr/>
        <w:pict>
          <v:line style="position:absolute;mso-position-horizontal-relative:page;mso-position-vertical-relative:paragraph;z-index:20360;mso-wrap-distance-left:0;mso-wrap-distance-right:0" from="70.960999pt,10.296621pt" to="214.960999pt,10.296621pt" stroked="true" strokeweight=".48pt" strokecolor="#000000">
            <v:stroke dashstyle="solid"/>
            <w10:wrap type="topAndBottom"/>
          </v:line>
        </w:pict>
      </w:r>
    </w:p>
    <w:p>
      <w:pPr>
        <w:spacing w:before="150"/>
        <w:ind w:left="337" w:right="1407" w:hanging="159"/>
        <w:jc w:val="left"/>
        <w:rPr>
          <w:sz w:val="18"/>
        </w:rPr>
      </w:pPr>
      <w:r>
        <w:rPr>
          <w:position w:val="8"/>
          <w:sz w:val="12"/>
        </w:rPr>
        <w:t>71 </w:t>
      </w:r>
      <w:r>
        <w:rPr>
          <w:sz w:val="18"/>
        </w:rPr>
        <w:t>It is important to state whether the volume is estimated as over or under bark; in case of under-bark volume, the expansion factor needs to take bark into account.</w:t>
      </w:r>
    </w:p>
    <w:p>
      <w:pPr>
        <w:spacing w:after="0"/>
        <w:jc w:val="left"/>
        <w:rPr>
          <w:sz w:val="18"/>
        </w:rPr>
        <w:sectPr>
          <w:pgSz w:w="11900" w:h="16840"/>
          <w:pgMar w:header="233" w:footer="408" w:top="560" w:bottom="600" w:left="1240" w:right="0"/>
        </w:sectPr>
      </w:pPr>
    </w:p>
    <w:p>
      <w:pPr>
        <w:pStyle w:val="BodyText"/>
      </w:pPr>
    </w:p>
    <w:p>
      <w:pPr>
        <w:pStyle w:val="BodyText"/>
        <w:spacing w:before="2"/>
        <w:rPr>
          <w:sz w:val="18"/>
        </w:rPr>
      </w:pPr>
    </w:p>
    <w:p>
      <w:pPr>
        <w:pStyle w:val="BodyText"/>
        <w:ind w:left="179" w:right="1402"/>
        <w:jc w:val="both"/>
      </w:pPr>
      <w:r>
        <w:rPr/>
        <w:t>If a significant amount of effort is required to develop local BEFs, involving, for instance, harvest of trees, then it is recommended not to use this approach but rather to use the resources to develop local allometric equations as described under the direct approach above. The direct approach generally results in more precise biomass estimates than the indirect approach because the calculations of the former involve only one step (e.g., dbh to biomass), whereas the indirect approach involves several steps (diameter and height to volume, volume to volume-based biomass, estimation of BEF based on volume, product of three variables to</w:t>
      </w:r>
      <w:r>
        <w:rPr>
          <w:spacing w:val="-19"/>
        </w:rPr>
        <w:t> </w:t>
      </w:r>
      <w:r>
        <w:rPr/>
        <w:t>biomass).</w:t>
      </w:r>
    </w:p>
    <w:p>
      <w:pPr>
        <w:pStyle w:val="BodyText"/>
        <w:spacing w:before="4"/>
        <w:rPr>
          <w:sz w:val="21"/>
        </w:rPr>
      </w:pPr>
    </w:p>
    <w:p>
      <w:pPr>
        <w:pStyle w:val="Heading6"/>
        <w:ind w:left="179"/>
        <w:jc w:val="both"/>
      </w:pPr>
      <w:r>
        <w:rPr/>
        <w:t>Non-tree vegetation</w:t>
      </w:r>
    </w:p>
    <w:p>
      <w:pPr>
        <w:pStyle w:val="BodyText"/>
        <w:spacing w:before="114"/>
        <w:ind w:left="179" w:right="1399"/>
        <w:jc w:val="both"/>
      </w:pPr>
      <w:r>
        <w:rPr/>
        <w:t>Non-tree</w:t>
      </w:r>
      <w:r>
        <w:rPr>
          <w:spacing w:val="-10"/>
        </w:rPr>
        <w:t> </w:t>
      </w:r>
      <w:r>
        <w:rPr/>
        <w:t>vegetation</w:t>
      </w:r>
      <w:r>
        <w:rPr>
          <w:spacing w:val="-11"/>
        </w:rPr>
        <w:t> </w:t>
      </w:r>
      <w:r>
        <w:rPr/>
        <w:t>such</w:t>
      </w:r>
      <w:r>
        <w:rPr>
          <w:spacing w:val="-11"/>
        </w:rPr>
        <w:t> </w:t>
      </w:r>
      <w:r>
        <w:rPr/>
        <w:t>as</w:t>
      </w:r>
      <w:r>
        <w:rPr>
          <w:spacing w:val="-9"/>
        </w:rPr>
        <w:t> </w:t>
      </w:r>
      <w:r>
        <w:rPr/>
        <w:t>herbaceous</w:t>
      </w:r>
      <w:r>
        <w:rPr>
          <w:spacing w:val="-12"/>
        </w:rPr>
        <w:t> </w:t>
      </w:r>
      <w:r>
        <w:rPr/>
        <w:t>plants,</w:t>
      </w:r>
      <w:r>
        <w:rPr>
          <w:spacing w:val="-9"/>
        </w:rPr>
        <w:t> </w:t>
      </w:r>
      <w:r>
        <w:rPr>
          <w:spacing w:val="-3"/>
        </w:rPr>
        <w:t>grasses,</w:t>
      </w:r>
      <w:r>
        <w:rPr>
          <w:spacing w:val="-9"/>
        </w:rPr>
        <w:t> </w:t>
      </w:r>
      <w:r>
        <w:rPr>
          <w:spacing w:val="-2"/>
        </w:rPr>
        <w:t>and</w:t>
      </w:r>
      <w:r>
        <w:rPr>
          <w:spacing w:val="-9"/>
        </w:rPr>
        <w:t> </w:t>
      </w:r>
      <w:r>
        <w:rPr/>
        <w:t>shrubs</w:t>
      </w:r>
      <w:r>
        <w:rPr>
          <w:spacing w:val="-12"/>
        </w:rPr>
        <w:t> </w:t>
      </w:r>
      <w:r>
        <w:rPr/>
        <w:t>can</w:t>
      </w:r>
      <w:r>
        <w:rPr>
          <w:spacing w:val="-11"/>
        </w:rPr>
        <w:t> </w:t>
      </w:r>
      <w:r>
        <w:rPr/>
        <w:t>occur</w:t>
      </w:r>
      <w:r>
        <w:rPr>
          <w:spacing w:val="-12"/>
        </w:rPr>
        <w:t> </w:t>
      </w:r>
      <w:r>
        <w:rPr/>
        <w:t>as</w:t>
      </w:r>
      <w:r>
        <w:rPr>
          <w:spacing w:val="-12"/>
        </w:rPr>
        <w:t> </w:t>
      </w:r>
      <w:r>
        <w:rPr/>
        <w:t>components</w:t>
      </w:r>
      <w:r>
        <w:rPr>
          <w:spacing w:val="-10"/>
        </w:rPr>
        <w:t> </w:t>
      </w:r>
      <w:r>
        <w:rPr/>
        <w:t>of</w:t>
      </w:r>
      <w:r>
        <w:rPr>
          <w:spacing w:val="-12"/>
        </w:rPr>
        <w:t> </w:t>
      </w:r>
      <w:r>
        <w:rPr/>
        <w:t>a</w:t>
      </w:r>
      <w:r>
        <w:rPr>
          <w:spacing w:val="-9"/>
        </w:rPr>
        <w:t> </w:t>
      </w:r>
      <w:r>
        <w:rPr/>
        <w:t>forestry</w:t>
      </w:r>
      <w:r>
        <w:rPr>
          <w:spacing w:val="-13"/>
        </w:rPr>
        <w:t> </w:t>
      </w:r>
      <w:r>
        <w:rPr/>
        <w:t>project</w:t>
      </w:r>
      <w:r>
        <w:rPr>
          <w:spacing w:val="-12"/>
        </w:rPr>
        <w:t> </w:t>
      </w:r>
      <w:r>
        <w:rPr/>
        <w:t>or of cropland and grazing land management </w:t>
      </w:r>
      <w:r>
        <w:rPr>
          <w:spacing w:val="-2"/>
        </w:rPr>
        <w:t>projects. </w:t>
      </w:r>
      <w:r>
        <w:rPr/>
        <w:t>Herbaceous plants in </w:t>
      </w:r>
      <w:r>
        <w:rPr>
          <w:spacing w:val="-3"/>
        </w:rPr>
        <w:t>forest </w:t>
      </w:r>
      <w:r>
        <w:rPr/>
        <w:t>understorey can be measured by </w:t>
      </w:r>
      <w:r>
        <w:rPr>
          <w:spacing w:val="-3"/>
        </w:rPr>
        <w:t>simple </w:t>
      </w:r>
      <w:r>
        <w:rPr/>
        <w:t>harvesting techniques of up to four small subplots per permanent or temporary plot. A </w:t>
      </w:r>
      <w:r>
        <w:rPr>
          <w:spacing w:val="-3"/>
        </w:rPr>
        <w:t>small </w:t>
      </w:r>
      <w:r>
        <w:rPr/>
        <w:t>frame (either circular</w:t>
      </w:r>
      <w:r>
        <w:rPr>
          <w:spacing w:val="-9"/>
        </w:rPr>
        <w:t> </w:t>
      </w:r>
      <w:r>
        <w:rPr/>
        <w:t>or</w:t>
      </w:r>
      <w:r>
        <w:rPr>
          <w:spacing w:val="-10"/>
        </w:rPr>
        <w:t> </w:t>
      </w:r>
      <w:r>
        <w:rPr/>
        <w:t>square),</w:t>
      </w:r>
      <w:r>
        <w:rPr>
          <w:spacing w:val="-9"/>
        </w:rPr>
        <w:t> </w:t>
      </w:r>
      <w:r>
        <w:rPr/>
        <w:t>usually</w:t>
      </w:r>
      <w:r>
        <w:rPr>
          <w:spacing w:val="-11"/>
        </w:rPr>
        <w:t> </w:t>
      </w:r>
      <w:r>
        <w:rPr/>
        <w:t>encompassing</w:t>
      </w:r>
      <w:r>
        <w:rPr>
          <w:spacing w:val="-12"/>
        </w:rPr>
        <w:t> </w:t>
      </w:r>
      <w:r>
        <w:rPr/>
        <w:t>about</w:t>
      </w:r>
      <w:r>
        <w:rPr>
          <w:spacing w:val="-10"/>
        </w:rPr>
        <w:t> </w:t>
      </w:r>
      <w:r>
        <w:rPr/>
        <w:t>0.5</w:t>
      </w:r>
      <w:r>
        <w:rPr>
          <w:spacing w:val="-7"/>
        </w:rPr>
        <w:t> </w:t>
      </w:r>
      <w:r>
        <w:rPr>
          <w:spacing w:val="-4"/>
        </w:rPr>
        <w:t>m</w:t>
      </w:r>
      <w:r>
        <w:rPr>
          <w:spacing w:val="-4"/>
          <w:vertAlign w:val="superscript"/>
        </w:rPr>
        <w:t>2</w:t>
      </w:r>
      <w:r>
        <w:rPr>
          <w:spacing w:val="-9"/>
          <w:vertAlign w:val="baseline"/>
        </w:rPr>
        <w:t> </w:t>
      </w:r>
      <w:r>
        <w:rPr>
          <w:vertAlign w:val="baseline"/>
        </w:rPr>
        <w:t>or</w:t>
      </w:r>
      <w:r>
        <w:rPr>
          <w:spacing w:val="-10"/>
          <w:vertAlign w:val="baseline"/>
        </w:rPr>
        <w:t> </w:t>
      </w:r>
      <w:r>
        <w:rPr>
          <w:vertAlign w:val="baseline"/>
        </w:rPr>
        <w:t>less,</w:t>
      </w:r>
      <w:r>
        <w:rPr>
          <w:spacing w:val="-9"/>
          <w:vertAlign w:val="baseline"/>
        </w:rPr>
        <w:t> </w:t>
      </w:r>
      <w:r>
        <w:rPr>
          <w:vertAlign w:val="baseline"/>
        </w:rPr>
        <w:t>is</w:t>
      </w:r>
      <w:r>
        <w:rPr>
          <w:spacing w:val="-10"/>
          <w:vertAlign w:val="baseline"/>
        </w:rPr>
        <w:t> </w:t>
      </w:r>
      <w:r>
        <w:rPr>
          <w:spacing w:val="-3"/>
          <w:vertAlign w:val="baseline"/>
        </w:rPr>
        <w:t>used</w:t>
      </w:r>
      <w:r>
        <w:rPr>
          <w:spacing w:val="-9"/>
          <w:vertAlign w:val="baseline"/>
        </w:rPr>
        <w:t> </w:t>
      </w:r>
      <w:r>
        <w:rPr>
          <w:vertAlign w:val="baseline"/>
        </w:rPr>
        <w:t>to</w:t>
      </w:r>
      <w:r>
        <w:rPr>
          <w:spacing w:val="-8"/>
          <w:vertAlign w:val="baseline"/>
        </w:rPr>
        <w:t> </w:t>
      </w:r>
      <w:r>
        <w:rPr>
          <w:vertAlign w:val="baseline"/>
        </w:rPr>
        <w:t>aid</w:t>
      </w:r>
      <w:r>
        <w:rPr>
          <w:spacing w:val="-9"/>
          <w:vertAlign w:val="baseline"/>
        </w:rPr>
        <w:t> </w:t>
      </w:r>
      <w:r>
        <w:rPr>
          <w:vertAlign w:val="baseline"/>
        </w:rPr>
        <w:t>this</w:t>
      </w:r>
      <w:r>
        <w:rPr>
          <w:spacing w:val="-10"/>
          <w:vertAlign w:val="baseline"/>
        </w:rPr>
        <w:t> </w:t>
      </w:r>
      <w:r>
        <w:rPr>
          <w:spacing w:val="-3"/>
          <w:vertAlign w:val="baseline"/>
        </w:rPr>
        <w:t>task.</w:t>
      </w:r>
      <w:r>
        <w:rPr>
          <w:spacing w:val="-10"/>
          <w:vertAlign w:val="baseline"/>
        </w:rPr>
        <w:t> </w:t>
      </w:r>
      <w:r>
        <w:rPr>
          <w:vertAlign w:val="baseline"/>
        </w:rPr>
        <w:t>The</w:t>
      </w:r>
      <w:r>
        <w:rPr>
          <w:spacing w:val="-8"/>
          <w:vertAlign w:val="baseline"/>
        </w:rPr>
        <w:t> </w:t>
      </w:r>
      <w:r>
        <w:rPr>
          <w:spacing w:val="-3"/>
          <w:vertAlign w:val="baseline"/>
        </w:rPr>
        <w:t>material</w:t>
      </w:r>
      <w:r>
        <w:rPr>
          <w:spacing w:val="-9"/>
          <w:vertAlign w:val="baseline"/>
        </w:rPr>
        <w:t> </w:t>
      </w:r>
      <w:r>
        <w:rPr>
          <w:vertAlign w:val="baseline"/>
        </w:rPr>
        <w:t>inside</w:t>
      </w:r>
      <w:r>
        <w:rPr>
          <w:spacing w:val="-10"/>
          <w:vertAlign w:val="baseline"/>
        </w:rPr>
        <w:t> </w:t>
      </w:r>
      <w:r>
        <w:rPr>
          <w:vertAlign w:val="baseline"/>
        </w:rPr>
        <w:t>the</w:t>
      </w:r>
      <w:r>
        <w:rPr>
          <w:spacing w:val="-7"/>
          <w:vertAlign w:val="baseline"/>
        </w:rPr>
        <w:t> </w:t>
      </w:r>
      <w:r>
        <w:rPr>
          <w:vertAlign w:val="baseline"/>
        </w:rPr>
        <w:t>frame is</w:t>
      </w:r>
      <w:r>
        <w:rPr>
          <w:spacing w:val="-6"/>
          <w:vertAlign w:val="baseline"/>
        </w:rPr>
        <w:t> </w:t>
      </w:r>
      <w:r>
        <w:rPr>
          <w:vertAlign w:val="baseline"/>
        </w:rPr>
        <w:t>cut</w:t>
      </w:r>
      <w:r>
        <w:rPr>
          <w:spacing w:val="-5"/>
          <w:vertAlign w:val="baseline"/>
        </w:rPr>
        <w:t> </w:t>
      </w:r>
      <w:r>
        <w:rPr>
          <w:vertAlign w:val="baseline"/>
        </w:rPr>
        <w:t>to</w:t>
      </w:r>
      <w:r>
        <w:rPr>
          <w:spacing w:val="-1"/>
          <w:vertAlign w:val="baseline"/>
        </w:rPr>
        <w:t> </w:t>
      </w:r>
      <w:r>
        <w:rPr>
          <w:spacing w:val="-3"/>
          <w:vertAlign w:val="baseline"/>
        </w:rPr>
        <w:t>ground</w:t>
      </w:r>
      <w:r>
        <w:rPr>
          <w:spacing w:val="-4"/>
          <w:vertAlign w:val="baseline"/>
        </w:rPr>
        <w:t> </w:t>
      </w:r>
      <w:r>
        <w:rPr>
          <w:vertAlign w:val="baseline"/>
        </w:rPr>
        <w:t>level,</w:t>
      </w:r>
      <w:r>
        <w:rPr>
          <w:spacing w:val="-4"/>
          <w:vertAlign w:val="baseline"/>
        </w:rPr>
        <w:t> </w:t>
      </w:r>
      <w:r>
        <w:rPr>
          <w:vertAlign w:val="baseline"/>
        </w:rPr>
        <w:t>pooled</w:t>
      </w:r>
      <w:r>
        <w:rPr>
          <w:spacing w:val="-2"/>
          <w:vertAlign w:val="baseline"/>
        </w:rPr>
        <w:t> </w:t>
      </w:r>
      <w:r>
        <w:rPr>
          <w:vertAlign w:val="baseline"/>
        </w:rPr>
        <w:t>by</w:t>
      </w:r>
      <w:r>
        <w:rPr>
          <w:spacing w:val="-8"/>
          <w:vertAlign w:val="baseline"/>
        </w:rPr>
        <w:t> </w:t>
      </w:r>
      <w:r>
        <w:rPr>
          <w:vertAlign w:val="baseline"/>
        </w:rPr>
        <w:t>plot,</w:t>
      </w:r>
      <w:r>
        <w:rPr>
          <w:spacing w:val="-4"/>
          <w:vertAlign w:val="baseline"/>
        </w:rPr>
        <w:t> </w:t>
      </w:r>
      <w:r>
        <w:rPr>
          <w:vertAlign w:val="baseline"/>
        </w:rPr>
        <w:t>and</w:t>
      </w:r>
      <w:r>
        <w:rPr>
          <w:spacing w:val="-2"/>
          <w:vertAlign w:val="baseline"/>
        </w:rPr>
        <w:t> </w:t>
      </w:r>
      <w:r>
        <w:rPr>
          <w:spacing w:val="-3"/>
          <w:vertAlign w:val="baseline"/>
        </w:rPr>
        <w:t>weighed.</w:t>
      </w:r>
      <w:r>
        <w:rPr>
          <w:spacing w:val="-4"/>
          <w:vertAlign w:val="baseline"/>
        </w:rPr>
        <w:t> </w:t>
      </w:r>
      <w:r>
        <w:rPr>
          <w:vertAlign w:val="baseline"/>
        </w:rPr>
        <w:t>Well-mixed</w:t>
      </w:r>
      <w:r>
        <w:rPr>
          <w:spacing w:val="-4"/>
          <w:vertAlign w:val="baseline"/>
        </w:rPr>
        <w:t> </w:t>
      </w:r>
      <w:r>
        <w:rPr>
          <w:vertAlign w:val="baseline"/>
        </w:rPr>
        <w:t>sub-samples</w:t>
      </w:r>
      <w:r>
        <w:rPr>
          <w:spacing w:val="-5"/>
          <w:vertAlign w:val="baseline"/>
        </w:rPr>
        <w:t> </w:t>
      </w:r>
      <w:r>
        <w:rPr>
          <w:vertAlign w:val="baseline"/>
        </w:rPr>
        <w:t>from</w:t>
      </w:r>
      <w:r>
        <w:rPr>
          <w:spacing w:val="-6"/>
          <w:vertAlign w:val="baseline"/>
        </w:rPr>
        <w:t> </w:t>
      </w:r>
      <w:r>
        <w:rPr>
          <w:vertAlign w:val="baseline"/>
        </w:rPr>
        <w:t>each</w:t>
      </w:r>
      <w:r>
        <w:rPr>
          <w:spacing w:val="-6"/>
          <w:vertAlign w:val="baseline"/>
        </w:rPr>
        <w:t> </w:t>
      </w:r>
      <w:r>
        <w:rPr>
          <w:vertAlign w:val="baseline"/>
        </w:rPr>
        <w:t>plot</w:t>
      </w:r>
      <w:r>
        <w:rPr>
          <w:spacing w:val="-5"/>
          <w:vertAlign w:val="baseline"/>
        </w:rPr>
        <w:t> </w:t>
      </w:r>
      <w:r>
        <w:rPr>
          <w:vertAlign w:val="baseline"/>
        </w:rPr>
        <w:t>are</w:t>
      </w:r>
      <w:r>
        <w:rPr>
          <w:spacing w:val="-5"/>
          <w:vertAlign w:val="baseline"/>
        </w:rPr>
        <w:t> </w:t>
      </w:r>
      <w:r>
        <w:rPr>
          <w:vertAlign w:val="baseline"/>
        </w:rPr>
        <w:t>then</w:t>
      </w:r>
      <w:r>
        <w:rPr>
          <w:spacing w:val="-6"/>
          <w:vertAlign w:val="baseline"/>
        </w:rPr>
        <w:t> </w:t>
      </w:r>
      <w:r>
        <w:rPr>
          <w:vertAlign w:val="baseline"/>
        </w:rPr>
        <w:t>oven</w:t>
      </w:r>
      <w:r>
        <w:rPr>
          <w:spacing w:val="-6"/>
          <w:vertAlign w:val="baseline"/>
        </w:rPr>
        <w:t> </w:t>
      </w:r>
      <w:r>
        <w:rPr>
          <w:vertAlign w:val="baseline"/>
        </w:rPr>
        <w:t>dried</w:t>
      </w:r>
      <w:r>
        <w:rPr>
          <w:spacing w:val="-4"/>
          <w:vertAlign w:val="baseline"/>
        </w:rPr>
        <w:t> </w:t>
      </w:r>
      <w:r>
        <w:rPr>
          <w:vertAlign w:val="baseline"/>
        </w:rPr>
        <w:t>to </w:t>
      </w:r>
      <w:r>
        <w:rPr>
          <w:spacing w:val="-3"/>
          <w:vertAlign w:val="baseline"/>
        </w:rPr>
        <w:t>determine </w:t>
      </w:r>
      <w:r>
        <w:rPr>
          <w:vertAlign w:val="baseline"/>
        </w:rPr>
        <w:t>dry-to-wet </w:t>
      </w:r>
      <w:r>
        <w:rPr>
          <w:spacing w:val="-3"/>
          <w:vertAlign w:val="baseline"/>
        </w:rPr>
        <w:t>matter </w:t>
      </w:r>
      <w:r>
        <w:rPr>
          <w:vertAlign w:val="baseline"/>
        </w:rPr>
        <w:t>ratios. These ratios are then used to </w:t>
      </w:r>
      <w:r>
        <w:rPr>
          <w:spacing w:val="-3"/>
          <w:vertAlign w:val="baseline"/>
        </w:rPr>
        <w:t>convert </w:t>
      </w:r>
      <w:r>
        <w:rPr>
          <w:vertAlign w:val="baseline"/>
        </w:rPr>
        <w:t>the entire sample to </w:t>
      </w:r>
      <w:r>
        <w:rPr>
          <w:spacing w:val="-3"/>
          <w:vertAlign w:val="baseline"/>
        </w:rPr>
        <w:t>oven-dry matter. </w:t>
      </w:r>
      <w:r>
        <w:rPr>
          <w:vertAlign w:val="baseline"/>
        </w:rPr>
        <w:t>For cropland and grazing land management projects, the same approach can be </w:t>
      </w:r>
      <w:r>
        <w:rPr>
          <w:spacing w:val="-3"/>
          <w:vertAlign w:val="baseline"/>
        </w:rPr>
        <w:t>used </w:t>
      </w:r>
      <w:r>
        <w:rPr>
          <w:vertAlign w:val="baseline"/>
        </w:rPr>
        <w:t>in temporary plots because, as mentioned</w:t>
      </w:r>
      <w:r>
        <w:rPr>
          <w:spacing w:val="-8"/>
          <w:vertAlign w:val="baseline"/>
        </w:rPr>
        <w:t> </w:t>
      </w:r>
      <w:r>
        <w:rPr>
          <w:vertAlign w:val="baseline"/>
        </w:rPr>
        <w:t>above,</w:t>
      </w:r>
      <w:r>
        <w:rPr>
          <w:spacing w:val="-6"/>
          <w:vertAlign w:val="baseline"/>
        </w:rPr>
        <w:t> </w:t>
      </w:r>
      <w:r>
        <w:rPr>
          <w:vertAlign w:val="baseline"/>
        </w:rPr>
        <w:t>there</w:t>
      </w:r>
      <w:r>
        <w:rPr>
          <w:spacing w:val="-7"/>
          <w:vertAlign w:val="baseline"/>
        </w:rPr>
        <w:t> </w:t>
      </w:r>
      <w:r>
        <w:rPr>
          <w:vertAlign w:val="baseline"/>
        </w:rPr>
        <w:t>is</w:t>
      </w:r>
      <w:r>
        <w:rPr>
          <w:spacing w:val="-9"/>
          <w:vertAlign w:val="baseline"/>
        </w:rPr>
        <w:t> </w:t>
      </w:r>
      <w:r>
        <w:rPr>
          <w:vertAlign w:val="baseline"/>
        </w:rPr>
        <w:t>no</w:t>
      </w:r>
      <w:r>
        <w:rPr>
          <w:spacing w:val="-5"/>
          <w:vertAlign w:val="baseline"/>
        </w:rPr>
        <w:t> </w:t>
      </w:r>
      <w:r>
        <w:rPr>
          <w:vertAlign w:val="baseline"/>
        </w:rPr>
        <w:t>statistical</w:t>
      </w:r>
      <w:r>
        <w:rPr>
          <w:spacing w:val="-8"/>
          <w:vertAlign w:val="baseline"/>
        </w:rPr>
        <w:t> </w:t>
      </w:r>
      <w:r>
        <w:rPr>
          <w:vertAlign w:val="baseline"/>
        </w:rPr>
        <w:t>advantage</w:t>
      </w:r>
      <w:r>
        <w:rPr>
          <w:spacing w:val="-8"/>
          <w:vertAlign w:val="baseline"/>
        </w:rPr>
        <w:t> </w:t>
      </w:r>
      <w:r>
        <w:rPr>
          <w:vertAlign w:val="baseline"/>
        </w:rPr>
        <w:t>over</w:t>
      </w:r>
      <w:r>
        <w:rPr>
          <w:spacing w:val="-6"/>
          <w:vertAlign w:val="baseline"/>
        </w:rPr>
        <w:t> </w:t>
      </w:r>
      <w:r>
        <w:rPr>
          <w:vertAlign w:val="baseline"/>
        </w:rPr>
        <w:t>using</w:t>
      </w:r>
      <w:r>
        <w:rPr>
          <w:spacing w:val="-7"/>
          <w:vertAlign w:val="baseline"/>
        </w:rPr>
        <w:t> </w:t>
      </w:r>
      <w:r>
        <w:rPr>
          <w:spacing w:val="-3"/>
          <w:vertAlign w:val="baseline"/>
        </w:rPr>
        <w:t>permanent</w:t>
      </w:r>
      <w:r>
        <w:rPr>
          <w:spacing w:val="-8"/>
          <w:vertAlign w:val="baseline"/>
        </w:rPr>
        <w:t> </w:t>
      </w:r>
      <w:r>
        <w:rPr>
          <w:vertAlign w:val="baseline"/>
        </w:rPr>
        <w:t>plots</w:t>
      </w:r>
      <w:r>
        <w:rPr>
          <w:spacing w:val="-10"/>
          <w:vertAlign w:val="baseline"/>
        </w:rPr>
        <w:t> </w:t>
      </w:r>
      <w:r>
        <w:rPr>
          <w:vertAlign w:val="baseline"/>
        </w:rPr>
        <w:t>(Section</w:t>
      </w:r>
      <w:r>
        <w:rPr>
          <w:spacing w:val="-9"/>
          <w:vertAlign w:val="baseline"/>
        </w:rPr>
        <w:t> </w:t>
      </w:r>
      <w:r>
        <w:rPr>
          <w:vertAlign w:val="baseline"/>
        </w:rPr>
        <w:t>4.3.3.4.1).</w:t>
      </w:r>
    </w:p>
    <w:p>
      <w:pPr>
        <w:pStyle w:val="BodyText"/>
        <w:spacing w:before="118"/>
        <w:ind w:left="179" w:right="1406"/>
        <w:jc w:val="both"/>
      </w:pPr>
      <w:r>
        <w:rPr/>
        <w:t>For shrubs and other large non-tree vegetation it is </w:t>
      </w:r>
      <w:r>
        <w:rPr>
          <w:i/>
        </w:rPr>
        <w:t>good practice </w:t>
      </w:r>
      <w:r>
        <w:rPr/>
        <w:t>to measure the biomass by destructive harvesting techniques. A small sub-plot depending on the size of the vegetation is established and all the shrub vegetation is harvested and weighed. An alternative approach, if the shrubs are large, is to develop local shrub allometric equations based on variables such as crown area and height or diameter at base of plant or some other relevant variable (e.g., number of stems in multi-stemmed shrubs). The equations would then be based on regressions of biomass of the shrub versus some logical combination of the independent variables. The independent variable or variables would then be measured in the sampling plots.</w:t>
      </w:r>
    </w:p>
    <w:p>
      <w:pPr>
        <w:pStyle w:val="Heading6"/>
        <w:numPr>
          <w:ilvl w:val="4"/>
          <w:numId w:val="148"/>
        </w:numPr>
        <w:tabs>
          <w:tab w:pos="1198" w:val="left" w:leader="none"/>
        </w:tabs>
        <w:spacing w:line="490" w:lineRule="atLeast" w:before="7" w:after="0"/>
        <w:ind w:left="179" w:right="6216" w:firstLine="0"/>
        <w:jc w:val="left"/>
      </w:pPr>
      <w:r>
        <w:rPr/>
        <w:t>2 </w:t>
      </w:r>
      <w:r>
        <w:rPr>
          <w:spacing w:val="17"/>
        </w:rPr>
        <w:t>BELOWGROUND </w:t>
      </w:r>
      <w:r>
        <w:rPr>
          <w:spacing w:val="16"/>
        </w:rPr>
        <w:t>BIOMASS</w:t>
      </w:r>
      <w:r>
        <w:rPr/>
        <w:t> </w:t>
      </w:r>
      <w:r>
        <w:rPr>
          <w:spacing w:val="15"/>
        </w:rPr>
        <w:t>Trees</w:t>
      </w:r>
      <w:r>
        <w:rPr>
          <w:spacing w:val="-36"/>
        </w:rPr>
        <w:t> </w:t>
      </w:r>
    </w:p>
    <w:p>
      <w:pPr>
        <w:pStyle w:val="BodyText"/>
        <w:spacing w:before="58"/>
        <w:ind w:left="179" w:right="1404"/>
        <w:jc w:val="both"/>
      </w:pPr>
      <w:r>
        <w:rPr/>
        <w:t>Methods for measuring and estimating aboveground biomass are relatively well established. However, the belowground biomass (roots) is difficult and time-consuming to measure and estimate in most ecosystems, and methods are generally not standardized (Körner, 1994; Kurz </w:t>
      </w:r>
      <w:r>
        <w:rPr>
          <w:i/>
        </w:rPr>
        <w:t>et al.</w:t>
      </w:r>
      <w:r>
        <w:rPr/>
        <w:t>, 1996; Cairns </w:t>
      </w:r>
      <w:r>
        <w:rPr>
          <w:i/>
        </w:rPr>
        <w:t>et al.</w:t>
      </w:r>
      <w:r>
        <w:rPr/>
        <w:t>, 1997; Li </w:t>
      </w:r>
      <w:r>
        <w:rPr>
          <w:i/>
        </w:rPr>
        <w:t>et al.</w:t>
      </w:r>
      <w:r>
        <w:rPr/>
        <w:t>, 2003). A review of the literature shows that typical methods include spatially distributed soil cores or pits for fine and medium roots, and partial ones to complete excavation and/or allometry for coarse roots. Live and dead roots are generally not distinguished and hence root biomass is generally reported as the total of live and dead.</w:t>
      </w:r>
    </w:p>
    <w:p>
      <w:pPr>
        <w:pStyle w:val="BodyText"/>
        <w:spacing w:before="120"/>
        <w:ind w:left="179" w:right="1405"/>
        <w:jc w:val="both"/>
      </w:pPr>
      <w:r>
        <w:rPr/>
        <w:t>A comprehensive literature review by Cairns </w:t>
      </w:r>
      <w:r>
        <w:rPr>
          <w:i/>
        </w:rPr>
        <w:t>et al. </w:t>
      </w:r>
      <w:r>
        <w:rPr/>
        <w:t>(1997) included more than 160 studies covering native tropical, temperate, and boreal forests that reported both belowground biomass and aboveground biomass. The average belowground to aboveground dry biomass ratios based on these studies was 0.26, with a range of 0.18 (lower 25% quartile) to 0.30 (upper 75% quartile). The belowground to aboveground dry biomass ratios did not vary significantly with latitudinal zone (tropical, temperate, boreal), soil texture (fine, medium, coarse), or tree type (angiosperm, gymnosperm). Further analyses of the data produced a significant regression equation of belowground biomass density versus aboveground biomass density when all data were pooled. Inclusion of age or latitudinal belt significantly improved the model (Cairns </w:t>
      </w:r>
      <w:r>
        <w:rPr>
          <w:i/>
        </w:rPr>
        <w:t>et al.</w:t>
      </w:r>
      <w:r>
        <w:rPr/>
        <w:t>, 1997). Given the lack of standard methods and the time-consuming nature of monitoring belowground biomass in forests, it is </w:t>
      </w:r>
      <w:r>
        <w:rPr>
          <w:i/>
        </w:rPr>
        <w:t>good practice </w:t>
      </w:r>
      <w:r>
        <w:rPr/>
        <w:t>to estimate belowground biomass from either estimated aboveground biomass based on the equations in Table 4.A.4, Annex 4A.2, or from locally derived data or models.</w:t>
      </w:r>
    </w:p>
    <w:p>
      <w:pPr>
        <w:pStyle w:val="BodyText"/>
        <w:spacing w:before="117"/>
        <w:ind w:left="179" w:right="1405"/>
        <w:jc w:val="both"/>
      </w:pPr>
      <w:r>
        <w:rPr/>
        <w:t>The data used to develop the belowground biomass equations in Table 4.A.4 were based on native forests, and may not apply to plantations. Ritson and Sochacki (2003) reported that belowground to aboveground biomass ratios of plantations of </w:t>
      </w:r>
      <w:r>
        <w:rPr>
          <w:i/>
        </w:rPr>
        <w:t>Pinus pinaster </w:t>
      </w:r>
      <w:r>
        <w:rPr/>
        <w:t>varied between 1.5 and 0.25, decreasing with increasing tree size and/or age. For commercial plantation species, it is likely that research on belowground biomass exists that could be used. Failing that, it is </w:t>
      </w:r>
      <w:r>
        <w:rPr>
          <w:i/>
        </w:rPr>
        <w:t>good practice </w:t>
      </w:r>
      <w:r>
        <w:rPr/>
        <w:t>to use an estimate for belowground biomass by using the average belowground to aboveground biomass ratios, such as those in Annex 3A.1, Table 3A.1.8.</w:t>
      </w:r>
    </w:p>
    <w:p>
      <w:pPr>
        <w:pStyle w:val="BodyText"/>
        <w:spacing w:before="2"/>
        <w:rPr>
          <w:sz w:val="21"/>
        </w:rPr>
      </w:pPr>
    </w:p>
    <w:p>
      <w:pPr>
        <w:pStyle w:val="Heading6"/>
        <w:ind w:left="179"/>
        <w:jc w:val="both"/>
      </w:pPr>
      <w:r>
        <w:rPr/>
        <w:t>Non-tree vegetation</w:t>
      </w:r>
    </w:p>
    <w:p>
      <w:pPr>
        <w:pStyle w:val="BodyText"/>
        <w:spacing w:before="56"/>
        <w:ind w:left="179" w:right="1407"/>
        <w:jc w:val="both"/>
      </w:pPr>
      <w:r>
        <w:rPr/>
        <w:t>In non-forest project types (e.g., cropland and grazing land management), where large changes in the belowground biomass from non-tree vegetation are expected to occur, the carbon stock in the belowground biomass pool needs to be estimated (Table 4.3.1). For non-tree vegetation, it is not possible to estimate belowground biomass from aboveground biomass data and therefore, on-site measurements may be required.</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7"/>
        <w:jc w:val="both"/>
      </w:pPr>
      <w:r>
        <w:rPr/>
        <w:t>Direct measurement of belowground biomass requires collecting soil samples, usually in the form of cores of known diameter and depth, separating the roots from soil, and oven-drying and weighing the roots. It is recommended to perform the following steps for direct measurement of belowground biomass in the field:</w:t>
      </w:r>
    </w:p>
    <w:p>
      <w:pPr>
        <w:pStyle w:val="ListParagraph"/>
        <w:numPr>
          <w:ilvl w:val="0"/>
          <w:numId w:val="117"/>
        </w:numPr>
        <w:tabs>
          <w:tab w:pos="540" w:val="left" w:leader="none"/>
        </w:tabs>
        <w:spacing w:line="240" w:lineRule="auto" w:before="136" w:after="0"/>
        <w:ind w:left="539" w:right="0" w:hanging="360"/>
        <w:jc w:val="both"/>
        <w:rPr>
          <w:sz w:val="20"/>
        </w:rPr>
      </w:pPr>
      <w:r>
        <w:rPr>
          <w:sz w:val="20"/>
        </w:rPr>
        <w:t>The sampling design should follow the procedures detailed earlier in Section</w:t>
      </w:r>
      <w:r>
        <w:rPr>
          <w:spacing w:val="-9"/>
          <w:sz w:val="20"/>
        </w:rPr>
        <w:t> </w:t>
      </w:r>
      <w:r>
        <w:rPr>
          <w:sz w:val="20"/>
        </w:rPr>
        <w:t>4.3.3.4.</w:t>
      </w:r>
    </w:p>
    <w:p>
      <w:pPr>
        <w:pStyle w:val="ListParagraph"/>
        <w:numPr>
          <w:ilvl w:val="0"/>
          <w:numId w:val="117"/>
        </w:numPr>
        <w:tabs>
          <w:tab w:pos="540" w:val="left" w:leader="none"/>
        </w:tabs>
        <w:spacing w:line="232" w:lineRule="auto" w:before="121" w:after="0"/>
        <w:ind w:left="536" w:right="1405" w:hanging="357"/>
        <w:jc w:val="both"/>
        <w:rPr>
          <w:sz w:val="20"/>
        </w:rPr>
      </w:pPr>
      <w:r>
        <w:rPr>
          <w:sz w:val="20"/>
        </w:rPr>
        <w:t>Because a large proportion of non-tree root biomass is usually present in the upper soil layers, in most situations sampling to a depth of 0.3-0.4 m should suffice. In cases </w:t>
      </w:r>
      <w:r>
        <w:rPr>
          <w:spacing w:val="-3"/>
          <w:sz w:val="20"/>
        </w:rPr>
        <w:t>where </w:t>
      </w:r>
      <w:r>
        <w:rPr>
          <w:sz w:val="20"/>
        </w:rPr>
        <w:t>samples are collected at deeper </w:t>
      </w:r>
      <w:r>
        <w:rPr>
          <w:spacing w:val="-3"/>
          <w:sz w:val="20"/>
        </w:rPr>
        <w:t>depths,</w:t>
      </w:r>
      <w:r>
        <w:rPr>
          <w:spacing w:val="-13"/>
          <w:sz w:val="20"/>
        </w:rPr>
        <w:t> </w:t>
      </w:r>
      <w:r>
        <w:rPr>
          <w:sz w:val="20"/>
        </w:rPr>
        <w:t>it</w:t>
      </w:r>
      <w:r>
        <w:rPr>
          <w:spacing w:val="-9"/>
          <w:sz w:val="20"/>
        </w:rPr>
        <w:t> </w:t>
      </w:r>
      <w:r>
        <w:rPr>
          <w:sz w:val="20"/>
        </w:rPr>
        <w:t>is</w:t>
      </w:r>
      <w:r>
        <w:rPr>
          <w:spacing w:val="-13"/>
          <w:sz w:val="20"/>
        </w:rPr>
        <w:t> </w:t>
      </w:r>
      <w:r>
        <w:rPr>
          <w:sz w:val="20"/>
        </w:rPr>
        <w:t>recommended</w:t>
      </w:r>
      <w:r>
        <w:rPr>
          <w:spacing w:val="-11"/>
          <w:sz w:val="20"/>
        </w:rPr>
        <w:t> </w:t>
      </w:r>
      <w:r>
        <w:rPr>
          <w:sz w:val="20"/>
        </w:rPr>
        <w:t>to</w:t>
      </w:r>
      <w:r>
        <w:rPr>
          <w:spacing w:val="-9"/>
          <w:sz w:val="20"/>
        </w:rPr>
        <w:t> </w:t>
      </w:r>
      <w:r>
        <w:rPr>
          <w:sz w:val="20"/>
        </w:rPr>
        <w:t>split</w:t>
      </w:r>
      <w:r>
        <w:rPr>
          <w:spacing w:val="-12"/>
          <w:sz w:val="20"/>
        </w:rPr>
        <w:t> </w:t>
      </w:r>
      <w:r>
        <w:rPr>
          <w:sz w:val="20"/>
        </w:rPr>
        <w:t>the</w:t>
      </w:r>
      <w:r>
        <w:rPr>
          <w:spacing w:val="-10"/>
          <w:sz w:val="20"/>
        </w:rPr>
        <w:t> </w:t>
      </w:r>
      <w:r>
        <w:rPr>
          <w:sz w:val="20"/>
        </w:rPr>
        <w:t>sample</w:t>
      </w:r>
      <w:r>
        <w:rPr>
          <w:spacing w:val="-10"/>
          <w:sz w:val="20"/>
        </w:rPr>
        <w:t> </w:t>
      </w:r>
      <w:r>
        <w:rPr>
          <w:sz w:val="20"/>
        </w:rPr>
        <w:t>into</w:t>
      </w:r>
      <w:r>
        <w:rPr>
          <w:spacing w:val="-11"/>
          <w:sz w:val="20"/>
        </w:rPr>
        <w:t> </w:t>
      </w:r>
      <w:r>
        <w:rPr>
          <w:sz w:val="20"/>
        </w:rPr>
        <w:t>two</w:t>
      </w:r>
      <w:r>
        <w:rPr>
          <w:spacing w:val="-11"/>
          <w:sz w:val="20"/>
        </w:rPr>
        <w:t> </w:t>
      </w:r>
      <w:r>
        <w:rPr>
          <w:sz w:val="20"/>
        </w:rPr>
        <w:t>or</w:t>
      </w:r>
      <w:r>
        <w:rPr>
          <w:spacing w:val="-10"/>
          <w:sz w:val="20"/>
        </w:rPr>
        <w:t> </w:t>
      </w:r>
      <w:r>
        <w:rPr>
          <w:sz w:val="20"/>
        </w:rPr>
        <w:t>more</w:t>
      </w:r>
      <w:r>
        <w:rPr>
          <w:spacing w:val="-12"/>
          <w:sz w:val="20"/>
        </w:rPr>
        <w:t> </w:t>
      </w:r>
      <w:r>
        <w:rPr>
          <w:spacing w:val="-3"/>
          <w:sz w:val="20"/>
        </w:rPr>
        <w:t>layers,</w:t>
      </w:r>
      <w:r>
        <w:rPr>
          <w:spacing w:val="-12"/>
          <w:sz w:val="20"/>
        </w:rPr>
        <w:t> </w:t>
      </w:r>
      <w:r>
        <w:rPr>
          <w:sz w:val="20"/>
        </w:rPr>
        <w:t>clearly</w:t>
      </w:r>
      <w:r>
        <w:rPr>
          <w:spacing w:val="-13"/>
          <w:sz w:val="20"/>
        </w:rPr>
        <w:t> </w:t>
      </w:r>
      <w:r>
        <w:rPr>
          <w:sz w:val="20"/>
        </w:rPr>
        <w:t>recording</w:t>
      </w:r>
      <w:r>
        <w:rPr>
          <w:spacing w:val="-13"/>
          <w:sz w:val="20"/>
        </w:rPr>
        <w:t> </w:t>
      </w:r>
      <w:r>
        <w:rPr>
          <w:sz w:val="20"/>
        </w:rPr>
        <w:t>the</w:t>
      </w:r>
      <w:r>
        <w:rPr>
          <w:spacing w:val="-12"/>
          <w:sz w:val="20"/>
        </w:rPr>
        <w:t> </w:t>
      </w:r>
      <w:r>
        <w:rPr>
          <w:sz w:val="20"/>
        </w:rPr>
        <w:t>depth</w:t>
      </w:r>
      <w:r>
        <w:rPr>
          <w:spacing w:val="-13"/>
          <w:sz w:val="20"/>
        </w:rPr>
        <w:t> </w:t>
      </w:r>
      <w:r>
        <w:rPr>
          <w:sz w:val="20"/>
        </w:rPr>
        <w:t>of</w:t>
      </w:r>
      <w:r>
        <w:rPr>
          <w:spacing w:val="-13"/>
          <w:sz w:val="20"/>
        </w:rPr>
        <w:t> </w:t>
      </w:r>
      <w:r>
        <w:rPr>
          <w:sz w:val="20"/>
        </w:rPr>
        <w:t>each</w:t>
      </w:r>
      <w:r>
        <w:rPr>
          <w:spacing w:val="-12"/>
          <w:sz w:val="20"/>
        </w:rPr>
        <w:t> </w:t>
      </w:r>
      <w:r>
        <w:rPr>
          <w:sz w:val="20"/>
        </w:rPr>
        <w:t>layer.</w:t>
      </w:r>
    </w:p>
    <w:p>
      <w:pPr>
        <w:pStyle w:val="ListParagraph"/>
        <w:numPr>
          <w:ilvl w:val="0"/>
          <w:numId w:val="117"/>
        </w:numPr>
        <w:tabs>
          <w:tab w:pos="540" w:val="left" w:leader="none"/>
        </w:tabs>
        <w:spacing w:line="235" w:lineRule="auto" w:before="138" w:after="0"/>
        <w:ind w:left="536" w:right="1404" w:hanging="357"/>
        <w:jc w:val="both"/>
        <w:rPr>
          <w:sz w:val="20"/>
        </w:rPr>
      </w:pPr>
      <w:r>
        <w:rPr>
          <w:sz w:val="20"/>
        </w:rPr>
        <w:t>Separation of roots from soil can be performed by using root washing devices (Cahoon and Morton, 1961; Smucker </w:t>
      </w:r>
      <w:r>
        <w:rPr>
          <w:i/>
          <w:sz w:val="20"/>
        </w:rPr>
        <w:t>et al.</w:t>
      </w:r>
      <w:r>
        <w:rPr>
          <w:sz w:val="20"/>
        </w:rPr>
        <w:t>, 1982) for maximum recovery. If these devices are not available, simpler procedures ( e.g., placing soil samples on a sieve and washing roots with high pressure water) may yield recovery of a relatively large proportion of root</w:t>
      </w:r>
      <w:r>
        <w:rPr>
          <w:spacing w:val="-5"/>
          <w:sz w:val="20"/>
        </w:rPr>
        <w:t> </w:t>
      </w:r>
      <w:r>
        <w:rPr>
          <w:sz w:val="20"/>
        </w:rPr>
        <w:t>biomass.</w:t>
      </w:r>
    </w:p>
    <w:p>
      <w:pPr>
        <w:pStyle w:val="ListParagraph"/>
        <w:numPr>
          <w:ilvl w:val="0"/>
          <w:numId w:val="117"/>
        </w:numPr>
        <w:tabs>
          <w:tab w:pos="540" w:val="left" w:leader="none"/>
        </w:tabs>
        <w:spacing w:line="223" w:lineRule="auto" w:before="144" w:after="0"/>
        <w:ind w:left="536" w:right="1407" w:hanging="357"/>
        <w:jc w:val="both"/>
        <w:rPr>
          <w:sz w:val="20"/>
        </w:rPr>
      </w:pPr>
      <w:r>
        <w:rPr>
          <w:sz w:val="20"/>
        </w:rPr>
        <w:t>Non-root belowground biomass (e.g., stolons, rhizomes and tubers) should be considered as part of the belowground biomass</w:t>
      </w:r>
      <w:r>
        <w:rPr>
          <w:spacing w:val="-1"/>
          <w:sz w:val="20"/>
        </w:rPr>
        <w:t> </w:t>
      </w:r>
      <w:r>
        <w:rPr>
          <w:sz w:val="20"/>
        </w:rPr>
        <w:t>pool.</w:t>
      </w:r>
    </w:p>
    <w:p>
      <w:pPr>
        <w:pStyle w:val="ListParagraph"/>
        <w:numPr>
          <w:ilvl w:val="0"/>
          <w:numId w:val="117"/>
        </w:numPr>
        <w:tabs>
          <w:tab w:pos="540" w:val="left" w:leader="none"/>
        </w:tabs>
        <w:spacing w:line="223" w:lineRule="auto" w:before="149" w:after="0"/>
        <w:ind w:left="536" w:right="1405" w:hanging="357"/>
        <w:jc w:val="both"/>
        <w:rPr>
          <w:sz w:val="20"/>
        </w:rPr>
      </w:pPr>
      <w:r>
        <w:rPr>
          <w:sz w:val="20"/>
        </w:rPr>
        <w:t>Roots should be oven-dried at 70 </w:t>
      </w:r>
      <w:r>
        <w:rPr>
          <w:sz w:val="20"/>
          <w:vertAlign w:val="superscript"/>
        </w:rPr>
        <w:t>o</w:t>
      </w:r>
      <w:r>
        <w:rPr>
          <w:sz w:val="20"/>
          <w:vertAlign w:val="baseline"/>
        </w:rPr>
        <w:t>C until dry and then weighed. The resulting weight should be divided by the cross sectional area of the sample core to determine belowground biomass on a per-area</w:t>
      </w:r>
      <w:r>
        <w:rPr>
          <w:spacing w:val="-17"/>
          <w:sz w:val="20"/>
          <w:vertAlign w:val="baseline"/>
        </w:rPr>
        <w:t> </w:t>
      </w:r>
      <w:r>
        <w:rPr>
          <w:sz w:val="20"/>
          <w:vertAlign w:val="baseline"/>
        </w:rPr>
        <w:t>basis.</w:t>
      </w:r>
    </w:p>
    <w:p>
      <w:pPr>
        <w:pStyle w:val="BodyText"/>
        <w:rPr>
          <w:sz w:val="22"/>
        </w:rPr>
      </w:pPr>
    </w:p>
    <w:p>
      <w:pPr>
        <w:pStyle w:val="BodyText"/>
        <w:spacing w:before="1"/>
        <w:rPr>
          <w:sz w:val="19"/>
        </w:rPr>
      </w:pPr>
    </w:p>
    <w:p>
      <w:pPr>
        <w:pStyle w:val="BodyText"/>
        <w:ind w:left="179" w:right="1406"/>
        <w:jc w:val="both"/>
      </w:pPr>
      <w:r>
        <w:rPr/>
        <w:t>The core-break method has been found to be a rapid method for evaluating root distributions in the field (Böhm, 1979; Bennie </w:t>
      </w:r>
      <w:r>
        <w:rPr>
          <w:i/>
        </w:rPr>
        <w:t>et al.</w:t>
      </w:r>
      <w:r>
        <w:rPr/>
        <w:t>, 1987). With this technique, cores are removed from different soil depths, broken in half, and the visible root axes on each cross-sectional surface area are counted and averaged. To convert root counts to estimates of root length density or biomass requires calibration equations for each crop species, soil type, and management practice. Calibration equations should be developed locally and may change with crop development or soil depth (Drew and Saker, 1980; Bennie </w:t>
      </w:r>
      <w:r>
        <w:rPr>
          <w:i/>
        </w:rPr>
        <w:t>et al.</w:t>
      </w:r>
      <w:r>
        <w:rPr/>
        <w:t>, 1987; Bland, 1989).</w:t>
      </w:r>
    </w:p>
    <w:p>
      <w:pPr>
        <w:pStyle w:val="Heading6"/>
        <w:numPr>
          <w:ilvl w:val="4"/>
          <w:numId w:val="148"/>
        </w:numPr>
        <w:tabs>
          <w:tab w:pos="1201" w:val="left" w:leader="none"/>
        </w:tabs>
        <w:spacing w:line="490" w:lineRule="atLeast" w:before="8" w:after="0"/>
        <w:ind w:left="179" w:right="6315" w:firstLine="0"/>
        <w:jc w:val="left"/>
      </w:pPr>
      <w:r>
        <w:rPr/>
        <w:t>3 </w:t>
      </w:r>
      <w:r>
        <w:rPr>
          <w:spacing w:val="14"/>
        </w:rPr>
        <w:t>DEAD </w:t>
      </w:r>
      <w:r>
        <w:rPr>
          <w:spacing w:val="16"/>
        </w:rPr>
        <w:t>ORGANIC </w:t>
      </w:r>
      <w:r>
        <w:rPr>
          <w:spacing w:val="18"/>
        </w:rPr>
        <w:t>MATTER </w:t>
      </w:r>
      <w:r>
        <w:rPr>
          <w:spacing w:val="15"/>
        </w:rPr>
        <w:t>Litter</w:t>
      </w:r>
      <w:r>
        <w:rPr>
          <w:spacing w:val="-36"/>
        </w:rPr>
        <w:t> </w:t>
      </w:r>
    </w:p>
    <w:p>
      <w:pPr>
        <w:pStyle w:val="BodyText"/>
        <w:spacing w:before="118"/>
        <w:ind w:left="179" w:right="1405"/>
        <w:jc w:val="both"/>
      </w:pPr>
      <w:r>
        <w:rPr/>
        <w:t>Litter can be directly sampled using a small frame (either circular or square), usually encompassing an area of about 0.5 m</w:t>
      </w:r>
      <w:r>
        <w:rPr>
          <w:vertAlign w:val="superscript"/>
        </w:rPr>
        <w:t>2</w:t>
      </w:r>
      <w:r>
        <w:rPr>
          <w:vertAlign w:val="baseline"/>
        </w:rPr>
        <w:t>, as described above for herbaceous vegetation (four subplots within the sample plot). The frame is placed in the sample plot and all litter within the frame is collected and weighed. A well-mixed sub-sample is collected to determine oven dry-to-wet weight ratios to convert the total wet mass to oven-dry mass.</w:t>
      </w:r>
    </w:p>
    <w:p>
      <w:pPr>
        <w:pStyle w:val="BodyText"/>
        <w:spacing w:before="119"/>
        <w:ind w:left="179" w:right="1402"/>
        <w:jc w:val="both"/>
      </w:pPr>
      <w:r>
        <w:rPr/>
        <w:t>An alternative approach for systems where the litter layer is well-defined and deep (more than 5 cm), is to develop a local regression equation that relates depth of the litter to the mass per unit area. This can be done by sampling</w:t>
      </w:r>
      <w:r>
        <w:rPr>
          <w:spacing w:val="-7"/>
        </w:rPr>
        <w:t> </w:t>
      </w:r>
      <w:r>
        <w:rPr/>
        <w:t>the</w:t>
      </w:r>
      <w:r>
        <w:rPr>
          <w:spacing w:val="-6"/>
        </w:rPr>
        <w:t> </w:t>
      </w:r>
      <w:r>
        <w:rPr/>
        <w:t>litter</w:t>
      </w:r>
      <w:r>
        <w:rPr>
          <w:spacing w:val="-6"/>
        </w:rPr>
        <w:t> </w:t>
      </w:r>
      <w:r>
        <w:rPr/>
        <w:t>in</w:t>
      </w:r>
      <w:r>
        <w:rPr>
          <w:spacing w:val="-7"/>
        </w:rPr>
        <w:t> </w:t>
      </w:r>
      <w:r>
        <w:rPr/>
        <w:t>the</w:t>
      </w:r>
      <w:r>
        <w:rPr>
          <w:spacing w:val="-4"/>
        </w:rPr>
        <w:t> </w:t>
      </w:r>
      <w:r>
        <w:rPr/>
        <w:t>frames</w:t>
      </w:r>
      <w:r>
        <w:rPr>
          <w:spacing w:val="-7"/>
        </w:rPr>
        <w:t> </w:t>
      </w:r>
      <w:r>
        <w:rPr/>
        <w:t>as</w:t>
      </w:r>
      <w:r>
        <w:rPr>
          <w:spacing w:val="-4"/>
        </w:rPr>
        <w:t> </w:t>
      </w:r>
      <w:r>
        <w:rPr/>
        <w:t>mentioned</w:t>
      </w:r>
      <w:r>
        <w:rPr>
          <w:spacing w:val="-5"/>
        </w:rPr>
        <w:t> </w:t>
      </w:r>
      <w:r>
        <w:rPr>
          <w:spacing w:val="-3"/>
        </w:rPr>
        <w:t>above</w:t>
      </w:r>
      <w:r>
        <w:rPr>
          <w:spacing w:val="-6"/>
        </w:rPr>
        <w:t> </w:t>
      </w:r>
      <w:r>
        <w:rPr/>
        <w:t>and</w:t>
      </w:r>
      <w:r>
        <w:rPr>
          <w:spacing w:val="-6"/>
        </w:rPr>
        <w:t> </w:t>
      </w:r>
      <w:r>
        <w:rPr/>
        <w:t>at</w:t>
      </w:r>
      <w:r>
        <w:rPr>
          <w:spacing w:val="-4"/>
        </w:rPr>
        <w:t> </w:t>
      </w:r>
      <w:r>
        <w:rPr/>
        <w:t>the</w:t>
      </w:r>
      <w:r>
        <w:rPr>
          <w:spacing w:val="-6"/>
        </w:rPr>
        <w:t> </w:t>
      </w:r>
      <w:r>
        <w:rPr/>
        <w:t>same</w:t>
      </w:r>
      <w:r>
        <w:rPr>
          <w:spacing w:val="-6"/>
        </w:rPr>
        <w:t> </w:t>
      </w:r>
      <w:r>
        <w:rPr/>
        <w:t>time</w:t>
      </w:r>
      <w:r>
        <w:rPr>
          <w:spacing w:val="-4"/>
        </w:rPr>
        <w:t> </w:t>
      </w:r>
      <w:r>
        <w:rPr>
          <w:spacing w:val="-3"/>
        </w:rPr>
        <w:t>measuring</w:t>
      </w:r>
      <w:r>
        <w:rPr>
          <w:spacing w:val="-5"/>
        </w:rPr>
        <w:t> </w:t>
      </w:r>
      <w:r>
        <w:rPr/>
        <w:t>the</w:t>
      </w:r>
      <w:r>
        <w:rPr>
          <w:spacing w:val="-7"/>
        </w:rPr>
        <w:t> </w:t>
      </w:r>
      <w:r>
        <w:rPr/>
        <w:t>depth</w:t>
      </w:r>
      <w:r>
        <w:rPr>
          <w:spacing w:val="-6"/>
        </w:rPr>
        <w:t> </w:t>
      </w:r>
      <w:r>
        <w:rPr/>
        <w:t>of</w:t>
      </w:r>
      <w:r>
        <w:rPr>
          <w:spacing w:val="-8"/>
        </w:rPr>
        <w:t> </w:t>
      </w:r>
      <w:r>
        <w:rPr/>
        <w:t>the</w:t>
      </w:r>
      <w:r>
        <w:rPr>
          <w:spacing w:val="-6"/>
        </w:rPr>
        <w:t> </w:t>
      </w:r>
      <w:r>
        <w:rPr>
          <w:spacing w:val="-3"/>
        </w:rPr>
        <w:t>litter.</w:t>
      </w:r>
      <w:r>
        <w:rPr>
          <w:spacing w:val="-4"/>
        </w:rPr>
        <w:t> </w:t>
      </w:r>
      <w:r>
        <w:rPr/>
        <w:t>At</w:t>
      </w:r>
      <w:r>
        <w:rPr>
          <w:spacing w:val="-6"/>
        </w:rPr>
        <w:t> </w:t>
      </w:r>
      <w:r>
        <w:rPr/>
        <w:t>least 10-15</w:t>
      </w:r>
      <w:r>
        <w:rPr>
          <w:spacing w:val="-9"/>
        </w:rPr>
        <w:t> </w:t>
      </w:r>
      <w:r>
        <w:rPr/>
        <w:t>such</w:t>
      </w:r>
      <w:r>
        <w:rPr>
          <w:spacing w:val="-11"/>
        </w:rPr>
        <w:t> </w:t>
      </w:r>
      <w:r>
        <w:rPr/>
        <w:t>data</w:t>
      </w:r>
      <w:r>
        <w:rPr>
          <w:spacing w:val="-9"/>
        </w:rPr>
        <w:t> </w:t>
      </w:r>
      <w:r>
        <w:rPr/>
        <w:t>points</w:t>
      </w:r>
      <w:r>
        <w:rPr>
          <w:spacing w:val="-8"/>
        </w:rPr>
        <w:t> </w:t>
      </w:r>
      <w:r>
        <w:rPr>
          <w:spacing w:val="-3"/>
        </w:rPr>
        <w:t>should</w:t>
      </w:r>
      <w:r>
        <w:rPr>
          <w:spacing w:val="-7"/>
        </w:rPr>
        <w:t> </w:t>
      </w:r>
      <w:r>
        <w:rPr/>
        <w:t>be</w:t>
      </w:r>
      <w:r>
        <w:rPr>
          <w:spacing w:val="-9"/>
        </w:rPr>
        <w:t> </w:t>
      </w:r>
      <w:r>
        <w:rPr/>
        <w:t>collected,</w:t>
      </w:r>
      <w:r>
        <w:rPr>
          <w:spacing w:val="-9"/>
        </w:rPr>
        <w:t> </w:t>
      </w:r>
      <w:r>
        <w:rPr/>
        <w:t>ensuring</w:t>
      </w:r>
      <w:r>
        <w:rPr>
          <w:spacing w:val="-11"/>
        </w:rPr>
        <w:t> </w:t>
      </w:r>
      <w:r>
        <w:rPr/>
        <w:t>that</w:t>
      </w:r>
      <w:r>
        <w:rPr>
          <w:spacing w:val="-7"/>
        </w:rPr>
        <w:t> </w:t>
      </w:r>
      <w:r>
        <w:rPr/>
        <w:t>the</w:t>
      </w:r>
      <w:r>
        <w:rPr>
          <w:spacing w:val="-7"/>
        </w:rPr>
        <w:t> </w:t>
      </w:r>
      <w:r>
        <w:rPr/>
        <w:t>full</w:t>
      </w:r>
      <w:r>
        <w:rPr>
          <w:spacing w:val="-10"/>
        </w:rPr>
        <w:t> </w:t>
      </w:r>
      <w:r>
        <w:rPr/>
        <w:t>range</w:t>
      </w:r>
      <w:r>
        <w:rPr>
          <w:spacing w:val="-9"/>
        </w:rPr>
        <w:t> </w:t>
      </w:r>
      <w:r>
        <w:rPr/>
        <w:t>of</w:t>
      </w:r>
      <w:r>
        <w:rPr>
          <w:spacing w:val="-9"/>
        </w:rPr>
        <w:t> </w:t>
      </w:r>
      <w:r>
        <w:rPr/>
        <w:t>the</w:t>
      </w:r>
      <w:r>
        <w:rPr>
          <w:spacing w:val="-9"/>
        </w:rPr>
        <w:t> </w:t>
      </w:r>
      <w:r>
        <w:rPr/>
        <w:t>expected</w:t>
      </w:r>
      <w:r>
        <w:rPr>
          <w:spacing w:val="-9"/>
        </w:rPr>
        <w:t> </w:t>
      </w:r>
      <w:r>
        <w:rPr/>
        <w:t>litter</w:t>
      </w:r>
      <w:r>
        <w:rPr>
          <w:spacing w:val="-9"/>
        </w:rPr>
        <w:t> </w:t>
      </w:r>
      <w:r>
        <w:rPr/>
        <w:t>depth</w:t>
      </w:r>
      <w:r>
        <w:rPr>
          <w:spacing w:val="-11"/>
        </w:rPr>
        <w:t> </w:t>
      </w:r>
      <w:r>
        <w:rPr/>
        <w:t>is</w:t>
      </w:r>
      <w:r>
        <w:rPr>
          <w:spacing w:val="-8"/>
        </w:rPr>
        <w:t> </w:t>
      </w:r>
      <w:r>
        <w:rPr>
          <w:spacing w:val="-3"/>
        </w:rPr>
        <w:t>sampled.</w:t>
      </w:r>
    </w:p>
    <w:p>
      <w:pPr>
        <w:pStyle w:val="Heading6"/>
        <w:spacing w:before="125"/>
        <w:ind w:left="179"/>
        <w:jc w:val="both"/>
      </w:pPr>
      <w:r>
        <w:rPr/>
        <w:t>Dead wood</w:t>
      </w:r>
    </w:p>
    <w:p>
      <w:pPr>
        <w:pStyle w:val="BodyText"/>
        <w:spacing w:before="114"/>
        <w:ind w:left="179" w:right="1404"/>
        <w:jc w:val="both"/>
      </w:pPr>
      <w:r>
        <w:rPr/>
        <w:t>Dead wood, both standing and lying, does not generally correlate well with any index of stand structure (Harmon </w:t>
      </w:r>
      <w:r>
        <w:rPr>
          <w:i/>
        </w:rPr>
        <w:t>et al.</w:t>
      </w:r>
      <w:r>
        <w:rPr/>
        <w:t>, 1993). Methods have been developed for measuring biomass of dead wood and have been tested in many forest types and generally require no more effort than measuring live trees (Brown, 1974; Harmon and Sexton, 1996; Delaney </w:t>
      </w:r>
      <w:r>
        <w:rPr>
          <w:i/>
        </w:rPr>
        <w:t>et al.</w:t>
      </w:r>
      <w:r>
        <w:rPr/>
        <w:t>, 1998). For dead wood lying on the ground, the general approach is to estimate the volume of logs by density class (often related to its decomposition state, but not always) and then convert to mass as a product of volume and density, for each density class. There are two approaches that can be used to estimate the volume of dead wood present, depending upon the expected quantity present.</w:t>
      </w:r>
    </w:p>
    <w:p>
      <w:pPr>
        <w:spacing w:before="118"/>
        <w:ind w:left="179" w:right="1403" w:firstLine="0"/>
        <w:jc w:val="both"/>
        <w:rPr>
          <w:sz w:val="20"/>
        </w:rPr>
      </w:pPr>
      <w:r>
        <w:rPr>
          <w:i/>
          <w:sz w:val="20"/>
        </w:rPr>
        <w:t>Method 1 – when the quantity is expected to be a relatively small proportion of the aboveground biomass (i.e., about 10-15%, based on expert judgement)</w:t>
      </w:r>
      <w:r>
        <w:rPr>
          <w:sz w:val="20"/>
        </w:rPr>
        <w:t>: A time-efficient method is the line-intersect method, and it is </w:t>
      </w:r>
      <w:r>
        <w:rPr>
          <w:i/>
          <w:sz w:val="20"/>
        </w:rPr>
        <w:t>good practice </w:t>
      </w:r>
      <w:r>
        <w:rPr>
          <w:sz w:val="20"/>
        </w:rPr>
        <w:t>to use at least 100 m length of line, generally divided into two 50 m sections placed at right angles across the plot centre. The diameters of all pieces of wood that intersect the line are measured and each piece of dead wood is also classified into one of several density classes. If the intersected log is elliptical in shape the minimum and maximum diameters need to be measured. The volume per hectare is estimated for each density class as follows (for more details on the derivation of this equation see Brown</w:t>
      </w:r>
      <w:r>
        <w:rPr>
          <w:spacing w:val="-11"/>
          <w:sz w:val="20"/>
        </w:rPr>
        <w:t> </w:t>
      </w:r>
      <w:r>
        <w:rPr>
          <w:sz w:val="20"/>
        </w:rPr>
        <w:t>(1974)):</w:t>
      </w:r>
    </w:p>
    <w:p>
      <w:pPr>
        <w:pStyle w:val="BodyText"/>
        <w:spacing w:before="8"/>
        <w:rPr>
          <w:sz w:val="9"/>
        </w:rPr>
      </w:pPr>
      <w:r>
        <w:rPr/>
        <w:pict>
          <v:group style="position:absolute;margin-left:91.240997pt;margin-top:8.295507pt;width:412.95pt;height:52.2pt;mso-position-horizontal-relative:page;mso-position-vertical-relative:paragraph;z-index:20480;mso-wrap-distance-left:0;mso-wrap-distance-right:0" coordorigin="1825,166" coordsize="8259,1044">
            <v:line style="position:absolute" from="1854,180" to="10054,180" stroked="true" strokeweight="1.44pt" strokecolor="#000000">
              <v:stroke dashstyle="solid"/>
            </v:line>
            <v:line style="position:absolute" from="1854,1196" to="10054,1196" stroked="true" strokeweight="1.44pt" strokecolor="#000000">
              <v:stroke dashstyle="solid"/>
            </v:line>
            <v:line style="position:absolute" from="1839,166" to="1839,1210" stroked="true" strokeweight="1.44pt" strokecolor="#000000">
              <v:stroke dashstyle="solid"/>
            </v:line>
            <v:line style="position:absolute" from="10069,166" to="10069,1210" stroked="true" strokeweight="1.44pt" strokecolor="#000000">
              <v:stroke dashstyle="solid"/>
            </v:line>
            <v:shape style="position:absolute;left:7265;top:825;width:85;height:144" type="#_x0000_t202" filled="false" stroked="false">
              <v:textbox inset="0,0,0,0">
                <w:txbxContent>
                  <w:p>
                    <w:pPr>
                      <w:spacing w:line="144" w:lineRule="exact" w:before="0"/>
                      <w:ind w:left="0" w:right="0" w:firstLine="0"/>
                      <w:jc w:val="left"/>
                      <w:rPr>
                        <w:sz w:val="13"/>
                      </w:rPr>
                    </w:pPr>
                    <w:r>
                      <w:rPr>
                        <w:w w:val="99"/>
                        <w:sz w:val="13"/>
                      </w:rPr>
                      <w:t>2</w:t>
                    </w:r>
                  </w:p>
                </w:txbxContent>
              </v:textbox>
              <w10:wrap type="none"/>
            </v:shape>
            <v:shape style="position:absolute;left:5943;top:825;width:575;height:144" type="#_x0000_t202" filled="false" stroked="false">
              <v:textbox inset="0,0,0,0">
                <w:txbxContent>
                  <w:p>
                    <w:pPr>
                      <w:tabs>
                        <w:tab w:pos="489" w:val="left" w:leader="none"/>
                      </w:tabs>
                      <w:spacing w:line="144" w:lineRule="exact" w:before="0"/>
                      <w:ind w:left="0" w:right="0" w:firstLine="0"/>
                      <w:jc w:val="left"/>
                      <w:rPr>
                        <w:sz w:val="13"/>
                      </w:rPr>
                    </w:pPr>
                    <w:r>
                      <w:rPr>
                        <w:sz w:val="13"/>
                      </w:rPr>
                      <w:t>2</w:t>
                      <w:tab/>
                      <w:t>2</w:t>
                    </w:r>
                  </w:p>
                </w:txbxContent>
              </v:textbox>
              <w10:wrap type="none"/>
            </v:shape>
            <v:shape style="position:absolute;left:3768;top:825;width:4388;height:266" type="#_x0000_t202" filled="false" stroked="false">
              <v:textbox inset="0,0,0,0">
                <w:txbxContent>
                  <w:p>
                    <w:pPr>
                      <w:spacing w:line="246" w:lineRule="exact" w:before="20"/>
                      <w:ind w:left="0" w:right="0" w:firstLine="0"/>
                      <w:jc w:val="left"/>
                      <w:rPr>
                        <w:sz w:val="20"/>
                      </w:rPr>
                    </w:pPr>
                    <w:r>
                      <w:rPr>
                        <w:sz w:val="20"/>
                      </w:rPr>
                      <w:t>Volume (m</w:t>
                    </w:r>
                    <w:r>
                      <w:rPr>
                        <w:sz w:val="20"/>
                        <w:vertAlign w:val="superscript"/>
                      </w:rPr>
                      <w:t>3</w:t>
                    </w:r>
                    <w:r>
                      <w:rPr>
                        <w:sz w:val="20"/>
                        <w:vertAlign w:val="baseline"/>
                      </w:rPr>
                      <w:t>/ha) = </w:t>
                    </w:r>
                    <w:r>
                      <w:rPr>
                        <w:rFonts w:ascii="Symbol" w:hAnsi="Symbol"/>
                        <w:sz w:val="20"/>
                        <w:vertAlign w:val="baseline"/>
                      </w:rPr>
                      <w:t>π</w:t>
                    </w:r>
                    <w:r>
                      <w:rPr>
                        <w:sz w:val="20"/>
                        <w:vertAlign w:val="superscript"/>
                      </w:rPr>
                      <w:t>2</w:t>
                    </w:r>
                    <w:r>
                      <w:rPr>
                        <w:sz w:val="20"/>
                        <w:vertAlign w:val="baseline"/>
                      </w:rPr>
                      <w:t> ● (D</w:t>
                    </w:r>
                    <w:r>
                      <w:rPr>
                        <w:sz w:val="20"/>
                        <w:vertAlign w:val="subscript"/>
                      </w:rPr>
                      <w:t>1</w:t>
                    </w:r>
                    <w:r>
                      <w:rPr>
                        <w:sz w:val="20"/>
                        <w:vertAlign w:val="baseline"/>
                      </w:rPr>
                      <w:t> + D</w:t>
                    </w:r>
                    <w:r>
                      <w:rPr>
                        <w:sz w:val="20"/>
                        <w:vertAlign w:val="subscript"/>
                      </w:rPr>
                      <w:t>2</w:t>
                    </w:r>
                    <w:r>
                      <w:rPr>
                        <w:sz w:val="20"/>
                        <w:vertAlign w:val="baseline"/>
                      </w:rPr>
                      <w:t> +….+ D</w:t>
                    </w:r>
                    <w:r>
                      <w:rPr>
                        <w:sz w:val="20"/>
                        <w:vertAlign w:val="subscript"/>
                      </w:rPr>
                      <w:t>n</w:t>
                    </w:r>
                    <w:r>
                      <w:rPr>
                        <w:sz w:val="20"/>
                        <w:vertAlign w:val="baseline"/>
                      </w:rPr>
                      <w:t> ) / (8 ● L)</w:t>
                    </w:r>
                  </w:p>
                </w:txbxContent>
              </v:textbox>
              <w10:wrap type="none"/>
            </v:shape>
            <v:shape style="position:absolute;left:4637;top:302;width:2654;height:452" type="#_x0000_t202" filled="false" stroked="false">
              <v:textbox inset="0,0,0,0">
                <w:txbxContent>
                  <w:p>
                    <w:pPr>
                      <w:spacing w:line="240" w:lineRule="auto" w:before="0"/>
                      <w:ind w:left="0" w:right="0" w:firstLine="645"/>
                      <w:jc w:val="left"/>
                      <w:rPr>
                        <w:b/>
                        <w:sz w:val="16"/>
                      </w:rPr>
                    </w:pPr>
                    <w:r>
                      <w:rPr>
                        <w:b/>
                        <w:sz w:val="20"/>
                      </w:rPr>
                      <w:t>E</w:t>
                    </w:r>
                    <w:r>
                      <w:rPr>
                        <w:b/>
                        <w:sz w:val="16"/>
                      </w:rPr>
                      <w:t>QUATION </w:t>
                    </w:r>
                    <w:r>
                      <w:rPr>
                        <w:b/>
                        <w:sz w:val="20"/>
                      </w:rPr>
                      <w:t>4.3.2 V</w:t>
                    </w:r>
                    <w:r>
                      <w:rPr>
                        <w:b/>
                        <w:sz w:val="16"/>
                      </w:rPr>
                      <w:t>OLUME OF LYING DEAD WOOD</w:t>
                    </w:r>
                  </w:p>
                </w:txbxContent>
              </v:textbox>
              <w10:wrap type="none"/>
            </v:shape>
            <w10:wrap type="topAndBottom"/>
          </v:group>
        </w:pict>
      </w:r>
    </w:p>
    <w:p>
      <w:pPr>
        <w:spacing w:after="0"/>
        <w:rPr>
          <w:sz w:val="9"/>
        </w:rPr>
        <w:sectPr>
          <w:pgSz w:w="11900" w:h="16840"/>
          <w:pgMar w:header="233" w:footer="408" w:top="560" w:bottom="600" w:left="1240" w:right="0"/>
        </w:sectPr>
      </w:pPr>
    </w:p>
    <w:p>
      <w:pPr>
        <w:pStyle w:val="BodyText"/>
      </w:pPr>
    </w:p>
    <w:p>
      <w:pPr>
        <w:pStyle w:val="BodyText"/>
        <w:spacing w:before="2"/>
        <w:rPr>
          <w:sz w:val="18"/>
        </w:rPr>
      </w:pPr>
    </w:p>
    <w:p>
      <w:pPr>
        <w:pStyle w:val="BodyText"/>
        <w:ind w:left="179"/>
      </w:pPr>
      <w:r>
        <w:rPr/>
        <w:t>Where:</w:t>
      </w:r>
    </w:p>
    <w:p>
      <w:pPr>
        <w:pStyle w:val="BodyText"/>
        <w:tabs>
          <w:tab w:pos="2372" w:val="left" w:leader="none"/>
        </w:tabs>
        <w:spacing w:before="121"/>
        <w:ind w:left="2372" w:right="1823" w:hanging="1474"/>
      </w:pPr>
      <w:r>
        <w:rPr/>
        <w:t>D</w:t>
      </w:r>
      <w:r>
        <w:rPr>
          <w:vertAlign w:val="subscript"/>
        </w:rPr>
        <w:t>1</w:t>
      </w:r>
      <w:r>
        <w:rPr>
          <w:vertAlign w:val="baseline"/>
        </w:rPr>
        <w:t>, D</w:t>
      </w:r>
      <w:r>
        <w:rPr>
          <w:vertAlign w:val="subscript"/>
        </w:rPr>
        <w:t>2</w:t>
      </w:r>
      <w:r>
        <w:rPr>
          <w:vertAlign w:val="baseline"/>
        </w:rPr>
        <w:t>,…,</w:t>
      </w:r>
      <w:r>
        <w:rPr>
          <w:spacing w:val="-1"/>
          <w:vertAlign w:val="baseline"/>
        </w:rPr>
        <w:t> </w:t>
      </w:r>
      <w:r>
        <w:rPr>
          <w:vertAlign w:val="baseline"/>
        </w:rPr>
        <w:t>D</w:t>
      </w:r>
      <w:r>
        <w:rPr>
          <w:vertAlign w:val="subscript"/>
        </w:rPr>
        <w:t>n</w:t>
      </w:r>
      <w:r>
        <w:rPr>
          <w:spacing w:val="-1"/>
          <w:vertAlign w:val="baseline"/>
        </w:rPr>
        <w:t> </w:t>
      </w:r>
      <w:r>
        <w:rPr>
          <w:vertAlign w:val="baseline"/>
        </w:rPr>
        <w:t>=</w:t>
        <w:tab/>
        <w:t>diameter of each of n pieces intersecting the line, in centimetres (cm). The round equivalent of an elliptically shaped log is computed as the square root of (D</w:t>
      </w:r>
      <w:r>
        <w:rPr>
          <w:vertAlign w:val="subscript"/>
        </w:rPr>
        <w:t>minimum</w:t>
      </w:r>
      <w:r>
        <w:rPr>
          <w:vertAlign w:val="baseline"/>
        </w:rPr>
        <w:t> </w:t>
      </w:r>
      <w:r>
        <w:rPr>
          <w:sz w:val="22"/>
          <w:vertAlign w:val="baseline"/>
        </w:rPr>
        <w:t>• </w:t>
      </w:r>
      <w:r>
        <w:rPr>
          <w:vertAlign w:val="baseline"/>
        </w:rPr>
        <w:t>D</w:t>
      </w:r>
      <w:r>
        <w:rPr>
          <w:vertAlign w:val="subscript"/>
        </w:rPr>
        <w:t>maximum</w:t>
      </w:r>
      <w:r>
        <w:rPr>
          <w:vertAlign w:val="baseline"/>
        </w:rPr>
        <w:t>) for that</w:t>
      </w:r>
      <w:r>
        <w:rPr>
          <w:spacing w:val="-4"/>
          <w:vertAlign w:val="baseline"/>
        </w:rPr>
        <w:t> </w:t>
      </w:r>
      <w:r>
        <w:rPr>
          <w:vertAlign w:val="baseline"/>
        </w:rPr>
        <w:t>log.</w:t>
      </w:r>
    </w:p>
    <w:p>
      <w:pPr>
        <w:pStyle w:val="BodyText"/>
        <w:spacing w:before="119"/>
        <w:ind w:left="899"/>
      </w:pPr>
      <w:r>
        <w:rPr/>
        <w:t>L = the length of the line, in metres (m).</w:t>
      </w:r>
    </w:p>
    <w:p>
      <w:pPr>
        <w:pStyle w:val="BodyText"/>
        <w:spacing w:before="121"/>
        <w:ind w:left="179" w:right="1404"/>
        <w:jc w:val="both"/>
      </w:pPr>
      <w:r>
        <w:rPr/>
        <w:t>An additional multiplier is often introduced to Equation 4.3.2 to correct the bias introduced by the non-horizontal orientation of the pieces (Brown and Roussopolos, 1974). However, this correction is not required for coarse dead wood, as this bias decreases with piece diameter. For more details see Harmon and Sexton</w:t>
      </w:r>
      <w:r>
        <w:rPr>
          <w:spacing w:val="-19"/>
        </w:rPr>
        <w:t> </w:t>
      </w:r>
      <w:r>
        <w:rPr/>
        <w:t>(1996).</w:t>
      </w:r>
    </w:p>
    <w:p>
      <w:pPr>
        <w:pStyle w:val="BodyText"/>
        <w:spacing w:before="119"/>
        <w:ind w:left="179" w:right="1403"/>
        <w:jc w:val="both"/>
      </w:pPr>
      <w:r>
        <w:rPr>
          <w:i/>
        </w:rPr>
        <w:t>Method 2 – when the quantity is expected to be a relatively large proportion of the aboveground biomass (i.e., more than about 15%, based on expert judgement)</w:t>
      </w:r>
      <w:r>
        <w:rPr/>
        <w:t>: When the quantity of dead wood lying on the forest floor is expected to be high and variably distributed, as in slash left behind after logging, it is </w:t>
      </w:r>
      <w:r>
        <w:rPr>
          <w:i/>
        </w:rPr>
        <w:t>good practice </w:t>
      </w:r>
      <w:r>
        <w:rPr/>
        <w:t>to do a complete inventory of the wood in the sampling plots. It is recommended to measure all the dead wood in a subplot of the sampling plots (see also Harmon and Sexton, 1996, for details on the methods). For a complete census, the volume of each piece of dead wood lying within the circle is calculated based on the diameter measurements taken at 1 m intervals along each piece of dead wood in the plot. The volume of each piece is then estimated as the volume of a truncated cylinder based on the average of the two diameter measurements and the distance between them (usually 1 m). As with Method 1, each piece of dead wood is also classified into a density class. The volume is summed for each density class and, using the appropriate factor (based on the area of the plot), expressed on a m</w:t>
      </w:r>
      <w:r>
        <w:rPr>
          <w:vertAlign w:val="superscript"/>
        </w:rPr>
        <w:t>3</w:t>
      </w:r>
      <w:r>
        <w:rPr>
          <w:vertAlign w:val="baseline"/>
        </w:rPr>
        <w:t>/ha basis for each density class.</w:t>
      </w:r>
    </w:p>
    <w:p>
      <w:pPr>
        <w:pStyle w:val="BodyText"/>
        <w:spacing w:before="117"/>
        <w:ind w:left="179" w:right="1404"/>
        <w:jc w:val="both"/>
      </w:pPr>
      <w:r>
        <w:rPr>
          <w:i/>
        </w:rPr>
        <w:t>Density measurements</w:t>
      </w:r>
      <w:r>
        <w:rPr/>
        <w:t>: Experience shows that three density classes are sufficient—sound, intermediate and rotten. An objective and consistent way to distinguish between them is needed. A common practice in the field is to strike the wood with a “machete”—if the blade bounces off it is sound, if it enters slightly is it intermediate, and if it causes the wood to fall apart it is rotten (“machete test”). Samples of dead wood in each density class are then collected to determine their wood density. Mass of dead wood is then the product of volume per density class (from above equation) and the wood density for that class. Thus a key step in this method is to classify the dead wood into its correct density class and then to adequately sample a sufficient number of logs in each class to represent the wood densities present. It is </w:t>
      </w:r>
      <w:r>
        <w:rPr>
          <w:i/>
        </w:rPr>
        <w:t>good practice </w:t>
      </w:r>
      <w:r>
        <w:rPr/>
        <w:t>to sample at least 10 logs of each different density class. In forests with palms or early colonizers or hollow logs, it is also </w:t>
      </w:r>
      <w:r>
        <w:rPr>
          <w:i/>
        </w:rPr>
        <w:t>good practice </w:t>
      </w:r>
      <w:r>
        <w:rPr/>
        <w:t>to treat these as separate groups and sample them the same</w:t>
      </w:r>
      <w:r>
        <w:rPr>
          <w:spacing w:val="-2"/>
        </w:rPr>
        <w:t> </w:t>
      </w:r>
      <w:r>
        <w:rPr/>
        <w:t>way.</w:t>
      </w:r>
    </w:p>
    <w:p>
      <w:pPr>
        <w:pStyle w:val="BodyText"/>
        <w:spacing w:before="119"/>
        <w:ind w:left="179" w:right="1404"/>
        <w:jc w:val="both"/>
      </w:pPr>
      <w:r>
        <w:rPr/>
        <w:t>For projects based on few species and where the rate of decomposition of wood is well known for given species or forest types, models could be locally developed for estimating the density of the dead wood at different stages of decomposition (Beets </w:t>
      </w:r>
      <w:r>
        <w:rPr>
          <w:i/>
        </w:rPr>
        <w:t>et al.</w:t>
      </w:r>
      <w:r>
        <w:rPr/>
        <w:t>, 1999). Volume of wood would still need to be estimated based on either Method 1 or 2 above, but the density could be estimated based on the model of</w:t>
      </w:r>
      <w:r>
        <w:rPr>
          <w:spacing w:val="-8"/>
        </w:rPr>
        <w:t> </w:t>
      </w:r>
      <w:r>
        <w:rPr/>
        <w:t>decomposition.</w:t>
      </w:r>
    </w:p>
    <w:p>
      <w:pPr>
        <w:pStyle w:val="BodyText"/>
        <w:spacing w:before="120"/>
        <w:ind w:left="179" w:right="1403"/>
        <w:jc w:val="both"/>
      </w:pPr>
      <w:r>
        <w:rPr>
          <w:i/>
        </w:rPr>
        <w:t>Standing dead wood </w:t>
      </w:r>
      <w:r>
        <w:rPr/>
        <w:t>is measured as part of the tree inventory. Standing dead trees should be measured according to the same criteria as live trees. However, the measurements that are taken and the data that are recorded vary slightly from live trees. For example, if the standing dead tree contains branches and twigs and resembles a live tree (except for leaves) this would be noted in the field data. From the measurement of its dbh, its biomass can be estimated using the appropriate allometric equation as for live trees, subtracting out the biomass of leaves (about 2-3% of aboveground biomass). However, a dead tree can contain only small and large branches, or only large branches, or no branches – these conditions need to be recorded in the field measurements and the total biomass can be reduced accordingly; in particular if only large branches remain, the biomass estimated from the </w:t>
      </w:r>
      <w:r>
        <w:rPr>
          <w:spacing w:val="-3"/>
        </w:rPr>
        <w:t>appropriate </w:t>
      </w:r>
      <w:r>
        <w:rPr/>
        <w:t>allometric equation is reduced by </w:t>
      </w:r>
      <w:r>
        <w:rPr>
          <w:spacing w:val="-3"/>
        </w:rPr>
        <w:t>about </w:t>
      </w:r>
      <w:r>
        <w:rPr/>
        <w:t>20% to </w:t>
      </w:r>
      <w:r>
        <w:rPr>
          <w:spacing w:val="-3"/>
        </w:rPr>
        <w:t>account </w:t>
      </w:r>
      <w:r>
        <w:rPr>
          <w:spacing w:val="-2"/>
        </w:rPr>
        <w:t>for </w:t>
      </w:r>
      <w:r>
        <w:rPr/>
        <w:t>the absence of smaller branches and </w:t>
      </w:r>
      <w:r>
        <w:rPr>
          <w:spacing w:val="-3"/>
        </w:rPr>
        <w:t>twigs. </w:t>
      </w:r>
      <w:r>
        <w:rPr/>
        <w:t>When a tree has no branches and is just the bole, then its </w:t>
      </w:r>
      <w:r>
        <w:rPr>
          <w:spacing w:val="-3"/>
        </w:rPr>
        <w:t>volume </w:t>
      </w:r>
      <w:r>
        <w:rPr/>
        <w:t>can be </w:t>
      </w:r>
      <w:r>
        <w:rPr>
          <w:spacing w:val="-2"/>
        </w:rPr>
        <w:t>estimated </w:t>
      </w:r>
      <w:r>
        <w:rPr/>
        <w:t>from measurements of its basal </w:t>
      </w:r>
      <w:r>
        <w:rPr>
          <w:spacing w:val="-2"/>
        </w:rPr>
        <w:t>diameter, </w:t>
      </w:r>
      <w:r>
        <w:rPr>
          <w:spacing w:val="-3"/>
        </w:rPr>
        <w:t>height, </w:t>
      </w:r>
      <w:r>
        <w:rPr/>
        <w:t>and an estimate of its top diameter; and its biomass can be calculated with its density </w:t>
      </w:r>
      <w:r>
        <w:rPr>
          <w:spacing w:val="-3"/>
        </w:rPr>
        <w:t>class.</w:t>
      </w:r>
    </w:p>
    <w:p>
      <w:pPr>
        <w:pStyle w:val="BodyText"/>
        <w:spacing w:before="1"/>
        <w:rPr>
          <w:sz w:val="21"/>
        </w:rPr>
      </w:pPr>
    </w:p>
    <w:p>
      <w:pPr>
        <w:pStyle w:val="Heading6"/>
        <w:numPr>
          <w:ilvl w:val="4"/>
          <w:numId w:val="148"/>
        </w:numPr>
        <w:tabs>
          <w:tab w:pos="1201" w:val="left" w:leader="none"/>
        </w:tabs>
        <w:spacing w:line="240" w:lineRule="auto" w:before="0" w:after="0"/>
        <w:ind w:left="1200" w:right="0" w:hanging="1021"/>
        <w:jc w:val="both"/>
      </w:pPr>
      <w:r>
        <w:rPr/>
        <w:t>4 </w:t>
      </w:r>
      <w:r>
        <w:rPr>
          <w:spacing w:val="15"/>
        </w:rPr>
        <w:t>SOIL </w:t>
      </w:r>
      <w:r>
        <w:rPr>
          <w:spacing w:val="16"/>
        </w:rPr>
        <w:t>ORGANIC</w:t>
      </w:r>
      <w:r>
        <w:rPr>
          <w:spacing w:val="-25"/>
        </w:rPr>
        <w:t> </w:t>
      </w:r>
      <w:r>
        <w:rPr>
          <w:spacing w:val="19"/>
        </w:rPr>
        <w:t>CARBON</w:t>
      </w:r>
    </w:p>
    <w:p>
      <w:pPr>
        <w:pStyle w:val="BodyText"/>
        <w:spacing w:before="116"/>
        <w:ind w:left="179" w:right="1401"/>
        <w:jc w:val="both"/>
      </w:pPr>
      <w:r>
        <w:rPr/>
        <w:t>The soil organic carbon pool is estimated from soil samples taken in the sample plots. Soil samples are usually taken with a metallic cylinder at different depths or by the excavation method. It is </w:t>
      </w:r>
      <w:r>
        <w:rPr>
          <w:i/>
        </w:rPr>
        <w:t>good practice </w:t>
      </w:r>
      <w:r>
        <w:rPr/>
        <w:t>to collect a composite sample (recommended to collect about two to four such samples per composite) in each plot and depth. These are then mixed and homogenized to make one composite sample for each depth and plot. To estimate the soil carbon stock, an additional composite sample needs to be collected for bulk density measurements at each depth and plot (see also Section 3.2.1.3.1.1 and Section 3.2.1.3.1.2 for further discussion on soil organic carbon).</w:t>
      </w:r>
    </w:p>
    <w:p>
      <w:pPr>
        <w:pStyle w:val="BodyText"/>
        <w:spacing w:before="118"/>
        <w:ind w:left="179" w:right="1406"/>
        <w:jc w:val="both"/>
      </w:pPr>
      <w:r>
        <w:rPr/>
        <w:t>In coarse textured, stony soils, sampling bulk density by soil cores is inadequate and will probably overestimate the bulk density of the fine soil in the horizon (Blake and Hartage, 1986; Page-Dumroese </w:t>
      </w:r>
      <w:r>
        <w:rPr>
          <w:i/>
        </w:rPr>
        <w:t>et al.</w:t>
      </w:r>
      <w:r>
        <w:rPr/>
        <w:t>, 1999). Instead, the excavation method is recommended, supplemented with an estimate of the percent volume occupied by stones. If significant non-soil areas (e.g., large rocky outcrops) exist in the project site, these should be</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9"/>
        <w:jc w:val="both"/>
      </w:pPr>
      <w:r>
        <w:rPr/>
        <w:t>eliminated at the start of the project during stratification; estimates of soil carbon should only be scaled to the area where soil exists.</w:t>
      </w:r>
    </w:p>
    <w:p>
      <w:pPr>
        <w:pStyle w:val="BodyText"/>
        <w:spacing w:before="121"/>
        <w:ind w:left="179" w:right="1404"/>
        <w:jc w:val="both"/>
      </w:pPr>
      <w:r>
        <w:rPr/>
        <w:t>The depth to which the soil carbon pool should be measured and monitored may vary according to project type, site conditions, species, and expected depth at which change will take place (see Chapter 3 and other sections in Chapter 4 for additional details). In most cases, soil organic carbon concentrations are highest in the uppermost layer of soil and decrease exponentially with depth. However, the relationship of soil organic carbon concentrations with soil depth can vary as a result of such factors as the depth distribution of roots, transport of soil organic carbon within the soil profile, and erosion/deposition. It is </w:t>
      </w:r>
      <w:r>
        <w:rPr>
          <w:i/>
        </w:rPr>
        <w:t>good practice </w:t>
      </w:r>
      <w:r>
        <w:rPr/>
        <w:t>to measure the soil carbon pool to a depth of at least 30 cm. This is the depth where the changes in the soil carbon pool are likely to be fast enough to be detected during the project period. In cases where a project is using deep-rooted plants, it may be useful to measure and monitor the soil carbon pool to depths greater than 40 cm. However, this increases the costs of measuring and monitoring.</w:t>
      </w:r>
    </w:p>
    <w:p>
      <w:pPr>
        <w:pStyle w:val="BodyText"/>
        <w:spacing w:before="117"/>
        <w:ind w:left="179" w:right="1403"/>
        <w:jc w:val="both"/>
      </w:pPr>
      <w:r>
        <w:rPr/>
        <w:t>If soils are shallower than 30 cm then it is important that the depth of each soil sample collected be measured and recorded. Calculations to estimate the soil carbon stocks need to account for varying soil depth over the project area and soil depth should therefore be taken into account in the stratification.</w:t>
      </w:r>
    </w:p>
    <w:p>
      <w:pPr>
        <w:pStyle w:val="BodyText"/>
        <w:spacing w:before="121"/>
        <w:ind w:left="179" w:right="1403"/>
        <w:jc w:val="both"/>
      </w:pPr>
      <w:r>
        <w:rPr/>
        <w:t>The two most commonly used methods for soil carbon analysis are: the dry combustion method and the Walkley Black method (wet oxidation method). MacDicken (1997) discusses advantages and disadvantages of these methods for soil analysis. The Walkley Black method is commonly used in laboratories that have few resources, as it does not require sophisticated equipment. However, in many countries, professional labs exist that use the dry combustion method, and the cost can often be modest. It is </w:t>
      </w:r>
      <w:r>
        <w:rPr>
          <w:i/>
        </w:rPr>
        <w:t>good practice</w:t>
      </w:r>
      <w:r>
        <w:rPr/>
        <w:t>, especially where soil carbon is a significant aspect of the project, to use the dry combustion method. Because the dry combustion method includes carbonates, it is important that the soils that could contain carbonates be pre-tested and the inorganic carbon be removed by acidification.</w:t>
      </w:r>
    </w:p>
    <w:p>
      <w:pPr>
        <w:pStyle w:val="BodyText"/>
        <w:spacing w:before="119"/>
        <w:ind w:left="179" w:right="1404"/>
        <w:jc w:val="both"/>
      </w:pPr>
      <w:r>
        <w:rPr/>
        <w:t>There are two ways to express soil carbon – on an equal mass or equal volume basis. There are advantages and disadvantages to both methods. To express changes in soil carbon on an equal mass basis requires that the change in the soil bulk density be known ahead of the sampling so that adjustments can be made to collect an equal mass of soil. Alternatively, the adjustments can be made as part of the calculations. It is likely that projects designed to enhance soil organic carbon will also cause the soil bulk density to decrease. If it is expected that the soil bulk density will change significantly during the course of the project, it is recommended to assess the impact of expressing the changes in soil carbon on an equal mass or equal volume basis on the total projected change in soil carbon stocks. Otherwise, it is recommended that the changes in soil carbon stocks be reported on an equal volume basis, as it is commonly</w:t>
      </w:r>
      <w:r>
        <w:rPr>
          <w:spacing w:val="-2"/>
        </w:rPr>
        <w:t> </w:t>
      </w:r>
      <w:r>
        <w:rPr/>
        <w:t>done.</w:t>
      </w:r>
    </w:p>
    <w:p>
      <w:pPr>
        <w:pStyle w:val="BodyText"/>
        <w:spacing w:before="116"/>
        <w:ind w:left="179"/>
        <w:jc w:val="both"/>
      </w:pPr>
      <w:r>
        <w:rPr/>
        <w:t>The soil carbon stock per unit area on an equal volume basis is then calculated as:</w:t>
      </w:r>
    </w:p>
    <w:p>
      <w:pPr>
        <w:pStyle w:val="BodyText"/>
        <w:spacing w:before="7"/>
        <w:rPr>
          <w:sz w:val="14"/>
        </w:rPr>
      </w:pPr>
    </w:p>
    <w:p>
      <w:pPr>
        <w:pStyle w:val="BodyText"/>
        <w:ind w:left="584"/>
      </w:pPr>
      <w:r>
        <w:rPr>
          <w:position w:val="0"/>
        </w:rPr>
        <w:pict>
          <v:shape style="width:411.5pt;height:49.95pt;mso-position-horizontal-relative:char;mso-position-vertical-relative:line" type="#_x0000_t202" filled="false" stroked="true" strokeweight="1.44pt" strokecolor="#000000">
            <w10:anchorlock/>
            <v:textbox inset="0,0,0,0">
              <w:txbxContent>
                <w:p>
                  <w:pPr>
                    <w:spacing w:before="98"/>
                    <w:ind w:left="67" w:right="68" w:firstLine="0"/>
                    <w:jc w:val="center"/>
                    <w:rPr>
                      <w:b/>
                      <w:sz w:val="20"/>
                    </w:rPr>
                  </w:pPr>
                  <w:r>
                    <w:rPr>
                      <w:b/>
                      <w:sz w:val="20"/>
                    </w:rPr>
                    <w:t>E</w:t>
                  </w:r>
                  <w:r>
                    <w:rPr>
                      <w:b/>
                      <w:sz w:val="16"/>
                    </w:rPr>
                    <w:t>QUATION </w:t>
                  </w:r>
                  <w:r>
                    <w:rPr>
                      <w:b/>
                      <w:sz w:val="20"/>
                    </w:rPr>
                    <w:t>4.3.3</w:t>
                  </w:r>
                </w:p>
                <w:p>
                  <w:pPr>
                    <w:spacing w:before="1"/>
                    <w:ind w:left="67" w:right="68" w:firstLine="0"/>
                    <w:jc w:val="center"/>
                    <w:rPr>
                      <w:b/>
                      <w:sz w:val="16"/>
                    </w:rPr>
                  </w:pPr>
                  <w:r>
                    <w:rPr>
                      <w:b/>
                      <w:sz w:val="20"/>
                    </w:rPr>
                    <w:t>S</w:t>
                  </w:r>
                  <w:r>
                    <w:rPr>
                      <w:b/>
                      <w:sz w:val="16"/>
                    </w:rPr>
                    <w:t>OIL </w:t>
                  </w:r>
                  <w:r>
                    <w:rPr>
                      <w:b/>
                      <w:sz w:val="20"/>
                    </w:rPr>
                    <w:t>O</w:t>
                  </w:r>
                  <w:r>
                    <w:rPr>
                      <w:b/>
                      <w:sz w:val="16"/>
                    </w:rPr>
                    <w:t>RGANIC </w:t>
                  </w:r>
                  <w:r>
                    <w:rPr>
                      <w:b/>
                      <w:sz w:val="20"/>
                    </w:rPr>
                    <w:t>C</w:t>
                  </w:r>
                  <w:r>
                    <w:rPr>
                      <w:b/>
                      <w:sz w:val="16"/>
                    </w:rPr>
                    <w:t>ARBON </w:t>
                  </w:r>
                  <w:r>
                    <w:rPr>
                      <w:b/>
                      <w:sz w:val="20"/>
                    </w:rPr>
                    <w:t>C</w:t>
                  </w:r>
                  <w:r>
                    <w:rPr>
                      <w:b/>
                      <w:sz w:val="16"/>
                    </w:rPr>
                    <w:t>ONTENT</w:t>
                  </w:r>
                </w:p>
                <w:p>
                  <w:pPr>
                    <w:pStyle w:val="BodyText"/>
                    <w:spacing w:before="77"/>
                    <w:ind w:left="68" w:right="68"/>
                    <w:jc w:val="center"/>
                    <w:rPr>
                      <w:sz w:val="18"/>
                    </w:rPr>
                  </w:pPr>
                  <w:r>
                    <w:rPr/>
                    <w:t>SOC = [SOC] ● Bulk Density ● Depth ● CoarseFragments ● </w:t>
                  </w:r>
                  <w:r>
                    <w:rPr>
                      <w:sz w:val="18"/>
                    </w:rPr>
                    <w:t>10</w:t>
                  </w:r>
                </w:p>
              </w:txbxContent>
            </v:textbox>
            <v:stroke dashstyle="solid"/>
          </v:shape>
        </w:pict>
      </w:r>
      <w:r>
        <w:rPr>
          <w:position w:val="0"/>
        </w:rPr>
      </w:r>
    </w:p>
    <w:p>
      <w:pPr>
        <w:spacing w:after="0"/>
        <w:sectPr>
          <w:pgSz w:w="11900" w:h="16840"/>
          <w:pgMar w:header="233" w:footer="408" w:top="560" w:bottom="600" w:left="1240" w:right="0"/>
        </w:sectPr>
      </w:pPr>
    </w:p>
    <w:p>
      <w:pPr>
        <w:pStyle w:val="BodyText"/>
        <w:spacing w:before="12"/>
        <w:ind w:left="179"/>
      </w:pPr>
      <w:r>
        <w:rPr>
          <w:w w:val="95"/>
        </w:rPr>
        <w:t>Where:</w:t>
      </w:r>
    </w:p>
    <w:p>
      <w:pPr>
        <w:pStyle w:val="BodyText"/>
        <w:spacing w:before="8"/>
        <w:rPr>
          <w:sz w:val="31"/>
        </w:rPr>
      </w:pPr>
      <w:r>
        <w:rPr/>
        <w:br w:type="column"/>
      </w:r>
      <w:r>
        <w:rPr>
          <w:sz w:val="31"/>
        </w:rPr>
      </w:r>
    </w:p>
    <w:p>
      <w:pPr>
        <w:pStyle w:val="BodyText"/>
        <w:tabs>
          <w:tab w:pos="1724" w:val="left" w:leader="none"/>
        </w:tabs>
        <w:ind w:left="91"/>
      </w:pPr>
      <w:r>
        <w:rPr/>
        <w:t>SOC</w:t>
        <w:tab/>
        <w:t>= the soil organic carbon stock for soil of interest, Mg C</w:t>
      </w:r>
      <w:r>
        <w:rPr>
          <w:spacing w:val="13"/>
        </w:rPr>
        <w:t> </w:t>
      </w:r>
      <w:r>
        <w:rPr/>
        <w:t>ha</w:t>
      </w:r>
      <w:r>
        <w:rPr>
          <w:vertAlign w:val="superscript"/>
        </w:rPr>
        <w:t>-1</w:t>
      </w:r>
    </w:p>
    <w:p>
      <w:pPr>
        <w:pStyle w:val="BodyText"/>
        <w:tabs>
          <w:tab w:pos="1723" w:val="left" w:leader="none"/>
        </w:tabs>
        <w:spacing w:line="242" w:lineRule="auto" w:before="77"/>
        <w:ind w:left="1925" w:right="1939" w:hanging="1834"/>
      </w:pPr>
      <w:r>
        <w:rPr/>
        <w:t>[SOC]</w:t>
        <w:tab/>
        <w:t>= the concentration of soil organic carbon in a given soil mass, g C (kg soil)</w:t>
      </w:r>
      <w:r>
        <w:rPr>
          <w:vertAlign w:val="superscript"/>
        </w:rPr>
        <w:t>-1</w:t>
      </w:r>
      <w:r>
        <w:rPr>
          <w:vertAlign w:val="baseline"/>
        </w:rPr>
        <w:t> (from lab</w:t>
      </w:r>
      <w:r>
        <w:rPr>
          <w:spacing w:val="-4"/>
          <w:vertAlign w:val="baseline"/>
        </w:rPr>
        <w:t> </w:t>
      </w:r>
      <w:r>
        <w:rPr>
          <w:vertAlign w:val="baseline"/>
        </w:rPr>
        <w:t>analyses)</w:t>
      </w:r>
    </w:p>
    <w:p>
      <w:pPr>
        <w:pStyle w:val="BodyText"/>
        <w:tabs>
          <w:tab w:pos="1723" w:val="left" w:leader="none"/>
        </w:tabs>
        <w:spacing w:line="321" w:lineRule="auto" w:before="78"/>
        <w:ind w:left="91" w:right="4229"/>
      </w:pPr>
      <w:r>
        <w:rPr/>
        <w:t>Bulk</w:t>
      </w:r>
      <w:r>
        <w:rPr>
          <w:spacing w:val="-2"/>
        </w:rPr>
        <w:t> </w:t>
      </w:r>
      <w:r>
        <w:rPr/>
        <w:t>Density</w:t>
        <w:tab/>
        <w:t>= the soil mass per sample volume, Mg m</w:t>
      </w:r>
      <w:r>
        <w:rPr>
          <w:vertAlign w:val="superscript"/>
        </w:rPr>
        <w:t>-3</w:t>
      </w:r>
      <w:r>
        <w:rPr>
          <w:vertAlign w:val="baseline"/>
        </w:rPr>
        <w:t> Depth</w:t>
        <w:tab/>
        <w:t>= sampling depth or thickness or soil layer, m CoarseFragments</w:t>
        <w:tab/>
        <w:t>= 1 – (% volume of coarse fragments / 100) </w:t>
      </w:r>
      <w:r>
        <w:rPr>
          <w:vertAlign w:val="superscript"/>
        </w:rPr>
        <w:t>72</w:t>
      </w:r>
      <w:r>
        <w:rPr>
          <w:vertAlign w:val="baseline"/>
        </w:rPr>
        <w:t> The final multiplier of 10 is introduced to convert units to Mg C</w:t>
      </w:r>
      <w:r>
        <w:rPr>
          <w:spacing w:val="-23"/>
          <w:vertAlign w:val="baseline"/>
        </w:rPr>
        <w:t> </w:t>
      </w:r>
      <w:r>
        <w:rPr>
          <w:vertAlign w:val="baseline"/>
        </w:rPr>
        <w:t>ha</w:t>
      </w:r>
      <w:r>
        <w:rPr>
          <w:vertAlign w:val="superscript"/>
        </w:rPr>
        <w:t>-1</w:t>
      </w:r>
      <w:r>
        <w:rPr>
          <w:vertAlign w:val="baseline"/>
        </w:rPr>
        <w:t>.</w:t>
      </w:r>
    </w:p>
    <w:p>
      <w:pPr>
        <w:spacing w:after="0" w:line="321" w:lineRule="auto"/>
        <w:sectPr>
          <w:type w:val="continuous"/>
          <w:pgSz w:w="11900" w:h="16840"/>
          <w:pgMar w:top="1060" w:bottom="280" w:left="1240" w:right="0"/>
          <w:cols w:num="2" w:equalWidth="0">
            <w:col w:w="768" w:space="40"/>
            <w:col w:w="9852"/>
          </w:cols>
        </w:sectPr>
      </w:pPr>
    </w:p>
    <w:p>
      <w:pPr>
        <w:pStyle w:val="BodyText"/>
        <w:spacing w:before="3"/>
      </w:pPr>
    </w:p>
    <w:p>
      <w:pPr>
        <w:pStyle w:val="Heading6"/>
        <w:numPr>
          <w:ilvl w:val="3"/>
          <w:numId w:val="149"/>
        </w:numPr>
        <w:tabs>
          <w:tab w:pos="1619" w:val="left" w:leader="none"/>
          <w:tab w:pos="1620" w:val="left" w:leader="none"/>
        </w:tabs>
        <w:spacing w:line="283" w:lineRule="auto" w:before="89" w:after="0"/>
        <w:ind w:left="1619" w:right="2004" w:hanging="1440"/>
        <w:jc w:val="left"/>
      </w:pPr>
      <w:r>
        <w:rPr>
          <w:spacing w:val="16"/>
          <w:sz w:val="28"/>
        </w:rPr>
        <w:t>E</w:t>
      </w:r>
      <w:r>
        <w:rPr>
          <w:spacing w:val="16"/>
        </w:rPr>
        <w:t>STIMATING CHANGES </w:t>
      </w:r>
      <w:r>
        <w:rPr>
          <w:spacing w:val="11"/>
        </w:rPr>
        <w:t>IN </w:t>
      </w:r>
      <w:r>
        <w:rPr>
          <w:spacing w:val="16"/>
        </w:rPr>
        <w:t>NON</w:t>
      </w:r>
      <w:r>
        <w:rPr>
          <w:spacing w:val="16"/>
          <w:sz w:val="28"/>
        </w:rPr>
        <w:t>-CO</w:t>
      </w:r>
      <w:r>
        <w:rPr>
          <w:spacing w:val="16"/>
          <w:sz w:val="28"/>
          <w:vertAlign w:val="subscript"/>
        </w:rPr>
        <w:t>2</w:t>
      </w:r>
      <w:r>
        <w:rPr>
          <w:spacing w:val="16"/>
          <w:sz w:val="28"/>
          <w:vertAlign w:val="baseline"/>
        </w:rPr>
        <w:t> </w:t>
      </w:r>
      <w:r>
        <w:rPr>
          <w:spacing w:val="16"/>
          <w:vertAlign w:val="baseline"/>
        </w:rPr>
        <w:t>GREENHOUSE </w:t>
      </w:r>
      <w:r>
        <w:rPr>
          <w:spacing w:val="12"/>
          <w:vertAlign w:val="baseline"/>
        </w:rPr>
        <w:t>GAS </w:t>
      </w:r>
      <w:r>
        <w:rPr>
          <w:spacing w:val="16"/>
          <w:vertAlign w:val="baseline"/>
        </w:rPr>
        <w:t>EMISSIONS </w:t>
      </w:r>
      <w:r>
        <w:rPr>
          <w:spacing w:val="12"/>
          <w:vertAlign w:val="baseline"/>
        </w:rPr>
        <w:t>AND</w:t>
      </w:r>
      <w:r>
        <w:rPr>
          <w:spacing w:val="-6"/>
          <w:vertAlign w:val="baseline"/>
        </w:rPr>
        <w:t> </w:t>
      </w:r>
      <w:r>
        <w:rPr>
          <w:spacing w:val="18"/>
          <w:vertAlign w:val="baseline"/>
        </w:rPr>
        <w:t>REMOVALS</w:t>
      </w:r>
    </w:p>
    <w:p>
      <w:pPr>
        <w:pStyle w:val="BodyText"/>
        <w:spacing w:before="176"/>
        <w:ind w:left="179" w:right="1407"/>
      </w:pPr>
      <w:r>
        <w:rPr/>
        <w:t>Although the primary purpose of LULUCF projects is to increase carbon stocks relative to a baseline, practices included as part of LULUCF projects may also result in changes in non-CO</w:t>
      </w:r>
      <w:r>
        <w:rPr>
          <w:vertAlign w:val="subscript"/>
        </w:rPr>
        <w:t>2</w:t>
      </w:r>
      <w:r>
        <w:rPr>
          <w:vertAlign w:val="baseline"/>
        </w:rPr>
        <w:t> greenhouse gas emissions and</w:t>
      </w:r>
    </w:p>
    <w:p>
      <w:pPr>
        <w:pStyle w:val="BodyText"/>
        <w:spacing w:before="5"/>
        <w:rPr>
          <w:sz w:val="11"/>
        </w:rPr>
      </w:pPr>
      <w:r>
        <w:rPr/>
        <w:pict>
          <v:line style="position:absolute;mso-position-horizontal-relative:page;mso-position-vertical-relative:paragraph;z-index:20528;mso-wrap-distance-left:0;mso-wrap-distance-right:0" from="70.960999pt,8.815273pt" to="214.960999pt,8.815273pt" stroked="true" strokeweight=".48pt" strokecolor="#000000">
            <v:stroke dashstyle="solid"/>
            <w10:wrap type="topAndBottom"/>
          </v:line>
        </w:pict>
      </w:r>
    </w:p>
    <w:p>
      <w:pPr>
        <w:spacing w:before="150"/>
        <w:ind w:left="337" w:right="1336" w:hanging="159"/>
        <w:jc w:val="left"/>
        <w:rPr>
          <w:sz w:val="18"/>
        </w:rPr>
      </w:pPr>
      <w:r>
        <w:rPr>
          <w:position w:val="8"/>
          <w:sz w:val="12"/>
        </w:rPr>
        <w:t>72 </w:t>
      </w:r>
      <w:r>
        <w:rPr>
          <w:sz w:val="18"/>
        </w:rPr>
        <w:t>In soils with coarse fragments ( e.g., soils developed on till or coarse alluvium, or with high concentration of roots), SOC is adjusted for the proportion of the volumetric sample occupied by the coarse fraction (&gt;2 mm fraction).</w:t>
      </w:r>
    </w:p>
    <w:p>
      <w:pPr>
        <w:spacing w:after="0"/>
        <w:jc w:val="left"/>
        <w:rPr>
          <w:sz w:val="18"/>
        </w:rPr>
        <w:sectPr>
          <w:type w:val="continuous"/>
          <w:pgSz w:w="11900" w:h="16840"/>
          <w:pgMar w:top="1060" w:bottom="280" w:left="1240" w:right="0"/>
        </w:sectPr>
      </w:pPr>
    </w:p>
    <w:p>
      <w:pPr>
        <w:pStyle w:val="BodyText"/>
      </w:pPr>
    </w:p>
    <w:p>
      <w:pPr>
        <w:pStyle w:val="BodyText"/>
        <w:spacing w:before="2"/>
        <w:rPr>
          <w:sz w:val="18"/>
        </w:rPr>
      </w:pPr>
    </w:p>
    <w:p>
      <w:pPr>
        <w:pStyle w:val="BodyText"/>
        <w:ind w:left="179" w:right="1404"/>
        <w:jc w:val="both"/>
      </w:pPr>
      <w:r>
        <w:rPr/>
        <w:t>removals. Such practices, associated with the LULUCF sector, include, for instance, biomass burning ( e.g., during site preparation); change in livestock production (caused, for example, by changes in forage species in grazing land management); application of synthetic and organic fertilizers to soils; cultivation of nitrogen fixing trees, crops, and forages; flooding and drainage of soils. In addition, land-use practices that disturb soils, e.g., tillage for crop cultivation or for afforestation/reforestation site preparation, may affect non-CO</w:t>
      </w:r>
      <w:r>
        <w:rPr>
          <w:vertAlign w:val="subscript"/>
        </w:rPr>
        <w:t>2</w:t>
      </w:r>
      <w:r>
        <w:rPr>
          <w:vertAlign w:val="baseline"/>
        </w:rPr>
        <w:t> emissions and removals from soils. Table 4.3.2 lists possible LULUCF project practices that can affect non-CO</w:t>
      </w:r>
      <w:r>
        <w:rPr>
          <w:vertAlign w:val="subscript"/>
        </w:rPr>
        <w:t>2</w:t>
      </w:r>
      <w:r>
        <w:rPr>
          <w:vertAlign w:val="baseline"/>
        </w:rPr>
        <w:t> emissions and removals. However, the definitions and modalities for Article 12, which are under negotiation at the time of this writing, may determine which of these practices are to be included in measurement, monitoring, and reporting of Article 12 project activities.</w:t>
      </w:r>
    </w:p>
    <w:p>
      <w:pPr>
        <w:pStyle w:val="BodyText"/>
        <w:spacing w:before="2"/>
        <w:rPr>
          <w:sz w:val="11"/>
        </w:rPr>
      </w:pPr>
    </w:p>
    <w:tbl>
      <w:tblPr>
        <w:tblW w:w="0" w:type="auto"/>
        <w:jc w:val="left"/>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6"/>
        <w:gridCol w:w="2700"/>
        <w:gridCol w:w="4229"/>
      </w:tblGrid>
      <w:tr>
        <w:trPr>
          <w:trHeight w:val="738" w:hRule="atLeast"/>
        </w:trPr>
        <w:tc>
          <w:tcPr>
            <w:tcW w:w="9015" w:type="dxa"/>
            <w:gridSpan w:val="3"/>
            <w:tcBorders>
              <w:bottom w:val="double" w:sz="1" w:space="0" w:color="000000"/>
            </w:tcBorders>
          </w:tcPr>
          <w:p>
            <w:pPr>
              <w:pStyle w:val="TableParagraph"/>
              <w:spacing w:before="57"/>
              <w:ind w:left="130" w:right="123"/>
              <w:jc w:val="center"/>
              <w:rPr>
                <w:b/>
                <w:sz w:val="18"/>
              </w:rPr>
            </w:pPr>
            <w:r>
              <w:rPr>
                <w:b/>
                <w:sz w:val="18"/>
              </w:rPr>
              <w:t>T</w:t>
            </w:r>
            <w:r>
              <w:rPr>
                <w:b/>
                <w:sz w:val="14"/>
              </w:rPr>
              <w:t>ABLE </w:t>
            </w:r>
            <w:r>
              <w:rPr>
                <w:b/>
                <w:sz w:val="18"/>
              </w:rPr>
              <w:t>4.3.2</w:t>
            </w:r>
          </w:p>
          <w:p>
            <w:pPr>
              <w:pStyle w:val="TableParagraph"/>
              <w:spacing w:before="2"/>
              <w:ind w:left="1115" w:right="1107"/>
              <w:jc w:val="center"/>
              <w:rPr>
                <w:b/>
                <w:sz w:val="14"/>
              </w:rPr>
            </w:pPr>
            <w:r>
              <w:rPr>
                <w:b/>
                <w:sz w:val="18"/>
              </w:rPr>
              <w:t>P</w:t>
            </w:r>
            <w:r>
              <w:rPr>
                <w:b/>
                <w:sz w:val="14"/>
              </w:rPr>
              <w:t>OSSIBLE </w:t>
            </w:r>
            <w:r>
              <w:rPr>
                <w:b/>
                <w:sz w:val="18"/>
              </w:rPr>
              <w:t>LULUCF </w:t>
            </w:r>
            <w:r>
              <w:rPr>
                <w:b/>
                <w:sz w:val="14"/>
              </w:rPr>
              <w:t>PROJECT PRACTICES THAT MAY RESULT IN EMISSIONS OR REMOVALS OF NON</w:t>
            </w:r>
            <w:r>
              <w:rPr>
                <w:b/>
                <w:sz w:val="18"/>
              </w:rPr>
              <w:t>-CO</w:t>
            </w:r>
            <w:r>
              <w:rPr>
                <w:b/>
                <w:position w:val="-2"/>
                <w:sz w:val="12"/>
              </w:rPr>
              <w:t>2 </w:t>
            </w:r>
            <w:r>
              <w:rPr>
                <w:b/>
                <w:sz w:val="14"/>
              </w:rPr>
              <w:t>GREENHOUSE GASES</w:t>
            </w:r>
          </w:p>
        </w:tc>
      </w:tr>
      <w:tr>
        <w:trPr>
          <w:trHeight w:val="311" w:hRule="atLeast"/>
        </w:trPr>
        <w:tc>
          <w:tcPr>
            <w:tcW w:w="2086" w:type="dxa"/>
            <w:tcBorders>
              <w:top w:val="double" w:sz="1" w:space="0" w:color="000000"/>
            </w:tcBorders>
          </w:tcPr>
          <w:p>
            <w:pPr>
              <w:pStyle w:val="TableParagraph"/>
              <w:spacing w:before="38"/>
              <w:ind w:left="690"/>
              <w:rPr>
                <w:b/>
                <w:sz w:val="20"/>
              </w:rPr>
            </w:pPr>
            <w:r>
              <w:rPr>
                <w:b/>
                <w:sz w:val="20"/>
              </w:rPr>
              <w:t>Practice</w:t>
            </w:r>
          </w:p>
        </w:tc>
        <w:tc>
          <w:tcPr>
            <w:tcW w:w="2700" w:type="dxa"/>
            <w:tcBorders>
              <w:top w:val="double" w:sz="1" w:space="0" w:color="000000"/>
            </w:tcBorders>
          </w:tcPr>
          <w:p>
            <w:pPr>
              <w:pStyle w:val="TableParagraph"/>
              <w:spacing w:before="38"/>
              <w:ind w:left="313"/>
              <w:rPr>
                <w:b/>
                <w:sz w:val="20"/>
              </w:rPr>
            </w:pPr>
            <w:r>
              <w:rPr>
                <w:b/>
                <w:sz w:val="20"/>
              </w:rPr>
              <w:t>Effect on non-CO</w:t>
            </w:r>
            <w:r>
              <w:rPr>
                <w:b/>
                <w:sz w:val="20"/>
                <w:vertAlign w:val="subscript"/>
              </w:rPr>
              <w:t>2</w:t>
            </w:r>
            <w:r>
              <w:rPr>
                <w:b/>
                <w:sz w:val="20"/>
                <w:vertAlign w:val="baseline"/>
              </w:rPr>
              <w:t> gases</w:t>
            </w:r>
          </w:p>
        </w:tc>
        <w:tc>
          <w:tcPr>
            <w:tcW w:w="4229" w:type="dxa"/>
            <w:tcBorders>
              <w:top w:val="double" w:sz="1" w:space="0" w:color="000000"/>
            </w:tcBorders>
          </w:tcPr>
          <w:p>
            <w:pPr>
              <w:pStyle w:val="TableParagraph"/>
              <w:spacing w:before="38"/>
              <w:ind w:left="887"/>
              <w:rPr>
                <w:b/>
                <w:sz w:val="20"/>
              </w:rPr>
            </w:pPr>
            <w:r>
              <w:rPr>
                <w:b/>
                <w:sz w:val="20"/>
              </w:rPr>
              <w:t>Emission or removal process</w:t>
            </w:r>
          </w:p>
        </w:tc>
      </w:tr>
      <w:tr>
        <w:trPr>
          <w:trHeight w:val="330" w:hRule="atLeast"/>
        </w:trPr>
        <w:tc>
          <w:tcPr>
            <w:tcW w:w="2086" w:type="dxa"/>
          </w:tcPr>
          <w:p>
            <w:pPr>
              <w:pStyle w:val="TableParagraph"/>
              <w:spacing w:before="57"/>
              <w:ind w:left="57"/>
              <w:rPr>
                <w:sz w:val="18"/>
              </w:rPr>
            </w:pPr>
            <w:r>
              <w:rPr>
                <w:sz w:val="18"/>
              </w:rPr>
              <w:t>Biomass Burning</w:t>
            </w:r>
          </w:p>
        </w:tc>
        <w:tc>
          <w:tcPr>
            <w:tcW w:w="2700" w:type="dxa"/>
          </w:tcPr>
          <w:p>
            <w:pPr>
              <w:pStyle w:val="TableParagraph"/>
              <w:spacing w:before="57"/>
              <w:ind w:left="57"/>
              <w:rPr>
                <w:sz w:val="18"/>
              </w:rPr>
            </w:pPr>
            <w:r>
              <w:rPr>
                <w:sz w:val="18"/>
              </w:rPr>
              <w:t>Source of CH</w:t>
            </w:r>
            <w:r>
              <w:rPr>
                <w:sz w:val="18"/>
                <w:vertAlign w:val="subscript"/>
              </w:rPr>
              <w:t>4</w:t>
            </w:r>
            <w:r>
              <w:rPr>
                <w:sz w:val="18"/>
                <w:vertAlign w:val="baseline"/>
              </w:rPr>
              <w:t> and N</w:t>
            </w:r>
            <w:r>
              <w:rPr>
                <w:sz w:val="18"/>
                <w:vertAlign w:val="subscript"/>
              </w:rPr>
              <w:t>2</w:t>
            </w:r>
            <w:r>
              <w:rPr>
                <w:sz w:val="18"/>
                <w:vertAlign w:val="baseline"/>
              </w:rPr>
              <w:t>O</w:t>
            </w:r>
            <w:r>
              <w:rPr>
                <w:sz w:val="18"/>
                <w:vertAlign w:val="superscript"/>
              </w:rPr>
              <w:t>a</w:t>
            </w:r>
          </w:p>
        </w:tc>
        <w:tc>
          <w:tcPr>
            <w:tcW w:w="4229" w:type="dxa"/>
          </w:tcPr>
          <w:p>
            <w:pPr>
              <w:pStyle w:val="TableParagraph"/>
              <w:spacing w:before="57"/>
              <w:ind w:left="56"/>
              <w:rPr>
                <w:sz w:val="18"/>
              </w:rPr>
            </w:pPr>
            <w:r>
              <w:rPr>
                <w:sz w:val="18"/>
              </w:rPr>
              <w:t>Combustion</w:t>
            </w:r>
            <w:r>
              <w:rPr>
                <w:sz w:val="18"/>
                <w:vertAlign w:val="superscript"/>
              </w:rPr>
              <w:t>b</w:t>
            </w:r>
          </w:p>
        </w:tc>
      </w:tr>
      <w:tr>
        <w:trPr>
          <w:trHeight w:val="498" w:hRule="atLeast"/>
        </w:trPr>
        <w:tc>
          <w:tcPr>
            <w:tcW w:w="2086" w:type="dxa"/>
            <w:vMerge w:val="restart"/>
          </w:tcPr>
          <w:p>
            <w:pPr>
              <w:pStyle w:val="TableParagraph"/>
              <w:spacing w:before="8"/>
              <w:rPr>
                <w:sz w:val="17"/>
              </w:rPr>
            </w:pPr>
          </w:p>
          <w:p>
            <w:pPr>
              <w:pStyle w:val="TableParagraph"/>
              <w:ind w:left="57" w:right="389"/>
              <w:rPr>
                <w:sz w:val="18"/>
              </w:rPr>
            </w:pPr>
            <w:r>
              <w:rPr>
                <w:sz w:val="18"/>
              </w:rPr>
              <w:t>Synthetic and Organic Fertilizer Application</w:t>
            </w:r>
          </w:p>
        </w:tc>
        <w:tc>
          <w:tcPr>
            <w:tcW w:w="2700" w:type="dxa"/>
          </w:tcPr>
          <w:p>
            <w:pPr>
              <w:pStyle w:val="TableParagraph"/>
              <w:spacing w:before="141"/>
              <w:ind w:left="56"/>
              <w:rPr>
                <w:sz w:val="18"/>
              </w:rPr>
            </w:pPr>
            <w:r>
              <w:rPr>
                <w:sz w:val="18"/>
              </w:rPr>
              <w:t>Source of N</w:t>
            </w:r>
            <w:r>
              <w:rPr>
                <w:sz w:val="18"/>
                <w:vertAlign w:val="subscript"/>
              </w:rPr>
              <w:t>2</w:t>
            </w:r>
            <w:r>
              <w:rPr>
                <w:sz w:val="18"/>
                <w:vertAlign w:val="baseline"/>
              </w:rPr>
              <w:t>O</w:t>
            </w:r>
          </w:p>
        </w:tc>
        <w:tc>
          <w:tcPr>
            <w:tcW w:w="4229" w:type="dxa"/>
          </w:tcPr>
          <w:p>
            <w:pPr>
              <w:pStyle w:val="TableParagraph"/>
              <w:spacing w:before="38"/>
              <w:ind w:left="56" w:right="364"/>
              <w:rPr>
                <w:sz w:val="18"/>
              </w:rPr>
            </w:pPr>
            <w:r>
              <w:rPr>
                <w:sz w:val="18"/>
              </w:rPr>
              <w:t>Nitrification/denitrification of fertilizers and organic amendments applied to soils</w:t>
            </w:r>
          </w:p>
        </w:tc>
      </w:tr>
      <w:tr>
        <w:trPr>
          <w:trHeight w:val="330" w:hRule="atLeast"/>
        </w:trPr>
        <w:tc>
          <w:tcPr>
            <w:tcW w:w="2086" w:type="dxa"/>
            <w:vMerge/>
            <w:tcBorders>
              <w:top w:val="nil"/>
            </w:tcBorders>
          </w:tcPr>
          <w:p>
            <w:pPr>
              <w:rPr>
                <w:sz w:val="2"/>
                <w:szCs w:val="2"/>
              </w:rPr>
            </w:pPr>
          </w:p>
        </w:tc>
        <w:tc>
          <w:tcPr>
            <w:tcW w:w="2700" w:type="dxa"/>
          </w:tcPr>
          <w:p>
            <w:pPr>
              <w:pStyle w:val="TableParagraph"/>
              <w:spacing w:before="57"/>
              <w:ind w:left="56"/>
              <w:rPr>
                <w:sz w:val="18"/>
              </w:rPr>
            </w:pPr>
            <w:r>
              <w:rPr>
                <w:sz w:val="18"/>
              </w:rPr>
              <w:t>Reduced CH</w:t>
            </w:r>
            <w:r>
              <w:rPr>
                <w:sz w:val="18"/>
                <w:vertAlign w:val="subscript"/>
              </w:rPr>
              <w:t>4</w:t>
            </w:r>
            <w:r>
              <w:rPr>
                <w:sz w:val="18"/>
                <w:vertAlign w:val="baseline"/>
              </w:rPr>
              <w:t> removal</w:t>
            </w:r>
          </w:p>
        </w:tc>
        <w:tc>
          <w:tcPr>
            <w:tcW w:w="4229" w:type="dxa"/>
          </w:tcPr>
          <w:p>
            <w:pPr>
              <w:pStyle w:val="TableParagraph"/>
              <w:spacing w:before="57"/>
              <w:ind w:left="57"/>
              <w:rPr>
                <w:sz w:val="18"/>
              </w:rPr>
            </w:pPr>
            <w:r>
              <w:rPr>
                <w:sz w:val="18"/>
              </w:rPr>
              <w:t>Suppression of soil microbial oxidation of CH</w:t>
            </w:r>
            <w:r>
              <w:rPr>
                <w:sz w:val="18"/>
                <w:vertAlign w:val="subscript"/>
              </w:rPr>
              <w:t>4</w:t>
            </w:r>
          </w:p>
        </w:tc>
      </w:tr>
      <w:tr>
        <w:trPr>
          <w:trHeight w:val="498" w:hRule="atLeast"/>
        </w:trPr>
        <w:tc>
          <w:tcPr>
            <w:tcW w:w="2086" w:type="dxa"/>
          </w:tcPr>
          <w:p>
            <w:pPr>
              <w:pStyle w:val="TableParagraph"/>
              <w:spacing w:before="38"/>
              <w:ind w:left="57" w:right="114"/>
              <w:rPr>
                <w:sz w:val="18"/>
              </w:rPr>
            </w:pPr>
            <w:r>
              <w:rPr>
                <w:sz w:val="18"/>
              </w:rPr>
              <w:t>Cultivation of N-Fixing Trees, Crops, and Forages</w:t>
            </w:r>
          </w:p>
        </w:tc>
        <w:tc>
          <w:tcPr>
            <w:tcW w:w="2700" w:type="dxa"/>
          </w:tcPr>
          <w:p>
            <w:pPr>
              <w:pStyle w:val="TableParagraph"/>
              <w:spacing w:before="141"/>
              <w:ind w:left="56"/>
              <w:rPr>
                <w:sz w:val="18"/>
              </w:rPr>
            </w:pPr>
            <w:r>
              <w:rPr>
                <w:sz w:val="18"/>
              </w:rPr>
              <w:t>Source of N</w:t>
            </w:r>
            <w:r>
              <w:rPr>
                <w:sz w:val="18"/>
                <w:vertAlign w:val="subscript"/>
              </w:rPr>
              <w:t>2</w:t>
            </w:r>
            <w:r>
              <w:rPr>
                <w:sz w:val="18"/>
                <w:vertAlign w:val="baseline"/>
              </w:rPr>
              <w:t>O</w:t>
            </w:r>
          </w:p>
        </w:tc>
        <w:tc>
          <w:tcPr>
            <w:tcW w:w="4229" w:type="dxa"/>
          </w:tcPr>
          <w:p>
            <w:pPr>
              <w:pStyle w:val="TableParagraph"/>
              <w:spacing w:before="38"/>
              <w:ind w:left="56" w:right="389"/>
              <w:rPr>
                <w:sz w:val="18"/>
              </w:rPr>
            </w:pPr>
            <w:r>
              <w:rPr>
                <w:sz w:val="18"/>
              </w:rPr>
              <w:t>Nitrification/denitrification of soil N from enhanced biological N fixation</w:t>
            </w:r>
          </w:p>
        </w:tc>
      </w:tr>
      <w:tr>
        <w:trPr>
          <w:trHeight w:val="330" w:hRule="atLeast"/>
        </w:trPr>
        <w:tc>
          <w:tcPr>
            <w:tcW w:w="2086" w:type="dxa"/>
            <w:vMerge w:val="restart"/>
          </w:tcPr>
          <w:p>
            <w:pPr>
              <w:pStyle w:val="TableParagraph"/>
              <w:spacing w:before="2"/>
              <w:rPr>
                <w:sz w:val="19"/>
              </w:rPr>
            </w:pPr>
          </w:p>
          <w:p>
            <w:pPr>
              <w:pStyle w:val="TableParagraph"/>
              <w:ind w:left="57"/>
              <w:rPr>
                <w:sz w:val="18"/>
              </w:rPr>
            </w:pPr>
            <w:r>
              <w:rPr>
                <w:sz w:val="18"/>
              </w:rPr>
              <w:t>Soil Re-Flooding</w:t>
            </w:r>
          </w:p>
        </w:tc>
        <w:tc>
          <w:tcPr>
            <w:tcW w:w="2700" w:type="dxa"/>
          </w:tcPr>
          <w:p>
            <w:pPr>
              <w:pStyle w:val="TableParagraph"/>
              <w:spacing w:before="57"/>
              <w:ind w:left="56"/>
              <w:rPr>
                <w:sz w:val="18"/>
              </w:rPr>
            </w:pPr>
            <w:r>
              <w:rPr>
                <w:sz w:val="18"/>
              </w:rPr>
              <w:t>Source of CH</w:t>
            </w:r>
            <w:r>
              <w:rPr>
                <w:sz w:val="18"/>
                <w:vertAlign w:val="subscript"/>
              </w:rPr>
              <w:t>4</w:t>
            </w:r>
          </w:p>
        </w:tc>
        <w:tc>
          <w:tcPr>
            <w:tcW w:w="4229" w:type="dxa"/>
          </w:tcPr>
          <w:p>
            <w:pPr>
              <w:pStyle w:val="TableParagraph"/>
              <w:spacing w:before="57"/>
              <w:ind w:left="56"/>
              <w:rPr>
                <w:sz w:val="18"/>
              </w:rPr>
            </w:pPr>
            <w:r>
              <w:rPr>
                <w:sz w:val="18"/>
              </w:rPr>
              <w:t>Anaerobic decomposition of organic material in soils</w:t>
            </w:r>
          </w:p>
        </w:tc>
      </w:tr>
      <w:tr>
        <w:trPr>
          <w:trHeight w:val="330" w:hRule="atLeast"/>
        </w:trPr>
        <w:tc>
          <w:tcPr>
            <w:tcW w:w="2086" w:type="dxa"/>
            <w:vMerge/>
            <w:tcBorders>
              <w:top w:val="nil"/>
            </w:tcBorders>
          </w:tcPr>
          <w:p>
            <w:pPr>
              <w:rPr>
                <w:sz w:val="2"/>
                <w:szCs w:val="2"/>
              </w:rPr>
            </w:pPr>
          </w:p>
        </w:tc>
        <w:tc>
          <w:tcPr>
            <w:tcW w:w="2700" w:type="dxa"/>
          </w:tcPr>
          <w:p>
            <w:pPr>
              <w:pStyle w:val="TableParagraph"/>
              <w:spacing w:before="57"/>
              <w:ind w:left="56"/>
              <w:rPr>
                <w:sz w:val="18"/>
              </w:rPr>
            </w:pPr>
            <w:r>
              <w:rPr>
                <w:sz w:val="18"/>
              </w:rPr>
              <w:t>Reduced/Eliminated source of N</w:t>
            </w:r>
            <w:r>
              <w:rPr>
                <w:sz w:val="18"/>
                <w:vertAlign w:val="subscript"/>
              </w:rPr>
              <w:t>2</w:t>
            </w:r>
            <w:r>
              <w:rPr>
                <w:sz w:val="18"/>
                <w:vertAlign w:val="baseline"/>
              </w:rPr>
              <w:t>O</w:t>
            </w:r>
          </w:p>
        </w:tc>
        <w:tc>
          <w:tcPr>
            <w:tcW w:w="4229" w:type="dxa"/>
          </w:tcPr>
          <w:p>
            <w:pPr>
              <w:pStyle w:val="TableParagraph"/>
              <w:spacing w:before="57"/>
              <w:ind w:left="56"/>
              <w:rPr>
                <w:sz w:val="18"/>
              </w:rPr>
            </w:pPr>
            <w:r>
              <w:rPr>
                <w:sz w:val="18"/>
              </w:rPr>
              <w:t>Reduces mineralization of soil organic matter</w:t>
            </w:r>
          </w:p>
        </w:tc>
      </w:tr>
      <w:tr>
        <w:trPr>
          <w:trHeight w:val="498" w:hRule="atLeast"/>
        </w:trPr>
        <w:tc>
          <w:tcPr>
            <w:tcW w:w="2086" w:type="dxa"/>
            <w:vMerge w:val="restart"/>
          </w:tcPr>
          <w:p>
            <w:pPr>
              <w:pStyle w:val="TableParagraph"/>
              <w:rPr>
                <w:sz w:val="20"/>
              </w:rPr>
            </w:pPr>
          </w:p>
          <w:p>
            <w:pPr>
              <w:pStyle w:val="TableParagraph"/>
              <w:spacing w:before="161"/>
              <w:ind w:left="57"/>
              <w:rPr>
                <w:sz w:val="18"/>
              </w:rPr>
            </w:pPr>
            <w:r>
              <w:rPr>
                <w:sz w:val="18"/>
              </w:rPr>
              <w:t>Soil Drainage</w:t>
            </w:r>
          </w:p>
        </w:tc>
        <w:tc>
          <w:tcPr>
            <w:tcW w:w="2700" w:type="dxa"/>
          </w:tcPr>
          <w:p>
            <w:pPr>
              <w:pStyle w:val="TableParagraph"/>
              <w:spacing w:before="141"/>
              <w:ind w:left="56"/>
              <w:rPr>
                <w:sz w:val="18"/>
              </w:rPr>
            </w:pPr>
            <w:r>
              <w:rPr>
                <w:sz w:val="18"/>
              </w:rPr>
              <w:t>Reduced/Eliminated source of CH</w:t>
            </w:r>
            <w:r>
              <w:rPr>
                <w:sz w:val="18"/>
                <w:vertAlign w:val="subscript"/>
              </w:rPr>
              <w:t>4</w:t>
            </w:r>
          </w:p>
        </w:tc>
        <w:tc>
          <w:tcPr>
            <w:tcW w:w="4229" w:type="dxa"/>
          </w:tcPr>
          <w:p>
            <w:pPr>
              <w:pStyle w:val="TableParagraph"/>
              <w:spacing w:before="38"/>
              <w:ind w:left="56" w:right="579"/>
              <w:rPr>
                <w:sz w:val="18"/>
              </w:rPr>
            </w:pPr>
            <w:r>
              <w:rPr>
                <w:sz w:val="18"/>
              </w:rPr>
              <w:t>Reduction of anaerobic decomposition of organic material</w:t>
            </w:r>
          </w:p>
        </w:tc>
      </w:tr>
      <w:tr>
        <w:trPr>
          <w:trHeight w:val="501" w:hRule="atLeast"/>
        </w:trPr>
        <w:tc>
          <w:tcPr>
            <w:tcW w:w="2086" w:type="dxa"/>
            <w:vMerge/>
            <w:tcBorders>
              <w:top w:val="nil"/>
            </w:tcBorders>
          </w:tcPr>
          <w:p>
            <w:pPr>
              <w:rPr>
                <w:sz w:val="2"/>
                <w:szCs w:val="2"/>
              </w:rPr>
            </w:pPr>
          </w:p>
        </w:tc>
        <w:tc>
          <w:tcPr>
            <w:tcW w:w="2700" w:type="dxa"/>
          </w:tcPr>
          <w:p>
            <w:pPr>
              <w:pStyle w:val="TableParagraph"/>
              <w:spacing w:before="141"/>
              <w:ind w:left="56"/>
              <w:rPr>
                <w:sz w:val="18"/>
              </w:rPr>
            </w:pPr>
            <w:r>
              <w:rPr>
                <w:sz w:val="18"/>
              </w:rPr>
              <w:t>Source of N</w:t>
            </w:r>
            <w:r>
              <w:rPr>
                <w:sz w:val="18"/>
                <w:vertAlign w:val="subscript"/>
              </w:rPr>
              <w:t>2</w:t>
            </w:r>
            <w:r>
              <w:rPr>
                <w:sz w:val="18"/>
                <w:vertAlign w:val="baseline"/>
              </w:rPr>
              <w:t>O</w:t>
            </w:r>
          </w:p>
        </w:tc>
        <w:tc>
          <w:tcPr>
            <w:tcW w:w="4229" w:type="dxa"/>
          </w:tcPr>
          <w:p>
            <w:pPr>
              <w:pStyle w:val="TableParagraph"/>
              <w:spacing w:before="38"/>
              <w:ind w:left="56" w:right="344"/>
              <w:rPr>
                <w:sz w:val="18"/>
              </w:rPr>
            </w:pPr>
            <w:r>
              <w:rPr>
                <w:sz w:val="18"/>
              </w:rPr>
              <w:t>Mineralization of soil organic matter and subsequent nitrification/denitrification of mineralised nitrogen</w:t>
            </w:r>
          </w:p>
        </w:tc>
      </w:tr>
      <w:tr>
        <w:trPr>
          <w:trHeight w:val="498" w:hRule="atLeast"/>
        </w:trPr>
        <w:tc>
          <w:tcPr>
            <w:tcW w:w="2086" w:type="dxa"/>
            <w:vMerge w:val="restart"/>
          </w:tcPr>
          <w:p>
            <w:pPr>
              <w:pStyle w:val="TableParagraph"/>
              <w:spacing w:before="7"/>
              <w:rPr>
                <w:sz w:val="26"/>
              </w:rPr>
            </w:pPr>
          </w:p>
          <w:p>
            <w:pPr>
              <w:pStyle w:val="TableParagraph"/>
              <w:spacing w:before="1"/>
              <w:ind w:left="57"/>
              <w:rPr>
                <w:sz w:val="18"/>
              </w:rPr>
            </w:pPr>
            <w:r>
              <w:rPr>
                <w:sz w:val="18"/>
              </w:rPr>
              <w:t>Soil Disturbance</w:t>
            </w:r>
          </w:p>
        </w:tc>
        <w:tc>
          <w:tcPr>
            <w:tcW w:w="2700" w:type="dxa"/>
          </w:tcPr>
          <w:p>
            <w:pPr>
              <w:pStyle w:val="TableParagraph"/>
              <w:spacing w:before="141"/>
              <w:ind w:left="56"/>
              <w:rPr>
                <w:sz w:val="18"/>
              </w:rPr>
            </w:pPr>
            <w:r>
              <w:rPr>
                <w:sz w:val="18"/>
              </w:rPr>
              <w:t>Source of N</w:t>
            </w:r>
            <w:r>
              <w:rPr>
                <w:sz w:val="18"/>
                <w:vertAlign w:val="subscript"/>
              </w:rPr>
              <w:t>2</w:t>
            </w:r>
            <w:r>
              <w:rPr>
                <w:sz w:val="18"/>
                <w:vertAlign w:val="baseline"/>
              </w:rPr>
              <w:t>O</w:t>
            </w:r>
          </w:p>
        </w:tc>
        <w:tc>
          <w:tcPr>
            <w:tcW w:w="4229" w:type="dxa"/>
          </w:tcPr>
          <w:p>
            <w:pPr>
              <w:pStyle w:val="TableParagraph"/>
              <w:spacing w:before="38"/>
              <w:ind w:left="56" w:right="344"/>
              <w:rPr>
                <w:sz w:val="18"/>
              </w:rPr>
            </w:pPr>
            <w:r>
              <w:rPr>
                <w:sz w:val="18"/>
              </w:rPr>
              <w:t>Mineralization of soil organic matter and subsequent nitrification/denitrification of mineralised nitrogen</w:t>
            </w:r>
          </w:p>
        </w:tc>
      </w:tr>
      <w:tr>
        <w:trPr>
          <w:trHeight w:val="330" w:hRule="atLeast"/>
        </w:trPr>
        <w:tc>
          <w:tcPr>
            <w:tcW w:w="2086" w:type="dxa"/>
            <w:vMerge/>
            <w:tcBorders>
              <w:top w:val="nil"/>
            </w:tcBorders>
          </w:tcPr>
          <w:p>
            <w:pPr>
              <w:rPr>
                <w:sz w:val="2"/>
                <w:szCs w:val="2"/>
              </w:rPr>
            </w:pPr>
          </w:p>
        </w:tc>
        <w:tc>
          <w:tcPr>
            <w:tcW w:w="2700" w:type="dxa"/>
          </w:tcPr>
          <w:p>
            <w:pPr>
              <w:pStyle w:val="TableParagraph"/>
              <w:spacing w:before="57"/>
              <w:ind w:left="56"/>
              <w:rPr>
                <w:sz w:val="18"/>
              </w:rPr>
            </w:pPr>
            <w:r>
              <w:rPr>
                <w:sz w:val="18"/>
              </w:rPr>
              <w:t>Reduced CH</w:t>
            </w:r>
            <w:r>
              <w:rPr>
                <w:sz w:val="18"/>
                <w:vertAlign w:val="subscript"/>
              </w:rPr>
              <w:t>4</w:t>
            </w:r>
            <w:r>
              <w:rPr>
                <w:sz w:val="18"/>
                <w:vertAlign w:val="baseline"/>
              </w:rPr>
              <w:t> removal</w:t>
            </w:r>
          </w:p>
        </w:tc>
        <w:tc>
          <w:tcPr>
            <w:tcW w:w="4229" w:type="dxa"/>
          </w:tcPr>
          <w:p>
            <w:pPr>
              <w:pStyle w:val="TableParagraph"/>
              <w:spacing w:before="57"/>
              <w:ind w:left="57"/>
              <w:rPr>
                <w:sz w:val="18"/>
              </w:rPr>
            </w:pPr>
            <w:r>
              <w:rPr>
                <w:sz w:val="18"/>
              </w:rPr>
              <w:t>Suppression of soil microbial oxidation of CH</w:t>
            </w:r>
            <w:r>
              <w:rPr>
                <w:sz w:val="18"/>
                <w:vertAlign w:val="subscript"/>
              </w:rPr>
              <w:t>4</w:t>
            </w:r>
          </w:p>
        </w:tc>
      </w:tr>
      <w:tr>
        <w:trPr>
          <w:trHeight w:val="328" w:hRule="atLeast"/>
        </w:trPr>
        <w:tc>
          <w:tcPr>
            <w:tcW w:w="2086" w:type="dxa"/>
            <w:vMerge w:val="restart"/>
          </w:tcPr>
          <w:p>
            <w:pPr>
              <w:pStyle w:val="TableParagraph"/>
              <w:rPr>
                <w:sz w:val="22"/>
              </w:rPr>
            </w:pPr>
          </w:p>
          <w:p>
            <w:pPr>
              <w:pStyle w:val="TableParagraph"/>
              <w:rPr>
                <w:sz w:val="22"/>
              </w:rPr>
            </w:pPr>
          </w:p>
          <w:p>
            <w:pPr>
              <w:pStyle w:val="TableParagraph"/>
              <w:spacing w:before="5"/>
              <w:rPr>
                <w:sz w:val="25"/>
              </w:rPr>
            </w:pPr>
          </w:p>
          <w:p>
            <w:pPr>
              <w:pStyle w:val="TableParagraph"/>
              <w:ind w:left="57" w:right="154"/>
              <w:rPr>
                <w:sz w:val="18"/>
              </w:rPr>
            </w:pPr>
            <w:r>
              <w:rPr>
                <w:sz w:val="18"/>
              </w:rPr>
              <w:t>Changes in Grazing Land Management</w:t>
            </w:r>
            <w:r>
              <w:rPr>
                <w:sz w:val="18"/>
                <w:vertAlign w:val="superscript"/>
              </w:rPr>
              <w:t>c</w:t>
            </w:r>
          </w:p>
        </w:tc>
        <w:tc>
          <w:tcPr>
            <w:tcW w:w="2700" w:type="dxa"/>
            <w:vMerge w:val="restart"/>
          </w:tcPr>
          <w:p>
            <w:pPr>
              <w:pStyle w:val="TableParagraph"/>
              <w:rPr>
                <w:sz w:val="20"/>
              </w:rPr>
            </w:pPr>
          </w:p>
          <w:p>
            <w:pPr>
              <w:pStyle w:val="TableParagraph"/>
              <w:rPr>
                <w:sz w:val="20"/>
              </w:rPr>
            </w:pPr>
          </w:p>
          <w:p>
            <w:pPr>
              <w:pStyle w:val="TableParagraph"/>
              <w:spacing w:before="5"/>
              <w:rPr>
                <w:sz w:val="20"/>
              </w:rPr>
            </w:pPr>
          </w:p>
          <w:p>
            <w:pPr>
              <w:pStyle w:val="TableParagraph"/>
              <w:spacing w:before="1"/>
              <w:ind w:left="56" w:right="265"/>
              <w:rPr>
                <w:sz w:val="18"/>
              </w:rPr>
            </w:pPr>
            <w:r>
              <w:rPr>
                <w:sz w:val="18"/>
              </w:rPr>
              <w:t>Increased or decreased source of CH</w:t>
            </w:r>
            <w:r>
              <w:rPr>
                <w:sz w:val="18"/>
                <w:vertAlign w:val="subscript"/>
              </w:rPr>
              <w:t>4</w:t>
            </w:r>
            <w:r>
              <w:rPr>
                <w:sz w:val="18"/>
                <w:vertAlign w:val="baseline"/>
              </w:rPr>
              <w:t> and N</w:t>
            </w:r>
            <w:r>
              <w:rPr>
                <w:sz w:val="18"/>
                <w:vertAlign w:val="subscript"/>
              </w:rPr>
              <w:t>2</w:t>
            </w:r>
            <w:r>
              <w:rPr>
                <w:sz w:val="18"/>
                <w:vertAlign w:val="baseline"/>
              </w:rPr>
              <w:t>O from effects on livestock</w:t>
            </w:r>
          </w:p>
        </w:tc>
        <w:tc>
          <w:tcPr>
            <w:tcW w:w="4229" w:type="dxa"/>
          </w:tcPr>
          <w:p>
            <w:pPr>
              <w:pStyle w:val="TableParagraph"/>
              <w:spacing w:before="57"/>
              <w:ind w:left="56"/>
              <w:rPr>
                <w:sz w:val="18"/>
              </w:rPr>
            </w:pPr>
            <w:r>
              <w:rPr>
                <w:sz w:val="18"/>
              </w:rPr>
              <w:t>Animal digestion (CH</w:t>
            </w:r>
            <w:r>
              <w:rPr>
                <w:sz w:val="18"/>
                <w:vertAlign w:val="subscript"/>
              </w:rPr>
              <w:t>4</w:t>
            </w:r>
            <w:r>
              <w:rPr>
                <w:sz w:val="18"/>
                <w:vertAlign w:val="baseline"/>
              </w:rPr>
              <w:t>)</w:t>
            </w:r>
          </w:p>
        </w:tc>
      </w:tr>
      <w:tr>
        <w:trPr>
          <w:trHeight w:val="841" w:hRule="atLeast"/>
        </w:trPr>
        <w:tc>
          <w:tcPr>
            <w:tcW w:w="2086" w:type="dxa"/>
            <w:vMerge/>
            <w:tcBorders>
              <w:top w:val="nil"/>
            </w:tcBorders>
          </w:tcPr>
          <w:p>
            <w:pPr>
              <w:rPr>
                <w:sz w:val="2"/>
                <w:szCs w:val="2"/>
              </w:rPr>
            </w:pPr>
          </w:p>
        </w:tc>
        <w:tc>
          <w:tcPr>
            <w:tcW w:w="2700" w:type="dxa"/>
            <w:vMerge/>
            <w:tcBorders>
              <w:top w:val="nil"/>
            </w:tcBorders>
          </w:tcPr>
          <w:p>
            <w:pPr>
              <w:rPr>
                <w:sz w:val="2"/>
                <w:szCs w:val="2"/>
              </w:rPr>
            </w:pPr>
          </w:p>
        </w:tc>
        <w:tc>
          <w:tcPr>
            <w:tcW w:w="4229" w:type="dxa"/>
          </w:tcPr>
          <w:p>
            <w:pPr>
              <w:pStyle w:val="TableParagraph"/>
              <w:spacing w:before="105"/>
              <w:ind w:left="56" w:right="254"/>
              <w:rPr>
                <w:sz w:val="18"/>
              </w:rPr>
            </w:pPr>
            <w:r>
              <w:rPr>
                <w:sz w:val="18"/>
              </w:rPr>
              <w:t>Anaerobic decomposition of manure stored in manure management systems and applied/deposited on soils (CH</w:t>
            </w:r>
            <w:r>
              <w:rPr>
                <w:sz w:val="18"/>
                <w:vertAlign w:val="subscript"/>
              </w:rPr>
              <w:t>4</w:t>
            </w:r>
            <w:r>
              <w:rPr>
                <w:sz w:val="18"/>
                <w:vertAlign w:val="baseline"/>
              </w:rPr>
              <w:t>)</w:t>
            </w:r>
          </w:p>
        </w:tc>
      </w:tr>
      <w:tr>
        <w:trPr>
          <w:trHeight w:val="842" w:hRule="atLeast"/>
        </w:trPr>
        <w:tc>
          <w:tcPr>
            <w:tcW w:w="2086" w:type="dxa"/>
            <w:vMerge/>
            <w:tcBorders>
              <w:top w:val="nil"/>
            </w:tcBorders>
          </w:tcPr>
          <w:p>
            <w:pPr>
              <w:rPr>
                <w:sz w:val="2"/>
                <w:szCs w:val="2"/>
              </w:rPr>
            </w:pPr>
          </w:p>
        </w:tc>
        <w:tc>
          <w:tcPr>
            <w:tcW w:w="2700" w:type="dxa"/>
            <w:vMerge/>
            <w:tcBorders>
              <w:top w:val="nil"/>
            </w:tcBorders>
          </w:tcPr>
          <w:p>
            <w:pPr>
              <w:rPr>
                <w:sz w:val="2"/>
                <w:szCs w:val="2"/>
              </w:rPr>
            </w:pPr>
          </w:p>
        </w:tc>
        <w:tc>
          <w:tcPr>
            <w:tcW w:w="4229" w:type="dxa"/>
          </w:tcPr>
          <w:p>
            <w:pPr>
              <w:pStyle w:val="TableParagraph"/>
              <w:spacing w:before="105"/>
              <w:ind w:left="56" w:right="179"/>
              <w:rPr>
                <w:sz w:val="18"/>
              </w:rPr>
            </w:pPr>
            <w:r>
              <w:rPr>
                <w:sz w:val="18"/>
              </w:rPr>
              <w:t>Nitrification/denitrification of N in manure stored in manure management systems and applied/deposited on soils (N</w:t>
            </w:r>
            <w:r>
              <w:rPr>
                <w:sz w:val="18"/>
                <w:vertAlign w:val="subscript"/>
              </w:rPr>
              <w:t>2</w:t>
            </w:r>
            <w:r>
              <w:rPr>
                <w:sz w:val="18"/>
                <w:vertAlign w:val="baseline"/>
              </w:rPr>
              <w:t>O)</w:t>
            </w:r>
          </w:p>
        </w:tc>
      </w:tr>
      <w:tr>
        <w:trPr>
          <w:trHeight w:val="2030" w:hRule="atLeast"/>
        </w:trPr>
        <w:tc>
          <w:tcPr>
            <w:tcW w:w="9015" w:type="dxa"/>
            <w:gridSpan w:val="3"/>
          </w:tcPr>
          <w:p>
            <w:pPr>
              <w:pStyle w:val="TableParagraph"/>
              <w:spacing w:line="206" w:lineRule="exact" w:before="5"/>
              <w:ind w:left="215" w:right="40" w:hanging="159"/>
              <w:jc w:val="both"/>
              <w:rPr>
                <w:sz w:val="18"/>
              </w:rPr>
            </w:pPr>
            <w:r>
              <w:rPr>
                <w:position w:val="8"/>
                <w:sz w:val="12"/>
              </w:rPr>
              <w:t>a </w:t>
            </w:r>
            <w:r>
              <w:rPr>
                <w:sz w:val="18"/>
              </w:rPr>
              <w:t>Biomass burning is also a source of carbon monoxide, oxides of nitrogen, and non-methane volatile organic compounds. These emissions are not addressed here because these gases are not considered under the Kyoto Protocol.</w:t>
            </w:r>
          </w:p>
          <w:p>
            <w:pPr>
              <w:pStyle w:val="TableParagraph"/>
              <w:spacing w:before="94"/>
              <w:ind w:left="215" w:right="42" w:hanging="159"/>
              <w:jc w:val="both"/>
              <w:rPr>
                <w:sz w:val="18"/>
              </w:rPr>
            </w:pPr>
            <w:r>
              <w:rPr>
                <w:position w:val="8"/>
                <w:sz w:val="12"/>
              </w:rPr>
              <w:t>b </w:t>
            </w:r>
            <w:r>
              <w:rPr>
                <w:sz w:val="18"/>
              </w:rPr>
              <w:t>Some experiments have indicated that open biomass burning (i.e., field burning of vegetation) results in elevated emissions of N</w:t>
            </w:r>
            <w:r>
              <w:rPr>
                <w:sz w:val="18"/>
                <w:vertAlign w:val="subscript"/>
              </w:rPr>
              <w:t>2</w:t>
            </w:r>
            <w:r>
              <w:rPr>
                <w:sz w:val="18"/>
                <w:vertAlign w:val="baseline"/>
              </w:rPr>
              <w:t>O from soils for up to six months after burning (cf. Chapter 5 of Volume 3 of the </w:t>
            </w:r>
            <w:r>
              <w:rPr>
                <w:i/>
                <w:sz w:val="18"/>
                <w:vertAlign w:val="baseline"/>
              </w:rPr>
              <w:t>IPCC Guidelines</w:t>
            </w:r>
            <w:r>
              <w:rPr>
                <w:sz w:val="18"/>
                <w:vertAlign w:val="baseline"/>
              </w:rPr>
              <w:t>). However, other experiments have found no long-term effect on soil N</w:t>
            </w:r>
            <w:r>
              <w:rPr>
                <w:sz w:val="18"/>
                <w:vertAlign w:val="subscript"/>
              </w:rPr>
              <w:t>2</w:t>
            </w:r>
            <w:r>
              <w:rPr>
                <w:sz w:val="18"/>
                <w:vertAlign w:val="baseline"/>
              </w:rPr>
              <w:t>O emissions, so this process is not addressed further here.</w:t>
            </w:r>
          </w:p>
          <w:p>
            <w:pPr>
              <w:pStyle w:val="TableParagraph"/>
              <w:spacing w:before="96"/>
              <w:ind w:left="215" w:right="43" w:hanging="159"/>
              <w:jc w:val="both"/>
              <w:rPr>
                <w:sz w:val="18"/>
              </w:rPr>
            </w:pPr>
            <w:r>
              <w:rPr>
                <w:position w:val="8"/>
                <w:sz w:val="12"/>
              </w:rPr>
              <w:t>c </w:t>
            </w:r>
            <w:r>
              <w:rPr>
                <w:sz w:val="18"/>
              </w:rPr>
              <w:t>Changes in the species mix of grazing land plants for enhancing soil carbon, for example, could affect livestock production and thus the non-CO</w:t>
            </w:r>
            <w:r>
              <w:rPr>
                <w:sz w:val="18"/>
                <w:vertAlign w:val="subscript"/>
              </w:rPr>
              <w:t>2</w:t>
            </w:r>
            <w:r>
              <w:rPr>
                <w:sz w:val="18"/>
                <w:vertAlign w:val="baseline"/>
              </w:rPr>
              <w:t> greenhouse gases they</w:t>
            </w:r>
            <w:r>
              <w:rPr>
                <w:spacing w:val="-9"/>
                <w:sz w:val="18"/>
                <w:vertAlign w:val="baseline"/>
              </w:rPr>
              <w:t> </w:t>
            </w:r>
            <w:r>
              <w:rPr>
                <w:sz w:val="18"/>
                <w:vertAlign w:val="baseline"/>
              </w:rPr>
              <w:t>produce.</w:t>
            </w:r>
          </w:p>
        </w:tc>
      </w:tr>
    </w:tbl>
    <w:p>
      <w:pPr>
        <w:pStyle w:val="BodyText"/>
        <w:spacing w:before="10"/>
        <w:rPr>
          <w:sz w:val="29"/>
        </w:rPr>
      </w:pPr>
    </w:p>
    <w:p>
      <w:pPr>
        <w:pStyle w:val="BodyText"/>
        <w:ind w:left="179" w:right="1403"/>
        <w:jc w:val="both"/>
      </w:pPr>
      <w:r>
        <w:rPr/>
        <w:t>In general, it is recommended to estimate the net greenhouse gas emissions and removals from these practices with project-specific activity data and site-specific emission factors. It is also recommended to derive the emission factors from either well-designed and well-implemented field measurements at either the project site(s) or at sites that are considered to reproduce the conditions of the project site(s); or from validated, calibrated, and well-documented simulation models implemented with project site-specific input data. The </w:t>
      </w:r>
      <w:r>
        <w:rPr>
          <w:i/>
        </w:rPr>
        <w:t>IPCC Guidelines</w:t>
      </w:r>
      <w:r>
        <w:rPr/>
        <w:t>, as amended by </w:t>
      </w:r>
      <w:r>
        <w:rPr>
          <w:i/>
        </w:rPr>
        <w:t>GPG2000</w:t>
      </w:r>
      <w:r>
        <w:rPr/>
        <w:t>, and Chapter 3 of this report provide default Tier 1 methods and emission factors for estimating emissions from many of these practices at the national level (see Table 4.3.3). However, these documents provide limited </w:t>
      </w:r>
      <w:r>
        <w:rPr>
          <w:i/>
        </w:rPr>
        <w:t>good practice guidance </w:t>
      </w:r>
      <w:r>
        <w:rPr/>
        <w:t>for either measurement of, or simulation modelling of, emissions and removals from many of these practices. Because these practices fall within IPCC national inventory sectors other than Land-Use Change and Forestry (e.g., the Energy or Agriculture sectors), it is beyond</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7"/>
        <w:jc w:val="both"/>
      </w:pPr>
      <w:r>
        <w:rPr/>
        <w:t>the scope of this report to provide detailed </w:t>
      </w:r>
      <w:r>
        <w:rPr>
          <w:i/>
        </w:rPr>
        <w:t>good practice guidance </w:t>
      </w:r>
      <w:r>
        <w:rPr/>
        <w:t>for measuring, monitoring, and estimating emissions and removals from these practices.</w:t>
      </w:r>
    </w:p>
    <w:p>
      <w:pPr>
        <w:pStyle w:val="BodyText"/>
        <w:spacing w:before="121"/>
        <w:ind w:left="179" w:right="1406"/>
        <w:jc w:val="both"/>
      </w:pPr>
      <w:r>
        <w:rPr/>
        <w:t>Changes in non-CO</w:t>
      </w:r>
      <w:r>
        <w:rPr>
          <w:vertAlign w:val="subscript"/>
        </w:rPr>
        <w:t>2</w:t>
      </w:r>
      <w:r>
        <w:rPr>
          <w:vertAlign w:val="baseline"/>
        </w:rPr>
        <w:t> greenhouse gas emissions or removals caused by these practices may be small relative to net changes in carbon stocks over the lifetime of the LULUCF project. Therefore, when any of these practices are part of a LULUCF project, it is recommended first to estimate the likely annual net changes in non-CO</w:t>
      </w:r>
      <w:r>
        <w:rPr>
          <w:vertAlign w:val="subscript"/>
        </w:rPr>
        <w:t>2</w:t>
      </w:r>
      <w:r>
        <w:rPr>
          <w:vertAlign w:val="baseline"/>
        </w:rPr>
        <w:t> emissions or removals over the lifetime of the project based upon project activity data and the default IPCC methods and emission factors provided in the </w:t>
      </w:r>
      <w:r>
        <w:rPr>
          <w:i/>
          <w:vertAlign w:val="baseline"/>
        </w:rPr>
        <w:t>IPCC Guidelines</w:t>
      </w:r>
      <w:r>
        <w:rPr>
          <w:vertAlign w:val="baseline"/>
        </w:rPr>
        <w:t>, as amended by </w:t>
      </w:r>
      <w:r>
        <w:rPr>
          <w:i/>
          <w:vertAlign w:val="baseline"/>
        </w:rPr>
        <w:t>GPG2000 </w:t>
      </w:r>
      <w:r>
        <w:rPr>
          <w:vertAlign w:val="baseline"/>
        </w:rPr>
        <w:t>and Chapter 3 of this report. If the expected average annual net change in non-CO</w:t>
      </w:r>
      <w:r>
        <w:rPr>
          <w:vertAlign w:val="subscript"/>
        </w:rPr>
        <w:t>2</w:t>
      </w:r>
      <w:r>
        <w:rPr>
          <w:vertAlign w:val="baseline"/>
        </w:rPr>
        <w:t> emissions or removals is relatively small, e.g., less than about 10% of expected average total annual net carbon stock changes on a CO</w:t>
      </w:r>
      <w:r>
        <w:rPr>
          <w:vertAlign w:val="subscript"/>
        </w:rPr>
        <w:t>2</w:t>
      </w:r>
      <w:r>
        <w:rPr>
          <w:vertAlign w:val="baseline"/>
        </w:rPr>
        <w:t>-equivalent basis, use of the default IPCC emission factors may be adequate. However, if the expected average annual net change in non-CO</w:t>
      </w:r>
      <w:r>
        <w:rPr>
          <w:vertAlign w:val="subscript"/>
        </w:rPr>
        <w:t>2</w:t>
      </w:r>
      <w:r>
        <w:rPr>
          <w:vertAlign w:val="baseline"/>
        </w:rPr>
        <w:t> emissions or removals from an activity is relatively large, e.g., greater than about 10% of expected average annual net carbon stock changes on a CO</w:t>
      </w:r>
      <w:r>
        <w:rPr>
          <w:vertAlign w:val="subscript"/>
        </w:rPr>
        <w:t>2</w:t>
      </w:r>
      <w:r>
        <w:rPr>
          <w:vertAlign w:val="baseline"/>
        </w:rPr>
        <w:t>-equivalent basis, it is recommended to develop project-specific emission factors, either through measurement or simulation</w:t>
      </w:r>
      <w:r>
        <w:rPr>
          <w:spacing w:val="2"/>
          <w:vertAlign w:val="baseline"/>
        </w:rPr>
        <w:t> </w:t>
      </w:r>
      <w:r>
        <w:rPr>
          <w:vertAlign w:val="baseline"/>
        </w:rPr>
        <w:t>models.</w:t>
      </w:r>
    </w:p>
    <w:p>
      <w:pPr>
        <w:pStyle w:val="BodyText"/>
      </w:pPr>
    </w:p>
    <w:p>
      <w:pPr>
        <w:pStyle w:val="BodyText"/>
        <w:spacing w:before="4"/>
        <w:rPr>
          <w:sz w:val="19"/>
        </w:r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38"/>
        <w:gridCol w:w="7277"/>
      </w:tblGrid>
      <w:tr>
        <w:trPr>
          <w:trHeight w:val="668" w:hRule="atLeast"/>
        </w:trPr>
        <w:tc>
          <w:tcPr>
            <w:tcW w:w="9015" w:type="dxa"/>
            <w:gridSpan w:val="2"/>
            <w:tcBorders>
              <w:bottom w:val="double" w:sz="1" w:space="0" w:color="000000"/>
            </w:tcBorders>
          </w:tcPr>
          <w:p>
            <w:pPr>
              <w:pStyle w:val="TableParagraph"/>
              <w:spacing w:line="207" w:lineRule="exact" w:before="23"/>
              <w:ind w:left="130" w:right="123"/>
              <w:jc w:val="center"/>
              <w:rPr>
                <w:b/>
                <w:sz w:val="18"/>
              </w:rPr>
            </w:pPr>
            <w:r>
              <w:rPr>
                <w:b/>
                <w:sz w:val="18"/>
              </w:rPr>
              <w:t>T</w:t>
            </w:r>
            <w:r>
              <w:rPr>
                <w:b/>
                <w:sz w:val="14"/>
              </w:rPr>
              <w:t>ABLE </w:t>
            </w:r>
            <w:r>
              <w:rPr>
                <w:b/>
                <w:sz w:val="18"/>
              </w:rPr>
              <w:t>4.3.3</w:t>
            </w:r>
          </w:p>
          <w:p>
            <w:pPr>
              <w:pStyle w:val="TableParagraph"/>
              <w:spacing w:line="206" w:lineRule="exact" w:before="3"/>
              <w:ind w:left="1872" w:right="1862"/>
              <w:jc w:val="center"/>
              <w:rPr>
                <w:b/>
                <w:sz w:val="14"/>
              </w:rPr>
            </w:pPr>
            <w:r>
              <w:rPr>
                <w:b/>
                <w:sz w:val="18"/>
              </w:rPr>
              <w:t>L</w:t>
            </w:r>
            <w:r>
              <w:rPr>
                <w:b/>
                <w:sz w:val="14"/>
              </w:rPr>
              <w:t>OCATION OF </w:t>
            </w:r>
            <w:r>
              <w:rPr>
                <w:b/>
                <w:sz w:val="18"/>
              </w:rPr>
              <w:t>IPCC </w:t>
            </w:r>
            <w:r>
              <w:rPr>
                <w:b/>
                <w:sz w:val="14"/>
              </w:rPr>
              <w:t>DEFAULT METHODS AND DATA FOR ESTIMATION OF NON</w:t>
            </w:r>
            <w:r>
              <w:rPr>
                <w:b/>
                <w:sz w:val="18"/>
              </w:rPr>
              <w:t>-CO</w:t>
            </w:r>
            <w:r>
              <w:rPr>
                <w:b/>
                <w:position w:val="-2"/>
                <w:sz w:val="12"/>
              </w:rPr>
              <w:t>2 </w:t>
            </w:r>
            <w:r>
              <w:rPr>
                <w:b/>
                <w:sz w:val="14"/>
              </w:rPr>
              <w:t>GREENHOUSE GAS EMISSIONS AND REMOVALS</w:t>
            </w:r>
          </w:p>
        </w:tc>
      </w:tr>
      <w:tr>
        <w:trPr>
          <w:trHeight w:val="253" w:hRule="atLeast"/>
        </w:trPr>
        <w:tc>
          <w:tcPr>
            <w:tcW w:w="1738" w:type="dxa"/>
            <w:tcBorders>
              <w:top w:val="double" w:sz="1" w:space="0" w:color="000000"/>
            </w:tcBorders>
          </w:tcPr>
          <w:p>
            <w:pPr>
              <w:pStyle w:val="TableParagraph"/>
              <w:spacing w:before="23"/>
              <w:ind w:left="554"/>
              <w:rPr>
                <w:b/>
                <w:sz w:val="18"/>
              </w:rPr>
            </w:pPr>
            <w:r>
              <w:rPr>
                <w:b/>
                <w:sz w:val="18"/>
              </w:rPr>
              <w:t>Practice</w:t>
            </w:r>
          </w:p>
        </w:tc>
        <w:tc>
          <w:tcPr>
            <w:tcW w:w="7277" w:type="dxa"/>
            <w:tcBorders>
              <w:top w:val="double" w:sz="1" w:space="0" w:color="000000"/>
            </w:tcBorders>
          </w:tcPr>
          <w:p>
            <w:pPr>
              <w:pStyle w:val="TableParagraph"/>
              <w:spacing w:before="23"/>
              <w:ind w:left="1919"/>
              <w:rPr>
                <w:b/>
                <w:sz w:val="18"/>
              </w:rPr>
            </w:pPr>
            <w:r>
              <w:rPr>
                <w:b/>
                <w:sz w:val="18"/>
              </w:rPr>
              <w:t>Location of IPCC Default Methods and Data</w:t>
            </w:r>
          </w:p>
        </w:tc>
      </w:tr>
      <w:tr>
        <w:trPr>
          <w:trHeight w:val="1933" w:hRule="atLeast"/>
        </w:trPr>
        <w:tc>
          <w:tcPr>
            <w:tcW w:w="1738" w:type="dxa"/>
          </w:tcPr>
          <w:p>
            <w:pPr>
              <w:pStyle w:val="TableParagraph"/>
              <w:rPr>
                <w:sz w:val="20"/>
              </w:rPr>
            </w:pPr>
          </w:p>
          <w:p>
            <w:pPr>
              <w:pStyle w:val="TableParagraph"/>
              <w:rPr>
                <w:sz w:val="20"/>
              </w:rPr>
            </w:pPr>
          </w:p>
          <w:p>
            <w:pPr>
              <w:pStyle w:val="TableParagraph"/>
              <w:rPr>
                <w:sz w:val="20"/>
              </w:rPr>
            </w:pPr>
          </w:p>
          <w:p>
            <w:pPr>
              <w:pStyle w:val="TableParagraph"/>
              <w:spacing w:before="169"/>
              <w:ind w:left="107"/>
              <w:rPr>
                <w:sz w:val="18"/>
              </w:rPr>
            </w:pPr>
            <w:r>
              <w:rPr>
                <w:sz w:val="18"/>
              </w:rPr>
              <w:t>Biomass Burning</w:t>
            </w:r>
          </w:p>
        </w:tc>
        <w:tc>
          <w:tcPr>
            <w:tcW w:w="7277" w:type="dxa"/>
          </w:tcPr>
          <w:p>
            <w:pPr>
              <w:pStyle w:val="TableParagraph"/>
              <w:numPr>
                <w:ilvl w:val="0"/>
                <w:numId w:val="150"/>
              </w:numPr>
              <w:tabs>
                <w:tab w:pos="467" w:val="left" w:leader="none"/>
                <w:tab w:pos="468" w:val="left" w:leader="none"/>
              </w:tabs>
              <w:spacing w:line="223" w:lineRule="auto" w:before="58" w:after="0"/>
              <w:ind w:left="448" w:right="882" w:hanging="341"/>
              <w:jc w:val="left"/>
              <w:rPr>
                <w:i/>
                <w:sz w:val="18"/>
              </w:rPr>
            </w:pPr>
            <w:r>
              <w:rPr>
                <w:sz w:val="18"/>
              </w:rPr>
              <w:t>Emission ratio methodologies and emission ratios for confined burning for energy production in the Energy chapter of the </w:t>
            </w:r>
            <w:r>
              <w:rPr>
                <w:i/>
                <w:sz w:val="18"/>
              </w:rPr>
              <w:t>IPCC Guidelines </w:t>
            </w:r>
            <w:r>
              <w:rPr>
                <w:sz w:val="18"/>
              </w:rPr>
              <w:t>and the</w:t>
            </w:r>
            <w:r>
              <w:rPr>
                <w:spacing w:val="-16"/>
                <w:sz w:val="18"/>
              </w:rPr>
              <w:t> </w:t>
            </w:r>
            <w:r>
              <w:rPr>
                <w:i/>
                <w:sz w:val="18"/>
              </w:rPr>
              <w:t>GPG2000.</w:t>
            </w:r>
          </w:p>
          <w:p>
            <w:pPr>
              <w:pStyle w:val="TableParagraph"/>
              <w:numPr>
                <w:ilvl w:val="0"/>
                <w:numId w:val="150"/>
              </w:numPr>
              <w:tabs>
                <w:tab w:pos="467" w:val="left" w:leader="none"/>
                <w:tab w:pos="468" w:val="left" w:leader="none"/>
              </w:tabs>
              <w:spacing w:line="223" w:lineRule="auto" w:before="107" w:after="0"/>
              <w:ind w:left="448" w:right="253" w:hanging="341"/>
              <w:jc w:val="left"/>
              <w:rPr>
                <w:sz w:val="18"/>
              </w:rPr>
            </w:pPr>
            <w:r>
              <w:rPr>
                <w:sz w:val="18"/>
              </w:rPr>
              <w:t>Emission ratio methodologies and emission ratios for open field burning in the Agriculture chapter of the </w:t>
            </w:r>
            <w:r>
              <w:rPr>
                <w:i/>
                <w:sz w:val="18"/>
              </w:rPr>
              <w:t>IPCC Guidelines </w:t>
            </w:r>
            <w:r>
              <w:rPr>
                <w:sz w:val="18"/>
              </w:rPr>
              <w:t>and the</w:t>
            </w:r>
            <w:r>
              <w:rPr>
                <w:spacing w:val="-3"/>
                <w:sz w:val="18"/>
              </w:rPr>
              <w:t> </w:t>
            </w:r>
            <w:r>
              <w:rPr>
                <w:i/>
                <w:sz w:val="18"/>
              </w:rPr>
              <w:t>GPG2000</w:t>
            </w:r>
            <w:r>
              <w:rPr>
                <w:sz w:val="18"/>
              </w:rPr>
              <w:t>.</w:t>
            </w:r>
          </w:p>
          <w:p>
            <w:pPr>
              <w:pStyle w:val="TableParagraph"/>
              <w:numPr>
                <w:ilvl w:val="0"/>
                <w:numId w:val="150"/>
              </w:numPr>
              <w:tabs>
                <w:tab w:pos="467" w:val="left" w:leader="none"/>
                <w:tab w:pos="468" w:val="left" w:leader="none"/>
              </w:tabs>
              <w:spacing w:line="232" w:lineRule="auto" w:before="103" w:after="0"/>
              <w:ind w:left="448" w:right="162" w:hanging="341"/>
              <w:jc w:val="left"/>
              <w:rPr>
                <w:sz w:val="18"/>
              </w:rPr>
            </w:pPr>
            <w:r>
              <w:rPr>
                <w:sz w:val="18"/>
              </w:rPr>
              <w:t>Emission ratio and emission factor methodology, and combustion efficiencies, emission ratios, and emission factors for open field burning in forest, grassland, and savanna ecosystem types in Chapter 3 of this Report (see Section 3.2.1.4, Section 3.4.1.3, and Annex 3A.1).</w:t>
            </w:r>
          </w:p>
        </w:tc>
      </w:tr>
      <w:tr>
        <w:trPr>
          <w:trHeight w:val="2046" w:hRule="atLeast"/>
        </w:trPr>
        <w:tc>
          <w:tcPr>
            <w:tcW w:w="1738" w:type="dxa"/>
          </w:tcPr>
          <w:p>
            <w:pPr>
              <w:pStyle w:val="TableParagraph"/>
              <w:rPr>
                <w:sz w:val="20"/>
              </w:rPr>
            </w:pPr>
          </w:p>
          <w:p>
            <w:pPr>
              <w:pStyle w:val="TableParagraph"/>
              <w:rPr>
                <w:sz w:val="20"/>
              </w:rPr>
            </w:pPr>
          </w:p>
          <w:p>
            <w:pPr>
              <w:pStyle w:val="TableParagraph"/>
              <w:spacing w:before="6"/>
              <w:rPr>
                <w:sz w:val="21"/>
              </w:rPr>
            </w:pPr>
          </w:p>
          <w:p>
            <w:pPr>
              <w:pStyle w:val="TableParagraph"/>
              <w:ind w:left="107" w:right="121"/>
              <w:rPr>
                <w:sz w:val="18"/>
              </w:rPr>
            </w:pPr>
            <w:r>
              <w:rPr>
                <w:sz w:val="18"/>
              </w:rPr>
              <w:t>Synthetic and Organic Fertilizer </w:t>
            </w:r>
            <w:r>
              <w:rPr>
                <w:sz w:val="18"/>
                <w:vertAlign w:val="superscript"/>
              </w:rPr>
              <w:t>a</w:t>
            </w:r>
            <w:r>
              <w:rPr>
                <w:sz w:val="18"/>
                <w:vertAlign w:val="baseline"/>
              </w:rPr>
              <w:t> Application</w:t>
            </w:r>
          </w:p>
        </w:tc>
        <w:tc>
          <w:tcPr>
            <w:tcW w:w="7277" w:type="dxa"/>
          </w:tcPr>
          <w:p>
            <w:pPr>
              <w:pStyle w:val="TableParagraph"/>
              <w:numPr>
                <w:ilvl w:val="0"/>
                <w:numId w:val="151"/>
              </w:numPr>
              <w:tabs>
                <w:tab w:pos="467" w:val="left" w:leader="none"/>
                <w:tab w:pos="468" w:val="left" w:leader="none"/>
              </w:tabs>
              <w:spacing w:line="235" w:lineRule="auto" w:before="51" w:after="0"/>
              <w:ind w:left="448" w:right="160" w:hanging="341"/>
              <w:jc w:val="left"/>
              <w:rPr>
                <w:sz w:val="18"/>
              </w:rPr>
            </w:pPr>
            <w:r>
              <w:rPr>
                <w:sz w:val="18"/>
              </w:rPr>
              <w:t>Emission</w:t>
            </w:r>
            <w:r>
              <w:rPr>
                <w:spacing w:val="-4"/>
                <w:sz w:val="18"/>
              </w:rPr>
              <w:t> </w:t>
            </w:r>
            <w:r>
              <w:rPr>
                <w:sz w:val="18"/>
              </w:rPr>
              <w:t>factor</w:t>
            </w:r>
            <w:r>
              <w:rPr>
                <w:spacing w:val="-4"/>
                <w:sz w:val="18"/>
              </w:rPr>
              <w:t> </w:t>
            </w:r>
            <w:r>
              <w:rPr>
                <w:sz w:val="18"/>
              </w:rPr>
              <w:t>method,</w:t>
            </w:r>
            <w:r>
              <w:rPr>
                <w:spacing w:val="-4"/>
                <w:sz w:val="18"/>
              </w:rPr>
              <w:t> </w:t>
            </w:r>
            <w:r>
              <w:rPr>
                <w:sz w:val="18"/>
              </w:rPr>
              <w:t>fertilizer</w:t>
            </w:r>
            <w:r>
              <w:rPr>
                <w:spacing w:val="-5"/>
                <w:sz w:val="18"/>
              </w:rPr>
              <w:t> </w:t>
            </w:r>
            <w:r>
              <w:rPr>
                <w:sz w:val="18"/>
              </w:rPr>
              <w:t>nitrogen</w:t>
            </w:r>
            <w:r>
              <w:rPr>
                <w:spacing w:val="-3"/>
                <w:sz w:val="18"/>
              </w:rPr>
              <w:t> </w:t>
            </w:r>
            <w:r>
              <w:rPr>
                <w:sz w:val="18"/>
              </w:rPr>
              <w:t>contents,</w:t>
            </w:r>
            <w:r>
              <w:rPr>
                <w:spacing w:val="-4"/>
                <w:sz w:val="18"/>
              </w:rPr>
              <w:t> </w:t>
            </w:r>
            <w:r>
              <w:rPr>
                <w:sz w:val="18"/>
              </w:rPr>
              <w:t>volatilisation</w:t>
            </w:r>
            <w:r>
              <w:rPr>
                <w:spacing w:val="-6"/>
                <w:sz w:val="18"/>
              </w:rPr>
              <w:t> </w:t>
            </w:r>
            <w:r>
              <w:rPr>
                <w:sz w:val="18"/>
              </w:rPr>
              <w:t>and</w:t>
            </w:r>
            <w:r>
              <w:rPr>
                <w:spacing w:val="-4"/>
                <w:sz w:val="18"/>
              </w:rPr>
              <w:t> </w:t>
            </w:r>
            <w:r>
              <w:rPr>
                <w:sz w:val="18"/>
              </w:rPr>
              <w:t>leaching/runoff</w:t>
            </w:r>
            <w:r>
              <w:rPr>
                <w:spacing w:val="-6"/>
                <w:sz w:val="18"/>
              </w:rPr>
              <w:t> </w:t>
            </w:r>
            <w:r>
              <w:rPr>
                <w:sz w:val="18"/>
              </w:rPr>
              <w:t>rates, and default emission factors for N</w:t>
            </w:r>
            <w:r>
              <w:rPr>
                <w:sz w:val="18"/>
                <w:vertAlign w:val="subscript"/>
              </w:rPr>
              <w:t>2</w:t>
            </w:r>
            <w:r>
              <w:rPr>
                <w:sz w:val="18"/>
                <w:vertAlign w:val="baseline"/>
              </w:rPr>
              <w:t>O emissions in the Agriculture chapter of the </w:t>
            </w:r>
            <w:r>
              <w:rPr>
                <w:i/>
                <w:sz w:val="18"/>
                <w:vertAlign w:val="baseline"/>
              </w:rPr>
              <w:t>IPCC Guidelines </w:t>
            </w:r>
            <w:r>
              <w:rPr>
                <w:sz w:val="18"/>
                <w:vertAlign w:val="baseline"/>
              </w:rPr>
              <w:t>and the </w:t>
            </w:r>
            <w:r>
              <w:rPr>
                <w:i/>
                <w:sz w:val="18"/>
                <w:vertAlign w:val="baseline"/>
              </w:rPr>
              <w:t>GPG2000</w:t>
            </w:r>
            <w:r>
              <w:rPr>
                <w:sz w:val="18"/>
                <w:vertAlign w:val="baseline"/>
              </w:rPr>
              <w:t>. Note: Both direct and indirect N</w:t>
            </w:r>
            <w:r>
              <w:rPr>
                <w:sz w:val="18"/>
                <w:vertAlign w:val="subscript"/>
              </w:rPr>
              <w:t>2</w:t>
            </w:r>
            <w:r>
              <w:rPr>
                <w:sz w:val="18"/>
                <w:vertAlign w:val="baseline"/>
              </w:rPr>
              <w:t>O emissions should be estimated, even though some of the indirect emissions may occur outside of a project’s geographic</w:t>
            </w:r>
            <w:r>
              <w:rPr>
                <w:spacing w:val="-2"/>
                <w:sz w:val="18"/>
                <w:vertAlign w:val="baseline"/>
              </w:rPr>
              <w:t> </w:t>
            </w:r>
            <w:r>
              <w:rPr>
                <w:sz w:val="18"/>
                <w:vertAlign w:val="baseline"/>
              </w:rPr>
              <w:t>boundaries.</w:t>
            </w:r>
          </w:p>
          <w:p>
            <w:pPr>
              <w:pStyle w:val="TableParagraph"/>
              <w:numPr>
                <w:ilvl w:val="0"/>
                <w:numId w:val="151"/>
              </w:numPr>
              <w:tabs>
                <w:tab w:pos="467" w:val="left" w:leader="none"/>
                <w:tab w:pos="468" w:val="left" w:leader="none"/>
              </w:tabs>
              <w:spacing w:line="232" w:lineRule="auto" w:before="100" w:after="0"/>
              <w:ind w:left="448" w:right="230" w:hanging="341"/>
              <w:jc w:val="left"/>
              <w:rPr>
                <w:sz w:val="18"/>
              </w:rPr>
            </w:pPr>
            <w:r>
              <w:rPr>
                <w:sz w:val="18"/>
              </w:rPr>
              <w:t>N</w:t>
            </w:r>
            <w:r>
              <w:rPr>
                <w:sz w:val="18"/>
                <w:vertAlign w:val="subscript"/>
              </w:rPr>
              <w:t>2</w:t>
            </w:r>
            <w:r>
              <w:rPr>
                <w:sz w:val="18"/>
                <w:vertAlign w:val="baseline"/>
              </w:rPr>
              <w:t>O emissions from fertilized soils may be affected by liming (see Section 3.2.1.4 of this Report). However, because liming has been found to both enhance and reduce N</w:t>
            </w:r>
            <w:r>
              <w:rPr>
                <w:sz w:val="18"/>
                <w:vertAlign w:val="subscript"/>
              </w:rPr>
              <w:t>2</w:t>
            </w:r>
            <w:r>
              <w:rPr>
                <w:sz w:val="18"/>
                <w:vertAlign w:val="baseline"/>
              </w:rPr>
              <w:t>O emissions from fertilization, default emission factors for fertilizer application to limed soils are not</w:t>
            </w:r>
            <w:r>
              <w:rPr>
                <w:spacing w:val="-2"/>
                <w:sz w:val="18"/>
                <w:vertAlign w:val="baseline"/>
              </w:rPr>
              <w:t> </w:t>
            </w:r>
            <w:r>
              <w:rPr>
                <w:sz w:val="18"/>
                <w:vertAlign w:val="baseline"/>
              </w:rPr>
              <w:t>provided</w:t>
            </w:r>
          </w:p>
        </w:tc>
      </w:tr>
      <w:tr>
        <w:trPr>
          <w:trHeight w:val="1333" w:hRule="atLeast"/>
        </w:trPr>
        <w:tc>
          <w:tcPr>
            <w:tcW w:w="1738" w:type="dxa"/>
          </w:tcPr>
          <w:p>
            <w:pPr>
              <w:pStyle w:val="TableParagraph"/>
              <w:rPr>
                <w:sz w:val="20"/>
              </w:rPr>
            </w:pPr>
          </w:p>
          <w:p>
            <w:pPr>
              <w:pStyle w:val="TableParagraph"/>
              <w:spacing w:before="120"/>
              <w:ind w:left="107" w:right="121"/>
              <w:rPr>
                <w:sz w:val="18"/>
              </w:rPr>
            </w:pPr>
            <w:r>
              <w:rPr>
                <w:sz w:val="18"/>
              </w:rPr>
              <w:t>Cultivation of N- Fixing Trees, Crops, and Forages</w:t>
            </w:r>
          </w:p>
        </w:tc>
        <w:tc>
          <w:tcPr>
            <w:tcW w:w="7277" w:type="dxa"/>
          </w:tcPr>
          <w:p>
            <w:pPr>
              <w:pStyle w:val="TableParagraph"/>
              <w:numPr>
                <w:ilvl w:val="0"/>
                <w:numId w:val="152"/>
              </w:numPr>
              <w:tabs>
                <w:tab w:pos="467" w:val="left" w:leader="none"/>
                <w:tab w:pos="468" w:val="left" w:leader="none"/>
              </w:tabs>
              <w:spacing w:line="235" w:lineRule="auto" w:before="51" w:after="0"/>
              <w:ind w:left="448" w:right="106" w:hanging="341"/>
              <w:jc w:val="left"/>
              <w:rPr>
                <w:sz w:val="18"/>
              </w:rPr>
            </w:pPr>
            <w:r>
              <w:rPr>
                <w:sz w:val="18"/>
              </w:rPr>
              <w:t>Emission factor method, biomass nitrogen content, and emission factor for crops and forages in the Agriculture chapter of the </w:t>
            </w:r>
            <w:r>
              <w:rPr>
                <w:i/>
                <w:sz w:val="18"/>
              </w:rPr>
              <w:t>IPCC Guidelines </w:t>
            </w:r>
            <w:r>
              <w:rPr>
                <w:sz w:val="18"/>
              </w:rPr>
              <w:t>and the </w:t>
            </w:r>
            <w:r>
              <w:rPr>
                <w:i/>
                <w:sz w:val="18"/>
              </w:rPr>
              <w:t>GPG2000</w:t>
            </w:r>
            <w:r>
              <w:rPr>
                <w:sz w:val="18"/>
              </w:rPr>
              <w:t>. The method is based on the amount of nitrogen in the aboveground biomass produced annually, which is used as a proxy for the additional amount of nitrogen available for nitrification and denitrification. Default methods have not been developed for leguminous trees (see Section 3.2.1.4 of Chapter 3 of this</w:t>
            </w:r>
            <w:r>
              <w:rPr>
                <w:spacing w:val="-2"/>
                <w:sz w:val="18"/>
              </w:rPr>
              <w:t> </w:t>
            </w:r>
            <w:r>
              <w:rPr>
                <w:sz w:val="18"/>
              </w:rPr>
              <w:t>Report).</w:t>
            </w:r>
          </w:p>
        </w:tc>
      </w:tr>
      <w:tr>
        <w:trPr>
          <w:trHeight w:val="806" w:hRule="atLeast"/>
        </w:trPr>
        <w:tc>
          <w:tcPr>
            <w:tcW w:w="1738" w:type="dxa"/>
          </w:tcPr>
          <w:p>
            <w:pPr>
              <w:pStyle w:val="TableParagraph"/>
              <w:spacing w:before="7"/>
              <w:rPr>
                <w:sz w:val="16"/>
              </w:rPr>
            </w:pPr>
          </w:p>
          <w:p>
            <w:pPr>
              <w:pStyle w:val="TableParagraph"/>
              <w:ind w:left="107" w:right="355"/>
              <w:rPr>
                <w:sz w:val="18"/>
              </w:rPr>
            </w:pPr>
            <w:r>
              <w:rPr>
                <w:sz w:val="18"/>
              </w:rPr>
              <w:t>Soil Re-Flooding and Drainage</w:t>
            </w:r>
          </w:p>
        </w:tc>
        <w:tc>
          <w:tcPr>
            <w:tcW w:w="7277" w:type="dxa"/>
          </w:tcPr>
          <w:p>
            <w:pPr>
              <w:pStyle w:val="TableParagraph"/>
              <w:numPr>
                <w:ilvl w:val="0"/>
                <w:numId w:val="153"/>
              </w:numPr>
              <w:tabs>
                <w:tab w:pos="467" w:val="left" w:leader="none"/>
                <w:tab w:pos="468" w:val="left" w:leader="none"/>
              </w:tabs>
              <w:spacing w:line="223" w:lineRule="auto" w:before="58" w:after="0"/>
              <w:ind w:left="448" w:right="353" w:hanging="341"/>
              <w:jc w:val="left"/>
              <w:rPr>
                <w:sz w:val="18"/>
              </w:rPr>
            </w:pPr>
            <w:r>
              <w:rPr>
                <w:sz w:val="18"/>
              </w:rPr>
              <w:t>Methods and area-based N</w:t>
            </w:r>
            <w:r>
              <w:rPr>
                <w:sz w:val="18"/>
                <w:vertAlign w:val="subscript"/>
              </w:rPr>
              <w:t>2</w:t>
            </w:r>
            <w:r>
              <w:rPr>
                <w:sz w:val="18"/>
                <w:vertAlign w:val="baseline"/>
              </w:rPr>
              <w:t>O emission factors for drainage of forest soils and drainage of wetlands in Appendix 3a.2 and Appenddix 3a.3, respectively, of this</w:t>
            </w:r>
            <w:r>
              <w:rPr>
                <w:spacing w:val="-14"/>
                <w:sz w:val="18"/>
                <w:vertAlign w:val="baseline"/>
              </w:rPr>
              <w:t> </w:t>
            </w:r>
            <w:r>
              <w:rPr>
                <w:sz w:val="18"/>
                <w:vertAlign w:val="baseline"/>
              </w:rPr>
              <w:t>Report.</w:t>
            </w:r>
          </w:p>
          <w:p>
            <w:pPr>
              <w:pStyle w:val="TableParagraph"/>
              <w:numPr>
                <w:ilvl w:val="0"/>
                <w:numId w:val="153"/>
              </w:numPr>
              <w:tabs>
                <w:tab w:pos="467" w:val="left" w:leader="none"/>
                <w:tab w:pos="468" w:val="left" w:leader="none"/>
              </w:tabs>
              <w:spacing w:line="240" w:lineRule="auto" w:before="94" w:after="0"/>
              <w:ind w:left="467" w:right="0" w:hanging="360"/>
              <w:jc w:val="left"/>
              <w:rPr>
                <w:sz w:val="18"/>
              </w:rPr>
            </w:pPr>
            <w:r>
              <w:rPr>
                <w:sz w:val="18"/>
              </w:rPr>
              <w:t>Methods and emission factors for CH</w:t>
            </w:r>
            <w:r>
              <w:rPr>
                <w:sz w:val="18"/>
                <w:vertAlign w:val="subscript"/>
              </w:rPr>
              <w:t>4</w:t>
            </w:r>
            <w:r>
              <w:rPr>
                <w:sz w:val="18"/>
                <w:vertAlign w:val="baseline"/>
              </w:rPr>
              <w:t> are not</w:t>
            </w:r>
            <w:r>
              <w:rPr>
                <w:spacing w:val="-3"/>
                <w:sz w:val="18"/>
                <w:vertAlign w:val="baseline"/>
              </w:rPr>
              <w:t> </w:t>
            </w:r>
            <w:r>
              <w:rPr>
                <w:sz w:val="18"/>
                <w:vertAlign w:val="baseline"/>
              </w:rPr>
              <w:t>provided.</w:t>
            </w:r>
          </w:p>
        </w:tc>
      </w:tr>
      <w:tr>
        <w:trPr>
          <w:trHeight w:val="1314" w:hRule="atLeast"/>
        </w:trPr>
        <w:tc>
          <w:tcPr>
            <w:tcW w:w="1738" w:type="dxa"/>
          </w:tcPr>
          <w:p>
            <w:pPr>
              <w:pStyle w:val="TableParagraph"/>
              <w:rPr>
                <w:sz w:val="20"/>
              </w:rPr>
            </w:pPr>
          </w:p>
          <w:p>
            <w:pPr>
              <w:pStyle w:val="TableParagraph"/>
              <w:spacing w:before="6"/>
              <w:rPr>
                <w:sz w:val="27"/>
              </w:rPr>
            </w:pPr>
          </w:p>
          <w:p>
            <w:pPr>
              <w:pStyle w:val="TableParagraph"/>
              <w:ind w:left="107"/>
              <w:rPr>
                <w:sz w:val="18"/>
              </w:rPr>
            </w:pPr>
            <w:r>
              <w:rPr>
                <w:sz w:val="18"/>
              </w:rPr>
              <w:t>Soil Disturbance</w:t>
            </w:r>
          </w:p>
        </w:tc>
        <w:tc>
          <w:tcPr>
            <w:tcW w:w="7277" w:type="dxa"/>
          </w:tcPr>
          <w:p>
            <w:pPr>
              <w:pStyle w:val="TableParagraph"/>
              <w:numPr>
                <w:ilvl w:val="0"/>
                <w:numId w:val="154"/>
              </w:numPr>
              <w:tabs>
                <w:tab w:pos="467" w:val="left" w:leader="none"/>
                <w:tab w:pos="468" w:val="left" w:leader="none"/>
              </w:tabs>
              <w:spacing w:line="223" w:lineRule="auto" w:before="58" w:after="0"/>
              <w:ind w:left="448" w:right="565" w:hanging="341"/>
              <w:jc w:val="left"/>
              <w:rPr>
                <w:sz w:val="18"/>
              </w:rPr>
            </w:pPr>
            <w:r>
              <w:rPr>
                <w:sz w:val="18"/>
              </w:rPr>
              <w:t>Method and N</w:t>
            </w:r>
            <w:r>
              <w:rPr>
                <w:sz w:val="18"/>
                <w:vertAlign w:val="subscript"/>
              </w:rPr>
              <w:t>2</w:t>
            </w:r>
            <w:r>
              <w:rPr>
                <w:sz w:val="18"/>
                <w:vertAlign w:val="baseline"/>
              </w:rPr>
              <w:t>O emission factors for cultivation of organic soils (i.e., histosols) in the Agriculture chapter of the </w:t>
            </w:r>
            <w:r>
              <w:rPr>
                <w:i/>
                <w:sz w:val="18"/>
                <w:vertAlign w:val="baseline"/>
              </w:rPr>
              <w:t>IPCC Guidelines </w:t>
            </w:r>
            <w:r>
              <w:rPr>
                <w:sz w:val="18"/>
                <w:vertAlign w:val="baseline"/>
              </w:rPr>
              <w:t>and the</w:t>
            </w:r>
            <w:r>
              <w:rPr>
                <w:spacing w:val="-8"/>
                <w:sz w:val="18"/>
                <w:vertAlign w:val="baseline"/>
              </w:rPr>
              <w:t> </w:t>
            </w:r>
            <w:r>
              <w:rPr>
                <w:i/>
                <w:sz w:val="18"/>
                <w:vertAlign w:val="baseline"/>
              </w:rPr>
              <w:t>GPG2000</w:t>
            </w:r>
            <w:r>
              <w:rPr>
                <w:sz w:val="18"/>
                <w:vertAlign w:val="baseline"/>
              </w:rPr>
              <w:t>.</w:t>
            </w:r>
          </w:p>
          <w:p>
            <w:pPr>
              <w:pStyle w:val="TableParagraph"/>
              <w:numPr>
                <w:ilvl w:val="0"/>
                <w:numId w:val="154"/>
              </w:numPr>
              <w:tabs>
                <w:tab w:pos="467" w:val="left" w:leader="none"/>
                <w:tab w:pos="468" w:val="left" w:leader="none"/>
              </w:tabs>
              <w:spacing w:line="220" w:lineRule="auto" w:before="111" w:after="0"/>
              <w:ind w:left="448" w:right="340" w:hanging="341"/>
              <w:jc w:val="left"/>
              <w:rPr>
                <w:sz w:val="18"/>
              </w:rPr>
            </w:pPr>
            <w:r>
              <w:rPr>
                <w:sz w:val="18"/>
              </w:rPr>
              <w:t>For disturbance of mineral soils, methods and emission factors for estimating increases in N</w:t>
            </w:r>
            <w:r>
              <w:rPr>
                <w:sz w:val="18"/>
                <w:vertAlign w:val="subscript"/>
              </w:rPr>
              <w:t>2</w:t>
            </w:r>
            <w:r>
              <w:rPr>
                <w:sz w:val="18"/>
                <w:vertAlign w:val="baseline"/>
              </w:rPr>
              <w:t>O emissions in lands converted to croplands in Section 3.3.2.3 of this</w:t>
            </w:r>
            <w:r>
              <w:rPr>
                <w:spacing w:val="-14"/>
                <w:sz w:val="18"/>
                <w:vertAlign w:val="baseline"/>
              </w:rPr>
              <w:t> </w:t>
            </w:r>
            <w:r>
              <w:rPr>
                <w:sz w:val="18"/>
                <w:vertAlign w:val="baseline"/>
              </w:rPr>
              <w:t>Report.</w:t>
            </w:r>
          </w:p>
          <w:p>
            <w:pPr>
              <w:pStyle w:val="TableParagraph"/>
              <w:numPr>
                <w:ilvl w:val="0"/>
                <w:numId w:val="154"/>
              </w:numPr>
              <w:tabs>
                <w:tab w:pos="467" w:val="left" w:leader="none"/>
                <w:tab w:pos="468" w:val="left" w:leader="none"/>
              </w:tabs>
              <w:spacing w:line="240" w:lineRule="auto" w:before="96" w:after="0"/>
              <w:ind w:left="467" w:right="0" w:hanging="360"/>
              <w:jc w:val="left"/>
              <w:rPr>
                <w:sz w:val="18"/>
              </w:rPr>
            </w:pPr>
            <w:r>
              <w:rPr>
                <w:sz w:val="18"/>
              </w:rPr>
              <w:t>Methods and emission factors for CH</w:t>
            </w:r>
            <w:r>
              <w:rPr>
                <w:sz w:val="18"/>
                <w:vertAlign w:val="subscript"/>
              </w:rPr>
              <w:t>4</w:t>
            </w:r>
            <w:r>
              <w:rPr>
                <w:sz w:val="18"/>
                <w:vertAlign w:val="baseline"/>
              </w:rPr>
              <w:t> are not</w:t>
            </w:r>
            <w:r>
              <w:rPr>
                <w:spacing w:val="-3"/>
                <w:sz w:val="18"/>
                <w:vertAlign w:val="baseline"/>
              </w:rPr>
              <w:t> </w:t>
            </w:r>
            <w:r>
              <w:rPr>
                <w:sz w:val="18"/>
                <w:vertAlign w:val="baseline"/>
              </w:rPr>
              <w:t>provided.</w:t>
            </w:r>
          </w:p>
        </w:tc>
      </w:tr>
      <w:tr>
        <w:trPr>
          <w:trHeight w:val="1333" w:hRule="atLeast"/>
        </w:trPr>
        <w:tc>
          <w:tcPr>
            <w:tcW w:w="1738" w:type="dxa"/>
          </w:tcPr>
          <w:p>
            <w:pPr>
              <w:pStyle w:val="TableParagraph"/>
              <w:rPr>
                <w:sz w:val="20"/>
              </w:rPr>
            </w:pPr>
          </w:p>
          <w:p>
            <w:pPr>
              <w:pStyle w:val="TableParagraph"/>
              <w:spacing w:before="7"/>
              <w:rPr>
                <w:sz w:val="19"/>
              </w:rPr>
            </w:pPr>
          </w:p>
          <w:p>
            <w:pPr>
              <w:pStyle w:val="TableParagraph"/>
              <w:ind w:left="107" w:right="171"/>
              <w:rPr>
                <w:sz w:val="18"/>
              </w:rPr>
            </w:pPr>
            <w:r>
              <w:rPr>
                <w:sz w:val="18"/>
              </w:rPr>
              <w:t>Changes in Grazing Land Management</w:t>
            </w:r>
          </w:p>
        </w:tc>
        <w:tc>
          <w:tcPr>
            <w:tcW w:w="7277" w:type="dxa"/>
          </w:tcPr>
          <w:p>
            <w:pPr>
              <w:pStyle w:val="TableParagraph"/>
              <w:numPr>
                <w:ilvl w:val="0"/>
                <w:numId w:val="155"/>
              </w:numPr>
              <w:tabs>
                <w:tab w:pos="467" w:val="left" w:leader="none"/>
                <w:tab w:pos="468" w:val="left" w:leader="none"/>
              </w:tabs>
              <w:spacing w:line="235" w:lineRule="auto" w:before="51" w:after="0"/>
              <w:ind w:left="448" w:right="108" w:hanging="341"/>
              <w:jc w:val="left"/>
              <w:rPr>
                <w:sz w:val="18"/>
              </w:rPr>
            </w:pPr>
            <w:r>
              <w:rPr>
                <w:sz w:val="18"/>
              </w:rPr>
              <w:t>Emission factor methodologies for animal digestion and manure application/deposition in the Agriculture chapter of the </w:t>
            </w:r>
            <w:r>
              <w:rPr>
                <w:i/>
                <w:sz w:val="18"/>
              </w:rPr>
              <w:t>IPCC Guidelines </w:t>
            </w:r>
            <w:r>
              <w:rPr>
                <w:sz w:val="18"/>
              </w:rPr>
              <w:t>and the </w:t>
            </w:r>
            <w:r>
              <w:rPr>
                <w:i/>
                <w:sz w:val="18"/>
              </w:rPr>
              <w:t>GPG2000</w:t>
            </w:r>
            <w:r>
              <w:rPr>
                <w:sz w:val="18"/>
              </w:rPr>
              <w:t>.  Emission factors and data for deriving emission factors, as well as emission estimation models for some animal types are also provided. Project-specific emission factors for some animal types can be developed by applying project-specific data (e.g., animal weight and feed digestibility) to the IPCC emission estimation</w:t>
            </w:r>
            <w:r>
              <w:rPr>
                <w:spacing w:val="-1"/>
                <w:sz w:val="18"/>
              </w:rPr>
              <w:t> </w:t>
            </w:r>
            <w:r>
              <w:rPr>
                <w:sz w:val="18"/>
              </w:rPr>
              <w:t>models.</w:t>
            </w:r>
          </w:p>
        </w:tc>
      </w:tr>
      <w:tr>
        <w:trPr>
          <w:trHeight w:val="532" w:hRule="atLeast"/>
        </w:trPr>
        <w:tc>
          <w:tcPr>
            <w:tcW w:w="9015" w:type="dxa"/>
            <w:gridSpan w:val="2"/>
          </w:tcPr>
          <w:p>
            <w:pPr>
              <w:pStyle w:val="TableParagraph"/>
              <w:spacing w:line="237" w:lineRule="auto" w:before="56"/>
              <w:ind w:left="210" w:right="495" w:hanging="104"/>
              <w:rPr>
                <w:sz w:val="20"/>
              </w:rPr>
            </w:pPr>
            <w:r>
              <w:rPr>
                <w:sz w:val="16"/>
              </w:rPr>
              <w:t>a The term fertilizer is used here to encompass both synthetic and organic fertilizers, e.g., urea and compost, as well as organic soil amendments such as uncomposted crop residues</w:t>
            </w:r>
            <w:r>
              <w:rPr>
                <w:sz w:val="20"/>
              </w:rPr>
              <w:t>.</w:t>
            </w:r>
          </w:p>
        </w:tc>
      </w:tr>
    </w:tbl>
    <w:p>
      <w:pPr>
        <w:spacing w:after="0" w:line="237" w:lineRule="auto"/>
        <w:rPr>
          <w:sz w:val="20"/>
        </w:rPr>
        <w:sectPr>
          <w:pgSz w:w="11900" w:h="16840"/>
          <w:pgMar w:header="233" w:footer="408" w:top="560" w:bottom="600" w:left="1240" w:right="0"/>
        </w:sectPr>
      </w:pPr>
    </w:p>
    <w:p>
      <w:pPr>
        <w:pStyle w:val="BodyText"/>
      </w:pPr>
    </w:p>
    <w:p>
      <w:pPr>
        <w:pStyle w:val="BodyText"/>
        <w:rPr>
          <w:sz w:val="19"/>
        </w:rPr>
      </w:pPr>
    </w:p>
    <w:p>
      <w:pPr>
        <w:pStyle w:val="Heading6"/>
        <w:numPr>
          <w:ilvl w:val="3"/>
          <w:numId w:val="149"/>
        </w:numPr>
        <w:tabs>
          <w:tab w:pos="1619" w:val="left" w:leader="none"/>
          <w:tab w:pos="1620" w:val="left" w:leader="none"/>
        </w:tabs>
        <w:spacing w:line="283" w:lineRule="auto" w:before="89" w:after="0"/>
        <w:ind w:left="1619" w:right="1713" w:hanging="1440"/>
        <w:jc w:val="left"/>
      </w:pPr>
      <w:r>
        <w:rPr>
          <w:spacing w:val="17"/>
          <w:sz w:val="28"/>
        </w:rPr>
        <w:t>M</w:t>
      </w:r>
      <w:r>
        <w:rPr>
          <w:spacing w:val="17"/>
        </w:rPr>
        <w:t>ONITORING </w:t>
      </w:r>
      <w:r>
        <w:rPr>
          <w:spacing w:val="16"/>
        </w:rPr>
        <w:t>CHANGES </w:t>
      </w:r>
      <w:r>
        <w:rPr>
          <w:spacing w:val="11"/>
        </w:rPr>
        <w:t>IN </w:t>
      </w:r>
      <w:r>
        <w:rPr>
          <w:spacing w:val="16"/>
        </w:rPr>
        <w:t>GREENHOUSE </w:t>
      </w:r>
      <w:r>
        <w:rPr>
          <w:spacing w:val="12"/>
        </w:rPr>
        <w:t>GAS </w:t>
      </w:r>
      <w:r>
        <w:rPr>
          <w:spacing w:val="16"/>
        </w:rPr>
        <w:t>EMISSIONS </w:t>
      </w:r>
      <w:r>
        <w:rPr>
          <w:spacing w:val="12"/>
        </w:rPr>
        <w:t>AND </w:t>
      </w:r>
      <w:r>
        <w:rPr>
          <w:spacing w:val="16"/>
        </w:rPr>
        <w:t>REMOVALS </w:t>
      </w:r>
      <w:r>
        <w:rPr>
          <w:spacing w:val="15"/>
        </w:rPr>
        <w:t>FROM </w:t>
      </w:r>
      <w:r>
        <w:rPr>
          <w:spacing w:val="16"/>
        </w:rPr>
        <w:t>PROJECT </w:t>
      </w:r>
      <w:r>
        <w:rPr>
          <w:spacing w:val="17"/>
        </w:rPr>
        <w:t>OPERATION PRACTICES</w:t>
      </w:r>
    </w:p>
    <w:p>
      <w:pPr>
        <w:pStyle w:val="BodyText"/>
        <w:spacing w:before="178"/>
        <w:ind w:left="179" w:right="1401"/>
        <w:jc w:val="both"/>
      </w:pPr>
      <w:r>
        <w:rPr/>
        <w:t>Greenhouse gas emissions from the direct use of energy in project operations can be significant. Such direct energy use includes both fuels and electricity consumed in both mobile and stationary equipment. Examples of mobile sources include tractors used for site preparation, fertilizer application, tillage, or planting; road transport to and from sites for monitoring; light-rail transport such as for the transport of logs out of the forest; air transport such as in helicopter logging; and water transport of logs from the forest. Stationary equipment, which, for most LULUCF projects, will typically constitute a less significant source of greenhouse gas emissions than mobile sources, could include machinery such as soil mixers and potting equipment in nurseries, irrigation pumps, and lighting. Project operators need to determine and report the greenhouse gas emissions from direct fossil fuel and electricity use in mobile and stationary</w:t>
      </w:r>
      <w:r>
        <w:rPr>
          <w:spacing w:val="-5"/>
        </w:rPr>
        <w:t> </w:t>
      </w:r>
      <w:r>
        <w:rPr/>
        <w:t>equipment.</w:t>
      </w:r>
    </w:p>
    <w:p>
      <w:pPr>
        <w:pStyle w:val="BodyText"/>
        <w:spacing w:before="119"/>
        <w:ind w:left="179" w:right="1406"/>
        <w:jc w:val="both"/>
      </w:pPr>
      <w:r>
        <w:rPr/>
        <w:t>Carbon dioxide is the primary greenhouse gas emitted from fossil fuel consumption in stationary and mobile equipment. Because N</w:t>
      </w:r>
      <w:r>
        <w:rPr>
          <w:vertAlign w:val="subscript"/>
        </w:rPr>
        <w:t>2</w:t>
      </w:r>
      <w:r>
        <w:rPr>
          <w:vertAlign w:val="baseline"/>
        </w:rPr>
        <w:t>O and CH</w:t>
      </w:r>
      <w:r>
        <w:rPr>
          <w:vertAlign w:val="subscript"/>
        </w:rPr>
        <w:t>4</w:t>
      </w:r>
      <w:r>
        <w:rPr>
          <w:vertAlign w:val="baseline"/>
        </w:rPr>
        <w:t> emissions are likely to make up a relatively small proportion of overall energy use emissions from projects, estimation of these emissions is at the discretion of the user.</w:t>
      </w:r>
    </w:p>
    <w:p>
      <w:pPr>
        <w:pStyle w:val="BodyText"/>
        <w:spacing w:before="122"/>
        <w:ind w:left="179" w:right="1404"/>
        <w:jc w:val="both"/>
      </w:pPr>
      <w:r>
        <w:rPr/>
        <w:t>Greenhouse gas emissions from stationary sources can be estimated by applying appropriate emission factors to the fuel quantity or electricity consumed (see the Energy chapters of the </w:t>
      </w:r>
      <w:r>
        <w:rPr>
          <w:i/>
        </w:rPr>
        <w:t>IPCC Guidelines </w:t>
      </w:r>
      <w:r>
        <w:rPr/>
        <w:t>and the </w:t>
      </w:r>
      <w:r>
        <w:rPr>
          <w:i/>
        </w:rPr>
        <w:t>GPG2000</w:t>
      </w:r>
      <w:r>
        <w:rPr/>
        <w:t>). Emissions from mobile sources can be estimated with either a fuel-based approach, or a distance-based approach (see Box 4.3.5 and the Energy chapters of the </w:t>
      </w:r>
      <w:r>
        <w:rPr>
          <w:i/>
        </w:rPr>
        <w:t>IPCC Guidelines </w:t>
      </w:r>
      <w:r>
        <w:rPr/>
        <w:t>and the </w:t>
      </w:r>
      <w:r>
        <w:rPr>
          <w:i/>
        </w:rPr>
        <w:t>GPG2000</w:t>
      </w:r>
      <w:r>
        <w:rPr/>
        <w:t>).</w:t>
      </w:r>
    </w:p>
    <w:p>
      <w:pPr>
        <w:pStyle w:val="BodyText"/>
        <w:spacing w:before="6"/>
        <w:rPr>
          <w:sz w:val="27"/>
        </w:rPr>
      </w:pPr>
      <w:r>
        <w:rPr/>
        <w:pict>
          <v:shape style="position:absolute;margin-left:91.960999pt;margin-top:18.535410pt;width:411.5pt;height:161.9pt;mso-position-horizontal-relative:page;mso-position-vertical-relative:paragraph;z-index:20552;mso-wrap-distance-left:0;mso-wrap-distance-right:0" type="#_x0000_t202" filled="false" stroked="true" strokeweight="1.44pt" strokecolor="#000000">
            <v:textbox inset="0,0,0,0">
              <w:txbxContent>
                <w:p>
                  <w:pPr>
                    <w:spacing w:before="99"/>
                    <w:ind w:left="68" w:right="68" w:firstLine="0"/>
                    <w:jc w:val="center"/>
                    <w:rPr>
                      <w:b/>
                      <w:sz w:val="20"/>
                    </w:rPr>
                  </w:pPr>
                  <w:r>
                    <w:rPr>
                      <w:b/>
                      <w:sz w:val="20"/>
                    </w:rPr>
                    <w:t>B</w:t>
                  </w:r>
                  <w:r>
                    <w:rPr>
                      <w:b/>
                      <w:sz w:val="16"/>
                    </w:rPr>
                    <w:t>OX </w:t>
                  </w:r>
                  <w:r>
                    <w:rPr>
                      <w:b/>
                      <w:sz w:val="20"/>
                    </w:rPr>
                    <w:t>4.3.5</w:t>
                  </w:r>
                </w:p>
                <w:p>
                  <w:pPr>
                    <w:spacing w:before="0"/>
                    <w:ind w:left="722" w:right="0" w:firstLine="0"/>
                    <w:jc w:val="left"/>
                    <w:rPr>
                      <w:b/>
                      <w:sz w:val="16"/>
                    </w:rPr>
                  </w:pPr>
                  <w:r>
                    <w:rPr>
                      <w:b/>
                      <w:sz w:val="20"/>
                    </w:rPr>
                    <w:t>G</w:t>
                  </w:r>
                  <w:r>
                    <w:rPr>
                      <w:b/>
                      <w:sz w:val="16"/>
                    </w:rPr>
                    <w:t>UIDANCE ON ESTIMATING GREENHOUSE GAS EMISSIONS FROM MOBILE SOURCES</w:t>
                  </w:r>
                </w:p>
                <w:p>
                  <w:pPr>
                    <w:pStyle w:val="BodyText"/>
                    <w:spacing w:before="113"/>
                    <w:ind w:left="127" w:right="124"/>
                    <w:jc w:val="both"/>
                  </w:pPr>
                  <w:r>
                    <w:rPr/>
                    <w:t>Direct greenhouse gas emissions from the use of vehicles can be estimated through either of two methodologies:</w:t>
                  </w:r>
                </w:p>
                <w:p>
                  <w:pPr>
                    <w:pStyle w:val="BodyText"/>
                    <w:spacing w:line="364" w:lineRule="auto" w:before="121"/>
                    <w:ind w:left="285" w:right="5907"/>
                  </w:pPr>
                  <w:r>
                    <w:rPr/>
                    <w:t>Fuel-based approach Distance-based approach</w:t>
                  </w:r>
                </w:p>
                <w:p>
                  <w:pPr>
                    <w:pStyle w:val="BodyText"/>
                    <w:ind w:left="127" w:right="123"/>
                    <w:jc w:val="both"/>
                  </w:pPr>
                  <w:r>
                    <w:rPr/>
                    <w:t>The choice of methodology is dependent on data availability. However, the fuel-based method is the preferred method for all modes of transport as the method is associated with lower uncertainty. In this case, the quantity of fossil fuel, usually gasoline and/or diesel fuel that is combusted during project practices needs to be monitored and recorded. For a detailed description of the methodologies, see the </w:t>
                  </w:r>
                  <w:r>
                    <w:rPr>
                      <w:i/>
                    </w:rPr>
                    <w:t>IPCC Guidelines </w:t>
                  </w:r>
                  <w:r>
                    <w:rPr/>
                    <w:t>and the </w:t>
                  </w:r>
                  <w:r>
                    <w:rPr>
                      <w:i/>
                    </w:rPr>
                    <w:t>GPG2000</w:t>
                  </w:r>
                  <w:r>
                    <w:rPr/>
                    <w:t>.</w:t>
                  </w:r>
                </w:p>
              </w:txbxContent>
            </v:textbox>
            <v:stroke dashstyle="solid"/>
            <w10:wrap type="topAndBottom"/>
          </v:shape>
        </w:pict>
      </w:r>
    </w:p>
    <w:p>
      <w:pPr>
        <w:pStyle w:val="BodyText"/>
        <w:spacing w:before="10"/>
        <w:rPr>
          <w:sz w:val="23"/>
        </w:rPr>
      </w:pPr>
    </w:p>
    <w:p>
      <w:pPr>
        <w:pStyle w:val="Heading6"/>
        <w:numPr>
          <w:ilvl w:val="3"/>
          <w:numId w:val="149"/>
        </w:numPr>
        <w:tabs>
          <w:tab w:pos="1619" w:val="left" w:leader="none"/>
          <w:tab w:pos="1620" w:val="left" w:leader="none"/>
        </w:tabs>
        <w:spacing w:line="240" w:lineRule="auto" w:before="89" w:after="0"/>
        <w:ind w:left="1619" w:right="0" w:hanging="1440"/>
        <w:jc w:val="left"/>
      </w:pPr>
      <w:r>
        <w:rPr>
          <w:spacing w:val="17"/>
          <w:sz w:val="28"/>
        </w:rPr>
        <w:t>C</w:t>
      </w:r>
      <w:r>
        <w:rPr>
          <w:spacing w:val="17"/>
        </w:rPr>
        <w:t>ONSIDERATIONS </w:t>
      </w:r>
      <w:r>
        <w:rPr>
          <w:spacing w:val="13"/>
        </w:rPr>
        <w:t>FOR </w:t>
      </w:r>
      <w:r>
        <w:rPr>
          <w:spacing w:val="12"/>
        </w:rPr>
        <w:t>THE </w:t>
      </w:r>
      <w:r>
        <w:rPr>
          <w:spacing w:val="17"/>
        </w:rPr>
        <w:t>MONITORING</w:t>
      </w:r>
      <w:r>
        <w:rPr>
          <w:spacing w:val="45"/>
        </w:rPr>
        <w:t> </w:t>
      </w:r>
      <w:r>
        <w:rPr>
          <w:spacing w:val="19"/>
        </w:rPr>
        <w:t>PLAN</w:t>
      </w:r>
    </w:p>
    <w:p>
      <w:pPr>
        <w:pStyle w:val="BodyText"/>
        <w:spacing w:before="212"/>
        <w:ind w:left="179" w:right="1404"/>
        <w:jc w:val="both"/>
      </w:pPr>
      <w:r>
        <w:rPr/>
        <w:t>The monitoring plan has specific meaning in the context of Articles 6 and 12 of the Kyoto Protocol. The plan includes, but is not limited to, planning of the measurement that will show how the project affects carbon stocks and emissions of non-CO</w:t>
      </w:r>
      <w:r>
        <w:rPr>
          <w:vertAlign w:val="subscript"/>
        </w:rPr>
        <w:t>2</w:t>
      </w:r>
      <w:r>
        <w:rPr>
          <w:vertAlign w:val="baseline"/>
        </w:rPr>
        <w:t> greenhouse gases over time. This subsection provides general advice relevant to measurement aspects of the plan only.</w:t>
      </w:r>
    </w:p>
    <w:p>
      <w:pPr>
        <w:pStyle w:val="BodyText"/>
        <w:spacing w:before="2"/>
        <w:rPr>
          <w:sz w:val="21"/>
        </w:rPr>
      </w:pPr>
    </w:p>
    <w:p>
      <w:pPr>
        <w:pStyle w:val="Heading6"/>
        <w:numPr>
          <w:ilvl w:val="4"/>
          <w:numId w:val="149"/>
        </w:numPr>
        <w:tabs>
          <w:tab w:pos="1200" w:val="left" w:leader="none"/>
        </w:tabs>
        <w:spacing w:line="240" w:lineRule="auto" w:before="1" w:after="0"/>
        <w:ind w:left="1199" w:right="0" w:hanging="1020"/>
        <w:jc w:val="left"/>
      </w:pPr>
      <w:r>
        <w:rPr/>
        <w:t>1 </w:t>
      </w:r>
      <w:r>
        <w:rPr>
          <w:spacing w:val="17"/>
        </w:rPr>
        <w:t>MONITORING </w:t>
      </w:r>
      <w:r>
        <w:rPr>
          <w:spacing w:val="16"/>
        </w:rPr>
        <w:t>PROJECTS </w:t>
      </w:r>
      <w:r>
        <w:rPr>
          <w:spacing w:val="15"/>
        </w:rPr>
        <w:t>WITH </w:t>
      </w:r>
      <w:r>
        <w:rPr>
          <w:spacing w:val="16"/>
        </w:rPr>
        <w:t>SMALL-SCALE</w:t>
      </w:r>
      <w:r>
        <w:rPr>
          <w:spacing w:val="27"/>
        </w:rPr>
        <w:t> </w:t>
      </w:r>
      <w:r>
        <w:rPr>
          <w:spacing w:val="18"/>
        </w:rPr>
        <w:t>LANDOWNERS</w:t>
      </w:r>
    </w:p>
    <w:p>
      <w:pPr>
        <w:pStyle w:val="BodyText"/>
        <w:spacing w:before="113"/>
        <w:ind w:left="179" w:right="1402"/>
        <w:jc w:val="both"/>
      </w:pPr>
      <w:r>
        <w:rPr/>
        <w:t>Monitoring projects that could involve multiple small-scale landholders, working on small but discrete parcels of land spread over a region requires attention. As described above (Section 4.3.3.2), whether the project is one contiguous parcel made up of one or two large land owners or many small parcels spread over a large area with many small land owners, the project land can be delineated and stratified using standard techniques. It is not expected that each parcel would be monitored as if constituting a separate project, but instead can be treated as one project and monitored for carbon at the project level as described above. However, because the project is spread out over many land owners, it is </w:t>
      </w:r>
      <w:r>
        <w:rPr>
          <w:i/>
        </w:rPr>
        <w:t>good practice </w:t>
      </w:r>
      <w:r>
        <w:rPr/>
        <w:t>to develop monitoring protocols for the project level, and then to develop indicators that can be monitored at the parcel level to ensure project-level performance (see Box 4.3.6).</w:t>
      </w:r>
    </w:p>
    <w:p>
      <w:pPr>
        <w:spacing w:after="0"/>
        <w:jc w:val="both"/>
        <w:sectPr>
          <w:pgSz w:w="11900" w:h="16840"/>
          <w:pgMar w:header="230" w:footer="408" w:top="560" w:bottom="600" w:left="1240" w:right="0"/>
        </w:sectPr>
      </w:pPr>
    </w:p>
    <w:p>
      <w:pPr>
        <w:pStyle w:val="BodyText"/>
      </w:pPr>
    </w:p>
    <w:p>
      <w:pPr>
        <w:pStyle w:val="BodyText"/>
        <w:spacing w:before="8"/>
        <w:rPr>
          <w:sz w:val="18"/>
        </w:rPr>
      </w:pPr>
    </w:p>
    <w:p>
      <w:pPr>
        <w:pStyle w:val="BodyText"/>
        <w:ind w:left="584"/>
      </w:pPr>
      <w:r>
        <w:rPr>
          <w:position w:val="0"/>
        </w:rPr>
        <w:pict>
          <v:shape style="width:411.5pt;height:346.35pt;mso-position-horizontal-relative:char;mso-position-vertical-relative:line" type="#_x0000_t202" filled="false" stroked="true" strokeweight="1.44pt" strokecolor="#000000">
            <w10:anchorlock/>
            <v:textbox inset="0,0,0,0">
              <w:txbxContent>
                <w:p>
                  <w:pPr>
                    <w:spacing w:before="99"/>
                    <w:ind w:left="68" w:right="68" w:firstLine="0"/>
                    <w:jc w:val="center"/>
                    <w:rPr>
                      <w:b/>
                      <w:sz w:val="20"/>
                    </w:rPr>
                  </w:pPr>
                  <w:r>
                    <w:rPr>
                      <w:b/>
                      <w:sz w:val="20"/>
                    </w:rPr>
                    <w:t>B</w:t>
                  </w:r>
                  <w:r>
                    <w:rPr>
                      <w:b/>
                      <w:sz w:val="16"/>
                    </w:rPr>
                    <w:t>OX </w:t>
                  </w:r>
                  <w:r>
                    <w:rPr>
                      <w:b/>
                      <w:sz w:val="20"/>
                    </w:rPr>
                    <w:t>4.3.6</w:t>
                  </w:r>
                </w:p>
                <w:p>
                  <w:pPr>
                    <w:spacing w:before="0"/>
                    <w:ind w:left="861" w:right="0" w:firstLine="0"/>
                    <w:jc w:val="left"/>
                    <w:rPr>
                      <w:b/>
                      <w:sz w:val="16"/>
                    </w:rPr>
                  </w:pPr>
                  <w:r>
                    <w:rPr>
                      <w:b/>
                      <w:sz w:val="20"/>
                    </w:rPr>
                    <w:t>M</w:t>
                  </w:r>
                  <w:r>
                    <w:rPr>
                      <w:b/>
                      <w:sz w:val="16"/>
                    </w:rPr>
                    <w:t>ONITORING </w:t>
                  </w:r>
                  <w:r>
                    <w:rPr>
                      <w:b/>
                      <w:sz w:val="20"/>
                    </w:rPr>
                    <w:t>P</w:t>
                  </w:r>
                  <w:r>
                    <w:rPr>
                      <w:b/>
                      <w:sz w:val="16"/>
                    </w:rPr>
                    <w:t>ROJECTS </w:t>
                  </w:r>
                  <w:r>
                    <w:rPr>
                      <w:b/>
                      <w:sz w:val="20"/>
                    </w:rPr>
                    <w:t>I</w:t>
                  </w:r>
                  <w:r>
                    <w:rPr>
                      <w:b/>
                      <w:sz w:val="16"/>
                    </w:rPr>
                    <w:t>NVOLVING </w:t>
                  </w:r>
                  <w:r>
                    <w:rPr>
                      <w:b/>
                      <w:sz w:val="20"/>
                    </w:rPr>
                    <w:t>M</w:t>
                  </w:r>
                  <w:r>
                    <w:rPr>
                      <w:b/>
                      <w:sz w:val="16"/>
                    </w:rPr>
                    <w:t>ULTIPLE </w:t>
                  </w:r>
                  <w:r>
                    <w:rPr>
                      <w:b/>
                      <w:sz w:val="20"/>
                    </w:rPr>
                    <w:t>S</w:t>
                  </w:r>
                  <w:r>
                    <w:rPr>
                      <w:b/>
                      <w:sz w:val="16"/>
                    </w:rPr>
                    <w:t>MALL</w:t>
                  </w:r>
                  <w:r>
                    <w:rPr>
                      <w:b/>
                      <w:sz w:val="20"/>
                    </w:rPr>
                    <w:t>-</w:t>
                  </w:r>
                  <w:r>
                    <w:rPr>
                      <w:b/>
                      <w:sz w:val="16"/>
                    </w:rPr>
                    <w:t>SCALE LANDHOLDERS</w:t>
                  </w:r>
                </w:p>
                <w:p>
                  <w:pPr>
                    <w:pStyle w:val="BodyText"/>
                    <w:spacing w:before="116"/>
                    <w:ind w:left="127" w:right="123"/>
                    <w:jc w:val="both"/>
                  </w:pPr>
                  <w:r>
                    <w:rPr/>
                    <w:t>Monitoring the changes in carbon stocks and non-CO</w:t>
                  </w:r>
                  <w:r>
                    <w:rPr>
                      <w:vertAlign w:val="subscript"/>
                    </w:rPr>
                    <w:t>2</w:t>
                  </w:r>
                  <w:r>
                    <w:rPr>
                      <w:vertAlign w:val="baseline"/>
                    </w:rPr>
                    <w:t> greenhouse gas emissions and removals when projects are constituted by multiple small-scale landholders will require the monitoring system to be split between two levels: (1) the project level and (2) the parcel level, as follows:</w:t>
                  </w:r>
                </w:p>
                <w:p>
                  <w:pPr>
                    <w:pStyle w:val="BodyText"/>
                    <w:spacing w:before="118"/>
                    <w:ind w:left="127"/>
                    <w:jc w:val="both"/>
                  </w:pPr>
                  <w:r>
                    <w:rPr>
                      <w:u w:val="single"/>
                    </w:rPr>
                    <w:t>Level 1: project level</w:t>
                  </w:r>
                </w:p>
                <w:p>
                  <w:pPr>
                    <w:pStyle w:val="BodyText"/>
                    <w:spacing w:before="121"/>
                    <w:ind w:left="127" w:right="121"/>
                    <w:jc w:val="both"/>
                  </w:pPr>
                  <w:r>
                    <w:rPr/>
                    <w:t>For each activity to be implemented within the project area, it is </w:t>
                  </w:r>
                  <w:r>
                    <w:rPr>
                      <w:i/>
                    </w:rPr>
                    <w:t>good practice </w:t>
                  </w:r>
                  <w:r>
                    <w:rPr/>
                    <w:t>to develop a technical description, setting out the management objectives, the species, the soil, climatic and vegetation conditions suitable for the activity, the expected inputs in terms of materials and labour and the expected outputs in terms of growth and yield of products. The technical descriptions should also include tables relating readily measured indicators at the parcel level (for example </w:t>
                  </w:r>
                  <w:r>
                    <w:rPr>
                      <w:i/>
                    </w:rPr>
                    <w:t>diameter at breast height </w:t>
                  </w:r>
                  <w:r>
                    <w:rPr/>
                    <w:t>or </w:t>
                  </w:r>
                  <w:r>
                    <w:rPr>
                      <w:i/>
                    </w:rPr>
                    <w:t>top height</w:t>
                  </w:r>
                  <w:r>
                    <w:rPr/>
                    <w:t>) to estimates of carbon stocks. These tables may be produced with reference to Section 4.3.3.5, using either direct or indirect methods. </w:t>
                  </w:r>
                  <w:r>
                    <w:rPr>
                      <w:i/>
                    </w:rPr>
                    <w:t>Good practice </w:t>
                  </w:r>
                  <w:r>
                    <w:rPr/>
                    <w:t>also entails establishment of a number of sample plots within the project area to maintain and improve the calibration of these tables (according to Section 4.3.3.4). Each technical description should also include a set of parameters used to determine the baseline carbon stocks, against which the carbon uptake is to be measured. A similar set of indicators that are readily measured at the plot level should be tabulated against baseline carbon</w:t>
                  </w:r>
                  <w:r>
                    <w:rPr>
                      <w:spacing w:val="-3"/>
                    </w:rPr>
                    <w:t> </w:t>
                  </w:r>
                  <w:r>
                    <w:rPr/>
                    <w:t>stocks.</w:t>
                  </w:r>
                </w:p>
                <w:p>
                  <w:pPr>
                    <w:pStyle w:val="BodyText"/>
                    <w:spacing w:before="118"/>
                    <w:ind w:left="127"/>
                    <w:jc w:val="both"/>
                  </w:pPr>
                  <w:r>
                    <w:rPr>
                      <w:u w:val="single"/>
                    </w:rPr>
                    <w:t>Level 2: parcel level</w:t>
                  </w:r>
                </w:p>
                <w:p>
                  <w:pPr>
                    <w:pStyle w:val="BodyText"/>
                    <w:spacing w:before="120"/>
                    <w:ind w:left="127" w:right="123"/>
                    <w:jc w:val="both"/>
                  </w:pPr>
                  <w:r>
                    <w:rPr/>
                    <w:t>Within each parcel the following measurements can then be taken: 1) cross-check to determine whether the activity implemented in the parcel falls within the parameters set out in the technical description (e.g., correct species, planting density, climate, etc); 2) measurement of baseline indicators; and 3) measurement of activity indicators.</w:t>
                  </w:r>
                </w:p>
                <w:p>
                  <w:pPr>
                    <w:pStyle w:val="BodyText"/>
                    <w:spacing w:before="119"/>
                    <w:ind w:left="127" w:right="122"/>
                    <w:jc w:val="both"/>
                  </w:pPr>
                  <w:r>
                    <w:rPr/>
                    <w:t>The changes in carbon stocks are then estimated with reference to the tables in the relevant technical descriptions. Quality assurance procedures should examine the data  collection procedures at both levels within such</w:t>
                  </w:r>
                  <w:r>
                    <w:rPr>
                      <w:spacing w:val="-3"/>
                    </w:rPr>
                    <w:t> </w:t>
                  </w:r>
                  <w:r>
                    <w:rPr/>
                    <w:t>projects.</w:t>
                  </w:r>
                </w:p>
              </w:txbxContent>
            </v:textbox>
            <v:stroke dashstyle="solid"/>
          </v:shape>
        </w:pict>
      </w:r>
      <w:r>
        <w:rPr>
          <w:position w:val="0"/>
        </w:rPr>
      </w:r>
    </w:p>
    <w:p>
      <w:pPr>
        <w:pStyle w:val="BodyText"/>
        <w:spacing w:before="1"/>
        <w:rPr>
          <w:sz w:val="11"/>
        </w:rPr>
      </w:pPr>
    </w:p>
    <w:p>
      <w:pPr>
        <w:pStyle w:val="Heading6"/>
        <w:numPr>
          <w:ilvl w:val="4"/>
          <w:numId w:val="149"/>
        </w:numPr>
        <w:tabs>
          <w:tab w:pos="1199" w:val="left" w:leader="none"/>
        </w:tabs>
        <w:spacing w:line="240" w:lineRule="auto" w:before="92" w:after="0"/>
        <w:ind w:left="1198" w:right="0" w:hanging="1019"/>
        <w:jc w:val="left"/>
      </w:pPr>
      <w:r>
        <w:rPr/>
        <w:t>2 </w:t>
      </w:r>
      <w:r>
        <w:rPr>
          <w:spacing w:val="17"/>
        </w:rPr>
        <w:t>FREQUENCY </w:t>
      </w:r>
      <w:r>
        <w:rPr>
          <w:spacing w:val="10"/>
        </w:rPr>
        <w:t>OF </w:t>
      </w:r>
      <w:r>
        <w:rPr>
          <w:spacing w:val="15"/>
        </w:rPr>
        <w:t>CARBON</w:t>
      </w:r>
      <w:r>
        <w:rPr>
          <w:spacing w:val="8"/>
        </w:rPr>
        <w:t> </w:t>
      </w:r>
      <w:r>
        <w:rPr>
          <w:spacing w:val="17"/>
        </w:rPr>
        <w:t>MONITORING</w:t>
      </w:r>
    </w:p>
    <w:p>
      <w:pPr>
        <w:pStyle w:val="BodyText"/>
        <w:spacing w:before="116"/>
        <w:ind w:left="179" w:right="1402"/>
        <w:jc w:val="both"/>
      </w:pPr>
      <w:r>
        <w:rPr/>
        <w:t>The frequency of monitoring should take into consideration the carbon dynamics of the project and costs involved. In the tropics, changes in the carbon stock in trees and soils in an afforestation/reforestation project can be detected with measurements at intervals of about 3 years or less (Shepherd and Montagnini, 2001). In the temperate zone, given the dynamics of forest processes, they are generally measured at 5-year intervals (e.g., many national forest inventories). For carbon pools that respond more slowly, such as soil, even longer periods could be used. Thus it is recommended that for carbon accumulating in the trees, the frequency of monitoring should be defined in accordance with the rate of change of the carbon stock, and be in accordance with the rotation length (for plantations) and cultivation cycle (for croplands and grazing lands).</w:t>
      </w:r>
    </w:p>
    <w:p>
      <w:pPr>
        <w:pStyle w:val="BodyText"/>
        <w:spacing w:before="2"/>
        <w:rPr>
          <w:sz w:val="21"/>
        </w:rPr>
      </w:pPr>
    </w:p>
    <w:p>
      <w:pPr>
        <w:pStyle w:val="Heading6"/>
        <w:numPr>
          <w:ilvl w:val="4"/>
          <w:numId w:val="149"/>
        </w:numPr>
        <w:tabs>
          <w:tab w:pos="1198" w:val="left" w:leader="none"/>
        </w:tabs>
        <w:spacing w:line="240" w:lineRule="auto" w:before="0" w:after="0"/>
        <w:ind w:left="1197" w:right="0" w:hanging="1018"/>
        <w:jc w:val="left"/>
      </w:pPr>
      <w:r>
        <w:rPr/>
        <w:t>3 </w:t>
      </w:r>
      <w:r>
        <w:rPr>
          <w:spacing w:val="16"/>
        </w:rPr>
        <w:t>OVERALL PROJECT </w:t>
      </w:r>
      <w:r>
        <w:rPr>
          <w:spacing w:val="14"/>
        </w:rPr>
        <w:t>SITE</w:t>
      </w:r>
      <w:r>
        <w:rPr>
          <w:spacing w:val="70"/>
        </w:rPr>
        <w:t> </w:t>
      </w:r>
      <w:r>
        <w:rPr>
          <w:spacing w:val="18"/>
        </w:rPr>
        <w:t>PERFORMANCE</w:t>
      </w:r>
    </w:p>
    <w:p>
      <w:pPr>
        <w:pStyle w:val="BodyText"/>
        <w:spacing w:before="114"/>
        <w:ind w:left="179" w:right="1403"/>
        <w:jc w:val="both"/>
      </w:pPr>
      <w:r>
        <w:rPr/>
        <w:t>Monitoring only the changes in carbon stocks and non-CO</w:t>
      </w:r>
      <w:r>
        <w:rPr>
          <w:vertAlign w:val="subscript"/>
        </w:rPr>
        <w:t>2</w:t>
      </w:r>
      <w:r>
        <w:rPr>
          <w:vertAlign w:val="baseline"/>
        </w:rPr>
        <w:t> greenhouse gases in the permanent monitoring plots does not necessarily provide the information for assessing whether the project is accomplishing the same  changes in carbon stocks across the entire project and whether the project is accomplishing what it set out to do— e.g., plant several thousand hectares of trees. Periodic visits to the carbon monitoring plots will only show that the carbon in those plots (which were randomly located and should be representative of the population) is accumulating with known accuracy and precision at a given confidence level. As the project developers will know the location of the plots, it is also important that through time comprehensive checks are made to ensure that the overall project is performing the same way as the plots. This can be accomplished through third-party field verification using indicators of carbon stock changes, such as tree height for afforestation/reforestation projects and crop productivity for cropland management projects. It is </w:t>
      </w:r>
      <w:r>
        <w:rPr>
          <w:i/>
          <w:vertAlign w:val="baseline"/>
        </w:rPr>
        <w:t>good practice </w:t>
      </w:r>
      <w:r>
        <w:rPr>
          <w:vertAlign w:val="baseline"/>
        </w:rPr>
        <w:t>for project developers to produce such indicators that can readily be field-verified across the project area. To monitor overall project site performance (i.e., project activities are being performed over the entire project area), one of several methods can be used, depending upon the level of technology and resources available, such</w:t>
      </w:r>
      <w:r>
        <w:rPr>
          <w:spacing w:val="-11"/>
          <w:vertAlign w:val="baseline"/>
        </w:rPr>
        <w:t> </w:t>
      </w:r>
      <w:r>
        <w:rPr>
          <w:vertAlign w:val="baseline"/>
        </w:rPr>
        <w:t>as:</w:t>
      </w:r>
    </w:p>
    <w:p>
      <w:pPr>
        <w:pStyle w:val="ListParagraph"/>
        <w:numPr>
          <w:ilvl w:val="0"/>
          <w:numId w:val="117"/>
        </w:numPr>
        <w:tabs>
          <w:tab w:pos="537" w:val="left" w:leader="none"/>
        </w:tabs>
        <w:spacing w:line="230" w:lineRule="auto" w:before="139" w:after="0"/>
        <w:ind w:left="536" w:right="1400" w:hanging="357"/>
        <w:jc w:val="both"/>
        <w:rPr>
          <w:sz w:val="20"/>
        </w:rPr>
      </w:pPr>
      <w:r>
        <w:rPr>
          <w:sz w:val="20"/>
        </w:rPr>
        <w:t>Visual site visits with photographic documentation. It is recommended to thoroughly inspect the total area planted in each region and that a selection of photographs be taken and dated. The field reports and photos should be part of the permanent</w:t>
      </w:r>
      <w:r>
        <w:rPr>
          <w:spacing w:val="-1"/>
          <w:sz w:val="20"/>
        </w:rPr>
        <w:t> </w:t>
      </w:r>
      <w:r>
        <w:rPr>
          <w:sz w:val="20"/>
        </w:rPr>
        <w:t>record.</w:t>
      </w:r>
    </w:p>
    <w:p>
      <w:pPr>
        <w:spacing w:after="0" w:line="230" w:lineRule="auto"/>
        <w:jc w:val="both"/>
        <w:rPr>
          <w:sz w:val="20"/>
        </w:rPr>
        <w:sectPr>
          <w:footerReference w:type="default" r:id="rId333"/>
          <w:footerReference w:type="even" r:id="rId334"/>
          <w:pgSz w:w="11900" w:h="16840"/>
          <w:pgMar w:footer="408" w:header="230" w:top="560" w:bottom="600" w:left="1240" w:right="0"/>
        </w:sectPr>
      </w:pPr>
    </w:p>
    <w:p>
      <w:pPr>
        <w:pStyle w:val="BodyText"/>
        <w:spacing w:before="5"/>
        <w:rPr>
          <w:sz w:val="29"/>
        </w:rPr>
      </w:pPr>
    </w:p>
    <w:p>
      <w:pPr>
        <w:pStyle w:val="ListParagraph"/>
        <w:numPr>
          <w:ilvl w:val="0"/>
          <w:numId w:val="117"/>
        </w:numPr>
        <w:tabs>
          <w:tab w:pos="537" w:val="left" w:leader="none"/>
        </w:tabs>
        <w:spacing w:line="232" w:lineRule="auto" w:before="120" w:after="0"/>
        <w:ind w:left="536" w:right="1402" w:hanging="357"/>
        <w:jc w:val="both"/>
        <w:rPr>
          <w:sz w:val="20"/>
        </w:rPr>
      </w:pPr>
      <w:r>
        <w:rPr>
          <w:sz w:val="20"/>
        </w:rPr>
        <w:t>Digital aerial </w:t>
      </w:r>
      <w:r>
        <w:rPr>
          <w:spacing w:val="-3"/>
          <w:sz w:val="20"/>
        </w:rPr>
        <w:t>imagery, using multi-spectral </w:t>
      </w:r>
      <w:r>
        <w:rPr>
          <w:sz w:val="20"/>
        </w:rPr>
        <w:t>sensors (particularly infra-red), of GPS located transects across each</w:t>
      </w:r>
      <w:r>
        <w:rPr>
          <w:spacing w:val="-8"/>
          <w:sz w:val="20"/>
        </w:rPr>
        <w:t> </w:t>
      </w:r>
      <w:r>
        <w:rPr>
          <w:sz w:val="20"/>
        </w:rPr>
        <w:t>planted</w:t>
      </w:r>
      <w:r>
        <w:rPr>
          <w:spacing w:val="-6"/>
          <w:sz w:val="20"/>
        </w:rPr>
        <w:t> </w:t>
      </w:r>
      <w:r>
        <w:rPr>
          <w:sz w:val="20"/>
        </w:rPr>
        <w:t>area.</w:t>
      </w:r>
      <w:r>
        <w:rPr>
          <w:spacing w:val="-5"/>
          <w:sz w:val="20"/>
        </w:rPr>
        <w:t> </w:t>
      </w:r>
      <w:r>
        <w:rPr>
          <w:sz w:val="20"/>
        </w:rPr>
        <w:t>As</w:t>
      </w:r>
      <w:r>
        <w:rPr>
          <w:spacing w:val="-7"/>
          <w:sz w:val="20"/>
        </w:rPr>
        <w:t> </w:t>
      </w:r>
      <w:r>
        <w:rPr>
          <w:sz w:val="20"/>
        </w:rPr>
        <w:t>above,</w:t>
      </w:r>
      <w:r>
        <w:rPr>
          <w:spacing w:val="-4"/>
          <w:sz w:val="20"/>
        </w:rPr>
        <w:t> </w:t>
      </w:r>
      <w:r>
        <w:rPr>
          <w:sz w:val="20"/>
        </w:rPr>
        <w:t>full</w:t>
      </w:r>
      <w:r>
        <w:rPr>
          <w:spacing w:val="-7"/>
          <w:sz w:val="20"/>
        </w:rPr>
        <w:t> </w:t>
      </w:r>
      <w:r>
        <w:rPr>
          <w:sz w:val="20"/>
        </w:rPr>
        <w:t>documentation</w:t>
      </w:r>
      <w:r>
        <w:rPr>
          <w:spacing w:val="-7"/>
          <w:sz w:val="20"/>
        </w:rPr>
        <w:t> </w:t>
      </w:r>
      <w:r>
        <w:rPr>
          <w:sz w:val="20"/>
        </w:rPr>
        <w:t>and</w:t>
      </w:r>
      <w:r>
        <w:rPr>
          <w:spacing w:val="-7"/>
          <w:sz w:val="20"/>
        </w:rPr>
        <w:t> </w:t>
      </w:r>
      <w:r>
        <w:rPr>
          <w:sz w:val="20"/>
        </w:rPr>
        <w:t>digital</w:t>
      </w:r>
      <w:r>
        <w:rPr>
          <w:spacing w:val="-4"/>
          <w:sz w:val="20"/>
        </w:rPr>
        <w:t> </w:t>
      </w:r>
      <w:r>
        <w:rPr>
          <w:spacing w:val="-3"/>
          <w:sz w:val="20"/>
        </w:rPr>
        <w:t>photographs,</w:t>
      </w:r>
      <w:r>
        <w:rPr>
          <w:spacing w:val="-6"/>
          <w:sz w:val="20"/>
        </w:rPr>
        <w:t> </w:t>
      </w:r>
      <w:r>
        <w:rPr>
          <w:sz w:val="20"/>
        </w:rPr>
        <w:t>dated,</w:t>
      </w:r>
      <w:r>
        <w:rPr>
          <w:spacing w:val="-4"/>
          <w:sz w:val="20"/>
        </w:rPr>
        <w:t> </w:t>
      </w:r>
      <w:r>
        <w:rPr>
          <w:sz w:val="20"/>
        </w:rPr>
        <w:t>should</w:t>
      </w:r>
      <w:r>
        <w:rPr>
          <w:spacing w:val="-6"/>
          <w:sz w:val="20"/>
        </w:rPr>
        <w:t> </w:t>
      </w:r>
      <w:r>
        <w:rPr>
          <w:sz w:val="20"/>
        </w:rPr>
        <w:t>be</w:t>
      </w:r>
      <w:r>
        <w:rPr>
          <w:spacing w:val="-5"/>
          <w:sz w:val="20"/>
        </w:rPr>
        <w:t> </w:t>
      </w:r>
      <w:r>
        <w:rPr>
          <w:sz w:val="20"/>
        </w:rPr>
        <w:t>part</w:t>
      </w:r>
      <w:r>
        <w:rPr>
          <w:spacing w:val="-6"/>
          <w:sz w:val="20"/>
        </w:rPr>
        <w:t> </w:t>
      </w:r>
      <w:r>
        <w:rPr>
          <w:sz w:val="20"/>
        </w:rPr>
        <w:t>of</w:t>
      </w:r>
      <w:r>
        <w:rPr>
          <w:spacing w:val="-8"/>
          <w:sz w:val="20"/>
        </w:rPr>
        <w:t> </w:t>
      </w:r>
      <w:r>
        <w:rPr>
          <w:sz w:val="20"/>
        </w:rPr>
        <w:t>the</w:t>
      </w:r>
      <w:r>
        <w:rPr>
          <w:spacing w:val="-6"/>
          <w:sz w:val="20"/>
        </w:rPr>
        <w:t> </w:t>
      </w:r>
      <w:r>
        <w:rPr>
          <w:sz w:val="20"/>
        </w:rPr>
        <w:t>project’s records.</w:t>
      </w:r>
    </w:p>
    <w:p>
      <w:pPr>
        <w:pStyle w:val="ListParagraph"/>
        <w:numPr>
          <w:ilvl w:val="0"/>
          <w:numId w:val="117"/>
        </w:numPr>
        <w:tabs>
          <w:tab w:pos="537" w:val="left" w:leader="none"/>
        </w:tabs>
        <w:spacing w:line="235" w:lineRule="auto" w:before="138" w:after="0"/>
        <w:ind w:left="536" w:right="1404" w:hanging="357"/>
        <w:jc w:val="both"/>
        <w:rPr>
          <w:sz w:val="20"/>
        </w:rPr>
      </w:pPr>
      <w:r>
        <w:rPr>
          <w:sz w:val="20"/>
        </w:rPr>
        <w:t>Remote sensing with use of very high-resolution satellite data ( e.g., Ikonos, QuickBird) or high resolution satellite data ( e.g., Spot, Landsat, RadarSat, Envisat ASAR). The decision on which satellite imagery to use will depend on size of project (100s to 1,000s of ha), location (mostly under high cloud cover or often free of clouds), and project</w:t>
      </w:r>
      <w:r>
        <w:rPr>
          <w:spacing w:val="-4"/>
          <w:sz w:val="20"/>
        </w:rPr>
        <w:t> </w:t>
      </w:r>
      <w:r>
        <w:rPr>
          <w:sz w:val="20"/>
        </w:rPr>
        <w:t>resources.</w:t>
      </w:r>
    </w:p>
    <w:p>
      <w:pPr>
        <w:pStyle w:val="BodyText"/>
        <w:rPr>
          <w:sz w:val="22"/>
        </w:rPr>
      </w:pPr>
    </w:p>
    <w:p>
      <w:pPr>
        <w:pStyle w:val="BodyText"/>
      </w:pPr>
    </w:p>
    <w:p>
      <w:pPr>
        <w:pStyle w:val="Heading2"/>
        <w:numPr>
          <w:ilvl w:val="2"/>
          <w:numId w:val="156"/>
        </w:numPr>
        <w:tabs>
          <w:tab w:pos="1381" w:val="left" w:leader="none"/>
          <w:tab w:pos="1382" w:val="left" w:leader="none"/>
        </w:tabs>
        <w:spacing w:line="240" w:lineRule="auto" w:before="1" w:after="0"/>
        <w:ind w:left="1381" w:right="0" w:hanging="1202"/>
        <w:jc w:val="left"/>
      </w:pPr>
      <w:r>
        <w:rPr>
          <w:spacing w:val="7"/>
        </w:rPr>
        <w:t>Quality </w:t>
      </w:r>
      <w:r>
        <w:rPr>
          <w:spacing w:val="8"/>
        </w:rPr>
        <w:t>Assurance </w:t>
      </w:r>
      <w:r>
        <w:rPr>
          <w:spacing w:val="6"/>
        </w:rPr>
        <w:t>and </w:t>
      </w:r>
      <w:r>
        <w:rPr>
          <w:spacing w:val="7"/>
        </w:rPr>
        <w:t>Quality </w:t>
      </w:r>
      <w:r>
        <w:rPr>
          <w:spacing w:val="8"/>
        </w:rPr>
        <w:t>Control</w:t>
      </w:r>
      <w:r>
        <w:rPr>
          <w:spacing w:val="80"/>
        </w:rPr>
        <w:t> </w:t>
      </w:r>
      <w:r>
        <w:rPr>
          <w:spacing w:val="9"/>
        </w:rPr>
        <w:t>Plan</w:t>
      </w:r>
    </w:p>
    <w:p>
      <w:pPr>
        <w:pStyle w:val="BodyText"/>
        <w:spacing w:before="113"/>
        <w:ind w:left="179" w:right="1403"/>
        <w:jc w:val="both"/>
      </w:pPr>
      <w:r>
        <w:rPr/>
        <w:t>Monitoring requires provisions for quality assurance (QA) and quality control (QC) to be implemented via a QA/QC plan. The plan should become part of project documentation and cover procedures as described below for: (1) collecting reliable field measurements; (2) verifying methods used to collect field data; (3) verifying data entry and analysis techniques; and (4) data maintenance and archiving. If after implementing the QA/QC plan it is found that the targeted precision level is not met, then additional field measurements need to be conducted until the targeted precision level is</w:t>
      </w:r>
      <w:r>
        <w:rPr>
          <w:spacing w:val="-1"/>
        </w:rPr>
        <w:t> </w:t>
      </w:r>
      <w:r>
        <w:rPr/>
        <w:t>achieved.</w:t>
      </w:r>
    </w:p>
    <w:p>
      <w:pPr>
        <w:pStyle w:val="BodyText"/>
        <w:rPr>
          <w:sz w:val="22"/>
        </w:rPr>
      </w:pPr>
    </w:p>
    <w:p>
      <w:pPr>
        <w:pStyle w:val="Heading6"/>
        <w:numPr>
          <w:ilvl w:val="3"/>
          <w:numId w:val="156"/>
        </w:numPr>
        <w:tabs>
          <w:tab w:pos="1619" w:val="left" w:leader="none"/>
          <w:tab w:pos="1620" w:val="left" w:leader="none"/>
        </w:tabs>
        <w:spacing w:line="283" w:lineRule="auto" w:before="143" w:after="0"/>
        <w:ind w:left="1619" w:right="3549" w:hanging="1440"/>
        <w:jc w:val="left"/>
      </w:pPr>
      <w:r>
        <w:rPr>
          <w:spacing w:val="17"/>
          <w:sz w:val="28"/>
        </w:rPr>
        <w:t>P</w:t>
      </w:r>
      <w:r>
        <w:rPr>
          <w:spacing w:val="17"/>
        </w:rPr>
        <w:t>ROCEDURES </w:t>
      </w:r>
      <w:r>
        <w:rPr>
          <w:spacing w:val="9"/>
        </w:rPr>
        <w:t>TO </w:t>
      </w:r>
      <w:r>
        <w:rPr>
          <w:spacing w:val="15"/>
        </w:rPr>
        <w:t>ENSURE </w:t>
      </w:r>
      <w:r>
        <w:rPr>
          <w:spacing w:val="16"/>
        </w:rPr>
        <w:t>RELIABLE </w:t>
      </w:r>
      <w:r>
        <w:rPr>
          <w:spacing w:val="19"/>
        </w:rPr>
        <w:t>FIELD </w:t>
      </w:r>
      <w:r>
        <w:rPr>
          <w:spacing w:val="18"/>
        </w:rPr>
        <w:t>MEASUREMENTS</w:t>
      </w:r>
    </w:p>
    <w:p>
      <w:pPr>
        <w:pStyle w:val="BodyText"/>
        <w:spacing w:before="179"/>
        <w:ind w:left="179" w:right="1403"/>
        <w:jc w:val="both"/>
      </w:pPr>
      <w:r>
        <w:rPr/>
        <w:t>Collecting reliable field measurement data is an important step in the quality assurance plan. Those responsible for the measurement work should be fully trained in all aspects of the field data collection and data analyses. It is </w:t>
      </w:r>
      <w:r>
        <w:rPr>
          <w:i/>
        </w:rPr>
        <w:t>good practice </w:t>
      </w:r>
      <w:r>
        <w:rPr/>
        <w:t>to develop Standard Operating Procedures (SOPs) for each step of the field measurements, which should be adhered to at all times. These SOPs should detail all phases of the field measurements and contain provisions for documentation for verification purposes and so that future field personnel can check past results and repeat the measurements in a consistent fashion.</w:t>
      </w:r>
    </w:p>
    <w:p>
      <w:pPr>
        <w:pStyle w:val="BodyText"/>
        <w:spacing w:before="118"/>
        <w:ind w:left="179"/>
      </w:pPr>
      <w:r>
        <w:rPr/>
        <w:t>To ensure the collection of reliable field data, it is </w:t>
      </w:r>
      <w:r>
        <w:rPr>
          <w:i/>
        </w:rPr>
        <w:t>good practice </w:t>
      </w:r>
      <w:r>
        <w:rPr/>
        <w:t>to ensure that:</w:t>
      </w:r>
    </w:p>
    <w:p>
      <w:pPr>
        <w:pStyle w:val="ListParagraph"/>
        <w:numPr>
          <w:ilvl w:val="0"/>
          <w:numId w:val="117"/>
        </w:numPr>
        <w:tabs>
          <w:tab w:pos="539" w:val="left" w:leader="none"/>
          <w:tab w:pos="540" w:val="left" w:leader="none"/>
        </w:tabs>
        <w:spacing w:line="223" w:lineRule="auto" w:before="146" w:after="0"/>
        <w:ind w:left="539" w:right="1403" w:hanging="360"/>
        <w:jc w:val="left"/>
        <w:rPr>
          <w:sz w:val="20"/>
        </w:rPr>
      </w:pPr>
      <w:r>
        <w:rPr>
          <w:sz w:val="20"/>
        </w:rPr>
        <w:t>Field-team members are fully cognisant of all procedures and the importance of collecting data as accurately as</w:t>
      </w:r>
      <w:r>
        <w:rPr>
          <w:spacing w:val="-2"/>
          <w:sz w:val="20"/>
        </w:rPr>
        <w:t> </w:t>
      </w:r>
      <w:r>
        <w:rPr>
          <w:sz w:val="20"/>
        </w:rPr>
        <w:t>possible;</w:t>
      </w:r>
    </w:p>
    <w:p>
      <w:pPr>
        <w:pStyle w:val="ListParagraph"/>
        <w:numPr>
          <w:ilvl w:val="0"/>
          <w:numId w:val="117"/>
        </w:numPr>
        <w:tabs>
          <w:tab w:pos="539" w:val="left" w:leader="none"/>
          <w:tab w:pos="540" w:val="left" w:leader="none"/>
        </w:tabs>
        <w:spacing w:line="240" w:lineRule="auto" w:before="137" w:after="0"/>
        <w:ind w:left="539" w:right="0" w:hanging="360"/>
        <w:jc w:val="left"/>
        <w:rPr>
          <w:sz w:val="20"/>
        </w:rPr>
      </w:pPr>
      <w:r>
        <w:rPr>
          <w:sz w:val="20"/>
        </w:rPr>
        <w:t>Field teams install test plots if needed in the field and measure all pertinent components using the</w:t>
      </w:r>
      <w:r>
        <w:rPr>
          <w:spacing w:val="-13"/>
          <w:sz w:val="20"/>
        </w:rPr>
        <w:t> </w:t>
      </w:r>
      <w:r>
        <w:rPr>
          <w:sz w:val="20"/>
        </w:rPr>
        <w:t>SOPs;</w:t>
      </w:r>
    </w:p>
    <w:p>
      <w:pPr>
        <w:pStyle w:val="ListParagraph"/>
        <w:numPr>
          <w:ilvl w:val="0"/>
          <w:numId w:val="117"/>
        </w:numPr>
        <w:tabs>
          <w:tab w:pos="539" w:val="left" w:leader="none"/>
          <w:tab w:pos="540" w:val="left" w:leader="none"/>
        </w:tabs>
        <w:spacing w:line="223" w:lineRule="auto" w:before="130" w:after="0"/>
        <w:ind w:left="539" w:right="1402" w:hanging="360"/>
        <w:jc w:val="left"/>
        <w:rPr>
          <w:sz w:val="20"/>
        </w:rPr>
      </w:pPr>
      <w:r>
        <w:rPr>
          <w:sz w:val="20"/>
        </w:rPr>
        <w:t>All field measurements are checked by a qualified person in cooperation with the field team and correct any errors in</w:t>
      </w:r>
      <w:r>
        <w:rPr>
          <w:spacing w:val="-3"/>
          <w:sz w:val="20"/>
        </w:rPr>
        <w:t> </w:t>
      </w:r>
      <w:r>
        <w:rPr>
          <w:sz w:val="20"/>
        </w:rPr>
        <w:t>techniques;</w:t>
      </w:r>
    </w:p>
    <w:p>
      <w:pPr>
        <w:pStyle w:val="ListParagraph"/>
        <w:numPr>
          <w:ilvl w:val="0"/>
          <w:numId w:val="117"/>
        </w:numPr>
        <w:tabs>
          <w:tab w:pos="589" w:val="left" w:leader="none"/>
          <w:tab w:pos="590" w:val="left" w:leader="none"/>
        </w:tabs>
        <w:spacing w:line="223" w:lineRule="auto" w:before="151" w:after="0"/>
        <w:ind w:left="539" w:right="1403" w:hanging="360"/>
        <w:jc w:val="left"/>
        <w:rPr>
          <w:sz w:val="20"/>
        </w:rPr>
      </w:pPr>
      <w:r>
        <w:rPr/>
        <w:tab/>
      </w:r>
      <w:r>
        <w:rPr>
          <w:sz w:val="20"/>
        </w:rPr>
        <w:t>A document is filed with the project documents that show that these steps have been followed. The document will list all names of the field team and the project leader will certify that the team is</w:t>
      </w:r>
      <w:r>
        <w:rPr>
          <w:spacing w:val="-20"/>
          <w:sz w:val="20"/>
        </w:rPr>
        <w:t> </w:t>
      </w:r>
      <w:r>
        <w:rPr>
          <w:sz w:val="20"/>
        </w:rPr>
        <w:t>trained;</w:t>
      </w:r>
    </w:p>
    <w:p>
      <w:pPr>
        <w:pStyle w:val="ListParagraph"/>
        <w:numPr>
          <w:ilvl w:val="0"/>
          <w:numId w:val="117"/>
        </w:numPr>
        <w:tabs>
          <w:tab w:pos="539" w:val="left" w:leader="none"/>
          <w:tab w:pos="540" w:val="left" w:leader="none"/>
        </w:tabs>
        <w:spacing w:line="240" w:lineRule="auto" w:before="137" w:after="0"/>
        <w:ind w:left="539" w:right="0" w:hanging="360"/>
        <w:jc w:val="left"/>
        <w:rPr>
          <w:sz w:val="20"/>
        </w:rPr>
      </w:pPr>
      <w:r>
        <w:rPr>
          <w:sz w:val="20"/>
        </w:rPr>
        <w:t>New staff are adequately</w:t>
      </w:r>
      <w:r>
        <w:rPr>
          <w:spacing w:val="-6"/>
          <w:sz w:val="20"/>
        </w:rPr>
        <w:t> </w:t>
      </w:r>
      <w:r>
        <w:rPr>
          <w:sz w:val="20"/>
        </w:rPr>
        <w:t>trained.</w:t>
      </w:r>
    </w:p>
    <w:p>
      <w:pPr>
        <w:pStyle w:val="BodyText"/>
        <w:spacing w:before="4"/>
        <w:rPr>
          <w:sz w:val="33"/>
        </w:rPr>
      </w:pPr>
    </w:p>
    <w:p>
      <w:pPr>
        <w:pStyle w:val="Heading6"/>
        <w:numPr>
          <w:ilvl w:val="3"/>
          <w:numId w:val="156"/>
        </w:numPr>
        <w:tabs>
          <w:tab w:pos="1619" w:val="left" w:leader="none"/>
          <w:tab w:pos="1620" w:val="left" w:leader="none"/>
        </w:tabs>
        <w:spacing w:line="240" w:lineRule="auto" w:before="1" w:after="0"/>
        <w:ind w:left="1619" w:right="0" w:hanging="1440"/>
        <w:jc w:val="left"/>
      </w:pPr>
      <w:r>
        <w:rPr>
          <w:spacing w:val="17"/>
          <w:sz w:val="28"/>
        </w:rPr>
        <w:t>P</w:t>
      </w:r>
      <w:r>
        <w:rPr>
          <w:spacing w:val="17"/>
        </w:rPr>
        <w:t>ROCEDURES </w:t>
      </w:r>
      <w:r>
        <w:rPr>
          <w:spacing w:val="9"/>
        </w:rPr>
        <w:t>TO </w:t>
      </w:r>
      <w:r>
        <w:rPr>
          <w:spacing w:val="16"/>
        </w:rPr>
        <w:t>VERIFY </w:t>
      </w:r>
      <w:r>
        <w:rPr>
          <w:spacing w:val="15"/>
        </w:rPr>
        <w:t>FIELD </w:t>
      </w:r>
      <w:r>
        <w:rPr>
          <w:spacing w:val="14"/>
        </w:rPr>
        <w:t>DATA</w:t>
      </w:r>
      <w:r>
        <w:rPr>
          <w:spacing w:val="79"/>
        </w:rPr>
        <w:t> </w:t>
      </w:r>
      <w:r>
        <w:rPr>
          <w:spacing w:val="17"/>
        </w:rPr>
        <w:t>COLLECTION</w:t>
      </w:r>
    </w:p>
    <w:p>
      <w:pPr>
        <w:pStyle w:val="BodyText"/>
        <w:spacing w:before="208"/>
        <w:ind w:left="179"/>
      </w:pPr>
      <w:r>
        <w:rPr/>
        <w:t>To verify that plots have been installed and the measurements taken correctly, it is </w:t>
      </w:r>
      <w:r>
        <w:rPr>
          <w:i/>
        </w:rPr>
        <w:t>good practice</w:t>
      </w:r>
      <w:r>
        <w:rPr/>
        <w:t>:</w:t>
      </w:r>
    </w:p>
    <w:p>
      <w:pPr>
        <w:pStyle w:val="ListParagraph"/>
        <w:numPr>
          <w:ilvl w:val="0"/>
          <w:numId w:val="117"/>
        </w:numPr>
        <w:tabs>
          <w:tab w:pos="540" w:val="left" w:leader="none"/>
        </w:tabs>
        <w:spacing w:line="230" w:lineRule="auto" w:before="142" w:after="0"/>
        <w:ind w:left="539" w:right="1402" w:hanging="360"/>
        <w:jc w:val="both"/>
        <w:rPr>
          <w:sz w:val="20"/>
        </w:rPr>
      </w:pPr>
      <w:r>
        <w:rPr>
          <w:sz w:val="20"/>
        </w:rPr>
        <w:t>To re-measure independently every 8-10 plots, and to compare the measurements to check for errors; any errors found should be resolved, corrected and recorded. The re-measurement of permanent plots is to verify that measurement procedures were conducted</w:t>
      </w:r>
      <w:r>
        <w:rPr>
          <w:spacing w:val="2"/>
          <w:sz w:val="20"/>
        </w:rPr>
        <w:t> </w:t>
      </w:r>
      <w:r>
        <w:rPr>
          <w:sz w:val="20"/>
        </w:rPr>
        <w:t>properly.</w:t>
      </w:r>
    </w:p>
    <w:p>
      <w:pPr>
        <w:pStyle w:val="ListParagraph"/>
        <w:numPr>
          <w:ilvl w:val="0"/>
          <w:numId w:val="117"/>
        </w:numPr>
        <w:tabs>
          <w:tab w:pos="540" w:val="left" w:leader="none"/>
        </w:tabs>
        <w:spacing w:line="235" w:lineRule="auto" w:before="141" w:after="0"/>
        <w:ind w:left="539" w:right="1407" w:hanging="360"/>
        <w:jc w:val="both"/>
        <w:rPr>
          <w:sz w:val="20"/>
        </w:rPr>
      </w:pPr>
      <w:r>
        <w:rPr>
          <w:sz w:val="20"/>
        </w:rPr>
        <w:t>At the end of the field work, to check independently 10-20% of the plots. Field data collected at this stage will be compared with the original data. Any errors found should be corrected and recorded. Any errors discovered should be expressed as a percentage of all plots that have been rechecked to provide an estimate of the measurement error.</w:t>
      </w:r>
    </w:p>
    <w:p>
      <w:pPr>
        <w:pStyle w:val="BodyText"/>
        <w:rPr>
          <w:sz w:val="22"/>
        </w:rPr>
      </w:pPr>
    </w:p>
    <w:p>
      <w:pPr>
        <w:pStyle w:val="Heading6"/>
        <w:numPr>
          <w:ilvl w:val="3"/>
          <w:numId w:val="156"/>
        </w:numPr>
        <w:tabs>
          <w:tab w:pos="1619" w:val="left" w:leader="none"/>
          <w:tab w:pos="1620" w:val="left" w:leader="none"/>
        </w:tabs>
        <w:spacing w:line="240" w:lineRule="auto" w:before="145" w:after="0"/>
        <w:ind w:left="1619" w:right="0" w:hanging="1440"/>
        <w:jc w:val="left"/>
      </w:pPr>
      <w:r>
        <w:rPr>
          <w:spacing w:val="17"/>
          <w:sz w:val="28"/>
        </w:rPr>
        <w:t>P</w:t>
      </w:r>
      <w:r>
        <w:rPr>
          <w:spacing w:val="17"/>
        </w:rPr>
        <w:t>ROCEDURES </w:t>
      </w:r>
      <w:r>
        <w:rPr>
          <w:spacing w:val="9"/>
        </w:rPr>
        <w:t>TO </w:t>
      </w:r>
      <w:r>
        <w:rPr>
          <w:spacing w:val="16"/>
        </w:rPr>
        <w:t>VERIFY </w:t>
      </w:r>
      <w:r>
        <w:rPr>
          <w:spacing w:val="14"/>
        </w:rPr>
        <w:t>DATA </w:t>
      </w:r>
      <w:r>
        <w:rPr>
          <w:spacing w:val="15"/>
        </w:rPr>
        <w:t>ENTRY </w:t>
      </w:r>
      <w:r>
        <w:rPr>
          <w:spacing w:val="12"/>
        </w:rPr>
        <w:t>AND</w:t>
      </w:r>
      <w:r>
        <w:rPr>
          <w:spacing w:val="37"/>
        </w:rPr>
        <w:t> </w:t>
      </w:r>
      <w:r>
        <w:rPr>
          <w:spacing w:val="16"/>
        </w:rPr>
        <w:t>ANALYSIS</w:t>
      </w:r>
    </w:p>
    <w:p>
      <w:pPr>
        <w:pStyle w:val="BodyText"/>
        <w:spacing w:before="209"/>
        <w:ind w:left="179" w:right="1405"/>
        <w:jc w:val="both"/>
      </w:pPr>
      <w:r>
        <w:rPr/>
        <w:t>Reliable carbon estimates require proper entry of data into the data analyses spreadsheets. Possible errors in this process can be minimised if the entry of both field data and laboratory data are reviewed using expert judgement and, where necessary, comparison with independent data to ensure that the data are realistic. Communication</w:t>
      </w:r>
    </w:p>
    <w:p>
      <w:pPr>
        <w:spacing w:after="0"/>
        <w:jc w:val="both"/>
        <w:sectPr>
          <w:pgSz w:w="11900" w:h="16840"/>
          <w:pgMar w:header="233" w:footer="408" w:top="560" w:bottom="600" w:left="1240" w:right="0"/>
        </w:sectPr>
      </w:pPr>
    </w:p>
    <w:p>
      <w:pPr>
        <w:pStyle w:val="BodyText"/>
      </w:pPr>
    </w:p>
    <w:p>
      <w:pPr>
        <w:pStyle w:val="BodyText"/>
        <w:spacing w:before="2"/>
        <w:rPr>
          <w:sz w:val="18"/>
        </w:rPr>
      </w:pPr>
    </w:p>
    <w:p>
      <w:pPr>
        <w:pStyle w:val="BodyText"/>
        <w:ind w:left="179" w:right="1408"/>
        <w:jc w:val="both"/>
      </w:pPr>
      <w:r>
        <w:rPr/>
        <w:t>between all personnel involved in measuring and analysing data should be used to resolve any apparent anomalies before the final analysis of the monitoring data is completed. If there are any problems with the monitoring plot data that cannot be resolved, the plot should not be used in the analysis.</w:t>
      </w:r>
    </w:p>
    <w:p>
      <w:pPr>
        <w:pStyle w:val="BodyText"/>
        <w:rPr>
          <w:sz w:val="22"/>
        </w:rPr>
      </w:pPr>
    </w:p>
    <w:p>
      <w:pPr>
        <w:pStyle w:val="Heading6"/>
        <w:numPr>
          <w:ilvl w:val="3"/>
          <w:numId w:val="156"/>
        </w:numPr>
        <w:tabs>
          <w:tab w:pos="1620" w:val="left" w:leader="none"/>
        </w:tabs>
        <w:spacing w:line="240" w:lineRule="auto" w:before="149" w:after="0"/>
        <w:ind w:left="1619" w:right="0" w:hanging="1440"/>
        <w:jc w:val="both"/>
      </w:pPr>
      <w:r>
        <w:rPr>
          <w:spacing w:val="14"/>
          <w:sz w:val="28"/>
        </w:rPr>
        <w:t>D</w:t>
      </w:r>
      <w:r>
        <w:rPr>
          <w:spacing w:val="14"/>
        </w:rPr>
        <w:t>ATA </w:t>
      </w:r>
      <w:r>
        <w:rPr>
          <w:spacing w:val="17"/>
        </w:rPr>
        <w:t>MAINTENANCE </w:t>
      </w:r>
      <w:r>
        <w:rPr>
          <w:spacing w:val="12"/>
        </w:rPr>
        <w:t>AND</w:t>
      </w:r>
      <w:r>
        <w:rPr>
          <w:spacing w:val="17"/>
        </w:rPr>
        <w:t> </w:t>
      </w:r>
      <w:r>
        <w:rPr>
          <w:spacing w:val="16"/>
        </w:rPr>
        <w:t>STORAGE</w:t>
      </w:r>
    </w:p>
    <w:p>
      <w:pPr>
        <w:pStyle w:val="BodyText"/>
        <w:spacing w:before="209"/>
        <w:ind w:left="179" w:right="1405"/>
        <w:jc w:val="both"/>
      </w:pPr>
      <w:r>
        <w:rPr/>
        <w:t>Because of the relatively long-term nature of these projects, data archiving (maintenance and storage) will be an important component of the work (see also Section 5.5.6). Data archiving should take several forms and copies of all data should be provided to each project</w:t>
      </w:r>
      <w:r>
        <w:rPr>
          <w:spacing w:val="-4"/>
        </w:rPr>
        <w:t> </w:t>
      </w:r>
      <w:r>
        <w:rPr/>
        <w:t>participant.</w:t>
      </w:r>
    </w:p>
    <w:p>
      <w:pPr>
        <w:pStyle w:val="BodyText"/>
        <w:spacing w:before="118"/>
        <w:ind w:left="179" w:right="1403"/>
        <w:jc w:val="both"/>
      </w:pPr>
      <w:r>
        <w:rPr/>
        <w:t>Copies (electronic and/or paper) of all field data, data </w:t>
      </w:r>
      <w:r>
        <w:rPr>
          <w:spacing w:val="-2"/>
        </w:rPr>
        <w:t>analyses, and </w:t>
      </w:r>
      <w:r>
        <w:rPr/>
        <w:t>models; estimates of the changes in carbon </w:t>
      </w:r>
      <w:r>
        <w:rPr>
          <w:spacing w:val="-3"/>
        </w:rPr>
        <w:t>stocks </w:t>
      </w:r>
      <w:r>
        <w:rPr/>
        <w:t>and non-CO</w:t>
      </w:r>
      <w:r>
        <w:rPr>
          <w:vertAlign w:val="subscript"/>
        </w:rPr>
        <w:t>2</w:t>
      </w:r>
      <w:r>
        <w:rPr>
          <w:vertAlign w:val="baseline"/>
        </w:rPr>
        <w:t> greenhouse gases and corresponding calculations </w:t>
      </w:r>
      <w:r>
        <w:rPr>
          <w:spacing w:val="-2"/>
          <w:vertAlign w:val="baseline"/>
        </w:rPr>
        <w:t>and </w:t>
      </w:r>
      <w:r>
        <w:rPr>
          <w:spacing w:val="-3"/>
          <w:vertAlign w:val="baseline"/>
        </w:rPr>
        <w:t>models </w:t>
      </w:r>
      <w:r>
        <w:rPr>
          <w:vertAlign w:val="baseline"/>
        </w:rPr>
        <w:t>used; any GIS products; and copies</w:t>
      </w:r>
      <w:r>
        <w:rPr>
          <w:spacing w:val="-15"/>
          <w:vertAlign w:val="baseline"/>
        </w:rPr>
        <w:t> </w:t>
      </w:r>
      <w:r>
        <w:rPr>
          <w:vertAlign w:val="baseline"/>
        </w:rPr>
        <w:t>of</w:t>
      </w:r>
      <w:r>
        <w:rPr>
          <w:spacing w:val="-15"/>
          <w:vertAlign w:val="baseline"/>
        </w:rPr>
        <w:t> </w:t>
      </w:r>
      <w:r>
        <w:rPr>
          <w:vertAlign w:val="baseline"/>
        </w:rPr>
        <w:t>the</w:t>
      </w:r>
      <w:r>
        <w:rPr>
          <w:spacing w:val="-11"/>
          <w:vertAlign w:val="baseline"/>
        </w:rPr>
        <w:t> </w:t>
      </w:r>
      <w:r>
        <w:rPr>
          <w:vertAlign w:val="baseline"/>
        </w:rPr>
        <w:t>measuring</w:t>
      </w:r>
      <w:r>
        <w:rPr>
          <w:spacing w:val="-14"/>
          <w:vertAlign w:val="baseline"/>
        </w:rPr>
        <w:t> </w:t>
      </w:r>
      <w:r>
        <w:rPr>
          <w:vertAlign w:val="baseline"/>
        </w:rPr>
        <w:t>and</w:t>
      </w:r>
      <w:r>
        <w:rPr>
          <w:spacing w:val="-12"/>
          <w:vertAlign w:val="baseline"/>
        </w:rPr>
        <w:t> </w:t>
      </w:r>
      <w:r>
        <w:rPr>
          <w:vertAlign w:val="baseline"/>
        </w:rPr>
        <w:t>monitoring</w:t>
      </w:r>
      <w:r>
        <w:rPr>
          <w:spacing w:val="-14"/>
          <w:vertAlign w:val="baseline"/>
        </w:rPr>
        <w:t> </w:t>
      </w:r>
      <w:r>
        <w:rPr>
          <w:vertAlign w:val="baseline"/>
        </w:rPr>
        <w:t>reports</w:t>
      </w:r>
      <w:r>
        <w:rPr>
          <w:spacing w:val="-15"/>
          <w:vertAlign w:val="baseline"/>
        </w:rPr>
        <w:t> </w:t>
      </w:r>
      <w:r>
        <w:rPr>
          <w:vertAlign w:val="baseline"/>
        </w:rPr>
        <w:t>should</w:t>
      </w:r>
      <w:r>
        <w:rPr>
          <w:spacing w:val="-13"/>
          <w:vertAlign w:val="baseline"/>
        </w:rPr>
        <w:t> </w:t>
      </w:r>
      <w:r>
        <w:rPr>
          <w:vertAlign w:val="baseline"/>
        </w:rPr>
        <w:t>all</w:t>
      </w:r>
      <w:r>
        <w:rPr>
          <w:spacing w:val="-13"/>
          <w:vertAlign w:val="baseline"/>
        </w:rPr>
        <w:t> </w:t>
      </w:r>
      <w:r>
        <w:rPr>
          <w:vertAlign w:val="baseline"/>
        </w:rPr>
        <w:t>be</w:t>
      </w:r>
      <w:r>
        <w:rPr>
          <w:spacing w:val="-11"/>
          <w:vertAlign w:val="baseline"/>
        </w:rPr>
        <w:t> </w:t>
      </w:r>
      <w:r>
        <w:rPr>
          <w:spacing w:val="-3"/>
          <w:vertAlign w:val="baseline"/>
        </w:rPr>
        <w:t>stored</w:t>
      </w:r>
      <w:r>
        <w:rPr>
          <w:spacing w:val="-13"/>
          <w:vertAlign w:val="baseline"/>
        </w:rPr>
        <w:t> </w:t>
      </w:r>
      <w:r>
        <w:rPr>
          <w:vertAlign w:val="baseline"/>
        </w:rPr>
        <w:t>in</w:t>
      </w:r>
      <w:r>
        <w:rPr>
          <w:spacing w:val="-14"/>
          <w:vertAlign w:val="baseline"/>
        </w:rPr>
        <w:t> </w:t>
      </w:r>
      <w:r>
        <w:rPr>
          <w:vertAlign w:val="baseline"/>
        </w:rPr>
        <w:t>a</w:t>
      </w:r>
      <w:r>
        <w:rPr>
          <w:spacing w:val="-13"/>
          <w:vertAlign w:val="baseline"/>
        </w:rPr>
        <w:t> </w:t>
      </w:r>
      <w:r>
        <w:rPr>
          <w:vertAlign w:val="baseline"/>
        </w:rPr>
        <w:t>dedicated</w:t>
      </w:r>
      <w:r>
        <w:rPr>
          <w:spacing w:val="-13"/>
          <w:vertAlign w:val="baseline"/>
        </w:rPr>
        <w:t> </w:t>
      </w:r>
      <w:r>
        <w:rPr>
          <w:vertAlign w:val="baseline"/>
        </w:rPr>
        <w:t>and</w:t>
      </w:r>
      <w:r>
        <w:rPr>
          <w:spacing w:val="-13"/>
          <w:vertAlign w:val="baseline"/>
        </w:rPr>
        <w:t> </w:t>
      </w:r>
      <w:r>
        <w:rPr>
          <w:vertAlign w:val="baseline"/>
        </w:rPr>
        <w:t>safe</w:t>
      </w:r>
      <w:r>
        <w:rPr>
          <w:spacing w:val="-13"/>
          <w:vertAlign w:val="baseline"/>
        </w:rPr>
        <w:t> </w:t>
      </w:r>
      <w:r>
        <w:rPr>
          <w:vertAlign w:val="baseline"/>
        </w:rPr>
        <w:t>place,</w:t>
      </w:r>
      <w:r>
        <w:rPr>
          <w:spacing w:val="-13"/>
          <w:vertAlign w:val="baseline"/>
        </w:rPr>
        <w:t> </w:t>
      </w:r>
      <w:r>
        <w:rPr>
          <w:vertAlign w:val="baseline"/>
        </w:rPr>
        <w:t>preferably</w:t>
      </w:r>
      <w:r>
        <w:rPr>
          <w:spacing w:val="-14"/>
          <w:vertAlign w:val="baseline"/>
        </w:rPr>
        <w:t> </w:t>
      </w:r>
      <w:r>
        <w:rPr>
          <w:vertAlign w:val="baseline"/>
        </w:rPr>
        <w:t>offsite.</w:t>
      </w:r>
    </w:p>
    <w:p>
      <w:pPr>
        <w:pStyle w:val="BodyText"/>
        <w:spacing w:before="119"/>
        <w:ind w:left="179" w:right="1405" w:firstLine="50"/>
        <w:jc w:val="both"/>
      </w:pPr>
      <w:r>
        <w:rPr/>
        <w:t>Given the time frame over which the project will take place and the pace of production of updated versions of software and new hardware for storing data, it is recommended that the electronic copies of the data and report be updated periodically or converted to a format that could be accessed by any future software</w:t>
      </w:r>
      <w:r>
        <w:rPr>
          <w:spacing w:val="-24"/>
        </w:rPr>
        <w:t> </w:t>
      </w:r>
      <w:r>
        <w:rPr/>
        <w:t>application.</w:t>
      </w:r>
    </w:p>
    <w:p>
      <w:pPr>
        <w:spacing w:after="0"/>
        <w:jc w:val="both"/>
        <w:sectPr>
          <w:footerReference w:type="even" r:id="rId335"/>
          <w:footerReference w:type="default" r:id="rId336"/>
          <w:pgSz w:w="11900" w:h="16840"/>
          <w:pgMar w:footer="408" w:header="233" w:top="560" w:bottom="600" w:left="1240" w:right="0"/>
          <w:pgNumType w:start="112"/>
        </w:sectPr>
      </w:pPr>
    </w:p>
    <w:p>
      <w:pPr>
        <w:pStyle w:val="BodyText"/>
      </w:pPr>
    </w:p>
    <w:p>
      <w:pPr>
        <w:pStyle w:val="BodyText"/>
      </w:pPr>
    </w:p>
    <w:p>
      <w:pPr>
        <w:pStyle w:val="BodyText"/>
        <w:spacing w:before="3"/>
        <w:rPr>
          <w:sz w:val="17"/>
        </w:rPr>
      </w:pPr>
    </w:p>
    <w:p>
      <w:pPr>
        <w:pStyle w:val="Heading2"/>
        <w:tabs>
          <w:tab w:pos="1989" w:val="left" w:leader="none"/>
        </w:tabs>
        <w:spacing w:before="86"/>
        <w:ind w:left="1993" w:right="2147" w:hanging="1815"/>
      </w:pPr>
      <w:r>
        <w:rPr/>
        <w:t>Annex</w:t>
      </w:r>
      <w:r>
        <w:rPr>
          <w:spacing w:val="-3"/>
        </w:rPr>
        <w:t> </w:t>
      </w:r>
      <w:r>
        <w:rPr/>
        <w:t>4A.1</w:t>
        <w:tab/>
        <w:t>Tool for Estimation of Changes in Soil Carbon Stocks associated with Management Changes in Croplands and Grazing Lands based on IPCC Default Data</w:t>
      </w:r>
    </w:p>
    <w:p>
      <w:pPr>
        <w:pStyle w:val="BodyText"/>
        <w:rPr>
          <w:b/>
          <w:sz w:val="34"/>
        </w:rPr>
      </w:pPr>
    </w:p>
    <w:p>
      <w:pPr>
        <w:pStyle w:val="BodyText"/>
        <w:rPr>
          <w:b/>
          <w:sz w:val="34"/>
        </w:rPr>
      </w:pPr>
    </w:p>
    <w:p>
      <w:pPr>
        <w:pStyle w:val="BodyText"/>
        <w:spacing w:before="7"/>
        <w:rPr>
          <w:b/>
          <w:sz w:val="34"/>
        </w:rPr>
      </w:pPr>
    </w:p>
    <w:p>
      <w:pPr>
        <w:spacing w:before="0"/>
        <w:ind w:left="2809" w:right="0" w:firstLine="0"/>
        <w:jc w:val="left"/>
        <w:rPr>
          <w:b/>
          <w:sz w:val="32"/>
        </w:rPr>
      </w:pPr>
      <w:r>
        <w:rPr>
          <w:b/>
          <w:sz w:val="32"/>
        </w:rPr>
        <w:t>(see the attached CD-ROM)</w:t>
      </w:r>
    </w:p>
    <w:p>
      <w:pPr>
        <w:spacing w:after="0"/>
        <w:jc w:val="left"/>
        <w:rPr>
          <w:sz w:val="32"/>
        </w:rPr>
        <w:sectPr>
          <w:headerReference w:type="even" r:id="rId337"/>
          <w:headerReference w:type="default" r:id="rId338"/>
          <w:pgSz w:w="11900" w:h="16840"/>
          <w:pgMar w:header="230" w:footer="408" w:top="560" w:bottom="600" w:left="1240" w:right="0"/>
        </w:sectPr>
      </w:pPr>
    </w:p>
    <w:p>
      <w:pPr>
        <w:pStyle w:val="BodyText"/>
        <w:rPr>
          <w:b/>
        </w:rPr>
      </w:pPr>
    </w:p>
    <w:p>
      <w:pPr>
        <w:pStyle w:val="BodyText"/>
        <w:rPr>
          <w:b/>
        </w:rPr>
      </w:pPr>
    </w:p>
    <w:p>
      <w:pPr>
        <w:pStyle w:val="BodyText"/>
        <w:spacing w:before="3"/>
        <w:rPr>
          <w:b/>
          <w:sz w:val="17"/>
        </w:rPr>
      </w:pPr>
    </w:p>
    <w:p>
      <w:pPr>
        <w:tabs>
          <w:tab w:pos="2340" w:val="left" w:leader="none"/>
        </w:tabs>
        <w:spacing w:before="86"/>
        <w:ind w:left="2339" w:right="1688" w:hanging="2160"/>
        <w:jc w:val="left"/>
        <w:rPr>
          <w:b/>
          <w:sz w:val="32"/>
        </w:rPr>
      </w:pPr>
      <w:r>
        <w:rPr>
          <w:b/>
          <w:sz w:val="32"/>
        </w:rPr>
        <w:t>Annex</w:t>
      </w:r>
      <w:r>
        <w:rPr>
          <w:b/>
          <w:spacing w:val="-3"/>
          <w:sz w:val="32"/>
        </w:rPr>
        <w:t> </w:t>
      </w:r>
      <w:r>
        <w:rPr>
          <w:b/>
          <w:sz w:val="32"/>
        </w:rPr>
        <w:t>4A.2</w:t>
        <w:tab/>
        <w:tab/>
        <w:t>Examples of allometric equations for estimating aboveground biomass and belowground</w:t>
      </w:r>
      <w:r>
        <w:rPr>
          <w:b/>
          <w:spacing w:val="-18"/>
          <w:sz w:val="32"/>
        </w:rPr>
        <w:t> </w:t>
      </w:r>
      <w:r>
        <w:rPr>
          <w:b/>
          <w:sz w:val="32"/>
        </w:rPr>
        <w:t>biomass of</w:t>
      </w:r>
      <w:r>
        <w:rPr>
          <w:b/>
          <w:spacing w:val="-2"/>
          <w:sz w:val="32"/>
        </w:rPr>
        <w:t> </w:t>
      </w:r>
      <w:r>
        <w:rPr>
          <w:b/>
          <w:sz w:val="32"/>
        </w:rPr>
        <w:t>trees</w:t>
      </w:r>
    </w:p>
    <w:p>
      <w:pPr>
        <w:pStyle w:val="BodyText"/>
        <w:rPr>
          <w:b/>
        </w:rPr>
      </w:pPr>
    </w:p>
    <w:p>
      <w:pPr>
        <w:pStyle w:val="BodyText"/>
        <w:spacing w:before="3"/>
        <w:rPr>
          <w:b/>
          <w:sz w:val="26"/>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3"/>
        <w:gridCol w:w="2157"/>
        <w:gridCol w:w="1079"/>
        <w:gridCol w:w="1173"/>
      </w:tblGrid>
      <w:tr>
        <w:trPr>
          <w:trHeight w:val="738" w:hRule="atLeast"/>
        </w:trPr>
        <w:tc>
          <w:tcPr>
            <w:tcW w:w="9012" w:type="dxa"/>
            <w:gridSpan w:val="4"/>
            <w:tcBorders>
              <w:bottom w:val="double" w:sz="1" w:space="0" w:color="000000"/>
            </w:tcBorders>
          </w:tcPr>
          <w:p>
            <w:pPr>
              <w:pStyle w:val="TableParagraph"/>
              <w:spacing w:line="207" w:lineRule="exact" w:before="59"/>
              <w:ind w:left="1300" w:right="1292"/>
              <w:jc w:val="center"/>
              <w:rPr>
                <w:b/>
                <w:sz w:val="18"/>
              </w:rPr>
            </w:pPr>
            <w:r>
              <w:rPr>
                <w:b/>
                <w:sz w:val="18"/>
              </w:rPr>
              <w:t>T</w:t>
            </w:r>
            <w:r>
              <w:rPr>
                <w:b/>
                <w:sz w:val="14"/>
              </w:rPr>
              <w:t>ABLE </w:t>
            </w:r>
            <w:r>
              <w:rPr>
                <w:b/>
                <w:sz w:val="18"/>
              </w:rPr>
              <w:t>4.A.1</w:t>
            </w:r>
          </w:p>
          <w:p>
            <w:pPr>
              <w:pStyle w:val="TableParagraph"/>
              <w:spacing w:line="283" w:lineRule="auto"/>
              <w:ind w:left="950" w:right="936"/>
              <w:jc w:val="center"/>
              <w:rPr>
                <w:b/>
                <w:sz w:val="14"/>
              </w:rPr>
            </w:pPr>
            <w:r>
              <w:rPr>
                <w:b/>
                <w:sz w:val="18"/>
              </w:rPr>
              <w:t>A</w:t>
            </w:r>
            <w:r>
              <w:rPr>
                <w:b/>
                <w:sz w:val="14"/>
              </w:rPr>
              <w:t>LLOMETRIC EQUATIONS FOR ESTIMATING ABOVEGROUND BIOMASS </w:t>
            </w:r>
            <w:r>
              <w:rPr>
                <w:b/>
                <w:sz w:val="18"/>
              </w:rPr>
              <w:t>(K</w:t>
            </w:r>
            <w:r>
              <w:rPr>
                <w:b/>
                <w:sz w:val="14"/>
              </w:rPr>
              <w:t>G DRY MATTER PER TREE</w:t>
            </w:r>
            <w:r>
              <w:rPr>
                <w:b/>
                <w:sz w:val="18"/>
              </w:rPr>
              <w:t>) </w:t>
            </w:r>
            <w:r>
              <w:rPr>
                <w:b/>
                <w:sz w:val="14"/>
              </w:rPr>
              <w:t>OF TROPICAL AND TEMPERATE HARDWOOD AND PINE SPECIES</w:t>
            </w:r>
          </w:p>
        </w:tc>
      </w:tr>
      <w:tr>
        <w:trPr>
          <w:trHeight w:val="481" w:hRule="atLeast"/>
        </w:trPr>
        <w:tc>
          <w:tcPr>
            <w:tcW w:w="4603" w:type="dxa"/>
            <w:tcBorders>
              <w:top w:val="double" w:sz="1" w:space="0" w:color="000000"/>
            </w:tcBorders>
          </w:tcPr>
          <w:p>
            <w:pPr>
              <w:pStyle w:val="TableParagraph"/>
              <w:spacing w:before="138"/>
              <w:ind w:left="1925" w:right="1917"/>
              <w:jc w:val="center"/>
              <w:rPr>
                <w:b/>
                <w:sz w:val="18"/>
              </w:rPr>
            </w:pPr>
            <w:r>
              <w:rPr>
                <w:b/>
                <w:sz w:val="18"/>
              </w:rPr>
              <w:t>Equation</w:t>
            </w:r>
          </w:p>
        </w:tc>
        <w:tc>
          <w:tcPr>
            <w:tcW w:w="2157" w:type="dxa"/>
            <w:tcBorders>
              <w:top w:val="double" w:sz="1" w:space="0" w:color="000000"/>
            </w:tcBorders>
          </w:tcPr>
          <w:p>
            <w:pPr>
              <w:pStyle w:val="TableParagraph"/>
              <w:spacing w:before="138"/>
              <w:ind w:left="615"/>
              <w:rPr>
                <w:b/>
                <w:sz w:val="18"/>
              </w:rPr>
            </w:pPr>
            <w:r>
              <w:rPr>
                <w:b/>
                <w:sz w:val="18"/>
              </w:rPr>
              <w:t>Forest type</w:t>
            </w:r>
            <w:r>
              <w:rPr>
                <w:b/>
                <w:sz w:val="18"/>
                <w:vertAlign w:val="superscript"/>
              </w:rPr>
              <w:t>a</w:t>
            </w:r>
          </w:p>
        </w:tc>
        <w:tc>
          <w:tcPr>
            <w:tcW w:w="1079" w:type="dxa"/>
            <w:tcBorders>
              <w:top w:val="double" w:sz="1" w:space="0" w:color="000000"/>
            </w:tcBorders>
          </w:tcPr>
          <w:p>
            <w:pPr>
              <w:pStyle w:val="TableParagraph"/>
              <w:spacing w:before="35"/>
              <w:ind w:left="401" w:right="119" w:hanging="250"/>
              <w:rPr>
                <w:b/>
                <w:sz w:val="18"/>
              </w:rPr>
            </w:pPr>
            <w:r>
              <w:rPr>
                <w:b/>
                <w:sz w:val="18"/>
              </w:rPr>
              <w:t>R</w:t>
            </w:r>
            <w:r>
              <w:rPr>
                <w:b/>
                <w:sz w:val="18"/>
                <w:vertAlign w:val="superscript"/>
              </w:rPr>
              <w:t>2</w:t>
            </w:r>
            <w:r>
              <w:rPr>
                <w:b/>
                <w:sz w:val="18"/>
                <w:vertAlign w:val="baseline"/>
              </w:rPr>
              <w:t>/sample size</w:t>
            </w:r>
          </w:p>
        </w:tc>
        <w:tc>
          <w:tcPr>
            <w:tcW w:w="1173" w:type="dxa"/>
            <w:tcBorders>
              <w:top w:val="double" w:sz="1" w:space="0" w:color="000000"/>
            </w:tcBorders>
          </w:tcPr>
          <w:p>
            <w:pPr>
              <w:pStyle w:val="TableParagraph"/>
              <w:spacing w:before="35"/>
              <w:ind w:left="414" w:right="118" w:hanging="264"/>
              <w:rPr>
                <w:b/>
                <w:sz w:val="18"/>
              </w:rPr>
            </w:pPr>
            <w:r>
              <w:rPr>
                <w:b/>
                <w:sz w:val="18"/>
              </w:rPr>
              <w:t>DBH range (cm)</w:t>
            </w:r>
          </w:p>
        </w:tc>
      </w:tr>
      <w:tr>
        <w:trPr>
          <w:trHeight w:val="330" w:hRule="atLeast"/>
        </w:trPr>
        <w:tc>
          <w:tcPr>
            <w:tcW w:w="4603" w:type="dxa"/>
          </w:tcPr>
          <w:p>
            <w:pPr>
              <w:pStyle w:val="TableParagraph"/>
              <w:spacing w:before="57"/>
              <w:ind w:left="107"/>
              <w:rPr>
                <w:sz w:val="18"/>
              </w:rPr>
            </w:pPr>
            <w:r>
              <w:rPr>
                <w:sz w:val="18"/>
              </w:rPr>
              <w:t>Y = exp[–2.289 + 2.649 • ln (DBH) – 0.021 • (ln(DBH))</w:t>
            </w:r>
            <w:r>
              <w:rPr>
                <w:sz w:val="18"/>
                <w:vertAlign w:val="superscript"/>
              </w:rPr>
              <w:t>2</w:t>
            </w:r>
            <w:r>
              <w:rPr>
                <w:sz w:val="18"/>
                <w:vertAlign w:val="baseline"/>
              </w:rPr>
              <w:t>]</w:t>
            </w:r>
          </w:p>
        </w:tc>
        <w:tc>
          <w:tcPr>
            <w:tcW w:w="2157" w:type="dxa"/>
          </w:tcPr>
          <w:p>
            <w:pPr>
              <w:pStyle w:val="TableParagraph"/>
              <w:spacing w:before="57"/>
              <w:ind w:left="107"/>
              <w:rPr>
                <w:sz w:val="18"/>
              </w:rPr>
            </w:pPr>
            <w:r>
              <w:rPr>
                <w:sz w:val="18"/>
              </w:rPr>
              <w:t>Tropical moist hardwoods</w:t>
            </w:r>
          </w:p>
        </w:tc>
        <w:tc>
          <w:tcPr>
            <w:tcW w:w="1079" w:type="dxa"/>
          </w:tcPr>
          <w:p>
            <w:pPr>
              <w:pStyle w:val="TableParagraph"/>
              <w:spacing w:before="57"/>
              <w:ind w:left="221"/>
              <w:rPr>
                <w:sz w:val="18"/>
              </w:rPr>
            </w:pPr>
            <w:r>
              <w:rPr>
                <w:sz w:val="18"/>
              </w:rPr>
              <w:t>0.98/226</w:t>
            </w:r>
          </w:p>
        </w:tc>
        <w:tc>
          <w:tcPr>
            <w:tcW w:w="1173" w:type="dxa"/>
          </w:tcPr>
          <w:p>
            <w:pPr>
              <w:pStyle w:val="TableParagraph"/>
              <w:spacing w:before="57"/>
              <w:ind w:left="168" w:right="155"/>
              <w:jc w:val="center"/>
              <w:rPr>
                <w:sz w:val="18"/>
              </w:rPr>
            </w:pPr>
            <w:r>
              <w:rPr>
                <w:sz w:val="18"/>
              </w:rPr>
              <w:t>5 - 148</w:t>
            </w:r>
          </w:p>
        </w:tc>
      </w:tr>
      <w:tr>
        <w:trPr>
          <w:trHeight w:val="328" w:hRule="atLeast"/>
        </w:trPr>
        <w:tc>
          <w:tcPr>
            <w:tcW w:w="4603" w:type="dxa"/>
          </w:tcPr>
          <w:p>
            <w:pPr>
              <w:pStyle w:val="TableParagraph"/>
              <w:spacing w:before="57"/>
              <w:ind w:left="107"/>
              <w:rPr>
                <w:sz w:val="18"/>
              </w:rPr>
            </w:pPr>
            <w:r>
              <w:rPr>
                <w:sz w:val="18"/>
              </w:rPr>
              <w:t>Y = 21.297 – 6.953 • (DBH) + 0.740 • (DBH)</w:t>
            </w:r>
            <w:r>
              <w:rPr>
                <w:sz w:val="18"/>
                <w:vertAlign w:val="superscript"/>
              </w:rPr>
              <w:t>2</w:t>
            </w:r>
          </w:p>
        </w:tc>
        <w:tc>
          <w:tcPr>
            <w:tcW w:w="2157" w:type="dxa"/>
          </w:tcPr>
          <w:p>
            <w:pPr>
              <w:pStyle w:val="TableParagraph"/>
              <w:spacing w:before="57"/>
              <w:ind w:left="107"/>
              <w:rPr>
                <w:sz w:val="18"/>
              </w:rPr>
            </w:pPr>
            <w:r>
              <w:rPr>
                <w:sz w:val="18"/>
              </w:rPr>
              <w:t>Tropical wet hardwoods</w:t>
            </w:r>
          </w:p>
        </w:tc>
        <w:tc>
          <w:tcPr>
            <w:tcW w:w="1079" w:type="dxa"/>
          </w:tcPr>
          <w:p>
            <w:pPr>
              <w:pStyle w:val="TableParagraph"/>
              <w:spacing w:before="57"/>
              <w:ind w:left="221"/>
              <w:rPr>
                <w:sz w:val="18"/>
              </w:rPr>
            </w:pPr>
            <w:r>
              <w:rPr>
                <w:sz w:val="18"/>
              </w:rPr>
              <w:t>0.92/176</w:t>
            </w:r>
          </w:p>
        </w:tc>
        <w:tc>
          <w:tcPr>
            <w:tcW w:w="1173" w:type="dxa"/>
          </w:tcPr>
          <w:p>
            <w:pPr>
              <w:pStyle w:val="TableParagraph"/>
              <w:spacing w:before="57"/>
              <w:ind w:left="168" w:right="155"/>
              <w:jc w:val="center"/>
              <w:rPr>
                <w:sz w:val="18"/>
              </w:rPr>
            </w:pPr>
            <w:r>
              <w:rPr>
                <w:sz w:val="18"/>
              </w:rPr>
              <w:t>4 - 112</w:t>
            </w:r>
          </w:p>
        </w:tc>
      </w:tr>
      <w:tr>
        <w:trPr>
          <w:trHeight w:val="330" w:hRule="atLeast"/>
        </w:trPr>
        <w:tc>
          <w:tcPr>
            <w:tcW w:w="4603" w:type="dxa"/>
          </w:tcPr>
          <w:p>
            <w:pPr>
              <w:pStyle w:val="TableParagraph"/>
              <w:spacing w:before="57"/>
              <w:ind w:left="107"/>
              <w:rPr>
                <w:sz w:val="18"/>
              </w:rPr>
            </w:pPr>
            <w:r>
              <w:rPr>
                <w:sz w:val="18"/>
              </w:rPr>
              <w:t>Y = 0.887 + [(10486 • (DBH)</w:t>
            </w:r>
            <w:r>
              <w:rPr>
                <w:sz w:val="18"/>
                <w:vertAlign w:val="superscript"/>
              </w:rPr>
              <w:t>2.84</w:t>
            </w:r>
            <w:r>
              <w:rPr>
                <w:sz w:val="18"/>
                <w:vertAlign w:val="baseline"/>
              </w:rPr>
              <w:t>) / ((DBH</w:t>
            </w:r>
            <w:r>
              <w:rPr>
                <w:sz w:val="18"/>
                <w:vertAlign w:val="superscript"/>
              </w:rPr>
              <w:t>2.84</w:t>
            </w:r>
            <w:r>
              <w:rPr>
                <w:sz w:val="18"/>
                <w:vertAlign w:val="baseline"/>
              </w:rPr>
              <w:t>) + 376907)]</w:t>
            </w:r>
          </w:p>
        </w:tc>
        <w:tc>
          <w:tcPr>
            <w:tcW w:w="2157" w:type="dxa"/>
          </w:tcPr>
          <w:p>
            <w:pPr>
              <w:pStyle w:val="TableParagraph"/>
              <w:spacing w:before="57"/>
              <w:ind w:left="107"/>
              <w:rPr>
                <w:sz w:val="18"/>
              </w:rPr>
            </w:pPr>
            <w:r>
              <w:rPr>
                <w:sz w:val="18"/>
              </w:rPr>
              <w:t>Temperate/tropical pines</w:t>
            </w:r>
          </w:p>
        </w:tc>
        <w:tc>
          <w:tcPr>
            <w:tcW w:w="1079" w:type="dxa"/>
          </w:tcPr>
          <w:p>
            <w:pPr>
              <w:pStyle w:val="TableParagraph"/>
              <w:spacing w:before="57"/>
              <w:ind w:left="222"/>
              <w:rPr>
                <w:sz w:val="18"/>
              </w:rPr>
            </w:pPr>
            <w:r>
              <w:rPr>
                <w:sz w:val="18"/>
              </w:rPr>
              <w:t>0.98/137</w:t>
            </w:r>
          </w:p>
        </w:tc>
        <w:tc>
          <w:tcPr>
            <w:tcW w:w="1173" w:type="dxa"/>
          </w:tcPr>
          <w:p>
            <w:pPr>
              <w:pStyle w:val="TableParagraph"/>
              <w:spacing w:before="57"/>
              <w:ind w:left="166" w:right="155"/>
              <w:jc w:val="center"/>
              <w:rPr>
                <w:sz w:val="18"/>
              </w:rPr>
            </w:pPr>
            <w:r>
              <w:rPr>
                <w:sz w:val="18"/>
              </w:rPr>
              <w:t>0.6 - 56</w:t>
            </w:r>
          </w:p>
        </w:tc>
      </w:tr>
      <w:tr>
        <w:trPr>
          <w:trHeight w:val="498" w:hRule="atLeast"/>
        </w:trPr>
        <w:tc>
          <w:tcPr>
            <w:tcW w:w="4603" w:type="dxa"/>
          </w:tcPr>
          <w:p>
            <w:pPr>
              <w:pStyle w:val="TableParagraph"/>
              <w:spacing w:before="141"/>
              <w:ind w:left="107"/>
              <w:rPr>
                <w:sz w:val="18"/>
              </w:rPr>
            </w:pPr>
            <w:r>
              <w:rPr>
                <w:sz w:val="18"/>
              </w:rPr>
              <w:t>Y = 0.5 + [(25000 • (DBH)</w:t>
            </w:r>
            <w:r>
              <w:rPr>
                <w:sz w:val="18"/>
                <w:vertAlign w:val="superscript"/>
              </w:rPr>
              <w:t>2.5</w:t>
            </w:r>
            <w:r>
              <w:rPr>
                <w:sz w:val="18"/>
                <w:vertAlign w:val="baseline"/>
              </w:rPr>
              <w:t>) / ((DBH</w:t>
            </w:r>
            <w:r>
              <w:rPr>
                <w:sz w:val="18"/>
                <w:vertAlign w:val="superscript"/>
              </w:rPr>
              <w:t>2.5</w:t>
            </w:r>
            <w:r>
              <w:rPr>
                <w:sz w:val="18"/>
                <w:vertAlign w:val="baseline"/>
              </w:rPr>
              <w:t>) + 246872)]</w:t>
            </w:r>
          </w:p>
        </w:tc>
        <w:tc>
          <w:tcPr>
            <w:tcW w:w="2157" w:type="dxa"/>
          </w:tcPr>
          <w:p>
            <w:pPr>
              <w:pStyle w:val="TableParagraph"/>
              <w:spacing w:before="38"/>
              <w:ind w:left="107" w:right="420"/>
              <w:rPr>
                <w:sz w:val="18"/>
              </w:rPr>
            </w:pPr>
            <w:r>
              <w:rPr>
                <w:sz w:val="18"/>
              </w:rPr>
              <w:t>Temperate US eastern hardwoods</w:t>
            </w:r>
          </w:p>
        </w:tc>
        <w:tc>
          <w:tcPr>
            <w:tcW w:w="1079" w:type="dxa"/>
          </w:tcPr>
          <w:p>
            <w:pPr>
              <w:pStyle w:val="TableParagraph"/>
              <w:spacing w:before="141"/>
              <w:ind w:left="221"/>
              <w:rPr>
                <w:sz w:val="18"/>
              </w:rPr>
            </w:pPr>
            <w:r>
              <w:rPr>
                <w:sz w:val="18"/>
              </w:rPr>
              <w:t>0.99/454</w:t>
            </w:r>
          </w:p>
        </w:tc>
        <w:tc>
          <w:tcPr>
            <w:tcW w:w="1173" w:type="dxa"/>
          </w:tcPr>
          <w:p>
            <w:pPr>
              <w:pStyle w:val="TableParagraph"/>
              <w:spacing w:before="141"/>
              <w:ind w:left="165" w:right="155"/>
              <w:jc w:val="center"/>
              <w:rPr>
                <w:sz w:val="18"/>
              </w:rPr>
            </w:pPr>
            <w:r>
              <w:rPr>
                <w:sz w:val="18"/>
              </w:rPr>
              <w:t>1.3 - 83.2</w:t>
            </w:r>
          </w:p>
        </w:tc>
      </w:tr>
      <w:tr>
        <w:trPr>
          <w:trHeight w:val="2438" w:hRule="atLeast"/>
        </w:trPr>
        <w:tc>
          <w:tcPr>
            <w:tcW w:w="9012" w:type="dxa"/>
            <w:gridSpan w:val="4"/>
          </w:tcPr>
          <w:p>
            <w:pPr>
              <w:pStyle w:val="TableParagraph"/>
              <w:spacing w:before="160"/>
              <w:ind w:left="107"/>
              <w:rPr>
                <w:sz w:val="18"/>
              </w:rPr>
            </w:pPr>
            <w:r>
              <w:rPr>
                <w:sz w:val="18"/>
              </w:rPr>
              <w:t>Where</w:t>
            </w:r>
          </w:p>
          <w:p>
            <w:pPr>
              <w:pStyle w:val="TableParagraph"/>
              <w:spacing w:before="62"/>
              <w:ind w:left="470" w:right="5705" w:hanging="1"/>
              <w:rPr>
                <w:sz w:val="18"/>
              </w:rPr>
            </w:pPr>
            <w:r>
              <w:rPr>
                <w:sz w:val="18"/>
              </w:rPr>
              <w:t>Y= aboveground dry matter, kg (tree)</w:t>
            </w:r>
            <w:r>
              <w:rPr>
                <w:sz w:val="18"/>
                <w:vertAlign w:val="superscript"/>
              </w:rPr>
              <w:t>-1</w:t>
            </w:r>
            <w:r>
              <w:rPr>
                <w:sz w:val="18"/>
                <w:vertAlign w:val="baseline"/>
              </w:rPr>
              <w:t> DBH =diameter at breast height, cm</w:t>
            </w:r>
          </w:p>
          <w:p>
            <w:pPr>
              <w:pStyle w:val="TableParagraph"/>
              <w:spacing w:line="206" w:lineRule="exact"/>
              <w:ind w:left="470"/>
              <w:rPr>
                <w:sz w:val="18"/>
              </w:rPr>
            </w:pPr>
            <w:r>
              <w:rPr>
                <w:sz w:val="18"/>
              </w:rPr>
              <w:t>ln = natural logarithm</w:t>
            </w:r>
          </w:p>
          <w:p>
            <w:pPr>
              <w:pStyle w:val="TableParagraph"/>
              <w:spacing w:line="207" w:lineRule="exact"/>
              <w:ind w:left="470"/>
              <w:rPr>
                <w:sz w:val="18"/>
              </w:rPr>
            </w:pPr>
            <w:r>
              <w:rPr>
                <w:sz w:val="18"/>
              </w:rPr>
              <w:t>exp = “e raised to the power of”</w:t>
            </w:r>
          </w:p>
          <w:p>
            <w:pPr>
              <w:pStyle w:val="TableParagraph"/>
              <w:spacing w:before="14"/>
              <w:ind w:left="220" w:right="92" w:hanging="113"/>
              <w:rPr>
                <w:sz w:val="20"/>
              </w:rPr>
            </w:pPr>
            <w:r>
              <w:rPr>
                <w:position w:val="9"/>
                <w:sz w:val="13"/>
              </w:rPr>
              <w:t>a </w:t>
            </w:r>
            <w:r>
              <w:rPr>
                <w:sz w:val="20"/>
              </w:rPr>
              <w:t>Tropical moist generally represent areas with rainfall of between 2000 to 4000 mm/year in the lowlands; tropical wet is suited for areas with rainfall greater than 4000 mm/year in the lowlands (see Brown, 1997 for further discussion).</w:t>
            </w:r>
          </w:p>
          <w:p>
            <w:pPr>
              <w:pStyle w:val="TableParagraph"/>
              <w:spacing w:before="101"/>
              <w:ind w:left="107"/>
              <w:rPr>
                <w:sz w:val="16"/>
              </w:rPr>
            </w:pPr>
            <w:r>
              <w:rPr>
                <w:sz w:val="16"/>
              </w:rPr>
              <w:t>Sources: Updated from Brown, 1997; Brown and Schroeder, 1999; Schroeder </w:t>
            </w:r>
            <w:r>
              <w:rPr>
                <w:i/>
                <w:sz w:val="16"/>
              </w:rPr>
              <w:t>et al.</w:t>
            </w:r>
            <w:r>
              <w:rPr>
                <w:sz w:val="16"/>
              </w:rPr>
              <w:t>, 1997</w:t>
            </w:r>
          </w:p>
        </w:tc>
      </w:tr>
    </w:tbl>
    <w:p>
      <w:pPr>
        <w:pStyle w:val="BodyText"/>
        <w:rPr>
          <w:b/>
        </w:rPr>
      </w:pPr>
    </w:p>
    <w:p>
      <w:pPr>
        <w:pStyle w:val="BodyText"/>
        <w:rPr>
          <w:b/>
        </w:rPr>
      </w:pPr>
    </w:p>
    <w:p>
      <w:pPr>
        <w:pStyle w:val="BodyText"/>
        <w:spacing w:before="8"/>
        <w:rPr>
          <w:b/>
          <w:sz w:val="15"/>
        </w:rPr>
      </w:pPr>
    </w:p>
    <w:tbl>
      <w:tblPr>
        <w:tblW w:w="0" w:type="auto"/>
        <w:jc w:val="left"/>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23"/>
        <w:gridCol w:w="3057"/>
        <w:gridCol w:w="1079"/>
        <w:gridCol w:w="1353"/>
      </w:tblGrid>
      <w:tr>
        <w:trPr>
          <w:trHeight w:val="947" w:hRule="atLeast"/>
        </w:trPr>
        <w:tc>
          <w:tcPr>
            <w:tcW w:w="9012" w:type="dxa"/>
            <w:gridSpan w:val="4"/>
            <w:tcBorders>
              <w:bottom w:val="double" w:sz="1" w:space="0" w:color="000000"/>
            </w:tcBorders>
          </w:tcPr>
          <w:p>
            <w:pPr>
              <w:pStyle w:val="TableParagraph"/>
              <w:spacing w:line="207" w:lineRule="exact" w:before="59"/>
              <w:ind w:left="1300" w:right="1292"/>
              <w:jc w:val="center"/>
              <w:rPr>
                <w:b/>
                <w:sz w:val="18"/>
              </w:rPr>
            </w:pPr>
            <w:r>
              <w:rPr>
                <w:b/>
                <w:sz w:val="18"/>
              </w:rPr>
              <w:t>T</w:t>
            </w:r>
            <w:r>
              <w:rPr>
                <w:b/>
                <w:sz w:val="14"/>
              </w:rPr>
              <w:t>ABLE </w:t>
            </w:r>
            <w:r>
              <w:rPr>
                <w:b/>
                <w:sz w:val="18"/>
              </w:rPr>
              <w:t>4.A.2</w:t>
            </w:r>
          </w:p>
          <w:p>
            <w:pPr>
              <w:pStyle w:val="TableParagraph"/>
              <w:spacing w:line="261" w:lineRule="auto"/>
              <w:ind w:left="335" w:right="324" w:firstLine="2"/>
              <w:jc w:val="center"/>
              <w:rPr>
                <w:b/>
                <w:sz w:val="14"/>
              </w:rPr>
            </w:pPr>
            <w:r>
              <w:rPr>
                <w:b/>
                <w:sz w:val="18"/>
              </w:rPr>
              <w:t>A</w:t>
            </w:r>
            <w:r>
              <w:rPr>
                <w:b/>
                <w:sz w:val="14"/>
              </w:rPr>
              <w:t>LLOMETRIC EQUATIONS FOR ESTIMATING ABOVEGROUND BIOMASS OF PALM TREES </w:t>
            </w:r>
            <w:r>
              <w:rPr>
                <w:b/>
                <w:sz w:val="18"/>
              </w:rPr>
              <w:t>(</w:t>
            </w:r>
            <w:r>
              <w:rPr>
                <w:b/>
                <w:sz w:val="14"/>
              </w:rPr>
              <w:t>KG DRY MATTER PER TREE</w:t>
            </w:r>
            <w:r>
              <w:rPr>
                <w:b/>
                <w:sz w:val="18"/>
              </w:rPr>
              <w:t>) </w:t>
            </w:r>
            <w:r>
              <w:rPr>
                <w:b/>
                <w:sz w:val="14"/>
              </w:rPr>
              <w:t>COMMON</w:t>
            </w:r>
            <w:r>
              <w:rPr>
                <w:b/>
                <w:spacing w:val="-4"/>
                <w:sz w:val="14"/>
              </w:rPr>
              <w:t> </w:t>
            </w:r>
            <w:r>
              <w:rPr>
                <w:b/>
                <w:sz w:val="14"/>
              </w:rPr>
              <w:t>IN</w:t>
            </w:r>
            <w:r>
              <w:rPr>
                <w:b/>
                <w:spacing w:val="-1"/>
                <w:sz w:val="14"/>
              </w:rPr>
              <w:t> </w:t>
            </w:r>
            <w:r>
              <w:rPr>
                <w:b/>
                <w:sz w:val="14"/>
              </w:rPr>
              <w:t>TROPICAL</w:t>
            </w:r>
            <w:r>
              <w:rPr>
                <w:b/>
                <w:spacing w:val="-2"/>
                <w:sz w:val="14"/>
              </w:rPr>
              <w:t> </w:t>
            </w:r>
            <w:r>
              <w:rPr>
                <w:b/>
                <w:sz w:val="14"/>
              </w:rPr>
              <w:t>HUMID</w:t>
            </w:r>
            <w:r>
              <w:rPr>
                <w:b/>
                <w:spacing w:val="-3"/>
                <w:sz w:val="14"/>
              </w:rPr>
              <w:t> </w:t>
            </w:r>
            <w:r>
              <w:rPr>
                <w:b/>
                <w:sz w:val="14"/>
              </w:rPr>
              <w:t>FORESTS</w:t>
            </w:r>
            <w:r>
              <w:rPr>
                <w:b/>
                <w:spacing w:val="-3"/>
                <w:sz w:val="14"/>
              </w:rPr>
              <w:t> </w:t>
            </w:r>
            <w:r>
              <w:rPr>
                <w:b/>
                <w:sz w:val="14"/>
              </w:rPr>
              <w:t>OF LATIN </w:t>
            </w:r>
            <w:r>
              <w:rPr>
                <w:b/>
                <w:sz w:val="18"/>
              </w:rPr>
              <w:t>A</w:t>
            </w:r>
            <w:r>
              <w:rPr>
                <w:b/>
                <w:sz w:val="14"/>
              </w:rPr>
              <w:t>MERICA</w:t>
            </w:r>
            <w:r>
              <w:rPr>
                <w:b/>
                <w:sz w:val="18"/>
              </w:rPr>
              <w:t>.</w:t>
            </w:r>
            <w:r>
              <w:rPr>
                <w:b/>
                <w:spacing w:val="-11"/>
                <w:sz w:val="18"/>
              </w:rPr>
              <w:t> </w:t>
            </w:r>
            <w:r>
              <w:rPr>
                <w:b/>
                <w:sz w:val="18"/>
              </w:rPr>
              <w:t>T</w:t>
            </w:r>
            <w:r>
              <w:rPr>
                <w:b/>
                <w:sz w:val="14"/>
              </w:rPr>
              <w:t>HE</w:t>
            </w:r>
            <w:r>
              <w:rPr>
                <w:b/>
                <w:spacing w:val="-1"/>
                <w:sz w:val="14"/>
              </w:rPr>
              <w:t> </w:t>
            </w:r>
            <w:r>
              <w:rPr>
                <w:b/>
                <w:sz w:val="14"/>
              </w:rPr>
              <w:t>NUMBER</w:t>
            </w:r>
            <w:r>
              <w:rPr>
                <w:b/>
                <w:spacing w:val="-1"/>
                <w:sz w:val="14"/>
              </w:rPr>
              <w:t> </w:t>
            </w:r>
            <w:r>
              <w:rPr>
                <w:b/>
                <w:sz w:val="14"/>
              </w:rPr>
              <w:t>OF</w:t>
            </w:r>
            <w:r>
              <w:rPr>
                <w:b/>
                <w:spacing w:val="-2"/>
                <w:sz w:val="14"/>
              </w:rPr>
              <w:t> </w:t>
            </w:r>
            <w:r>
              <w:rPr>
                <w:b/>
                <w:sz w:val="14"/>
              </w:rPr>
              <w:t>HARVESTED</w:t>
            </w:r>
            <w:r>
              <w:rPr>
                <w:b/>
                <w:spacing w:val="-1"/>
                <w:sz w:val="14"/>
              </w:rPr>
              <w:t> </w:t>
            </w:r>
            <w:r>
              <w:rPr>
                <w:b/>
                <w:sz w:val="14"/>
              </w:rPr>
              <w:t>TREES</w:t>
            </w:r>
            <w:r>
              <w:rPr>
                <w:b/>
                <w:spacing w:val="-2"/>
                <w:sz w:val="14"/>
              </w:rPr>
              <w:t> </w:t>
            </w:r>
            <w:r>
              <w:rPr>
                <w:b/>
                <w:sz w:val="14"/>
              </w:rPr>
              <w:t>WAS</w:t>
            </w:r>
            <w:r>
              <w:rPr>
                <w:b/>
                <w:spacing w:val="-2"/>
                <w:sz w:val="14"/>
              </w:rPr>
              <w:t> </w:t>
            </w:r>
            <w:r>
              <w:rPr>
                <w:b/>
                <w:sz w:val="18"/>
              </w:rPr>
              <w:t>15</w:t>
            </w:r>
            <w:r>
              <w:rPr>
                <w:b/>
                <w:spacing w:val="-13"/>
                <w:sz w:val="18"/>
              </w:rPr>
              <w:t> </w:t>
            </w:r>
            <w:r>
              <w:rPr>
                <w:b/>
                <w:sz w:val="14"/>
              </w:rPr>
              <w:t>FOR</w:t>
            </w:r>
            <w:r>
              <w:rPr>
                <w:b/>
                <w:spacing w:val="-1"/>
                <w:sz w:val="14"/>
              </w:rPr>
              <w:t> </w:t>
            </w:r>
            <w:r>
              <w:rPr>
                <w:b/>
                <w:sz w:val="14"/>
              </w:rPr>
              <w:t>EACH SPECIES</w:t>
            </w:r>
          </w:p>
        </w:tc>
      </w:tr>
      <w:tr>
        <w:trPr>
          <w:trHeight w:val="481" w:hRule="atLeast"/>
        </w:trPr>
        <w:tc>
          <w:tcPr>
            <w:tcW w:w="3523" w:type="dxa"/>
            <w:tcBorders>
              <w:top w:val="double" w:sz="1" w:space="0" w:color="000000"/>
            </w:tcBorders>
          </w:tcPr>
          <w:p>
            <w:pPr>
              <w:pStyle w:val="TableParagraph"/>
              <w:spacing w:before="138"/>
              <w:ind w:left="1385" w:right="1377"/>
              <w:jc w:val="center"/>
              <w:rPr>
                <w:b/>
                <w:sz w:val="18"/>
              </w:rPr>
            </w:pPr>
            <w:r>
              <w:rPr>
                <w:b/>
                <w:sz w:val="18"/>
              </w:rPr>
              <w:t>Equation</w:t>
            </w:r>
          </w:p>
        </w:tc>
        <w:tc>
          <w:tcPr>
            <w:tcW w:w="3057" w:type="dxa"/>
            <w:tcBorders>
              <w:top w:val="double" w:sz="1" w:space="0" w:color="000000"/>
            </w:tcBorders>
          </w:tcPr>
          <w:p>
            <w:pPr>
              <w:pStyle w:val="TableParagraph"/>
              <w:spacing w:before="138"/>
              <w:ind w:left="1019" w:right="1012"/>
              <w:jc w:val="center"/>
              <w:rPr>
                <w:b/>
                <w:sz w:val="18"/>
              </w:rPr>
            </w:pPr>
            <w:r>
              <w:rPr>
                <w:b/>
                <w:sz w:val="18"/>
              </w:rPr>
              <w:t>Palm species</w:t>
            </w:r>
          </w:p>
        </w:tc>
        <w:tc>
          <w:tcPr>
            <w:tcW w:w="1079" w:type="dxa"/>
            <w:tcBorders>
              <w:top w:val="double" w:sz="1" w:space="0" w:color="000000"/>
            </w:tcBorders>
          </w:tcPr>
          <w:p>
            <w:pPr>
              <w:pStyle w:val="TableParagraph"/>
              <w:spacing w:before="115"/>
              <w:ind w:left="361" w:right="351"/>
              <w:jc w:val="center"/>
              <w:rPr>
                <w:b/>
                <w:sz w:val="12"/>
              </w:rPr>
            </w:pPr>
            <w:r>
              <w:rPr>
                <w:b/>
                <w:position w:val="-7"/>
                <w:sz w:val="18"/>
              </w:rPr>
              <w:t>R</w:t>
            </w:r>
            <w:r>
              <w:rPr>
                <w:b/>
                <w:sz w:val="12"/>
              </w:rPr>
              <w:t>2</w:t>
            </w:r>
          </w:p>
        </w:tc>
        <w:tc>
          <w:tcPr>
            <w:tcW w:w="1353" w:type="dxa"/>
            <w:tcBorders>
              <w:top w:val="double" w:sz="1" w:space="0" w:color="000000"/>
            </w:tcBorders>
          </w:tcPr>
          <w:p>
            <w:pPr>
              <w:pStyle w:val="TableParagraph"/>
              <w:spacing w:before="35"/>
              <w:ind w:left="294" w:right="142" w:hanging="118"/>
              <w:rPr>
                <w:b/>
                <w:sz w:val="18"/>
              </w:rPr>
            </w:pPr>
            <w:r>
              <w:rPr>
                <w:b/>
                <w:sz w:val="18"/>
              </w:rPr>
              <w:t>Height range (HT in m)</w:t>
            </w:r>
          </w:p>
        </w:tc>
      </w:tr>
      <w:tr>
        <w:trPr>
          <w:trHeight w:val="328" w:hRule="atLeast"/>
        </w:trPr>
        <w:tc>
          <w:tcPr>
            <w:tcW w:w="3523" w:type="dxa"/>
          </w:tcPr>
          <w:p>
            <w:pPr>
              <w:pStyle w:val="TableParagraph"/>
              <w:spacing w:before="57"/>
              <w:ind w:left="107"/>
              <w:rPr>
                <w:sz w:val="18"/>
              </w:rPr>
            </w:pPr>
            <w:r>
              <w:rPr>
                <w:sz w:val="18"/>
              </w:rPr>
              <w:t>Y = 0.182 + 0.498 • HT + 0.049 • (HT)</w:t>
            </w:r>
            <w:r>
              <w:rPr>
                <w:sz w:val="18"/>
                <w:vertAlign w:val="superscript"/>
              </w:rPr>
              <w:t>2</w:t>
            </w:r>
          </w:p>
        </w:tc>
        <w:tc>
          <w:tcPr>
            <w:tcW w:w="3057" w:type="dxa"/>
          </w:tcPr>
          <w:p>
            <w:pPr>
              <w:pStyle w:val="TableParagraph"/>
              <w:spacing w:before="57"/>
              <w:ind w:left="107"/>
              <w:rPr>
                <w:sz w:val="18"/>
              </w:rPr>
            </w:pPr>
            <w:r>
              <w:rPr>
                <w:i/>
                <w:sz w:val="18"/>
              </w:rPr>
              <w:t>Chrysophylla </w:t>
            </w:r>
            <w:r>
              <w:rPr>
                <w:sz w:val="18"/>
              </w:rPr>
              <w:t>sp</w:t>
            </w:r>
          </w:p>
        </w:tc>
        <w:tc>
          <w:tcPr>
            <w:tcW w:w="1079" w:type="dxa"/>
          </w:tcPr>
          <w:p>
            <w:pPr>
              <w:pStyle w:val="TableParagraph"/>
              <w:spacing w:before="57"/>
              <w:ind w:left="362" w:right="351"/>
              <w:jc w:val="center"/>
              <w:rPr>
                <w:sz w:val="18"/>
              </w:rPr>
            </w:pPr>
            <w:r>
              <w:rPr>
                <w:sz w:val="18"/>
              </w:rPr>
              <w:t>0.94</w:t>
            </w:r>
          </w:p>
        </w:tc>
        <w:tc>
          <w:tcPr>
            <w:tcW w:w="1353" w:type="dxa"/>
          </w:tcPr>
          <w:p>
            <w:pPr>
              <w:pStyle w:val="TableParagraph"/>
              <w:spacing w:before="57"/>
              <w:ind w:left="357" w:right="345"/>
              <w:jc w:val="center"/>
              <w:rPr>
                <w:sz w:val="18"/>
              </w:rPr>
            </w:pPr>
            <w:r>
              <w:rPr>
                <w:sz w:val="18"/>
              </w:rPr>
              <w:t>0.5-10.0</w:t>
            </w:r>
          </w:p>
        </w:tc>
      </w:tr>
      <w:tr>
        <w:trPr>
          <w:trHeight w:val="330" w:hRule="atLeast"/>
        </w:trPr>
        <w:tc>
          <w:tcPr>
            <w:tcW w:w="3523" w:type="dxa"/>
          </w:tcPr>
          <w:p>
            <w:pPr>
              <w:pStyle w:val="TableParagraph"/>
              <w:spacing w:before="57"/>
              <w:ind w:left="107"/>
              <w:rPr>
                <w:sz w:val="18"/>
              </w:rPr>
            </w:pPr>
            <w:r>
              <w:rPr>
                <w:sz w:val="18"/>
              </w:rPr>
              <w:t>Y = 10.856 + 176.76 • (HT) – 6.898 • (HT)</w:t>
            </w:r>
            <w:r>
              <w:rPr>
                <w:sz w:val="18"/>
                <w:vertAlign w:val="superscript"/>
              </w:rPr>
              <w:t>2</w:t>
            </w:r>
          </w:p>
        </w:tc>
        <w:tc>
          <w:tcPr>
            <w:tcW w:w="3057" w:type="dxa"/>
          </w:tcPr>
          <w:p>
            <w:pPr>
              <w:pStyle w:val="TableParagraph"/>
              <w:spacing w:before="57"/>
              <w:ind w:left="107"/>
              <w:rPr>
                <w:i/>
                <w:sz w:val="18"/>
              </w:rPr>
            </w:pPr>
            <w:r>
              <w:rPr>
                <w:i/>
                <w:sz w:val="18"/>
              </w:rPr>
              <w:t>Attalea cohune</w:t>
            </w:r>
          </w:p>
        </w:tc>
        <w:tc>
          <w:tcPr>
            <w:tcW w:w="1079" w:type="dxa"/>
          </w:tcPr>
          <w:p>
            <w:pPr>
              <w:pStyle w:val="TableParagraph"/>
              <w:spacing w:before="57"/>
              <w:ind w:left="362" w:right="351"/>
              <w:jc w:val="center"/>
              <w:rPr>
                <w:sz w:val="18"/>
              </w:rPr>
            </w:pPr>
            <w:r>
              <w:rPr>
                <w:sz w:val="18"/>
              </w:rPr>
              <w:t>0.94</w:t>
            </w:r>
          </w:p>
        </w:tc>
        <w:tc>
          <w:tcPr>
            <w:tcW w:w="1353" w:type="dxa"/>
          </w:tcPr>
          <w:p>
            <w:pPr>
              <w:pStyle w:val="TableParagraph"/>
              <w:spacing w:before="57"/>
              <w:ind w:left="357" w:right="345"/>
              <w:jc w:val="center"/>
              <w:rPr>
                <w:sz w:val="18"/>
              </w:rPr>
            </w:pPr>
            <w:r>
              <w:rPr>
                <w:sz w:val="18"/>
              </w:rPr>
              <w:t>0.5-15.7</w:t>
            </w:r>
          </w:p>
        </w:tc>
      </w:tr>
      <w:tr>
        <w:trPr>
          <w:trHeight w:val="330" w:hRule="atLeast"/>
        </w:trPr>
        <w:tc>
          <w:tcPr>
            <w:tcW w:w="3523" w:type="dxa"/>
          </w:tcPr>
          <w:p>
            <w:pPr>
              <w:pStyle w:val="TableParagraph"/>
              <w:spacing w:before="57"/>
              <w:ind w:left="107"/>
              <w:rPr>
                <w:sz w:val="18"/>
              </w:rPr>
            </w:pPr>
            <w:r>
              <w:rPr>
                <w:sz w:val="18"/>
              </w:rPr>
              <w:t>Y = 24.559 + 4.921 • HT + 1.017 • (HT)</w:t>
            </w:r>
            <w:r>
              <w:rPr>
                <w:sz w:val="18"/>
                <w:vertAlign w:val="superscript"/>
              </w:rPr>
              <w:t>2</w:t>
            </w:r>
          </w:p>
        </w:tc>
        <w:tc>
          <w:tcPr>
            <w:tcW w:w="3057" w:type="dxa"/>
          </w:tcPr>
          <w:p>
            <w:pPr>
              <w:pStyle w:val="TableParagraph"/>
              <w:spacing w:before="57"/>
              <w:ind w:left="107"/>
              <w:rPr>
                <w:sz w:val="18"/>
              </w:rPr>
            </w:pPr>
            <w:r>
              <w:rPr>
                <w:i/>
                <w:sz w:val="18"/>
              </w:rPr>
              <w:t>Sabal </w:t>
            </w:r>
            <w:r>
              <w:rPr>
                <w:sz w:val="18"/>
              </w:rPr>
              <w:t>sp</w:t>
            </w:r>
          </w:p>
        </w:tc>
        <w:tc>
          <w:tcPr>
            <w:tcW w:w="1079" w:type="dxa"/>
          </w:tcPr>
          <w:p>
            <w:pPr>
              <w:pStyle w:val="TableParagraph"/>
              <w:spacing w:before="57"/>
              <w:ind w:left="362" w:right="351"/>
              <w:jc w:val="center"/>
              <w:rPr>
                <w:sz w:val="18"/>
              </w:rPr>
            </w:pPr>
            <w:r>
              <w:rPr>
                <w:sz w:val="18"/>
              </w:rPr>
              <w:t>0.82</w:t>
            </w:r>
          </w:p>
        </w:tc>
        <w:tc>
          <w:tcPr>
            <w:tcW w:w="1353" w:type="dxa"/>
          </w:tcPr>
          <w:p>
            <w:pPr>
              <w:pStyle w:val="TableParagraph"/>
              <w:spacing w:before="57"/>
              <w:ind w:left="357" w:right="345"/>
              <w:jc w:val="center"/>
              <w:rPr>
                <w:sz w:val="18"/>
              </w:rPr>
            </w:pPr>
            <w:r>
              <w:rPr>
                <w:sz w:val="18"/>
              </w:rPr>
              <w:t>0.2-14.5</w:t>
            </w:r>
          </w:p>
        </w:tc>
      </w:tr>
      <w:tr>
        <w:trPr>
          <w:trHeight w:val="328" w:hRule="atLeast"/>
        </w:trPr>
        <w:tc>
          <w:tcPr>
            <w:tcW w:w="3523" w:type="dxa"/>
          </w:tcPr>
          <w:p>
            <w:pPr>
              <w:pStyle w:val="TableParagraph"/>
              <w:spacing w:before="57"/>
              <w:ind w:left="107"/>
              <w:rPr>
                <w:sz w:val="18"/>
              </w:rPr>
            </w:pPr>
            <w:r>
              <w:rPr>
                <w:sz w:val="18"/>
              </w:rPr>
              <w:t>Y = 23.487 + 41.851 • (ln(HT))</w:t>
            </w:r>
            <w:r>
              <w:rPr>
                <w:sz w:val="18"/>
                <w:vertAlign w:val="superscript"/>
              </w:rPr>
              <w:t>2</w:t>
            </w:r>
          </w:p>
        </w:tc>
        <w:tc>
          <w:tcPr>
            <w:tcW w:w="3057" w:type="dxa"/>
          </w:tcPr>
          <w:p>
            <w:pPr>
              <w:pStyle w:val="TableParagraph"/>
              <w:spacing w:before="57"/>
              <w:ind w:left="107"/>
              <w:rPr>
                <w:i/>
                <w:sz w:val="18"/>
              </w:rPr>
            </w:pPr>
            <w:r>
              <w:rPr>
                <w:i/>
                <w:sz w:val="18"/>
              </w:rPr>
              <w:t>Attalea phalerata</w:t>
            </w:r>
          </w:p>
        </w:tc>
        <w:tc>
          <w:tcPr>
            <w:tcW w:w="1079" w:type="dxa"/>
          </w:tcPr>
          <w:p>
            <w:pPr>
              <w:pStyle w:val="TableParagraph"/>
              <w:spacing w:before="57"/>
              <w:ind w:left="362" w:right="351"/>
              <w:jc w:val="center"/>
              <w:rPr>
                <w:sz w:val="18"/>
              </w:rPr>
            </w:pPr>
            <w:r>
              <w:rPr>
                <w:sz w:val="18"/>
              </w:rPr>
              <w:t>0.62</w:t>
            </w:r>
          </w:p>
        </w:tc>
        <w:tc>
          <w:tcPr>
            <w:tcW w:w="1353" w:type="dxa"/>
          </w:tcPr>
          <w:p>
            <w:pPr>
              <w:pStyle w:val="TableParagraph"/>
              <w:spacing w:before="57"/>
              <w:ind w:left="357" w:right="344"/>
              <w:jc w:val="center"/>
              <w:rPr>
                <w:sz w:val="18"/>
              </w:rPr>
            </w:pPr>
            <w:r>
              <w:rPr>
                <w:sz w:val="18"/>
              </w:rPr>
              <w:t>1-11</w:t>
            </w:r>
          </w:p>
        </w:tc>
      </w:tr>
      <w:tr>
        <w:trPr>
          <w:trHeight w:val="501" w:hRule="atLeast"/>
        </w:trPr>
        <w:tc>
          <w:tcPr>
            <w:tcW w:w="3523" w:type="dxa"/>
          </w:tcPr>
          <w:p>
            <w:pPr>
              <w:pStyle w:val="TableParagraph"/>
              <w:spacing w:before="141"/>
              <w:ind w:left="107"/>
              <w:rPr>
                <w:sz w:val="18"/>
              </w:rPr>
            </w:pPr>
            <w:r>
              <w:rPr>
                <w:sz w:val="18"/>
              </w:rPr>
              <w:t>Y= 6.666 + 12.826 • (HT</w:t>
            </w:r>
            <w:r>
              <w:rPr>
                <w:sz w:val="18"/>
                <w:vertAlign w:val="superscript"/>
              </w:rPr>
              <w:t>0.5</w:t>
            </w:r>
            <w:r>
              <w:rPr>
                <w:sz w:val="18"/>
                <w:vertAlign w:val="baseline"/>
              </w:rPr>
              <w:t>) • ln(HT)</w:t>
            </w:r>
          </w:p>
        </w:tc>
        <w:tc>
          <w:tcPr>
            <w:tcW w:w="3057" w:type="dxa"/>
          </w:tcPr>
          <w:p>
            <w:pPr>
              <w:pStyle w:val="TableParagraph"/>
              <w:spacing w:before="38"/>
              <w:ind w:left="107" w:right="855"/>
              <w:rPr>
                <w:i/>
                <w:sz w:val="18"/>
              </w:rPr>
            </w:pPr>
            <w:r>
              <w:rPr>
                <w:i/>
                <w:sz w:val="18"/>
              </w:rPr>
              <w:t>Euterpe precatoria &amp; Phenakospermun guianensis</w:t>
            </w:r>
          </w:p>
        </w:tc>
        <w:tc>
          <w:tcPr>
            <w:tcW w:w="1079" w:type="dxa"/>
          </w:tcPr>
          <w:p>
            <w:pPr>
              <w:pStyle w:val="TableParagraph"/>
              <w:spacing w:before="141"/>
              <w:ind w:left="362" w:right="351"/>
              <w:jc w:val="center"/>
              <w:rPr>
                <w:sz w:val="18"/>
              </w:rPr>
            </w:pPr>
            <w:r>
              <w:rPr>
                <w:sz w:val="18"/>
              </w:rPr>
              <w:t>0.75</w:t>
            </w:r>
          </w:p>
        </w:tc>
        <w:tc>
          <w:tcPr>
            <w:tcW w:w="1353" w:type="dxa"/>
          </w:tcPr>
          <w:p>
            <w:pPr>
              <w:pStyle w:val="TableParagraph"/>
              <w:spacing w:before="141"/>
              <w:ind w:left="357" w:right="344"/>
              <w:jc w:val="center"/>
              <w:rPr>
                <w:sz w:val="18"/>
              </w:rPr>
            </w:pPr>
            <w:r>
              <w:rPr>
                <w:sz w:val="18"/>
              </w:rPr>
              <w:t>1-33</w:t>
            </w:r>
          </w:p>
        </w:tc>
      </w:tr>
      <w:tr>
        <w:trPr>
          <w:trHeight w:val="1458" w:hRule="atLeast"/>
        </w:trPr>
        <w:tc>
          <w:tcPr>
            <w:tcW w:w="9012" w:type="dxa"/>
            <w:gridSpan w:val="4"/>
          </w:tcPr>
          <w:p>
            <w:pPr>
              <w:pStyle w:val="TableParagraph"/>
              <w:spacing w:before="55"/>
              <w:ind w:left="107"/>
              <w:rPr>
                <w:sz w:val="18"/>
              </w:rPr>
            </w:pPr>
            <w:r>
              <w:rPr>
                <w:sz w:val="18"/>
              </w:rPr>
              <w:t>Where</w:t>
            </w:r>
          </w:p>
          <w:p>
            <w:pPr>
              <w:pStyle w:val="TableParagraph"/>
              <w:spacing w:line="207" w:lineRule="exact" w:before="59"/>
              <w:ind w:left="470"/>
              <w:rPr>
                <w:sz w:val="18"/>
              </w:rPr>
            </w:pPr>
            <w:r>
              <w:rPr>
                <w:sz w:val="18"/>
              </w:rPr>
              <w:t>Y = aboveground dry matter, kg (tree)</w:t>
            </w:r>
            <w:r>
              <w:rPr>
                <w:sz w:val="18"/>
                <w:vertAlign w:val="superscript"/>
              </w:rPr>
              <w:t>-1</w:t>
            </w:r>
          </w:p>
          <w:p>
            <w:pPr>
              <w:pStyle w:val="TableParagraph"/>
              <w:ind w:left="470" w:right="2231"/>
              <w:rPr>
                <w:sz w:val="18"/>
              </w:rPr>
            </w:pPr>
            <w:r>
              <w:rPr>
                <w:sz w:val="18"/>
              </w:rPr>
              <w:t>HT = height of the trunk, meters (for palms this is the main stem, excluding the fronds) ln = natural logarithm</w:t>
            </w:r>
          </w:p>
          <w:p>
            <w:pPr>
              <w:pStyle w:val="TableParagraph"/>
              <w:spacing w:before="5"/>
              <w:rPr>
                <w:b/>
                <w:sz w:val="23"/>
              </w:rPr>
            </w:pPr>
          </w:p>
          <w:p>
            <w:pPr>
              <w:pStyle w:val="TableParagraph"/>
              <w:ind w:left="107"/>
              <w:rPr>
                <w:sz w:val="16"/>
              </w:rPr>
            </w:pPr>
            <w:r>
              <w:rPr>
                <w:sz w:val="16"/>
              </w:rPr>
              <w:t>Source: Delaney </w:t>
            </w:r>
            <w:r>
              <w:rPr>
                <w:i/>
                <w:sz w:val="16"/>
              </w:rPr>
              <w:t>et al.</w:t>
            </w:r>
            <w:r>
              <w:rPr>
                <w:sz w:val="16"/>
              </w:rPr>
              <w:t>, 1999; Brown </w:t>
            </w:r>
            <w:r>
              <w:rPr>
                <w:i/>
                <w:sz w:val="16"/>
              </w:rPr>
              <w:t>et al.</w:t>
            </w:r>
            <w:r>
              <w:rPr>
                <w:sz w:val="16"/>
              </w:rPr>
              <w:t>, 2001</w:t>
            </w:r>
          </w:p>
        </w:tc>
      </w:tr>
    </w:tbl>
    <w:p>
      <w:pPr>
        <w:spacing w:after="0"/>
        <w:rPr>
          <w:sz w:val="16"/>
        </w:rPr>
        <w:sectPr>
          <w:pgSz w:w="11900" w:h="16840"/>
          <w:pgMar w:header="230" w:footer="408" w:top="560" w:bottom="600" w:left="1240" w:right="0"/>
        </w:sectPr>
      </w:pPr>
    </w:p>
    <w:p>
      <w:pPr>
        <w:pStyle w:val="BodyText"/>
      </w:pPr>
    </w:p>
    <w:p>
      <w:pPr>
        <w:pStyle w:val="BodyText"/>
        <w:rPr>
          <w:sz w:val="19"/>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9"/>
        <w:gridCol w:w="1980"/>
        <w:gridCol w:w="902"/>
        <w:gridCol w:w="1092"/>
        <w:gridCol w:w="984"/>
        <w:gridCol w:w="737"/>
      </w:tblGrid>
      <w:tr>
        <w:trPr>
          <w:trHeight w:val="620" w:hRule="atLeast"/>
        </w:trPr>
        <w:tc>
          <w:tcPr>
            <w:tcW w:w="9014" w:type="dxa"/>
            <w:gridSpan w:val="6"/>
            <w:tcBorders>
              <w:bottom w:val="double" w:sz="1" w:space="0" w:color="000000"/>
            </w:tcBorders>
          </w:tcPr>
          <w:p>
            <w:pPr>
              <w:pStyle w:val="TableParagraph"/>
              <w:spacing w:line="206" w:lineRule="exact"/>
              <w:ind w:left="120" w:right="114"/>
              <w:jc w:val="center"/>
              <w:rPr>
                <w:b/>
                <w:sz w:val="18"/>
              </w:rPr>
            </w:pPr>
            <w:r>
              <w:rPr>
                <w:b/>
                <w:sz w:val="18"/>
              </w:rPr>
              <w:t>T</w:t>
            </w:r>
            <w:r>
              <w:rPr>
                <w:b/>
                <w:sz w:val="14"/>
              </w:rPr>
              <w:t>ABLE </w:t>
            </w:r>
            <w:r>
              <w:rPr>
                <w:b/>
                <w:sz w:val="18"/>
              </w:rPr>
              <w:t>4.A.3</w:t>
            </w:r>
          </w:p>
          <w:p>
            <w:pPr>
              <w:pStyle w:val="TableParagraph"/>
              <w:spacing w:line="206" w:lineRule="exact" w:before="3"/>
              <w:ind w:left="120" w:right="114"/>
              <w:jc w:val="center"/>
              <w:rPr>
                <w:b/>
                <w:sz w:val="14"/>
              </w:rPr>
            </w:pPr>
            <w:r>
              <w:rPr>
                <w:b/>
                <w:sz w:val="18"/>
              </w:rPr>
              <w:t>E</w:t>
            </w:r>
            <w:r>
              <w:rPr>
                <w:b/>
                <w:sz w:val="14"/>
              </w:rPr>
              <w:t>XAMPLES OF ALLOMETRIC EQUATIONS FOR ESTIMATING ABOVEGROUND BIOMASS </w:t>
            </w:r>
            <w:r>
              <w:rPr>
                <w:b/>
                <w:sz w:val="18"/>
              </w:rPr>
              <w:t>(</w:t>
            </w:r>
            <w:r>
              <w:rPr>
                <w:b/>
                <w:sz w:val="14"/>
              </w:rPr>
              <w:t>KG OF DRY MATTER PER TREE</w:t>
            </w:r>
            <w:r>
              <w:rPr>
                <w:b/>
                <w:sz w:val="18"/>
              </w:rPr>
              <w:t>) </w:t>
            </w:r>
            <w:r>
              <w:rPr>
                <w:b/>
                <w:sz w:val="14"/>
              </w:rPr>
              <w:t>OF SOME INDIVIDUAL SPECIES COMMONLY USED IN THE TROPICS</w:t>
            </w:r>
          </w:p>
        </w:tc>
      </w:tr>
      <w:tr>
        <w:trPr>
          <w:trHeight w:val="648" w:hRule="atLeast"/>
        </w:trPr>
        <w:tc>
          <w:tcPr>
            <w:tcW w:w="3319" w:type="dxa"/>
            <w:tcBorders>
              <w:top w:val="double" w:sz="1" w:space="0" w:color="000000"/>
            </w:tcBorders>
          </w:tcPr>
          <w:p>
            <w:pPr>
              <w:pStyle w:val="TableParagraph"/>
              <w:spacing w:before="3"/>
              <w:rPr>
                <w:sz w:val="19"/>
              </w:rPr>
            </w:pPr>
          </w:p>
          <w:p>
            <w:pPr>
              <w:pStyle w:val="TableParagraph"/>
              <w:ind w:left="1284" w:right="1274"/>
              <w:jc w:val="center"/>
              <w:rPr>
                <w:b/>
                <w:sz w:val="18"/>
              </w:rPr>
            </w:pPr>
            <w:r>
              <w:rPr>
                <w:b/>
                <w:sz w:val="18"/>
              </w:rPr>
              <w:t>Equation</w:t>
            </w:r>
          </w:p>
        </w:tc>
        <w:tc>
          <w:tcPr>
            <w:tcW w:w="1980" w:type="dxa"/>
            <w:tcBorders>
              <w:top w:val="double" w:sz="1" w:space="0" w:color="000000"/>
            </w:tcBorders>
          </w:tcPr>
          <w:p>
            <w:pPr>
              <w:pStyle w:val="TableParagraph"/>
              <w:spacing w:before="3"/>
              <w:rPr>
                <w:sz w:val="19"/>
              </w:rPr>
            </w:pPr>
          </w:p>
          <w:p>
            <w:pPr>
              <w:pStyle w:val="TableParagraph"/>
              <w:ind w:left="145" w:right="138"/>
              <w:jc w:val="center"/>
              <w:rPr>
                <w:b/>
                <w:sz w:val="18"/>
              </w:rPr>
            </w:pPr>
            <w:r>
              <w:rPr>
                <w:b/>
                <w:sz w:val="18"/>
              </w:rPr>
              <w:t>Species</w:t>
            </w:r>
          </w:p>
        </w:tc>
        <w:tc>
          <w:tcPr>
            <w:tcW w:w="902" w:type="dxa"/>
            <w:tcBorders>
              <w:top w:val="double" w:sz="1" w:space="0" w:color="000000"/>
            </w:tcBorders>
          </w:tcPr>
          <w:p>
            <w:pPr>
              <w:pStyle w:val="TableParagraph"/>
              <w:spacing w:before="3"/>
              <w:rPr>
                <w:sz w:val="17"/>
              </w:rPr>
            </w:pPr>
          </w:p>
          <w:p>
            <w:pPr>
              <w:pStyle w:val="TableParagraph"/>
              <w:ind w:left="355"/>
              <w:rPr>
                <w:b/>
                <w:sz w:val="12"/>
              </w:rPr>
            </w:pPr>
            <w:r>
              <w:rPr>
                <w:b/>
                <w:position w:val="-7"/>
                <w:sz w:val="18"/>
              </w:rPr>
              <w:t>R</w:t>
            </w:r>
            <w:r>
              <w:rPr>
                <w:b/>
                <w:sz w:val="12"/>
              </w:rPr>
              <w:t>2</w:t>
            </w:r>
          </w:p>
        </w:tc>
        <w:tc>
          <w:tcPr>
            <w:tcW w:w="1092" w:type="dxa"/>
            <w:tcBorders>
              <w:top w:val="double" w:sz="1" w:space="0" w:color="000000"/>
            </w:tcBorders>
          </w:tcPr>
          <w:p>
            <w:pPr>
              <w:pStyle w:val="TableParagraph"/>
              <w:spacing w:before="13"/>
              <w:ind w:left="151" w:right="136"/>
              <w:jc w:val="center"/>
              <w:rPr>
                <w:b/>
                <w:sz w:val="18"/>
              </w:rPr>
            </w:pPr>
            <w:r>
              <w:rPr>
                <w:b/>
                <w:sz w:val="18"/>
              </w:rPr>
              <w:t>Height for DBH/BA</w:t>
            </w:r>
          </w:p>
          <w:p>
            <w:pPr>
              <w:pStyle w:val="TableParagraph"/>
              <w:spacing w:line="202" w:lineRule="exact"/>
              <w:ind w:left="149" w:right="136"/>
              <w:jc w:val="center"/>
              <w:rPr>
                <w:b/>
                <w:sz w:val="18"/>
              </w:rPr>
            </w:pPr>
            <w:r>
              <w:rPr>
                <w:b/>
                <w:sz w:val="18"/>
              </w:rPr>
              <w:t>(cm)</w:t>
            </w:r>
            <w:r>
              <w:rPr>
                <w:b/>
                <w:sz w:val="18"/>
                <w:vertAlign w:val="superscript"/>
              </w:rPr>
              <w:t>a</w:t>
            </w:r>
          </w:p>
        </w:tc>
        <w:tc>
          <w:tcPr>
            <w:tcW w:w="984" w:type="dxa"/>
            <w:tcBorders>
              <w:top w:val="double" w:sz="1" w:space="0" w:color="000000"/>
            </w:tcBorders>
          </w:tcPr>
          <w:p>
            <w:pPr>
              <w:pStyle w:val="TableParagraph"/>
              <w:spacing w:line="206" w:lineRule="exact" w:before="16"/>
              <w:ind w:left="132" w:right="121"/>
              <w:jc w:val="center"/>
              <w:rPr>
                <w:b/>
                <w:sz w:val="18"/>
              </w:rPr>
            </w:pPr>
            <w:r>
              <w:rPr>
                <w:b/>
                <w:sz w:val="18"/>
              </w:rPr>
              <w:t>Diameter range (cm)</w:t>
            </w:r>
          </w:p>
        </w:tc>
        <w:tc>
          <w:tcPr>
            <w:tcW w:w="737" w:type="dxa"/>
            <w:tcBorders>
              <w:top w:val="double" w:sz="1" w:space="0" w:color="000000"/>
            </w:tcBorders>
          </w:tcPr>
          <w:p>
            <w:pPr>
              <w:pStyle w:val="TableParagraph"/>
              <w:spacing w:before="10"/>
              <w:rPr>
                <w:sz w:val="19"/>
              </w:rPr>
            </w:pPr>
          </w:p>
          <w:p>
            <w:pPr>
              <w:pStyle w:val="TableParagraph"/>
              <w:ind w:left="112" w:right="103"/>
              <w:jc w:val="center"/>
              <w:rPr>
                <w:b/>
                <w:sz w:val="16"/>
              </w:rPr>
            </w:pPr>
            <w:r>
              <w:rPr>
                <w:b/>
                <w:sz w:val="16"/>
              </w:rPr>
              <w:t>Source</w:t>
            </w:r>
          </w:p>
        </w:tc>
      </w:tr>
      <w:tr>
        <w:trPr>
          <w:trHeight w:val="330" w:hRule="atLeast"/>
        </w:trPr>
        <w:tc>
          <w:tcPr>
            <w:tcW w:w="3319" w:type="dxa"/>
          </w:tcPr>
          <w:p>
            <w:pPr>
              <w:pStyle w:val="TableParagraph"/>
              <w:spacing w:before="57"/>
              <w:ind w:left="129"/>
              <w:rPr>
                <w:sz w:val="18"/>
              </w:rPr>
            </w:pPr>
            <w:r>
              <w:rPr>
                <w:sz w:val="18"/>
              </w:rPr>
              <w:t>Y = 0.153 • DBH</w:t>
            </w:r>
            <w:r>
              <w:rPr>
                <w:sz w:val="18"/>
                <w:vertAlign w:val="superscript"/>
              </w:rPr>
              <w:t>2.382</w:t>
            </w:r>
          </w:p>
        </w:tc>
        <w:tc>
          <w:tcPr>
            <w:tcW w:w="1980" w:type="dxa"/>
          </w:tcPr>
          <w:p>
            <w:pPr>
              <w:pStyle w:val="TableParagraph"/>
              <w:spacing w:before="57"/>
              <w:ind w:left="86"/>
              <w:rPr>
                <w:sz w:val="18"/>
              </w:rPr>
            </w:pPr>
            <w:r>
              <w:rPr>
                <w:i/>
                <w:sz w:val="18"/>
              </w:rPr>
              <w:t>Tectona grandis </w:t>
            </w:r>
            <w:r>
              <w:rPr>
                <w:sz w:val="18"/>
                <w:vertAlign w:val="superscript"/>
              </w:rPr>
              <w:t>b</w:t>
            </w:r>
          </w:p>
        </w:tc>
        <w:tc>
          <w:tcPr>
            <w:tcW w:w="902" w:type="dxa"/>
          </w:tcPr>
          <w:p>
            <w:pPr>
              <w:pStyle w:val="TableParagraph"/>
              <w:spacing w:before="57"/>
              <w:ind w:left="292"/>
              <w:rPr>
                <w:sz w:val="18"/>
              </w:rPr>
            </w:pPr>
            <w:r>
              <w:rPr>
                <w:sz w:val="18"/>
              </w:rPr>
              <w:t>0.98</w:t>
            </w:r>
          </w:p>
        </w:tc>
        <w:tc>
          <w:tcPr>
            <w:tcW w:w="1092" w:type="dxa"/>
          </w:tcPr>
          <w:p>
            <w:pPr>
              <w:pStyle w:val="TableParagraph"/>
              <w:spacing w:before="57"/>
              <w:ind w:left="150" w:right="136"/>
              <w:jc w:val="center"/>
              <w:rPr>
                <w:sz w:val="18"/>
              </w:rPr>
            </w:pPr>
            <w:r>
              <w:rPr>
                <w:sz w:val="18"/>
              </w:rPr>
              <w:t>130</w:t>
            </w:r>
          </w:p>
        </w:tc>
        <w:tc>
          <w:tcPr>
            <w:tcW w:w="984" w:type="dxa"/>
          </w:tcPr>
          <w:p>
            <w:pPr>
              <w:pStyle w:val="TableParagraph"/>
              <w:spacing w:before="57"/>
              <w:ind w:left="132" w:right="121"/>
              <w:jc w:val="center"/>
              <w:rPr>
                <w:sz w:val="18"/>
              </w:rPr>
            </w:pPr>
            <w:r>
              <w:rPr>
                <w:sz w:val="18"/>
              </w:rPr>
              <w:t>10-59</w:t>
            </w:r>
          </w:p>
        </w:tc>
        <w:tc>
          <w:tcPr>
            <w:tcW w:w="737" w:type="dxa"/>
          </w:tcPr>
          <w:p>
            <w:pPr>
              <w:pStyle w:val="TableParagraph"/>
              <w:spacing w:before="57"/>
              <w:ind w:left="12"/>
              <w:jc w:val="center"/>
              <w:rPr>
                <w:sz w:val="18"/>
              </w:rPr>
            </w:pPr>
            <w:r>
              <w:rPr>
                <w:sz w:val="18"/>
              </w:rPr>
              <w:t>1</w:t>
            </w:r>
          </w:p>
        </w:tc>
      </w:tr>
      <w:tr>
        <w:trPr>
          <w:trHeight w:val="328" w:hRule="atLeast"/>
        </w:trPr>
        <w:tc>
          <w:tcPr>
            <w:tcW w:w="3319" w:type="dxa"/>
          </w:tcPr>
          <w:p>
            <w:pPr>
              <w:pStyle w:val="TableParagraph"/>
              <w:spacing w:before="57"/>
              <w:ind w:left="129"/>
              <w:rPr>
                <w:sz w:val="18"/>
              </w:rPr>
            </w:pPr>
            <w:r>
              <w:rPr>
                <w:sz w:val="18"/>
              </w:rPr>
              <w:t>Y = 0.0908 • DBH</w:t>
            </w:r>
            <w:r>
              <w:rPr>
                <w:sz w:val="18"/>
                <w:vertAlign w:val="superscript"/>
              </w:rPr>
              <w:t>2.575</w:t>
            </w:r>
          </w:p>
        </w:tc>
        <w:tc>
          <w:tcPr>
            <w:tcW w:w="1980" w:type="dxa"/>
          </w:tcPr>
          <w:p>
            <w:pPr>
              <w:pStyle w:val="TableParagraph"/>
              <w:spacing w:before="57"/>
              <w:ind w:left="86"/>
              <w:rPr>
                <w:sz w:val="18"/>
              </w:rPr>
            </w:pPr>
            <w:r>
              <w:rPr>
                <w:i/>
                <w:sz w:val="18"/>
              </w:rPr>
              <w:t>Tectona grandis </w:t>
            </w:r>
            <w:r>
              <w:rPr>
                <w:sz w:val="18"/>
                <w:vertAlign w:val="superscript"/>
              </w:rPr>
              <w:t>c</w:t>
            </w:r>
          </w:p>
        </w:tc>
        <w:tc>
          <w:tcPr>
            <w:tcW w:w="902" w:type="dxa"/>
          </w:tcPr>
          <w:p>
            <w:pPr>
              <w:pStyle w:val="TableParagraph"/>
              <w:spacing w:before="57"/>
              <w:ind w:left="292"/>
              <w:rPr>
                <w:sz w:val="18"/>
              </w:rPr>
            </w:pPr>
            <w:r>
              <w:rPr>
                <w:sz w:val="18"/>
              </w:rPr>
              <w:t>0.98</w:t>
            </w:r>
          </w:p>
        </w:tc>
        <w:tc>
          <w:tcPr>
            <w:tcW w:w="1092" w:type="dxa"/>
          </w:tcPr>
          <w:p>
            <w:pPr>
              <w:pStyle w:val="TableParagraph"/>
              <w:spacing w:before="57"/>
              <w:ind w:left="150" w:right="136"/>
              <w:jc w:val="center"/>
              <w:rPr>
                <w:sz w:val="18"/>
              </w:rPr>
            </w:pPr>
            <w:r>
              <w:rPr>
                <w:sz w:val="18"/>
              </w:rPr>
              <w:t>130</w:t>
            </w:r>
          </w:p>
        </w:tc>
        <w:tc>
          <w:tcPr>
            <w:tcW w:w="984" w:type="dxa"/>
          </w:tcPr>
          <w:p>
            <w:pPr>
              <w:pStyle w:val="TableParagraph"/>
              <w:spacing w:before="57"/>
              <w:ind w:left="132" w:right="121"/>
              <w:jc w:val="center"/>
              <w:rPr>
                <w:sz w:val="18"/>
              </w:rPr>
            </w:pPr>
            <w:r>
              <w:rPr>
                <w:sz w:val="18"/>
              </w:rPr>
              <w:t>17-45</w:t>
            </w:r>
          </w:p>
        </w:tc>
        <w:tc>
          <w:tcPr>
            <w:tcW w:w="737" w:type="dxa"/>
          </w:tcPr>
          <w:p>
            <w:pPr>
              <w:pStyle w:val="TableParagraph"/>
              <w:spacing w:before="57"/>
              <w:ind w:left="12"/>
              <w:jc w:val="center"/>
              <w:rPr>
                <w:sz w:val="18"/>
              </w:rPr>
            </w:pPr>
            <w:r>
              <w:rPr>
                <w:sz w:val="18"/>
              </w:rPr>
              <w:t>2</w:t>
            </w:r>
          </w:p>
        </w:tc>
      </w:tr>
      <w:tr>
        <w:trPr>
          <w:trHeight w:val="330" w:hRule="atLeast"/>
        </w:trPr>
        <w:tc>
          <w:tcPr>
            <w:tcW w:w="3319" w:type="dxa"/>
          </w:tcPr>
          <w:p>
            <w:pPr>
              <w:pStyle w:val="TableParagraph"/>
              <w:spacing w:before="57"/>
              <w:ind w:left="129"/>
              <w:rPr>
                <w:sz w:val="18"/>
              </w:rPr>
            </w:pPr>
            <w:r>
              <w:rPr>
                <w:sz w:val="18"/>
              </w:rPr>
              <w:t>Y = 0.0103 • DBH</w:t>
            </w:r>
            <w:r>
              <w:rPr>
                <w:sz w:val="18"/>
                <w:vertAlign w:val="superscript"/>
              </w:rPr>
              <w:t>2.993</w:t>
            </w:r>
          </w:p>
        </w:tc>
        <w:tc>
          <w:tcPr>
            <w:tcW w:w="1980" w:type="dxa"/>
          </w:tcPr>
          <w:p>
            <w:pPr>
              <w:pStyle w:val="TableParagraph"/>
              <w:spacing w:before="57"/>
              <w:ind w:left="86"/>
              <w:rPr>
                <w:sz w:val="18"/>
              </w:rPr>
            </w:pPr>
            <w:r>
              <w:rPr>
                <w:i/>
                <w:sz w:val="18"/>
              </w:rPr>
              <w:t>Bombacopsis quinatum </w:t>
            </w:r>
            <w:r>
              <w:rPr>
                <w:sz w:val="18"/>
                <w:vertAlign w:val="superscript"/>
              </w:rPr>
              <w:t>d</w:t>
            </w:r>
          </w:p>
        </w:tc>
        <w:tc>
          <w:tcPr>
            <w:tcW w:w="902" w:type="dxa"/>
          </w:tcPr>
          <w:p>
            <w:pPr>
              <w:pStyle w:val="TableParagraph"/>
              <w:spacing w:before="57"/>
              <w:ind w:left="292"/>
              <w:rPr>
                <w:sz w:val="18"/>
              </w:rPr>
            </w:pPr>
            <w:r>
              <w:rPr>
                <w:sz w:val="18"/>
              </w:rPr>
              <w:t>0.97</w:t>
            </w:r>
          </w:p>
        </w:tc>
        <w:tc>
          <w:tcPr>
            <w:tcW w:w="1092" w:type="dxa"/>
          </w:tcPr>
          <w:p>
            <w:pPr>
              <w:pStyle w:val="TableParagraph"/>
              <w:spacing w:before="57"/>
              <w:ind w:left="150" w:right="136"/>
              <w:jc w:val="center"/>
              <w:rPr>
                <w:sz w:val="18"/>
              </w:rPr>
            </w:pPr>
            <w:r>
              <w:rPr>
                <w:sz w:val="18"/>
              </w:rPr>
              <w:t>130</w:t>
            </w:r>
          </w:p>
        </w:tc>
        <w:tc>
          <w:tcPr>
            <w:tcW w:w="984" w:type="dxa"/>
          </w:tcPr>
          <w:p>
            <w:pPr>
              <w:pStyle w:val="TableParagraph"/>
              <w:spacing w:before="57"/>
              <w:ind w:left="132" w:right="121"/>
              <w:jc w:val="center"/>
              <w:rPr>
                <w:sz w:val="18"/>
              </w:rPr>
            </w:pPr>
            <w:r>
              <w:rPr>
                <w:sz w:val="18"/>
              </w:rPr>
              <w:t>14-46</w:t>
            </w:r>
          </w:p>
        </w:tc>
        <w:tc>
          <w:tcPr>
            <w:tcW w:w="737" w:type="dxa"/>
          </w:tcPr>
          <w:p>
            <w:pPr>
              <w:pStyle w:val="TableParagraph"/>
              <w:spacing w:before="57"/>
              <w:ind w:left="12"/>
              <w:jc w:val="center"/>
              <w:rPr>
                <w:sz w:val="18"/>
              </w:rPr>
            </w:pPr>
            <w:r>
              <w:rPr>
                <w:sz w:val="18"/>
              </w:rPr>
              <w:t>3</w:t>
            </w:r>
          </w:p>
        </w:tc>
      </w:tr>
      <w:tr>
        <w:trPr>
          <w:trHeight w:val="330" w:hRule="atLeast"/>
        </w:trPr>
        <w:tc>
          <w:tcPr>
            <w:tcW w:w="3319" w:type="dxa"/>
          </w:tcPr>
          <w:p>
            <w:pPr>
              <w:pStyle w:val="TableParagraph"/>
              <w:spacing w:before="57"/>
              <w:ind w:left="129"/>
              <w:rPr>
                <w:sz w:val="18"/>
              </w:rPr>
            </w:pPr>
            <w:r>
              <w:rPr>
                <w:sz w:val="18"/>
              </w:rPr>
              <w:t>Y = 1.22 • DBH</w:t>
            </w:r>
            <w:r>
              <w:rPr>
                <w:sz w:val="18"/>
                <w:vertAlign w:val="superscript"/>
              </w:rPr>
              <w:t>2</w:t>
            </w:r>
            <w:r>
              <w:rPr>
                <w:sz w:val="18"/>
                <w:vertAlign w:val="baseline"/>
              </w:rPr>
              <w:t> • HT • 0.01</w:t>
            </w:r>
          </w:p>
        </w:tc>
        <w:tc>
          <w:tcPr>
            <w:tcW w:w="1980" w:type="dxa"/>
          </w:tcPr>
          <w:p>
            <w:pPr>
              <w:pStyle w:val="TableParagraph"/>
              <w:spacing w:before="57"/>
              <w:ind w:left="86"/>
              <w:rPr>
                <w:sz w:val="18"/>
              </w:rPr>
            </w:pPr>
            <w:r>
              <w:rPr>
                <w:i/>
                <w:sz w:val="18"/>
              </w:rPr>
              <w:t>Eucalyptus sp. </w:t>
            </w:r>
            <w:r>
              <w:rPr>
                <w:sz w:val="18"/>
                <w:vertAlign w:val="superscript"/>
              </w:rPr>
              <w:t>e</w:t>
            </w:r>
          </w:p>
        </w:tc>
        <w:tc>
          <w:tcPr>
            <w:tcW w:w="902" w:type="dxa"/>
          </w:tcPr>
          <w:p>
            <w:pPr>
              <w:pStyle w:val="TableParagraph"/>
              <w:spacing w:before="57"/>
              <w:ind w:left="292"/>
              <w:rPr>
                <w:sz w:val="18"/>
              </w:rPr>
            </w:pPr>
            <w:r>
              <w:rPr>
                <w:sz w:val="18"/>
              </w:rPr>
              <w:t>0.97</w:t>
            </w:r>
          </w:p>
        </w:tc>
        <w:tc>
          <w:tcPr>
            <w:tcW w:w="1092" w:type="dxa"/>
          </w:tcPr>
          <w:p>
            <w:pPr>
              <w:pStyle w:val="TableParagraph"/>
              <w:spacing w:before="57"/>
              <w:ind w:left="150" w:right="136"/>
              <w:jc w:val="center"/>
              <w:rPr>
                <w:sz w:val="18"/>
              </w:rPr>
            </w:pPr>
            <w:r>
              <w:rPr>
                <w:sz w:val="18"/>
              </w:rPr>
              <w:t>130</w:t>
            </w:r>
          </w:p>
        </w:tc>
        <w:tc>
          <w:tcPr>
            <w:tcW w:w="984" w:type="dxa"/>
          </w:tcPr>
          <w:p>
            <w:pPr>
              <w:pStyle w:val="TableParagraph"/>
              <w:spacing w:before="57"/>
              <w:ind w:left="131" w:right="121"/>
              <w:jc w:val="center"/>
              <w:rPr>
                <w:sz w:val="18"/>
              </w:rPr>
            </w:pPr>
            <w:r>
              <w:rPr>
                <w:sz w:val="18"/>
              </w:rPr>
              <w:t>1-31</w:t>
            </w:r>
          </w:p>
        </w:tc>
        <w:tc>
          <w:tcPr>
            <w:tcW w:w="737" w:type="dxa"/>
          </w:tcPr>
          <w:p>
            <w:pPr>
              <w:pStyle w:val="TableParagraph"/>
              <w:spacing w:before="57"/>
              <w:ind w:left="12"/>
              <w:jc w:val="center"/>
              <w:rPr>
                <w:sz w:val="18"/>
              </w:rPr>
            </w:pPr>
            <w:r>
              <w:rPr>
                <w:sz w:val="18"/>
              </w:rPr>
              <w:t>4</w:t>
            </w:r>
          </w:p>
        </w:tc>
      </w:tr>
      <w:tr>
        <w:trPr>
          <w:trHeight w:val="328" w:hRule="atLeast"/>
        </w:trPr>
        <w:tc>
          <w:tcPr>
            <w:tcW w:w="3319" w:type="dxa"/>
          </w:tcPr>
          <w:p>
            <w:pPr>
              <w:pStyle w:val="TableParagraph"/>
              <w:spacing w:before="57"/>
              <w:ind w:left="129"/>
              <w:rPr>
                <w:sz w:val="18"/>
              </w:rPr>
            </w:pPr>
            <w:r>
              <w:rPr>
                <w:sz w:val="18"/>
              </w:rPr>
              <w:t>Y = 0.08859 • DBH</w:t>
            </w:r>
            <w:r>
              <w:rPr>
                <w:sz w:val="18"/>
                <w:vertAlign w:val="superscript"/>
              </w:rPr>
              <w:t>2.235</w:t>
            </w:r>
          </w:p>
        </w:tc>
        <w:tc>
          <w:tcPr>
            <w:tcW w:w="1980" w:type="dxa"/>
          </w:tcPr>
          <w:p>
            <w:pPr>
              <w:pStyle w:val="TableParagraph"/>
              <w:spacing w:before="57"/>
              <w:ind w:left="86"/>
              <w:rPr>
                <w:sz w:val="18"/>
              </w:rPr>
            </w:pPr>
            <w:r>
              <w:rPr>
                <w:i/>
                <w:sz w:val="18"/>
              </w:rPr>
              <w:t>Pinus pinaster </w:t>
            </w:r>
            <w:r>
              <w:rPr>
                <w:sz w:val="18"/>
                <w:vertAlign w:val="superscript"/>
              </w:rPr>
              <w:t>f</w:t>
            </w:r>
          </w:p>
        </w:tc>
        <w:tc>
          <w:tcPr>
            <w:tcW w:w="902" w:type="dxa"/>
          </w:tcPr>
          <w:p>
            <w:pPr>
              <w:pStyle w:val="TableParagraph"/>
              <w:spacing w:before="57"/>
              <w:ind w:left="292"/>
              <w:rPr>
                <w:sz w:val="18"/>
              </w:rPr>
            </w:pPr>
            <w:r>
              <w:rPr>
                <w:sz w:val="18"/>
              </w:rPr>
              <w:t>0.98</w:t>
            </w:r>
          </w:p>
        </w:tc>
        <w:tc>
          <w:tcPr>
            <w:tcW w:w="1092" w:type="dxa"/>
          </w:tcPr>
          <w:p>
            <w:pPr>
              <w:pStyle w:val="TableParagraph"/>
              <w:spacing w:before="57"/>
              <w:ind w:left="149" w:right="136"/>
              <w:jc w:val="center"/>
              <w:rPr>
                <w:sz w:val="18"/>
              </w:rPr>
            </w:pPr>
            <w:r>
              <w:rPr>
                <w:sz w:val="18"/>
              </w:rPr>
              <w:t>10</w:t>
            </w:r>
          </w:p>
        </w:tc>
        <w:tc>
          <w:tcPr>
            <w:tcW w:w="984" w:type="dxa"/>
          </w:tcPr>
          <w:p>
            <w:pPr>
              <w:pStyle w:val="TableParagraph"/>
              <w:spacing w:before="57"/>
              <w:ind w:left="131" w:right="121"/>
              <w:jc w:val="center"/>
              <w:rPr>
                <w:sz w:val="18"/>
              </w:rPr>
            </w:pPr>
            <w:r>
              <w:rPr>
                <w:sz w:val="18"/>
              </w:rPr>
              <w:t>0-47</w:t>
            </w:r>
          </w:p>
        </w:tc>
        <w:tc>
          <w:tcPr>
            <w:tcW w:w="737" w:type="dxa"/>
          </w:tcPr>
          <w:p>
            <w:pPr>
              <w:pStyle w:val="TableParagraph"/>
              <w:spacing w:before="57"/>
              <w:ind w:left="12"/>
              <w:jc w:val="center"/>
              <w:rPr>
                <w:sz w:val="18"/>
              </w:rPr>
            </w:pPr>
            <w:r>
              <w:rPr>
                <w:sz w:val="18"/>
              </w:rPr>
              <w:t>5</w:t>
            </w:r>
          </w:p>
        </w:tc>
      </w:tr>
      <w:tr>
        <w:trPr>
          <w:trHeight w:val="501" w:hRule="atLeast"/>
        </w:trPr>
        <w:tc>
          <w:tcPr>
            <w:tcW w:w="3319" w:type="dxa"/>
          </w:tcPr>
          <w:p>
            <w:pPr>
              <w:pStyle w:val="TableParagraph"/>
              <w:spacing w:before="38"/>
              <w:ind w:left="83" w:firstLine="45"/>
              <w:rPr>
                <w:sz w:val="18"/>
              </w:rPr>
            </w:pPr>
            <w:r>
              <w:rPr>
                <w:sz w:val="18"/>
              </w:rPr>
              <w:t>Y = 0.97 + 0.078 • BA – 0.00094 • BA</w:t>
            </w:r>
            <w:r>
              <w:rPr>
                <w:sz w:val="18"/>
                <w:vertAlign w:val="superscript"/>
              </w:rPr>
              <w:t>2</w:t>
            </w:r>
            <w:r>
              <w:rPr>
                <w:sz w:val="18"/>
                <w:vertAlign w:val="baseline"/>
              </w:rPr>
              <w:t> + 0.0000064 • BA</w:t>
            </w:r>
            <w:r>
              <w:rPr>
                <w:sz w:val="18"/>
                <w:vertAlign w:val="superscript"/>
              </w:rPr>
              <w:t>3</w:t>
            </w:r>
          </w:p>
        </w:tc>
        <w:tc>
          <w:tcPr>
            <w:tcW w:w="1980" w:type="dxa"/>
          </w:tcPr>
          <w:p>
            <w:pPr>
              <w:pStyle w:val="TableParagraph"/>
              <w:spacing w:before="141"/>
              <w:ind w:left="86"/>
              <w:rPr>
                <w:sz w:val="18"/>
              </w:rPr>
            </w:pPr>
            <w:r>
              <w:rPr>
                <w:i/>
                <w:sz w:val="18"/>
              </w:rPr>
              <w:t>Bactris gasipaes </w:t>
            </w:r>
            <w:r>
              <w:rPr>
                <w:sz w:val="18"/>
                <w:vertAlign w:val="superscript"/>
              </w:rPr>
              <w:t>g</w:t>
            </w:r>
          </w:p>
        </w:tc>
        <w:tc>
          <w:tcPr>
            <w:tcW w:w="902" w:type="dxa"/>
          </w:tcPr>
          <w:p>
            <w:pPr>
              <w:pStyle w:val="TableParagraph"/>
              <w:spacing w:before="141"/>
              <w:ind w:left="292"/>
              <w:rPr>
                <w:sz w:val="18"/>
              </w:rPr>
            </w:pPr>
            <w:r>
              <w:rPr>
                <w:sz w:val="18"/>
              </w:rPr>
              <w:t>0.98</w:t>
            </w:r>
          </w:p>
        </w:tc>
        <w:tc>
          <w:tcPr>
            <w:tcW w:w="1092" w:type="dxa"/>
          </w:tcPr>
          <w:p>
            <w:pPr>
              <w:pStyle w:val="TableParagraph"/>
              <w:spacing w:before="141"/>
              <w:ind w:left="150" w:right="136"/>
              <w:jc w:val="center"/>
              <w:rPr>
                <w:sz w:val="18"/>
              </w:rPr>
            </w:pPr>
            <w:r>
              <w:rPr>
                <w:sz w:val="18"/>
              </w:rPr>
              <w:t>100</w:t>
            </w:r>
          </w:p>
        </w:tc>
        <w:tc>
          <w:tcPr>
            <w:tcW w:w="984" w:type="dxa"/>
          </w:tcPr>
          <w:p>
            <w:pPr>
              <w:pStyle w:val="TableParagraph"/>
              <w:spacing w:before="141"/>
              <w:ind w:left="131" w:right="121"/>
              <w:jc w:val="center"/>
              <w:rPr>
                <w:sz w:val="18"/>
              </w:rPr>
            </w:pPr>
            <w:r>
              <w:rPr>
                <w:sz w:val="18"/>
              </w:rPr>
              <w:t>2-12</w:t>
            </w:r>
          </w:p>
        </w:tc>
        <w:tc>
          <w:tcPr>
            <w:tcW w:w="737" w:type="dxa"/>
          </w:tcPr>
          <w:p>
            <w:pPr>
              <w:pStyle w:val="TableParagraph"/>
              <w:spacing w:before="141"/>
              <w:ind w:left="12"/>
              <w:jc w:val="center"/>
              <w:rPr>
                <w:sz w:val="18"/>
              </w:rPr>
            </w:pPr>
            <w:r>
              <w:rPr>
                <w:sz w:val="18"/>
              </w:rPr>
              <w:t>6</w:t>
            </w:r>
          </w:p>
        </w:tc>
      </w:tr>
      <w:tr>
        <w:trPr>
          <w:trHeight w:val="328" w:hRule="atLeast"/>
        </w:trPr>
        <w:tc>
          <w:tcPr>
            <w:tcW w:w="3319" w:type="dxa"/>
          </w:tcPr>
          <w:p>
            <w:pPr>
              <w:pStyle w:val="TableParagraph"/>
              <w:spacing w:before="57"/>
              <w:ind w:left="129"/>
              <w:rPr>
                <w:sz w:val="18"/>
              </w:rPr>
            </w:pPr>
            <w:r>
              <w:rPr>
                <w:sz w:val="18"/>
              </w:rPr>
              <w:t>Y = –3.9 + 0.23 • BA + 0.0015 • BA</w:t>
            </w:r>
            <w:r>
              <w:rPr>
                <w:sz w:val="18"/>
                <w:vertAlign w:val="superscript"/>
              </w:rPr>
              <w:t>2</w:t>
            </w:r>
          </w:p>
        </w:tc>
        <w:tc>
          <w:tcPr>
            <w:tcW w:w="1980" w:type="dxa"/>
          </w:tcPr>
          <w:p>
            <w:pPr>
              <w:pStyle w:val="TableParagraph"/>
              <w:spacing w:before="57"/>
              <w:ind w:left="86"/>
              <w:rPr>
                <w:sz w:val="18"/>
              </w:rPr>
            </w:pPr>
            <w:r>
              <w:rPr>
                <w:i/>
                <w:sz w:val="18"/>
              </w:rPr>
              <w:t>Theobroma grandiflora </w:t>
            </w:r>
            <w:r>
              <w:rPr>
                <w:sz w:val="18"/>
                <w:vertAlign w:val="superscript"/>
              </w:rPr>
              <w:t>g</w:t>
            </w:r>
          </w:p>
        </w:tc>
        <w:tc>
          <w:tcPr>
            <w:tcW w:w="902" w:type="dxa"/>
          </w:tcPr>
          <w:p>
            <w:pPr>
              <w:pStyle w:val="TableParagraph"/>
              <w:spacing w:before="57"/>
              <w:ind w:left="292"/>
              <w:rPr>
                <w:sz w:val="18"/>
              </w:rPr>
            </w:pPr>
            <w:r>
              <w:rPr>
                <w:sz w:val="18"/>
              </w:rPr>
              <w:t>0.93</w:t>
            </w:r>
          </w:p>
        </w:tc>
        <w:tc>
          <w:tcPr>
            <w:tcW w:w="1092" w:type="dxa"/>
          </w:tcPr>
          <w:p>
            <w:pPr>
              <w:pStyle w:val="TableParagraph"/>
              <w:spacing w:before="57"/>
              <w:ind w:left="149" w:right="136"/>
              <w:jc w:val="center"/>
              <w:rPr>
                <w:sz w:val="18"/>
              </w:rPr>
            </w:pPr>
            <w:r>
              <w:rPr>
                <w:sz w:val="18"/>
              </w:rPr>
              <w:t>30</w:t>
            </w:r>
          </w:p>
        </w:tc>
        <w:tc>
          <w:tcPr>
            <w:tcW w:w="984" w:type="dxa"/>
          </w:tcPr>
          <w:p>
            <w:pPr>
              <w:pStyle w:val="TableParagraph"/>
              <w:spacing w:before="57"/>
              <w:ind w:left="131" w:right="121"/>
              <w:jc w:val="center"/>
              <w:rPr>
                <w:sz w:val="18"/>
              </w:rPr>
            </w:pPr>
            <w:r>
              <w:rPr>
                <w:sz w:val="18"/>
              </w:rPr>
              <w:t>6-18</w:t>
            </w:r>
          </w:p>
        </w:tc>
        <w:tc>
          <w:tcPr>
            <w:tcW w:w="737" w:type="dxa"/>
          </w:tcPr>
          <w:p>
            <w:pPr>
              <w:pStyle w:val="TableParagraph"/>
              <w:spacing w:before="57"/>
              <w:ind w:left="12"/>
              <w:jc w:val="center"/>
              <w:rPr>
                <w:sz w:val="18"/>
              </w:rPr>
            </w:pPr>
            <w:r>
              <w:rPr>
                <w:sz w:val="18"/>
              </w:rPr>
              <w:t>6</w:t>
            </w:r>
          </w:p>
        </w:tc>
      </w:tr>
      <w:tr>
        <w:trPr>
          <w:trHeight w:val="330" w:hRule="atLeast"/>
        </w:trPr>
        <w:tc>
          <w:tcPr>
            <w:tcW w:w="3319" w:type="dxa"/>
          </w:tcPr>
          <w:p>
            <w:pPr>
              <w:pStyle w:val="TableParagraph"/>
              <w:spacing w:before="57"/>
              <w:ind w:left="129"/>
              <w:rPr>
                <w:sz w:val="18"/>
              </w:rPr>
            </w:pPr>
            <w:r>
              <w:rPr>
                <w:sz w:val="18"/>
              </w:rPr>
              <w:t>Y = –3.84 + 0.528 • BA + 0.001 • BA</w:t>
            </w:r>
            <w:r>
              <w:rPr>
                <w:sz w:val="18"/>
                <w:vertAlign w:val="superscript"/>
              </w:rPr>
              <w:t>2</w:t>
            </w:r>
          </w:p>
        </w:tc>
        <w:tc>
          <w:tcPr>
            <w:tcW w:w="1980" w:type="dxa"/>
          </w:tcPr>
          <w:p>
            <w:pPr>
              <w:pStyle w:val="TableParagraph"/>
              <w:spacing w:before="57"/>
              <w:ind w:left="86"/>
              <w:rPr>
                <w:sz w:val="18"/>
              </w:rPr>
            </w:pPr>
            <w:r>
              <w:rPr>
                <w:i/>
                <w:sz w:val="18"/>
              </w:rPr>
              <w:t>Hevea brasiliensis </w:t>
            </w:r>
            <w:r>
              <w:rPr>
                <w:sz w:val="18"/>
                <w:vertAlign w:val="superscript"/>
              </w:rPr>
              <w:t>g</w:t>
            </w:r>
          </w:p>
        </w:tc>
        <w:tc>
          <w:tcPr>
            <w:tcW w:w="902" w:type="dxa"/>
          </w:tcPr>
          <w:p>
            <w:pPr>
              <w:pStyle w:val="TableParagraph"/>
              <w:spacing w:before="57"/>
              <w:ind w:left="292"/>
              <w:rPr>
                <w:sz w:val="18"/>
              </w:rPr>
            </w:pPr>
            <w:r>
              <w:rPr>
                <w:sz w:val="18"/>
              </w:rPr>
              <w:t>0.99</w:t>
            </w:r>
          </w:p>
        </w:tc>
        <w:tc>
          <w:tcPr>
            <w:tcW w:w="1092" w:type="dxa"/>
          </w:tcPr>
          <w:p>
            <w:pPr>
              <w:pStyle w:val="TableParagraph"/>
              <w:spacing w:before="57"/>
              <w:ind w:left="150" w:right="136"/>
              <w:jc w:val="center"/>
              <w:rPr>
                <w:sz w:val="18"/>
              </w:rPr>
            </w:pPr>
            <w:r>
              <w:rPr>
                <w:sz w:val="18"/>
              </w:rPr>
              <w:t>150</w:t>
            </w:r>
          </w:p>
        </w:tc>
        <w:tc>
          <w:tcPr>
            <w:tcW w:w="984" w:type="dxa"/>
          </w:tcPr>
          <w:p>
            <w:pPr>
              <w:pStyle w:val="TableParagraph"/>
              <w:spacing w:before="57"/>
              <w:ind w:left="131" w:right="121"/>
              <w:jc w:val="center"/>
              <w:rPr>
                <w:sz w:val="18"/>
              </w:rPr>
            </w:pPr>
            <w:r>
              <w:rPr>
                <w:sz w:val="18"/>
              </w:rPr>
              <w:t>6-20</w:t>
            </w:r>
          </w:p>
        </w:tc>
        <w:tc>
          <w:tcPr>
            <w:tcW w:w="737" w:type="dxa"/>
          </w:tcPr>
          <w:p>
            <w:pPr>
              <w:pStyle w:val="TableParagraph"/>
              <w:spacing w:before="57"/>
              <w:ind w:left="12"/>
              <w:jc w:val="center"/>
              <w:rPr>
                <w:sz w:val="18"/>
              </w:rPr>
            </w:pPr>
            <w:r>
              <w:rPr>
                <w:sz w:val="18"/>
              </w:rPr>
              <w:t>6</w:t>
            </w:r>
          </w:p>
        </w:tc>
      </w:tr>
      <w:tr>
        <w:trPr>
          <w:trHeight w:val="330" w:hRule="atLeast"/>
        </w:trPr>
        <w:tc>
          <w:tcPr>
            <w:tcW w:w="3319" w:type="dxa"/>
          </w:tcPr>
          <w:p>
            <w:pPr>
              <w:pStyle w:val="TableParagraph"/>
              <w:spacing w:before="57"/>
              <w:ind w:left="129"/>
              <w:rPr>
                <w:sz w:val="18"/>
              </w:rPr>
            </w:pPr>
            <w:r>
              <w:rPr>
                <w:sz w:val="18"/>
              </w:rPr>
              <w:t>Y = –6.64 + 0.279 • BA + 0.000514 • BA</w:t>
            </w:r>
            <w:r>
              <w:rPr>
                <w:sz w:val="18"/>
                <w:vertAlign w:val="superscript"/>
              </w:rPr>
              <w:t>2</w:t>
            </w:r>
          </w:p>
        </w:tc>
        <w:tc>
          <w:tcPr>
            <w:tcW w:w="1980" w:type="dxa"/>
          </w:tcPr>
          <w:p>
            <w:pPr>
              <w:pStyle w:val="TableParagraph"/>
              <w:spacing w:before="57"/>
              <w:ind w:left="86"/>
              <w:rPr>
                <w:sz w:val="18"/>
              </w:rPr>
            </w:pPr>
            <w:r>
              <w:rPr>
                <w:i/>
                <w:sz w:val="18"/>
              </w:rPr>
              <w:t>Citrus sinensis </w:t>
            </w:r>
            <w:r>
              <w:rPr>
                <w:sz w:val="18"/>
                <w:vertAlign w:val="superscript"/>
              </w:rPr>
              <w:t>g</w:t>
            </w:r>
          </w:p>
        </w:tc>
        <w:tc>
          <w:tcPr>
            <w:tcW w:w="902" w:type="dxa"/>
          </w:tcPr>
          <w:p>
            <w:pPr>
              <w:pStyle w:val="TableParagraph"/>
              <w:spacing w:before="57"/>
              <w:ind w:left="292"/>
              <w:rPr>
                <w:sz w:val="18"/>
              </w:rPr>
            </w:pPr>
            <w:r>
              <w:rPr>
                <w:sz w:val="18"/>
              </w:rPr>
              <w:t>0.94</w:t>
            </w:r>
          </w:p>
        </w:tc>
        <w:tc>
          <w:tcPr>
            <w:tcW w:w="1092" w:type="dxa"/>
          </w:tcPr>
          <w:p>
            <w:pPr>
              <w:pStyle w:val="TableParagraph"/>
              <w:spacing w:before="57"/>
              <w:ind w:left="149" w:right="136"/>
              <w:jc w:val="center"/>
              <w:rPr>
                <w:sz w:val="18"/>
              </w:rPr>
            </w:pPr>
            <w:r>
              <w:rPr>
                <w:sz w:val="18"/>
              </w:rPr>
              <w:t>30</w:t>
            </w:r>
          </w:p>
        </w:tc>
        <w:tc>
          <w:tcPr>
            <w:tcW w:w="984" w:type="dxa"/>
          </w:tcPr>
          <w:p>
            <w:pPr>
              <w:pStyle w:val="TableParagraph"/>
              <w:spacing w:before="57"/>
              <w:ind w:left="131" w:right="121"/>
              <w:jc w:val="center"/>
              <w:rPr>
                <w:sz w:val="18"/>
              </w:rPr>
            </w:pPr>
            <w:r>
              <w:rPr>
                <w:sz w:val="18"/>
              </w:rPr>
              <w:t>8-17</w:t>
            </w:r>
          </w:p>
        </w:tc>
        <w:tc>
          <w:tcPr>
            <w:tcW w:w="737" w:type="dxa"/>
          </w:tcPr>
          <w:p>
            <w:pPr>
              <w:pStyle w:val="TableParagraph"/>
              <w:spacing w:before="57"/>
              <w:ind w:left="12"/>
              <w:jc w:val="center"/>
              <w:rPr>
                <w:sz w:val="18"/>
              </w:rPr>
            </w:pPr>
            <w:r>
              <w:rPr>
                <w:sz w:val="18"/>
              </w:rPr>
              <w:t>6</w:t>
            </w:r>
          </w:p>
        </w:tc>
      </w:tr>
      <w:tr>
        <w:trPr>
          <w:trHeight w:val="328" w:hRule="atLeast"/>
        </w:trPr>
        <w:tc>
          <w:tcPr>
            <w:tcW w:w="3319" w:type="dxa"/>
          </w:tcPr>
          <w:p>
            <w:pPr>
              <w:pStyle w:val="TableParagraph"/>
              <w:spacing w:before="57"/>
              <w:ind w:left="129"/>
              <w:rPr>
                <w:sz w:val="18"/>
              </w:rPr>
            </w:pPr>
            <w:r>
              <w:rPr>
                <w:sz w:val="18"/>
              </w:rPr>
              <w:t>Y = –18.1 + 0.663 • BA + 0.000384 • BA</w:t>
            </w:r>
            <w:r>
              <w:rPr>
                <w:sz w:val="18"/>
                <w:vertAlign w:val="superscript"/>
              </w:rPr>
              <w:t>2</w:t>
            </w:r>
          </w:p>
        </w:tc>
        <w:tc>
          <w:tcPr>
            <w:tcW w:w="1980" w:type="dxa"/>
          </w:tcPr>
          <w:p>
            <w:pPr>
              <w:pStyle w:val="TableParagraph"/>
              <w:spacing w:before="57"/>
              <w:ind w:left="86"/>
              <w:rPr>
                <w:sz w:val="18"/>
              </w:rPr>
            </w:pPr>
            <w:r>
              <w:rPr>
                <w:i/>
                <w:sz w:val="18"/>
              </w:rPr>
              <w:t>Bertholletia excelsa </w:t>
            </w:r>
            <w:r>
              <w:rPr>
                <w:sz w:val="18"/>
                <w:vertAlign w:val="superscript"/>
              </w:rPr>
              <w:t>g</w:t>
            </w:r>
          </w:p>
        </w:tc>
        <w:tc>
          <w:tcPr>
            <w:tcW w:w="902" w:type="dxa"/>
          </w:tcPr>
          <w:p>
            <w:pPr>
              <w:pStyle w:val="TableParagraph"/>
              <w:spacing w:before="57"/>
              <w:ind w:left="292"/>
              <w:rPr>
                <w:sz w:val="18"/>
              </w:rPr>
            </w:pPr>
            <w:r>
              <w:rPr>
                <w:sz w:val="18"/>
              </w:rPr>
              <w:t>0.99</w:t>
            </w:r>
          </w:p>
        </w:tc>
        <w:tc>
          <w:tcPr>
            <w:tcW w:w="1092" w:type="dxa"/>
          </w:tcPr>
          <w:p>
            <w:pPr>
              <w:pStyle w:val="TableParagraph"/>
              <w:spacing w:before="57"/>
              <w:ind w:left="150" w:right="136"/>
              <w:jc w:val="center"/>
              <w:rPr>
                <w:sz w:val="18"/>
              </w:rPr>
            </w:pPr>
            <w:r>
              <w:rPr>
                <w:sz w:val="18"/>
              </w:rPr>
              <w:t>130</w:t>
            </w:r>
          </w:p>
        </w:tc>
        <w:tc>
          <w:tcPr>
            <w:tcW w:w="984" w:type="dxa"/>
          </w:tcPr>
          <w:p>
            <w:pPr>
              <w:pStyle w:val="TableParagraph"/>
              <w:spacing w:before="57"/>
              <w:ind w:left="131" w:right="121"/>
              <w:jc w:val="center"/>
              <w:rPr>
                <w:sz w:val="18"/>
              </w:rPr>
            </w:pPr>
            <w:r>
              <w:rPr>
                <w:sz w:val="18"/>
              </w:rPr>
              <w:t>8-26</w:t>
            </w:r>
          </w:p>
        </w:tc>
        <w:tc>
          <w:tcPr>
            <w:tcW w:w="737" w:type="dxa"/>
          </w:tcPr>
          <w:p>
            <w:pPr>
              <w:pStyle w:val="TableParagraph"/>
              <w:spacing w:before="57"/>
              <w:ind w:left="12"/>
              <w:jc w:val="center"/>
              <w:rPr>
                <w:sz w:val="18"/>
              </w:rPr>
            </w:pPr>
            <w:r>
              <w:rPr>
                <w:sz w:val="18"/>
              </w:rPr>
              <w:t>6</w:t>
            </w:r>
          </w:p>
        </w:tc>
      </w:tr>
      <w:tr>
        <w:trPr>
          <w:trHeight w:val="3969" w:hRule="atLeast"/>
        </w:trPr>
        <w:tc>
          <w:tcPr>
            <w:tcW w:w="9014" w:type="dxa"/>
            <w:gridSpan w:val="6"/>
          </w:tcPr>
          <w:p>
            <w:pPr>
              <w:pStyle w:val="TableParagraph"/>
              <w:spacing w:before="55"/>
              <w:ind w:left="83"/>
              <w:rPr>
                <w:sz w:val="18"/>
              </w:rPr>
            </w:pPr>
            <w:r>
              <w:rPr>
                <w:sz w:val="18"/>
              </w:rPr>
              <w:t>Where</w:t>
            </w:r>
          </w:p>
          <w:p>
            <w:pPr>
              <w:pStyle w:val="TableParagraph"/>
              <w:spacing w:before="61"/>
              <w:ind w:left="446" w:right="5685"/>
              <w:rPr>
                <w:sz w:val="18"/>
              </w:rPr>
            </w:pPr>
            <w:r>
              <w:rPr>
                <w:sz w:val="18"/>
              </w:rPr>
              <w:t>Y = aboveground dry matter, kg (tree)</w:t>
            </w:r>
            <w:r>
              <w:rPr>
                <w:sz w:val="18"/>
                <w:vertAlign w:val="superscript"/>
              </w:rPr>
              <w:t>-1</w:t>
            </w:r>
            <w:r>
              <w:rPr>
                <w:sz w:val="18"/>
                <w:vertAlign w:val="baseline"/>
              </w:rPr>
              <w:t> DBH =diameter, cm</w:t>
            </w:r>
          </w:p>
          <w:p>
            <w:pPr>
              <w:pStyle w:val="TableParagraph"/>
              <w:ind w:left="446" w:right="5947"/>
              <w:rPr>
                <w:sz w:val="18"/>
              </w:rPr>
            </w:pPr>
            <w:r>
              <w:rPr>
                <w:sz w:val="18"/>
              </w:rPr>
              <w:t>HT = total height of the tree, meters BA = basal area, cm</w:t>
            </w:r>
            <w:r>
              <w:rPr>
                <w:sz w:val="18"/>
                <w:vertAlign w:val="superscript"/>
              </w:rPr>
              <w:t>2</w:t>
            </w:r>
          </w:p>
          <w:p>
            <w:pPr>
              <w:pStyle w:val="TableParagraph"/>
              <w:spacing w:before="34"/>
              <w:ind w:left="83"/>
              <w:rPr>
                <w:sz w:val="18"/>
              </w:rPr>
            </w:pPr>
            <w:r>
              <w:rPr>
                <w:position w:val="8"/>
                <w:sz w:val="12"/>
              </w:rPr>
              <w:t>a </w:t>
            </w:r>
            <w:r>
              <w:rPr>
                <w:sz w:val="18"/>
              </w:rPr>
              <w:t>Height for DBH/BA is height above ground where diameter or basal area was measured, cm</w:t>
            </w:r>
          </w:p>
          <w:p>
            <w:pPr>
              <w:pStyle w:val="TableParagraph"/>
              <w:spacing w:before="96"/>
              <w:ind w:left="83"/>
              <w:rPr>
                <w:sz w:val="18"/>
              </w:rPr>
            </w:pPr>
            <w:r>
              <w:rPr>
                <w:position w:val="8"/>
                <w:sz w:val="12"/>
              </w:rPr>
              <w:t>b </w:t>
            </w:r>
            <w:r>
              <w:rPr>
                <w:sz w:val="18"/>
              </w:rPr>
              <w:t>87 individuals at ages of 5-47 years.</w:t>
            </w:r>
          </w:p>
          <w:p>
            <w:pPr>
              <w:pStyle w:val="TableParagraph"/>
              <w:spacing w:before="97"/>
              <w:ind w:left="83"/>
              <w:rPr>
                <w:sz w:val="18"/>
              </w:rPr>
            </w:pPr>
            <w:r>
              <w:rPr>
                <w:position w:val="8"/>
                <w:sz w:val="12"/>
              </w:rPr>
              <w:t>c </w:t>
            </w:r>
            <w:r>
              <w:rPr>
                <w:sz w:val="18"/>
              </w:rPr>
              <w:t>9 individuals at age of 20 years.</w:t>
            </w:r>
          </w:p>
          <w:p>
            <w:pPr>
              <w:pStyle w:val="TableParagraph"/>
              <w:spacing w:before="96"/>
              <w:ind w:left="83"/>
              <w:rPr>
                <w:sz w:val="18"/>
              </w:rPr>
            </w:pPr>
            <w:r>
              <w:rPr>
                <w:position w:val="8"/>
                <w:sz w:val="12"/>
              </w:rPr>
              <w:t>d </w:t>
            </w:r>
            <w:r>
              <w:rPr>
                <w:sz w:val="18"/>
              </w:rPr>
              <w:t>17 individuals at ages of 10-26 years.</w:t>
            </w:r>
          </w:p>
          <w:p>
            <w:pPr>
              <w:pStyle w:val="TableParagraph"/>
              <w:spacing w:before="95"/>
              <w:ind w:left="83"/>
              <w:rPr>
                <w:sz w:val="18"/>
              </w:rPr>
            </w:pPr>
            <w:r>
              <w:rPr>
                <w:position w:val="8"/>
                <w:sz w:val="12"/>
              </w:rPr>
              <w:t>e </w:t>
            </w:r>
            <w:r>
              <w:rPr>
                <w:sz w:val="18"/>
              </w:rPr>
              <w:t>Pooled values for 458 individuals of </w:t>
            </w:r>
            <w:r>
              <w:rPr>
                <w:i/>
                <w:sz w:val="18"/>
              </w:rPr>
              <w:t>Eucalyptus ovata</w:t>
            </w:r>
            <w:r>
              <w:rPr>
                <w:sz w:val="18"/>
              </w:rPr>
              <w:t>, </w:t>
            </w:r>
            <w:r>
              <w:rPr>
                <w:i/>
                <w:sz w:val="18"/>
              </w:rPr>
              <w:t>E. saligna</w:t>
            </w:r>
            <w:r>
              <w:rPr>
                <w:sz w:val="18"/>
              </w:rPr>
              <w:t>, </w:t>
            </w:r>
            <w:r>
              <w:rPr>
                <w:i/>
                <w:sz w:val="18"/>
              </w:rPr>
              <w:t>E. globulus </w:t>
            </w:r>
            <w:r>
              <w:rPr>
                <w:sz w:val="18"/>
              </w:rPr>
              <w:t>and </w:t>
            </w:r>
            <w:r>
              <w:rPr>
                <w:i/>
                <w:sz w:val="18"/>
              </w:rPr>
              <w:t>E. nites </w:t>
            </w:r>
            <w:r>
              <w:rPr>
                <w:sz w:val="18"/>
              </w:rPr>
              <w:t>at ages of 2-5 years.</w:t>
            </w:r>
          </w:p>
          <w:p>
            <w:pPr>
              <w:pStyle w:val="TableParagraph"/>
              <w:spacing w:before="96"/>
              <w:ind w:left="83"/>
              <w:rPr>
                <w:sz w:val="18"/>
              </w:rPr>
            </w:pPr>
            <w:r>
              <w:rPr>
                <w:position w:val="8"/>
                <w:sz w:val="12"/>
              </w:rPr>
              <w:t>f </w:t>
            </w:r>
            <w:r>
              <w:rPr>
                <w:sz w:val="18"/>
              </w:rPr>
              <w:t>148 individuals at ages of 1-47 years.</w:t>
            </w:r>
          </w:p>
          <w:p>
            <w:pPr>
              <w:pStyle w:val="TableParagraph"/>
              <w:spacing w:before="95"/>
              <w:ind w:left="83"/>
              <w:rPr>
                <w:sz w:val="18"/>
              </w:rPr>
            </w:pPr>
            <w:r>
              <w:rPr>
                <w:position w:val="8"/>
                <w:sz w:val="12"/>
              </w:rPr>
              <w:t>g </w:t>
            </w:r>
            <w:r>
              <w:rPr>
                <w:sz w:val="18"/>
              </w:rPr>
              <w:t>7-10 individuals at age of 7 years.</w:t>
            </w:r>
          </w:p>
          <w:p>
            <w:pPr>
              <w:pStyle w:val="TableParagraph"/>
              <w:spacing w:before="100"/>
              <w:ind w:left="83"/>
              <w:rPr>
                <w:sz w:val="16"/>
              </w:rPr>
            </w:pPr>
            <w:r>
              <w:rPr>
                <w:sz w:val="16"/>
              </w:rPr>
              <w:t>Sources: (1) Pérez and Kanninen, 2003; (2) Kraenzel </w:t>
            </w:r>
            <w:r>
              <w:rPr>
                <w:i/>
                <w:sz w:val="16"/>
              </w:rPr>
              <w:t>et al.</w:t>
            </w:r>
            <w:r>
              <w:rPr>
                <w:sz w:val="16"/>
              </w:rPr>
              <w:t>, 2003; (3) Pérez and Kanninen, 2002; (4) Senelwa and Sims, 1998;</w:t>
            </w:r>
          </w:p>
          <w:p>
            <w:pPr>
              <w:pStyle w:val="TableParagraph"/>
              <w:spacing w:before="1"/>
              <w:ind w:left="707"/>
              <w:rPr>
                <w:sz w:val="16"/>
              </w:rPr>
            </w:pPr>
            <w:r>
              <w:rPr>
                <w:sz w:val="16"/>
              </w:rPr>
              <w:t>(5) Ritson and Sochacki, 2003; (6) Schroth </w:t>
            </w:r>
            <w:r>
              <w:rPr>
                <w:i/>
                <w:sz w:val="16"/>
              </w:rPr>
              <w:t>et al.</w:t>
            </w:r>
            <w:r>
              <w:rPr>
                <w:sz w:val="16"/>
              </w:rPr>
              <w:t>, 2002.</w:t>
            </w:r>
          </w:p>
        </w:tc>
      </w:tr>
    </w:tbl>
    <w:p>
      <w:pPr>
        <w:spacing w:after="0"/>
        <w:rPr>
          <w:sz w:val="16"/>
        </w:rPr>
        <w:sectPr>
          <w:headerReference w:type="even" r:id="rId339"/>
          <w:headerReference w:type="default" r:id="rId340"/>
          <w:pgSz w:w="11900" w:h="16840"/>
          <w:pgMar w:header="230" w:footer="408" w:top="560" w:bottom="600" w:left="1240" w:right="0"/>
        </w:sectPr>
      </w:pPr>
    </w:p>
    <w:p>
      <w:pPr>
        <w:pStyle w:val="BodyText"/>
        <w:spacing w:before="10" w:after="1"/>
        <w:rPr>
          <w:sz w:val="27"/>
        </w:rPr>
      </w:pPr>
    </w:p>
    <w:tbl>
      <w:tblPr>
        <w:tblW w:w="0" w:type="auto"/>
        <w:jc w:val="lef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75"/>
        <w:gridCol w:w="4044"/>
        <w:gridCol w:w="1116"/>
        <w:gridCol w:w="679"/>
      </w:tblGrid>
      <w:tr>
        <w:trPr>
          <w:trHeight w:val="947" w:hRule="atLeast"/>
        </w:trPr>
        <w:tc>
          <w:tcPr>
            <w:tcW w:w="9014" w:type="dxa"/>
            <w:gridSpan w:val="4"/>
            <w:tcBorders>
              <w:bottom w:val="double" w:sz="1" w:space="0" w:color="000000"/>
            </w:tcBorders>
          </w:tcPr>
          <w:p>
            <w:pPr>
              <w:pStyle w:val="TableParagraph"/>
              <w:spacing w:line="207" w:lineRule="exact" w:before="59"/>
              <w:ind w:left="120" w:right="114"/>
              <w:jc w:val="center"/>
              <w:rPr>
                <w:b/>
                <w:sz w:val="18"/>
              </w:rPr>
            </w:pPr>
            <w:r>
              <w:rPr>
                <w:b/>
                <w:sz w:val="18"/>
              </w:rPr>
              <w:t>T</w:t>
            </w:r>
            <w:r>
              <w:rPr>
                <w:b/>
                <w:sz w:val="14"/>
              </w:rPr>
              <w:t>ABLE </w:t>
            </w:r>
            <w:r>
              <w:rPr>
                <w:b/>
                <w:sz w:val="18"/>
              </w:rPr>
              <w:t>4.A.4</w:t>
            </w:r>
          </w:p>
          <w:p>
            <w:pPr>
              <w:pStyle w:val="TableParagraph"/>
              <w:spacing w:line="194" w:lineRule="exact"/>
              <w:ind w:left="1199"/>
              <w:rPr>
                <w:b/>
                <w:sz w:val="14"/>
              </w:rPr>
            </w:pPr>
            <w:r>
              <w:rPr>
                <w:b/>
                <w:sz w:val="18"/>
              </w:rPr>
              <w:t>A</w:t>
            </w:r>
            <w:r>
              <w:rPr>
                <w:b/>
                <w:sz w:val="14"/>
              </w:rPr>
              <w:t>LLOMETRIC EQUATIONS FOR ESTIMATING BELOWGROUND OR ROOT BIOMASS OF FORESTS</w:t>
            </w:r>
          </w:p>
          <w:p>
            <w:pPr>
              <w:pStyle w:val="TableParagraph"/>
              <w:spacing w:line="206" w:lineRule="exact" w:before="15"/>
              <w:ind w:left="123" w:right="111"/>
              <w:jc w:val="center"/>
              <w:rPr>
                <w:b/>
                <w:sz w:val="14"/>
              </w:rPr>
            </w:pPr>
            <w:r>
              <w:rPr>
                <w:b/>
                <w:sz w:val="18"/>
              </w:rPr>
              <w:t>A</w:t>
            </w:r>
            <w:r>
              <w:rPr>
                <w:b/>
                <w:sz w:val="14"/>
              </w:rPr>
              <w:t>LTHOUGH ADDITION OF AGE AND LATITUDE DID NOT INCREASE THE </w:t>
            </w:r>
            <w:r>
              <w:rPr>
                <w:b/>
                <w:sz w:val="18"/>
              </w:rPr>
              <w:t>R</w:t>
            </w:r>
            <w:r>
              <w:rPr>
                <w:b/>
                <w:position w:val="8"/>
                <w:sz w:val="12"/>
              </w:rPr>
              <w:t>2 </w:t>
            </w:r>
            <w:r>
              <w:rPr>
                <w:b/>
                <w:sz w:val="14"/>
              </w:rPr>
              <w:t>BY VERY MUCH</w:t>
            </w:r>
            <w:r>
              <w:rPr>
                <w:b/>
                <w:sz w:val="18"/>
              </w:rPr>
              <w:t>, </w:t>
            </w:r>
            <w:r>
              <w:rPr>
                <w:b/>
                <w:sz w:val="14"/>
              </w:rPr>
              <w:t>THE COEFFICIENTS WERE HIGHLY SIGNIFICANT</w:t>
            </w:r>
          </w:p>
        </w:tc>
      </w:tr>
      <w:tr>
        <w:trPr>
          <w:trHeight w:val="308" w:hRule="atLeast"/>
        </w:trPr>
        <w:tc>
          <w:tcPr>
            <w:tcW w:w="3175" w:type="dxa"/>
            <w:tcBorders>
              <w:top w:val="double" w:sz="1" w:space="0" w:color="000000"/>
            </w:tcBorders>
          </w:tcPr>
          <w:p>
            <w:pPr>
              <w:pStyle w:val="TableParagraph"/>
              <w:spacing w:before="52"/>
              <w:ind w:left="129"/>
              <w:rPr>
                <w:b/>
                <w:sz w:val="18"/>
              </w:rPr>
            </w:pPr>
            <w:r>
              <w:rPr>
                <w:b/>
                <w:sz w:val="18"/>
              </w:rPr>
              <w:t>Conditions and independent variables</w:t>
            </w:r>
          </w:p>
        </w:tc>
        <w:tc>
          <w:tcPr>
            <w:tcW w:w="4044" w:type="dxa"/>
            <w:tcBorders>
              <w:top w:val="double" w:sz="1" w:space="0" w:color="000000"/>
            </w:tcBorders>
          </w:tcPr>
          <w:p>
            <w:pPr>
              <w:pStyle w:val="TableParagraph"/>
              <w:spacing w:before="52"/>
              <w:ind w:left="1649" w:right="1634"/>
              <w:jc w:val="center"/>
              <w:rPr>
                <w:b/>
                <w:sz w:val="18"/>
              </w:rPr>
            </w:pPr>
            <w:r>
              <w:rPr>
                <w:b/>
                <w:sz w:val="18"/>
              </w:rPr>
              <w:t>Equation</w:t>
            </w:r>
          </w:p>
        </w:tc>
        <w:tc>
          <w:tcPr>
            <w:tcW w:w="1116" w:type="dxa"/>
            <w:tcBorders>
              <w:top w:val="double" w:sz="1" w:space="0" w:color="000000"/>
            </w:tcBorders>
          </w:tcPr>
          <w:p>
            <w:pPr>
              <w:pStyle w:val="TableParagraph"/>
              <w:spacing w:before="52"/>
              <w:ind w:left="89" w:right="82"/>
              <w:jc w:val="center"/>
              <w:rPr>
                <w:b/>
                <w:sz w:val="18"/>
              </w:rPr>
            </w:pPr>
            <w:r>
              <w:rPr>
                <w:b/>
                <w:sz w:val="18"/>
              </w:rPr>
              <w:t>Sample size</w:t>
            </w:r>
          </w:p>
        </w:tc>
        <w:tc>
          <w:tcPr>
            <w:tcW w:w="679" w:type="dxa"/>
            <w:tcBorders>
              <w:top w:val="double" w:sz="1" w:space="0" w:color="000000"/>
            </w:tcBorders>
          </w:tcPr>
          <w:p>
            <w:pPr>
              <w:pStyle w:val="TableParagraph"/>
              <w:spacing w:before="29"/>
              <w:ind w:left="246"/>
              <w:rPr>
                <w:b/>
                <w:sz w:val="12"/>
              </w:rPr>
            </w:pPr>
            <w:r>
              <w:rPr>
                <w:b/>
                <w:position w:val="-7"/>
                <w:sz w:val="18"/>
              </w:rPr>
              <w:t>R</w:t>
            </w:r>
            <w:r>
              <w:rPr>
                <w:b/>
                <w:sz w:val="12"/>
              </w:rPr>
              <w:t>2</w:t>
            </w:r>
          </w:p>
        </w:tc>
      </w:tr>
      <w:tr>
        <w:trPr>
          <w:trHeight w:val="330" w:hRule="atLeast"/>
        </w:trPr>
        <w:tc>
          <w:tcPr>
            <w:tcW w:w="3175" w:type="dxa"/>
          </w:tcPr>
          <w:p>
            <w:pPr>
              <w:pStyle w:val="TableParagraph"/>
              <w:spacing w:before="57"/>
              <w:ind w:left="107"/>
              <w:rPr>
                <w:sz w:val="18"/>
              </w:rPr>
            </w:pPr>
            <w:r>
              <w:rPr>
                <w:sz w:val="18"/>
              </w:rPr>
              <w:t>All forests, ABD</w:t>
            </w:r>
          </w:p>
        </w:tc>
        <w:tc>
          <w:tcPr>
            <w:tcW w:w="4044" w:type="dxa"/>
          </w:tcPr>
          <w:p>
            <w:pPr>
              <w:pStyle w:val="TableParagraph"/>
              <w:spacing w:before="57"/>
              <w:ind w:left="111"/>
              <w:rPr>
                <w:sz w:val="18"/>
              </w:rPr>
            </w:pPr>
            <w:r>
              <w:rPr>
                <w:sz w:val="18"/>
              </w:rPr>
              <w:t>Y=exp[–1.085 + 0.9256 • ln(ABD)]</w:t>
            </w:r>
          </w:p>
        </w:tc>
        <w:tc>
          <w:tcPr>
            <w:tcW w:w="1116" w:type="dxa"/>
          </w:tcPr>
          <w:p>
            <w:pPr>
              <w:pStyle w:val="TableParagraph"/>
              <w:spacing w:before="57"/>
              <w:ind w:left="89" w:right="82"/>
              <w:jc w:val="center"/>
              <w:rPr>
                <w:sz w:val="18"/>
              </w:rPr>
            </w:pPr>
            <w:r>
              <w:rPr>
                <w:sz w:val="18"/>
              </w:rPr>
              <w:t>151</w:t>
            </w:r>
          </w:p>
        </w:tc>
        <w:tc>
          <w:tcPr>
            <w:tcW w:w="679" w:type="dxa"/>
          </w:tcPr>
          <w:p>
            <w:pPr>
              <w:pStyle w:val="TableParagraph"/>
              <w:spacing w:before="57"/>
              <w:ind w:left="184"/>
              <w:rPr>
                <w:sz w:val="18"/>
              </w:rPr>
            </w:pPr>
            <w:r>
              <w:rPr>
                <w:sz w:val="18"/>
              </w:rPr>
              <w:t>0.83</w:t>
            </w:r>
          </w:p>
        </w:tc>
      </w:tr>
      <w:tr>
        <w:trPr>
          <w:trHeight w:val="330" w:hRule="atLeast"/>
        </w:trPr>
        <w:tc>
          <w:tcPr>
            <w:tcW w:w="3175" w:type="dxa"/>
          </w:tcPr>
          <w:p>
            <w:pPr>
              <w:pStyle w:val="TableParagraph"/>
              <w:spacing w:before="57"/>
              <w:ind w:left="107"/>
              <w:rPr>
                <w:sz w:val="18"/>
              </w:rPr>
            </w:pPr>
            <w:r>
              <w:rPr>
                <w:sz w:val="18"/>
              </w:rPr>
              <w:t>All forests, ABD and AGE</w:t>
            </w:r>
          </w:p>
        </w:tc>
        <w:tc>
          <w:tcPr>
            <w:tcW w:w="4044" w:type="dxa"/>
          </w:tcPr>
          <w:p>
            <w:pPr>
              <w:pStyle w:val="TableParagraph"/>
              <w:spacing w:before="57"/>
              <w:ind w:left="111"/>
              <w:rPr>
                <w:sz w:val="18"/>
              </w:rPr>
            </w:pPr>
            <w:r>
              <w:rPr>
                <w:sz w:val="18"/>
              </w:rPr>
              <w:t>Y=exp[–1.3267+0.8877•ln(ABD)+0.1045•ln(AGE)</w:t>
            </w:r>
          </w:p>
        </w:tc>
        <w:tc>
          <w:tcPr>
            <w:tcW w:w="1116" w:type="dxa"/>
          </w:tcPr>
          <w:p>
            <w:pPr>
              <w:pStyle w:val="TableParagraph"/>
              <w:spacing w:before="57"/>
              <w:ind w:left="89" w:right="81"/>
              <w:jc w:val="center"/>
              <w:rPr>
                <w:sz w:val="18"/>
              </w:rPr>
            </w:pPr>
            <w:r>
              <w:rPr>
                <w:sz w:val="18"/>
              </w:rPr>
              <w:t>109</w:t>
            </w:r>
          </w:p>
        </w:tc>
        <w:tc>
          <w:tcPr>
            <w:tcW w:w="679" w:type="dxa"/>
          </w:tcPr>
          <w:p>
            <w:pPr>
              <w:pStyle w:val="TableParagraph"/>
              <w:spacing w:before="57"/>
              <w:ind w:left="184"/>
              <w:rPr>
                <w:sz w:val="18"/>
              </w:rPr>
            </w:pPr>
            <w:r>
              <w:rPr>
                <w:sz w:val="18"/>
              </w:rPr>
              <w:t>0.84</w:t>
            </w:r>
          </w:p>
        </w:tc>
      </w:tr>
      <w:tr>
        <w:trPr>
          <w:trHeight w:val="328" w:hRule="atLeast"/>
        </w:trPr>
        <w:tc>
          <w:tcPr>
            <w:tcW w:w="3175" w:type="dxa"/>
          </w:tcPr>
          <w:p>
            <w:pPr>
              <w:pStyle w:val="TableParagraph"/>
              <w:spacing w:before="57"/>
              <w:ind w:left="107"/>
              <w:rPr>
                <w:sz w:val="18"/>
              </w:rPr>
            </w:pPr>
            <w:r>
              <w:rPr>
                <w:sz w:val="18"/>
              </w:rPr>
              <w:t>Tropical forests, ABD</w:t>
            </w:r>
          </w:p>
        </w:tc>
        <w:tc>
          <w:tcPr>
            <w:tcW w:w="4044" w:type="dxa"/>
          </w:tcPr>
          <w:p>
            <w:pPr>
              <w:pStyle w:val="TableParagraph"/>
              <w:spacing w:before="57"/>
              <w:ind w:left="110"/>
              <w:rPr>
                <w:sz w:val="18"/>
              </w:rPr>
            </w:pPr>
            <w:r>
              <w:rPr>
                <w:sz w:val="18"/>
              </w:rPr>
              <w:t>Y=exp[–1.0587 + 0.8836 • ln(ABD)]</w:t>
            </w:r>
          </w:p>
        </w:tc>
        <w:tc>
          <w:tcPr>
            <w:tcW w:w="1116" w:type="dxa"/>
          </w:tcPr>
          <w:p>
            <w:pPr>
              <w:pStyle w:val="TableParagraph"/>
              <w:spacing w:before="57"/>
              <w:ind w:left="89" w:right="82"/>
              <w:jc w:val="center"/>
              <w:rPr>
                <w:sz w:val="18"/>
              </w:rPr>
            </w:pPr>
            <w:r>
              <w:rPr>
                <w:sz w:val="18"/>
              </w:rPr>
              <w:t>151</w:t>
            </w:r>
          </w:p>
        </w:tc>
        <w:tc>
          <w:tcPr>
            <w:tcW w:w="679" w:type="dxa"/>
          </w:tcPr>
          <w:p>
            <w:pPr>
              <w:pStyle w:val="TableParagraph"/>
              <w:spacing w:before="57"/>
              <w:ind w:left="184"/>
              <w:rPr>
                <w:sz w:val="18"/>
              </w:rPr>
            </w:pPr>
            <w:r>
              <w:rPr>
                <w:sz w:val="18"/>
              </w:rPr>
              <w:t>0.84</w:t>
            </w:r>
          </w:p>
        </w:tc>
      </w:tr>
      <w:tr>
        <w:trPr>
          <w:trHeight w:val="330" w:hRule="atLeast"/>
        </w:trPr>
        <w:tc>
          <w:tcPr>
            <w:tcW w:w="3175" w:type="dxa"/>
          </w:tcPr>
          <w:p>
            <w:pPr>
              <w:pStyle w:val="TableParagraph"/>
              <w:spacing w:before="57"/>
              <w:ind w:left="107"/>
              <w:rPr>
                <w:sz w:val="18"/>
              </w:rPr>
            </w:pPr>
            <w:r>
              <w:rPr>
                <w:sz w:val="18"/>
              </w:rPr>
              <w:t>Temperate forests, ABD</w:t>
            </w:r>
          </w:p>
        </w:tc>
        <w:tc>
          <w:tcPr>
            <w:tcW w:w="4044" w:type="dxa"/>
          </w:tcPr>
          <w:p>
            <w:pPr>
              <w:pStyle w:val="TableParagraph"/>
              <w:spacing w:before="57"/>
              <w:ind w:left="110"/>
              <w:rPr>
                <w:sz w:val="18"/>
              </w:rPr>
            </w:pPr>
            <w:r>
              <w:rPr>
                <w:sz w:val="18"/>
              </w:rPr>
              <w:t>Y=exp[–1.0587 + 0.8836 • ln(ABD) + 0.2840]</w:t>
            </w:r>
          </w:p>
        </w:tc>
        <w:tc>
          <w:tcPr>
            <w:tcW w:w="1116" w:type="dxa"/>
          </w:tcPr>
          <w:p>
            <w:pPr>
              <w:pStyle w:val="TableParagraph"/>
              <w:spacing w:before="57"/>
              <w:ind w:left="89" w:right="81"/>
              <w:jc w:val="center"/>
              <w:rPr>
                <w:sz w:val="18"/>
              </w:rPr>
            </w:pPr>
            <w:r>
              <w:rPr>
                <w:sz w:val="18"/>
              </w:rPr>
              <w:t>151</w:t>
            </w:r>
          </w:p>
        </w:tc>
        <w:tc>
          <w:tcPr>
            <w:tcW w:w="679" w:type="dxa"/>
          </w:tcPr>
          <w:p>
            <w:pPr>
              <w:pStyle w:val="TableParagraph"/>
              <w:spacing w:before="57"/>
              <w:ind w:left="184"/>
              <w:rPr>
                <w:sz w:val="18"/>
              </w:rPr>
            </w:pPr>
            <w:r>
              <w:rPr>
                <w:sz w:val="18"/>
              </w:rPr>
              <w:t>0.84</w:t>
            </w:r>
          </w:p>
        </w:tc>
      </w:tr>
      <w:tr>
        <w:trPr>
          <w:trHeight w:val="330" w:hRule="atLeast"/>
        </w:trPr>
        <w:tc>
          <w:tcPr>
            <w:tcW w:w="3175" w:type="dxa"/>
          </w:tcPr>
          <w:p>
            <w:pPr>
              <w:pStyle w:val="TableParagraph"/>
              <w:spacing w:before="57"/>
              <w:ind w:left="107"/>
              <w:rPr>
                <w:sz w:val="18"/>
              </w:rPr>
            </w:pPr>
            <w:r>
              <w:rPr>
                <w:sz w:val="18"/>
              </w:rPr>
              <w:t>Boreal forests, ABD</w:t>
            </w:r>
          </w:p>
        </w:tc>
        <w:tc>
          <w:tcPr>
            <w:tcW w:w="4044" w:type="dxa"/>
          </w:tcPr>
          <w:p>
            <w:pPr>
              <w:pStyle w:val="TableParagraph"/>
              <w:spacing w:before="57"/>
              <w:ind w:left="110"/>
              <w:rPr>
                <w:sz w:val="18"/>
              </w:rPr>
            </w:pPr>
            <w:r>
              <w:rPr>
                <w:sz w:val="18"/>
              </w:rPr>
              <w:t>Y=exp[–1.0587 + 0.8836 • ln(ABD) + 0.1874]</w:t>
            </w:r>
          </w:p>
        </w:tc>
        <w:tc>
          <w:tcPr>
            <w:tcW w:w="1116" w:type="dxa"/>
          </w:tcPr>
          <w:p>
            <w:pPr>
              <w:pStyle w:val="TableParagraph"/>
              <w:spacing w:before="57"/>
              <w:ind w:left="89" w:right="82"/>
              <w:jc w:val="center"/>
              <w:rPr>
                <w:sz w:val="18"/>
              </w:rPr>
            </w:pPr>
            <w:r>
              <w:rPr>
                <w:sz w:val="18"/>
              </w:rPr>
              <w:t>151</w:t>
            </w:r>
          </w:p>
        </w:tc>
        <w:tc>
          <w:tcPr>
            <w:tcW w:w="679" w:type="dxa"/>
          </w:tcPr>
          <w:p>
            <w:pPr>
              <w:pStyle w:val="TableParagraph"/>
              <w:spacing w:before="57"/>
              <w:ind w:left="184"/>
              <w:rPr>
                <w:sz w:val="18"/>
              </w:rPr>
            </w:pPr>
            <w:r>
              <w:rPr>
                <w:sz w:val="18"/>
              </w:rPr>
              <w:t>0.84</w:t>
            </w:r>
          </w:p>
        </w:tc>
      </w:tr>
      <w:tr>
        <w:trPr>
          <w:trHeight w:val="1643" w:hRule="atLeast"/>
        </w:trPr>
        <w:tc>
          <w:tcPr>
            <w:tcW w:w="9014" w:type="dxa"/>
            <w:gridSpan w:val="4"/>
          </w:tcPr>
          <w:p>
            <w:pPr>
              <w:pStyle w:val="TableParagraph"/>
              <w:spacing w:before="55"/>
              <w:ind w:left="107"/>
              <w:rPr>
                <w:sz w:val="18"/>
              </w:rPr>
            </w:pPr>
            <w:r>
              <w:rPr>
                <w:sz w:val="18"/>
              </w:rPr>
              <w:t>Where</w:t>
            </w:r>
          </w:p>
          <w:p>
            <w:pPr>
              <w:pStyle w:val="TableParagraph"/>
              <w:spacing w:before="59"/>
              <w:ind w:left="470" w:right="5535"/>
              <w:rPr>
                <w:sz w:val="18"/>
              </w:rPr>
            </w:pPr>
            <w:r>
              <w:rPr>
                <w:sz w:val="18"/>
              </w:rPr>
              <w:t>Y= root biomass in Mg ha</w:t>
            </w:r>
            <w:r>
              <w:rPr>
                <w:sz w:val="18"/>
                <w:vertAlign w:val="superscript"/>
              </w:rPr>
              <w:t>-1</w:t>
            </w:r>
            <w:r>
              <w:rPr>
                <w:sz w:val="18"/>
                <w:vertAlign w:val="baseline"/>
              </w:rPr>
              <w:t> of dry matter ln = natural logarithm</w:t>
            </w:r>
          </w:p>
          <w:p>
            <w:pPr>
              <w:pStyle w:val="TableParagraph"/>
              <w:spacing w:line="206" w:lineRule="exact"/>
              <w:ind w:left="470"/>
              <w:rPr>
                <w:sz w:val="18"/>
              </w:rPr>
            </w:pPr>
            <w:r>
              <w:rPr>
                <w:sz w:val="18"/>
              </w:rPr>
              <w:t>exp = “e to the power of”</w:t>
            </w:r>
          </w:p>
          <w:p>
            <w:pPr>
              <w:pStyle w:val="TableParagraph"/>
              <w:ind w:left="470" w:right="4590"/>
              <w:rPr>
                <w:sz w:val="18"/>
              </w:rPr>
            </w:pPr>
            <w:r>
              <w:rPr>
                <w:sz w:val="18"/>
              </w:rPr>
              <w:t>ABD = aboveground biomass in Mg ha</w:t>
            </w:r>
            <w:r>
              <w:rPr>
                <w:sz w:val="18"/>
                <w:vertAlign w:val="superscript"/>
              </w:rPr>
              <w:t>-1</w:t>
            </w:r>
            <w:r>
              <w:rPr>
                <w:sz w:val="18"/>
                <w:vertAlign w:val="baseline"/>
              </w:rPr>
              <w:t> of dry matter AGE = age of the forest, years</w:t>
            </w:r>
          </w:p>
          <w:p>
            <w:pPr>
              <w:pStyle w:val="TableParagraph"/>
              <w:spacing w:before="41"/>
              <w:ind w:left="107"/>
              <w:rPr>
                <w:sz w:val="16"/>
              </w:rPr>
            </w:pPr>
            <w:r>
              <w:rPr>
                <w:sz w:val="16"/>
              </w:rPr>
              <w:t>Source: Cairns et al., 1997</w:t>
            </w:r>
          </w:p>
        </w:tc>
      </w:tr>
    </w:tbl>
    <w:p>
      <w:pPr>
        <w:spacing w:after="0"/>
        <w:rPr>
          <w:sz w:val="16"/>
        </w:rPr>
        <w:sectPr>
          <w:pgSz w:w="11900" w:h="16840"/>
          <w:pgMar w:header="230" w:footer="408" w:top="560" w:bottom="600" w:left="1240" w:right="0"/>
        </w:sectPr>
      </w:pPr>
    </w:p>
    <w:p>
      <w:pPr>
        <w:pStyle w:val="BodyText"/>
      </w:pPr>
    </w:p>
    <w:p>
      <w:pPr>
        <w:pStyle w:val="Heading4"/>
        <w:spacing w:before="214"/>
        <w:ind w:left="179"/>
        <w:rPr>
          <w:rFonts w:ascii="Times New Roman"/>
        </w:rPr>
      </w:pPr>
      <w:r>
        <w:rPr>
          <w:rFonts w:ascii="Times New Roman"/>
        </w:rPr>
        <w:t>References</w:t>
      </w:r>
    </w:p>
    <w:p>
      <w:pPr>
        <w:pStyle w:val="Heading6"/>
        <w:spacing w:before="240"/>
        <w:ind w:left="179" w:right="1556"/>
      </w:pPr>
      <w:r>
        <w:rPr/>
        <w:t>METHODS FOR ESTIMATION, MEASUREMENT, MONITORING AND REPORTING OF LULUCF ACTIVITIES UNDER ARTICLES 3.3 AND 3.4</w:t>
      </w:r>
    </w:p>
    <w:p>
      <w:pPr>
        <w:pStyle w:val="BodyText"/>
        <w:spacing w:before="115"/>
        <w:ind w:left="462" w:right="1403" w:hanging="284"/>
        <w:jc w:val="both"/>
      </w:pPr>
      <w:r>
        <w:rPr/>
        <w:t>Coleman K. and Jenkinson D.S. (1996). RothC-26.3- A Model for the turnover of carbon in soil. In: Powlson D.S., Smith P., and Smith J.U. (eds.) Evaluation of Soil Organic Matter Models Using Existing, Long-Term Datasets, NATO ASI Series I, Vol.38, Springer-Verlag, Heidelberg, pp. 237-246. 34</w:t>
      </w:r>
    </w:p>
    <w:p>
      <w:pPr>
        <w:pStyle w:val="BodyText"/>
        <w:spacing w:before="119"/>
        <w:ind w:left="462" w:right="1407" w:hanging="284"/>
        <w:jc w:val="both"/>
      </w:pPr>
      <w:r>
        <w:rPr/>
        <w:t>Flanagan L.B., Wever L.A., and Carlson P.J. (2002). Seasonal and interannual variation in carbon dioxide exchange and carbon balance in a northern temperate grassland. </w:t>
      </w:r>
      <w:r>
        <w:rPr>
          <w:i/>
        </w:rPr>
        <w:t>Global Change Biology, </w:t>
      </w:r>
      <w:r>
        <w:rPr/>
        <w:t>8: pp. 599-615.</w:t>
      </w:r>
    </w:p>
    <w:p>
      <w:pPr>
        <w:pStyle w:val="BodyText"/>
        <w:spacing w:before="121"/>
        <w:ind w:left="462" w:right="1405" w:hanging="284"/>
        <w:jc w:val="both"/>
      </w:pPr>
      <w:r>
        <w:rPr/>
        <w:t>Follett R.F., Kimble R.F., and Lal R. (2000). The potential of U.S. grazing lands to sequester carbon. In: Follett R.F., Kimble J.M. and Lal R. (eds).The potential of U.S. grazing lands to sequester carbon and mitigate the greenhouse effect. Lewis Publishers, Boca Raton: pp. 401-430.</w:t>
      </w:r>
    </w:p>
    <w:p>
      <w:pPr>
        <w:pStyle w:val="BodyText"/>
        <w:spacing w:before="119"/>
        <w:ind w:left="462" w:right="1403" w:hanging="284"/>
        <w:jc w:val="both"/>
      </w:pPr>
      <w:r>
        <w:rPr/>
        <w:t>Griffis T.J., Rouse W.R., and Waddington J.M. (2000). Interannual variability of net ecosystem CO</w:t>
      </w:r>
      <w:r>
        <w:rPr>
          <w:vertAlign w:val="subscript"/>
        </w:rPr>
        <w:t>2</w:t>
      </w:r>
      <w:r>
        <w:rPr>
          <w:vertAlign w:val="baseline"/>
        </w:rPr>
        <w:t> exchange at a subarctic fen. </w:t>
      </w:r>
      <w:r>
        <w:rPr>
          <w:i/>
          <w:vertAlign w:val="baseline"/>
        </w:rPr>
        <w:t>Global Biogeochemical Cycles, </w:t>
      </w:r>
      <w:r>
        <w:rPr>
          <w:vertAlign w:val="baseline"/>
        </w:rPr>
        <w:t>14: pp. 1109-1121.</w:t>
      </w:r>
    </w:p>
    <w:p>
      <w:pPr>
        <w:pStyle w:val="BodyText"/>
        <w:spacing w:before="121"/>
        <w:ind w:left="462" w:right="1403" w:hanging="284"/>
        <w:jc w:val="both"/>
      </w:pPr>
      <w:r>
        <w:rPr/>
        <w:t>Guo, L.B. and Gifford R.M. (2002). Soil carbon stocks and land use change: a meta analysis. </w:t>
      </w:r>
      <w:r>
        <w:rPr>
          <w:i/>
        </w:rPr>
        <w:t>Global Change Biology, </w:t>
      </w:r>
      <w:r>
        <w:rPr/>
        <w:t>8: pp. 345-360.</w:t>
      </w:r>
    </w:p>
    <w:p>
      <w:pPr>
        <w:spacing w:before="118"/>
        <w:ind w:left="462" w:right="1405" w:hanging="284"/>
        <w:jc w:val="both"/>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21"/>
        <w:ind w:left="462" w:right="1404" w:hanging="284"/>
        <w:jc w:val="both"/>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 IPCC/OECD/IEA/IGES, Hayama, Japan.</w:t>
      </w:r>
    </w:p>
    <w:p>
      <w:pPr>
        <w:spacing w:before="119"/>
        <w:ind w:left="462" w:right="1409" w:hanging="284"/>
        <w:jc w:val="both"/>
        <w:rPr>
          <w:sz w:val="20"/>
        </w:rPr>
      </w:pPr>
      <w:r>
        <w:rPr>
          <w:sz w:val="20"/>
        </w:rPr>
        <w:t>Intergovernmental Panel on Climate Change (IPCC). (2000b). Watson R., Noble I.R., Bolin B., Ravindranath, N.H., Verardo D.J. and Dokken D.J. (Eds) </w:t>
      </w:r>
      <w:r>
        <w:rPr>
          <w:i/>
          <w:sz w:val="20"/>
        </w:rPr>
        <w:t>Land use, Land-use Change, and Forestry: A Special Report</w:t>
      </w:r>
      <w:r>
        <w:rPr>
          <w:sz w:val="20"/>
        </w:rPr>
        <w:t>. Cambridge University Press. Cambridge, UK.</w:t>
      </w:r>
    </w:p>
    <w:p>
      <w:pPr>
        <w:pStyle w:val="BodyText"/>
        <w:spacing w:before="119"/>
        <w:ind w:left="179"/>
      </w:pPr>
      <w:r>
        <w:rPr/>
        <w:t>Kurz W.A. and Apps M.J. (1999). A 70-year retrospective analysis of carbon fluxes in the Canadian forest sector.</w:t>
      </w:r>
    </w:p>
    <w:p>
      <w:pPr>
        <w:spacing w:before="1"/>
        <w:ind w:left="462" w:right="0" w:firstLine="0"/>
        <w:jc w:val="left"/>
        <w:rPr>
          <w:sz w:val="20"/>
        </w:rPr>
      </w:pPr>
      <w:r>
        <w:rPr>
          <w:i/>
          <w:sz w:val="20"/>
        </w:rPr>
        <w:t>Ecological Applications, </w:t>
      </w:r>
      <w:r>
        <w:rPr>
          <w:sz w:val="20"/>
        </w:rPr>
        <w:t>9(2): pp. 526-547.</w:t>
      </w:r>
    </w:p>
    <w:p>
      <w:pPr>
        <w:pStyle w:val="BodyText"/>
        <w:spacing w:before="118"/>
        <w:ind w:left="462" w:right="1407" w:hanging="284"/>
        <w:jc w:val="both"/>
      </w:pPr>
      <w:r>
        <w:rPr/>
        <w:t>Kurz W.A., Apps M.J., Webb T.M., and McNamee P.J. (1992). The carbon budget of the Canadian forest sector: phase I. Forestry Canada, Northwest Region. Information Report NOR-X-326, 93 pp.</w:t>
      </w:r>
    </w:p>
    <w:p>
      <w:pPr>
        <w:pStyle w:val="BodyText"/>
        <w:spacing w:before="121"/>
        <w:ind w:left="462" w:right="1408" w:hanging="284"/>
        <w:jc w:val="both"/>
      </w:pPr>
      <w:r>
        <w:rPr/>
        <w:t>Lal R.,Kimble J.M., Follet R.F., Cole C.V. (1998). The potential of U.S. cropland to sequester carbon and mitigate the greenhouse effect. Ann Arbor Press, Chelsea, MI. 128pp.</w:t>
      </w:r>
    </w:p>
    <w:p>
      <w:pPr>
        <w:pStyle w:val="BodyText"/>
        <w:spacing w:before="118"/>
        <w:ind w:left="462" w:right="1402" w:hanging="284"/>
        <w:jc w:val="both"/>
      </w:pPr>
      <w:r>
        <w:rPr/>
        <w:t>Linn D.M., Doran J.W. (1984). Effect of water-filled pore space on carbon dioxide and nitrous oxide production in tilled and non-tilled soils. </w:t>
      </w:r>
      <w:r>
        <w:rPr>
          <w:i/>
        </w:rPr>
        <w:t>Soil Science Society of America Journal</w:t>
      </w:r>
      <w:r>
        <w:rPr/>
        <w:t>, 48: pp. 1267-1272.</w:t>
      </w:r>
    </w:p>
    <w:p>
      <w:pPr>
        <w:pStyle w:val="BodyText"/>
        <w:spacing w:before="121"/>
        <w:ind w:left="462" w:right="1410" w:hanging="284"/>
        <w:jc w:val="both"/>
      </w:pPr>
      <w:r>
        <w:rPr/>
        <w:t>MacKenzie A.F., Fan M.X. and Cadrin F. (1998). Nitrous oxide emission in three years as affected by tillage, corn-soybean-alfalfa rotations, and nitrogen fertilization. </w:t>
      </w:r>
      <w:r>
        <w:rPr>
          <w:i/>
        </w:rPr>
        <w:t>Journal of Environmental Quality </w:t>
      </w:r>
      <w:r>
        <w:rPr/>
        <w:t>27: pp. 698-703.</w:t>
      </w:r>
    </w:p>
    <w:p>
      <w:pPr>
        <w:pStyle w:val="BodyText"/>
        <w:spacing w:before="118"/>
        <w:ind w:left="462" w:right="1409" w:hanging="284"/>
        <w:jc w:val="both"/>
      </w:pPr>
      <w:r>
        <w:rPr/>
        <w:t>Parton W.J., Schimel D.S., Cole C.V. and Ojima D.S. (1987). Analysis of factors controlling soil organic matter levels in Great Plains grasslands. </w:t>
      </w:r>
      <w:r>
        <w:rPr>
          <w:i/>
        </w:rPr>
        <w:t>Soil Science Society of America Journal </w:t>
      </w:r>
      <w:r>
        <w:rPr/>
        <w:t>51, 1173-1179.</w:t>
      </w:r>
    </w:p>
    <w:p>
      <w:pPr>
        <w:pStyle w:val="BodyText"/>
        <w:spacing w:before="121"/>
        <w:ind w:left="462" w:right="1359" w:hanging="284"/>
        <w:jc w:val="both"/>
      </w:pPr>
      <w:r>
        <w:rPr/>
        <w:t>Paustian K., Andrén O., Janzen H.H., Lal R., Smith P., Tian G., Tiessen H., van Noordwijk M., and Woomer P.L. (1997). Agricultural soils as a sink to mitigate CO</w:t>
      </w:r>
      <w:r>
        <w:rPr>
          <w:vertAlign w:val="subscript"/>
        </w:rPr>
        <w:t>2</w:t>
      </w:r>
      <w:r>
        <w:rPr>
          <w:vertAlign w:val="baseline"/>
        </w:rPr>
        <w:t> emissions. </w:t>
      </w:r>
      <w:r>
        <w:rPr>
          <w:i/>
          <w:vertAlign w:val="baseline"/>
        </w:rPr>
        <w:t>Soil Use and Management, </w:t>
      </w:r>
      <w:r>
        <w:rPr>
          <w:vertAlign w:val="baseline"/>
        </w:rPr>
        <w:t>13: pp. 229-244.</w:t>
      </w:r>
    </w:p>
    <w:p>
      <w:pPr>
        <w:pStyle w:val="BodyText"/>
        <w:spacing w:before="119"/>
        <w:ind w:left="462" w:right="1408" w:hanging="284"/>
        <w:jc w:val="both"/>
      </w:pPr>
      <w:r>
        <w:rPr/>
        <w:t>Robertson G.P., Paul E.A., Harwood R.R. (2000). Greenhouse gases in intensive agriculture: Contributions of individual gases to the radiative forcing of the atmosphere. </w:t>
      </w:r>
      <w:r>
        <w:rPr>
          <w:i/>
        </w:rPr>
        <w:t>Science, </w:t>
      </w:r>
      <w:r>
        <w:rPr/>
        <w:t>289 (5486): pp. 1922-1925.</w:t>
      </w:r>
    </w:p>
    <w:p>
      <w:pPr>
        <w:pStyle w:val="BodyText"/>
        <w:spacing w:before="120"/>
        <w:ind w:left="462" w:right="1405" w:hanging="284"/>
        <w:jc w:val="both"/>
      </w:pPr>
      <w:r>
        <w:rPr/>
        <w:t>Smith P., Goulding K.W., Smith K.A., Powlson D.S., Smith J.U., Falloon P.D., Coleman K. (2001). Enhancing the carbon sink in European agricultural soils: Including trace gas fluxes in estimates of carbon mitigation potential. </w:t>
      </w:r>
      <w:r>
        <w:rPr>
          <w:i/>
        </w:rPr>
        <w:t>Nutrient Cycling in Agroecosystems, </w:t>
      </w:r>
      <w:r>
        <w:rPr/>
        <w:t>60: pp. 237-252.</w:t>
      </w:r>
    </w:p>
    <w:p>
      <w:pPr>
        <w:pStyle w:val="BodyText"/>
        <w:spacing w:before="119"/>
        <w:ind w:left="462" w:right="1406" w:hanging="284"/>
        <w:jc w:val="both"/>
      </w:pPr>
      <w:r>
        <w:rPr/>
        <w:t>Smith P., Powlson D.S., Glendining M.J., and Smith J.U. (1997). Potential for carbon sequestration in European soils: preliminary estimates for five scenarios using results from long-term experiments. </w:t>
      </w:r>
      <w:r>
        <w:rPr>
          <w:i/>
        </w:rPr>
        <w:t>Global Change Biology, </w:t>
      </w:r>
      <w:r>
        <w:rPr/>
        <w:t>3: pp. 67-79.</w:t>
      </w:r>
    </w:p>
    <w:p>
      <w:pPr>
        <w:pStyle w:val="BodyText"/>
        <w:spacing w:before="119"/>
        <w:ind w:left="462" w:right="1405" w:hanging="284"/>
        <w:jc w:val="both"/>
      </w:pPr>
      <w:r>
        <w:rPr/>
        <w:t>Smith P., Powlson D.S., Glendining M.J., Smith J.U. (1998). Preliminary estimates of the potential for carbon mitigation in European soils through no-till farming. </w:t>
      </w:r>
      <w:r>
        <w:rPr>
          <w:i/>
        </w:rPr>
        <w:t>Global Change Biology, </w:t>
      </w:r>
      <w:r>
        <w:rPr/>
        <w:t>4: pp. 679-685.</w:t>
      </w:r>
    </w:p>
    <w:p>
      <w:pPr>
        <w:spacing w:after="0"/>
        <w:jc w:val="both"/>
        <w:sectPr>
          <w:headerReference w:type="even" r:id="rId341"/>
          <w:headerReference w:type="default" r:id="rId342"/>
          <w:pgSz w:w="11900" w:h="16840"/>
          <w:pgMar w:header="230" w:footer="408" w:top="560" w:bottom="600" w:left="1240" w:right="0"/>
        </w:sectPr>
      </w:pPr>
    </w:p>
    <w:p>
      <w:pPr>
        <w:pStyle w:val="BodyText"/>
      </w:pPr>
    </w:p>
    <w:p>
      <w:pPr>
        <w:pStyle w:val="BodyText"/>
        <w:spacing w:before="2"/>
        <w:rPr>
          <w:sz w:val="18"/>
        </w:rPr>
      </w:pPr>
    </w:p>
    <w:p>
      <w:pPr>
        <w:pStyle w:val="BodyText"/>
        <w:ind w:left="462" w:right="1407" w:hanging="284"/>
        <w:jc w:val="both"/>
      </w:pPr>
      <w:r>
        <w:rPr/>
        <w:t>Smith P., Powlson D.S., Smith J.U., Falloon P.D. and Coleman K. (2000). Meeting Europe’s Climate Change Commitments: Quantitative Estimates of the Potential for Carbon Mitigation by agriculture. </w:t>
      </w:r>
      <w:r>
        <w:rPr>
          <w:i/>
        </w:rPr>
        <w:t>Global Change Biology, </w:t>
      </w:r>
      <w:r>
        <w:rPr/>
        <w:t>6: pp. 525-539.</w:t>
      </w:r>
    </w:p>
    <w:p>
      <w:pPr>
        <w:pStyle w:val="BodyText"/>
        <w:spacing w:before="121"/>
        <w:ind w:left="462" w:right="1359" w:hanging="284"/>
        <w:jc w:val="both"/>
      </w:pPr>
      <w:r>
        <w:rPr/>
        <w:t>Tian H., Melillo J.M., Kicklighter D.W., McGuire A.D., Helfrich J.V.K. III, Moore B.I., and Vorosmarty C.J. (1998). Effect of interannual climate variability on carbon storage in Amazonian ecosystems. </w:t>
      </w:r>
      <w:r>
        <w:rPr>
          <w:i/>
        </w:rPr>
        <w:t>Nature, </w:t>
      </w:r>
      <w:r>
        <w:rPr/>
        <w:t>396: pp. 664-667.</w:t>
      </w:r>
    </w:p>
    <w:p>
      <w:pPr>
        <w:pStyle w:val="BodyText"/>
        <w:spacing w:before="119"/>
        <w:ind w:left="462" w:right="1402" w:hanging="284"/>
        <w:jc w:val="both"/>
      </w:pPr>
      <w:r>
        <w:rPr/>
        <w:t>Tate K.R., Scott N.A., Saggar S., Giltrap D.J., Baisden W.T., Newsome P.F., Trotter C.M., Wilde R.H. (2003). Land-use change alters New Zealand's terrestrial carbon budget: uncertainties associated with estimates of soil carbon change between 1990-2000. </w:t>
      </w:r>
      <w:r>
        <w:rPr>
          <w:i/>
        </w:rPr>
        <w:t>Tellus, </w:t>
      </w:r>
      <w:r>
        <w:rPr/>
        <w:t>55B: pp.</w:t>
      </w:r>
      <w:r>
        <w:rPr>
          <w:spacing w:val="-5"/>
        </w:rPr>
        <w:t> </w:t>
      </w:r>
      <w:r>
        <w:rPr/>
        <w:t>364-377.</w:t>
      </w:r>
    </w:p>
    <w:p>
      <w:pPr>
        <w:pStyle w:val="BodyText"/>
        <w:spacing w:before="119"/>
        <w:ind w:left="462" w:right="1404" w:hanging="284"/>
        <w:jc w:val="both"/>
      </w:pPr>
      <w:r>
        <w:rPr/>
        <w:t>Vinten A.J.A., Ball B.C., O’Sullivan M.F., and Henshall J.K. (2002). The effects of cultivation method, fertilizer input and previous sward type on organic C and N storage and gaseous losses under spring and winter barley following long-term leys. </w:t>
      </w:r>
      <w:r>
        <w:rPr>
          <w:i/>
        </w:rPr>
        <w:t>J. Agric. Sci. Camb.</w:t>
      </w:r>
      <w:r>
        <w:rPr/>
        <w:t>, 139 (3), pp. 231-243.</w:t>
      </w:r>
    </w:p>
    <w:p>
      <w:pPr>
        <w:pStyle w:val="BodyText"/>
        <w:spacing w:before="119"/>
        <w:ind w:left="462" w:right="1407" w:hanging="284"/>
        <w:jc w:val="both"/>
      </w:pPr>
      <w:r>
        <w:rPr/>
        <w:t>Weier K.L., McEwan C.W., Vallis I., Catchpoole V.R., and Myers R.J. (1996). Potential for biological denitrification of fertilizer nitrogen in sugarcane soils. </w:t>
      </w:r>
      <w:r>
        <w:rPr>
          <w:i/>
        </w:rPr>
        <w:t>Aust. J. Agric. Res.</w:t>
      </w:r>
      <w:r>
        <w:rPr/>
        <w:t>, 47: pp. 67-79.</w:t>
      </w:r>
    </w:p>
    <w:p>
      <w:pPr>
        <w:pStyle w:val="BodyText"/>
        <w:rPr>
          <w:sz w:val="22"/>
        </w:rPr>
      </w:pPr>
    </w:p>
    <w:p>
      <w:pPr>
        <w:pStyle w:val="BodyText"/>
        <w:spacing w:before="10"/>
        <w:rPr>
          <w:sz w:val="29"/>
        </w:rPr>
      </w:pPr>
    </w:p>
    <w:p>
      <w:pPr>
        <w:pStyle w:val="Heading6"/>
        <w:ind w:left="179"/>
      </w:pPr>
      <w:r>
        <w:rPr/>
        <w:t>LULUCF PROJECTS</w:t>
      </w:r>
    </w:p>
    <w:p>
      <w:pPr>
        <w:pStyle w:val="BodyText"/>
        <w:spacing w:before="114"/>
        <w:ind w:left="462" w:right="1408" w:hanging="284"/>
        <w:jc w:val="both"/>
      </w:pPr>
      <w:r>
        <w:rPr/>
        <w:t>Araújo T.M., Higuchi N., and de Carvalho Junior J.A. (1999). Comparison of formulae for biomass content determination in a tropical rain forest site in the state of Pará, Brazil. </w:t>
      </w:r>
      <w:r>
        <w:rPr>
          <w:i/>
        </w:rPr>
        <w:t>For. Ecol. Manage, </w:t>
      </w:r>
      <w:r>
        <w:rPr/>
        <w:t>117: pp. 43-52.</w:t>
      </w:r>
    </w:p>
    <w:p>
      <w:pPr>
        <w:pStyle w:val="BodyText"/>
        <w:spacing w:before="118"/>
        <w:ind w:left="179"/>
      </w:pPr>
      <w:r>
        <w:rPr/>
        <w:t>Avery T.E. and Burkhart H.E. (eds.). (1983). </w:t>
      </w:r>
      <w:r>
        <w:rPr>
          <w:i/>
        </w:rPr>
        <w:t>Forest Measurements</w:t>
      </w:r>
      <w:r>
        <w:rPr/>
        <w:t>. 3rd edition. McGraw-Hill, New York.</w:t>
      </w:r>
    </w:p>
    <w:p>
      <w:pPr>
        <w:spacing w:before="121"/>
        <w:ind w:left="462" w:right="1408" w:hanging="284"/>
        <w:jc w:val="both"/>
        <w:rPr>
          <w:sz w:val="20"/>
        </w:rPr>
      </w:pPr>
      <w:r>
        <w:rPr>
          <w:sz w:val="20"/>
        </w:rPr>
        <w:t>Beets P.N., Robertson K.A., Ford-Robertson J.B., Gordon J., and Maclaren J.P. (1999). Description and validation of C change: a model for simulating carbon content in managed </w:t>
      </w:r>
      <w:r>
        <w:rPr>
          <w:i/>
          <w:sz w:val="20"/>
        </w:rPr>
        <w:t>Pinus radiata </w:t>
      </w:r>
      <w:r>
        <w:rPr>
          <w:sz w:val="20"/>
        </w:rPr>
        <w:t>stands. </w:t>
      </w:r>
      <w:r>
        <w:rPr>
          <w:i/>
          <w:sz w:val="20"/>
        </w:rPr>
        <w:t>New Zealand Journal of Forestry Science </w:t>
      </w:r>
      <w:r>
        <w:rPr>
          <w:sz w:val="20"/>
        </w:rPr>
        <w:t>29(3): pp.</w:t>
      </w:r>
      <w:r>
        <w:rPr>
          <w:spacing w:val="1"/>
          <w:sz w:val="20"/>
        </w:rPr>
        <w:t> </w:t>
      </w:r>
      <w:r>
        <w:rPr>
          <w:sz w:val="20"/>
        </w:rPr>
        <w:t>409-427.</w:t>
      </w:r>
    </w:p>
    <w:p>
      <w:pPr>
        <w:pStyle w:val="BodyText"/>
        <w:spacing w:before="118"/>
        <w:ind w:left="462" w:right="1407" w:hanging="284"/>
        <w:jc w:val="both"/>
      </w:pPr>
      <w:r>
        <w:rPr/>
        <w:t>Bennie A.T.P., Taylor H.M., and Georgen P.G. (1987). An assessment of the core-break method for estimating root density of different crops in the field. </w:t>
      </w:r>
      <w:r>
        <w:rPr>
          <w:i/>
        </w:rPr>
        <w:t>Soil Till. Res. </w:t>
      </w:r>
      <w:r>
        <w:rPr/>
        <w:t>9: pp. 347-353.</w:t>
      </w:r>
    </w:p>
    <w:p>
      <w:pPr>
        <w:pStyle w:val="BodyText"/>
        <w:spacing w:before="121"/>
        <w:ind w:left="462" w:right="1405" w:hanging="284"/>
        <w:jc w:val="both"/>
      </w:pPr>
      <w:r>
        <w:rPr/>
        <w:t>Blake, G.R. and Hartage K.H. (1986). Bulk density. In Klute A. (ed.) Methods of Soil Analysis. Part 1. Physical and Mineralogical Methods. </w:t>
      </w:r>
      <w:r>
        <w:rPr>
          <w:i/>
        </w:rPr>
        <w:t>Agronomy No. 9</w:t>
      </w:r>
      <w:r>
        <w:rPr/>
        <w:t>. ASA, Madison, WI. pp. 363-375.</w:t>
      </w:r>
    </w:p>
    <w:p>
      <w:pPr>
        <w:pStyle w:val="BodyText"/>
        <w:spacing w:before="119"/>
        <w:ind w:left="462" w:right="1401" w:hanging="284"/>
        <w:jc w:val="both"/>
      </w:pPr>
      <w:r>
        <w:rPr/>
        <w:t>Bland W.L. (1989). Estimating root length density by the core-break method. </w:t>
      </w:r>
      <w:r>
        <w:rPr>
          <w:i/>
        </w:rPr>
        <w:t>Soil Sci. Soc. Am. J. </w:t>
      </w:r>
      <w:r>
        <w:rPr/>
        <w:t>53: pp. 1595- 1597.</w:t>
      </w:r>
    </w:p>
    <w:p>
      <w:pPr>
        <w:pStyle w:val="BodyText"/>
        <w:spacing w:before="121"/>
        <w:ind w:left="179"/>
      </w:pPr>
      <w:r>
        <w:rPr/>
        <w:t>Böhm W. (1979). Methods of Studying Root Systems. Springer-Verlag, New York.</w:t>
      </w:r>
    </w:p>
    <w:p>
      <w:pPr>
        <w:pStyle w:val="BodyText"/>
        <w:spacing w:before="120"/>
        <w:ind w:left="462" w:right="1406" w:hanging="284"/>
        <w:jc w:val="both"/>
      </w:pPr>
      <w:r>
        <w:rPr/>
        <w:t>Boscolo M., Powell M., Delaney M., Brown S., and Faris R. (2000). The cost of inventorying and monitoring carbon. Lessons from the Noel Kempff Climate Action Project. </w:t>
      </w:r>
      <w:r>
        <w:rPr>
          <w:i/>
        </w:rPr>
        <w:t>Journal of Forestry</w:t>
      </w:r>
      <w:r>
        <w:rPr/>
        <w:t>, September, pp. 24-27 and 29-31.</w:t>
      </w:r>
    </w:p>
    <w:p>
      <w:pPr>
        <w:pStyle w:val="BodyText"/>
        <w:spacing w:before="119"/>
        <w:ind w:left="462" w:right="1406" w:hanging="284"/>
        <w:jc w:val="both"/>
      </w:pPr>
      <w:r>
        <w:rPr/>
        <w:t>Brown J.K and Roussopoulos J.K. (1974). Eliminating biases in the planar intercept method for estimating volumes of small fuels. </w:t>
      </w:r>
      <w:r>
        <w:rPr>
          <w:i/>
        </w:rPr>
        <w:t>Forest Science </w:t>
      </w:r>
      <w:r>
        <w:rPr/>
        <w:t>20: pp. 350-356.</w:t>
      </w:r>
    </w:p>
    <w:p>
      <w:pPr>
        <w:pStyle w:val="BodyText"/>
        <w:spacing w:before="121"/>
        <w:ind w:left="462" w:right="1406" w:hanging="284"/>
        <w:jc w:val="both"/>
      </w:pPr>
      <w:r>
        <w:rPr/>
        <w:t>Brown S. (1997). Estimating biomass and biomass change of tropical forests. A primer. FAO Forestry Paper No.134. Rome, Italy. 55 p.</w:t>
      </w:r>
    </w:p>
    <w:p>
      <w:pPr>
        <w:pStyle w:val="BodyText"/>
        <w:spacing w:before="118"/>
        <w:ind w:left="179"/>
        <w:rPr>
          <w:i/>
        </w:rPr>
      </w:pPr>
      <w:r>
        <w:rPr/>
        <w:t>Brown S. (2002). Measuring, monitoring, and verification of carbon benefits for forest-based projects. </w:t>
      </w:r>
      <w:r>
        <w:rPr>
          <w:i/>
        </w:rPr>
        <w:t>Phil.</w:t>
      </w:r>
    </w:p>
    <w:p>
      <w:pPr>
        <w:spacing w:before="0"/>
        <w:ind w:left="462" w:right="0" w:firstLine="0"/>
        <w:jc w:val="left"/>
        <w:rPr>
          <w:sz w:val="20"/>
        </w:rPr>
      </w:pPr>
      <w:r>
        <w:rPr>
          <w:i/>
          <w:sz w:val="20"/>
        </w:rPr>
        <w:t>Trans. R. Soc. Lond</w:t>
      </w:r>
      <w:r>
        <w:rPr>
          <w:sz w:val="20"/>
        </w:rPr>
        <w:t>. A 360: pp. 1669-1684.</w:t>
      </w:r>
    </w:p>
    <w:p>
      <w:pPr>
        <w:spacing w:before="121"/>
        <w:ind w:left="462" w:right="1405" w:hanging="284"/>
        <w:jc w:val="both"/>
        <w:rPr>
          <w:sz w:val="20"/>
        </w:rPr>
      </w:pPr>
      <w:r>
        <w:rPr>
          <w:sz w:val="20"/>
        </w:rPr>
        <w:t>Brown S., Burnham M., Delaney M., Vaca R., Powell M., and Moreno A. (2000a). Issues and challenges for forest-based carbon-offset projects: a case study of the Noel Kempff Climate Action Project in Bolivia. </w:t>
      </w:r>
      <w:r>
        <w:rPr>
          <w:i/>
          <w:sz w:val="20"/>
        </w:rPr>
        <w:t>Mitigation and Adaptation Strategies for Climate Change </w:t>
      </w:r>
      <w:r>
        <w:rPr>
          <w:sz w:val="20"/>
        </w:rPr>
        <w:t>5: pp. 99-121.</w:t>
      </w:r>
    </w:p>
    <w:p>
      <w:pPr>
        <w:pStyle w:val="BodyText"/>
        <w:spacing w:before="119"/>
        <w:ind w:left="462" w:right="1407" w:hanging="284"/>
        <w:jc w:val="both"/>
      </w:pPr>
      <w:r>
        <w:rPr/>
        <w:t>Brown S., Delaney M., and Shoch D. (2001). Carbon monitoring, analysis, and status report for the Rio Bravo Carbon Sequestration Pilot Project. Report to the Programme for Belize, Winrock International, Arlington, VA, USA.</w:t>
      </w:r>
    </w:p>
    <w:p>
      <w:pPr>
        <w:pStyle w:val="BodyText"/>
        <w:spacing w:before="119"/>
        <w:ind w:left="462" w:right="1358" w:hanging="284"/>
        <w:jc w:val="both"/>
      </w:pPr>
      <w:r>
        <w:rPr/>
        <w:t>Brown S., Masera O., and Sathaye J. (2000b). Project-based activities. In: Intergovernmental Panel on Climate Change (IPCC). (2000b). Watson R., Noble I.R., Bolin B., Ravindranath, N.H., Verardo D.J. and Dokken D.J. (Eds) </w:t>
      </w:r>
      <w:r>
        <w:rPr>
          <w:i/>
        </w:rPr>
        <w:t>Land use, Land-use Change, and Forestry: A Special Report</w:t>
      </w:r>
      <w:r>
        <w:rPr/>
        <w:t>. Cambridge University Press. Cambridge, UK. Chapter 5, pp.283-338.</w:t>
      </w:r>
    </w:p>
    <w:p>
      <w:pPr>
        <w:pStyle w:val="BodyText"/>
        <w:spacing w:before="119"/>
        <w:ind w:left="462" w:right="1405" w:hanging="284"/>
        <w:jc w:val="both"/>
      </w:pPr>
      <w:r>
        <w:rPr/>
        <w:t>Brown S. and Schroeder P. (1999). Spatial patterns of aboveground production and mortality of woody biomass for eastern US forests. </w:t>
      </w:r>
      <w:r>
        <w:rPr>
          <w:i/>
        </w:rPr>
        <w:t>Ecological Applications, </w:t>
      </w:r>
      <w:r>
        <w:rPr/>
        <w:t>9: pp. 968-980.</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Pr>
          <w:i/>
        </w:rPr>
      </w:pPr>
      <w:r>
        <w:rPr/>
        <w:t>Cahoon G. A. and Morton E.S. (1961). An apparatus for the quantitative separation of plant roots from soil. </w:t>
      </w:r>
      <w:r>
        <w:rPr>
          <w:i/>
        </w:rPr>
        <w:t>Am.</w:t>
      </w:r>
    </w:p>
    <w:p>
      <w:pPr>
        <w:spacing w:before="1"/>
        <w:ind w:left="462" w:right="0" w:firstLine="0"/>
        <w:jc w:val="left"/>
        <w:rPr>
          <w:sz w:val="20"/>
        </w:rPr>
      </w:pPr>
      <w:r>
        <w:rPr>
          <w:i/>
          <w:sz w:val="20"/>
        </w:rPr>
        <w:t>Soc. Hort. Sci</w:t>
      </w:r>
      <w:r>
        <w:rPr>
          <w:sz w:val="20"/>
        </w:rPr>
        <w:t>. 78: pp. 593-596.</w:t>
      </w:r>
    </w:p>
    <w:p>
      <w:pPr>
        <w:pStyle w:val="BodyText"/>
        <w:spacing w:before="120"/>
        <w:ind w:left="462" w:right="1404" w:hanging="284"/>
        <w:jc w:val="both"/>
      </w:pPr>
      <w:r>
        <w:rPr/>
        <w:t>Cairns M.A., Brown S., Helmer E.H., and Baumgardner G.A. (1997). Root biomass allocation in the world’s upland forests. </w:t>
      </w:r>
      <w:r>
        <w:rPr>
          <w:i/>
        </w:rPr>
        <w:t>Oecologia, </w:t>
      </w:r>
      <w:r>
        <w:rPr/>
        <w:t>111: pp. 1-11.</w:t>
      </w:r>
    </w:p>
    <w:p>
      <w:pPr>
        <w:pStyle w:val="BodyText"/>
        <w:spacing w:before="118"/>
        <w:ind w:left="462" w:right="1409" w:hanging="284"/>
        <w:jc w:val="both"/>
      </w:pPr>
      <w:r>
        <w:rPr/>
        <w:t>Clark D. A., Brown S., Kicklighter D.W., Chambers J.Q., Thomlinson J.R., and Jian Ni, (2000). Measuring net primary production in forests: concepts and field methods. </w:t>
      </w:r>
      <w:r>
        <w:rPr>
          <w:i/>
        </w:rPr>
        <w:t>Ecological Applications, </w:t>
      </w:r>
      <w:r>
        <w:rPr/>
        <w:t>11: pp. 356-370.</w:t>
      </w:r>
    </w:p>
    <w:p>
      <w:pPr>
        <w:spacing w:before="121"/>
        <w:ind w:left="462" w:right="1407" w:hanging="284"/>
        <w:jc w:val="both"/>
        <w:rPr>
          <w:sz w:val="20"/>
        </w:rPr>
      </w:pPr>
      <w:r>
        <w:rPr>
          <w:sz w:val="20"/>
        </w:rPr>
        <w:t>Dawkins H.C. (1957). Some results of stratified random sampling of tropical high forest. </w:t>
      </w:r>
      <w:r>
        <w:rPr>
          <w:i/>
          <w:sz w:val="20"/>
        </w:rPr>
        <w:t>Seventh British Commonwealth Forestry Conference, </w:t>
      </w:r>
      <w:r>
        <w:rPr>
          <w:sz w:val="20"/>
        </w:rPr>
        <w:t>7 (iii): pp. 1-12.</w:t>
      </w:r>
    </w:p>
    <w:p>
      <w:pPr>
        <w:pStyle w:val="BodyText"/>
        <w:spacing w:before="119"/>
        <w:ind w:left="462" w:right="1407" w:hanging="284"/>
        <w:jc w:val="both"/>
      </w:pPr>
      <w:r>
        <w:rPr/>
        <w:t>Delaney M., Brown S., and Powell M. (1999). 1999 Carbon-Offset Report for the Noel Kempff Climate Action Project, Bolivia. Report to The Nature Conservancy, Winrock International, Arlington, VA, USA.</w:t>
      </w:r>
    </w:p>
    <w:p>
      <w:pPr>
        <w:pStyle w:val="BodyText"/>
        <w:spacing w:before="120"/>
        <w:ind w:left="462" w:right="1409" w:hanging="284"/>
        <w:jc w:val="both"/>
      </w:pPr>
      <w:r>
        <w:rPr/>
        <w:t>Delaney M., Brown S., Lugo A.E., Torres-Lezama A., and Bello Quintero N. (1998). The quantity and turnover of dead wood in permanent forest plots in six life zones of Venezuela. </w:t>
      </w:r>
      <w:r>
        <w:rPr>
          <w:i/>
        </w:rPr>
        <w:t>Biotropica, </w:t>
      </w:r>
      <w:r>
        <w:rPr/>
        <w:t>30: pp. 2-11.</w:t>
      </w:r>
    </w:p>
    <w:p>
      <w:pPr>
        <w:pStyle w:val="BodyText"/>
        <w:spacing w:before="119"/>
        <w:ind w:left="462" w:right="1408" w:hanging="284"/>
        <w:jc w:val="both"/>
      </w:pPr>
      <w:r>
        <w:rPr/>
        <w:t>Drew M.C. and Saker L.R. (1980). Assessment of a rapid method, using soil cores, for estimating the amount and distribution of crop roots in the field. </w:t>
      </w:r>
      <w:r>
        <w:rPr>
          <w:i/>
        </w:rPr>
        <w:t>Plant Soil, </w:t>
      </w:r>
      <w:r>
        <w:rPr/>
        <w:t>55: pp.</w:t>
      </w:r>
      <w:r>
        <w:rPr>
          <w:spacing w:val="-7"/>
        </w:rPr>
        <w:t> </w:t>
      </w:r>
      <w:r>
        <w:rPr/>
        <w:t>297-305.</w:t>
      </w:r>
    </w:p>
    <w:p>
      <w:pPr>
        <w:pStyle w:val="BodyText"/>
        <w:spacing w:before="121"/>
        <w:ind w:left="462" w:right="1410" w:hanging="284"/>
        <w:jc w:val="both"/>
      </w:pPr>
      <w:r>
        <w:rPr/>
        <w:t>Fang J., Chen A., Peng C., Zhao S., and Ci L. (2001). Changes in forest biomass carbon storage in China between 1949 and 1998. </w:t>
      </w:r>
      <w:r>
        <w:rPr>
          <w:i/>
        </w:rPr>
        <w:t>Science, </w:t>
      </w:r>
      <w:r>
        <w:rPr/>
        <w:t>292: pp.</w:t>
      </w:r>
      <w:r>
        <w:rPr>
          <w:spacing w:val="-4"/>
        </w:rPr>
        <w:t> </w:t>
      </w:r>
      <w:r>
        <w:rPr/>
        <w:t>2320-2322.</w:t>
      </w:r>
    </w:p>
    <w:p>
      <w:pPr>
        <w:spacing w:before="118"/>
        <w:ind w:left="462" w:right="1406" w:hanging="284"/>
        <w:jc w:val="both"/>
        <w:rPr>
          <w:sz w:val="20"/>
        </w:rPr>
      </w:pPr>
      <w:r>
        <w:rPr>
          <w:sz w:val="20"/>
        </w:rPr>
        <w:t>Fearnside P.M.(1997). Wood density for estimating forest biomass in Brazilian Amazonia. </w:t>
      </w:r>
      <w:r>
        <w:rPr>
          <w:i/>
          <w:sz w:val="20"/>
        </w:rPr>
        <w:t>Forest Ecology and Management, </w:t>
      </w:r>
      <w:r>
        <w:rPr>
          <w:sz w:val="20"/>
        </w:rPr>
        <w:t>90(1): pp. 59-89.</w:t>
      </w:r>
    </w:p>
    <w:p>
      <w:pPr>
        <w:pStyle w:val="BodyText"/>
        <w:spacing w:before="121"/>
        <w:ind w:left="462" w:right="1407" w:hanging="284"/>
        <w:jc w:val="both"/>
      </w:pPr>
      <w:r>
        <w:rPr/>
        <w:t>Freese F.(1962). Elementary forest sampling. USDA Forest Service Handbook 232, US Government Printing Office, Washington, DC.</w:t>
      </w:r>
    </w:p>
    <w:p>
      <w:pPr>
        <w:pStyle w:val="BodyText"/>
        <w:spacing w:before="118"/>
        <w:ind w:left="462" w:right="1405" w:hanging="284"/>
        <w:jc w:val="both"/>
      </w:pPr>
      <w:r>
        <w:rPr/>
        <w:t>Harmon M.E., Brown S., Gower S.T. (1993). Consequences of tree mortality to the global carbon cycle. In Vinson T.S. and Kolchugina T.P. (eds.). Carbon cycling in boreal and subarctic ecosystems, biospheric response and feedbacks to global climate change. Symposium Proceedings, USEPA, Corvallis, OR, pp. 167- 176.</w:t>
      </w:r>
    </w:p>
    <w:p>
      <w:pPr>
        <w:pStyle w:val="BodyText"/>
        <w:spacing w:before="120"/>
        <w:ind w:left="462" w:right="1408" w:hanging="284"/>
        <w:jc w:val="both"/>
      </w:pPr>
      <w:r>
        <w:rPr/>
        <w:t>Harmon M. E. and Sexton J. (1996). Guidelines for Measurements of Woody Detritus in Forest Ecosystems. US LTER Publication No. 20. US LTER Network Office, University of Washington, Seattle, WA, USA.Available at </w:t>
      </w:r>
      <w:hyperlink r:id="rId343">
        <w:r>
          <w:rPr/>
          <w:t>http://www.lternet.edu/documents/Publications/woodydetritus/</w:t>
        </w:r>
      </w:hyperlink>
    </w:p>
    <w:p>
      <w:pPr>
        <w:spacing w:before="121"/>
        <w:ind w:left="462" w:right="1409" w:hanging="284"/>
        <w:jc w:val="both"/>
        <w:rPr>
          <w:sz w:val="20"/>
        </w:rPr>
      </w:pPr>
      <w:r>
        <w:rPr>
          <w:sz w:val="20"/>
        </w:rPr>
        <w:t>Intergovernmental Panel on Climate Change (IPCC). (2000b). Watson R., Noble I.R., Bolin B., Ravindranath, N.H., Verardo D.J. and Dokken D.J. (Eds) </w:t>
      </w:r>
      <w:r>
        <w:rPr>
          <w:i/>
          <w:sz w:val="20"/>
        </w:rPr>
        <w:t>Land use, Land-use Change, and Forestry: A Special Report</w:t>
      </w:r>
      <w:r>
        <w:rPr>
          <w:sz w:val="20"/>
        </w:rPr>
        <w:t>. Cambridge University Press. Cambridge, UK.</w:t>
      </w:r>
    </w:p>
    <w:p>
      <w:pPr>
        <w:pStyle w:val="BodyText"/>
        <w:spacing w:before="119"/>
        <w:ind w:left="462" w:right="1407" w:hanging="284"/>
        <w:jc w:val="both"/>
      </w:pPr>
      <w:r>
        <w:rPr/>
        <w:t>Körner C. (1994). Biomass fractionation in plants: a reconsideration of definitions based on plant functions. In: Roy J and Garnier E. (eds.). A Whole Plant Perspective on Carbon-Nitrogen Interactions. SPB Academic Publishing, The Hague, pp. 173-185.</w:t>
      </w:r>
    </w:p>
    <w:p>
      <w:pPr>
        <w:pStyle w:val="BodyText"/>
        <w:spacing w:before="119"/>
        <w:ind w:left="462" w:right="1409" w:hanging="284"/>
        <w:jc w:val="both"/>
      </w:pPr>
      <w:r>
        <w:rPr/>
        <w:t>Kraenzel M., Castillo A., Moore T., and Potvin C. (2003). Carbon storage of harvest-age teak (Tectona grandis) plantations, Panama. </w:t>
      </w:r>
      <w:r>
        <w:rPr>
          <w:i/>
        </w:rPr>
        <w:t>Forest Ecology and Management, </w:t>
      </w:r>
      <w:r>
        <w:rPr/>
        <w:t>173: pp. 213-225.</w:t>
      </w:r>
    </w:p>
    <w:p>
      <w:pPr>
        <w:pStyle w:val="BodyText"/>
        <w:spacing w:before="120"/>
        <w:ind w:left="462" w:right="1406" w:hanging="284"/>
        <w:jc w:val="both"/>
      </w:pPr>
      <w:r>
        <w:rPr/>
        <w:t>Kurz W. A., Beukema S.J. , and Apps M.J. (1996). Estimation of root biomass and dynamics for the carbon budget model of the Canadian forest sector. </w:t>
      </w:r>
      <w:r>
        <w:rPr>
          <w:i/>
        </w:rPr>
        <w:t>Canadian Journal of Forest Research, </w:t>
      </w:r>
      <w:r>
        <w:rPr/>
        <w:t>26: pp. 1973-1979.</w:t>
      </w:r>
    </w:p>
    <w:p>
      <w:pPr>
        <w:pStyle w:val="BodyText"/>
        <w:spacing w:before="119"/>
        <w:ind w:left="462" w:right="1405" w:hanging="284"/>
        <w:jc w:val="both"/>
      </w:pPr>
      <w:r>
        <w:rPr/>
        <w:t>Li Z., Kurz W.A., Apps M.J., and Beukama S. (2003). Belowground biomass dynamics in eh carbon budget model of the Canadian forest sector: recent improvements and implications for the estimation of NPP and NEP. </w:t>
      </w:r>
      <w:r>
        <w:rPr>
          <w:i/>
        </w:rPr>
        <w:t>Canadian Journal of Forest Research, </w:t>
      </w:r>
      <w:r>
        <w:rPr/>
        <w:t>33: pp. 126-136.</w:t>
      </w:r>
    </w:p>
    <w:p>
      <w:pPr>
        <w:pStyle w:val="BodyText"/>
        <w:spacing w:before="119"/>
        <w:ind w:left="462" w:right="1405" w:hanging="284"/>
        <w:jc w:val="both"/>
      </w:pPr>
      <w:r>
        <w:rPr/>
        <w:t>Lund G.H. (ed.). (1998). IUFRO Guidelines for designing multipurpose resource inventories. IUFRO World Service Volume 8, Vienna, Austria.</w:t>
      </w:r>
    </w:p>
    <w:p>
      <w:pPr>
        <w:tabs>
          <w:tab w:pos="3248" w:val="left" w:leader="none"/>
        </w:tabs>
        <w:spacing w:before="121"/>
        <w:ind w:left="462" w:right="1408" w:hanging="284"/>
        <w:jc w:val="both"/>
        <w:rPr>
          <w:sz w:val="20"/>
        </w:rPr>
      </w:pPr>
      <w:r>
        <w:rPr>
          <w:sz w:val="20"/>
        </w:rPr>
        <w:t>MacDicken K.G. (1997). </w:t>
      </w:r>
      <w:r>
        <w:rPr>
          <w:i/>
          <w:sz w:val="20"/>
        </w:rPr>
        <w:t>A Guide to Monitoring Carbon Storage in Forestry and Agroforestry  Projects. Winrock        </w:t>
      </w:r>
      <w:r>
        <w:rPr>
          <w:i/>
          <w:spacing w:val="47"/>
          <w:sz w:val="20"/>
        </w:rPr>
        <w:t> </w:t>
      </w:r>
      <w:r>
        <w:rPr>
          <w:i/>
          <w:sz w:val="20"/>
        </w:rPr>
        <w:t>International,</w:t>
        <w:tab/>
      </w:r>
      <w:r>
        <w:rPr>
          <w:sz w:val="20"/>
        </w:rPr>
        <w:t>Arlington, VA, USA, 87 pp, available at:</w:t>
      </w:r>
      <w:hyperlink r:id="rId344">
        <w:r>
          <w:rPr>
            <w:sz w:val="20"/>
          </w:rPr>
          <w:t> http://www.winrock.org/REEP/PDF_Pubs/carbon.pdf;</w:t>
        </w:r>
      </w:hyperlink>
      <w:r>
        <w:rPr>
          <w:sz w:val="20"/>
        </w:rPr>
        <w:t> also in Spanish from Fundacion Solar, Guatemala, </w:t>
      </w:r>
      <w:hyperlink r:id="rId345">
        <w:r>
          <w:rPr>
            <w:sz w:val="20"/>
          </w:rPr>
          <w:t>http://www.winrock.org/REEP/PDF_Pubs/fundacionsolar.pdf</w:t>
        </w:r>
      </w:hyperlink>
    </w:p>
    <w:p>
      <w:pPr>
        <w:pStyle w:val="BodyText"/>
        <w:spacing w:before="119"/>
        <w:ind w:left="462" w:right="1405" w:hanging="284"/>
        <w:jc w:val="both"/>
      </w:pPr>
      <w:r>
        <w:rPr/>
        <w:t>Masera O.R., Garza-Caligaris J.F., Kanninen M., Karjalainen T., Nabuurs G.J., Pussinen A., de Jong B.J., and Mohren F. (2003). Modeling Carbon Sequestration in Afforestation and Forest Management Projects: The CO2fix V.2 Approach. </w:t>
      </w:r>
      <w:r>
        <w:rPr>
          <w:i/>
        </w:rPr>
        <w:t>Ecological Modelling </w:t>
      </w:r>
      <w:r>
        <w:rPr/>
        <w:t>3237, pp. 1-23</w:t>
      </w:r>
    </w:p>
    <w:p>
      <w:pPr>
        <w:spacing w:before="119"/>
        <w:ind w:left="462" w:right="1409" w:hanging="284"/>
        <w:jc w:val="both"/>
        <w:rPr>
          <w:sz w:val="20"/>
        </w:rPr>
      </w:pPr>
      <w:r>
        <w:rPr>
          <w:sz w:val="20"/>
        </w:rPr>
        <w:t>Page-Dumroese D.S., Jurgensen M.F., Brown R.E., and Mroz G.D. (1999). Comparison of methods for determining bulk densities of rocky forest soils. </w:t>
      </w:r>
      <w:r>
        <w:rPr>
          <w:i/>
          <w:sz w:val="20"/>
        </w:rPr>
        <w:t>Soil Science Society of America Journal, </w:t>
      </w:r>
      <w:r>
        <w:rPr>
          <w:sz w:val="20"/>
        </w:rPr>
        <w:t>63: pp. 379-383.</w:t>
      </w:r>
    </w:p>
    <w:p>
      <w:pPr>
        <w:spacing w:after="0"/>
        <w:jc w:val="both"/>
        <w:rPr>
          <w:sz w:val="20"/>
        </w:rPr>
        <w:sectPr>
          <w:pgSz w:w="11900" w:h="16840"/>
          <w:pgMar w:header="230" w:footer="408" w:top="560" w:bottom="600" w:left="1240" w:right="0"/>
        </w:sectPr>
      </w:pPr>
    </w:p>
    <w:p>
      <w:pPr>
        <w:pStyle w:val="BodyText"/>
      </w:pPr>
    </w:p>
    <w:p>
      <w:pPr>
        <w:pStyle w:val="BodyText"/>
        <w:spacing w:before="2"/>
        <w:rPr>
          <w:sz w:val="18"/>
        </w:rPr>
      </w:pPr>
    </w:p>
    <w:p>
      <w:pPr>
        <w:pStyle w:val="BodyText"/>
        <w:ind w:left="462" w:right="1409" w:hanging="284"/>
        <w:jc w:val="both"/>
      </w:pPr>
      <w:r>
        <w:rPr/>
        <w:t>Paivinen R., Lund G.H., Poso S., and Zawila-Niedzwiecki T. (eds.). (1994). IUFRO international guidelines for forest monitoring. IUFRO World Series Report 5. Vienna, Austria. 102 p.</w:t>
      </w:r>
    </w:p>
    <w:p>
      <w:pPr>
        <w:pStyle w:val="BodyText"/>
        <w:spacing w:before="121"/>
        <w:ind w:left="462" w:right="1407" w:hanging="284"/>
        <w:jc w:val="both"/>
      </w:pPr>
      <w:r>
        <w:rPr/>
        <w:t>Parresol B.R. (1999). Assessing tree and stand biomass: a review with examples and critical comparisons. </w:t>
      </w:r>
      <w:r>
        <w:rPr>
          <w:i/>
        </w:rPr>
        <w:t>Forest Science, </w:t>
      </w:r>
      <w:r>
        <w:rPr/>
        <w:t>45(4): pp. 573-593.</w:t>
      </w:r>
    </w:p>
    <w:p>
      <w:pPr>
        <w:pStyle w:val="BodyText"/>
        <w:spacing w:before="118"/>
        <w:ind w:left="462" w:right="1410" w:hanging="284"/>
        <w:jc w:val="both"/>
      </w:pPr>
      <w:r>
        <w:rPr/>
        <w:t>Parton W.J., Schimel D.S., Cole C.V., and Ojima D.S. (1987). Analysis of factors controlling soil organic matter levels in Great Plains grasslands. </w:t>
      </w:r>
      <w:r>
        <w:rPr>
          <w:i/>
        </w:rPr>
        <w:t>Soil Science Society of America Journal </w:t>
      </w:r>
      <w:r>
        <w:rPr/>
        <w:t>51: pp. 1173-1179.</w:t>
      </w:r>
    </w:p>
    <w:p>
      <w:pPr>
        <w:pStyle w:val="BodyText"/>
        <w:spacing w:before="121"/>
        <w:ind w:left="179"/>
        <w:rPr>
          <w:i/>
        </w:rPr>
      </w:pPr>
      <w:r>
        <w:rPr/>
        <w:t>Pérez L.D. and Kanninen M. (2002). Wood specific gravity and aboveground biomass of </w:t>
      </w:r>
      <w:r>
        <w:rPr>
          <w:i/>
        </w:rPr>
        <w:t>Bombacopsis quinata</w:t>
      </w:r>
    </w:p>
    <w:p>
      <w:pPr>
        <w:spacing w:before="1"/>
        <w:ind w:left="462" w:right="0" w:firstLine="0"/>
        <w:jc w:val="left"/>
        <w:rPr>
          <w:sz w:val="20"/>
        </w:rPr>
      </w:pPr>
      <w:r>
        <w:rPr>
          <w:sz w:val="20"/>
        </w:rPr>
        <w:t>plantations in Costa Rica. </w:t>
      </w:r>
      <w:r>
        <w:rPr>
          <w:i/>
          <w:sz w:val="20"/>
        </w:rPr>
        <w:t>Forest Ecology and Management </w:t>
      </w:r>
      <w:r>
        <w:rPr>
          <w:sz w:val="20"/>
        </w:rPr>
        <w:t>165 (1-3): pp. 1-9.</w:t>
      </w:r>
    </w:p>
    <w:p>
      <w:pPr>
        <w:pStyle w:val="BodyText"/>
        <w:spacing w:before="118"/>
        <w:ind w:left="179"/>
      </w:pPr>
      <w:r>
        <w:rPr/>
        <w:t>Pérez L.D. and Kanninen M. (2003). Aboveground biomass of </w:t>
      </w:r>
      <w:r>
        <w:rPr>
          <w:i/>
        </w:rPr>
        <w:t>Tectona grandis </w:t>
      </w:r>
      <w:r>
        <w:rPr/>
        <w:t>plantations in Costa Rica.</w:t>
      </w:r>
    </w:p>
    <w:p>
      <w:pPr>
        <w:spacing w:before="0"/>
        <w:ind w:left="462" w:right="0" w:firstLine="0"/>
        <w:jc w:val="left"/>
        <w:rPr>
          <w:sz w:val="20"/>
        </w:rPr>
      </w:pPr>
      <w:r>
        <w:rPr>
          <w:i/>
          <w:sz w:val="20"/>
        </w:rPr>
        <w:t>Journal of Tropical Forest Science </w:t>
      </w:r>
      <w:r>
        <w:rPr>
          <w:sz w:val="20"/>
        </w:rPr>
        <w:t>15(1): pp. 199-213.</w:t>
      </w:r>
    </w:p>
    <w:p>
      <w:pPr>
        <w:spacing w:before="120"/>
        <w:ind w:left="462" w:right="1406" w:hanging="284"/>
        <w:jc w:val="both"/>
        <w:rPr>
          <w:sz w:val="20"/>
        </w:rPr>
      </w:pPr>
      <w:r>
        <w:rPr>
          <w:sz w:val="20"/>
        </w:rPr>
        <w:t>Pinard M. and Putz F. (1997): Monitoring carbon sequestration benefits associated with a reduced impact logging project in Malaysia. </w:t>
      </w:r>
      <w:r>
        <w:rPr>
          <w:i/>
          <w:sz w:val="20"/>
        </w:rPr>
        <w:t>Mitigation and Adaptation Strategies for Global Change </w:t>
      </w:r>
      <w:r>
        <w:rPr>
          <w:sz w:val="20"/>
        </w:rPr>
        <w:t>2: pp.</w:t>
      </w:r>
      <w:r>
        <w:rPr>
          <w:spacing w:val="-15"/>
          <w:sz w:val="20"/>
        </w:rPr>
        <w:t> </w:t>
      </w:r>
      <w:r>
        <w:rPr>
          <w:sz w:val="20"/>
        </w:rPr>
        <w:t>203–215.</w:t>
      </w:r>
    </w:p>
    <w:p>
      <w:pPr>
        <w:pStyle w:val="BodyText"/>
        <w:spacing w:before="119"/>
        <w:ind w:left="462" w:right="1409" w:hanging="284"/>
        <w:jc w:val="both"/>
      </w:pPr>
      <w:r>
        <w:rPr/>
        <w:t>Phillips D.L., Brown S.L., Schroeder P.E., and Birdsey R.A. (2000). Toward error analysis of large-scale forest carbon budgets. </w:t>
      </w:r>
      <w:r>
        <w:rPr>
          <w:i/>
        </w:rPr>
        <w:t>Global Ecology and Biogeography</w:t>
      </w:r>
      <w:r>
        <w:rPr/>
        <w:t>, 9(4): pp. 305-313.</w:t>
      </w:r>
    </w:p>
    <w:p>
      <w:pPr>
        <w:pStyle w:val="BodyText"/>
        <w:spacing w:before="121"/>
        <w:ind w:left="462" w:right="1405" w:hanging="284"/>
        <w:jc w:val="both"/>
      </w:pPr>
      <w:r>
        <w:rPr/>
        <w:t>Post W.M., Izaurralde R.C., Mann L.K., and Bliss N. (1999): Monitoring and verifying soil carbon sequestration. In: Rosenberg N., Izaurralde R.C., and Malone E.L. (eds.). Carbon Sequestration in Soils. Batelle Press, pp. 41–82.</w:t>
      </w:r>
    </w:p>
    <w:p>
      <w:pPr>
        <w:spacing w:before="119"/>
        <w:ind w:left="462" w:right="1404" w:hanging="284"/>
        <w:jc w:val="both"/>
        <w:rPr>
          <w:sz w:val="20"/>
        </w:rPr>
      </w:pPr>
      <w:r>
        <w:rPr>
          <w:sz w:val="20"/>
        </w:rPr>
        <w:t>Ritson P. and Sochacki S. (2003). Measurement and prediction of biomass and carbon content of </w:t>
      </w:r>
      <w:r>
        <w:rPr>
          <w:i/>
          <w:sz w:val="20"/>
        </w:rPr>
        <w:t>Pinus pinaster </w:t>
      </w:r>
      <w:r>
        <w:rPr>
          <w:sz w:val="20"/>
        </w:rPr>
        <w:t>trees in farm forestry plantations, south-western Australia. </w:t>
      </w:r>
      <w:r>
        <w:rPr>
          <w:i/>
          <w:sz w:val="20"/>
        </w:rPr>
        <w:t>Forest Ecology and Management </w:t>
      </w:r>
      <w:r>
        <w:rPr>
          <w:sz w:val="20"/>
        </w:rPr>
        <w:t>175: pp. 103- 117.</w:t>
      </w:r>
    </w:p>
    <w:p>
      <w:pPr>
        <w:pStyle w:val="BodyText"/>
        <w:spacing w:before="118"/>
        <w:ind w:left="462" w:right="1359" w:hanging="284"/>
        <w:jc w:val="both"/>
      </w:pPr>
      <w:r>
        <w:rPr/>
        <w:t>Sampson, R.N. and Scholes R.J. (2000). Additional human-induced activities—Article 3.4. In:  Intergovernmental Panel on Climate Change (IPCC). (2000b). Watson R., Noble I.R., Bolin B., Ravindranath, N.H., Verardo D.J. and Dokken D.J. (Eds) </w:t>
      </w:r>
      <w:r>
        <w:rPr>
          <w:i/>
        </w:rPr>
        <w:t>Land use, Land-use Change, and Forestry: A Special Report</w:t>
      </w:r>
      <w:r>
        <w:rPr/>
        <w:t>. Cambridge University Press. Cambridge, UK. Chapter 4, pp.</w:t>
      </w:r>
      <w:r>
        <w:rPr>
          <w:spacing w:val="3"/>
        </w:rPr>
        <w:t> </w:t>
      </w:r>
      <w:r>
        <w:rPr/>
        <w:t>181-281.</w:t>
      </w:r>
    </w:p>
    <w:p>
      <w:pPr>
        <w:pStyle w:val="BodyText"/>
        <w:spacing w:before="120"/>
        <w:ind w:left="462" w:right="1404" w:hanging="284"/>
        <w:jc w:val="both"/>
      </w:pPr>
      <w:r>
        <w:rPr/>
        <w:t>Schlegel B., Gayoso J., and Guerra J. (2001). Manual de procedimiento para inventarios de carbono en ecosistemas forestales. Medición de la capacidad de captura de carbono en bosques de Chile y promoción en el mercado mundial. Universidad Austral de Chile. 14 pp.</w:t>
      </w:r>
    </w:p>
    <w:p>
      <w:pPr>
        <w:pStyle w:val="BodyText"/>
        <w:spacing w:before="121"/>
        <w:ind w:left="462" w:right="1410" w:hanging="284"/>
        <w:jc w:val="both"/>
      </w:pPr>
      <w:r>
        <w:rPr/>
        <w:t>Schroeder P., Brown S., Mo J., Birdsey R., and Cieszewski C. (1997). Biomass estimation for temperate broadleaf forests of the Unites States using inventory data. </w:t>
      </w:r>
      <w:r>
        <w:rPr>
          <w:i/>
        </w:rPr>
        <w:t>Forest Science </w:t>
      </w:r>
      <w:r>
        <w:rPr/>
        <w:t>43 (3):pp. 424-434.</w:t>
      </w:r>
    </w:p>
    <w:p>
      <w:pPr>
        <w:pStyle w:val="BodyText"/>
        <w:spacing w:before="118"/>
        <w:ind w:left="462" w:right="1404" w:hanging="284"/>
        <w:jc w:val="both"/>
      </w:pPr>
      <w:r>
        <w:rPr/>
        <w:t>Schroth G., D’Angelo S.A., Teixeira W.G., Haag D., and Lieberei R. (2002). Conversion of secondary forest to agroforestry and monoculture plantations in Amazonia: consequences for biomass, litter, and soil carbon stock after 7 years. </w:t>
      </w:r>
      <w:r>
        <w:rPr>
          <w:i/>
        </w:rPr>
        <w:t>Forest Ecology and Management, </w:t>
      </w:r>
      <w:r>
        <w:rPr/>
        <w:t>163: pp. 131-150.</w:t>
      </w:r>
    </w:p>
    <w:p>
      <w:pPr>
        <w:pStyle w:val="BodyText"/>
        <w:spacing w:before="119"/>
        <w:ind w:left="462" w:right="1406" w:hanging="284"/>
        <w:jc w:val="both"/>
      </w:pPr>
      <w:r>
        <w:rPr/>
        <w:t>Segura M. and Kanninen M. (2002). Inventario para estimar carbono en ecosistemas forestales tropicales. In: Orozco L. and Brumér C. (eds). Inventarios forestales para bosques latifoliados en America Central. CATIE - Centro Agronómico Tropical de Investigación y Enseñanza, pp. 202-216.</w:t>
      </w:r>
    </w:p>
    <w:p>
      <w:pPr>
        <w:pStyle w:val="BodyText"/>
        <w:spacing w:line="229" w:lineRule="exact" w:before="121"/>
        <w:ind w:left="179"/>
      </w:pPr>
      <w:r>
        <w:rPr/>
        <w:t>Senelwa, K and Sims R.E.H. (1998). Tree biomass equations for short rotation eucalypts grown in New Zealand.</w:t>
      </w:r>
    </w:p>
    <w:p>
      <w:pPr>
        <w:spacing w:line="229" w:lineRule="exact" w:before="0"/>
        <w:ind w:left="462" w:right="0" w:firstLine="0"/>
        <w:jc w:val="left"/>
        <w:rPr>
          <w:sz w:val="20"/>
        </w:rPr>
      </w:pPr>
      <w:r>
        <w:rPr>
          <w:i/>
          <w:sz w:val="20"/>
        </w:rPr>
        <w:t>Biomass and Energy </w:t>
      </w:r>
      <w:r>
        <w:rPr>
          <w:sz w:val="20"/>
        </w:rPr>
        <w:t>13(3): pp. 133-140.</w:t>
      </w:r>
    </w:p>
    <w:p>
      <w:pPr>
        <w:pStyle w:val="BodyText"/>
        <w:spacing w:before="121"/>
        <w:ind w:left="462" w:right="1406" w:hanging="284"/>
        <w:jc w:val="both"/>
      </w:pPr>
      <w:r>
        <w:rPr/>
        <w:t>Shepherd D. and Montagnini F. (2001). Carbon Sequestration Potential in Mixed and Pure Tree Plantations in the Humid Tropics. </w:t>
      </w:r>
      <w:r>
        <w:rPr>
          <w:i/>
        </w:rPr>
        <w:t>Journal of Tropical Forest Science </w:t>
      </w:r>
      <w:r>
        <w:rPr/>
        <w:t>13(3): pp.</w:t>
      </w:r>
      <w:r>
        <w:rPr>
          <w:spacing w:val="-4"/>
        </w:rPr>
        <w:t> </w:t>
      </w:r>
      <w:r>
        <w:rPr/>
        <w:t>450-459.</w:t>
      </w:r>
    </w:p>
    <w:p>
      <w:pPr>
        <w:pStyle w:val="BodyText"/>
        <w:spacing w:before="121"/>
        <w:ind w:left="462" w:right="1409" w:hanging="284"/>
        <w:jc w:val="both"/>
      </w:pPr>
      <w:r>
        <w:rPr/>
        <w:t>Smucker A.J.M., McBurney S.L., and Srivastava A.K. (1982). Quantitative separation of roots from compacted soil profiles by the hydropneumatic elutriation system Root and soil separation, root response to adverse soil environment. </w:t>
      </w:r>
      <w:r>
        <w:rPr>
          <w:i/>
        </w:rPr>
        <w:t>Agron. J</w:t>
      </w:r>
      <w:r>
        <w:rPr/>
        <w:t>., 74: pp. 499-503.</w:t>
      </w:r>
    </w:p>
    <w:p>
      <w:pPr>
        <w:pStyle w:val="BodyText"/>
        <w:spacing w:before="119"/>
        <w:ind w:left="462" w:right="1409" w:hanging="284"/>
        <w:jc w:val="both"/>
      </w:pPr>
      <w:r>
        <w:rPr/>
        <w:t>Sokal R.R. and Rohlf F.J. (1995). Biometry: the principles and practice of statistics in biological research. 3rd Edition. W. H. Freeman and Co., New York.</w:t>
      </w:r>
    </w:p>
    <w:p>
      <w:pPr>
        <w:pStyle w:val="BodyText"/>
        <w:spacing w:before="118"/>
        <w:ind w:left="179"/>
      </w:pPr>
      <w:r>
        <w:rPr/>
        <w:t>Zar J.H. (1996). Biostatistical analysis. Prentice Hall, Englewood Cliffs, New Jersey.</w:t>
      </w:r>
    </w:p>
    <w:p>
      <w:pPr>
        <w:spacing w:after="0"/>
        <w:sectPr>
          <w:footerReference w:type="default" r:id="rId346"/>
          <w:footerReference w:type="even" r:id="rId347"/>
          <w:pgSz w:w="11900" w:h="16840"/>
          <w:pgMar w:footer="408" w:header="230" w:top="560" w:bottom="600" w:left="1240" w:right="0"/>
        </w:sectPr>
      </w:pPr>
    </w:p>
    <w:p>
      <w:pPr>
        <w:pStyle w:val="BodyText"/>
      </w:pPr>
    </w:p>
    <w:p>
      <w:pPr>
        <w:pStyle w:val="BodyText"/>
      </w:pPr>
    </w:p>
    <w:p>
      <w:pPr>
        <w:pStyle w:val="BodyText"/>
        <w:spacing w:before="6"/>
        <w:rPr>
          <w:sz w:val="22"/>
        </w:rPr>
      </w:pPr>
    </w:p>
    <w:p>
      <w:pPr>
        <w:pStyle w:val="Heading2"/>
        <w:numPr>
          <w:ilvl w:val="2"/>
          <w:numId w:val="157"/>
        </w:numPr>
        <w:tabs>
          <w:tab w:pos="1382" w:val="left" w:leader="none"/>
        </w:tabs>
        <w:spacing w:line="240" w:lineRule="auto" w:before="86" w:after="0"/>
        <w:ind w:left="1381" w:right="0" w:hanging="1202"/>
        <w:jc w:val="both"/>
      </w:pPr>
      <w:r>
        <w:rPr>
          <w:spacing w:val="9"/>
        </w:rPr>
        <w:t>Afforestation </w:t>
      </w:r>
      <w:r>
        <w:rPr>
          <w:spacing w:val="7"/>
        </w:rPr>
        <w:t>and</w:t>
      </w:r>
      <w:r>
        <w:rPr>
          <w:spacing w:val="26"/>
        </w:rPr>
        <w:t> </w:t>
      </w:r>
      <w:r>
        <w:rPr>
          <w:spacing w:val="9"/>
        </w:rPr>
        <w:t>Reforestation</w:t>
      </w:r>
    </w:p>
    <w:p>
      <w:pPr>
        <w:pStyle w:val="BodyText"/>
        <w:spacing w:before="116"/>
        <w:ind w:left="179" w:right="1406"/>
        <w:jc w:val="both"/>
      </w:pPr>
      <w:r>
        <w:rPr/>
        <w:t>This section elaborates on the general discussion of methods applicable to all activities (Section 4.2 Methods for estimation, measurement, monitoring and reporting of LULUCF activities under Article 3.3 and 3.4) and should be read in conjunction with the general discussion presented earlier in this chapter.</w:t>
      </w:r>
    </w:p>
    <w:p>
      <w:pPr>
        <w:pStyle w:val="BodyText"/>
        <w:rPr>
          <w:sz w:val="22"/>
        </w:rPr>
      </w:pPr>
    </w:p>
    <w:p>
      <w:pPr>
        <w:pStyle w:val="Heading6"/>
        <w:numPr>
          <w:ilvl w:val="3"/>
          <w:numId w:val="157"/>
        </w:numPr>
        <w:tabs>
          <w:tab w:pos="1620" w:val="left" w:leader="none"/>
        </w:tabs>
        <w:spacing w:line="240" w:lineRule="auto" w:before="146" w:after="0"/>
        <w:ind w:left="1619" w:right="0" w:hanging="1440"/>
        <w:jc w:val="both"/>
      </w:pPr>
      <w:r>
        <w:rPr>
          <w:spacing w:val="17"/>
          <w:sz w:val="28"/>
        </w:rPr>
        <w:t>D</w:t>
      </w:r>
      <w:r>
        <w:rPr>
          <w:spacing w:val="17"/>
        </w:rPr>
        <w:t>EFINITIONAL </w:t>
      </w:r>
      <w:r>
        <w:rPr>
          <w:spacing w:val="15"/>
        </w:rPr>
        <w:t>ISSUES </w:t>
      </w:r>
      <w:r>
        <w:rPr>
          <w:spacing w:val="12"/>
        </w:rPr>
        <w:t>AND </w:t>
      </w:r>
      <w:r>
        <w:rPr>
          <w:spacing w:val="17"/>
        </w:rPr>
        <w:t>REPORTING</w:t>
      </w:r>
      <w:r>
        <w:rPr>
          <w:spacing w:val="-18"/>
        </w:rPr>
        <w:t> </w:t>
      </w:r>
      <w:r>
        <w:rPr>
          <w:spacing w:val="17"/>
        </w:rPr>
        <w:t>REQUIREMENTS</w:t>
      </w:r>
    </w:p>
    <w:p>
      <w:pPr>
        <w:pStyle w:val="BodyText"/>
        <w:spacing w:before="209"/>
        <w:ind w:left="179" w:right="1405"/>
        <w:jc w:val="both"/>
      </w:pPr>
      <w:r>
        <w:rPr/>
        <w:t>Under the definitions of the Marrakesh Accords, both afforestation and reforestation refer to direct, human- induced conversion of land to forest from another land use. The definitions do not include replanting or regeneration following harvest or natural disturbance, because these temporary losses of forest cover are not considered deforestation. Harvest followed by regeneration is considered a forest management activity. The distinction between the two activities is that afforestation occurs on land that has not been forest for at least 50 years, while reforestation occurs on land that has been forest more recently, though not since 31 December 1989. For the identification of units of land, afforestation and reforestation will be discussed together because the two definitions differ only by the time since the area was last forested, and because the same carbon reporting and accounting rules apply to both activities. When calculating changes in carbon stocks following afforestation and reforestation, the assumptions about the initial size and composition of the litter, dead wood, and soil organic carbon pools should reflect the preceding land-use type and history, rather than the distinction between afforested and reforested</w:t>
      </w:r>
      <w:r>
        <w:rPr>
          <w:spacing w:val="2"/>
        </w:rPr>
        <w:t> </w:t>
      </w:r>
      <w:r>
        <w:rPr/>
        <w:t>sites.</w:t>
      </w:r>
    </w:p>
    <w:p>
      <w:pPr>
        <w:pStyle w:val="BodyText"/>
        <w:spacing w:before="118"/>
        <w:ind w:left="179"/>
        <w:jc w:val="both"/>
      </w:pPr>
      <w:r>
        <w:rPr/>
        <w:t>The annual inventory should, at a minimum, identify (for Reporting Method 1 in Section 4.2.2.2):</w:t>
      </w:r>
    </w:p>
    <w:p>
      <w:pPr>
        <w:pStyle w:val="ListParagraph"/>
        <w:numPr>
          <w:ilvl w:val="0"/>
          <w:numId w:val="117"/>
        </w:numPr>
        <w:tabs>
          <w:tab w:pos="540" w:val="left" w:leader="none"/>
        </w:tabs>
        <w:spacing w:line="235" w:lineRule="auto" w:before="138" w:after="0"/>
        <w:ind w:left="541" w:right="1406" w:hanging="362"/>
        <w:jc w:val="both"/>
        <w:rPr>
          <w:sz w:val="20"/>
        </w:rPr>
      </w:pPr>
      <w:r>
        <w:rPr>
          <w:sz w:val="20"/>
        </w:rPr>
        <w:t>The geographical location of the boundaries of the areas that encompass units of land subject to afforestation/reforestation activities (including those units of land subject to activities under Article 3.3, which would otherwise be included in land subject to elected activities under Article 3.4). The geographical boundaries which are reported should correspond to strata in the estimation of land areas as described in Section</w:t>
      </w:r>
      <w:r>
        <w:rPr>
          <w:spacing w:val="-2"/>
          <w:sz w:val="20"/>
        </w:rPr>
        <w:t> </w:t>
      </w:r>
      <w:r>
        <w:rPr>
          <w:sz w:val="20"/>
        </w:rPr>
        <w:t>5.3;</w:t>
      </w:r>
    </w:p>
    <w:p>
      <w:pPr>
        <w:pStyle w:val="ListParagraph"/>
        <w:numPr>
          <w:ilvl w:val="0"/>
          <w:numId w:val="117"/>
        </w:numPr>
        <w:tabs>
          <w:tab w:pos="540" w:val="left" w:leader="none"/>
        </w:tabs>
        <w:spacing w:line="232" w:lineRule="auto" w:before="101" w:after="0"/>
        <w:ind w:left="541" w:right="1404" w:hanging="362"/>
        <w:jc w:val="both"/>
        <w:rPr>
          <w:sz w:val="20"/>
        </w:rPr>
      </w:pPr>
      <w:r>
        <w:rPr>
          <w:sz w:val="20"/>
        </w:rPr>
        <w:t>For each of these areas, or strata, estimates of the area of the units of land affected </w:t>
      </w:r>
      <w:r>
        <w:rPr>
          <w:spacing w:val="3"/>
          <w:sz w:val="20"/>
        </w:rPr>
        <w:t>by </w:t>
      </w:r>
      <w:r>
        <w:rPr>
          <w:sz w:val="20"/>
        </w:rPr>
        <w:t>afforestation/reforestation activities in the two subcategories, namely those subject to Article 3.3, and those subject to Article 3.3 that would otherwise be subject to Article</w:t>
      </w:r>
      <w:r>
        <w:rPr>
          <w:spacing w:val="2"/>
          <w:sz w:val="20"/>
        </w:rPr>
        <w:t> </w:t>
      </w:r>
      <w:r>
        <w:rPr>
          <w:sz w:val="20"/>
        </w:rPr>
        <w:t>3.4;</w:t>
      </w:r>
    </w:p>
    <w:p>
      <w:pPr>
        <w:pStyle w:val="ListParagraph"/>
        <w:numPr>
          <w:ilvl w:val="0"/>
          <w:numId w:val="117"/>
        </w:numPr>
        <w:tabs>
          <w:tab w:pos="540" w:val="left" w:leader="none"/>
        </w:tabs>
        <w:spacing w:line="235" w:lineRule="auto" w:before="95" w:after="0"/>
        <w:ind w:left="541" w:right="1407" w:hanging="362"/>
        <w:jc w:val="both"/>
        <w:rPr>
          <w:sz w:val="20"/>
        </w:rPr>
      </w:pPr>
      <w:r>
        <w:rPr>
          <w:sz w:val="20"/>
        </w:rPr>
        <w:t>The year of the start of afforestation/reforestation activities, which will be between 1 January 1990 and the end of the inventory year. Within the boundary of the areas afforestation/reforestation activities may have started in different years. It is </w:t>
      </w:r>
      <w:r>
        <w:rPr>
          <w:i/>
          <w:sz w:val="20"/>
        </w:rPr>
        <w:t>good practice </w:t>
      </w:r>
      <w:r>
        <w:rPr>
          <w:sz w:val="20"/>
        </w:rPr>
        <w:t>to group afforestation and reforestation units of land by age and to report the area in each age class separately;</w:t>
      </w:r>
      <w:r>
        <w:rPr>
          <w:spacing w:val="-5"/>
          <w:sz w:val="20"/>
        </w:rPr>
        <w:t> </w:t>
      </w:r>
      <w:r>
        <w:rPr>
          <w:sz w:val="20"/>
        </w:rPr>
        <w:t>and</w:t>
      </w:r>
    </w:p>
    <w:p>
      <w:pPr>
        <w:pStyle w:val="ListParagraph"/>
        <w:numPr>
          <w:ilvl w:val="0"/>
          <w:numId w:val="117"/>
        </w:numPr>
        <w:tabs>
          <w:tab w:pos="540" w:val="left" w:leader="none"/>
        </w:tabs>
        <w:spacing w:line="232" w:lineRule="auto" w:before="99" w:after="0"/>
        <w:ind w:left="541" w:right="1405" w:hanging="362"/>
        <w:jc w:val="both"/>
        <w:rPr>
          <w:sz w:val="20"/>
        </w:rPr>
      </w:pPr>
      <w:r>
        <w:rPr>
          <w:sz w:val="20"/>
        </w:rPr>
        <w:t>The area of units of land subject to afforestation/reforestation in each productivity class and species combination to assign growth rate estimates and to support the calculation of carbon stock changes and non- CO</w:t>
      </w:r>
      <w:r>
        <w:rPr>
          <w:sz w:val="20"/>
          <w:vertAlign w:val="subscript"/>
        </w:rPr>
        <w:t>2</w:t>
      </w:r>
      <w:r>
        <w:rPr>
          <w:sz w:val="20"/>
          <w:vertAlign w:val="baseline"/>
        </w:rPr>
        <w:t> greenhouse</w:t>
      </w:r>
      <w:r>
        <w:rPr>
          <w:spacing w:val="-1"/>
          <w:sz w:val="20"/>
          <w:vertAlign w:val="baseline"/>
        </w:rPr>
        <w:t> </w:t>
      </w:r>
      <w:r>
        <w:rPr>
          <w:sz w:val="20"/>
          <w:vertAlign w:val="baseline"/>
        </w:rPr>
        <w:t>emissions.</w:t>
      </w:r>
    </w:p>
    <w:p>
      <w:pPr>
        <w:pStyle w:val="BodyText"/>
        <w:spacing w:before="77"/>
        <w:ind w:left="179" w:right="1404"/>
        <w:jc w:val="both"/>
      </w:pPr>
      <w:r>
        <w:rPr/>
        <w:t>A more comprehensive system (Reporting Method 2 in Section 4.2.2.2) identifies each unit of land subject to afforestation/reforestation activities since 1990 (again in the two subcategories – Article 3.3 and Article 3.3 that would otherwise be subject to Article 3.4), using the polygon boundaries, a coordinate system (e.g., the Universal Transverse Mercator (UTM) Grid or Latitude/Longitude), or a legal description (e.g., those used </w:t>
      </w:r>
      <w:r>
        <w:rPr>
          <w:spacing w:val="3"/>
        </w:rPr>
        <w:t>by </w:t>
      </w:r>
      <w:r>
        <w:rPr/>
        <w:t>land-titles offices) of the location of the land subject to afforestation or reforestation activities. Chapter 2 (Basis for consistent representation of land areas) discusses in detail the possible approaches for consistent representation of land</w:t>
      </w:r>
      <w:r>
        <w:rPr>
          <w:spacing w:val="-3"/>
        </w:rPr>
        <w:t> </w:t>
      </w:r>
      <w:r>
        <w:rPr/>
        <w:t>areas.</w:t>
      </w:r>
    </w:p>
    <w:p>
      <w:pPr>
        <w:pStyle w:val="BodyText"/>
        <w:rPr>
          <w:sz w:val="22"/>
        </w:rPr>
      </w:pPr>
    </w:p>
    <w:p>
      <w:pPr>
        <w:pStyle w:val="Heading6"/>
        <w:numPr>
          <w:ilvl w:val="3"/>
          <w:numId w:val="157"/>
        </w:numPr>
        <w:tabs>
          <w:tab w:pos="1620" w:val="left" w:leader="none"/>
        </w:tabs>
        <w:spacing w:line="261" w:lineRule="auto" w:before="146" w:after="0"/>
        <w:ind w:left="1619" w:right="1803" w:hanging="1440"/>
        <w:jc w:val="both"/>
      </w:pPr>
      <w:r>
        <w:rPr>
          <w:spacing w:val="15"/>
          <w:sz w:val="28"/>
        </w:rPr>
        <w:t>C</w:t>
      </w:r>
      <w:r>
        <w:rPr>
          <w:spacing w:val="15"/>
        </w:rPr>
        <w:t>HOICE </w:t>
      </w:r>
      <w:r>
        <w:rPr>
          <w:spacing w:val="10"/>
        </w:rPr>
        <w:t>OF </w:t>
      </w:r>
      <w:r>
        <w:rPr>
          <w:spacing w:val="16"/>
        </w:rPr>
        <w:t>METHODS </w:t>
      </w:r>
      <w:r>
        <w:rPr>
          <w:spacing w:val="13"/>
        </w:rPr>
        <w:t>FOR </w:t>
      </w:r>
      <w:r>
        <w:rPr>
          <w:spacing w:val="17"/>
        </w:rPr>
        <w:t>IDENTIFYING </w:t>
      </w:r>
      <w:r>
        <w:rPr>
          <w:spacing w:val="15"/>
        </w:rPr>
        <w:t>UNITS </w:t>
      </w:r>
      <w:r>
        <w:rPr>
          <w:spacing w:val="10"/>
        </w:rPr>
        <w:t>OF </w:t>
      </w:r>
      <w:r>
        <w:rPr>
          <w:spacing w:val="14"/>
        </w:rPr>
        <w:t>LAND </w:t>
      </w:r>
      <w:r>
        <w:rPr>
          <w:spacing w:val="16"/>
        </w:rPr>
        <w:t>SUBJECT </w:t>
      </w:r>
      <w:r>
        <w:rPr>
          <w:spacing w:val="9"/>
        </w:rPr>
        <w:t>TO </w:t>
      </w:r>
      <w:r>
        <w:rPr>
          <w:spacing w:val="16"/>
        </w:rPr>
        <w:t>DIRECT </w:t>
      </w:r>
      <w:r>
        <w:rPr>
          <w:spacing w:val="17"/>
        </w:rPr>
        <w:t>HUMAN</w:t>
      </w:r>
      <w:r>
        <w:rPr>
          <w:spacing w:val="17"/>
          <w:sz w:val="28"/>
        </w:rPr>
        <w:t>-</w:t>
      </w:r>
      <w:r>
        <w:rPr>
          <w:spacing w:val="17"/>
        </w:rPr>
        <w:t>INDUCED AFFORESTATION</w:t>
      </w:r>
      <w:r>
        <w:rPr>
          <w:spacing w:val="17"/>
          <w:sz w:val="28"/>
        </w:rPr>
        <w:t>/ </w:t>
      </w:r>
      <w:r>
        <w:rPr>
          <w:spacing w:val="17"/>
        </w:rPr>
        <w:t>REFORESTATION</w:t>
      </w:r>
    </w:p>
    <w:p>
      <w:pPr>
        <w:pStyle w:val="BodyText"/>
        <w:spacing w:before="199"/>
        <w:ind w:left="179" w:right="1401"/>
        <w:jc w:val="both"/>
      </w:pPr>
      <w:r>
        <w:rPr/>
        <w:t>Parties need to report on the carbon stock changes and non-CO</w:t>
      </w:r>
      <w:r>
        <w:rPr>
          <w:vertAlign w:val="subscript"/>
        </w:rPr>
        <w:t>2</w:t>
      </w:r>
      <w:r>
        <w:rPr>
          <w:vertAlign w:val="baseline"/>
        </w:rPr>
        <w:t> greenhouse gas emissions during the commitment period on areas that have been subject to afforestation and reforestation (AR) activities since 1990. The first step in this process is to make national parameter choices for the forest definition within the ranges allowed by the Marrakesh Accords, namely 0.05 – 1 ha for minimum area, minimum tree crown cover of 10- 30% (or equivalent stocking level), minimum height at maturity of 2 to 5 meters and to report on these parameters, in the annual greenhouse gas inventory as set out in Table 4.2.4a. As explained in Section 4.2.2.5.1 it</w:t>
      </w:r>
    </w:p>
    <w:p>
      <w:pPr>
        <w:spacing w:after="0"/>
        <w:jc w:val="both"/>
        <w:sectPr>
          <w:headerReference w:type="even" r:id="rId348"/>
          <w:headerReference w:type="default" r:id="rId349"/>
          <w:pgSz w:w="11900" w:h="16840"/>
          <w:pgMar w:header="230" w:footer="408" w:top="560" w:bottom="600" w:left="1240" w:right="0"/>
        </w:sectPr>
      </w:pPr>
    </w:p>
    <w:p>
      <w:pPr>
        <w:pStyle w:val="BodyText"/>
      </w:pPr>
    </w:p>
    <w:p>
      <w:pPr>
        <w:pStyle w:val="BodyText"/>
        <w:spacing w:before="2"/>
        <w:rPr>
          <w:sz w:val="18"/>
        </w:rPr>
      </w:pPr>
    </w:p>
    <w:p>
      <w:pPr>
        <w:pStyle w:val="BodyText"/>
        <w:ind w:left="179" w:right="1408"/>
        <w:jc w:val="both"/>
      </w:pPr>
      <w:r>
        <w:rPr/>
        <w:t>is also </w:t>
      </w:r>
      <w:r>
        <w:rPr>
          <w:i/>
        </w:rPr>
        <w:t>good practice </w:t>
      </w:r>
      <w:r>
        <w:rPr/>
        <w:t>to choose a parameter for the minimum width of forest areas. Once the parameters have been chosen, they will allow identification of units of land subject to afforestation and reforestation.</w:t>
      </w:r>
    </w:p>
    <w:p>
      <w:pPr>
        <w:pStyle w:val="BodyText"/>
        <w:spacing w:before="121"/>
        <w:ind w:left="179" w:right="1408"/>
        <w:jc w:val="both"/>
      </w:pPr>
      <w:r>
        <w:rPr/>
        <w:t>The identification of units of land subject to afforestation / reforestation activities requires the delineation of areas</w:t>
      </w:r>
      <w:r>
        <w:rPr>
          <w:spacing w:val="-2"/>
        </w:rPr>
        <w:t> </w:t>
      </w:r>
      <w:r>
        <w:rPr/>
        <w:t>that:</w:t>
      </w:r>
    </w:p>
    <w:p>
      <w:pPr>
        <w:pStyle w:val="ListParagraph"/>
        <w:numPr>
          <w:ilvl w:val="0"/>
          <w:numId w:val="117"/>
        </w:numPr>
        <w:tabs>
          <w:tab w:pos="408" w:val="left" w:leader="none"/>
        </w:tabs>
        <w:spacing w:line="240" w:lineRule="auto" w:before="135" w:after="0"/>
        <w:ind w:left="407" w:right="0" w:hanging="228"/>
        <w:jc w:val="both"/>
        <w:rPr>
          <w:sz w:val="20"/>
        </w:rPr>
      </w:pPr>
      <w:r>
        <w:rPr>
          <w:sz w:val="20"/>
        </w:rPr>
        <w:t>Meet or exceed the size of the country’s minimum area in the applied forest definition (i.e., 0.05 to 1 ha),</w:t>
      </w:r>
      <w:r>
        <w:rPr>
          <w:spacing w:val="-10"/>
          <w:sz w:val="20"/>
        </w:rPr>
        <w:t> </w:t>
      </w:r>
      <w:r>
        <w:rPr>
          <w:sz w:val="20"/>
        </w:rPr>
        <w:t>and</w:t>
      </w:r>
    </w:p>
    <w:p>
      <w:pPr>
        <w:pStyle w:val="ListParagraph"/>
        <w:numPr>
          <w:ilvl w:val="0"/>
          <w:numId w:val="117"/>
        </w:numPr>
        <w:tabs>
          <w:tab w:pos="408" w:val="left" w:leader="none"/>
        </w:tabs>
        <w:spacing w:line="240" w:lineRule="auto" w:before="78" w:after="0"/>
        <w:ind w:left="407" w:right="0" w:hanging="228"/>
        <w:jc w:val="both"/>
        <w:rPr>
          <w:sz w:val="20"/>
        </w:rPr>
      </w:pPr>
      <w:r>
        <w:rPr>
          <w:sz w:val="20"/>
        </w:rPr>
        <w:t>Did not meet the definition of forest on 31 December 1989,</w:t>
      </w:r>
      <w:r>
        <w:rPr>
          <w:spacing w:val="1"/>
          <w:sz w:val="20"/>
        </w:rPr>
        <w:t> </w:t>
      </w:r>
      <w:r>
        <w:rPr>
          <w:sz w:val="20"/>
        </w:rPr>
        <w:t>and</w:t>
      </w:r>
    </w:p>
    <w:p>
      <w:pPr>
        <w:pStyle w:val="ListParagraph"/>
        <w:numPr>
          <w:ilvl w:val="0"/>
          <w:numId w:val="117"/>
        </w:numPr>
        <w:tabs>
          <w:tab w:pos="408" w:val="left" w:leader="none"/>
        </w:tabs>
        <w:spacing w:line="223" w:lineRule="auto" w:before="89" w:after="0"/>
        <w:ind w:left="407" w:right="1406" w:hanging="228"/>
        <w:jc w:val="left"/>
        <w:rPr>
          <w:sz w:val="20"/>
        </w:rPr>
      </w:pPr>
      <w:r>
        <w:rPr>
          <w:sz w:val="20"/>
        </w:rPr>
        <w:t>Do meet the definition of forest at the time of the assessment and after 1 January 1990 as the result of direct human-induced activities.</w:t>
      </w:r>
    </w:p>
    <w:p>
      <w:pPr>
        <w:pStyle w:val="BodyText"/>
        <w:spacing w:before="82"/>
        <w:ind w:left="179" w:right="1406"/>
        <w:jc w:val="both"/>
      </w:pPr>
      <w:r>
        <w:rPr/>
        <w:t>Note that the definition of forest can be met by young trees that do not yet meet the minimum height or crown cover criteria, provided that they are expected to reach these parameter thresholds at maturity.</w:t>
      </w:r>
    </w:p>
    <w:p>
      <w:pPr>
        <w:pStyle w:val="BodyText"/>
        <w:spacing w:before="120"/>
        <w:ind w:left="179" w:right="1356"/>
        <w:jc w:val="both"/>
      </w:pPr>
      <w:r>
        <w:rPr/>
        <w:t>It is </w:t>
      </w:r>
      <w:r>
        <w:rPr>
          <w:i/>
        </w:rPr>
        <w:t>good practice </w:t>
      </w:r>
      <w:r>
        <w:rPr/>
        <w:t>to distinguish those areas that did not meet the crown cover threshold in the definition of  forest on 31 December 1989, for example because of recent harvest or natural disturbances, from those areas that were non-forest on that date, because only the latter areas are eligible for afforestation and reforestation activities under the Marrakesh Accords. The Marrakesh Accords require that Parties provide information on the criteria used to distinguish harvesting or forest disturbance that is followed by the re-establishment of a forest from deforestation.</w:t>
      </w:r>
      <w:r>
        <w:rPr>
          <w:vertAlign w:val="superscript"/>
        </w:rPr>
        <w:t>43</w:t>
      </w:r>
      <w:r>
        <w:rPr>
          <w:vertAlign w:val="baseline"/>
        </w:rPr>
        <w:t> It is </w:t>
      </w:r>
      <w:r>
        <w:rPr>
          <w:i/>
          <w:vertAlign w:val="baseline"/>
        </w:rPr>
        <w:t>good practice </w:t>
      </w:r>
      <w:r>
        <w:rPr>
          <w:vertAlign w:val="baseline"/>
        </w:rPr>
        <w:t>to apply the same criteria when evaluating whether a unit of land meets the definition of forest. For example, if a country uses the criterion “time since harvest” to distinguish temporary forest cover loss from deforestation, and specifies that a harvested area will regenerate within X years, then only those areas that have been harvested more than X years prior to 31 December 1989 and that have not regenerated would be eligible for reforestation, as only they would be considered non-forest on 31 December 1989. Similarly, areas that have been disturbed by wildfire or other natural disturbances more than X years prior to 31 December 1989 and that have not regenerated to forest are classified as non-forest on 31 December 1989 and would therefore be eligible for</w:t>
      </w:r>
      <w:r>
        <w:rPr>
          <w:spacing w:val="2"/>
          <w:vertAlign w:val="baseline"/>
        </w:rPr>
        <w:t> </w:t>
      </w:r>
      <w:r>
        <w:rPr>
          <w:vertAlign w:val="baseline"/>
        </w:rPr>
        <w:t>reforestation.</w:t>
      </w:r>
    </w:p>
    <w:p>
      <w:pPr>
        <w:pStyle w:val="BodyText"/>
        <w:spacing w:before="119"/>
        <w:ind w:left="179" w:right="1403"/>
        <w:jc w:val="both"/>
      </w:pPr>
      <w:r>
        <w:rPr/>
        <w:t>As discussed in Section 4.2.2.2 (Reporting methods for land subject to Article 3.3 and 3.4 activities), Parties have the option to either report a complete inventory of all </w:t>
      </w:r>
      <w:r>
        <w:rPr>
          <w:i/>
        </w:rPr>
        <w:t>units of land </w:t>
      </w:r>
      <w:r>
        <w:rPr/>
        <w:t>subject to Article 3.3 activities, or to stratify the land into areas, i.e., defining the boundaries of these areas, and to then develop for each area estimates or inventories of the units of land subject to afforestation, reforestation and deforestation activities. Combined approaches are also possible: complete spatial inventories of all units of land can be developed for some strata, while estimates based on sampling approaches are developed for other strata in the</w:t>
      </w:r>
      <w:r>
        <w:rPr>
          <w:spacing w:val="-24"/>
        </w:rPr>
        <w:t> </w:t>
      </w:r>
      <w:r>
        <w:rPr/>
        <w:t>country.</w:t>
      </w:r>
    </w:p>
    <w:p>
      <w:pPr>
        <w:pStyle w:val="BodyText"/>
        <w:spacing w:before="117"/>
        <w:ind w:left="179" w:right="1404"/>
        <w:jc w:val="both"/>
      </w:pPr>
      <w:r>
        <w:rPr/>
        <w:t>A Party’s choice of methods for the development of an inventory of afforestation and reforestation activities will depend on the national circumstances. It is </w:t>
      </w:r>
      <w:r>
        <w:rPr>
          <w:i/>
        </w:rPr>
        <w:t>good practice </w:t>
      </w:r>
      <w:r>
        <w:rPr/>
        <w:t>to use Approach 3 in Chapter 2 (Basis for consistent representation of land area, Section 2.3.2.3) for the identification of units of land subject to afforestation and reforestation since 1990. As discussed above, this requires that the spatial resolution of the systems in Approach 3 meets the requirements for the identification of the minimum forest area of 0.05 to 1 ha. The methods available to identify lands subject to afforestation and reforestation activities are discussed in Section 4.2.8.2. It is </w:t>
      </w:r>
      <w:r>
        <w:rPr>
          <w:i/>
        </w:rPr>
        <w:t>good practice </w:t>
      </w:r>
      <w:r>
        <w:rPr/>
        <w:t>to provide information on uncertainties in the estimates of the total area of the units of land subject to afforestation and reforestation as discussed in Section 4.2.4.2</w:t>
      </w:r>
      <w:r>
        <w:rPr>
          <w:spacing w:val="-4"/>
        </w:rPr>
        <w:t> </w:t>
      </w:r>
      <w:r>
        <w:rPr/>
        <w:t>above.</w:t>
      </w:r>
    </w:p>
    <w:p>
      <w:pPr>
        <w:pStyle w:val="BodyText"/>
        <w:spacing w:before="119"/>
        <w:ind w:left="179" w:right="1401"/>
        <w:jc w:val="both"/>
      </w:pPr>
      <w:r>
        <w:rPr/>
        <w:t>It is </w:t>
      </w:r>
      <w:r>
        <w:rPr>
          <w:i/>
        </w:rPr>
        <w:t>good practice </w:t>
      </w:r>
      <w:r>
        <w:rPr/>
        <w:t>to provide documentation that all afforestation and reforestation activities included in the identified units of land are direct human-induced. Relevant documentation includes forest management records or other documentation that demonstrates that a decision had been taken to replant or to allow forest regeneration by other</w:t>
      </w:r>
      <w:r>
        <w:rPr>
          <w:spacing w:val="-2"/>
        </w:rPr>
        <w:t> </w:t>
      </w:r>
      <w:r>
        <w:rPr/>
        <w:t>means.</w:t>
      </w:r>
    </w:p>
    <w:p>
      <w:pPr>
        <w:pStyle w:val="BodyText"/>
        <w:spacing w:before="119"/>
        <w:ind w:left="179" w:right="1404"/>
        <w:jc w:val="both"/>
      </w:pPr>
      <w:r>
        <w:rPr/>
        <w:t>In some cases it may not be clear whether newly established trees will pass the forest threshold. The difference between afforestation/reforestation activities and revegetation is that revegetation does not (and will not) meet the Party’s definition of a forest (i.e., the height at maturity or the minimum crown closure). Where it is uncertain whether the trees on a unit of land will pass the thresholds of the definition of forest, it is </w:t>
      </w:r>
      <w:r>
        <w:rPr>
          <w:i/>
        </w:rPr>
        <w:t>good practice </w:t>
      </w:r>
      <w:r>
        <w:rPr/>
        <w:t>not to report these areas as afforested or reforested land, and to await confirmation (at a later time) that these parameter thresholds have been or will be passed. Prior to meeting the definition of afforestation or reforestation, the carbon stock changes on these units of land could be reported in the land-use category in which the land was reported prior to the land-use change, provided that this category is included in the national accounts, e.g., as cropland or revegetation. (Note that this approach is consistent with the treatment of deforestation, i.e., units of land that have not been confirmed as deforested remain in the forest category – see Section 4.2.6.2.1). A decision tree for determining of whether an area will qualify for afforestation/reforestation or for revegetation is given in Figure 4.2.5.</w:t>
      </w:r>
    </w:p>
    <w:p>
      <w:pPr>
        <w:pStyle w:val="BodyText"/>
        <w:rPr>
          <w:sz w:val="27"/>
        </w:rPr>
      </w:pPr>
      <w:r>
        <w:rPr/>
        <w:pict>
          <v:line style="position:absolute;mso-position-horizontal-relative:page;mso-position-vertical-relative:paragraph;z-index:20600;mso-wrap-distance-left:0;mso-wrap-distance-right:0" from="70.960999pt,17.77289pt" to="214.960999pt,17.77289pt" stroked="true" strokeweight=".48pt" strokecolor="#000000">
            <v:stroke dashstyle="solid"/>
            <w10:wrap type="topAndBottom"/>
          </v:line>
        </w:pict>
      </w:r>
    </w:p>
    <w:p>
      <w:pPr>
        <w:spacing w:before="150"/>
        <w:ind w:left="323" w:right="1587" w:hanging="144"/>
        <w:jc w:val="left"/>
        <w:rPr>
          <w:sz w:val="18"/>
        </w:rPr>
      </w:pPr>
      <w:r>
        <w:rPr>
          <w:position w:val="8"/>
          <w:sz w:val="12"/>
        </w:rPr>
        <w:t>43 </w:t>
      </w:r>
      <w:r>
        <w:rPr>
          <w:sz w:val="18"/>
        </w:rPr>
        <w:t>See paragraph 8(b) of the Annex to draft decision -/CMP.1 (Article 7), contained in document FCCC/CP/2001/13/Add.3, p.23.</w:t>
      </w:r>
    </w:p>
    <w:p>
      <w:pPr>
        <w:spacing w:after="0"/>
        <w:jc w:val="left"/>
        <w:rPr>
          <w:sz w:val="18"/>
        </w:rPr>
        <w:sectPr>
          <w:footerReference w:type="even" r:id="rId350"/>
          <w:footerReference w:type="default" r:id="rId351"/>
          <w:pgSz w:w="11900" w:h="16840"/>
          <w:pgMar w:footer="408" w:header="230" w:top="560" w:bottom="600" w:left="1240" w:right="0"/>
          <w:pgNumType w:start="52"/>
        </w:sectPr>
      </w:pPr>
    </w:p>
    <w:p>
      <w:pPr>
        <w:pStyle w:val="BodyText"/>
      </w:pPr>
    </w:p>
    <w:p>
      <w:pPr>
        <w:pStyle w:val="BodyText"/>
        <w:spacing w:before="7"/>
        <w:rPr>
          <w:sz w:val="18"/>
        </w:rPr>
      </w:pPr>
    </w:p>
    <w:p>
      <w:pPr>
        <w:tabs>
          <w:tab w:pos="2349" w:val="left" w:leader="none"/>
        </w:tabs>
        <w:spacing w:before="0"/>
        <w:ind w:left="2351" w:right="1406" w:hanging="2172"/>
        <w:jc w:val="both"/>
        <w:rPr>
          <w:b/>
          <w:sz w:val="20"/>
        </w:rPr>
      </w:pPr>
      <w:r>
        <w:rPr/>
        <w:pict>
          <v:shape style="position:absolute;margin-left:452.200989pt;margin-top:598.176270pt;width:71.4pt;height:32.3pt;mso-position-horizontal-relative:page;mso-position-vertical-relative:paragraph;z-index:23104" type="#_x0000_t202" filled="false" stroked="true" strokeweight="1.5pt" strokecolor="#010101">
            <v:textbox inset="0,0,0,0">
              <w:txbxContent>
                <w:p>
                  <w:pPr>
                    <w:pStyle w:val="BodyText"/>
                    <w:spacing w:before="194"/>
                    <w:ind w:left="100"/>
                  </w:pPr>
                  <w:r>
                    <w:rPr/>
                    <w:t>Classify as RV</w:t>
                  </w:r>
                </w:p>
              </w:txbxContent>
            </v:textbox>
            <v:stroke dashstyle="solid"/>
            <w10:wrap type="none"/>
          </v:shape>
        </w:pict>
      </w:r>
      <w:r>
        <w:rPr/>
        <w:pict>
          <v:shape style="position:absolute;margin-left:379.480988pt;margin-top:433.176239pt;width:127.2pt;height:25.45pt;mso-position-horizontal-relative:page;mso-position-vertical-relative:paragraph;z-index:23128" type="#_x0000_t202" filled="false" stroked="true" strokeweight="1.5pt" strokecolor="#010101">
            <v:textbox inset="0,0,0,0">
              <w:txbxContent>
                <w:p>
                  <w:pPr>
                    <w:pStyle w:val="BodyText"/>
                    <w:spacing w:before="124"/>
                    <w:ind w:left="323"/>
                  </w:pPr>
                  <w:r>
                    <w:rPr/>
                    <w:t>Not eligible for dhi AR</w:t>
                  </w:r>
                </w:p>
              </w:txbxContent>
            </v:textbox>
            <v:stroke dashstyle="solid"/>
            <w10:wrap type="none"/>
          </v:shape>
        </w:pict>
      </w:r>
      <w:r>
        <w:rPr/>
        <w:pict>
          <v:shape style="position:absolute;margin-left:234.041pt;margin-top:433.176239pt;width:100pt;height:25.45pt;mso-position-horizontal-relative:page;mso-position-vertical-relative:paragraph;z-index:23152" type="#_x0000_t202" filled="false" stroked="true" strokeweight="1.5pt" strokecolor="#010101">
            <v:textbox inset="0,0,0,0">
              <w:txbxContent>
                <w:p>
                  <w:pPr>
                    <w:pStyle w:val="BodyText"/>
                    <w:spacing w:before="129"/>
                    <w:ind w:left="234"/>
                  </w:pPr>
                  <w:r>
                    <w:rPr/>
                    <w:t>Classify as dhi AR</w:t>
                  </w:r>
                </w:p>
              </w:txbxContent>
            </v:textbox>
            <v:stroke dashstyle="solid"/>
            <w10:wrap type="none"/>
          </v:shape>
        </w:pict>
      </w:r>
      <w:r>
        <w:rPr>
          <w:b/>
          <w:spacing w:val="8"/>
          <w:sz w:val="20"/>
        </w:rPr>
        <w:t>Figure</w:t>
      </w:r>
      <w:r>
        <w:rPr>
          <w:b/>
          <w:spacing w:val="19"/>
          <w:sz w:val="20"/>
        </w:rPr>
        <w:t> </w:t>
      </w:r>
      <w:r>
        <w:rPr>
          <w:b/>
          <w:spacing w:val="8"/>
          <w:sz w:val="20"/>
        </w:rPr>
        <w:t>4.2.5</w:t>
        <w:tab/>
        <w:t>Decision </w:t>
      </w:r>
      <w:r>
        <w:rPr>
          <w:b/>
          <w:spacing w:val="7"/>
          <w:sz w:val="20"/>
        </w:rPr>
        <w:t>tree </w:t>
      </w:r>
      <w:r>
        <w:rPr>
          <w:b/>
          <w:spacing w:val="6"/>
          <w:sz w:val="20"/>
        </w:rPr>
        <w:t>for </w:t>
      </w:r>
      <w:r>
        <w:rPr>
          <w:b/>
          <w:spacing w:val="9"/>
          <w:sz w:val="20"/>
        </w:rPr>
        <w:t>determining whether </w:t>
      </w:r>
      <w:r>
        <w:rPr>
          <w:b/>
          <w:sz w:val="20"/>
        </w:rPr>
        <w:t>a </w:t>
      </w:r>
      <w:r>
        <w:rPr>
          <w:b/>
          <w:spacing w:val="6"/>
          <w:sz w:val="20"/>
        </w:rPr>
        <w:t>unit </w:t>
      </w:r>
      <w:r>
        <w:rPr>
          <w:b/>
          <w:spacing w:val="5"/>
          <w:sz w:val="20"/>
        </w:rPr>
        <w:t>of </w:t>
      </w:r>
      <w:r>
        <w:rPr>
          <w:b/>
          <w:spacing w:val="7"/>
          <w:sz w:val="20"/>
        </w:rPr>
        <w:t>land </w:t>
      </w:r>
      <w:r>
        <w:rPr>
          <w:b/>
          <w:spacing w:val="9"/>
          <w:sz w:val="20"/>
        </w:rPr>
        <w:t>qualifies </w:t>
      </w:r>
      <w:r>
        <w:rPr>
          <w:b/>
          <w:spacing w:val="6"/>
          <w:sz w:val="20"/>
        </w:rPr>
        <w:t>for </w:t>
      </w:r>
      <w:r>
        <w:rPr>
          <w:b/>
          <w:spacing w:val="10"/>
          <w:sz w:val="20"/>
        </w:rPr>
        <w:t>direct </w:t>
      </w:r>
      <w:r>
        <w:rPr>
          <w:b/>
          <w:spacing w:val="9"/>
          <w:sz w:val="20"/>
        </w:rPr>
        <w:t>human-induced </w:t>
      </w:r>
      <w:r>
        <w:rPr>
          <w:b/>
          <w:spacing w:val="7"/>
          <w:sz w:val="20"/>
        </w:rPr>
        <w:t>(dhi) </w:t>
      </w:r>
      <w:r>
        <w:rPr>
          <w:b/>
          <w:spacing w:val="9"/>
          <w:sz w:val="20"/>
        </w:rPr>
        <w:t>Afforestation/Reforestation </w:t>
      </w:r>
      <w:r>
        <w:rPr>
          <w:b/>
          <w:spacing w:val="7"/>
          <w:sz w:val="20"/>
        </w:rPr>
        <w:t>(AR) </w:t>
      </w:r>
      <w:r>
        <w:rPr>
          <w:b/>
          <w:spacing w:val="5"/>
          <w:sz w:val="20"/>
        </w:rPr>
        <w:t>or </w:t>
      </w:r>
      <w:r>
        <w:rPr>
          <w:b/>
          <w:spacing w:val="10"/>
          <w:sz w:val="20"/>
        </w:rPr>
        <w:t>Revegetation (RV).</w:t>
      </w:r>
    </w:p>
    <w:p>
      <w:pPr>
        <w:pStyle w:val="BodyText"/>
        <w:spacing w:before="6"/>
        <w:rPr>
          <w:b/>
          <w:sz w:val="19"/>
        </w:rPr>
      </w:pPr>
      <w:r>
        <w:rPr/>
        <w:pict>
          <v:group style="position:absolute;margin-left:188.306pt;margin-top:13.234785pt;width:257.8pt;height:384.75pt;mso-position-horizontal-relative:page;mso-position-vertical-relative:paragraph;z-index:20816;mso-wrap-distance-left:0;mso-wrap-distance-right:0" coordorigin="3766,265" coordsize="5156,7695">
            <v:shape style="position:absolute;left:4318;top:2065;width:2724;height:1431" coordorigin="4318,2065" coordsize="2724,1431" path="m5682,2065l4318,2780,5682,3495,7042,2780,5682,2065xe" filled="false" stroked="true" strokeweight=".75pt" strokecolor="#010101">
              <v:path arrowok="t"/>
              <v:stroke dashstyle="solid"/>
            </v:shape>
            <v:shape style="position:absolute;left:5619;top:1695;width:120;height:370" type="#_x0000_t75" stroked="false">
              <v:imagedata r:id="rId352" o:title=""/>
            </v:shape>
            <v:shape style="position:absolute;left:4109;top:272;width:3137;height:1433" coordorigin="4110,272" coordsize="3137,1433" path="m5677,272l4110,987,5677,1705,7246,987,5677,272xe" filled="false" stroked="true" strokeweight=".75pt" strokecolor="#010101">
              <v:path arrowok="t"/>
              <v:stroke dashstyle="solid"/>
            </v:shape>
            <v:shape style="position:absolute;left:3773;top:3853;width:3816;height:1872" coordorigin="3774,3853" coordsize="3816,1872" path="m5682,3853l3774,4789,5682,5725,7590,4789,5682,3853xe" filled="false" stroked="true" strokeweight=".75pt" strokecolor="#010101">
              <v:path arrowok="t"/>
              <v:stroke dashstyle="solid"/>
            </v:shape>
            <v:shape style="position:absolute;left:7239;top:980;width:1683;height:6980" coordorigin="7239,980" coordsize="1683,6980" path="m8854,7839l8802,7839,8862,7959,8908,7866,8857,7866,8854,7863,8854,7839xm8854,987l8854,7863,8857,7866,8866,7866,8869,7863,8869,995,8862,995,8854,987xm8922,7839l8869,7839,8869,7863,8866,7866,8908,7866,8922,7839xm8866,980l7242,980,7239,985,7239,992,7242,995,8854,995,8854,987,8869,987,8869,985,8866,980xm8869,987l8854,987,8862,995,8869,995,8869,987xe" filled="true" fillcolor="#010101" stroked="false">
              <v:path arrowok="t"/>
              <v:fill type="solid"/>
            </v:shape>
            <v:shape style="position:absolute;left:4462;top:6003;width:2432;height:1685" coordorigin="4462,6003" coordsize="2432,1685" path="m5679,6003l4462,6846,5679,7688,6894,6846,5679,6003xe" filled="false" stroked="true" strokeweight=".75pt" strokecolor="#010101">
              <v:path arrowok="t"/>
              <v:stroke dashstyle="solid"/>
            </v:shape>
            <v:shape style="position:absolute;left:6869;top:6781;width:1988;height:120" coordorigin="6870,6781" coordsize="1988,120" path="m8737,6851l8737,6901,8838,6851,8761,6851,8737,6851xm8737,6781l8737,6851,8761,6851,8763,6846,8763,6839,8761,6834,8842,6834,8737,6781xm8842,6834l8761,6834,8763,6839,8763,6846,8761,6851,8838,6851,8857,6841,8842,6834xm8737,6834l6872,6834,6870,6836,6870,6846,6872,6848,8737,6851,8737,6834xe" filled="true" fillcolor="#010101" stroked="false">
              <v:path arrowok="t"/>
              <v:fill type="solid"/>
            </v:shape>
            <v:shape style="position:absolute;left:7037;top:2720;width:1815;height:120" coordorigin="7038,2720" coordsize="1815,120" path="m8732,2720l8732,2840,8838,2787,8756,2787,8758,2785,8758,2778,8756,2773,8838,2773,8732,2720xm8732,2773l7040,2773,7038,2775,7038,2785,7040,2787,8732,2787,8732,2773xm8838,2773l8756,2773,8758,2778,8758,2785,8756,2787,8838,2787,8852,2780,8838,2773xe" filled="true" fillcolor="#010101" stroked="false">
              <v:path arrowok="t"/>
              <v:fill type="solid"/>
            </v:shape>
            <v:shape style="position:absolute;left:7229;top:927;width:1599;height:120" coordorigin="7230,927" coordsize="1599,120" path="m8814,980l8732,980,8734,985,8734,992,8732,995,8708,995,8708,1047,8828,987,8814,980xm8708,980l7237,983,7232,983,7230,985,7230,992,7232,997,8708,995,8708,980xm8732,980l8708,980,8708,995,8732,995,8734,992,8734,985,8732,980xm8708,927l8708,980,8814,980,8708,927xe" filled="true" fillcolor="#010101" stroked="false">
              <v:path arrowok="t"/>
              <v:fill type="solid"/>
            </v:shape>
            <v:shape style="position:absolute;left:7582;top:4729;width:1265;height:120" coordorigin="7582,4729" coordsize="1265,120" path="m8727,4799l8727,4849,8828,4799,8751,4799,8727,4799xm8727,4729l8727,4799,8751,4799,8754,4794,8754,4787,8751,4782,8833,4782,8727,4729xm8833,4782l8751,4782,8754,4787,8754,4794,8751,4799,8828,4799,8847,4789,8833,4782xm8727,4782l7585,4782,7582,4784,7582,4794,7585,4796,8727,4799,8727,4782xe" filled="true" fillcolor="#010101" stroked="false">
              <v:path arrowok="t"/>
              <v:fill type="solid"/>
            </v:shape>
            <v:shape style="position:absolute;left:5621;top:3488;width:120;height:365" type="#_x0000_t75" stroked="false">
              <v:imagedata r:id="rId353" o:title=""/>
            </v:shape>
            <v:shape style="position:absolute;left:5619;top:5715;width:120;height:288" type="#_x0000_t75" stroked="false">
              <v:imagedata r:id="rId354" o:title=""/>
            </v:shape>
            <v:shape style="position:absolute;left:5619;top:7681;width:120;height:279" type="#_x0000_t75" stroked="false">
              <v:imagedata r:id="rId355" o:title=""/>
            </v:shape>
            <v:shape style="position:absolute;left:4760;top:464;width:1909;height:1452" type="#_x0000_t202" filled="false" stroked="false">
              <v:textbox inset="0,0,0,0">
                <w:txbxContent>
                  <w:p>
                    <w:pPr>
                      <w:spacing w:line="221" w:lineRule="exact" w:before="0"/>
                      <w:ind w:left="626" w:right="648" w:firstLine="0"/>
                      <w:jc w:val="center"/>
                      <w:rPr>
                        <w:sz w:val="20"/>
                      </w:rPr>
                    </w:pPr>
                    <w:r>
                      <w:rPr>
                        <w:sz w:val="20"/>
                      </w:rPr>
                      <w:t>Did the</w:t>
                    </w:r>
                  </w:p>
                  <w:p>
                    <w:pPr>
                      <w:spacing w:before="0"/>
                      <w:ind w:left="-1" w:right="18" w:hanging="4"/>
                      <w:jc w:val="center"/>
                      <w:rPr>
                        <w:sz w:val="20"/>
                      </w:rPr>
                    </w:pPr>
                    <w:r>
                      <w:rPr>
                        <w:sz w:val="20"/>
                      </w:rPr>
                      <w:t>unit of land meet the definition of a forest on 31 December</w:t>
                    </w:r>
                  </w:p>
                  <w:p>
                    <w:pPr>
                      <w:spacing w:line="229" w:lineRule="exact" w:before="0"/>
                      <w:ind w:left="623" w:right="648" w:firstLine="0"/>
                      <w:jc w:val="center"/>
                      <w:rPr>
                        <w:sz w:val="20"/>
                      </w:rPr>
                    </w:pPr>
                    <w:r>
                      <w:rPr>
                        <w:sz w:val="20"/>
                      </w:rPr>
                      <w:t>1989?</w:t>
                    </w:r>
                  </w:p>
                  <w:p>
                    <w:pPr>
                      <w:spacing w:before="82"/>
                      <w:ind w:left="400" w:right="0" w:firstLine="0"/>
                      <w:jc w:val="left"/>
                      <w:rPr>
                        <w:sz w:val="20"/>
                      </w:rPr>
                    </w:pPr>
                    <w:r>
                      <w:rPr>
                        <w:sz w:val="20"/>
                      </w:rPr>
                      <w:t>No</w:t>
                    </w:r>
                  </w:p>
                </w:txbxContent>
              </v:textbox>
              <w10:wrap type="none"/>
            </v:shape>
            <v:shape style="position:absolute;left:7164;top:480;width:316;height:210" type="#_x0000_t202" filled="false" stroked="false">
              <v:textbox inset="0,0,0,0">
                <w:txbxContent>
                  <w:p>
                    <w:pPr>
                      <w:spacing w:line="210" w:lineRule="exact" w:before="0"/>
                      <w:ind w:left="0" w:right="0" w:firstLine="0"/>
                      <w:jc w:val="left"/>
                      <w:rPr>
                        <w:sz w:val="19"/>
                      </w:rPr>
                    </w:pPr>
                    <w:r>
                      <w:rPr>
                        <w:sz w:val="19"/>
                      </w:rPr>
                      <w:t>Yes</w:t>
                    </w:r>
                  </w:p>
                </w:txbxContent>
              </v:textbox>
              <w10:wrap type="none"/>
            </v:shape>
            <v:shape style="position:absolute;left:4630;top:2257;width:2619;height:1467" type="#_x0000_t202" filled="false" stroked="false">
              <v:textbox inset="0,0,0,0">
                <w:txbxContent>
                  <w:p>
                    <w:pPr>
                      <w:tabs>
                        <w:tab w:pos="2354" w:val="left" w:leader="none"/>
                      </w:tabs>
                      <w:spacing w:line="223" w:lineRule="auto" w:before="8"/>
                      <w:ind w:left="263" w:right="18" w:firstLine="422"/>
                      <w:jc w:val="left"/>
                      <w:rPr>
                        <w:sz w:val="20"/>
                      </w:rPr>
                    </w:pPr>
                    <w:r>
                      <w:rPr>
                        <w:position w:val="1"/>
                        <w:sz w:val="20"/>
                      </w:rPr>
                      <w:t>Are</w:t>
                    </w:r>
                    <w:r>
                      <w:rPr>
                        <w:spacing w:val="-2"/>
                        <w:position w:val="1"/>
                        <w:sz w:val="20"/>
                      </w:rPr>
                      <w:t> </w:t>
                    </w:r>
                    <w:r>
                      <w:rPr>
                        <w:position w:val="1"/>
                        <w:sz w:val="20"/>
                      </w:rPr>
                      <w:t>trees</w:t>
                      <w:tab/>
                    </w:r>
                    <w:r>
                      <w:rPr>
                        <w:spacing w:val="-9"/>
                        <w:sz w:val="20"/>
                      </w:rPr>
                      <w:t>No </w:t>
                    </w:r>
                    <w:r>
                      <w:rPr>
                        <w:sz w:val="20"/>
                      </w:rPr>
                      <w:t>growing on the</w:t>
                    </w:r>
                    <w:r>
                      <w:rPr>
                        <w:spacing w:val="-4"/>
                        <w:sz w:val="20"/>
                      </w:rPr>
                      <w:t> </w:t>
                    </w:r>
                    <w:r>
                      <w:rPr>
                        <w:sz w:val="20"/>
                      </w:rPr>
                      <w:t>unit</w:t>
                    </w:r>
                  </w:p>
                  <w:p>
                    <w:pPr>
                      <w:spacing w:before="3"/>
                      <w:ind w:left="803" w:right="501" w:hanging="804"/>
                      <w:jc w:val="left"/>
                      <w:rPr>
                        <w:sz w:val="20"/>
                      </w:rPr>
                    </w:pPr>
                    <w:r>
                      <w:rPr>
                        <w:sz w:val="20"/>
                      </w:rPr>
                      <w:t>of land after 31 December 1989?</w:t>
                    </w:r>
                  </w:p>
                  <w:p>
                    <w:pPr>
                      <w:spacing w:line="240" w:lineRule="auto" w:before="5"/>
                      <w:rPr>
                        <w:b/>
                        <w:sz w:val="28"/>
                      </w:rPr>
                    </w:pPr>
                  </w:p>
                  <w:p>
                    <w:pPr>
                      <w:spacing w:before="0"/>
                      <w:ind w:left="530" w:right="0" w:firstLine="0"/>
                      <w:jc w:val="left"/>
                      <w:rPr>
                        <w:sz w:val="20"/>
                      </w:rPr>
                    </w:pPr>
                    <w:r>
                      <w:rPr>
                        <w:sz w:val="20"/>
                      </w:rPr>
                      <w:t>Yes</w:t>
                    </w:r>
                  </w:p>
                </w:txbxContent>
              </v:textbox>
              <w10:wrap type="none"/>
            </v:shape>
            <v:shape style="position:absolute;left:4368;top:4145;width:2644;height:1752" type="#_x0000_t202" filled="false" stroked="false">
              <v:textbox inset="0,0,0,0">
                <w:txbxContent>
                  <w:p>
                    <w:pPr>
                      <w:spacing w:line="240" w:lineRule="auto" w:before="0"/>
                      <w:ind w:left="566" w:right="585" w:firstLine="4"/>
                      <w:jc w:val="center"/>
                      <w:rPr>
                        <w:sz w:val="20"/>
                      </w:rPr>
                    </w:pPr>
                    <w:r>
                      <w:rPr>
                        <w:sz w:val="20"/>
                      </w:rPr>
                      <w:t>Do the trees exceed or have</w:t>
                    </w:r>
                    <w:r>
                      <w:rPr>
                        <w:spacing w:val="-13"/>
                        <w:sz w:val="20"/>
                      </w:rPr>
                      <w:t> </w:t>
                    </w:r>
                    <w:r>
                      <w:rPr>
                        <w:sz w:val="20"/>
                      </w:rPr>
                      <w:t>the</w:t>
                    </w:r>
                  </w:p>
                  <w:p>
                    <w:pPr>
                      <w:spacing w:before="0"/>
                      <w:ind w:left="-1" w:right="18" w:firstLine="0"/>
                      <w:jc w:val="center"/>
                      <w:rPr>
                        <w:sz w:val="20"/>
                      </w:rPr>
                    </w:pPr>
                    <w:r>
                      <w:rPr>
                        <w:sz w:val="20"/>
                      </w:rPr>
                      <w:t>potential to exceed your</w:t>
                    </w:r>
                    <w:r>
                      <w:rPr>
                        <w:spacing w:val="-12"/>
                        <w:sz w:val="20"/>
                      </w:rPr>
                      <w:t> </w:t>
                    </w:r>
                    <w:r>
                      <w:rPr>
                        <w:sz w:val="20"/>
                      </w:rPr>
                      <w:t>selected thresholds of crown</w:t>
                    </w:r>
                    <w:r>
                      <w:rPr>
                        <w:spacing w:val="-9"/>
                        <w:sz w:val="20"/>
                      </w:rPr>
                      <w:t> </w:t>
                    </w:r>
                    <w:r>
                      <w:rPr>
                        <w:sz w:val="20"/>
                      </w:rPr>
                      <w:t>cover</w:t>
                    </w:r>
                  </w:p>
                  <w:p>
                    <w:pPr>
                      <w:spacing w:before="0"/>
                      <w:ind w:left="796" w:right="812" w:firstLine="0"/>
                      <w:jc w:val="center"/>
                      <w:rPr>
                        <w:sz w:val="20"/>
                      </w:rPr>
                    </w:pPr>
                    <w:r>
                      <w:rPr>
                        <w:sz w:val="20"/>
                      </w:rPr>
                      <w:t>and height at maturity?</w:t>
                    </w:r>
                  </w:p>
                  <w:p>
                    <w:pPr>
                      <w:spacing w:before="142"/>
                      <w:ind w:left="791" w:right="0" w:firstLine="0"/>
                      <w:jc w:val="left"/>
                      <w:rPr>
                        <w:sz w:val="20"/>
                      </w:rPr>
                    </w:pPr>
                    <w:r>
                      <w:rPr>
                        <w:sz w:val="20"/>
                      </w:rPr>
                      <w:t>Yes</w:t>
                    </w:r>
                  </w:p>
                </w:txbxContent>
              </v:textbox>
              <w10:wrap type="none"/>
            </v:shape>
            <v:shape style="position:absolute;left:7529;top:4421;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4949;top:6238;width:1480;height:1143" type="#_x0000_t202" filled="false" stroked="false">
              <v:textbox inset="0,0,0,0">
                <w:txbxContent>
                  <w:p>
                    <w:pPr>
                      <w:spacing w:line="237" w:lineRule="auto" w:before="0"/>
                      <w:ind w:left="76" w:right="75" w:firstLine="357"/>
                      <w:jc w:val="left"/>
                      <w:rPr>
                        <w:sz w:val="20"/>
                      </w:rPr>
                    </w:pPr>
                    <w:r>
                      <w:rPr>
                        <w:sz w:val="20"/>
                      </w:rPr>
                      <w:t>Are the trees growing as</w:t>
                    </w:r>
                  </w:p>
                  <w:p>
                    <w:pPr>
                      <w:spacing w:line="242" w:lineRule="auto" w:before="0"/>
                      <w:ind w:left="-1" w:right="18" w:firstLine="0"/>
                      <w:jc w:val="center"/>
                      <w:rPr>
                        <w:sz w:val="20"/>
                      </w:rPr>
                    </w:pPr>
                    <w:r>
                      <w:rPr>
                        <w:sz w:val="20"/>
                      </w:rPr>
                      <w:t>the result of</w:t>
                    </w:r>
                    <w:r>
                      <w:rPr>
                        <w:spacing w:val="-9"/>
                        <w:sz w:val="20"/>
                      </w:rPr>
                      <w:t> </w:t>
                    </w:r>
                    <w:r>
                      <w:rPr>
                        <w:sz w:val="20"/>
                      </w:rPr>
                      <w:t>direct human-induced activity?</w:t>
                    </w:r>
                  </w:p>
                </w:txbxContent>
              </v:textbox>
              <w10:wrap type="none"/>
            </v:shape>
            <v:shape style="position:absolute;left:6802;top:6567;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5160;top:7669;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w10:wrap type="topAndBottom"/>
          </v:group>
        </w:pict>
      </w:r>
    </w:p>
    <w:p>
      <w:pPr>
        <w:pStyle w:val="BodyText"/>
        <w:rPr>
          <w:b/>
        </w:rPr>
      </w:pPr>
    </w:p>
    <w:p>
      <w:pPr>
        <w:pStyle w:val="BodyText"/>
        <w:spacing w:before="5"/>
        <w:rPr>
          <w:b/>
          <w:sz w:val="19"/>
        </w:rPr>
      </w:pPr>
      <w:r>
        <w:rPr/>
        <w:pict>
          <v:group style="position:absolute;margin-left:69.850998pt;margin-top:13.170977pt;width:381.65pt;height:209.3pt;mso-position-horizontal-relative:page;mso-position-vertical-relative:paragraph;z-index:21032;mso-wrap-distance-left:0;mso-wrap-distance-right:0" coordorigin="1397,263" coordsize="7633,4186">
            <v:shape style="position:absolute;left:4714;top:2073;width:120;height:360" type="#_x0000_t75" stroked="false">
              <v:imagedata r:id="rId356" o:title=""/>
            </v:shape>
            <v:shape style="position:absolute;left:3591;top:2433;width:2364;height:1868" coordorigin="3591,2433" coordsize="2364,1868" path="m4774,2433l3591,3367,4774,4300,5955,3367,4774,2433xe" filled="false" stroked="true" strokeweight=".75pt" strokecolor="#010101">
              <v:path arrowok="t"/>
              <v:stroke dashstyle="solid"/>
            </v:shape>
            <v:shape style="position:absolute;left:3591;top:822;width:2364;height:1258" coordorigin="3591,823" coordsize="2364,1258" path="m4774,823l3591,1451,4774,2080,5955,1451,4774,823xe" filled="false" stroked="true" strokeweight=".75pt" strokecolor="#010101">
              <v:path arrowok="t"/>
              <v:stroke dashstyle="solid"/>
            </v:shape>
            <v:shape style="position:absolute;left:4714;top:263;width:4155;height:560" coordorigin="4714,263" coordsize="4155,560" path="m4767,703l4714,703,4774,823,4821,729,4770,729,4767,727,4767,703xm8854,532l4770,532,4767,535,4767,727,4770,729,4777,729,4782,727,4782,547,4774,547,4782,539,8854,539,8854,532xm4834,703l4782,703,4782,727,4777,729,4821,729,4834,703xm4782,539l4774,547,4782,547,4782,539xm8869,532l8862,532,8854,539,4782,539,4782,547,8866,547,8869,542,8869,532xm8866,263l8857,263,8854,268,8854,539,8862,532,8869,532,8869,268,8866,263xe" filled="true" fillcolor="#010101" stroked="false">
              <v:path arrowok="t"/>
              <v:fill type="solid"/>
            </v:shape>
            <v:shape style="position:absolute;left:6406;top:2644;width:1728;height:1438" coordorigin="6406,2644" coordsize="1728,1438" path="m7270,2644l6406,3362,7270,4082,8134,3362,7270,2644xe" filled="false" stroked="true" strokeweight=".75pt" strokecolor="#010101">
              <v:path arrowok="t"/>
              <v:stroke dashstyle="solid"/>
            </v:shape>
            <v:shape style="position:absolute;left:2261;top:3601;width:5016;height:848" coordorigin="2262,3602" coordsize="5016,848" path="m2324,3693l2317,3693,2314,3695,2314,4447,2317,4449,7273,4449,7278,4447,7278,4442,2329,4442,2322,4435,2329,4435,2329,3695,2324,3693xm2329,4435l2322,4435,2329,4442,2329,4435xm7263,4435l2329,4435,2329,4442,7263,4442,7263,4435xm7273,4075l7266,4075,7263,4077,7263,4442,7270,4435,7278,4435,7278,4077,7273,4075xm7278,4435l7270,4435,7263,4442,7278,4442,7278,4435xm2322,3602l2262,3722,2314,3722,2314,3695,2317,3693,2367,3693,2322,3602xm2367,3693l2324,3693,2329,3695,2329,3722,2382,3722,2367,3693xe" filled="true" fillcolor="#010101" stroked="false">
              <v:path arrowok="t"/>
              <v:fill type="solid"/>
            </v:shape>
            <v:shape style="position:absolute;left:2261;top:1444;width:1337;height:1676" coordorigin="2262,1444" coordsize="1337,1676" path="m2314,2999l2262,2999,2322,3119,2368,3026,2317,3026,2314,3023,2314,2999xm3596,1444l2317,1444,2314,1447,2314,3023,2317,3026,2324,3026,2329,3023,2329,1459,2322,1459,2329,1451,3598,1451,3598,1447,3596,1444xm2382,2999l2329,2999,2329,3023,2324,3026,2368,3026,2382,2999xm2329,1451l2322,1459,2329,1459,2329,1451xm3598,1451l2329,1451,2329,1459,3596,1459,3598,1456,3598,1451xe" filled="true" fillcolor="#010101" stroked="false">
              <v:path arrowok="t"/>
              <v:fill type="solid"/>
            </v:shape>
            <v:shape style="position:absolute;left:3243;top:3301;width:356;height:120" type="#_x0000_t75" stroked="false">
              <v:imagedata r:id="rId357" o:title=""/>
            </v:shape>
            <v:shape style="position:absolute;left:5948;top:3304;width:459;height:120" coordorigin="5948,3304" coordsize="459,120" path="m6396,3357l6310,3357,6313,3359,6313,3369,6310,3371,6306,3371,6285,3372,6286,3424,6406,3362,6396,3357xm6285,3357l5955,3359,5950,3359,5948,3364,5948,3372,5950,3376,5955,3376,6285,3372,6285,3357xm6310,3357l6306,3357,6285,3357,6285,3372,6306,3371,6310,3371,6313,3369,6313,3359,6310,3357xm6284,3304l6285,3357,6396,3357,6284,3304xe" filled="true" fillcolor="#010101" stroked="false">
              <v:path arrowok="t"/>
              <v:fill type="solid"/>
            </v:shape>
            <v:shape style="position:absolute;left:8127;top:3309;width:903;height:120" coordorigin="8127,3309" coordsize="903,120" path="m8910,3309l8909,3362,8929,3362,8934,3362,8936,3364,8936,3374,8934,3376,8908,3376,8907,3429,9015,3376,8929,3376,9015,3376,9030,3369,8910,3309xm8909,3362l8908,3376,8929,3376,8934,3376,8936,3374,8936,3364,8934,3362,8929,3362,8909,3362xm8134,3355l8130,3355,8127,3359,8127,3367,8130,3369,8134,3371,8908,3376,8909,3362,8134,3355xe" filled="true" fillcolor="#010101" stroked="false">
              <v:path arrowok="t"/>
              <v:fill type="solid"/>
            </v:shape>
            <v:shape style="position:absolute;left:3531;top:1029;width:1874;height:1296" type="#_x0000_t202" filled="false" stroked="false">
              <v:textbox inset="0,0,0,0">
                <w:txbxContent>
                  <w:p>
                    <w:pPr>
                      <w:tabs>
                        <w:tab w:pos="878" w:val="left" w:leader="none"/>
                      </w:tabs>
                      <w:spacing w:line="247" w:lineRule="exact" w:before="0"/>
                      <w:ind w:left="0" w:right="0" w:firstLine="0"/>
                      <w:jc w:val="left"/>
                      <w:rPr>
                        <w:sz w:val="20"/>
                      </w:rPr>
                    </w:pPr>
                    <w:r>
                      <w:rPr>
                        <w:position w:val="3"/>
                        <w:sz w:val="20"/>
                      </w:rPr>
                      <w:t>No</w:t>
                      <w:tab/>
                    </w:r>
                    <w:r>
                      <w:rPr>
                        <w:sz w:val="20"/>
                      </w:rPr>
                      <w:t>Has your</w:t>
                    </w:r>
                  </w:p>
                  <w:p>
                    <w:pPr>
                      <w:spacing w:before="0"/>
                      <w:ind w:left="643" w:right="18" w:hanging="17"/>
                      <w:jc w:val="right"/>
                      <w:rPr>
                        <w:sz w:val="20"/>
                      </w:rPr>
                    </w:pPr>
                    <w:r>
                      <w:rPr>
                        <w:sz w:val="20"/>
                      </w:rPr>
                      <w:t>country elected</w:t>
                    </w:r>
                    <w:r>
                      <w:rPr>
                        <w:w w:val="99"/>
                        <w:sz w:val="20"/>
                      </w:rPr>
                      <w:t> </w:t>
                    </w:r>
                    <w:r>
                      <w:rPr>
                        <w:sz w:val="20"/>
                      </w:rPr>
                      <w:t>Revegetation ?</w:t>
                    </w:r>
                  </w:p>
                  <w:p>
                    <w:pPr>
                      <w:spacing w:line="240" w:lineRule="auto" w:before="2"/>
                      <w:rPr>
                        <w:b/>
                        <w:sz w:val="31"/>
                      </w:rPr>
                    </w:pPr>
                  </w:p>
                  <w:p>
                    <w:pPr>
                      <w:spacing w:before="0"/>
                      <w:ind w:left="0" w:right="108" w:firstLine="0"/>
                      <w:jc w:val="right"/>
                      <w:rPr>
                        <w:sz w:val="20"/>
                      </w:rPr>
                    </w:pPr>
                    <w:r>
                      <w:rPr>
                        <w:w w:val="95"/>
                        <w:sz w:val="20"/>
                      </w:rPr>
                      <w:t>Yes</w:t>
                    </w:r>
                  </w:p>
                </w:txbxContent>
              </v:textbox>
              <w10:wrap type="none"/>
            </v:shape>
            <v:shape style="position:absolute;left:3524;top:2932;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3845;top:2565;width:1846;height:1373" type="#_x0000_t202" filled="false" stroked="false">
              <v:textbox inset="0,0,0,0">
                <w:txbxContent>
                  <w:p>
                    <w:pPr>
                      <w:spacing w:line="240" w:lineRule="auto" w:before="0"/>
                      <w:ind w:left="496" w:right="515" w:firstLine="0"/>
                      <w:jc w:val="center"/>
                      <w:rPr>
                        <w:sz w:val="20"/>
                      </w:rPr>
                    </w:pPr>
                    <w:r>
                      <w:rPr>
                        <w:sz w:val="20"/>
                      </w:rPr>
                      <w:t>Is     vegetation</w:t>
                    </w:r>
                  </w:p>
                  <w:p>
                    <w:pPr>
                      <w:spacing w:before="0"/>
                      <w:ind w:left="0" w:right="-2" w:firstLine="324"/>
                      <w:jc w:val="left"/>
                      <w:rPr>
                        <w:sz w:val="20"/>
                      </w:rPr>
                    </w:pPr>
                    <w:r>
                      <w:rPr>
                        <w:sz w:val="20"/>
                      </w:rPr>
                      <w:t>growing as the result of direct human-</w:t>
                    </w:r>
                  </w:p>
                  <w:p>
                    <w:pPr>
                      <w:spacing w:before="0"/>
                      <w:ind w:left="273" w:right="286" w:firstLine="0"/>
                      <w:jc w:val="center"/>
                      <w:rPr>
                        <w:sz w:val="20"/>
                      </w:rPr>
                    </w:pPr>
                    <w:r>
                      <w:rPr>
                        <w:sz w:val="20"/>
                      </w:rPr>
                      <w:t>induced activity since 1990?</w:t>
                    </w:r>
                  </w:p>
                </w:txbxContent>
              </v:textbox>
              <w10:wrap type="none"/>
            </v:shape>
            <v:shape style="position:absolute;left:5712;top:2999;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6795;top:2865;width:970;height:912" type="#_x0000_t202" filled="false" stroked="false">
              <v:textbox inset="0,0,0,0">
                <w:txbxContent>
                  <w:p>
                    <w:pPr>
                      <w:spacing w:line="240" w:lineRule="auto" w:before="0"/>
                      <w:ind w:left="0" w:right="0" w:firstLine="254"/>
                      <w:jc w:val="left"/>
                      <w:rPr>
                        <w:sz w:val="20"/>
                      </w:rPr>
                    </w:pPr>
                    <w:r>
                      <w:rPr>
                        <w:sz w:val="20"/>
                      </w:rPr>
                      <w:t>Is the unit of land greater</w:t>
                    </w:r>
                    <w:r>
                      <w:rPr>
                        <w:spacing w:val="-1"/>
                        <w:sz w:val="20"/>
                      </w:rPr>
                      <w:t> </w:t>
                    </w:r>
                    <w:r>
                      <w:rPr>
                        <w:spacing w:val="-5"/>
                        <w:sz w:val="20"/>
                      </w:rPr>
                      <w:t>than</w:t>
                    </w:r>
                  </w:p>
                  <w:p>
                    <w:pPr>
                      <w:spacing w:before="0"/>
                      <w:ind w:left="100" w:right="0" w:firstLine="0"/>
                      <w:jc w:val="left"/>
                      <w:rPr>
                        <w:sz w:val="20"/>
                      </w:rPr>
                    </w:pPr>
                    <w:r>
                      <w:rPr>
                        <w:sz w:val="20"/>
                      </w:rPr>
                      <w:t>0.05</w:t>
                    </w:r>
                    <w:r>
                      <w:rPr>
                        <w:spacing w:val="-1"/>
                        <w:sz w:val="20"/>
                      </w:rPr>
                      <w:t> </w:t>
                    </w:r>
                    <w:r>
                      <w:rPr>
                        <w:sz w:val="20"/>
                      </w:rPr>
                      <w:t>ha?</w:t>
                    </w:r>
                    <w:r>
                      <w:rPr>
                        <w:sz w:val="20"/>
                        <w:vertAlign w:val="superscript"/>
                      </w:rPr>
                      <w:t>#</w:t>
                    </w:r>
                  </w:p>
                </w:txbxContent>
              </v:textbox>
              <w10:wrap type="none"/>
            </v:shape>
            <v:shape style="position:absolute;left:8073;top:2999;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7349;top:4074;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1412;top:3133;width:1817;height:452" type="#_x0000_t202" filled="false" stroked="true" strokeweight="1.5pt" strokecolor="#010101">
              <v:textbox inset="0,0,0,0">
                <w:txbxContent>
                  <w:p>
                    <w:pPr>
                      <w:spacing w:before="96"/>
                      <w:ind w:left="114" w:right="0" w:firstLine="0"/>
                      <w:jc w:val="left"/>
                      <w:rPr>
                        <w:sz w:val="20"/>
                      </w:rPr>
                    </w:pPr>
                    <w:r>
                      <w:rPr>
                        <w:sz w:val="20"/>
                      </w:rPr>
                      <w:t>Not eligible for RV</w:t>
                    </w:r>
                  </w:p>
                </w:txbxContent>
              </v:textbox>
              <v:stroke dashstyle="solid"/>
              <w10:wrap type="none"/>
            </v:shape>
            <w10:wrap type="topAndBottom"/>
          </v:group>
        </w:pict>
      </w:r>
    </w:p>
    <w:p>
      <w:pPr>
        <w:spacing w:before="160"/>
        <w:ind w:left="179" w:right="1597" w:firstLine="0"/>
        <w:jc w:val="left"/>
        <w:rPr>
          <w:sz w:val="16"/>
        </w:rPr>
      </w:pPr>
      <w:r>
        <w:rPr>
          <w:sz w:val="16"/>
        </w:rPr>
        <w:t># See paragraph 1(e) in the Annex to draft decision -/CMP.1 (Land use, land-use change and forestry), contained in document FCCC/CP/2001/13/Add.1, p.58.</w:t>
      </w:r>
    </w:p>
    <w:p>
      <w:pPr>
        <w:spacing w:after="0"/>
        <w:jc w:val="left"/>
        <w:rPr>
          <w:sz w:val="16"/>
        </w:rPr>
        <w:sectPr>
          <w:pgSz w:w="11900" w:h="16840"/>
          <w:pgMar w:header="230" w:footer="408" w:top="560" w:bottom="600" w:left="1240" w:right="0"/>
        </w:sectPr>
      </w:pPr>
    </w:p>
    <w:p>
      <w:pPr>
        <w:pStyle w:val="BodyText"/>
      </w:pPr>
    </w:p>
    <w:p>
      <w:pPr>
        <w:pStyle w:val="BodyText"/>
        <w:spacing w:before="209"/>
        <w:ind w:left="179" w:right="1407"/>
      </w:pPr>
      <w:r>
        <w:rPr/>
        <w:t>Links with methodologies in this report and the </w:t>
      </w:r>
      <w:r>
        <w:rPr>
          <w:i/>
        </w:rPr>
        <w:t>IPCC Guidelines </w:t>
      </w:r>
      <w:r>
        <w:rPr/>
        <w:t>on reporting of land areas and carbon stock changes and non-CO</w:t>
      </w:r>
      <w:r>
        <w:rPr>
          <w:vertAlign w:val="subscript"/>
        </w:rPr>
        <w:t>2</w:t>
      </w:r>
      <w:r>
        <w:rPr>
          <w:vertAlign w:val="baseline"/>
        </w:rPr>
        <w:t> greenhouse gas emissions in inventories under the UNFCCC are given in the box below.</w:t>
      </w:r>
    </w:p>
    <w:p>
      <w:pPr>
        <w:pStyle w:val="BodyText"/>
      </w:pPr>
    </w:p>
    <w:p>
      <w:pPr>
        <w:pStyle w:val="BodyText"/>
        <w:spacing w:before="1"/>
        <w:rPr>
          <w:sz w:val="18"/>
        </w:rPr>
      </w:pPr>
      <w:r>
        <w:rPr/>
        <w:pict>
          <v:shape style="position:absolute;margin-left:91.960999pt;margin-top:13.138906pt;width:411.5pt;height:147pt;mso-position-horizontal-relative:page;mso-position-vertical-relative:paragraph;z-index:21128;mso-wrap-distance-left:0;mso-wrap-distance-right:0" type="#_x0000_t202" filled="false" stroked="true" strokeweight="1.44pt" strokecolor="#000000">
            <v:textbox inset="0,0,0,0">
              <w:txbxContent>
                <w:p>
                  <w:pPr>
                    <w:spacing w:before="100"/>
                    <w:ind w:left="67" w:right="68" w:firstLine="0"/>
                    <w:jc w:val="center"/>
                    <w:rPr>
                      <w:b/>
                      <w:sz w:val="18"/>
                    </w:rPr>
                  </w:pPr>
                  <w:r>
                    <w:rPr>
                      <w:b/>
                      <w:sz w:val="18"/>
                    </w:rPr>
                    <w:t>B</w:t>
                  </w:r>
                  <w:r>
                    <w:rPr>
                      <w:b/>
                      <w:sz w:val="14"/>
                    </w:rPr>
                    <w:t>OX </w:t>
                  </w:r>
                  <w:r>
                    <w:rPr>
                      <w:b/>
                      <w:sz w:val="18"/>
                    </w:rPr>
                    <w:t>4.2.2</w:t>
                  </w:r>
                </w:p>
                <w:p>
                  <w:pPr>
                    <w:spacing w:before="120"/>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spacing w:before="113"/>
                    <w:ind w:left="127" w:right="120"/>
                    <w:jc w:val="both"/>
                  </w:pPr>
                  <w:r>
                    <w:rPr/>
                    <w:t>Section 2.3 (Representing land areas): Cropland, grassland, wetland, settlements and other land converted to forest land since 1990. Should include all transitions between 1990 and 2008, and in later inventory years, transitions on an annual basis. Note that some areas that have turned into forest since 1990 in the UNFCCC inventory may not have been converted through direct human- induced activity.</w:t>
                  </w:r>
                </w:p>
                <w:p>
                  <w:pPr>
                    <w:spacing w:before="126"/>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spacing w:line="242" w:lineRule="auto" w:before="113"/>
                    <w:ind w:left="127" w:right="124"/>
                  </w:pPr>
                  <w:r>
                    <w:rPr/>
                    <w:t>Not available in a format that meets requirements in the Marrakesh Accords for geographical location of the boundaries.</w:t>
                  </w:r>
                </w:p>
              </w:txbxContent>
            </v:textbox>
            <v:stroke dashstyle="solid"/>
            <w10:wrap type="topAndBottom"/>
          </v:shape>
        </w:pict>
      </w:r>
    </w:p>
    <w:p>
      <w:pPr>
        <w:pStyle w:val="BodyText"/>
        <w:spacing w:before="8"/>
        <w:rPr>
          <w:sz w:val="23"/>
        </w:rPr>
      </w:pPr>
    </w:p>
    <w:p>
      <w:pPr>
        <w:pStyle w:val="Heading6"/>
        <w:numPr>
          <w:ilvl w:val="3"/>
          <w:numId w:val="157"/>
        </w:numPr>
        <w:tabs>
          <w:tab w:pos="1619" w:val="left" w:leader="none"/>
          <w:tab w:pos="1620" w:val="left" w:leader="none"/>
        </w:tabs>
        <w:spacing w:line="240" w:lineRule="auto" w:before="89" w:after="0"/>
        <w:ind w:left="1619" w:right="1823" w:hanging="1440"/>
        <w:jc w:val="left"/>
      </w:pPr>
      <w:r>
        <w:rPr>
          <w:spacing w:val="16"/>
          <w:sz w:val="28"/>
        </w:rPr>
        <w:t>C</w:t>
      </w:r>
      <w:r>
        <w:rPr>
          <w:spacing w:val="16"/>
        </w:rPr>
        <w:t>HOICE </w:t>
      </w:r>
      <w:r>
        <w:rPr>
          <w:spacing w:val="10"/>
        </w:rPr>
        <w:t>OF </w:t>
      </w:r>
      <w:r>
        <w:rPr>
          <w:spacing w:val="16"/>
        </w:rPr>
        <w:t>METHODS </w:t>
      </w:r>
      <w:r>
        <w:rPr>
          <w:spacing w:val="13"/>
        </w:rPr>
        <w:t>FOR </w:t>
      </w:r>
      <w:r>
        <w:rPr>
          <w:spacing w:val="17"/>
        </w:rPr>
        <w:t>ESTIMATING </w:t>
      </w:r>
      <w:r>
        <w:rPr>
          <w:spacing w:val="16"/>
        </w:rPr>
        <w:t>CARBON </w:t>
      </w:r>
      <w:r>
        <w:rPr>
          <w:spacing w:val="15"/>
        </w:rPr>
        <w:t>STOCK </w:t>
      </w:r>
      <w:r>
        <w:rPr>
          <w:spacing w:val="16"/>
        </w:rPr>
        <w:t>CHANGES </w:t>
      </w:r>
      <w:r>
        <w:rPr>
          <w:spacing w:val="12"/>
        </w:rPr>
        <w:t>AND </w:t>
      </w:r>
      <w:r>
        <w:rPr>
          <w:spacing w:val="16"/>
        </w:rPr>
        <w:t>NON</w:t>
      </w:r>
      <w:r>
        <w:rPr>
          <w:spacing w:val="16"/>
          <w:sz w:val="28"/>
        </w:rPr>
        <w:t>-CO</w:t>
      </w:r>
      <w:r>
        <w:rPr>
          <w:spacing w:val="16"/>
          <w:sz w:val="28"/>
          <w:vertAlign w:val="subscript"/>
        </w:rPr>
        <w:t>2</w:t>
      </w:r>
      <w:r>
        <w:rPr>
          <w:spacing w:val="9"/>
          <w:sz w:val="28"/>
          <w:vertAlign w:val="baseline"/>
        </w:rPr>
        <w:t> </w:t>
      </w:r>
      <w:r>
        <w:rPr>
          <w:spacing w:val="17"/>
          <w:vertAlign w:val="baseline"/>
        </w:rPr>
        <w:t>EMISSIONS</w:t>
      </w:r>
    </w:p>
    <w:p>
      <w:pPr>
        <w:pStyle w:val="BodyText"/>
        <w:spacing w:before="211"/>
        <w:ind w:left="179" w:right="1403"/>
        <w:jc w:val="both"/>
      </w:pPr>
      <w:r>
        <w:rPr/>
        <w:t>Estimation of carbon stock changes from afforestation and reforestation activities should be consistent with the methods set out in Chapter 3 and the equations it contains, and applied at the same or higher tier as used for UNFCCC reporting. Growth characteristics of young trees differ from those of the managed forest as a whole, and special provisions may be needed where the UNFCCC inventory (prepared according to Section 3.2.2, Land converted to forest land) is not sufficiently detailed to provide information that applies to young stands.</w:t>
      </w:r>
    </w:p>
    <w:p>
      <w:pPr>
        <w:pStyle w:val="BodyText"/>
        <w:spacing w:before="119"/>
        <w:ind w:left="179" w:right="1407"/>
        <w:jc w:val="both"/>
      </w:pPr>
      <w:r>
        <w:rPr/>
        <w:t>On areas subject to Article 3.3 activities, gross-net accounting rules are applied and information on carbon stock changes in the base year (i.e., 1990) is therefore not required. Only the net changes in ecosystem carbon stocks and the non-CO</w:t>
      </w:r>
      <w:r>
        <w:rPr>
          <w:vertAlign w:val="subscript"/>
        </w:rPr>
        <w:t>2</w:t>
      </w:r>
      <w:r>
        <w:rPr>
          <w:vertAlign w:val="baseline"/>
        </w:rPr>
        <w:t> greenhouse gas emissions during each year of the commitment period are estimated and reported.</w:t>
      </w:r>
    </w:p>
    <w:p>
      <w:pPr>
        <w:pStyle w:val="BodyText"/>
        <w:spacing w:before="120"/>
        <w:ind w:left="179" w:right="1406"/>
        <w:jc w:val="both"/>
      </w:pPr>
      <w:r>
        <w:rPr/>
        <w:t>At Tier 1, biomass growth is determined using the data in Chapter 3, Section 3.2.2 (Land Converted to Forest Land).</w:t>
      </w:r>
    </w:p>
    <w:p>
      <w:pPr>
        <w:pStyle w:val="BodyText"/>
        <w:spacing w:before="118"/>
        <w:ind w:left="179" w:right="1405"/>
        <w:jc w:val="both"/>
      </w:pPr>
      <w:r>
        <w:rPr/>
        <w:t>At Tier 2, regional or national growth rates will be available as a function of stand age, species or site quality, but data may be missing for stands between 0 and 23 years (the stand age reached in 2012 by trees planted in 1990). Where biomass estimates exist for stands older than 23 years, biomass at younger ages can be estimated by interpolating between the known value and biomass zero at age zero using a sigmoidal growth function fitted to the data that are available for older</w:t>
      </w:r>
      <w:r>
        <w:rPr>
          <w:spacing w:val="-1"/>
        </w:rPr>
        <w:t> </w:t>
      </w:r>
      <w:r>
        <w:rPr/>
        <w:t>stands.</w:t>
      </w:r>
    </w:p>
    <w:p>
      <w:pPr>
        <w:pStyle w:val="BodyText"/>
        <w:spacing w:before="120"/>
        <w:ind w:left="179" w:right="1404"/>
        <w:jc w:val="both"/>
      </w:pPr>
      <w:r>
        <w:rPr/>
        <w:t>At Tier 3, biomass growth rates should be established directly using measured data, validated growth models, or empirical yield tables for the appropriate combinations of species and site conditions. It is </w:t>
      </w:r>
      <w:r>
        <w:rPr>
          <w:i/>
        </w:rPr>
        <w:t>good practice </w:t>
      </w:r>
      <w:r>
        <w:rPr/>
        <w:t>to include ground-based field measurements as part of any Tier 3 method, either as a component of a national (or project) forest inventory or of a growth and yield forest monitoring system.</w:t>
      </w:r>
    </w:p>
    <w:p>
      <w:pPr>
        <w:pStyle w:val="BodyText"/>
        <w:spacing w:before="119"/>
        <w:ind w:left="179" w:right="1404"/>
        <w:jc w:val="both"/>
        <w:rPr>
          <w:i/>
        </w:rPr>
      </w:pPr>
      <w:r>
        <w:rPr/>
        <w:t>Determination of the size and dynamics of litter, dead wood and soil organic carbon pools prior to the afforestation activity may require the use of methods developed for cropland management or other land uses (see Chapter 3)</w:t>
      </w:r>
      <w:r>
        <w:rPr>
          <w:i/>
        </w:rPr>
        <w:t>.</w:t>
      </w:r>
    </w:p>
    <w:p>
      <w:pPr>
        <w:pStyle w:val="BodyText"/>
        <w:spacing w:before="119"/>
        <w:ind w:left="179" w:right="1408"/>
        <w:jc w:val="both"/>
      </w:pPr>
      <w:r>
        <w:rPr/>
        <w:t>Links with methodologies in this report and the </w:t>
      </w:r>
      <w:r>
        <w:rPr>
          <w:i/>
        </w:rPr>
        <w:t>IPCC Guidelines </w:t>
      </w:r>
      <w:r>
        <w:rPr/>
        <w:t>on reporting of carbon stock changes and non- CO</w:t>
      </w:r>
      <w:r>
        <w:rPr>
          <w:vertAlign w:val="subscript"/>
        </w:rPr>
        <w:t>2</w:t>
      </w:r>
      <w:r>
        <w:rPr>
          <w:vertAlign w:val="baseline"/>
        </w:rPr>
        <w:t> greenhouse gas emissions in inventories under the UNFCCC are given in the box below.</w:t>
      </w:r>
    </w:p>
    <w:p>
      <w:pPr>
        <w:spacing w:after="0"/>
        <w:jc w:val="both"/>
        <w:sectPr>
          <w:pgSz w:w="11900" w:h="16840"/>
          <w:pgMar w:header="230" w:footer="408" w:top="560" w:bottom="600" w:left="1240" w:right="0"/>
        </w:sectPr>
      </w:pPr>
    </w:p>
    <w:p>
      <w:pPr>
        <w:pStyle w:val="BodyText"/>
      </w:pPr>
    </w:p>
    <w:p>
      <w:pPr>
        <w:pStyle w:val="BodyText"/>
        <w:spacing w:before="8"/>
        <w:rPr>
          <w:sz w:val="18"/>
        </w:rPr>
      </w:pPr>
    </w:p>
    <w:p>
      <w:pPr>
        <w:pStyle w:val="BodyText"/>
        <w:ind w:left="584"/>
      </w:pPr>
      <w:r>
        <w:rPr>
          <w:position w:val="0"/>
        </w:rPr>
        <w:pict>
          <v:shape style="width:411.5pt;height:184.6pt;mso-position-horizontal-relative:char;mso-position-vertical-relative:line" type="#_x0000_t202" filled="false" stroked="true" strokeweight="1.44pt" strokecolor="#000000">
            <w10:anchorlock/>
            <v:textbox inset="0,0,0,0">
              <w:txbxContent>
                <w:p>
                  <w:pPr>
                    <w:spacing w:before="100"/>
                    <w:ind w:left="67" w:right="68" w:firstLine="0"/>
                    <w:jc w:val="center"/>
                    <w:rPr>
                      <w:b/>
                      <w:sz w:val="18"/>
                    </w:rPr>
                  </w:pPr>
                  <w:r>
                    <w:rPr>
                      <w:b/>
                      <w:sz w:val="18"/>
                    </w:rPr>
                    <w:t>B</w:t>
                  </w:r>
                  <w:r>
                    <w:rPr>
                      <w:b/>
                      <w:sz w:val="14"/>
                    </w:rPr>
                    <w:t>OX </w:t>
                  </w:r>
                  <w:r>
                    <w:rPr>
                      <w:b/>
                      <w:sz w:val="18"/>
                    </w:rPr>
                    <w:t>4.2.3</w:t>
                  </w:r>
                </w:p>
                <w:p>
                  <w:pPr>
                    <w:spacing w:before="122"/>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spacing w:before="113"/>
                    <w:ind w:left="127"/>
                  </w:pPr>
                  <w:r>
                    <w:rPr/>
                    <w:t>Chapter 3 Section 3.2.2 (Land converted to forest land)</w:t>
                  </w:r>
                </w:p>
                <w:p>
                  <w:pPr>
                    <w:spacing w:before="127"/>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tabs>
                      <w:tab w:pos="846" w:val="left" w:leader="none"/>
                    </w:tabs>
                    <w:spacing w:before="113"/>
                    <w:ind w:left="847" w:right="124" w:hanging="720"/>
                    <w:jc w:val="left"/>
                    <w:rPr>
                      <w:i/>
                      <w:sz w:val="20"/>
                    </w:rPr>
                  </w:pPr>
                  <w:r>
                    <w:rPr>
                      <w:sz w:val="20"/>
                    </w:rPr>
                    <w:t>5 A</w:t>
                    <w:tab/>
                    <w:t>Changes in forest and other woody biomass stocks (afforestation). </w:t>
                  </w:r>
                  <w:r>
                    <w:rPr>
                      <w:i/>
                      <w:sz w:val="20"/>
                    </w:rPr>
                    <w:t>To be determined through separate monitoring for afforestation/reforestation activities</w:t>
                  </w:r>
                </w:p>
                <w:p>
                  <w:pPr>
                    <w:tabs>
                      <w:tab w:pos="847" w:val="left" w:leader="none"/>
                    </w:tabs>
                    <w:spacing w:before="118"/>
                    <w:ind w:left="127" w:right="0" w:firstLine="0"/>
                    <w:jc w:val="left"/>
                    <w:rPr>
                      <w:i/>
                      <w:sz w:val="20"/>
                    </w:rPr>
                  </w:pPr>
                  <w:r>
                    <w:rPr>
                      <w:sz w:val="20"/>
                    </w:rPr>
                    <w:t>5 C</w:t>
                    <w:tab/>
                    <w:t>Abandonment of managed lands </w:t>
                  </w:r>
                  <w:r>
                    <w:rPr>
                      <w:i/>
                      <w:sz w:val="20"/>
                    </w:rPr>
                    <w:t>(only portion that goes to</w:t>
                  </w:r>
                  <w:r>
                    <w:rPr>
                      <w:i/>
                      <w:spacing w:val="-4"/>
                      <w:sz w:val="20"/>
                    </w:rPr>
                    <w:t> </w:t>
                  </w:r>
                  <w:r>
                    <w:rPr>
                      <w:i/>
                      <w:sz w:val="20"/>
                    </w:rPr>
                    <w:t>forest)</w:t>
                  </w:r>
                </w:p>
                <w:p>
                  <w:pPr>
                    <w:tabs>
                      <w:tab w:pos="847" w:val="left" w:leader="none"/>
                    </w:tabs>
                    <w:spacing w:before="121"/>
                    <w:ind w:left="127" w:right="0" w:firstLine="0"/>
                    <w:jc w:val="left"/>
                    <w:rPr>
                      <w:i/>
                      <w:sz w:val="20"/>
                    </w:rPr>
                  </w:pPr>
                  <w:r>
                    <w:rPr>
                      <w:sz w:val="20"/>
                    </w:rPr>
                    <w:t>5 D</w:t>
                    <w:tab/>
                    <w:t>CO</w:t>
                  </w:r>
                  <w:r>
                    <w:rPr>
                      <w:sz w:val="20"/>
                      <w:vertAlign w:val="subscript"/>
                    </w:rPr>
                    <w:t>2</w:t>
                  </w:r>
                  <w:r>
                    <w:rPr>
                      <w:sz w:val="20"/>
                      <w:vertAlign w:val="baseline"/>
                    </w:rPr>
                    <w:t> emissions and removals from soils </w:t>
                  </w:r>
                  <w:r>
                    <w:rPr>
                      <w:i/>
                      <w:sz w:val="20"/>
                      <w:vertAlign w:val="baseline"/>
                    </w:rPr>
                    <w:t>(only afforestation/reforestation</w:t>
                  </w:r>
                  <w:r>
                    <w:rPr>
                      <w:i/>
                      <w:spacing w:val="-9"/>
                      <w:sz w:val="20"/>
                      <w:vertAlign w:val="baseline"/>
                    </w:rPr>
                    <w:t> </w:t>
                  </w:r>
                  <w:r>
                    <w:rPr>
                      <w:i/>
                      <w:sz w:val="20"/>
                      <w:vertAlign w:val="baseline"/>
                    </w:rPr>
                    <w:t>proportion)</w:t>
                  </w:r>
                </w:p>
                <w:p>
                  <w:pPr>
                    <w:tabs>
                      <w:tab w:pos="846" w:val="left" w:leader="none"/>
                    </w:tabs>
                    <w:spacing w:before="120"/>
                    <w:ind w:left="127" w:right="0" w:firstLine="0"/>
                    <w:jc w:val="left"/>
                    <w:rPr>
                      <w:i/>
                      <w:sz w:val="20"/>
                    </w:rPr>
                  </w:pPr>
                  <w:r>
                    <w:rPr>
                      <w:sz w:val="20"/>
                    </w:rPr>
                    <w:t>5 E</w:t>
                    <w:tab/>
                    <w:t>Other (CH</w:t>
                  </w:r>
                  <w:r>
                    <w:rPr>
                      <w:sz w:val="20"/>
                      <w:vertAlign w:val="subscript"/>
                    </w:rPr>
                    <w:t>4</w:t>
                  </w:r>
                  <w:r>
                    <w:rPr>
                      <w:sz w:val="20"/>
                      <w:vertAlign w:val="baseline"/>
                    </w:rPr>
                    <w:t>, N</w:t>
                  </w:r>
                  <w:r>
                    <w:rPr>
                      <w:sz w:val="20"/>
                      <w:vertAlign w:val="subscript"/>
                    </w:rPr>
                    <w:t>2</w:t>
                  </w:r>
                  <w:r>
                    <w:rPr>
                      <w:sz w:val="20"/>
                      <w:vertAlign w:val="baseline"/>
                    </w:rPr>
                    <w:t>O in managed forests) </w:t>
                  </w:r>
                  <w:r>
                    <w:rPr>
                      <w:i/>
                      <w:sz w:val="20"/>
                      <w:vertAlign w:val="baseline"/>
                    </w:rPr>
                    <w:t>(only afforestation/reforestation</w:t>
                  </w:r>
                  <w:r>
                    <w:rPr>
                      <w:i/>
                      <w:spacing w:val="-4"/>
                      <w:sz w:val="20"/>
                      <w:vertAlign w:val="baseline"/>
                    </w:rPr>
                    <w:t> </w:t>
                  </w:r>
                  <w:r>
                    <w:rPr>
                      <w:i/>
                      <w:sz w:val="20"/>
                      <w:vertAlign w:val="baseline"/>
                    </w:rPr>
                    <w:t>proportion)</w:t>
                  </w:r>
                </w:p>
                <w:p>
                  <w:pPr>
                    <w:pStyle w:val="BodyText"/>
                    <w:spacing w:before="121"/>
                    <w:ind w:left="127" w:right="124"/>
                  </w:pPr>
                  <w:r>
                    <w:rPr/>
                    <w:t>The default methods in the </w:t>
                  </w:r>
                  <w:r>
                    <w:rPr>
                      <w:i/>
                    </w:rPr>
                    <w:t>IPCC Guidelines </w:t>
                  </w:r>
                  <w:r>
                    <w:rPr/>
                    <w:t>do not cover belowground biomass, dead wood, litter or emissions of non-CO</w:t>
                  </w:r>
                  <w:r>
                    <w:rPr>
                      <w:vertAlign w:val="subscript"/>
                    </w:rPr>
                    <w:t>2</w:t>
                  </w:r>
                  <w:r>
                    <w:rPr>
                      <w:vertAlign w:val="baseline"/>
                    </w:rPr>
                    <w:t> greenhouse gas.</w:t>
                  </w:r>
                </w:p>
              </w:txbxContent>
            </v:textbox>
            <v:stroke dashstyle="solid"/>
          </v:shape>
        </w:pict>
      </w:r>
      <w:r>
        <w:rPr>
          <w:position w:val="0"/>
        </w:rPr>
      </w:r>
    </w:p>
    <w:p>
      <w:pPr>
        <w:pStyle w:val="BodyText"/>
        <w:spacing w:before="4"/>
        <w:rPr>
          <w:sz w:val="18"/>
        </w:rPr>
      </w:pPr>
    </w:p>
    <w:p>
      <w:pPr>
        <w:pStyle w:val="Heading6"/>
        <w:numPr>
          <w:ilvl w:val="4"/>
          <w:numId w:val="157"/>
        </w:numPr>
        <w:tabs>
          <w:tab w:pos="1331" w:val="left" w:leader="none"/>
          <w:tab w:pos="1332" w:val="left" w:leader="none"/>
        </w:tabs>
        <w:spacing w:line="240" w:lineRule="auto" w:before="92" w:after="0"/>
        <w:ind w:left="1331" w:right="2180" w:hanging="1152"/>
        <w:jc w:val="left"/>
      </w:pPr>
      <w:r>
        <w:rPr/>
        <w:t>1</w:t>
        <w:tab/>
      </w:r>
      <w:r>
        <w:rPr>
          <w:spacing w:val="15"/>
        </w:rPr>
        <w:t>POOLS </w:t>
      </w:r>
      <w:r>
        <w:rPr>
          <w:spacing w:val="16"/>
        </w:rPr>
        <w:t>AFFECTED </w:t>
      </w:r>
      <w:r>
        <w:rPr>
          <w:spacing w:val="10"/>
        </w:rPr>
        <w:t>BY </w:t>
      </w:r>
      <w:r>
        <w:rPr>
          <w:spacing w:val="17"/>
        </w:rPr>
        <w:t>AFFORESTATION/ REFORESTATION </w:t>
      </w:r>
      <w:r>
        <w:rPr>
          <w:spacing w:val="18"/>
        </w:rPr>
        <w:t>ACTIVITIES</w:t>
      </w:r>
    </w:p>
    <w:p>
      <w:pPr>
        <w:pStyle w:val="BodyText"/>
        <w:spacing w:before="211"/>
        <w:ind w:left="179" w:right="1406"/>
        <w:jc w:val="both"/>
      </w:pPr>
      <w:r>
        <w:rPr/>
        <w:t>Afforestation/reforestation activities often involve site preparation (slashing and possibly burning coarse biomass residue, and tilling or ploughing on parts of or the whole area), followed by planting or seeding. These activities may affect not only biomass pools, but also soil, as well as dead wood and litter, if (in the latter instances) land with woody shrub or sparse tree cover was afforested.</w:t>
      </w:r>
    </w:p>
    <w:p>
      <w:pPr>
        <w:pStyle w:val="BodyText"/>
        <w:spacing w:before="119"/>
        <w:ind w:left="179" w:right="1403"/>
        <w:jc w:val="both"/>
      </w:pPr>
      <w:r>
        <w:rPr/>
        <w:t>The Marrakesh Accords require Parties to estimate carbon stock changes in all five pools (see Table 3.1.1) during the commitment period unless the Party can demonstrate by transparent and verifiable information that the pool is not a source,</w:t>
      </w:r>
      <w:r>
        <w:rPr>
          <w:vertAlign w:val="superscript"/>
        </w:rPr>
        <w:t>44</w:t>
      </w:r>
      <w:r>
        <w:rPr>
          <w:vertAlign w:val="baseline"/>
        </w:rPr>
        <w:t> for which </w:t>
      </w:r>
      <w:r>
        <w:rPr>
          <w:i/>
          <w:vertAlign w:val="baseline"/>
        </w:rPr>
        <w:t>good practice </w:t>
      </w:r>
      <w:r>
        <w:rPr>
          <w:vertAlign w:val="baseline"/>
        </w:rPr>
        <w:t>advice is set out in Section 4.2.3.1. It is </w:t>
      </w:r>
      <w:r>
        <w:rPr>
          <w:i/>
          <w:vertAlign w:val="baseline"/>
        </w:rPr>
        <w:t>good practice </w:t>
      </w:r>
      <w:r>
        <w:rPr>
          <w:vertAlign w:val="baseline"/>
        </w:rPr>
        <w:t>to include carbon stock changes and non-CO</w:t>
      </w:r>
      <w:r>
        <w:rPr>
          <w:vertAlign w:val="subscript"/>
        </w:rPr>
        <w:t>2</w:t>
      </w:r>
      <w:r>
        <w:rPr>
          <w:vertAlign w:val="baseline"/>
        </w:rPr>
        <w:t> greenhouse gas emissions that result from pre-planting activities, such as site preparation or shrub removals. Soil carbon may show some decline with afforestation of grasslands (e.g., Tate </w:t>
      </w:r>
      <w:r>
        <w:rPr>
          <w:i/>
          <w:vertAlign w:val="baseline"/>
        </w:rPr>
        <w:t>et al.</w:t>
      </w:r>
      <w:r>
        <w:rPr>
          <w:vertAlign w:val="baseline"/>
        </w:rPr>
        <w:t>, 2003; Guo and Gifford. 2002). Net ecosystem losses of carbon after planting and seeding can persist over many years. Therefore, estimates of pre-activity carbon stocks in the area may be required to initialise the models used to estimate stock changes. Since there is no forest on the area prior to the afforestation/reforestation activity, the assessment should be done by methods described in the appropriate sections of Chapter 3, e.g., Section 3.3 for</w:t>
      </w:r>
      <w:r>
        <w:rPr>
          <w:spacing w:val="-2"/>
          <w:vertAlign w:val="baseline"/>
        </w:rPr>
        <w:t> </w:t>
      </w:r>
      <w:r>
        <w:rPr>
          <w:vertAlign w:val="baseline"/>
        </w:rPr>
        <w:t>cropland.</w:t>
      </w:r>
    </w:p>
    <w:p>
      <w:pPr>
        <w:pStyle w:val="BodyText"/>
        <w:spacing w:before="117"/>
        <w:ind w:left="179" w:right="1406"/>
        <w:jc w:val="both"/>
      </w:pPr>
      <w:r>
        <w:rPr/>
        <w:t>For afforestation or reforestation activities that begin during the commitment period, reporting for that unit of land should begin at the beginning of the year in which the activity commences. </w:t>
      </w:r>
      <w:r>
        <w:rPr>
          <w:vertAlign w:val="superscript"/>
        </w:rPr>
        <w:t>45</w:t>
      </w:r>
      <w:r>
        <w:rPr>
          <w:vertAlign w:val="baseline"/>
        </w:rPr>
        <w:t> Site preparation and seeding/planting activities should be considered part of the activity, and associated emissions during the commitment period should therefore be included.</w:t>
      </w:r>
    </w:p>
    <w:p>
      <w:pPr>
        <w:pStyle w:val="BodyText"/>
        <w:spacing w:before="4"/>
        <w:rPr>
          <w:sz w:val="29"/>
        </w:rPr>
      </w:pPr>
    </w:p>
    <w:p>
      <w:pPr>
        <w:pStyle w:val="Heading6"/>
        <w:numPr>
          <w:ilvl w:val="4"/>
          <w:numId w:val="157"/>
        </w:numPr>
        <w:tabs>
          <w:tab w:pos="1331" w:val="left" w:leader="none"/>
          <w:tab w:pos="1332" w:val="left" w:leader="none"/>
        </w:tabs>
        <w:spacing w:line="240" w:lineRule="auto" w:before="1" w:after="0"/>
        <w:ind w:left="1331" w:right="1988" w:hanging="1152"/>
        <w:jc w:val="left"/>
      </w:pPr>
      <w:r>
        <w:rPr/>
        <w:t>2</w:t>
        <w:tab/>
      </w:r>
      <w:r>
        <w:rPr>
          <w:spacing w:val="17"/>
        </w:rPr>
        <w:t>HARVESTING </w:t>
      </w:r>
      <w:r>
        <w:rPr>
          <w:spacing w:val="10"/>
        </w:rPr>
        <w:t>OF </w:t>
      </w:r>
      <w:r>
        <w:rPr>
          <w:spacing w:val="17"/>
        </w:rPr>
        <w:t>AFFORESTATION/ REFORESTATION </w:t>
      </w:r>
      <w:r>
        <w:rPr>
          <w:spacing w:val="14"/>
        </w:rPr>
        <w:t>LAND </w:t>
      </w:r>
      <w:r>
        <w:rPr>
          <w:spacing w:val="15"/>
        </w:rPr>
        <w:t>DURING </w:t>
      </w:r>
      <w:r>
        <w:rPr>
          <w:spacing w:val="13"/>
        </w:rPr>
        <w:t>THE </w:t>
      </w:r>
      <w:r>
        <w:rPr>
          <w:spacing w:val="17"/>
        </w:rPr>
        <w:t>COMMITMENT</w:t>
      </w:r>
      <w:r>
        <w:rPr>
          <w:spacing w:val="85"/>
        </w:rPr>
        <w:t> </w:t>
      </w:r>
      <w:r>
        <w:rPr>
          <w:spacing w:val="16"/>
        </w:rPr>
        <w:t>PERIOD</w:t>
      </w:r>
    </w:p>
    <w:p>
      <w:pPr>
        <w:pStyle w:val="BodyText"/>
        <w:spacing w:before="211"/>
        <w:ind w:left="179" w:right="1406"/>
        <w:jc w:val="both"/>
      </w:pPr>
      <w:r>
        <w:rPr/>
        <w:t>Some short rotation forests established through afforestation and reforestation activities may be affected by harvesting during the first commitment period. The Marrakesh Accords allow Parties to limit debits from such harvests during the first commitment period.</w:t>
      </w:r>
      <w:r>
        <w:rPr>
          <w:vertAlign w:val="superscript"/>
        </w:rPr>
        <w:t>46</w:t>
      </w:r>
    </w:p>
    <w:p>
      <w:pPr>
        <w:pStyle w:val="BodyText"/>
        <w:spacing w:before="119"/>
        <w:ind w:left="179" w:right="1405"/>
        <w:jc w:val="both"/>
      </w:pPr>
      <w:r>
        <w:rPr/>
        <w:t>Although this is an accounting issue, it has implications for the design of carbon monitoring and reporting systems for units of land subject to afforestation or reforestation since 1990. In particular, it is </w:t>
      </w:r>
      <w:r>
        <w:rPr>
          <w:i/>
        </w:rPr>
        <w:t>good practice </w:t>
      </w:r>
      <w:r>
        <w:rPr/>
        <w:t>to identify the afforestation and reforestation lands on which harvesting occurs in the inventory year during the commitment period, to track carbon stock changes and non-CO</w:t>
      </w:r>
      <w:r>
        <w:rPr>
          <w:vertAlign w:val="subscript"/>
        </w:rPr>
        <w:t>2</w:t>
      </w:r>
      <w:r>
        <w:rPr>
          <w:vertAlign w:val="baseline"/>
        </w:rPr>
        <w:t> greenhouse gas emissions on these lands on a</w:t>
      </w:r>
    </w:p>
    <w:p>
      <w:pPr>
        <w:pStyle w:val="BodyText"/>
      </w:pPr>
    </w:p>
    <w:p>
      <w:pPr>
        <w:pStyle w:val="BodyText"/>
        <w:spacing w:before="3"/>
        <w:rPr>
          <w:sz w:val="15"/>
        </w:rPr>
      </w:pPr>
      <w:r>
        <w:rPr/>
        <w:pict>
          <v:line style="position:absolute;mso-position-horizontal-relative:page;mso-position-vertical-relative:paragraph;z-index:21176;mso-wrap-distance-left:0;mso-wrap-distance-right:0" from="70.960999pt,10.996983pt" to="214.960999pt,10.996983pt" stroked="true" strokeweight=".48pt" strokecolor="#000000">
            <v:stroke dashstyle="solid"/>
            <w10:wrap type="topAndBottom"/>
          </v:line>
        </w:pict>
      </w:r>
    </w:p>
    <w:p>
      <w:pPr>
        <w:spacing w:before="153"/>
        <w:ind w:left="337" w:right="1403" w:hanging="159"/>
        <w:jc w:val="both"/>
        <w:rPr>
          <w:sz w:val="18"/>
        </w:rPr>
      </w:pPr>
      <w:r>
        <w:rPr>
          <w:position w:val="8"/>
          <w:sz w:val="12"/>
        </w:rPr>
        <w:t>44 </w:t>
      </w:r>
      <w:r>
        <w:rPr>
          <w:sz w:val="18"/>
        </w:rPr>
        <w:t>Paragraph 21 in the Annex to draft decision -/CMP.1 (Land use, land-use change and forestry), contained in document FCCC/CP/2001/13/Add.1, p.62.</w:t>
      </w:r>
    </w:p>
    <w:p>
      <w:pPr>
        <w:spacing w:before="95"/>
        <w:ind w:left="179" w:right="0" w:firstLine="0"/>
        <w:jc w:val="left"/>
        <w:rPr>
          <w:sz w:val="18"/>
        </w:rPr>
      </w:pPr>
      <w:r>
        <w:rPr>
          <w:position w:val="8"/>
          <w:sz w:val="12"/>
        </w:rPr>
        <w:t>45 </w:t>
      </w:r>
      <w:r>
        <w:rPr>
          <w:sz w:val="18"/>
        </w:rPr>
        <w:t>Paragraph 6(d) in the Annex to draft decision -/CMP.1 (Article 7), contained in document FCCC/CP/2001/13/Add.3, p.23.</w:t>
      </w:r>
    </w:p>
    <w:p>
      <w:pPr>
        <w:spacing w:before="95"/>
        <w:ind w:left="323" w:right="1402" w:hanging="144"/>
        <w:jc w:val="both"/>
        <w:rPr>
          <w:sz w:val="18"/>
        </w:rPr>
      </w:pPr>
      <w:r>
        <w:rPr>
          <w:position w:val="8"/>
          <w:sz w:val="12"/>
        </w:rPr>
        <w:t>46 </w:t>
      </w:r>
      <w:r>
        <w:rPr>
          <w:sz w:val="18"/>
        </w:rPr>
        <w:t>“</w:t>
      </w:r>
      <w:r>
        <w:rPr>
          <w:i/>
          <w:sz w:val="18"/>
        </w:rPr>
        <w:t>For the first commitment period, debits resulting from harvesting during the first commitment period following afforestation and reforestation since 1990 shall not be greater than credits accounted for on that unit of land</w:t>
      </w:r>
      <w:r>
        <w:rPr>
          <w:sz w:val="18"/>
        </w:rPr>
        <w:t>.” (cf. paragraph 4 in the Annex to draft decision -/CMP.1 (Land use, land-use change and forestry), contained in document FCCC/CP/2001/13/Add.1, p.59.</w:t>
      </w:r>
    </w:p>
    <w:p>
      <w:pPr>
        <w:spacing w:after="0"/>
        <w:jc w:val="both"/>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407"/>
        <w:jc w:val="both"/>
      </w:pPr>
      <w:r>
        <w:rPr/>
        <w:t>year by year basis during the first commitment period, so that they can be compared with the amount of credits received previously for these units of land.</w:t>
      </w:r>
    </w:p>
    <w:p>
      <w:pPr>
        <w:pStyle w:val="BodyText"/>
        <w:spacing w:before="121"/>
        <w:ind w:left="179" w:right="1406"/>
        <w:jc w:val="both"/>
      </w:pPr>
      <w:r>
        <w:rPr/>
        <w:t>The methods given in Chapter 3 for estimating non-CO</w:t>
      </w:r>
      <w:r>
        <w:rPr>
          <w:vertAlign w:val="subscript"/>
        </w:rPr>
        <w:t>2</w:t>
      </w:r>
      <w:r>
        <w:rPr>
          <w:vertAlign w:val="baseline"/>
        </w:rPr>
        <w:t> greenhouse gas emissions on lands converted to forest land are applicable for the afforestation and reforestation activities (see Section 3.2.2.4 Non-CO</w:t>
      </w:r>
      <w:r>
        <w:rPr>
          <w:vertAlign w:val="subscript"/>
        </w:rPr>
        <w:t>2</w:t>
      </w:r>
      <w:r>
        <w:rPr>
          <w:vertAlign w:val="baseline"/>
        </w:rPr>
        <w:t> greenhouse gases). If the units of land subject to afforestation and reforestation are subject to disturbances, then the Chapter 3 methods in other sections may also be applicable (see e.g., Section 3.2.1.4.3</w:t>
      </w:r>
      <w:r>
        <w:rPr>
          <w:spacing w:val="-8"/>
          <w:vertAlign w:val="baseline"/>
        </w:rPr>
        <w:t> </w:t>
      </w:r>
      <w:r>
        <w:rPr>
          <w:vertAlign w:val="baseline"/>
        </w:rPr>
        <w:t>Fires).</w:t>
      </w:r>
    </w:p>
    <w:p>
      <w:pPr>
        <w:pStyle w:val="BodyText"/>
        <w:rPr>
          <w:sz w:val="22"/>
        </w:rPr>
      </w:pPr>
    </w:p>
    <w:p>
      <w:pPr>
        <w:pStyle w:val="BodyText"/>
        <w:spacing w:before="2"/>
      </w:pPr>
    </w:p>
    <w:p>
      <w:pPr>
        <w:pStyle w:val="Heading2"/>
        <w:numPr>
          <w:ilvl w:val="2"/>
          <w:numId w:val="158"/>
        </w:numPr>
        <w:tabs>
          <w:tab w:pos="1381" w:val="left" w:leader="none"/>
          <w:tab w:pos="1382" w:val="left" w:leader="none"/>
        </w:tabs>
        <w:spacing w:line="240" w:lineRule="auto" w:before="0" w:after="0"/>
        <w:ind w:left="1381" w:right="0" w:hanging="1202"/>
        <w:jc w:val="left"/>
      </w:pPr>
      <w:r>
        <w:rPr>
          <w:spacing w:val="9"/>
        </w:rPr>
        <w:t>Deforestation</w:t>
      </w:r>
    </w:p>
    <w:p>
      <w:pPr>
        <w:pStyle w:val="BodyText"/>
        <w:spacing w:before="114"/>
        <w:ind w:left="179" w:right="1574"/>
      </w:pPr>
      <w:r>
        <w:rPr/>
        <w:t>This section addresses specific methods applicable to deforestation activities and should be read in conjunction with the general discussion in Sections 4.2.2 to 4.2.4.</w:t>
      </w:r>
    </w:p>
    <w:p>
      <w:pPr>
        <w:pStyle w:val="BodyText"/>
        <w:rPr>
          <w:sz w:val="22"/>
        </w:rPr>
      </w:pPr>
    </w:p>
    <w:p>
      <w:pPr>
        <w:pStyle w:val="Heading6"/>
        <w:numPr>
          <w:ilvl w:val="3"/>
          <w:numId w:val="158"/>
        </w:numPr>
        <w:tabs>
          <w:tab w:pos="1619" w:val="left" w:leader="none"/>
          <w:tab w:pos="1620" w:val="left" w:leader="none"/>
        </w:tabs>
        <w:spacing w:line="240" w:lineRule="auto" w:before="148" w:after="0"/>
        <w:ind w:left="1619" w:right="0" w:hanging="1440"/>
        <w:jc w:val="left"/>
      </w:pPr>
      <w:r>
        <w:rPr>
          <w:spacing w:val="17"/>
          <w:sz w:val="28"/>
        </w:rPr>
        <w:t>D</w:t>
      </w:r>
      <w:r>
        <w:rPr>
          <w:spacing w:val="17"/>
        </w:rPr>
        <w:t>EFINITIONAL </w:t>
      </w:r>
      <w:r>
        <w:rPr>
          <w:spacing w:val="15"/>
        </w:rPr>
        <w:t>ISSUES </w:t>
      </w:r>
      <w:r>
        <w:rPr>
          <w:spacing w:val="12"/>
        </w:rPr>
        <w:t>AND </w:t>
      </w:r>
      <w:r>
        <w:rPr>
          <w:spacing w:val="17"/>
        </w:rPr>
        <w:t>REPORTING</w:t>
      </w:r>
      <w:r>
        <w:rPr>
          <w:spacing w:val="-19"/>
        </w:rPr>
        <w:t> </w:t>
      </w:r>
      <w:r>
        <w:rPr>
          <w:spacing w:val="17"/>
        </w:rPr>
        <w:t>REQUIREMENTS</w:t>
      </w:r>
    </w:p>
    <w:p>
      <w:pPr>
        <w:pStyle w:val="BodyText"/>
        <w:spacing w:before="209"/>
        <w:ind w:left="179" w:right="1402"/>
        <w:jc w:val="both"/>
      </w:pPr>
      <w:r>
        <w:rPr/>
        <w:t>Under the definitions of the Marrakesh Accords, deforestation refers to direct, human-induced conversion of forest to non-forest land. The definitions do not include harvest that is followed by regeneration since this is considered a forest management activity. Forest cover loss resulting from natural disturbances, such as wildfires, insect epidemics or wind storms, are also not considered direct human-induced deforestation, since in most cases these areas will regenerate naturally or with human assistance. Human activities (since 1990) such as cropland management or the construction of roads or settlements, that prevent forest regeneration by changing land use on areas where forest cover was removed by a natural disturbance, are also considered direct human-induced deforestation.</w:t>
      </w:r>
    </w:p>
    <w:p>
      <w:pPr>
        <w:pStyle w:val="BodyText"/>
        <w:spacing w:before="118"/>
        <w:ind w:left="179"/>
      </w:pPr>
      <w:r>
        <w:rPr/>
        <w:t>The annual inventory should, at a minimum, identify: (for Reporting Method 1 in Section 4.2.2.2):</w:t>
      </w:r>
    </w:p>
    <w:p>
      <w:pPr>
        <w:pStyle w:val="ListParagraph"/>
        <w:numPr>
          <w:ilvl w:val="0"/>
          <w:numId w:val="117"/>
        </w:numPr>
        <w:tabs>
          <w:tab w:pos="540" w:val="left" w:leader="none"/>
        </w:tabs>
        <w:spacing w:line="230" w:lineRule="auto" w:before="142" w:after="0"/>
        <w:ind w:left="536" w:right="1400" w:hanging="357"/>
        <w:jc w:val="both"/>
        <w:rPr>
          <w:sz w:val="20"/>
        </w:rPr>
      </w:pPr>
      <w:r>
        <w:rPr>
          <w:sz w:val="20"/>
        </w:rPr>
        <w:t>The geographical location of the boundaries of the areas that encompass units of land subject to direct human-induced deforestation activities. The geographical boundaries which are reported should correspond to strata in the estimation of land areas as described in Section</w:t>
      </w:r>
      <w:r>
        <w:rPr>
          <w:spacing w:val="-5"/>
          <w:sz w:val="20"/>
        </w:rPr>
        <w:t> </w:t>
      </w:r>
      <w:r>
        <w:rPr>
          <w:sz w:val="20"/>
        </w:rPr>
        <w:t>5.3;</w:t>
      </w:r>
    </w:p>
    <w:p>
      <w:pPr>
        <w:pStyle w:val="ListParagraph"/>
        <w:numPr>
          <w:ilvl w:val="0"/>
          <w:numId w:val="117"/>
        </w:numPr>
        <w:tabs>
          <w:tab w:pos="540" w:val="left" w:leader="none"/>
        </w:tabs>
        <w:spacing w:line="230" w:lineRule="auto" w:before="144" w:after="0"/>
        <w:ind w:left="536" w:right="1403" w:hanging="357"/>
        <w:jc w:val="both"/>
        <w:rPr>
          <w:sz w:val="20"/>
        </w:rPr>
      </w:pPr>
      <w:r>
        <w:rPr>
          <w:sz w:val="20"/>
        </w:rPr>
        <w:t>For each of these areas, or strata, an estimate of the area of the units of land affected by direct human- induced deforestation activities, and the area of these units of land that are also subject to elected activities under Article 3.4 (cropland management, grazing land management,</w:t>
      </w:r>
      <w:r>
        <w:rPr>
          <w:spacing w:val="1"/>
          <w:sz w:val="20"/>
        </w:rPr>
        <w:t> </w:t>
      </w:r>
      <w:r>
        <w:rPr>
          <w:sz w:val="20"/>
        </w:rPr>
        <w:t>revegetation);</w:t>
      </w:r>
    </w:p>
    <w:p>
      <w:pPr>
        <w:pStyle w:val="ListParagraph"/>
        <w:numPr>
          <w:ilvl w:val="0"/>
          <w:numId w:val="117"/>
        </w:numPr>
        <w:tabs>
          <w:tab w:pos="540" w:val="left" w:leader="none"/>
        </w:tabs>
        <w:spacing w:line="223" w:lineRule="auto" w:before="150" w:after="0"/>
        <w:ind w:left="536" w:right="1403" w:hanging="357"/>
        <w:jc w:val="both"/>
        <w:rPr>
          <w:sz w:val="20"/>
        </w:rPr>
      </w:pPr>
      <w:r>
        <w:rPr>
          <w:sz w:val="20"/>
        </w:rPr>
        <w:t>The year of the deforestation activities (1990 or later), which could be estimated through interpolation from a multi-year inventory;</w:t>
      </w:r>
      <w:r>
        <w:rPr>
          <w:spacing w:val="3"/>
          <w:sz w:val="20"/>
        </w:rPr>
        <w:t> </w:t>
      </w:r>
      <w:r>
        <w:rPr>
          <w:sz w:val="20"/>
        </w:rPr>
        <w:t>and</w:t>
      </w:r>
    </w:p>
    <w:p>
      <w:pPr>
        <w:pStyle w:val="ListParagraph"/>
        <w:numPr>
          <w:ilvl w:val="0"/>
          <w:numId w:val="117"/>
        </w:numPr>
        <w:tabs>
          <w:tab w:pos="540" w:val="left" w:leader="none"/>
        </w:tabs>
        <w:spacing w:line="230" w:lineRule="auto" w:before="145" w:after="0"/>
        <w:ind w:left="536" w:right="1406" w:hanging="357"/>
        <w:jc w:val="both"/>
        <w:rPr>
          <w:sz w:val="20"/>
        </w:rPr>
      </w:pPr>
      <w:r>
        <w:rPr>
          <w:sz w:val="20"/>
        </w:rPr>
        <w:t>The area of units of land subject to direct human-induced deforestation in each of the new land-use categories (cropland, grazing land, settlements) to support the calculation of carbon stock changes and non- CO</w:t>
      </w:r>
      <w:r>
        <w:rPr>
          <w:sz w:val="20"/>
          <w:vertAlign w:val="subscript"/>
        </w:rPr>
        <w:t>2</w:t>
      </w:r>
      <w:r>
        <w:rPr>
          <w:sz w:val="20"/>
          <w:vertAlign w:val="baseline"/>
        </w:rPr>
        <w:t> greenhouse</w:t>
      </w:r>
      <w:r>
        <w:rPr>
          <w:spacing w:val="-1"/>
          <w:sz w:val="20"/>
          <w:vertAlign w:val="baseline"/>
        </w:rPr>
        <w:t> </w:t>
      </w:r>
      <w:r>
        <w:rPr>
          <w:sz w:val="20"/>
          <w:vertAlign w:val="baseline"/>
        </w:rPr>
        <w:t>emissions.</w:t>
      </w:r>
    </w:p>
    <w:p>
      <w:pPr>
        <w:pStyle w:val="BodyText"/>
        <w:spacing w:before="124"/>
        <w:ind w:left="179" w:right="1336"/>
      </w:pPr>
      <w:r>
        <w:rPr/>
        <w:t>A more comprehensive system (Reporting Method 2 in Section 4.2.2.2) identifies each unit of land subject to deforestation since 1990 using the polygon boundaries, a coordinate system (e.g., the Universal Transverse Mercator (UTM) Grid or Latitude/Longitude), or a legal description (e.g., those used by land-titles offices) of the location of the land subject to deforestation activities. Chapter 2 (Basis for consistent representation of land areas) discusses in detail the possible approaches for consistent representation of land areas.</w:t>
      </w:r>
    </w:p>
    <w:p>
      <w:pPr>
        <w:pStyle w:val="BodyText"/>
        <w:spacing w:before="119"/>
        <w:ind w:left="179" w:right="1403"/>
        <w:jc w:val="both"/>
      </w:pPr>
      <w:r>
        <w:rPr/>
        <w:t>Parties will need to use the methods outlined in Chapter 2 (Basis for consistent representation of land areas), taking into account Section 5.3 and the guidance in Section 4.2.2 to ensure that units of land subject to deforestation are adequately identified in land-use change and other inventory databases. The Marrakesh Accords require that areas subject to direct human-induced deforestation since 1990 be reported separately from areas subject to direct human-induced deforestation since 1990 that are also subject to elected activities under Article 3.4. This will ensure that carbon stock changes in areas that have been deforested since 1990 (Article 3.3) and</w:t>
      </w:r>
      <w:r>
        <w:rPr>
          <w:spacing w:val="-3"/>
        </w:rPr>
        <w:t> </w:t>
      </w:r>
      <w:r>
        <w:rPr/>
        <w:t>that</w:t>
      </w:r>
      <w:r>
        <w:rPr>
          <w:spacing w:val="-3"/>
        </w:rPr>
        <w:t> </w:t>
      </w:r>
      <w:r>
        <w:rPr/>
        <w:t>are</w:t>
      </w:r>
      <w:r>
        <w:rPr>
          <w:spacing w:val="-2"/>
        </w:rPr>
        <w:t> </w:t>
      </w:r>
      <w:r>
        <w:rPr/>
        <w:t>subject</w:t>
      </w:r>
      <w:r>
        <w:rPr>
          <w:spacing w:val="-3"/>
        </w:rPr>
        <w:t> </w:t>
      </w:r>
      <w:r>
        <w:rPr/>
        <w:t>to</w:t>
      </w:r>
      <w:r>
        <w:rPr>
          <w:spacing w:val="-3"/>
        </w:rPr>
        <w:t> </w:t>
      </w:r>
      <w:r>
        <w:rPr/>
        <w:t>other</w:t>
      </w:r>
      <w:r>
        <w:rPr>
          <w:spacing w:val="-3"/>
        </w:rPr>
        <w:t> </w:t>
      </w:r>
      <w:r>
        <w:rPr/>
        <w:t>elected</w:t>
      </w:r>
      <w:r>
        <w:rPr>
          <w:spacing w:val="-2"/>
        </w:rPr>
        <w:t> </w:t>
      </w:r>
      <w:r>
        <w:rPr/>
        <w:t>land</w:t>
      </w:r>
      <w:r>
        <w:rPr>
          <w:spacing w:val="-2"/>
        </w:rPr>
        <w:t> </w:t>
      </w:r>
      <w:r>
        <w:rPr/>
        <w:t>uses</w:t>
      </w:r>
      <w:r>
        <w:rPr>
          <w:spacing w:val="-4"/>
        </w:rPr>
        <w:t> </w:t>
      </w:r>
      <w:r>
        <w:rPr/>
        <w:t>such</w:t>
      </w:r>
      <w:r>
        <w:rPr>
          <w:spacing w:val="-3"/>
        </w:rPr>
        <w:t> </w:t>
      </w:r>
      <w:r>
        <w:rPr/>
        <w:t>as</w:t>
      </w:r>
      <w:r>
        <w:rPr>
          <w:spacing w:val="-4"/>
        </w:rPr>
        <w:t> </w:t>
      </w:r>
      <w:r>
        <w:rPr/>
        <w:t>cropland management</w:t>
      </w:r>
      <w:r>
        <w:rPr>
          <w:spacing w:val="-2"/>
        </w:rPr>
        <w:t> </w:t>
      </w:r>
      <w:r>
        <w:rPr/>
        <w:t>(Article</w:t>
      </w:r>
      <w:r>
        <w:rPr>
          <w:spacing w:val="-3"/>
        </w:rPr>
        <w:t> </w:t>
      </w:r>
      <w:r>
        <w:rPr/>
        <w:t>3.4)</w:t>
      </w:r>
      <w:r>
        <w:rPr>
          <w:spacing w:val="-3"/>
        </w:rPr>
        <w:t> </w:t>
      </w:r>
      <w:r>
        <w:rPr/>
        <w:t>are</w:t>
      </w:r>
      <w:r>
        <w:rPr>
          <w:spacing w:val="-2"/>
        </w:rPr>
        <w:t> </w:t>
      </w:r>
      <w:r>
        <w:rPr/>
        <w:t>not</w:t>
      </w:r>
      <w:r>
        <w:rPr>
          <w:spacing w:val="-3"/>
        </w:rPr>
        <w:t> </w:t>
      </w:r>
      <w:r>
        <w:rPr/>
        <w:t>counted</w:t>
      </w:r>
      <w:r>
        <w:rPr>
          <w:spacing w:val="-3"/>
        </w:rPr>
        <w:t> </w:t>
      </w:r>
      <w:r>
        <w:rPr/>
        <w:t>twice.</w:t>
      </w:r>
    </w:p>
    <w:p>
      <w:pPr>
        <w:pStyle w:val="BodyText"/>
        <w:spacing w:before="118"/>
        <w:ind w:left="179" w:right="1405"/>
        <w:jc w:val="both"/>
      </w:pPr>
      <w:r>
        <w:rPr/>
        <w:t>A Party’s choice of methods for the development of an inventory of units of land subject to deforestation activities will depend on the national circumstances. For detecting deforestation areas it is </w:t>
      </w:r>
      <w:r>
        <w:rPr>
          <w:i/>
        </w:rPr>
        <w:t>good practice </w:t>
      </w:r>
      <w:r>
        <w:rPr/>
        <w:t>to use Approach 3 in Section 2.3.2. Section 4.2.2.2 provides a general discussion of methods for the reporting on units of land subject to Article 3.3 activities.</w:t>
      </w:r>
    </w:p>
    <w:p>
      <w:pPr>
        <w:spacing w:after="0"/>
        <w:jc w:val="both"/>
        <w:sectPr>
          <w:pgSz w:w="11900" w:h="16840"/>
          <w:pgMar w:header="230" w:footer="408" w:top="560" w:bottom="600" w:left="1240" w:right="0"/>
        </w:sectPr>
      </w:pPr>
    </w:p>
    <w:p>
      <w:pPr>
        <w:pStyle w:val="BodyText"/>
      </w:pPr>
    </w:p>
    <w:p>
      <w:pPr>
        <w:pStyle w:val="BodyText"/>
        <w:rPr>
          <w:sz w:val="19"/>
        </w:rPr>
      </w:pPr>
    </w:p>
    <w:p>
      <w:pPr>
        <w:pStyle w:val="Heading6"/>
        <w:numPr>
          <w:ilvl w:val="3"/>
          <w:numId w:val="158"/>
        </w:numPr>
        <w:tabs>
          <w:tab w:pos="1619" w:val="left" w:leader="none"/>
          <w:tab w:pos="1620" w:val="left" w:leader="none"/>
        </w:tabs>
        <w:spacing w:line="242" w:lineRule="auto" w:before="89" w:after="0"/>
        <w:ind w:left="1626" w:right="1809" w:hanging="1447"/>
        <w:jc w:val="left"/>
      </w:pPr>
      <w:r>
        <w:rPr>
          <w:spacing w:val="15"/>
          <w:sz w:val="28"/>
        </w:rPr>
        <w:t>C</w:t>
      </w:r>
      <w:r>
        <w:rPr>
          <w:spacing w:val="15"/>
        </w:rPr>
        <w:t>HOICE </w:t>
      </w:r>
      <w:r>
        <w:rPr>
          <w:spacing w:val="10"/>
        </w:rPr>
        <w:t>OF </w:t>
      </w:r>
      <w:r>
        <w:rPr>
          <w:spacing w:val="16"/>
        </w:rPr>
        <w:t>METHODS </w:t>
      </w:r>
      <w:r>
        <w:rPr>
          <w:spacing w:val="13"/>
        </w:rPr>
        <w:t>FOR </w:t>
      </w:r>
      <w:r>
        <w:rPr>
          <w:spacing w:val="17"/>
        </w:rPr>
        <w:t>IDENTIFYING </w:t>
      </w:r>
      <w:r>
        <w:rPr>
          <w:spacing w:val="15"/>
        </w:rPr>
        <w:t>UNITS </w:t>
      </w:r>
      <w:r>
        <w:rPr>
          <w:spacing w:val="10"/>
        </w:rPr>
        <w:t>OF </w:t>
      </w:r>
      <w:r>
        <w:rPr>
          <w:spacing w:val="14"/>
        </w:rPr>
        <w:t>LAND </w:t>
      </w:r>
      <w:r>
        <w:rPr>
          <w:spacing w:val="16"/>
        </w:rPr>
        <w:t>SUBJECT </w:t>
      </w:r>
      <w:r>
        <w:rPr>
          <w:spacing w:val="9"/>
        </w:rPr>
        <w:t>TO </w:t>
      </w:r>
      <w:r>
        <w:rPr>
          <w:spacing w:val="16"/>
        </w:rPr>
        <w:t>DIRECT </w:t>
      </w:r>
      <w:r>
        <w:rPr>
          <w:spacing w:val="17"/>
        </w:rPr>
        <w:t>HUMAN</w:t>
      </w:r>
      <w:r>
        <w:rPr>
          <w:spacing w:val="17"/>
          <w:sz w:val="28"/>
        </w:rPr>
        <w:t>-</w:t>
      </w:r>
      <w:r>
        <w:rPr>
          <w:spacing w:val="17"/>
        </w:rPr>
        <w:t>INDUCED</w:t>
      </w:r>
      <w:r>
        <w:rPr>
          <w:spacing w:val="12"/>
        </w:rPr>
        <w:t> </w:t>
      </w:r>
      <w:r>
        <w:rPr>
          <w:spacing w:val="17"/>
        </w:rPr>
        <w:t>DEFORESTATION</w:t>
      </w:r>
      <w:r>
        <w:rPr>
          <w:spacing w:val="-35"/>
        </w:rPr>
        <w:t> </w:t>
      </w:r>
    </w:p>
    <w:p>
      <w:pPr>
        <w:pStyle w:val="BodyText"/>
        <w:spacing w:before="206"/>
        <w:ind w:left="179" w:right="1403"/>
        <w:jc w:val="both"/>
      </w:pPr>
      <w:r>
        <w:rPr/>
        <w:t>Annex B Parties to the Kyoto Protocol must report carbon stock changes and non-CO</w:t>
      </w:r>
      <w:r>
        <w:rPr>
          <w:vertAlign w:val="subscript"/>
        </w:rPr>
        <w:t>2</w:t>
      </w:r>
      <w:r>
        <w:rPr>
          <w:vertAlign w:val="baseline"/>
        </w:rPr>
        <w:t> greenhouse gas emissions during the commitment period on land areas that have been subject to direct human-induced deforestation activities since 1990 (after 31 December 1989). The definition of deforestation is given by the Marrakesh Accords.</w:t>
      </w:r>
      <w:r>
        <w:rPr>
          <w:vertAlign w:val="superscript"/>
        </w:rPr>
        <w:t>47</w:t>
      </w:r>
      <w:r>
        <w:rPr>
          <w:vertAlign w:val="baseline"/>
        </w:rPr>
        <w:t> Deforestation for the purposes of the Kyoto Protocol involves the conversion of forest land to non- forest land. To quantify deforestation, forest must first be defined in terms of potential height, crown cover and minimum area as already described for afforestation and reforestation activities. The same parameter values for the definition of forest must be used for determining the area of land subject to deforestation.</w:t>
      </w:r>
    </w:p>
    <w:p>
      <w:pPr>
        <w:pStyle w:val="BodyText"/>
        <w:spacing w:before="119"/>
        <w:ind w:left="179" w:right="1404"/>
        <w:jc w:val="both"/>
      </w:pPr>
      <w:r>
        <w:rPr/>
        <w:t>Once a Party has chosen its parameter values for the definition of forests, the boundaries of the forest area can be identified for any point in time. Only areas within these boundaries are potentially subject to deforestation activities. “Treed areas” that do not meet the minimum requirements of the country-specific forest definition can therefore not be deforested.</w:t>
      </w:r>
    </w:p>
    <w:p>
      <w:pPr>
        <w:pStyle w:val="BodyText"/>
        <w:spacing w:before="119"/>
        <w:ind w:left="179"/>
      </w:pPr>
      <w:r>
        <w:rPr/>
        <w:t>The identification of units of land subject to deforestation activities requires the delineation of units of land that</w:t>
      </w:r>
    </w:p>
    <w:p>
      <w:pPr>
        <w:pStyle w:val="ListParagraph"/>
        <w:numPr>
          <w:ilvl w:val="0"/>
          <w:numId w:val="159"/>
        </w:numPr>
        <w:tabs>
          <w:tab w:pos="539" w:val="left" w:leader="none"/>
          <w:tab w:pos="540" w:val="left" w:leader="none"/>
        </w:tabs>
        <w:spacing w:line="240" w:lineRule="auto" w:before="123" w:after="0"/>
        <w:ind w:left="539" w:right="0" w:hanging="360"/>
        <w:jc w:val="left"/>
        <w:rPr>
          <w:sz w:val="20"/>
        </w:rPr>
      </w:pPr>
      <w:r>
        <w:rPr>
          <w:sz w:val="20"/>
        </w:rPr>
        <w:t>Meet or exceed the size of the country’s minimum forest area (i.e., 0.05 to 1 ha), and</w:t>
      </w:r>
    </w:p>
    <w:p>
      <w:pPr>
        <w:pStyle w:val="ListParagraph"/>
        <w:numPr>
          <w:ilvl w:val="0"/>
          <w:numId w:val="159"/>
        </w:numPr>
        <w:tabs>
          <w:tab w:pos="539" w:val="left" w:leader="none"/>
          <w:tab w:pos="540" w:val="left" w:leader="none"/>
        </w:tabs>
        <w:spacing w:line="240" w:lineRule="auto" w:before="79" w:after="0"/>
        <w:ind w:left="539" w:right="0" w:hanging="360"/>
        <w:jc w:val="left"/>
        <w:rPr>
          <w:sz w:val="20"/>
        </w:rPr>
      </w:pPr>
      <w:r>
        <w:rPr>
          <w:sz w:val="20"/>
        </w:rPr>
        <w:t>Have met the definition of forest on 31 December 1989,</w:t>
      </w:r>
      <w:r>
        <w:rPr>
          <w:spacing w:val="-1"/>
          <w:sz w:val="20"/>
        </w:rPr>
        <w:t> </w:t>
      </w:r>
      <w:r>
        <w:rPr>
          <w:sz w:val="20"/>
        </w:rPr>
        <w:t>and</w:t>
      </w:r>
    </w:p>
    <w:p>
      <w:pPr>
        <w:pStyle w:val="ListParagraph"/>
        <w:numPr>
          <w:ilvl w:val="0"/>
          <w:numId w:val="159"/>
        </w:numPr>
        <w:tabs>
          <w:tab w:pos="539" w:val="left" w:leader="none"/>
          <w:tab w:pos="540" w:val="left" w:leader="none"/>
        </w:tabs>
        <w:spacing w:line="242" w:lineRule="auto" w:before="77" w:after="0"/>
        <w:ind w:left="539" w:right="1404" w:hanging="360"/>
        <w:jc w:val="left"/>
        <w:rPr>
          <w:sz w:val="20"/>
        </w:rPr>
      </w:pPr>
      <w:r>
        <w:rPr>
          <w:sz w:val="20"/>
        </w:rPr>
        <w:t>Have ceased to meet the definition of forest at some time after 1 January 1990 as the result of direct human- induced deforestation.</w:t>
      </w:r>
    </w:p>
    <w:p>
      <w:pPr>
        <w:pStyle w:val="BodyText"/>
        <w:spacing w:before="76"/>
        <w:ind w:left="179" w:right="1406"/>
        <w:jc w:val="both"/>
      </w:pPr>
      <w:r>
        <w:rPr/>
        <w:t>Units of land can only be classified as deforested if they have been subject to direct human-induced conversion from forest to non-forest land. Areas in which forest cover was lost as a result of natural disturbances are therefore not considered deforested, even if changed physical conditions delay or prevent regeneration, provided that these changes in physical conditions are not the result of direct human-induced actions. If, however, the natural disturbance is followed by a non-forest land use, then this will prevent the regeneration of forest, and the deforestation must be considered direct human induced. Forest areas that have been flooded as a result of changed drainage patterns (e.g., road construction or hydroelectric dams) and where the flooding has resulted in a loss of forest cover, are considered to be subject to direct human-induced</w:t>
      </w:r>
      <w:r>
        <w:rPr>
          <w:spacing w:val="-7"/>
        </w:rPr>
        <w:t> </w:t>
      </w:r>
      <w:r>
        <w:rPr/>
        <w:t>deforestation.</w:t>
      </w:r>
    </w:p>
    <w:p>
      <w:pPr>
        <w:pStyle w:val="BodyText"/>
        <w:spacing w:before="118"/>
        <w:ind w:left="179" w:right="1405"/>
        <w:jc w:val="both"/>
      </w:pPr>
      <w:r>
        <w:rPr/>
        <w:t>Linkages with methodologies in this report and the </w:t>
      </w:r>
      <w:r>
        <w:rPr>
          <w:i/>
        </w:rPr>
        <w:t>IPCC Guidelines </w:t>
      </w:r>
      <w:r>
        <w:rPr/>
        <w:t>on reporting of land areas related to deforestation (conversion of forest to other land uses) in inventories under the UNFCCC are given in the box below.</w:t>
      </w:r>
    </w:p>
    <w:p>
      <w:pPr>
        <w:pStyle w:val="BodyText"/>
      </w:pPr>
    </w:p>
    <w:p>
      <w:pPr>
        <w:pStyle w:val="BodyText"/>
        <w:rPr>
          <w:sz w:val="18"/>
        </w:rPr>
      </w:pPr>
      <w:r>
        <w:rPr/>
        <w:pict>
          <v:shape style="position:absolute;margin-left:91.960999pt;margin-top:13.060029pt;width:411.5pt;height:112.6pt;mso-position-horizontal-relative:page;mso-position-vertical-relative:paragraph;z-index:21200;mso-wrap-distance-left:0;mso-wrap-distance-right:0" type="#_x0000_t202" filled="false" stroked="true" strokeweight="1.44pt" strokecolor="#000000">
            <v:textbox inset="0,0,0,0">
              <w:txbxContent>
                <w:p>
                  <w:pPr>
                    <w:spacing w:before="100"/>
                    <w:ind w:left="67" w:right="68" w:firstLine="0"/>
                    <w:jc w:val="center"/>
                    <w:rPr>
                      <w:b/>
                      <w:sz w:val="18"/>
                    </w:rPr>
                  </w:pPr>
                  <w:r>
                    <w:rPr>
                      <w:b/>
                      <w:sz w:val="18"/>
                    </w:rPr>
                    <w:t>B</w:t>
                  </w:r>
                  <w:r>
                    <w:rPr>
                      <w:b/>
                      <w:sz w:val="14"/>
                    </w:rPr>
                    <w:t>OX </w:t>
                  </w:r>
                  <w:r>
                    <w:rPr>
                      <w:b/>
                      <w:sz w:val="18"/>
                    </w:rPr>
                    <w:t>4.2.4</w:t>
                  </w:r>
                </w:p>
                <w:p>
                  <w:pPr>
                    <w:spacing w:before="120"/>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spacing w:before="113"/>
                    <w:ind w:left="127"/>
                  </w:pPr>
                  <w:r>
                    <w:rPr/>
                    <w:t>Forest land converted to cropland, grassland, settlements, wetland, other land since 1990 as determined through Approach 3 in Chapter 2.</w:t>
                  </w:r>
                </w:p>
                <w:p>
                  <w:pPr>
                    <w:spacing w:before="127"/>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spacing w:line="242" w:lineRule="auto" w:before="113"/>
                    <w:ind w:left="127" w:right="124"/>
                  </w:pPr>
                  <w:r>
                    <w:rPr/>
                    <w:t>Not available in a format that meets requirements in the Marrakesh Accords for geographical location of the boundaries.</w:t>
                  </w:r>
                </w:p>
              </w:txbxContent>
            </v:textbox>
            <v:stroke dashstyle="solid"/>
            <w10:wrap type="topAndBottom"/>
          </v:shape>
        </w:pict>
      </w:r>
    </w:p>
    <w:p>
      <w:pPr>
        <w:pStyle w:val="BodyText"/>
      </w:pPr>
    </w:p>
    <w:p>
      <w:pPr>
        <w:pStyle w:val="BodyText"/>
      </w:pPr>
    </w:p>
    <w:p>
      <w:pPr>
        <w:pStyle w:val="BodyText"/>
      </w:pPr>
    </w:p>
    <w:p>
      <w:pPr>
        <w:pStyle w:val="BodyText"/>
      </w:pPr>
    </w:p>
    <w:p>
      <w:pPr>
        <w:pStyle w:val="BodyText"/>
      </w:pPr>
    </w:p>
    <w:p>
      <w:pPr>
        <w:pStyle w:val="BodyText"/>
        <w:spacing w:before="2"/>
        <w:rPr>
          <w:sz w:val="13"/>
        </w:rPr>
      </w:pPr>
      <w:r>
        <w:rPr/>
        <w:pict>
          <v:line style="position:absolute;mso-position-horizontal-relative:page;mso-position-vertical-relative:paragraph;z-index:21224;mso-wrap-distance-left:0;mso-wrap-distance-right:0" from="70.960999pt,9.784883pt" to="214.960999pt,9.784883pt" stroked="true" strokeweight=".48pt" strokecolor="#000000">
            <v:stroke dashstyle="solid"/>
            <w10:wrap type="topAndBottom"/>
          </v:line>
        </w:pict>
      </w:r>
    </w:p>
    <w:p>
      <w:pPr>
        <w:spacing w:before="153"/>
        <w:ind w:left="337" w:right="1597" w:hanging="159"/>
        <w:jc w:val="left"/>
        <w:rPr>
          <w:sz w:val="18"/>
        </w:rPr>
      </w:pPr>
      <w:r>
        <w:rPr>
          <w:position w:val="8"/>
          <w:sz w:val="12"/>
        </w:rPr>
        <w:t>47 </w:t>
      </w:r>
      <w:r>
        <w:rPr>
          <w:sz w:val="18"/>
        </w:rPr>
        <w:t>Paragraphs 1(d), 3 and 5, respectively, in the Annex to draft decision -/CMP.1 (Land use, land-use change and forestry), contained in document FCCC/CP/2001/13/Add.1, pp.58-59:</w:t>
      </w:r>
    </w:p>
    <w:p>
      <w:pPr>
        <w:spacing w:before="80"/>
        <w:ind w:left="337" w:right="0" w:firstLine="0"/>
        <w:jc w:val="left"/>
        <w:rPr>
          <w:i/>
          <w:sz w:val="18"/>
        </w:rPr>
      </w:pPr>
      <w:r>
        <w:rPr>
          <w:i/>
          <w:sz w:val="18"/>
        </w:rPr>
        <w:t>“Deforestation” is the direct human-induced conversion of forested land to non-forested land.</w:t>
      </w:r>
    </w:p>
    <w:p>
      <w:pPr>
        <w:spacing w:before="79"/>
        <w:ind w:left="337" w:right="1407" w:firstLine="0"/>
        <w:jc w:val="both"/>
        <w:rPr>
          <w:i/>
          <w:sz w:val="18"/>
        </w:rPr>
      </w:pPr>
      <w:r>
        <w:rPr>
          <w:i/>
          <w:sz w:val="18"/>
        </w:rPr>
        <w:t>For the purposes of determining the area of deforestation to come into the accounting system under Article 3, paragraph 3, each Party shall determine the forest area using the same spatial assessment unit as is used for the determination of afforestation and reforestation, but not larger than 1 hectare.</w:t>
      </w:r>
    </w:p>
    <w:p>
      <w:pPr>
        <w:spacing w:before="80"/>
        <w:ind w:left="337" w:right="1403" w:firstLine="0"/>
        <w:jc w:val="both"/>
        <w:rPr>
          <w:i/>
          <w:sz w:val="18"/>
        </w:rPr>
      </w:pPr>
      <w:r>
        <w:rPr>
          <w:i/>
          <w:sz w:val="18"/>
        </w:rPr>
        <w:t>Each Party included in Annex I shall report, in accordance with Article 7, on how harvesting or forest disturbance that is followed by the re-establishment of a forest is distinguished from deforestation. This information will be subject to review in accordance with Article</w:t>
      </w:r>
      <w:r>
        <w:rPr>
          <w:i/>
          <w:spacing w:val="-1"/>
          <w:sz w:val="18"/>
        </w:rPr>
        <w:t> </w:t>
      </w:r>
      <w:r>
        <w:rPr>
          <w:i/>
          <w:sz w:val="18"/>
        </w:rPr>
        <w:t>8.</w:t>
      </w:r>
    </w:p>
    <w:p>
      <w:pPr>
        <w:spacing w:after="0"/>
        <w:jc w:val="both"/>
        <w:rPr>
          <w:sz w:val="18"/>
        </w:rPr>
        <w:sectPr>
          <w:pgSz w:w="11900" w:h="16840"/>
          <w:pgMar w:header="230" w:footer="408" w:top="560" w:bottom="600" w:left="1240" w:right="0"/>
        </w:sectPr>
      </w:pPr>
    </w:p>
    <w:p>
      <w:pPr>
        <w:pStyle w:val="BodyText"/>
        <w:rPr>
          <w:i/>
        </w:rPr>
      </w:pPr>
    </w:p>
    <w:p>
      <w:pPr>
        <w:pStyle w:val="BodyText"/>
        <w:spacing w:before="9"/>
        <w:rPr>
          <w:i/>
          <w:sz w:val="18"/>
        </w:rPr>
      </w:pPr>
    </w:p>
    <w:p>
      <w:pPr>
        <w:pStyle w:val="Heading6"/>
        <w:tabs>
          <w:tab w:pos="1331" w:val="left" w:leader="none"/>
        </w:tabs>
        <w:spacing w:before="92"/>
        <w:ind w:left="1331" w:right="2969" w:hanging="1152"/>
      </w:pPr>
      <w:r>
        <w:rPr>
          <w:spacing w:val="16"/>
        </w:rPr>
        <w:t>4.2.6.2</w:t>
      </w:r>
      <w:r>
        <w:rPr>
          <w:spacing w:val="-34"/>
        </w:rPr>
        <w:t> </w:t>
      </w:r>
      <w:r>
        <w:rPr>
          <w:spacing w:val="9"/>
        </w:rPr>
        <w:t>.1</w:t>
        <w:tab/>
      </w:r>
      <w:r>
        <w:rPr>
          <w:spacing w:val="17"/>
        </w:rPr>
        <w:t>DISCRIMINATING </w:t>
      </w:r>
      <w:r>
        <w:rPr>
          <w:spacing w:val="16"/>
        </w:rPr>
        <w:t>BETWEEN </w:t>
      </w:r>
      <w:r>
        <w:rPr>
          <w:spacing w:val="17"/>
        </w:rPr>
        <w:t>DEFORESTATION </w:t>
      </w:r>
      <w:r>
        <w:rPr>
          <w:spacing w:val="12"/>
        </w:rPr>
        <w:t>AND </w:t>
      </w:r>
      <w:r>
        <w:rPr>
          <w:spacing w:val="16"/>
        </w:rPr>
        <w:t>TEMPORARY </w:t>
      </w:r>
      <w:r>
        <w:rPr>
          <w:spacing w:val="14"/>
        </w:rPr>
        <w:t>LOSS </w:t>
      </w:r>
      <w:r>
        <w:rPr>
          <w:spacing w:val="10"/>
        </w:rPr>
        <w:t>OF </w:t>
      </w:r>
      <w:r>
        <w:rPr>
          <w:spacing w:val="15"/>
        </w:rPr>
        <w:t>FOREST</w:t>
      </w:r>
      <w:r>
        <w:rPr>
          <w:spacing w:val="61"/>
        </w:rPr>
        <w:t> </w:t>
      </w:r>
      <w:r>
        <w:rPr>
          <w:spacing w:val="15"/>
        </w:rPr>
        <w:t>COVER</w:t>
      </w:r>
    </w:p>
    <w:p>
      <w:pPr>
        <w:pStyle w:val="BodyText"/>
        <w:spacing w:before="211"/>
        <w:ind w:left="179" w:right="1403"/>
        <w:jc w:val="both"/>
      </w:pPr>
      <w:r>
        <w:rPr/>
        <w:t>Parties must report on how they distinguish between deforestation and areas that remain forests but where tree cover has been removed temporarily</w:t>
      </w:r>
      <w:r>
        <w:rPr>
          <w:vertAlign w:val="superscript"/>
        </w:rPr>
        <w:t>48</w:t>
      </w:r>
      <w:r>
        <w:rPr>
          <w:vertAlign w:val="baseline"/>
        </w:rPr>
        <w:t>, notably areas that have been harvested or have been subject to other human disturbance but for which it is expected that a forest will be replanted or regenerate naturally. It is </w:t>
      </w:r>
      <w:r>
        <w:rPr>
          <w:i/>
          <w:vertAlign w:val="baseline"/>
        </w:rPr>
        <w:t>good practice </w:t>
      </w:r>
      <w:r>
        <w:rPr>
          <w:vertAlign w:val="baseline"/>
        </w:rPr>
        <w:t>to develop and report criteria by which temporary removal or loss of tree cover can be distinguished from deforestation. For example, a Party could define the expected time periods (years) between removal of tree cover and successful natural regeneration or planting. The length of these time periods could vary by region, biome, species and site conditions. In the absence of land-use change, such as conversion to cropland management or construction of settlements, areas without tree cover are considered “forest” provided that the time since forest cover loss is shorter than the number of years within which tree establishment is expected. After that time period, lands that were forest on 31 December 1989, that since then have lost forest cover due to direct human-induced actions and that failed to regenerate, are identified as deforested and the carbon stock changes and non-CO</w:t>
      </w:r>
      <w:r>
        <w:rPr>
          <w:vertAlign w:val="subscript"/>
        </w:rPr>
        <w:t>2</w:t>
      </w:r>
      <w:r>
        <w:rPr>
          <w:vertAlign w:val="baseline"/>
        </w:rPr>
        <w:t> greenhouse gas emissions for this land are to be recalculated and added to those of other deforested areas.</w:t>
      </w:r>
    </w:p>
    <w:p>
      <w:pPr>
        <w:pStyle w:val="BodyText"/>
        <w:spacing w:before="118"/>
        <w:ind w:left="179" w:right="1402"/>
        <w:jc w:val="both"/>
      </w:pPr>
      <w:r>
        <w:rPr/>
        <w:t>Although the loss of forest cover is often readily identified, e.g., through change detection using remote sensing images, the classification of this area as deforested is more challenging. It involves assessing the unit of land on which the forest cover loss has occurred, as well as the surrounding area, and typically requires data from multiple sources to supplement the information that can be obtained from remote sensing. In some cases a new land use can be determined from remote sensing images, for example where it is possible to identify agricultural crops or infrastructure such as houses or industrial buildings. Information about actual or planned land-use changes and actual or planned forest regeneration activities can be used to distinguish deforestation from temporary loss in forest cover. Where such information is missing or unavailable, only the passage of time will tell whether or not the cover loss is temporary. In the absence of land-use change or infrastructure development, and until the time for regeneration has elapsed, these units of land remain classified as forest. Note that this is consistent with the approach suggested for afforestation and reforestation, i.e., units of land that have not been confirmed as afforested/reforested remain classified as non-forest land. A Party may also choose a more conservative approach. It could calculate, based on regional averages or other data, the proportion of the lands without forest cover that is expected not to regenerate to forest and assign this proportion of the area to lands subject to deforestation.</w:t>
      </w:r>
    </w:p>
    <w:p>
      <w:pPr>
        <w:pStyle w:val="BodyText"/>
        <w:spacing w:before="117"/>
        <w:ind w:left="179" w:right="1404"/>
        <w:jc w:val="both"/>
      </w:pPr>
      <w:r>
        <w:rPr/>
        <w:t>Regardless of the approach selected, it is </w:t>
      </w:r>
      <w:r>
        <w:rPr>
          <w:i/>
        </w:rPr>
        <w:t>good practice </w:t>
      </w:r>
      <w:r>
        <w:rPr/>
        <w:t>for Parties to identify and track the units of land with loss of forest cover that are not yet classified as deforested, and to report on their area and status in the annual supplementary information (see Table 4.2.4b in Section 4.2.4.3) It is also </w:t>
      </w:r>
      <w:r>
        <w:rPr>
          <w:i/>
        </w:rPr>
        <w:t>good practice </w:t>
      </w:r>
      <w:r>
        <w:rPr/>
        <w:t>to confirm that, on these units of land, regeneration did occur within the expected time period. Units of land for which, at the end of a commitment period, no direct information was available to distinguish deforestation from other causes of cover loss, could be reassessed annually or at a minimum prior to the end of the next commitment period. If regeneration did not occur or if other land-use activities are observed, then these units of land should be reclassified as deforested and the carbon stock changes recalculated accordingly (see also Chapter 5, Section 5.6 Recalculation and time series consistency).</w:t>
      </w:r>
    </w:p>
    <w:p>
      <w:pPr>
        <w:pStyle w:val="BodyText"/>
        <w:spacing w:before="119"/>
        <w:ind w:left="179" w:right="1404"/>
        <w:jc w:val="both"/>
      </w:pPr>
      <w:r>
        <w:rPr/>
        <w:t>The task of distinguishing temporary forest cover loss and deforestation can be supported by information on harvested areas and areas subject to natural disturbances. In many countries, information on harvest cut blocks and on natural disturbance events is more readily available than information on deforestation events. Such information can be used to distinguish direct human-induced deforestation from temporary cover loss (e.g., harvest) or non-human induced disturbances (e.g., wildfire or insect outbreak). Attribution of the cause of forest cover loss to the remaining areas would be made easier and would support the identification and verification of units of land subject to deforestation.</w:t>
      </w:r>
    </w:p>
    <w:p>
      <w:pPr>
        <w:pStyle w:val="BodyText"/>
        <w:spacing w:before="118"/>
        <w:ind w:left="179" w:right="1405"/>
        <w:jc w:val="both"/>
      </w:pPr>
      <w:r>
        <w:rPr/>
        <w:t>A decision tree for determining of whether a unit of land is subject to direct human-induced deforestation is given in Figure</w:t>
      </w:r>
      <w:r>
        <w:rPr>
          <w:spacing w:val="-2"/>
        </w:rPr>
        <w:t> </w:t>
      </w:r>
      <w:r>
        <w:rPr/>
        <w:t>4.2.6.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0"/>
        </w:rPr>
      </w:pPr>
      <w:r>
        <w:rPr/>
        <w:pict>
          <v:line style="position:absolute;mso-position-horizontal-relative:page;mso-position-vertical-relative:paragraph;z-index:21248;mso-wrap-distance-left:0;mso-wrap-distance-right:0" from="70.960999pt,8.011738pt" to="214.960999pt,8.011738pt" stroked="true" strokeweight=".48pt" strokecolor="#000000">
            <v:stroke dashstyle="solid"/>
            <w10:wrap type="topAndBottom"/>
          </v:line>
        </w:pict>
      </w:r>
    </w:p>
    <w:p>
      <w:pPr>
        <w:spacing w:before="153"/>
        <w:ind w:left="179" w:right="0" w:firstLine="0"/>
        <w:jc w:val="left"/>
        <w:rPr>
          <w:sz w:val="18"/>
        </w:rPr>
      </w:pPr>
      <w:r>
        <w:rPr>
          <w:position w:val="8"/>
          <w:sz w:val="12"/>
        </w:rPr>
        <w:t>48 </w:t>
      </w:r>
      <w:r>
        <w:rPr>
          <w:sz w:val="18"/>
        </w:rPr>
        <w:t>Paragraph 8(b) in the Annex to draft decision -/CMP.1 (Article 7), contained in document FCCC/CP/2001/13/Add.3, p.23.</w:t>
      </w:r>
    </w:p>
    <w:p>
      <w:pPr>
        <w:spacing w:after="0"/>
        <w:jc w:val="left"/>
        <w:rPr>
          <w:sz w:val="18"/>
        </w:rPr>
        <w:sectPr>
          <w:pgSz w:w="11900" w:h="16840"/>
          <w:pgMar w:header="230" w:footer="408" w:top="560" w:bottom="600" w:left="1240" w:right="0"/>
        </w:sectPr>
      </w:pPr>
    </w:p>
    <w:p>
      <w:pPr>
        <w:pStyle w:val="BodyText"/>
      </w:pPr>
    </w:p>
    <w:p>
      <w:pPr>
        <w:pStyle w:val="BodyText"/>
      </w:pPr>
    </w:p>
    <w:p>
      <w:pPr>
        <w:pStyle w:val="BodyText"/>
        <w:spacing w:before="7"/>
        <w:rPr>
          <w:sz w:val="22"/>
        </w:rPr>
      </w:pPr>
    </w:p>
    <w:p>
      <w:pPr>
        <w:tabs>
          <w:tab w:pos="1879" w:val="left" w:leader="none"/>
        </w:tabs>
        <w:spacing w:line="242" w:lineRule="auto" w:before="0"/>
        <w:ind w:left="1880" w:right="1993" w:hanging="1702"/>
        <w:jc w:val="left"/>
        <w:rPr>
          <w:b/>
          <w:sz w:val="20"/>
        </w:rPr>
      </w:pPr>
      <w:r>
        <w:rPr>
          <w:b/>
          <w:spacing w:val="8"/>
          <w:sz w:val="20"/>
        </w:rPr>
        <w:t>Figure</w:t>
      </w:r>
      <w:r>
        <w:rPr>
          <w:b/>
          <w:spacing w:val="19"/>
          <w:sz w:val="20"/>
        </w:rPr>
        <w:t> </w:t>
      </w:r>
      <w:r>
        <w:rPr>
          <w:b/>
          <w:spacing w:val="8"/>
          <w:sz w:val="20"/>
        </w:rPr>
        <w:t>4.2.6</w:t>
        <w:tab/>
        <w:t>Decision tree </w:t>
      </w:r>
      <w:r>
        <w:rPr>
          <w:b/>
          <w:spacing w:val="6"/>
          <w:sz w:val="20"/>
        </w:rPr>
        <w:t>for </w:t>
      </w:r>
      <w:r>
        <w:rPr>
          <w:b/>
          <w:spacing w:val="9"/>
          <w:sz w:val="20"/>
        </w:rPr>
        <w:t>determining whether </w:t>
      </w:r>
      <w:r>
        <w:rPr>
          <w:b/>
          <w:sz w:val="20"/>
        </w:rPr>
        <w:t>a </w:t>
      </w:r>
      <w:r>
        <w:rPr>
          <w:b/>
          <w:spacing w:val="7"/>
          <w:sz w:val="20"/>
        </w:rPr>
        <w:t>unit </w:t>
      </w:r>
      <w:r>
        <w:rPr>
          <w:b/>
          <w:spacing w:val="5"/>
          <w:sz w:val="20"/>
        </w:rPr>
        <w:t>of </w:t>
      </w:r>
      <w:r>
        <w:rPr>
          <w:b/>
          <w:spacing w:val="8"/>
          <w:sz w:val="20"/>
        </w:rPr>
        <w:t>land </w:t>
      </w:r>
      <w:r>
        <w:rPr>
          <w:b/>
          <w:spacing w:val="5"/>
          <w:sz w:val="20"/>
        </w:rPr>
        <w:t>is </w:t>
      </w:r>
      <w:r>
        <w:rPr>
          <w:b/>
          <w:spacing w:val="8"/>
          <w:sz w:val="20"/>
        </w:rPr>
        <w:t>subject </w:t>
      </w:r>
      <w:r>
        <w:rPr>
          <w:b/>
          <w:spacing w:val="5"/>
          <w:sz w:val="20"/>
        </w:rPr>
        <w:t>to </w:t>
      </w:r>
      <w:r>
        <w:rPr>
          <w:b/>
          <w:spacing w:val="10"/>
          <w:sz w:val="20"/>
        </w:rPr>
        <w:t>direct </w:t>
      </w:r>
      <w:r>
        <w:rPr>
          <w:b/>
          <w:spacing w:val="9"/>
          <w:sz w:val="20"/>
        </w:rPr>
        <w:t>human-induced </w:t>
      </w:r>
      <w:r>
        <w:rPr>
          <w:b/>
          <w:spacing w:val="7"/>
          <w:sz w:val="20"/>
        </w:rPr>
        <w:t>(dhi) </w:t>
      </w:r>
      <w:r>
        <w:rPr>
          <w:b/>
          <w:spacing w:val="9"/>
          <w:sz w:val="20"/>
        </w:rPr>
        <w:t>Deforestation</w:t>
      </w:r>
      <w:r>
        <w:rPr>
          <w:b/>
          <w:spacing w:val="41"/>
          <w:sz w:val="20"/>
        </w:rPr>
        <w:t> </w:t>
      </w:r>
      <w:r>
        <w:rPr>
          <w:b/>
          <w:spacing w:val="10"/>
          <w:sz w:val="20"/>
        </w:rPr>
        <w:t>(D)</w:t>
      </w:r>
    </w:p>
    <w:p>
      <w:pPr>
        <w:pStyle w:val="BodyText"/>
        <w:spacing w:before="10"/>
        <w:rPr>
          <w:b/>
          <w:sz w:val="26"/>
        </w:rPr>
      </w:pPr>
      <w:r>
        <w:rPr/>
        <w:pict>
          <v:group style="position:absolute;margin-left:95.2006pt;margin-top:17.424999pt;width:382.2pt;height:494.7pt;mso-position-horizontal-relative:page;mso-position-vertical-relative:paragraph;z-index:21776;mso-wrap-distance-left:0;mso-wrap-distance-right:0" coordorigin="1904,348" coordsize="7644,9894">
            <v:shape style="position:absolute;left:5945;top:356;width:3245;height:1628" coordorigin="5946,356" coordsize="3245,1628" path="m7568,356l5946,1170,7568,1983,9190,1170,7568,356xe" filled="false" stroked="true" strokeweight=".75pt" strokecolor="#010101">
              <v:path arrowok="t"/>
              <v:stroke dashstyle="solid"/>
            </v:shape>
            <v:shape style="position:absolute;left:5936;top:2273;width:3245;height:1829" coordorigin="5936,2274" coordsize="3245,1829" path="m7558,2274l5936,3188,7558,4102,9181,3188,7558,2274xe" filled="false" stroked="true" strokeweight=".75pt" strokecolor="#010101">
              <v:path arrowok="t"/>
              <v:stroke dashstyle="solid"/>
            </v:shape>
            <v:shape style="position:absolute;left:7508;top:1976;width:120;height:310" type="#_x0000_t75" stroked="false">
              <v:imagedata r:id="rId358" o:title=""/>
            </v:shape>
            <v:shape style="position:absolute;left:5021;top:1116;width:929;height:120" coordorigin="5022,1117" coordsize="929,120" path="m5142,1117l5022,1177,5142,1237,5142,1184,5118,1184,5113,1182,5113,1174,5118,1170,5142,1170,5142,1117xm5142,1170l5118,1170,5113,1174,5113,1182,5118,1184,5142,1184,5142,1170xm5948,1170l5142,1170,5142,1184,5948,1184,5950,1182,5950,1172,5948,1170xe" filled="true" fillcolor="#010101" stroked="false">
              <v:path arrowok="t"/>
              <v:fill type="solid"/>
            </v:shape>
            <v:shape style="position:absolute;left:2340;top:2290;width:3243;height:1832" coordorigin="2341,2290" coordsize="3243,1832" path="m3963,2290l2341,3205,3963,4122,5583,3205,3963,2290xe" filled="false" stroked="true" strokeweight=".75pt" strokecolor="#010101">
              <v:path arrowok="t"/>
              <v:stroke dashstyle="solid"/>
            </v:shape>
            <v:shape style="position:absolute;left:5283;top:5237;width:932;height:120" coordorigin="5283,5238" coordsize="932,120" path="m6094,5238l6094,5358,6200,5305,6118,5305,6121,5302,6121,5295,6118,5290,6200,5290,6094,5238xm6094,5290l5286,5290,5283,5293,5283,5302,5286,5305,6094,5305,6094,5290xm6200,5290l6118,5290,6121,5295,6121,5302,6118,5305,6200,5305,6214,5298,6200,5290xe" filled="true" fillcolor="#010101" stroked="false">
              <v:path arrowok="t"/>
              <v:fill type="solid"/>
            </v:shape>
            <v:shape style="position:absolute;left:2643;top:4532;width:2655;height:1529" coordorigin="2643,4532" coordsize="2655,1529" path="m3970,4532l2643,5298,3970,6061,5298,5298,3970,4532xe" filled="true" fillcolor="#ffffff" stroked="false">
              <v:path arrowok="t"/>
              <v:fill type="solid"/>
            </v:shape>
            <v:shape style="position:absolute;left:2643;top:4532;width:2655;height:1529" coordorigin="2643,4532" coordsize="2655,1529" path="m3970,4532l2643,5298,3970,6061,5298,5298,3970,4532xe" filled="false" stroked="true" strokeweight=".75pt" strokecolor="#010101">
              <v:path arrowok="t"/>
              <v:stroke dashstyle="solid"/>
            </v:shape>
            <v:shape style="position:absolute;left:3903;top:4116;width:120;height:406" coordorigin="3903,4117" coordsize="120,406" path="m3956,4402l3903,4402,3963,4522,4010,4429,3958,4429,3956,4426,3956,4402xm3968,4117l3958,4117,3956,4122,3956,4426,3958,4429,3968,4429,3970,4426,3970,4119,3968,4117xm4023,4402l3970,4402,3970,4426,3968,4429,4010,4429,4023,4402xe" filled="true" fillcolor="#010101" stroked="false">
              <v:path arrowok="t"/>
              <v:fill type="solid"/>
            </v:shape>
            <v:shape style="position:absolute;left:2643;top:6464;width:2655;height:1529" coordorigin="2643,6464" coordsize="2655,1529" path="m3970,6464l2643,7230,3970,7993,5298,7230,3970,6464xe" filled="true" fillcolor="#ffffff" stroked="false">
              <v:path arrowok="t"/>
              <v:fill type="solid"/>
            </v:shape>
            <v:shape style="position:absolute;left:2643;top:6464;width:2655;height:1529" coordorigin="2643,6464" coordsize="2655,1529" path="m3970,6464l2643,7230,3970,7993,5298,7230,3970,6464xe" filled="false" stroked="true" strokeweight=".75pt" strokecolor="#010101">
              <v:path arrowok="t"/>
              <v:stroke dashstyle="solid"/>
            </v:shape>
            <v:shape style="position:absolute;left:3915;top:6051;width:120;height:411" coordorigin="3915,6051" coordsize="120,411" path="m3968,6342l3915,6342,3975,6462,4022,6368,3970,6368,3968,6366,3968,6342xm3978,6051l3970,6051,3966,6054,3966,6058,3968,6342,3968,6366,3970,6368,3978,6368,3982,6366,3982,6054,3978,6051xm4035,6342l3982,6342,3982,6366,3978,6368,4022,6368,4035,6342xe" filled="true" fillcolor="#010101" stroked="false">
              <v:path arrowok="t"/>
              <v:fill type="solid"/>
            </v:shape>
            <v:shape style="position:absolute;left:5261;top:7172;width:932;height:120" coordorigin="5262,7172" coordsize="932,120" path="m6073,7225l6073,7292,6178,7239,6097,7239,6099,7234,6099,7227,6097,7225,6073,7225xm5269,7222l5264,7222,5262,7227,5262,7234,5264,7239,6073,7239,6073,7225,5269,7222xm6073,7172l6073,7225,6092,7225,6097,7225,6099,7227,6099,7234,6097,7239,6178,7239,6193,7232,6073,7172xe" filled="true" fillcolor="#010101" stroked="false">
              <v:path arrowok="t"/>
              <v:fill type="solid"/>
            </v:shape>
            <v:shape style="position:absolute;left:2662;top:8369;width:2619;height:1493" coordorigin="2662,8370" coordsize="2619,1493" path="m3970,8370l2662,9116,3970,9862,5281,9116,3970,8370xe" filled="false" stroked="true" strokeweight=".75pt" strokecolor="#010101">
              <v:path arrowok="t"/>
              <v:stroke dashstyle="solid"/>
            </v:shape>
            <v:shape style="position:absolute;left:3912;top:7995;width:120;height:382" type="#_x0000_t75" stroked="false">
              <v:imagedata r:id="rId359" o:title=""/>
            </v:shape>
            <v:shape style="position:absolute;left:5273;top:9051;width:987;height:120" coordorigin="5274,9051" coordsize="987,120" path="m6140,9118l6140,9171,6246,9118,6164,9118,6140,9118xm6140,9104l6140,9118,6164,9118,6166,9114,6166,9106,6164,9104,6140,9104xm6140,9051l6140,9104,6159,9104,6164,9104,6166,9106,6166,9114,6164,9118,6246,9118,6260,9111,6140,9051xm5281,9102l5276,9102,5274,9106,5274,9114,5276,9116,6140,9118,6140,9104,5281,9102xe" filled="true" fillcolor="#010101" stroked="false">
              <v:path arrowok="t"/>
              <v:fill type="solid"/>
            </v:shape>
            <v:shape style="position:absolute;left:3915;top:9852;width:120;height:389" type="#_x0000_t75" stroked="false">
              <v:imagedata r:id="rId360" o:title=""/>
            </v:shape>
            <v:shape style="position:absolute;left:5559;top:3132;width:399;height:120" type="#_x0000_t75" stroked="false">
              <v:imagedata r:id="rId361" o:title=""/>
            </v:shape>
            <v:shape style="position:absolute;left:8460;top:3180;width:1088;height:6022" coordorigin="8461,3181" coordsize="1088,6022" path="m8578,9082l8461,9145,8581,9202,8580,9152,8554,9152,8552,9147,8552,9140,8554,9135,8579,9135,8578,9082xm8579,9135l8554,9135,8552,9140,8552,9147,8554,9152,8580,9152,8579,9135xm9531,9135l8579,9135,8580,9152,9543,9152,9548,9147,9548,9142,9531,9142,9531,9135xm9531,3188l9531,9142,9541,9135,9548,9135,9548,3195,9541,3195,9531,3188xm9548,9135l9541,9135,9531,9142,9548,9142,9548,9135xm9543,3181l9176,3181,9171,3183,9171,3193,9176,3195,9531,3195,9531,3188,9548,3188,9548,3183,9543,3181xm9548,3188l9531,3188,9541,3195,9548,3195,9548,3188xe" filled="true" fillcolor="#010101" stroked="false">
              <v:path arrowok="t"/>
              <v:fill type="solid"/>
            </v:shape>
            <v:shape style="position:absolute;left:1973;top:3200;width:689;height:5974" coordorigin="1974,3200" coordsize="689,5974" path="m2542,9054l2542,9174,2643,9123,2566,9123,2571,9118,2571,9111,2566,9106,2648,9106,2542,9054xm2346,3200l1976,3200,1974,3202,1974,9118,1976,9123,2542,9123,2542,9114,1988,9114,1981,9106,1988,9106,1988,3214,1981,3214,1988,3207,2348,3207,2348,3202,2346,3200xm2648,9106l2566,9106,2571,9111,2571,9118,2566,9123,2643,9123,2662,9114,2648,9106xm1988,9106l1981,9106,1988,9114,1988,9106xm2542,9106l1988,9106,1988,9114,2542,9114,2542,9106xm1988,3207l1981,3214,1988,3214,1988,3207xm2348,3207l1988,3207,1988,3214,2346,3214,2348,3210,2348,3207xe" filled="true" fillcolor="#010101" stroked="false">
              <v:path arrowok="t"/>
              <v:fill type="solid"/>
            </v:shape>
            <v:shape style="position:absolute;left:5873;top:792;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6562;top:708;width:2010;height:1390" type="#_x0000_t202" filled="false" stroked="false">
              <v:textbox inset="0,0,0,0">
                <w:txbxContent>
                  <w:p>
                    <w:pPr>
                      <w:spacing w:line="220" w:lineRule="exact" w:before="0"/>
                      <w:ind w:left="590" w:right="0" w:firstLine="0"/>
                      <w:jc w:val="left"/>
                      <w:rPr>
                        <w:sz w:val="20"/>
                      </w:rPr>
                    </w:pPr>
                    <w:r>
                      <w:rPr>
                        <w:sz w:val="20"/>
                      </w:rPr>
                      <w:t>Was there</w:t>
                    </w:r>
                  </w:p>
                  <w:p>
                    <w:pPr>
                      <w:spacing w:line="242" w:lineRule="auto" w:before="0"/>
                      <w:ind w:left="0" w:right="18" w:firstLine="0"/>
                      <w:jc w:val="center"/>
                      <w:rPr>
                        <w:sz w:val="20"/>
                      </w:rPr>
                    </w:pPr>
                    <w:r>
                      <w:rPr>
                        <w:sz w:val="20"/>
                      </w:rPr>
                      <w:t>a forest cover loss below the threshold after 31 December 1989?</w:t>
                    </w:r>
                  </w:p>
                  <w:p>
                    <w:pPr>
                      <w:spacing w:line="240" w:lineRule="auto" w:before="1"/>
                      <w:rPr>
                        <w:b/>
                        <w:sz w:val="21"/>
                      </w:rPr>
                    </w:pPr>
                  </w:p>
                  <w:p>
                    <w:pPr>
                      <w:spacing w:before="0"/>
                      <w:ind w:left="1298" w:right="0" w:firstLine="0"/>
                      <w:jc w:val="left"/>
                      <w:rPr>
                        <w:sz w:val="20"/>
                      </w:rPr>
                    </w:pPr>
                    <w:r>
                      <w:rPr>
                        <w:sz w:val="20"/>
                      </w:rPr>
                      <w:t>Yes</w:t>
                    </w:r>
                  </w:p>
                </w:txbxContent>
              </v:textbox>
              <w10:wrap type="none"/>
            </v:shape>
            <v:shape style="position:absolute;left:1904;top:2775;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2921;top:2525;width:2097;height:1371" type="#_x0000_t202" filled="false" stroked="false">
              <v:textbox inset="0,0,0,0">
                <w:txbxContent>
                  <w:p>
                    <w:pPr>
                      <w:spacing w:line="221" w:lineRule="exact" w:before="0"/>
                      <w:ind w:left="218" w:right="236" w:firstLine="0"/>
                      <w:jc w:val="center"/>
                      <w:rPr>
                        <w:sz w:val="20"/>
                      </w:rPr>
                    </w:pPr>
                    <w:r>
                      <w:rPr>
                        <w:sz w:val="20"/>
                      </w:rPr>
                      <w:t>Is there</w:t>
                    </w:r>
                  </w:p>
                  <w:p>
                    <w:pPr>
                      <w:spacing w:before="0"/>
                      <w:ind w:left="0" w:right="-1" w:firstLine="540"/>
                      <w:jc w:val="left"/>
                      <w:rPr>
                        <w:sz w:val="20"/>
                      </w:rPr>
                    </w:pPr>
                    <w:r>
                      <w:rPr>
                        <w:sz w:val="20"/>
                      </w:rPr>
                      <w:t>a reasonable expectation that, within X</w:t>
                    </w:r>
                  </w:p>
                  <w:p>
                    <w:pPr>
                      <w:spacing w:before="0"/>
                      <w:ind w:left="285" w:right="236" w:firstLine="0"/>
                      <w:jc w:val="center"/>
                      <w:rPr>
                        <w:sz w:val="20"/>
                      </w:rPr>
                    </w:pPr>
                    <w:r>
                      <w:rPr>
                        <w:sz w:val="20"/>
                      </w:rPr>
                      <w:t>years</w:t>
                    </w:r>
                    <w:r>
                      <w:rPr>
                        <w:sz w:val="20"/>
                        <w:vertAlign w:val="superscript"/>
                      </w:rPr>
                      <w:t>1</w:t>
                    </w:r>
                    <w:r>
                      <w:rPr>
                        <w:sz w:val="20"/>
                        <w:vertAlign w:val="baseline"/>
                      </w:rPr>
                      <w:t>, the area will regenerate to forest?</w:t>
                    </w:r>
                  </w:p>
                </w:txbxContent>
              </v:textbox>
              <w10:wrap type="none"/>
            </v:shape>
            <v:shape style="position:absolute;left:5871;top:2780;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6296;top:2710;width:2565;height:910" type="#_x0000_t202" filled="false" stroked="false">
              <v:textbox inset="0,0,0,0">
                <w:txbxContent>
                  <w:p>
                    <w:pPr>
                      <w:spacing w:line="221" w:lineRule="exact" w:before="0"/>
                      <w:ind w:left="928" w:right="946" w:firstLine="0"/>
                      <w:jc w:val="center"/>
                      <w:rPr>
                        <w:sz w:val="20"/>
                      </w:rPr>
                    </w:pPr>
                    <w:r>
                      <w:rPr>
                        <w:sz w:val="20"/>
                      </w:rPr>
                      <w:t>Was the</w:t>
                    </w:r>
                  </w:p>
                  <w:p>
                    <w:pPr>
                      <w:spacing w:before="0"/>
                      <w:ind w:left="-1" w:right="18" w:firstLine="0"/>
                      <w:jc w:val="center"/>
                      <w:rPr>
                        <w:sz w:val="20"/>
                      </w:rPr>
                    </w:pPr>
                    <w:r>
                      <w:rPr>
                        <w:sz w:val="20"/>
                      </w:rPr>
                      <w:t>cover loss followed by</w:t>
                    </w:r>
                    <w:r>
                      <w:rPr>
                        <w:spacing w:val="-11"/>
                        <w:sz w:val="20"/>
                      </w:rPr>
                      <w:t> </w:t>
                    </w:r>
                    <w:r>
                      <w:rPr>
                        <w:sz w:val="20"/>
                      </w:rPr>
                      <w:t>land-use change to non-forest</w:t>
                    </w:r>
                    <w:r>
                      <w:rPr>
                        <w:spacing w:val="-6"/>
                        <w:sz w:val="20"/>
                      </w:rPr>
                      <w:t> </w:t>
                    </w:r>
                    <w:r>
                      <w:rPr>
                        <w:sz w:val="20"/>
                      </w:rPr>
                      <w:t>land</w:t>
                    </w:r>
                  </w:p>
                  <w:p>
                    <w:pPr>
                      <w:spacing w:line="228" w:lineRule="exact" w:before="0"/>
                      <w:ind w:left="925" w:right="946" w:firstLine="0"/>
                      <w:jc w:val="center"/>
                      <w:rPr>
                        <w:sz w:val="20"/>
                      </w:rPr>
                    </w:pPr>
                    <w:r>
                      <w:rPr>
                        <w:sz w:val="20"/>
                      </w:rPr>
                      <w:t>use?</w:t>
                    </w:r>
                  </w:p>
                </w:txbxContent>
              </v:textbox>
              <w10:wrap type="none"/>
            </v:shape>
            <v:shape style="position:absolute;left:9128;top:2782;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4248;top:4160;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3204;top:4913;width:1549;height:682" type="#_x0000_t202" filled="false" stroked="false">
              <v:textbox inset="0,0,0,0">
                <w:txbxContent>
                  <w:p>
                    <w:pPr>
                      <w:spacing w:line="240" w:lineRule="auto" w:before="0"/>
                      <w:ind w:left="0" w:right="-3" w:firstLine="458"/>
                      <w:jc w:val="left"/>
                      <w:rPr>
                        <w:sz w:val="20"/>
                      </w:rPr>
                    </w:pPr>
                    <w:r>
                      <w:rPr>
                        <w:sz w:val="20"/>
                      </w:rPr>
                      <w:t>Have X years</w:t>
                    </w:r>
                    <w:r>
                      <w:rPr>
                        <w:sz w:val="20"/>
                        <w:vertAlign w:val="superscript"/>
                      </w:rPr>
                      <w:t>1</w:t>
                    </w:r>
                    <w:r>
                      <w:rPr>
                        <w:sz w:val="20"/>
                        <w:vertAlign w:val="baseline"/>
                      </w:rPr>
                      <w:t> passed since</w:t>
                    </w:r>
                  </w:p>
                  <w:p>
                    <w:pPr>
                      <w:spacing w:before="0"/>
                      <w:ind w:left="316" w:right="0" w:firstLine="0"/>
                      <w:jc w:val="left"/>
                      <w:rPr>
                        <w:sz w:val="20"/>
                      </w:rPr>
                    </w:pPr>
                    <w:r>
                      <w:rPr>
                        <w:sz w:val="20"/>
                      </w:rPr>
                      <w:t>cover loss?</w:t>
                    </w:r>
                  </w:p>
                </w:txbxContent>
              </v:textbox>
              <w10:wrap type="none"/>
            </v:shape>
            <v:shape style="position:absolute;left:5146;top:4954;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4061;top:6039;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3070;top:6749;width:1869;height:910" type="#_x0000_t202" filled="false" stroked="false">
              <v:textbox inset="0,0,0,0">
                <w:txbxContent>
                  <w:p>
                    <w:pPr>
                      <w:spacing w:line="221" w:lineRule="exact" w:before="0"/>
                      <w:ind w:left="547" w:right="0" w:firstLine="0"/>
                      <w:jc w:val="left"/>
                      <w:rPr>
                        <w:sz w:val="20"/>
                      </w:rPr>
                    </w:pPr>
                    <w:r>
                      <w:rPr>
                        <w:sz w:val="20"/>
                      </w:rPr>
                      <w:t>Does the</w:t>
                    </w:r>
                  </w:p>
                  <w:p>
                    <w:pPr>
                      <w:spacing w:before="0"/>
                      <w:ind w:left="0" w:right="18" w:firstLine="0"/>
                      <w:jc w:val="center"/>
                      <w:rPr>
                        <w:sz w:val="20"/>
                      </w:rPr>
                    </w:pPr>
                    <w:r>
                      <w:rPr>
                        <w:sz w:val="20"/>
                      </w:rPr>
                      <w:t>land currently meet the definition of a</w:t>
                    </w:r>
                  </w:p>
                  <w:p>
                    <w:pPr>
                      <w:spacing w:line="228" w:lineRule="exact" w:before="0"/>
                      <w:ind w:left="0" w:right="71" w:firstLine="0"/>
                      <w:jc w:val="center"/>
                      <w:rPr>
                        <w:sz w:val="20"/>
                      </w:rPr>
                    </w:pPr>
                    <w:r>
                      <w:rPr>
                        <w:sz w:val="20"/>
                      </w:rPr>
                      <w:t>forest?</w:t>
                    </w:r>
                  </w:p>
                </w:txbxContent>
              </v:textbox>
              <w10:wrap type="none"/>
            </v:shape>
            <v:shape style="position:absolute;left:5146;top:6944;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4061;top:8031;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3094;top:8616;width:1768;height:917" type="#_x0000_t202" filled="false" stroked="false">
              <v:textbox inset="0,0,0,0">
                <w:txbxContent>
                  <w:p>
                    <w:pPr>
                      <w:spacing w:line="240" w:lineRule="auto" w:before="0"/>
                      <w:ind w:left="199" w:right="199" w:firstLine="350"/>
                      <w:jc w:val="left"/>
                      <w:rPr>
                        <w:sz w:val="20"/>
                      </w:rPr>
                    </w:pPr>
                    <w:r>
                      <w:rPr>
                        <w:sz w:val="20"/>
                      </w:rPr>
                      <w:t>Was the cover loss due to</w:t>
                    </w:r>
                  </w:p>
                  <w:p>
                    <w:pPr>
                      <w:spacing w:line="244" w:lineRule="auto" w:before="0"/>
                      <w:ind w:left="530" w:right="-1" w:hanging="531"/>
                      <w:jc w:val="left"/>
                      <w:rPr>
                        <w:sz w:val="20"/>
                      </w:rPr>
                    </w:pPr>
                    <w:r>
                      <w:rPr>
                        <w:sz w:val="20"/>
                      </w:rPr>
                      <w:t>direct human-induced activity?</w:t>
                    </w:r>
                  </w:p>
                </w:txbxContent>
              </v:textbox>
              <w10:wrap type="none"/>
            </v:shape>
            <v:shape style="position:absolute;left:5146;top:8756;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4061;top:9840;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6272;top:8672;width:2177;height:879" type="#_x0000_t202" filled="false" stroked="true" strokeweight="1.5pt" strokecolor="#010101">
              <v:textbox inset="0,0,0,0">
                <w:txbxContent>
                  <w:p>
                    <w:pPr>
                      <w:spacing w:line="240" w:lineRule="auto" w:before="0"/>
                      <w:rPr>
                        <w:b/>
                        <w:sz w:val="26"/>
                      </w:rPr>
                    </w:pPr>
                  </w:p>
                  <w:p>
                    <w:pPr>
                      <w:spacing w:before="1"/>
                      <w:ind w:left="388" w:right="0" w:firstLine="0"/>
                      <w:jc w:val="left"/>
                      <w:rPr>
                        <w:sz w:val="20"/>
                      </w:rPr>
                    </w:pPr>
                    <w:r>
                      <w:rPr>
                        <w:sz w:val="20"/>
                      </w:rPr>
                      <w:t>Classify as dhi D</w:t>
                    </w:r>
                  </w:p>
                </w:txbxContent>
              </v:textbox>
              <v:stroke dashstyle="solid"/>
              <w10:wrap type="none"/>
            </v:shape>
            <v:shape style="position:absolute;left:6207;top:6776;width:2180;height:881" type="#_x0000_t202" filled="false" stroked="true" strokeweight="1.5pt" strokecolor="#010101">
              <v:textbox inset="0,0,0,0">
                <w:txbxContent>
                  <w:p>
                    <w:pPr>
                      <w:spacing w:line="240" w:lineRule="auto" w:before="0"/>
                      <w:rPr>
                        <w:b/>
                        <w:sz w:val="26"/>
                      </w:rPr>
                    </w:pPr>
                  </w:p>
                  <w:p>
                    <w:pPr>
                      <w:spacing w:before="1"/>
                      <w:ind w:left="385" w:right="0" w:firstLine="0"/>
                      <w:jc w:val="left"/>
                      <w:rPr>
                        <w:sz w:val="20"/>
                      </w:rPr>
                    </w:pPr>
                    <w:r>
                      <w:rPr>
                        <w:sz w:val="20"/>
                      </w:rPr>
                      <w:t>Classify as forest</w:t>
                    </w:r>
                  </w:p>
                </w:txbxContent>
              </v:textbox>
              <v:stroke dashstyle="solid"/>
              <w10:wrap type="none"/>
            </v:shape>
            <v:shape style="position:absolute;left:6231;top:4860;width:2177;height:881" type="#_x0000_t202" filled="false" stroked="true" strokeweight="1.5pt" strokecolor="#010101">
              <v:textbox inset="0,0,0,0">
                <w:txbxContent>
                  <w:p>
                    <w:pPr>
                      <w:spacing w:before="192"/>
                      <w:ind w:left="234" w:right="213" w:hanging="20"/>
                      <w:jc w:val="left"/>
                      <w:rPr>
                        <w:sz w:val="20"/>
                      </w:rPr>
                    </w:pPr>
                    <w:r>
                      <w:rPr>
                        <w:sz w:val="20"/>
                      </w:rPr>
                      <w:t>Classify as forest and re-evaluate next year</w:t>
                    </w:r>
                  </w:p>
                </w:txbxContent>
              </v:textbox>
              <v:stroke dashstyle="solid"/>
              <w10:wrap type="none"/>
            </v:shape>
            <v:shape style="position:absolute;left:2842;top:704;width:2177;height:879" type="#_x0000_t202" filled="false" stroked="true" strokeweight="1.5pt" strokecolor="#010101">
              <v:textbox inset="0,0,0,0">
                <w:txbxContent>
                  <w:p>
                    <w:pPr>
                      <w:spacing w:line="240" w:lineRule="auto" w:before="10"/>
                      <w:rPr>
                        <w:b/>
                        <w:sz w:val="25"/>
                      </w:rPr>
                    </w:pPr>
                  </w:p>
                  <w:p>
                    <w:pPr>
                      <w:spacing w:before="0"/>
                      <w:ind w:left="241" w:right="0" w:firstLine="0"/>
                      <w:jc w:val="left"/>
                      <w:rPr>
                        <w:sz w:val="20"/>
                      </w:rPr>
                    </w:pPr>
                    <w:r>
                      <w:rPr>
                        <w:sz w:val="20"/>
                      </w:rPr>
                      <w:t>Not eligible as dhi D</w:t>
                    </w:r>
                  </w:p>
                </w:txbxContent>
              </v:textbox>
              <v:stroke dashstyle="solid"/>
              <w10:wrap type="none"/>
            </v:shape>
            <w10:wrap type="topAndBottom"/>
          </v:group>
        </w:pict>
      </w:r>
    </w:p>
    <w:p>
      <w:pPr>
        <w:pStyle w:val="BodyText"/>
        <w:rPr>
          <w:b/>
          <w:sz w:val="22"/>
        </w:rPr>
      </w:pPr>
    </w:p>
    <w:p>
      <w:pPr>
        <w:pStyle w:val="BodyText"/>
        <w:rPr>
          <w:b/>
          <w:sz w:val="22"/>
        </w:rPr>
      </w:pPr>
    </w:p>
    <w:p>
      <w:pPr>
        <w:pStyle w:val="BodyText"/>
        <w:rPr>
          <w:b/>
          <w:sz w:val="22"/>
        </w:rPr>
      </w:pPr>
    </w:p>
    <w:p>
      <w:pPr>
        <w:pStyle w:val="BodyText"/>
        <w:spacing w:before="10"/>
        <w:rPr>
          <w:b/>
          <w:sz w:val="28"/>
        </w:rPr>
      </w:pPr>
    </w:p>
    <w:p>
      <w:pPr>
        <w:spacing w:before="0"/>
        <w:ind w:left="745" w:right="0" w:firstLine="0"/>
        <w:jc w:val="left"/>
        <w:rPr>
          <w:sz w:val="16"/>
        </w:rPr>
      </w:pPr>
      <w:r>
        <w:rPr/>
        <w:pict>
          <v:shape style="position:absolute;margin-left:143.921005pt;margin-top:-55.911724pt;width:109pt;height:44.05pt;mso-position-horizontal-relative:page;mso-position-vertical-relative:paragraph;z-index:23848" type="#_x0000_t202" filled="false" stroked="true" strokeweight="1.5pt" strokecolor="#010101">
            <v:textbox inset="0,0,0,0">
              <w:txbxContent>
                <w:p>
                  <w:pPr>
                    <w:pStyle w:val="BodyText"/>
                    <w:spacing w:before="10"/>
                    <w:rPr>
                      <w:sz w:val="25"/>
                    </w:rPr>
                  </w:pPr>
                </w:p>
                <w:p>
                  <w:pPr>
                    <w:pStyle w:val="BodyText"/>
                    <w:ind w:left="241"/>
                  </w:pPr>
                  <w:r>
                    <w:rPr/>
                    <w:t>Not eligible as dhi D</w:t>
                  </w:r>
                </w:p>
              </w:txbxContent>
            </v:textbox>
            <v:stroke dashstyle="solid"/>
            <w10:wrap type="none"/>
          </v:shape>
        </w:pict>
      </w:r>
      <w:r>
        <w:rPr>
          <w:position w:val="7"/>
          <w:sz w:val="10"/>
        </w:rPr>
        <w:t>1 </w:t>
      </w:r>
      <w:r>
        <w:rPr>
          <w:sz w:val="16"/>
        </w:rPr>
        <w:t>Refer to country-specific criteria for distinguishing harvesting from deforestation.</w:t>
      </w:r>
    </w:p>
    <w:p>
      <w:pPr>
        <w:pStyle w:val="BodyText"/>
        <w:spacing w:before="1"/>
        <w:rPr>
          <w:sz w:val="24"/>
        </w:rPr>
      </w:pPr>
    </w:p>
    <w:p>
      <w:pPr>
        <w:pStyle w:val="Heading6"/>
        <w:tabs>
          <w:tab w:pos="1619" w:val="left" w:leader="none"/>
        </w:tabs>
        <w:ind w:left="1626" w:right="1823" w:hanging="1448"/>
      </w:pPr>
      <w:r>
        <w:rPr>
          <w:spacing w:val="16"/>
          <w:sz w:val="28"/>
        </w:rPr>
        <w:t>4.2.6.3</w:t>
        <w:tab/>
        <w:t>C</w:t>
      </w:r>
      <w:r>
        <w:rPr>
          <w:spacing w:val="16"/>
        </w:rPr>
        <w:t>HOICE </w:t>
      </w:r>
      <w:r>
        <w:rPr>
          <w:spacing w:val="10"/>
        </w:rPr>
        <w:t>OF </w:t>
      </w:r>
      <w:r>
        <w:rPr>
          <w:spacing w:val="16"/>
        </w:rPr>
        <w:t>METHODS </w:t>
      </w:r>
      <w:r>
        <w:rPr>
          <w:spacing w:val="13"/>
        </w:rPr>
        <w:t>FOR </w:t>
      </w:r>
      <w:r>
        <w:rPr>
          <w:spacing w:val="17"/>
        </w:rPr>
        <w:t>ESTIMATING </w:t>
      </w:r>
      <w:r>
        <w:rPr>
          <w:spacing w:val="16"/>
        </w:rPr>
        <w:t>CARBON STOCK</w:t>
      </w:r>
      <w:r>
        <w:rPr>
          <w:spacing w:val="16"/>
          <w:sz w:val="28"/>
        </w:rPr>
        <w:t>- </w:t>
      </w:r>
      <w:r>
        <w:rPr>
          <w:spacing w:val="16"/>
        </w:rPr>
        <w:t>CHANGES </w:t>
      </w:r>
      <w:r>
        <w:rPr>
          <w:spacing w:val="12"/>
        </w:rPr>
        <w:t>AND </w:t>
      </w:r>
      <w:r>
        <w:rPr>
          <w:spacing w:val="16"/>
        </w:rPr>
        <w:t>NON</w:t>
      </w:r>
      <w:r>
        <w:rPr>
          <w:spacing w:val="16"/>
          <w:sz w:val="28"/>
        </w:rPr>
        <w:t>-CO</w:t>
      </w:r>
      <w:r>
        <w:rPr>
          <w:spacing w:val="16"/>
          <w:sz w:val="28"/>
          <w:vertAlign w:val="subscript"/>
        </w:rPr>
        <w:t>2</w:t>
      </w:r>
      <w:r>
        <w:rPr>
          <w:spacing w:val="16"/>
          <w:sz w:val="28"/>
          <w:vertAlign w:val="baseline"/>
        </w:rPr>
        <w:t> </w:t>
      </w:r>
      <w:r>
        <w:rPr>
          <w:spacing w:val="17"/>
          <w:vertAlign w:val="baseline"/>
        </w:rPr>
        <w:t>GREENHOUSE </w:t>
      </w:r>
      <w:r>
        <w:rPr>
          <w:spacing w:val="12"/>
          <w:vertAlign w:val="baseline"/>
        </w:rPr>
        <w:t>GAS</w:t>
      </w:r>
      <w:r>
        <w:rPr>
          <w:spacing w:val="3"/>
          <w:vertAlign w:val="baseline"/>
        </w:rPr>
        <w:t> </w:t>
      </w:r>
      <w:r>
        <w:rPr>
          <w:spacing w:val="16"/>
          <w:vertAlign w:val="baseline"/>
        </w:rPr>
        <w:t>EMISSIONS</w:t>
      </w:r>
    </w:p>
    <w:p>
      <w:pPr>
        <w:pStyle w:val="BodyText"/>
        <w:spacing w:before="211"/>
        <w:ind w:left="179" w:right="1403"/>
        <w:jc w:val="both"/>
      </w:pPr>
      <w:r>
        <w:rPr/>
        <w:t>The Marrakesh Accords specify that all carbon stock changes and non-CO</w:t>
      </w:r>
      <w:r>
        <w:rPr>
          <w:vertAlign w:val="subscript"/>
        </w:rPr>
        <w:t>2</w:t>
      </w:r>
      <w:r>
        <w:rPr>
          <w:vertAlign w:val="baseline"/>
        </w:rPr>
        <w:t> greenhouse gas emissions during the commitment period on units of land subject to direct human-induced deforestation since 1990 must be reported. Where deforestation occurred between 1990 and the beginning of the commitment period, changes in the carbon pools after the deforestation event need to be estimated for each inventory year of the commitment period. Post-</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8"/>
        <w:jc w:val="both"/>
      </w:pPr>
      <w:r>
        <w:rPr/>
        <w:t>disturbance losses during the commitment period will result primarily from the continuing decay of dead wood, litter and soil carbon remaining on the site after the deforestation event. These losses can be offset by increases in biomass</w:t>
      </w:r>
      <w:r>
        <w:rPr>
          <w:spacing w:val="-3"/>
        </w:rPr>
        <w:t> </w:t>
      </w:r>
      <w:r>
        <w:rPr/>
        <w:t>pools.</w:t>
      </w:r>
    </w:p>
    <w:p>
      <w:pPr>
        <w:pStyle w:val="BodyText"/>
        <w:spacing w:before="121"/>
        <w:ind w:left="179" w:right="1403"/>
        <w:jc w:val="both"/>
      </w:pPr>
      <w:r>
        <w:rPr/>
        <w:t>If the deforestation occurs during the commitment period, biomass carbon stocks will decrease but, depending on deforestation practices, some of this biomass may be added to litter and dead wood pools. Their increase can initially partly offset biomass carbon losses and delay emissions. In subsequent years, carbon is likely to be released from litter and dead wood pools through decay or burning.</w:t>
      </w:r>
    </w:p>
    <w:p>
      <w:pPr>
        <w:pStyle w:val="BodyText"/>
        <w:spacing w:before="120"/>
        <w:ind w:left="179" w:right="1401"/>
        <w:jc w:val="both"/>
      </w:pPr>
      <w:r>
        <w:rPr/>
        <w:t>On areas subject to Article 3.3 activities, gross-net accounting rules are applied</w:t>
      </w:r>
      <w:r>
        <w:rPr>
          <w:vertAlign w:val="superscript"/>
        </w:rPr>
        <w:t>49</w:t>
      </w:r>
      <w:r>
        <w:rPr>
          <w:vertAlign w:val="baseline"/>
        </w:rPr>
        <w:t> and information on carbon stock changes in the base year (i.e., 1990) is therefore not required. Only the net changes in ecosystem carbon stocks and the non-CO</w:t>
      </w:r>
      <w:r>
        <w:rPr>
          <w:vertAlign w:val="subscript"/>
        </w:rPr>
        <w:t>2</w:t>
      </w:r>
      <w:r>
        <w:rPr>
          <w:vertAlign w:val="baseline"/>
        </w:rPr>
        <w:t> greenhouse gas emissions during each year of the commitment period are estimated and reported.</w:t>
      </w:r>
    </w:p>
    <w:p>
      <w:pPr>
        <w:pStyle w:val="BodyText"/>
        <w:spacing w:before="119"/>
        <w:ind w:left="179" w:right="1405"/>
        <w:jc w:val="both"/>
      </w:pPr>
      <w:r>
        <w:rPr/>
        <w:t>For the estimation of carbon stock changes, it is </w:t>
      </w:r>
      <w:r>
        <w:rPr>
          <w:i/>
        </w:rPr>
        <w:t>good practice </w:t>
      </w:r>
      <w:r>
        <w:rPr/>
        <w:t>to use the same or a higher tier than is used for estimating emissions from forest conversion in Sections 3.3.2/3.4.2/3.5.2/3.6/3.7.2 (Conversion from forest to any other broad land-use category).</w:t>
      </w:r>
    </w:p>
    <w:p>
      <w:pPr>
        <w:pStyle w:val="BodyText"/>
        <w:spacing w:before="119"/>
        <w:ind w:left="179" w:right="1403"/>
        <w:jc w:val="both"/>
      </w:pPr>
      <w:r>
        <w:rPr/>
        <w:t>Carbon stock changes on lands subject to deforestation activities during the commitment period can be estimated by determining the carbon stocks in all pools prior to and after the deforestation event. Alternatively, the stock changes could be estimated from the carbon transfers out of the forest, e.g., the amount harvested or the fuel consumed in the case of burning. For deforestation events that occur prior to the commitment period, knowledge of pre-deforestation carbon stocks will also be useful for the estimation of post-disturbance carbon dynamics.  For example, estimates of emissions from decay of litter, dead wood, and soil organic carbon pools can be derived from data on pool sizes and decay rates. Information about pre-deforestation carbon stocks can be obtained from forest inventories, aerial photographs, satellite data, by comparison with adjacent remaining forests, or can be reconstructed from stumps where these are remaining on the site. Information on the time since deforestation, on the current vegetation and on management practices on that site is required for the estimation of carbon stock changes and non-CO</w:t>
      </w:r>
      <w:r>
        <w:rPr>
          <w:vertAlign w:val="subscript"/>
        </w:rPr>
        <w:t>2</w:t>
      </w:r>
      <w:r>
        <w:rPr>
          <w:vertAlign w:val="baseline"/>
        </w:rPr>
        <w:t> greenhouse gas</w:t>
      </w:r>
      <w:r>
        <w:rPr>
          <w:spacing w:val="-6"/>
          <w:vertAlign w:val="baseline"/>
        </w:rPr>
        <w:t> </w:t>
      </w:r>
      <w:r>
        <w:rPr>
          <w:vertAlign w:val="baseline"/>
        </w:rPr>
        <w:t>emissions.</w:t>
      </w:r>
    </w:p>
    <w:p>
      <w:pPr>
        <w:pStyle w:val="BodyText"/>
        <w:spacing w:before="117"/>
        <w:ind w:left="179" w:right="1407"/>
        <w:jc w:val="both"/>
      </w:pPr>
      <w:r>
        <w:rPr/>
        <w:t>Where units of land subject to deforestation become land under cropland management or grazing land management, the established methodologies described in relevant sections of this report (Sections 3.3 Cropland,</w:t>
      </w:r>
    </w:p>
    <w:p>
      <w:pPr>
        <w:pStyle w:val="BodyText"/>
        <w:spacing w:before="1"/>
        <w:ind w:left="179" w:right="1402"/>
        <w:jc w:val="both"/>
        <w:rPr>
          <w:i/>
        </w:rPr>
      </w:pPr>
      <w:r>
        <w:rPr/>
        <w:t>3.4 Grassland, 4.2.8 Cropland management, 4.2.9 Grazing land management and 4.2.10 Revegetation) should be used to estimate carbon stocks changes. The estimation of carbon stock changes on lands going to other categories is covered in sections 3.5 to 3.7. Several of these categories may contain little or no carbon, or the change in carbon may be very small. Box 4.2.5 summarises links with methodologies on estimation of carbon stock changes and non-CO</w:t>
      </w:r>
      <w:r>
        <w:rPr>
          <w:vertAlign w:val="subscript"/>
        </w:rPr>
        <w:t>2</w:t>
      </w:r>
      <w:r>
        <w:rPr>
          <w:vertAlign w:val="baseline"/>
        </w:rPr>
        <w:t> emissions in this report and with the </w:t>
      </w:r>
      <w:r>
        <w:rPr>
          <w:i/>
          <w:vertAlign w:val="baseline"/>
        </w:rPr>
        <w:t>IPCC Guidelines.</w:t>
      </w:r>
    </w:p>
    <w:p>
      <w:pPr>
        <w:pStyle w:val="BodyText"/>
        <w:rPr>
          <w:i/>
        </w:rPr>
      </w:pPr>
    </w:p>
    <w:p>
      <w:pPr>
        <w:pStyle w:val="BodyText"/>
        <w:spacing w:before="9"/>
        <w:rPr>
          <w:i/>
          <w:sz w:val="17"/>
        </w:rPr>
      </w:pPr>
      <w:r>
        <w:rPr/>
        <w:pict>
          <v:shape style="position:absolute;margin-left:91.960999pt;margin-top:12.959082pt;width:411.5pt;height:159pt;mso-position-horizontal-relative:page;mso-position-vertical-relative:paragraph;z-index:21824;mso-wrap-distance-left:0;mso-wrap-distance-right:0" type="#_x0000_t202" filled="false" stroked="true" strokeweight="1.44pt" strokecolor="#000000">
            <v:textbox inset="0,0,0,0">
              <w:txbxContent>
                <w:p>
                  <w:pPr>
                    <w:spacing w:before="100"/>
                    <w:ind w:left="67" w:right="68" w:firstLine="0"/>
                    <w:jc w:val="center"/>
                    <w:rPr>
                      <w:b/>
                      <w:sz w:val="18"/>
                    </w:rPr>
                  </w:pPr>
                  <w:r>
                    <w:rPr>
                      <w:b/>
                      <w:sz w:val="18"/>
                    </w:rPr>
                    <w:t>B</w:t>
                  </w:r>
                  <w:r>
                    <w:rPr>
                      <w:b/>
                      <w:sz w:val="14"/>
                    </w:rPr>
                    <w:t>OX </w:t>
                  </w:r>
                  <w:r>
                    <w:rPr>
                      <w:b/>
                      <w:sz w:val="18"/>
                    </w:rPr>
                    <w:t>4.2.5</w:t>
                  </w:r>
                </w:p>
                <w:p>
                  <w:pPr>
                    <w:spacing w:before="122"/>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spacing w:before="113"/>
                    <w:ind w:left="127" w:right="124"/>
                  </w:pPr>
                  <w:r>
                    <w:rPr/>
                    <w:t>Chapter 3 sections on “lands converted to …” (only portion that comes from forest). (Sections 3.3.2, 3.4.2, 3.5.2, 3.6, 3.7.2 and related Appendices).</w:t>
                  </w:r>
                </w:p>
                <w:p>
                  <w:pPr>
                    <w:spacing w:before="125"/>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tabs>
                      <w:tab w:pos="1005" w:val="left" w:leader="none"/>
                    </w:tabs>
                    <w:spacing w:before="113"/>
                    <w:ind w:left="1005" w:right="124" w:hanging="879"/>
                  </w:pPr>
                  <w:r>
                    <w:rPr/>
                    <w:t>5 B</w:t>
                    <w:tab/>
                    <w:t>CO</w:t>
                  </w:r>
                  <w:r>
                    <w:rPr>
                      <w:vertAlign w:val="subscript"/>
                    </w:rPr>
                    <w:t>2</w:t>
                  </w:r>
                  <w:r>
                    <w:rPr>
                      <w:vertAlign w:val="baseline"/>
                    </w:rPr>
                    <w:t> emissions and non-CO</w:t>
                  </w:r>
                  <w:r>
                    <w:rPr>
                      <w:vertAlign w:val="subscript"/>
                    </w:rPr>
                    <w:t>2</w:t>
                  </w:r>
                  <w:r>
                    <w:rPr>
                      <w:vertAlign w:val="baseline"/>
                    </w:rPr>
                    <w:t> emissions from burning and decay of biomass from Forest and grassland conversion (only portion that comes from</w:t>
                  </w:r>
                  <w:r>
                    <w:rPr>
                      <w:spacing w:val="-9"/>
                      <w:vertAlign w:val="baseline"/>
                    </w:rPr>
                    <w:t> </w:t>
                  </w:r>
                  <w:r>
                    <w:rPr>
                      <w:vertAlign w:val="baseline"/>
                    </w:rPr>
                    <w:t>forest)</w:t>
                  </w:r>
                </w:p>
                <w:p>
                  <w:pPr>
                    <w:pStyle w:val="BodyText"/>
                    <w:tabs>
                      <w:tab w:pos="1005" w:val="left" w:leader="none"/>
                    </w:tabs>
                    <w:spacing w:before="121"/>
                    <w:ind w:left="127"/>
                  </w:pPr>
                  <w:r>
                    <w:rPr/>
                    <w:t>5 D</w:t>
                    <w:tab/>
                    <w:t>CO</w:t>
                  </w:r>
                  <w:r>
                    <w:rPr>
                      <w:vertAlign w:val="subscript"/>
                    </w:rPr>
                    <w:t>2</w:t>
                  </w:r>
                  <w:r>
                    <w:rPr>
                      <w:vertAlign w:val="baseline"/>
                    </w:rPr>
                    <w:t> emissions and removals from soils (only D</w:t>
                  </w:r>
                  <w:r>
                    <w:rPr>
                      <w:spacing w:val="-1"/>
                      <w:vertAlign w:val="baseline"/>
                    </w:rPr>
                    <w:t> </w:t>
                  </w:r>
                  <w:r>
                    <w:rPr>
                      <w:vertAlign w:val="baseline"/>
                    </w:rPr>
                    <w:t>portion)</w:t>
                  </w:r>
                </w:p>
                <w:p>
                  <w:pPr>
                    <w:pStyle w:val="BodyText"/>
                    <w:spacing w:before="120"/>
                    <w:ind w:left="127" w:right="124"/>
                  </w:pPr>
                  <w:r>
                    <w:rPr/>
                    <w:t>The default methodologies in </w:t>
                  </w:r>
                  <w:r>
                    <w:rPr>
                      <w:i/>
                    </w:rPr>
                    <w:t>IPCC Guidelines </w:t>
                  </w:r>
                  <w:r>
                    <w:rPr/>
                    <w:t>do not cover belowground biomass and dead organic matter.</w:t>
                  </w:r>
                </w:p>
              </w:txbxContent>
            </v:textbox>
            <v:stroke dashstyle="solid"/>
            <w10:wrap type="topAndBottom"/>
          </v:shape>
        </w:pic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3"/>
        <w:rPr>
          <w:i/>
          <w:sz w:val="27"/>
        </w:rPr>
      </w:pPr>
      <w:r>
        <w:rPr/>
        <w:pict>
          <v:line style="position:absolute;mso-position-horizontal-relative:page;mso-position-vertical-relative:paragraph;z-index:21848;mso-wrap-distance-left:0;mso-wrap-distance-right:0" from="70.960999pt,17.887812pt" to="214.960999pt,17.887812pt" stroked="true" strokeweight=".48pt" strokecolor="#000000">
            <v:stroke dashstyle="solid"/>
            <w10:wrap type="topAndBottom"/>
          </v:line>
        </w:pict>
      </w:r>
    </w:p>
    <w:p>
      <w:pPr>
        <w:spacing w:before="153"/>
        <w:ind w:left="179" w:right="0" w:firstLine="0"/>
        <w:jc w:val="left"/>
        <w:rPr>
          <w:sz w:val="18"/>
        </w:rPr>
      </w:pPr>
      <w:r>
        <w:rPr>
          <w:position w:val="8"/>
          <w:sz w:val="12"/>
        </w:rPr>
        <w:t>49 </w:t>
      </w:r>
      <w:r>
        <w:rPr>
          <w:sz w:val="18"/>
        </w:rPr>
        <w:t>Except for Parties that fall under the provisions of the last sentence of Article 3.7.</w:t>
      </w:r>
    </w:p>
    <w:p>
      <w:pPr>
        <w:spacing w:after="0"/>
        <w:jc w:val="left"/>
        <w:rPr>
          <w:sz w:val="18"/>
        </w:rPr>
        <w:sectPr>
          <w:pgSz w:w="11900" w:h="16840"/>
          <w:pgMar w:header="230" w:footer="408" w:top="560" w:bottom="600" w:left="1240" w:right="0"/>
        </w:sectPr>
      </w:pPr>
    </w:p>
    <w:p>
      <w:pPr>
        <w:pStyle w:val="BodyText"/>
      </w:pPr>
    </w:p>
    <w:p>
      <w:pPr>
        <w:pStyle w:val="BodyText"/>
      </w:pPr>
    </w:p>
    <w:p>
      <w:pPr>
        <w:pStyle w:val="BodyText"/>
        <w:spacing w:before="6"/>
        <w:rPr>
          <w:sz w:val="22"/>
        </w:rPr>
      </w:pPr>
    </w:p>
    <w:p>
      <w:pPr>
        <w:pStyle w:val="Heading2"/>
        <w:numPr>
          <w:ilvl w:val="2"/>
          <w:numId w:val="160"/>
        </w:numPr>
        <w:tabs>
          <w:tab w:pos="1382" w:val="left" w:leader="none"/>
        </w:tabs>
        <w:spacing w:line="240" w:lineRule="auto" w:before="86" w:after="0"/>
        <w:ind w:left="1381" w:right="0" w:hanging="1202"/>
        <w:jc w:val="both"/>
      </w:pPr>
      <w:r>
        <w:rPr>
          <w:spacing w:val="8"/>
        </w:rPr>
        <w:t>Forest</w:t>
      </w:r>
      <w:r>
        <w:rPr>
          <w:spacing w:val="17"/>
        </w:rPr>
        <w:t> </w:t>
      </w:r>
      <w:r>
        <w:rPr>
          <w:spacing w:val="9"/>
        </w:rPr>
        <w:t>Management</w:t>
      </w:r>
    </w:p>
    <w:p>
      <w:pPr>
        <w:pStyle w:val="BodyText"/>
        <w:spacing w:before="116"/>
        <w:ind w:left="179" w:right="1406"/>
        <w:jc w:val="both"/>
      </w:pPr>
      <w:r>
        <w:rPr/>
        <w:t>This section addresses specific methods for the identification of areas subject to forest management and the calculation of carbon stock changes and non-CO</w:t>
      </w:r>
      <w:r>
        <w:rPr>
          <w:vertAlign w:val="subscript"/>
        </w:rPr>
        <w:t>2</w:t>
      </w:r>
      <w:r>
        <w:rPr>
          <w:vertAlign w:val="baseline"/>
        </w:rPr>
        <w:t> greenhouse gas emissions for these areas. This section should be read in conjunction with the general discussion in Sections 4.2.2 to 4.2.4.</w:t>
      </w:r>
    </w:p>
    <w:p>
      <w:pPr>
        <w:pStyle w:val="BodyText"/>
        <w:rPr>
          <w:sz w:val="22"/>
        </w:rPr>
      </w:pPr>
    </w:p>
    <w:p>
      <w:pPr>
        <w:pStyle w:val="Heading6"/>
        <w:numPr>
          <w:ilvl w:val="3"/>
          <w:numId w:val="160"/>
        </w:numPr>
        <w:tabs>
          <w:tab w:pos="1620" w:val="left" w:leader="none"/>
        </w:tabs>
        <w:spacing w:line="240" w:lineRule="auto" w:before="146" w:after="0"/>
        <w:ind w:left="1619" w:right="0" w:hanging="1440"/>
        <w:jc w:val="both"/>
      </w:pPr>
      <w:r>
        <w:rPr>
          <w:spacing w:val="17"/>
          <w:sz w:val="28"/>
        </w:rPr>
        <w:t>D</w:t>
      </w:r>
      <w:r>
        <w:rPr>
          <w:spacing w:val="17"/>
        </w:rPr>
        <w:t>EFINITIONAL </w:t>
      </w:r>
      <w:r>
        <w:rPr>
          <w:spacing w:val="15"/>
        </w:rPr>
        <w:t>ISSUES </w:t>
      </w:r>
      <w:r>
        <w:rPr>
          <w:spacing w:val="12"/>
        </w:rPr>
        <w:t>AND </w:t>
      </w:r>
      <w:r>
        <w:rPr>
          <w:spacing w:val="17"/>
        </w:rPr>
        <w:t>REPORTING</w:t>
      </w:r>
      <w:r>
        <w:rPr>
          <w:spacing w:val="-19"/>
        </w:rPr>
        <w:t> </w:t>
      </w:r>
      <w:r>
        <w:rPr>
          <w:spacing w:val="17"/>
        </w:rPr>
        <w:t>REQUIREMENTS</w:t>
      </w:r>
    </w:p>
    <w:p>
      <w:pPr>
        <w:spacing w:before="209"/>
        <w:ind w:left="179" w:right="1400" w:firstLine="0"/>
        <w:jc w:val="both"/>
        <w:rPr>
          <w:sz w:val="20"/>
        </w:rPr>
      </w:pPr>
      <w:r>
        <w:rPr>
          <w:sz w:val="20"/>
        </w:rPr>
        <w:t>Under the Marrakesh Accords, “Forest Management” is defined as “</w:t>
      </w:r>
      <w:r>
        <w:rPr>
          <w:i/>
          <w:sz w:val="20"/>
        </w:rPr>
        <w:t>a system of practices for stewardship and use of forest land aimed at fulfilling relevant ecological (including biological diversity), economic and social functions of the forest in a sustainable manner</w:t>
      </w:r>
      <w:r>
        <w:rPr>
          <w:sz w:val="20"/>
        </w:rPr>
        <w:t>”</w:t>
      </w:r>
      <w:r>
        <w:rPr>
          <w:sz w:val="20"/>
          <w:vertAlign w:val="superscript"/>
        </w:rPr>
        <w:t>50</w:t>
      </w:r>
      <w:r>
        <w:rPr>
          <w:sz w:val="20"/>
          <w:vertAlign w:val="baseline"/>
        </w:rPr>
        <w:t>. It includes both natural forests and plantations meeting the forest definition in the Marrakesh Accords with the parameter values for forests that have been selected and reported by the Party. Parties must decide by 31 December 2006 whether to include forest management in their national accounts and document their choices in the submission to the UNFCCC</w:t>
      </w:r>
      <w:r>
        <w:rPr>
          <w:spacing w:val="-14"/>
          <w:sz w:val="20"/>
          <w:vertAlign w:val="baseline"/>
        </w:rPr>
        <w:t> </w:t>
      </w:r>
      <w:r>
        <w:rPr>
          <w:sz w:val="20"/>
          <w:vertAlign w:val="baseline"/>
        </w:rPr>
        <w:t>Secretariat.</w:t>
      </w:r>
    </w:p>
    <w:p>
      <w:pPr>
        <w:pStyle w:val="BodyText"/>
        <w:spacing w:before="120"/>
        <w:ind w:left="179" w:right="1357"/>
        <w:jc w:val="both"/>
      </w:pPr>
      <w:r>
        <w:rPr/>
        <w:t>There are two approaches conceivable that countries could choose to interpret the definition of forest management. In the narrow approach, a country would define a system of specific practices that could include stand-level forest management activities, such as site preparation, planting, thinning, fertilization, and harvesting, as well as landscape-level activities such as fire suppression and protection against insects, undertaken since 1990. In this approach the area subject to forest management might increase over time as the specific practices are implemented on new areas. In the broad approach, a country would define a system of forest management practices (without the requirement that a specified forest management practice has occurred on each land), and identify</w:t>
      </w:r>
      <w:r>
        <w:rPr>
          <w:spacing w:val="-6"/>
        </w:rPr>
        <w:t> </w:t>
      </w:r>
      <w:r>
        <w:rPr/>
        <w:t>the</w:t>
      </w:r>
      <w:r>
        <w:rPr>
          <w:spacing w:val="-2"/>
        </w:rPr>
        <w:t> </w:t>
      </w:r>
      <w:r>
        <w:rPr/>
        <w:t>area</w:t>
      </w:r>
      <w:r>
        <w:rPr>
          <w:spacing w:val="-2"/>
        </w:rPr>
        <w:t> </w:t>
      </w:r>
      <w:r>
        <w:rPr/>
        <w:t>that</w:t>
      </w:r>
      <w:r>
        <w:rPr>
          <w:spacing w:val="-2"/>
        </w:rPr>
        <w:t> </w:t>
      </w:r>
      <w:r>
        <w:rPr/>
        <w:t>is</w:t>
      </w:r>
      <w:r>
        <w:rPr>
          <w:spacing w:val="-2"/>
        </w:rPr>
        <w:t> </w:t>
      </w:r>
      <w:r>
        <w:rPr/>
        <w:t>subject</w:t>
      </w:r>
      <w:r>
        <w:rPr>
          <w:spacing w:val="-2"/>
        </w:rPr>
        <w:t> </w:t>
      </w:r>
      <w:r>
        <w:rPr/>
        <w:t>to</w:t>
      </w:r>
      <w:r>
        <w:rPr>
          <w:spacing w:val="-2"/>
        </w:rPr>
        <w:t> </w:t>
      </w:r>
      <w:r>
        <w:rPr/>
        <w:t>this</w:t>
      </w:r>
      <w:r>
        <w:rPr>
          <w:spacing w:val="-3"/>
        </w:rPr>
        <w:t> </w:t>
      </w:r>
      <w:r>
        <w:rPr/>
        <w:t>system</w:t>
      </w:r>
      <w:r>
        <w:rPr>
          <w:spacing w:val="-3"/>
        </w:rPr>
        <w:t> </w:t>
      </w:r>
      <w:r>
        <w:rPr/>
        <w:t>of</w:t>
      </w:r>
      <w:r>
        <w:rPr>
          <w:spacing w:val="-3"/>
        </w:rPr>
        <w:t> </w:t>
      </w:r>
      <w:r>
        <w:rPr/>
        <w:t>practices</w:t>
      </w:r>
      <w:r>
        <w:rPr>
          <w:spacing w:val="-3"/>
        </w:rPr>
        <w:t> </w:t>
      </w:r>
      <w:r>
        <w:rPr/>
        <w:t>during</w:t>
      </w:r>
      <w:r>
        <w:rPr>
          <w:spacing w:val="-3"/>
        </w:rPr>
        <w:t> </w:t>
      </w:r>
      <w:r>
        <w:rPr/>
        <w:t>the</w:t>
      </w:r>
      <w:r>
        <w:rPr>
          <w:spacing w:val="-2"/>
        </w:rPr>
        <w:t> </w:t>
      </w:r>
      <w:r>
        <w:rPr/>
        <w:t>inventory</w:t>
      </w:r>
      <w:r>
        <w:rPr>
          <w:spacing w:val="-2"/>
        </w:rPr>
        <w:t> </w:t>
      </w:r>
      <w:r>
        <w:rPr/>
        <w:t>year</w:t>
      </w:r>
      <w:r>
        <w:rPr>
          <w:spacing w:val="-2"/>
        </w:rPr>
        <w:t> </w:t>
      </w:r>
      <w:r>
        <w:rPr/>
        <w:t>of</w:t>
      </w:r>
      <w:r>
        <w:rPr>
          <w:spacing w:val="-4"/>
        </w:rPr>
        <w:t> </w:t>
      </w:r>
      <w:r>
        <w:rPr/>
        <w:t>the</w:t>
      </w:r>
      <w:r>
        <w:rPr>
          <w:spacing w:val="-2"/>
        </w:rPr>
        <w:t> </w:t>
      </w:r>
      <w:r>
        <w:rPr/>
        <w:t>commitment</w:t>
      </w:r>
      <w:r>
        <w:rPr>
          <w:spacing w:val="-2"/>
        </w:rPr>
        <w:t> </w:t>
      </w:r>
      <w:r>
        <w:rPr/>
        <w:t>period.</w:t>
      </w:r>
      <w:r>
        <w:rPr>
          <w:spacing w:val="-3"/>
        </w:rPr>
        <w:t> </w:t>
      </w:r>
      <w:r>
        <w:rPr>
          <w:vertAlign w:val="superscript"/>
        </w:rPr>
        <w:t>51</w:t>
      </w:r>
    </w:p>
    <w:p>
      <w:pPr>
        <w:pStyle w:val="BodyText"/>
        <w:spacing w:before="119"/>
        <w:ind w:left="179" w:right="1408"/>
        <w:jc w:val="both"/>
      </w:pPr>
      <w:r>
        <w:rPr/>
        <w:t>Section 4.2.2 (Generic methodologies for area identification, stratification and reporting) explains that the geographical location of the boundaries of the areas containing land subject to forest management activities need to be defined and reported. Two reporting methods are outlined in Section 4.2.2.2.</w:t>
      </w:r>
    </w:p>
    <w:p>
      <w:pPr>
        <w:pStyle w:val="BodyText"/>
        <w:spacing w:before="118"/>
        <w:ind w:left="179" w:right="1406"/>
        <w:jc w:val="both"/>
      </w:pPr>
      <w:r>
        <w:rPr/>
        <w:t>In Reporting Method 1 a boundary may encompass multiple forest management lands and other kinds of land use such as agriculture or unmanaged forests. Any estimates of carbon stock changes resulting from forest management are for the forest management areas only. In Reporting Method 2, a boundary defines 100% forest management land without other kinds of land-use. In Reporting Method 2, a Party identifies the geographic boundary of all lands subject to forest management throughout the</w:t>
      </w:r>
      <w:r>
        <w:rPr>
          <w:spacing w:val="-9"/>
        </w:rPr>
        <w:t> </w:t>
      </w:r>
      <w:r>
        <w:rPr/>
        <w:t>country.</w:t>
      </w:r>
    </w:p>
    <w:p>
      <w:pPr>
        <w:pStyle w:val="BodyText"/>
        <w:spacing w:before="120"/>
        <w:ind w:left="179" w:right="1404"/>
        <w:jc w:val="both"/>
      </w:pPr>
      <w:r>
        <w:rPr/>
        <w:t>The Marrakesh Accords also specify that lands subject to forest management (Article 3.4) that are also subject to Article 3.3 activities (in this case only afforestation and reforestation) be reported separately from those lands that are subject to forest management</w:t>
      </w:r>
      <w:r>
        <w:rPr>
          <w:spacing w:val="-2"/>
        </w:rPr>
        <w:t> </w:t>
      </w:r>
      <w:r>
        <w:rPr/>
        <w:t>only.</w:t>
      </w:r>
    </w:p>
    <w:p>
      <w:pPr>
        <w:pStyle w:val="BodyText"/>
        <w:rPr>
          <w:sz w:val="22"/>
        </w:rPr>
      </w:pPr>
    </w:p>
    <w:p>
      <w:pPr>
        <w:pStyle w:val="Heading6"/>
        <w:numPr>
          <w:ilvl w:val="3"/>
          <w:numId w:val="160"/>
        </w:numPr>
        <w:tabs>
          <w:tab w:pos="1619" w:val="left" w:leader="none"/>
          <w:tab w:pos="1620" w:val="left" w:leader="none"/>
        </w:tabs>
        <w:spacing w:line="280" w:lineRule="auto" w:before="144" w:after="0"/>
        <w:ind w:left="1619" w:right="1729" w:hanging="1440"/>
        <w:jc w:val="left"/>
      </w:pPr>
      <w:r>
        <w:rPr>
          <w:spacing w:val="15"/>
          <w:sz w:val="28"/>
        </w:rPr>
        <w:t>C</w:t>
      </w:r>
      <w:r>
        <w:rPr>
          <w:spacing w:val="15"/>
        </w:rPr>
        <w:t>HOICE </w:t>
      </w:r>
      <w:r>
        <w:rPr>
          <w:spacing w:val="10"/>
        </w:rPr>
        <w:t>OF </w:t>
      </w:r>
      <w:r>
        <w:rPr>
          <w:spacing w:val="16"/>
        </w:rPr>
        <w:t>METHODS </w:t>
      </w:r>
      <w:r>
        <w:rPr>
          <w:spacing w:val="13"/>
        </w:rPr>
        <w:t>FOR </w:t>
      </w:r>
      <w:r>
        <w:rPr>
          <w:spacing w:val="17"/>
        </w:rPr>
        <w:t>IDENTIFYING </w:t>
      </w:r>
      <w:r>
        <w:rPr>
          <w:spacing w:val="15"/>
        </w:rPr>
        <w:t>LANDS </w:t>
      </w:r>
      <w:r>
        <w:rPr>
          <w:spacing w:val="16"/>
        </w:rPr>
        <w:t>SUBJECT </w:t>
      </w:r>
      <w:r>
        <w:rPr>
          <w:spacing w:val="9"/>
        </w:rPr>
        <w:t>TO </w:t>
      </w:r>
      <w:r>
        <w:rPr>
          <w:spacing w:val="15"/>
        </w:rPr>
        <w:t>FOREST</w:t>
      </w:r>
      <w:r>
        <w:rPr>
          <w:spacing w:val="3"/>
        </w:rPr>
        <w:t> </w:t>
      </w:r>
      <w:r>
        <w:rPr>
          <w:spacing w:val="19"/>
        </w:rPr>
        <w:t>MANAGEMENT</w:t>
      </w:r>
    </w:p>
    <w:p>
      <w:pPr>
        <w:pStyle w:val="BodyText"/>
        <w:spacing w:before="182"/>
        <w:ind w:left="179" w:right="1403"/>
        <w:jc w:val="both"/>
      </w:pPr>
      <w:r>
        <w:rPr/>
        <w:t>Land subject to “Forest Management” as defined by the Marrakesh Accords is not necessarily the same area as “managed forests” in the context of the </w:t>
      </w:r>
      <w:r>
        <w:rPr>
          <w:i/>
        </w:rPr>
        <w:t>IPCC Guidelines </w:t>
      </w:r>
      <w:r>
        <w:rPr/>
        <w:t>used for UNFCCC reporting. The latter includes all forests under direct human influence, including forests that may not meet the requirements of the Marrakesh Accords. Most of the forest area that is subject to forest management under Article 3.4 of the Kyoto Protocol would also be included in the area of “managed forests” of a Party. The relationships are summarized in Figure 4.2.7.</w: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4"/>
        </w:rPr>
      </w:pPr>
      <w:r>
        <w:rPr/>
        <w:pict>
          <v:line style="position:absolute;mso-position-horizontal-relative:page;mso-position-vertical-relative:paragraph;z-index:21872;mso-wrap-distance-left:0;mso-wrap-distance-right:0" from="70.960999pt,10.567524pt" to="214.960999pt,10.567524pt" stroked="true" strokeweight=".48pt" strokecolor="#000000">
            <v:stroke dashstyle="solid"/>
            <w10:wrap type="topAndBottom"/>
          </v:line>
        </w:pict>
      </w:r>
    </w:p>
    <w:p>
      <w:pPr>
        <w:spacing w:before="153"/>
        <w:ind w:left="337" w:right="1403" w:hanging="159"/>
        <w:jc w:val="both"/>
        <w:rPr>
          <w:sz w:val="18"/>
        </w:rPr>
      </w:pPr>
      <w:r>
        <w:rPr>
          <w:position w:val="8"/>
          <w:sz w:val="12"/>
        </w:rPr>
        <w:t>50 </w:t>
      </w:r>
      <w:r>
        <w:rPr>
          <w:sz w:val="18"/>
        </w:rPr>
        <w:t>See paragraph 1 (f) in the Annex to draft decision -/CMP.1 (Land use, land-use change and forestry), contained in document FCCC/CP/2001/13/Add.1,</w:t>
      </w:r>
      <w:r>
        <w:rPr>
          <w:spacing w:val="-3"/>
          <w:sz w:val="18"/>
        </w:rPr>
        <w:t> </w:t>
      </w:r>
      <w:r>
        <w:rPr>
          <w:sz w:val="18"/>
        </w:rPr>
        <w:t>p.58.</w:t>
      </w:r>
    </w:p>
    <w:p>
      <w:pPr>
        <w:spacing w:before="95"/>
        <w:ind w:left="337" w:right="1401" w:hanging="159"/>
        <w:jc w:val="both"/>
        <w:rPr>
          <w:sz w:val="18"/>
        </w:rPr>
      </w:pPr>
      <w:r>
        <w:rPr>
          <w:position w:val="8"/>
          <w:sz w:val="12"/>
        </w:rPr>
        <w:t>51 </w:t>
      </w:r>
      <w:r>
        <w:rPr>
          <w:sz w:val="18"/>
        </w:rPr>
        <w:t>In practice, the two approaches could lead to very similar results. For example, if the narrow approach includes landscape- level activities such as fire suppression, then the area subject to these and other forest management activities could be the same as the one resulting from the application of the broad approach.</w:t>
      </w:r>
    </w:p>
    <w:p>
      <w:pPr>
        <w:spacing w:after="0"/>
        <w:jc w:val="both"/>
        <w:rPr>
          <w:sz w:val="18"/>
        </w:rPr>
        <w:sectPr>
          <w:pgSz w:w="11900" w:h="16840"/>
          <w:pgMar w:header="230" w:footer="408" w:top="560" w:bottom="600" w:left="1240" w:right="0"/>
        </w:sectPr>
      </w:pPr>
    </w:p>
    <w:p>
      <w:pPr>
        <w:pStyle w:val="BodyText"/>
      </w:pPr>
    </w:p>
    <w:p>
      <w:pPr>
        <w:pStyle w:val="BodyText"/>
        <w:rPr>
          <w:sz w:val="19"/>
        </w:rPr>
      </w:pPr>
    </w:p>
    <w:p>
      <w:pPr>
        <w:tabs>
          <w:tab w:pos="1880" w:val="left" w:leader="none"/>
        </w:tabs>
        <w:spacing w:before="91"/>
        <w:ind w:left="179" w:right="0" w:firstLine="0"/>
        <w:jc w:val="both"/>
        <w:rPr>
          <w:b/>
          <w:sz w:val="20"/>
        </w:rPr>
      </w:pPr>
      <w:r>
        <w:rPr>
          <w:b/>
          <w:spacing w:val="8"/>
          <w:sz w:val="20"/>
        </w:rPr>
        <w:t>Figure</w:t>
      </w:r>
      <w:r>
        <w:rPr>
          <w:b/>
          <w:spacing w:val="19"/>
          <w:sz w:val="20"/>
        </w:rPr>
        <w:t> </w:t>
      </w:r>
      <w:r>
        <w:rPr>
          <w:b/>
          <w:spacing w:val="8"/>
          <w:sz w:val="20"/>
        </w:rPr>
        <w:t>4.2.7</w:t>
        <w:tab/>
      </w:r>
      <w:r>
        <w:rPr>
          <w:b/>
          <w:spacing w:val="9"/>
          <w:sz w:val="20"/>
        </w:rPr>
        <w:t>Relationship</w:t>
      </w:r>
      <w:r>
        <w:rPr>
          <w:b/>
          <w:spacing w:val="22"/>
          <w:sz w:val="20"/>
        </w:rPr>
        <w:t> </w:t>
      </w:r>
      <w:r>
        <w:rPr>
          <w:b/>
          <w:spacing w:val="8"/>
          <w:sz w:val="20"/>
        </w:rPr>
        <w:t>between</w:t>
      </w:r>
      <w:r>
        <w:rPr>
          <w:b/>
          <w:spacing w:val="19"/>
          <w:sz w:val="20"/>
        </w:rPr>
        <w:t> </w:t>
      </w:r>
      <w:r>
        <w:rPr>
          <w:b/>
          <w:spacing w:val="9"/>
          <w:sz w:val="20"/>
        </w:rPr>
        <w:t>different</w:t>
      </w:r>
      <w:r>
        <w:rPr>
          <w:b/>
          <w:spacing w:val="20"/>
          <w:sz w:val="20"/>
        </w:rPr>
        <w:t> </w:t>
      </w:r>
      <w:r>
        <w:rPr>
          <w:b/>
          <w:spacing w:val="8"/>
          <w:sz w:val="20"/>
        </w:rPr>
        <w:t>forest</w:t>
      </w:r>
      <w:r>
        <w:rPr>
          <w:b/>
          <w:spacing w:val="20"/>
          <w:sz w:val="20"/>
        </w:rPr>
        <w:t> </w:t>
      </w:r>
      <w:r>
        <w:rPr>
          <w:b/>
          <w:spacing w:val="9"/>
          <w:sz w:val="20"/>
        </w:rPr>
        <w:t>categories.</w:t>
      </w:r>
      <w:r>
        <w:rPr>
          <w:b/>
          <w:spacing w:val="20"/>
          <w:sz w:val="20"/>
        </w:rPr>
        <w:t> </w:t>
      </w:r>
      <w:r>
        <w:rPr>
          <w:b/>
          <w:spacing w:val="7"/>
          <w:sz w:val="20"/>
        </w:rPr>
        <w:t>Some</w:t>
      </w:r>
      <w:r>
        <w:rPr>
          <w:b/>
          <w:spacing w:val="20"/>
          <w:sz w:val="20"/>
        </w:rPr>
        <w:t> </w:t>
      </w:r>
      <w:r>
        <w:rPr>
          <w:b/>
          <w:spacing w:val="5"/>
          <w:sz w:val="20"/>
        </w:rPr>
        <w:t>of</w:t>
      </w:r>
      <w:r>
        <w:rPr>
          <w:b/>
          <w:spacing w:val="19"/>
          <w:sz w:val="20"/>
        </w:rPr>
        <w:t> </w:t>
      </w:r>
      <w:r>
        <w:rPr>
          <w:b/>
          <w:spacing w:val="8"/>
          <w:sz w:val="20"/>
        </w:rPr>
        <w:t>these</w:t>
      </w:r>
      <w:r>
        <w:rPr>
          <w:b/>
          <w:spacing w:val="20"/>
          <w:sz w:val="20"/>
        </w:rPr>
        <w:t> </w:t>
      </w:r>
      <w:r>
        <w:rPr>
          <w:b/>
          <w:spacing w:val="8"/>
          <w:sz w:val="20"/>
        </w:rPr>
        <w:t>lands</w:t>
      </w:r>
      <w:r>
        <w:rPr>
          <w:b/>
          <w:spacing w:val="23"/>
          <w:sz w:val="20"/>
        </w:rPr>
        <w:t> </w:t>
      </w:r>
      <w:r>
        <w:rPr>
          <w:b/>
          <w:spacing w:val="8"/>
          <w:sz w:val="20"/>
        </w:rPr>
        <w:t>may</w:t>
      </w:r>
    </w:p>
    <w:p>
      <w:pPr>
        <w:spacing w:before="1"/>
        <w:ind w:left="1880" w:right="1552" w:firstLine="0"/>
        <w:jc w:val="both"/>
        <w:rPr>
          <w:b/>
          <w:sz w:val="20"/>
        </w:rPr>
      </w:pPr>
      <w:r>
        <w:rPr>
          <w:b/>
          <w:sz w:val="20"/>
        </w:rPr>
        <w:t>also be subject to activities under Article 3.3 (afforestation or reforestation) as outlined in Figure 4.1.1. Thick arrows indicate where the majority of the area included in a particular category for UNFCCC reporting is likely to be included for Kyoto Protocol reporting. See Sections 4.2.7 and 4.2.7.1 for</w:t>
      </w:r>
    </w:p>
    <w:p>
      <w:pPr>
        <w:spacing w:before="2"/>
        <w:ind w:left="1880" w:right="0" w:firstLine="0"/>
        <w:jc w:val="left"/>
        <w:rPr>
          <w:b/>
          <w:sz w:val="20"/>
        </w:rPr>
      </w:pPr>
      <w:r>
        <w:rPr>
          <w:b/>
          <w:sz w:val="20"/>
        </w:rPr>
        <w:t>further explanations.</w:t>
      </w:r>
    </w:p>
    <w:p>
      <w:pPr>
        <w:pStyle w:val="BodyText"/>
        <w:rPr>
          <w:b/>
        </w:rPr>
      </w:pPr>
    </w:p>
    <w:p>
      <w:pPr>
        <w:pStyle w:val="BodyText"/>
        <w:spacing w:before="5"/>
        <w:rPr>
          <w:b/>
          <w:sz w:val="22"/>
        </w:rPr>
      </w:pPr>
      <w:r>
        <w:rPr/>
        <w:pict>
          <v:group style="position:absolute;margin-left:80.066002pt;margin-top:14.85874pt;width:435.15pt;height:218pt;mso-position-horizontal-relative:page;mso-position-vertical-relative:paragraph;z-index:22112;mso-wrap-distance-left:0;mso-wrap-distance-right:0" coordorigin="1601,297" coordsize="8703,4360">
            <v:shape style="position:absolute;left:4097;top:808;width:1580;height:168" coordorigin="4098,809" coordsize="1580,168" path="m5677,809l5677,975,4098,977e" filled="false" stroked="true" strokeweight=".75pt" strokecolor="#010101">
              <v:path arrowok="t"/>
              <v:stroke dashstyle="solid"/>
            </v:shape>
            <v:line style="position:absolute" from="5677,975" to="7098,975" stroked="true" strokeweight=".75pt" strokecolor="#010101">
              <v:stroke dashstyle="solid"/>
            </v:line>
            <v:shape style="position:absolute;left:4040;top:967;width:120;height:176" type="#_x0000_t75" stroked="false">
              <v:imagedata r:id="rId362" o:title=""/>
            </v:shape>
            <v:shape style="position:absolute;left:7037;top:967;width:120;height:176" type="#_x0000_t75" stroked="false">
              <v:imagedata r:id="rId363" o:title=""/>
            </v:shape>
            <v:shape style="position:absolute;left:4088;top:1639;width:965;height:843" coordorigin="4088,1639" coordsize="965,843" path="m4983,2362l4933,2362,4993,2482,5040,2388,4988,2388,4983,2386,4983,2362xm4983,1983l4983,2386,4988,2388,4995,2388,5000,2386,5000,1990,4993,1990,4983,1983xm5053,2362l5000,2362,5000,2386,4995,2388,5040,2388,5053,2362xm4100,1639l4090,1639,4088,1642,4088,1987,4090,1990,4983,1990,4983,1983,4102,1983,4095,1975,4102,1975,4102,1642,4100,1639xm4995,1975l4102,1975,4102,1983,4983,1983,4993,1990,5000,1990,5000,1978,4995,1975xm4102,1975l4095,1975,4102,1983,4102,1975xe" filled="true" fillcolor="#010101" stroked="false">
              <v:path arrowok="t"/>
              <v:fill type="solid"/>
            </v:shape>
            <v:shape style="position:absolute;left:3104;top:1641;width:1018;height:836" coordorigin="3104,1642" coordsize="1018,836" path="m3164,2297l3104,2297,3195,2477,3270,2326,3164,2326,3164,2297xm4062,1949l3164,1949,3164,2326,3224,2326,3224,2009,3195,2009,3224,1978,4062,1978,4062,1949xm3284,2297l3224,2297,3224,2326,3270,2326,3284,2297xm3224,1978l3195,2009,3224,2009,3224,1978xm4122,1949l4090,1949,4062,1978,3224,1978,3224,2009,4122,2009,4122,1949xm4122,1642l4062,1642,4062,1978,4090,1949,4122,1949,4122,1642xe" filled="true" fillcolor="#010101" stroked="false">
              <v:path arrowok="t"/>
              <v:fill type="solid"/>
            </v:shape>
            <v:shape style="position:absolute;left:7023;top:1634;width:963;height:843" coordorigin="7023,1635" coordsize="963,843" path="m7918,2357l7866,2357,7926,2477,7972,2383,7923,2383,7918,2381,7918,2357xm7918,1978l7918,2381,7923,2383,7930,2383,7935,2381,7935,1985,7926,1985,7918,1978xm7986,2357l7935,2357,7935,2381,7930,2383,7972,2383,7986,2357xm7035,1635l7026,1635,7023,1637,7023,1983,7026,1985,7918,1985,7918,1978,7038,1978,7030,1971,7038,1971,7038,1637,7035,1635xm7930,1971l7038,1971,7038,1978,7918,1978,7926,1985,7935,1985,7935,1973,7930,1971xm7038,1971l7030,1971,7038,1978,7038,1971xe" filled="true" fillcolor="#010101" stroked="false">
              <v:path arrowok="t"/>
              <v:fill type="solid"/>
            </v:shape>
            <v:shape style="position:absolute;left:6041;top:1636;width:1016;height:836" coordorigin="6042,1637" coordsize="1016,836" path="m6102,2292l6042,2292,6130,2472,6206,2323,6102,2323,6102,2292xm6997,1944l6102,1944,6102,2323,6162,2323,6162,2004,6130,2004,6162,1973,6997,1973,6997,1944xm6222,2292l6162,2292,6162,2323,6206,2323,6222,2292xm6162,1973l6130,2004,6162,2004,6162,1973xm7057,1944l7026,1944,6997,1973,6162,1973,6162,2004,7057,2004,7057,1944xm7057,1637l6997,1637,6997,1973,7026,1944,7057,1944,7057,1637xe" filled="true" fillcolor="#010101" stroked="false">
              <v:path arrowok="t"/>
              <v:fill type="solid"/>
            </v:shape>
            <v:rect style="position:absolute;left:1608;top:897;width:8688;height:934" filled="false" stroked="true" strokeweight=".75pt" strokecolor="#010101">
              <v:stroke dashstyle="solid"/>
            </v:rect>
            <v:shape style="position:absolute;left:8319;top:1037;width:1657;height:221" type="#_x0000_t202" filled="false" stroked="false">
              <v:textbox inset="0,0,0,0">
                <w:txbxContent>
                  <w:p>
                    <w:pPr>
                      <w:spacing w:line="221" w:lineRule="exact" w:before="0"/>
                      <w:ind w:left="0" w:right="0" w:firstLine="0"/>
                      <w:jc w:val="left"/>
                      <w:rPr>
                        <w:rFonts w:ascii="TimesNewRomanPS-BoldItalicMT"/>
                        <w:b/>
                        <w:i/>
                        <w:sz w:val="20"/>
                      </w:rPr>
                    </w:pPr>
                    <w:r>
                      <w:rPr>
                        <w:rFonts w:ascii="TimesNewRomanPS-BoldItalicMT"/>
                        <w:b/>
                        <w:i/>
                        <w:sz w:val="20"/>
                      </w:rPr>
                      <w:t>UNFCCC reporting</w:t>
                    </w:r>
                  </w:p>
                </w:txbxContent>
              </v:textbox>
              <w10:wrap type="none"/>
            </v:shape>
            <v:shape style="position:absolute;left:4572;top:312;width:2052;height:497" type="#_x0000_t202" filled="false" stroked="true" strokeweight="1.5pt" strokecolor="#010101">
              <v:textbox inset="0,0,0,0">
                <w:txbxContent>
                  <w:p>
                    <w:pPr>
                      <w:spacing w:before="133"/>
                      <w:ind w:left="212" w:right="0" w:firstLine="0"/>
                      <w:jc w:val="left"/>
                      <w:rPr>
                        <w:b/>
                        <w:sz w:val="16"/>
                      </w:rPr>
                    </w:pPr>
                    <w:r>
                      <w:rPr>
                        <w:b/>
                        <w:sz w:val="16"/>
                      </w:rPr>
                      <w:t>ALL FOREST LANDS</w:t>
                    </w:r>
                  </w:p>
                </w:txbxContent>
              </v:textbox>
              <v:stroke dashstyle="solid"/>
              <w10:wrap type="none"/>
            </v:shape>
            <v:shape style="position:absolute;left:1608;top:2116;width:8688;height:2532" type="#_x0000_t202" filled="false" stroked="true" strokeweight=".75pt" strokecolor="#010101">
              <v:textbox inset="0,0,0,0">
                <w:txbxContent>
                  <w:p>
                    <w:pPr>
                      <w:spacing w:before="65"/>
                      <w:ind w:left="0" w:right="350" w:firstLine="0"/>
                      <w:jc w:val="right"/>
                      <w:rPr>
                        <w:rFonts w:ascii="TimesNewRomanPS-BoldItalicMT"/>
                        <w:b/>
                        <w:i/>
                        <w:sz w:val="20"/>
                      </w:rPr>
                    </w:pPr>
                    <w:r>
                      <w:rPr>
                        <w:rFonts w:ascii="TimesNewRomanPS-BoldItalicMT"/>
                        <w:b/>
                        <w:i/>
                        <w:sz w:val="20"/>
                      </w:rPr>
                      <w:t>KP Reporting</w:t>
                    </w:r>
                  </w:p>
                </w:txbxContent>
              </v:textbox>
              <v:stroke dashstyle="solid"/>
              <w10:wrap type="none"/>
            </v:shape>
            <v:shape style="position:absolute;left:7409;top:3660;width:2528;height:663" type="#_x0000_t202" filled="false" stroked="true" strokeweight=".75pt" strokecolor="#010101">
              <v:textbox inset="0,0,0,0">
                <w:txbxContent>
                  <w:p>
                    <w:pPr>
                      <w:spacing w:line="240" w:lineRule="auto" w:before="0"/>
                      <w:rPr>
                        <w:b/>
                        <w:sz w:val="16"/>
                      </w:rPr>
                    </w:pPr>
                  </w:p>
                  <w:p>
                    <w:pPr>
                      <w:spacing w:before="0"/>
                      <w:ind w:left="90" w:right="0" w:firstLine="0"/>
                      <w:jc w:val="left"/>
                      <w:rPr>
                        <w:sz w:val="18"/>
                      </w:rPr>
                    </w:pPr>
                    <w:r>
                      <w:rPr>
                        <w:sz w:val="18"/>
                      </w:rPr>
                      <w:t>Unbalanced accounting possible</w:t>
                    </w:r>
                  </w:p>
                </w:txbxContent>
              </v:textbox>
              <v:stroke dashstyle="solid"/>
              <w10:wrap type="none"/>
            </v:shape>
            <v:shape style="position:absolute;left:7570;top:2496;width:2204;height:828" type="#_x0000_t202" filled="false" stroked="true" strokeweight=".75pt" strokecolor="#010101">
              <v:textbox inset="0,0,0,0">
                <w:txbxContent>
                  <w:p>
                    <w:pPr>
                      <w:spacing w:before="38"/>
                      <w:ind w:left="114" w:right="111" w:hanging="3"/>
                      <w:jc w:val="center"/>
                      <w:rPr>
                        <w:sz w:val="18"/>
                      </w:rPr>
                    </w:pPr>
                    <w:r>
                      <w:rPr>
                        <w:sz w:val="18"/>
                      </w:rPr>
                      <w:t>Does not meet Marrakesh Accords’ eligibility criteria for forest management</w:t>
                    </w:r>
                  </w:p>
                </w:txbxContent>
              </v:textbox>
              <v:stroke dashstyle="solid"/>
              <w10:wrap type="none"/>
            </v:shape>
            <v:shape style="position:absolute;left:4464;top:2496;width:2213;height:828" type="#_x0000_t202" filled="false" stroked="true" strokeweight="1.5pt" strokecolor="#010101">
              <v:textbox inset="0,0,0,0">
                <w:txbxContent>
                  <w:p>
                    <w:pPr>
                      <w:spacing w:line="242" w:lineRule="auto" w:before="37"/>
                      <w:ind w:left="107" w:right="109" w:hanging="1"/>
                      <w:jc w:val="center"/>
                      <w:rPr>
                        <w:sz w:val="18"/>
                      </w:rPr>
                    </w:pPr>
                    <w:r>
                      <w:rPr>
                        <w:sz w:val="18"/>
                      </w:rPr>
                      <w:t>Meets Marrakesh Accords’ eligibility criteria for forest management</w:t>
                    </w:r>
                  </w:p>
                </w:txbxContent>
              </v:textbox>
              <v:stroke dashstyle="solid"/>
              <w10:wrap type="none"/>
            </v:shape>
            <v:shape style="position:absolute;left:1791;top:2496;width:2204;height:828" type="#_x0000_t202" filled="false" stroked="true" strokeweight=".75pt" strokecolor="#010101">
              <v:textbox inset="0,0,0,0">
                <w:txbxContent>
                  <w:p>
                    <w:pPr>
                      <w:spacing w:before="38"/>
                      <w:ind w:left="114" w:right="111" w:hanging="3"/>
                      <w:jc w:val="center"/>
                      <w:rPr>
                        <w:sz w:val="18"/>
                      </w:rPr>
                    </w:pPr>
                    <w:r>
                      <w:rPr>
                        <w:sz w:val="18"/>
                      </w:rPr>
                      <w:t>Does not meet Marrakesh Accords’ eligibility criteria for forest management</w:t>
                    </w:r>
                  </w:p>
                </w:txbxContent>
              </v:textbox>
              <v:stroke dashstyle="solid"/>
              <w10:wrap type="none"/>
            </v:shape>
            <v:shape style="position:absolute;left:6466;top:1142;width:1107;height:500" type="#_x0000_t202" filled="false" stroked="true" strokeweight=".75pt" strokecolor="#010101">
              <v:textbox inset="0,0,0,0">
                <w:txbxContent>
                  <w:p>
                    <w:pPr>
                      <w:spacing w:before="69"/>
                      <w:ind w:left="210" w:right="0" w:firstLine="0"/>
                      <w:jc w:val="left"/>
                      <w:rPr>
                        <w:sz w:val="18"/>
                      </w:rPr>
                    </w:pPr>
                    <w:r>
                      <w:rPr>
                        <w:sz w:val="18"/>
                      </w:rPr>
                      <w:t>Managed</w:t>
                    </w:r>
                  </w:p>
                </w:txbxContent>
              </v:textbox>
              <v:stroke dashstyle="solid"/>
              <w10:wrap type="none"/>
            </v:shape>
            <v:shape style="position:absolute;left:3466;top:1142;width:1263;height:500" type="#_x0000_t202" filled="false" stroked="true" strokeweight=".75pt" strokecolor="#010101">
              <v:textbox inset="0,0,0,0">
                <w:txbxContent>
                  <w:p>
                    <w:pPr>
                      <w:spacing w:before="69"/>
                      <w:ind w:left="189" w:right="0" w:firstLine="0"/>
                      <w:jc w:val="left"/>
                      <w:rPr>
                        <w:sz w:val="18"/>
                      </w:rPr>
                    </w:pPr>
                    <w:r>
                      <w:rPr>
                        <w:sz w:val="18"/>
                      </w:rPr>
                      <w:t>Unmanaged</w:t>
                    </w:r>
                  </w:p>
                </w:txbxContent>
              </v:textbox>
              <v:stroke dashstyle="solid"/>
              <w10:wrap type="none"/>
            </v:shape>
            <w10:wrap type="topAndBottom"/>
          </v:group>
        </w:pict>
      </w:r>
    </w:p>
    <w:p>
      <w:pPr>
        <w:pStyle w:val="BodyText"/>
        <w:spacing w:before="6"/>
        <w:rPr>
          <w:b/>
          <w:sz w:val="29"/>
        </w:rPr>
      </w:pPr>
    </w:p>
    <w:p>
      <w:pPr>
        <w:pStyle w:val="BodyText"/>
        <w:spacing w:before="1"/>
        <w:ind w:left="179" w:right="1406"/>
        <w:jc w:val="both"/>
      </w:pPr>
      <w:r>
        <w:rPr/>
        <w:drawing>
          <wp:anchor distT="0" distB="0" distL="0" distR="0" allowOverlap="1" layoutInCell="1" locked="0" behindDoc="1" simplePos="0" relativeHeight="266003495">
            <wp:simplePos x="0" y="0"/>
            <wp:positionH relativeFrom="page">
              <wp:posOffset>5468632</wp:posOffset>
            </wp:positionH>
            <wp:positionV relativeFrom="paragraph">
              <wp:posOffset>-1084756</wp:posOffset>
            </wp:positionV>
            <wp:extent cx="76599" cy="219075"/>
            <wp:effectExtent l="0" t="0" r="0" b="0"/>
            <wp:wrapNone/>
            <wp:docPr id="11" name="image77.png" descr=""/>
            <wp:cNvGraphicFramePr>
              <a:graphicFrameLocks noChangeAspect="1"/>
            </wp:cNvGraphicFramePr>
            <a:graphic>
              <a:graphicData uri="http://schemas.openxmlformats.org/drawingml/2006/picture">
                <pic:pic>
                  <pic:nvPicPr>
                    <pic:cNvPr id="12" name="image77.png"/>
                    <pic:cNvPicPr/>
                  </pic:nvPicPr>
                  <pic:blipFill>
                    <a:blip r:embed="rId364" cstate="print"/>
                    <a:stretch>
                      <a:fillRect/>
                    </a:stretch>
                  </pic:blipFill>
                  <pic:spPr>
                    <a:xfrm>
                      <a:off x="0" y="0"/>
                      <a:ext cx="76599" cy="219075"/>
                    </a:xfrm>
                    <a:prstGeom prst="rect">
                      <a:avLst/>
                    </a:prstGeom>
                  </pic:spPr>
                </pic:pic>
              </a:graphicData>
            </a:graphic>
          </wp:anchor>
        </w:drawing>
      </w:r>
      <w:r>
        <w:rPr/>
        <w:t>It is </w:t>
      </w:r>
      <w:r>
        <w:rPr>
          <w:i/>
        </w:rPr>
        <w:t>good practice </w:t>
      </w:r>
      <w:r>
        <w:rPr/>
        <w:t>for each Party that elects forest management to provide documentation of how it applies the Marrakesh Accords’ definition of forest management in a consistent way, and how it distinguishes areas subject to forest management from areas that are not. Examples of country-specific decisions include the treatment of tree orchards or grazing lands with tree cover. It is </w:t>
      </w:r>
      <w:r>
        <w:rPr>
          <w:i/>
        </w:rPr>
        <w:t>good practice </w:t>
      </w:r>
      <w:r>
        <w:rPr/>
        <w:t>to base the assignment of land to activities using criteria of predominant land</w:t>
      </w:r>
      <w:r>
        <w:rPr>
          <w:spacing w:val="-3"/>
        </w:rPr>
        <w:t> </w:t>
      </w:r>
      <w:r>
        <w:rPr/>
        <w:t>use.</w:t>
      </w:r>
    </w:p>
    <w:p>
      <w:pPr>
        <w:pStyle w:val="BodyText"/>
        <w:spacing w:before="119"/>
        <w:ind w:left="179" w:right="1407"/>
        <w:jc w:val="both"/>
      </w:pPr>
      <w:r>
        <w:rPr/>
        <w:t>Figure 4.2.7 outlines the relationship between different forest categories. For UNFCCC reporting, countries have subdivided their forest area into managed forests (those that are included in the reporting) and unmanaged forest (not included). The managed forests could further be subdivided into those areas that meet the Marrakesh Accords’ eligibility criteria for forest management activities and those (if any) that do not.</w:t>
      </w:r>
    </w:p>
    <w:p>
      <w:pPr>
        <w:spacing w:before="119"/>
        <w:ind w:left="179" w:right="1401" w:firstLine="0"/>
        <w:jc w:val="both"/>
        <w:rPr>
          <w:sz w:val="20"/>
        </w:rPr>
      </w:pPr>
      <w:r>
        <w:rPr>
          <w:sz w:val="20"/>
        </w:rPr>
        <w:t>Since most countries have in place policies to manage forests sustainably, and/or use </w:t>
      </w:r>
      <w:r>
        <w:rPr>
          <w:i/>
          <w:sz w:val="20"/>
        </w:rPr>
        <w:t>practices for stewardship and use of forest land aimed at fulfilling relevant ecological (including biological diversity), economic and social functions of the forest in a sustainable manner</w:t>
      </w:r>
      <w:r>
        <w:rPr>
          <w:i/>
          <w:sz w:val="20"/>
          <w:vertAlign w:val="superscript"/>
        </w:rPr>
        <w:t>52</w:t>
      </w:r>
      <w:r>
        <w:rPr>
          <w:sz w:val="20"/>
          <w:vertAlign w:val="baseline"/>
        </w:rPr>
        <w:t>, the total area of managed forest in a country will often be the same as the area subject to forest management. It is </w:t>
      </w:r>
      <w:r>
        <w:rPr>
          <w:i/>
          <w:sz w:val="20"/>
          <w:vertAlign w:val="baseline"/>
        </w:rPr>
        <w:t>good practice </w:t>
      </w:r>
      <w:r>
        <w:rPr>
          <w:sz w:val="20"/>
          <w:vertAlign w:val="baseline"/>
        </w:rPr>
        <w:t>to define the national criteria for the identification of land subject to forest management such that there is good agreement between the area of managed forest (as reported under the UNFCCC) and the area of forest subject to forest management. Where differences occur between the two, these should be explained and the extent of the differences should be documented. In particular, where areas that are considered managed forest are excluded from the area subject to forest management, the reason for the exclusion should be provided, to avoid the perception of unbalanced accounting (Figure 4.2.7). Unbalanced accounting can occur if areas that are considered a source are preferentially excluded and areas considered a sink are included in the national reporting. The IPCC Report on </w:t>
      </w:r>
      <w:r>
        <w:rPr>
          <w:i/>
          <w:sz w:val="20"/>
          <w:vertAlign w:val="baseline"/>
        </w:rPr>
        <w:t>Definitions and Methodological Options to Inventory Emissions from Direct Human-Induced Degradation of Forests and Devegetation of Other Vegetation Types </w:t>
      </w:r>
      <w:r>
        <w:rPr>
          <w:sz w:val="20"/>
          <w:vertAlign w:val="baseline"/>
        </w:rPr>
        <w:t>further addresses the issue of unbalanced</w:t>
      </w:r>
      <w:r>
        <w:rPr>
          <w:spacing w:val="-29"/>
          <w:sz w:val="20"/>
          <w:vertAlign w:val="baseline"/>
        </w:rPr>
        <w:t> </w:t>
      </w:r>
      <w:r>
        <w:rPr>
          <w:sz w:val="20"/>
          <w:vertAlign w:val="baseline"/>
        </w:rPr>
        <w:t>accounting.</w:t>
      </w:r>
    </w:p>
    <w:p>
      <w:pPr>
        <w:pStyle w:val="BodyText"/>
        <w:spacing w:before="119"/>
        <w:ind w:left="179" w:right="1405"/>
        <w:jc w:val="both"/>
      </w:pPr>
      <w:r>
        <w:rPr/>
        <w:t>There may be national circumstances that justify the designation of areas that have been considered “unmanaged forest” for UNFCCC reporting as land subject to forest management under the Kyoto Protocol. For example, a Party may have chosen to exclude forested national parks from the area of managed forest because they are not contributing to the timber supply. But where these parks are managed to fulfil relevant ecological (including biodiversity) and social functions, and are subject to forest management activities such as fire suppression, a</w:t>
      </w:r>
    </w:p>
    <w:p>
      <w:pPr>
        <w:pStyle w:val="BodyText"/>
        <w:spacing w:before="11"/>
        <w:rPr>
          <w:sz w:val="26"/>
        </w:rPr>
      </w:pPr>
      <w:r>
        <w:rPr/>
        <w:pict>
          <v:line style="position:absolute;mso-position-horizontal-relative:page;mso-position-vertical-relative:paragraph;z-index:22136;mso-wrap-distance-left:0;mso-wrap-distance-right:0" from="70.960999pt,17.722784pt" to="214.960999pt,17.722784pt" stroked="true" strokeweight=".48pt" strokecolor="#000000">
            <v:stroke dashstyle="solid"/>
            <w10:wrap type="topAndBottom"/>
          </v:line>
        </w:pict>
      </w:r>
    </w:p>
    <w:p>
      <w:pPr>
        <w:spacing w:before="150"/>
        <w:ind w:left="337" w:right="1597" w:hanging="159"/>
        <w:jc w:val="left"/>
        <w:rPr>
          <w:sz w:val="18"/>
        </w:rPr>
      </w:pPr>
      <w:r>
        <w:rPr>
          <w:position w:val="8"/>
          <w:sz w:val="12"/>
        </w:rPr>
        <w:t>52 </w:t>
      </w:r>
      <w:r>
        <w:rPr>
          <w:sz w:val="18"/>
        </w:rPr>
        <w:t>See paragraph 1(f) in the Annex to draft decision -/CMP.1 (Land use, land-use change and forestry), contained in  document FCCC/CP/2001/13/Add.1,</w:t>
      </w:r>
      <w:r>
        <w:rPr>
          <w:spacing w:val="-3"/>
          <w:sz w:val="18"/>
        </w:rPr>
        <w:t> </w:t>
      </w:r>
      <w:r>
        <w:rPr>
          <w:sz w:val="18"/>
        </w:rPr>
        <w:t>p.58.</w:t>
      </w:r>
    </w:p>
    <w:p>
      <w:pPr>
        <w:spacing w:after="0"/>
        <w:jc w:val="left"/>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353"/>
        <w:jc w:val="both"/>
      </w:pPr>
      <w:r>
        <w:rPr/>
        <w:t>country may choose to include these forested national parks as lands subject to forest management (Figure 4.2.7). In such cases, the country should consider including all areas subject to forest management activities in its managed forest area for future UNFCCC reporting years.</w:t>
      </w:r>
    </w:p>
    <w:p>
      <w:pPr>
        <w:pStyle w:val="BodyText"/>
        <w:spacing w:before="121"/>
        <w:ind w:left="179" w:right="1402"/>
        <w:jc w:val="both"/>
      </w:pPr>
      <w:r>
        <w:rPr/>
        <w:t>Figure 4.2.8 gives the decision tree for determining whether land qualifies as subject to forest management. Land that is classified as subject to forest management must meet the country’s criteria for forest. It is possible that more than one direct human activity impacts the land. In such cases, national criteria need to be developed by which such lands are consistently assigned to the appropriate categories.</w:t>
      </w:r>
    </w:p>
    <w:p>
      <w:pPr>
        <w:pStyle w:val="BodyText"/>
        <w:rPr>
          <w:sz w:val="22"/>
        </w:rPr>
      </w:pPr>
    </w:p>
    <w:p>
      <w:pPr>
        <w:tabs>
          <w:tab w:pos="1879" w:val="left" w:leader="none"/>
        </w:tabs>
        <w:spacing w:before="147"/>
        <w:ind w:left="1880" w:right="1993" w:hanging="1702"/>
        <w:jc w:val="left"/>
        <w:rPr>
          <w:b/>
          <w:sz w:val="20"/>
        </w:rPr>
      </w:pPr>
      <w:r>
        <w:rPr>
          <w:b/>
          <w:spacing w:val="8"/>
          <w:sz w:val="20"/>
        </w:rPr>
        <w:t>Figure</w:t>
      </w:r>
      <w:r>
        <w:rPr>
          <w:b/>
          <w:spacing w:val="19"/>
          <w:sz w:val="20"/>
        </w:rPr>
        <w:t> </w:t>
      </w:r>
      <w:r>
        <w:rPr>
          <w:b/>
          <w:spacing w:val="8"/>
          <w:sz w:val="20"/>
        </w:rPr>
        <w:t>4.2.8</w:t>
        <w:tab/>
        <w:t>Decision tree </w:t>
      </w:r>
      <w:r>
        <w:rPr>
          <w:b/>
          <w:spacing w:val="6"/>
          <w:sz w:val="20"/>
        </w:rPr>
        <w:t>for </w:t>
      </w:r>
      <w:r>
        <w:rPr>
          <w:b/>
          <w:spacing w:val="9"/>
          <w:sz w:val="20"/>
        </w:rPr>
        <w:t>determining whether </w:t>
      </w:r>
      <w:r>
        <w:rPr>
          <w:b/>
          <w:spacing w:val="8"/>
          <w:sz w:val="20"/>
        </w:rPr>
        <w:t>land </w:t>
      </w:r>
      <w:r>
        <w:rPr>
          <w:b/>
          <w:spacing w:val="9"/>
          <w:sz w:val="20"/>
        </w:rPr>
        <w:t>qualifies </w:t>
      </w:r>
      <w:r>
        <w:rPr>
          <w:b/>
          <w:spacing w:val="5"/>
          <w:sz w:val="20"/>
        </w:rPr>
        <w:t>as </w:t>
      </w:r>
      <w:r>
        <w:rPr>
          <w:b/>
          <w:spacing w:val="8"/>
          <w:sz w:val="20"/>
        </w:rPr>
        <w:t>being subject </w:t>
      </w:r>
      <w:r>
        <w:rPr>
          <w:b/>
          <w:spacing w:val="10"/>
          <w:sz w:val="20"/>
        </w:rPr>
        <w:t>to </w:t>
      </w:r>
      <w:r>
        <w:rPr>
          <w:b/>
          <w:spacing w:val="8"/>
          <w:sz w:val="20"/>
        </w:rPr>
        <w:t>Forest</w:t>
      </w:r>
      <w:r>
        <w:rPr>
          <w:b/>
          <w:spacing w:val="19"/>
          <w:sz w:val="20"/>
        </w:rPr>
        <w:t> </w:t>
      </w:r>
      <w:r>
        <w:rPr>
          <w:b/>
          <w:spacing w:val="10"/>
          <w:sz w:val="20"/>
        </w:rPr>
        <w:t>Management</w:t>
      </w:r>
    </w:p>
    <w:p>
      <w:pPr>
        <w:pStyle w:val="BodyText"/>
        <w:spacing w:before="4"/>
        <w:rPr>
          <w:b/>
          <w:sz w:val="23"/>
        </w:rPr>
      </w:pPr>
      <w:r>
        <w:rPr/>
        <w:pict>
          <v:group style="position:absolute;margin-left:142.481003pt;margin-top:15.401719pt;width:315.6pt;height:154pt;mso-position-horizontal-relative:page;mso-position-vertical-relative:paragraph;z-index:22376;mso-wrap-distance-left:0;mso-wrap-distance-right:0" coordorigin="2850,308" coordsize="6312,3080">
            <v:shape style="position:absolute;left:7383;top:2609;width:1726;height:120" coordorigin="7383,2610" coordsize="1726,120" path="m8989,2610l8989,2730,9094,2677,9013,2677,9015,2675,9015,2665,9013,2663,9094,2663,8989,2610xm8989,2663l7388,2663,7383,2665,7383,2672,7388,2677,8989,2677,8989,2663xm9094,2663l9013,2663,9015,2665,9015,2675,9013,2677,9094,2677,9109,2670,9094,2663xe" filled="true" fillcolor="#010101" stroked="false">
              <v:path arrowok="t"/>
              <v:fill type="solid"/>
            </v:shape>
            <v:shape style="position:absolute;left:4313;top:1945;width:3080;height:1436" coordorigin="4314,1945" coordsize="3080,1436" path="m5854,1945l4314,2663,5854,3380,7393,2663,5854,1945xe" filled="true" fillcolor="#ffffff" stroked="false">
              <v:path arrowok="t"/>
              <v:fill type="solid"/>
            </v:shape>
            <v:shape style="position:absolute;left:4313;top:1945;width:3080;height:1436" coordorigin="4314,1945" coordsize="3080,1436" path="m5854,1945l4314,2663,5854,3380,7393,2663,5854,1945xe" filled="false" stroked="true" strokeweight=".75pt" strokecolor="#010101">
              <v:path arrowok="t"/>
              <v:stroke dashstyle="solid"/>
            </v:shape>
            <v:shape style="position:absolute;left:4392;top:315;width:2904;height:1152" coordorigin="4393,316" coordsize="2904,1152" path="m5845,316l4393,892,5845,1468,7297,892,5845,316xe" filled="true" fillcolor="#ffffff" stroked="false">
              <v:path arrowok="t"/>
              <v:fill type="solid"/>
            </v:shape>
            <v:shape style="position:absolute;left:4392;top:315;width:2904;height:1152" coordorigin="4393,316" coordsize="2904,1152" path="m5845,316l4393,892,5845,1468,7297,892,5845,316xe" filled="false" stroked="true" strokeweight=".75pt" strokecolor="#010101">
              <v:path arrowok="t"/>
              <v:stroke dashstyle="solid"/>
            </v:shape>
            <v:shape style="position:absolute;left:7289;top:884;width:1872;height:2496" coordorigin="7290,884" coordsize="1872,2496" path="m9094,3260l9042,3260,9102,3380,9148,3287,9097,3287,9094,3284,9094,3260xm9094,892l9094,3284,9097,3287,9106,3287,9109,3284,9109,899,9102,899,9094,892xm9162,3260l9109,3260,9109,3284,9106,3287,9148,3287,9162,3260xm9106,884l7294,884,7290,889,7290,896,7294,899,9094,899,9094,892,9109,892,9109,889,9106,884xm9109,892l9094,892,9102,899,9109,899,9109,892xe" filled="true" fillcolor="#010101" stroked="false">
              <v:path arrowok="t"/>
              <v:fill type="solid"/>
            </v:shape>
            <v:shape style="position:absolute;left:2849;top:2655;width:1474;height:725" coordorigin="2850,2656" coordsize="1474,725" path="m2902,3260l2850,3260,2910,3380,2956,3287,2905,3287,2902,3284,2902,3260xm4318,2656l2905,2656,2902,2658,2902,3284,2905,3287,2914,3287,2917,3284,2917,2670,2910,2670,2917,2663,4323,2663,4323,2658,4318,2656xm2970,3260l2917,3260,2917,3284,2914,3287,2956,3287,2970,3260xm2917,2663l2910,2670,2917,2670,2917,2663xm4323,2663l2917,2663,2917,2670,4318,2670,4323,2668,4323,2663xe" filled="true" fillcolor="#010101" stroked="false">
              <v:path arrowok="t"/>
              <v:fill type="solid"/>
            </v:shape>
            <v:shape style="position:absolute;left:5792;top:1460;width:120;height:485" coordorigin="5792,1460" coordsize="120,485" path="m5844,1826l5792,1828,5854,1945,5898,1854,5850,1854,5845,1849,5845,1844,5844,1826xm5859,1826l5844,1826,5845,1844,5845,1849,5850,1854,5852,1854,5862,1849,5859,1844,5859,1826xm5912,1825l5859,1826,5859,1844,5862,1849,5852,1854,5898,1854,5912,1825xm5850,1460l5842,1460,5838,1465,5838,1468,5844,1826,5859,1826,5854,1468,5852,1465,5850,1460xe" filled="true" fillcolor="#010101" stroked="false">
              <v:path arrowok="t"/>
              <v:fill type="solid"/>
            </v:shape>
            <v:shape style="position:absolute;left:7306;top:833;width:1709;height:120" coordorigin="7306,834" coordsize="1709,120" path="m8895,901l8895,954,9001,901,8919,901,8895,901xm8895,887l8895,901,8919,901,8924,896,8924,889,8919,887,8895,887xm8895,834l8895,887,8917,887,8919,887,8924,889,8924,896,8919,901,9001,901,9015,894,8895,834xm7314,884l7311,884,7306,889,7306,896,7311,899,8895,901,8895,887,7314,884xe" filled="true" fillcolor="#010101" stroked="false">
              <v:path arrowok="t"/>
              <v:fill type="solid"/>
            </v:shape>
            <v:shape style="position:absolute;left:5057;top:471;width:1607;height:679" type="#_x0000_t202" filled="false" stroked="false">
              <v:textbox inset="0,0,0,0">
                <w:txbxContent>
                  <w:p>
                    <w:pPr>
                      <w:spacing w:line="220" w:lineRule="exact" w:before="0"/>
                      <w:ind w:left="571" w:right="583" w:firstLine="0"/>
                      <w:jc w:val="center"/>
                      <w:rPr>
                        <w:sz w:val="20"/>
                      </w:rPr>
                    </w:pPr>
                    <w:r>
                      <w:rPr>
                        <w:sz w:val="20"/>
                      </w:rPr>
                      <w:t>Does</w:t>
                    </w:r>
                  </w:p>
                  <w:p>
                    <w:pPr>
                      <w:spacing w:before="0"/>
                      <w:ind w:left="0" w:right="18" w:firstLine="5"/>
                      <w:jc w:val="center"/>
                      <w:rPr>
                        <w:sz w:val="20"/>
                      </w:rPr>
                    </w:pPr>
                    <w:r>
                      <w:rPr>
                        <w:sz w:val="20"/>
                      </w:rPr>
                      <w:t>the land meet the definition of forest?</w:t>
                    </w:r>
                  </w:p>
                </w:txbxContent>
              </v:textbox>
              <w10:wrap type="none"/>
            </v:shape>
            <v:shape style="position:absolute;left:7157;top:526;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6070;top:1431;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3898;top:2336;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4988;top:2139;width:1754;height:533" type="#_x0000_t202" filled="false" stroked="false">
              <v:textbox inset="0,0,0,0">
                <w:txbxContent>
                  <w:p>
                    <w:pPr>
                      <w:spacing w:line="156" w:lineRule="auto" w:before="57"/>
                      <w:ind w:left="0" w:right="16" w:firstLine="146"/>
                      <w:jc w:val="left"/>
                      <w:rPr>
                        <w:sz w:val="20"/>
                      </w:rPr>
                    </w:pPr>
                    <w:r>
                      <w:rPr>
                        <w:w w:val="99"/>
                        <w:sz w:val="20"/>
                      </w:rPr>
                      <w:t>Is</w:t>
                    </w:r>
                    <w:r>
                      <w:rPr>
                        <w:spacing w:val="-1"/>
                        <w:sz w:val="20"/>
                      </w:rPr>
                      <w:t> </w:t>
                    </w:r>
                    <w:r>
                      <w:rPr>
                        <w:w w:val="99"/>
                        <w:sz w:val="20"/>
                      </w:rPr>
                      <w:t>la</w:t>
                    </w:r>
                    <w:r>
                      <w:rPr>
                        <w:spacing w:val="-2"/>
                        <w:w w:val="99"/>
                        <w:sz w:val="20"/>
                      </w:rPr>
                      <w:t>n</w:t>
                    </w:r>
                    <w:r>
                      <w:rPr>
                        <w:spacing w:val="-86"/>
                        <w:w w:val="99"/>
                        <w:sz w:val="20"/>
                      </w:rPr>
                      <w:t>d</w:t>
                    </w:r>
                    <w:r>
                      <w:rPr>
                        <w:w w:val="99"/>
                        <w:position w:val="8"/>
                        <w:sz w:val="20"/>
                      </w:rPr>
                      <w:t>I</w:t>
                    </w:r>
                    <w:r>
                      <w:rPr>
                        <w:spacing w:val="-7"/>
                        <w:w w:val="99"/>
                        <w:position w:val="8"/>
                        <w:sz w:val="20"/>
                      </w:rPr>
                      <w:t>s</w:t>
                    </w:r>
                    <w:r>
                      <w:rPr>
                        <w:spacing w:val="-21"/>
                        <w:w w:val="99"/>
                        <w:sz w:val="20"/>
                      </w:rPr>
                      <w:t>s</w:t>
                    </w:r>
                    <w:r>
                      <w:rPr>
                        <w:spacing w:val="-36"/>
                        <w:w w:val="99"/>
                        <w:position w:val="8"/>
                        <w:sz w:val="20"/>
                      </w:rPr>
                      <w:t>l</w:t>
                    </w:r>
                    <w:r>
                      <w:rPr>
                        <w:spacing w:val="-64"/>
                        <w:w w:val="99"/>
                        <w:sz w:val="20"/>
                      </w:rPr>
                      <w:t>u</w:t>
                    </w:r>
                    <w:r>
                      <w:rPr>
                        <w:spacing w:val="-26"/>
                        <w:w w:val="99"/>
                        <w:position w:val="8"/>
                        <w:sz w:val="20"/>
                      </w:rPr>
                      <w:t>a</w:t>
                    </w:r>
                    <w:r>
                      <w:rPr>
                        <w:spacing w:val="-74"/>
                        <w:w w:val="99"/>
                        <w:sz w:val="20"/>
                      </w:rPr>
                      <w:t>b</w:t>
                    </w:r>
                    <w:r>
                      <w:rPr>
                        <w:spacing w:val="-26"/>
                        <w:w w:val="99"/>
                        <w:position w:val="8"/>
                        <w:sz w:val="20"/>
                      </w:rPr>
                      <w:t>n</w:t>
                    </w:r>
                    <w:r>
                      <w:rPr>
                        <w:spacing w:val="-31"/>
                        <w:w w:val="99"/>
                        <w:sz w:val="20"/>
                      </w:rPr>
                      <w:t>j</w:t>
                    </w:r>
                    <w:r>
                      <w:rPr>
                        <w:spacing w:val="-67"/>
                        <w:w w:val="99"/>
                        <w:position w:val="8"/>
                        <w:sz w:val="20"/>
                      </w:rPr>
                      <w:t>d</w:t>
                    </w:r>
                    <w:r>
                      <w:rPr>
                        <w:w w:val="99"/>
                        <w:sz w:val="20"/>
                      </w:rPr>
                      <w:t>ect</w:t>
                    </w:r>
                    <w:r>
                      <w:rPr>
                        <w:spacing w:val="1"/>
                        <w:sz w:val="20"/>
                      </w:rPr>
                      <w:t> </w:t>
                    </w:r>
                    <w:r>
                      <w:rPr>
                        <w:w w:val="99"/>
                        <w:sz w:val="20"/>
                      </w:rPr>
                      <w:t>to</w:t>
                    </w:r>
                    <w:r>
                      <w:rPr>
                        <w:spacing w:val="1"/>
                        <w:sz w:val="20"/>
                      </w:rPr>
                      <w:t> </w:t>
                    </w:r>
                    <w:r>
                      <w:rPr>
                        <w:w w:val="99"/>
                        <w:sz w:val="20"/>
                      </w:rPr>
                      <w:t>a </w:t>
                    </w:r>
                    <w:r>
                      <w:rPr>
                        <w:spacing w:val="-1"/>
                        <w:w w:val="99"/>
                        <w:sz w:val="20"/>
                      </w:rPr>
                      <w:t>s</w:t>
                    </w:r>
                    <w:r>
                      <w:rPr>
                        <w:spacing w:val="-91"/>
                        <w:w w:val="99"/>
                        <w:sz w:val="20"/>
                      </w:rPr>
                      <w:t>u</w:t>
                    </w:r>
                    <w:r>
                      <w:rPr>
                        <w:spacing w:val="-11"/>
                        <w:w w:val="99"/>
                        <w:position w:val="-7"/>
                        <w:sz w:val="20"/>
                      </w:rPr>
                      <w:t>y</w:t>
                    </w:r>
                    <w:r>
                      <w:rPr>
                        <w:spacing w:val="-91"/>
                        <w:w w:val="99"/>
                        <w:sz w:val="20"/>
                      </w:rPr>
                      <w:t>b</w:t>
                    </w:r>
                    <w:r>
                      <w:rPr>
                        <w:spacing w:val="-1"/>
                        <w:w w:val="99"/>
                        <w:position w:val="-7"/>
                        <w:sz w:val="20"/>
                      </w:rPr>
                      <w:t>s</w:t>
                    </w:r>
                    <w:r>
                      <w:rPr>
                        <w:spacing w:val="-42"/>
                        <w:w w:val="99"/>
                        <w:position w:val="-7"/>
                        <w:sz w:val="20"/>
                      </w:rPr>
                      <w:t>t</w:t>
                    </w:r>
                    <w:r>
                      <w:rPr>
                        <w:spacing w:val="2"/>
                        <w:w w:val="99"/>
                        <w:sz w:val="20"/>
                      </w:rPr>
                      <w:t>j</w:t>
                    </w:r>
                    <w:r>
                      <w:rPr>
                        <w:spacing w:val="-14"/>
                        <w:w w:val="99"/>
                        <w:sz w:val="20"/>
                      </w:rPr>
                      <w:t>e</w:t>
                    </w:r>
                    <w:r>
                      <w:rPr>
                        <w:spacing w:val="-141"/>
                        <w:w w:val="99"/>
                        <w:position w:val="-7"/>
                        <w:sz w:val="20"/>
                      </w:rPr>
                      <w:t>m</w:t>
                    </w:r>
                    <w:r>
                      <w:rPr>
                        <w:w w:val="99"/>
                        <w:sz w:val="20"/>
                      </w:rPr>
                      <w:t>ct</w:t>
                    </w:r>
                    <w:r>
                      <w:rPr>
                        <w:spacing w:val="-7"/>
                        <w:sz w:val="20"/>
                      </w:rPr>
                      <w:t> </w:t>
                    </w:r>
                    <w:r>
                      <w:rPr>
                        <w:spacing w:val="-92"/>
                        <w:w w:val="99"/>
                        <w:position w:val="-7"/>
                        <w:sz w:val="20"/>
                      </w:rPr>
                      <w:t>o</w:t>
                    </w:r>
                    <w:r>
                      <w:rPr>
                        <w:w w:val="99"/>
                        <w:sz w:val="20"/>
                      </w:rPr>
                      <w:t>t</w:t>
                    </w:r>
                    <w:r>
                      <w:rPr>
                        <w:spacing w:val="-61"/>
                        <w:w w:val="99"/>
                        <w:sz w:val="20"/>
                      </w:rPr>
                      <w:t>o</w:t>
                    </w:r>
                    <w:r>
                      <w:rPr>
                        <w:w w:val="99"/>
                        <w:position w:val="-7"/>
                        <w:sz w:val="20"/>
                      </w:rPr>
                      <w:t>f</w:t>
                    </w:r>
                    <w:r>
                      <w:rPr>
                        <w:spacing w:val="-5"/>
                        <w:position w:val="-7"/>
                        <w:sz w:val="20"/>
                      </w:rPr>
                      <w:t> </w:t>
                    </w:r>
                    <w:r>
                      <w:rPr>
                        <w:spacing w:val="-85"/>
                        <w:w w:val="99"/>
                        <w:sz w:val="20"/>
                      </w:rPr>
                      <w:t>a</w:t>
                    </w:r>
                    <w:r>
                      <w:rPr>
                        <w:w w:val="99"/>
                        <w:position w:val="-7"/>
                        <w:sz w:val="20"/>
                      </w:rPr>
                      <w:t>p</w:t>
                    </w:r>
                    <w:r>
                      <w:rPr>
                        <w:spacing w:val="-31"/>
                        <w:w w:val="99"/>
                        <w:position w:val="-7"/>
                        <w:sz w:val="20"/>
                      </w:rPr>
                      <w:t>r</w:t>
                    </w:r>
                    <w:r>
                      <w:rPr>
                        <w:spacing w:val="-47"/>
                        <w:w w:val="99"/>
                        <w:sz w:val="20"/>
                      </w:rPr>
                      <w:t>s</w:t>
                    </w:r>
                    <w:r>
                      <w:rPr>
                        <w:spacing w:val="-41"/>
                        <w:w w:val="99"/>
                        <w:position w:val="-7"/>
                        <w:sz w:val="20"/>
                      </w:rPr>
                      <w:t>a</w:t>
                    </w:r>
                    <w:r>
                      <w:rPr>
                        <w:spacing w:val="-60"/>
                        <w:w w:val="99"/>
                        <w:sz w:val="20"/>
                      </w:rPr>
                      <w:t>y</w:t>
                    </w:r>
                    <w:r>
                      <w:rPr>
                        <w:spacing w:val="-33"/>
                        <w:w w:val="99"/>
                        <w:position w:val="-7"/>
                        <w:sz w:val="20"/>
                      </w:rPr>
                      <w:t>c</w:t>
                    </w:r>
                    <w:r>
                      <w:rPr>
                        <w:spacing w:val="-45"/>
                        <w:w w:val="99"/>
                        <w:sz w:val="20"/>
                      </w:rPr>
                      <w:t>s</w:t>
                    </w:r>
                    <w:r>
                      <w:rPr>
                        <w:spacing w:val="-12"/>
                        <w:w w:val="99"/>
                        <w:position w:val="-7"/>
                        <w:sz w:val="20"/>
                      </w:rPr>
                      <w:t>t</w:t>
                    </w:r>
                    <w:r>
                      <w:rPr>
                        <w:spacing w:val="-44"/>
                        <w:w w:val="99"/>
                        <w:sz w:val="20"/>
                      </w:rPr>
                      <w:t>t</w:t>
                    </w:r>
                    <w:r>
                      <w:rPr>
                        <w:spacing w:val="-13"/>
                        <w:w w:val="99"/>
                        <w:position w:val="-7"/>
                        <w:sz w:val="20"/>
                      </w:rPr>
                      <w:t>i</w:t>
                    </w:r>
                    <w:r>
                      <w:rPr>
                        <w:spacing w:val="-76"/>
                        <w:w w:val="99"/>
                        <w:sz w:val="20"/>
                      </w:rPr>
                      <w:t>e</w:t>
                    </w:r>
                    <w:r>
                      <w:rPr>
                        <w:spacing w:val="-10"/>
                        <w:w w:val="99"/>
                        <w:position w:val="-7"/>
                        <w:sz w:val="20"/>
                      </w:rPr>
                      <w:t>c</w:t>
                    </w:r>
                    <w:r>
                      <w:rPr>
                        <w:spacing w:val="-145"/>
                        <w:w w:val="99"/>
                        <w:sz w:val="20"/>
                      </w:rPr>
                      <w:t>m</w:t>
                    </w:r>
                    <w:r>
                      <w:rPr>
                        <w:w w:val="99"/>
                        <w:position w:val="-7"/>
                        <w:sz w:val="20"/>
                      </w:rPr>
                      <w:t>es</w:t>
                    </w:r>
                    <w:r>
                      <w:rPr>
                        <w:spacing w:val="-23"/>
                        <w:position w:val="-7"/>
                        <w:sz w:val="20"/>
                      </w:rPr>
                      <w:t> </w:t>
                    </w:r>
                    <w:r>
                      <w:rPr>
                        <w:spacing w:val="-78"/>
                        <w:w w:val="99"/>
                        <w:sz w:val="20"/>
                      </w:rPr>
                      <w:t>o</w:t>
                    </w:r>
                    <w:r>
                      <w:rPr>
                        <w:spacing w:val="-122"/>
                        <w:w w:val="99"/>
                        <w:position w:val="-7"/>
                        <w:sz w:val="20"/>
                      </w:rPr>
                      <w:t>…</w:t>
                    </w:r>
                    <w:r>
                      <w:rPr>
                        <w:w w:val="99"/>
                        <w:sz w:val="20"/>
                      </w:rPr>
                      <w:t>f</w:t>
                    </w:r>
                  </w:p>
                </w:txbxContent>
              </v:textbox>
              <w10:wrap type="none"/>
            </v:shape>
            <v:shape style="position:absolute;left:7337;top:2336;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4839;top:2600;width:2053;height:303" type="#_x0000_t202" filled="false" stroked="false">
              <v:textbox inset="0,0,0,0">
                <w:txbxContent>
                  <w:p>
                    <w:pPr>
                      <w:spacing w:line="228" w:lineRule="auto" w:before="0"/>
                      <w:ind w:left="0" w:right="0" w:firstLine="0"/>
                      <w:jc w:val="left"/>
                      <w:rPr>
                        <w:sz w:val="20"/>
                      </w:rPr>
                    </w:pPr>
                    <w:r>
                      <w:rPr>
                        <w:w w:val="99"/>
                        <w:sz w:val="20"/>
                      </w:rPr>
                      <w:t>prac</w:t>
                    </w:r>
                    <w:r>
                      <w:rPr>
                        <w:spacing w:val="-28"/>
                        <w:w w:val="99"/>
                        <w:sz w:val="20"/>
                      </w:rPr>
                      <w:t>t</w:t>
                    </w:r>
                    <w:r>
                      <w:rPr>
                        <w:spacing w:val="-72"/>
                        <w:w w:val="99"/>
                        <w:position w:val="-7"/>
                        <w:sz w:val="20"/>
                      </w:rPr>
                      <w:t>d</w:t>
                    </w:r>
                    <w:r>
                      <w:rPr>
                        <w:w w:val="99"/>
                        <w:sz w:val="20"/>
                      </w:rPr>
                      <w:t>i</w:t>
                    </w:r>
                    <w:r>
                      <w:rPr>
                        <w:spacing w:val="-72"/>
                        <w:w w:val="99"/>
                        <w:sz w:val="20"/>
                      </w:rPr>
                      <w:t>c</w:t>
                    </w:r>
                    <w:r>
                      <w:rPr>
                        <w:spacing w:val="-17"/>
                        <w:w w:val="99"/>
                        <w:position w:val="-7"/>
                        <w:sz w:val="20"/>
                      </w:rPr>
                      <w:t>e</w:t>
                    </w:r>
                    <w:r>
                      <w:rPr>
                        <w:spacing w:val="-72"/>
                        <w:w w:val="99"/>
                        <w:sz w:val="20"/>
                      </w:rPr>
                      <w:t>e</w:t>
                    </w:r>
                    <w:r>
                      <w:rPr>
                        <w:spacing w:val="-2"/>
                        <w:w w:val="99"/>
                        <w:position w:val="-7"/>
                        <w:sz w:val="20"/>
                      </w:rPr>
                      <w:t>f</w:t>
                    </w:r>
                    <w:r>
                      <w:rPr>
                        <w:spacing w:val="-49"/>
                        <w:w w:val="99"/>
                        <w:position w:val="-7"/>
                        <w:sz w:val="20"/>
                      </w:rPr>
                      <w:t>i</w:t>
                    </w:r>
                    <w:r>
                      <w:rPr>
                        <w:spacing w:val="-28"/>
                        <w:w w:val="99"/>
                        <w:sz w:val="20"/>
                      </w:rPr>
                      <w:t>s</w:t>
                    </w:r>
                    <w:r>
                      <w:rPr>
                        <w:spacing w:val="-23"/>
                        <w:w w:val="99"/>
                        <w:position w:val="-7"/>
                        <w:sz w:val="20"/>
                      </w:rPr>
                      <w:t>n</w:t>
                    </w:r>
                    <w:r>
                      <w:rPr>
                        <w:spacing w:val="-178"/>
                        <w:w w:val="99"/>
                        <w:sz w:val="20"/>
                      </w:rPr>
                      <w:t>…</w:t>
                    </w:r>
                    <w:r>
                      <w:rPr>
                        <w:w w:val="99"/>
                        <w:position w:val="-7"/>
                        <w:sz w:val="20"/>
                      </w:rPr>
                      <w:t>ed</w:t>
                    </w:r>
                    <w:r>
                      <w:rPr>
                        <w:spacing w:val="-10"/>
                        <w:position w:val="-7"/>
                        <w:sz w:val="20"/>
                      </w:rPr>
                      <w:t> </w:t>
                    </w:r>
                    <w:r>
                      <w:rPr>
                        <w:spacing w:val="-78"/>
                        <w:w w:val="99"/>
                        <w:sz w:val="20"/>
                      </w:rPr>
                      <w:t>a</w:t>
                    </w:r>
                    <w:r>
                      <w:rPr>
                        <w:spacing w:val="-1"/>
                        <w:w w:val="99"/>
                        <w:position w:val="-7"/>
                        <w:sz w:val="20"/>
                      </w:rPr>
                      <w:t>i</w:t>
                    </w:r>
                    <w:r>
                      <w:rPr>
                        <w:spacing w:val="-77"/>
                        <w:w w:val="99"/>
                        <w:position w:val="-7"/>
                        <w:sz w:val="20"/>
                      </w:rPr>
                      <w:t>n</w:t>
                    </w:r>
                    <w:r>
                      <w:rPr>
                        <w:w w:val="99"/>
                        <w:sz w:val="20"/>
                      </w:rPr>
                      <w:t>s</w:t>
                    </w:r>
                    <w:r>
                      <w:rPr>
                        <w:spacing w:val="-2"/>
                        <w:sz w:val="20"/>
                      </w:rPr>
                      <w:t> </w:t>
                    </w:r>
                    <w:r>
                      <w:rPr>
                        <w:spacing w:val="-55"/>
                        <w:w w:val="99"/>
                        <w:position w:val="-7"/>
                        <w:sz w:val="20"/>
                      </w:rPr>
                      <w:t>t</w:t>
                    </w:r>
                    <w:r>
                      <w:rPr>
                        <w:spacing w:val="-44"/>
                        <w:w w:val="99"/>
                        <w:sz w:val="20"/>
                      </w:rPr>
                      <w:t>d</w:t>
                    </w:r>
                    <w:r>
                      <w:rPr>
                        <w:spacing w:val="-57"/>
                        <w:w w:val="99"/>
                        <w:position w:val="-7"/>
                        <w:sz w:val="20"/>
                      </w:rPr>
                      <w:t>h</w:t>
                    </w:r>
                    <w:r>
                      <w:rPr>
                        <w:spacing w:val="-34"/>
                        <w:w w:val="99"/>
                        <w:sz w:val="20"/>
                      </w:rPr>
                      <w:t>e</w:t>
                    </w:r>
                    <w:r>
                      <w:rPr>
                        <w:spacing w:val="-55"/>
                        <w:w w:val="99"/>
                        <w:position w:val="-7"/>
                        <w:sz w:val="20"/>
                      </w:rPr>
                      <w:t>e</w:t>
                    </w:r>
                    <w:r>
                      <w:rPr>
                        <w:spacing w:val="-2"/>
                        <w:w w:val="99"/>
                        <w:sz w:val="20"/>
                      </w:rPr>
                      <w:t>f</w:t>
                    </w:r>
                    <w:r>
                      <w:rPr>
                        <w:spacing w:val="-15"/>
                        <w:w w:val="99"/>
                        <w:sz w:val="20"/>
                      </w:rPr>
                      <w:t>i</w:t>
                    </w:r>
                    <w:r>
                      <w:rPr>
                        <w:spacing w:val="-161"/>
                        <w:w w:val="99"/>
                        <w:position w:val="-7"/>
                        <w:sz w:val="20"/>
                      </w:rPr>
                      <w:t>M</w:t>
                    </w:r>
                    <w:r>
                      <w:rPr>
                        <w:spacing w:val="-2"/>
                        <w:w w:val="99"/>
                        <w:sz w:val="20"/>
                      </w:rPr>
                      <w:t>n</w:t>
                    </w:r>
                    <w:r>
                      <w:rPr>
                        <w:spacing w:val="-24"/>
                        <w:w w:val="99"/>
                        <w:sz w:val="20"/>
                      </w:rPr>
                      <w:t>e</w:t>
                    </w:r>
                    <w:r>
                      <w:rPr>
                        <w:spacing w:val="-120"/>
                        <w:w w:val="99"/>
                        <w:position w:val="-7"/>
                        <w:sz w:val="20"/>
                      </w:rPr>
                      <w:t>A</w:t>
                    </w:r>
                    <w:r>
                      <w:rPr>
                        <w:w w:val="99"/>
                        <w:sz w:val="20"/>
                      </w:rPr>
                      <w:t>d</w:t>
                    </w:r>
                    <w:r>
                      <w:rPr>
                        <w:spacing w:val="-33"/>
                        <w:sz w:val="20"/>
                      </w:rPr>
                      <w:t> </w:t>
                    </w:r>
                    <w:r>
                      <w:rPr>
                        <w:spacing w:val="-56"/>
                        <w:w w:val="99"/>
                        <w:position w:val="-7"/>
                        <w:sz w:val="20"/>
                      </w:rPr>
                      <w:t>?</w:t>
                    </w:r>
                    <w:r>
                      <w:rPr>
                        <w:w w:val="99"/>
                        <w:sz w:val="20"/>
                      </w:rPr>
                      <w:t>in</w:t>
                    </w:r>
                  </w:p>
                </w:txbxContent>
              </v:textbox>
              <w10:wrap type="none"/>
            </v:shape>
            <v:shape style="position:absolute;left:5501;top:2828;width:723;height:221" type="#_x0000_t202" filled="false" stroked="false">
              <v:textbox inset="0,0,0,0">
                <w:txbxContent>
                  <w:p>
                    <w:pPr>
                      <w:spacing w:line="221" w:lineRule="exact" w:before="0"/>
                      <w:ind w:left="0" w:right="0" w:firstLine="0"/>
                      <w:jc w:val="left"/>
                      <w:rPr>
                        <w:sz w:val="20"/>
                      </w:rPr>
                    </w:pPr>
                    <w:r>
                      <w:rPr>
                        <w:sz w:val="20"/>
                      </w:rPr>
                      <w:t>the MA?</w:t>
                    </w:r>
                  </w:p>
                </w:txbxContent>
              </v:textbox>
              <w10:wrap type="none"/>
            </v:shape>
            <w10:wrap type="topAndBottom"/>
          </v:group>
        </w:pict>
      </w:r>
    </w:p>
    <w:p>
      <w:pPr>
        <w:pStyle w:val="BodyText"/>
        <w:rPr>
          <w:b/>
          <w:sz w:val="22"/>
        </w:rPr>
      </w:pPr>
    </w:p>
    <w:p>
      <w:pPr>
        <w:pStyle w:val="BodyText"/>
        <w:rPr>
          <w:b/>
          <w:sz w:val="22"/>
        </w:rPr>
      </w:pPr>
    </w:p>
    <w:p>
      <w:pPr>
        <w:pStyle w:val="BodyText"/>
        <w:rPr>
          <w:b/>
          <w:sz w:val="22"/>
        </w:rPr>
      </w:pPr>
    </w:p>
    <w:p>
      <w:pPr>
        <w:pStyle w:val="BodyText"/>
        <w:spacing w:before="8"/>
        <w:rPr>
          <w:b/>
          <w:sz w:val="28"/>
        </w:rPr>
      </w:pPr>
    </w:p>
    <w:p>
      <w:pPr>
        <w:pStyle w:val="BodyText"/>
        <w:ind w:left="179" w:right="1405"/>
        <w:jc w:val="both"/>
      </w:pPr>
      <w:r>
        <w:rPr/>
        <w:pict>
          <v:shape style="position:absolute;margin-left:398.561005pt;margin-top:-55.583389pt;width:113.05pt;height:26.9pt;mso-position-horizontal-relative:page;mso-position-vertical-relative:paragraph;z-index:24448" type="#_x0000_t202" filled="false" stroked="true" strokeweight="1.5pt" strokecolor="#010101">
            <v:textbox inset="0,0,0,0">
              <w:txbxContent>
                <w:p>
                  <w:pPr>
                    <w:pStyle w:val="BodyText"/>
                    <w:spacing w:before="139"/>
                    <w:ind w:left="330"/>
                  </w:pPr>
                  <w:r>
                    <w:rPr/>
                    <w:t>Not eligible for FM</w:t>
                  </w:r>
                </w:p>
              </w:txbxContent>
            </v:textbox>
            <v:stroke dashstyle="solid"/>
            <w10:wrap type="none"/>
          </v:shape>
        </w:pict>
      </w:r>
      <w:r>
        <w:rPr/>
        <w:pict>
          <v:shape style="position:absolute;margin-left:89.081001pt;margin-top:-55.583389pt;width:112.8pt;height:26.9pt;mso-position-horizontal-relative:page;mso-position-vertical-relative:paragraph;z-index:24472" type="#_x0000_t202" filled="false" stroked="true" strokeweight="1.5pt" strokecolor="#010101">
            <v:textbox inset="0,0,0,0">
              <w:txbxContent>
                <w:p>
                  <w:pPr>
                    <w:pStyle w:val="BodyText"/>
                    <w:spacing w:before="139"/>
                    <w:ind w:left="311"/>
                  </w:pPr>
                  <w:r>
                    <w:rPr/>
                    <w:t>Classify land as FM</w:t>
                  </w:r>
                </w:p>
              </w:txbxContent>
            </v:textbox>
            <v:stroke dashstyle="solid"/>
            <w10:wrap type="none"/>
          </v:shape>
        </w:pict>
      </w:r>
      <w:r>
        <w:rPr/>
        <w:t>It is </w:t>
      </w:r>
      <w:r>
        <w:rPr>
          <w:i/>
        </w:rPr>
        <w:t>good practice </w:t>
      </w:r>
      <w:r>
        <w:rPr/>
        <w:t>to develop clear criteria for the distinction between land subject to forest management, and land subject to other Article 3.4 activities, and to apply these criteria consistently across space and time. For example, forest areas that are predominantly managed for grazing could be included under forest management or grazing land management, but not both. Similarly, fruit orchards can meet the definition of forest, but be under cropland management. It is </w:t>
      </w:r>
      <w:r>
        <w:rPr>
          <w:i/>
        </w:rPr>
        <w:t>good practice </w:t>
      </w:r>
      <w:r>
        <w:rPr/>
        <w:t>to consider the predominant human influence on land when deciding its classification. Whether land is classified under forest management, or grazing land management/cropland management has implications for the accounting rules that apply, as outlined in Table</w:t>
      </w:r>
      <w:r>
        <w:rPr>
          <w:spacing w:val="-12"/>
        </w:rPr>
        <w:t> </w:t>
      </w:r>
      <w:r>
        <w:rPr/>
        <w:t>4.1.1.</w:t>
      </w:r>
    </w:p>
    <w:p>
      <w:pPr>
        <w:pStyle w:val="BodyText"/>
        <w:spacing w:before="118"/>
        <w:ind w:left="179" w:right="1404"/>
        <w:jc w:val="both"/>
      </w:pPr>
      <w:r>
        <w:rPr/>
        <w:t>It is </w:t>
      </w:r>
      <w:r>
        <w:rPr>
          <w:i/>
        </w:rPr>
        <w:t>good practice </w:t>
      </w:r>
      <w:r>
        <w:rPr/>
        <w:t>for each Party to describe its application of the definition of forest management and to delineate boundaries of the areas that encompass land subject to forest management in the inventory year of the commitment period. In most cases, this will be based on information contained in forest inventories including criteria such as administrative, zoning (e.g., protected areas or parks) or ownership boundaries, since the difference between managed and unmanaged forests or, possibly, between managed forest meeting the Marrakesh Accords definition of forest management and managed forest not doing so, may be difficult or impossible to detect by remote sensing or other forms of observation. Lands subject to afforestation and reforestation activities that also qualify as forest management lands must be identified separately from those areas meeting only the criteria of Article 3.3 or those only subject to forest management under Article 3.4. Identification of these areas reduces the possibility of double</w:t>
      </w:r>
      <w:r>
        <w:rPr>
          <w:spacing w:val="-8"/>
        </w:rPr>
        <w:t> </w:t>
      </w:r>
      <w:r>
        <w:rPr/>
        <w:t>counting.</w:t>
      </w:r>
    </w:p>
    <w:p>
      <w:pPr>
        <w:pStyle w:val="BodyText"/>
        <w:spacing w:before="119"/>
        <w:ind w:left="179" w:right="1403"/>
        <w:jc w:val="both"/>
      </w:pPr>
      <w:r>
        <w:rPr/>
        <w:t>The area of land subject to forest management can increase (or decrease) over time. For example, if a country expands its road infrastructure into previously unmanaged forests and initiates harvesting activities, the area of land subject to forest management is increasing and the associated carbon stock changes need to be estimated accordingly. Where changes in area occur over time, it is essential that the methods for carbon stock change calculation are applied in the sequence outlined in Section 4.2.3.2. Failure to use the correct computational methods may result in an apparent but incorrect increase in carbon stocks that is the result of the area change.</w:t>
      </w:r>
    </w:p>
    <w:p>
      <w:pPr>
        <w:pStyle w:val="BodyText"/>
        <w:spacing w:before="118"/>
        <w:ind w:left="179" w:right="1402"/>
        <w:jc w:val="both"/>
      </w:pPr>
      <w:r>
        <w:rPr/>
        <w:t>Once an area has been included in the carbon stock change reporting under the Kyoto Protocol it cannot be removed, but it can change the reporting category (as outlined in Section 4.1.2). The area subject to forest management can only decrease over time when area is lost through deforestation activities. Units of land that are deforested are, however, subject to the rules of Article 3.3 and future carbon stock changes must be reported. Thus, while the area reported under Article 3.4 would be decreasing, the area reported under Article 3.3 would be increasing by the same</w:t>
      </w:r>
      <w:r>
        <w:rPr>
          <w:spacing w:val="-6"/>
        </w:rPr>
        <w:t> </w:t>
      </w:r>
      <w:r>
        <w:rPr/>
        <w:t>amount.</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597" w:hanging="1"/>
        <w:rPr>
          <w:i/>
        </w:rPr>
      </w:pPr>
      <w:r>
        <w:rPr/>
        <w:pict>
          <v:shape style="position:absolute;margin-left:91.960999pt;margin-top:30.096243pt;width:411.5pt;height:118.6pt;mso-position-horizontal-relative:page;mso-position-vertical-relative:paragraph;z-index:22448;mso-wrap-distance-left:0;mso-wrap-distance-right:0" type="#_x0000_t202" filled="false" stroked="true" strokeweight="1.44pt" strokecolor="#000000">
            <v:textbox inset="0,0,0,0">
              <w:txbxContent>
                <w:p>
                  <w:pPr>
                    <w:spacing w:before="100"/>
                    <w:ind w:left="67" w:right="68" w:firstLine="0"/>
                    <w:jc w:val="center"/>
                    <w:rPr>
                      <w:b/>
                      <w:sz w:val="18"/>
                    </w:rPr>
                  </w:pPr>
                  <w:r>
                    <w:rPr>
                      <w:b/>
                      <w:sz w:val="18"/>
                    </w:rPr>
                    <w:t>B</w:t>
                  </w:r>
                  <w:r>
                    <w:rPr>
                      <w:b/>
                      <w:sz w:val="14"/>
                    </w:rPr>
                    <w:t>OX </w:t>
                  </w:r>
                  <w:r>
                    <w:rPr>
                      <w:b/>
                      <w:sz w:val="18"/>
                    </w:rPr>
                    <w:t>4.2.6</w:t>
                  </w:r>
                </w:p>
                <w:p>
                  <w:pPr>
                    <w:spacing w:before="120"/>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spacing w:before="113"/>
                    <w:ind w:left="127"/>
                  </w:pPr>
                  <w:r>
                    <w:rPr/>
                    <w:t>Forest land remaining forest land in Chapter 3.</w:t>
                  </w:r>
                </w:p>
                <w:p>
                  <w:pPr>
                    <w:pStyle w:val="BodyText"/>
                    <w:rPr>
                      <w:i/>
                      <w:sz w:val="22"/>
                    </w:rPr>
                  </w:pPr>
                </w:p>
                <w:p>
                  <w:pPr>
                    <w:pStyle w:val="BodyText"/>
                    <w:spacing w:before="5"/>
                    <w:rPr>
                      <w:i/>
                      <w:sz w:val="19"/>
                    </w:rPr>
                  </w:pPr>
                </w:p>
                <w:p>
                  <w:pPr>
                    <w:spacing w:before="1"/>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spacing w:line="242" w:lineRule="auto" w:before="112"/>
                    <w:ind w:left="127" w:right="124"/>
                  </w:pPr>
                  <w:r>
                    <w:rPr/>
                    <w:t>Not available in a format that meets requirements in the Marrakesh Accords for geographical location of the boundaries.</w:t>
                  </w:r>
                </w:p>
              </w:txbxContent>
            </v:textbox>
            <v:stroke dashstyle="solid"/>
            <w10:wrap type="topAndBottom"/>
          </v:shape>
        </w:pict>
      </w:r>
      <w:r>
        <w:rPr/>
        <w:t>Box 4.2.6 summarises links with methodologies in this report and with the </w:t>
      </w:r>
      <w:r>
        <w:rPr>
          <w:i/>
        </w:rPr>
        <w:t>IPCC Guidelines </w:t>
      </w:r>
      <w:r>
        <w:rPr/>
        <w:t>for  the identification of land areas</w:t>
      </w:r>
      <w:r>
        <w:rPr>
          <w:i/>
        </w:rPr>
        <w:t>.</w:t>
      </w:r>
    </w:p>
    <w:p>
      <w:pPr>
        <w:pStyle w:val="BodyText"/>
        <w:spacing w:before="8"/>
        <w:rPr>
          <w:i/>
          <w:sz w:val="23"/>
        </w:rPr>
      </w:pPr>
    </w:p>
    <w:p>
      <w:pPr>
        <w:pStyle w:val="Heading6"/>
        <w:numPr>
          <w:ilvl w:val="3"/>
          <w:numId w:val="160"/>
        </w:numPr>
        <w:tabs>
          <w:tab w:pos="1619" w:val="left" w:leader="none"/>
          <w:tab w:pos="1620" w:val="left" w:leader="none"/>
        </w:tabs>
        <w:spacing w:line="240" w:lineRule="auto" w:before="89" w:after="0"/>
        <w:ind w:left="1619" w:right="1823" w:hanging="1440"/>
        <w:jc w:val="left"/>
      </w:pPr>
      <w:r>
        <w:rPr>
          <w:spacing w:val="16"/>
          <w:sz w:val="28"/>
        </w:rPr>
        <w:t>C</w:t>
      </w:r>
      <w:r>
        <w:rPr>
          <w:spacing w:val="16"/>
        </w:rPr>
        <w:t>HOICE </w:t>
      </w:r>
      <w:r>
        <w:rPr>
          <w:spacing w:val="10"/>
        </w:rPr>
        <w:t>OF </w:t>
      </w:r>
      <w:r>
        <w:rPr>
          <w:spacing w:val="16"/>
        </w:rPr>
        <w:t>METHODS </w:t>
      </w:r>
      <w:r>
        <w:rPr>
          <w:spacing w:val="13"/>
        </w:rPr>
        <w:t>FOR </w:t>
      </w:r>
      <w:r>
        <w:rPr>
          <w:spacing w:val="17"/>
        </w:rPr>
        <w:t>ESTIMATING </w:t>
      </w:r>
      <w:r>
        <w:rPr>
          <w:spacing w:val="16"/>
        </w:rPr>
        <w:t>CARBON </w:t>
      </w:r>
      <w:r>
        <w:rPr>
          <w:spacing w:val="15"/>
        </w:rPr>
        <w:t>STOCK </w:t>
      </w:r>
      <w:r>
        <w:rPr>
          <w:spacing w:val="16"/>
        </w:rPr>
        <w:t>CHANGES </w:t>
      </w:r>
      <w:r>
        <w:rPr>
          <w:spacing w:val="12"/>
        </w:rPr>
        <w:t>AND </w:t>
      </w:r>
      <w:r>
        <w:rPr>
          <w:spacing w:val="16"/>
        </w:rPr>
        <w:t>NON</w:t>
      </w:r>
      <w:r>
        <w:rPr>
          <w:spacing w:val="16"/>
          <w:sz w:val="28"/>
        </w:rPr>
        <w:t>-CO</w:t>
      </w:r>
      <w:r>
        <w:rPr>
          <w:spacing w:val="16"/>
          <w:sz w:val="28"/>
          <w:vertAlign w:val="subscript"/>
        </w:rPr>
        <w:t>2</w:t>
      </w:r>
      <w:r>
        <w:rPr>
          <w:spacing w:val="16"/>
          <w:sz w:val="28"/>
          <w:vertAlign w:val="baseline"/>
        </w:rPr>
        <w:t> </w:t>
      </w:r>
      <w:r>
        <w:rPr>
          <w:spacing w:val="17"/>
          <w:vertAlign w:val="baseline"/>
        </w:rPr>
        <w:t>GREENHOUSE </w:t>
      </w:r>
      <w:r>
        <w:rPr>
          <w:spacing w:val="12"/>
          <w:vertAlign w:val="baseline"/>
        </w:rPr>
        <w:t>GAS</w:t>
      </w:r>
      <w:r>
        <w:rPr>
          <w:spacing w:val="6"/>
          <w:vertAlign w:val="baseline"/>
        </w:rPr>
        <w:t> </w:t>
      </w:r>
      <w:r>
        <w:rPr>
          <w:spacing w:val="16"/>
          <w:vertAlign w:val="baseline"/>
        </w:rPr>
        <w:t>EMISSIONS</w:t>
      </w:r>
    </w:p>
    <w:p>
      <w:pPr>
        <w:pStyle w:val="BodyText"/>
        <w:spacing w:before="211"/>
        <w:ind w:left="179" w:right="1406"/>
        <w:jc w:val="both"/>
      </w:pPr>
      <w:r>
        <w:rPr/>
        <w:t>The methods to estimate carbon stock changes in the various pools follow those in the </w:t>
      </w:r>
      <w:r>
        <w:rPr>
          <w:i/>
        </w:rPr>
        <w:t>IPCC Guidelines </w:t>
      </w:r>
      <w:r>
        <w:rPr/>
        <w:t>as elaborated in Chapter 3 for above- and belowground biomass and soil organic carbon, with litter being the same as the forest floor pool and dead wood the same as coarse woody debris, both definitions as described in Chapter 3 in Table 3.1.2.</w:t>
      </w:r>
    </w:p>
    <w:p>
      <w:pPr>
        <w:pStyle w:val="BodyText"/>
        <w:spacing w:before="119"/>
        <w:ind w:left="179" w:right="1404"/>
        <w:jc w:val="both"/>
      </w:pPr>
      <w:r>
        <w:rPr/>
        <w:t>On areas subject to forest management activities, gross-net accounting rules are applied and information on carbon stock changes in the base year (i.e., 1990 in most cases) is therefore not required. Only the net changes in ecosystem carbon stocks and the non-CO</w:t>
      </w:r>
      <w:r>
        <w:rPr>
          <w:vertAlign w:val="subscript"/>
        </w:rPr>
        <w:t>2</w:t>
      </w:r>
      <w:r>
        <w:rPr>
          <w:vertAlign w:val="baseline"/>
        </w:rPr>
        <w:t> greenhouse gas emissions during each year of the commitment period are estimated and reported.</w:t>
      </w:r>
    </w:p>
    <w:p>
      <w:pPr>
        <w:spacing w:before="119"/>
        <w:ind w:left="179" w:right="1405" w:firstLine="0"/>
        <w:jc w:val="both"/>
        <w:rPr>
          <w:sz w:val="20"/>
        </w:rPr>
      </w:pPr>
      <w:r>
        <w:rPr>
          <w:sz w:val="20"/>
        </w:rPr>
        <w:t>In general, the LULUCF sector methods of the </w:t>
      </w:r>
      <w:r>
        <w:rPr>
          <w:i/>
          <w:sz w:val="20"/>
        </w:rPr>
        <w:t>IPCC Guidelines </w:t>
      </w:r>
      <w:r>
        <w:rPr>
          <w:sz w:val="20"/>
        </w:rPr>
        <w:t>as elaborated by Chapter 3 of this report are applicable to forest management lands. They include “</w:t>
      </w:r>
      <w:r>
        <w:rPr>
          <w:i/>
          <w:sz w:val="20"/>
        </w:rPr>
        <w:t>any forest which experiences periodic or on-going human interventions that affect carbon stocks</w:t>
      </w:r>
      <w:r>
        <w:rPr>
          <w:sz w:val="20"/>
        </w:rPr>
        <w:t>” (p. 5.14, Reference Manual, IPCC, 1997). The tier structure should be applied as follows:</w:t>
      </w:r>
    </w:p>
    <w:p>
      <w:pPr>
        <w:pStyle w:val="ListParagraph"/>
        <w:numPr>
          <w:ilvl w:val="0"/>
          <w:numId w:val="117"/>
        </w:numPr>
        <w:tabs>
          <w:tab w:pos="540" w:val="left" w:leader="none"/>
        </w:tabs>
        <w:spacing w:line="237" w:lineRule="auto" w:before="136" w:after="0"/>
        <w:ind w:left="539" w:right="1404" w:hanging="360"/>
        <w:jc w:val="both"/>
        <w:rPr>
          <w:sz w:val="20"/>
        </w:rPr>
      </w:pPr>
      <w:r>
        <w:rPr>
          <w:sz w:val="20"/>
        </w:rPr>
        <w:t>Tier 1 as elaborated in Chapter 3 assumes that the net change in the carbon stock for litter (forest floor), dead wood and soil organic carbon (SOC) pools is zero, but the Marrakesh Accords specify that above- and belowground biomass, litter, dead wood and SOC should all be counted unless the country chooses not to count a pool that can be shown not to be a source. Therefore Tier 1 can only be applied if the litter, dead wood and SOC pools can be shown not to be a source using the methods outlined in the Section 4.2.3.1. Tier 1 can also only be applied if forest management is not considered a key category, which can only be the case if “forest land remaining forest land” in Chapter 3 are not a key</w:t>
      </w:r>
      <w:r>
        <w:rPr>
          <w:spacing w:val="-8"/>
          <w:sz w:val="20"/>
        </w:rPr>
        <w:t> </w:t>
      </w:r>
      <w:r>
        <w:rPr>
          <w:sz w:val="20"/>
        </w:rPr>
        <w:t>category.</w:t>
      </w:r>
    </w:p>
    <w:p>
      <w:pPr>
        <w:pStyle w:val="ListParagraph"/>
        <w:numPr>
          <w:ilvl w:val="0"/>
          <w:numId w:val="117"/>
        </w:numPr>
        <w:tabs>
          <w:tab w:pos="540" w:val="left" w:leader="none"/>
        </w:tabs>
        <w:spacing w:line="223" w:lineRule="auto" w:before="142" w:after="0"/>
        <w:ind w:left="539" w:right="1408" w:hanging="360"/>
        <w:jc w:val="both"/>
        <w:rPr>
          <w:sz w:val="20"/>
        </w:rPr>
      </w:pPr>
      <w:r>
        <w:rPr>
          <w:sz w:val="20"/>
        </w:rPr>
        <w:t>Tier 2 and 3 methods should be applied with all pools quantified unless the Party decides to exclude those that can be shown not to be a source, using the methods described in Section</w:t>
      </w:r>
      <w:r>
        <w:rPr>
          <w:spacing w:val="-7"/>
          <w:sz w:val="20"/>
        </w:rPr>
        <w:t> </w:t>
      </w:r>
      <w:r>
        <w:rPr>
          <w:sz w:val="20"/>
        </w:rPr>
        <w:t>4.3.2.1.</w:t>
      </w:r>
    </w:p>
    <w:p>
      <w:pPr>
        <w:pStyle w:val="BodyText"/>
        <w:spacing w:before="125"/>
        <w:ind w:left="179" w:right="1408"/>
        <w:jc w:val="both"/>
      </w:pPr>
      <w:r>
        <w:rPr/>
        <w:t>The information requirements for Kyoto Protocol reporting can only be satisfied with the information contained in the national UNFCCC inventory if:</w:t>
      </w:r>
    </w:p>
    <w:p>
      <w:pPr>
        <w:pStyle w:val="ListParagraph"/>
        <w:numPr>
          <w:ilvl w:val="0"/>
          <w:numId w:val="161"/>
        </w:numPr>
        <w:tabs>
          <w:tab w:pos="540" w:val="left" w:leader="none"/>
        </w:tabs>
        <w:spacing w:line="240" w:lineRule="auto" w:before="118" w:after="0"/>
        <w:ind w:left="539" w:right="1406" w:hanging="360"/>
        <w:jc w:val="both"/>
        <w:rPr>
          <w:sz w:val="20"/>
        </w:rPr>
      </w:pPr>
      <w:r>
        <w:rPr>
          <w:sz w:val="20"/>
        </w:rPr>
        <w:t>The areas subject to forest management are the same as the areas of the managed forest (Figure 4.2.8), (or where these are not the same the area and carbon stock changes of the areas subject to forest management are known),</w:t>
      </w:r>
      <w:r>
        <w:rPr>
          <w:spacing w:val="1"/>
          <w:sz w:val="20"/>
        </w:rPr>
        <w:t> </w:t>
      </w:r>
      <w:r>
        <w:rPr>
          <w:sz w:val="20"/>
        </w:rPr>
        <w:t>and</w:t>
      </w:r>
    </w:p>
    <w:p>
      <w:pPr>
        <w:pStyle w:val="ListParagraph"/>
        <w:numPr>
          <w:ilvl w:val="0"/>
          <w:numId w:val="161"/>
        </w:numPr>
        <w:tabs>
          <w:tab w:pos="540" w:val="left" w:leader="none"/>
        </w:tabs>
        <w:spacing w:line="240" w:lineRule="auto" w:before="121" w:after="0"/>
        <w:ind w:left="539" w:right="1408" w:hanging="360"/>
        <w:jc w:val="both"/>
        <w:rPr>
          <w:sz w:val="20"/>
        </w:rPr>
      </w:pPr>
      <w:r>
        <w:rPr>
          <w:sz w:val="20"/>
        </w:rPr>
        <w:t>The area and carbon stock changes of the managed forest within the geographic boundaries of each of the strata used in a country are known,</w:t>
      </w:r>
      <w:r>
        <w:rPr>
          <w:spacing w:val="-1"/>
          <w:sz w:val="20"/>
        </w:rPr>
        <w:t> </w:t>
      </w:r>
      <w:r>
        <w:rPr>
          <w:sz w:val="20"/>
        </w:rPr>
        <w:t>and</w:t>
      </w:r>
    </w:p>
    <w:p>
      <w:pPr>
        <w:pStyle w:val="ListParagraph"/>
        <w:numPr>
          <w:ilvl w:val="0"/>
          <w:numId w:val="161"/>
        </w:numPr>
        <w:tabs>
          <w:tab w:pos="540" w:val="left" w:leader="none"/>
        </w:tabs>
        <w:spacing w:line="240" w:lineRule="auto" w:before="119" w:after="0"/>
        <w:ind w:left="539" w:right="1404" w:hanging="360"/>
        <w:jc w:val="both"/>
        <w:rPr>
          <w:sz w:val="20"/>
        </w:rPr>
      </w:pPr>
      <w:r>
        <w:rPr>
          <w:sz w:val="20"/>
        </w:rPr>
        <w:t>The area of the managed forest that was the result of direct human-induced afforestation or reforestation since 1990 is known, along with the carbon stock changes on this</w:t>
      </w:r>
      <w:r>
        <w:rPr>
          <w:spacing w:val="-8"/>
          <w:sz w:val="20"/>
        </w:rPr>
        <w:t> </w:t>
      </w:r>
      <w:r>
        <w:rPr>
          <w:sz w:val="20"/>
        </w:rPr>
        <w:t>area.</w:t>
      </w:r>
    </w:p>
    <w:p>
      <w:pPr>
        <w:pStyle w:val="BodyText"/>
        <w:spacing w:before="121"/>
        <w:ind w:left="179" w:right="1404"/>
        <w:jc w:val="both"/>
      </w:pPr>
      <w:r>
        <w:rPr/>
        <w:t>Where it is possible to extract this information from the UNFCCC inventory, the following steps will be necessary to prepare Kyoto Protocol reporting from the Party’s UNFCCC inventory:</w:t>
      </w:r>
    </w:p>
    <w:p>
      <w:pPr>
        <w:pStyle w:val="ListParagraph"/>
        <w:numPr>
          <w:ilvl w:val="0"/>
          <w:numId w:val="162"/>
        </w:numPr>
        <w:tabs>
          <w:tab w:pos="540" w:val="left" w:leader="none"/>
        </w:tabs>
        <w:spacing w:line="240" w:lineRule="auto" w:before="118" w:after="0"/>
        <w:ind w:left="539" w:right="1407" w:hanging="360"/>
        <w:jc w:val="both"/>
        <w:rPr>
          <w:sz w:val="20"/>
        </w:rPr>
      </w:pPr>
      <w:r>
        <w:rPr>
          <w:sz w:val="20"/>
        </w:rPr>
        <w:t>Calculate and then sum the carbon stock changes for remaining forests and transitions to forest including all pools for each of the strata used in the</w:t>
      </w:r>
      <w:r>
        <w:rPr>
          <w:spacing w:val="-3"/>
          <w:sz w:val="20"/>
        </w:rPr>
        <w:t> </w:t>
      </w:r>
      <w:r>
        <w:rPr>
          <w:sz w:val="20"/>
        </w:rPr>
        <w:t>country.</w:t>
      </w:r>
    </w:p>
    <w:p>
      <w:pPr>
        <w:pStyle w:val="ListParagraph"/>
        <w:numPr>
          <w:ilvl w:val="0"/>
          <w:numId w:val="162"/>
        </w:numPr>
        <w:tabs>
          <w:tab w:pos="540" w:val="left" w:leader="none"/>
        </w:tabs>
        <w:spacing w:line="240" w:lineRule="auto" w:before="121" w:after="0"/>
        <w:ind w:left="539" w:right="1404" w:hanging="360"/>
        <w:jc w:val="both"/>
        <w:rPr>
          <w:sz w:val="20"/>
        </w:rPr>
      </w:pPr>
      <w:r>
        <w:rPr>
          <w:sz w:val="20"/>
        </w:rPr>
        <w:t>Subtract carbon stock changes on areas (if any) that meet the criteria for managed forests but not for forest management as defined by the Marrakesh Accords. If national circumstances lead to the situation that the area subject to forest management under Article 3.4 contains areas that are not part of the managed forest, then the carbon stock changes on this additional area have to be</w:t>
      </w:r>
      <w:r>
        <w:rPr>
          <w:spacing w:val="-5"/>
          <w:sz w:val="20"/>
        </w:rPr>
        <w:t> </w:t>
      </w:r>
      <w:r>
        <w:rPr>
          <w:sz w:val="20"/>
        </w:rPr>
        <w:t>added.</w:t>
      </w:r>
    </w:p>
    <w:p>
      <w:pPr>
        <w:spacing w:after="0" w:line="240" w:lineRule="auto"/>
        <w:jc w:val="both"/>
        <w:rPr>
          <w:sz w:val="20"/>
        </w:rPr>
        <w:sectPr>
          <w:pgSz w:w="11900" w:h="16840"/>
          <w:pgMar w:header="230" w:footer="408" w:top="560" w:bottom="600" w:left="1240" w:right="0"/>
        </w:sectPr>
      </w:pPr>
    </w:p>
    <w:p>
      <w:pPr>
        <w:pStyle w:val="BodyText"/>
      </w:pPr>
    </w:p>
    <w:p>
      <w:pPr>
        <w:pStyle w:val="BodyText"/>
        <w:spacing w:before="2"/>
        <w:rPr>
          <w:sz w:val="18"/>
        </w:rPr>
      </w:pPr>
    </w:p>
    <w:p>
      <w:pPr>
        <w:pStyle w:val="ListParagraph"/>
        <w:numPr>
          <w:ilvl w:val="0"/>
          <w:numId w:val="162"/>
        </w:numPr>
        <w:tabs>
          <w:tab w:pos="540" w:val="left" w:leader="none"/>
        </w:tabs>
        <w:spacing w:line="240" w:lineRule="auto" w:before="0" w:after="0"/>
        <w:ind w:left="539" w:right="1406" w:hanging="360"/>
        <w:jc w:val="both"/>
        <w:rPr>
          <w:sz w:val="20"/>
        </w:rPr>
      </w:pPr>
      <w:r>
        <w:rPr>
          <w:sz w:val="20"/>
        </w:rPr>
        <w:t>Subtract the carbon stock changes on units of land subject to afforestation and reforestation from the total remaining after Step 2, and report the results using reporting Table 4.2.5 and the means for displaying mapped information.</w:t>
      </w:r>
    </w:p>
    <w:p>
      <w:pPr>
        <w:pStyle w:val="BodyText"/>
        <w:spacing w:before="121"/>
        <w:ind w:left="179" w:right="1404"/>
        <w:jc w:val="both"/>
      </w:pPr>
      <w:r>
        <w:rPr/>
        <w:t>A possibly more practicable alternative is to calculate and sum the carbon stock changes for each stratum (the areas defined by the location of the geographical boundaries) during each year of the commitment period on all land areas that are subject to forest management. To meet the Kyoto Protocol reporting requirements, national forest carbon accounting systems should be able to track for all forest areas, whether these are classified as managed forest (UNFCCC) or subject to Articles 3.3 and/or 3.4 of the Kyoto Protocol. Such systems can then be used to calculate and report the net carbon stock changes in all relevant categories for both UNFCCC and Kyoto Protocol reporting. Such a comprehensive approach would also ensure consistency among the methods used for calculating and reporting carbon stock changes, because the same forest and land-use change inventories would be the basis for the computations used in both UNFCCC and Kyoto Protocol reporting.</w:t>
      </w:r>
    </w:p>
    <w:p>
      <w:pPr>
        <w:pStyle w:val="BodyText"/>
        <w:spacing w:before="117"/>
        <w:ind w:left="179" w:right="1405"/>
        <w:jc w:val="both"/>
      </w:pPr>
      <w:r>
        <w:rPr/>
        <w:pict>
          <v:shape style="position:absolute;margin-left:91.960999pt;margin-top:35.948132pt;width:411.5pt;height:194.05pt;mso-position-horizontal-relative:page;mso-position-vertical-relative:paragraph;z-index:22472;mso-wrap-distance-left:0;mso-wrap-distance-right:0" type="#_x0000_t202" filled="false" stroked="true" strokeweight="1.44pt" strokecolor="#000000">
            <v:textbox inset="0,0,0,0">
              <w:txbxContent>
                <w:p>
                  <w:pPr>
                    <w:spacing w:before="100"/>
                    <w:ind w:left="67" w:right="68" w:firstLine="0"/>
                    <w:jc w:val="center"/>
                    <w:rPr>
                      <w:b/>
                      <w:sz w:val="18"/>
                    </w:rPr>
                  </w:pPr>
                  <w:r>
                    <w:rPr>
                      <w:b/>
                      <w:sz w:val="18"/>
                    </w:rPr>
                    <w:t>B</w:t>
                  </w:r>
                  <w:r>
                    <w:rPr>
                      <w:b/>
                      <w:sz w:val="14"/>
                    </w:rPr>
                    <w:t>OX </w:t>
                  </w:r>
                  <w:r>
                    <w:rPr>
                      <w:b/>
                      <w:sz w:val="18"/>
                    </w:rPr>
                    <w:t>4.2.7</w:t>
                  </w:r>
                </w:p>
                <w:p>
                  <w:pPr>
                    <w:spacing w:before="120"/>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spacing w:before="113"/>
                    <w:ind w:left="127"/>
                  </w:pPr>
                  <w:r>
                    <w:rPr/>
                    <w:t>Chapter 3 Section 3.2.1 (Forest land remaining forest land)</w:t>
                  </w:r>
                </w:p>
                <w:p>
                  <w:pPr>
                    <w:pStyle w:val="BodyText"/>
                    <w:spacing w:before="120"/>
                    <w:ind w:left="127"/>
                  </w:pPr>
                  <w:r>
                    <w:rPr/>
                    <w:t>The area subject to forest management may not be the same as the area of “forest land remaining forest land” and estimates may have to be adjusted accordingly.</w:t>
                  </w:r>
                </w:p>
                <w:p>
                  <w:pPr>
                    <w:spacing w:before="128"/>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tabs>
                      <w:tab w:pos="1005" w:val="left" w:leader="none"/>
                    </w:tabs>
                    <w:spacing w:before="112"/>
                    <w:ind w:left="1005" w:right="124" w:hanging="879"/>
                  </w:pPr>
                  <w:r>
                    <w:rPr/>
                    <w:t>5 A</w:t>
                    <w:tab/>
                    <w:t>Changes in forest and other woody biomass stocks (subtract all afforestation and reforestation since 1990 - as determined above - from the 5A category</w:t>
                  </w:r>
                  <w:r>
                    <w:rPr>
                      <w:spacing w:val="-23"/>
                    </w:rPr>
                    <w:t> </w:t>
                  </w:r>
                  <w:r>
                    <w:rPr/>
                    <w:t>estimate).</w:t>
                  </w:r>
                </w:p>
                <w:p>
                  <w:pPr>
                    <w:pStyle w:val="BodyText"/>
                    <w:tabs>
                      <w:tab w:pos="1005" w:val="left" w:leader="none"/>
                    </w:tabs>
                    <w:spacing w:line="364" w:lineRule="auto" w:before="119"/>
                    <w:ind w:left="127" w:right="4033"/>
                  </w:pPr>
                  <w:r>
                    <w:rPr/>
                    <w:t>5 D</w:t>
                    <w:tab/>
                    <w:t>CO</w:t>
                  </w:r>
                  <w:r>
                    <w:rPr>
                      <w:vertAlign w:val="subscript"/>
                    </w:rPr>
                    <w:t>2</w:t>
                  </w:r>
                  <w:r>
                    <w:rPr>
                      <w:vertAlign w:val="baseline"/>
                    </w:rPr>
                    <w:t> emissions and removals from soils 5 E</w:t>
                    <w:tab/>
                    <w:t>Other (CH</w:t>
                  </w:r>
                  <w:r>
                    <w:rPr>
                      <w:vertAlign w:val="subscript"/>
                    </w:rPr>
                    <w:t>4</w:t>
                  </w:r>
                  <w:r>
                    <w:rPr>
                      <w:vertAlign w:val="baseline"/>
                    </w:rPr>
                    <w:t>, N</w:t>
                  </w:r>
                  <w:r>
                    <w:rPr>
                      <w:vertAlign w:val="subscript"/>
                    </w:rPr>
                    <w:t>2</w:t>
                  </w:r>
                  <w:r>
                    <w:rPr>
                      <w:vertAlign w:val="baseline"/>
                    </w:rPr>
                    <w:t>O in managed</w:t>
                  </w:r>
                  <w:r>
                    <w:rPr>
                      <w:spacing w:val="-10"/>
                      <w:vertAlign w:val="baseline"/>
                    </w:rPr>
                    <w:t> </w:t>
                  </w:r>
                  <w:r>
                    <w:rPr>
                      <w:vertAlign w:val="baseline"/>
                    </w:rPr>
                    <w:t>forests)</w:t>
                  </w:r>
                </w:p>
                <w:p>
                  <w:pPr>
                    <w:pStyle w:val="BodyText"/>
                    <w:spacing w:line="242" w:lineRule="auto" w:before="1"/>
                    <w:ind w:left="127" w:right="124"/>
                    <w:rPr>
                      <w:i/>
                    </w:rPr>
                  </w:pPr>
                  <w:r>
                    <w:rPr/>
                    <w:t>The default methodologies in the </w:t>
                  </w:r>
                  <w:r>
                    <w:rPr>
                      <w:i/>
                    </w:rPr>
                    <w:t>IPCC Guidelines </w:t>
                  </w:r>
                  <w:r>
                    <w:rPr/>
                    <w:t>do neither cover belowground biomass, nor dead organic matter</w:t>
                  </w:r>
                  <w:r>
                    <w:rPr>
                      <w:i/>
                    </w:rPr>
                    <w:t>.</w:t>
                  </w:r>
                </w:p>
              </w:txbxContent>
            </v:textbox>
            <v:stroke dashstyle="solid"/>
            <w10:wrap type="topAndBottom"/>
          </v:shape>
        </w:pict>
      </w:r>
      <w:r>
        <w:rPr/>
        <w:t>Box 4.2.7 summarises links with methodologies in this report and with the </w:t>
      </w:r>
      <w:r>
        <w:rPr>
          <w:i/>
        </w:rPr>
        <w:t>IPCC Guidelines </w:t>
      </w:r>
      <w:r>
        <w:rPr/>
        <w:t>to estimate carbon stock changes and non-CO</w:t>
      </w:r>
      <w:r>
        <w:rPr>
          <w:vertAlign w:val="subscript"/>
        </w:rPr>
        <w:t>2</w:t>
      </w:r>
      <w:r>
        <w:rPr>
          <w:vertAlign w:val="baseline"/>
        </w:rPr>
        <w:t> emissions.</w:t>
      </w:r>
    </w:p>
    <w:p>
      <w:pPr>
        <w:pStyle w:val="BodyText"/>
        <w:spacing w:before="7"/>
        <w:rPr>
          <w:sz w:val="29"/>
        </w:rPr>
      </w:pPr>
    </w:p>
    <w:p>
      <w:pPr>
        <w:pStyle w:val="BodyText"/>
        <w:spacing w:before="91"/>
        <w:ind w:left="179" w:right="1426"/>
      </w:pPr>
      <w:r>
        <w:rPr/>
        <w:t>Methods for estimating non-CO</w:t>
      </w:r>
      <w:r>
        <w:rPr>
          <w:vertAlign w:val="subscript"/>
        </w:rPr>
        <w:t>2</w:t>
      </w:r>
      <w:r>
        <w:rPr>
          <w:vertAlign w:val="baseline"/>
        </w:rPr>
        <w:t> emissions from forests remaining forests are addressed in Chapter 3 (Section 3.2.1). The </w:t>
      </w:r>
      <w:r>
        <w:rPr>
          <w:i/>
          <w:vertAlign w:val="baseline"/>
        </w:rPr>
        <w:t>good practice guidance </w:t>
      </w:r>
      <w:r>
        <w:rPr>
          <w:vertAlign w:val="baseline"/>
        </w:rPr>
        <w:t>for choosing activity data and emission factors for the estimation of non-CO</w:t>
      </w:r>
      <w:r>
        <w:rPr>
          <w:vertAlign w:val="subscript"/>
        </w:rPr>
        <w:t>2</w:t>
      </w:r>
      <w:r>
        <w:rPr>
          <w:vertAlign w:val="baseline"/>
        </w:rPr>
        <w:t> emissions as discussed in Chapter 3 also applies to forest management lands.</w:t>
      </w:r>
    </w:p>
    <w:p>
      <w:pPr>
        <w:spacing w:after="0"/>
        <w:sectPr>
          <w:pgSz w:w="11900" w:h="16840"/>
          <w:pgMar w:header="230" w:footer="408" w:top="560" w:bottom="600" w:left="1240" w:right="0"/>
        </w:sectPr>
      </w:pPr>
    </w:p>
    <w:p>
      <w:pPr>
        <w:pStyle w:val="BodyText"/>
      </w:pPr>
    </w:p>
    <w:p>
      <w:pPr>
        <w:pStyle w:val="BodyText"/>
      </w:pPr>
    </w:p>
    <w:p>
      <w:pPr>
        <w:pStyle w:val="BodyText"/>
        <w:spacing w:before="6"/>
        <w:rPr>
          <w:sz w:val="22"/>
        </w:rPr>
      </w:pPr>
    </w:p>
    <w:p>
      <w:pPr>
        <w:pStyle w:val="Heading2"/>
        <w:numPr>
          <w:ilvl w:val="2"/>
          <w:numId w:val="163"/>
        </w:numPr>
        <w:tabs>
          <w:tab w:pos="1382" w:val="left" w:leader="none"/>
        </w:tabs>
        <w:spacing w:line="240" w:lineRule="auto" w:before="86" w:after="0"/>
        <w:ind w:left="1381" w:right="0" w:hanging="1202"/>
        <w:jc w:val="both"/>
      </w:pPr>
      <w:r>
        <w:rPr>
          <w:spacing w:val="8"/>
        </w:rPr>
        <w:t>Cropland</w:t>
      </w:r>
      <w:r>
        <w:rPr>
          <w:spacing w:val="19"/>
        </w:rPr>
        <w:t> </w:t>
      </w:r>
      <w:r>
        <w:rPr>
          <w:spacing w:val="9"/>
        </w:rPr>
        <w:t>Management</w:t>
      </w:r>
    </w:p>
    <w:p>
      <w:pPr>
        <w:pStyle w:val="BodyText"/>
        <w:spacing w:before="5"/>
        <w:rPr>
          <w:b/>
          <w:sz w:val="34"/>
        </w:rPr>
      </w:pPr>
    </w:p>
    <w:p>
      <w:pPr>
        <w:pStyle w:val="Heading6"/>
        <w:numPr>
          <w:ilvl w:val="3"/>
          <w:numId w:val="163"/>
        </w:numPr>
        <w:tabs>
          <w:tab w:pos="1620" w:val="left" w:leader="none"/>
        </w:tabs>
        <w:spacing w:line="240" w:lineRule="auto" w:before="0" w:after="0"/>
        <w:ind w:left="1619" w:right="0" w:hanging="1440"/>
        <w:jc w:val="both"/>
      </w:pPr>
      <w:r>
        <w:rPr>
          <w:spacing w:val="17"/>
          <w:sz w:val="28"/>
        </w:rPr>
        <w:t>D</w:t>
      </w:r>
      <w:r>
        <w:rPr>
          <w:spacing w:val="17"/>
        </w:rPr>
        <w:t>EFINITIONAL </w:t>
      </w:r>
      <w:r>
        <w:rPr>
          <w:spacing w:val="15"/>
        </w:rPr>
        <w:t>ISSUES </w:t>
      </w:r>
      <w:r>
        <w:rPr>
          <w:spacing w:val="12"/>
        </w:rPr>
        <w:t>AND </w:t>
      </w:r>
      <w:r>
        <w:rPr>
          <w:spacing w:val="17"/>
        </w:rPr>
        <w:t>REPORTING</w:t>
      </w:r>
      <w:r>
        <w:rPr>
          <w:spacing w:val="-19"/>
        </w:rPr>
        <w:t> </w:t>
      </w:r>
      <w:r>
        <w:rPr>
          <w:spacing w:val="17"/>
        </w:rPr>
        <w:t>REQUIREMENTS</w:t>
      </w:r>
    </w:p>
    <w:p>
      <w:pPr>
        <w:pStyle w:val="BodyText"/>
        <w:spacing w:before="209"/>
        <w:ind w:left="179" w:right="1408" w:firstLine="50"/>
        <w:jc w:val="both"/>
      </w:pPr>
      <w:r>
        <w:rPr/>
        <w:t>“Cropland management” is the system of practices on land on which agricultural crops are grown and on land that is set-aside or temporarily not being used for crop production.</w:t>
      </w:r>
      <w:r>
        <w:rPr>
          <w:vertAlign w:val="superscript"/>
        </w:rPr>
        <w:t>53</w:t>
      </w:r>
      <w:r>
        <w:rPr>
          <w:vertAlign w:val="baseline"/>
        </w:rPr>
        <w:t> It is </w:t>
      </w:r>
      <w:r>
        <w:rPr>
          <w:i/>
          <w:vertAlign w:val="baseline"/>
        </w:rPr>
        <w:t>good practice </w:t>
      </w:r>
      <w:r>
        <w:rPr>
          <w:vertAlign w:val="baseline"/>
        </w:rPr>
        <w:t>to include, in land subject to cropland management, all the lands in category (ii) of the land-use (LU) system of Chapter 2 (Section 2.2 Land-use categories), namely Cropland/arable/tillage.</w:t>
      </w:r>
    </w:p>
    <w:p>
      <w:pPr>
        <w:pStyle w:val="BodyText"/>
        <w:spacing w:before="119"/>
        <w:ind w:left="179" w:right="1402"/>
        <w:jc w:val="both"/>
      </w:pPr>
      <w:r>
        <w:rPr/>
        <w:t>To be included under cropland management are all lands under temporary (annuals) and permanent (perennials) crops, and all fallow lands set at rest for one or several years before being cultivated again. Perennial crops include trees and shrubs producing fruits, such as orchards (see exceptions below), vineyards and plantations such as cocoa, coffee, tea and bananas. If these lands meet the threshold criteria for forests (see Footnote 6 in Section 4.1 for the definition of “forest” given in the Marrakesh Accords), it is </w:t>
      </w:r>
      <w:r>
        <w:rPr>
          <w:i/>
        </w:rPr>
        <w:t>good practice </w:t>
      </w:r>
      <w:r>
        <w:rPr/>
        <w:t>to include them under cropland management or forest management, but not under both. Rice paddies are also included under croplands, but associated methane emissions will be reported under the Agriculture Sector and not in the LUCF sector in countries’ greenhouse gas inventories, as described in the </w:t>
      </w:r>
      <w:r>
        <w:rPr>
          <w:i/>
        </w:rPr>
        <w:t>IPCC Guidelines </w:t>
      </w:r>
      <w:r>
        <w:rPr/>
        <w:t>and </w:t>
      </w:r>
      <w:r>
        <w:rPr>
          <w:i/>
        </w:rPr>
        <w:t>GPG2000. </w:t>
      </w:r>
      <w:r>
        <w:rPr/>
        <w:t>Treed areas such as orchards or shelterbelts that were established after 1990 and meet the definition of a forest can qualify as afforestation/reforestation, and if they do, can be included under those categories (see Section 4.1.2 General rules for categorization of land areas under Articles 3.3. and 3.4). Arable land, which is normally used for cultivation of temporary crops but is temporarily used for grazing, can also be included under</w:t>
      </w:r>
      <w:r>
        <w:rPr>
          <w:spacing w:val="-21"/>
        </w:rPr>
        <w:t> </w:t>
      </w:r>
      <w:r>
        <w:rPr/>
        <w:t>croplands.</w:t>
      </w:r>
      <w:r>
        <w:rPr>
          <w:vertAlign w:val="superscript"/>
        </w:rPr>
        <w:t>54</w:t>
      </w:r>
    </w:p>
    <w:p>
      <w:pPr>
        <w:pStyle w:val="BodyText"/>
        <w:spacing w:before="118"/>
        <w:ind w:left="179" w:right="1405"/>
        <w:jc w:val="both"/>
      </w:pPr>
      <w:r>
        <w:rPr/>
        <w:t>Given the potential diversity in national land use classification systems, it is </w:t>
      </w:r>
      <w:r>
        <w:rPr>
          <w:i/>
        </w:rPr>
        <w:t>good practice </w:t>
      </w:r>
      <w:r>
        <w:rPr/>
        <w:t>for countries to specify what types of lands are included under cropland management in their national land use system and how they are distinguished from grasslands/rangelands/pastures (as in land-use category (iii) described in Section 2.2) and from the lands subject to afforestation/reforestation, forest management, grazing land management and revegetation they are (or might be) reporting. For example, it is </w:t>
      </w:r>
      <w:r>
        <w:rPr>
          <w:i/>
        </w:rPr>
        <w:t>good practice </w:t>
      </w:r>
      <w:r>
        <w:rPr/>
        <w:t>to specify whether and to what extent orchards or shelterbelts are included under cropland management. This will enhance the transparency of the reporting and the comparability across Parties.</w:t>
      </w:r>
    </w:p>
    <w:p>
      <w:pPr>
        <w:pStyle w:val="BodyText"/>
        <w:spacing w:before="118"/>
        <w:ind w:left="179" w:right="1402"/>
        <w:jc w:val="both"/>
      </w:pPr>
      <w:r>
        <w:rPr/>
        <w:t>To use the proposed methodology for determining carbon stock changes on those lands, the total cropland area needs to be subdivided into areas under various sets of management practices (which may overlap both in time and space) for the base year and each of the years in the commitment period. The carbon emission and removal factors depend on both the current and previous management on the land. Some areas may be emitting CO</w:t>
      </w:r>
      <w:r>
        <w:rPr>
          <w:vertAlign w:val="subscript"/>
        </w:rPr>
        <w:t>2</w:t>
      </w:r>
      <w:r>
        <w:rPr>
          <w:vertAlign w:val="baseline"/>
        </w:rPr>
        <w:t>, some may</w:t>
      </w:r>
      <w:r>
        <w:rPr>
          <w:spacing w:val="-6"/>
          <w:vertAlign w:val="baseline"/>
        </w:rPr>
        <w:t> </w:t>
      </w:r>
      <w:r>
        <w:rPr>
          <w:vertAlign w:val="baseline"/>
        </w:rPr>
        <w:t>be</w:t>
      </w:r>
      <w:r>
        <w:rPr>
          <w:spacing w:val="-3"/>
          <w:vertAlign w:val="baseline"/>
        </w:rPr>
        <w:t> </w:t>
      </w:r>
      <w:r>
        <w:rPr>
          <w:vertAlign w:val="baseline"/>
        </w:rPr>
        <w:t>sequestering</w:t>
      </w:r>
      <w:r>
        <w:rPr>
          <w:spacing w:val="-3"/>
          <w:vertAlign w:val="baseline"/>
        </w:rPr>
        <w:t> </w:t>
      </w:r>
      <w:r>
        <w:rPr>
          <w:vertAlign w:val="baseline"/>
        </w:rPr>
        <w:t>carbon,</w:t>
      </w:r>
      <w:r>
        <w:rPr>
          <w:spacing w:val="-2"/>
          <w:vertAlign w:val="baseline"/>
        </w:rPr>
        <w:t> </w:t>
      </w:r>
      <w:r>
        <w:rPr>
          <w:vertAlign w:val="baseline"/>
        </w:rPr>
        <w:t>others</w:t>
      </w:r>
      <w:r>
        <w:rPr>
          <w:spacing w:val="-1"/>
          <w:vertAlign w:val="baseline"/>
        </w:rPr>
        <w:t> </w:t>
      </w:r>
      <w:r>
        <w:rPr>
          <w:vertAlign w:val="baseline"/>
        </w:rPr>
        <w:t>may</w:t>
      </w:r>
      <w:r>
        <w:rPr>
          <w:spacing w:val="-3"/>
          <w:vertAlign w:val="baseline"/>
        </w:rPr>
        <w:t> </w:t>
      </w:r>
      <w:r>
        <w:rPr>
          <w:vertAlign w:val="baseline"/>
        </w:rPr>
        <w:t>be</w:t>
      </w:r>
      <w:r>
        <w:rPr>
          <w:spacing w:val="-3"/>
          <w:vertAlign w:val="baseline"/>
        </w:rPr>
        <w:t> </w:t>
      </w:r>
      <w:r>
        <w:rPr>
          <w:vertAlign w:val="baseline"/>
        </w:rPr>
        <w:t>in</w:t>
      </w:r>
      <w:r>
        <w:rPr>
          <w:spacing w:val="-3"/>
          <w:vertAlign w:val="baseline"/>
        </w:rPr>
        <w:t> </w:t>
      </w:r>
      <w:r>
        <w:rPr>
          <w:vertAlign w:val="baseline"/>
        </w:rPr>
        <w:t>equilibrium,</w:t>
      </w:r>
      <w:r>
        <w:rPr>
          <w:spacing w:val="-2"/>
          <w:vertAlign w:val="baseline"/>
        </w:rPr>
        <w:t> </w:t>
      </w:r>
      <w:r>
        <w:rPr>
          <w:vertAlign w:val="baseline"/>
        </w:rPr>
        <w:t>and</w:t>
      </w:r>
      <w:r>
        <w:rPr>
          <w:spacing w:val="-1"/>
          <w:vertAlign w:val="baseline"/>
        </w:rPr>
        <w:t> </w:t>
      </w:r>
      <w:r>
        <w:rPr>
          <w:vertAlign w:val="baseline"/>
        </w:rPr>
        <w:t>this</w:t>
      </w:r>
      <w:r>
        <w:rPr>
          <w:spacing w:val="-1"/>
          <w:vertAlign w:val="baseline"/>
        </w:rPr>
        <w:t> </w:t>
      </w:r>
      <w:r>
        <w:rPr>
          <w:vertAlign w:val="baseline"/>
        </w:rPr>
        <w:t>may</w:t>
      </w:r>
      <w:r>
        <w:rPr>
          <w:spacing w:val="-3"/>
          <w:vertAlign w:val="baseline"/>
        </w:rPr>
        <w:t> </w:t>
      </w:r>
      <w:r>
        <w:rPr>
          <w:vertAlign w:val="baseline"/>
        </w:rPr>
        <w:t>change</w:t>
      </w:r>
      <w:r>
        <w:rPr>
          <w:spacing w:val="-3"/>
          <w:vertAlign w:val="baseline"/>
        </w:rPr>
        <w:t> </w:t>
      </w:r>
      <w:r>
        <w:rPr>
          <w:vertAlign w:val="baseline"/>
        </w:rPr>
        <w:t>if</w:t>
      </w:r>
      <w:r>
        <w:rPr>
          <w:spacing w:val="-1"/>
          <w:vertAlign w:val="baseline"/>
        </w:rPr>
        <w:t> </w:t>
      </w:r>
      <w:r>
        <w:rPr>
          <w:vertAlign w:val="baseline"/>
        </w:rPr>
        <w:t>management</w:t>
      </w:r>
      <w:r>
        <w:rPr>
          <w:spacing w:val="-3"/>
          <w:vertAlign w:val="baseline"/>
        </w:rPr>
        <w:t> </w:t>
      </w:r>
      <w:r>
        <w:rPr>
          <w:vertAlign w:val="baseline"/>
        </w:rPr>
        <w:t>changes.</w:t>
      </w:r>
    </w:p>
    <w:p>
      <w:pPr>
        <w:pStyle w:val="BodyText"/>
        <w:spacing w:before="120"/>
        <w:ind w:left="179" w:right="1404"/>
        <w:jc w:val="both"/>
      </w:pPr>
      <w:r>
        <w:rPr/>
        <w:t>To obtain more disaggregated data on land uses and practices, a more comprehensive set of definitions of land- use and management systems within croplands for different climatic zones, such as those given in the </w:t>
      </w:r>
      <w:r>
        <w:rPr>
          <w:i/>
        </w:rPr>
        <w:t>IPCC Guidelines, </w:t>
      </w:r>
      <w:r>
        <w:rPr/>
        <w:t>is needed. Broad families of practices under cropland management that affect carbon stocks include tillage practices, rotations and cover crops, fertility management, plant residue management, erosion control and irrigation management (IPCC, 2000b, p.184). Further details can be found in Chapter 3 of this report.</w:t>
      </w:r>
    </w:p>
    <w:p>
      <w:pPr>
        <w:pStyle w:val="BodyText"/>
        <w:spacing w:before="7"/>
        <w:rPr>
          <w:sz w:val="29"/>
        </w:rPr>
      </w:pPr>
    </w:p>
    <w:p>
      <w:pPr>
        <w:pStyle w:val="Heading6"/>
        <w:spacing w:before="1"/>
        <w:ind w:left="179"/>
        <w:jc w:val="both"/>
      </w:pPr>
      <w:r>
        <w:rPr/>
        <w:t>4.2.8.1 .1 1990 BASE YEAR</w:t>
      </w:r>
    </w:p>
    <w:p>
      <w:pPr>
        <w:pStyle w:val="BodyText"/>
        <w:spacing w:before="207"/>
        <w:ind w:left="179" w:right="1404"/>
        <w:jc w:val="both"/>
      </w:pPr>
      <w:r>
        <w:rPr/>
        <w:t>Cropland management, grazing land management and revegetation activities under Article 3.4 require net-net accounting.</w:t>
      </w:r>
      <w:r>
        <w:rPr>
          <w:vertAlign w:val="superscript"/>
        </w:rPr>
        <w:t>55</w:t>
      </w:r>
      <w:r>
        <w:rPr>
          <w:vertAlign w:val="baseline"/>
        </w:rPr>
        <w:t> For this purpose, greenhouse gas emissions and removals in the base year must be reported for any of these Article 3.4 elected activities (cropland management, grazing land management and revegetation). This entails determining the total areas on which each of the activities occurred in the base year and calculating the carbon stock changes for those areas. The non-CO</w:t>
      </w:r>
      <w:r>
        <w:rPr>
          <w:vertAlign w:val="subscript"/>
        </w:rPr>
        <w:t>2</w:t>
      </w:r>
      <w:r>
        <w:rPr>
          <w:vertAlign w:val="baseline"/>
        </w:rPr>
        <w:t> greenhouse gas emissions are covered in the Agriculture sector of the </w:t>
      </w:r>
      <w:r>
        <w:rPr>
          <w:i/>
          <w:vertAlign w:val="baseline"/>
        </w:rPr>
        <w:t>IPCC Guidelines </w:t>
      </w:r>
      <w:r>
        <w:rPr>
          <w:vertAlign w:val="baseline"/>
        </w:rPr>
        <w:t>in 1990 for those areas (see the text on non-CO</w:t>
      </w:r>
      <w:r>
        <w:rPr>
          <w:vertAlign w:val="subscript"/>
        </w:rPr>
        <w:t>2</w:t>
      </w:r>
      <w:r>
        <w:rPr>
          <w:vertAlign w:val="baseline"/>
        </w:rPr>
        <w:t> gases in this section and Box 4.1.1, Examples 1 and 2 in Section 4.1.2).</w:t>
      </w:r>
    </w:p>
    <w:p>
      <w:pPr>
        <w:pStyle w:val="BodyText"/>
      </w:pPr>
    </w:p>
    <w:p>
      <w:pPr>
        <w:pStyle w:val="BodyText"/>
      </w:pPr>
    </w:p>
    <w:p>
      <w:pPr>
        <w:pStyle w:val="BodyText"/>
        <w:spacing w:before="9"/>
        <w:rPr>
          <w:sz w:val="13"/>
        </w:rPr>
      </w:pPr>
      <w:r>
        <w:rPr/>
        <w:pict>
          <v:line style="position:absolute;mso-position-horizontal-relative:page;mso-position-vertical-relative:paragraph;z-index:22496;mso-wrap-distance-left:0;mso-wrap-distance-right:0" from="70.960999pt,10.131123pt" to="214.960999pt,10.131123pt" stroked="true" strokeweight=".48pt" strokecolor="#000000">
            <v:stroke dashstyle="solid"/>
            <w10:wrap type="topAndBottom"/>
          </v:line>
        </w:pict>
      </w:r>
    </w:p>
    <w:p>
      <w:pPr>
        <w:spacing w:before="153"/>
        <w:ind w:left="337" w:right="0" w:hanging="159"/>
        <w:jc w:val="left"/>
        <w:rPr>
          <w:sz w:val="18"/>
        </w:rPr>
      </w:pPr>
      <w:r>
        <w:rPr>
          <w:position w:val="8"/>
          <w:sz w:val="12"/>
        </w:rPr>
        <w:t>53 </w:t>
      </w:r>
      <w:r>
        <w:rPr>
          <w:sz w:val="18"/>
        </w:rPr>
        <w:t>Paragraph 1(g) in the Annex to draft decision -/CMP.1 (Land use, land-use change and forestry), contained in document FCCC/CP/2001/13/Add.1, p.58.</w:t>
      </w:r>
    </w:p>
    <w:p>
      <w:pPr>
        <w:spacing w:before="95"/>
        <w:ind w:left="179" w:right="0" w:firstLine="0"/>
        <w:jc w:val="left"/>
        <w:rPr>
          <w:sz w:val="18"/>
        </w:rPr>
      </w:pPr>
      <w:r>
        <w:rPr>
          <w:position w:val="8"/>
          <w:sz w:val="12"/>
        </w:rPr>
        <w:t>54 </w:t>
      </w:r>
      <w:hyperlink r:id="rId365">
        <w:r>
          <w:rPr>
            <w:sz w:val="18"/>
          </w:rPr>
          <w:t>http://www.unescap.org/stat/envstat/stwes-class-landuse.pdf</w:t>
        </w:r>
      </w:hyperlink>
    </w:p>
    <w:p>
      <w:pPr>
        <w:spacing w:before="95"/>
        <w:ind w:left="337" w:right="1597" w:hanging="159"/>
        <w:jc w:val="left"/>
        <w:rPr>
          <w:sz w:val="18"/>
        </w:rPr>
      </w:pPr>
      <w:r>
        <w:rPr>
          <w:position w:val="8"/>
          <w:sz w:val="12"/>
        </w:rPr>
        <w:t>55 </w:t>
      </w:r>
      <w:r>
        <w:rPr>
          <w:sz w:val="18"/>
        </w:rPr>
        <w:t>Net-net accounting refers to the provisions of paragraph 9 of the Annex to draft decision -/CMP.1 (Land use, land-use change and forestry) contained in document FCCC/CP/2001/13/Add.1, p.59-60.</w:t>
      </w:r>
    </w:p>
    <w:p>
      <w:pPr>
        <w:spacing w:after="0"/>
        <w:jc w:val="left"/>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406"/>
        <w:jc w:val="both"/>
      </w:pPr>
      <w:r>
        <w:rPr/>
        <w:pict>
          <v:group style="position:absolute;margin-left:91.240997pt;margin-top:40.896244pt;width:412.95pt;height:450.25pt;mso-position-horizontal-relative:page;mso-position-vertical-relative:paragraph;z-index:-2431600" coordorigin="1825,818" coordsize="8259,9005">
            <v:line style="position:absolute" from="1854,832" to="10054,832" stroked="true" strokeweight="1.44pt" strokecolor="#000000">
              <v:stroke dashstyle="solid"/>
            </v:line>
            <v:shape style="position:absolute;left:1839;top:817;width:8216;height:9005" coordorigin="1839,818" coordsize="8216,9005" path="m1854,9808l10054,9808m1839,818l1839,9823e" filled="false" stroked="true" strokeweight="1.44pt" strokecolor="#000000">
              <v:path arrowok="t"/>
              <v:stroke dashstyle="solid"/>
            </v:shape>
            <v:line style="position:absolute" from="10069,818" to="10069,9823" stroked="true" strokeweight="1.44pt" strokecolor="#000000">
              <v:stroke dashstyle="solid"/>
            </v:line>
            <v:shape style="position:absolute;left:3257;top:4122;width:4498;height:3605" coordorigin="3258,4123" coordsize="4498,3605" path="m5029,4476l4957,4478,4886,4484,4816,4495,4748,4510,4681,4529,4615,4552,4552,4578,4490,4608,4430,4642,4372,4679,4316,4719,4262,4763,4211,4809,4162,4859,4116,4911,4072,4965,4031,5023,3993,5082,3959,5144,3927,5208,3899,5274,3874,5342,3853,5412,3835,5484,3821,5557,3811,5631,3805,5707,3802,5784,3805,5860,3811,5936,3821,6010,3835,6083,3853,6155,3874,6225,3899,6293,3927,6359,3959,6423,3993,6485,4031,6544,4072,6602,4116,6656,4162,6708,4211,6758,4262,6804,4316,6848,4372,6888,4430,6925,4490,6959,4552,6989,4615,7015,4681,7038,4748,7057,4816,7072,4886,7083,4957,7089,5029,7092,5101,7089,5172,7083,5241,7072,5310,7057,5377,7038,5442,7015,5506,6989,5568,6959,5628,6925,5686,6888,5742,6848,5796,6804,5847,6758,5896,6708,5942,6656,5986,6602,6026,6544,6064,6485,6099,6423,6130,6359,6159,6293,6184,6225,6205,6155,6223,6083,6237,6010,6247,5936,6253,5860,6255,5784,6253,5707,6247,5631,6237,5557,6223,5484,6205,5412,6184,5342,6159,5274,6130,5208,6099,5144,6064,5082,6026,5023,5986,4965,5942,4911,5896,4859,5847,4809,5796,4763,5742,4719,5686,4679,5628,4642,5568,4608,5506,4578,5442,4552,5377,4529,5310,4510,5241,4495,5172,4484,5101,4478,5029,4476xm5677,4123l5601,4124,5527,4130,5453,4138,5381,4150,5309,4165,5239,4183,5170,4204,5102,4228,5036,4255,4972,4284,4909,4317,4847,4352,4788,4390,4730,4430,4674,4472,4620,4517,4568,4564,4519,4614,4471,4665,4426,4718,4383,4774,4342,4831,4305,4890,4269,4951,4237,5013,4207,5077,4180,5143,4155,5210,4134,5278,4116,5348,4101,5418,4089,5490,4081,5563,4075,5637,4074,5712,4075,5786,4081,5860,4089,5933,4101,6005,4116,6076,4134,6146,4155,6214,4180,6281,4207,6347,4237,6411,4269,6474,4305,6535,4342,6594,4383,6651,4426,6707,4471,6760,4519,6812,4568,6861,4620,6908,4674,6953,4730,6996,4788,7036,4847,7073,4909,7108,4972,7141,5036,7171,5102,7198,5170,7222,5239,7243,5309,7261,5381,7276,5453,7287,5527,7296,5601,7301,5677,7303,5752,7301,5827,7296,5900,7287,5973,7276,6044,7261,6115,7243,6183,7222,6251,7198,6317,7171,6381,7141,6444,7108,6506,7073,6565,7036,6623,6996,6679,6953,6732,6908,6784,6861,6834,6812,6881,6760,6926,6707,6969,6651,7010,6594,7047,6535,7083,6474,7115,6411,7145,6347,7172,6281,7196,6214,7217,6146,7235,6076,7250,6005,7262,5933,7271,5860,7276,5786,7278,5712,7276,5637,7271,5563,7262,5490,7250,5418,7235,5348,7217,5278,7196,5210,7172,5143,7145,5077,7115,5013,7083,4951,7047,4890,7010,4831,6969,4774,6926,4718,6881,4665,6834,4614,6784,4564,6732,4517,6679,4472,6623,4430,6565,4390,6506,4352,6444,4317,6381,4284,6317,4255,6251,4228,6183,4204,6115,4183,6044,4165,5973,4150,5900,4138,5827,4130,5752,4124,5677,4123xm3939,6031l3258,6948m6121,7092l6666,7514m5098,5959l4688,7728m6620,6667l7755,6808e" filled="false" stroked="true" strokeweight=".75pt" strokecolor="#010101">
              <v:path arrowok="t"/>
              <v:stroke dashstyle="solid"/>
            </v:shape>
            <w10:wrap type="none"/>
          </v:group>
        </w:pict>
      </w:r>
      <w:r>
        <w:rPr/>
        <w:t>If the area under an Article 3.4 activity changes significantly between the base year and the commitment period, this may lead to unbalanced estimates (that is, subtraction of stock changes on a land base that changes in size over time (see Box 4.2.8)).</w:t>
      </w:r>
    </w:p>
    <w:p>
      <w:pPr>
        <w:pStyle w:val="BodyText"/>
        <w:spacing w:before="4"/>
        <w:rPr>
          <w:sz w:val="22"/>
        </w:rPr>
      </w:pPr>
    </w:p>
    <w:p>
      <w:pPr>
        <w:spacing w:line="207" w:lineRule="exact" w:before="1"/>
        <w:ind w:left="1892" w:right="3123" w:firstLine="0"/>
        <w:jc w:val="center"/>
        <w:rPr>
          <w:b/>
          <w:sz w:val="18"/>
        </w:rPr>
      </w:pPr>
      <w:r>
        <w:rPr>
          <w:b/>
          <w:sz w:val="18"/>
        </w:rPr>
        <w:t>B</w:t>
      </w:r>
      <w:r>
        <w:rPr>
          <w:b/>
          <w:sz w:val="14"/>
        </w:rPr>
        <w:t>OX </w:t>
      </w:r>
      <w:r>
        <w:rPr>
          <w:b/>
          <w:sz w:val="18"/>
        </w:rPr>
        <w:t>4.2.8</w:t>
      </w:r>
    </w:p>
    <w:p>
      <w:pPr>
        <w:spacing w:line="206" w:lineRule="exact" w:before="0"/>
        <w:ind w:left="2608" w:right="0" w:firstLine="0"/>
        <w:jc w:val="left"/>
        <w:rPr>
          <w:b/>
          <w:sz w:val="18"/>
        </w:rPr>
      </w:pPr>
      <w:r>
        <w:rPr>
          <w:b/>
          <w:sz w:val="18"/>
        </w:rPr>
        <w:t>A</w:t>
      </w:r>
      <w:r>
        <w:rPr>
          <w:b/>
          <w:sz w:val="14"/>
        </w:rPr>
        <w:t>N EXAMPLE OF CROPLAND MANAGEMENT AREAS IN </w:t>
      </w:r>
      <w:r>
        <w:rPr>
          <w:b/>
          <w:sz w:val="18"/>
        </w:rPr>
        <w:t>1990</w:t>
      </w:r>
    </w:p>
    <w:p>
      <w:pPr>
        <w:spacing w:line="207" w:lineRule="exact" w:before="0"/>
        <w:ind w:left="2670" w:right="0" w:firstLine="0"/>
        <w:jc w:val="left"/>
        <w:rPr>
          <w:b/>
          <w:sz w:val="18"/>
        </w:rPr>
      </w:pPr>
      <w:r>
        <w:rPr>
          <w:b/>
          <w:sz w:val="14"/>
        </w:rPr>
        <w:t>AND THE COMMITMENT PERIOD </w:t>
      </w:r>
      <w:r>
        <w:rPr>
          <w:b/>
          <w:sz w:val="18"/>
        </w:rPr>
        <w:t>(</w:t>
      </w:r>
      <w:r>
        <w:rPr>
          <w:b/>
          <w:sz w:val="14"/>
        </w:rPr>
        <w:t>NET</w:t>
      </w:r>
      <w:r>
        <w:rPr>
          <w:b/>
          <w:sz w:val="18"/>
        </w:rPr>
        <w:t>-</w:t>
      </w:r>
      <w:r>
        <w:rPr>
          <w:b/>
          <w:sz w:val="14"/>
        </w:rPr>
        <w:t>NET ACCOUNTING</w:t>
      </w:r>
      <w:r>
        <w:rPr>
          <w:b/>
          <w:sz w:val="18"/>
        </w:rPr>
        <w:t>)</w:t>
      </w:r>
    </w:p>
    <w:p>
      <w:pPr>
        <w:pStyle w:val="BodyText"/>
        <w:spacing w:before="112"/>
        <w:ind w:left="740" w:right="1966"/>
        <w:jc w:val="both"/>
      </w:pPr>
      <w:r>
        <w:rPr/>
        <w:t>In this example the area under cropland management in the base year expands to a larger area in the reporting year during the commitment period. Some of the area was under cropland management in both the base year and during the reporting period (a). Some of the area under cropland management in the base year is no longer under cropland management in the reporting year (b). There are also areas under cropland management in the reporting year that were not under cropland management in the base year (c). Area (d) is under cropland management, but was subject to deforestation which takes precedence. Under the Kyoto Protocol, the emissions and removals</w:t>
      </w:r>
      <w:r>
        <w:rPr>
          <w:spacing w:val="3"/>
        </w:rPr>
        <w:t> </w:t>
      </w:r>
      <w:r>
        <w:rPr/>
        <w:t>in</w:t>
      </w:r>
      <w:r>
        <w:rPr>
          <w:spacing w:val="4"/>
        </w:rPr>
        <w:t> </w:t>
      </w:r>
      <w:r>
        <w:rPr/>
        <w:t>areas</w:t>
      </w:r>
      <w:r>
        <w:rPr>
          <w:spacing w:val="4"/>
        </w:rPr>
        <w:t> </w:t>
      </w:r>
      <w:r>
        <w:rPr/>
        <w:t>(a)</w:t>
      </w:r>
      <w:r>
        <w:rPr>
          <w:spacing w:val="6"/>
        </w:rPr>
        <w:t> </w:t>
      </w:r>
      <w:r>
        <w:rPr/>
        <w:t>+</w:t>
      </w:r>
      <w:r>
        <w:rPr>
          <w:spacing w:val="6"/>
        </w:rPr>
        <w:t> </w:t>
      </w:r>
      <w:r>
        <w:rPr/>
        <w:t>(b)</w:t>
      </w:r>
      <w:r>
        <w:rPr>
          <w:spacing w:val="4"/>
        </w:rPr>
        <w:t> </w:t>
      </w:r>
      <w:r>
        <w:rPr/>
        <w:t>in</w:t>
      </w:r>
      <w:r>
        <w:rPr>
          <w:spacing w:val="4"/>
        </w:rPr>
        <w:t> </w:t>
      </w:r>
      <w:r>
        <w:rPr/>
        <w:t>the</w:t>
      </w:r>
      <w:r>
        <w:rPr>
          <w:spacing w:val="6"/>
        </w:rPr>
        <w:t> </w:t>
      </w:r>
      <w:r>
        <w:rPr/>
        <w:t>base</w:t>
      </w:r>
      <w:r>
        <w:rPr>
          <w:spacing w:val="8"/>
        </w:rPr>
        <w:t> </w:t>
      </w:r>
      <w:r>
        <w:rPr/>
        <w:t>year</w:t>
      </w:r>
      <w:r>
        <w:rPr>
          <w:spacing w:val="5"/>
        </w:rPr>
        <w:t> </w:t>
      </w:r>
      <w:r>
        <w:rPr/>
        <w:t>are</w:t>
      </w:r>
      <w:r>
        <w:rPr>
          <w:spacing w:val="6"/>
        </w:rPr>
        <w:t> </w:t>
      </w:r>
      <w:r>
        <w:rPr/>
        <w:t>compared</w:t>
      </w:r>
      <w:r>
        <w:rPr>
          <w:spacing w:val="6"/>
        </w:rPr>
        <w:t> </w:t>
      </w:r>
      <w:r>
        <w:rPr/>
        <w:t>to</w:t>
      </w:r>
      <w:r>
        <w:rPr>
          <w:spacing w:val="6"/>
        </w:rPr>
        <w:t> </w:t>
      </w:r>
      <w:r>
        <w:rPr/>
        <w:t>emissions</w:t>
      </w:r>
      <w:r>
        <w:rPr>
          <w:spacing w:val="4"/>
        </w:rPr>
        <w:t> </w:t>
      </w:r>
      <w:r>
        <w:rPr/>
        <w:t>and</w:t>
      </w:r>
      <w:r>
        <w:rPr>
          <w:spacing w:val="6"/>
        </w:rPr>
        <w:t> </w:t>
      </w:r>
      <w:r>
        <w:rPr/>
        <w:t>removals</w:t>
      </w:r>
      <w:r>
        <w:rPr>
          <w:spacing w:val="4"/>
        </w:rPr>
        <w:t> </w:t>
      </w:r>
      <w:r>
        <w:rPr/>
        <w:t>in</w:t>
      </w:r>
      <w:r>
        <w:rPr>
          <w:spacing w:val="4"/>
        </w:rPr>
        <w:t> </w:t>
      </w:r>
      <w:r>
        <w:rPr/>
        <w:t>areas</w:t>
      </w:r>
      <w:r>
        <w:rPr>
          <w:spacing w:val="4"/>
        </w:rPr>
        <w:t> </w:t>
      </w:r>
      <w:r>
        <w:rPr/>
        <w:t>(a)</w:t>
      </w:r>
      <w:r>
        <w:rPr>
          <w:spacing w:val="3"/>
        </w:rPr>
        <w:t> </w:t>
      </w:r>
      <w:r>
        <w:rPr/>
        <w:t>+</w:t>
      </w:r>
    </w:p>
    <w:p>
      <w:pPr>
        <w:pStyle w:val="BodyText"/>
        <w:spacing w:line="229" w:lineRule="exact"/>
        <w:ind w:left="740"/>
        <w:jc w:val="both"/>
      </w:pPr>
      <w:r>
        <w:rPr/>
        <w:t>(c) – (d) in the reporting year.</w:t>
      </w: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8"/>
        </w:rPr>
      </w:pPr>
    </w:p>
    <w:p>
      <w:pPr>
        <w:tabs>
          <w:tab w:pos="3678" w:val="left" w:leader="none"/>
          <w:tab w:pos="5483" w:val="left" w:leader="none"/>
        </w:tabs>
        <w:spacing w:before="87"/>
        <w:ind w:left="2653" w:right="0" w:firstLine="0"/>
        <w:jc w:val="left"/>
        <w:rPr>
          <w:sz w:val="31"/>
        </w:rPr>
      </w:pPr>
      <w:r>
        <w:rPr>
          <w:position w:val="-13"/>
          <w:sz w:val="31"/>
        </w:rPr>
        <w:t>b</w:t>
        <w:tab/>
      </w:r>
      <w:r>
        <w:rPr>
          <w:sz w:val="31"/>
        </w:rPr>
        <w:t>a</w:t>
        <w:tab/>
      </w:r>
      <w:r>
        <w:rPr>
          <w:position w:val="-5"/>
          <w:sz w:val="31"/>
        </w:rPr>
        <w:t>c</w:t>
      </w:r>
    </w:p>
    <w:p>
      <w:pPr>
        <w:pStyle w:val="BodyText"/>
        <w:spacing w:before="8"/>
        <w:rPr>
          <w:sz w:val="27"/>
        </w:rPr>
      </w:pPr>
    </w:p>
    <w:p>
      <w:pPr>
        <w:spacing w:after="0"/>
        <w:rPr>
          <w:sz w:val="27"/>
        </w:rPr>
        <w:sectPr>
          <w:pgSz w:w="11900" w:h="16840"/>
          <w:pgMar w:header="230" w:footer="408" w:top="560" w:bottom="600" w:left="1240" w:right="0"/>
        </w:sectPr>
      </w:pPr>
    </w:p>
    <w:p>
      <w:pPr>
        <w:pStyle w:val="BodyText"/>
        <w:rPr>
          <w:sz w:val="16"/>
        </w:rPr>
      </w:pPr>
    </w:p>
    <w:p>
      <w:pPr>
        <w:pStyle w:val="BodyText"/>
        <w:rPr>
          <w:sz w:val="16"/>
        </w:rPr>
      </w:pPr>
    </w:p>
    <w:p>
      <w:pPr>
        <w:pStyle w:val="BodyText"/>
        <w:rPr>
          <w:sz w:val="16"/>
        </w:rPr>
      </w:pPr>
    </w:p>
    <w:p>
      <w:pPr>
        <w:spacing w:before="119"/>
        <w:ind w:left="812" w:right="1491" w:firstLine="0"/>
        <w:jc w:val="left"/>
        <w:rPr>
          <w:sz w:val="15"/>
        </w:rPr>
      </w:pPr>
      <w:r>
        <w:rPr>
          <w:sz w:val="15"/>
        </w:rPr>
        <w:t>Area under cropland management only in base year</w:t>
      </w:r>
    </w:p>
    <w:p>
      <w:pPr>
        <w:pStyle w:val="BodyText"/>
        <w:rPr>
          <w:sz w:val="16"/>
        </w:rPr>
      </w:pPr>
    </w:p>
    <w:p>
      <w:pPr>
        <w:pStyle w:val="BodyText"/>
        <w:rPr>
          <w:sz w:val="16"/>
        </w:rPr>
      </w:pPr>
    </w:p>
    <w:p>
      <w:pPr>
        <w:spacing w:line="237" w:lineRule="auto" w:before="138"/>
        <w:ind w:left="2586" w:right="21" w:firstLine="0"/>
        <w:jc w:val="left"/>
        <w:rPr>
          <w:sz w:val="15"/>
        </w:rPr>
      </w:pPr>
      <w:r>
        <w:rPr>
          <w:sz w:val="15"/>
        </w:rPr>
        <w:t>Area under cropland management in base year and in reporting period</w:t>
      </w:r>
    </w:p>
    <w:p>
      <w:pPr>
        <w:spacing w:before="95"/>
        <w:ind w:left="2296" w:right="0" w:firstLine="0"/>
        <w:jc w:val="left"/>
        <w:rPr>
          <w:sz w:val="15"/>
        </w:rPr>
      </w:pPr>
      <w:r>
        <w:rPr/>
        <w:br w:type="column"/>
      </w:r>
      <w:r>
        <w:rPr>
          <w:sz w:val="15"/>
        </w:rPr>
        <w:t>EXCLUDED FROM c: Area</w:t>
      </w:r>
    </w:p>
    <w:p>
      <w:pPr>
        <w:spacing w:line="240" w:lineRule="auto" w:before="0"/>
        <w:ind w:left="2296" w:right="2090" w:firstLine="0"/>
        <w:jc w:val="left"/>
        <w:rPr>
          <w:sz w:val="15"/>
        </w:rPr>
      </w:pPr>
      <w:r>
        <w:rPr/>
        <w:pict>
          <v:shape style="position:absolute;margin-left:309.401001pt;margin-top:-3.55975pt;width:21pt;height:18.25pt;mso-position-horizontal-relative:page;mso-position-vertical-relative:paragraph;z-index:24592" type="#_x0000_t202" filled="false" stroked="true" strokeweight=".75pt" strokecolor="#010101">
            <v:textbox inset="0,0,0,0">
              <w:txbxContent>
                <w:p>
                  <w:pPr>
                    <w:spacing w:line="316" w:lineRule="exact" w:before="0"/>
                    <w:ind w:left="105" w:right="0" w:firstLine="0"/>
                    <w:jc w:val="left"/>
                    <w:rPr>
                      <w:sz w:val="31"/>
                    </w:rPr>
                  </w:pPr>
                  <w:r>
                    <w:rPr>
                      <w:w w:val="99"/>
                      <w:sz w:val="31"/>
                    </w:rPr>
                    <w:t>d</w:t>
                  </w:r>
                </w:p>
              </w:txbxContent>
            </v:textbox>
            <v:stroke dashstyle="solid"/>
            <w10:wrap type="none"/>
          </v:shape>
        </w:pict>
      </w:r>
      <w:r>
        <w:rPr>
          <w:sz w:val="15"/>
        </w:rPr>
        <w:t>under forest in base year and cropland management in reporting period (not included in cropland management reporting; reported under Article 3.3 as deforestation land)</w:t>
      </w:r>
    </w:p>
    <w:p>
      <w:pPr>
        <w:spacing w:line="240" w:lineRule="auto" w:before="77"/>
        <w:ind w:left="812" w:right="3486" w:firstLine="0"/>
        <w:jc w:val="left"/>
        <w:rPr>
          <w:sz w:val="15"/>
        </w:rPr>
      </w:pPr>
      <w:r>
        <w:rPr>
          <w:sz w:val="15"/>
        </w:rPr>
        <w:t>Area under cropland management only in reporting year (could have been settlement, or grassland, or wetland, in the base year)</w:t>
      </w:r>
    </w:p>
    <w:p>
      <w:pPr>
        <w:spacing w:after="0" w:line="240" w:lineRule="auto"/>
        <w:jc w:val="left"/>
        <w:rPr>
          <w:sz w:val="15"/>
        </w:rPr>
        <w:sectPr>
          <w:type w:val="continuous"/>
          <w:pgSz w:w="11900" w:h="16840"/>
          <w:pgMar w:top="1060" w:bottom="280" w:left="1240" w:right="0"/>
          <w:cols w:num="2" w:equalWidth="0">
            <w:col w:w="4148" w:space="148"/>
            <w:col w:w="6364"/>
          </w:cols>
        </w:sectPr>
      </w:pPr>
    </w:p>
    <w:p>
      <w:pPr>
        <w:pStyle w:val="BodyText"/>
      </w:pPr>
    </w:p>
    <w:p>
      <w:pPr>
        <w:pStyle w:val="BodyText"/>
        <w:spacing w:before="2"/>
        <w:rPr>
          <w:sz w:val="19"/>
        </w:rPr>
      </w:pPr>
    </w:p>
    <w:p>
      <w:pPr>
        <w:pStyle w:val="BodyText"/>
        <w:spacing w:before="1"/>
        <w:ind w:left="740" w:right="1968"/>
        <w:jc w:val="both"/>
      </w:pPr>
      <w:r>
        <w:rPr/>
        <w:t>This approach avoids having to track the carbon stock changes arising from activities not covered by the Marrakesh Accords. Like other alternatives, it may have some policy implications. For example, a simple change in area without a change in stock change per unit area could yield a credit or debit without there being an actual loss or gain by the atmosphere.</w:t>
      </w:r>
    </w:p>
    <w:p>
      <w:pPr>
        <w:pStyle w:val="BodyText"/>
      </w:pPr>
    </w:p>
    <w:p>
      <w:pPr>
        <w:pStyle w:val="BodyText"/>
        <w:spacing w:before="2"/>
        <w:rPr>
          <w:sz w:val="24"/>
        </w:rPr>
      </w:pPr>
    </w:p>
    <w:p>
      <w:pPr>
        <w:pStyle w:val="BodyText"/>
        <w:spacing w:before="91"/>
        <w:ind w:left="179" w:right="1402"/>
        <w:jc w:val="both"/>
      </w:pPr>
      <w:r>
        <w:rPr/>
        <w:t>For most Parties with commitments under Annex B of the Kyoto Protocol, the base year is 1990. But under the provisions of Article 4.6 of the UNFCCC, Parties with economies in transition (EITs) are granted some flexibility on the level of historical emissions chosen as a reference. As a consequence five EITs have a base  year or period between 1985 and 1990 and hence they will need to assess the CO</w:t>
      </w:r>
      <w:r>
        <w:rPr>
          <w:vertAlign w:val="subscript"/>
        </w:rPr>
        <w:t>2</w:t>
      </w:r>
      <w:r>
        <w:rPr>
          <w:vertAlign w:val="baseline"/>
        </w:rPr>
        <w:t> and other greenhouse gas emissions and removals for those years. Historical data on land-use and management practices in 1990 (or appropriate year) and in years prior to 1990 are needed to establish the 1990 base year net emissions/removals of soil carbon from cropland management. Using the method described in Chapter 3 (Section 3.3.1.2.1.1. Change in Carbon stocks in soils – Mineral soils), land-use/land management change is assumed to have an impact for 20 years; hence, in this approach, the net carbon stock change in 1990 is calculated from management during 1970 to 1990. If area and activity data are available for 1970 to 1990, the net carbon stock change during the 1990 base year can be established using the default carbon emission and removal factors as described above. The duration of impact may be shorter or longer than 20 years. It is </w:t>
      </w:r>
      <w:r>
        <w:rPr>
          <w:i/>
          <w:vertAlign w:val="baseline"/>
        </w:rPr>
        <w:t>good practice </w:t>
      </w:r>
      <w:r>
        <w:rPr>
          <w:vertAlign w:val="baseline"/>
        </w:rPr>
        <w:t>to use a more appropriate time period, based on country-specific data and measurements (see Tier 2 and Tier 3 approaches in Section 4.2.8.3.1). If area and activity data are not available for 1970 to 1990 (or other appropriate time period) there is no historical data upon which to establish carbon stock change during the base year (1990), which will therefore have to be reconstructed from other data if cropland management is selected for the first commitment</w:t>
      </w:r>
      <w:r>
        <w:rPr>
          <w:spacing w:val="-13"/>
          <w:vertAlign w:val="baseline"/>
        </w:rPr>
        <w:t> </w:t>
      </w:r>
      <w:r>
        <w:rPr>
          <w:vertAlign w:val="baseline"/>
        </w:rPr>
        <w:t>period.</w:t>
      </w:r>
    </w:p>
    <w:p>
      <w:pPr>
        <w:spacing w:after="0"/>
        <w:jc w:val="both"/>
        <w:sectPr>
          <w:type w:val="continuous"/>
          <w:pgSz w:w="11900" w:h="16840"/>
          <w:pgMar w:top="1060" w:bottom="280" w:left="1240" w:right="0"/>
        </w:sectPr>
      </w:pPr>
    </w:p>
    <w:p>
      <w:pPr>
        <w:pStyle w:val="BodyText"/>
      </w:pPr>
    </w:p>
    <w:p>
      <w:pPr>
        <w:pStyle w:val="BodyText"/>
        <w:spacing w:before="2"/>
        <w:rPr>
          <w:sz w:val="18"/>
        </w:rPr>
      </w:pPr>
    </w:p>
    <w:p>
      <w:pPr>
        <w:pStyle w:val="BodyText"/>
        <w:ind w:left="179" w:right="1408"/>
        <w:jc w:val="both"/>
        <w:rPr>
          <w:i/>
        </w:rPr>
      </w:pPr>
      <w:r>
        <w:rPr/>
        <w:t>The estimate of soil carbon stock change in the base year has a pronounced effect in net-net accounting. Where reliable data are not available for 1970 to 1990 (or other applicable time period), countries can choose the most appropriate of the following options</w:t>
      </w:r>
      <w:r>
        <w:rPr>
          <w:i/>
        </w:rPr>
        <w:t>:</w:t>
      </w:r>
    </w:p>
    <w:p>
      <w:pPr>
        <w:pStyle w:val="ListParagraph"/>
        <w:numPr>
          <w:ilvl w:val="0"/>
          <w:numId w:val="117"/>
        </w:numPr>
        <w:tabs>
          <w:tab w:pos="603" w:val="left" w:leader="none"/>
          <w:tab w:pos="604" w:val="left" w:leader="none"/>
        </w:tabs>
        <w:spacing w:line="223" w:lineRule="auto" w:before="148" w:after="0"/>
        <w:ind w:left="604" w:right="1408" w:hanging="425"/>
        <w:jc w:val="left"/>
        <w:rPr>
          <w:sz w:val="20"/>
        </w:rPr>
      </w:pPr>
      <w:r>
        <w:rPr>
          <w:sz w:val="20"/>
        </w:rPr>
        <w:t>Choose not to elect cropland management as an activity under the Kyoto Protocol for the first commitment period.</w:t>
      </w:r>
    </w:p>
    <w:p>
      <w:pPr>
        <w:pStyle w:val="ListParagraph"/>
        <w:numPr>
          <w:ilvl w:val="0"/>
          <w:numId w:val="117"/>
        </w:numPr>
        <w:tabs>
          <w:tab w:pos="604" w:val="left" w:leader="none"/>
        </w:tabs>
        <w:spacing w:line="232" w:lineRule="auto" w:before="141" w:after="0"/>
        <w:ind w:left="604" w:right="1406" w:hanging="425"/>
        <w:jc w:val="both"/>
        <w:rPr>
          <w:sz w:val="20"/>
        </w:rPr>
      </w:pPr>
      <w:r>
        <w:rPr>
          <w:sz w:val="20"/>
        </w:rPr>
        <w:t>Report an emission (loss of carbon) for 1990 (or appropriate base year) </w:t>
      </w:r>
      <w:r>
        <w:rPr>
          <w:i/>
          <w:sz w:val="20"/>
        </w:rPr>
        <w:t>only </w:t>
      </w:r>
      <w:r>
        <w:rPr>
          <w:sz w:val="20"/>
        </w:rPr>
        <w:t>if it can be verified that the land was, in the 20 years prior to the base year, subject to a management change (e.g., cultivation of previously-forested lands) that leads to loss of soil carbon.</w:t>
      </w:r>
    </w:p>
    <w:p>
      <w:pPr>
        <w:pStyle w:val="ListParagraph"/>
        <w:numPr>
          <w:ilvl w:val="0"/>
          <w:numId w:val="117"/>
        </w:numPr>
        <w:tabs>
          <w:tab w:pos="603" w:val="left" w:leader="none"/>
          <w:tab w:pos="604" w:val="left" w:leader="none"/>
        </w:tabs>
        <w:spacing w:line="223" w:lineRule="auto" w:before="145" w:after="0"/>
        <w:ind w:left="604" w:right="1406" w:hanging="425"/>
        <w:jc w:val="left"/>
        <w:rPr>
          <w:sz w:val="20"/>
        </w:rPr>
      </w:pPr>
      <w:r>
        <w:rPr>
          <w:sz w:val="20"/>
        </w:rPr>
        <w:t>Use a default emission/removal factor of ‘0’ for 1990 if it can be shown that there have been few changes in management practices on the applicable land in the 20 years prior to</w:t>
      </w:r>
      <w:r>
        <w:rPr>
          <w:spacing w:val="-2"/>
          <w:sz w:val="20"/>
        </w:rPr>
        <w:t> </w:t>
      </w:r>
      <w:r>
        <w:rPr>
          <w:sz w:val="20"/>
        </w:rPr>
        <w:t>1990.</w:t>
      </w:r>
    </w:p>
    <w:p>
      <w:pPr>
        <w:pStyle w:val="ListParagraph"/>
        <w:numPr>
          <w:ilvl w:val="0"/>
          <w:numId w:val="117"/>
        </w:numPr>
        <w:tabs>
          <w:tab w:pos="604" w:val="left" w:leader="none"/>
        </w:tabs>
        <w:spacing w:line="230" w:lineRule="auto" w:before="145" w:after="0"/>
        <w:ind w:left="604" w:right="1407" w:hanging="425"/>
        <w:jc w:val="both"/>
        <w:rPr>
          <w:sz w:val="20"/>
        </w:rPr>
      </w:pPr>
      <w:r>
        <w:rPr>
          <w:sz w:val="20"/>
        </w:rPr>
        <w:t>Use data from another year shown to be a reliable proxy for the base year (e.g., 1989 in place of 1990).  The proxy year should be as close to 1990 as possible and, all else being equal, preference should be given to a more recent</w:t>
      </w:r>
      <w:r>
        <w:rPr>
          <w:spacing w:val="2"/>
          <w:sz w:val="20"/>
        </w:rPr>
        <w:t> </w:t>
      </w:r>
      <w:r>
        <w:rPr>
          <w:sz w:val="20"/>
        </w:rPr>
        <w:t>year.</w:t>
      </w:r>
    </w:p>
    <w:p>
      <w:pPr>
        <w:pStyle w:val="ListParagraph"/>
        <w:numPr>
          <w:ilvl w:val="0"/>
          <w:numId w:val="117"/>
        </w:numPr>
        <w:tabs>
          <w:tab w:pos="604" w:val="left" w:leader="none"/>
        </w:tabs>
        <w:spacing w:line="235" w:lineRule="auto" w:before="141" w:after="0"/>
        <w:ind w:left="604" w:right="1407" w:hanging="425"/>
        <w:jc w:val="both"/>
        <w:rPr>
          <w:sz w:val="20"/>
        </w:rPr>
      </w:pPr>
      <w:r>
        <w:rPr>
          <w:sz w:val="20"/>
        </w:rPr>
        <w:t>Use a country-specific methodology, shown to be reliable, to estimate base year soil carbon stock change in 1990. It is </w:t>
      </w:r>
      <w:r>
        <w:rPr>
          <w:i/>
          <w:sz w:val="20"/>
        </w:rPr>
        <w:t>good practice </w:t>
      </w:r>
      <w:r>
        <w:rPr>
          <w:sz w:val="20"/>
        </w:rPr>
        <w:t>to verify that this methodology does not over- or underestimate emissions/removals in the base year (see discussion of Tier 2 and 3 methods in Section 4.2.8.3). In most cases, these methods also require historical data on management practices prior to</w:t>
      </w:r>
      <w:r>
        <w:rPr>
          <w:spacing w:val="-8"/>
          <w:sz w:val="20"/>
        </w:rPr>
        <w:t> </w:t>
      </w:r>
      <w:r>
        <w:rPr>
          <w:sz w:val="20"/>
        </w:rPr>
        <w:t>1990.</w:t>
      </w:r>
    </w:p>
    <w:p>
      <w:pPr>
        <w:pStyle w:val="BodyText"/>
        <w:spacing w:before="118"/>
        <w:ind w:left="179" w:right="1403"/>
        <w:jc w:val="both"/>
      </w:pPr>
      <w:r>
        <w:rPr/>
        <w:t>This approach may sometimes result in a conservative estimate of net soil carbon stock change but, in the absence of reliable and verifiable data for calculating 1990 carbon stock change, will help avoid overestimating the net removal of carbon from the</w:t>
      </w:r>
      <w:r>
        <w:rPr>
          <w:spacing w:val="-6"/>
        </w:rPr>
        <w:t> </w:t>
      </w:r>
      <w:r>
        <w:rPr/>
        <w:t>atmosphere.</w:t>
      </w:r>
    </w:p>
    <w:p>
      <w:pPr>
        <w:pStyle w:val="BodyText"/>
        <w:rPr>
          <w:sz w:val="22"/>
        </w:rPr>
      </w:pPr>
    </w:p>
    <w:p>
      <w:pPr>
        <w:pStyle w:val="Heading6"/>
        <w:numPr>
          <w:ilvl w:val="3"/>
          <w:numId w:val="163"/>
        </w:numPr>
        <w:tabs>
          <w:tab w:pos="1620" w:val="left" w:leader="none"/>
        </w:tabs>
        <w:spacing w:line="240" w:lineRule="auto" w:before="147" w:after="0"/>
        <w:ind w:left="1619" w:right="0" w:hanging="1440"/>
        <w:jc w:val="both"/>
      </w:pPr>
      <w:r>
        <w:rPr>
          <w:spacing w:val="15"/>
          <w:sz w:val="28"/>
        </w:rPr>
        <w:t>C</w:t>
      </w:r>
      <w:r>
        <w:rPr>
          <w:spacing w:val="15"/>
        </w:rPr>
        <w:t>HOICE </w:t>
      </w:r>
      <w:r>
        <w:rPr>
          <w:spacing w:val="10"/>
        </w:rPr>
        <w:t>OF </w:t>
      </w:r>
      <w:r>
        <w:rPr>
          <w:spacing w:val="16"/>
        </w:rPr>
        <w:t>METHODS </w:t>
      </w:r>
      <w:r>
        <w:rPr>
          <w:spacing w:val="13"/>
        </w:rPr>
        <w:t>FOR </w:t>
      </w:r>
      <w:r>
        <w:rPr>
          <w:spacing w:val="17"/>
        </w:rPr>
        <w:t>IDENTIFYING</w:t>
      </w:r>
      <w:r>
        <w:rPr>
          <w:spacing w:val="76"/>
        </w:rPr>
        <w:t> </w:t>
      </w:r>
      <w:r>
        <w:rPr>
          <w:spacing w:val="15"/>
        </w:rPr>
        <w:t>LANDS</w:t>
      </w:r>
    </w:p>
    <w:p>
      <w:pPr>
        <w:pStyle w:val="BodyText"/>
        <w:spacing w:before="211"/>
        <w:ind w:left="179" w:right="1401"/>
        <w:jc w:val="both"/>
      </w:pPr>
      <w:r>
        <w:rPr/>
        <w:t>General guidance on identification of lands subject to cropland management is provided in Sections 4.1.1, 4.1.2, 4.2.1, and 4.2.2. Under the Marrakesh Accords, the geographical location of the boundaries of the area that encompass land subject to cropland management needs to be reported annually, along with the total land areas subject to this activity.</w:t>
      </w:r>
    </w:p>
    <w:p>
      <w:pPr>
        <w:pStyle w:val="BodyText"/>
        <w:spacing w:before="119"/>
        <w:ind w:left="179" w:right="1402"/>
        <w:jc w:val="both"/>
      </w:pPr>
      <w:r>
        <w:rPr/>
        <w:t>The geographical location of boundaries may include a spatially explicit specification of each land subject to cropland management, but does not have to. Instead, the boundaries of larger areas encompassing smaller lands subject to cropland management may be provided, along with estimates of the area subject to cropland management in each of the larger areas. In either case, the land subject to cropland management and the management thereon need to be tracked through time because the continuity of management affects carbon emissions and removals. For example, a Party wishing to claim carbon removals due to conversion to no-till of 10% of an area under cropland management must demonstrate that no-till has been practiced on the same land for that period, since carbon accumulation in mineral soil depends on continuity of no-till (and the carbon emission/removal factors have been derived for continuous no-till). The rate of carbon removal for the total area therefore depends upon whether the same 10% of land has remained under no-till or if the 10% of no-till occurs on a different portion of the area in different years; it is not sufficient merely to state that 10% of the cropland management area has been under no-till for the whole period. It is </w:t>
      </w:r>
      <w:r>
        <w:rPr>
          <w:i/>
        </w:rPr>
        <w:t>good practice </w:t>
      </w:r>
      <w:r>
        <w:rPr/>
        <w:t>to follow continuously the management of land subject to cropland management; this could be achieved either by continuously tracking each</w:t>
      </w:r>
      <w:r>
        <w:rPr>
          <w:spacing w:val="9"/>
        </w:rPr>
        <w:t> </w:t>
      </w:r>
      <w:r>
        <w:rPr/>
        <w:t>land</w:t>
      </w:r>
      <w:r>
        <w:rPr>
          <w:spacing w:val="13"/>
        </w:rPr>
        <w:t> </w:t>
      </w:r>
      <w:r>
        <w:rPr/>
        <w:t>subject</w:t>
      </w:r>
      <w:r>
        <w:rPr>
          <w:spacing w:val="12"/>
        </w:rPr>
        <w:t> </w:t>
      </w:r>
      <w:r>
        <w:rPr/>
        <w:t>to</w:t>
      </w:r>
      <w:r>
        <w:rPr>
          <w:spacing w:val="11"/>
        </w:rPr>
        <w:t> </w:t>
      </w:r>
      <w:r>
        <w:rPr/>
        <w:t>cropland</w:t>
      </w:r>
      <w:r>
        <w:rPr>
          <w:spacing w:val="13"/>
        </w:rPr>
        <w:t> </w:t>
      </w:r>
      <w:r>
        <w:rPr/>
        <w:t>management</w:t>
      </w:r>
      <w:r>
        <w:rPr>
          <w:spacing w:val="11"/>
        </w:rPr>
        <w:t> </w:t>
      </w:r>
      <w:r>
        <w:rPr/>
        <w:t>from</w:t>
      </w:r>
      <w:r>
        <w:rPr>
          <w:spacing w:val="7"/>
        </w:rPr>
        <w:t> </w:t>
      </w:r>
      <w:r>
        <w:rPr/>
        <w:t>1990</w:t>
      </w:r>
      <w:r>
        <w:rPr>
          <w:spacing w:val="12"/>
        </w:rPr>
        <w:t> </w:t>
      </w:r>
      <w:r>
        <w:rPr/>
        <w:t>until</w:t>
      </w:r>
      <w:r>
        <w:rPr>
          <w:spacing w:val="14"/>
        </w:rPr>
        <w:t> </w:t>
      </w:r>
      <w:r>
        <w:rPr/>
        <w:t>the</w:t>
      </w:r>
      <w:r>
        <w:rPr>
          <w:spacing w:val="11"/>
        </w:rPr>
        <w:t> </w:t>
      </w:r>
      <w:r>
        <w:rPr/>
        <w:t>end</w:t>
      </w:r>
      <w:r>
        <w:rPr>
          <w:spacing w:val="12"/>
        </w:rPr>
        <w:t> </w:t>
      </w:r>
      <w:r>
        <w:rPr/>
        <w:t>of</w:t>
      </w:r>
      <w:r>
        <w:rPr>
          <w:spacing w:val="10"/>
        </w:rPr>
        <w:t> </w:t>
      </w:r>
      <w:r>
        <w:rPr/>
        <w:t>the</w:t>
      </w:r>
      <w:r>
        <w:rPr>
          <w:spacing w:val="12"/>
        </w:rPr>
        <w:t> </w:t>
      </w:r>
      <w:r>
        <w:rPr/>
        <w:t>commitment</w:t>
      </w:r>
      <w:r>
        <w:rPr>
          <w:spacing w:val="11"/>
        </w:rPr>
        <w:t> </w:t>
      </w:r>
      <w:r>
        <w:rPr/>
        <w:t>period</w:t>
      </w:r>
      <w:r>
        <w:rPr>
          <w:spacing w:val="12"/>
        </w:rPr>
        <w:t> </w:t>
      </w:r>
      <w:r>
        <w:rPr/>
        <w:t>(e.g.</w:t>
      </w:r>
      <w:r>
        <w:rPr>
          <w:spacing w:val="12"/>
        </w:rPr>
        <w:t> </w:t>
      </w:r>
      <w:r>
        <w:rPr/>
        <w:t>see</w:t>
      </w:r>
      <w:r>
        <w:rPr>
          <w:spacing w:val="11"/>
        </w:rPr>
        <w:t> </w:t>
      </w:r>
      <w:r>
        <w:rPr/>
        <w:t>Section</w:t>
      </w:r>
    </w:p>
    <w:p>
      <w:pPr>
        <w:pStyle w:val="BodyText"/>
        <w:ind w:left="179" w:right="1406"/>
        <w:jc w:val="both"/>
      </w:pPr>
      <w:r>
        <w:rPr/>
        <w:t>4.2.8.1 Definitional issues and reporting requirements), or by developing statistical sampling techniques, consistent with the advice in Section 5.3, that allow the management transitions on cropland management land to be determined (see also Section 4.2.4.1 Developing a consistent time series).</w:t>
      </w:r>
    </w:p>
    <w:p>
      <w:pPr>
        <w:pStyle w:val="BodyText"/>
        <w:spacing w:before="115"/>
        <w:ind w:left="179" w:right="1405"/>
        <w:jc w:val="both"/>
      </w:pPr>
      <w:r>
        <w:rPr/>
        <w:t>At the national level criteria that could be relevant to subdivision for the purpose of stratification when setting up a sampling strategy include:</w:t>
      </w:r>
    </w:p>
    <w:p>
      <w:pPr>
        <w:pStyle w:val="ListParagraph"/>
        <w:numPr>
          <w:ilvl w:val="0"/>
          <w:numId w:val="117"/>
        </w:numPr>
        <w:tabs>
          <w:tab w:pos="540" w:val="left" w:leader="none"/>
        </w:tabs>
        <w:spacing w:line="240" w:lineRule="auto" w:before="135" w:after="0"/>
        <w:ind w:left="539" w:right="0" w:hanging="360"/>
        <w:jc w:val="both"/>
        <w:rPr>
          <w:sz w:val="20"/>
        </w:rPr>
      </w:pPr>
      <w:r>
        <w:rPr>
          <w:sz w:val="20"/>
        </w:rPr>
        <w:t>Climate</w:t>
      </w:r>
    </w:p>
    <w:p>
      <w:pPr>
        <w:pStyle w:val="ListParagraph"/>
        <w:numPr>
          <w:ilvl w:val="0"/>
          <w:numId w:val="117"/>
        </w:numPr>
        <w:tabs>
          <w:tab w:pos="540" w:val="left" w:leader="none"/>
        </w:tabs>
        <w:spacing w:line="240" w:lineRule="auto" w:before="119" w:after="0"/>
        <w:ind w:left="539" w:right="0" w:hanging="360"/>
        <w:jc w:val="both"/>
        <w:rPr>
          <w:sz w:val="20"/>
        </w:rPr>
      </w:pPr>
      <w:r>
        <w:rPr>
          <w:sz w:val="20"/>
        </w:rPr>
        <w:t>Soil</w:t>
      </w:r>
      <w:r>
        <w:rPr>
          <w:spacing w:val="-1"/>
          <w:sz w:val="20"/>
        </w:rPr>
        <w:t> </w:t>
      </w:r>
      <w:r>
        <w:rPr>
          <w:sz w:val="20"/>
        </w:rPr>
        <w:t>type</w:t>
      </w:r>
    </w:p>
    <w:p>
      <w:pPr>
        <w:pStyle w:val="ListParagraph"/>
        <w:numPr>
          <w:ilvl w:val="0"/>
          <w:numId w:val="117"/>
        </w:numPr>
        <w:tabs>
          <w:tab w:pos="540" w:val="left" w:leader="none"/>
        </w:tabs>
        <w:spacing w:line="240" w:lineRule="auto" w:before="116" w:after="0"/>
        <w:ind w:left="539" w:right="0" w:hanging="360"/>
        <w:jc w:val="both"/>
        <w:rPr>
          <w:sz w:val="20"/>
        </w:rPr>
      </w:pPr>
      <w:r>
        <w:rPr>
          <w:sz w:val="20"/>
        </w:rPr>
        <w:t>Degree of disturbance (e.g. tillage frequency and</w:t>
      </w:r>
      <w:r>
        <w:rPr>
          <w:spacing w:val="-4"/>
          <w:sz w:val="20"/>
        </w:rPr>
        <w:t> </w:t>
      </w:r>
      <w:r>
        <w:rPr>
          <w:sz w:val="20"/>
        </w:rPr>
        <w:t>intensity)</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Level of organic input (e.g. plant litter, roots, manure, other amendments)</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Temporarily re-grassed lands (e.g.</w:t>
      </w:r>
      <w:r>
        <w:rPr>
          <w:spacing w:val="-6"/>
          <w:sz w:val="20"/>
        </w:rPr>
        <w:t> </w:t>
      </w:r>
      <w:r>
        <w:rPr>
          <w:sz w:val="20"/>
        </w:rPr>
        <w:t>set-aside)</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Fallow</w:t>
      </w:r>
      <w:r>
        <w:rPr>
          <w:spacing w:val="-3"/>
          <w:sz w:val="20"/>
        </w:rPr>
        <w:t> </w:t>
      </w:r>
      <w:r>
        <w:rPr>
          <w:sz w:val="20"/>
        </w:rPr>
        <w:t>lands</w:t>
      </w:r>
    </w:p>
    <w:p>
      <w:pPr>
        <w:pStyle w:val="ListParagraph"/>
        <w:numPr>
          <w:ilvl w:val="0"/>
          <w:numId w:val="117"/>
        </w:numPr>
        <w:tabs>
          <w:tab w:pos="540" w:val="left" w:leader="none"/>
        </w:tabs>
        <w:spacing w:line="240" w:lineRule="auto" w:before="116" w:after="0"/>
        <w:ind w:left="539" w:right="0" w:hanging="360"/>
        <w:jc w:val="both"/>
        <w:rPr>
          <w:sz w:val="20"/>
        </w:rPr>
      </w:pPr>
      <w:r>
        <w:rPr>
          <w:sz w:val="20"/>
        </w:rPr>
        <w:t>Lands with woody biomass stocks (e.g. shelterbelts, orchards, other perennial</w:t>
      </w:r>
      <w:r>
        <w:rPr>
          <w:spacing w:val="-5"/>
          <w:sz w:val="20"/>
        </w:rPr>
        <w:t> </w:t>
      </w:r>
      <w:r>
        <w:rPr>
          <w:sz w:val="20"/>
        </w:rPr>
        <w:t>plantations)</w:t>
      </w:r>
    </w:p>
    <w:p>
      <w:pPr>
        <w:spacing w:after="0" w:line="240" w:lineRule="auto"/>
        <w:jc w:val="both"/>
        <w:rPr>
          <w:sz w:val="20"/>
        </w:rPr>
        <w:sectPr>
          <w:pgSz w:w="11900" w:h="16840"/>
          <w:pgMar w:header="230" w:footer="408" w:top="560" w:bottom="600" w:left="1240" w:right="0"/>
        </w:sectPr>
      </w:pPr>
    </w:p>
    <w:p>
      <w:pPr>
        <w:pStyle w:val="BodyText"/>
        <w:spacing w:before="5"/>
        <w:rPr>
          <w:sz w:val="29"/>
        </w:rPr>
      </w:pPr>
    </w:p>
    <w:p>
      <w:pPr>
        <w:pStyle w:val="ListParagraph"/>
        <w:numPr>
          <w:ilvl w:val="0"/>
          <w:numId w:val="117"/>
        </w:numPr>
        <w:tabs>
          <w:tab w:pos="539" w:val="left" w:leader="none"/>
          <w:tab w:pos="540" w:val="left" w:leader="none"/>
        </w:tabs>
        <w:spacing w:line="240" w:lineRule="auto" w:before="115" w:after="0"/>
        <w:ind w:left="539" w:right="0" w:hanging="360"/>
        <w:jc w:val="left"/>
        <w:rPr>
          <w:sz w:val="20"/>
        </w:rPr>
      </w:pPr>
      <w:r>
        <w:rPr>
          <w:sz w:val="20"/>
        </w:rPr>
        <w:t>Lands converted to croplands since 1990 (land-use change) that are not in any other land-use</w:t>
      </w:r>
      <w:r>
        <w:rPr>
          <w:spacing w:val="-17"/>
          <w:sz w:val="20"/>
        </w:rPr>
        <w:t> </w:t>
      </w:r>
      <w:r>
        <w:rPr>
          <w:sz w:val="20"/>
        </w:rPr>
        <w:t>category.</w:t>
      </w:r>
    </w:p>
    <w:p>
      <w:pPr>
        <w:pStyle w:val="BodyText"/>
        <w:spacing w:before="104"/>
        <w:ind w:left="179" w:right="1404"/>
        <w:jc w:val="both"/>
      </w:pPr>
      <w:r>
        <w:rPr/>
        <w:t>For all resulting subcategories under cropland management, the areas derived from the conversion of forests (i.e., deforestation) since 1990, need to be tracked separately as these will be reported as units of lands subject to deforestation.</w:t>
      </w:r>
    </w:p>
    <w:p>
      <w:pPr>
        <w:pStyle w:val="BodyText"/>
        <w:spacing w:line="364" w:lineRule="auto" w:before="119"/>
        <w:ind w:left="179" w:right="3513"/>
      </w:pPr>
      <w:r>
        <w:rPr/>
        <w:t>At higher tiers further subdivision of the cropland management area may be necessary. Methods to identify croplands with adequate disaggregation may include:</w:t>
      </w:r>
    </w:p>
    <w:p>
      <w:pPr>
        <w:pStyle w:val="ListParagraph"/>
        <w:numPr>
          <w:ilvl w:val="0"/>
          <w:numId w:val="117"/>
        </w:numPr>
        <w:tabs>
          <w:tab w:pos="540" w:val="left" w:leader="none"/>
        </w:tabs>
        <w:spacing w:line="235" w:lineRule="auto" w:before="19" w:after="0"/>
        <w:ind w:left="536" w:right="1355" w:hanging="357"/>
        <w:jc w:val="both"/>
        <w:rPr>
          <w:sz w:val="20"/>
        </w:rPr>
      </w:pPr>
      <w:r>
        <w:rPr>
          <w:sz w:val="20"/>
        </w:rPr>
        <w:t>National land-use and management statistics: in most countries, the agricultural land base including croplands is usually surveyed regularly, providing data on distribution of different land uses, crops, tillage practice and other aspects of management, often at sub-national regional level. These statistics may originate, in part, from remote sensing</w:t>
      </w:r>
      <w:r>
        <w:rPr>
          <w:spacing w:val="-4"/>
          <w:sz w:val="20"/>
        </w:rPr>
        <w:t> </w:t>
      </w:r>
      <w:r>
        <w:rPr>
          <w:sz w:val="20"/>
        </w:rPr>
        <w:t>methods.</w:t>
      </w:r>
    </w:p>
    <w:p>
      <w:pPr>
        <w:pStyle w:val="ListParagraph"/>
        <w:numPr>
          <w:ilvl w:val="0"/>
          <w:numId w:val="117"/>
        </w:numPr>
        <w:tabs>
          <w:tab w:pos="540" w:val="left" w:leader="none"/>
        </w:tabs>
        <w:spacing w:line="223" w:lineRule="auto" w:before="65" w:after="0"/>
        <w:ind w:left="536" w:right="1407" w:hanging="357"/>
        <w:jc w:val="both"/>
        <w:rPr>
          <w:sz w:val="20"/>
        </w:rPr>
      </w:pPr>
      <w:r>
        <w:rPr>
          <w:sz w:val="20"/>
        </w:rPr>
        <w:t>Inventory data from a statistically based, plot-sampling system: land-use and management activities are monitored at specific permanent sample plots that are revisited on a regular</w:t>
      </w:r>
      <w:r>
        <w:rPr>
          <w:spacing w:val="-11"/>
          <w:sz w:val="20"/>
        </w:rPr>
        <w:t> </w:t>
      </w:r>
      <w:r>
        <w:rPr>
          <w:sz w:val="20"/>
        </w:rPr>
        <w:t>basis.</w:t>
      </w:r>
    </w:p>
    <w:p>
      <w:pPr>
        <w:pStyle w:val="BodyText"/>
        <w:spacing w:before="43"/>
        <w:ind w:left="179" w:right="1597"/>
      </w:pPr>
      <w:r>
        <w:rPr/>
        <w:t>Further </w:t>
      </w:r>
      <w:r>
        <w:rPr>
          <w:i/>
        </w:rPr>
        <w:t>good practice guidance </w:t>
      </w:r>
      <w:r>
        <w:rPr/>
        <w:t>on identifying land areas is given in Chapter 2 (Basis for consistent representation of land areas).</w:t>
      </w:r>
    </w:p>
    <w:p>
      <w:pPr>
        <w:pStyle w:val="BodyText"/>
        <w:spacing w:before="119"/>
        <w:ind w:left="179" w:right="1597"/>
      </w:pPr>
      <w:r>
        <w:rPr/>
        <w:pict>
          <v:shape style="position:absolute;margin-left:91.960999pt;margin-top:36.048645pt;width:411.5pt;height:151.8pt;mso-position-horizontal-relative:page;mso-position-vertical-relative:paragraph;z-index:22568;mso-wrap-distance-left:0;mso-wrap-distance-right:0" type="#_x0000_t202" filled="false" stroked="true" strokeweight="1.44pt" strokecolor="#000000">
            <v:textbox inset="0,0,0,0">
              <w:txbxContent>
                <w:p>
                  <w:pPr>
                    <w:spacing w:before="100"/>
                    <w:ind w:left="67" w:right="68" w:firstLine="0"/>
                    <w:jc w:val="center"/>
                    <w:rPr>
                      <w:b/>
                      <w:sz w:val="18"/>
                    </w:rPr>
                  </w:pPr>
                  <w:r>
                    <w:rPr>
                      <w:b/>
                      <w:sz w:val="18"/>
                    </w:rPr>
                    <w:t>B</w:t>
                  </w:r>
                  <w:r>
                    <w:rPr>
                      <w:b/>
                      <w:sz w:val="14"/>
                    </w:rPr>
                    <w:t>OX </w:t>
                  </w:r>
                  <w:r>
                    <w:rPr>
                      <w:b/>
                      <w:sz w:val="18"/>
                    </w:rPr>
                    <w:t>4.2.9</w:t>
                  </w:r>
                </w:p>
                <w:p>
                  <w:pPr>
                    <w:spacing w:before="120"/>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spacing w:before="113"/>
                    <w:ind w:left="127" w:right="120" w:firstLine="0"/>
                    <w:jc w:val="both"/>
                    <w:rPr>
                      <w:i/>
                      <w:sz w:val="20"/>
                    </w:rPr>
                  </w:pPr>
                  <w:r>
                    <w:rPr>
                      <w:sz w:val="20"/>
                    </w:rPr>
                    <w:t>Section 2.3.2 (Three Approaches): Croplands that remain croplands or any conversion that leads to croplands in Chapter 2 (except forests to croplands). </w:t>
                  </w:r>
                  <w:r>
                    <w:rPr>
                      <w:i/>
                      <w:sz w:val="20"/>
                    </w:rPr>
                    <w:t>Should include all transitions between 1990 (or 1970, where required for base year estimate) and 2008, and in later inventory years transitions on an annual basis.</w:t>
                  </w:r>
                  <w:r>
                    <w:rPr>
                      <w:i/>
                      <w:sz w:val="20"/>
                      <w:vertAlign w:val="superscript"/>
                    </w:rPr>
                    <w:t>56</w:t>
                  </w:r>
                </w:p>
                <w:p>
                  <w:pPr>
                    <w:pStyle w:val="BodyText"/>
                    <w:rPr>
                      <w:sz w:val="24"/>
                    </w:rPr>
                  </w:pPr>
                </w:p>
                <w:p>
                  <w:pPr>
                    <w:spacing w:before="176"/>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spacing w:before="115"/>
                    <w:ind w:left="127" w:right="124"/>
                  </w:pPr>
                  <w:r>
                    <w:rPr/>
                    <w:t>Not available in a format that meets requirements in the Marrakesh Accords for geographical location of the boundaries.</w:t>
                  </w:r>
                </w:p>
              </w:txbxContent>
            </v:textbox>
            <v:stroke dashstyle="solid"/>
            <w10:wrap type="topAndBottom"/>
          </v:shape>
        </w:pict>
      </w:r>
      <w:r>
        <w:rPr/>
        <w:t>Links to related methods for cropland area identification in other chapters of this report and in the </w:t>
      </w:r>
      <w:r>
        <w:rPr>
          <w:i/>
        </w:rPr>
        <w:t>IPCC Guidelines </w:t>
      </w:r>
      <w:r>
        <w:rPr/>
        <w:t>are given in Box 4.2.9 below:</w:t>
      </w:r>
    </w:p>
    <w:p>
      <w:pPr>
        <w:pStyle w:val="BodyText"/>
        <w:spacing w:before="8"/>
        <w:rPr>
          <w:sz w:val="23"/>
        </w:rPr>
      </w:pPr>
    </w:p>
    <w:p>
      <w:pPr>
        <w:pStyle w:val="Heading6"/>
        <w:numPr>
          <w:ilvl w:val="3"/>
          <w:numId w:val="164"/>
        </w:numPr>
        <w:tabs>
          <w:tab w:pos="1619" w:val="left" w:leader="none"/>
          <w:tab w:pos="1620" w:val="left" w:leader="none"/>
        </w:tabs>
        <w:spacing w:line="242" w:lineRule="auto" w:before="89" w:after="0"/>
        <w:ind w:left="1619" w:right="1823" w:hanging="1440"/>
        <w:jc w:val="left"/>
      </w:pPr>
      <w:r>
        <w:rPr>
          <w:spacing w:val="16"/>
          <w:sz w:val="28"/>
        </w:rPr>
        <w:t>C</w:t>
      </w:r>
      <w:r>
        <w:rPr>
          <w:spacing w:val="16"/>
        </w:rPr>
        <w:t>HOICE </w:t>
      </w:r>
      <w:r>
        <w:rPr>
          <w:spacing w:val="10"/>
        </w:rPr>
        <w:t>OF </w:t>
      </w:r>
      <w:r>
        <w:rPr>
          <w:spacing w:val="16"/>
        </w:rPr>
        <w:t>METHODS </w:t>
      </w:r>
      <w:r>
        <w:rPr>
          <w:spacing w:val="13"/>
        </w:rPr>
        <w:t>FOR </w:t>
      </w:r>
      <w:r>
        <w:rPr>
          <w:spacing w:val="17"/>
        </w:rPr>
        <w:t>ESTIMATING </w:t>
      </w:r>
      <w:r>
        <w:rPr>
          <w:spacing w:val="16"/>
        </w:rPr>
        <w:t>CARBON </w:t>
      </w:r>
      <w:r>
        <w:rPr>
          <w:spacing w:val="15"/>
        </w:rPr>
        <w:t>STOCK </w:t>
      </w:r>
      <w:r>
        <w:rPr>
          <w:spacing w:val="16"/>
        </w:rPr>
        <w:t>CHANGES </w:t>
      </w:r>
      <w:r>
        <w:rPr>
          <w:spacing w:val="12"/>
        </w:rPr>
        <w:t>AND </w:t>
      </w:r>
      <w:r>
        <w:rPr>
          <w:spacing w:val="16"/>
        </w:rPr>
        <w:t>NON</w:t>
      </w:r>
      <w:r>
        <w:rPr>
          <w:spacing w:val="16"/>
          <w:sz w:val="28"/>
        </w:rPr>
        <w:t>-CO</w:t>
      </w:r>
      <w:r>
        <w:rPr>
          <w:spacing w:val="16"/>
          <w:sz w:val="28"/>
          <w:vertAlign w:val="subscript"/>
        </w:rPr>
        <w:t>2</w:t>
      </w:r>
      <w:r>
        <w:rPr>
          <w:spacing w:val="16"/>
          <w:sz w:val="28"/>
          <w:vertAlign w:val="baseline"/>
        </w:rPr>
        <w:t> </w:t>
      </w:r>
      <w:r>
        <w:rPr>
          <w:spacing w:val="17"/>
          <w:vertAlign w:val="baseline"/>
        </w:rPr>
        <w:t>GREENHOUSE </w:t>
      </w:r>
      <w:r>
        <w:rPr>
          <w:spacing w:val="12"/>
          <w:vertAlign w:val="baseline"/>
        </w:rPr>
        <w:t>GAS</w:t>
      </w:r>
      <w:r>
        <w:rPr>
          <w:spacing w:val="6"/>
          <w:vertAlign w:val="baseline"/>
        </w:rPr>
        <w:t> </w:t>
      </w:r>
      <w:r>
        <w:rPr>
          <w:spacing w:val="16"/>
          <w:vertAlign w:val="baseline"/>
        </w:rPr>
        <w:t>EMISSIONS</w:t>
      </w:r>
    </w:p>
    <w:p>
      <w:pPr>
        <w:pStyle w:val="BodyText"/>
        <w:spacing w:before="207"/>
        <w:ind w:left="179"/>
        <w:jc w:val="both"/>
      </w:pPr>
      <w:r>
        <w:rPr/>
        <w:t>For croplands, the </w:t>
      </w:r>
      <w:r>
        <w:rPr>
          <w:i/>
        </w:rPr>
        <w:t>IPCC Guidelines </w:t>
      </w:r>
      <w:r>
        <w:rPr/>
        <w:t>identify three potential sources or sinks of CO</w:t>
      </w:r>
      <w:r>
        <w:rPr>
          <w:vertAlign w:val="subscript"/>
        </w:rPr>
        <w:t>2</w:t>
      </w:r>
      <w:r>
        <w:rPr>
          <w:vertAlign w:val="baseline"/>
        </w:rPr>
        <w:t> from agricultural soils:</w:t>
      </w:r>
    </w:p>
    <w:p>
      <w:pPr>
        <w:pStyle w:val="ListParagraph"/>
        <w:numPr>
          <w:ilvl w:val="0"/>
          <w:numId w:val="117"/>
        </w:numPr>
        <w:tabs>
          <w:tab w:pos="540" w:val="left" w:leader="none"/>
        </w:tabs>
        <w:spacing w:line="240" w:lineRule="auto" w:before="132" w:after="0"/>
        <w:ind w:left="539" w:right="0" w:hanging="360"/>
        <w:jc w:val="both"/>
        <w:rPr>
          <w:sz w:val="20"/>
        </w:rPr>
      </w:pPr>
      <w:r>
        <w:rPr>
          <w:sz w:val="20"/>
        </w:rPr>
        <w:t>Net changes in organic carbon stocks of mineral soil associated with changes in land use and</w:t>
      </w:r>
      <w:r>
        <w:rPr>
          <w:spacing w:val="-16"/>
          <w:sz w:val="20"/>
        </w:rPr>
        <w:t> </w:t>
      </w:r>
      <w:r>
        <w:rPr>
          <w:sz w:val="20"/>
        </w:rPr>
        <w:t>management</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Emissions of CO</w:t>
      </w:r>
      <w:r>
        <w:rPr>
          <w:sz w:val="20"/>
          <w:vertAlign w:val="subscript"/>
        </w:rPr>
        <w:t>2</w:t>
      </w:r>
      <w:r>
        <w:rPr>
          <w:sz w:val="20"/>
          <w:vertAlign w:val="baseline"/>
        </w:rPr>
        <w:t> from cultivated organic</w:t>
      </w:r>
      <w:r>
        <w:rPr>
          <w:spacing w:val="-7"/>
          <w:sz w:val="20"/>
          <w:vertAlign w:val="baseline"/>
        </w:rPr>
        <w:t> </w:t>
      </w:r>
      <w:r>
        <w:rPr>
          <w:sz w:val="20"/>
          <w:vertAlign w:val="baseline"/>
        </w:rPr>
        <w:t>soils</w:t>
      </w:r>
    </w:p>
    <w:p>
      <w:pPr>
        <w:pStyle w:val="ListParagraph"/>
        <w:numPr>
          <w:ilvl w:val="0"/>
          <w:numId w:val="117"/>
        </w:numPr>
        <w:tabs>
          <w:tab w:pos="540" w:val="left" w:leader="none"/>
        </w:tabs>
        <w:spacing w:line="240" w:lineRule="auto" w:before="119" w:after="0"/>
        <w:ind w:left="539" w:right="0" w:hanging="360"/>
        <w:jc w:val="both"/>
        <w:rPr>
          <w:sz w:val="20"/>
        </w:rPr>
      </w:pPr>
      <w:r>
        <w:rPr>
          <w:sz w:val="20"/>
        </w:rPr>
        <w:t>Emissions of CO</w:t>
      </w:r>
      <w:r>
        <w:rPr>
          <w:sz w:val="20"/>
          <w:vertAlign w:val="subscript"/>
        </w:rPr>
        <w:t>2</w:t>
      </w:r>
      <w:r>
        <w:rPr>
          <w:sz w:val="20"/>
          <w:vertAlign w:val="baseline"/>
        </w:rPr>
        <w:t> from liming of agricultural</w:t>
      </w:r>
      <w:r>
        <w:rPr>
          <w:spacing w:val="-7"/>
          <w:sz w:val="20"/>
          <w:vertAlign w:val="baseline"/>
        </w:rPr>
        <w:t> </w:t>
      </w:r>
      <w:r>
        <w:rPr>
          <w:sz w:val="20"/>
          <w:vertAlign w:val="baseline"/>
        </w:rPr>
        <w:t>soils</w:t>
      </w:r>
    </w:p>
    <w:p>
      <w:pPr>
        <w:pStyle w:val="BodyText"/>
        <w:spacing w:before="104"/>
        <w:ind w:left="179" w:right="1407"/>
      </w:pPr>
      <w:r>
        <w:rPr/>
        <w:t>Total annual emissions/removals of CO</w:t>
      </w:r>
      <w:r>
        <w:rPr>
          <w:vertAlign w:val="subscript"/>
        </w:rPr>
        <w:t>2</w:t>
      </w:r>
      <w:r>
        <w:rPr>
          <w:vertAlign w:val="baseline"/>
        </w:rPr>
        <w:t> are calculated by summing emissions/removals from these sources (see Section 3.3.1.2).</w:t>
      </w:r>
    </w:p>
    <w:p>
      <w:pPr>
        <w:pStyle w:val="BodyText"/>
        <w:spacing w:before="118"/>
        <w:ind w:left="179" w:right="1404"/>
        <w:jc w:val="both"/>
      </w:pPr>
      <w:r>
        <w:rPr/>
        <w:t>Carbon stock changes in other pools (aboveground, belowground biomass, litter and dead wood) should be estimated if applicable (i.e., unless the Party to the Kyoto Protocol chooses not to report on a certain pool and provides verifiable information that carbon stocks are not decreasing). For most crops, annual crop biomass can be neglected, but trees, shelterbelts and woody crops on croplands need to be accounted for either under cropland management, afforestation/reforestation or forest management. Relevant methods for estimating carbon stock changes and non-CO</w:t>
      </w:r>
      <w:r>
        <w:rPr>
          <w:vertAlign w:val="subscript"/>
        </w:rPr>
        <w:t>2</w:t>
      </w:r>
      <w:r>
        <w:rPr>
          <w:vertAlign w:val="baseline"/>
        </w:rPr>
        <w:t> greenhouse gas emissions from aboveground and belowground biomass, litter and dead wood can be found in the afforestation/reforestation or forest management sections (see Table 4.2.8) and Chapter 3 (see Box 4.2.10) of this report. The appropriate references are summarized in Table 4.2.8. The following sections focus largely on the soil carbon pool. For generic decision trees, guiding the choice of methods also for other subcategories, see Figures 3.1.1 and 3.1.2 in Chapter 3.</w:t>
      </w:r>
    </w:p>
    <w:p>
      <w:pPr>
        <w:pStyle w:val="BodyText"/>
      </w:pPr>
    </w:p>
    <w:p>
      <w:pPr>
        <w:pStyle w:val="BodyText"/>
        <w:spacing w:before="6"/>
        <w:rPr>
          <w:sz w:val="19"/>
        </w:rPr>
      </w:pPr>
      <w:r>
        <w:rPr/>
        <w:pict>
          <v:line style="position:absolute;mso-position-horizontal-relative:page;mso-position-vertical-relative:paragraph;z-index:22592;mso-wrap-distance-left:0;mso-wrap-distance-right:0" from="70.960999pt,13.4279pt" to="214.960999pt,13.4279pt" stroked="true" strokeweight=".48pt" strokecolor="#000000">
            <v:stroke dashstyle="solid"/>
            <w10:wrap type="topAndBottom"/>
          </v:line>
        </w:pict>
      </w:r>
    </w:p>
    <w:p>
      <w:pPr>
        <w:spacing w:before="150"/>
        <w:ind w:left="337" w:right="1407" w:hanging="159"/>
        <w:jc w:val="left"/>
        <w:rPr>
          <w:sz w:val="18"/>
        </w:rPr>
      </w:pPr>
      <w:r>
        <w:rPr>
          <w:position w:val="8"/>
          <w:sz w:val="12"/>
        </w:rPr>
        <w:t>56 </w:t>
      </w:r>
      <w:r>
        <w:rPr>
          <w:sz w:val="18"/>
        </w:rPr>
        <w:t>If more than one land conversion occurs on the same land in the transition period of the matrix, then the transition period may have to be shortened to reflect these transitions.</w:t>
      </w:r>
    </w:p>
    <w:p>
      <w:pPr>
        <w:spacing w:after="0"/>
        <w:jc w:val="left"/>
        <w:rPr>
          <w:sz w:val="18"/>
        </w:rPr>
        <w:sectPr>
          <w:pgSz w:w="11900" w:h="16840"/>
          <w:pgMar w:header="230" w:footer="408" w:top="560" w:bottom="600" w:left="1240" w:right="0"/>
        </w:sectPr>
      </w:pPr>
    </w:p>
    <w:p>
      <w:pPr>
        <w:pStyle w:val="BodyText"/>
      </w:pPr>
    </w:p>
    <w:p>
      <w:pPr>
        <w:pStyle w:val="BodyText"/>
        <w:spacing w:before="9"/>
        <w:rPr>
          <w:sz w:val="18"/>
        </w:rPr>
      </w:pPr>
    </w:p>
    <w:tbl>
      <w:tblPr>
        <w:tblW w:w="0" w:type="auto"/>
        <w:jc w:val="left"/>
        <w:tblInd w:w="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27"/>
        <w:gridCol w:w="6545"/>
      </w:tblGrid>
      <w:tr>
        <w:trPr>
          <w:trHeight w:val="577" w:hRule="atLeast"/>
        </w:trPr>
        <w:tc>
          <w:tcPr>
            <w:tcW w:w="9072" w:type="dxa"/>
            <w:gridSpan w:val="2"/>
            <w:tcBorders>
              <w:bottom w:val="double" w:sz="1" w:space="0" w:color="000000"/>
            </w:tcBorders>
          </w:tcPr>
          <w:p>
            <w:pPr>
              <w:pStyle w:val="TableParagraph"/>
              <w:spacing w:before="81"/>
              <w:ind w:left="486" w:right="478"/>
              <w:jc w:val="center"/>
              <w:rPr>
                <w:b/>
                <w:sz w:val="18"/>
              </w:rPr>
            </w:pPr>
            <w:r>
              <w:rPr>
                <w:b/>
                <w:sz w:val="18"/>
              </w:rPr>
              <w:t>T</w:t>
            </w:r>
            <w:r>
              <w:rPr>
                <w:b/>
                <w:sz w:val="14"/>
              </w:rPr>
              <w:t>ABLE </w:t>
            </w:r>
            <w:r>
              <w:rPr>
                <w:b/>
                <w:sz w:val="18"/>
              </w:rPr>
              <w:t>4.2.8</w:t>
            </w:r>
          </w:p>
          <w:p>
            <w:pPr>
              <w:pStyle w:val="TableParagraph"/>
              <w:spacing w:before="2"/>
              <w:ind w:left="486" w:right="478"/>
              <w:jc w:val="center"/>
              <w:rPr>
                <w:b/>
                <w:sz w:val="14"/>
              </w:rPr>
            </w:pPr>
            <w:r>
              <w:rPr>
                <w:b/>
                <w:sz w:val="18"/>
              </w:rPr>
              <w:t>S</w:t>
            </w:r>
            <w:r>
              <w:rPr>
                <w:b/>
                <w:sz w:val="14"/>
              </w:rPr>
              <w:t>ECTIONS WHERE METHODOLOGIES CAN BE FOUND FOR ESTIMATING DIFFERENT CARBON POOLS ON CROPLAND</w:t>
            </w:r>
          </w:p>
        </w:tc>
      </w:tr>
      <w:tr>
        <w:trPr>
          <w:trHeight w:val="308" w:hRule="atLeast"/>
        </w:trPr>
        <w:tc>
          <w:tcPr>
            <w:tcW w:w="2527" w:type="dxa"/>
            <w:tcBorders>
              <w:top w:val="double" w:sz="1" w:space="0" w:color="000000"/>
            </w:tcBorders>
          </w:tcPr>
          <w:p>
            <w:pPr>
              <w:pStyle w:val="TableParagraph"/>
              <w:spacing w:before="61"/>
              <w:ind w:left="455"/>
              <w:rPr>
                <w:b/>
                <w:sz w:val="18"/>
              </w:rPr>
            </w:pPr>
            <w:r>
              <w:rPr>
                <w:b/>
                <w:sz w:val="18"/>
              </w:rPr>
              <w:t>Pools to be estimated</w:t>
            </w:r>
          </w:p>
        </w:tc>
        <w:tc>
          <w:tcPr>
            <w:tcW w:w="6545" w:type="dxa"/>
            <w:tcBorders>
              <w:top w:val="double" w:sz="1" w:space="0" w:color="000000"/>
            </w:tcBorders>
          </w:tcPr>
          <w:p>
            <w:pPr>
              <w:pStyle w:val="TableParagraph"/>
              <w:spacing w:before="61"/>
              <w:ind w:left="1643"/>
              <w:rPr>
                <w:b/>
                <w:sz w:val="18"/>
              </w:rPr>
            </w:pPr>
            <w:r>
              <w:rPr>
                <w:b/>
                <w:sz w:val="18"/>
              </w:rPr>
              <w:t>Section where methodologies can be found</w:t>
            </w:r>
          </w:p>
        </w:tc>
      </w:tr>
      <w:tr>
        <w:trPr>
          <w:trHeight w:val="275" w:hRule="atLeast"/>
        </w:trPr>
        <w:tc>
          <w:tcPr>
            <w:tcW w:w="2527" w:type="dxa"/>
          </w:tcPr>
          <w:p>
            <w:pPr>
              <w:pStyle w:val="TableParagraph"/>
              <w:spacing w:line="201" w:lineRule="exact" w:before="55"/>
              <w:ind w:left="114"/>
              <w:rPr>
                <w:sz w:val="18"/>
              </w:rPr>
            </w:pPr>
            <w:r>
              <w:rPr>
                <w:sz w:val="18"/>
              </w:rPr>
              <w:t>Aboveground biomass</w:t>
            </w:r>
          </w:p>
        </w:tc>
        <w:tc>
          <w:tcPr>
            <w:tcW w:w="6545" w:type="dxa"/>
          </w:tcPr>
          <w:p>
            <w:pPr>
              <w:pStyle w:val="TableParagraph"/>
              <w:spacing w:line="201" w:lineRule="exact" w:before="55"/>
              <w:ind w:left="113"/>
              <w:rPr>
                <w:sz w:val="18"/>
              </w:rPr>
            </w:pPr>
            <w:r>
              <w:rPr>
                <w:sz w:val="18"/>
              </w:rPr>
              <w:t>Section 4.2.5 (Afforestation and Reforestation) and Section 4.2.7 (Forest Management)</w:t>
            </w:r>
          </w:p>
        </w:tc>
      </w:tr>
      <w:tr>
        <w:trPr>
          <w:trHeight w:val="273" w:hRule="atLeast"/>
        </w:trPr>
        <w:tc>
          <w:tcPr>
            <w:tcW w:w="2527" w:type="dxa"/>
          </w:tcPr>
          <w:p>
            <w:pPr>
              <w:pStyle w:val="TableParagraph"/>
              <w:spacing w:line="198" w:lineRule="exact" w:before="55"/>
              <w:ind w:left="114"/>
              <w:rPr>
                <w:sz w:val="18"/>
              </w:rPr>
            </w:pPr>
            <w:r>
              <w:rPr>
                <w:sz w:val="18"/>
              </w:rPr>
              <w:t>Belowground biomass</w:t>
            </w:r>
          </w:p>
        </w:tc>
        <w:tc>
          <w:tcPr>
            <w:tcW w:w="6545" w:type="dxa"/>
          </w:tcPr>
          <w:p>
            <w:pPr>
              <w:pStyle w:val="TableParagraph"/>
              <w:spacing w:line="198" w:lineRule="exact" w:before="55"/>
              <w:ind w:left="114"/>
              <w:rPr>
                <w:sz w:val="18"/>
              </w:rPr>
            </w:pPr>
            <w:r>
              <w:rPr>
                <w:sz w:val="18"/>
              </w:rPr>
              <w:t>Section 4.2.5 (Afforestation and Reforestation) and Section 4.2.7 (Forest Management)</w:t>
            </w:r>
          </w:p>
        </w:tc>
      </w:tr>
      <w:tr>
        <w:trPr>
          <w:trHeight w:val="273" w:hRule="atLeast"/>
        </w:trPr>
        <w:tc>
          <w:tcPr>
            <w:tcW w:w="2527" w:type="dxa"/>
          </w:tcPr>
          <w:p>
            <w:pPr>
              <w:pStyle w:val="TableParagraph"/>
              <w:spacing w:line="198" w:lineRule="exact" w:before="55"/>
              <w:ind w:left="114"/>
              <w:rPr>
                <w:sz w:val="18"/>
              </w:rPr>
            </w:pPr>
            <w:r>
              <w:rPr>
                <w:sz w:val="18"/>
              </w:rPr>
              <w:t>Litter and dead wood</w:t>
            </w:r>
          </w:p>
        </w:tc>
        <w:tc>
          <w:tcPr>
            <w:tcW w:w="6545" w:type="dxa"/>
          </w:tcPr>
          <w:p>
            <w:pPr>
              <w:pStyle w:val="TableParagraph"/>
              <w:spacing w:line="198" w:lineRule="exact" w:before="55"/>
              <w:ind w:left="115"/>
              <w:rPr>
                <w:sz w:val="18"/>
              </w:rPr>
            </w:pPr>
            <w:r>
              <w:rPr>
                <w:sz w:val="18"/>
              </w:rPr>
              <w:t>Section 4.2.5 (Afforestation and Reforestation) and Section 4.2.7 (Forest Management)</w:t>
            </w:r>
          </w:p>
        </w:tc>
      </w:tr>
      <w:tr>
        <w:trPr>
          <w:trHeight w:val="275" w:hRule="atLeast"/>
        </w:trPr>
        <w:tc>
          <w:tcPr>
            <w:tcW w:w="2527" w:type="dxa"/>
          </w:tcPr>
          <w:p>
            <w:pPr>
              <w:pStyle w:val="TableParagraph"/>
              <w:spacing w:line="201" w:lineRule="exact" w:before="55"/>
              <w:ind w:left="114"/>
              <w:rPr>
                <w:sz w:val="18"/>
              </w:rPr>
            </w:pPr>
            <w:r>
              <w:rPr>
                <w:sz w:val="18"/>
              </w:rPr>
              <w:t>Soil C</w:t>
            </w:r>
          </w:p>
        </w:tc>
        <w:tc>
          <w:tcPr>
            <w:tcW w:w="6545" w:type="dxa"/>
          </w:tcPr>
          <w:p>
            <w:pPr>
              <w:pStyle w:val="TableParagraph"/>
              <w:spacing w:line="201" w:lineRule="exact" w:before="55"/>
              <w:ind w:left="115"/>
              <w:rPr>
                <w:sz w:val="18"/>
              </w:rPr>
            </w:pPr>
            <w:r>
              <w:rPr>
                <w:sz w:val="18"/>
              </w:rPr>
              <w:t>Section 4.2.8.3</w:t>
            </w:r>
          </w:p>
        </w:tc>
      </w:tr>
      <w:tr>
        <w:trPr>
          <w:trHeight w:val="556" w:hRule="atLeast"/>
        </w:trPr>
        <w:tc>
          <w:tcPr>
            <w:tcW w:w="2527" w:type="dxa"/>
          </w:tcPr>
          <w:p>
            <w:pPr>
              <w:pStyle w:val="TableParagraph"/>
              <w:spacing w:before="170"/>
              <w:ind w:left="114"/>
              <w:rPr>
                <w:sz w:val="18"/>
              </w:rPr>
            </w:pPr>
            <w:r>
              <w:rPr>
                <w:sz w:val="18"/>
              </w:rPr>
              <w:t>Non-CO</w:t>
            </w:r>
            <w:r>
              <w:rPr>
                <w:sz w:val="18"/>
                <w:vertAlign w:val="subscript"/>
              </w:rPr>
              <w:t>2</w:t>
            </w:r>
          </w:p>
        </w:tc>
        <w:tc>
          <w:tcPr>
            <w:tcW w:w="6545" w:type="dxa"/>
          </w:tcPr>
          <w:p>
            <w:pPr>
              <w:pStyle w:val="TableParagraph"/>
              <w:spacing w:before="67"/>
              <w:ind w:left="115" w:right="95"/>
              <w:rPr>
                <w:sz w:val="18"/>
              </w:rPr>
            </w:pPr>
            <w:r>
              <w:rPr>
                <w:i/>
                <w:sz w:val="18"/>
              </w:rPr>
              <w:t>GPG2000 </w:t>
            </w:r>
            <w:r>
              <w:rPr>
                <w:sz w:val="18"/>
              </w:rPr>
              <w:t>and Section 4.2.8.3.4 (only for emissions not covered by the </w:t>
            </w:r>
            <w:r>
              <w:rPr>
                <w:i/>
                <w:sz w:val="18"/>
              </w:rPr>
              <w:t>IPCC Guidelines </w:t>
            </w:r>
            <w:r>
              <w:rPr>
                <w:sz w:val="18"/>
              </w:rPr>
              <w:t>and </w:t>
            </w:r>
            <w:r>
              <w:rPr>
                <w:i/>
                <w:sz w:val="18"/>
              </w:rPr>
              <w:t>GPG2000 </w:t>
            </w:r>
            <w:r>
              <w:rPr>
                <w:sz w:val="18"/>
              </w:rPr>
              <w:t>Agriculture chapters)</w:t>
            </w:r>
          </w:p>
        </w:tc>
      </w:tr>
    </w:tbl>
    <w:p>
      <w:pPr>
        <w:pStyle w:val="BodyText"/>
        <w:spacing w:before="11"/>
        <w:rPr>
          <w:sz w:val="21"/>
        </w:rPr>
      </w:pPr>
    </w:p>
    <w:p>
      <w:pPr>
        <w:pStyle w:val="BodyText"/>
        <w:spacing w:before="91"/>
        <w:ind w:left="179" w:right="1408"/>
        <w:jc w:val="both"/>
      </w:pPr>
      <w:r>
        <w:rPr/>
        <w:t>If the Party chooses not to account for a particular pool, then it needs to verifiably demonstrate that this pool is not a source. Reporting requirements for such a choice can be found in Section 4.2.3.1.</w:t>
      </w:r>
    </w:p>
    <w:p>
      <w:pPr>
        <w:pStyle w:val="BodyText"/>
        <w:spacing w:before="118"/>
        <w:ind w:left="179" w:right="1404"/>
        <w:jc w:val="both"/>
      </w:pPr>
      <w:r>
        <w:rPr/>
        <w:t>For each of the carbon pools, different methodologies are used at different tiers to estimate net carbon emissions and removals for the 1990 base year and the years during the commitment period. Since different methods may yield different estimates (with different levels of uncertainty), it is </w:t>
      </w:r>
      <w:r>
        <w:rPr>
          <w:i/>
        </w:rPr>
        <w:t>good practice </w:t>
      </w:r>
      <w:r>
        <w:rPr/>
        <w:t>to use the same tier and methodology to estimate carbon emissions/removals in 1990 and during the commitment period.</w:t>
      </w:r>
    </w:p>
    <w:p>
      <w:pPr>
        <w:pStyle w:val="BodyText"/>
        <w:spacing w:before="120"/>
        <w:ind w:left="179" w:right="1406"/>
        <w:jc w:val="both"/>
      </w:pPr>
      <w:r>
        <w:rPr/>
        <w:t>Methods used to estimate net soil carbon emissions and removals, both for the 1990 base year and the commitment period, are described in detail in Chapter 3. Links to pertinent methods in Chapter 3 of this report and the </w:t>
      </w:r>
      <w:r>
        <w:rPr>
          <w:i/>
        </w:rPr>
        <w:t>IPCC Guidelines </w:t>
      </w:r>
      <w:r>
        <w:rPr/>
        <w:t>are given in Box 4.2.10. The following sections provide a brief review of these methods already described earlier, identifying aspects specific to the Kyoto</w:t>
      </w:r>
      <w:r>
        <w:rPr>
          <w:spacing w:val="-9"/>
        </w:rPr>
        <w:t> </w:t>
      </w:r>
      <w:r>
        <w:rPr/>
        <w:t>Protocol.</w:t>
      </w:r>
    </w:p>
    <w:p>
      <w:pPr>
        <w:pStyle w:val="BodyText"/>
        <w:spacing w:before="10"/>
        <w:rPr>
          <w:sz w:val="17"/>
        </w:rPr>
      </w:pPr>
      <w:r>
        <w:rPr/>
        <w:pict>
          <v:shape style="position:absolute;margin-left:91.960999pt;margin-top:13.015791pt;width:411.6pt;height:154.1pt;mso-position-horizontal-relative:page;mso-position-vertical-relative:paragraph;z-index:22616;mso-wrap-distance-left:0;mso-wrap-distance-right:0" type="#_x0000_t202" filled="false" stroked="true" strokeweight="1.44pt" strokecolor="#000000">
            <v:textbox inset="0,0,0,0">
              <w:txbxContent>
                <w:p>
                  <w:pPr>
                    <w:spacing w:before="100"/>
                    <w:ind w:left="3674" w:right="3674" w:firstLine="0"/>
                    <w:jc w:val="center"/>
                    <w:rPr>
                      <w:b/>
                      <w:sz w:val="18"/>
                    </w:rPr>
                  </w:pPr>
                  <w:r>
                    <w:rPr>
                      <w:b/>
                      <w:sz w:val="18"/>
                    </w:rPr>
                    <w:t>B</w:t>
                  </w:r>
                  <w:r>
                    <w:rPr>
                      <w:b/>
                      <w:sz w:val="14"/>
                    </w:rPr>
                    <w:t>OX </w:t>
                  </w:r>
                  <w:r>
                    <w:rPr>
                      <w:b/>
                      <w:sz w:val="18"/>
                    </w:rPr>
                    <w:t>4.2.10</w:t>
                  </w:r>
                </w:p>
                <w:p>
                  <w:pPr>
                    <w:pStyle w:val="BodyText"/>
                    <w:spacing w:before="1"/>
                    <w:rPr>
                      <w:sz w:val="21"/>
                    </w:rPr>
                  </w:pPr>
                </w:p>
                <w:p>
                  <w:pPr>
                    <w:spacing w:before="0"/>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tabs>
                      <w:tab w:pos="1737" w:val="left" w:leader="none"/>
                    </w:tabs>
                    <w:spacing w:before="113"/>
                    <w:ind w:left="127"/>
                  </w:pPr>
                  <w:r>
                    <w:rPr/>
                    <w:t>Section</w:t>
                  </w:r>
                  <w:r>
                    <w:rPr>
                      <w:spacing w:val="-3"/>
                    </w:rPr>
                    <w:t> </w:t>
                  </w:r>
                  <w:r>
                    <w:rPr/>
                    <w:t>3.3.1.1</w:t>
                    <w:tab/>
                    <w:t>Change in</w:t>
                  </w:r>
                  <w:r>
                    <w:rPr>
                      <w:spacing w:val="-2"/>
                    </w:rPr>
                    <w:t> </w:t>
                  </w:r>
                  <w:r>
                    <w:rPr/>
                    <w:t>biomass</w:t>
                  </w:r>
                </w:p>
                <w:p>
                  <w:pPr>
                    <w:pStyle w:val="BodyText"/>
                    <w:tabs>
                      <w:tab w:pos="1738" w:val="left" w:leader="none"/>
                    </w:tabs>
                    <w:spacing w:before="120"/>
                    <w:ind w:left="127"/>
                  </w:pPr>
                  <w:r>
                    <w:rPr/>
                    <w:t>Section</w:t>
                  </w:r>
                  <w:r>
                    <w:rPr>
                      <w:spacing w:val="-3"/>
                    </w:rPr>
                    <w:t> </w:t>
                  </w:r>
                  <w:r>
                    <w:rPr/>
                    <w:t>3.3.1.2</w:t>
                    <w:tab/>
                    <w:t>Change in carbon stocks in</w:t>
                  </w:r>
                  <w:r>
                    <w:rPr>
                      <w:spacing w:val="-5"/>
                    </w:rPr>
                    <w:t> </w:t>
                  </w:r>
                  <w:r>
                    <w:rPr/>
                    <w:t>soils</w:t>
                  </w:r>
                </w:p>
                <w:p>
                  <w:pPr>
                    <w:pStyle w:val="BodyText"/>
                    <w:spacing w:before="3"/>
                    <w:rPr>
                      <w:sz w:val="21"/>
                    </w:rPr>
                  </w:pPr>
                </w:p>
                <w:p>
                  <w:pPr>
                    <w:spacing w:before="0"/>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numPr>
                      <w:ilvl w:val="0"/>
                      <w:numId w:val="165"/>
                    </w:numPr>
                    <w:tabs>
                      <w:tab w:pos="926" w:val="left" w:leader="none"/>
                      <w:tab w:pos="927" w:val="left" w:leader="none"/>
                    </w:tabs>
                    <w:spacing w:line="240" w:lineRule="auto" w:before="113" w:after="0"/>
                    <w:ind w:left="926" w:right="0" w:hanging="682"/>
                    <w:jc w:val="left"/>
                  </w:pPr>
                  <w:r>
                    <w:rPr/>
                    <w:t>Non-CO</w:t>
                  </w:r>
                  <w:r>
                    <w:rPr>
                      <w:vertAlign w:val="subscript"/>
                    </w:rPr>
                    <w:t>2</w:t>
                  </w:r>
                  <w:r>
                    <w:rPr>
                      <w:vertAlign w:val="baseline"/>
                    </w:rPr>
                    <w:t> greenhouse</w:t>
                  </w:r>
                  <w:r>
                    <w:rPr>
                      <w:spacing w:val="-9"/>
                      <w:vertAlign w:val="baseline"/>
                    </w:rPr>
                    <w:t> </w:t>
                  </w:r>
                  <w:r>
                    <w:rPr>
                      <w:vertAlign w:val="baseline"/>
                    </w:rPr>
                    <w:t>gases</w:t>
                  </w:r>
                </w:p>
                <w:p>
                  <w:pPr>
                    <w:pStyle w:val="BodyText"/>
                    <w:numPr>
                      <w:ilvl w:val="0"/>
                      <w:numId w:val="165"/>
                    </w:numPr>
                    <w:tabs>
                      <w:tab w:pos="396" w:val="left" w:leader="none"/>
                      <w:tab w:pos="925" w:val="left" w:leader="none"/>
                    </w:tabs>
                    <w:spacing w:line="367" w:lineRule="auto" w:before="120" w:after="0"/>
                    <w:ind w:left="244" w:right="1507" w:firstLine="0"/>
                    <w:jc w:val="left"/>
                  </w:pPr>
                  <w:r>
                    <w:rPr/>
                    <w:t>B</w:t>
                    <w:tab/>
                    <w:t>Forest and grassland conversion (conversion of grasslands to croplands) 5 D</w:t>
                    <w:tab/>
                    <w:t>CO</w:t>
                  </w:r>
                  <w:r>
                    <w:rPr>
                      <w:vertAlign w:val="subscript"/>
                    </w:rPr>
                    <w:t>2</w:t>
                  </w:r>
                  <w:r>
                    <w:rPr>
                      <w:vertAlign w:val="baseline"/>
                    </w:rPr>
                    <w:t> emissions and removals from</w:t>
                  </w:r>
                  <w:r>
                    <w:rPr>
                      <w:spacing w:val="1"/>
                      <w:vertAlign w:val="baseline"/>
                    </w:rPr>
                    <w:t> </w:t>
                  </w:r>
                  <w:r>
                    <w:rPr>
                      <w:vertAlign w:val="baseline"/>
                    </w:rPr>
                    <w:t>soils</w:t>
                  </w:r>
                </w:p>
              </w:txbxContent>
            </v:textbox>
            <v:stroke dashstyle="solid"/>
            <w10:wrap type="topAndBottom"/>
          </v:shape>
        </w:pict>
      </w:r>
    </w:p>
    <w:p>
      <w:pPr>
        <w:pStyle w:val="BodyText"/>
        <w:spacing w:before="6"/>
        <w:rPr>
          <w:sz w:val="18"/>
        </w:rPr>
      </w:pPr>
    </w:p>
    <w:p>
      <w:pPr>
        <w:pStyle w:val="Heading6"/>
        <w:numPr>
          <w:ilvl w:val="4"/>
          <w:numId w:val="164"/>
        </w:numPr>
        <w:tabs>
          <w:tab w:pos="1331" w:val="left" w:leader="none"/>
          <w:tab w:pos="1332" w:val="left" w:leader="none"/>
        </w:tabs>
        <w:spacing w:line="240" w:lineRule="auto" w:before="92" w:after="0"/>
        <w:ind w:left="1331" w:right="0" w:hanging="1152"/>
        <w:jc w:val="left"/>
      </w:pPr>
      <w:r>
        <w:rPr/>
        <w:t>1</w:t>
        <w:tab/>
      </w:r>
      <w:r>
        <w:rPr>
          <w:spacing w:val="15"/>
        </w:rPr>
        <w:t>MINERAL</w:t>
      </w:r>
      <w:r>
        <w:rPr>
          <w:spacing w:val="40"/>
        </w:rPr>
        <w:t> </w:t>
      </w:r>
      <w:r>
        <w:rPr>
          <w:spacing w:val="15"/>
        </w:rPr>
        <w:t>SOILS</w:t>
      </w:r>
    </w:p>
    <w:p>
      <w:pPr>
        <w:pStyle w:val="BodyText"/>
        <w:spacing w:before="207"/>
        <w:ind w:left="179" w:right="1404"/>
        <w:jc w:val="both"/>
      </w:pPr>
      <w:r>
        <w:rPr/>
        <w:t>For carbon stock change from mineral soils, the decision tree in Figure 4.2.9 should be used to decide which tier to use for reporting of cropland management under the Kyoto Protocol. For Article 3.4 activities it is </w:t>
      </w:r>
      <w:r>
        <w:rPr>
          <w:i/>
        </w:rPr>
        <w:t>good practice </w:t>
      </w:r>
      <w:r>
        <w:rPr/>
        <w:t>to use Tier 2 or Tier 3 for reporting carbon stock changes from mineral soils, if CO</w:t>
      </w:r>
      <w:r>
        <w:rPr>
          <w:vertAlign w:val="subscript"/>
        </w:rPr>
        <w:t>2</w:t>
      </w:r>
      <w:r>
        <w:rPr>
          <w:vertAlign w:val="baseline"/>
        </w:rPr>
        <w:t> emissions from cropland management is a key category.</w:t>
      </w:r>
    </w:p>
    <w:p>
      <w:pPr>
        <w:pStyle w:val="BodyText"/>
        <w:spacing w:before="3"/>
        <w:rPr>
          <w:sz w:val="21"/>
        </w:rPr>
      </w:pPr>
    </w:p>
    <w:p>
      <w:pPr>
        <w:pStyle w:val="Heading6"/>
        <w:ind w:left="179"/>
      </w:pPr>
      <w:r>
        <w:rPr/>
        <w:t>Methods for estimating carbon stock changes in mineral soils</w:t>
      </w:r>
    </w:p>
    <w:p>
      <w:pPr>
        <w:pStyle w:val="BodyText"/>
        <w:spacing w:before="56"/>
        <w:ind w:left="179" w:right="1401"/>
        <w:jc w:val="both"/>
      </w:pPr>
      <w:r>
        <w:rPr/>
        <w:t>Methods for estimating carbon stock changes fall into one of three tiers. These tiers are to be distinguished from the methods of estimating activity data (land areas). For estimating land areas, it is </w:t>
      </w:r>
      <w:r>
        <w:rPr>
          <w:i/>
        </w:rPr>
        <w:t>good practice </w:t>
      </w:r>
      <w:r>
        <w:rPr/>
        <w:t>to use the methods following Approach 2 or 3 (Chapter 2), taking into consideration the guidance in Section 4.2.2, for the higher tiers in Chapter 3; for estimating carbon stock changes lower tiers may be used. The decision tree in Figure 4.2.9 guides the choice of a </w:t>
      </w:r>
      <w:r>
        <w:rPr>
          <w:i/>
        </w:rPr>
        <w:t>good practice </w:t>
      </w:r>
      <w:r>
        <w:rPr/>
        <w:t>methodology.</w:t>
      </w:r>
    </w:p>
    <w:p>
      <w:pPr>
        <w:pStyle w:val="BodyText"/>
        <w:spacing w:before="1"/>
        <w:rPr>
          <w:sz w:val="21"/>
        </w:rPr>
      </w:pPr>
    </w:p>
    <w:p>
      <w:pPr>
        <w:spacing w:line="228" w:lineRule="exact" w:before="0"/>
        <w:ind w:left="179" w:right="0" w:firstLine="0"/>
        <w:jc w:val="left"/>
        <w:rPr>
          <w:rFonts w:ascii="TimesNewRomanPS-BoldItalicMT"/>
          <w:b/>
          <w:i/>
          <w:sz w:val="20"/>
        </w:rPr>
      </w:pPr>
      <w:r>
        <w:rPr>
          <w:rFonts w:ascii="TimesNewRomanPS-BoldItalicMT"/>
          <w:b/>
          <w:i/>
          <w:sz w:val="20"/>
        </w:rPr>
        <w:t>Tier 1</w:t>
      </w:r>
    </w:p>
    <w:p>
      <w:pPr>
        <w:pStyle w:val="BodyText"/>
        <w:ind w:left="179" w:right="1346"/>
      </w:pPr>
      <w:r>
        <w:rPr/>
        <w:t>The Tier 1 method for estimating carbon stock changes in mineral soils is described in Chapter 3 (Section 3.3.1.2: Change in carbon stocks in soils) and is based on the method outlined in the </w:t>
      </w:r>
      <w:r>
        <w:rPr>
          <w:i/>
        </w:rPr>
        <w:t>IPCC Guidelines, </w:t>
      </w:r>
      <w:r>
        <w:rPr/>
        <w:t>pages 5.35–5.48  of the reference manual (IPCC, 1997). The default values given in the </w:t>
      </w:r>
      <w:r>
        <w:rPr>
          <w:i/>
        </w:rPr>
        <w:t>IPCC Guidelines</w:t>
      </w:r>
      <w:r>
        <w:rPr/>
        <w:t>, based on a 20-year period, have been updated and used to derive annual carbon stock change factors. These are directly comparable with the Tier 1 methods used for national greenhouse gas inventories given in Chapter 3 (LUCF sector good practice</w:t>
      </w:r>
      <w:r>
        <w:rPr>
          <w:spacing w:val="-1"/>
        </w:rPr>
        <w:t> </w:t>
      </w:r>
      <w:r>
        <w:rPr/>
        <w:t>guidance).</w:t>
      </w:r>
    </w:p>
    <w:p>
      <w:pPr>
        <w:spacing w:after="0"/>
        <w:sectPr>
          <w:pgSz w:w="11900" w:h="16840"/>
          <w:pgMar w:header="230" w:footer="408" w:top="560" w:bottom="600" w:left="1240" w:right="0"/>
        </w:sectPr>
      </w:pPr>
    </w:p>
    <w:p>
      <w:pPr>
        <w:pStyle w:val="BodyText"/>
      </w:pPr>
    </w:p>
    <w:p>
      <w:pPr>
        <w:pStyle w:val="BodyText"/>
      </w:pPr>
    </w:p>
    <w:p>
      <w:pPr>
        <w:pStyle w:val="BodyText"/>
        <w:spacing w:before="8"/>
      </w:pPr>
    </w:p>
    <w:p>
      <w:pPr>
        <w:tabs>
          <w:tab w:pos="1880" w:val="left" w:leader="none"/>
        </w:tabs>
        <w:spacing w:before="0"/>
        <w:ind w:left="1880" w:right="1701" w:hanging="1702"/>
        <w:jc w:val="both"/>
        <w:rPr>
          <w:b/>
          <w:sz w:val="20"/>
        </w:rPr>
      </w:pPr>
      <w:r>
        <w:rPr>
          <w:b/>
          <w:spacing w:val="8"/>
          <w:sz w:val="20"/>
        </w:rPr>
        <w:t>Figure</w:t>
      </w:r>
      <w:r>
        <w:rPr>
          <w:b/>
          <w:spacing w:val="19"/>
          <w:sz w:val="20"/>
        </w:rPr>
        <w:t> </w:t>
      </w:r>
      <w:r>
        <w:rPr>
          <w:b/>
          <w:spacing w:val="8"/>
          <w:sz w:val="20"/>
        </w:rPr>
        <w:t>4.2.9</w:t>
        <w:tab/>
        <w:t>Decision tree </w:t>
      </w:r>
      <w:r>
        <w:rPr>
          <w:b/>
          <w:spacing w:val="6"/>
          <w:sz w:val="20"/>
        </w:rPr>
        <w:t>for </w:t>
      </w:r>
      <w:r>
        <w:rPr>
          <w:b/>
          <w:spacing w:val="9"/>
          <w:sz w:val="20"/>
        </w:rPr>
        <w:t>selecting </w:t>
      </w:r>
      <w:r>
        <w:rPr>
          <w:b/>
          <w:spacing w:val="6"/>
          <w:sz w:val="20"/>
        </w:rPr>
        <w:t>the </w:t>
      </w:r>
      <w:r>
        <w:rPr>
          <w:b/>
          <w:spacing w:val="9"/>
          <w:sz w:val="20"/>
        </w:rPr>
        <w:t>appropriate </w:t>
      </w:r>
      <w:r>
        <w:rPr>
          <w:b/>
          <w:spacing w:val="7"/>
          <w:sz w:val="20"/>
        </w:rPr>
        <w:t>tier </w:t>
      </w:r>
      <w:r>
        <w:rPr>
          <w:b/>
          <w:spacing w:val="6"/>
          <w:sz w:val="20"/>
        </w:rPr>
        <w:t>for </w:t>
      </w:r>
      <w:r>
        <w:rPr>
          <w:b/>
          <w:spacing w:val="8"/>
          <w:sz w:val="20"/>
        </w:rPr>
        <w:t>estimating carbon stock changes </w:t>
      </w:r>
      <w:r>
        <w:rPr>
          <w:b/>
          <w:spacing w:val="5"/>
          <w:sz w:val="20"/>
        </w:rPr>
        <w:t>in </w:t>
      </w:r>
      <w:r>
        <w:rPr>
          <w:b/>
          <w:spacing w:val="7"/>
          <w:sz w:val="20"/>
        </w:rPr>
        <w:t>mineral soils under </w:t>
      </w:r>
      <w:r>
        <w:rPr>
          <w:b/>
          <w:spacing w:val="9"/>
          <w:sz w:val="20"/>
        </w:rPr>
        <w:t>cropland </w:t>
      </w:r>
      <w:r>
        <w:rPr>
          <w:b/>
          <w:spacing w:val="6"/>
          <w:sz w:val="20"/>
        </w:rPr>
        <w:t>for </w:t>
      </w:r>
      <w:r>
        <w:rPr>
          <w:b/>
          <w:spacing w:val="8"/>
          <w:sz w:val="20"/>
        </w:rPr>
        <w:t>Kyoto Protocol reporting </w:t>
      </w:r>
      <w:r>
        <w:rPr>
          <w:b/>
          <w:spacing w:val="9"/>
          <w:sz w:val="20"/>
        </w:rPr>
        <w:t>(see </w:t>
      </w:r>
      <w:r>
        <w:rPr>
          <w:b/>
          <w:spacing w:val="6"/>
          <w:sz w:val="20"/>
        </w:rPr>
        <w:t>also </w:t>
      </w:r>
      <w:r>
        <w:rPr>
          <w:b/>
          <w:spacing w:val="8"/>
          <w:sz w:val="20"/>
        </w:rPr>
        <w:t>Figure</w:t>
      </w:r>
      <w:r>
        <w:rPr>
          <w:b/>
          <w:spacing w:val="33"/>
          <w:sz w:val="20"/>
        </w:rPr>
        <w:t> </w:t>
      </w:r>
      <w:r>
        <w:rPr>
          <w:b/>
          <w:spacing w:val="10"/>
          <w:sz w:val="20"/>
        </w:rPr>
        <w:t>3.1.1)</w:t>
      </w:r>
    </w:p>
    <w:p>
      <w:pPr>
        <w:pStyle w:val="BodyText"/>
        <w:spacing w:before="9"/>
        <w:rPr>
          <w:b/>
          <w:sz w:val="23"/>
        </w:rPr>
      </w:pPr>
      <w:r>
        <w:rPr/>
        <w:pict>
          <v:group style="position:absolute;margin-left:124.825996pt;margin-top:15.655859pt;width:355.75pt;height:388.4pt;mso-position-horizontal-relative:page;mso-position-vertical-relative:paragraph;z-index:22952;mso-wrap-distance-left:0;mso-wrap-distance-right:0" coordorigin="2497,313" coordsize="7115,7768">
            <v:shape style="position:absolute;left:2504;top:320;width:3077;height:2715" coordorigin="2504,321" coordsize="3077,2715" path="m4042,321l2504,1679,4042,3035,5581,1679,4042,321xe" filled="false" stroked="true" strokeweight=".75pt" strokecolor="#010101">
              <v:path arrowok="t"/>
              <v:stroke dashstyle="solid"/>
            </v:shape>
            <v:shape style="position:absolute;left:6305;top:596;width:2254;height:2175" coordorigin="6306,597" coordsize="2254,2175" path="m7431,597l6306,1684,7431,2771,8559,1684,7431,597xe" filled="false" stroked="true" strokeweight=".75pt" strokecolor="#010101">
              <v:path arrowok="t"/>
              <v:stroke dashstyle="solid"/>
            </v:shape>
            <v:shape style="position:absolute;left:5576;top:1623;width:730;height:120" coordorigin="5576,1624" coordsize="730,120" path="m6186,1691l6186,1744,6291,1691,6205,1691,6186,1691xm6186,1676l6186,1691,6205,1691,6210,1691,6212,1689,6214,1684,6214,1679,6210,1677,6205,1677,6186,1676xm6186,1624l6186,1676,6205,1677,6210,1677,6214,1679,6214,1684,6212,1689,6210,1691,6291,1691,6306,1684,6186,1624xm5581,1669l5576,1674,5576,1681,5578,1686,6186,1691,6186,1676,5583,1672,5581,1669xe" filled="true" fillcolor="#010101" stroked="false">
              <v:path arrowok="t"/>
              <v:fill type="solid"/>
            </v:shape>
            <v:rect style="position:absolute;left:6171;top:3200;width:2516;height:1196" filled="false" stroked="true" strokeweight=".75pt" strokecolor="#010101">
              <v:stroke dashstyle="solid"/>
            </v:rect>
            <v:shape style="position:absolute;left:7368;top:2763;width:120;height:437" coordorigin="7369,2764" coordsize="120,437" path="m7422,3081l7369,3081,7429,3201,7474,3109,7426,3109,7422,3105,7422,3081xm7436,2764l7429,2764,7424,2766,7424,2771,7422,3105,7426,3109,7434,3109,7436,3105,7438,2771,7438,2766,7436,2764xm7489,3081l7436,3081,7436,3105,7434,3109,7474,3109,7489,3081xe" filled="true" fillcolor="#010101" stroked="false">
              <v:path arrowok="t"/>
              <v:fill type="solid"/>
            </v:shape>
            <v:shape style="position:absolute;left:2772;top:4410;width:2537;height:2352" coordorigin="2773,4410" coordsize="2537,2352" path="m4040,4410l2773,5586,4040,6762,5310,5586,4040,4410xe" filled="false" stroked="true" strokeweight=".75pt" strokecolor="#010101">
              <v:path arrowok="t"/>
              <v:stroke dashstyle="solid"/>
            </v:shape>
            <v:shape style="position:absolute;left:3980;top:3027;width:120;height:1383" coordorigin="3980,3028" coordsize="120,1383" path="m4033,4290l3980,4290,4038,4410,4086,4317,4035,4317,4033,4314,4033,4290xm4050,3028l4040,3028,4038,3033,4033,4314,4035,4317,4042,4317,4047,4314,4052,3035,4052,3033,4050,3028xm4100,4290l4047,4290,4047,4314,4042,4317,4086,4317,4100,4290xe" filled="true" fillcolor="#010101" stroked="false">
              <v:path arrowok="t"/>
              <v:fill type="solid"/>
            </v:shape>
            <v:shape style="position:absolute;left:4037;top:3731;width:2127;height:120" coordorigin="4038,3731" coordsize="2127,120" path="m4158,3731l4038,3791,4158,3851,4158,3801,4134,3801,4131,3796,4131,3789,4134,3784,4158,3784,4158,3731xm4158,3784l4134,3784,4131,3789,4131,3796,4134,3801,4158,3801,4158,3784xm4158,3801l4138,3801,4158,3801,4158,3801xm6159,3784l4158,3784,4158,3801,6159,3798,6164,3796,6164,3786,6159,3784xe" filled="true" fillcolor="#010101" stroked="false">
              <v:path arrowok="t"/>
              <v:fill type="solid"/>
            </v:shape>
            <v:rect style="position:absolute;left:3003;top:7376;width:2074;height:692" filled="false" stroked="true" strokeweight="1.25pt" strokecolor="#010101">
              <v:stroke dashstyle="solid"/>
            </v:rect>
            <v:shape style="position:absolute;left:3980;top:6755;width:120;height:612" coordorigin="3980,6755" coordsize="120,612" path="m4033,7247l3980,7247,4040,7367,4087,7273,4035,7273,4033,7271,4033,7247xm4042,6755l4035,6755,4030,6760,4033,7247,4033,7271,4035,7273,4045,7273,4047,7271,4047,6760,4042,6755xm4100,7247l4047,7247,4047,7271,4045,7273,4087,7273,4100,7247xe" filled="true" fillcolor="#010101" stroked="false">
              <v:path arrowok="t"/>
              <v:fill type="solid"/>
            </v:shape>
            <v:rect style="position:absolute;left:5580;top:7376;width:2076;height:692" filled="false" stroked="true" strokeweight="1.25pt" strokecolor="#010101">
              <v:stroke dashstyle="solid"/>
            </v:rect>
            <v:shape style="position:absolute;left:5302;top:5579;width:1376;height:1788" coordorigin="5302,5579" coordsize="1376,1788" path="m6610,7247l6558,7247,6618,7367,6664,7273,6615,7273,6610,7271,6610,7247xm6610,5586l6610,7271,6615,7273,6622,7273,6627,7271,6627,5593,6618,5593,6610,5586xm6678,7247l6627,7247,6627,7271,6622,7273,6664,7273,6678,7247xm6622,5579l5305,5579,5302,5581,5302,5591,5305,5593,6610,5593,6610,5586,6627,5586,6627,5581,6622,5579xm6627,5586l6610,5586,6618,5593,6627,5593,6627,5586xe" filled="true" fillcolor="#010101" stroked="false">
              <v:path arrowok="t"/>
              <v:fill type="solid"/>
            </v:shape>
            <v:shape style="position:absolute;left:8552;top:1676;width:660;height:5691" coordorigin="8552,1677" coordsize="660,5691" path="m9145,7247l9092,7247,9152,7367,9199,7273,9150,7273,9145,7271,9145,7247xm9145,1684l9145,7271,9150,7273,9157,7273,9159,7271,9159,1691,9152,1691,9145,1684xm9212,7247l9159,7247,9159,7271,9157,7273,9199,7273,9212,7247xm9157,1677l8554,1677,8552,1679,8552,1689,8554,1691,9145,1691,9145,1684,9159,1684,9159,1679,9157,1677xm9159,1684l9145,1684,9152,1691,9159,1691,9159,1684xe" filled="true" fillcolor="#010101" stroked="false">
              <v:path arrowok="t"/>
              <v:fill type="solid"/>
            </v:shape>
            <v:shape style="position:absolute;left:2861;top:695;width:2387;height:1836" type="#_x0000_t202" filled="false" stroked="false">
              <v:textbox inset="0,0,0,0">
                <w:txbxContent>
                  <w:p>
                    <w:pPr>
                      <w:spacing w:line="240" w:lineRule="auto" w:before="0"/>
                      <w:ind w:left="717" w:right="739" w:hanging="2"/>
                      <w:jc w:val="center"/>
                      <w:rPr>
                        <w:sz w:val="20"/>
                      </w:rPr>
                    </w:pPr>
                    <w:r>
                      <w:rPr>
                        <w:sz w:val="20"/>
                      </w:rPr>
                      <w:t>Are data available to</w:t>
                    </w:r>
                  </w:p>
                  <w:p>
                    <w:pPr>
                      <w:spacing w:before="0"/>
                      <w:ind w:left="0" w:right="18" w:firstLine="364"/>
                      <w:jc w:val="left"/>
                      <w:rPr>
                        <w:sz w:val="20"/>
                      </w:rPr>
                    </w:pPr>
                    <w:r>
                      <w:rPr>
                        <w:sz w:val="20"/>
                      </w:rPr>
                      <w:t>calculate regional or country-specific carbon stock</w:t>
                    </w:r>
                  </w:p>
                  <w:p>
                    <w:pPr>
                      <w:spacing w:before="0"/>
                      <w:ind w:left="95" w:right="118" w:firstLine="1"/>
                      <w:jc w:val="center"/>
                      <w:rPr>
                        <w:sz w:val="20"/>
                      </w:rPr>
                    </w:pPr>
                    <w:r>
                      <w:rPr>
                        <w:sz w:val="20"/>
                      </w:rPr>
                      <w:t>changes associated with management practices, and their duration of</w:t>
                    </w:r>
                  </w:p>
                  <w:p>
                    <w:pPr>
                      <w:spacing w:before="0"/>
                      <w:ind w:left="844" w:right="869" w:firstLine="0"/>
                      <w:jc w:val="center"/>
                      <w:rPr>
                        <w:sz w:val="20"/>
                      </w:rPr>
                    </w:pPr>
                    <w:r>
                      <w:rPr>
                        <w:sz w:val="20"/>
                      </w:rPr>
                      <w:t>impact?</w:t>
                    </w:r>
                  </w:p>
                </w:txbxContent>
              </v:textbox>
              <w10:wrap type="none"/>
            </v:shape>
            <v:shape style="position:absolute;left:5681;top:1410;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6605;top:1119;width:1691;height:915" type="#_x0000_t202" filled="false" stroked="false">
              <v:textbox inset="0,0,0,0">
                <w:txbxContent>
                  <w:p>
                    <w:pPr>
                      <w:spacing w:line="221" w:lineRule="exact" w:before="0"/>
                      <w:ind w:left="416" w:right="434" w:firstLine="0"/>
                      <w:jc w:val="center"/>
                      <w:rPr>
                        <w:sz w:val="20"/>
                      </w:rPr>
                    </w:pPr>
                    <w:r>
                      <w:rPr>
                        <w:sz w:val="20"/>
                      </w:rPr>
                      <w:t>Are</w:t>
                    </w:r>
                  </w:p>
                  <w:p>
                    <w:pPr>
                      <w:spacing w:before="0"/>
                      <w:ind w:left="0" w:right="-1" w:firstLine="244"/>
                      <w:jc w:val="left"/>
                      <w:rPr>
                        <w:i/>
                        <w:sz w:val="20"/>
                      </w:rPr>
                    </w:pPr>
                    <w:r>
                      <w:rPr>
                        <w:sz w:val="20"/>
                      </w:rPr>
                      <w:t>CO</w:t>
                    </w:r>
                    <w:r>
                      <w:rPr>
                        <w:sz w:val="20"/>
                        <w:vertAlign w:val="subscript"/>
                      </w:rPr>
                      <w:t>2</w:t>
                    </w:r>
                    <w:r>
                      <w:rPr>
                        <w:sz w:val="20"/>
                        <w:vertAlign w:val="baseline"/>
                      </w:rPr>
                      <w:t> emissions from croplands a </w:t>
                    </w:r>
                    <w:r>
                      <w:rPr>
                        <w:i/>
                        <w:sz w:val="20"/>
                        <w:vertAlign w:val="baseline"/>
                      </w:rPr>
                      <w:t>key</w:t>
                    </w:r>
                  </w:p>
                  <w:p>
                    <w:pPr>
                      <w:spacing w:before="3"/>
                      <w:ind w:left="416" w:right="434" w:firstLine="0"/>
                      <w:jc w:val="center"/>
                      <w:rPr>
                        <w:i/>
                        <w:sz w:val="20"/>
                      </w:rPr>
                    </w:pPr>
                    <w:r>
                      <w:rPr>
                        <w:i/>
                        <w:sz w:val="20"/>
                      </w:rPr>
                      <w:t>category?</w:t>
                    </w:r>
                  </w:p>
                </w:txbxContent>
              </v:textbox>
              <w10:wrap type="none"/>
            </v:shape>
            <v:shape style="position:absolute;left:8578;top:1410;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7030;top:2677;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3591;top:3037;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6394;top:3344;width:2091;height:910" type="#_x0000_t202" filled="false" stroked="false">
              <v:textbox inset="0,0,0,0">
                <w:txbxContent>
                  <w:p>
                    <w:pPr>
                      <w:spacing w:line="240" w:lineRule="auto" w:before="0"/>
                      <w:ind w:left="-1" w:right="18" w:firstLine="0"/>
                      <w:jc w:val="center"/>
                      <w:rPr>
                        <w:sz w:val="20"/>
                      </w:rPr>
                    </w:pPr>
                    <w:r>
                      <w:rPr>
                        <w:sz w:val="20"/>
                      </w:rPr>
                      <w:t>Obtain data from</w:t>
                    </w:r>
                    <w:r>
                      <w:rPr>
                        <w:spacing w:val="-12"/>
                        <w:sz w:val="20"/>
                      </w:rPr>
                      <w:t> </w:t>
                    </w:r>
                    <w:r>
                      <w:rPr>
                        <w:sz w:val="20"/>
                      </w:rPr>
                      <w:t>regional or national measurement/ research programmes or other reliable</w:t>
                    </w:r>
                    <w:r>
                      <w:rPr>
                        <w:spacing w:val="-4"/>
                        <w:sz w:val="20"/>
                      </w:rPr>
                      <w:t> </w:t>
                    </w:r>
                    <w:r>
                      <w:rPr>
                        <w:sz w:val="20"/>
                      </w:rPr>
                      <w:t>sources</w:t>
                    </w:r>
                  </w:p>
                </w:txbxContent>
              </v:textbox>
              <w10:wrap type="none"/>
            </v:shape>
            <v:shape style="position:absolute;left:3041;top:4772;width:2025;height:1603" type="#_x0000_t202" filled="false" stroked="false">
              <v:textbox inset="0,0,0,0">
                <w:txbxContent>
                  <w:p>
                    <w:pPr>
                      <w:spacing w:line="220" w:lineRule="exact" w:before="0"/>
                      <w:ind w:left="686" w:right="704" w:firstLine="0"/>
                      <w:jc w:val="center"/>
                      <w:rPr>
                        <w:sz w:val="20"/>
                      </w:rPr>
                    </w:pPr>
                    <w:r>
                      <w:rPr>
                        <w:sz w:val="20"/>
                      </w:rPr>
                      <w:t>Is there</w:t>
                    </w:r>
                  </w:p>
                  <w:p>
                    <w:pPr>
                      <w:spacing w:line="240" w:lineRule="auto" w:before="0"/>
                      <w:ind w:left="4" w:right="23" w:firstLine="0"/>
                      <w:jc w:val="center"/>
                      <w:rPr>
                        <w:sz w:val="20"/>
                      </w:rPr>
                    </w:pPr>
                    <w:r>
                      <w:rPr>
                        <w:sz w:val="20"/>
                      </w:rPr>
                      <w:t>a national carbon inventory system available that allows</w:t>
                    </w:r>
                    <w:r>
                      <w:rPr>
                        <w:spacing w:val="-9"/>
                        <w:sz w:val="20"/>
                      </w:rPr>
                      <w:t> </w:t>
                    </w:r>
                    <w:r>
                      <w:rPr>
                        <w:sz w:val="20"/>
                      </w:rPr>
                      <w:t>CM activities to be accounted for separately?</w:t>
                    </w:r>
                  </w:p>
                </w:txbxContent>
              </v:textbox>
              <w10:wrap type="none"/>
            </v:shape>
            <v:shape style="position:absolute;left:5400;top:5319;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3591;top:6774;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3603;top:7506;width:895;height:449" type="#_x0000_t202" filled="false" stroked="false">
              <v:textbox inset="0,0,0,0">
                <w:txbxContent>
                  <w:p>
                    <w:pPr>
                      <w:spacing w:line="220" w:lineRule="exact" w:before="0"/>
                      <w:ind w:left="-1" w:right="18" w:firstLine="0"/>
                      <w:jc w:val="center"/>
                      <w:rPr>
                        <w:b/>
                        <w:sz w:val="20"/>
                      </w:rPr>
                    </w:pPr>
                    <w:r>
                      <w:rPr>
                        <w:sz w:val="20"/>
                      </w:rPr>
                      <w:t>Use </w:t>
                    </w:r>
                    <w:r>
                      <w:rPr>
                        <w:b/>
                        <w:sz w:val="20"/>
                      </w:rPr>
                      <w:t>Tier</w:t>
                    </w:r>
                    <w:r>
                      <w:rPr>
                        <w:b/>
                        <w:spacing w:val="-7"/>
                        <w:sz w:val="20"/>
                      </w:rPr>
                      <w:t> </w:t>
                    </w:r>
                    <w:r>
                      <w:rPr>
                        <w:b/>
                        <w:spacing w:val="-13"/>
                        <w:sz w:val="20"/>
                      </w:rPr>
                      <w:t>3</w:t>
                    </w:r>
                  </w:p>
                  <w:p>
                    <w:pPr>
                      <w:spacing w:line="229" w:lineRule="exact" w:before="0"/>
                      <w:ind w:left="1" w:right="18" w:firstLine="0"/>
                      <w:jc w:val="center"/>
                      <w:rPr>
                        <w:sz w:val="20"/>
                      </w:rPr>
                    </w:pPr>
                    <w:r>
                      <w:rPr>
                        <w:sz w:val="20"/>
                      </w:rPr>
                      <w:t>(Note</w:t>
                    </w:r>
                    <w:r>
                      <w:rPr>
                        <w:spacing w:val="-3"/>
                        <w:sz w:val="20"/>
                      </w:rPr>
                      <w:t> </w:t>
                    </w:r>
                    <w:r>
                      <w:rPr>
                        <w:sz w:val="20"/>
                      </w:rPr>
                      <w:t>3)</w:t>
                    </w:r>
                  </w:p>
                </w:txbxContent>
              </v:textbox>
              <w10:wrap type="none"/>
            </v:shape>
            <v:shape style="position:absolute;left:6180;top:7506;width:895;height:449" type="#_x0000_t202" filled="false" stroked="false">
              <v:textbox inset="0,0,0,0">
                <w:txbxContent>
                  <w:p>
                    <w:pPr>
                      <w:spacing w:line="220" w:lineRule="exact" w:before="0"/>
                      <w:ind w:left="0" w:right="18" w:firstLine="0"/>
                      <w:jc w:val="center"/>
                      <w:rPr>
                        <w:b/>
                        <w:sz w:val="20"/>
                      </w:rPr>
                    </w:pPr>
                    <w:r>
                      <w:rPr>
                        <w:sz w:val="20"/>
                      </w:rPr>
                      <w:t>Use </w:t>
                    </w:r>
                    <w:r>
                      <w:rPr>
                        <w:b/>
                        <w:sz w:val="20"/>
                      </w:rPr>
                      <w:t>Tier</w:t>
                    </w:r>
                    <w:r>
                      <w:rPr>
                        <w:b/>
                        <w:spacing w:val="-7"/>
                        <w:sz w:val="20"/>
                      </w:rPr>
                      <w:t> </w:t>
                    </w:r>
                    <w:r>
                      <w:rPr>
                        <w:b/>
                        <w:spacing w:val="-14"/>
                        <w:sz w:val="20"/>
                      </w:rPr>
                      <w:t>2</w:t>
                    </w:r>
                  </w:p>
                  <w:p>
                    <w:pPr>
                      <w:spacing w:line="229" w:lineRule="exact" w:before="0"/>
                      <w:ind w:left="1" w:right="18" w:firstLine="0"/>
                      <w:jc w:val="center"/>
                      <w:rPr>
                        <w:sz w:val="20"/>
                      </w:rPr>
                    </w:pPr>
                    <w:r>
                      <w:rPr>
                        <w:sz w:val="20"/>
                      </w:rPr>
                      <w:t>(Note</w:t>
                    </w:r>
                    <w:r>
                      <w:rPr>
                        <w:spacing w:val="-3"/>
                        <w:sz w:val="20"/>
                      </w:rPr>
                      <w:t> </w:t>
                    </w:r>
                    <w:r>
                      <w:rPr>
                        <w:sz w:val="20"/>
                      </w:rPr>
                      <w:t>2)</w:t>
                    </w:r>
                  </w:p>
                </w:txbxContent>
              </v:textbox>
              <w10:wrap type="none"/>
            </v:shape>
            <v:shape style="position:absolute;left:8715;top:7506;width:896;height:449" type="#_x0000_t202" filled="false" stroked="false">
              <v:textbox inset="0,0,0,0">
                <w:txbxContent>
                  <w:p>
                    <w:pPr>
                      <w:spacing w:line="220" w:lineRule="exact" w:before="0"/>
                      <w:ind w:left="0" w:right="18" w:firstLine="0"/>
                      <w:jc w:val="center"/>
                      <w:rPr>
                        <w:b/>
                        <w:sz w:val="20"/>
                      </w:rPr>
                    </w:pPr>
                    <w:r>
                      <w:rPr>
                        <w:sz w:val="20"/>
                      </w:rPr>
                      <w:t>Use </w:t>
                    </w:r>
                    <w:r>
                      <w:rPr>
                        <w:b/>
                        <w:sz w:val="20"/>
                      </w:rPr>
                      <w:t>Tier</w:t>
                    </w:r>
                    <w:r>
                      <w:rPr>
                        <w:b/>
                        <w:spacing w:val="-6"/>
                        <w:sz w:val="20"/>
                      </w:rPr>
                      <w:t> </w:t>
                    </w:r>
                    <w:r>
                      <w:rPr>
                        <w:b/>
                        <w:spacing w:val="-14"/>
                        <w:sz w:val="20"/>
                      </w:rPr>
                      <w:t>1</w:t>
                    </w:r>
                  </w:p>
                  <w:p>
                    <w:pPr>
                      <w:spacing w:line="229" w:lineRule="exact" w:before="0"/>
                      <w:ind w:left="1" w:right="18" w:firstLine="0"/>
                      <w:jc w:val="center"/>
                      <w:rPr>
                        <w:sz w:val="20"/>
                      </w:rPr>
                    </w:pPr>
                    <w:r>
                      <w:rPr>
                        <w:sz w:val="20"/>
                      </w:rPr>
                      <w:t>(Note</w:t>
                    </w:r>
                    <w:r>
                      <w:rPr>
                        <w:spacing w:val="-3"/>
                        <w:sz w:val="20"/>
                      </w:rPr>
                      <w:t> </w:t>
                    </w:r>
                    <w:r>
                      <w:rPr>
                        <w:sz w:val="20"/>
                      </w:rPr>
                      <w:t>1)</w:t>
                    </w:r>
                  </w:p>
                </w:txbxContent>
              </v:textbox>
              <w10:wrap type="none"/>
            </v:shape>
            <w10:wrap type="topAndBottom"/>
          </v:group>
        </w:pict>
      </w:r>
    </w:p>
    <w:p>
      <w:pPr>
        <w:pStyle w:val="BodyText"/>
        <w:spacing w:before="5"/>
        <w:rPr>
          <w:b/>
          <w:sz w:val="10"/>
        </w:rPr>
      </w:pPr>
    </w:p>
    <w:p>
      <w:pPr>
        <w:spacing w:before="94"/>
        <w:ind w:left="868" w:right="0" w:firstLine="0"/>
        <w:jc w:val="left"/>
        <w:rPr>
          <w:sz w:val="16"/>
        </w:rPr>
      </w:pPr>
      <w:r>
        <w:rPr>
          <w:b/>
          <w:sz w:val="16"/>
        </w:rPr>
        <w:t>Note 1: </w:t>
      </w:r>
      <w:r>
        <w:rPr>
          <w:sz w:val="16"/>
        </w:rPr>
        <w:t>Use the matrix/database of default values.</w:t>
      </w:r>
    </w:p>
    <w:p>
      <w:pPr>
        <w:spacing w:before="58"/>
        <w:ind w:left="867" w:right="0" w:firstLine="0"/>
        <w:jc w:val="left"/>
        <w:rPr>
          <w:sz w:val="16"/>
        </w:rPr>
      </w:pPr>
      <w:r>
        <w:rPr>
          <w:b/>
          <w:sz w:val="16"/>
        </w:rPr>
        <w:t>Note 2: </w:t>
      </w:r>
      <w:r>
        <w:rPr>
          <w:sz w:val="16"/>
        </w:rPr>
        <w:t>Use regionally specific parameters, soil data and duration of impact.</w:t>
      </w:r>
    </w:p>
    <w:p>
      <w:pPr>
        <w:spacing w:before="61"/>
        <w:ind w:left="867" w:right="0" w:firstLine="0"/>
        <w:jc w:val="left"/>
        <w:rPr>
          <w:sz w:val="16"/>
        </w:rPr>
      </w:pPr>
      <w:r>
        <w:rPr>
          <w:b/>
          <w:sz w:val="16"/>
        </w:rPr>
        <w:t>Note 3: </w:t>
      </w:r>
      <w:r>
        <w:rPr>
          <w:sz w:val="16"/>
        </w:rPr>
        <w:t>Use more sophisticated modelling techniques, often linked to geographical databases.</w:t>
      </w:r>
    </w:p>
    <w:p>
      <w:pPr>
        <w:pStyle w:val="BodyText"/>
        <w:spacing w:before="4"/>
        <w:rPr>
          <w:sz w:val="27"/>
        </w:rPr>
      </w:pPr>
    </w:p>
    <w:p>
      <w:pPr>
        <w:pStyle w:val="BodyText"/>
        <w:spacing w:before="91"/>
        <w:ind w:left="179" w:right="1406"/>
        <w:jc w:val="both"/>
      </w:pPr>
      <w:r>
        <w:rPr/>
        <w:t>It is </w:t>
      </w:r>
      <w:r>
        <w:rPr>
          <w:i/>
        </w:rPr>
        <w:t>good practice </w:t>
      </w:r>
      <w:r>
        <w:rPr/>
        <w:t>to follow continuously the management of land subject to cropland management. This could be achieved either by continuously tracking each land subject to cropland management from 1990 until the end of the commitment period (e.g., see Section 4.2.7.1 Definitional issues and reporting requirements), or by developing statistical sampling techniques, consistent with the advice in Section 5.3, that allow the management transitions on cropland management land to be determined (see Section 4.2.4.1 Developing a consistent time series).</w:t>
      </w:r>
    </w:p>
    <w:p>
      <w:pPr>
        <w:pStyle w:val="BodyText"/>
        <w:spacing w:before="120"/>
        <w:ind w:left="179" w:right="1404"/>
        <w:jc w:val="both"/>
      </w:pPr>
      <w:r>
        <w:rPr/>
        <w:t>Using the default values given in the </w:t>
      </w:r>
      <w:r>
        <w:rPr>
          <w:i/>
        </w:rPr>
        <w:t>IPCC Guidelines</w:t>
      </w:r>
      <w:r>
        <w:rPr/>
        <w:t>, average yearly rates of carbon stock change can be calculated for each soil type, climatic region and land-use or management change combination. These can be used as default annual “carbon stock change factors”</w:t>
      </w:r>
      <w:r>
        <w:rPr>
          <w:vertAlign w:val="superscript"/>
        </w:rPr>
        <w:t>57</w:t>
      </w:r>
      <w:r>
        <w:rPr>
          <w:vertAlign w:val="baseline"/>
        </w:rPr>
        <w:t>, and can be represented in a series of tables, a matrix or a relational database. Such a system is shown schematically in Figure 4.2.10 where the numbers 1,2,3,… represent different management practices.</w:t>
      </w:r>
    </w:p>
    <w:p>
      <w:pPr>
        <w:pStyle w:val="BodyText"/>
      </w:pPr>
    </w:p>
    <w:p>
      <w:pPr>
        <w:pStyle w:val="BodyText"/>
      </w:pPr>
    </w:p>
    <w:p>
      <w:pPr>
        <w:pStyle w:val="BodyText"/>
        <w:spacing w:before="6"/>
        <w:rPr>
          <w:sz w:val="29"/>
        </w:rPr>
      </w:pPr>
      <w:r>
        <w:rPr/>
        <w:pict>
          <v:line style="position:absolute;mso-position-horizontal-relative:page;mso-position-vertical-relative:paragraph;z-index:22976;mso-wrap-distance-left:0;mso-wrap-distance-right:0" from="70.960999pt,19.211845pt" to="214.960999pt,19.211845pt" stroked="true" strokeweight=".48pt" strokecolor="#000000">
            <v:stroke dashstyle="solid"/>
            <w10:wrap type="topAndBottom"/>
          </v:line>
        </w:pict>
      </w:r>
    </w:p>
    <w:p>
      <w:pPr>
        <w:spacing w:before="150"/>
        <w:ind w:left="179" w:right="0" w:firstLine="0"/>
        <w:jc w:val="left"/>
        <w:rPr>
          <w:sz w:val="18"/>
        </w:rPr>
      </w:pPr>
      <w:r>
        <w:rPr>
          <w:position w:val="9"/>
          <w:sz w:val="13"/>
        </w:rPr>
        <w:t>57 </w:t>
      </w:r>
      <w:r>
        <w:rPr>
          <w:sz w:val="18"/>
        </w:rPr>
        <w:t>See also footnote 32 above.</w:t>
      </w:r>
    </w:p>
    <w:p>
      <w:pPr>
        <w:spacing w:after="0"/>
        <w:jc w:val="left"/>
        <w:rPr>
          <w:sz w:val="18"/>
        </w:rPr>
        <w:sectPr>
          <w:pgSz w:w="11900" w:h="16840"/>
          <w:pgMar w:header="230" w:footer="408" w:top="560" w:bottom="600" w:left="1240" w:right="0"/>
        </w:sectPr>
      </w:pPr>
    </w:p>
    <w:p>
      <w:pPr>
        <w:pStyle w:val="BodyText"/>
      </w:pPr>
    </w:p>
    <w:p>
      <w:pPr>
        <w:pStyle w:val="BodyText"/>
        <w:rPr>
          <w:sz w:val="19"/>
        </w:rPr>
      </w:pPr>
    </w:p>
    <w:p>
      <w:pPr>
        <w:tabs>
          <w:tab w:pos="1880" w:val="left" w:leader="none"/>
        </w:tabs>
        <w:spacing w:before="91"/>
        <w:ind w:left="1880" w:right="1597" w:hanging="1702"/>
        <w:jc w:val="left"/>
        <w:rPr>
          <w:b/>
          <w:sz w:val="20"/>
        </w:rPr>
      </w:pPr>
      <w:r>
        <w:rPr>
          <w:b/>
          <w:spacing w:val="8"/>
          <w:sz w:val="20"/>
        </w:rPr>
        <w:t>Figure</w:t>
      </w:r>
      <w:r>
        <w:rPr>
          <w:b/>
          <w:spacing w:val="19"/>
          <w:sz w:val="20"/>
        </w:rPr>
        <w:t> </w:t>
      </w:r>
      <w:r>
        <w:rPr>
          <w:b/>
          <w:spacing w:val="8"/>
          <w:sz w:val="20"/>
        </w:rPr>
        <w:t>4.2.10</w:t>
        <w:tab/>
        <w:t>Conceptual </w:t>
      </w:r>
      <w:r>
        <w:rPr>
          <w:b/>
          <w:spacing w:val="9"/>
          <w:sz w:val="20"/>
        </w:rPr>
        <w:t>illustration </w:t>
      </w:r>
      <w:r>
        <w:rPr>
          <w:b/>
          <w:spacing w:val="5"/>
          <w:sz w:val="20"/>
        </w:rPr>
        <w:t>of </w:t>
      </w:r>
      <w:r>
        <w:rPr>
          <w:b/>
          <w:spacing w:val="6"/>
          <w:sz w:val="20"/>
        </w:rPr>
        <w:t>the </w:t>
      </w:r>
      <w:r>
        <w:rPr>
          <w:b/>
          <w:spacing w:val="7"/>
          <w:sz w:val="20"/>
        </w:rPr>
        <w:t>matrix </w:t>
      </w:r>
      <w:r>
        <w:rPr>
          <w:b/>
          <w:spacing w:val="5"/>
          <w:sz w:val="20"/>
        </w:rPr>
        <w:t>of </w:t>
      </w:r>
      <w:r>
        <w:rPr>
          <w:b/>
          <w:spacing w:val="8"/>
          <w:sz w:val="20"/>
        </w:rPr>
        <w:t>carbon stock change factors derived </w:t>
      </w:r>
      <w:r>
        <w:rPr>
          <w:b/>
          <w:spacing w:val="6"/>
          <w:sz w:val="20"/>
        </w:rPr>
        <w:t>for</w:t>
      </w:r>
      <w:r>
        <w:rPr>
          <w:b/>
          <w:spacing w:val="20"/>
          <w:sz w:val="20"/>
        </w:rPr>
        <w:t> </w:t>
      </w:r>
      <w:r>
        <w:rPr>
          <w:b/>
          <w:spacing w:val="8"/>
          <w:sz w:val="20"/>
        </w:rPr>
        <w:t>different</w:t>
      </w:r>
      <w:r>
        <w:rPr>
          <w:b/>
          <w:spacing w:val="20"/>
          <w:sz w:val="20"/>
        </w:rPr>
        <w:t> </w:t>
      </w:r>
      <w:r>
        <w:rPr>
          <w:b/>
          <w:spacing w:val="8"/>
          <w:sz w:val="20"/>
        </w:rPr>
        <w:t>land-use,</w:t>
      </w:r>
      <w:r>
        <w:rPr>
          <w:b/>
          <w:spacing w:val="20"/>
          <w:sz w:val="20"/>
        </w:rPr>
        <w:t> </w:t>
      </w:r>
      <w:r>
        <w:rPr>
          <w:b/>
          <w:spacing w:val="9"/>
          <w:sz w:val="20"/>
        </w:rPr>
        <w:t>land-management</w:t>
      </w:r>
      <w:r>
        <w:rPr>
          <w:b/>
          <w:spacing w:val="20"/>
          <w:sz w:val="20"/>
        </w:rPr>
        <w:t> </w:t>
      </w:r>
      <w:r>
        <w:rPr>
          <w:b/>
          <w:spacing w:val="9"/>
          <w:sz w:val="20"/>
        </w:rPr>
        <w:t>transitions</w:t>
      </w:r>
      <w:r>
        <w:rPr>
          <w:b/>
          <w:spacing w:val="18"/>
          <w:sz w:val="20"/>
        </w:rPr>
        <w:t> </w:t>
      </w:r>
      <w:r>
        <w:rPr>
          <w:b/>
          <w:spacing w:val="6"/>
          <w:sz w:val="20"/>
        </w:rPr>
        <w:t>for</w:t>
      </w:r>
      <w:r>
        <w:rPr>
          <w:b/>
          <w:spacing w:val="21"/>
          <w:sz w:val="20"/>
        </w:rPr>
        <w:t> </w:t>
      </w:r>
      <w:r>
        <w:rPr>
          <w:b/>
          <w:spacing w:val="8"/>
          <w:sz w:val="20"/>
        </w:rPr>
        <w:t>each</w:t>
      </w:r>
      <w:r>
        <w:rPr>
          <w:b/>
          <w:spacing w:val="19"/>
          <w:sz w:val="20"/>
        </w:rPr>
        <w:t> </w:t>
      </w:r>
      <w:r>
        <w:rPr>
          <w:b/>
          <w:spacing w:val="6"/>
          <w:sz w:val="20"/>
        </w:rPr>
        <w:t>set</w:t>
      </w:r>
      <w:r>
        <w:rPr>
          <w:b/>
          <w:spacing w:val="20"/>
          <w:sz w:val="20"/>
        </w:rPr>
        <w:t> </w:t>
      </w:r>
      <w:r>
        <w:rPr>
          <w:b/>
          <w:spacing w:val="10"/>
          <w:sz w:val="20"/>
        </w:rPr>
        <w:t>of</w:t>
      </w:r>
    </w:p>
    <w:p>
      <w:pPr>
        <w:spacing w:before="1"/>
        <w:ind w:left="1880" w:right="1600" w:firstLine="0"/>
        <w:jc w:val="both"/>
        <w:rPr>
          <w:b/>
          <w:sz w:val="20"/>
        </w:rPr>
      </w:pPr>
      <w:r>
        <w:rPr>
          <w:b/>
          <w:sz w:val="20"/>
        </w:rPr>
        <w:t>biophysical combinations. These could be accessed via tables or a relational database. For Tier 1, default values (see text above) are used for the carbon stock change factor. Default values for management shifts in opposite</w:t>
      </w:r>
    </w:p>
    <w:p>
      <w:pPr>
        <w:spacing w:line="228" w:lineRule="exact" w:before="0"/>
        <w:ind w:left="1880" w:right="0" w:firstLine="0"/>
        <w:jc w:val="left"/>
        <w:rPr>
          <w:b/>
          <w:sz w:val="20"/>
        </w:rPr>
      </w:pPr>
      <w:r>
        <w:rPr>
          <w:b/>
          <w:sz w:val="20"/>
        </w:rPr>
        <w:t>direction are the same, but of opposite sign. For example, if a shift from</w:t>
      </w:r>
    </w:p>
    <w:p>
      <w:pPr>
        <w:spacing w:before="0"/>
        <w:ind w:left="1880" w:right="1597" w:firstLine="0"/>
        <w:jc w:val="left"/>
        <w:rPr>
          <w:b/>
          <w:sz w:val="20"/>
        </w:rPr>
      </w:pPr>
      <w:r>
        <w:rPr>
          <w:b/>
          <w:sz w:val="20"/>
        </w:rPr>
        <w:t>management practice 1 to management practice 2 has a carbon stock change factor of -0.5, then a shift from management practice 2 to management</w:t>
      </w:r>
    </w:p>
    <w:p>
      <w:pPr>
        <w:spacing w:before="3"/>
        <w:ind w:left="1880" w:right="0" w:firstLine="0"/>
        <w:jc w:val="left"/>
        <w:rPr>
          <w:b/>
          <w:sz w:val="20"/>
        </w:rPr>
      </w:pPr>
      <w:r>
        <w:rPr/>
        <w:pict>
          <v:shape style="position:absolute;margin-left:152.210556pt;margin-top:129.975891pt;width:281.150pt;height:196.5pt;mso-position-horizontal-relative:page;mso-position-vertical-relative:paragraph;z-index:-2431096" type="#_x0000_t202" filled="false" stroked="false">
            <v:textbox inset="0,0,0,0">
              <w:txbxContent>
                <w:p>
                  <w:pPr>
                    <w:spacing w:line="314" w:lineRule="exact" w:before="0"/>
                    <w:ind w:left="1341" w:right="0" w:firstLine="0"/>
                    <w:jc w:val="center"/>
                    <w:rPr>
                      <w:rFonts w:ascii="Arial" w:hAnsi="Arial"/>
                      <w:b/>
                      <w:sz w:val="28"/>
                    </w:rPr>
                  </w:pPr>
                  <w:r>
                    <w:rPr>
                      <w:rFonts w:ascii="Arial" w:hAnsi="Arial"/>
                      <w:b/>
                      <w:sz w:val="28"/>
                    </w:rPr>
                    <w:t>‘New’ Management</w:t>
                  </w:r>
                </w:p>
                <w:p>
                  <w:pPr>
                    <w:tabs>
                      <w:tab w:pos="2406" w:val="left" w:leader="none"/>
                      <w:tab w:pos="3426" w:val="left" w:leader="none"/>
                      <w:tab w:pos="4446" w:val="left" w:leader="none"/>
                      <w:tab w:pos="5423" w:val="left" w:leader="none"/>
                    </w:tabs>
                    <w:spacing w:before="127"/>
                    <w:ind w:left="1387" w:right="0" w:firstLine="0"/>
                    <w:jc w:val="center"/>
                    <w:rPr>
                      <w:rFonts w:ascii="Arial" w:hAnsi="Arial"/>
                      <w:b/>
                      <w:sz w:val="20"/>
                    </w:rPr>
                  </w:pPr>
                  <w:r>
                    <w:rPr>
                      <w:rFonts w:ascii="Arial" w:hAnsi="Arial"/>
                      <w:b/>
                      <w:sz w:val="20"/>
                    </w:rPr>
                    <w:t>1</w:t>
                    <w:tab/>
                    <w:t>2</w:t>
                    <w:tab/>
                    <w:t>3</w:t>
                    <w:tab/>
                    <w:t>4</w:t>
                    <w:tab/>
                  </w:r>
                  <w:r>
                    <w:rPr>
                      <w:rFonts w:ascii="Arial" w:hAnsi="Arial"/>
                      <w:b/>
                      <w:spacing w:val="-20"/>
                      <w:sz w:val="20"/>
                    </w:rPr>
                    <w:t>…</w:t>
                  </w:r>
                </w:p>
                <w:p>
                  <w:pPr>
                    <w:pStyle w:val="BodyText"/>
                    <w:tabs>
                      <w:tab w:pos="2116" w:val="left" w:leader="none"/>
                      <w:tab w:pos="3136" w:val="left" w:leader="none"/>
                      <w:tab w:pos="4156" w:val="left" w:leader="none"/>
                      <w:tab w:pos="5178" w:val="left" w:leader="none"/>
                    </w:tabs>
                    <w:spacing w:line="146" w:lineRule="auto" w:before="182"/>
                    <w:ind w:left="707"/>
                    <w:rPr>
                      <w:rFonts w:ascii="Arial"/>
                    </w:rPr>
                  </w:pPr>
                  <w:r>
                    <w:rPr>
                      <w:rFonts w:ascii="Arial"/>
                      <w:b/>
                      <w:position w:val="-13"/>
                    </w:rPr>
                    <w:t>1</w:t>
                    <w:tab/>
                  </w:r>
                  <w:r>
                    <w:rPr>
                      <w:rFonts w:ascii="Arial"/>
                    </w:rPr>
                    <w:t>c=</w:t>
                  </w:r>
                  <w:r>
                    <w:rPr>
                      <w:rFonts w:ascii="Arial"/>
                      <w:spacing w:val="-3"/>
                    </w:rPr>
                    <w:t> </w:t>
                  </w:r>
                  <w:r>
                    <w:rPr>
                      <w:rFonts w:ascii="Arial"/>
                    </w:rPr>
                    <w:t>-0.5</w:t>
                    <w:tab/>
                    <w:t>c</w:t>
                  </w:r>
                  <w:r>
                    <w:rPr>
                      <w:rFonts w:ascii="Arial"/>
                      <w:spacing w:val="-1"/>
                    </w:rPr>
                    <w:t> </w:t>
                  </w:r>
                  <w:r>
                    <w:rPr>
                      <w:rFonts w:ascii="Arial"/>
                    </w:rPr>
                    <w:t>=</w:t>
                    <w:tab/>
                    <w:t>c =</w:t>
                    <w:tab/>
                    <w:t>c</w:t>
                  </w:r>
                  <w:r>
                    <w:rPr>
                      <w:rFonts w:ascii="Arial"/>
                      <w:spacing w:val="-1"/>
                    </w:rPr>
                    <w:t> </w:t>
                  </w:r>
                  <w:r>
                    <w:rPr>
                      <w:rFonts w:ascii="Arial"/>
                    </w:rPr>
                    <w:t>=</w:t>
                  </w:r>
                </w:p>
                <w:p>
                  <w:pPr>
                    <w:spacing w:line="252" w:lineRule="exact" w:before="0"/>
                    <w:ind w:left="0" w:right="0" w:firstLine="0"/>
                    <w:jc w:val="left"/>
                    <w:rPr>
                      <w:rFonts w:ascii="Arial"/>
                      <w:b/>
                      <w:sz w:val="28"/>
                    </w:rPr>
                  </w:pPr>
                  <w:r>
                    <w:rPr>
                      <w:rFonts w:ascii="Arial"/>
                      <w:b/>
                      <w:w w:val="100"/>
                      <w:sz w:val="28"/>
                    </w:rPr>
                    <w:t>t</w:t>
                  </w:r>
                </w:p>
                <w:p>
                  <w:pPr>
                    <w:pStyle w:val="BodyText"/>
                    <w:rPr>
                      <w:sz w:val="8"/>
                    </w:rPr>
                  </w:pPr>
                </w:p>
                <w:p>
                  <w:pPr>
                    <w:tabs>
                      <w:tab w:pos="707" w:val="left" w:leader="none"/>
                      <w:tab w:pos="1096" w:val="left" w:leader="none"/>
                      <w:tab w:pos="3136" w:val="left" w:leader="none"/>
                      <w:tab w:pos="4156" w:val="left" w:leader="none"/>
                      <w:tab w:pos="5178" w:val="left" w:leader="none"/>
                    </w:tabs>
                    <w:spacing w:line="163" w:lineRule="auto" w:before="57"/>
                    <w:ind w:left="0" w:right="0" w:firstLine="0"/>
                    <w:jc w:val="left"/>
                    <w:rPr>
                      <w:rFonts w:ascii="Arial"/>
                      <w:sz w:val="20"/>
                    </w:rPr>
                  </w:pPr>
                  <w:r>
                    <w:rPr>
                      <w:rFonts w:ascii="Arial"/>
                      <w:b/>
                      <w:position w:val="-19"/>
                      <w:sz w:val="28"/>
                    </w:rPr>
                    <w:t>men</w:t>
                    <w:tab/>
                  </w:r>
                  <w:r>
                    <w:rPr>
                      <w:rFonts w:ascii="Arial"/>
                      <w:b/>
                      <w:position w:val="-10"/>
                      <w:sz w:val="20"/>
                    </w:rPr>
                    <w:t>2</w:t>
                    <w:tab/>
                  </w:r>
                  <w:r>
                    <w:rPr>
                      <w:rFonts w:ascii="Arial"/>
                      <w:sz w:val="20"/>
                    </w:rPr>
                    <w:t>c=</w:t>
                  </w:r>
                  <w:r>
                    <w:rPr>
                      <w:rFonts w:ascii="Arial"/>
                      <w:spacing w:val="-3"/>
                      <w:sz w:val="20"/>
                    </w:rPr>
                    <w:t> </w:t>
                  </w:r>
                  <w:r>
                    <w:rPr>
                      <w:rFonts w:ascii="Arial"/>
                      <w:sz w:val="20"/>
                    </w:rPr>
                    <w:t>0.5</w:t>
                    <w:tab/>
                    <w:t>c =</w:t>
                    <w:tab/>
                    <w:t>c =</w:t>
                    <w:tab/>
                    <w:t>c</w:t>
                  </w:r>
                  <w:r>
                    <w:rPr>
                      <w:rFonts w:ascii="Arial"/>
                      <w:spacing w:val="-1"/>
                      <w:sz w:val="20"/>
                    </w:rPr>
                    <w:t> </w:t>
                  </w:r>
                  <w:r>
                    <w:rPr>
                      <w:rFonts w:ascii="Arial"/>
                      <w:sz w:val="20"/>
                    </w:rPr>
                    <w:t>=</w:t>
                  </w:r>
                </w:p>
                <w:p>
                  <w:pPr>
                    <w:spacing w:line="127" w:lineRule="auto" w:before="42"/>
                    <w:ind w:left="0" w:right="5327" w:firstLine="0"/>
                    <w:jc w:val="left"/>
                    <w:rPr>
                      <w:rFonts w:ascii="Arial"/>
                      <w:b/>
                      <w:sz w:val="28"/>
                    </w:rPr>
                  </w:pPr>
                  <w:r>
                    <w:rPr>
                      <w:rFonts w:ascii="Arial"/>
                      <w:b/>
                      <w:sz w:val="28"/>
                    </w:rPr>
                    <w:t>e g</w:t>
                  </w:r>
                </w:p>
                <w:p>
                  <w:pPr>
                    <w:pStyle w:val="BodyText"/>
                    <w:tabs>
                      <w:tab w:pos="1096" w:val="left" w:leader="none"/>
                      <w:tab w:pos="2116" w:val="left" w:leader="none"/>
                      <w:tab w:pos="4156" w:val="left" w:leader="none"/>
                      <w:tab w:pos="5178" w:val="left" w:leader="none"/>
                    </w:tabs>
                    <w:spacing w:line="108" w:lineRule="exact"/>
                    <w:rPr>
                      <w:rFonts w:ascii="Arial"/>
                    </w:rPr>
                  </w:pPr>
                  <w:r>
                    <w:rPr>
                      <w:rFonts w:ascii="Arial"/>
                      <w:b/>
                      <w:sz w:val="28"/>
                    </w:rPr>
                    <w:t>a</w:t>
                    <w:tab/>
                  </w:r>
                  <w:r>
                    <w:rPr>
                      <w:rFonts w:ascii="Arial"/>
                      <w:position w:val="1"/>
                    </w:rPr>
                    <w:t>c</w:t>
                  </w:r>
                  <w:r>
                    <w:rPr>
                      <w:rFonts w:ascii="Arial"/>
                      <w:spacing w:val="-1"/>
                      <w:position w:val="1"/>
                    </w:rPr>
                    <w:t> </w:t>
                  </w:r>
                  <w:r>
                    <w:rPr>
                      <w:rFonts w:ascii="Arial"/>
                      <w:position w:val="1"/>
                    </w:rPr>
                    <w:t>=</w:t>
                    <w:tab/>
                    <w:t>c =</w:t>
                    <w:tab/>
                    <w:t>c =</w:t>
                    <w:tab/>
                    <w:t>c =</w:t>
                  </w:r>
                </w:p>
                <w:p>
                  <w:pPr>
                    <w:tabs>
                      <w:tab w:pos="707" w:val="left" w:leader="none"/>
                    </w:tabs>
                    <w:spacing w:line="153" w:lineRule="auto" w:before="0"/>
                    <w:ind w:left="0" w:right="4802" w:firstLine="0"/>
                    <w:jc w:val="left"/>
                    <w:rPr>
                      <w:rFonts w:ascii="Arial"/>
                      <w:b/>
                      <w:sz w:val="28"/>
                    </w:rPr>
                  </w:pPr>
                  <w:r>
                    <w:rPr>
                      <w:rFonts w:ascii="Arial"/>
                      <w:b/>
                      <w:position w:val="-5"/>
                      <w:sz w:val="28"/>
                    </w:rPr>
                    <w:t>n</w:t>
                    <w:tab/>
                  </w:r>
                  <w:r>
                    <w:rPr>
                      <w:rFonts w:ascii="Arial"/>
                      <w:b/>
                      <w:spacing w:val="-17"/>
                      <w:sz w:val="20"/>
                    </w:rPr>
                    <w:t>3 </w:t>
                  </w:r>
                  <w:r>
                    <w:rPr>
                      <w:rFonts w:ascii="Arial"/>
                      <w:b/>
                      <w:sz w:val="28"/>
                    </w:rPr>
                    <w:t>a      M</w:t>
                  </w:r>
                </w:p>
                <w:p>
                  <w:pPr>
                    <w:tabs>
                      <w:tab w:pos="707" w:val="left" w:leader="none"/>
                      <w:tab w:pos="1096" w:val="left" w:leader="none"/>
                      <w:tab w:pos="2116" w:val="left" w:leader="none"/>
                      <w:tab w:pos="3136" w:val="left" w:leader="none"/>
                      <w:tab w:pos="5178" w:val="left" w:leader="none"/>
                    </w:tabs>
                    <w:spacing w:line="69" w:lineRule="auto" w:before="0"/>
                    <w:ind w:left="0" w:right="0" w:firstLine="0"/>
                    <w:jc w:val="left"/>
                    <w:rPr>
                      <w:rFonts w:ascii="Arial" w:hAnsi="Arial"/>
                      <w:sz w:val="20"/>
                    </w:rPr>
                  </w:pPr>
                  <w:r>
                    <w:rPr>
                      <w:rFonts w:ascii="Arial" w:hAnsi="Arial"/>
                      <w:b/>
                      <w:position w:val="-3"/>
                      <w:sz w:val="28"/>
                    </w:rPr>
                    <w:t>’</w:t>
                    <w:tab/>
                  </w:r>
                  <w:r>
                    <w:rPr>
                      <w:rFonts w:ascii="Arial" w:hAnsi="Arial"/>
                      <w:b/>
                      <w:position w:val="-10"/>
                      <w:sz w:val="20"/>
                    </w:rPr>
                    <w:t>4</w:t>
                    <w:tab/>
                  </w:r>
                  <w:r>
                    <w:rPr>
                      <w:rFonts w:ascii="Arial" w:hAnsi="Arial"/>
                      <w:sz w:val="20"/>
                    </w:rPr>
                    <w:t>c</w:t>
                  </w:r>
                  <w:r>
                    <w:rPr>
                      <w:rFonts w:ascii="Arial" w:hAnsi="Arial"/>
                      <w:spacing w:val="-1"/>
                      <w:sz w:val="20"/>
                    </w:rPr>
                    <w:t> </w:t>
                  </w:r>
                  <w:r>
                    <w:rPr>
                      <w:rFonts w:ascii="Arial" w:hAnsi="Arial"/>
                      <w:sz w:val="20"/>
                    </w:rPr>
                    <w:t>=</w:t>
                    <w:tab/>
                    <w:t>c =</w:t>
                    <w:tab/>
                    <w:t>c =</w:t>
                    <w:tab/>
                    <w:t>c =</w:t>
                  </w:r>
                </w:p>
                <w:p>
                  <w:pPr>
                    <w:spacing w:line="240" w:lineRule="exact" w:before="249"/>
                    <w:ind w:left="0" w:right="0" w:firstLine="0"/>
                    <w:jc w:val="left"/>
                    <w:rPr>
                      <w:rFonts w:ascii="Arial" w:hAnsi="Arial"/>
                      <w:b/>
                      <w:sz w:val="28"/>
                    </w:rPr>
                  </w:pPr>
                  <w:r>
                    <w:rPr>
                      <w:rFonts w:ascii="Arial" w:hAnsi="Arial"/>
                      <w:b/>
                      <w:sz w:val="28"/>
                    </w:rPr>
                    <w:t>‘Old</w:t>
                  </w:r>
                </w:p>
                <w:p>
                  <w:pPr>
                    <w:pStyle w:val="BodyText"/>
                    <w:tabs>
                      <w:tab w:pos="1096" w:val="left" w:leader="none"/>
                      <w:tab w:pos="2116" w:val="left" w:leader="none"/>
                      <w:tab w:pos="3136" w:val="left" w:leader="none"/>
                      <w:tab w:pos="4156" w:val="left" w:leader="none"/>
                    </w:tabs>
                    <w:spacing w:line="74" w:lineRule="auto"/>
                    <w:ind w:left="736"/>
                    <w:rPr>
                      <w:rFonts w:ascii="Arial"/>
                    </w:rPr>
                  </w:pPr>
                  <w:r>
                    <w:rPr>
                      <w:rFonts w:ascii="Arial"/>
                      <w:b/>
                      <w:spacing w:val="-28"/>
                      <w:position w:val="1"/>
                    </w:rPr>
                    <w:t>.</w:t>
                  </w:r>
                  <w:r>
                    <w:rPr>
                      <w:rFonts w:ascii="Arial"/>
                      <w:b/>
                      <w:spacing w:val="-28"/>
                      <w:position w:val="-6"/>
                    </w:rPr>
                    <w:t>.</w:t>
                    <w:tab/>
                  </w:r>
                  <w:r>
                    <w:rPr>
                      <w:rFonts w:ascii="Arial"/>
                    </w:rPr>
                    <w:t>c</w:t>
                  </w:r>
                  <w:r>
                    <w:rPr>
                      <w:rFonts w:ascii="Arial"/>
                      <w:spacing w:val="-1"/>
                    </w:rPr>
                    <w:t> </w:t>
                  </w:r>
                  <w:r>
                    <w:rPr>
                      <w:rFonts w:ascii="Arial"/>
                    </w:rPr>
                    <w:t>=</w:t>
                    <w:tab/>
                    <w:t>c =</w:t>
                    <w:tab/>
                    <w:t>c =</w:t>
                    <w:tab/>
                    <w:t>c =</w:t>
                  </w:r>
                </w:p>
                <w:p>
                  <w:pPr>
                    <w:spacing w:line="153" w:lineRule="exact" w:before="0"/>
                    <w:ind w:left="736" w:right="0" w:firstLine="0"/>
                    <w:jc w:val="left"/>
                    <w:rPr>
                      <w:rFonts w:ascii="Arial"/>
                      <w:b/>
                      <w:sz w:val="20"/>
                    </w:rPr>
                  </w:pPr>
                  <w:r>
                    <w:rPr>
                      <w:rFonts w:ascii="Arial"/>
                      <w:b/>
                      <w:w w:val="99"/>
                      <w:sz w:val="20"/>
                    </w:rPr>
                    <w:t>.</w:t>
                  </w:r>
                </w:p>
              </w:txbxContent>
            </v:textbox>
            <w10:wrap type="none"/>
          </v:shape>
        </w:pict>
      </w:r>
      <w:r>
        <w:rPr/>
        <w:pict>
          <v:shape style="position:absolute;margin-left:140.210556pt;margin-top:118.93589pt;width:281.150pt;height:196.5pt;mso-position-horizontal-relative:page;mso-position-vertical-relative:paragraph;z-index:-2431072" type="#_x0000_t202" filled="false" stroked="false">
            <v:textbox inset="0,0,0,0">
              <w:txbxContent>
                <w:p>
                  <w:pPr>
                    <w:spacing w:line="314" w:lineRule="exact" w:before="0"/>
                    <w:ind w:left="1341" w:right="0" w:firstLine="0"/>
                    <w:jc w:val="center"/>
                    <w:rPr>
                      <w:rFonts w:ascii="Arial" w:hAnsi="Arial"/>
                      <w:b/>
                      <w:sz w:val="28"/>
                    </w:rPr>
                  </w:pPr>
                  <w:r>
                    <w:rPr>
                      <w:rFonts w:ascii="Arial" w:hAnsi="Arial"/>
                      <w:b/>
                      <w:sz w:val="28"/>
                    </w:rPr>
                    <w:t>‘New’ Management</w:t>
                  </w:r>
                </w:p>
                <w:p>
                  <w:pPr>
                    <w:tabs>
                      <w:tab w:pos="2406" w:val="left" w:leader="none"/>
                      <w:tab w:pos="3426" w:val="left" w:leader="none"/>
                      <w:tab w:pos="4446" w:val="left" w:leader="none"/>
                      <w:tab w:pos="5423" w:val="left" w:leader="none"/>
                    </w:tabs>
                    <w:spacing w:before="127"/>
                    <w:ind w:left="1387" w:right="0" w:firstLine="0"/>
                    <w:jc w:val="center"/>
                    <w:rPr>
                      <w:rFonts w:ascii="Arial" w:hAnsi="Arial"/>
                      <w:b/>
                      <w:sz w:val="20"/>
                    </w:rPr>
                  </w:pPr>
                  <w:r>
                    <w:rPr>
                      <w:rFonts w:ascii="Arial" w:hAnsi="Arial"/>
                      <w:b/>
                      <w:sz w:val="20"/>
                    </w:rPr>
                    <w:t>1</w:t>
                    <w:tab/>
                    <w:t>2</w:t>
                    <w:tab/>
                    <w:t>3</w:t>
                    <w:tab/>
                    <w:t>4</w:t>
                    <w:tab/>
                  </w:r>
                  <w:r>
                    <w:rPr>
                      <w:rFonts w:ascii="Arial" w:hAnsi="Arial"/>
                      <w:b/>
                      <w:spacing w:val="-20"/>
                      <w:sz w:val="20"/>
                    </w:rPr>
                    <w:t>…</w:t>
                  </w:r>
                </w:p>
                <w:p>
                  <w:pPr>
                    <w:pStyle w:val="BodyText"/>
                    <w:tabs>
                      <w:tab w:pos="2116" w:val="left" w:leader="none"/>
                      <w:tab w:pos="3136" w:val="left" w:leader="none"/>
                      <w:tab w:pos="4156" w:val="left" w:leader="none"/>
                      <w:tab w:pos="5178" w:val="left" w:leader="none"/>
                    </w:tabs>
                    <w:spacing w:before="164"/>
                    <w:ind w:left="707"/>
                    <w:rPr>
                      <w:rFonts w:ascii="Arial"/>
                    </w:rPr>
                  </w:pPr>
                  <w:r>
                    <w:rPr>
                      <w:rFonts w:ascii="Arial"/>
                      <w:b/>
                      <w:position w:val="-13"/>
                    </w:rPr>
                    <w:t>1</w:t>
                    <w:tab/>
                  </w:r>
                  <w:r>
                    <w:rPr>
                      <w:rFonts w:ascii="Arial"/>
                    </w:rPr>
                    <w:t>c=</w:t>
                  </w:r>
                  <w:r>
                    <w:rPr>
                      <w:rFonts w:ascii="Arial"/>
                      <w:spacing w:val="-3"/>
                    </w:rPr>
                    <w:t> </w:t>
                  </w:r>
                  <w:r>
                    <w:rPr>
                      <w:rFonts w:ascii="Arial"/>
                    </w:rPr>
                    <w:t>-0.5</w:t>
                    <w:tab/>
                    <w:t>c</w:t>
                  </w:r>
                  <w:r>
                    <w:rPr>
                      <w:rFonts w:ascii="Arial"/>
                      <w:spacing w:val="-1"/>
                    </w:rPr>
                    <w:t> </w:t>
                  </w:r>
                  <w:r>
                    <w:rPr>
                      <w:rFonts w:ascii="Arial"/>
                    </w:rPr>
                    <w:t>=</w:t>
                    <w:tab/>
                    <w:t>c =</w:t>
                    <w:tab/>
                    <w:t>c =</w:t>
                  </w:r>
                </w:p>
                <w:p>
                  <w:pPr>
                    <w:pStyle w:val="BodyText"/>
                    <w:spacing w:before="9"/>
                    <w:rPr>
                      <w:sz w:val="41"/>
                    </w:rPr>
                  </w:pPr>
                </w:p>
                <w:p>
                  <w:pPr>
                    <w:tabs>
                      <w:tab w:pos="707" w:val="left" w:leader="none"/>
                    </w:tabs>
                    <w:spacing w:line="622" w:lineRule="exact" w:before="0"/>
                    <w:ind w:left="0" w:right="0" w:firstLine="0"/>
                    <w:jc w:val="left"/>
                    <w:rPr>
                      <w:rFonts w:ascii="Arial"/>
                      <w:b/>
                      <w:sz w:val="20"/>
                    </w:rPr>
                  </w:pPr>
                  <w:r>
                    <w:rPr>
                      <w:rFonts w:ascii="Arial"/>
                      <w:b/>
                      <w:spacing w:val="-1"/>
                      <w:sz w:val="28"/>
                    </w:rPr>
                    <w:t>Management</w:t>
                    <w:tab/>
                  </w:r>
                  <w:r>
                    <w:rPr>
                      <w:rFonts w:ascii="Arial"/>
                      <w:b/>
                      <w:position w:val="45"/>
                      <w:sz w:val="20"/>
                    </w:rPr>
                    <w:t>3</w:t>
                  </w:r>
                </w:p>
                <w:p>
                  <w:pPr>
                    <w:pStyle w:val="BodyText"/>
                    <w:tabs>
                      <w:tab w:pos="1096" w:val="left" w:leader="none"/>
                      <w:tab w:pos="3136" w:val="left" w:leader="none"/>
                      <w:tab w:pos="4156" w:val="left" w:leader="none"/>
                      <w:tab w:pos="5178" w:val="left" w:leader="none"/>
                    </w:tabs>
                    <w:spacing w:line="-194" w:lineRule="auto"/>
                    <w:ind w:left="707"/>
                    <w:rPr>
                      <w:rFonts w:ascii="Arial"/>
                    </w:rPr>
                  </w:pPr>
                  <w:r>
                    <w:rPr>
                      <w:rFonts w:ascii="Arial"/>
                      <w:b/>
                      <w:position w:val="-10"/>
                    </w:rPr>
                    <w:t>2</w:t>
                    <w:tab/>
                  </w:r>
                  <w:r>
                    <w:rPr>
                      <w:rFonts w:ascii="Arial"/>
                    </w:rPr>
                    <w:t>c=</w:t>
                  </w:r>
                  <w:r>
                    <w:rPr>
                      <w:rFonts w:ascii="Arial"/>
                      <w:spacing w:val="-3"/>
                    </w:rPr>
                    <w:t> </w:t>
                  </w:r>
                  <w:r>
                    <w:rPr>
                      <w:rFonts w:ascii="Arial"/>
                    </w:rPr>
                    <w:t>0.5</w:t>
                    <w:tab/>
                    <w:t>c =</w:t>
                    <w:tab/>
                    <w:t>c</w:t>
                  </w:r>
                  <w:r>
                    <w:rPr>
                      <w:rFonts w:ascii="Arial"/>
                      <w:spacing w:val="-1"/>
                    </w:rPr>
                    <w:t> </w:t>
                  </w:r>
                  <w:r>
                    <w:rPr>
                      <w:rFonts w:ascii="Arial"/>
                    </w:rPr>
                    <w:t>=</w:t>
                    <w:tab/>
                    <w:t>c =</w:t>
                  </w:r>
                </w:p>
                <w:p>
                  <w:pPr>
                    <w:pStyle w:val="BodyText"/>
                    <w:tabs>
                      <w:tab w:pos="2116" w:val="left" w:leader="none"/>
                      <w:tab w:pos="4156" w:val="left" w:leader="none"/>
                      <w:tab w:pos="5178" w:val="left" w:leader="none"/>
                    </w:tabs>
                    <w:ind w:left="1096"/>
                    <w:rPr>
                      <w:rFonts w:ascii="Arial"/>
                    </w:rPr>
                  </w:pPr>
                  <w:r>
                    <w:rPr>
                      <w:rFonts w:ascii="Arial"/>
                    </w:rPr>
                    <w:t>c</w:t>
                  </w:r>
                  <w:r>
                    <w:rPr>
                      <w:rFonts w:ascii="Arial"/>
                      <w:spacing w:val="-1"/>
                    </w:rPr>
                    <w:t> </w:t>
                  </w:r>
                  <w:r>
                    <w:rPr>
                      <w:rFonts w:ascii="Arial"/>
                    </w:rPr>
                    <w:t>=</w:t>
                    <w:tab/>
                    <w:t>c =</w:t>
                    <w:tab/>
                    <w:t>c =</w:t>
                    <w:tab/>
                    <w:t>c</w:t>
                  </w:r>
                  <w:r>
                    <w:rPr>
                      <w:rFonts w:ascii="Arial"/>
                      <w:spacing w:val="-1"/>
                    </w:rPr>
                    <w:t> </w:t>
                  </w:r>
                  <w:r>
                    <w:rPr>
                      <w:rFonts w:ascii="Arial"/>
                    </w:rPr>
                    <w:t>=</w:t>
                  </w:r>
                </w:p>
                <w:p>
                  <w:pPr>
                    <w:pStyle w:val="BodyText"/>
                    <w:rPr>
                      <w:sz w:val="22"/>
                    </w:rPr>
                  </w:pPr>
                </w:p>
                <w:p>
                  <w:pPr>
                    <w:tabs>
                      <w:tab w:pos="707" w:val="left" w:leader="none"/>
                      <w:tab w:pos="1096" w:val="left" w:leader="none"/>
                      <w:tab w:pos="2116" w:val="left" w:leader="none"/>
                      <w:tab w:pos="3136" w:val="left" w:leader="none"/>
                      <w:tab w:pos="5178" w:val="left" w:leader="none"/>
                    </w:tabs>
                    <w:spacing w:line="97" w:lineRule="exact" w:before="159"/>
                    <w:ind w:left="0" w:right="0" w:firstLine="0"/>
                    <w:jc w:val="left"/>
                    <w:rPr>
                      <w:rFonts w:ascii="Arial"/>
                      <w:sz w:val="20"/>
                    </w:rPr>
                  </w:pPr>
                  <w:r>
                    <w:rPr>
                      <w:rFonts w:ascii="Arial"/>
                      <w:b/>
                      <w:position w:val="-20"/>
                      <w:sz w:val="28"/>
                    </w:rPr>
                    <w:t>d</w:t>
                    <w:tab/>
                  </w:r>
                  <w:r>
                    <w:rPr>
                      <w:rFonts w:ascii="Arial"/>
                      <w:b/>
                      <w:position w:val="-10"/>
                      <w:sz w:val="20"/>
                    </w:rPr>
                    <w:t>4</w:t>
                    <w:tab/>
                  </w:r>
                  <w:r>
                    <w:rPr>
                      <w:rFonts w:ascii="Arial"/>
                      <w:sz w:val="20"/>
                    </w:rPr>
                    <w:t>c</w:t>
                  </w:r>
                  <w:r>
                    <w:rPr>
                      <w:rFonts w:ascii="Arial"/>
                      <w:spacing w:val="-1"/>
                      <w:sz w:val="20"/>
                    </w:rPr>
                    <w:t> </w:t>
                  </w:r>
                  <w:r>
                    <w:rPr>
                      <w:rFonts w:ascii="Arial"/>
                      <w:sz w:val="20"/>
                    </w:rPr>
                    <w:t>=</w:t>
                    <w:tab/>
                    <w:t>c =</w:t>
                    <w:tab/>
                    <w:t>c =</w:t>
                    <w:tab/>
                    <w:t>c</w:t>
                  </w:r>
                  <w:r>
                    <w:rPr>
                      <w:rFonts w:ascii="Arial"/>
                      <w:spacing w:val="-1"/>
                      <w:sz w:val="20"/>
                    </w:rPr>
                    <w:t> </w:t>
                  </w:r>
                  <w:r>
                    <w:rPr>
                      <w:rFonts w:ascii="Arial"/>
                      <w:sz w:val="20"/>
                    </w:rPr>
                    <w:t>=</w:t>
                  </w:r>
                </w:p>
                <w:p>
                  <w:pPr>
                    <w:spacing w:line="153" w:lineRule="exact" w:before="0"/>
                    <w:ind w:left="0" w:right="0" w:firstLine="0"/>
                    <w:jc w:val="left"/>
                    <w:rPr>
                      <w:rFonts w:ascii="Arial" w:hAnsi="Arial"/>
                      <w:b/>
                      <w:sz w:val="28"/>
                    </w:rPr>
                  </w:pPr>
                  <w:r>
                    <w:rPr>
                      <w:rFonts w:ascii="Arial" w:hAnsi="Arial"/>
                      <w:b/>
                      <w:w w:val="100"/>
                      <w:sz w:val="28"/>
                    </w:rPr>
                    <w:t>’</w:t>
                  </w:r>
                </w:p>
                <w:p>
                  <w:pPr>
                    <w:spacing w:line="163" w:lineRule="auto" w:before="46"/>
                    <w:ind w:left="0" w:right="5327" w:firstLine="0"/>
                    <w:jc w:val="left"/>
                    <w:rPr>
                      <w:rFonts w:ascii="Arial"/>
                      <w:b/>
                      <w:sz w:val="28"/>
                    </w:rPr>
                  </w:pPr>
                  <w:r>
                    <w:rPr>
                      <w:rFonts w:ascii="Arial"/>
                      <w:b/>
                      <w:sz w:val="28"/>
                    </w:rPr>
                    <w:t>l O</w:t>
                  </w:r>
                </w:p>
                <w:p>
                  <w:pPr>
                    <w:tabs>
                      <w:tab w:pos="736" w:val="left" w:leader="none"/>
                      <w:tab w:pos="1096" w:val="left" w:leader="none"/>
                      <w:tab w:pos="2116" w:val="left" w:leader="none"/>
                      <w:tab w:pos="3136" w:val="left" w:leader="none"/>
                      <w:tab w:pos="4156" w:val="left" w:leader="none"/>
                    </w:tabs>
                    <w:spacing w:line="74" w:lineRule="auto" w:before="0"/>
                    <w:ind w:left="0" w:right="0" w:firstLine="0"/>
                    <w:jc w:val="left"/>
                    <w:rPr>
                      <w:rFonts w:ascii="Arial" w:hAnsi="Arial"/>
                      <w:sz w:val="20"/>
                    </w:rPr>
                  </w:pPr>
                  <w:r>
                    <w:rPr>
                      <w:rFonts w:ascii="Arial" w:hAnsi="Arial"/>
                      <w:b/>
                      <w:position w:val="9"/>
                      <w:sz w:val="28"/>
                    </w:rPr>
                    <w:t>‘</w:t>
                    <w:tab/>
                  </w:r>
                  <w:r>
                    <w:rPr>
                      <w:rFonts w:ascii="Arial" w:hAnsi="Arial"/>
                      <w:b/>
                      <w:spacing w:val="-28"/>
                      <w:position w:val="1"/>
                      <w:sz w:val="20"/>
                    </w:rPr>
                    <w:t>.</w:t>
                  </w:r>
                  <w:r>
                    <w:rPr>
                      <w:rFonts w:ascii="Arial" w:hAnsi="Arial"/>
                      <w:b/>
                      <w:spacing w:val="-28"/>
                      <w:position w:val="-6"/>
                      <w:sz w:val="20"/>
                    </w:rPr>
                    <w:t>.</w:t>
                    <w:tab/>
                  </w:r>
                  <w:r>
                    <w:rPr>
                      <w:rFonts w:ascii="Arial" w:hAnsi="Arial"/>
                      <w:sz w:val="20"/>
                    </w:rPr>
                    <w:t>c</w:t>
                  </w:r>
                  <w:r>
                    <w:rPr>
                      <w:rFonts w:ascii="Arial" w:hAnsi="Arial"/>
                      <w:spacing w:val="-1"/>
                      <w:sz w:val="20"/>
                    </w:rPr>
                    <w:t> </w:t>
                  </w:r>
                  <w:r>
                    <w:rPr>
                      <w:rFonts w:ascii="Arial" w:hAnsi="Arial"/>
                      <w:sz w:val="20"/>
                    </w:rPr>
                    <w:t>=</w:t>
                    <w:tab/>
                    <w:t>c =</w:t>
                    <w:tab/>
                    <w:t>c =</w:t>
                    <w:tab/>
                    <w:t>c =</w:t>
                  </w:r>
                </w:p>
                <w:p>
                  <w:pPr>
                    <w:spacing w:line="153" w:lineRule="exact" w:before="0"/>
                    <w:ind w:left="736" w:right="0" w:firstLine="0"/>
                    <w:jc w:val="left"/>
                    <w:rPr>
                      <w:rFonts w:ascii="Arial"/>
                      <w:b/>
                      <w:sz w:val="20"/>
                    </w:rPr>
                  </w:pPr>
                  <w:r>
                    <w:rPr>
                      <w:rFonts w:ascii="Arial"/>
                      <w:b/>
                      <w:w w:val="99"/>
                      <w:sz w:val="20"/>
                    </w:rPr>
                    <w:t>.</w:t>
                  </w:r>
                </w:p>
              </w:txbxContent>
            </v:textbox>
            <w10:wrap type="none"/>
          </v:shape>
        </w:pict>
      </w:r>
      <w:r>
        <w:rPr/>
        <w:pict>
          <v:shape style="position:absolute;margin-left:128.210556pt;margin-top:106.93589pt;width:281.150pt;height:196.5pt;mso-position-horizontal-relative:page;mso-position-vertical-relative:paragraph;z-index:-2431048" type="#_x0000_t202" filled="false" stroked="false">
            <v:textbox inset="0,0,0,0">
              <w:txbxContent>
                <w:p>
                  <w:pPr>
                    <w:spacing w:line="314" w:lineRule="exact" w:before="0"/>
                    <w:ind w:left="1341" w:right="0" w:firstLine="0"/>
                    <w:jc w:val="center"/>
                    <w:rPr>
                      <w:rFonts w:ascii="Arial" w:hAnsi="Arial"/>
                      <w:b/>
                      <w:sz w:val="28"/>
                    </w:rPr>
                  </w:pPr>
                  <w:r>
                    <w:rPr>
                      <w:rFonts w:ascii="Arial" w:hAnsi="Arial"/>
                      <w:b/>
                      <w:sz w:val="28"/>
                    </w:rPr>
                    <w:t>‘New’ Management</w:t>
                  </w:r>
                </w:p>
                <w:p>
                  <w:pPr>
                    <w:tabs>
                      <w:tab w:pos="2406" w:val="left" w:leader="none"/>
                      <w:tab w:pos="3426" w:val="left" w:leader="none"/>
                      <w:tab w:pos="4446" w:val="left" w:leader="none"/>
                      <w:tab w:pos="5423" w:val="left" w:leader="none"/>
                    </w:tabs>
                    <w:spacing w:before="127"/>
                    <w:ind w:left="1387" w:right="0" w:firstLine="0"/>
                    <w:jc w:val="center"/>
                    <w:rPr>
                      <w:rFonts w:ascii="Arial" w:hAnsi="Arial"/>
                      <w:b/>
                      <w:sz w:val="20"/>
                    </w:rPr>
                  </w:pPr>
                  <w:r>
                    <w:rPr>
                      <w:rFonts w:ascii="Arial" w:hAnsi="Arial"/>
                      <w:b/>
                      <w:sz w:val="20"/>
                    </w:rPr>
                    <w:t>1</w:t>
                    <w:tab/>
                    <w:t>2</w:t>
                    <w:tab/>
                    <w:t>3</w:t>
                    <w:tab/>
                    <w:t>4</w:t>
                    <w:tab/>
                  </w:r>
                  <w:r>
                    <w:rPr>
                      <w:rFonts w:ascii="Arial" w:hAnsi="Arial"/>
                      <w:b/>
                      <w:spacing w:val="-20"/>
                      <w:sz w:val="20"/>
                    </w:rPr>
                    <w:t>…</w:t>
                  </w:r>
                </w:p>
                <w:p>
                  <w:pPr>
                    <w:pStyle w:val="BodyText"/>
                    <w:tabs>
                      <w:tab w:pos="2116" w:val="left" w:leader="none"/>
                      <w:tab w:pos="3136" w:val="left" w:leader="none"/>
                      <w:tab w:pos="4156" w:val="left" w:leader="none"/>
                      <w:tab w:pos="5178" w:val="left" w:leader="none"/>
                    </w:tabs>
                    <w:spacing w:line="146" w:lineRule="auto" w:before="182"/>
                    <w:ind w:left="707"/>
                    <w:rPr>
                      <w:rFonts w:ascii="Arial"/>
                    </w:rPr>
                  </w:pPr>
                  <w:r>
                    <w:rPr>
                      <w:rFonts w:ascii="Arial"/>
                      <w:b/>
                      <w:position w:val="-13"/>
                    </w:rPr>
                    <w:t>1</w:t>
                    <w:tab/>
                  </w:r>
                  <w:r>
                    <w:rPr>
                      <w:rFonts w:ascii="Arial"/>
                    </w:rPr>
                    <w:t>c=</w:t>
                  </w:r>
                  <w:r>
                    <w:rPr>
                      <w:rFonts w:ascii="Arial"/>
                      <w:spacing w:val="-3"/>
                    </w:rPr>
                    <w:t> </w:t>
                  </w:r>
                  <w:r>
                    <w:rPr>
                      <w:rFonts w:ascii="Arial"/>
                    </w:rPr>
                    <w:t>-0.5</w:t>
                    <w:tab/>
                    <w:t>c</w:t>
                  </w:r>
                  <w:r>
                    <w:rPr>
                      <w:rFonts w:ascii="Arial"/>
                      <w:spacing w:val="-1"/>
                    </w:rPr>
                    <w:t> </w:t>
                  </w:r>
                  <w:r>
                    <w:rPr>
                      <w:rFonts w:ascii="Arial"/>
                    </w:rPr>
                    <w:t>=</w:t>
                    <w:tab/>
                    <w:t>c =</w:t>
                    <w:tab/>
                    <w:t>c</w:t>
                  </w:r>
                  <w:r>
                    <w:rPr>
                      <w:rFonts w:ascii="Arial"/>
                      <w:spacing w:val="-1"/>
                    </w:rPr>
                    <w:t> </w:t>
                  </w:r>
                  <w:r>
                    <w:rPr>
                      <w:rFonts w:ascii="Arial"/>
                    </w:rPr>
                    <w:t>=</w:t>
                  </w:r>
                </w:p>
                <w:p>
                  <w:pPr>
                    <w:spacing w:line="252" w:lineRule="exact" w:before="0"/>
                    <w:ind w:left="0" w:right="0" w:firstLine="0"/>
                    <w:jc w:val="left"/>
                    <w:rPr>
                      <w:rFonts w:ascii="Arial"/>
                      <w:b/>
                      <w:sz w:val="28"/>
                    </w:rPr>
                  </w:pPr>
                  <w:r>
                    <w:rPr>
                      <w:rFonts w:ascii="Arial"/>
                      <w:b/>
                      <w:w w:val="100"/>
                      <w:sz w:val="28"/>
                    </w:rPr>
                    <w:t>t</w:t>
                  </w:r>
                </w:p>
                <w:p>
                  <w:pPr>
                    <w:pStyle w:val="BodyText"/>
                    <w:rPr>
                      <w:sz w:val="8"/>
                    </w:rPr>
                  </w:pPr>
                </w:p>
                <w:p>
                  <w:pPr>
                    <w:tabs>
                      <w:tab w:pos="707" w:val="left" w:leader="none"/>
                      <w:tab w:pos="1096" w:val="left" w:leader="none"/>
                      <w:tab w:pos="3136" w:val="left" w:leader="none"/>
                      <w:tab w:pos="4156" w:val="left" w:leader="none"/>
                      <w:tab w:pos="5178" w:val="left" w:leader="none"/>
                    </w:tabs>
                    <w:spacing w:line="163" w:lineRule="auto" w:before="57"/>
                    <w:ind w:left="0" w:right="0" w:firstLine="0"/>
                    <w:jc w:val="left"/>
                    <w:rPr>
                      <w:rFonts w:ascii="Arial"/>
                      <w:sz w:val="20"/>
                    </w:rPr>
                  </w:pPr>
                  <w:r>
                    <w:rPr>
                      <w:rFonts w:ascii="Arial"/>
                      <w:b/>
                      <w:position w:val="-19"/>
                      <w:sz w:val="28"/>
                    </w:rPr>
                    <w:t>men</w:t>
                    <w:tab/>
                  </w:r>
                  <w:r>
                    <w:rPr>
                      <w:rFonts w:ascii="Arial"/>
                      <w:b/>
                      <w:position w:val="-10"/>
                      <w:sz w:val="20"/>
                    </w:rPr>
                    <w:t>2</w:t>
                    <w:tab/>
                  </w:r>
                  <w:r>
                    <w:rPr>
                      <w:rFonts w:ascii="Arial"/>
                      <w:sz w:val="20"/>
                    </w:rPr>
                    <w:t>c=</w:t>
                  </w:r>
                  <w:r>
                    <w:rPr>
                      <w:rFonts w:ascii="Arial"/>
                      <w:spacing w:val="-3"/>
                      <w:sz w:val="20"/>
                    </w:rPr>
                    <w:t> </w:t>
                  </w:r>
                  <w:r>
                    <w:rPr>
                      <w:rFonts w:ascii="Arial"/>
                      <w:sz w:val="20"/>
                    </w:rPr>
                    <w:t>0.5</w:t>
                    <w:tab/>
                    <w:t>c =</w:t>
                    <w:tab/>
                    <w:t>c =</w:t>
                    <w:tab/>
                    <w:t>c</w:t>
                  </w:r>
                  <w:r>
                    <w:rPr>
                      <w:rFonts w:ascii="Arial"/>
                      <w:spacing w:val="-1"/>
                      <w:sz w:val="20"/>
                    </w:rPr>
                    <w:t> </w:t>
                  </w:r>
                  <w:r>
                    <w:rPr>
                      <w:rFonts w:ascii="Arial"/>
                      <w:sz w:val="20"/>
                    </w:rPr>
                    <w:t>=</w:t>
                  </w:r>
                </w:p>
                <w:p>
                  <w:pPr>
                    <w:spacing w:line="127" w:lineRule="auto" w:before="42"/>
                    <w:ind w:left="0" w:right="5327" w:firstLine="0"/>
                    <w:jc w:val="left"/>
                    <w:rPr>
                      <w:rFonts w:ascii="Arial"/>
                      <w:b/>
                      <w:sz w:val="28"/>
                    </w:rPr>
                  </w:pPr>
                  <w:r>
                    <w:rPr>
                      <w:rFonts w:ascii="Arial"/>
                      <w:b/>
                      <w:sz w:val="28"/>
                    </w:rPr>
                    <w:t>e g</w:t>
                  </w:r>
                </w:p>
                <w:p>
                  <w:pPr>
                    <w:pStyle w:val="BodyText"/>
                    <w:tabs>
                      <w:tab w:pos="1096" w:val="left" w:leader="none"/>
                      <w:tab w:pos="2116" w:val="left" w:leader="none"/>
                      <w:tab w:pos="4156" w:val="left" w:leader="none"/>
                      <w:tab w:pos="5178" w:val="left" w:leader="none"/>
                    </w:tabs>
                    <w:spacing w:line="108" w:lineRule="exact"/>
                    <w:rPr>
                      <w:rFonts w:ascii="Arial"/>
                    </w:rPr>
                  </w:pPr>
                  <w:r>
                    <w:rPr>
                      <w:rFonts w:ascii="Arial"/>
                      <w:b/>
                      <w:sz w:val="28"/>
                    </w:rPr>
                    <w:t>a</w:t>
                    <w:tab/>
                  </w:r>
                  <w:r>
                    <w:rPr>
                      <w:rFonts w:ascii="Arial"/>
                      <w:position w:val="1"/>
                    </w:rPr>
                    <w:t>c</w:t>
                  </w:r>
                  <w:r>
                    <w:rPr>
                      <w:rFonts w:ascii="Arial"/>
                      <w:spacing w:val="-1"/>
                      <w:position w:val="1"/>
                    </w:rPr>
                    <w:t> </w:t>
                  </w:r>
                  <w:r>
                    <w:rPr>
                      <w:rFonts w:ascii="Arial"/>
                      <w:position w:val="1"/>
                    </w:rPr>
                    <w:t>=</w:t>
                    <w:tab/>
                    <w:t>c =</w:t>
                    <w:tab/>
                    <w:t>c =</w:t>
                    <w:tab/>
                    <w:t>c =</w:t>
                  </w:r>
                </w:p>
                <w:p>
                  <w:pPr>
                    <w:tabs>
                      <w:tab w:pos="707" w:val="left" w:leader="none"/>
                    </w:tabs>
                    <w:spacing w:line="153" w:lineRule="auto" w:before="0"/>
                    <w:ind w:left="0" w:right="4802" w:firstLine="0"/>
                    <w:jc w:val="left"/>
                    <w:rPr>
                      <w:rFonts w:ascii="Arial"/>
                      <w:b/>
                      <w:sz w:val="28"/>
                    </w:rPr>
                  </w:pPr>
                  <w:r>
                    <w:rPr>
                      <w:rFonts w:ascii="Arial"/>
                      <w:b/>
                      <w:position w:val="-5"/>
                      <w:sz w:val="28"/>
                    </w:rPr>
                    <w:t>n</w:t>
                    <w:tab/>
                  </w:r>
                  <w:r>
                    <w:rPr>
                      <w:rFonts w:ascii="Arial"/>
                      <w:b/>
                      <w:spacing w:val="-17"/>
                      <w:sz w:val="20"/>
                    </w:rPr>
                    <w:t>3 </w:t>
                  </w:r>
                  <w:r>
                    <w:rPr>
                      <w:rFonts w:ascii="Arial"/>
                      <w:b/>
                      <w:sz w:val="28"/>
                    </w:rPr>
                    <w:t>a      M</w:t>
                  </w:r>
                </w:p>
                <w:p>
                  <w:pPr>
                    <w:tabs>
                      <w:tab w:pos="707" w:val="left" w:leader="none"/>
                      <w:tab w:pos="1096" w:val="left" w:leader="none"/>
                      <w:tab w:pos="2116" w:val="left" w:leader="none"/>
                      <w:tab w:pos="3136" w:val="left" w:leader="none"/>
                      <w:tab w:pos="5178" w:val="left" w:leader="none"/>
                    </w:tabs>
                    <w:spacing w:line="69" w:lineRule="auto" w:before="0"/>
                    <w:ind w:left="0" w:right="0" w:firstLine="0"/>
                    <w:jc w:val="left"/>
                    <w:rPr>
                      <w:rFonts w:ascii="Arial" w:hAnsi="Arial"/>
                      <w:sz w:val="20"/>
                    </w:rPr>
                  </w:pPr>
                  <w:r>
                    <w:rPr>
                      <w:rFonts w:ascii="Arial" w:hAnsi="Arial"/>
                      <w:b/>
                      <w:position w:val="-3"/>
                      <w:sz w:val="28"/>
                    </w:rPr>
                    <w:t>’</w:t>
                    <w:tab/>
                  </w:r>
                  <w:r>
                    <w:rPr>
                      <w:rFonts w:ascii="Arial" w:hAnsi="Arial"/>
                      <w:b/>
                      <w:position w:val="-10"/>
                      <w:sz w:val="20"/>
                    </w:rPr>
                    <w:t>4</w:t>
                    <w:tab/>
                  </w:r>
                  <w:r>
                    <w:rPr>
                      <w:rFonts w:ascii="Arial" w:hAnsi="Arial"/>
                      <w:sz w:val="20"/>
                    </w:rPr>
                    <w:t>c</w:t>
                  </w:r>
                  <w:r>
                    <w:rPr>
                      <w:rFonts w:ascii="Arial" w:hAnsi="Arial"/>
                      <w:spacing w:val="-1"/>
                      <w:sz w:val="20"/>
                    </w:rPr>
                    <w:t> </w:t>
                  </w:r>
                  <w:r>
                    <w:rPr>
                      <w:rFonts w:ascii="Arial" w:hAnsi="Arial"/>
                      <w:sz w:val="20"/>
                    </w:rPr>
                    <w:t>=</w:t>
                    <w:tab/>
                    <w:t>c =</w:t>
                    <w:tab/>
                    <w:t>c =</w:t>
                    <w:tab/>
                    <w:t>c =</w:t>
                  </w:r>
                </w:p>
                <w:p>
                  <w:pPr>
                    <w:spacing w:line="240" w:lineRule="exact" w:before="249"/>
                    <w:ind w:left="0" w:right="0" w:firstLine="0"/>
                    <w:jc w:val="left"/>
                    <w:rPr>
                      <w:rFonts w:ascii="Arial" w:hAnsi="Arial"/>
                      <w:b/>
                      <w:sz w:val="28"/>
                    </w:rPr>
                  </w:pPr>
                  <w:r>
                    <w:rPr>
                      <w:rFonts w:ascii="Arial" w:hAnsi="Arial"/>
                      <w:b/>
                      <w:sz w:val="28"/>
                    </w:rPr>
                    <w:t>‘Old</w:t>
                  </w:r>
                </w:p>
                <w:p>
                  <w:pPr>
                    <w:pStyle w:val="BodyText"/>
                    <w:tabs>
                      <w:tab w:pos="1096" w:val="left" w:leader="none"/>
                      <w:tab w:pos="2116" w:val="left" w:leader="none"/>
                      <w:tab w:pos="3136" w:val="left" w:leader="none"/>
                      <w:tab w:pos="4156" w:val="left" w:leader="none"/>
                    </w:tabs>
                    <w:spacing w:line="74" w:lineRule="auto"/>
                    <w:ind w:left="736"/>
                    <w:rPr>
                      <w:rFonts w:ascii="Arial"/>
                    </w:rPr>
                  </w:pPr>
                  <w:r>
                    <w:rPr>
                      <w:rFonts w:ascii="Arial"/>
                      <w:b/>
                      <w:spacing w:val="-28"/>
                      <w:position w:val="1"/>
                    </w:rPr>
                    <w:t>.</w:t>
                  </w:r>
                  <w:r>
                    <w:rPr>
                      <w:rFonts w:ascii="Arial"/>
                      <w:b/>
                      <w:spacing w:val="-28"/>
                      <w:position w:val="-6"/>
                    </w:rPr>
                    <w:t>.</w:t>
                    <w:tab/>
                  </w:r>
                  <w:r>
                    <w:rPr>
                      <w:rFonts w:ascii="Arial"/>
                    </w:rPr>
                    <w:t>c</w:t>
                  </w:r>
                  <w:r>
                    <w:rPr>
                      <w:rFonts w:ascii="Arial"/>
                      <w:spacing w:val="-1"/>
                    </w:rPr>
                    <w:t> </w:t>
                  </w:r>
                  <w:r>
                    <w:rPr>
                      <w:rFonts w:ascii="Arial"/>
                    </w:rPr>
                    <w:t>=</w:t>
                    <w:tab/>
                    <w:t>c =</w:t>
                    <w:tab/>
                    <w:t>c =</w:t>
                    <w:tab/>
                    <w:t>c =</w:t>
                  </w:r>
                </w:p>
                <w:p>
                  <w:pPr>
                    <w:spacing w:line="153" w:lineRule="exact" w:before="0"/>
                    <w:ind w:left="736" w:right="0" w:firstLine="0"/>
                    <w:jc w:val="left"/>
                    <w:rPr>
                      <w:rFonts w:ascii="Arial"/>
                      <w:b/>
                      <w:sz w:val="20"/>
                    </w:rPr>
                  </w:pPr>
                  <w:r>
                    <w:rPr>
                      <w:rFonts w:ascii="Arial"/>
                      <w:b/>
                      <w:w w:val="99"/>
                      <w:sz w:val="20"/>
                    </w:rPr>
                    <w:t>.</w:t>
                  </w:r>
                </w:p>
              </w:txbxContent>
            </v:textbox>
            <w10:wrap type="none"/>
          </v:shape>
        </w:pict>
      </w:r>
      <w:r>
        <w:rPr/>
        <w:pict>
          <v:shape style="position:absolute;margin-left:116.210564pt;margin-top:94.93589pt;width:281.150pt;height:196.5pt;mso-position-horizontal-relative:page;mso-position-vertical-relative:paragraph;z-index:-2431024" type="#_x0000_t202" filled="false" stroked="false">
            <v:textbox inset="0,0,0,0">
              <w:txbxContent>
                <w:p>
                  <w:pPr>
                    <w:spacing w:line="314" w:lineRule="exact" w:before="0"/>
                    <w:ind w:left="1341" w:right="0" w:firstLine="0"/>
                    <w:jc w:val="center"/>
                    <w:rPr>
                      <w:rFonts w:ascii="Arial" w:hAnsi="Arial"/>
                      <w:b/>
                      <w:sz w:val="28"/>
                    </w:rPr>
                  </w:pPr>
                  <w:r>
                    <w:rPr>
                      <w:rFonts w:ascii="Arial" w:hAnsi="Arial"/>
                      <w:b/>
                      <w:sz w:val="28"/>
                    </w:rPr>
                    <w:t>‘New’ Management</w:t>
                  </w:r>
                </w:p>
                <w:p>
                  <w:pPr>
                    <w:tabs>
                      <w:tab w:pos="2406" w:val="left" w:leader="none"/>
                      <w:tab w:pos="3426" w:val="left" w:leader="none"/>
                      <w:tab w:pos="4446" w:val="left" w:leader="none"/>
                      <w:tab w:pos="5423" w:val="left" w:leader="none"/>
                    </w:tabs>
                    <w:spacing w:before="127"/>
                    <w:ind w:left="1387" w:right="0" w:firstLine="0"/>
                    <w:jc w:val="center"/>
                    <w:rPr>
                      <w:rFonts w:ascii="Arial" w:hAnsi="Arial"/>
                      <w:b/>
                      <w:sz w:val="20"/>
                    </w:rPr>
                  </w:pPr>
                  <w:r>
                    <w:rPr>
                      <w:rFonts w:ascii="Arial" w:hAnsi="Arial"/>
                      <w:b/>
                      <w:sz w:val="20"/>
                    </w:rPr>
                    <w:t>1</w:t>
                    <w:tab/>
                    <w:t>2</w:t>
                    <w:tab/>
                    <w:t>3</w:t>
                    <w:tab/>
                    <w:t>4</w:t>
                    <w:tab/>
                  </w:r>
                  <w:r>
                    <w:rPr>
                      <w:rFonts w:ascii="Arial" w:hAnsi="Arial"/>
                      <w:b/>
                      <w:spacing w:val="-20"/>
                      <w:sz w:val="20"/>
                    </w:rPr>
                    <w:t>…</w:t>
                  </w:r>
                </w:p>
                <w:p>
                  <w:pPr>
                    <w:pStyle w:val="BodyText"/>
                    <w:tabs>
                      <w:tab w:pos="2116" w:val="left" w:leader="none"/>
                      <w:tab w:pos="3136" w:val="left" w:leader="none"/>
                      <w:tab w:pos="4156" w:val="left" w:leader="none"/>
                      <w:tab w:pos="5178" w:val="left" w:leader="none"/>
                    </w:tabs>
                    <w:spacing w:before="164"/>
                    <w:ind w:left="707"/>
                    <w:rPr>
                      <w:rFonts w:ascii="Arial"/>
                    </w:rPr>
                  </w:pPr>
                  <w:r>
                    <w:rPr>
                      <w:rFonts w:ascii="Arial"/>
                      <w:b/>
                      <w:position w:val="-13"/>
                    </w:rPr>
                    <w:t>1</w:t>
                    <w:tab/>
                  </w:r>
                  <w:r>
                    <w:rPr>
                      <w:rFonts w:ascii="Arial"/>
                    </w:rPr>
                    <w:t>c=</w:t>
                  </w:r>
                  <w:r>
                    <w:rPr>
                      <w:rFonts w:ascii="Arial"/>
                      <w:spacing w:val="-3"/>
                    </w:rPr>
                    <w:t> </w:t>
                  </w:r>
                  <w:r>
                    <w:rPr>
                      <w:rFonts w:ascii="Arial"/>
                    </w:rPr>
                    <w:t>-0.5</w:t>
                    <w:tab/>
                    <w:t>c</w:t>
                  </w:r>
                  <w:r>
                    <w:rPr>
                      <w:rFonts w:ascii="Arial"/>
                      <w:spacing w:val="-1"/>
                    </w:rPr>
                    <w:t> </w:t>
                  </w:r>
                  <w:r>
                    <w:rPr>
                      <w:rFonts w:ascii="Arial"/>
                    </w:rPr>
                    <w:t>=</w:t>
                    <w:tab/>
                    <w:t>c =</w:t>
                    <w:tab/>
                    <w:t>c =</w:t>
                  </w:r>
                </w:p>
                <w:p>
                  <w:pPr>
                    <w:pStyle w:val="BodyText"/>
                    <w:spacing w:before="9"/>
                    <w:rPr>
                      <w:sz w:val="41"/>
                    </w:rPr>
                  </w:pPr>
                </w:p>
                <w:p>
                  <w:pPr>
                    <w:tabs>
                      <w:tab w:pos="707" w:val="left" w:leader="none"/>
                    </w:tabs>
                    <w:spacing w:line="622" w:lineRule="exact" w:before="0"/>
                    <w:ind w:left="0" w:right="0" w:firstLine="0"/>
                    <w:jc w:val="left"/>
                    <w:rPr>
                      <w:rFonts w:ascii="Arial"/>
                      <w:b/>
                      <w:sz w:val="20"/>
                    </w:rPr>
                  </w:pPr>
                  <w:r>
                    <w:rPr>
                      <w:rFonts w:ascii="Arial"/>
                      <w:b/>
                      <w:spacing w:val="-1"/>
                      <w:sz w:val="28"/>
                    </w:rPr>
                    <w:t>Management</w:t>
                    <w:tab/>
                  </w:r>
                  <w:r>
                    <w:rPr>
                      <w:rFonts w:ascii="Arial"/>
                      <w:b/>
                      <w:position w:val="45"/>
                      <w:sz w:val="20"/>
                    </w:rPr>
                    <w:t>3</w:t>
                  </w:r>
                </w:p>
                <w:p>
                  <w:pPr>
                    <w:pStyle w:val="BodyText"/>
                    <w:tabs>
                      <w:tab w:pos="1096" w:val="left" w:leader="none"/>
                      <w:tab w:pos="3136" w:val="left" w:leader="none"/>
                      <w:tab w:pos="4156" w:val="left" w:leader="none"/>
                      <w:tab w:pos="5178" w:val="left" w:leader="none"/>
                    </w:tabs>
                    <w:spacing w:line="-194" w:lineRule="auto"/>
                    <w:ind w:left="707"/>
                    <w:rPr>
                      <w:rFonts w:ascii="Arial"/>
                    </w:rPr>
                  </w:pPr>
                  <w:r>
                    <w:rPr>
                      <w:rFonts w:ascii="Arial"/>
                      <w:b/>
                      <w:position w:val="-10"/>
                    </w:rPr>
                    <w:t>2</w:t>
                    <w:tab/>
                  </w:r>
                  <w:r>
                    <w:rPr>
                      <w:rFonts w:ascii="Arial"/>
                    </w:rPr>
                    <w:t>c=</w:t>
                  </w:r>
                  <w:r>
                    <w:rPr>
                      <w:rFonts w:ascii="Arial"/>
                      <w:spacing w:val="-3"/>
                    </w:rPr>
                    <w:t> </w:t>
                  </w:r>
                  <w:r>
                    <w:rPr>
                      <w:rFonts w:ascii="Arial"/>
                    </w:rPr>
                    <w:t>0.5</w:t>
                    <w:tab/>
                    <w:t>c =</w:t>
                    <w:tab/>
                    <w:t>c</w:t>
                  </w:r>
                  <w:r>
                    <w:rPr>
                      <w:rFonts w:ascii="Arial"/>
                      <w:spacing w:val="-1"/>
                    </w:rPr>
                    <w:t> </w:t>
                  </w:r>
                  <w:r>
                    <w:rPr>
                      <w:rFonts w:ascii="Arial"/>
                    </w:rPr>
                    <w:t>=</w:t>
                    <w:tab/>
                    <w:t>c =</w:t>
                  </w:r>
                </w:p>
                <w:p>
                  <w:pPr>
                    <w:pStyle w:val="BodyText"/>
                    <w:tabs>
                      <w:tab w:pos="2116" w:val="left" w:leader="none"/>
                      <w:tab w:pos="4156" w:val="left" w:leader="none"/>
                      <w:tab w:pos="5178" w:val="left" w:leader="none"/>
                    </w:tabs>
                    <w:ind w:left="1096"/>
                    <w:rPr>
                      <w:rFonts w:ascii="Arial"/>
                    </w:rPr>
                  </w:pPr>
                  <w:r>
                    <w:rPr>
                      <w:rFonts w:ascii="Arial"/>
                    </w:rPr>
                    <w:t>c</w:t>
                  </w:r>
                  <w:r>
                    <w:rPr>
                      <w:rFonts w:ascii="Arial"/>
                      <w:spacing w:val="-1"/>
                    </w:rPr>
                    <w:t> </w:t>
                  </w:r>
                  <w:r>
                    <w:rPr>
                      <w:rFonts w:ascii="Arial"/>
                    </w:rPr>
                    <w:t>=</w:t>
                    <w:tab/>
                    <w:t>c =</w:t>
                    <w:tab/>
                    <w:t>c =</w:t>
                    <w:tab/>
                    <w:t>c</w:t>
                  </w:r>
                  <w:r>
                    <w:rPr>
                      <w:rFonts w:ascii="Arial"/>
                      <w:spacing w:val="-1"/>
                    </w:rPr>
                    <w:t> </w:t>
                  </w:r>
                  <w:r>
                    <w:rPr>
                      <w:rFonts w:ascii="Arial"/>
                    </w:rPr>
                    <w:t>=</w:t>
                  </w:r>
                </w:p>
                <w:p>
                  <w:pPr>
                    <w:pStyle w:val="BodyText"/>
                    <w:rPr>
                      <w:sz w:val="22"/>
                    </w:rPr>
                  </w:pPr>
                </w:p>
                <w:p>
                  <w:pPr>
                    <w:tabs>
                      <w:tab w:pos="707" w:val="left" w:leader="none"/>
                      <w:tab w:pos="1096" w:val="left" w:leader="none"/>
                      <w:tab w:pos="2116" w:val="left" w:leader="none"/>
                      <w:tab w:pos="3136" w:val="left" w:leader="none"/>
                      <w:tab w:pos="5178" w:val="left" w:leader="none"/>
                    </w:tabs>
                    <w:spacing w:line="97" w:lineRule="exact" w:before="159"/>
                    <w:ind w:left="0" w:right="0" w:firstLine="0"/>
                    <w:jc w:val="left"/>
                    <w:rPr>
                      <w:rFonts w:ascii="Arial"/>
                      <w:sz w:val="20"/>
                    </w:rPr>
                  </w:pPr>
                  <w:r>
                    <w:rPr>
                      <w:rFonts w:ascii="Arial"/>
                      <w:b/>
                      <w:position w:val="-20"/>
                      <w:sz w:val="28"/>
                    </w:rPr>
                    <w:t>d</w:t>
                    <w:tab/>
                  </w:r>
                  <w:r>
                    <w:rPr>
                      <w:rFonts w:ascii="Arial"/>
                      <w:b/>
                      <w:position w:val="-10"/>
                      <w:sz w:val="20"/>
                    </w:rPr>
                    <w:t>4</w:t>
                    <w:tab/>
                  </w:r>
                  <w:r>
                    <w:rPr>
                      <w:rFonts w:ascii="Arial"/>
                      <w:sz w:val="20"/>
                    </w:rPr>
                    <w:t>c</w:t>
                  </w:r>
                  <w:r>
                    <w:rPr>
                      <w:rFonts w:ascii="Arial"/>
                      <w:spacing w:val="-1"/>
                      <w:sz w:val="20"/>
                    </w:rPr>
                    <w:t> </w:t>
                  </w:r>
                  <w:r>
                    <w:rPr>
                      <w:rFonts w:ascii="Arial"/>
                      <w:sz w:val="20"/>
                    </w:rPr>
                    <w:t>=</w:t>
                    <w:tab/>
                    <w:t>c =</w:t>
                    <w:tab/>
                    <w:t>c =</w:t>
                    <w:tab/>
                    <w:t>c</w:t>
                  </w:r>
                  <w:r>
                    <w:rPr>
                      <w:rFonts w:ascii="Arial"/>
                      <w:spacing w:val="-1"/>
                      <w:sz w:val="20"/>
                    </w:rPr>
                    <w:t> </w:t>
                  </w:r>
                  <w:r>
                    <w:rPr>
                      <w:rFonts w:ascii="Arial"/>
                      <w:sz w:val="20"/>
                    </w:rPr>
                    <w:t>=</w:t>
                  </w:r>
                </w:p>
                <w:p>
                  <w:pPr>
                    <w:spacing w:line="153" w:lineRule="exact" w:before="0"/>
                    <w:ind w:left="0" w:right="0" w:firstLine="0"/>
                    <w:jc w:val="left"/>
                    <w:rPr>
                      <w:rFonts w:ascii="Arial" w:hAnsi="Arial"/>
                      <w:b/>
                      <w:sz w:val="28"/>
                    </w:rPr>
                  </w:pPr>
                  <w:r>
                    <w:rPr>
                      <w:rFonts w:ascii="Arial" w:hAnsi="Arial"/>
                      <w:b/>
                      <w:w w:val="100"/>
                      <w:sz w:val="28"/>
                    </w:rPr>
                    <w:t>’</w:t>
                  </w:r>
                </w:p>
                <w:p>
                  <w:pPr>
                    <w:spacing w:line="163" w:lineRule="auto" w:before="46"/>
                    <w:ind w:left="0" w:right="5327" w:firstLine="0"/>
                    <w:jc w:val="left"/>
                    <w:rPr>
                      <w:rFonts w:ascii="Arial"/>
                      <w:b/>
                      <w:sz w:val="28"/>
                    </w:rPr>
                  </w:pPr>
                  <w:r>
                    <w:rPr>
                      <w:rFonts w:ascii="Arial"/>
                      <w:b/>
                      <w:sz w:val="28"/>
                    </w:rPr>
                    <w:t>l O</w:t>
                  </w:r>
                </w:p>
                <w:p>
                  <w:pPr>
                    <w:tabs>
                      <w:tab w:pos="736" w:val="left" w:leader="none"/>
                      <w:tab w:pos="1096" w:val="left" w:leader="none"/>
                      <w:tab w:pos="2116" w:val="left" w:leader="none"/>
                      <w:tab w:pos="3136" w:val="left" w:leader="none"/>
                      <w:tab w:pos="4156" w:val="left" w:leader="none"/>
                    </w:tabs>
                    <w:spacing w:line="74" w:lineRule="auto" w:before="0"/>
                    <w:ind w:left="0" w:right="0" w:firstLine="0"/>
                    <w:jc w:val="left"/>
                    <w:rPr>
                      <w:rFonts w:ascii="Arial" w:hAnsi="Arial"/>
                      <w:sz w:val="20"/>
                    </w:rPr>
                  </w:pPr>
                  <w:r>
                    <w:rPr>
                      <w:rFonts w:ascii="Arial" w:hAnsi="Arial"/>
                      <w:b/>
                      <w:position w:val="9"/>
                      <w:sz w:val="28"/>
                    </w:rPr>
                    <w:t>‘</w:t>
                    <w:tab/>
                  </w:r>
                  <w:r>
                    <w:rPr>
                      <w:rFonts w:ascii="Arial" w:hAnsi="Arial"/>
                      <w:b/>
                      <w:spacing w:val="-28"/>
                      <w:position w:val="1"/>
                      <w:sz w:val="20"/>
                    </w:rPr>
                    <w:t>.</w:t>
                  </w:r>
                  <w:r>
                    <w:rPr>
                      <w:rFonts w:ascii="Arial" w:hAnsi="Arial"/>
                      <w:b/>
                      <w:spacing w:val="-28"/>
                      <w:position w:val="-6"/>
                      <w:sz w:val="20"/>
                    </w:rPr>
                    <w:t>.</w:t>
                    <w:tab/>
                  </w:r>
                  <w:r>
                    <w:rPr>
                      <w:rFonts w:ascii="Arial" w:hAnsi="Arial"/>
                      <w:sz w:val="20"/>
                    </w:rPr>
                    <w:t>c</w:t>
                  </w:r>
                  <w:r>
                    <w:rPr>
                      <w:rFonts w:ascii="Arial" w:hAnsi="Arial"/>
                      <w:spacing w:val="-1"/>
                      <w:sz w:val="20"/>
                    </w:rPr>
                    <w:t> </w:t>
                  </w:r>
                  <w:r>
                    <w:rPr>
                      <w:rFonts w:ascii="Arial" w:hAnsi="Arial"/>
                      <w:sz w:val="20"/>
                    </w:rPr>
                    <w:t>=</w:t>
                    <w:tab/>
                    <w:t>c =</w:t>
                    <w:tab/>
                    <w:t>c =</w:t>
                    <w:tab/>
                    <w:t>c =</w:t>
                  </w:r>
                </w:p>
                <w:p>
                  <w:pPr>
                    <w:spacing w:line="153" w:lineRule="exact" w:before="0"/>
                    <w:ind w:left="736" w:right="0" w:firstLine="0"/>
                    <w:jc w:val="left"/>
                    <w:rPr>
                      <w:rFonts w:ascii="Arial"/>
                      <w:b/>
                      <w:sz w:val="20"/>
                    </w:rPr>
                  </w:pPr>
                  <w:r>
                    <w:rPr>
                      <w:rFonts w:ascii="Arial"/>
                      <w:b/>
                      <w:w w:val="99"/>
                      <w:sz w:val="20"/>
                    </w:rPr>
                    <w:t>.</w:t>
                  </w:r>
                </w:p>
              </w:txbxContent>
            </v:textbox>
            <w10:wrap type="none"/>
          </v:shape>
        </w:pict>
      </w:r>
      <w:r>
        <w:rPr/>
        <w:pict>
          <v:group style="position:absolute;margin-left:79.710999pt;margin-top:29.751226pt;width:422.1pt;height:308.5pt;mso-position-horizontal-relative:page;mso-position-vertical-relative:paragraph;z-index:25912" coordorigin="1594,595" coordsize="8442,6170">
            <v:shape style="position:absolute;left:2784;top:2491;width:6293;height:4253" coordorigin="2785,2491" coordsize="6293,4253" path="m2785,6744l9078,6744,9078,2491,2785,2491,2785,6744xm2785,3341l3978,3341,3978,2491,2785,2491,2785,3341xe" filled="false" stroked="true" strokeweight="2pt" strokecolor="#010101">
              <v:path arrowok="t"/>
              <v:stroke dashstyle="solid"/>
            </v:shape>
            <v:rect style="position:absolute;left:8837;top:2491;width:240;height:509" filled="true" fillcolor="#ffffff" stroked="false">
              <v:fill type="solid"/>
            </v:rect>
            <v:rect style="position:absolute;left:3977;top:2491;width:5103;height:512" filled="false" stroked="true" strokeweight="2pt" strokecolor="#010101">
              <v:stroke dashstyle="solid"/>
            </v:rect>
            <v:rect style="position:absolute;left:2784;top:6523;width:850;height:221" filled="true" fillcolor="#dddddd" stroked="false">
              <v:fill type="solid"/>
            </v:rect>
            <v:shape style="position:absolute;left:2784;top:3004;width:6293;height:3740" coordorigin="2785,3005" coordsize="6293,3740" path="m2785,6744l3637,6744,3637,3343,2785,3343,2785,6744xm3637,6744l3978,6744,3978,3343,3637,3343,3637,6744xm3978,3343l9078,3343,9078,3005,3978,3005,3978,3343xm3978,3343l4998,3343,4998,3005,3978,3005,3978,3343xm4998,3343l6018,3343,6018,3005,4998,3005,4998,3343xm6018,3343l7038,3343,7038,3005,6018,3005,6018,3343xm7038,3343l8058,3343,8058,3005,7038,3005,7038,3343xe" filled="false" stroked="true" strokeweight="2pt" strokecolor="#010101">
              <v:path arrowok="t"/>
              <v:stroke dashstyle="solid"/>
            </v:shape>
            <v:rect style="position:absolute;left:8837;top:3002;width:240;height:341" filled="true" fillcolor="#ffffff" stroked="false">
              <v:fill type="solid"/>
            </v:rect>
            <v:shape style="position:absolute;left:3636;top:3004;width:5441;height:1020" coordorigin="3637,3005" coordsize="5441,1020" path="m8058,3343l9078,3343,9078,3005,8058,3005,8058,3343xm3637,4025l3978,4025,3978,3343,3637,3343,3637,4025xe" filled="false" stroked="true" strokeweight="2pt" strokecolor="#010101">
              <v:path arrowok="t"/>
              <v:stroke dashstyle="solid"/>
            </v:shape>
            <v:rect style="position:absolute;left:3636;top:6523;width:341;height:221" filled="true" fillcolor="#dddddd" stroked="false">
              <v:fill type="solid"/>
            </v:rect>
            <v:shape style="position:absolute;left:3636;top:4024;width:341;height:2720" coordorigin="3637,4025" coordsize="341,2720" path="m3637,6744l3978,6744,3978,6065,3637,6065,3637,6744xm3637,6065l3978,6065,3978,5383,3637,5383,3637,6065xm3637,5383l3978,5383,3978,4704,3637,4704,3637,5383xm3637,4704l3978,4704,3978,4025,3637,4025,3637,4704xe" filled="false" stroked="true" strokeweight="2pt" strokecolor="#010101">
              <v:path arrowok="t"/>
              <v:stroke dashstyle="solid"/>
            </v:shape>
            <v:shape style="position:absolute;left:2784;top:2515;width:1181;height:838" coordorigin="2785,2515" coordsize="1181,838" path="m2785,2515l2785,3353,3966,3353,2785,2515xe" filled="true" fillcolor="#dddddd" stroked="false">
              <v:path arrowok="t"/>
              <v:fill type="solid"/>
            </v:shape>
            <v:shape style="position:absolute;left:2784;top:2515;width:5273;height:1510" coordorigin="2785,2515" coordsize="5273,1510" path="m2785,2515l2785,3353,3966,3353,2785,2515xm3978,4025l4998,4025,4998,3343,3978,3343,3978,4025xm4998,4025l6018,4025,6018,3343,4998,3343,4998,4025xm6018,4025l7038,4025,7038,3343,6018,3343,6018,4025xm7038,4025l8058,4025,8058,3343,7038,3343,7038,4025xe" filled="false" stroked="true" strokeweight="2pt" strokecolor="#010101">
              <v:path arrowok="t"/>
              <v:stroke dashstyle="solid"/>
            </v:shape>
            <v:rect style="position:absolute;left:8837;top:3343;width:240;height:680" filled="true" fillcolor="#ffffff" stroked="false">
              <v:fill type="solid"/>
            </v:rect>
            <v:shape style="position:absolute;left:3977;top:3343;width:5100;height:1361" coordorigin="3978,3343" coordsize="5100,1361" path="m8058,4025l9078,4025,9078,3343,8058,3343,8058,4025xm4998,4704l6018,4704,6018,4025,4998,4025,4998,4704xm3978,4704l4998,4704,4998,4025,3978,4025,3978,4704xm6018,4704l7038,4704,7038,4025,6018,4025,6018,4704xm7038,4704l8058,4704,8058,4025,7038,4025,7038,4704xe" filled="false" stroked="true" strokeweight="2pt" strokecolor="#010101">
              <v:path arrowok="t"/>
              <v:stroke dashstyle="solid"/>
            </v:shape>
            <v:rect style="position:absolute;left:8837;top:4022;width:240;height:682" filled="true" fillcolor="#ffffff" stroked="false">
              <v:fill type="solid"/>
            </v:rect>
            <v:shape style="position:absolute;left:3977;top:4024;width:5100;height:1359" coordorigin="3978,4025" coordsize="5100,1359" path="m8058,4704l9078,4704,9078,4025,8058,4025,8058,4704xm3978,5383l4998,5383,4998,4704,3978,4704,3978,5383xm4998,5383l6018,5383,6018,4704,4998,4704,4998,5383xm6018,5383l7038,5383,7038,4704,6018,4704,6018,5383xm7038,5383l8058,5383,8058,4704,7038,4704,7038,5383xe" filled="false" stroked="true" strokeweight="2pt" strokecolor="#010101">
              <v:path arrowok="t"/>
              <v:stroke dashstyle="solid"/>
            </v:shape>
            <v:rect style="position:absolute;left:8837;top:4704;width:240;height:680" filled="true" fillcolor="#ffffff" stroked="false">
              <v:fill type="solid"/>
            </v:rect>
            <v:shape style="position:absolute;left:4997;top:4704;width:4080;height:1361" coordorigin="4998,4704" coordsize="4080,1361" path="m8058,5383l9078,5383,9078,4704,8058,4704,8058,5383xm4998,6065l6018,6065,6018,5383,4998,5383,4998,6065xm7038,6065l8058,6065,8058,5383,7038,5383,7038,6065xe" filled="false" stroked="true" strokeweight="2pt" strokecolor="#010101">
              <v:path arrowok="t"/>
              <v:stroke dashstyle="solid"/>
            </v:shape>
            <v:rect style="position:absolute;left:8837;top:5383;width:240;height:680" filled="true" fillcolor="#ffffff" stroked="false">
              <v:fill type="solid"/>
            </v:rect>
            <v:shape style="position:absolute;left:3977;top:5383;width:5100;height:682" coordorigin="3978,5383" coordsize="5100,682" path="m8058,6065l9078,6065,9078,5383,8058,5383,8058,6065xm6018,6065l7038,6065,7038,5383,6018,5383,6018,6065xm3978,6065l4998,6065,4998,5383,3978,5383,3978,6065xe" filled="false" stroked="true" strokeweight="2pt" strokecolor="#010101">
              <v:path arrowok="t"/>
              <v:stroke dashstyle="solid"/>
            </v:shape>
            <v:rect style="position:absolute;left:4997;top:6523;width:1020;height:221" filled="true" fillcolor="#dddddd" stroked="false">
              <v:fill type="solid"/>
            </v:rect>
            <v:rect style="position:absolute;left:4997;top:6064;width:1020;height:680" filled="false" stroked="true" strokeweight="2pt" strokecolor="#010101">
              <v:stroke dashstyle="solid"/>
            </v:rect>
            <v:rect style="position:absolute;left:7037;top:6523;width:1020;height:221" filled="true" fillcolor="#dddddd" stroked="false">
              <v:fill type="solid"/>
            </v:rect>
            <v:rect style="position:absolute;left:7037;top:6064;width:1020;height:680" filled="false" stroked="true" strokeweight="2pt" strokecolor="#010101">
              <v:stroke dashstyle="solid"/>
            </v:rect>
            <v:rect style="position:absolute;left:8057;top:6062;width:1020;height:682" filled="true" fillcolor="#ffffff" stroked="false">
              <v:fill type="solid"/>
            </v:rect>
            <v:rect style="position:absolute;left:8057;top:6064;width:1020;height:680" filled="false" stroked="true" strokeweight="2pt" strokecolor="#010101">
              <v:stroke dashstyle="solid"/>
            </v:rect>
            <v:rect style="position:absolute;left:6017;top:6523;width:1020;height:221" filled="true" fillcolor="#dddddd" stroked="false">
              <v:fill type="solid"/>
            </v:rect>
            <v:rect style="position:absolute;left:6017;top:6064;width:1020;height:680" filled="false" stroked="true" strokeweight="2pt" strokecolor="#010101">
              <v:stroke dashstyle="solid"/>
            </v:rect>
            <v:rect style="position:absolute;left:3977;top:6523;width:1020;height:221" filled="true" fillcolor="#dddddd" stroked="false">
              <v:fill type="solid"/>
            </v:rect>
            <v:rect style="position:absolute;left:3977;top:6064;width:1020;height:680" filled="false" stroked="true" strokeweight="2pt" strokecolor="#010101">
              <v:stroke dashstyle="solid"/>
            </v:rect>
            <v:shape style="position:absolute;left:3977;top:3343;width:1020;height:680" coordorigin="3978,3343" coordsize="1020,680" path="m3978,3343l3978,4023,4998,4023,3978,3343xe" filled="true" fillcolor="#dddddd" stroked="false">
              <v:path arrowok="t"/>
              <v:fill type="solid"/>
            </v:shape>
            <v:shape style="position:absolute;left:3977;top:3343;width:1020;height:680" coordorigin="3978,3343" coordsize="1020,680" path="m3978,3343l3978,4023,4998,4023,3978,3343xe" filled="false" stroked="true" strokeweight="2pt" strokecolor="#010101">
              <v:path arrowok="t"/>
              <v:stroke dashstyle="solid"/>
            </v:shape>
            <v:shape style="position:absolute;left:4997;top:4022;width:1020;height:682" coordorigin="4998,4023" coordsize="1020,682" path="m4998,4023l4998,4704,6018,4704,4998,4023xe" filled="true" fillcolor="#dddddd" stroked="false">
              <v:path arrowok="t"/>
              <v:fill type="solid"/>
            </v:shape>
            <v:shape style="position:absolute;left:4997;top:4022;width:1020;height:682" coordorigin="4998,4023" coordsize="1020,682" path="m4998,4023l4998,4704,6018,4704,4998,4023xe" filled="false" stroked="true" strokeweight="2pt" strokecolor="#010101">
              <v:path arrowok="t"/>
              <v:stroke dashstyle="solid"/>
            </v:shape>
            <v:shape style="position:absolute;left:6017;top:4704;width:1020;height:680" coordorigin="6018,4704" coordsize="1020,680" path="m6018,4704l6018,5383,7038,5383,6018,4704xe" filled="true" fillcolor="#dddddd" stroked="false">
              <v:path arrowok="t"/>
              <v:fill type="solid"/>
            </v:shape>
            <v:shape style="position:absolute;left:6017;top:4704;width:1020;height:680" coordorigin="6018,4704" coordsize="1020,680" path="m6018,4704l6018,5383,7038,5383,6018,4704xe" filled="false" stroked="true" strokeweight="2pt" strokecolor="#010101">
              <v:path arrowok="t"/>
              <v:stroke dashstyle="solid"/>
            </v:shape>
            <v:shape style="position:absolute;left:7037;top:5383;width:1020;height:682" coordorigin="7038,5383" coordsize="1020,682" path="m7038,5383l7038,6065,8058,6065,7038,5383xe" filled="true" fillcolor="#dddddd" stroked="false">
              <v:path arrowok="t"/>
              <v:fill type="solid"/>
            </v:shape>
            <v:shape style="position:absolute;left:7037;top:5383;width:1020;height:682" coordorigin="7038,5383" coordsize="1020,682" path="m7038,5383l7038,6065,8058,6065,7038,5383xe" filled="false" stroked="true" strokeweight="2pt" strokecolor="#010101">
              <v:path arrowok="t"/>
              <v:stroke dashstyle="solid"/>
            </v:shape>
            <v:shape style="position:absolute;left:8057;top:6064;width:982;height:680" coordorigin="8058,6065" coordsize="982,680" path="m8058,6065l8058,6744,9039,6744,8058,6065xe" filled="true" fillcolor="#dddddd" stroked="false">
              <v:path arrowok="t"/>
              <v:fill type="solid"/>
            </v:shape>
            <v:shape style="position:absolute;left:8057;top:6064;width:982;height:680" coordorigin="8058,6065" coordsize="982,680" path="m8058,6065l8058,6744,9039,6744,8058,6065xe" filled="false" stroked="true" strokeweight="2pt" strokecolor="#010101">
              <v:path arrowok="t"/>
              <v:stroke dashstyle="solid"/>
            </v:shape>
            <v:rect style="position:absolute;left:2544;top:2270;width:6293;height:4253" filled="true" fillcolor="#ffffff" stroked="false">
              <v:fill type="solid"/>
            </v:rect>
            <v:shape style="position:absolute;left:2544;top:2270;width:6293;height:4253" coordorigin="2545,2271" coordsize="6293,4253" path="m2545,6523l8838,6523,8838,2271,2545,2271,2545,6523xm2545,3120l3738,3120,3738,2271,2545,2271,2545,3120xe" filled="false" stroked="true" strokeweight="2pt" strokecolor="#010101">
              <v:path arrowok="t"/>
              <v:stroke dashstyle="solid"/>
            </v:shape>
            <v:rect style="position:absolute;left:8597;top:2270;width:240;height:509" filled="true" fillcolor="#ffffff" stroked="false">
              <v:fill type="solid"/>
            </v:rect>
            <v:rect style="position:absolute;left:3737;top:2270;width:5103;height:512" filled="false" stroked="true" strokeweight="2pt" strokecolor="#010101">
              <v:stroke dashstyle="solid"/>
            </v:rect>
            <v:rect style="position:absolute;left:2544;top:6283;width:850;height:238" filled="true" fillcolor="#dddddd" stroked="false">
              <v:fill type="solid"/>
            </v:rect>
            <v:shape style="position:absolute;left:2544;top:2784;width:6293;height:3740" coordorigin="2545,2784" coordsize="6293,3740" path="m2545,6523l3397,6523,3397,3123,2545,3123,2545,6523xm3397,6523l3738,6523,3738,3123,3397,3123,3397,6523xm3738,3123l8838,3123,8838,2784,3738,2784,3738,3123xm3738,3123l4758,3123,4758,2784,3738,2784,3738,3123xm4758,3123l5778,3123,5778,2784,4758,2784,4758,3123xm5778,3123l6798,3123,6798,2784,5778,2784,5778,3123xm6798,3123l7818,3123,7818,2784,6798,2784,6798,3123xe" filled="false" stroked="true" strokeweight="2pt" strokecolor="#010101">
              <v:path arrowok="t"/>
              <v:stroke dashstyle="solid"/>
            </v:shape>
            <v:rect style="position:absolute;left:8597;top:2781;width:240;height:341" filled="true" fillcolor="#ffffff" stroked="false">
              <v:fill type="solid"/>
            </v:rect>
            <v:shape style="position:absolute;left:3396;top:2784;width:5441;height:1020" coordorigin="3397,2784" coordsize="5441,1020" path="m7818,3123l8838,3123,8838,2784,7818,2784,7818,3123xm3397,3804l3738,3804,3738,3123,3397,3123,3397,3804xe" filled="false" stroked="true" strokeweight="2pt" strokecolor="#010101">
              <v:path arrowok="t"/>
              <v:stroke dashstyle="solid"/>
            </v:shape>
            <v:rect style="position:absolute;left:3396;top:6283;width:341;height:238" filled="true" fillcolor="#dddddd" stroked="false">
              <v:fill type="solid"/>
            </v:rect>
            <v:shape style="position:absolute;left:3396;top:3804;width:341;height:2720" coordorigin="3397,3804" coordsize="341,2720" path="m3397,6523l3738,6523,3738,5844,3397,5844,3397,6523xm3397,5844l3738,5844,3738,5163,3397,5163,3397,5844xm3397,5163l3738,5163,3738,4483,3397,4483,3397,5163xm3397,4483l3738,4483,3738,3804,3397,3804,3397,4483xe" filled="false" stroked="true" strokeweight="2pt" strokecolor="#010101">
              <v:path arrowok="t"/>
              <v:stroke dashstyle="solid"/>
            </v:shape>
            <v:shape style="position:absolute;left:2544;top:2294;width:1181;height:838" coordorigin="2545,2295" coordsize="1181,838" path="m2545,2295l2545,3132,3726,3132,2545,2295xe" filled="true" fillcolor="#dddddd" stroked="false">
              <v:path arrowok="t"/>
              <v:fill type="solid"/>
            </v:shape>
            <v:shape style="position:absolute;left:2544;top:2294;width:5273;height:1510" coordorigin="2545,2295" coordsize="5273,1510" path="m2545,2295l2545,3132,3726,3132,2545,2295xm3738,3804l4758,3804,4758,3123,3738,3123,3738,3804xm4758,3804l5778,3804,5778,3123,4758,3123,4758,3804xm5778,3804l6798,3804,6798,3123,5778,3123,5778,3804xm6798,3804l7818,3804,7818,3123,6798,3123,6798,3804xe" filled="false" stroked="true" strokeweight="2pt" strokecolor="#010101">
              <v:path arrowok="t"/>
              <v:stroke dashstyle="solid"/>
            </v:shape>
            <v:rect style="position:absolute;left:8597;top:3122;width:240;height:680" filled="true" fillcolor="#ffffff" stroked="false">
              <v:fill type="solid"/>
            </v:rect>
            <v:shape style="position:absolute;left:3737;top:3122;width:5100;height:1361" coordorigin="3738,3123" coordsize="5100,1361" path="m7818,3804l8838,3804,8838,3123,7818,3123,7818,3804xm4758,4483l5778,4483,5778,3804,4758,3804,4758,4483xm3738,4483l4758,4483,4758,3804,3738,3804,3738,4483xm5778,4483l6798,4483,6798,3804,5778,3804,5778,4483xm6798,4483l7818,4483,7818,3804,6798,3804,6798,4483xe" filled="false" stroked="true" strokeweight="2pt" strokecolor="#010101">
              <v:path arrowok="t"/>
              <v:stroke dashstyle="solid"/>
            </v:shape>
            <v:rect style="position:absolute;left:8597;top:3801;width:240;height:680" filled="true" fillcolor="#ffffff" stroked="false">
              <v:fill type="solid"/>
            </v:rect>
            <v:shape style="position:absolute;left:3737;top:3804;width:5100;height:1359" coordorigin="3738,3804" coordsize="5100,1359" path="m7818,4483l8838,4483,8838,3804,7818,3804,7818,4483xm3738,5163l4758,5163,4758,4483,3738,4483,3738,5163xm4758,5163l5778,5163,5778,4483,4758,4483,4758,5163xm5778,5163l6798,5163,6798,4483,5778,4483,5778,5163xm6798,5163l7818,5163,7818,4483,6798,4483,6798,5163xe" filled="false" stroked="true" strokeweight="2pt" strokecolor="#010101">
              <v:path arrowok="t"/>
              <v:stroke dashstyle="solid"/>
            </v:shape>
            <v:rect style="position:absolute;left:8597;top:4480;width:240;height:682" filled="true" fillcolor="#ffffff" stroked="false">
              <v:fill type="solid"/>
            </v:rect>
            <v:shape style="position:absolute;left:4757;top:4483;width:4080;height:1361" coordorigin="4758,4483" coordsize="4080,1361" path="m7818,5163l8838,5163,8838,4483,7818,4483,7818,5163xm4758,5844l5778,5844,5778,5163,4758,5163,4758,5844xm6798,5844l7818,5844,7818,5163,6798,5163,6798,5844xe" filled="false" stroked="true" strokeweight="2pt" strokecolor="#010101">
              <v:path arrowok="t"/>
              <v:stroke dashstyle="solid"/>
            </v:shape>
            <v:rect style="position:absolute;left:8597;top:5162;width:240;height:680" filled="true" fillcolor="#ffffff" stroked="false">
              <v:fill type="solid"/>
            </v:rect>
            <v:shape style="position:absolute;left:3737;top:5162;width:5100;height:682" coordorigin="3738,5163" coordsize="5100,682" path="m7818,5844l8838,5844,8838,5163,7818,5163,7818,5844xm5778,5844l6798,5844,6798,5163,5778,5163,5778,5844xm3738,5844l4758,5844,4758,5163,3738,5163,3738,5844xe" filled="false" stroked="true" strokeweight="2pt" strokecolor="#010101">
              <v:path arrowok="t"/>
              <v:stroke dashstyle="solid"/>
            </v:shape>
            <v:rect style="position:absolute;left:4757;top:6283;width:1020;height:238" filled="true" fillcolor="#dddddd" stroked="false">
              <v:fill type="solid"/>
            </v:rect>
            <v:rect style="position:absolute;left:4757;top:5844;width:1020;height:680" filled="false" stroked="true" strokeweight="2pt" strokecolor="#010101">
              <v:stroke dashstyle="solid"/>
            </v:rect>
            <v:rect style="position:absolute;left:6797;top:6283;width:1020;height:238" filled="true" fillcolor="#dddddd" stroked="false">
              <v:fill type="solid"/>
            </v:rect>
            <v:rect style="position:absolute;left:6797;top:5844;width:1020;height:680" filled="false" stroked="true" strokeweight="2pt" strokecolor="#010101">
              <v:stroke dashstyle="solid"/>
            </v:rect>
            <v:rect style="position:absolute;left:7817;top:5841;width:1020;height:680" filled="true" fillcolor="#ffffff" stroked="false">
              <v:fill type="solid"/>
            </v:rect>
            <v:rect style="position:absolute;left:7817;top:5844;width:1020;height:680" filled="false" stroked="true" strokeweight="2pt" strokecolor="#010101">
              <v:stroke dashstyle="solid"/>
            </v:rect>
            <v:rect style="position:absolute;left:5777;top:6283;width:1020;height:238" filled="true" fillcolor="#dddddd" stroked="false">
              <v:fill type="solid"/>
            </v:rect>
            <v:rect style="position:absolute;left:5777;top:5844;width:1020;height:680" filled="false" stroked="true" strokeweight="2pt" strokecolor="#010101">
              <v:stroke dashstyle="solid"/>
            </v:rect>
            <v:rect style="position:absolute;left:3737;top:6283;width:1020;height:238" filled="true" fillcolor="#dddddd" stroked="false">
              <v:fill type="solid"/>
            </v:rect>
            <v:rect style="position:absolute;left:3737;top:5844;width:1020;height:680" filled="false" stroked="true" strokeweight="2pt" strokecolor="#010101">
              <v:stroke dashstyle="solid"/>
            </v:rect>
            <v:shape style="position:absolute;left:3737;top:3122;width:1020;height:680" coordorigin="3738,3123" coordsize="1020,680" path="m3738,3123l3738,3802,4758,3802,3738,3123xe" filled="true" fillcolor="#dddddd" stroked="false">
              <v:path arrowok="t"/>
              <v:fill type="solid"/>
            </v:shape>
            <v:shape style="position:absolute;left:3737;top:3122;width:1020;height:680" coordorigin="3738,3123" coordsize="1020,680" path="m3738,3123l3738,3802,4758,3802,3738,3123xe" filled="false" stroked="true" strokeweight="2pt" strokecolor="#010101">
              <v:path arrowok="t"/>
              <v:stroke dashstyle="solid"/>
            </v:shape>
            <v:shape style="position:absolute;left:4757;top:3801;width:1020;height:680" coordorigin="4758,3802" coordsize="1020,680" path="m4758,3802l4758,4481,5778,4481,4758,3802xe" filled="true" fillcolor="#dddddd" stroked="false">
              <v:path arrowok="t"/>
              <v:fill type="solid"/>
            </v:shape>
            <v:shape style="position:absolute;left:4757;top:3801;width:1020;height:680" coordorigin="4758,3802" coordsize="1020,680" path="m4758,3802l4758,4481,5778,4481,4758,3802xe" filled="false" stroked="true" strokeweight="2pt" strokecolor="#010101">
              <v:path arrowok="t"/>
              <v:stroke dashstyle="solid"/>
            </v:shape>
            <v:shape style="position:absolute;left:5777;top:4480;width:1020;height:682" coordorigin="5778,4481" coordsize="1020,682" path="m5778,4481l5778,5163,6798,5163,5778,4481xe" filled="true" fillcolor="#dddddd" stroked="false">
              <v:path arrowok="t"/>
              <v:fill type="solid"/>
            </v:shape>
            <v:shape style="position:absolute;left:5777;top:4480;width:1020;height:682" coordorigin="5778,4481" coordsize="1020,682" path="m5778,4481l5778,5163,6798,5163,5778,4481xe" filled="false" stroked="true" strokeweight="2pt" strokecolor="#010101">
              <v:path arrowok="t"/>
              <v:stroke dashstyle="solid"/>
            </v:shape>
            <v:shape style="position:absolute;left:6797;top:5162;width:1020;height:682" coordorigin="6798,5163" coordsize="1020,682" path="m6798,5163l6798,5844,7818,5844,6798,5163xe" filled="true" fillcolor="#dddddd" stroked="false">
              <v:path arrowok="t"/>
              <v:fill type="solid"/>
            </v:shape>
            <v:shape style="position:absolute;left:6797;top:5162;width:1020;height:682" coordorigin="6798,5163" coordsize="1020,682" path="m6798,5163l6798,5844,7818,5844,6798,5163xe" filled="false" stroked="true" strokeweight="2pt" strokecolor="#010101">
              <v:path arrowok="t"/>
              <v:stroke dashstyle="solid"/>
            </v:shape>
            <v:shape style="position:absolute;left:7817;top:5844;width:982;height:680" coordorigin="7818,5844" coordsize="982,680" path="m7818,5844l7818,6523,8799,6523,7818,5844xe" filled="true" fillcolor="#dddddd" stroked="false">
              <v:path arrowok="t"/>
              <v:fill type="solid"/>
            </v:shape>
            <v:shape style="position:absolute;left:7817;top:5844;width:982;height:680" coordorigin="7818,5844" coordsize="982,680" path="m7818,5844l7818,6523,8799,6523,7818,5844xe" filled="false" stroked="true" strokeweight="2pt" strokecolor="#010101">
              <v:path arrowok="t"/>
              <v:stroke dashstyle="solid"/>
            </v:shape>
            <v:rect style="position:absolute;left:2304;top:2030;width:6293;height:4253" filled="true" fillcolor="#ffffff" stroked="false">
              <v:fill type="solid"/>
            </v:rect>
            <v:shape style="position:absolute;left:2304;top:2030;width:6293;height:4253" coordorigin="2305,2031" coordsize="6293,4253" path="m2305,6283l8598,6283,8598,2031,2305,2031,2305,6283xm2305,2880l3498,2880,3498,2031,2305,2031,2305,2880xe" filled="false" stroked="true" strokeweight="2pt" strokecolor="#010101">
              <v:path arrowok="t"/>
              <v:stroke dashstyle="solid"/>
            </v:shape>
            <v:rect style="position:absolute;left:8357;top:2030;width:240;height:509" filled="true" fillcolor="#ffffff" stroked="false">
              <v:fill type="solid"/>
            </v:rect>
            <v:rect style="position:absolute;left:3497;top:2030;width:5103;height:512" filled="false" stroked="true" strokeweight="2pt" strokecolor="#010101">
              <v:stroke dashstyle="solid"/>
            </v:rect>
            <v:rect style="position:absolute;left:2304;top:6043;width:850;height:238" filled="true" fillcolor="#dddddd" stroked="false">
              <v:fill type="solid"/>
            </v:rect>
            <v:shape style="position:absolute;left:2304;top:2544;width:6293;height:3740" coordorigin="2305,2544" coordsize="6293,3740" path="m2305,6283l3157,6283,3157,2883,2305,2883,2305,6283xm3157,6283l3498,6283,3498,2883,3157,2883,3157,6283xm3498,2883l8598,2883,8598,2544,3498,2544,3498,2883xm3498,2883l4518,2883,4518,2544,3498,2544,3498,2883xm4518,2883l5538,2883,5538,2544,4518,2544,4518,2883xm5538,2883l6558,2883,6558,2544,5538,2544,5538,2883xm6558,2883l7578,2883,7578,2544,6558,2544,6558,2883xe" filled="false" stroked="true" strokeweight="2pt" strokecolor="#010101">
              <v:path arrowok="t"/>
              <v:stroke dashstyle="solid"/>
            </v:shape>
            <v:rect style="position:absolute;left:8357;top:2541;width:240;height:341" filled="true" fillcolor="#ffffff" stroked="false">
              <v:fill type="solid"/>
            </v:rect>
            <v:shape style="position:absolute;left:3156;top:2544;width:5441;height:1020" coordorigin="3157,2544" coordsize="5441,1020" path="m7578,2883l8598,2883,8598,2544,7578,2544,7578,2883xm3157,3564l3498,3564,3498,2883,3157,2883,3157,3564xe" filled="false" stroked="true" strokeweight="2pt" strokecolor="#010101">
              <v:path arrowok="t"/>
              <v:stroke dashstyle="solid"/>
            </v:shape>
            <v:rect style="position:absolute;left:3156;top:6043;width:341;height:238" filled="true" fillcolor="#dddddd" stroked="false">
              <v:fill type="solid"/>
            </v:rect>
            <v:shape style="position:absolute;left:3156;top:3564;width:341;height:2720" coordorigin="3157,3564" coordsize="341,2720" path="m3157,6283l3498,6283,3498,5604,3157,5604,3157,6283xm3157,5604l3498,5604,3498,4923,3157,4923,3157,5604xm3157,4923l3498,4923,3498,4243,3157,4243,3157,4923xm3157,4243l3498,4243,3498,3564,3157,3564,3157,4243xe" filled="false" stroked="true" strokeweight="2pt" strokecolor="#010101">
              <v:path arrowok="t"/>
              <v:stroke dashstyle="solid"/>
            </v:shape>
            <v:shape style="position:absolute;left:2304;top:2054;width:1181;height:838" coordorigin="2305,2055" coordsize="1181,838" path="m2305,2055l2305,2892,3486,2892,2305,2055xe" filled="true" fillcolor="#dddddd" stroked="false">
              <v:path arrowok="t"/>
              <v:fill type="solid"/>
            </v:shape>
            <v:shape style="position:absolute;left:2304;top:2054;width:5273;height:1510" coordorigin="2305,2055" coordsize="5273,1510" path="m2305,2055l2305,2892,3486,2892,2305,2055xm3498,3564l4518,3564,4518,2883,3498,2883,3498,3564xm4518,3564l5538,3564,5538,2883,4518,2883,4518,3564xm5538,3564l6558,3564,6558,2883,5538,2883,5538,3564xm6558,3564l7578,3564,7578,2883,6558,2883,6558,3564xe" filled="false" stroked="true" strokeweight="2pt" strokecolor="#010101">
              <v:path arrowok="t"/>
              <v:stroke dashstyle="solid"/>
            </v:shape>
            <v:rect style="position:absolute;left:8357;top:2882;width:240;height:680" filled="true" fillcolor="#ffffff" stroked="false">
              <v:fill type="solid"/>
            </v:rect>
            <v:shape style="position:absolute;left:3497;top:2882;width:5100;height:1361" coordorigin="3498,2883" coordsize="5100,1361" path="m7578,3564l8598,3564,8598,2883,7578,2883,7578,3564xm4518,4243l5538,4243,5538,3564,4518,3564,4518,4243xm3498,4243l4518,4243,4518,3564,3498,3564,3498,4243xm5538,4243l6558,4243,6558,3564,5538,3564,5538,4243xm6558,4243l7578,4243,7578,3564,6558,3564,6558,4243xe" filled="false" stroked="true" strokeweight="2pt" strokecolor="#010101">
              <v:path arrowok="t"/>
              <v:stroke dashstyle="solid"/>
            </v:shape>
            <v:rect style="position:absolute;left:8357;top:3561;width:240;height:680" filled="true" fillcolor="#ffffff" stroked="false">
              <v:fill type="solid"/>
            </v:rect>
            <v:shape style="position:absolute;left:3497;top:3564;width:5100;height:1359" coordorigin="3498,3564" coordsize="5100,1359" path="m7578,4243l8598,4243,8598,3564,7578,3564,7578,4243xm3498,4923l4518,4923,4518,4243,3498,4243,3498,4923xm4518,4923l5538,4923,5538,4243,4518,4243,4518,4923xm5538,4923l6558,4923,6558,4243,5538,4243,5538,4923xm6558,4923l7578,4923,7578,4243,6558,4243,6558,4923xe" filled="false" stroked="true" strokeweight="2pt" strokecolor="#010101">
              <v:path arrowok="t"/>
              <v:stroke dashstyle="solid"/>
            </v:shape>
            <v:rect style="position:absolute;left:8357;top:4240;width:240;height:682" filled="true" fillcolor="#ffffff" stroked="false">
              <v:fill type="solid"/>
            </v:rect>
            <v:shape style="position:absolute;left:4517;top:4243;width:4080;height:1361" coordorigin="4518,4243" coordsize="4080,1361" path="m7578,4923l8598,4923,8598,4243,7578,4243,7578,4923xm4518,5604l5538,5604,5538,4923,4518,4923,4518,5604xm6558,5604l7578,5604,7578,4923,6558,4923,6558,5604xe" filled="false" stroked="true" strokeweight="2pt" strokecolor="#010101">
              <v:path arrowok="t"/>
              <v:stroke dashstyle="solid"/>
            </v:shape>
            <v:rect style="position:absolute;left:8357;top:4922;width:240;height:680" filled="true" fillcolor="#ffffff" stroked="false">
              <v:fill type="solid"/>
            </v:rect>
            <v:shape style="position:absolute;left:3497;top:4922;width:5100;height:682" coordorigin="3498,4923" coordsize="5100,682" path="m7578,5604l8598,5604,8598,4923,7578,4923,7578,5604xm5538,5604l6558,5604,6558,4923,5538,4923,5538,5604xm3498,5604l4518,5604,4518,4923,3498,4923,3498,5604xe" filled="false" stroked="true" strokeweight="2pt" strokecolor="#010101">
              <v:path arrowok="t"/>
              <v:stroke dashstyle="solid"/>
            </v:shape>
            <v:rect style="position:absolute;left:4517;top:6043;width:1020;height:238" filled="true" fillcolor="#dddddd" stroked="false">
              <v:fill type="solid"/>
            </v:rect>
            <v:rect style="position:absolute;left:4517;top:5604;width:1020;height:680" filled="false" stroked="true" strokeweight="2pt" strokecolor="#010101">
              <v:stroke dashstyle="solid"/>
            </v:rect>
            <v:rect style="position:absolute;left:6557;top:6043;width:1020;height:238" filled="true" fillcolor="#dddddd" stroked="false">
              <v:fill type="solid"/>
            </v:rect>
            <v:rect style="position:absolute;left:6557;top:5604;width:1020;height:680" filled="false" stroked="true" strokeweight="2pt" strokecolor="#010101">
              <v:stroke dashstyle="solid"/>
            </v:rect>
            <v:rect style="position:absolute;left:7577;top:5601;width:1020;height:680" filled="true" fillcolor="#ffffff" stroked="false">
              <v:fill type="solid"/>
            </v:rect>
            <v:rect style="position:absolute;left:7577;top:5604;width:1020;height:680" filled="false" stroked="true" strokeweight="2pt" strokecolor="#010101">
              <v:stroke dashstyle="solid"/>
            </v:rect>
            <v:rect style="position:absolute;left:5537;top:6043;width:1020;height:238" filled="true" fillcolor="#dddddd" stroked="false">
              <v:fill type="solid"/>
            </v:rect>
            <v:rect style="position:absolute;left:5537;top:5604;width:1020;height:680" filled="false" stroked="true" strokeweight="2pt" strokecolor="#010101">
              <v:stroke dashstyle="solid"/>
            </v:rect>
            <v:rect style="position:absolute;left:3497;top:6043;width:1020;height:238" filled="true" fillcolor="#dddddd" stroked="false">
              <v:fill type="solid"/>
            </v:rect>
            <v:rect style="position:absolute;left:3497;top:5604;width:1020;height:680" filled="false" stroked="true" strokeweight="2pt" strokecolor="#010101">
              <v:stroke dashstyle="solid"/>
            </v:rect>
            <v:shape style="position:absolute;left:3497;top:2882;width:1020;height:680" coordorigin="3498,2883" coordsize="1020,680" path="m3498,2883l3498,3562,4518,3562,3498,2883xe" filled="true" fillcolor="#dddddd" stroked="false">
              <v:path arrowok="t"/>
              <v:fill type="solid"/>
            </v:shape>
            <v:shape style="position:absolute;left:3497;top:2882;width:1020;height:680" coordorigin="3498,2883" coordsize="1020,680" path="m3498,2883l3498,3562,4518,3562,3498,2883xe" filled="false" stroked="true" strokeweight="2pt" strokecolor="#010101">
              <v:path arrowok="t"/>
              <v:stroke dashstyle="solid"/>
            </v:shape>
            <v:shape style="position:absolute;left:4517;top:3561;width:1020;height:680" coordorigin="4518,3562" coordsize="1020,680" path="m4518,3562l4518,4241,5538,4241,4518,3562xe" filled="true" fillcolor="#dddddd" stroked="false">
              <v:path arrowok="t"/>
              <v:fill type="solid"/>
            </v:shape>
            <v:shape style="position:absolute;left:4517;top:3561;width:1020;height:680" coordorigin="4518,3562" coordsize="1020,680" path="m4518,3562l4518,4241,5538,4241,4518,3562xe" filled="false" stroked="true" strokeweight="2pt" strokecolor="#010101">
              <v:path arrowok="t"/>
              <v:stroke dashstyle="solid"/>
            </v:shape>
            <v:shape style="position:absolute;left:5537;top:4240;width:1020;height:682" coordorigin="5538,4241" coordsize="1020,682" path="m5538,4241l5538,4923,6558,4923,5538,4241xe" filled="true" fillcolor="#dddddd" stroked="false">
              <v:path arrowok="t"/>
              <v:fill type="solid"/>
            </v:shape>
            <v:shape style="position:absolute;left:5537;top:4240;width:1020;height:682" coordorigin="5538,4241" coordsize="1020,682" path="m5538,4241l5538,4923,6558,4923,5538,4241xe" filled="false" stroked="true" strokeweight="2pt" strokecolor="#010101">
              <v:path arrowok="t"/>
              <v:stroke dashstyle="solid"/>
            </v:shape>
            <v:shape style="position:absolute;left:6557;top:4922;width:1020;height:682" coordorigin="6558,4923" coordsize="1020,682" path="m6558,4923l6558,5604,7578,5604,6558,4923xe" filled="true" fillcolor="#dddddd" stroked="false">
              <v:path arrowok="t"/>
              <v:fill type="solid"/>
            </v:shape>
            <v:shape style="position:absolute;left:6557;top:4922;width:1020;height:682" coordorigin="6558,4923" coordsize="1020,682" path="m6558,4923l6558,5604,7578,5604,6558,4923xe" filled="false" stroked="true" strokeweight="2pt" strokecolor="#010101">
              <v:path arrowok="t"/>
              <v:stroke dashstyle="solid"/>
            </v:shape>
            <v:shape style="position:absolute;left:7577;top:5604;width:982;height:680" coordorigin="7578,5604" coordsize="982,680" path="m7578,5604l7578,6283,8559,6283,7578,5604xe" filled="true" fillcolor="#dddddd" stroked="false">
              <v:path arrowok="t"/>
              <v:fill type="solid"/>
            </v:shape>
            <v:shape style="position:absolute;left:7577;top:5604;width:982;height:680" coordorigin="7578,5604" coordsize="982,680" path="m7578,5604l7578,6283,8559,6283,7578,5604xe" filled="false" stroked="true" strokeweight="2pt" strokecolor="#010101">
              <v:path arrowok="t"/>
              <v:stroke dashstyle="solid"/>
            </v:shape>
            <v:rect style="position:absolute;left:2064;top:1790;width:6293;height:4253" filled="true" fillcolor="#ffffff" stroked="false">
              <v:fill type="solid"/>
            </v:rect>
            <v:shape style="position:absolute;left:2064;top:1790;width:6293;height:4253" coordorigin="2065,1791" coordsize="6293,4253" path="m2065,6043l8358,6043,8358,1791,2065,1791,2065,6043xm2065,2640l3258,2640,3258,1791,2065,1791,2065,2640xe" filled="false" stroked="true" strokeweight="2pt" strokecolor="#010101">
              <v:path arrowok="t"/>
              <v:stroke dashstyle="solid"/>
            </v:shape>
            <v:rect style="position:absolute;left:8117;top:1790;width:240;height:509" filled="true" fillcolor="#ffffff" stroked="false">
              <v:fill type="solid"/>
            </v:rect>
            <v:rect style="position:absolute;left:3257;top:1790;width:5103;height:512" filled="false" stroked="true" strokeweight="2pt" strokecolor="#010101">
              <v:stroke dashstyle="solid"/>
            </v:rect>
            <v:rect style="position:absolute;left:2064;top:5803;width:850;height:238" filled="true" fillcolor="#dddddd" stroked="false">
              <v:fill type="solid"/>
            </v:rect>
            <v:shape style="position:absolute;left:2064;top:2304;width:6293;height:3740" coordorigin="2065,2304" coordsize="6293,3740" path="m2065,6043l2917,6043,2917,2643,2065,2643,2065,6043xm2917,6043l3258,6043,3258,2643,2917,2643,2917,6043xm3258,2643l8358,2643,8358,2304,3258,2304,3258,2643xm3258,2643l4278,2643,4278,2304,3258,2304,3258,2643xm4278,2643l5298,2643,5298,2304,4278,2304,4278,2643xm5298,2643l6318,2643,6318,2304,5298,2304,5298,2643xm6318,2643l7338,2643,7338,2304,6318,2304,6318,2643xe" filled="false" stroked="true" strokeweight="2pt" strokecolor="#010101">
              <v:path arrowok="t"/>
              <v:stroke dashstyle="solid"/>
            </v:shape>
            <v:rect style="position:absolute;left:8117;top:2301;width:240;height:341" filled="true" fillcolor="#ffffff" stroked="false">
              <v:fill type="solid"/>
            </v:rect>
            <v:shape style="position:absolute;left:2916;top:2304;width:5441;height:1020" coordorigin="2917,2304" coordsize="5441,1020" path="m7338,2643l8358,2643,8358,2304,7338,2304,7338,2643xm2917,3324l3258,3324,3258,2643,2917,2643,2917,3324xe" filled="false" stroked="true" strokeweight="2pt" strokecolor="#010101">
              <v:path arrowok="t"/>
              <v:stroke dashstyle="solid"/>
            </v:shape>
            <v:rect style="position:absolute;left:2916;top:5803;width:341;height:238" filled="true" fillcolor="#dddddd" stroked="false">
              <v:fill type="solid"/>
            </v:rect>
            <v:shape style="position:absolute;left:2916;top:3324;width:341;height:2720" coordorigin="2917,3324" coordsize="341,2720" path="m2917,6043l3258,6043,3258,5364,2917,5364,2917,6043xm2917,5364l3258,5364,3258,4683,2917,4683,2917,5364xm2917,4683l3258,4683,3258,4003,2917,4003,2917,4683xm2917,4003l3258,4003,3258,3324,2917,3324,2917,4003xe" filled="false" stroked="true" strokeweight="2pt" strokecolor="#010101">
              <v:path arrowok="t"/>
              <v:stroke dashstyle="solid"/>
            </v:shape>
            <v:shape style="position:absolute;left:2064;top:1814;width:1181;height:838" coordorigin="2065,1815" coordsize="1181,838" path="m2065,1815l2065,2652,3246,2652,2065,1815xe" filled="true" fillcolor="#dddddd" stroked="false">
              <v:path arrowok="t"/>
              <v:fill type="solid"/>
            </v:shape>
            <v:shape style="position:absolute;left:2064;top:1814;width:5273;height:1510" coordorigin="2065,1815" coordsize="5273,1510" path="m2065,1815l2065,2652,3246,2652,2065,1815xm3258,3324l4278,3324,4278,2643,3258,2643,3258,3324xm4278,3324l5298,3324,5298,2643,4278,2643,4278,3324xm5298,3324l6318,3324,6318,2643,5298,2643,5298,3324xm6318,3324l7338,3324,7338,2643,6318,2643,6318,3324xe" filled="false" stroked="true" strokeweight="2pt" strokecolor="#010101">
              <v:path arrowok="t"/>
              <v:stroke dashstyle="solid"/>
            </v:shape>
            <v:rect style="position:absolute;left:8117;top:2642;width:240;height:680" filled="true" fillcolor="#ffffff" stroked="false">
              <v:fill type="solid"/>
            </v:rect>
            <v:shape style="position:absolute;left:3257;top:2642;width:5100;height:1361" coordorigin="3258,2643" coordsize="5100,1361" path="m7338,3324l8358,3324,8358,2643,7338,2643,7338,3324xm4278,4003l5298,4003,5298,3324,4278,3324,4278,4003xm3258,4003l4278,4003,4278,3324,3258,3324,3258,4003xm5298,4003l6318,4003,6318,3324,5298,3324,5298,4003xm6318,4003l7338,4003,7338,3324,6318,3324,6318,4003xe" filled="false" stroked="true" strokeweight="2pt" strokecolor="#010101">
              <v:path arrowok="t"/>
              <v:stroke dashstyle="solid"/>
            </v:shape>
            <v:rect style="position:absolute;left:8117;top:3321;width:240;height:680" filled="true" fillcolor="#ffffff" stroked="false">
              <v:fill type="solid"/>
            </v:rect>
            <v:shape style="position:absolute;left:3257;top:3324;width:5100;height:1359" coordorigin="3258,3324" coordsize="5100,1359" path="m7338,4003l8358,4003,8358,3324,7338,3324,7338,4003xm3258,4683l4278,4683,4278,4003,3258,4003,3258,4683xm4278,4683l5298,4683,5298,4003,4278,4003,4278,4683xm5298,4683l6318,4683,6318,4003,5298,4003,5298,4683xm6318,4683l7338,4683,7338,4003,6318,4003,6318,4683xe" filled="false" stroked="true" strokeweight="2pt" strokecolor="#010101">
              <v:path arrowok="t"/>
              <v:stroke dashstyle="solid"/>
            </v:shape>
            <v:rect style="position:absolute;left:8117;top:4000;width:240;height:682" filled="true" fillcolor="#ffffff" stroked="false">
              <v:fill type="solid"/>
            </v:rect>
            <v:shape style="position:absolute;left:4277;top:4003;width:4080;height:1361" coordorigin="4278,4003" coordsize="4080,1361" path="m7338,4683l8358,4683,8358,4003,7338,4003,7338,4683xm4278,5364l5298,5364,5298,4683,4278,4683,4278,5364xm6318,5364l7338,5364,7338,4683,6318,4683,6318,5364xe" filled="false" stroked="true" strokeweight="2pt" strokecolor="#010101">
              <v:path arrowok="t"/>
              <v:stroke dashstyle="solid"/>
            </v:shape>
            <v:rect style="position:absolute;left:8117;top:4682;width:240;height:680" filled="true" fillcolor="#ffffff" stroked="false">
              <v:fill type="solid"/>
            </v:rect>
            <v:shape style="position:absolute;left:3257;top:4682;width:5100;height:682" coordorigin="3258,4683" coordsize="5100,682" path="m7338,5364l8358,5364,8358,4683,7338,4683,7338,5364xm5298,5364l6318,5364,6318,4683,5298,4683,5298,5364xm3258,5364l4278,5364,4278,4683,3258,4683,3258,5364xe" filled="false" stroked="true" strokeweight="2pt" strokecolor="#010101">
              <v:path arrowok="t"/>
              <v:stroke dashstyle="solid"/>
            </v:shape>
            <v:rect style="position:absolute;left:4277;top:5803;width:1020;height:238" filled="true" fillcolor="#dddddd" stroked="false">
              <v:fill type="solid"/>
            </v:rect>
            <v:rect style="position:absolute;left:4277;top:5364;width:1020;height:680" filled="false" stroked="true" strokeweight="2pt" strokecolor="#010101">
              <v:stroke dashstyle="solid"/>
            </v:rect>
            <v:rect style="position:absolute;left:6317;top:5803;width:1020;height:238" filled="true" fillcolor="#dddddd" stroked="false">
              <v:fill type="solid"/>
            </v:rect>
            <v:rect style="position:absolute;left:6317;top:5364;width:1020;height:680" filled="false" stroked="true" strokeweight="2pt" strokecolor="#010101">
              <v:stroke dashstyle="solid"/>
            </v:rect>
            <v:rect style="position:absolute;left:7337;top:5361;width:1020;height:680" filled="true" fillcolor="#ffffff" stroked="false">
              <v:fill type="solid"/>
            </v:rect>
            <v:rect style="position:absolute;left:7337;top:5364;width:1020;height:680" filled="false" stroked="true" strokeweight="2pt" strokecolor="#010101">
              <v:stroke dashstyle="solid"/>
            </v:rect>
            <v:rect style="position:absolute;left:5297;top:5803;width:1020;height:238" filled="true" fillcolor="#dddddd" stroked="false">
              <v:fill type="solid"/>
            </v:rect>
            <v:rect style="position:absolute;left:5297;top:5364;width:1020;height:680" filled="false" stroked="true" strokeweight="2pt" strokecolor="#010101">
              <v:stroke dashstyle="solid"/>
            </v:rect>
            <v:rect style="position:absolute;left:3257;top:5803;width:1020;height:238" filled="true" fillcolor="#dddddd" stroked="false">
              <v:fill type="solid"/>
            </v:rect>
            <v:rect style="position:absolute;left:3257;top:5364;width:1020;height:680" filled="false" stroked="true" strokeweight="2pt" strokecolor="#010101">
              <v:stroke dashstyle="solid"/>
            </v:rect>
            <v:shape style="position:absolute;left:3257;top:2642;width:1020;height:680" coordorigin="3258,2643" coordsize="1020,680" path="m3258,2643l3258,3322,4278,3322,3258,2643xe" filled="true" fillcolor="#dddddd" stroked="false">
              <v:path arrowok="t"/>
              <v:fill type="solid"/>
            </v:shape>
            <v:shape style="position:absolute;left:3257;top:2642;width:1020;height:680" coordorigin="3258,2643" coordsize="1020,680" path="m3258,2643l3258,3322,4278,3322,3258,2643xe" filled="false" stroked="true" strokeweight="2pt" strokecolor="#010101">
              <v:path arrowok="t"/>
              <v:stroke dashstyle="solid"/>
            </v:shape>
            <v:shape style="position:absolute;left:4277;top:3321;width:1020;height:680" coordorigin="4278,3322" coordsize="1020,680" path="m4278,3322l4278,4001,5298,4001,4278,3322xe" filled="true" fillcolor="#dddddd" stroked="false">
              <v:path arrowok="t"/>
              <v:fill type="solid"/>
            </v:shape>
            <v:shape style="position:absolute;left:4277;top:3321;width:1020;height:680" coordorigin="4278,3322" coordsize="1020,680" path="m4278,3322l4278,4001,5298,4001,4278,3322xe" filled="false" stroked="true" strokeweight="2pt" strokecolor="#010101">
              <v:path arrowok="t"/>
              <v:stroke dashstyle="solid"/>
            </v:shape>
            <v:shape style="position:absolute;left:5297;top:4000;width:1020;height:682" coordorigin="5298,4001" coordsize="1020,682" path="m5298,4001l5298,4683,6318,4683,5298,4001xe" filled="true" fillcolor="#dddddd" stroked="false">
              <v:path arrowok="t"/>
              <v:fill type="solid"/>
            </v:shape>
            <v:shape style="position:absolute;left:5297;top:4000;width:1020;height:682" coordorigin="5298,4001" coordsize="1020,682" path="m5298,4001l5298,4683,6318,4683,5298,4001xe" filled="false" stroked="true" strokeweight="2pt" strokecolor="#010101">
              <v:path arrowok="t"/>
              <v:stroke dashstyle="solid"/>
            </v:shape>
            <v:shape style="position:absolute;left:6317;top:4682;width:1020;height:682" coordorigin="6318,4683" coordsize="1020,682" path="m6318,4683l6318,5364,7338,5364,6318,4683xe" filled="true" fillcolor="#dddddd" stroked="false">
              <v:path arrowok="t"/>
              <v:fill type="solid"/>
            </v:shape>
            <v:shape style="position:absolute;left:6317;top:4682;width:1020;height:682" coordorigin="6318,4683" coordsize="1020,682" path="m6318,4683l6318,5364,7338,5364,6318,4683xe" filled="false" stroked="true" strokeweight="2pt" strokecolor="#010101">
              <v:path arrowok="t"/>
              <v:stroke dashstyle="solid"/>
            </v:shape>
            <v:shape style="position:absolute;left:7337;top:5364;width:982;height:680" coordorigin="7338,5364" coordsize="982,680" path="m7338,5364l7338,6043,8319,6043,7338,5364xe" filled="true" fillcolor="#dddddd" stroked="false">
              <v:path arrowok="t"/>
              <v:fill type="solid"/>
            </v:shape>
            <v:shape style="position:absolute;left:7337;top:5364;width:982;height:680" coordorigin="7338,5364" coordsize="982,680" path="m7338,5364l7338,6043,8319,6043,7338,5364xe" filled="false" stroked="true" strokeweight="2pt" strokecolor="#010101">
              <v:path arrowok="t"/>
              <v:stroke dashstyle="solid"/>
            </v:shape>
            <v:rect style="position:absolute;left:1824;top:1550;width:6293;height:4253" filled="true" fillcolor="#ffffff" stroked="false">
              <v:fill type="solid"/>
            </v:rect>
            <v:rect style="position:absolute;left:1824;top:1550;width:6293;height:4253" filled="false" stroked="true" strokeweight="2.0pt" strokecolor="#010101">
              <v:stroke dashstyle="solid"/>
            </v:rect>
            <v:rect style="position:absolute;left:1824;top:1550;width:1191;height:850" filled="true" fillcolor="#ffffff" stroked="false">
              <v:fill type="solid"/>
            </v:rect>
            <v:rect style="position:absolute;left:1824;top:1550;width:1193;height:850" filled="false" stroked="true" strokeweight="2pt" strokecolor="#010101">
              <v:stroke dashstyle="solid"/>
            </v:rect>
            <v:rect style="position:absolute;left:3017;top:1550;width:5100;height:509" filled="true" fillcolor="#ffffff" stroked="false">
              <v:fill type="solid"/>
            </v:rect>
            <v:rect style="position:absolute;left:3017;top:1550;width:5103;height:512" filled="false" stroked="true" strokeweight="2pt" strokecolor="#010101">
              <v:stroke dashstyle="solid"/>
            </v:rect>
            <v:rect style="position:absolute;left:1824;top:2400;width:850;height:3401" filled="true" fillcolor="#dddddd" stroked="false">
              <v:fill type="solid"/>
            </v:rect>
            <v:shape style="position:absolute;left:1824;top:2064;width:6293;height:3740" coordorigin="1825,2064" coordsize="6293,3740" path="m1825,5803l2677,5803,2677,2403,1825,2403,1825,5803xm2677,5803l3018,5803,3018,2403,2677,2403,2677,5803xm3018,2403l8118,2403,8118,2064,3018,2064,3018,2403xe" filled="false" stroked="true" strokeweight="2pt" strokecolor="#010101">
              <v:path arrowok="t"/>
              <v:stroke dashstyle="solid"/>
            </v:shape>
            <v:rect style="position:absolute;left:3017;top:2061;width:1020;height:341" filled="true" fillcolor="#ffffff" stroked="false">
              <v:fill type="solid"/>
            </v:rect>
            <v:rect style="position:absolute;left:3017;top:2064;width:1020;height:339" filled="false" stroked="true" strokeweight="2pt" strokecolor="#010101">
              <v:stroke dashstyle="solid"/>
            </v:rect>
            <v:rect style="position:absolute;left:4037;top:2061;width:1020;height:341" filled="true" fillcolor="#ffffff" stroked="false">
              <v:fill type="solid"/>
            </v:rect>
            <v:rect style="position:absolute;left:4037;top:2064;width:1020;height:339" filled="false" stroked="true" strokeweight="2pt" strokecolor="#010101">
              <v:stroke dashstyle="solid"/>
            </v:rect>
            <v:rect style="position:absolute;left:5057;top:2061;width:1020;height:341" filled="true" fillcolor="#ffffff" stroked="false">
              <v:fill type="solid"/>
            </v:rect>
            <v:rect style="position:absolute;left:5057;top:2064;width:1020;height:339" filled="false" stroked="true" strokeweight="2pt" strokecolor="#010101">
              <v:stroke dashstyle="solid"/>
            </v:rect>
            <v:rect style="position:absolute;left:6077;top:2061;width:1020;height:341" filled="true" fillcolor="#ffffff" stroked="false">
              <v:fill type="solid"/>
            </v:rect>
            <v:rect style="position:absolute;left:6077;top:2064;width:1020;height:339" filled="false" stroked="true" strokeweight="2pt" strokecolor="#010101">
              <v:stroke dashstyle="solid"/>
            </v:rect>
            <v:rect style="position:absolute;left:7097;top:2061;width:1020;height:341" filled="true" fillcolor="#ffffff" stroked="false">
              <v:fill type="solid"/>
            </v:rect>
            <v:rect style="position:absolute;left:7097;top:2064;width:1020;height:339" filled="false" stroked="true" strokeweight="2pt" strokecolor="#010101">
              <v:stroke dashstyle="solid"/>
            </v:rect>
            <v:rect style="position:absolute;left:2676;top:2402;width:341;height:680" filled="true" fillcolor="#dddddd" stroked="false">
              <v:fill type="solid"/>
            </v:rect>
            <v:rect style="position:absolute;left:2676;top:2402;width:341;height:682" filled="false" stroked="true" strokeweight="2pt" strokecolor="#010101">
              <v:stroke dashstyle="solid"/>
            </v:rect>
            <v:rect style="position:absolute;left:2676;top:5121;width:341;height:680" filled="true" fillcolor="#dddddd" stroked="false">
              <v:fill type="solid"/>
            </v:rect>
            <v:rect style="position:absolute;left:2676;top:5124;width:341;height:680" filled="false" stroked="true" strokeweight="2pt" strokecolor="#010101">
              <v:stroke dashstyle="solid"/>
            </v:rect>
            <v:rect style="position:absolute;left:2676;top:4442;width:341;height:680" filled="true" fillcolor="#dddddd" stroked="false">
              <v:fill type="solid"/>
            </v:rect>
            <v:rect style="position:absolute;left:2676;top:4442;width:341;height:682" filled="false" stroked="true" strokeweight="2pt" strokecolor="#010101">
              <v:stroke dashstyle="solid"/>
            </v:rect>
            <v:rect style="position:absolute;left:2676;top:3760;width:341;height:682" filled="true" fillcolor="#dddddd" stroked="false">
              <v:fill type="solid"/>
            </v:rect>
            <v:rect style="position:absolute;left:2676;top:3763;width:341;height:680" filled="false" stroked="true" strokeweight="2pt" strokecolor="#010101">
              <v:stroke dashstyle="solid"/>
            </v:rect>
            <v:rect style="position:absolute;left:2676;top:3081;width:341;height:680" filled="true" fillcolor="#dddddd" stroked="false">
              <v:fill type="solid"/>
            </v:rect>
            <v:rect style="position:absolute;left:2676;top:3084;width:341;height:680" filled="false" stroked="true" strokeweight="2pt" strokecolor="#010101">
              <v:stroke dashstyle="solid"/>
            </v:rect>
            <v:shape style="position:absolute;left:1824;top:1574;width:1181;height:838" coordorigin="1825,1575" coordsize="1181,838" path="m1825,1575l1825,2412,3006,2412,1825,1575xe" filled="true" fillcolor="#dddddd" stroked="false">
              <v:path arrowok="t"/>
              <v:fill type="solid"/>
            </v:shape>
            <v:shape style="position:absolute;left:1824;top:1574;width:1181;height:838" coordorigin="1825,1575" coordsize="1181,838" path="m1825,1575l1825,2412,3006,2412,1825,1575xe" filled="false" stroked="true" strokeweight="2.0pt" strokecolor="#010101">
              <v:path arrowok="t"/>
              <v:stroke dashstyle="solid"/>
            </v:shape>
            <v:rect style="position:absolute;left:3017;top:2402;width:1020;height:680" filled="true" fillcolor="#ffffff" stroked="false">
              <v:fill type="solid"/>
            </v:rect>
            <v:rect style="position:absolute;left:3017;top:2402;width:1020;height:682" filled="false" stroked="true" strokeweight="2pt" strokecolor="#010101">
              <v:stroke dashstyle="solid"/>
            </v:rect>
            <v:rect style="position:absolute;left:4037;top:2402;width:1020;height:680" filled="true" fillcolor="#ffffff" stroked="false">
              <v:fill type="solid"/>
            </v:rect>
            <v:rect style="position:absolute;left:4037;top:2402;width:1020;height:682" filled="false" stroked="true" strokeweight="2pt" strokecolor="#010101">
              <v:stroke dashstyle="solid"/>
            </v:rect>
            <v:rect style="position:absolute;left:5057;top:2402;width:1020;height:680" filled="true" fillcolor="#ffffff" stroked="false">
              <v:fill type="solid"/>
            </v:rect>
            <v:rect style="position:absolute;left:5057;top:2402;width:1020;height:682" filled="false" stroked="true" strokeweight="2pt" strokecolor="#010101">
              <v:stroke dashstyle="solid"/>
            </v:rect>
            <v:rect style="position:absolute;left:6077;top:2402;width:1020;height:680" filled="true" fillcolor="#ffffff" stroked="false">
              <v:fill type="solid"/>
            </v:rect>
            <v:rect style="position:absolute;left:6077;top:2402;width:1020;height:682" filled="false" stroked="true" strokeweight="2pt" strokecolor="#010101">
              <v:stroke dashstyle="solid"/>
            </v:rect>
            <v:rect style="position:absolute;left:7097;top:2402;width:1020;height:680" filled="true" fillcolor="#ffffff" stroked="false">
              <v:fill type="solid"/>
            </v:rect>
            <v:rect style="position:absolute;left:7097;top:2402;width:1020;height:682" filled="false" stroked="true" strokeweight="2pt" strokecolor="#010101">
              <v:stroke dashstyle="solid"/>
            </v:rect>
            <v:rect style="position:absolute;left:4037;top:3081;width:1020;height:680" filled="true" fillcolor="#ffffff" stroked="false">
              <v:fill type="solid"/>
            </v:rect>
            <v:rect style="position:absolute;left:4037;top:3084;width:1020;height:680" filled="false" stroked="true" strokeweight="2pt" strokecolor="#010101">
              <v:stroke dashstyle="solid"/>
            </v:rect>
            <v:rect style="position:absolute;left:3017;top:3081;width:1020;height:680" filled="true" fillcolor="#dddddd" stroked="false">
              <v:fill type="solid"/>
            </v:rect>
            <v:rect style="position:absolute;left:3017;top:3084;width:1020;height:680" filled="false" stroked="true" strokeweight="2pt" strokecolor="#010101">
              <v:stroke dashstyle="solid"/>
            </v:rect>
            <v:rect style="position:absolute;left:5057;top:3081;width:1020;height:680" filled="true" fillcolor="#ffffff" stroked="false">
              <v:fill type="solid"/>
            </v:rect>
            <v:rect style="position:absolute;left:5057;top:3084;width:1020;height:680" filled="false" stroked="true" strokeweight="2pt" strokecolor="#010101">
              <v:stroke dashstyle="solid"/>
            </v:rect>
            <v:rect style="position:absolute;left:6077;top:3081;width:1020;height:680" filled="true" fillcolor="#ffffff" stroked="false">
              <v:fill type="solid"/>
            </v:rect>
            <v:rect style="position:absolute;left:6077;top:3084;width:1020;height:680" filled="false" stroked="true" strokeweight="2pt" strokecolor="#010101">
              <v:stroke dashstyle="solid"/>
            </v:rect>
            <v:rect style="position:absolute;left:7097;top:3081;width:1020;height:680" filled="true" fillcolor="#ffffff" stroked="false">
              <v:fill type="solid"/>
            </v:rect>
            <v:rect style="position:absolute;left:7097;top:3084;width:1020;height:680" filled="false" stroked="true" strokeweight="2pt" strokecolor="#010101">
              <v:stroke dashstyle="solid"/>
            </v:rect>
            <v:rect style="position:absolute;left:3017;top:3760;width:1020;height:682" filled="true" fillcolor="#dddddd" stroked="false">
              <v:fill type="solid"/>
            </v:rect>
            <v:rect style="position:absolute;left:3017;top:3763;width:1020;height:680" filled="false" stroked="true" strokeweight="2pt" strokecolor="#010101">
              <v:stroke dashstyle="solid"/>
            </v:rect>
            <v:rect style="position:absolute;left:4037;top:3760;width:1020;height:682" filled="true" fillcolor="#dddddd" stroked="false">
              <v:fill type="solid"/>
            </v:rect>
            <v:rect style="position:absolute;left:4037;top:3763;width:1020;height:680" filled="false" stroked="true" strokeweight="2pt" strokecolor="#010101">
              <v:stroke dashstyle="solid"/>
            </v:rect>
            <v:rect style="position:absolute;left:5057;top:3760;width:1020;height:682" filled="true" fillcolor="#ffffff" stroked="false">
              <v:fill type="solid"/>
            </v:rect>
            <v:rect style="position:absolute;left:5057;top:3763;width:1020;height:680" filled="false" stroked="true" strokeweight="2pt" strokecolor="#010101">
              <v:stroke dashstyle="solid"/>
            </v:rect>
            <v:rect style="position:absolute;left:6077;top:3760;width:1020;height:682" filled="true" fillcolor="#ffffff" stroked="false">
              <v:fill type="solid"/>
            </v:rect>
            <v:rect style="position:absolute;left:6077;top:3763;width:1020;height:680" filled="false" stroked="true" strokeweight="2pt" strokecolor="#010101">
              <v:stroke dashstyle="solid"/>
            </v:rect>
            <v:rect style="position:absolute;left:7097;top:3760;width:1020;height:682" filled="true" fillcolor="#ffffff" stroked="false">
              <v:fill type="solid"/>
            </v:rect>
            <v:rect style="position:absolute;left:7097;top:3763;width:1020;height:680" filled="false" stroked="true" strokeweight="2pt" strokecolor="#010101">
              <v:stroke dashstyle="solid"/>
            </v:rect>
            <v:rect style="position:absolute;left:4037;top:4442;width:1020;height:680" filled="true" fillcolor="#dddddd" stroked="false">
              <v:fill type="solid"/>
            </v:rect>
            <v:rect style="position:absolute;left:4037;top:4442;width:1020;height:682" filled="false" stroked="true" strokeweight="2pt" strokecolor="#010101">
              <v:stroke dashstyle="solid"/>
            </v:rect>
            <v:rect style="position:absolute;left:6077;top:4442;width:1020;height:680" filled="true" fillcolor="#ffffff" stroked="false">
              <v:fill type="solid"/>
            </v:rect>
            <v:rect style="position:absolute;left:6077;top:4442;width:1020;height:682" filled="false" stroked="true" strokeweight="2pt" strokecolor="#010101">
              <v:stroke dashstyle="solid"/>
            </v:rect>
            <v:rect style="position:absolute;left:7097;top:4442;width:1020;height:680" filled="true" fillcolor="#ffffff" stroked="false">
              <v:fill type="solid"/>
            </v:rect>
            <v:rect style="position:absolute;left:7097;top:4442;width:1020;height:682" filled="false" stroked="true" strokeweight="2pt" strokecolor="#010101">
              <v:stroke dashstyle="solid"/>
            </v:rect>
            <v:rect style="position:absolute;left:5057;top:4442;width:1020;height:680" filled="true" fillcolor="#dddddd" stroked="false">
              <v:fill type="solid"/>
            </v:rect>
            <v:rect style="position:absolute;left:5057;top:4442;width:1020;height:682" filled="false" stroked="true" strokeweight="2pt" strokecolor="#010101">
              <v:stroke dashstyle="solid"/>
            </v:rect>
            <v:rect style="position:absolute;left:3017;top:4442;width:1020;height:680" filled="true" fillcolor="#dddddd" stroked="false">
              <v:fill type="solid"/>
            </v:rect>
            <v:rect style="position:absolute;left:3017;top:4442;width:1020;height:682" filled="false" stroked="true" strokeweight="2pt" strokecolor="#010101">
              <v:stroke dashstyle="solid"/>
            </v:rect>
            <v:rect style="position:absolute;left:4037;top:5121;width:1020;height:680" filled="true" fillcolor="#dddddd" stroked="false">
              <v:fill type="solid"/>
            </v:rect>
            <v:rect style="position:absolute;left:4037;top:5124;width:1020;height:680" filled="false" stroked="true" strokeweight="2pt" strokecolor="#010101">
              <v:stroke dashstyle="solid"/>
            </v:rect>
            <v:rect style="position:absolute;left:6077;top:5121;width:1020;height:680" filled="true" fillcolor="#dddddd" stroked="false">
              <v:fill type="solid"/>
            </v:rect>
            <v:rect style="position:absolute;left:6077;top:5124;width:1020;height:680" filled="false" stroked="true" strokeweight="2pt" strokecolor="#010101">
              <v:stroke dashstyle="solid"/>
            </v:rect>
            <v:rect style="position:absolute;left:7097;top:5121;width:1020;height:680" filled="true" fillcolor="#ffffff" stroked="false">
              <v:fill type="solid"/>
            </v:rect>
            <v:rect style="position:absolute;left:7097;top:5124;width:1020;height:680" filled="false" stroked="true" strokeweight="2pt" strokecolor="#010101">
              <v:stroke dashstyle="solid"/>
            </v:rect>
            <v:rect style="position:absolute;left:5057;top:5121;width:1020;height:680" filled="true" fillcolor="#dddddd" stroked="false">
              <v:fill type="solid"/>
            </v:rect>
            <v:rect style="position:absolute;left:5057;top:5124;width:1020;height:680" filled="false" stroked="true" strokeweight="2pt" strokecolor="#010101">
              <v:stroke dashstyle="solid"/>
            </v:rect>
            <v:rect style="position:absolute;left:3017;top:5121;width:1020;height:680" filled="true" fillcolor="#dddddd" stroked="false">
              <v:fill type="solid"/>
            </v:rect>
            <v:rect style="position:absolute;left:3017;top:5124;width:1020;height:680" filled="false" stroked="true" strokeweight="2pt" strokecolor="#010101">
              <v:stroke dashstyle="solid"/>
            </v:rect>
            <v:shape style="position:absolute;left:3017;top:2402;width:1020;height:680" coordorigin="3018,2403" coordsize="1020,680" path="m3018,2403l3018,3082,4038,3082,3018,2403xe" filled="true" fillcolor="#dddddd" stroked="false">
              <v:path arrowok="t"/>
              <v:fill type="solid"/>
            </v:shape>
            <v:shape style="position:absolute;left:3017;top:2402;width:1020;height:680" coordorigin="3018,2403" coordsize="1020,680" path="m3018,2403l3018,3082,4038,3082,3018,2403xe" filled="false" stroked="true" strokeweight="2pt" strokecolor="#010101">
              <v:path arrowok="t"/>
              <v:stroke dashstyle="solid"/>
            </v:shape>
            <v:shape style="position:absolute;left:4037;top:3081;width:1020;height:680" coordorigin="4038,3082" coordsize="1020,680" path="m4038,3082l4038,3761,5058,3761,4038,3082xe" filled="true" fillcolor="#dddddd" stroked="false">
              <v:path arrowok="t"/>
              <v:fill type="solid"/>
            </v:shape>
            <v:shape style="position:absolute;left:4037;top:3081;width:1020;height:680" coordorigin="4038,3082" coordsize="1020,680" path="m4038,3082l4038,3761,5058,3761,4038,3082xe" filled="false" stroked="true" strokeweight="2pt" strokecolor="#010101">
              <v:path arrowok="t"/>
              <v:stroke dashstyle="solid"/>
            </v:shape>
            <v:shape style="position:absolute;left:5057;top:3760;width:1020;height:682" coordorigin="5058,3761" coordsize="1020,682" path="m5058,3761l5058,4443,6078,4443,5058,3761xe" filled="true" fillcolor="#dddddd" stroked="false">
              <v:path arrowok="t"/>
              <v:fill type="solid"/>
            </v:shape>
            <v:shape style="position:absolute;left:5057;top:3760;width:1020;height:682" coordorigin="5058,3761" coordsize="1020,682" path="m5058,3761l5058,4443,6078,4443,5058,3761xe" filled="false" stroked="true" strokeweight="2pt" strokecolor="#010101">
              <v:path arrowok="t"/>
              <v:stroke dashstyle="solid"/>
            </v:shape>
            <v:shape style="position:absolute;left:6077;top:4442;width:1020;height:682" coordorigin="6078,4443" coordsize="1020,682" path="m6078,4443l6078,5124,7098,5124,6078,4443xe" filled="true" fillcolor="#dddddd" stroked="false">
              <v:path arrowok="t"/>
              <v:fill type="solid"/>
            </v:shape>
            <v:shape style="position:absolute;left:6077;top:4442;width:1020;height:682" coordorigin="6078,4443" coordsize="1020,682" path="m6078,4443l6078,5124,7098,5124,6078,4443xe" filled="false" stroked="true" strokeweight="2pt" strokecolor="#010101">
              <v:path arrowok="t"/>
              <v:stroke dashstyle="solid"/>
            </v:shape>
            <v:shape style="position:absolute;left:7097;top:5124;width:982;height:680" coordorigin="7098,5124" coordsize="982,680" path="m7098,5124l7098,5803,8079,5803,7098,5124xe" filled="true" fillcolor="#dddddd" stroked="false">
              <v:path arrowok="t"/>
              <v:fill type="solid"/>
            </v:shape>
            <v:shape style="position:absolute;left:7097;top:5124;width:982;height:680" coordorigin="7098,5124" coordsize="982,680" path="m7098,5124l7098,5803,8079,5803,7098,5124xe" filled="false" stroked="true" strokeweight="2pt" strokecolor="#010101">
              <v:path arrowok="t"/>
              <v:stroke dashstyle="solid"/>
            </v:shape>
            <v:shape style="position:absolute;left:1719;top:784;width:2400;height:1872" coordorigin="1719,785" coordsize="2400,1872" path="m3601,1359l3032,1359,4119,2657,3601,1359xm3970,785l1719,785,1719,1359,3970,1359,3970,785xe" filled="true" fillcolor="#010101" stroked="false">
              <v:path arrowok="t"/>
              <v:fill type="solid"/>
            </v:shape>
            <v:shape style="position:absolute;left:1719;top:784;width:2400;height:1872" coordorigin="1719,785" coordsize="2400,1872" path="m1719,785l1719,1359,3032,1359,4119,2657,3601,1359,3970,1359,3970,785,1719,785xe" filled="false" stroked="true" strokeweight=".5pt" strokecolor="#010101">
              <v:path arrowok="t"/>
              <v:stroke dashstyle="solid"/>
            </v:shape>
            <v:shape style="position:absolute;left:1599;top:804;width:2499;height:1848" coordorigin="1599,804" coordsize="2499,1848" path="m3558,1371l2965,1371,4098,2652,3558,1371xm3944,804l1599,804,1599,1371,3944,1371,3944,804xe" filled="true" fillcolor="#eaeaea" stroked="false">
              <v:path arrowok="t"/>
              <v:fill type="solid"/>
            </v:shape>
            <v:shape style="position:absolute;left:1599;top:804;width:2499;height:1848" coordorigin="1599,804" coordsize="2499,1848" path="m1599,804l1599,1371,2965,1371,4098,2652,3558,1371,3944,1371,3944,804,1599,804xe" filled="false" stroked="true" strokeweight=".5pt" strokecolor="#010101">
              <v:path arrowok="t"/>
              <v:stroke dashstyle="solid"/>
            </v:shape>
            <v:shape style="position:absolute;left:8468;top:602;width:1560;height:1812" coordorigin="8468,603" coordsize="1560,1812" path="m9118,2043l8727,2043,8521,2415,9118,2043xm10028,603l8468,603,8468,2043,10028,2043,10028,603xe" filled="true" fillcolor="#010101" stroked="false">
              <v:path arrowok="t"/>
              <v:fill type="solid"/>
            </v:shape>
            <v:shape style="position:absolute;left:8468;top:602;width:1560;height:1812" coordorigin="8468,603" coordsize="1560,1812" path="m8468,603l8468,2043,8727,2043,8521,2415,9118,2043,10028,2043,10028,603,8727,603,8468,603xe" filled="false" stroked="true" strokeweight=".75pt" strokecolor="#010101">
              <v:path arrowok="t"/>
              <v:stroke dashstyle="solid"/>
            </v:shape>
            <v:shape style="position:absolute;left:8439;top:624;width:1560;height:1728" coordorigin="8439,624" coordsize="1560,1728" path="m9090,2064l8701,2064,8552,2352,9090,2064xm9999,624l8439,624,8439,2064,9999,2064,9999,624xe" filled="true" fillcolor="#dddddd" stroked="false">
              <v:path arrowok="t"/>
              <v:fill type="solid"/>
            </v:shape>
            <v:shape style="position:absolute;left:8439;top:624;width:1560;height:1728" coordorigin="8439,624" coordsize="1560,1728" path="m8439,624l8439,2064,8701,2064,8552,2352,9090,2064,9999,2064,9999,624,8701,624,8439,624xe" filled="false" stroked="true" strokeweight=".75pt" strokecolor="#010101">
              <v:path arrowok="t"/>
              <v:stroke dashstyle="solid"/>
            </v:shape>
            <v:shape style="position:absolute;left:1712;top:821;width:2060;height:485" type="#_x0000_t202" filled="false" stroked="false">
              <v:textbox inset="0,0,0,0">
                <w:txbxContent>
                  <w:p>
                    <w:pPr>
                      <w:spacing w:line="221" w:lineRule="exact" w:before="0"/>
                      <w:ind w:left="0" w:right="0" w:firstLine="0"/>
                      <w:jc w:val="left"/>
                      <w:rPr>
                        <w:sz w:val="20"/>
                      </w:rPr>
                    </w:pPr>
                    <w:r>
                      <w:rPr>
                        <w:sz w:val="20"/>
                      </w:rPr>
                      <w:t>c = C stock change factor</w:t>
                    </w:r>
                  </w:p>
                  <w:p>
                    <w:pPr>
                      <w:spacing w:before="34"/>
                      <w:ind w:left="283" w:right="0" w:firstLine="0"/>
                      <w:jc w:val="left"/>
                      <w:rPr>
                        <w:sz w:val="20"/>
                      </w:rPr>
                    </w:pPr>
                    <w:r>
                      <w:rPr>
                        <w:sz w:val="20"/>
                      </w:rPr>
                      <w:t>(Mg C/ha/yr)</w:t>
                    </w:r>
                  </w:p>
                </w:txbxContent>
              </v:textbox>
              <w10:wrap type="none"/>
            </v:shape>
            <v:shape style="position:absolute;left:4306;top:1658;width:2540;height:314" type="#_x0000_t202" filled="false" stroked="false">
              <v:textbox inset="0,0,0,0">
                <w:txbxContent>
                  <w:p>
                    <w:pPr>
                      <w:spacing w:line="314" w:lineRule="exact" w:before="0"/>
                      <w:ind w:left="0" w:right="0" w:firstLine="0"/>
                      <w:jc w:val="left"/>
                      <w:rPr>
                        <w:rFonts w:ascii="Arial" w:hAnsi="Arial"/>
                        <w:b/>
                        <w:sz w:val="28"/>
                      </w:rPr>
                    </w:pPr>
                    <w:r>
                      <w:rPr>
                        <w:rFonts w:ascii="Arial" w:hAnsi="Arial"/>
                        <w:b/>
                        <w:sz w:val="28"/>
                      </w:rPr>
                      <w:t>‘New’ Management</w:t>
                    </w:r>
                  </w:p>
                </w:txbxContent>
              </v:textbox>
              <w10:wrap type="none"/>
            </v:shape>
            <v:shape style="position:absolute;left:8631;top:698;width:1198;height:1145" type="#_x0000_t202" filled="false" stroked="false">
              <v:textbox inset="0,0,0,0">
                <w:txbxContent>
                  <w:p>
                    <w:pPr>
                      <w:spacing w:line="240" w:lineRule="auto" w:before="0"/>
                      <w:ind w:left="0" w:right="18" w:hanging="3"/>
                      <w:jc w:val="center"/>
                      <w:rPr>
                        <w:sz w:val="20"/>
                      </w:rPr>
                    </w:pPr>
                    <w:r>
                      <w:rPr>
                        <w:sz w:val="20"/>
                      </w:rPr>
                      <w:t>Each ‘layer’ represents a different set of biophysical conditions</w:t>
                    </w:r>
                  </w:p>
                </w:txbxContent>
              </v:textbox>
              <w10:wrap type="none"/>
            </v:shape>
            <v:shape style="position:absolute;left:3471;top:2106;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1</w:t>
                    </w:r>
                  </w:p>
                </w:txbxContent>
              </v:textbox>
              <w10:wrap type="none"/>
            </v:shape>
            <v:shape style="position:absolute;left:2792;top:2637;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1</w:t>
                    </w:r>
                  </w:p>
                </w:txbxContent>
              </v:textbox>
              <w10:wrap type="none"/>
            </v:shape>
            <v:shape style="position:absolute;left:4200;top:2106;width:790;height:617" type="#_x0000_t202" filled="false" stroked="false">
              <v:textbox inset="0,0,0,0">
                <w:txbxContent>
                  <w:p>
                    <w:pPr>
                      <w:spacing w:line="223" w:lineRule="exact" w:before="0"/>
                      <w:ind w:left="0" w:right="96" w:firstLine="0"/>
                      <w:jc w:val="center"/>
                      <w:rPr>
                        <w:rFonts w:ascii="Arial"/>
                        <w:b/>
                        <w:sz w:val="20"/>
                      </w:rPr>
                    </w:pPr>
                    <w:r>
                      <w:rPr>
                        <w:rFonts w:ascii="Arial"/>
                        <w:b/>
                        <w:w w:val="99"/>
                        <w:sz w:val="20"/>
                      </w:rPr>
                      <w:t>2</w:t>
                    </w:r>
                  </w:p>
                  <w:p>
                    <w:pPr>
                      <w:spacing w:before="163"/>
                      <w:ind w:left="0" w:right="18" w:firstLine="0"/>
                      <w:jc w:val="center"/>
                      <w:rPr>
                        <w:rFonts w:ascii="Arial" w:hAnsi="Arial"/>
                        <w:sz w:val="20"/>
                      </w:rPr>
                    </w:pPr>
                    <w:r>
                      <w:rPr>
                        <w:rFonts w:ascii="Arial" w:hAnsi="Arial"/>
                        <w:sz w:val="20"/>
                      </w:rPr>
                      <w:t>c = – </w:t>
                    </w:r>
                    <w:r>
                      <w:rPr>
                        <w:rFonts w:ascii="Arial" w:hAnsi="Arial"/>
                        <w:spacing w:val="-7"/>
                        <w:sz w:val="20"/>
                      </w:rPr>
                      <w:t>0.5</w:t>
                    </w:r>
                  </w:p>
                </w:txbxContent>
              </v:textbox>
              <w10:wrap type="none"/>
            </v:shape>
            <v:shape style="position:absolute;left:5511;top:2106;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3</w:t>
                    </w:r>
                  </w:p>
                </w:txbxContent>
              </v:textbox>
              <w10:wrap type="none"/>
            </v:shape>
            <v:shape style="position:absolute;left:6531;top:2106;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4</w:t>
                    </w:r>
                  </w:p>
                </w:txbxContent>
              </v:textbox>
              <w10:wrap type="none"/>
            </v:shape>
            <v:shape style="position:absolute;left:5220;top:2498;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6240;top:2500;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7263;top:2106;width:464;height:617" type="#_x0000_t202" filled="false" stroked="false">
              <v:textbox inset="0,0,0,0">
                <w:txbxContent>
                  <w:p>
                    <w:pPr>
                      <w:spacing w:line="223" w:lineRule="exact" w:before="0"/>
                      <w:ind w:left="244" w:right="0" w:firstLine="0"/>
                      <w:jc w:val="left"/>
                      <w:rPr>
                        <w:rFonts w:ascii="Arial" w:hAnsi="Arial"/>
                        <w:b/>
                        <w:sz w:val="20"/>
                      </w:rPr>
                    </w:pPr>
                    <w:r>
                      <w:rPr>
                        <w:rFonts w:ascii="Arial" w:hAnsi="Arial"/>
                        <w:b/>
                        <w:w w:val="99"/>
                        <w:sz w:val="20"/>
                      </w:rPr>
                      <w:t>…</w:t>
                    </w:r>
                  </w:p>
                  <w:p>
                    <w:pPr>
                      <w:spacing w:before="163"/>
                      <w:ind w:left="0" w:right="0" w:firstLine="0"/>
                      <w:jc w:val="left"/>
                      <w:rPr>
                        <w:rFonts w:ascii="Arial"/>
                        <w:sz w:val="20"/>
                      </w:rPr>
                    </w:pPr>
                    <w:r>
                      <w:rPr>
                        <w:rFonts w:ascii="Arial"/>
                        <w:sz w:val="20"/>
                      </w:rPr>
                      <w:t>c =</w:t>
                    </w:r>
                  </w:p>
                </w:txbxContent>
              </v:textbox>
              <w10:wrap type="none"/>
            </v:shape>
            <v:shape style="position:absolute;left:2792;top:3292;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2</w:t>
                    </w:r>
                  </w:p>
                </w:txbxContent>
              </v:textbox>
              <w10:wrap type="none"/>
            </v:shape>
            <v:shape style="position:absolute;left:3180;top:3177;width:626;height:223" type="#_x0000_t202" filled="false" stroked="false">
              <v:textbox inset="0,0,0,0">
                <w:txbxContent>
                  <w:p>
                    <w:pPr>
                      <w:spacing w:line="223" w:lineRule="exact" w:before="0"/>
                      <w:ind w:left="0" w:right="0" w:firstLine="0"/>
                      <w:jc w:val="left"/>
                      <w:rPr>
                        <w:rFonts w:ascii="Arial"/>
                        <w:sz w:val="20"/>
                      </w:rPr>
                    </w:pPr>
                    <w:r>
                      <w:rPr>
                        <w:rFonts w:ascii="Arial"/>
                        <w:sz w:val="20"/>
                      </w:rPr>
                      <w:t>c = 0.5</w:t>
                    </w:r>
                  </w:p>
                </w:txbxContent>
              </v:textbox>
              <w10:wrap type="none"/>
            </v:shape>
            <v:shape style="position:absolute;left:5220;top:3179;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6240;top:3179;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7263;top:3179;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2792;top:3974;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3</w:t>
                    </w:r>
                  </w:p>
                </w:txbxContent>
              </v:textbox>
              <w10:wrap type="none"/>
            </v:shape>
            <v:shape style="position:absolute;left:3180;top:3856;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4200;top:3858;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6240;top:3858;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7263;top:3858;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2792;top:4653;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4</w:t>
                    </w:r>
                  </w:p>
                </w:txbxContent>
              </v:textbox>
              <w10:wrap type="none"/>
            </v:shape>
            <v:shape style="position:absolute;left:3180;top:4538;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4200;top:4540;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5220;top:4540;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7263;top:4540;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2820;top:5366;width:76;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w:t>
                    </w:r>
                  </w:p>
                </w:txbxContent>
              </v:textbox>
              <w10:wrap type="none"/>
            </v:shape>
            <v:shape style="position:absolute;left:3180;top:5217;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4200;top:5219;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5220;top:5219;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v:shape style="position:absolute;left:6240;top:5219;width:293;height:223" type="#_x0000_t202" filled="false" stroked="false">
              <v:textbox inset="0,0,0,0">
                <w:txbxContent>
                  <w:p>
                    <w:pPr>
                      <w:spacing w:line="223" w:lineRule="exact" w:before="0"/>
                      <w:ind w:left="0" w:right="0" w:firstLine="0"/>
                      <w:jc w:val="left"/>
                      <w:rPr>
                        <w:rFonts w:ascii="Arial"/>
                        <w:sz w:val="20"/>
                      </w:rPr>
                    </w:pPr>
                    <w:r>
                      <w:rPr>
                        <w:rFonts w:ascii="Arial"/>
                        <w:sz w:val="20"/>
                      </w:rPr>
                      <w:t>c =</w:t>
                    </w:r>
                  </w:p>
                </w:txbxContent>
              </v:textbox>
              <w10:wrap type="none"/>
            </v:shape>
            <w10:wrap type="none"/>
          </v:group>
        </w:pict>
      </w:r>
      <w:r>
        <w:rPr/>
        <w:pict>
          <v:shape style="position:absolute;margin-left:103.210564pt;margin-top:143.557266pt;width:17.7pt;height:122.8pt;mso-position-horizontal-relative:page;mso-position-vertical-relative:paragraph;z-index:25936" type="#_x0000_t202" filled="false" stroked="false">
            <v:textbox inset="0,0,0,0" style="layout-flow:vertical;mso-layout-flow-alt:bottom-to-top">
              <w:txbxContent>
                <w:p>
                  <w:pPr>
                    <w:spacing w:before="11"/>
                    <w:ind w:left="20" w:right="0" w:firstLine="0"/>
                    <w:jc w:val="left"/>
                    <w:rPr>
                      <w:rFonts w:ascii="Arial" w:hAnsi="Arial"/>
                      <w:b/>
                      <w:sz w:val="28"/>
                    </w:rPr>
                  </w:pPr>
                  <w:r>
                    <w:rPr>
                      <w:rFonts w:ascii="Arial" w:hAnsi="Arial"/>
                      <w:b/>
                      <w:sz w:val="28"/>
                    </w:rPr>
                    <w:t>‘Old’ Management</w:t>
                  </w:r>
                </w:p>
              </w:txbxContent>
            </v:textbox>
            <w10:wrap type="none"/>
          </v:shape>
        </w:pict>
      </w:r>
      <w:r>
        <w:rPr>
          <w:b/>
          <w:sz w:val="20"/>
        </w:rPr>
        <w:t>practice 1 has a factor of + 0.5.</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6"/>
        <w:rPr>
          <w:b/>
          <w:sz w:val="32"/>
        </w:rPr>
      </w:pPr>
    </w:p>
    <w:p>
      <w:pPr>
        <w:pStyle w:val="BodyText"/>
        <w:ind w:left="179" w:right="1405"/>
        <w:jc w:val="both"/>
      </w:pPr>
      <w:r>
        <w:rPr/>
        <w:t>The yearly carbon stock change factor will often be more accurate than the default values for absolute carbon stocks.</w:t>
      </w:r>
      <w:r>
        <w:rPr>
          <w:vertAlign w:val="superscript"/>
        </w:rPr>
        <w:t>58</w:t>
      </w:r>
    </w:p>
    <w:p>
      <w:pPr>
        <w:pStyle w:val="BodyText"/>
        <w:spacing w:before="119"/>
        <w:ind w:left="179" w:right="1405"/>
        <w:jc w:val="both"/>
      </w:pPr>
      <w:r>
        <w:rPr/>
        <w:t>These default carbon stock change factors have been compiled into a database so that default factors can be accessed for each soil type, input level and land-use and land-management transition considered in the </w:t>
      </w:r>
      <w:r>
        <w:rPr>
          <w:i/>
        </w:rPr>
        <w:t>IPCC Guidelines </w:t>
      </w:r>
      <w:r>
        <w:rPr/>
        <w:t>without referring to multiple tables. The database can be found in Annex 4A.1 (Tool for Estimation of Changes in Soil Carbon Stocks associated with Management Changes in Croplands and Grazing Lands based on IPCC Default Data) on the attached CD-ROM (including instructions on how to use the</w:t>
      </w:r>
      <w:r>
        <w:rPr>
          <w:spacing w:val="-7"/>
        </w:rPr>
        <w:t> </w:t>
      </w:r>
      <w:r>
        <w:rPr/>
        <w:t>database).</w:t>
      </w:r>
    </w:p>
    <w:p>
      <w:pPr>
        <w:pStyle w:val="BodyText"/>
        <w:spacing w:before="9"/>
        <w:rPr>
          <w:sz w:val="30"/>
        </w:rPr>
      </w:pPr>
    </w:p>
    <w:p>
      <w:pPr>
        <w:spacing w:line="228" w:lineRule="exact" w:before="1"/>
        <w:ind w:left="179" w:right="0" w:firstLine="0"/>
        <w:jc w:val="left"/>
        <w:rPr>
          <w:b/>
          <w:sz w:val="20"/>
        </w:rPr>
      </w:pPr>
      <w:r>
        <w:rPr>
          <w:b/>
          <w:sz w:val="20"/>
        </w:rPr>
        <w:t>Calculating annual carbon stock change factors</w:t>
      </w:r>
    </w:p>
    <w:p>
      <w:pPr>
        <w:pStyle w:val="BodyText"/>
        <w:ind w:left="179" w:right="1406"/>
        <w:jc w:val="both"/>
      </w:pPr>
      <w:r>
        <w:rPr/>
        <w:t>The </w:t>
      </w:r>
      <w:r>
        <w:rPr>
          <w:i/>
        </w:rPr>
        <w:t>IPCC Guidelines </w:t>
      </w:r>
      <w:r>
        <w:rPr/>
        <w:t>assume a linear change in soil carbon stocks over a 20-year period after a change in management, moving the soil carbon stock from an equilibrium position at t</w:t>
      </w:r>
      <w:r>
        <w:rPr>
          <w:vertAlign w:val="subscript"/>
        </w:rPr>
        <w:t>0</w:t>
      </w:r>
      <w:r>
        <w:rPr>
          <w:vertAlign w:val="baseline"/>
        </w:rPr>
        <w:t> (year of management change) to another equilibrium position at t</w:t>
      </w:r>
      <w:r>
        <w:rPr>
          <w:vertAlign w:val="subscript"/>
        </w:rPr>
        <w:t>20</w:t>
      </w:r>
      <w:r>
        <w:rPr>
          <w:vertAlign w:val="baseline"/>
        </w:rPr>
        <w:t> (20 years after the change in management). The rate of carbon stock change therefore is assumed to remain constant for the first 20 years after a management change and then becomes zero as a new equilibrium has been reached.</w:t>
      </w:r>
    </w:p>
    <w:p>
      <w:pPr>
        <w:pStyle w:val="BodyText"/>
      </w:pPr>
    </w:p>
    <w:p>
      <w:pPr>
        <w:pStyle w:val="BodyText"/>
      </w:pPr>
    </w:p>
    <w:p>
      <w:pPr>
        <w:pStyle w:val="BodyText"/>
        <w:spacing w:before="7"/>
        <w:rPr>
          <w:sz w:val="25"/>
        </w:rPr>
      </w:pPr>
      <w:r>
        <w:rPr/>
        <w:pict>
          <v:line style="position:absolute;mso-position-horizontal-relative:page;mso-position-vertical-relative:paragraph;z-index:23000;mso-wrap-distance-left:0;mso-wrap-distance-right:0" from="70.960999pt,16.933628pt" to="214.960999pt,16.933628pt" stroked="true" strokeweight=".48pt" strokecolor="#000000">
            <v:stroke dashstyle="solid"/>
            <w10:wrap type="topAndBottom"/>
          </v:line>
        </w:pict>
      </w:r>
    </w:p>
    <w:p>
      <w:pPr>
        <w:spacing w:line="247" w:lineRule="auto" w:before="150"/>
        <w:ind w:left="179" w:right="1407" w:firstLine="0"/>
        <w:jc w:val="left"/>
        <w:rPr>
          <w:sz w:val="18"/>
        </w:rPr>
      </w:pPr>
      <w:r>
        <w:rPr>
          <w:position w:val="9"/>
          <w:sz w:val="13"/>
        </w:rPr>
        <w:t>58 </w:t>
      </w:r>
      <w:r>
        <w:rPr>
          <w:sz w:val="18"/>
        </w:rPr>
        <w:t>The carbon stock change factor reflects a change in carbon stocks, which is much smaller than the absolute carbon stock; the change in carbon stocks can be reasonably correct even if the absolute values are not.</w:t>
      </w:r>
    </w:p>
    <w:p>
      <w:pPr>
        <w:spacing w:after="0" w:line="247" w:lineRule="auto"/>
        <w:jc w:val="left"/>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485"/>
      </w:pPr>
      <w:r>
        <w:rPr/>
        <w:t>The method for calculating annual carbon stock change factors is described in Chapter 3 (Section 3.3.1.2; Equation 3.3.3). For a summary of the steps and a sample calculation, see Section 3.3.1.2.1.1: Choice of method (mineral soils).</w:t>
      </w:r>
    </w:p>
    <w:p>
      <w:pPr>
        <w:pStyle w:val="BodyText"/>
        <w:rPr>
          <w:sz w:val="22"/>
        </w:rPr>
      </w:pPr>
    </w:p>
    <w:p>
      <w:pPr>
        <w:pStyle w:val="BodyText"/>
        <w:spacing w:before="3"/>
        <w:rPr>
          <w:sz w:val="19"/>
        </w:rPr>
      </w:pPr>
    </w:p>
    <w:p>
      <w:pPr>
        <w:spacing w:line="228" w:lineRule="exact" w:before="0"/>
        <w:ind w:left="179" w:right="0" w:firstLine="0"/>
        <w:jc w:val="left"/>
        <w:rPr>
          <w:b/>
          <w:sz w:val="20"/>
        </w:rPr>
      </w:pPr>
      <w:r>
        <w:rPr>
          <w:b/>
          <w:sz w:val="20"/>
        </w:rPr>
        <w:t>Calculation of carbon stock change resulting from cropland management</w:t>
      </w:r>
    </w:p>
    <w:p>
      <w:pPr>
        <w:pStyle w:val="BodyText"/>
        <w:ind w:left="179" w:right="1403"/>
        <w:jc w:val="both"/>
      </w:pPr>
      <w:r>
        <w:rPr/>
        <w:t>Carbon stock change can be used to calculate a yearly emission/removal of carbon for up to 20 years after a land-use or land-management change by multiplying the carbon stock change factor by the area to which the change has been applied as follows:</w:t>
      </w:r>
    </w:p>
    <w:p>
      <w:pPr>
        <w:pStyle w:val="BodyText"/>
        <w:spacing w:before="9"/>
        <w:rPr>
          <w:sz w:val="10"/>
        </w:rPr>
      </w:pPr>
      <w:r>
        <w:rPr/>
        <w:pict>
          <v:shape style="position:absolute;margin-left:91.960999pt;margin-top:8.930343pt;width:411.5pt;height:57pt;mso-position-horizontal-relative:page;mso-position-vertical-relative:paragraph;z-index:23912;mso-wrap-distance-left:0;mso-wrap-distance-right:0" type="#_x0000_t202" filled="false" stroked="true" strokeweight="1.44pt" strokecolor="#000000">
            <v:textbox inset="0,0,0,0">
              <w:txbxContent>
                <w:p>
                  <w:pPr>
                    <w:spacing w:before="99"/>
                    <w:ind w:left="67" w:right="68" w:firstLine="0"/>
                    <w:jc w:val="center"/>
                    <w:rPr>
                      <w:b/>
                      <w:sz w:val="20"/>
                    </w:rPr>
                  </w:pPr>
                  <w:r>
                    <w:rPr>
                      <w:b/>
                      <w:sz w:val="20"/>
                    </w:rPr>
                    <w:t>E</w:t>
                  </w:r>
                  <w:r>
                    <w:rPr>
                      <w:b/>
                      <w:sz w:val="16"/>
                    </w:rPr>
                    <w:t>QUATION </w:t>
                  </w:r>
                  <w:r>
                    <w:rPr>
                      <w:b/>
                      <w:sz w:val="20"/>
                    </w:rPr>
                    <w:t>4.2.1</w:t>
                  </w:r>
                </w:p>
                <w:p>
                  <w:pPr>
                    <w:spacing w:before="0"/>
                    <w:ind w:left="68" w:right="68" w:firstLine="0"/>
                    <w:jc w:val="center"/>
                    <w:rPr>
                      <w:b/>
                      <w:sz w:val="16"/>
                    </w:rPr>
                  </w:pPr>
                  <w:r>
                    <w:rPr>
                      <w:b/>
                      <w:sz w:val="20"/>
                    </w:rPr>
                    <w:t>A</w:t>
                  </w:r>
                  <w:r>
                    <w:rPr>
                      <w:b/>
                      <w:sz w:val="16"/>
                    </w:rPr>
                    <w:t>NNUAL SOIL CARBON EMISSIONS</w:t>
                  </w:r>
                  <w:r>
                    <w:rPr>
                      <w:b/>
                      <w:sz w:val="20"/>
                    </w:rPr>
                    <w:t>/</w:t>
                  </w:r>
                  <w:r>
                    <w:rPr>
                      <w:b/>
                      <w:sz w:val="16"/>
                    </w:rPr>
                    <w:t>REMOVALS FROM CROPLAND MANAGEMENT</w:t>
                  </w:r>
                </w:p>
                <w:p>
                  <w:pPr>
                    <w:pStyle w:val="BodyText"/>
                    <w:spacing w:before="156"/>
                    <w:ind w:left="68" w:right="68"/>
                    <w:jc w:val="center"/>
                  </w:pPr>
                  <w:r>
                    <w:rPr/>
                    <w:t>∆C</w:t>
                  </w:r>
                  <w:r>
                    <w:rPr>
                      <w:vertAlign w:val="subscript"/>
                    </w:rPr>
                    <w:t>CM</w:t>
                  </w:r>
                  <w:r>
                    <w:rPr>
                      <w:vertAlign w:val="baseline"/>
                    </w:rPr>
                    <w:t> </w:t>
                  </w:r>
                  <w:r>
                    <w:rPr>
                      <w:vertAlign w:val="subscript"/>
                    </w:rPr>
                    <w:t>SOC</w:t>
                  </w:r>
                  <w:r>
                    <w:rPr>
                      <w:vertAlign w:val="baseline"/>
                    </w:rPr>
                    <w:t> = CSF </w:t>
                  </w:r>
                  <w:r>
                    <w:rPr>
                      <w:b/>
                      <w:vertAlign w:val="baseline"/>
                    </w:rPr>
                    <w:t>● </w:t>
                  </w:r>
                  <w:r>
                    <w:rPr>
                      <w:vertAlign w:val="baseline"/>
                    </w:rPr>
                    <w:t>A</w:t>
                  </w:r>
                </w:p>
              </w:txbxContent>
            </v:textbox>
            <v:stroke dashstyle="solid"/>
            <w10:wrap type="topAndBottom"/>
          </v:shape>
        </w:pict>
      </w:r>
    </w:p>
    <w:p>
      <w:pPr>
        <w:pStyle w:val="BodyText"/>
        <w:spacing w:before="11"/>
        <w:rPr>
          <w:sz w:val="22"/>
        </w:rPr>
      </w:pPr>
    </w:p>
    <w:p>
      <w:pPr>
        <w:pStyle w:val="BodyText"/>
        <w:spacing w:before="91"/>
        <w:ind w:left="179"/>
        <w:jc w:val="both"/>
      </w:pPr>
      <w:r>
        <w:rPr/>
        <w:t>Where:</w:t>
      </w:r>
    </w:p>
    <w:p>
      <w:pPr>
        <w:pStyle w:val="BodyText"/>
        <w:tabs>
          <w:tab w:pos="1541" w:val="left" w:leader="none"/>
        </w:tabs>
        <w:spacing w:line="326" w:lineRule="auto" w:before="158"/>
        <w:ind w:left="740" w:right="3811"/>
      </w:pPr>
      <w:r>
        <w:rPr/>
        <w:t>∆C</w:t>
      </w:r>
      <w:r>
        <w:rPr>
          <w:vertAlign w:val="subscript"/>
        </w:rPr>
        <w:t>CM</w:t>
      </w:r>
      <w:r>
        <w:rPr>
          <w:vertAlign w:val="baseline"/>
        </w:rPr>
        <w:t> </w:t>
      </w:r>
      <w:r>
        <w:rPr>
          <w:vertAlign w:val="subscript"/>
        </w:rPr>
        <w:t>SOC</w:t>
      </w:r>
      <w:r>
        <w:rPr>
          <w:vertAlign w:val="baseline"/>
        </w:rPr>
        <w:t> = annual change in carbon stock in soil organic carbon, Mg C yr</w:t>
      </w:r>
      <w:r>
        <w:rPr>
          <w:vertAlign w:val="superscript"/>
        </w:rPr>
        <w:t>-1</w:t>
      </w:r>
      <w:r>
        <w:rPr>
          <w:vertAlign w:val="baseline"/>
        </w:rPr>
        <w:t> CSF</w:t>
        <w:tab/>
        <w:t>= carbon stock change factor, Mg C ha</w:t>
      </w:r>
      <w:r>
        <w:rPr>
          <w:vertAlign w:val="superscript"/>
        </w:rPr>
        <w:t>-1</w:t>
      </w:r>
      <w:r>
        <w:rPr>
          <w:spacing w:val="-1"/>
          <w:vertAlign w:val="baseline"/>
        </w:rPr>
        <w:t> </w:t>
      </w:r>
      <w:r>
        <w:rPr>
          <w:vertAlign w:val="baseline"/>
        </w:rPr>
        <w:t>yr</w:t>
      </w:r>
      <w:r>
        <w:rPr>
          <w:vertAlign w:val="superscript"/>
        </w:rPr>
        <w:t>-1</w:t>
      </w:r>
    </w:p>
    <w:p>
      <w:pPr>
        <w:pStyle w:val="BodyText"/>
        <w:tabs>
          <w:tab w:pos="1539" w:val="left" w:leader="none"/>
        </w:tabs>
        <w:spacing w:line="226" w:lineRule="exact"/>
        <w:ind w:left="740"/>
      </w:pPr>
      <w:r>
        <w:rPr/>
        <w:t>A</w:t>
        <w:tab/>
        <w:t>= area, ha</w:t>
      </w:r>
    </w:p>
    <w:p>
      <w:pPr>
        <w:pStyle w:val="BodyText"/>
        <w:spacing w:before="39"/>
        <w:ind w:left="740"/>
      </w:pPr>
      <w:r>
        <w:rPr/>
        <w:t>(See also Equation 3.3.4 in Chapter 3)</w:t>
      </w:r>
    </w:p>
    <w:p>
      <w:pPr>
        <w:pStyle w:val="BodyText"/>
        <w:spacing w:before="118"/>
        <w:ind w:left="179" w:right="1402"/>
        <w:jc w:val="both"/>
      </w:pPr>
      <w:r>
        <w:rPr/>
        <w:t>For net-net accounting, the calculation shown in Equation 4.2.1 has to be performed for both the base year and reporting year. For discussion of the applicable area, see Section 4.1.2 (General rules for categorization of lands areas under Articles 3.3 and 3.4).</w:t>
      </w:r>
    </w:p>
    <w:p>
      <w:pPr>
        <w:pStyle w:val="BodyText"/>
        <w:rPr>
          <w:sz w:val="22"/>
        </w:rPr>
      </w:pPr>
    </w:p>
    <w:p>
      <w:pPr>
        <w:pStyle w:val="BodyText"/>
        <w:spacing w:before="3"/>
        <w:rPr>
          <w:sz w:val="19"/>
        </w:rPr>
      </w:pPr>
    </w:p>
    <w:p>
      <w:pPr>
        <w:spacing w:line="228" w:lineRule="exact" w:before="0"/>
        <w:ind w:left="179" w:right="0" w:firstLine="0"/>
        <w:jc w:val="both"/>
        <w:rPr>
          <w:rFonts w:ascii="TimesNewRomanPS-BoldItalicMT"/>
          <w:b/>
          <w:i/>
          <w:sz w:val="20"/>
        </w:rPr>
      </w:pPr>
      <w:r>
        <w:rPr>
          <w:rFonts w:ascii="TimesNewRomanPS-BoldItalicMT"/>
          <w:b/>
          <w:i/>
          <w:sz w:val="20"/>
        </w:rPr>
        <w:t>Tier 2</w:t>
      </w:r>
    </w:p>
    <w:p>
      <w:pPr>
        <w:pStyle w:val="BodyText"/>
        <w:ind w:left="179" w:right="1403"/>
        <w:jc w:val="both"/>
      </w:pPr>
      <w:r>
        <w:rPr/>
        <w:t>The Tier 2 method also uses the methodology described in the </w:t>
      </w:r>
      <w:r>
        <w:rPr>
          <w:i/>
        </w:rPr>
        <w:t>IPCC Guidelines </w:t>
      </w:r>
      <w:r>
        <w:rPr/>
        <w:t>(Reference Manual and Workbook), but now the default factors are replaced with country- or region-specific values shown to be more reliable (e.g., from literature values, long-term experiments or the local application of well-calibrated, well- documented soil carbon models). Different regional data for soil carbon content (such as that available from national soil inventories) can also be used. Similarly, it is </w:t>
      </w:r>
      <w:r>
        <w:rPr>
          <w:i/>
        </w:rPr>
        <w:t>good practice </w:t>
      </w:r>
      <w:r>
        <w:rPr/>
        <w:t>to replace the default value for the duration of change (20 years) with a more appropriate value, if adequate information is available to justify it.</w:t>
      </w:r>
    </w:p>
    <w:p>
      <w:pPr>
        <w:pStyle w:val="BodyText"/>
        <w:spacing w:before="118"/>
        <w:ind w:left="179" w:right="1404"/>
        <w:jc w:val="both"/>
      </w:pPr>
      <w:r>
        <w:rPr/>
        <w:t>Regionally specific or local carbon stock change factors should be better than default factors at representing actual carbon stock change in a given region. When replacing default carbon factors, rigorous criteria must be applied to demonstrate that any change in factors does not lead to under- or overestimation of the soil carbon change. Regional or country-specific factors should be based on measurements that are conducted frequently enough and over a long enough time period and with sufficient spatial density to reflect variability of the underlying biochemical processes, and documented in accessible publications.</w:t>
      </w:r>
    </w:p>
    <w:p>
      <w:pPr>
        <w:pStyle w:val="BodyText"/>
        <w:spacing w:before="117"/>
        <w:ind w:left="179" w:right="1402"/>
        <w:jc w:val="both"/>
      </w:pPr>
      <w:r>
        <w:rPr/>
        <w:t>The 20-year period over which soil carbon stock changes are assumed to change from one equilibrium position to another is an approximation: in cooler climates, changes may take more than 20 years to reach a new equilibrium (roughly 50 years); in tropical climates, a new equilibrium may be reached in shorter periods (roughly 10 years; Paustian </w:t>
      </w:r>
      <w:r>
        <w:rPr>
          <w:i/>
        </w:rPr>
        <w:t>et al.</w:t>
      </w:r>
      <w:r>
        <w:rPr/>
        <w:t>, 1997). At Tier 2, different regional or country-specific values for the duration of impact of land-use or land-management change can be used where these exist or can be reliably</w:t>
      </w:r>
      <w:r>
        <w:rPr>
          <w:spacing w:val="-36"/>
        </w:rPr>
        <w:t> </w:t>
      </w:r>
      <w:r>
        <w:rPr/>
        <w:t>estimated.</w:t>
      </w:r>
    </w:p>
    <w:p>
      <w:pPr>
        <w:pStyle w:val="BodyText"/>
        <w:spacing w:before="120"/>
        <w:ind w:left="179" w:right="1403"/>
        <w:jc w:val="both"/>
      </w:pPr>
      <w:r>
        <w:rPr/>
        <w:t>Alternatively an asymptotic model can also be fitted to data of soil carbon stock changes (see Figure 4.2.11; compare to the “broken-stick” model used in the </w:t>
      </w:r>
      <w:r>
        <w:rPr>
          <w:i/>
        </w:rPr>
        <w:t>IPCC Guidelines </w:t>
      </w:r>
      <w:r>
        <w:rPr/>
        <w:t>in which a linear change occurs over 20 years after which no further change occurs). Using this method, different carbon stock change factors could be applied in different years after a land-use or management change so that stock changes are not underestimated soon after a change (“a” on Figure 4.2.11), or overestimated as the soil approaches the new equilibrium (“b” on Figure 4.2.11).</w:t>
      </w:r>
    </w:p>
    <w:p>
      <w:pPr>
        <w:spacing w:after="0"/>
        <w:jc w:val="both"/>
        <w:sectPr>
          <w:pgSz w:w="11900" w:h="16840"/>
          <w:pgMar w:header="230" w:footer="408" w:top="560" w:bottom="600" w:left="1240" w:right="0"/>
        </w:sectPr>
      </w:pPr>
    </w:p>
    <w:p>
      <w:pPr>
        <w:pStyle w:val="BodyText"/>
      </w:pPr>
    </w:p>
    <w:p>
      <w:pPr>
        <w:pStyle w:val="BodyText"/>
        <w:rPr>
          <w:sz w:val="19"/>
        </w:rPr>
      </w:pPr>
    </w:p>
    <w:p>
      <w:pPr>
        <w:tabs>
          <w:tab w:pos="1880" w:val="left" w:leader="none"/>
        </w:tabs>
        <w:spacing w:line="240" w:lineRule="auto" w:before="91"/>
        <w:ind w:left="1880" w:right="1688" w:hanging="1702"/>
        <w:jc w:val="left"/>
        <w:rPr>
          <w:b/>
          <w:sz w:val="20"/>
        </w:rPr>
      </w:pPr>
      <w:r>
        <w:rPr/>
        <w:pict>
          <v:shape style="position:absolute;margin-left:169.201111pt;margin-top:101.884041pt;width:15.8pt;height:80.8pt;mso-position-horizontal-relative:page;mso-position-vertical-relative:paragraph;z-index:26128" type="#_x0000_t202" filled="false" stroked="false">
            <v:textbox inset="0,0,0,0" style="layout-flow:vertical;mso-layout-flow-alt:bottom-to-top">
              <w:txbxContent>
                <w:p>
                  <w:pPr>
                    <w:spacing w:before="18"/>
                    <w:ind w:left="20" w:right="0" w:firstLine="0"/>
                    <w:jc w:val="left"/>
                    <w:rPr>
                      <w:rFonts w:ascii="Arial"/>
                      <w:sz w:val="24"/>
                    </w:rPr>
                  </w:pPr>
                  <w:r>
                    <w:rPr>
                      <w:rFonts w:ascii="Arial"/>
                      <w:w w:val="105"/>
                      <w:sz w:val="24"/>
                    </w:rPr>
                    <w:t>Soil C content</w:t>
                  </w:r>
                </w:p>
              </w:txbxContent>
            </v:textbox>
            <w10:wrap type="none"/>
          </v:shape>
        </w:pict>
      </w:r>
      <w:r>
        <w:rPr>
          <w:b/>
          <w:spacing w:val="8"/>
          <w:sz w:val="20"/>
        </w:rPr>
        <w:t>Figure</w:t>
      </w:r>
      <w:r>
        <w:rPr>
          <w:b/>
          <w:spacing w:val="19"/>
          <w:sz w:val="20"/>
        </w:rPr>
        <w:t> </w:t>
      </w:r>
      <w:r>
        <w:rPr>
          <w:b/>
          <w:spacing w:val="8"/>
          <w:sz w:val="20"/>
        </w:rPr>
        <w:t>4.2.11</w:t>
        <w:tab/>
        <w:t>Schematic </w:t>
      </w:r>
      <w:r>
        <w:rPr>
          <w:b/>
          <w:spacing w:val="9"/>
          <w:sz w:val="20"/>
        </w:rPr>
        <w:t>representation </w:t>
      </w:r>
      <w:r>
        <w:rPr>
          <w:b/>
          <w:spacing w:val="5"/>
          <w:sz w:val="20"/>
        </w:rPr>
        <w:t>of </w:t>
      </w:r>
      <w:r>
        <w:rPr>
          <w:b/>
          <w:sz w:val="20"/>
        </w:rPr>
        <w:t>a </w:t>
      </w:r>
      <w:r>
        <w:rPr>
          <w:b/>
          <w:spacing w:val="8"/>
          <w:sz w:val="20"/>
        </w:rPr>
        <w:t>change </w:t>
      </w:r>
      <w:r>
        <w:rPr>
          <w:b/>
          <w:spacing w:val="4"/>
          <w:sz w:val="20"/>
        </w:rPr>
        <w:t>in </w:t>
      </w:r>
      <w:r>
        <w:rPr>
          <w:b/>
          <w:spacing w:val="7"/>
          <w:sz w:val="20"/>
        </w:rPr>
        <w:t>soil </w:t>
      </w:r>
      <w:r>
        <w:rPr>
          <w:b/>
          <w:spacing w:val="8"/>
          <w:sz w:val="20"/>
        </w:rPr>
        <w:t>carbon stocks after </w:t>
      </w:r>
      <w:r>
        <w:rPr>
          <w:b/>
          <w:sz w:val="20"/>
        </w:rPr>
        <w:t>a </w:t>
      </w:r>
      <w:r>
        <w:rPr>
          <w:b/>
          <w:spacing w:val="8"/>
          <w:sz w:val="20"/>
        </w:rPr>
        <w:t>carbon- sequestering management </w:t>
      </w:r>
      <w:r>
        <w:rPr>
          <w:b/>
          <w:spacing w:val="7"/>
          <w:sz w:val="20"/>
        </w:rPr>
        <w:t>change </w:t>
      </w:r>
      <w:r>
        <w:rPr>
          <w:b/>
          <w:spacing w:val="5"/>
          <w:sz w:val="20"/>
        </w:rPr>
        <w:t>is </w:t>
      </w:r>
      <w:r>
        <w:rPr>
          <w:b/>
          <w:spacing w:val="8"/>
          <w:sz w:val="20"/>
        </w:rPr>
        <w:t>imposed represented </w:t>
      </w:r>
      <w:r>
        <w:rPr>
          <w:b/>
          <w:spacing w:val="4"/>
          <w:sz w:val="20"/>
        </w:rPr>
        <w:t>by </w:t>
      </w:r>
      <w:r>
        <w:rPr>
          <w:b/>
          <w:sz w:val="20"/>
        </w:rPr>
        <w:t>a </w:t>
      </w:r>
      <w:r>
        <w:rPr>
          <w:b/>
          <w:spacing w:val="9"/>
          <w:sz w:val="20"/>
        </w:rPr>
        <w:t>broken-stick </w:t>
      </w:r>
      <w:r>
        <w:rPr>
          <w:b/>
          <w:spacing w:val="7"/>
          <w:sz w:val="20"/>
        </w:rPr>
        <w:t>model </w:t>
      </w:r>
      <w:r>
        <w:rPr>
          <w:b/>
          <w:spacing w:val="5"/>
          <w:sz w:val="20"/>
        </w:rPr>
        <w:t>of </w:t>
      </w:r>
      <w:r>
        <w:rPr>
          <w:b/>
          <w:spacing w:val="8"/>
          <w:sz w:val="20"/>
        </w:rPr>
        <w:t>stock change </w:t>
      </w:r>
      <w:r>
        <w:rPr>
          <w:b/>
          <w:spacing w:val="7"/>
          <w:sz w:val="20"/>
        </w:rPr>
        <w:t>(as used </w:t>
      </w:r>
      <w:r>
        <w:rPr>
          <w:b/>
          <w:spacing w:val="5"/>
          <w:sz w:val="20"/>
        </w:rPr>
        <w:t>in </w:t>
      </w:r>
      <w:r>
        <w:rPr>
          <w:b/>
          <w:spacing w:val="6"/>
          <w:sz w:val="20"/>
        </w:rPr>
        <w:t>the </w:t>
      </w:r>
      <w:r>
        <w:rPr>
          <w:rFonts w:ascii="TimesNewRomanPS-BoldItalicMT" w:hAnsi="TimesNewRomanPS-BoldItalicMT"/>
          <w:b/>
          <w:i/>
          <w:spacing w:val="7"/>
          <w:sz w:val="20"/>
        </w:rPr>
        <w:t>IPCC </w:t>
      </w:r>
      <w:r>
        <w:rPr>
          <w:rFonts w:ascii="TimesNewRomanPS-BoldItalicMT" w:hAnsi="TimesNewRomanPS-BoldItalicMT"/>
          <w:b/>
          <w:i/>
          <w:spacing w:val="8"/>
          <w:sz w:val="20"/>
        </w:rPr>
        <w:t>Guidelines </w:t>
      </w:r>
      <w:r>
        <w:rPr>
          <w:b/>
          <w:spacing w:val="8"/>
          <w:sz w:val="20"/>
        </w:rPr>
        <w:t>where </w:t>
      </w:r>
      <w:r>
        <w:rPr>
          <w:b/>
          <w:spacing w:val="6"/>
          <w:sz w:val="20"/>
        </w:rPr>
        <w:t>the </w:t>
      </w:r>
      <w:r>
        <w:rPr>
          <w:b/>
          <w:spacing w:val="7"/>
          <w:sz w:val="20"/>
        </w:rPr>
        <w:t>time </w:t>
      </w:r>
      <w:r>
        <w:rPr>
          <w:b/>
          <w:spacing w:val="5"/>
          <w:sz w:val="20"/>
        </w:rPr>
        <w:t>to </w:t>
      </w:r>
      <w:r>
        <w:rPr>
          <w:b/>
          <w:sz w:val="20"/>
        </w:rPr>
        <w:t>a </w:t>
      </w:r>
      <w:r>
        <w:rPr>
          <w:b/>
          <w:spacing w:val="6"/>
          <w:sz w:val="20"/>
        </w:rPr>
        <w:t>new </w:t>
      </w:r>
      <w:r>
        <w:rPr>
          <w:b/>
          <w:spacing w:val="9"/>
          <w:sz w:val="20"/>
        </w:rPr>
        <w:t>equilibrium </w:t>
      </w:r>
      <w:r>
        <w:rPr>
          <w:b/>
          <w:spacing w:val="4"/>
          <w:sz w:val="20"/>
        </w:rPr>
        <w:t>is </w:t>
      </w:r>
      <w:r>
        <w:rPr>
          <w:b/>
          <w:spacing w:val="5"/>
          <w:sz w:val="20"/>
        </w:rPr>
        <w:t>20 </w:t>
      </w:r>
      <w:r>
        <w:rPr>
          <w:b/>
          <w:spacing w:val="8"/>
          <w:sz w:val="20"/>
        </w:rPr>
        <w:t>Years) </w:t>
      </w:r>
      <w:r>
        <w:rPr>
          <w:b/>
          <w:spacing w:val="6"/>
          <w:sz w:val="20"/>
        </w:rPr>
        <w:t>and </w:t>
      </w:r>
      <w:r>
        <w:rPr>
          <w:b/>
          <w:spacing w:val="4"/>
          <w:sz w:val="20"/>
        </w:rPr>
        <w:t>by </w:t>
      </w:r>
      <w:r>
        <w:rPr>
          <w:b/>
          <w:spacing w:val="5"/>
          <w:sz w:val="20"/>
        </w:rPr>
        <w:t>an </w:t>
      </w:r>
      <w:r>
        <w:rPr>
          <w:b/>
          <w:spacing w:val="8"/>
          <w:sz w:val="20"/>
        </w:rPr>
        <w:t>asymptotic </w:t>
      </w:r>
      <w:r>
        <w:rPr>
          <w:b/>
          <w:spacing w:val="7"/>
          <w:sz w:val="20"/>
        </w:rPr>
        <w:t>curve (for </w:t>
      </w:r>
      <w:r>
        <w:rPr>
          <w:b/>
          <w:spacing w:val="8"/>
          <w:sz w:val="20"/>
        </w:rPr>
        <w:t>definitions </w:t>
      </w:r>
      <w:r>
        <w:rPr>
          <w:b/>
          <w:spacing w:val="10"/>
          <w:sz w:val="20"/>
        </w:rPr>
        <w:t>of </w:t>
      </w:r>
      <w:r>
        <w:rPr>
          <w:b/>
          <w:spacing w:val="6"/>
          <w:sz w:val="20"/>
        </w:rPr>
        <w:t>‘a’ and ‘b’ see</w:t>
      </w:r>
      <w:r>
        <w:rPr>
          <w:b/>
          <w:spacing w:val="61"/>
          <w:sz w:val="20"/>
        </w:rPr>
        <w:t> </w:t>
      </w:r>
      <w:r>
        <w:rPr>
          <w:b/>
          <w:spacing w:val="10"/>
          <w:sz w:val="20"/>
        </w:rPr>
        <w:t>text)</w:t>
      </w:r>
    </w:p>
    <w:p>
      <w:pPr>
        <w:pStyle w:val="BodyText"/>
        <w:spacing w:before="8"/>
        <w:rPr>
          <w:b/>
          <w:sz w:val="14"/>
        </w:rPr>
      </w:pPr>
      <w:r>
        <w:rPr/>
        <w:pict>
          <v:group style="position:absolute;margin-left:188.683777pt;margin-top:10.435796pt;width:239.05pt;height:161.4pt;mso-position-horizontal-relative:page;mso-position-vertical-relative:paragraph;z-index:24056;mso-wrap-distance-left:0;mso-wrap-distance-right:0" coordorigin="3774,209" coordsize="4781,3228">
            <v:shape style="position:absolute;left:3790;top:225;width:4747;height:3195" coordorigin="3790,225" coordsize="4747,3195" path="m3790,225l3790,3420,8537,3420e" filled="false" stroked="true" strokeweight="1.658091pt" strokecolor="#000000">
              <v:path arrowok="t"/>
              <v:stroke dashstyle="solid"/>
            </v:shape>
            <v:rect style="position:absolute;left:3790;top:2106;width:1167;height:34" filled="true" fillcolor="#000000" stroked="false">
              <v:fill type="solid"/>
            </v:rect>
            <v:line style="position:absolute" from="7388,768" to="8516,768" stroked="true" strokeweight="1.679216pt" strokecolor="#000000">
              <v:stroke dashstyle="solid"/>
            </v:line>
            <v:shape style="position:absolute;left:4956;top:762;width:2484;height:1373" coordorigin="4957,763" coordsize="2484,1373" path="m7441,763l7333,768,7227,780,7119,792,7011,809,6908,825,6807,847,6704,869,6603,897,6505,926,6409,953,6226,1020,6135,1061,6049,1099,5962,1145,5881,1188,5801,1233,5720,1279,5645,1329,5576,1385,5504,1435,5441,1490,5377,1548,5317,1608,5257,1670,5204,1733,5156,1793,5108,1860,5065,1927,5026,1994,4988,2069,4957,2136e" filled="false" stroked="true" strokeweight="1.663358pt" strokecolor="#000000">
              <v:path arrowok="t"/>
              <v:stroke dashstyle="solid"/>
            </v:shape>
            <v:shape style="position:absolute;left:4944;top:762;width:3154;height:1390" coordorigin="4945,763" coordsize="3154,1390" path="m4973,2153l4945,2124,5048,2030,5069,2057,4973,2153xm5144,1989l5122,1961,5221,1867,5247,1893,5144,1989xm5317,1821l5295,1800,5398,1704,5420,1733,5317,1821xm5494,1658l5473,1632,5569,1541,5595,1565,5494,1658xm5667,1497l5645,1469,5746,1373,5768,1401,5667,1497xm5845,1329l5823,1305,5919,1212,5941,1238,5845,1329xm6015,1166l5993,1137,6097,1049,6118,1070,6015,1166xm6193,1003l6171,977,6269,881,6291,909,6193,1003xm6365,842l6344,813,6392,768,6397,763,6473,763,6473,792,6418,792,6409,797,6413,797,6365,842xm6413,797l6409,797,6418,792,6413,797xm6473,797l6413,797,6418,792,6473,792,6473,797xm6709,797l6574,797,6574,763,6709,763,6709,797xm6946,797l6812,797,6812,763,6946,763,6946,797xm7177,797l7042,797,7042,763,7177,763,7177,797xm7414,797l7280,797,7280,763,7414,763,7414,797xm7652,797l7517,797,7517,763,7652,763,7652,797xm7882,797l7748,797,7748,763,7882,763,7882,797xm8098,797l7985,797,7985,763,8098,763,8098,797xe" filled="true" fillcolor="#000000" stroked="false">
              <v:path arrowok="t"/>
              <v:fill type="solid"/>
            </v:shape>
            <v:shape style="position:absolute;left:4944;top:2030;width:125;height:123" coordorigin="4945,2030" coordsize="125,123" path="m4945,2124l5048,2030,5069,2057,4973,2153,4945,2124xe" filled="false" stroked="true" strokeweight=".274165pt" strokecolor="#000000">
              <v:path arrowok="t"/>
              <v:stroke dashstyle="solid"/>
            </v:shape>
            <v:shape style="position:absolute;left:5122;top:1866;width:125;height:123" coordorigin="5122,1867" coordsize="125,123" path="m5122,1961l5221,1867,5247,1893,5144,1989,5122,1961xe" filled="false" stroked="true" strokeweight=".274164pt" strokecolor="#000000">
              <v:path arrowok="t"/>
              <v:stroke dashstyle="solid"/>
            </v:shape>
            <v:shape style="position:absolute;left:5295;top:1703;width:125;height:118" coordorigin="5295,1704" coordsize="125,118" path="m5295,1800l5398,1704,5420,1733,5317,1821,5295,1800xe" filled="false" stroked="true" strokeweight=".274388pt" strokecolor="#000000">
              <v:path arrowok="t"/>
              <v:stroke dashstyle="solid"/>
            </v:shape>
            <v:shape style="position:absolute;left:5472;top:1540;width:123;height:118" coordorigin="5473,1541" coordsize="123,118" path="m5473,1632l5569,1541,5595,1565,5494,1658,5473,1632xe" filled="false" stroked="true" strokeweight=".274279pt" strokecolor="#000000">
              <v:path arrowok="t"/>
              <v:stroke dashstyle="solid"/>
            </v:shape>
            <v:shape style="position:absolute;left:5645;top:1372;width:123;height:125" coordorigin="5645,1373" coordsize="123,125" path="m5645,1469l5746,1373,5768,1401,5667,1497,5645,1469xe" filled="false" stroked="true" strokeweight=".273945pt" strokecolor="#000000">
              <v:path arrowok="t"/>
              <v:stroke dashstyle="solid"/>
            </v:shape>
            <v:shape style="position:absolute;left:5822;top:1211;width:118;height:118" coordorigin="5823,1212" coordsize="118,118" path="m5823,1305l5919,1212,5941,1238,5845,1329,5823,1305xe" filled="false" stroked="true" strokeweight=".274056pt" strokecolor="#000000">
              <v:path arrowok="t"/>
              <v:stroke dashstyle="solid"/>
            </v:shape>
            <v:shape style="position:absolute;left:5993;top:1048;width:125;height:118" coordorigin="5993,1049" coordsize="125,118" path="m5993,1137l6097,1049,6118,1070,6015,1166,5993,1137xe" filled="false" stroked="true" strokeweight=".274389pt" strokecolor="#000000">
              <v:path arrowok="t"/>
              <v:stroke dashstyle="solid"/>
            </v:shape>
            <v:shape style="position:absolute;left:6170;top:880;width:120;height:123" coordorigin="6171,881" coordsize="120,123" path="m6171,977l6269,881,6291,909,6193,1003,6171,977xe" filled="false" stroked="true" strokeweight=".273942pt" strokecolor="#000000">
              <v:path arrowok="t"/>
              <v:stroke dashstyle="solid"/>
            </v:shape>
            <v:shape style="position:absolute;left:6343;top:762;width:130;height:80" coordorigin="6344,763" coordsize="130,80" path="m6344,813l6392,768,6397,763,6473,763,6473,797,6409,797,6418,792,6365,842,6344,813xe" filled="false" stroked="true" strokeweight=".276628pt" strokecolor="#000000">
              <v:path arrowok="t"/>
              <v:stroke dashstyle="solid"/>
            </v:shape>
            <v:rect style="position:absolute;left:6574;top:762;width:135;height:34" filled="false" stroked="true" strokeweight=".279035pt" strokecolor="#000000">
              <v:stroke dashstyle="solid"/>
            </v:rect>
            <v:rect style="position:absolute;left:6811;top:762;width:135;height:34" filled="false" stroked="true" strokeweight=".279035pt" strokecolor="#000000">
              <v:stroke dashstyle="solid"/>
            </v:rect>
            <v:rect style="position:absolute;left:7042;top:762;width:135;height:34" filled="false" stroked="true" strokeweight=".279035pt" strokecolor="#000000">
              <v:stroke dashstyle="solid"/>
            </v:rect>
            <v:rect style="position:absolute;left:7279;top:762;width:135;height:34" filled="false" stroked="true" strokeweight=".279035pt" strokecolor="#000000">
              <v:stroke dashstyle="solid"/>
            </v:rect>
            <v:rect style="position:absolute;left:7517;top:762;width:135;height:34" filled="false" stroked="true" strokeweight=".279035pt" strokecolor="#000000">
              <v:stroke dashstyle="solid"/>
            </v:rect>
            <v:rect style="position:absolute;left:7747;top:762;width:135;height:34" filled="false" stroked="true" strokeweight=".279035pt" strokecolor="#000000">
              <v:stroke dashstyle="solid"/>
            </v:rect>
            <v:rect style="position:absolute;left:7985;top:762;width:113;height:34" filled="false" stroked="true" strokeweight=".278779pt" strokecolor="#000000">
              <v:stroke dashstyle="solid"/>
            </v:rect>
            <v:shape style="position:absolute;left:4853;top:2786;width:221;height:610" coordorigin="4853,2786" coordsize="221,610" path="m4961,3257l4940,3238,4952,2786,5000,2786,4984,3239,4961,3257xm4957,3396l4853,3161,4940,3238,4940,3257,5028,3257,4957,3396xm5028,3257l4983,3257,4984,3239,5074,3165,5028,3257xm4961,3257l4940,3257,4940,3238,4961,3257xm4983,3257l4961,3257,4984,3239,4983,3257xe" filled="true" fillcolor="#000000" stroked="false">
              <v:path arrowok="t"/>
              <v:fill type="solid"/>
            </v:shape>
            <v:shape style="position:absolute;left:4939;top:2786;width:61;height:471" coordorigin="4940,2786" coordsize="61,471" path="m5000,2786l4983,3257,4940,3257,4952,2786,5000,2786xe" filled="false" stroked="true" strokeweight=".268591pt" strokecolor="#000000">
              <v:path arrowok="t"/>
              <v:stroke dashstyle="solid"/>
            </v:shape>
            <v:shape style="position:absolute;left:4853;top:3160;width:221;height:236" coordorigin="4853,3161" coordsize="221,236" path="m4961,3257l5074,3165,4957,3396,4853,3161,4961,3257xe" filled="false" stroked="true" strokeweight=".273698pt" strokecolor="#000000">
              <v:path arrowok="t"/>
              <v:stroke dashstyle="solid"/>
            </v:shape>
            <v:rect style="position:absolute;left:5880;top:2982;width:867;height:45" filled="true" fillcolor="#000000" stroked="false">
              <v:fill type="solid"/>
            </v:rect>
            <v:rect style="position:absolute;left:5897;top:2685;width:135;height:39" filled="true" fillcolor="#000000" stroked="false">
              <v:fill type="solid"/>
            </v:rect>
            <v:rect style="position:absolute;left:6134;top:2685;width:135;height:39" filled="true" fillcolor="#000000" stroked="false">
              <v:fill type="solid"/>
            </v:rect>
            <v:rect style="position:absolute;left:6370;top:2685;width:135;height:39" filled="true" fillcolor="#000000" stroked="false">
              <v:fill type="solid"/>
            </v:rect>
            <v:rect style="position:absolute;left:6607;top:2685;width:135;height:39" filled="true" fillcolor="#000000" stroked="false">
              <v:fill type="solid"/>
            </v:rect>
            <v:shape style="position:absolute;left:4649;top:1418;width:699;height:173" coordorigin="4649,1418" coordsize="699,173" path="m5329,1531l5247,1531,5252,1497,5236,1495,5192,1418,5348,1524,5329,1531xm5232,1529l4649,1457,4654,1423,5236,1495,5247,1514,5232,1529xm5247,1531l5232,1529,5247,1514,5236,1495,5252,1497,5247,1531xm5170,1591l5232,1529,5247,1531,5329,1531,5170,1591xe" filled="true" fillcolor="#000000" stroked="false">
              <v:path arrowok="t"/>
              <v:fill type="solid"/>
            </v:shape>
            <v:shape style="position:absolute;left:4649;top:1422;width:603;height:108" coordorigin="4649,1423" coordsize="603,108" path="m4654,1423l5252,1497,5247,1531,4649,1457,4654,1423xe" filled="false" stroked="true" strokeweight=".279348pt" strokecolor="#000000">
              <v:path arrowok="t"/>
              <v:stroke dashstyle="solid"/>
            </v:shape>
            <v:shape style="position:absolute;left:5170;top:1418;width:178;height:173" coordorigin="5170,1418" coordsize="178,173" path="m5247,1514l5192,1418,5348,1524,5170,1591,5247,1514xe" filled="false" stroked="true" strokeweight=".274209pt" strokecolor="#000000">
              <v:path arrowok="t"/>
              <v:stroke dashstyle="solid"/>
            </v:shape>
            <v:shape style="position:absolute;left:5559;top:741;width:699;height:173" coordorigin="5559,741" coordsize="699,173" path="m6245,852l6157,852,6157,818,6145,817,6097,741,6257,847,6245,852xm6142,850l5559,780,5564,746,6145,817,6157,835,6142,850xm6157,835l6145,817,6157,818,6157,835xm6157,852l6142,850,6157,835,6157,852xm6080,914l6142,850,6157,852,6245,852,6080,914xe" filled="true" fillcolor="#000000" stroked="false">
              <v:path arrowok="t"/>
              <v:fill type="solid"/>
            </v:shape>
            <v:shape style="position:absolute;left:5559;top:746;width:598;height:106" coordorigin="5559,746" coordsize="598,106" path="m5564,746l6157,818,6157,852,5559,780,5564,746xe" filled="false" stroked="true" strokeweight=".279357pt" strokecolor="#000000">
              <v:path arrowok="t"/>
              <v:stroke dashstyle="solid"/>
            </v:shape>
            <v:shape style="position:absolute;left:6079;top:741;width:178;height:173" coordorigin="6080,741" coordsize="178,173" path="m6157,835l6097,741,6257,847,6080,914,6157,835xe" filled="false" stroked="true" strokeweight=".274209pt" strokecolor="#000000">
              <v:path arrowok="t"/>
              <v:stroke dashstyle="solid"/>
            </v:shape>
            <v:shape style="position:absolute;left:5009;top:2106;width:2374;height:96" coordorigin="5009,2107" coordsize="2374,96" path="m5101,2203l5009,2153,5101,2107,5101,2141,5086,2141,5086,2165,5101,2165,5101,2203xm5101,2165l5086,2165,5086,2141,5101,2141,5101,2165xm5108,2165l5101,2165,5101,2141,5108,2141,5108,2165xm5149,2165l5129,2165,5129,2141,5149,2141,5149,2165xm5199,2165l5177,2165,5177,2141,5199,2141,5199,2165xm5242,2165l5221,2165,5221,2141,5242,2141,5242,2165xm5285,2165l5264,2165,5264,2141,5285,2141,5285,2165xm5333,2165l5312,2165,5312,2141,5333,2141,5333,2165xm5377,2165l5355,2165,5355,2141,5377,2141,5377,2165xm5420,2165l5398,2165,5398,2141,5420,2141,5420,2165xm5468,2165l5446,2165,5446,2141,5468,2141,5468,2165xm5511,2165l5489,2165,5489,2141,5511,2141,5511,2165xm5554,2165l5533,2165,5533,2141,5554,2141,5554,2165xm5602,2165l5581,2165,5581,2141,5602,2141,5602,2165xm5645,2165l5624,2165,5624,2141,5645,2141,5645,2165xm5689,2165l5667,2165,5667,2141,5689,2141,5689,2165xm5737,2165l5715,2165,5715,2141,5737,2141,5737,2165xm5780,2165l5758,2165,5758,2141,5780,2141,5780,2165xm5823,2165l5801,2165,5801,2141,5823,2141,5823,2165xm5871,2165l5845,2165,5845,2141,5871,2141,5871,2165xm5914,2165l5893,2165,5893,2141,5914,2141,5914,2165xm5957,2165l5936,2165,5936,2141,5957,2141,5957,2165xm6005,2165l5979,2165,5979,2141,6005,2141,6005,2165xm6049,2165l6027,2165,6027,2141,6049,2141,6049,2165xm6092,2165l6070,2165,6070,2141,6092,2141,6092,2165xm6140,2165l6113,2165,6113,2141,6140,2141,6140,2165xm6183,2165l6161,2165,6161,2141,6183,2141,6183,2165xm6226,2165l6205,2165,6205,2141,6226,2141,6226,2165xm6274,2165l6248,2165,6248,2141,6274,2141,6274,2165xm6317,2165l6296,2165,6296,2141,6317,2141,6317,2165xm6361,2165l6339,2165,6339,2141,6361,2141,6361,2165xm6409,2165l6382,2165,6382,2141,6409,2141,6409,2165xm6452,2165l6430,2165,6430,2141,6452,2141,6452,2165xm6495,2165l6473,2165,6473,2141,6495,2141,6495,2165xm6543,2165l6517,2165,6517,2141,6543,2141,6543,2165xm6586,2165l6565,2165,6565,2141,6586,2141,6586,2165xm6629,2165l6608,2165,6608,2141,6629,2141,6629,2165xm6677,2165l6651,2165,6651,2141,6677,2141,6677,2165xm6721,2165l6699,2165,6699,2141,6721,2141,6721,2165xm6764,2165l6742,2165,6742,2141,6764,2141,6764,2165xm6812,2165l6785,2165,6785,2141,6812,2141,6812,2165xm6855,2165l6833,2165,6833,2141,6855,2141,6855,2165xm6898,2165l6877,2165,6877,2141,6898,2141,6898,2165xm6946,2165l6920,2165,6920,2141,6946,2141,6946,2165xm6989,2165l6968,2165,6968,2141,6989,2141,6989,2165xm7033,2165l7011,2165,7011,2141,7033,2141,7033,2165xm7081,2165l7054,2165,7054,2141,7081,2141,7081,2165xm7124,2165l7102,2165,7102,2141,7124,2141,7124,2165xm7167,2165l7145,2165,7145,2141,7167,2141,7167,2165xm7215,2165l7189,2165,7189,2141,7215,2141,7215,2165xm7258,2165l7237,2165,7237,2141,7258,2141,7258,2165xm7297,2203l7297,2107,7360,2141,7301,2141,7301,2165,7362,2165,7297,2203xm7297,2165l7280,2165,7280,2141,7297,2141,7297,2165xm7362,2165l7301,2165,7301,2141,7360,2141,7383,2153,7362,2165xe" filled="true" fillcolor="#000000" stroked="false">
              <v:path arrowok="t"/>
              <v:fill type="solid"/>
            </v:shape>
            <v:rect style="position:absolute;left:5086;top:2140;width:22;height:24" filled="false" stroked="true" strokeweight=".273458pt" strokecolor="#000000">
              <v:stroke dashstyle="solid"/>
            </v:rect>
            <v:rect style="position:absolute;left:5129;top:2140;width:20;height:24" filled="false" stroked="true" strokeweight=".272814pt" strokecolor="#000000">
              <v:stroke dashstyle="solid"/>
            </v:rect>
            <v:rect style="position:absolute;left:5177;top:2140;width:22;height:24" filled="false" stroked="true" strokeweight=".273458pt" strokecolor="#000000">
              <v:stroke dashstyle="solid"/>
            </v:rect>
            <v:rect style="position:absolute;left:5220;top:2140;width:22;height:24" filled="false" stroked="true" strokeweight=".273458pt" strokecolor="#000000">
              <v:stroke dashstyle="solid"/>
            </v:rect>
            <v:rect style="position:absolute;left:5263;top:2140;width:22;height:24" filled="false" stroked="true" strokeweight=".273458pt" strokecolor="#000000">
              <v:stroke dashstyle="solid"/>
            </v:rect>
            <v:rect style="position:absolute;left:5311;top:2140;width:22;height:24" filled="false" stroked="true" strokeweight=".273458pt" strokecolor="#000000">
              <v:stroke dashstyle="solid"/>
            </v:rect>
            <v:rect style="position:absolute;left:5355;top:2140;width:22;height:24" filled="false" stroked="true" strokeweight=".273458pt" strokecolor="#000000">
              <v:stroke dashstyle="solid"/>
            </v:rect>
            <v:rect style="position:absolute;left:5398;top:2140;width:22;height:24" filled="false" stroked="true" strokeweight=".273458pt" strokecolor="#000000">
              <v:stroke dashstyle="solid"/>
            </v:rect>
            <v:rect style="position:absolute;left:5446;top:2140;width:22;height:24" filled="false" stroked="true" strokeweight=".273458pt" strokecolor="#000000">
              <v:stroke dashstyle="solid"/>
            </v:rect>
            <v:rect style="position:absolute;left:5489;top:2140;width:22;height:24" filled="false" stroked="true" strokeweight=".273458pt" strokecolor="#000000">
              <v:stroke dashstyle="solid"/>
            </v:rect>
            <v:rect style="position:absolute;left:5532;top:2140;width:22;height:24" filled="false" stroked="true" strokeweight=".273458pt" strokecolor="#000000">
              <v:stroke dashstyle="solid"/>
            </v:rect>
            <v:rect style="position:absolute;left:5580;top:2140;width:22;height:24" filled="false" stroked="true" strokeweight=".273458pt" strokecolor="#000000">
              <v:stroke dashstyle="solid"/>
            </v:rect>
            <v:rect style="position:absolute;left:5623;top:2140;width:22;height:24" filled="false" stroked="true" strokeweight=".273458pt" strokecolor="#000000">
              <v:stroke dashstyle="solid"/>
            </v:rect>
            <v:rect style="position:absolute;left:5666;top:2140;width:22;height:24" filled="false" stroked="true" strokeweight=".273458pt" strokecolor="#000000">
              <v:stroke dashstyle="solid"/>
            </v:rect>
            <v:rect style="position:absolute;left:5714;top:2140;width:22;height:24" filled="false" stroked="true" strokeweight=".273458pt" strokecolor="#000000">
              <v:stroke dashstyle="solid"/>
            </v:rect>
            <v:rect style="position:absolute;left:5758;top:2140;width:22;height:24" filled="false" stroked="true" strokeweight=".273458pt" strokecolor="#000000">
              <v:stroke dashstyle="solid"/>
            </v:rect>
            <v:rect style="position:absolute;left:5801;top:2140;width:22;height:24" filled="false" stroked="true" strokeweight=".273458pt" strokecolor="#000000">
              <v:stroke dashstyle="solid"/>
            </v:rect>
            <v:rect style="position:absolute;left:5844;top:2140;width:27;height:24" filled="false" stroked="true" strokeweight=".274587pt" strokecolor="#000000">
              <v:stroke dashstyle="solid"/>
            </v:rect>
            <v:rect style="position:absolute;left:5892;top:2140;width:22;height:24" filled="false" stroked="true" strokeweight=".273458pt" strokecolor="#000000">
              <v:stroke dashstyle="solid"/>
            </v:rect>
            <v:rect style="position:absolute;left:5935;top:2140;width:22;height:24" filled="false" stroked="true" strokeweight=".273458pt" strokecolor="#000000">
              <v:stroke dashstyle="solid"/>
            </v:rect>
            <v:rect style="position:absolute;left:5978;top:2140;width:27;height:24" filled="false" stroked="true" strokeweight=".274587pt" strokecolor="#000000">
              <v:stroke dashstyle="solid"/>
            </v:rect>
            <v:rect style="position:absolute;left:6026;top:2140;width:22;height:24" filled="false" stroked="true" strokeweight=".273458pt" strokecolor="#000000">
              <v:stroke dashstyle="solid"/>
            </v:rect>
            <v:rect style="position:absolute;left:6070;top:2140;width:22;height:24" filled="false" stroked="true" strokeweight=".273458pt" strokecolor="#000000">
              <v:stroke dashstyle="solid"/>
            </v:rect>
            <v:rect style="position:absolute;left:6113;top:2140;width:27;height:24" filled="false" stroked="true" strokeweight=".274587pt" strokecolor="#000000">
              <v:stroke dashstyle="solid"/>
            </v:rect>
            <v:rect style="position:absolute;left:6161;top:2140;width:22;height:24" filled="false" stroked="true" strokeweight=".273458pt" strokecolor="#000000">
              <v:stroke dashstyle="solid"/>
            </v:rect>
            <v:rect style="position:absolute;left:6204;top:2140;width:22;height:24" filled="false" stroked="true" strokeweight=".273458pt" strokecolor="#000000">
              <v:stroke dashstyle="solid"/>
            </v:rect>
            <v:rect style="position:absolute;left:6247;top:2140;width:27;height:24" filled="false" stroked="true" strokeweight=".274587pt" strokecolor="#000000">
              <v:stroke dashstyle="solid"/>
            </v:rect>
            <v:rect style="position:absolute;left:6295;top:2140;width:22;height:24" filled="false" stroked="true" strokeweight=".273458pt" strokecolor="#000000">
              <v:stroke dashstyle="solid"/>
            </v:rect>
            <v:rect style="position:absolute;left:6338;top:2140;width:22;height:24" filled="false" stroked="true" strokeweight=".273458pt" strokecolor="#000000">
              <v:stroke dashstyle="solid"/>
            </v:rect>
            <v:rect style="position:absolute;left:6382;top:2140;width:27;height:24" filled="false" stroked="true" strokeweight=".274587pt" strokecolor="#000000">
              <v:stroke dashstyle="solid"/>
            </v:rect>
            <v:rect style="position:absolute;left:6430;top:2140;width:22;height:24" filled="false" stroked="true" strokeweight=".273458pt" strokecolor="#000000">
              <v:stroke dashstyle="solid"/>
            </v:rect>
            <v:rect style="position:absolute;left:6473;top:2140;width:22;height:24" filled="false" stroked="true" strokeweight=".273458pt" strokecolor="#000000">
              <v:stroke dashstyle="solid"/>
            </v:rect>
            <v:rect style="position:absolute;left:6516;top:2140;width:27;height:24" filled="false" stroked="true" strokeweight=".274587pt" strokecolor="#000000">
              <v:stroke dashstyle="solid"/>
            </v:rect>
            <v:rect style="position:absolute;left:6564;top:2140;width:22;height:24" filled="false" stroked="true" strokeweight=".273458pt" strokecolor="#000000">
              <v:stroke dashstyle="solid"/>
            </v:rect>
            <v:rect style="position:absolute;left:6607;top:2140;width:22;height:24" filled="false" stroked="true" strokeweight=".273458pt" strokecolor="#000000">
              <v:stroke dashstyle="solid"/>
            </v:rect>
            <v:rect style="position:absolute;left:6650;top:2140;width:27;height:24" filled="false" stroked="true" strokeweight=".274587pt" strokecolor="#000000">
              <v:stroke dashstyle="solid"/>
            </v:rect>
            <v:rect style="position:absolute;left:6698;top:2140;width:22;height:24" filled="false" stroked="true" strokeweight=".273458pt" strokecolor="#000000">
              <v:stroke dashstyle="solid"/>
            </v:rect>
            <v:rect style="position:absolute;left:6742;top:2140;width:22;height:24" filled="false" stroked="true" strokeweight=".273458pt" strokecolor="#000000">
              <v:stroke dashstyle="solid"/>
            </v:rect>
            <v:rect style="position:absolute;left:6785;top:2140;width:27;height:24" filled="false" stroked="true" strokeweight=".274587pt" strokecolor="#000000">
              <v:stroke dashstyle="solid"/>
            </v:rect>
            <v:rect style="position:absolute;left:6833;top:2140;width:22;height:24" filled="false" stroked="true" strokeweight=".273458pt" strokecolor="#000000">
              <v:stroke dashstyle="solid"/>
            </v:rect>
            <v:rect style="position:absolute;left:6876;top:2140;width:22;height:24" filled="false" stroked="true" strokeweight=".273458pt" strokecolor="#000000">
              <v:stroke dashstyle="solid"/>
            </v:rect>
            <v:rect style="position:absolute;left:6919;top:2140;width:27;height:24" filled="false" stroked="true" strokeweight=".274587pt" strokecolor="#000000">
              <v:stroke dashstyle="solid"/>
            </v:rect>
            <v:rect style="position:absolute;left:6967;top:2140;width:22;height:24" filled="false" stroked="true" strokeweight=".273458pt" strokecolor="#000000">
              <v:stroke dashstyle="solid"/>
            </v:rect>
            <v:rect style="position:absolute;left:7010;top:2140;width:22;height:24" filled="false" stroked="true" strokeweight=".273458pt" strokecolor="#000000">
              <v:stroke dashstyle="solid"/>
            </v:rect>
            <v:rect style="position:absolute;left:7054;top:2140;width:27;height:24" filled="false" stroked="true" strokeweight=".274587pt" strokecolor="#000000">
              <v:stroke dashstyle="solid"/>
            </v:rect>
            <v:rect style="position:absolute;left:7102;top:2140;width:22;height:24" filled="false" stroked="true" strokeweight=".273458pt" strokecolor="#000000">
              <v:stroke dashstyle="solid"/>
            </v:rect>
            <v:rect style="position:absolute;left:7145;top:2140;width:22;height:24" filled="false" stroked="true" strokeweight=".273458pt" strokecolor="#000000">
              <v:stroke dashstyle="solid"/>
            </v:rect>
            <v:rect style="position:absolute;left:7188;top:2140;width:27;height:24" filled="false" stroked="true" strokeweight=".274587pt" strokecolor="#000000">
              <v:stroke dashstyle="solid"/>
            </v:rect>
            <v:rect style="position:absolute;left:7236;top:2140;width:22;height:24" filled="false" stroked="true" strokeweight=".273458pt" strokecolor="#000000">
              <v:stroke dashstyle="solid"/>
            </v:rect>
            <v:rect style="position:absolute;left:7279;top:2140;width:22;height:24" filled="false" stroked="true" strokeweight=".273458pt" strokecolor="#000000">
              <v:stroke dashstyle="solid"/>
            </v:rect>
            <v:shape style="position:absolute;left:5009;top:2106;width:92;height:96" coordorigin="5009,2107" coordsize="92,96" path="m5101,2203l5009,2153,5101,2107,5101,2203xe" filled="false" stroked="true" strokeweight=".273766pt" strokecolor="#000000">
              <v:path arrowok="t"/>
              <v:stroke dashstyle="solid"/>
            </v:shape>
            <v:shape style="position:absolute;left:7296;top:2106;width:87;height:96" coordorigin="7297,2107" coordsize="87,96" path="m7297,2107l7383,2153,7297,2203,7297,2107xe" filled="false" stroked="true" strokeweight=".273463pt" strokecolor="#000000">
              <v:path arrowok="t"/>
              <v:stroke dashstyle="solid"/>
            </v:shape>
            <v:shape style="position:absolute;left:3790;top:225;width:4747;height:3195" coordorigin="3790,225" coordsize="4747,3195" path="m3790,225l3790,3420,8537,3420e" filled="false" stroked="true" strokeweight="1.658091pt" strokecolor="#000000">
              <v:path arrowok="t"/>
              <v:stroke dashstyle="solid"/>
            </v:shape>
            <v:rect style="position:absolute;left:3790;top:2106;width:1167;height:34" filled="true" fillcolor="#000000" stroked="false">
              <v:fill type="solid"/>
            </v:rect>
            <v:line style="position:absolute" from="7388,768" to="8516,768" stroked="true" strokeweight="1.679216pt" strokecolor="#000000">
              <v:stroke dashstyle="solid"/>
            </v:line>
            <v:shape style="position:absolute;left:4956;top:762;width:2484;height:1373" coordorigin="4957,763" coordsize="2484,1373" path="m7441,763l7333,768,7227,780,7119,792,7011,809,6908,825,6807,847,6704,869,6603,897,6505,926,6409,953,6226,1020,6135,1061,6049,1099,5962,1145,5881,1188,5801,1233,5720,1279,5645,1329,5576,1385,5504,1435,5441,1490,5377,1548,5317,1608,5257,1670,5204,1733,5156,1793,5108,1860,5065,1927,5026,1994,4988,2069,4957,2136e" filled="false" stroked="true" strokeweight="1.663358pt" strokecolor="#000000">
              <v:path arrowok="t"/>
              <v:stroke dashstyle="solid"/>
            </v:shape>
            <v:rect style="position:absolute;left:3790;top:2106;width:1167;height:34" filled="true" fillcolor="#000000" stroked="false">
              <v:fill type="solid"/>
            </v:rect>
            <v:line style="position:absolute" from="7388,768" to="8516,768" stroked="true" strokeweight="1.679216pt" strokecolor="#000000">
              <v:stroke dashstyle="solid"/>
            </v:line>
            <v:shape style="position:absolute;left:4956;top:762;width:2484;height:1373" coordorigin="4957,763" coordsize="2484,1373" path="m7441,763l7333,768,7227,780,7119,792,7011,809,6908,825,6807,847,6704,869,6603,897,6505,926,6409,953,6226,1020,6135,1061,6049,1099,5962,1145,5881,1188,5801,1233,5720,1279,5645,1329,5576,1385,5504,1435,5441,1490,5377,1548,5317,1608,5257,1670,5204,1733,5156,1793,5108,1860,5065,1927,5026,1994,4988,2069,4957,2136e" filled="false" stroked="true" strokeweight="1.663358pt" strokecolor="#000000">
              <v:path arrowok="t"/>
              <v:stroke dashstyle="solid"/>
            </v:shape>
            <v:shape style="position:absolute;left:4944;top:762;width:3154;height:1390" coordorigin="4945,763" coordsize="3154,1390" path="m4973,2153l4945,2124,5048,2030,5069,2057,4973,2153xm5144,1989l5122,1961,5221,1867,5247,1893,5144,1989xm5317,1821l5295,1800,5398,1704,5420,1733,5317,1821xm5494,1658l5473,1632,5569,1541,5595,1565,5494,1658xm5667,1497l5645,1469,5746,1373,5768,1401,5667,1497xm5845,1329l5823,1305,5919,1212,5941,1238,5845,1329xm6015,1166l5993,1137,6097,1049,6118,1070,6015,1166xm6193,1003l6171,977,6269,881,6291,909,6193,1003xm6365,842l6344,813,6392,768,6397,763,6473,763,6473,792,6418,792,6409,797,6413,797,6365,842xm6413,797l6409,797,6418,792,6413,797xm6473,797l6413,797,6418,792,6473,792,6473,797xm6709,797l6574,797,6574,763,6709,763,6709,797xm6946,797l6812,797,6812,763,6946,763,6946,797xm7177,797l7042,797,7042,763,7177,763,7177,797xm7414,797l7280,797,7280,763,7414,763,7414,797xm7652,797l7517,797,7517,763,7652,763,7652,797xm7882,797l7748,797,7748,763,7882,763,7882,797xm8098,797l7985,797,7985,763,8098,763,8098,797xe" filled="true" fillcolor="#000000" stroked="false">
              <v:path arrowok="t"/>
              <v:fill type="solid"/>
            </v:shape>
            <v:shape style="position:absolute;left:4944;top:2030;width:125;height:123" coordorigin="4945,2030" coordsize="125,123" path="m4945,2124l5048,2030,5069,2057,4973,2153,4945,2124xe" filled="false" stroked="true" strokeweight=".274165pt" strokecolor="#000000">
              <v:path arrowok="t"/>
              <v:stroke dashstyle="solid"/>
            </v:shape>
            <v:shape style="position:absolute;left:5122;top:1866;width:125;height:123" coordorigin="5122,1867" coordsize="125,123" path="m5122,1961l5221,1867,5247,1893,5144,1989,5122,1961xe" filled="false" stroked="true" strokeweight=".274164pt" strokecolor="#000000">
              <v:path arrowok="t"/>
              <v:stroke dashstyle="solid"/>
            </v:shape>
            <v:shape style="position:absolute;left:5295;top:1703;width:125;height:118" coordorigin="5295,1704" coordsize="125,118" path="m5295,1800l5398,1704,5420,1733,5317,1821,5295,1800xe" filled="false" stroked="true" strokeweight=".274388pt" strokecolor="#000000">
              <v:path arrowok="t"/>
              <v:stroke dashstyle="solid"/>
            </v:shape>
            <v:shape style="position:absolute;left:5472;top:1540;width:123;height:118" coordorigin="5473,1541" coordsize="123,118" path="m5473,1632l5569,1541,5595,1565,5494,1658,5473,1632xe" filled="false" stroked="true" strokeweight=".274279pt" strokecolor="#000000">
              <v:path arrowok="t"/>
              <v:stroke dashstyle="solid"/>
            </v:shape>
            <v:shape style="position:absolute;left:5645;top:1372;width:123;height:125" coordorigin="5645,1373" coordsize="123,125" path="m5645,1469l5746,1373,5768,1401,5667,1497,5645,1469xe" filled="false" stroked="true" strokeweight=".273945pt" strokecolor="#000000">
              <v:path arrowok="t"/>
              <v:stroke dashstyle="solid"/>
            </v:shape>
            <v:shape style="position:absolute;left:5822;top:1211;width:118;height:118" coordorigin="5823,1212" coordsize="118,118" path="m5823,1305l5919,1212,5941,1238,5845,1329,5823,1305xe" filled="false" stroked="true" strokeweight=".274056pt" strokecolor="#000000">
              <v:path arrowok="t"/>
              <v:stroke dashstyle="solid"/>
            </v:shape>
            <v:shape style="position:absolute;left:5993;top:1048;width:125;height:118" coordorigin="5993,1049" coordsize="125,118" path="m5993,1137l6097,1049,6118,1070,6015,1166,5993,1137xe" filled="false" stroked="true" strokeweight=".274389pt" strokecolor="#000000">
              <v:path arrowok="t"/>
              <v:stroke dashstyle="solid"/>
            </v:shape>
            <v:shape style="position:absolute;left:6170;top:880;width:120;height:123" coordorigin="6171,881" coordsize="120,123" path="m6171,977l6269,881,6291,909,6193,1003,6171,977xe" filled="false" stroked="true" strokeweight=".273942pt" strokecolor="#000000">
              <v:path arrowok="t"/>
              <v:stroke dashstyle="solid"/>
            </v:shape>
            <v:shape style="position:absolute;left:6343;top:762;width:130;height:80" coordorigin="6344,763" coordsize="130,80" path="m6344,813l6392,768,6397,763,6473,763,6473,797,6409,797,6418,792,6365,842,6344,813xe" filled="false" stroked="true" strokeweight=".276628pt" strokecolor="#000000">
              <v:path arrowok="t"/>
              <v:stroke dashstyle="solid"/>
            </v:shape>
            <v:rect style="position:absolute;left:6574;top:762;width:135;height:34" filled="false" stroked="true" strokeweight=".279035pt" strokecolor="#000000">
              <v:stroke dashstyle="solid"/>
            </v:rect>
            <v:rect style="position:absolute;left:6811;top:762;width:135;height:34" filled="false" stroked="true" strokeweight=".279035pt" strokecolor="#000000">
              <v:stroke dashstyle="solid"/>
            </v:rect>
            <v:rect style="position:absolute;left:7042;top:762;width:135;height:34" filled="false" stroked="true" strokeweight=".279035pt" strokecolor="#000000">
              <v:stroke dashstyle="solid"/>
            </v:rect>
            <v:rect style="position:absolute;left:7279;top:762;width:135;height:34" filled="false" stroked="true" strokeweight=".279035pt" strokecolor="#000000">
              <v:stroke dashstyle="solid"/>
            </v:rect>
            <v:rect style="position:absolute;left:7517;top:762;width:135;height:34" filled="false" stroked="true" strokeweight=".279035pt" strokecolor="#000000">
              <v:stroke dashstyle="solid"/>
            </v:rect>
            <v:rect style="position:absolute;left:7747;top:762;width:135;height:34" filled="false" stroked="true" strokeweight=".279035pt" strokecolor="#000000">
              <v:stroke dashstyle="solid"/>
            </v:rect>
            <v:rect style="position:absolute;left:7985;top:762;width:113;height:34" filled="false" stroked="true" strokeweight=".278779pt" strokecolor="#000000">
              <v:stroke dashstyle="solid"/>
            </v:rect>
            <v:shape style="position:absolute;left:4853;top:2786;width:221;height:610" coordorigin="4853,2786" coordsize="221,610" path="m4961,3257l4940,3238,4952,2786,5000,2786,4984,3239,4961,3257xm4957,3396l4853,3161,4940,3238,4940,3257,5028,3257,4957,3396xm5028,3257l4983,3257,4984,3239,5074,3165,5028,3257xm4961,3257l4940,3257,4940,3238,4961,3257xm4983,3257l4961,3257,4984,3239,4983,3257xe" filled="true" fillcolor="#000000" stroked="false">
              <v:path arrowok="t"/>
              <v:fill type="solid"/>
            </v:shape>
            <v:shape style="position:absolute;left:4939;top:2786;width:61;height:471" coordorigin="4940,2786" coordsize="61,471" path="m5000,2786l4983,3257,4940,3257,4952,2786,5000,2786xe" filled="false" stroked="true" strokeweight=".268591pt" strokecolor="#000000">
              <v:path arrowok="t"/>
              <v:stroke dashstyle="solid"/>
            </v:shape>
            <v:shape style="position:absolute;left:4853;top:3160;width:221;height:236" coordorigin="4853,3161" coordsize="221,236" path="m4961,3257l5074,3165,4957,3396,4853,3161,4961,3257xe" filled="false" stroked="true" strokeweight=".273698pt" strokecolor="#000000">
              <v:path arrowok="t"/>
              <v:stroke dashstyle="solid"/>
            </v:shape>
            <v:rect style="position:absolute;left:5880;top:2982;width:867;height:45" filled="true" fillcolor="#000000" stroked="false">
              <v:fill type="solid"/>
            </v:rect>
            <v:rect style="position:absolute;left:5897;top:2685;width:135;height:39" filled="true" fillcolor="#000000" stroked="false">
              <v:fill type="solid"/>
            </v:rect>
            <v:rect style="position:absolute;left:6134;top:2685;width:135;height:39" filled="true" fillcolor="#000000" stroked="false">
              <v:fill type="solid"/>
            </v:rect>
            <v:rect style="position:absolute;left:6370;top:2685;width:135;height:39" filled="true" fillcolor="#000000" stroked="false">
              <v:fill type="solid"/>
            </v:rect>
            <v:rect style="position:absolute;left:6607;top:2685;width:135;height:39" filled="true" fillcolor="#000000" stroked="false">
              <v:fill type="solid"/>
            </v:rect>
            <v:shape style="position:absolute;left:4649;top:1418;width:699;height:173" coordorigin="4649,1418" coordsize="699,173" path="m5329,1531l5247,1531,5252,1497,5236,1495,5192,1418,5348,1524,5329,1531xm5232,1529l4649,1457,4654,1423,5236,1495,5247,1514,5232,1529xm5247,1531l5232,1529,5247,1514,5236,1495,5252,1497,5247,1531xm5170,1591l5232,1529,5247,1531,5329,1531,5170,1591xe" filled="true" fillcolor="#000000" stroked="false">
              <v:path arrowok="t"/>
              <v:fill type="solid"/>
            </v:shape>
            <v:shape style="position:absolute;left:4649;top:1422;width:603;height:108" coordorigin="4649,1423" coordsize="603,108" path="m4654,1423l5252,1497,5247,1531,4649,1457,4654,1423xe" filled="false" stroked="true" strokeweight=".279348pt" strokecolor="#000000">
              <v:path arrowok="t"/>
              <v:stroke dashstyle="solid"/>
            </v:shape>
            <v:shape style="position:absolute;left:5170;top:1418;width:178;height:173" coordorigin="5170,1418" coordsize="178,173" path="m5247,1514l5192,1418,5348,1524,5170,1591,5247,1514xe" filled="false" stroked="true" strokeweight=".274209pt" strokecolor="#000000">
              <v:path arrowok="t"/>
              <v:stroke dashstyle="solid"/>
            </v:shape>
            <v:shape style="position:absolute;left:5559;top:741;width:699;height:173" coordorigin="5559,741" coordsize="699,173" path="m6245,852l6157,852,6157,818,6145,817,6097,741,6257,847,6245,852xm6142,850l5559,780,5564,746,6145,817,6157,835,6142,850xm6157,835l6145,817,6157,818,6157,835xm6157,852l6142,850,6157,835,6157,852xm6080,914l6142,850,6157,852,6245,852,6080,914xe" filled="true" fillcolor="#000000" stroked="false">
              <v:path arrowok="t"/>
              <v:fill type="solid"/>
            </v:shape>
            <v:shape style="position:absolute;left:5559;top:746;width:598;height:106" coordorigin="5559,746" coordsize="598,106" path="m5564,746l6157,818,6157,852,5559,780,5564,746xe" filled="false" stroked="true" strokeweight=".279357pt" strokecolor="#000000">
              <v:path arrowok="t"/>
              <v:stroke dashstyle="solid"/>
            </v:shape>
            <v:shape style="position:absolute;left:6079;top:741;width:178;height:173" coordorigin="6080,741" coordsize="178,173" path="m6157,835l6097,741,6257,847,6080,914,6157,835xe" filled="false" stroked="true" strokeweight=".274209pt" strokecolor="#000000">
              <v:path arrowok="t"/>
              <v:stroke dashstyle="solid"/>
            </v:shape>
            <v:shape style="position:absolute;left:5009;top:2106;width:2374;height:96" coordorigin="5009,2107" coordsize="2374,96" path="m5101,2203l5009,2153,5101,2107,5101,2141,5086,2141,5086,2165,5101,2165,5101,2203xm5101,2165l5086,2165,5086,2141,5101,2141,5101,2165xm5108,2165l5101,2165,5101,2141,5108,2141,5108,2165xm5149,2165l5129,2165,5129,2141,5149,2141,5149,2165xm5199,2165l5177,2165,5177,2141,5199,2141,5199,2165xm5242,2165l5221,2165,5221,2141,5242,2141,5242,2165xm5285,2165l5264,2165,5264,2141,5285,2141,5285,2165xm5333,2165l5312,2165,5312,2141,5333,2141,5333,2165xm5377,2165l5355,2165,5355,2141,5377,2141,5377,2165xm5420,2165l5398,2165,5398,2141,5420,2141,5420,2165xm5468,2165l5446,2165,5446,2141,5468,2141,5468,2165xm5511,2165l5489,2165,5489,2141,5511,2141,5511,2165xm5554,2165l5533,2165,5533,2141,5554,2141,5554,2165xm5602,2165l5581,2165,5581,2141,5602,2141,5602,2165xm5645,2165l5624,2165,5624,2141,5645,2141,5645,2165xm5689,2165l5667,2165,5667,2141,5689,2141,5689,2165xm5737,2165l5715,2165,5715,2141,5737,2141,5737,2165xm5780,2165l5758,2165,5758,2141,5780,2141,5780,2165xm5823,2165l5801,2165,5801,2141,5823,2141,5823,2165xm5871,2165l5845,2165,5845,2141,5871,2141,5871,2165xm5914,2165l5893,2165,5893,2141,5914,2141,5914,2165xm5957,2165l5936,2165,5936,2141,5957,2141,5957,2165xm6005,2165l5979,2165,5979,2141,6005,2141,6005,2165xm6049,2165l6027,2165,6027,2141,6049,2141,6049,2165xm6092,2165l6070,2165,6070,2141,6092,2141,6092,2165xm6140,2165l6113,2165,6113,2141,6140,2141,6140,2165xm6183,2165l6161,2165,6161,2141,6183,2141,6183,2165xm6226,2165l6205,2165,6205,2141,6226,2141,6226,2165xm6274,2165l6248,2165,6248,2141,6274,2141,6274,2165xm6317,2165l6296,2165,6296,2141,6317,2141,6317,2165xm6361,2165l6339,2165,6339,2141,6361,2141,6361,2165xm6409,2165l6382,2165,6382,2141,6409,2141,6409,2165xm6452,2165l6430,2165,6430,2141,6452,2141,6452,2165xm6495,2165l6473,2165,6473,2141,6495,2141,6495,2165xm6543,2165l6517,2165,6517,2141,6543,2141,6543,2165xm6586,2165l6565,2165,6565,2141,6586,2141,6586,2165xm6629,2165l6608,2165,6608,2141,6629,2141,6629,2165xm6677,2165l6651,2165,6651,2141,6677,2141,6677,2165xm6721,2165l6699,2165,6699,2141,6721,2141,6721,2165xm6764,2165l6742,2165,6742,2141,6764,2141,6764,2165xm6812,2165l6785,2165,6785,2141,6812,2141,6812,2165xm6855,2165l6833,2165,6833,2141,6855,2141,6855,2165xm6898,2165l6877,2165,6877,2141,6898,2141,6898,2165xm6946,2165l6920,2165,6920,2141,6946,2141,6946,2165xm6989,2165l6968,2165,6968,2141,6989,2141,6989,2165xm7033,2165l7011,2165,7011,2141,7033,2141,7033,2165xm7081,2165l7054,2165,7054,2141,7081,2141,7081,2165xm7124,2165l7102,2165,7102,2141,7124,2141,7124,2165xm7167,2165l7145,2165,7145,2141,7167,2141,7167,2165xm7215,2165l7189,2165,7189,2141,7215,2141,7215,2165xm7258,2165l7237,2165,7237,2141,7258,2141,7258,2165xm7297,2203l7297,2107,7360,2141,7301,2141,7301,2165,7362,2165,7297,2203xm7297,2165l7280,2165,7280,2141,7297,2141,7297,2165xm7362,2165l7301,2165,7301,2141,7360,2141,7383,2153,7362,2165xe" filled="true" fillcolor="#000000" stroked="false">
              <v:path arrowok="t"/>
              <v:fill type="solid"/>
            </v:shape>
            <v:rect style="position:absolute;left:5086;top:2140;width:22;height:24" filled="false" stroked="true" strokeweight=".273458pt" strokecolor="#000000">
              <v:stroke dashstyle="solid"/>
            </v:rect>
            <v:rect style="position:absolute;left:5129;top:2140;width:20;height:24" filled="false" stroked="true" strokeweight=".272814pt" strokecolor="#000000">
              <v:stroke dashstyle="solid"/>
            </v:rect>
            <v:rect style="position:absolute;left:5177;top:2140;width:22;height:24" filled="false" stroked="true" strokeweight=".273458pt" strokecolor="#000000">
              <v:stroke dashstyle="solid"/>
            </v:rect>
            <v:rect style="position:absolute;left:5220;top:2140;width:22;height:24" filled="false" stroked="true" strokeweight=".273458pt" strokecolor="#000000">
              <v:stroke dashstyle="solid"/>
            </v:rect>
            <v:rect style="position:absolute;left:5263;top:2140;width:22;height:24" filled="false" stroked="true" strokeweight=".273458pt" strokecolor="#000000">
              <v:stroke dashstyle="solid"/>
            </v:rect>
            <v:rect style="position:absolute;left:5311;top:2140;width:22;height:24" filled="false" stroked="true" strokeweight=".273458pt" strokecolor="#000000">
              <v:stroke dashstyle="solid"/>
            </v:rect>
            <v:rect style="position:absolute;left:5355;top:2140;width:22;height:24" filled="false" stroked="true" strokeweight=".273458pt" strokecolor="#000000">
              <v:stroke dashstyle="solid"/>
            </v:rect>
            <v:rect style="position:absolute;left:5398;top:2140;width:22;height:24" filled="false" stroked="true" strokeweight=".273458pt" strokecolor="#000000">
              <v:stroke dashstyle="solid"/>
            </v:rect>
            <v:rect style="position:absolute;left:5446;top:2140;width:22;height:24" filled="false" stroked="true" strokeweight=".273458pt" strokecolor="#000000">
              <v:stroke dashstyle="solid"/>
            </v:rect>
            <v:rect style="position:absolute;left:5489;top:2140;width:22;height:24" filled="false" stroked="true" strokeweight=".273458pt" strokecolor="#000000">
              <v:stroke dashstyle="solid"/>
            </v:rect>
            <v:rect style="position:absolute;left:5532;top:2140;width:22;height:24" filled="false" stroked="true" strokeweight=".273458pt" strokecolor="#000000">
              <v:stroke dashstyle="solid"/>
            </v:rect>
            <v:rect style="position:absolute;left:5580;top:2140;width:22;height:24" filled="false" stroked="true" strokeweight=".273458pt" strokecolor="#000000">
              <v:stroke dashstyle="solid"/>
            </v:rect>
            <v:rect style="position:absolute;left:5623;top:2140;width:22;height:24" filled="false" stroked="true" strokeweight=".273458pt" strokecolor="#000000">
              <v:stroke dashstyle="solid"/>
            </v:rect>
            <v:rect style="position:absolute;left:5666;top:2140;width:22;height:24" filled="false" stroked="true" strokeweight=".273458pt" strokecolor="#000000">
              <v:stroke dashstyle="solid"/>
            </v:rect>
            <v:rect style="position:absolute;left:5714;top:2140;width:22;height:24" filled="false" stroked="true" strokeweight=".273458pt" strokecolor="#000000">
              <v:stroke dashstyle="solid"/>
            </v:rect>
            <v:rect style="position:absolute;left:5758;top:2140;width:22;height:24" filled="false" stroked="true" strokeweight=".273458pt" strokecolor="#000000">
              <v:stroke dashstyle="solid"/>
            </v:rect>
            <v:rect style="position:absolute;left:5801;top:2140;width:22;height:24" filled="false" stroked="true" strokeweight=".273458pt" strokecolor="#000000">
              <v:stroke dashstyle="solid"/>
            </v:rect>
            <v:rect style="position:absolute;left:5844;top:2140;width:27;height:24" filled="false" stroked="true" strokeweight=".274587pt" strokecolor="#000000">
              <v:stroke dashstyle="solid"/>
            </v:rect>
            <v:rect style="position:absolute;left:5892;top:2140;width:22;height:24" filled="false" stroked="true" strokeweight=".273458pt" strokecolor="#000000">
              <v:stroke dashstyle="solid"/>
            </v:rect>
            <v:rect style="position:absolute;left:5935;top:2140;width:22;height:24" filled="false" stroked="true" strokeweight=".273458pt" strokecolor="#000000">
              <v:stroke dashstyle="solid"/>
            </v:rect>
            <v:rect style="position:absolute;left:5978;top:2140;width:27;height:24" filled="false" stroked="true" strokeweight=".274587pt" strokecolor="#000000">
              <v:stroke dashstyle="solid"/>
            </v:rect>
            <v:rect style="position:absolute;left:6026;top:2140;width:22;height:24" filled="false" stroked="true" strokeweight=".273458pt" strokecolor="#000000">
              <v:stroke dashstyle="solid"/>
            </v:rect>
            <v:rect style="position:absolute;left:6070;top:2140;width:22;height:24" filled="false" stroked="true" strokeweight=".273458pt" strokecolor="#000000">
              <v:stroke dashstyle="solid"/>
            </v:rect>
            <v:rect style="position:absolute;left:6113;top:2140;width:27;height:24" filled="false" stroked="true" strokeweight=".274587pt" strokecolor="#000000">
              <v:stroke dashstyle="solid"/>
            </v:rect>
            <v:rect style="position:absolute;left:6161;top:2140;width:22;height:24" filled="false" stroked="true" strokeweight=".273458pt" strokecolor="#000000">
              <v:stroke dashstyle="solid"/>
            </v:rect>
            <v:rect style="position:absolute;left:6204;top:2140;width:22;height:24" filled="false" stroked="true" strokeweight=".273458pt" strokecolor="#000000">
              <v:stroke dashstyle="solid"/>
            </v:rect>
            <v:rect style="position:absolute;left:6247;top:2140;width:27;height:24" filled="false" stroked="true" strokeweight=".274587pt" strokecolor="#000000">
              <v:stroke dashstyle="solid"/>
            </v:rect>
            <v:rect style="position:absolute;left:6295;top:2140;width:22;height:24" filled="false" stroked="true" strokeweight=".273458pt" strokecolor="#000000">
              <v:stroke dashstyle="solid"/>
            </v:rect>
            <v:rect style="position:absolute;left:6338;top:2140;width:22;height:24" filled="false" stroked="true" strokeweight=".273458pt" strokecolor="#000000">
              <v:stroke dashstyle="solid"/>
            </v:rect>
            <v:rect style="position:absolute;left:6382;top:2140;width:27;height:24" filled="false" stroked="true" strokeweight=".274587pt" strokecolor="#000000">
              <v:stroke dashstyle="solid"/>
            </v:rect>
            <v:rect style="position:absolute;left:6430;top:2140;width:22;height:24" filled="false" stroked="true" strokeweight=".273458pt" strokecolor="#000000">
              <v:stroke dashstyle="solid"/>
            </v:rect>
            <v:rect style="position:absolute;left:6473;top:2140;width:22;height:24" filled="false" stroked="true" strokeweight=".273458pt" strokecolor="#000000">
              <v:stroke dashstyle="solid"/>
            </v:rect>
            <v:rect style="position:absolute;left:6516;top:2140;width:27;height:24" filled="false" stroked="true" strokeweight=".274587pt" strokecolor="#000000">
              <v:stroke dashstyle="solid"/>
            </v:rect>
            <v:rect style="position:absolute;left:6564;top:2140;width:22;height:24" filled="false" stroked="true" strokeweight=".273458pt" strokecolor="#000000">
              <v:stroke dashstyle="solid"/>
            </v:rect>
            <v:rect style="position:absolute;left:6607;top:2140;width:22;height:24" filled="false" stroked="true" strokeweight=".273458pt" strokecolor="#000000">
              <v:stroke dashstyle="solid"/>
            </v:rect>
            <v:rect style="position:absolute;left:6650;top:2140;width:27;height:24" filled="false" stroked="true" strokeweight=".274587pt" strokecolor="#000000">
              <v:stroke dashstyle="solid"/>
            </v:rect>
            <v:rect style="position:absolute;left:6698;top:2140;width:22;height:24" filled="false" stroked="true" strokeweight=".273458pt" strokecolor="#000000">
              <v:stroke dashstyle="solid"/>
            </v:rect>
            <v:rect style="position:absolute;left:6742;top:2140;width:22;height:24" filled="false" stroked="true" strokeweight=".273458pt" strokecolor="#000000">
              <v:stroke dashstyle="solid"/>
            </v:rect>
            <v:rect style="position:absolute;left:6785;top:2140;width:27;height:24" filled="false" stroked="true" strokeweight=".274587pt" strokecolor="#000000">
              <v:stroke dashstyle="solid"/>
            </v:rect>
            <v:rect style="position:absolute;left:6833;top:2140;width:22;height:24" filled="false" stroked="true" strokeweight=".273458pt" strokecolor="#000000">
              <v:stroke dashstyle="solid"/>
            </v:rect>
            <v:rect style="position:absolute;left:6876;top:2140;width:22;height:24" filled="false" stroked="true" strokeweight=".273458pt" strokecolor="#000000">
              <v:stroke dashstyle="solid"/>
            </v:rect>
            <v:rect style="position:absolute;left:6919;top:2140;width:27;height:24" filled="false" stroked="true" strokeweight=".274587pt" strokecolor="#000000">
              <v:stroke dashstyle="solid"/>
            </v:rect>
            <v:rect style="position:absolute;left:6967;top:2140;width:22;height:24" filled="false" stroked="true" strokeweight=".273458pt" strokecolor="#000000">
              <v:stroke dashstyle="solid"/>
            </v:rect>
            <v:rect style="position:absolute;left:7010;top:2140;width:22;height:24" filled="false" stroked="true" strokeweight=".273458pt" strokecolor="#000000">
              <v:stroke dashstyle="solid"/>
            </v:rect>
            <v:rect style="position:absolute;left:7054;top:2140;width:27;height:24" filled="false" stroked="true" strokeweight=".274587pt" strokecolor="#000000">
              <v:stroke dashstyle="solid"/>
            </v:rect>
            <v:rect style="position:absolute;left:7102;top:2140;width:22;height:24" filled="false" stroked="true" strokeweight=".273458pt" strokecolor="#000000">
              <v:stroke dashstyle="solid"/>
            </v:rect>
            <v:rect style="position:absolute;left:7145;top:2140;width:22;height:24" filled="false" stroked="true" strokeweight=".273458pt" strokecolor="#000000">
              <v:stroke dashstyle="solid"/>
            </v:rect>
            <v:rect style="position:absolute;left:7188;top:2140;width:27;height:24" filled="false" stroked="true" strokeweight=".274587pt" strokecolor="#000000">
              <v:stroke dashstyle="solid"/>
            </v:rect>
            <v:rect style="position:absolute;left:7236;top:2140;width:22;height:24" filled="false" stroked="true" strokeweight=".273458pt" strokecolor="#000000">
              <v:stroke dashstyle="solid"/>
            </v:rect>
            <v:rect style="position:absolute;left:7279;top:2140;width:22;height:24" filled="false" stroked="true" strokeweight=".273458pt" strokecolor="#000000">
              <v:stroke dashstyle="solid"/>
            </v:rect>
            <v:shape style="position:absolute;left:5009;top:2106;width:92;height:96" coordorigin="5009,2107" coordsize="92,96" path="m5101,2203l5009,2153,5101,2107,5101,2203xe" filled="false" stroked="true" strokeweight=".273766pt" strokecolor="#000000">
              <v:path arrowok="t"/>
              <v:stroke dashstyle="solid"/>
            </v:shape>
            <v:shape style="position:absolute;left:7296;top:2106;width:87;height:96" coordorigin="7297,2107" coordsize="87,96" path="m7297,2107l7383,2153,7297,2203,7297,2107xe" filled="false" stroked="true" strokeweight=".273463pt" strokecolor="#000000">
              <v:path arrowok="t"/>
              <v:stroke dashstyle="solid"/>
            </v:shape>
            <v:shape style="position:absolute;left:5321;top:615;width:237;height:307" type="#_x0000_t202" filled="false" stroked="false">
              <v:textbox inset="0,0,0,0">
                <w:txbxContent>
                  <w:p>
                    <w:pPr>
                      <w:spacing w:line="306" w:lineRule="exact" w:before="0"/>
                      <w:ind w:left="0" w:right="0" w:firstLine="0"/>
                      <w:jc w:val="left"/>
                      <w:rPr>
                        <w:rFonts w:ascii="Arial"/>
                        <w:sz w:val="27"/>
                      </w:rPr>
                    </w:pPr>
                    <w:r>
                      <w:rPr>
                        <w:rFonts w:ascii="Arial"/>
                        <w:sz w:val="27"/>
                      </w:rPr>
                      <w:t>b.</w:t>
                    </w:r>
                  </w:p>
                </w:txbxContent>
              </v:textbox>
              <w10:wrap type="none"/>
            </v:shape>
            <v:shape style="position:absolute;left:4412;top:1299;width:237;height:307" type="#_x0000_t202" filled="false" stroked="false">
              <v:textbox inset="0,0,0,0">
                <w:txbxContent>
                  <w:p>
                    <w:pPr>
                      <w:spacing w:line="306" w:lineRule="exact" w:before="0"/>
                      <w:ind w:left="0" w:right="0" w:firstLine="0"/>
                      <w:jc w:val="left"/>
                      <w:rPr>
                        <w:rFonts w:ascii="Arial"/>
                        <w:sz w:val="27"/>
                      </w:rPr>
                    </w:pPr>
                    <w:r>
                      <w:rPr>
                        <w:rFonts w:ascii="Arial"/>
                        <w:sz w:val="27"/>
                      </w:rPr>
                      <w:t>a.</w:t>
                    </w:r>
                  </w:p>
                </w:txbxContent>
              </v:textbox>
              <w10:wrap type="none"/>
            </v:shape>
            <v:shape style="position:absolute;left:5057;top:2223;width:2264;height:238" type="#_x0000_t202" filled="false" stroked="false">
              <v:textbox inset="0,0,0,0">
                <w:txbxContent>
                  <w:p>
                    <w:pPr>
                      <w:spacing w:line="237" w:lineRule="exact" w:before="0"/>
                      <w:ind w:left="0" w:right="0" w:firstLine="0"/>
                      <w:jc w:val="left"/>
                      <w:rPr>
                        <w:rFonts w:ascii="Arial"/>
                        <w:sz w:val="21"/>
                      </w:rPr>
                    </w:pPr>
                    <w:r>
                      <w:rPr>
                        <w:rFonts w:ascii="Arial"/>
                        <w:sz w:val="21"/>
                      </w:rPr>
                      <w:t>Time to new equilibrium</w:t>
                    </w:r>
                  </w:p>
                </w:txbxContent>
              </v:textbox>
              <w10:wrap type="none"/>
            </v:shape>
            <v:shape style="position:absolute;left:3848;top:2770;width:1081;height:425" type="#_x0000_t202" filled="false" stroked="false">
              <v:textbox inset="0,0,0,0">
                <w:txbxContent>
                  <w:p>
                    <w:pPr>
                      <w:spacing w:line="206" w:lineRule="exact" w:before="0"/>
                      <w:ind w:left="0" w:right="0" w:firstLine="0"/>
                      <w:jc w:val="left"/>
                      <w:rPr>
                        <w:rFonts w:ascii="Arial"/>
                        <w:sz w:val="18"/>
                      </w:rPr>
                    </w:pPr>
                    <w:r>
                      <w:rPr>
                        <w:rFonts w:ascii="Arial"/>
                        <w:spacing w:val="-3"/>
                        <w:sz w:val="18"/>
                      </w:rPr>
                      <w:t>Management</w:t>
                    </w:r>
                  </w:p>
                  <w:p>
                    <w:pPr>
                      <w:spacing w:before="11"/>
                      <w:ind w:left="424" w:right="0" w:firstLine="0"/>
                      <w:jc w:val="left"/>
                      <w:rPr>
                        <w:rFonts w:ascii="Arial"/>
                        <w:sz w:val="18"/>
                      </w:rPr>
                    </w:pPr>
                    <w:r>
                      <w:rPr>
                        <w:rFonts w:ascii="Arial"/>
                        <w:spacing w:val="-3"/>
                        <w:w w:val="105"/>
                        <w:sz w:val="18"/>
                      </w:rPr>
                      <w:t>Change</w:t>
                    </w:r>
                  </w:p>
                </w:txbxContent>
              </v:textbox>
              <w10:wrap type="none"/>
            </v:shape>
            <v:shape style="position:absolute;left:6999;top:2584;width:1361;height:566" type="#_x0000_t202" filled="false" stroked="false">
              <v:textbox inset="0,0,0,0">
                <w:txbxContent>
                  <w:p>
                    <w:pPr>
                      <w:spacing w:line="252" w:lineRule="auto" w:before="0"/>
                      <w:ind w:left="0" w:right="-19" w:firstLine="12"/>
                      <w:jc w:val="left"/>
                      <w:rPr>
                        <w:rFonts w:ascii="Arial"/>
                        <w:sz w:val="24"/>
                      </w:rPr>
                    </w:pPr>
                    <w:r>
                      <w:rPr>
                        <w:rFonts w:ascii="Arial"/>
                        <w:w w:val="105"/>
                        <w:sz w:val="24"/>
                      </w:rPr>
                      <w:t>Broken </w:t>
                    </w:r>
                    <w:r>
                      <w:rPr>
                        <w:rFonts w:ascii="Arial"/>
                        <w:spacing w:val="-5"/>
                        <w:w w:val="105"/>
                        <w:sz w:val="24"/>
                      </w:rPr>
                      <w:t>stick </w:t>
                    </w:r>
                    <w:r>
                      <w:rPr>
                        <w:rFonts w:ascii="Arial"/>
                        <w:w w:val="105"/>
                        <w:sz w:val="24"/>
                      </w:rPr>
                      <w:t>Asymptotic</w:t>
                    </w:r>
                  </w:p>
                </w:txbxContent>
              </v:textbox>
              <w10:wrap type="none"/>
            </v:shape>
            <w10:wrap type="topAndBottom"/>
          </v:group>
        </w:pict>
      </w:r>
    </w:p>
    <w:p>
      <w:pPr>
        <w:pStyle w:val="BodyText"/>
        <w:spacing w:before="3"/>
        <w:rPr>
          <w:b/>
          <w:sz w:val="14"/>
        </w:rPr>
      </w:pPr>
    </w:p>
    <w:p>
      <w:pPr>
        <w:spacing w:before="96"/>
        <w:ind w:left="1892" w:right="2890" w:firstLine="0"/>
        <w:jc w:val="center"/>
        <w:rPr>
          <w:rFonts w:ascii="Arial"/>
          <w:sz w:val="27"/>
        </w:rPr>
      </w:pPr>
      <w:r>
        <w:rPr>
          <w:rFonts w:ascii="Arial"/>
          <w:sz w:val="27"/>
        </w:rPr>
        <w:t>Time</w:t>
      </w:r>
    </w:p>
    <w:p>
      <w:pPr>
        <w:pStyle w:val="BodyText"/>
        <w:rPr>
          <w:rFonts w:ascii="Arial"/>
        </w:rPr>
      </w:pPr>
    </w:p>
    <w:p>
      <w:pPr>
        <w:pStyle w:val="BodyText"/>
        <w:spacing w:before="4"/>
        <w:rPr>
          <w:rFonts w:ascii="Arial"/>
          <w:sz w:val="19"/>
        </w:rPr>
      </w:pPr>
    </w:p>
    <w:p>
      <w:pPr>
        <w:pStyle w:val="BodyText"/>
        <w:spacing w:before="91"/>
        <w:ind w:left="179" w:right="1407"/>
        <w:jc w:val="both"/>
      </w:pPr>
      <w:r>
        <w:rPr/>
        <w:t>If for the duration of impact a value other than 20 years is used, this needs to be included in the matrix, as represented schematically in Figure 4.2.12.</w:t>
      </w:r>
    </w:p>
    <w:p>
      <w:pPr>
        <w:pStyle w:val="BodyText"/>
        <w:spacing w:before="118"/>
        <w:ind w:left="179" w:right="1404"/>
        <w:jc w:val="both"/>
      </w:pPr>
      <w:r>
        <w:rPr/>
        <w:t>At Tier 2, default factors (e.g., input factors) associated with a different land-use or land-management change can be replaced by more detailed relationships between the intensity of a practice (e.g., the amount of an organic amendment applied to the soil) and a change in the yearly soil carbon emissions/removals. For example, in Europe Smith </w:t>
      </w:r>
      <w:r>
        <w:rPr>
          <w:i/>
        </w:rPr>
        <w:t>et al. </w:t>
      </w:r>
      <w:r>
        <w:rPr/>
        <w:t>(2000) have developed such relationships (e.g., average yearly soil carbon stock change (tonnes C ha</w:t>
      </w:r>
      <w:r>
        <w:rPr>
          <w:vertAlign w:val="superscript"/>
        </w:rPr>
        <w:t>-1</w:t>
      </w:r>
      <w:r>
        <w:rPr>
          <w:vertAlign w:val="baseline"/>
        </w:rPr>
        <w:t>) = 0.0145 x amount of animal manure (tonnes dry matter ha</w:t>
      </w:r>
      <w:r>
        <w:rPr>
          <w:vertAlign w:val="superscript"/>
        </w:rPr>
        <w:t>-1</w:t>
      </w:r>
      <w:r>
        <w:rPr>
          <w:vertAlign w:val="baseline"/>
        </w:rPr>
        <w:t> yr</w:t>
      </w:r>
      <w:r>
        <w:rPr>
          <w:vertAlign w:val="superscript"/>
        </w:rPr>
        <w:t>-1</w:t>
      </w:r>
      <w:r>
        <w:rPr>
          <w:vertAlign w:val="baseline"/>
        </w:rPr>
        <w:t>) added; recalculated from data in Smith </w:t>
      </w:r>
      <w:r>
        <w:rPr>
          <w:i/>
          <w:vertAlign w:val="baseline"/>
        </w:rPr>
        <w:t>et al.</w:t>
      </w:r>
      <w:r>
        <w:rPr>
          <w:vertAlign w:val="baseline"/>
        </w:rPr>
        <w:t>, 1997; R</w:t>
      </w:r>
      <w:r>
        <w:rPr>
          <w:vertAlign w:val="superscript"/>
        </w:rPr>
        <w:t>2</w:t>
      </w:r>
      <w:r>
        <w:rPr>
          <w:vertAlign w:val="baseline"/>
        </w:rPr>
        <w:t> = 0.3658, n = 17, p &lt; 0.01). Similar relationships could be derived from long-term data for different soil types in different climatic regions. Alternatively, well-calibrated and well-evaluated models of soil carbon change (e.g., CENTURY (Parton </w:t>
      </w:r>
      <w:r>
        <w:rPr>
          <w:i/>
          <w:vertAlign w:val="baseline"/>
        </w:rPr>
        <w:t>et al.</w:t>
      </w:r>
      <w:r>
        <w:rPr>
          <w:vertAlign w:val="baseline"/>
        </w:rPr>
        <w:t>, 1987), RothC (Coleman and Jenkinson, 1996)) could be used to generate either stock change factors, or the intensity relationships described above, for different soils in different climatic regions.</w:t>
      </w:r>
    </w:p>
    <w:p>
      <w:pPr>
        <w:pStyle w:val="BodyText"/>
        <w:spacing w:before="119"/>
        <w:ind w:left="179" w:right="1404"/>
        <w:jc w:val="both"/>
      </w:pPr>
      <w:r>
        <w:rPr/>
        <w:t>Rigorous criteria must be applied so that any carbon stock change is not under- or overestimated. It is </w:t>
      </w:r>
      <w:r>
        <w:rPr>
          <w:i/>
        </w:rPr>
        <w:t>good practice </w:t>
      </w:r>
      <w:r>
        <w:rPr/>
        <w:t>that stock change factors be based on experiments sampled according to the principles set out in Section 5.3, and to use the experimental values if they are more appropriate than the default values to the region and management practice. Factors based on models should only be used after the model has been tested against experiments such as those described above and any model should be widely evaluated, well-documented and archived. It is </w:t>
      </w:r>
      <w:r>
        <w:rPr>
          <w:i/>
        </w:rPr>
        <w:t>good practice </w:t>
      </w:r>
      <w:r>
        <w:rPr/>
        <w:t>to provide confidence limits and/or uncertainty estimates associated with regional, country-specific or local stock change factors.</w:t>
      </w:r>
    </w:p>
    <w:p>
      <w:pPr>
        <w:spacing w:after="0"/>
        <w:jc w:val="both"/>
        <w:sectPr>
          <w:pgSz w:w="11900" w:h="16840"/>
          <w:pgMar w:header="230" w:footer="408" w:top="560" w:bottom="600" w:left="1240" w:right="0"/>
        </w:sectPr>
      </w:pPr>
    </w:p>
    <w:p>
      <w:pPr>
        <w:pStyle w:val="BodyText"/>
      </w:pPr>
    </w:p>
    <w:p>
      <w:pPr>
        <w:pStyle w:val="BodyText"/>
      </w:pPr>
    </w:p>
    <w:p>
      <w:pPr>
        <w:pStyle w:val="BodyText"/>
        <w:spacing w:before="7"/>
        <w:rPr>
          <w:sz w:val="22"/>
        </w:rPr>
      </w:pPr>
    </w:p>
    <w:p>
      <w:pPr>
        <w:spacing w:line="240" w:lineRule="auto" w:before="0"/>
        <w:ind w:left="1880" w:right="1403" w:hanging="1702"/>
        <w:jc w:val="both"/>
        <w:rPr>
          <w:b/>
          <w:sz w:val="20"/>
        </w:rPr>
      </w:pPr>
      <w:r>
        <w:rPr/>
        <w:pict>
          <v:shape style="position:absolute;margin-left:157.010559pt;margin-top:221.025925pt;width:281.05pt;height:196.4pt;mso-position-horizontal-relative:page;mso-position-vertical-relative:paragraph;z-index:-2430016" type="#_x0000_t202" filled="false" stroked="false">
            <v:textbox inset="0,0,0,0">
              <w:txbxContent>
                <w:p>
                  <w:pPr>
                    <w:spacing w:line="314" w:lineRule="exact" w:before="0"/>
                    <w:ind w:left="1343" w:right="0" w:firstLine="0"/>
                    <w:jc w:val="center"/>
                    <w:rPr>
                      <w:rFonts w:ascii="Arial" w:hAnsi="Arial"/>
                      <w:b/>
                      <w:sz w:val="28"/>
                    </w:rPr>
                  </w:pPr>
                  <w:r>
                    <w:rPr>
                      <w:rFonts w:ascii="Arial" w:hAnsi="Arial"/>
                      <w:b/>
                      <w:sz w:val="28"/>
                    </w:rPr>
                    <w:t>‘New’ Management</w:t>
                  </w:r>
                </w:p>
                <w:p>
                  <w:pPr>
                    <w:tabs>
                      <w:tab w:pos="2406" w:val="left" w:leader="none"/>
                      <w:tab w:pos="3426" w:val="left" w:leader="none"/>
                      <w:tab w:pos="4446" w:val="left" w:leader="none"/>
                      <w:tab w:pos="5421" w:val="left" w:leader="none"/>
                    </w:tabs>
                    <w:spacing w:before="125"/>
                    <w:ind w:left="1387" w:right="0" w:firstLine="0"/>
                    <w:jc w:val="center"/>
                    <w:rPr>
                      <w:rFonts w:ascii="Arial" w:hAnsi="Arial"/>
                      <w:b/>
                      <w:sz w:val="20"/>
                    </w:rPr>
                  </w:pPr>
                  <w:r>
                    <w:rPr>
                      <w:rFonts w:ascii="Arial" w:hAnsi="Arial"/>
                      <w:b/>
                      <w:sz w:val="20"/>
                    </w:rPr>
                    <w:t>1</w:t>
                    <w:tab/>
                    <w:t>2</w:t>
                    <w:tab/>
                    <w:t>3</w:t>
                    <w:tab/>
                    <w:t>4</w:t>
                    <w:tab/>
                  </w:r>
                  <w:r>
                    <w:rPr>
                      <w:rFonts w:ascii="Arial" w:hAnsi="Arial"/>
                      <w:b/>
                      <w:spacing w:val="-20"/>
                      <w:sz w:val="20"/>
                    </w:rPr>
                    <w:t>…</w:t>
                  </w:r>
                </w:p>
                <w:p>
                  <w:pPr>
                    <w:pStyle w:val="BodyText"/>
                    <w:tabs>
                      <w:tab w:pos="2116" w:val="left" w:leader="none"/>
                      <w:tab w:pos="3136" w:val="left" w:leader="none"/>
                      <w:tab w:pos="4156" w:val="left" w:leader="none"/>
                      <w:tab w:pos="5176" w:val="left" w:leader="none"/>
                    </w:tabs>
                    <w:spacing w:line="146" w:lineRule="auto" w:before="182"/>
                    <w:ind w:left="705"/>
                    <w:rPr>
                      <w:rFonts w:ascii="Arial"/>
                    </w:rPr>
                  </w:pPr>
                  <w:r>
                    <w:rPr>
                      <w:rFonts w:ascii="Arial"/>
                      <w:b/>
                      <w:position w:val="-13"/>
                    </w:rPr>
                    <w:t>1</w:t>
                    <w:tab/>
                  </w:r>
                  <w:r>
                    <w:rPr>
                      <w:rFonts w:ascii="Arial"/>
                    </w:rPr>
                    <w:t>c=</w:t>
                  </w:r>
                  <w:r>
                    <w:rPr>
                      <w:rFonts w:ascii="Arial"/>
                      <w:spacing w:val="-3"/>
                    </w:rPr>
                    <w:t> </w:t>
                  </w:r>
                  <w:r>
                    <w:rPr>
                      <w:rFonts w:ascii="Arial"/>
                    </w:rPr>
                    <w:t>-0.5</w:t>
                    <w:tab/>
                    <w:t>c</w:t>
                  </w:r>
                  <w:r>
                    <w:rPr>
                      <w:rFonts w:ascii="Arial"/>
                      <w:spacing w:val="-1"/>
                    </w:rPr>
                    <w:t> </w:t>
                  </w:r>
                  <w:r>
                    <w:rPr>
                      <w:rFonts w:ascii="Arial"/>
                    </w:rPr>
                    <w:t>=</w:t>
                    <w:tab/>
                    <w:t>c =</w:t>
                    <w:tab/>
                    <w:t>c</w:t>
                  </w:r>
                  <w:r>
                    <w:rPr>
                      <w:rFonts w:ascii="Arial"/>
                      <w:spacing w:val="-1"/>
                    </w:rPr>
                    <w:t> </w:t>
                  </w:r>
                  <w:r>
                    <w:rPr>
                      <w:rFonts w:ascii="Arial"/>
                    </w:rPr>
                    <w:t>=</w:t>
                  </w:r>
                </w:p>
                <w:p>
                  <w:pPr>
                    <w:spacing w:line="252" w:lineRule="exact" w:before="0"/>
                    <w:ind w:left="0" w:right="0" w:firstLine="0"/>
                    <w:jc w:val="left"/>
                    <w:rPr>
                      <w:rFonts w:ascii="Arial"/>
                      <w:b/>
                      <w:sz w:val="28"/>
                    </w:rPr>
                  </w:pPr>
                  <w:r>
                    <w:rPr>
                      <w:rFonts w:ascii="Arial"/>
                      <w:b/>
                      <w:w w:val="100"/>
                      <w:sz w:val="28"/>
                    </w:rPr>
                    <w:t>t</w:t>
                  </w:r>
                </w:p>
                <w:p>
                  <w:pPr>
                    <w:pStyle w:val="BodyText"/>
                    <w:rPr>
                      <w:sz w:val="8"/>
                    </w:rPr>
                  </w:pPr>
                </w:p>
                <w:p>
                  <w:pPr>
                    <w:tabs>
                      <w:tab w:pos="705" w:val="left" w:leader="none"/>
                      <w:tab w:pos="1096" w:val="left" w:leader="none"/>
                      <w:tab w:pos="3136" w:val="left" w:leader="none"/>
                      <w:tab w:pos="4156" w:val="left" w:leader="none"/>
                      <w:tab w:pos="5176" w:val="left" w:leader="none"/>
                    </w:tabs>
                    <w:spacing w:line="163" w:lineRule="auto" w:before="57"/>
                    <w:ind w:left="0" w:right="0" w:firstLine="0"/>
                    <w:jc w:val="left"/>
                    <w:rPr>
                      <w:rFonts w:ascii="Arial"/>
                      <w:sz w:val="20"/>
                    </w:rPr>
                  </w:pPr>
                  <w:r>
                    <w:rPr>
                      <w:rFonts w:ascii="Arial"/>
                      <w:b/>
                      <w:position w:val="-19"/>
                      <w:sz w:val="28"/>
                    </w:rPr>
                    <w:t>men</w:t>
                    <w:tab/>
                  </w:r>
                  <w:r>
                    <w:rPr>
                      <w:rFonts w:ascii="Arial"/>
                      <w:b/>
                      <w:position w:val="-10"/>
                      <w:sz w:val="20"/>
                    </w:rPr>
                    <w:t>2</w:t>
                    <w:tab/>
                  </w:r>
                  <w:r>
                    <w:rPr>
                      <w:rFonts w:ascii="Arial"/>
                      <w:sz w:val="20"/>
                    </w:rPr>
                    <w:t>c=</w:t>
                  </w:r>
                  <w:r>
                    <w:rPr>
                      <w:rFonts w:ascii="Arial"/>
                      <w:spacing w:val="-3"/>
                      <w:sz w:val="20"/>
                    </w:rPr>
                    <w:t> </w:t>
                  </w:r>
                  <w:r>
                    <w:rPr>
                      <w:rFonts w:ascii="Arial"/>
                      <w:sz w:val="20"/>
                    </w:rPr>
                    <w:t>0.5</w:t>
                    <w:tab/>
                    <w:t>c =</w:t>
                    <w:tab/>
                    <w:t>c =</w:t>
                    <w:tab/>
                    <w:t>c</w:t>
                  </w:r>
                  <w:r>
                    <w:rPr>
                      <w:rFonts w:ascii="Arial"/>
                      <w:spacing w:val="-1"/>
                      <w:sz w:val="20"/>
                    </w:rPr>
                    <w:t> </w:t>
                  </w:r>
                  <w:r>
                    <w:rPr>
                      <w:rFonts w:ascii="Arial"/>
                      <w:sz w:val="20"/>
                    </w:rPr>
                    <w:t>=</w:t>
                  </w:r>
                </w:p>
                <w:p>
                  <w:pPr>
                    <w:spacing w:line="127" w:lineRule="auto" w:before="42"/>
                    <w:ind w:left="0" w:right="5304" w:firstLine="0"/>
                    <w:jc w:val="left"/>
                    <w:rPr>
                      <w:rFonts w:ascii="Arial"/>
                      <w:b/>
                      <w:sz w:val="28"/>
                    </w:rPr>
                  </w:pPr>
                  <w:r>
                    <w:rPr>
                      <w:rFonts w:ascii="Arial"/>
                      <w:b/>
                      <w:sz w:val="28"/>
                    </w:rPr>
                    <w:t>e g</w:t>
                  </w:r>
                </w:p>
                <w:p>
                  <w:pPr>
                    <w:pStyle w:val="BodyText"/>
                    <w:tabs>
                      <w:tab w:pos="1096" w:val="left" w:leader="none"/>
                      <w:tab w:pos="2116" w:val="left" w:leader="none"/>
                      <w:tab w:pos="4156" w:val="left" w:leader="none"/>
                      <w:tab w:pos="5176" w:val="left" w:leader="none"/>
                    </w:tabs>
                    <w:spacing w:line="108" w:lineRule="exact"/>
                    <w:rPr>
                      <w:rFonts w:ascii="Arial"/>
                    </w:rPr>
                  </w:pPr>
                  <w:r>
                    <w:rPr>
                      <w:rFonts w:ascii="Arial"/>
                      <w:b/>
                      <w:sz w:val="28"/>
                    </w:rPr>
                    <w:t>a</w:t>
                    <w:tab/>
                  </w:r>
                  <w:r>
                    <w:rPr>
                      <w:rFonts w:ascii="Arial"/>
                      <w:position w:val="1"/>
                    </w:rPr>
                    <w:t>c</w:t>
                  </w:r>
                  <w:r>
                    <w:rPr>
                      <w:rFonts w:ascii="Arial"/>
                      <w:spacing w:val="-1"/>
                      <w:position w:val="1"/>
                    </w:rPr>
                    <w:t> </w:t>
                  </w:r>
                  <w:r>
                    <w:rPr>
                      <w:rFonts w:ascii="Arial"/>
                      <w:position w:val="1"/>
                    </w:rPr>
                    <w:t>=</w:t>
                    <w:tab/>
                    <w:t>c =</w:t>
                    <w:tab/>
                    <w:t>c =</w:t>
                    <w:tab/>
                    <w:t>c =</w:t>
                  </w:r>
                </w:p>
                <w:p>
                  <w:pPr>
                    <w:tabs>
                      <w:tab w:pos="705" w:val="left" w:leader="none"/>
                    </w:tabs>
                    <w:spacing w:line="153" w:lineRule="auto" w:before="0"/>
                    <w:ind w:left="0" w:right="4802" w:firstLine="0"/>
                    <w:jc w:val="left"/>
                    <w:rPr>
                      <w:rFonts w:ascii="Arial"/>
                      <w:b/>
                      <w:sz w:val="28"/>
                    </w:rPr>
                  </w:pPr>
                  <w:r>
                    <w:rPr>
                      <w:rFonts w:ascii="Arial"/>
                      <w:b/>
                      <w:position w:val="-5"/>
                      <w:sz w:val="28"/>
                    </w:rPr>
                    <w:t>n</w:t>
                    <w:tab/>
                  </w:r>
                  <w:r>
                    <w:rPr>
                      <w:rFonts w:ascii="Arial"/>
                      <w:b/>
                      <w:spacing w:val="-18"/>
                      <w:sz w:val="20"/>
                    </w:rPr>
                    <w:t>3 </w:t>
                  </w:r>
                  <w:r>
                    <w:rPr>
                      <w:rFonts w:ascii="Arial"/>
                      <w:b/>
                      <w:sz w:val="28"/>
                    </w:rPr>
                    <w:t>a      M</w:t>
                  </w:r>
                </w:p>
                <w:p>
                  <w:pPr>
                    <w:tabs>
                      <w:tab w:pos="705" w:val="left" w:leader="none"/>
                      <w:tab w:pos="1096" w:val="left" w:leader="none"/>
                      <w:tab w:pos="2116" w:val="left" w:leader="none"/>
                      <w:tab w:pos="3136" w:val="left" w:leader="none"/>
                      <w:tab w:pos="5176" w:val="left" w:leader="none"/>
                    </w:tabs>
                    <w:spacing w:line="69" w:lineRule="auto" w:before="0"/>
                    <w:ind w:left="0" w:right="0" w:firstLine="0"/>
                    <w:jc w:val="left"/>
                    <w:rPr>
                      <w:rFonts w:ascii="Arial" w:hAnsi="Arial"/>
                      <w:sz w:val="20"/>
                    </w:rPr>
                  </w:pPr>
                  <w:r>
                    <w:rPr>
                      <w:rFonts w:ascii="Arial" w:hAnsi="Arial"/>
                      <w:b/>
                      <w:position w:val="-3"/>
                      <w:sz w:val="28"/>
                    </w:rPr>
                    <w:t>’</w:t>
                    <w:tab/>
                  </w:r>
                  <w:r>
                    <w:rPr>
                      <w:rFonts w:ascii="Arial" w:hAnsi="Arial"/>
                      <w:b/>
                      <w:position w:val="-10"/>
                      <w:sz w:val="20"/>
                    </w:rPr>
                    <w:t>4</w:t>
                    <w:tab/>
                  </w:r>
                  <w:r>
                    <w:rPr>
                      <w:rFonts w:ascii="Arial" w:hAnsi="Arial"/>
                      <w:sz w:val="20"/>
                    </w:rPr>
                    <w:t>c</w:t>
                  </w:r>
                  <w:r>
                    <w:rPr>
                      <w:rFonts w:ascii="Arial" w:hAnsi="Arial"/>
                      <w:spacing w:val="-1"/>
                      <w:sz w:val="20"/>
                    </w:rPr>
                    <w:t> </w:t>
                  </w:r>
                  <w:r>
                    <w:rPr>
                      <w:rFonts w:ascii="Arial" w:hAnsi="Arial"/>
                      <w:sz w:val="20"/>
                    </w:rPr>
                    <w:t>=</w:t>
                    <w:tab/>
                    <w:t>c =</w:t>
                    <w:tab/>
                    <w:t>c =</w:t>
                    <w:tab/>
                    <w:t>c =</w:t>
                  </w:r>
                </w:p>
                <w:p>
                  <w:pPr>
                    <w:spacing w:line="240" w:lineRule="exact" w:before="248"/>
                    <w:ind w:left="0" w:right="0" w:firstLine="0"/>
                    <w:jc w:val="left"/>
                    <w:rPr>
                      <w:rFonts w:ascii="Arial" w:hAnsi="Arial"/>
                      <w:b/>
                      <w:sz w:val="28"/>
                    </w:rPr>
                  </w:pPr>
                  <w:r>
                    <w:rPr>
                      <w:rFonts w:ascii="Arial" w:hAnsi="Arial"/>
                      <w:b/>
                      <w:sz w:val="28"/>
                    </w:rPr>
                    <w:t>‘Old</w:t>
                  </w:r>
                </w:p>
                <w:p>
                  <w:pPr>
                    <w:pStyle w:val="BodyText"/>
                    <w:tabs>
                      <w:tab w:pos="1096" w:val="left" w:leader="none"/>
                      <w:tab w:pos="2116" w:val="left" w:leader="none"/>
                      <w:tab w:pos="3136" w:val="left" w:leader="none"/>
                      <w:tab w:pos="4156" w:val="left" w:leader="none"/>
                    </w:tabs>
                    <w:spacing w:line="74" w:lineRule="auto"/>
                    <w:ind w:left="734"/>
                    <w:rPr>
                      <w:rFonts w:ascii="Arial"/>
                    </w:rPr>
                  </w:pPr>
                  <w:r>
                    <w:rPr>
                      <w:rFonts w:ascii="Arial"/>
                      <w:b/>
                      <w:spacing w:val="-28"/>
                      <w:position w:val="1"/>
                    </w:rPr>
                    <w:t>.</w:t>
                  </w:r>
                  <w:r>
                    <w:rPr>
                      <w:rFonts w:ascii="Arial"/>
                      <w:b/>
                      <w:spacing w:val="-28"/>
                      <w:position w:val="-6"/>
                    </w:rPr>
                    <w:t>.</w:t>
                    <w:tab/>
                  </w:r>
                  <w:r>
                    <w:rPr>
                      <w:rFonts w:ascii="Arial"/>
                    </w:rPr>
                    <w:t>c</w:t>
                  </w:r>
                  <w:r>
                    <w:rPr>
                      <w:rFonts w:ascii="Arial"/>
                      <w:spacing w:val="-1"/>
                    </w:rPr>
                    <w:t> </w:t>
                  </w:r>
                  <w:r>
                    <w:rPr>
                      <w:rFonts w:ascii="Arial"/>
                    </w:rPr>
                    <w:t>=</w:t>
                    <w:tab/>
                    <w:t>c =</w:t>
                    <w:tab/>
                    <w:t>c =</w:t>
                    <w:tab/>
                    <w:t>c =</w:t>
                  </w:r>
                </w:p>
                <w:p>
                  <w:pPr>
                    <w:spacing w:line="153" w:lineRule="exact" w:before="0"/>
                    <w:ind w:left="734" w:right="0" w:firstLine="0"/>
                    <w:jc w:val="left"/>
                    <w:rPr>
                      <w:rFonts w:ascii="Arial"/>
                      <w:b/>
                      <w:sz w:val="20"/>
                    </w:rPr>
                  </w:pPr>
                  <w:r>
                    <w:rPr>
                      <w:rFonts w:ascii="Arial"/>
                      <w:b/>
                      <w:w w:val="99"/>
                      <w:sz w:val="20"/>
                    </w:rPr>
                    <w:t>.</w:t>
                  </w:r>
                </w:p>
              </w:txbxContent>
            </v:textbox>
            <w10:wrap type="none"/>
          </v:shape>
        </w:pict>
      </w:r>
      <w:r>
        <w:rPr/>
        <w:pict>
          <v:shape style="position:absolute;margin-left:145.010559pt;margin-top:209.865921pt;width:281.05pt;height:196.5pt;mso-position-horizontal-relative:page;mso-position-vertical-relative:paragraph;z-index:-2429992" type="#_x0000_t202" filled="false" stroked="false">
            <v:textbox inset="0,0,0,0">
              <w:txbxContent>
                <w:p>
                  <w:pPr>
                    <w:spacing w:line="314" w:lineRule="exact" w:before="0"/>
                    <w:ind w:left="1343" w:right="0" w:firstLine="0"/>
                    <w:jc w:val="center"/>
                    <w:rPr>
                      <w:rFonts w:ascii="Arial" w:hAnsi="Arial"/>
                      <w:b/>
                      <w:sz w:val="28"/>
                    </w:rPr>
                  </w:pPr>
                  <w:r>
                    <w:rPr>
                      <w:rFonts w:ascii="Arial" w:hAnsi="Arial"/>
                      <w:b/>
                      <w:sz w:val="28"/>
                    </w:rPr>
                    <w:t>‘New’ Management</w:t>
                  </w:r>
                </w:p>
                <w:p>
                  <w:pPr>
                    <w:tabs>
                      <w:tab w:pos="2406" w:val="left" w:leader="none"/>
                      <w:tab w:pos="3426" w:val="left" w:leader="none"/>
                      <w:tab w:pos="4446" w:val="left" w:leader="none"/>
                      <w:tab w:pos="5421" w:val="left" w:leader="none"/>
                    </w:tabs>
                    <w:spacing w:before="127"/>
                    <w:ind w:left="1387" w:right="0" w:firstLine="0"/>
                    <w:jc w:val="center"/>
                    <w:rPr>
                      <w:rFonts w:ascii="Arial" w:hAnsi="Arial"/>
                      <w:b/>
                      <w:sz w:val="20"/>
                    </w:rPr>
                  </w:pPr>
                  <w:r>
                    <w:rPr>
                      <w:rFonts w:ascii="Arial" w:hAnsi="Arial"/>
                      <w:b/>
                      <w:sz w:val="20"/>
                    </w:rPr>
                    <w:t>1</w:t>
                    <w:tab/>
                    <w:t>2</w:t>
                    <w:tab/>
                    <w:t>3</w:t>
                    <w:tab/>
                    <w:t>4</w:t>
                    <w:tab/>
                  </w:r>
                  <w:r>
                    <w:rPr>
                      <w:rFonts w:ascii="Arial" w:hAnsi="Arial"/>
                      <w:b/>
                      <w:spacing w:val="-20"/>
                      <w:sz w:val="20"/>
                    </w:rPr>
                    <w:t>…</w:t>
                  </w:r>
                </w:p>
                <w:p>
                  <w:pPr>
                    <w:pStyle w:val="BodyText"/>
                    <w:tabs>
                      <w:tab w:pos="2116" w:val="left" w:leader="none"/>
                      <w:tab w:pos="3136" w:val="left" w:leader="none"/>
                      <w:tab w:pos="4156" w:val="left" w:leader="none"/>
                      <w:tab w:pos="5176" w:val="left" w:leader="none"/>
                    </w:tabs>
                    <w:spacing w:line="146" w:lineRule="auto" w:before="182"/>
                    <w:ind w:left="705"/>
                    <w:rPr>
                      <w:rFonts w:ascii="Arial"/>
                    </w:rPr>
                  </w:pPr>
                  <w:r>
                    <w:rPr>
                      <w:rFonts w:ascii="Arial"/>
                      <w:b/>
                      <w:position w:val="-13"/>
                    </w:rPr>
                    <w:t>1</w:t>
                    <w:tab/>
                  </w:r>
                  <w:r>
                    <w:rPr>
                      <w:rFonts w:ascii="Arial"/>
                    </w:rPr>
                    <w:t>c=</w:t>
                  </w:r>
                  <w:r>
                    <w:rPr>
                      <w:rFonts w:ascii="Arial"/>
                      <w:spacing w:val="-3"/>
                    </w:rPr>
                    <w:t> </w:t>
                  </w:r>
                  <w:r>
                    <w:rPr>
                      <w:rFonts w:ascii="Arial"/>
                    </w:rPr>
                    <w:t>-0.5</w:t>
                    <w:tab/>
                    <w:t>c</w:t>
                  </w:r>
                  <w:r>
                    <w:rPr>
                      <w:rFonts w:ascii="Arial"/>
                      <w:spacing w:val="-1"/>
                    </w:rPr>
                    <w:t> </w:t>
                  </w:r>
                  <w:r>
                    <w:rPr>
                      <w:rFonts w:ascii="Arial"/>
                    </w:rPr>
                    <w:t>=</w:t>
                    <w:tab/>
                    <w:t>c =</w:t>
                    <w:tab/>
                    <w:t>c</w:t>
                  </w:r>
                  <w:r>
                    <w:rPr>
                      <w:rFonts w:ascii="Arial"/>
                      <w:spacing w:val="-1"/>
                    </w:rPr>
                    <w:t> </w:t>
                  </w:r>
                  <w:r>
                    <w:rPr>
                      <w:rFonts w:ascii="Arial"/>
                    </w:rPr>
                    <w:t>=</w:t>
                  </w:r>
                </w:p>
                <w:p>
                  <w:pPr>
                    <w:spacing w:line="252" w:lineRule="exact" w:before="0"/>
                    <w:ind w:left="0" w:right="0" w:firstLine="0"/>
                    <w:jc w:val="left"/>
                    <w:rPr>
                      <w:rFonts w:ascii="Arial"/>
                      <w:b/>
                      <w:sz w:val="28"/>
                    </w:rPr>
                  </w:pPr>
                  <w:r>
                    <w:rPr>
                      <w:rFonts w:ascii="Arial"/>
                      <w:b/>
                      <w:w w:val="100"/>
                      <w:sz w:val="28"/>
                    </w:rPr>
                    <w:t>t</w:t>
                  </w:r>
                </w:p>
                <w:p>
                  <w:pPr>
                    <w:pStyle w:val="BodyText"/>
                    <w:rPr>
                      <w:sz w:val="8"/>
                    </w:rPr>
                  </w:pPr>
                </w:p>
                <w:p>
                  <w:pPr>
                    <w:tabs>
                      <w:tab w:pos="705" w:val="left" w:leader="none"/>
                      <w:tab w:pos="1096" w:val="left" w:leader="none"/>
                      <w:tab w:pos="3136" w:val="left" w:leader="none"/>
                      <w:tab w:pos="4156" w:val="left" w:leader="none"/>
                      <w:tab w:pos="5176" w:val="left" w:leader="none"/>
                    </w:tabs>
                    <w:spacing w:line="163" w:lineRule="auto" w:before="57"/>
                    <w:ind w:left="0" w:right="0" w:firstLine="0"/>
                    <w:jc w:val="left"/>
                    <w:rPr>
                      <w:rFonts w:ascii="Arial"/>
                      <w:sz w:val="20"/>
                    </w:rPr>
                  </w:pPr>
                  <w:r>
                    <w:rPr>
                      <w:rFonts w:ascii="Arial"/>
                      <w:b/>
                      <w:position w:val="-19"/>
                      <w:sz w:val="28"/>
                    </w:rPr>
                    <w:t>men</w:t>
                    <w:tab/>
                  </w:r>
                  <w:r>
                    <w:rPr>
                      <w:rFonts w:ascii="Arial"/>
                      <w:b/>
                      <w:position w:val="-10"/>
                      <w:sz w:val="20"/>
                    </w:rPr>
                    <w:t>2</w:t>
                    <w:tab/>
                  </w:r>
                  <w:r>
                    <w:rPr>
                      <w:rFonts w:ascii="Arial"/>
                      <w:sz w:val="20"/>
                    </w:rPr>
                    <w:t>c=</w:t>
                  </w:r>
                  <w:r>
                    <w:rPr>
                      <w:rFonts w:ascii="Arial"/>
                      <w:spacing w:val="-3"/>
                      <w:sz w:val="20"/>
                    </w:rPr>
                    <w:t> </w:t>
                  </w:r>
                  <w:r>
                    <w:rPr>
                      <w:rFonts w:ascii="Arial"/>
                      <w:sz w:val="20"/>
                    </w:rPr>
                    <w:t>0.5</w:t>
                    <w:tab/>
                    <w:t>c =</w:t>
                    <w:tab/>
                    <w:t>c =</w:t>
                    <w:tab/>
                    <w:t>c</w:t>
                  </w:r>
                  <w:r>
                    <w:rPr>
                      <w:rFonts w:ascii="Arial"/>
                      <w:spacing w:val="-1"/>
                      <w:sz w:val="20"/>
                    </w:rPr>
                    <w:t> </w:t>
                  </w:r>
                  <w:r>
                    <w:rPr>
                      <w:rFonts w:ascii="Arial"/>
                      <w:sz w:val="20"/>
                    </w:rPr>
                    <w:t>=</w:t>
                  </w:r>
                </w:p>
                <w:p>
                  <w:pPr>
                    <w:spacing w:line="127" w:lineRule="auto" w:before="42"/>
                    <w:ind w:left="0" w:right="5304" w:firstLine="0"/>
                    <w:jc w:val="left"/>
                    <w:rPr>
                      <w:rFonts w:ascii="Arial"/>
                      <w:b/>
                      <w:sz w:val="28"/>
                    </w:rPr>
                  </w:pPr>
                  <w:r>
                    <w:rPr>
                      <w:rFonts w:ascii="Arial"/>
                      <w:b/>
                      <w:sz w:val="28"/>
                    </w:rPr>
                    <w:t>e g</w:t>
                  </w:r>
                </w:p>
                <w:p>
                  <w:pPr>
                    <w:pStyle w:val="BodyText"/>
                    <w:tabs>
                      <w:tab w:pos="1096" w:val="left" w:leader="none"/>
                      <w:tab w:pos="2116" w:val="left" w:leader="none"/>
                      <w:tab w:pos="4156" w:val="left" w:leader="none"/>
                      <w:tab w:pos="5176" w:val="left" w:leader="none"/>
                    </w:tabs>
                    <w:spacing w:line="108" w:lineRule="exact"/>
                    <w:rPr>
                      <w:rFonts w:ascii="Arial"/>
                    </w:rPr>
                  </w:pPr>
                  <w:r>
                    <w:rPr>
                      <w:rFonts w:ascii="Arial"/>
                      <w:b/>
                      <w:sz w:val="28"/>
                    </w:rPr>
                    <w:t>a</w:t>
                    <w:tab/>
                  </w:r>
                  <w:r>
                    <w:rPr>
                      <w:rFonts w:ascii="Arial"/>
                      <w:position w:val="1"/>
                    </w:rPr>
                    <w:t>c</w:t>
                  </w:r>
                  <w:r>
                    <w:rPr>
                      <w:rFonts w:ascii="Arial"/>
                      <w:spacing w:val="-1"/>
                      <w:position w:val="1"/>
                    </w:rPr>
                    <w:t> </w:t>
                  </w:r>
                  <w:r>
                    <w:rPr>
                      <w:rFonts w:ascii="Arial"/>
                      <w:position w:val="1"/>
                    </w:rPr>
                    <w:t>=</w:t>
                    <w:tab/>
                    <w:t>c =</w:t>
                    <w:tab/>
                    <w:t>c =</w:t>
                    <w:tab/>
                    <w:t>c =</w:t>
                  </w:r>
                </w:p>
                <w:p>
                  <w:pPr>
                    <w:tabs>
                      <w:tab w:pos="705" w:val="left" w:leader="none"/>
                    </w:tabs>
                    <w:spacing w:line="153" w:lineRule="auto" w:before="0"/>
                    <w:ind w:left="0" w:right="4802" w:firstLine="0"/>
                    <w:jc w:val="left"/>
                    <w:rPr>
                      <w:rFonts w:ascii="Arial"/>
                      <w:b/>
                      <w:sz w:val="28"/>
                    </w:rPr>
                  </w:pPr>
                  <w:r>
                    <w:rPr>
                      <w:rFonts w:ascii="Arial"/>
                      <w:b/>
                      <w:position w:val="-5"/>
                      <w:sz w:val="28"/>
                    </w:rPr>
                    <w:t>n</w:t>
                    <w:tab/>
                  </w:r>
                  <w:r>
                    <w:rPr>
                      <w:rFonts w:ascii="Arial"/>
                      <w:b/>
                      <w:spacing w:val="-18"/>
                      <w:sz w:val="20"/>
                    </w:rPr>
                    <w:t>3 </w:t>
                  </w:r>
                  <w:r>
                    <w:rPr>
                      <w:rFonts w:ascii="Arial"/>
                      <w:b/>
                      <w:sz w:val="28"/>
                    </w:rPr>
                    <w:t>a      M</w:t>
                  </w:r>
                </w:p>
                <w:p>
                  <w:pPr>
                    <w:tabs>
                      <w:tab w:pos="705" w:val="left" w:leader="none"/>
                      <w:tab w:pos="1096" w:val="left" w:leader="none"/>
                      <w:tab w:pos="2116" w:val="left" w:leader="none"/>
                      <w:tab w:pos="3136" w:val="left" w:leader="none"/>
                      <w:tab w:pos="5176" w:val="left" w:leader="none"/>
                    </w:tabs>
                    <w:spacing w:line="69" w:lineRule="auto" w:before="0"/>
                    <w:ind w:left="0" w:right="0" w:firstLine="0"/>
                    <w:jc w:val="left"/>
                    <w:rPr>
                      <w:rFonts w:ascii="Arial" w:hAnsi="Arial"/>
                      <w:sz w:val="20"/>
                    </w:rPr>
                  </w:pPr>
                  <w:r>
                    <w:rPr>
                      <w:rFonts w:ascii="Arial" w:hAnsi="Arial"/>
                      <w:b/>
                      <w:position w:val="-3"/>
                      <w:sz w:val="28"/>
                    </w:rPr>
                    <w:t>’</w:t>
                    <w:tab/>
                  </w:r>
                  <w:r>
                    <w:rPr>
                      <w:rFonts w:ascii="Arial" w:hAnsi="Arial"/>
                      <w:b/>
                      <w:position w:val="-10"/>
                      <w:sz w:val="20"/>
                    </w:rPr>
                    <w:t>4</w:t>
                    <w:tab/>
                  </w:r>
                  <w:r>
                    <w:rPr>
                      <w:rFonts w:ascii="Arial" w:hAnsi="Arial"/>
                      <w:sz w:val="20"/>
                    </w:rPr>
                    <w:t>c</w:t>
                  </w:r>
                  <w:r>
                    <w:rPr>
                      <w:rFonts w:ascii="Arial" w:hAnsi="Arial"/>
                      <w:spacing w:val="-1"/>
                      <w:sz w:val="20"/>
                    </w:rPr>
                    <w:t> </w:t>
                  </w:r>
                  <w:r>
                    <w:rPr>
                      <w:rFonts w:ascii="Arial" w:hAnsi="Arial"/>
                      <w:sz w:val="20"/>
                    </w:rPr>
                    <w:t>=</w:t>
                    <w:tab/>
                    <w:t>c =</w:t>
                    <w:tab/>
                    <w:t>c =</w:t>
                    <w:tab/>
                    <w:t>c =</w:t>
                  </w:r>
                </w:p>
                <w:p>
                  <w:pPr>
                    <w:spacing w:line="240" w:lineRule="exact" w:before="249"/>
                    <w:ind w:left="0" w:right="0" w:firstLine="0"/>
                    <w:jc w:val="left"/>
                    <w:rPr>
                      <w:rFonts w:ascii="Arial" w:hAnsi="Arial"/>
                      <w:b/>
                      <w:sz w:val="28"/>
                    </w:rPr>
                  </w:pPr>
                  <w:r>
                    <w:rPr>
                      <w:rFonts w:ascii="Arial" w:hAnsi="Arial"/>
                      <w:b/>
                      <w:sz w:val="28"/>
                    </w:rPr>
                    <w:t>‘Old</w:t>
                  </w:r>
                </w:p>
                <w:p>
                  <w:pPr>
                    <w:pStyle w:val="BodyText"/>
                    <w:tabs>
                      <w:tab w:pos="1096" w:val="left" w:leader="none"/>
                      <w:tab w:pos="2116" w:val="left" w:leader="none"/>
                      <w:tab w:pos="3136" w:val="left" w:leader="none"/>
                      <w:tab w:pos="4156" w:val="left" w:leader="none"/>
                    </w:tabs>
                    <w:spacing w:line="74" w:lineRule="auto"/>
                    <w:ind w:left="734"/>
                    <w:rPr>
                      <w:rFonts w:ascii="Arial"/>
                    </w:rPr>
                  </w:pPr>
                  <w:r>
                    <w:rPr>
                      <w:rFonts w:ascii="Arial"/>
                      <w:b/>
                      <w:spacing w:val="-28"/>
                      <w:position w:val="1"/>
                    </w:rPr>
                    <w:t>.</w:t>
                  </w:r>
                  <w:r>
                    <w:rPr>
                      <w:rFonts w:ascii="Arial"/>
                      <w:b/>
                      <w:spacing w:val="-28"/>
                      <w:position w:val="-6"/>
                    </w:rPr>
                    <w:t>.</w:t>
                    <w:tab/>
                  </w:r>
                  <w:r>
                    <w:rPr>
                      <w:rFonts w:ascii="Arial"/>
                    </w:rPr>
                    <w:t>c</w:t>
                  </w:r>
                  <w:r>
                    <w:rPr>
                      <w:rFonts w:ascii="Arial"/>
                      <w:spacing w:val="-1"/>
                    </w:rPr>
                    <w:t> </w:t>
                  </w:r>
                  <w:r>
                    <w:rPr>
                      <w:rFonts w:ascii="Arial"/>
                    </w:rPr>
                    <w:t>=</w:t>
                    <w:tab/>
                    <w:t>c =</w:t>
                    <w:tab/>
                    <w:t>c =</w:t>
                    <w:tab/>
                    <w:t>c =</w:t>
                  </w:r>
                </w:p>
                <w:p>
                  <w:pPr>
                    <w:spacing w:line="153" w:lineRule="exact" w:before="0"/>
                    <w:ind w:left="734" w:right="0" w:firstLine="0"/>
                    <w:jc w:val="left"/>
                    <w:rPr>
                      <w:rFonts w:ascii="Arial"/>
                      <w:b/>
                      <w:sz w:val="20"/>
                    </w:rPr>
                  </w:pPr>
                  <w:r>
                    <w:rPr>
                      <w:rFonts w:ascii="Arial"/>
                      <w:b/>
                      <w:w w:val="99"/>
                      <w:sz w:val="20"/>
                    </w:rPr>
                    <w:t>.</w:t>
                  </w:r>
                </w:p>
              </w:txbxContent>
            </v:textbox>
            <w10:wrap type="none"/>
          </v:shape>
        </w:pict>
      </w:r>
      <w:r>
        <w:rPr/>
        <w:pict>
          <v:shape style="position:absolute;margin-left:133.010559pt;margin-top:197.865921pt;width:281.05pt;height:196.5pt;mso-position-horizontal-relative:page;mso-position-vertical-relative:paragraph;z-index:-2429968" type="#_x0000_t202" filled="false" stroked="false">
            <v:textbox inset="0,0,0,0">
              <w:txbxContent>
                <w:p>
                  <w:pPr>
                    <w:spacing w:line="314" w:lineRule="exact" w:before="0"/>
                    <w:ind w:left="1343" w:right="0" w:firstLine="0"/>
                    <w:jc w:val="center"/>
                    <w:rPr>
                      <w:rFonts w:ascii="Arial" w:hAnsi="Arial"/>
                      <w:b/>
                      <w:sz w:val="28"/>
                    </w:rPr>
                  </w:pPr>
                  <w:r>
                    <w:rPr>
                      <w:rFonts w:ascii="Arial" w:hAnsi="Arial"/>
                      <w:b/>
                      <w:sz w:val="28"/>
                    </w:rPr>
                    <w:t>‘New’ Management</w:t>
                  </w:r>
                </w:p>
                <w:p>
                  <w:pPr>
                    <w:tabs>
                      <w:tab w:pos="2406" w:val="left" w:leader="none"/>
                      <w:tab w:pos="3426" w:val="left" w:leader="none"/>
                      <w:tab w:pos="4446" w:val="left" w:leader="none"/>
                      <w:tab w:pos="5421" w:val="left" w:leader="none"/>
                    </w:tabs>
                    <w:spacing w:before="127"/>
                    <w:ind w:left="1387" w:right="0" w:firstLine="0"/>
                    <w:jc w:val="center"/>
                    <w:rPr>
                      <w:rFonts w:ascii="Arial" w:hAnsi="Arial"/>
                      <w:b/>
                      <w:sz w:val="20"/>
                    </w:rPr>
                  </w:pPr>
                  <w:r>
                    <w:rPr>
                      <w:rFonts w:ascii="Arial" w:hAnsi="Arial"/>
                      <w:b/>
                      <w:sz w:val="20"/>
                    </w:rPr>
                    <w:t>1</w:t>
                    <w:tab/>
                    <w:t>2</w:t>
                    <w:tab/>
                    <w:t>3</w:t>
                    <w:tab/>
                    <w:t>4</w:t>
                    <w:tab/>
                  </w:r>
                  <w:r>
                    <w:rPr>
                      <w:rFonts w:ascii="Arial" w:hAnsi="Arial"/>
                      <w:b/>
                      <w:spacing w:val="-20"/>
                      <w:sz w:val="20"/>
                    </w:rPr>
                    <w:t>…</w:t>
                  </w:r>
                </w:p>
                <w:p>
                  <w:pPr>
                    <w:pStyle w:val="BodyText"/>
                    <w:tabs>
                      <w:tab w:pos="2116" w:val="left" w:leader="none"/>
                      <w:tab w:pos="3136" w:val="left" w:leader="none"/>
                      <w:tab w:pos="4156" w:val="left" w:leader="none"/>
                      <w:tab w:pos="5176" w:val="left" w:leader="none"/>
                    </w:tabs>
                    <w:spacing w:line="146" w:lineRule="auto" w:before="182"/>
                    <w:ind w:left="705"/>
                    <w:rPr>
                      <w:rFonts w:ascii="Arial"/>
                    </w:rPr>
                  </w:pPr>
                  <w:r>
                    <w:rPr>
                      <w:rFonts w:ascii="Arial"/>
                      <w:b/>
                      <w:position w:val="-13"/>
                    </w:rPr>
                    <w:t>1</w:t>
                    <w:tab/>
                  </w:r>
                  <w:r>
                    <w:rPr>
                      <w:rFonts w:ascii="Arial"/>
                    </w:rPr>
                    <w:t>c=</w:t>
                  </w:r>
                  <w:r>
                    <w:rPr>
                      <w:rFonts w:ascii="Arial"/>
                      <w:spacing w:val="-3"/>
                    </w:rPr>
                    <w:t> </w:t>
                  </w:r>
                  <w:r>
                    <w:rPr>
                      <w:rFonts w:ascii="Arial"/>
                    </w:rPr>
                    <w:t>-0.5</w:t>
                    <w:tab/>
                    <w:t>c</w:t>
                  </w:r>
                  <w:r>
                    <w:rPr>
                      <w:rFonts w:ascii="Arial"/>
                      <w:spacing w:val="-1"/>
                    </w:rPr>
                    <w:t> </w:t>
                  </w:r>
                  <w:r>
                    <w:rPr>
                      <w:rFonts w:ascii="Arial"/>
                    </w:rPr>
                    <w:t>=</w:t>
                    <w:tab/>
                    <w:t>c =</w:t>
                    <w:tab/>
                    <w:t>c</w:t>
                  </w:r>
                  <w:r>
                    <w:rPr>
                      <w:rFonts w:ascii="Arial"/>
                      <w:spacing w:val="-1"/>
                    </w:rPr>
                    <w:t> </w:t>
                  </w:r>
                  <w:r>
                    <w:rPr>
                      <w:rFonts w:ascii="Arial"/>
                    </w:rPr>
                    <w:t>=</w:t>
                  </w:r>
                </w:p>
                <w:p>
                  <w:pPr>
                    <w:spacing w:line="252" w:lineRule="exact" w:before="0"/>
                    <w:ind w:left="0" w:right="0" w:firstLine="0"/>
                    <w:jc w:val="left"/>
                    <w:rPr>
                      <w:rFonts w:ascii="Arial"/>
                      <w:b/>
                      <w:sz w:val="28"/>
                    </w:rPr>
                  </w:pPr>
                  <w:r>
                    <w:rPr>
                      <w:rFonts w:ascii="Arial"/>
                      <w:b/>
                      <w:w w:val="100"/>
                      <w:sz w:val="28"/>
                    </w:rPr>
                    <w:t>t</w:t>
                  </w:r>
                </w:p>
                <w:p>
                  <w:pPr>
                    <w:pStyle w:val="BodyText"/>
                    <w:rPr>
                      <w:sz w:val="8"/>
                    </w:rPr>
                  </w:pPr>
                </w:p>
                <w:p>
                  <w:pPr>
                    <w:tabs>
                      <w:tab w:pos="705" w:val="left" w:leader="none"/>
                      <w:tab w:pos="1096" w:val="left" w:leader="none"/>
                      <w:tab w:pos="3136" w:val="left" w:leader="none"/>
                      <w:tab w:pos="4156" w:val="left" w:leader="none"/>
                      <w:tab w:pos="5176" w:val="left" w:leader="none"/>
                    </w:tabs>
                    <w:spacing w:line="163" w:lineRule="auto" w:before="57"/>
                    <w:ind w:left="0" w:right="0" w:firstLine="0"/>
                    <w:jc w:val="left"/>
                    <w:rPr>
                      <w:rFonts w:ascii="Arial"/>
                      <w:sz w:val="20"/>
                    </w:rPr>
                  </w:pPr>
                  <w:r>
                    <w:rPr>
                      <w:rFonts w:ascii="Arial"/>
                      <w:b/>
                      <w:position w:val="-19"/>
                      <w:sz w:val="28"/>
                    </w:rPr>
                    <w:t>men</w:t>
                    <w:tab/>
                  </w:r>
                  <w:r>
                    <w:rPr>
                      <w:rFonts w:ascii="Arial"/>
                      <w:b/>
                      <w:position w:val="-10"/>
                      <w:sz w:val="20"/>
                    </w:rPr>
                    <w:t>2</w:t>
                    <w:tab/>
                  </w:r>
                  <w:r>
                    <w:rPr>
                      <w:rFonts w:ascii="Arial"/>
                      <w:sz w:val="20"/>
                    </w:rPr>
                    <w:t>c=</w:t>
                  </w:r>
                  <w:r>
                    <w:rPr>
                      <w:rFonts w:ascii="Arial"/>
                      <w:spacing w:val="-3"/>
                      <w:sz w:val="20"/>
                    </w:rPr>
                    <w:t> </w:t>
                  </w:r>
                  <w:r>
                    <w:rPr>
                      <w:rFonts w:ascii="Arial"/>
                      <w:sz w:val="20"/>
                    </w:rPr>
                    <w:t>0.5</w:t>
                    <w:tab/>
                    <w:t>c =</w:t>
                    <w:tab/>
                    <w:t>c =</w:t>
                    <w:tab/>
                    <w:t>c</w:t>
                  </w:r>
                  <w:r>
                    <w:rPr>
                      <w:rFonts w:ascii="Arial"/>
                      <w:spacing w:val="-1"/>
                      <w:sz w:val="20"/>
                    </w:rPr>
                    <w:t> </w:t>
                  </w:r>
                  <w:r>
                    <w:rPr>
                      <w:rFonts w:ascii="Arial"/>
                      <w:sz w:val="20"/>
                    </w:rPr>
                    <w:t>=</w:t>
                  </w:r>
                </w:p>
                <w:p>
                  <w:pPr>
                    <w:spacing w:line="127" w:lineRule="auto" w:before="42"/>
                    <w:ind w:left="0" w:right="5304" w:firstLine="0"/>
                    <w:jc w:val="left"/>
                    <w:rPr>
                      <w:rFonts w:ascii="Arial"/>
                      <w:b/>
                      <w:sz w:val="28"/>
                    </w:rPr>
                  </w:pPr>
                  <w:r>
                    <w:rPr>
                      <w:rFonts w:ascii="Arial"/>
                      <w:b/>
                      <w:sz w:val="28"/>
                    </w:rPr>
                    <w:t>e g</w:t>
                  </w:r>
                </w:p>
                <w:p>
                  <w:pPr>
                    <w:pStyle w:val="BodyText"/>
                    <w:tabs>
                      <w:tab w:pos="1096" w:val="left" w:leader="none"/>
                      <w:tab w:pos="2116" w:val="left" w:leader="none"/>
                      <w:tab w:pos="4156" w:val="left" w:leader="none"/>
                      <w:tab w:pos="5176" w:val="left" w:leader="none"/>
                    </w:tabs>
                    <w:spacing w:line="108" w:lineRule="exact"/>
                    <w:rPr>
                      <w:rFonts w:ascii="Arial"/>
                    </w:rPr>
                  </w:pPr>
                  <w:r>
                    <w:rPr>
                      <w:rFonts w:ascii="Arial"/>
                      <w:b/>
                      <w:sz w:val="28"/>
                    </w:rPr>
                    <w:t>a</w:t>
                    <w:tab/>
                  </w:r>
                  <w:r>
                    <w:rPr>
                      <w:rFonts w:ascii="Arial"/>
                      <w:position w:val="1"/>
                    </w:rPr>
                    <w:t>c</w:t>
                  </w:r>
                  <w:r>
                    <w:rPr>
                      <w:rFonts w:ascii="Arial"/>
                      <w:spacing w:val="-1"/>
                      <w:position w:val="1"/>
                    </w:rPr>
                    <w:t> </w:t>
                  </w:r>
                  <w:r>
                    <w:rPr>
                      <w:rFonts w:ascii="Arial"/>
                      <w:position w:val="1"/>
                    </w:rPr>
                    <w:t>=</w:t>
                    <w:tab/>
                    <w:t>c =</w:t>
                    <w:tab/>
                    <w:t>c =</w:t>
                    <w:tab/>
                    <w:t>c =</w:t>
                  </w:r>
                </w:p>
                <w:p>
                  <w:pPr>
                    <w:tabs>
                      <w:tab w:pos="705" w:val="left" w:leader="none"/>
                    </w:tabs>
                    <w:spacing w:line="153" w:lineRule="auto" w:before="0"/>
                    <w:ind w:left="0" w:right="4802" w:firstLine="0"/>
                    <w:jc w:val="left"/>
                    <w:rPr>
                      <w:rFonts w:ascii="Arial"/>
                      <w:b/>
                      <w:sz w:val="28"/>
                    </w:rPr>
                  </w:pPr>
                  <w:r>
                    <w:rPr>
                      <w:rFonts w:ascii="Arial"/>
                      <w:b/>
                      <w:position w:val="-5"/>
                      <w:sz w:val="28"/>
                    </w:rPr>
                    <w:t>n</w:t>
                    <w:tab/>
                  </w:r>
                  <w:r>
                    <w:rPr>
                      <w:rFonts w:ascii="Arial"/>
                      <w:b/>
                      <w:spacing w:val="-18"/>
                      <w:sz w:val="20"/>
                    </w:rPr>
                    <w:t>3 </w:t>
                  </w:r>
                  <w:r>
                    <w:rPr>
                      <w:rFonts w:ascii="Arial"/>
                      <w:b/>
                      <w:sz w:val="28"/>
                    </w:rPr>
                    <w:t>a      M</w:t>
                  </w:r>
                </w:p>
                <w:p>
                  <w:pPr>
                    <w:tabs>
                      <w:tab w:pos="705" w:val="left" w:leader="none"/>
                      <w:tab w:pos="1096" w:val="left" w:leader="none"/>
                      <w:tab w:pos="2116" w:val="left" w:leader="none"/>
                      <w:tab w:pos="3136" w:val="left" w:leader="none"/>
                      <w:tab w:pos="5176" w:val="left" w:leader="none"/>
                    </w:tabs>
                    <w:spacing w:line="69" w:lineRule="auto" w:before="0"/>
                    <w:ind w:left="0" w:right="0" w:firstLine="0"/>
                    <w:jc w:val="left"/>
                    <w:rPr>
                      <w:rFonts w:ascii="Arial" w:hAnsi="Arial"/>
                      <w:sz w:val="20"/>
                    </w:rPr>
                  </w:pPr>
                  <w:r>
                    <w:rPr>
                      <w:rFonts w:ascii="Arial" w:hAnsi="Arial"/>
                      <w:b/>
                      <w:position w:val="-3"/>
                      <w:sz w:val="28"/>
                    </w:rPr>
                    <w:t>’</w:t>
                    <w:tab/>
                  </w:r>
                  <w:r>
                    <w:rPr>
                      <w:rFonts w:ascii="Arial" w:hAnsi="Arial"/>
                      <w:b/>
                      <w:position w:val="-10"/>
                      <w:sz w:val="20"/>
                    </w:rPr>
                    <w:t>4</w:t>
                    <w:tab/>
                  </w:r>
                  <w:r>
                    <w:rPr>
                      <w:rFonts w:ascii="Arial" w:hAnsi="Arial"/>
                      <w:sz w:val="20"/>
                    </w:rPr>
                    <w:t>c</w:t>
                  </w:r>
                  <w:r>
                    <w:rPr>
                      <w:rFonts w:ascii="Arial" w:hAnsi="Arial"/>
                      <w:spacing w:val="-1"/>
                      <w:sz w:val="20"/>
                    </w:rPr>
                    <w:t> </w:t>
                  </w:r>
                  <w:r>
                    <w:rPr>
                      <w:rFonts w:ascii="Arial" w:hAnsi="Arial"/>
                      <w:sz w:val="20"/>
                    </w:rPr>
                    <w:t>=</w:t>
                    <w:tab/>
                    <w:t>c =</w:t>
                    <w:tab/>
                    <w:t>c =</w:t>
                    <w:tab/>
                    <w:t>c =</w:t>
                  </w:r>
                </w:p>
                <w:p>
                  <w:pPr>
                    <w:spacing w:line="240" w:lineRule="exact" w:before="249"/>
                    <w:ind w:left="0" w:right="0" w:firstLine="0"/>
                    <w:jc w:val="left"/>
                    <w:rPr>
                      <w:rFonts w:ascii="Arial" w:hAnsi="Arial"/>
                      <w:b/>
                      <w:sz w:val="28"/>
                    </w:rPr>
                  </w:pPr>
                  <w:r>
                    <w:rPr>
                      <w:rFonts w:ascii="Arial" w:hAnsi="Arial"/>
                      <w:b/>
                      <w:sz w:val="28"/>
                    </w:rPr>
                    <w:t>‘Old</w:t>
                  </w:r>
                </w:p>
                <w:p>
                  <w:pPr>
                    <w:pStyle w:val="BodyText"/>
                    <w:tabs>
                      <w:tab w:pos="1096" w:val="left" w:leader="none"/>
                      <w:tab w:pos="2116" w:val="left" w:leader="none"/>
                      <w:tab w:pos="3136" w:val="left" w:leader="none"/>
                      <w:tab w:pos="4156" w:val="left" w:leader="none"/>
                    </w:tabs>
                    <w:spacing w:line="74" w:lineRule="auto"/>
                    <w:ind w:left="734"/>
                    <w:rPr>
                      <w:rFonts w:ascii="Arial"/>
                    </w:rPr>
                  </w:pPr>
                  <w:r>
                    <w:rPr>
                      <w:rFonts w:ascii="Arial"/>
                      <w:b/>
                      <w:spacing w:val="-28"/>
                      <w:position w:val="1"/>
                    </w:rPr>
                    <w:t>.</w:t>
                  </w:r>
                  <w:r>
                    <w:rPr>
                      <w:rFonts w:ascii="Arial"/>
                      <w:b/>
                      <w:spacing w:val="-28"/>
                      <w:position w:val="-6"/>
                    </w:rPr>
                    <w:t>.</w:t>
                    <w:tab/>
                  </w:r>
                  <w:r>
                    <w:rPr>
                      <w:rFonts w:ascii="Arial"/>
                    </w:rPr>
                    <w:t>c</w:t>
                  </w:r>
                  <w:r>
                    <w:rPr>
                      <w:rFonts w:ascii="Arial"/>
                      <w:spacing w:val="-1"/>
                    </w:rPr>
                    <w:t> </w:t>
                  </w:r>
                  <w:r>
                    <w:rPr>
                      <w:rFonts w:ascii="Arial"/>
                    </w:rPr>
                    <w:t>=</w:t>
                    <w:tab/>
                    <w:t>c =</w:t>
                    <w:tab/>
                    <w:t>c =</w:t>
                    <w:tab/>
                    <w:t>c =</w:t>
                  </w:r>
                </w:p>
                <w:p>
                  <w:pPr>
                    <w:spacing w:line="153" w:lineRule="exact" w:before="0"/>
                    <w:ind w:left="734" w:right="0" w:firstLine="0"/>
                    <w:jc w:val="left"/>
                    <w:rPr>
                      <w:rFonts w:ascii="Arial"/>
                      <w:b/>
                      <w:sz w:val="20"/>
                    </w:rPr>
                  </w:pPr>
                  <w:r>
                    <w:rPr>
                      <w:rFonts w:ascii="Arial"/>
                      <w:b/>
                      <w:w w:val="99"/>
                      <w:sz w:val="20"/>
                    </w:rPr>
                    <w:t>.</w:t>
                  </w:r>
                </w:p>
              </w:txbxContent>
            </v:textbox>
            <w10:wrap type="none"/>
          </v:shape>
        </w:pict>
      </w:r>
      <w:r>
        <w:rPr/>
        <w:pict>
          <v:shape style="position:absolute;margin-left:121.010559pt;margin-top:185.865921pt;width:281.05pt;height:196.5pt;mso-position-horizontal-relative:page;mso-position-vertical-relative:paragraph;z-index:-2429944" type="#_x0000_t202" filled="false" stroked="false">
            <v:textbox inset="0,0,0,0">
              <w:txbxContent>
                <w:p>
                  <w:pPr>
                    <w:spacing w:line="314" w:lineRule="exact" w:before="0"/>
                    <w:ind w:left="1343" w:right="0" w:firstLine="0"/>
                    <w:jc w:val="center"/>
                    <w:rPr>
                      <w:rFonts w:ascii="Arial" w:hAnsi="Arial"/>
                      <w:b/>
                      <w:sz w:val="28"/>
                    </w:rPr>
                  </w:pPr>
                  <w:r>
                    <w:rPr>
                      <w:rFonts w:ascii="Arial" w:hAnsi="Arial"/>
                      <w:b/>
                      <w:sz w:val="28"/>
                    </w:rPr>
                    <w:t>‘New’ Management</w:t>
                  </w:r>
                </w:p>
                <w:p>
                  <w:pPr>
                    <w:tabs>
                      <w:tab w:pos="2406" w:val="left" w:leader="none"/>
                      <w:tab w:pos="3426" w:val="left" w:leader="none"/>
                      <w:tab w:pos="4446" w:val="left" w:leader="none"/>
                      <w:tab w:pos="5421" w:val="left" w:leader="none"/>
                    </w:tabs>
                    <w:spacing w:before="127"/>
                    <w:ind w:left="1387" w:right="0" w:firstLine="0"/>
                    <w:jc w:val="center"/>
                    <w:rPr>
                      <w:rFonts w:ascii="Arial" w:hAnsi="Arial"/>
                      <w:b/>
                      <w:sz w:val="20"/>
                    </w:rPr>
                  </w:pPr>
                  <w:r>
                    <w:rPr>
                      <w:rFonts w:ascii="Arial" w:hAnsi="Arial"/>
                      <w:b/>
                      <w:sz w:val="20"/>
                    </w:rPr>
                    <w:t>1</w:t>
                    <w:tab/>
                    <w:t>2</w:t>
                    <w:tab/>
                    <w:t>3</w:t>
                    <w:tab/>
                    <w:t>4</w:t>
                    <w:tab/>
                  </w:r>
                  <w:r>
                    <w:rPr>
                      <w:rFonts w:ascii="Arial" w:hAnsi="Arial"/>
                      <w:b/>
                      <w:spacing w:val="-20"/>
                      <w:sz w:val="20"/>
                    </w:rPr>
                    <w:t>…</w:t>
                  </w:r>
                </w:p>
                <w:p>
                  <w:pPr>
                    <w:pStyle w:val="BodyText"/>
                    <w:tabs>
                      <w:tab w:pos="2116" w:val="left" w:leader="none"/>
                      <w:tab w:pos="3136" w:val="left" w:leader="none"/>
                      <w:tab w:pos="4156" w:val="left" w:leader="none"/>
                      <w:tab w:pos="5176" w:val="left" w:leader="none"/>
                    </w:tabs>
                    <w:spacing w:line="146" w:lineRule="auto" w:before="182"/>
                    <w:ind w:left="705"/>
                    <w:rPr>
                      <w:rFonts w:ascii="Arial"/>
                    </w:rPr>
                  </w:pPr>
                  <w:r>
                    <w:rPr>
                      <w:rFonts w:ascii="Arial"/>
                      <w:b/>
                      <w:position w:val="-13"/>
                    </w:rPr>
                    <w:t>1</w:t>
                    <w:tab/>
                  </w:r>
                  <w:r>
                    <w:rPr>
                      <w:rFonts w:ascii="Arial"/>
                    </w:rPr>
                    <w:t>c=</w:t>
                  </w:r>
                  <w:r>
                    <w:rPr>
                      <w:rFonts w:ascii="Arial"/>
                      <w:spacing w:val="-3"/>
                    </w:rPr>
                    <w:t> </w:t>
                  </w:r>
                  <w:r>
                    <w:rPr>
                      <w:rFonts w:ascii="Arial"/>
                    </w:rPr>
                    <w:t>-0.5</w:t>
                    <w:tab/>
                    <w:t>c</w:t>
                  </w:r>
                  <w:r>
                    <w:rPr>
                      <w:rFonts w:ascii="Arial"/>
                      <w:spacing w:val="-1"/>
                    </w:rPr>
                    <w:t> </w:t>
                  </w:r>
                  <w:r>
                    <w:rPr>
                      <w:rFonts w:ascii="Arial"/>
                    </w:rPr>
                    <w:t>=</w:t>
                    <w:tab/>
                    <w:t>c =</w:t>
                    <w:tab/>
                    <w:t>c</w:t>
                  </w:r>
                  <w:r>
                    <w:rPr>
                      <w:rFonts w:ascii="Arial"/>
                      <w:spacing w:val="-1"/>
                    </w:rPr>
                    <w:t> </w:t>
                  </w:r>
                  <w:r>
                    <w:rPr>
                      <w:rFonts w:ascii="Arial"/>
                    </w:rPr>
                    <w:t>=</w:t>
                  </w:r>
                </w:p>
                <w:p>
                  <w:pPr>
                    <w:spacing w:line="252" w:lineRule="exact" w:before="0"/>
                    <w:ind w:left="0" w:right="0" w:firstLine="0"/>
                    <w:jc w:val="left"/>
                    <w:rPr>
                      <w:rFonts w:ascii="Arial"/>
                      <w:b/>
                      <w:sz w:val="28"/>
                    </w:rPr>
                  </w:pPr>
                  <w:r>
                    <w:rPr>
                      <w:rFonts w:ascii="Arial"/>
                      <w:b/>
                      <w:w w:val="100"/>
                      <w:sz w:val="28"/>
                    </w:rPr>
                    <w:t>t</w:t>
                  </w:r>
                </w:p>
                <w:p>
                  <w:pPr>
                    <w:pStyle w:val="BodyText"/>
                    <w:rPr>
                      <w:sz w:val="8"/>
                    </w:rPr>
                  </w:pPr>
                </w:p>
                <w:p>
                  <w:pPr>
                    <w:tabs>
                      <w:tab w:pos="705" w:val="left" w:leader="none"/>
                      <w:tab w:pos="1096" w:val="left" w:leader="none"/>
                      <w:tab w:pos="3136" w:val="left" w:leader="none"/>
                      <w:tab w:pos="4156" w:val="left" w:leader="none"/>
                      <w:tab w:pos="5176" w:val="left" w:leader="none"/>
                    </w:tabs>
                    <w:spacing w:line="163" w:lineRule="auto" w:before="57"/>
                    <w:ind w:left="0" w:right="0" w:firstLine="0"/>
                    <w:jc w:val="left"/>
                    <w:rPr>
                      <w:rFonts w:ascii="Arial"/>
                      <w:sz w:val="20"/>
                    </w:rPr>
                  </w:pPr>
                  <w:r>
                    <w:rPr>
                      <w:rFonts w:ascii="Arial"/>
                      <w:b/>
                      <w:position w:val="-19"/>
                      <w:sz w:val="28"/>
                    </w:rPr>
                    <w:t>men</w:t>
                    <w:tab/>
                  </w:r>
                  <w:r>
                    <w:rPr>
                      <w:rFonts w:ascii="Arial"/>
                      <w:b/>
                      <w:position w:val="-10"/>
                      <w:sz w:val="20"/>
                    </w:rPr>
                    <w:t>2</w:t>
                    <w:tab/>
                  </w:r>
                  <w:r>
                    <w:rPr>
                      <w:rFonts w:ascii="Arial"/>
                      <w:sz w:val="20"/>
                    </w:rPr>
                    <w:t>c=</w:t>
                  </w:r>
                  <w:r>
                    <w:rPr>
                      <w:rFonts w:ascii="Arial"/>
                      <w:spacing w:val="-3"/>
                      <w:sz w:val="20"/>
                    </w:rPr>
                    <w:t> </w:t>
                  </w:r>
                  <w:r>
                    <w:rPr>
                      <w:rFonts w:ascii="Arial"/>
                      <w:sz w:val="20"/>
                    </w:rPr>
                    <w:t>0.5</w:t>
                    <w:tab/>
                    <w:t>c =</w:t>
                    <w:tab/>
                    <w:t>c =</w:t>
                    <w:tab/>
                    <w:t>c</w:t>
                  </w:r>
                  <w:r>
                    <w:rPr>
                      <w:rFonts w:ascii="Arial"/>
                      <w:spacing w:val="-1"/>
                      <w:sz w:val="20"/>
                    </w:rPr>
                    <w:t> </w:t>
                  </w:r>
                  <w:r>
                    <w:rPr>
                      <w:rFonts w:ascii="Arial"/>
                      <w:sz w:val="20"/>
                    </w:rPr>
                    <w:t>=</w:t>
                  </w:r>
                </w:p>
                <w:p>
                  <w:pPr>
                    <w:spacing w:line="127" w:lineRule="auto" w:before="42"/>
                    <w:ind w:left="0" w:right="5304" w:firstLine="0"/>
                    <w:jc w:val="left"/>
                    <w:rPr>
                      <w:rFonts w:ascii="Arial"/>
                      <w:b/>
                      <w:sz w:val="28"/>
                    </w:rPr>
                  </w:pPr>
                  <w:r>
                    <w:rPr>
                      <w:rFonts w:ascii="Arial"/>
                      <w:b/>
                      <w:sz w:val="28"/>
                    </w:rPr>
                    <w:t>e g</w:t>
                  </w:r>
                </w:p>
                <w:p>
                  <w:pPr>
                    <w:pStyle w:val="BodyText"/>
                    <w:tabs>
                      <w:tab w:pos="1096" w:val="left" w:leader="none"/>
                      <w:tab w:pos="2116" w:val="left" w:leader="none"/>
                      <w:tab w:pos="4156" w:val="left" w:leader="none"/>
                      <w:tab w:pos="5176" w:val="left" w:leader="none"/>
                    </w:tabs>
                    <w:spacing w:line="108" w:lineRule="exact"/>
                    <w:rPr>
                      <w:rFonts w:ascii="Arial"/>
                    </w:rPr>
                  </w:pPr>
                  <w:r>
                    <w:rPr>
                      <w:rFonts w:ascii="Arial"/>
                      <w:b/>
                      <w:sz w:val="28"/>
                    </w:rPr>
                    <w:t>a</w:t>
                    <w:tab/>
                  </w:r>
                  <w:r>
                    <w:rPr>
                      <w:rFonts w:ascii="Arial"/>
                      <w:position w:val="1"/>
                    </w:rPr>
                    <w:t>c</w:t>
                  </w:r>
                  <w:r>
                    <w:rPr>
                      <w:rFonts w:ascii="Arial"/>
                      <w:spacing w:val="-1"/>
                      <w:position w:val="1"/>
                    </w:rPr>
                    <w:t> </w:t>
                  </w:r>
                  <w:r>
                    <w:rPr>
                      <w:rFonts w:ascii="Arial"/>
                      <w:position w:val="1"/>
                    </w:rPr>
                    <w:t>=</w:t>
                    <w:tab/>
                    <w:t>c =</w:t>
                    <w:tab/>
                    <w:t>c =</w:t>
                    <w:tab/>
                    <w:t>c =</w:t>
                  </w:r>
                </w:p>
                <w:p>
                  <w:pPr>
                    <w:tabs>
                      <w:tab w:pos="705" w:val="left" w:leader="none"/>
                    </w:tabs>
                    <w:spacing w:line="153" w:lineRule="auto" w:before="0"/>
                    <w:ind w:left="0" w:right="4802" w:firstLine="0"/>
                    <w:jc w:val="left"/>
                    <w:rPr>
                      <w:rFonts w:ascii="Arial"/>
                      <w:b/>
                      <w:sz w:val="28"/>
                    </w:rPr>
                  </w:pPr>
                  <w:r>
                    <w:rPr>
                      <w:rFonts w:ascii="Arial"/>
                      <w:b/>
                      <w:position w:val="-5"/>
                      <w:sz w:val="28"/>
                    </w:rPr>
                    <w:t>n</w:t>
                    <w:tab/>
                  </w:r>
                  <w:r>
                    <w:rPr>
                      <w:rFonts w:ascii="Arial"/>
                      <w:b/>
                      <w:spacing w:val="-18"/>
                      <w:sz w:val="20"/>
                    </w:rPr>
                    <w:t>3 </w:t>
                  </w:r>
                  <w:r>
                    <w:rPr>
                      <w:rFonts w:ascii="Arial"/>
                      <w:b/>
                      <w:sz w:val="28"/>
                    </w:rPr>
                    <w:t>a      M</w:t>
                  </w:r>
                </w:p>
                <w:p>
                  <w:pPr>
                    <w:tabs>
                      <w:tab w:pos="705" w:val="left" w:leader="none"/>
                      <w:tab w:pos="1096" w:val="left" w:leader="none"/>
                      <w:tab w:pos="2116" w:val="left" w:leader="none"/>
                      <w:tab w:pos="3136" w:val="left" w:leader="none"/>
                      <w:tab w:pos="5176" w:val="left" w:leader="none"/>
                    </w:tabs>
                    <w:spacing w:line="69" w:lineRule="auto" w:before="0"/>
                    <w:ind w:left="0" w:right="0" w:firstLine="0"/>
                    <w:jc w:val="left"/>
                    <w:rPr>
                      <w:rFonts w:ascii="Arial" w:hAnsi="Arial"/>
                      <w:sz w:val="20"/>
                    </w:rPr>
                  </w:pPr>
                  <w:r>
                    <w:rPr>
                      <w:rFonts w:ascii="Arial" w:hAnsi="Arial"/>
                      <w:b/>
                      <w:position w:val="-3"/>
                      <w:sz w:val="28"/>
                    </w:rPr>
                    <w:t>’</w:t>
                    <w:tab/>
                  </w:r>
                  <w:r>
                    <w:rPr>
                      <w:rFonts w:ascii="Arial" w:hAnsi="Arial"/>
                      <w:b/>
                      <w:position w:val="-10"/>
                      <w:sz w:val="20"/>
                    </w:rPr>
                    <w:t>4</w:t>
                    <w:tab/>
                  </w:r>
                  <w:r>
                    <w:rPr>
                      <w:rFonts w:ascii="Arial" w:hAnsi="Arial"/>
                      <w:sz w:val="20"/>
                    </w:rPr>
                    <w:t>c</w:t>
                  </w:r>
                  <w:r>
                    <w:rPr>
                      <w:rFonts w:ascii="Arial" w:hAnsi="Arial"/>
                      <w:spacing w:val="-1"/>
                      <w:sz w:val="20"/>
                    </w:rPr>
                    <w:t> </w:t>
                  </w:r>
                  <w:r>
                    <w:rPr>
                      <w:rFonts w:ascii="Arial" w:hAnsi="Arial"/>
                      <w:sz w:val="20"/>
                    </w:rPr>
                    <w:t>=</w:t>
                    <w:tab/>
                    <w:t>c =</w:t>
                    <w:tab/>
                    <w:t>c =</w:t>
                    <w:tab/>
                    <w:t>c =</w:t>
                  </w:r>
                </w:p>
                <w:p>
                  <w:pPr>
                    <w:spacing w:line="240" w:lineRule="exact" w:before="249"/>
                    <w:ind w:left="0" w:right="0" w:firstLine="0"/>
                    <w:jc w:val="left"/>
                    <w:rPr>
                      <w:rFonts w:ascii="Arial" w:hAnsi="Arial"/>
                      <w:b/>
                      <w:sz w:val="28"/>
                    </w:rPr>
                  </w:pPr>
                  <w:r>
                    <w:rPr>
                      <w:rFonts w:ascii="Arial" w:hAnsi="Arial"/>
                      <w:b/>
                      <w:sz w:val="28"/>
                    </w:rPr>
                    <w:t>‘Old</w:t>
                  </w:r>
                </w:p>
                <w:p>
                  <w:pPr>
                    <w:pStyle w:val="BodyText"/>
                    <w:tabs>
                      <w:tab w:pos="1096" w:val="left" w:leader="none"/>
                      <w:tab w:pos="2116" w:val="left" w:leader="none"/>
                      <w:tab w:pos="3136" w:val="left" w:leader="none"/>
                      <w:tab w:pos="4156" w:val="left" w:leader="none"/>
                    </w:tabs>
                    <w:spacing w:line="74" w:lineRule="auto"/>
                    <w:ind w:left="734"/>
                    <w:rPr>
                      <w:rFonts w:ascii="Arial"/>
                    </w:rPr>
                  </w:pPr>
                  <w:r>
                    <w:rPr>
                      <w:rFonts w:ascii="Arial"/>
                      <w:b/>
                      <w:spacing w:val="-28"/>
                      <w:position w:val="1"/>
                    </w:rPr>
                    <w:t>.</w:t>
                  </w:r>
                  <w:r>
                    <w:rPr>
                      <w:rFonts w:ascii="Arial"/>
                      <w:b/>
                      <w:spacing w:val="-28"/>
                      <w:position w:val="-6"/>
                    </w:rPr>
                    <w:t>.</w:t>
                    <w:tab/>
                  </w:r>
                  <w:r>
                    <w:rPr>
                      <w:rFonts w:ascii="Arial"/>
                    </w:rPr>
                    <w:t>c</w:t>
                  </w:r>
                  <w:r>
                    <w:rPr>
                      <w:rFonts w:ascii="Arial"/>
                      <w:spacing w:val="-1"/>
                    </w:rPr>
                    <w:t> </w:t>
                  </w:r>
                  <w:r>
                    <w:rPr>
                      <w:rFonts w:ascii="Arial"/>
                    </w:rPr>
                    <w:t>=</w:t>
                    <w:tab/>
                    <w:t>c =</w:t>
                    <w:tab/>
                    <w:t>c =</w:t>
                    <w:tab/>
                    <w:t>c =</w:t>
                  </w:r>
                </w:p>
                <w:p>
                  <w:pPr>
                    <w:spacing w:line="153" w:lineRule="exact" w:before="0"/>
                    <w:ind w:left="734" w:right="0" w:firstLine="0"/>
                    <w:jc w:val="left"/>
                    <w:rPr>
                      <w:rFonts w:ascii="Arial"/>
                      <w:b/>
                      <w:sz w:val="20"/>
                    </w:rPr>
                  </w:pPr>
                  <w:r>
                    <w:rPr>
                      <w:rFonts w:ascii="Arial"/>
                      <w:b/>
                      <w:w w:val="99"/>
                      <w:sz w:val="20"/>
                    </w:rPr>
                    <w:t>.</w:t>
                  </w:r>
                </w:p>
              </w:txbxContent>
            </v:textbox>
            <w10:wrap type="none"/>
          </v:shape>
        </w:pict>
      </w:r>
      <w:r>
        <w:rPr/>
        <w:pict>
          <v:group style="position:absolute;margin-left:95.041pt;margin-top:102.801262pt;width:411.45pt;height:326.350pt;mso-position-horizontal-relative:page;mso-position-vertical-relative:paragraph;z-index:26896" coordorigin="1901,2056" coordsize="8229,6527">
            <v:shape style="position:absolute;left:2880;top:4309;width:6293;height:4253" coordorigin="2881,4310" coordsize="6293,4253" path="m2881,8563l9174,8563,9174,4310,2881,4310,2881,8563xm2881,5162l4071,5162,4071,4310,2881,4310,2881,5162xe" filled="false" stroked="true" strokeweight="2pt" strokecolor="#010101">
              <v:path arrowok="t"/>
              <v:stroke dashstyle="solid"/>
            </v:shape>
            <v:rect style="position:absolute;left:8933;top:4309;width:240;height:509" filled="true" fillcolor="#ffffff" stroked="false">
              <v:fill type="solid"/>
            </v:rect>
            <v:rect style="position:absolute;left:4073;top:4309;width:5100;height:512" filled="false" stroked="true" strokeweight="2pt" strokecolor="#010101">
              <v:stroke dashstyle="solid"/>
            </v:rect>
            <v:rect style="position:absolute;left:2880;top:8341;width:850;height:221" filled="true" fillcolor="#dddddd" stroked="false">
              <v:fill type="solid"/>
            </v:rect>
            <v:shape style="position:absolute;left:2880;top:4823;width:6293;height:3740" coordorigin="2881,4824" coordsize="6293,3740" path="m2881,8563l3730,8563,3730,5162,2881,5162,2881,8563xm3733,8563l4074,8563,4074,5162,3733,5162,3733,8563xm4074,5162l9174,5162,9174,4824,4074,4824,4074,5162xm4074,5162l5094,5162,5094,4824,4074,4824,4074,5162xm5094,5162l6114,5162,6114,4824,5094,4824,5094,5162xm6114,5162l7134,5162,7134,4824,6114,4824,6114,5162xm7134,5162l8154,5162,8154,4824,7134,4824,7134,5162xe" filled="false" stroked="true" strokeweight="2pt" strokecolor="#010101">
              <v:path arrowok="t"/>
              <v:stroke dashstyle="solid"/>
            </v:shape>
            <v:rect style="position:absolute;left:8933;top:4821;width:240;height:341" filled="true" fillcolor="#ffffff" stroked="false">
              <v:fill type="solid"/>
            </v:rect>
            <v:shape style="position:absolute;left:3732;top:4823;width:5441;height:1020" coordorigin="3733,4824" coordsize="5441,1020" path="m8154,5162l9174,5162,9174,4824,8154,4824,8154,5162xm3733,5844l4074,5844,4074,5162,3733,5162,3733,5844xe" filled="false" stroked="true" strokeweight="2pt" strokecolor="#010101">
              <v:path arrowok="t"/>
              <v:stroke dashstyle="solid"/>
            </v:shape>
            <v:rect style="position:absolute;left:3732;top:8341;width:339;height:221" filled="true" fillcolor="#dddddd" stroked="false">
              <v:fill type="solid"/>
            </v:rect>
            <v:shape style="position:absolute;left:3732;top:5843;width:341;height:2720" coordorigin="3733,5844" coordsize="341,2720" path="m3733,8563l4074,8563,4074,7884,3733,7884,3733,8563xm3733,7884l4074,7884,4074,7202,3733,7202,3733,7884xm3733,7202l4074,7202,4074,6523,3733,6523,3733,7202xm3733,6523l4074,6523,4074,5844,3733,5844,3733,6523xe" filled="false" stroked="true" strokeweight="2pt" strokecolor="#010101">
              <v:path arrowok="t"/>
              <v:stroke dashstyle="solid"/>
            </v:shape>
            <v:shape style="position:absolute;left:2880;top:4333;width:1181;height:840" coordorigin="2881,4334" coordsize="1181,840" path="m2881,4334l2881,5174,4062,5174,2881,4334xe" filled="true" fillcolor="#dddddd" stroked="false">
              <v:path arrowok="t"/>
              <v:fill type="solid"/>
            </v:shape>
            <v:shape style="position:absolute;left:2880;top:4333;width:5273;height:1510" coordorigin="2881,4334" coordsize="5273,1510" path="m2881,4334l2881,5174,4062,5174,2881,4334xm4074,5844l5094,5844,5094,5162,4074,5162,4074,5844xm5094,5844l6114,5844,6114,5162,5094,5162,5094,5844xm6114,5844l7134,5844,7134,5162,6114,5162,6114,5844xm7134,5844l8154,5844,8154,5162,7134,5162,7134,5844xe" filled="false" stroked="true" strokeweight="2pt" strokecolor="#010101">
              <v:path arrowok="t"/>
              <v:stroke dashstyle="solid"/>
            </v:shape>
            <v:rect style="position:absolute;left:8933;top:5161;width:240;height:680" filled="true" fillcolor="#ffffff" stroked="false">
              <v:fill type="solid"/>
            </v:rect>
            <v:shape style="position:absolute;left:4073;top:5161;width:5100;height:1361" coordorigin="4074,5162" coordsize="5100,1361" path="m8154,5844l9174,5844,9174,5162,8154,5162,8154,5844xm5094,6523l6114,6523,6114,5844,5094,5844,5094,6523xm4074,6523l5094,6523,5094,5844,4074,5844,4074,6523xm6114,6523l7134,6523,7134,5844,6114,5844,6114,6523xm7134,6523l8154,6523,8154,5844,7134,5844,7134,6523xe" filled="false" stroked="true" strokeweight="2pt" strokecolor="#010101">
              <v:path arrowok="t"/>
              <v:stroke dashstyle="solid"/>
            </v:shape>
            <v:rect style="position:absolute;left:8933;top:5841;width:240;height:682" filled="true" fillcolor="#ffffff" stroked="false">
              <v:fill type="solid"/>
            </v:rect>
            <v:shape style="position:absolute;left:4073;top:5843;width:5100;height:1359" coordorigin="4074,5844" coordsize="5100,1359" path="m8154,6523l9174,6523,9174,5844,8154,5844,8154,6523xm4074,7202l5094,7202,5094,6523,4074,6523,4074,7202xm5094,7202l6114,7202,6114,6523,5094,6523,5094,7202xm6114,7202l7134,7202,7134,6523,6114,6523,6114,7202xm7134,7202l8154,7202,8154,6523,7134,6523,7134,7202xe" filled="false" stroked="true" strokeweight="2pt" strokecolor="#010101">
              <v:path arrowok="t"/>
              <v:stroke dashstyle="solid"/>
            </v:shape>
            <v:rect style="position:absolute;left:8933;top:6522;width:240;height:680" filled="true" fillcolor="#ffffff" stroked="false">
              <v:fill type="solid"/>
            </v:rect>
            <v:shape style="position:absolute;left:5093;top:6522;width:4080;height:1361" coordorigin="5094,6523" coordsize="4080,1361" path="m8154,7202l9174,7202,9174,6523,8154,6523,8154,7202xm5094,7884l6114,7884,6114,7202,5094,7202,5094,7884xm7134,7884l8154,7884,8154,7202,7134,7202,7134,7884xe" filled="false" stroked="true" strokeweight="2pt" strokecolor="#010101">
              <v:path arrowok="t"/>
              <v:stroke dashstyle="solid"/>
            </v:shape>
            <v:rect style="position:absolute;left:8933;top:7201;width:240;height:680" filled="true" fillcolor="#ffffff" stroked="false">
              <v:fill type="solid"/>
            </v:rect>
            <v:shape style="position:absolute;left:4073;top:7201;width:5100;height:682" coordorigin="4074,7202" coordsize="5100,682" path="m8154,7884l9174,7884,9174,7202,8154,7202,8154,7884xm6114,7884l7134,7884,7134,7202,6114,7202,6114,7884xm4074,7884l5094,7884,5094,7202,4074,7202,4074,7884xe" filled="false" stroked="true" strokeweight="2pt" strokecolor="#010101">
              <v:path arrowok="t"/>
              <v:stroke dashstyle="solid"/>
            </v:shape>
            <v:rect style="position:absolute;left:5091;top:8341;width:1020;height:221" filled="true" fillcolor="#dddddd" stroked="false">
              <v:fill type="solid"/>
            </v:rect>
            <v:rect style="position:absolute;left:5093;top:7883;width:1020;height:680" filled="false" stroked="true" strokeweight="2pt" strokecolor="#010101">
              <v:stroke dashstyle="solid"/>
            </v:rect>
            <v:rect style="position:absolute;left:7131;top:8341;width:1020;height:221" filled="true" fillcolor="#dddddd" stroked="false">
              <v:fill type="solid"/>
            </v:rect>
            <v:rect style="position:absolute;left:7133;top:7883;width:1020;height:680" filled="false" stroked="true" strokeweight="2pt" strokecolor="#010101">
              <v:stroke dashstyle="solid"/>
            </v:rect>
            <v:rect style="position:absolute;left:8153;top:7881;width:1020;height:682" filled="true" fillcolor="#ffffff" stroked="false">
              <v:fill type="solid"/>
            </v:rect>
            <v:rect style="position:absolute;left:8153;top:7883;width:1020;height:680" filled="false" stroked="true" strokeweight="2pt" strokecolor="#010101">
              <v:stroke dashstyle="solid"/>
            </v:rect>
            <v:rect style="position:absolute;left:6111;top:8341;width:1020;height:221" filled="true" fillcolor="#dddddd" stroked="false">
              <v:fill type="solid"/>
            </v:rect>
            <v:rect style="position:absolute;left:6113;top:7883;width:1020;height:680" filled="false" stroked="true" strokeweight="2pt" strokecolor="#010101">
              <v:stroke dashstyle="solid"/>
            </v:rect>
            <v:rect style="position:absolute;left:4071;top:8341;width:1020;height:221" filled="true" fillcolor="#dddddd" stroked="false">
              <v:fill type="solid"/>
            </v:rect>
            <v:rect style="position:absolute;left:4073;top:7883;width:1020;height:680" filled="false" stroked="true" strokeweight="2pt" strokecolor="#010101">
              <v:stroke dashstyle="solid"/>
            </v:rect>
            <v:shape style="position:absolute;left:4071;top:5161;width:1020;height:680" coordorigin="4071,5162" coordsize="1020,680" path="m4071,5162l4071,5841,5091,5841,4071,5162xe" filled="true" fillcolor="#dddddd" stroked="false">
              <v:path arrowok="t"/>
              <v:fill type="solid"/>
            </v:shape>
            <v:shape style="position:absolute;left:4071;top:5161;width:1020;height:680" coordorigin="4071,5162" coordsize="1020,680" path="m4071,5162l4071,5841,5091,5841,4071,5162xe" filled="false" stroked="true" strokeweight="2pt" strokecolor="#010101">
              <v:path arrowok="t"/>
              <v:stroke dashstyle="solid"/>
            </v:shape>
            <v:shape style="position:absolute;left:5091;top:5841;width:1020;height:682" coordorigin="5091,5841" coordsize="1020,682" path="m5091,5841l5091,6523,6111,6523,5091,5841xe" filled="true" fillcolor="#dddddd" stroked="false">
              <v:path arrowok="t"/>
              <v:fill type="solid"/>
            </v:shape>
            <v:shape style="position:absolute;left:5091;top:5841;width:1020;height:682" coordorigin="5091,5841" coordsize="1020,682" path="m5091,5841l5091,6523,6111,6523,5091,5841xe" filled="false" stroked="true" strokeweight="2pt" strokecolor="#010101">
              <v:path arrowok="t"/>
              <v:stroke dashstyle="solid"/>
            </v:shape>
            <v:shape style="position:absolute;left:6113;top:6522;width:1020;height:680" coordorigin="6114,6523" coordsize="1020,680" path="m6114,6523l6114,7202,7134,7202,6114,6523xe" filled="true" fillcolor="#dddddd" stroked="false">
              <v:path arrowok="t"/>
              <v:fill type="solid"/>
            </v:shape>
            <v:shape style="position:absolute;left:6113;top:6522;width:1020;height:680" coordorigin="6114,6523" coordsize="1020,680" path="m6114,6523l6114,7202,7134,7202,6114,6523xe" filled="false" stroked="true" strokeweight="2pt" strokecolor="#010101">
              <v:path arrowok="t"/>
              <v:stroke dashstyle="solid"/>
            </v:shape>
            <v:shape style="position:absolute;left:7133;top:7201;width:1020;height:682" coordorigin="7134,7202" coordsize="1020,682" path="m7134,7202l7134,7884,8154,7884,7134,7202xe" filled="true" fillcolor="#dddddd" stroked="false">
              <v:path arrowok="t"/>
              <v:fill type="solid"/>
            </v:shape>
            <v:shape style="position:absolute;left:7133;top:7201;width:1020;height:682" coordorigin="7134,7202" coordsize="1020,682" path="m7134,7202l7134,7884,8154,7884,7134,7202xe" filled="false" stroked="true" strokeweight="2pt" strokecolor="#010101">
              <v:path arrowok="t"/>
              <v:stroke dashstyle="solid"/>
            </v:shape>
            <v:shape style="position:absolute;left:8153;top:7883;width:982;height:680" coordorigin="8154,7884" coordsize="982,680" path="m8154,7884l8154,8563,9135,8563,8154,7884xe" filled="true" fillcolor="#dddddd" stroked="false">
              <v:path arrowok="t"/>
              <v:fill type="solid"/>
            </v:shape>
            <v:shape style="position:absolute;left:8153;top:7883;width:982;height:680" coordorigin="8154,7884" coordsize="982,680" path="m8154,7884l8154,8563,9135,8563,8154,7884xe" filled="false" stroked="true" strokeweight="2pt" strokecolor="#010101">
              <v:path arrowok="t"/>
              <v:stroke dashstyle="solid"/>
            </v:shape>
            <v:rect style="position:absolute;left:2640;top:4089;width:6293;height:4253" filled="true" fillcolor="#ffffff" stroked="false">
              <v:fill type="solid"/>
            </v:rect>
            <v:shape style="position:absolute;left:2640;top:4089;width:6293;height:4253" coordorigin="2641,4089" coordsize="6293,4253" path="m2641,8342l8934,8342,8934,4089,2641,4089,2641,8342xm2641,4939l3831,4939,3831,4089,2641,4089,2641,4939xe" filled="false" stroked="true" strokeweight="2pt" strokecolor="#010101">
              <v:path arrowok="t"/>
              <v:stroke dashstyle="solid"/>
            </v:shape>
            <v:rect style="position:absolute;left:8693;top:4089;width:240;height:509" filled="true" fillcolor="#ffffff" stroked="false">
              <v:fill type="solid"/>
            </v:rect>
            <v:rect style="position:absolute;left:3833;top:4089;width:5100;height:512" filled="false" stroked="true" strokeweight="2pt" strokecolor="#010101">
              <v:stroke dashstyle="solid"/>
            </v:rect>
            <v:rect style="position:absolute;left:2640;top:8101;width:850;height:240" filled="true" fillcolor="#dddddd" stroked="false">
              <v:fill type="solid"/>
            </v:rect>
            <v:shape style="position:absolute;left:2640;top:4602;width:6293;height:3740" coordorigin="2641,4603" coordsize="6293,3740" path="m2641,8342l3490,8342,3490,4941,2641,4941,2641,8342xm3493,8342l3834,8342,3834,4941,3493,4941,3493,8342xm3834,4941l8934,4941,8934,4603,3834,4603,3834,4941xm3834,4941l4854,4941,4854,4603,3834,4603,3834,4941xm4854,4941l5874,4941,5874,4603,4854,4603,4854,4941xm5874,4941l6894,4941,6894,4603,5874,4603,5874,4941xm6894,4941l7914,4941,7914,4603,6894,4603,6894,4941xe" filled="false" stroked="true" strokeweight="2pt" strokecolor="#010101">
              <v:path arrowok="t"/>
              <v:stroke dashstyle="solid"/>
            </v:shape>
            <v:rect style="position:absolute;left:8693;top:4600;width:240;height:341" filled="true" fillcolor="#ffffff" stroked="false">
              <v:fill type="solid"/>
            </v:rect>
            <v:shape style="position:absolute;left:3492;top:4602;width:5441;height:1020" coordorigin="3493,4603" coordsize="5441,1020" path="m7914,4941l8934,4941,8934,4603,7914,4603,7914,4941xm3493,5623l3834,5623,3834,4941,3493,4941,3493,5623xe" filled="false" stroked="true" strokeweight="2pt" strokecolor="#010101">
              <v:path arrowok="t"/>
              <v:stroke dashstyle="solid"/>
            </v:shape>
            <v:rect style="position:absolute;left:3492;top:8101;width:339;height:240" filled="true" fillcolor="#dddddd" stroked="false">
              <v:fill type="solid"/>
            </v:rect>
            <v:shape style="position:absolute;left:3492;top:5622;width:341;height:2720" coordorigin="3493,5623" coordsize="341,2720" path="m3493,8342l3834,8342,3834,7663,3493,7663,3493,8342xm3493,7663l3834,7663,3834,6981,3493,6981,3493,7663xm3493,6981l3834,6981,3834,6302,3493,6302,3493,6981xm3493,6302l3834,6302,3834,5623,3493,5623,3493,6302xe" filled="false" stroked="true" strokeweight="2pt" strokecolor="#010101">
              <v:path arrowok="t"/>
              <v:stroke dashstyle="solid"/>
            </v:shape>
            <v:shape style="position:absolute;left:2640;top:4113;width:1181;height:838" coordorigin="2641,4113" coordsize="1181,838" path="m2641,4113l2641,4951,3822,4951,2641,4113xe" filled="true" fillcolor="#dddddd" stroked="false">
              <v:path arrowok="t"/>
              <v:fill type="solid"/>
            </v:shape>
            <v:shape style="position:absolute;left:2640;top:4113;width:5273;height:1510" coordorigin="2641,4113" coordsize="5273,1510" path="m2641,4113l2641,4951,3822,4951,2641,4113xm3834,5623l4854,5623,4854,4941,3834,4941,3834,5623xm4854,5623l5874,5623,5874,4941,4854,4941,4854,5623xm5874,5623l6894,5623,6894,4941,5874,4941,5874,5623xm6894,5623l7914,5623,7914,4941,6894,4941,6894,5623xe" filled="false" stroked="true" strokeweight="2pt" strokecolor="#010101">
              <v:path arrowok="t"/>
              <v:stroke dashstyle="solid"/>
            </v:shape>
            <v:rect style="position:absolute;left:8693;top:4941;width:240;height:680" filled="true" fillcolor="#ffffff" stroked="false">
              <v:fill type="solid"/>
            </v:rect>
            <v:shape style="position:absolute;left:3833;top:4941;width:5100;height:1361" coordorigin="3834,4941" coordsize="5100,1361" path="m7914,5623l8934,5623,8934,4941,7914,4941,7914,5623xm4854,6302l5874,6302,5874,5623,4854,5623,4854,6302xm3834,6302l4854,6302,4854,5623,3834,5623,3834,6302xm5874,6302l6894,6302,6894,5623,5874,5623,5874,6302xm6894,6302l7914,6302,7914,5623,6894,5623,6894,6302xe" filled="false" stroked="true" strokeweight="2pt" strokecolor="#010101">
              <v:path arrowok="t"/>
              <v:stroke dashstyle="solid"/>
            </v:shape>
            <v:rect style="position:absolute;left:8693;top:5620;width:240;height:682" filled="true" fillcolor="#ffffff" stroked="false">
              <v:fill type="solid"/>
            </v:rect>
            <v:shape style="position:absolute;left:3833;top:5622;width:5100;height:1359" coordorigin="3834,5623" coordsize="5100,1359" path="m7914,6302l8934,6302,8934,5623,7914,5623,7914,6302xm3834,6981l4854,6981,4854,6302,3834,6302,3834,6981xm4854,6981l5874,6981,5874,6302,4854,6302,4854,6981xm5874,6981l6894,6981,6894,6302,5874,6302,5874,6981xm6894,6981l7914,6981,7914,6302,6894,6302,6894,6981xe" filled="false" stroked="true" strokeweight="2pt" strokecolor="#010101">
              <v:path arrowok="t"/>
              <v:stroke dashstyle="solid"/>
            </v:shape>
            <v:rect style="position:absolute;left:8693;top:6301;width:240;height:680" filled="true" fillcolor="#ffffff" stroked="false">
              <v:fill type="solid"/>
            </v:rect>
            <v:shape style="position:absolute;left:4853;top:6301;width:4080;height:1361" coordorigin="4854,6302" coordsize="4080,1361" path="m7914,6981l8934,6981,8934,6302,7914,6302,7914,6981xm4854,7663l5874,7663,5874,6981,4854,6981,4854,7663xm6894,7663l7914,7663,7914,6981,6894,6981,6894,7663xe" filled="false" stroked="true" strokeweight="2pt" strokecolor="#010101">
              <v:path arrowok="t"/>
              <v:stroke dashstyle="solid"/>
            </v:shape>
            <v:rect style="position:absolute;left:8693;top:6981;width:240;height:680" filled="true" fillcolor="#ffffff" stroked="false">
              <v:fill type="solid"/>
            </v:rect>
            <v:shape style="position:absolute;left:3833;top:6981;width:5100;height:682" coordorigin="3834,6981" coordsize="5100,682" path="m7914,7663l8934,7663,8934,6981,7914,6981,7914,7663xm5874,7663l6894,7663,6894,6981,5874,6981,5874,7663xm3834,7663l4854,7663,4854,6981,3834,6981,3834,7663xe" filled="false" stroked="true" strokeweight="2pt" strokecolor="#010101">
              <v:path arrowok="t"/>
              <v:stroke dashstyle="solid"/>
            </v:shape>
            <v:rect style="position:absolute;left:4851;top:8101;width:1020;height:240" filled="true" fillcolor="#dddddd" stroked="false">
              <v:fill type="solid"/>
            </v:rect>
            <v:rect style="position:absolute;left:4853;top:7662;width:1020;height:680" filled="false" stroked="true" strokeweight="2pt" strokecolor="#010101">
              <v:stroke dashstyle="solid"/>
            </v:rect>
            <v:rect style="position:absolute;left:6891;top:8101;width:1020;height:240" filled="true" fillcolor="#dddddd" stroked="false">
              <v:fill type="solid"/>
            </v:rect>
            <v:rect style="position:absolute;left:6893;top:7662;width:1020;height:680" filled="false" stroked="true" strokeweight="2pt" strokecolor="#010101">
              <v:stroke dashstyle="solid"/>
            </v:rect>
            <v:rect style="position:absolute;left:7913;top:7660;width:1020;height:682" filled="true" fillcolor="#ffffff" stroked="false">
              <v:fill type="solid"/>
            </v:rect>
            <v:rect style="position:absolute;left:7913;top:7662;width:1020;height:680" filled="false" stroked="true" strokeweight="2pt" strokecolor="#010101">
              <v:stroke dashstyle="solid"/>
            </v:rect>
            <v:rect style="position:absolute;left:5871;top:8101;width:1020;height:240" filled="true" fillcolor="#dddddd" stroked="false">
              <v:fill type="solid"/>
            </v:rect>
            <v:rect style="position:absolute;left:5873;top:7662;width:1020;height:680" filled="false" stroked="true" strokeweight="2pt" strokecolor="#010101">
              <v:stroke dashstyle="solid"/>
            </v:rect>
            <v:rect style="position:absolute;left:3831;top:8101;width:1020;height:240" filled="true" fillcolor="#dddddd" stroked="false">
              <v:fill type="solid"/>
            </v:rect>
            <v:rect style="position:absolute;left:3833;top:7662;width:1020;height:680" filled="false" stroked="true" strokeweight="2pt" strokecolor="#010101">
              <v:stroke dashstyle="solid"/>
            </v:rect>
            <v:shape style="position:absolute;left:3831;top:4941;width:1020;height:680" coordorigin="3831,4941" coordsize="1020,680" path="m3831,4941l3831,5620,4851,5620,3831,4941xe" filled="true" fillcolor="#dddddd" stroked="false">
              <v:path arrowok="t"/>
              <v:fill type="solid"/>
            </v:shape>
            <v:shape style="position:absolute;left:3831;top:4941;width:1020;height:680" coordorigin="3831,4941" coordsize="1020,680" path="m3831,4941l3831,5620,4851,5620,3831,4941xe" filled="false" stroked="true" strokeweight="2pt" strokecolor="#010101">
              <v:path arrowok="t"/>
              <v:stroke dashstyle="solid"/>
            </v:shape>
            <v:shape style="position:absolute;left:4851;top:5620;width:1020;height:682" coordorigin="4851,5620" coordsize="1020,682" path="m4851,5620l4851,6302,5871,6302,4851,5620xe" filled="true" fillcolor="#dddddd" stroked="false">
              <v:path arrowok="t"/>
              <v:fill type="solid"/>
            </v:shape>
            <v:shape style="position:absolute;left:4851;top:5620;width:1020;height:682" coordorigin="4851,5620" coordsize="1020,682" path="m4851,5620l4851,6302,5871,6302,4851,5620xe" filled="false" stroked="true" strokeweight="2pt" strokecolor="#010101">
              <v:path arrowok="t"/>
              <v:stroke dashstyle="solid"/>
            </v:shape>
            <v:shape style="position:absolute;left:5873;top:6301;width:1020;height:680" coordorigin="5874,6302" coordsize="1020,680" path="m5874,6302l5874,6981,6894,6981,5874,6302xe" filled="true" fillcolor="#dddddd" stroked="false">
              <v:path arrowok="t"/>
              <v:fill type="solid"/>
            </v:shape>
            <v:shape style="position:absolute;left:5873;top:6301;width:1020;height:680" coordorigin="5874,6302" coordsize="1020,680" path="m5874,6302l5874,6981,6894,6981,5874,6302xe" filled="false" stroked="true" strokeweight="2pt" strokecolor="#010101">
              <v:path arrowok="t"/>
              <v:stroke dashstyle="solid"/>
            </v:shape>
            <v:shape style="position:absolute;left:6893;top:6981;width:1020;height:682" coordorigin="6894,6981" coordsize="1020,682" path="m6894,6981l6894,7663,7914,7663,6894,6981xe" filled="true" fillcolor="#dddddd" stroked="false">
              <v:path arrowok="t"/>
              <v:fill type="solid"/>
            </v:shape>
            <v:shape style="position:absolute;left:6893;top:6981;width:1020;height:682" coordorigin="6894,6981" coordsize="1020,682" path="m6894,6981l6894,7663,7914,7663,6894,6981xe" filled="false" stroked="true" strokeweight="2pt" strokecolor="#010101">
              <v:path arrowok="t"/>
              <v:stroke dashstyle="solid"/>
            </v:shape>
            <v:shape style="position:absolute;left:7913;top:7662;width:982;height:680" coordorigin="7914,7663" coordsize="982,680" path="m7914,7663l7914,8342,8895,8342,7914,7663xe" filled="true" fillcolor="#dddddd" stroked="false">
              <v:path arrowok="t"/>
              <v:fill type="solid"/>
            </v:shape>
            <v:shape style="position:absolute;left:7913;top:7662;width:982;height:680" coordorigin="7914,7663" coordsize="982,680" path="m7914,7663l7914,8342,8895,8342,7914,7663xe" filled="false" stroked="true" strokeweight="2pt" strokecolor="#010101">
              <v:path arrowok="t"/>
              <v:stroke dashstyle="solid"/>
            </v:shape>
            <v:rect style="position:absolute;left:2400;top:3849;width:6293;height:4253" filled="true" fillcolor="#ffffff" stroked="false">
              <v:fill type="solid"/>
            </v:rect>
            <v:shape style="position:absolute;left:2400;top:3849;width:6293;height:4253" coordorigin="2401,3849" coordsize="6293,4253" path="m2401,8102l8694,8102,8694,3849,2401,3849,2401,8102xm2401,4699l3591,4699,3591,3849,2401,3849,2401,4699xe" filled="false" stroked="true" strokeweight="2pt" strokecolor="#010101">
              <v:path arrowok="t"/>
              <v:stroke dashstyle="solid"/>
            </v:shape>
            <v:rect style="position:absolute;left:8453;top:3849;width:240;height:509" filled="true" fillcolor="#ffffff" stroked="false">
              <v:fill type="solid"/>
            </v:rect>
            <v:rect style="position:absolute;left:3593;top:3849;width:5100;height:512" filled="false" stroked="true" strokeweight="2pt" strokecolor="#010101">
              <v:stroke dashstyle="solid"/>
            </v:rect>
            <v:rect style="position:absolute;left:2400;top:7861;width:850;height:240" filled="true" fillcolor="#dddddd" stroked="false">
              <v:fill type="solid"/>
            </v:rect>
            <v:shape style="position:absolute;left:2400;top:4362;width:6293;height:3740" coordorigin="2401,4363" coordsize="6293,3740" path="m2401,8102l3250,8102,3250,4701,2401,4701,2401,8102xm3253,8102l3594,8102,3594,4701,3253,4701,3253,8102xm3594,4701l8694,4701,8694,4363,3594,4363,3594,4701xm3594,4701l4614,4701,4614,4363,3594,4363,3594,4701xm4614,4701l5634,4701,5634,4363,4614,4363,4614,4701xm5634,4701l6654,4701,6654,4363,5634,4363,5634,4701xm6654,4701l7674,4701,7674,4363,6654,4363,6654,4701xe" filled="false" stroked="true" strokeweight="2pt" strokecolor="#010101">
              <v:path arrowok="t"/>
              <v:stroke dashstyle="solid"/>
            </v:shape>
            <v:rect style="position:absolute;left:8453;top:4360;width:240;height:341" filled="true" fillcolor="#ffffff" stroked="false">
              <v:fill type="solid"/>
            </v:rect>
            <v:shape style="position:absolute;left:3252;top:4362;width:5441;height:1020" coordorigin="3253,4363" coordsize="5441,1020" path="m7674,4701l8694,4701,8694,4363,7674,4363,7674,4701xm3253,5383l3594,5383,3594,4701,3253,4701,3253,5383xe" filled="false" stroked="true" strokeweight="2pt" strokecolor="#010101">
              <v:path arrowok="t"/>
              <v:stroke dashstyle="solid"/>
            </v:shape>
            <v:rect style="position:absolute;left:3252;top:7861;width:339;height:240" filled="true" fillcolor="#dddddd" stroked="false">
              <v:fill type="solid"/>
            </v:rect>
            <v:shape style="position:absolute;left:3252;top:5382;width:341;height:2720" coordorigin="3253,5383" coordsize="341,2720" path="m3253,8102l3594,8102,3594,7423,3253,7423,3253,8102xm3253,7423l3594,7423,3594,6741,3253,6741,3253,7423xm3253,6741l3594,6741,3594,6062,3253,6062,3253,6741xm3253,6062l3594,6062,3594,5383,3253,5383,3253,6062xe" filled="false" stroked="true" strokeweight="2pt" strokecolor="#010101">
              <v:path arrowok="t"/>
              <v:stroke dashstyle="solid"/>
            </v:shape>
            <v:shape style="position:absolute;left:2400;top:3873;width:1181;height:838" coordorigin="2401,3873" coordsize="1181,838" path="m2401,3873l2401,4711,3582,4711,2401,3873xe" filled="true" fillcolor="#dddddd" stroked="false">
              <v:path arrowok="t"/>
              <v:fill type="solid"/>
            </v:shape>
            <v:shape style="position:absolute;left:2400;top:3873;width:5273;height:1510" coordorigin="2401,3873" coordsize="5273,1510" path="m2401,3873l2401,4711,3582,4711,2401,3873xm3594,5383l4614,5383,4614,4701,3594,4701,3594,5383xm4614,5383l5634,5383,5634,4701,4614,4701,4614,5383xm5634,5383l6654,5383,6654,4701,5634,4701,5634,5383xm6654,5383l7674,5383,7674,4701,6654,4701,6654,5383xe" filled="false" stroked="true" strokeweight="2pt" strokecolor="#010101">
              <v:path arrowok="t"/>
              <v:stroke dashstyle="solid"/>
            </v:shape>
            <v:rect style="position:absolute;left:8453;top:4701;width:240;height:680" filled="true" fillcolor="#ffffff" stroked="false">
              <v:fill type="solid"/>
            </v:rect>
            <v:shape style="position:absolute;left:3593;top:4701;width:5100;height:1361" coordorigin="3594,4701" coordsize="5100,1361" path="m7674,5383l8694,5383,8694,4701,7674,4701,7674,5383xm4614,6062l5634,6062,5634,5383,4614,5383,4614,6062xm3594,6062l4614,6062,4614,5383,3594,5383,3594,6062xm5634,6062l6654,6062,6654,5383,5634,5383,5634,6062xm6654,6062l7674,6062,7674,5383,6654,5383,6654,6062xe" filled="false" stroked="true" strokeweight="2pt" strokecolor="#010101">
              <v:path arrowok="t"/>
              <v:stroke dashstyle="solid"/>
            </v:shape>
            <v:rect style="position:absolute;left:8453;top:5380;width:240;height:682" filled="true" fillcolor="#ffffff" stroked="false">
              <v:fill type="solid"/>
            </v:rect>
            <v:shape style="position:absolute;left:3593;top:5382;width:5100;height:1359" coordorigin="3594,5383" coordsize="5100,1359" path="m7674,6062l8694,6062,8694,5383,7674,5383,7674,6062xm3594,6741l4614,6741,4614,6062,3594,6062,3594,6741xm4614,6741l5634,6741,5634,6062,4614,6062,4614,6741xm5634,6741l6654,6741,6654,6062,5634,6062,5634,6741xm6654,6741l7674,6741,7674,6062,6654,6062,6654,6741xe" filled="false" stroked="true" strokeweight="2pt" strokecolor="#010101">
              <v:path arrowok="t"/>
              <v:stroke dashstyle="solid"/>
            </v:shape>
            <v:rect style="position:absolute;left:8453;top:6061;width:240;height:680" filled="true" fillcolor="#ffffff" stroked="false">
              <v:fill type="solid"/>
            </v:rect>
            <v:shape style="position:absolute;left:4613;top:6061;width:4080;height:1361" coordorigin="4614,6062" coordsize="4080,1361" path="m7674,6741l8694,6741,8694,6062,7674,6062,7674,6741xm4614,7423l5634,7423,5634,6741,4614,6741,4614,7423xm6654,7423l7674,7423,7674,6741,6654,6741,6654,7423xe" filled="false" stroked="true" strokeweight="2pt" strokecolor="#010101">
              <v:path arrowok="t"/>
              <v:stroke dashstyle="solid"/>
            </v:shape>
            <v:rect style="position:absolute;left:8453;top:6741;width:240;height:680" filled="true" fillcolor="#ffffff" stroked="false">
              <v:fill type="solid"/>
            </v:rect>
            <v:shape style="position:absolute;left:3593;top:6741;width:5100;height:682" coordorigin="3594,6741" coordsize="5100,682" path="m7674,7423l8694,7423,8694,6741,7674,6741,7674,7423xm5634,7423l6654,7423,6654,6741,5634,6741,5634,7423xm3594,7423l4614,7423,4614,6741,3594,6741,3594,7423xe" filled="false" stroked="true" strokeweight="2pt" strokecolor="#010101">
              <v:path arrowok="t"/>
              <v:stroke dashstyle="solid"/>
            </v:shape>
            <v:rect style="position:absolute;left:4611;top:7861;width:1020;height:240" filled="true" fillcolor="#dddddd" stroked="false">
              <v:fill type="solid"/>
            </v:rect>
            <v:rect style="position:absolute;left:4613;top:7422;width:1020;height:680" filled="false" stroked="true" strokeweight="2pt" strokecolor="#010101">
              <v:stroke dashstyle="solid"/>
            </v:rect>
            <v:rect style="position:absolute;left:6651;top:7861;width:1020;height:240" filled="true" fillcolor="#dddddd" stroked="false">
              <v:fill type="solid"/>
            </v:rect>
            <v:rect style="position:absolute;left:6653;top:7422;width:1020;height:680" filled="false" stroked="true" strokeweight="2pt" strokecolor="#010101">
              <v:stroke dashstyle="solid"/>
            </v:rect>
            <v:rect style="position:absolute;left:7673;top:7420;width:1020;height:682" filled="true" fillcolor="#ffffff" stroked="false">
              <v:fill type="solid"/>
            </v:rect>
            <v:rect style="position:absolute;left:7673;top:7422;width:1020;height:680" filled="false" stroked="true" strokeweight="2pt" strokecolor="#010101">
              <v:stroke dashstyle="solid"/>
            </v:rect>
            <v:rect style="position:absolute;left:5631;top:7861;width:1020;height:240" filled="true" fillcolor="#dddddd" stroked="false">
              <v:fill type="solid"/>
            </v:rect>
            <v:rect style="position:absolute;left:5633;top:7422;width:1020;height:680" filled="false" stroked="true" strokeweight="2pt" strokecolor="#010101">
              <v:stroke dashstyle="solid"/>
            </v:rect>
            <v:rect style="position:absolute;left:3591;top:7861;width:1020;height:240" filled="true" fillcolor="#dddddd" stroked="false">
              <v:fill type="solid"/>
            </v:rect>
            <v:rect style="position:absolute;left:3593;top:7422;width:1020;height:680" filled="false" stroked="true" strokeweight="2pt" strokecolor="#010101">
              <v:stroke dashstyle="solid"/>
            </v:rect>
            <v:shape style="position:absolute;left:3591;top:4701;width:1020;height:680" coordorigin="3591,4701" coordsize="1020,680" path="m3591,4701l3591,5380,4611,5380,3591,4701xe" filled="true" fillcolor="#dddddd" stroked="false">
              <v:path arrowok="t"/>
              <v:fill type="solid"/>
            </v:shape>
            <v:shape style="position:absolute;left:3591;top:4701;width:1020;height:680" coordorigin="3591,4701" coordsize="1020,680" path="m3591,4701l3591,5380,4611,5380,3591,4701xe" filled="false" stroked="true" strokeweight="2pt" strokecolor="#010101">
              <v:path arrowok="t"/>
              <v:stroke dashstyle="solid"/>
            </v:shape>
            <v:shape style="position:absolute;left:4611;top:5380;width:1020;height:682" coordorigin="4611,5380" coordsize="1020,682" path="m4611,5380l4611,6062,5631,6062,4611,5380xe" filled="true" fillcolor="#dddddd" stroked="false">
              <v:path arrowok="t"/>
              <v:fill type="solid"/>
            </v:shape>
            <v:shape style="position:absolute;left:4611;top:5380;width:1020;height:682" coordorigin="4611,5380" coordsize="1020,682" path="m4611,5380l4611,6062,5631,6062,4611,5380xe" filled="false" stroked="true" strokeweight="2pt" strokecolor="#010101">
              <v:path arrowok="t"/>
              <v:stroke dashstyle="solid"/>
            </v:shape>
            <v:shape style="position:absolute;left:5633;top:6061;width:1020;height:680" coordorigin="5634,6062" coordsize="1020,680" path="m5634,6062l5634,6741,6654,6741,5634,6062xe" filled="true" fillcolor="#dddddd" stroked="false">
              <v:path arrowok="t"/>
              <v:fill type="solid"/>
            </v:shape>
            <v:shape style="position:absolute;left:5633;top:6061;width:1020;height:680" coordorigin="5634,6062" coordsize="1020,680" path="m5634,6062l5634,6741,6654,6741,5634,6062xe" filled="false" stroked="true" strokeweight="2pt" strokecolor="#010101">
              <v:path arrowok="t"/>
              <v:stroke dashstyle="solid"/>
            </v:shape>
            <v:shape style="position:absolute;left:6653;top:6741;width:1020;height:682" coordorigin="6654,6741" coordsize="1020,682" path="m6654,6741l6654,7423,7674,7423,6654,6741xe" filled="true" fillcolor="#dddddd" stroked="false">
              <v:path arrowok="t"/>
              <v:fill type="solid"/>
            </v:shape>
            <v:shape style="position:absolute;left:6653;top:6741;width:1020;height:682" coordorigin="6654,6741" coordsize="1020,682" path="m6654,6741l6654,7423,7674,7423,6654,6741xe" filled="false" stroked="true" strokeweight="2pt" strokecolor="#010101">
              <v:path arrowok="t"/>
              <v:stroke dashstyle="solid"/>
            </v:shape>
            <v:shape style="position:absolute;left:7673;top:7422;width:982;height:680" coordorigin="7674,7423" coordsize="982,680" path="m7674,7423l7674,8102,8655,8102,7674,7423xe" filled="true" fillcolor="#dddddd" stroked="false">
              <v:path arrowok="t"/>
              <v:fill type="solid"/>
            </v:shape>
            <v:shape style="position:absolute;left:7673;top:7422;width:982;height:680" coordorigin="7674,7423" coordsize="982,680" path="m7674,7423l7674,8102,8655,8102,7674,7423xe" filled="false" stroked="true" strokeweight="2pt" strokecolor="#010101">
              <v:path arrowok="t"/>
              <v:stroke dashstyle="solid"/>
            </v:shape>
            <v:rect style="position:absolute;left:2160;top:3609;width:6293;height:4253" filled="true" fillcolor="#ffffff" stroked="false">
              <v:fill type="solid"/>
            </v:rect>
            <v:shape style="position:absolute;left:2160;top:3609;width:6293;height:4253" coordorigin="2161,3609" coordsize="6293,4253" path="m2161,7862l8454,7862,8454,3609,2161,3609,2161,7862xm2161,4459l3351,4459,3351,3609,2161,3609,2161,4459xe" filled="false" stroked="true" strokeweight="2pt" strokecolor="#010101">
              <v:path arrowok="t"/>
              <v:stroke dashstyle="solid"/>
            </v:shape>
            <v:rect style="position:absolute;left:8213;top:3609;width:240;height:509" filled="true" fillcolor="#ffffff" stroked="false">
              <v:fill type="solid"/>
            </v:rect>
            <v:rect style="position:absolute;left:3353;top:3609;width:5100;height:512" filled="false" stroked="true" strokeweight="2pt" strokecolor="#010101">
              <v:stroke dashstyle="solid"/>
            </v:rect>
            <v:rect style="position:absolute;left:2160;top:7621;width:850;height:240" filled="true" fillcolor="#dddddd" stroked="false">
              <v:fill type="solid"/>
            </v:rect>
            <v:shape style="position:absolute;left:2160;top:4122;width:6293;height:3740" coordorigin="2161,4123" coordsize="6293,3740" path="m2161,7862l3010,7862,3010,4461,2161,4461,2161,7862xm3013,7862l3354,7862,3354,4461,3013,4461,3013,7862xm3354,4461l8454,4461,8454,4123,3354,4123,3354,4461xm3354,4461l4374,4461,4374,4123,3354,4123,3354,4461xm4374,4461l5394,4461,5394,4123,4374,4123,4374,4461xm5394,4461l6414,4461,6414,4123,5394,4123,5394,4461xm6414,4461l7434,4461,7434,4123,6414,4123,6414,4461xe" filled="false" stroked="true" strokeweight="2pt" strokecolor="#010101">
              <v:path arrowok="t"/>
              <v:stroke dashstyle="solid"/>
            </v:shape>
            <v:rect style="position:absolute;left:8213;top:4120;width:240;height:341" filled="true" fillcolor="#ffffff" stroked="false">
              <v:fill type="solid"/>
            </v:rect>
            <v:shape style="position:absolute;left:3012;top:4122;width:5441;height:1020" coordorigin="3013,4123" coordsize="5441,1020" path="m7434,4461l8454,4461,8454,4123,7434,4123,7434,4461xm3013,5143l3354,5143,3354,4461,3013,4461,3013,5143xe" filled="false" stroked="true" strokeweight="2pt" strokecolor="#010101">
              <v:path arrowok="t"/>
              <v:stroke dashstyle="solid"/>
            </v:shape>
            <v:rect style="position:absolute;left:3012;top:7621;width:339;height:240" filled="true" fillcolor="#dddddd" stroked="false">
              <v:fill type="solid"/>
            </v:rect>
            <v:shape style="position:absolute;left:3012;top:5142;width:341;height:2720" coordorigin="3013,5143" coordsize="341,2720" path="m3013,7862l3354,7862,3354,7183,3013,7183,3013,7862xm3013,7183l3354,7183,3354,6501,3013,6501,3013,7183xm3013,6501l3354,6501,3354,5822,3013,5822,3013,6501xm3013,5822l3354,5822,3354,5143,3013,5143,3013,5822xe" filled="false" stroked="true" strokeweight="2pt" strokecolor="#010101">
              <v:path arrowok="t"/>
              <v:stroke dashstyle="solid"/>
            </v:shape>
            <v:shape style="position:absolute;left:2160;top:3633;width:1181;height:838" coordorigin="2161,3633" coordsize="1181,838" path="m2161,3633l2161,4471,3342,4471,2161,3633xe" filled="true" fillcolor="#dddddd" stroked="false">
              <v:path arrowok="t"/>
              <v:fill type="solid"/>
            </v:shape>
            <v:shape style="position:absolute;left:2160;top:3633;width:5273;height:1510" coordorigin="2161,3633" coordsize="5273,1510" path="m2161,3633l2161,4471,3342,4471,2161,3633xm3354,5143l4374,5143,4374,4461,3354,4461,3354,5143xm4374,5143l5394,5143,5394,4461,4374,4461,4374,5143xm5394,5143l6414,5143,6414,4461,5394,4461,5394,5143xm6414,5143l7434,5143,7434,4461,6414,4461,6414,5143xe" filled="false" stroked="true" strokeweight="2pt" strokecolor="#010101">
              <v:path arrowok="t"/>
              <v:stroke dashstyle="solid"/>
            </v:shape>
            <v:rect style="position:absolute;left:8213;top:4461;width:240;height:680" filled="true" fillcolor="#ffffff" stroked="false">
              <v:fill type="solid"/>
            </v:rect>
            <v:shape style="position:absolute;left:3353;top:4461;width:5100;height:1361" coordorigin="3354,4461" coordsize="5100,1361" path="m7434,5143l8454,5143,8454,4461,7434,4461,7434,5143xm4374,5822l5394,5822,5394,5143,4374,5143,4374,5822xm3354,5822l4374,5822,4374,5143,3354,5143,3354,5822xm5394,5822l6414,5822,6414,5143,5394,5143,5394,5822xm6414,5822l7434,5822,7434,5143,6414,5143,6414,5822xe" filled="false" stroked="true" strokeweight="2pt" strokecolor="#010101">
              <v:path arrowok="t"/>
              <v:stroke dashstyle="solid"/>
            </v:shape>
            <v:rect style="position:absolute;left:8213;top:5140;width:240;height:682" filled="true" fillcolor="#ffffff" stroked="false">
              <v:fill type="solid"/>
            </v:rect>
            <v:shape style="position:absolute;left:3353;top:5142;width:5100;height:1359" coordorigin="3354,5143" coordsize="5100,1359" path="m7434,5822l8454,5822,8454,5143,7434,5143,7434,5822xm3354,6501l4374,6501,4374,5822,3354,5822,3354,6501xm4374,6501l5394,6501,5394,5822,4374,5822,4374,6501xm5394,6501l6414,6501,6414,5822,5394,5822,5394,6501xm6414,6501l7434,6501,7434,5822,6414,5822,6414,6501xe" filled="false" stroked="true" strokeweight="2pt" strokecolor="#010101">
              <v:path arrowok="t"/>
              <v:stroke dashstyle="solid"/>
            </v:shape>
            <v:rect style="position:absolute;left:8213;top:5821;width:240;height:680" filled="true" fillcolor="#ffffff" stroked="false">
              <v:fill type="solid"/>
            </v:rect>
            <v:shape style="position:absolute;left:4373;top:5821;width:4080;height:1361" coordorigin="4374,5822" coordsize="4080,1361" path="m7434,6501l8454,6501,8454,5822,7434,5822,7434,6501xm4374,7183l5394,7183,5394,6501,4374,6501,4374,7183xm6414,7183l7434,7183,7434,6501,6414,6501,6414,7183xe" filled="false" stroked="true" strokeweight="2pt" strokecolor="#010101">
              <v:path arrowok="t"/>
              <v:stroke dashstyle="solid"/>
            </v:shape>
            <v:rect style="position:absolute;left:8213;top:6501;width:240;height:680" filled="true" fillcolor="#ffffff" stroked="false">
              <v:fill type="solid"/>
            </v:rect>
            <v:shape style="position:absolute;left:3353;top:6501;width:5100;height:682" coordorigin="3354,6501" coordsize="5100,682" path="m7434,7183l8454,7183,8454,6501,7434,6501,7434,7183xm5394,7183l6414,7183,6414,6501,5394,6501,5394,7183xm3354,7183l4374,7183,4374,6501,3354,6501,3354,7183xe" filled="false" stroked="true" strokeweight="2pt" strokecolor="#010101">
              <v:path arrowok="t"/>
              <v:stroke dashstyle="solid"/>
            </v:shape>
            <v:rect style="position:absolute;left:4371;top:7621;width:1020;height:240" filled="true" fillcolor="#dddddd" stroked="false">
              <v:fill type="solid"/>
            </v:rect>
            <v:rect style="position:absolute;left:4373;top:7182;width:1020;height:680" filled="false" stroked="true" strokeweight="2pt" strokecolor="#010101">
              <v:stroke dashstyle="solid"/>
            </v:rect>
            <v:rect style="position:absolute;left:6411;top:7621;width:1020;height:240" filled="true" fillcolor="#dddddd" stroked="false">
              <v:fill type="solid"/>
            </v:rect>
            <v:rect style="position:absolute;left:6413;top:7182;width:1020;height:680" filled="false" stroked="true" strokeweight="2pt" strokecolor="#010101">
              <v:stroke dashstyle="solid"/>
            </v:rect>
            <v:rect style="position:absolute;left:7433;top:7180;width:1020;height:682" filled="true" fillcolor="#ffffff" stroked="false">
              <v:fill type="solid"/>
            </v:rect>
            <v:rect style="position:absolute;left:7433;top:7182;width:1020;height:680" filled="false" stroked="true" strokeweight="2pt" strokecolor="#010101">
              <v:stroke dashstyle="solid"/>
            </v:rect>
            <v:rect style="position:absolute;left:5391;top:7621;width:1020;height:240" filled="true" fillcolor="#dddddd" stroked="false">
              <v:fill type="solid"/>
            </v:rect>
            <v:rect style="position:absolute;left:5393;top:7182;width:1020;height:680" filled="false" stroked="true" strokeweight="2pt" strokecolor="#010101">
              <v:stroke dashstyle="solid"/>
            </v:rect>
            <v:rect style="position:absolute;left:3351;top:7621;width:1020;height:240" filled="true" fillcolor="#dddddd" stroked="false">
              <v:fill type="solid"/>
            </v:rect>
            <v:rect style="position:absolute;left:3353;top:7182;width:1020;height:680" filled="false" stroked="true" strokeweight="2pt" strokecolor="#010101">
              <v:stroke dashstyle="solid"/>
            </v:rect>
            <v:shape style="position:absolute;left:3351;top:4461;width:1020;height:680" coordorigin="3351,4461" coordsize="1020,680" path="m3351,4461l3351,5140,4371,5140,3351,4461xe" filled="true" fillcolor="#dddddd" stroked="false">
              <v:path arrowok="t"/>
              <v:fill type="solid"/>
            </v:shape>
            <v:shape style="position:absolute;left:3351;top:4461;width:1020;height:680" coordorigin="3351,4461" coordsize="1020,680" path="m3351,4461l3351,5140,4371,5140,3351,4461xe" filled="false" stroked="true" strokeweight="2pt" strokecolor="#010101">
              <v:path arrowok="t"/>
              <v:stroke dashstyle="solid"/>
            </v:shape>
            <v:shape style="position:absolute;left:4371;top:5140;width:1020;height:682" coordorigin="4371,5140" coordsize="1020,682" path="m4371,5140l4371,5822,5391,5822,4371,5140xe" filled="true" fillcolor="#dddddd" stroked="false">
              <v:path arrowok="t"/>
              <v:fill type="solid"/>
            </v:shape>
            <v:shape style="position:absolute;left:4371;top:5140;width:1020;height:682" coordorigin="4371,5140" coordsize="1020,682" path="m4371,5140l4371,5822,5391,5822,4371,5140xe" filled="false" stroked="true" strokeweight="2pt" strokecolor="#010101">
              <v:path arrowok="t"/>
              <v:stroke dashstyle="solid"/>
            </v:shape>
            <v:shape style="position:absolute;left:5393;top:5821;width:1020;height:680" coordorigin="5394,5822" coordsize="1020,680" path="m5394,5822l5394,6501,6414,6501,5394,5822xe" filled="true" fillcolor="#dddddd" stroked="false">
              <v:path arrowok="t"/>
              <v:fill type="solid"/>
            </v:shape>
            <v:shape style="position:absolute;left:5393;top:5821;width:1020;height:680" coordorigin="5394,5822" coordsize="1020,680" path="m5394,5822l5394,6501,6414,6501,5394,5822xe" filled="false" stroked="true" strokeweight="2pt" strokecolor="#010101">
              <v:path arrowok="t"/>
              <v:stroke dashstyle="solid"/>
            </v:shape>
            <v:shape style="position:absolute;left:6413;top:6501;width:1020;height:682" coordorigin="6414,6501" coordsize="1020,682" path="m6414,6501l6414,7183,7434,7183,6414,6501xe" filled="true" fillcolor="#dddddd" stroked="false">
              <v:path arrowok="t"/>
              <v:fill type="solid"/>
            </v:shape>
            <v:shape style="position:absolute;left:6413;top:6501;width:1020;height:682" coordorigin="6414,6501" coordsize="1020,682" path="m6414,6501l6414,7183,7434,7183,6414,6501xe" filled="false" stroked="true" strokeweight="2pt" strokecolor="#010101">
              <v:path arrowok="t"/>
              <v:stroke dashstyle="solid"/>
            </v:shape>
            <v:shape style="position:absolute;left:7433;top:7182;width:982;height:680" coordorigin="7434,7183" coordsize="982,680" path="m7434,7183l7434,7862,8415,7862,7434,7183xe" filled="true" fillcolor="#dddddd" stroked="false">
              <v:path arrowok="t"/>
              <v:fill type="solid"/>
            </v:shape>
            <v:shape style="position:absolute;left:7433;top:7182;width:982;height:680" coordorigin="7434,7183" coordsize="982,680" path="m7434,7183l7434,7862,8415,7862,7434,7183xe" filled="false" stroked="true" strokeweight="2pt" strokecolor="#010101">
              <v:path arrowok="t"/>
              <v:stroke dashstyle="solid"/>
            </v:shape>
            <v:rect style="position:absolute;left:1920;top:3369;width:6293;height:4253" filled="true" fillcolor="#ffffff" stroked="false">
              <v:fill type="solid"/>
            </v:rect>
            <v:rect style="position:absolute;left:1920;top:3369;width:6293;height:4253" filled="false" stroked="true" strokeweight="2pt" strokecolor="#010101">
              <v:stroke dashstyle="solid"/>
            </v:rect>
            <v:rect style="position:absolute;left:1920;top:3369;width:1191;height:850" filled="true" fillcolor="#ffffff" stroked="false">
              <v:fill type="solid"/>
            </v:rect>
            <v:rect style="position:absolute;left:1920;top:3369;width:1191;height:850" filled="false" stroked="true" strokeweight="2pt" strokecolor="#010101">
              <v:stroke dashstyle="solid"/>
            </v:rect>
            <v:rect style="position:absolute;left:3111;top:3369;width:5103;height:509" filled="true" fillcolor="#ffffff" stroked="false">
              <v:fill type="solid"/>
            </v:rect>
            <v:rect style="position:absolute;left:3113;top:3369;width:5100;height:512" filled="false" stroked="true" strokeweight="2pt" strokecolor="#010101">
              <v:stroke dashstyle="solid"/>
            </v:rect>
            <v:rect style="position:absolute;left:1920;top:4218;width:850;height:3404" filled="true" fillcolor="#dddddd" stroked="false">
              <v:fill type="solid"/>
            </v:rect>
            <v:shape style="position:absolute;left:1920;top:3882;width:6293;height:3740" coordorigin="1921,3883" coordsize="6293,3740" path="m1921,7622l2770,7622,2770,4221,1921,4221,1921,7622xm2773,7622l3114,7622,3114,4221,2773,4221,2773,7622xm3114,4221l8214,4221,8214,3883,3114,3883,3114,4221xe" filled="false" stroked="true" strokeweight="2pt" strokecolor="#010101">
              <v:path arrowok="t"/>
              <v:stroke dashstyle="solid"/>
            </v:shape>
            <v:rect style="position:absolute;left:3111;top:3880;width:1020;height:341" filled="true" fillcolor="#ffffff" stroked="false">
              <v:fill type="solid"/>
            </v:rect>
            <v:rect style="position:absolute;left:3113;top:3882;width:1020;height:339" filled="false" stroked="true" strokeweight="2pt" strokecolor="#010101">
              <v:stroke dashstyle="solid"/>
            </v:rect>
            <v:rect style="position:absolute;left:4131;top:3880;width:1020;height:341" filled="true" fillcolor="#ffffff" stroked="false">
              <v:fill type="solid"/>
            </v:rect>
            <v:rect style="position:absolute;left:4133;top:3882;width:1020;height:339" filled="false" stroked="true" strokeweight="2pt" strokecolor="#010101">
              <v:stroke dashstyle="solid"/>
            </v:rect>
            <v:rect style="position:absolute;left:5151;top:3880;width:1020;height:341" filled="true" fillcolor="#ffffff" stroked="false">
              <v:fill type="solid"/>
            </v:rect>
            <v:rect style="position:absolute;left:5153;top:3882;width:1020;height:339" filled="false" stroked="true" strokeweight="2pt" strokecolor="#010101">
              <v:stroke dashstyle="solid"/>
            </v:rect>
            <v:rect style="position:absolute;left:6171;top:3880;width:1020;height:341" filled="true" fillcolor="#ffffff" stroked="false">
              <v:fill type="solid"/>
            </v:rect>
            <v:rect style="position:absolute;left:6173;top:3882;width:1020;height:339" filled="false" stroked="true" strokeweight="2pt" strokecolor="#010101">
              <v:stroke dashstyle="solid"/>
            </v:rect>
            <v:rect style="position:absolute;left:7193;top:3880;width:1020;height:341" filled="true" fillcolor="#ffffff" stroked="false">
              <v:fill type="solid"/>
            </v:rect>
            <v:rect style="position:absolute;left:7193;top:3882;width:1020;height:339" filled="false" stroked="true" strokeweight="2pt" strokecolor="#010101">
              <v:stroke dashstyle="solid"/>
            </v:rect>
            <v:rect style="position:absolute;left:2772;top:4221;width:339;height:680" filled="true" fillcolor="#dddddd" stroked="false">
              <v:fill type="solid"/>
            </v:rect>
            <v:rect style="position:absolute;left:2772;top:4221;width:341;height:682" filled="false" stroked="true" strokeweight="2pt" strokecolor="#010101">
              <v:stroke dashstyle="solid"/>
            </v:rect>
            <v:rect style="position:absolute;left:2772;top:6940;width:339;height:682" filled="true" fillcolor="#dddddd" stroked="false">
              <v:fill type="solid"/>
            </v:rect>
            <v:rect style="position:absolute;left:2772;top:6942;width:341;height:680" filled="false" stroked="true" strokeweight="2pt" strokecolor="#010101">
              <v:stroke dashstyle="solid"/>
            </v:rect>
            <v:rect style="position:absolute;left:2772;top:6261;width:339;height:680" filled="true" fillcolor="#dddddd" stroked="false">
              <v:fill type="solid"/>
            </v:rect>
            <v:rect style="position:absolute;left:2772;top:6261;width:341;height:682" filled="false" stroked="true" strokeweight="2pt" strokecolor="#010101">
              <v:stroke dashstyle="solid"/>
            </v:rect>
            <v:rect style="position:absolute;left:2772;top:5581;width:339;height:680" filled="true" fillcolor="#dddddd" stroked="false">
              <v:fill type="solid"/>
            </v:rect>
            <v:rect style="position:absolute;left:2772;top:5581;width:341;height:680" filled="false" stroked="true" strokeweight="2pt" strokecolor="#010101">
              <v:stroke dashstyle="solid"/>
            </v:rect>
            <v:rect style="position:absolute;left:2772;top:4900;width:339;height:682" filled="true" fillcolor="#dddddd" stroked="false">
              <v:fill type="solid"/>
            </v:rect>
            <v:rect style="position:absolute;left:2772;top:4902;width:341;height:680" filled="false" stroked="true" strokeweight="2pt" strokecolor="#010101">
              <v:stroke dashstyle="solid"/>
            </v:rect>
            <v:shape style="position:absolute;left:1920;top:3393;width:1181;height:838" coordorigin="1921,3393" coordsize="1181,838" path="m1921,3393l1921,4231,3102,4231,1921,3393xe" filled="true" fillcolor="#dddddd" stroked="false">
              <v:path arrowok="t"/>
              <v:fill type="solid"/>
            </v:shape>
            <v:shape style="position:absolute;left:1920;top:3393;width:1181;height:838" coordorigin="1921,3393" coordsize="1181,838" path="m1921,3393l1921,4231,3102,4231,1921,3393xe" filled="false" stroked="true" strokeweight="2.0pt" strokecolor="#010101">
              <v:path arrowok="t"/>
              <v:stroke dashstyle="solid"/>
            </v:shape>
            <v:rect style="position:absolute;left:3111;top:4221;width:1020;height:680" filled="true" fillcolor="#ffffff" stroked="false">
              <v:fill type="solid"/>
            </v:rect>
            <v:rect style="position:absolute;left:3113;top:4221;width:1020;height:682" filled="false" stroked="true" strokeweight="2pt" strokecolor="#010101">
              <v:stroke dashstyle="solid"/>
            </v:rect>
            <v:rect style="position:absolute;left:4131;top:4221;width:1020;height:680" filled="true" fillcolor="#ffffff" stroked="false">
              <v:fill type="solid"/>
            </v:rect>
            <v:rect style="position:absolute;left:4133;top:4221;width:1020;height:682" filled="false" stroked="true" strokeweight="2pt" strokecolor="#010101">
              <v:stroke dashstyle="solid"/>
            </v:rect>
            <v:rect style="position:absolute;left:5151;top:4221;width:1020;height:680" filled="true" fillcolor="#ffffff" stroked="false">
              <v:fill type="solid"/>
            </v:rect>
            <v:rect style="position:absolute;left:5153;top:4221;width:1020;height:682" filled="false" stroked="true" strokeweight="2pt" strokecolor="#010101">
              <v:stroke dashstyle="solid"/>
            </v:rect>
            <v:rect style="position:absolute;left:6171;top:4221;width:1020;height:680" filled="true" fillcolor="#ffffff" stroked="false">
              <v:fill type="solid"/>
            </v:rect>
            <v:rect style="position:absolute;left:6173;top:4221;width:1020;height:682" filled="false" stroked="true" strokeweight="2pt" strokecolor="#010101">
              <v:stroke dashstyle="solid"/>
            </v:rect>
            <v:rect style="position:absolute;left:7193;top:4221;width:1020;height:680" filled="true" fillcolor="#ffffff" stroked="false">
              <v:fill type="solid"/>
            </v:rect>
            <v:rect style="position:absolute;left:7193;top:4221;width:1020;height:682" filled="false" stroked="true" strokeweight="2pt" strokecolor="#010101">
              <v:stroke dashstyle="solid"/>
            </v:rect>
            <v:rect style="position:absolute;left:4131;top:4900;width:1020;height:682" filled="true" fillcolor="#ffffff" stroked="false">
              <v:fill type="solid"/>
            </v:rect>
            <v:rect style="position:absolute;left:4133;top:4902;width:1020;height:680" filled="false" stroked="true" strokeweight="2pt" strokecolor="#010101">
              <v:stroke dashstyle="solid"/>
            </v:rect>
            <v:rect style="position:absolute;left:3111;top:4900;width:1020;height:682" filled="true" fillcolor="#dddddd" stroked="false">
              <v:fill type="solid"/>
            </v:rect>
            <v:rect style="position:absolute;left:3113;top:4902;width:1020;height:680" filled="false" stroked="true" strokeweight="2pt" strokecolor="#010101">
              <v:stroke dashstyle="solid"/>
            </v:rect>
            <v:rect style="position:absolute;left:5151;top:4900;width:1020;height:682" filled="true" fillcolor="#ffffff" stroked="false">
              <v:fill type="solid"/>
            </v:rect>
            <v:rect style="position:absolute;left:5153;top:4902;width:1020;height:680" filled="false" stroked="true" strokeweight="2pt" strokecolor="#010101">
              <v:stroke dashstyle="solid"/>
            </v:rect>
            <v:rect style="position:absolute;left:6171;top:4900;width:1020;height:682" filled="true" fillcolor="#ffffff" stroked="false">
              <v:fill type="solid"/>
            </v:rect>
            <v:rect style="position:absolute;left:6173;top:4902;width:1020;height:680" filled="false" stroked="true" strokeweight="2pt" strokecolor="#010101">
              <v:stroke dashstyle="solid"/>
            </v:rect>
            <v:rect style="position:absolute;left:7193;top:4900;width:1020;height:682" filled="true" fillcolor="#ffffff" stroked="false">
              <v:fill type="solid"/>
            </v:rect>
            <v:rect style="position:absolute;left:7193;top:4902;width:1020;height:680" filled="false" stroked="true" strokeweight="2pt" strokecolor="#010101">
              <v:stroke dashstyle="solid"/>
            </v:rect>
            <v:rect style="position:absolute;left:3111;top:5581;width:1020;height:680" filled="true" fillcolor="#dddddd" stroked="false">
              <v:fill type="solid"/>
            </v:rect>
            <v:rect style="position:absolute;left:3113;top:5581;width:1020;height:680" filled="false" stroked="true" strokeweight="2pt" strokecolor="#010101">
              <v:stroke dashstyle="solid"/>
            </v:rect>
            <v:rect style="position:absolute;left:4131;top:5581;width:1020;height:680" filled="true" fillcolor="#dddddd" stroked="false">
              <v:fill type="solid"/>
            </v:rect>
            <v:rect style="position:absolute;left:4133;top:5581;width:1020;height:680" filled="false" stroked="true" strokeweight="2pt" strokecolor="#010101">
              <v:stroke dashstyle="solid"/>
            </v:rect>
            <v:rect style="position:absolute;left:5151;top:5581;width:1020;height:680" filled="true" fillcolor="#ffffff" stroked="false">
              <v:fill type="solid"/>
            </v:rect>
            <v:rect style="position:absolute;left:5153;top:5581;width:1020;height:680" filled="false" stroked="true" strokeweight="2pt" strokecolor="#010101">
              <v:stroke dashstyle="solid"/>
            </v:rect>
            <v:rect style="position:absolute;left:6171;top:5581;width:1020;height:680" filled="true" fillcolor="#ffffff" stroked="false">
              <v:fill type="solid"/>
            </v:rect>
            <v:rect style="position:absolute;left:6173;top:5581;width:1020;height:680" filled="false" stroked="true" strokeweight="2pt" strokecolor="#010101">
              <v:stroke dashstyle="solid"/>
            </v:rect>
            <v:rect style="position:absolute;left:7193;top:5581;width:1020;height:680" filled="true" fillcolor="#ffffff" stroked="false">
              <v:fill type="solid"/>
            </v:rect>
            <v:rect style="position:absolute;left:7193;top:5581;width:1020;height:680" filled="false" stroked="true" strokeweight="2pt" strokecolor="#010101">
              <v:stroke dashstyle="solid"/>
            </v:rect>
            <v:rect style="position:absolute;left:4131;top:6261;width:1020;height:680" filled="true" fillcolor="#dddddd" stroked="false">
              <v:fill type="solid"/>
            </v:rect>
            <v:rect style="position:absolute;left:4133;top:6261;width:1020;height:682" filled="false" stroked="true" strokeweight="2pt" strokecolor="#010101">
              <v:stroke dashstyle="solid"/>
            </v:rect>
            <v:rect style="position:absolute;left:6171;top:6261;width:1020;height:680" filled="true" fillcolor="#ffffff" stroked="false">
              <v:fill type="solid"/>
            </v:rect>
            <v:rect style="position:absolute;left:6173;top:6261;width:1020;height:682" filled="false" stroked="true" strokeweight="2pt" strokecolor="#010101">
              <v:stroke dashstyle="solid"/>
            </v:rect>
            <v:rect style="position:absolute;left:7193;top:6261;width:1020;height:680" filled="true" fillcolor="#ffffff" stroked="false">
              <v:fill type="solid"/>
            </v:rect>
            <v:rect style="position:absolute;left:7193;top:6261;width:1020;height:682" filled="false" stroked="true" strokeweight="2pt" strokecolor="#010101">
              <v:stroke dashstyle="solid"/>
            </v:rect>
            <v:rect style="position:absolute;left:5151;top:6261;width:1020;height:680" filled="true" fillcolor="#dddddd" stroked="false">
              <v:fill type="solid"/>
            </v:rect>
            <v:rect style="position:absolute;left:5153;top:6261;width:1020;height:682" filled="false" stroked="true" strokeweight="2pt" strokecolor="#010101">
              <v:stroke dashstyle="solid"/>
            </v:rect>
            <v:rect style="position:absolute;left:3111;top:6261;width:1020;height:680" filled="true" fillcolor="#dddddd" stroked="false">
              <v:fill type="solid"/>
            </v:rect>
            <v:rect style="position:absolute;left:3113;top:6261;width:1020;height:682" filled="false" stroked="true" strokeweight="2pt" strokecolor="#010101">
              <v:stroke dashstyle="solid"/>
            </v:rect>
            <v:rect style="position:absolute;left:4131;top:6940;width:1020;height:682" filled="true" fillcolor="#dddddd" stroked="false">
              <v:fill type="solid"/>
            </v:rect>
            <v:rect style="position:absolute;left:4133;top:6942;width:1020;height:680" filled="false" stroked="true" strokeweight="2pt" strokecolor="#010101">
              <v:stroke dashstyle="solid"/>
            </v:rect>
            <v:rect style="position:absolute;left:6171;top:6940;width:1020;height:682" filled="true" fillcolor="#dddddd" stroked="false">
              <v:fill type="solid"/>
            </v:rect>
            <v:rect style="position:absolute;left:6173;top:6942;width:1020;height:680" filled="false" stroked="true" strokeweight="2pt" strokecolor="#010101">
              <v:stroke dashstyle="solid"/>
            </v:rect>
            <v:rect style="position:absolute;left:7193;top:6940;width:1020;height:682" filled="true" fillcolor="#ffffff" stroked="false">
              <v:fill type="solid"/>
            </v:rect>
            <v:rect style="position:absolute;left:7193;top:6942;width:1020;height:680" filled="false" stroked="true" strokeweight="2pt" strokecolor="#010101">
              <v:stroke dashstyle="solid"/>
            </v:rect>
            <v:rect style="position:absolute;left:5151;top:6940;width:1020;height:682" filled="true" fillcolor="#dddddd" stroked="false">
              <v:fill type="solid"/>
            </v:rect>
            <v:rect style="position:absolute;left:5153;top:6942;width:1020;height:680" filled="false" stroked="true" strokeweight="2pt" strokecolor="#010101">
              <v:stroke dashstyle="solid"/>
            </v:rect>
            <v:rect style="position:absolute;left:3111;top:6940;width:1020;height:682" filled="true" fillcolor="#dddddd" stroked="false">
              <v:fill type="solid"/>
            </v:rect>
            <v:rect style="position:absolute;left:3113;top:6942;width:1020;height:680" filled="false" stroked="true" strokeweight="2pt" strokecolor="#010101">
              <v:stroke dashstyle="solid"/>
            </v:rect>
            <v:shape style="position:absolute;left:3111;top:4221;width:1020;height:680" coordorigin="3111,4221" coordsize="1020,680" path="m3111,4221l3111,4900,4131,4900,3111,4221xe" filled="true" fillcolor="#dddddd" stroked="false">
              <v:path arrowok="t"/>
              <v:fill type="solid"/>
            </v:shape>
            <v:shape style="position:absolute;left:3111;top:4221;width:1020;height:680" coordorigin="3111,4221" coordsize="1020,680" path="m3111,4221l3111,4900,4131,4900,3111,4221xe" filled="false" stroked="true" strokeweight="2pt" strokecolor="#010101">
              <v:path arrowok="t"/>
              <v:stroke dashstyle="solid"/>
            </v:shape>
            <v:shape style="position:absolute;left:4131;top:4900;width:1020;height:682" coordorigin="4131,4900" coordsize="1020,682" path="m4131,4900l4131,5582,5151,5582,4131,4900xe" filled="true" fillcolor="#dddddd" stroked="false">
              <v:path arrowok="t"/>
              <v:fill type="solid"/>
            </v:shape>
            <v:shape style="position:absolute;left:4131;top:4900;width:1020;height:682" coordorigin="4131,4900" coordsize="1020,682" path="m4131,4900l4131,5582,5151,5582,4131,4900xe" filled="false" stroked="true" strokeweight="2pt" strokecolor="#010101">
              <v:path arrowok="t"/>
              <v:stroke dashstyle="solid"/>
            </v:shape>
            <v:shape style="position:absolute;left:5153;top:5581;width:1020;height:680" coordorigin="5154,5582" coordsize="1020,680" path="m5154,5582l5154,6261,6174,6261,5154,5582xe" filled="true" fillcolor="#dddddd" stroked="false">
              <v:path arrowok="t"/>
              <v:fill type="solid"/>
            </v:shape>
            <v:shape style="position:absolute;left:5153;top:5581;width:1020;height:680" coordorigin="5154,5582" coordsize="1020,680" path="m5154,5582l5154,6261,6174,6261,5154,5582xe" filled="false" stroked="true" strokeweight="2pt" strokecolor="#010101">
              <v:path arrowok="t"/>
              <v:stroke dashstyle="solid"/>
            </v:shape>
            <v:shape style="position:absolute;left:6173;top:6261;width:1020;height:682" coordorigin="6174,6261" coordsize="1020,682" path="m6174,6261l6174,6943,7194,6943,6174,6261xe" filled="true" fillcolor="#dddddd" stroked="false">
              <v:path arrowok="t"/>
              <v:fill type="solid"/>
            </v:shape>
            <v:shape style="position:absolute;left:6173;top:6261;width:1020;height:682" coordorigin="6174,6261" coordsize="1020,682" path="m6174,6261l6174,6943,7194,6943,6174,6261xe" filled="false" stroked="true" strokeweight="2pt" strokecolor="#010101">
              <v:path arrowok="t"/>
              <v:stroke dashstyle="solid"/>
            </v:shape>
            <v:shape style="position:absolute;left:7193;top:6942;width:982;height:680" coordorigin="7194,6943" coordsize="982,680" path="m7194,6943l7194,7622,8175,7622,7194,6943xe" filled="true" fillcolor="#dddddd" stroked="false">
              <v:path arrowok="t"/>
              <v:fill type="solid"/>
            </v:shape>
            <v:shape style="position:absolute;left:7193;top:6942;width:982;height:680" coordorigin="7194,6943" coordsize="982,680" path="m7194,6943l7194,7622,8175,7622,7194,6943xe" filled="false" stroked="true" strokeweight="2pt" strokecolor="#010101">
              <v:path arrowok="t"/>
              <v:stroke dashstyle="solid"/>
            </v:shape>
            <v:shape style="position:absolute;left:8561;top:2421;width:1560;height:1733" coordorigin="8562,2421" coordsize="1560,1733" path="m9212,3861l8823,3861,8641,4154,9212,3861xm10122,2421l8562,2421,8562,3861,10122,3861,10122,2421xe" filled="true" fillcolor="#010101" stroked="false">
              <v:path arrowok="t"/>
              <v:fill type="solid"/>
            </v:shape>
            <v:shape style="position:absolute;left:8561;top:2421;width:1560;height:1733" coordorigin="8562,2421" coordsize="1560,1733" path="m8562,2421l8562,3861,8823,3861,8641,4154,9212,3861,10122,3861,10122,2421,8823,2421,8562,2421xe" filled="false" stroked="true" strokeweight=".75pt" strokecolor="#010101">
              <v:path arrowok="t"/>
              <v:stroke dashstyle="solid"/>
            </v:shape>
            <v:shape style="position:absolute;left:8535;top:2442;width:1560;height:1728" coordorigin="8535,2443" coordsize="1560,1728" path="m9186,3883l8794,3883,8648,4171,9186,3883xm10095,2443l8535,2443,8535,3883,10095,3883,10095,2443xe" filled="true" fillcolor="#dddddd" stroked="false">
              <v:path arrowok="t"/>
              <v:fill type="solid"/>
            </v:shape>
            <v:shape style="position:absolute;left:8535;top:2442;width:1560;height:1728" coordorigin="8535,2443" coordsize="1560,1728" path="m8535,2443l8535,3883,8794,3883,8648,4171,9186,3883,10095,3883,10095,2443,8794,2443,8535,2443xe" filled="false" stroked="true" strokeweight=".75pt" strokecolor="#010101">
              <v:path arrowok="t"/>
              <v:stroke dashstyle="solid"/>
            </v:shape>
            <v:shape style="position:absolute;left:1954;top:2063;width:2400;height:2367" coordorigin="1954,2064" coordsize="2400,2367" path="m3954,3134l3354,3134,4220,4430,3954,3134xm4354,2064l1954,2064,1954,3134,4354,3134,4354,2064xe" filled="true" fillcolor="#010101" stroked="false">
              <v:path arrowok="t"/>
              <v:fill type="solid"/>
            </v:shape>
            <v:shape style="position:absolute;left:1954;top:2063;width:2400;height:2367" coordorigin="1954,2064" coordsize="2400,2367" path="m1954,2064l1954,3134,3354,3134,4220,4430,3954,3134,4354,3134,4354,2064,3354,2064,1954,2064xe" filled="false" stroked="true" strokeweight=".75pt" strokecolor="#010101">
              <v:path arrowok="t"/>
              <v:stroke dashstyle="solid"/>
            </v:shape>
            <v:shape style="position:absolute;left:1935;top:2082;width:2400;height:2336" coordorigin="1935,2083" coordsize="2400,2336" path="m3934,3153l3334,3153,4208,4418,3934,3153xm4335,2083l1935,2083,1935,3153,4335,3153,4335,2083xe" filled="true" fillcolor="#dddddd" stroked="false">
              <v:path arrowok="t"/>
              <v:fill type="solid"/>
            </v:shape>
            <v:shape style="position:absolute;left:1935;top:2082;width:2400;height:2336" coordorigin="1935,2083" coordsize="2400,2336" path="m1935,2083l1935,3153,3334,3153,4208,4418,3934,3153,4335,3153,4335,2083,3334,2083,1935,2083xe" filled="false" stroked="true" strokeweight=".75pt" strokecolor="#010101">
              <v:path arrowok="t"/>
              <v:stroke dashstyle="solid"/>
            </v:shape>
            <v:shape style="position:absolute;left:2086;top:2166;width:2015;height:910" type="#_x0000_t202" filled="false" stroked="false">
              <v:textbox inset="0,0,0,0">
                <w:txbxContent>
                  <w:p>
                    <w:pPr>
                      <w:spacing w:line="240" w:lineRule="auto" w:before="0"/>
                      <w:ind w:left="302" w:right="115" w:hanging="303"/>
                      <w:jc w:val="left"/>
                      <w:rPr>
                        <w:sz w:val="20"/>
                      </w:rPr>
                    </w:pPr>
                    <w:r>
                      <w:rPr>
                        <w:sz w:val="20"/>
                      </w:rPr>
                      <w:t>c = C stock change factor (Mg C/ha/yr)</w:t>
                    </w:r>
                  </w:p>
                  <w:p>
                    <w:pPr>
                      <w:spacing w:before="0"/>
                      <w:ind w:left="302" w:right="0" w:hanging="303"/>
                      <w:jc w:val="left"/>
                      <w:rPr>
                        <w:sz w:val="20"/>
                      </w:rPr>
                    </w:pPr>
                    <w:r>
                      <w:rPr>
                        <w:sz w:val="20"/>
                      </w:rPr>
                      <w:t>d = duration of C change (years)</w:t>
                    </w:r>
                  </w:p>
                </w:txbxContent>
              </v:textbox>
              <w10:wrap type="none"/>
            </v:shape>
            <v:shape style="position:absolute;left:4402;top:3477;width:2540;height:314" type="#_x0000_t202" filled="false" stroked="false">
              <v:textbox inset="0,0,0,0">
                <w:txbxContent>
                  <w:p>
                    <w:pPr>
                      <w:spacing w:line="314" w:lineRule="exact" w:before="0"/>
                      <w:ind w:left="0" w:right="0" w:firstLine="0"/>
                      <w:jc w:val="left"/>
                      <w:rPr>
                        <w:rFonts w:ascii="Arial" w:hAnsi="Arial"/>
                        <w:b/>
                        <w:sz w:val="28"/>
                      </w:rPr>
                    </w:pPr>
                    <w:r>
                      <w:rPr>
                        <w:rFonts w:ascii="Arial" w:hAnsi="Arial"/>
                        <w:b/>
                        <w:sz w:val="28"/>
                      </w:rPr>
                      <w:t>‘New’ Management</w:t>
                    </w:r>
                  </w:p>
                </w:txbxContent>
              </v:textbox>
              <w10:wrap type="none"/>
            </v:shape>
            <v:shape style="position:absolute;left:8727;top:2519;width:1198;height:1143" type="#_x0000_t202" filled="false" stroked="false">
              <v:textbox inset="0,0,0,0">
                <w:txbxContent>
                  <w:p>
                    <w:pPr>
                      <w:spacing w:line="240" w:lineRule="auto" w:before="0"/>
                      <w:ind w:left="0" w:right="18" w:hanging="3"/>
                      <w:jc w:val="center"/>
                      <w:rPr>
                        <w:sz w:val="20"/>
                      </w:rPr>
                    </w:pPr>
                    <w:r>
                      <w:rPr>
                        <w:sz w:val="20"/>
                      </w:rPr>
                      <w:t>Each ‘layer’ represents a different set of biophysical conditions</w:t>
                    </w:r>
                  </w:p>
                </w:txbxContent>
              </v:textbox>
              <w10:wrap type="none"/>
            </v:shape>
            <v:shape style="position:absolute;left:3567;top:3925;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1</w:t>
                    </w:r>
                  </w:p>
                </w:txbxContent>
              </v:textbox>
              <w10:wrap type="none"/>
            </v:shape>
            <v:shape style="position:absolute;left:2885;top:4455;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1</w:t>
                    </w:r>
                  </w:p>
                </w:txbxContent>
              </v:textbox>
              <w10:wrap type="none"/>
            </v:shape>
            <v:shape style="position:absolute;left:4296;top:3925;width:790;height:845" type="#_x0000_t202" filled="false" stroked="false">
              <v:textbox inset="0,0,0,0">
                <w:txbxContent>
                  <w:p>
                    <w:pPr>
                      <w:spacing w:line="223" w:lineRule="exact" w:before="0"/>
                      <w:ind w:left="0" w:right="96" w:firstLine="0"/>
                      <w:jc w:val="center"/>
                      <w:rPr>
                        <w:rFonts w:ascii="Arial"/>
                        <w:b/>
                        <w:sz w:val="20"/>
                      </w:rPr>
                    </w:pPr>
                    <w:r>
                      <w:rPr>
                        <w:rFonts w:ascii="Arial"/>
                        <w:b/>
                        <w:w w:val="99"/>
                        <w:sz w:val="20"/>
                      </w:rPr>
                      <w:t>2</w:t>
                    </w:r>
                  </w:p>
                  <w:p>
                    <w:pPr>
                      <w:spacing w:line="229" w:lineRule="exact" w:before="163"/>
                      <w:ind w:left="-1" w:right="18" w:firstLine="0"/>
                      <w:jc w:val="center"/>
                      <w:rPr>
                        <w:rFonts w:ascii="Arial" w:hAnsi="Arial"/>
                        <w:sz w:val="20"/>
                      </w:rPr>
                    </w:pPr>
                    <w:r>
                      <w:rPr>
                        <w:rFonts w:ascii="Arial" w:hAnsi="Arial"/>
                        <w:sz w:val="20"/>
                      </w:rPr>
                      <w:t>c = –</w:t>
                    </w:r>
                    <w:r>
                      <w:rPr>
                        <w:rFonts w:ascii="Arial" w:hAnsi="Arial"/>
                        <w:spacing w:val="-2"/>
                        <w:sz w:val="20"/>
                      </w:rPr>
                      <w:t> </w:t>
                    </w:r>
                    <w:r>
                      <w:rPr>
                        <w:rFonts w:ascii="Arial" w:hAnsi="Arial"/>
                        <w:spacing w:val="-6"/>
                        <w:sz w:val="20"/>
                      </w:rPr>
                      <w:t>0.5</w:t>
                    </w:r>
                  </w:p>
                  <w:p>
                    <w:pPr>
                      <w:spacing w:line="229" w:lineRule="exact" w:before="0"/>
                      <w:ind w:left="-1" w:right="69" w:firstLine="0"/>
                      <w:jc w:val="center"/>
                      <w:rPr>
                        <w:rFonts w:ascii="Arial"/>
                        <w:sz w:val="20"/>
                      </w:rPr>
                    </w:pPr>
                    <w:r>
                      <w:rPr>
                        <w:rFonts w:ascii="Arial"/>
                        <w:sz w:val="20"/>
                      </w:rPr>
                      <w:t>d = 40</w:t>
                    </w:r>
                    <w:r>
                      <w:rPr>
                        <w:rFonts w:ascii="Arial"/>
                        <w:spacing w:val="-1"/>
                        <w:sz w:val="20"/>
                      </w:rPr>
                      <w:t> </w:t>
                    </w:r>
                    <w:r>
                      <w:rPr>
                        <w:rFonts w:ascii="Arial"/>
                        <w:spacing w:val="-15"/>
                        <w:sz w:val="20"/>
                      </w:rPr>
                      <w:t>y</w:t>
                    </w:r>
                  </w:p>
                </w:txbxContent>
              </v:textbox>
              <w10:wrap type="none"/>
            </v:shape>
            <v:shape style="position:absolute;left:5607;top:3925;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3</w:t>
                    </w:r>
                  </w:p>
                </w:txbxContent>
              </v:textbox>
              <w10:wrap type="none"/>
            </v:shape>
            <v:shape style="position:absolute;left:6627;top:3925;width:131;height:223" type="#_x0000_t202" filled="false" stroked="false">
              <v:textbox inset="0,0,0,0">
                <w:txbxContent>
                  <w:p>
                    <w:pPr>
                      <w:spacing w:line="223" w:lineRule="exact" w:before="0"/>
                      <w:ind w:left="0" w:right="0" w:firstLine="0"/>
                      <w:jc w:val="left"/>
                      <w:rPr>
                        <w:rFonts w:ascii="Arial"/>
                        <w:b/>
                        <w:sz w:val="20"/>
                      </w:rPr>
                    </w:pPr>
                    <w:r>
                      <w:rPr>
                        <w:rFonts w:ascii="Arial"/>
                        <w:b/>
                        <w:w w:val="99"/>
                        <w:sz w:val="20"/>
                      </w:rPr>
                      <w:t>4</w:t>
                    </w:r>
                  </w:p>
                </w:txbxContent>
              </v:textbox>
              <w10:wrap type="none"/>
            </v:shape>
            <v:shape style="position:absolute;left:5316;top:4319;width:302;height:449" type="#_x0000_t202" filled="false" stroked="false">
              <v:textbox inset="0,0,0,0">
                <w:txbxContent>
                  <w:p>
                    <w:pPr>
                      <w:spacing w:line="235" w:lineRule="auto" w:before="0"/>
                      <w:ind w:left="0" w:right="-2" w:firstLine="0"/>
                      <w:jc w:val="left"/>
                      <w:rPr>
                        <w:rFonts w:ascii="Arial"/>
                        <w:sz w:val="20"/>
                      </w:rPr>
                    </w:pPr>
                    <w:r>
                      <w:rPr>
                        <w:rFonts w:ascii="Arial"/>
                        <w:sz w:val="20"/>
                      </w:rPr>
                      <w:t>c = d =</w:t>
                    </w:r>
                  </w:p>
                </w:txbxContent>
              </v:textbox>
              <w10:wrap type="none"/>
            </v:shape>
            <v:shape style="position:absolute;left:6336;top:4319;width:302;height:451" type="#_x0000_t202" filled="false" stroked="false">
              <v:textbox inset="0,0,0,0">
                <w:txbxContent>
                  <w:p>
                    <w:pPr>
                      <w:spacing w:line="237" w:lineRule="auto" w:before="0"/>
                      <w:ind w:left="0" w:right="-2" w:firstLine="0"/>
                      <w:jc w:val="left"/>
                      <w:rPr>
                        <w:rFonts w:ascii="Arial"/>
                        <w:sz w:val="20"/>
                      </w:rPr>
                    </w:pPr>
                    <w:r>
                      <w:rPr>
                        <w:rFonts w:ascii="Arial"/>
                        <w:sz w:val="20"/>
                      </w:rPr>
                      <w:t>c = d =</w:t>
                    </w:r>
                  </w:p>
                </w:txbxContent>
              </v:textbox>
              <w10:wrap type="none"/>
            </v:shape>
            <v:shape style="position:absolute;left:7356;top:3925;width:464;height:845" type="#_x0000_t202" filled="false" stroked="false">
              <v:textbox inset="0,0,0,0">
                <w:txbxContent>
                  <w:p>
                    <w:pPr>
                      <w:spacing w:line="223" w:lineRule="exact" w:before="0"/>
                      <w:ind w:left="244" w:right="0" w:firstLine="0"/>
                      <w:jc w:val="left"/>
                      <w:rPr>
                        <w:rFonts w:ascii="Arial" w:hAnsi="Arial"/>
                        <w:b/>
                        <w:sz w:val="20"/>
                      </w:rPr>
                    </w:pPr>
                    <w:r>
                      <w:rPr>
                        <w:rFonts w:ascii="Arial" w:hAnsi="Arial"/>
                        <w:b/>
                        <w:w w:val="99"/>
                        <w:sz w:val="20"/>
                      </w:rPr>
                      <w:t>…</w:t>
                    </w:r>
                  </w:p>
                  <w:p>
                    <w:pPr>
                      <w:spacing w:before="163"/>
                      <w:ind w:left="0" w:right="160" w:firstLine="0"/>
                      <w:jc w:val="left"/>
                      <w:rPr>
                        <w:rFonts w:ascii="Arial"/>
                        <w:sz w:val="20"/>
                      </w:rPr>
                    </w:pPr>
                    <w:r>
                      <w:rPr>
                        <w:rFonts w:ascii="Arial"/>
                        <w:sz w:val="20"/>
                      </w:rPr>
                      <w:t>c = d =</w:t>
                    </w:r>
                  </w:p>
                </w:txbxContent>
              </v:textbox>
              <w10:wrap type="none"/>
            </v:shape>
            <v:shape style="position:absolute;left:2885;top:4998;width:1130;height:451" type="#_x0000_t202" filled="false" stroked="false">
              <v:textbox inset="0,0,0,0">
                <w:txbxContent>
                  <w:p>
                    <w:pPr>
                      <w:tabs>
                        <w:tab w:pos="391" w:val="left" w:leader="none"/>
                      </w:tabs>
                      <w:spacing w:line="151" w:lineRule="auto" w:before="21"/>
                      <w:ind w:left="0" w:right="0" w:firstLine="0"/>
                      <w:jc w:val="left"/>
                      <w:rPr>
                        <w:rFonts w:ascii="Arial"/>
                        <w:sz w:val="20"/>
                      </w:rPr>
                    </w:pPr>
                    <w:r>
                      <w:rPr>
                        <w:rFonts w:ascii="Arial"/>
                        <w:b/>
                        <w:position w:val="-10"/>
                        <w:sz w:val="20"/>
                      </w:rPr>
                      <w:t>2</w:t>
                      <w:tab/>
                    </w:r>
                    <w:r>
                      <w:rPr>
                        <w:rFonts w:ascii="Arial"/>
                        <w:sz w:val="20"/>
                      </w:rPr>
                      <w:t>c =</w:t>
                    </w:r>
                    <w:r>
                      <w:rPr>
                        <w:rFonts w:ascii="Arial"/>
                        <w:spacing w:val="-2"/>
                        <w:sz w:val="20"/>
                      </w:rPr>
                      <w:t> </w:t>
                    </w:r>
                    <w:r>
                      <w:rPr>
                        <w:rFonts w:ascii="Arial"/>
                        <w:sz w:val="20"/>
                      </w:rPr>
                      <w:t>0.5</w:t>
                    </w:r>
                  </w:p>
                  <w:p>
                    <w:pPr>
                      <w:spacing w:line="174" w:lineRule="exact" w:before="0"/>
                      <w:ind w:left="391" w:right="0" w:firstLine="0"/>
                      <w:jc w:val="left"/>
                      <w:rPr>
                        <w:rFonts w:ascii="Arial"/>
                        <w:sz w:val="20"/>
                      </w:rPr>
                    </w:pPr>
                    <w:r>
                      <w:rPr>
                        <w:rFonts w:ascii="Arial"/>
                        <w:sz w:val="20"/>
                      </w:rPr>
                      <w:t>d = 40 y</w:t>
                    </w:r>
                  </w:p>
                </w:txbxContent>
              </v:textbox>
              <w10:wrap type="none"/>
            </v:shape>
            <v:shape style="position:absolute;left:5316;top:4998;width:302;height:453" type="#_x0000_t202" filled="false" stroked="false">
              <v:textbox inset="0,0,0,0">
                <w:txbxContent>
                  <w:p>
                    <w:pPr>
                      <w:spacing w:line="240" w:lineRule="auto" w:before="0"/>
                      <w:ind w:left="0" w:right="-2" w:firstLine="0"/>
                      <w:jc w:val="left"/>
                      <w:rPr>
                        <w:rFonts w:ascii="Arial"/>
                        <w:sz w:val="20"/>
                      </w:rPr>
                    </w:pPr>
                    <w:r>
                      <w:rPr>
                        <w:rFonts w:ascii="Arial"/>
                        <w:sz w:val="20"/>
                      </w:rPr>
                      <w:t>c = d =</w:t>
                    </w:r>
                  </w:p>
                </w:txbxContent>
              </v:textbox>
              <w10:wrap type="none"/>
            </v:shape>
            <v:shape style="position:absolute;left:6336;top:4998;width:302;height:453" type="#_x0000_t202" filled="false" stroked="false">
              <v:textbox inset="0,0,0,0">
                <w:txbxContent>
                  <w:p>
                    <w:pPr>
                      <w:spacing w:line="240" w:lineRule="auto" w:before="0"/>
                      <w:ind w:left="0" w:right="-2" w:firstLine="0"/>
                      <w:jc w:val="left"/>
                      <w:rPr>
                        <w:rFonts w:ascii="Arial"/>
                        <w:sz w:val="20"/>
                      </w:rPr>
                    </w:pPr>
                    <w:r>
                      <w:rPr>
                        <w:rFonts w:ascii="Arial"/>
                        <w:sz w:val="20"/>
                      </w:rPr>
                      <w:t>c = d =</w:t>
                    </w:r>
                  </w:p>
                </w:txbxContent>
              </v:textbox>
              <w10:wrap type="none"/>
            </v:shape>
            <v:shape style="position:absolute;left:7356;top:4998;width:302;height:453" type="#_x0000_t202" filled="false" stroked="false">
              <v:textbox inset="0,0,0,0">
                <w:txbxContent>
                  <w:p>
                    <w:pPr>
                      <w:spacing w:line="240" w:lineRule="auto" w:before="0"/>
                      <w:ind w:left="0" w:right="-2" w:firstLine="0"/>
                      <w:jc w:val="left"/>
                      <w:rPr>
                        <w:rFonts w:ascii="Arial"/>
                        <w:sz w:val="20"/>
                      </w:rPr>
                    </w:pPr>
                    <w:r>
                      <w:rPr>
                        <w:rFonts w:ascii="Arial"/>
                        <w:sz w:val="20"/>
                      </w:rPr>
                      <w:t>c = d =</w:t>
                    </w:r>
                  </w:p>
                </w:txbxContent>
              </v:textbox>
              <w10:wrap type="none"/>
            </v:shape>
            <v:shape style="position:absolute;left:2885;top:5677;width:693;height:451" type="#_x0000_t202" filled="false" stroked="false">
              <v:textbox inset="0,0,0,0">
                <w:txbxContent>
                  <w:p>
                    <w:pPr>
                      <w:tabs>
                        <w:tab w:pos="391" w:val="left" w:leader="none"/>
                      </w:tabs>
                      <w:spacing w:line="156" w:lineRule="auto" w:before="16"/>
                      <w:ind w:left="391" w:right="18" w:hanging="392"/>
                      <w:jc w:val="left"/>
                      <w:rPr>
                        <w:rFonts w:ascii="Arial"/>
                        <w:sz w:val="20"/>
                      </w:rPr>
                    </w:pPr>
                    <w:r>
                      <w:rPr>
                        <w:rFonts w:ascii="Arial"/>
                        <w:b/>
                        <w:position w:val="-11"/>
                        <w:sz w:val="20"/>
                      </w:rPr>
                      <w:t>3</w:t>
                      <w:tab/>
                    </w:r>
                    <w:r>
                      <w:rPr>
                        <w:rFonts w:ascii="Arial"/>
                        <w:sz w:val="20"/>
                      </w:rPr>
                      <w:t>c = d</w:t>
                    </w:r>
                    <w:r>
                      <w:rPr>
                        <w:rFonts w:ascii="Arial"/>
                        <w:spacing w:val="-3"/>
                        <w:sz w:val="20"/>
                      </w:rPr>
                      <w:t> </w:t>
                    </w:r>
                    <w:r>
                      <w:rPr>
                        <w:rFonts w:ascii="Arial"/>
                        <w:spacing w:val="-17"/>
                        <w:sz w:val="20"/>
                      </w:rPr>
                      <w:t>=</w:t>
                    </w:r>
                  </w:p>
                </w:txbxContent>
              </v:textbox>
              <w10:wrap type="none"/>
            </v:shape>
            <v:shape style="position:absolute;left:4296;top:5677;width:302;height:453" type="#_x0000_t202" filled="false" stroked="false">
              <v:textbox inset="0,0,0,0">
                <w:txbxContent>
                  <w:p>
                    <w:pPr>
                      <w:spacing w:line="240" w:lineRule="auto" w:before="0"/>
                      <w:ind w:left="0" w:right="-2" w:firstLine="0"/>
                      <w:jc w:val="left"/>
                      <w:rPr>
                        <w:rFonts w:ascii="Arial"/>
                        <w:sz w:val="20"/>
                      </w:rPr>
                    </w:pPr>
                    <w:r>
                      <w:rPr>
                        <w:rFonts w:ascii="Arial"/>
                        <w:sz w:val="20"/>
                      </w:rPr>
                      <w:t>c = d =</w:t>
                    </w:r>
                  </w:p>
                </w:txbxContent>
              </v:textbox>
              <w10:wrap type="none"/>
            </v:shape>
            <v:shape style="position:absolute;left:6336;top:5677;width:302;height:453" type="#_x0000_t202" filled="false" stroked="false">
              <v:textbox inset="0,0,0,0">
                <w:txbxContent>
                  <w:p>
                    <w:pPr>
                      <w:spacing w:line="240" w:lineRule="auto" w:before="0"/>
                      <w:ind w:left="0" w:right="-2" w:firstLine="0"/>
                      <w:jc w:val="left"/>
                      <w:rPr>
                        <w:rFonts w:ascii="Arial"/>
                        <w:sz w:val="20"/>
                      </w:rPr>
                    </w:pPr>
                    <w:r>
                      <w:rPr>
                        <w:rFonts w:ascii="Arial"/>
                        <w:sz w:val="20"/>
                      </w:rPr>
                      <w:t>c = d =</w:t>
                    </w:r>
                  </w:p>
                </w:txbxContent>
              </v:textbox>
              <w10:wrap type="none"/>
            </v:shape>
            <v:shape style="position:absolute;left:7356;top:5677;width:302;height:453" type="#_x0000_t202" filled="false" stroked="false">
              <v:textbox inset="0,0,0,0">
                <w:txbxContent>
                  <w:p>
                    <w:pPr>
                      <w:spacing w:line="240" w:lineRule="auto" w:before="0"/>
                      <w:ind w:left="0" w:right="-2" w:firstLine="0"/>
                      <w:jc w:val="left"/>
                      <w:rPr>
                        <w:rFonts w:ascii="Arial"/>
                        <w:sz w:val="20"/>
                      </w:rPr>
                    </w:pPr>
                    <w:r>
                      <w:rPr>
                        <w:rFonts w:ascii="Arial"/>
                        <w:sz w:val="20"/>
                      </w:rPr>
                      <w:t>c = d =</w:t>
                    </w:r>
                  </w:p>
                </w:txbxContent>
              </v:textbox>
              <w10:wrap type="none"/>
            </v:shape>
            <v:shape style="position:absolute;left:2885;top:6359;width:693;height:449" type="#_x0000_t202" filled="false" stroked="false">
              <v:textbox inset="0,0,0,0">
                <w:txbxContent>
                  <w:p>
                    <w:pPr>
                      <w:tabs>
                        <w:tab w:pos="391" w:val="left" w:leader="none"/>
                      </w:tabs>
                      <w:spacing w:line="158" w:lineRule="auto" w:before="19"/>
                      <w:ind w:left="391" w:right="18" w:hanging="392"/>
                      <w:jc w:val="left"/>
                      <w:rPr>
                        <w:rFonts w:ascii="Arial"/>
                        <w:sz w:val="20"/>
                      </w:rPr>
                    </w:pPr>
                    <w:r>
                      <w:rPr>
                        <w:rFonts w:ascii="Arial"/>
                        <w:b/>
                        <w:position w:val="-10"/>
                        <w:sz w:val="20"/>
                      </w:rPr>
                      <w:t>4</w:t>
                      <w:tab/>
                    </w:r>
                    <w:r>
                      <w:rPr>
                        <w:rFonts w:ascii="Arial"/>
                        <w:sz w:val="20"/>
                      </w:rPr>
                      <w:t>c = d</w:t>
                    </w:r>
                    <w:r>
                      <w:rPr>
                        <w:rFonts w:ascii="Arial"/>
                        <w:spacing w:val="-3"/>
                        <w:sz w:val="20"/>
                      </w:rPr>
                      <w:t> </w:t>
                    </w:r>
                    <w:r>
                      <w:rPr>
                        <w:rFonts w:ascii="Arial"/>
                        <w:spacing w:val="-17"/>
                        <w:sz w:val="20"/>
                      </w:rPr>
                      <w:t>=</w:t>
                    </w:r>
                  </w:p>
                </w:txbxContent>
              </v:textbox>
              <w10:wrap type="none"/>
            </v:shape>
            <v:shape style="position:absolute;left:4296;top:6359;width:302;height:451" type="#_x0000_t202" filled="false" stroked="false">
              <v:textbox inset="0,0,0,0">
                <w:txbxContent>
                  <w:p>
                    <w:pPr>
                      <w:spacing w:line="237" w:lineRule="auto" w:before="0"/>
                      <w:ind w:left="0" w:right="-2" w:firstLine="0"/>
                      <w:jc w:val="left"/>
                      <w:rPr>
                        <w:rFonts w:ascii="Arial"/>
                        <w:sz w:val="20"/>
                      </w:rPr>
                    </w:pPr>
                    <w:r>
                      <w:rPr>
                        <w:rFonts w:ascii="Arial"/>
                        <w:sz w:val="20"/>
                      </w:rPr>
                      <w:t>c = d =</w:t>
                    </w:r>
                  </w:p>
                </w:txbxContent>
              </v:textbox>
              <w10:wrap type="none"/>
            </v:shape>
            <v:shape style="position:absolute;left:5316;top:6359;width:302;height:451" type="#_x0000_t202" filled="false" stroked="false">
              <v:textbox inset="0,0,0,0">
                <w:txbxContent>
                  <w:p>
                    <w:pPr>
                      <w:spacing w:line="237" w:lineRule="auto" w:before="0"/>
                      <w:ind w:left="0" w:right="-2" w:firstLine="0"/>
                      <w:jc w:val="left"/>
                      <w:rPr>
                        <w:rFonts w:ascii="Arial"/>
                        <w:sz w:val="20"/>
                      </w:rPr>
                    </w:pPr>
                    <w:r>
                      <w:rPr>
                        <w:rFonts w:ascii="Arial"/>
                        <w:sz w:val="20"/>
                      </w:rPr>
                      <w:t>c = d =</w:t>
                    </w:r>
                  </w:p>
                </w:txbxContent>
              </v:textbox>
              <w10:wrap type="none"/>
            </v:shape>
            <v:shape style="position:absolute;left:7356;top:6359;width:302;height:451" type="#_x0000_t202" filled="false" stroked="false">
              <v:textbox inset="0,0,0,0">
                <w:txbxContent>
                  <w:p>
                    <w:pPr>
                      <w:spacing w:line="237" w:lineRule="auto" w:before="0"/>
                      <w:ind w:left="0" w:right="-2" w:firstLine="0"/>
                      <w:jc w:val="left"/>
                      <w:rPr>
                        <w:rFonts w:ascii="Arial"/>
                        <w:sz w:val="20"/>
                      </w:rPr>
                    </w:pPr>
                    <w:r>
                      <w:rPr>
                        <w:rFonts w:ascii="Arial"/>
                        <w:sz w:val="20"/>
                      </w:rPr>
                      <w:t>c = d =</w:t>
                    </w:r>
                  </w:p>
                </w:txbxContent>
              </v:textbox>
              <w10:wrap type="none"/>
            </v:shape>
            <v:shape style="position:absolute;left:2914;top:7038;width:664;height:451" type="#_x0000_t202" filled="false" stroked="false">
              <v:textbox inset="0,0,0,0">
                <w:txbxContent>
                  <w:p>
                    <w:pPr>
                      <w:tabs>
                        <w:tab w:pos="362" w:val="left" w:leader="none"/>
                      </w:tabs>
                      <w:spacing w:line="144" w:lineRule="auto" w:before="7"/>
                      <w:ind w:left="362" w:right="18" w:hanging="363"/>
                      <w:jc w:val="left"/>
                      <w:rPr>
                        <w:rFonts w:ascii="Arial"/>
                        <w:sz w:val="20"/>
                      </w:rPr>
                    </w:pPr>
                    <w:r>
                      <w:rPr>
                        <w:rFonts w:ascii="Arial"/>
                        <w:b/>
                        <w:position w:val="-14"/>
                        <w:sz w:val="20"/>
                      </w:rPr>
                      <w:t>.</w:t>
                      <w:tab/>
                    </w:r>
                    <w:r>
                      <w:rPr>
                        <w:rFonts w:ascii="Arial"/>
                        <w:sz w:val="20"/>
                      </w:rPr>
                      <w:t>c = d</w:t>
                    </w:r>
                    <w:r>
                      <w:rPr>
                        <w:rFonts w:ascii="Arial"/>
                        <w:spacing w:val="-3"/>
                        <w:sz w:val="20"/>
                      </w:rPr>
                      <w:t> </w:t>
                    </w:r>
                    <w:r>
                      <w:rPr>
                        <w:rFonts w:ascii="Arial"/>
                        <w:spacing w:val="-17"/>
                        <w:sz w:val="20"/>
                      </w:rPr>
                      <w:t>=</w:t>
                    </w:r>
                  </w:p>
                </w:txbxContent>
              </v:textbox>
              <w10:wrap type="none"/>
            </v:shape>
            <v:shape style="position:absolute;left:4296;top:7038;width:302;height:453" type="#_x0000_t202" filled="false" stroked="false">
              <v:textbox inset="0,0,0,0">
                <w:txbxContent>
                  <w:p>
                    <w:pPr>
                      <w:spacing w:line="240" w:lineRule="auto" w:before="0"/>
                      <w:ind w:left="0" w:right="-2" w:firstLine="0"/>
                      <w:jc w:val="left"/>
                      <w:rPr>
                        <w:rFonts w:ascii="Arial"/>
                        <w:sz w:val="20"/>
                      </w:rPr>
                    </w:pPr>
                    <w:r>
                      <w:rPr>
                        <w:rFonts w:ascii="Arial"/>
                        <w:sz w:val="20"/>
                      </w:rPr>
                      <w:t>c = d =</w:t>
                    </w:r>
                  </w:p>
                </w:txbxContent>
              </v:textbox>
              <w10:wrap type="none"/>
            </v:shape>
            <v:shape style="position:absolute;left:5316;top:7038;width:302;height:453" type="#_x0000_t202" filled="false" stroked="false">
              <v:textbox inset="0,0,0,0">
                <w:txbxContent>
                  <w:p>
                    <w:pPr>
                      <w:spacing w:line="240" w:lineRule="auto" w:before="0"/>
                      <w:ind w:left="0" w:right="-2" w:firstLine="0"/>
                      <w:jc w:val="left"/>
                      <w:rPr>
                        <w:rFonts w:ascii="Arial"/>
                        <w:sz w:val="20"/>
                      </w:rPr>
                    </w:pPr>
                    <w:r>
                      <w:rPr>
                        <w:rFonts w:ascii="Arial"/>
                        <w:sz w:val="20"/>
                      </w:rPr>
                      <w:t>c = d =</w:t>
                    </w:r>
                  </w:p>
                </w:txbxContent>
              </v:textbox>
              <w10:wrap type="none"/>
            </v:shape>
            <v:shape style="position:absolute;left:6336;top:7038;width:302;height:453" type="#_x0000_t202" filled="false" stroked="false">
              <v:textbox inset="0,0,0,0">
                <w:txbxContent>
                  <w:p>
                    <w:pPr>
                      <w:spacing w:line="240" w:lineRule="auto" w:before="0"/>
                      <w:ind w:left="0" w:right="-2" w:firstLine="0"/>
                      <w:jc w:val="left"/>
                      <w:rPr>
                        <w:rFonts w:ascii="Arial"/>
                        <w:sz w:val="20"/>
                      </w:rPr>
                    </w:pPr>
                    <w:r>
                      <w:rPr>
                        <w:rFonts w:ascii="Arial"/>
                        <w:sz w:val="20"/>
                      </w:rPr>
                      <w:t>c = d =</w:t>
                    </w:r>
                  </w:p>
                </w:txbxContent>
              </v:textbox>
              <w10:wrap type="none"/>
            </v:shape>
            <w10:wrap type="none"/>
          </v:group>
        </w:pict>
      </w:r>
      <w:r>
        <w:rPr/>
        <w:pict>
          <v:shape style="position:absolute;margin-left:108.010559pt;margin-top:234.485901pt;width:17.7pt;height:122.8pt;mso-position-horizontal-relative:page;mso-position-vertical-relative:paragraph;z-index:26920" type="#_x0000_t202" filled="false" stroked="false">
            <v:textbox inset="0,0,0,0" style="layout-flow:vertical;mso-layout-flow-alt:bottom-to-top">
              <w:txbxContent>
                <w:p>
                  <w:pPr>
                    <w:spacing w:before="11"/>
                    <w:ind w:left="20" w:right="0" w:firstLine="0"/>
                    <w:jc w:val="left"/>
                    <w:rPr>
                      <w:rFonts w:ascii="Arial" w:hAnsi="Arial"/>
                      <w:b/>
                      <w:sz w:val="28"/>
                    </w:rPr>
                  </w:pPr>
                  <w:r>
                    <w:rPr>
                      <w:rFonts w:ascii="Arial" w:hAnsi="Arial"/>
                      <w:b/>
                      <w:sz w:val="28"/>
                    </w:rPr>
                    <w:t>‘Old’ Management</w:t>
                  </w:r>
                </w:p>
              </w:txbxContent>
            </v:textbox>
            <w10:wrap type="none"/>
          </v:shape>
        </w:pict>
      </w:r>
      <w:r>
        <w:rPr>
          <w:b/>
          <w:spacing w:val="8"/>
          <w:sz w:val="20"/>
        </w:rPr>
        <w:t>Figure 4.2.12    Conceptual illustration </w:t>
      </w:r>
      <w:r>
        <w:rPr>
          <w:b/>
          <w:spacing w:val="6"/>
          <w:sz w:val="20"/>
        </w:rPr>
        <w:t>of  the  </w:t>
      </w:r>
      <w:r>
        <w:rPr>
          <w:b/>
          <w:spacing w:val="7"/>
          <w:sz w:val="20"/>
        </w:rPr>
        <w:t>matrix  </w:t>
      </w:r>
      <w:r>
        <w:rPr>
          <w:b/>
          <w:spacing w:val="5"/>
          <w:sz w:val="20"/>
        </w:rPr>
        <w:t>of  </w:t>
      </w:r>
      <w:r>
        <w:rPr>
          <w:b/>
          <w:spacing w:val="8"/>
          <w:sz w:val="20"/>
        </w:rPr>
        <w:t>carbon stock change  factors </w:t>
      </w:r>
      <w:r>
        <w:rPr>
          <w:b/>
          <w:spacing w:val="9"/>
          <w:sz w:val="20"/>
        </w:rPr>
        <w:t>derived </w:t>
      </w:r>
      <w:r>
        <w:rPr>
          <w:b/>
          <w:spacing w:val="6"/>
          <w:sz w:val="20"/>
        </w:rPr>
        <w:t>for </w:t>
      </w:r>
      <w:r>
        <w:rPr>
          <w:b/>
          <w:spacing w:val="8"/>
          <w:sz w:val="20"/>
        </w:rPr>
        <w:t>different land-use, </w:t>
      </w:r>
      <w:r>
        <w:rPr>
          <w:b/>
          <w:spacing w:val="9"/>
          <w:sz w:val="20"/>
        </w:rPr>
        <w:t>land-management transitions </w:t>
      </w:r>
      <w:r>
        <w:rPr>
          <w:b/>
          <w:spacing w:val="6"/>
          <w:sz w:val="20"/>
        </w:rPr>
        <w:t>for </w:t>
      </w:r>
      <w:r>
        <w:rPr>
          <w:b/>
          <w:spacing w:val="7"/>
          <w:sz w:val="20"/>
        </w:rPr>
        <w:t>each </w:t>
      </w:r>
      <w:r>
        <w:rPr>
          <w:b/>
          <w:spacing w:val="6"/>
          <w:sz w:val="20"/>
        </w:rPr>
        <w:t>set</w:t>
      </w:r>
      <w:r>
        <w:rPr>
          <w:b/>
          <w:spacing w:val="62"/>
          <w:sz w:val="20"/>
        </w:rPr>
        <w:t> </w:t>
      </w:r>
      <w:r>
        <w:rPr>
          <w:b/>
          <w:spacing w:val="10"/>
          <w:sz w:val="20"/>
        </w:rPr>
        <w:t>of </w:t>
      </w:r>
      <w:r>
        <w:rPr>
          <w:b/>
          <w:spacing w:val="8"/>
          <w:sz w:val="20"/>
        </w:rPr>
        <w:t>biophysical </w:t>
      </w:r>
      <w:r>
        <w:rPr>
          <w:b/>
          <w:spacing w:val="9"/>
          <w:sz w:val="20"/>
        </w:rPr>
        <w:t>combinations. </w:t>
      </w:r>
      <w:r>
        <w:rPr>
          <w:b/>
          <w:spacing w:val="6"/>
          <w:sz w:val="20"/>
        </w:rPr>
        <w:t>The Tier </w:t>
      </w:r>
      <w:r>
        <w:rPr>
          <w:b/>
          <w:sz w:val="20"/>
        </w:rPr>
        <w:t>2 </w:t>
      </w:r>
      <w:r>
        <w:rPr>
          <w:b/>
          <w:spacing w:val="7"/>
          <w:sz w:val="20"/>
        </w:rPr>
        <w:t>method </w:t>
      </w:r>
      <w:r>
        <w:rPr>
          <w:b/>
          <w:spacing w:val="4"/>
          <w:sz w:val="20"/>
        </w:rPr>
        <w:t>is </w:t>
      </w:r>
      <w:r>
        <w:rPr>
          <w:b/>
          <w:spacing w:val="9"/>
          <w:sz w:val="20"/>
        </w:rPr>
        <w:t>extended </w:t>
      </w:r>
      <w:r>
        <w:rPr>
          <w:b/>
          <w:spacing w:val="4"/>
          <w:sz w:val="20"/>
        </w:rPr>
        <w:t>by </w:t>
      </w:r>
      <w:r>
        <w:rPr>
          <w:b/>
          <w:spacing w:val="7"/>
          <w:sz w:val="20"/>
        </w:rPr>
        <w:t>using </w:t>
      </w:r>
      <w:r>
        <w:rPr>
          <w:b/>
          <w:spacing w:val="8"/>
          <w:sz w:val="20"/>
        </w:rPr>
        <w:t>regionally specific estimates </w:t>
      </w:r>
      <w:r>
        <w:rPr>
          <w:b/>
          <w:spacing w:val="5"/>
          <w:sz w:val="20"/>
        </w:rPr>
        <w:t>of </w:t>
      </w:r>
      <w:r>
        <w:rPr>
          <w:b/>
          <w:spacing w:val="8"/>
          <w:sz w:val="20"/>
        </w:rPr>
        <w:t>carbon factors </w:t>
      </w:r>
      <w:r>
        <w:rPr>
          <w:b/>
          <w:spacing w:val="5"/>
          <w:sz w:val="20"/>
        </w:rPr>
        <w:t>or </w:t>
      </w:r>
      <w:r>
        <w:rPr>
          <w:b/>
          <w:spacing w:val="8"/>
          <w:sz w:val="20"/>
        </w:rPr>
        <w:t>estimates </w:t>
      </w:r>
      <w:r>
        <w:rPr>
          <w:b/>
          <w:spacing w:val="5"/>
          <w:sz w:val="20"/>
        </w:rPr>
        <w:t>of </w:t>
      </w:r>
      <w:r>
        <w:rPr>
          <w:b/>
          <w:spacing w:val="6"/>
          <w:sz w:val="20"/>
        </w:rPr>
        <w:t>the </w:t>
      </w:r>
      <w:r>
        <w:rPr>
          <w:b/>
          <w:spacing w:val="8"/>
          <w:sz w:val="20"/>
        </w:rPr>
        <w:t>duration </w:t>
      </w:r>
      <w:r>
        <w:rPr>
          <w:b/>
          <w:spacing w:val="5"/>
          <w:sz w:val="20"/>
        </w:rPr>
        <w:t>of </w:t>
      </w:r>
      <w:r>
        <w:rPr>
          <w:b/>
          <w:spacing w:val="7"/>
          <w:sz w:val="20"/>
        </w:rPr>
        <w:t>impact </w:t>
      </w:r>
      <w:r>
        <w:rPr>
          <w:b/>
          <w:spacing w:val="6"/>
          <w:sz w:val="20"/>
        </w:rPr>
        <w:t>of </w:t>
      </w:r>
      <w:r>
        <w:rPr>
          <w:b/>
          <w:spacing w:val="9"/>
          <w:sz w:val="20"/>
        </w:rPr>
        <w:t>land-use/management </w:t>
      </w:r>
      <w:r>
        <w:rPr>
          <w:b/>
          <w:spacing w:val="8"/>
          <w:sz w:val="20"/>
        </w:rPr>
        <w:t>change. Depending </w:t>
      </w:r>
      <w:r>
        <w:rPr>
          <w:b/>
          <w:spacing w:val="5"/>
          <w:sz w:val="20"/>
        </w:rPr>
        <w:t>on </w:t>
      </w:r>
      <w:r>
        <w:rPr>
          <w:b/>
          <w:spacing w:val="6"/>
          <w:sz w:val="20"/>
        </w:rPr>
        <w:t>how </w:t>
      </w:r>
      <w:r>
        <w:rPr>
          <w:b/>
          <w:spacing w:val="7"/>
          <w:sz w:val="20"/>
        </w:rPr>
        <w:t>they </w:t>
      </w:r>
      <w:r>
        <w:rPr>
          <w:b/>
          <w:spacing w:val="6"/>
          <w:sz w:val="20"/>
        </w:rPr>
        <w:t>are </w:t>
      </w:r>
      <w:r>
        <w:rPr>
          <w:b/>
          <w:spacing w:val="8"/>
          <w:sz w:val="20"/>
        </w:rPr>
        <w:t>calculated, carbon stock change factor </w:t>
      </w:r>
      <w:r>
        <w:rPr>
          <w:b/>
          <w:spacing w:val="6"/>
          <w:sz w:val="20"/>
        </w:rPr>
        <w:t>(c) and </w:t>
      </w:r>
      <w:r>
        <w:rPr>
          <w:b/>
          <w:spacing w:val="8"/>
          <w:sz w:val="20"/>
        </w:rPr>
        <w:t>duration </w:t>
      </w:r>
      <w:r>
        <w:rPr>
          <w:b/>
          <w:spacing w:val="7"/>
          <w:sz w:val="20"/>
        </w:rPr>
        <w:t>(d) </w:t>
      </w:r>
      <w:r>
        <w:rPr>
          <w:b/>
          <w:spacing w:val="8"/>
          <w:sz w:val="20"/>
        </w:rPr>
        <w:t>values </w:t>
      </w:r>
      <w:r>
        <w:rPr>
          <w:b/>
          <w:spacing w:val="6"/>
          <w:sz w:val="20"/>
        </w:rPr>
        <w:t>for </w:t>
      </w:r>
      <w:r>
        <w:rPr>
          <w:b/>
          <w:spacing w:val="8"/>
          <w:sz w:val="20"/>
        </w:rPr>
        <w:t>management shifts </w:t>
      </w:r>
      <w:r>
        <w:rPr>
          <w:b/>
          <w:spacing w:val="4"/>
          <w:sz w:val="20"/>
        </w:rPr>
        <w:t>in </w:t>
      </w:r>
      <w:r>
        <w:rPr>
          <w:b/>
          <w:spacing w:val="8"/>
          <w:sz w:val="20"/>
        </w:rPr>
        <w:t>opposite </w:t>
      </w:r>
      <w:r>
        <w:rPr>
          <w:b/>
          <w:spacing w:val="9"/>
          <w:sz w:val="20"/>
        </w:rPr>
        <w:t>direction </w:t>
      </w:r>
      <w:r>
        <w:rPr>
          <w:b/>
          <w:spacing w:val="8"/>
          <w:sz w:val="20"/>
        </w:rPr>
        <w:t>will often </w:t>
      </w:r>
      <w:r>
        <w:rPr>
          <w:b/>
          <w:spacing w:val="5"/>
          <w:sz w:val="20"/>
        </w:rPr>
        <w:t>be </w:t>
      </w:r>
      <w:r>
        <w:rPr>
          <w:b/>
          <w:spacing w:val="6"/>
          <w:sz w:val="20"/>
        </w:rPr>
        <w:t>the </w:t>
      </w:r>
      <w:r>
        <w:rPr>
          <w:b/>
          <w:spacing w:val="7"/>
          <w:sz w:val="20"/>
        </w:rPr>
        <w:t>same, </w:t>
      </w:r>
      <w:r>
        <w:rPr>
          <w:b/>
          <w:spacing w:val="6"/>
          <w:sz w:val="20"/>
        </w:rPr>
        <w:t>but </w:t>
      </w:r>
      <w:r>
        <w:rPr>
          <w:b/>
          <w:spacing w:val="7"/>
          <w:sz w:val="20"/>
        </w:rPr>
        <w:t>the ‘c’ </w:t>
      </w:r>
      <w:r>
        <w:rPr>
          <w:b/>
          <w:spacing w:val="8"/>
          <w:sz w:val="20"/>
        </w:rPr>
        <w:t>value will </w:t>
      </w:r>
      <w:r>
        <w:rPr>
          <w:b/>
          <w:spacing w:val="6"/>
          <w:sz w:val="20"/>
        </w:rPr>
        <w:t>have </w:t>
      </w:r>
      <w:r>
        <w:rPr>
          <w:b/>
          <w:spacing w:val="9"/>
          <w:sz w:val="20"/>
        </w:rPr>
        <w:t>opposite </w:t>
      </w:r>
      <w:r>
        <w:rPr>
          <w:b/>
          <w:spacing w:val="7"/>
          <w:sz w:val="20"/>
        </w:rPr>
        <w:t>sign.</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4"/>
        <w:rPr>
          <w:b/>
          <w:sz w:val="31"/>
        </w:rPr>
      </w:pPr>
    </w:p>
    <w:p>
      <w:pPr>
        <w:spacing w:line="228" w:lineRule="exact" w:before="0"/>
        <w:ind w:left="179" w:right="0" w:firstLine="0"/>
        <w:jc w:val="left"/>
        <w:rPr>
          <w:rFonts w:ascii="TimesNewRomanPS-BoldItalicMT"/>
          <w:b/>
          <w:i/>
          <w:sz w:val="20"/>
        </w:rPr>
      </w:pPr>
      <w:r>
        <w:rPr>
          <w:rFonts w:ascii="TimesNewRomanPS-BoldItalicMT"/>
          <w:b/>
          <w:i/>
          <w:sz w:val="20"/>
        </w:rPr>
        <w:t>Tier 3</w:t>
      </w:r>
    </w:p>
    <w:p>
      <w:pPr>
        <w:pStyle w:val="BodyText"/>
        <w:ind w:left="179" w:right="1402"/>
        <w:jc w:val="both"/>
      </w:pPr>
      <w:r>
        <w:rPr/>
        <w:t>Tier 3 methods that can be used for the national UNFCCC inventory (as described in Chapter 3, Section 3.3.1.2.1.1 Choice of method) are also likely to be used for reporting under the Kyoto Protocol. Compared with the static matrix used at Tiers 1 and 2, Tier 3 can often better represent the management history of a land, allowing better calculation of soil carbon changes resulting from multiple changes in management practices over time. Furthermore soils can take much longer than 20 years to reach equilibrium, and Tier 3 (like Tier 2) methods can take this into account. Large scale computing power makes possible a spatially disaggregated system linked to management practice data which could keep track of carbon stock changes over time if linked  to rate equations with carbon contents, initialised at some point and cross-checked periodically. Tier 3 can also be based on repeated statistical sampling consistent with the principles set out in Section 5.3 of sufficient density to capture the soil types, climatic regions and management practices that occur. Tier 3 methods, therefore, encompass a range of methodologies, more elaborate than Tier 2, usually based on sophisticated modeling techniques, often linked to geographical databases.</w:t>
      </w:r>
    </w:p>
    <w:p>
      <w:pPr>
        <w:pStyle w:val="BodyText"/>
        <w:rPr>
          <w:sz w:val="21"/>
        </w:rPr>
      </w:pPr>
    </w:p>
    <w:p>
      <w:pPr>
        <w:pStyle w:val="Heading6"/>
        <w:ind w:left="179"/>
      </w:pPr>
      <w:r>
        <w:rPr>
          <w:spacing w:val="15"/>
        </w:rPr>
        <w:t>Choice </w:t>
      </w:r>
      <w:r>
        <w:rPr>
          <w:spacing w:val="9"/>
        </w:rPr>
        <w:t>of </w:t>
      </w:r>
      <w:r>
        <w:rPr>
          <w:spacing w:val="15"/>
        </w:rPr>
        <w:t>carbon stock </w:t>
      </w:r>
      <w:r>
        <w:rPr>
          <w:spacing w:val="16"/>
        </w:rPr>
        <w:t>change factors </w:t>
      </w:r>
      <w:r>
        <w:rPr>
          <w:spacing w:val="13"/>
        </w:rPr>
        <w:t>for </w:t>
      </w:r>
      <w:r>
        <w:rPr>
          <w:spacing w:val="16"/>
        </w:rPr>
        <w:t>mineral</w:t>
      </w:r>
      <w:r>
        <w:rPr>
          <w:spacing w:val="84"/>
        </w:rPr>
        <w:t> </w:t>
      </w:r>
      <w:r>
        <w:rPr>
          <w:spacing w:val="19"/>
        </w:rPr>
        <w:t>soils</w:t>
      </w:r>
    </w:p>
    <w:p>
      <w:pPr>
        <w:pStyle w:val="BodyText"/>
        <w:spacing w:before="54"/>
        <w:ind w:left="179"/>
      </w:pPr>
      <w:r>
        <w:rPr/>
        <w:t>The carbon emission/removal factors used at each tier are described briefly in the following sections.</w:t>
      </w:r>
    </w:p>
    <w:p>
      <w:pPr>
        <w:pStyle w:val="BodyText"/>
        <w:spacing w:before="120"/>
        <w:ind w:left="179" w:right="1404"/>
        <w:jc w:val="both"/>
      </w:pPr>
      <w:r>
        <w:rPr>
          <w:b/>
        </w:rPr>
        <w:t>Tier 1: </w:t>
      </w:r>
      <w:r>
        <w:rPr/>
        <w:t>At Tier 1, average yearly carbon stock changes in mineral soils are calculated from default values by dividing the 20-year stock change by 20, as set out in Chapter 3, Equation 3.3.3. Full details of these factors and the resulting stock change estimates can be found in the </w:t>
      </w:r>
      <w:r>
        <w:rPr>
          <w:i/>
        </w:rPr>
        <w:t>IPCC Guidelines</w:t>
      </w:r>
      <w:r>
        <w:rPr/>
        <w:t>, pages 5.35–5.48, and are provided in the database described in Annex 4A.1. (Default values in Annex 4A.1 are slightly modified from those in the</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4"/>
        <w:jc w:val="both"/>
      </w:pPr>
      <w:r>
        <w:rPr>
          <w:i/>
        </w:rPr>
        <w:t>IPCC Guidelines</w:t>
      </w:r>
      <w:r>
        <w:rPr/>
        <w:t>). For a summary of the steps and a sample calculation, see Section 3.3.1.2.1.1, Choice of method (mineral soils).</w:t>
      </w:r>
    </w:p>
    <w:p>
      <w:pPr>
        <w:pStyle w:val="BodyText"/>
        <w:spacing w:before="121"/>
        <w:ind w:left="179" w:right="1405"/>
        <w:jc w:val="both"/>
      </w:pPr>
      <w:r>
        <w:rPr>
          <w:b/>
        </w:rPr>
        <w:t>Tier 2: </w:t>
      </w:r>
      <w:r>
        <w:rPr/>
        <w:t>At Tier 2, some or all of the default values for carbon stock change (Tier 1) are replaced  by values shown to be more reliable. These new values may be based on literature values, measured changes in carbon stocks, on simple carbon models, or a combination of these. (See ‘Choice of management data for mineral soils’ below for some examples). It is good practice to show that the new values, compared to those they replace, are more accurate for the conditions and practices to which they are applied.</w:t>
      </w:r>
    </w:p>
    <w:p>
      <w:pPr>
        <w:pStyle w:val="BodyText"/>
        <w:spacing w:before="120"/>
        <w:ind w:left="179" w:right="1357"/>
        <w:jc w:val="both"/>
      </w:pPr>
      <w:r>
        <w:rPr>
          <w:b/>
        </w:rPr>
        <w:t>Tier 3: </w:t>
      </w:r>
      <w:r>
        <w:rPr/>
        <w:t>For mineral soils, Tier 3 carbon stock change factors are country-derived, and may be calculated using complex models. The carbon models used for Tier 3 are generally more complex than those in Tier 2, taking into account soil (e.g., clay content, chemical composition, parent material), climate (e.g., precipitation, temperature, evapotranspiration), and management factors (e.g., tillage, carbon inputs, fertility amendments, cropping system). </w:t>
      </w:r>
      <w:r>
        <w:rPr>
          <w:i/>
        </w:rPr>
        <w:t>Good practice </w:t>
      </w:r>
      <w:r>
        <w:rPr/>
        <w:t>requires that the models be calibrated using measurements at benchmark sites, and that models  and assumptions used are described</w:t>
      </w:r>
      <w:r>
        <w:rPr>
          <w:spacing w:val="4"/>
        </w:rPr>
        <w:t> </w:t>
      </w:r>
      <w:r>
        <w:rPr/>
        <w:t>transparently.</w:t>
      </w:r>
    </w:p>
    <w:p>
      <w:pPr>
        <w:pStyle w:val="BodyText"/>
        <w:spacing w:before="117"/>
        <w:ind w:left="179" w:right="1402"/>
        <w:jc w:val="both"/>
      </w:pPr>
      <w:r>
        <w:rPr/>
        <w:t>In all cases, rigorous criteria must be applied so that any change in carbon stocks is neither under- or overestimated; models used to estimate carbon stock changes should be well-documented and should be evaluated using reliable experimental data for conditions and practices to which the models are applied. It is </w:t>
      </w:r>
      <w:r>
        <w:rPr>
          <w:i/>
        </w:rPr>
        <w:t>good practice </w:t>
      </w:r>
      <w:r>
        <w:rPr/>
        <w:t>to provide estimates of confidence limits or uncertainty. Default carbon stock change factors may also be replaced by values generated as part of national/regional carbon accounting systems (see Section 4.2.7.2 Choice of methods for identification of lands subject to Forest</w:t>
      </w:r>
      <w:r>
        <w:rPr>
          <w:spacing w:val="-7"/>
        </w:rPr>
        <w:t> </w:t>
      </w:r>
      <w:r>
        <w:rPr/>
        <w:t>Management).</w:t>
      </w:r>
    </w:p>
    <w:p>
      <w:pPr>
        <w:pStyle w:val="BodyText"/>
        <w:spacing w:before="4"/>
        <w:rPr>
          <w:sz w:val="21"/>
        </w:rPr>
      </w:pPr>
    </w:p>
    <w:p>
      <w:pPr>
        <w:pStyle w:val="Heading6"/>
        <w:ind w:left="179"/>
        <w:jc w:val="both"/>
      </w:pPr>
      <w:r>
        <w:rPr/>
        <w:t>Choice of management data for mineral soils </w:t>
      </w:r>
    </w:p>
    <w:p>
      <w:pPr>
        <w:pStyle w:val="BodyText"/>
        <w:spacing w:before="54"/>
        <w:ind w:left="179" w:right="1402"/>
        <w:jc w:val="both"/>
      </w:pPr>
      <w:r>
        <w:rPr/>
        <w:t>Area data on land uses and practices need to be available in accordance with Approach 2 or Approach 3 (Section 2.3.2), and guidance given in Section 4.2.2.3. The data on management required for each of three tiers are outlined briefly here.</w:t>
      </w:r>
    </w:p>
    <w:p>
      <w:pPr>
        <w:pStyle w:val="BodyText"/>
        <w:spacing w:before="119"/>
        <w:ind w:left="179" w:right="1403"/>
        <w:jc w:val="both"/>
      </w:pPr>
      <w:r>
        <w:rPr>
          <w:b/>
        </w:rPr>
        <w:t>Tier 1: </w:t>
      </w:r>
      <w:r>
        <w:rPr/>
        <w:t>Using the IPCC Guidelines (see also Chapter 3, Section 3.3.1.2.1.1), impacts of land-use or land management change are assumed, by default, to have an impact for 20 years. If area and activity data are available for 20 years prior to the base year, a net carbon removal/emission for the base-year can be established using the default carbon stock change factors described above. The land-use changes and management practices at Tier 1 are the same as those given in the IPCC Guidelines: clearing of native vegetation with conversion to cultivated crops or pasture, land abandonment, shifting cultivation, differing residue addition levels, differing tillage systems and agricultural use of organic soils. Within these specific land-use or land-management changes, activities are defined semi-quantitatively, e.g., “high input” vs. “low input” systems. Land-use or management systems are not subdivided into finer levels of detail than this. Areas may be obtained from international data sets (e.g., FAO), though some of these sources lack the spatial explicitness needed for reporting and may only be helpful for cross-checking data. If area and activity data are available for 1970 through 1990, a 1990 baseline net carbon stock change can be established using the default carbon stock change factors described above. If area and activity data are not available for 1970 through 1990, see Section 4.2.7.2 for alternative options for estimating the land</w:t>
      </w:r>
      <w:r>
        <w:rPr>
          <w:spacing w:val="-1"/>
        </w:rPr>
        <w:t> </w:t>
      </w:r>
      <w:r>
        <w:rPr/>
        <w:t>areas.</w:t>
      </w:r>
    </w:p>
    <w:p>
      <w:pPr>
        <w:pStyle w:val="BodyText"/>
        <w:spacing w:before="119"/>
        <w:ind w:left="179" w:right="1404"/>
        <w:jc w:val="both"/>
      </w:pPr>
      <w:r>
        <w:rPr>
          <w:b/>
        </w:rPr>
        <w:t>Tier 2: </w:t>
      </w:r>
      <w:r>
        <w:rPr/>
        <w:t>The management practices at Tier 2 are the same as those given in the </w:t>
      </w:r>
      <w:r>
        <w:rPr>
          <w:i/>
        </w:rPr>
        <w:t>IPCC Guidelines </w:t>
      </w:r>
      <w:r>
        <w:rPr/>
        <w:t>and at Tier 1. But for Tier 2, to make them country-specific, some management practices may be subdivided, or new ones may be added. Within the agricultural management systems described in the </w:t>
      </w:r>
      <w:r>
        <w:rPr>
          <w:i/>
        </w:rPr>
        <w:t>IPCC Guidelines</w:t>
      </w:r>
      <w:r>
        <w:rPr/>
        <w:t>, management data include descriptors such as “high input” and “low input”. These descriptors can be replaced at Tier 2 by more explicit descriptors, for example, high organic amendment rates (e.g., &gt;20 tonnes dry matter ha</w:t>
      </w:r>
      <w:r>
        <w:rPr>
          <w:vertAlign w:val="superscript"/>
        </w:rPr>
        <w:t>-1</w:t>
      </w:r>
      <w:r>
        <w:rPr>
          <w:vertAlign w:val="baseline"/>
        </w:rPr>
        <w:t> yr</w:t>
      </w:r>
      <w:r>
        <w:rPr>
          <w:vertAlign w:val="superscript"/>
        </w:rPr>
        <w:t>-1</w:t>
      </w:r>
      <w:r>
        <w:rPr>
          <w:vertAlign w:val="baseline"/>
        </w:rPr>
        <w:t>), medium organic amendment rates (e.g., 10-20 tonnes dry matter ha</w:t>
      </w:r>
      <w:r>
        <w:rPr>
          <w:vertAlign w:val="superscript"/>
        </w:rPr>
        <w:t>-1</w:t>
      </w:r>
      <w:r>
        <w:rPr>
          <w:vertAlign w:val="baseline"/>
        </w:rPr>
        <w:t> yr</w:t>
      </w:r>
      <w:r>
        <w:rPr>
          <w:vertAlign w:val="superscript"/>
        </w:rPr>
        <w:t>-1</w:t>
      </w:r>
      <w:r>
        <w:rPr>
          <w:vertAlign w:val="baseline"/>
        </w:rPr>
        <w:t>), low organic amendment rates (e.g., &lt;10 tonnes dry matter ha</w:t>
      </w:r>
      <w:r>
        <w:rPr>
          <w:vertAlign w:val="superscript"/>
        </w:rPr>
        <w:t>-1</w:t>
      </w:r>
      <w:r>
        <w:rPr>
          <w:vertAlign w:val="baseline"/>
        </w:rPr>
        <w:t> yr</w:t>
      </w:r>
      <w:r>
        <w:rPr>
          <w:vertAlign w:val="superscript"/>
        </w:rPr>
        <w:t>-1</w:t>
      </w:r>
      <w:r>
        <w:rPr>
          <w:vertAlign w:val="baseline"/>
        </w:rPr>
        <w:t>), and zero organic amendment. Further subdivisions could, for example, reflect different forms of organic amendment, such as animal manure, cereal residues and sewage sludge, where corresponding removal factors are available. An alternative to the use of more detailed descriptor categories is the use of relationships similar to those derived for Europe by Smith </w:t>
      </w:r>
      <w:r>
        <w:rPr>
          <w:i/>
          <w:vertAlign w:val="baseline"/>
        </w:rPr>
        <w:t>et al. </w:t>
      </w:r>
      <w:r>
        <w:rPr>
          <w:vertAlign w:val="baseline"/>
        </w:rPr>
        <w:t>(1997, 1998, and 2000) and for the USA by Lal </w:t>
      </w:r>
      <w:r>
        <w:rPr>
          <w:i/>
          <w:vertAlign w:val="baseline"/>
        </w:rPr>
        <w:t>et al. </w:t>
      </w:r>
      <w:r>
        <w:rPr>
          <w:vertAlign w:val="baseline"/>
        </w:rPr>
        <w:t>(1998). These could be based on a new, more comprehensive analysis of global data sets. Figures could include the change in carbon stock associated with a given practice (e.g., zero till), or a relationship between intensity</w:t>
      </w:r>
      <w:r>
        <w:rPr>
          <w:spacing w:val="4"/>
          <w:vertAlign w:val="baseline"/>
        </w:rPr>
        <w:t> </w:t>
      </w:r>
      <w:r>
        <w:rPr>
          <w:vertAlign w:val="baseline"/>
        </w:rPr>
        <w:t>of</w:t>
      </w:r>
      <w:r>
        <w:rPr>
          <w:spacing w:val="5"/>
          <w:vertAlign w:val="baseline"/>
        </w:rPr>
        <w:t> </w:t>
      </w:r>
      <w:r>
        <w:rPr>
          <w:vertAlign w:val="baseline"/>
        </w:rPr>
        <w:t>a</w:t>
      </w:r>
      <w:r>
        <w:rPr>
          <w:spacing w:val="7"/>
          <w:vertAlign w:val="baseline"/>
        </w:rPr>
        <w:t> </w:t>
      </w:r>
      <w:r>
        <w:rPr>
          <w:vertAlign w:val="baseline"/>
        </w:rPr>
        <w:t>practice</w:t>
      </w:r>
      <w:r>
        <w:rPr>
          <w:spacing w:val="7"/>
          <w:vertAlign w:val="baseline"/>
        </w:rPr>
        <w:t> </w:t>
      </w:r>
      <w:r>
        <w:rPr>
          <w:vertAlign w:val="baseline"/>
        </w:rPr>
        <w:t>and</w:t>
      </w:r>
      <w:r>
        <w:rPr>
          <w:spacing w:val="6"/>
          <w:vertAlign w:val="baseline"/>
        </w:rPr>
        <w:t> </w:t>
      </w:r>
      <w:r>
        <w:rPr>
          <w:vertAlign w:val="baseline"/>
        </w:rPr>
        <w:t>soil</w:t>
      </w:r>
      <w:r>
        <w:rPr>
          <w:spacing w:val="9"/>
          <w:vertAlign w:val="baseline"/>
        </w:rPr>
        <w:t> </w:t>
      </w:r>
      <w:r>
        <w:rPr>
          <w:vertAlign w:val="baseline"/>
        </w:rPr>
        <w:t>carbon</w:t>
      </w:r>
      <w:r>
        <w:rPr>
          <w:spacing w:val="5"/>
          <w:vertAlign w:val="baseline"/>
        </w:rPr>
        <w:t> </w:t>
      </w:r>
      <w:r>
        <w:rPr>
          <w:vertAlign w:val="baseline"/>
        </w:rPr>
        <w:t>change,</w:t>
      </w:r>
      <w:r>
        <w:rPr>
          <w:spacing w:val="6"/>
          <w:vertAlign w:val="baseline"/>
        </w:rPr>
        <w:t> </w:t>
      </w:r>
      <w:r>
        <w:rPr>
          <w:vertAlign w:val="baseline"/>
        </w:rPr>
        <w:t>e.g.,</w:t>
      </w:r>
      <w:r>
        <w:rPr>
          <w:spacing w:val="7"/>
          <w:vertAlign w:val="baseline"/>
        </w:rPr>
        <w:t> </w:t>
      </w:r>
      <w:r>
        <w:rPr>
          <w:vertAlign w:val="baseline"/>
        </w:rPr>
        <w:t>average</w:t>
      </w:r>
      <w:r>
        <w:rPr>
          <w:spacing w:val="9"/>
          <w:vertAlign w:val="baseline"/>
        </w:rPr>
        <w:t> </w:t>
      </w:r>
      <w:r>
        <w:rPr>
          <w:vertAlign w:val="baseline"/>
        </w:rPr>
        <w:t>yearly</w:t>
      </w:r>
      <w:r>
        <w:rPr>
          <w:spacing w:val="5"/>
          <w:vertAlign w:val="baseline"/>
        </w:rPr>
        <w:t> </w:t>
      </w:r>
      <w:r>
        <w:rPr>
          <w:vertAlign w:val="baseline"/>
        </w:rPr>
        <w:t>soil</w:t>
      </w:r>
      <w:r>
        <w:rPr>
          <w:spacing w:val="6"/>
          <w:vertAlign w:val="baseline"/>
        </w:rPr>
        <w:t> </w:t>
      </w:r>
      <w:r>
        <w:rPr>
          <w:vertAlign w:val="baseline"/>
        </w:rPr>
        <w:t>carbon</w:t>
      </w:r>
      <w:r>
        <w:rPr>
          <w:spacing w:val="5"/>
          <w:vertAlign w:val="baseline"/>
        </w:rPr>
        <w:t> </w:t>
      </w:r>
      <w:r>
        <w:rPr>
          <w:vertAlign w:val="baseline"/>
        </w:rPr>
        <w:t>emission/removal</w:t>
      </w:r>
      <w:r>
        <w:rPr>
          <w:spacing w:val="7"/>
          <w:vertAlign w:val="baseline"/>
        </w:rPr>
        <w:t> </w:t>
      </w:r>
      <w:r>
        <w:rPr>
          <w:vertAlign w:val="baseline"/>
        </w:rPr>
        <w:t>(tonnes</w:t>
      </w:r>
      <w:r>
        <w:rPr>
          <w:spacing w:val="6"/>
          <w:vertAlign w:val="baseline"/>
        </w:rPr>
        <w:t> </w:t>
      </w:r>
      <w:r>
        <w:rPr>
          <w:vertAlign w:val="baseline"/>
        </w:rPr>
        <w:t>C</w:t>
      </w:r>
      <w:r>
        <w:rPr>
          <w:spacing w:val="5"/>
          <w:vertAlign w:val="baseline"/>
        </w:rPr>
        <w:t> </w:t>
      </w:r>
      <w:r>
        <w:rPr>
          <w:vertAlign w:val="baseline"/>
        </w:rPr>
        <w:t>ha</w:t>
      </w:r>
      <w:r>
        <w:rPr>
          <w:vertAlign w:val="superscript"/>
        </w:rPr>
        <w:t>-1</w:t>
      </w:r>
      <w:r>
        <w:rPr>
          <w:vertAlign w:val="baseline"/>
        </w:rPr>
        <w:t>)</w:t>
      </w:r>
    </w:p>
    <w:p>
      <w:pPr>
        <w:pStyle w:val="BodyText"/>
        <w:ind w:left="179" w:right="1403"/>
        <w:jc w:val="both"/>
      </w:pPr>
      <w:r>
        <w:rPr/>
        <w:t>= 0.0145 x amount of animal manure (tonnes dry matter ha</w:t>
      </w:r>
      <w:r>
        <w:rPr>
          <w:vertAlign w:val="superscript"/>
        </w:rPr>
        <w:t>-1</w:t>
      </w:r>
      <w:r>
        <w:rPr>
          <w:vertAlign w:val="baseline"/>
        </w:rPr>
        <w:t> yr</w:t>
      </w:r>
      <w:r>
        <w:rPr>
          <w:vertAlign w:val="superscript"/>
        </w:rPr>
        <w:t>-1</w:t>
      </w:r>
      <w:r>
        <w:rPr>
          <w:vertAlign w:val="baseline"/>
        </w:rPr>
        <w:t>) added; recalculated from data in Smith </w:t>
      </w:r>
      <w:r>
        <w:rPr>
          <w:i/>
          <w:vertAlign w:val="baseline"/>
        </w:rPr>
        <w:t>et al.</w:t>
      </w:r>
      <w:r>
        <w:rPr>
          <w:vertAlign w:val="baseline"/>
        </w:rPr>
        <w:t>, (1997; R</w:t>
      </w:r>
      <w:r>
        <w:rPr>
          <w:vertAlign w:val="superscript"/>
        </w:rPr>
        <w:t>2</w:t>
      </w:r>
      <w:r>
        <w:rPr>
          <w:vertAlign w:val="baseline"/>
        </w:rPr>
        <w:t> = 0.3658, n = 17, p &lt; 0.01). Alternatively, well-calibrated and well-evaluated models of soil carbon change (e.g., CENTURY (Parton </w:t>
      </w:r>
      <w:r>
        <w:rPr>
          <w:i/>
          <w:vertAlign w:val="baseline"/>
        </w:rPr>
        <w:t>et al.</w:t>
      </w:r>
      <w:r>
        <w:rPr>
          <w:vertAlign w:val="baseline"/>
        </w:rPr>
        <w:t>, 1986) RothC (Coleman and Jenkinson, 1996), or others) could be used to generate either default carbon stock change factors, or to generate the intensity relationships described above for each activity, for different soils in different climatic regions. These examples illustrate how practices can be made more country-specific, but other refinements are also possible. Tier 2 methods may require area descriptions</w:t>
      </w:r>
      <w:r>
        <w:rPr>
          <w:spacing w:val="11"/>
          <w:vertAlign w:val="baseline"/>
        </w:rPr>
        <w:t> </w:t>
      </w:r>
      <w:r>
        <w:rPr>
          <w:vertAlign w:val="baseline"/>
        </w:rPr>
        <w:t>of</w:t>
      </w:r>
      <w:r>
        <w:rPr>
          <w:spacing w:val="10"/>
          <w:vertAlign w:val="baseline"/>
        </w:rPr>
        <w:t> </w:t>
      </w:r>
      <w:r>
        <w:rPr>
          <w:vertAlign w:val="baseline"/>
        </w:rPr>
        <w:t>higher</w:t>
      </w:r>
      <w:r>
        <w:rPr>
          <w:spacing w:val="13"/>
          <w:vertAlign w:val="baseline"/>
        </w:rPr>
        <w:t> </w:t>
      </w:r>
      <w:r>
        <w:rPr>
          <w:vertAlign w:val="baseline"/>
        </w:rPr>
        <w:t>resolution</w:t>
      </w:r>
      <w:r>
        <w:rPr>
          <w:spacing w:val="10"/>
          <w:vertAlign w:val="baseline"/>
        </w:rPr>
        <w:t> </w:t>
      </w:r>
      <w:r>
        <w:rPr>
          <w:vertAlign w:val="baseline"/>
        </w:rPr>
        <w:t>than</w:t>
      </w:r>
      <w:r>
        <w:rPr>
          <w:spacing w:val="11"/>
          <w:vertAlign w:val="baseline"/>
        </w:rPr>
        <w:t> </w:t>
      </w:r>
      <w:r>
        <w:rPr>
          <w:vertAlign w:val="baseline"/>
        </w:rPr>
        <w:t>those</w:t>
      </w:r>
      <w:r>
        <w:rPr>
          <w:spacing w:val="12"/>
          <w:vertAlign w:val="baseline"/>
        </w:rPr>
        <w:t> </w:t>
      </w:r>
      <w:r>
        <w:rPr>
          <w:vertAlign w:val="baseline"/>
        </w:rPr>
        <w:t>in</w:t>
      </w:r>
      <w:r>
        <w:rPr>
          <w:spacing w:val="11"/>
          <w:vertAlign w:val="baseline"/>
        </w:rPr>
        <w:t> </w:t>
      </w:r>
      <w:r>
        <w:rPr>
          <w:vertAlign w:val="baseline"/>
        </w:rPr>
        <w:t>Tier</w:t>
      </w:r>
      <w:r>
        <w:rPr>
          <w:spacing w:val="9"/>
          <w:vertAlign w:val="baseline"/>
        </w:rPr>
        <w:t> </w:t>
      </w:r>
      <w:r>
        <w:rPr>
          <w:vertAlign w:val="baseline"/>
        </w:rPr>
        <w:t>1.</w:t>
      </w:r>
      <w:r>
        <w:rPr>
          <w:spacing w:val="10"/>
          <w:vertAlign w:val="baseline"/>
        </w:rPr>
        <w:t> </w:t>
      </w:r>
      <w:r>
        <w:rPr>
          <w:vertAlign w:val="baseline"/>
        </w:rPr>
        <w:t>In</w:t>
      </w:r>
      <w:r>
        <w:rPr>
          <w:spacing w:val="10"/>
          <w:vertAlign w:val="baseline"/>
        </w:rPr>
        <w:t> </w:t>
      </w:r>
      <w:r>
        <w:rPr>
          <w:vertAlign w:val="baseline"/>
        </w:rPr>
        <w:t>any</w:t>
      </w:r>
      <w:r>
        <w:rPr>
          <w:spacing w:val="9"/>
          <w:vertAlign w:val="baseline"/>
        </w:rPr>
        <w:t> </w:t>
      </w:r>
      <w:r>
        <w:rPr>
          <w:vertAlign w:val="baseline"/>
        </w:rPr>
        <w:t>case,</w:t>
      </w:r>
      <w:r>
        <w:rPr>
          <w:spacing w:val="12"/>
          <w:vertAlign w:val="baseline"/>
        </w:rPr>
        <w:t> </w:t>
      </w:r>
      <w:r>
        <w:rPr>
          <w:vertAlign w:val="baseline"/>
        </w:rPr>
        <w:t>rigorous</w:t>
      </w:r>
      <w:r>
        <w:rPr>
          <w:spacing w:val="12"/>
          <w:vertAlign w:val="baseline"/>
        </w:rPr>
        <w:t> </w:t>
      </w:r>
      <w:r>
        <w:rPr>
          <w:vertAlign w:val="baseline"/>
        </w:rPr>
        <w:t>criteria</w:t>
      </w:r>
      <w:r>
        <w:rPr>
          <w:spacing w:val="12"/>
          <w:vertAlign w:val="baseline"/>
        </w:rPr>
        <w:t> </w:t>
      </w:r>
      <w:r>
        <w:rPr>
          <w:vertAlign w:val="baseline"/>
        </w:rPr>
        <w:t>must</w:t>
      </w:r>
      <w:r>
        <w:rPr>
          <w:spacing w:val="11"/>
          <w:vertAlign w:val="baseline"/>
        </w:rPr>
        <w:t> </w:t>
      </w:r>
      <w:r>
        <w:rPr>
          <w:vertAlign w:val="baseline"/>
        </w:rPr>
        <w:t>be</w:t>
      </w:r>
      <w:r>
        <w:rPr>
          <w:spacing w:val="13"/>
          <w:vertAlign w:val="baseline"/>
        </w:rPr>
        <w:t> </w:t>
      </w:r>
      <w:r>
        <w:rPr>
          <w:vertAlign w:val="baseline"/>
        </w:rPr>
        <w:t>applied</w:t>
      </w:r>
      <w:r>
        <w:rPr>
          <w:spacing w:val="12"/>
          <w:vertAlign w:val="baseline"/>
        </w:rPr>
        <w:t> </w:t>
      </w:r>
      <w:r>
        <w:rPr>
          <w:vertAlign w:val="baseline"/>
        </w:rPr>
        <w:t>so</w:t>
      </w:r>
      <w:r>
        <w:rPr>
          <w:spacing w:val="11"/>
          <w:vertAlign w:val="baseline"/>
        </w:rPr>
        <w:t> </w:t>
      </w:r>
      <w:r>
        <w:rPr>
          <w:vertAlign w:val="baseline"/>
        </w:rPr>
        <w:t>that</w:t>
      </w:r>
      <w:r>
        <w:rPr>
          <w:spacing w:val="12"/>
          <w:vertAlign w:val="baseline"/>
        </w:rPr>
        <w:t> </w:t>
      </w:r>
      <w:r>
        <w:rPr>
          <w:vertAlign w:val="baseline"/>
        </w:rPr>
        <w:t>any</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4"/>
        <w:jc w:val="both"/>
      </w:pPr>
      <w:r>
        <w:rPr/>
        <w:t>change in emissions or removals is neither under- nor overestimated (see ‘Choice of carbon stock change factors for mineral soils’ for discussion of criteria)</w:t>
      </w:r>
    </w:p>
    <w:p>
      <w:pPr>
        <w:pStyle w:val="BodyText"/>
        <w:spacing w:before="121"/>
        <w:ind w:left="179" w:right="1407"/>
        <w:jc w:val="both"/>
      </w:pPr>
      <w:r>
        <w:rPr>
          <w:b/>
        </w:rPr>
        <w:t>Tier 3:  </w:t>
      </w:r>
      <w:r>
        <w:rPr/>
        <w:t>Management data used in the more complex Tier 3 methodologies need to be consistent with the level  of detail required by the model. It is </w:t>
      </w:r>
      <w:r>
        <w:rPr>
          <w:i/>
        </w:rPr>
        <w:t>good practice </w:t>
      </w:r>
      <w:r>
        <w:rPr/>
        <w:t>to use management data at a spatial resolution appropriate for the model, and to have, or be able to estimate reliably, quantitative measures of the management factors required by the</w:t>
      </w:r>
      <w:r>
        <w:rPr>
          <w:spacing w:val="-2"/>
        </w:rPr>
        <w:t> </w:t>
      </w:r>
      <w:r>
        <w:rPr/>
        <w:t>model.</w:t>
      </w:r>
    </w:p>
    <w:p>
      <w:pPr>
        <w:pStyle w:val="BodyText"/>
        <w:spacing w:before="7"/>
        <w:rPr>
          <w:sz w:val="29"/>
        </w:rPr>
      </w:pPr>
    </w:p>
    <w:p>
      <w:pPr>
        <w:pStyle w:val="Heading6"/>
        <w:numPr>
          <w:ilvl w:val="4"/>
          <w:numId w:val="164"/>
        </w:numPr>
        <w:tabs>
          <w:tab w:pos="1331" w:val="left" w:leader="none"/>
          <w:tab w:pos="1332" w:val="left" w:leader="none"/>
        </w:tabs>
        <w:spacing w:line="240" w:lineRule="auto" w:before="0" w:after="0"/>
        <w:ind w:left="1331" w:right="0" w:hanging="1152"/>
        <w:jc w:val="left"/>
      </w:pPr>
      <w:r>
        <w:rPr/>
        <w:t>2</w:t>
        <w:tab/>
      </w:r>
      <w:r>
        <w:rPr>
          <w:spacing w:val="16"/>
        </w:rPr>
        <w:t>CARBON </w:t>
      </w:r>
      <w:r>
        <w:rPr>
          <w:spacing w:val="14"/>
        </w:rPr>
        <w:t>STOCK </w:t>
      </w:r>
      <w:r>
        <w:rPr>
          <w:spacing w:val="16"/>
        </w:rPr>
        <w:t>CHANGES </w:t>
      </w:r>
      <w:r>
        <w:rPr>
          <w:spacing w:val="11"/>
        </w:rPr>
        <w:t>IN </w:t>
      </w:r>
      <w:r>
        <w:rPr>
          <w:spacing w:val="16"/>
        </w:rPr>
        <w:t>ORGANIC</w:t>
      </w:r>
      <w:r>
        <w:rPr>
          <w:spacing w:val="1"/>
        </w:rPr>
        <w:t> </w:t>
      </w:r>
      <w:r>
        <w:rPr>
          <w:spacing w:val="15"/>
        </w:rPr>
        <w:t>SOILS</w:t>
      </w:r>
      <w:r>
        <w:rPr>
          <w:spacing w:val="-35"/>
        </w:rPr>
        <w:t> </w:t>
      </w:r>
    </w:p>
    <w:p>
      <w:pPr>
        <w:pStyle w:val="BodyText"/>
        <w:spacing w:before="207"/>
        <w:ind w:left="179" w:right="1402"/>
        <w:jc w:val="both"/>
      </w:pPr>
      <w:r>
        <w:rPr/>
        <w:t>For carbon stock changes in organic soils, the following decision tree (Figure 4.2.13) should be used to decide which tier to use for reporting under the Kyoto Protocol.</w:t>
      </w:r>
    </w:p>
    <w:p>
      <w:pPr>
        <w:pStyle w:val="BodyText"/>
        <w:rPr>
          <w:sz w:val="22"/>
        </w:rPr>
      </w:pPr>
    </w:p>
    <w:p>
      <w:pPr>
        <w:tabs>
          <w:tab w:pos="1879" w:val="left" w:leader="none"/>
        </w:tabs>
        <w:spacing w:before="149"/>
        <w:ind w:left="1880" w:right="1556" w:hanging="1702"/>
        <w:jc w:val="left"/>
        <w:rPr>
          <w:b/>
          <w:sz w:val="20"/>
        </w:rPr>
      </w:pPr>
      <w:r>
        <w:rPr>
          <w:b/>
          <w:spacing w:val="8"/>
          <w:sz w:val="20"/>
        </w:rPr>
        <w:t>Figure</w:t>
      </w:r>
      <w:r>
        <w:rPr>
          <w:b/>
          <w:spacing w:val="19"/>
          <w:sz w:val="20"/>
        </w:rPr>
        <w:t> </w:t>
      </w:r>
      <w:r>
        <w:rPr>
          <w:b/>
          <w:spacing w:val="8"/>
          <w:sz w:val="20"/>
        </w:rPr>
        <w:t>4.2.13</w:t>
        <w:tab/>
        <w:t>Decision tree </w:t>
      </w:r>
      <w:r>
        <w:rPr>
          <w:b/>
          <w:spacing w:val="6"/>
          <w:sz w:val="20"/>
        </w:rPr>
        <w:t>for </w:t>
      </w:r>
      <w:r>
        <w:rPr>
          <w:b/>
          <w:spacing w:val="9"/>
          <w:sz w:val="20"/>
        </w:rPr>
        <w:t>selecting </w:t>
      </w:r>
      <w:r>
        <w:rPr>
          <w:b/>
          <w:spacing w:val="6"/>
          <w:sz w:val="20"/>
        </w:rPr>
        <w:t>the </w:t>
      </w:r>
      <w:r>
        <w:rPr>
          <w:b/>
          <w:spacing w:val="7"/>
          <w:sz w:val="20"/>
        </w:rPr>
        <w:t>tier </w:t>
      </w:r>
      <w:r>
        <w:rPr>
          <w:b/>
          <w:spacing w:val="5"/>
          <w:sz w:val="20"/>
        </w:rPr>
        <w:t>at </w:t>
      </w:r>
      <w:r>
        <w:rPr>
          <w:b/>
          <w:spacing w:val="8"/>
          <w:sz w:val="20"/>
        </w:rPr>
        <w:t>which </w:t>
      </w:r>
      <w:r>
        <w:rPr>
          <w:b/>
          <w:spacing w:val="5"/>
          <w:sz w:val="20"/>
        </w:rPr>
        <w:t>to </w:t>
      </w:r>
      <w:r>
        <w:rPr>
          <w:b/>
          <w:spacing w:val="8"/>
          <w:sz w:val="20"/>
        </w:rPr>
        <w:t>report carbon stock </w:t>
      </w:r>
      <w:r>
        <w:rPr>
          <w:b/>
          <w:spacing w:val="9"/>
          <w:sz w:val="20"/>
        </w:rPr>
        <w:t>changes </w:t>
      </w:r>
      <w:r>
        <w:rPr>
          <w:b/>
          <w:spacing w:val="10"/>
          <w:sz w:val="20"/>
        </w:rPr>
        <w:t>in </w:t>
      </w:r>
      <w:r>
        <w:rPr>
          <w:b/>
          <w:spacing w:val="8"/>
          <w:sz w:val="20"/>
        </w:rPr>
        <w:t>organic</w:t>
      </w:r>
      <w:r>
        <w:rPr>
          <w:b/>
          <w:spacing w:val="20"/>
          <w:sz w:val="20"/>
        </w:rPr>
        <w:t> </w:t>
      </w:r>
      <w:r>
        <w:rPr>
          <w:b/>
          <w:spacing w:val="7"/>
          <w:sz w:val="20"/>
        </w:rPr>
        <w:t>soils</w:t>
      </w:r>
      <w:r>
        <w:rPr>
          <w:b/>
          <w:spacing w:val="21"/>
          <w:sz w:val="20"/>
        </w:rPr>
        <w:t> </w:t>
      </w:r>
      <w:r>
        <w:rPr>
          <w:b/>
          <w:spacing w:val="7"/>
          <w:sz w:val="20"/>
        </w:rPr>
        <w:t>under</w:t>
      </w:r>
      <w:r>
        <w:rPr>
          <w:b/>
          <w:spacing w:val="20"/>
          <w:sz w:val="20"/>
        </w:rPr>
        <w:t> </w:t>
      </w:r>
      <w:r>
        <w:rPr>
          <w:b/>
          <w:spacing w:val="7"/>
          <w:sz w:val="20"/>
        </w:rPr>
        <w:t>the</w:t>
      </w:r>
      <w:r>
        <w:rPr>
          <w:b/>
          <w:spacing w:val="20"/>
          <w:sz w:val="20"/>
        </w:rPr>
        <w:t> </w:t>
      </w:r>
      <w:r>
        <w:rPr>
          <w:b/>
          <w:spacing w:val="8"/>
          <w:sz w:val="20"/>
        </w:rPr>
        <w:t>Kyoto</w:t>
      </w:r>
      <w:r>
        <w:rPr>
          <w:b/>
          <w:spacing w:val="20"/>
          <w:sz w:val="20"/>
        </w:rPr>
        <w:t> </w:t>
      </w:r>
      <w:r>
        <w:rPr>
          <w:b/>
          <w:spacing w:val="8"/>
          <w:sz w:val="20"/>
        </w:rPr>
        <w:t>Protocol</w:t>
      </w:r>
      <w:r>
        <w:rPr>
          <w:b/>
          <w:spacing w:val="19"/>
          <w:sz w:val="20"/>
        </w:rPr>
        <w:t> </w:t>
      </w:r>
      <w:r>
        <w:rPr>
          <w:b/>
          <w:spacing w:val="7"/>
          <w:sz w:val="20"/>
        </w:rPr>
        <w:t>(see</w:t>
      </w:r>
      <w:r>
        <w:rPr>
          <w:b/>
          <w:spacing w:val="20"/>
          <w:sz w:val="20"/>
        </w:rPr>
        <w:t> </w:t>
      </w:r>
      <w:r>
        <w:rPr>
          <w:b/>
          <w:spacing w:val="6"/>
          <w:sz w:val="20"/>
        </w:rPr>
        <w:t>also</w:t>
      </w:r>
      <w:r>
        <w:rPr>
          <w:b/>
          <w:spacing w:val="21"/>
          <w:sz w:val="20"/>
        </w:rPr>
        <w:t> </w:t>
      </w:r>
      <w:r>
        <w:rPr>
          <w:b/>
          <w:spacing w:val="8"/>
          <w:sz w:val="20"/>
        </w:rPr>
        <w:t>Figure</w:t>
      </w:r>
      <w:r>
        <w:rPr>
          <w:b/>
          <w:spacing w:val="20"/>
          <w:sz w:val="20"/>
        </w:rPr>
        <w:t> </w:t>
      </w:r>
      <w:r>
        <w:rPr>
          <w:b/>
          <w:spacing w:val="10"/>
          <w:sz w:val="20"/>
        </w:rPr>
        <w:t>3.1.1)</w:t>
      </w:r>
    </w:p>
    <w:p>
      <w:pPr>
        <w:pStyle w:val="BodyText"/>
        <w:spacing w:before="2"/>
        <w:rPr>
          <w:b/>
          <w:sz w:val="16"/>
        </w:rPr>
      </w:pPr>
      <w:r>
        <w:rPr/>
        <w:pict>
          <v:group style="position:absolute;margin-left:124.825996pt;margin-top:11.300185pt;width:339.05pt;height:312.9pt;mso-position-horizontal-relative:page;mso-position-vertical-relative:paragraph;z-index:25088;mso-wrap-distance-left:0;mso-wrap-distance-right:0" coordorigin="2497,226" coordsize="6781,6258">
            <v:rect style="position:absolute;left:5981;top:2307;width:2897;height:1196" filled="false" stroked="true" strokeweight=".75pt" strokecolor="#010101">
              <v:stroke dashstyle="solid"/>
            </v:rect>
            <v:shape style="position:absolute;left:2504;top:233;width:3077;height:2175" coordorigin="2504,234" coordsize="3077,2175" path="m4042,234l2504,1321,4042,2408,5581,1321,4042,234xe" filled="false" stroked="true" strokeweight=".75pt" strokecolor="#010101">
              <v:path arrowok="t"/>
              <v:stroke dashstyle="solid"/>
            </v:shape>
            <v:shape style="position:absolute;left:5576;top:1258;width:730;height:120" coordorigin="5576,1258" coordsize="730,120" path="m6291,1311l6210,1311,6214,1314,6214,1323,6210,1326,6186,1326,6186,1378,6306,1318,6291,1311xm6186,1311l5583,1314,5578,1314,5576,1316,5576,1326,5581,1328,6186,1326,6186,1311xm6210,1311l6186,1311,6186,1326,6210,1326,6214,1323,6214,1314,6210,1311xm6186,1258l6186,1311,6291,1311,6186,1258xe" filled="true" fillcolor="#010101" stroked="false">
              <v:path arrowok="t"/>
              <v:fill type="solid"/>
            </v:shape>
            <v:shape style="position:absolute;left:6305;top:641;width:2254;height:1352" coordorigin="6306,642" coordsize="2254,1352" path="m7431,642l6306,1318,7431,1993,8559,1318,7431,642xe" filled="false" stroked="true" strokeweight=".75pt" strokecolor="#010101">
              <v:path arrowok="t"/>
              <v:stroke dashstyle="solid"/>
            </v:shape>
            <v:shape style="position:absolute;left:7371;top:1985;width:120;height:322" type="#_x0000_t75" stroked="false">
              <v:imagedata r:id="rId366" o:title=""/>
            </v:shape>
            <v:shape style="position:absolute;left:2602;top:3355;width:2876;height:2489" coordorigin="2602,3356" coordsize="2876,2489" path="m4040,3356l2602,4602,4040,5845,5478,4602,4040,3356xe" filled="false" stroked="true" strokeweight=".75pt" strokecolor="#010101">
              <v:path arrowok="t"/>
              <v:stroke dashstyle="solid"/>
            </v:shape>
            <v:shape style="position:absolute;left:3980;top:2400;width:120;height:956" coordorigin="3980,2401" coordsize="120,956" path="m4033,3236l3980,3236,4040,3356,4087,3262,4035,3262,4033,3260,4033,3236xm4047,2401l4038,2401,4035,2403,4033,3260,4035,3262,4045,3262,4047,3260,4050,2408,4050,2403,4047,2401xm4100,3236l4047,3236,4047,3260,4045,3262,4087,3262,4100,3236xe" filled="true" fillcolor="#010101" stroked="false">
              <v:path arrowok="t"/>
              <v:fill type="solid"/>
            </v:shape>
            <v:shape style="position:absolute;left:4040;top:2839;width:1937;height:120" coordorigin="4040,2840" coordsize="1937,120" path="m4160,2840l4040,2900,4160,2960,4160,2907,4136,2907,4131,2902,4131,2895,4136,2890,4160,2890,4160,2840xm4160,2890l4136,2890,4131,2895,4131,2902,4136,2907,4160,2907,4160,2890xm4160,2907l4141,2907,4160,2907,4160,2907xm5972,2890l4160,2890,4160,2907,5972,2905,5977,2902,5977,2893,5972,2890xe" filled="true" fillcolor="#010101" stroked="false">
              <v:path arrowok="t"/>
              <v:fill type="solid"/>
            </v:shape>
            <v:shape style="position:absolute;left:3980;top:5837;width:120;height:646" coordorigin="3980,5838" coordsize="120,646" path="m4033,6363l3980,6363,4040,6483,4087,6390,4038,6390,4033,6387,4033,6363xm4045,5838l4035,5838,4033,5840,4033,6387,4038,6390,4045,6390,4047,6387,4047,5840,4045,5838xm4100,6363l4047,6363,4047,6387,4045,6390,4087,6390,4100,6363xe" filled="true" fillcolor="#010101" stroked="false">
              <v:path arrowok="t"/>
              <v:fill type="solid"/>
            </v:shape>
            <v:shape style="position:absolute;left:5470;top:4594;width:1196;height:1889" coordorigin="5470,4594" coordsize="1196,1889" path="m6598,6363l6546,6363,6606,6483,6652,6390,6601,6390,6598,6387,6598,6363xm6598,4602l6598,6387,6601,6390,6610,6390,6613,6387,6613,4609,6606,4609,6598,4602xm6666,6363l6613,6363,6613,6387,6610,6390,6652,6390,6666,6363xm6610,4594l5475,4594,5470,4597,5470,4606,5475,4609,6598,4609,6598,4602,6613,4602,6613,4597,6610,4594xm6613,4602l6598,4602,6606,4609,6613,4609,6613,4602xe" filled="true" fillcolor="#010101" stroked="false">
              <v:path arrowok="t"/>
              <v:fill type="solid"/>
            </v:shape>
            <v:shape style="position:absolute;left:8552;top:1311;width:725;height:5172" coordorigin="8552,1311" coordsize="725,5172" path="m9207,6363l9157,6363,9217,6483,9264,6390,9212,6390,9207,6387,9207,6363xm9207,1318l9207,6387,9212,6390,9219,6390,9224,6387,9224,1326,9217,1326,9207,1318xm9277,6363l9224,6363,9224,6387,9219,6390,9264,6390,9277,6363xm9219,1311l8554,1311,8552,1314,8552,1323,8554,1326,9207,1326,9207,1318,9224,1318,9224,1314,9219,1311xm9224,1318l9207,1318,9217,1326,9224,1326,9224,1318xe" filled="true" fillcolor="#010101" stroked="false">
              <v:path arrowok="t"/>
              <v:fill type="solid"/>
            </v:shape>
            <v:shape style="position:absolute;left:2758;top:451;width:2591;height:1608" type="#_x0000_t202" filled="false" stroked="false">
              <v:textbox inset="0,0,0,0">
                <w:txbxContent>
                  <w:p>
                    <w:pPr>
                      <w:spacing w:line="221" w:lineRule="exact" w:before="0"/>
                      <w:ind w:left="594" w:right="615" w:firstLine="0"/>
                      <w:jc w:val="center"/>
                      <w:rPr>
                        <w:sz w:val="20"/>
                      </w:rPr>
                    </w:pPr>
                    <w:r>
                      <w:rPr>
                        <w:sz w:val="20"/>
                      </w:rPr>
                      <w:t>Are</w:t>
                    </w:r>
                  </w:p>
                  <w:p>
                    <w:pPr>
                      <w:spacing w:before="0"/>
                      <w:ind w:left="732" w:right="0" w:firstLine="0"/>
                      <w:jc w:val="left"/>
                      <w:rPr>
                        <w:sz w:val="20"/>
                      </w:rPr>
                    </w:pPr>
                    <w:r>
                      <w:rPr>
                        <w:sz w:val="20"/>
                      </w:rPr>
                      <w:t>data available</w:t>
                    </w:r>
                  </w:p>
                  <w:p>
                    <w:pPr>
                      <w:spacing w:before="1"/>
                      <w:ind w:left="0" w:right="18" w:firstLine="364"/>
                      <w:jc w:val="left"/>
                      <w:rPr>
                        <w:sz w:val="20"/>
                      </w:rPr>
                    </w:pPr>
                    <w:r>
                      <w:rPr>
                        <w:sz w:val="20"/>
                      </w:rPr>
                      <w:t>to calculate regional or country-specific C stock change</w:t>
                    </w:r>
                  </w:p>
                  <w:p>
                    <w:pPr>
                      <w:spacing w:line="244" w:lineRule="auto" w:before="0"/>
                      <w:ind w:left="597" w:right="615" w:firstLine="0"/>
                      <w:jc w:val="center"/>
                      <w:rPr>
                        <w:sz w:val="20"/>
                      </w:rPr>
                    </w:pPr>
                    <w:r>
                      <w:rPr>
                        <w:sz w:val="20"/>
                      </w:rPr>
                      <w:t>factors, and are regional soil data available?</w:t>
                    </w:r>
                  </w:p>
                </w:txbxContent>
              </v:textbox>
              <w10:wrap type="none"/>
            </v:shape>
            <v:shape style="position:absolute;left:5681;top:1006;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6687;top:768;width:2155;height:1368" type="#_x0000_t202" filled="false" stroked="false">
              <v:textbox inset="0,0,0,0">
                <w:txbxContent>
                  <w:p>
                    <w:pPr>
                      <w:spacing w:line="220" w:lineRule="exact" w:before="0"/>
                      <w:ind w:left="648" w:right="0" w:firstLine="0"/>
                      <w:jc w:val="left"/>
                      <w:rPr>
                        <w:sz w:val="20"/>
                      </w:rPr>
                    </w:pPr>
                    <w:r>
                      <w:rPr>
                        <w:sz w:val="20"/>
                      </w:rPr>
                      <w:t>Are</w:t>
                    </w:r>
                  </w:p>
                  <w:p>
                    <w:pPr>
                      <w:tabs>
                        <w:tab w:pos="1891" w:val="left" w:leader="none"/>
                      </w:tabs>
                      <w:spacing w:line="230" w:lineRule="auto" w:before="6"/>
                      <w:ind w:left="0" w:right="18" w:firstLine="206"/>
                      <w:jc w:val="left"/>
                      <w:rPr>
                        <w:sz w:val="20"/>
                      </w:rPr>
                    </w:pPr>
                    <w:r>
                      <w:rPr>
                        <w:position w:val="1"/>
                        <w:sz w:val="20"/>
                      </w:rPr>
                      <w:t>CO</w:t>
                    </w:r>
                    <w:r>
                      <w:rPr>
                        <w:position w:val="1"/>
                        <w:sz w:val="20"/>
                        <w:vertAlign w:val="subscript"/>
                      </w:rPr>
                      <w:t>2</w:t>
                    </w:r>
                    <w:r>
                      <w:rPr>
                        <w:spacing w:val="-3"/>
                        <w:position w:val="1"/>
                        <w:sz w:val="20"/>
                        <w:vertAlign w:val="baseline"/>
                      </w:rPr>
                      <w:t> </w:t>
                    </w:r>
                    <w:r>
                      <w:rPr>
                        <w:position w:val="1"/>
                        <w:sz w:val="20"/>
                        <w:vertAlign w:val="baseline"/>
                      </w:rPr>
                      <w:t>emissions</w:t>
                      <w:tab/>
                    </w:r>
                    <w:r>
                      <w:rPr>
                        <w:spacing w:val="-9"/>
                        <w:sz w:val="20"/>
                        <w:vertAlign w:val="baseline"/>
                      </w:rPr>
                      <w:t>No </w:t>
                    </w:r>
                    <w:r>
                      <w:rPr>
                        <w:sz w:val="20"/>
                        <w:vertAlign w:val="baseline"/>
                      </w:rPr>
                      <w:t>from organic soils</w:t>
                    </w:r>
                    <w:r>
                      <w:rPr>
                        <w:spacing w:val="-8"/>
                        <w:sz w:val="20"/>
                        <w:vertAlign w:val="baseline"/>
                      </w:rPr>
                      <w:t> </w:t>
                    </w:r>
                    <w:r>
                      <w:rPr>
                        <w:sz w:val="20"/>
                        <w:vertAlign w:val="baseline"/>
                      </w:rPr>
                      <w:t>a</w:t>
                    </w:r>
                  </w:p>
                  <w:p>
                    <w:pPr>
                      <w:spacing w:before="2"/>
                      <w:ind w:left="242" w:right="0" w:firstLine="0"/>
                      <w:jc w:val="left"/>
                      <w:rPr>
                        <w:sz w:val="20"/>
                      </w:rPr>
                    </w:pPr>
                    <w:r>
                      <w:rPr>
                        <w:i/>
                        <w:sz w:val="20"/>
                      </w:rPr>
                      <w:t>key category</w:t>
                    </w:r>
                    <w:r>
                      <w:rPr>
                        <w:sz w:val="20"/>
                      </w:rPr>
                      <w:t>?</w:t>
                    </w:r>
                  </w:p>
                  <w:p>
                    <w:pPr>
                      <w:spacing w:line="240" w:lineRule="auto" w:before="10"/>
                      <w:rPr>
                        <w:b/>
                        <w:sz w:val="19"/>
                      </w:rPr>
                    </w:pPr>
                  </w:p>
                  <w:p>
                    <w:pPr>
                      <w:spacing w:before="0"/>
                      <w:ind w:left="160" w:right="0" w:firstLine="0"/>
                      <w:jc w:val="left"/>
                      <w:rPr>
                        <w:sz w:val="20"/>
                      </w:rPr>
                    </w:pPr>
                    <w:r>
                      <w:rPr>
                        <w:sz w:val="20"/>
                      </w:rPr>
                      <w:t>Yes</w:t>
                    </w:r>
                  </w:p>
                </w:txbxContent>
              </v:textbox>
              <w10:wrap type="none"/>
            </v:shape>
            <v:shape style="position:absolute;left:3591;top:2453;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6190;top:2448;width:2503;height:910" type="#_x0000_t202" filled="false" stroked="false">
              <v:textbox inset="0,0,0,0">
                <w:txbxContent>
                  <w:p>
                    <w:pPr>
                      <w:spacing w:line="240" w:lineRule="auto" w:before="0"/>
                      <w:ind w:left="0" w:right="18" w:hanging="4"/>
                      <w:jc w:val="center"/>
                      <w:rPr>
                        <w:sz w:val="20"/>
                      </w:rPr>
                    </w:pPr>
                    <w:r>
                      <w:rPr>
                        <w:sz w:val="20"/>
                      </w:rPr>
                      <w:t>Obtain data from regional or national measurement/research programmes or other reliable sources</w:t>
                    </w:r>
                  </w:p>
                </w:txbxContent>
              </v:textbox>
              <w10:wrap type="none"/>
            </v:shape>
            <v:shape style="position:absolute;left:3156;top:3615;width:1788;height:1829" type="#_x0000_t202" filled="false" stroked="false">
              <v:textbox inset="0,0,0,0">
                <w:txbxContent>
                  <w:p>
                    <w:pPr>
                      <w:spacing w:line="240" w:lineRule="auto" w:before="0"/>
                      <w:ind w:left="199" w:right="196" w:firstLine="544"/>
                      <w:jc w:val="left"/>
                      <w:rPr>
                        <w:sz w:val="20"/>
                      </w:rPr>
                    </w:pPr>
                    <w:r>
                      <w:rPr>
                        <w:sz w:val="20"/>
                      </w:rPr>
                      <w:t>Is a national carbon inventory system</w:t>
                    </w:r>
                  </w:p>
                  <w:p>
                    <w:pPr>
                      <w:spacing w:before="0"/>
                      <w:ind w:left="0" w:right="18" w:firstLine="5"/>
                      <w:jc w:val="center"/>
                      <w:rPr>
                        <w:sz w:val="20"/>
                      </w:rPr>
                    </w:pPr>
                    <w:r>
                      <w:rPr>
                        <w:sz w:val="20"/>
                      </w:rPr>
                      <w:t>available that allows cropland</w:t>
                    </w:r>
                    <w:r>
                      <w:rPr>
                        <w:spacing w:val="-14"/>
                        <w:sz w:val="20"/>
                      </w:rPr>
                      <w:t> </w:t>
                    </w:r>
                    <w:r>
                      <w:rPr>
                        <w:sz w:val="20"/>
                      </w:rPr>
                      <w:t>management activities to be accounted for separately?</w:t>
                    </w:r>
                  </w:p>
                </w:txbxContent>
              </v:textbox>
              <w10:wrap type="none"/>
            </v:shape>
            <v:shape style="position:absolute;left:5763;top:4217;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3591;top:5710;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w10:wrap type="topAndBottom"/>
          </v:group>
        </w:pict>
      </w:r>
    </w:p>
    <w:p>
      <w:pPr>
        <w:pStyle w:val="BodyText"/>
        <w:rPr>
          <w:b/>
        </w:rPr>
      </w:pPr>
    </w:p>
    <w:p>
      <w:pPr>
        <w:pStyle w:val="BodyText"/>
        <w:rPr>
          <w:b/>
        </w:rPr>
      </w:pPr>
    </w:p>
    <w:p>
      <w:pPr>
        <w:pStyle w:val="BodyText"/>
        <w:rPr>
          <w:b/>
        </w:rPr>
      </w:pPr>
    </w:p>
    <w:p>
      <w:pPr>
        <w:pStyle w:val="BodyText"/>
        <w:spacing w:before="9"/>
        <w:rPr>
          <w:b/>
          <w:sz w:val="18"/>
        </w:rPr>
      </w:pPr>
    </w:p>
    <w:p>
      <w:pPr>
        <w:spacing w:before="0"/>
        <w:ind w:left="868" w:right="0" w:firstLine="0"/>
        <w:jc w:val="left"/>
        <w:rPr>
          <w:sz w:val="16"/>
        </w:rPr>
      </w:pPr>
      <w:r>
        <w:rPr/>
        <w:pict>
          <v:shape style="position:absolute;margin-left:405.760986pt;margin-top:-46.050957pt;width:110.05pt;height:38.3pt;mso-position-horizontal-relative:page;mso-position-vertical-relative:paragraph;z-index:27160" type="#_x0000_t202" filled="false" stroked="true" strokeweight="1.5pt" strokecolor="#010101">
            <v:textbox inset="0,0,0,0">
              <w:txbxContent>
                <w:p>
                  <w:pPr>
                    <w:spacing w:before="184"/>
                    <w:ind w:left="143" w:right="146" w:firstLine="0"/>
                    <w:jc w:val="center"/>
                    <w:rPr>
                      <w:b/>
                      <w:sz w:val="20"/>
                    </w:rPr>
                  </w:pPr>
                  <w:r>
                    <w:rPr>
                      <w:sz w:val="20"/>
                    </w:rPr>
                    <w:t>Use </w:t>
                  </w:r>
                  <w:r>
                    <w:rPr>
                      <w:b/>
                      <w:sz w:val="20"/>
                    </w:rPr>
                    <w:t>Tier 1</w:t>
                  </w:r>
                </w:p>
                <w:p>
                  <w:pPr>
                    <w:pStyle w:val="BodyText"/>
                    <w:spacing w:before="1"/>
                    <w:ind w:left="143" w:right="146"/>
                    <w:jc w:val="center"/>
                  </w:pPr>
                  <w:r>
                    <w:rPr/>
                    <w:t>(Note 1)</w:t>
                  </w:r>
                </w:p>
              </w:txbxContent>
            </v:textbox>
            <v:stroke dashstyle="solid"/>
            <w10:wrap type="none"/>
          </v:shape>
        </w:pict>
      </w:r>
      <w:r>
        <w:rPr/>
        <w:pict>
          <v:shape style="position:absolute;margin-left:270.040985pt;margin-top:-46.050957pt;width:120.5pt;height:38.2pt;mso-position-horizontal-relative:page;mso-position-vertical-relative:paragraph;z-index:27184" type="#_x0000_t202" filled="false" stroked="true" strokeweight="1.5pt" strokecolor="#010101">
            <v:textbox inset="0,0,0,0">
              <w:txbxContent>
                <w:p>
                  <w:pPr>
                    <w:spacing w:before="184"/>
                    <w:ind w:left="731" w:right="731" w:firstLine="0"/>
                    <w:jc w:val="center"/>
                    <w:rPr>
                      <w:b/>
                      <w:sz w:val="20"/>
                    </w:rPr>
                  </w:pPr>
                  <w:r>
                    <w:rPr>
                      <w:sz w:val="20"/>
                    </w:rPr>
                    <w:t>Use </w:t>
                  </w:r>
                  <w:r>
                    <w:rPr>
                      <w:b/>
                      <w:sz w:val="20"/>
                    </w:rPr>
                    <w:t>Tier 2</w:t>
                  </w:r>
                </w:p>
                <w:p>
                  <w:pPr>
                    <w:pStyle w:val="BodyText"/>
                    <w:spacing w:before="1"/>
                    <w:ind w:left="731" w:right="731"/>
                    <w:jc w:val="center"/>
                  </w:pPr>
                  <w:r>
                    <w:rPr/>
                    <w:t>(Note 2)</w:t>
                  </w:r>
                </w:p>
              </w:txbxContent>
            </v:textbox>
            <v:stroke dashstyle="solid"/>
            <w10:wrap type="none"/>
          </v:shape>
        </w:pict>
      </w:r>
      <w:r>
        <w:rPr/>
        <w:pict>
          <v:shape style="position:absolute;margin-left:150.160995pt;margin-top:-46.050957pt;width:103.7pt;height:38.3pt;mso-position-horizontal-relative:page;mso-position-vertical-relative:paragraph;z-index:27208" type="#_x0000_t202" filled="false" stroked="true" strokeweight="1.5pt" strokecolor="#010101">
            <v:textbox inset="0,0,0,0">
              <w:txbxContent>
                <w:p>
                  <w:pPr>
                    <w:spacing w:before="184"/>
                    <w:ind w:left="563" w:right="562" w:firstLine="0"/>
                    <w:jc w:val="center"/>
                    <w:rPr>
                      <w:b/>
                      <w:sz w:val="20"/>
                    </w:rPr>
                  </w:pPr>
                  <w:r>
                    <w:rPr>
                      <w:sz w:val="20"/>
                    </w:rPr>
                    <w:t>Use </w:t>
                  </w:r>
                  <w:r>
                    <w:rPr>
                      <w:b/>
                      <w:sz w:val="20"/>
                    </w:rPr>
                    <w:t>Tier 3</w:t>
                  </w:r>
                </w:p>
                <w:p>
                  <w:pPr>
                    <w:pStyle w:val="BodyText"/>
                    <w:spacing w:before="8"/>
                    <w:ind w:left="563" w:right="561"/>
                    <w:jc w:val="center"/>
                  </w:pPr>
                  <w:r>
                    <w:rPr/>
                    <w:t>(Note 3)</w:t>
                  </w:r>
                </w:p>
              </w:txbxContent>
            </v:textbox>
            <v:stroke dashstyle="solid"/>
            <w10:wrap type="none"/>
          </v:shape>
        </w:pict>
      </w:r>
      <w:r>
        <w:rPr>
          <w:b/>
          <w:sz w:val="16"/>
        </w:rPr>
        <w:t>Note 1: </w:t>
      </w:r>
      <w:r>
        <w:rPr>
          <w:sz w:val="16"/>
        </w:rPr>
        <w:t>Use the matrix/database of default values.</w:t>
      </w:r>
    </w:p>
    <w:p>
      <w:pPr>
        <w:spacing w:before="61"/>
        <w:ind w:left="868" w:right="0" w:firstLine="0"/>
        <w:jc w:val="left"/>
        <w:rPr>
          <w:sz w:val="16"/>
        </w:rPr>
      </w:pPr>
      <w:r>
        <w:rPr>
          <w:b/>
          <w:sz w:val="16"/>
        </w:rPr>
        <w:t>Note 2: </w:t>
      </w:r>
      <w:r>
        <w:rPr>
          <w:sz w:val="16"/>
        </w:rPr>
        <w:t>Use region-specific parameters, soil data and duration of impact.</w:t>
      </w:r>
    </w:p>
    <w:p>
      <w:pPr>
        <w:spacing w:before="61"/>
        <w:ind w:left="868" w:right="0" w:firstLine="0"/>
        <w:jc w:val="left"/>
        <w:rPr>
          <w:sz w:val="16"/>
        </w:rPr>
      </w:pPr>
      <w:r>
        <w:rPr>
          <w:b/>
          <w:sz w:val="16"/>
        </w:rPr>
        <w:t>Note 3: </w:t>
      </w:r>
      <w:r>
        <w:rPr>
          <w:sz w:val="16"/>
        </w:rPr>
        <w:t>Use more sophisticated modelling techniques, often linked to geographical databases.</w:t>
      </w:r>
    </w:p>
    <w:p>
      <w:pPr>
        <w:pStyle w:val="BodyText"/>
      </w:pPr>
    </w:p>
    <w:p>
      <w:pPr>
        <w:pStyle w:val="BodyText"/>
      </w:pPr>
    </w:p>
    <w:p>
      <w:pPr>
        <w:pStyle w:val="BodyText"/>
        <w:spacing w:before="9"/>
        <w:rPr>
          <w:sz w:val="27"/>
        </w:rPr>
      </w:pPr>
    </w:p>
    <w:p>
      <w:pPr>
        <w:pStyle w:val="Heading6"/>
        <w:spacing w:before="92"/>
        <w:ind w:left="179"/>
      </w:pPr>
      <w:r>
        <w:rPr/>
        <w:t>Methods for estimating CO </w:t>
      </w:r>
      <w:r>
        <w:rPr>
          <w:vertAlign w:val="subscript"/>
        </w:rPr>
        <w:t>2</w:t>
      </w:r>
      <w:r>
        <w:rPr>
          <w:vertAlign w:val="baseline"/>
        </w:rPr>
        <w:t> emissions/removals from organic soils</w:t>
      </w:r>
    </w:p>
    <w:p>
      <w:pPr>
        <w:pStyle w:val="BodyText"/>
        <w:spacing w:before="56"/>
        <w:ind w:left="179" w:right="1404"/>
        <w:jc w:val="both"/>
        <w:rPr>
          <w:i/>
        </w:rPr>
      </w:pPr>
      <w:r>
        <w:rPr>
          <w:b/>
        </w:rPr>
        <w:t>Tier 1: </w:t>
      </w:r>
      <w:r>
        <w:rPr/>
        <w:t>When organic soils are converted to agriculture, they are typically drained, cultivated, and limed, resulting in the oxidation of organic matter. The rate of carbon release will depend on climate, the composition (decomposability) of the organic matter, the degree of drainage and other practices such as fertilisation and liming. The Tier 1 method is set out in Section 3.3.1.2 which is based on the method given in the </w:t>
      </w:r>
      <w:r>
        <w:rPr>
          <w:i/>
        </w:rPr>
        <w:t>IPCC Guidelines.</w:t>
      </w:r>
    </w:p>
    <w:p>
      <w:pPr>
        <w:spacing w:after="0"/>
        <w:jc w:val="both"/>
        <w:sectPr>
          <w:pgSz w:w="11900" w:h="16840"/>
          <w:pgMar w:header="230" w:footer="408" w:top="560" w:bottom="600" w:left="1240" w:right="0"/>
        </w:sectPr>
      </w:pPr>
    </w:p>
    <w:p>
      <w:pPr>
        <w:pStyle w:val="BodyText"/>
        <w:rPr>
          <w:i/>
        </w:rPr>
      </w:pPr>
    </w:p>
    <w:p>
      <w:pPr>
        <w:pStyle w:val="BodyText"/>
        <w:spacing w:before="2"/>
        <w:rPr>
          <w:i/>
          <w:sz w:val="18"/>
        </w:rPr>
      </w:pPr>
    </w:p>
    <w:p>
      <w:pPr>
        <w:pStyle w:val="BodyText"/>
        <w:ind w:left="179" w:right="1403"/>
        <w:jc w:val="both"/>
      </w:pPr>
      <w:r>
        <w:rPr>
          <w:b/>
        </w:rPr>
        <w:t>Tier 2: </w:t>
      </w:r>
      <w:r>
        <w:rPr/>
        <w:t>If more reliable country- or region-specific data is available on CO</w:t>
      </w:r>
      <w:r>
        <w:rPr>
          <w:vertAlign w:val="subscript"/>
        </w:rPr>
        <w:t>2</w:t>
      </w:r>
      <w:r>
        <w:rPr>
          <w:vertAlign w:val="baseline"/>
        </w:rPr>
        <w:t> emissions from organic soils it is </w:t>
      </w:r>
      <w:r>
        <w:rPr>
          <w:i/>
          <w:vertAlign w:val="baseline"/>
        </w:rPr>
        <w:t>good practice </w:t>
      </w:r>
      <w:r>
        <w:rPr>
          <w:vertAlign w:val="baseline"/>
        </w:rPr>
        <w:t>to use these values instead of Tier 1 defaults. Any data used should be shown to be more reliable than defaults.</w:t>
      </w:r>
    </w:p>
    <w:p>
      <w:pPr>
        <w:pStyle w:val="BodyText"/>
        <w:spacing w:before="121"/>
        <w:ind w:left="179" w:right="1404"/>
        <w:jc w:val="both"/>
      </w:pPr>
      <w:r>
        <w:rPr>
          <w:b/>
        </w:rPr>
        <w:t>Tier 3: </w:t>
      </w:r>
      <w:r>
        <w:rPr/>
        <w:t>The complex systems described in Chapter 3 (LUCF sector good practice guidance) for national greenhouse gas inventories may use methods or models for estimating CO2. These emissions may also be used to estimate non-CO2 greenhouse gas emissions in an integrated way. However, the non-CO2 emissions should be reported in the Agriculture sector, and double counting and omission should be avoided. It is good practice to use models which are calibrated using measurements at benchmark sites, and to describe models and assumptions used</w:t>
      </w:r>
      <w:r>
        <w:rPr>
          <w:spacing w:val="1"/>
        </w:rPr>
        <w:t> </w:t>
      </w:r>
      <w:r>
        <w:rPr/>
        <w:t>transparently.</w:t>
      </w:r>
    </w:p>
    <w:p>
      <w:pPr>
        <w:pStyle w:val="BodyText"/>
        <w:spacing w:before="2"/>
        <w:rPr>
          <w:sz w:val="21"/>
        </w:rPr>
      </w:pPr>
    </w:p>
    <w:p>
      <w:pPr>
        <w:pStyle w:val="Heading6"/>
        <w:ind w:left="179"/>
        <w:jc w:val="both"/>
      </w:pPr>
      <w:r>
        <w:rPr/>
        <w:t>Choice of carbon emission/removal factors for organic soils</w:t>
      </w:r>
    </w:p>
    <w:p>
      <w:pPr>
        <w:pStyle w:val="BodyText"/>
        <w:spacing w:before="54"/>
        <w:ind w:left="179" w:right="1402"/>
        <w:jc w:val="both"/>
      </w:pPr>
      <w:r>
        <w:rPr>
          <w:b/>
        </w:rPr>
        <w:t>Tier 1: </w:t>
      </w:r>
      <w:r>
        <w:rPr/>
        <w:t>The default carbon emission/removal factors for Tier 1 are provided in Chapter 3 (Table 3.3.5; Section 3.3.1.2.1.2).</w:t>
      </w:r>
    </w:p>
    <w:p>
      <w:pPr>
        <w:pStyle w:val="BodyText"/>
        <w:spacing w:before="120"/>
        <w:ind w:left="179" w:right="1404" w:hanging="1"/>
        <w:jc w:val="both"/>
      </w:pPr>
      <w:r>
        <w:rPr>
          <w:b/>
        </w:rPr>
        <w:t>Tier 2: </w:t>
      </w:r>
      <w:r>
        <w:rPr/>
        <w:t>For organic soils, it is </w:t>
      </w:r>
      <w:r>
        <w:rPr>
          <w:i/>
        </w:rPr>
        <w:t>good practice </w:t>
      </w:r>
      <w:r>
        <w:rPr/>
        <w:t>to replace the default values identified in Chapter 3 (Table 3.3.5; Section 3.3.1.2.1.2) with country- or region-specific factors if these are shown to be more reliable than the defaults. It is </w:t>
      </w:r>
      <w:r>
        <w:rPr>
          <w:i/>
        </w:rPr>
        <w:t>good practice </w:t>
      </w:r>
      <w:r>
        <w:rPr/>
        <w:t>to use replacement emission/removal factors based on experimental results derived from experiments that are well-designed, with adequate sampling to give adequate statistical power. Any emission or removal factors based on models should only be used after the model has been tested against experiments, such as those described above, and any model should be widely evaluated, well-documented and archived. It is </w:t>
      </w:r>
      <w:r>
        <w:rPr>
          <w:i/>
        </w:rPr>
        <w:t>good practice </w:t>
      </w:r>
      <w:r>
        <w:rPr/>
        <w:t>to provide confidence limits and/or uncertainty estimates associated with any replacement emission/removal factors. Replacement emission/removal factors must be shown to better represent local conditions or practice than default factors by comparing both default and replacement factors against measurements or experiments within the region.</w:t>
      </w:r>
    </w:p>
    <w:p>
      <w:pPr>
        <w:pStyle w:val="BodyText"/>
        <w:spacing w:before="117"/>
        <w:ind w:left="179" w:right="1407"/>
        <w:jc w:val="both"/>
      </w:pPr>
      <w:r>
        <w:rPr>
          <w:b/>
        </w:rPr>
        <w:t>Tier 3: </w:t>
      </w:r>
      <w:r>
        <w:rPr/>
        <w:t>For organic soils, CO</w:t>
      </w:r>
      <w:r>
        <w:rPr>
          <w:vertAlign w:val="subscript"/>
        </w:rPr>
        <w:t>2</w:t>
      </w:r>
      <w:r>
        <w:rPr>
          <w:vertAlign w:val="baseline"/>
        </w:rPr>
        <w:t> and non-CO</w:t>
      </w:r>
      <w:r>
        <w:rPr>
          <w:vertAlign w:val="subscript"/>
        </w:rPr>
        <w:t>2</w:t>
      </w:r>
      <w:r>
        <w:rPr>
          <w:vertAlign w:val="baseline"/>
        </w:rPr>
        <w:t> greenhouse gas emissions or emissions/removals may be estimated as part of processed-based modelling using national emission/removal factors. It is </w:t>
      </w:r>
      <w:r>
        <w:rPr>
          <w:i/>
          <w:vertAlign w:val="baseline"/>
        </w:rPr>
        <w:t>good practice </w:t>
      </w:r>
      <w:r>
        <w:rPr>
          <w:vertAlign w:val="baseline"/>
        </w:rPr>
        <w:t>to use such methods if they have been well-documented and evaluated. Before methods are applied they should be thoroughly tested and evaluated, as described for Tier 2.</w:t>
      </w:r>
    </w:p>
    <w:p>
      <w:pPr>
        <w:pStyle w:val="BodyText"/>
        <w:spacing w:before="3"/>
        <w:rPr>
          <w:sz w:val="21"/>
        </w:rPr>
      </w:pPr>
    </w:p>
    <w:p>
      <w:pPr>
        <w:pStyle w:val="Heading6"/>
        <w:spacing w:before="1"/>
        <w:ind w:left="179"/>
        <w:jc w:val="both"/>
      </w:pPr>
      <w:r>
        <w:rPr/>
        <w:t>Choice of management data for organic soils</w:t>
      </w:r>
    </w:p>
    <w:p>
      <w:pPr>
        <w:pStyle w:val="BodyText"/>
        <w:spacing w:before="56"/>
        <w:ind w:left="179" w:right="1404"/>
        <w:jc w:val="both"/>
      </w:pPr>
      <w:r>
        <w:rPr/>
        <w:t>The same considerations apply as for management data for cropland management activities on mineral soils, as described earlier in Section 4.2.8.3.1.</w:t>
      </w:r>
    </w:p>
    <w:p>
      <w:pPr>
        <w:pStyle w:val="BodyText"/>
        <w:spacing w:before="6"/>
        <w:rPr>
          <w:sz w:val="29"/>
        </w:rPr>
      </w:pPr>
    </w:p>
    <w:p>
      <w:pPr>
        <w:pStyle w:val="Heading6"/>
        <w:numPr>
          <w:ilvl w:val="4"/>
          <w:numId w:val="164"/>
        </w:numPr>
        <w:tabs>
          <w:tab w:pos="1332" w:val="left" w:leader="none"/>
        </w:tabs>
        <w:spacing w:line="240" w:lineRule="auto" w:before="0" w:after="0"/>
        <w:ind w:left="1331" w:right="0" w:hanging="1152"/>
        <w:jc w:val="both"/>
      </w:pPr>
      <w:r>
        <w:rPr/>
        <w:t>3 </w:t>
      </w:r>
      <w:r>
        <w:rPr>
          <w:spacing w:val="12"/>
        </w:rPr>
        <w:t>CO</w:t>
      </w:r>
      <w:r>
        <w:rPr>
          <w:spacing w:val="12"/>
          <w:vertAlign w:val="subscript"/>
        </w:rPr>
        <w:t>2</w:t>
      </w:r>
      <w:r>
        <w:rPr>
          <w:spacing w:val="12"/>
          <w:vertAlign w:val="baseline"/>
        </w:rPr>
        <w:t> </w:t>
      </w:r>
      <w:r>
        <w:rPr>
          <w:spacing w:val="16"/>
          <w:vertAlign w:val="baseline"/>
        </w:rPr>
        <w:t>EMISSIONS </w:t>
      </w:r>
      <w:r>
        <w:rPr>
          <w:spacing w:val="14"/>
          <w:vertAlign w:val="baseline"/>
        </w:rPr>
        <w:t>FROM</w:t>
      </w:r>
      <w:r>
        <w:rPr>
          <w:spacing w:val="26"/>
          <w:vertAlign w:val="baseline"/>
        </w:rPr>
        <w:t> </w:t>
      </w:r>
      <w:r>
        <w:rPr>
          <w:spacing w:val="15"/>
          <w:vertAlign w:val="baseline"/>
        </w:rPr>
        <w:t>LIMING</w:t>
      </w:r>
    </w:p>
    <w:p>
      <w:pPr>
        <w:pStyle w:val="BodyText"/>
        <w:spacing w:before="210"/>
        <w:ind w:left="179" w:right="1406"/>
        <w:jc w:val="both"/>
      </w:pPr>
      <w:r>
        <w:rPr/>
        <w:t>Supplementary data provided for the Kyoto Protocol includes CO</w:t>
      </w:r>
      <w:r>
        <w:rPr>
          <w:vertAlign w:val="subscript"/>
        </w:rPr>
        <w:t>2</w:t>
      </w:r>
      <w:r>
        <w:rPr>
          <w:vertAlign w:val="baseline"/>
        </w:rPr>
        <w:t> emissions from liming of croplands only if cropland management is elected.</w:t>
      </w:r>
    </w:p>
    <w:p>
      <w:pPr>
        <w:pStyle w:val="BodyText"/>
        <w:spacing w:before="2"/>
        <w:rPr>
          <w:sz w:val="21"/>
        </w:rPr>
      </w:pPr>
    </w:p>
    <w:p>
      <w:pPr>
        <w:pStyle w:val="Heading6"/>
        <w:ind w:left="179"/>
        <w:jc w:val="both"/>
      </w:pPr>
      <w:r>
        <w:rPr/>
        <w:t>Methods for estimating CO </w:t>
      </w:r>
      <w:r>
        <w:rPr>
          <w:vertAlign w:val="subscript"/>
        </w:rPr>
        <w:t>2</w:t>
      </w:r>
      <w:r>
        <w:rPr>
          <w:vertAlign w:val="baseline"/>
        </w:rPr>
        <w:t> emissions from liming </w:t>
      </w:r>
    </w:p>
    <w:p>
      <w:pPr>
        <w:pStyle w:val="BodyText"/>
        <w:spacing w:before="56"/>
        <w:ind w:left="179" w:right="1405"/>
        <w:jc w:val="both"/>
      </w:pPr>
      <w:r>
        <w:rPr/>
        <w:t>Liming is commonly used to ameliorate soil acidification. Carbonate minerals such as limestone CaCO</w:t>
      </w:r>
      <w:r>
        <w:rPr>
          <w:vertAlign w:val="subscript"/>
        </w:rPr>
        <w:t>3</w:t>
      </w:r>
      <w:r>
        <w:rPr>
          <w:vertAlign w:val="baseline"/>
        </w:rPr>
        <w:t> and dolomite CaMg(CO</w:t>
      </w:r>
      <w:r>
        <w:rPr>
          <w:vertAlign w:val="subscript"/>
        </w:rPr>
        <w:t>3</w:t>
      </w:r>
      <w:r>
        <w:rPr>
          <w:vertAlign w:val="baseline"/>
        </w:rPr>
        <w:t>)</w:t>
      </w:r>
      <w:r>
        <w:rPr>
          <w:vertAlign w:val="subscript"/>
        </w:rPr>
        <w:t>2</w:t>
      </w:r>
      <w:r>
        <w:rPr>
          <w:vertAlign w:val="baseline"/>
        </w:rPr>
        <w:t> are usually used. When added to acid soil these compounds release CO</w:t>
      </w:r>
      <w:r>
        <w:rPr>
          <w:vertAlign w:val="subscript"/>
        </w:rPr>
        <w:t>2</w:t>
      </w:r>
      <w:r>
        <w:rPr>
          <w:vertAlign w:val="baseline"/>
        </w:rPr>
        <w:t> at a rate which will vary according to soil conditions and the compound applied. Repeat applications are made every few years but can be averaged out over time and the average annual rate is the basis for inventory calculations.</w:t>
      </w:r>
    </w:p>
    <w:p>
      <w:pPr>
        <w:pStyle w:val="BodyText"/>
        <w:spacing w:before="119"/>
        <w:ind w:left="179" w:right="1406"/>
        <w:jc w:val="both"/>
      </w:pPr>
      <w:r>
        <w:rPr>
          <w:b/>
        </w:rPr>
        <w:t>Tier 1: </w:t>
      </w:r>
      <w:r>
        <w:rPr/>
        <w:t>The Tier 1 method for estimating CO</w:t>
      </w:r>
      <w:r>
        <w:rPr>
          <w:vertAlign w:val="subscript"/>
        </w:rPr>
        <w:t>2</w:t>
      </w:r>
      <w:r>
        <w:rPr>
          <w:vertAlign w:val="baseline"/>
        </w:rPr>
        <w:t> emissions from liming is identical to that described in Chapter 3 (Section 3.3.1.2.1.1).</w:t>
      </w:r>
    </w:p>
    <w:p>
      <w:pPr>
        <w:pStyle w:val="BodyText"/>
        <w:spacing w:before="119"/>
        <w:ind w:left="179" w:right="1406"/>
        <w:jc w:val="both"/>
      </w:pPr>
      <w:r>
        <w:rPr>
          <w:b/>
        </w:rPr>
        <w:t>Tier 2: </w:t>
      </w:r>
      <w:r>
        <w:rPr/>
        <w:t>A Tier 2 method for liming uses national or regional figures in place of the  default  coefficients described in Chapter 3 (Section 3.3.1.2.1.1) for soil CO</w:t>
      </w:r>
      <w:r>
        <w:rPr>
          <w:vertAlign w:val="subscript"/>
        </w:rPr>
        <w:t>2</w:t>
      </w:r>
      <w:r>
        <w:rPr>
          <w:vertAlign w:val="baseline"/>
        </w:rPr>
        <w:t> emissions due to liming, where these are shown to be more</w:t>
      </w:r>
      <w:r>
        <w:rPr>
          <w:spacing w:val="-1"/>
          <w:vertAlign w:val="baseline"/>
        </w:rPr>
        <w:t> </w:t>
      </w:r>
      <w:r>
        <w:rPr>
          <w:vertAlign w:val="baseline"/>
        </w:rPr>
        <w:t>reliable.</w:t>
      </w:r>
    </w:p>
    <w:p>
      <w:pPr>
        <w:pStyle w:val="BodyText"/>
        <w:spacing w:before="119"/>
        <w:ind w:left="179" w:right="1407"/>
        <w:jc w:val="both"/>
      </w:pPr>
      <w:r>
        <w:rPr>
          <w:b/>
        </w:rPr>
        <w:t>Tier 3: </w:t>
      </w:r>
      <w:r>
        <w:rPr/>
        <w:t>The complex methods used at Tier 3 as described in Chapter 3 may account explicitly for liming. These may integrate effects also on non-CO</w:t>
      </w:r>
      <w:r>
        <w:rPr>
          <w:vertAlign w:val="subscript"/>
        </w:rPr>
        <w:t>2</w:t>
      </w:r>
      <w:r>
        <w:rPr>
          <w:vertAlign w:val="baseline"/>
        </w:rPr>
        <w:t> emissions. It is </w:t>
      </w:r>
      <w:r>
        <w:rPr>
          <w:i/>
          <w:vertAlign w:val="baseline"/>
        </w:rPr>
        <w:t>good practice </w:t>
      </w:r>
      <w:r>
        <w:rPr>
          <w:vertAlign w:val="baseline"/>
        </w:rPr>
        <w:t>to use such methods if they have been well- documented and evaluated.</w:t>
      </w:r>
    </w:p>
    <w:p>
      <w:pPr>
        <w:pStyle w:val="BodyText"/>
        <w:spacing w:before="5"/>
        <w:rPr>
          <w:sz w:val="21"/>
        </w:rPr>
      </w:pPr>
    </w:p>
    <w:p>
      <w:pPr>
        <w:pStyle w:val="Heading6"/>
        <w:ind w:left="179"/>
        <w:jc w:val="both"/>
      </w:pPr>
      <w:r>
        <w:rPr/>
        <w:t>Choice of carbon emission factors for liming</w:t>
      </w:r>
    </w:p>
    <w:p>
      <w:pPr>
        <w:pStyle w:val="BodyText"/>
        <w:spacing w:before="53"/>
        <w:ind w:left="179" w:right="1403"/>
        <w:jc w:val="both"/>
      </w:pPr>
      <w:r>
        <w:rPr/>
        <w:t>It is </w:t>
      </w:r>
      <w:r>
        <w:rPr>
          <w:i/>
        </w:rPr>
        <w:t>good practice </w:t>
      </w:r>
      <w:r>
        <w:rPr/>
        <w:t>to use the default values given in the Chapter 3 (Section 3.3.1.2.1.1). If a Party chooses to use alternative national emission factors (Tier 2), these should be justified by more detailed data on the composition of the lime used. Tier 3 methods may in addition include the integrated effect of liming and management practices on the non-CO</w:t>
      </w:r>
      <w:r>
        <w:rPr>
          <w:vertAlign w:val="subscript"/>
        </w:rPr>
        <w:t>2</w:t>
      </w:r>
      <w:r>
        <w:rPr>
          <w:vertAlign w:val="baseline"/>
        </w:rPr>
        <w:t> emissions. It is </w:t>
      </w:r>
      <w:r>
        <w:rPr>
          <w:i/>
          <w:vertAlign w:val="baseline"/>
        </w:rPr>
        <w:t>good practice </w:t>
      </w:r>
      <w:r>
        <w:rPr>
          <w:vertAlign w:val="baseline"/>
        </w:rPr>
        <w:t>to use such factors if they have been well-documented and evaluated.</w:t>
      </w:r>
    </w:p>
    <w:p>
      <w:pPr>
        <w:spacing w:after="0"/>
        <w:jc w:val="both"/>
        <w:sectPr>
          <w:pgSz w:w="11900" w:h="16840"/>
          <w:pgMar w:header="230" w:footer="408" w:top="560" w:bottom="600" w:left="1240" w:right="0"/>
        </w:sectPr>
      </w:pPr>
    </w:p>
    <w:p>
      <w:pPr>
        <w:pStyle w:val="BodyText"/>
      </w:pPr>
    </w:p>
    <w:p>
      <w:pPr>
        <w:pStyle w:val="BodyText"/>
        <w:rPr>
          <w:sz w:val="19"/>
        </w:rPr>
      </w:pPr>
    </w:p>
    <w:p>
      <w:pPr>
        <w:pStyle w:val="Heading6"/>
        <w:numPr>
          <w:ilvl w:val="4"/>
          <w:numId w:val="164"/>
        </w:numPr>
        <w:tabs>
          <w:tab w:pos="1332" w:val="left" w:leader="none"/>
        </w:tabs>
        <w:spacing w:line="240" w:lineRule="auto" w:before="92" w:after="0"/>
        <w:ind w:left="1331" w:right="0" w:hanging="1152"/>
        <w:jc w:val="both"/>
      </w:pPr>
      <w:r>
        <w:rPr/>
        <w:t>4 </w:t>
      </w:r>
      <w:r>
        <w:rPr>
          <w:spacing w:val="14"/>
        </w:rPr>
        <w:t>NON- </w:t>
      </w:r>
      <w:r>
        <w:rPr>
          <w:spacing w:val="9"/>
        </w:rPr>
        <w:t>CO </w:t>
      </w:r>
      <w:r>
        <w:rPr>
          <w:vertAlign w:val="subscript"/>
        </w:rPr>
        <w:t>2</w:t>
      </w:r>
      <w:r>
        <w:rPr>
          <w:vertAlign w:val="baseline"/>
        </w:rPr>
        <w:t> </w:t>
      </w:r>
      <w:r>
        <w:rPr>
          <w:spacing w:val="17"/>
          <w:vertAlign w:val="baseline"/>
        </w:rPr>
        <w:t>GREENHOUSE</w:t>
      </w:r>
      <w:r>
        <w:rPr>
          <w:spacing w:val="-9"/>
          <w:vertAlign w:val="baseline"/>
        </w:rPr>
        <w:t> </w:t>
      </w:r>
      <w:r>
        <w:rPr>
          <w:spacing w:val="15"/>
          <w:vertAlign w:val="baseline"/>
        </w:rPr>
        <w:t>GASES</w:t>
      </w:r>
    </w:p>
    <w:p>
      <w:pPr>
        <w:pStyle w:val="BodyText"/>
        <w:spacing w:before="210"/>
        <w:ind w:left="179" w:right="1405"/>
        <w:jc w:val="both"/>
      </w:pPr>
      <w:r>
        <w:rPr/>
        <w:t>Methodologies for estimating N</w:t>
      </w:r>
      <w:r>
        <w:rPr>
          <w:vertAlign w:val="subscript"/>
        </w:rPr>
        <w:t>2</w:t>
      </w:r>
      <w:r>
        <w:rPr>
          <w:vertAlign w:val="baseline"/>
        </w:rPr>
        <w:t>O and CH</w:t>
      </w:r>
      <w:r>
        <w:rPr>
          <w:vertAlign w:val="subscript"/>
        </w:rPr>
        <w:t>4</w:t>
      </w:r>
      <w:r>
        <w:rPr>
          <w:vertAlign w:val="baseline"/>
        </w:rPr>
        <w:t> emissions are given in the Agriculture Chapters of the </w:t>
      </w:r>
      <w:r>
        <w:rPr>
          <w:i/>
          <w:vertAlign w:val="baseline"/>
        </w:rPr>
        <w:t>IPCC Guidelines </w:t>
      </w:r>
      <w:r>
        <w:rPr>
          <w:vertAlign w:val="baseline"/>
        </w:rPr>
        <w:t>and the </w:t>
      </w:r>
      <w:r>
        <w:rPr>
          <w:i/>
          <w:vertAlign w:val="baseline"/>
        </w:rPr>
        <w:t>GPG2000</w:t>
      </w:r>
      <w:r>
        <w:rPr>
          <w:vertAlign w:val="baseline"/>
        </w:rPr>
        <w:t>, which give methodologies for the following sources of agricultural emissions that are related to cropland management (the list also applies to grazing land management and revegetation):</w:t>
      </w:r>
    </w:p>
    <w:p>
      <w:pPr>
        <w:pStyle w:val="ListParagraph"/>
        <w:numPr>
          <w:ilvl w:val="0"/>
          <w:numId w:val="166"/>
        </w:numPr>
        <w:tabs>
          <w:tab w:pos="540" w:val="left" w:leader="none"/>
        </w:tabs>
        <w:spacing w:line="240" w:lineRule="auto" w:before="118" w:after="0"/>
        <w:ind w:left="539" w:right="0" w:hanging="360"/>
        <w:jc w:val="both"/>
        <w:rPr>
          <w:sz w:val="20"/>
        </w:rPr>
      </w:pPr>
      <w:r>
        <w:rPr>
          <w:sz w:val="20"/>
        </w:rPr>
        <w:t>Direct N</w:t>
      </w:r>
      <w:r>
        <w:rPr>
          <w:sz w:val="20"/>
          <w:vertAlign w:val="subscript"/>
        </w:rPr>
        <w:t>2</w:t>
      </w:r>
      <w:r>
        <w:rPr>
          <w:sz w:val="20"/>
          <w:vertAlign w:val="baseline"/>
        </w:rPr>
        <w:t>O emissions from agricultural soils due</w:t>
      </w:r>
      <w:r>
        <w:rPr>
          <w:spacing w:val="-5"/>
          <w:sz w:val="20"/>
          <w:vertAlign w:val="baseline"/>
        </w:rPr>
        <w:t> </w:t>
      </w:r>
      <w:r>
        <w:rPr>
          <w:sz w:val="20"/>
          <w:vertAlign w:val="baseline"/>
        </w:rPr>
        <w:t>to</w:t>
      </w:r>
    </w:p>
    <w:p>
      <w:pPr>
        <w:pStyle w:val="ListParagraph"/>
        <w:numPr>
          <w:ilvl w:val="1"/>
          <w:numId w:val="166"/>
        </w:numPr>
        <w:tabs>
          <w:tab w:pos="879" w:val="left" w:leader="none"/>
          <w:tab w:pos="880" w:val="left" w:leader="none"/>
        </w:tabs>
        <w:spacing w:line="240" w:lineRule="auto" w:before="56" w:after="0"/>
        <w:ind w:left="880" w:right="0" w:hanging="356"/>
        <w:jc w:val="left"/>
        <w:rPr>
          <w:sz w:val="20"/>
        </w:rPr>
      </w:pPr>
      <w:r>
        <w:rPr>
          <w:sz w:val="20"/>
        </w:rPr>
        <w:t>Use of synthetic</w:t>
      </w:r>
      <w:r>
        <w:rPr>
          <w:spacing w:val="-3"/>
          <w:sz w:val="20"/>
        </w:rPr>
        <w:t> </w:t>
      </w:r>
      <w:r>
        <w:rPr>
          <w:sz w:val="20"/>
        </w:rPr>
        <w:t>fertilisers,</w:t>
      </w:r>
    </w:p>
    <w:p>
      <w:pPr>
        <w:pStyle w:val="ListParagraph"/>
        <w:numPr>
          <w:ilvl w:val="1"/>
          <w:numId w:val="166"/>
        </w:numPr>
        <w:tabs>
          <w:tab w:pos="879" w:val="left" w:leader="none"/>
          <w:tab w:pos="880" w:val="left" w:leader="none"/>
        </w:tabs>
        <w:spacing w:line="240" w:lineRule="auto" w:before="37" w:after="0"/>
        <w:ind w:left="880" w:right="0" w:hanging="356"/>
        <w:jc w:val="left"/>
        <w:rPr>
          <w:sz w:val="20"/>
        </w:rPr>
      </w:pPr>
      <w:r>
        <w:rPr>
          <w:sz w:val="20"/>
        </w:rPr>
        <w:t>Use of animal excreta as</w:t>
      </w:r>
      <w:r>
        <w:rPr>
          <w:spacing w:val="-1"/>
          <w:sz w:val="20"/>
        </w:rPr>
        <w:t> </w:t>
      </w:r>
      <w:r>
        <w:rPr>
          <w:sz w:val="20"/>
        </w:rPr>
        <w:t>fertiliser,</w:t>
      </w:r>
    </w:p>
    <w:p>
      <w:pPr>
        <w:pStyle w:val="ListParagraph"/>
        <w:numPr>
          <w:ilvl w:val="1"/>
          <w:numId w:val="166"/>
        </w:numPr>
        <w:tabs>
          <w:tab w:pos="879" w:val="left" w:leader="none"/>
          <w:tab w:pos="880" w:val="left" w:leader="none"/>
        </w:tabs>
        <w:spacing w:line="240" w:lineRule="auto" w:before="37" w:after="0"/>
        <w:ind w:left="880" w:right="0" w:hanging="356"/>
        <w:jc w:val="left"/>
        <w:rPr>
          <w:sz w:val="20"/>
        </w:rPr>
      </w:pPr>
      <w:r>
        <w:rPr>
          <w:sz w:val="20"/>
        </w:rPr>
        <w:t>Biological nitrogen fixation due to cultivation of legumes and other nitrogen fixing</w:t>
      </w:r>
      <w:r>
        <w:rPr>
          <w:spacing w:val="-13"/>
          <w:sz w:val="20"/>
        </w:rPr>
        <w:t> </w:t>
      </w:r>
      <w:r>
        <w:rPr>
          <w:sz w:val="20"/>
        </w:rPr>
        <w:t>crops,</w:t>
      </w:r>
    </w:p>
    <w:p>
      <w:pPr>
        <w:pStyle w:val="ListParagraph"/>
        <w:numPr>
          <w:ilvl w:val="1"/>
          <w:numId w:val="166"/>
        </w:numPr>
        <w:tabs>
          <w:tab w:pos="879" w:val="left" w:leader="none"/>
          <w:tab w:pos="880" w:val="left" w:leader="none"/>
        </w:tabs>
        <w:spacing w:line="240" w:lineRule="auto" w:before="39" w:after="0"/>
        <w:ind w:left="880" w:right="0" w:hanging="356"/>
        <w:jc w:val="left"/>
        <w:rPr>
          <w:sz w:val="20"/>
        </w:rPr>
      </w:pPr>
      <w:r>
        <w:rPr>
          <w:sz w:val="20"/>
        </w:rPr>
        <w:t>Crop residue and sewage sludge</w:t>
      </w:r>
      <w:r>
        <w:rPr>
          <w:spacing w:val="4"/>
          <w:sz w:val="20"/>
        </w:rPr>
        <w:t> </w:t>
      </w:r>
      <w:r>
        <w:rPr>
          <w:sz w:val="20"/>
        </w:rPr>
        <w:t>application,</w:t>
      </w:r>
    </w:p>
    <w:p>
      <w:pPr>
        <w:pStyle w:val="ListParagraph"/>
        <w:numPr>
          <w:ilvl w:val="1"/>
          <w:numId w:val="166"/>
        </w:numPr>
        <w:tabs>
          <w:tab w:pos="879" w:val="left" w:leader="none"/>
          <w:tab w:pos="880" w:val="left" w:leader="none"/>
        </w:tabs>
        <w:spacing w:line="240" w:lineRule="auto" w:before="36" w:after="0"/>
        <w:ind w:left="880" w:right="0" w:hanging="356"/>
        <w:jc w:val="left"/>
        <w:rPr>
          <w:sz w:val="20"/>
        </w:rPr>
      </w:pPr>
      <w:r>
        <w:rPr>
          <w:sz w:val="20"/>
        </w:rPr>
        <w:t>Cultivation of soils with high organic</w:t>
      </w:r>
      <w:r>
        <w:rPr>
          <w:spacing w:val="2"/>
          <w:sz w:val="20"/>
        </w:rPr>
        <w:t> </w:t>
      </w:r>
      <w:r>
        <w:rPr>
          <w:sz w:val="20"/>
        </w:rPr>
        <w:t>content;</w:t>
      </w:r>
    </w:p>
    <w:p>
      <w:pPr>
        <w:pStyle w:val="ListParagraph"/>
        <w:numPr>
          <w:ilvl w:val="0"/>
          <w:numId w:val="166"/>
        </w:numPr>
        <w:tabs>
          <w:tab w:pos="540" w:val="left" w:leader="none"/>
        </w:tabs>
        <w:spacing w:line="240" w:lineRule="auto" w:before="104" w:after="0"/>
        <w:ind w:left="539" w:right="0" w:hanging="360"/>
        <w:jc w:val="both"/>
        <w:rPr>
          <w:sz w:val="20"/>
        </w:rPr>
      </w:pPr>
      <w:r>
        <w:rPr>
          <w:sz w:val="20"/>
        </w:rPr>
        <w:t>Indirect N</w:t>
      </w:r>
      <w:r>
        <w:rPr>
          <w:sz w:val="20"/>
          <w:vertAlign w:val="subscript"/>
        </w:rPr>
        <w:t>2</w:t>
      </w:r>
      <w:r>
        <w:rPr>
          <w:sz w:val="20"/>
          <w:vertAlign w:val="baseline"/>
        </w:rPr>
        <w:t>O emissions from nitrogen used in agriculture, including emissions</w:t>
      </w:r>
      <w:r>
        <w:rPr>
          <w:spacing w:val="-7"/>
          <w:sz w:val="20"/>
          <w:vertAlign w:val="baseline"/>
        </w:rPr>
        <w:t> </w:t>
      </w:r>
      <w:r>
        <w:rPr>
          <w:sz w:val="20"/>
          <w:vertAlign w:val="baseline"/>
        </w:rPr>
        <w:t>from</w:t>
      </w:r>
    </w:p>
    <w:p>
      <w:pPr>
        <w:pStyle w:val="ListParagraph"/>
        <w:numPr>
          <w:ilvl w:val="1"/>
          <w:numId w:val="166"/>
        </w:numPr>
        <w:tabs>
          <w:tab w:pos="879" w:val="left" w:leader="none"/>
          <w:tab w:pos="880" w:val="left" w:leader="none"/>
        </w:tabs>
        <w:spacing w:line="223" w:lineRule="auto" w:before="65" w:after="0"/>
        <w:ind w:left="858" w:right="1404" w:hanging="338"/>
        <w:jc w:val="left"/>
        <w:rPr>
          <w:sz w:val="20"/>
        </w:rPr>
      </w:pPr>
      <w:r>
        <w:rPr>
          <w:sz w:val="20"/>
        </w:rPr>
        <w:t>Volatilisation and subsequent atmospheric deposition of NH</w:t>
      </w:r>
      <w:r>
        <w:rPr>
          <w:sz w:val="20"/>
          <w:vertAlign w:val="subscript"/>
        </w:rPr>
        <w:t>3</w:t>
      </w:r>
      <w:r>
        <w:rPr>
          <w:sz w:val="20"/>
          <w:vertAlign w:val="baseline"/>
        </w:rPr>
        <w:t> and NO</w:t>
      </w:r>
      <w:r>
        <w:rPr>
          <w:sz w:val="20"/>
          <w:vertAlign w:val="subscript"/>
        </w:rPr>
        <w:t>x</w:t>
      </w:r>
      <w:r>
        <w:rPr>
          <w:sz w:val="20"/>
          <w:vertAlign w:val="baseline"/>
        </w:rPr>
        <w:t> (originating from the application of fertilisers and</w:t>
      </w:r>
      <w:r>
        <w:rPr>
          <w:spacing w:val="1"/>
          <w:sz w:val="20"/>
          <w:vertAlign w:val="baseline"/>
        </w:rPr>
        <w:t> </w:t>
      </w:r>
      <w:r>
        <w:rPr>
          <w:sz w:val="20"/>
          <w:vertAlign w:val="baseline"/>
        </w:rPr>
        <w:t>manures),</w:t>
      </w:r>
    </w:p>
    <w:p>
      <w:pPr>
        <w:pStyle w:val="ListParagraph"/>
        <w:numPr>
          <w:ilvl w:val="1"/>
          <w:numId w:val="166"/>
        </w:numPr>
        <w:tabs>
          <w:tab w:pos="879" w:val="left" w:leader="none"/>
          <w:tab w:pos="880" w:val="left" w:leader="none"/>
        </w:tabs>
        <w:spacing w:line="240" w:lineRule="auto" w:before="60" w:after="0"/>
        <w:ind w:left="880" w:right="0" w:hanging="360"/>
        <w:jc w:val="left"/>
        <w:rPr>
          <w:sz w:val="20"/>
        </w:rPr>
      </w:pPr>
      <w:r>
        <w:rPr>
          <w:sz w:val="20"/>
        </w:rPr>
        <w:t>Nitrogen leaching and</w:t>
      </w:r>
      <w:r>
        <w:rPr>
          <w:spacing w:val="-2"/>
          <w:sz w:val="20"/>
        </w:rPr>
        <w:t> </w:t>
      </w:r>
      <w:r>
        <w:rPr>
          <w:sz w:val="20"/>
        </w:rPr>
        <w:t>runoff;</w:t>
      </w:r>
    </w:p>
    <w:p>
      <w:pPr>
        <w:pStyle w:val="ListParagraph"/>
        <w:numPr>
          <w:ilvl w:val="0"/>
          <w:numId w:val="166"/>
        </w:numPr>
        <w:tabs>
          <w:tab w:pos="540" w:val="left" w:leader="none"/>
        </w:tabs>
        <w:spacing w:line="240" w:lineRule="auto" w:before="102" w:after="0"/>
        <w:ind w:left="539" w:right="0" w:hanging="360"/>
        <w:jc w:val="both"/>
        <w:rPr>
          <w:sz w:val="20"/>
        </w:rPr>
      </w:pPr>
      <w:r>
        <w:rPr>
          <w:sz w:val="20"/>
        </w:rPr>
        <w:t>CH</w:t>
      </w:r>
      <w:r>
        <w:rPr>
          <w:sz w:val="20"/>
          <w:vertAlign w:val="subscript"/>
        </w:rPr>
        <w:t>4</w:t>
      </w:r>
      <w:r>
        <w:rPr>
          <w:sz w:val="20"/>
          <w:vertAlign w:val="baseline"/>
        </w:rPr>
        <w:t> emissions from rice</w:t>
      </w:r>
      <w:r>
        <w:rPr>
          <w:spacing w:val="-3"/>
          <w:sz w:val="20"/>
          <w:vertAlign w:val="baseline"/>
        </w:rPr>
        <w:t> </w:t>
      </w:r>
      <w:r>
        <w:rPr>
          <w:sz w:val="20"/>
          <w:vertAlign w:val="baseline"/>
        </w:rPr>
        <w:t>cultivation;</w:t>
      </w:r>
    </w:p>
    <w:p>
      <w:pPr>
        <w:pStyle w:val="ListParagraph"/>
        <w:numPr>
          <w:ilvl w:val="0"/>
          <w:numId w:val="166"/>
        </w:numPr>
        <w:tabs>
          <w:tab w:pos="540" w:val="left" w:leader="none"/>
        </w:tabs>
        <w:spacing w:line="240" w:lineRule="auto" w:before="120" w:after="0"/>
        <w:ind w:left="539" w:right="0" w:hanging="360"/>
        <w:jc w:val="both"/>
        <w:rPr>
          <w:sz w:val="20"/>
        </w:rPr>
      </w:pPr>
      <w:r>
        <w:rPr>
          <w:sz w:val="20"/>
        </w:rPr>
        <w:t>Non-CO</w:t>
      </w:r>
      <w:r>
        <w:rPr>
          <w:sz w:val="20"/>
          <w:vertAlign w:val="subscript"/>
        </w:rPr>
        <w:t>2</w:t>
      </w:r>
      <w:r>
        <w:rPr>
          <w:sz w:val="20"/>
          <w:vertAlign w:val="baseline"/>
        </w:rPr>
        <w:t> emissions from burning of</w:t>
      </w:r>
      <w:r>
        <w:rPr>
          <w:spacing w:val="-9"/>
          <w:sz w:val="20"/>
          <w:vertAlign w:val="baseline"/>
        </w:rPr>
        <w:t> </w:t>
      </w:r>
      <w:r>
        <w:rPr>
          <w:sz w:val="20"/>
          <w:vertAlign w:val="baseline"/>
        </w:rPr>
        <w:t>vegetation;</w:t>
      </w:r>
    </w:p>
    <w:p>
      <w:pPr>
        <w:pStyle w:val="ListParagraph"/>
        <w:numPr>
          <w:ilvl w:val="0"/>
          <w:numId w:val="166"/>
        </w:numPr>
        <w:tabs>
          <w:tab w:pos="540" w:val="left" w:leader="none"/>
        </w:tabs>
        <w:spacing w:line="240" w:lineRule="auto" w:before="121" w:after="0"/>
        <w:ind w:left="539" w:right="0" w:hanging="360"/>
        <w:jc w:val="both"/>
        <w:rPr>
          <w:sz w:val="20"/>
        </w:rPr>
      </w:pPr>
      <w:r>
        <w:rPr>
          <w:sz w:val="20"/>
        </w:rPr>
        <w:t>CH</w:t>
      </w:r>
      <w:r>
        <w:rPr>
          <w:sz w:val="20"/>
          <w:vertAlign w:val="subscript"/>
        </w:rPr>
        <w:t>4</w:t>
      </w:r>
      <w:r>
        <w:rPr>
          <w:sz w:val="20"/>
          <w:vertAlign w:val="baseline"/>
        </w:rPr>
        <w:t> from enteric</w:t>
      </w:r>
      <w:r>
        <w:rPr>
          <w:spacing w:val="1"/>
          <w:sz w:val="20"/>
          <w:vertAlign w:val="baseline"/>
        </w:rPr>
        <w:t> </w:t>
      </w:r>
      <w:r>
        <w:rPr>
          <w:sz w:val="20"/>
          <w:vertAlign w:val="baseline"/>
        </w:rPr>
        <w:t>fermentation;</w:t>
      </w:r>
    </w:p>
    <w:p>
      <w:pPr>
        <w:pStyle w:val="ListParagraph"/>
        <w:numPr>
          <w:ilvl w:val="0"/>
          <w:numId w:val="166"/>
        </w:numPr>
        <w:tabs>
          <w:tab w:pos="540" w:val="left" w:leader="none"/>
        </w:tabs>
        <w:spacing w:line="240" w:lineRule="auto" w:before="120" w:after="0"/>
        <w:ind w:left="539" w:right="0" w:hanging="360"/>
        <w:jc w:val="both"/>
        <w:rPr>
          <w:sz w:val="20"/>
        </w:rPr>
      </w:pPr>
      <w:r>
        <w:rPr>
          <w:sz w:val="20"/>
        </w:rPr>
        <w:t>CH</w:t>
      </w:r>
      <w:r>
        <w:rPr>
          <w:sz w:val="20"/>
          <w:vertAlign w:val="subscript"/>
        </w:rPr>
        <w:t>4</w:t>
      </w:r>
      <w:r>
        <w:rPr>
          <w:sz w:val="20"/>
          <w:vertAlign w:val="baseline"/>
        </w:rPr>
        <w:t> and N</w:t>
      </w:r>
      <w:r>
        <w:rPr>
          <w:sz w:val="20"/>
          <w:vertAlign w:val="subscript"/>
        </w:rPr>
        <w:t>2</w:t>
      </w:r>
      <w:r>
        <w:rPr>
          <w:sz w:val="20"/>
          <w:vertAlign w:val="baseline"/>
        </w:rPr>
        <w:t>O emissions from manure</w:t>
      </w:r>
      <w:r>
        <w:rPr>
          <w:spacing w:val="2"/>
          <w:sz w:val="20"/>
          <w:vertAlign w:val="baseline"/>
        </w:rPr>
        <w:t> </w:t>
      </w:r>
      <w:r>
        <w:rPr>
          <w:sz w:val="20"/>
          <w:vertAlign w:val="baseline"/>
        </w:rPr>
        <w:t>management.</w:t>
      </w:r>
    </w:p>
    <w:p>
      <w:pPr>
        <w:pStyle w:val="BodyText"/>
        <w:spacing w:before="118"/>
        <w:ind w:left="179" w:right="1406"/>
        <w:jc w:val="both"/>
      </w:pPr>
      <w:r>
        <w:rPr/>
        <w:t>These emissions should not be reported under cropland management but as agricultural emissions</w:t>
      </w:r>
      <w:r>
        <w:rPr>
          <w:vertAlign w:val="superscript"/>
        </w:rPr>
        <w:t>59</w:t>
      </w:r>
      <w:r>
        <w:rPr>
          <w:vertAlign w:val="baseline"/>
        </w:rPr>
        <w:t> and are covered in Chapter 4 (Agriculture) of the </w:t>
      </w:r>
      <w:r>
        <w:rPr>
          <w:i/>
          <w:vertAlign w:val="baseline"/>
        </w:rPr>
        <w:t>GPG2000</w:t>
      </w:r>
      <w:r>
        <w:rPr>
          <w:vertAlign w:val="baseline"/>
        </w:rPr>
        <w:t>. Even for Parties that do not elect cropland management under Article 3.4, these emissions should be reported as emissions from sources listed in the Annex A to the Kyoto Protocol. Parties that elect cropland management should also report these emissions in the agriculture sector and not include them under Article 3.4.</w:t>
      </w:r>
    </w:p>
    <w:p>
      <w:pPr>
        <w:pStyle w:val="BodyText"/>
        <w:spacing w:before="120"/>
        <w:ind w:left="179" w:right="1404"/>
        <w:jc w:val="both"/>
      </w:pPr>
      <w:r>
        <w:rPr/>
        <w:t>Non-CO</w:t>
      </w:r>
      <w:r>
        <w:rPr>
          <w:vertAlign w:val="subscript"/>
        </w:rPr>
        <w:t>2</w:t>
      </w:r>
      <w:r>
        <w:rPr>
          <w:vertAlign w:val="baseline"/>
        </w:rPr>
        <w:t> emissions/removals on deforested lands converted to cropland (Article 3.3) need to be reported separately from those under cropland management (Article 3.4). If non-CO</w:t>
      </w:r>
      <w:r>
        <w:rPr>
          <w:vertAlign w:val="subscript"/>
        </w:rPr>
        <w:t>2</w:t>
      </w:r>
      <w:r>
        <w:rPr>
          <w:vertAlign w:val="baseline"/>
        </w:rPr>
        <w:t> emissions/removals on deforested land cannot be determined directly, they may be estimated as a fraction of total non-CO</w:t>
      </w:r>
      <w:r>
        <w:rPr>
          <w:vertAlign w:val="subscript"/>
        </w:rPr>
        <w:t>2</w:t>
      </w:r>
      <w:r>
        <w:rPr>
          <w:vertAlign w:val="baseline"/>
        </w:rPr>
        <w:t> emissions/removals from cropland, corresponding to the area of total cropland on deforested land. For example, if 10% of the cropland area is on deforested land, then 10% of total cropland non-CO</w:t>
      </w:r>
      <w:r>
        <w:rPr>
          <w:vertAlign w:val="subscript"/>
        </w:rPr>
        <w:t>2</w:t>
      </w:r>
      <w:r>
        <w:rPr>
          <w:vertAlign w:val="baseline"/>
        </w:rPr>
        <w:t> emissions/removals would be ascribed to lands that have been subject to deforestation since</w:t>
      </w:r>
      <w:r>
        <w:rPr>
          <w:spacing w:val="-1"/>
          <w:vertAlign w:val="baseline"/>
        </w:rPr>
        <w:t> </w:t>
      </w:r>
      <w:r>
        <w:rPr>
          <w:vertAlign w:val="baseline"/>
        </w:rPr>
        <w:t>1990.</w:t>
      </w:r>
    </w:p>
    <w:p>
      <w:pPr>
        <w:pStyle w:val="BodyText"/>
        <w:spacing w:before="120"/>
        <w:ind w:left="179" w:right="1407"/>
        <w:jc w:val="both"/>
      </w:pPr>
      <w:r>
        <w:rPr/>
        <w:t>Some management practices adopted to increase soil carbon may also influence the emissions of non-CO</w:t>
      </w:r>
      <w:r>
        <w:rPr>
          <w:vertAlign w:val="subscript"/>
        </w:rPr>
        <w:t>2</w:t>
      </w:r>
      <w:r>
        <w:rPr>
          <w:vertAlign w:val="baseline"/>
        </w:rPr>
        <w:t> gases. Many of these effects are included in the Agriculture Chapters of the </w:t>
      </w:r>
      <w:r>
        <w:rPr>
          <w:i/>
          <w:vertAlign w:val="baseline"/>
        </w:rPr>
        <w:t>IPCC Guidelines </w:t>
      </w:r>
      <w:r>
        <w:rPr>
          <w:vertAlign w:val="baseline"/>
        </w:rPr>
        <w:t>and </w:t>
      </w:r>
      <w:r>
        <w:rPr>
          <w:i/>
          <w:vertAlign w:val="baseline"/>
        </w:rPr>
        <w:t>GPG2000</w:t>
      </w:r>
      <w:r>
        <w:rPr>
          <w:vertAlign w:val="baseline"/>
        </w:rPr>
        <w:t>, but there may be other effects on non-CO</w:t>
      </w:r>
      <w:r>
        <w:rPr>
          <w:vertAlign w:val="subscript"/>
        </w:rPr>
        <w:t>2</w:t>
      </w:r>
      <w:r>
        <w:rPr>
          <w:vertAlign w:val="baseline"/>
        </w:rPr>
        <w:t> gases not considered in the </w:t>
      </w:r>
      <w:r>
        <w:rPr>
          <w:i/>
          <w:vertAlign w:val="baseline"/>
        </w:rPr>
        <w:t>IPCC Guidelines </w:t>
      </w:r>
      <w:r>
        <w:rPr>
          <w:vertAlign w:val="baseline"/>
        </w:rPr>
        <w:t>and </w:t>
      </w:r>
      <w:r>
        <w:rPr>
          <w:i/>
          <w:vertAlign w:val="baseline"/>
        </w:rPr>
        <w:t>GPG2000 </w:t>
      </w:r>
      <w:r>
        <w:rPr>
          <w:vertAlign w:val="baseline"/>
        </w:rPr>
        <w:t>(see examples presented in Box 4.2.11).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2"/>
        </w:rPr>
      </w:pPr>
      <w:r>
        <w:rPr/>
        <w:pict>
          <v:line style="position:absolute;mso-position-horizontal-relative:page;mso-position-vertical-relative:paragraph;z-index:25184;mso-wrap-distance-left:0;mso-wrap-distance-right:0" from="70.960999pt,9.28335pt" to="214.960999pt,9.28335pt" stroked="true" strokeweight=".48pt" strokecolor="#000000">
            <v:stroke dashstyle="solid"/>
            <w10:wrap type="topAndBottom"/>
          </v:line>
        </w:pict>
      </w:r>
    </w:p>
    <w:p>
      <w:pPr>
        <w:spacing w:line="231" w:lineRule="exact" w:before="153"/>
        <w:ind w:left="179" w:right="0" w:firstLine="0"/>
        <w:jc w:val="left"/>
        <w:rPr>
          <w:sz w:val="18"/>
        </w:rPr>
      </w:pPr>
      <w:r>
        <w:rPr>
          <w:position w:val="8"/>
          <w:sz w:val="12"/>
        </w:rPr>
        <w:t>59 </w:t>
      </w:r>
      <w:r>
        <w:rPr>
          <w:sz w:val="18"/>
        </w:rPr>
        <w:t>According to the Marrakesh Accords estimates of emissions from sources and removals by sinks from for Article 3.3 and</w:t>
      </w:r>
    </w:p>
    <w:p>
      <w:pPr>
        <w:spacing w:before="0"/>
        <w:ind w:left="337" w:right="1405" w:firstLine="0"/>
        <w:jc w:val="both"/>
        <w:rPr>
          <w:sz w:val="18"/>
        </w:rPr>
      </w:pPr>
      <w:r>
        <w:rPr>
          <w:sz w:val="18"/>
        </w:rPr>
        <w:t>3.4 activities are to be clearly distinguished from anthropogenic emissions from the sources listed in Annex A to the Kyoto Protocol (cf. paragraph 5 in the Annex to draft decision -/CMP.1 (Article 7), contained in document FCCC/CP/2001/13/Add.3, p.22).</w:t>
      </w:r>
    </w:p>
    <w:p>
      <w:pPr>
        <w:spacing w:after="0"/>
        <w:jc w:val="both"/>
        <w:rPr>
          <w:sz w:val="18"/>
        </w:rPr>
        <w:sectPr>
          <w:pgSz w:w="11900" w:h="16840"/>
          <w:pgMar w:header="230" w:footer="408" w:top="560" w:bottom="600" w:left="1240" w:right="0"/>
        </w:sectPr>
      </w:pPr>
    </w:p>
    <w:p>
      <w:pPr>
        <w:pStyle w:val="BodyText"/>
      </w:pPr>
    </w:p>
    <w:p>
      <w:pPr>
        <w:pStyle w:val="BodyText"/>
        <w:rPr>
          <w:sz w:val="22"/>
        </w:rPr>
      </w:pPr>
    </w:p>
    <w:p>
      <w:pPr>
        <w:spacing w:before="92"/>
        <w:ind w:left="1892" w:right="3121" w:firstLine="0"/>
        <w:jc w:val="center"/>
        <w:rPr>
          <w:b/>
          <w:sz w:val="18"/>
        </w:rPr>
      </w:pPr>
      <w:r>
        <w:rPr/>
        <w:pict>
          <v:group style="position:absolute;margin-left:91.240997pt;margin-top:-1.877356pt;width:412.95pt;height:391pt;mso-position-horizontal-relative:page;mso-position-vertical-relative:paragraph;z-index:-2428912" coordorigin="1825,-38" coordsize="8259,7820">
            <v:line style="position:absolute" from="1854,-23" to="10054,-23" stroked="true" strokeweight="1.44pt" strokecolor="#000000">
              <v:stroke dashstyle="solid"/>
            </v:line>
            <v:shape style="position:absolute;left:1839;top:-38;width:8216;height:7820" coordorigin="1839,-38" coordsize="8216,7820" path="m1854,7767l10054,7767m1839,-38l1839,7782e" filled="false" stroked="true" strokeweight="1.44pt" strokecolor="#000000">
              <v:path arrowok="t"/>
              <v:stroke dashstyle="solid"/>
            </v:shape>
            <v:line style="position:absolute" from="10069,-38" to="10069,7782" stroked="true" strokeweight="1.44pt" strokecolor="#000000">
              <v:stroke dashstyle="solid"/>
            </v:line>
            <w10:wrap type="none"/>
          </v:group>
        </w:pict>
      </w:r>
      <w:r>
        <w:rPr>
          <w:b/>
          <w:sz w:val="18"/>
        </w:rPr>
        <w:t>B</w:t>
      </w:r>
      <w:r>
        <w:rPr>
          <w:b/>
          <w:sz w:val="14"/>
        </w:rPr>
        <w:t>OX </w:t>
      </w:r>
      <w:r>
        <w:rPr>
          <w:b/>
          <w:sz w:val="18"/>
        </w:rPr>
        <w:t>4.2.11</w:t>
      </w:r>
    </w:p>
    <w:p>
      <w:pPr>
        <w:spacing w:before="2"/>
        <w:ind w:left="1048" w:right="0" w:firstLine="0"/>
        <w:jc w:val="left"/>
        <w:rPr>
          <w:b/>
          <w:sz w:val="14"/>
        </w:rPr>
      </w:pPr>
      <w:r>
        <w:rPr>
          <w:b/>
          <w:sz w:val="18"/>
        </w:rPr>
        <w:t>E</w:t>
      </w:r>
      <w:r>
        <w:rPr>
          <w:b/>
          <w:sz w:val="14"/>
        </w:rPr>
        <w:t>XAMPLES OF POSSIBLE INFLUENCES OF CARBON STOCK CHANGES ON EMISSIONS OF NON</w:t>
      </w:r>
      <w:r>
        <w:rPr>
          <w:b/>
          <w:sz w:val="18"/>
        </w:rPr>
        <w:t>-CO</w:t>
      </w:r>
      <w:r>
        <w:rPr>
          <w:b/>
          <w:position w:val="-2"/>
          <w:sz w:val="12"/>
        </w:rPr>
        <w:t>2 </w:t>
      </w:r>
      <w:r>
        <w:rPr>
          <w:b/>
          <w:sz w:val="14"/>
        </w:rPr>
        <w:t>GASES</w:t>
      </w:r>
    </w:p>
    <w:p>
      <w:pPr>
        <w:spacing w:line="228" w:lineRule="exact" w:before="101"/>
        <w:ind w:left="740" w:right="0" w:firstLine="0"/>
        <w:jc w:val="left"/>
        <w:rPr>
          <w:b/>
          <w:sz w:val="20"/>
        </w:rPr>
      </w:pPr>
      <w:r>
        <w:rPr>
          <w:b/>
          <w:sz w:val="20"/>
        </w:rPr>
        <w:t>Example 1: Influence of reduced tillage on N</w:t>
      </w:r>
      <w:r>
        <w:rPr>
          <w:b/>
          <w:sz w:val="20"/>
          <w:vertAlign w:val="subscript"/>
        </w:rPr>
        <w:t>2</w:t>
      </w:r>
      <w:r>
        <w:rPr>
          <w:b/>
          <w:sz w:val="20"/>
          <w:vertAlign w:val="baseline"/>
        </w:rPr>
        <w:t>O emission.</w:t>
      </w:r>
    </w:p>
    <w:p>
      <w:pPr>
        <w:pStyle w:val="BodyText"/>
        <w:ind w:left="740" w:right="1968"/>
        <w:jc w:val="both"/>
      </w:pPr>
      <w:r>
        <w:rPr/>
        <w:t>Adoption of reduced or no-tillage often increases soil carbon in croplands. However, at the same time it may also alter N</w:t>
      </w:r>
      <w:r>
        <w:rPr>
          <w:vertAlign w:val="subscript"/>
        </w:rPr>
        <w:t>2</w:t>
      </w:r>
      <w:r>
        <w:rPr>
          <w:vertAlign w:val="baseline"/>
        </w:rPr>
        <w:t>O emissions, through effects on porosity (and the fraction of the porosity occupied by water), N cycling, temperature, and other factors (e.g., Weier </w:t>
      </w:r>
      <w:r>
        <w:rPr>
          <w:i/>
          <w:vertAlign w:val="baseline"/>
        </w:rPr>
        <w:t>et al.</w:t>
      </w:r>
      <w:r>
        <w:rPr>
          <w:vertAlign w:val="baseline"/>
        </w:rPr>
        <w:t>, 1996; MacKenzie </w:t>
      </w:r>
      <w:r>
        <w:rPr>
          <w:i/>
          <w:vertAlign w:val="baseline"/>
        </w:rPr>
        <w:t>et al.</w:t>
      </w:r>
      <w:r>
        <w:rPr>
          <w:vertAlign w:val="baseline"/>
        </w:rPr>
        <w:t>, 1998; Robertson </w:t>
      </w:r>
      <w:r>
        <w:rPr>
          <w:i/>
          <w:vertAlign w:val="baseline"/>
        </w:rPr>
        <w:t>et al.</w:t>
      </w:r>
      <w:r>
        <w:rPr>
          <w:vertAlign w:val="baseline"/>
        </w:rPr>
        <w:t>, 2000; Smith </w:t>
      </w:r>
      <w:r>
        <w:rPr>
          <w:i/>
          <w:vertAlign w:val="baseline"/>
        </w:rPr>
        <w:t>et al</w:t>
      </w:r>
      <w:r>
        <w:rPr>
          <w:vertAlign w:val="baseline"/>
        </w:rPr>
        <w:t>., 2001). The observations are inconclusive, with some studies showing higher N</w:t>
      </w:r>
      <w:r>
        <w:rPr>
          <w:vertAlign w:val="subscript"/>
        </w:rPr>
        <w:t>2</w:t>
      </w:r>
      <w:r>
        <w:rPr>
          <w:vertAlign w:val="baseline"/>
        </w:rPr>
        <w:t>O emission under no-till than under tilled systems, and others showing little effect or lower N</w:t>
      </w:r>
      <w:r>
        <w:rPr>
          <w:vertAlign w:val="subscript"/>
        </w:rPr>
        <w:t>2</w:t>
      </w:r>
      <w:r>
        <w:rPr>
          <w:vertAlign w:val="baseline"/>
        </w:rPr>
        <w:t>O emissions. The available data suggest that this variable response depends on interactive effects of soil and climate, and that wetter environments with poorer aeration, in which N</w:t>
      </w:r>
      <w:r>
        <w:rPr>
          <w:vertAlign w:val="subscript"/>
        </w:rPr>
        <w:t>2</w:t>
      </w:r>
      <w:r>
        <w:rPr>
          <w:vertAlign w:val="baseline"/>
        </w:rPr>
        <w:t>O emissions generally tend to be highest, are also associated with higher emissions under no-till than under conventional tillage (e.g., Linn and Doran, 1984; Weier </w:t>
      </w:r>
      <w:r>
        <w:rPr>
          <w:i/>
          <w:vertAlign w:val="baseline"/>
        </w:rPr>
        <w:t>et al.</w:t>
      </w:r>
      <w:r>
        <w:rPr>
          <w:vertAlign w:val="baseline"/>
        </w:rPr>
        <w:t>, 1996; Vinten </w:t>
      </w:r>
      <w:r>
        <w:rPr>
          <w:i/>
          <w:vertAlign w:val="baseline"/>
        </w:rPr>
        <w:t>et al.</w:t>
      </w:r>
      <w:r>
        <w:rPr>
          <w:vertAlign w:val="baseline"/>
        </w:rPr>
        <w:t>, 2002).</w:t>
      </w:r>
    </w:p>
    <w:p>
      <w:pPr>
        <w:spacing w:line="228" w:lineRule="exact" w:before="119"/>
        <w:ind w:left="740" w:right="0" w:firstLine="0"/>
        <w:jc w:val="left"/>
        <w:rPr>
          <w:b/>
          <w:sz w:val="20"/>
        </w:rPr>
      </w:pPr>
      <w:r>
        <w:rPr>
          <w:b/>
          <w:sz w:val="20"/>
        </w:rPr>
        <w:t>Example 2: Links between organic matter turnover and N</w:t>
      </w:r>
      <w:r>
        <w:rPr>
          <w:b/>
          <w:sz w:val="20"/>
          <w:vertAlign w:val="subscript"/>
        </w:rPr>
        <w:t>2</w:t>
      </w:r>
      <w:r>
        <w:rPr>
          <w:b/>
          <w:sz w:val="20"/>
          <w:vertAlign w:val="baseline"/>
        </w:rPr>
        <w:t>O emission.</w:t>
      </w:r>
    </w:p>
    <w:p>
      <w:pPr>
        <w:pStyle w:val="BodyText"/>
        <w:ind w:left="740" w:right="1967"/>
        <w:jc w:val="both"/>
      </w:pPr>
      <w:r>
        <w:rPr/>
        <w:t>Organic matter in soil is continually decomposing, resulting in the release of ammonia, and of nitrate. A portion of this ‘available’ N may be converted to N</w:t>
      </w:r>
      <w:r>
        <w:rPr>
          <w:vertAlign w:val="subscript"/>
        </w:rPr>
        <w:t>2</w:t>
      </w:r>
      <w:r>
        <w:rPr>
          <w:vertAlign w:val="baseline"/>
        </w:rPr>
        <w:t>O. Consequently, practices that increase the rate of organic matter decomposition (e.g., ploughing of grasslands, increased use of ‘fallow’ periods) may stimulate N</w:t>
      </w:r>
      <w:r>
        <w:rPr>
          <w:vertAlign w:val="subscript"/>
        </w:rPr>
        <w:t>2</w:t>
      </w:r>
      <w:r>
        <w:rPr>
          <w:vertAlign w:val="baseline"/>
        </w:rPr>
        <w:t>O emissions. In contrast, re-planting grasslands and reducing ‘fallow’ frequency may reduce N</w:t>
      </w:r>
      <w:r>
        <w:rPr>
          <w:vertAlign w:val="subscript"/>
        </w:rPr>
        <w:t>2</w:t>
      </w:r>
      <w:r>
        <w:rPr>
          <w:vertAlign w:val="baseline"/>
        </w:rPr>
        <w:t>O emissions. The significance and magnitude of these effects, however, are not well-understood and it may not be possible to quantify them reliably at this stage.</w:t>
      </w:r>
    </w:p>
    <w:p>
      <w:pPr>
        <w:spacing w:line="228" w:lineRule="exact" w:before="121"/>
        <w:ind w:left="740" w:right="0" w:firstLine="0"/>
        <w:jc w:val="left"/>
        <w:rPr>
          <w:b/>
          <w:sz w:val="20"/>
        </w:rPr>
      </w:pPr>
      <w:r>
        <w:rPr>
          <w:b/>
          <w:sz w:val="20"/>
        </w:rPr>
        <w:t>Example 3: Effect of cropland management on CH</w:t>
      </w:r>
      <w:r>
        <w:rPr>
          <w:b/>
          <w:sz w:val="20"/>
          <w:vertAlign w:val="subscript"/>
        </w:rPr>
        <w:t>4</w:t>
      </w:r>
      <w:r>
        <w:rPr>
          <w:b/>
          <w:sz w:val="20"/>
          <w:vertAlign w:val="baseline"/>
        </w:rPr>
        <w:t> oxidation.</w:t>
      </w:r>
    </w:p>
    <w:p>
      <w:pPr>
        <w:pStyle w:val="BodyText"/>
        <w:ind w:left="740" w:right="1969"/>
        <w:jc w:val="both"/>
      </w:pPr>
      <w:r>
        <w:rPr/>
        <w:t>Some practices that enhance soil carbon in croplands may also influence the rate of CH</w:t>
      </w:r>
      <w:r>
        <w:rPr>
          <w:vertAlign w:val="subscript"/>
        </w:rPr>
        <w:t>4</w:t>
      </w:r>
      <w:r>
        <w:rPr>
          <w:vertAlign w:val="baseline"/>
        </w:rPr>
        <w:t> oxidation in soils, negatively or positively (e.g., Smith </w:t>
      </w:r>
      <w:r>
        <w:rPr>
          <w:i/>
          <w:vertAlign w:val="baseline"/>
        </w:rPr>
        <w:t>et al</w:t>
      </w:r>
      <w:r>
        <w:rPr>
          <w:vertAlign w:val="baseline"/>
        </w:rPr>
        <w:t>., 2001). Often these effects are smaller than those on N</w:t>
      </w:r>
      <w:r>
        <w:rPr>
          <w:vertAlign w:val="subscript"/>
        </w:rPr>
        <w:t>2</w:t>
      </w:r>
      <w:r>
        <w:rPr>
          <w:vertAlign w:val="baseline"/>
        </w:rPr>
        <w:t>O, when expressed in units of</w:t>
      </w:r>
      <w:r>
        <w:rPr>
          <w:spacing w:val="-2"/>
          <w:vertAlign w:val="baseline"/>
        </w:rPr>
        <w:t> </w:t>
      </w:r>
      <w:r>
        <w:rPr>
          <w:vertAlign w:val="baseline"/>
        </w:rPr>
        <w:t>CO</w:t>
      </w:r>
      <w:r>
        <w:rPr>
          <w:vertAlign w:val="subscript"/>
        </w:rPr>
        <w:t>2</w:t>
      </w:r>
      <w:r>
        <w:rPr>
          <w:vertAlign w:val="baseline"/>
        </w:rPr>
        <w:t>-equivalence.</w:t>
      </w:r>
    </w:p>
    <w:p>
      <w:pPr>
        <w:spacing w:line="228" w:lineRule="exact" w:before="121"/>
        <w:ind w:left="740" w:right="0" w:firstLine="0"/>
        <w:jc w:val="left"/>
        <w:rPr>
          <w:b/>
          <w:sz w:val="20"/>
        </w:rPr>
      </w:pPr>
      <w:r>
        <w:rPr>
          <w:b/>
          <w:sz w:val="20"/>
        </w:rPr>
        <w:t>Example 4: Effect of draining organic soils.</w:t>
      </w:r>
    </w:p>
    <w:p>
      <w:pPr>
        <w:pStyle w:val="BodyText"/>
        <w:ind w:left="740" w:right="1969"/>
        <w:jc w:val="both"/>
      </w:pPr>
      <w:r>
        <w:rPr/>
        <w:t>Emissions of CH</w:t>
      </w:r>
      <w:r>
        <w:rPr>
          <w:vertAlign w:val="subscript"/>
        </w:rPr>
        <w:t>4</w:t>
      </w:r>
      <w:r>
        <w:rPr>
          <w:vertAlign w:val="baseline"/>
        </w:rPr>
        <w:t> may decrease as CO</w:t>
      </w:r>
      <w:r>
        <w:rPr>
          <w:vertAlign w:val="subscript"/>
        </w:rPr>
        <w:t>2</w:t>
      </w:r>
      <w:r>
        <w:rPr>
          <w:vertAlign w:val="baseline"/>
        </w:rPr>
        <w:t> losses increase with soil drainage, and N</w:t>
      </w:r>
      <w:r>
        <w:rPr>
          <w:vertAlign w:val="subscript"/>
        </w:rPr>
        <w:t>2</w:t>
      </w:r>
      <w:r>
        <w:rPr>
          <w:vertAlign w:val="baseline"/>
        </w:rPr>
        <w:t>O emissions may also be affected. (Note that the </w:t>
      </w:r>
      <w:r>
        <w:rPr>
          <w:i/>
          <w:vertAlign w:val="baseline"/>
        </w:rPr>
        <w:t>IPCC Guidelines </w:t>
      </w:r>
      <w:r>
        <w:rPr>
          <w:vertAlign w:val="baseline"/>
        </w:rPr>
        <w:t>assume that all carbon is lost as CO</w:t>
      </w:r>
      <w:r>
        <w:rPr>
          <w:vertAlign w:val="subscript"/>
        </w:rPr>
        <w:t>2</w:t>
      </w:r>
      <w:r>
        <w:rPr>
          <w:vertAlign w:val="baseline"/>
        </w:rPr>
        <w:t>; if this is departed from, it must be justified by scientifically sound and well-documented data. Methods for estimating N</w:t>
      </w:r>
      <w:r>
        <w:rPr>
          <w:vertAlign w:val="subscript"/>
        </w:rPr>
        <w:t>2</w:t>
      </w:r>
      <w:r>
        <w:rPr>
          <w:vertAlign w:val="baseline"/>
        </w:rPr>
        <w:t>O emissions from cultivated organic soils are given in the Agriculture Chapters of  the </w:t>
      </w:r>
      <w:r>
        <w:rPr>
          <w:i/>
          <w:vertAlign w:val="baseline"/>
        </w:rPr>
        <w:t>IPCC Guidelines </w:t>
      </w:r>
      <w:r>
        <w:rPr>
          <w:vertAlign w:val="baseline"/>
        </w:rPr>
        <w:t>and </w:t>
      </w:r>
      <w:r>
        <w:rPr>
          <w:i/>
          <w:vertAlign w:val="baseline"/>
        </w:rPr>
        <w:t>GPG2000</w:t>
      </w:r>
      <w:r>
        <w:rPr>
          <w:vertAlign w:val="baseline"/>
        </w:rPr>
        <w:t>, and these emissions should be reported as described there to avoid double-counting.).</w:t>
      </w:r>
    </w:p>
    <w:p>
      <w:pPr>
        <w:pStyle w:val="BodyText"/>
      </w:pPr>
    </w:p>
    <w:p>
      <w:pPr>
        <w:pStyle w:val="BodyText"/>
        <w:spacing w:before="1"/>
        <w:rPr>
          <w:sz w:val="24"/>
        </w:rPr>
      </w:pPr>
    </w:p>
    <w:p>
      <w:pPr>
        <w:pStyle w:val="BodyText"/>
        <w:spacing w:before="91"/>
        <w:ind w:left="179" w:right="1406"/>
        <w:jc w:val="both"/>
      </w:pPr>
      <w:r>
        <w:rPr/>
        <w:t>The effects on non-CO</w:t>
      </w:r>
      <w:r>
        <w:rPr>
          <w:vertAlign w:val="subscript"/>
        </w:rPr>
        <w:t>2</w:t>
      </w:r>
      <w:r>
        <w:rPr>
          <w:vertAlign w:val="baseline"/>
        </w:rPr>
        <w:t> emissions of these and other management practices may be included in higher tier methods for agriculture, as noted in </w:t>
      </w:r>
      <w:r>
        <w:rPr>
          <w:i/>
          <w:vertAlign w:val="baseline"/>
        </w:rPr>
        <w:t>GPG2000 </w:t>
      </w:r>
      <w:r>
        <w:rPr>
          <w:vertAlign w:val="baseline"/>
        </w:rPr>
        <w:t>(Section 4.7, page 4.53 to 4.66). Where estimated, they should still be reported with Agriculture, to avoid double counting. Examples of how these effects could be estimated include:</w:t>
      </w:r>
    </w:p>
    <w:p>
      <w:pPr>
        <w:pStyle w:val="ListParagraph"/>
        <w:numPr>
          <w:ilvl w:val="0"/>
          <w:numId w:val="117"/>
        </w:numPr>
        <w:tabs>
          <w:tab w:pos="540" w:val="left" w:leader="none"/>
        </w:tabs>
        <w:spacing w:line="240" w:lineRule="auto" w:before="134" w:after="0"/>
        <w:ind w:left="539" w:right="0" w:hanging="360"/>
        <w:jc w:val="both"/>
        <w:rPr>
          <w:sz w:val="20"/>
        </w:rPr>
      </w:pPr>
      <w:r>
        <w:rPr>
          <w:sz w:val="20"/>
        </w:rPr>
        <w:t>Direct measurement of the non-CO</w:t>
      </w:r>
      <w:r>
        <w:rPr>
          <w:sz w:val="20"/>
          <w:vertAlign w:val="subscript"/>
        </w:rPr>
        <w:t>2</w:t>
      </w:r>
      <w:r>
        <w:rPr>
          <w:sz w:val="20"/>
          <w:vertAlign w:val="baseline"/>
        </w:rPr>
        <w:t> greenhouse gases at representative</w:t>
      </w:r>
      <w:r>
        <w:rPr>
          <w:spacing w:val="-1"/>
          <w:sz w:val="20"/>
          <w:vertAlign w:val="baseline"/>
        </w:rPr>
        <w:t> </w:t>
      </w:r>
      <w:r>
        <w:rPr>
          <w:sz w:val="20"/>
          <w:vertAlign w:val="baseline"/>
        </w:rPr>
        <w:t>sites;</w:t>
      </w:r>
    </w:p>
    <w:p>
      <w:pPr>
        <w:pStyle w:val="ListParagraph"/>
        <w:numPr>
          <w:ilvl w:val="0"/>
          <w:numId w:val="117"/>
        </w:numPr>
        <w:tabs>
          <w:tab w:pos="540" w:val="left" w:leader="none"/>
        </w:tabs>
        <w:spacing w:line="240" w:lineRule="auto" w:before="116" w:after="0"/>
        <w:ind w:left="539" w:right="0" w:hanging="360"/>
        <w:jc w:val="both"/>
        <w:rPr>
          <w:sz w:val="20"/>
        </w:rPr>
      </w:pPr>
      <w:r>
        <w:rPr>
          <w:sz w:val="20"/>
        </w:rPr>
        <w:t>Estimation of emission rates based on literature values taking into account management, soil and</w:t>
      </w:r>
      <w:r>
        <w:rPr>
          <w:spacing w:val="-12"/>
          <w:sz w:val="20"/>
        </w:rPr>
        <w:t> </w:t>
      </w:r>
      <w:r>
        <w:rPr>
          <w:sz w:val="20"/>
        </w:rPr>
        <w:t>climate.</w:t>
      </w:r>
    </w:p>
    <w:p>
      <w:pPr>
        <w:pStyle w:val="BodyText"/>
        <w:rPr>
          <w:sz w:val="26"/>
        </w:rPr>
      </w:pPr>
    </w:p>
    <w:p>
      <w:pPr>
        <w:pStyle w:val="Heading2"/>
        <w:spacing w:before="170"/>
        <w:ind w:left="179" w:firstLine="0"/>
        <w:jc w:val="both"/>
      </w:pPr>
      <w:r>
        <w:rPr/>
        <w:t>4.2.9 Grazing land management</w:t>
      </w:r>
    </w:p>
    <w:p>
      <w:pPr>
        <w:pStyle w:val="BodyText"/>
        <w:spacing w:before="3"/>
        <w:rPr>
          <w:b/>
          <w:sz w:val="34"/>
        </w:rPr>
      </w:pPr>
    </w:p>
    <w:p>
      <w:pPr>
        <w:pStyle w:val="Heading6"/>
        <w:ind w:left="179"/>
        <w:jc w:val="both"/>
      </w:pPr>
      <w:r>
        <w:rPr>
          <w:spacing w:val="16"/>
          <w:sz w:val="28"/>
        </w:rPr>
        <w:t>4.2.9.1 </w:t>
      </w:r>
      <w:r>
        <w:rPr>
          <w:spacing w:val="17"/>
          <w:sz w:val="28"/>
        </w:rPr>
        <w:t>D</w:t>
      </w:r>
      <w:r>
        <w:rPr>
          <w:spacing w:val="17"/>
        </w:rPr>
        <w:t>EFINITIONAL </w:t>
      </w:r>
      <w:r>
        <w:rPr>
          <w:spacing w:val="15"/>
        </w:rPr>
        <w:t>ISSUES </w:t>
      </w:r>
      <w:r>
        <w:rPr>
          <w:spacing w:val="12"/>
        </w:rPr>
        <w:t>AND </w:t>
      </w:r>
      <w:r>
        <w:rPr>
          <w:spacing w:val="17"/>
        </w:rPr>
        <w:t>REPORTING</w:t>
      </w:r>
      <w:r>
        <w:rPr>
          <w:spacing w:val="74"/>
        </w:rPr>
        <w:t> </w:t>
      </w:r>
      <w:r>
        <w:rPr>
          <w:spacing w:val="17"/>
        </w:rPr>
        <w:t>REQUIREMENTS</w:t>
      </w:r>
    </w:p>
    <w:p>
      <w:pPr>
        <w:pStyle w:val="BodyText"/>
        <w:spacing w:before="212"/>
        <w:ind w:left="179" w:right="1404"/>
        <w:jc w:val="both"/>
      </w:pPr>
      <w:r>
        <w:rPr/>
        <w:t>Grazing land management is the system of practices on land used for livestock production aimed at manipulating the amount and type of vegetation and livestock produced. Grazing lands are, by definition, ‘managed’ to some extent, so the lands under grazing land management are in fact potentially all the lands within a country subject to grazing; that is, all lands predominantly used for livestock production, based on criteria decided upon and explicitly described by the country. Note that not all grasslands are necessarily grazing</w:t>
      </w:r>
      <w:r>
        <w:rPr>
          <w:spacing w:val="-15"/>
        </w:rPr>
        <w:t> </w:t>
      </w:r>
      <w:r>
        <w:rPr/>
        <w:t>lands.</w:t>
      </w:r>
    </w:p>
    <w:p>
      <w:pPr>
        <w:pStyle w:val="BodyText"/>
        <w:spacing w:before="117"/>
        <w:ind w:left="179" w:right="1408" w:hanging="1"/>
        <w:jc w:val="both"/>
      </w:pPr>
      <w:r>
        <w:rPr/>
        <w:t>In order to ensure a comprehensive coverage, it is </w:t>
      </w:r>
      <w:r>
        <w:rPr>
          <w:i/>
        </w:rPr>
        <w:t>good practice </w:t>
      </w:r>
      <w:r>
        <w:rPr/>
        <w:t>to include all of the following lands in the grazing lands category:</w:t>
      </w:r>
    </w:p>
    <w:p>
      <w:pPr>
        <w:pStyle w:val="ListParagraph"/>
        <w:numPr>
          <w:ilvl w:val="0"/>
          <w:numId w:val="117"/>
        </w:numPr>
        <w:tabs>
          <w:tab w:pos="605" w:val="left" w:leader="none"/>
        </w:tabs>
        <w:spacing w:line="230" w:lineRule="auto" w:before="142" w:after="0"/>
        <w:ind w:left="604" w:right="1404" w:hanging="425"/>
        <w:jc w:val="both"/>
        <w:rPr>
          <w:sz w:val="20"/>
        </w:rPr>
      </w:pPr>
      <w:r>
        <w:rPr>
          <w:sz w:val="20"/>
        </w:rPr>
        <w:t>Improved pastures/grasslands/rangelands: These are lands subject to intensive, controlled grazing. Management practices such as fertilizing/manuring, irrigation, reseeding, liming, or spraying are used to control productivity. Lands used permanently for herbaceous forage crops are also</w:t>
      </w:r>
      <w:r>
        <w:rPr>
          <w:spacing w:val="-9"/>
          <w:sz w:val="20"/>
        </w:rPr>
        <w:t> </w:t>
      </w:r>
      <w:r>
        <w:rPr>
          <w:sz w:val="20"/>
        </w:rPr>
        <w:t>included.</w:t>
      </w:r>
    </w:p>
    <w:p>
      <w:pPr>
        <w:spacing w:after="0" w:line="230" w:lineRule="auto"/>
        <w:jc w:val="both"/>
        <w:rPr>
          <w:sz w:val="20"/>
        </w:rPr>
        <w:sectPr>
          <w:pgSz w:w="11900" w:h="16840"/>
          <w:pgMar w:header="230" w:footer="408" w:top="560" w:bottom="600" w:left="1240" w:right="0"/>
        </w:sectPr>
      </w:pPr>
    </w:p>
    <w:p>
      <w:pPr>
        <w:pStyle w:val="BodyText"/>
        <w:spacing w:before="5"/>
        <w:rPr>
          <w:sz w:val="29"/>
        </w:rPr>
      </w:pPr>
    </w:p>
    <w:p>
      <w:pPr>
        <w:pStyle w:val="ListParagraph"/>
        <w:numPr>
          <w:ilvl w:val="0"/>
          <w:numId w:val="117"/>
        </w:numPr>
        <w:tabs>
          <w:tab w:pos="604" w:val="left" w:leader="none"/>
        </w:tabs>
        <w:spacing w:line="235" w:lineRule="auto" w:before="118" w:after="0"/>
        <w:ind w:left="604" w:right="1403" w:hanging="425"/>
        <w:jc w:val="both"/>
        <w:rPr>
          <w:sz w:val="20"/>
        </w:rPr>
      </w:pPr>
      <w:r>
        <w:rPr>
          <w:sz w:val="20"/>
        </w:rPr>
        <w:t>Unimproved/natural pastures/grasslands/rangelands: These lands are usually composed of native vegetation including hay and bushes, and grazing is mainly extensive. There is no or little grass management except burning in some instances. However, the intensity, frequency, and seasonality of grazing and animal distribution are managed (even by default) or can be specifically managed to prevent loss of stored carbon, for example by avoiding</w:t>
      </w:r>
      <w:r>
        <w:rPr>
          <w:spacing w:val="-4"/>
          <w:sz w:val="20"/>
        </w:rPr>
        <w:t> </w:t>
      </w:r>
      <w:r>
        <w:rPr>
          <w:sz w:val="20"/>
        </w:rPr>
        <w:t>overgrazing.</w:t>
      </w:r>
    </w:p>
    <w:p>
      <w:pPr>
        <w:pStyle w:val="BodyText"/>
        <w:spacing w:before="123"/>
        <w:ind w:left="179" w:right="1358"/>
        <w:jc w:val="both"/>
      </w:pPr>
      <w:r>
        <w:rPr/>
        <w:t>Pastures, rangelands or savannahs on which trees and shrubs are grown should be included under grazing land management if the growing of forage crops or grazing is the  most important activity on the area, based on  criteria established and explicitly stated by the country. Where treed lands meet the definition of a forest and the trees have been established since 1990, the land should be included under the afforestation/reforestation category. However, lands that meet the definition of ‘forest’ can be included in grazing land management, if grazing is the dominant activity, based on the criteria established by the</w:t>
      </w:r>
      <w:r>
        <w:rPr>
          <w:spacing w:val="-4"/>
        </w:rPr>
        <w:t> </w:t>
      </w:r>
      <w:r>
        <w:rPr/>
        <w:t>country.</w:t>
      </w:r>
    </w:p>
    <w:p>
      <w:pPr>
        <w:pStyle w:val="BodyText"/>
        <w:spacing w:before="120"/>
        <w:ind w:left="179" w:right="1405"/>
        <w:jc w:val="both"/>
      </w:pPr>
      <w:r>
        <w:rPr/>
        <w:t>Set-aside lands, such as cultivated lands reverted to perennial grasslands, should be included under cropland management if they are only temporarily set-aside (typically this is for 5 years or less, but any set-aside likely to return to cropland under the national conditions for set-aside should be counted as cropland). They should be included under grazing land management if they are permanently set-aside. Protected lands, such as those  subject to permanent cover programmes should be included under grazing land management if they are also used for livestock production. Lands that are only temporarily used for grazing, as part of a cropping rotation, would normally be included under cropland management. For consistency, the criteria used to distinguish between cropland and grazing land and revegetation should be explicitly stated and applied</w:t>
      </w:r>
      <w:r>
        <w:rPr>
          <w:spacing w:val="-13"/>
        </w:rPr>
        <w:t> </w:t>
      </w:r>
      <w:r>
        <w:rPr/>
        <w:t>consistently.</w:t>
      </w:r>
    </w:p>
    <w:p>
      <w:pPr>
        <w:pStyle w:val="BodyText"/>
        <w:spacing w:before="119"/>
        <w:ind w:left="179" w:right="1405"/>
        <w:jc w:val="both"/>
      </w:pPr>
      <w:r>
        <w:rPr/>
        <w:t>Given the potential overlap with other land-use categories, it is </w:t>
      </w:r>
      <w:r>
        <w:rPr>
          <w:i/>
        </w:rPr>
        <w:t>good practice </w:t>
      </w:r>
      <w:r>
        <w:rPr/>
        <w:t>for countries to specify what types of lands are included under the category grazing land/rangeland/pastures in their national land-use system. Moreover, countries should also specify how these lands differ from (a) lands in land-use category (ii)  of Chapter</w:t>
      </w:r>
      <w:r>
        <w:rPr>
          <w:spacing w:val="16"/>
        </w:rPr>
        <w:t> </w:t>
      </w:r>
      <w:r>
        <w:rPr/>
        <w:t>2</w:t>
      </w:r>
      <w:r>
        <w:rPr>
          <w:spacing w:val="17"/>
        </w:rPr>
        <w:t> </w:t>
      </w:r>
      <w:r>
        <w:rPr/>
        <w:t>(cropland/arable/tillage),</w:t>
      </w:r>
      <w:r>
        <w:rPr>
          <w:spacing w:val="17"/>
        </w:rPr>
        <w:t> </w:t>
      </w:r>
      <w:r>
        <w:rPr/>
        <w:t>and</w:t>
      </w:r>
      <w:r>
        <w:rPr>
          <w:spacing w:val="17"/>
        </w:rPr>
        <w:t> </w:t>
      </w:r>
      <w:r>
        <w:rPr/>
        <w:t>(b)</w:t>
      </w:r>
      <w:r>
        <w:rPr>
          <w:spacing w:val="16"/>
        </w:rPr>
        <w:t> </w:t>
      </w:r>
      <w:r>
        <w:rPr/>
        <w:t>lands</w:t>
      </w:r>
      <w:r>
        <w:rPr>
          <w:spacing w:val="17"/>
        </w:rPr>
        <w:t> </w:t>
      </w:r>
      <w:r>
        <w:rPr/>
        <w:t>subject</w:t>
      </w:r>
      <w:r>
        <w:rPr>
          <w:spacing w:val="16"/>
        </w:rPr>
        <w:t> </w:t>
      </w:r>
      <w:r>
        <w:rPr/>
        <w:t>to</w:t>
      </w:r>
      <w:r>
        <w:rPr>
          <w:spacing w:val="18"/>
        </w:rPr>
        <w:t> </w:t>
      </w:r>
      <w:r>
        <w:rPr/>
        <w:t>other</w:t>
      </w:r>
      <w:r>
        <w:rPr>
          <w:spacing w:val="16"/>
        </w:rPr>
        <w:t> </w:t>
      </w:r>
      <w:r>
        <w:rPr/>
        <w:t>activities</w:t>
      </w:r>
      <w:r>
        <w:rPr>
          <w:spacing w:val="16"/>
        </w:rPr>
        <w:t> </w:t>
      </w:r>
      <w:r>
        <w:rPr/>
        <w:t>under</w:t>
      </w:r>
      <w:r>
        <w:rPr>
          <w:spacing w:val="17"/>
        </w:rPr>
        <w:t> </w:t>
      </w:r>
      <w:r>
        <w:rPr/>
        <w:t>Article</w:t>
      </w:r>
      <w:r>
        <w:rPr>
          <w:spacing w:val="17"/>
        </w:rPr>
        <w:t> </w:t>
      </w:r>
      <w:r>
        <w:rPr/>
        <w:t>3.3</w:t>
      </w:r>
      <w:r>
        <w:rPr>
          <w:spacing w:val="17"/>
        </w:rPr>
        <w:t> </w:t>
      </w:r>
      <w:r>
        <w:rPr/>
        <w:t>(AR)</w:t>
      </w:r>
      <w:r>
        <w:rPr>
          <w:spacing w:val="17"/>
        </w:rPr>
        <w:t> </w:t>
      </w:r>
      <w:r>
        <w:rPr/>
        <w:t>and</w:t>
      </w:r>
      <w:r>
        <w:rPr>
          <w:spacing w:val="17"/>
        </w:rPr>
        <w:t> </w:t>
      </w:r>
      <w:r>
        <w:rPr/>
        <w:t>Article</w:t>
      </w:r>
    </w:p>
    <w:p>
      <w:pPr>
        <w:pStyle w:val="BodyText"/>
        <w:spacing w:line="229" w:lineRule="exact"/>
        <w:ind w:left="179"/>
        <w:jc w:val="both"/>
      </w:pPr>
      <w:r>
        <w:rPr/>
        <w:t>3.4 (FM, RV, CM – if elected). This will enhance the comparability of reporting across countries.</w:t>
      </w:r>
    </w:p>
    <w:p>
      <w:pPr>
        <w:pStyle w:val="BodyText"/>
        <w:spacing w:before="118"/>
        <w:ind w:left="179" w:right="1402"/>
        <w:jc w:val="both"/>
      </w:pPr>
      <w:r>
        <w:rPr/>
        <w:t>In addition, all lands that were forest on 31 December 1989 and that are subject to grazing land management in the reporting year need to be identified, tracked and reported as a separate category (‘Deforestation’ lands that would otherwise be subject to grazing land management).</w:t>
      </w:r>
    </w:p>
    <w:p>
      <w:pPr>
        <w:pStyle w:val="BodyText"/>
        <w:spacing w:before="121"/>
        <w:ind w:left="179" w:right="1404" w:hanging="1"/>
        <w:jc w:val="both"/>
      </w:pPr>
      <w:r>
        <w:rPr/>
        <w:t>In order to allow the application of the proposed methodology for determining CO</w:t>
      </w:r>
      <w:r>
        <w:rPr>
          <w:vertAlign w:val="subscript"/>
        </w:rPr>
        <w:t>2</w:t>
      </w:r>
      <w:r>
        <w:rPr>
          <w:vertAlign w:val="baseline"/>
        </w:rPr>
        <w:t> emissions/removals on those lands, (i.e., area times a carbon stock change factor, the factor being positive, negative or null depending on management and land use or land-use change), the total grazing land area needs to be subdivided into areas under various sets of management practices (which may overlap both in time and space) for the base year and the years in the commitment period. The carbon stock change factors depend on both the current and previous management. Some areas may be emitting carbon, others may be sequestering CO</w:t>
      </w:r>
      <w:r>
        <w:rPr>
          <w:vertAlign w:val="subscript"/>
        </w:rPr>
        <w:t>2</w:t>
      </w:r>
      <w:r>
        <w:rPr>
          <w:vertAlign w:val="baseline"/>
        </w:rPr>
        <w:t>, others may be in equilibrium and this may change if management</w:t>
      </w:r>
      <w:r>
        <w:rPr>
          <w:spacing w:val="1"/>
          <w:vertAlign w:val="baseline"/>
        </w:rPr>
        <w:t> </w:t>
      </w:r>
      <w:r>
        <w:rPr>
          <w:vertAlign w:val="baseline"/>
        </w:rPr>
        <w:t>changes.</w:t>
      </w:r>
    </w:p>
    <w:p>
      <w:pPr>
        <w:pStyle w:val="BodyText"/>
        <w:spacing w:before="118"/>
        <w:ind w:left="179" w:right="1405"/>
        <w:jc w:val="both"/>
      </w:pPr>
      <w:r>
        <w:rPr/>
        <w:t>To obtain more disaggregated data on land uses and practices, a more comprehensive definition of land use and management systems within grazing lands/rangelands/pasture for different climatic zones can be developed. Broad families of practices under grazing land management that affect carbon stocks include: herd management, presence of woody plants, fertilization, irrigation, species composition, legume management, and fire management (IPCC, 2000b, p.184 and p. 205). See also Chapter 3 (LUCF sector good practice guidance) and Section 4.2.9.2 below.</w:t>
      </w:r>
    </w:p>
    <w:p>
      <w:pPr>
        <w:pStyle w:val="BodyText"/>
        <w:spacing w:before="6"/>
        <w:rPr>
          <w:sz w:val="29"/>
        </w:rPr>
      </w:pPr>
    </w:p>
    <w:p>
      <w:pPr>
        <w:pStyle w:val="Heading6"/>
        <w:ind w:left="179"/>
        <w:jc w:val="both"/>
      </w:pPr>
      <w:r>
        <w:rPr/>
        <w:t>4.2.9.1 .1 1990 BASE YEAR</w:t>
      </w:r>
    </w:p>
    <w:p>
      <w:pPr>
        <w:pStyle w:val="BodyText"/>
        <w:spacing w:before="210"/>
        <w:ind w:left="179"/>
        <w:jc w:val="both"/>
      </w:pPr>
      <w:r>
        <w:rPr/>
        <w:t>See Section 4.2.8.1 Definitional issues and reporting requirements.</w:t>
      </w:r>
    </w:p>
    <w:p>
      <w:pPr>
        <w:pStyle w:val="BodyText"/>
        <w:rPr>
          <w:sz w:val="22"/>
        </w:rPr>
      </w:pPr>
    </w:p>
    <w:p>
      <w:pPr>
        <w:pStyle w:val="Heading6"/>
        <w:numPr>
          <w:ilvl w:val="3"/>
          <w:numId w:val="167"/>
        </w:numPr>
        <w:tabs>
          <w:tab w:pos="1620" w:val="left" w:leader="none"/>
        </w:tabs>
        <w:spacing w:line="240" w:lineRule="auto" w:before="148" w:after="0"/>
        <w:ind w:left="1619" w:right="0" w:hanging="1440"/>
        <w:jc w:val="both"/>
      </w:pPr>
      <w:r>
        <w:rPr>
          <w:spacing w:val="15"/>
          <w:sz w:val="28"/>
        </w:rPr>
        <w:t>C</w:t>
      </w:r>
      <w:r>
        <w:rPr>
          <w:spacing w:val="15"/>
        </w:rPr>
        <w:t>HOICE </w:t>
      </w:r>
      <w:r>
        <w:rPr>
          <w:spacing w:val="10"/>
        </w:rPr>
        <w:t>OF </w:t>
      </w:r>
      <w:r>
        <w:rPr>
          <w:spacing w:val="16"/>
        </w:rPr>
        <w:t>METHODS </w:t>
      </w:r>
      <w:r>
        <w:rPr>
          <w:spacing w:val="13"/>
        </w:rPr>
        <w:t>FOR </w:t>
      </w:r>
      <w:r>
        <w:rPr>
          <w:spacing w:val="17"/>
        </w:rPr>
        <w:t>IDENTIFYING</w:t>
      </w:r>
      <w:r>
        <w:rPr>
          <w:spacing w:val="76"/>
        </w:rPr>
        <w:t> </w:t>
      </w:r>
      <w:r>
        <w:rPr>
          <w:spacing w:val="15"/>
        </w:rPr>
        <w:t>LANDS</w:t>
      </w:r>
    </w:p>
    <w:p>
      <w:pPr>
        <w:pStyle w:val="BodyText"/>
        <w:spacing w:before="208"/>
        <w:ind w:left="179" w:right="1404"/>
        <w:jc w:val="both"/>
      </w:pPr>
      <w:r>
        <w:rPr/>
        <w:t>General guidance on identification of lands relevant to grazing land management is provided in Sections 4.1.1, 4.1.2, 4.2.1, and 4.2.2. Under the Marrakesh Accords, the geographical location of the boundaries of the area that encompass land subject to grazing land management need to be reported annually, along with the total land areas subject to this activity. The geographical location of the boundaries may include a spatially explicit specification of each land subject to grazing land management, but does not have to. This is analogous to the case for cropland management as discussed in Section 4.2.8.1 (Definitional issues and reporting requirements). It is </w:t>
      </w:r>
      <w:r>
        <w:rPr>
          <w:i/>
        </w:rPr>
        <w:t>good practice </w:t>
      </w:r>
      <w:r>
        <w:rPr/>
        <w:t>to follow continuously the management of land subject to grazing land management. This could be achieved either by continuously tracking each land subject to grazing land management from 1990 until the end of the commitment period (see Section 4.2.8.1), or by using statistical sampling techniques that allow the transitions of management on grazing land to be determined and that, at the same time, are consistent with the requirements of</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5"/>
        <w:jc w:val="both"/>
      </w:pPr>
      <w:r>
        <w:rPr/>
        <w:t>Section 5.3 (see also Section 4.2.4.1 Developing a consistent time series). At the national level, different layers of breakdown of the total grazing land area are needed, for instance using criteria that concern primary national circumstances, management practices and other subdivisions. These could</w:t>
      </w:r>
      <w:r>
        <w:rPr>
          <w:spacing w:val="-4"/>
        </w:rPr>
        <w:t> </w:t>
      </w:r>
      <w:r>
        <w:rPr/>
        <w:t>include:</w:t>
      </w:r>
    </w:p>
    <w:p>
      <w:pPr>
        <w:pStyle w:val="ListParagraph"/>
        <w:numPr>
          <w:ilvl w:val="0"/>
          <w:numId w:val="117"/>
        </w:numPr>
        <w:tabs>
          <w:tab w:pos="540" w:val="left" w:leader="none"/>
        </w:tabs>
        <w:spacing w:line="240" w:lineRule="auto" w:before="136" w:after="0"/>
        <w:ind w:left="539" w:right="0" w:hanging="360"/>
        <w:jc w:val="both"/>
        <w:rPr>
          <w:sz w:val="20"/>
        </w:rPr>
      </w:pPr>
      <w:r>
        <w:rPr>
          <w:sz w:val="20"/>
        </w:rPr>
        <w:t>Climate</w:t>
      </w:r>
    </w:p>
    <w:p>
      <w:pPr>
        <w:pStyle w:val="ListParagraph"/>
        <w:numPr>
          <w:ilvl w:val="0"/>
          <w:numId w:val="117"/>
        </w:numPr>
        <w:tabs>
          <w:tab w:pos="540" w:val="left" w:leader="none"/>
        </w:tabs>
        <w:spacing w:line="240" w:lineRule="auto" w:before="116" w:after="0"/>
        <w:ind w:left="539" w:right="0" w:hanging="360"/>
        <w:jc w:val="both"/>
        <w:rPr>
          <w:sz w:val="20"/>
        </w:rPr>
      </w:pPr>
      <w:r>
        <w:rPr>
          <w:sz w:val="20"/>
        </w:rPr>
        <w:t>Soil</w:t>
      </w:r>
      <w:r>
        <w:rPr>
          <w:spacing w:val="-1"/>
          <w:sz w:val="20"/>
        </w:rPr>
        <w:t> </w:t>
      </w:r>
      <w:r>
        <w:rPr>
          <w:sz w:val="20"/>
        </w:rPr>
        <w:t>type</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Degree of disturbance (e.g., compaction, disturbance by livestock foot action, frequency of burning,</w:t>
      </w:r>
      <w:r>
        <w:rPr>
          <w:spacing w:val="-19"/>
          <w:sz w:val="20"/>
        </w:rPr>
        <w:t> </w:t>
      </w:r>
      <w:r>
        <w:rPr>
          <w:sz w:val="20"/>
        </w:rPr>
        <w:t>erosion)</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Level of organic input (e.g., plant litter, roots, manure, other</w:t>
      </w:r>
      <w:r>
        <w:rPr>
          <w:spacing w:val="-1"/>
          <w:sz w:val="20"/>
        </w:rPr>
        <w:t> </w:t>
      </w:r>
      <w:r>
        <w:rPr>
          <w:sz w:val="20"/>
        </w:rPr>
        <w:t>amendments)</w:t>
      </w:r>
    </w:p>
    <w:p>
      <w:pPr>
        <w:pStyle w:val="ListParagraph"/>
        <w:numPr>
          <w:ilvl w:val="0"/>
          <w:numId w:val="117"/>
        </w:numPr>
        <w:tabs>
          <w:tab w:pos="540" w:val="left" w:leader="none"/>
        </w:tabs>
        <w:spacing w:line="240" w:lineRule="auto" w:before="119" w:after="0"/>
        <w:ind w:left="539" w:right="0" w:hanging="360"/>
        <w:jc w:val="both"/>
        <w:rPr>
          <w:sz w:val="20"/>
        </w:rPr>
      </w:pPr>
      <w:r>
        <w:rPr>
          <w:sz w:val="20"/>
        </w:rPr>
        <w:t>Lands that are intermittently grazed (e.g., set-aside, grass as part of a</w:t>
      </w:r>
      <w:r>
        <w:rPr>
          <w:spacing w:val="-3"/>
          <w:sz w:val="20"/>
        </w:rPr>
        <w:t> </w:t>
      </w:r>
      <w:r>
        <w:rPr>
          <w:sz w:val="20"/>
        </w:rPr>
        <w:t>rotation)</w:t>
      </w:r>
    </w:p>
    <w:p>
      <w:pPr>
        <w:pStyle w:val="ListParagraph"/>
        <w:numPr>
          <w:ilvl w:val="0"/>
          <w:numId w:val="117"/>
        </w:numPr>
        <w:tabs>
          <w:tab w:pos="540" w:val="left" w:leader="none"/>
        </w:tabs>
        <w:spacing w:line="240" w:lineRule="auto" w:before="116" w:after="0"/>
        <w:ind w:left="539" w:right="0" w:hanging="360"/>
        <w:jc w:val="both"/>
        <w:rPr>
          <w:sz w:val="20"/>
        </w:rPr>
      </w:pPr>
      <w:r>
        <w:rPr>
          <w:sz w:val="20"/>
        </w:rPr>
        <w:t>Grazing intensity (utilization percentage of the</w:t>
      </w:r>
      <w:r>
        <w:rPr>
          <w:spacing w:val="-7"/>
          <w:sz w:val="20"/>
        </w:rPr>
        <w:t> </w:t>
      </w:r>
      <w:r>
        <w:rPr>
          <w:sz w:val="20"/>
        </w:rPr>
        <w:t>pasture)</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Treed lands (shelterbelts, orchards, other perennial plantations)</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Lands converted to grazing-lands since 1990 (land-use change) that are not in any other land-use</w:t>
      </w:r>
      <w:r>
        <w:rPr>
          <w:spacing w:val="-17"/>
          <w:sz w:val="20"/>
        </w:rPr>
        <w:t> </w:t>
      </w:r>
      <w:r>
        <w:rPr>
          <w:sz w:val="20"/>
        </w:rPr>
        <w:t>category.</w:t>
      </w:r>
    </w:p>
    <w:p>
      <w:pPr>
        <w:pStyle w:val="BodyText"/>
        <w:spacing w:before="104"/>
        <w:ind w:left="179" w:right="1401"/>
        <w:jc w:val="both"/>
      </w:pPr>
      <w:r>
        <w:rPr/>
        <w:t>For all of the resulting subcategories the areas under grazing land management that were derived from conversion of forests (i.e., deforestation) since 1990 need to be tracked separately as these will be reported as units of lands subject to</w:t>
      </w:r>
      <w:r>
        <w:rPr>
          <w:spacing w:val="-2"/>
        </w:rPr>
        <w:t> </w:t>
      </w:r>
      <w:r>
        <w:rPr/>
        <w:t>deforestation.</w:t>
      </w:r>
    </w:p>
    <w:p>
      <w:pPr>
        <w:pStyle w:val="BodyText"/>
        <w:spacing w:before="119"/>
        <w:ind w:left="179"/>
      </w:pPr>
      <w:r>
        <w:rPr/>
        <w:t>At Tier 3 further subdivision of the area subject to grazing land management may be necessary.</w:t>
      </w:r>
    </w:p>
    <w:p>
      <w:pPr>
        <w:pStyle w:val="BodyText"/>
        <w:spacing w:before="120"/>
        <w:ind w:left="179" w:right="1409"/>
        <w:jc w:val="both"/>
      </w:pPr>
      <w:r>
        <w:rPr/>
        <w:t>Methods to identify lands subject to grazing land management with necessary disaggregation available in some Annex I countries include the following:</w:t>
      </w:r>
    </w:p>
    <w:p>
      <w:pPr>
        <w:pStyle w:val="ListParagraph"/>
        <w:numPr>
          <w:ilvl w:val="0"/>
          <w:numId w:val="117"/>
        </w:numPr>
        <w:tabs>
          <w:tab w:pos="540" w:val="left" w:leader="none"/>
        </w:tabs>
        <w:spacing w:line="232" w:lineRule="auto" w:before="138" w:after="0"/>
        <w:ind w:left="519" w:right="1403" w:hanging="340"/>
        <w:jc w:val="both"/>
        <w:rPr>
          <w:sz w:val="20"/>
        </w:rPr>
      </w:pPr>
      <w:r>
        <w:rPr>
          <w:sz w:val="20"/>
        </w:rPr>
        <w:t>National land use and management statistics: the agricultural land base including land subject to grazing land management is surveyed in most countries on a regular basis. These may be derived, in part, from remote sensing of pasture and soil surface condition and changes in stocking</w:t>
      </w:r>
      <w:r>
        <w:rPr>
          <w:spacing w:val="-7"/>
          <w:sz w:val="20"/>
        </w:rPr>
        <w:t> </w:t>
      </w:r>
      <w:r>
        <w:rPr>
          <w:sz w:val="20"/>
        </w:rPr>
        <w:t>rate.</w:t>
      </w:r>
    </w:p>
    <w:p>
      <w:pPr>
        <w:pStyle w:val="ListParagraph"/>
        <w:numPr>
          <w:ilvl w:val="0"/>
          <w:numId w:val="117"/>
        </w:numPr>
        <w:tabs>
          <w:tab w:pos="539" w:val="left" w:leader="none"/>
          <w:tab w:pos="540" w:val="left" w:leader="none"/>
        </w:tabs>
        <w:spacing w:line="223" w:lineRule="auto" w:before="145" w:after="0"/>
        <w:ind w:left="519" w:right="1408" w:hanging="340"/>
        <w:jc w:val="left"/>
        <w:rPr>
          <w:sz w:val="20"/>
        </w:rPr>
      </w:pPr>
      <w:r>
        <w:rPr>
          <w:sz w:val="20"/>
        </w:rPr>
        <w:t>Inventory data from a plot, statistically based, sampling system: land use and management activities are monitored at specific permanent sample plots that are revisited on a regular</w:t>
      </w:r>
      <w:r>
        <w:rPr>
          <w:spacing w:val="-11"/>
          <w:sz w:val="20"/>
        </w:rPr>
        <w:t> </w:t>
      </w:r>
      <w:r>
        <w:rPr>
          <w:sz w:val="20"/>
        </w:rPr>
        <w:t>basis.</w:t>
      </w:r>
    </w:p>
    <w:p>
      <w:pPr>
        <w:pStyle w:val="BodyText"/>
        <w:spacing w:before="124"/>
        <w:ind w:left="179" w:right="1404"/>
        <w:jc w:val="both"/>
      </w:pPr>
      <w:r>
        <w:rPr/>
        <w:t>Information on these areas would have to be compiled either for all lands affected by grazing land management or summarised as estimates for all the strata (defined by the boundaries of the areas of land) that a Party chooses to apply for the reporting of its land use statistics. Further </w:t>
      </w:r>
      <w:r>
        <w:rPr>
          <w:i/>
        </w:rPr>
        <w:t>good practice guidance </w:t>
      </w:r>
      <w:r>
        <w:rPr/>
        <w:t>on identifying land areas is given in Chapter 2 (Basis for consistent representation of land areas).</w:t>
      </w:r>
    </w:p>
    <w:p>
      <w:pPr>
        <w:pStyle w:val="BodyText"/>
        <w:spacing w:before="119"/>
        <w:ind w:left="179" w:right="1405" w:hanging="1"/>
        <w:jc w:val="both"/>
      </w:pPr>
      <w:r>
        <w:rPr/>
        <w:pict>
          <v:shape style="position:absolute;margin-left:91.960999pt;margin-top:35.930576pt;width:411.5pt;height:147.15pt;mso-position-horizontal-relative:page;mso-position-vertical-relative:paragraph;z-index:25232;mso-wrap-distance-left:0;mso-wrap-distance-right:0" type="#_x0000_t202" filled="false" stroked="true" strokeweight="1.44pt" strokecolor="#000000">
            <v:textbox inset="0,0,0,0">
              <w:txbxContent>
                <w:p>
                  <w:pPr>
                    <w:spacing w:before="100"/>
                    <w:ind w:left="68" w:right="68" w:firstLine="0"/>
                    <w:jc w:val="center"/>
                    <w:rPr>
                      <w:b/>
                      <w:sz w:val="18"/>
                    </w:rPr>
                  </w:pPr>
                  <w:r>
                    <w:rPr>
                      <w:b/>
                      <w:sz w:val="18"/>
                    </w:rPr>
                    <w:t>B</w:t>
                  </w:r>
                  <w:r>
                    <w:rPr>
                      <w:b/>
                      <w:sz w:val="14"/>
                    </w:rPr>
                    <w:t>OX </w:t>
                  </w:r>
                  <w:r>
                    <w:rPr>
                      <w:b/>
                      <w:sz w:val="18"/>
                    </w:rPr>
                    <w:t>4.2.12</w:t>
                  </w:r>
                </w:p>
                <w:p>
                  <w:pPr>
                    <w:spacing w:before="122"/>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spacing w:before="113"/>
                    <w:ind w:left="127" w:right="121" w:firstLine="0"/>
                    <w:jc w:val="both"/>
                    <w:rPr>
                      <w:i/>
                      <w:sz w:val="20"/>
                    </w:rPr>
                  </w:pPr>
                  <w:r>
                    <w:rPr>
                      <w:sz w:val="20"/>
                    </w:rPr>
                    <w:t>Section 2.3.2 (Three approaches): Grasslands (unmanaged or managed) that become managed grasslands or any conversion that leads to managed grasslands in Chapter 2 (except forests to grasslands), provided that these managed grasslands are subject to grazing land management. </w:t>
                  </w:r>
                  <w:r>
                    <w:rPr>
                      <w:i/>
                      <w:sz w:val="20"/>
                    </w:rPr>
                    <w:t>Should include all transitions between 1990 (or 1970, where required for base year estimate) and 2008, and in later inventory years transitions on an annual basis.</w:t>
                  </w:r>
                  <w:r>
                    <w:rPr>
                      <w:i/>
                      <w:sz w:val="20"/>
                      <w:vertAlign w:val="superscript"/>
                    </w:rPr>
                    <w:t>60</w:t>
                  </w:r>
                </w:p>
                <w:p>
                  <w:pPr>
                    <w:spacing w:before="126"/>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spacing w:line="242" w:lineRule="auto" w:before="113"/>
                    <w:ind w:left="127" w:right="124"/>
                  </w:pPr>
                  <w:r>
                    <w:rPr/>
                    <w:t>Not available in a format that meets requirements in the Marrakesh Accords for geographical location of the boundaries.</w:t>
                  </w:r>
                </w:p>
              </w:txbxContent>
            </v:textbox>
            <v:stroke dashstyle="solid"/>
            <w10:wrap type="topAndBottom"/>
          </v:shape>
        </w:pict>
      </w:r>
      <w:r>
        <w:rPr/>
        <w:t>Links to methods for area identification in other chapters of this report and </w:t>
      </w:r>
      <w:r>
        <w:rPr>
          <w:i/>
        </w:rPr>
        <w:t>IPCC Guidelines </w:t>
      </w:r>
      <w:r>
        <w:rPr/>
        <w:t>are given in Box 4.2.12.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3"/>
        </w:rPr>
      </w:pPr>
      <w:r>
        <w:rPr/>
        <w:pict>
          <v:line style="position:absolute;mso-position-horizontal-relative:page;mso-position-vertical-relative:paragraph;z-index:25256;mso-wrap-distance-left:0;mso-wrap-distance-right:0" from="70.960999pt,15.727813pt" to="214.960999pt,15.727813pt" stroked="true" strokeweight=".48pt" strokecolor="#000000">
            <v:stroke dashstyle="solid"/>
            <w10:wrap type="topAndBottom"/>
          </v:line>
        </w:pict>
      </w:r>
    </w:p>
    <w:p>
      <w:pPr>
        <w:spacing w:before="150"/>
        <w:ind w:left="337" w:right="1407" w:hanging="159"/>
        <w:jc w:val="left"/>
        <w:rPr>
          <w:sz w:val="18"/>
        </w:rPr>
      </w:pPr>
      <w:r>
        <w:rPr>
          <w:position w:val="8"/>
          <w:sz w:val="12"/>
        </w:rPr>
        <w:t>60 </w:t>
      </w:r>
      <w:r>
        <w:rPr>
          <w:sz w:val="18"/>
        </w:rPr>
        <w:t>If more than one land conversion happens on the same unit of land in the transition period of the matrix, then the transition periods may have to be shortened to account for these transitions.</w:t>
      </w:r>
    </w:p>
    <w:p>
      <w:pPr>
        <w:spacing w:after="0"/>
        <w:jc w:val="left"/>
        <w:rPr>
          <w:sz w:val="18"/>
        </w:rPr>
        <w:sectPr>
          <w:pgSz w:w="11900" w:h="16840"/>
          <w:pgMar w:header="230" w:footer="408" w:top="560" w:bottom="600" w:left="1240" w:right="0"/>
        </w:sectPr>
      </w:pPr>
    </w:p>
    <w:p>
      <w:pPr>
        <w:pStyle w:val="BodyText"/>
      </w:pPr>
    </w:p>
    <w:p>
      <w:pPr>
        <w:pStyle w:val="BodyText"/>
      </w:pPr>
    </w:p>
    <w:p>
      <w:pPr>
        <w:pStyle w:val="Heading6"/>
        <w:numPr>
          <w:ilvl w:val="3"/>
          <w:numId w:val="167"/>
        </w:numPr>
        <w:tabs>
          <w:tab w:pos="1619" w:val="left" w:leader="none"/>
          <w:tab w:pos="1620" w:val="left" w:leader="none"/>
        </w:tabs>
        <w:spacing w:line="242" w:lineRule="auto" w:before="257" w:after="0"/>
        <w:ind w:left="1619" w:right="1823" w:hanging="1440"/>
        <w:jc w:val="left"/>
      </w:pPr>
      <w:r>
        <w:rPr>
          <w:spacing w:val="16"/>
          <w:sz w:val="28"/>
        </w:rPr>
        <w:t>C</w:t>
      </w:r>
      <w:r>
        <w:rPr>
          <w:spacing w:val="16"/>
        </w:rPr>
        <w:t>HOICE </w:t>
      </w:r>
      <w:r>
        <w:rPr>
          <w:spacing w:val="10"/>
        </w:rPr>
        <w:t>OF </w:t>
      </w:r>
      <w:r>
        <w:rPr>
          <w:spacing w:val="16"/>
        </w:rPr>
        <w:t>METHODS </w:t>
      </w:r>
      <w:r>
        <w:rPr>
          <w:spacing w:val="13"/>
        </w:rPr>
        <w:t>FOR </w:t>
      </w:r>
      <w:r>
        <w:rPr>
          <w:spacing w:val="17"/>
        </w:rPr>
        <w:t>ESTIMATING </w:t>
      </w:r>
      <w:r>
        <w:rPr>
          <w:spacing w:val="16"/>
        </w:rPr>
        <w:t>CARBON </w:t>
      </w:r>
      <w:r>
        <w:rPr>
          <w:spacing w:val="15"/>
        </w:rPr>
        <w:t>STOCK </w:t>
      </w:r>
      <w:r>
        <w:rPr>
          <w:spacing w:val="16"/>
        </w:rPr>
        <w:t>CHANGES </w:t>
      </w:r>
      <w:r>
        <w:rPr>
          <w:spacing w:val="12"/>
        </w:rPr>
        <w:t>AND </w:t>
      </w:r>
      <w:r>
        <w:rPr>
          <w:spacing w:val="16"/>
        </w:rPr>
        <w:t>NON</w:t>
      </w:r>
      <w:r>
        <w:rPr>
          <w:spacing w:val="16"/>
          <w:sz w:val="28"/>
        </w:rPr>
        <w:t>-CO</w:t>
      </w:r>
      <w:r>
        <w:rPr>
          <w:spacing w:val="16"/>
          <w:sz w:val="28"/>
          <w:vertAlign w:val="subscript"/>
        </w:rPr>
        <w:t>2</w:t>
      </w:r>
      <w:r>
        <w:rPr>
          <w:spacing w:val="16"/>
          <w:sz w:val="28"/>
          <w:vertAlign w:val="baseline"/>
        </w:rPr>
        <w:t> </w:t>
      </w:r>
      <w:r>
        <w:rPr>
          <w:spacing w:val="17"/>
          <w:vertAlign w:val="baseline"/>
        </w:rPr>
        <w:t>GREENHOUSE </w:t>
      </w:r>
      <w:r>
        <w:rPr>
          <w:spacing w:val="12"/>
          <w:vertAlign w:val="baseline"/>
        </w:rPr>
        <w:t>GAS</w:t>
      </w:r>
      <w:r>
        <w:rPr>
          <w:spacing w:val="6"/>
          <w:vertAlign w:val="baseline"/>
        </w:rPr>
        <w:t> </w:t>
      </w:r>
      <w:r>
        <w:rPr>
          <w:spacing w:val="16"/>
          <w:vertAlign w:val="baseline"/>
        </w:rPr>
        <w:t>EMISSIONS</w:t>
      </w:r>
    </w:p>
    <w:p>
      <w:pPr>
        <w:pStyle w:val="BodyText"/>
        <w:spacing w:before="207"/>
        <w:ind w:left="179" w:right="1406"/>
        <w:jc w:val="both"/>
      </w:pPr>
      <w:r>
        <w:rPr/>
        <w:t>Like for cropland management, methodologies at one of three tiers are used for estimating CO</w:t>
      </w:r>
      <w:r>
        <w:rPr>
          <w:vertAlign w:val="subscript"/>
        </w:rPr>
        <w:t>2</w:t>
      </w:r>
      <w:r>
        <w:rPr>
          <w:vertAlign w:val="baseline"/>
        </w:rPr>
        <w:t> emissions/removals from mineral soils, organic soils and liming. The procedure is identical with different factors being derived and different activity data being used (as described in more detail in the sections below).</w:t>
      </w:r>
    </w:p>
    <w:p>
      <w:pPr>
        <w:pStyle w:val="BodyText"/>
        <w:spacing w:before="119"/>
        <w:ind w:left="179"/>
        <w:jc w:val="both"/>
      </w:pPr>
      <w:r>
        <w:rPr/>
        <w:t>Total annual soil emissions/removals of CO</w:t>
      </w:r>
      <w:r>
        <w:rPr>
          <w:vertAlign w:val="subscript"/>
        </w:rPr>
        <w:t>2</w:t>
      </w:r>
      <w:r>
        <w:rPr>
          <w:vertAlign w:val="baseline"/>
        </w:rPr>
        <w:t> are calculated by summing:</w:t>
      </w:r>
    </w:p>
    <w:p>
      <w:pPr>
        <w:pStyle w:val="ListParagraph"/>
        <w:numPr>
          <w:ilvl w:val="0"/>
          <w:numId w:val="117"/>
        </w:numPr>
        <w:tabs>
          <w:tab w:pos="540" w:val="left" w:leader="none"/>
        </w:tabs>
        <w:spacing w:line="240" w:lineRule="auto" w:before="135" w:after="0"/>
        <w:ind w:left="539" w:right="0" w:hanging="360"/>
        <w:jc w:val="both"/>
        <w:rPr>
          <w:sz w:val="20"/>
        </w:rPr>
      </w:pPr>
      <w:r>
        <w:rPr>
          <w:sz w:val="20"/>
        </w:rPr>
        <w:t>Net changes in organic carbon stocks of mineral</w:t>
      </w:r>
      <w:r>
        <w:rPr>
          <w:spacing w:val="-2"/>
          <w:sz w:val="20"/>
        </w:rPr>
        <w:t> </w:t>
      </w:r>
      <w:r>
        <w:rPr>
          <w:sz w:val="20"/>
        </w:rPr>
        <w:t>soils</w:t>
      </w:r>
    </w:p>
    <w:p>
      <w:pPr>
        <w:pStyle w:val="ListParagraph"/>
        <w:numPr>
          <w:ilvl w:val="0"/>
          <w:numId w:val="117"/>
        </w:numPr>
        <w:tabs>
          <w:tab w:pos="540" w:val="left" w:leader="none"/>
        </w:tabs>
        <w:spacing w:line="240" w:lineRule="auto" w:before="116" w:after="0"/>
        <w:ind w:left="539" w:right="0" w:hanging="360"/>
        <w:jc w:val="both"/>
        <w:rPr>
          <w:sz w:val="20"/>
        </w:rPr>
      </w:pPr>
      <w:r>
        <w:rPr>
          <w:sz w:val="20"/>
        </w:rPr>
        <w:t>Emissions of CO</w:t>
      </w:r>
      <w:r>
        <w:rPr>
          <w:sz w:val="20"/>
          <w:vertAlign w:val="subscript"/>
        </w:rPr>
        <w:t>2</w:t>
      </w:r>
      <w:r>
        <w:rPr>
          <w:sz w:val="20"/>
          <w:vertAlign w:val="baseline"/>
        </w:rPr>
        <w:t> from organic</w:t>
      </w:r>
      <w:r>
        <w:rPr>
          <w:spacing w:val="-8"/>
          <w:sz w:val="20"/>
          <w:vertAlign w:val="baseline"/>
        </w:rPr>
        <w:t> </w:t>
      </w:r>
      <w:r>
        <w:rPr>
          <w:sz w:val="20"/>
          <w:vertAlign w:val="baseline"/>
        </w:rPr>
        <w:t>soils</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Emissions of CO</w:t>
      </w:r>
      <w:r>
        <w:rPr>
          <w:sz w:val="20"/>
          <w:vertAlign w:val="subscript"/>
        </w:rPr>
        <w:t>2</w:t>
      </w:r>
      <w:r>
        <w:rPr>
          <w:sz w:val="20"/>
          <w:vertAlign w:val="baseline"/>
        </w:rPr>
        <w:t> from</w:t>
      </w:r>
      <w:r>
        <w:rPr>
          <w:spacing w:val="-8"/>
          <w:sz w:val="20"/>
          <w:vertAlign w:val="baseline"/>
        </w:rPr>
        <w:t> </w:t>
      </w:r>
      <w:r>
        <w:rPr>
          <w:sz w:val="20"/>
          <w:vertAlign w:val="baseline"/>
        </w:rPr>
        <w:t>liming</w:t>
      </w:r>
    </w:p>
    <w:p>
      <w:pPr>
        <w:pStyle w:val="BodyText"/>
        <w:spacing w:before="104"/>
        <w:ind w:left="179" w:right="1404"/>
        <w:jc w:val="both"/>
      </w:pPr>
      <w:r>
        <w:rPr/>
        <w:t>Carbon stock changes also need to be estimated for other carbon pools, as appropriate. For grazing lands with no woody vegetation, annual crop biomass can be neglected where there is no long-term change in the cover. However, carbon in biomass of trees, shelterbelts and woody crops on grazing lands need to be accounted for under either (but not both) grazing-land management, afforestation/reforestation or forest management (unless an Annex I Party to the Kyoto Protocol chooses not to and provides verifiable information that carbon stocks are  not decreasing). Methods for above- and belowground biomass, litter and dead wood can be found in the afforestation/reforestation or forest management sections and Chapter 3 (LUCF sector good practice guidance) of</w:t>
      </w:r>
      <w:r>
        <w:rPr>
          <w:spacing w:val="22"/>
        </w:rPr>
        <w:t> </w:t>
      </w:r>
      <w:r>
        <w:rPr/>
        <w:t>this</w:t>
      </w:r>
      <w:r>
        <w:rPr>
          <w:spacing w:val="23"/>
        </w:rPr>
        <w:t> </w:t>
      </w:r>
      <w:r>
        <w:rPr/>
        <w:t>report.</w:t>
      </w:r>
      <w:r>
        <w:rPr>
          <w:spacing w:val="24"/>
        </w:rPr>
        <w:t> </w:t>
      </w:r>
      <w:r>
        <w:rPr/>
        <w:t>For</w:t>
      </w:r>
      <w:r>
        <w:rPr>
          <w:spacing w:val="24"/>
        </w:rPr>
        <w:t> </w:t>
      </w:r>
      <w:r>
        <w:rPr/>
        <w:t>guidance</w:t>
      </w:r>
      <w:r>
        <w:rPr>
          <w:spacing w:val="24"/>
        </w:rPr>
        <w:t> </w:t>
      </w:r>
      <w:r>
        <w:rPr/>
        <w:t>in</w:t>
      </w:r>
      <w:r>
        <w:rPr>
          <w:spacing w:val="22"/>
        </w:rPr>
        <w:t> </w:t>
      </w:r>
      <w:r>
        <w:rPr/>
        <w:t>estimating</w:t>
      </w:r>
      <w:r>
        <w:rPr>
          <w:spacing w:val="22"/>
        </w:rPr>
        <w:t> </w:t>
      </w:r>
      <w:r>
        <w:rPr/>
        <w:t>carbon</w:t>
      </w:r>
      <w:r>
        <w:rPr>
          <w:spacing w:val="22"/>
        </w:rPr>
        <w:t> </w:t>
      </w:r>
      <w:r>
        <w:rPr/>
        <w:t>emissions/removals</w:t>
      </w:r>
      <w:r>
        <w:rPr>
          <w:spacing w:val="23"/>
        </w:rPr>
        <w:t> </w:t>
      </w:r>
      <w:r>
        <w:rPr/>
        <w:t>in</w:t>
      </w:r>
      <w:r>
        <w:rPr>
          <w:spacing w:val="23"/>
        </w:rPr>
        <w:t> </w:t>
      </w:r>
      <w:r>
        <w:rPr/>
        <w:t>pools</w:t>
      </w:r>
      <w:r>
        <w:rPr>
          <w:spacing w:val="23"/>
        </w:rPr>
        <w:t> </w:t>
      </w:r>
      <w:r>
        <w:rPr/>
        <w:t>other</w:t>
      </w:r>
      <w:r>
        <w:rPr>
          <w:spacing w:val="24"/>
        </w:rPr>
        <w:t> </w:t>
      </w:r>
      <w:r>
        <w:rPr/>
        <w:t>than</w:t>
      </w:r>
      <w:r>
        <w:rPr>
          <w:spacing w:val="22"/>
        </w:rPr>
        <w:t> </w:t>
      </w:r>
      <w:r>
        <w:rPr/>
        <w:t>in</w:t>
      </w:r>
      <w:r>
        <w:rPr>
          <w:spacing w:val="25"/>
        </w:rPr>
        <w:t> </w:t>
      </w:r>
      <w:r>
        <w:rPr/>
        <w:t>the</w:t>
      </w:r>
      <w:r>
        <w:rPr>
          <w:spacing w:val="27"/>
        </w:rPr>
        <w:t> </w:t>
      </w:r>
      <w:r>
        <w:rPr/>
        <w:t>soil,</w:t>
      </w:r>
      <w:r>
        <w:rPr>
          <w:spacing w:val="24"/>
        </w:rPr>
        <w:t> </w:t>
      </w:r>
      <w:r>
        <w:rPr/>
        <w:t>see</w:t>
      </w:r>
      <w:r>
        <w:rPr>
          <w:spacing w:val="24"/>
        </w:rPr>
        <w:t> </w:t>
      </w:r>
      <w:r>
        <w:rPr/>
        <w:t>Box</w:t>
      </w:r>
    </w:p>
    <w:p>
      <w:pPr>
        <w:pStyle w:val="BodyText"/>
        <w:spacing w:line="229" w:lineRule="exact"/>
        <w:ind w:left="179"/>
        <w:jc w:val="both"/>
      </w:pPr>
      <w:r>
        <w:rPr/>
        <w:t>4.2.13 and Table 4.2.8. Figure 3.1.1 in Chapter 3 provides further guidance on selecting appropriate methods.</w:t>
      </w:r>
    </w:p>
    <w:p>
      <w:pPr>
        <w:pStyle w:val="BodyText"/>
      </w:pPr>
    </w:p>
    <w:p>
      <w:pPr>
        <w:pStyle w:val="BodyText"/>
      </w:pPr>
    </w:p>
    <w:p>
      <w:pPr>
        <w:pStyle w:val="BodyText"/>
        <w:spacing w:before="4"/>
        <w:rPr>
          <w:sz w:val="28"/>
        </w:rPr>
      </w:pPr>
      <w:r>
        <w:rPr/>
        <w:pict>
          <v:shape style="position:absolute;margin-left:91.960999pt;margin-top:19.003071pt;width:411.5pt;height:158.4pt;mso-position-horizontal-relative:page;mso-position-vertical-relative:paragraph;z-index:25280;mso-wrap-distance-left:0;mso-wrap-distance-right:0" type="#_x0000_t202" filled="false" stroked="true" strokeweight="1.44pt" strokecolor="#000000">
            <v:textbox inset="0,0,0,0">
              <w:txbxContent>
                <w:p>
                  <w:pPr>
                    <w:spacing w:before="100"/>
                    <w:ind w:left="68" w:right="68" w:firstLine="0"/>
                    <w:jc w:val="center"/>
                    <w:rPr>
                      <w:b/>
                      <w:sz w:val="18"/>
                    </w:rPr>
                  </w:pPr>
                  <w:r>
                    <w:rPr>
                      <w:b/>
                      <w:sz w:val="18"/>
                    </w:rPr>
                    <w:t>B</w:t>
                  </w:r>
                  <w:r>
                    <w:rPr>
                      <w:b/>
                      <w:sz w:val="14"/>
                    </w:rPr>
                    <w:t>OX </w:t>
                  </w:r>
                  <w:r>
                    <w:rPr>
                      <w:b/>
                      <w:sz w:val="18"/>
                    </w:rPr>
                    <w:t>4.2.13</w:t>
                  </w:r>
                </w:p>
                <w:p>
                  <w:pPr>
                    <w:spacing w:before="122"/>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spacing w:before="113"/>
                    <w:ind w:left="244"/>
                  </w:pPr>
                  <w:r>
                    <w:rPr/>
                    <w:t>Section 3.4.1.1 Change in biomass</w:t>
                  </w:r>
                </w:p>
                <w:p>
                  <w:pPr>
                    <w:pStyle w:val="BodyText"/>
                    <w:spacing w:before="118"/>
                    <w:ind w:left="244"/>
                  </w:pPr>
                  <w:r>
                    <w:rPr/>
                    <w:t>Section 3.4.1.2 Change in carbon stocks in soils</w:t>
                  </w:r>
                </w:p>
                <w:p>
                  <w:pPr>
                    <w:pStyle w:val="BodyText"/>
                    <w:rPr>
                      <w:sz w:val="22"/>
                    </w:rPr>
                  </w:pPr>
                </w:p>
                <w:p>
                  <w:pPr>
                    <w:pStyle w:val="BodyText"/>
                    <w:spacing w:before="5"/>
                    <w:rPr>
                      <w:sz w:val="17"/>
                    </w:rPr>
                  </w:pPr>
                </w:p>
                <w:p>
                  <w:pPr>
                    <w:spacing w:before="0"/>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numPr>
                      <w:ilvl w:val="0"/>
                      <w:numId w:val="168"/>
                    </w:numPr>
                    <w:tabs>
                      <w:tab w:pos="926" w:val="left" w:leader="none"/>
                      <w:tab w:pos="927" w:val="left" w:leader="none"/>
                    </w:tabs>
                    <w:spacing w:line="240" w:lineRule="auto" w:before="115" w:after="0"/>
                    <w:ind w:left="926" w:right="0" w:hanging="641"/>
                    <w:jc w:val="left"/>
                  </w:pPr>
                  <w:r>
                    <w:rPr/>
                    <w:t>Non-CO</w:t>
                  </w:r>
                  <w:r>
                    <w:rPr>
                      <w:vertAlign w:val="subscript"/>
                    </w:rPr>
                    <w:t>2</w:t>
                  </w:r>
                  <w:r>
                    <w:rPr>
                      <w:vertAlign w:val="baseline"/>
                    </w:rPr>
                    <w:t> greenhouse</w:t>
                  </w:r>
                  <w:r>
                    <w:rPr>
                      <w:spacing w:val="-9"/>
                      <w:vertAlign w:val="baseline"/>
                    </w:rPr>
                    <w:t> </w:t>
                  </w:r>
                  <w:r>
                    <w:rPr>
                      <w:vertAlign w:val="baseline"/>
                    </w:rPr>
                    <w:t>gases</w:t>
                  </w:r>
                </w:p>
                <w:p>
                  <w:pPr>
                    <w:pStyle w:val="BodyText"/>
                    <w:numPr>
                      <w:ilvl w:val="0"/>
                      <w:numId w:val="168"/>
                    </w:numPr>
                    <w:tabs>
                      <w:tab w:pos="437" w:val="left" w:leader="none"/>
                      <w:tab w:pos="925" w:val="left" w:leader="none"/>
                    </w:tabs>
                    <w:spacing w:line="367" w:lineRule="auto" w:before="118" w:after="0"/>
                    <w:ind w:left="285" w:right="1267" w:firstLine="0"/>
                    <w:jc w:val="left"/>
                  </w:pPr>
                  <w:r>
                    <w:rPr/>
                    <w:t>B</w:t>
                    <w:tab/>
                    <w:t>Forest and grassland conversion (conversion of grazing lands to croplands) 5 D</w:t>
                    <w:tab/>
                    <w:t>CO</w:t>
                  </w:r>
                  <w:r>
                    <w:rPr>
                      <w:vertAlign w:val="subscript"/>
                    </w:rPr>
                    <w:t>2</w:t>
                  </w:r>
                  <w:r>
                    <w:rPr>
                      <w:vertAlign w:val="baseline"/>
                    </w:rPr>
                    <w:t> emissions and removals from</w:t>
                  </w:r>
                  <w:r>
                    <w:rPr>
                      <w:spacing w:val="1"/>
                      <w:vertAlign w:val="baseline"/>
                    </w:rPr>
                    <w:t> </w:t>
                  </w:r>
                  <w:r>
                    <w:rPr>
                      <w:vertAlign w:val="baseline"/>
                    </w:rPr>
                    <w:t>soils</w:t>
                  </w:r>
                </w:p>
              </w:txbxContent>
            </v:textbox>
            <v:stroke dashstyle="solid"/>
            <w10:wrap type="topAndBottom"/>
          </v:shape>
        </w:pict>
      </w:r>
    </w:p>
    <w:p>
      <w:pPr>
        <w:pStyle w:val="BodyText"/>
      </w:pPr>
    </w:p>
    <w:p>
      <w:pPr>
        <w:pStyle w:val="BodyText"/>
        <w:rPr>
          <w:sz w:val="29"/>
        </w:rPr>
      </w:pPr>
    </w:p>
    <w:p>
      <w:pPr>
        <w:pStyle w:val="Heading6"/>
        <w:numPr>
          <w:ilvl w:val="4"/>
          <w:numId w:val="169"/>
        </w:numPr>
        <w:tabs>
          <w:tab w:pos="1331" w:val="left" w:leader="none"/>
          <w:tab w:pos="1332" w:val="left" w:leader="none"/>
        </w:tabs>
        <w:spacing w:line="240" w:lineRule="auto" w:before="92" w:after="0"/>
        <w:ind w:left="1331" w:right="0" w:hanging="1152"/>
        <w:jc w:val="left"/>
      </w:pPr>
      <w:r>
        <w:rPr/>
        <w:t>1</w:t>
        <w:tab/>
      </w:r>
      <w:r>
        <w:rPr>
          <w:spacing w:val="15"/>
        </w:rPr>
        <w:t>MINERAL</w:t>
      </w:r>
      <w:r>
        <w:rPr>
          <w:spacing w:val="40"/>
        </w:rPr>
        <w:t> </w:t>
      </w:r>
      <w:r>
        <w:rPr>
          <w:spacing w:val="15"/>
        </w:rPr>
        <w:t>SOILS</w:t>
      </w:r>
    </w:p>
    <w:p>
      <w:pPr>
        <w:pStyle w:val="BodyText"/>
        <w:spacing w:before="207"/>
        <w:ind w:left="179" w:right="1597"/>
      </w:pPr>
      <w:r>
        <w:rPr/>
        <w:t>The decision tree used for selecting the tier for estimating carbon stock changes in mineral soils under grazing land management is analogous to the one used for croplands – see Figure 4.2.9 above.</w:t>
      </w:r>
    </w:p>
    <w:p>
      <w:pPr>
        <w:pStyle w:val="BodyText"/>
        <w:spacing w:before="4"/>
        <w:rPr>
          <w:sz w:val="21"/>
        </w:rPr>
      </w:pPr>
    </w:p>
    <w:p>
      <w:pPr>
        <w:pStyle w:val="Heading6"/>
        <w:spacing w:before="1"/>
        <w:ind w:left="179"/>
      </w:pPr>
      <w:r>
        <w:rPr/>
        <w:t>Methods for estimating carbon stock changes in mineral soils</w:t>
      </w:r>
    </w:p>
    <w:p>
      <w:pPr>
        <w:pStyle w:val="BodyText"/>
        <w:spacing w:before="53"/>
        <w:ind w:left="179" w:right="1402"/>
        <w:jc w:val="both"/>
      </w:pPr>
      <w:r>
        <w:rPr/>
        <w:t>The methods used for estimating carbon stock changes in mineral soils under grazing land management are identical to those used for croplands. See the methods under Tiers 1, 2 and 3 described in Section 4.2.8.3.1 (Mineral soils) and also in Chapter 3 (Sections 3.3.1.2, 3.4.1.2, 3.4.2.2). As for cropland management all methods require that the lands subject to grazing land management be tracked continuously through time. At Tier 1, the database of default annual stock change factors in Annex 4A.1, is applicable also for grazing lands (see Section 4.2.8.3.1). However, for Article 3.4 activities it is </w:t>
      </w:r>
      <w:r>
        <w:rPr>
          <w:i/>
        </w:rPr>
        <w:t>good practice </w:t>
      </w:r>
      <w:r>
        <w:rPr/>
        <w:t>to use Tier 2 or Tier 3 for estimating carbon</w:t>
      </w:r>
      <w:r>
        <w:rPr>
          <w:spacing w:val="-3"/>
        </w:rPr>
        <w:t> </w:t>
      </w:r>
      <w:r>
        <w:rPr/>
        <w:t>stock</w:t>
      </w:r>
      <w:r>
        <w:rPr>
          <w:spacing w:val="-3"/>
        </w:rPr>
        <w:t> </w:t>
      </w:r>
      <w:r>
        <w:rPr/>
        <w:t>changes</w:t>
      </w:r>
      <w:r>
        <w:rPr>
          <w:spacing w:val="-3"/>
        </w:rPr>
        <w:t> </w:t>
      </w:r>
      <w:r>
        <w:rPr/>
        <w:t>from</w:t>
      </w:r>
      <w:r>
        <w:rPr>
          <w:spacing w:val="-2"/>
        </w:rPr>
        <w:t> </w:t>
      </w:r>
      <w:r>
        <w:rPr/>
        <w:t>mineral</w:t>
      </w:r>
      <w:r>
        <w:rPr>
          <w:spacing w:val="-2"/>
        </w:rPr>
        <w:t> </w:t>
      </w:r>
      <w:r>
        <w:rPr/>
        <w:t>soils</w:t>
      </w:r>
      <w:r>
        <w:rPr>
          <w:spacing w:val="-3"/>
        </w:rPr>
        <w:t> </w:t>
      </w:r>
      <w:r>
        <w:rPr/>
        <w:t>if</w:t>
      </w:r>
      <w:r>
        <w:rPr>
          <w:spacing w:val="-3"/>
        </w:rPr>
        <w:t> </w:t>
      </w:r>
      <w:r>
        <w:rPr/>
        <w:t>CO</w:t>
      </w:r>
      <w:r>
        <w:rPr>
          <w:vertAlign w:val="subscript"/>
        </w:rPr>
        <w:t>2</w:t>
      </w:r>
      <w:r>
        <w:rPr>
          <w:spacing w:val="-2"/>
          <w:vertAlign w:val="baseline"/>
        </w:rPr>
        <w:t> </w:t>
      </w:r>
      <w:r>
        <w:rPr>
          <w:vertAlign w:val="baseline"/>
        </w:rPr>
        <w:t>emissions</w:t>
      </w:r>
      <w:r>
        <w:rPr>
          <w:spacing w:val="-1"/>
          <w:vertAlign w:val="baseline"/>
        </w:rPr>
        <w:t> </w:t>
      </w:r>
      <w:r>
        <w:rPr>
          <w:vertAlign w:val="baseline"/>
        </w:rPr>
        <w:t>from</w:t>
      </w:r>
      <w:r>
        <w:rPr>
          <w:spacing w:val="-6"/>
          <w:vertAlign w:val="baseline"/>
        </w:rPr>
        <w:t> </w:t>
      </w:r>
      <w:r>
        <w:rPr>
          <w:vertAlign w:val="baseline"/>
        </w:rPr>
        <w:t>grazing</w:t>
      </w:r>
      <w:r>
        <w:rPr>
          <w:spacing w:val="-2"/>
          <w:vertAlign w:val="baseline"/>
        </w:rPr>
        <w:t> </w:t>
      </w:r>
      <w:r>
        <w:rPr>
          <w:vertAlign w:val="baseline"/>
        </w:rPr>
        <w:t>land</w:t>
      </w:r>
      <w:r>
        <w:rPr>
          <w:spacing w:val="2"/>
          <w:vertAlign w:val="baseline"/>
        </w:rPr>
        <w:t> </w:t>
      </w:r>
      <w:r>
        <w:rPr>
          <w:vertAlign w:val="baseline"/>
        </w:rPr>
        <w:t>management is</w:t>
      </w:r>
      <w:r>
        <w:rPr>
          <w:spacing w:val="-3"/>
          <w:vertAlign w:val="baseline"/>
        </w:rPr>
        <w:t> </w:t>
      </w:r>
      <w:r>
        <w:rPr>
          <w:vertAlign w:val="baseline"/>
        </w:rPr>
        <w:t>a</w:t>
      </w:r>
      <w:r>
        <w:rPr>
          <w:spacing w:val="-2"/>
          <w:vertAlign w:val="baseline"/>
        </w:rPr>
        <w:t> </w:t>
      </w:r>
      <w:r>
        <w:rPr>
          <w:vertAlign w:val="baseline"/>
        </w:rPr>
        <w:t>key</w:t>
      </w:r>
      <w:r>
        <w:rPr>
          <w:spacing w:val="-5"/>
          <w:vertAlign w:val="baseline"/>
        </w:rPr>
        <w:t> </w:t>
      </w:r>
      <w:r>
        <w:rPr>
          <w:vertAlign w:val="baseline"/>
        </w:rPr>
        <w:t>category.</w:t>
      </w:r>
    </w:p>
    <w:p>
      <w:pPr>
        <w:pStyle w:val="BodyText"/>
        <w:spacing w:before="2"/>
        <w:rPr>
          <w:sz w:val="21"/>
        </w:rPr>
      </w:pPr>
    </w:p>
    <w:p>
      <w:pPr>
        <w:pStyle w:val="Heading6"/>
        <w:ind w:left="179"/>
      </w:pPr>
      <w:r>
        <w:rPr/>
        <w:t>Choice of carbon emission/removal factors for mineral soils</w:t>
      </w:r>
    </w:p>
    <w:p>
      <w:pPr>
        <w:pStyle w:val="BodyText"/>
        <w:spacing w:before="56"/>
        <w:ind w:left="179" w:right="1407"/>
      </w:pPr>
      <w:r>
        <w:rPr/>
        <w:t>The choice of carbon stock change factors at each tier follows the same lines as described under cropland management. The carbon stock change factors are held within the same database. At higher tiers, as for cropland</w:t>
      </w:r>
    </w:p>
    <w:p>
      <w:pPr>
        <w:spacing w:after="0"/>
        <w:sectPr>
          <w:pgSz w:w="11900" w:h="16840"/>
          <w:pgMar w:header="230" w:footer="408" w:top="560" w:bottom="600" w:left="1240" w:right="0"/>
        </w:sectPr>
      </w:pPr>
    </w:p>
    <w:p>
      <w:pPr>
        <w:pStyle w:val="BodyText"/>
      </w:pPr>
    </w:p>
    <w:p>
      <w:pPr>
        <w:pStyle w:val="BodyText"/>
        <w:spacing w:before="2"/>
        <w:rPr>
          <w:sz w:val="18"/>
        </w:rPr>
      </w:pPr>
    </w:p>
    <w:p>
      <w:pPr>
        <w:pStyle w:val="BodyText"/>
        <w:ind w:left="179" w:right="1403"/>
        <w:jc w:val="both"/>
      </w:pPr>
      <w:r>
        <w:rPr/>
        <w:t>management, carbon stock change factors can be calculated from literature values (e.g., Follett </w:t>
      </w:r>
      <w:r>
        <w:rPr>
          <w:i/>
        </w:rPr>
        <w:t>et al.</w:t>
      </w:r>
      <w:r>
        <w:rPr/>
        <w:t>, 2000), long-term experiments and model runs. It is </w:t>
      </w:r>
      <w:r>
        <w:rPr>
          <w:i/>
        </w:rPr>
        <w:t>good practice </w:t>
      </w:r>
      <w:r>
        <w:rPr/>
        <w:t>for replacement stock change factors, if based on experimental results, to be derived from experiments that are well designed, with adequate sampling to give adequate statistical power. Any factors based on models should only be used after the model has been tested against experiments such as those described above, and any model should be widely evaluated, well-documented and archived. It is </w:t>
      </w:r>
      <w:r>
        <w:rPr>
          <w:i/>
        </w:rPr>
        <w:t>good practice </w:t>
      </w:r>
      <w:r>
        <w:rPr/>
        <w:t>to provide confidence limits and/or uncertainty estimates associated with any emission/removal factors. Emission/removal factors must be shown to represent local conditions or practice, based on measurements or experiments within the region.</w:t>
      </w:r>
    </w:p>
    <w:p>
      <w:pPr>
        <w:pStyle w:val="BodyText"/>
        <w:rPr>
          <w:sz w:val="22"/>
        </w:rPr>
      </w:pPr>
    </w:p>
    <w:p>
      <w:pPr>
        <w:pStyle w:val="BodyText"/>
        <w:spacing w:before="8"/>
        <w:rPr>
          <w:sz w:val="29"/>
        </w:rPr>
      </w:pPr>
    </w:p>
    <w:p>
      <w:pPr>
        <w:pStyle w:val="Heading6"/>
        <w:ind w:left="179"/>
        <w:jc w:val="both"/>
      </w:pPr>
      <w:r>
        <w:rPr/>
        <w:t>Choice of land use and management data for mineral soils</w:t>
      </w:r>
    </w:p>
    <w:p>
      <w:pPr>
        <w:pStyle w:val="BodyText"/>
        <w:spacing w:before="54"/>
        <w:ind w:left="179" w:right="1402"/>
        <w:jc w:val="both"/>
      </w:pPr>
      <w:r>
        <w:rPr/>
        <w:t>Like for cropland management, if area and management data are available for 1970 through 1990, a base year (1990 or other) net carbon emission/removal can be established using the default carbon emission/removal factors described above. If area and management data are not available for 1970 through 1990 the options available are those already described for cropland (see Section 4.2.8.1.1: 1990 base year). Here only the activity data required for each of three tiers are outlined briefly.</w:t>
      </w:r>
    </w:p>
    <w:p>
      <w:pPr>
        <w:pStyle w:val="BodyText"/>
        <w:spacing w:before="119"/>
        <w:ind w:left="179" w:right="1403"/>
        <w:jc w:val="both"/>
      </w:pPr>
      <w:r>
        <w:rPr>
          <w:b/>
        </w:rPr>
        <w:t>Tier 1: </w:t>
      </w:r>
      <w:r>
        <w:rPr/>
        <w:t>The management practices at Tier 1 are the same as those given in the IPCC Guidelines. The different management impacts defined there are: clearing of native vegetation with conversion to cultivated crops or pasture; land abandonment; shifting cultivation; differing residue addition levels; differing tillage systems; agricultural use of organic soils for grazing. Within these specific land-use or land-management changes, practices are defined semi-quantitatively, e.g., “high input” vs. “low input” systems. Land-use and management systems are not subdivided to finer levels of detail than this. Areas may be obtained from international data sets (e.g., FAO). If area and management data are available for 1970 through 1990, the 1990 base year net carbon stock change can be established using the default carbon emission/removal factors described above. If area and management data are not available for 1970 through 1990 the options available are those described above for cropland (see Section 4.2.8.1.1). If grazing land management is deemed a key category, then it is good practice to use a Tier 2 or 3</w:t>
      </w:r>
      <w:r>
        <w:rPr>
          <w:spacing w:val="1"/>
        </w:rPr>
        <w:t> </w:t>
      </w:r>
      <w:r>
        <w:rPr/>
        <w:t>method.</w:t>
      </w:r>
    </w:p>
    <w:p>
      <w:pPr>
        <w:pStyle w:val="BodyText"/>
        <w:spacing w:before="118"/>
        <w:ind w:left="179" w:right="1403"/>
        <w:jc w:val="both"/>
      </w:pPr>
      <w:r>
        <w:rPr>
          <w:b/>
        </w:rPr>
        <w:t>Tier 2: </w:t>
      </w:r>
      <w:r>
        <w:rPr/>
        <w:t>The management practices at Tier 2 are the same as those given in the </w:t>
      </w:r>
      <w:r>
        <w:rPr>
          <w:i/>
        </w:rPr>
        <w:t>IPCC Guidelines </w:t>
      </w:r>
      <w:r>
        <w:rPr/>
        <w:t>and at Tier 1.  To make them country-specific, however, some practices may be subdivided, or new ones may be added. For example, within the agricultural management systems described in the </w:t>
      </w:r>
      <w:r>
        <w:rPr>
          <w:i/>
        </w:rPr>
        <w:t>IPCC Guidelines</w:t>
      </w:r>
      <w:r>
        <w:rPr/>
        <w:t>, management data includes descriptors such as “high input” and “low input”; these descriptors could be replaced at Tier 2 by more explicit descriptors; for example, high grazing level, medium grazing level, low grazing level, and zero grazing. Further subdivision of activities may also be necessary; for example, different forms of grazing. An alternative to the use of more detailed descriptor categories is the use of relationships relating the intensity of a practice (e.g., grazing level) with a change in the carbon emission/removal factor. Alternatively, well-calibrated and well- evaluated models of soil carbon change (e.g., CENTURY (Parton </w:t>
      </w:r>
      <w:r>
        <w:rPr>
          <w:i/>
        </w:rPr>
        <w:t>et al.</w:t>
      </w:r>
      <w:r>
        <w:rPr/>
        <w:t>, 1986), RothC (Coleman and Jenkinson, 1996), or others) could be used to generate either default carbon emission/removal factors, or to generate the intensity relationships for each activity, for different soils in different climatic regions. These examples show how, at Tier 2, activities can be made more country-specific, but other refinements are also possible. Rigorous criteria must be applied so that any increase in the sink size is not under- or</w:t>
      </w:r>
      <w:r>
        <w:rPr>
          <w:spacing w:val="-15"/>
        </w:rPr>
        <w:t> </w:t>
      </w:r>
      <w:r>
        <w:rPr/>
        <w:t>overestimated.</w:t>
      </w:r>
    </w:p>
    <w:p>
      <w:pPr>
        <w:pStyle w:val="BodyText"/>
        <w:spacing w:before="118"/>
        <w:ind w:left="179" w:right="1405"/>
        <w:jc w:val="both"/>
      </w:pPr>
      <w:r>
        <w:rPr>
          <w:b/>
        </w:rPr>
        <w:t>Tier 3: </w:t>
      </w:r>
      <w:r>
        <w:rPr/>
        <w:t>Management data used in the more complex Tier 3 approaches are likely to be subdivided as described for Tier 2 above.</w:t>
      </w:r>
    </w:p>
    <w:p>
      <w:pPr>
        <w:pStyle w:val="BodyText"/>
        <w:spacing w:before="9"/>
        <w:rPr>
          <w:sz w:val="29"/>
        </w:rPr>
      </w:pPr>
    </w:p>
    <w:p>
      <w:pPr>
        <w:pStyle w:val="Heading6"/>
        <w:numPr>
          <w:ilvl w:val="4"/>
          <w:numId w:val="169"/>
        </w:numPr>
        <w:tabs>
          <w:tab w:pos="1332" w:val="left" w:leader="none"/>
        </w:tabs>
        <w:spacing w:line="240" w:lineRule="auto" w:before="0" w:after="0"/>
        <w:ind w:left="1331" w:right="0" w:hanging="1152"/>
        <w:jc w:val="both"/>
      </w:pPr>
      <w:r>
        <w:rPr/>
        <w:t>2 </w:t>
      </w:r>
      <w:r>
        <w:rPr>
          <w:spacing w:val="12"/>
        </w:rPr>
        <w:t>CO</w:t>
      </w:r>
      <w:r>
        <w:rPr>
          <w:spacing w:val="12"/>
          <w:vertAlign w:val="subscript"/>
        </w:rPr>
        <w:t>2</w:t>
      </w:r>
      <w:r>
        <w:rPr>
          <w:spacing w:val="12"/>
          <w:vertAlign w:val="baseline"/>
        </w:rPr>
        <w:t> </w:t>
      </w:r>
      <w:r>
        <w:rPr>
          <w:spacing w:val="16"/>
          <w:vertAlign w:val="baseline"/>
        </w:rPr>
        <w:t>EMISSIONS </w:t>
      </w:r>
      <w:r>
        <w:rPr>
          <w:spacing w:val="14"/>
          <w:vertAlign w:val="baseline"/>
        </w:rPr>
        <w:t>FROM </w:t>
      </w:r>
      <w:r>
        <w:rPr>
          <w:spacing w:val="16"/>
          <w:vertAlign w:val="baseline"/>
        </w:rPr>
        <w:t>ORGANIC</w:t>
      </w:r>
      <w:r>
        <w:rPr>
          <w:spacing w:val="-17"/>
          <w:vertAlign w:val="baseline"/>
        </w:rPr>
        <w:t> </w:t>
      </w:r>
      <w:r>
        <w:rPr>
          <w:spacing w:val="15"/>
          <w:vertAlign w:val="baseline"/>
        </w:rPr>
        <w:t>SOILS</w:t>
      </w:r>
      <w:r>
        <w:rPr>
          <w:spacing w:val="-35"/>
          <w:vertAlign w:val="baseline"/>
        </w:rPr>
        <w:t> </w:t>
      </w:r>
    </w:p>
    <w:p>
      <w:pPr>
        <w:pStyle w:val="BodyText"/>
        <w:spacing w:before="207"/>
        <w:ind w:left="179" w:right="1402"/>
        <w:jc w:val="both"/>
      </w:pPr>
      <w:r>
        <w:rPr/>
        <w:t>The decision tree for use with organic soils under grazing land management is identical to that from cropland management, cf. Figure 4.2.13. The methods described under Tiers 1, 2 and 3 for cropland also apply to grazing land, cf. Section 4.2.8.3.2 (Carbon stock changes in organic soils) and also Chapter 3 (Sections 3.3.1.2 and 3.4.1.2). As for croplands, non-CO</w:t>
      </w:r>
      <w:r>
        <w:rPr>
          <w:vertAlign w:val="subscript"/>
        </w:rPr>
        <w:t>2</w:t>
      </w:r>
      <w:r>
        <w:rPr>
          <w:vertAlign w:val="baseline"/>
        </w:rPr>
        <w:t> greenhouse gas emissions/removals from organic soils are also important, with some emissions (i.e., methane, CH</w:t>
      </w:r>
      <w:r>
        <w:rPr>
          <w:vertAlign w:val="subscript"/>
        </w:rPr>
        <w:t>4</w:t>
      </w:r>
      <w:r>
        <w:rPr>
          <w:vertAlign w:val="baseline"/>
        </w:rPr>
        <w:t>) decreasing as CO</w:t>
      </w:r>
      <w:r>
        <w:rPr>
          <w:vertAlign w:val="subscript"/>
        </w:rPr>
        <w:t>2</w:t>
      </w:r>
      <w:r>
        <w:rPr>
          <w:vertAlign w:val="baseline"/>
        </w:rPr>
        <w:t> losses increase with soil drainage. It is important when calculating changes in carbon emissions/removals from organic soils to also consider non-CO</w:t>
      </w:r>
      <w:r>
        <w:rPr>
          <w:vertAlign w:val="subscript"/>
        </w:rPr>
        <w:t>2</w:t>
      </w:r>
      <w:r>
        <w:rPr>
          <w:vertAlign w:val="baseline"/>
        </w:rPr>
        <w:t> greenhouse gas emissions, bearing in mind that, as a rule, these are covered in the Agriculture sector. However, note that the </w:t>
      </w:r>
      <w:r>
        <w:rPr>
          <w:i/>
          <w:vertAlign w:val="baseline"/>
        </w:rPr>
        <w:t>IPCC Guidelines </w:t>
      </w:r>
      <w:r>
        <w:rPr>
          <w:vertAlign w:val="baseline"/>
        </w:rPr>
        <w:t>assume that all carbon is emitted as CO</w:t>
      </w:r>
      <w:r>
        <w:rPr>
          <w:vertAlign w:val="subscript"/>
        </w:rPr>
        <w:t>2</w:t>
      </w:r>
      <w:r>
        <w:rPr>
          <w:vertAlign w:val="baseline"/>
        </w:rPr>
        <w:t>; if this assumption is departed from, it must be justified by scientifically sound and well-documented data.</w:t>
      </w:r>
    </w:p>
    <w:p>
      <w:pPr>
        <w:pStyle w:val="BodyText"/>
        <w:spacing w:before="3"/>
        <w:rPr>
          <w:sz w:val="21"/>
        </w:rPr>
      </w:pPr>
    </w:p>
    <w:p>
      <w:pPr>
        <w:pStyle w:val="Heading6"/>
        <w:ind w:left="179"/>
        <w:jc w:val="both"/>
      </w:pPr>
      <w:r>
        <w:rPr>
          <w:spacing w:val="15"/>
        </w:rPr>
        <w:t>Choice </w:t>
      </w:r>
      <w:r>
        <w:rPr>
          <w:spacing w:val="9"/>
        </w:rPr>
        <w:t>of  </w:t>
      </w:r>
      <w:r>
        <w:rPr>
          <w:spacing w:val="15"/>
        </w:rPr>
        <w:t>carbon  </w:t>
      </w:r>
      <w:r>
        <w:rPr>
          <w:spacing w:val="17"/>
        </w:rPr>
        <w:t>emission/removal </w:t>
      </w:r>
      <w:r>
        <w:rPr>
          <w:spacing w:val="16"/>
        </w:rPr>
        <w:t>factors </w:t>
      </w:r>
      <w:r>
        <w:rPr>
          <w:spacing w:val="13"/>
        </w:rPr>
        <w:t>for  </w:t>
      </w:r>
      <w:r>
        <w:rPr>
          <w:spacing w:val="16"/>
        </w:rPr>
        <w:t>organic</w:t>
      </w:r>
      <w:r>
        <w:rPr>
          <w:spacing w:val="38"/>
        </w:rPr>
        <w:t> </w:t>
      </w:r>
      <w:r>
        <w:rPr>
          <w:spacing w:val="19"/>
        </w:rPr>
        <w:t>soils</w:t>
      </w:r>
    </w:p>
    <w:p>
      <w:pPr>
        <w:pStyle w:val="BodyText"/>
        <w:spacing w:before="54"/>
        <w:ind w:left="179" w:right="1402"/>
        <w:jc w:val="both"/>
      </w:pPr>
      <w:r>
        <w:rPr/>
        <w:t>Factors for organic soils are described in the equivalent subsection for cropland management (Section 4.2.8.3.2 Carbon stock changes in organic soils) and Chapter 3 (Sections 3.3.1.2 and</w:t>
      </w:r>
      <w:r>
        <w:rPr>
          <w:spacing w:val="-10"/>
        </w:rPr>
        <w:t> </w:t>
      </w:r>
      <w:r>
        <w:rPr/>
        <w:t>3.4.1.2).</w:t>
      </w:r>
    </w:p>
    <w:p>
      <w:pPr>
        <w:spacing w:after="0"/>
        <w:jc w:val="both"/>
        <w:sectPr>
          <w:pgSz w:w="11900" w:h="16840"/>
          <w:pgMar w:header="230" w:footer="408" w:top="560" w:bottom="600" w:left="1240" w:right="0"/>
        </w:sectPr>
      </w:pPr>
    </w:p>
    <w:p>
      <w:pPr>
        <w:pStyle w:val="BodyText"/>
      </w:pPr>
    </w:p>
    <w:p>
      <w:pPr>
        <w:pStyle w:val="Heading6"/>
        <w:spacing w:before="214"/>
        <w:ind w:left="179"/>
      </w:pPr>
      <w:r>
        <w:rPr/>
        <w:t>Choice of management data for organic soils</w:t>
      </w:r>
    </w:p>
    <w:p>
      <w:pPr>
        <w:pStyle w:val="BodyText"/>
        <w:spacing w:before="57"/>
        <w:ind w:left="179"/>
      </w:pPr>
      <w:r>
        <w:rPr/>
        <w:t>Management data for organic soils are as for </w:t>
      </w:r>
      <w:r>
        <w:rPr>
          <w:i/>
        </w:rPr>
        <w:t>IPCC Guidelines </w:t>
      </w:r>
      <w:r>
        <w:rPr/>
        <w:t>as described and amended above for mineral soils.</w:t>
      </w:r>
    </w:p>
    <w:p>
      <w:pPr>
        <w:pStyle w:val="BodyText"/>
        <w:spacing w:before="5"/>
        <w:rPr>
          <w:sz w:val="29"/>
        </w:rPr>
      </w:pPr>
    </w:p>
    <w:p>
      <w:pPr>
        <w:pStyle w:val="Heading6"/>
        <w:numPr>
          <w:ilvl w:val="4"/>
          <w:numId w:val="169"/>
        </w:numPr>
        <w:tabs>
          <w:tab w:pos="1332" w:val="left" w:leader="none"/>
        </w:tabs>
        <w:spacing w:line="240" w:lineRule="auto" w:before="0" w:after="0"/>
        <w:ind w:left="1331" w:right="0" w:hanging="1152"/>
        <w:jc w:val="both"/>
      </w:pPr>
      <w:r>
        <w:rPr/>
        <w:t>3 </w:t>
      </w:r>
      <w:r>
        <w:rPr>
          <w:spacing w:val="12"/>
        </w:rPr>
        <w:t>CO</w:t>
      </w:r>
      <w:r>
        <w:rPr>
          <w:spacing w:val="12"/>
          <w:vertAlign w:val="subscript"/>
        </w:rPr>
        <w:t>2</w:t>
      </w:r>
      <w:r>
        <w:rPr>
          <w:spacing w:val="12"/>
          <w:vertAlign w:val="baseline"/>
        </w:rPr>
        <w:t> </w:t>
      </w:r>
      <w:r>
        <w:rPr>
          <w:spacing w:val="16"/>
          <w:vertAlign w:val="baseline"/>
        </w:rPr>
        <w:t>EMISSIONS </w:t>
      </w:r>
      <w:r>
        <w:rPr>
          <w:spacing w:val="14"/>
          <w:vertAlign w:val="baseline"/>
        </w:rPr>
        <w:t>FROM</w:t>
      </w:r>
      <w:r>
        <w:rPr>
          <w:spacing w:val="26"/>
          <w:vertAlign w:val="baseline"/>
        </w:rPr>
        <w:t> </w:t>
      </w:r>
      <w:r>
        <w:rPr>
          <w:spacing w:val="15"/>
          <w:vertAlign w:val="baseline"/>
        </w:rPr>
        <w:t>LIMING</w:t>
      </w:r>
    </w:p>
    <w:p>
      <w:pPr>
        <w:pStyle w:val="BodyText"/>
        <w:spacing w:before="210"/>
        <w:ind w:left="179" w:right="1408"/>
        <w:jc w:val="both"/>
      </w:pPr>
      <w:r>
        <w:rPr/>
        <w:t>For carbon emissions from liming, the same methods can be used for land subject to grazing land management as for those under cropland management (see Section 4.2.8.3.3 CO</w:t>
      </w:r>
      <w:r>
        <w:rPr>
          <w:vertAlign w:val="subscript"/>
        </w:rPr>
        <w:t>2</w:t>
      </w:r>
      <w:r>
        <w:rPr>
          <w:vertAlign w:val="baseline"/>
        </w:rPr>
        <w:t> emissions from liming).</w:t>
      </w:r>
    </w:p>
    <w:p>
      <w:pPr>
        <w:pStyle w:val="BodyText"/>
        <w:spacing w:before="6"/>
        <w:rPr>
          <w:sz w:val="29"/>
        </w:rPr>
      </w:pPr>
    </w:p>
    <w:p>
      <w:pPr>
        <w:pStyle w:val="Heading6"/>
        <w:numPr>
          <w:ilvl w:val="4"/>
          <w:numId w:val="169"/>
        </w:numPr>
        <w:tabs>
          <w:tab w:pos="1332" w:val="left" w:leader="none"/>
        </w:tabs>
        <w:spacing w:line="240" w:lineRule="auto" w:before="0" w:after="0"/>
        <w:ind w:left="1331" w:right="0" w:hanging="1152"/>
        <w:jc w:val="both"/>
      </w:pPr>
      <w:r>
        <w:rPr/>
        <w:t>4 </w:t>
      </w:r>
      <w:r>
        <w:rPr>
          <w:spacing w:val="14"/>
        </w:rPr>
        <w:t>NON- </w:t>
      </w:r>
      <w:r>
        <w:rPr>
          <w:spacing w:val="12"/>
        </w:rPr>
        <w:t>CO</w:t>
      </w:r>
      <w:r>
        <w:rPr>
          <w:spacing w:val="12"/>
          <w:vertAlign w:val="subscript"/>
        </w:rPr>
        <w:t>2</w:t>
      </w:r>
      <w:r>
        <w:rPr>
          <w:spacing w:val="12"/>
          <w:vertAlign w:val="baseline"/>
        </w:rPr>
        <w:t> </w:t>
      </w:r>
      <w:r>
        <w:rPr>
          <w:spacing w:val="17"/>
          <w:vertAlign w:val="baseline"/>
        </w:rPr>
        <w:t>GREENHOUSE</w:t>
      </w:r>
      <w:r>
        <w:rPr>
          <w:spacing w:val="24"/>
          <w:vertAlign w:val="baseline"/>
        </w:rPr>
        <w:t> </w:t>
      </w:r>
      <w:r>
        <w:rPr>
          <w:spacing w:val="15"/>
          <w:vertAlign w:val="baseline"/>
        </w:rPr>
        <w:t>GASES</w:t>
      </w:r>
    </w:p>
    <w:p>
      <w:pPr>
        <w:pStyle w:val="BodyText"/>
        <w:spacing w:before="210"/>
        <w:ind w:left="179" w:right="1404"/>
        <w:jc w:val="both"/>
      </w:pPr>
      <w:r>
        <w:rPr/>
        <w:t>Methodologies for N</w:t>
      </w:r>
      <w:r>
        <w:rPr>
          <w:vertAlign w:val="subscript"/>
        </w:rPr>
        <w:t>2</w:t>
      </w:r>
      <w:r>
        <w:rPr>
          <w:vertAlign w:val="baseline"/>
        </w:rPr>
        <w:t>O and CH</w:t>
      </w:r>
      <w:r>
        <w:rPr>
          <w:vertAlign w:val="subscript"/>
        </w:rPr>
        <w:t>4</w:t>
      </w:r>
      <w:r>
        <w:rPr>
          <w:vertAlign w:val="baseline"/>
        </w:rPr>
        <w:t> emissions from soils are given in the Agriculture chapter of </w:t>
      </w:r>
      <w:r>
        <w:rPr>
          <w:i/>
          <w:vertAlign w:val="baseline"/>
        </w:rPr>
        <w:t>GPG2000</w:t>
      </w:r>
      <w:r>
        <w:rPr>
          <w:vertAlign w:val="baseline"/>
        </w:rPr>
        <w:t>, which gives methodologies for sources of agricultural soil emissions that are related to grazing land management (see also Chapter 3, Section 3.4.1.3). Management practices adopted to increase soil carbon may also influence the emission of non-CO</w:t>
      </w:r>
      <w:r>
        <w:rPr>
          <w:vertAlign w:val="subscript"/>
        </w:rPr>
        <w:t>2</w:t>
      </w:r>
      <w:r>
        <w:rPr>
          <w:vertAlign w:val="baseline"/>
        </w:rPr>
        <w:t> greenhouse gases. Often these effects will be covered by the methods described for agriculture. For example, N</w:t>
      </w:r>
      <w:r>
        <w:rPr>
          <w:vertAlign w:val="subscript"/>
        </w:rPr>
        <w:t>2</w:t>
      </w:r>
      <w:r>
        <w:rPr>
          <w:vertAlign w:val="baseline"/>
        </w:rPr>
        <w:t>O emissions from adding more fertilizer to build soil organic matter will be directly included. There may be other effects that are not covered by the default methods; for example, increasing the carbon pools could also increase levels of organic nitrogen which, when mineralised, could become available as a substrate for denitrification and thus increase N</w:t>
      </w:r>
      <w:r>
        <w:rPr>
          <w:vertAlign w:val="subscript"/>
        </w:rPr>
        <w:t>2</w:t>
      </w:r>
      <w:r>
        <w:rPr>
          <w:vertAlign w:val="baseline"/>
        </w:rPr>
        <w:t>O production. Similarly, the cessation of tillage on conversion of croplands to grazing lands could, at some stage in the development of the grazing land make the soils more anaerobic, thus potentially enhancing denitrification and N</w:t>
      </w:r>
      <w:r>
        <w:rPr>
          <w:vertAlign w:val="subscript"/>
        </w:rPr>
        <w:t>2</w:t>
      </w:r>
      <w:r>
        <w:rPr>
          <w:vertAlign w:val="baseline"/>
        </w:rPr>
        <w:t>O production (see Example 1 in Box 4.2.11). These effects can be calculated in higher-tier methods, but still should be reported in the Agriculture sector, to avoid double counting or omission.</w:t>
      </w:r>
    </w:p>
    <w:p>
      <w:pPr>
        <w:pStyle w:val="BodyText"/>
        <w:spacing w:before="118"/>
        <w:ind w:left="179" w:right="1407"/>
        <w:jc w:val="both"/>
      </w:pPr>
      <w:r>
        <w:rPr/>
        <w:t>Non-CO</w:t>
      </w:r>
      <w:r>
        <w:rPr>
          <w:vertAlign w:val="subscript"/>
        </w:rPr>
        <w:t>2</w:t>
      </w:r>
      <w:r>
        <w:rPr>
          <w:vertAlign w:val="baseline"/>
        </w:rPr>
        <w:t> greenhouse gas emissions/removals on deforested lands converted to grazing land (Article 3.3) need to be reported separately from those under grazing land management (Article 3.4). For further guidance, see corresponding section on cropland management (Section 4.2.8.3.4).</w:t>
      </w:r>
    </w:p>
    <w:p>
      <w:pPr>
        <w:pStyle w:val="BodyText"/>
        <w:rPr>
          <w:sz w:val="22"/>
        </w:rPr>
      </w:pPr>
    </w:p>
    <w:p>
      <w:pPr>
        <w:pStyle w:val="BodyText"/>
        <w:spacing w:before="1"/>
      </w:pPr>
    </w:p>
    <w:p>
      <w:pPr>
        <w:pStyle w:val="Heading2"/>
        <w:numPr>
          <w:ilvl w:val="2"/>
          <w:numId w:val="169"/>
        </w:numPr>
        <w:tabs>
          <w:tab w:pos="1382" w:val="left" w:leader="none"/>
        </w:tabs>
        <w:spacing w:line="240" w:lineRule="auto" w:before="0" w:after="0"/>
        <w:ind w:left="1381" w:right="0" w:hanging="1202"/>
        <w:jc w:val="both"/>
      </w:pPr>
      <w:r>
        <w:rPr>
          <w:spacing w:val="9"/>
        </w:rPr>
        <w:t>Revegetation</w:t>
      </w:r>
    </w:p>
    <w:p>
      <w:pPr>
        <w:pStyle w:val="BodyText"/>
        <w:spacing w:before="6"/>
        <w:rPr>
          <w:b/>
          <w:sz w:val="34"/>
        </w:rPr>
      </w:pPr>
    </w:p>
    <w:p>
      <w:pPr>
        <w:pStyle w:val="Heading6"/>
        <w:numPr>
          <w:ilvl w:val="3"/>
          <w:numId w:val="170"/>
        </w:numPr>
        <w:tabs>
          <w:tab w:pos="1620" w:val="left" w:leader="none"/>
        </w:tabs>
        <w:spacing w:line="240" w:lineRule="auto" w:before="0" w:after="0"/>
        <w:ind w:left="1619" w:right="0" w:hanging="1440"/>
        <w:jc w:val="both"/>
      </w:pPr>
      <w:r>
        <w:rPr>
          <w:spacing w:val="17"/>
          <w:sz w:val="28"/>
        </w:rPr>
        <w:t>D</w:t>
      </w:r>
      <w:r>
        <w:rPr>
          <w:spacing w:val="17"/>
        </w:rPr>
        <w:t>EFINITIONAL </w:t>
      </w:r>
      <w:r>
        <w:rPr>
          <w:spacing w:val="15"/>
        </w:rPr>
        <w:t>ISSUES </w:t>
      </w:r>
      <w:r>
        <w:rPr>
          <w:spacing w:val="12"/>
        </w:rPr>
        <w:t>AND </w:t>
      </w:r>
      <w:r>
        <w:rPr>
          <w:spacing w:val="17"/>
        </w:rPr>
        <w:t>REPORTING</w:t>
      </w:r>
      <w:r>
        <w:rPr>
          <w:spacing w:val="-19"/>
        </w:rPr>
        <w:t> </w:t>
      </w:r>
      <w:r>
        <w:rPr>
          <w:spacing w:val="17"/>
        </w:rPr>
        <w:t>REQUIREMENTS</w:t>
      </w:r>
    </w:p>
    <w:p>
      <w:pPr>
        <w:pStyle w:val="BodyText"/>
        <w:spacing w:before="209"/>
        <w:ind w:left="179" w:right="1403"/>
        <w:jc w:val="both"/>
      </w:pPr>
      <w:r>
        <w:rPr/>
        <w:t>“Revegetation” is a direct human-induced activity to increase carbon stocks on sites through the establishment of vegetation that covers a minimum area of 0.05 hectares and does </w:t>
      </w:r>
      <w:r>
        <w:rPr>
          <w:spacing w:val="-2"/>
        </w:rPr>
        <w:t>not </w:t>
      </w:r>
      <w:r>
        <w:rPr/>
        <w:t>meet the definitions of afforestation and </w:t>
      </w:r>
      <w:r>
        <w:rPr>
          <w:spacing w:val="-3"/>
        </w:rPr>
        <w:t>reforestation. Land </w:t>
      </w:r>
      <w:r>
        <w:rPr/>
        <w:t>should be </w:t>
      </w:r>
      <w:r>
        <w:rPr>
          <w:spacing w:val="-3"/>
        </w:rPr>
        <w:t>classified </w:t>
      </w:r>
      <w:r>
        <w:rPr/>
        <w:t>under revegetation if it </w:t>
      </w:r>
      <w:r>
        <w:rPr>
          <w:spacing w:val="-3"/>
        </w:rPr>
        <w:t>meets </w:t>
      </w:r>
      <w:r>
        <w:rPr/>
        <w:t>the revegetation definition and takes place after</w:t>
      </w:r>
      <w:r>
        <w:rPr>
          <w:spacing w:val="-6"/>
        </w:rPr>
        <w:t> </w:t>
      </w:r>
      <w:r>
        <w:rPr/>
        <w:t>1</w:t>
      </w:r>
      <w:r>
        <w:rPr>
          <w:spacing w:val="-6"/>
        </w:rPr>
        <w:t> </w:t>
      </w:r>
      <w:r>
        <w:rPr/>
        <w:t>January</w:t>
      </w:r>
      <w:r>
        <w:rPr>
          <w:spacing w:val="-7"/>
        </w:rPr>
        <w:t> </w:t>
      </w:r>
      <w:r>
        <w:rPr/>
        <w:t>1990</w:t>
      </w:r>
      <w:r>
        <w:rPr>
          <w:spacing w:val="-6"/>
        </w:rPr>
        <w:t> </w:t>
      </w:r>
      <w:r>
        <w:rPr/>
        <w:t>(see</w:t>
      </w:r>
      <w:r>
        <w:rPr>
          <w:spacing w:val="-5"/>
        </w:rPr>
        <w:t> </w:t>
      </w:r>
      <w:r>
        <w:rPr/>
        <w:t>the</w:t>
      </w:r>
      <w:r>
        <w:rPr>
          <w:spacing w:val="-4"/>
        </w:rPr>
        <w:t> </w:t>
      </w:r>
      <w:r>
        <w:rPr/>
        <w:t>decision</w:t>
      </w:r>
      <w:r>
        <w:rPr>
          <w:spacing w:val="-6"/>
        </w:rPr>
        <w:t> </w:t>
      </w:r>
      <w:r>
        <w:rPr/>
        <w:t>tree</w:t>
      </w:r>
      <w:r>
        <w:rPr>
          <w:spacing w:val="-5"/>
        </w:rPr>
        <w:t> </w:t>
      </w:r>
      <w:r>
        <w:rPr/>
        <w:t>in</w:t>
      </w:r>
      <w:r>
        <w:rPr>
          <w:spacing w:val="-6"/>
        </w:rPr>
        <w:t> </w:t>
      </w:r>
      <w:r>
        <w:rPr/>
        <w:t>Figure</w:t>
      </w:r>
      <w:r>
        <w:rPr>
          <w:spacing w:val="-6"/>
        </w:rPr>
        <w:t> </w:t>
      </w:r>
      <w:r>
        <w:rPr/>
        <w:t>4.2.5</w:t>
      </w:r>
      <w:r>
        <w:rPr>
          <w:spacing w:val="-5"/>
        </w:rPr>
        <w:t> </w:t>
      </w:r>
      <w:r>
        <w:rPr>
          <w:spacing w:val="-2"/>
        </w:rPr>
        <w:t>for</w:t>
      </w:r>
      <w:r>
        <w:rPr>
          <w:spacing w:val="-4"/>
        </w:rPr>
        <w:t> </w:t>
      </w:r>
      <w:r>
        <w:rPr>
          <w:spacing w:val="-3"/>
        </w:rPr>
        <w:t>further</w:t>
      </w:r>
      <w:r>
        <w:rPr>
          <w:spacing w:val="-4"/>
        </w:rPr>
        <w:t> </w:t>
      </w:r>
      <w:r>
        <w:rPr>
          <w:spacing w:val="-3"/>
        </w:rPr>
        <w:t>guidance).</w:t>
      </w:r>
      <w:r>
        <w:rPr>
          <w:spacing w:val="-6"/>
        </w:rPr>
        <w:t> </w:t>
      </w:r>
      <w:r>
        <w:rPr/>
        <w:t>The</w:t>
      </w:r>
      <w:r>
        <w:rPr>
          <w:spacing w:val="-3"/>
        </w:rPr>
        <w:t> </w:t>
      </w:r>
      <w:r>
        <w:rPr/>
        <w:t>methods</w:t>
      </w:r>
      <w:r>
        <w:rPr>
          <w:spacing w:val="-5"/>
        </w:rPr>
        <w:t> </w:t>
      </w:r>
      <w:r>
        <w:rPr>
          <w:spacing w:val="-2"/>
        </w:rPr>
        <w:t>for</w:t>
      </w:r>
      <w:r>
        <w:rPr>
          <w:spacing w:val="-6"/>
        </w:rPr>
        <w:t> </w:t>
      </w:r>
      <w:r>
        <w:rPr>
          <w:spacing w:val="-2"/>
        </w:rPr>
        <w:t>estimating</w:t>
      </w:r>
      <w:r>
        <w:rPr>
          <w:spacing w:val="-5"/>
        </w:rPr>
        <w:t> </w:t>
      </w:r>
      <w:r>
        <w:rPr/>
        <w:t>carbon stock changes from revegetation differ somewhat from those applied to cropland </w:t>
      </w:r>
      <w:r>
        <w:rPr>
          <w:spacing w:val="-3"/>
        </w:rPr>
        <w:t>management </w:t>
      </w:r>
      <w:r>
        <w:rPr/>
        <w:t>or grazing land management,</w:t>
      </w:r>
      <w:r>
        <w:rPr>
          <w:spacing w:val="-10"/>
        </w:rPr>
        <w:t> </w:t>
      </w:r>
      <w:r>
        <w:rPr>
          <w:spacing w:val="-3"/>
        </w:rPr>
        <w:t>and</w:t>
      </w:r>
      <w:r>
        <w:rPr>
          <w:spacing w:val="-7"/>
        </w:rPr>
        <w:t> </w:t>
      </w:r>
      <w:r>
        <w:rPr/>
        <w:t>have</w:t>
      </w:r>
      <w:r>
        <w:rPr>
          <w:spacing w:val="-9"/>
        </w:rPr>
        <w:t> </w:t>
      </w:r>
      <w:r>
        <w:rPr>
          <w:spacing w:val="-3"/>
        </w:rPr>
        <w:t>similarities</w:t>
      </w:r>
      <w:r>
        <w:rPr>
          <w:spacing w:val="-8"/>
        </w:rPr>
        <w:t> </w:t>
      </w:r>
      <w:r>
        <w:rPr/>
        <w:t>to</w:t>
      </w:r>
      <w:r>
        <w:rPr>
          <w:spacing w:val="-8"/>
        </w:rPr>
        <w:t> </w:t>
      </w:r>
      <w:r>
        <w:rPr/>
        <w:t>those</w:t>
      </w:r>
      <w:r>
        <w:rPr>
          <w:spacing w:val="-7"/>
        </w:rPr>
        <w:t> </w:t>
      </w:r>
      <w:r>
        <w:rPr>
          <w:spacing w:val="-2"/>
        </w:rPr>
        <w:t>for</w:t>
      </w:r>
      <w:r>
        <w:rPr>
          <w:spacing w:val="-9"/>
        </w:rPr>
        <w:t> </w:t>
      </w:r>
      <w:r>
        <w:rPr>
          <w:spacing w:val="-3"/>
        </w:rPr>
        <w:t>afforestation</w:t>
      </w:r>
      <w:r>
        <w:rPr>
          <w:spacing w:val="-11"/>
        </w:rPr>
        <w:t> </w:t>
      </w:r>
      <w:r>
        <w:rPr/>
        <w:t>and</w:t>
      </w:r>
      <w:r>
        <w:rPr>
          <w:spacing w:val="-9"/>
        </w:rPr>
        <w:t> </w:t>
      </w:r>
      <w:r>
        <w:rPr/>
        <w:t>reforestation</w:t>
      </w:r>
      <w:r>
        <w:rPr>
          <w:spacing w:val="-10"/>
        </w:rPr>
        <w:t> </w:t>
      </w:r>
      <w:r>
        <w:rPr>
          <w:spacing w:val="-3"/>
        </w:rPr>
        <w:t>activities;</w:t>
      </w:r>
      <w:r>
        <w:rPr>
          <w:spacing w:val="-10"/>
        </w:rPr>
        <w:t> </w:t>
      </w:r>
      <w:r>
        <w:rPr/>
        <w:t>even</w:t>
      </w:r>
      <w:r>
        <w:rPr>
          <w:spacing w:val="-8"/>
        </w:rPr>
        <w:t> </w:t>
      </w:r>
      <w:r>
        <w:rPr/>
        <w:t>though</w:t>
      </w:r>
      <w:r>
        <w:rPr>
          <w:spacing w:val="-11"/>
        </w:rPr>
        <w:t> </w:t>
      </w:r>
      <w:r>
        <w:rPr/>
        <w:t>revegetation</w:t>
      </w:r>
      <w:r>
        <w:rPr>
          <w:spacing w:val="-10"/>
        </w:rPr>
        <w:t> </w:t>
      </w:r>
      <w:r>
        <w:rPr/>
        <w:t>is </w:t>
      </w:r>
      <w:r>
        <w:rPr>
          <w:spacing w:val="-3"/>
        </w:rPr>
        <w:t>distinct</w:t>
      </w:r>
      <w:r>
        <w:rPr>
          <w:spacing w:val="-9"/>
        </w:rPr>
        <w:t> </w:t>
      </w:r>
      <w:r>
        <w:rPr/>
        <w:t>from</w:t>
      </w:r>
      <w:r>
        <w:rPr>
          <w:spacing w:val="-11"/>
        </w:rPr>
        <w:t> </w:t>
      </w:r>
      <w:r>
        <w:rPr/>
        <w:t>afforestation/deforestation,</w:t>
      </w:r>
      <w:r>
        <w:rPr>
          <w:spacing w:val="-10"/>
        </w:rPr>
        <w:t> </w:t>
      </w:r>
      <w:r>
        <w:rPr/>
        <w:t>it</w:t>
      </w:r>
      <w:r>
        <w:rPr>
          <w:spacing w:val="-10"/>
        </w:rPr>
        <w:t> </w:t>
      </w:r>
      <w:r>
        <w:rPr/>
        <w:t>also</w:t>
      </w:r>
      <w:r>
        <w:rPr>
          <w:spacing w:val="-10"/>
        </w:rPr>
        <w:t> </w:t>
      </w:r>
      <w:r>
        <w:rPr/>
        <w:t>typically</w:t>
      </w:r>
      <w:r>
        <w:rPr>
          <w:spacing w:val="-11"/>
        </w:rPr>
        <w:t> </w:t>
      </w:r>
      <w:r>
        <w:rPr/>
        <w:t>affects</w:t>
      </w:r>
      <w:r>
        <w:rPr>
          <w:spacing w:val="-11"/>
        </w:rPr>
        <w:t> </w:t>
      </w:r>
      <w:r>
        <w:rPr/>
        <w:t>the</w:t>
      </w:r>
      <w:r>
        <w:rPr>
          <w:spacing w:val="-10"/>
        </w:rPr>
        <w:t> </w:t>
      </w:r>
      <w:r>
        <w:rPr/>
        <w:t>aboveground</w:t>
      </w:r>
      <w:r>
        <w:rPr>
          <w:spacing w:val="-9"/>
        </w:rPr>
        <w:t> </w:t>
      </w:r>
      <w:r>
        <w:rPr/>
        <w:t>carbon</w:t>
      </w:r>
      <w:r>
        <w:rPr>
          <w:spacing w:val="-11"/>
        </w:rPr>
        <w:t> </w:t>
      </w:r>
      <w:r>
        <w:rPr/>
        <w:t>pool</w:t>
      </w:r>
      <w:r>
        <w:rPr>
          <w:spacing w:val="-11"/>
        </w:rPr>
        <w:t> </w:t>
      </w:r>
      <w:r>
        <w:rPr>
          <w:spacing w:val="-3"/>
        </w:rPr>
        <w:t>significantly.</w:t>
      </w:r>
    </w:p>
    <w:p>
      <w:pPr>
        <w:pStyle w:val="BodyText"/>
        <w:spacing w:before="118"/>
        <w:ind w:left="179" w:right="1404"/>
        <w:jc w:val="both"/>
      </w:pPr>
      <w:r>
        <w:rPr/>
        <w:t>Revegetation implies that vegetation is established to replace the previous (sometimes minimal) ground cover that had followed a land disturbance. For example, activities such as reclaiming/restoring herbaceous ecosystems on carbon-depleted soils, environmental plantings, planting of trees, shrubs, grass or other non-woody vegetation on various types of lands including urban areas, might all qualify as revegetation. Moreover, a tree planting may not qualify for afforestation/reforestation because it does not meet (and is not expected to meet during the commitment period) the minimum tree crown cover and/or minimum tree height chosen in the definition of forest, or because the consistent application of spatial configuration criteria (see Section 4.2.2.5) exclude it. In such a case the planting may qualify as revegetation. Note that revegetation does not necessarily entail a change in land use, in contrast to afforestation.</w:t>
      </w:r>
    </w:p>
    <w:p>
      <w:pPr>
        <w:pStyle w:val="BodyText"/>
        <w:spacing w:before="119"/>
        <w:ind w:left="179" w:right="1407"/>
        <w:jc w:val="both"/>
      </w:pPr>
      <w:r>
        <w:rPr/>
        <w:t>Set-aside lands such as cultivated lands subjected to revegetation should be included under cropland management if they are only temporarily set-aside (typically this is for 5 years or less, but any set-aside likely to return to cropland under the national conditions for set-aside should be counted as</w:t>
      </w:r>
      <w:r>
        <w:rPr>
          <w:spacing w:val="-3"/>
        </w:rPr>
        <w:t> </w:t>
      </w:r>
      <w:r>
        <w:rPr/>
        <w:t>cropland).</w:t>
      </w:r>
    </w:p>
    <w:p>
      <w:pPr>
        <w:pStyle w:val="BodyText"/>
        <w:spacing w:before="119"/>
        <w:ind w:left="179" w:right="1406"/>
        <w:jc w:val="both"/>
      </w:pPr>
      <w:r>
        <w:rPr/>
        <w:t>It is </w:t>
      </w:r>
      <w:r>
        <w:rPr>
          <w:i/>
        </w:rPr>
        <w:t>good practice </w:t>
      </w:r>
      <w:r>
        <w:rPr/>
        <w:t>for Parties electing revegetation to provide documentation describing how the included areas meet the definition of revegetation and how they can be distinguished from other lands in land-use categories.</w:t>
      </w:r>
    </w:p>
    <w:p>
      <w:pPr>
        <w:spacing w:after="0"/>
        <w:jc w:val="both"/>
        <w:sectPr>
          <w:pgSz w:w="11900" w:h="16840"/>
          <w:pgMar w:header="230" w:footer="408" w:top="560" w:bottom="600" w:left="1240" w:right="0"/>
        </w:sectPr>
      </w:pPr>
    </w:p>
    <w:p>
      <w:pPr>
        <w:pStyle w:val="BodyText"/>
      </w:pPr>
    </w:p>
    <w:p>
      <w:pPr>
        <w:pStyle w:val="BodyText"/>
        <w:spacing w:before="2"/>
        <w:rPr>
          <w:sz w:val="19"/>
        </w:rPr>
      </w:pPr>
    </w:p>
    <w:p>
      <w:pPr>
        <w:pStyle w:val="Heading6"/>
        <w:numPr>
          <w:ilvl w:val="3"/>
          <w:numId w:val="170"/>
        </w:numPr>
        <w:tabs>
          <w:tab w:pos="1619" w:val="left" w:leader="none"/>
          <w:tab w:pos="1620" w:val="left" w:leader="none"/>
        </w:tabs>
        <w:spacing w:line="240" w:lineRule="auto" w:before="89" w:after="0"/>
        <w:ind w:left="1619" w:right="0" w:hanging="1440"/>
        <w:jc w:val="left"/>
      </w:pPr>
      <w:r>
        <w:rPr>
          <w:spacing w:val="15"/>
          <w:sz w:val="28"/>
        </w:rPr>
        <w:t>C</w:t>
      </w:r>
      <w:r>
        <w:rPr>
          <w:spacing w:val="15"/>
        </w:rPr>
        <w:t>HOICE </w:t>
      </w:r>
      <w:r>
        <w:rPr>
          <w:spacing w:val="10"/>
        </w:rPr>
        <w:t>OF </w:t>
      </w:r>
      <w:r>
        <w:rPr>
          <w:spacing w:val="16"/>
        </w:rPr>
        <w:t>METHODS </w:t>
      </w:r>
      <w:r>
        <w:rPr>
          <w:spacing w:val="13"/>
        </w:rPr>
        <w:t>FOR </w:t>
      </w:r>
      <w:r>
        <w:rPr>
          <w:spacing w:val="17"/>
        </w:rPr>
        <w:t>IDENTIFYING</w:t>
      </w:r>
      <w:r>
        <w:rPr>
          <w:spacing w:val="76"/>
        </w:rPr>
        <w:t> </w:t>
      </w:r>
      <w:r>
        <w:rPr>
          <w:spacing w:val="15"/>
        </w:rPr>
        <w:t>LANDS</w:t>
      </w:r>
    </w:p>
    <w:p>
      <w:pPr>
        <w:pStyle w:val="BodyText"/>
        <w:spacing w:line="229" w:lineRule="exact" w:before="211"/>
        <w:ind w:left="179"/>
      </w:pPr>
      <w:r>
        <w:rPr/>
        <w:t>General guidance on identification of lands subject to revegetation is provided in Sections 4.1.1, 4.1.2, 4.2.1, and</w:t>
      </w:r>
    </w:p>
    <w:p>
      <w:pPr>
        <w:pStyle w:val="BodyText"/>
        <w:ind w:left="179" w:right="1405"/>
        <w:jc w:val="both"/>
      </w:pPr>
      <w:r>
        <w:rPr/>
        <w:t>4.2.2. Generally, all lands subject to revegetation since 1 January 1990 should be tracked consistent with the national criteria that establish a hierarchy among Article 3.4 activities (if applicable) as explained in Section 4.1. Under the Marrakesh Accords, the geographical locations of the boundaries of the areas that encompass lands subject to revegetation need to be reported annually, along with the total land area subject to this activity.</w:t>
      </w:r>
    </w:p>
    <w:p>
      <w:pPr>
        <w:pStyle w:val="BodyText"/>
        <w:spacing w:before="119"/>
        <w:ind w:left="179" w:right="1403"/>
        <w:jc w:val="both"/>
      </w:pPr>
      <w:r>
        <w:rPr/>
        <w:t>The geographical location of the boundaries may include a spatially explicit specification of each land subject to revegetation, but does not have to. Instead, the larger area within which areas of land subject to revegetation are encompassed may be given. In either case, the lands subject to revegetation and the management thereon need to be tracked continuously through time. Continuity in monitoring/reporting of management on land could be achieved either by continuously tracking each land subject to revegetation from 1990 until the end of the commitment period (e.g., see Section 4.2.8.1 and 4.2.8.2), or by developing statistical sampling techniques, consistent with the requirements of Section 5.3, that allow the transition of different types of management on revegetation land to be determined (see Section 4.2.4.1 Developing a consistent time series).</w:t>
      </w:r>
    </w:p>
    <w:p>
      <w:pPr>
        <w:pStyle w:val="BodyText"/>
        <w:spacing w:before="118"/>
        <w:ind w:left="179"/>
        <w:jc w:val="both"/>
      </w:pPr>
      <w:r>
        <w:rPr/>
        <w:t>Links to pertinent methods in this report and in the </w:t>
      </w:r>
      <w:r>
        <w:rPr>
          <w:i/>
        </w:rPr>
        <w:t>IPCC Guidelines </w:t>
      </w:r>
      <w:r>
        <w:rPr/>
        <w:t>are provided in Box 4.2.14.</w:t>
      </w:r>
    </w:p>
    <w:p>
      <w:pPr>
        <w:pStyle w:val="BodyText"/>
      </w:pPr>
    </w:p>
    <w:p>
      <w:pPr>
        <w:pStyle w:val="BodyText"/>
        <w:spacing w:before="1"/>
        <w:rPr>
          <w:sz w:val="18"/>
        </w:rPr>
      </w:pPr>
      <w:r>
        <w:rPr/>
        <w:pict>
          <v:shape style="position:absolute;margin-left:91.960999pt;margin-top:13.117328pt;width:411.5pt;height:147.5pt;mso-position-horizontal-relative:page;mso-position-vertical-relative:paragraph;z-index:25304;mso-wrap-distance-left:0;mso-wrap-distance-right:0" type="#_x0000_t202" filled="false" stroked="true" strokeweight="1.44pt" strokecolor="#000000">
            <v:textbox inset="0,0,0,0">
              <w:txbxContent>
                <w:p>
                  <w:pPr>
                    <w:spacing w:before="100"/>
                    <w:ind w:left="68" w:right="68" w:firstLine="0"/>
                    <w:jc w:val="center"/>
                    <w:rPr>
                      <w:b/>
                      <w:sz w:val="18"/>
                    </w:rPr>
                  </w:pPr>
                  <w:r>
                    <w:rPr>
                      <w:b/>
                      <w:sz w:val="18"/>
                    </w:rPr>
                    <w:t>B</w:t>
                  </w:r>
                  <w:r>
                    <w:rPr>
                      <w:b/>
                      <w:sz w:val="14"/>
                    </w:rPr>
                    <w:t>OX </w:t>
                  </w:r>
                  <w:r>
                    <w:rPr>
                      <w:b/>
                      <w:sz w:val="18"/>
                    </w:rPr>
                    <w:t>4.2.14</w:t>
                  </w:r>
                </w:p>
                <w:p>
                  <w:pPr>
                    <w:spacing w:before="120"/>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spacing w:line="350" w:lineRule="exact" w:before="19"/>
                    <w:ind w:left="127"/>
                  </w:pPr>
                  <w:r>
                    <w:rPr/>
                    <w:t>Section 2.3.2 (Three Approaches): No information on revegetation area in Chapter 2 approaches. Requires</w:t>
                  </w:r>
                  <w:r>
                    <w:rPr>
                      <w:spacing w:val="14"/>
                    </w:rPr>
                    <w:t> </w:t>
                  </w:r>
                  <w:r>
                    <w:rPr/>
                    <w:t>country-specific</w:t>
                  </w:r>
                  <w:r>
                    <w:rPr>
                      <w:spacing w:val="16"/>
                    </w:rPr>
                    <w:t> </w:t>
                  </w:r>
                  <w:r>
                    <w:rPr/>
                    <w:t>criteria</w:t>
                  </w:r>
                  <w:r>
                    <w:rPr>
                      <w:spacing w:val="16"/>
                    </w:rPr>
                    <w:t> </w:t>
                  </w:r>
                  <w:r>
                    <w:rPr/>
                    <w:t>on</w:t>
                  </w:r>
                  <w:r>
                    <w:rPr>
                      <w:spacing w:val="16"/>
                    </w:rPr>
                    <w:t> </w:t>
                  </w:r>
                  <w:r>
                    <w:rPr/>
                    <w:t>what</w:t>
                  </w:r>
                  <w:r>
                    <w:rPr>
                      <w:spacing w:val="17"/>
                    </w:rPr>
                    <w:t> </w:t>
                  </w:r>
                  <w:r>
                    <w:rPr/>
                    <w:t>constitutes</w:t>
                  </w:r>
                  <w:r>
                    <w:rPr>
                      <w:spacing w:val="14"/>
                    </w:rPr>
                    <w:t> </w:t>
                  </w:r>
                  <w:r>
                    <w:rPr/>
                    <w:t>revegetation.</w:t>
                  </w:r>
                  <w:r>
                    <w:rPr>
                      <w:spacing w:val="16"/>
                    </w:rPr>
                    <w:t> </w:t>
                  </w:r>
                  <w:r>
                    <w:rPr/>
                    <w:t>Should</w:t>
                  </w:r>
                  <w:r>
                    <w:rPr>
                      <w:spacing w:val="16"/>
                    </w:rPr>
                    <w:t> </w:t>
                  </w:r>
                  <w:r>
                    <w:rPr/>
                    <w:t>include</w:t>
                  </w:r>
                  <w:r>
                    <w:rPr>
                      <w:spacing w:val="16"/>
                    </w:rPr>
                    <w:t> </w:t>
                  </w:r>
                  <w:r>
                    <w:rPr/>
                    <w:t>all</w:t>
                  </w:r>
                  <w:r>
                    <w:rPr>
                      <w:spacing w:val="18"/>
                    </w:rPr>
                    <w:t> </w:t>
                  </w:r>
                  <w:r>
                    <w:rPr/>
                    <w:t>transitions</w:t>
                  </w:r>
                </w:p>
                <w:p>
                  <w:pPr>
                    <w:spacing w:line="204" w:lineRule="exact" w:before="0"/>
                    <w:ind w:left="127" w:right="0" w:firstLine="0"/>
                    <w:jc w:val="left"/>
                    <w:rPr>
                      <w:sz w:val="20"/>
                    </w:rPr>
                  </w:pPr>
                  <w:r>
                    <w:rPr>
                      <w:i/>
                      <w:sz w:val="20"/>
                    </w:rPr>
                    <w:t>between</w:t>
                  </w:r>
                  <w:r>
                    <w:rPr>
                      <w:i/>
                      <w:spacing w:val="16"/>
                      <w:sz w:val="20"/>
                    </w:rPr>
                    <w:t> </w:t>
                  </w:r>
                  <w:r>
                    <w:rPr>
                      <w:i/>
                      <w:sz w:val="20"/>
                    </w:rPr>
                    <w:t>1990</w:t>
                  </w:r>
                  <w:r>
                    <w:rPr>
                      <w:i/>
                      <w:spacing w:val="16"/>
                      <w:sz w:val="20"/>
                    </w:rPr>
                    <w:t> </w:t>
                  </w:r>
                  <w:r>
                    <w:rPr>
                      <w:i/>
                      <w:sz w:val="20"/>
                    </w:rPr>
                    <w:t>(or</w:t>
                  </w:r>
                  <w:r>
                    <w:rPr>
                      <w:i/>
                      <w:spacing w:val="15"/>
                      <w:sz w:val="20"/>
                    </w:rPr>
                    <w:t> </w:t>
                  </w:r>
                  <w:r>
                    <w:rPr>
                      <w:i/>
                      <w:sz w:val="20"/>
                    </w:rPr>
                    <w:t>1970,</w:t>
                  </w:r>
                  <w:r>
                    <w:rPr>
                      <w:i/>
                      <w:spacing w:val="13"/>
                      <w:sz w:val="20"/>
                    </w:rPr>
                    <w:t> </w:t>
                  </w:r>
                  <w:r>
                    <w:rPr>
                      <w:i/>
                      <w:sz w:val="20"/>
                    </w:rPr>
                    <w:t>where</w:t>
                  </w:r>
                  <w:r>
                    <w:rPr>
                      <w:i/>
                      <w:spacing w:val="17"/>
                      <w:sz w:val="20"/>
                    </w:rPr>
                    <w:t> </w:t>
                  </w:r>
                  <w:r>
                    <w:rPr>
                      <w:i/>
                      <w:sz w:val="20"/>
                    </w:rPr>
                    <w:t>required</w:t>
                  </w:r>
                  <w:r>
                    <w:rPr>
                      <w:i/>
                      <w:spacing w:val="16"/>
                      <w:sz w:val="20"/>
                    </w:rPr>
                    <w:t> </w:t>
                  </w:r>
                  <w:r>
                    <w:rPr>
                      <w:i/>
                      <w:sz w:val="20"/>
                    </w:rPr>
                    <w:t>for</w:t>
                  </w:r>
                  <w:r>
                    <w:rPr>
                      <w:i/>
                      <w:spacing w:val="14"/>
                      <w:sz w:val="20"/>
                    </w:rPr>
                    <w:t> </w:t>
                  </w:r>
                  <w:r>
                    <w:rPr>
                      <w:i/>
                      <w:sz w:val="20"/>
                    </w:rPr>
                    <w:t>base</w:t>
                  </w:r>
                  <w:r>
                    <w:rPr>
                      <w:i/>
                      <w:spacing w:val="17"/>
                      <w:sz w:val="20"/>
                    </w:rPr>
                    <w:t> </w:t>
                  </w:r>
                  <w:r>
                    <w:rPr>
                      <w:i/>
                      <w:sz w:val="20"/>
                    </w:rPr>
                    <w:t>year</w:t>
                  </w:r>
                  <w:r>
                    <w:rPr>
                      <w:i/>
                      <w:spacing w:val="14"/>
                      <w:sz w:val="20"/>
                    </w:rPr>
                    <w:t> </w:t>
                  </w:r>
                  <w:r>
                    <w:rPr>
                      <w:i/>
                      <w:sz w:val="20"/>
                    </w:rPr>
                    <w:t>estimate)</w:t>
                  </w:r>
                  <w:r>
                    <w:rPr>
                      <w:i/>
                      <w:spacing w:val="14"/>
                      <w:sz w:val="20"/>
                    </w:rPr>
                    <w:t> </w:t>
                  </w:r>
                  <w:r>
                    <w:rPr>
                      <w:sz w:val="20"/>
                    </w:rPr>
                    <w:t>and</w:t>
                  </w:r>
                  <w:r>
                    <w:rPr>
                      <w:spacing w:val="16"/>
                      <w:sz w:val="20"/>
                    </w:rPr>
                    <w:t> </w:t>
                  </w:r>
                  <w:r>
                    <w:rPr>
                      <w:sz w:val="20"/>
                    </w:rPr>
                    <w:t>2008,</w:t>
                  </w:r>
                  <w:r>
                    <w:rPr>
                      <w:spacing w:val="14"/>
                      <w:sz w:val="20"/>
                    </w:rPr>
                    <w:t> </w:t>
                  </w:r>
                  <w:r>
                    <w:rPr>
                      <w:sz w:val="20"/>
                    </w:rPr>
                    <w:t>and</w:t>
                  </w:r>
                  <w:r>
                    <w:rPr>
                      <w:spacing w:val="16"/>
                      <w:sz w:val="20"/>
                    </w:rPr>
                    <w:t> </w:t>
                  </w:r>
                  <w:r>
                    <w:rPr>
                      <w:sz w:val="20"/>
                    </w:rPr>
                    <w:t>in</w:t>
                  </w:r>
                  <w:r>
                    <w:rPr>
                      <w:spacing w:val="14"/>
                      <w:sz w:val="20"/>
                    </w:rPr>
                    <w:t> </w:t>
                  </w:r>
                  <w:r>
                    <w:rPr>
                      <w:sz w:val="20"/>
                    </w:rPr>
                    <w:t>later</w:t>
                  </w:r>
                  <w:r>
                    <w:rPr>
                      <w:spacing w:val="15"/>
                      <w:sz w:val="20"/>
                    </w:rPr>
                    <w:t> </w:t>
                  </w:r>
                  <w:r>
                    <w:rPr>
                      <w:sz w:val="20"/>
                    </w:rPr>
                    <w:t>inventory</w:t>
                  </w:r>
                </w:p>
                <w:p>
                  <w:pPr>
                    <w:pStyle w:val="BodyText"/>
                    <w:spacing w:before="1"/>
                    <w:ind w:left="127"/>
                  </w:pPr>
                  <w:r>
                    <w:rPr/>
                    <w:t>years transitions on an annual basis.</w:t>
                  </w:r>
                  <w:r>
                    <w:rPr>
                      <w:vertAlign w:val="superscript"/>
                    </w:rPr>
                    <w:t>61</w:t>
                  </w:r>
                </w:p>
                <w:p>
                  <w:pPr>
                    <w:pStyle w:val="BodyText"/>
                    <w:rPr>
                      <w:sz w:val="24"/>
                    </w:rPr>
                  </w:pPr>
                </w:p>
                <w:p>
                  <w:pPr>
                    <w:spacing w:before="199"/>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spacing w:before="115"/>
                    <w:ind w:left="127" w:right="0" w:firstLine="0"/>
                    <w:jc w:val="left"/>
                    <w:rPr>
                      <w:sz w:val="20"/>
                    </w:rPr>
                  </w:pPr>
                  <w:r>
                    <w:rPr>
                      <w:sz w:val="20"/>
                    </w:rPr>
                    <w:t>Revegetation is not addressed in the </w:t>
                  </w:r>
                  <w:r>
                    <w:rPr>
                      <w:i/>
                      <w:sz w:val="20"/>
                    </w:rPr>
                    <w:t>IPCC Guidelines</w:t>
                  </w:r>
                  <w:r>
                    <w:rPr>
                      <w:sz w:val="20"/>
                    </w:rPr>
                    <w:t>.</w:t>
                  </w:r>
                </w:p>
              </w:txbxContent>
            </v:textbox>
            <v:stroke dashstyle="solid"/>
            <w10:wrap type="topAndBottom"/>
          </v:shape>
        </w:pict>
      </w:r>
    </w:p>
    <w:p>
      <w:pPr>
        <w:pStyle w:val="BodyText"/>
        <w:spacing w:before="2"/>
        <w:rPr>
          <w:sz w:val="10"/>
        </w:rPr>
      </w:pPr>
    </w:p>
    <w:p>
      <w:pPr>
        <w:pStyle w:val="Heading6"/>
        <w:spacing w:before="92"/>
        <w:ind w:left="179"/>
      </w:pPr>
      <w:r>
        <w:rPr/>
        <w:t>Guidance on methods to identify/monitor areas for revegetation lands</w:t>
      </w:r>
    </w:p>
    <w:p>
      <w:pPr>
        <w:pStyle w:val="BodyText"/>
        <w:spacing w:before="56"/>
        <w:ind w:left="179" w:right="1408"/>
        <w:jc w:val="both"/>
      </w:pPr>
      <w:r>
        <w:rPr/>
        <w:t>Methods for monitoring revegetation lands are the same as those used for afforestation/reforestation and deforestation lands (see Sections 4.2.5 and 4.2.6).</w:t>
      </w:r>
    </w:p>
    <w:p>
      <w:pPr>
        <w:pStyle w:val="BodyText"/>
        <w:rPr>
          <w:sz w:val="22"/>
        </w:rPr>
      </w:pPr>
    </w:p>
    <w:p>
      <w:pPr>
        <w:pStyle w:val="Heading6"/>
        <w:numPr>
          <w:ilvl w:val="3"/>
          <w:numId w:val="170"/>
        </w:numPr>
        <w:tabs>
          <w:tab w:pos="1619" w:val="left" w:leader="none"/>
          <w:tab w:pos="1620" w:val="left" w:leader="none"/>
        </w:tabs>
        <w:spacing w:line="242" w:lineRule="auto" w:before="143" w:after="0"/>
        <w:ind w:left="1619" w:right="1823" w:hanging="1440"/>
        <w:jc w:val="left"/>
      </w:pPr>
      <w:r>
        <w:rPr>
          <w:spacing w:val="16"/>
          <w:sz w:val="28"/>
        </w:rPr>
        <w:t>C</w:t>
      </w:r>
      <w:r>
        <w:rPr>
          <w:spacing w:val="16"/>
        </w:rPr>
        <w:t>HOICE </w:t>
      </w:r>
      <w:r>
        <w:rPr>
          <w:spacing w:val="10"/>
        </w:rPr>
        <w:t>OF </w:t>
      </w:r>
      <w:r>
        <w:rPr>
          <w:spacing w:val="16"/>
        </w:rPr>
        <w:t>METHODS </w:t>
      </w:r>
      <w:r>
        <w:rPr>
          <w:spacing w:val="13"/>
        </w:rPr>
        <w:t>FOR </w:t>
      </w:r>
      <w:r>
        <w:rPr>
          <w:spacing w:val="17"/>
        </w:rPr>
        <w:t>ESTIMATING </w:t>
      </w:r>
      <w:r>
        <w:rPr>
          <w:spacing w:val="16"/>
        </w:rPr>
        <w:t>CARBON </w:t>
      </w:r>
      <w:r>
        <w:rPr>
          <w:spacing w:val="15"/>
        </w:rPr>
        <w:t>STOCK </w:t>
      </w:r>
      <w:r>
        <w:rPr>
          <w:spacing w:val="16"/>
        </w:rPr>
        <w:t>CHANGES </w:t>
      </w:r>
      <w:r>
        <w:rPr>
          <w:spacing w:val="12"/>
        </w:rPr>
        <w:t>AND </w:t>
      </w:r>
      <w:r>
        <w:rPr>
          <w:spacing w:val="16"/>
        </w:rPr>
        <w:t>NON</w:t>
      </w:r>
      <w:r>
        <w:rPr>
          <w:spacing w:val="16"/>
          <w:sz w:val="28"/>
        </w:rPr>
        <w:t>-CO</w:t>
      </w:r>
      <w:r>
        <w:rPr>
          <w:spacing w:val="16"/>
          <w:sz w:val="28"/>
          <w:vertAlign w:val="subscript"/>
        </w:rPr>
        <w:t>2</w:t>
      </w:r>
      <w:r>
        <w:rPr>
          <w:spacing w:val="16"/>
          <w:sz w:val="28"/>
          <w:vertAlign w:val="baseline"/>
        </w:rPr>
        <w:t> </w:t>
      </w:r>
      <w:r>
        <w:rPr>
          <w:spacing w:val="17"/>
          <w:vertAlign w:val="baseline"/>
        </w:rPr>
        <w:t>GREENHOUSE </w:t>
      </w:r>
      <w:r>
        <w:rPr>
          <w:spacing w:val="12"/>
          <w:vertAlign w:val="baseline"/>
        </w:rPr>
        <w:t>GAS</w:t>
      </w:r>
      <w:r>
        <w:rPr>
          <w:spacing w:val="6"/>
          <w:vertAlign w:val="baseline"/>
        </w:rPr>
        <w:t> </w:t>
      </w:r>
      <w:r>
        <w:rPr>
          <w:spacing w:val="16"/>
          <w:vertAlign w:val="baseline"/>
        </w:rPr>
        <w:t>EMISSIONS</w:t>
      </w:r>
    </w:p>
    <w:p>
      <w:pPr>
        <w:pStyle w:val="BodyText"/>
        <w:spacing w:before="205"/>
        <w:ind w:left="179" w:right="1402"/>
        <w:jc w:val="both"/>
      </w:pPr>
      <w:r>
        <w:rPr>
          <w:spacing w:val="-4"/>
        </w:rPr>
        <w:t>For mineral soils, organic soils and for limed revegetation lands, </w:t>
      </w:r>
      <w:r>
        <w:rPr>
          <w:spacing w:val="-3"/>
        </w:rPr>
        <w:t>the </w:t>
      </w:r>
      <w:r>
        <w:rPr>
          <w:spacing w:val="-4"/>
        </w:rPr>
        <w:t>same methods </w:t>
      </w:r>
      <w:r>
        <w:rPr>
          <w:spacing w:val="-3"/>
        </w:rPr>
        <w:t>and </w:t>
      </w:r>
      <w:r>
        <w:rPr>
          <w:spacing w:val="-4"/>
        </w:rPr>
        <w:t>tier structures </w:t>
      </w:r>
      <w:r>
        <w:rPr/>
        <w:t>can be </w:t>
      </w:r>
      <w:r>
        <w:rPr>
          <w:spacing w:val="-4"/>
        </w:rPr>
        <w:t>used </w:t>
      </w:r>
      <w:r>
        <w:rPr/>
        <w:t>as </w:t>
      </w:r>
      <w:r>
        <w:rPr>
          <w:spacing w:val="-4"/>
        </w:rPr>
        <w:t>described </w:t>
      </w:r>
      <w:r>
        <w:rPr>
          <w:spacing w:val="-3"/>
        </w:rPr>
        <w:t>for </w:t>
      </w:r>
      <w:r>
        <w:rPr>
          <w:spacing w:val="-4"/>
        </w:rPr>
        <w:t>cropland management </w:t>
      </w:r>
      <w:r>
        <w:rPr>
          <w:spacing w:val="-3"/>
        </w:rPr>
        <w:t>and grazing </w:t>
      </w:r>
      <w:r>
        <w:rPr>
          <w:spacing w:val="-4"/>
        </w:rPr>
        <w:t>land management. Methods for aboveground biomass, belowground biomass,</w:t>
      </w:r>
      <w:r>
        <w:rPr>
          <w:spacing w:val="-10"/>
        </w:rPr>
        <w:t> </w:t>
      </w:r>
      <w:r>
        <w:rPr>
          <w:spacing w:val="-4"/>
        </w:rPr>
        <w:t>litter</w:t>
      </w:r>
      <w:r>
        <w:rPr>
          <w:spacing w:val="-6"/>
        </w:rPr>
        <w:t> </w:t>
      </w:r>
      <w:r>
        <w:rPr>
          <w:spacing w:val="-3"/>
        </w:rPr>
        <w:t>and</w:t>
      </w:r>
      <w:r>
        <w:rPr>
          <w:spacing w:val="-9"/>
        </w:rPr>
        <w:t> </w:t>
      </w:r>
      <w:r>
        <w:rPr>
          <w:spacing w:val="-3"/>
        </w:rPr>
        <w:t>dead</w:t>
      </w:r>
      <w:r>
        <w:rPr>
          <w:spacing w:val="-7"/>
        </w:rPr>
        <w:t> </w:t>
      </w:r>
      <w:r>
        <w:rPr>
          <w:spacing w:val="-4"/>
        </w:rPr>
        <w:t>wood</w:t>
      </w:r>
      <w:r>
        <w:rPr>
          <w:spacing w:val="-9"/>
        </w:rPr>
        <w:t> </w:t>
      </w:r>
      <w:r>
        <w:rPr/>
        <w:t>on</w:t>
      </w:r>
      <w:r>
        <w:rPr>
          <w:spacing w:val="-11"/>
        </w:rPr>
        <w:t> </w:t>
      </w:r>
      <w:r>
        <w:rPr>
          <w:spacing w:val="-4"/>
        </w:rPr>
        <w:t>revegetation</w:t>
      </w:r>
      <w:r>
        <w:rPr>
          <w:spacing w:val="-8"/>
        </w:rPr>
        <w:t> </w:t>
      </w:r>
      <w:r>
        <w:rPr>
          <w:spacing w:val="-4"/>
        </w:rPr>
        <w:t>land,</w:t>
      </w:r>
      <w:r>
        <w:rPr>
          <w:spacing w:val="-7"/>
        </w:rPr>
        <w:t> </w:t>
      </w:r>
      <w:r>
        <w:rPr>
          <w:spacing w:val="-3"/>
        </w:rPr>
        <w:t>are</w:t>
      </w:r>
      <w:r>
        <w:rPr>
          <w:spacing w:val="-9"/>
        </w:rPr>
        <w:t> </w:t>
      </w:r>
      <w:r>
        <w:rPr>
          <w:spacing w:val="-4"/>
        </w:rPr>
        <w:t>described</w:t>
      </w:r>
      <w:r>
        <w:rPr>
          <w:spacing w:val="-9"/>
        </w:rPr>
        <w:t> </w:t>
      </w:r>
      <w:r>
        <w:rPr/>
        <w:t>in</w:t>
      </w:r>
      <w:r>
        <w:rPr>
          <w:spacing w:val="-8"/>
        </w:rPr>
        <w:t> </w:t>
      </w:r>
      <w:r>
        <w:rPr>
          <w:spacing w:val="-4"/>
        </w:rPr>
        <w:t>Chapter</w:t>
      </w:r>
      <w:r>
        <w:rPr>
          <w:spacing w:val="-7"/>
        </w:rPr>
        <w:t> </w:t>
      </w:r>
      <w:r>
        <w:rPr/>
        <w:t>3,</w:t>
      </w:r>
      <w:r>
        <w:rPr>
          <w:spacing w:val="-9"/>
        </w:rPr>
        <w:t> </w:t>
      </w:r>
      <w:r>
        <w:rPr>
          <w:spacing w:val="-4"/>
        </w:rPr>
        <w:t>based</w:t>
      </w:r>
      <w:r>
        <w:rPr>
          <w:spacing w:val="-9"/>
        </w:rPr>
        <w:t> </w:t>
      </w:r>
      <w:r>
        <w:rPr/>
        <w:t>on</w:t>
      </w:r>
      <w:r>
        <w:rPr>
          <w:spacing w:val="-9"/>
        </w:rPr>
        <w:t> </w:t>
      </w:r>
      <w:r>
        <w:rPr>
          <w:spacing w:val="-3"/>
        </w:rPr>
        <w:t>the</w:t>
      </w:r>
      <w:r>
        <w:rPr>
          <w:spacing w:val="-7"/>
        </w:rPr>
        <w:t> </w:t>
      </w:r>
      <w:r>
        <w:rPr>
          <w:i/>
          <w:spacing w:val="-3"/>
        </w:rPr>
        <w:t>IPCC</w:t>
      </w:r>
      <w:r>
        <w:rPr>
          <w:i/>
          <w:spacing w:val="-8"/>
        </w:rPr>
        <w:t> </w:t>
      </w:r>
      <w:r>
        <w:rPr>
          <w:i/>
          <w:spacing w:val="-4"/>
        </w:rPr>
        <w:t>Guidelines</w:t>
      </w:r>
      <w:r>
        <w:rPr>
          <w:i/>
          <w:spacing w:val="-11"/>
        </w:rPr>
        <w:t> </w:t>
      </w:r>
      <w:r>
        <w:rPr>
          <w:spacing w:val="-4"/>
        </w:rPr>
        <w:t>(see</w:t>
      </w:r>
      <w:r>
        <w:rPr>
          <w:spacing w:val="-8"/>
        </w:rPr>
        <w:t> </w:t>
      </w:r>
      <w:r>
        <w:rPr>
          <w:spacing w:val="-3"/>
        </w:rPr>
        <w:t>also Box</w:t>
      </w:r>
      <w:r>
        <w:rPr>
          <w:spacing w:val="-11"/>
        </w:rPr>
        <w:t> </w:t>
      </w:r>
      <w:r>
        <w:rPr>
          <w:spacing w:val="-4"/>
        </w:rPr>
        <w:t>4.2.15,</w:t>
      </w:r>
      <w:r>
        <w:rPr>
          <w:spacing w:val="-9"/>
        </w:rPr>
        <w:t> </w:t>
      </w:r>
      <w:r>
        <w:rPr>
          <w:spacing w:val="-4"/>
        </w:rPr>
        <w:t>Table</w:t>
      </w:r>
      <w:r>
        <w:rPr>
          <w:spacing w:val="-9"/>
        </w:rPr>
        <w:t> </w:t>
      </w:r>
      <w:r>
        <w:rPr>
          <w:spacing w:val="-4"/>
        </w:rPr>
        <w:t>4.2.8,</w:t>
      </w:r>
      <w:r>
        <w:rPr>
          <w:spacing w:val="-5"/>
        </w:rPr>
        <w:t> </w:t>
      </w:r>
      <w:r>
        <w:rPr>
          <w:spacing w:val="-4"/>
        </w:rPr>
        <w:t>Figure</w:t>
      </w:r>
      <w:r>
        <w:rPr>
          <w:spacing w:val="-7"/>
        </w:rPr>
        <w:t> </w:t>
      </w:r>
      <w:r>
        <w:rPr>
          <w:spacing w:val="-4"/>
        </w:rPr>
        <w:t>3.1.1).</w:t>
      </w:r>
      <w:r>
        <w:rPr>
          <w:spacing w:val="-9"/>
        </w:rPr>
        <w:t> </w:t>
      </w:r>
      <w:r>
        <w:rPr>
          <w:spacing w:val="-3"/>
        </w:rPr>
        <w:t>For</w:t>
      </w:r>
      <w:r>
        <w:rPr>
          <w:spacing w:val="-6"/>
        </w:rPr>
        <w:t> </w:t>
      </w:r>
      <w:r>
        <w:rPr>
          <w:spacing w:val="-4"/>
        </w:rPr>
        <w:t>urban</w:t>
      </w:r>
      <w:r>
        <w:rPr>
          <w:spacing w:val="-7"/>
        </w:rPr>
        <w:t> </w:t>
      </w:r>
      <w:r>
        <w:rPr>
          <w:spacing w:val="-4"/>
        </w:rPr>
        <w:t>soils,</w:t>
      </w:r>
      <w:r>
        <w:rPr>
          <w:spacing w:val="-7"/>
        </w:rPr>
        <w:t> </w:t>
      </w:r>
      <w:r>
        <w:rPr>
          <w:spacing w:val="-4"/>
        </w:rPr>
        <w:t>methods</w:t>
      </w:r>
      <w:r>
        <w:rPr>
          <w:spacing w:val="-9"/>
        </w:rPr>
        <w:t> </w:t>
      </w:r>
      <w:r>
        <w:rPr>
          <w:spacing w:val="-3"/>
        </w:rPr>
        <w:t>are</w:t>
      </w:r>
      <w:r>
        <w:rPr>
          <w:spacing w:val="-9"/>
        </w:rPr>
        <w:t> </w:t>
      </w:r>
      <w:r>
        <w:rPr>
          <w:spacing w:val="-4"/>
        </w:rPr>
        <w:t>described</w:t>
      </w:r>
      <w:r>
        <w:rPr>
          <w:spacing w:val="-5"/>
        </w:rPr>
        <w:t> </w:t>
      </w:r>
      <w:r>
        <w:rPr/>
        <w:t>in</w:t>
      </w:r>
      <w:r>
        <w:rPr>
          <w:spacing w:val="-8"/>
        </w:rPr>
        <w:t> </w:t>
      </w:r>
      <w:r>
        <w:rPr>
          <w:spacing w:val="-4"/>
        </w:rPr>
        <w:t>Annex</w:t>
      </w:r>
      <w:r>
        <w:rPr>
          <w:spacing w:val="-11"/>
        </w:rPr>
        <w:t> </w:t>
      </w:r>
      <w:r>
        <w:rPr>
          <w:spacing w:val="-3"/>
        </w:rPr>
        <w:t>3.B,</w:t>
      </w:r>
      <w:r>
        <w:rPr>
          <w:spacing w:val="-7"/>
        </w:rPr>
        <w:t> </w:t>
      </w:r>
      <w:r>
        <w:rPr>
          <w:spacing w:val="-4"/>
        </w:rPr>
        <w:t>Chapter</w:t>
      </w:r>
      <w:r>
        <w:rPr>
          <w:spacing w:val="-8"/>
        </w:rPr>
        <w:t> </w:t>
      </w:r>
      <w:r>
        <w:rPr/>
        <w:t>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1"/>
        </w:rPr>
      </w:pPr>
      <w:r>
        <w:rPr/>
        <w:pict>
          <v:line style="position:absolute;mso-position-horizontal-relative:page;mso-position-vertical-relative:paragraph;z-index:25328;mso-wrap-distance-left:0;mso-wrap-distance-right:0" from="70.960999pt,8.830976pt" to="214.960999pt,8.830976pt" stroked="true" strokeweight=".48pt" strokecolor="#000000">
            <v:stroke dashstyle="solid"/>
            <w10:wrap type="topAndBottom"/>
          </v:line>
        </w:pict>
      </w:r>
    </w:p>
    <w:p>
      <w:pPr>
        <w:spacing w:before="150"/>
        <w:ind w:left="337" w:right="1407" w:hanging="159"/>
        <w:jc w:val="left"/>
        <w:rPr>
          <w:sz w:val="18"/>
        </w:rPr>
      </w:pPr>
      <w:r>
        <w:rPr>
          <w:position w:val="8"/>
          <w:sz w:val="12"/>
        </w:rPr>
        <w:t>61 </w:t>
      </w:r>
      <w:r>
        <w:rPr>
          <w:sz w:val="18"/>
        </w:rPr>
        <w:t>If more than one land conversion happens on the same unit of land in the transition period of the matrix, then the transition periods may have to be shortened to account for these transitions.</w:t>
      </w:r>
    </w:p>
    <w:p>
      <w:pPr>
        <w:spacing w:after="0"/>
        <w:jc w:val="left"/>
        <w:rPr>
          <w:sz w:val="18"/>
        </w:rPr>
        <w:sectPr>
          <w:pgSz w:w="11900" w:h="16840"/>
          <w:pgMar w:header="230" w:footer="408" w:top="560" w:bottom="600" w:left="1240" w:right="0"/>
        </w:sectPr>
      </w:pPr>
    </w:p>
    <w:p>
      <w:pPr>
        <w:pStyle w:val="BodyText"/>
      </w:pPr>
    </w:p>
    <w:p>
      <w:pPr>
        <w:pStyle w:val="BodyText"/>
        <w:spacing w:before="8"/>
        <w:rPr>
          <w:sz w:val="18"/>
        </w:rPr>
      </w:pPr>
    </w:p>
    <w:p>
      <w:pPr>
        <w:pStyle w:val="BodyText"/>
        <w:ind w:left="584"/>
      </w:pPr>
      <w:r>
        <w:rPr>
          <w:position w:val="0"/>
        </w:rPr>
        <w:pict>
          <v:shape style="width:411.5pt;height:223.6pt;mso-position-horizontal-relative:char;mso-position-vertical-relative:line" type="#_x0000_t202" filled="false" stroked="true" strokeweight="1.44pt" strokecolor="#000000">
            <w10:anchorlock/>
            <v:textbox inset="0,0,0,0">
              <w:txbxContent>
                <w:p>
                  <w:pPr>
                    <w:spacing w:before="100"/>
                    <w:ind w:left="68" w:right="68" w:firstLine="0"/>
                    <w:jc w:val="center"/>
                    <w:rPr>
                      <w:b/>
                      <w:sz w:val="18"/>
                    </w:rPr>
                  </w:pPr>
                  <w:r>
                    <w:rPr>
                      <w:b/>
                      <w:sz w:val="18"/>
                    </w:rPr>
                    <w:t>B</w:t>
                  </w:r>
                  <w:r>
                    <w:rPr>
                      <w:b/>
                      <w:sz w:val="14"/>
                    </w:rPr>
                    <w:t>OX </w:t>
                  </w:r>
                  <w:r>
                    <w:rPr>
                      <w:b/>
                      <w:sz w:val="18"/>
                    </w:rPr>
                    <w:t>4.2.15</w:t>
                  </w:r>
                </w:p>
                <w:p>
                  <w:pPr>
                    <w:spacing w:before="122"/>
                    <w:ind w:left="127" w:right="0" w:firstLine="0"/>
                    <w:jc w:val="left"/>
                    <w:rPr>
                      <w:b/>
                      <w:sz w:val="14"/>
                    </w:rPr>
                  </w:pPr>
                  <w:r>
                    <w:rPr>
                      <w:b/>
                      <w:sz w:val="18"/>
                    </w:rPr>
                    <w:t>L</w:t>
                  </w:r>
                  <w:r>
                    <w:rPr>
                      <w:b/>
                      <w:sz w:val="14"/>
                    </w:rPr>
                    <w:t>INKS WITH CHAPTER </w:t>
                  </w:r>
                  <w:r>
                    <w:rPr>
                      <w:b/>
                      <w:sz w:val="18"/>
                    </w:rPr>
                    <w:t>2 </w:t>
                  </w:r>
                  <w:r>
                    <w:rPr>
                      <w:b/>
                      <w:sz w:val="14"/>
                    </w:rPr>
                    <w:t>OR </w:t>
                  </w:r>
                  <w:r>
                    <w:rPr>
                      <w:b/>
                      <w:sz w:val="18"/>
                    </w:rPr>
                    <w:t>3 </w:t>
                  </w:r>
                  <w:r>
                    <w:rPr>
                      <w:b/>
                      <w:sz w:val="14"/>
                    </w:rPr>
                    <w:t>OF THIS REPORT</w:t>
                  </w:r>
                </w:p>
                <w:p>
                  <w:pPr>
                    <w:pStyle w:val="BodyText"/>
                    <w:spacing w:before="113"/>
                    <w:ind w:left="244"/>
                  </w:pPr>
                  <w:r>
                    <w:rPr/>
                    <w:t>Section 3.4.2.1 Change in biomass</w:t>
                  </w:r>
                </w:p>
                <w:p>
                  <w:pPr>
                    <w:pStyle w:val="BodyText"/>
                    <w:spacing w:before="120"/>
                    <w:ind w:left="244"/>
                  </w:pPr>
                  <w:r>
                    <w:rPr/>
                    <w:t>Section 3.4.2.2 Change in carbon stocks in soils</w:t>
                  </w:r>
                </w:p>
                <w:p>
                  <w:pPr>
                    <w:pStyle w:val="BodyText"/>
                    <w:rPr>
                      <w:sz w:val="22"/>
                    </w:rPr>
                  </w:pPr>
                </w:p>
                <w:p>
                  <w:pPr>
                    <w:pStyle w:val="BodyText"/>
                    <w:spacing w:before="4"/>
                    <w:rPr>
                      <w:sz w:val="19"/>
                    </w:rPr>
                  </w:pPr>
                </w:p>
                <w:p>
                  <w:pPr>
                    <w:spacing w:before="0"/>
                    <w:ind w:left="127" w:right="0" w:firstLine="0"/>
                    <w:jc w:val="left"/>
                    <w:rPr>
                      <w:rFonts w:ascii="TimesNewRomanPS-BoldItalicMT"/>
                      <w:b/>
                      <w:i/>
                      <w:sz w:val="14"/>
                    </w:rPr>
                  </w:pPr>
                  <w:r>
                    <w:rPr>
                      <w:b/>
                      <w:sz w:val="18"/>
                    </w:rPr>
                    <w:t>L</w:t>
                  </w:r>
                  <w:r>
                    <w:rPr>
                      <w:b/>
                      <w:sz w:val="14"/>
                    </w:rPr>
                    <w:t>INKS WITH THE </w:t>
                  </w:r>
                  <w:r>
                    <w:rPr>
                      <w:rFonts w:ascii="TimesNewRomanPS-BoldItalicMT"/>
                      <w:b/>
                      <w:i/>
                      <w:sz w:val="18"/>
                    </w:rPr>
                    <w:t>IPCC G</w:t>
                  </w:r>
                  <w:r>
                    <w:rPr>
                      <w:rFonts w:ascii="TimesNewRomanPS-BoldItalicMT"/>
                      <w:b/>
                      <w:i/>
                      <w:sz w:val="14"/>
                    </w:rPr>
                    <w:t>UIDELINES</w:t>
                  </w:r>
                </w:p>
                <w:p>
                  <w:pPr>
                    <w:pStyle w:val="BodyText"/>
                    <w:numPr>
                      <w:ilvl w:val="0"/>
                      <w:numId w:val="171"/>
                    </w:numPr>
                    <w:tabs>
                      <w:tab w:pos="926" w:val="left" w:leader="none"/>
                      <w:tab w:pos="927" w:val="left" w:leader="none"/>
                    </w:tabs>
                    <w:spacing w:line="240" w:lineRule="auto" w:before="113" w:after="0"/>
                    <w:ind w:left="926" w:right="0" w:hanging="682"/>
                    <w:jc w:val="left"/>
                  </w:pPr>
                  <w:r>
                    <w:rPr/>
                    <w:t>Non-CO</w:t>
                  </w:r>
                  <w:r>
                    <w:rPr>
                      <w:vertAlign w:val="subscript"/>
                    </w:rPr>
                    <w:t>2</w:t>
                  </w:r>
                  <w:r>
                    <w:rPr>
                      <w:vertAlign w:val="baseline"/>
                    </w:rPr>
                    <w:t> greenhouse</w:t>
                  </w:r>
                  <w:r>
                    <w:rPr>
                      <w:spacing w:val="4"/>
                      <w:vertAlign w:val="baseline"/>
                    </w:rPr>
                    <w:t> </w:t>
                  </w:r>
                  <w:r>
                    <w:rPr>
                      <w:vertAlign w:val="baseline"/>
                    </w:rPr>
                    <w:t>gases</w:t>
                  </w:r>
                </w:p>
                <w:p>
                  <w:pPr>
                    <w:pStyle w:val="BodyText"/>
                    <w:numPr>
                      <w:ilvl w:val="0"/>
                      <w:numId w:val="171"/>
                    </w:numPr>
                    <w:tabs>
                      <w:tab w:pos="396" w:val="left" w:leader="none"/>
                      <w:tab w:pos="926" w:val="left" w:leader="none"/>
                    </w:tabs>
                    <w:spacing w:line="364" w:lineRule="auto" w:before="120" w:after="0"/>
                    <w:ind w:left="244" w:right="1538" w:firstLine="0"/>
                    <w:jc w:val="left"/>
                  </w:pPr>
                  <w:r>
                    <w:rPr/>
                    <w:t>A</w:t>
                    <w:tab/>
                    <w:t>Changes in forest and other woody biomass stocks (grasslands / tundra) 5 C</w:t>
                    <w:tab/>
                    <w:t>Abandonment of managed lands (grasslands /</w:t>
                  </w:r>
                  <w:r>
                    <w:rPr>
                      <w:spacing w:val="-5"/>
                    </w:rPr>
                    <w:t> </w:t>
                  </w:r>
                  <w:r>
                    <w:rPr/>
                    <w:t>tundra)</w:t>
                  </w:r>
                </w:p>
                <w:p>
                  <w:pPr>
                    <w:pStyle w:val="BodyText"/>
                    <w:tabs>
                      <w:tab w:pos="926" w:val="left" w:leader="none"/>
                    </w:tabs>
                    <w:spacing w:before="2"/>
                    <w:ind w:left="244"/>
                  </w:pPr>
                  <w:r>
                    <w:rPr/>
                    <w:t>5 D</w:t>
                    <w:tab/>
                    <w:t>CO</w:t>
                  </w:r>
                  <w:r>
                    <w:rPr>
                      <w:vertAlign w:val="subscript"/>
                    </w:rPr>
                    <w:t>2</w:t>
                  </w:r>
                  <w:r>
                    <w:rPr>
                      <w:vertAlign w:val="baseline"/>
                    </w:rPr>
                    <w:t> emissions and removals from</w:t>
                  </w:r>
                  <w:r>
                    <w:rPr>
                      <w:spacing w:val="1"/>
                      <w:vertAlign w:val="baseline"/>
                    </w:rPr>
                    <w:t> </w:t>
                  </w:r>
                  <w:r>
                    <w:rPr>
                      <w:vertAlign w:val="baseline"/>
                    </w:rPr>
                    <w:t>soils</w:t>
                  </w:r>
                </w:p>
                <w:p>
                  <w:pPr>
                    <w:pStyle w:val="BodyText"/>
                    <w:tabs>
                      <w:tab w:pos="926" w:val="left" w:leader="none"/>
                    </w:tabs>
                    <w:spacing w:before="118"/>
                    <w:ind w:left="244" w:right="124"/>
                  </w:pPr>
                  <w:r>
                    <w:rPr/>
                    <w:t>5 E</w:t>
                    <w:tab/>
                    <w:t>Other (e.g., dispersed trees that are managed but do not constitute a forest such as agroforestry, also referred to as “managed trees outside</w:t>
                  </w:r>
                  <w:r>
                    <w:rPr>
                      <w:spacing w:val="-1"/>
                    </w:rPr>
                    <w:t> </w:t>
                  </w:r>
                  <w:r>
                    <w:rPr/>
                    <w:t>forests”)</w:t>
                  </w:r>
                </w:p>
                <w:p>
                  <w:pPr>
                    <w:pStyle w:val="BodyText"/>
                    <w:spacing w:before="123"/>
                    <w:ind w:left="177"/>
                  </w:pPr>
                  <w:r>
                    <w:rPr/>
                    <w:t>(not all five pools are included: belowground biomass and litter are missing)</w:t>
                  </w:r>
                </w:p>
              </w:txbxContent>
            </v:textbox>
            <v:stroke dashstyle="solid"/>
          </v:shape>
        </w:pict>
      </w:r>
      <w:r>
        <w:rPr>
          <w:position w:val="0"/>
        </w:rPr>
      </w:r>
    </w:p>
    <w:p>
      <w:pPr>
        <w:pStyle w:val="BodyText"/>
        <w:spacing w:before="6"/>
        <w:rPr>
          <w:sz w:val="18"/>
        </w:rPr>
      </w:pPr>
    </w:p>
    <w:p>
      <w:pPr>
        <w:pStyle w:val="Heading6"/>
        <w:numPr>
          <w:ilvl w:val="4"/>
          <w:numId w:val="170"/>
        </w:numPr>
        <w:tabs>
          <w:tab w:pos="1332" w:val="left" w:leader="none"/>
        </w:tabs>
        <w:spacing w:line="240" w:lineRule="auto" w:before="92" w:after="0"/>
        <w:ind w:left="1331" w:right="0" w:hanging="1152"/>
        <w:jc w:val="both"/>
      </w:pPr>
      <w:r>
        <w:rPr/>
        <w:t>1 </w:t>
      </w:r>
      <w:r>
        <w:rPr>
          <w:spacing w:val="16"/>
        </w:rPr>
        <w:t>CHOICE </w:t>
      </w:r>
      <w:r>
        <w:rPr>
          <w:spacing w:val="10"/>
        </w:rPr>
        <w:t>OF </w:t>
      </w:r>
      <w:r>
        <w:rPr>
          <w:spacing w:val="16"/>
        </w:rPr>
        <w:t>CARBON </w:t>
      </w:r>
      <w:r>
        <w:rPr>
          <w:spacing w:val="15"/>
        </w:rPr>
        <w:t>STOCK CHANGE</w:t>
      </w:r>
      <w:r>
        <w:rPr>
          <w:spacing w:val="56"/>
        </w:rPr>
        <w:t> </w:t>
      </w:r>
      <w:r>
        <w:rPr>
          <w:spacing w:val="16"/>
        </w:rPr>
        <w:t>FACTORS</w:t>
      </w:r>
    </w:p>
    <w:p>
      <w:pPr>
        <w:pStyle w:val="BodyText"/>
        <w:spacing w:before="207"/>
        <w:ind w:left="179" w:right="1406"/>
        <w:jc w:val="both"/>
      </w:pPr>
      <w:r>
        <w:rPr/>
        <w:t>There are no generic default values for revegetation activities in the </w:t>
      </w:r>
      <w:r>
        <w:rPr>
          <w:i/>
        </w:rPr>
        <w:t>IPCC Guidelines</w:t>
      </w:r>
      <w:r>
        <w:rPr/>
        <w:t>. A Party electing revegetation may use Tier 1 methods to estimate changes in soil carbon since default values may exist (see Section 4.2.8.3 (for cropland management), Section 4.2.9.3 (for grassland management) and also pertinent sections in Chapter 3: Sections 3.3.1.2, 3.4.1.2, 3.4.2.2). However, for all other pools default values do not exist, so it is </w:t>
      </w:r>
      <w:r>
        <w:rPr>
          <w:i/>
        </w:rPr>
        <w:t>good practice </w:t>
      </w:r>
      <w:r>
        <w:rPr/>
        <w:t>for a Party electing revegetation to provide country-specific values for stock change in each carbon pool and for pools not reported, to provide verifiable data that demonstrate that these are not declining in carbon (see Section 4.2.3.1 Pools to be reported). If revegetation is deemed a key category, then it is </w:t>
      </w:r>
      <w:r>
        <w:rPr>
          <w:i/>
        </w:rPr>
        <w:t>good practice </w:t>
      </w:r>
      <w:r>
        <w:rPr/>
        <w:t>to use a Tier 2 or 3 method.</w:t>
      </w:r>
    </w:p>
    <w:p>
      <w:pPr>
        <w:pStyle w:val="BodyText"/>
        <w:spacing w:before="119"/>
        <w:ind w:left="179" w:right="1400"/>
        <w:jc w:val="both"/>
      </w:pPr>
      <w:r>
        <w:rPr/>
        <w:t>At Tier 2, it is </w:t>
      </w:r>
      <w:r>
        <w:rPr>
          <w:i/>
        </w:rPr>
        <w:t>good practice </w:t>
      </w:r>
      <w:r>
        <w:rPr/>
        <w:t>to provide verifiable methods and documentation to show how the carbon stock change has been estimated for each pool elected under revegetation. For any carbon pool not elected, it is </w:t>
      </w:r>
      <w:r>
        <w:rPr>
          <w:i/>
        </w:rPr>
        <w:t>good practice </w:t>
      </w:r>
      <w:r>
        <w:rPr/>
        <w:t>to provide verifiable data that demonstrate that these are not declining (see Section 4.2.3.1 Pools to be reported).</w:t>
      </w:r>
    </w:p>
    <w:p>
      <w:pPr>
        <w:pStyle w:val="BodyText"/>
        <w:spacing w:before="119"/>
        <w:ind w:left="179" w:right="1404"/>
        <w:jc w:val="both"/>
      </w:pPr>
      <w:r>
        <w:rPr/>
        <w:t>At Tier 3 ecosystem carbon models, parameterised for the relevant plant functional types and soils included in the selected revegetation area, could be used to estimate annual carbon emissions and removals. As with models used for cropland management and grazing land management, they should be evaluated by testing against experiments, well-documented and</w:t>
      </w:r>
      <w:r>
        <w:rPr>
          <w:spacing w:val="4"/>
        </w:rPr>
        <w:t> </w:t>
      </w:r>
      <w:r>
        <w:rPr/>
        <w:t>archived.</w:t>
      </w:r>
    </w:p>
    <w:p>
      <w:pPr>
        <w:pStyle w:val="BodyText"/>
        <w:spacing w:before="7"/>
        <w:rPr>
          <w:sz w:val="29"/>
        </w:rPr>
      </w:pPr>
    </w:p>
    <w:p>
      <w:pPr>
        <w:pStyle w:val="Heading6"/>
        <w:numPr>
          <w:ilvl w:val="4"/>
          <w:numId w:val="170"/>
        </w:numPr>
        <w:tabs>
          <w:tab w:pos="1332" w:val="left" w:leader="none"/>
        </w:tabs>
        <w:spacing w:line="240" w:lineRule="auto" w:before="0" w:after="0"/>
        <w:ind w:left="1331" w:right="0" w:hanging="1152"/>
        <w:jc w:val="both"/>
      </w:pPr>
      <w:r>
        <w:rPr/>
        <w:t>2 </w:t>
      </w:r>
      <w:r>
        <w:rPr>
          <w:spacing w:val="16"/>
        </w:rPr>
        <w:t>CHOICE </w:t>
      </w:r>
      <w:r>
        <w:rPr>
          <w:spacing w:val="10"/>
        </w:rPr>
        <w:t>OF </w:t>
      </w:r>
      <w:r>
        <w:rPr>
          <w:spacing w:val="17"/>
        </w:rPr>
        <w:t>MANAGEMENT</w:t>
      </w:r>
      <w:r>
        <w:rPr>
          <w:spacing w:val="9"/>
        </w:rPr>
        <w:t> </w:t>
      </w:r>
      <w:r>
        <w:rPr>
          <w:spacing w:val="14"/>
        </w:rPr>
        <w:t>DATA</w:t>
      </w:r>
      <w:r>
        <w:rPr>
          <w:spacing w:val="-35"/>
        </w:rPr>
        <w:t> </w:t>
      </w:r>
    </w:p>
    <w:p>
      <w:pPr>
        <w:pStyle w:val="BodyText"/>
        <w:spacing w:before="210"/>
        <w:ind w:left="179" w:right="1408"/>
        <w:jc w:val="both"/>
      </w:pPr>
      <w:r>
        <w:rPr/>
        <w:t>It is </w:t>
      </w:r>
      <w:r>
        <w:rPr>
          <w:i/>
        </w:rPr>
        <w:t>good practice </w:t>
      </w:r>
      <w:r>
        <w:rPr/>
        <w:t>to provide detailed documentation specifying the practices included under revegetation and the carbon emission/removal factors associated with each practice for each pool</w:t>
      </w:r>
      <w:r>
        <w:rPr>
          <w:spacing w:val="-10"/>
        </w:rPr>
        <w:t> </w:t>
      </w:r>
      <w:r>
        <w:rPr/>
        <w:t>elected.</w:t>
      </w:r>
    </w:p>
    <w:p>
      <w:pPr>
        <w:pStyle w:val="BodyText"/>
        <w:spacing w:before="6"/>
        <w:rPr>
          <w:sz w:val="29"/>
        </w:rPr>
      </w:pPr>
    </w:p>
    <w:p>
      <w:pPr>
        <w:pStyle w:val="Heading6"/>
        <w:numPr>
          <w:ilvl w:val="4"/>
          <w:numId w:val="170"/>
        </w:numPr>
        <w:tabs>
          <w:tab w:pos="1332" w:val="left" w:leader="none"/>
        </w:tabs>
        <w:spacing w:line="240" w:lineRule="auto" w:before="0" w:after="0"/>
        <w:ind w:left="1331" w:right="0" w:hanging="1152"/>
        <w:jc w:val="both"/>
      </w:pPr>
      <w:r>
        <w:rPr/>
        <w:t>3 </w:t>
      </w:r>
      <w:r>
        <w:rPr>
          <w:spacing w:val="14"/>
        </w:rPr>
        <w:t>NON- </w:t>
      </w:r>
      <w:r>
        <w:rPr>
          <w:spacing w:val="9"/>
        </w:rPr>
        <w:t>CO </w:t>
      </w:r>
      <w:r>
        <w:rPr>
          <w:vertAlign w:val="subscript"/>
        </w:rPr>
        <w:t>2</w:t>
      </w:r>
      <w:r>
        <w:rPr>
          <w:vertAlign w:val="baseline"/>
        </w:rPr>
        <w:t> </w:t>
      </w:r>
      <w:r>
        <w:rPr>
          <w:spacing w:val="17"/>
          <w:vertAlign w:val="baseline"/>
        </w:rPr>
        <w:t>GREENHOUSE</w:t>
      </w:r>
      <w:r>
        <w:rPr>
          <w:spacing w:val="25"/>
          <w:vertAlign w:val="baseline"/>
        </w:rPr>
        <w:t> </w:t>
      </w:r>
      <w:r>
        <w:rPr>
          <w:spacing w:val="15"/>
          <w:vertAlign w:val="baseline"/>
        </w:rPr>
        <w:t>GASES</w:t>
      </w:r>
    </w:p>
    <w:p>
      <w:pPr>
        <w:pStyle w:val="BodyText"/>
        <w:spacing w:before="210"/>
        <w:ind w:left="179" w:right="1406"/>
        <w:jc w:val="both"/>
      </w:pPr>
      <w:r>
        <w:rPr/>
        <w:t>Methodologies for estimating N</w:t>
      </w:r>
      <w:r>
        <w:rPr>
          <w:vertAlign w:val="subscript"/>
        </w:rPr>
        <w:t>2</w:t>
      </w:r>
      <w:r>
        <w:rPr>
          <w:vertAlign w:val="baseline"/>
        </w:rPr>
        <w:t>O and CH</w:t>
      </w:r>
      <w:r>
        <w:rPr>
          <w:vertAlign w:val="subscript"/>
        </w:rPr>
        <w:t>4</w:t>
      </w:r>
      <w:r>
        <w:rPr>
          <w:vertAlign w:val="baseline"/>
        </w:rPr>
        <w:t> emissions are given in the Agriculture chapters of the </w:t>
      </w:r>
      <w:r>
        <w:rPr>
          <w:i/>
          <w:vertAlign w:val="baseline"/>
        </w:rPr>
        <w:t>IPCC Guidelines </w:t>
      </w:r>
      <w:r>
        <w:rPr>
          <w:vertAlign w:val="baseline"/>
        </w:rPr>
        <w:t>and the </w:t>
      </w:r>
      <w:r>
        <w:rPr>
          <w:i/>
          <w:vertAlign w:val="baseline"/>
        </w:rPr>
        <w:t>GPG2000</w:t>
      </w:r>
      <w:r>
        <w:rPr>
          <w:vertAlign w:val="baseline"/>
        </w:rPr>
        <w:t>, which give methodologies for sources of agricultural soil emissions on revegetation land (the list of sources is similar to that described for cropland management – see Section 4.2.8.3).</w:t>
      </w:r>
    </w:p>
    <w:p>
      <w:pPr>
        <w:pStyle w:val="BodyText"/>
        <w:spacing w:before="119"/>
        <w:ind w:left="179" w:right="1404"/>
        <w:jc w:val="both"/>
      </w:pPr>
      <w:r>
        <w:rPr/>
        <w:t>These emissions should not be reported under revegetation but as emissions in the Agriculture sector from sources listed in Annex A to the Kyoto Protocol, and they should clearly be distinguished from emissions from revegetation reported under Article 3.4 of the Protocol.</w:t>
      </w:r>
    </w:p>
    <w:p>
      <w:pPr>
        <w:pStyle w:val="BodyText"/>
        <w:spacing w:before="119"/>
        <w:ind w:left="179" w:right="1403"/>
        <w:jc w:val="both"/>
      </w:pPr>
      <w:r>
        <w:rPr/>
        <w:t>It is </w:t>
      </w:r>
      <w:r>
        <w:rPr>
          <w:i/>
        </w:rPr>
        <w:t>good practice </w:t>
      </w:r>
      <w:r>
        <w:rPr/>
        <w:t>to report the non-CO</w:t>
      </w:r>
      <w:r>
        <w:rPr>
          <w:vertAlign w:val="subscript"/>
        </w:rPr>
        <w:t>2</w:t>
      </w:r>
      <w:r>
        <w:rPr>
          <w:vertAlign w:val="baseline"/>
        </w:rPr>
        <w:t> greenhouse gas emissions from sources on revegetation lands that  might be affected by land-use practices under the Annex A sources inventory for the Kyoto Protocol. These sources belong to the inventory for the Agriculture sector (the list of sources is similar to that described for cropland management – see Section 4.2.8.3.4). Tier 3 methodologies may account for the detailed relationship between carbon storage and non-CO</w:t>
      </w:r>
      <w:r>
        <w:rPr>
          <w:vertAlign w:val="subscript"/>
        </w:rPr>
        <w:t>2</w:t>
      </w:r>
      <w:r>
        <w:rPr>
          <w:vertAlign w:val="baseline"/>
        </w:rPr>
        <w:t> greenhouse gas emissions if data are available to do so. Some examples of relevant</w:t>
      </w:r>
      <w:r>
        <w:rPr>
          <w:spacing w:val="21"/>
          <w:vertAlign w:val="baseline"/>
        </w:rPr>
        <w:t> </w:t>
      </w:r>
      <w:r>
        <w:rPr>
          <w:vertAlign w:val="baseline"/>
        </w:rPr>
        <w:t>activities</w:t>
      </w:r>
      <w:r>
        <w:rPr>
          <w:spacing w:val="22"/>
          <w:vertAlign w:val="baseline"/>
        </w:rPr>
        <w:t> </w:t>
      </w:r>
      <w:r>
        <w:rPr>
          <w:vertAlign w:val="baseline"/>
        </w:rPr>
        <w:t>are</w:t>
      </w:r>
      <w:r>
        <w:rPr>
          <w:spacing w:val="22"/>
          <w:vertAlign w:val="baseline"/>
        </w:rPr>
        <w:t> </w:t>
      </w:r>
      <w:r>
        <w:rPr>
          <w:vertAlign w:val="baseline"/>
        </w:rPr>
        <w:t>given</w:t>
      </w:r>
      <w:r>
        <w:rPr>
          <w:spacing w:val="21"/>
          <w:vertAlign w:val="baseline"/>
        </w:rPr>
        <w:t> </w:t>
      </w:r>
      <w:r>
        <w:rPr>
          <w:vertAlign w:val="baseline"/>
        </w:rPr>
        <w:t>in</w:t>
      </w:r>
      <w:r>
        <w:rPr>
          <w:spacing w:val="21"/>
          <w:vertAlign w:val="baseline"/>
        </w:rPr>
        <w:t> </w:t>
      </w:r>
      <w:r>
        <w:rPr>
          <w:vertAlign w:val="baseline"/>
        </w:rPr>
        <w:t>Box</w:t>
      </w:r>
      <w:r>
        <w:rPr>
          <w:spacing w:val="21"/>
          <w:vertAlign w:val="baseline"/>
        </w:rPr>
        <w:t> </w:t>
      </w:r>
      <w:r>
        <w:rPr>
          <w:vertAlign w:val="baseline"/>
        </w:rPr>
        <w:t>4.2.11.</w:t>
      </w:r>
      <w:r>
        <w:rPr>
          <w:spacing w:val="18"/>
          <w:vertAlign w:val="baseline"/>
        </w:rPr>
        <w:t> </w:t>
      </w:r>
      <w:r>
        <w:rPr>
          <w:vertAlign w:val="baseline"/>
        </w:rPr>
        <w:t>These</w:t>
      </w:r>
      <w:r>
        <w:rPr>
          <w:spacing w:val="22"/>
          <w:vertAlign w:val="baseline"/>
        </w:rPr>
        <w:t> </w:t>
      </w:r>
      <w:r>
        <w:rPr>
          <w:vertAlign w:val="baseline"/>
        </w:rPr>
        <w:t>emissions</w:t>
      </w:r>
      <w:r>
        <w:rPr>
          <w:spacing w:val="22"/>
          <w:vertAlign w:val="baseline"/>
        </w:rPr>
        <w:t> </w:t>
      </w:r>
      <w:r>
        <w:rPr>
          <w:vertAlign w:val="baseline"/>
        </w:rPr>
        <w:t>should</w:t>
      </w:r>
      <w:r>
        <w:rPr>
          <w:spacing w:val="23"/>
          <w:vertAlign w:val="baseline"/>
        </w:rPr>
        <w:t> </w:t>
      </w:r>
      <w:r>
        <w:rPr>
          <w:vertAlign w:val="baseline"/>
        </w:rPr>
        <w:t>still</w:t>
      </w:r>
      <w:r>
        <w:rPr>
          <w:spacing w:val="22"/>
          <w:vertAlign w:val="baseline"/>
        </w:rPr>
        <w:t> </w:t>
      </w:r>
      <w:r>
        <w:rPr>
          <w:vertAlign w:val="baseline"/>
        </w:rPr>
        <w:t>be</w:t>
      </w:r>
      <w:r>
        <w:rPr>
          <w:spacing w:val="21"/>
          <w:vertAlign w:val="baseline"/>
        </w:rPr>
        <w:t> </w:t>
      </w:r>
      <w:r>
        <w:rPr>
          <w:vertAlign w:val="baseline"/>
        </w:rPr>
        <w:t>reported</w:t>
      </w:r>
      <w:r>
        <w:rPr>
          <w:spacing w:val="21"/>
          <w:vertAlign w:val="baseline"/>
        </w:rPr>
        <w:t> </w:t>
      </w:r>
      <w:r>
        <w:rPr>
          <w:vertAlign w:val="baseline"/>
        </w:rPr>
        <w:t>in</w:t>
      </w:r>
      <w:r>
        <w:rPr>
          <w:spacing w:val="21"/>
          <w:vertAlign w:val="baseline"/>
        </w:rPr>
        <w:t> </w:t>
      </w:r>
      <w:r>
        <w:rPr>
          <w:vertAlign w:val="baseline"/>
        </w:rPr>
        <w:t>the</w:t>
      </w:r>
      <w:r>
        <w:rPr>
          <w:spacing w:val="22"/>
          <w:vertAlign w:val="baseline"/>
        </w:rPr>
        <w:t> </w:t>
      </w:r>
      <w:r>
        <w:rPr>
          <w:vertAlign w:val="baseline"/>
        </w:rPr>
        <w:t>Agriculture</w:t>
      </w:r>
      <w:r>
        <w:rPr>
          <w:spacing w:val="22"/>
          <w:vertAlign w:val="baseline"/>
        </w:rPr>
        <w:t> </w:t>
      </w:r>
      <w:r>
        <w:rPr>
          <w:vertAlign w:val="baseline"/>
        </w:rPr>
        <w:t>sector.</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9"/>
        <w:jc w:val="both"/>
      </w:pPr>
      <w:r>
        <w:rPr/>
        <w:t>Chapter 3 (Sections 3.3.2.2, 3.4.1.3, 3.4.2.3) provides further information on procedures for estimating non-CO</w:t>
      </w:r>
      <w:r>
        <w:rPr>
          <w:vertAlign w:val="subscript"/>
        </w:rPr>
        <w:t>2</w:t>
      </w:r>
      <w:r>
        <w:rPr>
          <w:vertAlign w:val="baseline"/>
        </w:rPr>
        <w:t> greenhouse gas emissions.</w:t>
      </w:r>
    </w:p>
    <w:p>
      <w:pPr>
        <w:pStyle w:val="BodyText"/>
        <w:spacing w:before="121"/>
        <w:ind w:left="179" w:right="1407"/>
        <w:jc w:val="both"/>
      </w:pPr>
      <w:r>
        <w:rPr/>
        <w:t>Non-CO</w:t>
      </w:r>
      <w:r>
        <w:rPr>
          <w:vertAlign w:val="subscript"/>
        </w:rPr>
        <w:t>2</w:t>
      </w:r>
      <w:r>
        <w:rPr>
          <w:vertAlign w:val="baseline"/>
        </w:rPr>
        <w:t> greenhouse gas emissions/removals on deforested lands subject to revegetation (Article 3.3) need to be reported separately from those under revegetation (Article 3.4). For further guidance, see corresponding section under cropland management (Section 4.2.8.3.4).</w:t>
      </w:r>
    </w:p>
    <w:p>
      <w:pPr>
        <w:spacing w:after="0"/>
        <w:jc w:val="both"/>
        <w:sectPr>
          <w:pgSz w:w="11900" w:h="16840"/>
          <w:pgMar w:header="230" w:footer="408" w:top="560" w:bottom="600" w:left="1240" w:right="0"/>
        </w:sectPr>
      </w:pPr>
    </w:p>
    <w:p>
      <w:pPr>
        <w:pStyle w:val="BodyText"/>
      </w:pPr>
    </w:p>
    <w:p>
      <w:pPr>
        <w:pStyle w:val="BodyText"/>
        <w:rPr>
          <w:sz w:val="27"/>
        </w:rPr>
      </w:pPr>
    </w:p>
    <w:p>
      <w:pPr>
        <w:tabs>
          <w:tab w:pos="9279" w:val="left" w:leader="none"/>
        </w:tabs>
        <w:spacing w:before="80"/>
        <w:ind w:left="179" w:right="0" w:firstLine="0"/>
        <w:jc w:val="left"/>
        <w:rPr>
          <w:b/>
          <w:sz w:val="48"/>
        </w:rPr>
      </w:pPr>
      <w:r>
        <w:rPr>
          <w:b/>
          <w:sz w:val="48"/>
          <w:u w:val="thick"/>
        </w:rPr>
        <w:t>5</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spacing w:before="228"/>
        <w:ind w:left="179" w:right="0" w:firstLine="0"/>
        <w:jc w:val="left"/>
        <w:rPr>
          <w:b/>
          <w:sz w:val="48"/>
        </w:rPr>
      </w:pPr>
      <w:r>
        <w:rPr>
          <w:b/>
          <w:sz w:val="48"/>
        </w:rPr>
        <w:t>CROSS-CUTTING ISSUES</w:t>
      </w:r>
    </w:p>
    <w:p>
      <w:pPr>
        <w:spacing w:after="0"/>
        <w:jc w:val="left"/>
        <w:rPr>
          <w:sz w:val="48"/>
        </w:rPr>
        <w:sectPr>
          <w:headerReference w:type="even" r:id="rId367"/>
          <w:footerReference w:type="even" r:id="rId368"/>
          <w:footerReference w:type="default" r:id="rId369"/>
          <w:pgSz w:w="11900" w:h="16840"/>
          <w:pgMar w:header="0" w:footer="408" w:top="1600" w:bottom="600" w:left="1240" w:right="0"/>
        </w:sectPr>
      </w:pPr>
    </w:p>
    <w:p>
      <w:pPr>
        <w:pStyle w:val="BodyText"/>
        <w:rPr>
          <w:b/>
        </w:rPr>
      </w:pPr>
    </w:p>
    <w:p>
      <w:pPr>
        <w:pStyle w:val="BodyText"/>
        <w:rPr>
          <w:b/>
        </w:rPr>
      </w:pPr>
    </w:p>
    <w:p>
      <w:pPr>
        <w:pStyle w:val="BodyText"/>
        <w:rPr>
          <w:b/>
        </w:rPr>
      </w:pPr>
    </w:p>
    <w:p>
      <w:pPr>
        <w:pStyle w:val="Heading5"/>
        <w:spacing w:before="233"/>
        <w:ind w:left="2471"/>
      </w:pPr>
      <w:r>
        <w:rPr/>
        <w:t>AUTHORS AND REVIEW EDITORS</w:t>
      </w:r>
    </w:p>
    <w:p>
      <w:pPr>
        <w:pStyle w:val="BodyText"/>
        <w:spacing w:before="5"/>
        <w:rPr>
          <w:b/>
          <w:sz w:val="36"/>
        </w:rPr>
      </w:pPr>
    </w:p>
    <w:p>
      <w:pPr>
        <w:spacing w:before="1"/>
        <w:ind w:left="179" w:right="0" w:firstLine="0"/>
        <w:jc w:val="left"/>
        <w:rPr>
          <w:b/>
          <w:sz w:val="24"/>
        </w:rPr>
      </w:pPr>
      <w:r>
        <w:rPr>
          <w:b/>
          <w:sz w:val="24"/>
        </w:rPr>
        <w:t>Coordinating Lead Authors</w:t>
      </w:r>
    </w:p>
    <w:p>
      <w:pPr>
        <w:pStyle w:val="BodyText"/>
        <w:spacing w:before="56"/>
        <w:ind w:left="179"/>
      </w:pPr>
      <w:r>
        <w:rPr/>
        <w:t>Newton Paciornik (Brazil) and Kristin Rypdal (Norway)</w:t>
      </w:r>
    </w:p>
    <w:p>
      <w:pPr>
        <w:pStyle w:val="BodyText"/>
        <w:spacing w:before="7"/>
        <w:rPr>
          <w:sz w:val="31"/>
        </w:rPr>
      </w:pPr>
    </w:p>
    <w:p>
      <w:pPr>
        <w:pStyle w:val="Heading5"/>
        <w:spacing w:before="1"/>
        <w:ind w:left="179"/>
      </w:pPr>
      <w:r>
        <w:rPr/>
        <w:t>Lead Authors</w:t>
      </w:r>
    </w:p>
    <w:p>
      <w:pPr>
        <w:pStyle w:val="BodyText"/>
        <w:spacing w:before="56"/>
        <w:ind w:left="179" w:right="2735"/>
      </w:pPr>
      <w:r>
        <w:rPr/>
        <w:t>Rainer Baritz (Germany), Simon Barry (Australia), Albertus Johannes Dolman (Netherlands), Marlen Eve (USA), Michael Gillenwater (USA), Michael Kohl (Germany), Dina Kruger (USA), Bo Lim (UK/UNDP), Raisa Makipaa (Finland), Giorgio Matteucci (European Commission),</w:t>
      </w:r>
    </w:p>
    <w:p>
      <w:pPr>
        <w:pStyle w:val="BodyText"/>
        <w:ind w:left="179" w:right="1823"/>
      </w:pPr>
      <w:r>
        <w:rPr/>
        <w:t>Toshinori Okuda (Japan), Keith Porter (Jamaica), María José Sanz-Sanchez ( Spain), T.P. Singh (India), Göran Ståhl (Sweden), Riccardo Valentini (Italy), and Martina Van Der Merwe (South Africa)</w:t>
      </w:r>
    </w:p>
    <w:p>
      <w:pPr>
        <w:pStyle w:val="BodyText"/>
        <w:spacing w:before="7"/>
        <w:rPr>
          <w:sz w:val="31"/>
        </w:rPr>
      </w:pPr>
    </w:p>
    <w:p>
      <w:pPr>
        <w:pStyle w:val="Heading5"/>
        <w:ind w:left="179"/>
      </w:pPr>
      <w:r>
        <w:rPr/>
        <w:t>Contributing Authors</w:t>
      </w:r>
    </w:p>
    <w:p>
      <w:pPr>
        <w:pStyle w:val="BodyText"/>
        <w:spacing w:before="56"/>
        <w:ind w:left="179" w:right="2657"/>
      </w:pPr>
      <w:r>
        <w:rPr/>
        <w:t>Sandra Brown (USA), Ketil Flugsrud (Norway), Gen Inoue (Japan), Gerald Kaendler (Germany), Anders Lindroth (Sweden), Kenlo Nishida (Japan), Steve Ogle (USA), Mats Olsson (Sweden), Gareth Philips (USA), Fran Sussman (USA), Yoshiki Yamagata (Japan), Ed Vine (USA),</w:t>
      </w:r>
    </w:p>
    <w:p>
      <w:pPr>
        <w:pStyle w:val="BodyText"/>
        <w:spacing w:line="229" w:lineRule="exact"/>
        <w:ind w:left="179"/>
      </w:pPr>
      <w:r>
        <w:rPr/>
        <w:t>and Christian Wirth (Germany)</w:t>
      </w:r>
    </w:p>
    <w:p>
      <w:pPr>
        <w:pStyle w:val="BodyText"/>
        <w:spacing w:before="8"/>
        <w:rPr>
          <w:sz w:val="31"/>
        </w:rPr>
      </w:pPr>
    </w:p>
    <w:p>
      <w:pPr>
        <w:pStyle w:val="Heading5"/>
        <w:ind w:left="179"/>
      </w:pPr>
      <w:r>
        <w:rPr/>
        <w:t>Review Editors</w:t>
      </w:r>
    </w:p>
    <w:p>
      <w:pPr>
        <w:pStyle w:val="BodyText"/>
        <w:spacing w:before="54"/>
        <w:ind w:left="179"/>
      </w:pPr>
      <w:r>
        <w:rPr/>
        <w:t>Jamidu Katima (Tanzania) and Tom Wirth (USA)</w:t>
      </w:r>
    </w:p>
    <w:p>
      <w:pPr>
        <w:spacing w:after="0"/>
        <w:sectPr>
          <w:headerReference w:type="default" r:id="rId370"/>
          <w:headerReference w:type="even" r:id="rId371"/>
          <w:pgSz w:w="11900" w:h="16840"/>
          <w:pgMar w:header="230" w:footer="408" w:top="560" w:bottom="600" w:left="1240" w:right="0"/>
        </w:sectPr>
      </w:pPr>
    </w:p>
    <w:p>
      <w:pPr>
        <w:pStyle w:val="BodyText"/>
      </w:pPr>
    </w:p>
    <w:p>
      <w:pPr>
        <w:pStyle w:val="BodyText"/>
      </w:pPr>
    </w:p>
    <w:p>
      <w:pPr>
        <w:pStyle w:val="BodyText"/>
      </w:pPr>
    </w:p>
    <w:p>
      <w:pPr>
        <w:pStyle w:val="BodyText"/>
      </w:pPr>
    </w:p>
    <w:p>
      <w:pPr>
        <w:pStyle w:val="BodyText"/>
        <w:spacing w:before="3"/>
        <w:rPr>
          <w:sz w:val="24"/>
        </w:rPr>
      </w:pPr>
    </w:p>
    <w:p>
      <w:pPr>
        <w:spacing w:before="86"/>
        <w:ind w:left="1892" w:right="3122" w:firstLine="0"/>
        <w:jc w:val="center"/>
        <w:rPr>
          <w:b/>
          <w:sz w:val="32"/>
        </w:rPr>
      </w:pPr>
      <w:r>
        <w:rPr>
          <w:b/>
          <w:sz w:val="32"/>
        </w:rPr>
        <w:t>Contents</w:t>
      </w:r>
    </w:p>
    <w:p>
      <w:pPr>
        <w:spacing w:after="0"/>
        <w:jc w:val="center"/>
        <w:rPr>
          <w:sz w:val="32"/>
        </w:rPr>
        <w:sectPr>
          <w:footerReference w:type="default" r:id="rId372"/>
          <w:footerReference w:type="even" r:id="rId373"/>
          <w:pgSz w:w="11900" w:h="16840"/>
          <w:pgMar w:footer="408" w:header="230" w:top="560" w:bottom="382" w:left="1240" w:right="0"/>
          <w:pgNumType w:start="3"/>
        </w:sectPr>
      </w:pPr>
    </w:p>
    <w:sdt>
      <w:sdtPr>
        <w:docPartObj>
          <w:docPartGallery w:val="Table of Contents"/>
          <w:docPartUnique/>
        </w:docPartObj>
      </w:sdtPr>
      <w:sdtEndPr/>
      <w:sdtContent>
        <w:p>
          <w:pPr>
            <w:pStyle w:val="TOC1"/>
            <w:numPr>
              <w:ilvl w:val="1"/>
              <w:numId w:val="172"/>
            </w:numPr>
            <w:tabs>
              <w:tab w:pos="1199" w:val="left" w:leader="none"/>
              <w:tab w:pos="1200" w:val="left" w:leader="none"/>
              <w:tab w:pos="9251" w:val="right" w:leader="none"/>
            </w:tabs>
            <w:spacing w:line="240" w:lineRule="auto" w:before="601" w:after="0"/>
            <w:ind w:left="1199" w:right="0" w:hanging="1020"/>
            <w:jc w:val="left"/>
          </w:pPr>
          <w:hyperlink w:history="true" w:anchor="_TOC_250054">
            <w:r>
              <w:rPr/>
              <w:t>INTRODUCTION</w:t>
              <w:tab/>
              <w:t>5.7</w:t>
            </w:r>
          </w:hyperlink>
        </w:p>
        <w:p>
          <w:pPr>
            <w:pStyle w:val="TOC1"/>
            <w:numPr>
              <w:ilvl w:val="1"/>
              <w:numId w:val="172"/>
            </w:numPr>
            <w:tabs>
              <w:tab w:pos="1199" w:val="left" w:leader="none"/>
              <w:tab w:pos="1200" w:val="left" w:leader="none"/>
              <w:tab w:pos="9249" w:val="right" w:leader="none"/>
            </w:tabs>
            <w:spacing w:line="240" w:lineRule="auto" w:before="238" w:after="0"/>
            <w:ind w:left="1199" w:right="0" w:hanging="1020"/>
            <w:jc w:val="left"/>
          </w:pPr>
          <w:hyperlink w:history="true" w:anchor="_TOC_250053">
            <w:r>
              <w:rPr/>
              <w:t>IDENTIFYING AND QUANTIFYING</w:t>
            </w:r>
            <w:r>
              <w:rPr>
                <w:spacing w:val="-2"/>
              </w:rPr>
              <w:t> </w:t>
            </w:r>
            <w:r>
              <w:rPr/>
              <w:t>UNCERTAINTIES</w:t>
              <w:tab/>
              <w:t>5.8</w:t>
            </w:r>
          </w:hyperlink>
        </w:p>
        <w:p>
          <w:pPr>
            <w:pStyle w:val="TOC2"/>
            <w:numPr>
              <w:ilvl w:val="2"/>
              <w:numId w:val="172"/>
            </w:numPr>
            <w:tabs>
              <w:tab w:pos="1197" w:val="left" w:leader="none"/>
              <w:tab w:pos="1199" w:val="left" w:leader="none"/>
              <w:tab w:pos="9251" w:val="right" w:leader="dot"/>
            </w:tabs>
            <w:spacing w:line="240" w:lineRule="auto" w:before="115" w:after="0"/>
            <w:ind w:left="1198" w:right="0" w:hanging="736"/>
            <w:jc w:val="left"/>
          </w:pPr>
          <w:hyperlink w:history="true" w:anchor="_TOC_250052">
            <w:r>
              <w:rPr/>
              <w:t>Introduction</w:t>
              <w:tab/>
              <w:t>5.8</w:t>
            </w:r>
          </w:hyperlink>
        </w:p>
        <w:p>
          <w:pPr>
            <w:pStyle w:val="TOC2"/>
            <w:numPr>
              <w:ilvl w:val="2"/>
              <w:numId w:val="172"/>
            </w:numPr>
            <w:tabs>
              <w:tab w:pos="1197" w:val="left" w:leader="none"/>
              <w:tab w:pos="1198" w:val="left" w:leader="none"/>
              <w:tab w:pos="9251" w:val="right" w:leader="dot"/>
            </w:tabs>
            <w:spacing w:line="240" w:lineRule="auto" w:before="121" w:after="0"/>
            <w:ind w:left="1197" w:right="0" w:hanging="735"/>
            <w:jc w:val="left"/>
          </w:pPr>
          <w:hyperlink w:history="true" w:anchor="_TOC_250051">
            <w:r>
              <w:rPr/>
              <w:t>Methods to</w:t>
            </w:r>
            <w:r>
              <w:rPr>
                <w:spacing w:val="-1"/>
              </w:rPr>
              <w:t> </w:t>
            </w:r>
            <w:r>
              <w:rPr/>
              <w:t>Combine</w:t>
            </w:r>
            <w:r>
              <w:rPr>
                <w:spacing w:val="1"/>
              </w:rPr>
              <w:t> </w:t>
            </w:r>
            <w:r>
              <w:rPr/>
              <w:t>Uncertainties</w:t>
              <w:tab/>
              <w:t>5.10</w:t>
            </w:r>
          </w:hyperlink>
        </w:p>
        <w:p>
          <w:pPr>
            <w:pStyle w:val="TOC3"/>
            <w:numPr>
              <w:ilvl w:val="3"/>
              <w:numId w:val="172"/>
            </w:numPr>
            <w:tabs>
              <w:tab w:pos="1481" w:val="left" w:leader="none"/>
              <w:tab w:pos="9250" w:val="right" w:leader="dot"/>
            </w:tabs>
            <w:spacing w:line="240" w:lineRule="auto" w:before="120" w:after="0"/>
            <w:ind w:left="1480" w:right="0" w:hanging="735"/>
            <w:jc w:val="left"/>
          </w:pPr>
          <w:r>
            <w:rPr/>
            <w:t>Tier 1 - Simple propagation</w:t>
          </w:r>
          <w:r>
            <w:rPr>
              <w:spacing w:val="-4"/>
            </w:rPr>
            <w:t> </w:t>
          </w:r>
          <w:r>
            <w:rPr/>
            <w:t>of</w:t>
          </w:r>
          <w:r>
            <w:rPr>
              <w:spacing w:val="1"/>
            </w:rPr>
            <w:t> </w:t>
          </w:r>
          <w:r>
            <w:rPr/>
            <w:t>errors</w:t>
            <w:tab/>
            <w:t>5.10</w:t>
          </w:r>
        </w:p>
        <w:p>
          <w:pPr>
            <w:pStyle w:val="TOC3"/>
            <w:numPr>
              <w:ilvl w:val="3"/>
              <w:numId w:val="172"/>
            </w:numPr>
            <w:tabs>
              <w:tab w:pos="1481" w:val="left" w:leader="none"/>
              <w:tab w:pos="9252" w:val="right" w:leader="dot"/>
            </w:tabs>
            <w:spacing w:line="240" w:lineRule="auto" w:before="118" w:after="0"/>
            <w:ind w:left="1480" w:right="0" w:hanging="735"/>
            <w:jc w:val="left"/>
          </w:pPr>
          <w:r>
            <w:rPr/>
            <w:t>Estimating uncertainties by category using Monte Carlo analysis</w:t>
          </w:r>
          <w:r>
            <w:rPr>
              <w:spacing w:val="-13"/>
            </w:rPr>
            <w:t> </w:t>
          </w:r>
          <w:r>
            <w:rPr/>
            <w:t>(Tier 2)</w:t>
            <w:tab/>
            <w:t>5.11</w:t>
          </w:r>
        </w:p>
        <w:p>
          <w:pPr>
            <w:pStyle w:val="TOC2"/>
            <w:numPr>
              <w:ilvl w:val="2"/>
              <w:numId w:val="172"/>
            </w:numPr>
            <w:tabs>
              <w:tab w:pos="1197" w:val="left" w:leader="none"/>
              <w:tab w:pos="1198" w:val="left" w:leader="none"/>
              <w:tab w:pos="9251" w:val="right" w:leader="dot"/>
            </w:tabs>
            <w:spacing w:line="240" w:lineRule="auto" w:before="120" w:after="0"/>
            <w:ind w:left="1197" w:right="0" w:hanging="735"/>
            <w:jc w:val="left"/>
          </w:pPr>
          <w:hyperlink w:history="true" w:anchor="_TOC_250050">
            <w:r>
              <w:rPr/>
              <w:t>Practical Considerations for Quantifying Uncertainties of</w:t>
            </w:r>
            <w:r>
              <w:rPr>
                <w:spacing w:val="-5"/>
              </w:rPr>
              <w:t> </w:t>
            </w:r>
            <w:r>
              <w:rPr/>
              <w:t>Input Data</w:t>
              <w:tab/>
              <w:t>5.14</w:t>
            </w:r>
          </w:hyperlink>
        </w:p>
        <w:p>
          <w:pPr>
            <w:pStyle w:val="TOC2"/>
            <w:numPr>
              <w:ilvl w:val="2"/>
              <w:numId w:val="172"/>
            </w:numPr>
            <w:tabs>
              <w:tab w:pos="1197" w:val="left" w:leader="none"/>
              <w:tab w:pos="1198" w:val="left" w:leader="none"/>
              <w:tab w:pos="9251" w:val="right" w:leader="dot"/>
            </w:tabs>
            <w:spacing w:line="240" w:lineRule="auto" w:before="121" w:after="0"/>
            <w:ind w:left="1197" w:right="0" w:hanging="735"/>
            <w:jc w:val="left"/>
          </w:pPr>
          <w:hyperlink w:history="true" w:anchor="_TOC_250049">
            <w:r>
              <w:rPr/>
              <w:t>Example of</w:t>
            </w:r>
            <w:r>
              <w:rPr>
                <w:spacing w:val="-3"/>
              </w:rPr>
              <w:t> </w:t>
            </w:r>
            <w:r>
              <w:rPr/>
              <w:t>Uncertainty</w:t>
            </w:r>
            <w:r>
              <w:rPr>
                <w:spacing w:val="1"/>
              </w:rPr>
              <w:t> </w:t>
            </w:r>
            <w:r>
              <w:rPr/>
              <w:t>Analysis</w:t>
              <w:tab/>
              <w:t>5.16</w:t>
            </w:r>
          </w:hyperlink>
        </w:p>
        <w:p>
          <w:pPr>
            <w:pStyle w:val="TOC2"/>
            <w:numPr>
              <w:ilvl w:val="2"/>
              <w:numId w:val="172"/>
            </w:numPr>
            <w:tabs>
              <w:tab w:pos="1197" w:val="left" w:leader="none"/>
              <w:tab w:pos="1198" w:val="left" w:leader="none"/>
              <w:tab w:pos="9251" w:val="right" w:leader="dot"/>
            </w:tabs>
            <w:spacing w:line="240" w:lineRule="auto" w:before="120" w:after="0"/>
            <w:ind w:left="1197" w:right="0" w:hanging="735"/>
            <w:jc w:val="left"/>
          </w:pPr>
          <w:hyperlink w:history="true" w:anchor="_TOC_250048">
            <w:r>
              <w:rPr/>
              <w:t>Reporting</w:t>
            </w:r>
            <w:r>
              <w:rPr>
                <w:spacing w:val="-2"/>
              </w:rPr>
              <w:t> </w:t>
            </w:r>
            <w:r>
              <w:rPr/>
              <w:t>and</w:t>
            </w:r>
            <w:r>
              <w:rPr>
                <w:spacing w:val="1"/>
              </w:rPr>
              <w:t> </w:t>
            </w:r>
            <w:r>
              <w:rPr/>
              <w:t>Documentation</w:t>
              <w:tab/>
              <w:t>5.20</w:t>
            </w:r>
          </w:hyperlink>
        </w:p>
        <w:p>
          <w:pPr>
            <w:pStyle w:val="TOC1"/>
            <w:numPr>
              <w:ilvl w:val="1"/>
              <w:numId w:val="172"/>
            </w:numPr>
            <w:tabs>
              <w:tab w:pos="1199" w:val="left" w:leader="none"/>
              <w:tab w:pos="1200" w:val="left" w:leader="none"/>
              <w:tab w:pos="9251" w:val="right" w:leader="none"/>
            </w:tabs>
            <w:spacing w:line="240" w:lineRule="auto" w:before="243" w:after="0"/>
            <w:ind w:left="1199" w:right="0" w:hanging="1020"/>
            <w:jc w:val="left"/>
          </w:pPr>
          <w:hyperlink w:history="true" w:anchor="_TOC_250047">
            <w:r>
              <w:rPr/>
              <w:t>SAMPLING</w:t>
              <w:tab/>
              <w:t>5.21</w:t>
            </w:r>
          </w:hyperlink>
        </w:p>
        <w:p>
          <w:pPr>
            <w:pStyle w:val="TOC2"/>
            <w:numPr>
              <w:ilvl w:val="2"/>
              <w:numId w:val="172"/>
            </w:numPr>
            <w:tabs>
              <w:tab w:pos="1197" w:val="left" w:leader="none"/>
              <w:tab w:pos="1199" w:val="left" w:leader="none"/>
              <w:tab w:pos="9251" w:val="right" w:leader="dot"/>
            </w:tabs>
            <w:spacing w:line="240" w:lineRule="auto" w:before="116" w:after="0"/>
            <w:ind w:left="1198" w:right="0" w:hanging="736"/>
            <w:jc w:val="left"/>
          </w:pPr>
          <w:hyperlink w:history="true" w:anchor="_TOC_250046">
            <w:r>
              <w:rPr/>
              <w:t>Introduction</w:t>
              <w:tab/>
              <w:t>5.21</w:t>
            </w:r>
          </w:hyperlink>
        </w:p>
        <w:p>
          <w:pPr>
            <w:pStyle w:val="TOC2"/>
            <w:numPr>
              <w:ilvl w:val="2"/>
              <w:numId w:val="172"/>
            </w:numPr>
            <w:tabs>
              <w:tab w:pos="1197" w:val="left" w:leader="none"/>
              <w:tab w:pos="1198" w:val="left" w:leader="none"/>
              <w:tab w:pos="9251" w:val="right" w:leader="dot"/>
            </w:tabs>
            <w:spacing w:line="240" w:lineRule="auto" w:before="120" w:after="0"/>
            <w:ind w:left="1197" w:right="0" w:hanging="735"/>
            <w:jc w:val="left"/>
          </w:pPr>
          <w:hyperlink w:history="true" w:anchor="_TOC_250045">
            <w:r>
              <w:rPr/>
              <w:t>Overview on</w:t>
            </w:r>
            <w:r>
              <w:rPr>
                <w:spacing w:val="-7"/>
              </w:rPr>
              <w:t> </w:t>
            </w:r>
            <w:r>
              <w:rPr/>
              <w:t>Sampling</w:t>
            </w:r>
            <w:r>
              <w:rPr>
                <w:spacing w:val="-1"/>
              </w:rPr>
              <w:t> </w:t>
            </w:r>
            <w:r>
              <w:rPr/>
              <w:t>Principles</w:t>
              <w:tab/>
              <w:t>5.21</w:t>
            </w:r>
          </w:hyperlink>
        </w:p>
        <w:p>
          <w:pPr>
            <w:pStyle w:val="TOC2"/>
            <w:numPr>
              <w:ilvl w:val="2"/>
              <w:numId w:val="172"/>
            </w:numPr>
            <w:tabs>
              <w:tab w:pos="1197" w:val="left" w:leader="none"/>
              <w:tab w:pos="1198" w:val="left" w:leader="none"/>
              <w:tab w:pos="9251" w:val="right" w:leader="dot"/>
            </w:tabs>
            <w:spacing w:line="240" w:lineRule="auto" w:before="121" w:after="0"/>
            <w:ind w:left="1197" w:right="0" w:hanging="735"/>
            <w:jc w:val="left"/>
          </w:pPr>
          <w:hyperlink w:history="true" w:anchor="_TOC_250044">
            <w:r>
              <w:rPr/>
              <w:t>Sampling</w:t>
            </w:r>
            <w:r>
              <w:rPr>
                <w:spacing w:val="-2"/>
              </w:rPr>
              <w:t> </w:t>
            </w:r>
            <w:r>
              <w:rPr/>
              <w:t>Design</w:t>
              <w:tab/>
              <w:t>5.22</w:t>
            </w:r>
          </w:hyperlink>
        </w:p>
        <w:p>
          <w:pPr>
            <w:pStyle w:val="TOC3"/>
            <w:numPr>
              <w:ilvl w:val="3"/>
              <w:numId w:val="172"/>
            </w:numPr>
            <w:tabs>
              <w:tab w:pos="1481" w:val="left" w:leader="none"/>
              <w:tab w:pos="9251" w:val="right" w:leader="dot"/>
            </w:tabs>
            <w:spacing w:line="240" w:lineRule="auto" w:before="118" w:after="0"/>
            <w:ind w:left="1480" w:right="0" w:hanging="735"/>
            <w:jc w:val="left"/>
          </w:pPr>
          <w:hyperlink w:history="true" w:anchor="_TOC_250043">
            <w:r>
              <w:rPr/>
              <w:t>Use of auxiliary data</w:t>
            </w:r>
            <w:r>
              <w:rPr>
                <w:spacing w:val="-5"/>
              </w:rPr>
              <w:t> </w:t>
            </w:r>
            <w:r>
              <w:rPr/>
              <w:t>and</w:t>
            </w:r>
            <w:r>
              <w:rPr>
                <w:spacing w:val="1"/>
              </w:rPr>
              <w:t> </w:t>
            </w:r>
            <w:r>
              <w:rPr/>
              <w:t>stratification</w:t>
              <w:tab/>
              <w:t>5.22</w:t>
            </w:r>
          </w:hyperlink>
        </w:p>
        <w:p>
          <w:pPr>
            <w:pStyle w:val="TOC3"/>
            <w:numPr>
              <w:ilvl w:val="3"/>
              <w:numId w:val="172"/>
            </w:numPr>
            <w:tabs>
              <w:tab w:pos="1481" w:val="left" w:leader="none"/>
              <w:tab w:pos="9251" w:val="right" w:leader="dot"/>
            </w:tabs>
            <w:spacing w:line="240" w:lineRule="auto" w:before="120" w:after="0"/>
            <w:ind w:left="1480" w:right="0" w:hanging="735"/>
            <w:jc w:val="left"/>
          </w:pPr>
          <w:hyperlink w:history="true" w:anchor="_TOC_250042">
            <w:r>
              <w:rPr/>
              <w:t>Systematic sampling</w:t>
              <w:tab/>
              <w:t>5.23</w:t>
            </w:r>
          </w:hyperlink>
        </w:p>
        <w:p>
          <w:pPr>
            <w:pStyle w:val="TOC3"/>
            <w:numPr>
              <w:ilvl w:val="3"/>
              <w:numId w:val="172"/>
            </w:numPr>
            <w:tabs>
              <w:tab w:pos="1481" w:val="left" w:leader="none"/>
              <w:tab w:pos="9251" w:val="right" w:leader="dot"/>
            </w:tabs>
            <w:spacing w:line="240" w:lineRule="auto" w:before="120" w:after="0"/>
            <w:ind w:left="1480" w:right="0" w:hanging="735"/>
            <w:jc w:val="left"/>
          </w:pPr>
          <w:hyperlink w:history="true" w:anchor="_TOC_250041">
            <w:r>
              <w:rPr/>
              <w:t>Permanent sample plots and time</w:t>
            </w:r>
            <w:r>
              <w:rPr>
                <w:spacing w:val="1"/>
              </w:rPr>
              <w:t> </w:t>
            </w:r>
            <w:r>
              <w:rPr/>
              <w:t>series</w:t>
            </w:r>
            <w:r>
              <w:rPr>
                <w:spacing w:val="-1"/>
              </w:rPr>
              <w:t> </w:t>
            </w:r>
            <w:r>
              <w:rPr/>
              <w:t>data</w:t>
              <w:tab/>
              <w:t>5.23</w:t>
            </w:r>
          </w:hyperlink>
        </w:p>
        <w:p>
          <w:pPr>
            <w:pStyle w:val="TOC2"/>
            <w:numPr>
              <w:ilvl w:val="2"/>
              <w:numId w:val="172"/>
            </w:numPr>
            <w:tabs>
              <w:tab w:pos="1197" w:val="left" w:leader="none"/>
              <w:tab w:pos="1198" w:val="left" w:leader="none"/>
              <w:tab w:pos="9250" w:val="right" w:leader="dot"/>
            </w:tabs>
            <w:spacing w:line="240" w:lineRule="auto" w:before="121" w:after="0"/>
            <w:ind w:left="1197" w:right="0" w:hanging="735"/>
            <w:jc w:val="left"/>
          </w:pPr>
          <w:hyperlink w:history="true" w:anchor="_TOC_250040">
            <w:r>
              <w:rPr/>
              <w:t>Sampling Methods for Area</w:t>
            </w:r>
            <w:r>
              <w:rPr>
                <w:spacing w:val="1"/>
              </w:rPr>
              <w:t> </w:t>
            </w:r>
            <w:r>
              <w:rPr/>
              <w:t>Estimation</w:t>
              <w:tab/>
              <w:t>5.24</w:t>
            </w:r>
          </w:hyperlink>
        </w:p>
        <w:p>
          <w:pPr>
            <w:pStyle w:val="TOC3"/>
            <w:numPr>
              <w:ilvl w:val="3"/>
              <w:numId w:val="172"/>
            </w:numPr>
            <w:tabs>
              <w:tab w:pos="1481" w:val="left" w:leader="none"/>
              <w:tab w:pos="9251" w:val="right" w:leader="dot"/>
            </w:tabs>
            <w:spacing w:line="240" w:lineRule="auto" w:before="118" w:after="0"/>
            <w:ind w:left="1480" w:right="0" w:hanging="735"/>
            <w:jc w:val="left"/>
          </w:pPr>
          <w:hyperlink w:history="true" w:anchor="_TOC_250039">
            <w:r>
              <w:rPr/>
              <w:t>Estimation of areas</w:t>
            </w:r>
            <w:r>
              <w:rPr>
                <w:spacing w:val="-2"/>
              </w:rPr>
              <w:t> </w:t>
            </w:r>
            <w:r>
              <w:rPr/>
              <w:t>via</w:t>
            </w:r>
            <w:r>
              <w:rPr>
                <w:spacing w:val="1"/>
              </w:rPr>
              <w:t> </w:t>
            </w:r>
            <w:r>
              <w:rPr/>
              <w:t>proportions</w:t>
              <w:tab/>
              <w:t>5.25</w:t>
            </w:r>
          </w:hyperlink>
        </w:p>
        <w:p>
          <w:pPr>
            <w:pStyle w:val="TOC3"/>
            <w:numPr>
              <w:ilvl w:val="3"/>
              <w:numId w:val="172"/>
            </w:numPr>
            <w:tabs>
              <w:tab w:pos="1481" w:val="left" w:leader="none"/>
              <w:tab w:pos="9251" w:val="right" w:leader="dot"/>
            </w:tabs>
            <w:spacing w:line="240" w:lineRule="auto" w:before="120" w:after="0"/>
            <w:ind w:left="1480" w:right="0" w:hanging="735"/>
            <w:jc w:val="left"/>
          </w:pPr>
          <w:hyperlink w:history="true" w:anchor="_TOC_250038">
            <w:r>
              <w:rPr/>
              <w:t>Direct estimation</w:t>
            </w:r>
            <w:r>
              <w:rPr>
                <w:spacing w:val="-2"/>
              </w:rPr>
              <w:t> </w:t>
            </w:r>
            <w:r>
              <w:rPr/>
              <w:t>of</w:t>
            </w:r>
            <w:r>
              <w:rPr>
                <w:spacing w:val="-2"/>
              </w:rPr>
              <w:t> </w:t>
            </w:r>
            <w:r>
              <w:rPr/>
              <w:t>area</w:t>
              <w:tab/>
              <w:t>5.25</w:t>
            </w:r>
          </w:hyperlink>
        </w:p>
        <w:p>
          <w:pPr>
            <w:pStyle w:val="TOC2"/>
            <w:numPr>
              <w:ilvl w:val="2"/>
              <w:numId w:val="172"/>
            </w:numPr>
            <w:tabs>
              <w:tab w:pos="1197" w:val="left" w:leader="none"/>
              <w:tab w:pos="1198" w:val="left" w:leader="none"/>
              <w:tab w:pos="9250" w:val="right" w:leader="dot"/>
            </w:tabs>
            <w:spacing w:line="240" w:lineRule="auto" w:before="121" w:after="0"/>
            <w:ind w:left="1197" w:right="0" w:hanging="735"/>
            <w:jc w:val="left"/>
          </w:pPr>
          <w:r>
            <w:rPr/>
            <w:t>Sampling Methods for Estimating Greenhouse Gas  Emissions</w:t>
          </w:r>
          <w:r>
            <w:rPr>
              <w:spacing w:val="-6"/>
            </w:rPr>
            <w:t> </w:t>
          </w:r>
          <w:r>
            <w:rPr/>
            <w:t>and Removals</w:t>
            <w:tab/>
            <w:t>5.25</w:t>
          </w:r>
        </w:p>
        <w:p>
          <w:pPr>
            <w:pStyle w:val="TOC2"/>
            <w:numPr>
              <w:ilvl w:val="2"/>
              <w:numId w:val="172"/>
            </w:numPr>
            <w:tabs>
              <w:tab w:pos="1197" w:val="left" w:leader="none"/>
              <w:tab w:pos="1198" w:val="left" w:leader="none"/>
              <w:tab w:pos="9250" w:val="right" w:leader="dot"/>
            </w:tabs>
            <w:spacing w:line="240" w:lineRule="auto" w:before="120" w:after="0"/>
            <w:ind w:left="1197" w:right="0" w:hanging="735"/>
            <w:jc w:val="left"/>
          </w:pPr>
          <w:hyperlink w:history="true" w:anchor="_TOC_250037">
            <w:r>
              <w:rPr/>
              <w:t>Uncertainties in Sample</w:t>
            </w:r>
            <w:r>
              <w:rPr>
                <w:spacing w:val="-2"/>
              </w:rPr>
              <w:t> </w:t>
            </w:r>
            <w:r>
              <w:rPr/>
              <w:t>Based Surveys</w:t>
              <w:tab/>
              <w:t>5.26</w:t>
            </w:r>
          </w:hyperlink>
        </w:p>
        <w:p>
          <w:pPr>
            <w:pStyle w:val="TOC3"/>
            <w:numPr>
              <w:ilvl w:val="3"/>
              <w:numId w:val="172"/>
            </w:numPr>
            <w:tabs>
              <w:tab w:pos="1481" w:val="left" w:leader="none"/>
              <w:tab w:pos="9251" w:val="right" w:leader="dot"/>
            </w:tabs>
            <w:spacing w:line="240" w:lineRule="auto" w:before="118" w:after="0"/>
            <w:ind w:left="1480" w:right="0" w:hanging="735"/>
            <w:jc w:val="left"/>
          </w:pPr>
          <w:hyperlink w:history="true" w:anchor="_TOC_250036">
            <w:r>
              <w:rPr/>
              <w:t>Types</w:t>
            </w:r>
            <w:r>
              <w:rPr>
                <w:spacing w:val="-2"/>
              </w:rPr>
              <w:t> </w:t>
            </w:r>
            <w:r>
              <w:rPr/>
              <w:t>of</w:t>
            </w:r>
            <w:r>
              <w:rPr>
                <w:spacing w:val="-2"/>
              </w:rPr>
              <w:t> </w:t>
            </w:r>
            <w:r>
              <w:rPr/>
              <w:t>errors</w:t>
              <w:tab/>
              <w:t>5.26</w:t>
            </w:r>
          </w:hyperlink>
        </w:p>
        <w:p>
          <w:pPr>
            <w:pStyle w:val="TOC3"/>
            <w:numPr>
              <w:ilvl w:val="3"/>
              <w:numId w:val="172"/>
            </w:numPr>
            <w:tabs>
              <w:tab w:pos="1481" w:val="left" w:leader="none"/>
              <w:tab w:pos="9251" w:val="right" w:leader="dot"/>
            </w:tabs>
            <w:spacing w:line="240" w:lineRule="auto" w:before="121" w:after="0"/>
            <w:ind w:left="1480" w:right="0" w:hanging="735"/>
            <w:jc w:val="left"/>
          </w:pPr>
          <w:hyperlink w:history="true" w:anchor="_TOC_250035">
            <w:r>
              <w:rPr/>
              <w:t>Sample size and</w:t>
            </w:r>
            <w:r>
              <w:rPr>
                <w:spacing w:val="2"/>
              </w:rPr>
              <w:t> </w:t>
            </w:r>
            <w:r>
              <w:rPr/>
              <w:t>sampling</w:t>
            </w:r>
            <w:r>
              <w:rPr>
                <w:spacing w:val="-1"/>
              </w:rPr>
              <w:t> </w:t>
            </w:r>
            <w:r>
              <w:rPr/>
              <w:t>error</w:t>
              <w:tab/>
              <w:t>5.27</w:t>
            </w:r>
          </w:hyperlink>
        </w:p>
        <w:p>
          <w:pPr>
            <w:pStyle w:val="TOC3"/>
            <w:numPr>
              <w:ilvl w:val="3"/>
              <w:numId w:val="172"/>
            </w:numPr>
            <w:tabs>
              <w:tab w:pos="1481" w:val="left" w:leader="none"/>
              <w:tab w:pos="9251" w:val="right" w:leader="dot"/>
            </w:tabs>
            <w:spacing w:line="240" w:lineRule="auto" w:before="120" w:after="0"/>
            <w:ind w:left="1480" w:right="0" w:hanging="735"/>
            <w:jc w:val="left"/>
          </w:pPr>
          <w:hyperlink w:history="true" w:anchor="_TOC_250034">
            <w:r>
              <w:rPr/>
              <w:t>Quantifying errors in sample</w:t>
            </w:r>
            <w:r>
              <w:rPr>
                <w:spacing w:val="-3"/>
              </w:rPr>
              <w:t> </w:t>
            </w:r>
            <w:r>
              <w:rPr/>
              <w:t>based surveys</w:t>
              <w:tab/>
              <w:t>5.28</w:t>
            </w:r>
          </w:hyperlink>
        </w:p>
        <w:p>
          <w:pPr>
            <w:pStyle w:val="TOC1"/>
            <w:numPr>
              <w:ilvl w:val="1"/>
              <w:numId w:val="172"/>
            </w:numPr>
            <w:tabs>
              <w:tab w:pos="1198" w:val="left" w:leader="none"/>
              <w:tab w:pos="1199" w:val="left" w:leader="none"/>
              <w:tab w:pos="9250" w:val="right" w:leader="none"/>
            </w:tabs>
            <w:spacing w:line="240" w:lineRule="auto" w:before="245" w:after="0"/>
            <w:ind w:left="1198" w:right="0" w:hanging="1019"/>
            <w:jc w:val="left"/>
          </w:pPr>
          <w:r>
            <w:rPr/>
            <w:t>METHODOLOGICAL CHOICE − IDENTIFICATION OF</w:t>
          </w:r>
          <w:r>
            <w:rPr>
              <w:spacing w:val="-5"/>
            </w:rPr>
            <w:t> </w:t>
          </w:r>
          <w:r>
            <w:rPr/>
            <w:t>KEY</w:t>
          </w:r>
          <w:r>
            <w:rPr>
              <w:spacing w:val="-1"/>
            </w:rPr>
            <w:t> </w:t>
          </w:r>
          <w:r>
            <w:rPr/>
            <w:t>CATEGORIES</w:t>
            <w:tab/>
            <w:t>5.29</w:t>
          </w:r>
        </w:p>
        <w:p>
          <w:pPr>
            <w:pStyle w:val="TOC2"/>
            <w:numPr>
              <w:ilvl w:val="2"/>
              <w:numId w:val="172"/>
            </w:numPr>
            <w:tabs>
              <w:tab w:pos="1197" w:val="left" w:leader="none"/>
              <w:tab w:pos="1198" w:val="left" w:leader="none"/>
              <w:tab w:pos="9251" w:val="right" w:leader="dot"/>
            </w:tabs>
            <w:spacing w:line="240" w:lineRule="auto" w:before="113" w:after="0"/>
            <w:ind w:left="1197" w:right="0" w:hanging="735"/>
            <w:jc w:val="left"/>
          </w:pPr>
          <w:hyperlink w:history="true" w:anchor="_TOC_250033">
            <w:r>
              <w:rPr/>
              <w:t>Introduction</w:t>
              <w:tab/>
              <w:t>5.29</w:t>
            </w:r>
          </w:hyperlink>
        </w:p>
        <w:p>
          <w:pPr>
            <w:pStyle w:val="TOC2"/>
            <w:numPr>
              <w:ilvl w:val="2"/>
              <w:numId w:val="172"/>
            </w:numPr>
            <w:tabs>
              <w:tab w:pos="1196" w:val="left" w:leader="none"/>
              <w:tab w:pos="1198" w:val="left" w:leader="none"/>
              <w:tab w:pos="9250" w:val="right" w:leader="dot"/>
            </w:tabs>
            <w:spacing w:line="240" w:lineRule="auto" w:before="121" w:after="0"/>
            <w:ind w:left="1197" w:right="0" w:hanging="735"/>
            <w:jc w:val="left"/>
          </w:pPr>
          <w:hyperlink w:history="true" w:anchor="_TOC_250032">
            <w:r>
              <w:rPr/>
              <w:t>Quantitative Approaches to Determining</w:t>
            </w:r>
            <w:r>
              <w:rPr>
                <w:spacing w:val="2"/>
              </w:rPr>
              <w:t> </w:t>
            </w:r>
            <w:r>
              <w:rPr/>
              <w:t>Key</w:t>
            </w:r>
            <w:r>
              <w:rPr>
                <w:spacing w:val="-1"/>
              </w:rPr>
              <w:t> </w:t>
            </w:r>
            <w:r>
              <w:rPr/>
              <w:t>Categories</w:t>
              <w:tab/>
              <w:t>5.29</w:t>
            </w:r>
          </w:hyperlink>
        </w:p>
        <w:p>
          <w:pPr>
            <w:pStyle w:val="TOC3"/>
            <w:numPr>
              <w:ilvl w:val="3"/>
              <w:numId w:val="172"/>
            </w:numPr>
            <w:tabs>
              <w:tab w:pos="1481" w:val="left" w:leader="none"/>
              <w:tab w:pos="9254" w:val="right" w:leader="dot"/>
            </w:tabs>
            <w:spacing w:line="240" w:lineRule="auto" w:before="120" w:after="0"/>
            <w:ind w:left="1480" w:right="0" w:hanging="735"/>
            <w:jc w:val="left"/>
          </w:pPr>
          <w:hyperlink w:history="true" w:anchor="_TOC_250031">
            <w:r>
              <w:rPr/>
              <w:t>Tier 1 method to identify key categories of sources</w:t>
            </w:r>
            <w:r>
              <w:rPr>
                <w:spacing w:val="-7"/>
              </w:rPr>
              <w:t> </w:t>
            </w:r>
            <w:r>
              <w:rPr/>
              <w:t>and sinks</w:t>
              <w:tab/>
              <w:t>5.33</w:t>
            </w:r>
          </w:hyperlink>
        </w:p>
        <w:p>
          <w:pPr>
            <w:pStyle w:val="TOC3"/>
            <w:numPr>
              <w:ilvl w:val="3"/>
              <w:numId w:val="172"/>
            </w:numPr>
            <w:tabs>
              <w:tab w:pos="1481" w:val="left" w:leader="none"/>
              <w:tab w:pos="9254" w:val="right" w:leader="dot"/>
            </w:tabs>
            <w:spacing w:line="240" w:lineRule="auto" w:before="121" w:after="0"/>
            <w:ind w:left="1481" w:right="0" w:hanging="736"/>
            <w:jc w:val="left"/>
          </w:pPr>
          <w:hyperlink w:history="true" w:anchor="_TOC_250030">
            <w:r>
              <w:rPr/>
              <w:t>Tier 2 method to identify key categories of sources</w:t>
            </w:r>
            <w:r>
              <w:rPr>
                <w:spacing w:val="-7"/>
              </w:rPr>
              <w:t> </w:t>
            </w:r>
            <w:r>
              <w:rPr/>
              <w:t>and sinks</w:t>
              <w:tab/>
              <w:t>5.36</w:t>
            </w:r>
          </w:hyperlink>
        </w:p>
        <w:p>
          <w:pPr>
            <w:pStyle w:val="TOC2"/>
            <w:numPr>
              <w:ilvl w:val="2"/>
              <w:numId w:val="172"/>
            </w:numPr>
            <w:tabs>
              <w:tab w:pos="1197" w:val="left" w:leader="none"/>
              <w:tab w:pos="1198" w:val="left" w:leader="none"/>
              <w:tab w:pos="9251" w:val="right" w:leader="dot"/>
            </w:tabs>
            <w:spacing w:line="240" w:lineRule="auto" w:before="118" w:after="0"/>
            <w:ind w:left="1197" w:right="0" w:hanging="735"/>
            <w:jc w:val="left"/>
          </w:pPr>
          <w:hyperlink w:history="true" w:anchor="_TOC_250029">
            <w:r>
              <w:rPr/>
              <w:t>Qualitative</w:t>
            </w:r>
            <w:r>
              <w:rPr>
                <w:spacing w:val="2"/>
              </w:rPr>
              <w:t> </w:t>
            </w:r>
            <w:r>
              <w:rPr/>
              <w:t>Considerations</w:t>
              <w:tab/>
              <w:t>5.38</w:t>
            </w:r>
          </w:hyperlink>
        </w:p>
        <w:p>
          <w:pPr>
            <w:pStyle w:val="TOC2"/>
            <w:numPr>
              <w:ilvl w:val="2"/>
              <w:numId w:val="172"/>
            </w:numPr>
            <w:tabs>
              <w:tab w:pos="1197" w:val="left" w:leader="none"/>
              <w:tab w:pos="1198" w:val="left" w:leader="none"/>
              <w:tab w:pos="9252" w:val="right" w:leader="dot"/>
            </w:tabs>
            <w:spacing w:line="240" w:lineRule="auto" w:before="120" w:after="0"/>
            <w:ind w:left="1197" w:right="0" w:hanging="735"/>
            <w:jc w:val="left"/>
          </w:pPr>
          <w:hyperlink w:history="true" w:anchor="_TOC_250028">
            <w:r>
              <w:rPr/>
              <w:t>Identifying Key Categories under Kyoto Protocol Articles 3.3</w:t>
            </w:r>
            <w:r>
              <w:rPr>
                <w:spacing w:val="-3"/>
              </w:rPr>
              <w:t> </w:t>
            </w:r>
            <w:r>
              <w:rPr/>
              <w:t>and</w:t>
            </w:r>
            <w:r>
              <w:rPr>
                <w:spacing w:val="1"/>
              </w:rPr>
              <w:t> </w:t>
            </w:r>
            <w:r>
              <w:rPr/>
              <w:t>3.4</w:t>
              <w:tab/>
              <w:t>5.38</w:t>
            </w:r>
          </w:hyperlink>
        </w:p>
        <w:p>
          <w:pPr>
            <w:pStyle w:val="TOC2"/>
            <w:numPr>
              <w:ilvl w:val="2"/>
              <w:numId w:val="172"/>
            </w:numPr>
            <w:tabs>
              <w:tab w:pos="1197" w:val="left" w:leader="none"/>
              <w:tab w:pos="1198" w:val="left" w:leader="none"/>
              <w:tab w:pos="9251" w:val="right" w:leader="dot"/>
            </w:tabs>
            <w:spacing w:line="240" w:lineRule="auto" w:before="120" w:after="0"/>
            <w:ind w:left="1197" w:right="0" w:hanging="735"/>
            <w:jc w:val="left"/>
          </w:pPr>
          <w:hyperlink w:history="true" w:anchor="_TOC_250027">
            <w:r>
              <w:rPr/>
              <w:t>Application of</w:t>
            </w:r>
            <w:r>
              <w:rPr>
                <w:spacing w:val="-4"/>
              </w:rPr>
              <w:t> </w:t>
            </w:r>
            <w:r>
              <w:rPr/>
              <w:t>the</w:t>
            </w:r>
            <w:r>
              <w:rPr>
                <w:spacing w:val="3"/>
              </w:rPr>
              <w:t> </w:t>
            </w:r>
            <w:r>
              <w:rPr/>
              <w:t>Results</w:t>
              <w:tab/>
              <w:t>5.40</w:t>
            </w:r>
          </w:hyperlink>
        </w:p>
        <w:p>
          <w:pPr>
            <w:pStyle w:val="TOC2"/>
            <w:numPr>
              <w:ilvl w:val="2"/>
              <w:numId w:val="172"/>
            </w:numPr>
            <w:tabs>
              <w:tab w:pos="1197" w:val="left" w:leader="none"/>
              <w:tab w:pos="1198" w:val="left" w:leader="none"/>
              <w:tab w:pos="9251" w:val="right" w:leader="dot"/>
            </w:tabs>
            <w:spacing w:line="240" w:lineRule="auto" w:before="121" w:after="0"/>
            <w:ind w:left="1197" w:right="0" w:hanging="735"/>
            <w:jc w:val="left"/>
          </w:pPr>
          <w:hyperlink w:history="true" w:anchor="_TOC_250026">
            <w:r>
              <w:rPr/>
              <w:t>Reporting</w:t>
            </w:r>
            <w:r>
              <w:rPr>
                <w:spacing w:val="-2"/>
              </w:rPr>
              <w:t> </w:t>
            </w:r>
            <w:r>
              <w:rPr/>
              <w:t>and</w:t>
            </w:r>
            <w:r>
              <w:rPr>
                <w:spacing w:val="1"/>
              </w:rPr>
              <w:t> </w:t>
            </w:r>
            <w:r>
              <w:rPr/>
              <w:t>Documentation</w:t>
              <w:tab/>
              <w:t>5.41</w:t>
            </w:r>
          </w:hyperlink>
        </w:p>
        <w:p>
          <w:pPr>
            <w:pStyle w:val="TOC2"/>
            <w:numPr>
              <w:ilvl w:val="2"/>
              <w:numId w:val="172"/>
            </w:numPr>
            <w:tabs>
              <w:tab w:pos="1197" w:val="left" w:leader="none"/>
              <w:tab w:pos="1198" w:val="left" w:leader="none"/>
              <w:tab w:pos="9251" w:val="right" w:leader="dot"/>
            </w:tabs>
            <w:spacing w:line="240" w:lineRule="auto" w:before="118" w:after="0"/>
            <w:ind w:left="1197" w:right="0" w:hanging="735"/>
            <w:jc w:val="left"/>
          </w:pPr>
          <w:hyperlink w:history="true" w:anchor="_TOC_250025">
            <w:r>
              <w:rPr/>
              <w:t>Derivation of Threshold for the Tier 1 Key</w:t>
            </w:r>
            <w:r>
              <w:rPr>
                <w:spacing w:val="-8"/>
              </w:rPr>
              <w:t> </w:t>
            </w:r>
            <w:r>
              <w:rPr/>
              <w:t>Category</w:t>
            </w:r>
            <w:r>
              <w:rPr>
                <w:spacing w:val="-1"/>
              </w:rPr>
              <w:t> </w:t>
            </w:r>
            <w:r>
              <w:rPr/>
              <w:t>Analysis</w:t>
              <w:tab/>
              <w:t>5.42</w:t>
            </w:r>
          </w:hyperlink>
        </w:p>
        <w:p>
          <w:pPr>
            <w:pStyle w:val="TOC2"/>
            <w:numPr>
              <w:ilvl w:val="3"/>
              <w:numId w:val="172"/>
            </w:numPr>
            <w:tabs>
              <w:tab w:pos="1200" w:val="left" w:leader="none"/>
              <w:tab w:pos="9251" w:val="right" w:leader="dot"/>
            </w:tabs>
            <w:spacing w:line="240" w:lineRule="auto" w:before="120" w:after="240"/>
            <w:ind w:left="1199" w:right="0" w:hanging="727"/>
            <w:jc w:val="left"/>
          </w:pPr>
          <w:hyperlink w:history="true" w:anchor="_TOC_250024">
            <w:r>
              <w:rPr/>
              <w:t>Assumptions</w:t>
            </w:r>
            <w:r>
              <w:rPr>
                <w:spacing w:val="-2"/>
              </w:rPr>
              <w:t> </w:t>
            </w:r>
            <w:r>
              <w:rPr/>
              <w:t>about</w:t>
            </w:r>
            <w:r>
              <w:rPr>
                <w:spacing w:val="3"/>
              </w:rPr>
              <w:t> </w:t>
            </w:r>
            <w:r>
              <w:rPr/>
              <w:t>uncertainties</w:t>
              <w:tab/>
              <w:t>5.42</w:t>
            </w:r>
          </w:hyperlink>
        </w:p>
        <w:p>
          <w:pPr>
            <w:pStyle w:val="TOC3"/>
            <w:numPr>
              <w:ilvl w:val="3"/>
              <w:numId w:val="172"/>
            </w:numPr>
            <w:tabs>
              <w:tab w:pos="1346" w:val="left" w:leader="none"/>
              <w:tab w:pos="9251" w:val="right" w:leader="dot"/>
            </w:tabs>
            <w:spacing w:line="240" w:lineRule="auto" w:before="439" w:after="0"/>
            <w:ind w:left="1345" w:right="0" w:hanging="600"/>
            <w:jc w:val="left"/>
          </w:pPr>
          <w:hyperlink w:history="true" w:anchor="_TOC_250023">
            <w:r>
              <w:rPr/>
              <w:t>Emission</w:t>
            </w:r>
            <w:r>
              <w:rPr>
                <w:spacing w:val="-2"/>
              </w:rPr>
              <w:t> </w:t>
            </w:r>
            <w:r>
              <w:rPr/>
              <w:t>level</w:t>
              <w:tab/>
              <w:t>5.43</w:t>
            </w:r>
          </w:hyperlink>
        </w:p>
        <w:p>
          <w:pPr>
            <w:pStyle w:val="TOC3"/>
            <w:numPr>
              <w:ilvl w:val="3"/>
              <w:numId w:val="172"/>
            </w:numPr>
            <w:tabs>
              <w:tab w:pos="1344" w:val="left" w:leader="none"/>
              <w:tab w:pos="9251" w:val="right" w:leader="dot"/>
            </w:tabs>
            <w:spacing w:line="240" w:lineRule="auto" w:before="120" w:after="0"/>
            <w:ind w:left="1343" w:right="0" w:hanging="598"/>
            <w:jc w:val="left"/>
          </w:pPr>
          <w:hyperlink w:history="true" w:anchor="_TOC_250022">
            <w:r>
              <w:rPr/>
              <w:t>Trend</w:t>
              <w:tab/>
              <w:t>5.44</w:t>
            </w:r>
          </w:hyperlink>
        </w:p>
        <w:p>
          <w:pPr>
            <w:pStyle w:val="TOC2"/>
            <w:numPr>
              <w:ilvl w:val="2"/>
              <w:numId w:val="172"/>
            </w:numPr>
            <w:tabs>
              <w:tab w:pos="1013" w:val="left" w:leader="none"/>
              <w:tab w:pos="9251" w:val="right" w:leader="dot"/>
            </w:tabs>
            <w:spacing w:line="240" w:lineRule="auto" w:before="121" w:after="0"/>
            <w:ind w:left="1012" w:right="0" w:hanging="550"/>
            <w:jc w:val="left"/>
          </w:pPr>
          <w:hyperlink w:history="true" w:anchor="_TOC_250021">
            <w:r>
              <w:rPr/>
              <w:t>Example of Tier 1 Key</w:t>
            </w:r>
            <w:r>
              <w:rPr>
                <w:spacing w:val="-4"/>
              </w:rPr>
              <w:t> </w:t>
            </w:r>
            <w:r>
              <w:rPr/>
              <w:t>Category</w:t>
            </w:r>
            <w:r>
              <w:rPr>
                <w:spacing w:val="-1"/>
              </w:rPr>
              <w:t> </w:t>
            </w:r>
            <w:r>
              <w:rPr/>
              <w:t>Analysis</w:t>
              <w:tab/>
              <w:t>5.45</w:t>
            </w:r>
          </w:hyperlink>
        </w:p>
        <w:p>
          <w:pPr>
            <w:pStyle w:val="TOC1"/>
            <w:numPr>
              <w:ilvl w:val="1"/>
              <w:numId w:val="172"/>
            </w:numPr>
            <w:tabs>
              <w:tab w:pos="1199" w:val="left" w:leader="none"/>
              <w:tab w:pos="1200" w:val="left" w:leader="none"/>
              <w:tab w:pos="9247" w:val="right" w:leader="none"/>
            </w:tabs>
            <w:spacing w:line="240" w:lineRule="auto" w:before="245" w:after="0"/>
            <w:ind w:left="1199" w:right="0" w:hanging="1020"/>
            <w:jc w:val="left"/>
          </w:pPr>
          <w:hyperlink w:history="true" w:anchor="_TOC_250020">
            <w:r>
              <w:rPr/>
              <w:t>QUALITY ASSURANCE AND</w:t>
            </w:r>
            <w:r>
              <w:rPr>
                <w:spacing w:val="-2"/>
              </w:rPr>
              <w:t> </w:t>
            </w:r>
            <w:r>
              <w:rPr/>
              <w:t>QUALITY CONTROL</w:t>
              <w:tab/>
              <w:t>5.49</w:t>
            </w:r>
          </w:hyperlink>
        </w:p>
        <w:p>
          <w:pPr>
            <w:pStyle w:val="TOC2"/>
            <w:numPr>
              <w:ilvl w:val="2"/>
              <w:numId w:val="172"/>
            </w:numPr>
            <w:tabs>
              <w:tab w:pos="1197" w:val="left" w:leader="none"/>
              <w:tab w:pos="1199" w:val="left" w:leader="none"/>
              <w:tab w:pos="9251" w:val="right" w:leader="dot"/>
            </w:tabs>
            <w:spacing w:line="240" w:lineRule="auto" w:before="113" w:after="0"/>
            <w:ind w:left="1198" w:right="0" w:hanging="736"/>
            <w:jc w:val="left"/>
          </w:pPr>
          <w:hyperlink w:history="true" w:anchor="_TOC_250019">
            <w:r>
              <w:rPr/>
              <w:t>Introduction</w:t>
              <w:tab/>
              <w:t>5.49</w:t>
            </w:r>
          </w:hyperlink>
        </w:p>
        <w:p>
          <w:pPr>
            <w:pStyle w:val="TOC2"/>
            <w:numPr>
              <w:ilvl w:val="2"/>
              <w:numId w:val="172"/>
            </w:numPr>
            <w:tabs>
              <w:tab w:pos="1197" w:val="left" w:leader="none"/>
              <w:tab w:pos="1198" w:val="left" w:leader="none"/>
              <w:tab w:pos="9251" w:val="right" w:leader="dot"/>
            </w:tabs>
            <w:spacing w:line="240" w:lineRule="auto" w:before="121" w:after="0"/>
            <w:ind w:left="1197" w:right="0" w:hanging="735"/>
            <w:jc w:val="left"/>
          </w:pPr>
          <w:hyperlink w:history="true" w:anchor="_TOC_250018">
            <w:r>
              <w:rPr/>
              <w:t>QA/QC</w:t>
            </w:r>
            <w:r>
              <w:rPr>
                <w:spacing w:val="-2"/>
              </w:rPr>
              <w:t> </w:t>
            </w:r>
            <w:r>
              <w:rPr/>
              <w:t>Plan</w:t>
              <w:tab/>
              <w:t>5.50</w:t>
            </w:r>
          </w:hyperlink>
        </w:p>
        <w:p>
          <w:pPr>
            <w:pStyle w:val="TOC2"/>
            <w:numPr>
              <w:ilvl w:val="2"/>
              <w:numId w:val="172"/>
            </w:numPr>
            <w:tabs>
              <w:tab w:pos="1197" w:val="left" w:leader="none"/>
              <w:tab w:pos="1198" w:val="left" w:leader="none"/>
              <w:tab w:pos="9251" w:val="right" w:leader="dot"/>
            </w:tabs>
            <w:spacing w:line="240" w:lineRule="auto" w:before="120" w:after="0"/>
            <w:ind w:left="1198" w:right="0" w:hanging="736"/>
            <w:jc w:val="left"/>
          </w:pPr>
          <w:hyperlink w:history="true" w:anchor="_TOC_250017">
            <w:r>
              <w:rPr/>
              <w:t>General QC Procedures</w:t>
            </w:r>
            <w:r>
              <w:rPr>
                <w:spacing w:val="-2"/>
              </w:rPr>
              <w:t> </w:t>
            </w:r>
            <w:r>
              <w:rPr/>
              <w:t>(Tier</w:t>
            </w:r>
            <w:r>
              <w:rPr>
                <w:spacing w:val="-2"/>
              </w:rPr>
              <w:t> </w:t>
            </w:r>
            <w:r>
              <w:rPr/>
              <w:t>1)</w:t>
              <w:tab/>
              <w:t>5.51</w:t>
            </w:r>
          </w:hyperlink>
        </w:p>
        <w:p>
          <w:pPr>
            <w:pStyle w:val="TOC2"/>
            <w:numPr>
              <w:ilvl w:val="2"/>
              <w:numId w:val="172"/>
            </w:numPr>
            <w:tabs>
              <w:tab w:pos="1198" w:val="left" w:leader="none"/>
              <w:tab w:pos="1199" w:val="left" w:leader="none"/>
              <w:tab w:pos="8950" w:val="left" w:leader="dot"/>
            </w:tabs>
            <w:spacing w:line="240" w:lineRule="auto" w:before="121" w:after="0"/>
            <w:ind w:left="1198" w:right="0" w:hanging="736"/>
            <w:jc w:val="left"/>
          </w:pPr>
          <w:r>
            <w:rPr/>
            <w:t>Source or Sink Category-Specific QC Procedures</w:t>
          </w:r>
          <w:r>
            <w:rPr>
              <w:spacing w:val="-19"/>
            </w:rPr>
            <w:t> </w:t>
          </w:r>
          <w:r>
            <w:rPr/>
            <w:t>(Tier</w:t>
          </w:r>
          <w:r>
            <w:rPr>
              <w:spacing w:val="-2"/>
            </w:rPr>
            <w:t> </w:t>
          </w:r>
          <w:r>
            <w:rPr/>
            <w:t>2)</w:t>
            <w:tab/>
            <w:t>552</w:t>
          </w:r>
        </w:p>
        <w:p>
          <w:pPr>
            <w:pStyle w:val="TOC2"/>
            <w:numPr>
              <w:ilvl w:val="2"/>
              <w:numId w:val="172"/>
            </w:numPr>
            <w:tabs>
              <w:tab w:pos="1197" w:val="left" w:leader="none"/>
              <w:tab w:pos="1198" w:val="left" w:leader="none"/>
              <w:tab w:pos="9251" w:val="right" w:leader="dot"/>
            </w:tabs>
            <w:spacing w:line="240" w:lineRule="auto" w:before="118" w:after="0"/>
            <w:ind w:left="1198" w:right="0" w:hanging="736"/>
            <w:jc w:val="left"/>
          </w:pPr>
          <w:hyperlink w:history="true" w:anchor="_TOC_250016">
            <w:r>
              <w:rPr/>
              <w:t>QA</w:t>
            </w:r>
            <w:r>
              <w:rPr>
                <w:spacing w:val="-1"/>
              </w:rPr>
              <w:t> </w:t>
            </w:r>
            <w:r>
              <w:rPr/>
              <w:t>Review</w:t>
            </w:r>
            <w:r>
              <w:rPr>
                <w:spacing w:val="-2"/>
              </w:rPr>
              <w:t> </w:t>
            </w:r>
            <w:r>
              <w:rPr/>
              <w:t>Procedures</w:t>
              <w:tab/>
              <w:t>5.53</w:t>
            </w:r>
          </w:hyperlink>
        </w:p>
        <w:p>
          <w:pPr>
            <w:pStyle w:val="TOC2"/>
            <w:numPr>
              <w:ilvl w:val="2"/>
              <w:numId w:val="172"/>
            </w:numPr>
            <w:tabs>
              <w:tab w:pos="1197" w:val="left" w:leader="none"/>
              <w:tab w:pos="1199" w:val="left" w:leader="none"/>
              <w:tab w:pos="9251" w:val="right" w:leader="dot"/>
            </w:tabs>
            <w:spacing w:line="240" w:lineRule="auto" w:before="120" w:after="0"/>
            <w:ind w:left="1198" w:right="0" w:hanging="736"/>
            <w:jc w:val="left"/>
          </w:pPr>
          <w:hyperlink w:history="true" w:anchor="_TOC_250015">
            <w:r>
              <w:rPr/>
              <w:t>Documentation, Archiving</w:t>
            </w:r>
            <w:r>
              <w:rPr>
                <w:spacing w:val="1"/>
              </w:rPr>
              <w:t> </w:t>
            </w:r>
            <w:r>
              <w:rPr/>
              <w:t>and</w:t>
            </w:r>
            <w:r>
              <w:rPr>
                <w:spacing w:val="1"/>
              </w:rPr>
              <w:t> </w:t>
            </w:r>
            <w:r>
              <w:rPr/>
              <w:t>Reporting</w:t>
              <w:tab/>
              <w:t>5.54</w:t>
            </w:r>
          </w:hyperlink>
        </w:p>
        <w:p>
          <w:pPr>
            <w:pStyle w:val="TOC2"/>
            <w:numPr>
              <w:ilvl w:val="2"/>
              <w:numId w:val="172"/>
            </w:numPr>
            <w:tabs>
              <w:tab w:pos="1198" w:val="left" w:leader="none"/>
              <w:tab w:pos="1199" w:val="left" w:leader="none"/>
              <w:tab w:pos="9250" w:val="right" w:leader="dot"/>
            </w:tabs>
            <w:spacing w:line="240" w:lineRule="auto" w:before="120" w:after="0"/>
            <w:ind w:left="1198" w:right="0" w:hanging="736"/>
            <w:jc w:val="left"/>
          </w:pPr>
          <w:hyperlink w:history="true" w:anchor="_TOC_250014">
            <w:r>
              <w:rPr/>
              <w:t>Issues under Kyoto Protocol Articles 3.3</w:t>
            </w:r>
            <w:r>
              <w:rPr>
                <w:spacing w:val="-3"/>
              </w:rPr>
              <w:t> </w:t>
            </w:r>
            <w:r>
              <w:rPr/>
              <w:t>and</w:t>
            </w:r>
            <w:r>
              <w:rPr>
                <w:spacing w:val="1"/>
              </w:rPr>
              <w:t> </w:t>
            </w:r>
            <w:r>
              <w:rPr/>
              <w:t>3.4</w:t>
              <w:tab/>
              <w:t>5.55</w:t>
            </w:r>
          </w:hyperlink>
        </w:p>
        <w:p>
          <w:pPr>
            <w:pStyle w:val="TOC1"/>
            <w:numPr>
              <w:ilvl w:val="1"/>
              <w:numId w:val="172"/>
            </w:numPr>
            <w:tabs>
              <w:tab w:pos="1199" w:val="left" w:leader="none"/>
              <w:tab w:pos="1200" w:val="left" w:leader="none"/>
              <w:tab w:pos="9250" w:val="right" w:leader="none"/>
            </w:tabs>
            <w:spacing w:line="240" w:lineRule="auto" w:before="246" w:after="0"/>
            <w:ind w:left="1199" w:right="0" w:hanging="1020"/>
            <w:jc w:val="left"/>
          </w:pPr>
          <w:hyperlink w:history="true" w:anchor="_TOC_250013">
            <w:r>
              <w:rPr/>
              <w:t>TIME SERIES CONSISTENCY</w:t>
            </w:r>
            <w:r>
              <w:rPr>
                <w:spacing w:val="-4"/>
              </w:rPr>
              <w:t> </w:t>
            </w:r>
            <w:r>
              <w:rPr/>
              <w:t>AND RECALCULATIONS</w:t>
              <w:tab/>
              <w:t>5.56</w:t>
            </w:r>
          </w:hyperlink>
        </w:p>
        <w:p>
          <w:pPr>
            <w:pStyle w:val="TOC2"/>
            <w:numPr>
              <w:ilvl w:val="2"/>
              <w:numId w:val="172"/>
            </w:numPr>
            <w:tabs>
              <w:tab w:pos="1197" w:val="left" w:leader="none"/>
              <w:tab w:pos="1199" w:val="left" w:leader="none"/>
              <w:tab w:pos="9251" w:val="right" w:leader="dot"/>
            </w:tabs>
            <w:spacing w:line="240" w:lineRule="auto" w:before="113" w:after="0"/>
            <w:ind w:left="1198" w:right="0" w:hanging="736"/>
            <w:jc w:val="left"/>
          </w:pPr>
          <w:hyperlink w:history="true" w:anchor="_TOC_250012">
            <w:r>
              <w:rPr/>
              <w:t>Introduction</w:t>
              <w:tab/>
              <w:t>5.56</w:t>
            </w:r>
          </w:hyperlink>
        </w:p>
        <w:p>
          <w:pPr>
            <w:pStyle w:val="TOC2"/>
            <w:numPr>
              <w:ilvl w:val="2"/>
              <w:numId w:val="172"/>
            </w:numPr>
            <w:tabs>
              <w:tab w:pos="1198" w:val="left" w:leader="none"/>
              <w:tab w:pos="1199" w:val="left" w:leader="none"/>
              <w:tab w:pos="9252" w:val="right" w:leader="dot"/>
            </w:tabs>
            <w:spacing w:line="240" w:lineRule="auto" w:before="120" w:after="0"/>
            <w:ind w:left="1198" w:right="0" w:hanging="736"/>
            <w:jc w:val="left"/>
          </w:pPr>
          <w:hyperlink w:history="true" w:anchor="_TOC_250011">
            <w:r>
              <w:rPr/>
              <w:t>Time Series Consistency and</w:t>
            </w:r>
            <w:r>
              <w:rPr>
                <w:spacing w:val="1"/>
              </w:rPr>
              <w:t> </w:t>
            </w:r>
            <w:r>
              <w:rPr/>
              <w:t>Methodological Change</w:t>
              <w:tab/>
              <w:t>5.56</w:t>
            </w:r>
          </w:hyperlink>
        </w:p>
        <w:p>
          <w:pPr>
            <w:pStyle w:val="TOC2"/>
            <w:numPr>
              <w:ilvl w:val="2"/>
              <w:numId w:val="172"/>
            </w:numPr>
            <w:tabs>
              <w:tab w:pos="1197" w:val="left" w:leader="none"/>
              <w:tab w:pos="1198" w:val="left" w:leader="none"/>
              <w:tab w:pos="9251" w:val="right" w:leader="dot"/>
            </w:tabs>
            <w:spacing w:line="240" w:lineRule="auto" w:before="121" w:after="0"/>
            <w:ind w:left="1197" w:right="0" w:hanging="735"/>
            <w:jc w:val="left"/>
          </w:pPr>
          <w:hyperlink w:history="true" w:anchor="_TOC_250010">
            <w:r>
              <w:rPr/>
              <w:t>Recalculation and</w:t>
            </w:r>
            <w:r>
              <w:rPr>
                <w:spacing w:val="-2"/>
              </w:rPr>
              <w:t> </w:t>
            </w:r>
            <w:r>
              <w:rPr/>
              <w:t>Periodic Data</w:t>
              <w:tab/>
              <w:t>5.58</w:t>
            </w:r>
          </w:hyperlink>
        </w:p>
        <w:p>
          <w:pPr>
            <w:pStyle w:val="TOC2"/>
            <w:numPr>
              <w:ilvl w:val="2"/>
              <w:numId w:val="172"/>
            </w:numPr>
            <w:tabs>
              <w:tab w:pos="1198" w:val="left" w:leader="none"/>
              <w:tab w:pos="1199" w:val="left" w:leader="none"/>
              <w:tab w:pos="9250" w:val="right" w:leader="dot"/>
            </w:tabs>
            <w:spacing w:line="240" w:lineRule="auto" w:before="120" w:after="0"/>
            <w:ind w:left="1198" w:right="0" w:hanging="736"/>
            <w:jc w:val="left"/>
          </w:pPr>
          <w:hyperlink w:history="true" w:anchor="_TOC_250009">
            <w:r>
              <w:rPr/>
              <w:t>Issues under Kyoto Protocol Articles 3.3</w:t>
            </w:r>
            <w:r>
              <w:rPr>
                <w:spacing w:val="-3"/>
              </w:rPr>
              <w:t> </w:t>
            </w:r>
            <w:r>
              <w:rPr/>
              <w:t>and</w:t>
            </w:r>
            <w:r>
              <w:rPr>
                <w:spacing w:val="1"/>
              </w:rPr>
              <w:t> </w:t>
            </w:r>
            <w:r>
              <w:rPr/>
              <w:t>3.4</w:t>
              <w:tab/>
              <w:t>5.60</w:t>
            </w:r>
          </w:hyperlink>
        </w:p>
        <w:p>
          <w:pPr>
            <w:pStyle w:val="TOC2"/>
            <w:numPr>
              <w:ilvl w:val="2"/>
              <w:numId w:val="172"/>
            </w:numPr>
            <w:tabs>
              <w:tab w:pos="1197" w:val="left" w:leader="none"/>
              <w:tab w:pos="1199" w:val="left" w:leader="none"/>
              <w:tab w:pos="9251" w:val="right" w:leader="dot"/>
            </w:tabs>
            <w:spacing w:line="240" w:lineRule="auto" w:before="118" w:after="0"/>
            <w:ind w:left="1198" w:right="0" w:hanging="736"/>
            <w:jc w:val="left"/>
          </w:pPr>
          <w:hyperlink w:history="true" w:anchor="_TOC_250008">
            <w:r>
              <w:rPr/>
              <w:t>Reporting</w:t>
            </w:r>
            <w:r>
              <w:rPr>
                <w:spacing w:val="-2"/>
              </w:rPr>
              <w:t> </w:t>
            </w:r>
            <w:r>
              <w:rPr/>
              <w:t>and</w:t>
            </w:r>
            <w:r>
              <w:rPr>
                <w:spacing w:val="1"/>
              </w:rPr>
              <w:t> </w:t>
            </w:r>
            <w:r>
              <w:rPr/>
              <w:t>Documentation</w:t>
              <w:tab/>
              <w:t>5.60</w:t>
            </w:r>
          </w:hyperlink>
        </w:p>
        <w:p>
          <w:pPr>
            <w:pStyle w:val="TOC1"/>
            <w:numPr>
              <w:ilvl w:val="1"/>
              <w:numId w:val="172"/>
            </w:numPr>
            <w:tabs>
              <w:tab w:pos="1199" w:val="left" w:leader="none"/>
              <w:tab w:pos="1200" w:val="left" w:leader="none"/>
              <w:tab w:pos="9251" w:val="right" w:leader="none"/>
            </w:tabs>
            <w:spacing w:line="240" w:lineRule="auto" w:before="245" w:after="0"/>
            <w:ind w:left="1199" w:right="0" w:hanging="1020"/>
            <w:jc w:val="left"/>
          </w:pPr>
          <w:hyperlink w:history="true" w:anchor="_TOC_250007">
            <w:r>
              <w:rPr/>
              <w:t>VERIFICATION</w:t>
              <w:tab/>
              <w:t>5.61</w:t>
            </w:r>
          </w:hyperlink>
        </w:p>
        <w:p>
          <w:pPr>
            <w:pStyle w:val="TOC2"/>
            <w:numPr>
              <w:ilvl w:val="2"/>
              <w:numId w:val="172"/>
            </w:numPr>
            <w:tabs>
              <w:tab w:pos="1197" w:val="left" w:leader="none"/>
              <w:tab w:pos="1198" w:val="left" w:leader="none"/>
              <w:tab w:pos="9251" w:val="right" w:leader="dot"/>
            </w:tabs>
            <w:spacing w:line="240" w:lineRule="auto" w:before="116" w:after="0"/>
            <w:ind w:left="1197" w:right="0" w:hanging="735"/>
            <w:jc w:val="left"/>
          </w:pPr>
          <w:hyperlink w:history="true" w:anchor="_TOC_250006">
            <w:r>
              <w:rPr/>
              <w:t>Introduction</w:t>
              <w:tab/>
              <w:t>5.61</w:t>
            </w:r>
          </w:hyperlink>
        </w:p>
        <w:p>
          <w:pPr>
            <w:pStyle w:val="TOC2"/>
            <w:numPr>
              <w:ilvl w:val="2"/>
              <w:numId w:val="172"/>
            </w:numPr>
            <w:tabs>
              <w:tab w:pos="1197" w:val="left" w:leader="none"/>
              <w:tab w:pos="1198" w:val="left" w:leader="none"/>
              <w:tab w:pos="9251" w:val="right" w:leader="dot"/>
            </w:tabs>
            <w:spacing w:line="240" w:lineRule="auto" w:before="120" w:after="0"/>
            <w:ind w:left="1197" w:right="0" w:hanging="735"/>
            <w:jc w:val="left"/>
          </w:pPr>
          <w:hyperlink w:history="true" w:anchor="_TOC_250005">
            <w:r>
              <w:rPr/>
              <w:t>Verification Approaches</w:t>
              <w:tab/>
              <w:t>5.62</w:t>
            </w:r>
          </w:hyperlink>
        </w:p>
        <w:p>
          <w:pPr>
            <w:pStyle w:val="TOC2"/>
            <w:numPr>
              <w:ilvl w:val="2"/>
              <w:numId w:val="172"/>
            </w:numPr>
            <w:tabs>
              <w:tab w:pos="1197" w:val="left" w:leader="none"/>
              <w:tab w:pos="1198" w:val="left" w:leader="none"/>
              <w:tab w:pos="9251" w:val="right" w:leader="dot"/>
            </w:tabs>
            <w:spacing w:line="240" w:lineRule="auto" w:before="118" w:after="0"/>
            <w:ind w:left="1197" w:right="0" w:hanging="735"/>
            <w:jc w:val="left"/>
          </w:pPr>
          <w:hyperlink w:history="true" w:anchor="_TOC_250004">
            <w:r>
              <w:rPr/>
              <w:t>Guidance for Verification of</w:t>
            </w:r>
            <w:r>
              <w:rPr>
                <w:spacing w:val="2"/>
              </w:rPr>
              <w:t> </w:t>
            </w:r>
            <w:r>
              <w:rPr/>
              <w:t>LULUCF</w:t>
            </w:r>
            <w:r>
              <w:rPr>
                <w:spacing w:val="-1"/>
              </w:rPr>
              <w:t> </w:t>
            </w:r>
            <w:r>
              <w:rPr/>
              <w:t>Inventories</w:t>
              <w:tab/>
              <w:t>5.69</w:t>
            </w:r>
          </w:hyperlink>
        </w:p>
        <w:p>
          <w:pPr>
            <w:pStyle w:val="TOC2"/>
            <w:numPr>
              <w:ilvl w:val="2"/>
              <w:numId w:val="172"/>
            </w:numPr>
            <w:tabs>
              <w:tab w:pos="1197" w:val="left" w:leader="none"/>
              <w:tab w:pos="1198" w:val="left" w:leader="none"/>
              <w:tab w:pos="9250" w:val="right" w:leader="dot"/>
            </w:tabs>
            <w:spacing w:line="240" w:lineRule="auto" w:before="121" w:after="0"/>
            <w:ind w:left="1197" w:right="0" w:hanging="735"/>
            <w:jc w:val="left"/>
          </w:pPr>
          <w:hyperlink w:history="true" w:anchor="_TOC_250003">
            <w:r>
              <w:rPr/>
              <w:t>Specific Issues Linked to the</w:t>
            </w:r>
            <w:r>
              <w:rPr>
                <w:spacing w:val="3"/>
              </w:rPr>
              <w:t> </w:t>
            </w:r>
            <w:r>
              <w:rPr/>
              <w:t>Kyoto</w:t>
            </w:r>
            <w:r>
              <w:rPr>
                <w:spacing w:val="1"/>
              </w:rPr>
              <w:t> </w:t>
            </w:r>
            <w:r>
              <w:rPr/>
              <w:t>Protocol</w:t>
              <w:tab/>
              <w:t>5.71</w:t>
            </w:r>
          </w:hyperlink>
        </w:p>
        <w:p>
          <w:pPr>
            <w:pStyle w:val="TOC2"/>
            <w:numPr>
              <w:ilvl w:val="2"/>
              <w:numId w:val="172"/>
            </w:numPr>
            <w:tabs>
              <w:tab w:pos="1197" w:val="left" w:leader="none"/>
              <w:tab w:pos="1198" w:val="left" w:leader="none"/>
              <w:tab w:pos="9251" w:val="right" w:leader="dot"/>
            </w:tabs>
            <w:spacing w:line="240" w:lineRule="auto" w:before="120" w:after="0"/>
            <w:ind w:left="1197" w:right="0" w:hanging="735"/>
            <w:jc w:val="left"/>
          </w:pPr>
          <w:hyperlink w:history="true" w:anchor="_TOC_250002">
            <w:r>
              <w:rPr/>
              <w:t>Reporting</w:t>
            </w:r>
            <w:r>
              <w:rPr>
                <w:spacing w:val="-2"/>
              </w:rPr>
              <w:t> </w:t>
            </w:r>
            <w:r>
              <w:rPr/>
              <w:t>and</w:t>
            </w:r>
            <w:r>
              <w:rPr>
                <w:spacing w:val="1"/>
              </w:rPr>
              <w:t> </w:t>
            </w:r>
            <w:r>
              <w:rPr/>
              <w:t>Documentation</w:t>
              <w:tab/>
              <w:t>5.72</w:t>
            </w:r>
          </w:hyperlink>
        </w:p>
        <w:p>
          <w:pPr>
            <w:pStyle w:val="TOC2"/>
            <w:numPr>
              <w:ilvl w:val="2"/>
              <w:numId w:val="172"/>
            </w:numPr>
            <w:tabs>
              <w:tab w:pos="1197" w:val="left" w:leader="none"/>
              <w:tab w:pos="1198" w:val="left" w:leader="none"/>
              <w:tab w:pos="9251" w:val="right" w:leader="dot"/>
            </w:tabs>
            <w:spacing w:line="240" w:lineRule="auto" w:before="121" w:after="0"/>
            <w:ind w:left="1197" w:right="0" w:hanging="735"/>
            <w:jc w:val="left"/>
          </w:pPr>
          <w:hyperlink w:history="true" w:anchor="_TOC_250001">
            <w:r>
              <w:rPr/>
              <w:t>Some Details for</w:t>
            </w:r>
            <w:r>
              <w:rPr>
                <w:spacing w:val="-2"/>
              </w:rPr>
              <w:t> </w:t>
            </w:r>
            <w:r>
              <w:rPr/>
              <w:t>Verification</w:t>
            </w:r>
            <w:r>
              <w:rPr>
                <w:spacing w:val="1"/>
              </w:rPr>
              <w:t> </w:t>
            </w:r>
            <w:r>
              <w:rPr/>
              <w:t>Approaches</w:t>
              <w:tab/>
              <w:t>5.73</w:t>
            </w:r>
          </w:hyperlink>
        </w:p>
        <w:p>
          <w:pPr>
            <w:pStyle w:val="TOC1"/>
            <w:tabs>
              <w:tab w:pos="9251" w:val="right" w:leader="none"/>
            </w:tabs>
            <w:spacing w:before="242"/>
            <w:ind w:left="179" w:firstLine="0"/>
          </w:pPr>
          <w:hyperlink w:history="true" w:anchor="_TOC_250000">
            <w:r>
              <w:rPr/>
              <w:t>References</w:t>
              <w:tab/>
              <w:t>5.77</w:t>
            </w:r>
          </w:hyperlink>
        </w:p>
      </w:sdtContent>
    </w:sdt>
    <w:p>
      <w:pPr>
        <w:spacing w:after="0"/>
        <w:sectPr>
          <w:type w:val="continuous"/>
          <w:pgSz w:w="11900" w:h="16840"/>
          <w:pgMar w:top="574" w:bottom="382" w:left="1240" w:right="0"/>
        </w:sectPr>
      </w:pPr>
    </w:p>
    <w:p>
      <w:pPr>
        <w:pStyle w:val="BodyText"/>
        <w:rPr>
          <w:b/>
          <w:sz w:val="34"/>
        </w:rPr>
      </w:pPr>
    </w:p>
    <w:p>
      <w:pPr>
        <w:pStyle w:val="BodyText"/>
        <w:rPr>
          <w:b/>
          <w:sz w:val="34"/>
        </w:rPr>
      </w:pPr>
    </w:p>
    <w:p>
      <w:pPr>
        <w:pStyle w:val="BodyText"/>
        <w:spacing w:before="8"/>
        <w:rPr>
          <w:b/>
          <w:sz w:val="43"/>
        </w:rPr>
      </w:pPr>
    </w:p>
    <w:p>
      <w:pPr>
        <w:spacing w:before="0"/>
        <w:ind w:left="1892" w:right="3138" w:firstLine="0"/>
        <w:jc w:val="center"/>
        <w:rPr>
          <w:b/>
          <w:sz w:val="32"/>
        </w:rPr>
      </w:pPr>
      <w:r>
        <w:rPr>
          <w:b/>
          <w:sz w:val="32"/>
        </w:rPr>
        <w:t>Equations</w:t>
      </w:r>
    </w:p>
    <w:p>
      <w:pPr>
        <w:pStyle w:val="BodyText"/>
        <w:spacing w:before="5"/>
        <w:rPr>
          <w:b/>
          <w:sz w:val="41"/>
        </w:rPr>
      </w:pPr>
    </w:p>
    <w:p>
      <w:pPr>
        <w:pStyle w:val="BodyText"/>
        <w:tabs>
          <w:tab w:pos="8898" w:val="left" w:leader="dot"/>
        </w:tabs>
        <w:ind w:left="745"/>
      </w:pPr>
      <w:r>
        <w:rPr/>
        <w:t>Equation 5.2.1 Estimating category uncertainties</w:t>
      </w:r>
      <w:r>
        <w:rPr>
          <w:spacing w:val="-17"/>
        </w:rPr>
        <w:t> </w:t>
      </w:r>
      <w:r>
        <w:rPr/>
        <w:t>(Tier</w:t>
      </w:r>
      <w:r>
        <w:rPr>
          <w:spacing w:val="-1"/>
        </w:rPr>
        <w:t> </w:t>
      </w:r>
      <w:r>
        <w:rPr/>
        <w:t>1)</w:t>
        <w:tab/>
        <w:t>5.10</w:t>
      </w:r>
    </w:p>
    <w:p>
      <w:pPr>
        <w:pStyle w:val="BodyText"/>
        <w:tabs>
          <w:tab w:pos="8900" w:val="left" w:leader="dot"/>
        </w:tabs>
        <w:spacing w:before="118"/>
        <w:ind w:left="745"/>
      </w:pPr>
      <w:r>
        <w:rPr/>
        <w:t>Equation 5.2.2 Overall uncertainty in national emissions</w:t>
      </w:r>
      <w:r>
        <w:rPr>
          <w:spacing w:val="-18"/>
        </w:rPr>
        <w:t> </w:t>
      </w:r>
      <w:r>
        <w:rPr/>
        <w:t>(Tier</w:t>
      </w:r>
      <w:r>
        <w:rPr>
          <w:spacing w:val="-2"/>
        </w:rPr>
        <w:t> </w:t>
      </w:r>
      <w:r>
        <w:rPr/>
        <w:t>1)</w:t>
        <w:tab/>
        <w:t>5.11</w:t>
      </w:r>
    </w:p>
    <w:p>
      <w:pPr>
        <w:pStyle w:val="BodyText"/>
        <w:tabs>
          <w:tab w:pos="8899" w:val="left" w:leader="dot"/>
        </w:tabs>
        <w:spacing w:before="120"/>
        <w:ind w:left="745"/>
      </w:pPr>
      <w:r>
        <w:rPr/>
        <w:t>Equation 5.4.1  Level assessment</w:t>
      </w:r>
      <w:r>
        <w:rPr>
          <w:spacing w:val="-34"/>
        </w:rPr>
        <w:t> </w:t>
      </w:r>
      <w:r>
        <w:rPr/>
        <w:t>(Tier</w:t>
      </w:r>
      <w:r>
        <w:rPr>
          <w:spacing w:val="-1"/>
        </w:rPr>
        <w:t> </w:t>
      </w:r>
      <w:r>
        <w:rPr/>
        <w:t>1)</w:t>
        <w:tab/>
        <w:t>5.33</w:t>
      </w:r>
    </w:p>
    <w:p>
      <w:pPr>
        <w:pStyle w:val="BodyText"/>
        <w:tabs>
          <w:tab w:pos="8899" w:val="left" w:leader="dot"/>
        </w:tabs>
        <w:spacing w:before="121"/>
        <w:ind w:left="745"/>
      </w:pPr>
      <w:r>
        <w:rPr/>
        <w:t>Equation 5.4.2  Trend assessment</w:t>
      </w:r>
      <w:r>
        <w:rPr>
          <w:spacing w:val="-35"/>
        </w:rPr>
        <w:t> </w:t>
      </w:r>
      <w:r>
        <w:rPr/>
        <w:t>(Tier</w:t>
      </w:r>
      <w:r>
        <w:rPr>
          <w:spacing w:val="-1"/>
        </w:rPr>
        <w:t> </w:t>
      </w:r>
      <w:r>
        <w:rPr/>
        <w:t>1)</w:t>
        <w:tab/>
        <w:t>5.34</w:t>
      </w:r>
    </w:p>
    <w:p>
      <w:pPr>
        <w:pStyle w:val="BodyText"/>
        <w:tabs>
          <w:tab w:pos="8901" w:val="left" w:leader="dot"/>
        </w:tabs>
        <w:spacing w:before="120"/>
        <w:ind w:left="745"/>
      </w:pPr>
      <w:r>
        <w:rPr/>
        <w:t>Equation 5.4.3 Trend assessment with zero current</w:t>
      </w:r>
      <w:r>
        <w:rPr>
          <w:spacing w:val="4"/>
        </w:rPr>
        <w:t> </w:t>
      </w:r>
      <w:r>
        <w:rPr/>
        <w:t>year</w:t>
      </w:r>
      <w:r>
        <w:rPr>
          <w:spacing w:val="-3"/>
        </w:rPr>
        <w:t> </w:t>
      </w:r>
      <w:r>
        <w:rPr/>
        <w:t>emissions</w:t>
        <w:tab/>
        <w:t>5.35</w:t>
      </w:r>
    </w:p>
    <w:p>
      <w:pPr>
        <w:pStyle w:val="BodyText"/>
        <w:tabs>
          <w:tab w:pos="8899" w:val="left" w:leader="dot"/>
        </w:tabs>
        <w:spacing w:before="118"/>
        <w:ind w:left="745"/>
      </w:pPr>
      <w:r>
        <w:rPr/>
        <w:t>Equation 5.4.4  Level assessment</w:t>
      </w:r>
      <w:r>
        <w:rPr>
          <w:spacing w:val="-34"/>
        </w:rPr>
        <w:t> </w:t>
      </w:r>
      <w:r>
        <w:rPr/>
        <w:t>(Tier</w:t>
      </w:r>
      <w:r>
        <w:rPr>
          <w:spacing w:val="-1"/>
        </w:rPr>
        <w:t> </w:t>
      </w:r>
      <w:r>
        <w:rPr/>
        <w:t>2)</w:t>
        <w:tab/>
        <w:t>5.37</w:t>
      </w:r>
    </w:p>
    <w:p>
      <w:pPr>
        <w:pStyle w:val="BodyText"/>
        <w:tabs>
          <w:tab w:pos="8899" w:val="left" w:leader="dot"/>
        </w:tabs>
        <w:spacing w:before="121"/>
        <w:ind w:left="745"/>
      </w:pPr>
      <w:r>
        <w:rPr/>
        <w:t>Equation 5.4.5  Trend assessment</w:t>
      </w:r>
      <w:r>
        <w:rPr>
          <w:spacing w:val="-35"/>
        </w:rPr>
        <w:t> </w:t>
      </w:r>
      <w:r>
        <w:rPr/>
        <w:t>(Tier</w:t>
      </w:r>
      <w:r>
        <w:rPr>
          <w:spacing w:val="-1"/>
        </w:rPr>
        <w:t> </w:t>
      </w:r>
      <w:r>
        <w:rPr/>
        <w:t>2)</w:t>
        <w:tab/>
        <w:t>5.37</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rPr>
          <w:sz w:val="21"/>
        </w:rPr>
      </w:pPr>
    </w:p>
    <w:p>
      <w:pPr>
        <w:pStyle w:val="Heading2"/>
        <w:ind w:left="1892" w:right="3140" w:firstLine="0"/>
        <w:jc w:val="center"/>
      </w:pPr>
      <w:r>
        <w:rPr/>
        <w:t>Figures</w:t>
      </w:r>
    </w:p>
    <w:p>
      <w:pPr>
        <w:pStyle w:val="BodyText"/>
        <w:spacing w:before="2"/>
        <w:rPr>
          <w:b/>
          <w:sz w:val="41"/>
        </w:rPr>
      </w:pPr>
    </w:p>
    <w:p>
      <w:pPr>
        <w:pStyle w:val="BodyText"/>
        <w:tabs>
          <w:tab w:pos="1993" w:val="left" w:leader="none"/>
          <w:tab w:pos="8899" w:val="left" w:leader="dot"/>
        </w:tabs>
        <w:ind w:left="745"/>
      </w:pPr>
      <w:r>
        <w:rPr/>
        <w:t>Figure</w:t>
      </w:r>
      <w:r>
        <w:rPr>
          <w:spacing w:val="-2"/>
        </w:rPr>
        <w:t> </w:t>
      </w:r>
      <w:r>
        <w:rPr/>
        <w:t>5.3.1</w:t>
        <w:tab/>
        <w:t>Principle</w:t>
      </w:r>
      <w:r>
        <w:rPr>
          <w:spacing w:val="-1"/>
        </w:rPr>
        <w:t> </w:t>
      </w:r>
      <w:r>
        <w:rPr/>
        <w:t>of</w:t>
      </w:r>
      <w:r>
        <w:rPr>
          <w:spacing w:val="-4"/>
        </w:rPr>
        <w:t> </w:t>
      </w:r>
      <w:r>
        <w:rPr/>
        <w:t>sampling</w:t>
        <w:tab/>
        <w:t>5.21</w:t>
      </w:r>
    </w:p>
    <w:p>
      <w:pPr>
        <w:pStyle w:val="BodyText"/>
        <w:tabs>
          <w:tab w:pos="1992" w:val="left" w:leader="none"/>
          <w:tab w:pos="8901" w:val="left" w:leader="dot"/>
        </w:tabs>
        <w:spacing w:before="121"/>
        <w:ind w:left="745"/>
      </w:pPr>
      <w:r>
        <w:rPr/>
        <w:t>Figure</w:t>
      </w:r>
      <w:r>
        <w:rPr>
          <w:spacing w:val="-2"/>
        </w:rPr>
        <w:t> </w:t>
      </w:r>
      <w:r>
        <w:rPr/>
        <w:t>5.3.2</w:t>
        <w:tab/>
        <w:t>Simple random layout of plots (left) and systematic</w:t>
      </w:r>
      <w:r>
        <w:rPr>
          <w:spacing w:val="-17"/>
        </w:rPr>
        <w:t> </w:t>
      </w:r>
      <w:r>
        <w:rPr/>
        <w:t>layout</w:t>
      </w:r>
      <w:r>
        <w:rPr>
          <w:spacing w:val="-3"/>
        </w:rPr>
        <w:t> </w:t>
      </w:r>
      <w:r>
        <w:rPr/>
        <w:t>(right)</w:t>
        <w:tab/>
        <w:t>5.23</w:t>
      </w:r>
    </w:p>
    <w:p>
      <w:pPr>
        <w:pStyle w:val="BodyText"/>
        <w:tabs>
          <w:tab w:pos="1993" w:val="left" w:leader="none"/>
        </w:tabs>
        <w:spacing w:before="120"/>
        <w:ind w:left="745"/>
      </w:pPr>
      <w:r>
        <w:rPr/>
        <w:t>Figure</w:t>
      </w:r>
      <w:r>
        <w:rPr>
          <w:spacing w:val="-2"/>
        </w:rPr>
        <w:t> </w:t>
      </w:r>
      <w:r>
        <w:rPr/>
        <w:t>5.3.3</w:t>
        <w:tab/>
        <w:t>Use of different configurations of permanent and temporary sampling</w:t>
      </w:r>
      <w:r>
        <w:rPr>
          <w:spacing w:val="-10"/>
        </w:rPr>
        <w:t> </w:t>
      </w:r>
      <w:r>
        <w:rPr/>
        <w:t>units</w:t>
      </w:r>
    </w:p>
    <w:p>
      <w:pPr>
        <w:pStyle w:val="BodyText"/>
        <w:tabs>
          <w:tab w:pos="8899" w:val="left" w:leader="dot"/>
        </w:tabs>
        <w:ind w:left="1993"/>
      </w:pPr>
      <w:r>
        <w:rPr/>
        <w:t>for</w:t>
      </w:r>
      <w:r>
        <w:rPr>
          <w:spacing w:val="-2"/>
        </w:rPr>
        <w:t> </w:t>
      </w:r>
      <w:r>
        <w:rPr/>
        <w:t>estimating</w:t>
      </w:r>
      <w:r>
        <w:rPr>
          <w:spacing w:val="-3"/>
        </w:rPr>
        <w:t> </w:t>
      </w:r>
      <w:r>
        <w:rPr/>
        <w:t>changes</w:t>
        <w:tab/>
        <w:t>5.24</w:t>
      </w:r>
    </w:p>
    <w:p>
      <w:pPr>
        <w:pStyle w:val="BodyText"/>
        <w:tabs>
          <w:tab w:pos="1993" w:val="left" w:leader="none"/>
        </w:tabs>
        <w:spacing w:before="118"/>
        <w:ind w:left="745"/>
      </w:pPr>
      <w:r>
        <w:rPr/>
        <w:t>Figure</w:t>
      </w:r>
      <w:r>
        <w:rPr>
          <w:spacing w:val="-2"/>
        </w:rPr>
        <w:t> </w:t>
      </w:r>
      <w:r>
        <w:rPr/>
        <w:t>5.3.4</w:t>
        <w:tab/>
        <w:t>Relationship between the standard error of the area estimate, s(A), the proportion</w:t>
      </w:r>
      <w:r>
        <w:rPr>
          <w:spacing w:val="-7"/>
        </w:rPr>
        <w:t> </w:t>
      </w:r>
      <w:r>
        <w:rPr/>
        <w:t>of</w:t>
      </w:r>
    </w:p>
    <w:p>
      <w:pPr>
        <w:pStyle w:val="BodyText"/>
        <w:tabs>
          <w:tab w:pos="8900" w:val="left" w:leader="dot"/>
        </w:tabs>
        <w:spacing w:before="1"/>
        <w:ind w:left="1993"/>
      </w:pPr>
      <w:r>
        <w:rPr/>
        <w:t>the land-use class, </w:t>
      </w:r>
      <w:r>
        <w:rPr>
          <w:i/>
        </w:rPr>
        <w:t>p</w:t>
      </w:r>
      <w:r>
        <w:rPr/>
        <w:t>, and the sample</w:t>
      </w:r>
      <w:r>
        <w:rPr>
          <w:spacing w:val="-15"/>
        </w:rPr>
        <w:t> </w:t>
      </w:r>
      <w:r>
        <w:rPr/>
        <w:t>size,</w:t>
      </w:r>
      <w:r>
        <w:rPr>
          <w:spacing w:val="-2"/>
        </w:rPr>
        <w:t> </w:t>
      </w:r>
      <w:r>
        <w:rPr>
          <w:i/>
        </w:rPr>
        <w:t>n</w:t>
        <w:tab/>
      </w:r>
      <w:r>
        <w:rPr/>
        <w:t>5.27</w:t>
      </w:r>
    </w:p>
    <w:p>
      <w:pPr>
        <w:pStyle w:val="BodyText"/>
        <w:tabs>
          <w:tab w:pos="1993" w:val="left" w:leader="none"/>
          <w:tab w:pos="8902" w:val="left" w:leader="dot"/>
        </w:tabs>
        <w:spacing w:before="120"/>
        <w:ind w:left="745"/>
      </w:pPr>
      <w:r>
        <w:rPr/>
        <w:t>Figure</w:t>
      </w:r>
      <w:r>
        <w:rPr>
          <w:spacing w:val="-1"/>
        </w:rPr>
        <w:t> </w:t>
      </w:r>
      <w:r>
        <w:rPr/>
        <w:t>5.4.1</w:t>
        <w:tab/>
        <w:t>Decision tree to identify key categories of sources</w:t>
      </w:r>
      <w:r>
        <w:rPr>
          <w:spacing w:val="-20"/>
        </w:rPr>
        <w:t> </w:t>
      </w:r>
      <w:r>
        <w:rPr/>
        <w:t>and</w:t>
      </w:r>
      <w:r>
        <w:rPr>
          <w:spacing w:val="-1"/>
        </w:rPr>
        <w:t> </w:t>
      </w:r>
      <w:r>
        <w:rPr/>
        <w:t>sinks</w:t>
        <w:tab/>
        <w:t>5.30</w:t>
      </w:r>
    </w:p>
    <w:p>
      <w:pPr>
        <w:pStyle w:val="BodyText"/>
        <w:tabs>
          <w:tab w:pos="1993" w:val="left" w:leader="none"/>
          <w:tab w:pos="8902" w:val="left" w:leader="dot"/>
        </w:tabs>
        <w:spacing w:before="121"/>
        <w:ind w:left="745"/>
      </w:pPr>
      <w:r>
        <w:rPr/>
        <w:t>Figure</w:t>
      </w:r>
      <w:r>
        <w:rPr>
          <w:spacing w:val="-1"/>
        </w:rPr>
        <w:t> </w:t>
      </w:r>
      <w:r>
        <w:rPr/>
        <w:t>5.4.2</w:t>
        <w:tab/>
        <w:t>Decision tree to choose a good</w:t>
      </w:r>
      <w:r>
        <w:rPr>
          <w:spacing w:val="-10"/>
        </w:rPr>
        <w:t> </w:t>
      </w:r>
      <w:r>
        <w:rPr/>
        <w:t>practice</w:t>
      </w:r>
      <w:r>
        <w:rPr>
          <w:spacing w:val="-1"/>
        </w:rPr>
        <w:t> </w:t>
      </w:r>
      <w:r>
        <w:rPr/>
        <w:t>method</w:t>
        <w:tab/>
        <w:t>5.41</w:t>
      </w:r>
    </w:p>
    <w:p>
      <w:pPr>
        <w:pStyle w:val="BodyText"/>
        <w:tabs>
          <w:tab w:pos="1992" w:val="left" w:leader="none"/>
          <w:tab w:pos="8901" w:val="left" w:leader="dot"/>
        </w:tabs>
        <w:spacing w:before="118"/>
        <w:ind w:left="745"/>
      </w:pPr>
      <w:r>
        <w:rPr/>
        <w:t>Figure</w:t>
      </w:r>
      <w:r>
        <w:rPr>
          <w:spacing w:val="-2"/>
        </w:rPr>
        <w:t> </w:t>
      </w:r>
      <w:r>
        <w:rPr/>
        <w:t>5.4.3</w:t>
        <w:tab/>
        <w:t>Cumulative uncertainty plotted against</w:t>
      </w:r>
      <w:r>
        <w:rPr>
          <w:spacing w:val="-14"/>
        </w:rPr>
        <w:t> </w:t>
      </w:r>
      <w:r>
        <w:rPr/>
        <w:t>cumulative</w:t>
      </w:r>
      <w:r>
        <w:rPr>
          <w:spacing w:val="-3"/>
        </w:rPr>
        <w:t> </w:t>
      </w:r>
      <w:r>
        <w:rPr/>
        <w:t>emissions</w:t>
        <w:tab/>
        <w:t>5.43</w:t>
      </w:r>
    </w:p>
    <w:p>
      <w:pPr>
        <w:pStyle w:val="BodyText"/>
        <w:tabs>
          <w:tab w:pos="1993" w:val="left" w:leader="none"/>
        </w:tabs>
        <w:spacing w:before="120"/>
        <w:ind w:left="745"/>
      </w:pPr>
      <w:r>
        <w:rPr/>
        <w:t>Figure</w:t>
      </w:r>
      <w:r>
        <w:rPr>
          <w:spacing w:val="-1"/>
        </w:rPr>
        <w:t> </w:t>
      </w:r>
      <w:r>
        <w:rPr/>
        <w:t>5.4.4</w:t>
        <w:tab/>
        <w:t>Fraction of emissions required to reach 90% of sum of contribution</w:t>
      </w:r>
      <w:r>
        <w:rPr>
          <w:spacing w:val="-13"/>
        </w:rPr>
        <w:t> </w:t>
      </w:r>
      <w:r>
        <w:rPr/>
        <w:t>from</w:t>
      </w:r>
    </w:p>
    <w:p>
      <w:pPr>
        <w:pStyle w:val="BodyText"/>
        <w:tabs>
          <w:tab w:pos="8900" w:val="left" w:leader="dot"/>
        </w:tabs>
        <w:spacing w:before="1"/>
        <w:ind w:left="1993"/>
      </w:pPr>
      <w:r>
        <w:rPr/>
        <w:t>uncertainties in different inventories. With and</w:t>
      </w:r>
      <w:r>
        <w:rPr>
          <w:spacing w:val="-18"/>
        </w:rPr>
        <w:t> </w:t>
      </w:r>
      <w:r>
        <w:rPr/>
        <w:t>without</w:t>
      </w:r>
      <w:r>
        <w:rPr>
          <w:spacing w:val="-1"/>
        </w:rPr>
        <w:t> </w:t>
      </w:r>
      <w:r>
        <w:rPr/>
        <w:t>LULUCF</w:t>
        <w:tab/>
        <w:t>5.43</w:t>
      </w:r>
    </w:p>
    <w:p>
      <w:pPr>
        <w:pStyle w:val="BodyText"/>
        <w:tabs>
          <w:tab w:pos="1993" w:val="left" w:leader="none"/>
        </w:tabs>
        <w:spacing w:line="229" w:lineRule="exact" w:before="120"/>
        <w:ind w:left="745"/>
      </w:pPr>
      <w:r>
        <w:rPr/>
        <w:t>Figure</w:t>
      </w:r>
      <w:r>
        <w:rPr>
          <w:spacing w:val="-1"/>
        </w:rPr>
        <w:t> </w:t>
      </w:r>
      <w:r>
        <w:rPr/>
        <w:t>5.4.5</w:t>
        <w:tab/>
        <w:t>Fraction of emissions required to reach 90% of sum of contribution</w:t>
      </w:r>
      <w:r>
        <w:rPr>
          <w:spacing w:val="-13"/>
        </w:rPr>
        <w:t> </w:t>
      </w:r>
      <w:r>
        <w:rPr/>
        <w:t>from</w:t>
      </w:r>
    </w:p>
    <w:p>
      <w:pPr>
        <w:pStyle w:val="BodyText"/>
        <w:tabs>
          <w:tab w:pos="8900" w:val="left" w:leader="dot"/>
        </w:tabs>
        <w:spacing w:line="229" w:lineRule="exact"/>
        <w:ind w:left="1993"/>
      </w:pPr>
      <w:r>
        <w:rPr/>
        <w:t>trend uncertainty in different inventories. With and</w:t>
      </w:r>
      <w:r>
        <w:rPr>
          <w:spacing w:val="-24"/>
        </w:rPr>
        <w:t> </w:t>
      </w:r>
      <w:r>
        <w:rPr/>
        <w:t>without</w:t>
      </w:r>
      <w:r>
        <w:rPr>
          <w:spacing w:val="-1"/>
        </w:rPr>
        <w:t> </w:t>
      </w:r>
      <w:r>
        <w:rPr/>
        <w:t>LULUCF</w:t>
        <w:tab/>
        <w:t>5.44</w:t>
      </w:r>
    </w:p>
    <w:p>
      <w:pPr>
        <w:pStyle w:val="BodyText"/>
        <w:tabs>
          <w:tab w:pos="1993" w:val="left" w:leader="none"/>
          <w:tab w:pos="8903" w:val="left" w:leader="dot"/>
        </w:tabs>
        <w:spacing w:before="120"/>
        <w:ind w:left="745"/>
      </w:pPr>
      <w:r>
        <w:rPr/>
        <w:t>Figure</w:t>
      </w:r>
      <w:r>
        <w:rPr>
          <w:spacing w:val="-1"/>
        </w:rPr>
        <w:t> </w:t>
      </w:r>
      <w:r>
        <w:rPr/>
        <w:t>5.6.1</w:t>
        <w:tab/>
        <w:t>Recalculated estimate for 2003 based on</w:t>
      </w:r>
      <w:r>
        <w:rPr>
          <w:spacing w:val="-12"/>
        </w:rPr>
        <w:t> </w:t>
      </w:r>
      <w:r>
        <w:rPr/>
        <w:t>linear</w:t>
      </w:r>
      <w:r>
        <w:rPr>
          <w:spacing w:val="-2"/>
        </w:rPr>
        <w:t> </w:t>
      </w:r>
      <w:r>
        <w:rPr/>
        <w:t>extrapolation</w:t>
        <w:tab/>
        <w:t>5.59</w:t>
      </w:r>
    </w:p>
    <w:p>
      <w:pPr>
        <w:spacing w:after="0"/>
        <w:sectPr>
          <w:pgSz w:w="11900" w:h="16840"/>
          <w:pgMar w:header="230" w:footer="408" w:top="560" w:bottom="600" w:left="1240" w:right="0"/>
        </w:sectPr>
      </w:pPr>
    </w:p>
    <w:p>
      <w:pPr>
        <w:pStyle w:val="BodyText"/>
      </w:pPr>
    </w:p>
    <w:p>
      <w:pPr>
        <w:pStyle w:val="Heading2"/>
        <w:spacing w:before="215"/>
        <w:ind w:left="1892" w:right="3122" w:firstLine="0"/>
        <w:jc w:val="center"/>
      </w:pPr>
      <w:r>
        <w:rPr/>
        <w:t>Tables</w:t>
      </w:r>
    </w:p>
    <w:p>
      <w:pPr>
        <w:pStyle w:val="BodyText"/>
        <w:tabs>
          <w:tab w:pos="1992" w:val="left" w:leader="none"/>
          <w:tab w:pos="8901" w:val="left" w:leader="dot"/>
        </w:tabs>
        <w:spacing w:before="476"/>
        <w:ind w:left="745"/>
      </w:pPr>
      <w:r>
        <w:rPr/>
        <w:t>Table</w:t>
      </w:r>
      <w:r>
        <w:rPr>
          <w:spacing w:val="-3"/>
        </w:rPr>
        <w:t> </w:t>
      </w:r>
      <w:r>
        <w:rPr/>
        <w:t>5.3.1</w:t>
        <w:tab/>
        <w:t>Example of area estimation</w:t>
      </w:r>
      <w:r>
        <w:rPr>
          <w:spacing w:val="-10"/>
        </w:rPr>
        <w:t> </w:t>
      </w:r>
      <w:r>
        <w:rPr/>
        <w:t>via</w:t>
      </w:r>
      <w:r>
        <w:rPr>
          <w:spacing w:val="-1"/>
        </w:rPr>
        <w:t> </w:t>
      </w:r>
      <w:r>
        <w:rPr/>
        <w:t>proportions</w:t>
        <w:tab/>
        <w:t>5.25</w:t>
      </w:r>
    </w:p>
    <w:p>
      <w:pPr>
        <w:pStyle w:val="BodyText"/>
        <w:tabs>
          <w:tab w:pos="1992" w:val="left" w:leader="none"/>
          <w:tab w:pos="8901" w:val="left" w:leader="dot"/>
        </w:tabs>
        <w:spacing w:before="118"/>
        <w:ind w:left="745"/>
      </w:pPr>
      <w:r>
        <w:rPr/>
        <w:t>Table</w:t>
      </w:r>
      <w:r>
        <w:rPr>
          <w:spacing w:val="-3"/>
        </w:rPr>
        <w:t> </w:t>
      </w:r>
      <w:r>
        <w:rPr/>
        <w:t>5.4.1</w:t>
        <w:tab/>
        <w:t>Suggested IPCC source/sink categories for LUCF</w:t>
      </w:r>
      <w:r>
        <w:rPr>
          <w:spacing w:val="-19"/>
        </w:rPr>
        <w:t> </w:t>
      </w:r>
      <w:r>
        <w:rPr/>
        <w:t>and</w:t>
      </w:r>
      <w:r>
        <w:rPr>
          <w:spacing w:val="-2"/>
        </w:rPr>
        <w:t> </w:t>
      </w:r>
      <w:r>
        <w:rPr/>
        <w:t>non-LULUCF</w:t>
        <w:tab/>
        <w:t>5.31</w:t>
      </w:r>
    </w:p>
    <w:p>
      <w:pPr>
        <w:pStyle w:val="BodyText"/>
        <w:tabs>
          <w:tab w:pos="1992" w:val="left" w:leader="none"/>
        </w:tabs>
        <w:spacing w:before="120"/>
        <w:ind w:left="745"/>
      </w:pPr>
      <w:r>
        <w:rPr/>
        <w:t>Table</w:t>
      </w:r>
      <w:r>
        <w:rPr>
          <w:spacing w:val="-3"/>
        </w:rPr>
        <w:t> </w:t>
      </w:r>
      <w:r>
        <w:rPr/>
        <w:t>5.4.2</w:t>
        <w:tab/>
        <w:t>Spreadsheet for the Tier 1 analysis – Level assessment including</w:t>
      </w:r>
      <w:r>
        <w:rPr>
          <w:spacing w:val="1"/>
        </w:rPr>
        <w:t> </w:t>
      </w:r>
      <w:r>
        <w:rPr/>
        <w:t>LULUCF</w:t>
      </w:r>
    </w:p>
    <w:p>
      <w:pPr>
        <w:pStyle w:val="BodyText"/>
        <w:tabs>
          <w:tab w:pos="8898" w:val="left" w:leader="dot"/>
        </w:tabs>
        <w:spacing w:before="1"/>
        <w:ind w:left="1993"/>
      </w:pPr>
      <w:r>
        <w:rPr/>
        <w:t>categories</w:t>
        <w:tab/>
        <w:t>5.34</w:t>
      </w:r>
    </w:p>
    <w:p>
      <w:pPr>
        <w:pStyle w:val="BodyText"/>
        <w:tabs>
          <w:tab w:pos="1992" w:val="left" w:leader="none"/>
        </w:tabs>
        <w:spacing w:line="229" w:lineRule="exact" w:before="120"/>
        <w:ind w:left="745"/>
      </w:pPr>
      <w:r>
        <w:rPr/>
        <w:t>Table</w:t>
      </w:r>
      <w:r>
        <w:rPr>
          <w:spacing w:val="-3"/>
        </w:rPr>
        <w:t> </w:t>
      </w:r>
      <w:r>
        <w:rPr/>
        <w:t>5.4.3</w:t>
        <w:tab/>
        <w:t>Spreadsheet for the Tier 1 analysis – Trend assessment including</w:t>
      </w:r>
      <w:r>
        <w:rPr>
          <w:spacing w:val="1"/>
        </w:rPr>
        <w:t> </w:t>
      </w:r>
      <w:r>
        <w:rPr/>
        <w:t>LULUCF</w:t>
      </w:r>
    </w:p>
    <w:p>
      <w:pPr>
        <w:pStyle w:val="BodyText"/>
        <w:tabs>
          <w:tab w:pos="8898" w:val="left" w:leader="dot"/>
        </w:tabs>
        <w:spacing w:line="229" w:lineRule="exact"/>
        <w:ind w:left="1993"/>
      </w:pPr>
      <w:r>
        <w:rPr/>
        <w:t>categories</w:t>
        <w:tab/>
        <w:t>5.35</w:t>
      </w:r>
    </w:p>
    <w:p>
      <w:pPr>
        <w:pStyle w:val="BodyText"/>
        <w:tabs>
          <w:tab w:pos="1993" w:val="left" w:leader="none"/>
          <w:tab w:pos="8901" w:val="left" w:leader="dot"/>
        </w:tabs>
        <w:spacing w:before="120"/>
        <w:ind w:left="1993" w:right="1404" w:hanging="1248"/>
      </w:pPr>
      <w:r>
        <w:rPr/>
        <w:t>Table</w:t>
      </w:r>
      <w:r>
        <w:rPr>
          <w:spacing w:val="-3"/>
        </w:rPr>
        <w:t> </w:t>
      </w:r>
      <w:r>
        <w:rPr/>
        <w:t>5.4.4</w:t>
        <w:tab/>
        <w:t>Relationship between activities identified in Chapter 3 and Chapter 4 and IPCC source/sink categories</w:t>
      </w:r>
      <w:r>
        <w:rPr>
          <w:spacing w:val="-6"/>
        </w:rPr>
        <w:t> </w:t>
      </w:r>
      <w:r>
        <w:rPr/>
        <w:t>for</w:t>
      </w:r>
      <w:r>
        <w:rPr>
          <w:spacing w:val="-2"/>
        </w:rPr>
        <w:t> </w:t>
      </w:r>
      <w:r>
        <w:rPr/>
        <w:t>LULUCF</w:t>
        <w:tab/>
      </w:r>
      <w:r>
        <w:rPr>
          <w:spacing w:val="-4"/>
        </w:rPr>
        <w:t>5.39</w:t>
      </w:r>
    </w:p>
    <w:p>
      <w:pPr>
        <w:pStyle w:val="BodyText"/>
        <w:tabs>
          <w:tab w:pos="1992" w:val="left" w:leader="none"/>
          <w:tab w:pos="8898" w:val="left" w:leader="dot"/>
        </w:tabs>
        <w:spacing w:before="121"/>
        <w:ind w:left="745"/>
      </w:pPr>
      <w:r>
        <w:rPr/>
        <w:t>Table</w:t>
      </w:r>
      <w:r>
        <w:rPr>
          <w:spacing w:val="-3"/>
        </w:rPr>
        <w:t> </w:t>
      </w:r>
      <w:r>
        <w:rPr/>
        <w:t>5.4.5</w:t>
        <w:tab/>
        <w:t>Key category</w:t>
      </w:r>
      <w:r>
        <w:rPr>
          <w:spacing w:val="-10"/>
        </w:rPr>
        <w:t> </w:t>
      </w:r>
      <w:r>
        <w:rPr/>
        <w:t>analysis</w:t>
      </w:r>
      <w:r>
        <w:rPr>
          <w:spacing w:val="-1"/>
        </w:rPr>
        <w:t> </w:t>
      </w:r>
      <w:r>
        <w:rPr/>
        <w:t>summary</w:t>
        <w:tab/>
        <w:t>5.42</w:t>
      </w:r>
    </w:p>
    <w:p>
      <w:pPr>
        <w:pStyle w:val="BodyText"/>
        <w:tabs>
          <w:tab w:pos="1992" w:val="left" w:leader="none"/>
          <w:tab w:pos="8902" w:val="left" w:leader="dot"/>
        </w:tabs>
        <w:spacing w:before="118"/>
        <w:ind w:left="745"/>
      </w:pPr>
      <w:r>
        <w:rPr/>
        <w:t>Table</w:t>
      </w:r>
      <w:r>
        <w:rPr>
          <w:spacing w:val="-3"/>
        </w:rPr>
        <w:t> </w:t>
      </w:r>
      <w:r>
        <w:rPr/>
        <w:t>5.4.6</w:t>
        <w:tab/>
        <w:t>Assumed uncertainties to determine a key category threshold</w:t>
      </w:r>
      <w:r>
        <w:rPr>
          <w:spacing w:val="-26"/>
        </w:rPr>
        <w:t> </w:t>
      </w:r>
      <w:r>
        <w:rPr/>
        <w:t>including</w:t>
      </w:r>
      <w:r>
        <w:rPr>
          <w:spacing w:val="-1"/>
        </w:rPr>
        <w:t> </w:t>
      </w:r>
      <w:r>
        <w:rPr/>
        <w:t>LULUCF</w:t>
        <w:tab/>
        <w:t>5.42</w:t>
      </w:r>
    </w:p>
    <w:p>
      <w:pPr>
        <w:pStyle w:val="BodyText"/>
        <w:tabs>
          <w:tab w:pos="1992" w:val="left" w:leader="none"/>
          <w:tab w:pos="8900" w:val="left" w:leader="dot"/>
        </w:tabs>
        <w:spacing w:before="121"/>
        <w:ind w:left="745"/>
      </w:pPr>
      <w:r>
        <w:rPr/>
        <w:t>Table</w:t>
      </w:r>
      <w:r>
        <w:rPr>
          <w:spacing w:val="-3"/>
        </w:rPr>
        <w:t> </w:t>
      </w:r>
      <w:r>
        <w:rPr/>
        <w:t>5.4.7</w:t>
        <w:tab/>
        <w:t>Example of a level assessment for an Annex</w:t>
      </w:r>
      <w:r>
        <w:rPr>
          <w:spacing w:val="-14"/>
        </w:rPr>
        <w:t> </w:t>
      </w:r>
      <w:r>
        <w:rPr/>
        <w:t>I</w:t>
      </w:r>
      <w:r>
        <w:rPr>
          <w:spacing w:val="-2"/>
        </w:rPr>
        <w:t> </w:t>
      </w:r>
      <w:r>
        <w:rPr/>
        <w:t>country</w:t>
        <w:tab/>
        <w:t>5.45</w:t>
      </w:r>
    </w:p>
    <w:p>
      <w:pPr>
        <w:pStyle w:val="BodyText"/>
        <w:tabs>
          <w:tab w:pos="1992" w:val="left" w:leader="none"/>
          <w:tab w:pos="8898" w:val="left" w:leader="dot"/>
        </w:tabs>
        <w:spacing w:before="120"/>
        <w:ind w:left="745"/>
      </w:pPr>
      <w:r>
        <w:rPr/>
        <w:t>Table</w:t>
      </w:r>
      <w:r>
        <w:rPr>
          <w:spacing w:val="-3"/>
        </w:rPr>
        <w:t> </w:t>
      </w:r>
      <w:r>
        <w:rPr/>
        <w:t>5.4.8</w:t>
        <w:tab/>
        <w:t>Trend analysis</w:t>
      </w:r>
      <w:r>
        <w:rPr>
          <w:spacing w:val="-4"/>
        </w:rPr>
        <w:t> </w:t>
      </w:r>
      <w:r>
        <w:rPr/>
        <w:t>with</w:t>
      </w:r>
      <w:r>
        <w:rPr>
          <w:spacing w:val="-1"/>
        </w:rPr>
        <w:t> </w:t>
      </w:r>
      <w:r>
        <w:rPr/>
        <w:t>LULUCFs</w:t>
        <w:tab/>
        <w:t>5.47</w:t>
      </w:r>
    </w:p>
    <w:p>
      <w:pPr>
        <w:pStyle w:val="BodyText"/>
        <w:tabs>
          <w:tab w:pos="1992" w:val="left" w:leader="none"/>
          <w:tab w:pos="8900" w:val="left" w:leader="dot"/>
        </w:tabs>
        <w:spacing w:before="120"/>
        <w:ind w:left="745"/>
      </w:pPr>
      <w:r>
        <w:rPr/>
        <w:t>Table</w:t>
      </w:r>
      <w:r>
        <w:rPr>
          <w:spacing w:val="-3"/>
        </w:rPr>
        <w:t> </w:t>
      </w:r>
      <w:r>
        <w:rPr/>
        <w:t>5.5.1</w:t>
        <w:tab/>
        <w:t>Tier 1 general inventory level</w:t>
      </w:r>
      <w:r>
        <w:rPr>
          <w:spacing w:val="-13"/>
        </w:rPr>
        <w:t> </w:t>
      </w:r>
      <w:r>
        <w:rPr/>
        <w:t>QC</w:t>
      </w:r>
      <w:r>
        <w:rPr>
          <w:spacing w:val="-3"/>
        </w:rPr>
        <w:t> </w:t>
      </w:r>
      <w:r>
        <w:rPr/>
        <w:t>procedures</w:t>
        <w:tab/>
        <w:t>5.51</w:t>
      </w:r>
    </w:p>
    <w:p>
      <w:pPr>
        <w:pStyle w:val="BodyText"/>
        <w:tabs>
          <w:tab w:pos="1992" w:val="left" w:leader="none"/>
          <w:tab w:pos="8899" w:val="left" w:leader="dot"/>
        </w:tabs>
        <w:spacing w:before="119"/>
        <w:ind w:left="745"/>
      </w:pPr>
      <w:r>
        <w:rPr/>
        <w:t>Table</w:t>
      </w:r>
      <w:r>
        <w:rPr>
          <w:spacing w:val="-3"/>
        </w:rPr>
        <w:t> </w:t>
      </w:r>
      <w:r>
        <w:rPr/>
        <w:t>5.6.1</w:t>
        <w:tab/>
        <w:t>Summary of approaches to obtain consistency in</w:t>
      </w:r>
      <w:r>
        <w:rPr>
          <w:spacing w:val="-21"/>
        </w:rPr>
        <w:t> </w:t>
      </w:r>
      <w:r>
        <w:rPr/>
        <w:t>time</w:t>
      </w:r>
      <w:r>
        <w:rPr>
          <w:spacing w:val="-2"/>
        </w:rPr>
        <w:t> </w:t>
      </w:r>
      <w:r>
        <w:rPr/>
        <w:t>series</w:t>
        <w:tab/>
        <w:t>5.57</w:t>
      </w:r>
    </w:p>
    <w:p>
      <w:pPr>
        <w:pStyle w:val="BodyText"/>
        <w:tabs>
          <w:tab w:pos="1993" w:val="left" w:leader="none"/>
        </w:tabs>
        <w:spacing w:before="120"/>
        <w:ind w:left="745"/>
      </w:pPr>
      <w:r>
        <w:rPr/>
        <w:t>Table</w:t>
      </w:r>
      <w:r>
        <w:rPr>
          <w:spacing w:val="-3"/>
        </w:rPr>
        <w:t> </w:t>
      </w:r>
      <w:r>
        <w:rPr/>
        <w:t>5.7.1</w:t>
        <w:tab/>
        <w:t>Applicability of verification approaches for land area identification and for</w:t>
      </w:r>
      <w:r>
        <w:rPr>
          <w:spacing w:val="-1"/>
        </w:rPr>
        <w:t> </w:t>
      </w:r>
      <w:r>
        <w:rPr/>
        <w:t>carbon</w:t>
      </w:r>
    </w:p>
    <w:p>
      <w:pPr>
        <w:pStyle w:val="BodyText"/>
        <w:tabs>
          <w:tab w:pos="8900" w:val="left" w:leader="dot"/>
        </w:tabs>
        <w:ind w:left="1993"/>
      </w:pPr>
      <w:r>
        <w:rPr/>
        <w:t>pools and non-CO</w:t>
      </w:r>
      <w:r>
        <w:rPr>
          <w:vertAlign w:val="subscript"/>
        </w:rPr>
        <w:t>2</w:t>
      </w:r>
      <w:r>
        <w:rPr>
          <w:spacing w:val="-8"/>
          <w:vertAlign w:val="baseline"/>
        </w:rPr>
        <w:t> </w:t>
      </w:r>
      <w:r>
        <w:rPr>
          <w:vertAlign w:val="baseline"/>
        </w:rPr>
        <w:t>greenhouse</w:t>
      </w:r>
      <w:r>
        <w:rPr>
          <w:spacing w:val="-2"/>
          <w:vertAlign w:val="baseline"/>
        </w:rPr>
        <w:t> </w:t>
      </w:r>
      <w:r>
        <w:rPr>
          <w:vertAlign w:val="baseline"/>
        </w:rPr>
        <w:t>gases</w:t>
        <w:tab/>
        <w:t>5.63</w:t>
      </w:r>
    </w:p>
    <w:p>
      <w:pPr>
        <w:pStyle w:val="BodyText"/>
        <w:tabs>
          <w:tab w:pos="1992" w:val="left" w:leader="none"/>
          <w:tab w:pos="8901" w:val="left" w:leader="dot"/>
        </w:tabs>
        <w:spacing w:before="121"/>
        <w:ind w:left="745"/>
      </w:pPr>
      <w:r>
        <w:rPr/>
        <w:t>Table</w:t>
      </w:r>
      <w:r>
        <w:rPr>
          <w:spacing w:val="-3"/>
        </w:rPr>
        <w:t> </w:t>
      </w:r>
      <w:r>
        <w:rPr/>
        <w:t>5.7.2</w:t>
        <w:tab/>
        <w:t>Features of some of the main remote</w:t>
      </w:r>
      <w:r>
        <w:rPr>
          <w:spacing w:val="-13"/>
        </w:rPr>
        <w:t> </w:t>
      </w:r>
      <w:r>
        <w:rPr/>
        <w:t>sensing</w:t>
      </w:r>
      <w:r>
        <w:rPr>
          <w:spacing w:val="-3"/>
        </w:rPr>
        <w:t> </w:t>
      </w:r>
      <w:r>
        <w:rPr/>
        <w:t>platforms</w:t>
        <w:tab/>
        <w:t>5.76</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3"/>
        <w:rPr>
          <w:sz w:val="26"/>
        </w:rPr>
      </w:pPr>
    </w:p>
    <w:p>
      <w:pPr>
        <w:spacing w:before="0"/>
        <w:ind w:left="1892" w:right="3119" w:firstLine="0"/>
        <w:jc w:val="center"/>
        <w:rPr>
          <w:b/>
          <w:sz w:val="32"/>
        </w:rPr>
      </w:pPr>
      <w:r>
        <w:rPr>
          <w:b/>
          <w:sz w:val="32"/>
        </w:rPr>
        <w:t>Boxes</w:t>
      </w:r>
    </w:p>
    <w:p>
      <w:pPr>
        <w:pStyle w:val="BodyText"/>
        <w:tabs>
          <w:tab w:pos="1991" w:val="left" w:leader="none"/>
          <w:tab w:pos="9000" w:val="left" w:leader="dot"/>
        </w:tabs>
        <w:spacing w:before="474"/>
        <w:ind w:left="745"/>
      </w:pPr>
      <w:r>
        <w:rPr/>
        <w:t>Box</w:t>
      </w:r>
      <w:r>
        <w:rPr>
          <w:spacing w:val="-3"/>
        </w:rPr>
        <w:t> </w:t>
      </w:r>
      <w:r>
        <w:rPr/>
        <w:t>5.2.1</w:t>
        <w:tab/>
        <w:t>Example of</w:t>
      </w:r>
      <w:r>
        <w:rPr>
          <w:spacing w:val="-6"/>
        </w:rPr>
        <w:t> </w:t>
      </w:r>
      <w:r>
        <w:rPr/>
        <w:t>uncertainty</w:t>
      </w:r>
      <w:r>
        <w:rPr>
          <w:spacing w:val="-6"/>
        </w:rPr>
        <w:t> </w:t>
      </w:r>
      <w:r>
        <w:rPr/>
        <w:t>expression</w:t>
        <w:tab/>
        <w:t>5.9</w:t>
      </w:r>
    </w:p>
    <w:p>
      <w:pPr>
        <w:pStyle w:val="BodyText"/>
        <w:tabs>
          <w:tab w:pos="1990" w:val="left" w:leader="none"/>
          <w:tab w:pos="8899" w:val="left" w:leader="dot"/>
        </w:tabs>
        <w:spacing w:before="120"/>
        <w:ind w:left="745"/>
      </w:pPr>
      <w:r>
        <w:rPr/>
        <w:t>Box</w:t>
      </w:r>
      <w:r>
        <w:rPr>
          <w:spacing w:val="-3"/>
        </w:rPr>
        <w:t> </w:t>
      </w:r>
      <w:r>
        <w:rPr/>
        <w:t>5.2.2</w:t>
        <w:tab/>
        <w:t>Level of aggregation of the Tier</w:t>
      </w:r>
      <w:r>
        <w:rPr>
          <w:spacing w:val="-12"/>
        </w:rPr>
        <w:t> </w:t>
      </w:r>
      <w:r>
        <w:rPr/>
        <w:t>1</w:t>
      </w:r>
      <w:r>
        <w:rPr>
          <w:spacing w:val="-1"/>
        </w:rPr>
        <w:t> </w:t>
      </w:r>
      <w:r>
        <w:rPr/>
        <w:t>analysis</w:t>
        <w:tab/>
        <w:t>5.11</w:t>
      </w:r>
    </w:p>
    <w:p>
      <w:pPr>
        <w:pStyle w:val="BodyText"/>
        <w:tabs>
          <w:tab w:pos="1990" w:val="left" w:leader="none"/>
          <w:tab w:pos="8899" w:val="left" w:leader="dot"/>
        </w:tabs>
        <w:spacing w:before="120"/>
        <w:ind w:left="745"/>
      </w:pPr>
      <w:r>
        <w:rPr/>
        <w:t>Box</w:t>
      </w:r>
      <w:r>
        <w:rPr>
          <w:spacing w:val="-3"/>
        </w:rPr>
        <w:t> </w:t>
      </w:r>
      <w:r>
        <w:rPr/>
        <w:t>5.2.3</w:t>
        <w:tab/>
        <w:t>Tier 2 uncertainty assessment for changes in agricultural soil C in</w:t>
      </w:r>
      <w:r>
        <w:rPr>
          <w:spacing w:val="-25"/>
        </w:rPr>
        <w:t> </w:t>
      </w:r>
      <w:r>
        <w:rPr/>
        <w:t>the</w:t>
      </w:r>
      <w:r>
        <w:rPr>
          <w:spacing w:val="-2"/>
        </w:rPr>
        <w:t> </w:t>
      </w:r>
      <w:r>
        <w:rPr/>
        <w:t>U.S.A</w:t>
        <w:tab/>
        <w:t>5.14</w:t>
      </w:r>
    </w:p>
    <w:p>
      <w:pPr>
        <w:pStyle w:val="BodyText"/>
        <w:tabs>
          <w:tab w:pos="1990" w:val="left" w:leader="none"/>
          <w:tab w:pos="8900" w:val="left" w:leader="dot"/>
        </w:tabs>
        <w:spacing w:before="121"/>
        <w:ind w:left="745"/>
      </w:pPr>
      <w:r>
        <w:rPr/>
        <w:t>Box</w:t>
      </w:r>
      <w:r>
        <w:rPr>
          <w:spacing w:val="-3"/>
        </w:rPr>
        <w:t> </w:t>
      </w:r>
      <w:r>
        <w:rPr/>
        <w:t>5.2.4</w:t>
        <w:tab/>
        <w:t>Uncertainties of estimates based</w:t>
      </w:r>
      <w:r>
        <w:rPr>
          <w:spacing w:val="-10"/>
        </w:rPr>
        <w:t> </w:t>
      </w:r>
      <w:r>
        <w:rPr/>
        <w:t>on</w:t>
      </w:r>
      <w:r>
        <w:rPr>
          <w:spacing w:val="-1"/>
        </w:rPr>
        <w:t> </w:t>
      </w:r>
      <w:r>
        <w:rPr/>
        <w:t>models</w:t>
        <w:tab/>
        <w:t>5.16</w:t>
      </w:r>
    </w:p>
    <w:p>
      <w:pPr>
        <w:pStyle w:val="BodyText"/>
        <w:tabs>
          <w:tab w:pos="1992" w:val="left" w:leader="none"/>
          <w:tab w:pos="8899" w:val="left" w:leader="dot"/>
        </w:tabs>
        <w:spacing w:before="118"/>
        <w:ind w:left="745"/>
      </w:pPr>
      <w:r>
        <w:rPr/>
        <w:t>Box</w:t>
      </w:r>
      <w:r>
        <w:rPr>
          <w:spacing w:val="-2"/>
        </w:rPr>
        <w:t> </w:t>
      </w:r>
      <w:r>
        <w:rPr/>
        <w:t>5.5.1</w:t>
        <w:tab/>
        <w:t>Definitions of Quality Assurance and</w:t>
      </w:r>
      <w:r>
        <w:rPr>
          <w:spacing w:val="-13"/>
        </w:rPr>
        <w:t> </w:t>
      </w:r>
      <w:r>
        <w:rPr/>
        <w:t>Quality</w:t>
      </w:r>
      <w:r>
        <w:rPr>
          <w:spacing w:val="-3"/>
        </w:rPr>
        <w:t> </w:t>
      </w:r>
      <w:r>
        <w:rPr/>
        <w:t>Control</w:t>
        <w:tab/>
        <w:t>5.49</w:t>
      </w:r>
    </w:p>
    <w:p>
      <w:pPr>
        <w:pStyle w:val="BodyText"/>
        <w:tabs>
          <w:tab w:pos="1991" w:val="left" w:leader="none"/>
          <w:tab w:pos="8899" w:val="left" w:leader="dot"/>
        </w:tabs>
        <w:spacing w:before="120"/>
        <w:ind w:left="745"/>
      </w:pPr>
      <w:r>
        <w:rPr/>
        <w:t>Box</w:t>
      </w:r>
      <w:r>
        <w:rPr>
          <w:spacing w:val="-3"/>
        </w:rPr>
        <w:t> </w:t>
      </w:r>
      <w:r>
        <w:rPr/>
        <w:t>5.5.2</w:t>
        <w:tab/>
        <w:t>Expert</w:t>
      </w:r>
      <w:r>
        <w:rPr>
          <w:spacing w:val="-1"/>
        </w:rPr>
        <w:t> </w:t>
      </w:r>
      <w:r>
        <w:rPr/>
        <w:t>peer</w:t>
      </w:r>
      <w:r>
        <w:rPr>
          <w:spacing w:val="-1"/>
        </w:rPr>
        <w:t> </w:t>
      </w:r>
      <w:r>
        <w:rPr/>
        <w:t>review</w:t>
        <w:tab/>
        <w:t>5.54</w:t>
      </w:r>
    </w:p>
    <w:p>
      <w:pPr>
        <w:pStyle w:val="BodyText"/>
        <w:tabs>
          <w:tab w:pos="1991" w:val="left" w:leader="none"/>
          <w:tab w:pos="8900" w:val="left" w:leader="dot"/>
        </w:tabs>
        <w:spacing w:before="121"/>
        <w:ind w:left="745"/>
      </w:pPr>
      <w:r>
        <w:rPr/>
        <w:t>Box</w:t>
      </w:r>
      <w:r>
        <w:rPr>
          <w:spacing w:val="-3"/>
        </w:rPr>
        <w:t> </w:t>
      </w:r>
      <w:r>
        <w:rPr/>
        <w:t>5.6.1</w:t>
        <w:tab/>
        <w:t>Example case where a national forest inventory is conducted very</w:t>
      </w:r>
      <w:r>
        <w:rPr>
          <w:spacing w:val="-25"/>
        </w:rPr>
        <w:t> </w:t>
      </w:r>
      <w:r>
        <w:rPr/>
        <w:t>5 years</w:t>
        <w:tab/>
        <w:t>5.58</w:t>
      </w:r>
    </w:p>
    <w:p>
      <w:pPr>
        <w:pStyle w:val="BodyText"/>
        <w:tabs>
          <w:tab w:pos="1991" w:val="left" w:leader="none"/>
          <w:tab w:pos="8900" w:val="left" w:leader="dot"/>
        </w:tabs>
        <w:spacing w:before="120"/>
        <w:ind w:left="745"/>
      </w:pPr>
      <w:r>
        <w:rPr/>
        <w:t>Box</w:t>
      </w:r>
      <w:r>
        <w:rPr>
          <w:spacing w:val="-3"/>
        </w:rPr>
        <w:t> </w:t>
      </w:r>
      <w:r>
        <w:rPr/>
        <w:t>5.6.2</w:t>
        <w:tab/>
        <w:t>Example of modelling the emissions of a site</w:t>
      </w:r>
      <w:r>
        <w:rPr>
          <w:spacing w:val="-16"/>
        </w:rPr>
        <w:t> </w:t>
      </w:r>
      <w:r>
        <w:rPr/>
        <w:t>over</w:t>
      </w:r>
      <w:r>
        <w:rPr>
          <w:spacing w:val="-1"/>
        </w:rPr>
        <w:t> </w:t>
      </w:r>
      <w:r>
        <w:rPr/>
        <w:t>time</w:t>
        <w:tab/>
        <w:t>5.59</w:t>
      </w:r>
    </w:p>
    <w:p>
      <w:pPr>
        <w:pStyle w:val="BodyText"/>
        <w:tabs>
          <w:tab w:pos="1992" w:val="left" w:leader="none"/>
          <w:tab w:pos="8903" w:val="left" w:leader="dot"/>
        </w:tabs>
        <w:spacing w:before="118"/>
        <w:ind w:left="745"/>
      </w:pPr>
      <w:r>
        <w:rPr/>
        <w:t>Box</w:t>
      </w:r>
      <w:r>
        <w:rPr>
          <w:spacing w:val="-2"/>
        </w:rPr>
        <w:t> </w:t>
      </w:r>
      <w:r>
        <w:rPr/>
        <w:t>5.7.1</w:t>
        <w:tab/>
        <w:t>Definition of verification for</w:t>
      </w:r>
      <w:r>
        <w:rPr>
          <w:spacing w:val="-11"/>
        </w:rPr>
        <w:t> </w:t>
      </w:r>
      <w:r>
        <w:rPr/>
        <w:t>the</w:t>
      </w:r>
      <w:r>
        <w:rPr>
          <w:spacing w:val="-1"/>
        </w:rPr>
        <w:t> </w:t>
      </w:r>
      <w:r>
        <w:rPr/>
        <w:t>inventory</w:t>
        <w:tab/>
        <w:t>5.61</w:t>
      </w:r>
    </w:p>
    <w:p>
      <w:pPr>
        <w:pStyle w:val="BodyText"/>
        <w:tabs>
          <w:tab w:pos="1992" w:val="left" w:leader="none"/>
        </w:tabs>
        <w:spacing w:before="121"/>
        <w:ind w:left="745"/>
      </w:pPr>
      <w:r>
        <w:rPr/>
        <w:t>Box</w:t>
      </w:r>
      <w:r>
        <w:rPr>
          <w:spacing w:val="-2"/>
        </w:rPr>
        <w:t> </w:t>
      </w:r>
      <w:r>
        <w:rPr/>
        <w:t>5.7.2</w:t>
        <w:tab/>
        <w:t>Guidance for selecting inventory components for verification</w:t>
      </w:r>
      <w:r>
        <w:rPr>
          <w:spacing w:val="-5"/>
        </w:rPr>
        <w:t> </w:t>
      </w:r>
      <w:r>
        <w:rPr/>
        <w:t>and</w:t>
      </w:r>
    </w:p>
    <w:p>
      <w:pPr>
        <w:pStyle w:val="BodyText"/>
        <w:tabs>
          <w:tab w:pos="8899" w:val="left" w:leader="dot"/>
        </w:tabs>
        <w:ind w:left="1993"/>
      </w:pPr>
      <w:r>
        <w:rPr/>
        <w:t>verification</w:t>
      </w:r>
      <w:r>
        <w:rPr>
          <w:spacing w:val="-5"/>
        </w:rPr>
        <w:t> </w:t>
      </w:r>
      <w:r>
        <w:rPr/>
        <w:t>approaches</w:t>
        <w:tab/>
        <w:t>5.69</w:t>
      </w:r>
    </w:p>
    <w:p>
      <w:pPr>
        <w:pStyle w:val="BodyText"/>
        <w:tabs>
          <w:tab w:pos="1990" w:val="left" w:leader="none"/>
          <w:tab w:pos="8900" w:val="left" w:leader="dot"/>
        </w:tabs>
        <w:spacing w:before="120"/>
        <w:ind w:left="745"/>
      </w:pPr>
      <w:r>
        <w:rPr/>
        <w:t>Box</w:t>
      </w:r>
      <w:r>
        <w:rPr>
          <w:spacing w:val="-3"/>
        </w:rPr>
        <w:t> </w:t>
      </w:r>
      <w:r>
        <w:rPr/>
        <w:t>5.7.3</w:t>
        <w:tab/>
        <w:t>Verification of LULUCF Sector in a</w:t>
      </w:r>
      <w:r>
        <w:rPr>
          <w:spacing w:val="-11"/>
        </w:rPr>
        <w:t> </w:t>
      </w:r>
      <w:r>
        <w:rPr/>
        <w:t>National Inventory</w:t>
        <w:tab/>
        <w:t>5.70</w:t>
      </w:r>
    </w:p>
    <w:p>
      <w:pPr>
        <w:pStyle w:val="BodyText"/>
        <w:tabs>
          <w:tab w:pos="1992" w:val="left" w:leader="none"/>
          <w:tab w:pos="8901" w:val="left" w:leader="dot"/>
        </w:tabs>
        <w:spacing w:before="118"/>
        <w:ind w:left="745"/>
      </w:pPr>
      <w:r>
        <w:rPr/>
        <w:t>Box</w:t>
      </w:r>
      <w:r>
        <w:rPr>
          <w:spacing w:val="-2"/>
        </w:rPr>
        <w:t> </w:t>
      </w:r>
      <w:r>
        <w:rPr/>
        <w:t>5.7.4</w:t>
        <w:tab/>
        <w:t>Guidance for verifying carbon pools</w:t>
      </w:r>
      <w:r>
        <w:rPr>
          <w:spacing w:val="-14"/>
        </w:rPr>
        <w:t> </w:t>
      </w:r>
      <w:r>
        <w:rPr/>
        <w:t>and</w:t>
      </w:r>
      <w:r>
        <w:rPr>
          <w:spacing w:val="-2"/>
        </w:rPr>
        <w:t> </w:t>
      </w:r>
      <w:r>
        <w:rPr/>
        <w:t>activities</w:t>
        <w:tab/>
        <w:t>5.71</w:t>
      </w:r>
    </w:p>
    <w:p>
      <w:pPr>
        <w:pStyle w:val="BodyText"/>
        <w:tabs>
          <w:tab w:pos="1991" w:val="left" w:leader="none"/>
          <w:tab w:pos="8901" w:val="left" w:leader="dot"/>
        </w:tabs>
        <w:spacing w:before="121"/>
        <w:ind w:left="745"/>
      </w:pPr>
      <w:r>
        <w:rPr/>
        <w:t>Box</w:t>
      </w:r>
      <w:r>
        <w:rPr>
          <w:spacing w:val="-3"/>
        </w:rPr>
        <w:t> </w:t>
      </w:r>
      <w:r>
        <w:rPr/>
        <w:t>5.7.5</w:t>
        <w:tab/>
        <w:t>Verification of LULUCF under the</w:t>
      </w:r>
      <w:r>
        <w:rPr>
          <w:spacing w:val="-10"/>
        </w:rPr>
        <w:t> </w:t>
      </w:r>
      <w:r>
        <w:rPr/>
        <w:t>Kyoto</w:t>
      </w:r>
      <w:r>
        <w:rPr>
          <w:spacing w:val="-2"/>
        </w:rPr>
        <w:t> </w:t>
      </w:r>
      <w:r>
        <w:rPr/>
        <w:t>Protocol</w:t>
        <w:tab/>
        <w:t>5.72</w:t>
      </w:r>
    </w:p>
    <w:p>
      <w:pPr>
        <w:pStyle w:val="BodyText"/>
        <w:tabs>
          <w:tab w:pos="1990" w:val="left" w:leader="none"/>
          <w:tab w:pos="8898" w:val="left" w:leader="dot"/>
        </w:tabs>
        <w:spacing w:before="120"/>
        <w:ind w:left="745"/>
      </w:pPr>
      <w:r>
        <w:rPr/>
        <w:t>Box</w:t>
      </w:r>
      <w:r>
        <w:rPr>
          <w:spacing w:val="-3"/>
        </w:rPr>
        <w:t> </w:t>
      </w:r>
      <w:r>
        <w:rPr/>
        <w:t>5.7.6</w:t>
        <w:tab/>
        <w:t>Programs/networks relevant</w:t>
      </w:r>
      <w:r>
        <w:rPr>
          <w:spacing w:val="-9"/>
        </w:rPr>
        <w:t> </w:t>
      </w:r>
      <w:r>
        <w:rPr/>
        <w:t>to LULUCF</w:t>
        <w:tab/>
        <w:t>5.73</w:t>
      </w:r>
    </w:p>
    <w:p>
      <w:pPr>
        <w:spacing w:after="0"/>
        <w:sectPr>
          <w:pgSz w:w="11900" w:h="16840"/>
          <w:pgMar w:header="230" w:footer="408" w:top="560" w:bottom="600" w:left="1240" w:right="0"/>
        </w:sectPr>
      </w:pPr>
    </w:p>
    <w:p>
      <w:pPr>
        <w:pStyle w:val="BodyText"/>
        <w:rPr>
          <w:sz w:val="34"/>
        </w:rPr>
      </w:pPr>
    </w:p>
    <w:p>
      <w:pPr>
        <w:pStyle w:val="Heading2"/>
        <w:numPr>
          <w:ilvl w:val="1"/>
          <w:numId w:val="173"/>
        </w:numPr>
        <w:tabs>
          <w:tab w:pos="1381" w:val="left" w:leader="none"/>
          <w:tab w:pos="1382" w:val="left" w:leader="none"/>
        </w:tabs>
        <w:spacing w:line="240" w:lineRule="auto" w:before="294" w:after="0"/>
        <w:ind w:left="1381" w:right="0" w:hanging="1202"/>
        <w:jc w:val="left"/>
      </w:pPr>
      <w:bookmarkStart w:name="_TOC_250054" w:id="1"/>
      <w:bookmarkEnd w:id="1"/>
      <w:r>
        <w:rPr>
          <w:spacing w:val="20"/>
        </w:rPr>
        <w:t>INTRODUCTION</w:t>
      </w:r>
    </w:p>
    <w:p>
      <w:pPr>
        <w:pStyle w:val="BodyText"/>
        <w:spacing w:before="176"/>
        <w:ind w:left="179" w:right="1405"/>
        <w:jc w:val="both"/>
      </w:pPr>
      <w:r>
        <w:rPr/>
        <w:t>Several general or cross-cutting issues need to be considered when preparing national greenhouse gas inventories of emissions and removals. This chapter provides </w:t>
      </w:r>
      <w:r>
        <w:rPr>
          <w:i/>
        </w:rPr>
        <w:t>good practice guidance </w:t>
      </w:r>
      <w:r>
        <w:rPr/>
        <w:t>on six such issues identified in the Good Practice Guidance and Uncertainty Management in National Greenhouse Gas Inventories (</w:t>
      </w:r>
      <w:r>
        <w:rPr>
          <w:i/>
        </w:rPr>
        <w:t>GPG2000</w:t>
      </w:r>
      <w:r>
        <w:rPr/>
        <w:t>, IPCC, 2000), building on the previous discussion to take into account the specific characteristics of the land use, land-use change and forestry (LULUCF) sector. The six issues are:</w:t>
      </w:r>
    </w:p>
    <w:p>
      <w:pPr>
        <w:pStyle w:val="ListParagraph"/>
        <w:numPr>
          <w:ilvl w:val="0"/>
          <w:numId w:val="117"/>
        </w:numPr>
        <w:tabs>
          <w:tab w:pos="540" w:val="left" w:leader="none"/>
        </w:tabs>
        <w:spacing w:line="237" w:lineRule="auto" w:before="133" w:after="0"/>
        <w:ind w:left="539" w:right="1403" w:hanging="360"/>
        <w:jc w:val="both"/>
        <w:rPr>
          <w:sz w:val="20"/>
        </w:rPr>
      </w:pPr>
      <w:r>
        <w:rPr>
          <w:sz w:val="20"/>
        </w:rPr>
        <w:t>Uncertainty Assessment: Estimates of uncertainty need to be developed for all categories in an inventory and for the inventory as a whole. </w:t>
      </w:r>
      <w:r>
        <w:rPr>
          <w:i/>
          <w:sz w:val="20"/>
        </w:rPr>
        <w:t>GPG2000 </w:t>
      </w:r>
      <w:r>
        <w:rPr>
          <w:sz w:val="20"/>
        </w:rPr>
        <w:t>provides practical guidance for estimating and combining uncertainties, along with a discussion of the conceptual underpinnings of inventory uncertainty. Section 5.2, Identifying and Quantifying Uncertainties, of this chapter, discusses the key types of uncertainty in the LULUCF sector and provides specific information on how to apply the </w:t>
      </w:r>
      <w:r>
        <w:rPr>
          <w:i/>
          <w:sz w:val="20"/>
        </w:rPr>
        <w:t>good practice guidance </w:t>
      </w:r>
      <w:r>
        <w:rPr>
          <w:sz w:val="20"/>
        </w:rPr>
        <w:t>of </w:t>
      </w:r>
      <w:r>
        <w:rPr>
          <w:i/>
          <w:sz w:val="20"/>
        </w:rPr>
        <w:t>GPG2000 </w:t>
      </w:r>
      <w:r>
        <w:rPr>
          <w:sz w:val="20"/>
        </w:rPr>
        <w:t>to this sector.</w:t>
      </w:r>
    </w:p>
    <w:p>
      <w:pPr>
        <w:pStyle w:val="ListParagraph"/>
        <w:numPr>
          <w:ilvl w:val="0"/>
          <w:numId w:val="117"/>
        </w:numPr>
        <w:tabs>
          <w:tab w:pos="540" w:val="left" w:leader="none"/>
        </w:tabs>
        <w:spacing w:line="235" w:lineRule="auto" w:before="134" w:after="0"/>
        <w:ind w:left="539" w:right="1400" w:hanging="360"/>
        <w:jc w:val="both"/>
        <w:rPr>
          <w:sz w:val="20"/>
        </w:rPr>
      </w:pPr>
      <w:r>
        <w:rPr>
          <w:sz w:val="20"/>
        </w:rPr>
        <w:t>Sampling: Data for the LULUCF sector often are obtained from sample surveys; for example land areas, biomass stock and soil carbon, and such data typically are used for estimating changes in land use or carbon stocks. Section 5.3, Sampling, gives </w:t>
      </w:r>
      <w:r>
        <w:rPr>
          <w:i/>
          <w:sz w:val="20"/>
        </w:rPr>
        <w:t>good practice guidance </w:t>
      </w:r>
      <w:r>
        <w:rPr>
          <w:sz w:val="20"/>
        </w:rPr>
        <w:t>for the planning and use of sample surveys for the reporting of emissions and removals of greenhouse gases at the national level. This section also gives an overview of the relationship between sampling design and uncertainty</w:t>
      </w:r>
      <w:r>
        <w:rPr>
          <w:spacing w:val="-13"/>
          <w:sz w:val="20"/>
        </w:rPr>
        <w:t> </w:t>
      </w:r>
      <w:r>
        <w:rPr>
          <w:sz w:val="20"/>
        </w:rPr>
        <w:t>estimates.</w:t>
      </w:r>
    </w:p>
    <w:p>
      <w:pPr>
        <w:pStyle w:val="ListParagraph"/>
        <w:numPr>
          <w:ilvl w:val="0"/>
          <w:numId w:val="117"/>
        </w:numPr>
        <w:tabs>
          <w:tab w:pos="540" w:val="left" w:leader="none"/>
        </w:tabs>
        <w:spacing w:line="237" w:lineRule="auto" w:before="138" w:after="0"/>
        <w:ind w:left="539" w:right="1404" w:hanging="360"/>
        <w:jc w:val="both"/>
        <w:rPr>
          <w:sz w:val="20"/>
        </w:rPr>
      </w:pPr>
      <w:r>
        <w:rPr>
          <w:sz w:val="20"/>
        </w:rPr>
        <w:t>Key Category Analysis: Chapter 7 of </w:t>
      </w:r>
      <w:r>
        <w:rPr>
          <w:i/>
          <w:sz w:val="20"/>
        </w:rPr>
        <w:t>GPG2000</w:t>
      </w:r>
      <w:r>
        <w:rPr>
          <w:sz w:val="20"/>
        </w:rPr>
        <w:t>, Methodological Choice and Recalculation, presents the concept of key source analysis. As originally designed it applied only to source categories. Section 5.4, Methodological Choice − Identification of Key Categories, of this chapter, expands the original approach to enable the identification of key categories that are sources or sinks. </w:t>
      </w:r>
      <w:r>
        <w:rPr>
          <w:i/>
          <w:sz w:val="20"/>
        </w:rPr>
        <w:t>Good practice guidance </w:t>
      </w:r>
      <w:r>
        <w:rPr>
          <w:sz w:val="20"/>
        </w:rPr>
        <w:t>is provided on how to identify key categories for the LULUCF sector for the inventory under the UNFCCC, and additional guidance is provided for identifying key categories associated with the supplementary information provided under Articles 3.3 and 3.4 of the Kyoto</w:t>
      </w:r>
      <w:r>
        <w:rPr>
          <w:spacing w:val="2"/>
          <w:sz w:val="20"/>
        </w:rPr>
        <w:t> </w:t>
      </w:r>
      <w:r>
        <w:rPr>
          <w:sz w:val="20"/>
        </w:rPr>
        <w:t>Protocol.</w:t>
      </w:r>
    </w:p>
    <w:p>
      <w:pPr>
        <w:pStyle w:val="ListParagraph"/>
        <w:numPr>
          <w:ilvl w:val="0"/>
          <w:numId w:val="117"/>
        </w:numPr>
        <w:tabs>
          <w:tab w:pos="540" w:val="left" w:leader="none"/>
        </w:tabs>
        <w:spacing w:line="237" w:lineRule="auto" w:before="133" w:after="0"/>
        <w:ind w:left="539" w:right="1402" w:hanging="360"/>
        <w:jc w:val="both"/>
        <w:rPr>
          <w:sz w:val="20"/>
        </w:rPr>
      </w:pPr>
      <w:r>
        <w:rPr>
          <w:sz w:val="20"/>
        </w:rPr>
        <w:t>Quality Assurance (QA) and Quality Control (QC): A QA/QC system is an important part of inventory development, as described in Chapter 8 of </w:t>
      </w:r>
      <w:r>
        <w:rPr>
          <w:i/>
          <w:sz w:val="20"/>
        </w:rPr>
        <w:t>GPG2000</w:t>
      </w:r>
      <w:r>
        <w:rPr>
          <w:sz w:val="20"/>
        </w:rPr>
        <w:t>. Section 5.5 of this chapter describes those aspects of the QA/QC system that are needed for the LULUCF sector and provides specific </w:t>
      </w:r>
      <w:r>
        <w:rPr>
          <w:i/>
          <w:sz w:val="20"/>
        </w:rPr>
        <w:t>good practice guidance </w:t>
      </w:r>
      <w:r>
        <w:rPr>
          <w:sz w:val="20"/>
        </w:rPr>
        <w:t>on conducting Tier 2 quality control checks for this sector, building on information provided in Chapter 2, Basis for Consistent Representation of Land Areas, and Chapter 3, LUCF Sector Good Practice Guidance, of this report. QA/QC issues specific to the Kyoto Protocol are also</w:t>
      </w:r>
      <w:r>
        <w:rPr>
          <w:spacing w:val="-10"/>
          <w:sz w:val="20"/>
        </w:rPr>
        <w:t> </w:t>
      </w:r>
      <w:r>
        <w:rPr>
          <w:sz w:val="20"/>
        </w:rPr>
        <w:t>presented.</w:t>
      </w:r>
    </w:p>
    <w:p>
      <w:pPr>
        <w:pStyle w:val="ListParagraph"/>
        <w:numPr>
          <w:ilvl w:val="0"/>
          <w:numId w:val="117"/>
        </w:numPr>
        <w:tabs>
          <w:tab w:pos="540" w:val="left" w:leader="none"/>
        </w:tabs>
        <w:spacing w:line="237" w:lineRule="auto" w:before="129" w:after="0"/>
        <w:ind w:left="539" w:right="1404" w:hanging="360"/>
        <w:jc w:val="both"/>
        <w:rPr>
          <w:sz w:val="20"/>
        </w:rPr>
      </w:pPr>
      <w:r>
        <w:rPr>
          <w:sz w:val="20"/>
        </w:rPr>
        <w:t>Time Series Consistency: Ensuring the time series consistency of inventory estimates is essential if one is to have confidence in reported inventory trends. In Chapter 7 of </w:t>
      </w:r>
      <w:r>
        <w:rPr>
          <w:i/>
          <w:sz w:val="20"/>
        </w:rPr>
        <w:t>GPG2000</w:t>
      </w:r>
      <w:r>
        <w:rPr>
          <w:sz w:val="20"/>
        </w:rPr>
        <w:t>, several methods are provided for ensuring time series consistency in cases where it is not possible to use the same methods and/or data over the entire period. In Section 5.6, Time Series Consistency and Recalculations, of this chapter, these methods are discussed with respect to specific situations that can arise in the development of emission and removal estimates for the LULUCF</w:t>
      </w:r>
      <w:r>
        <w:rPr>
          <w:spacing w:val="2"/>
          <w:sz w:val="20"/>
        </w:rPr>
        <w:t> </w:t>
      </w:r>
      <w:r>
        <w:rPr>
          <w:sz w:val="20"/>
        </w:rPr>
        <w:t>sector.</w:t>
      </w:r>
    </w:p>
    <w:p>
      <w:pPr>
        <w:pStyle w:val="ListParagraph"/>
        <w:numPr>
          <w:ilvl w:val="0"/>
          <w:numId w:val="117"/>
        </w:numPr>
        <w:tabs>
          <w:tab w:pos="540" w:val="left" w:leader="none"/>
        </w:tabs>
        <w:spacing w:line="230" w:lineRule="auto" w:before="137" w:after="0"/>
        <w:ind w:left="539" w:right="1407" w:hanging="360"/>
        <w:jc w:val="both"/>
        <w:rPr>
          <w:sz w:val="20"/>
        </w:rPr>
      </w:pPr>
      <w:r>
        <w:rPr>
          <w:sz w:val="20"/>
        </w:rPr>
        <w:t>Verification: Conducting verification activities can improve inventory quality as well as lead to better scientific understanding. Verification approaches and practical guidance for verifying estimates in the LULUCF sector are described in Section 5.7 of this</w:t>
      </w:r>
      <w:r>
        <w:rPr>
          <w:spacing w:val="-7"/>
          <w:sz w:val="20"/>
        </w:rPr>
        <w:t> </w:t>
      </w:r>
      <w:r>
        <w:rPr>
          <w:sz w:val="20"/>
        </w:rPr>
        <w:t>chapter.</w:t>
      </w:r>
    </w:p>
    <w:p>
      <w:pPr>
        <w:pStyle w:val="BodyText"/>
        <w:spacing w:before="123"/>
        <w:ind w:left="179" w:right="1406"/>
        <w:jc w:val="both"/>
      </w:pPr>
      <w:r>
        <w:rPr/>
        <w:t>This chapter provides the information needed to apply </w:t>
      </w:r>
      <w:r>
        <w:rPr>
          <w:i/>
        </w:rPr>
        <w:t>good practice guidance </w:t>
      </w:r>
      <w:r>
        <w:rPr/>
        <w:t>in the LULUCF sector. It does  not repeat all information from </w:t>
      </w:r>
      <w:r>
        <w:rPr>
          <w:i/>
        </w:rPr>
        <w:t>GPG2000</w:t>
      </w:r>
      <w:r>
        <w:rPr/>
        <w:t>, however. Thus, readers may wish to refer to </w:t>
      </w:r>
      <w:r>
        <w:rPr>
          <w:i/>
        </w:rPr>
        <w:t>GPG2000 </w:t>
      </w:r>
      <w:r>
        <w:rPr/>
        <w:t>for additional background information. Specific situations in which reference to </w:t>
      </w:r>
      <w:r>
        <w:rPr>
          <w:i/>
        </w:rPr>
        <w:t>GPG2000 </w:t>
      </w:r>
      <w:r>
        <w:rPr/>
        <w:t>may be useful are mentioned in the subsections that</w:t>
      </w:r>
      <w:r>
        <w:rPr>
          <w:spacing w:val="1"/>
        </w:rPr>
        <w:t> </w:t>
      </w:r>
      <w:r>
        <w:rPr/>
        <w:t>follow.</w:t>
      </w:r>
    </w:p>
    <w:p>
      <w:pPr>
        <w:spacing w:after="0"/>
        <w:jc w:val="both"/>
        <w:sectPr>
          <w:headerReference w:type="even" r:id="rId374"/>
          <w:headerReference w:type="default" r:id="rId375"/>
          <w:pgSz w:w="11900" w:h="16840"/>
          <w:pgMar w:header="230" w:footer="408" w:top="560" w:bottom="600" w:left="1240" w:right="0"/>
        </w:sectPr>
      </w:pPr>
    </w:p>
    <w:p>
      <w:pPr>
        <w:pStyle w:val="BodyText"/>
      </w:pPr>
    </w:p>
    <w:p>
      <w:pPr>
        <w:pStyle w:val="BodyText"/>
      </w:pPr>
    </w:p>
    <w:p>
      <w:pPr>
        <w:pStyle w:val="Heading2"/>
        <w:numPr>
          <w:ilvl w:val="1"/>
          <w:numId w:val="173"/>
        </w:numPr>
        <w:tabs>
          <w:tab w:pos="1381" w:val="left" w:leader="none"/>
          <w:tab w:pos="1382" w:val="left" w:leader="none"/>
        </w:tabs>
        <w:spacing w:line="240" w:lineRule="auto" w:before="225" w:after="0"/>
        <w:ind w:left="1381" w:right="3426" w:hanging="1202"/>
        <w:jc w:val="left"/>
      </w:pPr>
      <w:bookmarkStart w:name="_TOC_250053" w:id="2"/>
      <w:r>
        <w:rPr>
          <w:spacing w:val="18"/>
        </w:rPr>
        <w:t>IDENTIFYING </w:t>
      </w:r>
      <w:r>
        <w:rPr>
          <w:spacing w:val="13"/>
        </w:rPr>
        <w:t>AND </w:t>
      </w:r>
      <w:r>
        <w:rPr>
          <w:spacing w:val="18"/>
        </w:rPr>
        <w:t>QUANTIFYING </w:t>
      </w:r>
      <w:bookmarkEnd w:id="2"/>
      <w:r>
        <w:rPr>
          <w:spacing w:val="20"/>
        </w:rPr>
        <w:t>UNCERTAINTIES</w:t>
      </w:r>
    </w:p>
    <w:p>
      <w:pPr>
        <w:pStyle w:val="BodyText"/>
        <w:rPr>
          <w:b/>
          <w:sz w:val="47"/>
        </w:rPr>
      </w:pPr>
    </w:p>
    <w:p>
      <w:pPr>
        <w:pStyle w:val="Heading2"/>
        <w:numPr>
          <w:ilvl w:val="2"/>
          <w:numId w:val="173"/>
        </w:numPr>
        <w:tabs>
          <w:tab w:pos="1382" w:val="left" w:leader="none"/>
        </w:tabs>
        <w:spacing w:line="240" w:lineRule="auto" w:before="0" w:after="0"/>
        <w:ind w:left="1381" w:right="0" w:hanging="1202"/>
        <w:jc w:val="both"/>
      </w:pPr>
      <w:bookmarkStart w:name="_TOC_250052" w:id="3"/>
      <w:bookmarkEnd w:id="3"/>
      <w:r>
        <w:rPr>
          <w:spacing w:val="8"/>
        </w:rPr>
        <w:t>Introduction</w:t>
      </w:r>
    </w:p>
    <w:p>
      <w:pPr>
        <w:pStyle w:val="BodyText"/>
        <w:spacing w:before="114"/>
        <w:ind w:left="179" w:right="1405"/>
        <w:jc w:val="both"/>
      </w:pPr>
      <w:r>
        <w:rPr/>
        <w:t>This section describes </w:t>
      </w:r>
      <w:r>
        <w:rPr>
          <w:i/>
        </w:rPr>
        <w:t>good practice </w:t>
      </w:r>
      <w:r>
        <w:rPr/>
        <w:t>in estimating and reporting uncertainties associated with estimates of emissions and removals in the LULUCF sector and shows how to incorporate the LULUCF sector into the procedure introduced in Chapter 6, Quantifying Uncertainties in Practice, of </w:t>
      </w:r>
      <w:r>
        <w:rPr>
          <w:i/>
        </w:rPr>
        <w:t>GPG2000 </w:t>
      </w:r>
      <w:r>
        <w:rPr/>
        <w:t>for the assessment of combined uncertainties across the inventory.</w:t>
      </w:r>
    </w:p>
    <w:p>
      <w:pPr>
        <w:pStyle w:val="BodyText"/>
        <w:spacing w:before="119"/>
        <w:ind w:left="179" w:right="1402"/>
        <w:jc w:val="both"/>
      </w:pPr>
      <w:r>
        <w:rPr/>
        <w:t>The definition of </w:t>
      </w:r>
      <w:r>
        <w:rPr>
          <w:i/>
        </w:rPr>
        <w:t>good practice </w:t>
      </w:r>
      <w:r>
        <w:rPr/>
        <w:t>requires that inventories should be accurate in the sense that they are neither over- nor underestimated as far as can be judged, and that uncertainties are reduced as far as practicable. There is no predetermined level of precision; uncertainty is assessed to help prioritise efforts to improve the accuracy of inventories in the future and guide decisions on methodological choice. Uncertainties are also of interest when judging the level of agreement between national inventories and emission or removal estimates made  by different institutions or approaches.</w:t>
      </w:r>
    </w:p>
    <w:p>
      <w:pPr>
        <w:pStyle w:val="BodyText"/>
        <w:spacing w:before="120"/>
        <w:ind w:left="179" w:right="1405"/>
        <w:jc w:val="both"/>
      </w:pPr>
      <w:r>
        <w:rPr/>
        <w:t>Inventory estimates can be used for a range of purposes. For some purposes, only the national total matters, while for others, the detail by greenhouse gas and source or sink category is important. In order to compile the data to the intended purpose, users need to understand the actual reliability of both the total estimate and its component parts. For this reason, the methods used to communicate uncertainty must be practical, scientifically defensible, robust enough to be applicable to a range of source and sink categories, methods and national circumstances, and presented in ways comprehensible to all inventory</w:t>
      </w:r>
      <w:r>
        <w:rPr>
          <w:spacing w:val="-3"/>
        </w:rPr>
        <w:t> </w:t>
      </w:r>
      <w:r>
        <w:rPr/>
        <w:t>users.</w:t>
      </w:r>
    </w:p>
    <w:p>
      <w:pPr>
        <w:pStyle w:val="BodyText"/>
        <w:spacing w:before="118"/>
        <w:ind w:left="179" w:right="1405"/>
        <w:jc w:val="both"/>
      </w:pPr>
      <w:r>
        <w:rPr/>
        <w:t>There are many reasons for actual emissions and removals to differ from the number calculated in a national inventory. Some sources of uncertainty (e.g., sampling error or limitations on instrument accuracy) may generate well-defined, easily characterised estimates of the range of potential error. Other sources of uncertainty, for example systematic errors, are more difficult to identify and quantify (Rypdal and Winiwarter, 2001). This section describes how to account for both well-defined statistical uncertainties and less specific information characterising other forms of uncertainty in the LULUCF sector, and discusses the implications for the uncertainty of both the total inventory and its components.</w:t>
      </w:r>
    </w:p>
    <w:p>
      <w:pPr>
        <w:pStyle w:val="BodyText"/>
        <w:spacing w:before="118"/>
        <w:ind w:left="179" w:right="1402"/>
        <w:jc w:val="both"/>
      </w:pPr>
      <w:r>
        <w:rPr/>
        <w:t>Ideally, emission and removal estimates and uncertainty ranges would be derived from source-specific measured data. Since it is not practical to measure every emission source or sink category in this way, some of the estimates are based on the known characteristics of typical sites taken to be representative of the population of  all sites. This approach introduces additional uncertainties, because it must be assumed that the entire population behaves, on average, like the sites that have been measured. Random sampling of a target population allows </w:t>
      </w:r>
      <w:r>
        <w:rPr>
          <w:spacing w:val="-2"/>
        </w:rPr>
        <w:t>quantitative </w:t>
      </w:r>
      <w:r>
        <w:rPr/>
        <w:t>estimation of </w:t>
      </w:r>
      <w:r>
        <w:rPr>
          <w:spacing w:val="-3"/>
        </w:rPr>
        <w:t>uncertainties. </w:t>
      </w:r>
      <w:r>
        <w:rPr/>
        <w:t>Large systematic errors (implying biased estimates) can occur in cases </w:t>
      </w:r>
      <w:r>
        <w:rPr>
          <w:spacing w:val="-3"/>
        </w:rPr>
        <w:t>where </w:t>
      </w:r>
      <w:r>
        <w:rPr/>
        <w:t>an estimate </w:t>
      </w:r>
      <w:r>
        <w:rPr>
          <w:spacing w:val="-3"/>
        </w:rPr>
        <w:t>with </w:t>
      </w:r>
      <w:r>
        <w:rPr/>
        <w:t>known precision is based on a </w:t>
      </w:r>
      <w:r>
        <w:rPr>
          <w:spacing w:val="-3"/>
        </w:rPr>
        <w:t>population </w:t>
      </w:r>
      <w:r>
        <w:rPr/>
        <w:t>which is different from the population </w:t>
      </w:r>
      <w:r>
        <w:rPr>
          <w:spacing w:val="-3"/>
        </w:rPr>
        <w:t>where </w:t>
      </w:r>
      <w:r>
        <w:rPr/>
        <w:t>the </w:t>
      </w:r>
      <w:r>
        <w:rPr>
          <w:spacing w:val="-3"/>
        </w:rPr>
        <w:t>estimate</w:t>
      </w:r>
      <w:r>
        <w:rPr>
          <w:spacing w:val="-10"/>
        </w:rPr>
        <w:t> </w:t>
      </w:r>
      <w:r>
        <w:rPr/>
        <w:t>is</w:t>
      </w:r>
      <w:r>
        <w:rPr>
          <w:spacing w:val="-12"/>
        </w:rPr>
        <w:t> </w:t>
      </w:r>
      <w:r>
        <w:rPr/>
        <w:t>to</w:t>
      </w:r>
      <w:r>
        <w:rPr>
          <w:spacing w:val="-10"/>
        </w:rPr>
        <w:t> </w:t>
      </w:r>
      <w:r>
        <w:rPr/>
        <w:t>be</w:t>
      </w:r>
      <w:r>
        <w:rPr>
          <w:spacing w:val="-10"/>
        </w:rPr>
        <w:t> </w:t>
      </w:r>
      <w:r>
        <w:rPr/>
        <w:t>applied.</w:t>
      </w:r>
      <w:r>
        <w:rPr>
          <w:spacing w:val="-10"/>
        </w:rPr>
        <w:t> </w:t>
      </w:r>
      <w:r>
        <w:rPr/>
        <w:t>In</w:t>
      </w:r>
      <w:r>
        <w:rPr>
          <w:spacing w:val="-12"/>
        </w:rPr>
        <w:t> </w:t>
      </w:r>
      <w:r>
        <w:rPr/>
        <w:t>practice,</w:t>
      </w:r>
      <w:r>
        <w:rPr>
          <w:spacing w:val="-10"/>
        </w:rPr>
        <w:t> </w:t>
      </w:r>
      <w:r>
        <w:rPr/>
        <w:t>expert</w:t>
      </w:r>
      <w:r>
        <w:rPr>
          <w:spacing w:val="-11"/>
        </w:rPr>
        <w:t> </w:t>
      </w:r>
      <w:r>
        <w:rPr/>
        <w:t>judgement</w:t>
      </w:r>
      <w:r>
        <w:rPr>
          <w:spacing w:val="-9"/>
        </w:rPr>
        <w:t> </w:t>
      </w:r>
      <w:r>
        <w:rPr>
          <w:spacing w:val="-3"/>
        </w:rPr>
        <w:t>will</w:t>
      </w:r>
      <w:r>
        <w:rPr>
          <w:spacing w:val="-11"/>
        </w:rPr>
        <w:t> </w:t>
      </w:r>
      <w:r>
        <w:rPr/>
        <w:t>often</w:t>
      </w:r>
      <w:r>
        <w:rPr>
          <w:spacing w:val="-12"/>
        </w:rPr>
        <w:t> </w:t>
      </w:r>
      <w:r>
        <w:rPr/>
        <w:t>be</w:t>
      </w:r>
      <w:r>
        <w:rPr>
          <w:spacing w:val="-8"/>
        </w:rPr>
        <w:t> </w:t>
      </w:r>
      <w:r>
        <w:rPr/>
        <w:t>necessary</w:t>
      </w:r>
      <w:r>
        <w:rPr>
          <w:spacing w:val="-12"/>
        </w:rPr>
        <w:t> </w:t>
      </w:r>
      <w:r>
        <w:rPr/>
        <w:t>to</w:t>
      </w:r>
      <w:r>
        <w:rPr>
          <w:spacing w:val="-10"/>
        </w:rPr>
        <w:t> </w:t>
      </w:r>
      <w:r>
        <w:rPr/>
        <w:t>define</w:t>
      </w:r>
      <w:r>
        <w:rPr>
          <w:spacing w:val="-10"/>
        </w:rPr>
        <w:t> </w:t>
      </w:r>
      <w:r>
        <w:rPr/>
        <w:t>the</w:t>
      </w:r>
      <w:r>
        <w:rPr>
          <w:spacing w:val="-8"/>
        </w:rPr>
        <w:t> </w:t>
      </w:r>
      <w:r>
        <w:rPr/>
        <w:t>uncertainty</w:t>
      </w:r>
      <w:r>
        <w:rPr>
          <w:spacing w:val="-12"/>
        </w:rPr>
        <w:t> </w:t>
      </w:r>
      <w:r>
        <w:rPr/>
        <w:t>ranges.</w:t>
      </w:r>
    </w:p>
    <w:p>
      <w:pPr>
        <w:pStyle w:val="BodyText"/>
        <w:spacing w:before="118"/>
        <w:ind w:left="179" w:right="1404"/>
        <w:jc w:val="both"/>
      </w:pPr>
      <w:r>
        <w:rPr/>
        <w:t>The pragmatic approach for producing quantitative uncertainty estimates in this situation is to use the best available estimates − a combination of the available measured data, model outputs, and expert judgement. The methods proposed in this section can therefore be used with the category-specific default uncertainty ranges discussed in Chapters 2 to 4 in this report, and also allow for new empirical data to be incorporated as they become available.</w:t>
      </w:r>
    </w:p>
    <w:p>
      <w:pPr>
        <w:pStyle w:val="BodyText"/>
        <w:spacing w:before="120"/>
        <w:ind w:left="179" w:right="1404"/>
        <w:jc w:val="both"/>
      </w:pPr>
      <w:r>
        <w:rPr/>
        <w:t>Consistent with Chapter 6 of </w:t>
      </w:r>
      <w:r>
        <w:rPr>
          <w:i/>
        </w:rPr>
        <w:t>GPG2000 </w:t>
      </w:r>
      <w:r>
        <w:rPr/>
        <w:t>(Quantifying Uncertainties in Practice), uncertainties should be reported as a confidence interval giving the range within which the underlying value of an uncertain quantity is thought to lie for a specified probability. The </w:t>
      </w:r>
      <w:r>
        <w:rPr>
          <w:i/>
        </w:rPr>
        <w:t>IPCC Guidelines </w:t>
      </w:r>
      <w:r>
        <w:rPr/>
        <w:t>suggest the use of a 95% confidence interval, which is the interval that has a 95% probability of containing the unknown true value. This may also be expressed as a percentage uncertainty, defined as half the confidence interval width divided by the estimated value of the quantity (see Box 5.2.1). The percentage uncertainty is applicable when either the underlying probability density function is known or when a sampling scheme or expert judgement is used. Furthermore, this notion can be readily used to identify the categories for which efforts to reduce uncertainty should be prioritised.</w:t>
      </w:r>
    </w:p>
    <w:p>
      <w:pPr>
        <w:pStyle w:val="BodyText"/>
        <w:spacing w:before="119"/>
        <w:ind w:left="179" w:right="1404"/>
        <w:jc w:val="both"/>
      </w:pPr>
      <w:r>
        <w:rPr/>
        <w:t>This section is consistent with Chapter 6 and Annex 1 (Conceptual Basis for Uncertainty Analysis) of </w:t>
      </w:r>
      <w:r>
        <w:rPr>
          <w:i/>
        </w:rPr>
        <w:t>GPG2000</w:t>
      </w:r>
      <w:r>
        <w:rPr/>
        <w:t>, while providing additional information on how to assess uncertainties in the LULUCF sector. Much of the discussion focuses on issues related to CO</w:t>
      </w:r>
      <w:r>
        <w:rPr>
          <w:vertAlign w:val="subscript"/>
        </w:rPr>
        <w:t>2</w:t>
      </w:r>
      <w:r>
        <w:rPr>
          <w:vertAlign w:val="baseline"/>
        </w:rPr>
        <w:t> emissions and removals, which were not addressed in the previous report. Uncertainty estimates for emissions of non-CO</w:t>
      </w:r>
      <w:r>
        <w:rPr>
          <w:vertAlign w:val="subscript"/>
        </w:rPr>
        <w:t>2</w:t>
      </w:r>
      <w:r>
        <w:rPr>
          <w:vertAlign w:val="baseline"/>
        </w:rPr>
        <w:t> gases can also be prepared, following the guidance from Chapter 6 of </w:t>
      </w:r>
      <w:r>
        <w:rPr>
          <w:i/>
          <w:vertAlign w:val="baseline"/>
        </w:rPr>
        <w:t>GPG2000</w:t>
      </w:r>
      <w:r>
        <w:rPr>
          <w:vertAlign w:val="baseline"/>
        </w:rPr>
        <w:t>. Methods to combine uncertainties are described in Section 5.2.2, practical considerations</w:t>
      </w:r>
      <w:r>
        <w:rPr>
          <w:spacing w:val="6"/>
          <w:vertAlign w:val="baseline"/>
        </w:rPr>
        <w:t> </w:t>
      </w:r>
      <w:r>
        <w:rPr>
          <w:vertAlign w:val="baseline"/>
        </w:rPr>
        <w:t>for</w:t>
      </w:r>
      <w:r>
        <w:rPr>
          <w:spacing w:val="5"/>
          <w:vertAlign w:val="baseline"/>
        </w:rPr>
        <w:t> </w:t>
      </w:r>
      <w:r>
        <w:rPr>
          <w:vertAlign w:val="baseline"/>
        </w:rPr>
        <w:t>quantifying</w:t>
      </w:r>
      <w:r>
        <w:rPr>
          <w:spacing w:val="5"/>
          <w:vertAlign w:val="baseline"/>
        </w:rPr>
        <w:t> </w:t>
      </w:r>
      <w:r>
        <w:rPr>
          <w:vertAlign w:val="baseline"/>
        </w:rPr>
        <w:t>uncertainties</w:t>
      </w:r>
      <w:r>
        <w:rPr>
          <w:spacing w:val="4"/>
          <w:vertAlign w:val="baseline"/>
        </w:rPr>
        <w:t> </w:t>
      </w:r>
      <w:r>
        <w:rPr>
          <w:vertAlign w:val="baseline"/>
        </w:rPr>
        <w:t>in</w:t>
      </w:r>
      <w:r>
        <w:rPr>
          <w:spacing w:val="3"/>
          <w:vertAlign w:val="baseline"/>
        </w:rPr>
        <w:t> </w:t>
      </w:r>
      <w:r>
        <w:rPr>
          <w:vertAlign w:val="baseline"/>
        </w:rPr>
        <w:t>input</w:t>
      </w:r>
      <w:r>
        <w:rPr>
          <w:spacing w:val="5"/>
          <w:vertAlign w:val="baseline"/>
        </w:rPr>
        <w:t> </w:t>
      </w:r>
      <w:r>
        <w:rPr>
          <w:vertAlign w:val="baseline"/>
        </w:rPr>
        <w:t>data</w:t>
      </w:r>
      <w:r>
        <w:rPr>
          <w:spacing w:val="6"/>
          <w:vertAlign w:val="baseline"/>
        </w:rPr>
        <w:t> </w:t>
      </w:r>
      <w:r>
        <w:rPr>
          <w:vertAlign w:val="baseline"/>
        </w:rPr>
        <w:t>in</w:t>
      </w:r>
      <w:r>
        <w:rPr>
          <w:spacing w:val="5"/>
          <w:vertAlign w:val="baseline"/>
        </w:rPr>
        <w:t> </w:t>
      </w:r>
      <w:r>
        <w:rPr>
          <w:vertAlign w:val="baseline"/>
        </w:rPr>
        <w:t>Section</w:t>
      </w:r>
      <w:r>
        <w:rPr>
          <w:spacing w:val="3"/>
          <w:vertAlign w:val="baseline"/>
        </w:rPr>
        <w:t> </w:t>
      </w:r>
      <w:r>
        <w:rPr>
          <w:vertAlign w:val="baseline"/>
        </w:rPr>
        <w:t>5.2.3,</w:t>
      </w:r>
      <w:r>
        <w:rPr>
          <w:spacing w:val="6"/>
          <w:vertAlign w:val="baseline"/>
        </w:rPr>
        <w:t> </w:t>
      </w:r>
      <w:r>
        <w:rPr>
          <w:vertAlign w:val="baseline"/>
        </w:rPr>
        <w:t>an</w:t>
      </w:r>
      <w:r>
        <w:rPr>
          <w:spacing w:val="3"/>
          <w:vertAlign w:val="baseline"/>
        </w:rPr>
        <w:t> </w:t>
      </w:r>
      <w:r>
        <w:rPr>
          <w:vertAlign w:val="baseline"/>
        </w:rPr>
        <w:t>example</w:t>
      </w:r>
      <w:r>
        <w:rPr>
          <w:spacing w:val="5"/>
          <w:vertAlign w:val="baseline"/>
        </w:rPr>
        <w:t> </w:t>
      </w:r>
      <w:r>
        <w:rPr>
          <w:vertAlign w:val="baseline"/>
        </w:rPr>
        <w:t>of</w:t>
      </w:r>
      <w:r>
        <w:rPr>
          <w:spacing w:val="6"/>
          <w:vertAlign w:val="baseline"/>
        </w:rPr>
        <w:t> </w:t>
      </w:r>
      <w:r>
        <w:rPr>
          <w:vertAlign w:val="baseline"/>
        </w:rPr>
        <w:t>an</w:t>
      </w:r>
      <w:r>
        <w:rPr>
          <w:spacing w:val="3"/>
          <w:vertAlign w:val="baseline"/>
        </w:rPr>
        <w:t> </w:t>
      </w:r>
      <w:r>
        <w:rPr>
          <w:vertAlign w:val="baseline"/>
        </w:rPr>
        <w:t>uncertainty</w:t>
      </w:r>
      <w:r>
        <w:rPr>
          <w:spacing w:val="3"/>
          <w:vertAlign w:val="baseline"/>
        </w:rPr>
        <w:t> </w:t>
      </w:r>
      <w:r>
        <w:rPr>
          <w:vertAlign w:val="baseline"/>
        </w:rPr>
        <w:t>analysis</w:t>
      </w:r>
    </w:p>
    <w:p>
      <w:pPr>
        <w:spacing w:after="0"/>
        <w:jc w:val="both"/>
        <w:sectPr>
          <w:pgSz w:w="11900" w:h="16840"/>
          <w:pgMar w:header="230" w:footer="408" w:top="560" w:bottom="600" w:left="1240" w:right="0"/>
        </w:sectPr>
      </w:pPr>
    </w:p>
    <w:p>
      <w:pPr>
        <w:pStyle w:val="BodyText"/>
      </w:pPr>
      <w:r>
        <w:rPr/>
        <w:pict>
          <v:shape style="position:absolute;margin-left:182.200607pt;margin-top:447.860107pt;width:21.75pt;height:13pt;mso-position-horizontal-relative:page;mso-position-vertical-relative:page;z-index:-2428336" type="#_x0000_t202" filled="false" stroked="false">
            <v:textbox inset="0,0,0,0">
              <w:txbxContent>
                <w:p>
                  <w:pPr>
                    <w:spacing w:line="227" w:lineRule="exact" w:before="32"/>
                    <w:ind w:left="0" w:right="0" w:firstLine="0"/>
                    <w:jc w:val="left"/>
                    <w:rPr>
                      <w:rFonts w:ascii="Symbol" w:hAnsi="Symbol"/>
                      <w:sz w:val="20"/>
                    </w:rPr>
                  </w:pPr>
                  <w:r>
                    <w:rPr>
                      <w:rFonts w:ascii="Arial" w:hAnsi="Arial"/>
                      <w:sz w:val="18"/>
                    </w:rPr>
                    <w:t>µ -2</w:t>
                  </w:r>
                  <w:r>
                    <w:rPr>
                      <w:rFonts w:ascii="Symbol" w:hAnsi="Symbol"/>
                      <w:sz w:val="20"/>
                    </w:rPr>
                    <w:t>σ</w:t>
                  </w:r>
                </w:p>
              </w:txbxContent>
            </v:textbox>
            <w10:wrap type="none"/>
          </v:shape>
        </w:pict>
      </w:r>
      <w:r>
        <w:rPr/>
        <w:pict>
          <v:shape style="position:absolute;margin-left:187.840607pt;margin-top:447.860107pt;width:21.75pt;height:13pt;mso-position-horizontal-relative:page;mso-position-vertical-relative:page;z-index:-2428312" type="#_x0000_t202" filled="false" stroked="false">
            <v:textbox inset="0,0,0,0">
              <w:txbxContent>
                <w:p>
                  <w:pPr>
                    <w:spacing w:line="227" w:lineRule="exact" w:before="32"/>
                    <w:ind w:left="0" w:right="0" w:firstLine="0"/>
                    <w:jc w:val="left"/>
                    <w:rPr>
                      <w:rFonts w:ascii="Symbol" w:hAnsi="Symbol"/>
                      <w:sz w:val="20"/>
                    </w:rPr>
                  </w:pPr>
                  <w:r>
                    <w:rPr>
                      <w:rFonts w:ascii="Arial" w:hAnsi="Arial"/>
                      <w:sz w:val="18"/>
                    </w:rPr>
                    <w:t>µ -2</w:t>
                  </w:r>
                  <w:r>
                    <w:rPr>
                      <w:rFonts w:ascii="Symbol" w:hAnsi="Symbol"/>
                      <w:sz w:val="20"/>
                    </w:rPr>
                    <w:t>σ</w:t>
                  </w:r>
                </w:p>
              </w:txbxContent>
            </v:textbox>
            <w10:wrap type="none"/>
          </v:shape>
        </w:pict>
      </w:r>
      <w:r>
        <w:rPr/>
        <w:pict>
          <v:shape style="position:absolute;margin-left:242.560593pt;margin-top:439.100098pt;width:16.7pt;height:13pt;mso-position-horizontal-relative:page;mso-position-vertical-relative:page;z-index:-2428288" type="#_x0000_t202" filled="false" stroked="false">
            <v:textbox inset="0,0,0,0">
              <w:txbxContent>
                <w:p>
                  <w:pPr>
                    <w:spacing w:line="227" w:lineRule="exact" w:before="32"/>
                    <w:ind w:left="0" w:right="0" w:firstLine="0"/>
                    <w:jc w:val="left"/>
                    <w:rPr>
                      <w:rFonts w:ascii="Symbol" w:hAnsi="Symbol"/>
                      <w:sz w:val="20"/>
                    </w:rPr>
                  </w:pPr>
                  <w:r>
                    <w:rPr>
                      <w:rFonts w:ascii="Arial" w:hAnsi="Arial"/>
                      <w:sz w:val="18"/>
                    </w:rPr>
                    <w:t>µ </w:t>
                  </w:r>
                  <w:r>
                    <w:rPr>
                      <w:rFonts w:ascii="Arial" w:hAnsi="Arial"/>
                      <w:spacing w:val="-15"/>
                      <w:sz w:val="18"/>
                    </w:rPr>
                    <w:t>-</w:t>
                  </w:r>
                  <w:r>
                    <w:rPr>
                      <w:rFonts w:ascii="Symbol" w:hAnsi="Symbol"/>
                      <w:spacing w:val="-15"/>
                      <w:sz w:val="20"/>
                    </w:rPr>
                    <w:t>σ</w:t>
                  </w:r>
                </w:p>
              </w:txbxContent>
            </v:textbox>
            <w10:wrap type="none"/>
          </v:shape>
        </w:pict>
      </w:r>
      <w:r>
        <w:rPr/>
        <w:pict>
          <v:group style="position:absolute;margin-left:251.800995pt;margin-top:499.50531pt;width:141.35pt;height:17.45pt;mso-position-horizontal-relative:page;mso-position-vertical-relative:page;z-index:27952" coordorigin="5036,9990" coordsize="2827,349">
            <v:line style="position:absolute" from="5298,10013" to="5098,10298" stroked="true" strokeweight=".229pt" strokecolor="#000000">
              <v:stroke dashstyle="solid"/>
            </v:line>
            <v:line style="position:absolute" from="5036,10334" to="7844,10334" stroked="true" strokeweight=".457pt" strokecolor="#000000">
              <v:stroke dashstyle="solid"/>
            </v:line>
            <v:shape style="position:absolute;left:5211;top:10131;width:114;height:208" type="#_x0000_t202" filled="false" stroked="false">
              <v:textbox inset="0,0,0,0">
                <w:txbxContent>
                  <w:p>
                    <w:pPr>
                      <w:spacing w:line="206" w:lineRule="exact" w:before="0"/>
                      <w:ind w:left="0" w:right="0" w:firstLine="0"/>
                      <w:jc w:val="left"/>
                      <w:rPr>
                        <w:sz w:val="18"/>
                      </w:rPr>
                    </w:pPr>
                    <w:r>
                      <w:rPr>
                        <w:w w:val="103"/>
                        <w:sz w:val="18"/>
                      </w:rPr>
                      <w:t>2</w:t>
                    </w:r>
                  </w:p>
                </w:txbxContent>
              </v:textbox>
              <w10:wrap type="none"/>
            </v:shape>
            <v:shape style="position:absolute;left:5112;top:9990;width:2750;height:253" type="#_x0000_t202" filled="false" stroked="false">
              <v:textbox inset="0,0,0,0">
                <w:txbxContent>
                  <w:p>
                    <w:pPr>
                      <w:spacing w:line="251" w:lineRule="exact" w:before="0"/>
                      <w:ind w:left="0" w:right="0" w:firstLine="0"/>
                      <w:jc w:val="left"/>
                      <w:rPr>
                        <w:sz w:val="18"/>
                      </w:rPr>
                    </w:pPr>
                    <w:r>
                      <w:rPr>
                        <w:w w:val="105"/>
                        <w:position w:val="5"/>
                        <w:sz w:val="18"/>
                      </w:rPr>
                      <w:t>1 </w:t>
                    </w:r>
                    <w:r>
                      <w:rPr>
                        <w:w w:val="105"/>
                        <w:sz w:val="18"/>
                      </w:rPr>
                      <w:t>(95% Confidence Interval width)</w:t>
                    </w:r>
                  </w:p>
                </w:txbxContent>
              </v:textbox>
              <w10:wrap type="none"/>
            </v:shape>
            <w10:wrap type="none"/>
          </v:group>
        </w:pict>
      </w:r>
      <w:r>
        <w:rPr/>
        <w:pict>
          <v:group style="position:absolute;margin-left:250.360992pt;margin-top:554.857117pt;width:30.4pt;height:17.55pt;mso-position-horizontal-relative:page;mso-position-vertical-relative:page;z-index:28024" coordorigin="5007,11097" coordsize="608,351">
            <v:line style="position:absolute" from="5228,11122" to="5029,11407" stroked="true" strokeweight=".229pt" strokecolor="#000000">
              <v:stroke dashstyle="solid"/>
            </v:line>
            <v:line style="position:absolute" from="5007,11441" to="5605,11441" stroked="true" strokeweight=".457pt" strokecolor="#000000">
              <v:stroke dashstyle="solid"/>
            </v:line>
            <v:shape style="position:absolute;left:5141;top:11241;width:114;height:207" type="#_x0000_t202" filled="false" stroked="false">
              <v:textbox inset="0,0,0,0">
                <w:txbxContent>
                  <w:p>
                    <w:pPr>
                      <w:spacing w:line="205" w:lineRule="exact" w:before="0"/>
                      <w:ind w:left="0" w:right="0" w:firstLine="0"/>
                      <w:jc w:val="left"/>
                      <w:rPr>
                        <w:sz w:val="18"/>
                      </w:rPr>
                    </w:pPr>
                    <w:r>
                      <w:rPr>
                        <w:w w:val="103"/>
                        <w:sz w:val="18"/>
                      </w:rPr>
                      <w:t>2</w:t>
                    </w:r>
                  </w:p>
                </w:txbxContent>
              </v:textbox>
              <w10:wrap type="none"/>
            </v:shape>
            <v:shape style="position:absolute;left:5043;top:11097;width:572;height:269" type="#_x0000_t202" filled="false" stroked="false">
              <v:textbox inset="0,0,0,0">
                <w:txbxContent>
                  <w:p>
                    <w:pPr>
                      <w:spacing w:line="268" w:lineRule="exact" w:before="0"/>
                      <w:ind w:left="0" w:right="0" w:firstLine="0"/>
                      <w:jc w:val="left"/>
                      <w:rPr>
                        <w:sz w:val="18"/>
                      </w:rPr>
                    </w:pPr>
                    <w:r>
                      <w:rPr>
                        <w:w w:val="105"/>
                        <w:position w:val="5"/>
                        <w:sz w:val="18"/>
                      </w:rPr>
                      <w:t>1 </w:t>
                    </w:r>
                    <w:r>
                      <w:rPr>
                        <w:w w:val="105"/>
                        <w:sz w:val="18"/>
                      </w:rPr>
                      <w:t>(4</w:t>
                    </w:r>
                    <w:r>
                      <w:rPr>
                        <w:rFonts w:ascii="Symbol" w:hAnsi="Symbol"/>
                        <w:w w:val="105"/>
                        <w:sz w:val="18"/>
                      </w:rPr>
                      <w:t>σ</w:t>
                    </w:r>
                    <w:r>
                      <w:rPr>
                        <w:w w:val="105"/>
                        <w:sz w:val="18"/>
                      </w:rPr>
                      <w:t>)</w:t>
                    </w:r>
                  </w:p>
                </w:txbxContent>
              </v:textbox>
              <w10:wrap type="none"/>
            </v:shape>
            <w10:wrap type="none"/>
          </v:group>
        </w:pict>
      </w:r>
      <w:r>
        <w:rPr/>
        <w:pict>
          <v:group style="position:absolute;margin-left:99.040604pt;margin-top:591.724182pt;width:398.25pt;height:93.85pt;mso-position-horizontal-relative:page;mso-position-vertical-relative:page;z-index:28072" coordorigin="1981,11834" coordsize="7965,1877">
            <v:line style="position:absolute" from="3908,12643" to="3932,12626" stroked="true" strokeweight=".499pt" strokecolor="#000000">
              <v:stroke dashstyle="solid"/>
            </v:line>
            <v:line style="position:absolute" from="3932,12634" to="3968,12703" stroked="true" strokeweight=".998pt" strokecolor="#000000">
              <v:stroke dashstyle="solid"/>
            </v:line>
            <v:shape style="position:absolute;left:3972;top:12487;width:783;height:216" coordorigin="3973,12487" coordsize="783,216" path="m3973,12703l4023,12487,4755,12487e" filled="false" stroked="true" strokeweight=".499pt" strokecolor="#000000">
              <v:path arrowok="t"/>
              <v:stroke dashstyle="solid"/>
            </v:shape>
            <v:shape style="position:absolute;left:1980;top:11834;width:7965;height:1877" type="#_x0000_t202" filled="false" stroked="false">
              <v:textbox inset="0,0,0,0">
                <w:txbxContent>
                  <w:p>
                    <w:pPr>
                      <w:spacing w:line="221" w:lineRule="exact" w:before="0"/>
                      <w:ind w:left="0" w:right="0" w:firstLine="0"/>
                      <w:jc w:val="left"/>
                      <w:rPr>
                        <w:sz w:val="20"/>
                      </w:rPr>
                    </w:pPr>
                    <w:r>
                      <w:rPr>
                        <w:sz w:val="20"/>
                      </w:rPr>
                      <w:t>Where:</w:t>
                    </w:r>
                  </w:p>
                  <w:p>
                    <w:pPr>
                      <w:spacing w:before="17"/>
                      <w:ind w:left="1598" w:right="0" w:firstLine="0"/>
                      <w:jc w:val="left"/>
                      <w:rPr>
                        <w:sz w:val="20"/>
                      </w:rPr>
                    </w:pPr>
                    <w:r>
                      <w:rPr>
                        <w:rFonts w:ascii="Symbol" w:hAnsi="Symbol"/>
                        <w:sz w:val="20"/>
                      </w:rPr>
                      <w:t>σ </w:t>
                    </w:r>
                    <w:r>
                      <w:rPr>
                        <w:sz w:val="20"/>
                      </w:rPr>
                      <w:t>= standard deviation</w:t>
                    </w:r>
                  </w:p>
                  <w:p>
                    <w:pPr>
                      <w:spacing w:before="185"/>
                      <w:ind w:left="1598" w:right="0" w:firstLine="0"/>
                      <w:jc w:val="left"/>
                      <w:rPr>
                        <w:sz w:val="20"/>
                      </w:rPr>
                    </w:pPr>
                    <w:r>
                      <w:rPr>
                        <w:rFonts w:ascii="Symbol" w:hAnsi="Symbol"/>
                        <w:sz w:val="20"/>
                      </w:rPr>
                      <w:t>σ </w:t>
                    </w:r>
                    <w:r>
                      <w:rPr>
                        <w:sz w:val="20"/>
                      </w:rPr>
                      <w:t>= var iance =10</w:t>
                    </w:r>
                  </w:p>
                  <w:p>
                    <w:pPr>
                      <w:spacing w:before="152"/>
                      <w:ind w:left="1598" w:right="0" w:firstLine="0"/>
                      <w:jc w:val="left"/>
                      <w:rPr>
                        <w:sz w:val="20"/>
                      </w:rPr>
                    </w:pPr>
                    <w:r>
                      <w:rPr>
                        <w:rFonts w:ascii="Symbol" w:hAnsi="Symbol"/>
                        <w:sz w:val="20"/>
                      </w:rPr>
                      <w:t>µ </w:t>
                    </w:r>
                    <w:r>
                      <w:rPr>
                        <w:sz w:val="20"/>
                      </w:rPr>
                      <w:t>= the mean of the distribution</w:t>
                    </w:r>
                  </w:p>
                  <w:p>
                    <w:pPr>
                      <w:spacing w:before="102"/>
                      <w:ind w:left="0" w:right="0" w:firstLine="0"/>
                      <w:jc w:val="left"/>
                      <w:rPr>
                        <w:sz w:val="20"/>
                      </w:rPr>
                    </w:pPr>
                    <w:r>
                      <w:rPr>
                        <w:sz w:val="20"/>
                      </w:rPr>
                      <w:t>Note that this uncertainty is twice the relative standard error (in %), a commonly used statistical estimate of relative uncertainty.</w:t>
                    </w:r>
                  </w:p>
                </w:txbxContent>
              </v:textbox>
              <w10:wrap type="none"/>
            </v:shape>
            <w10:wrap type="none"/>
          </v:group>
        </w:pict>
      </w:r>
    </w:p>
    <w:p>
      <w:pPr>
        <w:pStyle w:val="BodyText"/>
        <w:spacing w:before="2"/>
        <w:rPr>
          <w:sz w:val="18"/>
        </w:rPr>
      </w:pPr>
    </w:p>
    <w:p>
      <w:pPr>
        <w:pStyle w:val="BodyText"/>
        <w:ind w:left="179" w:right="1404"/>
        <w:jc w:val="both"/>
      </w:pPr>
      <w:r>
        <w:rPr/>
        <w:t>for the LULUCF sector is presented in Section 5.2.4, and Section 5.2.5 addresses reporting and documentation issues. Because of the importance of well-designed sampling programmes to reduce uncertainties when preparing LULUCF inventories for many countries, specific guidance on the design of sampling programmes for land areas and biomass stock, as well as guidance on assessment of associated uncertainties is provided separately in Section</w:t>
      </w:r>
      <w:r>
        <w:rPr>
          <w:spacing w:val="-7"/>
        </w:rPr>
        <w:t> </w:t>
      </w:r>
      <w:r>
        <w:rPr/>
        <w:t>5.3.</w:t>
      </w:r>
    </w:p>
    <w:p>
      <w:pPr>
        <w:pStyle w:val="BodyText"/>
      </w:pPr>
    </w:p>
    <w:p>
      <w:pPr>
        <w:pStyle w:val="BodyText"/>
        <w:spacing w:before="9"/>
        <w:rPr>
          <w:sz w:val="16"/>
        </w:rPr>
      </w:pPr>
      <w:r>
        <w:rPr/>
        <w:pict>
          <v:group style="position:absolute;margin-left:91.240997pt;margin-top:12.362715pt;width:412.95pt;height:560.3pt;mso-position-horizontal-relative:page;mso-position-vertical-relative:paragraph;z-index:25760;mso-wrap-distance-left:0;mso-wrap-distance-right:0" coordorigin="1825,247" coordsize="8259,11206">
            <v:line style="position:absolute" from="1854,262" to="10054,262" stroked="true" strokeweight="1.44pt" strokecolor="#000000">
              <v:stroke dashstyle="solid"/>
            </v:line>
            <v:line style="position:absolute" from="1854,11438" to="10054,11438" stroked="true" strokeweight="1.44pt" strokecolor="#000000">
              <v:stroke dashstyle="solid"/>
            </v:line>
            <v:line style="position:absolute" from="1839,247" to="1839,11453" stroked="true" strokeweight="1.44pt" strokecolor="#000000">
              <v:stroke dashstyle="solid"/>
            </v:line>
            <v:line style="position:absolute" from="10069,247" to="10069,11453" stroked="true" strokeweight="1.44pt" strokecolor="#000000">
              <v:stroke dashstyle="solid"/>
            </v:line>
            <v:rect style="position:absolute;left:1954;top:811;width:7527;height:5957" filled="true" fillcolor="#000000" stroked="false">
              <v:fill type="solid"/>
            </v:rect>
            <v:shape style="position:absolute;left:1954;top:619;width:7964;height:6149" type="#_x0000_t75" stroked="false">
              <v:imagedata r:id="rId378" o:title=""/>
            </v:shape>
            <v:rect style="position:absolute;left:1918;top:6391;width:2600;height:545" filled="true" fillcolor="#ffffff" stroked="false">
              <v:fill type="solid"/>
            </v:rect>
            <v:rect style="position:absolute;left:4416;top:6391;width:1344;height:536" filled="true" fillcolor="#ffffff" stroked="false">
              <v:fill type="solid"/>
            </v:rect>
            <v:rect style="position:absolute;left:9480;top:436;width:500;height:7059" filled="true" fillcolor="#ffffff" stroked="false">
              <v:fill type="solid"/>
            </v:rect>
            <v:rect style="position:absolute;left:1928;top:436;width:7990;height:375" filled="true" fillcolor="#ffffff" stroked="false">
              <v:fill type="solid"/>
            </v:rect>
            <v:rect style="position:absolute;left:5760;top:6391;width:456;height:562" filled="true" fillcolor="#ffffff" stroked="false">
              <v:fill type="solid"/>
            </v:rect>
            <v:rect style="position:absolute;left:6216;top:6391;width:1601;height:562" filled="true" fillcolor="#ffffff" stroked="false">
              <v:fill type="solid"/>
            </v:rect>
            <v:rect style="position:absolute;left:7817;top:6391;width:2100;height:744" filled="true" fillcolor="#ffffff" stroked="false">
              <v:fill type="solid"/>
            </v:rect>
            <v:shape style="position:absolute;left:7023;top:9076;width:300;height:207" type="#_x0000_t202" filled="false" stroked="false">
              <v:textbox inset="0,0,0,0">
                <w:txbxContent>
                  <w:p>
                    <w:pPr>
                      <w:spacing w:line="205" w:lineRule="exact" w:before="0"/>
                      <w:ind w:left="0" w:right="0" w:firstLine="0"/>
                      <w:jc w:val="left"/>
                      <w:rPr>
                        <w:sz w:val="18"/>
                      </w:rPr>
                    </w:pPr>
                    <w:r>
                      <w:rPr>
                        <w:w w:val="105"/>
                        <w:sz w:val="18"/>
                      </w:rPr>
                      <w:t>100</w:t>
                    </w:r>
                  </w:p>
                </w:txbxContent>
              </v:textbox>
              <w10:wrap type="none"/>
            </v:shape>
            <v:shape style="position:absolute;left:6262;top:9054;width:128;height:243" type="#_x0000_t202" filled="false" stroked="false">
              <v:textbox inset="0,0,0,0">
                <w:txbxContent>
                  <w:p>
                    <w:pPr>
                      <w:spacing w:before="39"/>
                      <w:ind w:left="0" w:right="0" w:firstLine="0"/>
                      <w:jc w:val="left"/>
                      <w:rPr>
                        <w:rFonts w:ascii="Symbol" w:hAnsi="Symbol"/>
                        <w:sz w:val="18"/>
                      </w:rPr>
                    </w:pPr>
                    <w:r>
                      <w:rPr>
                        <w:rFonts w:ascii="Symbol" w:hAnsi="Symbol"/>
                        <w:w w:val="99"/>
                        <w:sz w:val="18"/>
                      </w:rPr>
                      <w:t>µ</w:t>
                    </w:r>
                  </w:p>
                </w:txbxContent>
              </v:textbox>
              <w10:wrap type="none"/>
            </v:shape>
            <v:shape style="position:absolute;left:5631;top:8787;width:2626;height:363" type="#_x0000_t202" filled="false" stroked="false">
              <v:textbox inset="0,0,0,0">
                <w:txbxContent>
                  <w:p>
                    <w:pPr>
                      <w:spacing w:before="20"/>
                      <w:ind w:left="0" w:right="0" w:firstLine="0"/>
                      <w:jc w:val="left"/>
                      <w:rPr>
                        <w:sz w:val="18"/>
                      </w:rPr>
                    </w:pPr>
                    <w:r>
                      <w:rPr>
                        <w:rFonts w:ascii="Symbol" w:hAnsi="Symbol"/>
                        <w:w w:val="105"/>
                        <w:sz w:val="18"/>
                      </w:rPr>
                      <w:t>×</w:t>
                    </w:r>
                    <w:r>
                      <w:rPr>
                        <w:w w:val="105"/>
                        <w:sz w:val="18"/>
                      </w:rPr>
                      <w:t>100 </w:t>
                    </w:r>
                    <w:r>
                      <w:rPr>
                        <w:rFonts w:ascii="Symbol" w:hAnsi="Symbol"/>
                        <w:w w:val="105"/>
                        <w:sz w:val="18"/>
                      </w:rPr>
                      <w:t>= </w:t>
                    </w:r>
                    <w:r>
                      <w:rPr>
                        <w:w w:val="105"/>
                        <w:position w:val="12"/>
                        <w:sz w:val="18"/>
                        <w:u w:val="single"/>
                      </w:rPr>
                      <w:t>2</w:t>
                    </w:r>
                    <w:r>
                      <w:rPr>
                        <w:rFonts w:ascii="Symbol" w:hAnsi="Symbol"/>
                        <w:w w:val="105"/>
                        <w:position w:val="12"/>
                        <w:sz w:val="18"/>
                        <w:u w:val="single"/>
                      </w:rPr>
                      <w:t>σ</w:t>
                    </w:r>
                    <w:r>
                      <w:rPr>
                        <w:rFonts w:ascii="Symbol" w:hAnsi="Symbol"/>
                        <w:w w:val="105"/>
                        <w:position w:val="12"/>
                        <w:sz w:val="18"/>
                      </w:rPr>
                      <w:t> </w:t>
                    </w:r>
                    <w:r>
                      <w:rPr>
                        <w:rFonts w:ascii="Symbol" w:hAnsi="Symbol"/>
                        <w:w w:val="105"/>
                        <w:sz w:val="18"/>
                      </w:rPr>
                      <w:t>×</w:t>
                    </w:r>
                    <w:r>
                      <w:rPr>
                        <w:w w:val="105"/>
                        <w:sz w:val="18"/>
                      </w:rPr>
                      <w:t>100 </w:t>
                    </w:r>
                    <w:r>
                      <w:rPr>
                        <w:rFonts w:ascii="Symbol" w:hAnsi="Symbol"/>
                        <w:w w:val="105"/>
                        <w:sz w:val="18"/>
                      </w:rPr>
                      <w:t>=</w:t>
                    </w:r>
                    <w:r>
                      <w:rPr>
                        <w:rFonts w:ascii="Symbol" w:hAnsi="Symbol"/>
                        <w:w w:val="105"/>
                        <w:position w:val="12"/>
                        <w:sz w:val="18"/>
                        <w:u w:val="single"/>
                      </w:rPr>
                      <w:t> </w:t>
                    </w:r>
                    <w:r>
                      <w:rPr>
                        <w:w w:val="105"/>
                        <w:position w:val="12"/>
                        <w:sz w:val="18"/>
                        <w:u w:val="single"/>
                      </w:rPr>
                      <w:t>20</w:t>
                    </w:r>
                    <w:r>
                      <w:rPr>
                        <w:w w:val="105"/>
                        <w:position w:val="12"/>
                        <w:sz w:val="18"/>
                      </w:rPr>
                      <w:t> </w:t>
                    </w:r>
                    <w:r>
                      <w:rPr>
                        <w:rFonts w:ascii="Symbol" w:hAnsi="Symbol"/>
                        <w:w w:val="105"/>
                        <w:sz w:val="18"/>
                      </w:rPr>
                      <w:t>×</w:t>
                    </w:r>
                    <w:r>
                      <w:rPr>
                        <w:w w:val="105"/>
                        <w:sz w:val="18"/>
                      </w:rPr>
                      <w:t>100 </w:t>
                    </w:r>
                    <w:r>
                      <w:rPr>
                        <w:rFonts w:ascii="Symbol" w:hAnsi="Symbol"/>
                        <w:w w:val="105"/>
                        <w:sz w:val="18"/>
                      </w:rPr>
                      <w:t>= </w:t>
                    </w:r>
                    <w:r>
                      <w:rPr>
                        <w:w w:val="105"/>
                        <w:sz w:val="18"/>
                      </w:rPr>
                      <w:t>20%</w:t>
                    </w:r>
                  </w:p>
                </w:txbxContent>
              </v:textbox>
              <w10:wrap type="none"/>
            </v:shape>
            <v:shape style="position:absolute;left:5252;top:9054;width:128;height:243" type="#_x0000_t202" filled="false" stroked="false">
              <v:textbox inset="0,0,0,0">
                <w:txbxContent>
                  <w:p>
                    <w:pPr>
                      <w:spacing w:before="39"/>
                      <w:ind w:left="0" w:right="0" w:firstLine="0"/>
                      <w:jc w:val="left"/>
                      <w:rPr>
                        <w:rFonts w:ascii="Symbol" w:hAnsi="Symbol"/>
                        <w:sz w:val="18"/>
                      </w:rPr>
                    </w:pPr>
                    <w:r>
                      <w:rPr>
                        <w:rFonts w:ascii="Symbol" w:hAnsi="Symbol"/>
                        <w:w w:val="99"/>
                        <w:sz w:val="18"/>
                      </w:rPr>
                      <w:t>µ</w:t>
                    </w:r>
                  </w:p>
                </w:txbxContent>
              </v:textbox>
              <w10:wrap type="none"/>
            </v:shape>
            <v:shape style="position:absolute;left:3641;top:8901;width:1297;height:221" type="#_x0000_t202" filled="false" stroked="false">
              <v:textbox inset="0,0,0,0">
                <w:txbxContent>
                  <w:p>
                    <w:pPr>
                      <w:spacing w:line="221" w:lineRule="exact" w:before="0"/>
                      <w:ind w:left="0" w:right="0" w:firstLine="0"/>
                      <w:jc w:val="left"/>
                      <w:rPr>
                        <w:sz w:val="20"/>
                      </w:rPr>
                    </w:pPr>
                    <w:r>
                      <w:rPr>
                        <w:sz w:val="20"/>
                      </w:rPr>
                      <w:t>% uncertainty =</w:t>
                    </w:r>
                  </w:p>
                </w:txbxContent>
              </v:textbox>
              <w10:wrap type="none"/>
            </v:shape>
            <v:shape style="position:absolute;left:1980;top:8337;width:1418;height:221" type="#_x0000_t202" filled="false" stroked="false">
              <v:textbox inset="0,0,0,0">
                <w:txbxContent>
                  <w:p>
                    <w:pPr>
                      <w:spacing w:line="221" w:lineRule="exact" w:before="0"/>
                      <w:ind w:left="0" w:right="0" w:firstLine="0"/>
                      <w:jc w:val="left"/>
                      <w:rPr>
                        <w:sz w:val="20"/>
                      </w:rPr>
                    </w:pPr>
                    <w:r>
                      <w:rPr>
                        <w:sz w:val="20"/>
                      </w:rPr>
                      <w:t>For this example:</w:t>
                    </w:r>
                  </w:p>
                </w:txbxContent>
              </v:textbox>
              <w10:wrap type="none"/>
            </v:shape>
            <v:shape style="position:absolute;left:7870;top:7800;width:409;height:244" type="#_x0000_t202" filled="false" stroked="false">
              <v:textbox inset="0,0,0,0">
                <w:txbxContent>
                  <w:p>
                    <w:pPr>
                      <w:spacing w:before="21"/>
                      <w:ind w:left="0" w:right="0" w:firstLine="0"/>
                      <w:jc w:val="left"/>
                      <w:rPr>
                        <w:sz w:val="18"/>
                      </w:rPr>
                    </w:pPr>
                    <w:r>
                      <w:rPr>
                        <w:rFonts w:ascii="Symbol" w:hAnsi="Symbol"/>
                        <w:w w:val="105"/>
                        <w:sz w:val="18"/>
                      </w:rPr>
                      <w:t>×</w:t>
                    </w:r>
                    <w:r>
                      <w:rPr>
                        <w:w w:val="105"/>
                        <w:sz w:val="18"/>
                      </w:rPr>
                      <w:t>100</w:t>
                    </w:r>
                  </w:p>
                </w:txbxContent>
              </v:textbox>
              <w10:wrap type="none"/>
            </v:shape>
            <v:shape style="position:absolute;left:6387;top:7947;width:128;height:244" type="#_x0000_t202" filled="false" stroked="false">
              <v:textbox inset="0,0,0,0">
                <w:txbxContent>
                  <w:p>
                    <w:pPr>
                      <w:spacing w:before="40"/>
                      <w:ind w:left="0" w:right="0" w:firstLine="0"/>
                      <w:jc w:val="left"/>
                      <w:rPr>
                        <w:rFonts w:ascii="Symbol" w:hAnsi="Symbol"/>
                        <w:sz w:val="18"/>
                      </w:rPr>
                    </w:pPr>
                    <w:r>
                      <w:rPr>
                        <w:rFonts w:ascii="Symbol" w:hAnsi="Symbol"/>
                        <w:w w:val="99"/>
                        <w:sz w:val="18"/>
                      </w:rPr>
                      <w:t>µ</w:t>
                    </w:r>
                  </w:p>
                </w:txbxContent>
              </v:textbox>
              <w10:wrap type="none"/>
            </v:shape>
            <v:shape style="position:absolute;left:3620;top:7795;width:1348;height:221" type="#_x0000_t202" filled="false" stroked="false">
              <v:textbox inset="0,0,0,0">
                <w:txbxContent>
                  <w:p>
                    <w:pPr>
                      <w:spacing w:line="221" w:lineRule="exact" w:before="0"/>
                      <w:ind w:left="0" w:right="0" w:firstLine="0"/>
                      <w:jc w:val="left"/>
                      <w:rPr>
                        <w:sz w:val="20"/>
                      </w:rPr>
                    </w:pPr>
                    <w:r>
                      <w:rPr>
                        <w:sz w:val="20"/>
                      </w:rPr>
                      <w:t>% uncertainty =</w:t>
                    </w:r>
                  </w:p>
                </w:txbxContent>
              </v:textbox>
              <w10:wrap type="none"/>
            </v:shape>
            <v:shape style="position:absolute;left:1980;top:7231;width:4655;height:221" type="#_x0000_t202" filled="false" stroked="false">
              <v:textbox inset="0,0,0,0">
                <w:txbxContent>
                  <w:p>
                    <w:pPr>
                      <w:spacing w:line="221" w:lineRule="exact" w:before="0"/>
                      <w:ind w:left="0" w:right="0" w:firstLine="0"/>
                      <w:jc w:val="left"/>
                      <w:rPr>
                        <w:sz w:val="20"/>
                      </w:rPr>
                    </w:pPr>
                    <w:r>
                      <w:rPr>
                        <w:sz w:val="20"/>
                      </w:rPr>
                      <w:t>In the </w:t>
                    </w:r>
                    <w:r>
                      <w:rPr>
                        <w:i/>
                        <w:sz w:val="20"/>
                      </w:rPr>
                      <w:t>GPG2000</w:t>
                    </w:r>
                    <w:r>
                      <w:rPr>
                        <w:sz w:val="20"/>
                      </w:rPr>
                      <w:t>, the percentage uncertainty is defined as:</w:t>
                    </w:r>
                  </w:p>
                </w:txbxContent>
              </v:textbox>
              <w10:wrap type="none"/>
            </v:shape>
            <v:shape style="position:absolute;left:8004;top:6389;width:501;height:260" type="#_x0000_t202" filled="false" stroked="false">
              <v:textbox inset="0,0,0,0">
                <w:txbxContent>
                  <w:p>
                    <w:pPr>
                      <w:spacing w:line="227" w:lineRule="exact" w:before="32"/>
                      <w:ind w:left="0" w:right="0" w:firstLine="0"/>
                      <w:jc w:val="left"/>
                      <w:rPr>
                        <w:rFonts w:ascii="Symbol" w:hAnsi="Symbol"/>
                        <w:sz w:val="20"/>
                      </w:rPr>
                    </w:pPr>
                    <w:r>
                      <w:rPr>
                        <w:rFonts w:ascii="Arial" w:hAnsi="Arial"/>
                        <w:sz w:val="18"/>
                      </w:rPr>
                      <w:t>µ +2</w:t>
                    </w:r>
                    <w:r>
                      <w:rPr>
                        <w:rFonts w:ascii="Symbol" w:hAnsi="Symbol"/>
                        <w:sz w:val="20"/>
                      </w:rPr>
                      <w:t>σ</w:t>
                    </w:r>
                  </w:p>
                </w:txbxContent>
              </v:textbox>
              <w10:wrap type="none"/>
            </v:shape>
            <v:shape style="position:absolute;left:6929;top:6389;width:400;height:260" type="#_x0000_t202" filled="false" stroked="false">
              <v:textbox inset="0,0,0,0">
                <w:txbxContent>
                  <w:p>
                    <w:pPr>
                      <w:spacing w:line="227" w:lineRule="exact" w:before="32"/>
                      <w:ind w:left="0" w:right="0" w:firstLine="0"/>
                      <w:jc w:val="left"/>
                      <w:rPr>
                        <w:rFonts w:ascii="Symbol" w:hAnsi="Symbol"/>
                        <w:sz w:val="20"/>
                      </w:rPr>
                    </w:pPr>
                    <w:r>
                      <w:rPr>
                        <w:rFonts w:ascii="Arial" w:hAnsi="Arial"/>
                        <w:sz w:val="18"/>
                      </w:rPr>
                      <w:t>µ +</w:t>
                    </w:r>
                    <w:r>
                      <w:rPr>
                        <w:rFonts w:ascii="Symbol" w:hAnsi="Symbol"/>
                        <w:sz w:val="20"/>
                      </w:rPr>
                      <w:t>σ</w:t>
                    </w:r>
                  </w:p>
                </w:txbxContent>
              </v:textbox>
              <w10:wrap type="none"/>
            </v:shape>
            <v:shape style="position:absolute;left:6053;top:6393;width:124;height:202" type="#_x0000_t202" filled="false" stroked="false">
              <v:textbox inset="0,0,0,0">
                <w:txbxContent>
                  <w:p>
                    <w:pPr>
                      <w:spacing w:line="201" w:lineRule="exact" w:before="0"/>
                      <w:ind w:left="0" w:right="0" w:firstLine="0"/>
                      <w:jc w:val="left"/>
                      <w:rPr>
                        <w:rFonts w:ascii="Arial" w:hAnsi="Arial"/>
                        <w:sz w:val="18"/>
                      </w:rPr>
                    </w:pPr>
                    <w:r>
                      <w:rPr>
                        <w:rFonts w:ascii="Arial" w:hAnsi="Arial"/>
                        <w:sz w:val="18"/>
                      </w:rPr>
                      <w:t>µ</w:t>
                    </w:r>
                  </w:p>
                </w:txbxContent>
              </v:textbox>
              <w10:wrap type="none"/>
            </v:shape>
            <v:shape style="position:absolute;left:4872;top:6389;width:354;height:260" type="#_x0000_t202" filled="false" stroked="false">
              <v:textbox inset="0,0,0,0">
                <w:txbxContent>
                  <w:p>
                    <w:pPr>
                      <w:spacing w:line="227" w:lineRule="exact" w:before="32"/>
                      <w:ind w:left="0" w:right="0" w:firstLine="0"/>
                      <w:jc w:val="left"/>
                      <w:rPr>
                        <w:rFonts w:ascii="Symbol" w:hAnsi="Symbol"/>
                        <w:sz w:val="20"/>
                      </w:rPr>
                    </w:pPr>
                    <w:r>
                      <w:rPr>
                        <w:rFonts w:ascii="Arial" w:hAnsi="Arial"/>
                        <w:sz w:val="18"/>
                      </w:rPr>
                      <w:t>µ -</w:t>
                    </w:r>
                    <w:r>
                      <w:rPr>
                        <w:rFonts w:ascii="Symbol" w:hAnsi="Symbol"/>
                        <w:sz w:val="20"/>
                      </w:rPr>
                      <w:t>σ</w:t>
                    </w:r>
                  </w:p>
                </w:txbxContent>
              </v:textbox>
              <w10:wrap type="none"/>
            </v:shape>
            <v:shape style="position:absolute;left:3857;top:6389;width:455;height:260" type="#_x0000_t202" filled="false" stroked="false">
              <v:textbox inset="0,0,0,0">
                <w:txbxContent>
                  <w:p>
                    <w:pPr>
                      <w:spacing w:line="227" w:lineRule="exact" w:before="32"/>
                      <w:ind w:left="0" w:right="0" w:firstLine="0"/>
                      <w:jc w:val="left"/>
                      <w:rPr>
                        <w:rFonts w:ascii="Symbol" w:hAnsi="Symbol"/>
                        <w:sz w:val="20"/>
                      </w:rPr>
                    </w:pPr>
                    <w:r>
                      <w:rPr>
                        <w:rFonts w:ascii="Arial" w:hAnsi="Arial"/>
                        <w:sz w:val="18"/>
                      </w:rPr>
                      <w:t>µ -2</w:t>
                    </w:r>
                    <w:r>
                      <w:rPr>
                        <w:rFonts w:ascii="Symbol" w:hAnsi="Symbol"/>
                        <w:sz w:val="20"/>
                      </w:rPr>
                      <w:t>σ</w:t>
                    </w:r>
                  </w:p>
                </w:txbxContent>
              </v:textbox>
              <w10:wrap type="none"/>
            </v:shape>
            <v:shape style="position:absolute;left:4440;top:446;width:2981;height:406" type="#_x0000_t202" filled="false" stroked="false">
              <v:textbox inset="0,0,0,0">
                <w:txbxContent>
                  <w:p>
                    <w:pPr>
                      <w:spacing w:line="199" w:lineRule="exact" w:before="0"/>
                      <w:ind w:left="2" w:right="18" w:firstLine="0"/>
                      <w:jc w:val="center"/>
                      <w:rPr>
                        <w:b/>
                        <w:sz w:val="18"/>
                      </w:rPr>
                    </w:pPr>
                    <w:r>
                      <w:rPr>
                        <w:b/>
                        <w:sz w:val="18"/>
                      </w:rPr>
                      <w:t>B</w:t>
                    </w:r>
                    <w:r>
                      <w:rPr>
                        <w:b/>
                        <w:sz w:val="14"/>
                      </w:rPr>
                      <w:t>OX </w:t>
                    </w:r>
                    <w:r>
                      <w:rPr>
                        <w:b/>
                        <w:sz w:val="18"/>
                      </w:rPr>
                      <w:t>5.2.1</w:t>
                    </w:r>
                  </w:p>
                  <w:p>
                    <w:pPr>
                      <w:spacing w:line="207" w:lineRule="exact" w:before="0"/>
                      <w:ind w:left="-1" w:right="18" w:firstLine="0"/>
                      <w:jc w:val="center"/>
                      <w:rPr>
                        <w:b/>
                        <w:sz w:val="14"/>
                      </w:rPr>
                    </w:pPr>
                    <w:r>
                      <w:rPr>
                        <w:b/>
                        <w:sz w:val="18"/>
                      </w:rPr>
                      <w:t>E</w:t>
                    </w:r>
                    <w:r>
                      <w:rPr>
                        <w:b/>
                        <w:sz w:val="14"/>
                      </w:rPr>
                      <w:t>XAMPLE OF UNCERTAINTY</w:t>
                    </w:r>
                    <w:r>
                      <w:rPr>
                        <w:b/>
                        <w:spacing w:val="-14"/>
                        <w:sz w:val="14"/>
                      </w:rPr>
                      <w:t> </w:t>
                    </w:r>
                    <w:r>
                      <w:rPr>
                        <w:b/>
                        <w:sz w:val="14"/>
                      </w:rPr>
                      <w:t>EXPRESSION</w:t>
                    </w:r>
                  </w:p>
                </w:txbxContent>
              </v:textbox>
              <w10:wrap type="none"/>
            </v:shape>
            <w10:wrap type="topAndBottom"/>
          </v:group>
        </w:pict>
      </w:r>
    </w:p>
    <w:p>
      <w:pPr>
        <w:spacing w:after="0"/>
        <w:rPr>
          <w:sz w:val="16"/>
        </w:rPr>
        <w:sectPr>
          <w:headerReference w:type="even" r:id="rId376"/>
          <w:headerReference w:type="default" r:id="rId377"/>
          <w:pgSz w:w="11900" w:h="16840"/>
          <w:pgMar w:header="230" w:footer="408" w:top="560" w:bottom="600" w:left="1240" w:right="0"/>
        </w:sectPr>
      </w:pPr>
    </w:p>
    <w:p>
      <w:pPr>
        <w:pStyle w:val="BodyText"/>
      </w:pPr>
    </w:p>
    <w:p>
      <w:pPr>
        <w:pStyle w:val="Heading2"/>
        <w:numPr>
          <w:ilvl w:val="2"/>
          <w:numId w:val="173"/>
        </w:numPr>
        <w:tabs>
          <w:tab w:pos="1382" w:val="left" w:leader="none"/>
        </w:tabs>
        <w:spacing w:line="240" w:lineRule="auto" w:before="215" w:after="0"/>
        <w:ind w:left="1381" w:right="0" w:hanging="1202"/>
        <w:jc w:val="both"/>
      </w:pPr>
      <w:bookmarkStart w:name="_TOC_250051" w:id="4"/>
      <w:r>
        <w:rPr>
          <w:spacing w:val="8"/>
        </w:rPr>
        <w:t>Methods </w:t>
      </w:r>
      <w:r>
        <w:rPr>
          <w:spacing w:val="4"/>
        </w:rPr>
        <w:t>to </w:t>
      </w:r>
      <w:r>
        <w:rPr>
          <w:spacing w:val="8"/>
        </w:rPr>
        <w:t>Combine</w:t>
      </w:r>
      <w:r>
        <w:rPr>
          <w:spacing w:val="49"/>
        </w:rPr>
        <w:t> </w:t>
      </w:r>
      <w:bookmarkEnd w:id="4"/>
      <w:r>
        <w:rPr>
          <w:spacing w:val="9"/>
        </w:rPr>
        <w:t>Uncertainties</w:t>
      </w:r>
    </w:p>
    <w:p>
      <w:pPr>
        <w:pStyle w:val="BodyText"/>
        <w:spacing w:before="116"/>
        <w:ind w:left="179" w:right="1403"/>
        <w:jc w:val="both"/>
      </w:pPr>
      <w:r>
        <w:rPr/>
        <w:t>Estimated carbon stock changes, emissions and removals arising from LULUCF activities have uncertainties associated with area or other activity data, biomass growth rates, expansion factors and other coefficients. This section describes how to combine these uncertainties at the category level and how to estimate the uncertainty in level and trend in the inventory as a whole. It assumes that the uncertainties of the various input data estimates are available, either as default values given in Chapters 2, 3 and 4 of this report, expert judgement, or estimates based of sound statistical sampling (Section 5.3).</w:t>
      </w:r>
    </w:p>
    <w:p>
      <w:pPr>
        <w:pStyle w:val="BodyText"/>
        <w:spacing w:before="117"/>
        <w:ind w:left="179" w:right="1405"/>
        <w:jc w:val="both"/>
      </w:pPr>
      <w:r>
        <w:rPr/>
        <w:t>In </w:t>
      </w:r>
      <w:r>
        <w:rPr>
          <w:i/>
        </w:rPr>
        <w:t>GPG2000</w:t>
      </w:r>
      <w:r>
        <w:rPr/>
        <w:t>, two methods for the estimation of combined uncertainties are presented: a Tier 1 method using simple error propagation equations, and a Tier 2 method using Monte Carlo or similar techniques. Both methods are applicable when dealing with the LULUCF sector. However, some specific considerations have to be highlighted, because net emissions can be negative if both emissions and removals are taken into account. Inventory agencies may also apply national methods for estimating the overall uncertainty, e.g., error propagation methods that avoid the simplifying approximations associated with the Tier 1 method. In this case, </w:t>
      </w:r>
      <w:r>
        <w:rPr>
          <w:spacing w:val="-3"/>
        </w:rPr>
        <w:t>it </w:t>
      </w:r>
      <w:r>
        <w:rPr/>
        <w:t>is </w:t>
      </w:r>
      <w:r>
        <w:rPr>
          <w:i/>
        </w:rPr>
        <w:t>good practice </w:t>
      </w:r>
      <w:r>
        <w:rPr/>
        <w:t>to clearly document such</w:t>
      </w:r>
      <w:r>
        <w:rPr>
          <w:spacing w:val="-2"/>
        </w:rPr>
        <w:t> </w:t>
      </w:r>
      <w:r>
        <w:rPr/>
        <w:t>methods.</w:t>
      </w:r>
    </w:p>
    <w:p>
      <w:pPr>
        <w:pStyle w:val="BodyText"/>
        <w:spacing w:before="119"/>
        <w:ind w:left="179" w:right="1404"/>
        <w:jc w:val="both"/>
      </w:pPr>
      <w:r>
        <w:rPr/>
        <w:t>Use of either Tier 1 or Tier 2 will provide insight into how individual categories and greenhouse gases contribute to the uncertainty in total emissions in any given year, and to the trend in total emissions between years. Being spreadsheet based, the Tier 1 method is easy to apply, and it is </w:t>
      </w:r>
      <w:r>
        <w:rPr>
          <w:i/>
        </w:rPr>
        <w:t>good practice </w:t>
      </w:r>
      <w:r>
        <w:rPr/>
        <w:t>for all countries to undertake an uncertainty analysis according to Tier 1. Inventory agencies may also undertake uncertainty analysis according to Tier 2 or national methods. The uncertainty estimates of the LULUCF sector can be combined with the uncertainty estimates of the non- LULUCF sector (derived using the </w:t>
      </w:r>
      <w:r>
        <w:rPr>
          <w:i/>
        </w:rPr>
        <w:t>good practice </w:t>
      </w:r>
      <w:r>
        <w:rPr/>
        <w:t>methods outlined in </w:t>
      </w:r>
      <w:r>
        <w:rPr>
          <w:i/>
        </w:rPr>
        <w:t>GPG2000</w:t>
      </w:r>
      <w:r>
        <w:rPr/>
        <w:t>) to obtain the total inventory</w:t>
      </w:r>
      <w:r>
        <w:rPr>
          <w:spacing w:val="-3"/>
        </w:rPr>
        <w:t> </w:t>
      </w:r>
      <w:r>
        <w:rPr/>
        <w:t>uncertainty.</w:t>
      </w:r>
    </w:p>
    <w:p>
      <w:pPr>
        <w:pStyle w:val="BodyText"/>
        <w:rPr>
          <w:sz w:val="22"/>
        </w:rPr>
      </w:pPr>
    </w:p>
    <w:p>
      <w:pPr>
        <w:pStyle w:val="ListParagraph"/>
        <w:numPr>
          <w:ilvl w:val="3"/>
          <w:numId w:val="173"/>
        </w:numPr>
        <w:tabs>
          <w:tab w:pos="1620" w:val="left" w:leader="none"/>
        </w:tabs>
        <w:spacing w:line="240" w:lineRule="auto" w:before="148" w:after="0"/>
        <w:ind w:left="1619" w:right="0" w:hanging="1440"/>
        <w:jc w:val="both"/>
        <w:rPr>
          <w:b/>
          <w:sz w:val="22"/>
        </w:rPr>
      </w:pPr>
      <w:r>
        <w:rPr>
          <w:b/>
          <w:spacing w:val="14"/>
          <w:sz w:val="28"/>
        </w:rPr>
        <w:t>T</w:t>
      </w:r>
      <w:r>
        <w:rPr>
          <w:b/>
          <w:spacing w:val="14"/>
          <w:sz w:val="22"/>
        </w:rPr>
        <w:t>IER </w:t>
      </w:r>
      <w:r>
        <w:rPr>
          <w:b/>
          <w:sz w:val="28"/>
        </w:rPr>
        <w:t>1 – </w:t>
      </w:r>
      <w:r>
        <w:rPr>
          <w:b/>
          <w:spacing w:val="16"/>
          <w:sz w:val="28"/>
        </w:rPr>
        <w:t>S</w:t>
      </w:r>
      <w:r>
        <w:rPr>
          <w:b/>
          <w:spacing w:val="16"/>
          <w:sz w:val="22"/>
        </w:rPr>
        <w:t>IMPLE </w:t>
      </w:r>
      <w:r>
        <w:rPr>
          <w:b/>
          <w:spacing w:val="17"/>
          <w:sz w:val="28"/>
        </w:rPr>
        <w:t>P</w:t>
      </w:r>
      <w:r>
        <w:rPr>
          <w:b/>
          <w:spacing w:val="17"/>
          <w:sz w:val="22"/>
        </w:rPr>
        <w:t>ROPAGATION</w:t>
      </w:r>
      <w:r>
        <w:rPr>
          <w:b/>
          <w:spacing w:val="30"/>
          <w:sz w:val="22"/>
        </w:rPr>
        <w:t> </w:t>
      </w:r>
      <w:r>
        <w:rPr>
          <w:b/>
          <w:spacing w:val="10"/>
          <w:sz w:val="22"/>
        </w:rPr>
        <w:t>OF </w:t>
      </w:r>
      <w:r>
        <w:rPr>
          <w:b/>
          <w:spacing w:val="15"/>
          <w:sz w:val="28"/>
        </w:rPr>
        <w:t>E</w:t>
      </w:r>
      <w:r>
        <w:rPr>
          <w:b/>
          <w:spacing w:val="15"/>
          <w:sz w:val="22"/>
        </w:rPr>
        <w:t>RRORS</w:t>
      </w:r>
    </w:p>
    <w:p>
      <w:pPr>
        <w:pStyle w:val="BodyText"/>
        <w:spacing w:before="208"/>
        <w:ind w:left="179" w:right="1403" w:hanging="1"/>
        <w:jc w:val="both"/>
      </w:pPr>
      <w:r>
        <w:rPr/>
        <w:t>The Tier 1 </w:t>
      </w:r>
      <w:r>
        <w:rPr>
          <w:spacing w:val="-3"/>
        </w:rPr>
        <w:t>method </w:t>
      </w:r>
      <w:r>
        <w:rPr>
          <w:spacing w:val="-2"/>
        </w:rPr>
        <w:t>for </w:t>
      </w:r>
      <w:r>
        <w:rPr/>
        <w:t>combining </w:t>
      </w:r>
      <w:r>
        <w:rPr>
          <w:spacing w:val="-2"/>
        </w:rPr>
        <w:t>uncertainties </w:t>
      </w:r>
      <w:r>
        <w:rPr/>
        <w:t>is based on the error propagation equation </w:t>
      </w:r>
      <w:r>
        <w:rPr>
          <w:spacing w:val="-3"/>
        </w:rPr>
        <w:t>introduced </w:t>
      </w:r>
      <w:r>
        <w:rPr/>
        <w:t>in Section </w:t>
      </w:r>
      <w:r>
        <w:rPr>
          <w:spacing w:val="-3"/>
        </w:rPr>
        <w:t>A1.4.3.1 </w:t>
      </w:r>
      <w:r>
        <w:rPr/>
        <w:t>(Error Propagation Equation) in the Annex 1 (Conceptual Basis </w:t>
      </w:r>
      <w:r>
        <w:rPr>
          <w:spacing w:val="-2"/>
        </w:rPr>
        <w:t>for </w:t>
      </w:r>
      <w:r>
        <w:rPr/>
        <w:t>Uncertainty </w:t>
      </w:r>
      <w:r>
        <w:rPr>
          <w:spacing w:val="-3"/>
        </w:rPr>
        <w:t>Analysis) </w:t>
      </w:r>
      <w:r>
        <w:rPr/>
        <w:t>of </w:t>
      </w:r>
      <w:r>
        <w:rPr>
          <w:i/>
        </w:rPr>
        <w:t>GPG2000</w:t>
      </w:r>
      <w:r>
        <w:rPr/>
        <w:t>. Practical</w:t>
      </w:r>
      <w:r>
        <w:rPr>
          <w:spacing w:val="-1"/>
        </w:rPr>
        <w:t> </w:t>
      </w:r>
      <w:r>
        <w:rPr/>
        <w:t>guidance</w:t>
      </w:r>
      <w:r>
        <w:rPr>
          <w:spacing w:val="-3"/>
        </w:rPr>
        <w:t> </w:t>
      </w:r>
      <w:r>
        <w:rPr/>
        <w:t>on</w:t>
      </w:r>
      <w:r>
        <w:rPr>
          <w:spacing w:val="-2"/>
        </w:rPr>
        <w:t> </w:t>
      </w:r>
      <w:r>
        <w:rPr/>
        <w:t>how</w:t>
      </w:r>
      <w:r>
        <w:rPr>
          <w:spacing w:val="-5"/>
        </w:rPr>
        <w:t> </w:t>
      </w:r>
      <w:r>
        <w:rPr/>
        <w:t>to</w:t>
      </w:r>
      <w:r>
        <w:rPr>
          <w:spacing w:val="-3"/>
        </w:rPr>
        <w:t> </w:t>
      </w:r>
      <w:r>
        <w:rPr/>
        <w:t>apply</w:t>
      </w:r>
      <w:r>
        <w:rPr>
          <w:spacing w:val="-7"/>
        </w:rPr>
        <w:t> </w:t>
      </w:r>
      <w:r>
        <w:rPr/>
        <w:t>the</w:t>
      </w:r>
      <w:r>
        <w:rPr>
          <w:spacing w:val="-3"/>
        </w:rPr>
        <w:t> </w:t>
      </w:r>
      <w:r>
        <w:rPr/>
        <w:t>Tier</w:t>
      </w:r>
      <w:r>
        <w:rPr>
          <w:spacing w:val="-4"/>
        </w:rPr>
        <w:t> </w:t>
      </w:r>
      <w:r>
        <w:rPr/>
        <w:t>1</w:t>
      </w:r>
      <w:r>
        <w:rPr>
          <w:spacing w:val="-2"/>
        </w:rPr>
        <w:t> </w:t>
      </w:r>
      <w:r>
        <w:rPr>
          <w:spacing w:val="-3"/>
        </w:rPr>
        <w:t>method</w:t>
      </w:r>
      <w:r>
        <w:rPr>
          <w:spacing w:val="-1"/>
        </w:rPr>
        <w:t> </w:t>
      </w:r>
      <w:r>
        <w:rPr>
          <w:spacing w:val="-2"/>
        </w:rPr>
        <w:t>for </w:t>
      </w:r>
      <w:r>
        <w:rPr/>
        <w:t>uncertainty</w:t>
      </w:r>
      <w:r>
        <w:rPr>
          <w:spacing w:val="-4"/>
        </w:rPr>
        <w:t> </w:t>
      </w:r>
      <w:r>
        <w:rPr/>
        <w:t>analysis</w:t>
      </w:r>
      <w:r>
        <w:rPr>
          <w:spacing w:val="-2"/>
        </w:rPr>
        <w:t> </w:t>
      </w:r>
      <w:r>
        <w:rPr/>
        <w:t>of</w:t>
      </w:r>
      <w:r>
        <w:rPr>
          <w:spacing w:val="-5"/>
        </w:rPr>
        <w:t> </w:t>
      </w:r>
      <w:r>
        <w:rPr/>
        <w:t>emission</w:t>
      </w:r>
      <w:r>
        <w:rPr>
          <w:spacing w:val="-4"/>
        </w:rPr>
        <w:t> </w:t>
      </w:r>
      <w:r>
        <w:rPr/>
        <w:t>estimates</w:t>
      </w:r>
      <w:r>
        <w:rPr>
          <w:spacing w:val="-3"/>
        </w:rPr>
        <w:t> </w:t>
      </w:r>
      <w:r>
        <w:rPr/>
        <w:t>is</w:t>
      </w:r>
      <w:r>
        <w:rPr>
          <w:spacing w:val="-3"/>
        </w:rPr>
        <w:t> provided</w:t>
      </w:r>
      <w:r>
        <w:rPr>
          <w:spacing w:val="-2"/>
        </w:rPr>
        <w:t> </w:t>
      </w:r>
      <w:r>
        <w:rPr/>
        <w:t>in Section</w:t>
      </w:r>
      <w:r>
        <w:rPr>
          <w:spacing w:val="-14"/>
        </w:rPr>
        <w:t> </w:t>
      </w:r>
      <w:r>
        <w:rPr/>
        <w:t>6.3.2</w:t>
      </w:r>
      <w:r>
        <w:rPr>
          <w:spacing w:val="-12"/>
        </w:rPr>
        <w:t> </w:t>
      </w:r>
      <w:r>
        <w:rPr/>
        <w:t>(Tier</w:t>
      </w:r>
      <w:r>
        <w:rPr>
          <w:spacing w:val="-11"/>
        </w:rPr>
        <w:t> </w:t>
      </w:r>
      <w:r>
        <w:rPr/>
        <w:t>1</w:t>
      </w:r>
      <w:r>
        <w:rPr>
          <w:spacing w:val="-12"/>
        </w:rPr>
        <w:t> </w:t>
      </w:r>
      <w:r>
        <w:rPr/>
        <w:t>–</w:t>
      </w:r>
      <w:r>
        <w:rPr>
          <w:spacing w:val="-12"/>
        </w:rPr>
        <w:t> </w:t>
      </w:r>
      <w:r>
        <w:rPr>
          <w:spacing w:val="-2"/>
        </w:rPr>
        <w:t>Estimating</w:t>
      </w:r>
      <w:r>
        <w:rPr>
          <w:spacing w:val="-13"/>
        </w:rPr>
        <w:t> </w:t>
      </w:r>
      <w:r>
        <w:rPr/>
        <w:t>Uncertainties</w:t>
      </w:r>
      <w:r>
        <w:rPr>
          <w:spacing w:val="-14"/>
        </w:rPr>
        <w:t> </w:t>
      </w:r>
      <w:r>
        <w:rPr/>
        <w:t>by</w:t>
      </w:r>
      <w:r>
        <w:rPr>
          <w:spacing w:val="-13"/>
        </w:rPr>
        <w:t> </w:t>
      </w:r>
      <w:r>
        <w:rPr/>
        <w:t>Source</w:t>
      </w:r>
      <w:r>
        <w:rPr>
          <w:spacing w:val="-10"/>
        </w:rPr>
        <w:t> </w:t>
      </w:r>
      <w:r>
        <w:rPr/>
        <w:t>Category</w:t>
      </w:r>
      <w:r>
        <w:rPr>
          <w:spacing w:val="-12"/>
        </w:rPr>
        <w:t> </w:t>
      </w:r>
      <w:r>
        <w:rPr>
          <w:spacing w:val="-3"/>
        </w:rPr>
        <w:t>with</w:t>
      </w:r>
      <w:r>
        <w:rPr>
          <w:spacing w:val="-12"/>
        </w:rPr>
        <w:t> </w:t>
      </w:r>
      <w:r>
        <w:rPr/>
        <w:t>Simplifying</w:t>
      </w:r>
      <w:r>
        <w:rPr>
          <w:spacing w:val="-12"/>
        </w:rPr>
        <w:t> </w:t>
      </w:r>
      <w:r>
        <w:rPr>
          <w:spacing w:val="-3"/>
        </w:rPr>
        <w:t>Assumptions)</w:t>
      </w:r>
      <w:r>
        <w:rPr>
          <w:spacing w:val="-11"/>
        </w:rPr>
        <w:t> </w:t>
      </w:r>
      <w:r>
        <w:rPr/>
        <w:t>of</w:t>
      </w:r>
      <w:r>
        <w:rPr>
          <w:spacing w:val="-11"/>
        </w:rPr>
        <w:t> </w:t>
      </w:r>
      <w:r>
        <w:rPr>
          <w:i/>
        </w:rPr>
        <w:t>GPG2000</w:t>
      </w:r>
      <w:r>
        <w:rPr/>
        <w:t>.</w:t>
      </w:r>
    </w:p>
    <w:p>
      <w:pPr>
        <w:pStyle w:val="BodyText"/>
        <w:spacing w:before="120"/>
        <w:ind w:left="179" w:right="1405"/>
        <w:jc w:val="both"/>
      </w:pPr>
      <w:r>
        <w:rPr/>
        <w:t>For the estimation of trend uncertainties, the method described in Section 6.3.2 of </w:t>
      </w:r>
      <w:r>
        <w:rPr>
          <w:i/>
        </w:rPr>
        <w:t>GPG2000 </w:t>
      </w:r>
      <w:r>
        <w:rPr/>
        <w:t>can be used when emissions and removals are summed. Table 6.1, Tier 1 Uncertainty Calculation and Reporting, of </w:t>
      </w:r>
      <w:r>
        <w:rPr>
          <w:i/>
        </w:rPr>
        <w:t>GPG2000 </w:t>
      </w:r>
      <w:r>
        <w:rPr/>
        <w:t>can also be applied with the implementation of a Tier 1 uncertainty calculation including the LULUCF sector.</w:t>
      </w:r>
    </w:p>
    <w:p>
      <w:pPr>
        <w:pStyle w:val="BodyText"/>
        <w:spacing w:before="118"/>
        <w:ind w:left="179" w:right="1406"/>
        <w:jc w:val="both"/>
      </w:pPr>
      <w:r>
        <w:rPr/>
        <w:t>Equation 5.2.1 can be used to estimate the uncertainty of a product of several quantities, e.g., when an emission estimate is expressed as the product of an emission factor and activity data. It applies where there is no significant correlation among data and where uncertainties are relatively small (standard deviation less than about 30% of the mean). The equation can also be used to give approximate results where uncertainties are larger than this. Where significant correlation exists, Equation 5.2.1 can be modified based on the equation provided in Section A1.4.3.1 of </w:t>
      </w:r>
      <w:r>
        <w:rPr>
          <w:i/>
        </w:rPr>
        <w:t>GPG2000</w:t>
      </w:r>
      <w:r>
        <w:rPr/>
        <w:t>, or the data can be aggregated following the guidance in Box 5.2.2 in this section and the paragraphs on dependence and correlation in Section</w:t>
      </w:r>
      <w:r>
        <w:rPr>
          <w:spacing w:val="-3"/>
        </w:rPr>
        <w:t> </w:t>
      </w:r>
      <w:r>
        <w:rPr/>
        <w:t>5.2.2.2.</w:t>
      </w:r>
    </w:p>
    <w:p>
      <w:pPr>
        <w:pStyle w:val="BodyText"/>
        <w:spacing w:before="8"/>
        <w:rPr>
          <w:sz w:val="9"/>
        </w:rPr>
      </w:pPr>
      <w:r>
        <w:rPr/>
        <w:pict>
          <v:group style="position:absolute;margin-left:91.240997pt;margin-top:8.323184pt;width:412.95pt;height:59.9pt;mso-position-horizontal-relative:page;mso-position-vertical-relative:paragraph;z-index:26096;mso-wrap-distance-left:0;mso-wrap-distance-right:0" coordorigin="1825,166" coordsize="8259,1198">
            <v:line style="position:absolute" from="1854,181" to="10054,181" stroked="true" strokeweight="1.44pt" strokecolor="#000000">
              <v:stroke dashstyle="solid"/>
            </v:line>
            <v:line style="position:absolute" from="1854,1350" to="10054,1350" stroked="true" strokeweight="1.44pt" strokecolor="#000000">
              <v:stroke dashstyle="solid"/>
            </v:line>
            <v:line style="position:absolute" from="1839,166" to="1839,1364" stroked="true" strokeweight="1.44pt" strokecolor="#000000">
              <v:stroke dashstyle="solid"/>
            </v:line>
            <v:line style="position:absolute" from="10069,166" to="10069,1364" stroked="true" strokeweight="1.44pt" strokecolor="#000000">
              <v:stroke dashstyle="solid"/>
            </v:line>
            <v:shape style="position:absolute;left:4853;top:914;width:575;height:262" type="#_x0000_t202" filled="false" stroked="false">
              <v:textbox inset="0,0,0,0">
                <w:txbxContent>
                  <w:p>
                    <w:pPr>
                      <w:spacing w:line="246" w:lineRule="exact" w:before="15"/>
                      <w:ind w:left="0" w:right="0" w:firstLine="0"/>
                      <w:jc w:val="left"/>
                      <w:rPr>
                        <w:rFonts w:ascii="Symbol"/>
                        <w:sz w:val="20"/>
                      </w:rPr>
                    </w:pPr>
                    <w:r>
                      <w:rPr>
                        <w:position w:val="1"/>
                        <w:sz w:val="20"/>
                      </w:rPr>
                      <w:t>U</w:t>
                    </w:r>
                    <w:r>
                      <w:rPr>
                        <w:sz w:val="12"/>
                      </w:rPr>
                      <w:t>total </w:t>
                    </w:r>
                    <w:r>
                      <w:rPr>
                        <w:rFonts w:ascii="Symbol"/>
                        <w:position w:val="1"/>
                        <w:sz w:val="20"/>
                      </w:rPr>
                      <w:t>=</w:t>
                    </w:r>
                  </w:p>
                </w:txbxContent>
              </v:textbox>
              <w10:wrap type="none"/>
            </v:shape>
            <v:shape style="position:absolute;left:3884;top:303;width:4160;height:452" type="#_x0000_t202" filled="false" stroked="false">
              <v:textbox inset="0,0,0,0">
                <w:txbxContent>
                  <w:p>
                    <w:pPr>
                      <w:spacing w:line="221" w:lineRule="exact" w:before="0"/>
                      <w:ind w:left="0" w:right="21" w:firstLine="0"/>
                      <w:jc w:val="center"/>
                      <w:rPr>
                        <w:b/>
                        <w:sz w:val="20"/>
                      </w:rPr>
                    </w:pPr>
                    <w:r>
                      <w:rPr>
                        <w:b/>
                        <w:sz w:val="20"/>
                      </w:rPr>
                      <w:t>E</w:t>
                    </w:r>
                    <w:r>
                      <w:rPr>
                        <w:b/>
                        <w:sz w:val="16"/>
                      </w:rPr>
                      <w:t>QUATION </w:t>
                    </w:r>
                    <w:r>
                      <w:rPr>
                        <w:b/>
                        <w:sz w:val="20"/>
                      </w:rPr>
                      <w:t>5.2.1</w:t>
                    </w:r>
                  </w:p>
                  <w:p>
                    <w:pPr>
                      <w:spacing w:before="0"/>
                      <w:ind w:left="0" w:right="18" w:firstLine="0"/>
                      <w:jc w:val="center"/>
                      <w:rPr>
                        <w:b/>
                        <w:sz w:val="20"/>
                      </w:rPr>
                    </w:pPr>
                    <w:r>
                      <w:rPr>
                        <w:b/>
                        <w:sz w:val="20"/>
                      </w:rPr>
                      <w:t>E</w:t>
                    </w:r>
                    <w:r>
                      <w:rPr>
                        <w:b/>
                        <w:sz w:val="16"/>
                      </w:rPr>
                      <w:t>STIMATING CATEGORY UNCERTAINTIES </w:t>
                    </w:r>
                    <w:r>
                      <w:rPr>
                        <w:b/>
                        <w:sz w:val="20"/>
                      </w:rPr>
                      <w:t>(T</w:t>
                    </w:r>
                    <w:r>
                      <w:rPr>
                        <w:b/>
                        <w:sz w:val="16"/>
                      </w:rPr>
                      <w:t>IER </w:t>
                    </w:r>
                    <w:r>
                      <w:rPr>
                        <w:b/>
                        <w:sz w:val="20"/>
                      </w:rPr>
                      <w:t>1)</w:t>
                    </w:r>
                  </w:p>
                </w:txbxContent>
              </v:textbox>
              <w10:wrap type="none"/>
            </v:shape>
            <w10:wrap type="topAndBottom"/>
          </v:group>
        </w:pict>
      </w:r>
    </w:p>
    <w:p>
      <w:pPr>
        <w:pStyle w:val="BodyText"/>
        <w:spacing w:before="2"/>
        <w:rPr>
          <w:sz w:val="11"/>
        </w:rPr>
      </w:pPr>
    </w:p>
    <w:p>
      <w:pPr>
        <w:pStyle w:val="BodyText"/>
        <w:spacing w:before="92"/>
        <w:ind w:left="179"/>
      </w:pPr>
      <w:r>
        <w:rPr/>
        <w:pict>
          <v:group style="position:absolute;margin-left:273.033508pt;margin-top:-32.631252pt;width:79.5pt;height:15.15pt;mso-position-horizontal-relative:page;mso-position-vertical-relative:paragraph;z-index:28240" coordorigin="5461,-653" coordsize="1590,303">
            <v:line style="position:absolute" from="5466,-453" to="5492,-468" stroked="true" strokeweight=".495pt" strokecolor="#000000">
              <v:stroke dashstyle="solid"/>
            </v:line>
            <v:line style="position:absolute" from="5492,-463" to="5526,-367" stroked="true" strokeweight=".991pt" strokecolor="#000000">
              <v:stroke dashstyle="solid"/>
            </v:line>
            <v:shape style="position:absolute;left:5532;top:-648;width:1512;height:281" coordorigin="5533,-648" coordsize="1512,281" path="m5533,-367l5581,-648,7045,-648e" filled="false" stroked="true" strokeweight=".495pt" strokecolor="#000000">
              <v:path arrowok="t"/>
              <v:stroke dashstyle="solid"/>
            </v:shape>
            <v:shape style="position:absolute;left:6946;top:-518;width:81;height:134" type="#_x0000_t202" filled="false" stroked="false">
              <v:textbox inset="0,0,0,0">
                <w:txbxContent>
                  <w:p>
                    <w:pPr>
                      <w:spacing w:line="133" w:lineRule="exact" w:before="0"/>
                      <w:ind w:left="0" w:right="0" w:firstLine="0"/>
                      <w:jc w:val="left"/>
                      <w:rPr>
                        <w:sz w:val="12"/>
                      </w:rPr>
                    </w:pPr>
                    <w:r>
                      <w:rPr>
                        <w:w w:val="100"/>
                        <w:sz w:val="12"/>
                      </w:rPr>
                      <w:t>n</w:t>
                    </w:r>
                  </w:p>
                </w:txbxContent>
              </v:textbox>
              <w10:wrap type="none"/>
            </v:shape>
            <v:shape style="position:absolute;left:5744;top:-484;width:529;height:134" type="#_x0000_t202" filled="false" stroked="false">
              <v:textbox inset="0,0,0,0">
                <w:txbxContent>
                  <w:p>
                    <w:pPr>
                      <w:tabs>
                        <w:tab w:pos="448" w:val="left" w:leader="none"/>
                      </w:tabs>
                      <w:spacing w:line="133" w:lineRule="exact" w:before="0"/>
                      <w:ind w:left="0" w:right="0" w:firstLine="0"/>
                      <w:jc w:val="left"/>
                      <w:rPr>
                        <w:sz w:val="12"/>
                      </w:rPr>
                    </w:pPr>
                    <w:r>
                      <w:rPr>
                        <w:sz w:val="12"/>
                      </w:rPr>
                      <w:t>1</w:t>
                      <w:tab/>
                      <w:t>2</w:t>
                    </w:r>
                  </w:p>
                </w:txbxContent>
              </v:textbox>
              <w10:wrap type="none"/>
            </v:shape>
            <v:shape style="position:absolute;left:5597;top:-623;width:1429;height:262" type="#_x0000_t202" filled="false" stroked="false">
              <v:textbox inset="0,0,0,0">
                <w:txbxContent>
                  <w:p>
                    <w:pPr>
                      <w:spacing w:line="245" w:lineRule="exact" w:before="15"/>
                      <w:ind w:left="0" w:right="0" w:firstLine="0"/>
                      <w:jc w:val="left"/>
                      <w:rPr>
                        <w:sz w:val="20"/>
                      </w:rPr>
                    </w:pPr>
                    <w:r>
                      <w:rPr>
                        <w:sz w:val="20"/>
                      </w:rPr>
                      <w:t>U</w:t>
                    </w:r>
                    <w:r>
                      <w:rPr>
                        <w:sz w:val="20"/>
                        <w:vertAlign w:val="superscript"/>
                      </w:rPr>
                      <w:t>2</w:t>
                    </w:r>
                    <w:r>
                      <w:rPr>
                        <w:sz w:val="20"/>
                        <w:vertAlign w:val="baseline"/>
                      </w:rPr>
                      <w:t> </w:t>
                    </w:r>
                    <w:r>
                      <w:rPr>
                        <w:rFonts w:ascii="Symbol"/>
                        <w:sz w:val="20"/>
                        <w:vertAlign w:val="baseline"/>
                      </w:rPr>
                      <w:t>+ </w:t>
                    </w:r>
                    <w:r>
                      <w:rPr>
                        <w:sz w:val="20"/>
                        <w:vertAlign w:val="baseline"/>
                      </w:rPr>
                      <w:t>U</w:t>
                    </w:r>
                    <w:r>
                      <w:rPr>
                        <w:sz w:val="20"/>
                        <w:vertAlign w:val="superscript"/>
                      </w:rPr>
                      <w:t>2</w:t>
                    </w:r>
                    <w:r>
                      <w:rPr>
                        <w:sz w:val="20"/>
                        <w:vertAlign w:val="baseline"/>
                      </w:rPr>
                      <w:t> </w:t>
                    </w:r>
                    <w:r>
                      <w:rPr>
                        <w:rFonts w:ascii="Symbol"/>
                        <w:sz w:val="20"/>
                        <w:vertAlign w:val="baseline"/>
                      </w:rPr>
                      <w:t>+ </w:t>
                    </w:r>
                    <w:r>
                      <w:rPr>
                        <w:sz w:val="20"/>
                        <w:vertAlign w:val="baseline"/>
                      </w:rPr>
                      <w:t>... </w:t>
                    </w:r>
                    <w:r>
                      <w:rPr>
                        <w:rFonts w:ascii="Symbol"/>
                        <w:sz w:val="20"/>
                        <w:vertAlign w:val="baseline"/>
                      </w:rPr>
                      <w:t>+ </w:t>
                    </w:r>
                    <w:r>
                      <w:rPr>
                        <w:sz w:val="20"/>
                        <w:vertAlign w:val="baseline"/>
                      </w:rPr>
                      <w:t>U</w:t>
                    </w:r>
                    <w:r>
                      <w:rPr>
                        <w:sz w:val="20"/>
                        <w:vertAlign w:val="superscript"/>
                      </w:rPr>
                      <w:t>2</w:t>
                    </w:r>
                  </w:p>
                </w:txbxContent>
              </v:textbox>
              <w10:wrap type="none"/>
            </v:shape>
            <w10:wrap type="none"/>
          </v:group>
        </w:pict>
      </w:r>
      <w:r>
        <w:rPr/>
        <w:t>Where:</w:t>
      </w:r>
    </w:p>
    <w:p>
      <w:pPr>
        <w:pStyle w:val="BodyText"/>
        <w:tabs>
          <w:tab w:pos="1383" w:val="left" w:leader="none"/>
          <w:tab w:pos="1705" w:val="left" w:leader="none"/>
        </w:tabs>
        <w:ind w:left="1705" w:right="2569" w:hanging="965"/>
      </w:pPr>
      <w:r>
        <w:rPr/>
        <w:t>U</w:t>
      </w:r>
      <w:r>
        <w:rPr>
          <w:vertAlign w:val="subscript"/>
        </w:rPr>
        <w:t>total</w:t>
      </w:r>
      <w:r>
        <w:rPr>
          <w:vertAlign w:val="baseline"/>
        </w:rPr>
        <w:tab/>
        <w:t>=</w:t>
        <w:tab/>
        <w:t>percentage uncertainty in the product of the quantities (half the 95% confidence interval divided by the total and expressed as a</w:t>
      </w:r>
      <w:r>
        <w:rPr>
          <w:spacing w:val="-11"/>
          <w:vertAlign w:val="baseline"/>
        </w:rPr>
        <w:t> </w:t>
      </w:r>
      <w:r>
        <w:rPr>
          <w:vertAlign w:val="baseline"/>
        </w:rPr>
        <w:t>percentage);</w:t>
      </w:r>
    </w:p>
    <w:p>
      <w:pPr>
        <w:pStyle w:val="BodyText"/>
        <w:tabs>
          <w:tab w:pos="1395" w:val="left" w:leader="none"/>
          <w:tab w:pos="1720" w:val="left" w:leader="none"/>
        </w:tabs>
        <w:spacing w:before="119"/>
        <w:ind w:left="745"/>
        <w:rPr>
          <w:i/>
        </w:rPr>
      </w:pPr>
      <w:r>
        <w:rPr/>
        <w:t>U</w:t>
      </w:r>
      <w:r>
        <w:rPr>
          <w:vertAlign w:val="subscript"/>
        </w:rPr>
        <w:t>i</w:t>
      </w:r>
      <w:r>
        <w:rPr>
          <w:vertAlign w:val="baseline"/>
        </w:rPr>
        <w:tab/>
        <w:t>=</w:t>
        <w:tab/>
        <w:t>percentage uncertainties associated with each of the quantities, </w:t>
      </w:r>
      <w:r>
        <w:rPr>
          <w:i/>
          <w:vertAlign w:val="baseline"/>
        </w:rPr>
        <w:t>i </w:t>
      </w:r>
      <w:r>
        <w:rPr>
          <w:vertAlign w:val="baseline"/>
        </w:rPr>
        <w:t>= </w:t>
      </w:r>
      <w:r>
        <w:rPr>
          <w:i/>
          <w:vertAlign w:val="baseline"/>
        </w:rPr>
        <w:t>1</w:t>
      </w:r>
      <w:r>
        <w:rPr>
          <w:vertAlign w:val="baseline"/>
        </w:rPr>
        <w:t>, …,</w:t>
      </w:r>
      <w:r>
        <w:rPr>
          <w:spacing w:val="-13"/>
          <w:vertAlign w:val="baseline"/>
        </w:rPr>
        <w:t> </w:t>
      </w:r>
      <w:r>
        <w:rPr>
          <w:i/>
          <w:vertAlign w:val="baseline"/>
        </w:rPr>
        <w:t>n</w:t>
      </w:r>
    </w:p>
    <w:p>
      <w:pPr>
        <w:spacing w:after="0"/>
        <w:sectPr>
          <w:footerReference w:type="even" r:id="rId379"/>
          <w:footerReference w:type="default" r:id="rId380"/>
          <w:pgSz w:w="11900" w:h="16840"/>
          <w:pgMar w:footer="408" w:header="230" w:top="560" w:bottom="600" w:left="1240" w:right="0"/>
          <w:pgNumType w:start="10"/>
        </w:sectPr>
      </w:pPr>
    </w:p>
    <w:p>
      <w:pPr>
        <w:pStyle w:val="BodyText"/>
        <w:rPr>
          <w:i/>
        </w:rPr>
      </w:pPr>
    </w:p>
    <w:p>
      <w:pPr>
        <w:pStyle w:val="BodyText"/>
        <w:spacing w:before="8"/>
        <w:rPr>
          <w:i/>
          <w:sz w:val="18"/>
        </w:rPr>
      </w:pPr>
    </w:p>
    <w:p>
      <w:pPr>
        <w:pStyle w:val="BodyText"/>
        <w:ind w:left="584"/>
      </w:pPr>
      <w:r>
        <w:rPr>
          <w:position w:val="0"/>
        </w:rPr>
        <w:pict>
          <v:shape style="width:411.5pt;height:187.7pt;mso-position-horizontal-relative:char;mso-position-vertical-relative:line" type="#_x0000_t202" filled="false" stroked="true" strokeweight="1.44pt" strokecolor="#000000">
            <w10:anchorlock/>
            <v:textbox inset="0,0,0,0">
              <w:txbxContent>
                <w:p>
                  <w:pPr>
                    <w:spacing w:before="100"/>
                    <w:ind w:left="67" w:right="68" w:firstLine="0"/>
                    <w:jc w:val="center"/>
                    <w:rPr>
                      <w:b/>
                      <w:sz w:val="18"/>
                    </w:rPr>
                  </w:pPr>
                  <w:r>
                    <w:rPr>
                      <w:b/>
                      <w:sz w:val="18"/>
                    </w:rPr>
                    <w:t>B</w:t>
                  </w:r>
                  <w:r>
                    <w:rPr>
                      <w:b/>
                      <w:sz w:val="14"/>
                    </w:rPr>
                    <w:t>OX </w:t>
                  </w:r>
                  <w:r>
                    <w:rPr>
                      <w:b/>
                      <w:sz w:val="18"/>
                    </w:rPr>
                    <w:t>5.2.2</w:t>
                  </w:r>
                </w:p>
                <w:p>
                  <w:pPr>
                    <w:spacing w:before="2"/>
                    <w:ind w:left="2260" w:right="0" w:firstLine="0"/>
                    <w:jc w:val="left"/>
                    <w:rPr>
                      <w:b/>
                      <w:sz w:val="14"/>
                    </w:rPr>
                  </w:pPr>
                  <w:r>
                    <w:rPr>
                      <w:b/>
                      <w:sz w:val="18"/>
                    </w:rPr>
                    <w:t>L</w:t>
                  </w:r>
                  <w:r>
                    <w:rPr>
                      <w:b/>
                      <w:sz w:val="14"/>
                    </w:rPr>
                    <w:t>EVEL OF AGGREGATION OF THE </w:t>
                  </w:r>
                  <w:r>
                    <w:rPr>
                      <w:b/>
                      <w:sz w:val="18"/>
                    </w:rPr>
                    <w:t>T</w:t>
                  </w:r>
                  <w:r>
                    <w:rPr>
                      <w:b/>
                      <w:sz w:val="14"/>
                    </w:rPr>
                    <w:t>IER </w:t>
                  </w:r>
                  <w:r>
                    <w:rPr>
                      <w:b/>
                      <w:sz w:val="18"/>
                    </w:rPr>
                    <w:t>1 </w:t>
                  </w:r>
                  <w:r>
                    <w:rPr>
                      <w:b/>
                      <w:sz w:val="14"/>
                    </w:rPr>
                    <w:t>ANALYSIS</w:t>
                  </w:r>
                </w:p>
                <w:p>
                  <w:pPr>
                    <w:pStyle w:val="BodyText"/>
                    <w:spacing w:before="113"/>
                    <w:ind w:left="127" w:right="119"/>
                    <w:jc w:val="both"/>
                  </w:pPr>
                  <w:r>
                    <w:rPr/>
                    <w:t>Correlation among input data to the uncertainty analysis often exists. Examples are cases where  the same activity data or emission factors are used in several estimates that are to be added in a later step. Often, these correlations cannot be detected statistically, especially if default values or coarse area statistics are used. However, a qualitative assessment of the likely correlation can still be made by evaluating, e.g., whether or not estimates are derived from the same source or if there are other logical dependencies that would cause the errors of different estimates to deviate in the same direction (if the correlation is positive). One possibility to avoid the correlation due to such dependencies is to aggregate the source/sink categories to a level where they are eliminated. For example, the emission factors for all carbon pools on a certain land-use class can be added before they are multiplied with activity data. This aggregation gives more reliable results overall, although it results in some loss of detail in reporting on uncertainties. Table 5.4.2 of Section 5.4 gives guidance on aggregation level for key category analysis that also may be applied for the Tier 1 uncertainty</w:t>
                  </w:r>
                  <w:r>
                    <w:rPr>
                      <w:spacing w:val="-4"/>
                    </w:rPr>
                    <w:t> </w:t>
                  </w:r>
                  <w:r>
                    <w:rPr/>
                    <w:t>analysis.</w:t>
                  </w:r>
                </w:p>
              </w:txbxContent>
            </v:textbox>
            <v:stroke dashstyle="solid"/>
          </v:shape>
        </w:pict>
      </w:r>
      <w:r>
        <w:rPr>
          <w:position w:val="0"/>
        </w:rPr>
      </w:r>
    </w:p>
    <w:p>
      <w:pPr>
        <w:pStyle w:val="BodyText"/>
        <w:spacing w:before="6"/>
        <w:rPr>
          <w:i/>
          <w:sz w:val="19"/>
        </w:rPr>
      </w:pPr>
    </w:p>
    <w:p>
      <w:pPr>
        <w:pStyle w:val="BodyText"/>
        <w:spacing w:before="92"/>
        <w:ind w:left="179" w:right="1402"/>
        <w:jc w:val="both"/>
      </w:pPr>
      <w:r>
        <w:rPr/>
        <w:t>Where uncertain quantities are to be combined by addition or subtraction, as when deriving the overall uncertainty in national estimates, Equation 5.2.2 can be used. Equation 5.2.2 is adapted from Equation 6.3 in </w:t>
      </w:r>
      <w:r>
        <w:rPr>
          <w:i/>
        </w:rPr>
        <w:t>GPG2000</w:t>
      </w:r>
      <w:r>
        <w:rPr/>
        <w:t>. However, the inclusion of LULUCF sector in the analysis can result in the summing of emissions and removals, the latter considered with a negative sign; therefore, the absolute value of the sum of all category estimates should be used in the denominator.</w:t>
      </w:r>
    </w:p>
    <w:p>
      <w:pPr>
        <w:pStyle w:val="BodyText"/>
        <w:spacing w:before="7"/>
        <w:rPr>
          <w:sz w:val="9"/>
        </w:rPr>
      </w:pPr>
      <w:r>
        <w:rPr/>
        <w:pict>
          <v:group style="position:absolute;margin-left:91.240997pt;margin-top:8.250811pt;width:412.95pt;height:71.3pt;mso-position-horizontal-relative:page;mso-position-vertical-relative:paragraph;z-index:26288;mso-wrap-distance-left:0;mso-wrap-distance-right:0" coordorigin="1825,165" coordsize="8259,1426">
            <v:line style="position:absolute" from="1854,179" to="10054,179" stroked="true" strokeweight="1.44pt" strokecolor="#000000">
              <v:stroke dashstyle="solid"/>
            </v:line>
            <v:line style="position:absolute" from="1854,1576" to="10054,1576" stroked="true" strokeweight="1.44pt" strokecolor="#000000">
              <v:stroke dashstyle="solid"/>
            </v:line>
            <v:line style="position:absolute" from="1839,165" to="1839,1591" stroked="true" strokeweight="1.44pt" strokecolor="#000000">
              <v:stroke dashstyle="solid"/>
            </v:line>
            <v:line style="position:absolute" from="10069,165" to="10069,1591" stroked="true" strokeweight="1.44pt" strokecolor="#000000">
              <v:stroke dashstyle="solid"/>
            </v:line>
            <v:shape style="position:absolute;left:4363;top:1052;width:365;height:221" type="#_x0000_t202" filled="false" stroked="false">
              <v:textbox inset="0,0,0,0">
                <w:txbxContent>
                  <w:p>
                    <w:pPr>
                      <w:spacing w:before="9"/>
                      <w:ind w:left="0" w:right="0" w:firstLine="0"/>
                      <w:jc w:val="left"/>
                      <w:rPr>
                        <w:rFonts w:ascii="Symbol"/>
                        <w:sz w:val="17"/>
                      </w:rPr>
                    </w:pPr>
                    <w:r>
                      <w:rPr>
                        <w:position w:val="2"/>
                        <w:sz w:val="17"/>
                      </w:rPr>
                      <w:t>U</w:t>
                    </w:r>
                    <w:r>
                      <w:rPr>
                        <w:sz w:val="13"/>
                      </w:rPr>
                      <w:t>E </w:t>
                    </w:r>
                    <w:r>
                      <w:rPr>
                        <w:rFonts w:ascii="Symbol"/>
                        <w:position w:val="2"/>
                        <w:sz w:val="17"/>
                      </w:rPr>
                      <w:t>=</w:t>
                    </w:r>
                  </w:p>
                </w:txbxContent>
              </v:textbox>
              <w10:wrap type="none"/>
            </v:shape>
            <v:shape style="position:absolute;left:3536;top:301;width:4857;height:451" type="#_x0000_t202" filled="false" stroked="false">
              <v:textbox inset="0,0,0,0">
                <w:txbxContent>
                  <w:p>
                    <w:pPr>
                      <w:spacing w:line="221" w:lineRule="exact" w:before="0"/>
                      <w:ind w:left="1729" w:right="1750" w:firstLine="0"/>
                      <w:jc w:val="center"/>
                      <w:rPr>
                        <w:b/>
                        <w:sz w:val="20"/>
                      </w:rPr>
                    </w:pPr>
                    <w:r>
                      <w:rPr>
                        <w:b/>
                        <w:sz w:val="20"/>
                      </w:rPr>
                      <w:t>E</w:t>
                    </w:r>
                    <w:r>
                      <w:rPr>
                        <w:b/>
                        <w:sz w:val="16"/>
                      </w:rPr>
                      <w:t>QUATION </w:t>
                    </w:r>
                    <w:r>
                      <w:rPr>
                        <w:b/>
                        <w:sz w:val="20"/>
                      </w:rPr>
                      <w:t>5.2.2</w:t>
                    </w:r>
                  </w:p>
                  <w:p>
                    <w:pPr>
                      <w:spacing w:before="0"/>
                      <w:ind w:left="-1" w:right="18" w:firstLine="0"/>
                      <w:jc w:val="center"/>
                      <w:rPr>
                        <w:b/>
                        <w:sz w:val="20"/>
                      </w:rPr>
                    </w:pPr>
                    <w:r>
                      <w:rPr>
                        <w:b/>
                        <w:sz w:val="20"/>
                      </w:rPr>
                      <w:t>O</w:t>
                    </w:r>
                    <w:r>
                      <w:rPr>
                        <w:b/>
                        <w:sz w:val="16"/>
                      </w:rPr>
                      <w:t>VERALL UNCERTAINTY IN NATIONAL EMISSIONS </w:t>
                    </w:r>
                    <w:r>
                      <w:rPr>
                        <w:b/>
                        <w:sz w:val="20"/>
                      </w:rPr>
                      <w:t>(T</w:t>
                    </w:r>
                    <w:r>
                      <w:rPr>
                        <w:b/>
                        <w:sz w:val="16"/>
                      </w:rPr>
                      <w:t>IER</w:t>
                    </w:r>
                    <w:r>
                      <w:rPr>
                        <w:b/>
                        <w:spacing w:val="-15"/>
                        <w:sz w:val="16"/>
                      </w:rPr>
                      <w:t> </w:t>
                    </w:r>
                    <w:r>
                      <w:rPr>
                        <w:b/>
                        <w:sz w:val="20"/>
                      </w:rPr>
                      <w:t>1)</w:t>
                    </w:r>
                  </w:p>
                </w:txbxContent>
              </v:textbox>
              <w10:wrap type="none"/>
            </v:shape>
            <w10:wrap type="topAndBottom"/>
          </v:group>
        </w:pict>
      </w:r>
    </w:p>
    <w:p>
      <w:pPr>
        <w:pStyle w:val="BodyText"/>
        <w:spacing w:before="11"/>
        <w:rPr>
          <w:sz w:val="10"/>
        </w:rPr>
      </w:pPr>
    </w:p>
    <w:p>
      <w:pPr>
        <w:pStyle w:val="BodyText"/>
        <w:spacing w:before="92"/>
        <w:ind w:left="179"/>
      </w:pPr>
      <w:r>
        <w:rPr/>
        <w:pict>
          <v:group style="position:absolute;margin-left:237.037033pt;margin-top:-44.458824pt;width:139.7pt;height:27.45pt;mso-position-horizontal-relative:page;mso-position-vertical-relative:paragraph;z-index:28384" coordorigin="4741,-889" coordsize="2794,549">
            <v:line style="position:absolute" from="4760,-696" to="4779,-710" stroked="true" strokeweight=".404137pt" strokecolor="#000000">
              <v:stroke dashstyle="solid"/>
            </v:line>
            <v:line style="position:absolute" from="4779,-706" to="4806,-612" stroked="true" strokeweight=".756018pt" strokecolor="#000000">
              <v:stroke dashstyle="solid"/>
            </v:line>
            <v:shape style="position:absolute;left:5024;top:17393;width:2961;height:506" coordorigin="5024,17393" coordsize="2961,506" path="m4810,-612l4849,-876,7520,-876m5547,-547l5547,-341m6718,-547l6718,-341m4741,-578l7534,-578e" filled="false" stroked="true" strokeweight=".397675pt" strokecolor="#000000">
              <v:path arrowok="t"/>
              <v:stroke dashstyle="solid"/>
            </v:shape>
            <v:shape style="position:absolute;left:4853;top:-890;width:2668;height:539" type="#_x0000_t202" filled="false" stroked="false">
              <v:textbox inset="0,0,0,0">
                <w:txbxContent>
                  <w:p>
                    <w:pPr>
                      <w:spacing w:line="264" w:lineRule="auto" w:before="29"/>
                      <w:ind w:left="715" w:right="12" w:hanging="716"/>
                      <w:jc w:val="left"/>
                      <w:rPr>
                        <w:sz w:val="13"/>
                      </w:rPr>
                    </w:pPr>
                    <w:r>
                      <w:rPr>
                        <w:rFonts w:ascii="Symbol" w:hAnsi="Symbol"/>
                        <w:spacing w:val="-5"/>
                        <w:position w:val="2"/>
                        <w:sz w:val="23"/>
                      </w:rPr>
                      <w:t>(</w:t>
                    </w:r>
                    <w:r>
                      <w:rPr>
                        <w:spacing w:val="-5"/>
                        <w:position w:val="2"/>
                        <w:sz w:val="17"/>
                      </w:rPr>
                      <w:t>U</w:t>
                    </w:r>
                    <w:r>
                      <w:rPr>
                        <w:spacing w:val="-5"/>
                        <w:sz w:val="13"/>
                      </w:rPr>
                      <w:t>1</w:t>
                    </w:r>
                    <w:r>
                      <w:rPr>
                        <w:spacing w:val="-11"/>
                        <w:sz w:val="13"/>
                      </w:rPr>
                      <w:t> </w:t>
                    </w:r>
                    <w:r>
                      <w:rPr>
                        <w:rFonts w:ascii="Symbol" w:hAnsi="Symbol"/>
                        <w:position w:val="2"/>
                        <w:sz w:val="17"/>
                      </w:rPr>
                      <w:t>•</w:t>
                    </w:r>
                    <w:r>
                      <w:rPr>
                        <w:rFonts w:ascii="Symbol" w:hAnsi="Symbol"/>
                        <w:spacing w:val="-22"/>
                        <w:position w:val="2"/>
                        <w:sz w:val="17"/>
                      </w:rPr>
                      <w:t> </w:t>
                    </w:r>
                    <w:r>
                      <w:rPr>
                        <w:spacing w:val="-4"/>
                        <w:position w:val="2"/>
                        <w:sz w:val="17"/>
                      </w:rPr>
                      <w:t>E</w:t>
                    </w:r>
                    <w:r>
                      <w:rPr>
                        <w:spacing w:val="-4"/>
                        <w:sz w:val="13"/>
                      </w:rPr>
                      <w:t>1</w:t>
                    </w:r>
                    <w:r>
                      <w:rPr>
                        <w:rFonts w:ascii="Symbol" w:hAnsi="Symbol"/>
                        <w:spacing w:val="-4"/>
                        <w:position w:val="2"/>
                        <w:sz w:val="23"/>
                      </w:rPr>
                      <w:t>)</w:t>
                    </w:r>
                    <w:r>
                      <w:rPr>
                        <w:spacing w:val="-4"/>
                        <w:position w:val="10"/>
                        <w:sz w:val="13"/>
                      </w:rPr>
                      <w:t>2</w:t>
                    </w:r>
                    <w:r>
                      <w:rPr>
                        <w:spacing w:val="2"/>
                        <w:position w:val="10"/>
                        <w:sz w:val="13"/>
                      </w:rPr>
                      <w:t> </w:t>
                    </w:r>
                    <w:r>
                      <w:rPr>
                        <w:rFonts w:ascii="Symbol" w:hAnsi="Symbol"/>
                        <w:position w:val="2"/>
                        <w:sz w:val="17"/>
                      </w:rPr>
                      <w:t>+</w:t>
                    </w:r>
                    <w:r>
                      <w:rPr>
                        <w:rFonts w:ascii="Symbol" w:hAnsi="Symbol"/>
                        <w:spacing w:val="-22"/>
                        <w:position w:val="2"/>
                        <w:sz w:val="17"/>
                      </w:rPr>
                      <w:t> </w:t>
                    </w:r>
                    <w:r>
                      <w:rPr>
                        <w:rFonts w:ascii="Symbol" w:hAnsi="Symbol"/>
                        <w:position w:val="2"/>
                        <w:sz w:val="23"/>
                      </w:rPr>
                      <w:t>(</w:t>
                    </w:r>
                    <w:r>
                      <w:rPr>
                        <w:position w:val="2"/>
                        <w:sz w:val="17"/>
                      </w:rPr>
                      <w:t>U</w:t>
                    </w:r>
                    <w:r>
                      <w:rPr>
                        <w:sz w:val="13"/>
                      </w:rPr>
                      <w:t>2</w:t>
                    </w:r>
                    <w:r>
                      <w:rPr>
                        <w:spacing w:val="-3"/>
                        <w:sz w:val="13"/>
                      </w:rPr>
                      <w:t> </w:t>
                    </w:r>
                    <w:r>
                      <w:rPr>
                        <w:rFonts w:ascii="Symbol" w:hAnsi="Symbol"/>
                        <w:position w:val="2"/>
                        <w:sz w:val="17"/>
                      </w:rPr>
                      <w:t>•</w:t>
                    </w:r>
                    <w:r>
                      <w:rPr>
                        <w:rFonts w:ascii="Symbol" w:hAnsi="Symbol"/>
                        <w:spacing w:val="-23"/>
                        <w:position w:val="2"/>
                        <w:sz w:val="17"/>
                      </w:rPr>
                      <w:t> </w:t>
                    </w:r>
                    <w:r>
                      <w:rPr>
                        <w:position w:val="2"/>
                        <w:sz w:val="17"/>
                      </w:rPr>
                      <w:t>E</w:t>
                    </w:r>
                    <w:r>
                      <w:rPr>
                        <w:sz w:val="13"/>
                      </w:rPr>
                      <w:t>2</w:t>
                    </w:r>
                    <w:r>
                      <w:rPr>
                        <w:spacing w:val="-22"/>
                        <w:sz w:val="13"/>
                      </w:rPr>
                      <w:t> </w:t>
                    </w:r>
                    <w:r>
                      <w:rPr>
                        <w:rFonts w:ascii="Symbol" w:hAnsi="Symbol"/>
                        <w:spacing w:val="-3"/>
                        <w:position w:val="2"/>
                        <w:sz w:val="23"/>
                      </w:rPr>
                      <w:t>)</w:t>
                    </w:r>
                    <w:r>
                      <w:rPr>
                        <w:spacing w:val="-3"/>
                        <w:position w:val="10"/>
                        <w:sz w:val="13"/>
                      </w:rPr>
                      <w:t>2</w:t>
                    </w:r>
                    <w:r>
                      <w:rPr>
                        <w:position w:val="10"/>
                        <w:sz w:val="13"/>
                      </w:rPr>
                      <w:t> </w:t>
                    </w:r>
                    <w:r>
                      <w:rPr>
                        <w:rFonts w:ascii="Symbol" w:hAnsi="Symbol"/>
                        <w:position w:val="2"/>
                        <w:sz w:val="17"/>
                      </w:rPr>
                      <w:t>+</w:t>
                    </w:r>
                    <w:r>
                      <w:rPr>
                        <w:rFonts w:ascii="Symbol" w:hAnsi="Symbol"/>
                        <w:spacing w:val="-30"/>
                        <w:position w:val="2"/>
                        <w:sz w:val="17"/>
                      </w:rPr>
                      <w:t> </w:t>
                    </w:r>
                    <w:r>
                      <w:rPr>
                        <w:rFonts w:ascii="Arial" w:hAnsi="Arial"/>
                        <w:spacing w:val="4"/>
                        <w:position w:val="2"/>
                        <w:sz w:val="17"/>
                      </w:rPr>
                      <w:t>m</w:t>
                    </w:r>
                    <w:r>
                      <w:rPr>
                        <w:rFonts w:ascii="Symbol" w:hAnsi="Symbol"/>
                        <w:spacing w:val="4"/>
                        <w:position w:val="2"/>
                        <w:sz w:val="17"/>
                      </w:rPr>
                      <w:t>+</w:t>
                    </w:r>
                    <w:r>
                      <w:rPr>
                        <w:rFonts w:ascii="Symbol" w:hAnsi="Symbol"/>
                        <w:spacing w:val="-22"/>
                        <w:position w:val="2"/>
                        <w:sz w:val="17"/>
                      </w:rPr>
                      <w:t> </w:t>
                    </w:r>
                    <w:r>
                      <w:rPr>
                        <w:rFonts w:ascii="Symbol" w:hAnsi="Symbol"/>
                        <w:position w:val="2"/>
                        <w:sz w:val="23"/>
                      </w:rPr>
                      <w:t>(</w:t>
                    </w:r>
                    <w:r>
                      <w:rPr>
                        <w:position w:val="2"/>
                        <w:sz w:val="17"/>
                      </w:rPr>
                      <w:t>U</w:t>
                    </w:r>
                    <w:r>
                      <w:rPr>
                        <w:sz w:val="13"/>
                      </w:rPr>
                      <w:t>n</w:t>
                    </w:r>
                    <w:r>
                      <w:rPr>
                        <w:spacing w:val="2"/>
                        <w:sz w:val="13"/>
                      </w:rPr>
                      <w:t> </w:t>
                    </w:r>
                    <w:r>
                      <w:rPr>
                        <w:rFonts w:ascii="Symbol" w:hAnsi="Symbol"/>
                        <w:position w:val="2"/>
                        <w:sz w:val="17"/>
                      </w:rPr>
                      <w:t>•</w:t>
                    </w:r>
                    <w:r>
                      <w:rPr>
                        <w:rFonts w:ascii="Symbol" w:hAnsi="Symbol"/>
                        <w:spacing w:val="-23"/>
                        <w:position w:val="2"/>
                        <w:sz w:val="17"/>
                      </w:rPr>
                      <w:t> </w:t>
                    </w:r>
                    <w:r>
                      <w:rPr>
                        <w:position w:val="2"/>
                        <w:sz w:val="17"/>
                      </w:rPr>
                      <w:t>E</w:t>
                    </w:r>
                    <w:r>
                      <w:rPr>
                        <w:sz w:val="13"/>
                      </w:rPr>
                      <w:t>n</w:t>
                    </w:r>
                    <w:r>
                      <w:rPr>
                        <w:spacing w:val="-17"/>
                        <w:sz w:val="13"/>
                      </w:rPr>
                      <w:t> </w:t>
                    </w:r>
                    <w:r>
                      <w:rPr>
                        <w:rFonts w:ascii="Symbol" w:hAnsi="Symbol"/>
                        <w:spacing w:val="-3"/>
                        <w:position w:val="2"/>
                        <w:sz w:val="23"/>
                      </w:rPr>
                      <w:t>)</w:t>
                    </w:r>
                    <w:r>
                      <w:rPr>
                        <w:spacing w:val="-3"/>
                        <w:position w:val="10"/>
                        <w:sz w:val="13"/>
                      </w:rPr>
                      <w:t>2 </w:t>
                    </w:r>
                    <w:r>
                      <w:rPr>
                        <w:spacing w:val="-7"/>
                        <w:position w:val="2"/>
                        <w:sz w:val="17"/>
                      </w:rPr>
                      <w:t>E</w:t>
                    </w:r>
                    <w:r>
                      <w:rPr>
                        <w:spacing w:val="-7"/>
                        <w:sz w:val="13"/>
                      </w:rPr>
                      <w:t>1 </w:t>
                    </w:r>
                    <w:r>
                      <w:rPr>
                        <w:rFonts w:ascii="Symbol" w:hAnsi="Symbol"/>
                        <w:position w:val="2"/>
                        <w:sz w:val="17"/>
                      </w:rPr>
                      <w:t>+ </w:t>
                    </w:r>
                    <w:r>
                      <w:rPr>
                        <w:position w:val="2"/>
                        <w:sz w:val="17"/>
                      </w:rPr>
                      <w:t>E</w:t>
                    </w:r>
                    <w:r>
                      <w:rPr>
                        <w:sz w:val="13"/>
                      </w:rPr>
                      <w:t>2 </w:t>
                    </w:r>
                    <w:r>
                      <w:rPr>
                        <w:rFonts w:ascii="Symbol" w:hAnsi="Symbol"/>
                        <w:position w:val="2"/>
                        <w:sz w:val="17"/>
                      </w:rPr>
                      <w:t>+ </w:t>
                    </w:r>
                    <w:r>
                      <w:rPr>
                        <w:rFonts w:ascii="Arial" w:hAnsi="Arial"/>
                        <w:spacing w:val="4"/>
                        <w:position w:val="2"/>
                        <w:sz w:val="17"/>
                      </w:rPr>
                      <w:t>m</w:t>
                    </w:r>
                    <w:r>
                      <w:rPr>
                        <w:rFonts w:ascii="Symbol" w:hAnsi="Symbol"/>
                        <w:spacing w:val="4"/>
                        <w:position w:val="2"/>
                        <w:sz w:val="17"/>
                      </w:rPr>
                      <w:t>+</w:t>
                    </w:r>
                    <w:r>
                      <w:rPr>
                        <w:rFonts w:ascii="Symbol" w:hAnsi="Symbol"/>
                        <w:spacing w:val="-17"/>
                        <w:position w:val="2"/>
                        <w:sz w:val="17"/>
                      </w:rPr>
                      <w:t> </w:t>
                    </w:r>
                    <w:r>
                      <w:rPr>
                        <w:position w:val="2"/>
                        <w:sz w:val="17"/>
                      </w:rPr>
                      <w:t>E</w:t>
                    </w:r>
                    <w:r>
                      <w:rPr>
                        <w:sz w:val="13"/>
                      </w:rPr>
                      <w:t>n</w:t>
                    </w:r>
                  </w:p>
                </w:txbxContent>
              </v:textbox>
              <w10:wrap type="none"/>
            </v:shape>
            <w10:wrap type="none"/>
          </v:group>
        </w:pict>
      </w:r>
      <w:r>
        <w:rPr/>
        <w:t>where:</w:t>
      </w:r>
    </w:p>
    <w:p>
      <w:pPr>
        <w:pStyle w:val="BodyText"/>
        <w:tabs>
          <w:tab w:pos="1395" w:val="left" w:leader="none"/>
          <w:tab w:pos="1720" w:val="left" w:leader="none"/>
        </w:tabs>
        <w:ind w:left="745"/>
      </w:pPr>
      <w:r>
        <w:rPr/>
        <w:t>U</w:t>
      </w:r>
      <w:r>
        <w:rPr>
          <w:vertAlign w:val="subscript"/>
        </w:rPr>
        <w:t>E</w:t>
      </w:r>
      <w:r>
        <w:rPr>
          <w:vertAlign w:val="baseline"/>
        </w:rPr>
        <w:tab/>
        <w:t>=</w:t>
        <w:tab/>
        <w:t>percentage uncertainty of the</w:t>
      </w:r>
      <w:r>
        <w:rPr>
          <w:spacing w:val="-5"/>
          <w:vertAlign w:val="baseline"/>
        </w:rPr>
        <w:t> </w:t>
      </w:r>
      <w:r>
        <w:rPr>
          <w:vertAlign w:val="baseline"/>
        </w:rPr>
        <w:t>sum</w:t>
      </w:r>
    </w:p>
    <w:p>
      <w:pPr>
        <w:pStyle w:val="BodyText"/>
        <w:tabs>
          <w:tab w:pos="1395" w:val="left" w:leader="none"/>
          <w:tab w:pos="1720" w:val="left" w:leader="none"/>
        </w:tabs>
        <w:spacing w:before="121"/>
        <w:ind w:left="745"/>
        <w:rPr>
          <w:i/>
        </w:rPr>
      </w:pPr>
      <w:r>
        <w:rPr/>
        <w:t>U</w:t>
      </w:r>
      <w:r>
        <w:rPr>
          <w:vertAlign w:val="subscript"/>
        </w:rPr>
        <w:t>i</w:t>
      </w:r>
      <w:r>
        <w:rPr>
          <w:vertAlign w:val="baseline"/>
        </w:rPr>
        <w:tab/>
        <w:t>=</w:t>
        <w:tab/>
        <w:t>percentage uncertainty associated with source/sink</w:t>
      </w:r>
      <w:r>
        <w:rPr>
          <w:spacing w:val="-7"/>
          <w:vertAlign w:val="baseline"/>
        </w:rPr>
        <w:t> </w:t>
      </w:r>
      <w:r>
        <w:rPr>
          <w:i/>
          <w:vertAlign w:val="baseline"/>
        </w:rPr>
        <w:t>i</w:t>
      </w:r>
    </w:p>
    <w:p>
      <w:pPr>
        <w:pStyle w:val="BodyText"/>
        <w:tabs>
          <w:tab w:pos="1395" w:val="left" w:leader="none"/>
          <w:tab w:pos="1719" w:val="left" w:leader="none"/>
        </w:tabs>
        <w:spacing w:before="120"/>
        <w:ind w:left="745"/>
        <w:rPr>
          <w:i/>
        </w:rPr>
      </w:pPr>
      <w:r>
        <w:rPr/>
        <w:t>E</w:t>
      </w:r>
      <w:r>
        <w:rPr>
          <w:vertAlign w:val="subscript"/>
        </w:rPr>
        <w:t>i</w:t>
      </w:r>
      <w:r>
        <w:rPr>
          <w:vertAlign w:val="baseline"/>
        </w:rPr>
        <w:tab/>
        <w:t>=</w:t>
        <w:tab/>
        <w:t>emission/removal estimate for source/sink</w:t>
      </w:r>
      <w:r>
        <w:rPr>
          <w:spacing w:val="-3"/>
          <w:vertAlign w:val="baseline"/>
        </w:rPr>
        <w:t> </w:t>
      </w:r>
      <w:r>
        <w:rPr>
          <w:i/>
          <w:vertAlign w:val="baseline"/>
        </w:rPr>
        <w:t>i</w:t>
      </w:r>
    </w:p>
    <w:p>
      <w:pPr>
        <w:pStyle w:val="BodyText"/>
        <w:rPr>
          <w:i/>
        </w:rPr>
      </w:pPr>
    </w:p>
    <w:p>
      <w:pPr>
        <w:pStyle w:val="BodyText"/>
        <w:spacing w:before="8"/>
        <w:rPr>
          <w:i/>
        </w:rPr>
      </w:pPr>
    </w:p>
    <w:p>
      <w:pPr>
        <w:pStyle w:val="BodyText"/>
        <w:ind w:left="179" w:right="1404"/>
        <w:jc w:val="both"/>
      </w:pPr>
      <w:r>
        <w:rPr/>
        <w:t>As with Equation 5.2.1, Equation 5.2.2 assumes that there is no significant correlation among emission and removal estimates and that uncertainties are relatively small. However, it still can be used to give approximate results where uncertainties are relatively large. Where significant correlation exists and the level of correlation is known, Equation 5.2.1 can be modified based on the equation provided in Section A1.4.3.1 in Annex 1 of </w:t>
      </w:r>
      <w:r>
        <w:rPr>
          <w:i/>
        </w:rPr>
        <w:t>GPG2000</w:t>
      </w:r>
      <w:r>
        <w:rPr/>
        <w:t>. Otherwise, categories should be aggregated, if possible (see Box 5.2.2), or Monte Carlo analysis (Tier</w:t>
      </w:r>
    </w:p>
    <w:p>
      <w:pPr>
        <w:pStyle w:val="BodyText"/>
        <w:spacing w:line="230" w:lineRule="exact"/>
        <w:ind w:left="179"/>
      </w:pPr>
      <w:r>
        <w:rPr/>
        <w:t>2) may be used.</w:t>
      </w:r>
    </w:p>
    <w:p>
      <w:pPr>
        <w:pStyle w:val="BodyText"/>
        <w:rPr>
          <w:sz w:val="22"/>
        </w:rPr>
      </w:pPr>
    </w:p>
    <w:p>
      <w:pPr>
        <w:pStyle w:val="Heading6"/>
        <w:numPr>
          <w:ilvl w:val="3"/>
          <w:numId w:val="173"/>
        </w:numPr>
        <w:tabs>
          <w:tab w:pos="1619" w:val="left" w:leader="none"/>
          <w:tab w:pos="1620" w:val="left" w:leader="none"/>
        </w:tabs>
        <w:spacing w:line="322" w:lineRule="exact" w:before="146" w:after="0"/>
        <w:ind w:left="1619" w:right="0" w:hanging="1440"/>
        <w:jc w:val="left"/>
      </w:pPr>
      <w:r>
        <w:rPr>
          <w:spacing w:val="16"/>
          <w:sz w:val="28"/>
        </w:rPr>
        <w:t>E</w:t>
      </w:r>
      <w:r>
        <w:rPr>
          <w:spacing w:val="16"/>
        </w:rPr>
        <w:t>STIMATING </w:t>
      </w:r>
      <w:r>
        <w:rPr>
          <w:spacing w:val="17"/>
          <w:sz w:val="28"/>
        </w:rPr>
        <w:t>U</w:t>
      </w:r>
      <w:r>
        <w:rPr>
          <w:spacing w:val="17"/>
        </w:rPr>
        <w:t>NCERTAINTIES </w:t>
      </w:r>
      <w:r>
        <w:rPr>
          <w:spacing w:val="10"/>
        </w:rPr>
        <w:t>BY </w:t>
      </w:r>
      <w:r>
        <w:rPr>
          <w:spacing w:val="16"/>
          <w:sz w:val="28"/>
        </w:rPr>
        <w:t>C</w:t>
      </w:r>
      <w:r>
        <w:rPr>
          <w:spacing w:val="16"/>
        </w:rPr>
        <w:t>ATEGORY</w:t>
      </w:r>
      <w:r>
        <w:rPr>
          <w:spacing w:val="-17"/>
        </w:rPr>
        <w:t> </w:t>
      </w:r>
      <w:r>
        <w:rPr>
          <w:spacing w:val="15"/>
          <w:sz w:val="28"/>
        </w:rPr>
        <w:t>U</w:t>
      </w:r>
      <w:r>
        <w:rPr>
          <w:spacing w:val="15"/>
        </w:rPr>
        <w:t>SING</w:t>
      </w:r>
    </w:p>
    <w:p>
      <w:pPr>
        <w:spacing w:before="0"/>
        <w:ind w:left="1619" w:right="0" w:firstLine="0"/>
        <w:jc w:val="left"/>
        <w:rPr>
          <w:b/>
          <w:sz w:val="28"/>
        </w:rPr>
      </w:pPr>
      <w:r>
        <w:rPr>
          <w:b/>
          <w:sz w:val="28"/>
        </w:rPr>
        <w:t>M</w:t>
      </w:r>
      <w:r>
        <w:rPr>
          <w:b/>
          <w:sz w:val="22"/>
        </w:rPr>
        <w:t>ONTE </w:t>
      </w:r>
      <w:r>
        <w:rPr>
          <w:b/>
          <w:sz w:val="28"/>
        </w:rPr>
        <w:t>C</w:t>
      </w:r>
      <w:r>
        <w:rPr>
          <w:b/>
          <w:sz w:val="22"/>
        </w:rPr>
        <w:t>ARLO </w:t>
      </w:r>
      <w:r>
        <w:rPr>
          <w:b/>
          <w:sz w:val="28"/>
        </w:rPr>
        <w:t>A</w:t>
      </w:r>
      <w:r>
        <w:rPr>
          <w:b/>
          <w:sz w:val="22"/>
        </w:rPr>
        <w:t>NALYSIS </w:t>
      </w:r>
      <w:r>
        <w:rPr>
          <w:b/>
          <w:sz w:val="28"/>
        </w:rPr>
        <w:t>(T</w:t>
      </w:r>
      <w:r>
        <w:rPr>
          <w:b/>
          <w:sz w:val="22"/>
        </w:rPr>
        <w:t>IER </w:t>
      </w:r>
      <w:r>
        <w:rPr>
          <w:b/>
          <w:sz w:val="28"/>
        </w:rPr>
        <w:t>2)</w:t>
      </w:r>
    </w:p>
    <w:p>
      <w:pPr>
        <w:pStyle w:val="BodyText"/>
        <w:spacing w:before="211"/>
        <w:ind w:left="179" w:right="1403"/>
        <w:jc w:val="both"/>
      </w:pPr>
      <w:r>
        <w:rPr/>
        <w:t>Monte Carlo analysis is suitable for detailed category-by-category Tier 2 assessment of uncertainty. This section expands guidance on Monte Carlo analysis given in Chapter 6 of </w:t>
      </w:r>
      <w:r>
        <w:rPr>
          <w:i/>
        </w:rPr>
        <w:t>GPG2000 </w:t>
      </w:r>
      <w:r>
        <w:rPr/>
        <w:t>by providing guidance specific to the LULUCF sector. </w:t>
      </w:r>
      <w:r>
        <w:rPr>
          <w:i/>
        </w:rPr>
        <w:t>GPG2000 </w:t>
      </w:r>
      <w:r>
        <w:rPr/>
        <w:t>should be consulted as background, although some of the material from Chapter 6 is reproduced here.</w:t>
      </w:r>
    </w:p>
    <w:p>
      <w:pPr>
        <w:pStyle w:val="BodyText"/>
        <w:spacing w:before="119"/>
        <w:ind w:left="179" w:right="1403"/>
        <w:jc w:val="both"/>
      </w:pPr>
      <w:r>
        <w:rPr/>
        <w:t>Monte Carlo analysis is especially useful where extensive country-specific land use data exist. It can handle varying degrees of correlation (both in time and between categories) and can be used to assess uncertainty in complex models as well as simple ‘management factor (or emissions factor) times activity data’ calculations. A general description of the Monte Carlo method can be found in Fishman (1996), and statistical software packages are readily available – some of which include Monte Carlo algorithms that are very user-friendly. Winiwarter and Rypdal (2000) and Eggleston </w:t>
      </w:r>
      <w:r>
        <w:rPr>
          <w:i/>
        </w:rPr>
        <w:t>et al</w:t>
      </w:r>
      <w:r>
        <w:rPr/>
        <w:t>. (1998) provide examples of Monte Carlo analysis applied to national greenhouse gas inventories to estimate uncertainties both in overall emissions and emissions trends. Ogle</w:t>
      </w:r>
      <w:r>
        <w:rPr>
          <w:spacing w:val="41"/>
        </w:rPr>
        <w:t> </w:t>
      </w:r>
      <w:r>
        <w:rPr>
          <w:i/>
        </w:rPr>
        <w:t>et</w:t>
      </w:r>
      <w:r>
        <w:rPr>
          <w:i/>
          <w:spacing w:val="42"/>
        </w:rPr>
        <w:t> </w:t>
      </w:r>
      <w:r>
        <w:rPr>
          <w:i/>
        </w:rPr>
        <w:t>al</w:t>
      </w:r>
      <w:r>
        <w:rPr/>
        <w:t>.</w:t>
      </w:r>
      <w:r>
        <w:rPr>
          <w:spacing w:val="41"/>
        </w:rPr>
        <w:t> </w:t>
      </w:r>
      <w:r>
        <w:rPr/>
        <w:t>(2003)</w:t>
      </w:r>
      <w:r>
        <w:rPr>
          <w:spacing w:val="39"/>
        </w:rPr>
        <w:t> </w:t>
      </w:r>
      <w:r>
        <w:rPr/>
        <w:t>document</w:t>
      </w:r>
      <w:r>
        <w:rPr>
          <w:spacing w:val="43"/>
        </w:rPr>
        <w:t> </w:t>
      </w:r>
      <w:r>
        <w:rPr/>
        <w:t>a</w:t>
      </w:r>
      <w:r>
        <w:rPr>
          <w:spacing w:val="41"/>
        </w:rPr>
        <w:t> </w:t>
      </w:r>
      <w:r>
        <w:rPr/>
        <w:t>Monte</w:t>
      </w:r>
      <w:r>
        <w:rPr>
          <w:spacing w:val="41"/>
        </w:rPr>
        <w:t> </w:t>
      </w:r>
      <w:r>
        <w:rPr/>
        <w:t>Carlo</w:t>
      </w:r>
      <w:r>
        <w:rPr>
          <w:spacing w:val="39"/>
        </w:rPr>
        <w:t> </w:t>
      </w:r>
      <w:r>
        <w:rPr/>
        <w:t>analysis</w:t>
      </w:r>
      <w:r>
        <w:rPr>
          <w:spacing w:val="40"/>
        </w:rPr>
        <w:t> </w:t>
      </w:r>
      <w:r>
        <w:rPr/>
        <w:t>of</w:t>
      </w:r>
      <w:r>
        <w:rPr>
          <w:spacing w:val="40"/>
        </w:rPr>
        <w:t> </w:t>
      </w:r>
      <w:r>
        <w:rPr/>
        <w:t>uncertainty</w:t>
      </w:r>
      <w:r>
        <w:rPr>
          <w:spacing w:val="39"/>
        </w:rPr>
        <w:t> </w:t>
      </w:r>
      <w:r>
        <w:rPr/>
        <w:t>for</w:t>
      </w:r>
      <w:r>
        <w:rPr>
          <w:spacing w:val="41"/>
        </w:rPr>
        <w:t> </w:t>
      </w:r>
      <w:r>
        <w:rPr/>
        <w:t>the</w:t>
      </w:r>
      <w:r>
        <w:rPr>
          <w:spacing w:val="41"/>
        </w:rPr>
        <w:t> </w:t>
      </w:r>
      <w:r>
        <w:rPr/>
        <w:t>agricultural</w:t>
      </w:r>
      <w:r>
        <w:rPr>
          <w:spacing w:val="41"/>
        </w:rPr>
        <w:t> </w:t>
      </w:r>
      <w:r>
        <w:rPr/>
        <w:t>soil</w:t>
      </w:r>
      <w:r>
        <w:rPr>
          <w:spacing w:val="41"/>
        </w:rPr>
        <w:t> </w:t>
      </w:r>
      <w:r>
        <w:rPr/>
        <w:t>portion</w:t>
      </w:r>
      <w:r>
        <w:rPr>
          <w:spacing w:val="39"/>
        </w:rPr>
        <w:t> </w:t>
      </w:r>
      <w:r>
        <w:rPr/>
        <w:t>of</w:t>
      </w:r>
      <w:r>
        <w:rPr>
          <w:spacing w:val="39"/>
        </w:rPr>
        <w:t> </w:t>
      </w:r>
      <w:r>
        <w:rPr/>
        <w:t>the</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2"/>
        <w:jc w:val="both"/>
      </w:pPr>
      <w:r>
        <w:rPr/>
        <w:t>LULUCF carbon inventory in the United States. A brief example of the application of Monte Carlo analysis is provided in Box 5.2.3 based on Ogle </w:t>
      </w:r>
      <w:r>
        <w:rPr>
          <w:i/>
        </w:rPr>
        <w:t>et al</w:t>
      </w:r>
      <w:r>
        <w:rPr/>
        <w:t>. (2003).</w:t>
      </w:r>
    </w:p>
    <w:p>
      <w:pPr>
        <w:pStyle w:val="BodyText"/>
        <w:spacing w:before="5"/>
        <w:rPr>
          <w:sz w:val="21"/>
        </w:rPr>
      </w:pPr>
    </w:p>
    <w:p>
      <w:pPr>
        <w:pStyle w:val="Heading6"/>
        <w:ind w:left="179"/>
        <w:jc w:val="both"/>
      </w:pPr>
      <w:r>
        <w:rPr/>
        <w:t>BACKGROUND ON MONTE CARLO ANALYSIS</w:t>
      </w:r>
    </w:p>
    <w:p>
      <w:pPr>
        <w:pStyle w:val="BodyText"/>
        <w:spacing w:before="113"/>
        <w:ind w:left="179" w:right="1401"/>
        <w:jc w:val="both"/>
      </w:pPr>
      <w:r>
        <w:rPr/>
        <w:t>Monte Carlo analyses are designed to select random values for estimation parameters and activity data from probability distribution functions (PDF), and then calculate the corresponding change in carbon (or carbon equivalent) stocks. This procedure is repeated many times to provide a mean value and a range of uncertainty (i.e., a PDF for the emissions and removals) resulting from variability in model input variables as represented by PDFs. Monte Carlo analyses can be performed at the category level, for aggregations of categories or for the inventory as a whole.</w:t>
      </w:r>
    </w:p>
    <w:p>
      <w:pPr>
        <w:pStyle w:val="BodyText"/>
        <w:spacing w:before="121"/>
        <w:ind w:left="179" w:right="1402"/>
        <w:jc w:val="both"/>
      </w:pPr>
      <w:r>
        <w:rPr/>
        <w:t>Variability in the input variables is quantified in probability distribution functions, describing the pattern of possible values for the variable. PDFs may need truncation if certain thresholds are known to occur in the input variables. For example, estimates of base soil carbon could be small but would never be negative (soils can not have less than 0 percent carbon), therefore a distribution that would otherwise take negative values would need to be truncated at 0, although both negative and positive numbers are meaningful in cases such as where a process can lead to either a sink or a source</w:t>
      </w:r>
      <w:r>
        <w:rPr>
          <w:spacing w:val="-6"/>
        </w:rPr>
        <w:t> </w:t>
      </w:r>
      <w:r>
        <w:rPr/>
        <w:t>term.</w:t>
      </w:r>
    </w:p>
    <w:p>
      <w:pPr>
        <w:pStyle w:val="BodyText"/>
        <w:spacing w:before="117"/>
        <w:ind w:left="179" w:right="1403"/>
        <w:jc w:val="both"/>
      </w:pPr>
      <w:r>
        <w:rPr/>
        <w:t>PDFs can be based on field data, expert judgement, or a combination of the two and can be linked to account for interdependencies, notably correlations across time or between gases for activity data and correlations among management factors. If these interdependencies are not taken into account, the estimated uncertainty may be too large or too small depending on the correlations, and the results are less meaningful.</w:t>
      </w:r>
    </w:p>
    <w:p>
      <w:pPr>
        <w:pStyle w:val="BodyText"/>
        <w:spacing w:before="120"/>
        <w:ind w:left="179" w:right="1402"/>
        <w:jc w:val="both"/>
      </w:pPr>
      <w:r>
        <w:rPr/>
        <w:t>After constructing PDFs, a Monte Carlo analysis is conducted as an iterative process. A set of input values are selected at random within each PDF, after that the model is run with those values producing an estimate for the output of interest, and then the process is repeated many times over and over, providing a PDF for the inventory estimate as a whole.</w:t>
      </w:r>
    </w:p>
    <w:p>
      <w:pPr>
        <w:pStyle w:val="BodyText"/>
        <w:spacing w:before="3"/>
        <w:rPr>
          <w:sz w:val="21"/>
        </w:rPr>
      </w:pPr>
    </w:p>
    <w:p>
      <w:pPr>
        <w:pStyle w:val="Heading6"/>
        <w:ind w:left="179"/>
        <w:jc w:val="both"/>
      </w:pPr>
      <w:r>
        <w:rPr/>
        <w:t>ESTIMATING UNCERTAINTIES IN LEVELS AND TRENDS</w:t>
      </w:r>
    </w:p>
    <w:p>
      <w:pPr>
        <w:pStyle w:val="BodyText"/>
        <w:spacing w:before="116"/>
        <w:ind w:left="179" w:right="1406"/>
        <w:jc w:val="both"/>
      </w:pPr>
      <w:r>
        <w:rPr/>
        <w:t>As with all methods, Monte Carlo analysis only provides satisfactory results if it is properly implemented, and the results will only be valid to the extent that the input data, including PDFs, correlations, and any expert judgements, are sound. The Monte Carlo approach consists of five clearly defined steps. Only the first two steps require effort from the user, the remainder being handled by the software package.</w:t>
      </w:r>
    </w:p>
    <w:p>
      <w:pPr>
        <w:pStyle w:val="BodyText"/>
        <w:spacing w:before="119"/>
        <w:ind w:left="978" w:right="1405" w:hanging="800"/>
        <w:jc w:val="both"/>
      </w:pPr>
      <w:r>
        <w:rPr/>
        <w:t>Step 1: Specify uncertainties in the input variables. This includes estimation parameters and LULUCF activity data, their associated means and probability distribution functions (PDFs), and any correlations. The uncertainties can be assessed following the guidance in Section 5.2.3 (Practical Consideration for Quantifying Uncertainties of Input Data) and Section 5.2.4 (Example of Uncertainty Analysis) of this chapter. For guidance on assessment of correlations, see below.</w:t>
      </w:r>
    </w:p>
    <w:p>
      <w:pPr>
        <w:pStyle w:val="BodyText"/>
        <w:spacing w:before="117"/>
        <w:ind w:left="978" w:right="1404" w:hanging="800"/>
        <w:jc w:val="both"/>
      </w:pPr>
      <w:r>
        <w:rPr/>
        <w:t>Step 2: Set up software package. The emission inventory calculation, the PDFs, and the correlation values  should be set up in the Monte Carlo package. The software performs the subsequent steps. In some cases, the inventory agency may decide to set up its own programme to run a Monte Carlo simulation; this can be done using statistical</w:t>
      </w:r>
      <w:r>
        <w:rPr>
          <w:spacing w:val="-6"/>
        </w:rPr>
        <w:t> </w:t>
      </w:r>
      <w:r>
        <w:rPr/>
        <w:t>software.</w:t>
      </w:r>
    </w:p>
    <w:p>
      <w:pPr>
        <w:pStyle w:val="BodyText"/>
        <w:spacing w:before="120"/>
        <w:ind w:left="978" w:right="1407" w:hanging="800"/>
        <w:jc w:val="both"/>
      </w:pPr>
      <w:r>
        <w:rPr/>
        <w:t>Step 3: Select input values. Input values will normally be the </w:t>
      </w:r>
      <w:r>
        <w:rPr>
          <w:i/>
        </w:rPr>
        <w:t>good practice </w:t>
      </w:r>
      <w:r>
        <w:rPr/>
        <w:t>estimates applied  in  the  calculation. This is the start of the iterations. For each input data item, a number is randomly selected from the PDF of that</w:t>
      </w:r>
      <w:r>
        <w:rPr>
          <w:spacing w:val="-6"/>
        </w:rPr>
        <w:t> </w:t>
      </w:r>
      <w:r>
        <w:rPr/>
        <w:t>variable.</w:t>
      </w:r>
    </w:p>
    <w:p>
      <w:pPr>
        <w:pStyle w:val="BodyText"/>
        <w:spacing w:before="121"/>
        <w:ind w:left="978" w:right="1404" w:hanging="800"/>
        <w:jc w:val="both"/>
      </w:pPr>
      <w:r>
        <w:rPr/>
        <w:t>Step 4: Estimate carbon stocks. The variables selected in Step 3 are used to estimate carbon stocks for the base year and the current year (i.e., beginning and end of the inventory period; year </w:t>
      </w:r>
      <w:r>
        <w:rPr>
          <w:i/>
        </w:rPr>
        <w:t>t</w:t>
      </w:r>
      <w:r>
        <w:rPr/>
        <w:t>−20 and year </w:t>
      </w:r>
      <w:r>
        <w:rPr>
          <w:i/>
        </w:rPr>
        <w:t>t</w:t>
      </w:r>
      <w:r>
        <w:rPr/>
        <w:t>) based on input values.</w:t>
      </w:r>
    </w:p>
    <w:p>
      <w:pPr>
        <w:pStyle w:val="BodyText"/>
        <w:spacing w:before="119"/>
        <w:ind w:left="978" w:right="1402" w:hanging="800"/>
        <w:jc w:val="both"/>
      </w:pPr>
      <w:r>
        <w:rPr/>
        <w:t>Step 5:  Iterate and  monitor results. The calculated total from Step  4 is stored, and the process then repeats  from step 3. The mean of the totals stored gives an estimate of the carbon stock, and the variability represents uncertainty. Many repetitions are needed for this type of analysis. The number of iterations can be determined in two ways: by setting the number of model runs, a priori, such as 10,000 and allowing the simulation to continue until reaching the set number, or by allowing the mean to reach a relatively stable point before terminating the</w:t>
      </w:r>
      <w:r>
        <w:rPr>
          <w:spacing w:val="-7"/>
        </w:rPr>
        <w:t> </w:t>
      </w:r>
      <w:r>
        <w:rPr/>
        <w:t>simulation.</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7"/>
        <w:jc w:val="both"/>
      </w:pPr>
      <w:r>
        <w:rPr/>
        <w:t>The Monte Carlo method can also be used to estimate uncertainties in the trend (changes between two years) resulting from LULUCF activities. The procedure is a simple extension of that described previously. The Monte Carlo analysis needs to be set up to estimate stocks for both years simultaneously. The procedural steps are the same as described above, except for variations in Step 1 and</w:t>
      </w:r>
      <w:r>
        <w:rPr>
          <w:spacing w:val="-4"/>
        </w:rPr>
        <w:t> </w:t>
      </w:r>
      <w:r>
        <w:rPr/>
        <w:t>2:</w:t>
      </w:r>
    </w:p>
    <w:p>
      <w:pPr>
        <w:pStyle w:val="BodyText"/>
        <w:spacing w:before="119"/>
        <w:ind w:left="978" w:right="1407" w:hanging="800"/>
        <w:jc w:val="both"/>
      </w:pPr>
      <w:r>
        <w:rPr/>
        <w:t>Step 1: The same procedure as described above, except that it needs to be done for both the base year and the current year, and consequently additional interdependencies must be considered. For many LULUCF categories, the same emission factor will be used for each year (i.e., the emission factors for both years are 100% correlated). Activity data for land use and emissions are often correlated across time, and  this will need to be represented in the model as</w:t>
      </w:r>
      <w:r>
        <w:rPr>
          <w:spacing w:val="3"/>
        </w:rPr>
        <w:t> </w:t>
      </w:r>
      <w:r>
        <w:rPr/>
        <w:t>well.</w:t>
      </w:r>
    </w:p>
    <w:p>
      <w:pPr>
        <w:pStyle w:val="BodyText"/>
        <w:spacing w:before="120"/>
        <w:ind w:left="978" w:right="1405" w:hanging="800"/>
        <w:jc w:val="both"/>
      </w:pPr>
      <w:r>
        <w:rPr/>
        <w:t>Step 2: The software package should be set up as previously described, except that the PDFs will need to  capture the relationship between carbon stocks in the base year and current year. Where the input data are assumed to be 100% correlated between years (as will be the case for many LULUCF estimation parameters), the same random number is used to generate the emission factor values from the PDF in both years.</w:t>
      </w:r>
    </w:p>
    <w:p>
      <w:pPr>
        <w:pStyle w:val="BodyText"/>
        <w:spacing w:before="3"/>
        <w:rPr>
          <w:sz w:val="21"/>
        </w:rPr>
      </w:pPr>
    </w:p>
    <w:p>
      <w:pPr>
        <w:pStyle w:val="Heading6"/>
        <w:spacing w:before="1"/>
        <w:ind w:left="179"/>
        <w:jc w:val="both"/>
      </w:pPr>
      <w:r>
        <w:rPr/>
        <w:t>SPECIFYING PROBABILITY DISTRIBUTIONS FOR INVENTORY INPUTS</w:t>
      </w:r>
    </w:p>
    <w:p>
      <w:pPr>
        <w:pStyle w:val="BodyText"/>
        <w:spacing w:before="113"/>
        <w:ind w:left="179" w:right="1406"/>
        <w:jc w:val="both"/>
      </w:pPr>
      <w:r>
        <w:rPr/>
        <w:t>Data used in an uncertainty analysis can be derived from field trials or from expert judgement. These data need to be synthesized in such a way as to produce the probability distribution functions. Some key questions to ask regarding the data</w:t>
      </w:r>
      <w:r>
        <w:rPr>
          <w:spacing w:val="-3"/>
        </w:rPr>
        <w:t> </w:t>
      </w:r>
      <w:r>
        <w:rPr/>
        <w:t>include:</w:t>
      </w:r>
    </w:p>
    <w:p>
      <w:pPr>
        <w:pStyle w:val="ListParagraph"/>
        <w:numPr>
          <w:ilvl w:val="0"/>
          <w:numId w:val="117"/>
        </w:numPr>
        <w:tabs>
          <w:tab w:pos="540" w:val="left" w:leader="none"/>
        </w:tabs>
        <w:spacing w:line="240" w:lineRule="auto" w:before="134" w:after="0"/>
        <w:ind w:left="539" w:right="0" w:hanging="360"/>
        <w:jc w:val="both"/>
        <w:rPr>
          <w:sz w:val="20"/>
        </w:rPr>
      </w:pPr>
      <w:r>
        <w:rPr>
          <w:sz w:val="20"/>
        </w:rPr>
        <w:t>Are the data representative of management practices and other national</w:t>
      </w:r>
      <w:r>
        <w:rPr>
          <w:spacing w:val="-5"/>
          <w:sz w:val="20"/>
        </w:rPr>
        <w:t> </w:t>
      </w:r>
      <w:r>
        <w:rPr>
          <w:sz w:val="20"/>
        </w:rPr>
        <w:t>circumstances?</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What is the averaging time associated with the data set, and is it the same as for the</w:t>
      </w:r>
      <w:r>
        <w:rPr>
          <w:spacing w:val="-9"/>
          <w:sz w:val="20"/>
        </w:rPr>
        <w:t> </w:t>
      </w:r>
      <w:r>
        <w:rPr>
          <w:sz w:val="20"/>
        </w:rPr>
        <w:t>assessment?</w:t>
      </w:r>
    </w:p>
    <w:p>
      <w:pPr>
        <w:pStyle w:val="BodyText"/>
        <w:spacing w:before="104"/>
        <w:ind w:left="179" w:right="1403"/>
        <w:jc w:val="both"/>
      </w:pPr>
      <w:r>
        <w:rPr/>
        <w:t>Usually, available data will represent an annual average for an estimation parameter or an annual total for activity</w:t>
      </w:r>
      <w:r>
        <w:rPr>
          <w:spacing w:val="-3"/>
        </w:rPr>
        <w:t> </w:t>
      </w:r>
      <w:r>
        <w:rPr/>
        <w:t>data.</w:t>
      </w:r>
    </w:p>
    <w:p>
      <w:pPr>
        <w:pStyle w:val="BodyText"/>
        <w:spacing w:before="118"/>
        <w:ind w:left="179" w:right="1405"/>
        <w:jc w:val="both"/>
      </w:pPr>
      <w:r>
        <w:rPr/>
        <w:t>Monte Carlo simulation requires that the analyst specifies probability distributions (see Fishman 1996) that reasonably represent each model input for which the uncertainty is to be quantified. The probability distributions may be based on advice in Chapter 3 of this report, or be obtained by a variety of methods, including statistical analysis of data, or the elicitation of expert judgement as described in Chapter 6 of </w:t>
      </w:r>
      <w:r>
        <w:rPr>
          <w:i/>
        </w:rPr>
        <w:t>GPG2000</w:t>
      </w:r>
      <w:r>
        <w:rPr/>
        <w:t>. A key consideration is to develop the distributions for the input variables to the emission/removal calculation model so that they are based upon consistent underlying assumptions regarding averaging time, location, and other conditioning factors relevant to the particular assessment (e.g., climatic conditions influencing agricultural greenhouse gas emissions). See also Section 5.2.3 (Practical Considerations for Quantifying Uncertainties of Input Data) for further guidance.</w:t>
      </w:r>
    </w:p>
    <w:p>
      <w:pPr>
        <w:pStyle w:val="BodyText"/>
        <w:spacing w:before="3"/>
        <w:rPr>
          <w:sz w:val="21"/>
        </w:rPr>
      </w:pPr>
    </w:p>
    <w:p>
      <w:pPr>
        <w:pStyle w:val="Heading6"/>
        <w:ind w:left="179" w:right="2735"/>
      </w:pPr>
      <w:r>
        <w:rPr/>
        <w:t>ASSESSING THE CONTRIBUTION OF EACH INVENTORY INPUT TO OVERALL UNCERTAINTY</w:t>
      </w:r>
    </w:p>
    <w:p>
      <w:pPr>
        <w:pStyle w:val="BodyText"/>
        <w:spacing w:before="115"/>
        <w:ind w:left="179" w:right="1400"/>
        <w:jc w:val="both"/>
      </w:pPr>
      <w:r>
        <w:rPr/>
        <w:t>Ideally, the amount of effort devoted to characterizing uncertainty in an inventory input should be proportional to its importance to the overall uncertainty assessment. It would not be a good use of limited resources to spend large amounts of time exhaustively collecting data and expert judgements for a source/sink category that has little effect on overall uncertainty. Thus, countries are encouraged to identify which inputs to particular categories are particularly significant with respect to the overall uncertainty of the inventory as a mean to prioritise improvements. Similarly, it would be a shortcoming of an assessment not to devote reasonable resources to quantifying the uncertainties associated with the inputs to which the overall uncertainty in the inventory is highly sensitive. Thus, many analysts suggest an approach in which the first iteration of uncertainty analysis is an assessment of the main sources of uncertainty. This information will enhance the assessment of overall uncertainty and can be very useful in documentation. Methods for assessing the importance of each input are described in references such as Morgan and Henrion (1990), Cullen and Frey (1999), and others. See also Section 5.4 (Methodological Choice − Identification of Key</w:t>
      </w:r>
      <w:r>
        <w:rPr>
          <w:spacing w:val="-12"/>
        </w:rPr>
        <w:t> </w:t>
      </w:r>
      <w:r>
        <w:rPr/>
        <w:t>Categories).</w:t>
      </w:r>
    </w:p>
    <w:p>
      <w:pPr>
        <w:pStyle w:val="BodyText"/>
        <w:spacing w:before="2"/>
        <w:rPr>
          <w:sz w:val="21"/>
        </w:rPr>
      </w:pPr>
    </w:p>
    <w:p>
      <w:pPr>
        <w:pStyle w:val="Heading6"/>
        <w:ind w:left="179" w:right="1941"/>
      </w:pPr>
      <w:r>
        <w:rPr/>
        <w:t>SPECIFYING DEPENDENCE AND CORRELATION AMONG INVENTORY INPUTS</w:t>
      </w:r>
    </w:p>
    <w:p>
      <w:pPr>
        <w:pStyle w:val="BodyText"/>
        <w:spacing w:before="115"/>
        <w:ind w:left="179" w:right="1402"/>
        <w:jc w:val="both"/>
      </w:pPr>
      <w:r>
        <w:rPr/>
        <w:t>A key issue that should be considered by analysts when setting up a probabilistic analysis is whether there are dependencies or correlations among model inputs. Ideally, it is preferable to define the model so that the inputs are as statistically independent as possible. Therefore, rather than trying to estimate uncertainties separately for each LULUCF subcategory, it may be more practical to estimate uncertainty for aggregated categories, for which good estimates and cross-checks may be available. Dependencies, if they exist, may not always be important to the assessment of uncertainties. Dependencies among inputs will matter only when they exist between two inputs to which the uncertainty is particularly sensitive and when the dependencies are sufficiently strong. In contrast,</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4"/>
        <w:jc w:val="both"/>
      </w:pPr>
      <w:r>
        <w:rPr/>
        <w:t>weak dependencies among inputs, or strong dependencies among inputs to which the uncertainty in the inventory is insensitive, will be of relatively little importance to the analysis. Of course, some interdependencies are important and failure to account for those relationships can result in misleading results.</w:t>
      </w:r>
    </w:p>
    <w:p>
      <w:pPr>
        <w:pStyle w:val="BodyText"/>
        <w:spacing w:before="121"/>
        <w:ind w:left="179" w:right="1405"/>
        <w:jc w:val="both"/>
      </w:pPr>
      <w:r>
        <w:rPr/>
        <w:t>Dependencies can be assessed by evaluating the correlation among the input variables through statistical analyses. For example, Ogle </w:t>
      </w:r>
      <w:r>
        <w:rPr>
          <w:i/>
        </w:rPr>
        <w:t>et al</w:t>
      </w:r>
      <w:r>
        <w:rPr/>
        <w:t>. (2003) accounted for dependencies in tillage management factors, which were estimated from a common set of data in a single regression-type model, by determining the covariance between factors for reduced tillage and no-till management, and then using that information to generate tillage factor values with appropriate correlation during a Monte Carlo simulation. Box 5.2.3 discusses this study in more detail. One should consider the potential for correlations among input variables and focus on those that would likely have the largest dependencies (e.g., applying management factors for the same practice in different years of an inventory, or correlations among management activities from one year to the next). Additional discussions and examples are given in Cullen and Frey (1999) and Morgan and Henrion (1990). These documents also contain reference lists with citations to relevant</w:t>
      </w:r>
      <w:r>
        <w:rPr>
          <w:spacing w:val="-6"/>
        </w:rPr>
        <w:t> </w:t>
      </w:r>
      <w:r>
        <w:rPr/>
        <w:t>literature.</w:t>
      </w:r>
    </w:p>
    <w:p>
      <w:pPr>
        <w:pStyle w:val="BodyText"/>
        <w:rPr>
          <w:sz w:val="22"/>
        </w:rPr>
      </w:pPr>
    </w:p>
    <w:p>
      <w:pPr>
        <w:pStyle w:val="BodyText"/>
        <w:spacing w:before="1"/>
      </w:pPr>
    </w:p>
    <w:p>
      <w:pPr>
        <w:spacing w:line="207" w:lineRule="exact" w:before="0"/>
        <w:ind w:left="1892" w:right="3123" w:firstLine="0"/>
        <w:jc w:val="center"/>
        <w:rPr>
          <w:b/>
          <w:sz w:val="18"/>
        </w:rPr>
      </w:pPr>
      <w:r>
        <w:rPr/>
        <w:pict>
          <v:group style="position:absolute;margin-left:91.240997pt;margin-top:-6.477339pt;width:412.95pt;height:418.8pt;mso-position-horizontal-relative:page;mso-position-vertical-relative:paragraph;z-index:-2427760" coordorigin="1825,-130" coordsize="8259,8376">
            <v:shape style="position:absolute;left:1853;top:-130;width:8216;height:8016" coordorigin="1854,-130" coordsize="8216,8016" path="m1854,-115l10054,-115m10069,-130l10069,7886e" filled="false" stroked="true" strokeweight="1.44pt" strokecolor="#000000">
              <v:path arrowok="t"/>
              <v:stroke dashstyle="solid"/>
            </v:shape>
            <v:shape style="position:absolute;left:1839;top:-130;width:8216;height:8376" coordorigin="1839,-130" coordsize="8216,8376" path="m1854,8232l10054,8232m1839,-130l1839,8246e" filled="false" stroked="true" strokeweight="1.44pt" strokecolor="#000000">
              <v:path arrowok="t"/>
              <v:stroke dashstyle="solid"/>
            </v:shape>
            <v:line style="position:absolute" from="10069,7886" to="10069,8246" stroked="true" strokeweight="1.44pt" strokecolor="#000000">
              <v:stroke dashstyle="solid"/>
            </v:line>
            <w10:wrap type="none"/>
          </v:group>
        </w:pict>
      </w:r>
      <w:r>
        <w:rPr>
          <w:b/>
          <w:sz w:val="18"/>
        </w:rPr>
        <w:t>B</w:t>
      </w:r>
      <w:r>
        <w:rPr>
          <w:b/>
          <w:sz w:val="14"/>
        </w:rPr>
        <w:t>OX </w:t>
      </w:r>
      <w:r>
        <w:rPr>
          <w:b/>
          <w:sz w:val="18"/>
        </w:rPr>
        <w:t>5.2.3</w:t>
      </w:r>
    </w:p>
    <w:p>
      <w:pPr>
        <w:spacing w:line="207" w:lineRule="exact" w:before="0"/>
        <w:ind w:left="1444" w:right="0" w:firstLine="0"/>
        <w:jc w:val="left"/>
        <w:rPr>
          <w:b/>
          <w:sz w:val="18"/>
        </w:rPr>
      </w:pPr>
      <w:r>
        <w:rPr>
          <w:b/>
          <w:sz w:val="18"/>
        </w:rPr>
        <w:t>T</w:t>
      </w:r>
      <w:r>
        <w:rPr>
          <w:b/>
          <w:sz w:val="14"/>
        </w:rPr>
        <w:t>IER </w:t>
      </w:r>
      <w:r>
        <w:rPr>
          <w:b/>
          <w:sz w:val="18"/>
        </w:rPr>
        <w:t>2 U</w:t>
      </w:r>
      <w:r>
        <w:rPr>
          <w:b/>
          <w:sz w:val="14"/>
        </w:rPr>
        <w:t>NCERTAINTY ASSESSMENT FOR CHANGES IN AGRICULTURAL SOIL </w:t>
      </w:r>
      <w:r>
        <w:rPr>
          <w:b/>
          <w:sz w:val="18"/>
        </w:rPr>
        <w:t>C </w:t>
      </w:r>
      <w:r>
        <w:rPr>
          <w:b/>
          <w:sz w:val="14"/>
        </w:rPr>
        <w:t>IN THE </w:t>
      </w:r>
      <w:r>
        <w:rPr>
          <w:b/>
          <w:sz w:val="18"/>
        </w:rPr>
        <w:t>U.S.A</w:t>
      </w:r>
    </w:p>
    <w:p>
      <w:pPr>
        <w:pStyle w:val="BodyText"/>
        <w:spacing w:before="113"/>
        <w:ind w:left="740" w:right="1966"/>
        <w:jc w:val="both"/>
      </w:pPr>
      <w:r>
        <w:rPr/>
        <w:t>Ogle </w:t>
      </w:r>
      <w:r>
        <w:rPr>
          <w:i/>
        </w:rPr>
        <w:t>et al</w:t>
      </w:r>
      <w:r>
        <w:rPr/>
        <w:t>. (2003) have performed a Monte Carlo analysis for assessing the changes in carbon in agricultural soil in the United States. The method in the </w:t>
      </w:r>
      <w:r>
        <w:rPr>
          <w:i/>
        </w:rPr>
        <w:t>IPCC Guidelines </w:t>
      </w:r>
      <w:r>
        <w:rPr/>
        <w:t>requires inputs for management factors (i.e., the quantitative coefficients representing the change in soil organic carbon following a land use or management change), reference carbon stocks (i.e., the amount of soil organic carbon in the soils under the baseline condition), and the land use and management activity data. The management factors were estimated from about 75 published studies using linear mixed effect models. PDFs were derived for the management effect at a depth of 30 cm following 20 years since its implementation. Reference stocks were estimated using the National Soil Survey Characterization Database of the United States department of agriculture – national resource conservation service (USDA-NRCS) with carbon stock estimates from about 3700 soil samples across the United States. PDFs were based on the mean and variance from the samples, taking into account the spatial autocorrelation due to clumped distribution patterns. The land use and management activity data were recorded in the National Resources Inventory (NRI; USDA- NRCS), which tracks agricultural land management at more than 400,000 points in the United States and supplemented with data on tillage practices from the Conservation Technology Information Center (CTIC). The Monte Carlo analysis was implemented using a commercially available statistical software package and code developed by U.S. analysts. Their analysis accounted for interdependencies between estimation parameters that were derived from common datasets. For example, factors for set-aside lands and land-use change between cultivated and uncultivated conditions were derived from a single regression analysis using an indicator variable for set-asides, and hence were interdependent. Their analysis also accounted for interdependencies in land use and management activity data. When simulating input values, factors were considered completely interdependent from the base year and current year in the inventory because the effect of management was assumed not to change during the inventory period. As such, factors were simulated with identical random seed values. In contrast, reference carbon stocks for the various climates by soil zones used in the IPCC analysis were simulated independently, with different random seeds, because stocks for each zone were constructed from separate sets of data. U.S. analysts chose to use 50,000 iterations for the Monte Carlo analysis. Ogle </w:t>
      </w:r>
      <w:r>
        <w:rPr>
          <w:i/>
        </w:rPr>
        <w:t>et al</w:t>
      </w:r>
      <w:r>
        <w:rPr/>
        <w:t>. (2003) estimated that mineral soils gained an average of 10.7 Tg C yr </w:t>
      </w:r>
      <w:r>
        <w:rPr>
          <w:vertAlign w:val="superscript"/>
        </w:rPr>
        <w:t>-1</w:t>
      </w:r>
      <w:r>
        <w:rPr>
          <w:vertAlign w:val="baseline"/>
        </w:rPr>
        <w:t> between 1982 and 1997, with a 95% confidence interval ranging from 6.5 to 15.2 Tg C yr </w:t>
      </w:r>
      <w:r>
        <w:rPr>
          <w:vertAlign w:val="superscript"/>
        </w:rPr>
        <w:t>-1</w:t>
      </w:r>
      <w:r>
        <w:rPr>
          <w:vertAlign w:val="baseline"/>
        </w:rPr>
        <w:t>. In contrast, organic soils lost an average of</w:t>
      </w:r>
    </w:p>
    <w:p>
      <w:pPr>
        <w:pStyle w:val="BodyText"/>
        <w:ind w:left="740" w:right="1968"/>
        <w:jc w:val="both"/>
      </w:pPr>
      <w:r>
        <w:rPr/>
        <w:t>9.4 Tg C yr </w:t>
      </w:r>
      <w:r>
        <w:rPr>
          <w:vertAlign w:val="superscript"/>
        </w:rPr>
        <w:t>-1</w:t>
      </w:r>
      <w:r>
        <w:rPr>
          <w:vertAlign w:val="baseline"/>
        </w:rPr>
        <w:t>, ranging from 6.4 to 13.3 Tg C yr </w:t>
      </w:r>
      <w:r>
        <w:rPr>
          <w:vertAlign w:val="superscript"/>
        </w:rPr>
        <w:t>-1</w:t>
      </w:r>
      <w:r>
        <w:rPr>
          <w:vertAlign w:val="baseline"/>
        </w:rPr>
        <w:t>. Further, Ogle </w:t>
      </w:r>
      <w:r>
        <w:rPr>
          <w:i/>
          <w:vertAlign w:val="baseline"/>
        </w:rPr>
        <w:t>et al</w:t>
      </w:r>
      <w:r>
        <w:rPr>
          <w:vertAlign w:val="baseline"/>
        </w:rPr>
        <w:t>. (2003) found that the variability in management factors contributed 90% of the overall uncertainty for final inventory estimates of soil carbon change.</w:t>
      </w:r>
    </w:p>
    <w:p>
      <w:pPr>
        <w:pStyle w:val="BodyText"/>
      </w:pPr>
    </w:p>
    <w:p>
      <w:pPr>
        <w:pStyle w:val="BodyText"/>
        <w:spacing w:before="6"/>
        <w:rPr>
          <w:sz w:val="25"/>
        </w:rPr>
      </w:pPr>
    </w:p>
    <w:p>
      <w:pPr>
        <w:pStyle w:val="Heading2"/>
        <w:numPr>
          <w:ilvl w:val="2"/>
          <w:numId w:val="173"/>
        </w:numPr>
        <w:tabs>
          <w:tab w:pos="1381" w:val="left" w:leader="none"/>
          <w:tab w:pos="1382" w:val="left" w:leader="none"/>
        </w:tabs>
        <w:spacing w:line="240" w:lineRule="auto" w:before="86" w:after="0"/>
        <w:ind w:left="1381" w:right="3289" w:hanging="1202"/>
        <w:jc w:val="left"/>
      </w:pPr>
      <w:bookmarkStart w:name="_TOC_250050" w:id="5"/>
      <w:r>
        <w:rPr>
          <w:spacing w:val="8"/>
        </w:rPr>
        <w:t>Practical </w:t>
      </w:r>
      <w:r>
        <w:rPr>
          <w:spacing w:val="9"/>
        </w:rPr>
        <w:t>Considerations </w:t>
      </w:r>
      <w:r>
        <w:rPr>
          <w:spacing w:val="6"/>
        </w:rPr>
        <w:t>for </w:t>
      </w:r>
      <w:r>
        <w:rPr>
          <w:spacing w:val="9"/>
        </w:rPr>
        <w:t>Quantifying </w:t>
      </w:r>
      <w:r>
        <w:rPr>
          <w:spacing w:val="8"/>
        </w:rPr>
        <w:t>Uncertainties </w:t>
      </w:r>
      <w:r>
        <w:rPr>
          <w:spacing w:val="4"/>
        </w:rPr>
        <w:t>of </w:t>
      </w:r>
      <w:r>
        <w:rPr>
          <w:spacing w:val="7"/>
        </w:rPr>
        <w:t>Input</w:t>
      </w:r>
      <w:r>
        <w:rPr>
          <w:spacing w:val="47"/>
        </w:rPr>
        <w:t> </w:t>
      </w:r>
      <w:bookmarkEnd w:id="5"/>
      <w:r>
        <w:rPr>
          <w:spacing w:val="10"/>
        </w:rPr>
        <w:t>Data</w:t>
      </w:r>
    </w:p>
    <w:p>
      <w:pPr>
        <w:pStyle w:val="BodyText"/>
        <w:spacing w:before="115"/>
        <w:ind w:left="179" w:right="1403"/>
        <w:jc w:val="both"/>
      </w:pPr>
      <w:r>
        <w:rPr/>
        <w:t>Before uncertainties in an inventory category can be assessed, information on the uncertainties of the input data is needed. Chapter 3 of this report provides guidance on the uncertainties related to the choice of methods (tiers) and uncertainties in default parameters. For key categories, it is </w:t>
      </w:r>
      <w:r>
        <w:rPr>
          <w:i/>
        </w:rPr>
        <w:t>good practice </w:t>
      </w:r>
      <w:r>
        <w:rPr/>
        <w:t>to make an independent assessment of the uncertainty associated with the data used in order to prepare the national estimates.</w:t>
      </w:r>
      <w:r>
        <w:rPr>
          <w:spacing w:val="-16"/>
        </w:rPr>
        <w:t> </w:t>
      </w:r>
      <w:r>
        <w:rPr/>
        <w:t>The</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9"/>
        <w:jc w:val="both"/>
      </w:pPr>
      <w:r>
        <w:rPr/>
        <w:t>following sections provide general guidance on some of the issues that should be considered for the three </w:t>
      </w:r>
      <w:r>
        <w:rPr>
          <w:spacing w:val="-3"/>
        </w:rPr>
        <w:t>methodological </w:t>
      </w:r>
      <w:r>
        <w:rPr/>
        <w:t>tiers </w:t>
      </w:r>
      <w:r>
        <w:rPr>
          <w:spacing w:val="-3"/>
        </w:rPr>
        <w:t>described </w:t>
      </w:r>
      <w:r>
        <w:rPr/>
        <w:t>in </w:t>
      </w:r>
      <w:r>
        <w:rPr>
          <w:spacing w:val="-3"/>
        </w:rPr>
        <w:t>Chapter </w:t>
      </w:r>
      <w:r>
        <w:rPr/>
        <w:t>3, and </w:t>
      </w:r>
      <w:r>
        <w:rPr>
          <w:spacing w:val="-3"/>
        </w:rPr>
        <w:t>issues </w:t>
      </w:r>
      <w:r>
        <w:rPr/>
        <w:t>associated </w:t>
      </w:r>
      <w:r>
        <w:rPr>
          <w:spacing w:val="-3"/>
        </w:rPr>
        <w:t>with </w:t>
      </w:r>
      <w:r>
        <w:rPr/>
        <w:t>the </w:t>
      </w:r>
      <w:r>
        <w:rPr>
          <w:spacing w:val="-3"/>
        </w:rPr>
        <w:t>Kyoto </w:t>
      </w:r>
      <w:r>
        <w:rPr/>
        <w:t>Protocol </w:t>
      </w:r>
      <w:r>
        <w:rPr>
          <w:spacing w:val="-3"/>
        </w:rPr>
        <w:t>described </w:t>
      </w:r>
      <w:r>
        <w:rPr/>
        <w:t>in </w:t>
      </w:r>
      <w:r>
        <w:rPr>
          <w:spacing w:val="-3"/>
        </w:rPr>
        <w:t>Chapter </w:t>
      </w:r>
      <w:r>
        <w:rPr/>
        <w:t>4.</w:t>
      </w:r>
    </w:p>
    <w:p>
      <w:pPr>
        <w:pStyle w:val="BodyText"/>
        <w:spacing w:before="121"/>
        <w:ind w:left="179" w:right="1405"/>
        <w:jc w:val="both"/>
      </w:pPr>
      <w:r>
        <w:rPr/>
        <w:t>Chapter 2 describes the sources of uncertainty likely to be encountered in determining land areas associated with land use and land-use change activities. These depend on national circumstances, and on how countries specifically apply the three approaches, or the mix of approaches, used to categorise land area. Given the differences in national approaches, it is difficult to give general quantitative advice, although Table 2.3.6 in Chapter 2 provides illustrative ranges and advice on how to reduce uncertainties associated with the land classification. The advice in Chapter 2 is relevant to all tiers addressed in the following three subsections.</w:t>
      </w:r>
    </w:p>
    <w:p>
      <w:pPr>
        <w:pStyle w:val="BodyText"/>
        <w:spacing w:before="1"/>
        <w:rPr>
          <w:sz w:val="21"/>
        </w:rPr>
      </w:pPr>
    </w:p>
    <w:p>
      <w:pPr>
        <w:pStyle w:val="Heading6"/>
        <w:spacing w:before="1"/>
        <w:ind w:left="179" w:right="1597"/>
      </w:pPr>
      <w:r>
        <w:rPr/>
        <w:t>QUANTIFYING UNCERTAINTIES WHEN ESTIMATES OF EMISSIONS AND REMOVALS ARE BASED ON TIER 1 METHODS</w:t>
      </w:r>
    </w:p>
    <w:p>
      <w:pPr>
        <w:pStyle w:val="BodyText"/>
        <w:spacing w:before="115"/>
        <w:ind w:left="179" w:right="1404"/>
        <w:jc w:val="both"/>
      </w:pPr>
      <w:r>
        <w:rPr/>
        <w:t>Tier 1 methods to estimate emissions and removals from the LULUCF sector use country-specific area estimates (land area and changes in land area by categories) and default values of estimation parameters needed to calculate the source/sink strength of a specific category. The uncertainty associated with Tier 1 methods will likely be high because the suitability of the available default parameters to a country’s circumstances is not known. The application of default data in a country or region that has very different characteristics from those of the source data can lead to large systematic errors (i.e., highly biased estimates of emissions or removals). A qualitative uncertainty estimation of the default values used in Tier 1 or the verification approaches described in Section 5.7 can help to identify potential bias of the</w:t>
      </w:r>
      <w:r>
        <w:rPr>
          <w:spacing w:val="-8"/>
        </w:rPr>
        <w:t> </w:t>
      </w:r>
      <w:r>
        <w:rPr/>
        <w:t>estimates.</w:t>
      </w:r>
    </w:p>
    <w:p>
      <w:pPr>
        <w:pStyle w:val="BodyText"/>
        <w:spacing w:before="118"/>
        <w:ind w:left="179" w:right="1405"/>
        <w:jc w:val="both"/>
      </w:pPr>
      <w:r>
        <w:rPr/>
        <w:t>Ranges of uncertainty estimates for default estimation parameters are given in Chapter 3. Estimates of uncertainties in other estimation parameters (e.g., harvest data) have to be based on national sources or expert judgment reflecting national circumstances. Uncertainties in estimating the areas associated with land use and land-use change activities are obtained as described above. Overall uncertainty estimates for the LULUCF sector are obtained by combining uncertainties as described in Section 5.2.2 (Methods to Combine Uncertainties).</w:t>
      </w:r>
    </w:p>
    <w:p>
      <w:pPr>
        <w:pStyle w:val="BodyText"/>
        <w:spacing w:before="4"/>
        <w:rPr>
          <w:sz w:val="21"/>
        </w:rPr>
      </w:pPr>
    </w:p>
    <w:p>
      <w:pPr>
        <w:pStyle w:val="Heading6"/>
        <w:ind w:left="179" w:right="1597"/>
      </w:pPr>
      <w:r>
        <w:rPr/>
        <w:t>QUANTIFYING UNCERTAINTIES WHEN ESTIMATES OF EMISSIONS AND REMOVALS ARE BASED ON TIER 2 METHODS</w:t>
      </w:r>
    </w:p>
    <w:p>
      <w:pPr>
        <w:pStyle w:val="BodyText"/>
        <w:spacing w:before="112"/>
        <w:ind w:left="179" w:right="1404"/>
        <w:jc w:val="both"/>
      </w:pPr>
      <w:r>
        <w:rPr/>
        <w:t>Tier 2 methods described in Chapter 3 make use of country specific data within the framework established at Tier 1. In this case it is </w:t>
      </w:r>
      <w:r>
        <w:rPr>
          <w:i/>
        </w:rPr>
        <w:t>good practice </w:t>
      </w:r>
      <w:r>
        <w:rPr/>
        <w:t>to assess the uncertainty of these data given national circumstances. These data are often only broadly defined, presumably with very little stratification according to climate/management/ disturbance categories. Mostly, they will be assessed in top-down approaches on the basis of cross-referenced background values, or combined estimates from non-representative data sources including expert judgement. It is </w:t>
      </w:r>
      <w:r>
        <w:rPr>
          <w:i/>
        </w:rPr>
        <w:t>good practice </w:t>
      </w:r>
      <w:r>
        <w:rPr/>
        <w:t>to assess uncertainty estimates for such default values using literature evaluation, expert judgement or comparisons with countries with similar conditions. By tracing the original data, it might be possible to improve the uncertainty assessment. Uncertainties in estimating the areas associated with land use and land-use change activities are obtained as described in the opening to Section 5.2.3. For emission factors (for example of wetlands or non-CO</w:t>
      </w:r>
      <w:r>
        <w:rPr>
          <w:vertAlign w:val="subscript"/>
        </w:rPr>
        <w:t>2</w:t>
      </w:r>
      <w:r>
        <w:rPr>
          <w:vertAlign w:val="baseline"/>
        </w:rPr>
        <w:t> trace gases from biomass burning), countries may have direct measurements from a few samples for certain reporting categories. Overall uncertainty estimates are then obtained </w:t>
      </w:r>
      <w:r>
        <w:rPr>
          <w:spacing w:val="2"/>
          <w:vertAlign w:val="baseline"/>
        </w:rPr>
        <w:t>by </w:t>
      </w:r>
      <w:r>
        <w:rPr>
          <w:vertAlign w:val="baseline"/>
        </w:rPr>
        <w:t>combining uncertainties as described in Section</w:t>
      </w:r>
      <w:r>
        <w:rPr>
          <w:spacing w:val="-7"/>
          <w:vertAlign w:val="baseline"/>
        </w:rPr>
        <w:t> </w:t>
      </w:r>
      <w:r>
        <w:rPr>
          <w:vertAlign w:val="baseline"/>
        </w:rPr>
        <w:t>5.2.2.</w:t>
      </w:r>
    </w:p>
    <w:p>
      <w:pPr>
        <w:pStyle w:val="BodyText"/>
        <w:spacing w:before="2"/>
        <w:rPr>
          <w:sz w:val="21"/>
        </w:rPr>
      </w:pPr>
    </w:p>
    <w:p>
      <w:pPr>
        <w:pStyle w:val="Heading6"/>
        <w:ind w:left="179" w:right="1597"/>
      </w:pPr>
      <w:r>
        <w:rPr/>
        <w:t>QUANTIFYING UNCERTAINTIES WHEN ESTIMATES OF EMISSIONS AND REMOVALS ARE BASED ON TIER 3 METHODS</w:t>
      </w:r>
    </w:p>
    <w:p>
      <w:pPr>
        <w:pStyle w:val="BodyText"/>
        <w:spacing w:before="115"/>
        <w:ind w:left="179" w:right="1398"/>
        <w:jc w:val="both"/>
      </w:pPr>
      <w:r>
        <w:rPr/>
        <w:t>In Tier 3, extensive and representative country-specific information on carbon stock changes (in forestry, for example, gains by growth, and losses by harvest, as well as losses due to natural mortality or disturbance) is used in estimates of emissions and removals. In this case, the uncertainty of all estimation parameters entering the calculation, including possible systematic errors, should be assessed. Uncertainties in estimating the areas associated with land use and land-use change activities are obtained as already described. While the random error </w:t>
      </w:r>
      <w:r>
        <w:rPr>
          <w:spacing w:val="-3"/>
        </w:rPr>
        <w:t>component </w:t>
      </w:r>
      <w:r>
        <w:rPr/>
        <w:t>can be </w:t>
      </w:r>
      <w:r>
        <w:rPr>
          <w:spacing w:val="-3"/>
        </w:rPr>
        <w:t>quantified </w:t>
      </w:r>
      <w:r>
        <w:rPr/>
        <w:t>in </w:t>
      </w:r>
      <w:r>
        <w:rPr>
          <w:spacing w:val="-3"/>
        </w:rPr>
        <w:t>bottom-up approaches </w:t>
      </w:r>
      <w:r>
        <w:rPr/>
        <w:t>using in-situ </w:t>
      </w:r>
      <w:r>
        <w:rPr>
          <w:spacing w:val="-3"/>
        </w:rPr>
        <w:t>inventory information </w:t>
      </w:r>
      <w:r>
        <w:rPr/>
        <w:t>(see Section 5.3 </w:t>
      </w:r>
      <w:r>
        <w:rPr>
          <w:spacing w:val="-3"/>
        </w:rPr>
        <w:t>on sampling), </w:t>
      </w:r>
      <w:r>
        <w:rPr/>
        <w:t>the </w:t>
      </w:r>
      <w:r>
        <w:rPr>
          <w:spacing w:val="-3"/>
        </w:rPr>
        <w:t>systematic error requires additional focus. </w:t>
      </w:r>
      <w:r>
        <w:rPr/>
        <w:t>The </w:t>
      </w:r>
      <w:r>
        <w:rPr>
          <w:spacing w:val="-3"/>
        </w:rPr>
        <w:t>specific errors introduced </w:t>
      </w:r>
      <w:r>
        <w:rPr/>
        <w:t>by </w:t>
      </w:r>
      <w:r>
        <w:rPr>
          <w:spacing w:val="-3"/>
        </w:rPr>
        <w:t>e.g.,  sampling  </w:t>
      </w:r>
      <w:r>
        <w:rPr/>
        <w:t>and </w:t>
      </w:r>
      <w:r>
        <w:rPr>
          <w:spacing w:val="-3"/>
        </w:rPr>
        <w:t>model conversions have </w:t>
      </w:r>
      <w:r>
        <w:rPr/>
        <w:t>to be </w:t>
      </w:r>
      <w:r>
        <w:rPr>
          <w:spacing w:val="-3"/>
        </w:rPr>
        <w:t>considered (Lehtonen </w:t>
      </w:r>
      <w:r>
        <w:rPr>
          <w:i/>
        </w:rPr>
        <w:t>et al</w:t>
      </w:r>
      <w:r>
        <w:rPr/>
        <w:t>., 2004). It is </w:t>
      </w:r>
      <w:r>
        <w:rPr>
          <w:i/>
        </w:rPr>
        <w:t>good practice </w:t>
      </w:r>
      <w:r>
        <w:rPr/>
        <w:t>to </w:t>
      </w:r>
      <w:r>
        <w:rPr>
          <w:spacing w:val="-3"/>
        </w:rPr>
        <w:t>combine </w:t>
      </w:r>
      <w:r>
        <w:rPr/>
        <w:t>all </w:t>
      </w:r>
      <w:r>
        <w:rPr>
          <w:spacing w:val="-3"/>
        </w:rPr>
        <w:t>error components </w:t>
      </w:r>
      <w:r>
        <w:rPr/>
        <w:t>(random and </w:t>
      </w:r>
      <w:r>
        <w:rPr>
          <w:spacing w:val="-3"/>
        </w:rPr>
        <w:t>systematic) for each parameter (including expansion </w:t>
      </w:r>
      <w:r>
        <w:rPr/>
        <w:t>and </w:t>
      </w:r>
      <w:r>
        <w:rPr>
          <w:spacing w:val="-3"/>
        </w:rPr>
        <w:t>conversion factors), </w:t>
      </w:r>
      <w:r>
        <w:rPr/>
        <w:t>and </w:t>
      </w:r>
      <w:r>
        <w:rPr>
          <w:spacing w:val="-3"/>
        </w:rPr>
        <w:t>to combine </w:t>
      </w:r>
      <w:r>
        <w:rPr/>
        <w:t>the </w:t>
      </w:r>
      <w:r>
        <w:rPr>
          <w:spacing w:val="-3"/>
        </w:rPr>
        <w:t>corresponding uncertainty estimates for the </w:t>
      </w:r>
      <w:r>
        <w:rPr/>
        <w:t>emission </w:t>
      </w:r>
      <w:r>
        <w:rPr>
          <w:spacing w:val="-3"/>
        </w:rPr>
        <w:t>and removal estimates for each </w:t>
      </w:r>
      <w:r>
        <w:rPr/>
        <w:t>category </w:t>
      </w:r>
      <w:r>
        <w:rPr>
          <w:spacing w:val="-3"/>
        </w:rPr>
        <w:t>(see </w:t>
      </w:r>
      <w:r>
        <w:rPr/>
        <w:t>also </w:t>
      </w:r>
      <w:r>
        <w:rPr>
          <w:spacing w:val="-3"/>
        </w:rPr>
        <w:t>specific</w:t>
      </w:r>
      <w:r>
        <w:rPr>
          <w:spacing w:val="-5"/>
        </w:rPr>
        <w:t> </w:t>
      </w:r>
      <w:r>
        <w:rPr>
          <w:spacing w:val="-3"/>
        </w:rPr>
        <w:t>recommendations</w:t>
      </w:r>
      <w:r>
        <w:rPr>
          <w:spacing w:val="-5"/>
        </w:rPr>
        <w:t> </w:t>
      </w:r>
      <w:r>
        <w:rPr/>
        <w:t>on</w:t>
      </w:r>
      <w:r>
        <w:rPr>
          <w:spacing w:val="-6"/>
        </w:rPr>
        <w:t> </w:t>
      </w:r>
      <w:r>
        <w:rPr>
          <w:spacing w:val="-3"/>
        </w:rPr>
        <w:t>assessing</w:t>
      </w:r>
      <w:r>
        <w:rPr>
          <w:spacing w:val="-6"/>
        </w:rPr>
        <w:t> </w:t>
      </w:r>
      <w:r>
        <w:rPr/>
        <w:t>the</w:t>
      </w:r>
      <w:r>
        <w:rPr>
          <w:spacing w:val="-1"/>
        </w:rPr>
        <w:t> </w:t>
      </w:r>
      <w:r>
        <w:rPr>
          <w:spacing w:val="-3"/>
        </w:rPr>
        <w:t>uncertainty</w:t>
      </w:r>
      <w:r>
        <w:rPr>
          <w:spacing w:val="-6"/>
        </w:rPr>
        <w:t> </w:t>
      </w:r>
      <w:r>
        <w:rPr/>
        <w:t>of</w:t>
      </w:r>
      <w:r>
        <w:rPr>
          <w:spacing w:val="-3"/>
        </w:rPr>
        <w:t> estimates </w:t>
      </w:r>
      <w:r>
        <w:rPr/>
        <w:t>from</w:t>
      </w:r>
      <w:r>
        <w:rPr>
          <w:spacing w:val="-4"/>
        </w:rPr>
        <w:t> </w:t>
      </w:r>
      <w:r>
        <w:rPr>
          <w:spacing w:val="-3"/>
        </w:rPr>
        <w:t>sample</w:t>
      </w:r>
      <w:r>
        <w:rPr>
          <w:spacing w:val="-4"/>
        </w:rPr>
        <w:t> </w:t>
      </w:r>
      <w:r>
        <w:rPr>
          <w:spacing w:val="-3"/>
        </w:rPr>
        <w:t>based</w:t>
      </w:r>
      <w:r>
        <w:rPr>
          <w:spacing w:val="-4"/>
        </w:rPr>
        <w:t> </w:t>
      </w:r>
      <w:r>
        <w:rPr>
          <w:spacing w:val="-3"/>
        </w:rPr>
        <w:t>surveys</w:t>
      </w:r>
      <w:r>
        <w:rPr>
          <w:spacing w:val="-4"/>
        </w:rPr>
        <w:t> </w:t>
      </w:r>
      <w:r>
        <w:rPr/>
        <w:t>in</w:t>
      </w:r>
      <w:r>
        <w:rPr>
          <w:spacing w:val="-6"/>
        </w:rPr>
        <w:t> </w:t>
      </w:r>
      <w:r>
        <w:rPr/>
        <w:t>Section</w:t>
      </w:r>
      <w:r>
        <w:rPr>
          <w:spacing w:val="-6"/>
        </w:rPr>
        <w:t> </w:t>
      </w:r>
      <w:r>
        <w:rPr>
          <w:spacing w:val="-3"/>
        </w:rPr>
        <w:t>5.3).</w:t>
      </w:r>
    </w:p>
    <w:p>
      <w:pPr>
        <w:pStyle w:val="BodyText"/>
        <w:spacing w:before="118"/>
        <w:ind w:left="179" w:right="1402"/>
        <w:jc w:val="both"/>
      </w:pPr>
      <w:r>
        <w:rPr/>
        <w:t>Depending on the national Tier 3 approach, the important driving factors for the carbon cycle might be identified and parameterised in the subsections of Section 3.2.1. This allows for the application of dynamic models for extrapolation and verification purposes (see Section 5.7 on verification). Therefore, special attention should be paid to uncertainties of estimates based on models (Box 5.2.4).</w:t>
      </w:r>
    </w:p>
    <w:p>
      <w:pPr>
        <w:spacing w:after="0"/>
        <w:jc w:val="both"/>
        <w:sectPr>
          <w:pgSz w:w="11900" w:h="16840"/>
          <w:pgMar w:header="230" w:footer="408" w:top="560" w:bottom="600" w:left="1240" w:right="0"/>
        </w:sectPr>
      </w:pPr>
    </w:p>
    <w:p>
      <w:pPr>
        <w:pStyle w:val="BodyText"/>
      </w:pPr>
    </w:p>
    <w:p>
      <w:pPr>
        <w:pStyle w:val="BodyText"/>
        <w:spacing w:before="8"/>
        <w:rPr>
          <w:sz w:val="18"/>
        </w:rPr>
      </w:pPr>
    </w:p>
    <w:p>
      <w:pPr>
        <w:pStyle w:val="BodyText"/>
        <w:ind w:left="584"/>
      </w:pPr>
      <w:r>
        <w:rPr>
          <w:position w:val="0"/>
        </w:rPr>
        <w:pict>
          <v:shape style="width:411.5pt;height:268.1pt;mso-position-horizontal-relative:char;mso-position-vertical-relative:line" type="#_x0000_t202" filled="false" stroked="true" strokeweight="1.44pt" strokecolor="#000000">
            <w10:anchorlock/>
            <v:textbox inset="0,0,0,0">
              <w:txbxContent>
                <w:p>
                  <w:pPr>
                    <w:spacing w:before="100"/>
                    <w:ind w:left="67" w:right="68" w:firstLine="0"/>
                    <w:jc w:val="center"/>
                    <w:rPr>
                      <w:b/>
                      <w:sz w:val="18"/>
                    </w:rPr>
                  </w:pPr>
                  <w:r>
                    <w:rPr>
                      <w:b/>
                      <w:sz w:val="18"/>
                    </w:rPr>
                    <w:t>B</w:t>
                  </w:r>
                  <w:r>
                    <w:rPr>
                      <w:b/>
                      <w:sz w:val="14"/>
                    </w:rPr>
                    <w:t>OX </w:t>
                  </w:r>
                  <w:r>
                    <w:rPr>
                      <w:b/>
                      <w:sz w:val="18"/>
                    </w:rPr>
                    <w:t>5.2.4</w:t>
                  </w:r>
                </w:p>
                <w:p>
                  <w:pPr>
                    <w:spacing w:before="2"/>
                    <w:ind w:left="2267" w:right="0" w:firstLine="0"/>
                    <w:jc w:val="left"/>
                    <w:rPr>
                      <w:b/>
                      <w:sz w:val="14"/>
                    </w:rPr>
                  </w:pPr>
                  <w:r>
                    <w:rPr>
                      <w:b/>
                      <w:sz w:val="18"/>
                    </w:rPr>
                    <w:t>U</w:t>
                  </w:r>
                  <w:r>
                    <w:rPr>
                      <w:b/>
                      <w:sz w:val="14"/>
                    </w:rPr>
                    <w:t>NCERTAINTIES OF ESTIMATES BASED ON MODELS</w:t>
                  </w:r>
                </w:p>
                <w:p>
                  <w:pPr>
                    <w:pStyle w:val="BodyText"/>
                    <w:spacing w:before="113"/>
                    <w:ind w:left="127" w:right="119"/>
                    <w:jc w:val="both"/>
                  </w:pPr>
                  <w:r>
                    <w:rPr/>
                    <w:t>Models used in inventory construction can range from purely empirical/statistical relationships to detailed process based models. In practice, most models are constructed with elements of both. There are many issues to consider in quantifying the uncertainties in the estimates produced by these models. A few general comments can be made although it is beyond the scope of this document to review all relevant models. Overall uncertainty in models can be derived from two main components: uncertainty in the structure of the model and uncertainty in the parameter values. The first source of uncertainty is difficult to quantify. Comparison with observational field data can indicate that either the structure of the model or the parameter values or both are incorrect (Oreskes </w:t>
                  </w:r>
                  <w:r>
                    <w:rPr>
                      <w:i/>
                    </w:rPr>
                    <w:t>et al.</w:t>
                  </w:r>
                  <w:r>
                    <w:rPr/>
                    <w:t>, 1984). It is therefore important to test the validity of the models, and to use only models that are validated for the intended purpose. If a model is not well validated, a validation programme should complement its use. The uncertainty associated with parameter values can be more easily quantified by combining statistical estimates or expert judgments of parameter uncertainty with sensitivity, or Monte Carlo analysis. A sensitivity analysis should be performed before a model is used so as to determine its usefulness for prediction. A model that is highly sensitive to a parameter with high uncertainty may not be the best choice for inventory purposes. Given that the model structure is adequate, the final point to consider is the uncertainty of estimates produced by models. In this case, there are typically two error components to consider: uncertainty due to parameter uncertainty and uncertainty due to inherent variation in  the population that cannot be captured by the model. When making these estimates, both sources of uncertainty should be considered in any</w:t>
                  </w:r>
                  <w:r>
                    <w:rPr>
                      <w:spacing w:val="-9"/>
                    </w:rPr>
                    <w:t> </w:t>
                  </w:r>
                  <w:r>
                    <w:rPr/>
                    <w:t>calculation.</w:t>
                  </w:r>
                </w:p>
              </w:txbxContent>
            </v:textbox>
            <v:stroke dashstyle="solid"/>
          </v:shape>
        </w:pict>
      </w:r>
      <w:r>
        <w:rPr>
          <w:position w:val="0"/>
        </w:rPr>
      </w:r>
    </w:p>
    <w:p>
      <w:pPr>
        <w:pStyle w:val="BodyText"/>
      </w:pPr>
    </w:p>
    <w:p>
      <w:pPr>
        <w:pStyle w:val="BodyText"/>
        <w:spacing w:before="2"/>
        <w:rPr>
          <w:sz w:val="21"/>
        </w:rPr>
      </w:pPr>
    </w:p>
    <w:p>
      <w:pPr>
        <w:pStyle w:val="Heading6"/>
        <w:spacing w:before="91"/>
        <w:ind w:left="179" w:right="1619"/>
        <w:jc w:val="both"/>
      </w:pPr>
      <w:r>
        <w:rPr/>
        <w:t>QUANTIFYING UNCERTAINTIES WHEN ESTIMATES OF EMISSIONS AND REMOVALS ARE BASED ON SUPPLEMENTARY REQUIREMENTS OF THE KYOTO PROTOCOL </w:t>
      </w:r>
    </w:p>
    <w:p>
      <w:pPr>
        <w:pStyle w:val="BodyText"/>
        <w:spacing w:before="114"/>
        <w:ind w:left="179" w:right="1403"/>
        <w:jc w:val="both"/>
      </w:pPr>
      <w:r>
        <w:rPr/>
        <w:t>The general methods to combine uncertainties as described in Section 5.2.2 (Methods to Combine Uncertainties) can also be applied in the reporting of estimates under the Kyoto Protocol. However, some of the major factors influencing the uncertainties might be different. For example, the overall uncertainty of the inventory of the LULUCF sector might be more sensitive to uncertainties in detection of land-use categories and changes within them for categories under Articles 3.3 and 3.4 of the Kyoto Protocol. In addition, the net-net accounting which is required for the reporting for agriculture-related activities, introduces some specific issues, which are addressed in more detail in Sections 4.2.4.2 and 4.2.8.1. For </w:t>
      </w:r>
      <w:r>
        <w:rPr>
          <w:spacing w:val="-3"/>
        </w:rPr>
        <w:t>example, </w:t>
      </w:r>
      <w:r>
        <w:rPr/>
        <w:t>the </w:t>
      </w:r>
      <w:r>
        <w:rPr>
          <w:spacing w:val="-3"/>
        </w:rPr>
        <w:t>uncertainty </w:t>
      </w:r>
      <w:r>
        <w:rPr/>
        <w:t>in the base </w:t>
      </w:r>
      <w:r>
        <w:rPr>
          <w:spacing w:val="-4"/>
        </w:rPr>
        <w:t>year </w:t>
      </w:r>
      <w:r>
        <w:rPr>
          <w:spacing w:val="-3"/>
        </w:rPr>
        <w:t>estimate </w:t>
      </w:r>
      <w:r>
        <w:rPr/>
        <w:t>may </w:t>
      </w:r>
      <w:r>
        <w:rPr>
          <w:spacing w:val="-3"/>
        </w:rPr>
        <w:t>be different </w:t>
      </w:r>
      <w:r>
        <w:rPr/>
        <w:t>from that of the </w:t>
      </w:r>
      <w:r>
        <w:rPr>
          <w:spacing w:val="-3"/>
        </w:rPr>
        <w:t>commitment period. </w:t>
      </w:r>
      <w:r>
        <w:rPr/>
        <w:t>On the </w:t>
      </w:r>
      <w:r>
        <w:rPr>
          <w:spacing w:val="-3"/>
        </w:rPr>
        <w:t>other hand, there </w:t>
      </w:r>
      <w:r>
        <w:rPr/>
        <w:t>are </w:t>
      </w:r>
      <w:r>
        <w:rPr>
          <w:spacing w:val="-3"/>
        </w:rPr>
        <w:t>special requirements for methodological choice for </w:t>
      </w:r>
      <w:r>
        <w:rPr/>
        <w:t>the </w:t>
      </w:r>
      <w:r>
        <w:rPr>
          <w:spacing w:val="-3"/>
        </w:rPr>
        <w:t>reporting according under </w:t>
      </w:r>
      <w:r>
        <w:rPr/>
        <w:t>the </w:t>
      </w:r>
      <w:r>
        <w:rPr>
          <w:spacing w:val="-3"/>
        </w:rPr>
        <w:t>Kyoto Protocol </w:t>
      </w:r>
      <w:r>
        <w:rPr/>
        <w:t>(as </w:t>
      </w:r>
      <w:r>
        <w:rPr>
          <w:spacing w:val="-3"/>
        </w:rPr>
        <w:t>described </w:t>
      </w:r>
      <w:r>
        <w:rPr/>
        <w:t>in </w:t>
      </w:r>
      <w:r>
        <w:rPr>
          <w:spacing w:val="-3"/>
        </w:rPr>
        <w:t>Chapter </w:t>
      </w:r>
      <w:r>
        <w:rPr/>
        <w:t>4). It is </w:t>
      </w:r>
      <w:r>
        <w:rPr>
          <w:spacing w:val="-3"/>
        </w:rPr>
        <w:t>necessary for reporting purposes </w:t>
      </w:r>
      <w:r>
        <w:rPr/>
        <w:t>to </w:t>
      </w:r>
      <w:r>
        <w:rPr>
          <w:spacing w:val="-3"/>
        </w:rPr>
        <w:t>conduct separate uncertainty assessments for </w:t>
      </w:r>
      <w:r>
        <w:rPr>
          <w:spacing w:val="-2"/>
        </w:rPr>
        <w:t>activities </w:t>
      </w:r>
      <w:r>
        <w:rPr>
          <w:spacing w:val="-3"/>
        </w:rPr>
        <w:t>under Articles </w:t>
      </w:r>
      <w:r>
        <w:rPr/>
        <w:t>3.3 and 3.4 of the </w:t>
      </w:r>
      <w:r>
        <w:rPr>
          <w:spacing w:val="-3"/>
        </w:rPr>
        <w:t>Kyoto </w:t>
      </w:r>
      <w:r>
        <w:rPr/>
        <w:t>Protocol. The </w:t>
      </w:r>
      <w:r>
        <w:rPr>
          <w:spacing w:val="-3"/>
        </w:rPr>
        <w:t>requirements </w:t>
      </w:r>
      <w:r>
        <w:rPr/>
        <w:t>and level of </w:t>
      </w:r>
      <w:r>
        <w:rPr>
          <w:spacing w:val="-3"/>
        </w:rPr>
        <w:t>detail </w:t>
      </w:r>
      <w:r>
        <w:rPr/>
        <w:t>of the</w:t>
      </w:r>
      <w:r>
        <w:rPr>
          <w:spacing w:val="-3"/>
        </w:rPr>
        <w:t> analysis </w:t>
      </w:r>
      <w:r>
        <w:rPr/>
        <w:t>is </w:t>
      </w:r>
      <w:r>
        <w:rPr>
          <w:spacing w:val="-3"/>
        </w:rPr>
        <w:t>described </w:t>
      </w:r>
      <w:r>
        <w:rPr/>
        <w:t>in</w:t>
      </w:r>
      <w:r>
        <w:rPr>
          <w:spacing w:val="-3"/>
        </w:rPr>
        <w:t> Section 4.2.4.3 </w:t>
      </w:r>
      <w:r>
        <w:rPr/>
        <w:t>of </w:t>
      </w:r>
      <w:r>
        <w:rPr>
          <w:spacing w:val="-3"/>
        </w:rPr>
        <w:t>Chapter 4.</w:t>
      </w:r>
    </w:p>
    <w:p>
      <w:pPr>
        <w:pStyle w:val="BodyText"/>
        <w:rPr>
          <w:sz w:val="22"/>
        </w:rPr>
      </w:pPr>
    </w:p>
    <w:p>
      <w:pPr>
        <w:pStyle w:val="BodyText"/>
      </w:pPr>
    </w:p>
    <w:p>
      <w:pPr>
        <w:pStyle w:val="Heading2"/>
        <w:numPr>
          <w:ilvl w:val="2"/>
          <w:numId w:val="173"/>
        </w:numPr>
        <w:tabs>
          <w:tab w:pos="1382" w:val="left" w:leader="none"/>
        </w:tabs>
        <w:spacing w:line="240" w:lineRule="auto" w:before="0" w:after="0"/>
        <w:ind w:left="1381" w:right="0" w:hanging="1202"/>
        <w:jc w:val="both"/>
      </w:pPr>
      <w:bookmarkStart w:name="_TOC_250049" w:id="6"/>
      <w:r>
        <w:rPr>
          <w:spacing w:val="8"/>
        </w:rPr>
        <w:t>Example </w:t>
      </w:r>
      <w:r>
        <w:rPr>
          <w:spacing w:val="6"/>
        </w:rPr>
        <w:t>of </w:t>
      </w:r>
      <w:r>
        <w:rPr>
          <w:spacing w:val="8"/>
        </w:rPr>
        <w:t>uncertainty</w:t>
      </w:r>
      <w:r>
        <w:rPr>
          <w:spacing w:val="44"/>
        </w:rPr>
        <w:t> </w:t>
      </w:r>
      <w:bookmarkEnd w:id="6"/>
      <w:r>
        <w:rPr>
          <w:spacing w:val="10"/>
        </w:rPr>
        <w:t>analysis</w:t>
      </w:r>
    </w:p>
    <w:p>
      <w:pPr>
        <w:pStyle w:val="BodyText"/>
        <w:spacing w:before="114"/>
        <w:ind w:left="179" w:right="1405"/>
        <w:jc w:val="both"/>
      </w:pPr>
      <w:r>
        <w:rPr/>
        <w:t>Chapter 6 , Quantifying Uncertainties in Practice, gives a general example on how uncertainties can be combined in its Appendix 6A.2. This approach can also be used for LULUCF sector provided all LULUCF calculations are expressed as products of area (or other activity data) and emission or removal factors. Since LULUCF estimates are in general approximately proportional to area more complex estimation procedures than multiplying activity data with a single emission factor can all be expressed in this form, with uncertainties associated with the equivalent emission or uptake factor estimated by expert judgement or by using the standard relationships for error propagation.</w:t>
      </w:r>
    </w:p>
    <w:p>
      <w:pPr>
        <w:pStyle w:val="BodyText"/>
        <w:spacing w:before="121"/>
        <w:ind w:left="179" w:right="1405"/>
        <w:jc w:val="both"/>
      </w:pPr>
      <w:r>
        <w:rPr/>
        <w:t>In this section an example is given that illustrates the steps for the Tier 1 uncertainty assessment, applied for the LULUCF Tier 1 approach using two typical activities. It considers a simple case where carbon stock changes, emissions and removals are estimated for two sub-categories within the forest land category: i) forest land that remains as forest land, and ii) the conversion of forest land to grassland. Non-CO</w:t>
      </w:r>
      <w:r>
        <w:rPr>
          <w:vertAlign w:val="subscript"/>
        </w:rPr>
        <w:t>2</w:t>
      </w:r>
      <w:r>
        <w:rPr>
          <w:vertAlign w:val="baseline"/>
        </w:rPr>
        <w:t> gases and emissions from soils are not considered here. The example concentrates on simple numerical estimates of uncertainty, not taking into account correlations between input</w:t>
      </w:r>
      <w:r>
        <w:rPr>
          <w:spacing w:val="-4"/>
          <w:vertAlign w:val="baseline"/>
        </w:rPr>
        <w:t> </w:t>
      </w:r>
      <w:r>
        <w:rPr>
          <w:vertAlign w:val="baseline"/>
        </w:rPr>
        <w:t>parameters.</w:t>
      </w:r>
    </w:p>
    <w:p>
      <w:pPr>
        <w:pStyle w:val="BodyText"/>
        <w:spacing w:before="117"/>
        <w:ind w:left="179"/>
      </w:pPr>
      <w:r>
        <w:rPr/>
        <w:t>The estimation involves four steps.</w:t>
      </w:r>
    </w:p>
    <w:p>
      <w:pPr>
        <w:pStyle w:val="BodyText"/>
        <w:tabs>
          <w:tab w:pos="978" w:val="left" w:leader="none"/>
        </w:tabs>
        <w:spacing w:before="121"/>
        <w:ind w:left="978" w:right="1403" w:hanging="800"/>
      </w:pPr>
      <w:r>
        <w:rPr/>
        <w:t>Step</w:t>
      </w:r>
      <w:r>
        <w:rPr>
          <w:spacing w:val="-1"/>
        </w:rPr>
        <w:t> </w:t>
      </w:r>
      <w:r>
        <w:rPr/>
        <w:t>1:</w:t>
        <w:tab/>
        <w:t>Estimate emissions or removals related to each activity; forest land remaining as forest, and conversion from forest to</w:t>
      </w:r>
      <w:r>
        <w:rPr>
          <w:spacing w:val="-3"/>
        </w:rPr>
        <w:t> </w:t>
      </w:r>
      <w:r>
        <w:rPr/>
        <w:t>grassland.</w:t>
      </w:r>
    </w:p>
    <w:p>
      <w:pPr>
        <w:spacing w:after="0"/>
        <w:sectPr>
          <w:pgSz w:w="11900" w:h="16840"/>
          <w:pgMar w:header="230" w:footer="408" w:top="560" w:bottom="600" w:left="1240" w:right="0"/>
        </w:sectPr>
      </w:pPr>
    </w:p>
    <w:p>
      <w:pPr>
        <w:pStyle w:val="BodyText"/>
      </w:pPr>
    </w:p>
    <w:p>
      <w:pPr>
        <w:pStyle w:val="BodyText"/>
        <w:spacing w:before="2"/>
        <w:rPr>
          <w:sz w:val="18"/>
        </w:rPr>
      </w:pPr>
    </w:p>
    <w:p>
      <w:pPr>
        <w:pStyle w:val="BodyText"/>
        <w:tabs>
          <w:tab w:pos="978" w:val="left" w:leader="none"/>
        </w:tabs>
        <w:ind w:left="179"/>
      </w:pPr>
      <w:r>
        <w:rPr/>
        <w:t>Step</w:t>
      </w:r>
      <w:r>
        <w:rPr>
          <w:spacing w:val="-1"/>
        </w:rPr>
        <w:t> </w:t>
      </w:r>
      <w:r>
        <w:rPr/>
        <w:t>2:</w:t>
        <w:tab/>
        <w:t>Assessment of uncertainties related to both</w:t>
      </w:r>
      <w:r>
        <w:rPr>
          <w:spacing w:val="-4"/>
        </w:rPr>
        <w:t> </w:t>
      </w:r>
      <w:r>
        <w:rPr/>
        <w:t>activities.</w:t>
      </w:r>
    </w:p>
    <w:p>
      <w:pPr>
        <w:pStyle w:val="BodyText"/>
        <w:tabs>
          <w:tab w:pos="978" w:val="left" w:leader="none"/>
        </w:tabs>
        <w:spacing w:line="364" w:lineRule="auto" w:before="121"/>
        <w:ind w:left="179" w:right="4314"/>
      </w:pPr>
      <w:r>
        <w:rPr/>
        <w:t>Step</w:t>
      </w:r>
      <w:r>
        <w:rPr>
          <w:spacing w:val="-1"/>
        </w:rPr>
        <w:t> </w:t>
      </w:r>
      <w:r>
        <w:rPr/>
        <w:t>3:</w:t>
        <w:tab/>
        <w:t>Assessment of the total uncertainties from the LULUCF sector. Step</w:t>
      </w:r>
      <w:r>
        <w:rPr>
          <w:spacing w:val="-1"/>
        </w:rPr>
        <w:t> </w:t>
      </w:r>
      <w:r>
        <w:rPr/>
        <w:t>4:</w:t>
        <w:tab/>
        <w:t>Combination of LULCF uncertainties with other source</w:t>
      </w:r>
      <w:r>
        <w:rPr>
          <w:spacing w:val="-33"/>
        </w:rPr>
        <w:t> </w:t>
      </w:r>
      <w:r>
        <w:rPr/>
        <w:t>categories.</w:t>
      </w:r>
    </w:p>
    <w:p>
      <w:pPr>
        <w:pStyle w:val="Heading6"/>
        <w:spacing w:before="127"/>
        <w:ind w:left="179"/>
      </w:pPr>
      <w:r>
        <w:rPr/>
        <w:t>Step 1: Estimate emissions or removals for each activity</w:t>
      </w:r>
    </w:p>
    <w:p>
      <w:pPr>
        <w:pStyle w:val="BodyText"/>
        <w:spacing w:before="53"/>
        <w:ind w:left="179" w:right="1405"/>
        <w:jc w:val="both"/>
      </w:pPr>
      <w:r>
        <w:rPr/>
        <w:t>Before conducting an uncertainty assessment, estimates of the carbon stock change are prepared for both subcategories: forest land remaining forest land and forest land converted to grassland. These estimates should be prepared following the detailed guidance in Chapters 3 of this</w:t>
      </w:r>
      <w:r>
        <w:rPr>
          <w:spacing w:val="-7"/>
        </w:rPr>
        <w:t> </w:t>
      </w:r>
      <w:r>
        <w:rPr/>
        <w:t>report.</w:t>
      </w:r>
    </w:p>
    <w:p>
      <w:pPr>
        <w:pStyle w:val="BodyText"/>
        <w:spacing w:before="3"/>
        <w:rPr>
          <w:sz w:val="21"/>
        </w:rPr>
      </w:pPr>
    </w:p>
    <w:p>
      <w:pPr>
        <w:pStyle w:val="Heading7"/>
        <w:spacing w:line="251" w:lineRule="exact"/>
        <w:ind w:left="179"/>
        <w:jc w:val="left"/>
      </w:pPr>
      <w:r>
        <w:rPr/>
        <w:t>Forest Land Remaining Forest Land</w:t>
      </w:r>
    </w:p>
    <w:p>
      <w:pPr>
        <w:pStyle w:val="BodyText"/>
        <w:ind w:left="179" w:right="1405"/>
        <w:jc w:val="both"/>
      </w:pPr>
      <w:r>
        <w:rPr/>
        <w:t>Section 3.2.1.1.1.1 in Chapter 3 gives two methods for estimating carbon stock changes in biomass; in this example we only apply Method 1 which requires the biomass carbon loss to be subtracted from the biomass increment (Equation 3.2.2):</w:t>
      </w:r>
    </w:p>
    <w:p>
      <w:pPr>
        <w:spacing w:after="0"/>
        <w:jc w:val="both"/>
        <w:sectPr>
          <w:pgSz w:w="11900" w:h="16840"/>
          <w:pgMar w:header="230" w:footer="408" w:top="560" w:bottom="600" w:left="1240" w:right="0"/>
        </w:sectPr>
      </w:pPr>
    </w:p>
    <w:p>
      <w:pPr>
        <w:pStyle w:val="BodyText"/>
        <w:rPr>
          <w:sz w:val="22"/>
        </w:rPr>
      </w:pPr>
    </w:p>
    <w:p>
      <w:pPr>
        <w:pStyle w:val="BodyText"/>
        <w:spacing w:before="171"/>
        <w:ind w:left="179"/>
      </w:pPr>
      <w:r>
        <w:rPr>
          <w:spacing w:val="-1"/>
        </w:rPr>
        <w:t>where:</w:t>
      </w:r>
    </w:p>
    <w:p>
      <w:pPr>
        <w:pStyle w:val="BodyText"/>
        <w:tabs>
          <w:tab w:pos="3502" w:val="left" w:leader="none"/>
        </w:tabs>
        <w:spacing w:line="251" w:lineRule="exact"/>
        <w:ind w:left="2791"/>
        <w:rPr>
          <w:sz w:val="22"/>
        </w:rPr>
      </w:pPr>
      <w:r>
        <w:rPr/>
        <w:br w:type="column"/>
      </w:r>
      <w:r>
        <w:rPr/>
        <w:t>∆C</w:t>
      </w:r>
      <w:r>
        <w:rPr>
          <w:vertAlign w:val="subscript"/>
        </w:rPr>
        <w:t>FF</w:t>
      </w:r>
      <w:r>
        <w:rPr>
          <w:vertAlign w:val="baseline"/>
        </w:rPr>
        <w:tab/>
        <w:t>= (∆C</w:t>
      </w:r>
      <w:r>
        <w:rPr>
          <w:vertAlign w:val="subscript"/>
        </w:rPr>
        <w:t>FF</w:t>
      </w:r>
      <w:r>
        <w:rPr>
          <w:vertAlign w:val="baseline"/>
        </w:rPr>
        <w:t> − ∆C</w:t>
      </w:r>
      <w:r>
        <w:rPr>
          <w:vertAlign w:val="subscript"/>
        </w:rPr>
        <w:t>FF</w:t>
      </w:r>
      <w:r>
        <w:rPr>
          <w:spacing w:val="43"/>
          <w:vertAlign w:val="baseline"/>
        </w:rPr>
        <w:t> </w:t>
      </w:r>
      <w:r>
        <w:rPr>
          <w:sz w:val="22"/>
          <w:vertAlign w:val="baseline"/>
        </w:rPr>
        <w:t>)</w:t>
      </w:r>
    </w:p>
    <w:p>
      <w:pPr>
        <w:pStyle w:val="BodyText"/>
        <w:rPr>
          <w:sz w:val="26"/>
        </w:rPr>
      </w:pPr>
    </w:p>
    <w:p>
      <w:pPr>
        <w:pStyle w:val="BodyText"/>
        <w:spacing w:before="7"/>
        <w:rPr>
          <w:sz w:val="29"/>
        </w:rPr>
      </w:pPr>
    </w:p>
    <w:p>
      <w:pPr>
        <w:pStyle w:val="BodyText"/>
        <w:spacing w:line="228" w:lineRule="auto"/>
        <w:ind w:left="917" w:right="1489" w:hanging="934"/>
      </w:pPr>
      <w:r>
        <w:rPr/>
        <w:pict>
          <v:shape style="position:absolute;margin-left:261.520599pt;margin-top:-35.598095pt;width:87.85pt;height:7.2pt;mso-position-horizontal-relative:page;mso-position-vertical-relative:paragraph;z-index:-2427664" type="#_x0000_t202" filled="false" stroked="false">
            <v:textbox inset="0,0,0,0">
              <w:txbxContent>
                <w:p>
                  <w:pPr>
                    <w:tabs>
                      <w:tab w:pos="952" w:val="left" w:leader="none"/>
                      <w:tab w:pos="1677" w:val="left" w:leader="none"/>
                    </w:tabs>
                    <w:spacing w:line="144" w:lineRule="exact" w:before="0"/>
                    <w:ind w:left="0" w:right="0" w:firstLine="0"/>
                    <w:jc w:val="left"/>
                    <w:rPr>
                      <w:sz w:val="13"/>
                    </w:rPr>
                  </w:pPr>
                  <w:r>
                    <w:rPr>
                      <w:sz w:val="13"/>
                    </w:rPr>
                    <w:t>LB</w:t>
                    <w:tab/>
                    <w:t>G</w:t>
                    <w:tab/>
                  </w:r>
                  <w:r>
                    <w:rPr>
                      <w:spacing w:val="-20"/>
                      <w:sz w:val="13"/>
                    </w:rPr>
                    <w:t>L</w:t>
                  </w:r>
                </w:p>
              </w:txbxContent>
            </v:textbox>
            <w10:wrap type="none"/>
          </v:shape>
        </w:pict>
      </w:r>
      <w:r>
        <w:rPr/>
        <w:t>∆C</w:t>
      </w:r>
      <w:r>
        <w:rPr>
          <w:vertAlign w:val="subscript"/>
        </w:rPr>
        <w:t>FF</w:t>
      </w:r>
      <w:r>
        <w:rPr>
          <w:vertAlign w:val="baseline"/>
        </w:rPr>
        <w:t> </w:t>
      </w:r>
      <w:r>
        <w:rPr>
          <w:position w:val="-8"/>
          <w:sz w:val="13"/>
          <w:vertAlign w:val="baseline"/>
        </w:rPr>
        <w:t>LB </w:t>
      </w:r>
      <w:r>
        <w:rPr>
          <w:vertAlign w:val="baseline"/>
        </w:rPr>
        <w:t>= annual change in carbon stocks in living biomass (includes above- and belowground biomass) on forest land remaining forest land, tonnes C yr</w:t>
      </w:r>
      <w:r>
        <w:rPr>
          <w:vertAlign w:val="superscript"/>
        </w:rPr>
        <w:t>-1</w:t>
      </w:r>
    </w:p>
    <w:p>
      <w:pPr>
        <w:pStyle w:val="BodyText"/>
        <w:spacing w:line="228" w:lineRule="auto" w:before="127"/>
        <w:ind w:left="917" w:right="1489" w:hanging="934"/>
      </w:pPr>
      <w:r>
        <w:rPr/>
        <w:t>∆C</w:t>
      </w:r>
      <w:r>
        <w:rPr>
          <w:vertAlign w:val="subscript"/>
        </w:rPr>
        <w:t>FF</w:t>
      </w:r>
      <w:r>
        <w:rPr>
          <w:position w:val="-8"/>
          <w:sz w:val="13"/>
          <w:vertAlign w:val="baseline"/>
        </w:rPr>
        <w:t>G </w:t>
      </w:r>
      <w:r>
        <w:rPr>
          <w:vertAlign w:val="baseline"/>
        </w:rPr>
        <w:t>= average annual increase in carbon due to biomass growth (also called biomass increment),  tonnes C</w:t>
      </w:r>
      <w:r>
        <w:rPr>
          <w:spacing w:val="-2"/>
          <w:vertAlign w:val="baseline"/>
        </w:rPr>
        <w:t> </w:t>
      </w:r>
      <w:r>
        <w:rPr>
          <w:vertAlign w:val="baseline"/>
        </w:rPr>
        <w:t>yr</w:t>
      </w:r>
      <w:r>
        <w:rPr>
          <w:vertAlign w:val="superscript"/>
        </w:rPr>
        <w:t>-1</w:t>
      </w:r>
    </w:p>
    <w:p>
      <w:pPr>
        <w:pStyle w:val="BodyText"/>
        <w:tabs>
          <w:tab w:pos="617" w:val="left" w:leader="none"/>
        </w:tabs>
        <w:spacing w:before="123"/>
        <w:ind w:left="-17"/>
      </w:pPr>
      <w:r>
        <w:rPr/>
        <w:pict>
          <v:shape style="position:absolute;margin-left:120.880791pt;margin-top:11.271276pt;width:300.8pt;height:10.2pt;mso-position-horizontal-relative:page;mso-position-vertical-relative:paragraph;z-index:-2427688" type="#_x0000_t202" filled="false" stroked="false">
            <v:textbox inset="0,0,0,0">
              <w:txbxContent>
                <w:p>
                  <w:pPr>
                    <w:tabs>
                      <w:tab w:pos="5983" w:val="left" w:leader="none"/>
                    </w:tabs>
                    <w:spacing w:line="228" w:lineRule="auto" w:before="0"/>
                    <w:ind w:left="0" w:right="0" w:firstLine="0"/>
                    <w:jc w:val="left"/>
                    <w:rPr>
                      <w:sz w:val="13"/>
                    </w:rPr>
                  </w:pPr>
                  <w:r>
                    <w:rPr>
                      <w:position w:val="-5"/>
                      <w:sz w:val="13"/>
                    </w:rPr>
                    <w:t>L</w:t>
                    <w:tab/>
                  </w:r>
                  <w:r>
                    <w:rPr>
                      <w:spacing w:val="-20"/>
                      <w:sz w:val="13"/>
                    </w:rPr>
                    <w:t>.</w:t>
                  </w:r>
                </w:p>
              </w:txbxContent>
            </v:textbox>
            <w10:wrap type="none"/>
          </v:shape>
        </w:pict>
      </w:r>
      <w:r>
        <w:rPr/>
        <w:t>∆C</w:t>
      </w:r>
      <w:r>
        <w:rPr>
          <w:vertAlign w:val="subscript"/>
        </w:rPr>
        <w:t>FF</w:t>
      </w:r>
      <w:r>
        <w:rPr>
          <w:vertAlign w:val="baseline"/>
        </w:rPr>
        <w:tab/>
        <w:t>= annual average decrease in carbon due to biomass loss, tonnes C</w:t>
      </w:r>
      <w:r>
        <w:rPr>
          <w:spacing w:val="-21"/>
          <w:vertAlign w:val="baseline"/>
        </w:rPr>
        <w:t> </w:t>
      </w:r>
      <w:r>
        <w:rPr>
          <w:vertAlign w:val="baseline"/>
        </w:rPr>
        <w:t>yr</w:t>
      </w:r>
      <w:r>
        <w:rPr>
          <w:vertAlign w:val="superscript"/>
        </w:rPr>
        <w:t>-1</w:t>
      </w:r>
    </w:p>
    <w:p>
      <w:pPr>
        <w:spacing w:after="0"/>
        <w:sectPr>
          <w:type w:val="continuous"/>
          <w:pgSz w:w="11900" w:h="16840"/>
          <w:pgMar w:top="1060" w:bottom="280" w:left="1240" w:right="0"/>
          <w:cols w:num="2" w:equalWidth="0">
            <w:col w:w="722" w:space="40"/>
            <w:col w:w="9898"/>
          </w:cols>
        </w:sectPr>
      </w:pPr>
    </w:p>
    <w:p>
      <w:pPr>
        <w:pStyle w:val="BodyText"/>
      </w:pPr>
    </w:p>
    <w:p>
      <w:pPr>
        <w:pStyle w:val="BodyText"/>
        <w:rPr>
          <w:sz w:val="18"/>
        </w:rPr>
      </w:pPr>
    </w:p>
    <w:p>
      <w:pPr>
        <w:spacing w:after="0"/>
        <w:rPr>
          <w:sz w:val="18"/>
        </w:rPr>
        <w:sectPr>
          <w:type w:val="continuous"/>
          <w:pgSz w:w="11900" w:h="16840"/>
          <w:pgMar w:top="1060" w:bottom="280" w:left="1240" w:right="0"/>
        </w:sectPr>
      </w:pPr>
    </w:p>
    <w:p>
      <w:pPr>
        <w:pStyle w:val="BodyText"/>
        <w:spacing w:before="92"/>
        <w:ind w:left="179"/>
      </w:pPr>
      <w:r>
        <w:rPr/>
        <w:t>To simplify the example we assume that there is no biomass loss, so that ∆C</w:t>
      </w:r>
      <w:r>
        <w:rPr>
          <w:vertAlign w:val="subscript"/>
        </w:rPr>
        <w:t>FF</w:t>
      </w:r>
    </w:p>
    <w:p>
      <w:pPr>
        <w:pStyle w:val="BodyText"/>
        <w:spacing w:line="193" w:lineRule="exact" w:before="92"/>
        <w:ind w:left="87"/>
      </w:pPr>
      <w:r>
        <w:rPr/>
        <w:br w:type="column"/>
      </w:r>
      <w:r>
        <w:rPr/>
        <w:t>= 0. Hence in this example,</w:t>
      </w:r>
    </w:p>
    <w:p>
      <w:pPr>
        <w:spacing w:line="105" w:lineRule="exact" w:before="0"/>
        <w:ind w:left="10" w:right="0" w:firstLine="0"/>
        <w:jc w:val="left"/>
        <w:rPr>
          <w:sz w:val="13"/>
        </w:rPr>
      </w:pPr>
      <w:r>
        <w:rPr>
          <w:w w:val="99"/>
          <w:sz w:val="13"/>
        </w:rPr>
        <w:t>L</w:t>
      </w:r>
    </w:p>
    <w:p>
      <w:pPr>
        <w:spacing w:after="0" w:line="105" w:lineRule="exact"/>
        <w:jc w:val="left"/>
        <w:rPr>
          <w:sz w:val="13"/>
        </w:rPr>
        <w:sectPr>
          <w:type w:val="continuous"/>
          <w:pgSz w:w="11900" w:h="16840"/>
          <w:pgMar w:top="1060" w:bottom="280" w:left="1240" w:right="0"/>
          <w:cols w:num="2" w:equalWidth="0">
            <w:col w:w="6796" w:space="40"/>
            <w:col w:w="3824"/>
          </w:cols>
        </w:sectPr>
      </w:pPr>
    </w:p>
    <w:p>
      <w:pPr>
        <w:pStyle w:val="BodyText"/>
        <w:spacing w:line="228" w:lineRule="auto"/>
        <w:ind w:left="179"/>
      </w:pPr>
      <w:r>
        <w:rPr/>
        <w:t>∆C</w:t>
      </w:r>
      <w:r>
        <w:rPr>
          <w:vertAlign w:val="subscript"/>
        </w:rPr>
        <w:t>FF</w:t>
      </w:r>
      <w:r>
        <w:rPr>
          <w:vertAlign w:val="baseline"/>
        </w:rPr>
        <w:t> </w:t>
      </w:r>
      <w:r>
        <w:rPr>
          <w:position w:val="-8"/>
          <w:sz w:val="13"/>
          <w:vertAlign w:val="baseline"/>
        </w:rPr>
        <w:t>LB </w:t>
      </w:r>
      <w:r>
        <w:rPr>
          <w:vertAlign w:val="baseline"/>
        </w:rPr>
        <w:t>= ∆C</w:t>
      </w:r>
      <w:r>
        <w:rPr>
          <w:vertAlign w:val="subscript"/>
        </w:rPr>
        <w:t>FF</w:t>
      </w:r>
      <w:r>
        <w:rPr>
          <w:position w:val="-8"/>
          <w:sz w:val="13"/>
          <w:vertAlign w:val="baseline"/>
        </w:rPr>
        <w:t>G </w:t>
      </w:r>
      <w:r>
        <w:rPr>
          <w:vertAlign w:val="baseline"/>
        </w:rPr>
        <w:t>. The biomass increment ∆C</w:t>
      </w:r>
      <w:r>
        <w:rPr>
          <w:vertAlign w:val="subscript"/>
        </w:rPr>
        <w:t>FF</w:t>
      </w:r>
      <w:r>
        <w:rPr>
          <w:position w:val="-8"/>
          <w:sz w:val="13"/>
          <w:vertAlign w:val="baseline"/>
        </w:rPr>
        <w:t>G </w:t>
      </w:r>
      <w:r>
        <w:rPr>
          <w:vertAlign w:val="baseline"/>
        </w:rPr>
        <w:t>is calculated according to Equation 3.2.4 as:</w:t>
      </w:r>
    </w:p>
    <w:p>
      <w:pPr>
        <w:spacing w:after="0" w:line="228" w:lineRule="auto"/>
        <w:sectPr>
          <w:type w:val="continuous"/>
          <w:pgSz w:w="11900" w:h="16840"/>
          <w:pgMar w:top="1060" w:bottom="280" w:left="1240" w:right="0"/>
        </w:sectPr>
      </w:pPr>
    </w:p>
    <w:p>
      <w:pPr>
        <w:pStyle w:val="BodyText"/>
        <w:rPr>
          <w:sz w:val="22"/>
        </w:rPr>
      </w:pPr>
    </w:p>
    <w:p>
      <w:pPr>
        <w:pStyle w:val="BodyText"/>
        <w:spacing w:line="227" w:lineRule="exact" w:before="158"/>
        <w:ind w:left="179"/>
      </w:pPr>
      <w:r>
        <w:rPr/>
        <w:pict>
          <v:shape style="position:absolute;margin-left:247.360535pt;margin-top:1.501792pt;width:4.7pt;height:7.2pt;mso-position-horizontal-relative:page;mso-position-vertical-relative:paragraph;z-index:28552"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t>where:</w:t>
      </w:r>
    </w:p>
    <w:p>
      <w:pPr>
        <w:pStyle w:val="BodyText"/>
        <w:spacing w:before="121"/>
        <w:ind w:left="179"/>
      </w:pPr>
      <w:r>
        <w:rPr/>
        <w:br w:type="column"/>
      </w:r>
      <w:r>
        <w:rPr>
          <w:rFonts w:ascii="Symbol" w:hAnsi="Symbol"/>
        </w:rPr>
        <w:t>∆</w:t>
      </w:r>
      <w:r>
        <w:rPr/>
        <w:t>C</w:t>
      </w:r>
      <w:r>
        <w:rPr>
          <w:vertAlign w:val="subscript"/>
        </w:rPr>
        <w:t>FF</w:t>
      </w:r>
    </w:p>
    <w:p>
      <w:pPr>
        <w:spacing w:before="122"/>
        <w:ind w:left="77" w:right="0" w:firstLine="0"/>
        <w:jc w:val="left"/>
        <w:rPr>
          <w:sz w:val="20"/>
        </w:rPr>
      </w:pPr>
      <w:r>
        <w:rPr/>
        <w:br w:type="column"/>
      </w:r>
      <w:r>
        <w:rPr>
          <w:position w:val="3"/>
          <w:sz w:val="20"/>
        </w:rPr>
        <w:t>= ∑</w:t>
      </w:r>
      <w:r>
        <w:rPr>
          <w:i/>
          <w:sz w:val="13"/>
        </w:rPr>
        <w:t>ij </w:t>
      </w:r>
      <w:r>
        <w:rPr>
          <w:position w:val="3"/>
          <w:sz w:val="20"/>
        </w:rPr>
        <w:t>(A</w:t>
      </w:r>
      <w:r>
        <w:rPr>
          <w:i/>
          <w:sz w:val="13"/>
        </w:rPr>
        <w:t>ij </w:t>
      </w:r>
      <w:r>
        <w:rPr>
          <w:position w:val="3"/>
          <w:sz w:val="20"/>
        </w:rPr>
        <w:t>● G</w:t>
      </w:r>
      <w:r>
        <w:rPr>
          <w:sz w:val="13"/>
        </w:rPr>
        <w:t>TOTAL</w:t>
      </w:r>
      <w:r>
        <w:rPr>
          <w:i/>
          <w:sz w:val="13"/>
        </w:rPr>
        <w:t>ij </w:t>
      </w:r>
      <w:r>
        <w:rPr>
          <w:position w:val="3"/>
          <w:sz w:val="20"/>
        </w:rPr>
        <w:t>) ● CF</w:t>
      </w:r>
    </w:p>
    <w:p>
      <w:pPr>
        <w:spacing w:after="0"/>
        <w:jc w:val="left"/>
        <w:rPr>
          <w:sz w:val="20"/>
        </w:rPr>
        <w:sectPr>
          <w:type w:val="continuous"/>
          <w:pgSz w:w="11900" w:h="16840"/>
          <w:pgMar w:top="1060" w:bottom="280" w:left="1240" w:right="0"/>
          <w:cols w:num="3" w:equalWidth="0">
            <w:col w:w="763" w:space="2367"/>
            <w:col w:w="672" w:space="39"/>
            <w:col w:w="6819"/>
          </w:cols>
        </w:sectPr>
      </w:pPr>
    </w:p>
    <w:p>
      <w:pPr>
        <w:pStyle w:val="BodyText"/>
        <w:spacing w:before="16"/>
        <w:ind w:left="745"/>
      </w:pPr>
      <w:r>
        <w:rPr/>
        <w:pict>
          <v:shape style="position:absolute;margin-left:119.200531pt;margin-top:8.921583pt;width:4.7pt;height:7.2pt;mso-position-horizontal-relative:page;mso-position-vertical-relative:paragraph;z-index:28576"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rFonts w:ascii="Symbol" w:hAnsi="Symbol"/>
        </w:rPr>
        <w:t>∆</w:t>
      </w:r>
      <w:r>
        <w:rPr/>
        <w:t>C</w:t>
      </w:r>
      <w:r>
        <w:rPr>
          <w:vertAlign w:val="subscript"/>
        </w:rPr>
        <w:t>FF</w:t>
      </w:r>
    </w:p>
    <w:p>
      <w:pPr>
        <w:pStyle w:val="BodyText"/>
        <w:spacing w:line="302" w:lineRule="auto" w:before="16"/>
        <w:ind w:left="401" w:right="1493" w:hanging="300"/>
      </w:pPr>
      <w:r>
        <w:rPr/>
        <w:br w:type="column"/>
      </w:r>
      <w:r>
        <w:rPr/>
        <w:t>= average annual increase in carbon due to biomass increment in forest land remaining forest  land by forest type and climatic zone, tonnes C </w:t>
      </w:r>
      <w:r>
        <w:rPr>
          <w:spacing w:val="-3"/>
        </w:rPr>
        <w:t>yr</w:t>
      </w:r>
      <w:r>
        <w:rPr>
          <w:spacing w:val="-5"/>
        </w:rPr>
        <w:t> </w:t>
      </w:r>
      <w:r>
        <w:rPr>
          <w:vertAlign w:val="superscript"/>
        </w:rPr>
        <w:t>-1</w:t>
      </w:r>
    </w:p>
    <w:p>
      <w:pPr>
        <w:spacing w:after="0" w:line="302" w:lineRule="auto"/>
        <w:sectPr>
          <w:type w:val="continuous"/>
          <w:pgSz w:w="11900" w:h="16840"/>
          <w:pgMar w:top="1060" w:bottom="280" w:left="1240" w:right="0"/>
          <w:cols w:num="2" w:equalWidth="0">
            <w:col w:w="1238" w:space="40"/>
            <w:col w:w="9382"/>
          </w:cols>
        </w:sectPr>
      </w:pPr>
    </w:p>
    <w:p>
      <w:pPr>
        <w:pStyle w:val="BodyText"/>
        <w:tabs>
          <w:tab w:pos="1379" w:val="left" w:leader="none"/>
        </w:tabs>
        <w:spacing w:before="61"/>
        <w:ind w:left="1679" w:right="3370" w:hanging="934"/>
      </w:pPr>
      <w:r>
        <w:rPr/>
        <w:t>A</w:t>
      </w:r>
      <w:r>
        <w:rPr>
          <w:i/>
          <w:vertAlign w:val="subscript"/>
        </w:rPr>
        <w:t>ij</w:t>
      </w:r>
      <w:r>
        <w:rPr>
          <w:i/>
          <w:vertAlign w:val="baseline"/>
        </w:rPr>
        <w:tab/>
      </w:r>
      <w:r>
        <w:rPr>
          <w:vertAlign w:val="baseline"/>
        </w:rPr>
        <w:t>= area of forest land remaining forest land, by forest type (</w:t>
      </w:r>
      <w:r>
        <w:rPr>
          <w:i/>
          <w:vertAlign w:val="baseline"/>
        </w:rPr>
        <w:t>i</w:t>
      </w:r>
      <w:r>
        <w:rPr>
          <w:vertAlign w:val="baseline"/>
        </w:rPr>
        <w:t>= 1 to </w:t>
      </w:r>
      <w:r>
        <w:rPr>
          <w:i/>
          <w:vertAlign w:val="baseline"/>
        </w:rPr>
        <w:t>n</w:t>
      </w:r>
      <w:r>
        <w:rPr>
          <w:vertAlign w:val="baseline"/>
        </w:rPr>
        <w:t>) and climatic zone ( </w:t>
      </w:r>
      <w:r>
        <w:rPr>
          <w:i/>
          <w:vertAlign w:val="baseline"/>
        </w:rPr>
        <w:t>j</w:t>
      </w:r>
      <w:r>
        <w:rPr>
          <w:vertAlign w:val="baseline"/>
        </w:rPr>
        <w:t>=1 to </w:t>
      </w:r>
      <w:r>
        <w:rPr>
          <w:i/>
          <w:vertAlign w:val="baseline"/>
        </w:rPr>
        <w:t>m</w:t>
      </w:r>
      <w:r>
        <w:rPr>
          <w:vertAlign w:val="baseline"/>
        </w:rPr>
        <w:t>),</w:t>
      </w:r>
      <w:r>
        <w:rPr>
          <w:spacing w:val="-1"/>
          <w:vertAlign w:val="baseline"/>
        </w:rPr>
        <w:t> </w:t>
      </w:r>
      <w:r>
        <w:rPr>
          <w:vertAlign w:val="baseline"/>
        </w:rPr>
        <w:t>ha</w:t>
      </w:r>
    </w:p>
    <w:p>
      <w:pPr>
        <w:pStyle w:val="BodyText"/>
        <w:spacing w:before="119"/>
        <w:ind w:left="1679" w:right="3042" w:hanging="934"/>
      </w:pPr>
      <w:r>
        <w:rPr/>
        <w:t>G</w:t>
      </w:r>
      <w:r>
        <w:rPr>
          <w:vertAlign w:val="subscript"/>
        </w:rPr>
        <w:t>TOTAL</w:t>
      </w:r>
      <w:r>
        <w:rPr>
          <w:i/>
          <w:vertAlign w:val="subscript"/>
        </w:rPr>
        <w:t>ij</w:t>
      </w:r>
      <w:r>
        <w:rPr>
          <w:i/>
          <w:vertAlign w:val="baseline"/>
        </w:rPr>
        <w:t> </w:t>
      </w:r>
      <w:r>
        <w:rPr>
          <w:vertAlign w:val="baseline"/>
        </w:rPr>
        <w:t>= annual average increment rate in total biomass in units of dry matter by forest type (</w:t>
      </w:r>
      <w:r>
        <w:rPr>
          <w:i/>
          <w:vertAlign w:val="baseline"/>
        </w:rPr>
        <w:t>i</w:t>
      </w:r>
      <w:r>
        <w:rPr>
          <w:vertAlign w:val="baseline"/>
        </w:rPr>
        <w:t>= 1 to </w:t>
      </w:r>
      <w:r>
        <w:rPr>
          <w:i/>
          <w:vertAlign w:val="baseline"/>
        </w:rPr>
        <w:t>n</w:t>
      </w:r>
      <w:r>
        <w:rPr>
          <w:vertAlign w:val="baseline"/>
        </w:rPr>
        <w:t>) and climatic zone ( </w:t>
      </w:r>
      <w:r>
        <w:rPr>
          <w:i/>
          <w:vertAlign w:val="baseline"/>
        </w:rPr>
        <w:t>j</w:t>
      </w:r>
      <w:r>
        <w:rPr>
          <w:vertAlign w:val="baseline"/>
        </w:rPr>
        <w:t>=1 to </w:t>
      </w:r>
      <w:r>
        <w:rPr>
          <w:i/>
          <w:vertAlign w:val="baseline"/>
        </w:rPr>
        <w:t>m</w:t>
      </w:r>
      <w:r>
        <w:rPr>
          <w:vertAlign w:val="baseline"/>
        </w:rPr>
        <w:t>), , tonnes d.m. ha</w:t>
      </w:r>
      <w:r>
        <w:rPr>
          <w:vertAlign w:val="superscript"/>
        </w:rPr>
        <w:t>-1</w:t>
      </w:r>
      <w:r>
        <w:rPr>
          <w:vertAlign w:val="baseline"/>
        </w:rPr>
        <w:t> yr </w:t>
      </w:r>
      <w:r>
        <w:rPr>
          <w:vertAlign w:val="superscript"/>
        </w:rPr>
        <w:t>-1</w:t>
      </w:r>
    </w:p>
    <w:p>
      <w:pPr>
        <w:pStyle w:val="BodyText"/>
        <w:tabs>
          <w:tab w:pos="1379" w:val="left" w:leader="none"/>
        </w:tabs>
        <w:spacing w:before="120"/>
        <w:ind w:left="796"/>
      </w:pPr>
      <w:r>
        <w:rPr/>
        <w:t>CF</w:t>
        <w:tab/>
        <w:t>= carbon fraction, tonnes C (tonnes d.m.)</w:t>
      </w:r>
      <w:r>
        <w:rPr>
          <w:vertAlign w:val="superscript"/>
        </w:rPr>
        <w:t>-1</w:t>
      </w:r>
      <w:r>
        <w:rPr>
          <w:vertAlign w:val="baseline"/>
        </w:rPr>
        <w:t> (default value 0.5, with 2%</w:t>
      </w:r>
      <w:r>
        <w:rPr>
          <w:spacing w:val="-25"/>
          <w:vertAlign w:val="baseline"/>
        </w:rPr>
        <w:t> </w:t>
      </w:r>
      <w:r>
        <w:rPr>
          <w:vertAlign w:val="baseline"/>
        </w:rPr>
        <w:t>uncertainty)</w:t>
      </w:r>
    </w:p>
    <w:p>
      <w:pPr>
        <w:pStyle w:val="BodyText"/>
        <w:spacing w:before="121"/>
        <w:ind w:left="179" w:right="1407"/>
      </w:pPr>
      <w:r>
        <w:rPr/>
        <w:t>In this example, the area of forest land remaining as forest is assumed to be 10 million hectares. Assume further that there is only one forest type and one climatic zone, so that </w:t>
      </w:r>
      <w:r>
        <w:rPr>
          <w:i/>
        </w:rPr>
        <w:t>n </w:t>
      </w:r>
      <w:r>
        <w:rPr/>
        <w:t>= </w:t>
      </w:r>
      <w:r>
        <w:rPr>
          <w:i/>
        </w:rPr>
        <w:t>m </w:t>
      </w:r>
      <w:r>
        <w:rPr/>
        <w:t>= 1, which simplifies the expression of</w:t>
      </w:r>
    </w:p>
    <w:p>
      <w:pPr>
        <w:spacing w:after="0"/>
        <w:sectPr>
          <w:type w:val="continuous"/>
          <w:pgSz w:w="11900" w:h="16840"/>
          <w:pgMar w:top="1060" w:bottom="280" w:left="1240" w:right="0"/>
        </w:sectPr>
      </w:pPr>
    </w:p>
    <w:p>
      <w:pPr>
        <w:pStyle w:val="BodyText"/>
        <w:spacing w:before="13"/>
        <w:ind w:left="179"/>
      </w:pPr>
      <w:r>
        <w:rPr/>
        <w:pict>
          <v:shape style="position:absolute;margin-left:90.880531pt;margin-top:8.771427pt;width:4.7pt;height:7.2pt;mso-position-horizontal-relative:page;mso-position-vertical-relative:paragraph;z-index:28600"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rFonts w:ascii="Symbol" w:hAnsi="Symbol"/>
        </w:rPr>
        <w:t>∆</w:t>
      </w:r>
      <w:r>
        <w:rPr/>
        <w:t>C</w:t>
      </w:r>
      <w:r>
        <w:rPr>
          <w:vertAlign w:val="subscript"/>
        </w:rPr>
        <w:t>FF</w:t>
      </w:r>
    </w:p>
    <w:p>
      <w:pPr>
        <w:pStyle w:val="BodyText"/>
        <w:spacing w:before="13"/>
        <w:ind w:left="10"/>
      </w:pPr>
      <w:r>
        <w:rPr/>
        <w:br w:type="column"/>
      </w:r>
      <w:r>
        <w:rPr/>
        <w:t>above to be:</w:t>
      </w:r>
    </w:p>
    <w:p>
      <w:pPr>
        <w:pStyle w:val="BodyText"/>
        <w:spacing w:before="7"/>
        <w:rPr>
          <w:sz w:val="27"/>
        </w:rPr>
      </w:pPr>
      <w:r>
        <w:rPr/>
        <w:br w:type="column"/>
      </w:r>
      <w:r>
        <w:rPr>
          <w:sz w:val="27"/>
        </w:rPr>
      </w:r>
    </w:p>
    <w:p>
      <w:pPr>
        <w:pStyle w:val="BodyText"/>
        <w:ind w:left="179"/>
      </w:pPr>
      <w:r>
        <w:rPr/>
        <w:pict>
          <v:shape style="position:absolute;margin-left:260.920532pt;margin-top:8.121345pt;width:4.7pt;height:7.2pt;mso-position-horizontal-relative:page;mso-position-vertical-relative:paragraph;z-index:28624" type="#_x0000_t202" filled="false" stroked="false">
            <v:textbox inset="0,0,0,0">
              <w:txbxContent>
                <w:p>
                  <w:pPr>
                    <w:spacing w:line="144" w:lineRule="exact" w:before="0"/>
                    <w:ind w:left="0" w:right="0" w:firstLine="0"/>
                    <w:jc w:val="left"/>
                    <w:rPr>
                      <w:sz w:val="13"/>
                    </w:rPr>
                  </w:pPr>
                  <w:r>
                    <w:rPr>
                      <w:w w:val="99"/>
                      <w:sz w:val="13"/>
                    </w:rPr>
                    <w:t>G</w:t>
                  </w:r>
                </w:p>
              </w:txbxContent>
            </v:textbox>
            <w10:wrap type="none"/>
          </v:shape>
        </w:pict>
      </w:r>
      <w:r>
        <w:rPr>
          <w:rFonts w:ascii="Symbol" w:hAnsi="Symbol"/>
        </w:rPr>
        <w:t>∆</w:t>
      </w:r>
      <w:r>
        <w:rPr/>
        <w:t>C</w:t>
      </w:r>
      <w:r>
        <w:rPr>
          <w:vertAlign w:val="subscript"/>
        </w:rPr>
        <w:t>FF</w:t>
      </w:r>
    </w:p>
    <w:p>
      <w:pPr>
        <w:pStyle w:val="BodyText"/>
        <w:spacing w:before="7"/>
        <w:rPr>
          <w:sz w:val="27"/>
        </w:rPr>
      </w:pPr>
      <w:r>
        <w:rPr/>
        <w:br w:type="column"/>
      </w:r>
      <w:r>
        <w:rPr>
          <w:sz w:val="27"/>
        </w:rPr>
      </w:r>
    </w:p>
    <w:p>
      <w:pPr>
        <w:pStyle w:val="BodyText"/>
        <w:ind w:left="77"/>
      </w:pPr>
      <w:r>
        <w:rPr/>
        <w:t>= A ● G</w:t>
      </w:r>
      <w:r>
        <w:rPr>
          <w:vertAlign w:val="subscript"/>
        </w:rPr>
        <w:t>TOTAL</w:t>
      </w:r>
      <w:r>
        <w:rPr>
          <w:vertAlign w:val="baseline"/>
        </w:rPr>
        <w:t> ● CF</w:t>
      </w:r>
    </w:p>
    <w:p>
      <w:pPr>
        <w:spacing w:after="0"/>
        <w:sectPr>
          <w:type w:val="continuous"/>
          <w:pgSz w:w="11900" w:h="16840"/>
          <w:pgMar w:top="1060" w:bottom="280" w:left="1240" w:right="0"/>
          <w:cols w:num="4" w:equalWidth="0">
            <w:col w:w="672" w:space="40"/>
            <w:col w:w="1031" w:space="1658"/>
            <w:col w:w="672" w:space="39"/>
            <w:col w:w="6548"/>
          </w:cols>
        </w:sectPr>
      </w:pPr>
    </w:p>
    <w:p>
      <w:pPr>
        <w:pStyle w:val="BodyText"/>
        <w:spacing w:before="44"/>
        <w:ind w:left="179" w:right="1404"/>
        <w:jc w:val="both"/>
      </w:pPr>
      <w:r>
        <w:rPr/>
        <w:t>where G</w:t>
      </w:r>
      <w:r>
        <w:rPr>
          <w:vertAlign w:val="subscript"/>
        </w:rPr>
        <w:t>TOTAL</w:t>
      </w:r>
      <w:r>
        <w:rPr>
          <w:vertAlign w:val="baseline"/>
        </w:rPr>
        <w:t> is now the annual average increment rate in total biomass, averaged over the whole land area. In general, the value for G</w:t>
      </w:r>
      <w:r>
        <w:rPr>
          <w:vertAlign w:val="subscript"/>
        </w:rPr>
        <w:t>TOTAL</w:t>
      </w:r>
      <w:r>
        <w:rPr>
          <w:vertAlign w:val="baseline"/>
        </w:rPr>
        <w:t> can be calculated from Equation 3.2.5 in Section 3.2.1.1.1.1 for each forest type and climatic zone, taking into account the parameter values in Annex 3A.1.</w:t>
      </w:r>
      <w:r>
        <w:rPr>
          <w:vertAlign w:val="superscript"/>
        </w:rPr>
        <w:t>1</w:t>
      </w:r>
      <w:r>
        <w:rPr>
          <w:vertAlign w:val="baseline"/>
        </w:rPr>
        <w:t> In the present example, a default value of 3.1 tonnes d.m. ha</w:t>
      </w:r>
      <w:r>
        <w:rPr>
          <w:vertAlign w:val="superscript"/>
        </w:rPr>
        <w:t>-1</w:t>
      </w:r>
      <w:r>
        <w:rPr>
          <w:vertAlign w:val="baseline"/>
        </w:rPr>
        <w:t> yr</w:t>
      </w:r>
      <w:r>
        <w:rPr>
          <w:vertAlign w:val="superscript"/>
        </w:rPr>
        <w:t>-1</w:t>
      </w:r>
      <w:r>
        <w:rPr>
          <w:vertAlign w:val="baseline"/>
        </w:rPr>
        <w:t>, with a default percent uncertainty of 50%, is given for G</w:t>
      </w:r>
      <w:r>
        <w:rPr>
          <w:vertAlign w:val="subscript"/>
        </w:rPr>
        <w:t>TOTAL</w:t>
      </w:r>
      <w:r>
        <w:rPr>
          <w:vertAlign w:val="baseline"/>
        </w:rPr>
        <w:t>, so for the average annual increase in carbon stock due to biomass increment on forest land remaining forest land</w:t>
      </w:r>
      <w:r>
        <w:rPr>
          <w:spacing w:val="-20"/>
          <w:vertAlign w:val="baseline"/>
        </w:rPr>
        <w:t> </w:t>
      </w:r>
      <w:r>
        <w:rPr>
          <w:vertAlign w:val="baseline"/>
        </w:rPr>
        <w:t>is:</w:t>
      </w:r>
    </w:p>
    <w:p>
      <w:pPr>
        <w:pStyle w:val="BodyText"/>
        <w:tabs>
          <w:tab w:pos="2046" w:val="left" w:leader="none"/>
        </w:tabs>
        <w:spacing w:before="117"/>
        <w:ind w:left="1398"/>
      </w:pPr>
      <w:r>
        <w:rPr/>
        <w:pict>
          <v:shape style="position:absolute;margin-left:153.520798pt;margin-top:13.972042pt;width:43.6pt;height:7.2pt;mso-position-horizontal-relative:page;mso-position-vertical-relative:paragraph;z-index:-2427640" type="#_x0000_t202" filled="false" stroked="false">
            <v:textbox inset="0,0,0,0">
              <w:txbxContent>
                <w:p>
                  <w:pPr>
                    <w:tabs>
                      <w:tab w:pos="777" w:val="left" w:leader="none"/>
                    </w:tabs>
                    <w:spacing w:line="144" w:lineRule="exact" w:before="0"/>
                    <w:ind w:left="0" w:right="0" w:firstLine="0"/>
                    <w:jc w:val="left"/>
                    <w:rPr>
                      <w:sz w:val="13"/>
                    </w:rPr>
                  </w:pPr>
                  <w:r>
                    <w:rPr>
                      <w:sz w:val="13"/>
                    </w:rPr>
                    <w:t>LB</w:t>
                    <w:tab/>
                  </w:r>
                  <w:r>
                    <w:rPr>
                      <w:spacing w:val="-20"/>
                      <w:sz w:val="13"/>
                    </w:rPr>
                    <w:t>G</w:t>
                  </w:r>
                </w:p>
              </w:txbxContent>
            </v:textbox>
            <w10:wrap type="none"/>
          </v:shape>
        </w:pict>
      </w:r>
      <w:r>
        <w:rPr/>
        <w:t>∆C</w:t>
      </w:r>
      <w:r>
        <w:rPr>
          <w:vertAlign w:val="subscript"/>
        </w:rPr>
        <w:t>FF</w:t>
      </w:r>
      <w:r>
        <w:rPr>
          <w:vertAlign w:val="baseline"/>
        </w:rPr>
        <w:tab/>
        <w:t>= ∆C</w:t>
      </w:r>
      <w:r>
        <w:rPr>
          <w:vertAlign w:val="subscript"/>
        </w:rPr>
        <w:t>FF</w:t>
      </w:r>
      <w:r>
        <w:rPr>
          <w:vertAlign w:val="baseline"/>
        </w:rPr>
        <w:t> = 10,000,000 ● 3.1 ● 0.5 tonnes C yr</w:t>
      </w:r>
      <w:r>
        <w:rPr>
          <w:vertAlign w:val="superscript"/>
        </w:rPr>
        <w:t>-1</w:t>
      </w:r>
      <w:r>
        <w:rPr>
          <w:vertAlign w:val="baseline"/>
        </w:rPr>
        <w:t> = 15,500,000 tonnes C</w:t>
      </w:r>
      <w:r>
        <w:rPr>
          <w:spacing w:val="-14"/>
          <w:vertAlign w:val="baseline"/>
        </w:rPr>
        <w:t> </w:t>
      </w:r>
      <w:r>
        <w:rPr>
          <w:vertAlign w:val="baseline"/>
        </w:rPr>
        <w:t>yr</w:t>
      </w:r>
      <w:r>
        <w:rPr>
          <w:vertAlign w:val="superscript"/>
        </w:rPr>
        <w:t>-1</w:t>
      </w:r>
    </w:p>
    <w:p>
      <w:pPr>
        <w:pStyle w:val="BodyText"/>
        <w:spacing w:before="7"/>
        <w:rPr>
          <w:sz w:val="26"/>
        </w:rPr>
      </w:pPr>
    </w:p>
    <w:p>
      <w:pPr>
        <w:pStyle w:val="Heading7"/>
        <w:spacing w:line="251" w:lineRule="exact"/>
        <w:ind w:left="179"/>
        <w:jc w:val="left"/>
      </w:pPr>
      <w:r>
        <w:rPr/>
        <w:t>Forest Land Converted to Grassland</w:t>
      </w:r>
    </w:p>
    <w:p>
      <w:pPr>
        <w:pStyle w:val="BodyText"/>
        <w:ind w:left="179" w:right="1409"/>
        <w:jc w:val="both"/>
      </w:pPr>
      <w:r>
        <w:rPr/>
        <w:t>The basic method for Tier 1 to estimate carbon stock changes in biomass due to conversion of forest land to grassland is given in Section 3.4.2.1.</w:t>
      </w:r>
    </w:p>
    <w:p>
      <w:pPr>
        <w:pStyle w:val="BodyText"/>
        <w:spacing w:before="9"/>
        <w:rPr>
          <w:sz w:val="28"/>
        </w:rPr>
      </w:pPr>
      <w:r>
        <w:rPr/>
        <w:pict>
          <v:line style="position:absolute;mso-position-horizontal-relative:page;mso-position-vertical-relative:paragraph;z-index:26408;mso-wrap-distance-left:0;mso-wrap-distance-right:0" from="70.960999pt,18.775042pt" to="214.960999pt,18.775042pt" stroked="true" strokeweight=".48pt" strokecolor="#000000">
            <v:stroke dashstyle="solid"/>
            <w10:wrap type="topAndBottom"/>
          </v:line>
        </w:pict>
      </w:r>
    </w:p>
    <w:p>
      <w:pPr>
        <w:spacing w:line="247" w:lineRule="auto" w:before="150"/>
        <w:ind w:left="337" w:right="1597" w:hanging="159"/>
        <w:jc w:val="left"/>
        <w:rPr>
          <w:sz w:val="18"/>
        </w:rPr>
      </w:pPr>
      <w:r>
        <w:rPr>
          <w:position w:val="9"/>
          <w:sz w:val="13"/>
        </w:rPr>
        <w:t>1 </w:t>
      </w:r>
      <w:r>
        <w:rPr>
          <w:sz w:val="18"/>
        </w:rPr>
        <w:t>Default values for the average annual aboveground biomass G</w:t>
      </w:r>
      <w:r>
        <w:rPr>
          <w:sz w:val="18"/>
          <w:vertAlign w:val="subscript"/>
        </w:rPr>
        <w:t>W</w:t>
      </w:r>
      <w:r>
        <w:rPr>
          <w:sz w:val="18"/>
          <w:vertAlign w:val="baseline"/>
        </w:rPr>
        <w:t> and the root-to-shoot ratio R entering Equation 3.2.5 can be found in Annex 3A.1, in Tables 3A.1.5, 3A.1.6 and 3A.1.8 (for R).</w:t>
      </w:r>
    </w:p>
    <w:p>
      <w:pPr>
        <w:spacing w:after="0" w:line="247" w:lineRule="auto"/>
        <w:jc w:val="left"/>
        <w:rPr>
          <w:sz w:val="18"/>
        </w:rPr>
        <w:sectPr>
          <w:type w:val="continuous"/>
          <w:pgSz w:w="11900" w:h="16840"/>
          <w:pgMar w:top="1060" w:bottom="280" w:left="1240" w:right="0"/>
        </w:sectPr>
      </w:pPr>
    </w:p>
    <w:p>
      <w:pPr>
        <w:pStyle w:val="BodyText"/>
      </w:pPr>
    </w:p>
    <w:p>
      <w:pPr>
        <w:pStyle w:val="BodyText"/>
        <w:spacing w:before="2"/>
        <w:rPr>
          <w:sz w:val="18"/>
        </w:rPr>
      </w:pPr>
    </w:p>
    <w:p>
      <w:pPr>
        <w:pStyle w:val="BodyText"/>
        <w:ind w:left="179" w:right="1597"/>
      </w:pPr>
      <w:r>
        <w:rPr/>
        <w:t>Equation 3.4.13 gives the annual carbon stock change from the conversion of forest land into grassland, assuming the year of conversion,</w:t>
      </w:r>
      <w:r>
        <w:rPr>
          <w:spacing w:val="-2"/>
        </w:rPr>
        <w:t> </w:t>
      </w:r>
      <w:r>
        <w:rPr/>
        <w:t>as:</w:t>
      </w:r>
    </w:p>
    <w:p>
      <w:pPr>
        <w:spacing w:after="0"/>
        <w:sectPr>
          <w:pgSz w:w="11900" w:h="16840"/>
          <w:pgMar w:header="230" w:footer="408" w:top="560" w:bottom="600" w:left="1240" w:right="0"/>
        </w:sectPr>
      </w:pPr>
    </w:p>
    <w:p>
      <w:pPr>
        <w:pStyle w:val="BodyText"/>
        <w:rPr>
          <w:sz w:val="22"/>
        </w:rPr>
      </w:pPr>
    </w:p>
    <w:p>
      <w:pPr>
        <w:pStyle w:val="BodyText"/>
        <w:rPr>
          <w:sz w:val="22"/>
        </w:rPr>
      </w:pPr>
    </w:p>
    <w:p>
      <w:pPr>
        <w:pStyle w:val="BodyText"/>
        <w:spacing w:line="229" w:lineRule="exact" w:before="148"/>
        <w:ind w:left="179"/>
      </w:pPr>
      <w:r>
        <w:rPr/>
        <w:pict>
          <v:shape style="position:absolute;margin-left:234.640381pt;margin-top:-10.39798pt;width:8.0500pt;height:7.2pt;mso-position-horizontal-relative:page;mso-position-vertical-relative:paragraph;z-index:28984"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t>where:</w:t>
      </w:r>
    </w:p>
    <w:p>
      <w:pPr>
        <w:pStyle w:val="BodyText"/>
        <w:spacing w:before="135"/>
        <w:ind w:left="179"/>
      </w:pPr>
      <w:r>
        <w:rPr/>
        <w:br w:type="column"/>
      </w:r>
      <w:r>
        <w:rPr>
          <w:rFonts w:ascii="Symbol" w:hAnsi="Symbol"/>
        </w:rPr>
        <w:t>∆</w:t>
      </w:r>
      <w:r>
        <w:rPr/>
        <w:t>C</w:t>
      </w:r>
      <w:r>
        <w:rPr>
          <w:vertAlign w:val="subscript"/>
        </w:rPr>
        <w:t>LG</w:t>
      </w:r>
    </w:p>
    <w:p>
      <w:pPr>
        <w:spacing w:line="288" w:lineRule="auto" w:before="137"/>
        <w:ind w:left="34" w:right="3579" w:hanging="22"/>
        <w:jc w:val="left"/>
        <w:rPr>
          <w:sz w:val="13"/>
        </w:rPr>
      </w:pPr>
      <w:r>
        <w:rPr/>
        <w:br w:type="column"/>
      </w:r>
      <w:r>
        <w:rPr>
          <w:position w:val="3"/>
          <w:sz w:val="20"/>
        </w:rPr>
        <w:t>= A</w:t>
      </w:r>
      <w:r>
        <w:rPr>
          <w:sz w:val="13"/>
        </w:rPr>
        <w:t>Conversion </w:t>
      </w:r>
      <w:r>
        <w:rPr>
          <w:position w:val="3"/>
          <w:sz w:val="20"/>
        </w:rPr>
        <w:t>● (C</w:t>
      </w:r>
      <w:r>
        <w:rPr>
          <w:sz w:val="13"/>
        </w:rPr>
        <w:t>Conversion </w:t>
      </w:r>
      <w:r>
        <w:rPr>
          <w:position w:val="3"/>
          <w:sz w:val="20"/>
        </w:rPr>
        <w:t>+ C</w:t>
      </w:r>
      <w:r>
        <w:rPr>
          <w:sz w:val="13"/>
        </w:rPr>
        <w:t>Growth</w:t>
      </w:r>
      <w:r>
        <w:rPr>
          <w:position w:val="3"/>
          <w:sz w:val="20"/>
        </w:rPr>
        <w:t>) C</w:t>
      </w:r>
      <w:r>
        <w:rPr>
          <w:sz w:val="13"/>
        </w:rPr>
        <w:t>Conversion </w:t>
      </w:r>
      <w:r>
        <w:rPr>
          <w:position w:val="3"/>
          <w:sz w:val="20"/>
        </w:rPr>
        <w:t>= C</w:t>
      </w:r>
      <w:r>
        <w:rPr>
          <w:sz w:val="13"/>
        </w:rPr>
        <w:t>After </w:t>
      </w:r>
      <w:r>
        <w:rPr>
          <w:position w:val="3"/>
          <w:sz w:val="20"/>
        </w:rPr>
        <w:t>– C</w:t>
      </w:r>
      <w:r>
        <w:rPr>
          <w:sz w:val="13"/>
        </w:rPr>
        <w:t>Before</w:t>
      </w:r>
    </w:p>
    <w:p>
      <w:pPr>
        <w:spacing w:after="0" w:line="288" w:lineRule="auto"/>
        <w:jc w:val="left"/>
        <w:rPr>
          <w:sz w:val="13"/>
        </w:rPr>
        <w:sectPr>
          <w:type w:val="continuous"/>
          <w:pgSz w:w="11900" w:h="16840"/>
          <w:pgMar w:top="1060" w:bottom="280" w:left="1240" w:right="0"/>
          <w:cols w:num="3" w:equalWidth="0">
            <w:col w:w="763" w:space="2081"/>
            <w:col w:w="770" w:space="40"/>
            <w:col w:w="7006"/>
          </w:cols>
        </w:sectPr>
      </w:pPr>
    </w:p>
    <w:p>
      <w:pPr>
        <w:pStyle w:val="BodyText"/>
        <w:spacing w:before="15"/>
        <w:ind w:left="745"/>
      </w:pPr>
      <w:r>
        <w:rPr/>
        <w:pict>
          <v:shape style="position:absolute;margin-left:120.760384pt;margin-top:8.871603pt;width:8.0500pt;height:7.2pt;mso-position-horizontal-relative:page;mso-position-vertical-relative:paragraph;z-index:29008"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rFonts w:ascii="Symbol" w:hAnsi="Symbol"/>
        </w:rPr>
        <w:t>∆</w:t>
      </w:r>
      <w:r>
        <w:rPr/>
        <w:t>C</w:t>
      </w:r>
      <w:r>
        <w:rPr>
          <w:vertAlign w:val="subscript"/>
        </w:rPr>
        <w:t>LG</w:t>
      </w:r>
    </w:p>
    <w:p>
      <w:pPr>
        <w:pStyle w:val="BodyText"/>
        <w:tabs>
          <w:tab w:pos="603" w:val="left" w:leader="none"/>
        </w:tabs>
        <w:spacing w:line="302" w:lineRule="auto" w:before="15"/>
        <w:ind w:left="603" w:right="1403" w:hanging="401"/>
      </w:pPr>
      <w:r>
        <w:rPr/>
        <w:br w:type="column"/>
      </w:r>
      <w:r>
        <w:rPr/>
        <w:t>=</w:t>
        <w:tab/>
        <w:t>Annual change in carbon stocks in living biomass as a result of land use conversion to grassland from some initial land use, tonnes C</w:t>
      </w:r>
      <w:r>
        <w:rPr>
          <w:spacing w:val="-3"/>
        </w:rPr>
        <w:t> </w:t>
      </w:r>
      <w:r>
        <w:rPr/>
        <w:t>yr</w:t>
      </w:r>
      <w:r>
        <w:rPr>
          <w:vertAlign w:val="superscript"/>
        </w:rPr>
        <w:t>-1</w:t>
      </w:r>
    </w:p>
    <w:p>
      <w:pPr>
        <w:spacing w:after="0" w:line="302" w:lineRule="auto"/>
        <w:sectPr>
          <w:type w:val="continuous"/>
          <w:pgSz w:w="11900" w:h="16840"/>
          <w:pgMar w:top="1060" w:bottom="280" w:left="1240" w:right="0"/>
          <w:cols w:num="2" w:equalWidth="0">
            <w:col w:w="1337" w:space="40"/>
            <w:col w:w="9283"/>
          </w:cols>
        </w:sectPr>
      </w:pPr>
    </w:p>
    <w:p>
      <w:pPr>
        <w:pStyle w:val="BodyText"/>
        <w:tabs>
          <w:tab w:pos="1979" w:val="left" w:leader="none"/>
        </w:tabs>
        <w:spacing w:before="62"/>
        <w:ind w:left="745"/>
      </w:pPr>
      <w:r>
        <w:rPr/>
        <w:t>A</w:t>
      </w:r>
      <w:r>
        <w:rPr>
          <w:vertAlign w:val="subscript"/>
        </w:rPr>
        <w:t>Conversion</w:t>
      </w:r>
      <w:r>
        <w:rPr>
          <w:spacing w:val="16"/>
          <w:vertAlign w:val="baseline"/>
        </w:rPr>
        <w:t> </w:t>
      </w:r>
      <w:r>
        <w:rPr>
          <w:vertAlign w:val="baseline"/>
        </w:rPr>
        <w:t>=</w:t>
        <w:tab/>
        <w:t>Annual area of land converted to grasslands from some initial use, ha</w:t>
      </w:r>
      <w:r>
        <w:rPr>
          <w:spacing w:val="-6"/>
          <w:vertAlign w:val="baseline"/>
        </w:rPr>
        <w:t> </w:t>
      </w:r>
      <w:r>
        <w:rPr>
          <w:vertAlign w:val="baseline"/>
        </w:rPr>
        <w:t>yr</w:t>
      </w:r>
      <w:r>
        <w:rPr>
          <w:vertAlign w:val="superscript"/>
        </w:rPr>
        <w:t>-1</w:t>
      </w:r>
    </w:p>
    <w:p>
      <w:pPr>
        <w:pStyle w:val="BodyText"/>
        <w:tabs>
          <w:tab w:pos="1979" w:val="left" w:leader="none"/>
        </w:tabs>
        <w:spacing w:before="118"/>
        <w:ind w:left="1979" w:right="1893" w:hanging="1234"/>
      </w:pPr>
      <w:r>
        <w:rPr/>
        <w:t>C</w:t>
      </w:r>
      <w:r>
        <w:rPr>
          <w:vertAlign w:val="subscript"/>
        </w:rPr>
        <w:t>Conversion</w:t>
      </w:r>
      <w:r>
        <w:rPr>
          <w:vertAlign w:val="baseline"/>
        </w:rPr>
        <w:t> </w:t>
      </w:r>
      <w:r>
        <w:rPr>
          <w:spacing w:val="1"/>
          <w:vertAlign w:val="baseline"/>
        </w:rPr>
        <w:t> </w:t>
      </w:r>
      <w:r>
        <w:rPr>
          <w:vertAlign w:val="baseline"/>
        </w:rPr>
        <w:t>=</w:t>
        <w:tab/>
        <w:t>Carbon stocks removed when lands are converted from some initial use to grassland, tonnes C</w:t>
      </w:r>
      <w:r>
        <w:rPr>
          <w:spacing w:val="-2"/>
          <w:vertAlign w:val="baseline"/>
        </w:rPr>
        <w:t> </w:t>
      </w:r>
      <w:r>
        <w:rPr>
          <w:vertAlign w:val="baseline"/>
        </w:rPr>
        <w:t>ha</w:t>
      </w:r>
      <w:r>
        <w:rPr>
          <w:vertAlign w:val="superscript"/>
        </w:rPr>
        <w:t>-1</w:t>
      </w:r>
    </w:p>
    <w:p>
      <w:pPr>
        <w:pStyle w:val="BodyText"/>
        <w:tabs>
          <w:tab w:pos="1578" w:val="left" w:leader="none"/>
          <w:tab w:pos="1979" w:val="left" w:leader="none"/>
        </w:tabs>
        <w:spacing w:before="121"/>
        <w:ind w:left="1979" w:right="2233" w:hanging="1234"/>
      </w:pPr>
      <w:r>
        <w:rPr/>
        <w:t>C</w:t>
      </w:r>
      <w:r>
        <w:rPr>
          <w:vertAlign w:val="subscript"/>
        </w:rPr>
        <w:t>Growth</w:t>
      </w:r>
      <w:r>
        <w:rPr>
          <w:vertAlign w:val="baseline"/>
        </w:rPr>
        <w:tab/>
        <w:t>=</w:t>
        <w:tab/>
        <w:t>Carbon stocks from one year of growth of grassland vegetation after conversion, tonnes C</w:t>
      </w:r>
      <w:r>
        <w:rPr>
          <w:spacing w:val="-2"/>
          <w:vertAlign w:val="baseline"/>
        </w:rPr>
        <w:t> </w:t>
      </w:r>
      <w:r>
        <w:rPr>
          <w:vertAlign w:val="baseline"/>
        </w:rPr>
        <w:t>ha</w:t>
      </w:r>
      <w:r>
        <w:rPr>
          <w:vertAlign w:val="superscript"/>
        </w:rPr>
        <w:t>-1</w:t>
      </w:r>
    </w:p>
    <w:p>
      <w:pPr>
        <w:pStyle w:val="BodyText"/>
        <w:tabs>
          <w:tab w:pos="1578" w:val="left" w:leader="none"/>
          <w:tab w:pos="1979" w:val="left" w:leader="none"/>
        </w:tabs>
        <w:spacing w:line="364" w:lineRule="auto" w:before="118"/>
        <w:ind w:left="745" w:right="1927"/>
      </w:pPr>
      <w:r>
        <w:rPr/>
        <w:t>C</w:t>
      </w:r>
      <w:r>
        <w:rPr>
          <w:vertAlign w:val="subscript"/>
        </w:rPr>
        <w:t>After</w:t>
      </w:r>
      <w:r>
        <w:rPr>
          <w:vertAlign w:val="baseline"/>
        </w:rPr>
        <w:tab/>
        <w:t>=</w:t>
        <w:tab/>
        <w:t>Carbon stocks in biomass immediately after conversion to grassland, tonnes C ha</w:t>
      </w:r>
      <w:r>
        <w:rPr>
          <w:vertAlign w:val="superscript"/>
        </w:rPr>
        <w:t>-1</w:t>
      </w:r>
      <w:r>
        <w:rPr>
          <w:vertAlign w:val="baseline"/>
        </w:rPr>
        <w:t> C</w:t>
      </w:r>
      <w:r>
        <w:rPr>
          <w:vertAlign w:val="subscript"/>
        </w:rPr>
        <w:t>Before</w:t>
      </w:r>
      <w:r>
        <w:rPr>
          <w:vertAlign w:val="baseline"/>
        </w:rPr>
        <w:tab/>
        <w:t>=</w:t>
        <w:tab/>
        <w:t>Carbon stocks in biomass immediately before conversion to grassland, tonnes C</w:t>
      </w:r>
      <w:r>
        <w:rPr>
          <w:spacing w:val="-30"/>
          <w:vertAlign w:val="baseline"/>
        </w:rPr>
        <w:t> </w:t>
      </w:r>
      <w:r>
        <w:rPr>
          <w:vertAlign w:val="baseline"/>
        </w:rPr>
        <w:t>ha</w:t>
      </w:r>
      <w:r>
        <w:rPr>
          <w:vertAlign w:val="superscript"/>
        </w:rPr>
        <w:t>-1</w:t>
      </w:r>
    </w:p>
    <w:p>
      <w:pPr>
        <w:pStyle w:val="BodyText"/>
        <w:spacing w:before="2"/>
        <w:ind w:left="179"/>
      </w:pPr>
      <w:r>
        <w:rPr/>
        <w:t>If the default values are expressed as biomass per hectare, it will be necessary to convert to carbon using CF of</w:t>
      </w:r>
    </w:p>
    <w:p>
      <w:pPr>
        <w:pStyle w:val="BodyText"/>
        <w:ind w:left="179"/>
      </w:pPr>
      <w:r>
        <w:rPr/>
        <w:t>0.5 as a default, with an uncertainty for CF of 2%.</w:t>
      </w:r>
    </w:p>
    <w:p>
      <w:pPr>
        <w:pStyle w:val="BodyText"/>
        <w:spacing w:before="118"/>
        <w:ind w:left="179" w:right="1405"/>
        <w:jc w:val="both"/>
      </w:pPr>
      <w:r>
        <w:rPr/>
        <w:t>In this example, the area of forest converted to grassland is 500 hectares. The emission factors and the associated uncertainties are provided in Chapter 3.2.1.1.2 and Table 3.4.9 in Section 3.4.2.1 of Chapter 3. For this example we assume that:</w:t>
      </w:r>
    </w:p>
    <w:p>
      <w:pPr>
        <w:pStyle w:val="BodyText"/>
        <w:tabs>
          <w:tab w:pos="1379" w:val="left" w:leader="none"/>
          <w:tab w:pos="2379" w:val="left" w:leader="none"/>
        </w:tabs>
        <w:spacing w:before="121"/>
        <w:ind w:left="745"/>
      </w:pPr>
      <w:r>
        <w:rPr/>
        <w:pict>
          <v:shape style="position:absolute;margin-left:109.600769pt;margin-top:14.172108pt;width:8.0500pt;height:7.2pt;mso-position-horizontal-relative:page;mso-position-vertical-relative:paragraph;z-index:-2427256"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t>C</w:t>
      </w:r>
      <w:r>
        <w:rPr>
          <w:vertAlign w:val="subscript"/>
        </w:rPr>
        <w:t>F</w:t>
      </w:r>
      <w:r>
        <w:rPr>
          <w:vertAlign w:val="baseline"/>
        </w:rPr>
        <w:tab/>
        <w:t>=  </w:t>
      </w:r>
      <w:r>
        <w:rPr>
          <w:spacing w:val="35"/>
          <w:vertAlign w:val="baseline"/>
        </w:rPr>
        <w:t> </w:t>
      </w:r>
      <w:r>
        <w:rPr>
          <w:vertAlign w:val="baseline"/>
        </w:rPr>
        <w:t>C</w:t>
      </w:r>
      <w:r>
        <w:rPr>
          <w:vertAlign w:val="subscript"/>
        </w:rPr>
        <w:t>Before</w:t>
      </w:r>
      <w:r>
        <w:rPr>
          <w:vertAlign w:val="baseline"/>
        </w:rPr>
        <w:tab/>
        <w:t>= 80 tonnes C ha</w:t>
      </w:r>
      <w:r>
        <w:rPr>
          <w:vertAlign w:val="superscript"/>
        </w:rPr>
        <w:t>−1</w:t>
      </w:r>
      <w:r>
        <w:rPr>
          <w:vertAlign w:val="baseline"/>
        </w:rPr>
        <w:t>, with percent uncertainty of</w:t>
      </w:r>
      <w:r>
        <w:rPr>
          <w:spacing w:val="-17"/>
          <w:vertAlign w:val="baseline"/>
        </w:rPr>
        <w:t> </w:t>
      </w:r>
      <w:r>
        <w:rPr>
          <w:vertAlign w:val="baseline"/>
        </w:rPr>
        <w:t>24%</w:t>
      </w:r>
    </w:p>
    <w:p>
      <w:pPr>
        <w:pStyle w:val="BodyText"/>
        <w:tabs>
          <w:tab w:pos="1379" w:val="left" w:leader="none"/>
        </w:tabs>
        <w:spacing w:before="178"/>
        <w:ind w:left="745"/>
      </w:pPr>
      <w:r>
        <w:rPr/>
        <w:t>C</w:t>
      </w:r>
      <w:r>
        <w:rPr>
          <w:vertAlign w:val="subscript"/>
        </w:rPr>
        <w:t>After</w:t>
      </w:r>
      <w:r>
        <w:rPr>
          <w:vertAlign w:val="baseline"/>
        </w:rPr>
        <w:tab/>
        <w:t>= 0 tonne C ha</w:t>
      </w:r>
      <w:r>
        <w:rPr>
          <w:vertAlign w:val="superscript"/>
        </w:rPr>
        <w:t>-1</w:t>
      </w:r>
      <w:r>
        <w:rPr>
          <w:vertAlign w:val="baseline"/>
        </w:rPr>
        <w:t>, with percent uncertainty of</w:t>
      </w:r>
      <w:r>
        <w:rPr>
          <w:spacing w:val="-19"/>
          <w:vertAlign w:val="baseline"/>
        </w:rPr>
        <w:t> </w:t>
      </w:r>
      <w:r>
        <w:rPr>
          <w:vertAlign w:val="baseline"/>
        </w:rPr>
        <w:t>0%</w:t>
      </w:r>
    </w:p>
    <w:p>
      <w:pPr>
        <w:pStyle w:val="BodyText"/>
        <w:tabs>
          <w:tab w:pos="1379" w:val="left" w:leader="none"/>
        </w:tabs>
        <w:spacing w:line="427" w:lineRule="auto" w:before="121"/>
        <w:ind w:left="179" w:right="4314" w:firstLine="566"/>
      </w:pPr>
      <w:r>
        <w:rPr/>
        <w:pict>
          <v:shape style="position:absolute;margin-left:110.680336pt;margin-top:14.171789pt;width:8.0500pt;height:7.2pt;mso-position-horizontal-relative:page;mso-position-vertical-relative:paragraph;z-index:-2427232" type="#_x0000_t202" filled="false" stroked="false">
            <v:textbox inset="0,0,0,0">
              <w:txbxContent>
                <w:p>
                  <w:pPr>
                    <w:spacing w:line="144" w:lineRule="exact" w:before="0"/>
                    <w:ind w:left="0" w:right="0" w:firstLine="0"/>
                    <w:jc w:val="left"/>
                    <w:rPr>
                      <w:sz w:val="13"/>
                    </w:rPr>
                  </w:pPr>
                  <w:r>
                    <w:rPr>
                      <w:spacing w:val="-3"/>
                      <w:sz w:val="13"/>
                    </w:rPr>
                    <w:t>LB</w:t>
                  </w:r>
                </w:p>
              </w:txbxContent>
            </v:textbox>
            <w10:wrap type="none"/>
          </v:shape>
        </w:pict>
      </w:r>
      <w:r>
        <w:rPr/>
        <w:t>C</w:t>
      </w:r>
      <w:r>
        <w:rPr>
          <w:vertAlign w:val="subscript"/>
        </w:rPr>
        <w:t>G</w:t>
      </w:r>
      <w:r>
        <w:rPr>
          <w:vertAlign w:val="baseline"/>
        </w:rPr>
        <w:tab/>
        <w:t>= C</w:t>
      </w:r>
      <w:r>
        <w:rPr>
          <w:vertAlign w:val="subscript"/>
        </w:rPr>
        <w:t>Growth</w:t>
      </w:r>
      <w:r>
        <w:rPr>
          <w:vertAlign w:val="baseline"/>
        </w:rPr>
        <w:t> = 3 tonnes C ha</w:t>
      </w:r>
      <w:r>
        <w:rPr>
          <w:vertAlign w:val="superscript"/>
        </w:rPr>
        <w:t>−1</w:t>
      </w:r>
      <w:r>
        <w:rPr>
          <w:vertAlign w:val="baseline"/>
        </w:rPr>
        <w:t>, with percent uncertainty of 60% Replacing the above values in the equation</w:t>
      </w:r>
      <w:r>
        <w:rPr>
          <w:spacing w:val="-5"/>
          <w:vertAlign w:val="baseline"/>
        </w:rPr>
        <w:t> </w:t>
      </w:r>
      <w:r>
        <w:rPr>
          <w:vertAlign w:val="baseline"/>
        </w:rPr>
        <w:t>gives:</w:t>
      </w:r>
    </w:p>
    <w:p>
      <w:pPr>
        <w:spacing w:line="163" w:lineRule="auto" w:before="0"/>
        <w:ind w:left="2079" w:right="0" w:firstLine="0"/>
        <w:jc w:val="left"/>
        <w:rPr>
          <w:sz w:val="20"/>
        </w:rPr>
      </w:pPr>
      <w:r>
        <w:rPr>
          <w:sz w:val="20"/>
        </w:rPr>
        <w:t>∆C</w:t>
      </w:r>
      <w:r>
        <w:rPr>
          <w:sz w:val="20"/>
          <w:vertAlign w:val="subscript"/>
        </w:rPr>
        <w:t>LG</w:t>
      </w:r>
      <w:r>
        <w:rPr>
          <w:position w:val="-8"/>
          <w:sz w:val="13"/>
          <w:vertAlign w:val="baseline"/>
        </w:rPr>
        <w:t>LB </w:t>
      </w:r>
      <w:r>
        <w:rPr>
          <w:sz w:val="20"/>
          <w:vertAlign w:val="baseline"/>
        </w:rPr>
        <w:t>= A</w:t>
      </w:r>
      <w:r>
        <w:rPr>
          <w:sz w:val="20"/>
          <w:vertAlign w:val="subscript"/>
        </w:rPr>
        <w:t>FG</w:t>
      </w:r>
      <w:r>
        <w:rPr>
          <w:sz w:val="20"/>
          <w:vertAlign w:val="baseline"/>
        </w:rPr>
        <w:t> ● ( – C</w:t>
      </w:r>
      <w:r>
        <w:rPr>
          <w:sz w:val="20"/>
          <w:vertAlign w:val="subscript"/>
        </w:rPr>
        <w:t>F</w:t>
      </w:r>
      <w:r>
        <w:rPr>
          <w:position w:val="-8"/>
          <w:sz w:val="13"/>
          <w:vertAlign w:val="baseline"/>
        </w:rPr>
        <w:t>LB </w:t>
      </w:r>
      <w:r>
        <w:rPr>
          <w:sz w:val="20"/>
          <w:vertAlign w:val="baseline"/>
        </w:rPr>
        <w:t>+ C</w:t>
      </w:r>
      <w:r>
        <w:rPr>
          <w:sz w:val="20"/>
          <w:vertAlign w:val="subscript"/>
        </w:rPr>
        <w:t>G</w:t>
      </w:r>
      <w:r>
        <w:rPr>
          <w:position w:val="-8"/>
          <w:sz w:val="13"/>
          <w:vertAlign w:val="baseline"/>
        </w:rPr>
        <w:t>LB </w:t>
      </w:r>
      <w:r>
        <w:rPr>
          <w:sz w:val="20"/>
          <w:vertAlign w:val="baseline"/>
        </w:rPr>
        <w:t>)</w:t>
      </w:r>
    </w:p>
    <w:p>
      <w:pPr>
        <w:pStyle w:val="BodyText"/>
        <w:tabs>
          <w:tab w:pos="6013" w:val="left" w:leader="none"/>
        </w:tabs>
        <w:spacing w:before="116"/>
        <w:ind w:left="2778"/>
      </w:pPr>
      <w:r>
        <w:rPr/>
        <w:t>= 500 ha  ●  ( −80 + 3 ) tonnes</w:t>
      </w:r>
      <w:r>
        <w:rPr>
          <w:spacing w:val="-6"/>
        </w:rPr>
        <w:t> </w:t>
      </w:r>
      <w:r>
        <w:rPr/>
        <w:t>C</w:t>
      </w:r>
      <w:r>
        <w:rPr>
          <w:spacing w:val="-3"/>
        </w:rPr>
        <w:t> </w:t>
      </w:r>
      <w:r>
        <w:rPr/>
        <w:t>ha</w:t>
      </w:r>
      <w:r>
        <w:rPr>
          <w:vertAlign w:val="superscript"/>
        </w:rPr>
        <w:t>−1</w:t>
      </w:r>
      <w:r>
        <w:rPr>
          <w:vertAlign w:val="baseline"/>
        </w:rPr>
        <w:tab/>
        <w:t>= −38,500 tonnes</w:t>
      </w:r>
      <w:r>
        <w:rPr>
          <w:spacing w:val="2"/>
          <w:vertAlign w:val="baseline"/>
        </w:rPr>
        <w:t> </w:t>
      </w:r>
      <w:r>
        <w:rPr>
          <w:vertAlign w:val="baseline"/>
        </w:rPr>
        <w:t>C</w:t>
      </w:r>
    </w:p>
    <w:p>
      <w:pPr>
        <w:pStyle w:val="BodyText"/>
        <w:spacing w:before="4"/>
        <w:rPr>
          <w:sz w:val="21"/>
        </w:rPr>
      </w:pPr>
    </w:p>
    <w:p>
      <w:pPr>
        <w:pStyle w:val="Heading6"/>
        <w:spacing w:before="1"/>
        <w:ind w:left="179"/>
        <w:jc w:val="both"/>
      </w:pPr>
      <w:r>
        <w:rPr/>
        <w:t>Step 2: Assessment of uncertainties for each activity</w:t>
      </w:r>
    </w:p>
    <w:p>
      <w:pPr>
        <w:pStyle w:val="Heading7"/>
        <w:spacing w:line="251" w:lineRule="exact" w:before="179"/>
        <w:ind w:left="179"/>
      </w:pPr>
      <w:r>
        <w:rPr/>
        <w:t>Forest Land Remaining Forest Land</w:t>
      </w:r>
    </w:p>
    <w:p>
      <w:pPr>
        <w:pStyle w:val="BodyText"/>
        <w:ind w:left="179" w:right="1401"/>
        <w:jc w:val="both"/>
      </w:pPr>
      <w:r>
        <w:rPr/>
        <w:t>The uncertainty associated with estimated forest land area must be determined based on expert judgement. If the estimate is based on national surveys with designed statistical sampling (see Section 5.3, Sampling and Table</w:t>
      </w:r>
    </w:p>
    <w:p>
      <w:pPr>
        <w:pStyle w:val="BodyText"/>
        <w:spacing w:line="228" w:lineRule="exact"/>
        <w:ind w:left="179"/>
      </w:pPr>
      <w:r>
        <w:rPr/>
        <w:t>2.3.6 in Chapter 2) then statistical methods can be used to calculate the uncertainty.</w:t>
      </w:r>
    </w:p>
    <w:p>
      <w:pPr>
        <w:pStyle w:val="BodyText"/>
        <w:spacing w:before="118"/>
        <w:ind w:left="179" w:right="1403"/>
        <w:jc w:val="both"/>
      </w:pPr>
      <w:r>
        <w:rPr/>
        <w:t>In this example, it is assumed that the area of managed forest comes from administrative records. The agency that compiles them used a </w:t>
      </w:r>
      <w:r>
        <w:rPr>
          <w:i/>
        </w:rPr>
        <w:t>good practice </w:t>
      </w:r>
      <w:r>
        <w:rPr/>
        <w:t>method and an uncertainty in the area estimates of 20%, based on  expert</w:t>
      </w:r>
      <w:r>
        <w:rPr>
          <w:spacing w:val="-2"/>
        </w:rPr>
        <w:t> </w:t>
      </w:r>
      <w:r>
        <w:rPr/>
        <w:t>judgement.</w:t>
      </w:r>
    </w:p>
    <w:p>
      <w:pPr>
        <w:pStyle w:val="BodyText"/>
        <w:spacing w:before="119"/>
        <w:ind w:left="179" w:right="1403"/>
        <w:jc w:val="both"/>
      </w:pPr>
      <w:r>
        <w:rPr/>
        <w:t>The uncertainty of the annual biomass growth depends on the uncertainty of input parameters. If the country is using default parameters, uncertainty will be high and can be only roughly estimated with expert judgment (see Chapter 3). If the annual growth in biomass is calculated according to Equation 3.2.4 and converted to carbon</w:t>
      </w:r>
    </w:p>
    <w:p>
      <w:pPr>
        <w:pStyle w:val="BodyText"/>
        <w:spacing w:line="250" w:lineRule="exact" w:before="29"/>
        <w:ind w:left="179"/>
        <w:jc w:val="both"/>
      </w:pPr>
      <w:r>
        <w:rPr/>
        <w:pict>
          <v:shape style="position:absolute;margin-left:373.00061pt;margin-top:8.39871pt;width:9.050pt;height:9.25pt;mso-position-horizontal-relative:page;mso-position-vertical-relative:paragraph;z-index:-2427208" type="#_x0000_t202" filled="false" stroked="false">
            <v:textbox inset="0,0,0,0">
              <w:txbxContent>
                <w:p>
                  <w:pPr>
                    <w:spacing w:line="172" w:lineRule="exact" w:before="12"/>
                    <w:ind w:left="0" w:right="0" w:firstLine="0"/>
                    <w:jc w:val="left"/>
                    <w:rPr>
                      <w:sz w:val="14"/>
                    </w:rPr>
                  </w:pPr>
                  <w:r>
                    <w:rPr>
                      <w:rFonts w:ascii="Symbol" w:hAnsi="Symbol"/>
                      <w:spacing w:val="-1"/>
                      <w:w w:val="102"/>
                      <w:sz w:val="14"/>
                    </w:rPr>
                    <w:t>∆</w:t>
                  </w:r>
                  <w:r>
                    <w:rPr>
                      <w:w w:val="100"/>
                      <w:sz w:val="14"/>
                    </w:rPr>
                    <w:t>C</w:t>
                  </w:r>
                </w:p>
              </w:txbxContent>
            </v:textbox>
            <w10:wrap type="none"/>
          </v:shape>
        </w:pict>
      </w:r>
      <w:r>
        <w:rPr/>
        <w:t>with CF, then the uncertainty estimate of the growth in biomass carbon ( </w:t>
      </w:r>
      <w:r>
        <w:rPr>
          <w:sz w:val="24"/>
        </w:rPr>
        <w:t>U </w:t>
      </w:r>
      <w:r>
        <w:rPr/>
        <w:t>) is obtained as:</w:t>
      </w:r>
    </w:p>
    <w:p>
      <w:pPr>
        <w:spacing w:line="172" w:lineRule="auto" w:before="0"/>
        <w:ind w:left="6391" w:right="3994" w:firstLine="0"/>
        <w:jc w:val="center"/>
        <w:rPr>
          <w:sz w:val="10"/>
        </w:rPr>
      </w:pPr>
      <w:r>
        <w:rPr>
          <w:sz w:val="10"/>
        </w:rPr>
        <w:t>FF  </w:t>
      </w:r>
      <w:r>
        <w:rPr>
          <w:position w:val="-5"/>
          <w:sz w:val="10"/>
        </w:rPr>
        <w:t>G</w:t>
      </w:r>
    </w:p>
    <w:p>
      <w:pPr>
        <w:pStyle w:val="BodyText"/>
        <w:spacing w:before="10"/>
        <w:rPr>
          <w:sz w:val="12"/>
        </w:rPr>
      </w:pPr>
    </w:p>
    <w:p>
      <w:pPr>
        <w:tabs>
          <w:tab w:pos="3771" w:val="left" w:leader="none"/>
        </w:tabs>
        <w:spacing w:line="312" w:lineRule="exact" w:before="119"/>
        <w:ind w:left="3061" w:right="0" w:firstLine="0"/>
        <w:jc w:val="left"/>
        <w:rPr>
          <w:rFonts w:ascii="Symbol" w:hAnsi="Symbol"/>
          <w:sz w:val="24"/>
        </w:rPr>
      </w:pPr>
      <w:r>
        <w:rPr/>
        <w:pict>
          <v:group style="position:absolute;margin-left:259.724579pt;margin-top:2.985266pt;width:120.4pt;height:19.95pt;mso-position-horizontal-relative:page;mso-position-vertical-relative:paragraph;z-index:28792" coordorigin="5194,60" coordsize="2408,399">
            <v:line style="position:absolute" from="5199,324" to="5228,307" stroked="true" strokeweight=".489814pt" strokecolor="#000000">
              <v:stroke dashstyle="solid"/>
            </v:line>
            <v:line style="position:absolute" from="5228,312" to="5269,449" stroked="true" strokeweight=".948035pt" strokecolor="#000000">
              <v:stroke dashstyle="solid"/>
            </v:line>
            <v:shape style="position:absolute;left:5273;top:64;width:2324;height:384" coordorigin="5274,65" coordsize="2324,384" path="m5274,449l5331,65,7597,65e" filled="false" stroked="true" strokeweight=".495052pt" strokecolor="#000000">
              <v:path arrowok="t"/>
              <v:stroke dashstyle="solid"/>
            </v:shape>
            <v:shape style="position:absolute;left:5348;top:93;width:971;height:320" type="#_x0000_t202" filled="false" stroked="false">
              <v:textbox inset="0,0,0,0">
                <w:txbxContent>
                  <w:p>
                    <w:pPr>
                      <w:tabs>
                        <w:tab w:pos="443" w:val="left" w:leader="none"/>
                      </w:tabs>
                      <w:spacing w:line="320" w:lineRule="exact" w:before="0"/>
                      <w:ind w:left="0" w:right="0" w:firstLine="0"/>
                      <w:jc w:val="left"/>
                      <w:rPr>
                        <w:sz w:val="24"/>
                      </w:rPr>
                    </w:pPr>
                    <w:r>
                      <w:rPr>
                        <w:sz w:val="24"/>
                      </w:rPr>
                      <w:t>U</w:t>
                      <w:tab/>
                    </w:r>
                    <w:r>
                      <w:rPr>
                        <w:position w:val="12"/>
                        <w:sz w:val="14"/>
                      </w:rPr>
                      <w:t>2 </w:t>
                    </w:r>
                    <w:r>
                      <w:rPr>
                        <w:rFonts w:ascii="Symbol"/>
                        <w:sz w:val="24"/>
                      </w:rPr>
                      <w:t>+</w:t>
                    </w:r>
                    <w:r>
                      <w:rPr>
                        <w:rFonts w:ascii="Symbol"/>
                        <w:spacing w:val="-34"/>
                        <w:sz w:val="24"/>
                      </w:rPr>
                      <w:t> </w:t>
                    </w:r>
                    <w:r>
                      <w:rPr>
                        <w:sz w:val="24"/>
                      </w:rPr>
                      <w:t>U</w:t>
                    </w:r>
                  </w:p>
                </w:txbxContent>
              </v:textbox>
              <w10:wrap type="none"/>
            </v:shape>
            <v:shape style="position:absolute;left:5540;top:278;width:240;height:180" type="#_x0000_t202" filled="false" stroked="false">
              <v:textbox inset="0,0,0,0">
                <w:txbxContent>
                  <w:p>
                    <w:pPr>
                      <w:spacing w:line="180" w:lineRule="exact" w:before="0"/>
                      <w:ind w:left="0" w:right="0" w:firstLine="0"/>
                      <w:jc w:val="left"/>
                      <w:rPr>
                        <w:sz w:val="10"/>
                      </w:rPr>
                    </w:pPr>
                    <w:r>
                      <w:rPr>
                        <w:position w:val="3"/>
                        <w:sz w:val="14"/>
                      </w:rPr>
                      <w:t>A</w:t>
                    </w:r>
                    <w:r>
                      <w:rPr>
                        <w:sz w:val="10"/>
                      </w:rPr>
                      <w:t>FF</w:t>
                    </w:r>
                  </w:p>
                </w:txbxContent>
              </v:textbox>
              <w10:wrap type="none"/>
            </v:shape>
            <v:shape style="position:absolute;left:6315;top:278;width:456;height:180" type="#_x0000_t202" filled="false" stroked="false">
              <v:textbox inset="0,0,0,0">
                <w:txbxContent>
                  <w:p>
                    <w:pPr>
                      <w:spacing w:line="180" w:lineRule="exact" w:before="0"/>
                      <w:ind w:left="0" w:right="0" w:firstLine="0"/>
                      <w:jc w:val="left"/>
                      <w:rPr>
                        <w:sz w:val="10"/>
                      </w:rPr>
                    </w:pPr>
                    <w:r>
                      <w:rPr>
                        <w:position w:val="3"/>
                        <w:sz w:val="14"/>
                      </w:rPr>
                      <w:t>G</w:t>
                    </w:r>
                    <w:r>
                      <w:rPr>
                        <w:sz w:val="10"/>
                      </w:rPr>
                      <w:t>TOTAL</w:t>
                    </w:r>
                  </w:p>
                </w:txbxContent>
              </v:textbox>
              <w10:wrap type="none"/>
            </v:shape>
            <v:shape style="position:absolute;left:6778;top:93;width:527;height:320" type="#_x0000_t202" filled="false" stroked="false">
              <v:textbox inset="0,0,0,0">
                <w:txbxContent>
                  <w:p>
                    <w:pPr>
                      <w:spacing w:line="320" w:lineRule="exact" w:before="0"/>
                      <w:ind w:left="0" w:right="0" w:firstLine="0"/>
                      <w:jc w:val="left"/>
                      <w:rPr>
                        <w:sz w:val="24"/>
                      </w:rPr>
                    </w:pPr>
                    <w:r>
                      <w:rPr>
                        <w:position w:val="12"/>
                        <w:sz w:val="14"/>
                      </w:rPr>
                      <w:t>2 </w:t>
                    </w:r>
                    <w:r>
                      <w:rPr>
                        <w:rFonts w:ascii="Symbol"/>
                        <w:sz w:val="24"/>
                      </w:rPr>
                      <w:t>+ </w:t>
                    </w:r>
                    <w:r>
                      <w:rPr>
                        <w:sz w:val="24"/>
                      </w:rPr>
                      <w:t>U</w:t>
                    </w:r>
                  </w:p>
                </w:txbxContent>
              </v:textbox>
              <w10:wrap type="none"/>
            </v:shape>
            <v:shape style="position:absolute;left:7486;top:93;width:90;height:156" type="#_x0000_t202" filled="false" stroked="false">
              <v:textbox inset="0,0,0,0">
                <w:txbxContent>
                  <w:p>
                    <w:pPr>
                      <w:spacing w:line="155" w:lineRule="exact" w:before="0"/>
                      <w:ind w:left="0" w:right="0" w:firstLine="0"/>
                      <w:jc w:val="left"/>
                      <w:rPr>
                        <w:sz w:val="14"/>
                      </w:rPr>
                    </w:pPr>
                    <w:r>
                      <w:rPr>
                        <w:sz w:val="14"/>
                      </w:rPr>
                      <w:t>2</w:t>
                    </w:r>
                  </w:p>
                </w:txbxContent>
              </v:textbox>
              <w10:wrap type="none"/>
            </v:shape>
            <v:shape style="position:absolute;left:7299;top:278;width:192;height:156" type="#_x0000_t202" filled="false" stroked="false">
              <v:textbox inset="0,0,0,0">
                <w:txbxContent>
                  <w:p>
                    <w:pPr>
                      <w:spacing w:line="155" w:lineRule="exact" w:before="0"/>
                      <w:ind w:left="0" w:right="0" w:firstLine="0"/>
                      <w:jc w:val="left"/>
                      <w:rPr>
                        <w:sz w:val="14"/>
                      </w:rPr>
                    </w:pPr>
                    <w:r>
                      <w:rPr>
                        <w:sz w:val="14"/>
                      </w:rPr>
                      <w:t>CF</w:t>
                    </w:r>
                  </w:p>
                </w:txbxContent>
              </v:textbox>
              <w10:wrap type="none"/>
            </v:shape>
            <w10:wrap type="none"/>
          </v:group>
        </w:pict>
      </w:r>
      <w:r>
        <w:rPr>
          <w:spacing w:val="16"/>
          <w:sz w:val="24"/>
        </w:rPr>
        <w:t>U</w:t>
      </w:r>
      <w:r>
        <w:rPr>
          <w:rFonts w:ascii="Symbol" w:hAnsi="Symbol"/>
          <w:spacing w:val="-5"/>
          <w:w w:val="101"/>
          <w:position w:val="-5"/>
          <w:sz w:val="14"/>
        </w:rPr>
        <w:t>∆</w:t>
      </w:r>
      <w:r>
        <w:rPr>
          <w:spacing w:val="4"/>
          <w:position w:val="-5"/>
          <w:sz w:val="14"/>
        </w:rPr>
        <w:t>C</w:t>
      </w:r>
      <w:r>
        <w:rPr>
          <w:spacing w:val="-1"/>
          <w:position w:val="-8"/>
          <w:sz w:val="10"/>
        </w:rPr>
        <w:t>F</w:t>
      </w:r>
      <w:r>
        <w:rPr>
          <w:position w:val="-8"/>
          <w:sz w:val="10"/>
        </w:rPr>
        <w:t>F</w:t>
        <w:tab/>
      </w:r>
      <w:r>
        <w:rPr>
          <w:rFonts w:ascii="Symbol" w:hAnsi="Symbol"/>
          <w:w w:val="100"/>
          <w:sz w:val="24"/>
        </w:rPr>
        <w:t>=</w:t>
      </w:r>
    </w:p>
    <w:p>
      <w:pPr>
        <w:spacing w:line="92" w:lineRule="exact" w:before="0"/>
        <w:ind w:left="0" w:right="3416" w:firstLine="0"/>
        <w:jc w:val="center"/>
        <w:rPr>
          <w:sz w:val="10"/>
        </w:rPr>
      </w:pPr>
      <w:r>
        <w:rPr>
          <w:sz w:val="10"/>
        </w:rPr>
        <w:t>G</w:t>
      </w:r>
    </w:p>
    <w:p>
      <w:pPr>
        <w:spacing w:after="0" w:line="92" w:lineRule="exact"/>
        <w:jc w:val="center"/>
        <w:rPr>
          <w:sz w:val="10"/>
        </w:rPr>
        <w:sectPr>
          <w:type w:val="continuous"/>
          <w:pgSz w:w="11900" w:h="16840"/>
          <w:pgMar w:top="1060" w:bottom="280" w:left="1240" w:right="0"/>
        </w:sectPr>
      </w:pPr>
    </w:p>
    <w:p>
      <w:pPr>
        <w:spacing w:before="151"/>
        <w:ind w:left="179" w:right="0" w:firstLine="0"/>
        <w:jc w:val="left"/>
        <w:rPr>
          <w:sz w:val="12"/>
        </w:rPr>
      </w:pPr>
      <w:r>
        <w:rPr>
          <w:sz w:val="20"/>
        </w:rPr>
        <w:t>If we define U </w:t>
      </w:r>
      <w:r>
        <w:rPr>
          <w:position w:val="-1"/>
          <w:sz w:val="16"/>
        </w:rPr>
        <w:t>GC </w:t>
      </w:r>
      <w:r>
        <w:rPr>
          <w:position w:val="-4"/>
          <w:sz w:val="12"/>
        </w:rPr>
        <w:t>TOTAL</w:t>
      </w:r>
    </w:p>
    <w:p>
      <w:pPr>
        <w:pStyle w:val="BodyText"/>
        <w:spacing w:before="151"/>
        <w:ind w:left="61"/>
      </w:pPr>
      <w:r>
        <w:rPr/>
        <w:br w:type="column"/>
      </w:r>
      <w:r>
        <w:rPr/>
        <w:t>as the percentage uncertainty of the annual biomass growth in terms of carbon per unit</w:t>
      </w:r>
    </w:p>
    <w:p>
      <w:pPr>
        <w:spacing w:after="0"/>
        <w:sectPr>
          <w:type w:val="continuous"/>
          <w:pgSz w:w="11900" w:h="16840"/>
          <w:pgMar w:top="1060" w:bottom="280" w:left="1240" w:right="0"/>
          <w:cols w:num="2" w:equalWidth="0">
            <w:col w:w="2078" w:space="40"/>
            <w:col w:w="8542"/>
          </w:cols>
        </w:sectPr>
      </w:pPr>
    </w:p>
    <w:p>
      <w:pPr>
        <w:pStyle w:val="BodyText"/>
        <w:spacing w:before="19"/>
        <w:ind w:left="179"/>
      </w:pPr>
      <w:r>
        <w:rPr/>
        <w:t>area (i.e., the combined uncertainty of G</w:t>
      </w:r>
      <w:r>
        <w:rPr>
          <w:vertAlign w:val="subscript"/>
        </w:rPr>
        <w:t>TOTAL</w:t>
      </w:r>
      <w:r>
        <w:rPr>
          <w:vertAlign w:val="baseline"/>
        </w:rPr>
        <w:t> ● CF), then:</w:t>
      </w:r>
    </w:p>
    <w:p>
      <w:pPr>
        <w:pStyle w:val="BodyText"/>
        <w:spacing w:before="2"/>
        <w:rPr>
          <w:sz w:val="22"/>
        </w:rPr>
      </w:pPr>
    </w:p>
    <w:p>
      <w:pPr>
        <w:spacing w:before="0"/>
        <w:ind w:left="3385" w:right="0" w:firstLine="0"/>
        <w:jc w:val="left"/>
        <w:rPr>
          <w:rFonts w:ascii="Symbol"/>
          <w:sz w:val="20"/>
        </w:rPr>
      </w:pPr>
      <w:r>
        <w:rPr/>
        <w:pict>
          <v:group style="position:absolute;margin-left:282.394989pt;margin-top:-3.669764pt;width:81.3pt;height:16.3500pt;mso-position-horizontal-relative:page;mso-position-vertical-relative:paragraph;z-index:28840" coordorigin="5648,-73" coordsize="1626,327">
            <v:line style="position:absolute" from="5653,143" to="5677,126" stroked="true" strokeweight=".492pt" strokecolor="#000000">
              <v:stroke dashstyle="solid"/>
            </v:line>
            <v:line style="position:absolute" from="5677,131" to="5713,239" stroked="true" strokeweight=".983pt" strokecolor="#000000">
              <v:stroke dashstyle="solid"/>
            </v:line>
            <v:shape style="position:absolute;left:5717;top:-69;width:1551;height:308" coordorigin="5718,-68" coordsize="1551,308" path="m5718,239l5766,-68,7268,-68e" filled="false" stroked="true" strokeweight=".492pt" strokecolor="#000000">
              <v:path arrowok="t"/>
              <v:stroke dashstyle="solid"/>
            </v:shape>
            <v:shape style="position:absolute;left:5647;top:-74;width:1626;height:327" type="#_x0000_t202" filled="false" stroked="false">
              <v:textbox inset="0,0,0,0">
                <w:txbxContent>
                  <w:p>
                    <w:pPr>
                      <w:spacing w:before="20"/>
                      <w:ind w:left="132" w:right="0" w:firstLine="0"/>
                      <w:jc w:val="left"/>
                      <w:rPr>
                        <w:sz w:val="16"/>
                      </w:rPr>
                    </w:pPr>
                    <w:r>
                      <w:rPr>
                        <w:position w:val="4"/>
                        <w:sz w:val="20"/>
                      </w:rPr>
                      <w:t>U</w:t>
                    </w:r>
                    <w:r>
                      <w:rPr>
                        <w:position w:val="1"/>
                        <w:sz w:val="16"/>
                      </w:rPr>
                      <w:t>G</w:t>
                    </w:r>
                    <w:r>
                      <w:rPr>
                        <w:sz w:val="12"/>
                      </w:rPr>
                      <w:t>TOTAL </w:t>
                    </w:r>
                    <w:r>
                      <w:rPr>
                        <w:position w:val="13"/>
                        <w:sz w:val="16"/>
                      </w:rPr>
                      <w:t>2 </w:t>
                    </w:r>
                    <w:r>
                      <w:rPr>
                        <w:rFonts w:ascii="Symbol"/>
                        <w:position w:val="4"/>
                        <w:sz w:val="20"/>
                      </w:rPr>
                      <w:t>+ </w:t>
                    </w:r>
                    <w:r>
                      <w:rPr>
                        <w:position w:val="4"/>
                        <w:sz w:val="20"/>
                      </w:rPr>
                      <w:t>U</w:t>
                    </w:r>
                    <w:r>
                      <w:rPr>
                        <w:position w:val="1"/>
                        <w:sz w:val="16"/>
                      </w:rPr>
                      <w:t>CF </w:t>
                    </w:r>
                    <w:r>
                      <w:rPr>
                        <w:position w:val="13"/>
                        <w:sz w:val="16"/>
                      </w:rPr>
                      <w:t>2</w:t>
                    </w:r>
                  </w:p>
                </w:txbxContent>
              </v:textbox>
              <w10:wrap type="none"/>
            </v:shape>
            <w10:wrap type="none"/>
          </v:group>
        </w:pict>
      </w:r>
      <w:r>
        <w:rPr>
          <w:position w:val="4"/>
          <w:sz w:val="20"/>
        </w:rPr>
        <w:t>U </w:t>
      </w:r>
      <w:r>
        <w:rPr>
          <w:position w:val="1"/>
          <w:sz w:val="16"/>
        </w:rPr>
        <w:t>GC</w:t>
      </w:r>
      <w:r>
        <w:rPr>
          <w:sz w:val="12"/>
        </w:rPr>
        <w:t>TOTAL </w:t>
      </w:r>
      <w:r>
        <w:rPr>
          <w:rFonts w:ascii="Symbol"/>
          <w:position w:val="4"/>
          <w:sz w:val="20"/>
        </w:rPr>
        <w:t>=</w:t>
      </w:r>
    </w:p>
    <w:p>
      <w:pPr>
        <w:pStyle w:val="BodyText"/>
        <w:rPr>
          <w:rFonts w:ascii="Symbol"/>
        </w:rPr>
      </w:pPr>
    </w:p>
    <w:p>
      <w:pPr>
        <w:pStyle w:val="BodyText"/>
        <w:spacing w:before="8"/>
        <w:rPr>
          <w:rFonts w:ascii="Symbol"/>
          <w:sz w:val="26"/>
        </w:rPr>
      </w:pPr>
    </w:p>
    <w:p>
      <w:pPr>
        <w:spacing w:after="0"/>
        <w:rPr>
          <w:rFonts w:ascii="Symbol"/>
          <w:sz w:val="26"/>
        </w:rPr>
        <w:sectPr>
          <w:type w:val="continuous"/>
          <w:pgSz w:w="11900" w:h="16840"/>
          <w:pgMar w:top="1060" w:bottom="280" w:left="1240" w:right="0"/>
        </w:sectPr>
      </w:pPr>
    </w:p>
    <w:p>
      <w:pPr>
        <w:spacing w:before="112"/>
        <w:ind w:left="0" w:right="0" w:firstLine="0"/>
        <w:jc w:val="right"/>
        <w:rPr>
          <w:rFonts w:ascii="Symbol"/>
          <w:sz w:val="20"/>
        </w:rPr>
      </w:pPr>
      <w:r>
        <w:rPr/>
        <w:pict>
          <v:group style="position:absolute;margin-left:273.635010pt;margin-top:1.930239pt;width:59.7pt;height:16.1500pt;mso-position-horizontal-relative:page;mso-position-vertical-relative:paragraph;z-index:28888" coordorigin="5473,39" coordsize="1194,323">
            <v:line style="position:absolute" from="5478,233" to="5502,216" stroked="true" strokeweight=".492pt" strokecolor="#000000">
              <v:stroke dashstyle="solid"/>
            </v:line>
            <v:line style="position:absolute" from="5502,221" to="5535,315" stroked="true" strokeweight=".983pt" strokecolor="#000000">
              <v:stroke dashstyle="solid"/>
            </v:line>
            <v:shape style="position:absolute;left:5540;top:43;width:1121;height:272" coordorigin="5540,44" coordsize="1121,272" path="m5540,315l5590,44,6661,44e" filled="false" stroked="true" strokeweight=".492pt" strokecolor="#000000">
              <v:path arrowok="t"/>
              <v:stroke dashstyle="solid"/>
            </v:shape>
            <v:shape style="position:absolute;left:5472;top:38;width:1194;height:323" type="#_x0000_t202" filled="false" stroked="false">
              <v:textbox inset="0,0,0,0">
                <w:txbxContent>
                  <w:p>
                    <w:pPr>
                      <w:spacing w:line="298" w:lineRule="exact" w:before="24"/>
                      <w:ind w:left="122" w:right="0" w:firstLine="0"/>
                      <w:jc w:val="left"/>
                      <w:rPr>
                        <w:sz w:val="16"/>
                      </w:rPr>
                    </w:pPr>
                    <w:r>
                      <w:rPr>
                        <w:sz w:val="20"/>
                      </w:rPr>
                      <w:t>50%</w:t>
                    </w:r>
                    <w:r>
                      <w:rPr>
                        <w:position w:val="9"/>
                        <w:sz w:val="16"/>
                      </w:rPr>
                      <w:t>2 </w:t>
                    </w:r>
                    <w:r>
                      <w:rPr>
                        <w:rFonts w:ascii="Symbol"/>
                        <w:sz w:val="20"/>
                      </w:rPr>
                      <w:t>+ </w:t>
                    </w:r>
                    <w:r>
                      <w:rPr>
                        <w:sz w:val="20"/>
                      </w:rPr>
                      <w:t>2%</w:t>
                    </w:r>
                    <w:r>
                      <w:rPr>
                        <w:position w:val="9"/>
                        <w:sz w:val="16"/>
                      </w:rPr>
                      <w:t>2</w:t>
                    </w:r>
                  </w:p>
                </w:txbxContent>
              </v:textbox>
              <w10:wrap type="none"/>
            </v:shape>
            <w10:wrap type="none"/>
          </v:group>
        </w:pict>
      </w:r>
      <w:r>
        <w:rPr>
          <w:position w:val="4"/>
          <w:sz w:val="20"/>
        </w:rPr>
        <w:t>U </w:t>
      </w:r>
      <w:r>
        <w:rPr>
          <w:position w:val="2"/>
          <w:sz w:val="16"/>
        </w:rPr>
        <w:t>GC</w:t>
      </w:r>
      <w:r>
        <w:rPr>
          <w:sz w:val="12"/>
        </w:rPr>
        <w:t>TOTAL </w:t>
      </w:r>
      <w:r>
        <w:rPr>
          <w:rFonts w:ascii="Symbol"/>
          <w:position w:val="4"/>
          <w:sz w:val="20"/>
        </w:rPr>
        <w:t>=</w:t>
      </w:r>
    </w:p>
    <w:p>
      <w:pPr>
        <w:pStyle w:val="BodyText"/>
        <w:spacing w:before="116"/>
        <w:ind w:left="1254"/>
      </w:pPr>
      <w:r>
        <w:rPr/>
        <w:br w:type="column"/>
      </w:r>
      <w:r>
        <w:rPr>
          <w:rFonts w:ascii="Symbol"/>
        </w:rPr>
        <w:t>= </w:t>
      </w:r>
      <w:r>
        <w:rPr/>
        <w:t>50.04%</w:t>
      </w:r>
    </w:p>
    <w:p>
      <w:pPr>
        <w:spacing w:after="0"/>
        <w:sectPr>
          <w:type w:val="continuous"/>
          <w:pgSz w:w="11900" w:h="16840"/>
          <w:pgMar w:top="1060" w:bottom="280" w:left="1240" w:right="0"/>
          <w:cols w:num="2" w:equalWidth="0">
            <w:col w:w="4182" w:space="40"/>
            <w:col w:w="6438"/>
          </w:cols>
        </w:sectPr>
      </w:pPr>
    </w:p>
    <w:p>
      <w:pPr>
        <w:pStyle w:val="BodyText"/>
      </w:pPr>
    </w:p>
    <w:p>
      <w:pPr>
        <w:pStyle w:val="BodyText"/>
        <w:spacing w:before="2"/>
        <w:rPr>
          <w:sz w:val="18"/>
        </w:rPr>
      </w:pPr>
    </w:p>
    <w:p>
      <w:pPr>
        <w:pStyle w:val="BodyText"/>
        <w:ind w:left="179" w:right="1406" w:hanging="1"/>
        <w:jc w:val="both"/>
      </w:pPr>
      <w:r>
        <w:rPr/>
        <w:t>Before the combined uncertainties of the activity information A</w:t>
      </w:r>
      <w:r>
        <w:rPr>
          <w:vertAlign w:val="subscript"/>
        </w:rPr>
        <w:t>FF</w:t>
      </w:r>
      <w:r>
        <w:rPr>
          <w:vertAlign w:val="baseline"/>
        </w:rPr>
        <w:t> (area of forest land remaining forest land) and the emission factor (annual biomass growth in terms of carbon, GC</w:t>
      </w:r>
      <w:r>
        <w:rPr>
          <w:vertAlign w:val="subscript"/>
        </w:rPr>
        <w:t>TOTAL</w:t>
      </w:r>
      <w:r>
        <w:rPr>
          <w:vertAlign w:val="baseline"/>
        </w:rPr>
        <w:t>) can be calculated, it must be determined whether they are correlated. In this example, the inputs are derived from independent sources, and it is reasonable to assume that they are not correlated. Consequently, Equation 5.2.1 can be used to give the</w:t>
      </w:r>
    </w:p>
    <w:p>
      <w:pPr>
        <w:spacing w:after="0"/>
        <w:jc w:val="both"/>
        <w:sectPr>
          <w:pgSz w:w="11900" w:h="16840"/>
          <w:pgMar w:header="230" w:footer="408" w:top="560" w:bottom="600" w:left="1240" w:right="0"/>
        </w:sectPr>
      </w:pPr>
    </w:p>
    <w:p>
      <w:pPr>
        <w:spacing w:line="250" w:lineRule="exact" w:before="22"/>
        <w:ind w:left="217" w:right="0" w:firstLine="0"/>
        <w:jc w:val="left"/>
        <w:rPr>
          <w:sz w:val="24"/>
        </w:rPr>
      </w:pPr>
      <w:r>
        <w:rPr/>
        <w:pict>
          <v:shape style="position:absolute;margin-left:82.720596pt;margin-top:8.246037pt;width:8.9pt;height:9.15pt;mso-position-horizontal-relative:page;mso-position-vertical-relative:paragraph;z-index:29392" type="#_x0000_t202" filled="false" stroked="false">
            <v:textbox inset="0,0,0,0">
              <w:txbxContent>
                <w:p>
                  <w:pPr>
                    <w:spacing w:line="172" w:lineRule="exact" w:before="10"/>
                    <w:ind w:left="0" w:right="0" w:firstLine="0"/>
                    <w:jc w:val="left"/>
                    <w:rPr>
                      <w:sz w:val="14"/>
                    </w:rPr>
                  </w:pPr>
                  <w:r>
                    <w:rPr>
                      <w:rFonts w:ascii="Symbol" w:hAnsi="Symbol"/>
                      <w:spacing w:val="-2"/>
                      <w:w w:val="101"/>
                      <w:sz w:val="14"/>
                    </w:rPr>
                    <w:t>∆</w:t>
                  </w:r>
                  <w:r>
                    <w:rPr>
                      <w:w w:val="99"/>
                      <w:sz w:val="14"/>
                    </w:rPr>
                    <w:t>C</w:t>
                  </w:r>
                </w:p>
              </w:txbxContent>
            </v:textbox>
            <w10:wrap type="none"/>
          </v:shape>
        </w:pict>
      </w:r>
      <w:r>
        <w:rPr>
          <w:w w:val="99"/>
          <w:sz w:val="24"/>
        </w:rPr>
        <w:t>U</w:t>
      </w:r>
    </w:p>
    <w:p>
      <w:pPr>
        <w:spacing w:line="172" w:lineRule="auto" w:before="0"/>
        <w:ind w:left="0" w:right="0" w:firstLine="0"/>
        <w:jc w:val="right"/>
        <w:rPr>
          <w:sz w:val="10"/>
        </w:rPr>
      </w:pPr>
      <w:r>
        <w:rPr>
          <w:sz w:val="10"/>
        </w:rPr>
        <w:t>FF </w:t>
      </w:r>
      <w:r>
        <w:rPr>
          <w:position w:val="-4"/>
          <w:sz w:val="10"/>
        </w:rPr>
        <w:t>G</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5"/>
        <w:rPr>
          <w:sz w:val="22"/>
        </w:rPr>
      </w:pPr>
    </w:p>
    <w:p>
      <w:pPr>
        <w:pStyle w:val="BodyText"/>
        <w:ind w:left="179"/>
      </w:pPr>
      <w:r>
        <w:rPr/>
        <w:t>where:</w:t>
      </w:r>
    </w:p>
    <w:p>
      <w:pPr>
        <w:spacing w:before="59"/>
        <w:ind w:left="82" w:right="0" w:firstLine="0"/>
        <w:jc w:val="left"/>
        <w:rPr>
          <w:sz w:val="20"/>
        </w:rPr>
      </w:pPr>
      <w:r>
        <w:rPr/>
        <w:br w:type="column"/>
      </w:r>
      <w:r>
        <w:rPr>
          <w:sz w:val="20"/>
        </w:rPr>
        <w:t>as:</w:t>
      </w:r>
    </w:p>
    <w:p>
      <w:pPr>
        <w:pStyle w:val="BodyText"/>
        <w:rPr>
          <w:sz w:val="30"/>
        </w:rPr>
      </w:pPr>
      <w:r>
        <w:rPr/>
        <w:br w:type="column"/>
      </w:r>
      <w:r>
        <w:rPr>
          <w:sz w:val="30"/>
        </w:rPr>
      </w:r>
    </w:p>
    <w:p>
      <w:pPr>
        <w:pStyle w:val="BodyText"/>
        <w:spacing w:before="8"/>
        <w:rPr>
          <w:sz w:val="28"/>
        </w:rPr>
      </w:pPr>
    </w:p>
    <w:p>
      <w:pPr>
        <w:spacing w:line="292" w:lineRule="exact" w:before="1"/>
        <w:ind w:left="179" w:right="0" w:firstLine="0"/>
        <w:jc w:val="left"/>
        <w:rPr>
          <w:sz w:val="9"/>
        </w:rPr>
      </w:pPr>
      <w:r>
        <w:rPr>
          <w:position w:val="9"/>
          <w:sz w:val="22"/>
        </w:rPr>
        <w:t>U </w:t>
      </w:r>
      <w:r>
        <w:rPr>
          <w:rFonts w:ascii="Symbol" w:hAnsi="Symbol"/>
          <w:position w:val="3"/>
          <w:sz w:val="13"/>
        </w:rPr>
        <w:t>∆</w:t>
      </w:r>
      <w:r>
        <w:rPr>
          <w:position w:val="3"/>
          <w:sz w:val="13"/>
        </w:rPr>
        <w:t>C </w:t>
      </w:r>
      <w:r>
        <w:rPr>
          <w:sz w:val="9"/>
        </w:rPr>
        <w:t>FF</w:t>
      </w:r>
    </w:p>
    <w:p>
      <w:pPr>
        <w:spacing w:line="81" w:lineRule="exact" w:before="0"/>
        <w:ind w:left="0" w:right="0" w:firstLine="0"/>
        <w:jc w:val="right"/>
        <w:rPr>
          <w:sz w:val="9"/>
        </w:rPr>
      </w:pPr>
      <w:r>
        <w:rPr>
          <w:w w:val="102"/>
          <w:sz w:val="9"/>
        </w:rPr>
        <w:t>G</w:t>
      </w:r>
    </w:p>
    <w:p>
      <w:pPr>
        <w:pStyle w:val="BodyText"/>
        <w:rPr>
          <w:sz w:val="28"/>
        </w:rPr>
      </w:pPr>
      <w:r>
        <w:rPr/>
        <w:br w:type="column"/>
      </w:r>
      <w:r>
        <w:rPr>
          <w:sz w:val="28"/>
        </w:rPr>
      </w:r>
    </w:p>
    <w:p>
      <w:pPr>
        <w:pStyle w:val="BodyText"/>
        <w:spacing w:before="10"/>
        <w:rPr>
          <w:sz w:val="32"/>
        </w:rPr>
      </w:pPr>
    </w:p>
    <w:p>
      <w:pPr>
        <w:spacing w:before="0"/>
        <w:ind w:left="90" w:right="0" w:firstLine="0"/>
        <w:jc w:val="left"/>
        <w:rPr>
          <w:rFonts w:ascii="Symbol"/>
          <w:sz w:val="22"/>
        </w:rPr>
      </w:pPr>
      <w:r>
        <w:rPr>
          <w:rFonts w:ascii="Symbol"/>
          <w:w w:val="100"/>
          <w:sz w:val="22"/>
        </w:rPr>
        <w:t>=</w:t>
      </w:r>
    </w:p>
    <w:p>
      <w:pPr>
        <w:pStyle w:val="BodyText"/>
        <w:tabs>
          <w:tab w:pos="1798" w:val="left" w:leader="none"/>
        </w:tabs>
        <w:spacing w:before="194"/>
        <w:ind w:left="39"/>
      </w:pPr>
      <w:r>
        <w:rPr/>
        <w:pict>
          <v:group style="position:absolute;margin-left:274.968353pt;margin-top:-16.3295pt;width:92.55pt;height:18.55pt;mso-position-horizontal-relative:page;mso-position-vertical-relative:paragraph;z-index:29176" coordorigin="5499,-327" coordsize="1851,371">
            <v:line style="position:absolute" from="5504,-82" to="5535,-99" stroked="true" strokeweight=".46896pt" strokecolor="#000000">
              <v:stroke dashstyle="solid"/>
            </v:line>
            <v:line style="position:absolute" from="5535,-94" to="5581,33" stroked="true" strokeweight="1.009005pt" strokecolor="#000000">
              <v:stroke dashstyle="solid"/>
            </v:line>
            <v:shape style="position:absolute;left:5585;top:-322;width:1760;height:356" coordorigin="5586,-322" coordsize="1760,356" path="m5586,33l5646,-322,7345,-322e" filled="false" stroked="true" strokeweight=".458975pt" strokecolor="#000000">
              <v:path arrowok="t"/>
              <v:stroke dashstyle="solid"/>
            </v:shape>
            <v:shape style="position:absolute;left:5664;top:-296;width:975;height:296" type="#_x0000_t202" filled="false" stroked="false">
              <v:textbox inset="0,0,0,0">
                <w:txbxContent>
                  <w:p>
                    <w:pPr>
                      <w:tabs>
                        <w:tab w:pos="460" w:val="left" w:leader="none"/>
                      </w:tabs>
                      <w:spacing w:line="296" w:lineRule="exact" w:before="0"/>
                      <w:ind w:left="0" w:right="0" w:firstLine="0"/>
                      <w:jc w:val="left"/>
                      <w:rPr>
                        <w:sz w:val="22"/>
                      </w:rPr>
                    </w:pPr>
                    <w:r>
                      <w:rPr>
                        <w:sz w:val="22"/>
                      </w:rPr>
                      <w:t>U</w:t>
                      <w:tab/>
                    </w:r>
                    <w:r>
                      <w:rPr>
                        <w:position w:val="12"/>
                        <w:sz w:val="13"/>
                      </w:rPr>
                      <w:t>2 </w:t>
                    </w:r>
                    <w:r>
                      <w:rPr>
                        <w:rFonts w:ascii="Symbol"/>
                        <w:sz w:val="22"/>
                      </w:rPr>
                      <w:t>+</w:t>
                    </w:r>
                    <w:r>
                      <w:rPr>
                        <w:rFonts w:ascii="Symbol"/>
                        <w:spacing w:val="-5"/>
                        <w:sz w:val="22"/>
                      </w:rPr>
                      <w:t> </w:t>
                    </w:r>
                    <w:r>
                      <w:rPr>
                        <w:sz w:val="22"/>
                      </w:rPr>
                      <w:t>U</w:t>
                    </w:r>
                  </w:p>
                </w:txbxContent>
              </v:textbox>
              <w10:wrap type="none"/>
            </v:shape>
            <v:shape style="position:absolute;left:7232;top:-296;width:85;height:144" type="#_x0000_t202" filled="false" stroked="false">
              <v:textbox inset="0,0,0,0">
                <w:txbxContent>
                  <w:p>
                    <w:pPr>
                      <w:spacing w:line="143" w:lineRule="exact" w:before="0"/>
                      <w:ind w:left="0" w:right="0" w:firstLine="0"/>
                      <w:jc w:val="left"/>
                      <w:rPr>
                        <w:sz w:val="13"/>
                      </w:rPr>
                    </w:pPr>
                    <w:r>
                      <w:rPr>
                        <w:w w:val="99"/>
                        <w:sz w:val="13"/>
                      </w:rPr>
                      <w:t>2</w:t>
                    </w:r>
                  </w:p>
                </w:txbxContent>
              </v:textbox>
              <w10:wrap type="none"/>
            </v:shape>
            <v:shape style="position:absolute;left:5864;top:-126;width:236;height:169" type="#_x0000_t202" filled="false" stroked="false">
              <v:textbox inset="0,0,0,0">
                <w:txbxContent>
                  <w:p>
                    <w:pPr>
                      <w:spacing w:line="168" w:lineRule="exact" w:before="0"/>
                      <w:ind w:left="0" w:right="0" w:firstLine="0"/>
                      <w:jc w:val="left"/>
                      <w:rPr>
                        <w:sz w:val="9"/>
                      </w:rPr>
                    </w:pPr>
                    <w:r>
                      <w:rPr>
                        <w:position w:val="3"/>
                        <w:sz w:val="13"/>
                      </w:rPr>
                      <w:t>A </w:t>
                    </w:r>
                    <w:r>
                      <w:rPr>
                        <w:sz w:val="9"/>
                      </w:rPr>
                      <w:t>FF</w:t>
                    </w:r>
                  </w:p>
                </w:txbxContent>
              </v:textbox>
              <w10:wrap type="none"/>
            </v:shape>
            <v:shape style="position:absolute;left:6656;top:-126;width:527;height:169" type="#_x0000_t202" filled="false" stroked="false">
              <v:textbox inset="0,0,0,0">
                <w:txbxContent>
                  <w:p>
                    <w:pPr>
                      <w:spacing w:line="168" w:lineRule="exact" w:before="0"/>
                      <w:ind w:left="0" w:right="0" w:firstLine="0"/>
                      <w:jc w:val="left"/>
                      <w:rPr>
                        <w:sz w:val="9"/>
                      </w:rPr>
                    </w:pPr>
                    <w:r>
                      <w:rPr>
                        <w:position w:val="3"/>
                        <w:sz w:val="13"/>
                      </w:rPr>
                      <w:t>GC </w:t>
                    </w:r>
                    <w:r>
                      <w:rPr>
                        <w:sz w:val="9"/>
                      </w:rPr>
                      <w:t>TOTAL</w:t>
                    </w:r>
                  </w:p>
                </w:txbxContent>
              </v:textbox>
              <w10:wrap type="none"/>
            </v:shape>
            <w10:wrap type="none"/>
          </v:group>
        </w:pict>
      </w:r>
      <w:r>
        <w:rPr/>
        <w:pict>
          <v:group style="position:absolute;margin-left:270.911011pt;margin-top:8.286245pt;width:75.45pt;height:14.25pt;mso-position-horizontal-relative:page;mso-position-vertical-relative:paragraph;z-index:-2426944" coordorigin="5418,166" coordsize="1509,285">
            <v:line style="position:absolute" from="5422,333" to="5449,316" stroked="true" strokeweight=".42pt" strokecolor="#000000">
              <v:stroke dashstyle="solid"/>
            </v:line>
            <v:line style="position:absolute" from="5449,321" to="5487,403" stroked="true" strokeweight=".841pt" strokecolor="#000000">
              <v:stroke dashstyle="solid"/>
            </v:line>
            <v:shape style="position:absolute;left:5492;top:169;width:1431;height:233" coordorigin="5492,170" coordsize="1431,233" path="m5492,403l5540,170,6922,170e" filled="false" stroked="true" strokeweight=".42pt" strokecolor="#000000">
              <v:path arrowok="t"/>
              <v:stroke dashstyle="solid"/>
            </v:shape>
            <v:shape style="position:absolute;left:5418;top:165;width:1509;height:285" type="#_x0000_t202" filled="false" stroked="false">
              <v:textbox inset="0,0,0,0">
                <w:txbxContent>
                  <w:p>
                    <w:pPr>
                      <w:spacing w:before="38"/>
                      <w:ind w:left="136" w:right="0" w:firstLine="0"/>
                      <w:jc w:val="left"/>
                      <w:rPr>
                        <w:sz w:val="20"/>
                      </w:rPr>
                    </w:pPr>
                    <w:r>
                      <w:rPr>
                        <w:w w:val="105"/>
                        <w:sz w:val="20"/>
                      </w:rPr>
                      <w:t>20%</w:t>
                    </w:r>
                    <w:r>
                      <w:rPr>
                        <w:w w:val="105"/>
                        <w:sz w:val="20"/>
                        <w:vertAlign w:val="superscript"/>
                      </w:rPr>
                      <w:t>2</w:t>
                    </w:r>
                    <w:r>
                      <w:rPr>
                        <w:w w:val="105"/>
                        <w:sz w:val="20"/>
                        <w:vertAlign w:val="baseline"/>
                      </w:rPr>
                      <w:t> </w:t>
                    </w:r>
                    <w:r>
                      <w:rPr>
                        <w:rFonts w:ascii="Symbol"/>
                        <w:w w:val="105"/>
                        <w:sz w:val="20"/>
                        <w:vertAlign w:val="baseline"/>
                      </w:rPr>
                      <w:t>+</w:t>
                    </w:r>
                    <w:r>
                      <w:rPr>
                        <w:rFonts w:ascii="Symbol"/>
                        <w:spacing w:val="-31"/>
                        <w:w w:val="105"/>
                        <w:sz w:val="20"/>
                        <w:vertAlign w:val="baseline"/>
                      </w:rPr>
                      <w:t> </w:t>
                    </w:r>
                    <w:r>
                      <w:rPr>
                        <w:w w:val="105"/>
                        <w:sz w:val="20"/>
                        <w:vertAlign w:val="baseline"/>
                      </w:rPr>
                      <w:t>50.04%</w:t>
                    </w:r>
                    <w:r>
                      <w:rPr>
                        <w:w w:val="105"/>
                        <w:sz w:val="20"/>
                        <w:vertAlign w:val="superscript"/>
                      </w:rPr>
                      <w:t>2</w:t>
                    </w:r>
                  </w:p>
                </w:txbxContent>
              </v:textbox>
              <w10:wrap type="none"/>
            </v:shape>
            <w10:wrap type="none"/>
          </v:group>
        </w:pict>
      </w:r>
      <w:r>
        <w:rPr>
          <w:rFonts w:ascii="Symbol"/>
        </w:rPr>
        <w:t>=</w:t>
        <w:tab/>
      </w:r>
      <w:r>
        <w:rPr>
          <w:position w:val="1"/>
        </w:rPr>
        <w:t>= 53.8%</w:t>
      </w:r>
    </w:p>
    <w:p>
      <w:pPr>
        <w:spacing w:after="0"/>
        <w:sectPr>
          <w:type w:val="continuous"/>
          <w:pgSz w:w="11900" w:h="16840"/>
          <w:pgMar w:top="1060" w:bottom="280" w:left="1240" w:right="0"/>
          <w:cols w:num="4" w:equalWidth="0">
            <w:col w:w="837" w:space="40"/>
            <w:col w:w="344" w:space="1916"/>
            <w:col w:w="794" w:space="39"/>
            <w:col w:w="6690"/>
          </w:cols>
        </w:sectPr>
      </w:pPr>
    </w:p>
    <w:p>
      <w:pPr>
        <w:pStyle w:val="BodyText"/>
        <w:spacing w:line="212" w:lineRule="exact" w:before="36"/>
        <w:ind w:left="779"/>
      </w:pPr>
      <w:r>
        <w:rPr/>
        <w:pict>
          <v:shape style="position:absolute;margin-left:109.240601pt;margin-top:7.640393pt;width:7.6pt;height:7.8pt;mso-position-horizontal-relative:page;mso-position-vertical-relative:paragraph;z-index:29416" type="#_x0000_t202" filled="false" stroked="false">
            <v:textbox inset="0,0,0,0">
              <w:txbxContent>
                <w:p>
                  <w:pPr>
                    <w:spacing w:line="147" w:lineRule="exact" w:before="8"/>
                    <w:ind w:left="0" w:right="0" w:firstLine="0"/>
                    <w:jc w:val="left"/>
                    <w:rPr>
                      <w:sz w:val="12"/>
                    </w:rPr>
                  </w:pPr>
                  <w:r>
                    <w:rPr>
                      <w:rFonts w:ascii="Symbol" w:hAnsi="Symbol"/>
                      <w:spacing w:val="-1"/>
                      <w:w w:val="101"/>
                      <w:sz w:val="12"/>
                    </w:rPr>
                    <w:t>∆</w:t>
                  </w:r>
                  <w:r>
                    <w:rPr>
                      <w:w w:val="99"/>
                      <w:sz w:val="12"/>
                    </w:rPr>
                    <w:t>C</w:t>
                  </w:r>
                </w:p>
              </w:txbxContent>
            </v:textbox>
            <w10:wrap type="none"/>
          </v:shape>
        </w:pict>
      </w:r>
      <w:r>
        <w:rPr>
          <w:w w:val="102"/>
        </w:rPr>
        <w:t>U</w:t>
      </w:r>
    </w:p>
    <w:p>
      <w:pPr>
        <w:spacing w:line="180" w:lineRule="auto" w:before="0"/>
        <w:ind w:left="0" w:right="0" w:firstLine="0"/>
        <w:jc w:val="right"/>
        <w:rPr>
          <w:sz w:val="8"/>
        </w:rPr>
      </w:pPr>
      <w:r>
        <w:rPr>
          <w:w w:val="105"/>
          <w:sz w:val="8"/>
        </w:rPr>
        <w:t>FF </w:t>
      </w:r>
      <w:r>
        <w:rPr>
          <w:w w:val="105"/>
          <w:position w:val="-3"/>
          <w:sz w:val="8"/>
        </w:rPr>
        <w:t>G</w:t>
      </w:r>
    </w:p>
    <w:p>
      <w:pPr>
        <w:pStyle w:val="BodyText"/>
        <w:spacing w:before="10"/>
        <w:rPr>
          <w:sz w:val="17"/>
        </w:rPr>
      </w:pPr>
    </w:p>
    <w:p>
      <w:pPr>
        <w:spacing w:before="0"/>
        <w:ind w:left="779" w:right="0" w:firstLine="0"/>
        <w:jc w:val="left"/>
        <w:rPr>
          <w:sz w:val="12"/>
        </w:rPr>
      </w:pPr>
      <w:r>
        <w:rPr>
          <w:w w:val="105"/>
          <w:position w:val="7"/>
          <w:sz w:val="17"/>
        </w:rPr>
        <w:t>U</w:t>
      </w:r>
      <w:r>
        <w:rPr>
          <w:w w:val="105"/>
          <w:position w:val="3"/>
          <w:sz w:val="12"/>
        </w:rPr>
        <w:t>A</w:t>
      </w:r>
      <w:r>
        <w:rPr>
          <w:w w:val="105"/>
          <w:sz w:val="12"/>
        </w:rPr>
        <w:t>FF</w:t>
      </w:r>
    </w:p>
    <w:p>
      <w:pPr>
        <w:pStyle w:val="BodyText"/>
        <w:tabs>
          <w:tab w:pos="630" w:val="left" w:leader="none"/>
        </w:tabs>
        <w:spacing w:before="7"/>
        <w:ind w:left="229"/>
      </w:pPr>
      <w:r>
        <w:rPr/>
        <w:br w:type="column"/>
      </w:r>
      <w:r>
        <w:rPr/>
        <w:t>=</w:t>
        <w:tab/>
        <w:t>percent uncertainty of the change in carbon</w:t>
      </w:r>
      <w:r>
        <w:rPr>
          <w:spacing w:val="-9"/>
        </w:rPr>
        <w:t> </w:t>
      </w:r>
      <w:r>
        <w:rPr/>
        <w:t>stock</w:t>
      </w:r>
    </w:p>
    <w:p>
      <w:pPr>
        <w:pStyle w:val="BodyText"/>
        <w:spacing w:before="1"/>
        <w:rPr>
          <w:sz w:val="24"/>
        </w:rPr>
      </w:pPr>
    </w:p>
    <w:p>
      <w:pPr>
        <w:pStyle w:val="BodyText"/>
        <w:tabs>
          <w:tab w:pos="630" w:val="left" w:leader="none"/>
        </w:tabs>
        <w:ind w:left="229"/>
      </w:pPr>
      <w:r>
        <w:rPr/>
        <w:t>=</w:t>
        <w:tab/>
        <w:t>percent uncertainty of the forest land area</w:t>
      </w:r>
      <w:r>
        <w:rPr>
          <w:spacing w:val="-2"/>
        </w:rPr>
        <w:t> </w:t>
      </w:r>
      <w:r>
        <w:rPr/>
        <w:t>estimates</w:t>
      </w:r>
    </w:p>
    <w:p>
      <w:pPr>
        <w:spacing w:after="0"/>
        <w:sectPr>
          <w:type w:val="continuous"/>
          <w:pgSz w:w="11900" w:h="16840"/>
          <w:pgMar w:top="1060" w:bottom="280" w:left="1240" w:right="0"/>
          <w:cols w:num="2" w:equalWidth="0">
            <w:col w:w="1309" w:space="40"/>
            <w:col w:w="9311"/>
          </w:cols>
        </w:sectPr>
      </w:pPr>
    </w:p>
    <w:p>
      <w:pPr>
        <w:pStyle w:val="BodyText"/>
        <w:spacing w:before="8"/>
        <w:rPr>
          <w:sz w:val="14"/>
        </w:rPr>
      </w:pPr>
    </w:p>
    <w:p>
      <w:pPr>
        <w:spacing w:line="251" w:lineRule="exact" w:before="91"/>
        <w:ind w:left="179" w:right="0" w:firstLine="0"/>
        <w:jc w:val="left"/>
        <w:rPr>
          <w:rFonts w:ascii="TimesNewRomanPS-BoldItalicMT"/>
          <w:b/>
          <w:i/>
          <w:sz w:val="22"/>
        </w:rPr>
      </w:pPr>
      <w:r>
        <w:rPr>
          <w:rFonts w:ascii="TimesNewRomanPS-BoldItalicMT"/>
          <w:b/>
          <w:i/>
          <w:sz w:val="22"/>
        </w:rPr>
        <w:t>Forest land converted to Grassland</w:t>
      </w:r>
    </w:p>
    <w:p>
      <w:pPr>
        <w:pStyle w:val="BodyText"/>
        <w:ind w:left="179" w:right="1404"/>
        <w:jc w:val="both"/>
      </w:pPr>
      <w:r>
        <w:rPr/>
        <w:pict>
          <v:shape style="position:absolute;margin-left:514.000488pt;margin-top:51.081539pt;width:4.350pt;height:7.2pt;mso-position-horizontal-relative:page;mso-position-vertical-relative:paragraph;z-index:-2426728" type="#_x0000_t202" filled="false" stroked="false">
            <v:textbox inset="0,0,0,0">
              <w:txbxContent>
                <w:p>
                  <w:pPr>
                    <w:spacing w:line="144" w:lineRule="exact" w:before="0"/>
                    <w:ind w:left="0" w:right="0" w:firstLine="0"/>
                    <w:jc w:val="left"/>
                    <w:rPr>
                      <w:sz w:val="13"/>
                    </w:rPr>
                  </w:pPr>
                  <w:r>
                    <w:rPr>
                      <w:w w:val="99"/>
                      <w:sz w:val="13"/>
                    </w:rPr>
                    <w:t>C</w:t>
                  </w:r>
                </w:p>
              </w:txbxContent>
            </v:textbox>
            <w10:wrap type="none"/>
          </v:shape>
        </w:pict>
      </w:r>
      <w:r>
        <w:rPr/>
        <w:t>It is also necessary to estimate the uncertainty associated with the carbon stock change resulting from land-use change. Depending on the source, type and density of the data, statistical error estimates might not be possible, and expert judgement will be used. In this example, since the carbon stock immediately after the conversion C</w:t>
      </w:r>
      <w:r>
        <w:rPr>
          <w:vertAlign w:val="subscript"/>
        </w:rPr>
        <w:t>After</w:t>
      </w:r>
      <w:r>
        <w:rPr>
          <w:vertAlign w:val="baseline"/>
        </w:rPr>
        <w:t> is assumed to be zero with certainty, the uncertainty of the carbon stock change, as calculated with Equation</w:t>
      </w:r>
      <w:r>
        <w:rPr>
          <w:spacing w:val="8"/>
          <w:vertAlign w:val="baseline"/>
        </w:rPr>
        <w:t> </w:t>
      </w:r>
      <w:r>
        <w:rPr>
          <w:vertAlign w:val="baseline"/>
        </w:rPr>
        <w:t>3.4.13,</w:t>
      </w:r>
      <w:r>
        <w:rPr>
          <w:spacing w:val="9"/>
          <w:vertAlign w:val="baseline"/>
        </w:rPr>
        <w:t> </w:t>
      </w:r>
      <w:r>
        <w:rPr>
          <w:vertAlign w:val="baseline"/>
        </w:rPr>
        <w:t>has</w:t>
      </w:r>
      <w:r>
        <w:rPr>
          <w:spacing w:val="9"/>
          <w:vertAlign w:val="baseline"/>
        </w:rPr>
        <w:t> </w:t>
      </w:r>
      <w:r>
        <w:rPr>
          <w:vertAlign w:val="baseline"/>
        </w:rPr>
        <w:t>three</w:t>
      </w:r>
      <w:r>
        <w:rPr>
          <w:spacing w:val="10"/>
          <w:vertAlign w:val="baseline"/>
        </w:rPr>
        <w:t> </w:t>
      </w:r>
      <w:r>
        <w:rPr>
          <w:vertAlign w:val="baseline"/>
        </w:rPr>
        <w:t>components:</w:t>
      </w:r>
      <w:r>
        <w:rPr>
          <w:spacing w:val="11"/>
          <w:vertAlign w:val="baseline"/>
        </w:rPr>
        <w:t> </w:t>
      </w:r>
      <w:r>
        <w:rPr>
          <w:vertAlign w:val="baseline"/>
        </w:rPr>
        <w:t>the</w:t>
      </w:r>
      <w:r>
        <w:rPr>
          <w:spacing w:val="10"/>
          <w:vertAlign w:val="baseline"/>
        </w:rPr>
        <w:t> </w:t>
      </w:r>
      <w:r>
        <w:rPr>
          <w:vertAlign w:val="baseline"/>
        </w:rPr>
        <w:t>uncertainty</w:t>
      </w:r>
      <w:r>
        <w:rPr>
          <w:spacing w:val="9"/>
          <w:vertAlign w:val="baseline"/>
        </w:rPr>
        <w:t> </w:t>
      </w:r>
      <w:r>
        <w:rPr>
          <w:vertAlign w:val="baseline"/>
        </w:rPr>
        <w:t>in</w:t>
      </w:r>
      <w:r>
        <w:rPr>
          <w:spacing w:val="11"/>
          <w:vertAlign w:val="baseline"/>
        </w:rPr>
        <w:t> </w:t>
      </w:r>
      <w:r>
        <w:rPr>
          <w:vertAlign w:val="baseline"/>
        </w:rPr>
        <w:t>carbon</w:t>
      </w:r>
      <w:r>
        <w:rPr>
          <w:spacing w:val="9"/>
          <w:vertAlign w:val="baseline"/>
        </w:rPr>
        <w:t> </w:t>
      </w:r>
      <w:r>
        <w:rPr>
          <w:vertAlign w:val="baseline"/>
        </w:rPr>
        <w:t>stock</w:t>
      </w:r>
      <w:r>
        <w:rPr>
          <w:spacing w:val="8"/>
          <w:vertAlign w:val="baseline"/>
        </w:rPr>
        <w:t> </w:t>
      </w:r>
      <w:r>
        <w:rPr>
          <w:vertAlign w:val="baseline"/>
        </w:rPr>
        <w:t>immediately</w:t>
      </w:r>
      <w:r>
        <w:rPr>
          <w:spacing w:val="7"/>
          <w:vertAlign w:val="baseline"/>
        </w:rPr>
        <w:t> </w:t>
      </w:r>
      <w:r>
        <w:rPr>
          <w:vertAlign w:val="baseline"/>
        </w:rPr>
        <w:t>before</w:t>
      </w:r>
      <w:r>
        <w:rPr>
          <w:spacing w:val="10"/>
          <w:vertAlign w:val="baseline"/>
        </w:rPr>
        <w:t> </w:t>
      </w:r>
      <w:r>
        <w:rPr>
          <w:vertAlign w:val="baseline"/>
        </w:rPr>
        <w:t>the</w:t>
      </w:r>
      <w:r>
        <w:rPr>
          <w:spacing w:val="11"/>
          <w:vertAlign w:val="baseline"/>
        </w:rPr>
        <w:t> </w:t>
      </w:r>
      <w:r>
        <w:rPr>
          <w:vertAlign w:val="baseline"/>
        </w:rPr>
        <w:t>conversion</w:t>
      </w:r>
      <w:r>
        <w:rPr>
          <w:spacing w:val="8"/>
          <w:vertAlign w:val="baseline"/>
        </w:rPr>
        <w:t> </w:t>
      </w:r>
      <w:r>
        <w:rPr>
          <w:vertAlign w:val="baseline"/>
        </w:rPr>
        <w:t>U</w:t>
      </w:r>
      <w:r>
        <w:rPr>
          <w:spacing w:val="4"/>
          <w:vertAlign w:val="baseline"/>
        </w:rPr>
        <w:t> </w:t>
      </w:r>
      <w:r>
        <w:rPr>
          <w:vertAlign w:val="baseline"/>
        </w:rPr>
        <w:t>,</w:t>
      </w:r>
    </w:p>
    <w:p>
      <w:pPr>
        <w:spacing w:line="66" w:lineRule="exact" w:before="0"/>
        <w:ind w:left="9126" w:right="0" w:firstLine="0"/>
        <w:jc w:val="left"/>
        <w:rPr>
          <w:sz w:val="13"/>
        </w:rPr>
      </w:pPr>
      <w:r>
        <w:rPr>
          <w:w w:val="99"/>
          <w:sz w:val="13"/>
        </w:rPr>
        <w:t>F</w:t>
      </w:r>
    </w:p>
    <w:p>
      <w:pPr>
        <w:pStyle w:val="BodyText"/>
        <w:spacing w:line="232" w:lineRule="auto"/>
        <w:ind w:left="179" w:right="1404"/>
        <w:jc w:val="both"/>
      </w:pPr>
      <w:r>
        <w:rPr/>
        <w:t>(F = Forest), the uncertainty in carbon stock of grassland vegetation after the conversions U</w:t>
      </w:r>
      <w:r>
        <w:rPr>
          <w:vertAlign w:val="subscript"/>
        </w:rPr>
        <w:t>C</w:t>
      </w:r>
      <w:r>
        <w:rPr>
          <w:position w:val="-8"/>
          <w:sz w:val="13"/>
          <w:vertAlign w:val="baseline"/>
        </w:rPr>
        <w:t>G</w:t>
      </w:r>
      <w:r>
        <w:rPr>
          <w:vertAlign w:val="baseline"/>
        </w:rPr>
        <w:t>, (G = Grassland) and the uncertainty associated with the estimate of the area that has been converted U</w:t>
      </w:r>
      <w:r>
        <w:rPr>
          <w:vertAlign w:val="subscript"/>
        </w:rPr>
        <w:t>A</w:t>
      </w:r>
      <w:r>
        <w:rPr>
          <w:position w:val="-8"/>
          <w:sz w:val="13"/>
          <w:vertAlign w:val="baseline"/>
        </w:rPr>
        <w:t>FG</w:t>
      </w:r>
      <w:r>
        <w:rPr>
          <w:vertAlign w:val="baseline"/>
        </w:rPr>
        <w:t>. Using Equation 5.2.2 and the example values for the carbon stocks and uncertainties as given in Step 1 above, the percent uncertainty of the carbon stock change per hectare U</w:t>
      </w:r>
      <w:r>
        <w:rPr>
          <w:vertAlign w:val="subscript"/>
        </w:rPr>
        <w:t>Ф</w:t>
      </w:r>
      <w:r>
        <w:rPr>
          <w:vertAlign w:val="baseline"/>
        </w:rPr>
        <w:t> is estimated as:</w:t>
      </w:r>
    </w:p>
    <w:p>
      <w:pPr>
        <w:pStyle w:val="BodyText"/>
        <w:spacing w:before="6"/>
        <w:rPr>
          <w:sz w:val="23"/>
        </w:rPr>
      </w:pPr>
    </w:p>
    <w:p>
      <w:pPr>
        <w:spacing w:before="114"/>
        <w:ind w:left="3152" w:right="0" w:firstLine="0"/>
        <w:jc w:val="left"/>
        <w:rPr>
          <w:rFonts w:ascii="Symbol" w:hAnsi="Symbol"/>
          <w:sz w:val="20"/>
        </w:rPr>
      </w:pPr>
      <w:r>
        <w:rPr/>
        <w:pict>
          <v:group style="position:absolute;margin-left:245.681pt;margin-top:-5.449757pt;width:129.6pt;height:32.0500pt;mso-position-horizontal-relative:page;mso-position-vertical-relative:paragraph;z-index:29272" coordorigin="4914,-109" coordsize="2592,641">
            <v:line style="position:absolute" from="4938,107" to="4962,93" stroked="true" strokeweight=".492pt" strokecolor="#000000">
              <v:stroke dashstyle="solid"/>
            </v:line>
            <v:line style="position:absolute" from="4962,98" to="4995,206" stroked="true" strokeweight=".983pt" strokecolor="#000000">
              <v:stroke dashstyle="solid"/>
            </v:line>
            <v:shape style="position:absolute;left:4913;top:-105;width:2592;height:636" coordorigin="4914,-104" coordsize="2592,636" path="m5000,206l5050,-104,7486,-104m5811,287l5811,532m6601,287l6601,532m4914,251l7506,251e" filled="false" stroked="true" strokeweight=".492pt" strokecolor="#000000">
              <v:path arrowok="t"/>
              <v:stroke dashstyle="solid"/>
            </v:shape>
            <v:shape style="position:absolute;left:4913;top:-109;width:2592;height:641" type="#_x0000_t202" filled="false" stroked="false">
              <v:textbox inset="0,0,0,0">
                <w:txbxContent>
                  <w:p>
                    <w:pPr>
                      <w:spacing w:before="22"/>
                      <w:ind w:left="158" w:right="72" w:firstLine="0"/>
                      <w:jc w:val="center"/>
                      <w:rPr>
                        <w:sz w:val="16"/>
                      </w:rPr>
                    </w:pPr>
                    <w:r>
                      <w:rPr>
                        <w:sz w:val="20"/>
                      </w:rPr>
                      <w:t>(U</w:t>
                    </w:r>
                    <w:r>
                      <w:rPr>
                        <w:position w:val="-1"/>
                        <w:sz w:val="16"/>
                      </w:rPr>
                      <w:t>C</w:t>
                    </w:r>
                    <w:r>
                      <w:rPr>
                        <w:position w:val="-3"/>
                        <w:sz w:val="12"/>
                      </w:rPr>
                      <w:t>F </w:t>
                    </w:r>
                    <w:r>
                      <w:rPr>
                        <w:rFonts w:ascii="Symbol" w:hAnsi="Symbol"/>
                        <w:sz w:val="20"/>
                      </w:rPr>
                      <w:t>• </w:t>
                    </w:r>
                    <w:r>
                      <w:rPr>
                        <w:sz w:val="20"/>
                      </w:rPr>
                      <w:t>C</w:t>
                    </w:r>
                    <w:r>
                      <w:rPr>
                        <w:position w:val="-1"/>
                        <w:sz w:val="16"/>
                      </w:rPr>
                      <w:t>F </w:t>
                    </w:r>
                    <w:r>
                      <w:rPr>
                        <w:sz w:val="20"/>
                      </w:rPr>
                      <w:t>) </w:t>
                    </w:r>
                    <w:r>
                      <w:rPr>
                        <w:position w:val="9"/>
                        <w:sz w:val="16"/>
                      </w:rPr>
                      <w:t>2 </w:t>
                    </w:r>
                    <w:r>
                      <w:rPr>
                        <w:rFonts w:ascii="Symbol" w:hAnsi="Symbol"/>
                        <w:sz w:val="20"/>
                      </w:rPr>
                      <w:t>+ </w:t>
                    </w:r>
                    <w:r>
                      <w:rPr>
                        <w:sz w:val="20"/>
                      </w:rPr>
                      <w:t>(U</w:t>
                    </w:r>
                    <w:r>
                      <w:rPr>
                        <w:position w:val="-1"/>
                        <w:sz w:val="16"/>
                      </w:rPr>
                      <w:t>C</w:t>
                    </w:r>
                    <w:r>
                      <w:rPr>
                        <w:position w:val="-3"/>
                        <w:sz w:val="12"/>
                      </w:rPr>
                      <w:t>G </w:t>
                    </w:r>
                    <w:r>
                      <w:rPr>
                        <w:rFonts w:ascii="Symbol" w:hAnsi="Symbol"/>
                        <w:sz w:val="20"/>
                      </w:rPr>
                      <w:t>• </w:t>
                    </w:r>
                    <w:r>
                      <w:rPr>
                        <w:sz w:val="20"/>
                      </w:rPr>
                      <w:t>C</w:t>
                    </w:r>
                    <w:r>
                      <w:rPr>
                        <w:position w:val="-1"/>
                        <w:sz w:val="16"/>
                      </w:rPr>
                      <w:t>G </w:t>
                    </w:r>
                    <w:r>
                      <w:rPr>
                        <w:sz w:val="20"/>
                      </w:rPr>
                      <w:t>) </w:t>
                    </w:r>
                    <w:r>
                      <w:rPr>
                        <w:position w:val="9"/>
                        <w:sz w:val="16"/>
                      </w:rPr>
                      <w:t>2</w:t>
                    </w:r>
                  </w:p>
                  <w:p>
                    <w:pPr>
                      <w:spacing w:before="54"/>
                      <w:ind w:left="63" w:right="94" w:firstLine="0"/>
                      <w:jc w:val="center"/>
                      <w:rPr>
                        <w:sz w:val="16"/>
                      </w:rPr>
                    </w:pPr>
                    <w:r>
                      <w:rPr>
                        <w:position w:val="2"/>
                        <w:sz w:val="20"/>
                      </w:rPr>
                      <w:t>C</w:t>
                    </w:r>
                    <w:r>
                      <w:rPr>
                        <w:sz w:val="16"/>
                      </w:rPr>
                      <w:t>F  </w:t>
                    </w:r>
                    <w:r>
                      <w:rPr>
                        <w:rFonts w:ascii="Symbol"/>
                        <w:position w:val="2"/>
                        <w:sz w:val="20"/>
                      </w:rPr>
                      <w:t>+ </w:t>
                    </w:r>
                    <w:r>
                      <w:rPr>
                        <w:position w:val="2"/>
                        <w:sz w:val="20"/>
                      </w:rPr>
                      <w:t>C</w:t>
                    </w:r>
                    <w:r>
                      <w:rPr>
                        <w:sz w:val="16"/>
                      </w:rPr>
                      <w:t>G</w:t>
                    </w:r>
                  </w:p>
                </w:txbxContent>
              </v:textbox>
              <w10:wrap type="none"/>
            </v:shape>
            <w10:wrap type="none"/>
          </v:group>
        </w:pict>
      </w:r>
      <w:r>
        <w:rPr>
          <w:position w:val="2"/>
          <w:sz w:val="20"/>
        </w:rPr>
        <w:t>U</w:t>
      </w:r>
      <w:r>
        <w:rPr>
          <w:rFonts w:ascii="Symbol" w:hAnsi="Symbol"/>
          <w:sz w:val="16"/>
        </w:rPr>
        <w:t>Φ </w:t>
      </w:r>
      <w:r>
        <w:rPr>
          <w:rFonts w:ascii="Symbol" w:hAnsi="Symbol"/>
          <w:position w:val="2"/>
          <w:sz w:val="20"/>
        </w:rPr>
        <w:t>=</w:t>
      </w:r>
    </w:p>
    <w:p>
      <w:pPr>
        <w:pStyle w:val="BodyText"/>
        <w:rPr>
          <w:rFonts w:ascii="Symbol"/>
        </w:rPr>
      </w:pPr>
    </w:p>
    <w:p>
      <w:pPr>
        <w:pStyle w:val="BodyText"/>
        <w:spacing w:before="4"/>
        <w:rPr>
          <w:rFonts w:ascii="Symbol"/>
          <w:sz w:val="19"/>
        </w:rPr>
      </w:pPr>
    </w:p>
    <w:p>
      <w:pPr>
        <w:pStyle w:val="BodyText"/>
        <w:tabs>
          <w:tab w:pos="6092" w:val="left" w:leader="none"/>
        </w:tabs>
        <w:spacing w:before="114"/>
        <w:ind w:left="3467"/>
      </w:pPr>
      <w:r>
        <w:rPr/>
        <w:pict>
          <v:group style="position:absolute;margin-left:243.401001pt;margin-top:-3.29127pt;width:120.5pt;height:29.65pt;mso-position-horizontal-relative:page;mso-position-vertical-relative:paragraph;z-index:-2426848" coordorigin="4868,-66" coordsize="2410,593">
            <v:line style="position:absolute" from="4890,121" to="4916,106" stroked="true" strokeweight=".413pt" strokecolor="#000000">
              <v:stroke dashstyle="solid"/>
            </v:line>
            <v:line style="position:absolute" from="4916,111" to="4952,205" stroked="true" strokeweight=".826pt" strokecolor="#000000">
              <v:stroke dashstyle="solid"/>
            </v:line>
            <v:shape style="position:absolute;left:4868;top:-62;width:2410;height:588" coordorigin="4868,-62" coordsize="2410,588" path="m4957,205l5005,-62,7261,-62m5751,289l5751,526m6387,289l6387,526m4868,250l7278,250e" filled="false" stroked="true" strokeweight=".413pt" strokecolor="#000000">
              <v:path arrowok="t"/>
              <v:stroke dashstyle="solid"/>
            </v:shape>
            <v:shape style="position:absolute;left:4868;top:-66;width:2410;height:593" type="#_x0000_t202" filled="false" stroked="false">
              <v:textbox inset="0,0,0,0">
                <w:txbxContent>
                  <w:p>
                    <w:pPr>
                      <w:spacing w:before="27"/>
                      <w:ind w:left="86" w:right="0" w:firstLine="0"/>
                      <w:jc w:val="center"/>
                      <w:rPr>
                        <w:sz w:val="11"/>
                      </w:rPr>
                    </w:pPr>
                    <w:r>
                      <w:rPr>
                        <w:sz w:val="20"/>
                      </w:rPr>
                      <w:t>(24% </w:t>
                    </w:r>
                    <w:r>
                      <w:rPr>
                        <w:rFonts w:ascii="Symbol" w:hAnsi="Symbol"/>
                        <w:sz w:val="20"/>
                      </w:rPr>
                      <w:t>• </w:t>
                    </w:r>
                    <w:r>
                      <w:rPr>
                        <w:sz w:val="20"/>
                      </w:rPr>
                      <w:t>(</w:t>
                    </w:r>
                    <w:r>
                      <w:rPr>
                        <w:rFonts w:ascii="Symbol" w:hAnsi="Symbol"/>
                        <w:sz w:val="20"/>
                      </w:rPr>
                      <w:t>−</w:t>
                    </w:r>
                    <w:r>
                      <w:rPr>
                        <w:sz w:val="20"/>
                      </w:rPr>
                      <w:t>80)) </w:t>
                    </w:r>
                    <w:r>
                      <w:rPr>
                        <w:position w:val="9"/>
                        <w:sz w:val="11"/>
                      </w:rPr>
                      <w:t>2 </w:t>
                    </w:r>
                    <w:r>
                      <w:rPr>
                        <w:rFonts w:ascii="Symbol" w:hAnsi="Symbol"/>
                        <w:sz w:val="20"/>
                      </w:rPr>
                      <w:t>+ </w:t>
                    </w:r>
                    <w:r>
                      <w:rPr>
                        <w:sz w:val="20"/>
                      </w:rPr>
                      <w:t>(60% </w:t>
                    </w:r>
                    <w:r>
                      <w:rPr>
                        <w:rFonts w:ascii="Symbol" w:hAnsi="Symbol"/>
                        <w:sz w:val="20"/>
                      </w:rPr>
                      <w:t>• </w:t>
                    </w:r>
                    <w:r>
                      <w:rPr>
                        <w:sz w:val="20"/>
                      </w:rPr>
                      <w:t>3) </w:t>
                    </w:r>
                    <w:r>
                      <w:rPr>
                        <w:position w:val="9"/>
                        <w:sz w:val="11"/>
                      </w:rPr>
                      <w:t>2</w:t>
                    </w:r>
                  </w:p>
                  <w:p>
                    <w:pPr>
                      <w:spacing w:before="56"/>
                      <w:ind w:left="12" w:right="0" w:firstLine="0"/>
                      <w:jc w:val="center"/>
                      <w:rPr>
                        <w:sz w:val="20"/>
                      </w:rPr>
                    </w:pPr>
                    <w:r>
                      <w:rPr>
                        <w:rFonts w:ascii="Symbol" w:hAnsi="Symbol"/>
                        <w:sz w:val="20"/>
                      </w:rPr>
                      <w:t>− </w:t>
                    </w:r>
                    <w:r>
                      <w:rPr>
                        <w:sz w:val="20"/>
                      </w:rPr>
                      <w:t>80 </w:t>
                    </w:r>
                    <w:r>
                      <w:rPr>
                        <w:rFonts w:ascii="Symbol" w:hAnsi="Symbol"/>
                        <w:sz w:val="20"/>
                      </w:rPr>
                      <w:t>+ </w:t>
                    </w:r>
                    <w:r>
                      <w:rPr>
                        <w:sz w:val="20"/>
                      </w:rPr>
                      <w:t>3</w:t>
                    </w:r>
                  </w:p>
                </w:txbxContent>
              </v:textbox>
              <w10:wrap type="none"/>
            </v:shape>
            <w10:wrap type="none"/>
          </v:group>
        </w:pict>
      </w:r>
      <w:r>
        <w:rPr>
          <w:rFonts w:ascii="Symbol"/>
        </w:rPr>
        <w:t>=</w:t>
        <w:tab/>
        <w:t>= </w:t>
      </w:r>
      <w:r>
        <w:rPr/>
        <w:t>25%</w:t>
      </w:r>
    </w:p>
    <w:p>
      <w:pPr>
        <w:pStyle w:val="BodyText"/>
        <w:spacing w:before="10"/>
        <w:rPr>
          <w:sz w:val="19"/>
        </w:rPr>
      </w:pPr>
    </w:p>
    <w:p>
      <w:pPr>
        <w:pStyle w:val="BodyText"/>
        <w:spacing w:before="92"/>
        <w:ind w:left="179" w:right="1405"/>
        <w:jc w:val="both"/>
      </w:pPr>
      <w:r>
        <w:rPr/>
        <w:t>The total uncertainty for biomass carbon stock change for this simplified example of land-use change is then calculated using Equation 5.2.1, combining the uncertainty in carbon stock change per hectare with the uncertainty in the estimate of the converted area, which – in our example – is assumed to be 30%. Hence:</w:t>
      </w:r>
    </w:p>
    <w:p>
      <w:pPr>
        <w:pStyle w:val="BodyText"/>
        <w:spacing w:before="7"/>
        <w:rPr>
          <w:sz w:val="12"/>
        </w:rPr>
      </w:pPr>
    </w:p>
    <w:p>
      <w:pPr>
        <w:spacing w:after="0"/>
        <w:rPr>
          <w:sz w:val="12"/>
        </w:rPr>
        <w:sectPr>
          <w:type w:val="continuous"/>
          <w:pgSz w:w="11900" w:h="16840"/>
          <w:pgMar w:top="1060" w:bottom="280" w:left="1240" w:right="0"/>
        </w:sectPr>
      </w:pPr>
    </w:p>
    <w:p>
      <w:pPr>
        <w:spacing w:before="111"/>
        <w:ind w:left="0" w:right="0" w:firstLine="0"/>
        <w:jc w:val="right"/>
        <w:rPr>
          <w:rFonts w:ascii="Symbol" w:hAnsi="Symbol"/>
          <w:sz w:val="20"/>
        </w:rPr>
      </w:pPr>
      <w:r>
        <w:rPr>
          <w:position w:val="4"/>
          <w:sz w:val="20"/>
        </w:rPr>
        <w:t>U</w:t>
      </w:r>
      <w:r>
        <w:rPr>
          <w:rFonts w:ascii="Symbol" w:hAnsi="Symbol"/>
          <w:position w:val="2"/>
          <w:sz w:val="16"/>
        </w:rPr>
        <w:t>∆</w:t>
      </w:r>
      <w:r>
        <w:rPr>
          <w:position w:val="2"/>
          <w:sz w:val="16"/>
        </w:rPr>
        <w:t>C</w:t>
      </w:r>
      <w:r>
        <w:rPr>
          <w:sz w:val="12"/>
        </w:rPr>
        <w:t>FG </w:t>
      </w:r>
      <w:r>
        <w:rPr>
          <w:rFonts w:ascii="Symbol" w:hAnsi="Symbol"/>
          <w:position w:val="4"/>
          <w:sz w:val="20"/>
        </w:rPr>
        <w:t>=</w:t>
      </w:r>
    </w:p>
    <w:p>
      <w:pPr>
        <w:pStyle w:val="BodyText"/>
        <w:spacing w:before="4"/>
        <w:rPr>
          <w:rFonts w:ascii="Symbol"/>
          <w:sz w:val="3"/>
        </w:rPr>
      </w:pPr>
      <w:r>
        <w:rPr/>
        <w:br w:type="column"/>
      </w:r>
      <w:r>
        <w:rPr>
          <w:rFonts w:ascii="Symbol"/>
          <w:sz w:val="3"/>
        </w:rPr>
      </w:r>
    </w:p>
    <w:p>
      <w:pPr>
        <w:pStyle w:val="BodyText"/>
        <w:ind w:left="8"/>
        <w:rPr>
          <w:rFonts w:ascii="Symbol"/>
        </w:rPr>
      </w:pPr>
      <w:r>
        <w:rPr>
          <w:rFonts w:ascii="Symbol"/>
        </w:rPr>
        <w:pict>
          <v:group style="width:65.8pt;height:16.55pt;mso-position-horizontal-relative:char;mso-position-vertical-relative:line" coordorigin="0,0" coordsize="1316,331">
            <v:line style="position:absolute" from="5,214" to="29,199" stroked="true" strokeweight=".488pt" strokecolor="#000000">
              <v:stroke dashstyle="solid"/>
            </v:line>
            <v:line style="position:absolute" from="29,204" to="62,312" stroked="true" strokeweight=".975pt" strokecolor="#000000">
              <v:stroke dashstyle="solid"/>
            </v:line>
            <v:shape style="position:absolute;left:67;top:4;width:1244;height:308" coordorigin="67,5" coordsize="1244,308" path="m67,312l115,5,1310,5e" filled="false" stroked="true" strokeweight=".488pt" strokecolor="#000000">
              <v:path arrowok="t"/>
              <v:stroke dashstyle="solid"/>
            </v:shape>
            <v:shape style="position:absolute;left:0;top:0;width:1316;height:331" type="#_x0000_t202" filled="false" stroked="false">
              <v:textbox inset="0,0,0,0">
                <w:txbxContent>
                  <w:p>
                    <w:pPr>
                      <w:spacing w:before="20"/>
                      <w:ind w:left="129" w:right="0" w:firstLine="0"/>
                      <w:jc w:val="left"/>
                      <w:rPr>
                        <w:sz w:val="16"/>
                      </w:rPr>
                    </w:pPr>
                    <w:r>
                      <w:rPr>
                        <w:position w:val="4"/>
                        <w:sz w:val="20"/>
                      </w:rPr>
                      <w:t>U</w:t>
                    </w:r>
                    <w:r>
                      <w:rPr>
                        <w:position w:val="2"/>
                        <w:sz w:val="16"/>
                      </w:rPr>
                      <w:t>A</w:t>
                    </w:r>
                    <w:r>
                      <w:rPr>
                        <w:sz w:val="12"/>
                      </w:rPr>
                      <w:t>FG </w:t>
                    </w:r>
                    <w:r>
                      <w:rPr>
                        <w:position w:val="13"/>
                        <w:sz w:val="16"/>
                      </w:rPr>
                      <w:t>2 </w:t>
                    </w:r>
                    <w:r>
                      <w:rPr>
                        <w:rFonts w:ascii="Symbol" w:hAnsi="Symbol"/>
                        <w:position w:val="4"/>
                        <w:sz w:val="20"/>
                      </w:rPr>
                      <w:t>+ </w:t>
                    </w:r>
                    <w:r>
                      <w:rPr>
                        <w:position w:val="4"/>
                        <w:sz w:val="20"/>
                      </w:rPr>
                      <w:t>U</w:t>
                    </w:r>
                    <w:r>
                      <w:rPr>
                        <w:rFonts w:ascii="Symbol" w:hAnsi="Symbol"/>
                        <w:position w:val="2"/>
                        <w:sz w:val="16"/>
                      </w:rPr>
                      <w:t>Φ </w:t>
                    </w:r>
                    <w:r>
                      <w:rPr>
                        <w:position w:val="13"/>
                        <w:sz w:val="16"/>
                      </w:rPr>
                      <w:t>2</w:t>
                    </w:r>
                  </w:p>
                </w:txbxContent>
              </v:textbox>
              <w10:wrap type="none"/>
            </v:shape>
          </v:group>
        </w:pict>
      </w:r>
      <w:r>
        <w:rPr>
          <w:rFonts w:ascii="Symbol"/>
        </w:rPr>
      </w:r>
    </w:p>
    <w:p>
      <w:pPr>
        <w:pStyle w:val="BodyText"/>
        <w:spacing w:before="11"/>
        <w:rPr>
          <w:rFonts w:ascii="Symbol"/>
          <w:sz w:val="18"/>
        </w:rPr>
      </w:pPr>
    </w:p>
    <w:p>
      <w:pPr>
        <w:pStyle w:val="BodyText"/>
        <w:ind w:left="1525"/>
      </w:pPr>
      <w:r>
        <w:rPr/>
        <w:pict>
          <v:group style="position:absolute;margin-left:260.92099pt;margin-top:-1.194256pt;width:82.6pt;height:15.7pt;mso-position-horizontal-relative:page;mso-position-vertical-relative:paragraph;z-index:29368" coordorigin="5218,-24" coordsize="1652,314">
            <v:rect style="position:absolute;left:5218;top:285;width:1652;height:5" filled="true" fillcolor="#e3e3e3" stroked="false">
              <v:fill type="solid"/>
            </v:rect>
            <v:line style="position:absolute" from="5454,144" to="5480,129" stroked="true" strokeweight=".421pt" strokecolor="#000000">
              <v:stroke dashstyle="solid"/>
            </v:line>
            <v:line style="position:absolute" from="5480,134" to="5516,213" stroked="true" strokeweight=".841pt" strokecolor="#000000">
              <v:stroke dashstyle="solid"/>
            </v:line>
            <v:shape style="position:absolute;left:5520;top:-20;width:1148;height:233" coordorigin="5521,-20" coordsize="1148,233" path="m5521,213l5569,-20,6668,-20e" filled="false" stroked="true" strokeweight=".421pt" strokecolor="#000000">
              <v:path arrowok="t"/>
              <v:stroke dashstyle="solid"/>
            </v:shape>
            <v:shape style="position:absolute;left:5218;top:-24;width:1652;height:314" type="#_x0000_t202" filled="false" stroked="false">
              <v:textbox inset="0,0,0,0">
                <w:txbxContent>
                  <w:p>
                    <w:pPr>
                      <w:spacing w:before="38"/>
                      <w:ind w:left="62" w:right="0" w:firstLine="0"/>
                      <w:jc w:val="left"/>
                      <w:rPr>
                        <w:rFonts w:ascii="Symbol"/>
                        <w:sz w:val="20"/>
                      </w:rPr>
                    </w:pPr>
                    <w:r>
                      <w:rPr>
                        <w:rFonts w:ascii="Symbol"/>
                        <w:w w:val="105"/>
                        <w:sz w:val="20"/>
                      </w:rPr>
                      <w:t>= </w:t>
                    </w:r>
                    <w:r>
                      <w:rPr>
                        <w:w w:val="105"/>
                        <w:sz w:val="20"/>
                      </w:rPr>
                      <w:t>30%</w:t>
                    </w:r>
                    <w:r>
                      <w:rPr>
                        <w:w w:val="105"/>
                        <w:sz w:val="20"/>
                        <w:vertAlign w:val="superscript"/>
                      </w:rPr>
                      <w:t>2</w:t>
                    </w:r>
                    <w:r>
                      <w:rPr>
                        <w:w w:val="105"/>
                        <w:sz w:val="20"/>
                        <w:vertAlign w:val="baseline"/>
                      </w:rPr>
                      <w:t> </w:t>
                    </w:r>
                    <w:r>
                      <w:rPr>
                        <w:rFonts w:ascii="Symbol"/>
                        <w:w w:val="105"/>
                        <w:sz w:val="20"/>
                        <w:vertAlign w:val="baseline"/>
                      </w:rPr>
                      <w:t>+ </w:t>
                    </w:r>
                    <w:r>
                      <w:rPr>
                        <w:w w:val="105"/>
                        <w:sz w:val="20"/>
                        <w:vertAlign w:val="baseline"/>
                      </w:rPr>
                      <w:t>25%</w:t>
                    </w:r>
                    <w:r>
                      <w:rPr>
                        <w:w w:val="105"/>
                        <w:sz w:val="20"/>
                        <w:vertAlign w:val="superscript"/>
                      </w:rPr>
                      <w:t>2</w:t>
                    </w:r>
                    <w:r>
                      <w:rPr>
                        <w:w w:val="105"/>
                        <w:sz w:val="20"/>
                        <w:vertAlign w:val="baseline"/>
                      </w:rPr>
                      <w:t> </w:t>
                    </w:r>
                    <w:r>
                      <w:rPr>
                        <w:rFonts w:ascii="Symbol"/>
                        <w:w w:val="105"/>
                        <w:sz w:val="20"/>
                        <w:vertAlign w:val="baseline"/>
                      </w:rPr>
                      <w:t>=</w:t>
                    </w:r>
                  </w:p>
                </w:txbxContent>
              </v:textbox>
              <w10:wrap type="none"/>
            </v:shape>
            <w10:wrap type="none"/>
          </v:group>
        </w:pict>
      </w:r>
      <w:r>
        <w:rPr/>
        <w:t>39%</w:t>
      </w:r>
    </w:p>
    <w:p>
      <w:pPr>
        <w:spacing w:after="0"/>
        <w:sectPr>
          <w:type w:val="continuous"/>
          <w:pgSz w:w="11900" w:h="16840"/>
          <w:pgMar w:top="1060" w:bottom="280" w:left="1240" w:right="0"/>
          <w:cols w:num="2" w:equalWidth="0">
            <w:col w:w="4115" w:space="40"/>
            <w:col w:w="6505"/>
          </w:cols>
        </w:sectPr>
      </w:pPr>
    </w:p>
    <w:p>
      <w:pPr>
        <w:spacing w:before="178"/>
        <w:ind w:left="179" w:right="0" w:firstLine="0"/>
        <w:jc w:val="left"/>
        <w:rPr>
          <w:b/>
          <w:sz w:val="22"/>
        </w:rPr>
      </w:pPr>
      <w:r>
        <w:rPr>
          <w:b/>
          <w:sz w:val="22"/>
        </w:rPr>
        <w:t>Step 3: Assessment of the total uncertainties from the LULUCF sector</w:t>
      </w:r>
    </w:p>
    <w:p>
      <w:pPr>
        <w:pStyle w:val="BodyText"/>
        <w:spacing w:before="54"/>
        <w:ind w:left="179" w:right="1406"/>
        <w:jc w:val="both"/>
      </w:pPr>
      <w:r>
        <w:rPr/>
        <w:t>In this simple example, the uncertainty of the LULUCF Sector is estimated by combining the uncertainty of the estimates of the two activities. Uncertainties for a real world case with more category estimates can be combined in the same way.</w:t>
      </w:r>
    </w:p>
    <w:p>
      <w:pPr>
        <w:pStyle w:val="BodyText"/>
      </w:pPr>
    </w:p>
    <w:p>
      <w:pPr>
        <w:pStyle w:val="BodyText"/>
        <w:spacing w:before="4" w:after="1"/>
        <w:rPr>
          <w:sz w:val="21"/>
        </w:rPr>
      </w:pPr>
    </w:p>
    <w:tbl>
      <w:tblPr>
        <w:tblW w:w="0" w:type="auto"/>
        <w:jc w:val="left"/>
        <w:tblInd w:w="12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4"/>
        <w:gridCol w:w="2246"/>
        <w:gridCol w:w="1528"/>
      </w:tblGrid>
      <w:tr>
        <w:trPr>
          <w:trHeight w:val="330" w:hRule="atLeast"/>
        </w:trPr>
        <w:tc>
          <w:tcPr>
            <w:tcW w:w="6918" w:type="dxa"/>
            <w:gridSpan w:val="3"/>
            <w:tcBorders>
              <w:bottom w:val="double" w:sz="1" w:space="0" w:color="000000"/>
            </w:tcBorders>
          </w:tcPr>
          <w:p>
            <w:pPr>
              <w:pStyle w:val="TableParagraph"/>
              <w:spacing w:before="53"/>
              <w:ind w:left="2099"/>
              <w:rPr>
                <w:sz w:val="20"/>
              </w:rPr>
            </w:pPr>
            <w:r>
              <w:rPr>
                <w:sz w:val="20"/>
              </w:rPr>
              <w:t>Total uncertainty for this example</w:t>
            </w:r>
          </w:p>
        </w:tc>
      </w:tr>
      <w:tr>
        <w:trPr>
          <w:trHeight w:val="990" w:hRule="atLeast"/>
        </w:trPr>
        <w:tc>
          <w:tcPr>
            <w:tcW w:w="3144" w:type="dxa"/>
            <w:tcBorders>
              <w:top w:val="double" w:sz="1" w:space="0" w:color="000000"/>
            </w:tcBorders>
          </w:tcPr>
          <w:p>
            <w:pPr>
              <w:pStyle w:val="TableParagraph"/>
              <w:spacing w:before="6"/>
              <w:rPr>
                <w:sz w:val="32"/>
              </w:rPr>
            </w:pPr>
          </w:p>
          <w:p>
            <w:pPr>
              <w:pStyle w:val="TableParagraph"/>
              <w:ind w:left="107"/>
              <w:rPr>
                <w:sz w:val="20"/>
              </w:rPr>
            </w:pPr>
            <w:r>
              <w:rPr>
                <w:sz w:val="20"/>
              </w:rPr>
              <w:t>Land-Use Category</w:t>
            </w:r>
          </w:p>
        </w:tc>
        <w:tc>
          <w:tcPr>
            <w:tcW w:w="2246" w:type="dxa"/>
            <w:tcBorders>
              <w:top w:val="double" w:sz="1" w:space="0" w:color="000000"/>
            </w:tcBorders>
          </w:tcPr>
          <w:p>
            <w:pPr>
              <w:pStyle w:val="TableParagraph"/>
              <w:spacing w:before="28"/>
              <w:ind w:left="650" w:right="643"/>
              <w:jc w:val="center"/>
              <w:rPr>
                <w:sz w:val="20"/>
              </w:rPr>
            </w:pPr>
            <w:r>
              <w:rPr>
                <w:sz w:val="20"/>
              </w:rPr>
              <w:t>Estimate</w:t>
            </w:r>
          </w:p>
          <w:p>
            <w:pPr>
              <w:pStyle w:val="TableParagraph"/>
              <w:spacing w:before="1"/>
              <w:ind w:left="306" w:right="297" w:firstLine="49"/>
              <w:jc w:val="center"/>
              <w:rPr>
                <w:sz w:val="20"/>
              </w:rPr>
            </w:pPr>
            <w:r>
              <w:rPr>
                <w:sz w:val="20"/>
              </w:rPr>
              <w:t>of the associated carbon stock change (tonne C yr </w:t>
            </w:r>
            <w:r>
              <w:rPr>
                <w:sz w:val="20"/>
                <w:vertAlign w:val="superscript"/>
              </w:rPr>
              <w:t>-1</w:t>
            </w:r>
            <w:r>
              <w:rPr>
                <w:sz w:val="20"/>
                <w:vertAlign w:val="baseline"/>
              </w:rPr>
              <w:t>)</w:t>
            </w:r>
          </w:p>
        </w:tc>
        <w:tc>
          <w:tcPr>
            <w:tcW w:w="1528" w:type="dxa"/>
            <w:tcBorders>
              <w:top w:val="double" w:sz="1" w:space="0" w:color="000000"/>
            </w:tcBorders>
          </w:tcPr>
          <w:p>
            <w:pPr>
              <w:pStyle w:val="TableParagraph"/>
              <w:spacing w:before="7"/>
              <w:rPr>
                <w:sz w:val="32"/>
              </w:rPr>
            </w:pPr>
          </w:p>
          <w:p>
            <w:pPr>
              <w:pStyle w:val="TableParagraph"/>
              <w:ind w:left="485" w:right="474"/>
              <w:jc w:val="center"/>
              <w:rPr>
                <w:sz w:val="13"/>
              </w:rPr>
            </w:pPr>
            <w:r>
              <w:rPr>
                <w:position w:val="3"/>
                <w:sz w:val="20"/>
              </w:rPr>
              <w:t>U</w:t>
            </w:r>
            <w:r>
              <w:rPr>
                <w:sz w:val="13"/>
              </w:rPr>
              <w:t>∆C</w:t>
            </w:r>
          </w:p>
        </w:tc>
      </w:tr>
      <w:tr>
        <w:trPr>
          <w:trHeight w:val="330" w:hRule="atLeast"/>
        </w:trPr>
        <w:tc>
          <w:tcPr>
            <w:tcW w:w="3144" w:type="dxa"/>
          </w:tcPr>
          <w:p>
            <w:pPr>
              <w:pStyle w:val="TableParagraph"/>
              <w:spacing w:before="53"/>
              <w:ind w:left="107"/>
              <w:rPr>
                <w:sz w:val="20"/>
              </w:rPr>
            </w:pPr>
            <w:r>
              <w:rPr>
                <w:sz w:val="20"/>
              </w:rPr>
              <w:t>Forest Land Remaining as Forest</w:t>
            </w:r>
          </w:p>
        </w:tc>
        <w:tc>
          <w:tcPr>
            <w:tcW w:w="2246" w:type="dxa"/>
          </w:tcPr>
          <w:p>
            <w:pPr>
              <w:pStyle w:val="TableParagraph"/>
              <w:spacing w:before="53"/>
              <w:ind w:left="649" w:right="645"/>
              <w:jc w:val="center"/>
              <w:rPr>
                <w:sz w:val="20"/>
              </w:rPr>
            </w:pPr>
            <w:r>
              <w:rPr>
                <w:sz w:val="20"/>
              </w:rPr>
              <w:t>15 500 000</w:t>
            </w:r>
          </w:p>
        </w:tc>
        <w:tc>
          <w:tcPr>
            <w:tcW w:w="1528" w:type="dxa"/>
          </w:tcPr>
          <w:p>
            <w:pPr>
              <w:pStyle w:val="TableParagraph"/>
              <w:spacing w:before="53"/>
              <w:ind w:left="485" w:right="475"/>
              <w:jc w:val="center"/>
              <w:rPr>
                <w:sz w:val="20"/>
              </w:rPr>
            </w:pPr>
            <w:r>
              <w:rPr>
                <w:sz w:val="20"/>
              </w:rPr>
              <w:t>53.8%</w:t>
            </w:r>
          </w:p>
        </w:tc>
      </w:tr>
      <w:tr>
        <w:trPr>
          <w:trHeight w:val="556" w:hRule="atLeast"/>
        </w:trPr>
        <w:tc>
          <w:tcPr>
            <w:tcW w:w="3144" w:type="dxa"/>
          </w:tcPr>
          <w:p>
            <w:pPr>
              <w:pStyle w:val="TableParagraph"/>
              <w:spacing w:before="156"/>
              <w:ind w:left="107"/>
              <w:rPr>
                <w:sz w:val="20"/>
              </w:rPr>
            </w:pPr>
            <w:r>
              <w:rPr>
                <w:sz w:val="20"/>
              </w:rPr>
              <w:t>Forest Land Converted to Grassland</w:t>
            </w:r>
          </w:p>
        </w:tc>
        <w:tc>
          <w:tcPr>
            <w:tcW w:w="2246" w:type="dxa"/>
          </w:tcPr>
          <w:p>
            <w:pPr>
              <w:pStyle w:val="TableParagraph"/>
              <w:spacing w:before="156"/>
              <w:ind w:left="650" w:right="643"/>
              <w:jc w:val="center"/>
              <w:rPr>
                <w:sz w:val="20"/>
              </w:rPr>
            </w:pPr>
            <w:r>
              <w:rPr>
                <w:sz w:val="20"/>
              </w:rPr>
              <w:t>-38 500</w:t>
            </w:r>
          </w:p>
        </w:tc>
        <w:tc>
          <w:tcPr>
            <w:tcW w:w="1528" w:type="dxa"/>
          </w:tcPr>
          <w:p>
            <w:pPr>
              <w:pStyle w:val="TableParagraph"/>
              <w:spacing w:before="156"/>
              <w:ind w:left="485" w:right="472"/>
              <w:jc w:val="center"/>
              <w:rPr>
                <w:sz w:val="20"/>
              </w:rPr>
            </w:pPr>
            <w:r>
              <w:rPr>
                <w:sz w:val="20"/>
              </w:rPr>
              <w:t>39%</w:t>
            </w:r>
          </w:p>
        </w:tc>
      </w:tr>
      <w:tr>
        <w:trPr>
          <w:trHeight w:val="330" w:hRule="atLeast"/>
        </w:trPr>
        <w:tc>
          <w:tcPr>
            <w:tcW w:w="3144" w:type="dxa"/>
          </w:tcPr>
          <w:p>
            <w:pPr>
              <w:pStyle w:val="TableParagraph"/>
              <w:spacing w:before="53"/>
              <w:ind w:left="107"/>
              <w:rPr>
                <w:sz w:val="20"/>
              </w:rPr>
            </w:pPr>
            <w:r>
              <w:rPr>
                <w:sz w:val="20"/>
              </w:rPr>
              <w:t>Total</w:t>
            </w:r>
          </w:p>
        </w:tc>
        <w:tc>
          <w:tcPr>
            <w:tcW w:w="2246" w:type="dxa"/>
          </w:tcPr>
          <w:p>
            <w:pPr>
              <w:pStyle w:val="TableParagraph"/>
              <w:spacing w:before="53"/>
              <w:ind w:left="650" w:right="645"/>
              <w:jc w:val="center"/>
              <w:rPr>
                <w:sz w:val="20"/>
              </w:rPr>
            </w:pPr>
            <w:r>
              <w:rPr>
                <w:sz w:val="20"/>
              </w:rPr>
              <w:t>15 461 500</w:t>
            </w:r>
          </w:p>
        </w:tc>
        <w:tc>
          <w:tcPr>
            <w:tcW w:w="1528" w:type="dxa"/>
          </w:tcPr>
          <w:p>
            <w:pPr>
              <w:pStyle w:val="TableParagraph"/>
              <w:spacing w:before="53"/>
              <w:ind w:left="485" w:right="473"/>
              <w:jc w:val="center"/>
              <w:rPr>
                <w:sz w:val="20"/>
              </w:rPr>
            </w:pPr>
            <w:r>
              <w:rPr>
                <w:sz w:val="20"/>
              </w:rPr>
              <w:t>54%</w:t>
            </w:r>
          </w:p>
        </w:tc>
      </w:tr>
    </w:tbl>
    <w:p>
      <w:pPr>
        <w:spacing w:after="0"/>
        <w:jc w:val="center"/>
        <w:rPr>
          <w:sz w:val="20"/>
        </w:rPr>
        <w:sectPr>
          <w:type w:val="continuous"/>
          <w:pgSz w:w="11900" w:h="16840"/>
          <w:pgMar w:top="1060" w:bottom="280" w:left="1240" w:right="0"/>
        </w:sectPr>
      </w:pPr>
    </w:p>
    <w:p>
      <w:pPr>
        <w:pStyle w:val="BodyText"/>
      </w:pPr>
    </w:p>
    <w:p>
      <w:pPr>
        <w:pStyle w:val="BodyText"/>
      </w:pPr>
    </w:p>
    <w:p>
      <w:pPr>
        <w:pStyle w:val="BodyText"/>
        <w:spacing w:before="8"/>
      </w:pPr>
    </w:p>
    <w:p>
      <w:pPr>
        <w:pStyle w:val="BodyText"/>
        <w:spacing w:before="92"/>
        <w:ind w:left="179"/>
      </w:pPr>
      <w:r>
        <w:rPr/>
        <w:t>The overall uncertainty is then estimated from Equation 5.2.2 to be:</w:t>
      </w:r>
    </w:p>
    <w:p>
      <w:pPr>
        <w:pStyle w:val="BodyText"/>
        <w:spacing w:before="2"/>
        <w:rPr>
          <w:sz w:val="25"/>
        </w:rPr>
      </w:pPr>
    </w:p>
    <w:p>
      <w:pPr>
        <w:pStyle w:val="BodyText"/>
        <w:tabs>
          <w:tab w:pos="6783" w:val="left" w:leader="none"/>
        </w:tabs>
        <w:spacing w:before="121"/>
        <w:ind w:left="2252"/>
      </w:pPr>
      <w:r>
        <w:rPr/>
        <w:pict>
          <v:group style="position:absolute;margin-left:214.960999pt;margin-top:-5.621255pt;width:180.85pt;height:32.65pt;mso-position-horizontal-relative:page;mso-position-vertical-relative:paragraph;z-index:-2426656" coordorigin="4299,-112" coordsize="3617,653">
            <v:line style="position:absolute" from="4323,106" to="4350,92" stroked="true" strokeweight=".495pt" strokecolor="#000000">
              <v:stroke dashstyle="solid"/>
            </v:line>
            <v:line style="position:absolute" from="4350,97" to="4383,207" stroked="true" strokeweight=".991pt" strokecolor="#000000">
              <v:stroke dashstyle="solid"/>
            </v:line>
            <v:shape style="position:absolute;left:4299;top:-108;width:3617;height:648" coordorigin="4299,-107" coordsize="3617,648" path="m4388,207l4438,-107,7894,-107m5235,291l5235,541m6975,291l6975,541m4299,253l7916,253e" filled="false" stroked="true" strokeweight=".495pt" strokecolor="#000000">
              <v:path arrowok="t"/>
              <v:stroke dashstyle="solid"/>
            </v:shape>
            <v:shape style="position:absolute;left:4299;top:-113;width:3617;height:653" type="#_x0000_t202" filled="false" stroked="false">
              <v:textbox inset="0,0,0,0">
                <w:txbxContent>
                  <w:p>
                    <w:pPr>
                      <w:spacing w:before="24"/>
                      <w:ind w:left="115" w:right="25" w:firstLine="0"/>
                      <w:jc w:val="center"/>
                      <w:rPr>
                        <w:sz w:val="16"/>
                      </w:rPr>
                    </w:pPr>
                    <w:r>
                      <w:rPr>
                        <w:sz w:val="20"/>
                      </w:rPr>
                      <w:t>(53.8% </w:t>
                    </w:r>
                    <w:r>
                      <w:rPr>
                        <w:rFonts w:ascii="Symbol" w:hAnsi="Symbol"/>
                        <w:sz w:val="20"/>
                      </w:rPr>
                      <w:t>•</w:t>
                    </w:r>
                    <w:r>
                      <w:rPr>
                        <w:sz w:val="20"/>
                      </w:rPr>
                      <w:t>15500000) </w:t>
                    </w:r>
                    <w:r>
                      <w:rPr>
                        <w:position w:val="9"/>
                        <w:sz w:val="16"/>
                      </w:rPr>
                      <w:t>2 </w:t>
                    </w:r>
                    <w:r>
                      <w:rPr>
                        <w:rFonts w:ascii="Symbol" w:hAnsi="Symbol"/>
                        <w:sz w:val="20"/>
                      </w:rPr>
                      <w:t>+ </w:t>
                    </w:r>
                    <w:r>
                      <w:rPr>
                        <w:sz w:val="20"/>
                      </w:rPr>
                      <w:t>(39% </w:t>
                    </w:r>
                    <w:r>
                      <w:rPr>
                        <w:rFonts w:ascii="Symbol" w:hAnsi="Symbol"/>
                        <w:sz w:val="20"/>
                      </w:rPr>
                      <w:t>• </w:t>
                    </w:r>
                    <w:r>
                      <w:rPr>
                        <w:sz w:val="20"/>
                      </w:rPr>
                      <w:t>(</w:t>
                    </w:r>
                    <w:r>
                      <w:rPr>
                        <w:rFonts w:ascii="Symbol" w:hAnsi="Symbol"/>
                        <w:sz w:val="20"/>
                      </w:rPr>
                      <w:t>−</w:t>
                    </w:r>
                    <w:r>
                      <w:rPr>
                        <w:sz w:val="20"/>
                      </w:rPr>
                      <w:t>38500))</w:t>
                    </w:r>
                    <w:r>
                      <w:rPr>
                        <w:position w:val="9"/>
                        <w:sz w:val="16"/>
                      </w:rPr>
                      <w:t>2</w:t>
                    </w:r>
                  </w:p>
                  <w:p>
                    <w:pPr>
                      <w:spacing w:before="68"/>
                      <w:ind w:left="11" w:right="25" w:firstLine="0"/>
                      <w:jc w:val="center"/>
                      <w:rPr>
                        <w:sz w:val="20"/>
                      </w:rPr>
                    </w:pPr>
                    <w:r>
                      <w:rPr>
                        <w:sz w:val="20"/>
                      </w:rPr>
                      <w:t>15500000 </w:t>
                    </w:r>
                    <w:r>
                      <w:rPr>
                        <w:rFonts w:ascii="Symbol" w:hAnsi="Symbol"/>
                        <w:sz w:val="20"/>
                      </w:rPr>
                      <w:t>+ </w:t>
                    </w:r>
                    <w:r>
                      <w:rPr>
                        <w:sz w:val="20"/>
                      </w:rPr>
                      <w:t>(</w:t>
                    </w:r>
                    <w:r>
                      <w:rPr>
                        <w:rFonts w:ascii="Symbol" w:hAnsi="Symbol"/>
                        <w:sz w:val="20"/>
                      </w:rPr>
                      <w:t>−</w:t>
                    </w:r>
                    <w:r>
                      <w:rPr>
                        <w:sz w:val="20"/>
                      </w:rPr>
                      <w:t>38500)</w:t>
                    </w:r>
                  </w:p>
                </w:txbxContent>
              </v:textbox>
              <w10:wrap type="none"/>
            </v:shape>
            <w10:wrap type="none"/>
          </v:group>
        </w:pict>
      </w:r>
      <w:r>
        <w:rPr/>
        <w:t>U</w:t>
      </w:r>
      <w:r>
        <w:rPr>
          <w:spacing w:val="-17"/>
        </w:rPr>
        <w:t> </w:t>
      </w:r>
      <w:r>
        <w:rPr>
          <w:vertAlign w:val="subscript"/>
        </w:rPr>
        <w:t>TOTAL</w:t>
      </w:r>
      <w:r>
        <w:rPr>
          <w:spacing w:val="36"/>
          <w:vertAlign w:val="baseline"/>
        </w:rPr>
        <w:t> </w:t>
      </w:r>
      <w:r>
        <w:rPr>
          <w:rFonts w:ascii="Symbol"/>
          <w:vertAlign w:val="baseline"/>
        </w:rPr>
        <w:t>=</w:t>
        <w:tab/>
      </w:r>
      <w:r>
        <w:rPr>
          <w:vertAlign w:val="baseline"/>
        </w:rPr>
        <w:t>=</w:t>
      </w:r>
      <w:r>
        <w:rPr>
          <w:spacing w:val="1"/>
          <w:vertAlign w:val="baseline"/>
        </w:rPr>
        <w:t> </w:t>
      </w:r>
      <w:r>
        <w:rPr>
          <w:vertAlign w:val="baseline"/>
        </w:rPr>
        <w:t>54%</w:t>
      </w:r>
    </w:p>
    <w:p>
      <w:pPr>
        <w:pStyle w:val="BodyText"/>
        <w:rPr>
          <w:sz w:val="26"/>
        </w:rPr>
      </w:pPr>
    </w:p>
    <w:p>
      <w:pPr>
        <w:pStyle w:val="BodyText"/>
        <w:spacing w:before="10"/>
        <w:rPr>
          <w:sz w:val="22"/>
        </w:rPr>
      </w:pPr>
    </w:p>
    <w:p>
      <w:pPr>
        <w:pStyle w:val="BodyText"/>
        <w:ind w:left="179" w:right="1404"/>
        <w:jc w:val="both"/>
      </w:pPr>
      <w:r>
        <w:rPr/>
        <w:t>The overall uncertainty from these two LULUCF activities, when expressed as percent uncertainty is 54%. The uncertainty expressed as the relative standard error of the estimate is obtained by dividing the percent uncertainty by 2. It should be noted that the formula implies correlations among the estimates due to the reliance on identical conversion and expansion factors for both activities. In practice, however, this correlation may be small. If not, the calculations should be done for independent samples, e.g., during Tier 2 uncertainty analysis (such as Monte Carlo).</w:t>
      </w:r>
    </w:p>
    <w:p>
      <w:pPr>
        <w:pStyle w:val="Heading6"/>
        <w:spacing w:before="126"/>
        <w:ind w:left="179"/>
      </w:pPr>
      <w:r>
        <w:rPr/>
        <w:t>Step 4: Combination of LULUCF uncertainties with other source categories</w:t>
      </w:r>
    </w:p>
    <w:p>
      <w:pPr>
        <w:pStyle w:val="BodyText"/>
        <w:spacing w:before="113"/>
        <w:ind w:left="179" w:right="1405"/>
        <w:jc w:val="both"/>
      </w:pPr>
      <w:r>
        <w:rPr/>
        <w:t>Finally, the uncertainty estimate for the LULUCF sector can be combined by uncertainty estimates for other source categories using either a Tier 1 or Tier 2 method.</w:t>
      </w:r>
    </w:p>
    <w:p>
      <w:pPr>
        <w:pStyle w:val="BodyText"/>
        <w:rPr>
          <w:sz w:val="22"/>
        </w:rPr>
      </w:pPr>
    </w:p>
    <w:p>
      <w:pPr>
        <w:pStyle w:val="BodyText"/>
        <w:spacing w:before="4"/>
      </w:pPr>
    </w:p>
    <w:p>
      <w:pPr>
        <w:pStyle w:val="Heading2"/>
        <w:tabs>
          <w:tab w:pos="1381" w:val="left" w:leader="none"/>
        </w:tabs>
        <w:ind w:left="179" w:firstLine="0"/>
      </w:pPr>
      <w:bookmarkStart w:name="_TOC_250048" w:id="7"/>
      <w:r>
        <w:rPr>
          <w:spacing w:val="7"/>
        </w:rPr>
        <w:t>5.2.5</w:t>
        <w:tab/>
      </w:r>
      <w:r>
        <w:rPr>
          <w:spacing w:val="8"/>
        </w:rPr>
        <w:t>Reporting </w:t>
      </w:r>
      <w:r>
        <w:rPr>
          <w:spacing w:val="6"/>
        </w:rPr>
        <w:t>and</w:t>
      </w:r>
      <w:r>
        <w:rPr>
          <w:spacing w:val="31"/>
        </w:rPr>
        <w:t> </w:t>
      </w:r>
      <w:bookmarkEnd w:id="7"/>
      <w:r>
        <w:rPr>
          <w:spacing w:val="9"/>
        </w:rPr>
        <w:t>documentation</w:t>
      </w:r>
    </w:p>
    <w:p>
      <w:pPr>
        <w:pStyle w:val="BodyText"/>
        <w:spacing w:before="113"/>
        <w:ind w:left="179" w:right="1407"/>
        <w:jc w:val="both"/>
      </w:pPr>
      <w:r>
        <w:rPr/>
        <w:t>The general advice on reporting given in </w:t>
      </w:r>
      <w:r>
        <w:rPr>
          <w:i/>
        </w:rPr>
        <w:t>GPG2000 </w:t>
      </w:r>
      <w:r>
        <w:rPr/>
        <w:t>is also applicable for the LULUCF sector. The result of a Tier 1 uncertainty analysis for the LULUCF sector can be reported adding the lines for the relevant LULUCF categories to Table 6.1 in Section 6.3 in Chapter 6 of </w:t>
      </w:r>
      <w:r>
        <w:rPr>
          <w:i/>
        </w:rPr>
        <w:t>GPG2000</w:t>
      </w:r>
      <w:r>
        <w:rPr/>
        <w:t>, with taking the guidance given in Section 6.3.2 of </w:t>
      </w:r>
      <w:r>
        <w:rPr>
          <w:i/>
        </w:rPr>
        <w:t>GPG2000 </w:t>
      </w:r>
      <w:r>
        <w:rPr/>
        <w:t>into</w:t>
      </w:r>
      <w:r>
        <w:rPr>
          <w:spacing w:val="-2"/>
        </w:rPr>
        <w:t> </w:t>
      </w:r>
      <w:r>
        <w:rPr/>
        <w:t>account.</w:t>
      </w:r>
    </w:p>
    <w:p>
      <w:pPr>
        <w:pStyle w:val="BodyText"/>
        <w:spacing w:before="120"/>
        <w:ind w:left="179" w:right="1406"/>
        <w:jc w:val="both"/>
      </w:pPr>
      <w:r>
        <w:rPr/>
        <w:t>According to </w:t>
      </w:r>
      <w:r>
        <w:rPr>
          <w:i/>
        </w:rPr>
        <w:t>GPG2000</w:t>
      </w:r>
      <w:r>
        <w:rPr/>
        <w:t>, the analysis can be performed using CO</w:t>
      </w:r>
      <w:r>
        <w:rPr>
          <w:vertAlign w:val="subscript"/>
        </w:rPr>
        <w:t>2</w:t>
      </w:r>
      <w:r>
        <w:rPr>
          <w:vertAlign w:val="baseline"/>
        </w:rPr>
        <w:t> equivalent emissions calculated using global warming potentials (GWP) specified by COP3, Decision 2/CP.3.</w:t>
      </w:r>
      <w:r>
        <w:rPr>
          <w:vertAlign w:val="superscript"/>
        </w:rPr>
        <w:t>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8"/>
        </w:rPr>
      </w:pPr>
      <w:r>
        <w:rPr/>
        <w:pict>
          <v:line style="position:absolute;mso-position-horizontal-relative:page;mso-position-vertical-relative:paragraph;z-index:27416;mso-wrap-distance-left:0;mso-wrap-distance-right:0" from="70.960999pt,18.410908pt" to="214.960999pt,18.410908pt" stroked="true" strokeweight=".48pt" strokecolor="#000000">
            <v:stroke dashstyle="solid"/>
            <w10:wrap type="topAndBottom"/>
          </v:line>
        </w:pict>
      </w:r>
    </w:p>
    <w:p>
      <w:pPr>
        <w:spacing w:before="153"/>
        <w:ind w:left="179" w:right="0" w:firstLine="0"/>
        <w:jc w:val="left"/>
        <w:rPr>
          <w:sz w:val="18"/>
        </w:rPr>
      </w:pPr>
      <w:r>
        <w:rPr>
          <w:position w:val="8"/>
          <w:sz w:val="12"/>
        </w:rPr>
        <w:t>2 </w:t>
      </w:r>
      <w:r>
        <w:rPr>
          <w:sz w:val="18"/>
        </w:rPr>
        <w:t>The methodology is also generally applicable using other weighting schemes.</w:t>
      </w:r>
    </w:p>
    <w:p>
      <w:pPr>
        <w:spacing w:after="0"/>
        <w:jc w:val="left"/>
        <w:rPr>
          <w:sz w:val="18"/>
        </w:rPr>
        <w:sectPr>
          <w:pgSz w:w="11900" w:h="16840"/>
          <w:pgMar w:header="230" w:footer="408" w:top="560" w:bottom="600" w:left="1240" w:right="0"/>
        </w:sectPr>
      </w:pPr>
    </w:p>
    <w:p>
      <w:pPr>
        <w:pStyle w:val="BodyText"/>
      </w:pPr>
    </w:p>
    <w:p>
      <w:pPr>
        <w:pStyle w:val="BodyText"/>
      </w:pPr>
    </w:p>
    <w:p>
      <w:pPr>
        <w:pStyle w:val="Heading2"/>
        <w:numPr>
          <w:ilvl w:val="1"/>
          <w:numId w:val="174"/>
        </w:numPr>
        <w:tabs>
          <w:tab w:pos="1381" w:val="left" w:leader="none"/>
          <w:tab w:pos="1382" w:val="left" w:leader="none"/>
        </w:tabs>
        <w:spacing w:line="240" w:lineRule="auto" w:before="225" w:after="0"/>
        <w:ind w:left="1381" w:right="0" w:hanging="1202"/>
        <w:jc w:val="left"/>
      </w:pPr>
      <w:bookmarkStart w:name="_TOC_250047" w:id="8"/>
      <w:bookmarkEnd w:id="8"/>
      <w:r>
        <w:rPr>
          <w:spacing w:val="17"/>
        </w:rPr>
        <w:t>SAMPLING</w:t>
      </w:r>
    </w:p>
    <w:p>
      <w:pPr>
        <w:pStyle w:val="BodyText"/>
        <w:spacing w:before="1"/>
        <w:rPr>
          <w:b/>
          <w:sz w:val="47"/>
        </w:rPr>
      </w:pPr>
    </w:p>
    <w:p>
      <w:pPr>
        <w:pStyle w:val="Heading2"/>
        <w:numPr>
          <w:ilvl w:val="2"/>
          <w:numId w:val="174"/>
        </w:numPr>
        <w:tabs>
          <w:tab w:pos="1381" w:val="left" w:leader="none"/>
          <w:tab w:pos="1382" w:val="left" w:leader="none"/>
        </w:tabs>
        <w:spacing w:line="240" w:lineRule="auto" w:before="0" w:after="0"/>
        <w:ind w:left="1381" w:right="0" w:hanging="1202"/>
        <w:jc w:val="left"/>
      </w:pPr>
      <w:bookmarkStart w:name="_TOC_250046" w:id="9"/>
      <w:bookmarkEnd w:id="9"/>
      <w:r>
        <w:rPr>
          <w:spacing w:val="8"/>
        </w:rPr>
        <w:t>Introduction</w:t>
      </w:r>
    </w:p>
    <w:p>
      <w:pPr>
        <w:pStyle w:val="BodyText"/>
        <w:spacing w:before="114"/>
        <w:ind w:left="179" w:right="1404"/>
        <w:jc w:val="both"/>
      </w:pPr>
      <w:r>
        <w:rPr/>
        <w:t>Data for the LULUCF sector are often obtained from sample surveys and typically are used for estimating changes in land use or in carbon stocks. National forest inventories are important examples of the type of surveys used. This section provides </w:t>
      </w:r>
      <w:r>
        <w:rPr>
          <w:i/>
        </w:rPr>
        <w:t>good practice guidance </w:t>
      </w:r>
      <w:r>
        <w:rPr/>
        <w:t>for the use of data from sample surveys for the reporting of emissions and removals of greenhouse gases, and for the planning of sample surveys in order to acquire data for this purpose. Sampling also is important for monitoring Kyoto Protocol projects, and Chapter 4 provides specific recommendations consistent with this section. This section provides </w:t>
      </w:r>
      <w:r>
        <w:rPr>
          <w:i/>
        </w:rPr>
        <w:t>good practice guidance </w:t>
      </w:r>
      <w:r>
        <w:rPr/>
        <w:t>concerning:</w:t>
      </w:r>
    </w:p>
    <w:p>
      <w:pPr>
        <w:pStyle w:val="ListParagraph"/>
        <w:numPr>
          <w:ilvl w:val="0"/>
          <w:numId w:val="117"/>
        </w:numPr>
        <w:tabs>
          <w:tab w:pos="540" w:val="left" w:leader="none"/>
        </w:tabs>
        <w:spacing w:line="240" w:lineRule="auto" w:before="132" w:after="0"/>
        <w:ind w:left="539" w:right="0" w:hanging="360"/>
        <w:jc w:val="both"/>
        <w:rPr>
          <w:sz w:val="20"/>
        </w:rPr>
      </w:pPr>
      <w:r>
        <w:rPr>
          <w:sz w:val="20"/>
        </w:rPr>
        <w:t>Overview on sampling principles (Section</w:t>
      </w:r>
      <w:r>
        <w:rPr>
          <w:spacing w:val="-9"/>
          <w:sz w:val="20"/>
        </w:rPr>
        <w:t> </w:t>
      </w:r>
      <w:r>
        <w:rPr>
          <w:sz w:val="20"/>
        </w:rPr>
        <w:t>5.3.2);</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Sampling design (Section</w:t>
      </w:r>
      <w:r>
        <w:rPr>
          <w:spacing w:val="-4"/>
          <w:sz w:val="20"/>
        </w:rPr>
        <w:t> </w:t>
      </w:r>
      <w:r>
        <w:rPr>
          <w:sz w:val="20"/>
        </w:rPr>
        <w:t>5.3.3);</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Sampling methods for area estimation (Section</w:t>
      </w:r>
      <w:r>
        <w:rPr>
          <w:spacing w:val="-2"/>
          <w:sz w:val="20"/>
        </w:rPr>
        <w:t> </w:t>
      </w:r>
      <w:r>
        <w:rPr>
          <w:sz w:val="20"/>
        </w:rPr>
        <w:t>5.3.4);</w:t>
      </w:r>
    </w:p>
    <w:p>
      <w:pPr>
        <w:pStyle w:val="ListParagraph"/>
        <w:numPr>
          <w:ilvl w:val="0"/>
          <w:numId w:val="117"/>
        </w:numPr>
        <w:tabs>
          <w:tab w:pos="540" w:val="left" w:leader="none"/>
        </w:tabs>
        <w:spacing w:line="240" w:lineRule="auto" w:before="119" w:after="0"/>
        <w:ind w:left="539" w:right="0" w:hanging="360"/>
        <w:jc w:val="both"/>
        <w:rPr>
          <w:sz w:val="20"/>
        </w:rPr>
      </w:pPr>
      <w:r>
        <w:rPr>
          <w:sz w:val="20"/>
        </w:rPr>
        <w:t>Sampling methods for estimating emissions and removals of greenhouse gases (Section</w:t>
      </w:r>
      <w:r>
        <w:rPr>
          <w:spacing w:val="-7"/>
          <w:sz w:val="20"/>
        </w:rPr>
        <w:t> </w:t>
      </w:r>
      <w:r>
        <w:rPr>
          <w:sz w:val="20"/>
        </w:rPr>
        <w:t>5.3.5);</w:t>
      </w:r>
    </w:p>
    <w:p>
      <w:pPr>
        <w:pStyle w:val="ListParagraph"/>
        <w:numPr>
          <w:ilvl w:val="0"/>
          <w:numId w:val="117"/>
        </w:numPr>
        <w:tabs>
          <w:tab w:pos="540" w:val="left" w:leader="none"/>
        </w:tabs>
        <w:spacing w:line="240" w:lineRule="auto" w:before="115" w:after="0"/>
        <w:ind w:left="539" w:right="0" w:hanging="360"/>
        <w:jc w:val="both"/>
        <w:rPr>
          <w:sz w:val="20"/>
        </w:rPr>
      </w:pPr>
      <w:r>
        <w:rPr>
          <w:sz w:val="20"/>
        </w:rPr>
        <w:t>Uncertainties in sample based surveys (Section</w:t>
      </w:r>
      <w:r>
        <w:rPr>
          <w:spacing w:val="-4"/>
          <w:sz w:val="20"/>
        </w:rPr>
        <w:t> </w:t>
      </w:r>
      <w:r>
        <w:rPr>
          <w:sz w:val="20"/>
        </w:rPr>
        <w:t>5.3.6).</w:t>
      </w:r>
    </w:p>
    <w:p>
      <w:pPr>
        <w:pStyle w:val="BodyText"/>
        <w:spacing w:before="104"/>
        <w:ind w:left="179" w:right="1407"/>
      </w:pPr>
      <w:r>
        <w:rPr/>
        <w:t>Useful general references on sampling include: Raj (1968), Cochran (1977), De Vries (1986), Thompson (1992), Särndal </w:t>
      </w:r>
      <w:r>
        <w:rPr>
          <w:i/>
        </w:rPr>
        <w:t>et al. </w:t>
      </w:r>
      <w:r>
        <w:rPr/>
        <w:t>(1992), Schreuder </w:t>
      </w:r>
      <w:r>
        <w:rPr>
          <w:i/>
        </w:rPr>
        <w:t>et al. </w:t>
      </w:r>
      <w:r>
        <w:rPr/>
        <w:t>(1993), Reed and Mroz (1997), and Lund (1998).</w:t>
      </w:r>
    </w:p>
    <w:p>
      <w:pPr>
        <w:pStyle w:val="BodyText"/>
        <w:rPr>
          <w:sz w:val="22"/>
        </w:rPr>
      </w:pPr>
    </w:p>
    <w:p>
      <w:pPr>
        <w:pStyle w:val="BodyText"/>
        <w:spacing w:before="4"/>
      </w:pPr>
    </w:p>
    <w:p>
      <w:pPr>
        <w:pStyle w:val="Heading2"/>
        <w:numPr>
          <w:ilvl w:val="2"/>
          <w:numId w:val="174"/>
        </w:numPr>
        <w:tabs>
          <w:tab w:pos="1381" w:val="left" w:leader="none"/>
          <w:tab w:pos="1382" w:val="left" w:leader="none"/>
        </w:tabs>
        <w:spacing w:line="240" w:lineRule="auto" w:before="0" w:after="0"/>
        <w:ind w:left="1381" w:right="0" w:hanging="1202"/>
        <w:jc w:val="left"/>
      </w:pPr>
      <w:bookmarkStart w:name="_TOC_250045" w:id="10"/>
      <w:r>
        <w:rPr>
          <w:spacing w:val="8"/>
        </w:rPr>
        <w:t>Overview </w:t>
      </w:r>
      <w:r>
        <w:rPr>
          <w:spacing w:val="4"/>
        </w:rPr>
        <w:t>on </w:t>
      </w:r>
      <w:r>
        <w:rPr>
          <w:spacing w:val="8"/>
        </w:rPr>
        <w:t>Sampling</w:t>
      </w:r>
      <w:r>
        <w:rPr>
          <w:spacing w:val="50"/>
        </w:rPr>
        <w:t> </w:t>
      </w:r>
      <w:bookmarkEnd w:id="10"/>
      <w:r>
        <w:rPr>
          <w:spacing w:val="9"/>
        </w:rPr>
        <w:t>Principles</w:t>
      </w:r>
    </w:p>
    <w:p>
      <w:pPr>
        <w:pStyle w:val="BodyText"/>
        <w:spacing w:before="114"/>
        <w:ind w:left="179" w:right="1403"/>
        <w:jc w:val="both"/>
      </w:pPr>
      <w:r>
        <w:rPr/>
        <w:t>Sampling infers information about an entire population by observing a fraction of it: the sample (see Figure 5.3.1). For example, changes of carbon in tree biomass at regional or national levels can be estimated from the growth, mortality and cuttings of trees on a limited number of sample plots. Sampling theory then provides the means </w:t>
      </w:r>
      <w:r>
        <w:rPr>
          <w:spacing w:val="-2"/>
        </w:rPr>
        <w:t>for </w:t>
      </w:r>
      <w:r>
        <w:rPr/>
        <w:t>scaling up the information from the </w:t>
      </w:r>
      <w:r>
        <w:rPr>
          <w:spacing w:val="-2"/>
        </w:rPr>
        <w:t>sample </w:t>
      </w:r>
      <w:r>
        <w:rPr/>
        <w:t>plots to </w:t>
      </w:r>
      <w:r>
        <w:rPr>
          <w:spacing w:val="-2"/>
        </w:rPr>
        <w:t>the </w:t>
      </w:r>
      <w:r>
        <w:rPr/>
        <w:t>selected geographical level. Properly designed sampling</w:t>
      </w:r>
      <w:r>
        <w:rPr>
          <w:spacing w:val="-12"/>
        </w:rPr>
        <w:t> </w:t>
      </w:r>
      <w:r>
        <w:rPr/>
        <w:t>can</w:t>
      </w:r>
      <w:r>
        <w:rPr>
          <w:spacing w:val="-11"/>
        </w:rPr>
        <w:t> </w:t>
      </w:r>
      <w:r>
        <w:rPr/>
        <w:t>greatly</w:t>
      </w:r>
      <w:r>
        <w:rPr>
          <w:spacing w:val="-11"/>
        </w:rPr>
        <w:t> </w:t>
      </w:r>
      <w:r>
        <w:rPr/>
        <w:t>increase</w:t>
      </w:r>
      <w:r>
        <w:rPr>
          <w:spacing w:val="-8"/>
        </w:rPr>
        <w:t> </w:t>
      </w:r>
      <w:r>
        <w:rPr/>
        <w:t>efficiency</w:t>
      </w:r>
      <w:r>
        <w:rPr>
          <w:spacing w:val="-11"/>
        </w:rPr>
        <w:t> </w:t>
      </w:r>
      <w:r>
        <w:rPr/>
        <w:t>in</w:t>
      </w:r>
      <w:r>
        <w:rPr>
          <w:spacing w:val="-11"/>
        </w:rPr>
        <w:t> </w:t>
      </w:r>
      <w:r>
        <w:rPr/>
        <w:t>the</w:t>
      </w:r>
      <w:r>
        <w:rPr>
          <w:spacing w:val="-8"/>
        </w:rPr>
        <w:t> </w:t>
      </w:r>
      <w:r>
        <w:rPr>
          <w:spacing w:val="-3"/>
        </w:rPr>
        <w:t>use</w:t>
      </w:r>
      <w:r>
        <w:rPr>
          <w:spacing w:val="-9"/>
        </w:rPr>
        <w:t> </w:t>
      </w:r>
      <w:r>
        <w:rPr/>
        <w:t>of</w:t>
      </w:r>
      <w:r>
        <w:rPr>
          <w:spacing w:val="-12"/>
        </w:rPr>
        <w:t> </w:t>
      </w:r>
      <w:r>
        <w:rPr/>
        <w:t>inventory</w:t>
      </w:r>
      <w:r>
        <w:rPr>
          <w:spacing w:val="-12"/>
        </w:rPr>
        <w:t> </w:t>
      </w:r>
      <w:r>
        <w:rPr/>
        <w:t>resources.</w:t>
      </w:r>
      <w:r>
        <w:rPr>
          <w:spacing w:val="-10"/>
        </w:rPr>
        <w:t> </w:t>
      </w:r>
      <w:r>
        <w:rPr/>
        <w:t>Furthermore,</w:t>
      </w:r>
      <w:r>
        <w:rPr>
          <w:spacing w:val="-8"/>
        </w:rPr>
        <w:t> </w:t>
      </w:r>
      <w:r>
        <w:rPr/>
        <w:t>field</w:t>
      </w:r>
      <w:r>
        <w:rPr>
          <w:spacing w:val="-9"/>
        </w:rPr>
        <w:t> </w:t>
      </w:r>
      <w:r>
        <w:rPr/>
        <w:t>sampling</w:t>
      </w:r>
      <w:r>
        <w:rPr>
          <w:spacing w:val="-11"/>
        </w:rPr>
        <w:t> </w:t>
      </w:r>
      <w:r>
        <w:rPr/>
        <w:t>is</w:t>
      </w:r>
      <w:r>
        <w:rPr>
          <w:spacing w:val="-9"/>
        </w:rPr>
        <w:t> </w:t>
      </w:r>
      <w:r>
        <w:rPr/>
        <w:t>generally </w:t>
      </w:r>
      <w:r>
        <w:rPr>
          <w:spacing w:val="-2"/>
        </w:rPr>
        <w:t>needed </w:t>
      </w:r>
      <w:r>
        <w:rPr/>
        <w:t>in developing LULUCF inventories because, even if remote sensing data provide complete territorial coverage,</w:t>
      </w:r>
      <w:r>
        <w:rPr>
          <w:spacing w:val="-7"/>
        </w:rPr>
        <w:t> </w:t>
      </w:r>
      <w:r>
        <w:rPr/>
        <w:t>there</w:t>
      </w:r>
      <w:r>
        <w:rPr>
          <w:spacing w:val="-6"/>
        </w:rPr>
        <w:t> </w:t>
      </w:r>
      <w:r>
        <w:rPr>
          <w:spacing w:val="-3"/>
        </w:rPr>
        <w:t>will</w:t>
      </w:r>
      <w:r>
        <w:rPr>
          <w:spacing w:val="-8"/>
        </w:rPr>
        <w:t> </w:t>
      </w:r>
      <w:r>
        <w:rPr/>
        <w:t>be</w:t>
      </w:r>
      <w:r>
        <w:rPr>
          <w:spacing w:val="-7"/>
        </w:rPr>
        <w:t> </w:t>
      </w:r>
      <w:r>
        <w:rPr/>
        <w:t>a</w:t>
      </w:r>
      <w:r>
        <w:rPr>
          <w:spacing w:val="-5"/>
        </w:rPr>
        <w:t> </w:t>
      </w:r>
      <w:r>
        <w:rPr/>
        <w:t>need</w:t>
      </w:r>
      <w:r>
        <w:rPr>
          <w:spacing w:val="-5"/>
        </w:rPr>
        <w:t> </w:t>
      </w:r>
      <w:r>
        <w:rPr/>
        <w:t>for</w:t>
      </w:r>
      <w:r>
        <w:rPr>
          <w:spacing w:val="-7"/>
        </w:rPr>
        <w:t> </w:t>
      </w:r>
      <w:r>
        <w:rPr>
          <w:spacing w:val="-3"/>
        </w:rPr>
        <w:t>ground-based</w:t>
      </w:r>
      <w:r>
        <w:rPr>
          <w:spacing w:val="-7"/>
        </w:rPr>
        <w:t> </w:t>
      </w:r>
      <w:r>
        <w:rPr/>
        <w:t>data</w:t>
      </w:r>
      <w:r>
        <w:rPr>
          <w:spacing w:val="-5"/>
        </w:rPr>
        <w:t> </w:t>
      </w:r>
      <w:r>
        <w:rPr/>
        <w:t>from</w:t>
      </w:r>
      <w:r>
        <w:rPr>
          <w:spacing w:val="-9"/>
        </w:rPr>
        <w:t> </w:t>
      </w:r>
      <w:r>
        <w:rPr/>
        <w:t>sample</w:t>
      </w:r>
      <w:r>
        <w:rPr>
          <w:spacing w:val="-7"/>
        </w:rPr>
        <w:t> </w:t>
      </w:r>
      <w:r>
        <w:rPr/>
        <w:t>sites</w:t>
      </w:r>
      <w:r>
        <w:rPr>
          <w:spacing w:val="-6"/>
        </w:rPr>
        <w:t> </w:t>
      </w:r>
      <w:r>
        <w:rPr>
          <w:spacing w:val="-2"/>
        </w:rPr>
        <w:t>for</w:t>
      </w:r>
      <w:r>
        <w:rPr>
          <w:spacing w:val="-7"/>
        </w:rPr>
        <w:t> </w:t>
      </w:r>
      <w:r>
        <w:rPr/>
        <w:t>interpretation</w:t>
      </w:r>
      <w:r>
        <w:rPr>
          <w:spacing w:val="-7"/>
        </w:rPr>
        <w:t> </w:t>
      </w:r>
      <w:r>
        <w:rPr>
          <w:spacing w:val="-2"/>
        </w:rPr>
        <w:t>and</w:t>
      </w:r>
      <w:r>
        <w:rPr>
          <w:spacing w:val="-5"/>
        </w:rPr>
        <w:t> </w:t>
      </w:r>
      <w:r>
        <w:rPr>
          <w:spacing w:val="-3"/>
        </w:rPr>
        <w:t>verification.</w:t>
      </w:r>
    </w:p>
    <w:p>
      <w:pPr>
        <w:pStyle w:val="BodyText"/>
        <w:rPr>
          <w:sz w:val="22"/>
        </w:rPr>
      </w:pPr>
    </w:p>
    <w:p>
      <w:pPr>
        <w:tabs>
          <w:tab w:pos="1880" w:val="left" w:leader="none"/>
        </w:tabs>
        <w:spacing w:before="145"/>
        <w:ind w:left="179" w:right="0" w:firstLine="0"/>
        <w:jc w:val="both"/>
        <w:rPr>
          <w:b/>
          <w:sz w:val="20"/>
        </w:rPr>
      </w:pPr>
      <w:r>
        <w:rPr>
          <w:b/>
          <w:spacing w:val="8"/>
          <w:sz w:val="20"/>
        </w:rPr>
        <w:t>Figure</w:t>
      </w:r>
      <w:r>
        <w:rPr>
          <w:b/>
          <w:spacing w:val="18"/>
          <w:sz w:val="20"/>
        </w:rPr>
        <w:t> </w:t>
      </w:r>
      <w:r>
        <w:rPr>
          <w:b/>
          <w:spacing w:val="8"/>
          <w:sz w:val="20"/>
        </w:rPr>
        <w:t>5.3.1</w:t>
        <w:tab/>
        <w:t>Principle </w:t>
      </w:r>
      <w:r>
        <w:rPr>
          <w:b/>
          <w:spacing w:val="5"/>
          <w:sz w:val="20"/>
        </w:rPr>
        <w:t>of</w:t>
      </w:r>
      <w:r>
        <w:rPr>
          <w:b/>
          <w:spacing w:val="32"/>
          <w:sz w:val="20"/>
        </w:rPr>
        <w:t> </w:t>
      </w:r>
      <w:r>
        <w:rPr>
          <w:b/>
          <w:spacing w:val="8"/>
          <w:sz w:val="20"/>
        </w:rPr>
        <w:t>sampling</w:t>
      </w:r>
    </w:p>
    <w:p>
      <w:pPr>
        <w:pStyle w:val="BodyText"/>
        <w:rPr>
          <w:b/>
        </w:rPr>
      </w:pPr>
    </w:p>
    <w:p>
      <w:pPr>
        <w:pStyle w:val="BodyText"/>
        <w:spacing w:before="3"/>
        <w:rPr>
          <w:b/>
          <w:sz w:val="23"/>
        </w:rPr>
      </w:pPr>
    </w:p>
    <w:p>
      <w:pPr>
        <w:pStyle w:val="BodyText"/>
        <w:ind w:left="1892" w:right="2103"/>
        <w:jc w:val="center"/>
      </w:pPr>
      <w:r>
        <w:rPr/>
        <w:pict>
          <v:group style="position:absolute;margin-left:147.016006pt;margin-top:12.911242pt;width:300.650pt;height:118.25pt;mso-position-horizontal-relative:page;mso-position-vertical-relative:paragraph;z-index:27536;mso-wrap-distance-left:0;mso-wrap-distance-right:0" coordorigin="2940,258" coordsize="6013,2365">
            <v:shape style="position:absolute;left:2952;top:270;width:2484;height:2340" coordorigin="2953,271" coordsize="2484,2340" path="m4270,741l4071,475,3937,962,3471,662,3572,1116,3087,1166,3406,1526,2953,1665,3337,1934,3102,2200,3505,2246,3519,2611,3819,2234,3954,2404,4088,2152,4287,2311,4354,1996,4671,2152,4635,1824,5122,1963,4837,1603,5053,1492,4906,1288,5437,991,4837,976,5024,614,4623,895,4654,271,4270,741xe" filled="false" stroked="true" strokeweight="1.25pt" strokecolor="#010101">
              <v:path arrowok="t"/>
              <v:stroke dashstyle="solid"/>
            </v:shape>
            <v:shape style="position:absolute;left:5446;top:438;width:1080;height:372" coordorigin="5446,439" coordsize="1080,372" path="m6286,439l6189,441,6094,448,6003,460,5917,476,5836,496,5761,520,5693,547,5631,578,5577,611,5495,685,5452,767,5446,811,5926,811,5934,762,5955,715,6035,627,6093,588,6162,552,6240,520,6328,493,6423,470,6526,453,6468,447,6408,442,6348,440,6286,439xe" filled="true" fillcolor="#cdcdcd" stroked="false">
              <v:path arrowok="t"/>
              <v:fill type="solid"/>
            </v:shape>
            <v:shape style="position:absolute;left:5446;top:438;width:2352;height:372" coordorigin="5446,439" coordsize="2352,372" path="m5446,811l5469,725,5532,647,5631,578,5693,547,5761,520,5836,496,5917,476,6003,460,6094,448,6189,441,6286,439,6766,439,6862,441,6956,448,7046,460,7132,475,7213,495,7289,519,7358,546,7421,576,7475,610,7558,686,7798,686,7366,811,6838,686,7078,686,7040,645,6991,607,6932,572,6865,540,6791,512,6709,488,6620,468,6526,453,6423,470,6328,493,6240,520,6162,552,6093,588,6035,627,5989,670,5934,762,5926,811,5446,811xe" filled="false" stroked="true" strokeweight=".75pt" strokecolor="#010101">
              <v:path arrowok="t"/>
              <v:stroke dashstyle="solid"/>
            </v:shape>
            <v:shape style="position:absolute;left:6286;top:438;width:240;height:15" coordorigin="6286,439" coordsize="240,15" path="m6286,439l6348,440,6408,442,6468,447,6526,453e" filled="false" stroked="true" strokeweight=".75pt" strokecolor="#010101">
              <v:path arrowok="t"/>
              <v:stroke dashstyle="solid"/>
            </v:shape>
            <v:shape style="position:absolute;left:5244;top:2070;width:2352;height:360" coordorigin="5245,2071" coordsize="2352,360" path="m5965,2191l5485,2191,5522,2228,5568,2263,5622,2296,5685,2325,5754,2352,5829,2375,5911,2394,5997,2410,6087,2421,6180,2428,6277,2431,6757,2431,6862,2428,6963,2420,7005,2414,6517,2414,6422,2400,6334,2381,6252,2358,6177,2331,6110,2301,6052,2267,6003,2230,5965,2191xm7597,2071l7117,2071,7110,2118,7089,2163,7054,2206,7008,2247,6950,2285,6881,2319,6803,2350,6716,2376,6620,2398,6517,2414,7005,2414,7060,2406,7151,2388,7236,2366,7314,2339,7385,2309,7446,2276,7498,2239,7540,2200,7571,2159,7590,2115,7597,2071xm5677,2071l5245,2191,6205,2191,5677,2071xe" filled="true" fillcolor="#ffffff" stroked="false">
              <v:path arrowok="t"/>
              <v:fill type="solid"/>
            </v:shape>
            <v:shape style="position:absolute;left:6516;top:2070;width:1080;height:360" coordorigin="6517,2071" coordsize="1080,360" path="m7597,2071l7117,2071,7110,2118,7089,2163,7008,2247,6950,2285,6881,2319,6803,2350,6716,2376,6620,2398,6517,2414,6575,2421,6635,2426,6696,2429,6757,2431,6862,2428,6963,2420,7060,2406,7151,2388,7236,2366,7314,2339,7385,2309,7446,2276,7498,2239,7571,2159,7590,2115,7597,2071xe" filled="true" fillcolor="#cdcdcd" stroked="false">
              <v:path arrowok="t"/>
              <v:fill type="solid"/>
            </v:shape>
            <v:shape style="position:absolute;left:5244;top:2070;width:2352;height:360" coordorigin="5245,2071" coordsize="2352,360" path="m7597,2071l7571,2159,7498,2239,7446,2276,7385,2309,7314,2339,7236,2366,7151,2388,7060,2406,6963,2420,6862,2428,6757,2431,6277,2431,6180,2428,6087,2421,5997,2410,5911,2394,5829,2375,5754,2352,5685,2325,5622,2296,5568,2263,5485,2191,5245,2191,5677,2071,6205,2191,5965,2191,6003,2230,6052,2267,6110,2301,6177,2331,6252,2358,6334,2381,6422,2400,6517,2414,6620,2398,6716,2376,6803,2350,6881,2319,6950,2285,7008,2247,7054,2206,7110,2118,7117,2071,7597,2071xe" filled="false" stroked="true" strokeweight=".75pt" strokecolor="#010101">
              <v:path arrowok="t"/>
              <v:stroke dashstyle="solid"/>
            </v:shape>
            <v:shape style="position:absolute;left:6516;top:2413;width:240;height:17" coordorigin="6517,2414" coordsize="240,17" path="m6757,2431l6696,2429,6635,2426,6575,2421,6517,2414e" filled="false" stroked="true" strokeweight=".75pt" strokecolor="#010101">
              <v:path arrowok="t"/>
              <v:stroke dashstyle="solid"/>
            </v:shape>
            <v:shape style="position:absolute;left:8007;top:1129;width:344;height:125" type="#_x0000_t75" stroked="false">
              <v:imagedata r:id="rId385" o:title=""/>
            </v:shape>
            <v:rect style="position:absolute;left:8381;top:1223;width:3;height:32" filled="true" fillcolor="#f0f0f0" stroked="false">
              <v:fill type="solid"/>
            </v:rect>
            <v:shape style="position:absolute;left:8007;top:1254;width:377;height:156" type="#_x0000_t75" stroked="false">
              <v:imagedata r:id="rId386" o:title=""/>
            </v:shape>
            <v:rect style="position:absolute;left:8381;top:1379;width:3;height:32" filled="true" fillcolor="#f6f6f6" stroked="false">
              <v:fill type="solid"/>
            </v:rect>
            <v:rect style="position:absolute;left:8381;top:1410;width:3;height:32" filled="true" fillcolor="#f9f9f9" stroked="false">
              <v:fill type="solid"/>
            </v:rect>
            <v:shape style="position:absolute;left:8381;top:1036;width:332;height:94" type="#_x0000_t75" stroked="false">
              <v:imagedata r:id="rId387" o:title=""/>
            </v:shape>
            <v:shape style="position:absolute;left:7767;top:1129;width:946;height:418" type="#_x0000_t75" stroked="false">
              <v:imagedata r:id="rId388" o:title=""/>
            </v:shape>
            <v:rect style="position:absolute;left:8256;top:1753;width:8;height:32" filled="true" fillcolor="#e2e2e2" stroked="false">
              <v:fill type="solid"/>
            </v:rect>
            <v:rect style="position:absolute;left:8256;top:1785;width:8;height:32" filled="true" fillcolor="#f8f8f8" stroked="false">
              <v:fill type="solid"/>
            </v:rect>
            <v:shape style="position:absolute;left:7882;top:1691;width:382;height:250" type="#_x0000_t75" stroked="false">
              <v:imagedata r:id="rId389" o:title=""/>
            </v:shape>
            <v:shape style="position:absolute;left:7882;top:1909;width:382;height:147" type="#_x0000_t75" stroked="false">
              <v:imagedata r:id="rId390" o:title=""/>
            </v:shape>
            <v:rect style="position:absolute;left:8789;top:1487;width:44;height:44" filled="true" fillcolor="#f7f7f7" stroked="false">
              <v:fill type="solid"/>
            </v:rect>
            <v:shape style="position:absolute;left:8139;top:1487;width:780;height:293" type="#_x0000_t75" stroked="false">
              <v:imagedata r:id="rId391" o:title=""/>
            </v:shape>
            <v:shape style="position:absolute;left:8444;top:1660;width:509;height:336" type="#_x0000_t75" stroked="false">
              <v:imagedata r:id="rId392" o:title=""/>
            </v:shape>
            <v:shape style="position:absolute;left:3639;top:1367;width:888;height:221" type="#_x0000_t202" filled="false" stroked="false">
              <v:textbox inset="0,0,0,0">
                <w:txbxContent>
                  <w:p>
                    <w:pPr>
                      <w:spacing w:line="221" w:lineRule="exact" w:before="0"/>
                      <w:ind w:left="0" w:right="0" w:firstLine="0"/>
                      <w:jc w:val="left"/>
                      <w:rPr>
                        <w:sz w:val="20"/>
                      </w:rPr>
                    </w:pPr>
                    <w:r>
                      <w:rPr>
                        <w:sz w:val="20"/>
                      </w:rPr>
                      <w:t>Population</w:t>
                    </w:r>
                  </w:p>
                </w:txbxContent>
              </v:textbox>
              <w10:wrap type="none"/>
            </v:shape>
            <v:shape style="position:absolute;left:8252;top:2104;width:618;height:221" type="#_x0000_t202" filled="false" stroked="false">
              <v:textbox inset="0,0,0,0">
                <w:txbxContent>
                  <w:p>
                    <w:pPr>
                      <w:spacing w:line="221" w:lineRule="exact" w:before="0"/>
                      <w:ind w:left="0" w:right="0" w:firstLine="0"/>
                      <w:jc w:val="left"/>
                      <w:rPr>
                        <w:sz w:val="20"/>
                      </w:rPr>
                    </w:pPr>
                    <w:r>
                      <w:rPr>
                        <w:sz w:val="20"/>
                      </w:rPr>
                      <w:t>Sample</w:t>
                    </w:r>
                  </w:p>
                </w:txbxContent>
              </v:textbox>
              <w10:wrap type="none"/>
            </v:shape>
            <w10:wrap type="topAndBottom"/>
          </v:group>
        </w:pict>
      </w:r>
      <w:r>
        <w:rPr/>
        <w:t>Selection</w:t>
      </w:r>
    </w:p>
    <w:p>
      <w:pPr>
        <w:pStyle w:val="BodyText"/>
        <w:ind w:left="1892" w:right="2092"/>
        <w:jc w:val="center"/>
      </w:pPr>
      <w:r>
        <w:rPr/>
        <w:t>Inference</w:t>
      </w:r>
    </w:p>
    <w:p>
      <w:pPr>
        <w:pStyle w:val="BodyText"/>
      </w:pPr>
    </w:p>
    <w:p>
      <w:pPr>
        <w:pStyle w:val="BodyText"/>
        <w:spacing w:before="3"/>
      </w:pPr>
    </w:p>
    <w:p>
      <w:pPr>
        <w:pStyle w:val="BodyText"/>
        <w:ind w:left="179" w:right="1404"/>
        <w:jc w:val="both"/>
      </w:pPr>
      <w:r>
        <w:rPr/>
        <w:t>Standard sampling theory relies on random selection of a sample from the population; each unit in the population has a specific probability of being included in the sample. This is the case when sample plots have been distributed entirely at random within an area, or when plots have been distributed in a systematic grid system as long as the positioning of the grid is random. Random sampling reduces the risk of bias and allows for an objective assessment of the uncertainty of the estimates. Therefore, randomly sampled data generally should be used where available, or when setting up new surveys.</w:t>
      </w:r>
    </w:p>
    <w:p>
      <w:pPr>
        <w:pStyle w:val="BodyText"/>
        <w:spacing w:before="120"/>
        <w:ind w:left="179" w:right="1404"/>
        <w:jc w:val="both"/>
      </w:pPr>
      <w:r>
        <w:rPr/>
        <w:t>Samples may also be taken at subjectively chosen locations, which are assumed to be representative for the population. This is called subjective (or purposive) sampling and data from such surveys are often used in</w:t>
      </w:r>
    </w:p>
    <w:p>
      <w:pPr>
        <w:spacing w:after="0"/>
        <w:jc w:val="both"/>
        <w:sectPr>
          <w:headerReference w:type="default" r:id="rId381"/>
          <w:headerReference w:type="even" r:id="rId382"/>
          <w:footerReference w:type="default" r:id="rId383"/>
          <w:footerReference w:type="even" r:id="rId384"/>
          <w:pgSz w:w="11900" w:h="16840"/>
          <w:pgMar w:header="230" w:footer="408" w:top="560" w:bottom="600" w:left="1240" w:right="0"/>
          <w:pgNumType w:start="21"/>
        </w:sectPr>
      </w:pPr>
    </w:p>
    <w:p>
      <w:pPr>
        <w:pStyle w:val="BodyText"/>
      </w:pPr>
    </w:p>
    <w:p>
      <w:pPr>
        <w:pStyle w:val="BodyText"/>
        <w:spacing w:before="2"/>
        <w:rPr>
          <w:sz w:val="18"/>
        </w:rPr>
      </w:pPr>
    </w:p>
    <w:p>
      <w:pPr>
        <w:pStyle w:val="BodyText"/>
        <w:ind w:left="179" w:right="1404"/>
        <w:jc w:val="both"/>
      </w:pPr>
      <w:r>
        <w:rPr/>
        <w:t>greenhouse gas inventories (i.e., when observations from survey sites that were not selected randomly are used to represent an entire land category or subdivision). Under these conditions, observations about, for example, forest type might be extrapolated to areas for which they are not representative. However, due to limited resources greenhouse gas inventories may need to make use of data also from subjectively selected sites or research plots. In this case, it is </w:t>
      </w:r>
      <w:r>
        <w:rPr>
          <w:i/>
        </w:rPr>
        <w:t>good practice </w:t>
      </w:r>
      <w:r>
        <w:rPr/>
        <w:t>to identify, in consultation with the agencies responsible for the sites or plots, the land areas for which the subjective samples can be regarded as representative.</w:t>
      </w:r>
    </w:p>
    <w:p>
      <w:pPr>
        <w:pStyle w:val="BodyText"/>
        <w:rPr>
          <w:sz w:val="22"/>
        </w:rPr>
      </w:pPr>
    </w:p>
    <w:p>
      <w:pPr>
        <w:pStyle w:val="BodyText"/>
        <w:spacing w:before="3"/>
      </w:pPr>
    </w:p>
    <w:p>
      <w:pPr>
        <w:pStyle w:val="Heading2"/>
        <w:numPr>
          <w:ilvl w:val="2"/>
          <w:numId w:val="174"/>
        </w:numPr>
        <w:tabs>
          <w:tab w:pos="1382" w:val="left" w:leader="none"/>
        </w:tabs>
        <w:spacing w:line="240" w:lineRule="auto" w:before="0" w:after="0"/>
        <w:ind w:left="1381" w:right="0" w:hanging="1202"/>
        <w:jc w:val="both"/>
      </w:pPr>
      <w:bookmarkStart w:name="_TOC_250044" w:id="11"/>
      <w:r>
        <w:rPr>
          <w:spacing w:val="8"/>
        </w:rPr>
        <w:t>Sampling</w:t>
      </w:r>
      <w:r>
        <w:rPr>
          <w:spacing w:val="22"/>
        </w:rPr>
        <w:t> </w:t>
      </w:r>
      <w:bookmarkEnd w:id="11"/>
      <w:r>
        <w:rPr>
          <w:spacing w:val="9"/>
        </w:rPr>
        <w:t>Design</w:t>
      </w:r>
    </w:p>
    <w:p>
      <w:pPr>
        <w:pStyle w:val="BodyText"/>
        <w:spacing w:before="114"/>
        <w:ind w:left="179" w:right="1403"/>
        <w:jc w:val="both"/>
      </w:pPr>
      <w:r>
        <w:rPr/>
        <w:t>Sampling design determines how the sampling units (the sites or plots) are selected from the population and thus what statistical estimation procedures should be applied to make inferences from the sample. Random sampling designs can be divided into two main groups, depending on whether or not the population is </w:t>
      </w:r>
      <w:r>
        <w:rPr>
          <w:i/>
        </w:rPr>
        <w:t>stratified </w:t>
      </w:r>
      <w:r>
        <w:rPr/>
        <w:t>(i.e., subdivided before sampling) using auxiliary information. Stratified surveys will generally be more efficient in terms of what accuracy can be achieved at a certain cost. On the other hand, they tend to be slightly more complex, which increases the risk of non- sampling errors due to incorrect use of the collected data. Sampling designs should aim for a good compromise between simplicity and efficiency, and this can be promoted by following three aspects of </w:t>
      </w:r>
      <w:r>
        <w:rPr>
          <w:i/>
        </w:rPr>
        <w:t>good practice </w:t>
      </w:r>
      <w:r>
        <w:rPr/>
        <w:t>as set out below:</w:t>
      </w:r>
    </w:p>
    <w:p>
      <w:pPr>
        <w:pStyle w:val="ListParagraph"/>
        <w:numPr>
          <w:ilvl w:val="0"/>
          <w:numId w:val="117"/>
        </w:numPr>
        <w:tabs>
          <w:tab w:pos="540" w:val="left" w:leader="none"/>
        </w:tabs>
        <w:spacing w:line="240" w:lineRule="auto" w:before="132" w:after="0"/>
        <w:ind w:left="539" w:right="0" w:hanging="360"/>
        <w:jc w:val="both"/>
        <w:rPr>
          <w:sz w:val="20"/>
        </w:rPr>
      </w:pPr>
      <w:r>
        <w:rPr>
          <w:sz w:val="20"/>
        </w:rPr>
        <w:t>Use of auxiliary data and</w:t>
      </w:r>
      <w:r>
        <w:rPr>
          <w:spacing w:val="-7"/>
          <w:sz w:val="20"/>
        </w:rPr>
        <w:t> </w:t>
      </w:r>
      <w:r>
        <w:rPr>
          <w:sz w:val="20"/>
        </w:rPr>
        <w:t>stratification;</w:t>
      </w:r>
    </w:p>
    <w:p>
      <w:pPr>
        <w:pStyle w:val="ListParagraph"/>
        <w:numPr>
          <w:ilvl w:val="0"/>
          <w:numId w:val="117"/>
        </w:numPr>
        <w:tabs>
          <w:tab w:pos="540" w:val="left" w:leader="none"/>
        </w:tabs>
        <w:spacing w:line="240" w:lineRule="auto" w:before="119" w:after="0"/>
        <w:ind w:left="539" w:right="0" w:hanging="360"/>
        <w:jc w:val="both"/>
        <w:rPr>
          <w:sz w:val="20"/>
        </w:rPr>
      </w:pPr>
      <w:r>
        <w:rPr>
          <w:sz w:val="20"/>
        </w:rPr>
        <w:t>Systematic</w:t>
      </w:r>
      <w:r>
        <w:rPr>
          <w:spacing w:val="-1"/>
          <w:sz w:val="20"/>
        </w:rPr>
        <w:t> </w:t>
      </w:r>
      <w:r>
        <w:rPr>
          <w:sz w:val="20"/>
        </w:rPr>
        <w:t>sampling;</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Permanent sample plots and time series</w:t>
      </w:r>
      <w:r>
        <w:rPr>
          <w:spacing w:val="-1"/>
          <w:sz w:val="20"/>
        </w:rPr>
        <w:t> </w:t>
      </w:r>
      <w:r>
        <w:rPr>
          <w:sz w:val="20"/>
        </w:rPr>
        <w:t>data.</w:t>
      </w:r>
    </w:p>
    <w:p>
      <w:pPr>
        <w:pStyle w:val="BodyText"/>
        <w:spacing w:before="2"/>
        <w:rPr>
          <w:sz w:val="33"/>
        </w:rPr>
      </w:pPr>
    </w:p>
    <w:p>
      <w:pPr>
        <w:pStyle w:val="Heading6"/>
        <w:numPr>
          <w:ilvl w:val="3"/>
          <w:numId w:val="174"/>
        </w:numPr>
        <w:tabs>
          <w:tab w:pos="1620" w:val="left" w:leader="none"/>
        </w:tabs>
        <w:spacing w:line="240" w:lineRule="auto" w:before="1" w:after="0"/>
        <w:ind w:left="1619" w:right="0" w:hanging="1440"/>
        <w:jc w:val="both"/>
      </w:pPr>
      <w:bookmarkStart w:name="_TOC_250043" w:id="12"/>
      <w:r>
        <w:rPr>
          <w:spacing w:val="12"/>
          <w:sz w:val="28"/>
        </w:rPr>
        <w:t>U</w:t>
      </w:r>
      <w:r>
        <w:rPr>
          <w:spacing w:val="12"/>
        </w:rPr>
        <w:t>SE </w:t>
      </w:r>
      <w:r>
        <w:rPr>
          <w:spacing w:val="10"/>
        </w:rPr>
        <w:t>OF </w:t>
      </w:r>
      <w:r>
        <w:rPr>
          <w:spacing w:val="17"/>
        </w:rPr>
        <w:t>AUXILIARY </w:t>
      </w:r>
      <w:r>
        <w:rPr>
          <w:spacing w:val="14"/>
        </w:rPr>
        <w:t>DATA </w:t>
      </w:r>
      <w:r>
        <w:rPr>
          <w:spacing w:val="12"/>
        </w:rPr>
        <w:t>AND</w:t>
      </w:r>
      <w:r>
        <w:rPr>
          <w:spacing w:val="15"/>
        </w:rPr>
        <w:t> </w:t>
      </w:r>
      <w:bookmarkEnd w:id="12"/>
      <w:r>
        <w:rPr>
          <w:spacing w:val="17"/>
        </w:rPr>
        <w:t>STRATIFICATION</w:t>
      </w:r>
    </w:p>
    <w:p>
      <w:pPr>
        <w:pStyle w:val="BodyText"/>
        <w:spacing w:before="211"/>
        <w:ind w:left="179" w:right="1405"/>
        <w:jc w:val="both"/>
      </w:pPr>
      <w:r>
        <w:rPr/>
        <w:t>One of the most important sampling designs which incorporate auxiliary information is </w:t>
      </w:r>
      <w:r>
        <w:rPr>
          <w:i/>
        </w:rPr>
        <w:t>stratification</w:t>
      </w:r>
      <w:r>
        <w:rPr/>
        <w:t>, whereby the population is divided into subpopulations on the basis of </w:t>
      </w:r>
      <w:r>
        <w:rPr>
          <w:i/>
        </w:rPr>
        <w:t>auxiliary data</w:t>
      </w:r>
      <w:r>
        <w:rPr/>
        <w:t>. These data may consist of knowledge of legal, administrative boundaries or boundaries of forest administrations which will be efficient to sample separately, or maps or remote sensing data distinguishing between upland and lowland areas or between different ecosystem types. Since stratification is intended to increase efficiency, it is </w:t>
      </w:r>
      <w:r>
        <w:rPr>
          <w:i/>
        </w:rPr>
        <w:t>good practice </w:t>
      </w:r>
      <w:r>
        <w:rPr/>
        <w:t>to use auxiliary data when such data are available or can be made available at low additional</w:t>
      </w:r>
      <w:r>
        <w:rPr>
          <w:spacing w:val="-10"/>
        </w:rPr>
        <w:t> </w:t>
      </w:r>
      <w:r>
        <w:rPr/>
        <w:t>cost.</w:t>
      </w:r>
    </w:p>
    <w:p>
      <w:pPr>
        <w:pStyle w:val="BodyText"/>
        <w:spacing w:before="117"/>
        <w:ind w:left="179" w:right="1406"/>
        <w:jc w:val="both"/>
      </w:pPr>
      <w:r>
        <w:rPr/>
        <w:t>Stratification increases efficiency in two main ways: (i) by improving the accuracy of the estimate for the entire population; and (ii) by ensuring that adequate results are obtained for certain subpopulations, e.g., for certain administrative regions.</w:t>
      </w:r>
    </w:p>
    <w:p>
      <w:pPr>
        <w:pStyle w:val="BodyText"/>
        <w:spacing w:before="119"/>
        <w:ind w:left="179" w:right="1404"/>
        <w:jc w:val="both"/>
      </w:pPr>
      <w:r>
        <w:rPr/>
        <w:t>On the first issue, stratification increases sampling efficiency if a subdivision of the population is made so that the variability between units within a stratum is reduced as compared to the variability within the entire population. For example, a country may be divided into a lowland region (with certain features of the land- use categories of interest) and an upland region (with different features of the corresponding categories). If each stratum is homogeneous a precise overall estimate can be obtained using only a limited sample from each stratum. The second issue is important for purposes of providing results at a specific degree of accuracy for all administrative regions of interest, but also in case sampled data are to be used together with other existing datasets,</w:t>
      </w:r>
      <w:r>
        <w:rPr>
          <w:spacing w:val="-1"/>
        </w:rPr>
        <w:t> </w:t>
      </w:r>
      <w:r>
        <w:rPr/>
        <w:t>which</w:t>
      </w:r>
      <w:r>
        <w:rPr>
          <w:spacing w:val="-2"/>
        </w:rPr>
        <w:t> </w:t>
      </w:r>
      <w:r>
        <w:rPr/>
        <w:t>have</w:t>
      </w:r>
      <w:r>
        <w:rPr>
          <w:spacing w:val="-4"/>
        </w:rPr>
        <w:t> </w:t>
      </w:r>
      <w:r>
        <w:rPr/>
        <w:t>been</w:t>
      </w:r>
      <w:r>
        <w:rPr>
          <w:spacing w:val="-4"/>
        </w:rPr>
        <w:t> </w:t>
      </w:r>
      <w:r>
        <w:rPr/>
        <w:t>collected</w:t>
      </w:r>
      <w:r>
        <w:rPr>
          <w:spacing w:val="-2"/>
        </w:rPr>
        <w:t> </w:t>
      </w:r>
      <w:r>
        <w:rPr/>
        <w:t>using</w:t>
      </w:r>
      <w:r>
        <w:rPr>
          <w:spacing w:val="-5"/>
        </w:rPr>
        <w:t> </w:t>
      </w:r>
      <w:r>
        <w:rPr/>
        <w:t>different</w:t>
      </w:r>
      <w:r>
        <w:rPr>
          <w:spacing w:val="-3"/>
        </w:rPr>
        <w:t> </w:t>
      </w:r>
      <w:r>
        <w:rPr/>
        <w:t>protocols</w:t>
      </w:r>
      <w:r>
        <w:rPr>
          <w:spacing w:val="-2"/>
        </w:rPr>
        <w:t> </w:t>
      </w:r>
      <w:r>
        <w:rPr/>
        <w:t>with</w:t>
      </w:r>
      <w:r>
        <w:rPr>
          <w:spacing w:val="-5"/>
        </w:rPr>
        <w:t> </w:t>
      </w:r>
      <w:r>
        <w:rPr/>
        <w:t>the</w:t>
      </w:r>
      <w:r>
        <w:rPr>
          <w:spacing w:val="-3"/>
        </w:rPr>
        <w:t> </w:t>
      </w:r>
      <w:r>
        <w:rPr/>
        <w:t>same</w:t>
      </w:r>
      <w:r>
        <w:rPr>
          <w:spacing w:val="-3"/>
        </w:rPr>
        <w:t> </w:t>
      </w:r>
      <w:r>
        <w:rPr/>
        <w:t>administrative</w:t>
      </w:r>
      <w:r>
        <w:rPr>
          <w:spacing w:val="-1"/>
        </w:rPr>
        <w:t> </w:t>
      </w:r>
      <w:r>
        <w:rPr/>
        <w:t>or</w:t>
      </w:r>
      <w:r>
        <w:rPr>
          <w:spacing w:val="-2"/>
        </w:rPr>
        <w:t> </w:t>
      </w:r>
      <w:r>
        <w:rPr/>
        <w:t>legal</w:t>
      </w:r>
      <w:r>
        <w:rPr>
          <w:spacing w:val="-3"/>
        </w:rPr>
        <w:t> </w:t>
      </w:r>
      <w:r>
        <w:rPr/>
        <w:t>boundaries.</w:t>
      </w:r>
    </w:p>
    <w:p>
      <w:pPr>
        <w:pStyle w:val="BodyText"/>
        <w:spacing w:before="119"/>
        <w:ind w:left="179" w:right="1406"/>
        <w:jc w:val="both"/>
      </w:pPr>
      <w:r>
        <w:rPr/>
        <w:t>Use of remote sensing or map data for identifying the boundaries of the strata (the land- use class subdivisions to be included in a sample survey) can introduce errors where some areas may be incorrectly classified as belonging to the stratum whilst other areas that do belong to the specific class are missed. Errors of this kind can lead to substantial bias in the final estimates, since the area identified for sampling will then not correspond to the target population. Whenever there is an obvious risk that errors of this kind may occur, it is </w:t>
      </w:r>
      <w:r>
        <w:rPr>
          <w:i/>
        </w:rPr>
        <w:t>good practice </w:t>
      </w:r>
      <w:r>
        <w:rPr/>
        <w:t>to make an assessment of the potential impact of such errors using ground truth</w:t>
      </w:r>
      <w:r>
        <w:rPr>
          <w:spacing w:val="-15"/>
        </w:rPr>
        <w:t> </w:t>
      </w:r>
      <w:r>
        <w:rPr/>
        <w:t>data.</w:t>
      </w:r>
    </w:p>
    <w:p>
      <w:pPr>
        <w:pStyle w:val="BodyText"/>
        <w:spacing w:before="120"/>
        <w:ind w:left="179" w:right="1404"/>
        <w:jc w:val="both"/>
      </w:pPr>
      <w:r>
        <w:rPr/>
        <w:t>When data for the reporting of greenhouse gas emissions or removals are taken from existing large- scale inventories, such as national forest inventories, it is convenient to apply the standard estimation procedures of that inventory, as long as they are based on sound statistical principles. In addition, </w:t>
      </w:r>
      <w:r>
        <w:rPr>
          <w:i/>
        </w:rPr>
        <w:t>post- stratification </w:t>
      </w:r>
      <w:r>
        <w:rPr/>
        <w:t>(i.e., defining strata based on remote sensing or map auxiliary data after the field survey has been conducted) means that it may be possible to use new auxiliary data to increase efficiency without changing the basic field design (Dees </w:t>
      </w:r>
      <w:r>
        <w:rPr>
          <w:i/>
        </w:rPr>
        <w:t>et al. </w:t>
      </w:r>
      <w:r>
        <w:rPr/>
        <w:t>1998). Using this estimation principle, the risk for bias pointed out in the previous paragraph also can be</w:t>
      </w:r>
      <w:r>
        <w:rPr>
          <w:spacing w:val="-1"/>
        </w:rPr>
        <w:t> </w:t>
      </w:r>
      <w:r>
        <w:rPr/>
        <w:t>avoided.</w:t>
      </w:r>
    </w:p>
    <w:p>
      <w:pPr>
        <w:spacing w:after="0"/>
        <w:jc w:val="both"/>
        <w:sectPr>
          <w:pgSz w:w="11900" w:h="16840"/>
          <w:pgMar w:header="230" w:footer="408" w:top="560" w:bottom="600" w:left="1240" w:right="0"/>
        </w:sectPr>
      </w:pPr>
    </w:p>
    <w:p>
      <w:pPr>
        <w:pStyle w:val="BodyText"/>
      </w:pPr>
    </w:p>
    <w:p>
      <w:pPr>
        <w:pStyle w:val="BodyText"/>
        <w:spacing w:before="2"/>
        <w:rPr>
          <w:sz w:val="19"/>
        </w:rPr>
      </w:pPr>
    </w:p>
    <w:p>
      <w:pPr>
        <w:pStyle w:val="Heading6"/>
        <w:numPr>
          <w:ilvl w:val="3"/>
          <w:numId w:val="174"/>
        </w:numPr>
        <w:tabs>
          <w:tab w:pos="1619" w:val="left" w:leader="none"/>
          <w:tab w:pos="1620" w:val="left" w:leader="none"/>
        </w:tabs>
        <w:spacing w:line="240" w:lineRule="auto" w:before="89" w:after="0"/>
        <w:ind w:left="1619" w:right="0" w:hanging="1440"/>
        <w:jc w:val="left"/>
      </w:pPr>
      <w:bookmarkStart w:name="_TOC_250042" w:id="13"/>
      <w:r>
        <w:rPr>
          <w:spacing w:val="16"/>
          <w:sz w:val="28"/>
        </w:rPr>
        <w:t>S</w:t>
      </w:r>
      <w:r>
        <w:rPr>
          <w:spacing w:val="16"/>
        </w:rPr>
        <w:t>YSTEMATIC</w:t>
      </w:r>
      <w:r>
        <w:rPr>
          <w:spacing w:val="39"/>
        </w:rPr>
        <w:t> </w:t>
      </w:r>
      <w:bookmarkEnd w:id="13"/>
      <w:r>
        <w:rPr>
          <w:spacing w:val="18"/>
        </w:rPr>
        <w:t>SAMPLING</w:t>
      </w:r>
    </w:p>
    <w:p>
      <w:pPr>
        <w:pStyle w:val="BodyText"/>
        <w:spacing w:before="211"/>
        <w:ind w:left="179" w:right="1404"/>
        <w:jc w:val="both"/>
      </w:pPr>
      <w:r>
        <w:rPr/>
        <w:t>Sample based forest or </w:t>
      </w:r>
      <w:r>
        <w:rPr>
          <w:spacing w:val="2"/>
        </w:rPr>
        <w:t>land-use </w:t>
      </w:r>
      <w:r>
        <w:rPr/>
        <w:t>surveys generally make use of sample points or plots on which the characteristics of interest are recorded. One important issue here regards the layout of these points or plots. It is often appropriate to allocate the plots in small clusters in order to minimise travel costs when covering large areas with a sample based survey. With cluster sampling, the distance between plots should be large enough to avoid major between-plot correlation, taking (for forest sampling) stand size into account. An important issue is whether plots (or clusters of plots) should be laid out entirely at random or systematically using a regular grid, which is randomly located over the area of interest (see Figure 5.3.2). In general, it is efficient to use systematic sampling, since in most cases this will increase the precision of the estimates. Systematic sampling also simplifies the fieldwork.</w:t>
      </w:r>
    </w:p>
    <w:p>
      <w:pPr>
        <w:pStyle w:val="BodyText"/>
        <w:rPr>
          <w:sz w:val="22"/>
        </w:rPr>
      </w:pPr>
    </w:p>
    <w:p>
      <w:pPr>
        <w:tabs>
          <w:tab w:pos="1881" w:val="left" w:leader="none"/>
        </w:tabs>
        <w:spacing w:before="145"/>
        <w:ind w:left="179" w:right="0" w:firstLine="0"/>
        <w:jc w:val="left"/>
        <w:rPr>
          <w:b/>
          <w:sz w:val="20"/>
        </w:rPr>
      </w:pPr>
      <w:r>
        <w:rPr>
          <w:b/>
          <w:spacing w:val="8"/>
          <w:sz w:val="20"/>
        </w:rPr>
        <w:t>Figure</w:t>
      </w:r>
      <w:r>
        <w:rPr>
          <w:b/>
          <w:spacing w:val="18"/>
          <w:sz w:val="20"/>
        </w:rPr>
        <w:t> </w:t>
      </w:r>
      <w:r>
        <w:rPr>
          <w:b/>
          <w:spacing w:val="8"/>
          <w:sz w:val="20"/>
        </w:rPr>
        <w:t>5.3.2</w:t>
        <w:tab/>
      </w:r>
      <w:r>
        <w:rPr>
          <w:b/>
          <w:spacing w:val="7"/>
          <w:sz w:val="20"/>
        </w:rPr>
        <w:t>Simple </w:t>
      </w:r>
      <w:r>
        <w:rPr>
          <w:b/>
          <w:spacing w:val="8"/>
          <w:sz w:val="20"/>
        </w:rPr>
        <w:t>random layout </w:t>
      </w:r>
      <w:r>
        <w:rPr>
          <w:b/>
          <w:spacing w:val="5"/>
          <w:sz w:val="20"/>
        </w:rPr>
        <w:t>of </w:t>
      </w:r>
      <w:r>
        <w:rPr>
          <w:b/>
          <w:spacing w:val="7"/>
          <w:sz w:val="20"/>
        </w:rPr>
        <w:t>plots </w:t>
      </w:r>
      <w:r>
        <w:rPr>
          <w:b/>
          <w:spacing w:val="8"/>
          <w:sz w:val="20"/>
        </w:rPr>
        <w:t>(left) </w:t>
      </w:r>
      <w:r>
        <w:rPr>
          <w:b/>
          <w:spacing w:val="6"/>
          <w:sz w:val="20"/>
        </w:rPr>
        <w:t>and </w:t>
      </w:r>
      <w:r>
        <w:rPr>
          <w:b/>
          <w:spacing w:val="8"/>
          <w:sz w:val="20"/>
        </w:rPr>
        <w:t>systematic layout</w:t>
      </w:r>
      <w:r>
        <w:rPr>
          <w:b/>
          <w:spacing w:val="12"/>
          <w:sz w:val="20"/>
        </w:rPr>
        <w:t> </w:t>
      </w:r>
      <w:r>
        <w:rPr>
          <w:b/>
          <w:spacing w:val="9"/>
          <w:sz w:val="20"/>
        </w:rPr>
        <w:t>(right)</w:t>
      </w:r>
    </w:p>
    <w:p>
      <w:pPr>
        <w:pStyle w:val="BodyText"/>
        <w:spacing w:before="3"/>
        <w:rPr>
          <w:b/>
          <w:sz w:val="14"/>
        </w:rPr>
      </w:pPr>
      <w:r>
        <w:rPr/>
        <w:pict>
          <v:group style="position:absolute;margin-left:152.666pt;margin-top:10.179111pt;width:108.65pt;height:106.95pt;mso-position-horizontal-relative:page;mso-position-vertical-relative:paragraph;z-index:27560;mso-wrap-distance-left:0;mso-wrap-distance-right:0" coordorigin="3053,204" coordsize="2173,2139">
            <v:rect style="position:absolute;left:3070;top:211;width:2148;height:2124" filled="false" stroked="true" strokeweight=".75pt" strokecolor="#010101">
              <v:stroke dashstyle="solid"/>
            </v:rect>
            <v:shape style="position:absolute;left:3060;top:237;width:795;height:872" coordorigin="3061,237" coordsize="795,872" path="m3061,883l3072,890,3084,897,3095,904,3106,912,3117,923,3127,936,3138,947,3150,957,3165,967,3181,974,3196,981,3210,989,3270,1028,3325,1061,3382,1089,3450,1109,3530,1098,3590,1085,3644,1060,3706,1017,3718,978,3721,972,3732,971,3766,943,3798,908,3803,897,3796,898,3790,901,3800,895,3841,869,3845,853,3851,838,3855,823,3855,809,3851,796,3843,785,3834,775,3826,763,3795,703,3789,680,3785,669,3781,657,3774,646,3766,635,3758,624,3750,612,3747,602,3744,590,3741,579,3692,534,3675,523,3649,505,3620,485,3596,469,3586,463,3589,452,3625,403,3637,397,3667,332,3675,297,3657,269,3649,257,3639,250,3615,237e" filled="false" stroked="true" strokeweight=".75pt" strokecolor="#010101">
              <v:path arrowok="t"/>
              <v:stroke dashstyle="solid"/>
            </v:shape>
            <v:shape style="position:absolute;left:3809;top:823;width:1380;height:1289" coordorigin="3810,823" coordsize="1380,1289" path="m3810,823l3847,855,3871,888,3890,925,3915,972,3918,1057,3919,1143,3920,1229,3923,1315,3931,1400,3946,1483,4010,1508,4035,1512,4101,1528,4168,1536,4237,1539,4306,1543,4329,1549,4353,1554,4375,1561,4395,1572,4422,1606,4446,1648,4475,1687,4515,1709,4582,1716,4650,1719,4718,1721,4786,1723,4818,1772,4849,1818,4883,1861,4921,1903,4932,1940,4969,2017,5039,2049,5090,2059,5138,2070,5175,2083,5185,2088,5185,2102,5190,2112e" filled="false" stroked="true" strokeweight=".75pt" strokecolor="#010101">
              <v:path arrowok="t"/>
              <v:stroke dashstyle="solid"/>
            </v:shape>
            <v:shape style="position:absolute;left:3346;top:1377;width:555;height:946" coordorigin="3346,1377" coordsize="555,946" path="m3901,1377l3865,1409,3827,1439,3792,1473,3755,1538,3735,1603,3736,1670,3738,1742,3735,1815,3722,1885,3690,1949,3634,1998,3555,2023,3463,2044,3406,2052,3394,2060,3382,2067,3371,2074,3361,2083,3346,2130,3363,2179,3394,2226,3421,2263,3438,2297,3436,2307,3438,2310,3466,2323e" filled="false" stroked="true" strokeweight=".75pt" strokecolor="#010101">
              <v:path arrowok="t"/>
              <v:stroke dashstyle="solid"/>
            </v:shape>
            <v:shape style="position:absolute;left:4293;top:223;width:494;height:1529" coordorigin="4293,223" coordsize="494,1529" path="m4321,223l4325,292,4322,366,4313,442,4304,519,4296,594,4293,668,4298,736,4315,799,4346,853,4395,897,4411,921,4455,989,4462,1019,4464,1035,4470,1049,4530,1095,4615,1126,4707,1148,4786,1169,4771,1191,4756,1213,4741,1236,4726,1257,4720,1271,4717,1287,4715,1302,4710,1317,4704,1330,4697,1341,4689,1352,4681,1363,4666,1423,4650,1483,4633,1527,4624,1549,4621,1572,4621,1617,4621,1662,4621,1707,4621,1752e" filled="false" stroked="true" strokeweight=".75pt" strokecolor="#010101">
              <v:path arrowok="t"/>
              <v:stroke dashstyle="solid"/>
            </v:shape>
            <v:shape style="position:absolute;left:3305;top:498;width:140;height:123" type="#_x0000_t75" stroked="false">
              <v:imagedata r:id="rId393" o:title=""/>
            </v:shape>
            <v:shape style="position:absolute;left:3545;top:1110;width:140;height:123" type="#_x0000_t75" stroked="false">
              <v:imagedata r:id="rId394" o:title=""/>
            </v:shape>
            <v:shape style="position:absolute;left:4145;top:1350;width:140;height:123" type="#_x0000_t75" stroked="false">
              <v:imagedata r:id="rId394" o:title=""/>
            </v:shape>
            <v:shape style="position:absolute;left:4385;top:1818;width:140;height:123" type="#_x0000_t75" stroked="false">
              <v:imagedata r:id="rId393" o:title=""/>
            </v:shape>
            <v:shape style="position:absolute;left:4625;top:2051;width:140;height:123" type="#_x0000_t75" stroked="false">
              <v:imagedata r:id="rId395" o:title=""/>
            </v:shape>
            <v:shape style="position:absolute;left:4865;top:1182;width:140;height:123" type="#_x0000_t75" stroked="false">
              <v:imagedata r:id="rId394" o:title=""/>
            </v:shape>
            <v:shape style="position:absolute;left:4865;top:606;width:140;height:123" type="#_x0000_t75" stroked="false">
              <v:imagedata r:id="rId394" o:title=""/>
            </v:shape>
            <v:shape style="position:absolute;left:4430;top:1146;width:138;height:123" type="#_x0000_t75" stroked="false">
              <v:imagedata r:id="rId396" o:title=""/>
            </v:shape>
            <v:shape style="position:absolute;left:3545;top:1744;width:140;height:123" type="#_x0000_t75" stroked="false">
              <v:imagedata r:id="rId395" o:title=""/>
            </v:shape>
            <w10:wrap type="topAndBottom"/>
          </v:group>
        </w:pict>
      </w:r>
      <w:r>
        <w:rPr/>
        <w:pict>
          <v:group style="position:absolute;margin-left:341.665985pt;margin-top:10.179111pt;width:108.65pt;height:106.95pt;mso-position-horizontal-relative:page;mso-position-vertical-relative:paragraph;z-index:27584;mso-wrap-distance-left:0;mso-wrap-distance-right:0" coordorigin="6833,204" coordsize="2173,2139">
            <v:rect style="position:absolute;left:6850;top:211;width:2148;height:2124" filled="false" stroked="true" strokeweight=".75pt" strokecolor="#010101">
              <v:stroke dashstyle="solid"/>
            </v:rect>
            <v:shape style="position:absolute;left:6840;top:237;width:795;height:872" coordorigin="6841,237" coordsize="795,872" path="m6841,883l6852,890,6864,897,6875,904,6886,912,6897,923,6907,936,6918,947,6930,957,6945,967,6961,974,6976,981,6990,989,7050,1028,7105,1061,7162,1089,7230,1109,7310,1098,7370,1085,7424,1060,7486,1017,7498,978,7501,972,7512,971,7546,943,7578,908,7583,897,7576,898,7570,901,7580,895,7621,869,7625,853,7631,838,7635,823,7635,809,7631,796,7623,785,7614,775,7606,763,7575,703,7569,680,7565,669,7561,657,7554,646,7546,635,7538,624,7530,612,7527,602,7524,590,7521,579,7472,534,7455,523,7429,505,7400,485,7376,469,7366,463,7369,452,7405,403,7417,397,7447,332,7455,297,7437,269,7429,257,7419,250,7395,237e" filled="false" stroked="true" strokeweight=".75pt" strokecolor="#010101">
              <v:path arrowok="t"/>
              <v:stroke dashstyle="solid"/>
            </v:shape>
            <v:shape style="position:absolute;left:7589;top:823;width:1380;height:1289" coordorigin="7590,823" coordsize="1380,1289" path="m7590,823l7627,855,7651,888,7670,925,7695,972,7698,1057,7699,1143,7700,1229,7703,1315,7711,1400,7726,1483,7790,1508,7815,1512,7881,1528,7948,1536,8017,1539,8086,1543,8109,1549,8133,1554,8155,1561,8175,1572,8202,1606,8226,1648,8255,1687,8295,1709,8362,1716,8430,1719,8498,1721,8566,1723,8598,1772,8629,1818,8663,1861,8701,1903,8712,1940,8749,2017,8819,2049,8870,2059,8918,2070,8955,2083,8965,2088,8965,2102,8970,2112e" filled="false" stroked="true" strokeweight=".75pt" strokecolor="#010101">
              <v:path arrowok="t"/>
              <v:stroke dashstyle="solid"/>
            </v:shape>
            <v:shape style="position:absolute;left:7126;top:1377;width:555;height:946" coordorigin="7126,1377" coordsize="555,946" path="m7681,1377l7645,1409,7607,1439,7572,1473,7535,1538,7515,1603,7516,1670,7518,1742,7515,1815,7502,1885,7470,1949,7414,1998,7335,2023,7243,2044,7186,2052,7174,2060,7162,2067,7151,2074,7141,2083,7126,2130,7143,2179,7174,2226,7201,2263,7218,2297,7216,2307,7218,2310,7246,2323e" filled="false" stroked="true" strokeweight=".75pt" strokecolor="#010101">
              <v:path arrowok="t"/>
              <v:stroke dashstyle="solid"/>
            </v:shape>
            <v:shape style="position:absolute;left:8073;top:223;width:494;height:1529" coordorigin="8073,223" coordsize="494,1529" path="m8101,223l8105,292,8102,366,8093,442,8084,519,8076,594,8073,668,8078,736,8095,799,8126,853,8175,897,8191,921,8235,989,8242,1019,8244,1035,8250,1049,8310,1095,8395,1126,8487,1148,8566,1169,8551,1191,8536,1213,8521,1236,8506,1257,8500,1271,8497,1287,8495,1302,8490,1317,8484,1330,8477,1341,8469,1352,8461,1363,8446,1423,8430,1483,8413,1527,8404,1549,8401,1572,8401,1617,8401,1662,8401,1707,8401,1752e" filled="false" stroked="true" strokeweight=".75pt" strokecolor="#010101">
              <v:path arrowok="t"/>
              <v:stroke dashstyle="solid"/>
            </v:shape>
            <v:shape style="position:absolute;left:7085;top:609;width:140;height:123" type="#_x0000_t75" stroked="false">
              <v:imagedata r:id="rId395" o:title=""/>
            </v:shape>
            <v:shape style="position:absolute;left:7085;top:1293;width:140;height:123" type="#_x0000_t75" stroked="false">
              <v:imagedata r:id="rId395" o:title=""/>
            </v:shape>
            <v:shape style="position:absolute;left:7085;top:1929;width:140;height:123" type="#_x0000_t75" stroked="false">
              <v:imagedata r:id="rId395" o:title=""/>
            </v:shape>
            <v:shape style="position:absolute;left:7783;top:604;width:138;height:123" type="#_x0000_t75" stroked="false">
              <v:imagedata r:id="rId397" o:title=""/>
            </v:shape>
            <v:shape style="position:absolute;left:7783;top:1288;width:138;height:123" type="#_x0000_t75" stroked="false">
              <v:imagedata r:id="rId398" o:title=""/>
            </v:shape>
            <v:shape style="position:absolute;left:7783;top:1924;width:138;height:123" type="#_x0000_t75" stroked="false">
              <v:imagedata r:id="rId397" o:title=""/>
            </v:shape>
            <v:shape style="position:absolute;left:8527;top:604;width:138;height:123" type="#_x0000_t75" stroked="false">
              <v:imagedata r:id="rId397" o:title=""/>
            </v:shape>
            <v:shape style="position:absolute;left:8527;top:1288;width:138;height:123" type="#_x0000_t75" stroked="false">
              <v:imagedata r:id="rId398" o:title=""/>
            </v:shape>
            <v:shape style="position:absolute;left:8527;top:1924;width:138;height:123" type="#_x0000_t75" stroked="false">
              <v:imagedata r:id="rId397" o:title=""/>
            </v:shape>
            <w10:wrap type="topAndBottom"/>
          </v:group>
        </w:pict>
      </w:r>
    </w:p>
    <w:p>
      <w:pPr>
        <w:pStyle w:val="BodyText"/>
        <w:spacing w:before="11"/>
        <w:rPr>
          <w:b/>
          <w:sz w:val="24"/>
        </w:rPr>
      </w:pPr>
    </w:p>
    <w:p>
      <w:pPr>
        <w:pStyle w:val="BodyText"/>
        <w:ind w:left="179" w:right="1405"/>
        <w:jc w:val="both"/>
      </w:pPr>
      <w:r>
        <w:rPr/>
        <w:t>Somewhat simplified, the reason why systematic random sampling generally is superior to simple random sampling is that sample plots will be distributed evenly to all parts of the target area.</w:t>
      </w:r>
      <w:r>
        <w:rPr>
          <w:vertAlign w:val="superscript"/>
        </w:rPr>
        <w:t>3</w:t>
      </w:r>
      <w:r>
        <w:rPr>
          <w:vertAlign w:val="baseline"/>
        </w:rPr>
        <w:t> With simple random sampling, some parts of an area may have many plots while other parts will not have any plots at all.</w:t>
      </w:r>
    </w:p>
    <w:p>
      <w:pPr>
        <w:pStyle w:val="BodyText"/>
        <w:rPr>
          <w:sz w:val="22"/>
        </w:rPr>
      </w:pPr>
    </w:p>
    <w:p>
      <w:pPr>
        <w:pStyle w:val="Heading6"/>
        <w:numPr>
          <w:ilvl w:val="3"/>
          <w:numId w:val="174"/>
        </w:numPr>
        <w:tabs>
          <w:tab w:pos="1620" w:val="left" w:leader="none"/>
        </w:tabs>
        <w:spacing w:line="240" w:lineRule="auto" w:before="147" w:after="0"/>
        <w:ind w:left="1619" w:right="0" w:hanging="1440"/>
        <w:jc w:val="both"/>
      </w:pPr>
      <w:bookmarkStart w:name="_TOC_250041" w:id="14"/>
      <w:r>
        <w:rPr>
          <w:spacing w:val="16"/>
          <w:sz w:val="28"/>
        </w:rPr>
        <w:t>P</w:t>
      </w:r>
      <w:r>
        <w:rPr>
          <w:spacing w:val="16"/>
        </w:rPr>
        <w:t>ERMANENT </w:t>
      </w:r>
      <w:r>
        <w:rPr>
          <w:spacing w:val="15"/>
        </w:rPr>
        <w:t>SAMPLE PLOTS </w:t>
      </w:r>
      <w:r>
        <w:rPr>
          <w:spacing w:val="12"/>
        </w:rPr>
        <w:t>AND </w:t>
      </w:r>
      <w:r>
        <w:rPr>
          <w:spacing w:val="14"/>
        </w:rPr>
        <w:t>TIME </w:t>
      </w:r>
      <w:r>
        <w:rPr>
          <w:spacing w:val="16"/>
        </w:rPr>
        <w:t>SERIES</w:t>
      </w:r>
      <w:r>
        <w:rPr>
          <w:spacing w:val="32"/>
        </w:rPr>
        <w:t> </w:t>
      </w:r>
      <w:bookmarkEnd w:id="14"/>
      <w:r>
        <w:rPr>
          <w:spacing w:val="18"/>
        </w:rPr>
        <w:t>DATA</w:t>
      </w:r>
    </w:p>
    <w:p>
      <w:pPr>
        <w:pStyle w:val="BodyText"/>
        <w:spacing w:before="208"/>
        <w:ind w:left="179" w:right="1404"/>
        <w:jc w:val="both"/>
      </w:pPr>
      <w:r>
        <w:rPr/>
        <w:t>Greenhouse gas inventories must assess both current state and changes over time (e.g., in areas of land- use types and carbon stocks). Assessment of changes is most important and it involves repeated sampling over time. The time interval between measurements should be determined based on the frequency of the events that cause changes, and also on the reporting requirements. Generally, sampling intervals of 5- 10 years are adequate in the LULUCF sector, and in many countries data from well designed surveys are already available for many decades, especially in the forest sector. Nevertheless, since estimates for the reporting are required on an annual basis, interpolation and extrapolation methods of the kind described in Section 5.6 will need to be applied. Where sufficiently long time series are not available, it may be necessary to extrapolate backwards in time to capture the dynamics of carbon stock changes, using the </w:t>
      </w:r>
      <w:r>
        <w:rPr>
          <w:i/>
        </w:rPr>
        <w:t>good practice guidance </w:t>
      </w:r>
      <w:r>
        <w:rPr/>
        <w:t>in Section 5.6 in conjunction with </w:t>
      </w:r>
      <w:r>
        <w:rPr>
          <w:i/>
        </w:rPr>
        <w:t>good practice guidance </w:t>
      </w:r>
      <w:r>
        <w:rPr/>
        <w:t>in Chapters 3 and 4 about the periods required and assumptions to be made.</w:t>
      </w:r>
    </w:p>
    <w:p>
      <w:pPr>
        <w:pStyle w:val="BodyText"/>
        <w:spacing w:before="120"/>
        <w:ind w:left="179" w:right="1405"/>
        <w:jc w:val="both"/>
      </w:pPr>
      <w:r>
        <w:rPr/>
        <w:t>When undertaking repeated sampling, the required data regarding the current state of areas or carbon stocks </w:t>
      </w:r>
      <w:r>
        <w:rPr>
          <w:spacing w:val="-2"/>
        </w:rPr>
        <w:t>are assessed</w:t>
      </w:r>
      <w:r>
        <w:rPr>
          <w:spacing w:val="-5"/>
        </w:rPr>
        <w:t> </w:t>
      </w:r>
      <w:r>
        <w:rPr/>
        <w:t>on</w:t>
      </w:r>
      <w:r>
        <w:rPr>
          <w:spacing w:val="-7"/>
        </w:rPr>
        <w:t> </w:t>
      </w:r>
      <w:r>
        <w:rPr/>
        <w:t>each</w:t>
      </w:r>
      <w:r>
        <w:rPr>
          <w:spacing w:val="-7"/>
        </w:rPr>
        <w:t> </w:t>
      </w:r>
      <w:r>
        <w:rPr/>
        <w:t>occasion.</w:t>
      </w:r>
      <w:r>
        <w:rPr>
          <w:spacing w:val="-5"/>
        </w:rPr>
        <w:t> </w:t>
      </w:r>
      <w:r>
        <w:rPr/>
        <w:t>Changes</w:t>
      </w:r>
      <w:r>
        <w:rPr>
          <w:spacing w:val="-6"/>
        </w:rPr>
        <w:t> </w:t>
      </w:r>
      <w:r>
        <w:rPr/>
        <w:t>are</w:t>
      </w:r>
      <w:r>
        <w:rPr>
          <w:spacing w:val="-5"/>
        </w:rPr>
        <w:t> </w:t>
      </w:r>
      <w:r>
        <w:rPr/>
        <w:t>then</w:t>
      </w:r>
      <w:r>
        <w:rPr>
          <w:spacing w:val="-6"/>
        </w:rPr>
        <w:t> </w:t>
      </w:r>
      <w:r>
        <w:rPr/>
        <w:t>estimated</w:t>
      </w:r>
      <w:r>
        <w:rPr>
          <w:spacing w:val="-5"/>
        </w:rPr>
        <w:t> </w:t>
      </w:r>
      <w:r>
        <w:rPr/>
        <w:t>by</w:t>
      </w:r>
      <w:r>
        <w:rPr>
          <w:spacing w:val="-7"/>
        </w:rPr>
        <w:t> </w:t>
      </w:r>
      <w:r>
        <w:rPr/>
        <w:t>calculating</w:t>
      </w:r>
      <w:r>
        <w:rPr>
          <w:spacing w:val="-7"/>
        </w:rPr>
        <w:t> </w:t>
      </w:r>
      <w:r>
        <w:rPr/>
        <w:t>the</w:t>
      </w:r>
      <w:r>
        <w:rPr>
          <w:spacing w:val="-5"/>
        </w:rPr>
        <w:t> </w:t>
      </w:r>
      <w:r>
        <w:rPr/>
        <w:t>difference</w:t>
      </w:r>
      <w:r>
        <w:rPr>
          <w:spacing w:val="-5"/>
        </w:rPr>
        <w:t> </w:t>
      </w:r>
      <w:r>
        <w:rPr/>
        <w:t>between</w:t>
      </w:r>
      <w:r>
        <w:rPr>
          <w:spacing w:val="-6"/>
        </w:rPr>
        <w:t> </w:t>
      </w:r>
      <w:r>
        <w:rPr/>
        <w:t>the</w:t>
      </w:r>
      <w:r>
        <w:rPr>
          <w:spacing w:val="-4"/>
        </w:rPr>
        <w:t> </w:t>
      </w:r>
      <w:r>
        <w:rPr/>
        <w:t>state</w:t>
      </w:r>
      <w:r>
        <w:rPr>
          <w:spacing w:val="-5"/>
        </w:rPr>
        <w:t> </w:t>
      </w:r>
      <w:r>
        <w:rPr/>
        <w:t>at</w:t>
      </w:r>
      <w:r>
        <w:rPr>
          <w:spacing w:val="-5"/>
        </w:rPr>
        <w:t> </w:t>
      </w:r>
      <w:r>
        <w:rPr/>
        <w:t>time</w:t>
      </w:r>
      <w:r>
        <w:rPr>
          <w:spacing w:val="-6"/>
        </w:rPr>
        <w:t> </w:t>
      </w:r>
      <w:r>
        <w:rPr>
          <w:i/>
        </w:rPr>
        <w:t>t</w:t>
      </w:r>
      <w:r>
        <w:rPr>
          <w:i/>
          <w:spacing w:val="-6"/>
        </w:rPr>
        <w:t> </w:t>
      </w:r>
      <w:r>
        <w:rPr/>
        <w:t>+</w:t>
      </w:r>
      <w:r>
        <w:rPr>
          <w:spacing w:val="-5"/>
        </w:rPr>
        <w:t> </w:t>
      </w:r>
      <w:r>
        <w:rPr>
          <w:i/>
        </w:rPr>
        <w:t>1 </w:t>
      </w:r>
      <w:r>
        <w:rPr/>
        <w:t>from</w:t>
      </w:r>
      <w:r>
        <w:rPr>
          <w:spacing w:val="-8"/>
        </w:rPr>
        <w:t> </w:t>
      </w:r>
      <w:r>
        <w:rPr/>
        <w:t>the</w:t>
      </w:r>
      <w:r>
        <w:rPr>
          <w:spacing w:val="-4"/>
        </w:rPr>
        <w:t> </w:t>
      </w:r>
      <w:r>
        <w:rPr/>
        <w:t>state</w:t>
      </w:r>
      <w:r>
        <w:rPr>
          <w:spacing w:val="-6"/>
        </w:rPr>
        <w:t> </w:t>
      </w:r>
      <w:r>
        <w:rPr/>
        <w:t>at</w:t>
      </w:r>
      <w:r>
        <w:rPr>
          <w:spacing w:val="-6"/>
        </w:rPr>
        <w:t> </w:t>
      </w:r>
      <w:r>
        <w:rPr/>
        <w:t>time</w:t>
      </w:r>
      <w:r>
        <w:rPr>
          <w:spacing w:val="-8"/>
        </w:rPr>
        <w:t> </w:t>
      </w:r>
      <w:r>
        <w:rPr>
          <w:i/>
        </w:rPr>
        <w:t>t</w:t>
      </w:r>
      <w:r>
        <w:rPr/>
        <w:t>.</w:t>
      </w:r>
      <w:r>
        <w:rPr>
          <w:spacing w:val="-6"/>
        </w:rPr>
        <w:t> </w:t>
      </w:r>
      <w:r>
        <w:rPr/>
        <w:t>Three</w:t>
      </w:r>
      <w:r>
        <w:rPr>
          <w:spacing w:val="-4"/>
        </w:rPr>
        <w:t> </w:t>
      </w:r>
      <w:r>
        <w:rPr/>
        <w:t>common</w:t>
      </w:r>
      <w:r>
        <w:rPr>
          <w:spacing w:val="-8"/>
        </w:rPr>
        <w:t> </w:t>
      </w:r>
      <w:r>
        <w:rPr/>
        <w:t>sampling</w:t>
      </w:r>
      <w:r>
        <w:rPr>
          <w:spacing w:val="-8"/>
        </w:rPr>
        <w:t> </w:t>
      </w:r>
      <w:r>
        <w:rPr/>
        <w:t>designs</w:t>
      </w:r>
      <w:r>
        <w:rPr>
          <w:spacing w:val="-8"/>
        </w:rPr>
        <w:t> </w:t>
      </w:r>
      <w:r>
        <w:rPr/>
        <w:t>can</w:t>
      </w:r>
      <w:r>
        <w:rPr>
          <w:spacing w:val="-6"/>
        </w:rPr>
        <w:t> </w:t>
      </w:r>
      <w:r>
        <w:rPr/>
        <w:t>be</w:t>
      </w:r>
      <w:r>
        <w:rPr>
          <w:spacing w:val="-6"/>
        </w:rPr>
        <w:t> </w:t>
      </w:r>
      <w:r>
        <w:rPr/>
        <w:t>used</w:t>
      </w:r>
      <w:r>
        <w:rPr>
          <w:spacing w:val="-6"/>
        </w:rPr>
        <w:t> </w:t>
      </w:r>
      <w:r>
        <w:rPr>
          <w:spacing w:val="-2"/>
        </w:rPr>
        <w:t>for</w:t>
      </w:r>
      <w:r>
        <w:rPr>
          <w:spacing w:val="-6"/>
        </w:rPr>
        <w:t> </w:t>
      </w:r>
      <w:r>
        <w:rPr/>
        <w:t>change</w:t>
      </w:r>
      <w:r>
        <w:rPr>
          <w:spacing w:val="-6"/>
        </w:rPr>
        <w:t> </w:t>
      </w:r>
      <w:r>
        <w:rPr>
          <w:spacing w:val="-3"/>
        </w:rPr>
        <w:t>estimation:</w:t>
      </w:r>
    </w:p>
    <w:p>
      <w:pPr>
        <w:pStyle w:val="ListParagraph"/>
        <w:numPr>
          <w:ilvl w:val="0"/>
          <w:numId w:val="117"/>
        </w:numPr>
        <w:tabs>
          <w:tab w:pos="539" w:val="left" w:leader="none"/>
          <w:tab w:pos="540" w:val="left" w:leader="none"/>
        </w:tabs>
        <w:spacing w:line="240" w:lineRule="auto" w:before="133" w:after="0"/>
        <w:ind w:left="539" w:right="0" w:hanging="360"/>
        <w:jc w:val="left"/>
        <w:rPr>
          <w:sz w:val="20"/>
        </w:rPr>
      </w:pPr>
      <w:r>
        <w:rPr>
          <w:sz w:val="20"/>
        </w:rPr>
        <w:t>The same sampling units are used on both occasions (permanent sampling</w:t>
      </w:r>
      <w:r>
        <w:rPr>
          <w:spacing w:val="-6"/>
          <w:sz w:val="20"/>
        </w:rPr>
        <w:t> </w:t>
      </w:r>
      <w:r>
        <w:rPr>
          <w:sz w:val="20"/>
        </w:rPr>
        <w:t>units);</w:t>
      </w:r>
    </w:p>
    <w:p>
      <w:pPr>
        <w:pStyle w:val="ListParagraph"/>
        <w:numPr>
          <w:ilvl w:val="0"/>
          <w:numId w:val="117"/>
        </w:numPr>
        <w:tabs>
          <w:tab w:pos="539" w:val="left" w:leader="none"/>
          <w:tab w:pos="540" w:val="left" w:leader="none"/>
        </w:tabs>
        <w:spacing w:line="240" w:lineRule="auto" w:before="118" w:after="0"/>
        <w:ind w:left="539" w:right="0" w:hanging="360"/>
        <w:jc w:val="left"/>
        <w:rPr>
          <w:sz w:val="20"/>
        </w:rPr>
      </w:pPr>
      <w:r>
        <w:rPr>
          <w:sz w:val="20"/>
        </w:rPr>
        <w:t>Different, independent sets of sampling units are used on both occasions (temporary sampling</w:t>
      </w:r>
      <w:r>
        <w:rPr>
          <w:spacing w:val="-18"/>
          <w:sz w:val="20"/>
        </w:rPr>
        <w:t> </w:t>
      </w:r>
      <w:r>
        <w:rPr>
          <w:sz w:val="20"/>
        </w:rPr>
        <w:t>units);</w:t>
      </w:r>
    </w:p>
    <w:p>
      <w:pPr>
        <w:pStyle w:val="ListParagraph"/>
        <w:numPr>
          <w:ilvl w:val="0"/>
          <w:numId w:val="117"/>
        </w:numPr>
        <w:tabs>
          <w:tab w:pos="539" w:val="left" w:leader="none"/>
          <w:tab w:pos="540" w:val="left" w:leader="none"/>
        </w:tabs>
        <w:spacing w:line="223" w:lineRule="auto" w:before="128" w:after="0"/>
        <w:ind w:left="536" w:right="1408" w:hanging="357"/>
        <w:jc w:val="left"/>
        <w:rPr>
          <w:sz w:val="20"/>
        </w:rPr>
      </w:pPr>
      <w:r>
        <w:rPr>
          <w:sz w:val="20"/>
        </w:rPr>
        <w:t>Some sampling units can be replaced between occasions while others remain the same (sampling with partial</w:t>
      </w:r>
      <w:r>
        <w:rPr>
          <w:spacing w:val="-1"/>
          <w:sz w:val="20"/>
        </w:rPr>
        <w:t> </w:t>
      </w:r>
      <w:r>
        <w:rPr>
          <w:sz w:val="20"/>
        </w:rPr>
        <w:t>replacement).</w:t>
      </w:r>
    </w:p>
    <w:p>
      <w:pPr>
        <w:pStyle w:val="BodyText"/>
        <w:spacing w:before="125"/>
        <w:ind w:left="179"/>
        <w:jc w:val="both"/>
      </w:pPr>
      <w:r>
        <w:rPr/>
        <w:t>Figure 5.3.3 shows these three approaches.</w:t>
      </w:r>
    </w:p>
    <w:p>
      <w:pPr>
        <w:pStyle w:val="BodyText"/>
      </w:pPr>
    </w:p>
    <w:p>
      <w:pPr>
        <w:pStyle w:val="BodyText"/>
      </w:pPr>
    </w:p>
    <w:p>
      <w:pPr>
        <w:pStyle w:val="BodyText"/>
        <w:spacing w:before="1"/>
        <w:rPr>
          <w:sz w:val="18"/>
        </w:rPr>
      </w:pPr>
      <w:r>
        <w:rPr/>
        <w:pict>
          <v:line style="position:absolute;mso-position-horizontal-relative:page;mso-position-vertical-relative:paragraph;z-index:27608;mso-wrap-distance-left:0;mso-wrap-distance-right:0" from="70.960999pt,12.640351pt" to="214.960999pt,12.640351pt" stroked="true" strokeweight=".48pt" strokecolor="#000000">
            <v:stroke dashstyle="solid"/>
            <w10:wrap type="topAndBottom"/>
          </v:line>
        </w:pict>
      </w:r>
    </w:p>
    <w:p>
      <w:pPr>
        <w:spacing w:before="153"/>
        <w:ind w:left="320" w:right="1405" w:hanging="142"/>
        <w:jc w:val="both"/>
        <w:rPr>
          <w:sz w:val="18"/>
        </w:rPr>
      </w:pPr>
      <w:r>
        <w:rPr>
          <w:position w:val="8"/>
          <w:sz w:val="12"/>
        </w:rPr>
        <w:t>3 </w:t>
      </w:r>
      <w:r>
        <w:rPr>
          <w:sz w:val="18"/>
        </w:rPr>
        <w:t>In unusual cases when there is a regular pattern in the terrain that may coincide with the systematic grid system, systematic sampling may lead to less precise estimates than simple random sampling. However, such potential problems generally can be handled by orienting the grid system in another direction.</w:t>
      </w:r>
    </w:p>
    <w:p>
      <w:pPr>
        <w:spacing w:after="0"/>
        <w:jc w:val="both"/>
        <w:rPr>
          <w:sz w:val="18"/>
        </w:rPr>
        <w:sectPr>
          <w:pgSz w:w="11900" w:h="16840"/>
          <w:pgMar w:header="230" w:footer="408" w:top="560" w:bottom="600" w:left="1240" w:right="0"/>
        </w:sectPr>
      </w:pPr>
    </w:p>
    <w:p>
      <w:pPr>
        <w:pStyle w:val="BodyText"/>
      </w:pPr>
    </w:p>
    <w:p>
      <w:pPr>
        <w:pStyle w:val="BodyText"/>
        <w:rPr>
          <w:sz w:val="19"/>
        </w:rPr>
      </w:pPr>
    </w:p>
    <w:p>
      <w:pPr>
        <w:tabs>
          <w:tab w:pos="1880" w:val="left" w:leader="none"/>
        </w:tabs>
        <w:spacing w:line="242" w:lineRule="auto" w:before="91"/>
        <w:ind w:left="1880" w:right="1688" w:hanging="1702"/>
        <w:jc w:val="left"/>
        <w:rPr>
          <w:b/>
          <w:sz w:val="20"/>
        </w:rPr>
      </w:pPr>
      <w:r>
        <w:rPr>
          <w:b/>
          <w:spacing w:val="8"/>
          <w:sz w:val="20"/>
        </w:rPr>
        <w:t>Figure</w:t>
      </w:r>
      <w:r>
        <w:rPr>
          <w:b/>
          <w:spacing w:val="18"/>
          <w:sz w:val="20"/>
        </w:rPr>
        <w:t> </w:t>
      </w:r>
      <w:r>
        <w:rPr>
          <w:b/>
          <w:spacing w:val="8"/>
          <w:sz w:val="20"/>
        </w:rPr>
        <w:t>5.3.3</w:t>
        <w:tab/>
      </w:r>
      <w:r>
        <w:rPr>
          <w:b/>
          <w:spacing w:val="5"/>
          <w:sz w:val="20"/>
        </w:rPr>
        <w:t>Use of </w:t>
      </w:r>
      <w:r>
        <w:rPr>
          <w:b/>
          <w:spacing w:val="8"/>
          <w:sz w:val="20"/>
        </w:rPr>
        <w:t>different </w:t>
      </w:r>
      <w:r>
        <w:rPr>
          <w:b/>
          <w:spacing w:val="9"/>
          <w:sz w:val="20"/>
        </w:rPr>
        <w:t>configurations </w:t>
      </w:r>
      <w:r>
        <w:rPr>
          <w:b/>
          <w:spacing w:val="5"/>
          <w:sz w:val="20"/>
        </w:rPr>
        <w:t>of </w:t>
      </w:r>
      <w:r>
        <w:rPr>
          <w:b/>
          <w:spacing w:val="8"/>
          <w:sz w:val="20"/>
        </w:rPr>
        <w:t>permanent </w:t>
      </w:r>
      <w:r>
        <w:rPr>
          <w:b/>
          <w:spacing w:val="7"/>
          <w:sz w:val="20"/>
        </w:rPr>
        <w:t>and </w:t>
      </w:r>
      <w:r>
        <w:rPr>
          <w:b/>
          <w:spacing w:val="8"/>
          <w:sz w:val="20"/>
        </w:rPr>
        <w:t>temporary sampling </w:t>
      </w:r>
      <w:r>
        <w:rPr>
          <w:b/>
          <w:spacing w:val="7"/>
          <w:sz w:val="20"/>
        </w:rPr>
        <w:t>units </w:t>
      </w:r>
      <w:r>
        <w:rPr>
          <w:b/>
          <w:spacing w:val="6"/>
          <w:sz w:val="20"/>
        </w:rPr>
        <w:t>for </w:t>
      </w:r>
      <w:r>
        <w:rPr>
          <w:b/>
          <w:spacing w:val="8"/>
          <w:sz w:val="20"/>
        </w:rPr>
        <w:t>estimating</w:t>
      </w:r>
      <w:r>
        <w:rPr>
          <w:b/>
          <w:spacing w:val="34"/>
          <w:sz w:val="20"/>
        </w:rPr>
        <w:t> </w:t>
      </w:r>
      <w:r>
        <w:rPr>
          <w:b/>
          <w:spacing w:val="9"/>
          <w:sz w:val="20"/>
        </w:rPr>
        <w:t>changes</w:t>
      </w:r>
    </w:p>
    <w:p>
      <w:pPr>
        <w:pStyle w:val="BodyText"/>
        <w:rPr>
          <w:b/>
          <w:sz w:val="21"/>
        </w:rPr>
      </w:pPr>
      <w:r>
        <w:rPr/>
        <w:pict>
          <v:group style="position:absolute;margin-left:97.225998pt;margin-top:14.688877pt;width:77.45pt;height:80.8pt;mso-position-horizontal-relative:page;mso-position-vertical-relative:paragraph;z-index:27632;mso-wrap-distance-left:0;mso-wrap-distance-right:0" coordorigin="1945,294" coordsize="1549,1616">
            <v:rect style="position:absolute;left:1952;top:301;width:1534;height:1601" filled="false" stroked="true" strokeweight=".75pt" strokecolor="#010101">
              <v:stroke dashstyle="solid"/>
            </v:rect>
            <v:shape style="position:absolute;left:2180;top:620;width:207;height:221" coordorigin="2180,620" coordsize="207,221" path="m2283,620l2244,629,2211,653,2188,688,2180,731,2188,774,2211,809,2244,833,2283,841,2324,833,2356,809,2378,774,2386,731,2378,688,2356,653,2324,629,2283,620xe" filled="false" stroked="true" strokeweight=".75pt" strokecolor="#010101">
              <v:path arrowok="t"/>
              <v:stroke dashstyle="solid"/>
            </v:shape>
            <v:shape style="position:absolute;left:3106;top:627;width:207;height:221" coordorigin="3106,628" coordsize="207,221" path="m3210,628l3169,636,3136,659,3114,695,3106,738,3114,782,3136,817,3169,840,3210,848,3250,840,3283,817,3305,782,3313,738,3305,695,3283,659,3250,636,3210,628xe" filled="false" stroked="true" strokeweight=".75pt" strokecolor="#010101">
              <v:path arrowok="t"/>
              <v:stroke dashstyle="solid"/>
            </v:shape>
            <v:shape style="position:absolute;left:3118;top:1453;width:207;height:224" coordorigin="3118,1453" coordsize="207,224" path="m3222,1453l3181,1462,3148,1486,3126,1522,3118,1566,3126,1609,3148,1644,3181,1668,3222,1676,3262,1668,3295,1644,3317,1609,3325,1566,3317,1522,3295,1486,3262,1462,3222,1453xe" filled="false" stroked="true" strokeweight=".75pt" strokecolor="#010101">
              <v:path arrowok="t"/>
              <v:stroke dashstyle="solid"/>
            </v:shape>
            <v:shape style="position:absolute;left:2180;top:1434;width:207;height:224" coordorigin="2180,1434" coordsize="207,224" path="m2283,1434l2244,1443,2211,1467,2188,1503,2180,1547,2188,1589,2211,1625,2244,1648,2283,1657,2324,1648,2356,1625,2378,1589,2386,1547,2378,1503,2356,1467,2324,1443,2283,1434xe" filled="false" stroked="true" strokeweight=".75pt" strokecolor="#010101">
              <v:path arrowok="t"/>
              <v:stroke dashstyle="solid"/>
            </v:shape>
            <v:shape style="position:absolute;left:2643;top:1035;width:207;height:221" coordorigin="2643,1036" coordsize="207,221" path="m2746,1036l2706,1044,2673,1067,2651,1103,2643,1146,2651,1190,2673,1225,2706,1248,2746,1256,2786,1248,2819,1225,2841,1190,2850,1146,2841,1103,2819,1067,2786,1044,2746,1036xe" filled="false" stroked="true" strokeweight=".75pt" strokecolor="#010101">
              <v:path arrowok="t"/>
              <v:stroke dashstyle="solid"/>
            </v:shape>
            <v:shape style="position:absolute;left:2187;top:639;width:200;height:183" coordorigin="2187,640" coordsize="200,183" path="m2286,640l2187,731,2286,822,2386,731,2286,640xe" filled="true" fillcolor="#010101" stroked="false">
              <v:path arrowok="t"/>
              <v:fill type="solid"/>
            </v:shape>
            <v:shape style="position:absolute;left:2187;top:639;width:200;height:183" coordorigin="2187,640" coordsize="200,183" path="m2286,640l2187,731,2286,822,2386,731,2286,640xe" filled="false" stroked="true" strokeweight=".75pt" strokecolor="#010101">
              <v:path arrowok="t"/>
              <v:stroke dashstyle="solid"/>
            </v:shape>
            <v:shape style="position:absolute;left:3113;top:639;width:200;height:183" coordorigin="3114,640" coordsize="200,183" path="m3212,640l3114,731,3212,822,3313,731,3212,640xe" filled="true" fillcolor="#010101" stroked="false">
              <v:path arrowok="t"/>
              <v:fill type="solid"/>
            </v:shape>
            <v:shape style="position:absolute;left:3113;top:639;width:200;height:183" coordorigin="3114,640" coordsize="200,183" path="m3212,640l3114,731,3212,822,3313,731,3212,640xe" filled="false" stroked="true" strokeweight=".75pt" strokecolor="#010101">
              <v:path arrowok="t"/>
              <v:stroke dashstyle="solid"/>
            </v:shape>
            <v:shape style="position:absolute;left:2636;top:1062;width:202;height:185" coordorigin="2636,1062" coordsize="202,185" path="m2737,1062l2636,1156,2737,1247,2838,1156,2737,1062xe" filled="true" fillcolor="#010101" stroked="false">
              <v:path arrowok="t"/>
              <v:fill type="solid"/>
            </v:shape>
            <v:shape style="position:absolute;left:2636;top:1062;width:202;height:185" coordorigin="2636,1062" coordsize="202,185" path="m2737,1062l2636,1156,2737,1247,2838,1156,2737,1062xe" filled="false" stroked="true" strokeweight=".75pt" strokecolor="#010101">
              <v:path arrowok="t"/>
              <v:stroke dashstyle="solid"/>
            </v:shape>
            <v:shape style="position:absolute;left:3125;top:1472;width:200;height:185" coordorigin="3126,1472" coordsize="200,185" path="m3224,1472l3126,1566,3224,1657,3325,1566,3224,1472xe" filled="true" fillcolor="#010101" stroked="false">
              <v:path arrowok="t"/>
              <v:fill type="solid"/>
            </v:shape>
            <v:shape style="position:absolute;left:3125;top:1472;width:200;height:185" coordorigin="3126,1472" coordsize="200,185" path="m3224,1472l3126,1566,3224,1657,3325,1566,3224,1472xe" filled="false" stroked="true" strokeweight=".75pt" strokecolor="#010101">
              <v:path arrowok="t"/>
              <v:stroke dashstyle="solid"/>
            </v:shape>
            <v:shape style="position:absolute;left:2180;top:1460;width:202;height:185" coordorigin="2180,1460" coordsize="202,185" path="m2281,1460l2180,1554,2281,1645,2382,1554,2281,1460xe" filled="true" fillcolor="#010101" stroked="false">
              <v:path arrowok="t"/>
              <v:fill type="solid"/>
            </v:shape>
            <v:shape style="position:absolute;left:2180;top:1460;width:202;height:185" coordorigin="2180,1460" coordsize="202,185" path="m2281,1460l2180,1554,2281,1645,2382,1554,2281,1460xe" filled="false" stroked="true" strokeweight=".75pt" strokecolor="#010101">
              <v:path arrowok="t"/>
              <v:stroke dashstyle="solid"/>
            </v:shape>
            <w10:wrap type="topAndBottom"/>
          </v:group>
        </w:pict>
      </w:r>
      <w:r>
        <w:rPr/>
        <w:pict>
          <v:group style="position:absolute;margin-left:234.746002pt;margin-top:14.088877pt;width:77.350pt;height:80.95pt;mso-position-horizontal-relative:page;mso-position-vertical-relative:paragraph;z-index:27656;mso-wrap-distance-left:0;mso-wrap-distance-right:0" coordorigin="4695,282" coordsize="1547,1619">
            <v:rect style="position:absolute;left:4702;top:289;width:1532;height:1604" filled="false" stroked="true" strokeweight=".75pt" strokecolor="#010101">
              <v:stroke dashstyle="solid"/>
            </v:rect>
            <v:shape style="position:absolute;left:4930;top:620;width:215;height:200" type="#_x0000_t75" stroked="false">
              <v:imagedata r:id="rId399" o:title=""/>
            </v:shape>
            <v:shape style="position:absolute;left:5854;top:620;width:217;height:200" type="#_x0000_t75" stroked="false">
              <v:imagedata r:id="rId400" o:title=""/>
            </v:shape>
            <v:shape style="position:absolute;left:5378;top:1044;width:215;height:198" type="#_x0000_t75" stroked="false">
              <v:imagedata r:id="rId401" o:title=""/>
            </v:shape>
            <v:shape style="position:absolute;left:5866;top:1455;width:217;height:198" type="#_x0000_t75" stroked="false">
              <v:imagedata r:id="rId402" o:title=""/>
            </v:shape>
            <v:shape style="position:absolute;left:4922;top:1443;width:215;height:198" type="#_x0000_t75" stroked="false">
              <v:imagedata r:id="rId403" o:title=""/>
            </v:shape>
            <v:shape style="position:absolute;left:5386;top:600;width:222;height:239" type="#_x0000_t75" stroked="false">
              <v:imagedata r:id="rId404" o:title=""/>
            </v:shape>
            <v:shape style="position:absolute;left:5849;top:1052;width:222;height:239" type="#_x0000_t75" stroked="false">
              <v:imagedata r:id="rId405" o:title=""/>
            </v:shape>
            <v:shape style="position:absolute;left:5366;top:1448;width:222;height:239" type="#_x0000_t75" stroked="false">
              <v:imagedata r:id="rId406" o:title=""/>
            </v:shape>
            <v:shape style="position:absolute;left:4918;top:1059;width:219;height:236" type="#_x0000_t75" stroked="false">
              <v:imagedata r:id="rId407" o:title=""/>
            </v:shape>
            <w10:wrap type="topAndBottom"/>
          </v:group>
        </w:pict>
      </w:r>
      <w:r>
        <w:rPr/>
        <w:pict>
          <v:group style="position:absolute;margin-left:374.306pt;margin-top:14.088877pt;width:77.350pt;height:80.95pt;mso-position-horizontal-relative:page;mso-position-vertical-relative:paragraph;z-index:27680;mso-wrap-distance-left:0;mso-wrap-distance-right:0" coordorigin="7486,282" coordsize="1547,1619">
            <v:shape style="position:absolute;left:7716;top:591;width:222;height:236" type="#_x0000_t75" stroked="false">
              <v:imagedata r:id="rId408" o:title=""/>
            </v:shape>
            <v:rect style="position:absolute;left:7491;top:289;width:1534;height:1601" filled="true" fillcolor="#ffffff" stroked="false">
              <v:fill type="solid"/>
            </v:rect>
            <v:rect style="position:absolute;left:7493;top:289;width:1532;height:1604" filled="false" stroked="true" strokeweight=".75pt" strokecolor="#010101">
              <v:stroke dashstyle="solid"/>
            </v:rect>
            <v:shape style="position:absolute;left:7726;top:627;width:200;height:185" coordorigin="7726,628" coordsize="200,185" path="m7827,628l7726,719,7827,812,7926,719,7827,628xe" filled="true" fillcolor="#010101" stroked="false">
              <v:path arrowok="t"/>
              <v:fill type="solid"/>
            </v:shape>
            <v:shape style="position:absolute;left:7726;top:627;width:200;height:185" coordorigin="7726,628" coordsize="200,185" path="m7827,628l7726,719,7827,812,7926,719,7827,628xe" filled="false" stroked="true" strokeweight=".75pt" strokecolor="#010101">
              <v:path arrowok="t"/>
              <v:stroke dashstyle="solid"/>
            </v:shape>
            <v:shape style="position:absolute;left:8180;top:1093;width:200;height:185" coordorigin="8180,1093" coordsize="200,185" path="m8281,1093l8180,1184,8281,1278,8379,1184,8281,1093xe" filled="true" fillcolor="#010101" stroked="false">
              <v:path arrowok="t"/>
              <v:fill type="solid"/>
            </v:shape>
            <v:shape style="position:absolute;left:8180;top:1093;width:200;height:185" coordorigin="8180,1093" coordsize="200,185" path="m8281,1093l8180,1184,8281,1278,8379,1184,8281,1093xe" filled="false" stroked="true" strokeweight=".75pt" strokecolor="#010101">
              <v:path arrowok="t"/>
              <v:stroke dashstyle="solid"/>
            </v:shape>
            <v:shape style="position:absolute;left:8664;top:1462;width:200;height:183" coordorigin="8665,1463" coordsize="200,183" path="m8766,1463l8665,1554,8766,1645,8864,1554,8766,1463xe" filled="true" fillcolor="#010101" stroked="false">
              <v:path arrowok="t"/>
              <v:fill type="solid"/>
            </v:shape>
            <v:shape style="position:absolute;left:8664;top:1462;width:200;height:183" coordorigin="8665,1463" coordsize="200,183" path="m8766,1463l8665,1554,8766,1645,8864,1554,8766,1463xe" filled="false" stroked="true" strokeweight=".75pt" strokecolor="#010101">
              <v:path arrowok="t"/>
              <v:stroke dashstyle="solid"/>
            </v:shape>
            <v:shape style="position:absolute;left:7726;top:1047;width:215;height:200" type="#_x0000_t75" stroked="false">
              <v:imagedata r:id="rId409" o:title=""/>
            </v:shape>
            <v:shape style="position:absolute;left:7714;top:608;width:216;height:240" coordorigin="7714,608" coordsize="216,240" path="m7822,608l7780,618,7746,644,7723,682,7714,728,7723,776,7746,814,7780,839,7822,848,7865,839,7899,814,7922,776,7930,728,7922,682,7899,644,7865,618,7822,608xe" filled="false" stroked="true" strokeweight=".75pt" strokecolor="#010101">
              <v:path arrowok="t"/>
              <v:stroke dashstyle="solid"/>
            </v:shape>
            <v:shape style="position:absolute;left:8654;top:620;width:222;height:239" type="#_x0000_t75" stroked="false">
              <v:imagedata r:id="rId410" o:title=""/>
            </v:shape>
            <v:shape style="position:absolute;left:7706;top:1464;width:222;height:239" type="#_x0000_t75" stroked="false">
              <v:imagedata r:id="rId411" o:title=""/>
            </v:shape>
            <v:shape style="position:absolute;left:8657;top:1412;width:207;height:221" coordorigin="8658,1412" coordsize="207,221" path="m8761,1412l8721,1421,8689,1445,8666,1480,8658,1523,8666,1566,8689,1601,8721,1625,8761,1633,8801,1625,8834,1601,8856,1566,8864,1523,8856,1480,8834,1445,8801,1421,8761,1412xe" filled="true" fillcolor="#ffffff" stroked="false">
              <v:path arrowok="t"/>
              <v:fill type="solid"/>
            </v:shape>
            <v:shape style="position:absolute;left:8657;top:1412;width:207;height:221" coordorigin="8658,1412" coordsize="207,221" path="m8761,1412l8721,1421,8689,1445,8666,1480,8658,1523,8666,1566,8689,1601,8721,1625,8761,1633,8801,1625,8834,1601,8856,1566,8864,1523,8856,1480,8834,1445,8801,1421,8761,1412xe" filled="false" stroked="true" strokeweight=".75pt" strokecolor="#010101">
              <v:path arrowok="t"/>
              <v:stroke dashstyle="solid"/>
            </v:shape>
            <v:shape style="position:absolute;left:8177;top:1078;width:207;height:221" coordorigin="8178,1079" coordsize="207,221" path="m8281,1079l8240,1087,8208,1111,8186,1146,8178,1189,8186,1232,8208,1267,8240,1291,8281,1300,8321,1291,8354,1267,8376,1232,8384,1189,8376,1146,8354,1111,8321,1087,8281,1079xe" filled="true" fillcolor="#ffffff" stroked="false">
              <v:path arrowok="t"/>
              <v:fill type="solid"/>
            </v:shape>
            <v:shape style="position:absolute;left:8177;top:1078;width:207;height:221" coordorigin="8178,1079" coordsize="207,221" path="m8281,1079l8240,1087,8208,1111,8186,1146,8178,1189,8186,1232,8208,1267,8240,1291,8281,1300,8321,1291,8354,1267,8376,1232,8384,1189,8376,1146,8354,1111,8321,1087,8281,1079xe" filled="false" stroked="true" strokeweight=".75pt" strokecolor="#010101">
              <v:path arrowok="t"/>
              <v:stroke dashstyle="solid"/>
            </v:shape>
            <v:shape style="position:absolute;left:8657;top:1434;width:200;height:185" coordorigin="8658,1434" coordsize="200,185" path="m8758,1434l8658,1525,8758,1619,8857,1525,8758,1434xe" filled="true" fillcolor="#010101" stroked="false">
              <v:path arrowok="t"/>
              <v:fill type="solid"/>
            </v:shape>
            <v:shape style="position:absolute;left:8657;top:1434;width:200;height:185" coordorigin="8658,1434" coordsize="200,185" path="m8758,1434l8658,1525,8758,1619,8857,1525,8758,1434xe" filled="false" stroked="true" strokeweight=".75pt" strokecolor="#010101">
              <v:path arrowok="t"/>
              <v:stroke dashstyle="solid"/>
            </v:shape>
            <v:shape style="position:absolute;left:8650;top:1059;width:215;height:198" type="#_x0000_t75" stroked="false">
              <v:imagedata r:id="rId401" o:title=""/>
            </v:shape>
            <v:shape style="position:absolute;left:8192;top:1090;width:200;height:185" coordorigin="8192,1091" coordsize="200,185" path="m8293,1091l8192,1184,8293,1276,8391,1184,8293,1091xe" filled="true" fillcolor="#010101" stroked="false">
              <v:path arrowok="t"/>
              <v:fill type="solid"/>
            </v:shape>
            <v:shape style="position:absolute;left:8192;top:1090;width:200;height:185" coordorigin="8192,1091" coordsize="200,185" path="m8293,1091l8192,1184,8293,1276,8391,1184,8293,1091xe" filled="false" stroked="true" strokeweight=".75pt" strokecolor="#010101">
              <v:path arrowok="t"/>
              <v:stroke dashstyle="solid"/>
            </v:shape>
            <w10:wrap type="topAndBottom"/>
          </v:group>
        </w:pict>
      </w:r>
    </w:p>
    <w:p>
      <w:pPr>
        <w:pStyle w:val="BodyText"/>
        <w:spacing w:before="2"/>
        <w:rPr>
          <w:b/>
          <w:sz w:val="9"/>
        </w:rPr>
      </w:pPr>
    </w:p>
    <w:p>
      <w:pPr>
        <w:spacing w:after="0"/>
        <w:rPr>
          <w:sz w:val="9"/>
        </w:rPr>
        <w:sectPr>
          <w:pgSz w:w="11900" w:h="16840"/>
          <w:pgMar w:header="230" w:footer="408" w:top="560" w:bottom="600" w:left="1240" w:right="0"/>
        </w:sectPr>
      </w:pPr>
    </w:p>
    <w:p>
      <w:pPr>
        <w:pStyle w:val="BodyText"/>
        <w:spacing w:line="364" w:lineRule="auto" w:before="90"/>
        <w:ind w:left="904" w:right="19"/>
      </w:pPr>
      <w:r>
        <w:rPr/>
        <w:t>Identical set (permanent plots)</w:t>
      </w:r>
    </w:p>
    <w:p>
      <w:pPr>
        <w:pStyle w:val="BodyText"/>
        <w:spacing w:line="364" w:lineRule="auto" w:before="90"/>
        <w:ind w:left="904" w:right="-11"/>
      </w:pPr>
      <w:r>
        <w:rPr/>
        <w:br w:type="column"/>
      </w:r>
      <w:r>
        <w:rPr/>
        <w:t>Independent sets (temporary</w:t>
      </w:r>
      <w:r>
        <w:rPr>
          <w:spacing w:val="-13"/>
        </w:rPr>
        <w:t> </w:t>
      </w:r>
      <w:r>
        <w:rPr/>
        <w:t>plots)</w:t>
      </w:r>
    </w:p>
    <w:p>
      <w:pPr>
        <w:pStyle w:val="BodyText"/>
        <w:spacing w:line="364" w:lineRule="auto" w:before="90"/>
        <w:ind w:left="892" w:right="2020"/>
      </w:pPr>
      <w:r>
        <w:rPr/>
        <w:br w:type="column"/>
      </w:r>
      <w:r>
        <w:rPr/>
        <w:t>Sampling with partial replacement (permanent and temporary plots)</w:t>
      </w:r>
    </w:p>
    <w:p>
      <w:pPr>
        <w:spacing w:after="0" w:line="364" w:lineRule="auto"/>
        <w:sectPr>
          <w:type w:val="continuous"/>
          <w:pgSz w:w="11900" w:h="16840"/>
          <w:pgMar w:top="1060" w:bottom="280" w:left="1240" w:right="0"/>
          <w:cols w:num="3" w:equalWidth="0">
            <w:col w:w="2360" w:space="273"/>
            <w:col w:w="2295" w:space="39"/>
            <w:col w:w="5693"/>
          </w:cols>
        </w:sectPr>
      </w:pPr>
    </w:p>
    <w:p>
      <w:pPr>
        <w:pStyle w:val="BodyText"/>
        <w:spacing w:line="307" w:lineRule="auto" w:before="2"/>
        <w:ind w:left="877" w:right="6354" w:hanging="8"/>
      </w:pPr>
      <w:r>
        <w:rPr>
          <w:position w:val="-8"/>
        </w:rPr>
        <w:drawing>
          <wp:inline distT="0" distB="0" distL="0" distR="0">
            <wp:extent cx="140588" cy="149732"/>
            <wp:effectExtent l="0" t="0" r="0" b="0"/>
            <wp:docPr id="13" name="image107.png" descr=""/>
            <wp:cNvGraphicFramePr>
              <a:graphicFrameLocks noChangeAspect="1"/>
            </wp:cNvGraphicFramePr>
            <a:graphic>
              <a:graphicData uri="http://schemas.openxmlformats.org/drawingml/2006/picture">
                <pic:pic>
                  <pic:nvPicPr>
                    <pic:cNvPr id="14" name="image107.png"/>
                    <pic:cNvPicPr/>
                  </pic:nvPicPr>
                  <pic:blipFill>
                    <a:blip r:embed="rId412" cstate="print"/>
                    <a:stretch>
                      <a:fillRect/>
                    </a:stretch>
                  </pic:blipFill>
                  <pic:spPr>
                    <a:xfrm>
                      <a:off x="0" y="0"/>
                      <a:ext cx="140588" cy="149732"/>
                    </a:xfrm>
                    <a:prstGeom prst="rect">
                      <a:avLst/>
                    </a:prstGeom>
                  </pic:spPr>
                </pic:pic>
              </a:graphicData>
            </a:graphic>
          </wp:inline>
        </w:drawing>
      </w:r>
      <w:r>
        <w:rPr>
          <w:position w:val="-8"/>
        </w:rPr>
      </w:r>
      <w:r>
        <w:rPr/>
        <w:t>  </w:t>
      </w:r>
      <w:r>
        <w:rPr>
          <w:spacing w:val="22"/>
        </w:rPr>
        <w:t> </w:t>
      </w:r>
      <w:r>
        <w:rPr/>
        <w:t>Sampling unit measured at</w:t>
      </w:r>
      <w:r>
        <w:rPr>
          <w:spacing w:val="-13"/>
        </w:rPr>
        <w:t> </w:t>
      </w:r>
      <w:r>
        <w:rPr/>
        <w:t>occasion</w:t>
      </w:r>
      <w:r>
        <w:rPr>
          <w:spacing w:val="-5"/>
        </w:rPr>
        <w:t> </w:t>
      </w:r>
      <w:r>
        <w:rPr/>
        <w:t>1</w:t>
      </w:r>
      <w:r>
        <w:rPr>
          <w:w w:val="99"/>
        </w:rPr>
        <w:t> </w:t>
      </w:r>
      <w:r>
        <w:rPr>
          <w:w w:val="99"/>
          <w:position w:val="-5"/>
        </w:rPr>
        <w:drawing>
          <wp:inline distT="0" distB="0" distL="0" distR="0">
            <wp:extent cx="136016" cy="125349"/>
            <wp:effectExtent l="0" t="0" r="0" b="0"/>
            <wp:docPr id="15" name="image108.png" descr=""/>
            <wp:cNvGraphicFramePr>
              <a:graphicFrameLocks noChangeAspect="1"/>
            </wp:cNvGraphicFramePr>
            <a:graphic>
              <a:graphicData uri="http://schemas.openxmlformats.org/drawingml/2006/picture">
                <pic:pic>
                  <pic:nvPicPr>
                    <pic:cNvPr id="16" name="image108.png"/>
                    <pic:cNvPicPr/>
                  </pic:nvPicPr>
                  <pic:blipFill>
                    <a:blip r:embed="rId413" cstate="print"/>
                    <a:stretch>
                      <a:fillRect/>
                    </a:stretch>
                  </pic:blipFill>
                  <pic:spPr>
                    <a:xfrm>
                      <a:off x="0" y="0"/>
                      <a:ext cx="136016" cy="125349"/>
                    </a:xfrm>
                    <a:prstGeom prst="rect">
                      <a:avLst/>
                    </a:prstGeom>
                  </pic:spPr>
                </pic:pic>
              </a:graphicData>
            </a:graphic>
          </wp:inline>
        </w:drawing>
      </w:r>
      <w:r>
        <w:rPr>
          <w:w w:val="99"/>
          <w:position w:val="-5"/>
        </w:rPr>
      </w:r>
      <w:r>
        <w:rPr>
          <w:w w:val="99"/>
        </w:rPr>
        <w:t>  </w:t>
      </w:r>
      <w:r>
        <w:rPr>
          <w:spacing w:val="23"/>
          <w:w w:val="99"/>
        </w:rPr>
        <w:t> </w:t>
      </w:r>
      <w:r>
        <w:rPr/>
        <w:t>Sampling unit measured at occasion</w:t>
      </w:r>
      <w:r>
        <w:rPr>
          <w:spacing w:val="-16"/>
        </w:rPr>
        <w:t> </w:t>
      </w:r>
      <w:r>
        <w:rPr/>
        <w:t>2</w:t>
      </w:r>
    </w:p>
    <w:p>
      <w:pPr>
        <w:pStyle w:val="BodyText"/>
        <w:spacing w:before="48"/>
        <w:ind w:left="179" w:right="1403"/>
        <w:jc w:val="both"/>
      </w:pPr>
      <w:r>
        <w:rPr/>
        <w:t>Permanent sample plots generally are more efficient in estimating changes than temporary plots because it is easier to distinguish actual trends from differences that are only due to changed plot selection. However, there are also some risks in the use of permanent sample plots. If the locations of permanent sample plots become known to land managers (e.g., by visibly marking the plots), there is a risk that management of the permanent plots will differ from the management of other areas. If this occurs, the plots will no longer be representative and there is an obvious risk that the results will be biased. If it is perceived that there might be a risk of the above kind, it is </w:t>
      </w:r>
      <w:r>
        <w:rPr>
          <w:i/>
        </w:rPr>
        <w:t>good practice </w:t>
      </w:r>
      <w:r>
        <w:rPr/>
        <w:t>to assess some temporary plots as a control sample in order to determine if the conditions on these plots deviate from the conditions on the permanent</w:t>
      </w:r>
      <w:r>
        <w:rPr>
          <w:spacing w:val="-12"/>
        </w:rPr>
        <w:t> </w:t>
      </w:r>
      <w:r>
        <w:rPr/>
        <w:t>plots.</w:t>
      </w:r>
    </w:p>
    <w:p>
      <w:pPr>
        <w:pStyle w:val="BodyText"/>
        <w:spacing w:before="118"/>
        <w:ind w:left="179" w:right="1407"/>
        <w:jc w:val="both"/>
      </w:pPr>
      <w:r>
        <w:rPr/>
        <w:t>The use of sampling with partial replacement can address some of the potential problems with relying on permanent plots, because it is possible to replace sites that are believed to have been treated differently. Sampling with partial replacement may be used, although the estimation procedures are complicated (Scott and Köhl 1994; Köhl </w:t>
      </w:r>
      <w:r>
        <w:rPr>
          <w:i/>
        </w:rPr>
        <w:t>et al. </w:t>
      </w:r>
      <w:r>
        <w:rPr/>
        <w:t>1995).</w:t>
      </w:r>
    </w:p>
    <w:p>
      <w:pPr>
        <w:pStyle w:val="BodyText"/>
        <w:spacing w:before="119"/>
        <w:ind w:left="179" w:right="1404"/>
        <w:jc w:val="both"/>
      </w:pPr>
      <w:r>
        <w:rPr/>
        <w:t>When only temporary plots are used, overall changes still can be estimated but it will no longer be possible to study land- use transfers between different classes unless a time dimension can be introduced into the sample. This can be done by drawing on auxiliary data, for example maps, remote sensing or administrative records about the state of land in the past. This will introduce additional uncertainty into the assessment which it may be difficult to quantify other than by expert</w:t>
      </w:r>
      <w:r>
        <w:rPr>
          <w:spacing w:val="-5"/>
        </w:rPr>
        <w:t> </w:t>
      </w:r>
      <w:r>
        <w:rPr/>
        <w:t>judgement.</w:t>
      </w:r>
    </w:p>
    <w:p>
      <w:pPr>
        <w:pStyle w:val="BodyText"/>
        <w:rPr>
          <w:sz w:val="22"/>
        </w:rPr>
      </w:pPr>
    </w:p>
    <w:p>
      <w:pPr>
        <w:pStyle w:val="BodyText"/>
        <w:spacing w:before="3"/>
      </w:pPr>
    </w:p>
    <w:p>
      <w:pPr>
        <w:pStyle w:val="Heading2"/>
        <w:numPr>
          <w:ilvl w:val="2"/>
          <w:numId w:val="174"/>
        </w:numPr>
        <w:tabs>
          <w:tab w:pos="1382" w:val="left" w:leader="none"/>
        </w:tabs>
        <w:spacing w:line="240" w:lineRule="auto" w:before="0" w:after="0"/>
        <w:ind w:left="1381" w:right="0" w:hanging="1202"/>
        <w:jc w:val="both"/>
      </w:pPr>
      <w:bookmarkStart w:name="_TOC_250040" w:id="15"/>
      <w:r>
        <w:rPr>
          <w:spacing w:val="8"/>
        </w:rPr>
        <w:t>Sampling Methods </w:t>
      </w:r>
      <w:r>
        <w:rPr>
          <w:spacing w:val="7"/>
        </w:rPr>
        <w:t>for </w:t>
      </w:r>
      <w:r>
        <w:rPr>
          <w:spacing w:val="6"/>
        </w:rPr>
        <w:t>Area</w:t>
      </w:r>
      <w:r>
        <w:rPr>
          <w:spacing w:val="58"/>
        </w:rPr>
        <w:t> </w:t>
      </w:r>
      <w:bookmarkEnd w:id="15"/>
      <w:r>
        <w:rPr>
          <w:spacing w:val="9"/>
        </w:rPr>
        <w:t>Estimation</w:t>
      </w:r>
    </w:p>
    <w:p>
      <w:pPr>
        <w:pStyle w:val="BodyText"/>
        <w:spacing w:before="113"/>
        <w:ind w:left="179" w:right="1406"/>
        <w:jc w:val="both"/>
      </w:pPr>
      <w:r>
        <w:rPr/>
        <w:t>Chapter 2 presents different approaches for assessing areas or changes in areas of land- use classes. Many of these approaches rely on sampling. Areas and changes in areas can be estimated in two different ways using sampling:</w:t>
      </w:r>
    </w:p>
    <w:p>
      <w:pPr>
        <w:pStyle w:val="ListParagraph"/>
        <w:numPr>
          <w:ilvl w:val="0"/>
          <w:numId w:val="117"/>
        </w:numPr>
        <w:tabs>
          <w:tab w:pos="540" w:val="left" w:leader="none"/>
        </w:tabs>
        <w:spacing w:line="240" w:lineRule="auto" w:before="134" w:after="0"/>
        <w:ind w:left="539" w:right="0" w:hanging="360"/>
        <w:jc w:val="both"/>
        <w:rPr>
          <w:sz w:val="20"/>
        </w:rPr>
      </w:pPr>
      <w:r>
        <w:rPr>
          <w:sz w:val="20"/>
        </w:rPr>
        <w:t>Estimation via</w:t>
      </w:r>
      <w:r>
        <w:rPr>
          <w:spacing w:val="1"/>
          <w:sz w:val="20"/>
        </w:rPr>
        <w:t> </w:t>
      </w:r>
      <w:r>
        <w:rPr>
          <w:sz w:val="20"/>
        </w:rPr>
        <w:t>proportions;</w:t>
      </w:r>
    </w:p>
    <w:p>
      <w:pPr>
        <w:pStyle w:val="ListParagraph"/>
        <w:numPr>
          <w:ilvl w:val="0"/>
          <w:numId w:val="117"/>
        </w:numPr>
        <w:tabs>
          <w:tab w:pos="540" w:val="left" w:leader="none"/>
        </w:tabs>
        <w:spacing w:line="240" w:lineRule="auto" w:before="118" w:after="0"/>
        <w:ind w:left="539" w:right="0" w:hanging="360"/>
        <w:jc w:val="both"/>
        <w:rPr>
          <w:sz w:val="20"/>
        </w:rPr>
      </w:pPr>
      <w:r>
        <w:rPr>
          <w:sz w:val="20"/>
        </w:rPr>
        <w:t>Direct estimation of</w:t>
      </w:r>
      <w:r>
        <w:rPr>
          <w:spacing w:val="-4"/>
          <w:sz w:val="20"/>
        </w:rPr>
        <w:t> </w:t>
      </w:r>
      <w:r>
        <w:rPr>
          <w:sz w:val="20"/>
        </w:rPr>
        <w:t>area.</w:t>
      </w:r>
    </w:p>
    <w:p>
      <w:pPr>
        <w:pStyle w:val="BodyText"/>
        <w:spacing w:before="104"/>
        <w:ind w:left="179" w:right="1408"/>
        <w:jc w:val="both"/>
      </w:pPr>
      <w:r>
        <w:rPr/>
        <w:t>The first approach requires that </w:t>
      </w:r>
      <w:r>
        <w:rPr>
          <w:spacing w:val="-2"/>
        </w:rPr>
        <w:t>the </w:t>
      </w:r>
      <w:r>
        <w:rPr/>
        <w:t>total area of the survey region is known, </w:t>
      </w:r>
      <w:r>
        <w:rPr>
          <w:spacing w:val="-2"/>
        </w:rPr>
        <w:t>and </w:t>
      </w:r>
      <w:r>
        <w:rPr/>
        <w:t>that </w:t>
      </w:r>
      <w:r>
        <w:rPr>
          <w:spacing w:val="-2"/>
        </w:rPr>
        <w:t>the </w:t>
      </w:r>
      <w:r>
        <w:rPr/>
        <w:t>sample survey provides only</w:t>
      </w:r>
      <w:r>
        <w:rPr>
          <w:spacing w:val="-13"/>
        </w:rPr>
        <w:t> </w:t>
      </w:r>
      <w:r>
        <w:rPr/>
        <w:t>the</w:t>
      </w:r>
      <w:r>
        <w:rPr>
          <w:spacing w:val="-10"/>
        </w:rPr>
        <w:t> </w:t>
      </w:r>
      <w:r>
        <w:rPr/>
        <w:t>proportions</w:t>
      </w:r>
      <w:r>
        <w:rPr>
          <w:spacing w:val="-12"/>
        </w:rPr>
        <w:t> </w:t>
      </w:r>
      <w:r>
        <w:rPr/>
        <w:t>of</w:t>
      </w:r>
      <w:r>
        <w:rPr>
          <w:spacing w:val="-13"/>
        </w:rPr>
        <w:t> </w:t>
      </w:r>
      <w:r>
        <w:rPr/>
        <w:t>different</w:t>
      </w:r>
      <w:r>
        <w:rPr>
          <w:spacing w:val="-9"/>
        </w:rPr>
        <w:t> </w:t>
      </w:r>
      <w:r>
        <w:rPr>
          <w:spacing w:val="-3"/>
        </w:rPr>
        <w:t>land-use</w:t>
      </w:r>
      <w:r>
        <w:rPr>
          <w:spacing w:val="-11"/>
        </w:rPr>
        <w:t> </w:t>
      </w:r>
      <w:r>
        <w:rPr>
          <w:spacing w:val="-3"/>
        </w:rPr>
        <w:t>classes.</w:t>
      </w:r>
      <w:r>
        <w:rPr>
          <w:spacing w:val="-10"/>
        </w:rPr>
        <w:t> </w:t>
      </w:r>
      <w:r>
        <w:rPr/>
        <w:t>The</w:t>
      </w:r>
      <w:r>
        <w:rPr>
          <w:spacing w:val="-11"/>
        </w:rPr>
        <w:t> </w:t>
      </w:r>
      <w:r>
        <w:rPr/>
        <w:t>second</w:t>
      </w:r>
      <w:r>
        <w:rPr>
          <w:spacing w:val="-7"/>
        </w:rPr>
        <w:t> </w:t>
      </w:r>
      <w:r>
        <w:rPr/>
        <w:t>approach</w:t>
      </w:r>
      <w:r>
        <w:rPr>
          <w:spacing w:val="-13"/>
        </w:rPr>
        <w:t> </w:t>
      </w:r>
      <w:r>
        <w:rPr/>
        <w:t>does</w:t>
      </w:r>
      <w:r>
        <w:rPr>
          <w:spacing w:val="-9"/>
        </w:rPr>
        <w:t> </w:t>
      </w:r>
      <w:r>
        <w:rPr>
          <w:spacing w:val="-2"/>
        </w:rPr>
        <w:t>not</w:t>
      </w:r>
      <w:r>
        <w:rPr>
          <w:spacing w:val="-12"/>
        </w:rPr>
        <w:t> </w:t>
      </w:r>
      <w:r>
        <w:rPr/>
        <w:t>require</w:t>
      </w:r>
      <w:r>
        <w:rPr>
          <w:spacing w:val="-8"/>
        </w:rPr>
        <w:t> </w:t>
      </w:r>
      <w:r>
        <w:rPr/>
        <w:t>the</w:t>
      </w:r>
      <w:r>
        <w:rPr>
          <w:spacing w:val="-9"/>
        </w:rPr>
        <w:t> </w:t>
      </w:r>
      <w:r>
        <w:rPr/>
        <w:t>total</w:t>
      </w:r>
      <w:r>
        <w:rPr>
          <w:spacing w:val="-11"/>
        </w:rPr>
        <w:t> </w:t>
      </w:r>
      <w:r>
        <w:rPr/>
        <w:t>area</w:t>
      </w:r>
      <w:r>
        <w:rPr>
          <w:spacing w:val="-9"/>
        </w:rPr>
        <w:t> </w:t>
      </w:r>
      <w:r>
        <w:rPr/>
        <w:t>to</w:t>
      </w:r>
      <w:r>
        <w:rPr>
          <w:spacing w:val="-11"/>
        </w:rPr>
        <w:t> </w:t>
      </w:r>
      <w:r>
        <w:rPr/>
        <w:t>be</w:t>
      </w:r>
      <w:r>
        <w:rPr>
          <w:spacing w:val="-10"/>
        </w:rPr>
        <w:t> </w:t>
      </w:r>
      <w:r>
        <w:rPr>
          <w:spacing w:val="-3"/>
        </w:rPr>
        <w:t>known.</w:t>
      </w:r>
    </w:p>
    <w:p>
      <w:pPr>
        <w:pStyle w:val="BodyText"/>
        <w:spacing w:before="118"/>
        <w:ind w:left="179" w:right="1401"/>
        <w:jc w:val="both"/>
      </w:pPr>
      <w:r>
        <w:rPr/>
        <w:t>Both approaches require assessment of a given number of sampling units located in the inventory area. Selection of sampling units may be performed using simple random sampling or systematic sampling (see Figure 5.3.2). Systematic sampling generally improves the precision of the area estimates, especially when the different land- use classes occur in large patches. Stratification, which is discussed in Section 5.3.3.1, also may be applied to improve the efficiency of the area estimates; in this case it is </w:t>
      </w:r>
      <w:r>
        <w:rPr>
          <w:i/>
        </w:rPr>
        <w:t>good practice </w:t>
      </w:r>
      <w:r>
        <w:rPr/>
        <w:t>to perform the procedures described below independently in each stratum.</w:t>
      </w:r>
    </w:p>
    <w:p>
      <w:pPr>
        <w:pStyle w:val="BodyText"/>
        <w:spacing w:before="120"/>
        <w:ind w:left="179" w:right="1406"/>
        <w:jc w:val="both"/>
      </w:pPr>
      <w:r>
        <w:rPr/>
        <w:t>In estimating proportions it is assumed that the sampling units are dimensionless points, although a small area around each point must be considered when the land- use class is determined. Sample plots may also be used for area estimation, although this principle is not further elaborated here.</w:t>
      </w:r>
    </w:p>
    <w:p>
      <w:pPr>
        <w:spacing w:after="0"/>
        <w:jc w:val="both"/>
        <w:sectPr>
          <w:type w:val="continuous"/>
          <w:pgSz w:w="11900" w:h="16840"/>
          <w:pgMar w:top="1060" w:bottom="280" w:left="1240" w:right="0"/>
        </w:sectPr>
      </w:pPr>
    </w:p>
    <w:p>
      <w:pPr>
        <w:pStyle w:val="BodyText"/>
      </w:pPr>
    </w:p>
    <w:p>
      <w:pPr>
        <w:pStyle w:val="BodyText"/>
        <w:spacing w:before="7"/>
        <w:rPr>
          <w:sz w:val="15"/>
        </w:rPr>
      </w:pPr>
    </w:p>
    <w:p>
      <w:pPr>
        <w:pStyle w:val="Heading6"/>
        <w:numPr>
          <w:ilvl w:val="3"/>
          <w:numId w:val="174"/>
        </w:numPr>
        <w:tabs>
          <w:tab w:pos="1619" w:val="left" w:leader="none"/>
          <w:tab w:pos="1620" w:val="left" w:leader="none"/>
        </w:tabs>
        <w:spacing w:line="240" w:lineRule="auto" w:before="89" w:after="0"/>
        <w:ind w:left="1619" w:right="0" w:hanging="1440"/>
        <w:jc w:val="left"/>
      </w:pPr>
      <w:bookmarkStart w:name="_TOC_250039" w:id="16"/>
      <w:r>
        <w:rPr>
          <w:spacing w:val="17"/>
          <w:sz w:val="28"/>
        </w:rPr>
        <w:t>E</w:t>
      </w:r>
      <w:r>
        <w:rPr>
          <w:spacing w:val="17"/>
        </w:rPr>
        <w:t>STIMATION </w:t>
      </w:r>
      <w:r>
        <w:rPr>
          <w:spacing w:val="10"/>
        </w:rPr>
        <w:t>OF </w:t>
      </w:r>
      <w:r>
        <w:rPr>
          <w:spacing w:val="15"/>
        </w:rPr>
        <w:t>AREAS </w:t>
      </w:r>
      <w:r>
        <w:rPr>
          <w:spacing w:val="12"/>
        </w:rPr>
        <w:t>VIA</w:t>
      </w:r>
      <w:r>
        <w:rPr>
          <w:spacing w:val="-22"/>
        </w:rPr>
        <w:t> </w:t>
      </w:r>
      <w:bookmarkEnd w:id="16"/>
      <w:r>
        <w:rPr>
          <w:spacing w:val="17"/>
        </w:rPr>
        <w:t>PROPORTIONS</w:t>
      </w:r>
    </w:p>
    <w:p>
      <w:pPr>
        <w:pStyle w:val="BodyText"/>
        <w:spacing w:before="211"/>
        <w:ind w:left="179" w:right="1399"/>
        <w:jc w:val="both"/>
      </w:pPr>
      <w:r>
        <w:rPr/>
        <w:t>The total area of an inventory region is generally known. In this case the estimation of the  areas of different land- use classes can be based on assessments of area proportions. When applying this approach, the inventory area is covered by a certain number of sample points, and land- use is determined for each point. The proportion of each land- use class then is calculated by dividing the number of points located in the specific class by the total number of points. Area estimates for each land use class are obtained by multiplying the proportion of each class by the total</w:t>
      </w:r>
      <w:r>
        <w:rPr>
          <w:spacing w:val="-6"/>
        </w:rPr>
        <w:t> </w:t>
      </w:r>
      <w:r>
        <w:rPr/>
        <w:t>area.</w:t>
      </w:r>
    </w:p>
    <w:p>
      <w:pPr>
        <w:pStyle w:val="BodyText"/>
        <w:spacing w:before="118"/>
        <w:ind w:left="179"/>
        <w:jc w:val="both"/>
      </w:pPr>
      <w:r>
        <w:rPr/>
        <w:t>Table</w:t>
      </w:r>
      <w:r>
        <w:rPr>
          <w:spacing w:val="42"/>
        </w:rPr>
        <w:t> </w:t>
      </w:r>
      <w:r>
        <w:rPr/>
        <w:t>5.3.1</w:t>
      </w:r>
      <w:r>
        <w:rPr>
          <w:spacing w:val="42"/>
        </w:rPr>
        <w:t> </w:t>
      </w:r>
      <w:r>
        <w:rPr/>
        <w:t>provides</w:t>
      </w:r>
      <w:r>
        <w:rPr>
          <w:spacing w:val="43"/>
        </w:rPr>
        <w:t> </w:t>
      </w:r>
      <w:r>
        <w:rPr/>
        <w:t>an</w:t>
      </w:r>
      <w:r>
        <w:rPr>
          <w:spacing w:val="42"/>
        </w:rPr>
        <w:t> </w:t>
      </w:r>
      <w:r>
        <w:rPr/>
        <w:t>example</w:t>
      </w:r>
      <w:r>
        <w:rPr>
          <w:spacing w:val="44"/>
        </w:rPr>
        <w:t> </w:t>
      </w:r>
      <w:r>
        <w:rPr/>
        <w:t>of</w:t>
      </w:r>
      <w:r>
        <w:rPr>
          <w:spacing w:val="42"/>
        </w:rPr>
        <w:t> </w:t>
      </w:r>
      <w:r>
        <w:rPr/>
        <w:t>this</w:t>
      </w:r>
      <w:r>
        <w:rPr>
          <w:spacing w:val="43"/>
        </w:rPr>
        <w:t> </w:t>
      </w:r>
      <w:r>
        <w:rPr/>
        <w:t>procedure.</w:t>
      </w:r>
      <w:r>
        <w:rPr>
          <w:spacing w:val="44"/>
        </w:rPr>
        <w:t> </w:t>
      </w:r>
      <w:r>
        <w:rPr/>
        <w:t>The</w:t>
      </w:r>
      <w:r>
        <w:rPr>
          <w:spacing w:val="42"/>
        </w:rPr>
        <w:t> </w:t>
      </w:r>
      <w:r>
        <w:rPr/>
        <w:t>standard</w:t>
      </w:r>
      <w:r>
        <w:rPr>
          <w:spacing w:val="44"/>
        </w:rPr>
        <w:t> </w:t>
      </w:r>
      <w:r>
        <w:rPr/>
        <w:t>error</w:t>
      </w:r>
      <w:r>
        <w:rPr>
          <w:spacing w:val="44"/>
        </w:rPr>
        <w:t> </w:t>
      </w:r>
      <w:r>
        <w:rPr/>
        <w:t>of</w:t>
      </w:r>
      <w:r>
        <w:rPr>
          <w:spacing w:val="42"/>
        </w:rPr>
        <w:t> </w:t>
      </w:r>
      <w:r>
        <w:rPr/>
        <w:t>an</w:t>
      </w:r>
      <w:r>
        <w:rPr>
          <w:spacing w:val="43"/>
        </w:rPr>
        <w:t> </w:t>
      </w:r>
      <w:r>
        <w:rPr/>
        <w:t>area</w:t>
      </w:r>
      <w:r>
        <w:rPr>
          <w:spacing w:val="44"/>
        </w:rPr>
        <w:t> </w:t>
      </w:r>
      <w:r>
        <w:rPr/>
        <w:t>estimate</w:t>
      </w:r>
      <w:r>
        <w:rPr>
          <w:spacing w:val="44"/>
        </w:rPr>
        <w:t> </w:t>
      </w:r>
      <w:r>
        <w:rPr/>
        <w:t>is</w:t>
      </w:r>
      <w:r>
        <w:rPr>
          <w:spacing w:val="43"/>
        </w:rPr>
        <w:t> </w:t>
      </w:r>
      <w:r>
        <w:rPr/>
        <w:t>obtained</w:t>
      </w:r>
      <w:r>
        <w:rPr>
          <w:spacing w:val="44"/>
        </w:rPr>
        <w:t> </w:t>
      </w:r>
      <w:r>
        <w:rPr/>
        <w:t>as</w:t>
      </w:r>
    </w:p>
    <w:p>
      <w:pPr>
        <w:pStyle w:val="BodyText"/>
        <w:tabs>
          <w:tab w:pos="2084" w:val="left" w:leader="none"/>
        </w:tabs>
        <w:spacing w:before="77"/>
        <w:ind w:left="215"/>
      </w:pPr>
      <w:r>
        <w:rPr/>
        <w:pict>
          <v:group style="position:absolute;margin-left:80.198997pt;margin-top:3.104238pt;width:83.45pt;height:13.35pt;mso-position-horizontal-relative:page;mso-position-vertical-relative:paragraph;z-index:-2426368" coordorigin="1604,62" coordsize="1669,267">
            <v:shape style="position:absolute;left:1608;top:112;width:1164;height:197" coordorigin="1609,113" coordsize="1164,197" path="m2773,113l2710,309m1609,245l1635,230e" filled="false" stroked="true" strokeweight=".484pt" strokecolor="#000000">
              <v:path arrowok="t"/>
              <v:stroke dashstyle="solid"/>
            </v:shape>
            <v:line style="position:absolute" from="1635,235" to="1669,319" stroked="true" strokeweight=".968pt" strokecolor="#000000">
              <v:stroke dashstyle="solid"/>
            </v:line>
            <v:shape style="position:absolute;left:1673;top:66;width:1594;height:252" coordorigin="1674,67" coordsize="1594,252" path="m1674,319l1722,67,3267,67e" filled="false" stroked="true" strokeweight=".484pt" strokecolor="#000000">
              <v:path arrowok="t"/>
              <v:stroke dashstyle="solid"/>
            </v:shape>
            <v:shape style="position:absolute;left:1603;top:62;width:1669;height:267" type="#_x0000_t202" filled="false" stroked="false">
              <v:textbox inset="0,0,0,0">
                <w:txbxContent>
                  <w:p>
                    <w:pPr>
                      <w:spacing w:before="23"/>
                      <w:ind w:left="124" w:right="0" w:firstLine="0"/>
                      <w:jc w:val="left"/>
                      <w:rPr>
                        <w:sz w:val="19"/>
                      </w:rPr>
                    </w:pPr>
                    <w:r>
                      <w:rPr>
                        <w:w w:val="105"/>
                        <w:position w:val="2"/>
                        <w:sz w:val="19"/>
                      </w:rPr>
                      <w:t>(p</w:t>
                    </w:r>
                    <w:r>
                      <w:rPr>
                        <w:w w:val="105"/>
                        <w:sz w:val="12"/>
                      </w:rPr>
                      <w:t>i </w:t>
                    </w:r>
                    <w:r>
                      <w:rPr>
                        <w:rFonts w:ascii="Symbol" w:hAnsi="Symbol"/>
                        <w:w w:val="105"/>
                        <w:position w:val="2"/>
                        <w:sz w:val="19"/>
                      </w:rPr>
                      <w:t>• </w:t>
                    </w:r>
                    <w:r>
                      <w:rPr>
                        <w:w w:val="105"/>
                        <w:position w:val="2"/>
                        <w:sz w:val="19"/>
                      </w:rPr>
                      <w:t>(1</w:t>
                    </w:r>
                    <w:r>
                      <w:rPr>
                        <w:rFonts w:ascii="Symbol" w:hAnsi="Symbol"/>
                        <w:w w:val="105"/>
                        <w:position w:val="2"/>
                        <w:sz w:val="19"/>
                      </w:rPr>
                      <w:t>− </w:t>
                    </w:r>
                    <w:r>
                      <w:rPr>
                        <w:w w:val="105"/>
                        <w:position w:val="2"/>
                        <w:sz w:val="19"/>
                      </w:rPr>
                      <w:t>p</w:t>
                    </w:r>
                    <w:r>
                      <w:rPr>
                        <w:w w:val="105"/>
                        <w:sz w:val="12"/>
                      </w:rPr>
                      <w:t>i </w:t>
                    </w:r>
                    <w:r>
                      <w:rPr>
                        <w:w w:val="105"/>
                        <w:position w:val="2"/>
                        <w:sz w:val="19"/>
                      </w:rPr>
                      <w:t>)) (n </w:t>
                    </w:r>
                    <w:r>
                      <w:rPr>
                        <w:rFonts w:ascii="Symbol" w:hAnsi="Symbol"/>
                        <w:w w:val="105"/>
                        <w:position w:val="2"/>
                        <w:sz w:val="19"/>
                      </w:rPr>
                      <w:t>−</w:t>
                    </w:r>
                    <w:r>
                      <w:rPr>
                        <w:w w:val="105"/>
                        <w:position w:val="2"/>
                        <w:sz w:val="19"/>
                      </w:rPr>
                      <w:t>1)</w:t>
                    </w:r>
                  </w:p>
                </w:txbxContent>
              </v:textbox>
              <w10:wrap type="none"/>
            </v:shape>
            <w10:wrap type="none"/>
          </v:group>
        </w:pict>
      </w:r>
      <w:r>
        <w:rPr>
          <w:sz w:val="19"/>
        </w:rPr>
        <w:t>A</w:t>
        <w:tab/>
      </w:r>
      <w:r>
        <w:rPr/>
        <w:t>,</w:t>
      </w:r>
      <w:r>
        <w:rPr>
          <w:spacing w:val="13"/>
        </w:rPr>
        <w:t> </w:t>
      </w:r>
      <w:r>
        <w:rPr/>
        <w:t>where</w:t>
      </w:r>
      <w:r>
        <w:rPr>
          <w:spacing w:val="11"/>
        </w:rPr>
        <w:t> </w:t>
      </w:r>
      <w:r>
        <w:rPr/>
        <w:t>p</w:t>
      </w:r>
      <w:r>
        <w:rPr>
          <w:vertAlign w:val="subscript"/>
        </w:rPr>
        <w:t>i</w:t>
      </w:r>
      <w:r>
        <w:rPr>
          <w:spacing w:val="11"/>
          <w:vertAlign w:val="baseline"/>
        </w:rPr>
        <w:t> </w:t>
      </w:r>
      <w:r>
        <w:rPr>
          <w:vertAlign w:val="baseline"/>
        </w:rPr>
        <w:t>is</w:t>
      </w:r>
      <w:r>
        <w:rPr>
          <w:spacing w:val="11"/>
          <w:vertAlign w:val="baseline"/>
        </w:rPr>
        <w:t> </w:t>
      </w:r>
      <w:r>
        <w:rPr>
          <w:vertAlign w:val="baseline"/>
        </w:rPr>
        <w:t>the</w:t>
      </w:r>
      <w:r>
        <w:rPr>
          <w:spacing w:val="11"/>
          <w:vertAlign w:val="baseline"/>
        </w:rPr>
        <w:t> </w:t>
      </w:r>
      <w:r>
        <w:rPr>
          <w:vertAlign w:val="baseline"/>
        </w:rPr>
        <w:t>proportion</w:t>
      </w:r>
      <w:r>
        <w:rPr>
          <w:spacing w:val="10"/>
          <w:vertAlign w:val="baseline"/>
        </w:rPr>
        <w:t> </w:t>
      </w:r>
      <w:r>
        <w:rPr>
          <w:vertAlign w:val="baseline"/>
        </w:rPr>
        <w:t>of</w:t>
      </w:r>
      <w:r>
        <w:rPr>
          <w:spacing w:val="9"/>
          <w:vertAlign w:val="baseline"/>
        </w:rPr>
        <w:t> </w:t>
      </w:r>
      <w:r>
        <w:rPr>
          <w:vertAlign w:val="baseline"/>
        </w:rPr>
        <w:t>points</w:t>
      </w:r>
      <w:r>
        <w:rPr>
          <w:spacing w:val="11"/>
          <w:vertAlign w:val="baseline"/>
        </w:rPr>
        <w:t> </w:t>
      </w:r>
      <w:r>
        <w:rPr>
          <w:vertAlign w:val="baseline"/>
        </w:rPr>
        <w:t>in</w:t>
      </w:r>
      <w:r>
        <w:rPr>
          <w:spacing w:val="9"/>
          <w:vertAlign w:val="baseline"/>
        </w:rPr>
        <w:t> </w:t>
      </w:r>
      <w:r>
        <w:rPr>
          <w:vertAlign w:val="baseline"/>
        </w:rPr>
        <w:t>the</w:t>
      </w:r>
      <w:r>
        <w:rPr>
          <w:spacing w:val="12"/>
          <w:vertAlign w:val="baseline"/>
        </w:rPr>
        <w:t> </w:t>
      </w:r>
      <w:r>
        <w:rPr>
          <w:vertAlign w:val="baseline"/>
        </w:rPr>
        <w:t>particular</w:t>
      </w:r>
      <w:r>
        <w:rPr>
          <w:spacing w:val="11"/>
          <w:vertAlign w:val="baseline"/>
        </w:rPr>
        <w:t> </w:t>
      </w:r>
      <w:r>
        <w:rPr>
          <w:vertAlign w:val="baseline"/>
        </w:rPr>
        <w:t>land-</w:t>
      </w:r>
      <w:r>
        <w:rPr>
          <w:spacing w:val="-31"/>
          <w:vertAlign w:val="baseline"/>
        </w:rPr>
        <w:t> </w:t>
      </w:r>
      <w:r>
        <w:rPr>
          <w:vertAlign w:val="baseline"/>
        </w:rPr>
        <w:t>use</w:t>
      </w:r>
      <w:r>
        <w:rPr>
          <w:spacing w:val="12"/>
          <w:vertAlign w:val="baseline"/>
        </w:rPr>
        <w:t> </w:t>
      </w:r>
      <w:r>
        <w:rPr>
          <w:vertAlign w:val="baseline"/>
        </w:rPr>
        <w:t>class,</w:t>
      </w:r>
      <w:r>
        <w:rPr>
          <w:spacing w:val="11"/>
          <w:vertAlign w:val="baseline"/>
        </w:rPr>
        <w:t> </w:t>
      </w:r>
      <w:r>
        <w:rPr>
          <w:vertAlign w:val="baseline"/>
        </w:rPr>
        <w:t>A</w:t>
      </w:r>
      <w:r>
        <w:rPr>
          <w:spacing w:val="9"/>
          <w:vertAlign w:val="baseline"/>
        </w:rPr>
        <w:t> </w:t>
      </w:r>
      <w:r>
        <w:rPr>
          <w:vertAlign w:val="baseline"/>
        </w:rPr>
        <w:t>the</w:t>
      </w:r>
      <w:r>
        <w:rPr>
          <w:spacing w:val="12"/>
          <w:vertAlign w:val="baseline"/>
        </w:rPr>
        <w:t> </w:t>
      </w:r>
      <w:r>
        <w:rPr>
          <w:vertAlign w:val="baseline"/>
        </w:rPr>
        <w:t>known</w:t>
      </w:r>
      <w:r>
        <w:rPr>
          <w:spacing w:val="9"/>
          <w:vertAlign w:val="baseline"/>
        </w:rPr>
        <w:t> </w:t>
      </w:r>
      <w:r>
        <w:rPr>
          <w:vertAlign w:val="baseline"/>
        </w:rPr>
        <w:t>total</w:t>
      </w:r>
    </w:p>
    <w:p>
      <w:pPr>
        <w:pStyle w:val="BodyText"/>
        <w:spacing w:line="256" w:lineRule="auto" w:before="68"/>
        <w:ind w:left="179" w:right="1408"/>
        <w:jc w:val="both"/>
      </w:pPr>
      <w:r>
        <w:rPr/>
        <w:pict>
          <v:shape style="position:absolute;margin-left:92.905998pt;margin-top:99.601479pt;width:64.25pt;height:63.05pt;mso-position-horizontal-relative:page;mso-position-vertical-relative:paragraph;z-index:29824" type="#_x0000_t202" filled="false" stroked="false">
            <v:textbox inset="0,0,0,0">
              <w:txbxContent>
                <w:tbl>
                  <w:tblPr>
                    <w:tblW w:w="0" w:type="auto"/>
                    <w:jc w:val="left"/>
                    <w:tblInd w:w="7" w:type="dxa"/>
                    <w:tblBorders>
                      <w:top w:val="single" w:sz="6" w:space="0" w:color="010101"/>
                      <w:left w:val="single" w:sz="6" w:space="0" w:color="010101"/>
                      <w:bottom w:val="single" w:sz="6" w:space="0" w:color="010101"/>
                      <w:right w:val="single" w:sz="6" w:space="0" w:color="010101"/>
                      <w:insideH w:val="single" w:sz="6" w:space="0" w:color="010101"/>
                      <w:insideV w:val="single" w:sz="6" w:space="0" w:color="010101"/>
                    </w:tblBorders>
                    <w:tblLayout w:type="fixed"/>
                    <w:tblCellMar>
                      <w:top w:w="0" w:type="dxa"/>
                      <w:left w:w="0" w:type="dxa"/>
                      <w:bottom w:w="0" w:type="dxa"/>
                      <w:right w:w="0" w:type="dxa"/>
                    </w:tblCellMar>
                    <w:tblLook w:val="01E0"/>
                  </w:tblPr>
                  <w:tblGrid>
                    <w:gridCol w:w="190"/>
                    <w:gridCol w:w="430"/>
                    <w:gridCol w:w="429"/>
                    <w:gridCol w:w="215"/>
                  </w:tblGrid>
                  <w:tr>
                    <w:trPr>
                      <w:trHeight w:val="258" w:hRule="atLeast"/>
                    </w:trPr>
                    <w:tc>
                      <w:tcPr>
                        <w:tcW w:w="190" w:type="dxa"/>
                      </w:tcPr>
                      <w:p>
                        <w:pPr>
                          <w:pStyle w:val="TableParagraph"/>
                          <w:rPr>
                            <w:sz w:val="18"/>
                          </w:rPr>
                        </w:pPr>
                      </w:p>
                    </w:tc>
                    <w:tc>
                      <w:tcPr>
                        <w:tcW w:w="430" w:type="dxa"/>
                      </w:tcPr>
                      <w:p>
                        <w:pPr>
                          <w:pStyle w:val="TableParagraph"/>
                          <w:rPr>
                            <w:sz w:val="18"/>
                          </w:rPr>
                        </w:pPr>
                      </w:p>
                    </w:tc>
                    <w:tc>
                      <w:tcPr>
                        <w:tcW w:w="429" w:type="dxa"/>
                        <w:tcBorders>
                          <w:right w:val="single" w:sz="8" w:space="0" w:color="010101"/>
                        </w:tcBorders>
                      </w:tcPr>
                      <w:p>
                        <w:pPr>
                          <w:pStyle w:val="TableParagraph"/>
                          <w:rPr>
                            <w:sz w:val="18"/>
                          </w:rPr>
                        </w:pPr>
                      </w:p>
                    </w:tc>
                    <w:tc>
                      <w:tcPr>
                        <w:tcW w:w="215" w:type="dxa"/>
                        <w:tcBorders>
                          <w:left w:val="single" w:sz="8" w:space="0" w:color="010101"/>
                        </w:tcBorders>
                      </w:tcPr>
                      <w:p>
                        <w:pPr>
                          <w:pStyle w:val="TableParagraph"/>
                          <w:rPr>
                            <w:sz w:val="18"/>
                          </w:rPr>
                        </w:pPr>
                      </w:p>
                    </w:tc>
                  </w:tr>
                  <w:tr>
                    <w:trPr>
                      <w:trHeight w:val="357" w:hRule="atLeast"/>
                    </w:trPr>
                    <w:tc>
                      <w:tcPr>
                        <w:tcW w:w="190" w:type="dxa"/>
                      </w:tcPr>
                      <w:p>
                        <w:pPr>
                          <w:pStyle w:val="TableParagraph"/>
                          <w:rPr>
                            <w:sz w:val="20"/>
                          </w:rPr>
                        </w:pPr>
                      </w:p>
                    </w:tc>
                    <w:tc>
                      <w:tcPr>
                        <w:tcW w:w="430" w:type="dxa"/>
                      </w:tcPr>
                      <w:p>
                        <w:pPr>
                          <w:pStyle w:val="TableParagraph"/>
                          <w:rPr>
                            <w:sz w:val="20"/>
                          </w:rPr>
                        </w:pPr>
                      </w:p>
                    </w:tc>
                    <w:tc>
                      <w:tcPr>
                        <w:tcW w:w="429" w:type="dxa"/>
                        <w:tcBorders>
                          <w:right w:val="single" w:sz="8" w:space="0" w:color="010101"/>
                        </w:tcBorders>
                      </w:tcPr>
                      <w:p>
                        <w:pPr>
                          <w:pStyle w:val="TableParagraph"/>
                          <w:rPr>
                            <w:sz w:val="20"/>
                          </w:rPr>
                        </w:pPr>
                      </w:p>
                    </w:tc>
                    <w:tc>
                      <w:tcPr>
                        <w:tcW w:w="215" w:type="dxa"/>
                        <w:tcBorders>
                          <w:left w:val="single" w:sz="8" w:space="0" w:color="010101"/>
                        </w:tcBorders>
                      </w:tcPr>
                      <w:p>
                        <w:pPr>
                          <w:pStyle w:val="TableParagraph"/>
                          <w:rPr>
                            <w:sz w:val="20"/>
                          </w:rPr>
                        </w:pPr>
                      </w:p>
                    </w:tc>
                  </w:tr>
                  <w:tr>
                    <w:trPr>
                      <w:trHeight w:val="349" w:hRule="atLeast"/>
                    </w:trPr>
                    <w:tc>
                      <w:tcPr>
                        <w:tcW w:w="190" w:type="dxa"/>
                      </w:tcPr>
                      <w:p>
                        <w:pPr>
                          <w:pStyle w:val="TableParagraph"/>
                          <w:rPr>
                            <w:sz w:val="20"/>
                          </w:rPr>
                        </w:pPr>
                      </w:p>
                    </w:tc>
                    <w:tc>
                      <w:tcPr>
                        <w:tcW w:w="430" w:type="dxa"/>
                      </w:tcPr>
                      <w:p>
                        <w:pPr>
                          <w:pStyle w:val="TableParagraph"/>
                          <w:rPr>
                            <w:sz w:val="20"/>
                          </w:rPr>
                        </w:pPr>
                      </w:p>
                    </w:tc>
                    <w:tc>
                      <w:tcPr>
                        <w:tcW w:w="429" w:type="dxa"/>
                        <w:tcBorders>
                          <w:right w:val="single" w:sz="8" w:space="0" w:color="010101"/>
                        </w:tcBorders>
                      </w:tcPr>
                      <w:p>
                        <w:pPr>
                          <w:pStyle w:val="TableParagraph"/>
                          <w:rPr>
                            <w:sz w:val="20"/>
                          </w:rPr>
                        </w:pPr>
                      </w:p>
                    </w:tc>
                    <w:tc>
                      <w:tcPr>
                        <w:tcW w:w="215" w:type="dxa"/>
                        <w:tcBorders>
                          <w:left w:val="single" w:sz="8" w:space="0" w:color="010101"/>
                        </w:tcBorders>
                      </w:tcPr>
                      <w:p>
                        <w:pPr>
                          <w:pStyle w:val="TableParagraph"/>
                          <w:rPr>
                            <w:sz w:val="20"/>
                          </w:rPr>
                        </w:pPr>
                      </w:p>
                    </w:tc>
                  </w:tr>
                  <w:tr>
                    <w:trPr>
                      <w:trHeight w:val="220" w:hRule="atLeast"/>
                    </w:trPr>
                    <w:tc>
                      <w:tcPr>
                        <w:tcW w:w="190" w:type="dxa"/>
                      </w:tcPr>
                      <w:p>
                        <w:pPr>
                          <w:pStyle w:val="TableParagraph"/>
                          <w:rPr>
                            <w:sz w:val="14"/>
                          </w:rPr>
                        </w:pPr>
                      </w:p>
                    </w:tc>
                    <w:tc>
                      <w:tcPr>
                        <w:tcW w:w="430" w:type="dxa"/>
                      </w:tcPr>
                      <w:p>
                        <w:pPr>
                          <w:pStyle w:val="TableParagraph"/>
                          <w:rPr>
                            <w:sz w:val="14"/>
                          </w:rPr>
                        </w:pPr>
                      </w:p>
                    </w:tc>
                    <w:tc>
                      <w:tcPr>
                        <w:tcW w:w="429" w:type="dxa"/>
                        <w:tcBorders>
                          <w:right w:val="single" w:sz="8" w:space="0" w:color="010101"/>
                        </w:tcBorders>
                      </w:tcPr>
                      <w:p>
                        <w:pPr>
                          <w:pStyle w:val="TableParagraph"/>
                          <w:rPr>
                            <w:sz w:val="14"/>
                          </w:rPr>
                        </w:pPr>
                      </w:p>
                    </w:tc>
                    <w:tc>
                      <w:tcPr>
                        <w:tcW w:w="215" w:type="dxa"/>
                        <w:tcBorders>
                          <w:left w:val="single" w:sz="8" w:space="0" w:color="010101"/>
                        </w:tcBorders>
                      </w:tcPr>
                      <w:p>
                        <w:pPr>
                          <w:pStyle w:val="TableParagraph"/>
                          <w:rPr>
                            <w:sz w:val="14"/>
                          </w:rPr>
                        </w:pPr>
                      </w:p>
                    </w:tc>
                  </w:tr>
                </w:tbl>
                <w:p>
                  <w:pPr>
                    <w:pStyle w:val="BodyText"/>
                  </w:pPr>
                </w:p>
              </w:txbxContent>
            </v:textbox>
            <w10:wrap type="none"/>
          </v:shape>
        </w:pict>
      </w:r>
      <w:r>
        <w:rPr/>
        <w:t>area, and </w:t>
      </w:r>
      <w:r>
        <w:rPr>
          <w:i/>
        </w:rPr>
        <w:t>n </w:t>
      </w:r>
      <w:r>
        <w:rPr/>
        <w:t>the total number of sample points.</w:t>
      </w:r>
      <w:r>
        <w:rPr>
          <w:vertAlign w:val="superscript"/>
        </w:rPr>
        <w:t>4</w:t>
      </w:r>
      <w:r>
        <w:rPr>
          <w:vertAlign w:val="baseline"/>
        </w:rPr>
        <w:t> The 95% confidence interval for A</w:t>
      </w:r>
      <w:r>
        <w:rPr>
          <w:i/>
          <w:vertAlign w:val="subscript"/>
        </w:rPr>
        <w:t>i</w:t>
      </w:r>
      <w:r>
        <w:rPr>
          <w:vertAlign w:val="subscript"/>
        </w:rPr>
        <w:t>,</w:t>
      </w:r>
      <w:r>
        <w:rPr>
          <w:vertAlign w:val="baseline"/>
        </w:rPr>
        <w:t> the estimated area of land use class </w:t>
      </w:r>
      <w:r>
        <w:rPr>
          <w:i/>
          <w:vertAlign w:val="baseline"/>
        </w:rPr>
        <w:t>i</w:t>
      </w:r>
      <w:r>
        <w:rPr>
          <w:vertAlign w:val="baseline"/>
        </w:rPr>
        <w:t>, will be given approximately by </w:t>
      </w:r>
      <w:r>
        <w:rPr>
          <w:rFonts w:ascii="Symbol" w:hAnsi="Symbol"/>
          <w:vertAlign w:val="baseline"/>
        </w:rPr>
        <w:t>±</w:t>
      </w:r>
      <w:r>
        <w:rPr>
          <w:vertAlign w:val="baseline"/>
        </w:rPr>
        <w:t>2 times the standard error.</w:t>
      </w:r>
    </w:p>
    <w:p>
      <w:pPr>
        <w:pStyle w:val="BodyText"/>
        <w:spacing w:before="1"/>
        <w:rPr>
          <w:sz w:val="8"/>
        </w:rPr>
      </w:pPr>
    </w:p>
    <w:tbl>
      <w:tblPr>
        <w:tblW w:w="0" w:type="auto"/>
        <w:jc w:val="left"/>
        <w:tblInd w:w="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3"/>
        <w:gridCol w:w="2369"/>
        <w:gridCol w:w="2857"/>
        <w:gridCol w:w="1864"/>
      </w:tblGrid>
      <w:tr>
        <w:trPr>
          <w:trHeight w:val="500" w:hRule="atLeast"/>
        </w:trPr>
        <w:tc>
          <w:tcPr>
            <w:tcW w:w="9013" w:type="dxa"/>
            <w:gridSpan w:val="4"/>
            <w:tcBorders>
              <w:top w:val="single" w:sz="4" w:space="0" w:color="000000"/>
              <w:left w:val="single" w:sz="4" w:space="0" w:color="000000"/>
              <w:bottom w:val="double" w:sz="1" w:space="0" w:color="000000"/>
              <w:right w:val="single" w:sz="4" w:space="0" w:color="000000"/>
            </w:tcBorders>
          </w:tcPr>
          <w:p>
            <w:pPr>
              <w:pStyle w:val="TableParagraph"/>
              <w:spacing w:line="207" w:lineRule="exact" w:before="59"/>
              <w:ind w:left="781" w:right="772"/>
              <w:jc w:val="center"/>
              <w:rPr>
                <w:b/>
                <w:sz w:val="18"/>
              </w:rPr>
            </w:pPr>
            <w:r>
              <w:rPr>
                <w:b/>
                <w:sz w:val="18"/>
              </w:rPr>
              <w:t>T</w:t>
            </w:r>
            <w:r>
              <w:rPr>
                <w:b/>
                <w:sz w:val="14"/>
              </w:rPr>
              <w:t>ABLE </w:t>
            </w:r>
            <w:r>
              <w:rPr>
                <w:b/>
                <w:sz w:val="18"/>
              </w:rPr>
              <w:t>5.3.1</w:t>
            </w:r>
          </w:p>
          <w:p>
            <w:pPr>
              <w:pStyle w:val="TableParagraph"/>
              <w:spacing w:line="207" w:lineRule="exact"/>
              <w:ind w:left="781" w:right="769"/>
              <w:jc w:val="center"/>
              <w:rPr>
                <w:b/>
                <w:sz w:val="14"/>
              </w:rPr>
            </w:pPr>
            <w:r>
              <w:rPr>
                <w:b/>
                <w:sz w:val="18"/>
              </w:rPr>
              <w:t>E</w:t>
            </w:r>
            <w:r>
              <w:rPr>
                <w:b/>
                <w:sz w:val="14"/>
              </w:rPr>
              <w:t>XAMPLE OF AREA ESTIMATION VIA PROPORTIONS</w:t>
            </w:r>
          </w:p>
        </w:tc>
      </w:tr>
      <w:tr>
        <w:trPr>
          <w:trHeight w:val="308" w:hRule="atLeast"/>
        </w:trPr>
        <w:tc>
          <w:tcPr>
            <w:tcW w:w="1923" w:type="dxa"/>
            <w:tcBorders>
              <w:top w:val="double" w:sz="1" w:space="0" w:color="000000"/>
              <w:left w:val="single" w:sz="4" w:space="0" w:color="000000"/>
              <w:bottom w:val="single" w:sz="4" w:space="0" w:color="000000"/>
            </w:tcBorders>
          </w:tcPr>
          <w:p>
            <w:pPr>
              <w:pStyle w:val="TableParagraph"/>
              <w:spacing w:before="61"/>
              <w:ind w:left="69"/>
              <w:rPr>
                <w:b/>
                <w:sz w:val="18"/>
              </w:rPr>
            </w:pPr>
            <w:r>
              <w:rPr>
                <w:b/>
                <w:sz w:val="18"/>
              </w:rPr>
              <w:t>Sampling procedure</w:t>
            </w:r>
          </w:p>
        </w:tc>
        <w:tc>
          <w:tcPr>
            <w:tcW w:w="2369" w:type="dxa"/>
            <w:tcBorders>
              <w:top w:val="double" w:sz="1" w:space="0" w:color="000000"/>
              <w:bottom w:val="single" w:sz="4" w:space="0" w:color="000000"/>
            </w:tcBorders>
          </w:tcPr>
          <w:p>
            <w:pPr>
              <w:pStyle w:val="TableParagraph"/>
              <w:spacing w:before="61"/>
              <w:ind w:left="294"/>
              <w:rPr>
                <w:b/>
                <w:sz w:val="18"/>
              </w:rPr>
            </w:pPr>
            <w:r>
              <w:rPr>
                <w:b/>
                <w:sz w:val="18"/>
              </w:rPr>
              <w:t>Estimation of proportions</w:t>
            </w:r>
          </w:p>
        </w:tc>
        <w:tc>
          <w:tcPr>
            <w:tcW w:w="2857" w:type="dxa"/>
            <w:tcBorders>
              <w:top w:val="double" w:sz="1" w:space="0" w:color="000000"/>
              <w:bottom w:val="single" w:sz="4" w:space="0" w:color="000000"/>
            </w:tcBorders>
          </w:tcPr>
          <w:p>
            <w:pPr>
              <w:pStyle w:val="TableParagraph"/>
              <w:spacing w:before="61"/>
              <w:ind w:left="97"/>
              <w:rPr>
                <w:b/>
                <w:sz w:val="18"/>
              </w:rPr>
            </w:pPr>
            <w:r>
              <w:rPr>
                <w:b/>
                <w:sz w:val="18"/>
              </w:rPr>
              <w:t>Estimated areas of land use classes</w:t>
            </w:r>
          </w:p>
        </w:tc>
        <w:tc>
          <w:tcPr>
            <w:tcW w:w="1864" w:type="dxa"/>
            <w:tcBorders>
              <w:top w:val="double" w:sz="1" w:space="0" w:color="000000"/>
              <w:bottom w:val="single" w:sz="4" w:space="0" w:color="000000"/>
              <w:right w:val="single" w:sz="4" w:space="0" w:color="000000"/>
            </w:tcBorders>
          </w:tcPr>
          <w:p>
            <w:pPr>
              <w:pStyle w:val="TableParagraph"/>
              <w:spacing w:before="61"/>
              <w:ind w:left="106"/>
              <w:rPr>
                <w:b/>
                <w:sz w:val="18"/>
              </w:rPr>
            </w:pPr>
            <w:r>
              <w:rPr>
                <w:b/>
                <w:sz w:val="18"/>
              </w:rPr>
              <w:t>Standard error</w:t>
            </w:r>
          </w:p>
        </w:tc>
      </w:tr>
      <w:tr>
        <w:trPr>
          <w:trHeight w:val="496" w:hRule="atLeast"/>
        </w:trPr>
        <w:tc>
          <w:tcPr>
            <w:tcW w:w="1923" w:type="dxa"/>
            <w:tcBorders>
              <w:top w:val="single" w:sz="4" w:space="0" w:color="000000"/>
              <w:left w:val="single" w:sz="4" w:space="0" w:color="000000"/>
            </w:tcBorders>
          </w:tcPr>
          <w:p>
            <w:pPr>
              <w:pStyle w:val="TableParagraph"/>
              <w:rPr>
                <w:sz w:val="20"/>
              </w:rPr>
            </w:pPr>
          </w:p>
        </w:tc>
        <w:tc>
          <w:tcPr>
            <w:tcW w:w="2369" w:type="dxa"/>
            <w:tcBorders>
              <w:top w:val="single" w:sz="4" w:space="0" w:color="000000"/>
            </w:tcBorders>
          </w:tcPr>
          <w:p>
            <w:pPr>
              <w:pStyle w:val="TableParagraph"/>
              <w:spacing w:before="50"/>
              <w:ind w:left="587"/>
              <w:rPr>
                <w:sz w:val="20"/>
              </w:rPr>
            </w:pPr>
            <w:r>
              <w:rPr>
                <w:sz w:val="20"/>
              </w:rPr>
              <w:t>p</w:t>
            </w:r>
            <w:r>
              <w:rPr>
                <w:i/>
                <w:sz w:val="20"/>
                <w:vertAlign w:val="subscript"/>
              </w:rPr>
              <w:t>i</w:t>
            </w:r>
            <w:r>
              <w:rPr>
                <w:i/>
                <w:sz w:val="20"/>
                <w:vertAlign w:val="baseline"/>
              </w:rPr>
              <w:t> </w:t>
            </w:r>
            <w:r>
              <w:rPr>
                <w:sz w:val="20"/>
                <w:vertAlign w:val="baseline"/>
              </w:rPr>
              <w:t>= n</w:t>
            </w:r>
            <w:r>
              <w:rPr>
                <w:i/>
                <w:sz w:val="20"/>
                <w:vertAlign w:val="subscript"/>
              </w:rPr>
              <w:t>i</w:t>
            </w:r>
            <w:r>
              <w:rPr>
                <w:i/>
                <w:sz w:val="20"/>
                <w:vertAlign w:val="baseline"/>
              </w:rPr>
              <w:t> </w:t>
            </w:r>
            <w:r>
              <w:rPr>
                <w:sz w:val="20"/>
                <w:vertAlign w:val="baseline"/>
              </w:rPr>
              <w:t>/ n</w:t>
            </w:r>
          </w:p>
        </w:tc>
        <w:tc>
          <w:tcPr>
            <w:tcW w:w="2857" w:type="dxa"/>
            <w:tcBorders>
              <w:top w:val="single" w:sz="4" w:space="0" w:color="000000"/>
            </w:tcBorders>
          </w:tcPr>
          <w:p>
            <w:pPr>
              <w:pStyle w:val="TableParagraph"/>
              <w:spacing w:before="50"/>
              <w:ind w:left="750"/>
              <w:rPr>
                <w:sz w:val="20"/>
              </w:rPr>
            </w:pPr>
            <w:r>
              <w:rPr>
                <w:sz w:val="20"/>
              </w:rPr>
              <w:t>A</w:t>
            </w:r>
            <w:r>
              <w:rPr>
                <w:i/>
                <w:sz w:val="20"/>
                <w:vertAlign w:val="subscript"/>
              </w:rPr>
              <w:t>i</w:t>
            </w:r>
            <w:r>
              <w:rPr>
                <w:i/>
                <w:sz w:val="20"/>
                <w:vertAlign w:val="baseline"/>
              </w:rPr>
              <w:t> </w:t>
            </w:r>
            <w:r>
              <w:rPr>
                <w:sz w:val="20"/>
                <w:vertAlign w:val="baseline"/>
              </w:rPr>
              <w:t>= p</w:t>
            </w:r>
            <w:r>
              <w:rPr>
                <w:i/>
                <w:sz w:val="20"/>
                <w:vertAlign w:val="subscript"/>
              </w:rPr>
              <w:t>i</w:t>
            </w:r>
            <w:r>
              <w:rPr>
                <w:i/>
                <w:sz w:val="20"/>
                <w:vertAlign w:val="baseline"/>
              </w:rPr>
              <w:t> </w:t>
            </w:r>
            <w:r>
              <w:rPr>
                <w:sz w:val="20"/>
                <w:vertAlign w:val="baseline"/>
              </w:rPr>
              <w:t>· A</w:t>
            </w:r>
          </w:p>
        </w:tc>
        <w:tc>
          <w:tcPr>
            <w:tcW w:w="1864" w:type="dxa"/>
            <w:tcBorders>
              <w:top w:val="single" w:sz="4" w:space="0" w:color="000000"/>
              <w:right w:val="single" w:sz="4" w:space="0" w:color="000000"/>
            </w:tcBorders>
          </w:tcPr>
          <w:p>
            <w:pPr>
              <w:pStyle w:val="TableParagraph"/>
              <w:spacing w:before="50"/>
              <w:ind w:left="245"/>
              <w:rPr>
                <w:sz w:val="20"/>
              </w:rPr>
            </w:pPr>
            <w:r>
              <w:rPr>
                <w:sz w:val="20"/>
              </w:rPr>
              <w:t>s(A</w:t>
            </w:r>
            <w:r>
              <w:rPr>
                <w:i/>
                <w:sz w:val="20"/>
                <w:vertAlign w:val="subscript"/>
              </w:rPr>
              <w:t>i</w:t>
            </w:r>
            <w:r>
              <w:rPr>
                <w:sz w:val="20"/>
                <w:vertAlign w:val="baseline"/>
              </w:rPr>
              <w:t>)</w:t>
            </w:r>
          </w:p>
        </w:tc>
      </w:tr>
      <w:tr>
        <w:trPr>
          <w:trHeight w:val="531" w:hRule="atLeast"/>
        </w:trPr>
        <w:tc>
          <w:tcPr>
            <w:tcW w:w="1923" w:type="dxa"/>
            <w:tcBorders>
              <w:left w:val="single" w:sz="4" w:space="0" w:color="000000"/>
            </w:tcBorders>
          </w:tcPr>
          <w:p>
            <w:pPr>
              <w:pStyle w:val="TableParagraph"/>
              <w:spacing w:before="10" w:after="1"/>
              <w:rPr>
                <w:sz w:val="13"/>
              </w:rPr>
            </w:pPr>
          </w:p>
          <w:p>
            <w:pPr>
              <w:pStyle w:val="TableParagraph"/>
              <w:tabs>
                <w:tab w:pos="957" w:val="left" w:leader="none"/>
                <w:tab w:pos="1403" w:val="left" w:leader="none"/>
              </w:tabs>
              <w:spacing w:line="144" w:lineRule="exact"/>
              <w:ind w:left="549"/>
              <w:rPr>
                <w:sz w:val="13"/>
              </w:rPr>
            </w:pPr>
            <w:r>
              <w:rPr>
                <w:position w:val="-1"/>
                <w:sz w:val="13"/>
              </w:rPr>
              <w:drawing>
                <wp:inline distT="0" distB="0" distL="0" distR="0">
                  <wp:extent cx="78275" cy="87439"/>
                  <wp:effectExtent l="0" t="0" r="0" b="0"/>
                  <wp:docPr id="17" name="image109.png" descr=""/>
                  <wp:cNvGraphicFramePr>
                    <a:graphicFrameLocks noChangeAspect="1"/>
                  </wp:cNvGraphicFramePr>
                  <a:graphic>
                    <a:graphicData uri="http://schemas.openxmlformats.org/drawingml/2006/picture">
                      <pic:pic>
                        <pic:nvPicPr>
                          <pic:cNvPr id="18" name="image109.png"/>
                          <pic:cNvPicPr/>
                        </pic:nvPicPr>
                        <pic:blipFill>
                          <a:blip r:embed="rId414" cstate="print"/>
                          <a:stretch>
                            <a:fillRect/>
                          </a:stretch>
                        </pic:blipFill>
                        <pic:spPr>
                          <a:xfrm>
                            <a:off x="0" y="0"/>
                            <a:ext cx="78275" cy="87439"/>
                          </a:xfrm>
                          <a:prstGeom prst="rect">
                            <a:avLst/>
                          </a:prstGeom>
                        </pic:spPr>
                      </pic:pic>
                    </a:graphicData>
                  </a:graphic>
                </wp:inline>
              </w:drawing>
            </w:r>
            <w:r>
              <w:rPr>
                <w:position w:val="-1"/>
                <w:sz w:val="13"/>
              </w:rPr>
            </w:r>
            <w:r>
              <w:rPr>
                <w:position w:val="-1"/>
                <w:sz w:val="13"/>
              </w:rPr>
              <w:tab/>
            </w:r>
            <w:r>
              <w:rPr>
                <w:position w:val="-2"/>
                <w:sz w:val="13"/>
              </w:rPr>
              <w:drawing>
                <wp:inline distT="0" distB="0" distL="0" distR="0">
                  <wp:extent cx="78275" cy="87439"/>
                  <wp:effectExtent l="0" t="0" r="0" b="0"/>
                  <wp:docPr id="19" name="image110.png" descr=""/>
                  <wp:cNvGraphicFramePr>
                    <a:graphicFrameLocks noChangeAspect="1"/>
                  </wp:cNvGraphicFramePr>
                  <a:graphic>
                    <a:graphicData uri="http://schemas.openxmlformats.org/drawingml/2006/picture">
                      <pic:pic>
                        <pic:nvPicPr>
                          <pic:cNvPr id="20" name="image110.png"/>
                          <pic:cNvPicPr/>
                        </pic:nvPicPr>
                        <pic:blipFill>
                          <a:blip r:embed="rId415" cstate="print"/>
                          <a:stretch>
                            <a:fillRect/>
                          </a:stretch>
                        </pic:blipFill>
                        <pic:spPr>
                          <a:xfrm>
                            <a:off x="0" y="0"/>
                            <a:ext cx="78275" cy="87439"/>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78275" cy="87439"/>
                  <wp:effectExtent l="0" t="0" r="0" b="0"/>
                  <wp:docPr id="21" name="image111.png" descr=""/>
                  <wp:cNvGraphicFramePr>
                    <a:graphicFrameLocks noChangeAspect="1"/>
                  </wp:cNvGraphicFramePr>
                  <a:graphic>
                    <a:graphicData uri="http://schemas.openxmlformats.org/drawingml/2006/picture">
                      <pic:pic>
                        <pic:nvPicPr>
                          <pic:cNvPr id="22" name="image111.png"/>
                          <pic:cNvPicPr/>
                        </pic:nvPicPr>
                        <pic:blipFill>
                          <a:blip r:embed="rId416" cstate="print"/>
                          <a:stretch>
                            <a:fillRect/>
                          </a:stretch>
                        </pic:blipFill>
                        <pic:spPr>
                          <a:xfrm>
                            <a:off x="0" y="0"/>
                            <a:ext cx="78275" cy="87439"/>
                          </a:xfrm>
                          <a:prstGeom prst="rect">
                            <a:avLst/>
                          </a:prstGeom>
                        </pic:spPr>
                      </pic:pic>
                    </a:graphicData>
                  </a:graphic>
                </wp:inline>
              </w:drawing>
            </w:r>
            <w:r>
              <w:rPr>
                <w:position w:val="-2"/>
                <w:sz w:val="13"/>
              </w:rPr>
            </w:r>
          </w:p>
        </w:tc>
        <w:tc>
          <w:tcPr>
            <w:tcW w:w="2369" w:type="dxa"/>
          </w:tcPr>
          <w:p>
            <w:pPr>
              <w:pStyle w:val="TableParagraph"/>
              <w:spacing w:line="268" w:lineRule="exact" w:before="243"/>
              <w:ind w:left="587"/>
              <w:rPr>
                <w:sz w:val="20"/>
              </w:rPr>
            </w:pPr>
            <w:r>
              <w:rPr>
                <w:sz w:val="20"/>
              </w:rPr>
              <w:t>p</w:t>
            </w:r>
            <w:r>
              <w:rPr>
                <w:sz w:val="20"/>
                <w:vertAlign w:val="subscript"/>
              </w:rPr>
              <w:t>1</w:t>
            </w:r>
            <w:r>
              <w:rPr>
                <w:sz w:val="20"/>
                <w:vertAlign w:val="baseline"/>
              </w:rPr>
              <w:t> = 3/ 9 </w:t>
            </w:r>
            <w:r>
              <w:rPr>
                <w:rFonts w:ascii="Symbol" w:hAnsi="Symbol"/>
                <w:sz w:val="24"/>
                <w:vertAlign w:val="baseline"/>
              </w:rPr>
              <w:t>≅ </w:t>
            </w:r>
            <w:r>
              <w:rPr>
                <w:sz w:val="20"/>
                <w:vertAlign w:val="baseline"/>
              </w:rPr>
              <w:t>0.333</w:t>
            </w:r>
          </w:p>
        </w:tc>
        <w:tc>
          <w:tcPr>
            <w:tcW w:w="2857" w:type="dxa"/>
          </w:tcPr>
          <w:p>
            <w:pPr>
              <w:pStyle w:val="TableParagraph"/>
              <w:spacing w:before="1"/>
              <w:rPr>
                <w:sz w:val="22"/>
              </w:rPr>
            </w:pPr>
          </w:p>
          <w:p>
            <w:pPr>
              <w:pStyle w:val="TableParagraph"/>
              <w:tabs>
                <w:tab w:pos="1158" w:val="left" w:leader="none"/>
              </w:tabs>
              <w:ind w:left="750"/>
              <w:rPr>
                <w:sz w:val="20"/>
              </w:rPr>
            </w:pPr>
            <w:r>
              <w:rPr>
                <w:sz w:val="20"/>
              </w:rPr>
              <w:t>A</w:t>
            </w:r>
            <w:r>
              <w:rPr>
                <w:sz w:val="20"/>
                <w:vertAlign w:val="subscript"/>
              </w:rPr>
              <w:t>1</w:t>
            </w:r>
            <w:r>
              <w:rPr>
                <w:sz w:val="20"/>
                <w:vertAlign w:val="baseline"/>
              </w:rPr>
              <w:tab/>
              <w:t>= 300</w:t>
            </w:r>
            <w:r>
              <w:rPr>
                <w:spacing w:val="-2"/>
                <w:sz w:val="20"/>
                <w:vertAlign w:val="baseline"/>
              </w:rPr>
              <w:t> </w:t>
            </w:r>
            <w:r>
              <w:rPr>
                <w:sz w:val="20"/>
                <w:vertAlign w:val="baseline"/>
              </w:rPr>
              <w:t>ha</w:t>
            </w:r>
          </w:p>
        </w:tc>
        <w:tc>
          <w:tcPr>
            <w:tcW w:w="1864" w:type="dxa"/>
            <w:tcBorders>
              <w:right w:val="single" w:sz="4" w:space="0" w:color="000000"/>
            </w:tcBorders>
          </w:tcPr>
          <w:p>
            <w:pPr>
              <w:pStyle w:val="TableParagraph"/>
              <w:spacing w:before="1"/>
              <w:rPr>
                <w:sz w:val="22"/>
              </w:rPr>
            </w:pPr>
          </w:p>
          <w:p>
            <w:pPr>
              <w:pStyle w:val="TableParagraph"/>
              <w:ind w:right="340"/>
              <w:jc w:val="right"/>
              <w:rPr>
                <w:sz w:val="20"/>
              </w:rPr>
            </w:pPr>
            <w:r>
              <w:rPr>
                <w:sz w:val="20"/>
              </w:rPr>
              <w:t>s(A</w:t>
            </w:r>
            <w:r>
              <w:rPr>
                <w:sz w:val="20"/>
                <w:vertAlign w:val="subscript"/>
              </w:rPr>
              <w:t>1</w:t>
            </w:r>
            <w:r>
              <w:rPr>
                <w:sz w:val="20"/>
                <w:vertAlign w:val="baseline"/>
              </w:rPr>
              <w:t>)= 150.0 ha</w:t>
            </w:r>
          </w:p>
        </w:tc>
      </w:tr>
      <w:tr>
        <w:trPr>
          <w:trHeight w:val="349" w:hRule="atLeast"/>
        </w:trPr>
        <w:tc>
          <w:tcPr>
            <w:tcW w:w="1923" w:type="dxa"/>
            <w:tcBorders>
              <w:left w:val="single" w:sz="4" w:space="0" w:color="000000"/>
            </w:tcBorders>
          </w:tcPr>
          <w:p>
            <w:pPr>
              <w:pStyle w:val="TableParagraph"/>
              <w:tabs>
                <w:tab w:pos="961" w:val="left" w:leader="none"/>
                <w:tab w:pos="1403" w:val="left" w:leader="none"/>
              </w:tabs>
              <w:spacing w:line="144" w:lineRule="exact"/>
              <w:ind w:left="553"/>
              <w:rPr>
                <w:sz w:val="13"/>
              </w:rPr>
            </w:pPr>
            <w:r>
              <w:rPr>
                <w:position w:val="-2"/>
                <w:sz w:val="13"/>
              </w:rPr>
              <w:drawing>
                <wp:inline distT="0" distB="0" distL="0" distR="0">
                  <wp:extent cx="77763" cy="86868"/>
                  <wp:effectExtent l="0" t="0" r="0" b="0"/>
                  <wp:docPr id="23" name="image112.png" descr=""/>
                  <wp:cNvGraphicFramePr>
                    <a:graphicFrameLocks noChangeAspect="1"/>
                  </wp:cNvGraphicFramePr>
                  <a:graphic>
                    <a:graphicData uri="http://schemas.openxmlformats.org/drawingml/2006/picture">
                      <pic:pic>
                        <pic:nvPicPr>
                          <pic:cNvPr id="24" name="image112.png"/>
                          <pic:cNvPicPr/>
                        </pic:nvPicPr>
                        <pic:blipFill>
                          <a:blip r:embed="rId417" cstate="print"/>
                          <a:stretch>
                            <a:fillRect/>
                          </a:stretch>
                        </pic:blipFill>
                        <pic:spPr>
                          <a:xfrm>
                            <a:off x="0" y="0"/>
                            <a:ext cx="77763" cy="86868"/>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77763" cy="86868"/>
                  <wp:effectExtent l="0" t="0" r="0" b="0"/>
                  <wp:docPr id="25" name="image113.png" descr=""/>
                  <wp:cNvGraphicFramePr>
                    <a:graphicFrameLocks noChangeAspect="1"/>
                  </wp:cNvGraphicFramePr>
                  <a:graphic>
                    <a:graphicData uri="http://schemas.openxmlformats.org/drawingml/2006/picture">
                      <pic:pic>
                        <pic:nvPicPr>
                          <pic:cNvPr id="26" name="image113.png"/>
                          <pic:cNvPicPr/>
                        </pic:nvPicPr>
                        <pic:blipFill>
                          <a:blip r:embed="rId418" cstate="print"/>
                          <a:stretch>
                            <a:fillRect/>
                          </a:stretch>
                        </pic:blipFill>
                        <pic:spPr>
                          <a:xfrm>
                            <a:off x="0" y="0"/>
                            <a:ext cx="77763" cy="86868"/>
                          </a:xfrm>
                          <a:prstGeom prst="rect">
                            <a:avLst/>
                          </a:prstGeom>
                        </pic:spPr>
                      </pic:pic>
                    </a:graphicData>
                  </a:graphic>
                </wp:inline>
              </w:drawing>
            </w:r>
            <w:r>
              <w:rPr>
                <w:position w:val="-2"/>
                <w:sz w:val="13"/>
              </w:rPr>
            </w:r>
            <w:r>
              <w:rPr>
                <w:position w:val="-2"/>
                <w:sz w:val="13"/>
              </w:rPr>
              <w:tab/>
            </w:r>
            <w:r>
              <w:rPr>
                <w:position w:val="-1"/>
                <w:sz w:val="13"/>
              </w:rPr>
              <w:drawing>
                <wp:inline distT="0" distB="0" distL="0" distR="0">
                  <wp:extent cx="78021" cy="88677"/>
                  <wp:effectExtent l="0" t="0" r="0" b="0"/>
                  <wp:docPr id="27" name="image114.png" descr=""/>
                  <wp:cNvGraphicFramePr>
                    <a:graphicFrameLocks noChangeAspect="1"/>
                  </wp:cNvGraphicFramePr>
                  <a:graphic>
                    <a:graphicData uri="http://schemas.openxmlformats.org/drawingml/2006/picture">
                      <pic:pic>
                        <pic:nvPicPr>
                          <pic:cNvPr id="28" name="image114.png"/>
                          <pic:cNvPicPr/>
                        </pic:nvPicPr>
                        <pic:blipFill>
                          <a:blip r:embed="rId419" cstate="print"/>
                          <a:stretch>
                            <a:fillRect/>
                          </a:stretch>
                        </pic:blipFill>
                        <pic:spPr>
                          <a:xfrm>
                            <a:off x="0" y="0"/>
                            <a:ext cx="78021" cy="88677"/>
                          </a:xfrm>
                          <a:prstGeom prst="rect">
                            <a:avLst/>
                          </a:prstGeom>
                        </pic:spPr>
                      </pic:pic>
                    </a:graphicData>
                  </a:graphic>
                </wp:inline>
              </w:drawing>
            </w:r>
            <w:r>
              <w:rPr>
                <w:position w:val="-1"/>
                <w:sz w:val="13"/>
              </w:rPr>
            </w:r>
          </w:p>
        </w:tc>
        <w:tc>
          <w:tcPr>
            <w:tcW w:w="2369" w:type="dxa"/>
          </w:tcPr>
          <w:p>
            <w:pPr>
              <w:pStyle w:val="TableParagraph"/>
              <w:spacing w:line="267" w:lineRule="exact" w:before="62"/>
              <w:ind w:left="587"/>
              <w:rPr>
                <w:sz w:val="20"/>
              </w:rPr>
            </w:pPr>
            <w:r>
              <w:rPr>
                <w:sz w:val="20"/>
              </w:rPr>
              <w:t>p</w:t>
            </w:r>
            <w:r>
              <w:rPr>
                <w:sz w:val="20"/>
                <w:vertAlign w:val="subscript"/>
              </w:rPr>
              <w:t>2</w:t>
            </w:r>
            <w:r>
              <w:rPr>
                <w:sz w:val="20"/>
                <w:vertAlign w:val="baseline"/>
              </w:rPr>
              <w:t> = 2/ 9 </w:t>
            </w:r>
            <w:r>
              <w:rPr>
                <w:rFonts w:ascii="Symbol" w:hAnsi="Symbol"/>
                <w:sz w:val="24"/>
                <w:vertAlign w:val="baseline"/>
              </w:rPr>
              <w:t>≅ </w:t>
            </w:r>
            <w:r>
              <w:rPr>
                <w:sz w:val="20"/>
                <w:vertAlign w:val="baseline"/>
              </w:rPr>
              <w:t>0.222</w:t>
            </w:r>
          </w:p>
        </w:tc>
        <w:tc>
          <w:tcPr>
            <w:tcW w:w="2857" w:type="dxa"/>
          </w:tcPr>
          <w:p>
            <w:pPr>
              <w:pStyle w:val="TableParagraph"/>
              <w:tabs>
                <w:tab w:pos="1158" w:val="left" w:leader="none"/>
              </w:tabs>
              <w:spacing w:before="74"/>
              <w:ind w:left="750"/>
              <w:rPr>
                <w:sz w:val="20"/>
              </w:rPr>
            </w:pPr>
            <w:r>
              <w:rPr>
                <w:sz w:val="20"/>
              </w:rPr>
              <w:t>A</w:t>
            </w:r>
            <w:r>
              <w:rPr>
                <w:sz w:val="20"/>
                <w:vertAlign w:val="subscript"/>
              </w:rPr>
              <w:t>2</w:t>
            </w:r>
            <w:r>
              <w:rPr>
                <w:sz w:val="20"/>
                <w:vertAlign w:val="baseline"/>
              </w:rPr>
              <w:tab/>
              <w:t>= 200</w:t>
            </w:r>
            <w:r>
              <w:rPr>
                <w:spacing w:val="-2"/>
                <w:sz w:val="20"/>
                <w:vertAlign w:val="baseline"/>
              </w:rPr>
              <w:t> </w:t>
            </w:r>
            <w:r>
              <w:rPr>
                <w:sz w:val="20"/>
                <w:vertAlign w:val="baseline"/>
              </w:rPr>
              <w:t>ha</w:t>
            </w:r>
          </w:p>
        </w:tc>
        <w:tc>
          <w:tcPr>
            <w:tcW w:w="1864" w:type="dxa"/>
            <w:tcBorders>
              <w:right w:val="single" w:sz="4" w:space="0" w:color="000000"/>
            </w:tcBorders>
          </w:tcPr>
          <w:p>
            <w:pPr>
              <w:pStyle w:val="TableParagraph"/>
              <w:spacing w:before="74"/>
              <w:ind w:right="340"/>
              <w:jc w:val="right"/>
              <w:rPr>
                <w:sz w:val="20"/>
              </w:rPr>
            </w:pPr>
            <w:r>
              <w:rPr>
                <w:sz w:val="20"/>
              </w:rPr>
              <w:t>s(A</w:t>
            </w:r>
            <w:r>
              <w:rPr>
                <w:sz w:val="20"/>
                <w:vertAlign w:val="subscript"/>
              </w:rPr>
              <w:t>2</w:t>
            </w:r>
            <w:r>
              <w:rPr>
                <w:sz w:val="20"/>
                <w:vertAlign w:val="baseline"/>
              </w:rPr>
              <w:t>)= 132.2 ha</w:t>
            </w:r>
          </w:p>
        </w:tc>
      </w:tr>
      <w:tr>
        <w:trPr>
          <w:trHeight w:val="381" w:hRule="atLeast"/>
        </w:trPr>
        <w:tc>
          <w:tcPr>
            <w:tcW w:w="1923" w:type="dxa"/>
            <w:tcBorders>
              <w:left w:val="single" w:sz="4" w:space="0" w:color="000000"/>
            </w:tcBorders>
          </w:tcPr>
          <w:p>
            <w:pPr>
              <w:pStyle w:val="TableParagraph"/>
              <w:tabs>
                <w:tab w:pos="961" w:val="left" w:leader="none"/>
                <w:tab w:pos="1403" w:val="left" w:leader="none"/>
              </w:tabs>
              <w:spacing w:line="137" w:lineRule="exact"/>
              <w:ind w:left="553"/>
              <w:rPr>
                <w:sz w:val="13"/>
              </w:rPr>
            </w:pPr>
            <w:r>
              <w:rPr>
                <w:position w:val="-2"/>
                <w:sz w:val="13"/>
              </w:rPr>
              <w:drawing>
                <wp:inline distT="0" distB="0" distL="0" distR="0">
                  <wp:extent cx="78275" cy="87439"/>
                  <wp:effectExtent l="0" t="0" r="0" b="0"/>
                  <wp:docPr id="29" name="image115.png" descr=""/>
                  <wp:cNvGraphicFramePr>
                    <a:graphicFrameLocks noChangeAspect="1"/>
                  </wp:cNvGraphicFramePr>
                  <a:graphic>
                    <a:graphicData uri="http://schemas.openxmlformats.org/drawingml/2006/picture">
                      <pic:pic>
                        <pic:nvPicPr>
                          <pic:cNvPr id="30" name="image115.png"/>
                          <pic:cNvPicPr/>
                        </pic:nvPicPr>
                        <pic:blipFill>
                          <a:blip r:embed="rId420" cstate="print"/>
                          <a:stretch>
                            <a:fillRect/>
                          </a:stretch>
                        </pic:blipFill>
                        <pic:spPr>
                          <a:xfrm>
                            <a:off x="0" y="0"/>
                            <a:ext cx="78275" cy="87439"/>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78275" cy="87439"/>
                  <wp:effectExtent l="0" t="0" r="0" b="0"/>
                  <wp:docPr id="31" name="image109.png" descr=""/>
                  <wp:cNvGraphicFramePr>
                    <a:graphicFrameLocks noChangeAspect="1"/>
                  </wp:cNvGraphicFramePr>
                  <a:graphic>
                    <a:graphicData uri="http://schemas.openxmlformats.org/drawingml/2006/picture">
                      <pic:pic>
                        <pic:nvPicPr>
                          <pic:cNvPr id="32" name="image109.png"/>
                          <pic:cNvPicPr/>
                        </pic:nvPicPr>
                        <pic:blipFill>
                          <a:blip r:embed="rId414" cstate="print"/>
                          <a:stretch>
                            <a:fillRect/>
                          </a:stretch>
                        </pic:blipFill>
                        <pic:spPr>
                          <a:xfrm>
                            <a:off x="0" y="0"/>
                            <a:ext cx="78275" cy="87439"/>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78275" cy="87439"/>
                  <wp:effectExtent l="0" t="0" r="0" b="0"/>
                  <wp:docPr id="33" name="image109.png" descr=""/>
                  <wp:cNvGraphicFramePr>
                    <a:graphicFrameLocks noChangeAspect="1"/>
                  </wp:cNvGraphicFramePr>
                  <a:graphic>
                    <a:graphicData uri="http://schemas.openxmlformats.org/drawingml/2006/picture">
                      <pic:pic>
                        <pic:nvPicPr>
                          <pic:cNvPr id="34" name="image109.png"/>
                          <pic:cNvPicPr/>
                        </pic:nvPicPr>
                        <pic:blipFill>
                          <a:blip r:embed="rId414" cstate="print"/>
                          <a:stretch>
                            <a:fillRect/>
                          </a:stretch>
                        </pic:blipFill>
                        <pic:spPr>
                          <a:xfrm>
                            <a:off x="0" y="0"/>
                            <a:ext cx="78275" cy="87439"/>
                          </a:xfrm>
                          <a:prstGeom prst="rect">
                            <a:avLst/>
                          </a:prstGeom>
                        </pic:spPr>
                      </pic:pic>
                    </a:graphicData>
                  </a:graphic>
                </wp:inline>
              </w:drawing>
            </w:r>
            <w:r>
              <w:rPr>
                <w:position w:val="-2"/>
                <w:sz w:val="13"/>
              </w:rPr>
            </w:r>
          </w:p>
        </w:tc>
        <w:tc>
          <w:tcPr>
            <w:tcW w:w="2369" w:type="dxa"/>
          </w:tcPr>
          <w:p>
            <w:pPr>
              <w:pStyle w:val="TableParagraph"/>
              <w:spacing w:before="61"/>
              <w:ind w:left="587"/>
              <w:rPr>
                <w:sz w:val="20"/>
              </w:rPr>
            </w:pPr>
            <w:r>
              <w:rPr>
                <w:sz w:val="20"/>
              </w:rPr>
              <w:t>p</w:t>
            </w:r>
            <w:r>
              <w:rPr>
                <w:sz w:val="20"/>
                <w:vertAlign w:val="subscript"/>
              </w:rPr>
              <w:t>3</w:t>
            </w:r>
            <w:r>
              <w:rPr>
                <w:sz w:val="20"/>
                <w:vertAlign w:val="baseline"/>
              </w:rPr>
              <w:t> = 4/ 9 </w:t>
            </w:r>
            <w:r>
              <w:rPr>
                <w:rFonts w:ascii="Symbol" w:hAnsi="Symbol"/>
                <w:sz w:val="24"/>
                <w:vertAlign w:val="baseline"/>
              </w:rPr>
              <w:t>≅ </w:t>
            </w:r>
            <w:r>
              <w:rPr>
                <w:sz w:val="20"/>
                <w:vertAlign w:val="baseline"/>
              </w:rPr>
              <w:t>0.444</w:t>
            </w:r>
          </w:p>
        </w:tc>
        <w:tc>
          <w:tcPr>
            <w:tcW w:w="2857" w:type="dxa"/>
          </w:tcPr>
          <w:p>
            <w:pPr>
              <w:pStyle w:val="TableParagraph"/>
              <w:tabs>
                <w:tab w:pos="1158" w:val="left" w:leader="none"/>
              </w:tabs>
              <w:spacing w:before="73"/>
              <w:ind w:left="750"/>
              <w:rPr>
                <w:sz w:val="20"/>
              </w:rPr>
            </w:pPr>
            <w:r>
              <w:rPr>
                <w:sz w:val="20"/>
              </w:rPr>
              <w:t>A</w:t>
            </w:r>
            <w:r>
              <w:rPr>
                <w:sz w:val="20"/>
                <w:vertAlign w:val="subscript"/>
              </w:rPr>
              <w:t>3</w:t>
            </w:r>
            <w:r>
              <w:rPr>
                <w:sz w:val="20"/>
                <w:vertAlign w:val="baseline"/>
              </w:rPr>
              <w:tab/>
              <w:t>= 400</w:t>
            </w:r>
            <w:r>
              <w:rPr>
                <w:spacing w:val="-2"/>
                <w:sz w:val="20"/>
                <w:vertAlign w:val="baseline"/>
              </w:rPr>
              <w:t> </w:t>
            </w:r>
            <w:r>
              <w:rPr>
                <w:sz w:val="20"/>
                <w:vertAlign w:val="baseline"/>
              </w:rPr>
              <w:t>ha</w:t>
            </w:r>
          </w:p>
        </w:tc>
        <w:tc>
          <w:tcPr>
            <w:tcW w:w="1864" w:type="dxa"/>
            <w:tcBorders>
              <w:right w:val="single" w:sz="4" w:space="0" w:color="000000"/>
            </w:tcBorders>
          </w:tcPr>
          <w:p>
            <w:pPr>
              <w:pStyle w:val="TableParagraph"/>
              <w:spacing w:before="73"/>
              <w:ind w:right="340"/>
              <w:jc w:val="right"/>
              <w:rPr>
                <w:sz w:val="20"/>
              </w:rPr>
            </w:pPr>
            <w:r>
              <w:rPr>
                <w:sz w:val="20"/>
              </w:rPr>
              <w:t>s(A</w:t>
            </w:r>
            <w:r>
              <w:rPr>
                <w:sz w:val="20"/>
                <w:vertAlign w:val="subscript"/>
              </w:rPr>
              <w:t>3</w:t>
            </w:r>
            <w:r>
              <w:rPr>
                <w:sz w:val="20"/>
                <w:vertAlign w:val="baseline"/>
              </w:rPr>
              <w:t>)= 158.1 ha</w:t>
            </w:r>
          </w:p>
        </w:tc>
      </w:tr>
      <w:tr>
        <w:trPr>
          <w:trHeight w:val="399" w:hRule="atLeast"/>
        </w:trPr>
        <w:tc>
          <w:tcPr>
            <w:tcW w:w="1923" w:type="dxa"/>
            <w:tcBorders>
              <w:left w:val="single" w:sz="4" w:space="0" w:color="000000"/>
              <w:bottom w:val="single" w:sz="4" w:space="0" w:color="000000"/>
            </w:tcBorders>
          </w:tcPr>
          <w:p>
            <w:pPr>
              <w:pStyle w:val="TableParagraph"/>
              <w:rPr>
                <w:sz w:val="20"/>
              </w:rPr>
            </w:pPr>
          </w:p>
        </w:tc>
        <w:tc>
          <w:tcPr>
            <w:tcW w:w="2369" w:type="dxa"/>
            <w:tcBorders>
              <w:bottom w:val="single" w:sz="4" w:space="0" w:color="000000"/>
            </w:tcBorders>
          </w:tcPr>
          <w:p>
            <w:pPr>
              <w:pStyle w:val="TableParagraph"/>
              <w:spacing w:before="42"/>
              <w:ind w:left="990"/>
              <w:rPr>
                <w:sz w:val="20"/>
              </w:rPr>
            </w:pPr>
            <w:r>
              <w:rPr>
                <w:sz w:val="20"/>
              </w:rPr>
              <w:t>Sum = 1.0</w:t>
            </w:r>
          </w:p>
        </w:tc>
        <w:tc>
          <w:tcPr>
            <w:tcW w:w="2857" w:type="dxa"/>
            <w:tcBorders>
              <w:bottom w:val="single" w:sz="4" w:space="0" w:color="000000"/>
            </w:tcBorders>
          </w:tcPr>
          <w:p>
            <w:pPr>
              <w:pStyle w:val="TableParagraph"/>
              <w:spacing w:before="42"/>
              <w:ind w:left="750"/>
              <w:rPr>
                <w:sz w:val="20"/>
              </w:rPr>
            </w:pPr>
            <w:r>
              <w:rPr>
                <w:sz w:val="20"/>
              </w:rPr>
              <w:t>Total = 900 ha</w:t>
            </w:r>
          </w:p>
        </w:tc>
        <w:tc>
          <w:tcPr>
            <w:tcW w:w="1864" w:type="dxa"/>
            <w:tcBorders>
              <w:bottom w:val="single" w:sz="4" w:space="0" w:color="000000"/>
              <w:right w:val="single" w:sz="4" w:space="0" w:color="000000"/>
            </w:tcBorders>
          </w:tcPr>
          <w:p>
            <w:pPr>
              <w:pStyle w:val="TableParagraph"/>
              <w:rPr>
                <w:sz w:val="20"/>
              </w:rPr>
            </w:pPr>
          </w:p>
        </w:tc>
      </w:tr>
    </w:tbl>
    <w:p>
      <w:pPr>
        <w:pStyle w:val="BodyText"/>
        <w:spacing w:before="10"/>
        <w:rPr>
          <w:sz w:val="29"/>
        </w:rPr>
      </w:pPr>
    </w:p>
    <w:p>
      <w:pPr>
        <w:pStyle w:val="BodyText"/>
        <w:ind w:left="179"/>
      </w:pPr>
      <w:r>
        <w:rPr/>
        <w:t>Where:</w:t>
      </w:r>
    </w:p>
    <w:p>
      <w:pPr>
        <w:pStyle w:val="BodyText"/>
        <w:spacing w:before="3" w:after="1"/>
        <w:rPr>
          <w:sz w:val="11"/>
        </w:rPr>
      </w:pPr>
    </w:p>
    <w:tbl>
      <w:tblPr>
        <w:tblW w:w="0" w:type="auto"/>
        <w:jc w:val="left"/>
        <w:tblInd w:w="7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
        <w:gridCol w:w="349"/>
        <w:gridCol w:w="3687"/>
      </w:tblGrid>
      <w:tr>
        <w:trPr>
          <w:trHeight w:val="284" w:hRule="atLeast"/>
        </w:trPr>
        <w:tc>
          <w:tcPr>
            <w:tcW w:w="318" w:type="dxa"/>
          </w:tcPr>
          <w:p>
            <w:pPr>
              <w:pStyle w:val="TableParagraph"/>
              <w:spacing w:line="221" w:lineRule="exact"/>
              <w:ind w:right="72"/>
              <w:jc w:val="center"/>
              <w:rPr>
                <w:sz w:val="20"/>
              </w:rPr>
            </w:pPr>
            <w:r>
              <w:rPr>
                <w:w w:val="99"/>
                <w:sz w:val="20"/>
              </w:rPr>
              <w:t>A</w:t>
            </w:r>
          </w:p>
        </w:tc>
        <w:tc>
          <w:tcPr>
            <w:tcW w:w="349" w:type="dxa"/>
          </w:tcPr>
          <w:p>
            <w:pPr>
              <w:pStyle w:val="TableParagraph"/>
              <w:spacing w:line="221" w:lineRule="exact"/>
              <w:ind w:left="89"/>
              <w:rPr>
                <w:sz w:val="20"/>
              </w:rPr>
            </w:pPr>
            <w:r>
              <w:rPr>
                <w:w w:val="99"/>
                <w:sz w:val="20"/>
              </w:rPr>
              <w:t>=</w:t>
            </w:r>
          </w:p>
        </w:tc>
        <w:tc>
          <w:tcPr>
            <w:tcW w:w="3687" w:type="dxa"/>
          </w:tcPr>
          <w:p>
            <w:pPr>
              <w:pStyle w:val="TableParagraph"/>
              <w:spacing w:line="221" w:lineRule="exact"/>
              <w:ind w:left="146"/>
              <w:rPr>
                <w:sz w:val="20"/>
              </w:rPr>
            </w:pPr>
            <w:r>
              <w:rPr>
                <w:sz w:val="20"/>
              </w:rPr>
              <w:t>total area (= 900 ha in the example)</w:t>
            </w:r>
          </w:p>
        </w:tc>
      </w:tr>
      <w:tr>
        <w:trPr>
          <w:trHeight w:val="357" w:hRule="atLeast"/>
        </w:trPr>
        <w:tc>
          <w:tcPr>
            <w:tcW w:w="318" w:type="dxa"/>
          </w:tcPr>
          <w:p>
            <w:pPr>
              <w:pStyle w:val="TableParagraph"/>
              <w:spacing w:before="54"/>
              <w:ind w:left="29" w:right="67"/>
              <w:jc w:val="center"/>
              <w:rPr>
                <w:i/>
                <w:sz w:val="20"/>
              </w:rPr>
            </w:pPr>
            <w:r>
              <w:rPr>
                <w:sz w:val="20"/>
              </w:rPr>
              <w:t>A</w:t>
            </w:r>
            <w:r>
              <w:rPr>
                <w:i/>
                <w:sz w:val="20"/>
                <w:vertAlign w:val="subscript"/>
              </w:rPr>
              <w:t>i</w:t>
            </w:r>
          </w:p>
        </w:tc>
        <w:tc>
          <w:tcPr>
            <w:tcW w:w="349" w:type="dxa"/>
          </w:tcPr>
          <w:p>
            <w:pPr>
              <w:pStyle w:val="TableParagraph"/>
              <w:spacing w:before="54"/>
              <w:ind w:left="89"/>
              <w:rPr>
                <w:sz w:val="20"/>
              </w:rPr>
            </w:pPr>
            <w:r>
              <w:rPr>
                <w:w w:val="99"/>
                <w:sz w:val="20"/>
              </w:rPr>
              <w:t>=</w:t>
            </w:r>
          </w:p>
        </w:tc>
        <w:tc>
          <w:tcPr>
            <w:tcW w:w="3687" w:type="dxa"/>
          </w:tcPr>
          <w:p>
            <w:pPr>
              <w:pStyle w:val="TableParagraph"/>
              <w:spacing w:before="54"/>
              <w:ind w:left="146"/>
              <w:rPr>
                <w:i/>
                <w:sz w:val="20"/>
              </w:rPr>
            </w:pPr>
            <w:r>
              <w:rPr>
                <w:sz w:val="20"/>
              </w:rPr>
              <w:t>estimated area of land use class </w:t>
            </w:r>
            <w:r>
              <w:rPr>
                <w:i/>
                <w:sz w:val="20"/>
              </w:rPr>
              <w:t>i</w:t>
            </w:r>
          </w:p>
        </w:tc>
      </w:tr>
      <w:tr>
        <w:trPr>
          <w:trHeight w:val="350" w:hRule="atLeast"/>
        </w:trPr>
        <w:tc>
          <w:tcPr>
            <w:tcW w:w="318" w:type="dxa"/>
          </w:tcPr>
          <w:p>
            <w:pPr>
              <w:pStyle w:val="TableParagraph"/>
              <w:spacing w:before="47"/>
              <w:ind w:left="29" w:right="110"/>
              <w:jc w:val="center"/>
              <w:rPr>
                <w:i/>
                <w:sz w:val="20"/>
              </w:rPr>
            </w:pPr>
            <w:r>
              <w:rPr>
                <w:sz w:val="20"/>
              </w:rPr>
              <w:t>n</w:t>
            </w:r>
            <w:r>
              <w:rPr>
                <w:i/>
                <w:sz w:val="20"/>
                <w:vertAlign w:val="subscript"/>
              </w:rPr>
              <w:t>i</w:t>
            </w:r>
          </w:p>
        </w:tc>
        <w:tc>
          <w:tcPr>
            <w:tcW w:w="349" w:type="dxa"/>
          </w:tcPr>
          <w:p>
            <w:pPr>
              <w:pStyle w:val="TableParagraph"/>
              <w:spacing w:before="47"/>
              <w:ind w:left="89"/>
              <w:rPr>
                <w:sz w:val="20"/>
              </w:rPr>
            </w:pPr>
            <w:r>
              <w:rPr>
                <w:w w:val="99"/>
                <w:sz w:val="20"/>
              </w:rPr>
              <w:t>=</w:t>
            </w:r>
          </w:p>
        </w:tc>
        <w:tc>
          <w:tcPr>
            <w:tcW w:w="3687" w:type="dxa"/>
          </w:tcPr>
          <w:p>
            <w:pPr>
              <w:pStyle w:val="TableParagraph"/>
              <w:spacing w:before="47"/>
              <w:ind w:left="146"/>
              <w:rPr>
                <w:i/>
                <w:sz w:val="20"/>
              </w:rPr>
            </w:pPr>
            <w:r>
              <w:rPr>
                <w:sz w:val="20"/>
              </w:rPr>
              <w:t>number of points located in land- use class </w:t>
            </w:r>
            <w:r>
              <w:rPr>
                <w:i/>
                <w:sz w:val="20"/>
              </w:rPr>
              <w:t>i</w:t>
            </w:r>
          </w:p>
        </w:tc>
      </w:tr>
      <w:tr>
        <w:trPr>
          <w:trHeight w:val="277" w:hRule="atLeast"/>
        </w:trPr>
        <w:tc>
          <w:tcPr>
            <w:tcW w:w="318" w:type="dxa"/>
          </w:tcPr>
          <w:p>
            <w:pPr>
              <w:pStyle w:val="TableParagraph"/>
              <w:spacing w:line="210" w:lineRule="exact" w:before="47"/>
              <w:ind w:right="116"/>
              <w:jc w:val="center"/>
              <w:rPr>
                <w:sz w:val="20"/>
              </w:rPr>
            </w:pPr>
            <w:r>
              <w:rPr>
                <w:w w:val="99"/>
                <w:sz w:val="20"/>
              </w:rPr>
              <w:t>n</w:t>
            </w:r>
          </w:p>
        </w:tc>
        <w:tc>
          <w:tcPr>
            <w:tcW w:w="349" w:type="dxa"/>
          </w:tcPr>
          <w:p>
            <w:pPr>
              <w:pStyle w:val="TableParagraph"/>
              <w:spacing w:line="210" w:lineRule="exact" w:before="47"/>
              <w:ind w:left="89"/>
              <w:rPr>
                <w:sz w:val="20"/>
              </w:rPr>
            </w:pPr>
            <w:r>
              <w:rPr>
                <w:w w:val="99"/>
                <w:sz w:val="20"/>
              </w:rPr>
              <w:t>=</w:t>
            </w:r>
          </w:p>
        </w:tc>
        <w:tc>
          <w:tcPr>
            <w:tcW w:w="3687" w:type="dxa"/>
          </w:tcPr>
          <w:p>
            <w:pPr>
              <w:pStyle w:val="TableParagraph"/>
              <w:spacing w:line="210" w:lineRule="exact" w:before="47"/>
              <w:ind w:left="145"/>
              <w:rPr>
                <w:sz w:val="20"/>
              </w:rPr>
            </w:pPr>
            <w:r>
              <w:rPr>
                <w:sz w:val="20"/>
              </w:rPr>
              <w:t>total number of points</w:t>
            </w:r>
          </w:p>
        </w:tc>
      </w:tr>
    </w:tbl>
    <w:p>
      <w:pPr>
        <w:pStyle w:val="BodyText"/>
        <w:spacing w:before="120"/>
        <w:ind w:left="179" w:right="1597" w:hanging="1"/>
      </w:pPr>
      <w:r>
        <w:rPr/>
        <w:t>Estimates of areas involved in land- use change can be made by introducing classes of the type A</w:t>
      </w:r>
      <w:r>
        <w:rPr>
          <w:i/>
          <w:vertAlign w:val="subscript"/>
        </w:rPr>
        <w:t>ij</w:t>
      </w:r>
      <w:r>
        <w:rPr>
          <w:i/>
          <w:vertAlign w:val="baseline"/>
        </w:rPr>
        <w:t> </w:t>
      </w:r>
      <w:r>
        <w:rPr>
          <w:vertAlign w:val="baseline"/>
        </w:rPr>
        <w:t>where land use changes from class </w:t>
      </w:r>
      <w:r>
        <w:rPr>
          <w:i/>
          <w:vertAlign w:val="baseline"/>
        </w:rPr>
        <w:t>i </w:t>
      </w:r>
      <w:r>
        <w:rPr>
          <w:vertAlign w:val="baseline"/>
        </w:rPr>
        <w:t>to class </w:t>
      </w:r>
      <w:r>
        <w:rPr>
          <w:i/>
          <w:vertAlign w:val="baseline"/>
        </w:rPr>
        <w:t>j </w:t>
      </w:r>
      <w:r>
        <w:rPr>
          <w:vertAlign w:val="baseline"/>
        </w:rPr>
        <w:t>between successive surveys.</w:t>
      </w:r>
    </w:p>
    <w:p>
      <w:pPr>
        <w:pStyle w:val="BodyText"/>
        <w:rPr>
          <w:sz w:val="22"/>
        </w:rPr>
      </w:pPr>
    </w:p>
    <w:p>
      <w:pPr>
        <w:pStyle w:val="Heading6"/>
        <w:numPr>
          <w:ilvl w:val="3"/>
          <w:numId w:val="174"/>
        </w:numPr>
        <w:tabs>
          <w:tab w:pos="1619" w:val="left" w:leader="none"/>
          <w:tab w:pos="1620" w:val="left" w:leader="none"/>
        </w:tabs>
        <w:spacing w:line="240" w:lineRule="auto" w:before="146" w:after="0"/>
        <w:ind w:left="1619" w:right="0" w:hanging="1440"/>
        <w:jc w:val="left"/>
      </w:pPr>
      <w:bookmarkStart w:name="_TOC_250038" w:id="17"/>
      <w:r>
        <w:rPr>
          <w:spacing w:val="15"/>
          <w:sz w:val="28"/>
        </w:rPr>
        <w:t>D</w:t>
      </w:r>
      <w:r>
        <w:rPr>
          <w:spacing w:val="15"/>
        </w:rPr>
        <w:t>IRECT </w:t>
      </w:r>
      <w:r>
        <w:rPr>
          <w:spacing w:val="17"/>
        </w:rPr>
        <w:t>ESTIMATION </w:t>
      </w:r>
      <w:r>
        <w:rPr>
          <w:spacing w:val="10"/>
        </w:rPr>
        <w:t>OF</w:t>
      </w:r>
      <w:r>
        <w:rPr>
          <w:spacing w:val="13"/>
        </w:rPr>
        <w:t> </w:t>
      </w:r>
      <w:bookmarkEnd w:id="17"/>
      <w:r>
        <w:rPr>
          <w:spacing w:val="14"/>
        </w:rPr>
        <w:t>AREA</w:t>
      </w:r>
    </w:p>
    <w:p>
      <w:pPr>
        <w:pStyle w:val="BodyText"/>
        <w:spacing w:before="209"/>
        <w:ind w:left="179" w:right="1405"/>
        <w:jc w:val="both"/>
      </w:pPr>
      <w:r>
        <w:rPr/>
        <w:t>Whenever the total inventory area is known, it is efficient to estimate areas, and area changes, via assessment of proportions, since that procedure will result in the highest accuracy. In cases where the total inventory area is not known or is subject to unacceptable uncertainty, an alternative procedure that involves a direct assessment of areas of different land- use classes can be applied. This approach can only be used when systematic sampling is applied; each sample point will represent an area corresponding to the size of the grid cell of the sample layout.</w:t>
      </w:r>
    </w:p>
    <w:p>
      <w:pPr>
        <w:pStyle w:val="BodyText"/>
        <w:spacing w:before="120"/>
        <w:ind w:left="179" w:right="1404"/>
        <w:jc w:val="both"/>
      </w:pPr>
      <w:r>
        <w:rPr/>
        <w:t>For example, when sample points are selected from a square systematic grid with 1000 metres distance between the points, each sample point will represent an area of 1km ● 1km = 100 ha. Thus, if 15 plots fall within a specific land- use class of interest the area estimate will be 15 ● 100 ha = 1500 ha.</w:t>
      </w:r>
    </w:p>
    <w:p>
      <w:pPr>
        <w:pStyle w:val="BodyText"/>
        <w:rPr>
          <w:sz w:val="22"/>
        </w:rPr>
      </w:pPr>
    </w:p>
    <w:p>
      <w:pPr>
        <w:pStyle w:val="BodyText"/>
        <w:spacing w:before="1"/>
      </w:pPr>
    </w:p>
    <w:p>
      <w:pPr>
        <w:pStyle w:val="Heading2"/>
        <w:numPr>
          <w:ilvl w:val="2"/>
          <w:numId w:val="175"/>
        </w:numPr>
        <w:tabs>
          <w:tab w:pos="1381" w:val="left" w:leader="none"/>
          <w:tab w:pos="1382" w:val="left" w:leader="none"/>
        </w:tabs>
        <w:spacing w:line="240" w:lineRule="auto" w:before="0" w:after="0"/>
        <w:ind w:left="1381" w:right="1570" w:hanging="1202"/>
        <w:jc w:val="left"/>
      </w:pPr>
      <w:r>
        <w:rPr>
          <w:spacing w:val="8"/>
        </w:rPr>
        <w:t>Sampling Methods </w:t>
      </w:r>
      <w:r>
        <w:rPr>
          <w:spacing w:val="7"/>
        </w:rPr>
        <w:t>for </w:t>
      </w:r>
      <w:r>
        <w:rPr>
          <w:spacing w:val="9"/>
        </w:rPr>
        <w:t>Estimating </w:t>
      </w:r>
      <w:r>
        <w:rPr>
          <w:spacing w:val="8"/>
        </w:rPr>
        <w:t>Greenhouse </w:t>
      </w:r>
      <w:r>
        <w:rPr>
          <w:spacing w:val="9"/>
        </w:rPr>
        <w:t>Gases </w:t>
      </w:r>
      <w:r>
        <w:rPr>
          <w:spacing w:val="8"/>
        </w:rPr>
        <w:t>Emissions </w:t>
      </w:r>
      <w:r>
        <w:rPr>
          <w:spacing w:val="6"/>
        </w:rPr>
        <w:t>and</w:t>
      </w:r>
      <w:r>
        <w:rPr>
          <w:spacing w:val="32"/>
        </w:rPr>
        <w:t> </w:t>
      </w:r>
      <w:r>
        <w:rPr>
          <w:spacing w:val="9"/>
        </w:rPr>
        <w:t>Removals</w:t>
      </w:r>
    </w:p>
    <w:p>
      <w:pPr>
        <w:pStyle w:val="BodyText"/>
        <w:spacing w:before="115"/>
        <w:ind w:left="179" w:right="1406"/>
        <w:jc w:val="both"/>
      </w:pPr>
      <w:r>
        <w:rPr/>
        <w:t>Sampling is needed not only for area estimation, but also for estimating the state of carbon stocks and emissions and removals of greenhouse gases. As a basis for this, assessment of variables such as tree biomass and soil</w:t>
      </w:r>
    </w:p>
    <w:p>
      <w:pPr>
        <w:pStyle w:val="BodyText"/>
        <w:spacing w:before="8"/>
        <w:rPr>
          <w:sz w:val="22"/>
        </w:rPr>
      </w:pPr>
      <w:r>
        <w:rPr/>
        <w:pict>
          <v:line style="position:absolute;mso-position-horizontal-relative:page;mso-position-vertical-relative:paragraph;z-index:27704;mso-wrap-distance-left:0;mso-wrap-distance-right:0" from="70.960999pt,15.295563pt" to="214.960999pt,15.295563pt" stroked="true" strokeweight=".48pt" strokecolor="#000000">
            <v:stroke dashstyle="solid"/>
            <w10:wrap type="topAndBottom"/>
          </v:line>
        </w:pict>
      </w:r>
    </w:p>
    <w:p>
      <w:pPr>
        <w:spacing w:before="153"/>
        <w:ind w:left="179" w:right="0" w:firstLine="0"/>
        <w:jc w:val="left"/>
        <w:rPr>
          <w:b/>
          <w:sz w:val="18"/>
        </w:rPr>
      </w:pPr>
      <w:r>
        <w:rPr>
          <w:position w:val="8"/>
          <w:sz w:val="12"/>
        </w:rPr>
        <w:t>4 </w:t>
      </w:r>
      <w:r>
        <w:rPr>
          <w:sz w:val="18"/>
        </w:rPr>
        <w:t>Note that this formula is only approximate when systematic sampling is applied</w:t>
      </w:r>
      <w:r>
        <w:rPr>
          <w:b/>
          <w:sz w:val="18"/>
        </w:rPr>
        <w:t>.</w:t>
      </w:r>
    </w:p>
    <w:p>
      <w:pPr>
        <w:spacing w:after="0"/>
        <w:jc w:val="left"/>
        <w:rPr>
          <w:sz w:val="18"/>
        </w:rPr>
        <w:sectPr>
          <w:pgSz w:w="11900" w:h="16840"/>
          <w:pgMar w:header="230" w:footer="408" w:top="560" w:bottom="600" w:left="1240" w:right="0"/>
        </w:sectPr>
      </w:pPr>
    </w:p>
    <w:p>
      <w:pPr>
        <w:pStyle w:val="BodyText"/>
        <w:rPr>
          <w:b/>
        </w:rPr>
      </w:pPr>
    </w:p>
    <w:p>
      <w:pPr>
        <w:pStyle w:val="BodyText"/>
        <w:spacing w:before="2"/>
        <w:rPr>
          <w:b/>
          <w:sz w:val="18"/>
        </w:rPr>
      </w:pPr>
    </w:p>
    <w:p>
      <w:pPr>
        <w:pStyle w:val="BodyText"/>
        <w:ind w:left="179" w:right="1403"/>
        <w:jc w:val="both"/>
      </w:pPr>
      <w:r>
        <w:rPr/>
        <w:t>carbon content is made on the plots. Measurements of these quantities can be made directly on site, or by laboratory analysis of samples, or deduced using models based on correlated variables (such as standard measurements of tree height and diameter) to obtain actual stock, or emissions and removals, of greenhouse gases at the plot</w:t>
      </w:r>
      <w:r>
        <w:rPr>
          <w:spacing w:val="-1"/>
        </w:rPr>
        <w:t> </w:t>
      </w:r>
      <w:r>
        <w:rPr/>
        <w:t>level.</w:t>
      </w:r>
    </w:p>
    <w:p>
      <w:pPr>
        <w:pStyle w:val="BodyText"/>
        <w:spacing w:before="119"/>
        <w:ind w:left="179" w:right="1406"/>
        <w:jc w:val="both"/>
      </w:pPr>
      <w:r>
        <w:rPr/>
        <w:t>Only general guidelines can be given regarding the use of sampling for direct estimation of greenhouse gas emissions or removals. Compared to traditional forest or land- use inventories, the assessments on the plots tend to be slightly more complicated, particularly for the soil carbon pool. An important issue in random sampling surveys is the layout of plots e.g., tree measurements or soil sampling. It is important that this layout is conducted according to strict procedures rather than leaving it to the surveyors to choose appropriate spots for measurements or selecting</w:t>
      </w:r>
      <w:r>
        <w:rPr>
          <w:spacing w:val="-3"/>
        </w:rPr>
        <w:t> </w:t>
      </w:r>
      <w:r>
        <w:rPr/>
        <w:t>samples.</w:t>
      </w:r>
    </w:p>
    <w:p>
      <w:pPr>
        <w:pStyle w:val="BodyText"/>
        <w:spacing w:before="120"/>
        <w:ind w:left="179" w:right="1406"/>
        <w:jc w:val="both"/>
      </w:pPr>
      <w:r>
        <w:rPr/>
        <w:t>Often,</w:t>
      </w:r>
      <w:r>
        <w:rPr>
          <w:spacing w:val="-1"/>
        </w:rPr>
        <w:t> </w:t>
      </w:r>
      <w:r>
        <w:rPr/>
        <w:t>inventories of greenhouse</w:t>
      </w:r>
      <w:r>
        <w:rPr>
          <w:spacing w:val="1"/>
        </w:rPr>
        <w:t> </w:t>
      </w:r>
      <w:r>
        <w:rPr/>
        <w:t>gases will</w:t>
      </w:r>
      <w:r>
        <w:rPr>
          <w:spacing w:val="-1"/>
        </w:rPr>
        <w:t> </w:t>
      </w:r>
      <w:r>
        <w:rPr/>
        <w:t>be</w:t>
      </w:r>
      <w:r>
        <w:rPr>
          <w:spacing w:val="-1"/>
        </w:rPr>
        <w:t> </w:t>
      </w:r>
      <w:r>
        <w:rPr/>
        <w:t>incorporated</w:t>
      </w:r>
      <w:r>
        <w:rPr>
          <w:spacing w:val="-2"/>
        </w:rPr>
        <w:t> </w:t>
      </w:r>
      <w:r>
        <w:rPr/>
        <w:t>into on-</w:t>
      </w:r>
      <w:r>
        <w:rPr>
          <w:spacing w:val="-34"/>
        </w:rPr>
        <w:t> </w:t>
      </w:r>
      <w:r>
        <w:rPr/>
        <w:t>going national</w:t>
      </w:r>
      <w:r>
        <w:rPr>
          <w:spacing w:val="1"/>
        </w:rPr>
        <w:t> </w:t>
      </w:r>
      <w:r>
        <w:rPr/>
        <w:t>forest</w:t>
      </w:r>
      <w:r>
        <w:rPr>
          <w:spacing w:val="3"/>
        </w:rPr>
        <w:t> </w:t>
      </w:r>
      <w:r>
        <w:rPr/>
        <w:t>or land-</w:t>
      </w:r>
      <w:r>
        <w:rPr>
          <w:spacing w:val="-32"/>
        </w:rPr>
        <w:t> </w:t>
      </w:r>
      <w:r>
        <w:rPr/>
        <w:t>use</w:t>
      </w:r>
      <w:r>
        <w:rPr>
          <w:spacing w:val="3"/>
        </w:rPr>
        <w:t> </w:t>
      </w:r>
      <w:r>
        <w:rPr/>
        <w:t>monitoring programmes. In this case it is generally </w:t>
      </w:r>
      <w:r>
        <w:rPr>
          <w:i/>
        </w:rPr>
        <w:t>good practice </w:t>
      </w:r>
      <w:r>
        <w:rPr/>
        <w:t>to use the established procedures of those inventories, both for purposes of estimating the quantities of interest and the corresponding uncertainties. However, the effects of model conversion errors in final conversion steps (e.g., when applying biomass expansion factors) in this case need to be taken into account. This is further discussed in the next</w:t>
      </w:r>
      <w:r>
        <w:rPr>
          <w:spacing w:val="-4"/>
        </w:rPr>
        <w:t> </w:t>
      </w:r>
      <w:r>
        <w:rPr/>
        <w:t>section.</w:t>
      </w:r>
    </w:p>
    <w:p>
      <w:pPr>
        <w:pStyle w:val="BodyText"/>
        <w:rPr>
          <w:sz w:val="22"/>
        </w:rPr>
      </w:pPr>
    </w:p>
    <w:p>
      <w:pPr>
        <w:pStyle w:val="BodyText"/>
        <w:spacing w:before="3"/>
      </w:pPr>
    </w:p>
    <w:p>
      <w:pPr>
        <w:pStyle w:val="Heading2"/>
        <w:numPr>
          <w:ilvl w:val="2"/>
          <w:numId w:val="175"/>
        </w:numPr>
        <w:tabs>
          <w:tab w:pos="1382" w:val="left" w:leader="none"/>
        </w:tabs>
        <w:spacing w:line="240" w:lineRule="auto" w:before="0" w:after="0"/>
        <w:ind w:left="1381" w:right="0" w:hanging="1202"/>
        <w:jc w:val="both"/>
      </w:pPr>
      <w:bookmarkStart w:name="_TOC_250037" w:id="18"/>
      <w:r>
        <w:rPr>
          <w:spacing w:val="8"/>
        </w:rPr>
        <w:t>Uncertainties </w:t>
      </w:r>
      <w:r>
        <w:rPr>
          <w:spacing w:val="4"/>
        </w:rPr>
        <w:t>in </w:t>
      </w:r>
      <w:r>
        <w:rPr>
          <w:spacing w:val="7"/>
        </w:rPr>
        <w:t>Sample Based</w:t>
      </w:r>
      <w:r>
        <w:rPr>
          <w:spacing w:val="65"/>
        </w:rPr>
        <w:t> </w:t>
      </w:r>
      <w:bookmarkEnd w:id="18"/>
      <w:r>
        <w:rPr>
          <w:spacing w:val="9"/>
        </w:rPr>
        <w:t>Surveys</w:t>
      </w:r>
    </w:p>
    <w:p>
      <w:pPr>
        <w:pStyle w:val="BodyText"/>
        <w:spacing w:before="113"/>
        <w:ind w:left="179" w:right="1405"/>
        <w:jc w:val="both"/>
      </w:pPr>
      <w:r>
        <w:rPr/>
        <w:t>The methods described in Chapters 3 and 4 are linked with default uncertainty ranges for the default values presented, and Section 5.2 of this chapter describes how to combine uncertainties in order to estimate the overall uncertainty of an inventory. If an inventory agency uses default values, they can refer to the uncertainty ranges provided in Chapters 3 and 4. When implementing higher tier methods, however, the inventory agency often will use country- specific values and data obtained through research, literature review, field sampling, or remote sensing. Where country- specific data are used, inventory agencies need to develop their own uncertainty estimates, based on expert judgment or – if sampling has been used – based on direct assessment of the precision of the derived data or estimates.</w:t>
      </w:r>
    </w:p>
    <w:p>
      <w:pPr>
        <w:pStyle w:val="BodyText"/>
        <w:spacing w:before="119"/>
        <w:ind w:left="179" w:right="1406"/>
        <w:jc w:val="both"/>
      </w:pPr>
      <w:r>
        <w:rPr/>
        <w:t>The possibility to derive uncertainty estimates based on formal statistical procedures is a very important advantage of applying sampling procedures in comparison to other methods; the reliability of the information can be assessed based on the data acquired.</w:t>
      </w:r>
    </w:p>
    <w:p>
      <w:pPr>
        <w:pStyle w:val="BodyText"/>
        <w:spacing w:before="119"/>
        <w:ind w:left="179" w:right="1406"/>
        <w:jc w:val="both"/>
      </w:pPr>
      <w:r>
        <w:rPr/>
        <w:t>Thus, when data from random sampling are used for purposes of greenhouse gas inventory reporting, it is </w:t>
      </w:r>
      <w:r>
        <w:rPr>
          <w:i/>
        </w:rPr>
        <w:t>good practice </w:t>
      </w:r>
      <w:r>
        <w:rPr/>
        <w:t>to base the assessment of uncertainties on sampling principles, rather than using default values or expert judgement. These uncertainties can then be combined with the uncertainties of other data or models used according to the guidance in Section 5.2 of this chapter.</w:t>
      </w:r>
    </w:p>
    <w:p>
      <w:pPr>
        <w:pStyle w:val="BodyText"/>
        <w:spacing w:before="119"/>
        <w:ind w:left="179" w:right="1404"/>
        <w:jc w:val="both"/>
      </w:pPr>
      <w:r>
        <w:rPr/>
        <w:t>This section describes the different sources of errors in sample surveys and their effects on overall uncertainty in estimates. </w:t>
      </w:r>
      <w:r>
        <w:rPr>
          <w:i/>
        </w:rPr>
        <w:t>Good practice guidance </w:t>
      </w:r>
      <w:r>
        <w:rPr/>
        <w:t>is given on how to assess uncertainties in sample based surveys. The discussion on causes of errors is general, and is valid also when data are derived using non-random sampling schemes (e.g., data from research plots) and then scaled up on the basis of area estimates to obtain results on national level. The discussion of the sources of errors first describes errors in assessments at the sample unit level, and then discusses issues in scaling up to estimates for some larger area.</w:t>
      </w:r>
    </w:p>
    <w:p>
      <w:pPr>
        <w:pStyle w:val="BodyText"/>
        <w:rPr>
          <w:sz w:val="22"/>
        </w:rPr>
      </w:pPr>
    </w:p>
    <w:p>
      <w:pPr>
        <w:pStyle w:val="Heading6"/>
        <w:numPr>
          <w:ilvl w:val="3"/>
          <w:numId w:val="175"/>
        </w:numPr>
        <w:tabs>
          <w:tab w:pos="1620" w:val="left" w:leader="none"/>
        </w:tabs>
        <w:spacing w:line="240" w:lineRule="auto" w:before="148" w:after="0"/>
        <w:ind w:left="1619" w:right="0" w:hanging="1440"/>
        <w:jc w:val="both"/>
      </w:pPr>
      <w:bookmarkStart w:name="_TOC_250036" w:id="19"/>
      <w:r>
        <w:rPr>
          <w:spacing w:val="15"/>
          <w:sz w:val="28"/>
        </w:rPr>
        <w:t>T</w:t>
      </w:r>
      <w:r>
        <w:rPr>
          <w:spacing w:val="15"/>
        </w:rPr>
        <w:t>YPES </w:t>
      </w:r>
      <w:r>
        <w:rPr>
          <w:spacing w:val="10"/>
        </w:rPr>
        <w:t>OF</w:t>
      </w:r>
      <w:r>
        <w:rPr>
          <w:spacing w:val="-8"/>
        </w:rPr>
        <w:t> </w:t>
      </w:r>
      <w:bookmarkEnd w:id="19"/>
      <w:r>
        <w:rPr>
          <w:spacing w:val="18"/>
        </w:rPr>
        <w:t>ERRORS</w:t>
      </w:r>
    </w:p>
    <w:p>
      <w:pPr>
        <w:pStyle w:val="BodyText"/>
        <w:spacing w:before="209"/>
        <w:ind w:left="179" w:right="1403"/>
        <w:jc w:val="both"/>
      </w:pPr>
      <w:r>
        <w:rPr/>
        <w:t>Typically for LULUCF inventories, sampling data are acquired from sample plots in the field. To obtain estimates for some larger area (e.g., a country), measurements made at the plot level need to be scaled up. Several kinds of errors may occur in these</w:t>
      </w:r>
      <w:r>
        <w:rPr>
          <w:spacing w:val="-7"/>
        </w:rPr>
        <w:t> </w:t>
      </w:r>
      <w:r>
        <w:rPr/>
        <w:t>steps:</w:t>
      </w:r>
    </w:p>
    <w:p>
      <w:pPr>
        <w:pStyle w:val="ListParagraph"/>
        <w:numPr>
          <w:ilvl w:val="0"/>
          <w:numId w:val="117"/>
        </w:numPr>
        <w:tabs>
          <w:tab w:pos="540" w:val="left" w:leader="none"/>
        </w:tabs>
        <w:spacing w:line="237" w:lineRule="auto" w:before="134" w:after="0"/>
        <w:ind w:left="536" w:right="1403" w:hanging="357"/>
        <w:jc w:val="both"/>
        <w:rPr>
          <w:sz w:val="20"/>
        </w:rPr>
      </w:pPr>
      <w:r>
        <w:rPr>
          <w:sz w:val="20"/>
        </w:rPr>
        <w:t>First, whenever measurements are carried out measurement errors due to various imperfections in technique or instrumentation often occur. Measurement errors often are systematic, always deviating in a certain direction from the true value. Such errors then will be propagated during the process of scaling up. Measurement errors also may be random. In this case the average error is zero and the deviations are just as likely to be positive as negative. The latter kinds of errors are less harmful than the systematic ones, although they may lead to systematic errors when basic measurements are applied in models for deriving the quantity of interest (e.g., the volume of a</w:t>
      </w:r>
      <w:r>
        <w:rPr>
          <w:spacing w:val="-5"/>
          <w:sz w:val="20"/>
        </w:rPr>
        <w:t> </w:t>
      </w:r>
      <w:r>
        <w:rPr>
          <w:sz w:val="20"/>
        </w:rPr>
        <w:t>tree).</w:t>
      </w:r>
    </w:p>
    <w:p>
      <w:pPr>
        <w:pStyle w:val="ListParagraph"/>
        <w:numPr>
          <w:ilvl w:val="0"/>
          <w:numId w:val="117"/>
        </w:numPr>
        <w:tabs>
          <w:tab w:pos="540" w:val="left" w:leader="none"/>
        </w:tabs>
        <w:spacing w:line="235" w:lineRule="auto" w:before="134" w:after="0"/>
        <w:ind w:left="536" w:right="1402" w:hanging="357"/>
        <w:jc w:val="both"/>
        <w:rPr>
          <w:sz w:val="20"/>
        </w:rPr>
      </w:pPr>
      <w:r>
        <w:rPr>
          <w:sz w:val="20"/>
        </w:rPr>
        <w:t>Second, the quantities of interest are not always measured directly, but models are applied to derive them. For example, the amount of carbon in a tree usually is calculated by first deriving the tree volume based on models that use parameters such as tree species, diameter, and height as input variables, and then using other models</w:t>
      </w:r>
      <w:r>
        <w:rPr>
          <w:spacing w:val="23"/>
          <w:sz w:val="20"/>
        </w:rPr>
        <w:t> </w:t>
      </w:r>
      <w:r>
        <w:rPr>
          <w:sz w:val="20"/>
        </w:rPr>
        <w:t>or</w:t>
      </w:r>
      <w:r>
        <w:rPr>
          <w:spacing w:val="24"/>
          <w:sz w:val="20"/>
        </w:rPr>
        <w:t> </w:t>
      </w:r>
      <w:r>
        <w:rPr>
          <w:sz w:val="20"/>
        </w:rPr>
        <w:t>static</w:t>
      </w:r>
      <w:r>
        <w:rPr>
          <w:spacing w:val="24"/>
          <w:sz w:val="20"/>
        </w:rPr>
        <w:t> </w:t>
      </w:r>
      <w:r>
        <w:rPr>
          <w:sz w:val="20"/>
        </w:rPr>
        <w:t>expansion</w:t>
      </w:r>
      <w:r>
        <w:rPr>
          <w:spacing w:val="25"/>
          <w:sz w:val="20"/>
        </w:rPr>
        <w:t> </w:t>
      </w:r>
      <w:r>
        <w:rPr>
          <w:sz w:val="20"/>
        </w:rPr>
        <w:t>factors</w:t>
      </w:r>
      <w:r>
        <w:rPr>
          <w:spacing w:val="23"/>
          <w:sz w:val="20"/>
        </w:rPr>
        <w:t> </w:t>
      </w:r>
      <w:r>
        <w:rPr>
          <w:sz w:val="20"/>
        </w:rPr>
        <w:t>to</w:t>
      </w:r>
      <w:r>
        <w:rPr>
          <w:spacing w:val="24"/>
          <w:sz w:val="20"/>
        </w:rPr>
        <w:t> </w:t>
      </w:r>
      <w:r>
        <w:rPr>
          <w:sz w:val="20"/>
        </w:rPr>
        <w:t>convert</w:t>
      </w:r>
      <w:r>
        <w:rPr>
          <w:spacing w:val="26"/>
          <w:sz w:val="20"/>
        </w:rPr>
        <w:t> </w:t>
      </w:r>
      <w:r>
        <w:rPr>
          <w:sz w:val="20"/>
        </w:rPr>
        <w:t>volume</w:t>
      </w:r>
      <w:r>
        <w:rPr>
          <w:spacing w:val="24"/>
          <w:sz w:val="20"/>
        </w:rPr>
        <w:t> </w:t>
      </w:r>
      <w:r>
        <w:rPr>
          <w:sz w:val="20"/>
        </w:rPr>
        <w:t>to</w:t>
      </w:r>
      <w:r>
        <w:rPr>
          <w:spacing w:val="24"/>
          <w:sz w:val="20"/>
        </w:rPr>
        <w:t> </w:t>
      </w:r>
      <w:r>
        <w:rPr>
          <w:sz w:val="20"/>
        </w:rPr>
        <w:t>biomass</w:t>
      </w:r>
      <w:r>
        <w:rPr>
          <w:spacing w:val="23"/>
          <w:sz w:val="20"/>
        </w:rPr>
        <w:t> </w:t>
      </w:r>
      <w:r>
        <w:rPr>
          <w:sz w:val="20"/>
        </w:rPr>
        <w:t>and</w:t>
      </w:r>
      <w:r>
        <w:rPr>
          <w:spacing w:val="24"/>
          <w:sz w:val="20"/>
        </w:rPr>
        <w:t> </w:t>
      </w:r>
      <w:r>
        <w:rPr>
          <w:sz w:val="20"/>
        </w:rPr>
        <w:t>biomass</w:t>
      </w:r>
      <w:r>
        <w:rPr>
          <w:spacing w:val="23"/>
          <w:sz w:val="20"/>
        </w:rPr>
        <w:t> </w:t>
      </w:r>
      <w:r>
        <w:rPr>
          <w:sz w:val="20"/>
        </w:rPr>
        <w:t>to</w:t>
      </w:r>
      <w:r>
        <w:rPr>
          <w:spacing w:val="24"/>
          <w:sz w:val="20"/>
        </w:rPr>
        <w:t> </w:t>
      </w:r>
      <w:r>
        <w:rPr>
          <w:sz w:val="20"/>
        </w:rPr>
        <w:t>carbon.</w:t>
      </w:r>
      <w:r>
        <w:rPr>
          <w:spacing w:val="24"/>
          <w:sz w:val="20"/>
        </w:rPr>
        <w:t> </w:t>
      </w:r>
      <w:r>
        <w:rPr>
          <w:sz w:val="20"/>
        </w:rPr>
        <w:t>When</w:t>
      </w:r>
      <w:r>
        <w:rPr>
          <w:spacing w:val="22"/>
          <w:sz w:val="20"/>
        </w:rPr>
        <w:t> </w:t>
      </w:r>
      <w:r>
        <w:rPr>
          <w:sz w:val="20"/>
        </w:rPr>
        <w:t>applying</w:t>
      </w:r>
    </w:p>
    <w:p>
      <w:pPr>
        <w:spacing w:after="0" w:line="235" w:lineRule="auto"/>
        <w:jc w:val="both"/>
        <w:rPr>
          <w:sz w:val="20"/>
        </w:rPr>
        <w:sectPr>
          <w:pgSz w:w="11900" w:h="16840"/>
          <w:pgMar w:header="230" w:footer="408" w:top="560" w:bottom="600" w:left="1240" w:right="0"/>
        </w:sectPr>
      </w:pPr>
    </w:p>
    <w:p>
      <w:pPr>
        <w:pStyle w:val="BodyText"/>
      </w:pPr>
    </w:p>
    <w:p>
      <w:pPr>
        <w:pStyle w:val="BodyText"/>
        <w:spacing w:before="2"/>
        <w:rPr>
          <w:sz w:val="18"/>
        </w:rPr>
      </w:pPr>
    </w:p>
    <w:p>
      <w:pPr>
        <w:pStyle w:val="BodyText"/>
        <w:ind w:left="536" w:right="1403"/>
        <w:jc w:val="both"/>
      </w:pPr>
      <w:r>
        <w:rPr/>
        <w:t>models, </w:t>
      </w:r>
      <w:r>
        <w:rPr>
          <w:i/>
        </w:rPr>
        <w:t>model errors </w:t>
      </w:r>
      <w:r>
        <w:rPr/>
        <w:t>will occur since models seldom are able to predict target quantities exactly. Model errors may be both random and systematic. The sizes are likely to vary depending on the values of the input variables. As shown by Gertner and Köhl (1992), systematic model errors sometimes contribute significantly to the overall</w:t>
      </w:r>
      <w:r>
        <w:rPr>
          <w:spacing w:val="1"/>
        </w:rPr>
        <w:t> </w:t>
      </w:r>
      <w:r>
        <w:rPr/>
        <w:t>uncertainty.</w:t>
      </w:r>
    </w:p>
    <w:p>
      <w:pPr>
        <w:pStyle w:val="ListParagraph"/>
        <w:numPr>
          <w:ilvl w:val="0"/>
          <w:numId w:val="117"/>
        </w:numPr>
        <w:tabs>
          <w:tab w:pos="540" w:val="left" w:leader="none"/>
        </w:tabs>
        <w:spacing w:line="237" w:lineRule="auto" w:before="135" w:after="0"/>
        <w:ind w:left="536" w:right="1402" w:hanging="357"/>
        <w:jc w:val="both"/>
        <w:rPr>
          <w:sz w:val="20"/>
        </w:rPr>
      </w:pPr>
      <w:r>
        <w:rPr>
          <w:sz w:val="20"/>
        </w:rPr>
        <w:t>When plot level measurements are scaled up to some larger area, </w:t>
      </w:r>
      <w:r>
        <w:rPr>
          <w:i/>
          <w:sz w:val="20"/>
        </w:rPr>
        <w:t>sampling errors </w:t>
      </w:r>
      <w:r>
        <w:rPr>
          <w:sz w:val="20"/>
        </w:rPr>
        <w:t>occur due to the fact that conditions across the larger area vary and measurements have only been made at the sample locations. The average conditions within the selected sample plots seldom coincide exactly with the average conditions within the entire area of interest. Sampling errors (using random sampling designs and unbiased estimators) are only random, and these effects can be reduced by increasing the sample size, as discussed below and shown in Figure 5.3.4.</w:t>
      </w:r>
    </w:p>
    <w:p>
      <w:pPr>
        <w:pStyle w:val="ListParagraph"/>
        <w:numPr>
          <w:ilvl w:val="0"/>
          <w:numId w:val="117"/>
        </w:numPr>
        <w:tabs>
          <w:tab w:pos="540" w:val="left" w:leader="none"/>
        </w:tabs>
        <w:spacing w:line="235" w:lineRule="auto" w:before="134" w:after="0"/>
        <w:ind w:left="536" w:right="1354" w:hanging="357"/>
        <w:jc w:val="both"/>
        <w:rPr>
          <w:sz w:val="20"/>
        </w:rPr>
      </w:pPr>
      <w:r>
        <w:rPr>
          <w:sz w:val="20"/>
        </w:rPr>
        <w:t>If upscaling is based on complete cover information (e.g., from remote sensing) rather than a sample based survey, uncertainty will be introduced due to land areas being incorrectly classified. Classification errors can be identified and corrected if a sample survey is conducted for studying the extent of such errors. In this case, surveys should be based on random sampling in order to avoid the likely systematic errors of a subjectively selected</w:t>
      </w:r>
      <w:r>
        <w:rPr>
          <w:spacing w:val="-1"/>
          <w:sz w:val="20"/>
        </w:rPr>
        <w:t> </w:t>
      </w:r>
      <w:r>
        <w:rPr>
          <w:sz w:val="20"/>
        </w:rPr>
        <w:t>sample.</w:t>
      </w:r>
    </w:p>
    <w:p>
      <w:pPr>
        <w:pStyle w:val="ListParagraph"/>
        <w:numPr>
          <w:ilvl w:val="0"/>
          <w:numId w:val="117"/>
        </w:numPr>
        <w:tabs>
          <w:tab w:pos="540" w:val="left" w:leader="none"/>
        </w:tabs>
        <w:spacing w:line="237" w:lineRule="auto" w:before="139" w:after="0"/>
        <w:ind w:left="536" w:right="1401" w:hanging="357"/>
        <w:jc w:val="both"/>
        <w:rPr>
          <w:sz w:val="20"/>
        </w:rPr>
      </w:pPr>
      <w:r>
        <w:rPr>
          <w:sz w:val="20"/>
        </w:rPr>
        <w:t>Data registration and calculation errors are the final types of error that may occur. These errors are less </w:t>
      </w:r>
      <w:r>
        <w:rPr>
          <w:spacing w:val="-3"/>
          <w:sz w:val="20"/>
        </w:rPr>
        <w:t>technical </w:t>
      </w:r>
      <w:r>
        <w:rPr>
          <w:spacing w:val="-2"/>
          <w:sz w:val="20"/>
        </w:rPr>
        <w:t>yet </w:t>
      </w:r>
      <w:r>
        <w:rPr>
          <w:sz w:val="20"/>
        </w:rPr>
        <w:t>potentially </w:t>
      </w:r>
      <w:r>
        <w:rPr>
          <w:spacing w:val="-3"/>
          <w:sz w:val="20"/>
        </w:rPr>
        <w:t>important sources </w:t>
      </w:r>
      <w:r>
        <w:rPr>
          <w:sz w:val="20"/>
        </w:rPr>
        <w:t>of </w:t>
      </w:r>
      <w:r>
        <w:rPr>
          <w:spacing w:val="-3"/>
          <w:sz w:val="20"/>
        </w:rPr>
        <w:t>uncertainty </w:t>
      </w:r>
      <w:r>
        <w:rPr>
          <w:sz w:val="20"/>
        </w:rPr>
        <w:t>in </w:t>
      </w:r>
      <w:r>
        <w:rPr>
          <w:spacing w:val="-3"/>
          <w:sz w:val="20"/>
        </w:rPr>
        <w:t>connection </w:t>
      </w:r>
      <w:r>
        <w:rPr>
          <w:sz w:val="20"/>
        </w:rPr>
        <w:t>with sample-based </w:t>
      </w:r>
      <w:r>
        <w:rPr>
          <w:spacing w:val="-3"/>
          <w:sz w:val="20"/>
        </w:rPr>
        <w:t>surveys. Data </w:t>
      </w:r>
      <w:r>
        <w:rPr>
          <w:sz w:val="20"/>
        </w:rPr>
        <w:t>registry</w:t>
      </w:r>
      <w:r>
        <w:rPr>
          <w:spacing w:val="-10"/>
          <w:sz w:val="20"/>
        </w:rPr>
        <w:t> </w:t>
      </w:r>
      <w:r>
        <w:rPr>
          <w:spacing w:val="-3"/>
          <w:sz w:val="20"/>
        </w:rPr>
        <w:t>should</w:t>
      </w:r>
      <w:r>
        <w:rPr>
          <w:spacing w:val="-10"/>
          <w:sz w:val="20"/>
        </w:rPr>
        <w:t> </w:t>
      </w:r>
      <w:r>
        <w:rPr>
          <w:sz w:val="20"/>
        </w:rPr>
        <w:t>be</w:t>
      </w:r>
      <w:r>
        <w:rPr>
          <w:spacing w:val="-7"/>
          <w:sz w:val="20"/>
        </w:rPr>
        <w:t> </w:t>
      </w:r>
      <w:r>
        <w:rPr>
          <w:sz w:val="20"/>
        </w:rPr>
        <w:t>made</w:t>
      </w:r>
      <w:r>
        <w:rPr>
          <w:spacing w:val="-9"/>
          <w:sz w:val="20"/>
        </w:rPr>
        <w:t> </w:t>
      </w:r>
      <w:r>
        <w:rPr>
          <w:sz w:val="20"/>
        </w:rPr>
        <w:t>directly</w:t>
      </w:r>
      <w:r>
        <w:rPr>
          <w:spacing w:val="-12"/>
          <w:sz w:val="20"/>
        </w:rPr>
        <w:t> </w:t>
      </w:r>
      <w:r>
        <w:rPr>
          <w:sz w:val="20"/>
        </w:rPr>
        <w:t>to</w:t>
      </w:r>
      <w:r>
        <w:rPr>
          <w:spacing w:val="-7"/>
          <w:sz w:val="20"/>
        </w:rPr>
        <w:t> </w:t>
      </w:r>
      <w:r>
        <w:rPr>
          <w:sz w:val="20"/>
        </w:rPr>
        <w:t>field</w:t>
      </w:r>
      <w:r>
        <w:rPr>
          <w:spacing w:val="-10"/>
          <w:sz w:val="20"/>
        </w:rPr>
        <w:t> </w:t>
      </w:r>
      <w:r>
        <w:rPr>
          <w:sz w:val="20"/>
        </w:rPr>
        <w:t>computers</w:t>
      </w:r>
      <w:r>
        <w:rPr>
          <w:spacing w:val="-11"/>
          <w:sz w:val="20"/>
        </w:rPr>
        <w:t> </w:t>
      </w:r>
      <w:r>
        <w:rPr>
          <w:sz w:val="20"/>
        </w:rPr>
        <w:t>or</w:t>
      </w:r>
      <w:r>
        <w:rPr>
          <w:spacing w:val="-10"/>
          <w:sz w:val="20"/>
        </w:rPr>
        <w:t> </w:t>
      </w:r>
      <w:r>
        <w:rPr>
          <w:sz w:val="20"/>
        </w:rPr>
        <w:t>different</w:t>
      </w:r>
      <w:r>
        <w:rPr>
          <w:spacing w:val="-11"/>
          <w:sz w:val="20"/>
        </w:rPr>
        <w:t> </w:t>
      </w:r>
      <w:r>
        <w:rPr>
          <w:sz w:val="20"/>
        </w:rPr>
        <w:t>people</w:t>
      </w:r>
      <w:r>
        <w:rPr>
          <w:spacing w:val="-8"/>
          <w:sz w:val="20"/>
        </w:rPr>
        <w:t> </w:t>
      </w:r>
      <w:r>
        <w:rPr>
          <w:spacing w:val="-2"/>
          <w:sz w:val="20"/>
        </w:rPr>
        <w:t>should</w:t>
      </w:r>
      <w:r>
        <w:rPr>
          <w:spacing w:val="-9"/>
          <w:sz w:val="20"/>
        </w:rPr>
        <w:t> </w:t>
      </w:r>
      <w:r>
        <w:rPr>
          <w:sz w:val="20"/>
        </w:rPr>
        <w:t>independently</w:t>
      </w:r>
      <w:r>
        <w:rPr>
          <w:spacing w:val="-12"/>
          <w:sz w:val="20"/>
        </w:rPr>
        <w:t> </w:t>
      </w:r>
      <w:r>
        <w:rPr>
          <w:sz w:val="20"/>
        </w:rPr>
        <w:t>register</w:t>
      </w:r>
      <w:r>
        <w:rPr>
          <w:spacing w:val="-10"/>
          <w:sz w:val="20"/>
        </w:rPr>
        <w:t> </w:t>
      </w:r>
      <w:r>
        <w:rPr>
          <w:sz w:val="20"/>
        </w:rPr>
        <w:t>data</w:t>
      </w:r>
      <w:r>
        <w:rPr>
          <w:spacing w:val="-8"/>
          <w:sz w:val="20"/>
        </w:rPr>
        <w:t> </w:t>
      </w:r>
      <w:r>
        <w:rPr>
          <w:sz w:val="20"/>
        </w:rPr>
        <w:t>from field</w:t>
      </w:r>
      <w:r>
        <w:rPr>
          <w:spacing w:val="-7"/>
          <w:sz w:val="20"/>
        </w:rPr>
        <w:t> </w:t>
      </w:r>
      <w:r>
        <w:rPr>
          <w:sz w:val="20"/>
        </w:rPr>
        <w:t>forms</w:t>
      </w:r>
      <w:r>
        <w:rPr>
          <w:spacing w:val="-7"/>
          <w:sz w:val="20"/>
        </w:rPr>
        <w:t> </w:t>
      </w:r>
      <w:r>
        <w:rPr>
          <w:sz w:val="20"/>
        </w:rPr>
        <w:t>to</w:t>
      </w:r>
      <w:r>
        <w:rPr>
          <w:spacing w:val="-8"/>
          <w:sz w:val="20"/>
        </w:rPr>
        <w:t> </w:t>
      </w:r>
      <w:r>
        <w:rPr>
          <w:sz w:val="20"/>
        </w:rPr>
        <w:t>computer</w:t>
      </w:r>
      <w:r>
        <w:rPr>
          <w:spacing w:val="-4"/>
          <w:sz w:val="20"/>
        </w:rPr>
        <w:t> </w:t>
      </w:r>
      <w:r>
        <w:rPr>
          <w:sz w:val="20"/>
        </w:rPr>
        <w:t>media</w:t>
      </w:r>
      <w:r>
        <w:rPr>
          <w:spacing w:val="-7"/>
          <w:sz w:val="20"/>
        </w:rPr>
        <w:t> </w:t>
      </w:r>
      <w:r>
        <w:rPr>
          <w:sz w:val="20"/>
        </w:rPr>
        <w:t>in</w:t>
      </w:r>
      <w:r>
        <w:rPr>
          <w:spacing w:val="-9"/>
          <w:sz w:val="20"/>
        </w:rPr>
        <w:t> </w:t>
      </w:r>
      <w:r>
        <w:rPr>
          <w:sz w:val="20"/>
        </w:rPr>
        <w:t>order</w:t>
      </w:r>
      <w:r>
        <w:rPr>
          <w:spacing w:val="-8"/>
          <w:sz w:val="20"/>
        </w:rPr>
        <w:t> </w:t>
      </w:r>
      <w:r>
        <w:rPr>
          <w:sz w:val="20"/>
        </w:rPr>
        <w:t>to</w:t>
      </w:r>
      <w:r>
        <w:rPr>
          <w:spacing w:val="-6"/>
          <w:sz w:val="20"/>
        </w:rPr>
        <w:t> </w:t>
      </w:r>
      <w:r>
        <w:rPr>
          <w:sz w:val="20"/>
        </w:rPr>
        <w:t>avoid</w:t>
      </w:r>
      <w:r>
        <w:rPr>
          <w:spacing w:val="-8"/>
          <w:sz w:val="20"/>
        </w:rPr>
        <w:t> </w:t>
      </w:r>
      <w:r>
        <w:rPr>
          <w:sz w:val="20"/>
        </w:rPr>
        <w:t>registration</w:t>
      </w:r>
      <w:r>
        <w:rPr>
          <w:spacing w:val="-7"/>
          <w:sz w:val="20"/>
        </w:rPr>
        <w:t> </w:t>
      </w:r>
      <w:r>
        <w:rPr>
          <w:sz w:val="20"/>
        </w:rPr>
        <w:t>errors.</w:t>
      </w:r>
      <w:r>
        <w:rPr>
          <w:spacing w:val="-8"/>
          <w:sz w:val="20"/>
        </w:rPr>
        <w:t> </w:t>
      </w:r>
      <w:r>
        <w:rPr>
          <w:sz w:val="20"/>
        </w:rPr>
        <w:t>Calculations</w:t>
      </w:r>
      <w:r>
        <w:rPr>
          <w:spacing w:val="-6"/>
          <w:sz w:val="20"/>
        </w:rPr>
        <w:t> </w:t>
      </w:r>
      <w:r>
        <w:rPr>
          <w:sz w:val="20"/>
        </w:rPr>
        <w:t>need</w:t>
      </w:r>
      <w:r>
        <w:rPr>
          <w:spacing w:val="-6"/>
          <w:sz w:val="20"/>
        </w:rPr>
        <w:t> </w:t>
      </w:r>
      <w:r>
        <w:rPr>
          <w:sz w:val="20"/>
        </w:rPr>
        <w:t>to</w:t>
      </w:r>
      <w:r>
        <w:rPr>
          <w:spacing w:val="-8"/>
          <w:sz w:val="20"/>
        </w:rPr>
        <w:t> </w:t>
      </w:r>
      <w:r>
        <w:rPr>
          <w:sz w:val="20"/>
        </w:rPr>
        <w:t>be</w:t>
      </w:r>
      <w:r>
        <w:rPr>
          <w:spacing w:val="-7"/>
          <w:sz w:val="20"/>
        </w:rPr>
        <w:t> </w:t>
      </w:r>
      <w:r>
        <w:rPr>
          <w:sz w:val="20"/>
        </w:rPr>
        <w:t>checked</w:t>
      </w:r>
      <w:r>
        <w:rPr>
          <w:spacing w:val="-8"/>
          <w:sz w:val="20"/>
        </w:rPr>
        <w:t> </w:t>
      </w:r>
      <w:r>
        <w:rPr>
          <w:sz w:val="20"/>
        </w:rPr>
        <w:t>according to</w:t>
      </w:r>
      <w:r>
        <w:rPr>
          <w:spacing w:val="-12"/>
          <w:sz w:val="20"/>
        </w:rPr>
        <w:t> </w:t>
      </w:r>
      <w:r>
        <w:rPr>
          <w:sz w:val="20"/>
        </w:rPr>
        <w:t>the</w:t>
      </w:r>
      <w:r>
        <w:rPr>
          <w:spacing w:val="-12"/>
          <w:sz w:val="20"/>
        </w:rPr>
        <w:t> </w:t>
      </w:r>
      <w:r>
        <w:rPr>
          <w:sz w:val="20"/>
        </w:rPr>
        <w:t>basic</w:t>
      </w:r>
      <w:r>
        <w:rPr>
          <w:spacing w:val="-12"/>
          <w:sz w:val="20"/>
        </w:rPr>
        <w:t> </w:t>
      </w:r>
      <w:r>
        <w:rPr>
          <w:sz w:val="20"/>
        </w:rPr>
        <w:t>principles</w:t>
      </w:r>
      <w:r>
        <w:rPr>
          <w:spacing w:val="-12"/>
          <w:sz w:val="20"/>
        </w:rPr>
        <w:t> </w:t>
      </w:r>
      <w:r>
        <w:rPr>
          <w:sz w:val="20"/>
        </w:rPr>
        <w:t>of</w:t>
      </w:r>
      <w:r>
        <w:rPr>
          <w:spacing w:val="-14"/>
          <w:sz w:val="20"/>
        </w:rPr>
        <w:t> </w:t>
      </w:r>
      <w:r>
        <w:rPr>
          <w:sz w:val="20"/>
        </w:rPr>
        <w:t>Quality</w:t>
      </w:r>
      <w:r>
        <w:rPr>
          <w:spacing w:val="-14"/>
          <w:sz w:val="20"/>
        </w:rPr>
        <w:t> </w:t>
      </w:r>
      <w:r>
        <w:rPr>
          <w:sz w:val="20"/>
        </w:rPr>
        <w:t>Assurance</w:t>
      </w:r>
      <w:r>
        <w:rPr>
          <w:spacing w:val="-12"/>
          <w:sz w:val="20"/>
        </w:rPr>
        <w:t> </w:t>
      </w:r>
      <w:r>
        <w:rPr>
          <w:sz w:val="20"/>
        </w:rPr>
        <w:t>in</w:t>
      </w:r>
      <w:r>
        <w:rPr>
          <w:spacing w:val="-13"/>
          <w:sz w:val="20"/>
        </w:rPr>
        <w:t> </w:t>
      </w:r>
      <w:r>
        <w:rPr>
          <w:sz w:val="20"/>
        </w:rPr>
        <w:t>Section</w:t>
      </w:r>
      <w:r>
        <w:rPr>
          <w:spacing w:val="-14"/>
          <w:sz w:val="20"/>
        </w:rPr>
        <w:t> </w:t>
      </w:r>
      <w:r>
        <w:rPr>
          <w:sz w:val="20"/>
        </w:rPr>
        <w:t>5.5.</w:t>
      </w:r>
      <w:r>
        <w:rPr>
          <w:spacing w:val="-12"/>
          <w:sz w:val="20"/>
        </w:rPr>
        <w:t> </w:t>
      </w:r>
      <w:r>
        <w:rPr>
          <w:sz w:val="20"/>
        </w:rPr>
        <w:t>The</w:t>
      </w:r>
      <w:r>
        <w:rPr>
          <w:spacing w:val="-12"/>
          <w:sz w:val="20"/>
        </w:rPr>
        <w:t> </w:t>
      </w:r>
      <w:r>
        <w:rPr>
          <w:sz w:val="20"/>
        </w:rPr>
        <w:t>effects</w:t>
      </w:r>
      <w:r>
        <w:rPr>
          <w:spacing w:val="-12"/>
          <w:sz w:val="20"/>
        </w:rPr>
        <w:t> </w:t>
      </w:r>
      <w:r>
        <w:rPr>
          <w:sz w:val="20"/>
        </w:rPr>
        <w:t>of</w:t>
      </w:r>
      <w:r>
        <w:rPr>
          <w:spacing w:val="-14"/>
          <w:sz w:val="20"/>
        </w:rPr>
        <w:t> </w:t>
      </w:r>
      <w:r>
        <w:rPr>
          <w:sz w:val="20"/>
        </w:rPr>
        <w:t>registration</w:t>
      </w:r>
      <w:r>
        <w:rPr>
          <w:spacing w:val="-14"/>
          <w:sz w:val="20"/>
        </w:rPr>
        <w:t> </w:t>
      </w:r>
      <w:r>
        <w:rPr>
          <w:sz w:val="20"/>
        </w:rPr>
        <w:t>and</w:t>
      </w:r>
      <w:r>
        <w:rPr>
          <w:spacing w:val="-11"/>
          <w:sz w:val="20"/>
        </w:rPr>
        <w:t> </w:t>
      </w:r>
      <w:r>
        <w:rPr>
          <w:sz w:val="20"/>
        </w:rPr>
        <w:t>calculation</w:t>
      </w:r>
      <w:r>
        <w:rPr>
          <w:spacing w:val="-11"/>
          <w:sz w:val="20"/>
        </w:rPr>
        <w:t> </w:t>
      </w:r>
      <w:r>
        <w:rPr>
          <w:sz w:val="20"/>
        </w:rPr>
        <w:t>errors</w:t>
      </w:r>
      <w:r>
        <w:rPr>
          <w:spacing w:val="-13"/>
          <w:sz w:val="20"/>
        </w:rPr>
        <w:t> </w:t>
      </w:r>
      <w:r>
        <w:rPr>
          <w:sz w:val="20"/>
        </w:rPr>
        <w:t>are difficult to </w:t>
      </w:r>
      <w:r>
        <w:rPr>
          <w:spacing w:val="-3"/>
          <w:sz w:val="20"/>
        </w:rPr>
        <w:t>assess. </w:t>
      </w:r>
      <w:r>
        <w:rPr>
          <w:sz w:val="20"/>
        </w:rPr>
        <w:t>Often they are detected and can be corrected </w:t>
      </w:r>
      <w:r>
        <w:rPr>
          <w:spacing w:val="-2"/>
          <w:sz w:val="20"/>
        </w:rPr>
        <w:t>for </w:t>
      </w:r>
      <w:r>
        <w:rPr>
          <w:sz w:val="20"/>
        </w:rPr>
        <w:t>when they cause major deviations from </w:t>
      </w:r>
      <w:r>
        <w:rPr>
          <w:spacing w:val="-3"/>
          <w:sz w:val="20"/>
        </w:rPr>
        <w:t>plausible</w:t>
      </w:r>
      <w:r>
        <w:rPr>
          <w:spacing w:val="-5"/>
          <w:sz w:val="20"/>
        </w:rPr>
        <w:t> </w:t>
      </w:r>
      <w:r>
        <w:rPr>
          <w:spacing w:val="-3"/>
          <w:sz w:val="20"/>
        </w:rPr>
        <w:t>values.</w:t>
      </w:r>
      <w:r>
        <w:rPr>
          <w:spacing w:val="-6"/>
          <w:sz w:val="20"/>
        </w:rPr>
        <w:t> </w:t>
      </w:r>
      <w:r>
        <w:rPr>
          <w:sz w:val="20"/>
        </w:rPr>
        <w:t>When</w:t>
      </w:r>
      <w:r>
        <w:rPr>
          <w:spacing w:val="-8"/>
          <w:sz w:val="20"/>
        </w:rPr>
        <w:t> </w:t>
      </w:r>
      <w:r>
        <w:rPr>
          <w:sz w:val="20"/>
        </w:rPr>
        <w:t>they</w:t>
      </w:r>
      <w:r>
        <w:rPr>
          <w:spacing w:val="-8"/>
          <w:sz w:val="20"/>
        </w:rPr>
        <w:t> </w:t>
      </w:r>
      <w:r>
        <w:rPr>
          <w:sz w:val="20"/>
        </w:rPr>
        <w:t>only</w:t>
      </w:r>
      <w:r>
        <w:rPr>
          <w:spacing w:val="-11"/>
          <w:sz w:val="20"/>
        </w:rPr>
        <w:t> </w:t>
      </w:r>
      <w:r>
        <w:rPr>
          <w:sz w:val="20"/>
        </w:rPr>
        <w:t>cause</w:t>
      </w:r>
      <w:r>
        <w:rPr>
          <w:spacing w:val="-5"/>
          <w:sz w:val="20"/>
        </w:rPr>
        <w:t> </w:t>
      </w:r>
      <w:r>
        <w:rPr>
          <w:spacing w:val="-3"/>
          <w:sz w:val="20"/>
        </w:rPr>
        <w:t>minor</w:t>
      </w:r>
      <w:r>
        <w:rPr>
          <w:spacing w:val="-6"/>
          <w:sz w:val="20"/>
        </w:rPr>
        <w:t> </w:t>
      </w:r>
      <w:r>
        <w:rPr>
          <w:sz w:val="20"/>
        </w:rPr>
        <w:t>deviations,</w:t>
      </w:r>
      <w:r>
        <w:rPr>
          <w:spacing w:val="-4"/>
          <w:sz w:val="20"/>
        </w:rPr>
        <w:t> </w:t>
      </w:r>
      <w:r>
        <w:rPr>
          <w:sz w:val="20"/>
        </w:rPr>
        <w:t>they</w:t>
      </w:r>
      <w:r>
        <w:rPr>
          <w:spacing w:val="-8"/>
          <w:sz w:val="20"/>
        </w:rPr>
        <w:t> </w:t>
      </w:r>
      <w:r>
        <w:rPr>
          <w:sz w:val="20"/>
        </w:rPr>
        <w:t>are</w:t>
      </w:r>
      <w:r>
        <w:rPr>
          <w:spacing w:val="-7"/>
          <w:sz w:val="20"/>
        </w:rPr>
        <w:t> </w:t>
      </w:r>
      <w:r>
        <w:rPr>
          <w:sz w:val="20"/>
        </w:rPr>
        <w:t>likely</w:t>
      </w:r>
      <w:r>
        <w:rPr>
          <w:spacing w:val="-8"/>
          <w:sz w:val="20"/>
        </w:rPr>
        <w:t> </w:t>
      </w:r>
      <w:r>
        <w:rPr>
          <w:sz w:val="20"/>
        </w:rPr>
        <w:t>to</w:t>
      </w:r>
      <w:r>
        <w:rPr>
          <w:spacing w:val="-6"/>
          <w:sz w:val="20"/>
        </w:rPr>
        <w:t> </w:t>
      </w:r>
      <w:r>
        <w:rPr>
          <w:sz w:val="20"/>
        </w:rPr>
        <w:t>remain</w:t>
      </w:r>
      <w:r>
        <w:rPr>
          <w:spacing w:val="-6"/>
          <w:sz w:val="20"/>
        </w:rPr>
        <w:t> </w:t>
      </w:r>
      <w:r>
        <w:rPr>
          <w:sz w:val="20"/>
        </w:rPr>
        <w:t>undetected.</w:t>
      </w:r>
    </w:p>
    <w:p>
      <w:pPr>
        <w:pStyle w:val="BodyText"/>
        <w:rPr>
          <w:sz w:val="22"/>
        </w:rPr>
      </w:pPr>
    </w:p>
    <w:p>
      <w:pPr>
        <w:pStyle w:val="Heading6"/>
        <w:numPr>
          <w:ilvl w:val="3"/>
          <w:numId w:val="175"/>
        </w:numPr>
        <w:tabs>
          <w:tab w:pos="1619" w:val="left" w:leader="none"/>
          <w:tab w:pos="1620" w:val="left" w:leader="none"/>
        </w:tabs>
        <w:spacing w:line="240" w:lineRule="auto" w:before="143" w:after="0"/>
        <w:ind w:left="1619" w:right="0" w:hanging="1440"/>
        <w:jc w:val="left"/>
      </w:pPr>
      <w:bookmarkStart w:name="_TOC_250035" w:id="20"/>
      <w:r>
        <w:rPr>
          <w:spacing w:val="15"/>
          <w:sz w:val="28"/>
        </w:rPr>
        <w:t>S</w:t>
      </w:r>
      <w:r>
        <w:rPr>
          <w:spacing w:val="15"/>
        </w:rPr>
        <w:t>AMPLE </w:t>
      </w:r>
      <w:r>
        <w:rPr>
          <w:spacing w:val="14"/>
        </w:rPr>
        <w:t>SIZE </w:t>
      </w:r>
      <w:r>
        <w:rPr>
          <w:spacing w:val="12"/>
        </w:rPr>
        <w:t>AND </w:t>
      </w:r>
      <w:r>
        <w:rPr>
          <w:spacing w:val="16"/>
        </w:rPr>
        <w:t>SAMPLING</w:t>
      </w:r>
      <w:r>
        <w:rPr>
          <w:spacing w:val="-21"/>
        </w:rPr>
        <w:t> </w:t>
      </w:r>
      <w:bookmarkEnd w:id="20"/>
      <w:r>
        <w:rPr>
          <w:spacing w:val="15"/>
        </w:rPr>
        <w:t>ERROR</w:t>
      </w:r>
    </w:p>
    <w:p>
      <w:pPr>
        <w:pStyle w:val="BodyText"/>
        <w:spacing w:before="209"/>
        <w:ind w:left="179" w:right="1405"/>
        <w:jc w:val="both"/>
      </w:pPr>
      <w:r>
        <w:rPr/>
        <w:t>The relation between sampling errors, population variance, and sample size is commonly understood; increasing sample size results in higher precision and heterogeneous populations (i.e., those with large within population variation) require larger sample sizes to reach a certain precision. Where area proportions are to be estimated, sampling errors do not only depend on sample size but on the proportion itself. For a given sample size, the sampling error is largest for land- use class proportions </w:t>
      </w:r>
      <w:r>
        <w:rPr>
          <w:i/>
        </w:rPr>
        <w:t>p </w:t>
      </w:r>
      <w:r>
        <w:rPr/>
        <w:t>= 0.5; it decreases for </w:t>
      </w:r>
      <w:r>
        <w:rPr>
          <w:i/>
        </w:rPr>
        <w:t>p </w:t>
      </w:r>
      <w:r>
        <w:rPr/>
        <w:t>approaching 0 or 1.</w:t>
      </w:r>
    </w:p>
    <w:p>
      <w:pPr>
        <w:pStyle w:val="BodyText"/>
        <w:spacing w:before="120"/>
        <w:ind w:left="179" w:right="1404"/>
        <w:jc w:val="both"/>
      </w:pPr>
      <w:r>
        <w:rPr/>
        <w:t>The effect of different land- use class proportions (from </w:t>
      </w:r>
      <w:r>
        <w:rPr>
          <w:i/>
        </w:rPr>
        <w:t>p </w:t>
      </w:r>
      <w:r>
        <w:rPr/>
        <w:t>= 0.1 to </w:t>
      </w:r>
      <w:r>
        <w:rPr>
          <w:i/>
        </w:rPr>
        <w:t>p </w:t>
      </w:r>
      <w:r>
        <w:rPr/>
        <w:t>= 0.9) and sample sizes (from </w:t>
      </w:r>
      <w:r>
        <w:rPr>
          <w:i/>
        </w:rPr>
        <w:t>n </w:t>
      </w:r>
      <w:r>
        <w:rPr/>
        <w:t>= 100 to </w:t>
      </w:r>
      <w:r>
        <w:rPr>
          <w:i/>
        </w:rPr>
        <w:t>n </w:t>
      </w:r>
      <w:r>
        <w:rPr/>
        <w:t>= 1,000) on the sampling error of the area estimate is shown in Figure 5.3.4 for two different area sizes (1,000 ha and 100,000 ha).</w:t>
      </w:r>
    </w:p>
    <w:p>
      <w:pPr>
        <w:pStyle w:val="BodyText"/>
        <w:rPr>
          <w:sz w:val="22"/>
        </w:rPr>
      </w:pPr>
    </w:p>
    <w:p>
      <w:pPr>
        <w:tabs>
          <w:tab w:pos="1880" w:val="left" w:leader="none"/>
        </w:tabs>
        <w:spacing w:before="147"/>
        <w:ind w:left="1880" w:right="2233" w:hanging="1702"/>
        <w:jc w:val="left"/>
        <w:rPr>
          <w:rFonts w:ascii="TimesNewRomanPS-BoldItalicMT"/>
          <w:b/>
          <w:i/>
          <w:sz w:val="20"/>
        </w:rPr>
      </w:pPr>
      <w:r>
        <w:rPr>
          <w:b/>
          <w:spacing w:val="8"/>
          <w:sz w:val="20"/>
        </w:rPr>
        <w:t>Figure</w:t>
      </w:r>
      <w:r>
        <w:rPr>
          <w:b/>
          <w:spacing w:val="19"/>
          <w:sz w:val="20"/>
        </w:rPr>
        <w:t> </w:t>
      </w:r>
      <w:r>
        <w:rPr>
          <w:b/>
          <w:spacing w:val="8"/>
          <w:sz w:val="20"/>
        </w:rPr>
        <w:t>5.3.4</w:t>
        <w:tab/>
      </w:r>
      <w:r>
        <w:rPr>
          <w:b/>
          <w:spacing w:val="9"/>
          <w:sz w:val="20"/>
        </w:rPr>
        <w:t>Relationship </w:t>
      </w:r>
      <w:r>
        <w:rPr>
          <w:b/>
          <w:spacing w:val="8"/>
          <w:sz w:val="20"/>
        </w:rPr>
        <w:t>between </w:t>
      </w:r>
      <w:r>
        <w:rPr>
          <w:b/>
          <w:spacing w:val="7"/>
          <w:sz w:val="20"/>
        </w:rPr>
        <w:t>the </w:t>
      </w:r>
      <w:r>
        <w:rPr>
          <w:b/>
          <w:spacing w:val="8"/>
          <w:sz w:val="20"/>
        </w:rPr>
        <w:t>standard error </w:t>
      </w:r>
      <w:r>
        <w:rPr>
          <w:b/>
          <w:spacing w:val="5"/>
          <w:sz w:val="20"/>
        </w:rPr>
        <w:t>of </w:t>
      </w:r>
      <w:r>
        <w:rPr>
          <w:b/>
          <w:spacing w:val="7"/>
          <w:sz w:val="20"/>
        </w:rPr>
        <w:t>the </w:t>
      </w:r>
      <w:r>
        <w:rPr>
          <w:b/>
          <w:spacing w:val="8"/>
          <w:sz w:val="20"/>
        </w:rPr>
        <w:t>area estimate </w:t>
      </w:r>
      <w:r>
        <w:rPr>
          <w:b/>
          <w:spacing w:val="7"/>
          <w:sz w:val="20"/>
        </w:rPr>
        <w:t>s(A), the </w:t>
      </w:r>
      <w:r>
        <w:rPr>
          <w:b/>
          <w:spacing w:val="9"/>
          <w:sz w:val="20"/>
        </w:rPr>
        <w:t>proportion</w:t>
      </w:r>
      <w:r>
        <w:rPr>
          <w:b/>
          <w:spacing w:val="18"/>
          <w:sz w:val="20"/>
        </w:rPr>
        <w:t> </w:t>
      </w:r>
      <w:r>
        <w:rPr>
          <w:b/>
          <w:spacing w:val="5"/>
          <w:sz w:val="20"/>
        </w:rPr>
        <w:t>of</w:t>
      </w:r>
      <w:r>
        <w:rPr>
          <w:b/>
          <w:spacing w:val="20"/>
          <w:sz w:val="20"/>
        </w:rPr>
        <w:t> </w:t>
      </w:r>
      <w:r>
        <w:rPr>
          <w:b/>
          <w:spacing w:val="6"/>
          <w:sz w:val="20"/>
        </w:rPr>
        <w:t>the</w:t>
      </w:r>
      <w:r>
        <w:rPr>
          <w:b/>
          <w:spacing w:val="20"/>
          <w:sz w:val="20"/>
        </w:rPr>
        <w:t> </w:t>
      </w:r>
      <w:r>
        <w:rPr>
          <w:b/>
          <w:spacing w:val="8"/>
          <w:sz w:val="20"/>
        </w:rPr>
        <w:t>land-</w:t>
      </w:r>
      <w:r>
        <w:rPr>
          <w:b/>
          <w:spacing w:val="-28"/>
          <w:sz w:val="20"/>
        </w:rPr>
        <w:t> </w:t>
      </w:r>
      <w:r>
        <w:rPr>
          <w:b/>
          <w:spacing w:val="6"/>
          <w:sz w:val="20"/>
        </w:rPr>
        <w:t>use</w:t>
      </w:r>
      <w:r>
        <w:rPr>
          <w:b/>
          <w:spacing w:val="20"/>
          <w:sz w:val="20"/>
        </w:rPr>
        <w:t> </w:t>
      </w:r>
      <w:r>
        <w:rPr>
          <w:b/>
          <w:spacing w:val="7"/>
          <w:sz w:val="20"/>
        </w:rPr>
        <w:t>class</w:t>
      </w:r>
      <w:r>
        <w:rPr>
          <w:b/>
          <w:spacing w:val="19"/>
          <w:sz w:val="20"/>
        </w:rPr>
        <w:t> </w:t>
      </w:r>
      <w:r>
        <w:rPr>
          <w:rFonts w:ascii="TimesNewRomanPS-BoldItalicMT"/>
          <w:b/>
          <w:i/>
          <w:spacing w:val="5"/>
          <w:sz w:val="20"/>
        </w:rPr>
        <w:t>p</w:t>
      </w:r>
      <w:r>
        <w:rPr>
          <w:b/>
          <w:spacing w:val="5"/>
          <w:sz w:val="20"/>
        </w:rPr>
        <w:t>,</w:t>
      </w:r>
      <w:r>
        <w:rPr>
          <w:b/>
          <w:spacing w:val="19"/>
          <w:sz w:val="20"/>
        </w:rPr>
        <w:t> </w:t>
      </w:r>
      <w:r>
        <w:rPr>
          <w:b/>
          <w:spacing w:val="6"/>
          <w:sz w:val="20"/>
        </w:rPr>
        <w:t>and</w:t>
      </w:r>
      <w:r>
        <w:rPr>
          <w:b/>
          <w:spacing w:val="19"/>
          <w:sz w:val="20"/>
        </w:rPr>
        <w:t> </w:t>
      </w:r>
      <w:r>
        <w:rPr>
          <w:b/>
          <w:spacing w:val="7"/>
          <w:sz w:val="20"/>
        </w:rPr>
        <w:t>the</w:t>
      </w:r>
      <w:r>
        <w:rPr>
          <w:b/>
          <w:spacing w:val="22"/>
          <w:sz w:val="20"/>
        </w:rPr>
        <w:t> </w:t>
      </w:r>
      <w:r>
        <w:rPr>
          <w:b/>
          <w:spacing w:val="7"/>
          <w:sz w:val="20"/>
        </w:rPr>
        <w:t>sample</w:t>
      </w:r>
      <w:r>
        <w:rPr>
          <w:b/>
          <w:spacing w:val="22"/>
          <w:sz w:val="20"/>
        </w:rPr>
        <w:t> </w:t>
      </w:r>
      <w:r>
        <w:rPr>
          <w:b/>
          <w:spacing w:val="6"/>
          <w:sz w:val="20"/>
        </w:rPr>
        <w:t>size</w:t>
      </w:r>
      <w:r>
        <w:rPr>
          <w:b/>
          <w:spacing w:val="21"/>
          <w:sz w:val="20"/>
        </w:rPr>
        <w:t> </w:t>
      </w:r>
      <w:r>
        <w:rPr>
          <w:rFonts w:ascii="TimesNewRomanPS-BoldItalicMT"/>
          <w:b/>
          <w:i/>
          <w:sz w:val="20"/>
        </w:rPr>
        <w:t>n</w:t>
      </w:r>
    </w:p>
    <w:p>
      <w:pPr>
        <w:pStyle w:val="BodyText"/>
        <w:rPr>
          <w:rFonts w:ascii="TimesNewRomanPS-BoldItalicMT"/>
          <w:b/>
          <w:i/>
        </w:rPr>
      </w:pPr>
    </w:p>
    <w:p>
      <w:pPr>
        <w:pStyle w:val="BodyText"/>
        <w:rPr>
          <w:rFonts w:ascii="TimesNewRomanPS-BoldItalicMT"/>
          <w:b/>
          <w:i/>
        </w:rPr>
      </w:pPr>
    </w:p>
    <w:p>
      <w:pPr>
        <w:pStyle w:val="BodyText"/>
        <w:spacing w:before="8"/>
        <w:rPr>
          <w:rFonts w:ascii="TimesNewRomanPS-BoldItalicMT"/>
          <w:b/>
          <w:i/>
          <w:sz w:val="22"/>
        </w:rPr>
      </w:pPr>
    </w:p>
    <w:p>
      <w:pPr>
        <w:spacing w:after="0"/>
        <w:rPr>
          <w:rFonts w:ascii="TimesNewRomanPS-BoldItalicMT"/>
          <w:sz w:val="22"/>
        </w:rPr>
        <w:sectPr>
          <w:pgSz w:w="11900" w:h="16840"/>
          <w:pgMar w:header="230" w:footer="408" w:top="560" w:bottom="600" w:left="1240" w:right="0"/>
        </w:sectPr>
      </w:pPr>
    </w:p>
    <w:p>
      <w:pPr>
        <w:spacing w:before="143"/>
        <w:ind w:left="1326" w:right="0" w:firstLine="0"/>
        <w:jc w:val="left"/>
        <w:rPr>
          <w:rFonts w:ascii="Courier"/>
          <w:b/>
          <w:sz w:val="22"/>
        </w:rPr>
      </w:pPr>
      <w:r>
        <w:rPr/>
        <w:drawing>
          <wp:anchor distT="0" distB="0" distL="0" distR="0" allowOverlap="1" layoutInCell="1" locked="0" behindDoc="1" simplePos="0" relativeHeight="266009159">
            <wp:simplePos x="0" y="0"/>
            <wp:positionH relativeFrom="page">
              <wp:posOffset>4071886</wp:posOffset>
            </wp:positionH>
            <wp:positionV relativeFrom="paragraph">
              <wp:posOffset>265419</wp:posOffset>
            </wp:positionV>
            <wp:extent cx="2228850" cy="1811274"/>
            <wp:effectExtent l="0" t="0" r="0" b="0"/>
            <wp:wrapNone/>
            <wp:docPr id="35" name="image116.png" descr=""/>
            <wp:cNvGraphicFramePr>
              <a:graphicFrameLocks noChangeAspect="1"/>
            </wp:cNvGraphicFramePr>
            <a:graphic>
              <a:graphicData uri="http://schemas.openxmlformats.org/drawingml/2006/picture">
                <pic:pic>
                  <pic:nvPicPr>
                    <pic:cNvPr id="36" name="image116.png"/>
                    <pic:cNvPicPr/>
                  </pic:nvPicPr>
                  <pic:blipFill>
                    <a:blip r:embed="rId421" cstate="print"/>
                    <a:stretch>
                      <a:fillRect/>
                    </a:stretch>
                  </pic:blipFill>
                  <pic:spPr>
                    <a:xfrm>
                      <a:off x="0" y="0"/>
                      <a:ext cx="2228850" cy="1811274"/>
                    </a:xfrm>
                    <a:prstGeom prst="rect">
                      <a:avLst/>
                    </a:prstGeom>
                  </pic:spPr>
                </pic:pic>
              </a:graphicData>
            </a:graphic>
          </wp:anchor>
        </w:drawing>
      </w:r>
      <w:r>
        <w:rPr>
          <w:rFonts w:ascii="Courier"/>
          <w:b/>
          <w:color w:val="3C3C3C"/>
          <w:sz w:val="22"/>
        </w:rPr>
        <w:t>Area </w:t>
      </w:r>
      <w:r>
        <w:rPr>
          <w:rFonts w:ascii="Arial"/>
          <w:b/>
          <w:color w:val="3C3C3C"/>
          <w:sz w:val="21"/>
        </w:rPr>
        <w:t>= </w:t>
      </w:r>
      <w:r>
        <w:rPr>
          <w:rFonts w:ascii="Courier"/>
          <w:b/>
          <w:color w:val="3C3C3C"/>
          <w:sz w:val="22"/>
        </w:rPr>
        <w:t>100000ha</w:t>
      </w:r>
    </w:p>
    <w:p>
      <w:pPr>
        <w:spacing w:before="93"/>
        <w:ind w:left="1326" w:right="0" w:firstLine="0"/>
        <w:jc w:val="left"/>
        <w:rPr>
          <w:rFonts w:ascii="Courier"/>
          <w:b/>
          <w:sz w:val="23"/>
        </w:rPr>
      </w:pPr>
      <w:r>
        <w:rPr/>
        <w:br w:type="column"/>
      </w:r>
      <w:r>
        <w:rPr>
          <w:rFonts w:ascii="Courier"/>
          <w:b/>
          <w:color w:val="3C3C3C"/>
          <w:sz w:val="23"/>
        </w:rPr>
        <w:t>Area </w:t>
      </w:r>
      <w:r>
        <w:rPr>
          <w:rFonts w:ascii="Arial"/>
          <w:b/>
          <w:color w:val="3C3C3C"/>
          <w:sz w:val="22"/>
        </w:rPr>
        <w:t>= </w:t>
      </w:r>
      <w:r>
        <w:rPr>
          <w:rFonts w:ascii="Courier"/>
          <w:b/>
          <w:color w:val="3C3C3C"/>
          <w:sz w:val="23"/>
        </w:rPr>
        <w:t>1000ha</w:t>
      </w:r>
    </w:p>
    <w:p>
      <w:pPr>
        <w:spacing w:after="0"/>
        <w:jc w:val="left"/>
        <w:rPr>
          <w:rFonts w:ascii="Courier"/>
          <w:sz w:val="23"/>
        </w:rPr>
        <w:sectPr>
          <w:type w:val="continuous"/>
          <w:pgSz w:w="11900" w:h="16840"/>
          <w:pgMar w:top="1060" w:bottom="280" w:left="1240" w:right="0"/>
          <w:cols w:num="2" w:equalWidth="0">
            <w:col w:w="3393" w:space="1323"/>
            <w:col w:w="5944"/>
          </w:cols>
        </w:sectPr>
      </w:pPr>
    </w:p>
    <w:p>
      <w:pPr>
        <w:pStyle w:val="BodyText"/>
        <w:rPr>
          <w:rFonts w:ascii="Courier"/>
          <w:b/>
        </w:rPr>
      </w:pPr>
    </w:p>
    <w:p>
      <w:pPr>
        <w:spacing w:after="0"/>
        <w:rPr>
          <w:rFonts w:ascii="Courier"/>
        </w:rPr>
        <w:sectPr>
          <w:type w:val="continuous"/>
          <w:pgSz w:w="11900" w:h="16840"/>
          <w:pgMar w:top="1060" w:bottom="280" w:left="1240" w:right="0"/>
        </w:sectPr>
      </w:pPr>
    </w:p>
    <w:p>
      <w:pPr>
        <w:pStyle w:val="BodyText"/>
        <w:spacing w:before="4"/>
        <w:rPr>
          <w:rFonts w:ascii="Courier"/>
          <w:b/>
          <w:sz w:val="28"/>
        </w:rPr>
      </w:pPr>
    </w:p>
    <w:p>
      <w:pPr>
        <w:spacing w:before="0"/>
        <w:ind w:left="284" w:right="0" w:firstLine="0"/>
        <w:jc w:val="left"/>
        <w:rPr>
          <w:b/>
          <w:sz w:val="20"/>
        </w:rPr>
      </w:pPr>
      <w:r>
        <w:rPr/>
        <w:drawing>
          <wp:anchor distT="0" distB="0" distL="0" distR="0" allowOverlap="1" layoutInCell="1" locked="0" behindDoc="1" simplePos="0" relativeHeight="266009135">
            <wp:simplePos x="0" y="0"/>
            <wp:positionH relativeFrom="page">
              <wp:posOffset>1209814</wp:posOffset>
            </wp:positionH>
            <wp:positionV relativeFrom="paragraph">
              <wp:posOffset>-266239</wp:posOffset>
            </wp:positionV>
            <wp:extent cx="2126742" cy="1716786"/>
            <wp:effectExtent l="0" t="0" r="0" b="0"/>
            <wp:wrapNone/>
            <wp:docPr id="37" name="image117.png" descr=""/>
            <wp:cNvGraphicFramePr>
              <a:graphicFrameLocks noChangeAspect="1"/>
            </wp:cNvGraphicFramePr>
            <a:graphic>
              <a:graphicData uri="http://schemas.openxmlformats.org/drawingml/2006/picture">
                <pic:pic>
                  <pic:nvPicPr>
                    <pic:cNvPr id="38" name="image117.png"/>
                    <pic:cNvPicPr/>
                  </pic:nvPicPr>
                  <pic:blipFill>
                    <a:blip r:embed="rId422" cstate="print"/>
                    <a:stretch>
                      <a:fillRect/>
                    </a:stretch>
                  </pic:blipFill>
                  <pic:spPr>
                    <a:xfrm>
                      <a:off x="0" y="0"/>
                      <a:ext cx="2126742" cy="1716786"/>
                    </a:xfrm>
                    <a:prstGeom prst="rect">
                      <a:avLst/>
                    </a:prstGeom>
                  </pic:spPr>
                </pic:pic>
              </a:graphicData>
            </a:graphic>
          </wp:anchor>
        </w:drawing>
      </w:r>
      <w:r>
        <w:rPr>
          <w:b/>
          <w:sz w:val="20"/>
        </w:rPr>
        <w:t>s(A)</w:t>
      </w:r>
    </w:p>
    <w:p>
      <w:pPr>
        <w:spacing w:before="197"/>
        <w:ind w:left="284" w:right="0" w:firstLine="0"/>
        <w:jc w:val="left"/>
        <w:rPr>
          <w:b/>
          <w:sz w:val="20"/>
        </w:rPr>
      </w:pPr>
      <w:r>
        <w:rPr/>
        <w:br w:type="column"/>
      </w:r>
      <w:r>
        <w:rPr>
          <w:b/>
          <w:sz w:val="20"/>
        </w:rPr>
        <w:t>s(A)</w:t>
      </w:r>
    </w:p>
    <w:p>
      <w:pPr>
        <w:spacing w:after="0"/>
        <w:jc w:val="left"/>
        <w:rPr>
          <w:sz w:val="20"/>
        </w:rPr>
        <w:sectPr>
          <w:type w:val="continuous"/>
          <w:pgSz w:w="11900" w:h="16840"/>
          <w:pgMar w:top="1060" w:bottom="280" w:left="1240" w:right="0"/>
          <w:cols w:num="2" w:equalWidth="0">
            <w:col w:w="679" w:space="3955"/>
            <w:col w:w="6026"/>
          </w:cols>
        </w:sectPr>
      </w:pPr>
    </w:p>
    <w:p>
      <w:pPr>
        <w:pStyle w:val="BodyText"/>
        <w:spacing w:before="9"/>
        <w:rPr>
          <w:b/>
          <w:sz w:val="12"/>
        </w:rPr>
      </w:pPr>
    </w:p>
    <w:p>
      <w:pPr>
        <w:spacing w:after="0"/>
        <w:rPr>
          <w:sz w:val="12"/>
        </w:rPr>
        <w:sectPr>
          <w:type w:val="continuous"/>
          <w:pgSz w:w="11900" w:h="16840"/>
          <w:pgMar w:top="1060" w:bottom="280" w:left="1240" w:right="0"/>
        </w:sectPr>
      </w:pPr>
    </w:p>
    <w:p>
      <w:pPr>
        <w:spacing w:before="112"/>
        <w:ind w:left="172" w:right="0" w:firstLine="0"/>
        <w:jc w:val="left"/>
        <w:rPr>
          <w:rFonts w:ascii="Courier"/>
          <w:b/>
          <w:sz w:val="21"/>
        </w:rPr>
      </w:pPr>
      <w:r>
        <w:rPr>
          <w:rFonts w:ascii="Courier"/>
          <w:b/>
          <w:sz w:val="21"/>
        </w:rPr>
        <w:t>6000</w:t>
      </w:r>
    </w:p>
    <w:p>
      <w:pPr>
        <w:spacing w:before="59"/>
        <w:ind w:left="200" w:right="0" w:firstLine="0"/>
        <w:jc w:val="left"/>
        <w:rPr>
          <w:rFonts w:ascii="Courier"/>
          <w:b/>
          <w:sz w:val="21"/>
        </w:rPr>
      </w:pPr>
      <w:r>
        <w:rPr>
          <w:rFonts w:ascii="Courier"/>
          <w:b/>
          <w:spacing w:val="-17"/>
          <w:sz w:val="21"/>
        </w:rPr>
        <w:t>4000</w:t>
      </w:r>
    </w:p>
    <w:p>
      <w:pPr>
        <w:spacing w:before="47"/>
        <w:ind w:left="246" w:right="0" w:firstLine="0"/>
        <w:jc w:val="left"/>
        <w:rPr>
          <w:rFonts w:ascii="Courier"/>
          <w:b/>
          <w:sz w:val="21"/>
        </w:rPr>
      </w:pPr>
      <w:r>
        <w:rPr>
          <w:rFonts w:ascii="Courier"/>
          <w:b/>
          <w:spacing w:val="-23"/>
          <w:sz w:val="21"/>
        </w:rPr>
        <w:t>2000</w:t>
      </w:r>
    </w:p>
    <w:p>
      <w:pPr>
        <w:spacing w:before="44"/>
        <w:ind w:left="0" w:right="190" w:firstLine="0"/>
        <w:jc w:val="center"/>
        <w:rPr>
          <w:rFonts w:ascii="Courier"/>
          <w:b/>
          <w:sz w:val="21"/>
        </w:rPr>
      </w:pPr>
      <w:r>
        <w:rPr>
          <w:rFonts w:ascii="Courier"/>
          <w:b/>
          <w:w w:val="100"/>
          <w:sz w:val="21"/>
        </w:rPr>
        <w:t>0</w:t>
      </w:r>
    </w:p>
    <w:p>
      <w:pPr>
        <w:spacing w:line="202" w:lineRule="exact" w:before="90"/>
        <w:ind w:left="495" w:right="388" w:firstLine="0"/>
        <w:jc w:val="center"/>
        <w:rPr>
          <w:rFonts w:ascii="Courier"/>
          <w:b/>
          <w:sz w:val="21"/>
        </w:rPr>
      </w:pPr>
      <w:r>
        <w:rPr>
          <w:rFonts w:ascii="Courier"/>
          <w:b/>
          <w:sz w:val="21"/>
        </w:rPr>
        <w:t>0.2</w:t>
      </w:r>
    </w:p>
    <w:p>
      <w:pPr>
        <w:spacing w:line="202" w:lineRule="exact" w:before="0"/>
        <w:ind w:left="0" w:right="38" w:firstLine="0"/>
        <w:jc w:val="right"/>
        <w:rPr>
          <w:rFonts w:ascii="Courier"/>
          <w:b/>
          <w:sz w:val="21"/>
        </w:rPr>
      </w:pPr>
      <w:r>
        <w:rPr>
          <w:rFonts w:ascii="Courier"/>
          <w:b/>
          <w:sz w:val="21"/>
        </w:rPr>
        <w:t>0.4</w:t>
      </w:r>
    </w:p>
    <w:p>
      <w:pPr>
        <w:spacing w:before="104"/>
        <w:ind w:left="961" w:right="0" w:firstLine="0"/>
        <w:jc w:val="left"/>
        <w:rPr>
          <w:rFonts w:ascii="TimesNewRomanPS-BoldItalicMT"/>
          <w:b/>
          <w:i/>
          <w:sz w:val="18"/>
        </w:rPr>
      </w:pPr>
      <w:r>
        <w:rPr>
          <w:rFonts w:ascii="TimesNewRomanPS-BoldItalicMT"/>
          <w:b/>
          <w:i/>
          <w:sz w:val="18"/>
        </w:rPr>
        <w:t>p</w:t>
      </w:r>
    </w:p>
    <w:p>
      <w:pPr>
        <w:pStyle w:val="BodyText"/>
        <w:rPr>
          <w:rFonts w:ascii="TimesNewRomanPS-BoldItalicMT"/>
          <w:b/>
          <w:i/>
          <w:sz w:val="22"/>
        </w:rPr>
      </w:pPr>
      <w:r>
        <w:rPr/>
        <w:br w:type="column"/>
      </w:r>
      <w:r>
        <w:rPr>
          <w:rFonts w:ascii="TimesNewRomanPS-BoldItalicMT"/>
          <w:b/>
          <w:i/>
          <w:sz w:val="22"/>
        </w:rPr>
      </w:r>
    </w:p>
    <w:p>
      <w:pPr>
        <w:pStyle w:val="BodyText"/>
        <w:rPr>
          <w:rFonts w:ascii="TimesNewRomanPS-BoldItalicMT"/>
          <w:b/>
          <w:i/>
          <w:sz w:val="22"/>
        </w:rPr>
      </w:pPr>
    </w:p>
    <w:p>
      <w:pPr>
        <w:pStyle w:val="BodyText"/>
        <w:rPr>
          <w:rFonts w:ascii="TimesNewRomanPS-BoldItalicMT"/>
          <w:b/>
          <w:i/>
          <w:sz w:val="22"/>
        </w:rPr>
      </w:pPr>
    </w:p>
    <w:p>
      <w:pPr>
        <w:pStyle w:val="BodyText"/>
        <w:rPr>
          <w:rFonts w:ascii="TimesNewRomanPS-BoldItalicMT"/>
          <w:b/>
          <w:i/>
          <w:sz w:val="22"/>
        </w:rPr>
      </w:pPr>
    </w:p>
    <w:p>
      <w:pPr>
        <w:pStyle w:val="BodyText"/>
        <w:rPr>
          <w:rFonts w:ascii="TimesNewRomanPS-BoldItalicMT"/>
          <w:b/>
          <w:i/>
          <w:sz w:val="22"/>
        </w:rPr>
      </w:pPr>
    </w:p>
    <w:p>
      <w:pPr>
        <w:pStyle w:val="BodyText"/>
        <w:spacing w:before="2"/>
        <w:rPr>
          <w:rFonts w:ascii="TimesNewRomanPS-BoldItalicMT"/>
          <w:b/>
          <w:i/>
          <w:sz w:val="30"/>
        </w:rPr>
      </w:pPr>
    </w:p>
    <w:p>
      <w:pPr>
        <w:spacing w:before="0"/>
        <w:ind w:left="172" w:right="0" w:firstLine="0"/>
        <w:jc w:val="left"/>
        <w:rPr>
          <w:rFonts w:ascii="Courier"/>
          <w:b/>
          <w:sz w:val="21"/>
        </w:rPr>
      </w:pPr>
      <w:r>
        <w:rPr>
          <w:rFonts w:ascii="Courier"/>
          <w:b/>
          <w:spacing w:val="-22"/>
          <w:sz w:val="21"/>
        </w:rPr>
        <w:t>0.6</w:t>
      </w:r>
    </w:p>
    <w:p>
      <w:pPr>
        <w:pStyle w:val="BodyText"/>
        <w:rPr>
          <w:rFonts w:ascii="Courier"/>
          <w:b/>
          <w:sz w:val="22"/>
        </w:rPr>
      </w:pPr>
      <w:r>
        <w:rPr/>
        <w:br w:type="column"/>
      </w:r>
      <w:r>
        <w:rPr>
          <w:rFonts w:ascii="Courier"/>
          <w:b/>
          <w:sz w:val="22"/>
        </w:rPr>
      </w: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spacing w:before="7"/>
        <w:rPr>
          <w:rFonts w:ascii="Courier"/>
          <w:b/>
          <w:sz w:val="29"/>
        </w:rPr>
      </w:pPr>
    </w:p>
    <w:p>
      <w:pPr>
        <w:spacing w:before="1"/>
        <w:ind w:left="172" w:right="0" w:firstLine="0"/>
        <w:jc w:val="left"/>
        <w:rPr>
          <w:rFonts w:ascii="Courier"/>
          <w:b/>
          <w:sz w:val="21"/>
        </w:rPr>
      </w:pPr>
      <w:r>
        <w:rPr>
          <w:rFonts w:ascii="Courier"/>
          <w:b/>
          <w:spacing w:val="-22"/>
          <w:sz w:val="21"/>
        </w:rPr>
        <w:t>0.8</w:t>
      </w:r>
    </w:p>
    <w:p>
      <w:pPr>
        <w:pStyle w:val="BodyText"/>
        <w:rPr>
          <w:rFonts w:ascii="Courier"/>
          <w:b/>
          <w:sz w:val="22"/>
        </w:rPr>
      </w:pPr>
      <w:r>
        <w:rPr/>
        <w:br w:type="column"/>
      </w:r>
      <w:r>
        <w:rPr>
          <w:rFonts w:ascii="Courier"/>
          <w:b/>
          <w:sz w:val="22"/>
        </w:rPr>
      </w:r>
    </w:p>
    <w:p>
      <w:pPr>
        <w:spacing w:before="192"/>
        <w:ind w:left="0" w:right="38" w:firstLine="0"/>
        <w:jc w:val="right"/>
        <w:rPr>
          <w:rFonts w:ascii="Courier"/>
          <w:b/>
          <w:sz w:val="21"/>
        </w:rPr>
      </w:pPr>
      <w:r>
        <w:rPr>
          <w:rFonts w:ascii="Courier"/>
          <w:b/>
          <w:sz w:val="21"/>
        </w:rPr>
        <w:t>1000</w:t>
      </w:r>
    </w:p>
    <w:p>
      <w:pPr>
        <w:spacing w:before="104"/>
        <w:ind w:left="678" w:right="126" w:firstLine="0"/>
        <w:jc w:val="center"/>
        <w:rPr>
          <w:rFonts w:ascii="Courier"/>
          <w:b/>
          <w:sz w:val="21"/>
        </w:rPr>
      </w:pPr>
      <w:r>
        <w:rPr>
          <w:rFonts w:ascii="Courier"/>
          <w:b/>
          <w:spacing w:val="-22"/>
          <w:sz w:val="21"/>
        </w:rPr>
        <w:t>750</w:t>
      </w:r>
    </w:p>
    <w:p>
      <w:pPr>
        <w:spacing w:before="122"/>
        <w:ind w:left="678" w:right="236" w:firstLine="0"/>
        <w:jc w:val="center"/>
        <w:rPr>
          <w:rFonts w:ascii="TimesNewRomanPS-BoldItalicMT"/>
          <w:b/>
          <w:i/>
          <w:sz w:val="20"/>
        </w:rPr>
      </w:pPr>
      <w:r>
        <w:rPr>
          <w:rFonts w:ascii="Courier"/>
          <w:b/>
          <w:spacing w:val="-16"/>
          <w:sz w:val="21"/>
        </w:rPr>
        <w:t>500</w:t>
      </w:r>
      <w:r>
        <w:rPr>
          <w:rFonts w:ascii="Courier"/>
          <w:b/>
          <w:spacing w:val="55"/>
          <w:sz w:val="21"/>
        </w:rPr>
        <w:t> </w:t>
      </w:r>
      <w:r>
        <w:rPr>
          <w:rFonts w:ascii="TimesNewRomanPS-BoldItalicMT"/>
          <w:b/>
          <w:i/>
          <w:position w:val="-12"/>
          <w:sz w:val="20"/>
        </w:rPr>
        <w:t>n</w:t>
      </w:r>
    </w:p>
    <w:p>
      <w:pPr>
        <w:spacing w:before="42"/>
        <w:ind w:left="440" w:right="0" w:firstLine="0"/>
        <w:jc w:val="left"/>
        <w:rPr>
          <w:rFonts w:ascii="Courier"/>
          <w:b/>
          <w:sz w:val="21"/>
        </w:rPr>
      </w:pPr>
      <w:r>
        <w:rPr>
          <w:rFonts w:ascii="Courier"/>
          <w:b/>
          <w:sz w:val="21"/>
        </w:rPr>
        <w:t>250</w:t>
      </w:r>
    </w:p>
    <w:p>
      <w:pPr>
        <w:pStyle w:val="BodyText"/>
        <w:spacing w:before="5"/>
        <w:rPr>
          <w:rFonts w:ascii="Courier"/>
          <w:b/>
          <w:sz w:val="22"/>
        </w:rPr>
      </w:pPr>
    </w:p>
    <w:p>
      <w:pPr>
        <w:spacing w:before="0"/>
        <w:ind w:left="172" w:right="0" w:firstLine="0"/>
        <w:jc w:val="left"/>
        <w:rPr>
          <w:rFonts w:ascii="Courier"/>
          <w:b/>
          <w:sz w:val="21"/>
        </w:rPr>
      </w:pPr>
      <w:r>
        <w:rPr>
          <w:rFonts w:ascii="Courier"/>
          <w:b/>
          <w:w w:val="100"/>
          <w:sz w:val="21"/>
        </w:rPr>
        <w:t>0</w:t>
      </w:r>
    </w:p>
    <w:p>
      <w:pPr>
        <w:spacing w:line="197" w:lineRule="exact" w:before="124"/>
        <w:ind w:left="26" w:right="340" w:firstLine="0"/>
        <w:jc w:val="center"/>
        <w:rPr>
          <w:rFonts w:ascii="Courier"/>
          <w:b/>
          <w:sz w:val="21"/>
        </w:rPr>
      </w:pPr>
      <w:r>
        <w:rPr/>
        <w:br w:type="column"/>
      </w:r>
      <w:r>
        <w:rPr>
          <w:rFonts w:ascii="Courier"/>
          <w:b/>
          <w:spacing w:val="-16"/>
          <w:w w:val="105"/>
          <w:sz w:val="21"/>
        </w:rPr>
        <w:t>100</w:t>
      </w:r>
    </w:p>
    <w:p>
      <w:pPr>
        <w:pStyle w:val="Heading9"/>
        <w:spacing w:line="176" w:lineRule="exact"/>
        <w:ind w:left="41" w:right="213"/>
        <w:jc w:val="center"/>
        <w:rPr>
          <w:rFonts w:ascii="Courier"/>
        </w:rPr>
      </w:pPr>
      <w:r>
        <w:rPr>
          <w:rFonts w:ascii="Courier"/>
          <w:spacing w:val="-25"/>
          <w:w w:val="105"/>
        </w:rPr>
        <w:t>80</w:t>
      </w:r>
    </w:p>
    <w:p>
      <w:pPr>
        <w:spacing w:line="161" w:lineRule="exact" w:before="0"/>
        <w:ind w:left="41" w:right="180" w:firstLine="0"/>
        <w:jc w:val="center"/>
        <w:rPr>
          <w:rFonts w:ascii="Courier"/>
          <w:b/>
          <w:sz w:val="21"/>
        </w:rPr>
      </w:pPr>
      <w:r>
        <w:rPr>
          <w:rFonts w:ascii="Courier"/>
          <w:b/>
          <w:spacing w:val="-22"/>
          <w:w w:val="105"/>
          <w:sz w:val="21"/>
        </w:rPr>
        <w:t>60</w:t>
      </w:r>
    </w:p>
    <w:p>
      <w:pPr>
        <w:spacing w:line="161" w:lineRule="exact" w:before="0"/>
        <w:ind w:left="41" w:right="117" w:firstLine="0"/>
        <w:jc w:val="center"/>
        <w:rPr>
          <w:rFonts w:ascii="Courier"/>
          <w:b/>
          <w:sz w:val="21"/>
        </w:rPr>
      </w:pPr>
      <w:r>
        <w:rPr>
          <w:rFonts w:ascii="Courier"/>
          <w:b/>
          <w:spacing w:val="-22"/>
          <w:w w:val="105"/>
          <w:sz w:val="21"/>
        </w:rPr>
        <w:t>40</w:t>
      </w:r>
    </w:p>
    <w:p>
      <w:pPr>
        <w:spacing w:line="161" w:lineRule="exact" w:before="0"/>
        <w:ind w:left="41" w:right="60" w:firstLine="0"/>
        <w:jc w:val="center"/>
        <w:rPr>
          <w:rFonts w:ascii="Courier"/>
          <w:b/>
          <w:sz w:val="21"/>
        </w:rPr>
      </w:pPr>
      <w:r>
        <w:rPr>
          <w:rFonts w:ascii="Courier"/>
          <w:b/>
          <w:spacing w:val="-25"/>
          <w:w w:val="105"/>
          <w:sz w:val="21"/>
        </w:rPr>
        <w:t>20</w:t>
      </w:r>
    </w:p>
    <w:p>
      <w:pPr>
        <w:spacing w:line="182" w:lineRule="exact" w:before="0"/>
        <w:ind w:left="142" w:right="0" w:firstLine="0"/>
        <w:jc w:val="center"/>
        <w:rPr>
          <w:rFonts w:ascii="Courier"/>
          <w:b/>
          <w:sz w:val="21"/>
        </w:rPr>
      </w:pPr>
      <w:r>
        <w:rPr>
          <w:rFonts w:ascii="Courier"/>
          <w:b/>
          <w:w w:val="102"/>
          <w:sz w:val="21"/>
        </w:rPr>
        <w:t>0</w:t>
      </w:r>
    </w:p>
    <w:p>
      <w:pPr>
        <w:spacing w:before="95"/>
        <w:ind w:left="0" w:right="90" w:firstLine="0"/>
        <w:jc w:val="right"/>
        <w:rPr>
          <w:rFonts w:ascii="Courier"/>
          <w:b/>
          <w:sz w:val="21"/>
        </w:rPr>
      </w:pPr>
      <w:r>
        <w:rPr>
          <w:rFonts w:ascii="Courier"/>
          <w:b/>
          <w:sz w:val="21"/>
        </w:rPr>
        <w:t>0.2</w:t>
      </w:r>
    </w:p>
    <w:p>
      <w:pPr>
        <w:pStyle w:val="BodyText"/>
        <w:spacing w:before="1"/>
        <w:rPr>
          <w:rFonts w:ascii="Courier"/>
          <w:b/>
          <w:sz w:val="23"/>
        </w:rPr>
      </w:pPr>
    </w:p>
    <w:p>
      <w:pPr>
        <w:spacing w:before="0"/>
        <w:ind w:left="0" w:right="0" w:firstLine="0"/>
        <w:jc w:val="right"/>
        <w:rPr>
          <w:rFonts w:ascii="TimesNewRomanPS-BoldItalicMT"/>
          <w:b/>
          <w:i/>
          <w:sz w:val="18"/>
        </w:rPr>
      </w:pPr>
      <w:r>
        <w:rPr>
          <w:rFonts w:ascii="TimesNewRomanPS-BoldItalicMT"/>
          <w:b/>
          <w:i/>
          <w:sz w:val="18"/>
        </w:rPr>
        <w:t>p</w:t>
      </w:r>
    </w:p>
    <w:p>
      <w:pPr>
        <w:pStyle w:val="BodyText"/>
        <w:rPr>
          <w:rFonts w:ascii="TimesNewRomanPS-BoldItalicMT"/>
          <w:b/>
          <w:i/>
          <w:sz w:val="22"/>
        </w:rPr>
      </w:pPr>
      <w:r>
        <w:rPr/>
        <w:br w:type="column"/>
      </w:r>
      <w:r>
        <w:rPr>
          <w:rFonts w:ascii="TimesNewRomanPS-BoldItalicMT"/>
          <w:b/>
          <w:i/>
          <w:sz w:val="22"/>
        </w:rPr>
      </w:r>
    </w:p>
    <w:p>
      <w:pPr>
        <w:pStyle w:val="BodyText"/>
        <w:rPr>
          <w:rFonts w:ascii="TimesNewRomanPS-BoldItalicMT"/>
          <w:b/>
          <w:i/>
          <w:sz w:val="22"/>
        </w:rPr>
      </w:pPr>
    </w:p>
    <w:p>
      <w:pPr>
        <w:pStyle w:val="BodyText"/>
        <w:rPr>
          <w:rFonts w:ascii="TimesNewRomanPS-BoldItalicMT"/>
          <w:b/>
          <w:i/>
          <w:sz w:val="22"/>
        </w:rPr>
      </w:pPr>
    </w:p>
    <w:p>
      <w:pPr>
        <w:pStyle w:val="BodyText"/>
        <w:rPr>
          <w:rFonts w:ascii="TimesNewRomanPS-BoldItalicMT"/>
          <w:b/>
          <w:i/>
          <w:sz w:val="22"/>
        </w:rPr>
      </w:pPr>
    </w:p>
    <w:p>
      <w:pPr>
        <w:pStyle w:val="BodyText"/>
        <w:rPr>
          <w:rFonts w:ascii="TimesNewRomanPS-BoldItalicMT"/>
          <w:b/>
          <w:i/>
          <w:sz w:val="22"/>
        </w:rPr>
      </w:pPr>
    </w:p>
    <w:p>
      <w:pPr>
        <w:pStyle w:val="BodyText"/>
        <w:spacing w:before="1"/>
        <w:rPr>
          <w:rFonts w:ascii="TimesNewRomanPS-BoldItalicMT"/>
          <w:b/>
          <w:i/>
          <w:sz w:val="18"/>
        </w:rPr>
      </w:pPr>
    </w:p>
    <w:p>
      <w:pPr>
        <w:pStyle w:val="Heading9"/>
        <w:ind w:left="73"/>
        <w:rPr>
          <w:rFonts w:ascii="Courier"/>
        </w:rPr>
      </w:pPr>
      <w:r>
        <w:rPr>
          <w:rFonts w:ascii="Courier"/>
          <w:spacing w:val="-16"/>
        </w:rPr>
        <w:t>0.4</w:t>
      </w:r>
    </w:p>
    <w:p>
      <w:pPr>
        <w:pStyle w:val="BodyText"/>
        <w:rPr>
          <w:rFonts w:ascii="Courier"/>
          <w:b/>
          <w:sz w:val="22"/>
        </w:rPr>
      </w:pPr>
      <w:r>
        <w:rPr/>
        <w:br w:type="column"/>
      </w:r>
      <w:r>
        <w:rPr>
          <w:rFonts w:ascii="Courier"/>
          <w:b/>
          <w:sz w:val="22"/>
        </w:rPr>
      </w: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spacing w:before="161"/>
        <w:ind w:left="172" w:right="0" w:firstLine="0"/>
        <w:jc w:val="left"/>
        <w:rPr>
          <w:rFonts w:ascii="Courier"/>
          <w:b/>
          <w:sz w:val="21"/>
        </w:rPr>
      </w:pPr>
      <w:r>
        <w:rPr>
          <w:rFonts w:ascii="Courier"/>
          <w:b/>
          <w:spacing w:val="-25"/>
          <w:w w:val="105"/>
          <w:sz w:val="21"/>
        </w:rPr>
        <w:t>0.6</w:t>
      </w:r>
    </w:p>
    <w:p>
      <w:pPr>
        <w:pStyle w:val="BodyText"/>
        <w:rPr>
          <w:rFonts w:ascii="Courier"/>
          <w:b/>
          <w:sz w:val="22"/>
        </w:rPr>
      </w:pPr>
      <w:r>
        <w:rPr/>
        <w:br w:type="column"/>
      </w:r>
      <w:r>
        <w:rPr>
          <w:rFonts w:ascii="Courier"/>
          <w:b/>
          <w:sz w:val="22"/>
        </w:rPr>
      </w: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pStyle w:val="BodyText"/>
        <w:rPr>
          <w:rFonts w:ascii="Courier"/>
          <w:b/>
          <w:sz w:val="22"/>
        </w:rPr>
      </w:pPr>
    </w:p>
    <w:p>
      <w:pPr>
        <w:spacing w:before="186"/>
        <w:ind w:left="172" w:right="0" w:firstLine="0"/>
        <w:jc w:val="left"/>
        <w:rPr>
          <w:rFonts w:ascii="Courier"/>
          <w:b/>
          <w:sz w:val="21"/>
        </w:rPr>
      </w:pPr>
      <w:r>
        <w:rPr>
          <w:rFonts w:ascii="Courier"/>
          <w:b/>
          <w:spacing w:val="-16"/>
          <w:w w:val="105"/>
          <w:sz w:val="21"/>
        </w:rPr>
        <w:t>0.8</w:t>
      </w:r>
    </w:p>
    <w:p>
      <w:pPr>
        <w:pStyle w:val="BodyText"/>
        <w:rPr>
          <w:rFonts w:ascii="Courier"/>
          <w:b/>
          <w:sz w:val="22"/>
        </w:rPr>
      </w:pPr>
      <w:r>
        <w:rPr/>
        <w:br w:type="column"/>
      </w:r>
      <w:r>
        <w:rPr>
          <w:rFonts w:ascii="Courier"/>
          <w:b/>
          <w:sz w:val="22"/>
        </w:rPr>
      </w:r>
    </w:p>
    <w:p>
      <w:pPr>
        <w:pStyle w:val="BodyText"/>
        <w:spacing w:before="5"/>
        <w:rPr>
          <w:rFonts w:ascii="Courier"/>
          <w:b/>
          <w:sz w:val="22"/>
        </w:rPr>
      </w:pPr>
    </w:p>
    <w:p>
      <w:pPr>
        <w:spacing w:before="1"/>
        <w:ind w:left="1092" w:right="1510" w:firstLine="0"/>
        <w:jc w:val="center"/>
        <w:rPr>
          <w:rFonts w:ascii="Courier"/>
          <w:b/>
          <w:sz w:val="21"/>
        </w:rPr>
      </w:pPr>
      <w:r>
        <w:rPr>
          <w:rFonts w:ascii="Courier"/>
          <w:b/>
          <w:w w:val="105"/>
          <w:sz w:val="21"/>
        </w:rPr>
        <w:t>1000</w:t>
      </w:r>
    </w:p>
    <w:p>
      <w:pPr>
        <w:spacing w:before="111"/>
        <w:ind w:left="949" w:right="0" w:firstLine="0"/>
        <w:jc w:val="left"/>
        <w:rPr>
          <w:rFonts w:ascii="Courier"/>
          <w:b/>
          <w:sz w:val="21"/>
        </w:rPr>
      </w:pPr>
      <w:r>
        <w:rPr>
          <w:rFonts w:ascii="Courier"/>
          <w:b/>
          <w:w w:val="105"/>
          <w:sz w:val="21"/>
        </w:rPr>
        <w:t>750</w:t>
      </w:r>
    </w:p>
    <w:p>
      <w:pPr>
        <w:spacing w:line="206" w:lineRule="exact" w:before="157"/>
        <w:ind w:left="719" w:right="0" w:firstLine="0"/>
        <w:jc w:val="left"/>
        <w:rPr>
          <w:rFonts w:ascii="Courier"/>
          <w:b/>
          <w:sz w:val="21"/>
        </w:rPr>
      </w:pPr>
      <w:r>
        <w:rPr>
          <w:rFonts w:ascii="Courier"/>
          <w:b/>
          <w:w w:val="105"/>
          <w:sz w:val="21"/>
        </w:rPr>
        <w:t>500</w:t>
      </w:r>
    </w:p>
    <w:p>
      <w:pPr>
        <w:spacing w:line="209" w:lineRule="exact" w:before="0"/>
        <w:ind w:left="0" w:right="516" w:firstLine="0"/>
        <w:jc w:val="center"/>
        <w:rPr>
          <w:rFonts w:ascii="TimesNewRomanPS-BoldItalicMT"/>
          <w:b/>
          <w:i/>
          <w:sz w:val="20"/>
        </w:rPr>
      </w:pPr>
      <w:r>
        <w:rPr>
          <w:rFonts w:ascii="TimesNewRomanPS-BoldItalicMT"/>
          <w:b/>
          <w:i/>
          <w:w w:val="99"/>
          <w:sz w:val="20"/>
        </w:rPr>
        <w:t>n</w:t>
      </w:r>
    </w:p>
    <w:p>
      <w:pPr>
        <w:spacing w:line="193" w:lineRule="exact" w:before="0"/>
        <w:ind w:left="460" w:right="0" w:firstLine="0"/>
        <w:jc w:val="left"/>
        <w:rPr>
          <w:rFonts w:ascii="Courier"/>
          <w:b/>
          <w:sz w:val="21"/>
        </w:rPr>
      </w:pPr>
      <w:r>
        <w:rPr>
          <w:rFonts w:ascii="Courier"/>
          <w:b/>
          <w:w w:val="105"/>
          <w:sz w:val="21"/>
        </w:rPr>
        <w:t>250</w:t>
      </w:r>
    </w:p>
    <w:p>
      <w:pPr>
        <w:pStyle w:val="BodyText"/>
        <w:spacing w:before="4"/>
        <w:rPr>
          <w:rFonts w:ascii="Courier"/>
          <w:b/>
          <w:sz w:val="23"/>
        </w:rPr>
      </w:pPr>
    </w:p>
    <w:p>
      <w:pPr>
        <w:spacing w:before="0"/>
        <w:ind w:left="172" w:right="0" w:firstLine="0"/>
        <w:jc w:val="left"/>
        <w:rPr>
          <w:rFonts w:ascii="Courier"/>
          <w:b/>
          <w:sz w:val="21"/>
        </w:rPr>
      </w:pPr>
      <w:r>
        <w:rPr>
          <w:rFonts w:ascii="Courier"/>
          <w:b/>
          <w:w w:val="102"/>
          <w:sz w:val="21"/>
        </w:rPr>
        <w:t>0</w:t>
      </w:r>
    </w:p>
    <w:p>
      <w:pPr>
        <w:spacing w:after="0"/>
        <w:jc w:val="left"/>
        <w:rPr>
          <w:rFonts w:ascii="Courier"/>
          <w:sz w:val="21"/>
        </w:rPr>
        <w:sectPr>
          <w:type w:val="continuous"/>
          <w:pgSz w:w="11900" w:h="16840"/>
          <w:pgMar w:top="1060" w:bottom="280" w:left="1240" w:right="0"/>
          <w:cols w:num="9" w:equalWidth="0">
            <w:col w:w="1532" w:space="42"/>
            <w:col w:w="529" w:space="71"/>
            <w:col w:w="529" w:space="162"/>
            <w:col w:w="1578" w:space="163"/>
            <w:col w:w="1004" w:space="39"/>
            <w:col w:w="418" w:space="80"/>
            <w:col w:w="529" w:space="94"/>
            <w:col w:w="556" w:space="162"/>
            <w:col w:w="3172"/>
          </w:cols>
        </w:sectPr>
      </w:pPr>
    </w:p>
    <w:p>
      <w:pPr>
        <w:pStyle w:val="BodyText"/>
        <w:rPr>
          <w:rFonts w:ascii="Courier"/>
          <w:b/>
        </w:rPr>
      </w:pPr>
    </w:p>
    <w:p>
      <w:pPr>
        <w:pStyle w:val="BodyText"/>
        <w:spacing w:before="1"/>
        <w:rPr>
          <w:rFonts w:ascii="Courier"/>
          <w:b/>
          <w:sz w:val="25"/>
        </w:rPr>
      </w:pPr>
    </w:p>
    <w:p>
      <w:pPr>
        <w:pStyle w:val="Heading6"/>
        <w:spacing w:before="89"/>
        <w:ind w:left="179"/>
        <w:jc w:val="both"/>
      </w:pPr>
      <w:bookmarkStart w:name="_TOC_250034" w:id="21"/>
      <w:r>
        <w:rPr>
          <w:sz w:val="28"/>
        </w:rPr>
        <w:t>5.3.6.3 Q</w:t>
      </w:r>
      <w:bookmarkEnd w:id="21"/>
      <w:r>
        <w:rPr/>
        <w:t>UANTIFYING ERRORS IN SAMPLE BASED SURVEYS</w:t>
      </w:r>
    </w:p>
    <w:p>
      <w:pPr>
        <w:pStyle w:val="BodyText"/>
        <w:spacing w:before="211"/>
        <w:ind w:left="179" w:right="1403"/>
        <w:jc w:val="both"/>
      </w:pPr>
      <w:r>
        <w:rPr/>
        <w:t>In basic sampling theory, the quantities connected to the population units are assumed to be observed without errors. Moreover, the variables of interest (e.g., removals of greenhouse gases) are assumed to be directly recorded at the sampling units; thus no errors due to model conversions need to be considered. In this case, provided adequate statistical estimators have been used, the sample-based estimates of totals (e.g., removals of greenhouse gases at the national level) are unbiased and the corresponding precision can be assessed based on the data</w:t>
      </w:r>
      <w:r>
        <w:rPr>
          <w:spacing w:val="-1"/>
        </w:rPr>
        <w:t> </w:t>
      </w:r>
      <w:r>
        <w:rPr/>
        <w:t>acquired.</w:t>
      </w:r>
    </w:p>
    <w:p>
      <w:pPr>
        <w:pStyle w:val="BodyText"/>
        <w:spacing w:before="117"/>
        <w:ind w:left="179" w:right="1403"/>
        <w:jc w:val="both"/>
      </w:pPr>
      <w:r>
        <w:rPr/>
        <w:t>In many cases (e.g., sampling for area estimation) the above assumptions can be considered valid, and then it is </w:t>
      </w:r>
      <w:r>
        <w:rPr>
          <w:i/>
        </w:rPr>
        <w:t>good practice </w:t>
      </w:r>
      <w:r>
        <w:rPr/>
        <w:t>to assess the uncertainty of the estimates strictly according to the principles of sampling theory, taking into account what sampling design and estimator were used. The details of such calculations are provided in sampling textbooks such as the references that are introduced in Section 5.3.1. Model errors may enter into the overall uncertainty estimates in different ways. One important case is when the models only give rise to random errors at the level of individual sampling units (e.g., if biomass models have been applied to plot-level tree data). In such cases, the random model errors will inflate the between-plot variability, which will lead to an increased uncertainty of the overall estimates. In this case the standard methods of estimating uncertainties according to sampling theory still can be used, with good approximation, without modifications. Thus, under these conditions it is </w:t>
      </w:r>
      <w:r>
        <w:rPr>
          <w:i/>
        </w:rPr>
        <w:t>good practice </w:t>
      </w:r>
      <w:r>
        <w:rPr/>
        <w:t>to apply standard sampling theory for deriving the uncertainty estimates, rather than the approaches of Section 5.2.</w:t>
      </w:r>
    </w:p>
    <w:p>
      <w:pPr>
        <w:pStyle w:val="BodyText"/>
        <w:spacing w:before="118"/>
        <w:ind w:left="179" w:right="1405"/>
        <w:jc w:val="both"/>
      </w:pPr>
      <w:r>
        <w:rPr/>
        <w:t>When models are likely to give rise to (unknown) systematic errors or when they have been used only at some final conversion step (like biomass expansion factors applied to estimates of total volume) the uncertainties introduced should be accounted for. In this case it is </w:t>
      </w:r>
      <w:r>
        <w:rPr>
          <w:i/>
        </w:rPr>
        <w:t>good practice </w:t>
      </w:r>
      <w:r>
        <w:rPr/>
        <w:t>to use the Tier 1 – or Tier 2 – approach of Section 5.2 for deriving overall uncertainty.</w:t>
      </w:r>
    </w:p>
    <w:p>
      <w:pPr>
        <w:pStyle w:val="BodyText"/>
        <w:spacing w:before="119"/>
        <w:ind w:left="179" w:right="1406"/>
        <w:jc w:val="both"/>
      </w:pPr>
      <w:r>
        <w:rPr/>
        <w:t>In general, it is </w:t>
      </w:r>
      <w:r>
        <w:rPr>
          <w:i/>
        </w:rPr>
        <w:t>good practice </w:t>
      </w:r>
      <w:r>
        <w:rPr/>
        <w:t>to assess the applicability of core models for the target population through pilot studies. When models are applied on datasets representing conditions and measurement procedures far different from the ones they were derived upon, there is an obvious risk that the models will incur systematic errors.</w:t>
      </w:r>
    </w:p>
    <w:p>
      <w:pPr>
        <w:pStyle w:val="BodyText"/>
        <w:spacing w:before="121"/>
        <w:ind w:left="179" w:right="1403"/>
        <w:jc w:val="both"/>
      </w:pPr>
      <w:r>
        <w:rPr/>
        <w:t>Measurement errors can lead to substantial systematic errors, especially in case changes are estimated based on repeated measurements and the systematic error levels vary over time. The size of measurement errors can only be estimated by careful control measurements – on a subsample of the plots – although such check assessments are in some cases difficult to implement (e.g., in soil surveys). In case greenhouse gas inventory reporting is based on sampling, it is </w:t>
      </w:r>
      <w:r>
        <w:rPr>
          <w:i/>
        </w:rPr>
        <w:t>good practice </w:t>
      </w:r>
      <w:r>
        <w:rPr/>
        <w:t>to conduct careful check assessments on a (small) fraction of the plots, in order to assess the size of the measurement errors. This fraction may be in the order of 1% to 10% depending on the actual sample size and the cost of the control survey, as well as the level of training and experience of the surveyors.</w:t>
      </w:r>
    </w:p>
    <w:p>
      <w:pPr>
        <w:pStyle w:val="BodyText"/>
        <w:spacing w:before="119"/>
        <w:ind w:left="179" w:right="1405"/>
        <w:jc w:val="both"/>
      </w:pPr>
      <w:r>
        <w:rPr/>
        <w:t>For some variables it is possible to obtain true measurement values through very accurate control procedures, and in such cases the goal should be to estimate the size of the systematic measurement errors. In other cases it may be impossible to measure/assess a true value, and in such cases only the variability between surveyors should be</w:t>
      </w:r>
      <w:r>
        <w:rPr>
          <w:spacing w:val="1"/>
        </w:rPr>
        <w:t> </w:t>
      </w:r>
      <w:r>
        <w:rPr/>
        <w:t>reported.</w:t>
      </w:r>
    </w:p>
    <w:p>
      <w:pPr>
        <w:pStyle w:val="BodyText"/>
        <w:spacing w:before="119"/>
        <w:ind w:left="179" w:right="1406" w:hanging="1"/>
        <w:jc w:val="both"/>
      </w:pPr>
      <w:r>
        <w:rPr/>
        <w:t>If major measurement errors are found in a carefully conducted control survey, it is </w:t>
      </w:r>
      <w:r>
        <w:rPr>
          <w:i/>
        </w:rPr>
        <w:t>good practice </w:t>
      </w:r>
      <w:r>
        <w:rPr/>
        <w:t>to correct for these errors before the final estimates of greenhouse gas emissions/removals are calculated.</w:t>
      </w:r>
    </w:p>
    <w:p>
      <w:pPr>
        <w:spacing w:after="0"/>
        <w:jc w:val="both"/>
        <w:sectPr>
          <w:pgSz w:w="11900" w:h="16840"/>
          <w:pgMar w:header="230" w:footer="408" w:top="560" w:bottom="600" w:left="1240" w:right="0"/>
        </w:sectPr>
      </w:pPr>
    </w:p>
    <w:p>
      <w:pPr>
        <w:pStyle w:val="BodyText"/>
      </w:pPr>
    </w:p>
    <w:p>
      <w:pPr>
        <w:pStyle w:val="BodyText"/>
      </w:pPr>
    </w:p>
    <w:p>
      <w:pPr>
        <w:pStyle w:val="Heading2"/>
        <w:numPr>
          <w:ilvl w:val="1"/>
          <w:numId w:val="176"/>
        </w:numPr>
        <w:tabs>
          <w:tab w:pos="1382" w:val="left" w:leader="none"/>
        </w:tabs>
        <w:spacing w:line="240" w:lineRule="auto" w:before="225" w:after="0"/>
        <w:ind w:left="1381" w:right="0" w:hanging="1202"/>
        <w:jc w:val="both"/>
      </w:pPr>
      <w:r>
        <w:rPr>
          <w:spacing w:val="18"/>
        </w:rPr>
        <w:t>METHODOLOGICAL </w:t>
      </w:r>
      <w:r>
        <w:rPr>
          <w:spacing w:val="16"/>
        </w:rPr>
        <w:t>CHOICE</w:t>
      </w:r>
      <w:r>
        <w:rPr>
          <w:spacing w:val="64"/>
        </w:rPr>
        <w:t> </w:t>
      </w:r>
      <w:r>
        <w:rPr/>
        <w:t>-</w:t>
      </w:r>
    </w:p>
    <w:p>
      <w:pPr>
        <w:spacing w:before="1"/>
        <w:ind w:left="1381" w:right="0" w:firstLine="0"/>
        <w:jc w:val="left"/>
        <w:rPr>
          <w:b/>
          <w:sz w:val="32"/>
        </w:rPr>
      </w:pPr>
      <w:r>
        <w:rPr>
          <w:b/>
          <w:sz w:val="32"/>
        </w:rPr>
        <w:t>IDENTIFICATION OF KEY CATEGORIES</w:t>
      </w:r>
    </w:p>
    <w:p>
      <w:pPr>
        <w:pStyle w:val="BodyText"/>
        <w:spacing w:before="10"/>
        <w:rPr>
          <w:b/>
          <w:sz w:val="46"/>
        </w:rPr>
      </w:pPr>
    </w:p>
    <w:p>
      <w:pPr>
        <w:pStyle w:val="Heading2"/>
        <w:numPr>
          <w:ilvl w:val="2"/>
          <w:numId w:val="176"/>
        </w:numPr>
        <w:tabs>
          <w:tab w:pos="1382" w:val="left" w:leader="none"/>
        </w:tabs>
        <w:spacing w:line="240" w:lineRule="auto" w:before="1" w:after="0"/>
        <w:ind w:left="1381" w:right="0" w:hanging="1202"/>
        <w:jc w:val="both"/>
      </w:pPr>
      <w:bookmarkStart w:name="_TOC_250033" w:id="22"/>
      <w:bookmarkEnd w:id="22"/>
      <w:r>
        <w:rPr>
          <w:spacing w:val="8"/>
        </w:rPr>
        <w:t>Introduction</w:t>
      </w:r>
    </w:p>
    <w:p>
      <w:pPr>
        <w:pStyle w:val="BodyText"/>
        <w:spacing w:before="113"/>
        <w:ind w:left="179" w:right="1358"/>
        <w:jc w:val="both"/>
      </w:pPr>
      <w:r>
        <w:rPr/>
        <w:t>This chapter addresses how to identify </w:t>
      </w:r>
      <w:r>
        <w:rPr>
          <w:i/>
        </w:rPr>
        <w:t>key categories </w:t>
      </w:r>
      <w:r>
        <w:rPr>
          <w:vertAlign w:val="superscript"/>
        </w:rPr>
        <w:t>5</w:t>
      </w:r>
      <w:r>
        <w:rPr>
          <w:vertAlign w:val="baseline"/>
        </w:rPr>
        <w:t> in a national inventory including LULUCF. Methodological choice for individual source and sink categories is important in managing overall inventory uncertainty. In the decision trees in Chapters 3 and 4 of this report, specific guidance is given for each category and each activity under Articles 3.3 and 3.4 of the Kyoto Protocol using the concept of key categories. Generally, inventory uncertainty is lower when emissions and removals are estimated using a higher tier. However, these generally require extensive resources for data collection, so it may not be feasible to use higher tier methods for every category of emissions and removals. It is therefore </w:t>
      </w:r>
      <w:r>
        <w:rPr>
          <w:i/>
          <w:vertAlign w:val="baseline"/>
        </w:rPr>
        <w:t>good practice </w:t>
      </w:r>
      <w:r>
        <w:rPr>
          <w:vertAlign w:val="baseline"/>
        </w:rPr>
        <w:t>to make the most efficient use of available resources by identifying those categories that have the greatest contribution to overall inventory uncertainty. By identifying these </w:t>
      </w:r>
      <w:r>
        <w:rPr>
          <w:i/>
          <w:vertAlign w:val="baseline"/>
        </w:rPr>
        <w:t>key categories </w:t>
      </w:r>
      <w:r>
        <w:rPr>
          <w:vertAlign w:val="baseline"/>
        </w:rPr>
        <w:t>in the national inventory, inventory agencies can prioritise their efforts and improve their overall estimates. It is </w:t>
      </w:r>
      <w:r>
        <w:rPr>
          <w:i/>
          <w:vertAlign w:val="baseline"/>
        </w:rPr>
        <w:t>good practice </w:t>
      </w:r>
      <w:r>
        <w:rPr>
          <w:vertAlign w:val="baseline"/>
        </w:rPr>
        <w:t>for each inventory agency to identify its national </w:t>
      </w:r>
      <w:r>
        <w:rPr>
          <w:i/>
          <w:vertAlign w:val="baseline"/>
        </w:rPr>
        <w:t>key categories </w:t>
      </w:r>
      <w:r>
        <w:rPr>
          <w:vertAlign w:val="baseline"/>
        </w:rPr>
        <w:t>in a systematic and objective manner. Such a process will lead to improved inventory quality, as well as greater confidence in the emission estimates that are</w:t>
      </w:r>
      <w:r>
        <w:rPr>
          <w:spacing w:val="-8"/>
          <w:vertAlign w:val="baseline"/>
        </w:rPr>
        <w:t> </w:t>
      </w:r>
      <w:r>
        <w:rPr>
          <w:vertAlign w:val="baseline"/>
        </w:rPr>
        <w:t>developed.</w:t>
      </w:r>
    </w:p>
    <w:p>
      <w:pPr>
        <w:pStyle w:val="BodyText"/>
        <w:spacing w:before="118"/>
        <w:ind w:left="179" w:right="1406"/>
        <w:jc w:val="both"/>
      </w:pPr>
      <w:r>
        <w:rPr/>
        <w:t>Good Practice Guidance and Uncertainty Management in National Greenhouse Gas Inventories (</w:t>
      </w:r>
      <w:r>
        <w:rPr>
          <w:i/>
        </w:rPr>
        <w:t>GPG2000, </w:t>
      </w:r>
      <w:r>
        <w:rPr/>
        <w:t>IPCC, 2000) identifies a </w:t>
      </w:r>
      <w:r>
        <w:rPr>
          <w:i/>
        </w:rPr>
        <w:t>key source category </w:t>
      </w:r>
      <w:r>
        <w:rPr/>
        <w:t>as “one that is prioritised within the national inventory system because its estimate has a significant influence on a country’s total inventory of direct greenhouse gases in terms of the absolute level of emissions, the trend in emissions, or both”. The concept of key sources was originally derived for emissions excluding the LULUCF sector and as implemented in </w:t>
      </w:r>
      <w:r>
        <w:rPr>
          <w:i/>
        </w:rPr>
        <w:t>GPG2000 </w:t>
      </w:r>
      <w:r>
        <w:rPr/>
        <w:t>has enabled countries to identify those source categories that should be estimated using higher tiers if sufficient resources are available.  In this report, the definition is expanded to also cover LULUCF emissions by sources and removals by sinks. In this document </w:t>
      </w:r>
      <w:r>
        <w:rPr>
          <w:i/>
        </w:rPr>
        <w:t>whenever the term key category is used, it includes both sources and sinks</w:t>
      </w:r>
      <w:r>
        <w:rPr/>
        <w:t>. The inclusion of the LULUCF categories in the key category analysis facilitates the determination of priorities across all sectors of the national inventory and, where relevant, for Kyoto Protocol supplementary information as</w:t>
      </w:r>
      <w:r>
        <w:rPr>
          <w:spacing w:val="-16"/>
        </w:rPr>
        <w:t> </w:t>
      </w:r>
      <w:r>
        <w:rPr/>
        <w:t>well.</w:t>
      </w:r>
    </w:p>
    <w:p>
      <w:pPr>
        <w:pStyle w:val="BodyText"/>
        <w:spacing w:before="119"/>
        <w:ind w:left="179" w:right="1406"/>
        <w:jc w:val="both"/>
      </w:pPr>
      <w:r>
        <w:rPr/>
        <w:t>Any inventory agency that has prepared a national greenhouse gas inventory will be able to identify </w:t>
      </w:r>
      <w:r>
        <w:rPr>
          <w:i/>
        </w:rPr>
        <w:t>key categories </w:t>
      </w:r>
      <w:r>
        <w:rPr/>
        <w:t>in terms of their contribution to the absolute level of national emissions. For those inventory agencies that have prepared a time series, the quantitative determination of </w:t>
      </w:r>
      <w:r>
        <w:rPr>
          <w:i/>
        </w:rPr>
        <w:t>key categories </w:t>
      </w:r>
      <w:r>
        <w:rPr/>
        <w:t>should include evaluation of both the absolute level and the trend of emissions and removals. Some </w:t>
      </w:r>
      <w:r>
        <w:rPr>
          <w:i/>
        </w:rPr>
        <w:t>key categories </w:t>
      </w:r>
      <w:r>
        <w:rPr/>
        <w:t>may only be identified when their influence on the trend of the national inventory is taken into account.</w:t>
      </w:r>
    </w:p>
    <w:p>
      <w:pPr>
        <w:pStyle w:val="BodyText"/>
        <w:spacing w:before="118"/>
        <w:ind w:left="179" w:right="1402"/>
        <w:jc w:val="both"/>
      </w:pPr>
      <w:r>
        <w:rPr/>
        <w:t>The quantitative approaches to determine </w:t>
      </w:r>
      <w:r>
        <w:rPr>
          <w:i/>
        </w:rPr>
        <w:t>key categories </w:t>
      </w:r>
      <w:r>
        <w:rPr/>
        <w:t>are described in Section 5.4.2 (Quantitative Approaches to Determining Key Categories). Both a basic Tier 1 approach and a Tier 2 approach, which takes uncertainties into account, are described. In addition to making a quantitative determination of </w:t>
      </w:r>
      <w:r>
        <w:rPr>
          <w:i/>
        </w:rPr>
        <w:t>key categories, </w:t>
      </w:r>
      <w:r>
        <w:rPr/>
        <w:t>it is </w:t>
      </w:r>
      <w:r>
        <w:rPr>
          <w:i/>
        </w:rPr>
        <w:t>good </w:t>
      </w:r>
      <w:r>
        <w:rPr>
          <w:i/>
          <w:spacing w:val="-3"/>
        </w:rPr>
        <w:t>practice </w:t>
      </w:r>
      <w:r>
        <w:rPr/>
        <w:t>to consider </w:t>
      </w:r>
      <w:r>
        <w:rPr>
          <w:spacing w:val="-3"/>
        </w:rPr>
        <w:t>qualitative criteria, </w:t>
      </w:r>
      <w:r>
        <w:rPr/>
        <w:t>particularly when a Tier 1 </w:t>
      </w:r>
      <w:r>
        <w:rPr>
          <w:spacing w:val="-3"/>
        </w:rPr>
        <w:t>assessment </w:t>
      </w:r>
      <w:r>
        <w:rPr/>
        <w:t>is performed or </w:t>
      </w:r>
      <w:r>
        <w:rPr>
          <w:spacing w:val="-3"/>
        </w:rPr>
        <w:t>lower </w:t>
      </w:r>
      <w:r>
        <w:rPr/>
        <w:t>tier </w:t>
      </w:r>
      <w:r>
        <w:rPr>
          <w:spacing w:val="-3"/>
        </w:rPr>
        <w:t>estimation </w:t>
      </w:r>
      <w:r>
        <w:rPr/>
        <w:t>methods are </w:t>
      </w:r>
      <w:r>
        <w:rPr>
          <w:spacing w:val="-3"/>
        </w:rPr>
        <w:t>used. </w:t>
      </w:r>
      <w:r>
        <w:rPr/>
        <w:t>These </w:t>
      </w:r>
      <w:r>
        <w:rPr>
          <w:spacing w:val="-3"/>
        </w:rPr>
        <w:t>qualitative criteria </w:t>
      </w:r>
      <w:r>
        <w:rPr/>
        <w:t>are described in </w:t>
      </w:r>
      <w:r>
        <w:rPr>
          <w:spacing w:val="-3"/>
        </w:rPr>
        <w:t>Section </w:t>
      </w:r>
      <w:r>
        <w:rPr/>
        <w:t>5.4.3 </w:t>
      </w:r>
      <w:r>
        <w:rPr>
          <w:spacing w:val="-3"/>
        </w:rPr>
        <w:t>(Qualitative Considerations). </w:t>
      </w:r>
      <w:r>
        <w:rPr/>
        <w:t>The </w:t>
      </w:r>
      <w:r>
        <w:rPr>
          <w:i/>
        </w:rPr>
        <w:t>good </w:t>
      </w:r>
      <w:r>
        <w:rPr>
          <w:i/>
          <w:spacing w:val="-3"/>
        </w:rPr>
        <w:t>practice</w:t>
      </w:r>
      <w:r>
        <w:rPr>
          <w:i/>
          <w:spacing w:val="-11"/>
        </w:rPr>
        <w:t> </w:t>
      </w:r>
      <w:r>
        <w:rPr>
          <w:i/>
        </w:rPr>
        <w:t>guidance</w:t>
      </w:r>
      <w:r>
        <w:rPr>
          <w:i/>
          <w:spacing w:val="-13"/>
        </w:rPr>
        <w:t> </w:t>
      </w:r>
      <w:r>
        <w:rPr>
          <w:spacing w:val="-3"/>
        </w:rPr>
        <w:t>provided</w:t>
      </w:r>
      <w:r>
        <w:rPr>
          <w:spacing w:val="-11"/>
        </w:rPr>
        <w:t> </w:t>
      </w:r>
      <w:r>
        <w:rPr/>
        <w:t>in</w:t>
      </w:r>
      <w:r>
        <w:rPr>
          <w:spacing w:val="-12"/>
        </w:rPr>
        <w:t> </w:t>
      </w:r>
      <w:r>
        <w:rPr/>
        <w:t>Sections</w:t>
      </w:r>
      <w:r>
        <w:rPr>
          <w:spacing w:val="-14"/>
        </w:rPr>
        <w:t> </w:t>
      </w:r>
      <w:r>
        <w:rPr/>
        <w:t>5.4.2</w:t>
      </w:r>
      <w:r>
        <w:rPr>
          <w:spacing w:val="-13"/>
        </w:rPr>
        <w:t> </w:t>
      </w:r>
      <w:r>
        <w:rPr/>
        <w:t>and</w:t>
      </w:r>
      <w:r>
        <w:rPr>
          <w:spacing w:val="-12"/>
        </w:rPr>
        <w:t> </w:t>
      </w:r>
      <w:r>
        <w:rPr/>
        <w:t>5.4.3</w:t>
      </w:r>
      <w:r>
        <w:rPr>
          <w:spacing w:val="-12"/>
        </w:rPr>
        <w:t> </w:t>
      </w:r>
      <w:r>
        <w:rPr/>
        <w:t>is</w:t>
      </w:r>
      <w:r>
        <w:rPr>
          <w:spacing w:val="-14"/>
        </w:rPr>
        <w:t> </w:t>
      </w:r>
      <w:r>
        <w:rPr/>
        <w:t>applicable</w:t>
      </w:r>
      <w:r>
        <w:rPr>
          <w:spacing w:val="-13"/>
        </w:rPr>
        <w:t> </w:t>
      </w:r>
      <w:r>
        <w:rPr/>
        <w:t>to</w:t>
      </w:r>
      <w:r>
        <w:rPr>
          <w:spacing w:val="-9"/>
        </w:rPr>
        <w:t> </w:t>
      </w:r>
      <w:r>
        <w:rPr/>
        <w:t>the</w:t>
      </w:r>
      <w:r>
        <w:rPr>
          <w:spacing w:val="-11"/>
        </w:rPr>
        <w:t> </w:t>
      </w:r>
      <w:r>
        <w:rPr>
          <w:spacing w:val="-3"/>
        </w:rPr>
        <w:t>full</w:t>
      </w:r>
      <w:r>
        <w:rPr>
          <w:spacing w:val="-12"/>
        </w:rPr>
        <w:t> </w:t>
      </w:r>
      <w:r>
        <w:rPr/>
        <w:t>inventory</w:t>
      </w:r>
      <w:r>
        <w:rPr>
          <w:spacing w:val="-14"/>
        </w:rPr>
        <w:t> </w:t>
      </w:r>
      <w:r>
        <w:rPr/>
        <w:t>of</w:t>
      </w:r>
      <w:r>
        <w:rPr>
          <w:spacing w:val="-12"/>
        </w:rPr>
        <w:t> </w:t>
      </w:r>
      <w:r>
        <w:rPr/>
        <w:t>emissions</w:t>
      </w:r>
      <w:r>
        <w:rPr>
          <w:spacing w:val="-14"/>
        </w:rPr>
        <w:t> </w:t>
      </w:r>
      <w:r>
        <w:rPr/>
        <w:t>and</w:t>
      </w:r>
      <w:r>
        <w:rPr>
          <w:spacing w:val="-12"/>
        </w:rPr>
        <w:t> </w:t>
      </w:r>
      <w:r>
        <w:rPr/>
        <w:t>removals. For estimates prepared under Articles 3.3 </w:t>
      </w:r>
      <w:r>
        <w:rPr>
          <w:spacing w:val="-2"/>
        </w:rPr>
        <w:t>and </w:t>
      </w:r>
      <w:r>
        <w:rPr/>
        <w:t>3.4 of the Kyoto </w:t>
      </w:r>
      <w:r>
        <w:rPr>
          <w:spacing w:val="-2"/>
        </w:rPr>
        <w:t>Protocol, </w:t>
      </w:r>
      <w:r>
        <w:rPr/>
        <w:t>there are </w:t>
      </w:r>
      <w:r>
        <w:rPr>
          <w:spacing w:val="-3"/>
        </w:rPr>
        <w:t>additional </w:t>
      </w:r>
      <w:r>
        <w:rPr/>
        <w:t>considerations as </w:t>
      </w:r>
      <w:r>
        <w:rPr>
          <w:spacing w:val="-3"/>
        </w:rPr>
        <w:t>described</w:t>
      </w:r>
      <w:r>
        <w:rPr>
          <w:spacing w:val="-7"/>
        </w:rPr>
        <w:t> </w:t>
      </w:r>
      <w:r>
        <w:rPr/>
        <w:t>in</w:t>
      </w:r>
      <w:r>
        <w:rPr>
          <w:spacing w:val="-7"/>
        </w:rPr>
        <w:t> </w:t>
      </w:r>
      <w:r>
        <w:rPr/>
        <w:t>Section</w:t>
      </w:r>
      <w:r>
        <w:rPr>
          <w:spacing w:val="-8"/>
        </w:rPr>
        <w:t> </w:t>
      </w:r>
      <w:r>
        <w:rPr/>
        <w:t>5.4.4.</w:t>
      </w:r>
      <w:r>
        <w:rPr>
          <w:spacing w:val="-7"/>
        </w:rPr>
        <w:t> </w:t>
      </w:r>
      <w:r>
        <w:rPr/>
        <w:t>The</w:t>
      </w:r>
      <w:r>
        <w:rPr>
          <w:spacing w:val="-5"/>
        </w:rPr>
        <w:t> </w:t>
      </w:r>
      <w:r>
        <w:rPr>
          <w:spacing w:val="-3"/>
        </w:rPr>
        <w:t>guidance</w:t>
      </w:r>
      <w:r>
        <w:rPr>
          <w:spacing w:val="-6"/>
        </w:rPr>
        <w:t> </w:t>
      </w:r>
      <w:r>
        <w:rPr/>
        <w:t>on</w:t>
      </w:r>
      <w:r>
        <w:rPr>
          <w:spacing w:val="-9"/>
        </w:rPr>
        <w:t> </w:t>
      </w:r>
      <w:r>
        <w:rPr/>
        <w:t>the</w:t>
      </w:r>
      <w:r>
        <w:rPr>
          <w:spacing w:val="-6"/>
        </w:rPr>
        <w:t> </w:t>
      </w:r>
      <w:r>
        <w:rPr/>
        <w:t>application</w:t>
      </w:r>
      <w:r>
        <w:rPr>
          <w:spacing w:val="-8"/>
        </w:rPr>
        <w:t> </w:t>
      </w:r>
      <w:r>
        <w:rPr/>
        <w:t>of</w:t>
      </w:r>
      <w:r>
        <w:rPr>
          <w:spacing w:val="-7"/>
        </w:rPr>
        <w:t> </w:t>
      </w:r>
      <w:r>
        <w:rPr/>
        <w:t>results</w:t>
      </w:r>
      <w:r>
        <w:rPr>
          <w:spacing w:val="-8"/>
        </w:rPr>
        <w:t> </w:t>
      </w:r>
      <w:r>
        <w:rPr/>
        <w:t>is</w:t>
      </w:r>
      <w:r>
        <w:rPr>
          <w:spacing w:val="-9"/>
        </w:rPr>
        <w:t> </w:t>
      </w:r>
      <w:r>
        <w:rPr/>
        <w:t>given</w:t>
      </w:r>
      <w:r>
        <w:rPr>
          <w:spacing w:val="-8"/>
        </w:rPr>
        <w:t> </w:t>
      </w:r>
      <w:r>
        <w:rPr/>
        <w:t>in</w:t>
      </w:r>
      <w:r>
        <w:rPr>
          <w:spacing w:val="-8"/>
        </w:rPr>
        <w:t> </w:t>
      </w:r>
      <w:r>
        <w:rPr/>
        <w:t>5.4.5.</w:t>
      </w:r>
      <w:r>
        <w:rPr>
          <w:spacing w:val="-7"/>
        </w:rPr>
        <w:t> </w:t>
      </w:r>
      <w:r>
        <w:rPr/>
        <w:t>The</w:t>
      </w:r>
      <w:r>
        <w:rPr>
          <w:spacing w:val="-7"/>
        </w:rPr>
        <w:t> </w:t>
      </w:r>
      <w:r>
        <w:rPr/>
        <w:t>derivation</w:t>
      </w:r>
      <w:r>
        <w:rPr>
          <w:spacing w:val="-8"/>
        </w:rPr>
        <w:t> </w:t>
      </w:r>
      <w:r>
        <w:rPr/>
        <w:t>of</w:t>
      </w:r>
      <w:r>
        <w:rPr>
          <w:spacing w:val="-9"/>
        </w:rPr>
        <w:t> </w:t>
      </w:r>
      <w:r>
        <w:rPr/>
        <w:t>thresholds </w:t>
      </w:r>
      <w:r>
        <w:rPr>
          <w:spacing w:val="-2"/>
        </w:rPr>
        <w:t>for </w:t>
      </w:r>
      <w:r>
        <w:rPr/>
        <w:t>the Tier 1 level and trend assessments taking the LULUCF sector into account is described in Section </w:t>
      </w:r>
      <w:r>
        <w:rPr>
          <w:spacing w:val="-2"/>
        </w:rPr>
        <w:t>5.4.7. </w:t>
      </w:r>
      <w:r>
        <w:rPr>
          <w:spacing w:val="-3"/>
        </w:rPr>
        <w:t>Finally,</w:t>
      </w:r>
      <w:r>
        <w:rPr>
          <w:spacing w:val="-5"/>
        </w:rPr>
        <w:t> </w:t>
      </w:r>
      <w:r>
        <w:rPr/>
        <w:t>Section</w:t>
      </w:r>
      <w:r>
        <w:rPr>
          <w:spacing w:val="-8"/>
        </w:rPr>
        <w:t> </w:t>
      </w:r>
      <w:r>
        <w:rPr/>
        <w:t>5.4.8</w:t>
      </w:r>
      <w:r>
        <w:rPr>
          <w:spacing w:val="-7"/>
        </w:rPr>
        <w:t> </w:t>
      </w:r>
      <w:r>
        <w:rPr/>
        <w:t>gives</w:t>
      </w:r>
      <w:r>
        <w:rPr>
          <w:spacing w:val="-8"/>
        </w:rPr>
        <w:t> </w:t>
      </w:r>
      <w:r>
        <w:rPr/>
        <w:t>an</w:t>
      </w:r>
      <w:r>
        <w:rPr>
          <w:spacing w:val="-6"/>
        </w:rPr>
        <w:t> </w:t>
      </w:r>
      <w:r>
        <w:rPr/>
        <w:t>example</w:t>
      </w:r>
      <w:r>
        <w:rPr>
          <w:spacing w:val="-7"/>
        </w:rPr>
        <w:t> </w:t>
      </w:r>
      <w:r>
        <w:rPr/>
        <w:t>of</w:t>
      </w:r>
      <w:r>
        <w:rPr>
          <w:spacing w:val="-6"/>
        </w:rPr>
        <w:t> </w:t>
      </w:r>
      <w:r>
        <w:rPr/>
        <w:t>the</w:t>
      </w:r>
      <w:r>
        <w:rPr>
          <w:spacing w:val="-7"/>
        </w:rPr>
        <w:t> </w:t>
      </w:r>
      <w:r>
        <w:rPr/>
        <w:t>application</w:t>
      </w:r>
      <w:r>
        <w:rPr>
          <w:spacing w:val="-8"/>
        </w:rPr>
        <w:t> </w:t>
      </w:r>
      <w:r>
        <w:rPr/>
        <w:t>of</w:t>
      </w:r>
      <w:r>
        <w:rPr>
          <w:spacing w:val="-8"/>
        </w:rPr>
        <w:t> </w:t>
      </w:r>
      <w:r>
        <w:rPr/>
        <w:t>the</w:t>
      </w:r>
      <w:r>
        <w:rPr>
          <w:spacing w:val="-7"/>
        </w:rPr>
        <w:t> </w:t>
      </w:r>
      <w:r>
        <w:rPr/>
        <w:t>Tier</w:t>
      </w:r>
      <w:r>
        <w:rPr>
          <w:spacing w:val="-6"/>
        </w:rPr>
        <w:t> </w:t>
      </w:r>
      <w:r>
        <w:rPr/>
        <w:t>1</w:t>
      </w:r>
      <w:r>
        <w:rPr>
          <w:spacing w:val="-6"/>
        </w:rPr>
        <w:t> </w:t>
      </w:r>
      <w:r>
        <w:rPr/>
        <w:t>key</w:t>
      </w:r>
      <w:r>
        <w:rPr>
          <w:spacing w:val="-9"/>
        </w:rPr>
        <w:t> </w:t>
      </w:r>
      <w:r>
        <w:rPr/>
        <w:t>category</w:t>
      </w:r>
      <w:r>
        <w:rPr>
          <w:spacing w:val="-8"/>
        </w:rPr>
        <w:t> </w:t>
      </w:r>
      <w:r>
        <w:rPr/>
        <w:t>analysis.</w:t>
      </w:r>
    </w:p>
    <w:p>
      <w:pPr>
        <w:pStyle w:val="BodyText"/>
        <w:rPr>
          <w:sz w:val="22"/>
        </w:rPr>
      </w:pPr>
    </w:p>
    <w:p>
      <w:pPr>
        <w:pStyle w:val="BodyText"/>
        <w:spacing w:before="2"/>
      </w:pPr>
    </w:p>
    <w:p>
      <w:pPr>
        <w:pStyle w:val="Heading2"/>
        <w:numPr>
          <w:ilvl w:val="2"/>
          <w:numId w:val="176"/>
        </w:numPr>
        <w:tabs>
          <w:tab w:pos="1381" w:val="left" w:leader="none"/>
          <w:tab w:pos="1382" w:val="left" w:leader="none"/>
        </w:tabs>
        <w:spacing w:line="240" w:lineRule="auto" w:before="0" w:after="0"/>
        <w:ind w:left="1381" w:right="2638" w:hanging="1202"/>
        <w:jc w:val="left"/>
      </w:pPr>
      <w:bookmarkStart w:name="_TOC_250032" w:id="23"/>
      <w:r>
        <w:rPr>
          <w:spacing w:val="9"/>
        </w:rPr>
        <w:t>Quantitative </w:t>
      </w:r>
      <w:r>
        <w:rPr>
          <w:spacing w:val="8"/>
        </w:rPr>
        <w:t>Approaches </w:t>
      </w:r>
      <w:r>
        <w:rPr>
          <w:spacing w:val="4"/>
        </w:rPr>
        <w:t>to </w:t>
      </w:r>
      <w:bookmarkEnd w:id="23"/>
      <w:r>
        <w:rPr>
          <w:spacing w:val="9"/>
        </w:rPr>
        <w:t>Determining Key Categories</w:t>
      </w:r>
    </w:p>
    <w:p>
      <w:pPr>
        <w:pStyle w:val="BodyText"/>
        <w:rPr>
          <w:b/>
        </w:rPr>
      </w:pPr>
    </w:p>
    <w:p>
      <w:pPr>
        <w:pStyle w:val="BodyText"/>
        <w:rPr>
          <w:b/>
        </w:rPr>
      </w:pPr>
    </w:p>
    <w:p>
      <w:pPr>
        <w:pStyle w:val="BodyText"/>
        <w:spacing w:before="7"/>
        <w:rPr>
          <w:b/>
        </w:rPr>
      </w:pPr>
      <w:r>
        <w:rPr/>
        <w:pict>
          <v:line style="position:absolute;mso-position-horizontal-relative:page;mso-position-vertical-relative:paragraph;z-index:27848;mso-wrap-distance-left:0;mso-wrap-distance-right:0" from="70.960999pt,14.067148pt" to="214.960999pt,14.067148pt" stroked="true" strokeweight=".48pt" strokecolor="#000000">
            <v:stroke dashstyle="solid"/>
            <w10:wrap type="topAndBottom"/>
          </v:line>
        </w:pict>
      </w:r>
    </w:p>
    <w:p>
      <w:pPr>
        <w:spacing w:before="153"/>
        <w:ind w:left="337" w:right="1402" w:hanging="159"/>
        <w:jc w:val="both"/>
        <w:rPr>
          <w:sz w:val="18"/>
        </w:rPr>
      </w:pPr>
      <w:r>
        <w:rPr>
          <w:position w:val="8"/>
          <w:sz w:val="12"/>
        </w:rPr>
        <w:t>5 </w:t>
      </w:r>
      <w:r>
        <w:rPr>
          <w:sz w:val="18"/>
        </w:rPr>
        <w:t>In </w:t>
      </w:r>
      <w:r>
        <w:rPr>
          <w:i/>
          <w:sz w:val="18"/>
        </w:rPr>
        <w:t>GPG2000 </w:t>
      </w:r>
      <w:r>
        <w:rPr>
          <w:sz w:val="18"/>
        </w:rPr>
        <w:t>the concept was named “key source categories” and dealt with the inventory excluding the LULUCF sector. However, because an inventory including the LULUCF sector can consist of both emissions and removals, the term "key category" is used here to better reflect that both sources and sinks are included. In the context of the UNFCCC inventory, categories are land-use categories as described Table 3.1.1 in Chapter 3. In the context of the Kyoto Protocol, each activity under Articles 3.3 and 3.4 (if elected) is a category.</w:t>
      </w:r>
    </w:p>
    <w:p>
      <w:pPr>
        <w:spacing w:after="0"/>
        <w:jc w:val="both"/>
        <w:rPr>
          <w:sz w:val="18"/>
        </w:rPr>
        <w:sectPr>
          <w:headerReference w:type="even" r:id="rId423"/>
          <w:headerReference w:type="default" r:id="rId424"/>
          <w:pgSz w:w="11900" w:h="16840"/>
          <w:pgMar w:header="230" w:footer="408" w:top="560" w:bottom="600" w:left="1240" w:right="0"/>
        </w:sectPr>
      </w:pPr>
    </w:p>
    <w:p>
      <w:pPr>
        <w:pStyle w:val="BodyText"/>
      </w:pPr>
      <w:r>
        <w:rPr/>
        <w:pict>
          <v:shape style="position:absolute;margin-left:124.841003pt;margin-top:684.599976pt;width:161.550pt;height:72.4pt;mso-position-horizontal-relative:page;mso-position-vertical-relative:page;z-index:30112" type="#_x0000_t202" filled="false" stroked="true" strokeweight="1.5pt" strokecolor="#010101">
            <v:textbox inset="0,0,0,0">
              <w:txbxContent>
                <w:p>
                  <w:pPr>
                    <w:pStyle w:val="BodyText"/>
                    <w:spacing w:before="151"/>
                    <w:ind w:left="145" w:right="142" w:hanging="2"/>
                    <w:jc w:val="center"/>
                  </w:pPr>
                  <w:r>
                    <w:rPr/>
                    <w:t>Determine </w:t>
                  </w:r>
                  <w:r>
                    <w:rPr>
                      <w:i/>
                    </w:rPr>
                    <w:t>key categories </w:t>
                  </w:r>
                  <w:r>
                    <w:rPr/>
                    <w:t>using the Tier 2 Level and Trend Assessments (incorporating</w:t>
                  </w:r>
                  <w:r>
                    <w:rPr>
                      <w:spacing w:val="-15"/>
                    </w:rPr>
                    <w:t> </w:t>
                  </w:r>
                  <w:r>
                    <w:rPr/>
                    <w:t>national uncertainty estimates) and qualitative</w:t>
                  </w:r>
                  <w:r>
                    <w:rPr>
                      <w:spacing w:val="-1"/>
                    </w:rPr>
                    <w:t> </w:t>
                  </w:r>
                  <w:r>
                    <w:rPr/>
                    <w:t>considerations</w:t>
                  </w:r>
                </w:p>
              </w:txbxContent>
            </v:textbox>
            <v:stroke dashstyle="solid"/>
            <w10:wrap type="none"/>
          </v:shape>
        </w:pict>
      </w:r>
    </w:p>
    <w:p>
      <w:pPr>
        <w:pStyle w:val="BodyText"/>
        <w:spacing w:before="2"/>
        <w:rPr>
          <w:sz w:val="18"/>
        </w:rPr>
      </w:pPr>
    </w:p>
    <w:p>
      <w:pPr>
        <w:pStyle w:val="BodyText"/>
        <w:ind w:left="179" w:right="1404"/>
        <w:jc w:val="both"/>
      </w:pPr>
      <w:r>
        <w:rPr/>
        <w:t>In each country’s national inventory, certain categories are particularly significant in terms of their contribution to the overall uncertainty in the inventory. It is important to identify these </w:t>
      </w:r>
      <w:r>
        <w:rPr>
          <w:i/>
        </w:rPr>
        <w:t>key categories </w:t>
      </w:r>
      <w:r>
        <w:rPr/>
        <w:t>so that resources available for inventory preparation may be prioritised and the best possible estimates prepared.</w:t>
      </w:r>
    </w:p>
    <w:p>
      <w:pPr>
        <w:pStyle w:val="BodyText"/>
        <w:spacing w:before="121"/>
        <w:ind w:left="179" w:right="1405"/>
        <w:jc w:val="both"/>
      </w:pPr>
      <w:r>
        <w:rPr/>
        <w:t>Two tiers for performing the key category analysis are described, consistent with the two- tiered quantitative approach to identify key source categories described in Chapter 7 (Methodological Choice and Recalculations) of </w:t>
      </w:r>
      <w:r>
        <w:rPr>
          <w:i/>
        </w:rPr>
        <w:t>GPG2000</w:t>
      </w:r>
      <w:r>
        <w:rPr/>
        <w:t>. In the sections below, this approach is adapted to allow the incorporation of LULUCF categories. The approach adapted for integrating the LULUCF categories is designed to address three objectives: (i) to enable continued assessment of key source categories without LULUCF (as is described in </w:t>
      </w:r>
      <w:r>
        <w:rPr>
          <w:i/>
        </w:rPr>
        <w:t>GPG2000</w:t>
      </w:r>
      <w:r>
        <w:rPr/>
        <w:t>); (ii) to assess the relative importance of LULUCF categories by integrating them into the overall key category analysis; and (iii) to be consistent with guidance and decisions of the Conference of the Parties to the UNFCCC and the Kyoto Protocol regarding the identification of key</w:t>
      </w:r>
      <w:r>
        <w:rPr>
          <w:spacing w:val="-6"/>
        </w:rPr>
        <w:t> </w:t>
      </w:r>
      <w:r>
        <w:rPr/>
        <w:t>categories.</w:t>
      </w:r>
    </w:p>
    <w:p>
      <w:pPr>
        <w:pStyle w:val="BodyText"/>
        <w:spacing w:before="119"/>
        <w:ind w:left="179"/>
      </w:pPr>
      <w:r>
        <w:rPr/>
        <w:t>With these objectives in mind, the key quantitative category analysis should be performed as follows:</w:t>
      </w:r>
    </w:p>
    <w:p>
      <w:pPr>
        <w:pStyle w:val="ListParagraph"/>
        <w:numPr>
          <w:ilvl w:val="0"/>
          <w:numId w:val="177"/>
        </w:numPr>
        <w:tabs>
          <w:tab w:pos="722" w:val="left" w:leader="none"/>
        </w:tabs>
        <w:spacing w:line="240" w:lineRule="auto" w:before="118" w:after="0"/>
        <w:ind w:left="721" w:right="1401" w:hanging="569"/>
        <w:jc w:val="both"/>
        <w:rPr>
          <w:sz w:val="20"/>
        </w:rPr>
      </w:pPr>
      <w:r>
        <w:rPr>
          <w:sz w:val="20"/>
        </w:rPr>
        <w:t>The key (source) categories should first be identified for the inventory excluding LULUCF (i.e., key categories should be identified for the energy, industrial processes, solvent and other product use, agriculture, and waste sectors) following the guidance in </w:t>
      </w:r>
      <w:r>
        <w:rPr>
          <w:i/>
          <w:sz w:val="20"/>
        </w:rPr>
        <w:t>GPG2000</w:t>
      </w:r>
      <w:r>
        <w:rPr>
          <w:sz w:val="20"/>
        </w:rPr>
        <w:t>, Chapter 7 (Methodological Choice and</w:t>
      </w:r>
      <w:r>
        <w:rPr>
          <w:spacing w:val="-1"/>
          <w:sz w:val="20"/>
        </w:rPr>
        <w:t> </w:t>
      </w:r>
      <w:r>
        <w:rPr>
          <w:sz w:val="20"/>
        </w:rPr>
        <w:t>Recalculation).</w:t>
      </w:r>
    </w:p>
    <w:p>
      <w:pPr>
        <w:pStyle w:val="ListParagraph"/>
        <w:numPr>
          <w:ilvl w:val="0"/>
          <w:numId w:val="177"/>
        </w:numPr>
        <w:tabs>
          <w:tab w:pos="722" w:val="left" w:leader="none"/>
        </w:tabs>
        <w:spacing w:line="240" w:lineRule="auto" w:before="119" w:after="0"/>
        <w:ind w:left="721" w:right="1402" w:hanging="597"/>
        <w:jc w:val="both"/>
        <w:rPr>
          <w:sz w:val="20"/>
        </w:rPr>
      </w:pPr>
      <w:r>
        <w:rPr>
          <w:sz w:val="20"/>
        </w:rPr>
        <w:t>The</w:t>
      </w:r>
      <w:r>
        <w:rPr>
          <w:spacing w:val="-5"/>
          <w:sz w:val="20"/>
        </w:rPr>
        <w:t> </w:t>
      </w:r>
      <w:r>
        <w:rPr>
          <w:sz w:val="20"/>
        </w:rPr>
        <w:t>key</w:t>
      </w:r>
      <w:r>
        <w:rPr>
          <w:spacing w:val="-6"/>
          <w:sz w:val="20"/>
        </w:rPr>
        <w:t> </w:t>
      </w:r>
      <w:r>
        <w:rPr>
          <w:sz w:val="20"/>
        </w:rPr>
        <w:t>category</w:t>
      </w:r>
      <w:r>
        <w:rPr>
          <w:spacing w:val="-5"/>
          <w:sz w:val="20"/>
        </w:rPr>
        <w:t> </w:t>
      </w:r>
      <w:r>
        <w:rPr>
          <w:sz w:val="20"/>
        </w:rPr>
        <w:t>analysis</w:t>
      </w:r>
      <w:r>
        <w:rPr>
          <w:spacing w:val="-6"/>
          <w:sz w:val="20"/>
        </w:rPr>
        <w:t> </w:t>
      </w:r>
      <w:r>
        <w:rPr>
          <w:sz w:val="20"/>
        </w:rPr>
        <w:t>then</w:t>
      </w:r>
      <w:r>
        <w:rPr>
          <w:spacing w:val="-4"/>
          <w:sz w:val="20"/>
        </w:rPr>
        <w:t> </w:t>
      </w:r>
      <w:r>
        <w:rPr>
          <w:spacing w:val="-3"/>
          <w:sz w:val="20"/>
        </w:rPr>
        <w:t>should</w:t>
      </w:r>
      <w:r>
        <w:rPr>
          <w:spacing w:val="-4"/>
          <w:sz w:val="20"/>
        </w:rPr>
        <w:t> </w:t>
      </w:r>
      <w:r>
        <w:rPr>
          <w:sz w:val="20"/>
        </w:rPr>
        <w:t>be</w:t>
      </w:r>
      <w:r>
        <w:rPr>
          <w:spacing w:val="-3"/>
          <w:sz w:val="20"/>
        </w:rPr>
        <w:t> </w:t>
      </w:r>
      <w:r>
        <w:rPr>
          <w:sz w:val="20"/>
        </w:rPr>
        <w:t>repeated</w:t>
      </w:r>
      <w:r>
        <w:rPr>
          <w:spacing w:val="-3"/>
          <w:sz w:val="20"/>
        </w:rPr>
        <w:t> </w:t>
      </w:r>
      <w:r>
        <w:rPr>
          <w:spacing w:val="-2"/>
          <w:sz w:val="20"/>
        </w:rPr>
        <w:t>for </w:t>
      </w:r>
      <w:r>
        <w:rPr>
          <w:sz w:val="20"/>
        </w:rPr>
        <w:t>the</w:t>
      </w:r>
      <w:r>
        <w:rPr>
          <w:spacing w:val="-2"/>
          <w:sz w:val="20"/>
        </w:rPr>
        <w:t> </w:t>
      </w:r>
      <w:r>
        <w:rPr>
          <w:sz w:val="20"/>
        </w:rPr>
        <w:t>full</w:t>
      </w:r>
      <w:r>
        <w:rPr>
          <w:spacing w:val="-5"/>
          <w:sz w:val="20"/>
        </w:rPr>
        <w:t> </w:t>
      </w:r>
      <w:r>
        <w:rPr>
          <w:sz w:val="20"/>
        </w:rPr>
        <w:t>inventory</w:t>
      </w:r>
      <w:r>
        <w:rPr>
          <w:spacing w:val="-5"/>
          <w:sz w:val="20"/>
        </w:rPr>
        <w:t> </w:t>
      </w:r>
      <w:r>
        <w:rPr>
          <w:sz w:val="20"/>
        </w:rPr>
        <w:t>including</w:t>
      </w:r>
      <w:r>
        <w:rPr>
          <w:spacing w:val="-5"/>
          <w:sz w:val="20"/>
        </w:rPr>
        <w:t> </w:t>
      </w:r>
      <w:r>
        <w:rPr>
          <w:sz w:val="20"/>
        </w:rPr>
        <w:t>the</w:t>
      </w:r>
      <w:r>
        <w:rPr>
          <w:spacing w:val="-2"/>
          <w:sz w:val="20"/>
        </w:rPr>
        <w:t> </w:t>
      </w:r>
      <w:r>
        <w:rPr>
          <w:sz w:val="20"/>
        </w:rPr>
        <w:t>LULUCF</w:t>
      </w:r>
      <w:r>
        <w:rPr>
          <w:spacing w:val="-6"/>
          <w:sz w:val="20"/>
        </w:rPr>
        <w:t> </w:t>
      </w:r>
      <w:r>
        <w:rPr>
          <w:sz w:val="20"/>
        </w:rPr>
        <w:t>categories. It</w:t>
      </w:r>
      <w:r>
        <w:rPr>
          <w:spacing w:val="-7"/>
          <w:sz w:val="20"/>
        </w:rPr>
        <w:t> </w:t>
      </w:r>
      <w:r>
        <w:rPr>
          <w:sz w:val="20"/>
        </w:rPr>
        <w:t>is</w:t>
      </w:r>
      <w:r>
        <w:rPr>
          <w:spacing w:val="-7"/>
          <w:sz w:val="20"/>
        </w:rPr>
        <w:t> </w:t>
      </w:r>
      <w:r>
        <w:rPr>
          <w:sz w:val="20"/>
        </w:rPr>
        <w:t>possible</w:t>
      </w:r>
      <w:r>
        <w:rPr>
          <w:spacing w:val="-6"/>
          <w:sz w:val="20"/>
        </w:rPr>
        <w:t> </w:t>
      </w:r>
      <w:r>
        <w:rPr>
          <w:sz w:val="20"/>
        </w:rPr>
        <w:t>that</w:t>
      </w:r>
      <w:r>
        <w:rPr>
          <w:spacing w:val="-7"/>
          <w:sz w:val="20"/>
        </w:rPr>
        <w:t> </w:t>
      </w:r>
      <w:r>
        <w:rPr>
          <w:sz w:val="20"/>
        </w:rPr>
        <w:t>some</w:t>
      </w:r>
      <w:r>
        <w:rPr>
          <w:spacing w:val="-4"/>
          <w:sz w:val="20"/>
        </w:rPr>
        <w:t> </w:t>
      </w:r>
      <w:r>
        <w:rPr>
          <w:sz w:val="20"/>
        </w:rPr>
        <w:t>non-LULUCF</w:t>
      </w:r>
      <w:r>
        <w:rPr>
          <w:spacing w:val="-8"/>
          <w:sz w:val="20"/>
        </w:rPr>
        <w:t> </w:t>
      </w:r>
      <w:r>
        <w:rPr>
          <w:sz w:val="20"/>
        </w:rPr>
        <w:t>categories</w:t>
      </w:r>
      <w:r>
        <w:rPr>
          <w:spacing w:val="-7"/>
          <w:sz w:val="20"/>
        </w:rPr>
        <w:t> </w:t>
      </w:r>
      <w:r>
        <w:rPr>
          <w:sz w:val="20"/>
        </w:rPr>
        <w:t>identified</w:t>
      </w:r>
      <w:r>
        <w:rPr>
          <w:spacing w:val="-6"/>
          <w:sz w:val="20"/>
        </w:rPr>
        <w:t> </w:t>
      </w:r>
      <w:r>
        <w:rPr>
          <w:sz w:val="20"/>
        </w:rPr>
        <w:t>as</w:t>
      </w:r>
      <w:r>
        <w:rPr>
          <w:spacing w:val="-7"/>
          <w:sz w:val="20"/>
        </w:rPr>
        <w:t> </w:t>
      </w:r>
      <w:r>
        <w:rPr>
          <w:sz w:val="20"/>
        </w:rPr>
        <w:t>key</w:t>
      </w:r>
      <w:r>
        <w:rPr>
          <w:spacing w:val="-8"/>
          <w:sz w:val="20"/>
        </w:rPr>
        <w:t> </w:t>
      </w:r>
      <w:r>
        <w:rPr>
          <w:sz w:val="20"/>
        </w:rPr>
        <w:t>in</w:t>
      </w:r>
      <w:r>
        <w:rPr>
          <w:spacing w:val="-8"/>
          <w:sz w:val="20"/>
        </w:rPr>
        <w:t> </w:t>
      </w:r>
      <w:r>
        <w:rPr>
          <w:sz w:val="20"/>
        </w:rPr>
        <w:t>the</w:t>
      </w:r>
      <w:r>
        <w:rPr>
          <w:spacing w:val="-7"/>
          <w:sz w:val="20"/>
        </w:rPr>
        <w:t> </w:t>
      </w:r>
      <w:r>
        <w:rPr>
          <w:sz w:val="20"/>
        </w:rPr>
        <w:t>first</w:t>
      </w:r>
      <w:r>
        <w:rPr>
          <w:spacing w:val="-6"/>
          <w:sz w:val="20"/>
        </w:rPr>
        <w:t> </w:t>
      </w:r>
      <w:r>
        <w:rPr>
          <w:sz w:val="20"/>
        </w:rPr>
        <w:t>analysis</w:t>
      </w:r>
      <w:r>
        <w:rPr>
          <w:spacing w:val="-6"/>
          <w:sz w:val="20"/>
        </w:rPr>
        <w:t> </w:t>
      </w:r>
      <w:r>
        <w:rPr>
          <w:sz w:val="20"/>
        </w:rPr>
        <w:t>will</w:t>
      </w:r>
      <w:r>
        <w:rPr>
          <w:spacing w:val="-4"/>
          <w:sz w:val="20"/>
        </w:rPr>
        <w:t> </w:t>
      </w:r>
      <w:r>
        <w:rPr>
          <w:spacing w:val="-2"/>
          <w:sz w:val="20"/>
        </w:rPr>
        <w:t>not</w:t>
      </w:r>
      <w:r>
        <w:rPr>
          <w:spacing w:val="-7"/>
          <w:sz w:val="20"/>
        </w:rPr>
        <w:t> </w:t>
      </w:r>
      <w:r>
        <w:rPr>
          <w:sz w:val="20"/>
        </w:rPr>
        <w:t>appear</w:t>
      </w:r>
      <w:r>
        <w:rPr>
          <w:spacing w:val="-6"/>
          <w:sz w:val="20"/>
        </w:rPr>
        <w:t> </w:t>
      </w:r>
      <w:r>
        <w:rPr>
          <w:sz w:val="20"/>
        </w:rPr>
        <w:t>as</w:t>
      </w:r>
      <w:r>
        <w:rPr>
          <w:spacing w:val="-6"/>
          <w:sz w:val="20"/>
        </w:rPr>
        <w:t> </w:t>
      </w:r>
      <w:r>
        <w:rPr>
          <w:sz w:val="20"/>
        </w:rPr>
        <w:t>key when</w:t>
      </w:r>
      <w:r>
        <w:rPr>
          <w:spacing w:val="-14"/>
          <w:sz w:val="20"/>
        </w:rPr>
        <w:t> </w:t>
      </w:r>
      <w:r>
        <w:rPr>
          <w:sz w:val="20"/>
        </w:rPr>
        <w:t>the</w:t>
      </w:r>
      <w:r>
        <w:rPr>
          <w:spacing w:val="-11"/>
          <w:sz w:val="20"/>
        </w:rPr>
        <w:t> </w:t>
      </w:r>
      <w:r>
        <w:rPr>
          <w:sz w:val="20"/>
        </w:rPr>
        <w:t>LULUCF</w:t>
      </w:r>
      <w:r>
        <w:rPr>
          <w:spacing w:val="-13"/>
          <w:sz w:val="20"/>
        </w:rPr>
        <w:t> </w:t>
      </w:r>
      <w:r>
        <w:rPr>
          <w:sz w:val="20"/>
        </w:rPr>
        <w:t>categories</w:t>
      </w:r>
      <w:r>
        <w:rPr>
          <w:spacing w:val="-11"/>
          <w:sz w:val="20"/>
        </w:rPr>
        <w:t> </w:t>
      </w:r>
      <w:r>
        <w:rPr>
          <w:sz w:val="20"/>
        </w:rPr>
        <w:t>are</w:t>
      </w:r>
      <w:r>
        <w:rPr>
          <w:spacing w:val="-13"/>
          <w:sz w:val="20"/>
        </w:rPr>
        <w:t> </w:t>
      </w:r>
      <w:r>
        <w:rPr>
          <w:sz w:val="20"/>
        </w:rPr>
        <w:t>included.</w:t>
      </w:r>
      <w:r>
        <w:rPr>
          <w:spacing w:val="-13"/>
          <w:sz w:val="20"/>
        </w:rPr>
        <w:t> </w:t>
      </w:r>
      <w:r>
        <w:rPr>
          <w:sz w:val="20"/>
        </w:rPr>
        <w:t>In</w:t>
      </w:r>
      <w:r>
        <w:rPr>
          <w:spacing w:val="-13"/>
          <w:sz w:val="20"/>
        </w:rPr>
        <w:t> </w:t>
      </w:r>
      <w:r>
        <w:rPr>
          <w:sz w:val="20"/>
        </w:rPr>
        <w:t>this</w:t>
      </w:r>
      <w:r>
        <w:rPr>
          <w:spacing w:val="-15"/>
          <w:sz w:val="20"/>
        </w:rPr>
        <w:t> </w:t>
      </w:r>
      <w:r>
        <w:rPr>
          <w:sz w:val="20"/>
        </w:rPr>
        <w:t>case,</w:t>
      </w:r>
      <w:r>
        <w:rPr>
          <w:spacing w:val="-12"/>
          <w:sz w:val="20"/>
        </w:rPr>
        <w:t> </w:t>
      </w:r>
      <w:r>
        <w:rPr>
          <w:spacing w:val="-3"/>
          <w:sz w:val="20"/>
        </w:rPr>
        <w:t>these</w:t>
      </w:r>
      <w:r>
        <w:rPr>
          <w:spacing w:val="-11"/>
          <w:sz w:val="20"/>
        </w:rPr>
        <w:t> </w:t>
      </w:r>
      <w:r>
        <w:rPr>
          <w:sz w:val="20"/>
        </w:rPr>
        <w:t>categories</w:t>
      </w:r>
      <w:r>
        <w:rPr>
          <w:spacing w:val="-13"/>
          <w:sz w:val="20"/>
        </w:rPr>
        <w:t> </w:t>
      </w:r>
      <w:r>
        <w:rPr>
          <w:sz w:val="20"/>
        </w:rPr>
        <w:t>should</w:t>
      </w:r>
      <w:r>
        <w:rPr>
          <w:spacing w:val="-13"/>
          <w:sz w:val="20"/>
        </w:rPr>
        <w:t> </w:t>
      </w:r>
      <w:r>
        <w:rPr>
          <w:sz w:val="20"/>
        </w:rPr>
        <w:t>still</w:t>
      </w:r>
      <w:r>
        <w:rPr>
          <w:spacing w:val="-13"/>
          <w:sz w:val="20"/>
        </w:rPr>
        <w:t> </w:t>
      </w:r>
      <w:r>
        <w:rPr>
          <w:sz w:val="20"/>
        </w:rPr>
        <w:t>be</w:t>
      </w:r>
      <w:r>
        <w:rPr>
          <w:spacing w:val="-12"/>
          <w:sz w:val="20"/>
        </w:rPr>
        <w:t> </w:t>
      </w:r>
      <w:r>
        <w:rPr>
          <w:sz w:val="20"/>
        </w:rPr>
        <w:t>considered</w:t>
      </w:r>
      <w:r>
        <w:rPr>
          <w:spacing w:val="-13"/>
          <w:sz w:val="20"/>
        </w:rPr>
        <w:t> </w:t>
      </w:r>
      <w:r>
        <w:rPr>
          <w:sz w:val="20"/>
        </w:rPr>
        <w:t>as</w:t>
      </w:r>
      <w:r>
        <w:rPr>
          <w:spacing w:val="-13"/>
          <w:sz w:val="20"/>
        </w:rPr>
        <w:t> </w:t>
      </w:r>
      <w:r>
        <w:rPr>
          <w:sz w:val="20"/>
        </w:rPr>
        <w:t>key.</w:t>
      </w:r>
      <w:r>
        <w:rPr>
          <w:spacing w:val="-11"/>
          <w:sz w:val="20"/>
        </w:rPr>
        <w:t> </w:t>
      </w:r>
      <w:r>
        <w:rPr>
          <w:sz w:val="20"/>
        </w:rPr>
        <w:t>In a few cases, in countries with small </w:t>
      </w:r>
      <w:r>
        <w:rPr>
          <w:spacing w:val="-2"/>
          <w:sz w:val="20"/>
        </w:rPr>
        <w:t>net </w:t>
      </w:r>
      <w:r>
        <w:rPr>
          <w:sz w:val="20"/>
        </w:rPr>
        <w:t>LULUCF </w:t>
      </w:r>
      <w:r>
        <w:rPr>
          <w:spacing w:val="-2"/>
          <w:sz w:val="20"/>
        </w:rPr>
        <w:t>emissions </w:t>
      </w:r>
      <w:r>
        <w:rPr>
          <w:sz w:val="20"/>
        </w:rPr>
        <w:t>or removals, the integrated analysis may identify additional </w:t>
      </w:r>
      <w:r>
        <w:rPr>
          <w:spacing w:val="-3"/>
          <w:sz w:val="20"/>
        </w:rPr>
        <w:t>non-LULUCF </w:t>
      </w:r>
      <w:r>
        <w:rPr>
          <w:sz w:val="20"/>
        </w:rPr>
        <w:t>categories as key. In this situation, the analysis performed </w:t>
      </w:r>
      <w:r>
        <w:rPr>
          <w:spacing w:val="-2"/>
          <w:sz w:val="20"/>
        </w:rPr>
        <w:t>for </w:t>
      </w:r>
      <w:r>
        <w:rPr>
          <w:spacing w:val="-3"/>
          <w:sz w:val="20"/>
        </w:rPr>
        <w:t>the </w:t>
      </w:r>
      <w:r>
        <w:rPr>
          <w:sz w:val="20"/>
        </w:rPr>
        <w:t>non- LULUCF sectors </w:t>
      </w:r>
      <w:r>
        <w:rPr>
          <w:spacing w:val="-3"/>
          <w:sz w:val="20"/>
        </w:rPr>
        <w:t>should </w:t>
      </w:r>
      <w:r>
        <w:rPr>
          <w:sz w:val="20"/>
        </w:rPr>
        <w:t>be </w:t>
      </w:r>
      <w:r>
        <w:rPr>
          <w:spacing w:val="-3"/>
          <w:sz w:val="20"/>
        </w:rPr>
        <w:t>used </w:t>
      </w:r>
      <w:r>
        <w:rPr>
          <w:sz w:val="20"/>
        </w:rPr>
        <w:t>to identify the key categories in </w:t>
      </w:r>
      <w:r>
        <w:rPr>
          <w:spacing w:val="-3"/>
          <w:sz w:val="20"/>
        </w:rPr>
        <w:t>those </w:t>
      </w:r>
      <w:r>
        <w:rPr>
          <w:sz w:val="20"/>
        </w:rPr>
        <w:t>sectors, and the </w:t>
      </w:r>
      <w:r>
        <w:rPr>
          <w:spacing w:val="-3"/>
          <w:sz w:val="20"/>
        </w:rPr>
        <w:t>additional </w:t>
      </w:r>
      <w:r>
        <w:rPr>
          <w:sz w:val="20"/>
        </w:rPr>
        <w:t>non- LULUCF</w:t>
      </w:r>
      <w:r>
        <w:rPr>
          <w:spacing w:val="-8"/>
          <w:sz w:val="20"/>
        </w:rPr>
        <w:t> </w:t>
      </w:r>
      <w:r>
        <w:rPr>
          <w:sz w:val="20"/>
        </w:rPr>
        <w:t>categories</w:t>
      </w:r>
      <w:r>
        <w:rPr>
          <w:spacing w:val="-9"/>
          <w:sz w:val="20"/>
        </w:rPr>
        <w:t> </w:t>
      </w:r>
      <w:r>
        <w:rPr>
          <w:sz w:val="20"/>
        </w:rPr>
        <w:t>identified</w:t>
      </w:r>
      <w:r>
        <w:rPr>
          <w:spacing w:val="-5"/>
          <w:sz w:val="20"/>
        </w:rPr>
        <w:t> </w:t>
      </w:r>
      <w:r>
        <w:rPr>
          <w:sz w:val="20"/>
        </w:rPr>
        <w:t>in</w:t>
      </w:r>
      <w:r>
        <w:rPr>
          <w:spacing w:val="-7"/>
          <w:sz w:val="20"/>
        </w:rPr>
        <w:t> </w:t>
      </w:r>
      <w:r>
        <w:rPr>
          <w:sz w:val="20"/>
        </w:rPr>
        <w:t>the</w:t>
      </w:r>
      <w:r>
        <w:rPr>
          <w:spacing w:val="-7"/>
          <w:sz w:val="20"/>
        </w:rPr>
        <w:t> </w:t>
      </w:r>
      <w:r>
        <w:rPr>
          <w:sz w:val="20"/>
        </w:rPr>
        <w:t>combined</w:t>
      </w:r>
      <w:r>
        <w:rPr>
          <w:spacing w:val="-7"/>
          <w:sz w:val="20"/>
        </w:rPr>
        <w:t> </w:t>
      </w:r>
      <w:r>
        <w:rPr>
          <w:sz w:val="20"/>
        </w:rPr>
        <w:t>analysis</w:t>
      </w:r>
      <w:r>
        <w:rPr>
          <w:spacing w:val="-7"/>
          <w:sz w:val="20"/>
        </w:rPr>
        <w:t> </w:t>
      </w:r>
      <w:r>
        <w:rPr>
          <w:sz w:val="20"/>
        </w:rPr>
        <w:t>should</w:t>
      </w:r>
      <w:r>
        <w:rPr>
          <w:spacing w:val="-7"/>
          <w:sz w:val="20"/>
        </w:rPr>
        <w:t> </w:t>
      </w:r>
      <w:r>
        <w:rPr>
          <w:spacing w:val="-2"/>
          <w:sz w:val="20"/>
        </w:rPr>
        <w:t>not</w:t>
      </w:r>
      <w:r>
        <w:rPr>
          <w:spacing w:val="-7"/>
          <w:sz w:val="20"/>
        </w:rPr>
        <w:t> </w:t>
      </w:r>
      <w:r>
        <w:rPr>
          <w:sz w:val="20"/>
        </w:rPr>
        <w:t>be</w:t>
      </w:r>
      <w:r>
        <w:rPr>
          <w:spacing w:val="-7"/>
          <w:sz w:val="20"/>
        </w:rPr>
        <w:t> </w:t>
      </w:r>
      <w:r>
        <w:rPr>
          <w:sz w:val="20"/>
        </w:rPr>
        <w:t>considered</w:t>
      </w:r>
      <w:r>
        <w:rPr>
          <w:spacing w:val="-7"/>
          <w:sz w:val="20"/>
        </w:rPr>
        <w:t> </w:t>
      </w:r>
      <w:r>
        <w:rPr>
          <w:sz w:val="20"/>
        </w:rPr>
        <w:t>as</w:t>
      </w:r>
      <w:r>
        <w:rPr>
          <w:spacing w:val="-6"/>
          <w:sz w:val="20"/>
        </w:rPr>
        <w:t> </w:t>
      </w:r>
      <w:r>
        <w:rPr>
          <w:sz w:val="20"/>
        </w:rPr>
        <w:t>key.</w:t>
      </w:r>
    </w:p>
    <w:p>
      <w:pPr>
        <w:pStyle w:val="BodyText"/>
        <w:spacing w:before="121"/>
        <w:ind w:left="179" w:right="1405"/>
        <w:jc w:val="both"/>
      </w:pPr>
      <w:r>
        <w:rPr/>
        <w:t>Any agency that has developed an essentially complete greenhouse gas inventory can perform a Tier 1 Level Assessment to identify key source or sink categories for the overall emission level. Those inventory agencies that have developed emission inventories for more than one year will also be able to perform a Tier 1 Trend Assessment to identify key categories that influence the trend in emissions. If national category uncertainties or parameter uncertainties are available, inventory agencies can use Tier 2 to identify </w:t>
      </w:r>
      <w:r>
        <w:rPr>
          <w:i/>
        </w:rPr>
        <w:t>key categories. </w:t>
      </w:r>
      <w:r>
        <w:rPr/>
        <w:t>The Tier 2 approach is more detailed than the Tier 1 and is likely to reduce the number of </w:t>
      </w:r>
      <w:r>
        <w:rPr>
          <w:i/>
        </w:rPr>
        <w:t>key categories </w:t>
      </w:r>
      <w:r>
        <w:rPr/>
        <w:t>identified. The Tier 2 approach may also take into account a higher complexity, for example assessing key activity data and estimation parameters separately. If both Tier 1 and Tier 2 analysis have been performed it is </w:t>
      </w:r>
      <w:r>
        <w:rPr>
          <w:i/>
        </w:rPr>
        <w:t>good practice </w:t>
      </w:r>
      <w:r>
        <w:rPr/>
        <w:t>to use the results of the Tier 2</w:t>
      </w:r>
      <w:r>
        <w:rPr>
          <w:spacing w:val="-4"/>
        </w:rPr>
        <w:t> </w:t>
      </w:r>
      <w:r>
        <w:rPr/>
        <w:t>analysis.</w:t>
      </w:r>
    </w:p>
    <w:p>
      <w:pPr>
        <w:pStyle w:val="BodyText"/>
        <w:rPr>
          <w:sz w:val="22"/>
        </w:rPr>
      </w:pPr>
    </w:p>
    <w:p>
      <w:pPr>
        <w:tabs>
          <w:tab w:pos="1881" w:val="left" w:leader="none"/>
        </w:tabs>
        <w:spacing w:before="144"/>
        <w:ind w:left="179" w:right="0" w:firstLine="0"/>
        <w:jc w:val="both"/>
        <w:rPr>
          <w:b/>
          <w:sz w:val="20"/>
        </w:rPr>
      </w:pPr>
      <w:r>
        <w:rPr/>
        <w:pict>
          <v:group style="position:absolute;margin-left:133.345993pt;margin-top:23.966795pt;width:323.45pt;height:198.4pt;mso-position-horizontal-relative:page;mso-position-vertical-relative:paragraph;z-index:28040;mso-wrap-distance-left:0;mso-wrap-distance-right:0" coordorigin="2667,479" coordsize="6469,3968">
            <v:shape style="position:absolute;left:3034;top:486;width:2153;height:1450" coordorigin="3034,487" coordsize="2153,1450" path="m4110,487l3034,1212,4110,1936,5187,1212,4110,487xe" filled="false" stroked="true" strokeweight=".75pt" strokecolor="#010101">
              <v:path arrowok="t"/>
              <v:stroke dashstyle="solid"/>
            </v:shape>
            <v:shape style="position:absolute;left:4049;top:1950;width:120;height:346" type="#_x0000_t75" stroked="false">
              <v:imagedata r:id="rId425" o:title=""/>
            </v:shape>
            <v:shape style="position:absolute;left:2674;top:2296;width:2873;height:1812" coordorigin="2674,2296" coordsize="2873,1812" path="m4110,2296l2674,3201,4110,4108,5547,3201,4110,2296xe" filled="false" stroked="true" strokeweight=".75pt" strokecolor="#010101">
              <v:path arrowok="t"/>
              <v:stroke dashstyle="solid"/>
            </v:shape>
            <v:shape style="position:absolute;left:4054;top:4098;width:120;height:348" type="#_x0000_t75" stroked="false">
              <v:imagedata r:id="rId426" o:title=""/>
            </v:shape>
            <v:shape style="position:absolute;left:5523;top:3143;width:1028;height:120" coordorigin="5523,3144" coordsize="1028,120" path="m6454,3194l6430,3194,6430,3264,6532,3211,6454,3211,6459,3206,6459,3199,6454,3194xm6430,3194l5530,3196,5526,3196,5523,3199,5523,3208,5526,3211,6430,3211,6430,3194xm6535,3194l6454,3194,6459,3199,6459,3206,6454,3211,6532,3211,6550,3201,6535,3194xm6430,3144l6430,3194,6535,3194,6430,3144xe" filled="true" fillcolor="#010101" stroked="false">
              <v:path arrowok="t"/>
              <v:fill type="solid"/>
            </v:shape>
            <v:shape style="position:absolute;left:5180;top:1151;width:1368;height:120" coordorigin="5180,1152" coordsize="1368,120" path="m6452,1202l6428,1202,6428,1272,6530,1219,6452,1219,6457,1214,6457,1207,6452,1202xm6428,1202l5187,1204,5182,1204,5180,1207,5180,1216,5182,1219,6428,1219,6428,1202xm6533,1202l6452,1202,6457,1207,6457,1214,6452,1219,6530,1219,6548,1209,6533,1202xm6428,1152l6428,1202,6533,1202,6428,1152xe" filled="true" fillcolor="#010101" stroked="false">
              <v:path arrowok="t"/>
              <v:fill type="solid"/>
            </v:shape>
            <v:shape style="position:absolute;left:3418;top:558;width:1409;height:1147" type="#_x0000_t202" filled="false" stroked="false">
              <v:textbox inset="0,0,0,0">
                <w:txbxContent>
                  <w:p>
                    <w:pPr>
                      <w:spacing w:line="240" w:lineRule="auto" w:before="0"/>
                      <w:ind w:left="312" w:right="310" w:firstLine="232"/>
                      <w:jc w:val="left"/>
                      <w:rPr>
                        <w:sz w:val="20"/>
                      </w:rPr>
                    </w:pPr>
                    <w:r>
                      <w:rPr>
                        <w:sz w:val="20"/>
                      </w:rPr>
                      <w:t>Are inventory</w:t>
                    </w:r>
                  </w:p>
                  <w:p>
                    <w:pPr>
                      <w:spacing w:line="242" w:lineRule="auto" w:before="0"/>
                      <w:ind w:left="290" w:right="18" w:hanging="291"/>
                      <w:jc w:val="left"/>
                      <w:rPr>
                        <w:sz w:val="20"/>
                      </w:rPr>
                    </w:pPr>
                    <w:r>
                      <w:rPr>
                        <w:sz w:val="20"/>
                      </w:rPr>
                      <w:t>data available for more than one</w:t>
                    </w:r>
                    <w:r>
                      <w:rPr>
                        <w:spacing w:val="1"/>
                        <w:sz w:val="20"/>
                      </w:rPr>
                      <w:t> </w:t>
                    </w:r>
                    <w:r>
                      <w:rPr>
                        <w:sz w:val="20"/>
                      </w:rPr>
                      <w:t>year?</w:t>
                    </w:r>
                  </w:p>
                </w:txbxContent>
              </v:textbox>
              <w10:wrap type="none"/>
            </v:shape>
            <v:shape style="position:absolute;left:5367;top:926;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3293;top:1943;width:1712;height:1913" type="#_x0000_t202" filled="false" stroked="false">
              <v:textbox inset="0,0,0,0">
                <w:txbxContent>
                  <w:p>
                    <w:pPr>
                      <w:spacing w:line="221" w:lineRule="exact" w:before="0"/>
                      <w:ind w:left="187" w:right="0" w:firstLine="0"/>
                      <w:jc w:val="left"/>
                      <w:rPr>
                        <w:sz w:val="20"/>
                      </w:rPr>
                    </w:pPr>
                    <w:r>
                      <w:rPr>
                        <w:sz w:val="20"/>
                      </w:rPr>
                      <w:t>Yes</w:t>
                    </w:r>
                  </w:p>
                  <w:p>
                    <w:pPr>
                      <w:spacing w:line="240" w:lineRule="auto" w:before="8"/>
                      <w:rPr>
                        <w:b/>
                        <w:sz w:val="26"/>
                      </w:rPr>
                    </w:pPr>
                  </w:p>
                  <w:p>
                    <w:pPr>
                      <w:spacing w:before="0"/>
                      <w:ind w:left="187" w:right="150" w:firstLine="508"/>
                      <w:jc w:val="left"/>
                      <w:rPr>
                        <w:sz w:val="20"/>
                      </w:rPr>
                    </w:pPr>
                    <w:r>
                      <w:rPr>
                        <w:sz w:val="20"/>
                      </w:rPr>
                      <w:t>Are country- specific</w:t>
                    </w:r>
                  </w:p>
                  <w:p>
                    <w:pPr>
                      <w:spacing w:before="0"/>
                      <w:ind w:left="0" w:right="18" w:firstLine="0"/>
                      <w:jc w:val="center"/>
                      <w:rPr>
                        <w:sz w:val="20"/>
                      </w:rPr>
                    </w:pPr>
                    <w:r>
                      <w:rPr>
                        <w:sz w:val="20"/>
                      </w:rPr>
                      <w:t>uncertainty</w:t>
                    </w:r>
                    <w:r>
                      <w:rPr>
                        <w:spacing w:val="-18"/>
                        <w:sz w:val="20"/>
                      </w:rPr>
                      <w:t> </w:t>
                    </w:r>
                    <w:r>
                      <w:rPr>
                        <w:sz w:val="20"/>
                      </w:rPr>
                      <w:t>estimates available for each category</w:t>
                    </w:r>
                  </w:p>
                  <w:p>
                    <w:pPr>
                      <w:spacing w:before="5"/>
                      <w:ind w:left="0" w:right="20" w:firstLine="0"/>
                      <w:jc w:val="center"/>
                      <w:rPr>
                        <w:sz w:val="20"/>
                      </w:rPr>
                    </w:pPr>
                    <w:r>
                      <w:rPr>
                        <w:sz w:val="20"/>
                      </w:rPr>
                      <w:t>estimate?</w:t>
                    </w:r>
                  </w:p>
                </w:txbxContent>
              </v:textbox>
              <w10:wrap type="none"/>
            </v:shape>
            <v:shape style="position:absolute;left:5681;top:2843;width:264;height:221" type="#_x0000_t202" filled="false" stroked="false">
              <v:textbox inset="0,0,0,0">
                <w:txbxContent>
                  <w:p>
                    <w:pPr>
                      <w:spacing w:line="221" w:lineRule="exact" w:before="0"/>
                      <w:ind w:left="0" w:right="0" w:firstLine="0"/>
                      <w:jc w:val="left"/>
                      <w:rPr>
                        <w:sz w:val="20"/>
                      </w:rPr>
                    </w:pPr>
                    <w:r>
                      <w:rPr>
                        <w:sz w:val="20"/>
                      </w:rPr>
                      <w:t>No</w:t>
                    </w:r>
                  </w:p>
                </w:txbxContent>
              </v:textbox>
              <w10:wrap type="none"/>
            </v:shape>
            <v:shape style="position:absolute;left:3454;top:4110;width:329;height:221" type="#_x0000_t202" filled="false" stroked="false">
              <v:textbox inset="0,0,0,0">
                <w:txbxContent>
                  <w:p>
                    <w:pPr>
                      <w:spacing w:line="221" w:lineRule="exact" w:before="0"/>
                      <w:ind w:left="0" w:right="0" w:firstLine="0"/>
                      <w:jc w:val="left"/>
                      <w:rPr>
                        <w:sz w:val="20"/>
                      </w:rPr>
                    </w:pPr>
                    <w:r>
                      <w:rPr>
                        <w:sz w:val="20"/>
                      </w:rPr>
                      <w:t>Yes</w:t>
                    </w:r>
                  </w:p>
                </w:txbxContent>
              </v:textbox>
              <w10:wrap type="none"/>
            </v:shape>
            <v:shape style="position:absolute;left:6548;top:2658;width:2573;height:1136" type="#_x0000_t202" filled="false" stroked="true" strokeweight="1.5pt" strokecolor="#010101">
              <v:textbox inset="0,0,0,0">
                <w:txbxContent>
                  <w:p>
                    <w:pPr>
                      <w:spacing w:line="242" w:lineRule="auto" w:before="100"/>
                      <w:ind w:left="220" w:right="219" w:firstLine="1"/>
                      <w:jc w:val="center"/>
                      <w:rPr>
                        <w:sz w:val="20"/>
                      </w:rPr>
                    </w:pPr>
                    <w:r>
                      <w:rPr>
                        <w:sz w:val="20"/>
                      </w:rPr>
                      <w:t>Determine </w:t>
                    </w:r>
                    <w:r>
                      <w:rPr>
                        <w:i/>
                        <w:sz w:val="20"/>
                      </w:rPr>
                      <w:t>key categories </w:t>
                    </w:r>
                    <w:r>
                      <w:rPr>
                        <w:sz w:val="20"/>
                      </w:rPr>
                      <w:t>using the Tier 1 Level</w:t>
                    </w:r>
                    <w:r>
                      <w:rPr>
                        <w:spacing w:val="-15"/>
                        <w:sz w:val="20"/>
                      </w:rPr>
                      <w:t> </w:t>
                    </w:r>
                    <w:r>
                      <w:rPr>
                        <w:sz w:val="20"/>
                      </w:rPr>
                      <w:t>and Trend Assessment and qualitative</w:t>
                    </w:r>
                    <w:r>
                      <w:rPr>
                        <w:spacing w:val="-6"/>
                        <w:sz w:val="20"/>
                      </w:rPr>
                      <w:t> </w:t>
                    </w:r>
                    <w:r>
                      <w:rPr>
                        <w:sz w:val="20"/>
                      </w:rPr>
                      <w:t>considerations</w:t>
                    </w:r>
                  </w:p>
                </w:txbxContent>
              </v:textbox>
              <v:stroke dashstyle="solid"/>
              <w10:wrap type="none"/>
            </v:shape>
            <v:shape style="position:absolute;left:6574;top:688;width:2547;height:1133" type="#_x0000_t202" filled="false" stroked="true" strokeweight="1.5pt" strokecolor="#010101">
              <v:textbox inset="0,0,0,0">
                <w:txbxContent>
                  <w:p>
                    <w:pPr>
                      <w:spacing w:line="242" w:lineRule="auto" w:before="98"/>
                      <w:ind w:left="169" w:right="169" w:hanging="1"/>
                      <w:jc w:val="center"/>
                      <w:rPr>
                        <w:sz w:val="20"/>
                      </w:rPr>
                    </w:pPr>
                    <w:r>
                      <w:rPr>
                        <w:sz w:val="20"/>
                      </w:rPr>
                      <w:t>Determine </w:t>
                    </w:r>
                    <w:r>
                      <w:rPr>
                        <w:i/>
                        <w:sz w:val="20"/>
                      </w:rPr>
                      <w:t>key categories </w:t>
                    </w:r>
                    <w:r>
                      <w:rPr>
                        <w:sz w:val="20"/>
                      </w:rPr>
                      <w:t>using the Tier 1 Level Assessment and qualitative considerations</w:t>
                    </w:r>
                  </w:p>
                </w:txbxContent>
              </v:textbox>
              <v:stroke dashstyle="solid"/>
              <w10:wrap type="none"/>
            </v:shape>
            <w10:wrap type="topAndBottom"/>
          </v:group>
        </w:pict>
      </w:r>
      <w:r>
        <w:rPr>
          <w:b/>
          <w:spacing w:val="8"/>
          <w:sz w:val="20"/>
        </w:rPr>
        <w:t>Figure</w:t>
      </w:r>
      <w:r>
        <w:rPr>
          <w:b/>
          <w:spacing w:val="18"/>
          <w:sz w:val="20"/>
        </w:rPr>
        <w:t> </w:t>
      </w:r>
      <w:r>
        <w:rPr>
          <w:b/>
          <w:spacing w:val="8"/>
          <w:sz w:val="20"/>
        </w:rPr>
        <w:t>5.4.1</w:t>
        <w:tab/>
        <w:t>Decision</w:t>
      </w:r>
      <w:r>
        <w:rPr>
          <w:b/>
          <w:spacing w:val="19"/>
          <w:sz w:val="20"/>
        </w:rPr>
        <w:t> </w:t>
      </w:r>
      <w:r>
        <w:rPr>
          <w:b/>
          <w:spacing w:val="8"/>
          <w:sz w:val="20"/>
        </w:rPr>
        <w:t>tree</w:t>
      </w:r>
      <w:r>
        <w:rPr>
          <w:b/>
          <w:spacing w:val="20"/>
          <w:sz w:val="20"/>
        </w:rPr>
        <w:t> </w:t>
      </w:r>
      <w:r>
        <w:rPr>
          <w:b/>
          <w:spacing w:val="5"/>
          <w:sz w:val="20"/>
        </w:rPr>
        <w:t>to</w:t>
      </w:r>
      <w:r>
        <w:rPr>
          <w:b/>
          <w:spacing w:val="20"/>
          <w:sz w:val="20"/>
        </w:rPr>
        <w:t> </w:t>
      </w:r>
      <w:r>
        <w:rPr>
          <w:b/>
          <w:spacing w:val="8"/>
          <w:sz w:val="20"/>
        </w:rPr>
        <w:t>identify</w:t>
      </w:r>
      <w:r>
        <w:rPr>
          <w:b/>
          <w:spacing w:val="22"/>
          <w:sz w:val="20"/>
        </w:rPr>
        <w:t> </w:t>
      </w:r>
      <w:r>
        <w:rPr>
          <w:b/>
          <w:spacing w:val="6"/>
          <w:sz w:val="20"/>
        </w:rPr>
        <w:t>key</w:t>
      </w:r>
      <w:r>
        <w:rPr>
          <w:b/>
          <w:spacing w:val="20"/>
          <w:sz w:val="20"/>
        </w:rPr>
        <w:t> </w:t>
      </w:r>
      <w:r>
        <w:rPr>
          <w:b/>
          <w:spacing w:val="9"/>
          <w:sz w:val="20"/>
        </w:rPr>
        <w:t>categories</w:t>
      </w:r>
      <w:r>
        <w:rPr>
          <w:b/>
          <w:spacing w:val="18"/>
          <w:sz w:val="20"/>
        </w:rPr>
        <w:t> </w:t>
      </w:r>
      <w:r>
        <w:rPr>
          <w:b/>
          <w:spacing w:val="5"/>
          <w:sz w:val="20"/>
        </w:rPr>
        <w:t>of</w:t>
      </w:r>
      <w:r>
        <w:rPr>
          <w:b/>
          <w:spacing w:val="20"/>
          <w:sz w:val="20"/>
        </w:rPr>
        <w:t> </w:t>
      </w:r>
      <w:r>
        <w:rPr>
          <w:b/>
          <w:spacing w:val="8"/>
          <w:sz w:val="20"/>
        </w:rPr>
        <w:t>sources</w:t>
      </w:r>
      <w:r>
        <w:rPr>
          <w:b/>
          <w:spacing w:val="21"/>
          <w:sz w:val="20"/>
        </w:rPr>
        <w:t> </w:t>
      </w:r>
      <w:r>
        <w:rPr>
          <w:b/>
          <w:spacing w:val="6"/>
          <w:sz w:val="20"/>
        </w:rPr>
        <w:t>and</w:t>
      </w:r>
      <w:r>
        <w:rPr>
          <w:b/>
          <w:spacing w:val="19"/>
          <w:sz w:val="20"/>
        </w:rPr>
        <w:t> </w:t>
      </w:r>
      <w:r>
        <w:rPr>
          <w:b/>
          <w:spacing w:val="7"/>
          <w:sz w:val="20"/>
        </w:rPr>
        <w:t>sinks</w:t>
      </w:r>
    </w:p>
    <w:p>
      <w:pPr>
        <w:spacing w:after="0"/>
        <w:jc w:val="both"/>
        <w:rPr>
          <w:sz w:val="20"/>
        </w:rPr>
        <w:sectPr>
          <w:pgSz w:w="11900" w:h="16840"/>
          <w:pgMar w:header="230" w:footer="408" w:top="560" w:bottom="600" w:left="1240" w:right="0"/>
        </w:sectPr>
      </w:pPr>
    </w:p>
    <w:p>
      <w:pPr>
        <w:pStyle w:val="BodyText"/>
        <w:rPr>
          <w:b/>
        </w:rPr>
      </w:pPr>
    </w:p>
    <w:p>
      <w:pPr>
        <w:pStyle w:val="BodyText"/>
        <w:spacing w:before="2"/>
        <w:rPr>
          <w:b/>
          <w:sz w:val="18"/>
        </w:rPr>
      </w:pPr>
    </w:p>
    <w:p>
      <w:pPr>
        <w:pStyle w:val="BodyText"/>
        <w:ind w:left="179" w:right="1402"/>
        <w:jc w:val="both"/>
        <w:rPr>
          <w:i/>
        </w:rPr>
      </w:pPr>
      <w:r>
        <w:rPr/>
        <w:t>The decision tree in Figure 5.4.1 shown above illustrates how inventory agencies can determine which approach to use for the identification of </w:t>
      </w:r>
      <w:r>
        <w:rPr>
          <w:i/>
        </w:rPr>
        <w:t>key categories</w:t>
      </w:r>
      <w:r>
        <w:rPr/>
        <w:t>. This figure was modified from the Figure 7.1 in Chapter 7 of </w:t>
      </w:r>
      <w:r>
        <w:rPr>
          <w:i/>
        </w:rPr>
        <w:t>GPG2000 </w:t>
      </w:r>
      <w:r>
        <w:rPr/>
        <w:t>to make it applicable to the LULUCF sector</w:t>
      </w:r>
      <w:r>
        <w:rPr>
          <w:i/>
        </w:rPr>
        <w:t>.</w:t>
      </w:r>
    </w:p>
    <w:p>
      <w:pPr>
        <w:pStyle w:val="BodyText"/>
        <w:spacing w:before="5"/>
        <w:rPr>
          <w:i/>
          <w:sz w:val="21"/>
        </w:rPr>
      </w:pPr>
    </w:p>
    <w:p>
      <w:pPr>
        <w:spacing w:before="0"/>
        <w:ind w:left="179" w:right="0" w:firstLine="0"/>
        <w:jc w:val="both"/>
        <w:rPr>
          <w:b/>
          <w:sz w:val="22"/>
        </w:rPr>
      </w:pPr>
      <w:r>
        <w:rPr>
          <w:b/>
          <w:sz w:val="22"/>
        </w:rPr>
        <w:t>AGGREGATION LEVEL</w:t>
      </w:r>
    </w:p>
    <w:p>
      <w:pPr>
        <w:pStyle w:val="BodyText"/>
        <w:spacing w:before="114"/>
        <w:ind w:left="179" w:right="1403"/>
        <w:jc w:val="both"/>
      </w:pPr>
      <w:r>
        <w:rPr/>
        <w:t>The results of the analysis of key categories will be most useful if the analysis is done at the appropriate level of detail. For the LULUCF sector, the recommended level of analysis is the level of category nomenclature used in Chapter 3, which is listed in Table 5.4.1 along with “special considerations” which provide additional information on the key category analysis for various categories. Table 5.4.1 is adapted from Table 7.1 from Chapter 7 of </w:t>
      </w:r>
      <w:r>
        <w:rPr>
          <w:i/>
        </w:rPr>
        <w:t>GPG2000 </w:t>
      </w:r>
      <w:r>
        <w:rPr/>
        <w:t>to include the categories of the LULUCF sector. It is reprinted with all source categories and sectors included so as to facilitate the development of an integrated key category analysis. Each suggested category for LULUCF activities in Table 5.4.1 comprises several subcategories and it is </w:t>
      </w:r>
      <w:r>
        <w:rPr>
          <w:i/>
        </w:rPr>
        <w:t>good practice </w:t>
      </w:r>
      <w:r>
        <w:rPr/>
        <w:t>to further evaluate the significance of these subcategories for purposes of choosing appropriate methods and prioritising resources. Following guidance provided in </w:t>
      </w:r>
      <w:r>
        <w:rPr>
          <w:i/>
        </w:rPr>
        <w:t>GPG2000</w:t>
      </w:r>
      <w:r>
        <w:rPr/>
        <w:t>, it is </w:t>
      </w:r>
      <w:r>
        <w:rPr>
          <w:i/>
        </w:rPr>
        <w:t>good practice </w:t>
      </w:r>
      <w:r>
        <w:rPr/>
        <w:t>to identify subcategories as key if they account for 25- 30 percent of the overall emissions or removals of the category. Table 3.1.3 in Chapter 3 lists the subcategories associated with each category given in Table 3.1.1 in Chapter 3 for purposes of this analysis. For example, carbon stock changes in soil and biomass can be distinguished within the “forest land remaining forest land” category. If a country prepares its estimates following the LUCF categories from the </w:t>
      </w:r>
      <w:r>
        <w:rPr>
          <w:i/>
        </w:rPr>
        <w:t>IPCC Guidelines</w:t>
      </w:r>
      <w:r>
        <w:rPr/>
        <w:t>, they</w:t>
      </w:r>
      <w:r>
        <w:rPr>
          <w:spacing w:val="5"/>
        </w:rPr>
        <w:t> </w:t>
      </w:r>
      <w:r>
        <w:rPr/>
        <w:t>can</w:t>
      </w:r>
      <w:r>
        <w:rPr>
          <w:spacing w:val="11"/>
        </w:rPr>
        <w:t> </w:t>
      </w:r>
      <w:r>
        <w:rPr/>
        <w:t>map</w:t>
      </w:r>
      <w:r>
        <w:rPr>
          <w:spacing w:val="11"/>
        </w:rPr>
        <w:t> </w:t>
      </w:r>
      <w:r>
        <w:rPr/>
        <w:t>their</w:t>
      </w:r>
      <w:r>
        <w:rPr>
          <w:spacing w:val="10"/>
        </w:rPr>
        <w:t> </w:t>
      </w:r>
      <w:r>
        <w:rPr/>
        <w:t>estimates</w:t>
      </w:r>
      <w:r>
        <w:rPr>
          <w:spacing w:val="10"/>
        </w:rPr>
        <w:t> </w:t>
      </w:r>
      <w:r>
        <w:rPr/>
        <w:t>onto</w:t>
      </w:r>
      <w:r>
        <w:rPr>
          <w:spacing w:val="11"/>
        </w:rPr>
        <w:t> </w:t>
      </w:r>
      <w:r>
        <w:rPr/>
        <w:t>the</w:t>
      </w:r>
      <w:r>
        <w:rPr>
          <w:spacing w:val="9"/>
        </w:rPr>
        <w:t> </w:t>
      </w:r>
      <w:r>
        <w:rPr/>
        <w:t>categories</w:t>
      </w:r>
      <w:r>
        <w:rPr>
          <w:spacing w:val="10"/>
        </w:rPr>
        <w:t> </w:t>
      </w:r>
      <w:r>
        <w:rPr/>
        <w:t>listed</w:t>
      </w:r>
      <w:r>
        <w:rPr>
          <w:spacing w:val="11"/>
        </w:rPr>
        <w:t> </w:t>
      </w:r>
      <w:r>
        <w:rPr/>
        <w:t>in</w:t>
      </w:r>
      <w:r>
        <w:rPr>
          <w:spacing w:val="9"/>
        </w:rPr>
        <w:t> </w:t>
      </w:r>
      <w:r>
        <w:rPr/>
        <w:t>Table</w:t>
      </w:r>
      <w:r>
        <w:rPr>
          <w:spacing w:val="10"/>
        </w:rPr>
        <w:t> </w:t>
      </w:r>
      <w:r>
        <w:rPr/>
        <w:t>5.4.1</w:t>
      </w:r>
      <w:r>
        <w:rPr>
          <w:spacing w:val="9"/>
        </w:rPr>
        <w:t> </w:t>
      </w:r>
      <w:r>
        <w:rPr/>
        <w:t>by</w:t>
      </w:r>
      <w:r>
        <w:rPr>
          <w:spacing w:val="6"/>
        </w:rPr>
        <w:t> </w:t>
      </w:r>
      <w:r>
        <w:rPr/>
        <w:t>following</w:t>
      </w:r>
      <w:r>
        <w:rPr>
          <w:spacing w:val="8"/>
        </w:rPr>
        <w:t> </w:t>
      </w:r>
      <w:r>
        <w:rPr/>
        <w:t>the</w:t>
      </w:r>
      <w:r>
        <w:rPr>
          <w:spacing w:val="10"/>
        </w:rPr>
        <w:t> </w:t>
      </w:r>
      <w:r>
        <w:rPr/>
        <w:t>guidance</w:t>
      </w:r>
      <w:r>
        <w:rPr>
          <w:spacing w:val="10"/>
        </w:rPr>
        <w:t> </w:t>
      </w:r>
      <w:r>
        <w:rPr/>
        <w:t>given</w:t>
      </w:r>
      <w:r>
        <w:rPr>
          <w:spacing w:val="9"/>
        </w:rPr>
        <w:t> </w:t>
      </w:r>
      <w:r>
        <w:rPr/>
        <w:t>by</w:t>
      </w:r>
      <w:r>
        <w:rPr>
          <w:spacing w:val="6"/>
        </w:rPr>
        <w:t> </w:t>
      </w:r>
      <w:r>
        <w:rPr/>
        <w:t>Table</w:t>
      </w:r>
    </w:p>
    <w:p>
      <w:pPr>
        <w:pStyle w:val="BodyText"/>
        <w:spacing w:line="226" w:lineRule="exact"/>
        <w:ind w:left="179"/>
        <w:jc w:val="both"/>
      </w:pPr>
      <w:r>
        <w:rPr/>
        <w:t>3.1.1 in Section 3.1.2 and details in the respective sections of Chapter 3.</w:t>
      </w:r>
    </w:p>
    <w:p>
      <w:pPr>
        <w:pStyle w:val="BodyText"/>
        <w:spacing w:before="120"/>
        <w:ind w:left="179" w:right="1405"/>
        <w:jc w:val="both"/>
      </w:pPr>
      <w:r>
        <w:rPr/>
        <w:t>Countries may choose to perform the quantitative analysis at a more detailed level. In this case possible correlations should be taken into account (see the Tier 2 approach for uncertainty assessments described in Section 5.2, Identifying and Quantifying Uncertainties). The assumptions about such correlations should be the same when assessing uncertainties and identifying </w:t>
      </w:r>
      <w:r>
        <w:rPr>
          <w:i/>
        </w:rPr>
        <w:t>key categories. </w:t>
      </w:r>
      <w:r>
        <w:rPr/>
        <w:t>Table 5.4.1 indicates subcategories that can be distinguished without the need to take correlations into account.</w:t>
      </w:r>
    </w:p>
    <w:p>
      <w:pPr>
        <w:pStyle w:val="BodyText"/>
        <w:spacing w:before="120"/>
        <w:ind w:left="179" w:right="1356"/>
        <w:jc w:val="both"/>
      </w:pPr>
      <w:r>
        <w:rPr/>
        <w:t>If data are available, the analysis can be performed for emissions and removals separately within a given category. If this is not feasible it is important to apply the qualitative criteria to identify key categories in situations where emissions and removals cancel or almost cancel. See Section 5.4.3 for qualitative</w:t>
      </w:r>
      <w:r>
        <w:rPr>
          <w:spacing w:val="-19"/>
        </w:rPr>
        <w:t> </w:t>
      </w:r>
      <w:r>
        <w:rPr/>
        <w:t>considerations.</w:t>
      </w:r>
    </w:p>
    <w:p>
      <w:pPr>
        <w:pStyle w:val="BodyText"/>
        <w:spacing w:before="10" w:after="1"/>
        <w:rPr>
          <w:sz w:val="10"/>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7"/>
        <w:gridCol w:w="4507"/>
      </w:tblGrid>
      <w:tr>
        <w:trPr>
          <w:trHeight w:val="500" w:hRule="atLeast"/>
        </w:trPr>
        <w:tc>
          <w:tcPr>
            <w:tcW w:w="9014" w:type="dxa"/>
            <w:gridSpan w:val="2"/>
            <w:tcBorders>
              <w:bottom w:val="double" w:sz="1" w:space="0" w:color="000000"/>
              <w:right w:val="single" w:sz="6" w:space="0" w:color="000000"/>
            </w:tcBorders>
          </w:tcPr>
          <w:p>
            <w:pPr>
              <w:pStyle w:val="TableParagraph"/>
              <w:spacing w:line="195" w:lineRule="exact" w:before="43"/>
              <w:ind w:left="1460" w:right="1452"/>
              <w:jc w:val="center"/>
              <w:rPr>
                <w:b/>
                <w:sz w:val="18"/>
              </w:rPr>
            </w:pPr>
            <w:r>
              <w:rPr>
                <w:b/>
                <w:sz w:val="18"/>
              </w:rPr>
              <w:t>T</w:t>
            </w:r>
            <w:r>
              <w:rPr>
                <w:b/>
                <w:sz w:val="14"/>
              </w:rPr>
              <w:t>ABLE  </w:t>
            </w:r>
            <w:r>
              <w:rPr>
                <w:b/>
                <w:sz w:val="18"/>
              </w:rPr>
              <w:t>5.4.1</w:t>
            </w:r>
          </w:p>
          <w:p>
            <w:pPr>
              <w:pStyle w:val="TableParagraph"/>
              <w:spacing w:line="219" w:lineRule="exact"/>
              <w:ind w:left="1462" w:right="1452"/>
              <w:jc w:val="center"/>
              <w:rPr>
                <w:b/>
                <w:sz w:val="12"/>
              </w:rPr>
            </w:pPr>
            <w:r>
              <w:rPr>
                <w:b/>
                <w:sz w:val="18"/>
              </w:rPr>
              <w:t>S</w:t>
            </w:r>
            <w:r>
              <w:rPr>
                <w:b/>
                <w:sz w:val="14"/>
              </w:rPr>
              <w:t>UGGESTED </w:t>
            </w:r>
            <w:r>
              <w:rPr>
                <w:b/>
                <w:sz w:val="18"/>
              </w:rPr>
              <w:t>IPCC </w:t>
            </w:r>
            <w:r>
              <w:rPr>
                <w:b/>
                <w:sz w:val="14"/>
              </w:rPr>
              <w:t>SOURCE</w:t>
            </w:r>
            <w:r>
              <w:rPr>
                <w:b/>
                <w:sz w:val="18"/>
              </w:rPr>
              <w:t>/</w:t>
            </w:r>
            <w:r>
              <w:rPr>
                <w:b/>
                <w:sz w:val="14"/>
              </w:rPr>
              <w:t>SINK CATEGORIES FOR </w:t>
            </w:r>
            <w:r>
              <w:rPr>
                <w:b/>
                <w:sz w:val="18"/>
              </w:rPr>
              <w:t>LULUCF </w:t>
            </w:r>
            <w:r>
              <w:rPr>
                <w:b/>
                <w:sz w:val="14"/>
              </w:rPr>
              <w:t>AND NON</w:t>
            </w:r>
            <w:r>
              <w:rPr>
                <w:b/>
                <w:sz w:val="18"/>
              </w:rPr>
              <w:t>-LULUCF </w:t>
            </w:r>
            <w:r>
              <w:rPr>
                <w:b/>
                <w:position w:val="8"/>
                <w:sz w:val="12"/>
              </w:rPr>
              <w:t>a</w:t>
            </w:r>
          </w:p>
        </w:tc>
      </w:tr>
      <w:tr>
        <w:trPr>
          <w:trHeight w:val="507" w:hRule="atLeast"/>
        </w:trPr>
        <w:tc>
          <w:tcPr>
            <w:tcW w:w="4507" w:type="dxa"/>
            <w:tcBorders>
              <w:top w:val="double" w:sz="1" w:space="0" w:color="000000"/>
            </w:tcBorders>
          </w:tcPr>
          <w:p>
            <w:pPr>
              <w:pStyle w:val="TableParagraph"/>
              <w:spacing w:before="47"/>
              <w:ind w:left="107" w:right="135"/>
              <w:rPr>
                <w:b/>
                <w:sz w:val="18"/>
              </w:rPr>
            </w:pPr>
            <w:r>
              <w:rPr>
                <w:b/>
                <w:sz w:val="18"/>
              </w:rPr>
              <w:t>Source/Sink Categories to be Assessed in Key Category Analysis</w:t>
            </w:r>
          </w:p>
        </w:tc>
        <w:tc>
          <w:tcPr>
            <w:tcW w:w="4507" w:type="dxa"/>
            <w:tcBorders>
              <w:top w:val="double" w:sz="1" w:space="0" w:color="000000"/>
              <w:right w:val="single" w:sz="6" w:space="0" w:color="000000"/>
            </w:tcBorders>
          </w:tcPr>
          <w:p>
            <w:pPr>
              <w:pStyle w:val="TableParagraph"/>
              <w:spacing w:before="150"/>
              <w:ind w:left="107"/>
              <w:rPr>
                <w:b/>
                <w:sz w:val="18"/>
              </w:rPr>
            </w:pPr>
            <w:r>
              <w:rPr>
                <w:b/>
                <w:sz w:val="18"/>
              </w:rPr>
              <w:t>Special Considerations</w:t>
            </w:r>
          </w:p>
        </w:tc>
      </w:tr>
      <w:tr>
        <w:trPr>
          <w:trHeight w:val="302" w:hRule="atLeast"/>
        </w:trPr>
        <w:tc>
          <w:tcPr>
            <w:tcW w:w="9014" w:type="dxa"/>
            <w:gridSpan w:val="2"/>
            <w:tcBorders>
              <w:right w:val="single" w:sz="6" w:space="0" w:color="000000"/>
            </w:tcBorders>
          </w:tcPr>
          <w:p>
            <w:pPr>
              <w:pStyle w:val="TableParagraph"/>
              <w:spacing w:before="36"/>
              <w:ind w:left="107"/>
              <w:rPr>
                <w:sz w:val="20"/>
              </w:rPr>
            </w:pPr>
            <w:r>
              <w:rPr>
                <w:sz w:val="20"/>
              </w:rPr>
              <w:t>LULUCF</w:t>
            </w:r>
          </w:p>
        </w:tc>
      </w:tr>
      <w:tr>
        <w:trPr>
          <w:trHeight w:val="302" w:hRule="atLeast"/>
        </w:trPr>
        <w:tc>
          <w:tcPr>
            <w:tcW w:w="4507" w:type="dxa"/>
          </w:tcPr>
          <w:p>
            <w:pPr>
              <w:pStyle w:val="TableParagraph"/>
              <w:spacing w:before="43"/>
              <w:ind w:left="220"/>
              <w:rPr>
                <w:sz w:val="18"/>
              </w:rPr>
            </w:pPr>
            <w:r>
              <w:rPr>
                <w:sz w:val="18"/>
              </w:rPr>
              <w:t>Forest land remaining forest land</w:t>
            </w:r>
          </w:p>
        </w:tc>
        <w:tc>
          <w:tcPr>
            <w:tcW w:w="4507" w:type="dxa"/>
            <w:vMerge w:val="restart"/>
            <w:tcBorders>
              <w:right w:val="single" w:sz="6" w:space="0" w:color="000000"/>
            </w:tcBorders>
          </w:tcPr>
          <w:p>
            <w:pPr>
              <w:pStyle w:val="TableParagraph"/>
              <w:spacing w:before="9"/>
              <w:rPr>
                <w:sz w:val="24"/>
              </w:rPr>
            </w:pPr>
          </w:p>
          <w:p>
            <w:pPr>
              <w:pStyle w:val="TableParagraph"/>
              <w:ind w:left="107" w:right="83" w:hanging="1"/>
              <w:rPr>
                <w:sz w:val="18"/>
              </w:rPr>
            </w:pPr>
            <w:r>
              <w:rPr>
                <w:sz w:val="18"/>
              </w:rPr>
              <w:t>Assess key categories separately for CO</w:t>
            </w:r>
            <w:r>
              <w:rPr>
                <w:sz w:val="18"/>
                <w:vertAlign w:val="subscript"/>
              </w:rPr>
              <w:t>2</w:t>
            </w:r>
            <w:r>
              <w:rPr>
                <w:sz w:val="18"/>
                <w:vertAlign w:val="baseline"/>
              </w:rPr>
              <w:t>, CH</w:t>
            </w:r>
            <w:r>
              <w:rPr>
                <w:sz w:val="18"/>
                <w:vertAlign w:val="subscript"/>
              </w:rPr>
              <w:t>4</w:t>
            </w:r>
            <w:r>
              <w:rPr>
                <w:sz w:val="18"/>
                <w:vertAlign w:val="baseline"/>
              </w:rPr>
              <w:t> and N</w:t>
            </w:r>
            <w:r>
              <w:rPr>
                <w:sz w:val="18"/>
                <w:vertAlign w:val="subscript"/>
              </w:rPr>
              <w:t>2</w:t>
            </w:r>
            <w:r>
              <w:rPr>
                <w:sz w:val="18"/>
                <w:vertAlign w:val="baseline"/>
              </w:rPr>
              <w:t>O. If the category is key, assess the significance of subcategories by identifying those that contribute 25-30% to the total level of emissions or removals from the category. For information on the subcategories associated with each category, see Table 3.1.1 and 3.1.3 in Chapter 3.</w:t>
            </w:r>
          </w:p>
        </w:tc>
      </w:tr>
      <w:tr>
        <w:trPr>
          <w:trHeight w:val="301" w:hRule="atLeast"/>
        </w:trPr>
        <w:tc>
          <w:tcPr>
            <w:tcW w:w="4507" w:type="dxa"/>
          </w:tcPr>
          <w:p>
            <w:pPr>
              <w:pStyle w:val="TableParagraph"/>
              <w:spacing w:before="43"/>
              <w:ind w:left="220"/>
              <w:rPr>
                <w:sz w:val="18"/>
              </w:rPr>
            </w:pPr>
            <w:r>
              <w:rPr>
                <w:sz w:val="18"/>
              </w:rPr>
              <w:t>Croplands remaining croplands</w:t>
            </w:r>
          </w:p>
        </w:tc>
        <w:tc>
          <w:tcPr>
            <w:tcW w:w="4507" w:type="dxa"/>
            <w:vMerge/>
            <w:tcBorders>
              <w:top w:val="nil"/>
              <w:right w:val="single" w:sz="6" w:space="0" w:color="000000"/>
            </w:tcBorders>
          </w:tcPr>
          <w:p>
            <w:pPr>
              <w:rPr>
                <w:sz w:val="2"/>
                <w:szCs w:val="2"/>
              </w:rPr>
            </w:pPr>
          </w:p>
        </w:tc>
      </w:tr>
      <w:tr>
        <w:trPr>
          <w:trHeight w:val="302" w:hRule="atLeast"/>
        </w:trPr>
        <w:tc>
          <w:tcPr>
            <w:tcW w:w="4507" w:type="dxa"/>
          </w:tcPr>
          <w:p>
            <w:pPr>
              <w:pStyle w:val="TableParagraph"/>
              <w:spacing w:before="43"/>
              <w:ind w:left="220"/>
              <w:rPr>
                <w:sz w:val="18"/>
              </w:rPr>
            </w:pPr>
            <w:r>
              <w:rPr>
                <w:sz w:val="18"/>
              </w:rPr>
              <w:t>Grassland remaining grassland</w:t>
            </w:r>
          </w:p>
        </w:tc>
        <w:tc>
          <w:tcPr>
            <w:tcW w:w="4507" w:type="dxa"/>
            <w:vMerge/>
            <w:tcBorders>
              <w:top w:val="nil"/>
              <w:right w:val="single" w:sz="6" w:space="0" w:color="000000"/>
            </w:tcBorders>
          </w:tcPr>
          <w:p>
            <w:pPr>
              <w:rPr>
                <w:sz w:val="2"/>
                <w:szCs w:val="2"/>
              </w:rPr>
            </w:pPr>
          </w:p>
        </w:tc>
      </w:tr>
      <w:tr>
        <w:trPr>
          <w:trHeight w:val="301" w:hRule="atLeast"/>
        </w:trPr>
        <w:tc>
          <w:tcPr>
            <w:tcW w:w="4507" w:type="dxa"/>
          </w:tcPr>
          <w:p>
            <w:pPr>
              <w:pStyle w:val="TableParagraph"/>
              <w:spacing w:before="43"/>
              <w:ind w:left="220"/>
              <w:rPr>
                <w:sz w:val="18"/>
              </w:rPr>
            </w:pPr>
            <w:r>
              <w:rPr>
                <w:sz w:val="18"/>
              </w:rPr>
              <w:t>Wetland remaining wetland</w:t>
            </w:r>
          </w:p>
        </w:tc>
        <w:tc>
          <w:tcPr>
            <w:tcW w:w="4507" w:type="dxa"/>
            <w:vMerge/>
            <w:tcBorders>
              <w:top w:val="nil"/>
              <w:right w:val="single" w:sz="6" w:space="0" w:color="000000"/>
            </w:tcBorders>
          </w:tcPr>
          <w:p>
            <w:pPr>
              <w:rPr>
                <w:sz w:val="2"/>
                <w:szCs w:val="2"/>
              </w:rPr>
            </w:pPr>
          </w:p>
        </w:tc>
      </w:tr>
      <w:tr>
        <w:trPr>
          <w:trHeight w:val="302" w:hRule="atLeast"/>
        </w:trPr>
        <w:tc>
          <w:tcPr>
            <w:tcW w:w="4507" w:type="dxa"/>
          </w:tcPr>
          <w:p>
            <w:pPr>
              <w:pStyle w:val="TableParagraph"/>
              <w:spacing w:before="43"/>
              <w:ind w:left="220"/>
              <w:rPr>
                <w:sz w:val="18"/>
              </w:rPr>
            </w:pPr>
            <w:r>
              <w:rPr>
                <w:sz w:val="18"/>
              </w:rPr>
              <w:t>Settlements remaining settlements</w:t>
            </w:r>
          </w:p>
        </w:tc>
        <w:tc>
          <w:tcPr>
            <w:tcW w:w="4507" w:type="dxa"/>
            <w:vMerge/>
            <w:tcBorders>
              <w:top w:val="nil"/>
              <w:right w:val="single" w:sz="6" w:space="0" w:color="000000"/>
            </w:tcBorders>
          </w:tcPr>
          <w:p>
            <w:pPr>
              <w:rPr>
                <w:sz w:val="2"/>
                <w:szCs w:val="2"/>
              </w:rPr>
            </w:pPr>
          </w:p>
        </w:tc>
      </w:tr>
      <w:tr>
        <w:trPr>
          <w:trHeight w:val="302" w:hRule="atLeast"/>
        </w:trPr>
        <w:tc>
          <w:tcPr>
            <w:tcW w:w="4507" w:type="dxa"/>
          </w:tcPr>
          <w:p>
            <w:pPr>
              <w:pStyle w:val="TableParagraph"/>
              <w:spacing w:before="23"/>
              <w:ind w:left="220"/>
              <w:rPr>
                <w:sz w:val="18"/>
              </w:rPr>
            </w:pPr>
            <w:r>
              <w:rPr>
                <w:sz w:val="18"/>
              </w:rPr>
              <w:t>Conversion to forest land</w:t>
            </w:r>
          </w:p>
        </w:tc>
        <w:tc>
          <w:tcPr>
            <w:tcW w:w="4507" w:type="dxa"/>
            <w:vMerge/>
            <w:tcBorders>
              <w:top w:val="nil"/>
              <w:right w:val="single" w:sz="6" w:space="0" w:color="000000"/>
            </w:tcBorders>
          </w:tcPr>
          <w:p>
            <w:pPr>
              <w:rPr>
                <w:sz w:val="2"/>
                <w:szCs w:val="2"/>
              </w:rPr>
            </w:pPr>
          </w:p>
        </w:tc>
      </w:tr>
      <w:tr>
        <w:trPr>
          <w:trHeight w:val="301" w:hRule="atLeast"/>
        </w:trPr>
        <w:tc>
          <w:tcPr>
            <w:tcW w:w="4507" w:type="dxa"/>
          </w:tcPr>
          <w:p>
            <w:pPr>
              <w:pStyle w:val="TableParagraph"/>
              <w:spacing w:before="43"/>
              <w:ind w:left="220"/>
              <w:rPr>
                <w:sz w:val="18"/>
              </w:rPr>
            </w:pPr>
            <w:r>
              <w:rPr>
                <w:sz w:val="18"/>
              </w:rPr>
              <w:t>Conversion to cropland</w:t>
            </w:r>
          </w:p>
        </w:tc>
        <w:tc>
          <w:tcPr>
            <w:tcW w:w="4507" w:type="dxa"/>
            <w:vMerge w:val="restart"/>
            <w:tcBorders>
              <w:right w:val="single" w:sz="6" w:space="0" w:color="000000"/>
            </w:tcBorders>
          </w:tcPr>
          <w:p>
            <w:pPr>
              <w:pStyle w:val="TableParagraph"/>
              <w:spacing w:before="2"/>
              <w:rPr>
                <w:sz w:val="29"/>
              </w:rPr>
            </w:pPr>
          </w:p>
          <w:p>
            <w:pPr>
              <w:pStyle w:val="TableParagraph"/>
              <w:ind w:left="107" w:right="123"/>
              <w:rPr>
                <w:sz w:val="18"/>
              </w:rPr>
            </w:pPr>
            <w:r>
              <w:rPr>
                <w:sz w:val="18"/>
              </w:rPr>
              <w:t>In addition to the guidance above, assess the impact of all deforestation occurring within the country according to the qualitative guidance provided in the sixth bullet Section 5.4.3.</w:t>
            </w:r>
          </w:p>
        </w:tc>
      </w:tr>
      <w:tr>
        <w:trPr>
          <w:trHeight w:val="302" w:hRule="atLeast"/>
        </w:trPr>
        <w:tc>
          <w:tcPr>
            <w:tcW w:w="4507" w:type="dxa"/>
          </w:tcPr>
          <w:p>
            <w:pPr>
              <w:pStyle w:val="TableParagraph"/>
              <w:spacing w:before="43"/>
              <w:ind w:left="220"/>
              <w:rPr>
                <w:sz w:val="18"/>
              </w:rPr>
            </w:pPr>
            <w:r>
              <w:rPr>
                <w:sz w:val="18"/>
              </w:rPr>
              <w:t>Conversion to grassland</w:t>
            </w:r>
          </w:p>
        </w:tc>
        <w:tc>
          <w:tcPr>
            <w:tcW w:w="4507" w:type="dxa"/>
            <w:vMerge/>
            <w:tcBorders>
              <w:top w:val="nil"/>
              <w:right w:val="single" w:sz="6" w:space="0" w:color="000000"/>
            </w:tcBorders>
          </w:tcPr>
          <w:p>
            <w:pPr>
              <w:rPr>
                <w:sz w:val="2"/>
                <w:szCs w:val="2"/>
              </w:rPr>
            </w:pPr>
          </w:p>
        </w:tc>
      </w:tr>
      <w:tr>
        <w:trPr>
          <w:trHeight w:val="301" w:hRule="atLeast"/>
        </w:trPr>
        <w:tc>
          <w:tcPr>
            <w:tcW w:w="4507" w:type="dxa"/>
          </w:tcPr>
          <w:p>
            <w:pPr>
              <w:pStyle w:val="TableParagraph"/>
              <w:spacing w:before="43"/>
              <w:ind w:left="220"/>
              <w:rPr>
                <w:sz w:val="18"/>
              </w:rPr>
            </w:pPr>
            <w:r>
              <w:rPr>
                <w:sz w:val="18"/>
              </w:rPr>
              <w:t>Conversion to wetland </w:t>
            </w:r>
            <w:r>
              <w:rPr>
                <w:sz w:val="18"/>
                <w:vertAlign w:val="superscript"/>
              </w:rPr>
              <w:t>b</w:t>
            </w:r>
          </w:p>
        </w:tc>
        <w:tc>
          <w:tcPr>
            <w:tcW w:w="4507" w:type="dxa"/>
            <w:vMerge/>
            <w:tcBorders>
              <w:top w:val="nil"/>
              <w:right w:val="single" w:sz="6" w:space="0" w:color="000000"/>
            </w:tcBorders>
          </w:tcPr>
          <w:p>
            <w:pPr>
              <w:rPr>
                <w:sz w:val="2"/>
                <w:szCs w:val="2"/>
              </w:rPr>
            </w:pPr>
          </w:p>
        </w:tc>
      </w:tr>
      <w:tr>
        <w:trPr>
          <w:trHeight w:val="302" w:hRule="atLeast"/>
        </w:trPr>
        <w:tc>
          <w:tcPr>
            <w:tcW w:w="4507" w:type="dxa"/>
          </w:tcPr>
          <w:p>
            <w:pPr>
              <w:pStyle w:val="TableParagraph"/>
              <w:spacing w:before="43"/>
              <w:ind w:left="220"/>
              <w:rPr>
                <w:sz w:val="18"/>
              </w:rPr>
            </w:pPr>
            <w:r>
              <w:rPr>
                <w:sz w:val="18"/>
              </w:rPr>
              <w:t>Conversion to settlements</w:t>
            </w:r>
          </w:p>
        </w:tc>
        <w:tc>
          <w:tcPr>
            <w:tcW w:w="4507" w:type="dxa"/>
            <w:vMerge/>
            <w:tcBorders>
              <w:top w:val="nil"/>
              <w:right w:val="single" w:sz="6" w:space="0" w:color="000000"/>
            </w:tcBorders>
          </w:tcPr>
          <w:p>
            <w:pPr>
              <w:rPr>
                <w:sz w:val="2"/>
                <w:szCs w:val="2"/>
              </w:rPr>
            </w:pPr>
          </w:p>
        </w:tc>
      </w:tr>
      <w:tr>
        <w:trPr>
          <w:trHeight w:val="301" w:hRule="atLeast"/>
        </w:trPr>
        <w:tc>
          <w:tcPr>
            <w:tcW w:w="4507" w:type="dxa"/>
          </w:tcPr>
          <w:p>
            <w:pPr>
              <w:pStyle w:val="TableParagraph"/>
              <w:spacing w:before="43"/>
              <w:ind w:left="220"/>
              <w:rPr>
                <w:sz w:val="18"/>
              </w:rPr>
            </w:pPr>
            <w:r>
              <w:rPr>
                <w:sz w:val="18"/>
              </w:rPr>
              <w:t>Conversion to other land</w:t>
            </w:r>
          </w:p>
        </w:tc>
        <w:tc>
          <w:tcPr>
            <w:tcW w:w="4507" w:type="dxa"/>
            <w:vMerge/>
            <w:tcBorders>
              <w:top w:val="nil"/>
              <w:right w:val="single" w:sz="6" w:space="0" w:color="000000"/>
            </w:tcBorders>
          </w:tcPr>
          <w:p>
            <w:pPr>
              <w:rPr>
                <w:sz w:val="2"/>
                <w:szCs w:val="2"/>
              </w:rPr>
            </w:pPr>
          </w:p>
        </w:tc>
      </w:tr>
      <w:tr>
        <w:trPr>
          <w:trHeight w:val="302" w:hRule="atLeast"/>
        </w:trPr>
        <w:tc>
          <w:tcPr>
            <w:tcW w:w="9014" w:type="dxa"/>
            <w:gridSpan w:val="2"/>
            <w:tcBorders>
              <w:right w:val="single" w:sz="6" w:space="0" w:color="000000"/>
            </w:tcBorders>
          </w:tcPr>
          <w:p>
            <w:pPr>
              <w:pStyle w:val="TableParagraph"/>
              <w:spacing w:before="43"/>
              <w:ind w:left="107"/>
              <w:rPr>
                <w:sz w:val="18"/>
              </w:rPr>
            </w:pPr>
            <w:r>
              <w:rPr>
                <w:sz w:val="18"/>
              </w:rPr>
              <w:t>ENERGY</w:t>
            </w:r>
          </w:p>
        </w:tc>
      </w:tr>
      <w:tr>
        <w:trPr>
          <w:trHeight w:val="1089" w:hRule="atLeast"/>
        </w:trPr>
        <w:tc>
          <w:tcPr>
            <w:tcW w:w="4507" w:type="dxa"/>
            <w:tcBorders>
              <w:right w:val="single" w:sz="6" w:space="0" w:color="000000"/>
            </w:tcBorders>
          </w:tcPr>
          <w:p>
            <w:pPr>
              <w:pStyle w:val="TableParagraph"/>
              <w:rPr>
                <w:sz w:val="22"/>
              </w:rPr>
            </w:pPr>
          </w:p>
          <w:p>
            <w:pPr>
              <w:pStyle w:val="TableParagraph"/>
              <w:spacing w:before="183"/>
              <w:ind w:left="266"/>
              <w:rPr>
                <w:sz w:val="18"/>
              </w:rPr>
            </w:pPr>
            <w:r>
              <w:rPr>
                <w:sz w:val="18"/>
              </w:rPr>
              <w:t>CO</w:t>
            </w:r>
            <w:r>
              <w:rPr>
                <w:sz w:val="18"/>
                <w:vertAlign w:val="subscript"/>
              </w:rPr>
              <w:t>2</w:t>
            </w:r>
            <w:r>
              <w:rPr>
                <w:sz w:val="18"/>
                <w:vertAlign w:val="baseline"/>
              </w:rPr>
              <w:t> Emissions from Stationary Combustion</w:t>
            </w:r>
          </w:p>
        </w:tc>
        <w:tc>
          <w:tcPr>
            <w:tcW w:w="4507" w:type="dxa"/>
            <w:tcBorders>
              <w:left w:val="single" w:sz="6" w:space="0" w:color="000000"/>
              <w:right w:val="single" w:sz="6" w:space="0" w:color="000000"/>
            </w:tcBorders>
          </w:tcPr>
          <w:p>
            <w:pPr>
              <w:pStyle w:val="TableParagraph"/>
              <w:spacing w:before="23"/>
              <w:ind w:left="105" w:right="143"/>
              <w:rPr>
                <w:sz w:val="18"/>
              </w:rPr>
            </w:pPr>
            <w:r>
              <w:rPr>
                <w:sz w:val="18"/>
              </w:rPr>
              <w:t>Disaggregate to the level where emission factors are distinguished. In most inventories, this will be the main fuel types. If emission factors are determined independently for some subsource categories, these should be distinguished in the analysis.</w:t>
            </w:r>
          </w:p>
        </w:tc>
      </w:tr>
      <w:tr>
        <w:trPr>
          <w:trHeight w:val="302" w:hRule="atLeast"/>
        </w:trPr>
        <w:tc>
          <w:tcPr>
            <w:tcW w:w="4507" w:type="dxa"/>
            <w:tcBorders>
              <w:right w:val="single" w:sz="6" w:space="0" w:color="000000"/>
            </w:tcBorders>
          </w:tcPr>
          <w:p>
            <w:pPr>
              <w:pStyle w:val="TableParagraph"/>
              <w:spacing w:before="43"/>
              <w:ind w:left="266"/>
              <w:rPr>
                <w:sz w:val="18"/>
              </w:rPr>
            </w:pPr>
            <w:r>
              <w:rPr>
                <w:sz w:val="18"/>
              </w:rPr>
              <w:t>Non- CO</w:t>
            </w:r>
            <w:r>
              <w:rPr>
                <w:sz w:val="18"/>
                <w:vertAlign w:val="subscript"/>
              </w:rPr>
              <w:t>2</w:t>
            </w:r>
            <w:r>
              <w:rPr>
                <w:sz w:val="18"/>
                <w:vertAlign w:val="baseline"/>
              </w:rPr>
              <w:t> Emissions from Stationary Combustion</w:t>
            </w:r>
          </w:p>
        </w:tc>
        <w:tc>
          <w:tcPr>
            <w:tcW w:w="4507" w:type="dxa"/>
            <w:tcBorders>
              <w:left w:val="single" w:sz="6" w:space="0" w:color="000000"/>
              <w:right w:val="single" w:sz="6" w:space="0" w:color="000000"/>
            </w:tcBorders>
          </w:tcPr>
          <w:p>
            <w:pPr>
              <w:pStyle w:val="TableParagraph"/>
              <w:spacing w:before="43"/>
              <w:ind w:left="106"/>
              <w:rPr>
                <w:sz w:val="18"/>
              </w:rPr>
            </w:pPr>
            <w:r>
              <w:rPr>
                <w:sz w:val="18"/>
              </w:rPr>
              <w:t>Assess CH</w:t>
            </w:r>
            <w:r>
              <w:rPr>
                <w:sz w:val="18"/>
                <w:vertAlign w:val="subscript"/>
              </w:rPr>
              <w:t>4</w:t>
            </w:r>
            <w:r>
              <w:rPr>
                <w:sz w:val="18"/>
                <w:vertAlign w:val="baseline"/>
              </w:rPr>
              <w:t> and N</w:t>
            </w:r>
            <w:r>
              <w:rPr>
                <w:sz w:val="18"/>
                <w:vertAlign w:val="subscript"/>
              </w:rPr>
              <w:t>2</w:t>
            </w:r>
            <w:r>
              <w:rPr>
                <w:sz w:val="18"/>
                <w:vertAlign w:val="baseline"/>
              </w:rPr>
              <w:t>O separately.</w:t>
            </w:r>
          </w:p>
        </w:tc>
      </w:tr>
      <w:tr>
        <w:trPr>
          <w:trHeight w:val="301" w:hRule="atLeast"/>
        </w:trPr>
        <w:tc>
          <w:tcPr>
            <w:tcW w:w="4507" w:type="dxa"/>
            <w:tcBorders>
              <w:right w:val="single" w:sz="6" w:space="0" w:color="000000"/>
            </w:tcBorders>
          </w:tcPr>
          <w:p>
            <w:pPr>
              <w:pStyle w:val="TableParagraph"/>
              <w:spacing w:before="43"/>
              <w:ind w:left="266"/>
              <w:rPr>
                <w:sz w:val="18"/>
              </w:rPr>
            </w:pPr>
            <w:r>
              <w:rPr>
                <w:sz w:val="18"/>
              </w:rPr>
              <w:t>Mobile Combustion: Road Vehicles</w:t>
            </w:r>
          </w:p>
        </w:tc>
        <w:tc>
          <w:tcPr>
            <w:tcW w:w="4507" w:type="dxa"/>
            <w:tcBorders>
              <w:left w:val="single" w:sz="6" w:space="0" w:color="000000"/>
              <w:right w:val="single" w:sz="6" w:space="0" w:color="000000"/>
            </w:tcBorders>
          </w:tcPr>
          <w:p>
            <w:pPr>
              <w:pStyle w:val="TableParagraph"/>
              <w:spacing w:before="43"/>
              <w:ind w:left="105"/>
              <w:rPr>
                <w:sz w:val="18"/>
              </w:rPr>
            </w:pPr>
            <w:r>
              <w:rPr>
                <w:sz w:val="18"/>
              </w:rPr>
              <w:t>Assess CO</w:t>
            </w:r>
            <w:r>
              <w:rPr>
                <w:sz w:val="18"/>
                <w:vertAlign w:val="subscript"/>
              </w:rPr>
              <w:t>2</w:t>
            </w:r>
            <w:r>
              <w:rPr>
                <w:sz w:val="18"/>
                <w:vertAlign w:val="baseline"/>
              </w:rPr>
              <w:t>, CH</w:t>
            </w:r>
            <w:r>
              <w:rPr>
                <w:sz w:val="18"/>
                <w:vertAlign w:val="subscript"/>
              </w:rPr>
              <w:t>4</w:t>
            </w:r>
            <w:r>
              <w:rPr>
                <w:sz w:val="18"/>
                <w:vertAlign w:val="baseline"/>
              </w:rPr>
              <w:t> and N</w:t>
            </w:r>
            <w:r>
              <w:rPr>
                <w:sz w:val="18"/>
                <w:vertAlign w:val="subscript"/>
              </w:rPr>
              <w:t>2</w:t>
            </w:r>
            <w:r>
              <w:rPr>
                <w:sz w:val="18"/>
                <w:vertAlign w:val="baseline"/>
              </w:rPr>
              <w:t>O separately.</w:t>
            </w:r>
          </w:p>
        </w:tc>
      </w:tr>
    </w:tbl>
    <w:p>
      <w:pPr>
        <w:spacing w:after="0"/>
        <w:rPr>
          <w:sz w:val="18"/>
        </w:rPr>
        <w:sectPr>
          <w:pgSz w:w="11900" w:h="16840"/>
          <w:pgMar w:header="230" w:footer="408" w:top="560" w:bottom="600" w:left="1240" w:right="0"/>
        </w:sectPr>
      </w:pPr>
    </w:p>
    <w:p>
      <w:pPr>
        <w:pStyle w:val="BodyText"/>
      </w:pPr>
    </w:p>
    <w:p>
      <w:pPr>
        <w:pStyle w:val="BodyText"/>
        <w:spacing w:before="6" w:after="1"/>
        <w:rPr>
          <w:sz w:val="28"/>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7"/>
        <w:gridCol w:w="4507"/>
      </w:tblGrid>
      <w:tr>
        <w:trPr>
          <w:trHeight w:val="558" w:hRule="atLeast"/>
        </w:trPr>
        <w:tc>
          <w:tcPr>
            <w:tcW w:w="9014" w:type="dxa"/>
            <w:gridSpan w:val="2"/>
            <w:tcBorders>
              <w:bottom w:val="double" w:sz="1" w:space="0" w:color="000000"/>
            </w:tcBorders>
          </w:tcPr>
          <w:p>
            <w:pPr>
              <w:pStyle w:val="TableParagraph"/>
              <w:spacing w:line="195" w:lineRule="exact" w:before="74"/>
              <w:ind w:left="121" w:right="114"/>
              <w:jc w:val="center"/>
              <w:rPr>
                <w:b/>
                <w:sz w:val="18"/>
              </w:rPr>
            </w:pPr>
            <w:r>
              <w:rPr>
                <w:b/>
                <w:sz w:val="18"/>
              </w:rPr>
              <w:t>T</w:t>
            </w:r>
            <w:r>
              <w:rPr>
                <w:b/>
                <w:sz w:val="14"/>
              </w:rPr>
              <w:t>ABLE  </w:t>
            </w:r>
            <w:r>
              <w:rPr>
                <w:b/>
                <w:sz w:val="18"/>
              </w:rPr>
              <w:t>5.4.1 (Continued)</w:t>
            </w:r>
          </w:p>
          <w:p>
            <w:pPr>
              <w:pStyle w:val="TableParagraph"/>
              <w:spacing w:line="219" w:lineRule="exact"/>
              <w:ind w:left="121" w:right="114"/>
              <w:jc w:val="center"/>
              <w:rPr>
                <w:b/>
                <w:sz w:val="12"/>
              </w:rPr>
            </w:pPr>
            <w:r>
              <w:rPr>
                <w:b/>
                <w:sz w:val="18"/>
              </w:rPr>
              <w:t>S</w:t>
            </w:r>
            <w:r>
              <w:rPr>
                <w:b/>
                <w:sz w:val="14"/>
              </w:rPr>
              <w:t>UGGESTED </w:t>
            </w:r>
            <w:r>
              <w:rPr>
                <w:b/>
                <w:sz w:val="18"/>
              </w:rPr>
              <w:t>IPCC </w:t>
            </w:r>
            <w:r>
              <w:rPr>
                <w:b/>
                <w:sz w:val="14"/>
              </w:rPr>
              <w:t>SOURCE</w:t>
            </w:r>
            <w:r>
              <w:rPr>
                <w:b/>
                <w:sz w:val="18"/>
              </w:rPr>
              <w:t>/</w:t>
            </w:r>
            <w:r>
              <w:rPr>
                <w:b/>
                <w:sz w:val="14"/>
              </w:rPr>
              <w:t>SINK CATEGORIES FOR </w:t>
            </w:r>
            <w:r>
              <w:rPr>
                <w:b/>
                <w:sz w:val="18"/>
              </w:rPr>
              <w:t>LULUCF </w:t>
            </w:r>
            <w:r>
              <w:rPr>
                <w:b/>
                <w:sz w:val="14"/>
              </w:rPr>
              <w:t>AND NON</w:t>
            </w:r>
            <w:r>
              <w:rPr>
                <w:b/>
                <w:sz w:val="18"/>
              </w:rPr>
              <w:t>- LULUCF </w:t>
            </w:r>
            <w:r>
              <w:rPr>
                <w:b/>
                <w:position w:val="8"/>
                <w:sz w:val="12"/>
              </w:rPr>
              <w:t>a</w:t>
            </w:r>
          </w:p>
        </w:tc>
      </w:tr>
      <w:tr>
        <w:trPr>
          <w:trHeight w:val="282" w:hRule="atLeast"/>
        </w:trPr>
        <w:tc>
          <w:tcPr>
            <w:tcW w:w="4507" w:type="dxa"/>
            <w:tcBorders>
              <w:top w:val="double" w:sz="1" w:space="0" w:color="000000"/>
            </w:tcBorders>
          </w:tcPr>
          <w:p>
            <w:pPr>
              <w:pStyle w:val="TableParagraph"/>
              <w:spacing w:before="33"/>
              <w:ind w:left="266"/>
              <w:rPr>
                <w:sz w:val="18"/>
              </w:rPr>
            </w:pPr>
            <w:r>
              <w:rPr>
                <w:sz w:val="18"/>
              </w:rPr>
              <w:t>Mobile Combustion: Water- borne Navigation</w:t>
            </w:r>
          </w:p>
        </w:tc>
        <w:tc>
          <w:tcPr>
            <w:tcW w:w="4507" w:type="dxa"/>
            <w:tcBorders>
              <w:top w:val="double" w:sz="1" w:space="0" w:color="000000"/>
            </w:tcBorders>
          </w:tcPr>
          <w:p>
            <w:pPr>
              <w:pStyle w:val="TableParagraph"/>
              <w:spacing w:before="33"/>
              <w:ind w:left="107"/>
              <w:rPr>
                <w:sz w:val="18"/>
              </w:rPr>
            </w:pPr>
            <w:r>
              <w:rPr>
                <w:sz w:val="18"/>
              </w:rPr>
              <w:t>Assess CO</w:t>
            </w:r>
            <w:r>
              <w:rPr>
                <w:sz w:val="18"/>
                <w:vertAlign w:val="subscript"/>
              </w:rPr>
              <w:t>2</w:t>
            </w:r>
            <w:r>
              <w:rPr>
                <w:sz w:val="18"/>
                <w:vertAlign w:val="baseline"/>
              </w:rPr>
              <w:t>, CH</w:t>
            </w:r>
            <w:r>
              <w:rPr>
                <w:sz w:val="18"/>
                <w:vertAlign w:val="subscript"/>
              </w:rPr>
              <w:t>4</w:t>
            </w:r>
            <w:r>
              <w:rPr>
                <w:sz w:val="18"/>
                <w:vertAlign w:val="baseline"/>
              </w:rPr>
              <w:t> and N</w:t>
            </w:r>
            <w:r>
              <w:rPr>
                <w:sz w:val="18"/>
                <w:vertAlign w:val="subscript"/>
              </w:rPr>
              <w:t>2</w:t>
            </w:r>
            <w:r>
              <w:rPr>
                <w:sz w:val="18"/>
                <w:vertAlign w:val="baseline"/>
              </w:rPr>
              <w:t>O separately.</w:t>
            </w:r>
          </w:p>
        </w:tc>
      </w:tr>
      <w:tr>
        <w:trPr>
          <w:trHeight w:val="302" w:hRule="atLeast"/>
        </w:trPr>
        <w:tc>
          <w:tcPr>
            <w:tcW w:w="4507" w:type="dxa"/>
          </w:tcPr>
          <w:p>
            <w:pPr>
              <w:pStyle w:val="TableParagraph"/>
              <w:spacing w:before="43"/>
              <w:ind w:left="266"/>
              <w:rPr>
                <w:sz w:val="18"/>
              </w:rPr>
            </w:pPr>
            <w:r>
              <w:rPr>
                <w:sz w:val="18"/>
              </w:rPr>
              <w:t>Mobile Combustion: Aircraft</w:t>
            </w:r>
          </w:p>
        </w:tc>
        <w:tc>
          <w:tcPr>
            <w:tcW w:w="4507" w:type="dxa"/>
          </w:tcPr>
          <w:p>
            <w:pPr>
              <w:pStyle w:val="TableParagraph"/>
              <w:spacing w:before="43"/>
              <w:ind w:left="107"/>
              <w:rPr>
                <w:sz w:val="18"/>
              </w:rPr>
            </w:pPr>
            <w:r>
              <w:rPr>
                <w:sz w:val="18"/>
              </w:rPr>
              <w:t>Assess CO</w:t>
            </w:r>
            <w:r>
              <w:rPr>
                <w:sz w:val="18"/>
                <w:vertAlign w:val="subscript"/>
              </w:rPr>
              <w:t>2</w:t>
            </w:r>
            <w:r>
              <w:rPr>
                <w:sz w:val="18"/>
                <w:vertAlign w:val="baseline"/>
              </w:rPr>
              <w:t>, CH</w:t>
            </w:r>
            <w:r>
              <w:rPr>
                <w:sz w:val="18"/>
                <w:vertAlign w:val="subscript"/>
              </w:rPr>
              <w:t>4</w:t>
            </w:r>
            <w:r>
              <w:rPr>
                <w:sz w:val="18"/>
                <w:vertAlign w:val="baseline"/>
              </w:rPr>
              <w:t> and N</w:t>
            </w:r>
            <w:r>
              <w:rPr>
                <w:sz w:val="18"/>
                <w:vertAlign w:val="subscript"/>
              </w:rPr>
              <w:t>2</w:t>
            </w:r>
            <w:r>
              <w:rPr>
                <w:sz w:val="18"/>
                <w:vertAlign w:val="baseline"/>
              </w:rPr>
              <w:t>O separately.</w:t>
            </w:r>
          </w:p>
        </w:tc>
      </w:tr>
      <w:tr>
        <w:trPr>
          <w:trHeight w:val="472" w:hRule="atLeast"/>
        </w:trPr>
        <w:tc>
          <w:tcPr>
            <w:tcW w:w="4507" w:type="dxa"/>
          </w:tcPr>
          <w:p>
            <w:pPr>
              <w:pStyle w:val="TableParagraph"/>
              <w:spacing w:before="127"/>
              <w:ind w:left="266"/>
              <w:rPr>
                <w:sz w:val="18"/>
              </w:rPr>
            </w:pPr>
            <w:r>
              <w:rPr>
                <w:sz w:val="18"/>
              </w:rPr>
              <w:t>Fugitive Emissions from Coal Mining and Handling</w:t>
            </w:r>
          </w:p>
        </w:tc>
        <w:tc>
          <w:tcPr>
            <w:tcW w:w="4507" w:type="dxa"/>
          </w:tcPr>
          <w:p>
            <w:pPr>
              <w:pStyle w:val="TableParagraph"/>
              <w:spacing w:before="23"/>
              <w:ind w:left="107" w:right="185"/>
              <w:rPr>
                <w:sz w:val="18"/>
              </w:rPr>
            </w:pPr>
            <w:r>
              <w:rPr>
                <w:sz w:val="18"/>
              </w:rPr>
              <w:t>If </w:t>
            </w:r>
            <w:r>
              <w:rPr>
                <w:spacing w:val="-3"/>
                <w:sz w:val="18"/>
              </w:rPr>
              <w:t>this </w:t>
            </w:r>
            <w:r>
              <w:rPr>
                <w:spacing w:val="-4"/>
                <w:sz w:val="18"/>
              </w:rPr>
              <w:t>source </w:t>
            </w:r>
            <w:r>
              <w:rPr>
                <w:sz w:val="18"/>
              </w:rPr>
              <w:t>is </w:t>
            </w:r>
            <w:r>
              <w:rPr>
                <w:spacing w:val="-4"/>
                <w:sz w:val="18"/>
              </w:rPr>
              <w:t>key, </w:t>
            </w:r>
            <w:r>
              <w:rPr>
                <w:sz w:val="18"/>
              </w:rPr>
              <w:t>it is </w:t>
            </w:r>
            <w:r>
              <w:rPr>
                <w:spacing w:val="-3"/>
                <w:sz w:val="18"/>
              </w:rPr>
              <w:t>likely that </w:t>
            </w:r>
            <w:r>
              <w:rPr>
                <w:spacing w:val="-4"/>
                <w:sz w:val="18"/>
              </w:rPr>
              <w:t>underground mining </w:t>
            </w:r>
            <w:r>
              <w:rPr>
                <w:spacing w:val="-5"/>
                <w:sz w:val="18"/>
              </w:rPr>
              <w:t>will </w:t>
            </w:r>
            <w:r>
              <w:rPr>
                <w:sz w:val="18"/>
              </w:rPr>
              <w:t>be </w:t>
            </w:r>
            <w:r>
              <w:rPr>
                <w:spacing w:val="-3"/>
                <w:sz w:val="18"/>
              </w:rPr>
              <w:t>the </w:t>
            </w:r>
            <w:r>
              <w:rPr>
                <w:spacing w:val="-4"/>
                <w:sz w:val="18"/>
              </w:rPr>
              <w:t>most significant </w:t>
            </w:r>
            <w:r>
              <w:rPr>
                <w:spacing w:val="-5"/>
                <w:sz w:val="18"/>
              </w:rPr>
              <w:t>subsource category.</w:t>
            </w:r>
          </w:p>
        </w:tc>
      </w:tr>
      <w:tr>
        <w:trPr>
          <w:trHeight w:val="923" w:hRule="atLeast"/>
        </w:trPr>
        <w:tc>
          <w:tcPr>
            <w:tcW w:w="4507" w:type="dxa"/>
          </w:tcPr>
          <w:p>
            <w:pPr>
              <w:pStyle w:val="TableParagraph"/>
              <w:rPr>
                <w:sz w:val="20"/>
              </w:rPr>
            </w:pPr>
          </w:p>
          <w:p>
            <w:pPr>
              <w:pStyle w:val="TableParagraph"/>
              <w:spacing w:before="125"/>
              <w:ind w:left="266"/>
              <w:rPr>
                <w:sz w:val="18"/>
              </w:rPr>
            </w:pPr>
            <w:r>
              <w:rPr>
                <w:sz w:val="18"/>
              </w:rPr>
              <w:t>Fugitive Emissions from Oil and Gas Operations</w:t>
            </w:r>
          </w:p>
        </w:tc>
        <w:tc>
          <w:tcPr>
            <w:tcW w:w="4507" w:type="dxa"/>
          </w:tcPr>
          <w:p>
            <w:pPr>
              <w:pStyle w:val="TableParagraph"/>
              <w:spacing w:before="43"/>
              <w:ind w:left="107"/>
              <w:rPr>
                <w:sz w:val="18"/>
              </w:rPr>
            </w:pPr>
            <w:r>
              <w:rPr>
                <w:spacing w:val="-6"/>
                <w:sz w:val="18"/>
              </w:rPr>
              <w:t>This source category comprises several subsource categories which </w:t>
            </w:r>
            <w:r>
              <w:rPr>
                <w:spacing w:val="-4"/>
                <w:sz w:val="18"/>
              </w:rPr>
              <w:t>may </w:t>
            </w:r>
            <w:r>
              <w:rPr>
                <w:sz w:val="18"/>
              </w:rPr>
              <w:t>be </w:t>
            </w:r>
            <w:r>
              <w:rPr>
                <w:spacing w:val="-6"/>
                <w:sz w:val="18"/>
              </w:rPr>
              <w:t>significant. Inventory agencies </w:t>
            </w:r>
            <w:r>
              <w:rPr>
                <w:spacing w:val="-5"/>
                <w:sz w:val="18"/>
              </w:rPr>
              <w:t>should </w:t>
            </w:r>
            <w:r>
              <w:rPr>
                <w:spacing w:val="-6"/>
                <w:sz w:val="18"/>
              </w:rPr>
              <w:t>assess </w:t>
            </w:r>
            <w:r>
              <w:rPr>
                <w:spacing w:val="-5"/>
                <w:sz w:val="18"/>
              </w:rPr>
              <w:t>this </w:t>
            </w:r>
            <w:r>
              <w:rPr>
                <w:spacing w:val="-6"/>
                <w:sz w:val="18"/>
              </w:rPr>
              <w:t>source category, </w:t>
            </w:r>
            <w:r>
              <w:rPr>
                <w:spacing w:val="-3"/>
                <w:sz w:val="18"/>
              </w:rPr>
              <w:t>if it is </w:t>
            </w:r>
            <w:r>
              <w:rPr>
                <w:spacing w:val="-6"/>
                <w:sz w:val="18"/>
              </w:rPr>
              <w:t>key, </w:t>
            </w:r>
            <w:r>
              <w:rPr>
                <w:spacing w:val="-4"/>
                <w:sz w:val="18"/>
              </w:rPr>
              <w:t>to </w:t>
            </w:r>
            <w:r>
              <w:rPr>
                <w:spacing w:val="-6"/>
                <w:sz w:val="18"/>
              </w:rPr>
              <w:t>determine which subsource categories </w:t>
            </w:r>
            <w:r>
              <w:rPr>
                <w:spacing w:val="-5"/>
                <w:sz w:val="18"/>
              </w:rPr>
              <w:t>are </w:t>
            </w:r>
            <w:r>
              <w:rPr>
                <w:spacing w:val="-6"/>
                <w:sz w:val="18"/>
              </w:rPr>
              <w:t>most important.</w:t>
            </w:r>
          </w:p>
        </w:tc>
      </w:tr>
      <w:tr>
        <w:trPr>
          <w:trHeight w:val="301" w:hRule="atLeast"/>
        </w:trPr>
        <w:tc>
          <w:tcPr>
            <w:tcW w:w="9014" w:type="dxa"/>
            <w:gridSpan w:val="2"/>
          </w:tcPr>
          <w:p>
            <w:pPr>
              <w:pStyle w:val="TableParagraph"/>
              <w:spacing w:before="59"/>
              <w:ind w:left="107"/>
              <w:rPr>
                <w:sz w:val="18"/>
              </w:rPr>
            </w:pPr>
            <w:r>
              <w:rPr>
                <w:sz w:val="18"/>
              </w:rPr>
              <w:t>INDUSTRIAL PROCESSES</w:t>
            </w:r>
          </w:p>
        </w:tc>
      </w:tr>
      <w:tr>
        <w:trPr>
          <w:trHeight w:val="302" w:hRule="atLeast"/>
        </w:trPr>
        <w:tc>
          <w:tcPr>
            <w:tcW w:w="4507" w:type="dxa"/>
          </w:tcPr>
          <w:p>
            <w:pPr>
              <w:pStyle w:val="TableParagraph"/>
              <w:spacing w:before="43"/>
              <w:ind w:left="220"/>
              <w:rPr>
                <w:sz w:val="18"/>
              </w:rPr>
            </w:pPr>
            <w:r>
              <w:rPr>
                <w:sz w:val="18"/>
              </w:rPr>
              <w:t>CO</w:t>
            </w:r>
            <w:r>
              <w:rPr>
                <w:sz w:val="18"/>
                <w:vertAlign w:val="subscript"/>
              </w:rPr>
              <w:t>2</w:t>
            </w:r>
            <w:r>
              <w:rPr>
                <w:sz w:val="18"/>
                <w:vertAlign w:val="baseline"/>
              </w:rPr>
              <w:t> Emissions from Cement Production</w:t>
            </w:r>
          </w:p>
        </w:tc>
        <w:tc>
          <w:tcPr>
            <w:tcW w:w="4507" w:type="dxa"/>
          </w:tcPr>
          <w:p>
            <w:pPr>
              <w:pStyle w:val="TableParagraph"/>
              <w:rPr>
                <w:sz w:val="16"/>
              </w:rPr>
            </w:pPr>
          </w:p>
        </w:tc>
      </w:tr>
      <w:tr>
        <w:trPr>
          <w:trHeight w:val="302" w:hRule="atLeast"/>
        </w:trPr>
        <w:tc>
          <w:tcPr>
            <w:tcW w:w="4507" w:type="dxa"/>
          </w:tcPr>
          <w:p>
            <w:pPr>
              <w:pStyle w:val="TableParagraph"/>
              <w:spacing w:before="43"/>
              <w:ind w:left="220"/>
              <w:rPr>
                <w:sz w:val="18"/>
              </w:rPr>
            </w:pPr>
            <w:r>
              <w:rPr>
                <w:sz w:val="18"/>
              </w:rPr>
              <w:t>CO</w:t>
            </w:r>
            <w:r>
              <w:rPr>
                <w:sz w:val="18"/>
                <w:vertAlign w:val="subscript"/>
              </w:rPr>
              <w:t>2</w:t>
            </w:r>
            <w:r>
              <w:rPr>
                <w:sz w:val="18"/>
                <w:vertAlign w:val="baseline"/>
              </w:rPr>
              <w:t> Emissions from Lime Production</w:t>
            </w:r>
          </w:p>
        </w:tc>
        <w:tc>
          <w:tcPr>
            <w:tcW w:w="4507" w:type="dxa"/>
          </w:tcPr>
          <w:p>
            <w:pPr>
              <w:pStyle w:val="TableParagraph"/>
              <w:rPr>
                <w:sz w:val="16"/>
              </w:rPr>
            </w:pPr>
          </w:p>
        </w:tc>
      </w:tr>
      <w:tr>
        <w:trPr>
          <w:trHeight w:val="302" w:hRule="atLeast"/>
        </w:trPr>
        <w:tc>
          <w:tcPr>
            <w:tcW w:w="4507" w:type="dxa"/>
          </w:tcPr>
          <w:p>
            <w:pPr>
              <w:pStyle w:val="TableParagraph"/>
              <w:spacing w:before="43"/>
              <w:ind w:left="220"/>
              <w:rPr>
                <w:sz w:val="18"/>
              </w:rPr>
            </w:pPr>
            <w:r>
              <w:rPr>
                <w:sz w:val="18"/>
              </w:rPr>
              <w:t>CO</w:t>
            </w:r>
            <w:r>
              <w:rPr>
                <w:sz w:val="18"/>
                <w:vertAlign w:val="subscript"/>
              </w:rPr>
              <w:t>2</w:t>
            </w:r>
            <w:r>
              <w:rPr>
                <w:sz w:val="18"/>
                <w:vertAlign w:val="baseline"/>
              </w:rPr>
              <w:t> Emissions from the Iron and Steel Industry</w:t>
            </w:r>
          </w:p>
        </w:tc>
        <w:tc>
          <w:tcPr>
            <w:tcW w:w="4507" w:type="dxa"/>
          </w:tcPr>
          <w:p>
            <w:pPr>
              <w:pStyle w:val="TableParagraph"/>
              <w:rPr>
                <w:sz w:val="16"/>
              </w:rPr>
            </w:pPr>
          </w:p>
        </w:tc>
      </w:tr>
      <w:tr>
        <w:trPr>
          <w:trHeight w:val="472" w:hRule="atLeast"/>
        </w:trPr>
        <w:tc>
          <w:tcPr>
            <w:tcW w:w="4507" w:type="dxa"/>
          </w:tcPr>
          <w:p>
            <w:pPr>
              <w:pStyle w:val="TableParagraph"/>
              <w:spacing w:before="23"/>
              <w:ind w:left="220" w:right="664"/>
              <w:rPr>
                <w:sz w:val="18"/>
              </w:rPr>
            </w:pPr>
            <w:r>
              <w:rPr>
                <w:sz w:val="18"/>
              </w:rPr>
              <w:t>N</w:t>
            </w:r>
            <w:r>
              <w:rPr>
                <w:sz w:val="18"/>
                <w:vertAlign w:val="subscript"/>
              </w:rPr>
              <w:t>2</w:t>
            </w:r>
            <w:r>
              <w:rPr>
                <w:sz w:val="18"/>
                <w:vertAlign w:val="baseline"/>
              </w:rPr>
              <w:t>O Emissions from Adipic Acid and Nitric Acid Production</w:t>
            </w:r>
          </w:p>
        </w:tc>
        <w:tc>
          <w:tcPr>
            <w:tcW w:w="4507" w:type="dxa"/>
          </w:tcPr>
          <w:p>
            <w:pPr>
              <w:pStyle w:val="TableParagraph"/>
              <w:spacing w:before="127"/>
              <w:ind w:left="107"/>
              <w:rPr>
                <w:sz w:val="18"/>
              </w:rPr>
            </w:pPr>
            <w:r>
              <w:rPr>
                <w:sz w:val="18"/>
              </w:rPr>
              <w:t>Assess adipic acid and nitric acid separately.</w:t>
            </w:r>
          </w:p>
        </w:tc>
      </w:tr>
      <w:tr>
        <w:trPr>
          <w:trHeight w:val="302" w:hRule="atLeast"/>
        </w:trPr>
        <w:tc>
          <w:tcPr>
            <w:tcW w:w="4507" w:type="dxa"/>
          </w:tcPr>
          <w:p>
            <w:pPr>
              <w:pStyle w:val="TableParagraph"/>
              <w:spacing w:before="43"/>
              <w:ind w:left="220"/>
              <w:rPr>
                <w:sz w:val="18"/>
              </w:rPr>
            </w:pPr>
            <w:r>
              <w:rPr>
                <w:sz w:val="18"/>
              </w:rPr>
              <w:t>PFC Emissions from Aluminium Production</w:t>
            </w:r>
          </w:p>
        </w:tc>
        <w:tc>
          <w:tcPr>
            <w:tcW w:w="4507" w:type="dxa"/>
          </w:tcPr>
          <w:p>
            <w:pPr>
              <w:pStyle w:val="TableParagraph"/>
              <w:rPr>
                <w:sz w:val="16"/>
              </w:rPr>
            </w:pPr>
          </w:p>
        </w:tc>
      </w:tr>
      <w:tr>
        <w:trPr>
          <w:trHeight w:val="301" w:hRule="atLeast"/>
        </w:trPr>
        <w:tc>
          <w:tcPr>
            <w:tcW w:w="4507" w:type="dxa"/>
          </w:tcPr>
          <w:p>
            <w:pPr>
              <w:pStyle w:val="TableParagraph"/>
              <w:spacing w:before="43"/>
              <w:ind w:left="220"/>
              <w:rPr>
                <w:sz w:val="18"/>
              </w:rPr>
            </w:pPr>
            <w:r>
              <w:rPr>
                <w:sz w:val="18"/>
              </w:rPr>
              <w:t>Sulfur hexafluoride (SF</w:t>
            </w:r>
            <w:r>
              <w:rPr>
                <w:sz w:val="18"/>
                <w:vertAlign w:val="subscript"/>
              </w:rPr>
              <w:t>6</w:t>
            </w:r>
            <w:r>
              <w:rPr>
                <w:sz w:val="18"/>
                <w:vertAlign w:val="baseline"/>
              </w:rPr>
              <w:t>) from Magnesium Production</w:t>
            </w:r>
          </w:p>
        </w:tc>
        <w:tc>
          <w:tcPr>
            <w:tcW w:w="4507" w:type="dxa"/>
          </w:tcPr>
          <w:p>
            <w:pPr>
              <w:pStyle w:val="TableParagraph"/>
              <w:rPr>
                <w:sz w:val="16"/>
              </w:rPr>
            </w:pPr>
          </w:p>
        </w:tc>
      </w:tr>
      <w:tr>
        <w:trPr>
          <w:trHeight w:val="302" w:hRule="atLeast"/>
        </w:trPr>
        <w:tc>
          <w:tcPr>
            <w:tcW w:w="4507" w:type="dxa"/>
          </w:tcPr>
          <w:p>
            <w:pPr>
              <w:pStyle w:val="TableParagraph"/>
              <w:spacing w:before="43"/>
              <w:ind w:left="220"/>
              <w:rPr>
                <w:sz w:val="18"/>
              </w:rPr>
            </w:pPr>
            <w:r>
              <w:rPr>
                <w:sz w:val="18"/>
              </w:rPr>
              <w:t>SF</w:t>
            </w:r>
            <w:r>
              <w:rPr>
                <w:sz w:val="18"/>
                <w:vertAlign w:val="subscript"/>
              </w:rPr>
              <w:t>6</w:t>
            </w:r>
            <w:r>
              <w:rPr>
                <w:sz w:val="18"/>
                <w:vertAlign w:val="baseline"/>
              </w:rPr>
              <w:t> Emissions from Electrical Equipment</w:t>
            </w:r>
          </w:p>
        </w:tc>
        <w:tc>
          <w:tcPr>
            <w:tcW w:w="4507" w:type="dxa"/>
          </w:tcPr>
          <w:p>
            <w:pPr>
              <w:pStyle w:val="TableParagraph"/>
              <w:rPr>
                <w:sz w:val="16"/>
              </w:rPr>
            </w:pPr>
          </w:p>
        </w:tc>
      </w:tr>
      <w:tr>
        <w:trPr>
          <w:trHeight w:val="302" w:hRule="atLeast"/>
        </w:trPr>
        <w:tc>
          <w:tcPr>
            <w:tcW w:w="4507" w:type="dxa"/>
          </w:tcPr>
          <w:p>
            <w:pPr>
              <w:pStyle w:val="TableParagraph"/>
              <w:spacing w:before="43"/>
              <w:ind w:left="220"/>
              <w:rPr>
                <w:sz w:val="18"/>
              </w:rPr>
            </w:pPr>
            <w:r>
              <w:rPr>
                <w:sz w:val="18"/>
              </w:rPr>
              <w:t>SF</w:t>
            </w:r>
            <w:r>
              <w:rPr>
                <w:sz w:val="18"/>
                <w:vertAlign w:val="subscript"/>
              </w:rPr>
              <w:t>6</w:t>
            </w:r>
            <w:r>
              <w:rPr>
                <w:sz w:val="18"/>
                <w:vertAlign w:val="baseline"/>
              </w:rPr>
              <w:t> Emissions from Other Sources of SF</w:t>
            </w:r>
            <w:r>
              <w:rPr>
                <w:sz w:val="18"/>
                <w:vertAlign w:val="subscript"/>
              </w:rPr>
              <w:t>6</w:t>
            </w:r>
          </w:p>
        </w:tc>
        <w:tc>
          <w:tcPr>
            <w:tcW w:w="4507" w:type="dxa"/>
          </w:tcPr>
          <w:p>
            <w:pPr>
              <w:pStyle w:val="TableParagraph"/>
              <w:rPr>
                <w:sz w:val="16"/>
              </w:rPr>
            </w:pPr>
          </w:p>
        </w:tc>
      </w:tr>
      <w:tr>
        <w:trPr>
          <w:trHeight w:val="302" w:hRule="atLeast"/>
        </w:trPr>
        <w:tc>
          <w:tcPr>
            <w:tcW w:w="4507" w:type="dxa"/>
          </w:tcPr>
          <w:p>
            <w:pPr>
              <w:pStyle w:val="TableParagraph"/>
              <w:spacing w:before="43"/>
              <w:ind w:left="220"/>
              <w:rPr>
                <w:sz w:val="18"/>
              </w:rPr>
            </w:pPr>
            <w:r>
              <w:rPr>
                <w:sz w:val="18"/>
              </w:rPr>
              <w:t>SF</w:t>
            </w:r>
            <w:r>
              <w:rPr>
                <w:sz w:val="18"/>
                <w:vertAlign w:val="subscript"/>
              </w:rPr>
              <w:t>6</w:t>
            </w:r>
            <w:r>
              <w:rPr>
                <w:sz w:val="18"/>
                <w:vertAlign w:val="baseline"/>
              </w:rPr>
              <w:t> Emissions from Production of SF</w:t>
            </w:r>
            <w:r>
              <w:rPr>
                <w:sz w:val="18"/>
                <w:vertAlign w:val="subscript"/>
              </w:rPr>
              <w:t>6</w:t>
            </w:r>
          </w:p>
        </w:tc>
        <w:tc>
          <w:tcPr>
            <w:tcW w:w="4507" w:type="dxa"/>
          </w:tcPr>
          <w:p>
            <w:pPr>
              <w:pStyle w:val="TableParagraph"/>
              <w:rPr>
                <w:sz w:val="16"/>
              </w:rPr>
            </w:pPr>
          </w:p>
        </w:tc>
      </w:tr>
      <w:tr>
        <w:trPr>
          <w:trHeight w:val="697" w:hRule="atLeast"/>
        </w:trPr>
        <w:tc>
          <w:tcPr>
            <w:tcW w:w="4507" w:type="dxa"/>
          </w:tcPr>
          <w:p>
            <w:pPr>
              <w:pStyle w:val="TableParagraph"/>
              <w:spacing w:before="136"/>
              <w:ind w:left="220" w:right="833"/>
              <w:rPr>
                <w:sz w:val="18"/>
              </w:rPr>
            </w:pPr>
            <w:r>
              <w:rPr>
                <w:sz w:val="18"/>
              </w:rPr>
              <w:t>PFC, HFC, SF</w:t>
            </w:r>
            <w:r>
              <w:rPr>
                <w:sz w:val="18"/>
                <w:vertAlign w:val="subscript"/>
              </w:rPr>
              <w:t>6</w:t>
            </w:r>
            <w:r>
              <w:rPr>
                <w:sz w:val="18"/>
                <w:vertAlign w:val="baseline"/>
              </w:rPr>
              <w:t> Emissions from Semiconductor Manufacturing</w:t>
            </w:r>
          </w:p>
        </w:tc>
        <w:tc>
          <w:tcPr>
            <w:tcW w:w="4507" w:type="dxa"/>
          </w:tcPr>
          <w:p>
            <w:pPr>
              <w:pStyle w:val="TableParagraph"/>
              <w:spacing w:before="33"/>
              <w:ind w:left="107" w:right="265"/>
              <w:jc w:val="both"/>
              <w:rPr>
                <w:sz w:val="18"/>
              </w:rPr>
            </w:pPr>
            <w:r>
              <w:rPr>
                <w:sz w:val="18"/>
              </w:rPr>
              <w:t>Assess emissions from all compounds jointly on a GWP- weighted basis, since they are all used in similar fashions in the process.</w:t>
            </w:r>
          </w:p>
        </w:tc>
      </w:tr>
      <w:tr>
        <w:trPr>
          <w:trHeight w:val="697" w:hRule="atLeast"/>
        </w:trPr>
        <w:tc>
          <w:tcPr>
            <w:tcW w:w="4507" w:type="dxa"/>
          </w:tcPr>
          <w:p>
            <w:pPr>
              <w:pStyle w:val="TableParagraph"/>
              <w:spacing w:line="278" w:lineRule="auto" w:before="136"/>
              <w:ind w:left="220" w:right="762"/>
              <w:rPr>
                <w:sz w:val="18"/>
              </w:rPr>
            </w:pPr>
            <w:r>
              <w:rPr>
                <w:sz w:val="18"/>
              </w:rPr>
              <w:t>Emissions from Substitutes for Ozone Depleting Substances (ODS Substitutes)</w:t>
            </w:r>
          </w:p>
        </w:tc>
        <w:tc>
          <w:tcPr>
            <w:tcW w:w="4507" w:type="dxa"/>
          </w:tcPr>
          <w:p>
            <w:pPr>
              <w:pStyle w:val="TableParagraph"/>
              <w:spacing w:before="33"/>
              <w:ind w:left="107" w:right="80"/>
              <w:rPr>
                <w:sz w:val="18"/>
              </w:rPr>
            </w:pPr>
            <w:r>
              <w:rPr>
                <w:spacing w:val="-4"/>
                <w:sz w:val="18"/>
              </w:rPr>
              <w:t>Assess </w:t>
            </w:r>
            <w:r>
              <w:rPr>
                <w:spacing w:val="-5"/>
                <w:sz w:val="18"/>
              </w:rPr>
              <w:t>emissions </w:t>
            </w:r>
            <w:r>
              <w:rPr>
                <w:spacing w:val="-3"/>
                <w:sz w:val="18"/>
              </w:rPr>
              <w:t>from </w:t>
            </w:r>
            <w:r>
              <w:rPr>
                <w:spacing w:val="-4"/>
                <w:sz w:val="18"/>
              </w:rPr>
              <w:t>all HFCs </w:t>
            </w:r>
            <w:r>
              <w:rPr>
                <w:spacing w:val="-3"/>
                <w:sz w:val="18"/>
              </w:rPr>
              <w:t>and PFCs </w:t>
            </w:r>
            <w:r>
              <w:rPr>
                <w:spacing w:val="-4"/>
                <w:sz w:val="18"/>
              </w:rPr>
              <w:t>used </w:t>
            </w:r>
            <w:r>
              <w:rPr>
                <w:sz w:val="18"/>
              </w:rPr>
              <w:t>as </w:t>
            </w:r>
            <w:r>
              <w:rPr>
                <w:spacing w:val="-5"/>
                <w:sz w:val="18"/>
              </w:rPr>
              <w:t>substitutes </w:t>
            </w:r>
            <w:r>
              <w:rPr>
                <w:spacing w:val="-4"/>
                <w:sz w:val="18"/>
              </w:rPr>
              <w:t>for ODS jointly </w:t>
            </w:r>
            <w:r>
              <w:rPr>
                <w:sz w:val="18"/>
              </w:rPr>
              <w:t>on a </w:t>
            </w:r>
            <w:r>
              <w:rPr>
                <w:spacing w:val="-4"/>
                <w:sz w:val="18"/>
              </w:rPr>
              <w:t>GWP- weighted basis, given </w:t>
            </w:r>
            <w:r>
              <w:rPr>
                <w:spacing w:val="-2"/>
                <w:sz w:val="18"/>
              </w:rPr>
              <w:t>the </w:t>
            </w:r>
            <w:r>
              <w:rPr>
                <w:spacing w:val="-4"/>
                <w:sz w:val="18"/>
              </w:rPr>
              <w:t>importance </w:t>
            </w:r>
            <w:r>
              <w:rPr>
                <w:sz w:val="18"/>
              </w:rPr>
              <w:t>of </w:t>
            </w:r>
            <w:r>
              <w:rPr>
                <w:spacing w:val="-4"/>
                <w:sz w:val="18"/>
              </w:rPr>
              <w:t>having </w:t>
            </w:r>
            <w:r>
              <w:rPr>
                <w:sz w:val="18"/>
              </w:rPr>
              <w:t>a </w:t>
            </w:r>
            <w:r>
              <w:rPr>
                <w:spacing w:val="-5"/>
                <w:sz w:val="18"/>
              </w:rPr>
              <w:t>consistent </w:t>
            </w:r>
            <w:r>
              <w:rPr>
                <w:spacing w:val="-4"/>
                <w:sz w:val="18"/>
              </w:rPr>
              <w:t>method for </w:t>
            </w:r>
            <w:r>
              <w:rPr>
                <w:spacing w:val="-3"/>
                <w:sz w:val="18"/>
              </w:rPr>
              <w:t>all </w:t>
            </w:r>
            <w:r>
              <w:rPr>
                <w:spacing w:val="-4"/>
                <w:sz w:val="18"/>
              </w:rPr>
              <w:t>ODS </w:t>
            </w:r>
            <w:r>
              <w:rPr>
                <w:spacing w:val="-5"/>
                <w:sz w:val="18"/>
              </w:rPr>
              <w:t>sources.</w:t>
            </w:r>
          </w:p>
        </w:tc>
      </w:tr>
      <w:tr>
        <w:trPr>
          <w:trHeight w:val="302" w:hRule="atLeast"/>
        </w:trPr>
        <w:tc>
          <w:tcPr>
            <w:tcW w:w="4507" w:type="dxa"/>
          </w:tcPr>
          <w:p>
            <w:pPr>
              <w:pStyle w:val="TableParagraph"/>
              <w:spacing w:before="43"/>
              <w:ind w:left="266"/>
              <w:rPr>
                <w:sz w:val="18"/>
              </w:rPr>
            </w:pPr>
            <w:r>
              <w:rPr>
                <w:sz w:val="18"/>
              </w:rPr>
              <w:t>HFC- 23 Emissions from HCFC- 22 Manufacture</w:t>
            </w:r>
          </w:p>
        </w:tc>
        <w:tc>
          <w:tcPr>
            <w:tcW w:w="4507" w:type="dxa"/>
          </w:tcPr>
          <w:p>
            <w:pPr>
              <w:pStyle w:val="TableParagraph"/>
              <w:rPr>
                <w:sz w:val="16"/>
              </w:rPr>
            </w:pPr>
          </w:p>
        </w:tc>
      </w:tr>
      <w:tr>
        <w:trPr>
          <w:trHeight w:val="302" w:hRule="atLeast"/>
        </w:trPr>
        <w:tc>
          <w:tcPr>
            <w:tcW w:w="9014" w:type="dxa"/>
            <w:gridSpan w:val="2"/>
          </w:tcPr>
          <w:p>
            <w:pPr>
              <w:pStyle w:val="TableParagraph"/>
              <w:spacing w:before="59"/>
              <w:ind w:left="107"/>
              <w:rPr>
                <w:sz w:val="18"/>
              </w:rPr>
            </w:pPr>
            <w:r>
              <w:rPr>
                <w:sz w:val="18"/>
              </w:rPr>
              <w:t>AGRICULTURE</w:t>
            </w:r>
          </w:p>
        </w:tc>
      </w:tr>
      <w:tr>
        <w:trPr>
          <w:trHeight w:val="472" w:hRule="atLeast"/>
        </w:trPr>
        <w:tc>
          <w:tcPr>
            <w:tcW w:w="4507" w:type="dxa"/>
          </w:tcPr>
          <w:p>
            <w:pPr>
              <w:pStyle w:val="TableParagraph"/>
              <w:spacing w:before="23"/>
              <w:ind w:left="220" w:right="279"/>
              <w:rPr>
                <w:sz w:val="18"/>
              </w:rPr>
            </w:pPr>
            <w:r>
              <w:rPr>
                <w:sz w:val="18"/>
              </w:rPr>
              <w:t>CH</w:t>
            </w:r>
            <w:r>
              <w:rPr>
                <w:sz w:val="18"/>
                <w:vertAlign w:val="subscript"/>
              </w:rPr>
              <w:t>4</w:t>
            </w:r>
            <w:r>
              <w:rPr>
                <w:sz w:val="18"/>
                <w:vertAlign w:val="baseline"/>
              </w:rPr>
              <w:t> Emissions from Enteric Fermentation in Domestic Livestock</w:t>
            </w:r>
          </w:p>
        </w:tc>
        <w:tc>
          <w:tcPr>
            <w:tcW w:w="4507" w:type="dxa"/>
          </w:tcPr>
          <w:p>
            <w:pPr>
              <w:pStyle w:val="TableParagraph"/>
              <w:spacing w:before="23"/>
              <w:ind w:left="107"/>
              <w:rPr>
                <w:sz w:val="18"/>
              </w:rPr>
            </w:pPr>
            <w:r>
              <w:rPr>
                <w:sz w:val="18"/>
              </w:rPr>
              <w:t>If </w:t>
            </w:r>
            <w:r>
              <w:rPr>
                <w:spacing w:val="-4"/>
                <w:sz w:val="18"/>
              </w:rPr>
              <w:t>this source category </w:t>
            </w:r>
            <w:r>
              <w:rPr>
                <w:spacing w:val="-3"/>
                <w:sz w:val="18"/>
              </w:rPr>
              <w:t>is </w:t>
            </w:r>
            <w:r>
              <w:rPr>
                <w:spacing w:val="-4"/>
                <w:sz w:val="18"/>
              </w:rPr>
              <w:t>key, </w:t>
            </w:r>
            <w:r>
              <w:rPr>
                <w:spacing w:val="-3"/>
                <w:sz w:val="18"/>
              </w:rPr>
              <w:t>it </w:t>
            </w:r>
            <w:r>
              <w:rPr>
                <w:sz w:val="18"/>
              </w:rPr>
              <w:t>is </w:t>
            </w:r>
            <w:r>
              <w:rPr>
                <w:spacing w:val="-4"/>
                <w:sz w:val="18"/>
              </w:rPr>
              <w:t>likely that cattle, buffalo</w:t>
            </w:r>
            <w:r>
              <w:rPr>
                <w:spacing w:val="-6"/>
                <w:sz w:val="18"/>
              </w:rPr>
              <w:t> and </w:t>
            </w:r>
            <w:r>
              <w:rPr>
                <w:spacing w:val="-4"/>
                <w:sz w:val="18"/>
              </w:rPr>
              <w:t>sheep will </w:t>
            </w:r>
            <w:r>
              <w:rPr>
                <w:sz w:val="18"/>
              </w:rPr>
              <w:t>be </w:t>
            </w:r>
            <w:r>
              <w:rPr>
                <w:spacing w:val="-2"/>
                <w:sz w:val="18"/>
              </w:rPr>
              <w:t>the </w:t>
            </w:r>
            <w:r>
              <w:rPr>
                <w:spacing w:val="-4"/>
                <w:sz w:val="18"/>
              </w:rPr>
              <w:t>most significant </w:t>
            </w:r>
            <w:r>
              <w:rPr>
                <w:spacing w:val="-5"/>
                <w:sz w:val="18"/>
              </w:rPr>
              <w:t>subsource categories.</w:t>
            </w:r>
          </w:p>
        </w:tc>
      </w:tr>
      <w:tr>
        <w:trPr>
          <w:trHeight w:val="472" w:hRule="atLeast"/>
        </w:trPr>
        <w:tc>
          <w:tcPr>
            <w:tcW w:w="4507" w:type="dxa"/>
          </w:tcPr>
          <w:p>
            <w:pPr>
              <w:pStyle w:val="TableParagraph"/>
              <w:spacing w:before="127"/>
              <w:ind w:left="220"/>
              <w:rPr>
                <w:sz w:val="18"/>
              </w:rPr>
            </w:pPr>
            <w:r>
              <w:rPr>
                <w:sz w:val="18"/>
              </w:rPr>
              <w:t>CH</w:t>
            </w:r>
            <w:r>
              <w:rPr>
                <w:sz w:val="18"/>
                <w:vertAlign w:val="subscript"/>
              </w:rPr>
              <w:t>4</w:t>
            </w:r>
            <w:r>
              <w:rPr>
                <w:sz w:val="18"/>
                <w:vertAlign w:val="baseline"/>
              </w:rPr>
              <w:t> Emissions from Manure Management</w:t>
            </w:r>
          </w:p>
        </w:tc>
        <w:tc>
          <w:tcPr>
            <w:tcW w:w="4507" w:type="dxa"/>
          </w:tcPr>
          <w:p>
            <w:pPr>
              <w:pStyle w:val="TableParagraph"/>
              <w:spacing w:before="23"/>
              <w:ind w:left="107" w:right="360"/>
              <w:rPr>
                <w:sz w:val="18"/>
              </w:rPr>
            </w:pPr>
            <w:r>
              <w:rPr>
                <w:sz w:val="18"/>
              </w:rPr>
              <w:t>If this source category is key, it is likely that cattle and swine will be the most significant subsource categories.</w:t>
            </w:r>
          </w:p>
        </w:tc>
      </w:tr>
      <w:tr>
        <w:trPr>
          <w:trHeight w:val="302" w:hRule="atLeast"/>
        </w:trPr>
        <w:tc>
          <w:tcPr>
            <w:tcW w:w="4507" w:type="dxa"/>
          </w:tcPr>
          <w:p>
            <w:pPr>
              <w:pStyle w:val="TableParagraph"/>
              <w:spacing w:before="43"/>
              <w:ind w:left="220"/>
              <w:rPr>
                <w:sz w:val="18"/>
              </w:rPr>
            </w:pPr>
            <w:r>
              <w:rPr>
                <w:sz w:val="18"/>
              </w:rPr>
              <w:t>N</w:t>
            </w:r>
            <w:r>
              <w:rPr>
                <w:sz w:val="18"/>
                <w:vertAlign w:val="subscript"/>
              </w:rPr>
              <w:t>2</w:t>
            </w:r>
            <w:r>
              <w:rPr>
                <w:sz w:val="18"/>
                <w:vertAlign w:val="baseline"/>
              </w:rPr>
              <w:t>O Emissions from Manure Management</w:t>
            </w:r>
          </w:p>
        </w:tc>
        <w:tc>
          <w:tcPr>
            <w:tcW w:w="4507" w:type="dxa"/>
          </w:tcPr>
          <w:p>
            <w:pPr>
              <w:pStyle w:val="TableParagraph"/>
              <w:rPr>
                <w:sz w:val="16"/>
              </w:rPr>
            </w:pPr>
          </w:p>
        </w:tc>
      </w:tr>
      <w:tr>
        <w:trPr>
          <w:trHeight w:val="302" w:hRule="atLeast"/>
        </w:trPr>
        <w:tc>
          <w:tcPr>
            <w:tcW w:w="4507" w:type="dxa"/>
          </w:tcPr>
          <w:p>
            <w:pPr>
              <w:pStyle w:val="TableParagraph"/>
              <w:spacing w:before="43"/>
              <w:ind w:left="220"/>
              <w:rPr>
                <w:sz w:val="18"/>
              </w:rPr>
            </w:pPr>
            <w:r>
              <w:rPr>
                <w:sz w:val="18"/>
              </w:rPr>
              <w:t>CH</w:t>
            </w:r>
            <w:r>
              <w:rPr>
                <w:sz w:val="18"/>
                <w:vertAlign w:val="subscript"/>
              </w:rPr>
              <w:t>4</w:t>
            </w:r>
            <w:r>
              <w:rPr>
                <w:sz w:val="18"/>
                <w:vertAlign w:val="baseline"/>
              </w:rPr>
              <w:t> and N</w:t>
            </w:r>
            <w:r>
              <w:rPr>
                <w:sz w:val="18"/>
                <w:vertAlign w:val="subscript"/>
              </w:rPr>
              <w:t>2</w:t>
            </w:r>
            <w:r>
              <w:rPr>
                <w:sz w:val="18"/>
                <w:vertAlign w:val="baseline"/>
              </w:rPr>
              <w:t>O Emissions from Savanna Burning</w:t>
            </w:r>
          </w:p>
        </w:tc>
        <w:tc>
          <w:tcPr>
            <w:tcW w:w="4507" w:type="dxa"/>
          </w:tcPr>
          <w:p>
            <w:pPr>
              <w:pStyle w:val="TableParagraph"/>
              <w:spacing w:before="43"/>
              <w:ind w:left="107"/>
              <w:rPr>
                <w:sz w:val="18"/>
              </w:rPr>
            </w:pPr>
            <w:r>
              <w:rPr>
                <w:sz w:val="18"/>
              </w:rPr>
              <w:t>Assess CH</w:t>
            </w:r>
            <w:r>
              <w:rPr>
                <w:sz w:val="18"/>
                <w:vertAlign w:val="subscript"/>
              </w:rPr>
              <w:t>4</w:t>
            </w:r>
            <w:r>
              <w:rPr>
                <w:sz w:val="18"/>
                <w:vertAlign w:val="baseline"/>
              </w:rPr>
              <w:t> and N</w:t>
            </w:r>
            <w:r>
              <w:rPr>
                <w:sz w:val="18"/>
                <w:vertAlign w:val="subscript"/>
              </w:rPr>
              <w:t>2</w:t>
            </w:r>
            <w:r>
              <w:rPr>
                <w:sz w:val="18"/>
                <w:vertAlign w:val="baseline"/>
              </w:rPr>
              <w:t>O separately.</w:t>
            </w:r>
          </w:p>
        </w:tc>
      </w:tr>
      <w:tr>
        <w:trPr>
          <w:trHeight w:val="470" w:hRule="atLeast"/>
        </w:trPr>
        <w:tc>
          <w:tcPr>
            <w:tcW w:w="4507" w:type="dxa"/>
          </w:tcPr>
          <w:p>
            <w:pPr>
              <w:pStyle w:val="TableParagraph"/>
              <w:spacing w:before="23"/>
              <w:ind w:left="220" w:right="550"/>
              <w:rPr>
                <w:sz w:val="18"/>
              </w:rPr>
            </w:pPr>
            <w:r>
              <w:rPr>
                <w:sz w:val="18"/>
              </w:rPr>
              <w:t>CH</w:t>
            </w:r>
            <w:r>
              <w:rPr>
                <w:sz w:val="18"/>
                <w:vertAlign w:val="subscript"/>
              </w:rPr>
              <w:t>4</w:t>
            </w:r>
            <w:r>
              <w:rPr>
                <w:sz w:val="18"/>
                <w:vertAlign w:val="baseline"/>
              </w:rPr>
              <w:t> and N</w:t>
            </w:r>
            <w:r>
              <w:rPr>
                <w:sz w:val="18"/>
                <w:vertAlign w:val="subscript"/>
              </w:rPr>
              <w:t>2</w:t>
            </w:r>
            <w:r>
              <w:rPr>
                <w:sz w:val="18"/>
                <w:vertAlign w:val="baseline"/>
              </w:rPr>
              <w:t>O Emissions from Agricultural Residue Burning</w:t>
            </w:r>
          </w:p>
        </w:tc>
        <w:tc>
          <w:tcPr>
            <w:tcW w:w="4507" w:type="dxa"/>
          </w:tcPr>
          <w:p>
            <w:pPr>
              <w:pStyle w:val="TableParagraph"/>
              <w:spacing w:before="127"/>
              <w:ind w:left="107"/>
              <w:rPr>
                <w:sz w:val="18"/>
              </w:rPr>
            </w:pPr>
            <w:r>
              <w:rPr>
                <w:sz w:val="18"/>
              </w:rPr>
              <w:t>Assess CH</w:t>
            </w:r>
            <w:r>
              <w:rPr>
                <w:sz w:val="18"/>
                <w:vertAlign w:val="subscript"/>
              </w:rPr>
              <w:t>4</w:t>
            </w:r>
            <w:r>
              <w:rPr>
                <w:sz w:val="18"/>
                <w:vertAlign w:val="baseline"/>
              </w:rPr>
              <w:t> and N</w:t>
            </w:r>
            <w:r>
              <w:rPr>
                <w:sz w:val="18"/>
                <w:vertAlign w:val="subscript"/>
              </w:rPr>
              <w:t>2</w:t>
            </w:r>
            <w:r>
              <w:rPr>
                <w:sz w:val="18"/>
                <w:vertAlign w:val="baseline"/>
              </w:rPr>
              <w:t>O separately.</w:t>
            </w:r>
          </w:p>
        </w:tc>
      </w:tr>
      <w:tr>
        <w:trPr>
          <w:trHeight w:val="301" w:hRule="atLeast"/>
        </w:trPr>
        <w:tc>
          <w:tcPr>
            <w:tcW w:w="4507" w:type="dxa"/>
          </w:tcPr>
          <w:p>
            <w:pPr>
              <w:pStyle w:val="TableParagraph"/>
              <w:spacing w:before="43"/>
              <w:ind w:left="220"/>
              <w:rPr>
                <w:sz w:val="18"/>
              </w:rPr>
            </w:pPr>
            <w:r>
              <w:rPr>
                <w:sz w:val="18"/>
              </w:rPr>
              <w:t>Direct N</w:t>
            </w:r>
            <w:r>
              <w:rPr>
                <w:sz w:val="18"/>
                <w:vertAlign w:val="subscript"/>
              </w:rPr>
              <w:t>2</w:t>
            </w:r>
            <w:r>
              <w:rPr>
                <w:sz w:val="18"/>
                <w:vertAlign w:val="baseline"/>
              </w:rPr>
              <w:t>O Emissions from Agricultural Soils</w:t>
            </w:r>
          </w:p>
        </w:tc>
        <w:tc>
          <w:tcPr>
            <w:tcW w:w="4507" w:type="dxa"/>
          </w:tcPr>
          <w:p>
            <w:pPr>
              <w:pStyle w:val="TableParagraph"/>
              <w:rPr>
                <w:sz w:val="16"/>
              </w:rPr>
            </w:pPr>
          </w:p>
        </w:tc>
      </w:tr>
      <w:tr>
        <w:trPr>
          <w:trHeight w:val="472" w:hRule="atLeast"/>
        </w:trPr>
        <w:tc>
          <w:tcPr>
            <w:tcW w:w="4507" w:type="dxa"/>
          </w:tcPr>
          <w:p>
            <w:pPr>
              <w:pStyle w:val="TableParagraph"/>
              <w:spacing w:before="23"/>
              <w:ind w:left="220" w:right="869"/>
              <w:rPr>
                <w:sz w:val="18"/>
              </w:rPr>
            </w:pPr>
            <w:r>
              <w:rPr>
                <w:sz w:val="18"/>
              </w:rPr>
              <w:t>Indirect N</w:t>
            </w:r>
            <w:r>
              <w:rPr>
                <w:sz w:val="18"/>
                <w:vertAlign w:val="subscript"/>
              </w:rPr>
              <w:t>2</w:t>
            </w:r>
            <w:r>
              <w:rPr>
                <w:sz w:val="18"/>
                <w:vertAlign w:val="baseline"/>
              </w:rPr>
              <w:t>O Emissions from Nitrogen Used in Agriculture</w:t>
            </w:r>
          </w:p>
        </w:tc>
        <w:tc>
          <w:tcPr>
            <w:tcW w:w="4507" w:type="dxa"/>
          </w:tcPr>
          <w:p>
            <w:pPr>
              <w:pStyle w:val="TableParagraph"/>
              <w:rPr>
                <w:sz w:val="16"/>
              </w:rPr>
            </w:pPr>
          </w:p>
        </w:tc>
      </w:tr>
      <w:tr>
        <w:trPr>
          <w:trHeight w:val="302" w:hRule="atLeast"/>
        </w:trPr>
        <w:tc>
          <w:tcPr>
            <w:tcW w:w="4507" w:type="dxa"/>
          </w:tcPr>
          <w:p>
            <w:pPr>
              <w:pStyle w:val="TableParagraph"/>
              <w:spacing w:before="43"/>
              <w:ind w:left="220"/>
              <w:rPr>
                <w:sz w:val="18"/>
              </w:rPr>
            </w:pPr>
            <w:r>
              <w:rPr>
                <w:sz w:val="18"/>
              </w:rPr>
              <w:t>CH</w:t>
            </w:r>
            <w:r>
              <w:rPr>
                <w:sz w:val="18"/>
                <w:vertAlign w:val="subscript"/>
              </w:rPr>
              <w:t>4</w:t>
            </w:r>
            <w:r>
              <w:rPr>
                <w:sz w:val="18"/>
                <w:vertAlign w:val="baseline"/>
              </w:rPr>
              <w:t> Emissions from Rice Production</w:t>
            </w:r>
          </w:p>
        </w:tc>
        <w:tc>
          <w:tcPr>
            <w:tcW w:w="4507" w:type="dxa"/>
          </w:tcPr>
          <w:p>
            <w:pPr>
              <w:pStyle w:val="TableParagraph"/>
              <w:rPr>
                <w:sz w:val="16"/>
              </w:rPr>
            </w:pPr>
          </w:p>
        </w:tc>
      </w:tr>
      <w:tr>
        <w:trPr>
          <w:trHeight w:val="301" w:hRule="atLeast"/>
        </w:trPr>
        <w:tc>
          <w:tcPr>
            <w:tcW w:w="9014" w:type="dxa"/>
            <w:gridSpan w:val="2"/>
          </w:tcPr>
          <w:p>
            <w:pPr>
              <w:pStyle w:val="TableParagraph"/>
              <w:spacing w:before="59"/>
              <w:ind w:left="107"/>
              <w:rPr>
                <w:sz w:val="18"/>
              </w:rPr>
            </w:pPr>
            <w:r>
              <w:rPr>
                <w:sz w:val="18"/>
              </w:rPr>
              <w:t>WASTE</w:t>
            </w:r>
          </w:p>
        </w:tc>
      </w:tr>
      <w:tr>
        <w:trPr>
          <w:trHeight w:val="302" w:hRule="atLeast"/>
        </w:trPr>
        <w:tc>
          <w:tcPr>
            <w:tcW w:w="4507" w:type="dxa"/>
          </w:tcPr>
          <w:p>
            <w:pPr>
              <w:pStyle w:val="TableParagraph"/>
              <w:spacing w:before="43"/>
              <w:ind w:left="220"/>
              <w:rPr>
                <w:sz w:val="18"/>
              </w:rPr>
            </w:pPr>
            <w:r>
              <w:rPr>
                <w:sz w:val="18"/>
              </w:rPr>
              <w:t>CH</w:t>
            </w:r>
            <w:r>
              <w:rPr>
                <w:sz w:val="18"/>
                <w:vertAlign w:val="subscript"/>
              </w:rPr>
              <w:t>4</w:t>
            </w:r>
            <w:r>
              <w:rPr>
                <w:sz w:val="18"/>
                <w:vertAlign w:val="baseline"/>
              </w:rPr>
              <w:t> Emissions from Solid Waste Disposal Sites</w:t>
            </w:r>
          </w:p>
        </w:tc>
        <w:tc>
          <w:tcPr>
            <w:tcW w:w="4507" w:type="dxa"/>
          </w:tcPr>
          <w:p>
            <w:pPr>
              <w:pStyle w:val="TableParagraph"/>
              <w:rPr>
                <w:sz w:val="16"/>
              </w:rPr>
            </w:pPr>
          </w:p>
        </w:tc>
      </w:tr>
      <w:tr>
        <w:trPr>
          <w:trHeight w:val="301" w:hRule="atLeast"/>
        </w:trPr>
        <w:tc>
          <w:tcPr>
            <w:tcW w:w="4507" w:type="dxa"/>
          </w:tcPr>
          <w:p>
            <w:pPr>
              <w:pStyle w:val="TableParagraph"/>
              <w:spacing w:before="43"/>
              <w:ind w:left="220"/>
              <w:rPr>
                <w:sz w:val="18"/>
              </w:rPr>
            </w:pPr>
            <w:r>
              <w:rPr>
                <w:sz w:val="18"/>
              </w:rPr>
              <w:t>Emissions from Wastewater Handling</w:t>
            </w:r>
          </w:p>
        </w:tc>
        <w:tc>
          <w:tcPr>
            <w:tcW w:w="4507" w:type="dxa"/>
          </w:tcPr>
          <w:p>
            <w:pPr>
              <w:pStyle w:val="TableParagraph"/>
              <w:spacing w:before="43"/>
              <w:ind w:left="106"/>
              <w:rPr>
                <w:sz w:val="18"/>
              </w:rPr>
            </w:pPr>
            <w:r>
              <w:rPr>
                <w:sz w:val="18"/>
              </w:rPr>
              <w:t>Assess CH4 and N</w:t>
            </w:r>
            <w:r>
              <w:rPr>
                <w:sz w:val="18"/>
                <w:vertAlign w:val="subscript"/>
              </w:rPr>
              <w:t>2</w:t>
            </w:r>
            <w:r>
              <w:rPr>
                <w:sz w:val="18"/>
                <w:vertAlign w:val="baseline"/>
              </w:rPr>
              <w:t>O separately.</w:t>
            </w:r>
          </w:p>
        </w:tc>
      </w:tr>
      <w:tr>
        <w:trPr>
          <w:trHeight w:val="302" w:hRule="atLeast"/>
        </w:trPr>
        <w:tc>
          <w:tcPr>
            <w:tcW w:w="4507" w:type="dxa"/>
          </w:tcPr>
          <w:p>
            <w:pPr>
              <w:pStyle w:val="TableParagraph"/>
              <w:spacing w:before="43"/>
              <w:ind w:left="220"/>
              <w:rPr>
                <w:sz w:val="18"/>
              </w:rPr>
            </w:pPr>
            <w:r>
              <w:rPr>
                <w:sz w:val="18"/>
              </w:rPr>
              <w:t>Emissions from Waste Incineration</w:t>
            </w:r>
          </w:p>
        </w:tc>
        <w:tc>
          <w:tcPr>
            <w:tcW w:w="4507" w:type="dxa"/>
          </w:tcPr>
          <w:p>
            <w:pPr>
              <w:pStyle w:val="TableParagraph"/>
              <w:spacing w:before="43"/>
              <w:ind w:left="106"/>
              <w:rPr>
                <w:sz w:val="18"/>
              </w:rPr>
            </w:pPr>
            <w:r>
              <w:rPr>
                <w:sz w:val="18"/>
              </w:rPr>
              <w:t>Assess CO</w:t>
            </w:r>
            <w:r>
              <w:rPr>
                <w:sz w:val="18"/>
                <w:vertAlign w:val="subscript"/>
              </w:rPr>
              <w:t>2</w:t>
            </w:r>
            <w:r>
              <w:rPr>
                <w:sz w:val="18"/>
                <w:vertAlign w:val="baseline"/>
              </w:rPr>
              <w:t> and N</w:t>
            </w:r>
            <w:r>
              <w:rPr>
                <w:sz w:val="18"/>
                <w:vertAlign w:val="subscript"/>
              </w:rPr>
              <w:t>2</w:t>
            </w:r>
            <w:r>
              <w:rPr>
                <w:sz w:val="18"/>
                <w:vertAlign w:val="baseline"/>
              </w:rPr>
              <w:t>O separately.</w:t>
            </w:r>
          </w:p>
        </w:tc>
      </w:tr>
      <w:tr>
        <w:trPr>
          <w:trHeight w:val="527" w:hRule="atLeast"/>
        </w:trPr>
        <w:tc>
          <w:tcPr>
            <w:tcW w:w="4507" w:type="dxa"/>
          </w:tcPr>
          <w:p>
            <w:pPr>
              <w:pStyle w:val="TableParagraph"/>
              <w:spacing w:before="155"/>
              <w:ind w:left="107"/>
              <w:rPr>
                <w:sz w:val="18"/>
              </w:rPr>
            </w:pPr>
            <w:r>
              <w:rPr>
                <w:sz w:val="18"/>
              </w:rPr>
              <w:t>OTHER</w:t>
            </w:r>
          </w:p>
        </w:tc>
        <w:tc>
          <w:tcPr>
            <w:tcW w:w="4507" w:type="dxa"/>
          </w:tcPr>
          <w:p>
            <w:pPr>
              <w:pStyle w:val="TableParagraph"/>
              <w:spacing w:line="240" w:lineRule="atLeast" w:before="24"/>
              <w:ind w:left="107" w:right="111"/>
              <w:rPr>
                <w:sz w:val="18"/>
              </w:rPr>
            </w:pPr>
            <w:r>
              <w:rPr>
                <w:sz w:val="18"/>
              </w:rPr>
              <w:t>Other sources of direct greenhouse gas emissions not listed above should also be included, if possible.</w:t>
            </w:r>
          </w:p>
        </w:tc>
      </w:tr>
      <w:tr>
        <w:trPr>
          <w:trHeight w:val="587" w:hRule="atLeast"/>
        </w:trPr>
        <w:tc>
          <w:tcPr>
            <w:tcW w:w="9014" w:type="dxa"/>
            <w:gridSpan w:val="2"/>
          </w:tcPr>
          <w:p>
            <w:pPr>
              <w:pStyle w:val="TableParagraph"/>
              <w:spacing w:line="191" w:lineRule="exact" w:before="88"/>
              <w:ind w:left="107"/>
              <w:rPr>
                <w:sz w:val="16"/>
              </w:rPr>
            </w:pPr>
            <w:r>
              <w:rPr>
                <w:position w:val="7"/>
                <w:sz w:val="10"/>
              </w:rPr>
              <w:t>a </w:t>
            </w:r>
            <w:r>
              <w:rPr>
                <w:sz w:val="16"/>
              </w:rPr>
              <w:t>In some cases, inventory agencies modify this list of IPCC source categories to reflect particular national circumstances.</w:t>
            </w:r>
          </w:p>
          <w:p>
            <w:pPr>
              <w:pStyle w:val="TableParagraph"/>
              <w:spacing w:line="191" w:lineRule="exact"/>
              <w:ind w:left="107"/>
              <w:rPr>
                <w:sz w:val="16"/>
              </w:rPr>
            </w:pPr>
            <w:r>
              <w:rPr>
                <w:position w:val="7"/>
                <w:sz w:val="10"/>
              </w:rPr>
              <w:t>b </w:t>
            </w:r>
            <w:r>
              <w:rPr>
                <w:sz w:val="16"/>
              </w:rPr>
              <w:t>Reservoirs can be distinguished in the analysis.</w:t>
            </w:r>
          </w:p>
        </w:tc>
      </w:tr>
    </w:tbl>
    <w:p>
      <w:pPr>
        <w:spacing w:after="0" w:line="191" w:lineRule="exact"/>
        <w:rPr>
          <w:sz w:val="16"/>
        </w:rPr>
        <w:sectPr>
          <w:pgSz w:w="11900" w:h="16840"/>
          <w:pgMar w:header="230" w:footer="408" w:top="560" w:bottom="600" w:left="1240" w:right="0"/>
        </w:sectPr>
      </w:pPr>
    </w:p>
    <w:p>
      <w:pPr>
        <w:pStyle w:val="BodyText"/>
      </w:pPr>
    </w:p>
    <w:p>
      <w:pPr>
        <w:pStyle w:val="BodyText"/>
        <w:spacing w:before="2"/>
        <w:rPr>
          <w:sz w:val="18"/>
        </w:rPr>
      </w:pPr>
    </w:p>
    <w:p>
      <w:pPr>
        <w:spacing w:before="0"/>
        <w:ind w:left="179" w:right="1402" w:firstLine="0"/>
        <w:jc w:val="both"/>
        <w:rPr>
          <w:sz w:val="20"/>
        </w:rPr>
      </w:pPr>
      <w:r>
        <w:rPr>
          <w:sz w:val="20"/>
        </w:rPr>
        <w:t>The analysis can be performed using CO</w:t>
      </w:r>
      <w:r>
        <w:rPr>
          <w:sz w:val="20"/>
          <w:vertAlign w:val="subscript"/>
        </w:rPr>
        <w:t>2</w:t>
      </w:r>
      <w:r>
        <w:rPr>
          <w:sz w:val="20"/>
          <w:vertAlign w:val="baseline"/>
        </w:rPr>
        <w:t>-equivalent emissions calculated using global warming potentials (GWP) specified in </w:t>
      </w:r>
      <w:r>
        <w:rPr>
          <w:i/>
          <w:sz w:val="20"/>
          <w:vertAlign w:val="baseline"/>
        </w:rPr>
        <w:t>the Guidelines for the preparation of national communications by Parties included in Annex I to the Convention, Part I: UNFCCC reporting guidelines on annual inventories </w:t>
      </w:r>
      <w:r>
        <w:rPr>
          <w:sz w:val="20"/>
          <w:vertAlign w:val="baseline"/>
        </w:rPr>
        <w:t>(</w:t>
      </w:r>
      <w:r>
        <w:rPr>
          <w:i/>
          <w:sz w:val="20"/>
          <w:vertAlign w:val="baseline"/>
        </w:rPr>
        <w:t>UNFCCC Guidelines</w:t>
      </w:r>
      <w:r>
        <w:rPr>
          <w:sz w:val="20"/>
          <w:vertAlign w:val="baseline"/>
        </w:rPr>
        <w:t>) and the Annex to the Kyoto Protocol</w:t>
      </w:r>
      <w:r>
        <w:rPr>
          <w:sz w:val="20"/>
          <w:vertAlign w:val="superscript"/>
        </w:rPr>
        <w:t>6</w:t>
      </w:r>
      <w:r>
        <w:rPr>
          <w:sz w:val="20"/>
          <w:vertAlign w:val="baseline"/>
        </w:rPr>
        <w:t>. Each greenhouse gas from each source and sink category should be considered separately, unless there are specific methodological reasons for treating gases collectively. In the LULUCF sector, for example, estimates will be prepared for emissions or removals of CO</w:t>
      </w:r>
      <w:r>
        <w:rPr>
          <w:sz w:val="20"/>
          <w:vertAlign w:val="subscript"/>
        </w:rPr>
        <w:t>2</w:t>
      </w:r>
      <w:r>
        <w:rPr>
          <w:sz w:val="20"/>
          <w:vertAlign w:val="baseline"/>
        </w:rPr>
        <w:t>, N</w:t>
      </w:r>
      <w:r>
        <w:rPr>
          <w:sz w:val="20"/>
          <w:vertAlign w:val="subscript"/>
        </w:rPr>
        <w:t>2</w:t>
      </w:r>
      <w:r>
        <w:rPr>
          <w:sz w:val="20"/>
          <w:vertAlign w:val="baseline"/>
        </w:rPr>
        <w:t>O and CH</w:t>
      </w:r>
      <w:r>
        <w:rPr>
          <w:sz w:val="20"/>
          <w:vertAlign w:val="subscript"/>
        </w:rPr>
        <w:t>4</w:t>
      </w:r>
      <w:r>
        <w:rPr>
          <w:sz w:val="20"/>
          <w:vertAlign w:val="baseline"/>
        </w:rPr>
        <w:t>. The key category evaluation should be performed for each of these gases separately because the methods, emission factors and related parameters differ for each</w:t>
      </w:r>
      <w:r>
        <w:rPr>
          <w:spacing w:val="4"/>
          <w:sz w:val="20"/>
          <w:vertAlign w:val="baseline"/>
        </w:rPr>
        <w:t> </w:t>
      </w:r>
      <w:r>
        <w:rPr>
          <w:sz w:val="20"/>
          <w:vertAlign w:val="baseline"/>
        </w:rPr>
        <w:t>gas.</w:t>
      </w:r>
    </w:p>
    <w:p>
      <w:pPr>
        <w:pStyle w:val="BodyText"/>
        <w:rPr>
          <w:sz w:val="22"/>
        </w:rPr>
      </w:pPr>
    </w:p>
    <w:p>
      <w:pPr>
        <w:pStyle w:val="Heading6"/>
        <w:numPr>
          <w:ilvl w:val="3"/>
          <w:numId w:val="178"/>
        </w:numPr>
        <w:tabs>
          <w:tab w:pos="1619" w:val="left" w:leader="none"/>
          <w:tab w:pos="1620" w:val="left" w:leader="none"/>
        </w:tabs>
        <w:spacing w:line="283" w:lineRule="auto" w:before="144" w:after="0"/>
        <w:ind w:left="1626" w:right="2434" w:hanging="1447"/>
        <w:jc w:val="left"/>
      </w:pPr>
      <w:bookmarkStart w:name="_TOC_250031" w:id="24"/>
      <w:r>
        <w:rPr>
          <w:spacing w:val="14"/>
          <w:sz w:val="28"/>
        </w:rPr>
        <w:t>T</w:t>
      </w:r>
      <w:r>
        <w:rPr>
          <w:spacing w:val="14"/>
        </w:rPr>
        <w:t>IER </w:t>
      </w:r>
      <w:r>
        <w:rPr>
          <w:sz w:val="28"/>
        </w:rPr>
        <w:t>1 </w:t>
      </w:r>
      <w:r>
        <w:rPr>
          <w:spacing w:val="16"/>
        </w:rPr>
        <w:t>METHOD </w:t>
      </w:r>
      <w:r>
        <w:rPr>
          <w:spacing w:val="10"/>
        </w:rPr>
        <w:t>TO </w:t>
      </w:r>
      <w:r>
        <w:rPr>
          <w:spacing w:val="16"/>
        </w:rPr>
        <w:t>IDENTIFY </w:t>
      </w:r>
      <w:r>
        <w:rPr>
          <w:spacing w:val="12"/>
        </w:rPr>
        <w:t>KEY </w:t>
      </w:r>
      <w:r>
        <w:rPr>
          <w:spacing w:val="16"/>
        </w:rPr>
        <w:t>CATEGORIES </w:t>
      </w:r>
      <w:r>
        <w:rPr>
          <w:spacing w:val="10"/>
        </w:rPr>
        <w:t>OF </w:t>
      </w:r>
      <w:r>
        <w:rPr>
          <w:spacing w:val="16"/>
        </w:rPr>
        <w:t>SOURCES </w:t>
      </w:r>
      <w:r>
        <w:rPr>
          <w:spacing w:val="12"/>
        </w:rPr>
        <w:t>AND</w:t>
      </w:r>
      <w:r>
        <w:rPr>
          <w:spacing w:val="-7"/>
        </w:rPr>
        <w:t> </w:t>
      </w:r>
      <w:bookmarkEnd w:id="24"/>
      <w:r>
        <w:rPr>
          <w:spacing w:val="15"/>
        </w:rPr>
        <w:t>SINKS</w:t>
      </w:r>
    </w:p>
    <w:p>
      <w:pPr>
        <w:pStyle w:val="BodyText"/>
        <w:spacing w:before="178"/>
        <w:ind w:left="179" w:right="1403"/>
        <w:jc w:val="both"/>
      </w:pPr>
      <w:r>
        <w:rPr/>
        <w:t>The Tier 1 method to identify key categories assesses the influence of various categories of sources and sinks on the </w:t>
      </w:r>
      <w:r>
        <w:rPr>
          <w:i/>
        </w:rPr>
        <w:t>level</w:t>
      </w:r>
      <w:r>
        <w:rPr/>
        <w:t>, and possibly the </w:t>
      </w:r>
      <w:r>
        <w:rPr>
          <w:i/>
        </w:rPr>
        <w:t>trend</w:t>
      </w:r>
      <w:r>
        <w:rPr/>
        <w:t>, of the national greenhouse gas inventory. When the national inventory estimates are available for several years, it is </w:t>
      </w:r>
      <w:r>
        <w:rPr>
          <w:i/>
        </w:rPr>
        <w:t>good practice </w:t>
      </w:r>
      <w:r>
        <w:rPr/>
        <w:t>to assess the contribution of each category to both the level and trend of the national inventory. If only a single year’s inventory is available, a Level Assessment should be performed.</w:t>
      </w:r>
    </w:p>
    <w:p>
      <w:pPr>
        <w:pStyle w:val="BodyText"/>
        <w:spacing w:before="118"/>
        <w:ind w:left="179" w:right="1405"/>
        <w:jc w:val="both"/>
      </w:pPr>
      <w:r>
        <w:rPr/>
        <w:t>The Tier 1 method can be readily completed using a spreadsheet analysis. Tables 5.4.2 and 5.4.3 illustrate the format of the analysis. Separate spreadsheets are suggested for the Level and Trend Assessments because it is necessary to sort the results of the analysis according to two different columns, and the output of the sorting process is more difficult to track if the analyses are combined in the same table. Both tables use a format similar to that described in Chapter 6 of </w:t>
      </w:r>
      <w:r>
        <w:rPr>
          <w:i/>
        </w:rPr>
        <w:t>GPG2000 </w:t>
      </w:r>
      <w:r>
        <w:rPr/>
        <w:t>(IPCC, 2000), Quantifying Uncertainties in Practice. Section 5.4.8 illustrates the application of the Tier 1 approach.</w:t>
      </w:r>
    </w:p>
    <w:p>
      <w:pPr>
        <w:pStyle w:val="BodyText"/>
        <w:spacing w:before="4"/>
        <w:rPr>
          <w:sz w:val="21"/>
        </w:rPr>
      </w:pPr>
    </w:p>
    <w:p>
      <w:pPr>
        <w:pStyle w:val="Heading6"/>
        <w:ind w:left="179"/>
      </w:pPr>
      <w:r>
        <w:rPr/>
        <w:t>LEVEL ASSESSMENT</w:t>
      </w:r>
    </w:p>
    <w:p>
      <w:pPr>
        <w:pStyle w:val="BodyText"/>
        <w:spacing w:before="113"/>
        <w:ind w:left="179" w:right="1636"/>
      </w:pPr>
      <w:r>
        <w:rPr/>
        <w:t>The contribution of each source or sink category to the total national inventory level is calculated according to Equation 5.4.1:</w:t>
      </w:r>
    </w:p>
    <w:p>
      <w:pPr>
        <w:pStyle w:val="BodyText"/>
        <w:rPr>
          <w:sz w:val="10"/>
        </w:rPr>
      </w:pPr>
      <w:r>
        <w:rPr/>
        <w:pict>
          <v:group style="position:absolute;margin-left:91.240997pt;margin-top:8.453418pt;width:412.95pt;height:71.4pt;mso-position-horizontal-relative:page;mso-position-vertical-relative:paragraph;z-index:28160;mso-wrap-distance-left:0;mso-wrap-distance-right:0" coordorigin="1825,169" coordsize="8259,1428">
            <v:line style="position:absolute" from="1854,183" to="10054,183" stroked="true" strokeweight="1.44pt" strokecolor="#000000">
              <v:stroke dashstyle="solid"/>
            </v:line>
            <v:line style="position:absolute" from="1854,1583" to="10054,1583" stroked="true" strokeweight="1.44pt" strokecolor="#000000">
              <v:stroke dashstyle="solid"/>
            </v:line>
            <v:line style="position:absolute" from="1839,169" to="1839,1597" stroked="true" strokeweight="1.44pt" strokecolor="#000000">
              <v:stroke dashstyle="solid"/>
            </v:line>
            <v:line style="position:absolute" from="10069,169" to="10069,1597" stroked="true" strokeweight="1.44pt" strokecolor="#000000">
              <v:stroke dashstyle="solid"/>
            </v:line>
            <v:shape style="position:absolute;left:6152;top:1215;width:464;height:250" type="#_x0000_t202" filled="false" stroked="false">
              <v:textbox inset="0,0,0,0">
                <w:txbxContent>
                  <w:p>
                    <w:pPr>
                      <w:spacing w:line="146" w:lineRule="auto" w:before="31"/>
                      <w:ind w:left="0" w:right="0" w:firstLine="0"/>
                      <w:jc w:val="left"/>
                      <w:rPr>
                        <w:sz w:val="13"/>
                      </w:rPr>
                    </w:pPr>
                    <w:r>
                      <w:rPr>
                        <w:sz w:val="13"/>
                      </w:rPr>
                      <w:t>* </w:t>
                    </w:r>
                    <w:r>
                      <w:rPr>
                        <w:position w:val="-8"/>
                        <w:sz w:val="20"/>
                      </w:rPr>
                      <w:t>/ E </w:t>
                    </w:r>
                    <w:r>
                      <w:rPr>
                        <w:sz w:val="13"/>
                      </w:rPr>
                      <w:t>*</w:t>
                    </w:r>
                  </w:p>
                </w:txbxContent>
              </v:textbox>
              <w10:wrap type="none"/>
            </v:shape>
            <v:shape style="position:absolute;left:5312;top:1215;width:1240;height:266" type="#_x0000_t202" filled="false" stroked="false">
              <v:textbox inset="0,0,0,0">
                <w:txbxContent>
                  <w:p>
                    <w:pPr>
                      <w:tabs>
                        <w:tab w:pos="1183" w:val="left" w:leader="none"/>
                      </w:tabs>
                      <w:spacing w:line="266" w:lineRule="exact" w:before="0"/>
                      <w:ind w:left="0" w:right="0" w:firstLine="0"/>
                      <w:jc w:val="left"/>
                      <w:rPr>
                        <w:sz w:val="13"/>
                      </w:rPr>
                    </w:pPr>
                    <w:r>
                      <w:rPr>
                        <w:position w:val="3"/>
                        <w:sz w:val="20"/>
                      </w:rPr>
                      <w:t>L</w:t>
                    </w:r>
                    <w:r>
                      <w:rPr>
                        <w:sz w:val="13"/>
                      </w:rPr>
                      <w:t>x,t</w:t>
                    </w:r>
                    <w:r>
                      <w:rPr>
                        <w:spacing w:val="17"/>
                        <w:sz w:val="13"/>
                      </w:rPr>
                      <w:t> </w:t>
                    </w:r>
                    <w:r>
                      <w:rPr>
                        <w:position w:val="12"/>
                        <w:sz w:val="13"/>
                      </w:rPr>
                      <w:t>*</w:t>
                    </w:r>
                    <w:r>
                      <w:rPr>
                        <w:position w:val="3"/>
                        <w:sz w:val="20"/>
                      </w:rPr>
                      <w:t>=  E</w:t>
                    </w:r>
                    <w:r>
                      <w:rPr>
                        <w:sz w:val="13"/>
                      </w:rPr>
                      <w:t>x,t</w:t>
                      <w:tab/>
                      <w:t>t</w:t>
                    </w:r>
                  </w:p>
                </w:txbxContent>
              </v:textbox>
              <w10:wrap type="none"/>
            </v:shape>
            <v:shape style="position:absolute;left:2278;top:305;width:7371;height:846" type="#_x0000_t202" filled="false" stroked="false">
              <v:textbox inset="0,0,0,0">
                <w:txbxContent>
                  <w:p>
                    <w:pPr>
                      <w:spacing w:line="237" w:lineRule="auto" w:before="0"/>
                      <w:ind w:left="2476" w:right="2476" w:firstLine="528"/>
                      <w:jc w:val="left"/>
                      <w:rPr>
                        <w:b/>
                        <w:sz w:val="20"/>
                      </w:rPr>
                    </w:pPr>
                    <w:r>
                      <w:rPr>
                        <w:b/>
                        <w:sz w:val="20"/>
                      </w:rPr>
                      <w:t>E</w:t>
                    </w:r>
                    <w:r>
                      <w:rPr>
                        <w:b/>
                        <w:sz w:val="16"/>
                      </w:rPr>
                      <w:t>QUATION </w:t>
                    </w:r>
                    <w:r>
                      <w:rPr>
                        <w:b/>
                        <w:sz w:val="20"/>
                      </w:rPr>
                      <w:t>5.4.1 L</w:t>
                    </w:r>
                    <w:r>
                      <w:rPr>
                        <w:b/>
                        <w:sz w:val="16"/>
                      </w:rPr>
                      <w:t>EVEL ASSESSMENT </w:t>
                    </w:r>
                    <w:r>
                      <w:rPr>
                        <w:b/>
                        <w:sz w:val="20"/>
                      </w:rPr>
                      <w:t>(T</w:t>
                    </w:r>
                    <w:r>
                      <w:rPr>
                        <w:b/>
                        <w:sz w:val="16"/>
                      </w:rPr>
                      <w:t>IER </w:t>
                    </w:r>
                    <w:r>
                      <w:rPr>
                        <w:b/>
                        <w:sz w:val="20"/>
                      </w:rPr>
                      <w:t>1)</w:t>
                    </w:r>
                  </w:p>
                  <w:p>
                    <w:pPr>
                      <w:spacing w:before="68"/>
                      <w:ind w:left="0" w:right="0" w:firstLine="0"/>
                      <w:jc w:val="left"/>
                      <w:rPr>
                        <w:sz w:val="20"/>
                      </w:rPr>
                    </w:pPr>
                    <w:r>
                      <w:rPr>
                        <w:sz w:val="20"/>
                      </w:rPr>
                      <w:t>Key</w:t>
                    </w:r>
                    <w:r>
                      <w:rPr>
                        <w:spacing w:val="-19"/>
                        <w:sz w:val="20"/>
                      </w:rPr>
                      <w:t> </w:t>
                    </w:r>
                    <w:r>
                      <w:rPr>
                        <w:sz w:val="20"/>
                      </w:rPr>
                      <w:t>Category</w:t>
                    </w:r>
                    <w:r>
                      <w:rPr>
                        <w:spacing w:val="-17"/>
                        <w:sz w:val="20"/>
                      </w:rPr>
                      <w:t> </w:t>
                    </w:r>
                    <w:r>
                      <w:rPr>
                        <w:sz w:val="20"/>
                      </w:rPr>
                      <w:t>Level</w:t>
                    </w:r>
                    <w:r>
                      <w:rPr>
                        <w:spacing w:val="-15"/>
                        <w:sz w:val="20"/>
                      </w:rPr>
                      <w:t> </w:t>
                    </w:r>
                    <w:r>
                      <w:rPr>
                        <w:sz w:val="20"/>
                      </w:rPr>
                      <w:t>Assessment</w:t>
                    </w:r>
                    <w:r>
                      <w:rPr>
                        <w:spacing w:val="-17"/>
                        <w:sz w:val="20"/>
                      </w:rPr>
                      <w:t> </w:t>
                    </w:r>
                    <w:r>
                      <w:rPr>
                        <w:sz w:val="20"/>
                      </w:rPr>
                      <w:t>=</w:t>
                    </w:r>
                    <w:r>
                      <w:rPr>
                        <w:spacing w:val="-16"/>
                        <w:sz w:val="20"/>
                      </w:rPr>
                      <w:t> </w:t>
                    </w:r>
                    <w:r>
                      <w:rPr>
                        <w:rFonts w:ascii="Arial" w:hAnsi="Arial"/>
                        <w:sz w:val="20"/>
                      </w:rPr>
                      <w:t></w:t>
                    </w:r>
                    <w:r>
                      <w:rPr>
                        <w:sz w:val="20"/>
                      </w:rPr>
                      <w:t>Source</w:t>
                    </w:r>
                    <w:r>
                      <w:rPr>
                        <w:spacing w:val="-16"/>
                        <w:sz w:val="20"/>
                      </w:rPr>
                      <w:t> </w:t>
                    </w:r>
                    <w:r>
                      <w:rPr>
                        <w:sz w:val="20"/>
                      </w:rPr>
                      <w:t>or</w:t>
                    </w:r>
                    <w:r>
                      <w:rPr>
                        <w:spacing w:val="-16"/>
                        <w:sz w:val="20"/>
                      </w:rPr>
                      <w:t> </w:t>
                    </w:r>
                    <w:r>
                      <w:rPr>
                        <w:sz w:val="20"/>
                      </w:rPr>
                      <w:t>Sink</w:t>
                    </w:r>
                    <w:r>
                      <w:rPr>
                        <w:spacing w:val="-17"/>
                        <w:sz w:val="20"/>
                      </w:rPr>
                      <w:t> </w:t>
                    </w:r>
                    <w:r>
                      <w:rPr>
                        <w:sz w:val="20"/>
                      </w:rPr>
                      <w:t>Category</w:t>
                    </w:r>
                    <w:r>
                      <w:rPr>
                        <w:spacing w:val="-16"/>
                        <w:sz w:val="20"/>
                      </w:rPr>
                      <w:t> </w:t>
                    </w:r>
                    <w:r>
                      <w:rPr>
                        <w:sz w:val="20"/>
                      </w:rPr>
                      <w:t>Estimate</w:t>
                    </w:r>
                    <w:r>
                      <w:rPr>
                        <w:rFonts w:ascii="Arial" w:hAnsi="Arial"/>
                        <w:sz w:val="20"/>
                      </w:rPr>
                      <w:t></w:t>
                    </w:r>
                    <w:r>
                      <w:rPr>
                        <w:sz w:val="28"/>
                      </w:rPr>
                      <w:t>/</w:t>
                    </w:r>
                    <w:r>
                      <w:rPr>
                        <w:spacing w:val="-36"/>
                        <w:sz w:val="28"/>
                      </w:rPr>
                      <w:t> </w:t>
                    </w:r>
                    <w:r>
                      <w:rPr>
                        <w:sz w:val="20"/>
                      </w:rPr>
                      <w:t>Total</w:t>
                    </w:r>
                    <w:r>
                      <w:rPr>
                        <w:spacing w:val="-16"/>
                        <w:sz w:val="20"/>
                      </w:rPr>
                      <w:t> </w:t>
                    </w:r>
                    <w:r>
                      <w:rPr>
                        <w:spacing w:val="-3"/>
                        <w:sz w:val="20"/>
                      </w:rPr>
                      <w:t>Contribution</w:t>
                    </w:r>
                  </w:p>
                </w:txbxContent>
              </v:textbox>
              <w10:wrap type="none"/>
            </v:shape>
            <w10:wrap type="topAndBottom"/>
          </v:group>
        </w:pict>
      </w:r>
    </w:p>
    <w:p>
      <w:pPr>
        <w:pStyle w:val="BodyText"/>
        <w:spacing w:before="1"/>
        <w:rPr>
          <w:sz w:val="6"/>
        </w:rPr>
      </w:pPr>
    </w:p>
    <w:p>
      <w:pPr>
        <w:spacing w:after="0"/>
        <w:rPr>
          <w:sz w:val="6"/>
        </w:rPr>
        <w:sectPr>
          <w:pgSz w:w="11900" w:h="16840"/>
          <w:pgMar w:header="230" w:footer="408" w:top="560" w:bottom="600" w:left="1240" w:right="0"/>
        </w:sectPr>
      </w:pPr>
    </w:p>
    <w:p>
      <w:pPr>
        <w:pStyle w:val="BodyText"/>
        <w:spacing w:before="40"/>
        <w:ind w:right="92"/>
        <w:jc w:val="right"/>
      </w:pPr>
      <w:r>
        <w:rPr/>
        <w:t>Where:</w:t>
      </w:r>
    </w:p>
    <w:p>
      <w:pPr>
        <w:pStyle w:val="BodyText"/>
        <w:spacing w:line="102" w:lineRule="exact" w:before="120"/>
        <w:jc w:val="right"/>
      </w:pPr>
      <w:r>
        <w:rPr>
          <w:w w:val="99"/>
        </w:rPr>
        <w:t>L</w:t>
      </w:r>
    </w:p>
    <w:p>
      <w:pPr>
        <w:pStyle w:val="BodyText"/>
        <w:spacing w:before="9"/>
        <w:rPr>
          <w:sz w:val="31"/>
        </w:rPr>
      </w:pPr>
      <w:r>
        <w:rPr/>
        <w:br w:type="column"/>
      </w:r>
      <w:r>
        <w:rPr>
          <w:sz w:val="31"/>
        </w:rPr>
      </w:r>
    </w:p>
    <w:p>
      <w:pPr>
        <w:pStyle w:val="BodyText"/>
        <w:spacing w:line="127" w:lineRule="exact"/>
        <w:ind w:left="92"/>
      </w:pPr>
      <w:r>
        <w:rPr>
          <w:position w:val="9"/>
          <w:sz w:val="13"/>
        </w:rPr>
        <w:t>* </w:t>
      </w:r>
      <w:r>
        <w:rPr/>
        <w:t>= level assessment for source or sink </w:t>
      </w:r>
      <w:r>
        <w:rPr>
          <w:i/>
        </w:rPr>
        <w:t>x </w:t>
      </w:r>
      <w:r>
        <w:rPr/>
        <w:t>in year </w:t>
      </w:r>
      <w:r>
        <w:rPr>
          <w:i/>
        </w:rPr>
        <w:t>t. </w:t>
      </w:r>
      <w:r>
        <w:rPr/>
        <w:t>The asterisk (*) indicates that contributions</w:t>
      </w:r>
    </w:p>
    <w:p>
      <w:pPr>
        <w:spacing w:after="0" w:line="127" w:lineRule="exact"/>
        <w:sectPr>
          <w:type w:val="continuous"/>
          <w:pgSz w:w="11900" w:h="16840"/>
          <w:pgMar w:top="1060" w:bottom="280" w:left="1240" w:right="0"/>
          <w:cols w:num="2" w:equalWidth="0">
            <w:col w:w="863" w:space="40"/>
            <w:col w:w="9757"/>
          </w:cols>
        </w:sectPr>
      </w:pPr>
    </w:p>
    <w:p>
      <w:pPr>
        <w:spacing w:line="144" w:lineRule="exact" w:before="0"/>
        <w:ind w:left="0" w:right="0" w:firstLine="0"/>
        <w:jc w:val="right"/>
        <w:rPr>
          <w:sz w:val="13"/>
        </w:rPr>
      </w:pPr>
      <w:r>
        <w:rPr>
          <w:sz w:val="13"/>
        </w:rPr>
        <w:t>x,t</w:t>
      </w:r>
    </w:p>
    <w:p>
      <w:pPr>
        <w:pStyle w:val="BodyText"/>
        <w:spacing w:before="128"/>
        <w:ind w:left="497"/>
      </w:pPr>
      <w:r>
        <w:rPr/>
        <w:br w:type="column"/>
      </w:r>
      <w:r>
        <w:rPr/>
        <w:t>from all categories (including LULUCF categories) are entered as absolute values.</w:t>
      </w:r>
    </w:p>
    <w:p>
      <w:pPr>
        <w:spacing w:after="0"/>
        <w:sectPr>
          <w:type w:val="continuous"/>
          <w:pgSz w:w="11900" w:h="16840"/>
          <w:pgMar w:top="1060" w:bottom="280" w:left="1240" w:right="0"/>
          <w:cols w:num="2" w:equalWidth="0">
            <w:col w:w="996" w:space="40"/>
            <w:col w:w="9624"/>
          </w:cols>
        </w:sectPr>
      </w:pPr>
    </w:p>
    <w:p>
      <w:pPr>
        <w:pStyle w:val="BodyText"/>
        <w:spacing w:before="136"/>
        <w:ind w:left="745"/>
        <w:rPr>
          <w:i/>
        </w:rPr>
      </w:pPr>
      <w:r>
        <w:rPr/>
        <w:pict>
          <v:line style="position:absolute;mso-position-horizontal-relative:page;mso-position-vertical-relative:paragraph;z-index:30256" from="146.800995pt,26.98019pt" to="146.800995pt,39.460190pt" stroked="true" strokeweight=".499pt" strokecolor="#000000">
            <v:stroke dashstyle="solid"/>
            <w10:wrap type="none"/>
          </v:line>
        </w:pict>
      </w:r>
      <w:r>
        <w:rPr/>
        <w:pict>
          <v:line style="position:absolute;mso-position-horizontal-relative:page;mso-position-vertical-relative:paragraph;z-index:30280" from="172.720993pt,26.98019pt" to="172.720993pt,39.460190pt" stroked="true" strokeweight=".499pt" strokecolor="#000000">
            <v:stroke dashstyle="solid"/>
            <w10:wrap type="none"/>
          </v:line>
        </w:pict>
      </w:r>
      <w:r>
        <w:rPr/>
        <w:pict>
          <v:shape style="position:absolute;margin-left:105.400597pt;margin-top:11.965476pt;width:49.8pt;height:7.2pt;mso-position-horizontal-relative:page;mso-position-vertical-relative:paragraph;z-index:-2425864" type="#_x0000_t202" filled="false" stroked="false">
            <v:textbox inset="0,0,0,0">
              <w:txbxContent>
                <w:p>
                  <w:pPr>
                    <w:tabs>
                      <w:tab w:pos="861" w:val="left" w:leader="none"/>
                    </w:tabs>
                    <w:spacing w:line="144" w:lineRule="exact" w:before="0"/>
                    <w:ind w:left="0" w:right="0" w:firstLine="0"/>
                    <w:jc w:val="left"/>
                    <w:rPr>
                      <w:sz w:val="13"/>
                    </w:rPr>
                  </w:pPr>
                  <w:r>
                    <w:rPr>
                      <w:sz w:val="13"/>
                    </w:rPr>
                    <w:t>x,t</w:t>
                    <w:tab/>
                  </w:r>
                  <w:r>
                    <w:rPr>
                      <w:spacing w:val="-9"/>
                      <w:sz w:val="13"/>
                    </w:rPr>
                    <w:t>x,t</w:t>
                  </w:r>
                </w:p>
              </w:txbxContent>
            </v:textbox>
            <w10:wrap type="none"/>
          </v:shape>
        </w:pict>
      </w:r>
      <w:r>
        <w:rPr/>
        <w:t>E </w:t>
      </w:r>
      <w:r>
        <w:rPr>
          <w:vertAlign w:val="superscript"/>
        </w:rPr>
        <w:t>*</w:t>
      </w:r>
      <w:r>
        <w:rPr>
          <w:vertAlign w:val="baseline"/>
        </w:rPr>
        <w:t> = </w:t>
      </w:r>
      <w:r>
        <w:rPr>
          <w:rFonts w:ascii="Arial" w:hAnsi="Arial"/>
          <w:vertAlign w:val="baseline"/>
        </w:rPr>
        <w:t></w:t>
      </w:r>
      <w:r>
        <w:rPr>
          <w:vertAlign w:val="baseline"/>
        </w:rPr>
        <w:t>E </w:t>
      </w:r>
      <w:r>
        <w:rPr>
          <w:rFonts w:ascii="Arial" w:hAnsi="Arial"/>
          <w:vertAlign w:val="baseline"/>
        </w:rPr>
        <w:t></w:t>
      </w:r>
      <w:r>
        <w:rPr>
          <w:vertAlign w:val="baseline"/>
        </w:rPr>
        <w:t>: absolute value of emission or removal estimate of source or sink category </w:t>
      </w:r>
      <w:r>
        <w:rPr>
          <w:i/>
          <w:vertAlign w:val="baseline"/>
        </w:rPr>
        <w:t>x </w:t>
      </w:r>
      <w:r>
        <w:rPr>
          <w:vertAlign w:val="baseline"/>
        </w:rPr>
        <w:t>in year </w:t>
      </w:r>
      <w:r>
        <w:rPr>
          <w:i/>
          <w:vertAlign w:val="baseline"/>
        </w:rPr>
        <w:t>t</w:t>
      </w:r>
    </w:p>
    <w:p>
      <w:pPr>
        <w:spacing w:after="0"/>
        <w:sectPr>
          <w:type w:val="continuous"/>
          <w:pgSz w:w="11900" w:h="16840"/>
          <w:pgMar w:top="1060" w:bottom="280" w:left="1240" w:right="0"/>
        </w:sectPr>
      </w:pPr>
    </w:p>
    <w:p>
      <w:pPr>
        <w:pStyle w:val="BodyText"/>
        <w:tabs>
          <w:tab w:pos="1256" w:val="left" w:leader="none"/>
        </w:tabs>
        <w:spacing w:line="228" w:lineRule="exact" w:before="166"/>
        <w:ind w:left="740"/>
        <w:rPr>
          <w:rFonts w:ascii="Arial" w:hAnsi="Arial"/>
        </w:rPr>
      </w:pPr>
      <w:r>
        <w:rPr/>
        <w:pict>
          <v:shape style="position:absolute;margin-left:105.160599pt;margin-top:13.321532pt;width:1.8pt;height:7.2pt;mso-position-horizontal-relative:page;mso-position-vertical-relative:paragraph;z-index:-2425840" type="#_x0000_t202" filled="false" stroked="false">
            <v:textbox inset="0,0,0,0">
              <w:txbxContent>
                <w:p>
                  <w:pPr>
                    <w:spacing w:line="144" w:lineRule="exact" w:before="0"/>
                    <w:ind w:left="0" w:right="0" w:firstLine="0"/>
                    <w:jc w:val="left"/>
                    <w:rPr>
                      <w:sz w:val="13"/>
                    </w:rPr>
                  </w:pPr>
                  <w:r>
                    <w:rPr>
                      <w:w w:val="99"/>
                      <w:sz w:val="13"/>
                    </w:rPr>
                    <w:t>t</w:t>
                  </w:r>
                </w:p>
              </w:txbxContent>
            </v:textbox>
            <w10:wrap type="none"/>
          </v:shape>
        </w:pict>
      </w:r>
      <w:r>
        <w:rPr>
          <w:position w:val="1"/>
        </w:rPr>
        <w:t>E</w:t>
      </w:r>
      <w:r>
        <w:rPr>
          <w:spacing w:val="-15"/>
          <w:position w:val="1"/>
        </w:rPr>
        <w:t> </w:t>
      </w:r>
      <w:r>
        <w:rPr>
          <w:position w:val="1"/>
          <w:vertAlign w:val="superscript"/>
        </w:rPr>
        <w:t>*</w:t>
      </w:r>
      <w:r>
        <w:rPr>
          <w:position w:val="1"/>
          <w:vertAlign w:val="baseline"/>
        </w:rPr>
        <w:tab/>
        <w:t>=</w:t>
      </w:r>
      <w:r>
        <w:rPr>
          <w:spacing w:val="44"/>
          <w:position w:val="1"/>
          <w:vertAlign w:val="baseline"/>
        </w:rPr>
        <w:t> </w:t>
      </w:r>
      <w:r>
        <w:rPr>
          <w:rFonts w:ascii="Arial" w:hAnsi="Arial"/>
          <w:spacing w:val="-20"/>
          <w:vertAlign w:val="baseline"/>
        </w:rPr>
        <w:t>∑</w:t>
      </w:r>
    </w:p>
    <w:p>
      <w:pPr>
        <w:spacing w:before="161"/>
        <w:ind w:left="108" w:right="0" w:firstLine="0"/>
        <w:jc w:val="left"/>
        <w:rPr>
          <w:sz w:val="12"/>
        </w:rPr>
      </w:pPr>
      <w:r>
        <w:rPr/>
        <w:br w:type="column"/>
      </w:r>
      <w:r>
        <w:rPr>
          <w:position w:val="2"/>
          <w:sz w:val="20"/>
        </w:rPr>
        <w:t>E</w:t>
      </w:r>
      <w:r>
        <w:rPr>
          <w:sz w:val="12"/>
        </w:rPr>
        <w:t>x,t</w:t>
      </w:r>
    </w:p>
    <w:p>
      <w:pPr>
        <w:pStyle w:val="BodyText"/>
        <w:spacing w:line="230" w:lineRule="exact" w:before="164"/>
        <w:ind w:left="154"/>
      </w:pPr>
      <w:r>
        <w:rPr/>
        <w:br w:type="column"/>
      </w:r>
      <w:r>
        <w:rPr/>
        <w:t>: total contribution, which is the sum of the absolute values of emissions and removals</w:t>
      </w:r>
    </w:p>
    <w:p>
      <w:pPr>
        <w:spacing w:after="0" w:line="230" w:lineRule="exact"/>
        <w:sectPr>
          <w:type w:val="continuous"/>
          <w:pgSz w:w="11900" w:h="16840"/>
          <w:pgMar w:top="1060" w:bottom="280" w:left="1240" w:right="0"/>
          <w:cols w:num="3" w:equalWidth="0">
            <w:col w:w="1656" w:space="40"/>
            <w:col w:w="388" w:space="39"/>
            <w:col w:w="8537"/>
          </w:cols>
        </w:sectPr>
      </w:pPr>
    </w:p>
    <w:p>
      <w:pPr>
        <w:spacing w:line="134" w:lineRule="exact" w:before="0"/>
        <w:ind w:left="1552" w:right="0" w:firstLine="0"/>
        <w:jc w:val="left"/>
        <w:rPr>
          <w:sz w:val="12"/>
        </w:rPr>
      </w:pPr>
      <w:r>
        <w:rPr>
          <w:w w:val="101"/>
          <w:sz w:val="12"/>
        </w:rPr>
        <w:t>x</w:t>
      </w:r>
    </w:p>
    <w:p>
      <w:pPr>
        <w:pStyle w:val="BodyText"/>
        <w:spacing w:before="15"/>
        <w:ind w:left="1537" w:right="1597"/>
      </w:pPr>
      <w:r>
        <w:rPr/>
        <w:t>in year </w:t>
      </w:r>
      <w:r>
        <w:rPr>
          <w:i/>
        </w:rPr>
        <w:t>t</w:t>
      </w:r>
      <w:r>
        <w:rPr/>
        <w:t>. The asterisk (*) indicates that contributions from all categories (including LULUCF categories) enter as absolute values.</w:t>
      </w:r>
    </w:p>
    <w:p>
      <w:pPr>
        <w:pStyle w:val="BodyText"/>
        <w:spacing w:before="121"/>
        <w:ind w:left="1537" w:right="1597" w:firstLine="28"/>
      </w:pPr>
      <w:r>
        <w:rPr/>
        <w:t>Because both emissions and removals are entered with positive sign</w:t>
      </w:r>
      <w:r>
        <w:rPr>
          <w:vertAlign w:val="superscript"/>
        </w:rPr>
        <w:t>7</w:t>
      </w:r>
      <w:r>
        <w:rPr>
          <w:vertAlign w:val="baseline"/>
        </w:rPr>
        <w:t>, the Total Contribution may be larger than a country’s total emissions less removals.</w:t>
      </w:r>
      <w:r>
        <w:rPr>
          <w:vertAlign w:val="superscript"/>
        </w:rPr>
        <w:t>8</w:t>
      </w:r>
    </w:p>
    <w:p>
      <w:pPr>
        <w:pStyle w:val="BodyText"/>
        <w:spacing w:before="118"/>
        <w:ind w:left="179" w:right="1407"/>
      </w:pPr>
      <w:r>
        <w:rPr/>
        <w:t>Table 5.4.2 outlines a spreadsheet that can be used for the Level Assessment. This spreadsheet is to be applied </w:t>
      </w:r>
      <w:r>
        <w:rPr>
          <w:i/>
        </w:rPr>
        <w:t>in addition </w:t>
      </w:r>
      <w:r>
        <w:rPr/>
        <w:t>to the assessment for non- LULUCF sources, as described in </w:t>
      </w:r>
      <w:r>
        <w:rPr>
          <w:i/>
        </w:rPr>
        <w:t>GPG2000, </w:t>
      </w:r>
      <w:r>
        <w:rPr/>
        <w:t>Table 7.2 in Chapter 7</w:t>
      </w:r>
    </w:p>
    <w:p>
      <w:pPr>
        <w:pStyle w:val="BodyText"/>
      </w:pPr>
    </w:p>
    <w:p>
      <w:pPr>
        <w:pStyle w:val="BodyText"/>
        <w:rPr>
          <w:sz w:val="18"/>
        </w:rPr>
      </w:pPr>
      <w:r>
        <w:rPr/>
        <w:pict>
          <v:line style="position:absolute;mso-position-horizontal-relative:page;mso-position-vertical-relative:paragraph;z-index:28184;mso-wrap-distance-left:0;mso-wrap-distance-right:0" from="70.960999pt,12.549272pt" to="214.960999pt,12.549272pt" stroked="true" strokeweight=".48pt" strokecolor="#000000">
            <v:stroke dashstyle="solid"/>
            <w10:wrap type="topAndBottom"/>
          </v:line>
        </w:pict>
      </w:r>
    </w:p>
    <w:p>
      <w:pPr>
        <w:spacing w:before="153"/>
        <w:ind w:left="337" w:right="1407" w:hanging="159"/>
        <w:jc w:val="left"/>
        <w:rPr>
          <w:sz w:val="18"/>
        </w:rPr>
      </w:pPr>
      <w:r>
        <w:rPr>
          <w:position w:val="8"/>
          <w:sz w:val="12"/>
        </w:rPr>
        <w:t>6 </w:t>
      </w:r>
      <w:r>
        <w:rPr>
          <w:sz w:val="18"/>
        </w:rPr>
        <w:t>The methodology is also generally applicable using other weighting schemes, but the threshold for the Tier 1 analysis was derived based on the GWP concept and may be different under other weighting schemes.</w:t>
      </w:r>
    </w:p>
    <w:p>
      <w:pPr>
        <w:spacing w:before="95"/>
        <w:ind w:left="337" w:right="1597" w:hanging="159"/>
        <w:jc w:val="left"/>
        <w:rPr>
          <w:sz w:val="18"/>
        </w:rPr>
      </w:pPr>
      <w:r>
        <w:rPr>
          <w:position w:val="8"/>
          <w:sz w:val="12"/>
        </w:rPr>
        <w:t>7 </w:t>
      </w:r>
      <w:r>
        <w:rPr>
          <w:sz w:val="18"/>
        </w:rPr>
        <w:t>Removals are entered with absolute values to avoid an oscillating cumulative value L</w:t>
      </w:r>
      <w:r>
        <w:rPr>
          <w:sz w:val="18"/>
          <w:vertAlign w:val="subscript"/>
        </w:rPr>
        <w:t>x,t</w:t>
      </w:r>
      <w:r>
        <w:rPr>
          <w:sz w:val="18"/>
          <w:vertAlign w:val="baseline"/>
        </w:rPr>
        <w:t> as could be the case if removals were entered with negative signs, and thus to facilitate straightforward interpretation of the quantitative</w:t>
      </w:r>
      <w:r>
        <w:rPr>
          <w:spacing w:val="-19"/>
          <w:sz w:val="18"/>
          <w:vertAlign w:val="baseline"/>
        </w:rPr>
        <w:t> </w:t>
      </w:r>
      <w:r>
        <w:rPr>
          <w:sz w:val="18"/>
          <w:vertAlign w:val="baseline"/>
        </w:rPr>
        <w:t>analysis.</w:t>
      </w:r>
    </w:p>
    <w:p>
      <w:pPr>
        <w:spacing w:before="95"/>
        <w:ind w:left="337" w:right="1556" w:hanging="159"/>
        <w:jc w:val="left"/>
        <w:rPr>
          <w:sz w:val="18"/>
        </w:rPr>
      </w:pPr>
      <w:r>
        <w:rPr>
          <w:position w:val="8"/>
          <w:sz w:val="12"/>
        </w:rPr>
        <w:t>8  </w:t>
      </w:r>
      <w:r>
        <w:rPr>
          <w:sz w:val="18"/>
        </w:rPr>
        <w:t>This equation can be used in any situation, regardless of whether the national greenhouse gas inventory is a net source (as  is most common) or a net</w:t>
      </w:r>
      <w:r>
        <w:rPr>
          <w:spacing w:val="-2"/>
          <w:sz w:val="18"/>
        </w:rPr>
        <w:t> </w:t>
      </w:r>
      <w:r>
        <w:rPr>
          <w:sz w:val="18"/>
        </w:rPr>
        <w:t>sink.</w:t>
      </w:r>
    </w:p>
    <w:p>
      <w:pPr>
        <w:spacing w:after="0"/>
        <w:jc w:val="left"/>
        <w:rPr>
          <w:sz w:val="18"/>
        </w:rPr>
        <w:sectPr>
          <w:type w:val="continuous"/>
          <w:pgSz w:w="11900" w:h="16840"/>
          <w:pgMar w:top="1060" w:bottom="280" w:left="1240" w:right="0"/>
        </w:sectPr>
      </w:pPr>
    </w:p>
    <w:p>
      <w:pPr>
        <w:pStyle w:val="BodyText"/>
      </w:pPr>
    </w:p>
    <w:p>
      <w:pPr>
        <w:pStyle w:val="BodyText"/>
        <w:spacing w:before="2"/>
        <w:rPr>
          <w:sz w:val="18"/>
        </w:rPr>
      </w:pPr>
    </w:p>
    <w:p>
      <w:pPr>
        <w:pStyle w:val="BodyText"/>
        <w:ind w:left="179" w:right="1402"/>
        <w:jc w:val="both"/>
      </w:pPr>
      <w:r>
        <w:rPr/>
        <w:t>(Methodological Choice and Recalculation). Section 5.4.8 provides an example of the application of the Tier 1 method.</w:t>
      </w:r>
    </w:p>
    <w:p>
      <w:pPr>
        <w:pStyle w:val="BodyText"/>
        <w:spacing w:before="1"/>
        <w:rPr>
          <w:sz w:val="11"/>
        </w:rPr>
      </w:pPr>
    </w:p>
    <w:tbl>
      <w:tblPr>
        <w:tblW w:w="0" w:type="auto"/>
        <w:jc w:val="left"/>
        <w:tblInd w:w="1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5"/>
        <w:gridCol w:w="1627"/>
        <w:gridCol w:w="2018"/>
        <w:gridCol w:w="1615"/>
        <w:gridCol w:w="1809"/>
      </w:tblGrid>
      <w:tr>
        <w:trPr>
          <w:trHeight w:val="412" w:hRule="atLeast"/>
        </w:trPr>
        <w:tc>
          <w:tcPr>
            <w:tcW w:w="9054" w:type="dxa"/>
            <w:gridSpan w:val="5"/>
            <w:tcBorders>
              <w:bottom w:val="double" w:sz="1" w:space="0" w:color="000000"/>
            </w:tcBorders>
          </w:tcPr>
          <w:p>
            <w:pPr>
              <w:pStyle w:val="TableParagraph"/>
              <w:spacing w:line="206" w:lineRule="exact"/>
              <w:ind w:left="890" w:right="883"/>
              <w:jc w:val="center"/>
              <w:rPr>
                <w:b/>
                <w:sz w:val="18"/>
              </w:rPr>
            </w:pPr>
            <w:r>
              <w:rPr>
                <w:b/>
                <w:sz w:val="18"/>
              </w:rPr>
              <w:t>T</w:t>
            </w:r>
            <w:r>
              <w:rPr>
                <w:b/>
                <w:sz w:val="14"/>
              </w:rPr>
              <w:t>ABLE </w:t>
            </w:r>
            <w:r>
              <w:rPr>
                <w:b/>
                <w:sz w:val="18"/>
              </w:rPr>
              <w:t>5.4.2</w:t>
            </w:r>
          </w:p>
          <w:p>
            <w:pPr>
              <w:pStyle w:val="TableParagraph"/>
              <w:spacing w:line="186" w:lineRule="exact"/>
              <w:ind w:left="890" w:right="884"/>
              <w:jc w:val="center"/>
              <w:rPr>
                <w:b/>
                <w:sz w:val="14"/>
              </w:rPr>
            </w:pPr>
            <w:r>
              <w:rPr>
                <w:b/>
                <w:sz w:val="18"/>
              </w:rPr>
              <w:t>S</w:t>
            </w:r>
            <w:r>
              <w:rPr>
                <w:b/>
                <w:sz w:val="14"/>
              </w:rPr>
              <w:t>PREADSHEET FOR THE </w:t>
            </w:r>
            <w:r>
              <w:rPr>
                <w:b/>
                <w:sz w:val="18"/>
              </w:rPr>
              <w:t>T</w:t>
            </w:r>
            <w:r>
              <w:rPr>
                <w:b/>
                <w:sz w:val="14"/>
              </w:rPr>
              <w:t>IER </w:t>
            </w:r>
            <w:r>
              <w:rPr>
                <w:b/>
                <w:sz w:val="18"/>
              </w:rPr>
              <w:t>1 </w:t>
            </w:r>
            <w:r>
              <w:rPr>
                <w:b/>
                <w:sz w:val="14"/>
              </w:rPr>
              <w:t>ANALYSIS </w:t>
            </w:r>
            <w:r>
              <w:rPr>
                <w:b/>
                <w:sz w:val="18"/>
              </w:rPr>
              <w:t>– L</w:t>
            </w:r>
            <w:r>
              <w:rPr>
                <w:b/>
                <w:sz w:val="14"/>
              </w:rPr>
              <w:t>EVEL ASSESSMENT INCLUDING </w:t>
            </w:r>
            <w:r>
              <w:rPr>
                <w:b/>
                <w:sz w:val="18"/>
              </w:rPr>
              <w:t>LULUCF </w:t>
            </w:r>
            <w:r>
              <w:rPr>
                <w:b/>
                <w:sz w:val="14"/>
              </w:rPr>
              <w:t>CATEGORIES</w:t>
            </w:r>
          </w:p>
        </w:tc>
      </w:tr>
      <w:tr>
        <w:trPr>
          <w:trHeight w:val="256" w:hRule="atLeast"/>
        </w:trPr>
        <w:tc>
          <w:tcPr>
            <w:tcW w:w="1985" w:type="dxa"/>
            <w:tcBorders>
              <w:top w:val="double" w:sz="1" w:space="0" w:color="000000"/>
            </w:tcBorders>
          </w:tcPr>
          <w:p>
            <w:pPr>
              <w:pStyle w:val="TableParagraph"/>
              <w:spacing w:line="198" w:lineRule="exact" w:before="37"/>
              <w:ind w:left="7"/>
              <w:jc w:val="center"/>
              <w:rPr>
                <w:b/>
                <w:sz w:val="18"/>
              </w:rPr>
            </w:pPr>
            <w:r>
              <w:rPr>
                <w:b/>
                <w:sz w:val="18"/>
              </w:rPr>
              <w:t>A</w:t>
            </w:r>
          </w:p>
        </w:tc>
        <w:tc>
          <w:tcPr>
            <w:tcW w:w="1627" w:type="dxa"/>
            <w:tcBorders>
              <w:top w:val="double" w:sz="1" w:space="0" w:color="000000"/>
            </w:tcBorders>
          </w:tcPr>
          <w:p>
            <w:pPr>
              <w:pStyle w:val="TableParagraph"/>
              <w:spacing w:line="198" w:lineRule="exact" w:before="37"/>
              <w:ind w:left="9"/>
              <w:jc w:val="center"/>
              <w:rPr>
                <w:b/>
                <w:sz w:val="18"/>
              </w:rPr>
            </w:pPr>
            <w:r>
              <w:rPr>
                <w:b/>
                <w:sz w:val="18"/>
              </w:rPr>
              <w:t>B</w:t>
            </w:r>
          </w:p>
        </w:tc>
        <w:tc>
          <w:tcPr>
            <w:tcW w:w="2018" w:type="dxa"/>
            <w:tcBorders>
              <w:top w:val="double" w:sz="1" w:space="0" w:color="000000"/>
            </w:tcBorders>
          </w:tcPr>
          <w:p>
            <w:pPr>
              <w:pStyle w:val="TableParagraph"/>
              <w:spacing w:line="198" w:lineRule="exact" w:before="37"/>
              <w:ind w:left="8"/>
              <w:jc w:val="center"/>
              <w:rPr>
                <w:b/>
                <w:sz w:val="18"/>
              </w:rPr>
            </w:pPr>
            <w:r>
              <w:rPr>
                <w:b/>
                <w:sz w:val="18"/>
              </w:rPr>
              <w:t>C</w:t>
            </w:r>
          </w:p>
        </w:tc>
        <w:tc>
          <w:tcPr>
            <w:tcW w:w="1615" w:type="dxa"/>
            <w:tcBorders>
              <w:top w:val="double" w:sz="1" w:space="0" w:color="000000"/>
            </w:tcBorders>
          </w:tcPr>
          <w:p>
            <w:pPr>
              <w:pStyle w:val="TableParagraph"/>
              <w:spacing w:line="198" w:lineRule="exact" w:before="37"/>
              <w:ind w:left="8"/>
              <w:jc w:val="center"/>
              <w:rPr>
                <w:b/>
                <w:sz w:val="18"/>
              </w:rPr>
            </w:pPr>
            <w:r>
              <w:rPr>
                <w:b/>
                <w:sz w:val="18"/>
              </w:rPr>
              <w:t>D</w:t>
            </w:r>
          </w:p>
        </w:tc>
        <w:tc>
          <w:tcPr>
            <w:tcW w:w="1809" w:type="dxa"/>
            <w:tcBorders>
              <w:top w:val="double" w:sz="1" w:space="0" w:color="000000"/>
            </w:tcBorders>
          </w:tcPr>
          <w:p>
            <w:pPr>
              <w:pStyle w:val="TableParagraph"/>
              <w:spacing w:line="198" w:lineRule="exact" w:before="37"/>
              <w:ind w:left="11"/>
              <w:jc w:val="center"/>
              <w:rPr>
                <w:b/>
                <w:sz w:val="18"/>
              </w:rPr>
            </w:pPr>
            <w:r>
              <w:rPr>
                <w:b/>
                <w:sz w:val="18"/>
              </w:rPr>
              <w:t>E</w:t>
            </w:r>
          </w:p>
        </w:tc>
      </w:tr>
      <w:tr>
        <w:trPr>
          <w:trHeight w:val="210" w:hRule="atLeast"/>
        </w:trPr>
        <w:tc>
          <w:tcPr>
            <w:tcW w:w="1985" w:type="dxa"/>
            <w:tcBorders>
              <w:bottom w:val="nil"/>
            </w:tcBorders>
          </w:tcPr>
          <w:p>
            <w:pPr>
              <w:pStyle w:val="TableParagraph"/>
              <w:spacing w:line="190" w:lineRule="exact"/>
              <w:ind w:left="57"/>
              <w:rPr>
                <w:b/>
                <w:sz w:val="18"/>
              </w:rPr>
            </w:pPr>
            <w:r>
              <w:rPr>
                <w:b/>
                <w:sz w:val="18"/>
              </w:rPr>
              <w:t>IPCC Source/Sink</w:t>
            </w:r>
          </w:p>
        </w:tc>
        <w:tc>
          <w:tcPr>
            <w:tcW w:w="1627" w:type="dxa"/>
            <w:tcBorders>
              <w:bottom w:val="nil"/>
            </w:tcBorders>
          </w:tcPr>
          <w:p>
            <w:pPr>
              <w:pStyle w:val="TableParagraph"/>
              <w:spacing w:line="190" w:lineRule="exact"/>
              <w:ind w:left="54"/>
              <w:rPr>
                <w:b/>
                <w:sz w:val="18"/>
              </w:rPr>
            </w:pPr>
            <w:r>
              <w:rPr>
                <w:b/>
                <w:sz w:val="18"/>
              </w:rPr>
              <w:t>Direct Greenhouse</w:t>
            </w:r>
          </w:p>
        </w:tc>
        <w:tc>
          <w:tcPr>
            <w:tcW w:w="2018" w:type="dxa"/>
            <w:tcBorders>
              <w:bottom w:val="nil"/>
            </w:tcBorders>
          </w:tcPr>
          <w:p>
            <w:pPr>
              <w:pStyle w:val="TableParagraph"/>
              <w:spacing w:line="190" w:lineRule="exact"/>
              <w:ind w:left="57"/>
              <w:rPr>
                <w:b/>
                <w:sz w:val="18"/>
              </w:rPr>
            </w:pPr>
            <w:r>
              <w:rPr>
                <w:b/>
                <w:sz w:val="18"/>
              </w:rPr>
              <w:t>Base or</w:t>
            </w:r>
          </w:p>
        </w:tc>
        <w:tc>
          <w:tcPr>
            <w:tcW w:w="1615" w:type="dxa"/>
            <w:tcBorders>
              <w:bottom w:val="nil"/>
            </w:tcBorders>
          </w:tcPr>
          <w:p>
            <w:pPr>
              <w:pStyle w:val="TableParagraph"/>
              <w:spacing w:line="190" w:lineRule="exact"/>
              <w:ind w:left="57"/>
              <w:rPr>
                <w:b/>
                <w:sz w:val="18"/>
              </w:rPr>
            </w:pPr>
            <w:r>
              <w:rPr>
                <w:b/>
                <w:sz w:val="18"/>
              </w:rPr>
              <w:t>Level Assessment</w:t>
            </w:r>
          </w:p>
        </w:tc>
        <w:tc>
          <w:tcPr>
            <w:tcW w:w="1809" w:type="dxa"/>
            <w:tcBorders>
              <w:bottom w:val="nil"/>
            </w:tcBorders>
          </w:tcPr>
          <w:p>
            <w:pPr>
              <w:pStyle w:val="TableParagraph"/>
              <w:spacing w:line="190" w:lineRule="exact"/>
              <w:ind w:left="55"/>
              <w:rPr>
                <w:b/>
                <w:sz w:val="18"/>
              </w:rPr>
            </w:pPr>
            <w:r>
              <w:rPr>
                <w:b/>
                <w:sz w:val="18"/>
              </w:rPr>
              <w:t>Cumulative Total of</w:t>
            </w:r>
          </w:p>
        </w:tc>
      </w:tr>
      <w:tr>
        <w:trPr>
          <w:trHeight w:val="206" w:hRule="atLeast"/>
        </w:trPr>
        <w:tc>
          <w:tcPr>
            <w:tcW w:w="1985" w:type="dxa"/>
            <w:tcBorders>
              <w:top w:val="nil"/>
              <w:bottom w:val="nil"/>
            </w:tcBorders>
          </w:tcPr>
          <w:p>
            <w:pPr>
              <w:pStyle w:val="TableParagraph"/>
              <w:spacing w:line="186" w:lineRule="exact"/>
              <w:ind w:left="57"/>
              <w:rPr>
                <w:b/>
                <w:sz w:val="18"/>
              </w:rPr>
            </w:pPr>
            <w:r>
              <w:rPr>
                <w:b/>
                <w:sz w:val="18"/>
              </w:rPr>
              <w:t>Categories</w:t>
            </w:r>
          </w:p>
        </w:tc>
        <w:tc>
          <w:tcPr>
            <w:tcW w:w="1627" w:type="dxa"/>
            <w:tcBorders>
              <w:top w:val="nil"/>
              <w:bottom w:val="nil"/>
            </w:tcBorders>
          </w:tcPr>
          <w:p>
            <w:pPr>
              <w:pStyle w:val="TableParagraph"/>
              <w:spacing w:line="186" w:lineRule="exact"/>
              <w:ind w:left="54"/>
              <w:rPr>
                <w:b/>
                <w:sz w:val="18"/>
              </w:rPr>
            </w:pPr>
            <w:r>
              <w:rPr>
                <w:b/>
                <w:sz w:val="18"/>
              </w:rPr>
              <w:t>Gas</w:t>
            </w:r>
          </w:p>
        </w:tc>
        <w:tc>
          <w:tcPr>
            <w:tcW w:w="2018" w:type="dxa"/>
            <w:tcBorders>
              <w:top w:val="nil"/>
              <w:bottom w:val="nil"/>
            </w:tcBorders>
          </w:tcPr>
          <w:p>
            <w:pPr>
              <w:pStyle w:val="TableParagraph"/>
              <w:spacing w:line="186" w:lineRule="exact"/>
              <w:ind w:left="57"/>
              <w:rPr>
                <w:b/>
                <w:sz w:val="18"/>
              </w:rPr>
            </w:pPr>
            <w:r>
              <w:rPr>
                <w:b/>
                <w:sz w:val="18"/>
              </w:rPr>
              <w:t>Current Year Estimate</w:t>
            </w:r>
          </w:p>
        </w:tc>
        <w:tc>
          <w:tcPr>
            <w:tcW w:w="1615" w:type="dxa"/>
            <w:tcBorders>
              <w:top w:val="nil"/>
              <w:bottom w:val="nil"/>
            </w:tcBorders>
          </w:tcPr>
          <w:p>
            <w:pPr>
              <w:pStyle w:val="TableParagraph"/>
              <w:spacing w:line="186" w:lineRule="exact"/>
              <w:ind w:left="57"/>
              <w:rPr>
                <w:b/>
                <w:sz w:val="18"/>
              </w:rPr>
            </w:pPr>
            <w:r>
              <w:rPr>
                <w:b/>
                <w:sz w:val="18"/>
              </w:rPr>
              <w:t>with LULUCF,</w:t>
            </w:r>
          </w:p>
        </w:tc>
        <w:tc>
          <w:tcPr>
            <w:tcW w:w="1809" w:type="dxa"/>
            <w:tcBorders>
              <w:top w:val="nil"/>
              <w:bottom w:val="nil"/>
            </w:tcBorders>
          </w:tcPr>
          <w:p>
            <w:pPr>
              <w:pStyle w:val="TableParagraph"/>
              <w:spacing w:line="186" w:lineRule="exact"/>
              <w:ind w:left="55"/>
              <w:rPr>
                <w:b/>
                <w:sz w:val="18"/>
              </w:rPr>
            </w:pPr>
            <w:r>
              <w:rPr>
                <w:b/>
                <w:sz w:val="18"/>
              </w:rPr>
              <w:t>Column D</w:t>
            </w:r>
          </w:p>
        </w:tc>
      </w:tr>
      <w:tr>
        <w:trPr>
          <w:trHeight w:val="206" w:hRule="atLeast"/>
        </w:trPr>
        <w:tc>
          <w:tcPr>
            <w:tcW w:w="1985" w:type="dxa"/>
            <w:tcBorders>
              <w:top w:val="nil"/>
              <w:bottom w:val="nil"/>
            </w:tcBorders>
          </w:tcPr>
          <w:p>
            <w:pPr>
              <w:pStyle w:val="TableParagraph"/>
              <w:rPr>
                <w:sz w:val="14"/>
              </w:rPr>
            </w:pPr>
          </w:p>
        </w:tc>
        <w:tc>
          <w:tcPr>
            <w:tcW w:w="1627" w:type="dxa"/>
            <w:tcBorders>
              <w:top w:val="nil"/>
              <w:bottom w:val="nil"/>
            </w:tcBorders>
          </w:tcPr>
          <w:p>
            <w:pPr>
              <w:pStyle w:val="TableParagraph"/>
              <w:rPr>
                <w:sz w:val="14"/>
              </w:rPr>
            </w:pPr>
          </w:p>
        </w:tc>
        <w:tc>
          <w:tcPr>
            <w:tcW w:w="2018" w:type="dxa"/>
            <w:tcBorders>
              <w:top w:val="nil"/>
              <w:bottom w:val="nil"/>
            </w:tcBorders>
          </w:tcPr>
          <w:p>
            <w:pPr>
              <w:pStyle w:val="TableParagraph"/>
              <w:spacing w:line="186" w:lineRule="exact"/>
              <w:ind w:left="57"/>
              <w:rPr>
                <w:b/>
                <w:sz w:val="18"/>
              </w:rPr>
            </w:pPr>
            <w:r>
              <w:rPr>
                <w:b/>
                <w:sz w:val="18"/>
              </w:rPr>
              <w:t>of Emissions or</w:t>
            </w:r>
          </w:p>
        </w:tc>
        <w:tc>
          <w:tcPr>
            <w:tcW w:w="1615" w:type="dxa"/>
            <w:tcBorders>
              <w:top w:val="nil"/>
              <w:bottom w:val="nil"/>
            </w:tcBorders>
          </w:tcPr>
          <w:p>
            <w:pPr>
              <w:pStyle w:val="TableParagraph"/>
              <w:spacing w:line="186" w:lineRule="exact"/>
              <w:ind w:left="57"/>
              <w:rPr>
                <w:b/>
                <w:sz w:val="18"/>
              </w:rPr>
            </w:pPr>
            <w:r>
              <w:rPr>
                <w:b/>
                <w:sz w:val="18"/>
              </w:rPr>
              <w:t>from column C</w:t>
            </w:r>
          </w:p>
        </w:tc>
        <w:tc>
          <w:tcPr>
            <w:tcW w:w="1809" w:type="dxa"/>
            <w:tcBorders>
              <w:top w:val="nil"/>
              <w:bottom w:val="nil"/>
            </w:tcBorders>
          </w:tcPr>
          <w:p>
            <w:pPr>
              <w:pStyle w:val="TableParagraph"/>
              <w:rPr>
                <w:sz w:val="14"/>
              </w:rPr>
            </w:pPr>
          </w:p>
        </w:tc>
      </w:tr>
      <w:tr>
        <w:trPr>
          <w:trHeight w:val="206" w:hRule="atLeast"/>
        </w:trPr>
        <w:tc>
          <w:tcPr>
            <w:tcW w:w="1985" w:type="dxa"/>
            <w:tcBorders>
              <w:top w:val="nil"/>
              <w:bottom w:val="nil"/>
            </w:tcBorders>
          </w:tcPr>
          <w:p>
            <w:pPr>
              <w:pStyle w:val="TableParagraph"/>
              <w:rPr>
                <w:sz w:val="14"/>
              </w:rPr>
            </w:pPr>
          </w:p>
        </w:tc>
        <w:tc>
          <w:tcPr>
            <w:tcW w:w="1627" w:type="dxa"/>
            <w:tcBorders>
              <w:top w:val="nil"/>
              <w:bottom w:val="nil"/>
            </w:tcBorders>
          </w:tcPr>
          <w:p>
            <w:pPr>
              <w:pStyle w:val="TableParagraph"/>
              <w:rPr>
                <w:sz w:val="14"/>
              </w:rPr>
            </w:pPr>
          </w:p>
        </w:tc>
        <w:tc>
          <w:tcPr>
            <w:tcW w:w="2018" w:type="dxa"/>
            <w:tcBorders>
              <w:top w:val="nil"/>
              <w:bottom w:val="nil"/>
            </w:tcBorders>
          </w:tcPr>
          <w:p>
            <w:pPr>
              <w:pStyle w:val="TableParagraph"/>
              <w:spacing w:line="186" w:lineRule="exact"/>
              <w:ind w:left="57"/>
              <w:rPr>
                <w:b/>
                <w:sz w:val="18"/>
              </w:rPr>
            </w:pPr>
            <w:r>
              <w:rPr>
                <w:b/>
                <w:sz w:val="18"/>
              </w:rPr>
              <w:t>Removals</w:t>
            </w:r>
          </w:p>
        </w:tc>
        <w:tc>
          <w:tcPr>
            <w:tcW w:w="1615" w:type="dxa"/>
            <w:tcBorders>
              <w:top w:val="nil"/>
              <w:bottom w:val="nil"/>
            </w:tcBorders>
          </w:tcPr>
          <w:p>
            <w:pPr>
              <w:pStyle w:val="TableParagraph"/>
              <w:rPr>
                <w:sz w:val="14"/>
              </w:rPr>
            </w:pPr>
          </w:p>
        </w:tc>
        <w:tc>
          <w:tcPr>
            <w:tcW w:w="1809" w:type="dxa"/>
            <w:tcBorders>
              <w:top w:val="nil"/>
              <w:bottom w:val="nil"/>
            </w:tcBorders>
          </w:tcPr>
          <w:p>
            <w:pPr>
              <w:pStyle w:val="TableParagraph"/>
              <w:rPr>
                <w:sz w:val="14"/>
              </w:rPr>
            </w:pPr>
          </w:p>
        </w:tc>
      </w:tr>
      <w:tr>
        <w:trPr>
          <w:trHeight w:val="204" w:hRule="atLeast"/>
        </w:trPr>
        <w:tc>
          <w:tcPr>
            <w:tcW w:w="1985" w:type="dxa"/>
            <w:tcBorders>
              <w:top w:val="nil"/>
            </w:tcBorders>
          </w:tcPr>
          <w:p>
            <w:pPr>
              <w:pStyle w:val="TableParagraph"/>
              <w:rPr>
                <w:sz w:val="14"/>
              </w:rPr>
            </w:pPr>
          </w:p>
        </w:tc>
        <w:tc>
          <w:tcPr>
            <w:tcW w:w="1627" w:type="dxa"/>
            <w:tcBorders>
              <w:top w:val="nil"/>
            </w:tcBorders>
          </w:tcPr>
          <w:p>
            <w:pPr>
              <w:pStyle w:val="TableParagraph"/>
              <w:rPr>
                <w:sz w:val="14"/>
              </w:rPr>
            </w:pPr>
          </w:p>
        </w:tc>
        <w:tc>
          <w:tcPr>
            <w:tcW w:w="2018" w:type="dxa"/>
            <w:tcBorders>
              <w:top w:val="nil"/>
            </w:tcBorders>
          </w:tcPr>
          <w:p>
            <w:pPr>
              <w:pStyle w:val="TableParagraph"/>
              <w:spacing w:line="185" w:lineRule="exact"/>
              <w:ind w:left="57"/>
              <w:rPr>
                <w:b/>
                <w:sz w:val="18"/>
              </w:rPr>
            </w:pPr>
            <w:r>
              <w:rPr>
                <w:b/>
                <w:sz w:val="18"/>
              </w:rPr>
              <w:t>(absolute value)</w:t>
            </w:r>
          </w:p>
        </w:tc>
        <w:tc>
          <w:tcPr>
            <w:tcW w:w="1615" w:type="dxa"/>
            <w:tcBorders>
              <w:top w:val="nil"/>
            </w:tcBorders>
          </w:tcPr>
          <w:p>
            <w:pPr>
              <w:pStyle w:val="TableParagraph"/>
              <w:rPr>
                <w:sz w:val="14"/>
              </w:rPr>
            </w:pPr>
          </w:p>
        </w:tc>
        <w:tc>
          <w:tcPr>
            <w:tcW w:w="1809" w:type="dxa"/>
            <w:tcBorders>
              <w:top w:val="nil"/>
            </w:tcBorders>
          </w:tcPr>
          <w:p>
            <w:pPr>
              <w:pStyle w:val="TableParagraph"/>
              <w:rPr>
                <w:sz w:val="14"/>
              </w:rPr>
            </w:pPr>
          </w:p>
        </w:tc>
      </w:tr>
      <w:tr>
        <w:trPr>
          <w:trHeight w:val="273" w:hRule="atLeast"/>
        </w:trPr>
        <w:tc>
          <w:tcPr>
            <w:tcW w:w="1985" w:type="dxa"/>
          </w:tcPr>
          <w:p>
            <w:pPr>
              <w:pStyle w:val="TableParagraph"/>
              <w:rPr>
                <w:sz w:val="18"/>
              </w:rPr>
            </w:pPr>
          </w:p>
        </w:tc>
        <w:tc>
          <w:tcPr>
            <w:tcW w:w="1627" w:type="dxa"/>
          </w:tcPr>
          <w:p>
            <w:pPr>
              <w:pStyle w:val="TableParagraph"/>
              <w:rPr>
                <w:sz w:val="18"/>
              </w:rPr>
            </w:pPr>
          </w:p>
        </w:tc>
        <w:tc>
          <w:tcPr>
            <w:tcW w:w="2018" w:type="dxa"/>
          </w:tcPr>
          <w:p>
            <w:pPr>
              <w:pStyle w:val="TableParagraph"/>
              <w:rPr>
                <w:sz w:val="18"/>
              </w:rPr>
            </w:pPr>
          </w:p>
        </w:tc>
        <w:tc>
          <w:tcPr>
            <w:tcW w:w="1615" w:type="dxa"/>
          </w:tcPr>
          <w:p>
            <w:pPr>
              <w:pStyle w:val="TableParagraph"/>
              <w:rPr>
                <w:sz w:val="18"/>
              </w:rPr>
            </w:pPr>
          </w:p>
        </w:tc>
        <w:tc>
          <w:tcPr>
            <w:tcW w:w="1809" w:type="dxa"/>
          </w:tcPr>
          <w:p>
            <w:pPr>
              <w:pStyle w:val="TableParagraph"/>
              <w:rPr>
                <w:sz w:val="18"/>
              </w:rPr>
            </w:pPr>
          </w:p>
        </w:tc>
      </w:tr>
      <w:tr>
        <w:trPr>
          <w:trHeight w:val="273" w:hRule="atLeast"/>
        </w:trPr>
        <w:tc>
          <w:tcPr>
            <w:tcW w:w="1985" w:type="dxa"/>
          </w:tcPr>
          <w:p>
            <w:pPr>
              <w:pStyle w:val="TableParagraph"/>
              <w:rPr>
                <w:sz w:val="18"/>
              </w:rPr>
            </w:pPr>
          </w:p>
        </w:tc>
        <w:tc>
          <w:tcPr>
            <w:tcW w:w="1627" w:type="dxa"/>
          </w:tcPr>
          <w:p>
            <w:pPr>
              <w:pStyle w:val="TableParagraph"/>
              <w:rPr>
                <w:sz w:val="18"/>
              </w:rPr>
            </w:pPr>
          </w:p>
        </w:tc>
        <w:tc>
          <w:tcPr>
            <w:tcW w:w="2018" w:type="dxa"/>
          </w:tcPr>
          <w:p>
            <w:pPr>
              <w:pStyle w:val="TableParagraph"/>
              <w:rPr>
                <w:sz w:val="18"/>
              </w:rPr>
            </w:pPr>
          </w:p>
        </w:tc>
        <w:tc>
          <w:tcPr>
            <w:tcW w:w="1615" w:type="dxa"/>
          </w:tcPr>
          <w:p>
            <w:pPr>
              <w:pStyle w:val="TableParagraph"/>
              <w:rPr>
                <w:sz w:val="18"/>
              </w:rPr>
            </w:pPr>
          </w:p>
        </w:tc>
        <w:tc>
          <w:tcPr>
            <w:tcW w:w="1809" w:type="dxa"/>
          </w:tcPr>
          <w:p>
            <w:pPr>
              <w:pStyle w:val="TableParagraph"/>
              <w:rPr>
                <w:sz w:val="18"/>
              </w:rPr>
            </w:pPr>
          </w:p>
        </w:tc>
      </w:tr>
      <w:tr>
        <w:trPr>
          <w:trHeight w:val="275" w:hRule="atLeast"/>
        </w:trPr>
        <w:tc>
          <w:tcPr>
            <w:tcW w:w="1985" w:type="dxa"/>
          </w:tcPr>
          <w:p>
            <w:pPr>
              <w:pStyle w:val="TableParagraph"/>
              <w:rPr>
                <w:sz w:val="18"/>
              </w:rPr>
            </w:pPr>
          </w:p>
        </w:tc>
        <w:tc>
          <w:tcPr>
            <w:tcW w:w="1627" w:type="dxa"/>
          </w:tcPr>
          <w:p>
            <w:pPr>
              <w:pStyle w:val="TableParagraph"/>
              <w:rPr>
                <w:sz w:val="18"/>
              </w:rPr>
            </w:pPr>
          </w:p>
        </w:tc>
        <w:tc>
          <w:tcPr>
            <w:tcW w:w="2018" w:type="dxa"/>
          </w:tcPr>
          <w:p>
            <w:pPr>
              <w:pStyle w:val="TableParagraph"/>
              <w:rPr>
                <w:sz w:val="18"/>
              </w:rPr>
            </w:pPr>
          </w:p>
        </w:tc>
        <w:tc>
          <w:tcPr>
            <w:tcW w:w="1615" w:type="dxa"/>
          </w:tcPr>
          <w:p>
            <w:pPr>
              <w:pStyle w:val="TableParagraph"/>
              <w:rPr>
                <w:sz w:val="18"/>
              </w:rPr>
            </w:pPr>
          </w:p>
        </w:tc>
        <w:tc>
          <w:tcPr>
            <w:tcW w:w="1809" w:type="dxa"/>
          </w:tcPr>
          <w:p>
            <w:pPr>
              <w:pStyle w:val="TableParagraph"/>
              <w:rPr>
                <w:sz w:val="18"/>
              </w:rPr>
            </w:pPr>
          </w:p>
        </w:tc>
      </w:tr>
      <w:tr>
        <w:trPr>
          <w:trHeight w:val="273" w:hRule="atLeast"/>
        </w:trPr>
        <w:tc>
          <w:tcPr>
            <w:tcW w:w="1985" w:type="dxa"/>
          </w:tcPr>
          <w:p>
            <w:pPr>
              <w:pStyle w:val="TableParagraph"/>
              <w:spacing w:before="33"/>
              <w:ind w:left="765" w:right="759"/>
              <w:jc w:val="center"/>
              <w:rPr>
                <w:b/>
                <w:sz w:val="18"/>
              </w:rPr>
            </w:pPr>
            <w:r>
              <w:rPr>
                <w:b/>
                <w:sz w:val="18"/>
              </w:rPr>
              <w:t>Total</w:t>
            </w:r>
          </w:p>
        </w:tc>
        <w:tc>
          <w:tcPr>
            <w:tcW w:w="1627" w:type="dxa"/>
          </w:tcPr>
          <w:p>
            <w:pPr>
              <w:pStyle w:val="TableParagraph"/>
              <w:rPr>
                <w:sz w:val="18"/>
              </w:rPr>
            </w:pPr>
          </w:p>
        </w:tc>
        <w:tc>
          <w:tcPr>
            <w:tcW w:w="2018" w:type="dxa"/>
          </w:tcPr>
          <w:p>
            <w:pPr>
              <w:pStyle w:val="TableParagraph"/>
              <w:rPr>
                <w:sz w:val="18"/>
              </w:rPr>
            </w:pPr>
          </w:p>
        </w:tc>
        <w:tc>
          <w:tcPr>
            <w:tcW w:w="1615" w:type="dxa"/>
          </w:tcPr>
          <w:p>
            <w:pPr>
              <w:pStyle w:val="TableParagraph"/>
              <w:rPr>
                <w:sz w:val="18"/>
              </w:rPr>
            </w:pPr>
          </w:p>
        </w:tc>
        <w:tc>
          <w:tcPr>
            <w:tcW w:w="1809" w:type="dxa"/>
          </w:tcPr>
          <w:p>
            <w:pPr>
              <w:pStyle w:val="TableParagraph"/>
              <w:rPr>
                <w:sz w:val="18"/>
              </w:rPr>
            </w:pPr>
          </w:p>
        </w:tc>
      </w:tr>
    </w:tbl>
    <w:p>
      <w:pPr>
        <w:pStyle w:val="BodyText"/>
        <w:spacing w:before="113"/>
        <w:ind w:left="179"/>
      </w:pPr>
      <w:r>
        <w:rPr/>
        <w:t>Where:</w:t>
      </w:r>
    </w:p>
    <w:p>
      <w:pPr>
        <w:pStyle w:val="BodyText"/>
        <w:spacing w:line="364" w:lineRule="auto" w:before="120"/>
        <w:ind w:left="745" w:right="3513"/>
      </w:pPr>
      <w:r>
        <w:rPr/>
        <w:t>Column A : list of IPCC categories of sources and sinks (see Table 5.4.1) Column B : direct greenhouse gas</w:t>
      </w:r>
    </w:p>
    <w:p>
      <w:pPr>
        <w:pStyle w:val="BodyText"/>
        <w:spacing w:before="2"/>
        <w:ind w:left="1808" w:right="1407" w:hanging="1064"/>
      </w:pPr>
      <w:r>
        <w:rPr/>
        <w:t>Column C : base year or current year emissions or removals of each greenhouse gas, in CO</w:t>
      </w:r>
      <w:r>
        <w:rPr>
          <w:vertAlign w:val="subscript"/>
        </w:rPr>
        <w:t>2</w:t>
      </w:r>
      <w:r>
        <w:rPr>
          <w:vertAlign w:val="baseline"/>
        </w:rPr>
        <w:t>- equivalent units. Removal estimates entered with absolute values (positive signs)</w:t>
      </w:r>
    </w:p>
    <w:p>
      <w:pPr>
        <w:pStyle w:val="BodyText"/>
        <w:spacing w:line="364" w:lineRule="auto" w:before="118"/>
        <w:ind w:left="745" w:right="2735"/>
      </w:pPr>
      <w:r>
        <w:rPr/>
        <w:t>Column D : level assessment with LULUCF from column C, following Equation 5.4.1 Column E : cumulative total of Column D</w:t>
      </w:r>
    </w:p>
    <w:p>
      <w:pPr>
        <w:pStyle w:val="BodyText"/>
        <w:spacing w:line="229" w:lineRule="exact" w:before="2"/>
        <w:ind w:left="179"/>
      </w:pPr>
      <w:r>
        <w:rPr/>
        <w:t>In the table, the calculations necessary for the Level Assessment are computed in Column D, following Equation</w:t>
      </w:r>
    </w:p>
    <w:p>
      <w:pPr>
        <w:pStyle w:val="BodyText"/>
        <w:ind w:left="179" w:right="1403"/>
        <w:jc w:val="both"/>
      </w:pPr>
      <w:r>
        <w:rPr/>
        <w:t>5.4.1. Thus, the value of the Level Assessment including LULUCF should be entered in column D for each category. All entries in Column D should be positive because absolute values of sinks are entered for removal estimates in Column C. The sum of all entries in Column D is entered in the total line of this table (note that this total will not be the total net emission (or net removal)). Once the entries in Column D are computed, the categories should be sorted in descending order of magnitude and the cumulative total summed in Column E. Key categories including LULUCF are those that, when summed together in descending order of magnitude, add up to 95 % of the total in Column D. The rationale for the choice of threshold for the Tier 1 method is explained in the Section 5.4.7. The method builds on </w:t>
      </w:r>
      <w:r>
        <w:rPr>
          <w:i/>
        </w:rPr>
        <w:t>GPG2000 </w:t>
      </w:r>
      <w:r>
        <w:rPr/>
        <w:t>and Rypdal and Flugsrud (2001). It is also </w:t>
      </w:r>
      <w:r>
        <w:rPr>
          <w:i/>
        </w:rPr>
        <w:t>good practice </w:t>
      </w:r>
      <w:r>
        <w:rPr/>
        <w:t>to examine categories identified between the 95 and 97 % threshold carefully with respect to the qualitative criteria (see Section</w:t>
      </w:r>
      <w:r>
        <w:rPr>
          <w:spacing w:val="-1"/>
        </w:rPr>
        <w:t> </w:t>
      </w:r>
      <w:r>
        <w:rPr/>
        <w:t>5.4.3).</w:t>
      </w:r>
    </w:p>
    <w:p>
      <w:pPr>
        <w:pStyle w:val="BodyText"/>
        <w:spacing w:before="119"/>
        <w:ind w:left="179" w:right="1404"/>
        <w:jc w:val="both"/>
      </w:pPr>
      <w:r>
        <w:rPr/>
        <w:t>The Level Assessment should be performed for all years for which inventory estimates are available. If previous inventory estimates have not changed, there is no need to recalculate the previous years’ analysis. If any estimates have changed or been recalculated, however, the analysis for that year should be updated. Any category that meets the threshold in any year should be identified as a key</w:t>
      </w:r>
      <w:r>
        <w:rPr>
          <w:spacing w:val="-10"/>
        </w:rPr>
        <w:t> </w:t>
      </w:r>
      <w:r>
        <w:rPr/>
        <w:t>category.</w:t>
      </w:r>
    </w:p>
    <w:p>
      <w:pPr>
        <w:pStyle w:val="BodyText"/>
        <w:spacing w:before="2"/>
        <w:rPr>
          <w:sz w:val="21"/>
        </w:rPr>
      </w:pPr>
    </w:p>
    <w:p>
      <w:pPr>
        <w:pStyle w:val="Heading6"/>
        <w:spacing w:before="1"/>
        <w:ind w:left="179"/>
      </w:pPr>
      <w:r>
        <w:rPr/>
        <w:t>TREND ASSESSMENT</w:t>
      </w:r>
    </w:p>
    <w:p>
      <w:pPr>
        <w:pStyle w:val="BodyText"/>
        <w:spacing w:before="113"/>
        <w:ind w:left="179" w:right="1406"/>
        <w:jc w:val="both"/>
      </w:pPr>
      <w:r>
        <w:rPr/>
        <w:t>The contribution of each source or sink category to the trend in the total inventory can be assessed if more than one year of inventory data are available, according to Equation 5.4.2.</w:t>
      </w:r>
    </w:p>
    <w:p>
      <w:pPr>
        <w:pStyle w:val="BodyText"/>
        <w:rPr>
          <w:sz w:val="10"/>
        </w:rPr>
      </w:pPr>
      <w:r>
        <w:rPr/>
        <w:pict>
          <v:group style="position:absolute;margin-left:91.240997pt;margin-top:8.451977pt;width:412.95pt;height:79.8pt;mso-position-horizontal-relative:page;mso-position-vertical-relative:paragraph;z-index:28472;mso-wrap-distance-left:0;mso-wrap-distance-right:0" coordorigin="1825,169" coordsize="8259,1596">
            <v:line style="position:absolute" from="1854,183" to="10054,183" stroked="true" strokeweight="1.44pt" strokecolor="#000000">
              <v:stroke dashstyle="solid"/>
            </v:line>
            <v:line style="position:absolute" from="1854,1751" to="10054,1751" stroked="true" strokeweight="1.44pt" strokecolor="#000000">
              <v:stroke dashstyle="solid"/>
            </v:line>
            <v:line style="position:absolute" from="1839,169" to="1839,1765" stroked="true" strokeweight="1.44pt" strokecolor="#000000">
              <v:stroke dashstyle="solid"/>
            </v:line>
            <v:line style="position:absolute" from="10069,169" to="10069,1765" stroked="true" strokeweight="1.44pt" strokecolor="#000000">
              <v:stroke dashstyle="solid"/>
            </v:line>
            <v:shape style="position:absolute;left:7457;top:1505;width:1072;height:144" type="#_x0000_t202" filled="false" stroked="false">
              <v:textbox inset="0,0,0,0">
                <w:txbxContent>
                  <w:p>
                    <w:pPr>
                      <w:tabs>
                        <w:tab w:pos="455" w:val="left" w:leader="none"/>
                        <w:tab w:pos="1015" w:val="left" w:leader="none"/>
                      </w:tabs>
                      <w:spacing w:line="144" w:lineRule="exact" w:before="0"/>
                      <w:ind w:left="0" w:right="0" w:firstLine="0"/>
                      <w:jc w:val="left"/>
                      <w:rPr>
                        <w:sz w:val="13"/>
                      </w:rPr>
                    </w:pPr>
                    <w:r>
                      <w:rPr>
                        <w:sz w:val="13"/>
                      </w:rPr>
                      <w:t>t</w:t>
                      <w:tab/>
                      <w:t>0</w:t>
                      <w:tab/>
                      <w:t>t</w:t>
                    </w:r>
                  </w:p>
                </w:txbxContent>
              </v:textbox>
              <w10:wrap type="none"/>
            </v:shape>
            <v:shape style="position:absolute;left:5379;top:1505;width:1326;height:144" type="#_x0000_t202" filled="false" stroked="false">
              <v:textbox inset="0,0,0,0">
                <w:txbxContent>
                  <w:p>
                    <w:pPr>
                      <w:tabs>
                        <w:tab w:pos="518" w:val="left" w:leader="none"/>
                        <w:tab w:pos="1173" w:val="left" w:leader="none"/>
                      </w:tabs>
                      <w:spacing w:line="144" w:lineRule="exact" w:before="0"/>
                      <w:ind w:left="0" w:right="0" w:firstLine="0"/>
                      <w:jc w:val="left"/>
                      <w:rPr>
                        <w:sz w:val="13"/>
                      </w:rPr>
                    </w:pPr>
                    <w:r>
                      <w:rPr>
                        <w:sz w:val="13"/>
                      </w:rPr>
                      <w:t>x,t</w:t>
                      <w:tab/>
                    </w:r>
                    <w:r>
                      <w:rPr>
                        <w:sz w:val="10"/>
                      </w:rPr>
                      <w:t>X</w:t>
                    </w:r>
                    <w:r>
                      <w:rPr>
                        <w:sz w:val="13"/>
                      </w:rPr>
                      <w:t>,0</w:t>
                      <w:tab/>
                      <w:t>x,t</w:t>
                    </w:r>
                  </w:p>
                </w:txbxContent>
              </v:textbox>
              <w10:wrap type="none"/>
            </v:shape>
            <v:shape style="position:absolute;left:3963;top:1505;width:582;height:144" type="#_x0000_t202" filled="false" stroked="false">
              <v:textbox inset="0,0,0,0">
                <w:txbxContent>
                  <w:p>
                    <w:pPr>
                      <w:tabs>
                        <w:tab w:pos="525" w:val="left" w:leader="none"/>
                      </w:tabs>
                      <w:spacing w:line="144" w:lineRule="exact" w:before="0"/>
                      <w:ind w:left="0" w:right="0" w:firstLine="0"/>
                      <w:jc w:val="left"/>
                      <w:rPr>
                        <w:sz w:val="13"/>
                      </w:rPr>
                    </w:pPr>
                    <w:r>
                      <w:rPr>
                        <w:sz w:val="13"/>
                      </w:rPr>
                      <w:t>x,t</w:t>
                      <w:tab/>
                      <w:t>t</w:t>
                    </w:r>
                  </w:p>
                </w:txbxContent>
              </v:textbox>
              <w10:wrap type="none"/>
            </v:shape>
            <v:shape style="position:absolute;left:3840;top:1383;width:4933;height:250" type="#_x0000_t202" filled="false" stroked="false">
              <v:textbox inset="0,0,0,0">
                <w:txbxContent>
                  <w:p>
                    <w:pPr>
                      <w:tabs>
                        <w:tab w:pos="2265" w:val="left" w:leader="none"/>
                      </w:tabs>
                      <w:spacing w:before="19"/>
                      <w:ind w:left="0" w:right="0" w:firstLine="0"/>
                      <w:jc w:val="left"/>
                      <w:rPr>
                        <w:rFonts w:ascii="Arial" w:hAnsi="Arial"/>
                        <w:sz w:val="20"/>
                      </w:rPr>
                    </w:pPr>
                    <w:r>
                      <w:rPr>
                        <w:sz w:val="20"/>
                      </w:rPr>
                      <w:t>E   </w:t>
                    </w:r>
                    <w:r>
                      <w:rPr>
                        <w:sz w:val="20"/>
                        <w:vertAlign w:val="superscript"/>
                      </w:rPr>
                      <w:t>*</w:t>
                    </w:r>
                    <w:r>
                      <w:rPr>
                        <w:sz w:val="20"/>
                        <w:vertAlign w:val="baseline"/>
                      </w:rPr>
                      <w:t>  / E   ●   </w:t>
                    </w:r>
                    <w:r>
                      <w:rPr>
                        <w:rFonts w:ascii="Arial" w:hAnsi="Arial"/>
                        <w:w w:val="80"/>
                        <w:sz w:val="20"/>
                        <w:vertAlign w:val="baseline"/>
                      </w:rPr>
                      <w:t>  </w:t>
                    </w:r>
                    <w:r>
                      <w:rPr>
                        <w:sz w:val="20"/>
                        <w:vertAlign w:val="baseline"/>
                      </w:rPr>
                      <w:t>[( E </w:t>
                    </w:r>
                    <w:r>
                      <w:rPr>
                        <w:spacing w:val="24"/>
                        <w:sz w:val="20"/>
                        <w:vertAlign w:val="baseline"/>
                      </w:rPr>
                      <w:t> </w:t>
                    </w:r>
                    <w:r>
                      <w:rPr>
                        <w:sz w:val="20"/>
                        <w:vertAlign w:val="baseline"/>
                      </w:rPr>
                      <w:t>–</w:t>
                    </w:r>
                    <w:r>
                      <w:rPr>
                        <w:spacing w:val="46"/>
                        <w:sz w:val="20"/>
                        <w:vertAlign w:val="baseline"/>
                      </w:rPr>
                      <w:t> </w:t>
                    </w:r>
                    <w:r>
                      <w:rPr>
                        <w:sz w:val="20"/>
                        <w:vertAlign w:val="baseline"/>
                      </w:rPr>
                      <w:t>E</w:t>
                      <w:tab/>
                      <w:t>) / E ] – [ ( E – E ) / E ]</w:t>
                    </w:r>
                    <w:r>
                      <w:rPr>
                        <w:spacing w:val="8"/>
                        <w:sz w:val="20"/>
                        <w:vertAlign w:val="baseline"/>
                      </w:rPr>
                      <w:t> </w:t>
                    </w:r>
                    <w:r>
                      <w:rPr>
                        <w:rFonts w:ascii="Arial" w:hAnsi="Arial"/>
                        <w:spacing w:val="-19"/>
                        <w:w w:val="80"/>
                        <w:sz w:val="20"/>
                        <w:vertAlign w:val="baseline"/>
                      </w:rPr>
                      <w:t></w:t>
                    </w:r>
                  </w:p>
                </w:txbxContent>
              </v:textbox>
              <w10:wrap type="none"/>
            </v:shape>
            <v:shape style="position:absolute;left:3413;top:1383;width:296;height:250" type="#_x0000_t202" filled="false" stroked="false">
              <v:textbox inset="0,0,0,0">
                <w:txbxContent>
                  <w:p>
                    <w:pPr>
                      <w:spacing w:line="146" w:lineRule="auto" w:before="31"/>
                      <w:ind w:left="0" w:right="0" w:firstLine="0"/>
                      <w:jc w:val="left"/>
                      <w:rPr>
                        <w:sz w:val="20"/>
                      </w:rPr>
                    </w:pPr>
                    <w:r>
                      <w:rPr>
                        <w:sz w:val="13"/>
                      </w:rPr>
                      <w:t>* </w:t>
                    </w:r>
                    <w:r>
                      <w:rPr>
                        <w:position w:val="-8"/>
                        <w:sz w:val="20"/>
                      </w:rPr>
                      <w:t>=</w:t>
                    </w:r>
                  </w:p>
                </w:txbxContent>
              </v:textbox>
              <w10:wrap type="none"/>
            </v:shape>
            <v:shape style="position:absolute;left:3154;top:1412;width:280;height:237" type="#_x0000_t202" filled="false" stroked="false">
              <v:textbox inset="0,0,0,0">
                <w:txbxContent>
                  <w:p>
                    <w:pPr>
                      <w:spacing w:line="237" w:lineRule="exact" w:before="0"/>
                      <w:ind w:left="0" w:right="0" w:firstLine="0"/>
                      <w:jc w:val="left"/>
                      <w:rPr>
                        <w:sz w:val="13"/>
                      </w:rPr>
                    </w:pPr>
                    <w:r>
                      <w:rPr>
                        <w:position w:val="3"/>
                        <w:sz w:val="20"/>
                      </w:rPr>
                      <w:t>T</w:t>
                    </w:r>
                    <w:r>
                      <w:rPr>
                        <w:sz w:val="13"/>
                      </w:rPr>
                      <w:t>x,t</w:t>
                    </w:r>
                  </w:p>
                </w:txbxContent>
              </v:textbox>
              <w10:wrap type="none"/>
            </v:shape>
            <v:shape style="position:absolute;left:1980;top:276;width:7936;height:1028" type="#_x0000_t202" filled="false" stroked="false">
              <v:textbox inset="0,0,0,0">
                <w:txbxContent>
                  <w:p>
                    <w:pPr>
                      <w:spacing w:before="20"/>
                      <w:ind w:left="2764" w:right="2735" w:firstLine="506"/>
                      <w:jc w:val="left"/>
                      <w:rPr>
                        <w:b/>
                        <w:sz w:val="20"/>
                      </w:rPr>
                    </w:pPr>
                    <w:r>
                      <w:rPr>
                        <w:b/>
                        <w:sz w:val="20"/>
                      </w:rPr>
                      <w:t>E</w:t>
                    </w:r>
                    <w:r>
                      <w:rPr>
                        <w:b/>
                        <w:sz w:val="16"/>
                      </w:rPr>
                      <w:t>QUATION </w:t>
                    </w:r>
                    <w:r>
                      <w:rPr>
                        <w:b/>
                        <w:sz w:val="20"/>
                      </w:rPr>
                      <w:t>5.4.2</w:t>
                    </w:r>
                    <w:r>
                      <w:rPr>
                        <w:b/>
                        <w:sz w:val="20"/>
                        <w:vertAlign w:val="superscript"/>
                      </w:rPr>
                      <w:t>9</w:t>
                    </w:r>
                    <w:r>
                      <w:rPr>
                        <w:b/>
                        <w:sz w:val="20"/>
                        <w:vertAlign w:val="baseline"/>
                      </w:rPr>
                      <w:t> T</w:t>
                    </w:r>
                    <w:r>
                      <w:rPr>
                        <w:b/>
                        <w:sz w:val="16"/>
                        <w:vertAlign w:val="baseline"/>
                      </w:rPr>
                      <w:t>REND ASSESSMENT </w:t>
                    </w:r>
                    <w:r>
                      <w:rPr>
                        <w:b/>
                        <w:sz w:val="20"/>
                        <w:vertAlign w:val="baseline"/>
                      </w:rPr>
                      <w:t>(T</w:t>
                    </w:r>
                    <w:r>
                      <w:rPr>
                        <w:b/>
                        <w:sz w:val="16"/>
                        <w:vertAlign w:val="baseline"/>
                      </w:rPr>
                      <w:t>IER </w:t>
                    </w:r>
                    <w:r>
                      <w:rPr>
                        <w:b/>
                        <w:sz w:val="20"/>
                        <w:vertAlign w:val="baseline"/>
                      </w:rPr>
                      <w:t>1)</w:t>
                    </w:r>
                  </w:p>
                  <w:p>
                    <w:pPr>
                      <w:spacing w:before="75"/>
                      <w:ind w:left="0" w:right="0" w:firstLine="0"/>
                      <w:jc w:val="left"/>
                      <w:rPr>
                        <w:sz w:val="20"/>
                      </w:rPr>
                    </w:pPr>
                    <w:r>
                      <w:rPr>
                        <w:sz w:val="20"/>
                      </w:rPr>
                      <w:t>Source or Sink Category Trend Assessment =</w:t>
                    </w:r>
                  </w:p>
                  <w:p>
                    <w:pPr>
                      <w:spacing w:before="11"/>
                      <w:ind w:left="50" w:right="0" w:firstLine="0"/>
                      <w:jc w:val="left"/>
                      <w:rPr>
                        <w:rFonts w:ascii="Arial" w:hAnsi="Arial"/>
                        <w:sz w:val="20"/>
                      </w:rPr>
                    </w:pPr>
                    <w:r>
                      <w:rPr>
                        <w:sz w:val="20"/>
                      </w:rPr>
                      <w:t>(Source</w:t>
                    </w:r>
                    <w:r>
                      <w:rPr>
                        <w:spacing w:val="-13"/>
                        <w:sz w:val="20"/>
                      </w:rPr>
                      <w:t> </w:t>
                    </w:r>
                    <w:r>
                      <w:rPr>
                        <w:sz w:val="20"/>
                      </w:rPr>
                      <w:t>or</w:t>
                    </w:r>
                    <w:r>
                      <w:rPr>
                        <w:spacing w:val="-12"/>
                        <w:sz w:val="20"/>
                      </w:rPr>
                      <w:t> </w:t>
                    </w:r>
                    <w:r>
                      <w:rPr>
                        <w:sz w:val="20"/>
                      </w:rPr>
                      <w:t>Sink</w:t>
                    </w:r>
                    <w:r>
                      <w:rPr>
                        <w:spacing w:val="-14"/>
                        <w:sz w:val="20"/>
                      </w:rPr>
                      <w:t> </w:t>
                    </w:r>
                    <w:r>
                      <w:rPr>
                        <w:sz w:val="20"/>
                      </w:rPr>
                      <w:t>Category</w:t>
                    </w:r>
                    <w:r>
                      <w:rPr>
                        <w:spacing w:val="-14"/>
                        <w:sz w:val="20"/>
                      </w:rPr>
                      <w:t> </w:t>
                    </w:r>
                    <w:r>
                      <w:rPr>
                        <w:sz w:val="20"/>
                      </w:rPr>
                      <w:t>Level</w:t>
                    </w:r>
                    <w:r>
                      <w:rPr>
                        <w:spacing w:val="-13"/>
                        <w:sz w:val="20"/>
                      </w:rPr>
                      <w:t> </w:t>
                    </w:r>
                    <w:r>
                      <w:rPr>
                        <w:sz w:val="20"/>
                      </w:rPr>
                      <w:t>Assessment)</w:t>
                    </w:r>
                    <w:r>
                      <w:rPr>
                        <w:spacing w:val="-12"/>
                        <w:sz w:val="20"/>
                      </w:rPr>
                      <w:t> </w:t>
                    </w:r>
                    <w:r>
                      <w:rPr>
                        <w:sz w:val="20"/>
                      </w:rPr>
                      <w:t>●</w:t>
                    </w:r>
                    <w:r>
                      <w:rPr>
                        <w:spacing w:val="24"/>
                        <w:sz w:val="20"/>
                      </w:rPr>
                      <w:t> </w:t>
                    </w:r>
                    <w:r>
                      <w:rPr>
                        <w:rFonts w:ascii="Arial" w:hAnsi="Arial"/>
                        <w:sz w:val="20"/>
                      </w:rPr>
                      <w:t></w:t>
                    </w:r>
                    <w:r>
                      <w:rPr>
                        <w:sz w:val="20"/>
                      </w:rPr>
                      <w:t>(Source</w:t>
                    </w:r>
                    <w:r>
                      <w:rPr>
                        <w:spacing w:val="-13"/>
                        <w:sz w:val="20"/>
                      </w:rPr>
                      <w:t> </w:t>
                    </w:r>
                    <w:r>
                      <w:rPr>
                        <w:sz w:val="20"/>
                      </w:rPr>
                      <w:t>or</w:t>
                    </w:r>
                    <w:r>
                      <w:rPr>
                        <w:spacing w:val="-14"/>
                        <w:sz w:val="20"/>
                      </w:rPr>
                      <w:t> </w:t>
                    </w:r>
                    <w:r>
                      <w:rPr>
                        <w:sz w:val="20"/>
                      </w:rPr>
                      <w:t>Sink</w:t>
                    </w:r>
                    <w:r>
                      <w:rPr>
                        <w:spacing w:val="-14"/>
                        <w:sz w:val="20"/>
                      </w:rPr>
                      <w:t> </w:t>
                    </w:r>
                    <w:r>
                      <w:rPr>
                        <w:sz w:val="20"/>
                      </w:rPr>
                      <w:t>Category</w:t>
                    </w:r>
                    <w:r>
                      <w:rPr>
                        <w:spacing w:val="-16"/>
                        <w:sz w:val="20"/>
                      </w:rPr>
                      <w:t> </w:t>
                    </w:r>
                    <w:r>
                      <w:rPr>
                        <w:sz w:val="20"/>
                      </w:rPr>
                      <w:t>Trend</w:t>
                    </w:r>
                    <w:r>
                      <w:rPr>
                        <w:spacing w:val="-12"/>
                        <w:sz w:val="20"/>
                      </w:rPr>
                      <w:t> </w:t>
                    </w:r>
                    <w:r>
                      <w:rPr>
                        <w:sz w:val="20"/>
                      </w:rPr>
                      <w:t>–</w:t>
                    </w:r>
                    <w:r>
                      <w:rPr>
                        <w:spacing w:val="-15"/>
                        <w:sz w:val="20"/>
                      </w:rPr>
                      <w:t> </w:t>
                    </w:r>
                    <w:r>
                      <w:rPr>
                        <w:sz w:val="20"/>
                      </w:rPr>
                      <w:t>Total</w:t>
                    </w:r>
                    <w:r>
                      <w:rPr>
                        <w:spacing w:val="-15"/>
                        <w:sz w:val="20"/>
                      </w:rPr>
                      <w:t> </w:t>
                    </w:r>
                    <w:r>
                      <w:rPr>
                        <w:sz w:val="20"/>
                      </w:rPr>
                      <w:t>Trend)</w:t>
                    </w:r>
                    <w:r>
                      <w:rPr>
                        <w:spacing w:val="-13"/>
                        <w:sz w:val="20"/>
                      </w:rPr>
                      <w:t> </w:t>
                    </w:r>
                    <w:r>
                      <w:rPr>
                        <w:rFonts w:ascii="Arial" w:hAnsi="Arial"/>
                        <w:w w:val="90"/>
                        <w:sz w:val="20"/>
                      </w:rPr>
                      <w:t></w:t>
                    </w:r>
                  </w:p>
                </w:txbxContent>
              </v:textbox>
              <w10:wrap type="none"/>
            </v:shape>
            <w10:wrap type="topAndBottom"/>
          </v:group>
        </w:pict>
      </w:r>
    </w:p>
    <w:p>
      <w:pPr>
        <w:pStyle w:val="BodyText"/>
        <w:spacing w:before="1"/>
        <w:rPr>
          <w:sz w:val="6"/>
        </w:rPr>
      </w:pPr>
    </w:p>
    <w:p>
      <w:pPr>
        <w:spacing w:after="0"/>
        <w:rPr>
          <w:sz w:val="6"/>
        </w:rPr>
        <w:sectPr>
          <w:pgSz w:w="11900" w:h="16840"/>
          <w:pgMar w:header="230" w:footer="408" w:top="560" w:bottom="600" w:left="1240" w:right="0"/>
        </w:sectPr>
      </w:pPr>
    </w:p>
    <w:p>
      <w:pPr>
        <w:pStyle w:val="BodyText"/>
        <w:spacing w:before="40"/>
        <w:ind w:right="92"/>
        <w:jc w:val="right"/>
      </w:pPr>
      <w:r>
        <w:rPr/>
        <w:t>Where:</w:t>
      </w:r>
    </w:p>
    <w:p>
      <w:pPr>
        <w:pStyle w:val="BodyText"/>
        <w:spacing w:before="120"/>
        <w:jc w:val="right"/>
      </w:pPr>
      <w:r>
        <w:rPr/>
        <w:pict>
          <v:shape style="position:absolute;margin-left:105.280602pt;margin-top:11.121885pt;width:6.75pt;height:7.2pt;mso-position-horizontal-relative:page;mso-position-vertical-relative:paragraph;z-index:30568" type="#_x0000_t202" filled="false" stroked="false">
            <v:textbox inset="0,0,0,0">
              <w:txbxContent>
                <w:p>
                  <w:pPr>
                    <w:spacing w:line="144" w:lineRule="exact" w:before="0"/>
                    <w:ind w:left="0" w:right="0" w:firstLine="0"/>
                    <w:jc w:val="left"/>
                    <w:rPr>
                      <w:sz w:val="13"/>
                    </w:rPr>
                  </w:pPr>
                  <w:r>
                    <w:rPr>
                      <w:sz w:val="13"/>
                    </w:rPr>
                    <w:t>x,t</w:t>
                  </w:r>
                </w:p>
              </w:txbxContent>
            </v:textbox>
            <w10:wrap type="none"/>
          </v:shape>
        </w:pict>
      </w:r>
      <w:r>
        <w:rPr>
          <w:w w:val="99"/>
        </w:rPr>
        <w:t>T</w:t>
      </w:r>
    </w:p>
    <w:p>
      <w:pPr>
        <w:pStyle w:val="BodyText"/>
        <w:spacing w:before="9"/>
        <w:rPr>
          <w:sz w:val="31"/>
        </w:rPr>
      </w:pPr>
      <w:r>
        <w:rPr/>
        <w:br w:type="column"/>
      </w:r>
      <w:r>
        <w:rPr>
          <w:sz w:val="31"/>
        </w:rPr>
      </w:r>
    </w:p>
    <w:p>
      <w:pPr>
        <w:pStyle w:val="BodyText"/>
        <w:tabs>
          <w:tab w:pos="383" w:val="left" w:leader="none"/>
        </w:tabs>
        <w:ind w:left="97"/>
      </w:pPr>
      <w:r>
        <w:rPr>
          <w:position w:val="9"/>
          <w:sz w:val="13"/>
        </w:rPr>
        <w:t>*</w:t>
        <w:tab/>
      </w:r>
      <w:r>
        <w:rPr/>
        <w:t>=</w:t>
      </w:r>
      <w:r>
        <w:rPr>
          <w:spacing w:val="36"/>
        </w:rPr>
        <w:t> </w:t>
      </w:r>
      <w:r>
        <w:rPr/>
        <w:t>trend</w:t>
      </w:r>
      <w:r>
        <w:rPr>
          <w:spacing w:val="19"/>
        </w:rPr>
        <w:t> </w:t>
      </w:r>
      <w:r>
        <w:rPr/>
        <w:t>assessment,</w:t>
      </w:r>
      <w:r>
        <w:rPr>
          <w:spacing w:val="20"/>
        </w:rPr>
        <w:t> </w:t>
      </w:r>
      <w:r>
        <w:rPr/>
        <w:t>which</w:t>
      </w:r>
      <w:r>
        <w:rPr>
          <w:spacing w:val="17"/>
        </w:rPr>
        <w:t> </w:t>
      </w:r>
      <w:r>
        <w:rPr/>
        <w:t>is</w:t>
      </w:r>
      <w:r>
        <w:rPr>
          <w:spacing w:val="20"/>
        </w:rPr>
        <w:t> </w:t>
      </w:r>
      <w:r>
        <w:rPr/>
        <w:t>the</w:t>
      </w:r>
      <w:r>
        <w:rPr>
          <w:spacing w:val="18"/>
        </w:rPr>
        <w:t> </w:t>
      </w:r>
      <w:r>
        <w:rPr/>
        <w:t>contribution</w:t>
      </w:r>
      <w:r>
        <w:rPr>
          <w:spacing w:val="17"/>
        </w:rPr>
        <w:t> </w:t>
      </w:r>
      <w:r>
        <w:rPr/>
        <w:t>of</w:t>
      </w:r>
      <w:r>
        <w:rPr>
          <w:spacing w:val="17"/>
        </w:rPr>
        <w:t> </w:t>
      </w:r>
      <w:r>
        <w:rPr/>
        <w:t>the</w:t>
      </w:r>
      <w:r>
        <w:rPr>
          <w:spacing w:val="18"/>
        </w:rPr>
        <w:t> </w:t>
      </w:r>
      <w:r>
        <w:rPr/>
        <w:t>source</w:t>
      </w:r>
      <w:r>
        <w:rPr>
          <w:spacing w:val="19"/>
        </w:rPr>
        <w:t> </w:t>
      </w:r>
      <w:r>
        <w:rPr/>
        <w:t>or</w:t>
      </w:r>
      <w:r>
        <w:rPr>
          <w:spacing w:val="19"/>
        </w:rPr>
        <w:t> </w:t>
      </w:r>
      <w:r>
        <w:rPr/>
        <w:t>sink</w:t>
      </w:r>
      <w:r>
        <w:rPr>
          <w:spacing w:val="17"/>
        </w:rPr>
        <w:t> </w:t>
      </w:r>
      <w:r>
        <w:rPr/>
        <w:t>category</w:t>
      </w:r>
      <w:r>
        <w:rPr>
          <w:spacing w:val="14"/>
        </w:rPr>
        <w:t> </w:t>
      </w:r>
      <w:r>
        <w:rPr/>
        <w:t>trend</w:t>
      </w:r>
      <w:r>
        <w:rPr>
          <w:spacing w:val="19"/>
        </w:rPr>
        <w:t> </w:t>
      </w:r>
      <w:r>
        <w:rPr/>
        <w:t>to</w:t>
      </w:r>
      <w:r>
        <w:rPr>
          <w:spacing w:val="19"/>
        </w:rPr>
        <w:t> </w:t>
      </w:r>
      <w:r>
        <w:rPr/>
        <w:t>the</w:t>
      </w:r>
      <w:r>
        <w:rPr>
          <w:spacing w:val="18"/>
        </w:rPr>
        <w:t> </w:t>
      </w:r>
      <w:r>
        <w:rPr/>
        <w:t>overall</w:t>
      </w:r>
    </w:p>
    <w:p>
      <w:pPr>
        <w:spacing w:after="0"/>
        <w:sectPr>
          <w:type w:val="continuous"/>
          <w:pgSz w:w="11900" w:h="16840"/>
          <w:pgMar w:top="1060" w:bottom="280" w:left="1240" w:right="0"/>
          <w:cols w:num="2" w:equalWidth="0">
            <w:col w:w="863" w:space="40"/>
            <w:col w:w="9757"/>
          </w:cols>
        </w:sectPr>
      </w:pPr>
    </w:p>
    <w:p>
      <w:pPr>
        <w:pStyle w:val="BodyText"/>
        <w:ind w:left="1552"/>
      </w:pPr>
      <w:r>
        <w:rPr/>
        <w:t>inventory trend. The Trend Assessment is always recorded as an absolute value, i.e., a negative</w:t>
      </w:r>
    </w:p>
    <w:p>
      <w:pPr>
        <w:pStyle w:val="BodyText"/>
        <w:spacing w:before="8"/>
        <w:rPr>
          <w:sz w:val="27"/>
        </w:rPr>
      </w:pPr>
      <w:r>
        <w:rPr/>
        <w:pict>
          <v:line style="position:absolute;mso-position-horizontal-relative:page;mso-position-vertical-relative:paragraph;z-index:28496;mso-wrap-distance-left:0;mso-wrap-distance-right:0" from="70.960999pt,18.156338pt" to="214.960999pt,18.156338pt" stroked="true" strokeweight=".48pt" strokecolor="#000000">
            <v:stroke dashstyle="solid"/>
            <w10:wrap type="topAndBottom"/>
          </v:line>
        </w:pict>
      </w:r>
    </w:p>
    <w:p>
      <w:pPr>
        <w:spacing w:before="153"/>
        <w:ind w:left="179" w:right="0" w:firstLine="0"/>
        <w:jc w:val="left"/>
        <w:rPr>
          <w:sz w:val="18"/>
        </w:rPr>
      </w:pPr>
      <w:r>
        <w:rPr>
          <w:position w:val="8"/>
          <w:sz w:val="12"/>
        </w:rPr>
        <w:t>9 </w:t>
      </w:r>
      <w:r>
        <w:rPr>
          <w:sz w:val="18"/>
        </w:rPr>
        <w:t>Norwegian Pollution Control Authority with Rypdal and Flugsrud (2001).</w:t>
      </w:r>
    </w:p>
    <w:p>
      <w:pPr>
        <w:spacing w:after="0"/>
        <w:jc w:val="left"/>
        <w:rPr>
          <w:sz w:val="18"/>
        </w:rPr>
        <w:sectPr>
          <w:type w:val="continuous"/>
          <w:pgSz w:w="11900" w:h="16840"/>
          <w:pgMar w:top="1060" w:bottom="280" w:left="1240" w:right="0"/>
        </w:sectPr>
      </w:pPr>
    </w:p>
    <w:p>
      <w:pPr>
        <w:pStyle w:val="BodyText"/>
      </w:pPr>
    </w:p>
    <w:p>
      <w:pPr>
        <w:pStyle w:val="BodyText"/>
        <w:spacing w:before="2"/>
        <w:rPr>
          <w:sz w:val="18"/>
        </w:rPr>
      </w:pPr>
    </w:p>
    <w:p>
      <w:pPr>
        <w:pStyle w:val="BodyText"/>
        <w:ind w:left="1552" w:right="1406"/>
        <w:jc w:val="both"/>
      </w:pPr>
      <w:r>
        <w:rPr/>
        <w:t>value is always recorded as the equivalent positive value. The asterisk (*) indicates that, in contrast to Equation 7.2, in Chapter 7 of the </w:t>
      </w:r>
      <w:r>
        <w:rPr>
          <w:i/>
        </w:rPr>
        <w:t>GPG2000</w:t>
      </w:r>
      <w:r>
        <w:rPr/>
        <w:t>, LULUCF sources and sinks can be evaluated using this equation.</w:t>
      </w:r>
    </w:p>
    <w:p>
      <w:pPr>
        <w:pStyle w:val="BodyText"/>
        <w:tabs>
          <w:tab w:pos="1285" w:val="left" w:leader="none"/>
        </w:tabs>
        <w:spacing w:before="137"/>
        <w:ind w:left="726"/>
        <w:rPr>
          <w:i/>
        </w:rPr>
      </w:pPr>
      <w:r>
        <w:rPr/>
        <w:pict>
          <v:shape style="position:absolute;margin-left:104.440598pt;margin-top:12.015755pt;width:52.95pt;height:7.2pt;mso-position-horizontal-relative:page;mso-position-vertical-relative:paragraph;z-index:-2425384" type="#_x0000_t202" filled="false" stroked="false">
            <v:textbox inset="0,0,0,0">
              <w:txbxContent>
                <w:p>
                  <w:pPr>
                    <w:tabs>
                      <w:tab w:pos="923" w:val="left" w:leader="none"/>
                    </w:tabs>
                    <w:spacing w:line="144" w:lineRule="exact" w:before="0"/>
                    <w:ind w:left="0" w:right="0" w:firstLine="0"/>
                    <w:jc w:val="left"/>
                    <w:rPr>
                      <w:sz w:val="13"/>
                    </w:rPr>
                  </w:pPr>
                  <w:r>
                    <w:rPr>
                      <w:sz w:val="13"/>
                    </w:rPr>
                    <w:t>x,t</w:t>
                    <w:tab/>
                  </w:r>
                  <w:r>
                    <w:rPr>
                      <w:spacing w:val="-9"/>
                      <w:sz w:val="13"/>
                    </w:rPr>
                    <w:t>x,t</w:t>
                  </w:r>
                </w:p>
              </w:txbxContent>
            </v:textbox>
            <w10:wrap type="none"/>
          </v:shape>
        </w:pict>
      </w:r>
      <w:r>
        <w:rPr/>
        <w:t>E </w:t>
      </w:r>
      <w:r>
        <w:rPr>
          <w:spacing w:val="34"/>
        </w:rPr>
        <w:t> </w:t>
      </w:r>
      <w:r>
        <w:rPr>
          <w:vertAlign w:val="superscript"/>
        </w:rPr>
        <w:t>*</w:t>
      </w:r>
      <w:r>
        <w:rPr>
          <w:vertAlign w:val="baseline"/>
        </w:rPr>
        <w:tab/>
        <w:t>= </w:t>
      </w:r>
      <w:r>
        <w:rPr>
          <w:rFonts w:ascii="Arial" w:hAnsi="Arial"/>
          <w:vertAlign w:val="baseline"/>
        </w:rPr>
        <w:t></w:t>
      </w:r>
      <w:r>
        <w:rPr>
          <w:vertAlign w:val="baseline"/>
        </w:rPr>
        <w:t>E </w:t>
      </w:r>
      <w:r>
        <w:rPr>
          <w:rFonts w:ascii="Arial" w:hAnsi="Arial"/>
          <w:w w:val="90"/>
          <w:vertAlign w:val="baseline"/>
        </w:rPr>
        <w:t> </w:t>
      </w:r>
      <w:r>
        <w:rPr>
          <w:vertAlign w:val="baseline"/>
        </w:rPr>
        <w:t>absolute value of emission or removal estimate of source or sink category </w:t>
      </w:r>
      <w:r>
        <w:rPr>
          <w:i/>
          <w:vertAlign w:val="baseline"/>
        </w:rPr>
        <w:t>x </w:t>
      </w:r>
      <w:r>
        <w:rPr>
          <w:vertAlign w:val="baseline"/>
        </w:rPr>
        <w:t>in year</w:t>
      </w:r>
      <w:r>
        <w:rPr>
          <w:spacing w:val="-19"/>
          <w:vertAlign w:val="baseline"/>
        </w:rPr>
        <w:t> </w:t>
      </w:r>
      <w:r>
        <w:rPr>
          <w:i/>
          <w:vertAlign w:val="baseline"/>
        </w:rPr>
        <w:t>t</w:t>
      </w:r>
    </w:p>
    <w:p>
      <w:pPr>
        <w:pStyle w:val="BodyText"/>
        <w:spacing w:before="118"/>
        <w:ind w:left="740"/>
      </w:pPr>
      <w:r>
        <w:rPr/>
        <w:t>E</w:t>
      </w:r>
      <w:r>
        <w:rPr>
          <w:vertAlign w:val="subscript"/>
        </w:rPr>
        <w:t>x,t</w:t>
      </w:r>
      <w:r>
        <w:rPr>
          <w:vertAlign w:val="baseline"/>
        </w:rPr>
        <w:t> and E</w:t>
      </w:r>
      <w:r>
        <w:rPr>
          <w:vertAlign w:val="subscript"/>
        </w:rPr>
        <w:t>x,0</w:t>
      </w:r>
      <w:r>
        <w:rPr>
          <w:vertAlign w:val="baseline"/>
        </w:rPr>
        <w:t> = real values of estimates of source or sink category </w:t>
      </w:r>
      <w:r>
        <w:rPr>
          <w:i/>
          <w:vertAlign w:val="baseline"/>
        </w:rPr>
        <w:t>x </w:t>
      </w:r>
      <w:r>
        <w:rPr>
          <w:vertAlign w:val="baseline"/>
        </w:rPr>
        <w:t>in years </w:t>
      </w:r>
      <w:r>
        <w:rPr>
          <w:i/>
          <w:vertAlign w:val="baseline"/>
        </w:rPr>
        <w:t>t </w:t>
      </w:r>
      <w:r>
        <w:rPr>
          <w:vertAlign w:val="baseline"/>
        </w:rPr>
        <w:t>and 0, respectively</w:t>
      </w:r>
    </w:p>
    <w:p>
      <w:pPr>
        <w:pStyle w:val="BodyText"/>
        <w:tabs>
          <w:tab w:pos="1746" w:val="left" w:leader="none"/>
        </w:tabs>
        <w:spacing w:line="226" w:lineRule="exact" w:before="147"/>
        <w:ind w:left="740"/>
      </w:pPr>
      <w:r>
        <w:rPr>
          <w:position w:val="1"/>
        </w:rPr>
        <w:t>E</w:t>
      </w:r>
      <w:r>
        <w:rPr>
          <w:position w:val="1"/>
          <w:vertAlign w:val="subscript"/>
        </w:rPr>
        <w:t>t</w:t>
      </w:r>
      <w:r>
        <w:rPr>
          <w:position w:val="1"/>
          <w:vertAlign w:val="baseline"/>
        </w:rPr>
        <w:t> </w:t>
      </w:r>
      <w:r>
        <w:rPr>
          <w:spacing w:val="15"/>
          <w:position w:val="1"/>
          <w:vertAlign w:val="baseline"/>
        </w:rPr>
        <w:t> </w:t>
      </w:r>
      <w:r>
        <w:rPr>
          <w:position w:val="1"/>
          <w:vertAlign w:val="baseline"/>
        </w:rPr>
        <w:t>and E</w:t>
      </w:r>
      <w:r>
        <w:rPr>
          <w:position w:val="1"/>
          <w:vertAlign w:val="subscript"/>
        </w:rPr>
        <w:t>0</w:t>
      </w:r>
      <w:r>
        <w:rPr>
          <w:position w:val="1"/>
          <w:vertAlign w:val="baseline"/>
        </w:rPr>
        <w:tab/>
        <w:t>= </w:t>
      </w:r>
      <w:r>
        <w:rPr>
          <w:rFonts w:ascii="Arial" w:hAnsi="Arial"/>
          <w:vertAlign w:val="baseline"/>
        </w:rPr>
        <w:t>∑ </w:t>
      </w:r>
      <w:r>
        <w:rPr>
          <w:spacing w:val="7"/>
          <w:position w:val="0"/>
          <w:vertAlign w:val="baseline"/>
        </w:rPr>
        <w:t>E</w:t>
      </w:r>
      <w:r>
        <w:rPr>
          <w:spacing w:val="7"/>
          <w:position w:val="0"/>
          <w:vertAlign w:val="subscript"/>
        </w:rPr>
        <w:t>x,t</w:t>
      </w:r>
      <w:r>
        <w:rPr>
          <w:spacing w:val="7"/>
          <w:position w:val="0"/>
          <w:vertAlign w:val="baseline"/>
        </w:rPr>
        <w:t> </w:t>
      </w:r>
      <w:r>
        <w:rPr>
          <w:position w:val="1"/>
          <w:vertAlign w:val="baseline"/>
        </w:rPr>
        <w:t>and </w:t>
      </w:r>
      <w:r>
        <w:rPr>
          <w:rFonts w:ascii="Arial" w:hAnsi="Arial"/>
          <w:vertAlign w:val="baseline"/>
        </w:rPr>
        <w:t>∑ </w:t>
      </w:r>
      <w:r>
        <w:rPr>
          <w:spacing w:val="6"/>
          <w:position w:val="0"/>
          <w:vertAlign w:val="baseline"/>
        </w:rPr>
        <w:t>E</w:t>
      </w:r>
      <w:r>
        <w:rPr>
          <w:spacing w:val="6"/>
          <w:position w:val="0"/>
          <w:vertAlign w:val="subscript"/>
        </w:rPr>
        <w:t>x,0</w:t>
      </w:r>
      <w:r>
        <w:rPr>
          <w:spacing w:val="6"/>
          <w:position w:val="0"/>
          <w:vertAlign w:val="baseline"/>
        </w:rPr>
        <w:t> </w:t>
      </w:r>
      <w:r>
        <w:rPr>
          <w:position w:val="1"/>
          <w:vertAlign w:val="baseline"/>
        </w:rPr>
        <w:t>total inventory estimates in years </w:t>
      </w:r>
      <w:r>
        <w:rPr>
          <w:i/>
          <w:position w:val="1"/>
          <w:vertAlign w:val="baseline"/>
        </w:rPr>
        <w:t>t </w:t>
      </w:r>
      <w:r>
        <w:rPr>
          <w:position w:val="1"/>
          <w:vertAlign w:val="baseline"/>
        </w:rPr>
        <w:t>and 0, respectively. E</w:t>
      </w:r>
      <w:r>
        <w:rPr>
          <w:position w:val="1"/>
          <w:vertAlign w:val="subscript"/>
        </w:rPr>
        <w:t>t</w:t>
      </w:r>
      <w:r>
        <w:rPr>
          <w:position w:val="1"/>
          <w:vertAlign w:val="baseline"/>
        </w:rPr>
        <w:t> and E</w:t>
      </w:r>
      <w:r>
        <w:rPr>
          <w:position w:val="1"/>
          <w:vertAlign w:val="subscript"/>
        </w:rPr>
        <w:t>0</w:t>
      </w:r>
      <w:r>
        <w:rPr>
          <w:spacing w:val="4"/>
          <w:position w:val="1"/>
          <w:vertAlign w:val="baseline"/>
        </w:rPr>
        <w:t> </w:t>
      </w:r>
      <w:r>
        <w:rPr>
          <w:position w:val="1"/>
          <w:vertAlign w:val="baseline"/>
        </w:rPr>
        <w:t>differ</w:t>
      </w:r>
    </w:p>
    <w:p>
      <w:pPr>
        <w:tabs>
          <w:tab w:pos="3001" w:val="left" w:leader="none"/>
        </w:tabs>
        <w:spacing w:line="128" w:lineRule="exact" w:before="0"/>
        <w:ind w:left="2036" w:right="0" w:firstLine="0"/>
        <w:jc w:val="left"/>
        <w:rPr>
          <w:sz w:val="12"/>
        </w:rPr>
      </w:pPr>
      <w:r>
        <w:rPr>
          <w:sz w:val="12"/>
        </w:rPr>
        <w:t>x</w:t>
        <w:tab/>
        <w:t>x</w:t>
      </w:r>
    </w:p>
    <w:p>
      <w:pPr>
        <w:pStyle w:val="BodyText"/>
        <w:spacing w:line="102" w:lineRule="exact" w:before="20"/>
        <w:ind w:left="1998"/>
      </w:pPr>
      <w:r>
        <w:rPr/>
        <w:t>from E </w:t>
      </w:r>
      <w:r>
        <w:rPr>
          <w:vertAlign w:val="superscript"/>
        </w:rPr>
        <w:t>*</w:t>
      </w:r>
      <w:r>
        <w:rPr>
          <w:vertAlign w:val="baseline"/>
        </w:rPr>
        <w:t> and E </w:t>
      </w:r>
      <w:r>
        <w:rPr>
          <w:vertAlign w:val="superscript"/>
        </w:rPr>
        <w:t>*</w:t>
      </w:r>
      <w:r>
        <w:rPr>
          <w:vertAlign w:val="baseline"/>
        </w:rPr>
        <w:t> in Equation 5.4.1 in that removals are </w:t>
      </w:r>
      <w:r>
        <w:rPr>
          <w:i/>
          <w:vertAlign w:val="baseline"/>
        </w:rPr>
        <w:t>not </w:t>
      </w:r>
      <w:r>
        <w:rPr>
          <w:vertAlign w:val="baseline"/>
        </w:rPr>
        <w:t>entered as absolute values.</w:t>
      </w:r>
    </w:p>
    <w:p>
      <w:pPr>
        <w:tabs>
          <w:tab w:pos="3169" w:val="left" w:leader="none"/>
        </w:tabs>
        <w:spacing w:line="144" w:lineRule="exact" w:before="0"/>
        <w:ind w:left="2557" w:right="0" w:firstLine="0"/>
        <w:jc w:val="left"/>
        <w:rPr>
          <w:sz w:val="13"/>
        </w:rPr>
      </w:pPr>
      <w:r>
        <w:rPr>
          <w:sz w:val="13"/>
        </w:rPr>
        <w:t>t</w:t>
        <w:tab/>
        <w:t>0</w:t>
      </w:r>
    </w:p>
    <w:p>
      <w:pPr>
        <w:pStyle w:val="BodyText"/>
        <w:spacing w:before="102"/>
        <w:ind w:left="179" w:right="1405"/>
        <w:jc w:val="both"/>
      </w:pPr>
      <w:r>
        <w:rPr/>
        <w:t>The Source or Sink Category Trend is the change in the source or sink category emissions or removals over time, computed by subtracting the base year (year 0) estimate for source or sink category </w:t>
      </w:r>
      <w:r>
        <w:rPr>
          <w:i/>
        </w:rPr>
        <w:t>x </w:t>
      </w:r>
      <w:r>
        <w:rPr/>
        <w:t>from the current year (year</w:t>
      </w:r>
    </w:p>
    <w:p>
      <w:pPr>
        <w:pStyle w:val="BodyText"/>
        <w:spacing w:before="1"/>
        <w:ind w:left="179"/>
      </w:pPr>
      <w:r>
        <w:rPr>
          <w:i/>
        </w:rPr>
        <w:t>t</w:t>
      </w:r>
      <w:r>
        <w:rPr/>
        <w:t>) estimate and dividing by the current year estimate.</w:t>
      </w:r>
      <w:r>
        <w:rPr>
          <w:vertAlign w:val="superscript"/>
        </w:rPr>
        <w:t>10</w:t>
      </w:r>
    </w:p>
    <w:p>
      <w:pPr>
        <w:pStyle w:val="BodyText"/>
        <w:spacing w:before="120"/>
        <w:ind w:left="179" w:right="1405"/>
        <w:jc w:val="both"/>
      </w:pPr>
      <w:r>
        <w:rPr/>
        <w:t>The Total Trend is the change in the total inventory emissions (or removals) over time, computed by subtracting the base year (year 0) estimate for the total inventory from the current year (year </w:t>
      </w:r>
      <w:r>
        <w:rPr>
          <w:i/>
        </w:rPr>
        <w:t>t</w:t>
      </w:r>
      <w:r>
        <w:rPr/>
        <w:t>) estimate and dividing by the current year estimate.</w:t>
      </w:r>
    </w:p>
    <w:p>
      <w:pPr>
        <w:pStyle w:val="BodyText"/>
        <w:spacing w:before="119"/>
        <w:ind w:left="179" w:right="1406"/>
        <w:jc w:val="both"/>
      </w:pPr>
      <w:r>
        <w:rPr/>
        <w:t>In circumstances where the current year emissions for a given category are zero, the expression may be reformulated to avoid zero in the denominator (Equation 5.4.3).</w:t>
      </w:r>
      <w:r>
        <w:rPr>
          <w:vertAlign w:val="superscript"/>
        </w:rPr>
        <w:t>11</w:t>
      </w:r>
    </w:p>
    <w:p>
      <w:pPr>
        <w:pStyle w:val="BodyText"/>
        <w:spacing w:before="8"/>
        <w:rPr>
          <w:sz w:val="9"/>
        </w:rPr>
      </w:pPr>
      <w:r>
        <w:rPr/>
        <w:pict>
          <v:group style="position:absolute;margin-left:91.240997pt;margin-top:8.302129pt;width:412.95pt;height:52.2pt;mso-position-horizontal-relative:page;mso-position-vertical-relative:paragraph;z-index:28688;mso-wrap-distance-left:0;mso-wrap-distance-right:0" coordorigin="1825,166" coordsize="8259,1044">
            <v:line style="position:absolute" from="1854,180" to="10054,180" stroked="true" strokeweight="1.44pt" strokecolor="#000000">
              <v:stroke dashstyle="solid"/>
            </v:line>
            <v:line style="position:absolute" from="1854,1196" to="10054,1196" stroked="true" strokeweight="1.44pt" strokecolor="#000000">
              <v:stroke dashstyle="solid"/>
            </v:line>
            <v:line style="position:absolute" from="1839,166" to="1839,1210" stroked="true" strokeweight="1.44pt" strokecolor="#000000">
              <v:stroke dashstyle="solid"/>
            </v:line>
            <v:line style="position:absolute" from="10069,166" to="10069,1210" stroked="true" strokeweight="1.44pt" strokecolor="#000000">
              <v:stroke dashstyle="solid"/>
            </v:line>
            <v:shape style="position:absolute;left:6310;top:847;width:510;height:229" type="#_x0000_t202" filled="false" stroked="false">
              <v:textbox inset="0,0,0,0">
                <w:txbxContent>
                  <w:p>
                    <w:pPr>
                      <w:spacing w:line="228" w:lineRule="exact" w:before="0"/>
                      <w:ind w:left="0" w:right="0" w:firstLine="0"/>
                      <w:jc w:val="left"/>
                      <w:rPr>
                        <w:rFonts w:ascii="Arial" w:hAnsi="Arial"/>
                        <w:sz w:val="20"/>
                      </w:rPr>
                    </w:pPr>
                    <w:r>
                      <w:rPr>
                        <w:sz w:val="20"/>
                      </w:rPr>
                      <w:t>/ E </w:t>
                    </w:r>
                    <w:r>
                      <w:rPr>
                        <w:rFonts w:ascii="Arial" w:hAnsi="Arial"/>
                        <w:spacing w:val="-24"/>
                        <w:w w:val="80"/>
                        <w:sz w:val="20"/>
                      </w:rPr>
                      <w:t></w:t>
                    </w:r>
                  </w:p>
                </w:txbxContent>
              </v:textbox>
              <w10:wrap type="none"/>
            </v:shape>
            <v:shape style="position:absolute;left:6041;top:948;width:604;height:144" type="#_x0000_t202" filled="false" stroked="false">
              <v:textbox inset="0,0,0,0">
                <w:txbxContent>
                  <w:p>
                    <w:pPr>
                      <w:tabs>
                        <w:tab w:pos="547" w:val="left" w:leader="none"/>
                      </w:tabs>
                      <w:spacing w:line="144" w:lineRule="exact" w:before="0"/>
                      <w:ind w:left="0" w:right="0" w:firstLine="0"/>
                      <w:jc w:val="left"/>
                      <w:rPr>
                        <w:sz w:val="13"/>
                      </w:rPr>
                    </w:pPr>
                    <w:r>
                      <w:rPr>
                        <w:sz w:val="10"/>
                      </w:rPr>
                      <w:t>X</w:t>
                    </w:r>
                    <w:r>
                      <w:rPr>
                        <w:sz w:val="13"/>
                      </w:rPr>
                      <w:t>,0</w:t>
                      <w:tab/>
                      <w:t>t</w:t>
                    </w:r>
                  </w:p>
                </w:txbxContent>
              </v:textbox>
              <w10:wrap type="none"/>
            </v:shape>
            <v:shape style="position:absolute;left:5792;top:847;width:270;height:229" type="#_x0000_t202" filled="false" stroked="false">
              <v:textbox inset="0,0,0,0">
                <w:txbxContent>
                  <w:p>
                    <w:pPr>
                      <w:spacing w:line="228" w:lineRule="exact" w:before="0"/>
                      <w:ind w:left="0" w:right="0" w:firstLine="0"/>
                      <w:jc w:val="left"/>
                      <w:rPr>
                        <w:sz w:val="20"/>
                      </w:rPr>
                    </w:pPr>
                    <w:r>
                      <w:rPr>
                        <w:rFonts w:ascii="Arial" w:hAnsi="Arial"/>
                        <w:w w:val="80"/>
                        <w:sz w:val="20"/>
                      </w:rPr>
                      <w:t></w:t>
                    </w:r>
                    <w:r>
                      <w:rPr>
                        <w:rFonts w:ascii="Arial" w:hAnsi="Arial"/>
                        <w:spacing w:val="-27"/>
                        <w:w w:val="80"/>
                        <w:sz w:val="20"/>
                      </w:rPr>
                      <w:t> </w:t>
                    </w:r>
                    <w:r>
                      <w:rPr>
                        <w:spacing w:val="-25"/>
                        <w:w w:val="90"/>
                        <w:sz w:val="20"/>
                      </w:rPr>
                      <w:t>E</w:t>
                    </w:r>
                  </w:p>
                </w:txbxContent>
              </v:textbox>
              <w10:wrap type="none"/>
            </v:shape>
            <v:shape style="position:absolute;left:5364;top:825;width:297;height:251" type="#_x0000_t202" filled="false" stroked="false">
              <v:textbox inset="0,0,0,0">
                <w:txbxContent>
                  <w:p>
                    <w:pPr>
                      <w:spacing w:line="146" w:lineRule="auto" w:before="31"/>
                      <w:ind w:left="0" w:right="0" w:firstLine="0"/>
                      <w:jc w:val="left"/>
                      <w:rPr>
                        <w:sz w:val="20"/>
                      </w:rPr>
                    </w:pPr>
                    <w:r>
                      <w:rPr>
                        <w:sz w:val="13"/>
                      </w:rPr>
                      <w:t>* </w:t>
                    </w:r>
                    <w:r>
                      <w:rPr>
                        <w:position w:val="-8"/>
                        <w:sz w:val="20"/>
                      </w:rPr>
                      <w:t>=</w:t>
                    </w:r>
                  </w:p>
                </w:txbxContent>
              </v:textbox>
              <w10:wrap type="none"/>
            </v:shape>
            <v:shape style="position:absolute;left:5105;top:853;width:280;height:238" type="#_x0000_t202" filled="false" stroked="false">
              <v:textbox inset="0,0,0,0">
                <w:txbxContent>
                  <w:p>
                    <w:pPr>
                      <w:spacing w:line="238" w:lineRule="exact" w:before="0"/>
                      <w:ind w:left="0" w:right="0" w:firstLine="0"/>
                      <w:jc w:val="left"/>
                      <w:rPr>
                        <w:sz w:val="13"/>
                      </w:rPr>
                    </w:pPr>
                    <w:r>
                      <w:rPr>
                        <w:position w:val="3"/>
                        <w:sz w:val="20"/>
                      </w:rPr>
                      <w:t>T</w:t>
                    </w:r>
                    <w:r>
                      <w:rPr>
                        <w:sz w:val="13"/>
                      </w:rPr>
                      <w:t>x,t</w:t>
                    </w:r>
                  </w:p>
                </w:txbxContent>
              </v:textbox>
              <w10:wrap type="none"/>
            </v:shape>
            <v:shape style="position:absolute;left:3406;top:302;width:5116;height:451" type="#_x0000_t202" filled="false" stroked="false">
              <v:textbox inset="0,0,0,0">
                <w:txbxContent>
                  <w:p>
                    <w:pPr>
                      <w:spacing w:line="209" w:lineRule="exact" w:before="0"/>
                      <w:ind w:left="0" w:right="21" w:firstLine="0"/>
                      <w:jc w:val="center"/>
                      <w:rPr>
                        <w:b/>
                        <w:sz w:val="20"/>
                      </w:rPr>
                    </w:pPr>
                    <w:r>
                      <w:rPr>
                        <w:b/>
                        <w:sz w:val="20"/>
                      </w:rPr>
                      <w:t>E</w:t>
                    </w:r>
                    <w:r>
                      <w:rPr>
                        <w:b/>
                        <w:sz w:val="16"/>
                      </w:rPr>
                      <w:t>QUATION </w:t>
                    </w:r>
                    <w:r>
                      <w:rPr>
                        <w:b/>
                        <w:sz w:val="20"/>
                      </w:rPr>
                      <w:t>5.4.3</w:t>
                    </w:r>
                  </w:p>
                  <w:p>
                    <w:pPr>
                      <w:spacing w:line="242" w:lineRule="exact" w:before="0"/>
                      <w:ind w:left="0" w:right="18" w:firstLine="0"/>
                      <w:jc w:val="center"/>
                      <w:rPr>
                        <w:b/>
                        <w:sz w:val="13"/>
                      </w:rPr>
                    </w:pPr>
                    <w:r>
                      <w:rPr>
                        <w:b/>
                        <w:sz w:val="20"/>
                      </w:rPr>
                      <w:t>T</w:t>
                    </w:r>
                    <w:r>
                      <w:rPr>
                        <w:b/>
                        <w:sz w:val="16"/>
                      </w:rPr>
                      <w:t>REND ASSESSMENT WITH ZERO CURRENT YEAR EMISSIONS </w:t>
                    </w:r>
                    <w:r>
                      <w:rPr>
                        <w:b/>
                        <w:position w:val="9"/>
                        <w:sz w:val="13"/>
                      </w:rPr>
                      <w:t>12</w:t>
                    </w:r>
                  </w:p>
                </w:txbxContent>
              </v:textbox>
              <w10:wrap type="none"/>
            </v:shape>
            <w10:wrap type="topAndBottom"/>
          </v:group>
        </w:pict>
      </w:r>
    </w:p>
    <w:p>
      <w:pPr>
        <w:pStyle w:val="BodyText"/>
        <w:spacing w:before="2"/>
        <w:rPr>
          <w:sz w:val="11"/>
        </w:rPr>
      </w:pPr>
    </w:p>
    <w:p>
      <w:pPr>
        <w:pStyle w:val="BodyText"/>
        <w:spacing w:before="92"/>
        <w:ind w:left="179" w:right="1405"/>
        <w:jc w:val="both"/>
      </w:pPr>
      <w:r>
        <w:rPr/>
        <w:t>The Trend Assessment will identify categories that have a different trend as compared to the trend of the overall inventory. As differences in trend are more significant for the overall inventory level for larger categories of emissions and removals (in absolute terms), the results of the trend difference (i.e., the category trend minus total</w:t>
      </w:r>
    </w:p>
    <w:p>
      <w:pPr>
        <w:pStyle w:val="BodyText"/>
        <w:spacing w:line="103" w:lineRule="exact" w:before="14"/>
        <w:ind w:left="179"/>
      </w:pPr>
      <w:r>
        <w:rPr/>
        <w:t>trend) is multiplied by </w:t>
      </w:r>
      <w:r>
        <w:rPr>
          <w:rFonts w:ascii="Arial" w:hAnsi="Arial"/>
        </w:rPr>
        <w:t> </w:t>
      </w:r>
      <w:r>
        <w:rPr/>
        <w:t>E </w:t>
      </w:r>
      <w:r>
        <w:rPr>
          <w:vertAlign w:val="superscript"/>
        </w:rPr>
        <w:t>*</w:t>
      </w:r>
      <w:r>
        <w:rPr>
          <w:rFonts w:ascii="Arial" w:hAnsi="Arial"/>
          <w:vertAlign w:val="baseline"/>
        </w:rPr>
        <w:t> </w:t>
      </w:r>
      <w:r>
        <w:rPr>
          <w:vertAlign w:val="baseline"/>
        </w:rPr>
        <w:t>/ E to provide appropriate weighting. Thus, key categories will be those where the</w:t>
      </w:r>
    </w:p>
    <w:p>
      <w:pPr>
        <w:tabs>
          <w:tab w:pos="2869" w:val="left" w:leader="none"/>
        </w:tabs>
        <w:spacing w:line="134" w:lineRule="exact" w:before="0"/>
        <w:ind w:left="2291" w:right="0" w:firstLine="0"/>
        <w:jc w:val="left"/>
        <w:rPr>
          <w:sz w:val="13"/>
        </w:rPr>
      </w:pPr>
      <w:r>
        <w:rPr>
          <w:sz w:val="13"/>
        </w:rPr>
        <w:t>x,t</w:t>
        <w:tab/>
        <w:t>t</w:t>
      </w:r>
    </w:p>
    <w:p>
      <w:pPr>
        <w:pStyle w:val="BodyText"/>
        <w:spacing w:line="222" w:lineRule="exact"/>
        <w:ind w:left="179"/>
      </w:pPr>
      <w:r>
        <w:rPr/>
        <w:t>category trend diverges from the total trend, weighted by the level of emissions or removals of the category.</w:t>
      </w:r>
    </w:p>
    <w:p>
      <w:pPr>
        <w:pStyle w:val="BodyText"/>
        <w:spacing w:before="120"/>
        <w:ind w:left="179" w:right="1405"/>
        <w:jc w:val="both"/>
      </w:pPr>
      <w:r>
        <w:rPr/>
        <w:t>Table 5.4.3 outlines a spreadsheet that can be used for the Trend Assessment. This spreadsheet is to be applied </w:t>
      </w:r>
      <w:r>
        <w:rPr>
          <w:i/>
        </w:rPr>
        <w:t>in addition </w:t>
      </w:r>
      <w:r>
        <w:rPr/>
        <w:t>to the assessment for non-LULUCF sources, as described in </w:t>
      </w:r>
      <w:r>
        <w:rPr>
          <w:i/>
        </w:rPr>
        <w:t>GPG2000, </w:t>
      </w:r>
      <w:r>
        <w:rPr/>
        <w:t>Chapter 7, Methodological Choice and Recalculation, Table 7.3. Section 5.4.8 provides and example of the application of the Tier 1 method.</w:t>
      </w:r>
    </w:p>
    <w:p>
      <w:pPr>
        <w:pStyle w:val="BodyText"/>
      </w:pPr>
    </w:p>
    <w:p>
      <w:pPr>
        <w:pStyle w:val="BodyText"/>
        <w:spacing w:before="4" w:after="1"/>
        <w:rPr>
          <w:sz w:val="21"/>
        </w:rPr>
      </w:pPr>
    </w:p>
    <w:tbl>
      <w:tblPr>
        <w:tblW w:w="0" w:type="auto"/>
        <w:jc w:val="left"/>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4"/>
        <w:gridCol w:w="1274"/>
        <w:gridCol w:w="1272"/>
        <w:gridCol w:w="1277"/>
        <w:gridCol w:w="1275"/>
        <w:gridCol w:w="1275"/>
        <w:gridCol w:w="1275"/>
      </w:tblGrid>
      <w:tr>
        <w:trPr>
          <w:trHeight w:val="532" w:hRule="atLeast"/>
        </w:trPr>
        <w:tc>
          <w:tcPr>
            <w:tcW w:w="8922" w:type="dxa"/>
            <w:gridSpan w:val="7"/>
            <w:tcBorders>
              <w:bottom w:val="double" w:sz="1" w:space="0" w:color="000000"/>
            </w:tcBorders>
          </w:tcPr>
          <w:p>
            <w:pPr>
              <w:pStyle w:val="TableParagraph"/>
              <w:spacing w:line="207" w:lineRule="exact" w:before="59"/>
              <w:ind w:left="829" w:right="822"/>
              <w:jc w:val="center"/>
              <w:rPr>
                <w:b/>
                <w:sz w:val="18"/>
              </w:rPr>
            </w:pPr>
            <w:r>
              <w:rPr>
                <w:b/>
                <w:sz w:val="18"/>
              </w:rPr>
              <w:t>T</w:t>
            </w:r>
            <w:r>
              <w:rPr>
                <w:b/>
                <w:sz w:val="14"/>
              </w:rPr>
              <w:t>ABLE  </w:t>
            </w:r>
            <w:r>
              <w:rPr>
                <w:b/>
                <w:sz w:val="18"/>
              </w:rPr>
              <w:t>5.4.3</w:t>
            </w:r>
          </w:p>
          <w:p>
            <w:pPr>
              <w:pStyle w:val="TableParagraph"/>
              <w:spacing w:line="207" w:lineRule="exact"/>
              <w:ind w:left="831" w:right="822"/>
              <w:jc w:val="center"/>
              <w:rPr>
                <w:b/>
                <w:sz w:val="14"/>
              </w:rPr>
            </w:pPr>
            <w:r>
              <w:rPr>
                <w:b/>
                <w:sz w:val="18"/>
              </w:rPr>
              <w:t>S</w:t>
            </w:r>
            <w:r>
              <w:rPr>
                <w:b/>
                <w:sz w:val="14"/>
              </w:rPr>
              <w:t>PREADSHEET FOR THE TIER </w:t>
            </w:r>
            <w:r>
              <w:rPr>
                <w:b/>
                <w:sz w:val="18"/>
              </w:rPr>
              <w:t>1 </w:t>
            </w:r>
            <w:r>
              <w:rPr>
                <w:b/>
                <w:sz w:val="14"/>
              </w:rPr>
              <w:t>ANALYSIS </w:t>
            </w:r>
            <w:r>
              <w:rPr>
                <w:b/>
                <w:sz w:val="18"/>
              </w:rPr>
              <w:t>– T</w:t>
            </w:r>
            <w:r>
              <w:rPr>
                <w:b/>
                <w:sz w:val="14"/>
              </w:rPr>
              <w:t>REND ASSESSMENT INCLUDING </w:t>
            </w:r>
            <w:r>
              <w:rPr>
                <w:b/>
                <w:sz w:val="18"/>
              </w:rPr>
              <w:t>LULUCF </w:t>
            </w:r>
            <w:r>
              <w:rPr>
                <w:b/>
                <w:sz w:val="14"/>
              </w:rPr>
              <w:t>CATEGORIES</w:t>
            </w:r>
          </w:p>
        </w:tc>
      </w:tr>
      <w:tr>
        <w:trPr>
          <w:trHeight w:val="282" w:hRule="atLeast"/>
        </w:trPr>
        <w:tc>
          <w:tcPr>
            <w:tcW w:w="1274" w:type="dxa"/>
            <w:tcBorders>
              <w:top w:val="double" w:sz="1" w:space="0" w:color="000000"/>
            </w:tcBorders>
          </w:tcPr>
          <w:p>
            <w:pPr>
              <w:pStyle w:val="TableParagraph"/>
              <w:spacing w:before="37"/>
              <w:ind w:left="7"/>
              <w:jc w:val="center"/>
              <w:rPr>
                <w:b/>
                <w:sz w:val="18"/>
              </w:rPr>
            </w:pPr>
            <w:r>
              <w:rPr>
                <w:b/>
                <w:sz w:val="18"/>
              </w:rPr>
              <w:t>A</w:t>
            </w:r>
          </w:p>
        </w:tc>
        <w:tc>
          <w:tcPr>
            <w:tcW w:w="1274" w:type="dxa"/>
            <w:tcBorders>
              <w:top w:val="double" w:sz="1" w:space="0" w:color="000000"/>
            </w:tcBorders>
          </w:tcPr>
          <w:p>
            <w:pPr>
              <w:pStyle w:val="TableParagraph"/>
              <w:spacing w:before="37"/>
              <w:ind w:left="3"/>
              <w:jc w:val="center"/>
              <w:rPr>
                <w:b/>
                <w:sz w:val="18"/>
              </w:rPr>
            </w:pPr>
            <w:r>
              <w:rPr>
                <w:b/>
                <w:sz w:val="18"/>
              </w:rPr>
              <w:t>B</w:t>
            </w:r>
          </w:p>
        </w:tc>
        <w:tc>
          <w:tcPr>
            <w:tcW w:w="1272" w:type="dxa"/>
            <w:tcBorders>
              <w:top w:val="double" w:sz="1" w:space="0" w:color="000000"/>
            </w:tcBorders>
          </w:tcPr>
          <w:p>
            <w:pPr>
              <w:pStyle w:val="TableParagraph"/>
              <w:spacing w:before="37"/>
              <w:ind w:left="11"/>
              <w:jc w:val="center"/>
              <w:rPr>
                <w:b/>
                <w:sz w:val="18"/>
              </w:rPr>
            </w:pPr>
            <w:r>
              <w:rPr>
                <w:b/>
                <w:sz w:val="18"/>
              </w:rPr>
              <w:t>C</w:t>
            </w:r>
          </w:p>
        </w:tc>
        <w:tc>
          <w:tcPr>
            <w:tcW w:w="1277" w:type="dxa"/>
            <w:tcBorders>
              <w:top w:val="double" w:sz="1" w:space="0" w:color="000000"/>
            </w:tcBorders>
          </w:tcPr>
          <w:p>
            <w:pPr>
              <w:pStyle w:val="TableParagraph"/>
              <w:spacing w:before="37"/>
              <w:ind w:left="11"/>
              <w:jc w:val="center"/>
              <w:rPr>
                <w:b/>
                <w:sz w:val="18"/>
              </w:rPr>
            </w:pPr>
            <w:r>
              <w:rPr>
                <w:b/>
                <w:sz w:val="18"/>
              </w:rPr>
              <w:t>D</w:t>
            </w:r>
          </w:p>
        </w:tc>
        <w:tc>
          <w:tcPr>
            <w:tcW w:w="1275" w:type="dxa"/>
            <w:tcBorders>
              <w:top w:val="double" w:sz="1" w:space="0" w:color="000000"/>
            </w:tcBorders>
          </w:tcPr>
          <w:p>
            <w:pPr>
              <w:pStyle w:val="TableParagraph"/>
              <w:spacing w:before="37"/>
              <w:ind w:left="8"/>
              <w:jc w:val="center"/>
              <w:rPr>
                <w:b/>
                <w:sz w:val="18"/>
              </w:rPr>
            </w:pPr>
            <w:r>
              <w:rPr>
                <w:b/>
                <w:sz w:val="18"/>
              </w:rPr>
              <w:t>E</w:t>
            </w:r>
          </w:p>
        </w:tc>
        <w:tc>
          <w:tcPr>
            <w:tcW w:w="1275" w:type="dxa"/>
            <w:tcBorders>
              <w:top w:val="double" w:sz="1" w:space="0" w:color="000000"/>
            </w:tcBorders>
          </w:tcPr>
          <w:p>
            <w:pPr>
              <w:pStyle w:val="TableParagraph"/>
              <w:spacing w:before="37"/>
              <w:ind w:left="6"/>
              <w:jc w:val="center"/>
              <w:rPr>
                <w:b/>
                <w:sz w:val="18"/>
              </w:rPr>
            </w:pPr>
            <w:r>
              <w:rPr>
                <w:b/>
                <w:sz w:val="18"/>
              </w:rPr>
              <w:t>F</w:t>
            </w:r>
          </w:p>
        </w:tc>
        <w:tc>
          <w:tcPr>
            <w:tcW w:w="1275" w:type="dxa"/>
            <w:tcBorders>
              <w:top w:val="double" w:sz="1" w:space="0" w:color="000000"/>
            </w:tcBorders>
          </w:tcPr>
          <w:p>
            <w:pPr>
              <w:pStyle w:val="TableParagraph"/>
              <w:spacing w:before="37"/>
              <w:ind w:left="4"/>
              <w:jc w:val="center"/>
              <w:rPr>
                <w:b/>
                <w:sz w:val="18"/>
              </w:rPr>
            </w:pPr>
            <w:r>
              <w:rPr>
                <w:b/>
                <w:sz w:val="18"/>
              </w:rPr>
              <w:t>G</w:t>
            </w:r>
          </w:p>
        </w:tc>
      </w:tr>
      <w:tr>
        <w:trPr>
          <w:trHeight w:val="676" w:hRule="atLeast"/>
        </w:trPr>
        <w:tc>
          <w:tcPr>
            <w:tcW w:w="1274" w:type="dxa"/>
          </w:tcPr>
          <w:p>
            <w:pPr>
              <w:pStyle w:val="TableParagraph"/>
              <w:spacing w:before="28"/>
              <w:ind w:left="57"/>
              <w:rPr>
                <w:b/>
                <w:sz w:val="18"/>
              </w:rPr>
            </w:pPr>
            <w:r>
              <w:rPr>
                <w:b/>
                <w:sz w:val="18"/>
              </w:rPr>
              <w:t>IPCC</w:t>
            </w:r>
          </w:p>
          <w:p>
            <w:pPr>
              <w:pStyle w:val="TableParagraph"/>
              <w:spacing w:before="2"/>
              <w:ind w:left="57" w:right="256"/>
              <w:rPr>
                <w:b/>
                <w:sz w:val="18"/>
              </w:rPr>
            </w:pPr>
            <w:r>
              <w:rPr>
                <w:b/>
                <w:sz w:val="18"/>
              </w:rPr>
              <w:t>Source/Sink Categories</w:t>
            </w:r>
          </w:p>
        </w:tc>
        <w:tc>
          <w:tcPr>
            <w:tcW w:w="1274" w:type="dxa"/>
          </w:tcPr>
          <w:p>
            <w:pPr>
              <w:pStyle w:val="TableParagraph"/>
              <w:spacing w:before="28"/>
              <w:ind w:left="55" w:right="269"/>
              <w:rPr>
                <w:b/>
                <w:sz w:val="18"/>
              </w:rPr>
            </w:pPr>
            <w:r>
              <w:rPr>
                <w:b/>
                <w:sz w:val="18"/>
              </w:rPr>
              <w:t>Direct Greenhouse Gas</w:t>
            </w:r>
          </w:p>
        </w:tc>
        <w:tc>
          <w:tcPr>
            <w:tcW w:w="1272" w:type="dxa"/>
          </w:tcPr>
          <w:p>
            <w:pPr>
              <w:pStyle w:val="TableParagraph"/>
              <w:spacing w:before="28"/>
              <w:ind w:left="55" w:right="402"/>
              <w:rPr>
                <w:b/>
                <w:sz w:val="18"/>
              </w:rPr>
            </w:pPr>
            <w:r>
              <w:rPr>
                <w:b/>
                <w:sz w:val="18"/>
              </w:rPr>
              <w:t>Base Year Estimate</w:t>
            </w:r>
          </w:p>
        </w:tc>
        <w:tc>
          <w:tcPr>
            <w:tcW w:w="1277" w:type="dxa"/>
          </w:tcPr>
          <w:p>
            <w:pPr>
              <w:pStyle w:val="TableParagraph"/>
              <w:spacing w:before="28"/>
              <w:ind w:left="58"/>
              <w:rPr>
                <w:b/>
                <w:sz w:val="18"/>
              </w:rPr>
            </w:pPr>
            <w:r>
              <w:rPr>
                <w:b/>
                <w:sz w:val="18"/>
              </w:rPr>
              <w:t>Current Year Estimate</w:t>
            </w:r>
          </w:p>
        </w:tc>
        <w:tc>
          <w:tcPr>
            <w:tcW w:w="1275" w:type="dxa"/>
          </w:tcPr>
          <w:p>
            <w:pPr>
              <w:pStyle w:val="TableParagraph"/>
              <w:spacing w:before="28"/>
              <w:ind w:left="55" w:right="310"/>
              <w:rPr>
                <w:b/>
                <w:sz w:val="18"/>
              </w:rPr>
            </w:pPr>
            <w:r>
              <w:rPr>
                <w:b/>
                <w:sz w:val="18"/>
              </w:rPr>
              <w:t>Trend Assessment</w:t>
            </w:r>
          </w:p>
        </w:tc>
        <w:tc>
          <w:tcPr>
            <w:tcW w:w="1275" w:type="dxa"/>
          </w:tcPr>
          <w:p>
            <w:pPr>
              <w:pStyle w:val="TableParagraph"/>
              <w:spacing w:before="28"/>
              <w:ind w:left="57"/>
              <w:rPr>
                <w:b/>
                <w:sz w:val="18"/>
              </w:rPr>
            </w:pPr>
            <w:r>
              <w:rPr>
                <w:b/>
                <w:sz w:val="18"/>
              </w:rPr>
              <w:t>%</w:t>
            </w:r>
          </w:p>
          <w:p>
            <w:pPr>
              <w:pStyle w:val="TableParagraph"/>
              <w:spacing w:before="2"/>
              <w:ind w:left="57" w:right="177"/>
              <w:rPr>
                <w:b/>
                <w:sz w:val="18"/>
              </w:rPr>
            </w:pPr>
            <w:r>
              <w:rPr>
                <w:b/>
                <w:sz w:val="18"/>
              </w:rPr>
              <w:t>Contribution to Trend</w:t>
            </w:r>
          </w:p>
        </w:tc>
        <w:tc>
          <w:tcPr>
            <w:tcW w:w="1275" w:type="dxa"/>
          </w:tcPr>
          <w:p>
            <w:pPr>
              <w:pStyle w:val="TableParagraph"/>
              <w:spacing w:before="28"/>
              <w:ind w:left="56" w:right="289"/>
              <w:rPr>
                <w:b/>
                <w:sz w:val="18"/>
              </w:rPr>
            </w:pPr>
            <w:r>
              <w:rPr>
                <w:b/>
                <w:sz w:val="18"/>
              </w:rPr>
              <w:t>Cumulative Total of Column F</w:t>
            </w:r>
          </w:p>
        </w:tc>
      </w:tr>
      <w:tr>
        <w:trPr>
          <w:trHeight w:val="275" w:hRule="atLeast"/>
        </w:trPr>
        <w:tc>
          <w:tcPr>
            <w:tcW w:w="1274" w:type="dxa"/>
          </w:tcPr>
          <w:p>
            <w:pPr>
              <w:pStyle w:val="TableParagraph"/>
              <w:rPr>
                <w:sz w:val="18"/>
              </w:rPr>
            </w:pPr>
          </w:p>
        </w:tc>
        <w:tc>
          <w:tcPr>
            <w:tcW w:w="1274" w:type="dxa"/>
          </w:tcPr>
          <w:p>
            <w:pPr>
              <w:pStyle w:val="TableParagraph"/>
              <w:rPr>
                <w:sz w:val="18"/>
              </w:rPr>
            </w:pPr>
          </w:p>
        </w:tc>
        <w:tc>
          <w:tcPr>
            <w:tcW w:w="1272" w:type="dxa"/>
          </w:tcPr>
          <w:p>
            <w:pPr>
              <w:pStyle w:val="TableParagraph"/>
              <w:rPr>
                <w:sz w:val="18"/>
              </w:rPr>
            </w:pPr>
          </w:p>
        </w:tc>
        <w:tc>
          <w:tcPr>
            <w:tcW w:w="1277"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r>
      <w:tr>
        <w:trPr>
          <w:trHeight w:val="273" w:hRule="atLeast"/>
        </w:trPr>
        <w:tc>
          <w:tcPr>
            <w:tcW w:w="1274" w:type="dxa"/>
          </w:tcPr>
          <w:p>
            <w:pPr>
              <w:pStyle w:val="TableParagraph"/>
              <w:rPr>
                <w:sz w:val="18"/>
              </w:rPr>
            </w:pPr>
          </w:p>
        </w:tc>
        <w:tc>
          <w:tcPr>
            <w:tcW w:w="1274" w:type="dxa"/>
          </w:tcPr>
          <w:p>
            <w:pPr>
              <w:pStyle w:val="TableParagraph"/>
              <w:rPr>
                <w:sz w:val="18"/>
              </w:rPr>
            </w:pPr>
          </w:p>
        </w:tc>
        <w:tc>
          <w:tcPr>
            <w:tcW w:w="1272" w:type="dxa"/>
          </w:tcPr>
          <w:p>
            <w:pPr>
              <w:pStyle w:val="TableParagraph"/>
              <w:rPr>
                <w:sz w:val="18"/>
              </w:rPr>
            </w:pPr>
          </w:p>
        </w:tc>
        <w:tc>
          <w:tcPr>
            <w:tcW w:w="1277"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r>
      <w:tr>
        <w:trPr>
          <w:trHeight w:val="273" w:hRule="atLeast"/>
        </w:trPr>
        <w:tc>
          <w:tcPr>
            <w:tcW w:w="1274" w:type="dxa"/>
          </w:tcPr>
          <w:p>
            <w:pPr>
              <w:pStyle w:val="TableParagraph"/>
              <w:rPr>
                <w:sz w:val="18"/>
              </w:rPr>
            </w:pPr>
          </w:p>
        </w:tc>
        <w:tc>
          <w:tcPr>
            <w:tcW w:w="1274" w:type="dxa"/>
          </w:tcPr>
          <w:p>
            <w:pPr>
              <w:pStyle w:val="TableParagraph"/>
              <w:rPr>
                <w:sz w:val="18"/>
              </w:rPr>
            </w:pPr>
          </w:p>
        </w:tc>
        <w:tc>
          <w:tcPr>
            <w:tcW w:w="1272" w:type="dxa"/>
          </w:tcPr>
          <w:p>
            <w:pPr>
              <w:pStyle w:val="TableParagraph"/>
              <w:rPr>
                <w:sz w:val="18"/>
              </w:rPr>
            </w:pPr>
          </w:p>
        </w:tc>
        <w:tc>
          <w:tcPr>
            <w:tcW w:w="1277"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r>
      <w:tr>
        <w:trPr>
          <w:trHeight w:val="275" w:hRule="atLeast"/>
        </w:trPr>
        <w:tc>
          <w:tcPr>
            <w:tcW w:w="1274" w:type="dxa"/>
          </w:tcPr>
          <w:p>
            <w:pPr>
              <w:pStyle w:val="TableParagraph"/>
              <w:rPr>
                <w:sz w:val="18"/>
              </w:rPr>
            </w:pPr>
          </w:p>
        </w:tc>
        <w:tc>
          <w:tcPr>
            <w:tcW w:w="1274" w:type="dxa"/>
          </w:tcPr>
          <w:p>
            <w:pPr>
              <w:pStyle w:val="TableParagraph"/>
              <w:rPr>
                <w:sz w:val="18"/>
              </w:rPr>
            </w:pPr>
          </w:p>
        </w:tc>
        <w:tc>
          <w:tcPr>
            <w:tcW w:w="1272" w:type="dxa"/>
          </w:tcPr>
          <w:p>
            <w:pPr>
              <w:pStyle w:val="TableParagraph"/>
              <w:rPr>
                <w:sz w:val="18"/>
              </w:rPr>
            </w:pPr>
          </w:p>
        </w:tc>
        <w:tc>
          <w:tcPr>
            <w:tcW w:w="1277"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r>
      <w:tr>
        <w:trPr>
          <w:trHeight w:val="273" w:hRule="atLeast"/>
        </w:trPr>
        <w:tc>
          <w:tcPr>
            <w:tcW w:w="1274" w:type="dxa"/>
          </w:tcPr>
          <w:p>
            <w:pPr>
              <w:pStyle w:val="TableParagraph"/>
              <w:spacing w:before="33"/>
              <w:ind w:left="410" w:right="403"/>
              <w:jc w:val="center"/>
              <w:rPr>
                <w:b/>
                <w:sz w:val="18"/>
              </w:rPr>
            </w:pPr>
            <w:r>
              <w:rPr>
                <w:b/>
                <w:sz w:val="18"/>
              </w:rPr>
              <w:t>Total</w:t>
            </w:r>
          </w:p>
        </w:tc>
        <w:tc>
          <w:tcPr>
            <w:tcW w:w="1274" w:type="dxa"/>
          </w:tcPr>
          <w:p>
            <w:pPr>
              <w:pStyle w:val="TableParagraph"/>
              <w:rPr>
                <w:sz w:val="18"/>
              </w:rPr>
            </w:pPr>
          </w:p>
        </w:tc>
        <w:tc>
          <w:tcPr>
            <w:tcW w:w="1272" w:type="dxa"/>
          </w:tcPr>
          <w:p>
            <w:pPr>
              <w:pStyle w:val="TableParagraph"/>
              <w:rPr>
                <w:sz w:val="18"/>
              </w:rPr>
            </w:pPr>
          </w:p>
        </w:tc>
        <w:tc>
          <w:tcPr>
            <w:tcW w:w="1277"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c>
          <w:tcPr>
            <w:tcW w:w="1275" w:type="dxa"/>
          </w:tcPr>
          <w:p>
            <w:pPr>
              <w:pStyle w:val="TableParagraph"/>
              <w:rPr>
                <w:sz w:val="18"/>
              </w:rPr>
            </w:pPr>
          </w:p>
        </w:tc>
      </w:tr>
    </w:tbl>
    <w:p>
      <w:pPr>
        <w:pStyle w:val="BodyText"/>
      </w:pPr>
    </w:p>
    <w:p>
      <w:pPr>
        <w:pStyle w:val="BodyText"/>
      </w:pPr>
    </w:p>
    <w:p>
      <w:pPr>
        <w:pStyle w:val="BodyText"/>
      </w:pPr>
    </w:p>
    <w:p>
      <w:pPr>
        <w:pStyle w:val="BodyText"/>
        <w:spacing w:before="8"/>
        <w:rPr>
          <w:sz w:val="16"/>
        </w:rPr>
      </w:pPr>
      <w:r>
        <w:rPr/>
        <w:pict>
          <v:line style="position:absolute;mso-position-horizontal-relative:page;mso-position-vertical-relative:paragraph;z-index:28712;mso-wrap-distance-left:0;mso-wrap-distance-right:0" from="70.960999pt,11.822929pt" to="214.960999pt,11.822929pt" stroked="true" strokeweight=".48pt" strokecolor="#000000">
            <v:stroke dashstyle="solid"/>
            <w10:wrap type="topAndBottom"/>
          </v:line>
        </w:pict>
      </w:r>
    </w:p>
    <w:p>
      <w:pPr>
        <w:spacing w:before="153"/>
        <w:ind w:left="337" w:right="1402" w:hanging="159"/>
        <w:jc w:val="both"/>
        <w:rPr>
          <w:sz w:val="18"/>
        </w:rPr>
      </w:pPr>
      <w:r>
        <w:rPr>
          <w:position w:val="8"/>
          <w:sz w:val="12"/>
        </w:rPr>
        <w:t>10 </w:t>
      </w:r>
      <w:r>
        <w:rPr>
          <w:sz w:val="18"/>
        </w:rPr>
        <w:t>Although it is common to look at growth rates in the form of (E</w:t>
      </w:r>
      <w:r>
        <w:rPr>
          <w:sz w:val="18"/>
          <w:vertAlign w:val="subscript"/>
        </w:rPr>
        <w:t>t</w:t>
      </w:r>
      <w:r>
        <w:rPr>
          <w:sz w:val="18"/>
          <w:vertAlign w:val="baseline"/>
        </w:rPr>
        <w:t> – E</w:t>
      </w:r>
      <w:r>
        <w:rPr>
          <w:sz w:val="18"/>
          <w:vertAlign w:val="subscript"/>
        </w:rPr>
        <w:t>0</w:t>
      </w:r>
      <w:r>
        <w:rPr>
          <w:sz w:val="18"/>
          <w:vertAlign w:val="baseline"/>
        </w:rPr>
        <w:t>) / E</w:t>
      </w:r>
      <w:r>
        <w:rPr>
          <w:sz w:val="18"/>
          <w:vertAlign w:val="subscript"/>
        </w:rPr>
        <w:t>0</w:t>
      </w:r>
      <w:r>
        <w:rPr>
          <w:sz w:val="18"/>
          <w:vertAlign w:val="baseline"/>
        </w:rPr>
        <w:t>, where the growth rate is measured from an initial value in year 0, the functional form of Equation 7.2 in Chapter 7 of </w:t>
      </w:r>
      <w:r>
        <w:rPr>
          <w:i/>
          <w:sz w:val="18"/>
          <w:vertAlign w:val="baseline"/>
        </w:rPr>
        <w:t>GPG2000 </w:t>
      </w:r>
      <w:r>
        <w:rPr>
          <w:sz w:val="18"/>
          <w:vertAlign w:val="baseline"/>
        </w:rPr>
        <w:t>has been designed to minimise occurrences of division by zero and to enable analysis of the importance of source categories with very low emissions in the base year (e.g., substitutes for ozone depleting</w:t>
      </w:r>
      <w:r>
        <w:rPr>
          <w:spacing w:val="-7"/>
          <w:sz w:val="18"/>
          <w:vertAlign w:val="baseline"/>
        </w:rPr>
        <w:t> </w:t>
      </w:r>
      <w:r>
        <w:rPr>
          <w:sz w:val="18"/>
          <w:vertAlign w:val="baseline"/>
        </w:rPr>
        <w:t>substances).</w:t>
      </w:r>
    </w:p>
    <w:p>
      <w:pPr>
        <w:spacing w:before="94"/>
        <w:ind w:left="337" w:right="1407" w:hanging="159"/>
        <w:jc w:val="both"/>
        <w:rPr>
          <w:sz w:val="18"/>
        </w:rPr>
      </w:pPr>
      <w:r>
        <w:rPr>
          <w:position w:val="8"/>
          <w:sz w:val="12"/>
        </w:rPr>
        <w:t>11 </w:t>
      </w:r>
      <w:r>
        <w:rPr>
          <w:sz w:val="18"/>
        </w:rPr>
        <w:t>Although this equation was not shown in </w:t>
      </w:r>
      <w:r>
        <w:rPr>
          <w:i/>
          <w:sz w:val="18"/>
        </w:rPr>
        <w:t>GPG2000</w:t>
      </w:r>
      <w:r>
        <w:rPr>
          <w:sz w:val="18"/>
        </w:rPr>
        <w:t>, it is also generally applicable to non- LULUCF categories as it has been derived from Equation 5.4.2.</w:t>
      </w:r>
    </w:p>
    <w:p>
      <w:pPr>
        <w:spacing w:before="97"/>
        <w:ind w:left="179" w:right="0" w:firstLine="0"/>
        <w:jc w:val="left"/>
        <w:rPr>
          <w:sz w:val="18"/>
        </w:rPr>
      </w:pPr>
      <w:r>
        <w:rPr>
          <w:position w:val="8"/>
          <w:sz w:val="12"/>
        </w:rPr>
        <w:t>12 </w:t>
      </w:r>
      <w:r>
        <w:rPr>
          <w:sz w:val="18"/>
        </w:rPr>
        <w:t>This results applies when E</w:t>
      </w:r>
      <w:r>
        <w:rPr>
          <w:sz w:val="18"/>
          <w:vertAlign w:val="subscript"/>
        </w:rPr>
        <w:t>x,t</w:t>
      </w:r>
      <w:r>
        <w:rPr>
          <w:sz w:val="18"/>
          <w:vertAlign w:val="baseline"/>
        </w:rPr>
        <w:t>=0 is inserted into Equation 5.4.2.</w:t>
      </w:r>
    </w:p>
    <w:p>
      <w:pPr>
        <w:spacing w:after="0"/>
        <w:jc w:val="left"/>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jc w:val="both"/>
      </w:pPr>
      <w:r>
        <w:rPr/>
        <w:t>Where:</w:t>
      </w:r>
    </w:p>
    <w:p>
      <w:pPr>
        <w:pStyle w:val="BodyText"/>
        <w:spacing w:line="364" w:lineRule="auto" w:before="121"/>
        <w:ind w:left="745" w:right="5085"/>
      </w:pPr>
      <w:r>
        <w:rPr/>
        <w:t>Column A : list of IPCC categories (see Table 5.4.1) Column B : direct greenhouse gas</w:t>
      </w:r>
    </w:p>
    <w:p>
      <w:pPr>
        <w:pStyle w:val="BodyText"/>
        <w:spacing w:line="229" w:lineRule="exact" w:before="1"/>
        <w:ind w:left="745"/>
      </w:pPr>
      <w:r>
        <w:rPr/>
        <w:t>Column C : base year estimate of emissions or removals from the national inventory data,</w:t>
      </w:r>
    </w:p>
    <w:p>
      <w:pPr>
        <w:pStyle w:val="BodyText"/>
        <w:spacing w:line="229" w:lineRule="exact"/>
        <w:ind w:left="1808"/>
      </w:pPr>
      <w:r>
        <w:rPr/>
        <w:t>in CO</w:t>
      </w:r>
      <w:r>
        <w:rPr>
          <w:vertAlign w:val="subscript"/>
        </w:rPr>
        <w:t>2</w:t>
      </w:r>
      <w:r>
        <w:rPr>
          <w:vertAlign w:val="baseline"/>
        </w:rPr>
        <w:t>- equivalent units. Sinks are entered with signed values (positive or negative values).</w:t>
      </w:r>
    </w:p>
    <w:p>
      <w:pPr>
        <w:pStyle w:val="BodyText"/>
        <w:spacing w:before="121"/>
        <w:ind w:left="1808" w:right="2657" w:hanging="1064"/>
      </w:pPr>
      <w:r>
        <w:rPr/>
        <w:t>Column D : current year emissions estimate from the most recent national inventory data, in CO</w:t>
      </w:r>
      <w:r>
        <w:rPr>
          <w:vertAlign w:val="subscript"/>
        </w:rPr>
        <w:t>2</w:t>
      </w:r>
      <w:r>
        <w:rPr>
          <w:vertAlign w:val="baseline"/>
        </w:rPr>
        <w:t>- equivalent units. Sinks are entered with signed values</w:t>
      </w:r>
    </w:p>
    <w:p>
      <w:pPr>
        <w:pStyle w:val="BodyText"/>
        <w:spacing w:line="362" w:lineRule="auto" w:before="120"/>
        <w:ind w:left="745" w:right="2969"/>
      </w:pPr>
      <w:r>
        <w:rPr/>
        <w:t>Column E : trend assessment from Equation 5.4.2, recorded as an absolute value Column F : percentage contribution to the total of assessments in column E</w:t>
      </w:r>
    </w:p>
    <w:p>
      <w:pPr>
        <w:pStyle w:val="BodyText"/>
        <w:spacing w:before="4"/>
        <w:ind w:left="1808" w:right="1407" w:hanging="1064"/>
      </w:pPr>
      <w:r>
        <w:rPr/>
        <w:t>Column G : cumulative total of Column F, calculated after sorting the entries in Column F in descending order of magnitude</w:t>
      </w:r>
    </w:p>
    <w:p>
      <w:pPr>
        <w:pStyle w:val="BodyText"/>
        <w:spacing w:before="121"/>
        <w:ind w:left="179" w:right="1405" w:hanging="1"/>
        <w:jc w:val="both"/>
      </w:pPr>
      <w:r>
        <w:rPr/>
        <w:t>The LULUCF categories identified in this analysis should be considered key </w:t>
      </w:r>
      <w:r>
        <w:rPr>
          <w:i/>
        </w:rPr>
        <w:t>in addition </w:t>
      </w:r>
      <w:r>
        <w:rPr/>
        <w:t>to those identified in the analysis that does not include LULUCF emissions and removals. If additional non- LULUCF categories are identified as key when LULUCF is included in the analysis, these should not be initially considered key, but should be carefully examined using the qualitative considerations.</w:t>
      </w:r>
    </w:p>
    <w:p>
      <w:pPr>
        <w:pStyle w:val="BodyText"/>
        <w:spacing w:before="119"/>
        <w:ind w:left="179" w:right="1404"/>
        <w:jc w:val="both"/>
      </w:pPr>
      <w:r>
        <w:rPr/>
        <w:t>The entries in Columns A, B and either C or D should be identical to those used in the Table 5.4.2, Spreadsheet for the Tier 1 Analysis - Level Assessment. The base year estimate in Column C is always entered in the spreadsheet, while the current year estimate in Column D will depend on the year of analysis. The absolute value of T</w:t>
      </w:r>
      <w:r>
        <w:rPr>
          <w:vertAlign w:val="subscript"/>
        </w:rPr>
        <w:t>x,t</w:t>
      </w:r>
      <w:r>
        <w:rPr>
          <w:vertAlign w:val="baseline"/>
        </w:rPr>
        <w:t> should be entered in Column E for each category of sources and sinks, following Equation 5.4.2, and the sum of all the entries entered in the total line of the table.</w:t>
      </w:r>
      <w:r>
        <w:rPr>
          <w:vertAlign w:val="superscript"/>
        </w:rPr>
        <w:t>13</w:t>
      </w:r>
      <w:r>
        <w:rPr>
          <w:vertAlign w:val="baseline"/>
        </w:rPr>
        <w:t> The percentage contribution of each category to the total of Column E should be computed and entered in Column F. The categories (i.e., the rows of the table) should be sorted in descending order of magnitude, based on Column F. The cumulative total of Column F should then be computed in Column G. Key categories are those that, when summed together in descending order of magnitude, add up to more than 95 % of the total of Column E. An example of a Tier 1 analysis for the level and trend is given in Section</w:t>
      </w:r>
      <w:r>
        <w:rPr>
          <w:spacing w:val="-2"/>
          <w:vertAlign w:val="baseline"/>
        </w:rPr>
        <w:t> </w:t>
      </w:r>
      <w:r>
        <w:rPr>
          <w:vertAlign w:val="baseline"/>
        </w:rPr>
        <w:t>5.4.8.</w:t>
      </w:r>
    </w:p>
    <w:p>
      <w:pPr>
        <w:pStyle w:val="BodyText"/>
        <w:rPr>
          <w:sz w:val="22"/>
        </w:rPr>
      </w:pPr>
    </w:p>
    <w:p>
      <w:pPr>
        <w:pStyle w:val="Heading6"/>
        <w:numPr>
          <w:ilvl w:val="3"/>
          <w:numId w:val="178"/>
        </w:numPr>
        <w:tabs>
          <w:tab w:pos="1619" w:val="left" w:leader="none"/>
          <w:tab w:pos="1620" w:val="left" w:leader="none"/>
        </w:tabs>
        <w:spacing w:line="283" w:lineRule="auto" w:before="143" w:after="0"/>
        <w:ind w:left="1626" w:right="2434" w:hanging="1447"/>
        <w:jc w:val="left"/>
      </w:pPr>
      <w:bookmarkStart w:name="_TOC_250030" w:id="25"/>
      <w:r>
        <w:rPr>
          <w:spacing w:val="14"/>
          <w:sz w:val="28"/>
        </w:rPr>
        <w:t>T</w:t>
      </w:r>
      <w:r>
        <w:rPr>
          <w:spacing w:val="14"/>
        </w:rPr>
        <w:t>IER </w:t>
      </w:r>
      <w:r>
        <w:rPr>
          <w:sz w:val="28"/>
        </w:rPr>
        <w:t>2 </w:t>
      </w:r>
      <w:r>
        <w:rPr>
          <w:spacing w:val="16"/>
        </w:rPr>
        <w:t>METHOD </w:t>
      </w:r>
      <w:r>
        <w:rPr>
          <w:spacing w:val="10"/>
        </w:rPr>
        <w:t>TO </w:t>
      </w:r>
      <w:r>
        <w:rPr>
          <w:spacing w:val="16"/>
        </w:rPr>
        <w:t>IDENTIFY </w:t>
      </w:r>
      <w:r>
        <w:rPr>
          <w:spacing w:val="12"/>
        </w:rPr>
        <w:t>KEY </w:t>
      </w:r>
      <w:r>
        <w:rPr>
          <w:spacing w:val="16"/>
        </w:rPr>
        <w:t>CATEGORIES </w:t>
      </w:r>
      <w:r>
        <w:rPr>
          <w:spacing w:val="10"/>
        </w:rPr>
        <w:t>OF </w:t>
      </w:r>
      <w:r>
        <w:rPr>
          <w:spacing w:val="16"/>
        </w:rPr>
        <w:t>SOURCES </w:t>
      </w:r>
      <w:r>
        <w:rPr>
          <w:spacing w:val="12"/>
        </w:rPr>
        <w:t>AND</w:t>
      </w:r>
      <w:r>
        <w:rPr>
          <w:spacing w:val="-7"/>
        </w:rPr>
        <w:t> </w:t>
      </w:r>
      <w:bookmarkEnd w:id="25"/>
      <w:r>
        <w:rPr>
          <w:spacing w:val="15"/>
        </w:rPr>
        <w:t>SINKS</w:t>
      </w:r>
    </w:p>
    <w:p>
      <w:pPr>
        <w:pStyle w:val="BodyText"/>
        <w:spacing w:before="176"/>
        <w:ind w:left="179" w:right="1401"/>
        <w:jc w:val="both"/>
      </w:pPr>
      <w:r>
        <w:rPr/>
        <w:t>The more sophisticated Tier 2 approach to identify key categories of sources and sinks is based on the results of the uncertainty analysis described in Section 5.2 (Identifying and Quantifying Uncertainties) in this report, and in </w:t>
      </w:r>
      <w:r>
        <w:rPr>
          <w:i/>
        </w:rPr>
        <w:t>GPG2000</w:t>
      </w:r>
      <w:r>
        <w:rPr/>
        <w:t>, Chapter 6 (Quantifying Uncertainties in Practice). The Tier 2 approach is consistent with, but not required for, </w:t>
      </w:r>
      <w:r>
        <w:rPr>
          <w:i/>
        </w:rPr>
        <w:t>good practice</w:t>
      </w:r>
      <w:r>
        <w:rPr/>
        <w:t>. Inventory agencies are encouraged to use Tier 2 if possible, because it will provide additional insight into the reasons that particular categories are key and can assist in prioritising activities to improve inventory quality and reduce overall uncertainty. It should be recognized that because the Tier 1 is a simplified approach, the Tier 1 and Tier 2 approaches could result in a few differences in key categories. In such situations, the results of the Tier 2 approach should be utilized.</w:t>
      </w:r>
    </w:p>
    <w:p>
      <w:pPr>
        <w:pStyle w:val="BodyText"/>
        <w:spacing w:before="118"/>
        <w:ind w:left="179" w:right="1402"/>
        <w:jc w:val="both"/>
      </w:pPr>
      <w:r>
        <w:rPr/>
        <w:t>In particular, it is important to bear in mind that a LULUCF category can comprise large fluxes, and emissions and removals may cancel out. In a Tier 2 analysis it may be possible to make the assessment at the level of even more detailed sub- estimates. In this case correlations need to be evaluated and modeled when appropriate. When the analysis is based on Tier 1, these cases should be evaluated using the qualitative criteria as described in Section 5.4.3.</w:t>
      </w:r>
    </w:p>
    <w:p>
      <w:pPr>
        <w:pStyle w:val="BodyText"/>
        <w:spacing w:before="4"/>
        <w:rPr>
          <w:sz w:val="21"/>
        </w:rPr>
      </w:pPr>
    </w:p>
    <w:p>
      <w:pPr>
        <w:pStyle w:val="Heading6"/>
        <w:ind w:left="179" w:right="2735"/>
      </w:pPr>
      <w:r>
        <w:rPr/>
        <w:t>APPLICATION OF UNCERTAINTY ESTIMATES TO IDENTIFY KEY SOURCES AND SINKS CATEGORIES</w:t>
      </w:r>
    </w:p>
    <w:p>
      <w:pPr>
        <w:pStyle w:val="BodyText"/>
        <w:spacing w:before="115"/>
        <w:ind w:left="179" w:right="1404"/>
        <w:jc w:val="both"/>
      </w:pPr>
      <w:r>
        <w:rPr/>
        <w:t>The </w:t>
      </w:r>
      <w:r>
        <w:rPr>
          <w:i/>
        </w:rPr>
        <w:t>key category </w:t>
      </w:r>
      <w:r>
        <w:rPr/>
        <w:t>analysis may be enhanced by incorporating the national category uncertainty estimates developed in Section 5.2. Uncertainty estimates based on the Tier 1 approach described in Section 5.2 are sufficient for the purpose, but estimates based on the Tier 2 uncertainty assessment approach should be used if</w:t>
      </w:r>
    </w:p>
    <w:p>
      <w:pPr>
        <w:pStyle w:val="BodyText"/>
        <w:spacing w:before="8"/>
        <w:rPr>
          <w:sz w:val="21"/>
        </w:rPr>
      </w:pPr>
      <w:r>
        <w:rPr/>
        <w:pict>
          <v:line style="position:absolute;mso-position-horizontal-relative:page;mso-position-vertical-relative:paragraph;z-index:28760;mso-wrap-distance-left:0;mso-wrap-distance-right:0" from="70.960999pt,14.695339pt" to="214.960999pt,14.695339pt" stroked="true" strokeweight=".48pt" strokecolor="#000000">
            <v:stroke dashstyle="solid"/>
            <w10:wrap type="topAndBottom"/>
          </v:line>
        </w:pict>
      </w:r>
    </w:p>
    <w:p>
      <w:pPr>
        <w:spacing w:before="153"/>
        <w:ind w:left="337" w:right="1403" w:hanging="159"/>
        <w:jc w:val="both"/>
        <w:rPr>
          <w:sz w:val="18"/>
        </w:rPr>
      </w:pPr>
      <w:r>
        <w:rPr>
          <w:position w:val="8"/>
          <w:sz w:val="12"/>
        </w:rPr>
        <w:t>13 </w:t>
      </w:r>
      <w:r>
        <w:rPr>
          <w:sz w:val="18"/>
        </w:rPr>
        <w:t>Unlike the Level Assessment, where all entries will be positive, in the Trend Assessment negative values will occur if emissions of the source category decline by more in percentage terms than emissions in the overall inventory, or grow by a smaller amount. In this analysis the negative and positive values are considered equivalent, and the absolute values of these are recorded in the table.</w:t>
      </w:r>
    </w:p>
    <w:p>
      <w:pPr>
        <w:spacing w:after="0"/>
        <w:jc w:val="both"/>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597"/>
      </w:pPr>
      <w:r>
        <w:rPr/>
        <w:t>available. The category uncertainties are incorporated by weighting the Tier 1 Level and Trend Assessment results by the category’s relative uncertainty. The key category equations are shown below.</w:t>
      </w:r>
    </w:p>
    <w:p>
      <w:pPr>
        <w:pStyle w:val="BodyText"/>
        <w:spacing w:before="5"/>
        <w:rPr>
          <w:sz w:val="21"/>
        </w:rPr>
      </w:pPr>
    </w:p>
    <w:p>
      <w:pPr>
        <w:pStyle w:val="Heading6"/>
        <w:ind w:left="179"/>
      </w:pPr>
      <w:r>
        <w:rPr/>
        <w:t>LEVEL ASSESSMENT</w:t>
      </w:r>
    </w:p>
    <w:p>
      <w:pPr>
        <w:pStyle w:val="BodyText"/>
        <w:spacing w:before="113"/>
        <w:ind w:left="179" w:right="1351"/>
      </w:pPr>
      <w:r>
        <w:rPr/>
        <w:t>Equation 5.4.4 describes the Tier 2 Level Assessment including uncertainty. The results of this assessment (LU</w:t>
      </w:r>
      <w:r>
        <w:rPr>
          <w:vertAlign w:val="subscript"/>
        </w:rPr>
        <w:t>x,t</w:t>
      </w:r>
      <w:r>
        <w:rPr>
          <w:vertAlign w:val="baseline"/>
        </w:rPr>
        <w:t>) is identical to the results of quantifying uncertainties in practice, as shown in Column H of Table 6.1 of Chapter  6 of </w:t>
      </w:r>
      <w:r>
        <w:rPr>
          <w:i/>
          <w:vertAlign w:val="baseline"/>
        </w:rPr>
        <w:t>GPG2000</w:t>
      </w:r>
      <w:r>
        <w:rPr>
          <w:vertAlign w:val="baseline"/>
        </w:rPr>
        <w:t>. So if that table has been completed, it is not necessary to recalculate Equation</w:t>
      </w:r>
      <w:r>
        <w:rPr>
          <w:spacing w:val="-18"/>
          <w:vertAlign w:val="baseline"/>
        </w:rPr>
        <w:t> </w:t>
      </w:r>
      <w:r>
        <w:rPr>
          <w:vertAlign w:val="baseline"/>
        </w:rPr>
        <w:t>5.4.4.</w:t>
      </w:r>
    </w:p>
    <w:p>
      <w:pPr>
        <w:pStyle w:val="BodyText"/>
        <w:spacing w:before="1"/>
        <w:rPr>
          <w:sz w:val="11"/>
        </w:rPr>
      </w:pPr>
      <w:r>
        <w:rPr/>
        <w:pict>
          <v:shape style="position:absolute;margin-left:91.960999pt;margin-top:9.078838pt;width:411.5pt;height:65.55pt;mso-position-horizontal-relative:page;mso-position-vertical-relative:paragraph;z-index:28784;mso-wrap-distance-left:0;mso-wrap-distance-right:0" type="#_x0000_t202" filled="false" stroked="true" strokeweight="1.44pt" strokecolor="#000000">
            <v:textbox inset="0,0,0,0">
              <w:txbxContent>
                <w:p>
                  <w:pPr>
                    <w:spacing w:before="99"/>
                    <w:ind w:left="2899" w:right="2883" w:firstLine="530"/>
                    <w:jc w:val="left"/>
                    <w:rPr>
                      <w:b/>
                      <w:sz w:val="20"/>
                    </w:rPr>
                  </w:pPr>
                  <w:r>
                    <w:rPr>
                      <w:b/>
                      <w:sz w:val="20"/>
                    </w:rPr>
                    <w:t>E</w:t>
                  </w:r>
                  <w:r>
                    <w:rPr>
                      <w:b/>
                      <w:sz w:val="16"/>
                    </w:rPr>
                    <w:t>QUATION </w:t>
                  </w:r>
                  <w:r>
                    <w:rPr>
                      <w:b/>
                      <w:sz w:val="20"/>
                    </w:rPr>
                    <w:t>5.4.4 L</w:t>
                  </w:r>
                  <w:r>
                    <w:rPr>
                      <w:b/>
                      <w:sz w:val="16"/>
                    </w:rPr>
                    <w:t>EVEL ASSESSMENT </w:t>
                  </w:r>
                  <w:r>
                    <w:rPr>
                      <w:b/>
                      <w:sz w:val="20"/>
                    </w:rPr>
                    <w:t>(T</w:t>
                  </w:r>
                  <w:r>
                    <w:rPr>
                      <w:b/>
                      <w:sz w:val="16"/>
                    </w:rPr>
                    <w:t>IER </w:t>
                  </w:r>
                  <w:r>
                    <w:rPr>
                      <w:b/>
                      <w:sz w:val="20"/>
                    </w:rPr>
                    <w:t>2)</w:t>
                  </w:r>
                </w:p>
                <w:p>
                  <w:pPr>
                    <w:pStyle w:val="BodyText"/>
                    <w:spacing w:line="328" w:lineRule="auto" w:before="75"/>
                    <w:ind w:left="3417" w:right="227" w:hanging="3173"/>
                    <w:rPr>
                      <w:sz w:val="13"/>
                    </w:rPr>
                  </w:pPr>
                  <w:r>
                    <w:rPr/>
                    <w:t>Level Assessment with Uncertainty = Tier 1 Level Assessment ● Relative Category Uncertainty </w:t>
                  </w:r>
                  <w:r>
                    <w:rPr>
                      <w:position w:val="3"/>
                    </w:rPr>
                    <w:t>LU</w:t>
                  </w:r>
                  <w:r>
                    <w:rPr>
                      <w:sz w:val="13"/>
                    </w:rPr>
                    <w:t>x,t </w:t>
                  </w:r>
                  <w:r>
                    <w:rPr>
                      <w:position w:val="3"/>
                    </w:rPr>
                    <w:t>= L</w:t>
                  </w:r>
                  <w:r>
                    <w:rPr>
                      <w:sz w:val="13"/>
                    </w:rPr>
                    <w:t>x,t </w:t>
                  </w:r>
                  <w:r>
                    <w:rPr>
                      <w:position w:val="3"/>
                    </w:rPr>
                    <w:t>● U</w:t>
                  </w:r>
                  <w:r>
                    <w:rPr>
                      <w:sz w:val="13"/>
                    </w:rPr>
                    <w:t>x,t</w:t>
                  </w:r>
                </w:p>
              </w:txbxContent>
            </v:textbox>
            <v:stroke dashstyle="solid"/>
            <w10:wrap type="topAndBottom"/>
          </v:shape>
        </w:pict>
      </w:r>
    </w:p>
    <w:p>
      <w:pPr>
        <w:pStyle w:val="BodyText"/>
        <w:spacing w:before="124"/>
        <w:ind w:left="179"/>
      </w:pPr>
      <w:r>
        <w:rPr/>
        <w:t>Where:</w:t>
      </w:r>
    </w:p>
    <w:p>
      <w:pPr>
        <w:pStyle w:val="BodyText"/>
        <w:tabs>
          <w:tab w:pos="1266" w:val="left" w:leader="none"/>
          <w:tab w:pos="1626" w:val="left" w:leader="none"/>
        </w:tabs>
        <w:spacing w:line="362" w:lineRule="auto" w:before="121"/>
        <w:ind w:left="745" w:right="6281" w:hanging="1"/>
      </w:pPr>
      <w:r>
        <w:rPr/>
        <w:t>LU</w:t>
      </w:r>
      <w:r>
        <w:rPr>
          <w:vertAlign w:val="subscript"/>
        </w:rPr>
        <w:t>x,t</w:t>
      </w:r>
      <w:r>
        <w:rPr>
          <w:vertAlign w:val="baseline"/>
        </w:rPr>
        <w:t> </w:t>
      </w:r>
      <w:r>
        <w:rPr>
          <w:spacing w:val="20"/>
          <w:vertAlign w:val="baseline"/>
        </w:rPr>
        <w:t> </w:t>
      </w:r>
      <w:r>
        <w:rPr>
          <w:vertAlign w:val="baseline"/>
        </w:rPr>
        <w:t>=</w:t>
        <w:tab/>
        <w:t>Level assessment with uncertainty L</w:t>
      </w:r>
      <w:r>
        <w:rPr>
          <w:vertAlign w:val="subscript"/>
        </w:rPr>
        <w:t>x,t</w:t>
      </w:r>
      <w:r>
        <w:rPr>
          <w:vertAlign w:val="baseline"/>
        </w:rPr>
        <w:tab/>
        <w:t>=</w:t>
        <w:tab/>
        <w:t>computed as in Equation</w:t>
      </w:r>
      <w:r>
        <w:rPr>
          <w:spacing w:val="-6"/>
          <w:vertAlign w:val="baseline"/>
        </w:rPr>
        <w:t> </w:t>
      </w:r>
      <w:r>
        <w:rPr>
          <w:vertAlign w:val="baseline"/>
        </w:rPr>
        <w:t>5.4.1</w:t>
      </w:r>
    </w:p>
    <w:p>
      <w:pPr>
        <w:pStyle w:val="BodyText"/>
        <w:tabs>
          <w:tab w:pos="1266" w:val="left" w:leader="none"/>
          <w:tab w:pos="1626" w:val="left" w:leader="none"/>
        </w:tabs>
        <w:spacing w:before="3"/>
        <w:ind w:left="1626" w:right="1597" w:hanging="881"/>
      </w:pPr>
      <w:r>
        <w:rPr/>
        <w:t>U</w:t>
      </w:r>
      <w:r>
        <w:rPr>
          <w:vertAlign w:val="subscript"/>
        </w:rPr>
        <w:t>x,t</w:t>
      </w:r>
      <w:r>
        <w:rPr>
          <w:vertAlign w:val="baseline"/>
        </w:rPr>
        <w:tab/>
        <w:t>=</w:t>
        <w:tab/>
        <w:t>relative category uncertainty in year </w:t>
      </w:r>
      <w:r>
        <w:rPr>
          <w:i/>
          <w:vertAlign w:val="baseline"/>
        </w:rPr>
        <w:t>t </w:t>
      </w:r>
      <w:r>
        <w:rPr>
          <w:vertAlign w:val="baseline"/>
        </w:rPr>
        <w:t>calculated as described in Section 5.2. The relative uncertainty will always have a positive sign.</w:t>
      </w:r>
    </w:p>
    <w:p>
      <w:pPr>
        <w:pStyle w:val="BodyText"/>
        <w:spacing w:before="121"/>
        <w:ind w:left="179" w:right="1406"/>
        <w:jc w:val="both"/>
      </w:pPr>
      <w:r>
        <w:rPr/>
        <w:t>The key categories are identified by accounting for those that add up to 90 % of the total value of the total LU</w:t>
      </w:r>
      <w:r>
        <w:rPr>
          <w:vertAlign w:val="subscript"/>
        </w:rPr>
        <w:t>x,t</w:t>
      </w:r>
      <w:r>
        <w:rPr>
          <w:vertAlign w:val="baseline"/>
        </w:rPr>
        <w:t>. This 90 % was the bases for the derivation of the threshold used in the Tier 1 analysis (see Section 5.4.7 and Rypdal and Flugsrud (2001)).</w:t>
      </w:r>
    </w:p>
    <w:p>
      <w:pPr>
        <w:pStyle w:val="BodyText"/>
        <w:spacing w:before="3"/>
        <w:rPr>
          <w:sz w:val="21"/>
        </w:rPr>
      </w:pPr>
    </w:p>
    <w:p>
      <w:pPr>
        <w:pStyle w:val="Heading6"/>
        <w:ind w:left="179"/>
        <w:jc w:val="both"/>
      </w:pPr>
      <w:r>
        <w:rPr/>
        <w:t>TREND ASSESSMENT</w:t>
      </w:r>
    </w:p>
    <w:p>
      <w:pPr>
        <w:pStyle w:val="BodyText"/>
        <w:spacing w:before="114"/>
        <w:ind w:left="179"/>
        <w:jc w:val="both"/>
      </w:pPr>
      <w:r>
        <w:rPr/>
        <w:t>Equation 5.4.5 shows how the Tier 2 Trend Assessment can be expanded to include uncertainty.</w:t>
      </w:r>
    </w:p>
    <w:p>
      <w:pPr>
        <w:pStyle w:val="BodyText"/>
        <w:spacing w:before="1"/>
        <w:rPr>
          <w:sz w:val="11"/>
        </w:rPr>
      </w:pPr>
      <w:r>
        <w:rPr/>
        <w:pict>
          <v:shape style="position:absolute;margin-left:91.960999pt;margin-top:9.116885pt;width:411.5pt;height:65.4pt;mso-position-horizontal-relative:page;mso-position-vertical-relative:paragraph;z-index:28808;mso-wrap-distance-left:0;mso-wrap-distance-right:0" type="#_x0000_t202" filled="false" stroked="true" strokeweight="1.44pt" strokecolor="#000000">
            <v:textbox inset="0,0,0,0">
              <w:txbxContent>
                <w:p>
                  <w:pPr>
                    <w:spacing w:before="99"/>
                    <w:ind w:left="2891" w:right="2874" w:firstLine="537"/>
                    <w:jc w:val="left"/>
                    <w:rPr>
                      <w:b/>
                      <w:sz w:val="20"/>
                    </w:rPr>
                  </w:pPr>
                  <w:r>
                    <w:rPr>
                      <w:b/>
                      <w:sz w:val="20"/>
                    </w:rPr>
                    <w:t>E</w:t>
                  </w:r>
                  <w:r>
                    <w:rPr>
                      <w:b/>
                      <w:sz w:val="16"/>
                    </w:rPr>
                    <w:t>QUATION </w:t>
                  </w:r>
                  <w:r>
                    <w:rPr>
                      <w:b/>
                      <w:sz w:val="20"/>
                    </w:rPr>
                    <w:t>5.4.5 T</w:t>
                  </w:r>
                  <w:r>
                    <w:rPr>
                      <w:b/>
                      <w:sz w:val="16"/>
                    </w:rPr>
                    <w:t>REND ASSESSMENT </w:t>
                  </w:r>
                  <w:r>
                    <w:rPr>
                      <w:b/>
                      <w:sz w:val="20"/>
                    </w:rPr>
                    <w:t>(T</w:t>
                  </w:r>
                  <w:r>
                    <w:rPr>
                      <w:b/>
                      <w:sz w:val="16"/>
                    </w:rPr>
                    <w:t>IER </w:t>
                  </w:r>
                  <w:r>
                    <w:rPr>
                      <w:b/>
                      <w:sz w:val="20"/>
                    </w:rPr>
                    <w:t>2)</w:t>
                  </w:r>
                </w:p>
                <w:p>
                  <w:pPr>
                    <w:pStyle w:val="BodyText"/>
                    <w:spacing w:line="326" w:lineRule="auto" w:before="75"/>
                    <w:ind w:left="3415" w:right="204" w:hanging="3192"/>
                    <w:rPr>
                      <w:sz w:val="13"/>
                    </w:rPr>
                  </w:pPr>
                  <w:r>
                    <w:rPr/>
                    <w:t>Trend Assessment with Uncertainty = Tier 1 Trend Assessment ● Relative Category Uncertainty </w:t>
                  </w:r>
                  <w:r>
                    <w:rPr>
                      <w:position w:val="3"/>
                    </w:rPr>
                    <w:t>TU</w:t>
                  </w:r>
                  <w:r>
                    <w:rPr>
                      <w:sz w:val="13"/>
                    </w:rPr>
                    <w:t>x,t </w:t>
                  </w:r>
                  <w:r>
                    <w:rPr>
                      <w:position w:val="3"/>
                    </w:rPr>
                    <w:t>= T</w:t>
                  </w:r>
                  <w:r>
                    <w:rPr>
                      <w:sz w:val="13"/>
                    </w:rPr>
                    <w:t>x,t </w:t>
                  </w:r>
                  <w:r>
                    <w:rPr>
                      <w:position w:val="3"/>
                    </w:rPr>
                    <w:t>● U</w:t>
                  </w:r>
                  <w:r>
                    <w:rPr>
                      <w:sz w:val="13"/>
                    </w:rPr>
                    <w:t>x,t</w:t>
                  </w:r>
                </w:p>
              </w:txbxContent>
            </v:textbox>
            <v:stroke dashstyle="solid"/>
            <w10:wrap type="topAndBottom"/>
          </v:shape>
        </w:pict>
      </w:r>
    </w:p>
    <w:p>
      <w:pPr>
        <w:pStyle w:val="BodyText"/>
        <w:spacing w:before="124"/>
        <w:ind w:left="179"/>
      </w:pPr>
      <w:r>
        <w:rPr/>
        <w:t>Where:</w:t>
      </w:r>
    </w:p>
    <w:p>
      <w:pPr>
        <w:pStyle w:val="BodyText"/>
        <w:tabs>
          <w:tab w:pos="1626" w:val="left" w:leader="none"/>
        </w:tabs>
        <w:spacing w:before="121"/>
        <w:ind w:left="745"/>
      </w:pPr>
      <w:r>
        <w:rPr/>
        <w:t>TU</w:t>
      </w:r>
      <w:r>
        <w:rPr>
          <w:vertAlign w:val="subscript"/>
        </w:rPr>
        <w:t>x,t</w:t>
      </w:r>
      <w:r>
        <w:rPr>
          <w:vertAlign w:val="baseline"/>
        </w:rPr>
        <w:t> </w:t>
      </w:r>
      <w:r>
        <w:rPr>
          <w:spacing w:val="18"/>
          <w:vertAlign w:val="baseline"/>
        </w:rPr>
        <w:t> </w:t>
      </w:r>
      <w:r>
        <w:rPr>
          <w:vertAlign w:val="baseline"/>
        </w:rPr>
        <w:t>=</w:t>
        <w:tab/>
        <w:t>trend assessment with</w:t>
      </w:r>
      <w:r>
        <w:rPr>
          <w:spacing w:val="2"/>
          <w:vertAlign w:val="baseline"/>
        </w:rPr>
        <w:t> </w:t>
      </w:r>
      <w:r>
        <w:rPr>
          <w:vertAlign w:val="baseline"/>
        </w:rPr>
        <w:t>uncertainty</w:t>
      </w:r>
    </w:p>
    <w:p>
      <w:pPr>
        <w:pStyle w:val="BodyText"/>
        <w:tabs>
          <w:tab w:pos="1266" w:val="left" w:leader="none"/>
          <w:tab w:pos="1626" w:val="left" w:leader="none"/>
        </w:tabs>
        <w:spacing w:before="120"/>
        <w:ind w:left="745"/>
      </w:pPr>
      <w:r>
        <w:rPr/>
        <w:t>T</w:t>
      </w:r>
      <w:r>
        <w:rPr>
          <w:vertAlign w:val="subscript"/>
        </w:rPr>
        <w:t>x,t</w:t>
      </w:r>
      <w:r>
        <w:rPr>
          <w:vertAlign w:val="baseline"/>
        </w:rPr>
        <w:tab/>
        <w:t>=</w:t>
        <w:tab/>
        <w:t>trend assessment computed in Equation</w:t>
      </w:r>
      <w:r>
        <w:rPr>
          <w:spacing w:val="-5"/>
          <w:vertAlign w:val="baseline"/>
        </w:rPr>
        <w:t> </w:t>
      </w:r>
      <w:r>
        <w:rPr>
          <w:vertAlign w:val="baseline"/>
        </w:rPr>
        <w:t>5.4.2</w:t>
      </w:r>
    </w:p>
    <w:p>
      <w:pPr>
        <w:pStyle w:val="BodyText"/>
        <w:tabs>
          <w:tab w:pos="1266" w:val="left" w:leader="none"/>
          <w:tab w:pos="1619" w:val="left" w:leader="none"/>
        </w:tabs>
        <w:spacing w:before="118"/>
        <w:ind w:left="1619" w:right="1597" w:hanging="879"/>
      </w:pPr>
      <w:r>
        <w:rPr/>
        <w:t>U</w:t>
      </w:r>
      <w:r>
        <w:rPr>
          <w:vertAlign w:val="subscript"/>
        </w:rPr>
        <w:t>x,t</w:t>
      </w:r>
      <w:r>
        <w:rPr>
          <w:vertAlign w:val="baseline"/>
        </w:rPr>
        <w:tab/>
        <w:t>=</w:t>
        <w:tab/>
        <w:t>relative category uncertainty in year </w:t>
      </w:r>
      <w:r>
        <w:rPr>
          <w:i/>
          <w:vertAlign w:val="baseline"/>
        </w:rPr>
        <w:t>t </w:t>
      </w:r>
      <w:r>
        <w:rPr>
          <w:vertAlign w:val="baseline"/>
        </w:rPr>
        <w:t>calculated as described in Section 5.2. The relative uncertainty will always have a positive sign.</w:t>
      </w:r>
    </w:p>
    <w:p>
      <w:pPr>
        <w:pStyle w:val="BodyText"/>
        <w:spacing w:before="121"/>
        <w:ind w:left="179" w:right="1403"/>
        <w:jc w:val="both"/>
      </w:pPr>
      <w:r>
        <w:rPr/>
        <w:t>The key categories are identified by accounting for those that add up to 90 % of the total value of the total TU</w:t>
      </w:r>
      <w:r>
        <w:rPr>
          <w:vertAlign w:val="subscript"/>
        </w:rPr>
        <w:t>x,t</w:t>
      </w:r>
      <w:r>
        <w:rPr>
          <w:vertAlign w:val="baseline"/>
        </w:rPr>
        <w:t>. This 90 % was the basis for the derivation of the threshold used in the Tier 1 analysis (see Section 5.4.7 and Rypdal and Flugsrud (2001)).</w:t>
      </w:r>
    </w:p>
    <w:p>
      <w:pPr>
        <w:pStyle w:val="BodyText"/>
        <w:spacing w:before="2"/>
        <w:rPr>
          <w:sz w:val="21"/>
        </w:rPr>
      </w:pPr>
    </w:p>
    <w:p>
      <w:pPr>
        <w:pStyle w:val="Heading6"/>
        <w:spacing w:before="1"/>
        <w:ind w:left="179"/>
      </w:pPr>
      <w:r>
        <w:rPr/>
        <w:t>INCORPORATING MONTE CARLO ANALYSIS</w:t>
      </w:r>
    </w:p>
    <w:p>
      <w:pPr>
        <w:pStyle w:val="BodyText"/>
        <w:spacing w:before="116"/>
        <w:ind w:left="179" w:right="1404"/>
        <w:jc w:val="both"/>
      </w:pPr>
      <w:r>
        <w:rPr/>
        <w:t>In Section 5.2 (Identifying and Quantifying Uncertainties), Monte Carlo analysis is presented as the Tier 2 approach for quantitative uncertainty assessment. Whereas the Tier 1 uncertainty analysis is based on simplified </w:t>
      </w:r>
      <w:r>
        <w:rPr>
          <w:spacing w:val="-3"/>
        </w:rPr>
        <w:t>assumptions </w:t>
      </w:r>
      <w:r>
        <w:rPr/>
        <w:t>to </w:t>
      </w:r>
      <w:r>
        <w:rPr>
          <w:spacing w:val="-3"/>
        </w:rPr>
        <w:t>develop uncertainties for each category, Monte Carlo types </w:t>
      </w:r>
      <w:r>
        <w:rPr/>
        <w:t>of </w:t>
      </w:r>
      <w:r>
        <w:rPr>
          <w:spacing w:val="-3"/>
        </w:rPr>
        <w:t>analyses </w:t>
      </w:r>
      <w:r>
        <w:rPr/>
        <w:t>can </w:t>
      </w:r>
      <w:r>
        <w:rPr>
          <w:spacing w:val="-3"/>
        </w:rPr>
        <w:t>handle large uncertainties, </w:t>
      </w:r>
      <w:r>
        <w:rPr/>
        <w:t>complex </w:t>
      </w:r>
      <w:r>
        <w:rPr>
          <w:spacing w:val="-3"/>
        </w:rPr>
        <w:t>probability </w:t>
      </w:r>
      <w:r>
        <w:rPr/>
        <w:t>density </w:t>
      </w:r>
      <w:r>
        <w:rPr>
          <w:spacing w:val="-3"/>
        </w:rPr>
        <w:t>functions, correlations and </w:t>
      </w:r>
      <w:r>
        <w:rPr/>
        <w:t>complex emission </w:t>
      </w:r>
      <w:r>
        <w:rPr>
          <w:spacing w:val="-3"/>
        </w:rPr>
        <w:t>estimation equations among other things. </w:t>
      </w:r>
      <w:r>
        <w:rPr/>
        <w:t>The output of the Tier 2 </w:t>
      </w:r>
      <w:r>
        <w:rPr>
          <w:spacing w:val="-3"/>
        </w:rPr>
        <w:t>uncertainty analysis </w:t>
      </w:r>
      <w:r>
        <w:rPr/>
        <w:t>can be </w:t>
      </w:r>
      <w:r>
        <w:rPr>
          <w:spacing w:val="-3"/>
        </w:rPr>
        <w:t>used directly </w:t>
      </w:r>
      <w:r>
        <w:rPr/>
        <w:t>in </w:t>
      </w:r>
      <w:r>
        <w:rPr>
          <w:spacing w:val="-3"/>
        </w:rPr>
        <w:t>Equations 5.4.4 </w:t>
      </w:r>
      <w:r>
        <w:rPr/>
        <w:t>and </w:t>
      </w:r>
      <w:r>
        <w:rPr>
          <w:spacing w:val="-3"/>
        </w:rPr>
        <w:t>5.4.5. </w:t>
      </w:r>
      <w:r>
        <w:rPr/>
        <w:t>If </w:t>
      </w:r>
      <w:r>
        <w:rPr>
          <w:spacing w:val="-3"/>
        </w:rPr>
        <w:t>uncertainties </w:t>
      </w:r>
      <w:r>
        <w:rPr/>
        <w:t>are </w:t>
      </w:r>
      <w:r>
        <w:rPr>
          <w:spacing w:val="-3"/>
        </w:rPr>
        <w:t>asymmetrical, </w:t>
      </w:r>
      <w:r>
        <w:rPr/>
        <w:t>the </w:t>
      </w:r>
      <w:r>
        <w:rPr>
          <w:spacing w:val="-3"/>
        </w:rPr>
        <w:t>larger difference between </w:t>
      </w:r>
      <w:r>
        <w:rPr/>
        <w:t>the </w:t>
      </w:r>
      <w:r>
        <w:rPr>
          <w:spacing w:val="-3"/>
        </w:rPr>
        <w:t>mean and </w:t>
      </w:r>
      <w:r>
        <w:rPr/>
        <w:t>the </w:t>
      </w:r>
      <w:r>
        <w:rPr>
          <w:spacing w:val="-3"/>
        </w:rPr>
        <w:t>confidence limit should </w:t>
      </w:r>
      <w:r>
        <w:rPr/>
        <w:t>be</w:t>
      </w:r>
      <w:r>
        <w:rPr>
          <w:spacing w:val="-17"/>
        </w:rPr>
        <w:t> </w:t>
      </w:r>
      <w:r>
        <w:rPr>
          <w:spacing w:val="-4"/>
        </w:rPr>
        <w:t>used.</w:t>
      </w:r>
    </w:p>
    <w:p>
      <w:pPr>
        <w:pStyle w:val="BodyText"/>
        <w:spacing w:before="117"/>
        <w:ind w:left="179" w:right="1403"/>
        <w:jc w:val="both"/>
      </w:pPr>
      <w:r>
        <w:rPr/>
        <w:t>Monte Carlo analysis or other statistical tools can also be used to perform a sensitivity analysis to directly identify the principal factors contributing to the overall uncertainty. Thus, a Monte Carlo or similar analysis can be a valuable tool for a key category analysis. The method can, for example, be used to analyze more disaggregated sources categories (by modelling correlations) and emission factors and activity data separately (to identify key parameters rather than key categories). The analysis of key parameters can be based on Equations</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5"/>
        <w:jc w:val="both"/>
      </w:pPr>
      <w:r>
        <w:rPr/>
        <w:t>5.4.4 and 5.4.5 above, by compiling correlations coefficients between input and output (Morgan and Henrion, 1990) or on other appropriate techniques.</w:t>
      </w:r>
    </w:p>
    <w:p>
      <w:pPr>
        <w:pStyle w:val="BodyText"/>
        <w:rPr>
          <w:sz w:val="22"/>
        </w:rPr>
      </w:pPr>
    </w:p>
    <w:p>
      <w:pPr>
        <w:pStyle w:val="BodyText"/>
        <w:spacing w:before="3"/>
      </w:pPr>
    </w:p>
    <w:p>
      <w:pPr>
        <w:pStyle w:val="Heading2"/>
        <w:numPr>
          <w:ilvl w:val="2"/>
          <w:numId w:val="179"/>
        </w:numPr>
        <w:tabs>
          <w:tab w:pos="1381" w:val="left" w:leader="none"/>
          <w:tab w:pos="1382" w:val="left" w:leader="none"/>
        </w:tabs>
        <w:spacing w:line="240" w:lineRule="auto" w:before="1" w:after="0"/>
        <w:ind w:left="1381" w:right="0" w:hanging="1202"/>
        <w:jc w:val="left"/>
      </w:pPr>
      <w:bookmarkStart w:name="_TOC_250029" w:id="26"/>
      <w:r>
        <w:rPr>
          <w:spacing w:val="8"/>
        </w:rPr>
        <w:t>Qualitative</w:t>
      </w:r>
      <w:r>
        <w:rPr>
          <w:spacing w:val="21"/>
        </w:rPr>
        <w:t> </w:t>
      </w:r>
      <w:bookmarkEnd w:id="26"/>
      <w:r>
        <w:rPr>
          <w:spacing w:val="9"/>
        </w:rPr>
        <w:t>Considerations</w:t>
      </w:r>
    </w:p>
    <w:p>
      <w:pPr>
        <w:pStyle w:val="BodyText"/>
        <w:spacing w:before="113"/>
        <w:ind w:left="179" w:right="1402"/>
        <w:jc w:val="both"/>
      </w:pPr>
      <w:r>
        <w:rPr/>
        <w:t>In some cases, the results of the Tier 1 or Tier 2 analysis of key categories may not identify all categories that should be prioritised in the inventory system. In </w:t>
      </w:r>
      <w:r>
        <w:rPr>
          <w:i/>
        </w:rPr>
        <w:t>GPG2000</w:t>
      </w:r>
      <w:r>
        <w:rPr/>
        <w:t>, a list of qualitative criteria was provided to address specific circumstances that could not be readily reflected in the quantitative assessment. These criteria should be applied to categories not identified in the quantitative analysis, and if additional categories are identified they can be added to the list of key categories.</w:t>
      </w:r>
    </w:p>
    <w:p>
      <w:pPr>
        <w:pStyle w:val="BodyText"/>
        <w:spacing w:before="120"/>
        <w:ind w:left="179" w:right="1409"/>
        <w:jc w:val="both"/>
      </w:pPr>
      <w:r>
        <w:rPr/>
        <w:t>The qualitative considerations identified in Chapter 7 of </w:t>
      </w:r>
      <w:r>
        <w:rPr>
          <w:i/>
        </w:rPr>
        <w:t>GPG2000 </w:t>
      </w:r>
      <w:r>
        <w:rPr/>
        <w:t>have been refined slightly to reflect the LULUCF sector:</w:t>
      </w:r>
    </w:p>
    <w:p>
      <w:pPr>
        <w:pStyle w:val="ListParagraph"/>
        <w:numPr>
          <w:ilvl w:val="0"/>
          <w:numId w:val="117"/>
        </w:numPr>
        <w:tabs>
          <w:tab w:pos="540" w:val="left" w:leader="none"/>
        </w:tabs>
        <w:spacing w:line="223" w:lineRule="auto" w:before="145" w:after="0"/>
        <w:ind w:left="539" w:right="1406" w:hanging="360"/>
        <w:jc w:val="both"/>
        <w:rPr>
          <w:sz w:val="20"/>
        </w:rPr>
      </w:pPr>
      <w:r>
        <w:rPr>
          <w:spacing w:val="-3"/>
          <w:sz w:val="20"/>
        </w:rPr>
        <w:t>Mitigation techniques </w:t>
      </w:r>
      <w:r>
        <w:rPr>
          <w:sz w:val="20"/>
        </w:rPr>
        <w:t>and </w:t>
      </w:r>
      <w:r>
        <w:rPr>
          <w:spacing w:val="-3"/>
          <w:sz w:val="20"/>
        </w:rPr>
        <w:t>technologies: </w:t>
      </w:r>
      <w:r>
        <w:rPr>
          <w:sz w:val="20"/>
        </w:rPr>
        <w:t>If </w:t>
      </w:r>
      <w:r>
        <w:rPr>
          <w:spacing w:val="-3"/>
          <w:sz w:val="20"/>
        </w:rPr>
        <w:t>emissions </w:t>
      </w:r>
      <w:r>
        <w:rPr>
          <w:sz w:val="20"/>
        </w:rPr>
        <w:t>from a category are being </w:t>
      </w:r>
      <w:r>
        <w:rPr>
          <w:spacing w:val="-3"/>
          <w:sz w:val="20"/>
        </w:rPr>
        <w:t>reduced </w:t>
      </w:r>
      <w:r>
        <w:rPr>
          <w:sz w:val="20"/>
        </w:rPr>
        <w:t>or </w:t>
      </w:r>
      <w:r>
        <w:rPr>
          <w:spacing w:val="-3"/>
          <w:sz w:val="20"/>
        </w:rPr>
        <w:t>removals increased through</w:t>
      </w:r>
      <w:r>
        <w:rPr>
          <w:spacing w:val="-5"/>
          <w:sz w:val="20"/>
        </w:rPr>
        <w:t> </w:t>
      </w:r>
      <w:r>
        <w:rPr>
          <w:sz w:val="20"/>
        </w:rPr>
        <w:t>the</w:t>
      </w:r>
      <w:r>
        <w:rPr>
          <w:spacing w:val="-3"/>
          <w:sz w:val="20"/>
        </w:rPr>
        <w:t> </w:t>
      </w:r>
      <w:r>
        <w:rPr>
          <w:spacing w:val="-4"/>
          <w:sz w:val="20"/>
        </w:rPr>
        <w:t>use</w:t>
      </w:r>
      <w:r>
        <w:rPr>
          <w:spacing w:val="-5"/>
          <w:sz w:val="20"/>
        </w:rPr>
        <w:t> </w:t>
      </w:r>
      <w:r>
        <w:rPr>
          <w:sz w:val="20"/>
        </w:rPr>
        <w:t>of</w:t>
      </w:r>
      <w:r>
        <w:rPr>
          <w:spacing w:val="-7"/>
          <w:sz w:val="20"/>
        </w:rPr>
        <w:t> </w:t>
      </w:r>
      <w:r>
        <w:rPr>
          <w:sz w:val="20"/>
        </w:rPr>
        <w:t>climate</w:t>
      </w:r>
      <w:r>
        <w:rPr>
          <w:spacing w:val="-5"/>
          <w:sz w:val="20"/>
        </w:rPr>
        <w:t> </w:t>
      </w:r>
      <w:r>
        <w:rPr>
          <w:spacing w:val="-3"/>
          <w:sz w:val="20"/>
        </w:rPr>
        <w:t>change mitigation</w:t>
      </w:r>
      <w:r>
        <w:rPr>
          <w:spacing w:val="-4"/>
          <w:sz w:val="20"/>
        </w:rPr>
        <w:t> </w:t>
      </w:r>
      <w:r>
        <w:rPr>
          <w:spacing w:val="-3"/>
          <w:sz w:val="20"/>
        </w:rPr>
        <w:t>techniques,</w:t>
      </w:r>
      <w:r>
        <w:rPr>
          <w:spacing w:val="-2"/>
          <w:sz w:val="20"/>
        </w:rPr>
        <w:t> </w:t>
      </w:r>
      <w:r>
        <w:rPr>
          <w:sz w:val="20"/>
        </w:rPr>
        <w:t>it</w:t>
      </w:r>
      <w:r>
        <w:rPr>
          <w:spacing w:val="-5"/>
          <w:sz w:val="20"/>
        </w:rPr>
        <w:t> </w:t>
      </w:r>
      <w:r>
        <w:rPr>
          <w:sz w:val="20"/>
        </w:rPr>
        <w:t>is</w:t>
      </w:r>
      <w:r>
        <w:rPr>
          <w:spacing w:val="-6"/>
          <w:sz w:val="20"/>
        </w:rPr>
        <w:t> </w:t>
      </w:r>
      <w:r>
        <w:rPr>
          <w:i/>
          <w:sz w:val="20"/>
        </w:rPr>
        <w:t>good</w:t>
      </w:r>
      <w:r>
        <w:rPr>
          <w:i/>
          <w:spacing w:val="-4"/>
          <w:sz w:val="20"/>
        </w:rPr>
        <w:t> </w:t>
      </w:r>
      <w:r>
        <w:rPr>
          <w:i/>
          <w:spacing w:val="-3"/>
          <w:sz w:val="20"/>
        </w:rPr>
        <w:t>practice</w:t>
      </w:r>
      <w:r>
        <w:rPr>
          <w:i/>
          <w:spacing w:val="-5"/>
          <w:sz w:val="20"/>
        </w:rPr>
        <w:t> </w:t>
      </w:r>
      <w:r>
        <w:rPr>
          <w:sz w:val="20"/>
        </w:rPr>
        <w:t>to</w:t>
      </w:r>
      <w:r>
        <w:rPr>
          <w:spacing w:val="-4"/>
          <w:sz w:val="20"/>
        </w:rPr>
        <w:t> </w:t>
      </w:r>
      <w:r>
        <w:rPr>
          <w:sz w:val="20"/>
        </w:rPr>
        <w:t>identify</w:t>
      </w:r>
      <w:r>
        <w:rPr>
          <w:spacing w:val="-7"/>
          <w:sz w:val="20"/>
        </w:rPr>
        <w:t> </w:t>
      </w:r>
      <w:r>
        <w:rPr>
          <w:spacing w:val="-3"/>
          <w:sz w:val="20"/>
        </w:rPr>
        <w:t>these</w:t>
      </w:r>
      <w:r>
        <w:rPr>
          <w:spacing w:val="-5"/>
          <w:sz w:val="20"/>
        </w:rPr>
        <w:t> </w:t>
      </w:r>
      <w:r>
        <w:rPr>
          <w:spacing w:val="-3"/>
          <w:sz w:val="20"/>
        </w:rPr>
        <w:t>categories</w:t>
      </w:r>
      <w:r>
        <w:rPr>
          <w:spacing w:val="-4"/>
          <w:sz w:val="20"/>
        </w:rPr>
        <w:t> </w:t>
      </w:r>
      <w:r>
        <w:rPr>
          <w:sz w:val="20"/>
        </w:rPr>
        <w:t>as</w:t>
      </w:r>
      <w:r>
        <w:rPr>
          <w:spacing w:val="-3"/>
          <w:sz w:val="20"/>
        </w:rPr>
        <w:t> key.</w:t>
      </w:r>
    </w:p>
    <w:p>
      <w:pPr>
        <w:pStyle w:val="ListParagraph"/>
        <w:numPr>
          <w:ilvl w:val="0"/>
          <w:numId w:val="117"/>
        </w:numPr>
        <w:tabs>
          <w:tab w:pos="540" w:val="left" w:leader="none"/>
        </w:tabs>
        <w:spacing w:line="235" w:lineRule="auto" w:before="142" w:after="0"/>
        <w:ind w:left="539" w:right="1404" w:hanging="360"/>
        <w:jc w:val="both"/>
        <w:rPr>
          <w:sz w:val="20"/>
        </w:rPr>
      </w:pPr>
      <w:r>
        <w:rPr>
          <w:sz w:val="20"/>
        </w:rPr>
        <w:t>High expected growth of emissions or removals: If the inventory agency expects emissions or removals from a category to grow significantly in the future, they are encouraged to identify that category as key. Some of these categories will be identified by the Trend Assessment or will be identified in the future. Because it is important to implement a higher tier </w:t>
      </w:r>
      <w:r>
        <w:rPr>
          <w:i/>
          <w:sz w:val="20"/>
        </w:rPr>
        <w:t>good practice </w:t>
      </w:r>
      <w:r>
        <w:rPr>
          <w:sz w:val="20"/>
        </w:rPr>
        <w:t>method as soon as possible, however, early identification using qualitative criteria is</w:t>
      </w:r>
      <w:r>
        <w:rPr>
          <w:spacing w:val="-1"/>
          <w:sz w:val="20"/>
        </w:rPr>
        <w:t> </w:t>
      </w:r>
      <w:r>
        <w:rPr>
          <w:sz w:val="20"/>
        </w:rPr>
        <w:t>important.</w:t>
      </w:r>
    </w:p>
    <w:p>
      <w:pPr>
        <w:pStyle w:val="ListParagraph"/>
        <w:numPr>
          <w:ilvl w:val="0"/>
          <w:numId w:val="117"/>
        </w:numPr>
        <w:tabs>
          <w:tab w:pos="540" w:val="left" w:leader="none"/>
        </w:tabs>
        <w:spacing w:line="235" w:lineRule="auto" w:before="141" w:after="0"/>
        <w:ind w:left="539" w:right="1403" w:hanging="360"/>
        <w:jc w:val="both"/>
        <w:rPr>
          <w:sz w:val="20"/>
        </w:rPr>
      </w:pPr>
      <w:r>
        <w:rPr>
          <w:sz w:val="20"/>
        </w:rPr>
        <w:t>High uncertainty: If the inventory agency is not taking uncertainty explicitly into account by using the Tier 2 method to identify key categories, they may want to identify the most uncertain categories as key. This is because the largest reductions in overall inventory uncertainty can be achieved by improving estimates of highly uncertain</w:t>
      </w:r>
      <w:r>
        <w:rPr>
          <w:spacing w:val="-2"/>
          <w:sz w:val="20"/>
        </w:rPr>
        <w:t> </w:t>
      </w:r>
      <w:r>
        <w:rPr>
          <w:sz w:val="20"/>
        </w:rPr>
        <w:t>categories.</w:t>
      </w:r>
    </w:p>
    <w:p>
      <w:pPr>
        <w:pStyle w:val="ListParagraph"/>
        <w:numPr>
          <w:ilvl w:val="0"/>
          <w:numId w:val="117"/>
        </w:numPr>
        <w:tabs>
          <w:tab w:pos="540" w:val="left" w:leader="none"/>
        </w:tabs>
        <w:spacing w:line="235" w:lineRule="auto" w:before="135" w:after="0"/>
        <w:ind w:left="539" w:right="1404" w:hanging="360"/>
        <w:jc w:val="both"/>
        <w:rPr>
          <w:sz w:val="20"/>
        </w:rPr>
      </w:pPr>
      <w:r>
        <w:rPr>
          <w:sz w:val="20"/>
        </w:rPr>
        <w:t>Unexpectedly high or low emissions or removals: When emissions or removals are far higher or lower than would be expected using the methods in the </w:t>
      </w:r>
      <w:r>
        <w:rPr>
          <w:i/>
          <w:sz w:val="20"/>
        </w:rPr>
        <w:t>IPCC Guidelines </w:t>
      </w:r>
      <w:r>
        <w:rPr>
          <w:sz w:val="20"/>
        </w:rPr>
        <w:t>or those described in Chapters 3 and 4 of this report (for example, due to the use of a national emission factor), these categories should be designated as key.</w:t>
      </w:r>
      <w:r>
        <w:rPr>
          <w:spacing w:val="-3"/>
          <w:sz w:val="20"/>
        </w:rPr>
        <w:t> </w:t>
      </w:r>
      <w:r>
        <w:rPr>
          <w:sz w:val="20"/>
        </w:rPr>
        <w:t>Particular</w:t>
      </w:r>
      <w:r>
        <w:rPr>
          <w:spacing w:val="-2"/>
          <w:sz w:val="20"/>
        </w:rPr>
        <w:t> </w:t>
      </w:r>
      <w:r>
        <w:rPr>
          <w:sz w:val="20"/>
        </w:rPr>
        <w:t>attention</w:t>
      </w:r>
      <w:r>
        <w:rPr>
          <w:spacing w:val="-5"/>
          <w:sz w:val="20"/>
        </w:rPr>
        <w:t> </w:t>
      </w:r>
      <w:r>
        <w:rPr>
          <w:sz w:val="20"/>
        </w:rPr>
        <w:t>should</w:t>
      </w:r>
      <w:r>
        <w:rPr>
          <w:spacing w:val="-1"/>
          <w:sz w:val="20"/>
        </w:rPr>
        <w:t> </w:t>
      </w:r>
      <w:r>
        <w:rPr>
          <w:sz w:val="20"/>
        </w:rPr>
        <w:t>also</w:t>
      </w:r>
      <w:r>
        <w:rPr>
          <w:spacing w:val="-2"/>
          <w:sz w:val="20"/>
        </w:rPr>
        <w:t> </w:t>
      </w:r>
      <w:r>
        <w:rPr>
          <w:sz w:val="20"/>
        </w:rPr>
        <w:t>be</w:t>
      </w:r>
      <w:r>
        <w:rPr>
          <w:spacing w:val="-2"/>
          <w:sz w:val="20"/>
        </w:rPr>
        <w:t> </w:t>
      </w:r>
      <w:r>
        <w:rPr>
          <w:sz w:val="20"/>
        </w:rPr>
        <w:t>paid</w:t>
      </w:r>
      <w:r>
        <w:rPr>
          <w:spacing w:val="-5"/>
          <w:sz w:val="20"/>
        </w:rPr>
        <w:t> </w:t>
      </w:r>
      <w:r>
        <w:rPr>
          <w:sz w:val="20"/>
        </w:rPr>
        <w:t>to</w:t>
      </w:r>
      <w:r>
        <w:rPr>
          <w:spacing w:val="-1"/>
          <w:sz w:val="20"/>
        </w:rPr>
        <w:t> </w:t>
      </w:r>
      <w:r>
        <w:rPr>
          <w:sz w:val="20"/>
        </w:rPr>
        <w:t>QA/QC</w:t>
      </w:r>
      <w:r>
        <w:rPr>
          <w:spacing w:val="-5"/>
          <w:sz w:val="20"/>
        </w:rPr>
        <w:t> </w:t>
      </w:r>
      <w:r>
        <w:rPr>
          <w:sz w:val="20"/>
        </w:rPr>
        <w:t>(Section</w:t>
      </w:r>
      <w:r>
        <w:rPr>
          <w:spacing w:val="-4"/>
          <w:sz w:val="20"/>
        </w:rPr>
        <w:t> </w:t>
      </w:r>
      <w:r>
        <w:rPr>
          <w:sz w:val="20"/>
        </w:rPr>
        <w:t>5.5)</w:t>
      </w:r>
      <w:r>
        <w:rPr>
          <w:spacing w:val="-2"/>
          <w:sz w:val="20"/>
        </w:rPr>
        <w:t> </w:t>
      </w:r>
      <w:r>
        <w:rPr>
          <w:sz w:val="20"/>
        </w:rPr>
        <w:t>and</w:t>
      </w:r>
      <w:r>
        <w:rPr>
          <w:spacing w:val="-2"/>
          <w:sz w:val="20"/>
        </w:rPr>
        <w:t> </w:t>
      </w:r>
      <w:r>
        <w:rPr>
          <w:sz w:val="20"/>
        </w:rPr>
        <w:t>documentation</w:t>
      </w:r>
      <w:r>
        <w:rPr>
          <w:spacing w:val="-4"/>
          <w:sz w:val="20"/>
        </w:rPr>
        <w:t> </w:t>
      </w:r>
      <w:r>
        <w:rPr>
          <w:sz w:val="20"/>
        </w:rPr>
        <w:t>for</w:t>
      </w:r>
      <w:r>
        <w:rPr>
          <w:spacing w:val="-3"/>
          <w:sz w:val="20"/>
        </w:rPr>
        <w:t> </w:t>
      </w:r>
      <w:r>
        <w:rPr>
          <w:sz w:val="20"/>
        </w:rPr>
        <w:t>these</w:t>
      </w:r>
      <w:r>
        <w:rPr>
          <w:spacing w:val="-2"/>
          <w:sz w:val="20"/>
        </w:rPr>
        <w:t> </w:t>
      </w:r>
      <w:r>
        <w:rPr>
          <w:sz w:val="20"/>
        </w:rPr>
        <w:t>categories.</w:t>
      </w:r>
    </w:p>
    <w:p>
      <w:pPr>
        <w:pStyle w:val="ListParagraph"/>
        <w:numPr>
          <w:ilvl w:val="0"/>
          <w:numId w:val="117"/>
        </w:numPr>
        <w:tabs>
          <w:tab w:pos="540" w:val="left" w:leader="none"/>
        </w:tabs>
        <w:spacing w:line="230" w:lineRule="auto" w:before="139" w:after="0"/>
        <w:ind w:left="539" w:right="1405" w:hanging="360"/>
        <w:jc w:val="both"/>
        <w:rPr>
          <w:sz w:val="20"/>
        </w:rPr>
      </w:pPr>
      <w:r>
        <w:rPr>
          <w:sz w:val="20"/>
        </w:rPr>
        <w:t>Large stocks: When a small net flux results from the subtraction of large emissions and removals, the uncertainty can be very high. Thus, when moving from the Tier 1 to higher tier estimation methods the order of IPCC Source Categories may change and previously insignificant categories may become</w:t>
      </w:r>
      <w:r>
        <w:rPr>
          <w:spacing w:val="-20"/>
          <w:sz w:val="20"/>
        </w:rPr>
        <w:t> </w:t>
      </w:r>
      <w:r>
        <w:rPr>
          <w:sz w:val="20"/>
        </w:rPr>
        <w:t>significant.</w:t>
      </w:r>
    </w:p>
    <w:p>
      <w:pPr>
        <w:pStyle w:val="ListParagraph"/>
        <w:numPr>
          <w:ilvl w:val="0"/>
          <w:numId w:val="117"/>
        </w:numPr>
        <w:tabs>
          <w:tab w:pos="540" w:val="left" w:leader="none"/>
        </w:tabs>
        <w:spacing w:line="237" w:lineRule="auto" w:before="139" w:after="0"/>
        <w:ind w:left="539" w:right="1404" w:hanging="360"/>
        <w:jc w:val="both"/>
        <w:rPr>
          <w:sz w:val="20"/>
        </w:rPr>
      </w:pPr>
      <w:r>
        <w:rPr>
          <w:sz w:val="20"/>
        </w:rPr>
        <w:t>Deforestation: In the quantitative key category analysis, deforestation is spread out under the different land- use change categories (e.g., Lands converted to grassland are considered separately from Lands converted to cropland). To ensure consistency with the </w:t>
      </w:r>
      <w:r>
        <w:rPr>
          <w:i/>
          <w:sz w:val="20"/>
        </w:rPr>
        <w:t>IPCC Guidelines</w:t>
      </w:r>
      <w:r>
        <w:rPr>
          <w:sz w:val="20"/>
        </w:rPr>
        <w:t>, countries should identify and sum up the emission estimates associated with forest conversion to any other land category. “Deforestation” should be considered key if the sum is larger than the smallest category considered key in the quantitative analysis. In this case, countries can further examine which land conversions are significant (i.e., account for more than 30 percent) of the estimate and classify them as</w:t>
      </w:r>
      <w:r>
        <w:rPr>
          <w:spacing w:val="-11"/>
          <w:sz w:val="20"/>
        </w:rPr>
        <w:t> </w:t>
      </w:r>
      <w:r>
        <w:rPr>
          <w:sz w:val="20"/>
        </w:rPr>
        <w:t>key.</w:t>
      </w:r>
    </w:p>
    <w:p>
      <w:pPr>
        <w:pStyle w:val="ListParagraph"/>
        <w:numPr>
          <w:ilvl w:val="0"/>
          <w:numId w:val="117"/>
        </w:numPr>
        <w:tabs>
          <w:tab w:pos="540" w:val="left" w:leader="none"/>
        </w:tabs>
        <w:spacing w:line="237" w:lineRule="auto" w:before="135" w:after="0"/>
        <w:ind w:left="539" w:right="1406" w:hanging="360"/>
        <w:jc w:val="both"/>
        <w:rPr>
          <w:sz w:val="20"/>
        </w:rPr>
      </w:pPr>
      <w:r>
        <w:rPr>
          <w:sz w:val="20"/>
        </w:rPr>
        <w:t>Completeness: Neither the Tier 1 nor the Tier 2 approach gives correct results if the inventory is not complete. The analysis can still be performed, but there may be key categories among those not estimated. In these cases it is </w:t>
      </w:r>
      <w:r>
        <w:rPr>
          <w:i/>
          <w:sz w:val="20"/>
        </w:rPr>
        <w:t>good practice </w:t>
      </w:r>
      <w:r>
        <w:rPr>
          <w:sz w:val="20"/>
        </w:rPr>
        <w:t>to qualitatively examine potential key categories applying the qualitative considerations above</w:t>
      </w:r>
      <w:r>
        <w:rPr>
          <w:i/>
          <w:sz w:val="20"/>
        </w:rPr>
        <w:t>. IPCC Guidelines </w:t>
      </w:r>
      <w:r>
        <w:rPr>
          <w:sz w:val="20"/>
        </w:rPr>
        <w:t>(IPCC, 1997), </w:t>
      </w:r>
      <w:r>
        <w:rPr>
          <w:i/>
          <w:sz w:val="20"/>
        </w:rPr>
        <w:t>GPG2000 </w:t>
      </w:r>
      <w:r>
        <w:rPr>
          <w:sz w:val="20"/>
        </w:rPr>
        <w:t>(IPCC, 2000) and this report list potential categories of sources and sinks. The inventory of a country with similar national circumstances can also often give good indications on potential key</w:t>
      </w:r>
      <w:r>
        <w:rPr>
          <w:spacing w:val="-7"/>
          <w:sz w:val="20"/>
        </w:rPr>
        <w:t> </w:t>
      </w:r>
      <w:r>
        <w:rPr>
          <w:sz w:val="20"/>
        </w:rPr>
        <w:t>categories.</w:t>
      </w:r>
    </w:p>
    <w:p>
      <w:pPr>
        <w:pStyle w:val="BodyText"/>
        <w:spacing w:before="116"/>
        <w:ind w:left="179" w:right="1403"/>
        <w:jc w:val="both"/>
      </w:pPr>
      <w:r>
        <w:rPr/>
        <w:t>For each key category identified, the inventory agency should determine if certain subcategories are particularly significant (i.e., represents a significant share of the emissions or removals). It is </w:t>
      </w:r>
      <w:r>
        <w:rPr>
          <w:i/>
        </w:rPr>
        <w:t>good practice </w:t>
      </w:r>
      <w:r>
        <w:rPr/>
        <w:t>to identify what subcategories are particularly important and focus efforts towards methodological improvements on these subcategories.</w:t>
      </w:r>
    </w:p>
    <w:p>
      <w:pPr>
        <w:pStyle w:val="BodyText"/>
        <w:rPr>
          <w:sz w:val="22"/>
        </w:rPr>
      </w:pPr>
    </w:p>
    <w:p>
      <w:pPr>
        <w:pStyle w:val="BodyText"/>
        <w:spacing w:before="1"/>
      </w:pPr>
    </w:p>
    <w:p>
      <w:pPr>
        <w:pStyle w:val="Heading2"/>
        <w:numPr>
          <w:ilvl w:val="2"/>
          <w:numId w:val="179"/>
        </w:numPr>
        <w:tabs>
          <w:tab w:pos="1381" w:val="left" w:leader="none"/>
          <w:tab w:pos="1382" w:val="left" w:leader="none"/>
        </w:tabs>
        <w:spacing w:line="240" w:lineRule="auto" w:before="1" w:after="0"/>
        <w:ind w:left="1381" w:right="2076" w:hanging="1202"/>
        <w:jc w:val="left"/>
      </w:pPr>
      <w:bookmarkStart w:name="_TOC_250028" w:id="27"/>
      <w:r>
        <w:rPr>
          <w:spacing w:val="8"/>
        </w:rPr>
        <w:t>Identifying </w:t>
      </w:r>
      <w:r>
        <w:rPr>
          <w:spacing w:val="5"/>
        </w:rPr>
        <w:t>Key </w:t>
      </w:r>
      <w:r>
        <w:rPr>
          <w:spacing w:val="8"/>
        </w:rPr>
        <w:t>Categories under </w:t>
      </w:r>
      <w:r>
        <w:rPr>
          <w:spacing w:val="7"/>
        </w:rPr>
        <w:t>Kyoto </w:t>
      </w:r>
      <w:r>
        <w:rPr>
          <w:spacing w:val="9"/>
        </w:rPr>
        <w:t>Protocol </w:t>
      </w:r>
      <w:r>
        <w:rPr>
          <w:spacing w:val="8"/>
        </w:rPr>
        <w:t>Articles </w:t>
      </w:r>
      <w:r>
        <w:rPr>
          <w:spacing w:val="6"/>
        </w:rPr>
        <w:t>3.3 and</w:t>
      </w:r>
      <w:r>
        <w:rPr>
          <w:spacing w:val="48"/>
        </w:rPr>
        <w:t> </w:t>
      </w:r>
      <w:bookmarkEnd w:id="27"/>
      <w:r>
        <w:rPr>
          <w:spacing w:val="6"/>
        </w:rPr>
        <w:t>3.4</w:t>
      </w:r>
    </w:p>
    <w:p>
      <w:pPr>
        <w:pStyle w:val="BodyText"/>
        <w:spacing w:before="113"/>
        <w:ind w:left="179" w:right="1404"/>
        <w:jc w:val="both"/>
      </w:pPr>
      <w:r>
        <w:rPr/>
        <w:t>The concept of key categories can also be used for choosing the </w:t>
      </w:r>
      <w:r>
        <w:rPr>
          <w:i/>
        </w:rPr>
        <w:t>good practice </w:t>
      </w:r>
      <w:r>
        <w:rPr/>
        <w:t>estimation methods for emissions and removals due to activities under Articles 3.3 and 3.4 of the Kyoto Protocol to the UNFCCC. The key</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5"/>
        <w:jc w:val="both"/>
      </w:pPr>
      <w:r>
        <w:rPr/>
        <w:t>categories for Kyoto Protocol reporting can be identified following the guidance in this section. Detailed guidance is provided in Chapter 4 on how to take the key category determination into account in methodological choice for estimates prepared under the Kyoto Protocol.</w:t>
      </w:r>
    </w:p>
    <w:p>
      <w:pPr>
        <w:pStyle w:val="BodyText"/>
        <w:spacing w:before="121"/>
        <w:ind w:left="179" w:right="1401"/>
        <w:jc w:val="both"/>
      </w:pPr>
      <w:r>
        <w:rPr/>
        <w:t>Taking into consideration that there is not any experience with the preparation of these estimates under the Kyoto Protocol, it is suggested that the basis for assessment of key categories under Articles 3.3 and 3.4 of the Kyoto Protocol is the same as the assessment made for the UNFCCC inventory. Whenever a category is identified as key in the UNFCCC inventory, the associated activity under the Kyoto Protocol should be considered as key in reporting under the Kyoto Protocol.</w:t>
      </w:r>
      <w:r>
        <w:rPr>
          <w:vertAlign w:val="superscript"/>
        </w:rPr>
        <w:t>14</w:t>
      </w:r>
      <w:r>
        <w:rPr>
          <w:vertAlign w:val="baseline"/>
        </w:rPr>
        <w:t> The identification of key categories under the Kyoto Protocol will also have to include some qualitative assessments as there is not always an unambiguous correspondence between the UNFCCC categories and Kyoto Protocol activities. A country may also undertake a quantitative Tier 2 approach to identify the key categories of their inventory including the Kyoto Protocol activities. The results of this assessment will in most circumstances result in fewer LULUCF key</w:t>
      </w:r>
      <w:r>
        <w:rPr>
          <w:spacing w:val="-29"/>
          <w:vertAlign w:val="baseline"/>
        </w:rPr>
        <w:t> </w:t>
      </w:r>
      <w:r>
        <w:rPr>
          <w:vertAlign w:val="baseline"/>
        </w:rPr>
        <w:t>categories.</w:t>
      </w:r>
    </w:p>
    <w:p>
      <w:pPr>
        <w:pStyle w:val="BodyText"/>
        <w:spacing w:before="117"/>
        <w:ind w:left="179" w:right="1405"/>
        <w:jc w:val="both"/>
      </w:pPr>
      <w:r>
        <w:rPr/>
        <w:t>Table 5.4.4 can be used to establish the relationship between categories in Chapter 3 and Chapter 4 for purposes of identifying key categories under Articles 3.3 and 3.4 of the Kyoto Protocol.</w:t>
      </w:r>
    </w:p>
    <w:p>
      <w:pPr>
        <w:pStyle w:val="BodyText"/>
      </w:pPr>
    </w:p>
    <w:p>
      <w:pPr>
        <w:pStyle w:val="BodyText"/>
        <w:spacing w:before="6"/>
        <w:rPr>
          <w:sz w:val="21"/>
        </w:rPr>
      </w:pPr>
    </w:p>
    <w:tbl>
      <w:tblPr>
        <w:tblW w:w="0" w:type="auto"/>
        <w:jc w:val="left"/>
        <w:tblInd w:w="3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87"/>
        <w:gridCol w:w="2172"/>
        <w:gridCol w:w="2714"/>
      </w:tblGrid>
      <w:tr>
        <w:trPr>
          <w:trHeight w:val="793" w:hRule="atLeast"/>
        </w:trPr>
        <w:tc>
          <w:tcPr>
            <w:tcW w:w="8673" w:type="dxa"/>
            <w:gridSpan w:val="3"/>
            <w:tcBorders>
              <w:bottom w:val="double" w:sz="1" w:space="0" w:color="000000"/>
            </w:tcBorders>
          </w:tcPr>
          <w:p>
            <w:pPr>
              <w:pStyle w:val="TableParagraph"/>
              <w:spacing w:line="207" w:lineRule="exact" w:before="86"/>
              <w:ind w:left="1385" w:right="1377"/>
              <w:jc w:val="center"/>
              <w:rPr>
                <w:b/>
                <w:sz w:val="18"/>
              </w:rPr>
            </w:pPr>
            <w:r>
              <w:rPr>
                <w:b/>
                <w:sz w:val="18"/>
              </w:rPr>
              <w:t>T</w:t>
            </w:r>
            <w:r>
              <w:rPr>
                <w:b/>
                <w:sz w:val="14"/>
              </w:rPr>
              <w:t>ABLE </w:t>
            </w:r>
            <w:r>
              <w:rPr>
                <w:b/>
                <w:sz w:val="18"/>
              </w:rPr>
              <w:t>5.4.4</w:t>
            </w:r>
          </w:p>
          <w:p>
            <w:pPr>
              <w:pStyle w:val="TableParagraph"/>
              <w:spacing w:line="206" w:lineRule="exact"/>
              <w:ind w:left="1385" w:right="1379"/>
              <w:jc w:val="center"/>
              <w:rPr>
                <w:b/>
                <w:sz w:val="18"/>
              </w:rPr>
            </w:pPr>
            <w:r>
              <w:rPr>
                <w:b/>
                <w:sz w:val="18"/>
              </w:rPr>
              <w:t>R</w:t>
            </w:r>
            <w:r>
              <w:rPr>
                <w:b/>
                <w:sz w:val="14"/>
              </w:rPr>
              <w:t>ELATIONSHIP BETWEEN ACTIVITIES IDENTIFIED IN </w:t>
            </w:r>
            <w:r>
              <w:rPr>
                <w:b/>
                <w:sz w:val="18"/>
              </w:rPr>
              <w:t>C</w:t>
            </w:r>
            <w:r>
              <w:rPr>
                <w:b/>
                <w:sz w:val="14"/>
              </w:rPr>
              <w:t>HAPTER </w:t>
            </w:r>
            <w:r>
              <w:rPr>
                <w:b/>
                <w:sz w:val="18"/>
              </w:rPr>
              <w:t>3 </w:t>
            </w:r>
            <w:r>
              <w:rPr>
                <w:b/>
                <w:sz w:val="14"/>
              </w:rPr>
              <w:t>AND </w:t>
            </w:r>
            <w:r>
              <w:rPr>
                <w:b/>
                <w:sz w:val="18"/>
              </w:rPr>
              <w:t>C</w:t>
            </w:r>
            <w:r>
              <w:rPr>
                <w:b/>
                <w:sz w:val="14"/>
              </w:rPr>
              <w:t>HAPTER </w:t>
            </w:r>
            <w:r>
              <w:rPr>
                <w:b/>
                <w:sz w:val="18"/>
              </w:rPr>
              <w:t>4</w:t>
            </w:r>
          </w:p>
          <w:p>
            <w:pPr>
              <w:pStyle w:val="TableParagraph"/>
              <w:spacing w:line="207" w:lineRule="exact"/>
              <w:ind w:left="1385" w:right="1376"/>
              <w:jc w:val="center"/>
              <w:rPr>
                <w:b/>
                <w:sz w:val="18"/>
              </w:rPr>
            </w:pPr>
            <w:r>
              <w:rPr>
                <w:b/>
                <w:sz w:val="14"/>
              </w:rPr>
              <w:t>AND </w:t>
            </w:r>
            <w:r>
              <w:rPr>
                <w:b/>
                <w:sz w:val="18"/>
              </w:rPr>
              <w:t>IPCC </w:t>
            </w:r>
            <w:r>
              <w:rPr>
                <w:b/>
                <w:sz w:val="14"/>
              </w:rPr>
              <w:t>SOURCE</w:t>
            </w:r>
            <w:r>
              <w:rPr>
                <w:b/>
                <w:sz w:val="18"/>
              </w:rPr>
              <w:t>/</w:t>
            </w:r>
            <w:r>
              <w:rPr>
                <w:b/>
                <w:sz w:val="14"/>
              </w:rPr>
              <w:t>SINK CATEGORIES FOR </w:t>
            </w:r>
            <w:r>
              <w:rPr>
                <w:b/>
                <w:sz w:val="18"/>
              </w:rPr>
              <w:t>LULUCF</w:t>
            </w:r>
          </w:p>
        </w:tc>
      </w:tr>
      <w:tr>
        <w:trPr>
          <w:trHeight w:val="253" w:hRule="atLeast"/>
        </w:trPr>
        <w:tc>
          <w:tcPr>
            <w:tcW w:w="3787" w:type="dxa"/>
            <w:tcBorders>
              <w:top w:val="double" w:sz="1" w:space="0" w:color="000000"/>
            </w:tcBorders>
          </w:tcPr>
          <w:p>
            <w:pPr>
              <w:pStyle w:val="TableParagraph"/>
              <w:spacing w:before="23"/>
              <w:ind w:left="69"/>
              <w:rPr>
                <w:b/>
                <w:sz w:val="18"/>
              </w:rPr>
            </w:pPr>
            <w:r>
              <w:rPr>
                <w:b/>
                <w:sz w:val="18"/>
              </w:rPr>
              <w:t>1</w:t>
            </w:r>
          </w:p>
        </w:tc>
        <w:tc>
          <w:tcPr>
            <w:tcW w:w="2172" w:type="dxa"/>
            <w:tcBorders>
              <w:top w:val="double" w:sz="1" w:space="0" w:color="000000"/>
            </w:tcBorders>
          </w:tcPr>
          <w:p>
            <w:pPr>
              <w:pStyle w:val="TableParagraph"/>
              <w:spacing w:before="23"/>
              <w:ind w:left="69"/>
              <w:rPr>
                <w:b/>
                <w:sz w:val="18"/>
              </w:rPr>
            </w:pPr>
            <w:r>
              <w:rPr>
                <w:b/>
                <w:sz w:val="18"/>
              </w:rPr>
              <w:t>2</w:t>
            </w:r>
          </w:p>
        </w:tc>
        <w:tc>
          <w:tcPr>
            <w:tcW w:w="2714" w:type="dxa"/>
            <w:tcBorders>
              <w:top w:val="double" w:sz="1" w:space="0" w:color="000000"/>
            </w:tcBorders>
          </w:tcPr>
          <w:p>
            <w:pPr>
              <w:pStyle w:val="TableParagraph"/>
              <w:spacing w:before="23"/>
              <w:ind w:left="69"/>
              <w:rPr>
                <w:b/>
                <w:sz w:val="18"/>
              </w:rPr>
            </w:pPr>
            <w:r>
              <w:rPr>
                <w:b/>
                <w:sz w:val="18"/>
              </w:rPr>
              <w:t>3</w:t>
            </w:r>
          </w:p>
        </w:tc>
      </w:tr>
      <w:tr>
        <w:trPr>
          <w:trHeight w:val="926" w:hRule="atLeast"/>
        </w:trPr>
        <w:tc>
          <w:tcPr>
            <w:tcW w:w="3787" w:type="dxa"/>
          </w:tcPr>
          <w:p>
            <w:pPr>
              <w:pStyle w:val="TableParagraph"/>
              <w:spacing w:before="28"/>
              <w:ind w:left="54"/>
              <w:rPr>
                <w:b/>
                <w:sz w:val="18"/>
              </w:rPr>
            </w:pPr>
            <w:r>
              <w:rPr>
                <w:b/>
                <w:sz w:val="18"/>
              </w:rPr>
              <w:t>Chapter 3 Categories</w:t>
            </w:r>
          </w:p>
        </w:tc>
        <w:tc>
          <w:tcPr>
            <w:tcW w:w="2172" w:type="dxa"/>
          </w:tcPr>
          <w:p>
            <w:pPr>
              <w:pStyle w:val="TableParagraph"/>
              <w:spacing w:before="28"/>
              <w:ind w:left="57"/>
              <w:rPr>
                <w:b/>
                <w:sz w:val="18"/>
              </w:rPr>
            </w:pPr>
            <w:r>
              <w:rPr>
                <w:b/>
                <w:sz w:val="18"/>
              </w:rPr>
              <w:t>Chapter 4 Categories</w:t>
            </w:r>
          </w:p>
        </w:tc>
        <w:tc>
          <w:tcPr>
            <w:tcW w:w="2714" w:type="dxa"/>
          </w:tcPr>
          <w:p>
            <w:pPr>
              <w:pStyle w:val="TableParagraph"/>
              <w:spacing w:before="28"/>
              <w:ind w:left="57" w:right="77"/>
              <w:rPr>
                <w:b/>
                <w:sz w:val="18"/>
              </w:rPr>
            </w:pPr>
            <w:r>
              <w:rPr>
                <w:b/>
                <w:sz w:val="18"/>
              </w:rPr>
              <w:t>Key category if item in Column 1 was identified as key in the analysis of the UNFCCC inventory</w:t>
            </w:r>
            <w:r>
              <w:rPr>
                <w:b/>
                <w:sz w:val="18"/>
                <w:vertAlign w:val="superscript"/>
              </w:rPr>
              <w:t>a</w:t>
            </w:r>
          </w:p>
        </w:tc>
      </w:tr>
      <w:tr>
        <w:trPr>
          <w:trHeight w:val="273" w:hRule="atLeast"/>
        </w:trPr>
        <w:tc>
          <w:tcPr>
            <w:tcW w:w="3787" w:type="dxa"/>
          </w:tcPr>
          <w:p>
            <w:pPr>
              <w:pStyle w:val="TableParagraph"/>
              <w:spacing w:before="43"/>
              <w:ind w:left="100"/>
              <w:rPr>
                <w:sz w:val="18"/>
              </w:rPr>
            </w:pPr>
            <w:r>
              <w:rPr>
                <w:sz w:val="18"/>
              </w:rPr>
              <w:t>FOREST LAND</w:t>
            </w:r>
          </w:p>
        </w:tc>
        <w:tc>
          <w:tcPr>
            <w:tcW w:w="2172" w:type="dxa"/>
          </w:tcPr>
          <w:p>
            <w:pPr>
              <w:pStyle w:val="TableParagraph"/>
              <w:rPr>
                <w:sz w:val="18"/>
              </w:rPr>
            </w:pPr>
          </w:p>
        </w:tc>
        <w:tc>
          <w:tcPr>
            <w:tcW w:w="2714" w:type="dxa"/>
          </w:tcPr>
          <w:p>
            <w:pPr>
              <w:pStyle w:val="TableParagraph"/>
              <w:rPr>
                <w:sz w:val="18"/>
              </w:rPr>
            </w:pPr>
          </w:p>
        </w:tc>
      </w:tr>
      <w:tr>
        <w:trPr>
          <w:trHeight w:val="302" w:hRule="atLeast"/>
        </w:trPr>
        <w:tc>
          <w:tcPr>
            <w:tcW w:w="3787" w:type="dxa"/>
          </w:tcPr>
          <w:p>
            <w:pPr>
              <w:pStyle w:val="TableParagraph"/>
              <w:spacing w:before="43"/>
              <w:ind w:left="167"/>
              <w:rPr>
                <w:sz w:val="18"/>
              </w:rPr>
            </w:pPr>
            <w:r>
              <w:rPr>
                <w:sz w:val="18"/>
              </w:rPr>
              <w:t>Forest land remaining forest land (managed)</w:t>
            </w:r>
          </w:p>
        </w:tc>
        <w:tc>
          <w:tcPr>
            <w:tcW w:w="2172" w:type="dxa"/>
          </w:tcPr>
          <w:p>
            <w:pPr>
              <w:pStyle w:val="TableParagraph"/>
              <w:spacing w:before="43"/>
              <w:ind w:left="63"/>
              <w:rPr>
                <w:sz w:val="18"/>
              </w:rPr>
            </w:pPr>
            <w:r>
              <w:rPr>
                <w:sz w:val="18"/>
              </w:rPr>
              <w:t>FM, GM, CM</w:t>
            </w:r>
          </w:p>
        </w:tc>
        <w:tc>
          <w:tcPr>
            <w:tcW w:w="2714" w:type="dxa"/>
          </w:tcPr>
          <w:p>
            <w:pPr>
              <w:pStyle w:val="TableParagraph"/>
              <w:rPr>
                <w:sz w:val="18"/>
              </w:rPr>
            </w:pPr>
          </w:p>
        </w:tc>
      </w:tr>
      <w:tr>
        <w:trPr>
          <w:trHeight w:val="301" w:hRule="atLeast"/>
        </w:trPr>
        <w:tc>
          <w:tcPr>
            <w:tcW w:w="3787" w:type="dxa"/>
          </w:tcPr>
          <w:p>
            <w:pPr>
              <w:pStyle w:val="TableParagraph"/>
              <w:spacing w:before="43"/>
              <w:ind w:left="167"/>
              <w:rPr>
                <w:sz w:val="18"/>
              </w:rPr>
            </w:pPr>
            <w:r>
              <w:rPr>
                <w:sz w:val="18"/>
              </w:rPr>
              <w:t>Land converted to forest land (managed)</w:t>
            </w:r>
          </w:p>
        </w:tc>
        <w:tc>
          <w:tcPr>
            <w:tcW w:w="2172" w:type="dxa"/>
          </w:tcPr>
          <w:p>
            <w:pPr>
              <w:pStyle w:val="TableParagraph"/>
              <w:spacing w:before="43"/>
              <w:ind w:left="56"/>
              <w:rPr>
                <w:sz w:val="18"/>
              </w:rPr>
            </w:pPr>
            <w:r>
              <w:rPr>
                <w:sz w:val="18"/>
              </w:rPr>
              <w:t>AR</w:t>
            </w:r>
          </w:p>
        </w:tc>
        <w:tc>
          <w:tcPr>
            <w:tcW w:w="2714" w:type="dxa"/>
          </w:tcPr>
          <w:p>
            <w:pPr>
              <w:pStyle w:val="TableParagraph"/>
              <w:rPr>
                <w:sz w:val="18"/>
              </w:rPr>
            </w:pPr>
          </w:p>
        </w:tc>
      </w:tr>
      <w:tr>
        <w:trPr>
          <w:trHeight w:val="302" w:hRule="atLeast"/>
        </w:trPr>
        <w:tc>
          <w:tcPr>
            <w:tcW w:w="3787" w:type="dxa"/>
          </w:tcPr>
          <w:p>
            <w:pPr>
              <w:pStyle w:val="TableParagraph"/>
              <w:spacing w:before="43"/>
              <w:ind w:left="54"/>
              <w:rPr>
                <w:sz w:val="18"/>
              </w:rPr>
            </w:pPr>
            <w:r>
              <w:rPr>
                <w:sz w:val="18"/>
              </w:rPr>
              <w:t>CROPLAND</w:t>
            </w:r>
          </w:p>
        </w:tc>
        <w:tc>
          <w:tcPr>
            <w:tcW w:w="2172" w:type="dxa"/>
          </w:tcPr>
          <w:p>
            <w:pPr>
              <w:pStyle w:val="TableParagraph"/>
              <w:rPr>
                <w:sz w:val="18"/>
              </w:rPr>
            </w:pPr>
          </w:p>
        </w:tc>
        <w:tc>
          <w:tcPr>
            <w:tcW w:w="2714" w:type="dxa"/>
          </w:tcPr>
          <w:p>
            <w:pPr>
              <w:pStyle w:val="TableParagraph"/>
              <w:rPr>
                <w:sz w:val="18"/>
              </w:rPr>
            </w:pPr>
          </w:p>
        </w:tc>
      </w:tr>
      <w:tr>
        <w:trPr>
          <w:trHeight w:val="302" w:hRule="atLeast"/>
        </w:trPr>
        <w:tc>
          <w:tcPr>
            <w:tcW w:w="3787" w:type="dxa"/>
          </w:tcPr>
          <w:p>
            <w:pPr>
              <w:pStyle w:val="TableParagraph"/>
              <w:spacing w:before="43"/>
              <w:ind w:left="167"/>
              <w:rPr>
                <w:sz w:val="18"/>
              </w:rPr>
            </w:pPr>
            <w:r>
              <w:rPr>
                <w:sz w:val="18"/>
              </w:rPr>
              <w:t>Cropland remaining cropland</w:t>
            </w:r>
          </w:p>
        </w:tc>
        <w:tc>
          <w:tcPr>
            <w:tcW w:w="2172" w:type="dxa"/>
          </w:tcPr>
          <w:p>
            <w:pPr>
              <w:pStyle w:val="TableParagraph"/>
              <w:spacing w:before="43"/>
              <w:ind w:left="57"/>
              <w:rPr>
                <w:sz w:val="18"/>
              </w:rPr>
            </w:pPr>
            <w:r>
              <w:rPr>
                <w:sz w:val="18"/>
              </w:rPr>
              <w:t>CM, RV</w:t>
            </w:r>
          </w:p>
        </w:tc>
        <w:tc>
          <w:tcPr>
            <w:tcW w:w="2714" w:type="dxa"/>
          </w:tcPr>
          <w:p>
            <w:pPr>
              <w:pStyle w:val="TableParagraph"/>
              <w:rPr>
                <w:sz w:val="18"/>
              </w:rPr>
            </w:pPr>
          </w:p>
        </w:tc>
      </w:tr>
      <w:tr>
        <w:trPr>
          <w:trHeight w:val="301" w:hRule="atLeast"/>
        </w:trPr>
        <w:tc>
          <w:tcPr>
            <w:tcW w:w="3787" w:type="dxa"/>
          </w:tcPr>
          <w:p>
            <w:pPr>
              <w:pStyle w:val="TableParagraph"/>
              <w:spacing w:before="43"/>
              <w:ind w:left="167"/>
              <w:rPr>
                <w:sz w:val="18"/>
              </w:rPr>
            </w:pPr>
            <w:r>
              <w:rPr>
                <w:sz w:val="18"/>
              </w:rPr>
              <w:t>Land converted into cropland</w:t>
            </w:r>
          </w:p>
        </w:tc>
        <w:tc>
          <w:tcPr>
            <w:tcW w:w="2172" w:type="dxa"/>
          </w:tcPr>
          <w:p>
            <w:pPr>
              <w:pStyle w:val="TableParagraph"/>
              <w:spacing w:before="43"/>
              <w:ind w:left="57"/>
              <w:rPr>
                <w:sz w:val="18"/>
              </w:rPr>
            </w:pPr>
            <w:r>
              <w:rPr>
                <w:sz w:val="18"/>
              </w:rPr>
              <w:t>D, RV, CM</w:t>
            </w:r>
          </w:p>
        </w:tc>
        <w:tc>
          <w:tcPr>
            <w:tcW w:w="2714" w:type="dxa"/>
          </w:tcPr>
          <w:p>
            <w:pPr>
              <w:pStyle w:val="TableParagraph"/>
              <w:rPr>
                <w:sz w:val="18"/>
              </w:rPr>
            </w:pPr>
          </w:p>
        </w:tc>
      </w:tr>
      <w:tr>
        <w:trPr>
          <w:trHeight w:val="302" w:hRule="atLeast"/>
        </w:trPr>
        <w:tc>
          <w:tcPr>
            <w:tcW w:w="3787" w:type="dxa"/>
          </w:tcPr>
          <w:p>
            <w:pPr>
              <w:pStyle w:val="TableParagraph"/>
              <w:spacing w:before="43"/>
              <w:ind w:left="54"/>
              <w:rPr>
                <w:sz w:val="18"/>
              </w:rPr>
            </w:pPr>
            <w:r>
              <w:rPr>
                <w:sz w:val="18"/>
              </w:rPr>
              <w:t>GRASSLAND</w:t>
            </w:r>
          </w:p>
        </w:tc>
        <w:tc>
          <w:tcPr>
            <w:tcW w:w="2172" w:type="dxa"/>
          </w:tcPr>
          <w:p>
            <w:pPr>
              <w:pStyle w:val="TableParagraph"/>
              <w:rPr>
                <w:sz w:val="18"/>
              </w:rPr>
            </w:pPr>
          </w:p>
        </w:tc>
        <w:tc>
          <w:tcPr>
            <w:tcW w:w="2714" w:type="dxa"/>
          </w:tcPr>
          <w:p>
            <w:pPr>
              <w:pStyle w:val="TableParagraph"/>
              <w:rPr>
                <w:sz w:val="18"/>
              </w:rPr>
            </w:pPr>
          </w:p>
        </w:tc>
      </w:tr>
      <w:tr>
        <w:trPr>
          <w:trHeight w:val="498" w:hRule="atLeast"/>
        </w:trPr>
        <w:tc>
          <w:tcPr>
            <w:tcW w:w="3787" w:type="dxa"/>
          </w:tcPr>
          <w:p>
            <w:pPr>
              <w:pStyle w:val="TableParagraph"/>
              <w:spacing w:before="52"/>
              <w:ind w:left="167" w:right="261"/>
              <w:rPr>
                <w:sz w:val="18"/>
              </w:rPr>
            </w:pPr>
            <w:r>
              <w:rPr>
                <w:sz w:val="18"/>
              </w:rPr>
              <w:t>Rangeland and grassland remaining rangeland and grassland (managed)</w:t>
            </w:r>
          </w:p>
        </w:tc>
        <w:tc>
          <w:tcPr>
            <w:tcW w:w="2172" w:type="dxa"/>
          </w:tcPr>
          <w:p>
            <w:pPr>
              <w:pStyle w:val="TableParagraph"/>
              <w:spacing w:before="155"/>
              <w:ind w:left="57"/>
              <w:rPr>
                <w:sz w:val="18"/>
              </w:rPr>
            </w:pPr>
            <w:r>
              <w:rPr>
                <w:sz w:val="18"/>
              </w:rPr>
              <w:t>GM, RV</w:t>
            </w:r>
          </w:p>
        </w:tc>
        <w:tc>
          <w:tcPr>
            <w:tcW w:w="2714" w:type="dxa"/>
          </w:tcPr>
          <w:p>
            <w:pPr>
              <w:pStyle w:val="TableParagraph"/>
              <w:rPr>
                <w:sz w:val="18"/>
              </w:rPr>
            </w:pPr>
          </w:p>
        </w:tc>
      </w:tr>
      <w:tr>
        <w:trPr>
          <w:trHeight w:val="530" w:hRule="atLeast"/>
        </w:trPr>
        <w:tc>
          <w:tcPr>
            <w:tcW w:w="3787" w:type="dxa"/>
          </w:tcPr>
          <w:p>
            <w:pPr>
              <w:pStyle w:val="TableParagraph"/>
              <w:spacing w:before="52"/>
              <w:ind w:left="167" w:right="496"/>
              <w:rPr>
                <w:sz w:val="18"/>
              </w:rPr>
            </w:pPr>
            <w:r>
              <w:rPr>
                <w:sz w:val="18"/>
              </w:rPr>
              <w:t>Land converted to rangeland and grassland (managed)</w:t>
            </w:r>
          </w:p>
        </w:tc>
        <w:tc>
          <w:tcPr>
            <w:tcW w:w="2172" w:type="dxa"/>
          </w:tcPr>
          <w:p>
            <w:pPr>
              <w:pStyle w:val="TableParagraph"/>
              <w:spacing w:before="155"/>
              <w:ind w:left="57"/>
              <w:rPr>
                <w:sz w:val="18"/>
              </w:rPr>
            </w:pPr>
            <w:r>
              <w:rPr>
                <w:sz w:val="18"/>
              </w:rPr>
              <w:t>D, RV , GM</w:t>
            </w:r>
          </w:p>
        </w:tc>
        <w:tc>
          <w:tcPr>
            <w:tcW w:w="2714" w:type="dxa"/>
          </w:tcPr>
          <w:p>
            <w:pPr>
              <w:pStyle w:val="TableParagraph"/>
              <w:rPr>
                <w:sz w:val="18"/>
              </w:rPr>
            </w:pPr>
          </w:p>
        </w:tc>
      </w:tr>
      <w:tr>
        <w:trPr>
          <w:trHeight w:val="301" w:hRule="atLeast"/>
        </w:trPr>
        <w:tc>
          <w:tcPr>
            <w:tcW w:w="3787" w:type="dxa"/>
          </w:tcPr>
          <w:p>
            <w:pPr>
              <w:pStyle w:val="TableParagraph"/>
              <w:spacing w:before="43"/>
              <w:ind w:left="54"/>
              <w:rPr>
                <w:sz w:val="18"/>
              </w:rPr>
            </w:pPr>
            <w:r>
              <w:rPr>
                <w:sz w:val="18"/>
              </w:rPr>
              <w:t>WETLANDS</w:t>
            </w:r>
          </w:p>
        </w:tc>
        <w:tc>
          <w:tcPr>
            <w:tcW w:w="2172" w:type="dxa"/>
          </w:tcPr>
          <w:p>
            <w:pPr>
              <w:pStyle w:val="TableParagraph"/>
              <w:rPr>
                <w:sz w:val="18"/>
              </w:rPr>
            </w:pPr>
          </w:p>
        </w:tc>
        <w:tc>
          <w:tcPr>
            <w:tcW w:w="2714" w:type="dxa"/>
          </w:tcPr>
          <w:p>
            <w:pPr>
              <w:pStyle w:val="TableParagraph"/>
              <w:rPr>
                <w:sz w:val="18"/>
              </w:rPr>
            </w:pPr>
          </w:p>
        </w:tc>
      </w:tr>
      <w:tr>
        <w:trPr>
          <w:trHeight w:val="302" w:hRule="atLeast"/>
        </w:trPr>
        <w:tc>
          <w:tcPr>
            <w:tcW w:w="3787" w:type="dxa"/>
          </w:tcPr>
          <w:p>
            <w:pPr>
              <w:pStyle w:val="TableParagraph"/>
              <w:spacing w:before="43"/>
              <w:ind w:left="167"/>
              <w:rPr>
                <w:sz w:val="18"/>
              </w:rPr>
            </w:pPr>
            <w:r>
              <w:rPr>
                <w:sz w:val="18"/>
              </w:rPr>
              <w:t>Wetlands remaining wetlands (managed)</w:t>
            </w:r>
          </w:p>
        </w:tc>
        <w:tc>
          <w:tcPr>
            <w:tcW w:w="2172" w:type="dxa"/>
          </w:tcPr>
          <w:p>
            <w:pPr>
              <w:pStyle w:val="TableParagraph"/>
              <w:spacing w:before="43"/>
              <w:ind w:left="56"/>
              <w:rPr>
                <w:sz w:val="18"/>
              </w:rPr>
            </w:pPr>
            <w:r>
              <w:rPr>
                <w:sz w:val="18"/>
              </w:rPr>
              <w:t>RV</w:t>
            </w:r>
          </w:p>
        </w:tc>
        <w:tc>
          <w:tcPr>
            <w:tcW w:w="2714" w:type="dxa"/>
          </w:tcPr>
          <w:p>
            <w:pPr>
              <w:pStyle w:val="TableParagraph"/>
              <w:rPr>
                <w:sz w:val="18"/>
              </w:rPr>
            </w:pPr>
          </w:p>
        </w:tc>
      </w:tr>
      <w:tr>
        <w:trPr>
          <w:trHeight w:val="302" w:hRule="atLeast"/>
        </w:trPr>
        <w:tc>
          <w:tcPr>
            <w:tcW w:w="3787" w:type="dxa"/>
          </w:tcPr>
          <w:p>
            <w:pPr>
              <w:pStyle w:val="TableParagraph"/>
              <w:spacing w:before="43"/>
              <w:ind w:left="167"/>
              <w:rPr>
                <w:sz w:val="18"/>
              </w:rPr>
            </w:pPr>
            <w:r>
              <w:rPr>
                <w:sz w:val="18"/>
              </w:rPr>
              <w:t>Land converted to wetlands</w:t>
            </w:r>
          </w:p>
        </w:tc>
        <w:tc>
          <w:tcPr>
            <w:tcW w:w="2172" w:type="dxa"/>
          </w:tcPr>
          <w:p>
            <w:pPr>
              <w:pStyle w:val="TableParagraph"/>
              <w:spacing w:before="43"/>
              <w:ind w:left="57"/>
              <w:rPr>
                <w:sz w:val="18"/>
              </w:rPr>
            </w:pPr>
            <w:r>
              <w:rPr>
                <w:sz w:val="18"/>
              </w:rPr>
              <w:t>D, RV</w:t>
            </w:r>
          </w:p>
        </w:tc>
        <w:tc>
          <w:tcPr>
            <w:tcW w:w="2714" w:type="dxa"/>
          </w:tcPr>
          <w:p>
            <w:pPr>
              <w:pStyle w:val="TableParagraph"/>
              <w:rPr>
                <w:sz w:val="18"/>
              </w:rPr>
            </w:pPr>
          </w:p>
        </w:tc>
      </w:tr>
      <w:tr>
        <w:trPr>
          <w:trHeight w:val="301" w:hRule="atLeast"/>
        </w:trPr>
        <w:tc>
          <w:tcPr>
            <w:tcW w:w="3787" w:type="dxa"/>
          </w:tcPr>
          <w:p>
            <w:pPr>
              <w:pStyle w:val="TableParagraph"/>
              <w:spacing w:before="43"/>
              <w:ind w:left="54"/>
              <w:rPr>
                <w:sz w:val="18"/>
              </w:rPr>
            </w:pPr>
            <w:r>
              <w:rPr>
                <w:sz w:val="18"/>
              </w:rPr>
              <w:t>SETTLEMENTS</w:t>
            </w:r>
          </w:p>
        </w:tc>
        <w:tc>
          <w:tcPr>
            <w:tcW w:w="2172" w:type="dxa"/>
          </w:tcPr>
          <w:p>
            <w:pPr>
              <w:pStyle w:val="TableParagraph"/>
              <w:rPr>
                <w:sz w:val="18"/>
              </w:rPr>
            </w:pPr>
          </w:p>
        </w:tc>
        <w:tc>
          <w:tcPr>
            <w:tcW w:w="2714" w:type="dxa"/>
          </w:tcPr>
          <w:p>
            <w:pPr>
              <w:pStyle w:val="TableParagraph"/>
              <w:rPr>
                <w:sz w:val="18"/>
              </w:rPr>
            </w:pPr>
          </w:p>
        </w:tc>
      </w:tr>
      <w:tr>
        <w:trPr>
          <w:trHeight w:val="302" w:hRule="atLeast"/>
        </w:trPr>
        <w:tc>
          <w:tcPr>
            <w:tcW w:w="3787" w:type="dxa"/>
          </w:tcPr>
          <w:p>
            <w:pPr>
              <w:pStyle w:val="TableParagraph"/>
              <w:spacing w:before="43"/>
              <w:ind w:left="167"/>
              <w:rPr>
                <w:sz w:val="18"/>
              </w:rPr>
            </w:pPr>
            <w:r>
              <w:rPr>
                <w:sz w:val="18"/>
              </w:rPr>
              <w:t>Settlements remaining settlements</w:t>
            </w:r>
          </w:p>
        </w:tc>
        <w:tc>
          <w:tcPr>
            <w:tcW w:w="2172" w:type="dxa"/>
          </w:tcPr>
          <w:p>
            <w:pPr>
              <w:pStyle w:val="TableParagraph"/>
              <w:spacing w:before="43"/>
              <w:ind w:left="55"/>
              <w:rPr>
                <w:sz w:val="18"/>
              </w:rPr>
            </w:pPr>
            <w:r>
              <w:rPr>
                <w:sz w:val="18"/>
              </w:rPr>
              <w:t>RV</w:t>
            </w:r>
          </w:p>
        </w:tc>
        <w:tc>
          <w:tcPr>
            <w:tcW w:w="2714" w:type="dxa"/>
          </w:tcPr>
          <w:p>
            <w:pPr>
              <w:pStyle w:val="TableParagraph"/>
              <w:rPr>
                <w:sz w:val="18"/>
              </w:rPr>
            </w:pPr>
          </w:p>
        </w:tc>
      </w:tr>
      <w:tr>
        <w:trPr>
          <w:trHeight w:val="301" w:hRule="atLeast"/>
        </w:trPr>
        <w:tc>
          <w:tcPr>
            <w:tcW w:w="3787" w:type="dxa"/>
          </w:tcPr>
          <w:p>
            <w:pPr>
              <w:pStyle w:val="TableParagraph"/>
              <w:spacing w:before="43"/>
              <w:ind w:left="167"/>
              <w:rPr>
                <w:sz w:val="18"/>
              </w:rPr>
            </w:pPr>
            <w:r>
              <w:rPr>
                <w:sz w:val="18"/>
              </w:rPr>
              <w:t>Land converted to settlements</w:t>
            </w:r>
          </w:p>
        </w:tc>
        <w:tc>
          <w:tcPr>
            <w:tcW w:w="2172" w:type="dxa"/>
          </w:tcPr>
          <w:p>
            <w:pPr>
              <w:pStyle w:val="TableParagraph"/>
              <w:spacing w:before="43"/>
              <w:ind w:left="56"/>
              <w:rPr>
                <w:sz w:val="18"/>
              </w:rPr>
            </w:pPr>
            <w:r>
              <w:rPr>
                <w:sz w:val="18"/>
              </w:rPr>
              <w:t>D, RV</w:t>
            </w:r>
          </w:p>
        </w:tc>
        <w:tc>
          <w:tcPr>
            <w:tcW w:w="2714" w:type="dxa"/>
          </w:tcPr>
          <w:p>
            <w:pPr>
              <w:pStyle w:val="TableParagraph"/>
              <w:rPr>
                <w:sz w:val="18"/>
              </w:rPr>
            </w:pPr>
          </w:p>
        </w:tc>
      </w:tr>
      <w:tr>
        <w:trPr>
          <w:trHeight w:val="302" w:hRule="atLeast"/>
        </w:trPr>
        <w:tc>
          <w:tcPr>
            <w:tcW w:w="3787" w:type="dxa"/>
          </w:tcPr>
          <w:p>
            <w:pPr>
              <w:pStyle w:val="TableParagraph"/>
              <w:spacing w:before="43"/>
              <w:ind w:left="54"/>
              <w:rPr>
                <w:sz w:val="18"/>
              </w:rPr>
            </w:pPr>
            <w:r>
              <w:rPr>
                <w:sz w:val="18"/>
              </w:rPr>
              <w:t>OTHER LAND</w:t>
            </w:r>
            <w:r>
              <w:rPr>
                <w:sz w:val="18"/>
                <w:vertAlign w:val="superscript"/>
              </w:rPr>
              <w:t>a</w:t>
            </w:r>
            <w:r>
              <w:rPr>
                <w:sz w:val="18"/>
                <w:vertAlign w:val="baseline"/>
              </w:rPr>
              <w:t> </w:t>
            </w:r>
            <w:r>
              <w:rPr>
                <w:sz w:val="18"/>
                <w:vertAlign w:val="superscript"/>
              </w:rPr>
              <w:t>b</w:t>
            </w:r>
          </w:p>
        </w:tc>
        <w:tc>
          <w:tcPr>
            <w:tcW w:w="2172" w:type="dxa"/>
          </w:tcPr>
          <w:p>
            <w:pPr>
              <w:pStyle w:val="TableParagraph"/>
              <w:rPr>
                <w:sz w:val="18"/>
              </w:rPr>
            </w:pPr>
          </w:p>
        </w:tc>
        <w:tc>
          <w:tcPr>
            <w:tcW w:w="2714" w:type="dxa"/>
          </w:tcPr>
          <w:p>
            <w:pPr>
              <w:pStyle w:val="TableParagraph"/>
              <w:rPr>
                <w:sz w:val="18"/>
              </w:rPr>
            </w:pPr>
          </w:p>
        </w:tc>
      </w:tr>
      <w:tr>
        <w:trPr>
          <w:trHeight w:val="301" w:hRule="atLeast"/>
        </w:trPr>
        <w:tc>
          <w:tcPr>
            <w:tcW w:w="3787" w:type="dxa"/>
          </w:tcPr>
          <w:p>
            <w:pPr>
              <w:pStyle w:val="TableParagraph"/>
              <w:spacing w:before="43"/>
              <w:ind w:left="167"/>
              <w:rPr>
                <w:sz w:val="18"/>
              </w:rPr>
            </w:pPr>
            <w:r>
              <w:rPr>
                <w:sz w:val="18"/>
              </w:rPr>
              <w:t>Other land remaining other land</w:t>
            </w:r>
          </w:p>
        </w:tc>
        <w:tc>
          <w:tcPr>
            <w:tcW w:w="2172" w:type="dxa"/>
          </w:tcPr>
          <w:p>
            <w:pPr>
              <w:pStyle w:val="TableParagraph"/>
              <w:rPr>
                <w:sz w:val="18"/>
              </w:rPr>
            </w:pPr>
          </w:p>
        </w:tc>
        <w:tc>
          <w:tcPr>
            <w:tcW w:w="2714" w:type="dxa"/>
          </w:tcPr>
          <w:p>
            <w:pPr>
              <w:pStyle w:val="TableParagraph"/>
              <w:rPr>
                <w:sz w:val="18"/>
              </w:rPr>
            </w:pPr>
          </w:p>
        </w:tc>
      </w:tr>
      <w:tr>
        <w:trPr>
          <w:trHeight w:val="302" w:hRule="atLeast"/>
        </w:trPr>
        <w:tc>
          <w:tcPr>
            <w:tcW w:w="3787" w:type="dxa"/>
          </w:tcPr>
          <w:p>
            <w:pPr>
              <w:pStyle w:val="TableParagraph"/>
              <w:spacing w:before="43"/>
              <w:ind w:left="167"/>
              <w:rPr>
                <w:sz w:val="18"/>
              </w:rPr>
            </w:pPr>
            <w:r>
              <w:rPr>
                <w:sz w:val="18"/>
              </w:rPr>
              <w:t>Land converted to other land</w:t>
            </w:r>
          </w:p>
        </w:tc>
        <w:tc>
          <w:tcPr>
            <w:tcW w:w="2172" w:type="dxa"/>
          </w:tcPr>
          <w:p>
            <w:pPr>
              <w:pStyle w:val="TableParagraph"/>
              <w:spacing w:before="43"/>
              <w:ind w:left="57"/>
              <w:rPr>
                <w:sz w:val="18"/>
              </w:rPr>
            </w:pPr>
            <w:r>
              <w:rPr>
                <w:sz w:val="18"/>
              </w:rPr>
              <w:t>D</w:t>
            </w:r>
          </w:p>
        </w:tc>
        <w:tc>
          <w:tcPr>
            <w:tcW w:w="2714" w:type="dxa"/>
          </w:tcPr>
          <w:p>
            <w:pPr>
              <w:pStyle w:val="TableParagraph"/>
              <w:rPr>
                <w:sz w:val="18"/>
              </w:rPr>
            </w:pPr>
          </w:p>
        </w:tc>
      </w:tr>
      <w:tr>
        <w:trPr>
          <w:trHeight w:val="839" w:hRule="atLeast"/>
        </w:trPr>
        <w:tc>
          <w:tcPr>
            <w:tcW w:w="8673" w:type="dxa"/>
            <w:gridSpan w:val="3"/>
          </w:tcPr>
          <w:p>
            <w:pPr>
              <w:pStyle w:val="TableParagraph"/>
              <w:spacing w:line="190" w:lineRule="exact" w:before="33"/>
              <w:ind w:left="69"/>
              <w:rPr>
                <w:sz w:val="16"/>
              </w:rPr>
            </w:pPr>
            <w:r>
              <w:rPr>
                <w:position w:val="7"/>
                <w:sz w:val="10"/>
              </w:rPr>
              <w:t>a </w:t>
            </w:r>
            <w:r>
              <w:rPr>
                <w:sz w:val="16"/>
              </w:rPr>
              <w:t>Article 3.4 activities only when elected</w:t>
            </w:r>
          </w:p>
          <w:p>
            <w:pPr>
              <w:pStyle w:val="TableParagraph"/>
              <w:spacing w:line="190" w:lineRule="exact"/>
              <w:ind w:left="69"/>
              <w:rPr>
                <w:sz w:val="16"/>
              </w:rPr>
            </w:pPr>
            <w:r>
              <w:rPr>
                <w:position w:val="7"/>
                <w:sz w:val="10"/>
              </w:rPr>
              <w:t>b </w:t>
            </w:r>
            <w:r>
              <w:rPr>
                <w:sz w:val="16"/>
              </w:rPr>
              <w:t>Theoretically revegetation can occur in both subcategories.</w:t>
            </w:r>
          </w:p>
          <w:p>
            <w:pPr>
              <w:pStyle w:val="TableParagraph"/>
              <w:spacing w:before="1"/>
              <w:ind w:left="69" w:right="558"/>
              <w:rPr>
                <w:sz w:val="16"/>
              </w:rPr>
            </w:pPr>
            <w:r>
              <w:rPr>
                <w:sz w:val="16"/>
              </w:rPr>
              <w:t>FM: forest management, AR: afforestation and reforestation, CM: cropland management, D: deforestation, RV: revegetation, GM: grazing land management.</w:t>
            </w:r>
          </w:p>
        </w:tc>
      </w:tr>
    </w:tbl>
    <w:p>
      <w:pPr>
        <w:pStyle w:val="BodyText"/>
      </w:pPr>
    </w:p>
    <w:p>
      <w:pPr>
        <w:pStyle w:val="BodyText"/>
      </w:pPr>
    </w:p>
    <w:p>
      <w:pPr>
        <w:pStyle w:val="BodyText"/>
        <w:spacing w:before="2"/>
        <w:rPr>
          <w:sz w:val="28"/>
        </w:rPr>
      </w:pPr>
      <w:r>
        <w:rPr/>
        <w:pict>
          <v:line style="position:absolute;mso-position-horizontal-relative:page;mso-position-vertical-relative:paragraph;z-index:28832;mso-wrap-distance-left:0;mso-wrap-distance-right:0" from="70.960999pt,18.401953pt" to="214.960999pt,18.401953pt" stroked="true" strokeweight=".48pt" strokecolor="#000000">
            <v:stroke dashstyle="solid"/>
            <w10:wrap type="topAndBottom"/>
          </v:line>
        </w:pict>
      </w:r>
    </w:p>
    <w:p>
      <w:pPr>
        <w:spacing w:before="153"/>
        <w:ind w:left="179" w:right="0" w:firstLine="0"/>
        <w:jc w:val="left"/>
        <w:rPr>
          <w:sz w:val="18"/>
        </w:rPr>
      </w:pPr>
      <w:r>
        <w:rPr>
          <w:position w:val="8"/>
          <w:sz w:val="12"/>
        </w:rPr>
        <w:t>14 </w:t>
      </w:r>
      <w:r>
        <w:rPr>
          <w:sz w:val="18"/>
        </w:rPr>
        <w:t>This applies also when there only are partial overlaps with the UNFCCC inventory.</w:t>
      </w:r>
    </w:p>
    <w:p>
      <w:pPr>
        <w:spacing w:after="0"/>
        <w:jc w:val="left"/>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405"/>
        <w:jc w:val="both"/>
      </w:pPr>
      <w:r>
        <w:rPr/>
        <w:t>The left column lists the categories of Chapter 3 that may have been used in the key category analysis of the UNFCCC inventory</w:t>
      </w:r>
      <w:r>
        <w:rPr>
          <w:vertAlign w:val="superscript"/>
        </w:rPr>
        <w:t>15</w:t>
      </w:r>
      <w:r>
        <w:rPr>
          <w:vertAlign w:val="baseline"/>
        </w:rPr>
        <w:t>. If any of these are identified as key, the Kyoto Protocol activities in the corresponding right column should initially be considered key. However, as in some cases several Kyoto Protocol activities potentially can be key, it is </w:t>
      </w:r>
      <w:r>
        <w:rPr>
          <w:i/>
          <w:vertAlign w:val="baseline"/>
        </w:rPr>
        <w:t>good practice </w:t>
      </w:r>
      <w:r>
        <w:rPr>
          <w:vertAlign w:val="baseline"/>
        </w:rPr>
        <w:t>to qualitatively examine which of the possible activities actually are key. For example, if land converted to rangeland and grassland was identified as key, this can involve deforestation, revegetation, grassland management or land-use changes not covered by the Kyoto Protocol. The land area affected by revegetation may be much smaller than the land area of the Chapter 3 category in which it occurs. If this is the case, and if revegetation is identified as potentially key according to Table 5.4.4, then countries may separately assess the importance of greenhouse gas emissions and removals in revegetation compared to the other category (or categories). It is </w:t>
      </w:r>
      <w:r>
        <w:rPr>
          <w:i/>
          <w:vertAlign w:val="baseline"/>
        </w:rPr>
        <w:t>good practice </w:t>
      </w:r>
      <w:r>
        <w:rPr>
          <w:vertAlign w:val="baseline"/>
        </w:rPr>
        <w:t>to explain and document which of the potential key categories are finally identified as key for Kyoto Protocol</w:t>
      </w:r>
      <w:r>
        <w:rPr>
          <w:spacing w:val="-12"/>
          <w:vertAlign w:val="baseline"/>
        </w:rPr>
        <w:t> </w:t>
      </w:r>
      <w:r>
        <w:rPr>
          <w:vertAlign w:val="baseline"/>
        </w:rPr>
        <w:t>reporting.</w:t>
      </w:r>
    </w:p>
    <w:p>
      <w:pPr>
        <w:pStyle w:val="BodyText"/>
        <w:spacing w:before="120"/>
        <w:ind w:left="179" w:right="1404" w:hanging="1"/>
        <w:jc w:val="both"/>
      </w:pPr>
      <w:r>
        <w:rPr/>
        <w:t>In addition, it is </w:t>
      </w:r>
      <w:r>
        <w:rPr>
          <w:i/>
        </w:rPr>
        <w:t>good practice </w:t>
      </w:r>
      <w:r>
        <w:rPr/>
        <w:t>to take into account the following considerations in the key category determination for estimates prepared under Articles 3.3 and 3.4 of the Kyoto</w:t>
      </w:r>
      <w:r>
        <w:rPr>
          <w:spacing w:val="-10"/>
        </w:rPr>
        <w:t> </w:t>
      </w:r>
      <w:r>
        <w:rPr/>
        <w:t>Protocol:</w:t>
      </w:r>
    </w:p>
    <w:p>
      <w:pPr>
        <w:pStyle w:val="ListParagraph"/>
        <w:numPr>
          <w:ilvl w:val="0"/>
          <w:numId w:val="117"/>
        </w:numPr>
        <w:tabs>
          <w:tab w:pos="540" w:val="left" w:leader="none"/>
        </w:tabs>
        <w:spacing w:line="235" w:lineRule="auto" w:before="136" w:after="0"/>
        <w:ind w:left="539" w:right="1403" w:hanging="360"/>
        <w:jc w:val="both"/>
        <w:rPr>
          <w:sz w:val="20"/>
        </w:rPr>
      </w:pPr>
      <w:r>
        <w:rPr>
          <w:sz w:val="20"/>
        </w:rPr>
        <w:t>As shown in Table 5.4.4., several activities under the Kyoto Protocol can occur in more than one category of the UNFCCC inventory. In such cases, it is </w:t>
      </w:r>
      <w:r>
        <w:rPr>
          <w:i/>
          <w:sz w:val="20"/>
        </w:rPr>
        <w:t>good practice </w:t>
      </w:r>
      <w:r>
        <w:rPr>
          <w:sz w:val="20"/>
        </w:rPr>
        <w:t>to consider the total emissions and removals from the activity for purposes of the key category analysis. When this approach is needed, an activity should be considered key if the emissions or removals from the sum are greater than the emissions from the smallest category that is identified as key in the UNFCCC inventory (including</w:t>
      </w:r>
      <w:r>
        <w:rPr>
          <w:spacing w:val="-19"/>
          <w:sz w:val="20"/>
        </w:rPr>
        <w:t> </w:t>
      </w:r>
      <w:r>
        <w:rPr>
          <w:sz w:val="20"/>
        </w:rPr>
        <w:t>LULUCF).</w:t>
      </w:r>
    </w:p>
    <w:p>
      <w:pPr>
        <w:pStyle w:val="ListParagraph"/>
        <w:numPr>
          <w:ilvl w:val="0"/>
          <w:numId w:val="117"/>
        </w:numPr>
        <w:tabs>
          <w:tab w:pos="540" w:val="left" w:leader="none"/>
        </w:tabs>
        <w:spacing w:line="235" w:lineRule="auto" w:before="141" w:after="0"/>
        <w:ind w:left="539" w:right="1404" w:hanging="360"/>
        <w:jc w:val="both"/>
        <w:rPr>
          <w:sz w:val="20"/>
        </w:rPr>
      </w:pPr>
      <w:r>
        <w:rPr>
          <w:sz w:val="20"/>
        </w:rPr>
        <w:t>If, when using the quantitative methods, a category is not identified as key for the present year but it is anticipated to strongly increase in the future, it should be designated as key. This could, for example, occur with a large- scale afforestation programme producing only small sinks in initial years, but with the expectation of larger yields</w:t>
      </w:r>
      <w:r>
        <w:rPr>
          <w:spacing w:val="-4"/>
          <w:sz w:val="20"/>
        </w:rPr>
        <w:t> </w:t>
      </w:r>
      <w:r>
        <w:rPr>
          <w:sz w:val="20"/>
        </w:rPr>
        <w:t>later.</w:t>
      </w:r>
    </w:p>
    <w:p>
      <w:pPr>
        <w:pStyle w:val="ListParagraph"/>
        <w:numPr>
          <w:ilvl w:val="0"/>
          <w:numId w:val="117"/>
        </w:numPr>
        <w:tabs>
          <w:tab w:pos="540" w:val="left" w:leader="none"/>
        </w:tabs>
        <w:spacing w:line="235" w:lineRule="auto" w:before="138" w:after="0"/>
        <w:ind w:left="539" w:right="1402" w:hanging="360"/>
        <w:jc w:val="both"/>
        <w:rPr>
          <w:sz w:val="20"/>
        </w:rPr>
      </w:pPr>
      <w:r>
        <w:rPr>
          <w:sz w:val="20"/>
        </w:rPr>
        <w:t>In some cases, it is possible that the emissions or removals from an activity under the Kyoto Protocol could exceed the emissions or removals of the associated category in the UNFCCC inventory. In such a case the Kyoto Protocol activity should be identified as key if its emissions/removals exceed the emissions of the smallest category that is identified as key in the UNFCCC inventory (including</w:t>
      </w:r>
      <w:r>
        <w:rPr>
          <w:spacing w:val="-19"/>
          <w:sz w:val="20"/>
        </w:rPr>
        <w:t> </w:t>
      </w:r>
      <w:r>
        <w:rPr>
          <w:sz w:val="20"/>
        </w:rPr>
        <w:t>LULUCF).</w:t>
      </w:r>
    </w:p>
    <w:p>
      <w:pPr>
        <w:pStyle w:val="BodyText"/>
        <w:spacing w:before="117"/>
        <w:ind w:left="179" w:right="1405"/>
        <w:jc w:val="both"/>
      </w:pPr>
      <w:r>
        <w:rPr/>
        <w:t>For each key category, the inventory agency should determine if certain subcategories are particularly significant (i.e., represent a significant share of the emissions or removals). For example, if cropland management has been elected and is identified as key, it is </w:t>
      </w:r>
      <w:r>
        <w:rPr>
          <w:i/>
        </w:rPr>
        <w:t>good practice </w:t>
      </w:r>
      <w:r>
        <w:rPr/>
        <w:t>to identify what subcategories are particularly important and focus efforts towards methodological improvements on these subcategories. As described in Section 5.4.2.2, the quantitative key category assessment can only be made at a more disaggregated level if correlations between input data can be taken into account.</w:t>
      </w:r>
    </w:p>
    <w:p>
      <w:pPr>
        <w:pStyle w:val="BodyText"/>
        <w:spacing w:before="118"/>
        <w:ind w:left="179" w:right="1404"/>
        <w:jc w:val="both"/>
      </w:pPr>
      <w:r>
        <w:rPr/>
        <w:t>Because there will be special requirements related to methodologies and verification for estimates for LULUCF projects under Articles 6 and 12 of the Kyoto Protocol, projects have not been integrated into the key category concept. Section 4.3 in Chapter 4 gives </w:t>
      </w:r>
      <w:r>
        <w:rPr>
          <w:i/>
        </w:rPr>
        <w:t>good practice guidance </w:t>
      </w:r>
      <w:r>
        <w:rPr/>
        <w:t>on how these estimates should be prepared for the LULUCF inventories for reporting under the Kyoto</w:t>
      </w:r>
      <w:r>
        <w:rPr>
          <w:spacing w:val="-2"/>
        </w:rPr>
        <w:t> </w:t>
      </w:r>
      <w:r>
        <w:rPr/>
        <w:t>Protocol.</w:t>
      </w:r>
    </w:p>
    <w:p>
      <w:pPr>
        <w:pStyle w:val="BodyText"/>
        <w:rPr>
          <w:sz w:val="22"/>
        </w:rPr>
      </w:pPr>
    </w:p>
    <w:p>
      <w:pPr>
        <w:pStyle w:val="BodyText"/>
        <w:spacing w:before="2"/>
      </w:pPr>
    </w:p>
    <w:p>
      <w:pPr>
        <w:pStyle w:val="Heading2"/>
        <w:numPr>
          <w:ilvl w:val="2"/>
          <w:numId w:val="179"/>
        </w:numPr>
        <w:tabs>
          <w:tab w:pos="1382" w:val="left" w:leader="none"/>
        </w:tabs>
        <w:spacing w:line="240" w:lineRule="auto" w:before="0" w:after="0"/>
        <w:ind w:left="1381" w:right="0" w:hanging="1202"/>
        <w:jc w:val="both"/>
      </w:pPr>
      <w:bookmarkStart w:name="_TOC_250027" w:id="28"/>
      <w:r>
        <w:rPr>
          <w:spacing w:val="9"/>
        </w:rPr>
        <w:t>Application </w:t>
      </w:r>
      <w:r>
        <w:rPr>
          <w:spacing w:val="6"/>
        </w:rPr>
        <w:t>of the</w:t>
      </w:r>
      <w:r>
        <w:rPr>
          <w:spacing w:val="43"/>
        </w:rPr>
        <w:t> </w:t>
      </w:r>
      <w:bookmarkEnd w:id="28"/>
      <w:r>
        <w:rPr>
          <w:spacing w:val="9"/>
        </w:rPr>
        <w:t>Results</w:t>
      </w:r>
    </w:p>
    <w:p>
      <w:pPr>
        <w:pStyle w:val="BodyText"/>
        <w:spacing w:before="116"/>
        <w:ind w:left="179" w:right="1404"/>
        <w:jc w:val="both"/>
      </w:pPr>
      <w:r>
        <w:rPr/>
        <w:t>Identification of key categories in national inventories is important because the resources available for preparing inventories are finite and their use should be prioritised. It is essential that estimates be prepared for all categories, in order to ensure completeness. As far as possible, key categories should receive special consideration in terms of two important inventory aspects. Figure 5.4.2 illustrates a decision tree to choose a </w:t>
      </w:r>
      <w:r>
        <w:rPr>
          <w:i/>
        </w:rPr>
        <w:t>good practice </w:t>
      </w:r>
      <w:r>
        <w:rPr/>
        <w:t>method, which is modified from Figure 7.4 of Chapter 7 of </w:t>
      </w:r>
      <w:r>
        <w:rPr>
          <w:i/>
        </w:rPr>
        <w:t>GPG2000 </w:t>
      </w:r>
      <w:r>
        <w:rPr/>
        <w:t>to make it applicable to the LULUCF</w:t>
      </w:r>
      <w:r>
        <w:rPr>
          <w:spacing w:val="-2"/>
        </w:rPr>
        <w:t> </w:t>
      </w:r>
      <w:r>
        <w:rPr/>
        <w:t>sector.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15"/>
        </w:rPr>
      </w:pPr>
      <w:r>
        <w:rPr/>
        <w:pict>
          <v:line style="position:absolute;mso-position-horizontal-relative:page;mso-position-vertical-relative:paragraph;z-index:28856;mso-wrap-distance-left:0;mso-wrap-distance-right:0" from="70.960999pt,11.213457pt" to="214.960999pt,11.213457pt" stroked="true" strokeweight=".48pt" strokecolor="#000000">
            <v:stroke dashstyle="solid"/>
            <w10:wrap type="topAndBottom"/>
          </v:line>
        </w:pict>
      </w:r>
    </w:p>
    <w:p>
      <w:pPr>
        <w:spacing w:before="150"/>
        <w:ind w:left="337" w:right="1407" w:hanging="159"/>
        <w:jc w:val="left"/>
        <w:rPr>
          <w:sz w:val="18"/>
        </w:rPr>
      </w:pPr>
      <w:r>
        <w:rPr>
          <w:position w:val="8"/>
          <w:sz w:val="12"/>
        </w:rPr>
        <w:t>15 </w:t>
      </w:r>
      <w:r>
        <w:rPr>
          <w:sz w:val="18"/>
        </w:rPr>
        <w:t>If the analysis was based on the IPCC source/sink categories (1996) the transformation will be less precise. The mapping is shown in Chapter 3, Section 3.1.</w:t>
      </w:r>
    </w:p>
    <w:p>
      <w:pPr>
        <w:spacing w:after="0"/>
        <w:jc w:val="left"/>
        <w:rPr>
          <w:sz w:val="18"/>
        </w:rPr>
        <w:sectPr>
          <w:pgSz w:w="11900" w:h="16840"/>
          <w:pgMar w:header="230" w:footer="408" w:top="560" w:bottom="600" w:left="1240" w:right="0"/>
        </w:sectPr>
      </w:pPr>
    </w:p>
    <w:p>
      <w:pPr>
        <w:pStyle w:val="BodyText"/>
      </w:pPr>
    </w:p>
    <w:p>
      <w:pPr>
        <w:pStyle w:val="BodyText"/>
        <w:rPr>
          <w:sz w:val="19"/>
        </w:rPr>
      </w:pPr>
    </w:p>
    <w:p>
      <w:pPr>
        <w:tabs>
          <w:tab w:pos="1881" w:val="left" w:leader="none"/>
        </w:tabs>
        <w:spacing w:before="91"/>
        <w:ind w:left="179" w:right="0" w:firstLine="0"/>
        <w:jc w:val="left"/>
        <w:rPr>
          <w:b/>
          <w:sz w:val="20"/>
        </w:rPr>
      </w:pPr>
      <w:r>
        <w:rPr/>
        <w:pict>
          <v:shape style="position:absolute;margin-left:375.640991pt;margin-top:230.846268pt;width:6pt;height:68.4pt;mso-position-horizontal-relative:page;mso-position-vertical-relative:paragraph;z-index:31264" coordorigin="7513,4617" coordsize="120,1368" path="m7578,4708l7568,4708,7566,4711,7566,5980,7568,5985,7578,5985,7580,5980,7580,4711,7578,4708xm7573,4617l7513,4737,7566,4737,7566,4711,7568,4708,7618,4708,7573,4617xm7618,4708l7578,4708,7580,4711,7580,4737,7633,4737,7618,4708xe" filled="true" fillcolor="#010101" stroked="false">
            <v:path arrowok="t"/>
            <v:fill type="solid"/>
            <w10:wrap type="none"/>
          </v:shape>
        </w:pict>
      </w:r>
      <w:r>
        <w:rPr>
          <w:b/>
          <w:spacing w:val="8"/>
          <w:sz w:val="20"/>
        </w:rPr>
        <w:t>Figure</w:t>
      </w:r>
      <w:r>
        <w:rPr>
          <w:b/>
          <w:spacing w:val="19"/>
          <w:sz w:val="20"/>
        </w:rPr>
        <w:t> </w:t>
      </w:r>
      <w:r>
        <w:rPr>
          <w:b/>
          <w:spacing w:val="8"/>
          <w:sz w:val="20"/>
        </w:rPr>
        <w:t>5.4.2</w:t>
        <w:tab/>
        <w:t>Decision tree </w:t>
      </w:r>
      <w:r>
        <w:rPr>
          <w:b/>
          <w:spacing w:val="5"/>
          <w:sz w:val="20"/>
        </w:rPr>
        <w:t>to </w:t>
      </w:r>
      <w:r>
        <w:rPr>
          <w:b/>
          <w:spacing w:val="8"/>
          <w:sz w:val="20"/>
        </w:rPr>
        <w:t>choose </w:t>
      </w:r>
      <w:r>
        <w:rPr>
          <w:b/>
          <w:sz w:val="20"/>
        </w:rPr>
        <w:t>a </w:t>
      </w:r>
      <w:r>
        <w:rPr>
          <w:rFonts w:ascii="TimesNewRomanPS-BoldItalicMT"/>
          <w:b/>
          <w:i/>
          <w:spacing w:val="7"/>
          <w:sz w:val="20"/>
        </w:rPr>
        <w:t>good </w:t>
      </w:r>
      <w:r>
        <w:rPr>
          <w:rFonts w:ascii="TimesNewRomanPS-BoldItalicMT"/>
          <w:b/>
          <w:i/>
          <w:spacing w:val="8"/>
          <w:sz w:val="20"/>
        </w:rPr>
        <w:t>practice</w:t>
      </w:r>
      <w:r>
        <w:rPr>
          <w:rFonts w:ascii="TimesNewRomanPS-BoldItalicMT"/>
          <w:b/>
          <w:i/>
          <w:spacing w:val="55"/>
          <w:sz w:val="20"/>
        </w:rPr>
        <w:t> </w:t>
      </w:r>
      <w:r>
        <w:rPr>
          <w:b/>
          <w:spacing w:val="7"/>
          <w:sz w:val="20"/>
        </w:rPr>
        <w:t>method</w:t>
      </w:r>
    </w:p>
    <w:p>
      <w:pPr>
        <w:pStyle w:val="BodyText"/>
        <w:spacing w:before="8"/>
        <w:rPr>
          <w:b/>
          <w:sz w:val="23"/>
        </w:rPr>
      </w:pPr>
      <w:r>
        <w:rPr/>
        <w:pict>
          <v:group style="position:absolute;margin-left:115.825996pt;margin-top:15.617881pt;width:329.25pt;height:421.15pt;mso-position-horizontal-relative:page;mso-position-vertical-relative:paragraph;z-index:29192;mso-wrap-distance-left:0;mso-wrap-distance-right:0" coordorigin="2317,312" coordsize="6585,8423">
            <v:shape style="position:absolute;left:2624;top:319;width:2600;height:1731" coordorigin="2624,320" coordsize="2600,1731" path="m3925,320l2624,1186,3925,2050,5223,1186,3925,320xe" filled="false" stroked="true" strokeweight=".75pt" strokecolor="#010101">
              <v:path arrowok="t"/>
              <v:stroke dashstyle="solid"/>
            </v:shape>
            <v:shape style="position:absolute;left:3864;top:2040;width:120;height:461" coordorigin="3865,2041" coordsize="120,461" path="m3915,2381l3865,2381,3925,2501,3970,2410,3920,2410,3915,2408,3915,2381xm3927,2041l3920,2041,3915,2043,3915,2408,3920,2410,3927,2410,3932,2408,3932,2043,3927,2041xm3985,2381l3932,2381,3932,2408,3927,2410,3970,2410,3985,2381xe" filled="true" fillcolor="#010101" stroked="false">
              <v:path arrowok="t"/>
              <v:fill type="solid"/>
            </v:shape>
            <v:shape style="position:absolute;left:2324;top:2484;width:3200;height:2172" coordorigin="2324,2485" coordsize="3200,2172" path="m3925,2485l2324,3572,3925,4657,5523,3572,3925,2485xe" filled="false" stroked="true" strokeweight=".75pt" strokecolor="#010101">
              <v:path arrowok="t"/>
              <v:stroke dashstyle="solid"/>
            </v:shape>
            <v:shape style="position:absolute;left:3864;top:4649;width:120;height:555" coordorigin="3865,4649" coordsize="120,555" path="m3917,5084l3865,5084,3925,5204,3970,5113,3920,5113,3918,5108,3917,5084xm3927,4649l3920,4649,3915,4654,3918,5108,3920,5113,3930,5113,3932,5108,3932,4654,3927,4649xm3985,5084l3932,5084,3932,5108,3930,5113,3970,5113,3985,5084xe" filled="true" fillcolor="#010101" stroked="false">
              <v:path arrowok="t"/>
              <v:fill type="solid"/>
            </v:shape>
            <v:shape style="position:absolute;left:2324;top:5199;width:3200;height:2175" coordorigin="2324,5199" coordsize="3200,2175" path="m3925,5199l2324,6286,3925,7373,5523,6286,3925,5199xe" filled="false" stroked="true" strokeweight=".75pt" strokecolor="#010101">
              <v:path arrowok="t"/>
              <v:stroke dashstyle="solid"/>
            </v:shape>
            <v:shape style="position:absolute;left:5216;top:1121;width:1308;height:120" coordorigin="5216,1121" coordsize="1308,120" path="m6404,1121l6404,1241,6505,1191,6428,1191,6430,1186,6430,1179,6428,1174,6510,1174,6404,1121xm6404,1174l5218,1174,5216,1179,5216,1186,5218,1191,6404,1191,6404,1174xm6510,1174l6428,1174,6430,1179,6430,1186,6428,1191,6505,1191,6524,1181,6510,1174xe" filled="true" fillcolor="#010101" stroked="false">
              <v:path arrowok="t"/>
              <v:fill type="solid"/>
            </v:shape>
            <v:shape style="position:absolute;left:5516;top:3509;width:1008;height:120" coordorigin="5516,3509" coordsize="1008,120" path="m6404,3509l6404,3629,6505,3579,6428,3579,6430,3574,6430,3567,6428,3562,6510,3562,6404,3509xm6404,3562l5518,3562,5516,3567,5516,3574,5518,3579,6404,3579,6404,3562xm6510,3562l6428,3562,6430,3567,6430,3574,6428,3579,6505,3579,6524,3569,6510,3562xe" filled="true" fillcolor="#010101" stroked="false">
              <v:path arrowok="t"/>
              <v:fill type="solid"/>
            </v:shape>
            <v:shape style="position:absolute;left:5499;top:6228;width:1016;height:120" coordorigin="5499,6229" coordsize="1016,120" path="m6394,6296l6394,6349,6500,6296,6418,6296,6394,6296xm6394,6229l6394,6296,6418,6296,6423,6291,6423,6284,6418,6279,6495,6279,6394,6229xm6495,6279l6418,6279,6423,6284,6423,6291,6418,6296,6500,6296,6514,6289,6495,6279xm6394,6279l5502,6279,5499,6281,5499,6291,5502,6293,6394,6296,6394,6279xe" filled="true" fillcolor="#010101" stroked="false">
              <v:path arrowok="t"/>
              <v:fill type="solid"/>
            </v:shape>
            <v:shape style="position:absolute;left:3915;top:7863;width:2571;height:120" coordorigin="3915,7863" coordsize="2571,120" path="m6366,7863l6366,7983,6471,7930,6392,7930,6394,7928,6394,7918,6392,7916,6471,7916,6366,7863xm6366,7916l3920,7916,3915,7918,3915,7928,3920,7930,6366,7930,6366,7916xm6471,7916l6392,7916,6394,7918,6394,7928,6392,7930,6471,7930,6486,7923,6471,7916xe" filled="true" fillcolor="#010101" stroked="false">
              <v:path arrowok="t"/>
              <v:fill type="solid"/>
            </v:shape>
            <v:line style="position:absolute" from="3925,7373" to="3925,7940" stroked="true" strokeweight=".75pt" strokecolor="#010101">
              <v:stroke dashstyle="solid"/>
            </v:line>
            <v:shape style="position:absolute;left:3264;top:578;width:1343;height:911" type="#_x0000_t202" filled="false" stroked="false">
              <v:textbox inset="0,0,0,0">
                <w:txbxContent>
                  <w:p>
                    <w:pPr>
                      <w:spacing w:line="222" w:lineRule="exact" w:before="0"/>
                      <w:ind w:left="326" w:right="345" w:firstLine="0"/>
                      <w:jc w:val="center"/>
                      <w:rPr>
                        <w:sz w:val="20"/>
                      </w:rPr>
                    </w:pPr>
                    <w:r>
                      <w:rPr>
                        <w:sz w:val="20"/>
                      </w:rPr>
                      <w:t>Is</w:t>
                    </w:r>
                  </w:p>
                  <w:p>
                    <w:pPr>
                      <w:spacing w:before="0"/>
                      <w:ind w:left="0" w:right="18" w:firstLine="4"/>
                      <w:jc w:val="center"/>
                      <w:rPr>
                        <w:sz w:val="20"/>
                      </w:rPr>
                    </w:pPr>
                    <w:r>
                      <w:rPr>
                        <w:sz w:val="20"/>
                      </w:rPr>
                      <w:t>the category considered a </w:t>
                    </w:r>
                    <w:r>
                      <w:rPr>
                        <w:i/>
                        <w:sz w:val="20"/>
                      </w:rPr>
                      <w:t>key category</w:t>
                    </w:r>
                    <w:r>
                      <w:rPr>
                        <w:sz w:val="20"/>
                      </w:rPr>
                      <w:t>?</w:t>
                    </w:r>
                  </w:p>
                </w:txbxContent>
              </v:textbox>
              <w10:wrap type="none"/>
            </v:shape>
            <v:shape style="position:absolute;left:5403;top:861;width:265;height:222" type="#_x0000_t202" filled="false" stroked="false">
              <v:textbox inset="0,0,0,0">
                <w:txbxContent>
                  <w:p>
                    <w:pPr>
                      <w:spacing w:line="222" w:lineRule="exact" w:before="0"/>
                      <w:ind w:left="0" w:right="0" w:firstLine="0"/>
                      <w:jc w:val="left"/>
                      <w:rPr>
                        <w:sz w:val="20"/>
                      </w:rPr>
                    </w:pPr>
                    <w:r>
                      <w:rPr>
                        <w:sz w:val="20"/>
                      </w:rPr>
                      <w:t>No</w:t>
                    </w:r>
                  </w:p>
                </w:txbxContent>
              </v:textbox>
              <w10:wrap type="none"/>
            </v:shape>
            <v:shape style="position:absolute;left:3404;top:2106;width:330;height:222" type="#_x0000_t202" filled="false" stroked="false">
              <v:textbox inset="0,0,0,0">
                <w:txbxContent>
                  <w:p>
                    <w:pPr>
                      <w:spacing w:line="222" w:lineRule="exact" w:before="0"/>
                      <w:ind w:left="0" w:right="0" w:firstLine="0"/>
                      <w:jc w:val="left"/>
                      <w:rPr>
                        <w:sz w:val="20"/>
                      </w:rPr>
                    </w:pPr>
                    <w:r>
                      <w:rPr>
                        <w:sz w:val="20"/>
                      </w:rPr>
                      <w:t>Yes</w:t>
                    </w:r>
                  </w:p>
                </w:txbxContent>
              </v:textbox>
              <w10:wrap type="none"/>
            </v:shape>
            <v:shape style="position:absolute;left:2724;top:2879;width:2420;height:1377" type="#_x0000_t202" filled="false" stroked="false">
              <v:textbox inset="0,0,0,0">
                <w:txbxContent>
                  <w:p>
                    <w:pPr>
                      <w:spacing w:line="240" w:lineRule="auto" w:before="0"/>
                      <w:ind w:left="544" w:right="562" w:firstLine="357"/>
                      <w:jc w:val="left"/>
                      <w:rPr>
                        <w:sz w:val="20"/>
                      </w:rPr>
                    </w:pPr>
                    <w:r>
                      <w:rPr>
                        <w:sz w:val="20"/>
                      </w:rPr>
                      <w:t>Are the data available</w:t>
                    </w:r>
                    <w:r>
                      <w:rPr>
                        <w:spacing w:val="-9"/>
                        <w:sz w:val="20"/>
                      </w:rPr>
                      <w:t> </w:t>
                    </w:r>
                    <w:r>
                      <w:rPr>
                        <w:sz w:val="20"/>
                      </w:rPr>
                      <w:t>to</w:t>
                    </w:r>
                  </w:p>
                  <w:p>
                    <w:pPr>
                      <w:spacing w:before="0"/>
                      <w:ind w:left="0" w:right="18" w:firstLine="0"/>
                      <w:jc w:val="center"/>
                      <w:rPr>
                        <w:sz w:val="20"/>
                      </w:rPr>
                    </w:pPr>
                    <w:r>
                      <w:rPr>
                        <w:sz w:val="20"/>
                      </w:rPr>
                      <w:t>follow category-specific </w:t>
                    </w:r>
                    <w:r>
                      <w:rPr>
                        <w:i/>
                        <w:sz w:val="20"/>
                      </w:rPr>
                      <w:t>good practice guidance </w:t>
                    </w:r>
                    <w:r>
                      <w:rPr>
                        <w:sz w:val="20"/>
                      </w:rPr>
                      <w:t>related to the key</w:t>
                    </w:r>
                  </w:p>
                  <w:p>
                    <w:pPr>
                      <w:spacing w:before="0"/>
                      <w:ind w:left="0" w:right="22" w:firstLine="0"/>
                      <w:jc w:val="center"/>
                      <w:rPr>
                        <w:sz w:val="20"/>
                      </w:rPr>
                    </w:pPr>
                    <w:r>
                      <w:rPr>
                        <w:sz w:val="20"/>
                      </w:rPr>
                      <w:t>categories?</w:t>
                    </w:r>
                  </w:p>
                </w:txbxContent>
              </v:textbox>
              <w10:wrap type="none"/>
            </v:shape>
            <v:shape style="position:absolute;left:5571;top:3270;width:331;height:222" type="#_x0000_t202" filled="false" stroked="false">
              <v:textbox inset="0,0,0,0">
                <w:txbxContent>
                  <w:p>
                    <w:pPr>
                      <w:spacing w:line="222" w:lineRule="exact" w:before="0"/>
                      <w:ind w:left="0" w:right="0" w:firstLine="0"/>
                      <w:jc w:val="left"/>
                      <w:rPr>
                        <w:sz w:val="20"/>
                      </w:rPr>
                    </w:pPr>
                    <w:r>
                      <w:rPr>
                        <w:sz w:val="20"/>
                      </w:rPr>
                      <w:t>Yes</w:t>
                    </w:r>
                  </w:p>
                </w:txbxContent>
              </v:textbox>
              <w10:wrap type="none"/>
            </v:shape>
            <v:shape style="position:absolute;left:3404;top:4715;width:265;height:222" type="#_x0000_t202" filled="false" stroked="false">
              <v:textbox inset="0,0,0,0">
                <w:txbxContent>
                  <w:p>
                    <w:pPr>
                      <w:spacing w:line="222" w:lineRule="exact" w:before="0"/>
                      <w:ind w:left="0" w:right="0" w:firstLine="0"/>
                      <w:jc w:val="left"/>
                      <w:rPr>
                        <w:sz w:val="20"/>
                      </w:rPr>
                    </w:pPr>
                    <w:r>
                      <w:rPr>
                        <w:sz w:val="20"/>
                      </w:rPr>
                      <w:t>No</w:t>
                    </w:r>
                  </w:p>
                </w:txbxContent>
              </v:textbox>
              <w10:wrap type="none"/>
            </v:shape>
            <v:shape style="position:absolute;left:2880;top:5442;width:2108;height:1372" type="#_x0000_t202" filled="false" stroked="false">
              <v:textbox inset="0,0,0,0">
                <w:txbxContent>
                  <w:p>
                    <w:pPr>
                      <w:spacing w:line="222" w:lineRule="exact" w:before="0"/>
                      <w:ind w:left="864" w:right="881" w:firstLine="0"/>
                      <w:jc w:val="center"/>
                      <w:rPr>
                        <w:sz w:val="20"/>
                      </w:rPr>
                    </w:pPr>
                    <w:r>
                      <w:rPr>
                        <w:sz w:val="20"/>
                      </w:rPr>
                      <w:t>Can</w:t>
                    </w:r>
                  </w:p>
                  <w:p>
                    <w:pPr>
                      <w:spacing w:before="0"/>
                      <w:ind w:left="213" w:right="229" w:hanging="3"/>
                      <w:jc w:val="center"/>
                      <w:rPr>
                        <w:sz w:val="20"/>
                      </w:rPr>
                    </w:pPr>
                    <w:r>
                      <w:rPr>
                        <w:sz w:val="20"/>
                      </w:rPr>
                      <w:t>data be collected without significantly</w:t>
                    </w:r>
                  </w:p>
                  <w:p>
                    <w:pPr>
                      <w:spacing w:before="0"/>
                      <w:ind w:left="537" w:right="0" w:hanging="538"/>
                      <w:jc w:val="left"/>
                      <w:rPr>
                        <w:sz w:val="20"/>
                      </w:rPr>
                    </w:pPr>
                    <w:r>
                      <w:rPr>
                        <w:sz w:val="20"/>
                      </w:rPr>
                      <w:t>jeopardising the resources for other </w:t>
                    </w:r>
                    <w:r>
                      <w:rPr>
                        <w:i/>
                        <w:sz w:val="20"/>
                      </w:rPr>
                      <w:t>key categories</w:t>
                    </w:r>
                    <w:r>
                      <w:rPr>
                        <w:sz w:val="20"/>
                      </w:rPr>
                      <w:t>?</w:t>
                    </w:r>
                  </w:p>
                </w:txbxContent>
              </v:textbox>
              <w10:wrap type="none"/>
            </v:shape>
            <v:shape style="position:absolute;left:5571;top:5990;width:331;height:222" type="#_x0000_t202" filled="false" stroked="false">
              <v:textbox inset="0,0,0,0">
                <w:txbxContent>
                  <w:p>
                    <w:pPr>
                      <w:spacing w:line="222" w:lineRule="exact" w:before="0"/>
                      <w:ind w:left="0" w:right="0" w:firstLine="0"/>
                      <w:jc w:val="left"/>
                      <w:rPr>
                        <w:sz w:val="20"/>
                      </w:rPr>
                    </w:pPr>
                    <w:r>
                      <w:rPr>
                        <w:sz w:val="20"/>
                      </w:rPr>
                      <w:t>Yes</w:t>
                    </w:r>
                  </w:p>
                </w:txbxContent>
              </v:textbox>
              <w10:wrap type="none"/>
            </v:shape>
            <v:shape style="position:absolute;left:3413;top:7430;width:264;height:222" type="#_x0000_t202" filled="false" stroked="false">
              <v:textbox inset="0,0,0,0">
                <w:txbxContent>
                  <w:p>
                    <w:pPr>
                      <w:spacing w:line="222" w:lineRule="exact" w:before="0"/>
                      <w:ind w:left="0" w:right="0" w:firstLine="0"/>
                      <w:jc w:val="left"/>
                      <w:rPr>
                        <w:sz w:val="20"/>
                      </w:rPr>
                    </w:pPr>
                    <w:r>
                      <w:rPr>
                        <w:sz w:val="20"/>
                      </w:rPr>
                      <w:t>No</w:t>
                    </w:r>
                  </w:p>
                </w:txbxContent>
              </v:textbox>
              <w10:wrap type="none"/>
            </v:shape>
            <v:shape style="position:absolute;left:6485;top:7097;width:2400;height:1623" type="#_x0000_t202" filled="false" stroked="true" strokeweight="1.5pt" strokecolor="#010101">
              <v:textbox inset="0,0,0,0">
                <w:txbxContent>
                  <w:p>
                    <w:pPr>
                      <w:spacing w:before="153"/>
                      <w:ind w:left="198" w:right="191" w:hanging="1"/>
                      <w:jc w:val="center"/>
                      <w:rPr>
                        <w:sz w:val="20"/>
                      </w:rPr>
                    </w:pPr>
                    <w:r>
                      <w:rPr>
                        <w:sz w:val="20"/>
                      </w:rPr>
                      <w:t>Choose a </w:t>
                    </w:r>
                    <w:r>
                      <w:rPr>
                        <w:i/>
                        <w:sz w:val="20"/>
                      </w:rPr>
                      <w:t>good practice </w:t>
                    </w:r>
                    <w:r>
                      <w:rPr>
                        <w:sz w:val="20"/>
                      </w:rPr>
                      <w:t>method appropriate to available data </w:t>
                    </w:r>
                    <w:r>
                      <w:rPr>
                        <w:i/>
                        <w:sz w:val="20"/>
                        <w:u w:val="single"/>
                      </w:rPr>
                      <w:t>and</w:t>
                    </w:r>
                    <w:r>
                      <w:rPr>
                        <w:i/>
                        <w:sz w:val="20"/>
                      </w:rPr>
                      <w:t> document </w:t>
                    </w:r>
                    <w:r>
                      <w:rPr>
                        <w:sz w:val="20"/>
                      </w:rPr>
                      <w:t>why category- specific guidance cannot be followed</w:t>
                    </w:r>
                  </w:p>
                </w:txbxContent>
              </v:textbox>
              <v:stroke dashstyle="solid"/>
              <w10:wrap type="none"/>
            </v:shape>
            <v:shape style="position:absolute;left:6524;top:5676;width:2201;height:1152" type="#_x0000_t202" filled="false" stroked="true" strokeweight=".75pt" strokecolor="#010101">
              <v:textbox inset="0,0,0,0">
                <w:txbxContent>
                  <w:p>
                    <w:pPr>
                      <w:spacing w:line="240" w:lineRule="auto" w:before="5"/>
                      <w:rPr>
                        <w:b/>
                        <w:sz w:val="25"/>
                      </w:rPr>
                    </w:pPr>
                  </w:p>
                  <w:p>
                    <w:pPr>
                      <w:spacing w:line="244" w:lineRule="auto" w:before="0"/>
                      <w:ind w:left="530" w:right="284" w:hanging="231"/>
                      <w:jc w:val="left"/>
                      <w:rPr>
                        <w:sz w:val="20"/>
                      </w:rPr>
                    </w:pPr>
                    <w:r>
                      <w:rPr>
                        <w:sz w:val="20"/>
                      </w:rPr>
                      <w:t>Make arrangements to collect data</w:t>
                    </w:r>
                  </w:p>
                </w:txbxContent>
              </v:textbox>
              <v:stroke dashstyle="solid"/>
              <w10:wrap type="none"/>
            </v:shape>
            <v:shape style="position:absolute;left:6524;top:2777;width:2201;height:1520" type="#_x0000_t202" filled="false" stroked="true" strokeweight="1.5pt" strokecolor="#010101">
              <v:textbox inset="0,0,0,0">
                <w:txbxContent>
                  <w:p>
                    <w:pPr>
                      <w:spacing w:line="240" w:lineRule="auto" w:before="192"/>
                      <w:ind w:left="145" w:right="146" w:firstLine="0"/>
                      <w:jc w:val="center"/>
                      <w:rPr>
                        <w:i/>
                        <w:sz w:val="20"/>
                      </w:rPr>
                    </w:pPr>
                    <w:r>
                      <w:rPr>
                        <w:sz w:val="20"/>
                      </w:rPr>
                      <w:t>Estimate emissions and removals following category-specific </w:t>
                    </w:r>
                    <w:r>
                      <w:rPr>
                        <w:i/>
                        <w:sz w:val="20"/>
                      </w:rPr>
                      <w:t>good practice guidance </w:t>
                    </w:r>
                    <w:r>
                      <w:rPr>
                        <w:sz w:val="20"/>
                      </w:rPr>
                      <w:t>for </w:t>
                    </w:r>
                    <w:r>
                      <w:rPr>
                        <w:i/>
                        <w:sz w:val="20"/>
                      </w:rPr>
                      <w:t>key categories</w:t>
                    </w:r>
                  </w:p>
                </w:txbxContent>
              </v:textbox>
              <v:stroke dashstyle="solid"/>
              <w10:wrap type="none"/>
            </v:shape>
            <v:shape style="position:absolute;left:6524;top:603;width:2000;height:1152" type="#_x0000_t202" filled="false" stroked="true" strokeweight="1.5pt" strokecolor="#010101">
              <v:textbox inset="0,0,0,0">
                <w:txbxContent>
                  <w:p>
                    <w:pPr>
                      <w:spacing w:before="50"/>
                      <w:ind w:left="616" w:right="0" w:firstLine="0"/>
                      <w:jc w:val="left"/>
                      <w:rPr>
                        <w:sz w:val="20"/>
                      </w:rPr>
                    </w:pPr>
                    <w:r>
                      <w:rPr>
                        <w:sz w:val="20"/>
                      </w:rPr>
                      <w:t>Choose a</w:t>
                    </w:r>
                  </w:p>
                  <w:p>
                    <w:pPr>
                      <w:spacing w:line="242" w:lineRule="auto" w:before="0"/>
                      <w:ind w:left="193" w:right="191" w:firstLine="0"/>
                      <w:jc w:val="center"/>
                      <w:rPr>
                        <w:sz w:val="20"/>
                      </w:rPr>
                    </w:pPr>
                    <w:r>
                      <w:rPr>
                        <w:i/>
                        <w:sz w:val="20"/>
                      </w:rPr>
                      <w:t>good practice </w:t>
                    </w:r>
                    <w:r>
                      <w:rPr>
                        <w:sz w:val="20"/>
                      </w:rPr>
                      <w:t>method appropriate to available data</w:t>
                    </w:r>
                  </w:p>
                </w:txbxContent>
              </v:textbox>
              <v:stroke dashstyle="solid"/>
              <w10:wrap type="none"/>
            </v:shape>
            <w10:wrap type="topAndBottom"/>
          </v:group>
        </w:pict>
      </w:r>
    </w:p>
    <w:p>
      <w:pPr>
        <w:pStyle w:val="BodyText"/>
        <w:spacing w:before="6"/>
        <w:rPr>
          <w:b/>
          <w:sz w:val="23"/>
        </w:rPr>
      </w:pPr>
    </w:p>
    <w:p>
      <w:pPr>
        <w:pStyle w:val="BodyText"/>
        <w:ind w:left="179" w:right="1400"/>
        <w:jc w:val="both"/>
      </w:pPr>
      <w:r>
        <w:rPr/>
        <w:t>First, additional attention ought to be focused on key categories with respect to methodological choice.  As shown in the decision tree in Figure 5.4.2, inventory agencies are encouraged to use category- specific </w:t>
      </w:r>
      <w:r>
        <w:rPr>
          <w:i/>
        </w:rPr>
        <w:t>good practice </w:t>
      </w:r>
      <w:r>
        <w:rPr/>
        <w:t>methods for key categories, unless resources are unavailable. For most categories, higher tier (i.e., Tiers 2 and 3) methods are suggested for key categories, although this is not always the case. For guidance on the specific application of this principle to key categories, inventory agencies should refer to the decision trees in Chapter</w:t>
      </w:r>
      <w:r>
        <w:rPr>
          <w:spacing w:val="7"/>
        </w:rPr>
        <w:t> </w:t>
      </w:r>
      <w:r>
        <w:rPr/>
        <w:t>3.</w:t>
      </w:r>
      <w:r>
        <w:rPr>
          <w:spacing w:val="7"/>
        </w:rPr>
        <w:t> </w:t>
      </w:r>
      <w:r>
        <w:rPr/>
        <w:t>There</w:t>
      </w:r>
      <w:r>
        <w:rPr>
          <w:spacing w:val="8"/>
        </w:rPr>
        <w:t> </w:t>
      </w:r>
      <w:r>
        <w:rPr/>
        <w:t>may</w:t>
      </w:r>
      <w:r>
        <w:rPr>
          <w:spacing w:val="6"/>
        </w:rPr>
        <w:t> </w:t>
      </w:r>
      <w:r>
        <w:rPr/>
        <w:t>be</w:t>
      </w:r>
      <w:r>
        <w:rPr>
          <w:spacing w:val="7"/>
        </w:rPr>
        <w:t> </w:t>
      </w:r>
      <w:r>
        <w:rPr/>
        <w:t>special</w:t>
      </w:r>
      <w:r>
        <w:rPr>
          <w:spacing w:val="7"/>
        </w:rPr>
        <w:t> </w:t>
      </w:r>
      <w:r>
        <w:rPr/>
        <w:t>requirements</w:t>
      </w:r>
      <w:r>
        <w:rPr>
          <w:spacing w:val="8"/>
        </w:rPr>
        <w:t> </w:t>
      </w:r>
      <w:r>
        <w:rPr/>
        <w:t>for</w:t>
      </w:r>
      <w:r>
        <w:rPr>
          <w:spacing w:val="9"/>
        </w:rPr>
        <w:t> </w:t>
      </w:r>
      <w:r>
        <w:rPr/>
        <w:t>methodological</w:t>
      </w:r>
      <w:r>
        <w:rPr>
          <w:spacing w:val="7"/>
        </w:rPr>
        <w:t> </w:t>
      </w:r>
      <w:r>
        <w:rPr/>
        <w:t>choice</w:t>
      </w:r>
      <w:r>
        <w:rPr>
          <w:spacing w:val="9"/>
        </w:rPr>
        <w:t> </w:t>
      </w:r>
      <w:r>
        <w:rPr/>
        <w:t>when</w:t>
      </w:r>
      <w:r>
        <w:rPr>
          <w:spacing w:val="6"/>
        </w:rPr>
        <w:t> </w:t>
      </w:r>
      <w:r>
        <w:rPr/>
        <w:t>reporting</w:t>
      </w:r>
      <w:r>
        <w:rPr>
          <w:spacing w:val="7"/>
        </w:rPr>
        <w:t> </w:t>
      </w:r>
      <w:r>
        <w:rPr/>
        <w:t>under</w:t>
      </w:r>
      <w:r>
        <w:rPr>
          <w:spacing w:val="10"/>
        </w:rPr>
        <w:t> </w:t>
      </w:r>
      <w:r>
        <w:rPr/>
        <w:t>Articles</w:t>
      </w:r>
      <w:r>
        <w:rPr>
          <w:spacing w:val="5"/>
        </w:rPr>
        <w:t> </w:t>
      </w:r>
      <w:r>
        <w:rPr/>
        <w:t>3.3</w:t>
      </w:r>
      <w:r>
        <w:rPr>
          <w:spacing w:val="8"/>
        </w:rPr>
        <w:t> </w:t>
      </w:r>
      <w:r>
        <w:rPr/>
        <w:t>and</w:t>
      </w:r>
    </w:p>
    <w:p>
      <w:pPr>
        <w:pStyle w:val="BodyText"/>
        <w:ind w:left="179"/>
      </w:pPr>
      <w:r>
        <w:rPr/>
        <w:t>3.4 of the Kyoto Protocol. These requirements are explained in Chapter 4 of this report.</w:t>
      </w:r>
    </w:p>
    <w:p>
      <w:pPr>
        <w:pStyle w:val="BodyText"/>
        <w:spacing w:before="118"/>
        <w:ind w:left="179" w:right="1425" w:hanging="1"/>
        <w:jc w:val="both"/>
      </w:pPr>
      <w:r>
        <w:rPr/>
        <w:t>Second, it is </w:t>
      </w:r>
      <w:r>
        <w:rPr>
          <w:i/>
        </w:rPr>
        <w:t>good practice </w:t>
      </w:r>
      <w:r>
        <w:rPr/>
        <w:t>for key categories to receive additional attention with respect to quality assurance and quality control (QA/QC). In Section 5.5, detailed guidance is provided on QA/QC for the LULUCF categories in the inventory.</w:t>
      </w:r>
    </w:p>
    <w:p>
      <w:pPr>
        <w:pStyle w:val="BodyText"/>
        <w:rPr>
          <w:sz w:val="22"/>
        </w:rPr>
      </w:pPr>
    </w:p>
    <w:p>
      <w:pPr>
        <w:pStyle w:val="BodyText"/>
        <w:spacing w:before="4"/>
      </w:pPr>
    </w:p>
    <w:p>
      <w:pPr>
        <w:pStyle w:val="Heading2"/>
        <w:numPr>
          <w:ilvl w:val="2"/>
          <w:numId w:val="180"/>
        </w:numPr>
        <w:tabs>
          <w:tab w:pos="1381" w:val="left" w:leader="none"/>
          <w:tab w:pos="1382" w:val="left" w:leader="none"/>
        </w:tabs>
        <w:spacing w:line="240" w:lineRule="auto" w:before="0" w:after="0"/>
        <w:ind w:left="1381" w:right="0" w:hanging="1202"/>
        <w:jc w:val="left"/>
      </w:pPr>
      <w:bookmarkStart w:name="_TOC_250026" w:id="29"/>
      <w:r>
        <w:rPr>
          <w:spacing w:val="8"/>
        </w:rPr>
        <w:t>Reporting </w:t>
      </w:r>
      <w:r>
        <w:rPr>
          <w:spacing w:val="6"/>
        </w:rPr>
        <w:t>and</w:t>
      </w:r>
      <w:r>
        <w:rPr>
          <w:spacing w:val="31"/>
        </w:rPr>
        <w:t> </w:t>
      </w:r>
      <w:bookmarkEnd w:id="29"/>
      <w:r>
        <w:rPr>
          <w:spacing w:val="9"/>
        </w:rPr>
        <w:t>Documentation</w:t>
      </w:r>
    </w:p>
    <w:p>
      <w:pPr>
        <w:pStyle w:val="BodyText"/>
        <w:spacing w:before="114"/>
        <w:ind w:left="179" w:right="1401"/>
        <w:jc w:val="both"/>
      </w:pPr>
      <w:r>
        <w:rPr/>
        <w:t>It is </w:t>
      </w:r>
      <w:r>
        <w:rPr>
          <w:i/>
        </w:rPr>
        <w:t>good practice </w:t>
      </w:r>
      <w:r>
        <w:rPr/>
        <w:t>to clearly document the key categories in the inventory. This information is essential for explaining the choice of method for each category. In addition, inventory agencies should list the criteria by which each category was identified as key (e.g., level, trend, or qualitative), and the method used to conduct the quantitative key category analysis (e.g., Tier 1 or Tier 2). Table 5.4.5 can be used to document the results of the key category analysis.</w:t>
      </w:r>
    </w:p>
    <w:p>
      <w:pPr>
        <w:spacing w:after="0"/>
        <w:jc w:val="both"/>
        <w:sectPr>
          <w:pgSz w:w="11900" w:h="16840"/>
          <w:pgMar w:header="230" w:footer="408" w:top="560" w:bottom="600" w:left="1240" w:right="0"/>
        </w:sectPr>
      </w:pPr>
    </w:p>
    <w:p>
      <w:pPr>
        <w:pStyle w:val="BodyText"/>
      </w:pPr>
    </w:p>
    <w:p>
      <w:pPr>
        <w:pStyle w:val="BodyText"/>
        <w:spacing w:before="9"/>
        <w:rPr>
          <w:sz w:val="18"/>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2"/>
        <w:gridCol w:w="1802"/>
        <w:gridCol w:w="1802"/>
        <w:gridCol w:w="1804"/>
        <w:gridCol w:w="1802"/>
      </w:tblGrid>
      <w:tr>
        <w:trPr>
          <w:trHeight w:val="500" w:hRule="atLeast"/>
        </w:trPr>
        <w:tc>
          <w:tcPr>
            <w:tcW w:w="9012" w:type="dxa"/>
            <w:gridSpan w:val="5"/>
            <w:tcBorders>
              <w:bottom w:val="double" w:sz="1" w:space="0" w:color="000000"/>
            </w:tcBorders>
          </w:tcPr>
          <w:p>
            <w:pPr>
              <w:pStyle w:val="TableParagraph"/>
              <w:spacing w:before="59"/>
              <w:ind w:left="1300" w:right="1292"/>
              <w:jc w:val="center"/>
              <w:rPr>
                <w:b/>
                <w:sz w:val="18"/>
              </w:rPr>
            </w:pPr>
            <w:r>
              <w:rPr>
                <w:b/>
                <w:sz w:val="18"/>
              </w:rPr>
              <w:t>T</w:t>
            </w:r>
            <w:r>
              <w:rPr>
                <w:b/>
                <w:sz w:val="14"/>
              </w:rPr>
              <w:t>ABLE  </w:t>
            </w:r>
            <w:r>
              <w:rPr>
                <w:b/>
                <w:sz w:val="18"/>
              </w:rPr>
              <w:t>5.4.5</w:t>
            </w:r>
          </w:p>
          <w:p>
            <w:pPr>
              <w:pStyle w:val="TableParagraph"/>
              <w:spacing w:before="2"/>
              <w:ind w:left="1300" w:right="1289"/>
              <w:jc w:val="center"/>
              <w:rPr>
                <w:b/>
                <w:sz w:val="14"/>
              </w:rPr>
            </w:pPr>
            <w:r>
              <w:rPr>
                <w:b/>
                <w:sz w:val="18"/>
              </w:rPr>
              <w:t>K</w:t>
            </w:r>
            <w:r>
              <w:rPr>
                <w:b/>
                <w:sz w:val="14"/>
              </w:rPr>
              <w:t>EY CATEGORY ANALYSIS SUMMARY</w:t>
            </w:r>
          </w:p>
        </w:tc>
      </w:tr>
      <w:tr>
        <w:trPr>
          <w:trHeight w:val="311" w:hRule="atLeast"/>
        </w:trPr>
        <w:tc>
          <w:tcPr>
            <w:tcW w:w="9012" w:type="dxa"/>
            <w:gridSpan w:val="5"/>
            <w:tcBorders>
              <w:top w:val="double" w:sz="1" w:space="0" w:color="000000"/>
            </w:tcBorders>
          </w:tcPr>
          <w:p>
            <w:pPr>
              <w:pStyle w:val="TableParagraph"/>
              <w:tabs>
                <w:tab w:pos="5433" w:val="left" w:leader="none"/>
              </w:tabs>
              <w:spacing w:before="61"/>
              <w:ind w:left="107"/>
              <w:rPr>
                <w:rFonts w:ascii="Wingdings" w:hAnsi="Wingdings"/>
                <w:sz w:val="18"/>
              </w:rPr>
            </w:pPr>
            <w:r>
              <w:rPr>
                <w:b/>
                <w:w w:val="105"/>
                <w:sz w:val="18"/>
              </w:rPr>
              <w:t>Quantitative</w:t>
            </w:r>
            <w:r>
              <w:rPr>
                <w:b/>
                <w:spacing w:val="-16"/>
                <w:w w:val="105"/>
                <w:sz w:val="18"/>
              </w:rPr>
              <w:t> </w:t>
            </w:r>
            <w:r>
              <w:rPr>
                <w:b/>
                <w:w w:val="105"/>
                <w:sz w:val="18"/>
              </w:rPr>
              <w:t>Method</w:t>
            </w:r>
            <w:r>
              <w:rPr>
                <w:b/>
                <w:spacing w:val="-17"/>
                <w:w w:val="105"/>
                <w:sz w:val="18"/>
              </w:rPr>
              <w:t> </w:t>
            </w:r>
            <w:r>
              <w:rPr>
                <w:b/>
                <w:w w:val="105"/>
                <w:sz w:val="18"/>
              </w:rPr>
              <w:t>Used</w:t>
            </w:r>
            <w:r>
              <w:rPr>
                <w:b/>
                <w:spacing w:val="-16"/>
                <w:w w:val="105"/>
                <w:sz w:val="18"/>
              </w:rPr>
              <w:t> </w:t>
            </w:r>
            <w:r>
              <w:rPr>
                <w:b/>
                <w:w w:val="105"/>
                <w:sz w:val="18"/>
              </w:rPr>
              <w:t>for</w:t>
            </w:r>
            <w:r>
              <w:rPr>
                <w:b/>
                <w:spacing w:val="-15"/>
                <w:w w:val="105"/>
                <w:sz w:val="18"/>
              </w:rPr>
              <w:t> </w:t>
            </w:r>
            <w:r>
              <w:rPr>
                <w:b/>
                <w:w w:val="105"/>
                <w:sz w:val="18"/>
              </w:rPr>
              <w:t>Key</w:t>
            </w:r>
            <w:r>
              <w:rPr>
                <w:b/>
                <w:spacing w:val="-14"/>
                <w:w w:val="105"/>
                <w:sz w:val="18"/>
              </w:rPr>
              <w:t> </w:t>
            </w:r>
            <w:r>
              <w:rPr>
                <w:b/>
                <w:w w:val="105"/>
                <w:sz w:val="18"/>
              </w:rPr>
              <w:t>Category</w:t>
            </w:r>
            <w:r>
              <w:rPr>
                <w:b/>
                <w:spacing w:val="-15"/>
                <w:w w:val="105"/>
                <w:sz w:val="18"/>
              </w:rPr>
              <w:t> </w:t>
            </w:r>
            <w:r>
              <w:rPr>
                <w:b/>
                <w:w w:val="105"/>
                <w:sz w:val="18"/>
              </w:rPr>
              <w:t>Analysis: </w:t>
            </w:r>
            <w:r>
              <w:rPr>
                <w:b/>
                <w:spacing w:val="36"/>
                <w:w w:val="105"/>
                <w:sz w:val="18"/>
              </w:rPr>
              <w:t> </w:t>
            </w:r>
            <w:r>
              <w:rPr>
                <w:b/>
                <w:w w:val="105"/>
                <w:sz w:val="18"/>
              </w:rPr>
              <w:t>Tier</w:t>
            </w:r>
            <w:r>
              <w:rPr>
                <w:b/>
                <w:spacing w:val="-15"/>
                <w:w w:val="105"/>
                <w:sz w:val="18"/>
              </w:rPr>
              <w:t> </w:t>
            </w:r>
            <w:r>
              <w:rPr>
                <w:b/>
                <w:w w:val="105"/>
                <w:sz w:val="18"/>
              </w:rPr>
              <w:t>1</w:t>
            </w:r>
            <w:r>
              <w:rPr>
                <w:b/>
                <w:spacing w:val="17"/>
                <w:w w:val="105"/>
                <w:sz w:val="18"/>
              </w:rPr>
              <w:t> </w:t>
            </w:r>
            <w:r>
              <w:rPr>
                <w:rFonts w:ascii="Wingdings" w:hAnsi="Wingdings"/>
                <w:w w:val="125"/>
                <w:sz w:val="18"/>
              </w:rPr>
              <w:t>❐</w:t>
              <w:tab/>
            </w:r>
            <w:r>
              <w:rPr>
                <w:b/>
                <w:w w:val="105"/>
                <w:sz w:val="18"/>
              </w:rPr>
              <w:t>Tier 2</w:t>
            </w:r>
            <w:r>
              <w:rPr>
                <w:b/>
                <w:spacing w:val="-7"/>
                <w:w w:val="105"/>
                <w:sz w:val="18"/>
              </w:rPr>
              <w:t> </w:t>
            </w:r>
            <w:r>
              <w:rPr>
                <w:rFonts w:ascii="Wingdings" w:hAnsi="Wingdings"/>
                <w:w w:val="125"/>
                <w:sz w:val="18"/>
              </w:rPr>
              <w:t>❐</w:t>
            </w:r>
          </w:p>
        </w:tc>
      </w:tr>
      <w:tr>
        <w:trPr>
          <w:trHeight w:val="261" w:hRule="atLeast"/>
        </w:trPr>
        <w:tc>
          <w:tcPr>
            <w:tcW w:w="1802" w:type="dxa"/>
          </w:tcPr>
          <w:p>
            <w:pPr>
              <w:pStyle w:val="TableParagraph"/>
              <w:spacing w:before="28"/>
              <w:ind w:left="107"/>
              <w:rPr>
                <w:b/>
                <w:sz w:val="18"/>
              </w:rPr>
            </w:pPr>
            <w:r>
              <w:rPr>
                <w:b/>
                <w:sz w:val="18"/>
              </w:rPr>
              <w:t>A</w:t>
            </w:r>
          </w:p>
        </w:tc>
        <w:tc>
          <w:tcPr>
            <w:tcW w:w="1802" w:type="dxa"/>
          </w:tcPr>
          <w:p>
            <w:pPr>
              <w:pStyle w:val="TableParagraph"/>
              <w:spacing w:before="28"/>
              <w:ind w:left="108"/>
              <w:rPr>
                <w:b/>
                <w:sz w:val="18"/>
              </w:rPr>
            </w:pPr>
            <w:r>
              <w:rPr>
                <w:b/>
                <w:sz w:val="18"/>
              </w:rPr>
              <w:t>B</w:t>
            </w:r>
          </w:p>
        </w:tc>
        <w:tc>
          <w:tcPr>
            <w:tcW w:w="1802" w:type="dxa"/>
          </w:tcPr>
          <w:p>
            <w:pPr>
              <w:pStyle w:val="TableParagraph"/>
              <w:spacing w:before="28"/>
              <w:ind w:left="108"/>
              <w:rPr>
                <w:b/>
                <w:sz w:val="18"/>
              </w:rPr>
            </w:pPr>
            <w:r>
              <w:rPr>
                <w:b/>
                <w:sz w:val="18"/>
              </w:rPr>
              <w:t>C</w:t>
            </w:r>
          </w:p>
        </w:tc>
        <w:tc>
          <w:tcPr>
            <w:tcW w:w="1804" w:type="dxa"/>
          </w:tcPr>
          <w:p>
            <w:pPr>
              <w:pStyle w:val="TableParagraph"/>
              <w:spacing w:before="28"/>
              <w:ind w:left="109"/>
              <w:rPr>
                <w:b/>
                <w:sz w:val="18"/>
              </w:rPr>
            </w:pPr>
            <w:r>
              <w:rPr>
                <w:b/>
                <w:sz w:val="18"/>
              </w:rPr>
              <w:t>D</w:t>
            </w:r>
          </w:p>
        </w:tc>
        <w:tc>
          <w:tcPr>
            <w:tcW w:w="1802" w:type="dxa"/>
          </w:tcPr>
          <w:p>
            <w:pPr>
              <w:pStyle w:val="TableParagraph"/>
              <w:spacing w:before="28"/>
              <w:ind w:left="109"/>
              <w:rPr>
                <w:b/>
                <w:sz w:val="18"/>
              </w:rPr>
            </w:pPr>
            <w:r>
              <w:rPr>
                <w:b/>
                <w:sz w:val="18"/>
              </w:rPr>
              <w:t>E</w:t>
            </w:r>
          </w:p>
        </w:tc>
      </w:tr>
      <w:tr>
        <w:trPr>
          <w:trHeight w:val="472" w:hRule="atLeast"/>
        </w:trPr>
        <w:tc>
          <w:tcPr>
            <w:tcW w:w="1802" w:type="dxa"/>
          </w:tcPr>
          <w:p>
            <w:pPr>
              <w:pStyle w:val="TableParagraph"/>
              <w:spacing w:before="28"/>
              <w:ind w:left="107" w:right="249"/>
              <w:rPr>
                <w:b/>
                <w:sz w:val="18"/>
              </w:rPr>
            </w:pPr>
            <w:r>
              <w:rPr>
                <w:b/>
                <w:sz w:val="18"/>
              </w:rPr>
              <w:t>IPCC Source/Sink Category</w:t>
            </w:r>
          </w:p>
        </w:tc>
        <w:tc>
          <w:tcPr>
            <w:tcW w:w="1802" w:type="dxa"/>
          </w:tcPr>
          <w:p>
            <w:pPr>
              <w:pStyle w:val="TableParagraph"/>
              <w:spacing w:before="28"/>
              <w:ind w:left="108" w:right="219"/>
              <w:rPr>
                <w:b/>
                <w:sz w:val="18"/>
              </w:rPr>
            </w:pPr>
            <w:r>
              <w:rPr>
                <w:b/>
                <w:sz w:val="18"/>
              </w:rPr>
              <w:t>Direct Greenhouse Gas</w:t>
            </w:r>
          </w:p>
        </w:tc>
        <w:tc>
          <w:tcPr>
            <w:tcW w:w="1802" w:type="dxa"/>
          </w:tcPr>
          <w:p>
            <w:pPr>
              <w:pStyle w:val="TableParagraph"/>
              <w:spacing w:before="28"/>
              <w:ind w:left="108" w:right="214"/>
              <w:rPr>
                <w:b/>
                <w:sz w:val="18"/>
              </w:rPr>
            </w:pPr>
            <w:r>
              <w:rPr>
                <w:b/>
                <w:sz w:val="18"/>
              </w:rPr>
              <w:t>Key Category Flag (Yes or No)</w:t>
            </w:r>
          </w:p>
        </w:tc>
        <w:tc>
          <w:tcPr>
            <w:tcW w:w="1804" w:type="dxa"/>
          </w:tcPr>
          <w:p>
            <w:pPr>
              <w:pStyle w:val="TableParagraph"/>
              <w:spacing w:before="28"/>
              <w:ind w:left="108"/>
              <w:rPr>
                <w:b/>
                <w:sz w:val="18"/>
              </w:rPr>
            </w:pPr>
            <w:r>
              <w:rPr>
                <w:b/>
                <w:sz w:val="18"/>
              </w:rPr>
              <w:t>If C is Yes, Criteria for Identification</w:t>
            </w:r>
          </w:p>
        </w:tc>
        <w:tc>
          <w:tcPr>
            <w:tcW w:w="1802" w:type="dxa"/>
          </w:tcPr>
          <w:p>
            <w:pPr>
              <w:pStyle w:val="TableParagraph"/>
              <w:spacing w:before="131"/>
              <w:ind w:left="109"/>
              <w:rPr>
                <w:b/>
                <w:sz w:val="18"/>
              </w:rPr>
            </w:pPr>
            <w:r>
              <w:rPr>
                <w:b/>
                <w:sz w:val="18"/>
              </w:rPr>
              <w:t>Comments</w:t>
            </w:r>
          </w:p>
        </w:tc>
      </w:tr>
      <w:tr>
        <w:trPr>
          <w:trHeight w:val="217" w:hRule="atLeast"/>
        </w:trPr>
        <w:tc>
          <w:tcPr>
            <w:tcW w:w="1802" w:type="dxa"/>
          </w:tcPr>
          <w:p>
            <w:pPr>
              <w:pStyle w:val="TableParagraph"/>
              <w:rPr>
                <w:sz w:val="14"/>
              </w:rPr>
            </w:pPr>
          </w:p>
        </w:tc>
        <w:tc>
          <w:tcPr>
            <w:tcW w:w="1802" w:type="dxa"/>
          </w:tcPr>
          <w:p>
            <w:pPr>
              <w:pStyle w:val="TableParagraph"/>
              <w:rPr>
                <w:sz w:val="14"/>
              </w:rPr>
            </w:pPr>
          </w:p>
        </w:tc>
        <w:tc>
          <w:tcPr>
            <w:tcW w:w="1802" w:type="dxa"/>
          </w:tcPr>
          <w:p>
            <w:pPr>
              <w:pStyle w:val="TableParagraph"/>
              <w:rPr>
                <w:sz w:val="14"/>
              </w:rPr>
            </w:pPr>
          </w:p>
        </w:tc>
        <w:tc>
          <w:tcPr>
            <w:tcW w:w="1804" w:type="dxa"/>
          </w:tcPr>
          <w:p>
            <w:pPr>
              <w:pStyle w:val="TableParagraph"/>
              <w:rPr>
                <w:sz w:val="14"/>
              </w:rPr>
            </w:pPr>
          </w:p>
        </w:tc>
        <w:tc>
          <w:tcPr>
            <w:tcW w:w="1802" w:type="dxa"/>
          </w:tcPr>
          <w:p>
            <w:pPr>
              <w:pStyle w:val="TableParagraph"/>
              <w:rPr>
                <w:sz w:val="14"/>
              </w:rPr>
            </w:pPr>
          </w:p>
        </w:tc>
      </w:tr>
      <w:tr>
        <w:trPr>
          <w:trHeight w:val="215" w:hRule="atLeast"/>
        </w:trPr>
        <w:tc>
          <w:tcPr>
            <w:tcW w:w="1802" w:type="dxa"/>
          </w:tcPr>
          <w:p>
            <w:pPr>
              <w:pStyle w:val="TableParagraph"/>
              <w:rPr>
                <w:sz w:val="14"/>
              </w:rPr>
            </w:pPr>
          </w:p>
        </w:tc>
        <w:tc>
          <w:tcPr>
            <w:tcW w:w="1802" w:type="dxa"/>
          </w:tcPr>
          <w:p>
            <w:pPr>
              <w:pStyle w:val="TableParagraph"/>
              <w:rPr>
                <w:sz w:val="14"/>
              </w:rPr>
            </w:pPr>
          </w:p>
        </w:tc>
        <w:tc>
          <w:tcPr>
            <w:tcW w:w="1802" w:type="dxa"/>
          </w:tcPr>
          <w:p>
            <w:pPr>
              <w:pStyle w:val="TableParagraph"/>
              <w:rPr>
                <w:sz w:val="14"/>
              </w:rPr>
            </w:pPr>
          </w:p>
        </w:tc>
        <w:tc>
          <w:tcPr>
            <w:tcW w:w="1804" w:type="dxa"/>
          </w:tcPr>
          <w:p>
            <w:pPr>
              <w:pStyle w:val="TableParagraph"/>
              <w:rPr>
                <w:sz w:val="14"/>
              </w:rPr>
            </w:pPr>
          </w:p>
        </w:tc>
        <w:tc>
          <w:tcPr>
            <w:tcW w:w="1802" w:type="dxa"/>
          </w:tcPr>
          <w:p>
            <w:pPr>
              <w:pStyle w:val="TableParagraph"/>
              <w:rPr>
                <w:sz w:val="14"/>
              </w:rPr>
            </w:pPr>
          </w:p>
        </w:tc>
      </w:tr>
      <w:tr>
        <w:trPr>
          <w:trHeight w:val="217" w:hRule="atLeast"/>
        </w:trPr>
        <w:tc>
          <w:tcPr>
            <w:tcW w:w="1802" w:type="dxa"/>
          </w:tcPr>
          <w:p>
            <w:pPr>
              <w:pStyle w:val="TableParagraph"/>
              <w:rPr>
                <w:sz w:val="14"/>
              </w:rPr>
            </w:pPr>
          </w:p>
        </w:tc>
        <w:tc>
          <w:tcPr>
            <w:tcW w:w="1802" w:type="dxa"/>
          </w:tcPr>
          <w:p>
            <w:pPr>
              <w:pStyle w:val="TableParagraph"/>
              <w:rPr>
                <w:sz w:val="14"/>
              </w:rPr>
            </w:pPr>
          </w:p>
        </w:tc>
        <w:tc>
          <w:tcPr>
            <w:tcW w:w="1802" w:type="dxa"/>
          </w:tcPr>
          <w:p>
            <w:pPr>
              <w:pStyle w:val="TableParagraph"/>
              <w:rPr>
                <w:sz w:val="14"/>
              </w:rPr>
            </w:pPr>
          </w:p>
        </w:tc>
        <w:tc>
          <w:tcPr>
            <w:tcW w:w="1804" w:type="dxa"/>
          </w:tcPr>
          <w:p>
            <w:pPr>
              <w:pStyle w:val="TableParagraph"/>
              <w:rPr>
                <w:sz w:val="14"/>
              </w:rPr>
            </w:pPr>
          </w:p>
        </w:tc>
        <w:tc>
          <w:tcPr>
            <w:tcW w:w="1802" w:type="dxa"/>
          </w:tcPr>
          <w:p>
            <w:pPr>
              <w:pStyle w:val="TableParagraph"/>
              <w:rPr>
                <w:sz w:val="14"/>
              </w:rPr>
            </w:pPr>
          </w:p>
        </w:tc>
      </w:tr>
      <w:tr>
        <w:trPr>
          <w:trHeight w:val="215" w:hRule="atLeast"/>
        </w:trPr>
        <w:tc>
          <w:tcPr>
            <w:tcW w:w="1802" w:type="dxa"/>
          </w:tcPr>
          <w:p>
            <w:pPr>
              <w:pStyle w:val="TableParagraph"/>
              <w:rPr>
                <w:sz w:val="14"/>
              </w:rPr>
            </w:pPr>
          </w:p>
        </w:tc>
        <w:tc>
          <w:tcPr>
            <w:tcW w:w="1802" w:type="dxa"/>
          </w:tcPr>
          <w:p>
            <w:pPr>
              <w:pStyle w:val="TableParagraph"/>
              <w:rPr>
                <w:sz w:val="14"/>
              </w:rPr>
            </w:pPr>
          </w:p>
        </w:tc>
        <w:tc>
          <w:tcPr>
            <w:tcW w:w="1802" w:type="dxa"/>
          </w:tcPr>
          <w:p>
            <w:pPr>
              <w:pStyle w:val="TableParagraph"/>
              <w:rPr>
                <w:sz w:val="14"/>
              </w:rPr>
            </w:pPr>
          </w:p>
        </w:tc>
        <w:tc>
          <w:tcPr>
            <w:tcW w:w="1804" w:type="dxa"/>
          </w:tcPr>
          <w:p>
            <w:pPr>
              <w:pStyle w:val="TableParagraph"/>
              <w:rPr>
                <w:sz w:val="14"/>
              </w:rPr>
            </w:pPr>
          </w:p>
        </w:tc>
        <w:tc>
          <w:tcPr>
            <w:tcW w:w="1802" w:type="dxa"/>
          </w:tcPr>
          <w:p>
            <w:pPr>
              <w:pStyle w:val="TableParagraph"/>
              <w:rPr>
                <w:sz w:val="14"/>
              </w:rPr>
            </w:pPr>
          </w:p>
        </w:tc>
      </w:tr>
      <w:tr>
        <w:trPr>
          <w:trHeight w:val="217" w:hRule="atLeast"/>
        </w:trPr>
        <w:tc>
          <w:tcPr>
            <w:tcW w:w="1802" w:type="dxa"/>
          </w:tcPr>
          <w:p>
            <w:pPr>
              <w:pStyle w:val="TableParagraph"/>
              <w:rPr>
                <w:sz w:val="14"/>
              </w:rPr>
            </w:pPr>
          </w:p>
        </w:tc>
        <w:tc>
          <w:tcPr>
            <w:tcW w:w="1802" w:type="dxa"/>
          </w:tcPr>
          <w:p>
            <w:pPr>
              <w:pStyle w:val="TableParagraph"/>
              <w:rPr>
                <w:sz w:val="14"/>
              </w:rPr>
            </w:pPr>
          </w:p>
        </w:tc>
        <w:tc>
          <w:tcPr>
            <w:tcW w:w="1802" w:type="dxa"/>
          </w:tcPr>
          <w:p>
            <w:pPr>
              <w:pStyle w:val="TableParagraph"/>
              <w:rPr>
                <w:sz w:val="14"/>
              </w:rPr>
            </w:pPr>
          </w:p>
        </w:tc>
        <w:tc>
          <w:tcPr>
            <w:tcW w:w="1804" w:type="dxa"/>
          </w:tcPr>
          <w:p>
            <w:pPr>
              <w:pStyle w:val="TableParagraph"/>
              <w:rPr>
                <w:sz w:val="14"/>
              </w:rPr>
            </w:pPr>
          </w:p>
        </w:tc>
        <w:tc>
          <w:tcPr>
            <w:tcW w:w="1802" w:type="dxa"/>
          </w:tcPr>
          <w:p>
            <w:pPr>
              <w:pStyle w:val="TableParagraph"/>
              <w:rPr>
                <w:sz w:val="14"/>
              </w:rPr>
            </w:pPr>
          </w:p>
        </w:tc>
      </w:tr>
    </w:tbl>
    <w:p>
      <w:pPr>
        <w:pStyle w:val="BodyText"/>
        <w:spacing w:line="223" w:lineRule="exact"/>
        <w:ind w:left="179"/>
      </w:pPr>
      <w:r>
        <w:rPr/>
        <w:t>Where:</w:t>
      </w:r>
    </w:p>
    <w:p>
      <w:pPr>
        <w:pStyle w:val="BodyText"/>
        <w:spacing w:line="364" w:lineRule="auto" w:before="120"/>
        <w:ind w:left="745" w:right="1597"/>
      </w:pPr>
      <w:r>
        <w:rPr/>
        <w:t>Column A : list of IPCC categories – entry should be the same as column A in Tables 5.4.2 and 5.4.3 Column B : direct greenhouse gas – entry should be the same as column B in Tables 5.4.2 and 5.4.3 Column C : key category flag – enter ‘Yes’ if the category is key</w:t>
      </w:r>
    </w:p>
    <w:p>
      <w:pPr>
        <w:pStyle w:val="BodyText"/>
        <w:ind w:left="1808" w:right="1405" w:hanging="1064"/>
        <w:jc w:val="both"/>
      </w:pPr>
      <w:r>
        <w:rPr/>
        <w:t>Column D : criteria by which key category was identified – for each key category identified in Column  C, enter one or more of the following: ‘Level’ for Level Assessment, ‘Trend’ for Trend Assessment, or ‘Qualitative’ for qualitative</w:t>
      </w:r>
      <w:r>
        <w:rPr>
          <w:spacing w:val="-3"/>
        </w:rPr>
        <w:t> </w:t>
      </w:r>
      <w:r>
        <w:rPr/>
        <w:t>criteria</w:t>
      </w:r>
    </w:p>
    <w:p>
      <w:pPr>
        <w:pStyle w:val="BodyText"/>
        <w:spacing w:before="119"/>
        <w:ind w:left="745"/>
      </w:pPr>
      <w:r>
        <w:rPr/>
        <w:t>Column E : comments - enter any explanatory material</w:t>
      </w:r>
    </w:p>
    <w:p>
      <w:pPr>
        <w:pStyle w:val="BodyText"/>
        <w:rPr>
          <w:sz w:val="22"/>
        </w:rPr>
      </w:pPr>
    </w:p>
    <w:p>
      <w:pPr>
        <w:pStyle w:val="BodyText"/>
        <w:spacing w:before="3"/>
      </w:pPr>
    </w:p>
    <w:p>
      <w:pPr>
        <w:pStyle w:val="Heading2"/>
        <w:numPr>
          <w:ilvl w:val="2"/>
          <w:numId w:val="180"/>
        </w:numPr>
        <w:tabs>
          <w:tab w:pos="1381" w:val="left" w:leader="none"/>
          <w:tab w:pos="1382" w:val="left" w:leader="none"/>
        </w:tabs>
        <w:spacing w:line="240" w:lineRule="auto" w:before="0" w:after="0"/>
        <w:ind w:left="1381" w:right="1599" w:hanging="1202"/>
        <w:jc w:val="left"/>
      </w:pPr>
      <w:bookmarkStart w:name="_TOC_250025" w:id="30"/>
      <w:r>
        <w:rPr>
          <w:spacing w:val="9"/>
        </w:rPr>
        <w:t>Derivation </w:t>
      </w:r>
      <w:r>
        <w:rPr>
          <w:spacing w:val="5"/>
        </w:rPr>
        <w:t>of </w:t>
      </w:r>
      <w:r>
        <w:rPr>
          <w:spacing w:val="8"/>
        </w:rPr>
        <w:t>Threshold </w:t>
      </w:r>
      <w:r>
        <w:rPr>
          <w:spacing w:val="6"/>
        </w:rPr>
        <w:t>for </w:t>
      </w:r>
      <w:r>
        <w:rPr>
          <w:spacing w:val="5"/>
        </w:rPr>
        <w:t>the </w:t>
      </w:r>
      <w:r>
        <w:rPr>
          <w:spacing w:val="7"/>
        </w:rPr>
        <w:t>Tier </w:t>
      </w:r>
      <w:r>
        <w:rPr/>
        <w:t>1 </w:t>
      </w:r>
      <w:r>
        <w:rPr>
          <w:spacing w:val="5"/>
        </w:rPr>
        <w:t>Key </w:t>
      </w:r>
      <w:r>
        <w:rPr>
          <w:spacing w:val="10"/>
        </w:rPr>
        <w:t>Category </w:t>
      </w:r>
      <w:bookmarkEnd w:id="30"/>
      <w:r>
        <w:rPr>
          <w:spacing w:val="9"/>
        </w:rPr>
        <w:t>Analysis</w:t>
      </w:r>
    </w:p>
    <w:p>
      <w:pPr>
        <w:pStyle w:val="BodyText"/>
        <w:spacing w:before="115"/>
        <w:ind w:left="179" w:right="1403"/>
        <w:jc w:val="both"/>
      </w:pPr>
      <w:r>
        <w:rPr/>
        <w:t>The thresholds for the level and trend were derived using the same methodology as used in </w:t>
      </w:r>
      <w:r>
        <w:rPr>
          <w:i/>
        </w:rPr>
        <w:t>GPG2000</w:t>
      </w:r>
      <w:r>
        <w:rPr/>
        <w:t>, but with a more complete data set, longer time series and with LULUCF included. The </w:t>
      </w:r>
      <w:r>
        <w:rPr>
          <w:i/>
        </w:rPr>
        <w:t>GPG2000 </w:t>
      </w:r>
      <w:r>
        <w:rPr/>
        <w:t>method of determining the threshold was documented in more detail in Flugsrud </w:t>
      </w:r>
      <w:r>
        <w:rPr>
          <w:i/>
        </w:rPr>
        <w:t>et al. </w:t>
      </w:r>
      <w:r>
        <w:rPr/>
        <w:t>(1999). For the level threshold, the relationship between the percentage of the emissions and the sum of uncertainties of each source or sink category was compiled for the reported greenhouse gas inventories of 30 Parties included in Annex I to the United Nations Framework Convention on Climate Change (UNFCCC). As in </w:t>
      </w:r>
      <w:r>
        <w:rPr>
          <w:i/>
        </w:rPr>
        <w:t>GPG2000 </w:t>
      </w:r>
      <w:r>
        <w:rPr/>
        <w:t>the threshold was determined to cover 90 % of the sum of uncertainties of each category as this typically gives 10 to 15 key source categories (Rypdal and Flugsrud 2001). The analysis is based on data received from the UNFCCC Secretariat for 1990 and 1999 (by May 2002). The dataset used to determine the trend threshold is more limited, including only 16 countries, as fewer countries have reported sufficiently detailed data for both years.</w:t>
      </w:r>
    </w:p>
    <w:p>
      <w:pPr>
        <w:pStyle w:val="BodyText"/>
        <w:rPr>
          <w:sz w:val="22"/>
        </w:rPr>
      </w:pPr>
    </w:p>
    <w:p>
      <w:pPr>
        <w:pStyle w:val="Heading6"/>
        <w:numPr>
          <w:ilvl w:val="3"/>
          <w:numId w:val="180"/>
        </w:numPr>
        <w:tabs>
          <w:tab w:pos="1619" w:val="left" w:leader="none"/>
          <w:tab w:pos="1620" w:val="left" w:leader="none"/>
        </w:tabs>
        <w:spacing w:line="240" w:lineRule="auto" w:before="145" w:after="0"/>
        <w:ind w:left="1619" w:right="0" w:hanging="1440"/>
        <w:jc w:val="left"/>
      </w:pPr>
      <w:bookmarkStart w:name="_TOC_250024" w:id="31"/>
      <w:r>
        <w:rPr>
          <w:spacing w:val="17"/>
          <w:sz w:val="28"/>
        </w:rPr>
        <w:t>A</w:t>
      </w:r>
      <w:r>
        <w:rPr>
          <w:spacing w:val="17"/>
        </w:rPr>
        <w:t>SSUMPTIONS </w:t>
      </w:r>
      <w:r>
        <w:rPr>
          <w:spacing w:val="15"/>
        </w:rPr>
        <w:t>ABOUT</w:t>
      </w:r>
      <w:r>
        <w:rPr>
          <w:spacing w:val="-11"/>
        </w:rPr>
        <w:t> </w:t>
      </w:r>
      <w:bookmarkEnd w:id="31"/>
      <w:r>
        <w:rPr>
          <w:spacing w:val="17"/>
        </w:rPr>
        <w:t>UNCERTAINTIES</w:t>
      </w:r>
    </w:p>
    <w:p>
      <w:pPr>
        <w:pStyle w:val="BodyText"/>
        <w:spacing w:before="209"/>
        <w:ind w:left="179" w:right="1405"/>
        <w:jc w:val="both"/>
      </w:pPr>
      <w:r>
        <w:rPr/>
        <w:t>The analysis is based on the assessment of uncertainties in Table 5.4.6 . Sensitivity analysis shows the results to be rather robust with respect to the assumptions made about uncertainties. For the sources under non- LULUCF sectors the assumed uncertainties are: CO</w:t>
      </w:r>
      <w:r>
        <w:rPr>
          <w:vertAlign w:val="subscript"/>
        </w:rPr>
        <w:t>2</w:t>
      </w:r>
      <w:r>
        <w:rPr>
          <w:vertAlign w:val="baseline"/>
        </w:rPr>
        <w:t> 5%, CH</w:t>
      </w:r>
      <w:r>
        <w:rPr>
          <w:vertAlign w:val="subscript"/>
        </w:rPr>
        <w:t>4</w:t>
      </w:r>
      <w:r>
        <w:rPr>
          <w:vertAlign w:val="baseline"/>
        </w:rPr>
        <w:t> 25 %, N</w:t>
      </w:r>
      <w:r>
        <w:rPr>
          <w:vertAlign w:val="subscript"/>
        </w:rPr>
        <w:t>2</w:t>
      </w:r>
      <w:r>
        <w:rPr>
          <w:vertAlign w:val="baseline"/>
        </w:rPr>
        <w:t>O 100%. Non-CO</w:t>
      </w:r>
      <w:r>
        <w:rPr>
          <w:vertAlign w:val="subscript"/>
        </w:rPr>
        <w:t>2</w:t>
      </w:r>
      <w:r>
        <w:rPr>
          <w:vertAlign w:val="baseline"/>
        </w:rPr>
        <w:t> greenhouse gases (N</w:t>
      </w:r>
      <w:r>
        <w:rPr>
          <w:vertAlign w:val="subscript"/>
        </w:rPr>
        <w:t>2</w:t>
      </w:r>
      <w:r>
        <w:rPr>
          <w:vertAlign w:val="baseline"/>
        </w:rPr>
        <w:t>O and CH</w:t>
      </w:r>
      <w:r>
        <w:rPr>
          <w:vertAlign w:val="subscript"/>
        </w:rPr>
        <w:t>4</w:t>
      </w:r>
      <w:r>
        <w:rPr>
          <w:vertAlign w:val="baseline"/>
        </w:rPr>
        <w:t>) were included for the LULUCF sector to the extent that they have been reported, assuming uncertainties as for the non- LULUCF sector.</w:t>
      </w:r>
    </w:p>
    <w:p>
      <w:pPr>
        <w:pStyle w:val="BodyText"/>
      </w:pPr>
    </w:p>
    <w:p>
      <w:pPr>
        <w:pStyle w:val="BodyText"/>
        <w:rPr>
          <w:sz w:val="11"/>
        </w:rPr>
      </w:pPr>
    </w:p>
    <w:tbl>
      <w:tblPr>
        <w:tblW w:w="0" w:type="auto"/>
        <w:jc w:val="left"/>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10"/>
        <w:gridCol w:w="4028"/>
      </w:tblGrid>
      <w:tr>
        <w:trPr>
          <w:trHeight w:val="500" w:hRule="atLeast"/>
        </w:trPr>
        <w:tc>
          <w:tcPr>
            <w:tcW w:w="7938" w:type="dxa"/>
            <w:gridSpan w:val="2"/>
            <w:tcBorders>
              <w:bottom w:val="double" w:sz="1" w:space="0" w:color="000000"/>
            </w:tcBorders>
          </w:tcPr>
          <w:p>
            <w:pPr>
              <w:pStyle w:val="TableParagraph"/>
              <w:spacing w:line="207" w:lineRule="exact" w:before="43"/>
              <w:ind w:left="486" w:right="482"/>
              <w:jc w:val="center"/>
              <w:rPr>
                <w:b/>
                <w:sz w:val="18"/>
              </w:rPr>
            </w:pPr>
            <w:r>
              <w:rPr>
                <w:b/>
                <w:sz w:val="18"/>
              </w:rPr>
              <w:t>T</w:t>
            </w:r>
            <w:r>
              <w:rPr>
                <w:b/>
                <w:sz w:val="14"/>
              </w:rPr>
              <w:t>ABLE </w:t>
            </w:r>
            <w:r>
              <w:rPr>
                <w:b/>
                <w:sz w:val="18"/>
              </w:rPr>
              <w:t>5.4.6</w:t>
            </w:r>
          </w:p>
          <w:p>
            <w:pPr>
              <w:pStyle w:val="TableParagraph"/>
              <w:spacing w:line="207" w:lineRule="exact"/>
              <w:ind w:left="487" w:right="482"/>
              <w:jc w:val="center"/>
              <w:rPr>
                <w:b/>
                <w:sz w:val="18"/>
              </w:rPr>
            </w:pPr>
            <w:r>
              <w:rPr>
                <w:b/>
                <w:sz w:val="18"/>
              </w:rPr>
              <w:t>A</w:t>
            </w:r>
            <w:r>
              <w:rPr>
                <w:b/>
                <w:sz w:val="14"/>
              </w:rPr>
              <w:t>SSUMED UNCERTAINTIES TO DETERMINE A KEY CATEGORY THRESHOLD INCLUDING </w:t>
            </w:r>
            <w:r>
              <w:rPr>
                <w:b/>
                <w:sz w:val="18"/>
              </w:rPr>
              <w:t>LULUCF</w:t>
            </w:r>
          </w:p>
        </w:tc>
      </w:tr>
      <w:tr>
        <w:trPr>
          <w:trHeight w:val="308" w:hRule="atLeast"/>
        </w:trPr>
        <w:tc>
          <w:tcPr>
            <w:tcW w:w="3910" w:type="dxa"/>
            <w:tcBorders>
              <w:top w:val="double" w:sz="1" w:space="0" w:color="000000"/>
            </w:tcBorders>
          </w:tcPr>
          <w:p>
            <w:pPr>
              <w:pStyle w:val="TableParagraph"/>
              <w:rPr>
                <w:sz w:val="18"/>
              </w:rPr>
            </w:pPr>
          </w:p>
        </w:tc>
        <w:tc>
          <w:tcPr>
            <w:tcW w:w="4028" w:type="dxa"/>
            <w:tcBorders>
              <w:top w:val="double" w:sz="1" w:space="0" w:color="000000"/>
            </w:tcBorders>
          </w:tcPr>
          <w:p>
            <w:pPr>
              <w:pStyle w:val="TableParagraph"/>
              <w:spacing w:before="52"/>
              <w:ind w:left="315" w:right="310"/>
              <w:jc w:val="center"/>
              <w:rPr>
                <w:b/>
                <w:sz w:val="18"/>
              </w:rPr>
            </w:pPr>
            <w:r>
              <w:rPr>
                <w:b/>
                <w:sz w:val="18"/>
              </w:rPr>
              <w:t>Net CO</w:t>
            </w:r>
            <w:r>
              <w:rPr>
                <w:b/>
                <w:sz w:val="18"/>
                <w:vertAlign w:val="subscript"/>
              </w:rPr>
              <w:t>2</w:t>
            </w:r>
            <w:r>
              <w:rPr>
                <w:b/>
                <w:sz w:val="18"/>
                <w:vertAlign w:val="baseline"/>
              </w:rPr>
              <w:t> emissions or removal uncertainties</w:t>
            </w:r>
          </w:p>
        </w:tc>
      </w:tr>
      <w:tr>
        <w:trPr>
          <w:trHeight w:val="359" w:hRule="atLeast"/>
        </w:trPr>
        <w:tc>
          <w:tcPr>
            <w:tcW w:w="3910" w:type="dxa"/>
          </w:tcPr>
          <w:p>
            <w:pPr>
              <w:pStyle w:val="TableParagraph"/>
              <w:spacing w:before="71"/>
              <w:ind w:left="57"/>
              <w:rPr>
                <w:sz w:val="18"/>
              </w:rPr>
            </w:pPr>
            <w:r>
              <w:rPr>
                <w:sz w:val="18"/>
              </w:rPr>
              <w:t>Changes in forest and woody biomass</w:t>
            </w:r>
          </w:p>
        </w:tc>
        <w:tc>
          <w:tcPr>
            <w:tcW w:w="4028" w:type="dxa"/>
          </w:tcPr>
          <w:p>
            <w:pPr>
              <w:pStyle w:val="TableParagraph"/>
              <w:spacing w:before="76"/>
              <w:ind w:left="315" w:right="306"/>
              <w:jc w:val="center"/>
              <w:rPr>
                <w:sz w:val="18"/>
              </w:rPr>
            </w:pPr>
            <w:r>
              <w:rPr>
                <w:rFonts w:ascii="Symbol" w:hAnsi="Symbol"/>
                <w:sz w:val="18"/>
              </w:rPr>
              <w:t>± </w:t>
            </w:r>
            <w:r>
              <w:rPr>
                <w:sz w:val="18"/>
              </w:rPr>
              <w:t>50 %</w:t>
            </w:r>
          </w:p>
        </w:tc>
      </w:tr>
      <w:tr>
        <w:trPr>
          <w:trHeight w:val="357" w:hRule="atLeast"/>
        </w:trPr>
        <w:tc>
          <w:tcPr>
            <w:tcW w:w="3910" w:type="dxa"/>
          </w:tcPr>
          <w:p>
            <w:pPr>
              <w:pStyle w:val="TableParagraph"/>
              <w:spacing w:before="71"/>
              <w:ind w:left="57"/>
              <w:rPr>
                <w:sz w:val="18"/>
              </w:rPr>
            </w:pPr>
            <w:r>
              <w:rPr>
                <w:sz w:val="18"/>
              </w:rPr>
              <w:t>Forest and grassland conversion</w:t>
            </w:r>
          </w:p>
        </w:tc>
        <w:tc>
          <w:tcPr>
            <w:tcW w:w="4028" w:type="dxa"/>
          </w:tcPr>
          <w:p>
            <w:pPr>
              <w:pStyle w:val="TableParagraph"/>
              <w:spacing w:before="71"/>
              <w:ind w:left="315" w:right="305"/>
              <w:jc w:val="center"/>
              <w:rPr>
                <w:sz w:val="18"/>
              </w:rPr>
            </w:pPr>
            <w:r>
              <w:rPr>
                <w:sz w:val="18"/>
              </w:rPr>
              <w:t>- 50 to + 100 %</w:t>
            </w:r>
          </w:p>
        </w:tc>
      </w:tr>
      <w:tr>
        <w:trPr>
          <w:trHeight w:val="357" w:hRule="atLeast"/>
        </w:trPr>
        <w:tc>
          <w:tcPr>
            <w:tcW w:w="3910" w:type="dxa"/>
          </w:tcPr>
          <w:p>
            <w:pPr>
              <w:pStyle w:val="TableParagraph"/>
              <w:spacing w:before="71"/>
              <w:ind w:left="57"/>
              <w:rPr>
                <w:sz w:val="18"/>
              </w:rPr>
            </w:pPr>
            <w:r>
              <w:rPr>
                <w:sz w:val="18"/>
              </w:rPr>
              <w:t>Abandonment of managed land</w:t>
            </w:r>
          </w:p>
        </w:tc>
        <w:tc>
          <w:tcPr>
            <w:tcW w:w="4028" w:type="dxa"/>
          </w:tcPr>
          <w:p>
            <w:pPr>
              <w:pStyle w:val="TableParagraph"/>
              <w:spacing w:before="71"/>
              <w:ind w:left="315" w:right="305"/>
              <w:jc w:val="center"/>
              <w:rPr>
                <w:sz w:val="18"/>
              </w:rPr>
            </w:pPr>
            <w:r>
              <w:rPr>
                <w:sz w:val="18"/>
              </w:rPr>
              <w:t>- 50 to + 100 %</w:t>
            </w:r>
          </w:p>
        </w:tc>
      </w:tr>
      <w:tr>
        <w:trPr>
          <w:trHeight w:val="359" w:hRule="atLeast"/>
        </w:trPr>
        <w:tc>
          <w:tcPr>
            <w:tcW w:w="3910" w:type="dxa"/>
          </w:tcPr>
          <w:p>
            <w:pPr>
              <w:pStyle w:val="TableParagraph"/>
              <w:spacing w:before="71"/>
              <w:ind w:left="57"/>
              <w:rPr>
                <w:sz w:val="18"/>
              </w:rPr>
            </w:pPr>
            <w:r>
              <w:rPr>
                <w:sz w:val="18"/>
              </w:rPr>
              <w:t>Emissions and removals from soil</w:t>
            </w:r>
          </w:p>
        </w:tc>
        <w:tc>
          <w:tcPr>
            <w:tcW w:w="4028" w:type="dxa"/>
          </w:tcPr>
          <w:p>
            <w:pPr>
              <w:pStyle w:val="TableParagraph"/>
              <w:spacing w:before="71"/>
              <w:ind w:left="315" w:right="303"/>
              <w:jc w:val="center"/>
              <w:rPr>
                <w:sz w:val="18"/>
              </w:rPr>
            </w:pPr>
            <w:r>
              <w:rPr>
                <w:sz w:val="18"/>
              </w:rPr>
              <w:t>- 50 to + 100 %</w:t>
            </w:r>
          </w:p>
        </w:tc>
      </w:tr>
      <w:tr>
        <w:trPr>
          <w:trHeight w:val="357" w:hRule="atLeast"/>
        </w:trPr>
        <w:tc>
          <w:tcPr>
            <w:tcW w:w="3910" w:type="dxa"/>
          </w:tcPr>
          <w:p>
            <w:pPr>
              <w:pStyle w:val="TableParagraph"/>
              <w:spacing w:before="71"/>
              <w:ind w:left="57"/>
              <w:rPr>
                <w:sz w:val="18"/>
              </w:rPr>
            </w:pPr>
            <w:r>
              <w:rPr>
                <w:sz w:val="18"/>
              </w:rPr>
              <w:t>Other LULUCF</w:t>
            </w:r>
          </w:p>
        </w:tc>
        <w:tc>
          <w:tcPr>
            <w:tcW w:w="4028" w:type="dxa"/>
          </w:tcPr>
          <w:p>
            <w:pPr>
              <w:pStyle w:val="TableParagraph"/>
              <w:spacing w:before="71"/>
              <w:ind w:left="315" w:right="305"/>
              <w:jc w:val="center"/>
              <w:rPr>
                <w:sz w:val="18"/>
              </w:rPr>
            </w:pPr>
            <w:r>
              <w:rPr>
                <w:sz w:val="18"/>
              </w:rPr>
              <w:t>- 50 to + 100 %</w:t>
            </w:r>
          </w:p>
        </w:tc>
      </w:tr>
    </w:tbl>
    <w:p>
      <w:pPr>
        <w:spacing w:after="0"/>
        <w:jc w:val="center"/>
        <w:rPr>
          <w:sz w:val="18"/>
        </w:rPr>
        <w:sectPr>
          <w:pgSz w:w="11900" w:h="16840"/>
          <w:pgMar w:header="230" w:footer="408" w:top="560" w:bottom="600" w:left="1240" w:right="0"/>
        </w:sectPr>
      </w:pPr>
    </w:p>
    <w:p>
      <w:pPr>
        <w:pStyle w:val="BodyText"/>
      </w:pPr>
    </w:p>
    <w:p>
      <w:pPr>
        <w:pStyle w:val="BodyText"/>
        <w:spacing w:before="2"/>
        <w:rPr>
          <w:sz w:val="19"/>
        </w:rPr>
      </w:pPr>
    </w:p>
    <w:p>
      <w:pPr>
        <w:pStyle w:val="Heading6"/>
        <w:numPr>
          <w:ilvl w:val="3"/>
          <w:numId w:val="180"/>
        </w:numPr>
        <w:tabs>
          <w:tab w:pos="1619" w:val="left" w:leader="none"/>
          <w:tab w:pos="1620" w:val="left" w:leader="none"/>
        </w:tabs>
        <w:spacing w:line="240" w:lineRule="auto" w:before="89" w:after="0"/>
        <w:ind w:left="1619" w:right="0" w:hanging="1440"/>
        <w:jc w:val="left"/>
      </w:pPr>
      <w:bookmarkStart w:name="_TOC_250023" w:id="32"/>
      <w:r>
        <w:rPr>
          <w:spacing w:val="16"/>
          <w:sz w:val="28"/>
        </w:rPr>
        <w:t>E</w:t>
      </w:r>
      <w:r>
        <w:rPr>
          <w:spacing w:val="16"/>
        </w:rPr>
        <w:t>MISSION</w:t>
      </w:r>
      <w:r>
        <w:rPr>
          <w:spacing w:val="39"/>
        </w:rPr>
        <w:t> </w:t>
      </w:r>
      <w:bookmarkEnd w:id="32"/>
      <w:r>
        <w:rPr>
          <w:spacing w:val="18"/>
        </w:rPr>
        <w:t>LEVEL</w:t>
      </w:r>
    </w:p>
    <w:p>
      <w:pPr>
        <w:pStyle w:val="BodyText"/>
        <w:spacing w:before="211"/>
        <w:ind w:left="179" w:right="1406"/>
        <w:jc w:val="both"/>
      </w:pPr>
      <w:r>
        <w:rPr/>
        <w:t>In </w:t>
      </w:r>
      <w:r>
        <w:rPr>
          <w:i/>
        </w:rPr>
        <w:t>GPG2000 </w:t>
      </w:r>
      <w:r>
        <w:rPr/>
        <w:t>the threshold value was determined to be 95% of total emissions. The pattern of emission estimates needed to account for 90% of the sum of category uncertainties in the dataset including LULUCF is similar to the one seen previously (as shown in Figure 5.4.3</w:t>
      </w:r>
      <w:r>
        <w:rPr>
          <w:spacing w:val="-13"/>
        </w:rPr>
        <w:t> </w:t>
      </w:r>
      <w:r>
        <w:rPr/>
        <w:t>below).</w:t>
      </w:r>
    </w:p>
    <w:p>
      <w:pPr>
        <w:pStyle w:val="BodyText"/>
        <w:spacing w:before="4"/>
        <w:rPr>
          <w:sz w:val="24"/>
        </w:rPr>
      </w:pPr>
    </w:p>
    <w:p>
      <w:pPr>
        <w:tabs>
          <w:tab w:pos="1880" w:val="left" w:leader="none"/>
        </w:tabs>
        <w:spacing w:before="0"/>
        <w:ind w:left="179" w:right="0" w:firstLine="0"/>
        <w:jc w:val="left"/>
        <w:rPr>
          <w:b/>
          <w:sz w:val="20"/>
        </w:rPr>
      </w:pPr>
      <w:r>
        <w:rPr/>
        <w:pict>
          <v:group style="position:absolute;margin-left:130.421005pt;margin-top:25.356209pt;width:333.5pt;height:235.6pt;mso-position-horizontal-relative:page;mso-position-vertical-relative:paragraph;z-index:31432" coordorigin="2608,507" coordsize="6670,4712">
            <v:rect style="position:absolute;left:2609;top:508;width:6668;height:4709" filled="false" stroked="true" strokeweight=".12pt" strokecolor="#000000">
              <v:stroke dashstyle="solid"/>
            </v:rect>
            <v:line style="position:absolute" from="3800,4255" to="9171,4255" stroked="true" strokeweight=".12pt" strokecolor="#000000">
              <v:stroke dashstyle="solid"/>
            </v:line>
            <v:line style="position:absolute" from="3800,3868" to="9171,3868" stroked="true" strokeweight=".12pt" strokecolor="#000000">
              <v:stroke dashstyle="solid"/>
            </v:line>
            <v:line style="position:absolute" from="3800,3482" to="9171,3482" stroked="true" strokeweight=".12pt" strokecolor="#000000">
              <v:stroke dashstyle="solid"/>
            </v:line>
            <v:line style="position:absolute" from="3800,3096" to="9171,3096" stroked="true" strokeweight=".12pt" strokecolor="#000000">
              <v:stroke dashstyle="solid"/>
            </v:line>
            <v:line style="position:absolute" from="3800,2721" to="9171,2721" stroked="true" strokeweight=".12pt" strokecolor="#000000">
              <v:stroke dashstyle="solid"/>
            </v:line>
            <v:line style="position:absolute" from="3800,2335" to="9171,2335" stroked="true" strokeweight=".12pt" strokecolor="#000000">
              <v:stroke dashstyle="solid"/>
            </v:line>
            <v:line style="position:absolute" from="3800,1948" to="9171,1948" stroked="true" strokeweight=".12pt" strokecolor="#000000">
              <v:stroke dashstyle="solid"/>
            </v:line>
            <v:line style="position:absolute" from="3800,1562" to="9171,1562" stroked="true" strokeweight=".12pt" strokecolor="#000000">
              <v:stroke dashstyle="solid"/>
            </v:line>
            <v:line style="position:absolute" from="3800,1176" to="9171,1176" stroked="true" strokeweight=".12pt" strokecolor="#000000">
              <v:stroke dashstyle="solid"/>
            </v:line>
            <v:line style="position:absolute" from="3800,789" to="9171,789" stroked="true" strokeweight=".12pt" strokecolor="#000000">
              <v:stroke dashstyle="solid"/>
            </v:line>
            <v:shape style="position:absolute;left:3862;top:789;width:4901;height:3852" coordorigin="3862,789" coordsize="4901,3852" path="m8763,789l8763,4641m8533,789l8533,4641m8365,789l8365,4641m8230,789l8230,4641m8125,789l8125,4641m8031,789l8031,4641m7957,789l7957,4641m7885,789l7885,4641m7424,789l7424,4641m7184,789l7184,4641m7018,789l7018,4641m6891,789l6891,4641m6788,789l6788,4641m6694,789l6694,4641m6610,789l6610,4641m6548,789l6548,4641m6078,789l6078,4641m5847,789l5847,4641m5679,789l5679,4641m5545,789l5545,4641m5439,789l5439,4641m5346,789l5346,4641m5274,789l5274,4641m5199,789l5199,4641m4738,789l4738,4641m4498,789l4498,4641m4333,789l4333,4641m4206,789l4206,4641m4102,789l4102,4641m4009,789l4009,4641m3925,789l3925,4641m3862,789l3862,4641e" filled="false" stroked="true" strokeweight=".12pt" strokecolor="#000000">
              <v:path arrowok="t"/>
              <v:stroke dashstyle="solid"/>
            </v:shape>
            <v:line style="position:absolute" from="9171,789" to="9171,4704" stroked="true" strokeweight=".12pt" strokecolor="#000000">
              <v:stroke dashstyle="solid"/>
            </v:line>
            <v:shape style="position:absolute;left:5146;top:789;width:2686;height:3852" coordorigin="5146,789" coordsize="2686,3852" path="m7832,789l7832,4641m6486,789l6486,4641m5146,789l5146,4641e" filled="false" stroked="true" strokeweight=".12pt" strokecolor="#000000">
              <v:path arrowok="t"/>
              <v:stroke dashstyle="solid"/>
            </v:shape>
            <v:rect style="position:absolute;left:3800;top:789;width:5372;height:3852" filled="false" stroked="true" strokeweight=".522pt" strokecolor="#7f7f7f">
              <v:stroke dashstyle="solid"/>
            </v:rect>
            <v:line style="position:absolute" from="3800,789" to="3800,4704" stroked="true" strokeweight=".12pt" strokecolor="#000000">
              <v:stroke dashstyle="solid"/>
            </v:line>
            <v:shape style="position:absolute;left:3737;top:789;width:5434;height:3915" coordorigin="3738,789" coordsize="5434,3915" path="m3738,4641l3800,4641m3738,4255l3800,4255m3738,3868l3800,3868m3738,3482l3800,3482m3738,3096l3800,3096m3738,2721l3800,2721m3738,2335l3800,2335m3738,1948l3800,1948m3738,1562l3800,1562m3738,1176l3800,1176m3738,789l3800,789m3800,4641l9171,4641m7832,4704l7832,4641m6486,4704l6486,4641m5146,4704l5146,4641e" filled="false" stroked="true" strokeweight=".12pt" strokecolor="#000000">
              <v:path arrowok="t"/>
              <v:stroke dashstyle="solid"/>
            </v:shape>
            <v:shape style="position:absolute;left:4040;top:789;width:5110;height:3425" coordorigin="4040,789" coordsize="5110,3425" path="m4040,4214l4206,3242,4395,3064,4645,2918,4750,2678,4866,1802,4990,1593,5146,1562,5252,1456,5386,1435,5514,1353,5670,1341,5826,1092,5919,1082,6015,1082,6130,976,6277,955,6454,936,6651,914,6776,904,6913,873,7069,861,7278,842,7467,820,7686,808,7894,808,8115,799,8314,789,9150,789e" filled="false" stroked="true" strokeweight=".522pt" strokecolor="#0e0e0e">
              <v:path arrowok="t"/>
              <v:stroke dashstyle="solid"/>
            </v:shape>
            <v:rect style="position:absolute;left:9149;top:783;width:63;height:11" filled="true" fillcolor="#0e0e0e" stroked="false">
              <v:fill type="solid"/>
            </v:rect>
            <v:line style="position:absolute" from="3800,789" to="9212,789" stroked="true" strokeweight=".522pt" strokecolor="#0e0e0e">
              <v:stroke dashstyle="solid"/>
            </v:line>
            <v:shape style="position:absolute;left:3800;top:789;width:5319;height:3852" coordorigin="3800,789" coordsize="5319,3852" path="m3800,789l3800,4641,4093,4152,4249,3974,4426,3189,4645,3055,4750,2824,4866,1948,4981,1905,5137,1718,5230,1612,5336,1603,5439,1519,5576,1226,5732,1216,5878,1008,5994,998,6130,998,6255,976,6421,945,6598,936,6704,892,6841,892,6987,861,7174,830,7414,820,7602,808,7813,808,7990,799,8187,799,8418,789,9118,789e" filled="false" stroked="true" strokeweight=".522pt" strokecolor="#0e0e0e">
              <v:path arrowok="t"/>
              <v:stroke dashstyle="solid"/>
            </v:shape>
            <v:rect style="position:absolute;left:9118;top:783;width:94;height:11" filled="true" fillcolor="#0e0e0e" stroked="false">
              <v:fill type="solid"/>
            </v:rect>
            <v:line style="position:absolute" from="3800,789" to="9212,789" stroked="true" strokeweight=".522pt" strokecolor="#0e0e0e">
              <v:stroke dashstyle="solid"/>
            </v:line>
            <v:shape style="position:absolute;left:3800;top:789;width:5328;height:3852" coordorigin="3800,789" coordsize="5328,3852" path="m3800,789l3800,4641,3915,4317,4059,3993,4227,3691,4383,3482,4561,3304,4750,2647,4918,2553,5115,2167,5305,2114,5418,1612,5523,1531,5617,1456,5710,1404,5806,1394,5910,1384,6025,1341,6150,1185,6286,1144,6433,1029,6589,945,6788,852,6913,842,7038,830,7477,830,7698,808,7990,808,8480,789,9128,789e" filled="false" stroked="true" strokeweight=".522pt" strokecolor="#0e0e0e">
              <v:path arrowok="t"/>
              <v:stroke dashstyle="solid"/>
            </v:shape>
            <v:rect style="position:absolute;left:9128;top:783;width:84;height:11" filled="true" fillcolor="#0e0e0e" stroked="false">
              <v:fill type="solid"/>
            </v:rect>
            <v:line style="position:absolute" from="3800,789" to="9212,789" stroked="true" strokeweight=".522pt" strokecolor="#0e0e0e">
              <v:stroke dashstyle="solid"/>
            </v:line>
            <v:shape style="position:absolute;left:3800;top:789;width:5338;height:3852" coordorigin="3800,789" coordsize="5338,3852" path="m3800,789l3800,4641,3946,4214,4093,3900,4258,3628,4417,3410,4635,3211,4791,2678,4928,2606,5096,2282,5314,2208,5430,1718,5523,1634,5617,1353,5710,1291,5816,1279,5953,1216,6046,1185,6162,1176,6277,1060,6402,1039,6536,945,6682,873,6829,861,7018,852,7143,820,7436,820,7645,799,7957,799,8502,789,9138,789e" filled="false" stroked="true" strokeweight=".522pt" strokecolor="#0e0e0e">
              <v:path arrowok="t"/>
              <v:stroke dashstyle="solid"/>
            </v:shape>
            <v:rect style="position:absolute;left:9137;top:783;width:75;height:11" filled="true" fillcolor="#0e0e0e" stroked="false">
              <v:fill type="solid"/>
            </v:rect>
            <v:line style="position:absolute" from="3800,789" to="9212,789" stroked="true" strokeweight=".522pt" strokecolor="#0e0e0e">
              <v:stroke dashstyle="solid"/>
            </v:line>
            <v:shape style="position:absolute;left:3800;top:789;width:5403;height:3852" coordorigin="3800,789" coordsize="5403,3852" path="m3800,789l3800,4641,3934,4360,4112,4089,4321,3847,4594,3650,4676,3597,4782,3544,4885,2731,5012,2532,5137,1905,5252,1886,5386,1771,5564,1656,5732,1322,5847,1144,5972,1113,6097,1101,6255,1101,6454,986,6610,914,6757,861,6860,861,6966,852,7090,852,7215,830,7362,808,7530,808,7729,799,7906,789,9202,789e" filled="false" stroked="true" strokeweight=".522pt" strokecolor="#0e0e0e">
              <v:path arrowok="t"/>
              <v:stroke dashstyle="solid"/>
            </v:shape>
            <v:rect style="position:absolute;left:9202;top:783;width:10;height:11" filled="true" fillcolor="#0e0e0e" stroked="false">
              <v:fill type="solid"/>
            </v:rect>
            <v:line style="position:absolute" from="3800,789" to="9212,789" stroked="true" strokeweight=".522pt" strokecolor="#0e0e0e">
              <v:stroke dashstyle="solid"/>
            </v:line>
            <v:shape style="position:absolute;left:3800;top:789;width:5120;height:3852" coordorigin="3800,789" coordsize="5120,3852" path="m3800,789l3800,4641,4040,4432,4249,1989,4426,1917,4582,1864,4707,1696,4803,1677,4906,1332,5012,1310,5127,1248,5262,1226,5430,1176,5598,1123,5732,1092,5910,976,6118,945,6349,873,6598,873,6776,842,7028,820,7196,799,7602,799,7770,789,8919,789e" filled="false" stroked="true" strokeweight=".522pt" strokecolor="#0e0e0e">
              <v:path arrowok="t"/>
              <v:stroke dashstyle="solid"/>
            </v:shape>
            <v:shape style="position:absolute;left:3800;top:789;width:5412;height:2" coordorigin="3800,789" coordsize="5412,0" path="m8919,789l9212,789m3800,789l9212,789e" filled="false" stroked="true" strokeweight=".522pt" strokecolor="#0e0e0e">
              <v:path arrowok="t"/>
              <v:stroke dashstyle="solid"/>
            </v:shape>
            <v:shape style="position:absolute;left:3800;top:789;width:5057;height:3852" coordorigin="3800,789" coordsize="5057,3852" path="m3800,789l3800,4641,3966,4339,4186,4046,4342,3900,4520,3775,4614,2659,4729,2385,4822,2198,4928,2030,5012,1562,5106,1531,5209,1509,5324,1500,5451,1478,5576,1456,5732,1195,5869,1154,6015,998,6162,998,6296,976,6454,955,6632,936,6757,904,6903,861,7069,842,7268,830,7455,808,7729,799,8125,789,8857,789e" filled="false" stroked="true" strokeweight=".522pt" strokecolor="#0e0e0e">
              <v:path arrowok="t"/>
              <v:stroke dashstyle="solid"/>
            </v:shape>
            <v:shape style="position:absolute;left:3800;top:789;width:5412;height:2" coordorigin="3800,789" coordsize="5412,0" path="m8857,789l9212,789m3800,789l9212,789e" filled="false" stroked="true" strokeweight=".522pt" strokecolor="#0e0e0e">
              <v:path arrowok="t"/>
              <v:stroke dashstyle="solid"/>
            </v:shape>
            <v:shape style="position:absolute;left:3800;top:789;width:5120;height:3852" coordorigin="3800,789" coordsize="5120,3852" path="m3800,789l3800,4641,3978,4308,4227,3962,4374,3828,4530,3722,4657,3367,4791,2114,4906,1905,5012,1740,5115,1708,5252,1687,5398,1665,5523,1322,5691,1300,5816,1260,5941,1092,6097,1092,6212,998,6370,967,6526,945,6632,914,6766,904,6913,861,7059,842,7258,830,7424,808,7635,799,7947,789,8919,789e" filled="false" stroked="true" strokeweight=".522pt" strokecolor="#0e0e0e">
              <v:path arrowok="t"/>
              <v:stroke dashstyle="solid"/>
            </v:shape>
            <v:shape style="position:absolute;left:3800;top:789;width:5412;height:2" coordorigin="3800,789" coordsize="5412,0" path="m8919,789l9212,789m3800,789l9212,789e" filled="false" stroked="true" strokeweight=".522pt" strokecolor="#0e0e0e">
              <v:path arrowok="t"/>
              <v:stroke dashstyle="solid"/>
            </v:shape>
            <v:shape style="position:absolute;left:3800;top:789;width:5381;height:3852" coordorigin="3800,789" coordsize="5381,3852" path="m3800,789l3800,4641,4081,4024,4374,3638,4594,3451,4834,3316,4969,2198,5137,1927,5240,1896,5346,1802,5451,1696,5554,1687,5638,1456,5722,1416,5794,1384,5869,1238,5972,1207,6066,1207,6181,1092,6296,986,6421,986,6558,967,6673,914,6798,873,6956,830,7090,830,7268,820,7424,799,8355,799,8732,789,9181,789e" filled="false" stroked="true" strokeweight=".522pt" strokecolor="#0e0e0e">
              <v:path arrowok="t"/>
              <v:stroke dashstyle="solid"/>
            </v:shape>
            <v:rect style="position:absolute;left:9180;top:783;width:32;height:11" filled="true" fillcolor="#0e0e0e" stroked="false">
              <v:fill type="solid"/>
            </v:rect>
            <v:line style="position:absolute" from="3800,789" to="9212,789" stroked="true" strokeweight=".522pt" strokecolor="#0e0e0e">
              <v:stroke dashstyle="solid"/>
            </v:line>
            <v:shape style="position:absolute;left:3800;top:789;width:4817;height:3852" coordorigin="3800,789" coordsize="4817,3852" path="m3800,789l3800,4641,4071,4308,4227,4171,4436,1677,4707,1572,5022,1488,5293,1291,5451,1207,5617,1195,5816,1132,5953,1017,6056,945,6162,945,6277,892,6402,883,6505,842,6642,830,6798,799,7414,799,7717,789,8617,789e" filled="false" stroked="true" strokeweight=".522pt" strokecolor="#0e0e0e">
              <v:path arrowok="t"/>
              <v:stroke dashstyle="solid"/>
            </v:shape>
            <v:shape style="position:absolute;left:3800;top:789;width:5412;height:2" coordorigin="3800,789" coordsize="5412,0" path="m8617,789l9212,789m3800,789l9212,789e" filled="false" stroked="true" strokeweight=".522pt" strokecolor="#0e0e0e">
              <v:path arrowok="t"/>
              <v:stroke dashstyle="solid"/>
            </v:shape>
            <v:shape style="position:absolute;left:3800;top:789;width:5350;height:3852" coordorigin="3800,789" coordsize="5350,3852" path="m3800,789l3800,4641,4093,4245,4280,4077,4448,1843,4676,1740,4959,1656,5146,1468,5283,1447,5408,1363,5533,1353,5679,1300,5785,1176,5910,1051,6025,1017,6140,936,6277,924,6421,861,6589,842,6798,842,7018,799,7424,799,7770,789,9150,789e" filled="false" stroked="true" strokeweight=".522pt" strokecolor="#0e0e0e">
              <v:path arrowok="t"/>
              <v:stroke dashstyle="solid"/>
            </v:shape>
            <v:rect style="position:absolute;left:9149;top:783;width:63;height:11" filled="true" fillcolor="#0e0e0e" stroked="false">
              <v:fill type="solid"/>
            </v:rect>
            <v:line style="position:absolute" from="3800,789" to="9212,789" stroked="true" strokeweight=".522pt" strokecolor="#0e0e0e">
              <v:stroke dashstyle="solid"/>
            </v:line>
            <v:shape style="position:absolute;left:3800;top:789;width:4932;height:3852" coordorigin="3800,789" coordsize="4932,3852" path="m3800,789l3800,4641,4458,3232,4582,3108,4719,2992,4885,2460,5022,2385,5127,2176,5252,1980,5386,1948,5545,1300,5732,1154,5941,1132,6255,1017,6598,955,7165,904,7405,861,7707,820,7969,799,8377,799,8732,789e" filled="false" stroked="true" strokeweight=".522pt" strokecolor="#0e0e0e">
              <v:path arrowok="t"/>
              <v:stroke dashstyle="solid"/>
            </v:shape>
            <v:shape style="position:absolute;left:3800;top:789;width:5412;height:2" coordorigin="3800,789" coordsize="5412,0" path="m8732,789l9212,789m3800,789l9212,789e" filled="false" stroked="true" strokeweight=".522pt" strokecolor="#0e0e0e">
              <v:path arrowok="t"/>
              <v:stroke dashstyle="solid"/>
            </v:shape>
            <v:shape style="position:absolute;left:3800;top:789;width:5213;height:3852" coordorigin="3800,789" coordsize="5213,3852" path="m3800,789l3800,4641,3956,4370,4124,4152,4321,3974,4489,3859,4604,2563,4729,2304,4885,2251,5062,2198,5199,2064,5355,1593,5502,1572,5660,1562,5785,1372,5931,1216,6078,1082,6234,976,6390,892,6598,873,6819,861,6997,830,7134,820,7299,799,8134,799,8502,789,9013,789e" filled="false" stroked="true" strokeweight=".522pt" strokecolor="#0e0e0e">
              <v:path arrowok="t"/>
              <v:stroke dashstyle="solid"/>
            </v:shape>
            <v:shape style="position:absolute;left:3800;top:789;width:5412;height:2" coordorigin="3800,789" coordsize="5412,0" path="m9013,789l9212,789m3800,789l9212,789e" filled="false" stroked="true" strokeweight=".522pt" strokecolor="#0e0e0e">
              <v:path arrowok="t"/>
              <v:stroke dashstyle="solid"/>
            </v:shape>
            <v:shape style="position:absolute;left:3800;top:789;width:5338;height:3852" coordorigin="3800,789" coordsize="5338,3852" path="m3800,789l3800,4641,3987,4298,4196,4046,4426,3837,4594,3734,4719,3681,4854,2575,4959,2544,5062,2416,5178,2292,5305,1855,5430,1843,5554,1540,5701,1531,5869,1300,6046,1113,6224,976,6402,955,6598,873,6841,861,6975,830,7122,820,7290,808,7455,799,8022,799,8302,789,9138,789e" filled="false" stroked="true" strokeweight=".522pt" strokecolor="#0e0e0e">
              <v:path arrowok="t"/>
              <v:stroke dashstyle="solid"/>
            </v:shape>
            <v:rect style="position:absolute;left:9137;top:783;width:75;height:11" filled="true" fillcolor="#0e0e0e" stroked="false">
              <v:fill type="solid"/>
            </v:rect>
            <v:line style="position:absolute" from="3800,789" to="9212,789" stroked="true" strokeweight=".522pt" strokecolor="#0e0e0e">
              <v:stroke dashstyle="solid"/>
            </v:line>
            <v:shape style="position:absolute;left:3800;top:789;width:5014;height:3852" coordorigin="3800,789" coordsize="5014,3852" path="m3800,789l3800,4641,3946,4454,4093,4308,4249,4192,4426,4089,4635,2450,4782,2220,4981,1363,5146,1216,5305,1195,5377,1195,5451,1164,5545,1154,5617,1123,5710,1029,5806,998,5910,998,6003,976,6118,976,6202,936,6286,892,6370,892,6433,873,6589,873,6673,852,6766,830,6882,820,6997,808,7122,808,7258,799,7405,799,7551,789,8814,789e" filled="false" stroked="true" strokeweight=".522pt" strokecolor="#0e0e0e">
              <v:path arrowok="t"/>
              <v:stroke dashstyle="solid"/>
            </v:shape>
            <v:shape style="position:absolute;left:3800;top:789;width:5412;height:2" coordorigin="3800,789" coordsize="5412,0" path="m8814,789l9212,789m3800,789l9212,789e" filled="false" stroked="true" strokeweight=".522pt" strokecolor="#0e0e0e">
              <v:path arrowok="t"/>
              <v:stroke dashstyle="solid"/>
            </v:shape>
            <v:shape style="position:absolute;left:3800;top:789;width:5110;height:3852" coordorigin="3800,789" coordsize="5110,3852" path="m3800,789l3800,4641,3978,4392,4143,4214,4321,4077,4520,3962,4750,2136,4928,1886,5074,1740,5190,1341,5324,1322,5398,1310,5461,1279,5523,1279,5598,1164,5679,1051,5763,1029,5847,1017,5962,998,6066,998,6181,976,6286,924,6349,924,6421,892,6495,873,6579,852,6663,842,6766,842,6891,820,7006,820,7122,799,7635,799,7916,789,8910,789e" filled="false" stroked="true" strokeweight=".522pt" strokecolor="#0e0e0e">
              <v:path arrowok="t"/>
              <v:stroke dashstyle="solid"/>
            </v:shape>
            <v:shape style="position:absolute;left:3800;top:789;width:5412;height:2" coordorigin="3800,789" coordsize="5412,0" path="m8910,789l9212,789m3800,789l9212,789e" filled="false" stroked="true" strokeweight=".522pt" strokecolor="#0e0e0e">
              <v:path arrowok="t"/>
              <v:stroke dashstyle="solid"/>
            </v:shape>
            <v:shape style="position:absolute;left:3800;top:789;width:5036;height:3852" coordorigin="3800,789" coordsize="5036,3852" path="m3800,789l3800,4641,4050,4089,4218,3816,4467,3556,4782,3336,4897,3086,4990,2376,5096,2208,5221,2030,5386,1353,5607,1322,5775,1226,5972,1216,6140,1164,6277,1051,6390,967,6517,945,6632,945,6766,892,6934,842,7090,842,7299,799,7947,799,8365,789,8835,789e" filled="false" stroked="true" strokeweight=".522pt" strokecolor="#0e0e0e">
              <v:path arrowok="t"/>
              <v:stroke dashstyle="solid"/>
            </v:shape>
            <v:shape style="position:absolute;left:3800;top:789;width:5412;height:2" coordorigin="3800,789" coordsize="5412,0" path="m8835,789l9212,789m3800,789l9212,789e" filled="false" stroked="true" strokeweight=".522pt" strokecolor="#0e0e0e">
              <v:path arrowok="t"/>
              <v:stroke dashstyle="solid"/>
            </v:shape>
            <v:shape style="position:absolute;left:3800;top:789;width:5088;height:3852" coordorigin="3800,789" coordsize="5088,3852" path="m3800,789l3800,4641,4040,4015,4239,3672,4530,3336,4928,3076,5043,2145,5178,2104,5324,1917,5470,1759,5617,1646,5785,1550,5931,1478,6078,1269,6224,1113,6380,976,6536,967,6663,967,6810,904,6956,861,7153,808,7393,799,8000,799,8502,789,8888,789e" filled="false" stroked="true" strokeweight=".522pt" strokecolor="#0e0e0e">
              <v:path arrowok="t"/>
              <v:stroke dashstyle="solid"/>
            </v:shape>
            <v:shape style="position:absolute;left:3800;top:789;width:5412;height:2" coordorigin="3800,789" coordsize="5412,0" path="m8888,789l9212,789m3800,789l9212,789e" filled="false" stroked="true" strokeweight=".522pt" strokecolor="#0e0e0e">
              <v:path arrowok="t"/>
              <v:stroke dashstyle="solid"/>
            </v:shape>
            <v:shape style="position:absolute;left:3800;top:789;width:5297;height:3852" coordorigin="3800,789" coordsize="5297,3852" path="m3800,789l3800,4641,4112,4152,4321,3943,4467,3828,4614,3753,4772,2292,4959,2229,5096,2064,5240,1927,5377,1821,5554,1416,5670,1363,5775,1195,5869,1082,5972,1051,6097,945,6255,936,6370,873,6486,861,6589,861,6704,852,6819,852,6966,820,7122,808,7352,808,7676,799,7875,789,9097,789e" filled="false" stroked="true" strokeweight=".522pt" strokecolor="#0e0e0e">
              <v:path arrowok="t"/>
              <v:stroke dashstyle="solid"/>
            </v:shape>
            <v:rect style="position:absolute;left:9096;top:783;width:116;height:11" filled="true" fillcolor="#0e0e0e" stroked="false">
              <v:fill type="solid"/>
            </v:rect>
            <v:line style="position:absolute" from="3800,789" to="9212,789" stroked="true" strokeweight=".522pt" strokecolor="#0e0e0e">
              <v:stroke dashstyle="solid"/>
            </v:line>
            <v:shape style="position:absolute;left:3800;top:789;width:5182;height:3852" coordorigin="3800,789" coordsize="5182,3852" path="m3800,789l3800,4641,4112,4099,4352,3847,4626,3660,4803,3588,4990,2313,5127,2136,5293,1968,5439,1531,5617,1425,5754,1372,5857,1226,5953,1195,6078,1070,6202,976,6339,892,6442,883,6536,873,6642,842,6766,830,6903,820,7081,808,7268,808,7530,799,7779,799,8010,789,8982,789e" filled="false" stroked="true" strokeweight=".522pt" strokecolor="#0e0e0e">
              <v:path arrowok="t"/>
              <v:stroke dashstyle="solid"/>
            </v:shape>
            <v:shape style="position:absolute;left:3800;top:789;width:5412;height:2" coordorigin="3800,789" coordsize="5412,0" path="m8982,789l9212,789m3800,789l9212,789e" filled="false" stroked="true" strokeweight=".522pt" strokecolor="#0e0e0e">
              <v:path arrowok="t"/>
              <v:stroke dashstyle="solid"/>
            </v:shape>
            <v:shape style="position:absolute;left:3800;top:789;width:5194;height:3852" coordorigin="3800,789" coordsize="5194,3852" path="m3800,789l3800,4641,3987,4392,4134,4245,4270,2020,4436,1917,4676,1812,4906,1488,5012,1372,5137,1353,5274,1248,5439,1154,5586,1092,5701,1060,5816,1051,5941,1039,6087,936,6255,914,6433,842,6651,842,6841,830,7081,830,7196,820,7352,808,7623,808,7801,799,7957,799,8146,789,8994,789e" filled="false" stroked="true" strokeweight=".522pt" strokecolor="#0e0e0e">
              <v:path arrowok="t"/>
              <v:stroke dashstyle="solid"/>
            </v:shape>
            <v:shape style="position:absolute;left:3800;top:789;width:5412;height:2" coordorigin="3800,789" coordsize="5412,0" path="m8994,789l9212,789m3800,789l9212,789e" filled="false" stroked="true" strokeweight=".522pt" strokecolor="#0e0e0e">
              <v:path arrowok="t"/>
              <v:stroke dashstyle="solid"/>
            </v:shape>
            <v:shape style="position:absolute;left:3800;top:789;width:5036;height:3852" coordorigin="3800,789" coordsize="5036,3852" path="m3800,789l3800,4641,3978,4267,4227,3900,4520,3628,4772,3494,5031,2992,5324,1656,5502,1634,5679,1531,5878,1195,6130,914,6370,873,6757,861,6997,808,7268,808,7570,799,8314,799,8533,789,8835,789e" filled="false" stroked="true" strokeweight=".522pt" strokecolor="#0e0e0e">
              <v:path arrowok="t"/>
              <v:stroke dashstyle="solid"/>
            </v:shape>
            <v:shape style="position:absolute;left:3800;top:789;width:5412;height:2" coordorigin="3800,789" coordsize="5412,0" path="m8835,789l9212,789m3800,789l9212,789e" filled="false" stroked="true" strokeweight=".522pt" strokecolor="#0e0e0e">
              <v:path arrowok="t"/>
              <v:stroke dashstyle="solid"/>
            </v:shape>
            <v:shape style="position:absolute;left:3800;top:789;width:4755;height:3852" coordorigin="3800,789" coordsize="4755,3852" path="m3800,789l3800,4641,3956,4442,4093,3816,4258,3703,4498,3576,4750,1821,4990,1771,5106,1677,5240,1581,5398,1572,5545,1550,5701,1353,5900,1176,6162,1017,6411,924,6788,830,7038,799,7290,799,7498,789,8554,789e" filled="false" stroked="true" strokeweight=".522pt" strokecolor="#0e0e0e">
              <v:path arrowok="t"/>
              <v:stroke dashstyle="solid"/>
            </v:shape>
            <v:shape style="position:absolute;left:3800;top:789;width:5412;height:2" coordorigin="3800,789" coordsize="5412,0" path="m8554,789l9212,789m3800,789l9212,789e" filled="false" stroked="true" strokeweight=".522pt" strokecolor="#0e0e0e">
              <v:path arrowok="t"/>
              <v:stroke dashstyle="solid"/>
            </v:shape>
            <v:shape style="position:absolute;left:3800;top:789;width:5307;height:3852" coordorigin="3800,789" coordsize="5307,3852" path="m3800,789l3800,4641,3987,4255,4206,3931,4417,3722,4738,3504,4875,2376,5022,2323,5158,2145,5274,2030,5367,1677,5470,1603,5554,1384,5648,1332,5732,1176,5826,1132,5910,1008,6015,976,6097,892,6193,873,6411,873,6505,861,6620,852,6819,852,6944,820,7100,820,7278,808,7446,808,7623,799,7813,799,8031,789,9106,789e" filled="false" stroked="true" strokeweight=".522pt" strokecolor="#0e0e0e">
              <v:path arrowok="t"/>
              <v:stroke dashstyle="solid"/>
            </v:shape>
            <v:rect style="position:absolute;left:9106;top:783;width:106;height:11" filled="true" fillcolor="#0e0e0e" stroked="false">
              <v:fill type="solid"/>
            </v:rect>
            <v:line style="position:absolute" from="3800,789" to="9212,789" stroked="true" strokeweight=".522pt" strokecolor="#0e0e0e">
              <v:stroke dashstyle="solid"/>
            </v:line>
            <v:shape style="position:absolute;left:3800;top:789;width:5160;height:3852" coordorigin="3800,789" coordsize="5160,3852" path="m3800,789l3800,4641,3997,3868,4302,3096,4614,2637,5062,2272,5377,2145,5470,2114,5586,2095,5679,1999,5794,1905,5919,1572,6066,1488,6181,1300,6318,1113,6454,1101,6567,1082,6673,1060,6903,936,7028,883,7196,873,7393,861,7592,852,7854,820,8031,808,8209,799,8960,799e" filled="false" stroked="true" strokeweight=".522pt" strokecolor="#0e0e0e">
              <v:path arrowok="t"/>
              <v:stroke dashstyle="solid"/>
            </v:shape>
            <v:line style="position:absolute" from="8960,799" to="9212,795" stroked="true" strokeweight=".522pt" strokecolor="#0e0e0e">
              <v:stroke dashstyle="solid"/>
            </v:line>
            <v:line style="position:absolute" from="3800,789" to="9212,789" stroked="true" strokeweight=".522pt" strokecolor="#0e0e0e">
              <v:stroke dashstyle="solid"/>
            </v:line>
            <v:shape style="position:absolute;left:3800;top:789;width:5213;height:3852" coordorigin="3800,789" coordsize="5213,3852" path="m3800,789l3800,4641,3997,3796,4302,2980,4666,2407,5178,2030,5492,1917,5732,1855,5838,1771,5953,1696,6087,1612,6212,1404,6327,1238,6454,1226,6548,1144,6651,1060,6766,1039,6891,976,7018,914,7321,892,7539,852,7894,842,7602,830,7854,830,8062,808,8240,799,9013,799e" filled="false" stroked="true" strokeweight=".522pt" strokecolor="#0e0e0e">
              <v:path arrowok="t"/>
              <v:stroke dashstyle="solid"/>
            </v:shape>
            <v:line style="position:absolute" from="9013,799" to="9212,796" stroked="true" strokeweight=".522pt" strokecolor="#0e0e0e">
              <v:stroke dashstyle="solid"/>
            </v:line>
            <v:line style="position:absolute" from="3800,789" to="9212,789" stroked="true" strokeweight=".522pt" strokecolor="#0e0e0e">
              <v:stroke dashstyle="solid"/>
            </v:line>
            <v:shape style="position:absolute;left:3800;top:789;width:4596;height:3852" coordorigin="3800,789" coordsize="4596,3852" path="m3800,789l3800,4641,3987,4370,4155,4192,4290,3672,4448,3576,4626,3494,4854,1948,5074,1696,5230,1562,5355,1488,5492,1478,5648,1216,5826,1154,5984,1123,6181,998,6390,986,6651,904,6956,852,7143,820,7342,808,7614,799,8396,799e" filled="false" stroked="true" strokeweight=".522pt" strokecolor="#0e0e0e">
              <v:path arrowok="t"/>
              <v:stroke dashstyle="solid"/>
            </v:shape>
            <v:line style="position:absolute" from="8396,799" to="9212,798" stroked="true" strokeweight=".522pt" strokecolor="#0e0e0e">
              <v:stroke dashstyle="solid"/>
            </v:line>
            <v:line style="position:absolute" from="3800,789" to="9212,789" stroked="true" strokeweight=".522pt" strokecolor="#0e0e0e">
              <v:stroke dashstyle="solid"/>
            </v:line>
            <v:shape style="position:absolute;left:3800;top:789;width:4932;height:3852" coordorigin="3800,789" coordsize="4932,3852" path="m3800,789l3800,4641,4009,3890,4270,3264,4666,2700,4959,2481,5262,1790,5470,1728,5679,1687,5838,1562,5994,1207,6212,1113,6370,1060,6505,1060,6620,1039,6745,955,6903,945,7038,892,7215,842,7405,830,7635,830,8010,820,8732,789e" filled="false" stroked="true" strokeweight=".522pt" strokecolor="#0e0e0e">
              <v:path arrowok="t"/>
              <v:stroke dashstyle="solid"/>
            </v:shape>
            <v:shape style="position:absolute;left:3800;top:789;width:5412;height:2" coordorigin="3800,789" coordsize="5412,0" path="m8732,789l9212,789m3800,789l9212,789e" filled="false" stroked="true" strokeweight=".522pt" strokecolor="#0e0e0e">
              <v:path arrowok="t"/>
              <v:stroke dashstyle="solid"/>
            </v:shape>
            <v:shape style="position:absolute;left:3800;top:789;width:5213;height:3852" coordorigin="3800,789" coordsize="5213,3852" path="m3800,789l3800,4641,3966,4339,4155,4099,4364,3900,4635,3734,4791,3388,4969,2272,5178,2020,5418,1260,5629,1144,5785,1082,5919,924,6056,914,6202,914,6349,904,6505,904,6651,892,6735,883,6829,861,6922,861,7018,842,7143,820,7278,808,7446,799,8271,799,8605,789,9013,789e" filled="false" stroked="true" strokeweight=".522pt" strokecolor="#0e0e0e">
              <v:path arrowok="t"/>
              <v:stroke dashstyle="solid"/>
            </v:shape>
            <v:shape style="position:absolute;left:3800;top:789;width:5412;height:2" coordorigin="3800,789" coordsize="5412,0" path="m9013,789l9212,789m3800,789l9212,789e" filled="false" stroked="true" strokeweight=".522pt" strokecolor="#0e0e0e">
              <v:path arrowok="t"/>
              <v:stroke dashstyle="solid"/>
            </v:shape>
            <v:shape style="position:absolute;left:3800;top:789;width:5129;height:3852" coordorigin="3800,789" coordsize="5129,3852" path="m3800,789l3800,4641,3978,4329,4165,4099,4374,3912,4698,3722,4854,2512,5022,2260,5230,1425,5502,1238,5670,1154,5816,1101,6003,904,6212,892,6433,892,6548,883,6682,873,6788,873,6891,852,6997,852,7112,830,7258,820,7405,799,8084,799,8240,789,8929,789e" filled="false" stroked="true" strokeweight=".522pt" strokecolor="#0e0e0e">
              <v:path arrowok="t"/>
              <v:stroke dashstyle="solid"/>
            </v:shape>
            <v:shape style="position:absolute;left:3800;top:789;width:5412;height:2" coordorigin="3800,789" coordsize="5412,0" path="m8929,789l9212,789m3800,789l9212,789e" filled="false" stroked="true" strokeweight=".522pt" strokecolor="#0e0e0e">
              <v:path arrowok="t"/>
              <v:stroke dashstyle="solid"/>
            </v:shape>
            <v:shape style="position:absolute;left:3800;top:789;width:5213;height:3852" coordorigin="3800,789" coordsize="5213,3852" path="m3800,789l3800,4641,4081,3367,4249,1322,4489,1216,4688,1164,4928,1113,5106,1092,5314,976,5576,967,5691,955,5826,955,5984,924,6118,914,6286,892,6390,892,6505,873,6642,861,6810,830,7038,830,7383,808,7635,808,7906,799,8281,789,9013,789e" filled="false" stroked="true" strokeweight=".522pt" strokecolor="#0e0e0e">
              <v:path arrowok="t"/>
              <v:stroke dashstyle="solid"/>
            </v:shape>
            <v:shape style="position:absolute;left:3800;top:789;width:5412;height:2" coordorigin="3800,789" coordsize="5412,0" path="m9013,789l9212,789m3800,789l9212,789e" filled="false" stroked="true" strokeweight=".522pt" strokecolor="#0e0e0e">
              <v:path arrowok="t"/>
              <v:stroke dashstyle="solid"/>
            </v:shape>
            <v:shape style="position:absolute;left:3800;top:789;width:5067;height:3852" coordorigin="3800,789" coordsize="5067,3852" path="m3800,789l3800,4641,3956,4392,4093,4224,4196,4120,4311,4024,4448,3597,4573,3525,4719,2323,4854,1394,5012,1353,5230,1154,5418,1123,5576,1113,5710,1101,5826,1070,5953,1039,6078,1029,6181,1008,6296,945,6390,904,6505,861,6632,861,6757,852,6860,830,6987,820,7258,820,7446,808,7602,799,7791,799,7969,789,8866,789e" filled="false" stroked="true" strokeweight=".522pt" strokecolor="#0e0e0e">
              <v:path arrowok="t"/>
              <v:stroke dashstyle="solid"/>
            </v:shape>
            <v:line style="position:absolute" from="8866,789" to="9212,789" stroked="true" strokeweight=".522pt" strokecolor="#0e0e0e">
              <v:stroke dashstyle="solid"/>
            </v:line>
            <v:shape style="position:absolute;left:9212;top:783;width:2;height:11" coordorigin="9212,784" coordsize="0,11" path="m9212,784l9212,794,9212,784xe" filled="true" fillcolor="#0e0e0e" stroked="false">
              <v:path arrowok="t"/>
              <v:fill type="solid"/>
            </v:shape>
            <v:line style="position:absolute" from="3800,789" to="9212,789" stroked="true" strokeweight=".522pt" strokecolor="#0e0e0e">
              <v:stroke dashstyle="solid"/>
            </v:line>
            <v:shape style="position:absolute;left:3800;top:789;width:5372;height:3852" coordorigin="3800,789" coordsize="5372,3852" path="m3800,789l3800,4641,3978,4348,4134,4140,4249,4024,4352,3607,4479,3535,4626,3451,4750,2366,4897,2313,5062,2104,5274,1310,5408,1300,5545,1279,5670,1060,5826,1008,5984,998,6150,967,6265,945,6370,945,6464,904,6579,892,6704,861,6810,852,6934,852,7081,820,7206,820,7362,808,7498,799,8041,799,8324,789,9171,789e" filled="false" stroked="true" strokeweight=".522pt" strokecolor="#0e0e0e">
              <v:path arrowok="t"/>
              <v:stroke dashstyle="solid"/>
            </v:shape>
            <v:rect style="position:absolute;left:9171;top:783;width:41;height:11" filled="true" fillcolor="#0e0e0e" stroked="false">
              <v:fill type="solid"/>
            </v:rect>
            <v:line style="position:absolute" from="3800,789" to="9212,789" stroked="true" strokeweight=".522pt" strokecolor="#0e0e0e">
              <v:stroke dashstyle="solid"/>
            </v:line>
            <v:shape style="position:absolute;left:3800;top:789;width:5244;height:3852" coordorigin="3800,789" coordsize="5244,3852" path="m3800,789l3800,4641,4143,3974,4311,3765,4542,3566,4729,3451,4866,3127,4990,2899,5127,2073,5293,2042,5514,1855,5722,1394,5900,1310,6150,1039,6308,1008,6402,986,6517,976,6651,914,6776,873,6934,830,7143,830,7321,799,7854,799,8084,789,9044,789e" filled="false" stroked="true" strokeweight=".522pt" strokecolor="#0e0e0e">
              <v:path arrowok="t"/>
              <v:stroke dashstyle="solid"/>
            </v:shape>
            <v:shape style="position:absolute;left:3800;top:789;width:5412;height:2" coordorigin="3800,789" coordsize="5412,0" path="m9044,789l9212,789m3800,789l9212,789e" filled="false" stroked="true" strokeweight=".522pt" strokecolor="#0e0e0e">
              <v:path arrowok="t"/>
              <v:stroke dashstyle="solid"/>
            </v:shape>
            <v:shape style="position:absolute;left:3800;top:789;width:4942;height:3852" coordorigin="3800,789" coordsize="4942,3852" path="m3800,789l3800,4641,3966,4411,4112,4245,4270,4108,4395,3703,4530,2344,4657,2292,4803,2042,5012,1989,5240,1790,5355,1500,5461,1291,5576,1279,5701,1101,5806,976,5931,945,6097,924,6224,904,6327,904,6421,861,6505,861,6589,852,6694,852,6776,830,6891,830,7018,808,7143,808,7258,799,7561,799,7791,789,8742,789e" filled="false" stroked="true" strokeweight=".522pt" strokecolor="#0e0e0e">
              <v:path arrowok="t"/>
              <v:stroke dashstyle="solid"/>
            </v:shape>
            <v:shape style="position:absolute;left:3800;top:789;width:5412;height:2" coordorigin="3800,789" coordsize="5412,0" path="m8742,789l9212,789m3800,789l9212,789e" filled="false" stroked="true" strokeweight=".522pt" strokecolor="#0e0e0e">
              <v:path arrowok="t"/>
              <v:stroke dashstyle="solid"/>
            </v:shape>
            <v:shape style="position:absolute;left:3800;top:789;width:5048;height:3852" coordorigin="3800,789" coordsize="5048,3852" path="m3800,789l3800,4641,3956,4401,4165,4161,4333,4024,4448,3619,4582,3544,4750,2239,4938,2188,5115,1989,5324,1821,5470,1488,5554,1332,5648,1176,5732,1051,5838,1017,5962,904,6066,883,6181,873,6318,873,6421,861,6589,861,6682,852,6891,852,7018,830,7174,808,7352,808,7582,799,7813,799,8094,789,8847,789e" filled="false" stroked="true" strokeweight=".522pt" strokecolor="#0e0e0e">
              <v:path arrowok="t"/>
              <v:stroke dashstyle="solid"/>
            </v:shape>
            <v:shape style="position:absolute;left:3800;top:789;width:5412;height:2" coordorigin="3800,789" coordsize="5412,0" path="m8847,789l9212,789m3800,789l9212,789e" filled="false" stroked="true" strokeweight=".522pt" strokecolor="#0e0e0e">
              <v:path arrowok="t"/>
              <v:stroke dashstyle="solid"/>
            </v:shape>
            <v:shape style="position:absolute;left:3800;top:789;width:4848;height:3852" coordorigin="3800,789" coordsize="4848,3852" path="m3800,789l3800,4641,4280,3722,4489,3504,4707,3357,4938,3242,5106,2073,5240,1896,5386,1740,5545,1612,5742,1500,5953,1404,6265,1070,6464,1039,6682,924,6934,914,7196,852,7498,820,7854,808,8218,808,8648,799e" filled="false" stroked="true" strokeweight=".522pt" strokecolor="#0e0e0e">
              <v:path arrowok="t"/>
              <v:stroke dashstyle="solid"/>
            </v:shape>
            <v:line style="position:absolute" from="8648,799" to="9212,798" stroked="true" strokeweight=".522pt" strokecolor="#0e0e0e">
              <v:stroke dashstyle="solid"/>
            </v:line>
            <v:line style="position:absolute" from="3800,789" to="9212,789" stroked="true" strokeweight=".522pt" strokecolor="#0e0e0e">
              <v:stroke dashstyle="solid"/>
            </v:line>
            <v:shape style="position:absolute;left:3800;top:789;width:5381;height:3852" coordorigin="3800,789" coordsize="5381,3852" path="m3800,789l3800,4641,3966,4401,4134,4224,4333,4068,4467,3993,4582,2856,4707,1905,4866,1855,5031,1665,5190,1531,5355,1416,5451,1238,5523,1195,5598,1082,5679,1082,5754,1070,5816,1060,5878,1039,5941,986,6015,936,6087,924,6162,914,6243,873,6339,873,6421,861,6579,861,6673,842,6766,830,6850,830,6944,820,7050,808,7330,808,7467,799,8355,799,8554,789,9181,789e" filled="false" stroked="true" strokeweight=".522pt" strokecolor="#0e0e0e">
              <v:path arrowok="t"/>
              <v:stroke dashstyle="solid"/>
            </v:shape>
            <v:rect style="position:absolute;left:9180;top:783;width:32;height:11" filled="true" fillcolor="#0e0e0e" stroked="false">
              <v:fill type="solid"/>
            </v:rect>
            <v:line style="position:absolute" from="3800,789" to="9212,789" stroked="true" strokeweight=".522pt" strokecolor="#0e0e0e">
              <v:stroke dashstyle="solid"/>
            </v:line>
            <v:shape style="position:absolute;left:3800;top:789;width:5256;height:3852" coordorigin="3800,789" coordsize="5256,3852" path="m3800,789l3800,4641,3956,4392,4165,4161,4352,4015,4489,3931,4594,2899,4719,2856,4854,1958,5022,1740,5221,1562,5398,1447,5461,1404,5533,1279,5598,1164,5670,1060,5742,1029,5826,1029,5931,1017,6003,955,6097,936,6171,892,6243,883,6327,873,6402,873,6486,861,6694,861,6810,842,6903,820,7006,820,7134,808,7446,808,7592,799,8324,799,8511,789,9056,789e" filled="false" stroked="true" strokeweight=".522pt" strokecolor="#0e0e0e">
              <v:path arrowok="t"/>
              <v:stroke dashstyle="solid"/>
            </v:shape>
            <v:shape style="position:absolute;left:3800;top:789;width:5412;height:2" coordorigin="3800,789" coordsize="5412,0" path="m9056,789l9212,789m3800,789l9212,789e" filled="false" stroked="true" strokeweight=".522pt" strokecolor="#0e0e0e">
              <v:path arrowok="t"/>
              <v:stroke dashstyle="solid"/>
            </v:shape>
            <v:shape style="position:absolute;left:3800;top:789;width:5403;height:3852" coordorigin="3800,789" coordsize="5403,3852" path="m3800,789l3800,4641,3987,4329,4134,4140,4321,3962,4594,3796,4729,2532,4875,2272,5031,2052,5178,2030,5346,1999,5451,1728,5564,1488,5670,1310,5775,1269,5900,1113,6046,976,6212,861,6358,842,6567,842,6829,820,7184,820,7330,808,7508,799,8094,799,8355,789,9202,789e" filled="false" stroked="true" strokeweight=".522pt" strokecolor="#0e0e0e">
              <v:path arrowok="t"/>
              <v:stroke dashstyle="solid"/>
            </v:shape>
            <v:rect style="position:absolute;left:9202;top:783;width:10;height:11" filled="true" fillcolor="#0e0e0e" stroked="false">
              <v:fill type="solid"/>
            </v:rect>
            <v:line style="position:absolute" from="3800,789" to="9212,789" stroked="true" strokeweight=".522pt" strokecolor="#0e0e0e">
              <v:stroke dashstyle="solid"/>
            </v:line>
            <v:shape style="position:absolute;left:3800;top:789;width:5276;height:3852" coordorigin="3800,789" coordsize="5276,3852" path="m3800,789l3800,4641,3997,4308,4155,4108,4352,3931,4582,3784,4707,2584,4854,2335,5012,2282,5168,2104,5336,2083,5430,1833,5523,1624,5629,1425,5742,1238,5869,1070,5994,945,6109,924,6265,914,6464,892,6682,873,6975,808,7174,808,7352,799,7990,799,8281,789,9075,789e" filled="false" stroked="true" strokeweight=".522pt" strokecolor="#0e0e0e">
              <v:path arrowok="t"/>
              <v:stroke dashstyle="solid"/>
            </v:shape>
            <v:shape style="position:absolute;left:3800;top:789;width:5412;height:2" coordorigin="3800,789" coordsize="5412,0" path="m9075,789l9212,789m3800,789l9212,789e" filled="false" stroked="true" strokeweight=".522pt" strokecolor="#0e0e0e">
              <v:path arrowok="t"/>
              <v:stroke dashstyle="solid"/>
            </v:shape>
            <v:shape style="position:absolute;left:3800;top:789;width:5235;height:3852" coordorigin="3800,789" coordsize="5235,3852" path="m3800,789l3800,4641,4050,4130,4395,3712,4582,3556,4698,3220,4822,2030,4981,1980,5096,1802,5240,1771,5408,1740,5554,1718,5710,1353,5857,1123,6025,1070,6171,1039,6265,1029,6370,1029,6495,967,6726,861,6997,861,7153,830,7362,820,7551,820,7738,799,8396,799,8636,789,9034,789e" filled="false" stroked="true" strokeweight=".522pt" strokecolor="#0e0e0e">
              <v:path arrowok="t"/>
              <v:stroke dashstyle="solid"/>
            </v:shape>
            <v:shape style="position:absolute;left:3800;top:789;width:5412;height:2" coordorigin="3800,789" coordsize="5412,0" path="m9034,789l9212,789m3800,789l9212,789e" filled="false" stroked="true" strokeweight=".522pt" strokecolor="#0e0e0e">
              <v:path arrowok="t"/>
              <v:stroke dashstyle="solid"/>
            </v:shape>
            <v:shape style="position:absolute;left:3800;top:789;width:5372;height:3852" coordorigin="3800,789" coordsize="5372,3852" path="m3800,789l3800,4641,4018,4267,4174,4068,4374,3880,4626,3722,4729,2740,4866,1759,4990,1562,5127,1404,5274,1260,5408,1164,5545,1154,5710,1132,5826,1123,5919,1123,6025,1113,6109,1092,6212,1017,6308,967,6402,955,6495,955,6610,914,6745,873,6891,842,7018,830,7165,830,7362,820,7623,808,7801,799,8427,799,8648,789,9171,789e" filled="false" stroked="true" strokeweight=".522pt" strokecolor="#0e0e0e">
              <v:path arrowok="t"/>
              <v:stroke dashstyle="solid"/>
            </v:shape>
            <v:rect style="position:absolute;left:9171;top:783;width:41;height:11" filled="true" fillcolor="#0e0e0e" stroked="false">
              <v:fill type="solid"/>
            </v:rect>
            <v:line style="position:absolute" from="3800,789" to="9212,789" stroked="true" strokeweight=".522pt" strokecolor="#0e0e0e">
              <v:stroke dashstyle="solid"/>
            </v:line>
            <v:shape style="position:absolute;left:3800;top:789;width:5319;height:3852" coordorigin="3800,789" coordsize="5319,3852" path="m3800,789l3800,4641,3997,4224,4174,3943,4436,3672,4750,3472,4906,2176,5031,1958,5158,1780,5262,1677,5377,1656,5470,1581,5576,1562,5670,1353,5763,1185,5857,1176,5962,1164,6056,1060,6171,1029,6308,1029,6433,955,6536,945,6651,904,6798,852,6966,842,7153,830,7405,820,7645,799,8626,799,8847,789,9118,789e" filled="false" stroked="true" strokeweight=".522pt" strokecolor="#0e0e0e">
              <v:path arrowok="t"/>
              <v:stroke dashstyle="solid"/>
            </v:shape>
            <v:rect style="position:absolute;left:9118;top:783;width:94;height:11" filled="true" fillcolor="#0e0e0e" stroked="false">
              <v:fill type="solid"/>
            </v:rect>
            <v:line style="position:absolute" from="3800,789" to="9212,789" stroked="true" strokeweight=".522pt" strokecolor="#0e0e0e">
              <v:stroke dashstyle="solid"/>
            </v:line>
            <v:shape style="position:absolute;left:3800;top:789;width:5319;height:3852" coordorigin="3800,789" coordsize="5319,3852" path="m3800,789l3800,4641,4009,4224,4249,3880,4510,3628,4729,3504,4875,2208,5031,1948,5168,1771,5324,1624,5451,1509,5607,1500,5742,1238,5910,1216,6066,1051,6202,1017,6327,1008,6454,936,6567,924,6682,914,6788,873,6922,842,7050,830,7393,830,7676,808,7926,799,8115,799,8346,789,9118,789e" filled="false" stroked="true" strokeweight=".522pt" strokecolor="#0e0e0e">
              <v:path arrowok="t"/>
              <v:stroke dashstyle="solid"/>
            </v:shape>
            <v:rect style="position:absolute;left:9118;top:783;width:94;height:11" filled="true" fillcolor="#0e0e0e" stroked="false">
              <v:fill type="solid"/>
            </v:rect>
            <v:shape style="position:absolute;left:3763;top:752;width:5449;height:3925" type="#_x0000_t75" stroked="false">
              <v:imagedata r:id="rId427" o:title=""/>
            </v:shape>
            <v:rect style="position:absolute;left:2609;top:508;width:6668;height:4709" filled="false" stroked="true" strokeweight=".12pt" strokecolor="#000000">
              <v:stroke dashstyle="solid"/>
            </v:rect>
            <v:shape style="position:absolute;left:3538;top:714;width:5643;height:3948" coordorigin="3538,715" coordsize="5643,3948" path="m3579,1154l3538,1154,3538,1195,3579,1195,3579,1154m3663,1154l3622,1154,3622,1195,3663,1195,3663,1154m3747,1154l3704,1154,3704,1195,3747,1195,3747,1154m3831,1154l3788,1154,3788,1195,3831,1195,3831,1154m3915,1154l3872,1154,3872,1195,3915,1195,3915,1154m3997,1154l3956,1154,3956,1195,3997,1195,3997,1154m4081,1154l4040,1154,4040,1195,4081,1195,4081,1154m4165,1154l4124,1154,4124,1195,4165,1195,4165,1154m4249,1154l4206,1154,4206,1195,4249,1195,4249,1154m4333,1154l4290,1154,4290,1195,4333,1195,4333,1154m4417,1154l4374,1154,4374,1195,4417,1195,4417,1154m4498,1154l4458,1154,4458,1195,4498,1195,4498,1154m4582,1154l4542,1154,4542,1195,4582,1195,4582,1154m4666,1154l4626,1154,4626,1195,4666,1195,4666,1154m4750,1154l4707,1154,4707,1195,4750,1195,4750,1154m4834,1154l4791,1154,4791,1195,4834,1195,4834,1154m4918,1154l4875,1154,4875,1195,4918,1195,4918,1154m5000,1154l4959,1154,4959,1195,5000,1195,5000,1154m5084,1154l5043,1154,5043,1195,5084,1195,5084,1154m5168,1154l5127,1154,5127,1195,5168,1195,5168,1154m5252,1154l5209,1154,5209,1195,5252,1195,5252,1154m5336,1154l5293,1154,5293,1195,5336,1195,5336,1154m5418,1154l5377,1154,5377,1195,5418,1195,5418,1154m5502,1154l5461,1154,5461,1195,5502,1195,5502,1154m5564,4641l5523,4641,5523,4663,5564,4663,5564,4641m5564,4557l5523,4557,5523,4600,5564,4600,5564,4557m5564,4476l5523,4476,5523,4516,5564,4516,5564,4476m5564,4392l5523,4392,5523,4432,5564,4432,5564,4392m5564,4308l5523,4308,5523,4348,5564,4348,5564,4308m5564,4224l5523,4224,5523,4267,5564,4267,5564,4224m5564,4140l5523,4140,5523,4183,5564,4183,5564,4140m5564,4058l5523,4058,5523,4099,5564,4099,5564,4058m5564,3974l5523,3974,5523,4015,5564,4015,5564,3974m5564,3890l5523,3890,5523,3931,5564,3931,5564,3890m5564,3806l5523,3806,5523,3847,5564,3847,5564,3806m5564,3722l5523,3722,5523,3765,5564,3765,5564,3722m5564,3638l5523,3638,5523,3681,5564,3681,5564,3638m5564,3556l5523,3556,5523,3597,5564,3597,5564,3556m5564,3472l5523,3472,5523,3513,5564,3513,5564,3472m5564,3388l5523,3388,5523,3429,5564,3429,5564,3388m5564,3304l5523,3304,5523,3348,5564,3348,5564,3304m5564,3220l5523,3220,5523,3264,5564,3264,5564,3220m5564,3139l5523,3139,5523,3180,5564,3180,5564,3139m5564,3055l5523,3055,5523,3096,5564,3096,5564,3055m5564,2971l5523,2971,5523,3012,5564,3012,5564,2971m5564,2887l5523,2887,5523,2930,5564,2930,5564,2887m5564,2803l5523,2803,5523,2846,5564,2846,5564,2803m5564,2721l5523,2721,5523,2762,5564,2762,5564,2721m5576,2637l5533,2637,5533,2678,5576,2678,5576,2637m5576,2553l5533,2553,5533,2594,5576,2594,5576,2553m5576,2469l5533,2469,5533,2512,5576,2512,5576,2469m5576,2385l5533,2385,5533,2428,5576,2428,5576,2385m5576,2304l5533,2304,5533,2344,5576,2344,5576,2304m5576,2220l5533,2220,5533,2260,5576,2260,5576,2220m5576,2136l5533,2136,5533,2176,5576,2176,5576,2136m5576,2052l5533,2052,5533,2095,5576,2095,5576,2052m5576,1968l5533,1968,5533,2011,5576,2011,5576,1968m5576,1886l5533,1886,5533,1927,5576,1927,5576,1886m5576,1802l5533,1802,5533,1843,5576,1843,5576,1802m5576,1718l5533,1718,5533,1759,5576,1759,5576,1718m5576,1634l5533,1634,5533,1677,5576,1677,5576,1634m5576,1550l5533,1550,5533,1593,5576,1593,5576,1550m5576,1468l5533,1468,5533,1509,5576,1509,5576,1468m5576,1384l5533,1384,5533,1425,5576,1425,5576,1384m5576,1300l5533,1300,5533,1341,5576,1341,5576,1300m5576,1216l5533,1216,5533,1260,5576,1260,5576,1216m5576,1051l5533,1051,5533,1092,5576,1092,5576,1051m5576,967l5533,967,5533,1008,5576,1008,5576,967m5576,883l5533,883,5533,924,5576,924,5576,883m5576,799l5533,799,5533,842,5576,842,5576,799m5576,715l5533,715,5533,758,5576,758,5576,715m5586,1154l5576,1154,5576,1132,5533,1132,5533,1176,5545,1176,5545,1195,5586,1195,5586,1154m5670,1154l5629,1154,5629,1195,5670,1195,5670,1154m5754,1154l5710,1154,5710,1195,5754,1195,5754,1154m5838,1154l5794,1154,5794,1195,5838,1195,5838,1154m5919,1154l5878,1154,5878,1195,5919,1195,5919,1154m6003,1154l5962,1154,5962,1195,6003,1195,6003,1154m6087,1154l6046,1154,6046,1195,6087,1195,6087,1154m6171,1154l6130,1154,6130,1195,6171,1195,6171,1154m6255,1154l6212,1154,6212,1195,6255,1195,6255,1154m6339,1154l6296,1154,6296,1195,6339,1195,6339,1154m6421,1164l6380,1164,6380,1207,6421,1207,6421,1164m6505,1164l6464,1164,6464,1207,6505,1207,6505,1164m6589,1164l6548,1164,6548,1207,6589,1207,6589,1164m6673,1164l6632,1164,6632,1207,6673,1207,6673,1164m6757,1164l6714,1164,6714,1207,6757,1207,6757,1164m6841,1164l6798,1164,6798,1207,6841,1207,6841,1164m6922,1164l6882,1164,6882,1207,6922,1207,6922,1164m7006,1164l6966,1164,6966,1207,7006,1207,7006,1164m7090,1164l7050,1164,7050,1207,7090,1207,7090,1164m7174,1164l7134,1164,7134,1207,7174,1207,7174,1164m7258,1164l7215,1164,7215,1207,7258,1207,7258,1164m7342,1164l7299,1164,7299,1207,7342,1207,7342,1164m7424,1164l7383,1164,7383,1207,7424,1207,7424,1164m7508,1164l7467,1164,7467,1207,7508,1207,7508,1164m7592,1164l7551,1164,7551,1207,7592,1207,7592,1164m7676,1164l7635,1164,7635,1207,7676,1207,7676,1164m7760,1164l7717,1164,7717,1207,7760,1207,7760,1164m7844,1164l7801,1164,7801,1207,7844,1207,7844,1164m7926,1164l7885,1164,7885,1207,7926,1207,7926,1164m8010,1164l7969,1164,7969,1207,8010,1207,8010,1164m8094,1164l8053,1164,8053,1207,8094,1207,8094,1164m8178,1164l8134,1164,8134,1207,8178,1207,8178,1164m8262,1164l8218,1164,8218,1207,8262,1207,8262,1164m8346,1164l8302,1164,8302,1207,8346,1207,8346,1164m8427,1164l8386,1164,8386,1207,8427,1207,8427,1164m8511,1164l8470,1164,8470,1207,8511,1207,8511,1164m8595,1164l8554,1164,8554,1207,8595,1207,8595,1164m8679,1164l8636,1164,8636,1207,8679,1207,8679,1164m8763,1164l8720,1164,8720,1207,8763,1207,8763,1164m8847,1164l8804,1164,8804,1207,8847,1207,8847,1164m8929,1164l8888,1164,8888,1207,8929,1207,8929,1164m9013,1164l8972,1164,8972,1207,9013,1207,9013,1164m9097,1164l9056,1164,9056,1207,9097,1207,9097,1164m9181,1164l9138,1164,9138,1207,9181,1207,9181,1164e" filled="true" fillcolor="#4b4b4b" stroked="false">
              <v:path arrowok="t"/>
              <v:fill type="solid"/>
            </v:shape>
            <v:shape style="position:absolute;left:7510;top:4723;width:1752;height:222" type="#_x0000_t202" filled="false" stroked="false">
              <v:textbox inset="0,0,0,0">
                <w:txbxContent>
                  <w:p>
                    <w:pPr>
                      <w:tabs>
                        <w:tab w:pos="990" w:val="left" w:leader="none"/>
                      </w:tabs>
                      <w:spacing w:line="222" w:lineRule="exact" w:before="0"/>
                      <w:ind w:left="0" w:right="0" w:firstLine="0"/>
                      <w:jc w:val="left"/>
                      <w:rPr>
                        <w:rFonts w:ascii="Arial"/>
                        <w:sz w:val="20"/>
                      </w:rPr>
                    </w:pPr>
                    <w:r>
                      <w:rPr>
                        <w:rFonts w:ascii="Arial"/>
                        <w:sz w:val="20"/>
                      </w:rPr>
                      <w:t>99.9 %</w:t>
                      <w:tab/>
                      <w:t>99.99</w:t>
                    </w:r>
                    <w:r>
                      <w:rPr>
                        <w:rFonts w:ascii="Arial"/>
                        <w:spacing w:val="2"/>
                        <w:sz w:val="20"/>
                      </w:rPr>
                      <w:t> </w:t>
                    </w:r>
                    <w:r>
                      <w:rPr>
                        <w:rFonts w:ascii="Arial"/>
                        <w:sz w:val="20"/>
                      </w:rPr>
                      <w:t>%</w:t>
                    </w:r>
                  </w:p>
                </w:txbxContent>
              </v:textbox>
              <w10:wrap type="none"/>
            </v:shape>
            <v:shape style="position:absolute;left:5348;top:4682;width:2033;height:479" type="#_x0000_t202" filled="false" stroked="false">
              <v:textbox inset="0,0,0,0">
                <w:txbxContent>
                  <w:p>
                    <w:pPr>
                      <w:spacing w:line="222" w:lineRule="exact" w:before="0"/>
                      <w:ind w:left="907" w:right="0" w:firstLine="0"/>
                      <w:jc w:val="left"/>
                      <w:rPr>
                        <w:rFonts w:ascii="Arial"/>
                        <w:sz w:val="20"/>
                      </w:rPr>
                    </w:pPr>
                    <w:r>
                      <w:rPr>
                        <w:rFonts w:ascii="Arial"/>
                        <w:sz w:val="20"/>
                      </w:rPr>
                      <w:t>99 %</w:t>
                    </w:r>
                  </w:p>
                  <w:p>
                    <w:pPr>
                      <w:spacing w:line="230" w:lineRule="exact" w:before="27"/>
                      <w:ind w:left="0" w:right="0" w:firstLine="0"/>
                      <w:jc w:val="left"/>
                      <w:rPr>
                        <w:rFonts w:ascii="Arial"/>
                        <w:b/>
                        <w:sz w:val="20"/>
                      </w:rPr>
                    </w:pPr>
                    <w:r>
                      <w:rPr>
                        <w:rFonts w:ascii="Arial"/>
                        <w:b/>
                        <w:sz w:val="20"/>
                      </w:rPr>
                      <w:t>Cumulative emission</w:t>
                    </w:r>
                  </w:p>
                </w:txbxContent>
              </v:textbox>
              <w10:wrap type="none"/>
            </v:shape>
            <v:shape style="position:absolute;left:4846;top:4703;width:478;height:222" type="#_x0000_t202" filled="false" stroked="false">
              <v:textbox inset="0,0,0,0">
                <w:txbxContent>
                  <w:p>
                    <w:pPr>
                      <w:spacing w:line="222" w:lineRule="exact" w:before="0"/>
                      <w:ind w:left="0" w:right="0" w:firstLine="0"/>
                      <w:jc w:val="left"/>
                      <w:rPr>
                        <w:rFonts w:ascii="Arial"/>
                        <w:sz w:val="20"/>
                      </w:rPr>
                    </w:pPr>
                    <w:r>
                      <w:rPr>
                        <w:rFonts w:ascii="Arial"/>
                        <w:sz w:val="20"/>
                      </w:rPr>
                      <w:t>90 %</w:t>
                    </w:r>
                  </w:p>
                </w:txbxContent>
              </v:textbox>
              <w10:wrap type="none"/>
            </v:shape>
            <v:shape style="position:absolute;left:3600;top:4682;width:365;height:222" type="#_x0000_t202" filled="false" stroked="false">
              <v:textbox inset="0,0,0,0">
                <w:txbxContent>
                  <w:p>
                    <w:pPr>
                      <w:spacing w:line="222" w:lineRule="exact" w:before="0"/>
                      <w:ind w:left="0" w:right="0" w:firstLine="0"/>
                      <w:jc w:val="left"/>
                      <w:rPr>
                        <w:rFonts w:ascii="Arial"/>
                        <w:sz w:val="20"/>
                      </w:rPr>
                    </w:pPr>
                    <w:r>
                      <w:rPr>
                        <w:rFonts w:ascii="Arial"/>
                        <w:sz w:val="20"/>
                      </w:rPr>
                      <w:t>0 %</w:t>
                    </w:r>
                  </w:p>
                </w:txbxContent>
              </v:textbox>
              <w10:wrap type="none"/>
            </v:shape>
            <v:shape style="position:absolute;left:3276;top:4526;width:384;height:234" type="#_x0000_t202" filled="false" stroked="false">
              <v:textbox inset="0,0,0,0">
                <w:txbxContent>
                  <w:p>
                    <w:pPr>
                      <w:spacing w:line="233" w:lineRule="exact" w:before="0"/>
                      <w:ind w:left="0" w:right="0" w:firstLine="0"/>
                      <w:jc w:val="left"/>
                      <w:rPr>
                        <w:rFonts w:ascii="Arial"/>
                        <w:sz w:val="21"/>
                      </w:rPr>
                    </w:pPr>
                    <w:r>
                      <w:rPr>
                        <w:rFonts w:ascii="Arial"/>
                        <w:sz w:val="21"/>
                      </w:rPr>
                      <w:t>0 %</w:t>
                    </w:r>
                  </w:p>
                </w:txbxContent>
              </v:textbox>
              <w10:wrap type="none"/>
            </v:shape>
            <v:shape style="position:absolute;left:3048;top:672;width:612;height:3702" type="#_x0000_t202" filled="false" stroked="false">
              <v:textbox inset="0,0,0,0">
                <w:txbxContent>
                  <w:p>
                    <w:pPr>
                      <w:spacing w:line="234" w:lineRule="exact" w:before="0"/>
                      <w:ind w:left="-1" w:right="18" w:firstLine="0"/>
                      <w:jc w:val="center"/>
                      <w:rPr>
                        <w:rFonts w:ascii="Arial"/>
                        <w:sz w:val="21"/>
                      </w:rPr>
                    </w:pPr>
                    <w:r>
                      <w:rPr>
                        <w:rFonts w:ascii="Arial"/>
                        <w:spacing w:val="-2"/>
                        <w:sz w:val="21"/>
                      </w:rPr>
                      <w:t>100</w:t>
                    </w:r>
                    <w:r>
                      <w:rPr>
                        <w:rFonts w:ascii="Arial"/>
                        <w:sz w:val="21"/>
                      </w:rPr>
                      <w:t> </w:t>
                    </w:r>
                    <w:r>
                      <w:rPr>
                        <w:rFonts w:ascii="Arial"/>
                        <w:spacing w:val="-16"/>
                        <w:sz w:val="21"/>
                      </w:rPr>
                      <w:t>%</w:t>
                    </w:r>
                  </w:p>
                  <w:p>
                    <w:pPr>
                      <w:spacing w:before="145"/>
                      <w:ind w:left="96" w:right="1" w:firstLine="0"/>
                      <w:jc w:val="center"/>
                      <w:rPr>
                        <w:rFonts w:ascii="Arial"/>
                        <w:sz w:val="21"/>
                      </w:rPr>
                    </w:pPr>
                    <w:r>
                      <w:rPr>
                        <w:rFonts w:ascii="Arial"/>
                        <w:sz w:val="21"/>
                      </w:rPr>
                      <w:t>90</w:t>
                    </w:r>
                    <w:r>
                      <w:rPr>
                        <w:rFonts w:ascii="Arial"/>
                        <w:spacing w:val="-4"/>
                        <w:sz w:val="21"/>
                      </w:rPr>
                      <w:t> </w:t>
                    </w:r>
                    <w:r>
                      <w:rPr>
                        <w:rFonts w:ascii="Arial"/>
                        <w:sz w:val="21"/>
                      </w:rPr>
                      <w:t>%</w:t>
                    </w:r>
                  </w:p>
                  <w:p>
                    <w:pPr>
                      <w:spacing w:before="145"/>
                      <w:ind w:left="96" w:right="1" w:firstLine="0"/>
                      <w:jc w:val="center"/>
                      <w:rPr>
                        <w:rFonts w:ascii="Arial"/>
                        <w:sz w:val="21"/>
                      </w:rPr>
                    </w:pPr>
                    <w:r>
                      <w:rPr>
                        <w:rFonts w:ascii="Arial"/>
                        <w:sz w:val="21"/>
                      </w:rPr>
                      <w:t>80</w:t>
                    </w:r>
                    <w:r>
                      <w:rPr>
                        <w:rFonts w:ascii="Arial"/>
                        <w:spacing w:val="-4"/>
                        <w:sz w:val="21"/>
                      </w:rPr>
                      <w:t> </w:t>
                    </w:r>
                    <w:r>
                      <w:rPr>
                        <w:rFonts w:ascii="Arial"/>
                        <w:sz w:val="21"/>
                      </w:rPr>
                      <w:t>%</w:t>
                    </w:r>
                  </w:p>
                  <w:p>
                    <w:pPr>
                      <w:spacing w:before="144"/>
                      <w:ind w:left="96" w:right="1" w:firstLine="0"/>
                      <w:jc w:val="center"/>
                      <w:rPr>
                        <w:rFonts w:ascii="Arial"/>
                        <w:sz w:val="21"/>
                      </w:rPr>
                    </w:pPr>
                    <w:r>
                      <w:rPr>
                        <w:rFonts w:ascii="Arial"/>
                        <w:sz w:val="21"/>
                      </w:rPr>
                      <w:t>70</w:t>
                    </w:r>
                    <w:r>
                      <w:rPr>
                        <w:rFonts w:ascii="Arial"/>
                        <w:spacing w:val="-4"/>
                        <w:sz w:val="21"/>
                      </w:rPr>
                      <w:t> </w:t>
                    </w:r>
                    <w:r>
                      <w:rPr>
                        <w:rFonts w:ascii="Arial"/>
                        <w:sz w:val="21"/>
                      </w:rPr>
                      <w:t>%</w:t>
                    </w:r>
                  </w:p>
                  <w:p>
                    <w:pPr>
                      <w:spacing w:before="145"/>
                      <w:ind w:left="96" w:right="1" w:firstLine="0"/>
                      <w:jc w:val="center"/>
                      <w:rPr>
                        <w:rFonts w:ascii="Arial"/>
                        <w:sz w:val="21"/>
                      </w:rPr>
                    </w:pPr>
                    <w:r>
                      <w:rPr>
                        <w:rFonts w:ascii="Arial"/>
                        <w:sz w:val="21"/>
                      </w:rPr>
                      <w:t>60</w:t>
                    </w:r>
                    <w:r>
                      <w:rPr>
                        <w:rFonts w:ascii="Arial"/>
                        <w:spacing w:val="-4"/>
                        <w:sz w:val="21"/>
                      </w:rPr>
                      <w:t> </w:t>
                    </w:r>
                    <w:r>
                      <w:rPr>
                        <w:rFonts w:ascii="Arial"/>
                        <w:sz w:val="21"/>
                      </w:rPr>
                      <w:t>%</w:t>
                    </w:r>
                  </w:p>
                  <w:p>
                    <w:pPr>
                      <w:spacing w:before="145"/>
                      <w:ind w:left="96" w:right="1" w:firstLine="0"/>
                      <w:jc w:val="center"/>
                      <w:rPr>
                        <w:rFonts w:ascii="Arial"/>
                        <w:sz w:val="21"/>
                      </w:rPr>
                    </w:pPr>
                    <w:r>
                      <w:rPr>
                        <w:rFonts w:ascii="Arial"/>
                        <w:sz w:val="21"/>
                      </w:rPr>
                      <w:t>50</w:t>
                    </w:r>
                    <w:r>
                      <w:rPr>
                        <w:rFonts w:ascii="Arial"/>
                        <w:spacing w:val="-4"/>
                        <w:sz w:val="21"/>
                      </w:rPr>
                      <w:t> </w:t>
                    </w:r>
                    <w:r>
                      <w:rPr>
                        <w:rFonts w:ascii="Arial"/>
                        <w:sz w:val="21"/>
                      </w:rPr>
                      <w:t>%</w:t>
                    </w:r>
                  </w:p>
                  <w:p>
                    <w:pPr>
                      <w:spacing w:before="136"/>
                      <w:ind w:left="96" w:right="1" w:firstLine="0"/>
                      <w:jc w:val="center"/>
                      <w:rPr>
                        <w:rFonts w:ascii="Arial"/>
                        <w:sz w:val="21"/>
                      </w:rPr>
                    </w:pPr>
                    <w:r>
                      <w:rPr>
                        <w:rFonts w:ascii="Arial"/>
                        <w:sz w:val="21"/>
                      </w:rPr>
                      <w:t>40</w:t>
                    </w:r>
                    <w:r>
                      <w:rPr>
                        <w:rFonts w:ascii="Arial"/>
                        <w:spacing w:val="-4"/>
                        <w:sz w:val="21"/>
                      </w:rPr>
                      <w:t> </w:t>
                    </w:r>
                    <w:r>
                      <w:rPr>
                        <w:rFonts w:ascii="Arial"/>
                        <w:sz w:val="21"/>
                      </w:rPr>
                      <w:t>%</w:t>
                    </w:r>
                  </w:p>
                  <w:p>
                    <w:pPr>
                      <w:spacing w:before="145"/>
                      <w:ind w:left="96" w:right="1" w:firstLine="0"/>
                      <w:jc w:val="center"/>
                      <w:rPr>
                        <w:rFonts w:ascii="Arial"/>
                        <w:sz w:val="21"/>
                      </w:rPr>
                    </w:pPr>
                    <w:r>
                      <w:rPr>
                        <w:rFonts w:ascii="Arial"/>
                        <w:sz w:val="21"/>
                      </w:rPr>
                      <w:t>30</w:t>
                    </w:r>
                    <w:r>
                      <w:rPr>
                        <w:rFonts w:ascii="Arial"/>
                        <w:spacing w:val="-4"/>
                        <w:sz w:val="21"/>
                      </w:rPr>
                      <w:t> </w:t>
                    </w:r>
                    <w:r>
                      <w:rPr>
                        <w:rFonts w:ascii="Arial"/>
                        <w:sz w:val="21"/>
                      </w:rPr>
                      <w:t>%</w:t>
                    </w:r>
                  </w:p>
                  <w:p>
                    <w:pPr>
                      <w:spacing w:before="144"/>
                      <w:ind w:left="96" w:right="1" w:firstLine="0"/>
                      <w:jc w:val="center"/>
                      <w:rPr>
                        <w:rFonts w:ascii="Arial"/>
                        <w:sz w:val="21"/>
                      </w:rPr>
                    </w:pPr>
                    <w:r>
                      <w:rPr>
                        <w:rFonts w:ascii="Arial"/>
                        <w:sz w:val="21"/>
                      </w:rPr>
                      <w:t>20</w:t>
                    </w:r>
                    <w:r>
                      <w:rPr>
                        <w:rFonts w:ascii="Arial"/>
                        <w:spacing w:val="-4"/>
                        <w:sz w:val="21"/>
                      </w:rPr>
                      <w:t> </w:t>
                    </w:r>
                    <w:r>
                      <w:rPr>
                        <w:rFonts w:ascii="Arial"/>
                        <w:sz w:val="21"/>
                      </w:rPr>
                      <w:t>%</w:t>
                    </w:r>
                  </w:p>
                  <w:p>
                    <w:pPr>
                      <w:spacing w:line="241" w:lineRule="exact" w:before="145"/>
                      <w:ind w:left="96" w:right="1" w:firstLine="0"/>
                      <w:jc w:val="center"/>
                      <w:rPr>
                        <w:rFonts w:ascii="Arial"/>
                        <w:sz w:val="21"/>
                      </w:rPr>
                    </w:pPr>
                    <w:r>
                      <w:rPr>
                        <w:rFonts w:ascii="Arial"/>
                        <w:sz w:val="21"/>
                      </w:rPr>
                      <w:t>10</w:t>
                    </w:r>
                    <w:r>
                      <w:rPr>
                        <w:rFonts w:ascii="Arial"/>
                        <w:spacing w:val="-4"/>
                        <w:sz w:val="21"/>
                      </w:rPr>
                      <w:t> </w:t>
                    </w:r>
                    <w:r>
                      <w:rPr>
                        <w:rFonts w:ascii="Arial"/>
                        <w:sz w:val="21"/>
                      </w:rPr>
                      <w:t>%</w:t>
                    </w:r>
                  </w:p>
                </w:txbxContent>
              </v:textbox>
              <w10:wrap type="none"/>
            </v:shape>
            <w10:wrap type="none"/>
          </v:group>
        </w:pict>
      </w:r>
      <w:r>
        <w:rPr/>
        <w:pict>
          <v:shape style="position:absolute;margin-left:135.501007pt;margin-top:79.377342pt;width:13.1pt;height:113pt;mso-position-horizontal-relative:page;mso-position-vertical-relative:paragraph;z-index:31720" type="#_x0000_t202" filled="false" stroked="false">
            <v:textbox inset="0,0,0,0" style="layout-flow:vertical;mso-layout-flow-alt:bottom-to-top">
              <w:txbxContent>
                <w:p>
                  <w:pPr>
                    <w:spacing w:before="12"/>
                    <w:ind w:left="20" w:right="0" w:firstLine="0"/>
                    <w:jc w:val="left"/>
                    <w:rPr>
                      <w:rFonts w:ascii="Arial"/>
                      <w:b/>
                      <w:sz w:val="20"/>
                    </w:rPr>
                  </w:pPr>
                  <w:r>
                    <w:rPr>
                      <w:rFonts w:ascii="Arial"/>
                      <w:b/>
                      <w:sz w:val="20"/>
                    </w:rPr>
                    <w:t>Cumulative uncertainty</w:t>
                  </w:r>
                </w:p>
              </w:txbxContent>
            </v:textbox>
            <w10:wrap type="none"/>
          </v:shape>
        </w:pict>
      </w:r>
      <w:r>
        <w:rPr>
          <w:b/>
          <w:spacing w:val="8"/>
          <w:sz w:val="20"/>
        </w:rPr>
        <w:t>Figure</w:t>
      </w:r>
      <w:r>
        <w:rPr>
          <w:b/>
          <w:spacing w:val="18"/>
          <w:sz w:val="20"/>
        </w:rPr>
        <w:t> </w:t>
      </w:r>
      <w:r>
        <w:rPr>
          <w:b/>
          <w:spacing w:val="8"/>
          <w:sz w:val="20"/>
        </w:rPr>
        <w:t>5.4.3</w:t>
        <w:tab/>
        <w:t>Cumulative </w:t>
      </w:r>
      <w:r>
        <w:rPr>
          <w:b/>
          <w:spacing w:val="9"/>
          <w:sz w:val="20"/>
        </w:rPr>
        <w:t>uncertainty </w:t>
      </w:r>
      <w:r>
        <w:rPr>
          <w:b/>
          <w:spacing w:val="8"/>
          <w:sz w:val="20"/>
        </w:rPr>
        <w:t>plotted against </w:t>
      </w:r>
      <w:r>
        <w:rPr>
          <w:b/>
          <w:spacing w:val="9"/>
          <w:sz w:val="20"/>
        </w:rPr>
        <w:t>cumulative</w:t>
      </w:r>
      <w:r>
        <w:rPr>
          <w:b/>
          <w:spacing w:val="14"/>
          <w:sz w:val="20"/>
        </w:rPr>
        <w:t> </w:t>
      </w:r>
      <w:r>
        <w:rPr>
          <w:b/>
          <w:spacing w:val="8"/>
          <w:sz w:val="20"/>
        </w:rPr>
        <w:t>emissions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1"/>
        <w:rPr>
          <w:b/>
          <w:sz w:val="27"/>
        </w:rPr>
      </w:pPr>
    </w:p>
    <w:p>
      <w:pPr>
        <w:tabs>
          <w:tab w:pos="898" w:val="left" w:leader="none"/>
        </w:tabs>
        <w:spacing w:line="319" w:lineRule="auto" w:before="0"/>
        <w:ind w:left="179" w:right="2969" w:firstLine="0"/>
        <w:jc w:val="left"/>
        <w:rPr>
          <w:sz w:val="16"/>
        </w:rPr>
      </w:pPr>
      <w:r>
        <w:rPr>
          <w:sz w:val="16"/>
        </w:rPr>
        <w:t>Note:</w:t>
        <w:tab/>
        <w:t>The dotted lines show the division of the 95% threshold at 90% of sum of contribution from uncertainties. Source:</w:t>
        <w:tab/>
        <w:t>Data reported by Parties to the UNFCCC and assumed</w:t>
      </w:r>
      <w:r>
        <w:rPr>
          <w:spacing w:val="-13"/>
          <w:sz w:val="16"/>
        </w:rPr>
        <w:t> </w:t>
      </w:r>
      <w:r>
        <w:rPr>
          <w:sz w:val="16"/>
        </w:rPr>
        <w:t>uncertainties.</w:t>
      </w:r>
    </w:p>
    <w:p>
      <w:pPr>
        <w:pStyle w:val="BodyText"/>
        <w:spacing w:before="4"/>
        <w:rPr>
          <w:sz w:val="24"/>
        </w:rPr>
      </w:pPr>
    </w:p>
    <w:p>
      <w:pPr>
        <w:tabs>
          <w:tab w:pos="1880" w:val="left" w:leader="none"/>
        </w:tabs>
        <w:spacing w:before="0"/>
        <w:ind w:left="1880" w:right="1941" w:hanging="1702"/>
        <w:jc w:val="left"/>
        <w:rPr>
          <w:b/>
          <w:sz w:val="20"/>
        </w:rPr>
      </w:pPr>
      <w:r>
        <w:rPr/>
        <w:pict>
          <v:group style="position:absolute;margin-left:118.420998pt;margin-top:39.756222pt;width:357.75pt;height:257.8pt;mso-position-horizontal-relative:page;mso-position-vertical-relative:paragraph;z-index:31672" coordorigin="2368,795" coordsize="7155,5156">
            <v:rect style="position:absolute;left:2369;top:796;width:7152;height:5153" filled="false" stroked="true" strokeweight=".12pt" strokecolor="#000000">
              <v:stroke dashstyle="solid"/>
            </v:rect>
            <v:rect style="position:absolute;left:4390;top:930;width:4839;height:3569" filled="true" fillcolor="#c0c0c0" stroked="false">
              <v:fill type="solid"/>
            </v:rect>
            <v:shape style="position:absolute;left:5360;top:930;width:2;height:3569" coordorigin="5360,931" coordsize="0,3569" path="m5360,931l5360,1375m5360,1471l5360,1591m5360,1766l5360,1886m5360,2076l5360,2196m5360,2371l5360,4500e" filled="false" stroked="true" strokeweight=".12pt" strokecolor="#000000">
              <v:path arrowok="t"/>
              <v:stroke dashstyle="solid"/>
            </v:shape>
            <v:shape style="position:absolute;left:6317;top:930;width:2;height:3569" coordorigin="6318,931" coordsize="0,3569" path="m6318,931l6318,1375m6318,1471l6318,1591m6318,1766l6318,1886m6318,2076l6318,4500e" filled="false" stroked="true" strokeweight=".12pt" strokecolor="#000000">
              <v:path arrowok="t"/>
              <v:stroke dashstyle="solid"/>
            </v:shape>
            <v:shape style="position:absolute;left:7287;top:930;width:2;height:3569" coordorigin="7287,931" coordsize="0,3569" path="m7287,931l7287,1375m7287,1471l7287,1591m7287,1766l7287,1886m7287,1982l7287,4500e" filled="false" stroked="true" strokeweight=".12pt" strokecolor="#000000">
              <v:path arrowok="t"/>
              <v:stroke dashstyle="solid"/>
            </v:shape>
            <v:shape style="position:absolute;left:8259;top:930;width:2;height:3569" coordorigin="8259,931" coordsize="0,3569" path="m8259,931l8259,1375m8259,1471l8259,4500e" filled="false" stroked="true" strokeweight=".12pt" strokecolor="#000000">
              <v:path arrowok="t"/>
              <v:stroke dashstyle="solid"/>
            </v:shape>
            <v:line style="position:absolute" from="9229,931" to="9229,4567" stroked="true" strokeweight=".12pt" strokecolor="#000000">
              <v:stroke dashstyle="solid"/>
            </v:line>
            <v:rect style="position:absolute;left:4390;top:930;width:4839;height:3569" filled="false" stroked="true" strokeweight=".673pt" strokecolor="#7f7f7f">
              <v:stroke dashstyle="solid"/>
            </v:rect>
            <v:rect style="position:absolute;left:4390;top:4350;width:485;height:94" filled="true" fillcolor="#a4a4a4" stroked="false">
              <v:fill type="solid"/>
            </v:rect>
            <v:rect style="position:absolute;left:4390;top:4350;width:485;height:94" filled="false" stroked="true" strokeweight=".673pt" strokecolor="#000000">
              <v:stroke dashstyle="solid"/>
            </v:rect>
            <v:rect style="position:absolute;left:4390;top:2869;width:485;height:94" filled="true" fillcolor="#a4a4a4" stroked="false">
              <v:fill type="solid"/>
            </v:rect>
            <v:rect style="position:absolute;left:4390;top:2869;width:485;height:94" filled="false" stroked="true" strokeweight=".673pt" strokecolor="#000000">
              <v:stroke dashstyle="solid"/>
            </v:rect>
            <v:line style="position:absolute" from="4390,2620" to="4875,2620" stroked="true" strokeweight="4.8pt" strokecolor="#a4a4a4">
              <v:stroke dashstyle="solid"/>
            </v:line>
            <v:rect style="position:absolute;left:4390;top:2572;width:485;height:96" filled="false" stroked="true" strokeweight=".673pt" strokecolor="#000000">
              <v:stroke dashstyle="solid"/>
            </v:rect>
            <v:line style="position:absolute" from="4390,2324" to="6318,2324" stroked="true" strokeweight="4.68pt" strokecolor="#a4a4a4">
              <v:stroke dashstyle="solid"/>
            </v:line>
            <v:rect style="position:absolute;left:4390;top:2277;width:1928;height:94" filled="false" stroked="true" strokeweight=".673pt" strokecolor="#000000">
              <v:stroke dashstyle="solid"/>
            </v:rect>
            <v:line style="position:absolute" from="4390,2029" to="6802,2029" stroked="true" strokeweight="4.68pt" strokecolor="#a4a4a4">
              <v:stroke dashstyle="solid"/>
            </v:line>
            <v:rect style="position:absolute;left:4390;top:1981;width:2412;height:94" filled="false" stroked="true" strokeweight=".673pt" strokecolor="#000000">
              <v:stroke dashstyle="solid"/>
            </v:rect>
            <v:rect style="position:absolute;left:4390;top:1672;width:3869;height:94" filled="true" fillcolor="#a4a4a4" stroked="false">
              <v:fill type="solid"/>
            </v:rect>
            <v:rect style="position:absolute;left:4390;top:1672;width:3869;height:94" filled="false" stroked="true" strokeweight=".673pt" strokecolor="#000000">
              <v:stroke dashstyle="solid"/>
            </v:rect>
            <v:line style="position:absolute" from="4390,1423" to="8744,1423" stroked="true" strokeweight="4.8pt" strokecolor="#a4a4a4">
              <v:stroke dashstyle="solid"/>
            </v:line>
            <v:rect style="position:absolute;left:4390;top:1374;width:4354;height:96" filled="false" stroked="true" strokeweight=".673pt" strokecolor="#000000">
              <v:stroke dashstyle="solid"/>
            </v:rect>
            <v:line style="position:absolute" from="4390,1126" to="4875,1126" stroked="true" strokeweight="4.68pt" strokecolor="#a4a4a4">
              <v:stroke dashstyle="solid"/>
            </v:line>
            <v:rect style="position:absolute;left:4390;top:1079;width:485;height:94" filled="false" stroked="true" strokeweight=".673pt" strokecolor="#000000">
              <v:stroke dashstyle="solid"/>
            </v:rect>
            <v:rect style="position:absolute;left:4390;top:4269;width:485;height:82" filled="true" fillcolor="#565656" stroked="false">
              <v:fill type="solid"/>
            </v:rect>
            <v:rect style="position:absolute;left:4390;top:4269;width:485;height:82" filled="false" stroked="true" strokeweight=".673pt" strokecolor="#000000">
              <v:stroke dashstyle="solid"/>
            </v:rect>
            <v:line style="position:absolute" from="4390,3408" to="4875,3408" stroked="true" strokeweight="4.08pt" strokecolor="#565656">
              <v:stroke dashstyle="solid"/>
            </v:line>
            <v:rect style="position:absolute;left:4390;top:3366;width:485;height:82" filled="false" stroked="true" strokeweight=".673pt" strokecolor="#000000">
              <v:stroke dashstyle="solid"/>
            </v:rect>
            <v:rect style="position:absolute;left:4390;top:2788;width:485;height:82" filled="true" fillcolor="#565656" stroked="false">
              <v:fill type="solid"/>
            </v:rect>
            <v:rect style="position:absolute;left:4390;top:2788;width:485;height:82" filled="false" stroked="true" strokeweight=".673pt" strokecolor="#000000">
              <v:stroke dashstyle="solid"/>
            </v:rect>
            <v:line style="position:absolute" from="4390,2533" to="5360,2533" stroked="true" strokeweight="3.96pt" strokecolor="#565656">
              <v:stroke dashstyle="solid"/>
            </v:line>
            <v:rect style="position:absolute;left:4390;top:2493;width:970;height:80" filled="false" stroked="true" strokeweight=".673pt" strokecolor="#000000">
              <v:stroke dashstyle="solid"/>
            </v:rect>
            <v:line style="position:absolute" from="4390,2236" to="5847,2236" stroked="true" strokeweight="4.08pt" strokecolor="#565656">
              <v:stroke dashstyle="solid"/>
            </v:line>
            <v:rect style="position:absolute;left:4390;top:2195;width:1457;height:82" filled="false" stroked="true" strokeweight=".673pt" strokecolor="#000000">
              <v:stroke dashstyle="solid"/>
            </v:rect>
            <v:line style="position:absolute" from="4390,1934" to="8259,1934" stroked="true" strokeweight="4.8pt" strokecolor="#565656">
              <v:stroke dashstyle="solid"/>
            </v:line>
            <v:rect style="position:absolute;left:4390;top:1885;width:3869;height:96" filled="false" stroked="true" strokeweight=".673pt" strokecolor="#000000">
              <v:stroke dashstyle="solid"/>
            </v:rect>
            <v:rect style="position:absolute;left:4390;top:1590;width:3869;height:82" filled="true" fillcolor="#565656" stroked="false">
              <v:fill type="solid"/>
            </v:rect>
            <v:rect style="position:absolute;left:4390;top:1590;width:3869;height:82" filled="false" stroked="true" strokeweight=".673pt" strokecolor="#000000">
              <v:stroke dashstyle="solid"/>
            </v:rect>
            <v:line style="position:absolute" from="4390,1335" to="7287,1335" stroked="true" strokeweight="3.96pt" strokecolor="#565656">
              <v:stroke dashstyle="solid"/>
            </v:line>
            <v:rect style="position:absolute;left:4390;top:1295;width:2897;height:80" filled="false" stroked="true" strokeweight=".673pt" strokecolor="#000000">
              <v:stroke dashstyle="solid"/>
            </v:rect>
            <v:shape style="position:absolute;left:4390;top:4499;width:4839;height:68" coordorigin="4390,4500" coordsize="4839,68" path="m4390,4500l9229,4500m5360,4567l5360,4500m6318,4567l6318,4500m7287,4567l7287,4500m8259,4567l8259,4500e" filled="false" stroked="true" strokeweight=".12pt" strokecolor="#000000">
              <v:path arrowok="t"/>
              <v:stroke dashstyle="solid"/>
            </v:shape>
            <v:line style="position:absolute" from="4390,931" to="4390,4567" stroked="true" strokeweight=".12pt" strokecolor="#000000">
              <v:stroke dashstyle="solid"/>
            </v:line>
            <v:shape style="position:absolute;left:4337;top:930;width:53;height:3569" coordorigin="4338,931" coordsize="53,3569" path="m4338,4500l4390,4500m4338,4202l4390,4202m4338,3907l4390,3907m4338,3597l4390,3597m4338,3314l4390,3314m4338,3019l4390,3019m4338,2721l4390,2721m4338,2426l4390,2426m4338,2128l4390,2128m4338,1819l4390,1819m4338,1524l4390,1524m4338,1228l4390,1228m4338,931l4390,931e" filled="false" stroked="true" strokeweight=".12pt" strokecolor="#000000">
              <v:path arrowok="t"/>
              <v:stroke dashstyle="solid"/>
            </v:shape>
            <v:rect style="position:absolute;left:5374;top:5656;width:132;height:132" filled="true" fillcolor="#a4a4a4" stroked="false">
              <v:fill type="solid"/>
            </v:rect>
            <v:rect style="position:absolute;left:5374;top:5656;width:132;height:132" filled="false" stroked="true" strokeweight=".673pt" strokecolor="#000000">
              <v:stroke dashstyle="solid"/>
            </v:rect>
            <v:rect style="position:absolute;left:6992;top:5656;width:132;height:132" filled="true" fillcolor="#565656" stroked="false">
              <v:fill type="solid"/>
            </v:rect>
            <v:rect style="position:absolute;left:6992;top:5656;width:132;height:132" filled="false" stroked="true" strokeweight=".673pt" strokecolor="#000000">
              <v:stroke dashstyle="solid"/>
            </v:rect>
            <v:rect style="position:absolute;left:2369;top:796;width:7152;height:5153" filled="false" stroked="true" strokeweight=".12pt" strokecolor="#000000">
              <v:stroke dashstyle="solid"/>
            </v:rect>
            <v:shape style="position:absolute;left:5684;top:5055;width:2284;height:241" type="#_x0000_t202" filled="false" stroked="false">
              <v:textbox inset="0,0,0,0">
                <w:txbxContent>
                  <w:p>
                    <w:pPr>
                      <w:spacing w:line="239" w:lineRule="exact" w:before="0"/>
                      <w:ind w:left="0" w:right="0" w:firstLine="0"/>
                      <w:jc w:val="left"/>
                      <w:rPr>
                        <w:rFonts w:ascii="Arial"/>
                        <w:b/>
                        <w:sz w:val="21"/>
                      </w:rPr>
                    </w:pPr>
                    <w:r>
                      <w:rPr>
                        <w:rFonts w:ascii="Arial"/>
                        <w:b/>
                        <w:w w:val="105"/>
                        <w:sz w:val="21"/>
                      </w:rPr>
                      <w:t>Number</w:t>
                    </w:r>
                    <w:r>
                      <w:rPr>
                        <w:rFonts w:ascii="Arial"/>
                        <w:b/>
                        <w:spacing w:val="-35"/>
                        <w:w w:val="105"/>
                        <w:sz w:val="21"/>
                      </w:rPr>
                      <w:t> </w:t>
                    </w:r>
                    <w:r>
                      <w:rPr>
                        <w:rFonts w:ascii="Arial"/>
                        <w:b/>
                        <w:w w:val="105"/>
                        <w:sz w:val="21"/>
                      </w:rPr>
                      <w:t>of</w:t>
                    </w:r>
                    <w:r>
                      <w:rPr>
                        <w:rFonts w:ascii="Arial"/>
                        <w:b/>
                        <w:spacing w:val="-37"/>
                        <w:w w:val="105"/>
                        <w:sz w:val="21"/>
                      </w:rPr>
                      <w:t> </w:t>
                    </w:r>
                    <w:r>
                      <w:rPr>
                        <w:rFonts w:ascii="Arial"/>
                        <w:b/>
                        <w:w w:val="105"/>
                        <w:sz w:val="21"/>
                      </w:rPr>
                      <w:t>inventories</w:t>
                    </w:r>
                  </w:p>
                </w:txbxContent>
              </v:textbox>
              <w10:wrap type="none"/>
            </v:shape>
            <v:shape style="position:absolute;left:9106;top:4683;width:263;height:241" type="#_x0000_t202" filled="false" stroked="false">
              <v:textbox inset="0,0,0,0">
                <w:txbxContent>
                  <w:p>
                    <w:pPr>
                      <w:spacing w:line="239" w:lineRule="exact" w:before="0"/>
                      <w:ind w:left="0" w:right="0" w:firstLine="0"/>
                      <w:jc w:val="left"/>
                      <w:rPr>
                        <w:rFonts w:ascii="Arial"/>
                        <w:sz w:val="21"/>
                      </w:rPr>
                    </w:pPr>
                    <w:r>
                      <w:rPr>
                        <w:rFonts w:ascii="Arial"/>
                        <w:w w:val="105"/>
                        <w:sz w:val="21"/>
                      </w:rPr>
                      <w:t>10</w:t>
                    </w:r>
                  </w:p>
                </w:txbxContent>
              </v:textbox>
              <w10:wrap type="none"/>
            </v:shape>
            <v:shape style="position:absolute;left:8203;top:4683;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8</w:t>
                    </w:r>
                  </w:p>
                </w:txbxContent>
              </v:textbox>
              <w10:wrap type="none"/>
            </v:shape>
            <v:shape style="position:absolute;left:7234;top:4683;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6</w:t>
                    </w:r>
                  </w:p>
                </w:txbxContent>
              </v:textbox>
              <w10:wrap type="none"/>
            </v:shape>
            <v:shape style="position:absolute;left:6264;top:4683;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4</w:t>
                    </w:r>
                  </w:p>
                </w:txbxContent>
              </v:textbox>
              <w10:wrap type="none"/>
            </v:shape>
            <v:shape style="position:absolute;left:5307;top:4683;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2</w:t>
                    </w:r>
                  </w:p>
                </w:txbxContent>
              </v:textbox>
              <w10:wrap type="none"/>
            </v:shape>
            <v:shape style="position:absolute;left:4337;top:4683;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0</w:t>
                    </w:r>
                  </w:p>
                </w:txbxContent>
              </v:textbox>
              <w10:wrap type="none"/>
            </v:shape>
            <v:shape style="position:absolute;left:3219;top:969;width:1056;height:3452" type="#_x0000_t202" filled="false" stroked="false">
              <v:textbox inset="0,0,0,0">
                <w:txbxContent>
                  <w:p>
                    <w:pPr>
                      <w:spacing w:line="180" w:lineRule="exact" w:before="0"/>
                      <w:ind w:left="0" w:right="0" w:firstLine="0"/>
                      <w:jc w:val="left"/>
                      <w:rPr>
                        <w:rFonts w:ascii="Arial"/>
                        <w:sz w:val="16"/>
                      </w:rPr>
                    </w:pPr>
                    <w:r>
                      <w:rPr>
                        <w:rFonts w:ascii="Arial"/>
                        <w:sz w:val="16"/>
                      </w:rPr>
                      <w:t>99% - &lt;</w:t>
                    </w:r>
                    <w:r>
                      <w:rPr>
                        <w:rFonts w:ascii="Arial"/>
                        <w:spacing w:val="8"/>
                        <w:sz w:val="16"/>
                      </w:rPr>
                      <w:t> </w:t>
                    </w:r>
                    <w:r>
                      <w:rPr>
                        <w:rFonts w:ascii="Arial"/>
                        <w:spacing w:val="3"/>
                        <w:sz w:val="16"/>
                      </w:rPr>
                      <w:t>100%</w:t>
                    </w:r>
                  </w:p>
                  <w:p>
                    <w:pPr>
                      <w:spacing w:before="111"/>
                      <w:ind w:left="93" w:right="0" w:firstLine="0"/>
                      <w:jc w:val="left"/>
                      <w:rPr>
                        <w:rFonts w:ascii="Arial"/>
                        <w:sz w:val="16"/>
                      </w:rPr>
                    </w:pPr>
                    <w:r>
                      <w:rPr>
                        <w:rFonts w:ascii="Arial"/>
                        <w:spacing w:val="3"/>
                        <w:sz w:val="16"/>
                      </w:rPr>
                      <w:t>98% </w:t>
                    </w:r>
                    <w:r>
                      <w:rPr>
                        <w:rFonts w:ascii="Arial"/>
                        <w:sz w:val="16"/>
                      </w:rPr>
                      <w:t>- &lt;</w:t>
                    </w:r>
                    <w:r>
                      <w:rPr>
                        <w:rFonts w:ascii="Arial"/>
                        <w:spacing w:val="-5"/>
                        <w:sz w:val="16"/>
                      </w:rPr>
                      <w:t> </w:t>
                    </w:r>
                    <w:r>
                      <w:rPr>
                        <w:rFonts w:ascii="Arial"/>
                        <w:spacing w:val="3"/>
                        <w:sz w:val="16"/>
                      </w:rPr>
                      <w:t>99%</w:t>
                    </w:r>
                  </w:p>
                  <w:p>
                    <w:pPr>
                      <w:spacing w:before="114"/>
                      <w:ind w:left="93" w:right="0" w:firstLine="0"/>
                      <w:jc w:val="left"/>
                      <w:rPr>
                        <w:rFonts w:ascii="Arial"/>
                        <w:sz w:val="16"/>
                      </w:rPr>
                    </w:pPr>
                    <w:r>
                      <w:rPr>
                        <w:rFonts w:ascii="Arial"/>
                        <w:spacing w:val="3"/>
                        <w:sz w:val="16"/>
                      </w:rPr>
                      <w:t>97% </w:t>
                    </w:r>
                    <w:r>
                      <w:rPr>
                        <w:rFonts w:ascii="Arial"/>
                        <w:sz w:val="16"/>
                      </w:rPr>
                      <w:t>- &lt;</w:t>
                    </w:r>
                    <w:r>
                      <w:rPr>
                        <w:rFonts w:ascii="Arial"/>
                        <w:spacing w:val="-5"/>
                        <w:sz w:val="16"/>
                      </w:rPr>
                      <w:t> </w:t>
                    </w:r>
                    <w:r>
                      <w:rPr>
                        <w:rFonts w:ascii="Arial"/>
                        <w:spacing w:val="3"/>
                        <w:sz w:val="16"/>
                      </w:rPr>
                      <w:t>98%</w:t>
                    </w:r>
                  </w:p>
                  <w:p>
                    <w:pPr>
                      <w:spacing w:before="125"/>
                      <w:ind w:left="93" w:right="0" w:firstLine="0"/>
                      <w:jc w:val="left"/>
                      <w:rPr>
                        <w:rFonts w:ascii="Arial"/>
                        <w:sz w:val="16"/>
                      </w:rPr>
                    </w:pPr>
                    <w:r>
                      <w:rPr>
                        <w:rFonts w:ascii="Arial"/>
                        <w:spacing w:val="3"/>
                        <w:sz w:val="16"/>
                      </w:rPr>
                      <w:t>96% </w:t>
                    </w:r>
                    <w:r>
                      <w:rPr>
                        <w:rFonts w:ascii="Arial"/>
                        <w:sz w:val="16"/>
                      </w:rPr>
                      <w:t>- &lt;</w:t>
                    </w:r>
                    <w:r>
                      <w:rPr>
                        <w:rFonts w:ascii="Arial"/>
                        <w:spacing w:val="-5"/>
                        <w:sz w:val="16"/>
                      </w:rPr>
                      <w:t> </w:t>
                    </w:r>
                    <w:r>
                      <w:rPr>
                        <w:rFonts w:ascii="Arial"/>
                        <w:spacing w:val="3"/>
                        <w:sz w:val="16"/>
                      </w:rPr>
                      <w:t>97%</w:t>
                    </w:r>
                  </w:p>
                  <w:p>
                    <w:pPr>
                      <w:spacing w:before="111"/>
                      <w:ind w:left="93" w:right="0" w:firstLine="0"/>
                      <w:jc w:val="left"/>
                      <w:rPr>
                        <w:rFonts w:ascii="Arial"/>
                        <w:sz w:val="16"/>
                      </w:rPr>
                    </w:pPr>
                    <w:r>
                      <w:rPr>
                        <w:rFonts w:ascii="Arial"/>
                        <w:spacing w:val="3"/>
                        <w:sz w:val="16"/>
                      </w:rPr>
                      <w:t>95% </w:t>
                    </w:r>
                    <w:r>
                      <w:rPr>
                        <w:rFonts w:ascii="Arial"/>
                        <w:sz w:val="16"/>
                      </w:rPr>
                      <w:t>- &lt;</w:t>
                    </w:r>
                    <w:r>
                      <w:rPr>
                        <w:rFonts w:ascii="Arial"/>
                        <w:spacing w:val="-5"/>
                        <w:sz w:val="16"/>
                      </w:rPr>
                      <w:t> </w:t>
                    </w:r>
                    <w:r>
                      <w:rPr>
                        <w:rFonts w:ascii="Arial"/>
                        <w:spacing w:val="3"/>
                        <w:sz w:val="16"/>
                      </w:rPr>
                      <w:t>96%</w:t>
                    </w:r>
                  </w:p>
                  <w:p>
                    <w:pPr>
                      <w:spacing w:before="114"/>
                      <w:ind w:left="93" w:right="0" w:firstLine="0"/>
                      <w:jc w:val="left"/>
                      <w:rPr>
                        <w:rFonts w:ascii="Arial"/>
                        <w:sz w:val="16"/>
                      </w:rPr>
                    </w:pPr>
                    <w:r>
                      <w:rPr>
                        <w:rFonts w:ascii="Arial"/>
                        <w:spacing w:val="3"/>
                        <w:sz w:val="16"/>
                      </w:rPr>
                      <w:t>94% </w:t>
                    </w:r>
                    <w:r>
                      <w:rPr>
                        <w:rFonts w:ascii="Arial"/>
                        <w:sz w:val="16"/>
                      </w:rPr>
                      <w:t>- &lt;</w:t>
                    </w:r>
                    <w:r>
                      <w:rPr>
                        <w:rFonts w:ascii="Arial"/>
                        <w:spacing w:val="-5"/>
                        <w:sz w:val="16"/>
                      </w:rPr>
                      <w:t> </w:t>
                    </w:r>
                    <w:r>
                      <w:rPr>
                        <w:rFonts w:ascii="Arial"/>
                        <w:spacing w:val="3"/>
                        <w:sz w:val="16"/>
                      </w:rPr>
                      <w:t>95%</w:t>
                    </w:r>
                  </w:p>
                  <w:p>
                    <w:pPr>
                      <w:spacing w:before="111"/>
                      <w:ind w:left="93" w:right="0" w:firstLine="0"/>
                      <w:jc w:val="left"/>
                      <w:rPr>
                        <w:rFonts w:ascii="Arial"/>
                        <w:sz w:val="16"/>
                      </w:rPr>
                    </w:pPr>
                    <w:r>
                      <w:rPr>
                        <w:rFonts w:ascii="Arial"/>
                        <w:spacing w:val="3"/>
                        <w:sz w:val="16"/>
                      </w:rPr>
                      <w:t>93% </w:t>
                    </w:r>
                    <w:r>
                      <w:rPr>
                        <w:rFonts w:ascii="Arial"/>
                        <w:sz w:val="16"/>
                      </w:rPr>
                      <w:t>- &lt;</w:t>
                    </w:r>
                    <w:r>
                      <w:rPr>
                        <w:rFonts w:ascii="Arial"/>
                        <w:spacing w:val="-5"/>
                        <w:sz w:val="16"/>
                      </w:rPr>
                      <w:t> </w:t>
                    </w:r>
                    <w:r>
                      <w:rPr>
                        <w:rFonts w:ascii="Arial"/>
                        <w:spacing w:val="3"/>
                        <w:sz w:val="16"/>
                      </w:rPr>
                      <w:t>94%</w:t>
                    </w:r>
                  </w:p>
                  <w:p>
                    <w:pPr>
                      <w:spacing w:before="111"/>
                      <w:ind w:left="93" w:right="0" w:firstLine="0"/>
                      <w:jc w:val="left"/>
                      <w:rPr>
                        <w:rFonts w:ascii="Arial"/>
                        <w:sz w:val="16"/>
                      </w:rPr>
                    </w:pPr>
                    <w:r>
                      <w:rPr>
                        <w:rFonts w:ascii="Arial"/>
                        <w:spacing w:val="3"/>
                        <w:sz w:val="16"/>
                      </w:rPr>
                      <w:t>92% </w:t>
                    </w:r>
                    <w:r>
                      <w:rPr>
                        <w:rFonts w:ascii="Arial"/>
                        <w:sz w:val="16"/>
                      </w:rPr>
                      <w:t>- &lt;</w:t>
                    </w:r>
                    <w:r>
                      <w:rPr>
                        <w:rFonts w:ascii="Arial"/>
                        <w:spacing w:val="-5"/>
                        <w:sz w:val="16"/>
                      </w:rPr>
                      <w:t> </w:t>
                    </w:r>
                    <w:r>
                      <w:rPr>
                        <w:rFonts w:ascii="Arial"/>
                        <w:spacing w:val="3"/>
                        <w:sz w:val="16"/>
                      </w:rPr>
                      <w:t>93%</w:t>
                    </w:r>
                  </w:p>
                  <w:p>
                    <w:pPr>
                      <w:spacing w:before="100"/>
                      <w:ind w:left="93" w:right="0" w:firstLine="0"/>
                      <w:jc w:val="left"/>
                      <w:rPr>
                        <w:rFonts w:ascii="Arial"/>
                        <w:sz w:val="16"/>
                      </w:rPr>
                    </w:pPr>
                    <w:r>
                      <w:rPr>
                        <w:rFonts w:ascii="Arial"/>
                        <w:spacing w:val="3"/>
                        <w:sz w:val="16"/>
                      </w:rPr>
                      <w:t>91% </w:t>
                    </w:r>
                    <w:r>
                      <w:rPr>
                        <w:rFonts w:ascii="Arial"/>
                        <w:sz w:val="16"/>
                      </w:rPr>
                      <w:t>- &lt;</w:t>
                    </w:r>
                    <w:r>
                      <w:rPr>
                        <w:rFonts w:ascii="Arial"/>
                        <w:spacing w:val="-5"/>
                        <w:sz w:val="16"/>
                      </w:rPr>
                      <w:t> </w:t>
                    </w:r>
                    <w:r>
                      <w:rPr>
                        <w:rFonts w:ascii="Arial"/>
                        <w:spacing w:val="3"/>
                        <w:sz w:val="16"/>
                      </w:rPr>
                      <w:t>92%</w:t>
                    </w:r>
                  </w:p>
                  <w:p>
                    <w:pPr>
                      <w:spacing w:before="125"/>
                      <w:ind w:left="93" w:right="0" w:firstLine="0"/>
                      <w:jc w:val="left"/>
                      <w:rPr>
                        <w:rFonts w:ascii="Arial"/>
                        <w:sz w:val="16"/>
                      </w:rPr>
                    </w:pPr>
                    <w:r>
                      <w:rPr>
                        <w:rFonts w:ascii="Arial"/>
                        <w:spacing w:val="3"/>
                        <w:sz w:val="16"/>
                      </w:rPr>
                      <w:t>90% </w:t>
                    </w:r>
                    <w:r>
                      <w:rPr>
                        <w:rFonts w:ascii="Arial"/>
                        <w:sz w:val="16"/>
                      </w:rPr>
                      <w:t>- &lt;</w:t>
                    </w:r>
                    <w:r>
                      <w:rPr>
                        <w:rFonts w:ascii="Arial"/>
                        <w:spacing w:val="-5"/>
                        <w:sz w:val="16"/>
                      </w:rPr>
                      <w:t> </w:t>
                    </w:r>
                    <w:r>
                      <w:rPr>
                        <w:rFonts w:ascii="Arial"/>
                        <w:spacing w:val="3"/>
                        <w:sz w:val="16"/>
                      </w:rPr>
                      <w:t>91%</w:t>
                    </w:r>
                  </w:p>
                  <w:p>
                    <w:pPr>
                      <w:spacing w:before="114"/>
                      <w:ind w:left="93" w:right="0" w:firstLine="0"/>
                      <w:jc w:val="left"/>
                      <w:rPr>
                        <w:rFonts w:ascii="Arial"/>
                        <w:sz w:val="16"/>
                      </w:rPr>
                    </w:pPr>
                    <w:r>
                      <w:rPr>
                        <w:rFonts w:ascii="Arial"/>
                        <w:spacing w:val="3"/>
                        <w:sz w:val="16"/>
                      </w:rPr>
                      <w:t>85% </w:t>
                    </w:r>
                    <w:r>
                      <w:rPr>
                        <w:rFonts w:ascii="Arial"/>
                        <w:sz w:val="16"/>
                      </w:rPr>
                      <w:t>- &lt;</w:t>
                    </w:r>
                    <w:r>
                      <w:rPr>
                        <w:rFonts w:ascii="Arial"/>
                        <w:spacing w:val="-5"/>
                        <w:sz w:val="16"/>
                      </w:rPr>
                      <w:t> </w:t>
                    </w:r>
                    <w:r>
                      <w:rPr>
                        <w:rFonts w:ascii="Arial"/>
                        <w:spacing w:val="3"/>
                        <w:sz w:val="16"/>
                      </w:rPr>
                      <w:t>90%</w:t>
                    </w:r>
                  </w:p>
                  <w:p>
                    <w:pPr>
                      <w:spacing w:before="111"/>
                      <w:ind w:left="93" w:right="0" w:firstLine="0"/>
                      <w:jc w:val="left"/>
                      <w:rPr>
                        <w:rFonts w:ascii="Arial"/>
                        <w:sz w:val="16"/>
                      </w:rPr>
                    </w:pPr>
                    <w:r>
                      <w:rPr>
                        <w:rFonts w:ascii="Arial"/>
                        <w:spacing w:val="3"/>
                        <w:sz w:val="16"/>
                      </w:rPr>
                      <w:t>70% </w:t>
                    </w:r>
                    <w:r>
                      <w:rPr>
                        <w:rFonts w:ascii="Arial"/>
                        <w:sz w:val="16"/>
                      </w:rPr>
                      <w:t>- &lt;</w:t>
                    </w:r>
                    <w:r>
                      <w:rPr>
                        <w:rFonts w:ascii="Arial"/>
                        <w:spacing w:val="-5"/>
                        <w:sz w:val="16"/>
                      </w:rPr>
                      <w:t> </w:t>
                    </w:r>
                    <w:r>
                      <w:rPr>
                        <w:rFonts w:ascii="Arial"/>
                        <w:spacing w:val="3"/>
                        <w:sz w:val="16"/>
                      </w:rPr>
                      <w:t>85%</w:t>
                    </w:r>
                  </w:p>
                </w:txbxContent>
              </v:textbox>
              <w10:wrap type="none"/>
            </v:shape>
            <v:shape style="position:absolute;left:5292;top:5533;width:3032;height:363" type="#_x0000_t202" filled="false" stroked="true" strokeweight=".12pt" strokecolor="#000000">
              <v:textbox inset="0,0,0,0">
                <w:txbxContent>
                  <w:p>
                    <w:pPr>
                      <w:tabs>
                        <w:tab w:pos="1885" w:val="left" w:leader="none"/>
                      </w:tabs>
                      <w:spacing w:before="49"/>
                      <w:ind w:left="269" w:right="0" w:firstLine="0"/>
                      <w:jc w:val="left"/>
                      <w:rPr>
                        <w:rFonts w:ascii="Arial"/>
                        <w:sz w:val="21"/>
                      </w:rPr>
                    </w:pPr>
                    <w:r>
                      <w:rPr>
                        <w:rFonts w:ascii="Arial"/>
                        <w:spacing w:val="-6"/>
                        <w:w w:val="105"/>
                        <w:sz w:val="21"/>
                      </w:rPr>
                      <w:t>Without</w:t>
                    </w:r>
                    <w:r>
                      <w:rPr>
                        <w:rFonts w:ascii="Arial"/>
                        <w:spacing w:val="-23"/>
                        <w:w w:val="105"/>
                        <w:sz w:val="21"/>
                      </w:rPr>
                      <w:t> </w:t>
                    </w:r>
                    <w:r>
                      <w:rPr>
                        <w:rFonts w:ascii="Arial"/>
                        <w:w w:val="105"/>
                        <w:sz w:val="21"/>
                      </w:rPr>
                      <w:t>LUCF</w:t>
                      <w:tab/>
                      <w:t>With</w:t>
                    </w:r>
                    <w:r>
                      <w:rPr>
                        <w:rFonts w:ascii="Arial"/>
                        <w:spacing w:val="-28"/>
                        <w:w w:val="105"/>
                        <w:sz w:val="21"/>
                      </w:rPr>
                      <w:t> </w:t>
                    </w:r>
                    <w:r>
                      <w:rPr>
                        <w:rFonts w:ascii="Arial"/>
                        <w:w w:val="105"/>
                        <w:sz w:val="21"/>
                      </w:rPr>
                      <w:t>LUCF</w:t>
                    </w:r>
                  </w:p>
                </w:txbxContent>
              </v:textbox>
              <v:stroke dashstyle="solid"/>
              <w10:wrap type="none"/>
            </v:shape>
            <w10:wrap type="none"/>
          </v:group>
        </w:pict>
      </w:r>
      <w:r>
        <w:rPr/>
        <w:pict>
          <v:shape style="position:absolute;margin-left:127.771255pt;margin-top:50.452736pt;width:28.2pt;height:170.75pt;mso-position-horizontal-relative:page;mso-position-vertical-relative:paragraph;z-index:31696" type="#_x0000_t202" filled="false" stroked="false">
            <v:textbox inset="0,0,0,0" style="layout-flow:vertical;mso-layout-flow-alt:bottom-to-top">
              <w:txbxContent>
                <w:p>
                  <w:pPr>
                    <w:spacing w:line="280" w:lineRule="auto" w:before="18"/>
                    <w:ind w:left="437" w:right="9" w:hanging="418"/>
                    <w:jc w:val="left"/>
                    <w:rPr>
                      <w:rFonts w:ascii="Arial"/>
                      <w:b/>
                      <w:sz w:val="21"/>
                    </w:rPr>
                  </w:pPr>
                  <w:r>
                    <w:rPr>
                      <w:rFonts w:ascii="Arial"/>
                      <w:b/>
                      <w:w w:val="105"/>
                      <w:sz w:val="21"/>
                    </w:rPr>
                    <w:t>Fraction</w:t>
                  </w:r>
                  <w:r>
                    <w:rPr>
                      <w:rFonts w:ascii="Arial"/>
                      <w:b/>
                      <w:spacing w:val="-30"/>
                      <w:w w:val="105"/>
                      <w:sz w:val="21"/>
                    </w:rPr>
                    <w:t> </w:t>
                  </w:r>
                  <w:r>
                    <w:rPr>
                      <w:rFonts w:ascii="Arial"/>
                      <w:b/>
                      <w:spacing w:val="2"/>
                      <w:w w:val="105"/>
                      <w:sz w:val="21"/>
                    </w:rPr>
                    <w:t>of</w:t>
                  </w:r>
                  <w:r>
                    <w:rPr>
                      <w:rFonts w:ascii="Arial"/>
                      <w:b/>
                      <w:spacing w:val="-34"/>
                      <w:w w:val="105"/>
                      <w:sz w:val="21"/>
                    </w:rPr>
                    <w:t> </w:t>
                  </w:r>
                  <w:r>
                    <w:rPr>
                      <w:rFonts w:ascii="Arial"/>
                      <w:b/>
                      <w:w w:val="105"/>
                      <w:sz w:val="21"/>
                    </w:rPr>
                    <w:t>emissions</w:t>
                  </w:r>
                  <w:r>
                    <w:rPr>
                      <w:rFonts w:ascii="Arial"/>
                      <w:b/>
                      <w:spacing w:val="-29"/>
                      <w:w w:val="105"/>
                      <w:sz w:val="21"/>
                    </w:rPr>
                    <w:t> </w:t>
                  </w:r>
                  <w:r>
                    <w:rPr>
                      <w:rFonts w:ascii="Arial"/>
                      <w:b/>
                      <w:w w:val="105"/>
                      <w:sz w:val="21"/>
                    </w:rPr>
                    <w:t>required</w:t>
                  </w:r>
                  <w:r>
                    <w:rPr>
                      <w:rFonts w:ascii="Arial"/>
                      <w:b/>
                      <w:spacing w:val="-30"/>
                      <w:w w:val="105"/>
                      <w:sz w:val="21"/>
                    </w:rPr>
                    <w:t> </w:t>
                  </w:r>
                  <w:r>
                    <w:rPr>
                      <w:rFonts w:ascii="Arial"/>
                      <w:b/>
                      <w:spacing w:val="-3"/>
                      <w:w w:val="105"/>
                      <w:sz w:val="21"/>
                    </w:rPr>
                    <w:t>to </w:t>
                  </w:r>
                  <w:r>
                    <w:rPr>
                      <w:rFonts w:ascii="Arial"/>
                      <w:b/>
                      <w:w w:val="105"/>
                      <w:sz w:val="21"/>
                    </w:rPr>
                    <w:t>reach 90% of</w:t>
                  </w:r>
                  <w:r>
                    <w:rPr>
                      <w:rFonts w:ascii="Arial"/>
                      <w:b/>
                      <w:spacing w:val="-45"/>
                      <w:w w:val="105"/>
                      <w:sz w:val="21"/>
                    </w:rPr>
                    <w:t> </w:t>
                  </w:r>
                  <w:r>
                    <w:rPr>
                      <w:rFonts w:ascii="Arial"/>
                      <w:b/>
                      <w:w w:val="105"/>
                      <w:sz w:val="21"/>
                    </w:rPr>
                    <w:t>uncertainty</w:t>
                  </w:r>
                </w:p>
              </w:txbxContent>
            </v:textbox>
            <w10:wrap type="none"/>
          </v:shape>
        </w:pict>
      </w:r>
      <w:r>
        <w:rPr>
          <w:b/>
          <w:spacing w:val="8"/>
          <w:sz w:val="20"/>
        </w:rPr>
        <w:t>Figure</w:t>
      </w:r>
      <w:r>
        <w:rPr>
          <w:b/>
          <w:spacing w:val="18"/>
          <w:sz w:val="20"/>
        </w:rPr>
        <w:t> </w:t>
      </w:r>
      <w:r>
        <w:rPr>
          <w:b/>
          <w:spacing w:val="8"/>
          <w:sz w:val="20"/>
        </w:rPr>
        <w:t>5.4.4</w:t>
        <w:tab/>
        <w:t>Fraction </w:t>
      </w:r>
      <w:r>
        <w:rPr>
          <w:b/>
          <w:spacing w:val="5"/>
          <w:sz w:val="20"/>
        </w:rPr>
        <w:t>of </w:t>
      </w:r>
      <w:r>
        <w:rPr>
          <w:b/>
          <w:spacing w:val="8"/>
          <w:sz w:val="20"/>
        </w:rPr>
        <w:t>emissions </w:t>
      </w:r>
      <w:r>
        <w:rPr>
          <w:b/>
          <w:spacing w:val="9"/>
          <w:sz w:val="20"/>
        </w:rPr>
        <w:t>required </w:t>
      </w:r>
      <w:r>
        <w:rPr>
          <w:b/>
          <w:spacing w:val="5"/>
          <w:sz w:val="20"/>
        </w:rPr>
        <w:t>to </w:t>
      </w:r>
      <w:r>
        <w:rPr>
          <w:b/>
          <w:spacing w:val="8"/>
          <w:sz w:val="20"/>
        </w:rPr>
        <w:t>reach </w:t>
      </w:r>
      <w:r>
        <w:rPr>
          <w:b/>
          <w:spacing w:val="6"/>
          <w:sz w:val="20"/>
        </w:rPr>
        <w:t>90% </w:t>
      </w:r>
      <w:r>
        <w:rPr>
          <w:b/>
          <w:spacing w:val="5"/>
          <w:sz w:val="20"/>
        </w:rPr>
        <w:t>of </w:t>
      </w:r>
      <w:r>
        <w:rPr>
          <w:b/>
          <w:spacing w:val="6"/>
          <w:sz w:val="20"/>
        </w:rPr>
        <w:t>sum </w:t>
      </w:r>
      <w:r>
        <w:rPr>
          <w:b/>
          <w:spacing w:val="5"/>
          <w:sz w:val="20"/>
        </w:rPr>
        <w:t>of </w:t>
      </w:r>
      <w:r>
        <w:rPr>
          <w:b/>
          <w:spacing w:val="9"/>
          <w:sz w:val="20"/>
        </w:rPr>
        <w:t>contribution </w:t>
      </w:r>
      <w:r>
        <w:rPr>
          <w:b/>
          <w:spacing w:val="8"/>
          <w:sz w:val="20"/>
        </w:rPr>
        <w:t>from </w:t>
      </w:r>
      <w:r>
        <w:rPr>
          <w:b/>
          <w:spacing w:val="9"/>
          <w:sz w:val="20"/>
        </w:rPr>
        <w:t>uncertainties </w:t>
      </w:r>
      <w:r>
        <w:rPr>
          <w:b/>
          <w:spacing w:val="5"/>
          <w:sz w:val="20"/>
        </w:rPr>
        <w:t>in </w:t>
      </w:r>
      <w:r>
        <w:rPr>
          <w:b/>
          <w:spacing w:val="8"/>
          <w:sz w:val="20"/>
        </w:rPr>
        <w:t>different inventories. </w:t>
      </w:r>
      <w:r>
        <w:rPr>
          <w:b/>
          <w:spacing w:val="7"/>
          <w:sz w:val="20"/>
        </w:rPr>
        <w:t>With </w:t>
      </w:r>
      <w:r>
        <w:rPr>
          <w:b/>
          <w:spacing w:val="6"/>
          <w:sz w:val="20"/>
        </w:rPr>
        <w:t>and </w:t>
      </w:r>
      <w:r>
        <w:rPr>
          <w:b/>
          <w:spacing w:val="8"/>
          <w:sz w:val="20"/>
        </w:rPr>
        <w:t>without LULUCF (with LULUCF </w:t>
      </w:r>
      <w:r>
        <w:rPr>
          <w:b/>
          <w:spacing w:val="7"/>
          <w:sz w:val="20"/>
        </w:rPr>
        <w:t>using </w:t>
      </w:r>
      <w:r>
        <w:rPr>
          <w:b/>
          <w:spacing w:val="8"/>
          <w:sz w:val="20"/>
        </w:rPr>
        <w:t>absolute values </w:t>
      </w:r>
      <w:r>
        <w:rPr>
          <w:b/>
          <w:spacing w:val="5"/>
          <w:sz w:val="20"/>
        </w:rPr>
        <w:t>of</w:t>
      </w:r>
      <w:r>
        <w:rPr>
          <w:b/>
          <w:spacing w:val="15"/>
          <w:sz w:val="20"/>
        </w:rPr>
        <w:t> </w:t>
      </w:r>
      <w:r>
        <w:rPr>
          <w:b/>
          <w:spacing w:val="8"/>
          <w:sz w:val="20"/>
        </w:rPr>
        <w:t>emissions).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1"/>
        <w:rPr>
          <w:b/>
          <w:sz w:val="27"/>
        </w:rPr>
      </w:pPr>
    </w:p>
    <w:p>
      <w:pPr>
        <w:tabs>
          <w:tab w:pos="899" w:val="left" w:leader="none"/>
        </w:tabs>
        <w:spacing w:before="0"/>
        <w:ind w:left="179" w:right="0" w:firstLine="0"/>
        <w:jc w:val="left"/>
        <w:rPr>
          <w:sz w:val="16"/>
        </w:rPr>
      </w:pPr>
      <w:r>
        <w:rPr>
          <w:sz w:val="16"/>
        </w:rPr>
        <w:t>Source:</w:t>
        <w:tab/>
        <w:t>Data reported by Parties to the UNFCCC and assumed</w:t>
      </w:r>
      <w:r>
        <w:rPr>
          <w:spacing w:val="-12"/>
          <w:sz w:val="16"/>
        </w:rPr>
        <w:t> </w:t>
      </w:r>
      <w:r>
        <w:rPr>
          <w:sz w:val="16"/>
        </w:rPr>
        <w:t>uncertainties</w:t>
      </w:r>
    </w:p>
    <w:p>
      <w:pPr>
        <w:spacing w:after="0"/>
        <w:jc w:val="left"/>
        <w:rPr>
          <w:sz w:val="16"/>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403"/>
        <w:jc w:val="both"/>
      </w:pPr>
      <w:r>
        <w:rPr/>
        <w:t>Figure 5.4.4 shows that when emissions and removals from LULUCF are included, a slightly smaller fraction of total emissions (by absolute value) is required to account for 90% of sum of source and sink category uncertainties. For the 30 inventories analysed, the median fraction was 97.1% without LULUCF and 96.8% with LULUCFs. The reason is that some of emissions or removals from LULUCF are large and with high uncertainty.</w:t>
      </w:r>
    </w:p>
    <w:p>
      <w:pPr>
        <w:pStyle w:val="BodyText"/>
        <w:spacing w:before="119"/>
        <w:ind w:left="179" w:right="1404"/>
        <w:jc w:val="both"/>
      </w:pPr>
      <w:r>
        <w:rPr/>
        <w:t>The threshold would need to be very high to be able to identify all Tier 2 key categories in all inventories. It is important to bear in mind that the Tier 2 approach is the most rigorous approach to determine key categories as the uncertainty is taken into account. A high threshold would mean that many non- key categories according to Tier 2 are defined in the Tier 1 approach. For this reason, it was determined to be most effective to set the threshold to 95% and to advise countries to apply qualitative criteria to the categories between 95 and 97%.</w:t>
      </w:r>
    </w:p>
    <w:p>
      <w:pPr>
        <w:pStyle w:val="BodyText"/>
        <w:spacing w:before="120"/>
        <w:ind w:left="179" w:right="1409"/>
        <w:jc w:val="both"/>
      </w:pPr>
      <w:r>
        <w:rPr/>
        <w:t>The conclusion is that the previously determined threshold of 95% is also recommended for the integrated analysis including LULUCF categories.</w:t>
      </w:r>
    </w:p>
    <w:p>
      <w:pPr>
        <w:pStyle w:val="BodyText"/>
        <w:spacing w:before="2"/>
        <w:rPr>
          <w:sz w:val="27"/>
        </w:rPr>
      </w:pPr>
    </w:p>
    <w:p>
      <w:pPr>
        <w:spacing w:after="0"/>
        <w:rPr>
          <w:sz w:val="27"/>
        </w:rPr>
        <w:sectPr>
          <w:pgSz w:w="11900" w:h="16840"/>
          <w:pgMar w:header="230" w:footer="408" w:top="560" w:bottom="600" w:left="1240" w:right="0"/>
        </w:sectPr>
      </w:pPr>
    </w:p>
    <w:p>
      <w:pPr>
        <w:pStyle w:val="Heading6"/>
        <w:numPr>
          <w:ilvl w:val="3"/>
          <w:numId w:val="180"/>
        </w:numPr>
        <w:tabs>
          <w:tab w:pos="1619" w:val="left" w:leader="none"/>
          <w:tab w:pos="1620" w:val="left" w:leader="none"/>
        </w:tabs>
        <w:spacing w:line="240" w:lineRule="auto" w:before="89" w:after="0"/>
        <w:ind w:left="1619" w:right="0" w:hanging="1440"/>
        <w:jc w:val="left"/>
      </w:pPr>
      <w:bookmarkStart w:name="_TOC_250022" w:id="33"/>
      <w:r>
        <w:rPr>
          <w:spacing w:val="18"/>
          <w:sz w:val="28"/>
        </w:rPr>
        <w:t>T</w:t>
      </w:r>
      <w:bookmarkEnd w:id="33"/>
      <w:r>
        <w:rPr>
          <w:spacing w:val="18"/>
        </w:rPr>
        <w:t>REND</w:t>
      </w:r>
    </w:p>
    <w:p>
      <w:pPr>
        <w:pStyle w:val="BodyText"/>
        <w:spacing w:before="209"/>
        <w:ind w:left="179"/>
      </w:pPr>
      <w:r>
        <w:rPr/>
        <w:t>The threshold was set to identify 90% of the sum of T</w:t>
      </w:r>
    </w:p>
    <w:p>
      <w:pPr>
        <w:pStyle w:val="BodyText"/>
        <w:rPr>
          <w:sz w:val="24"/>
        </w:rPr>
      </w:pPr>
      <w:r>
        <w:rPr/>
        <w:br w:type="column"/>
      </w:r>
      <w:r>
        <w:rPr>
          <w:sz w:val="24"/>
        </w:rPr>
      </w:r>
    </w:p>
    <w:p>
      <w:pPr>
        <w:pStyle w:val="BodyText"/>
        <w:spacing w:before="8"/>
        <w:rPr>
          <w:sz w:val="27"/>
        </w:rPr>
      </w:pPr>
    </w:p>
    <w:p>
      <w:pPr>
        <w:pStyle w:val="ListParagraph"/>
        <w:numPr>
          <w:ilvl w:val="0"/>
          <w:numId w:val="181"/>
        </w:numPr>
        <w:tabs>
          <w:tab w:pos="220" w:val="left" w:leader="none"/>
        </w:tabs>
        <w:spacing w:line="240" w:lineRule="auto" w:before="1" w:after="0"/>
        <w:ind w:left="219" w:right="0" w:hanging="122"/>
        <w:jc w:val="left"/>
        <w:rPr>
          <w:sz w:val="20"/>
        </w:rPr>
      </w:pPr>
      <w:r>
        <w:rPr>
          <w:sz w:val="20"/>
        </w:rPr>
        <w:t>(Equation 5.4.2) in the inventories. Figure 5.4.5</w:t>
      </w:r>
      <w:r>
        <w:rPr>
          <w:spacing w:val="42"/>
          <w:sz w:val="20"/>
        </w:rPr>
        <w:t> </w:t>
      </w:r>
      <w:r>
        <w:rPr>
          <w:sz w:val="20"/>
        </w:rPr>
        <w:t>shows</w:t>
      </w:r>
    </w:p>
    <w:p>
      <w:pPr>
        <w:spacing w:after="0" w:line="240" w:lineRule="auto"/>
        <w:jc w:val="left"/>
        <w:rPr>
          <w:sz w:val="20"/>
        </w:rPr>
        <w:sectPr>
          <w:type w:val="continuous"/>
          <w:pgSz w:w="11900" w:h="16840"/>
          <w:pgMar w:top="1060" w:bottom="280" w:left="1240" w:right="0"/>
          <w:cols w:num="2" w:equalWidth="0">
            <w:col w:w="4574" w:space="40"/>
            <w:col w:w="6046"/>
          </w:cols>
        </w:sectPr>
      </w:pPr>
    </w:p>
    <w:p>
      <w:pPr>
        <w:pStyle w:val="BodyText"/>
        <w:ind w:left="179" w:right="1404"/>
      </w:pPr>
      <w:r>
        <w:rPr/>
        <w:pict>
          <v:shape style="position:absolute;margin-left:290.800598pt;margin-top:-6.398469pt;width:6.75pt;height:7.2pt;mso-position-horizontal-relative:page;mso-position-vertical-relative:paragraph;z-index:32056" type="#_x0000_t202" filled="false" stroked="false">
            <v:textbox inset="0,0,0,0">
              <w:txbxContent>
                <w:p>
                  <w:pPr>
                    <w:spacing w:line="144" w:lineRule="exact" w:before="0"/>
                    <w:ind w:left="0" w:right="0" w:firstLine="0"/>
                    <w:jc w:val="left"/>
                    <w:rPr>
                      <w:sz w:val="13"/>
                    </w:rPr>
                  </w:pPr>
                  <w:r>
                    <w:rPr>
                      <w:sz w:val="13"/>
                    </w:rPr>
                    <w:t>x,t</w:t>
                  </w:r>
                </w:p>
              </w:txbxContent>
            </v:textbox>
            <w10:wrap type="none"/>
          </v:shape>
        </w:pict>
      </w:r>
      <w:r>
        <w:rPr/>
        <w:t>the same pattern for trend as Figure 5.4.4 for the level. When emissions and removals from LULUCF are included,</w:t>
      </w:r>
      <w:r>
        <w:rPr>
          <w:spacing w:val="6"/>
        </w:rPr>
        <w:t> </w:t>
      </w:r>
      <w:r>
        <w:rPr/>
        <w:t>a</w:t>
      </w:r>
      <w:r>
        <w:rPr>
          <w:spacing w:val="7"/>
        </w:rPr>
        <w:t> </w:t>
      </w:r>
      <w:r>
        <w:rPr/>
        <w:t>smaller</w:t>
      </w:r>
      <w:r>
        <w:rPr>
          <w:spacing w:val="7"/>
        </w:rPr>
        <w:t> </w:t>
      </w:r>
      <w:r>
        <w:rPr/>
        <w:t>fraction</w:t>
      </w:r>
      <w:r>
        <w:rPr>
          <w:spacing w:val="5"/>
        </w:rPr>
        <w:t> </w:t>
      </w:r>
      <w:r>
        <w:rPr/>
        <w:t>of</w:t>
      </w:r>
      <w:r>
        <w:rPr>
          <w:spacing w:val="7"/>
        </w:rPr>
        <w:t> </w:t>
      </w:r>
      <w:r>
        <w:rPr/>
        <w:t>total</w:t>
      </w:r>
      <w:r>
        <w:rPr>
          <w:spacing w:val="7"/>
        </w:rPr>
        <w:t> </w:t>
      </w:r>
      <w:r>
        <w:rPr/>
        <w:t>assessment</w:t>
      </w:r>
      <w:r>
        <w:rPr>
          <w:spacing w:val="7"/>
        </w:rPr>
        <w:t> </w:t>
      </w:r>
      <w:r>
        <w:rPr/>
        <w:t>(by</w:t>
      </w:r>
      <w:r>
        <w:rPr>
          <w:spacing w:val="3"/>
        </w:rPr>
        <w:t> </w:t>
      </w:r>
      <w:r>
        <w:rPr/>
        <w:t>absolute</w:t>
      </w:r>
      <w:r>
        <w:rPr>
          <w:spacing w:val="9"/>
        </w:rPr>
        <w:t> </w:t>
      </w:r>
      <w:r>
        <w:rPr/>
        <w:t>value)</w:t>
      </w:r>
      <w:r>
        <w:rPr>
          <w:spacing w:val="7"/>
        </w:rPr>
        <w:t> </w:t>
      </w:r>
      <w:r>
        <w:rPr/>
        <w:t>is</w:t>
      </w:r>
      <w:r>
        <w:rPr>
          <w:spacing w:val="6"/>
        </w:rPr>
        <w:t> </w:t>
      </w:r>
      <w:r>
        <w:rPr/>
        <w:t>required</w:t>
      </w:r>
      <w:r>
        <w:rPr>
          <w:spacing w:val="7"/>
        </w:rPr>
        <w:t> </w:t>
      </w:r>
      <w:r>
        <w:rPr/>
        <w:t>to</w:t>
      </w:r>
      <w:r>
        <w:rPr>
          <w:spacing w:val="7"/>
        </w:rPr>
        <w:t> </w:t>
      </w:r>
      <w:r>
        <w:rPr/>
        <w:t>account</w:t>
      </w:r>
      <w:r>
        <w:rPr>
          <w:spacing w:val="9"/>
        </w:rPr>
        <w:t> </w:t>
      </w:r>
      <w:r>
        <w:rPr/>
        <w:t>for</w:t>
      </w:r>
      <w:r>
        <w:rPr>
          <w:spacing w:val="7"/>
        </w:rPr>
        <w:t> </w:t>
      </w:r>
      <w:r>
        <w:rPr/>
        <w:t>90%</w:t>
      </w:r>
      <w:r>
        <w:rPr>
          <w:spacing w:val="6"/>
        </w:rPr>
        <w:t> </w:t>
      </w:r>
      <w:r>
        <w:rPr/>
        <w:t>of</w:t>
      </w:r>
      <w:r>
        <w:rPr>
          <w:spacing w:val="5"/>
        </w:rPr>
        <w:t> </w:t>
      </w:r>
      <w:r>
        <w:rPr/>
        <w:t>the</w:t>
      </w:r>
      <w:r>
        <w:rPr>
          <w:spacing w:val="7"/>
        </w:rPr>
        <w:t> </w:t>
      </w:r>
      <w:r>
        <w:rPr/>
        <w:t>sum</w:t>
      </w:r>
      <w:r>
        <w:rPr>
          <w:spacing w:val="4"/>
        </w:rPr>
        <w:t> </w:t>
      </w:r>
      <w:r>
        <w:rPr/>
        <w:t>of</w:t>
      </w:r>
    </w:p>
    <w:p>
      <w:pPr>
        <w:pStyle w:val="BodyText"/>
        <w:spacing w:line="229" w:lineRule="exact"/>
        <w:ind w:left="179"/>
      </w:pPr>
      <w:r>
        <w:rPr/>
        <w:pict>
          <v:shape style="position:absolute;margin-left:77.2006pt;margin-top:5.0572pt;width:6.75pt;height:7.2pt;mso-position-horizontal-relative:page;mso-position-vertical-relative:paragraph;z-index:-2424088" type="#_x0000_t202" filled="false" stroked="false">
            <v:textbox inset="0,0,0,0">
              <w:txbxContent>
                <w:p>
                  <w:pPr>
                    <w:spacing w:line="144" w:lineRule="exact" w:before="0"/>
                    <w:ind w:left="0" w:right="0" w:firstLine="0"/>
                    <w:jc w:val="left"/>
                    <w:rPr>
                      <w:sz w:val="13"/>
                    </w:rPr>
                  </w:pPr>
                  <w:r>
                    <w:rPr>
                      <w:sz w:val="13"/>
                    </w:rPr>
                    <w:t>x,t</w:t>
                  </w:r>
                </w:p>
              </w:txbxContent>
            </v:textbox>
            <w10:wrap type="none"/>
          </v:shape>
        </w:pict>
      </w:r>
      <w:r>
        <w:rPr/>
        <w:t>T </w:t>
      </w:r>
      <w:r>
        <w:rPr>
          <w:spacing w:val="34"/>
        </w:rPr>
        <w:t> </w:t>
      </w:r>
      <w:r>
        <w:rPr>
          <w:vertAlign w:val="superscript"/>
        </w:rPr>
        <w:t>*16</w:t>
      </w:r>
      <w:r>
        <w:rPr>
          <w:vertAlign w:val="baseline"/>
        </w:rPr>
        <w:t>.</w:t>
      </w:r>
      <w:r>
        <w:rPr>
          <w:spacing w:val="17"/>
          <w:vertAlign w:val="baseline"/>
        </w:rPr>
        <w:t> </w:t>
      </w:r>
      <w:r>
        <w:rPr>
          <w:vertAlign w:val="baseline"/>
        </w:rPr>
        <w:t>The</w:t>
      </w:r>
      <w:r>
        <w:rPr>
          <w:spacing w:val="16"/>
          <w:vertAlign w:val="baseline"/>
        </w:rPr>
        <w:t> </w:t>
      </w:r>
      <w:r>
        <w:rPr>
          <w:vertAlign w:val="baseline"/>
        </w:rPr>
        <w:t>reason</w:t>
      </w:r>
      <w:r>
        <w:rPr>
          <w:spacing w:val="15"/>
          <w:vertAlign w:val="baseline"/>
        </w:rPr>
        <w:t> </w:t>
      </w:r>
      <w:r>
        <w:rPr>
          <w:vertAlign w:val="baseline"/>
        </w:rPr>
        <w:t>is</w:t>
      </w:r>
      <w:r>
        <w:rPr>
          <w:spacing w:val="15"/>
          <w:vertAlign w:val="baseline"/>
        </w:rPr>
        <w:t> </w:t>
      </w:r>
      <w:r>
        <w:rPr>
          <w:vertAlign w:val="baseline"/>
        </w:rPr>
        <w:t>again</w:t>
      </w:r>
      <w:r>
        <w:rPr>
          <w:spacing w:val="17"/>
          <w:vertAlign w:val="baseline"/>
        </w:rPr>
        <w:t> </w:t>
      </w:r>
      <w:r>
        <w:rPr>
          <w:vertAlign w:val="baseline"/>
        </w:rPr>
        <w:t>that</w:t>
      </w:r>
      <w:r>
        <w:rPr>
          <w:spacing w:val="18"/>
          <w:vertAlign w:val="baseline"/>
        </w:rPr>
        <w:t> </w:t>
      </w:r>
      <w:r>
        <w:rPr>
          <w:vertAlign w:val="baseline"/>
        </w:rPr>
        <w:t>some</w:t>
      </w:r>
      <w:r>
        <w:rPr>
          <w:spacing w:val="16"/>
          <w:vertAlign w:val="baseline"/>
        </w:rPr>
        <w:t> </w:t>
      </w:r>
      <w:r>
        <w:rPr>
          <w:vertAlign w:val="baseline"/>
        </w:rPr>
        <w:t>of</w:t>
      </w:r>
      <w:r>
        <w:rPr>
          <w:spacing w:val="15"/>
          <w:vertAlign w:val="baseline"/>
        </w:rPr>
        <w:t> </w:t>
      </w:r>
      <w:r>
        <w:rPr>
          <w:vertAlign w:val="baseline"/>
        </w:rPr>
        <w:t>the</w:t>
      </w:r>
      <w:r>
        <w:rPr>
          <w:spacing w:val="16"/>
          <w:vertAlign w:val="baseline"/>
        </w:rPr>
        <w:t> </w:t>
      </w:r>
      <w:r>
        <w:rPr>
          <w:vertAlign w:val="baseline"/>
        </w:rPr>
        <w:t>emissions</w:t>
      </w:r>
      <w:r>
        <w:rPr>
          <w:spacing w:val="16"/>
          <w:vertAlign w:val="baseline"/>
        </w:rPr>
        <w:t> </w:t>
      </w:r>
      <w:r>
        <w:rPr>
          <w:vertAlign w:val="baseline"/>
        </w:rPr>
        <w:t>and</w:t>
      </w:r>
      <w:r>
        <w:rPr>
          <w:spacing w:val="16"/>
          <w:vertAlign w:val="baseline"/>
        </w:rPr>
        <w:t> </w:t>
      </w:r>
      <w:r>
        <w:rPr>
          <w:vertAlign w:val="baseline"/>
        </w:rPr>
        <w:t>removals</w:t>
      </w:r>
      <w:r>
        <w:rPr>
          <w:spacing w:val="18"/>
          <w:vertAlign w:val="baseline"/>
        </w:rPr>
        <w:t> </w:t>
      </w:r>
      <w:r>
        <w:rPr>
          <w:vertAlign w:val="baseline"/>
        </w:rPr>
        <w:t>from</w:t>
      </w:r>
      <w:r>
        <w:rPr>
          <w:spacing w:val="13"/>
          <w:vertAlign w:val="baseline"/>
        </w:rPr>
        <w:t> </w:t>
      </w:r>
      <w:r>
        <w:rPr>
          <w:vertAlign w:val="baseline"/>
        </w:rPr>
        <w:t>LULUCF</w:t>
      </w:r>
      <w:r>
        <w:rPr>
          <w:spacing w:val="17"/>
          <w:vertAlign w:val="baseline"/>
        </w:rPr>
        <w:t> </w:t>
      </w:r>
      <w:r>
        <w:rPr>
          <w:vertAlign w:val="baseline"/>
        </w:rPr>
        <w:t>have</w:t>
      </w:r>
      <w:r>
        <w:rPr>
          <w:spacing w:val="19"/>
          <w:vertAlign w:val="baseline"/>
        </w:rPr>
        <w:t> </w:t>
      </w:r>
      <w:r>
        <w:rPr>
          <w:vertAlign w:val="baseline"/>
        </w:rPr>
        <w:t>large</w:t>
      </w:r>
      <w:r>
        <w:rPr>
          <w:spacing w:val="16"/>
          <w:vertAlign w:val="baseline"/>
        </w:rPr>
        <w:t> </w:t>
      </w:r>
      <w:r>
        <w:rPr>
          <w:vertAlign w:val="baseline"/>
        </w:rPr>
        <w:t>contribution</w:t>
      </w:r>
      <w:r>
        <w:rPr>
          <w:spacing w:val="17"/>
          <w:vertAlign w:val="baseline"/>
        </w:rPr>
        <w:t> </w:t>
      </w:r>
      <w:r>
        <w:rPr>
          <w:vertAlign w:val="baseline"/>
        </w:rPr>
        <w:t>to</w:t>
      </w:r>
    </w:p>
    <w:p>
      <w:pPr>
        <w:pStyle w:val="BodyText"/>
        <w:ind w:left="179"/>
      </w:pPr>
      <w:r>
        <w:rPr/>
        <w:t>trend and high uncertainty.</w:t>
      </w:r>
    </w:p>
    <w:p>
      <w:pPr>
        <w:pStyle w:val="BodyText"/>
        <w:rPr>
          <w:sz w:val="22"/>
        </w:rPr>
      </w:pPr>
    </w:p>
    <w:p>
      <w:pPr>
        <w:tabs>
          <w:tab w:pos="1880" w:val="left" w:leader="none"/>
        </w:tabs>
        <w:spacing w:line="229" w:lineRule="exact" w:before="148"/>
        <w:ind w:left="179" w:right="0" w:firstLine="0"/>
        <w:jc w:val="left"/>
        <w:rPr>
          <w:b/>
          <w:sz w:val="20"/>
        </w:rPr>
      </w:pPr>
      <w:r>
        <w:rPr>
          <w:b/>
          <w:spacing w:val="8"/>
          <w:sz w:val="20"/>
        </w:rPr>
        <w:t>Figure</w:t>
      </w:r>
      <w:r>
        <w:rPr>
          <w:b/>
          <w:spacing w:val="18"/>
          <w:sz w:val="20"/>
        </w:rPr>
        <w:t> </w:t>
      </w:r>
      <w:r>
        <w:rPr>
          <w:b/>
          <w:spacing w:val="8"/>
          <w:sz w:val="20"/>
        </w:rPr>
        <w:t>5.4.5</w:t>
        <w:tab/>
        <w:t>Fraction </w:t>
      </w:r>
      <w:r>
        <w:rPr>
          <w:b/>
          <w:spacing w:val="5"/>
          <w:sz w:val="20"/>
        </w:rPr>
        <w:t>of </w:t>
      </w:r>
      <w:r>
        <w:rPr>
          <w:b/>
          <w:spacing w:val="8"/>
          <w:sz w:val="20"/>
        </w:rPr>
        <w:t>emissions </w:t>
      </w:r>
      <w:r>
        <w:rPr>
          <w:b/>
          <w:spacing w:val="9"/>
          <w:sz w:val="20"/>
        </w:rPr>
        <w:t>required </w:t>
      </w:r>
      <w:r>
        <w:rPr>
          <w:b/>
          <w:spacing w:val="5"/>
          <w:sz w:val="20"/>
        </w:rPr>
        <w:t>to </w:t>
      </w:r>
      <w:r>
        <w:rPr>
          <w:b/>
          <w:spacing w:val="8"/>
          <w:sz w:val="20"/>
        </w:rPr>
        <w:t>reach </w:t>
      </w:r>
      <w:r>
        <w:rPr>
          <w:b/>
          <w:spacing w:val="6"/>
          <w:sz w:val="20"/>
        </w:rPr>
        <w:t>90% </w:t>
      </w:r>
      <w:r>
        <w:rPr>
          <w:b/>
          <w:spacing w:val="5"/>
          <w:sz w:val="20"/>
        </w:rPr>
        <w:t>of </w:t>
      </w:r>
      <w:r>
        <w:rPr>
          <w:b/>
          <w:spacing w:val="6"/>
          <w:sz w:val="20"/>
        </w:rPr>
        <w:t>sum </w:t>
      </w:r>
      <w:r>
        <w:rPr>
          <w:b/>
          <w:spacing w:val="5"/>
          <w:sz w:val="20"/>
        </w:rPr>
        <w:t>of </w:t>
      </w:r>
      <w:r>
        <w:rPr>
          <w:b/>
          <w:spacing w:val="9"/>
          <w:sz w:val="20"/>
        </w:rPr>
        <w:t>contribution</w:t>
      </w:r>
      <w:r>
        <w:rPr>
          <w:b/>
          <w:spacing w:val="36"/>
          <w:sz w:val="20"/>
        </w:rPr>
        <w:t> </w:t>
      </w:r>
      <w:r>
        <w:rPr>
          <w:b/>
          <w:spacing w:val="8"/>
          <w:sz w:val="20"/>
        </w:rPr>
        <w:t>from</w:t>
      </w:r>
    </w:p>
    <w:p>
      <w:pPr>
        <w:spacing w:line="242" w:lineRule="auto" w:before="0"/>
        <w:ind w:left="1880" w:right="1597" w:firstLine="0"/>
        <w:jc w:val="left"/>
        <w:rPr>
          <w:b/>
          <w:sz w:val="20"/>
        </w:rPr>
      </w:pPr>
      <w:r>
        <w:rPr/>
        <w:pict>
          <v:group style="position:absolute;margin-left:118.181pt;margin-top:37.116253pt;width:357.85pt;height:261.1500pt;mso-position-horizontal-relative:page;mso-position-vertical-relative:paragraph;z-index:32008" coordorigin="2364,742" coordsize="7157,5223">
            <v:rect style="position:absolute;left:2364;top:743;width:7155;height:5220" filled="false" stroked="true" strokeweight=".12pt" strokecolor="#000000">
              <v:stroke dashstyle="solid"/>
            </v:rect>
            <v:rect style="position:absolute;left:4383;top:875;width:4918;height:3646" filled="true" fillcolor="#c0c0c0" stroked="false">
              <v:fill type="solid"/>
            </v:rect>
            <v:shape style="position:absolute;left:5204;top:875;width:2453;height:3646" coordorigin="5204,876" coordsize="2453,3646" path="m5204,876l5204,1051m5204,1156l5204,1320m5204,1521l5204,1682m5204,1884l5204,2047m5204,2248l5204,2409m5204,2611l5204,2772m5204,2880l5204,4521m6027,876l6027,1413m6027,1521l6027,1682m6027,1884l6027,2047m6027,2140l6027,2409m6027,2611l6027,4521m6848,876l6848,1682m6848,1884l6848,2047m6848,2140l6848,4521m7657,876l7657,1682m7657,1776l7657,4521e" filled="false" stroked="true" strokeweight=".12pt" strokecolor="#000000">
              <v:path arrowok="t"/>
              <v:stroke dashstyle="solid"/>
            </v:shape>
            <v:line style="position:absolute" from="8478,876" to="8478,4521" stroked="true" strokeweight=".12pt" strokecolor="#000000">
              <v:stroke dashstyle="solid"/>
            </v:line>
            <v:line style="position:absolute" from="9301,876" to="9301,4588" stroked="true" strokeweight=".12pt" strokecolor="#000000">
              <v:stroke dashstyle="solid"/>
            </v:line>
            <v:rect style="position:absolute;left:4383;top:875;width:4918;height:3646" filled="false" stroked="true" strokeweight=".673pt" strokecolor="#7f7f7f">
              <v:stroke dashstyle="solid"/>
            </v:rect>
            <v:line style="position:absolute" from="4383,4023" to="5204,4023" stroked="true" strokeweight="5.4pt" strokecolor="#a4a4a4">
              <v:stroke dashstyle="solid"/>
            </v:line>
            <v:rect style="position:absolute;left:4383;top:3969;width:821;height:108" filled="false" stroked="true" strokeweight=".673pt" strokecolor="#000000">
              <v:stroke dashstyle="solid"/>
            </v:rect>
            <v:line style="position:absolute" from="4383,2934" to="5204,2934" stroked="true" strokeweight="5.4pt" strokecolor="#a4a4a4">
              <v:stroke dashstyle="solid"/>
            </v:line>
            <v:rect style="position:absolute;left:4383;top:2879;width:821;height:108" filled="false" stroked="true" strokeweight=".673pt" strokecolor="#000000">
              <v:stroke dashstyle="solid"/>
            </v:rect>
            <v:rect style="position:absolute;left:4383;top:2502;width:2465;height:108" filled="true" fillcolor="#a4a4a4" stroked="false">
              <v:fill type="solid"/>
            </v:rect>
            <v:rect style="position:absolute;left:4383;top:2502;width:2465;height:108" filled="false" stroked="true" strokeweight=".673pt" strokecolor="#000000">
              <v:stroke dashstyle="solid"/>
            </v:rect>
            <v:line style="position:absolute" from="4383,2194" to="6027,2194" stroked="true" strokeweight="5.4pt" strokecolor="#a4a4a4">
              <v:stroke dashstyle="solid"/>
            </v:line>
            <v:rect style="position:absolute;left:4383;top:2140;width:1644;height:108" filled="false" stroked="true" strokeweight=".673pt" strokecolor="#000000">
              <v:stroke dashstyle="solid"/>
            </v:rect>
            <v:line style="position:absolute" from="4383,1830" to="7657,1830" stroked="true" strokeweight="5.4pt" strokecolor="#a4a4a4">
              <v:stroke dashstyle="solid"/>
            </v:line>
            <v:rect style="position:absolute;left:4383;top:1775;width:3274;height:108" filled="false" stroked="true" strokeweight=".673pt" strokecolor="#000000">
              <v:stroke dashstyle="solid"/>
            </v:rect>
            <v:line style="position:absolute" from="4383,1467" to="6848,1467" stroked="true" strokeweight="5.4pt" strokecolor="#a4a4a4">
              <v:stroke dashstyle="solid"/>
            </v:line>
            <v:rect style="position:absolute;left:4383;top:1413;width:2465;height:108" filled="false" stroked="true" strokeweight=".673pt" strokecolor="#000000">
              <v:stroke dashstyle="solid"/>
            </v:rect>
            <v:line style="position:absolute" from="4383,1104" to="6027,1104" stroked="true" strokeweight="5.28pt" strokecolor="#a4a4a4">
              <v:stroke dashstyle="solid"/>
            </v:line>
            <v:rect style="position:absolute;left:4383;top:1050;width:1644;height:106" filled="false" stroked="true" strokeweight=".673pt" strokecolor="#000000">
              <v:stroke dashstyle="solid"/>
            </v:rect>
            <v:line style="position:absolute" from="4383,2826" to="6027,2826" stroked="true" strokeweight="5.4pt" strokecolor="#565656">
              <v:stroke dashstyle="solid"/>
            </v:line>
            <v:rect style="position:absolute;left:4383;top:2771;width:1644;height:108" filled="false" stroked="true" strokeweight=".673pt" strokecolor="#000000">
              <v:stroke dashstyle="solid"/>
            </v:rect>
            <v:rect style="position:absolute;left:4383;top:2409;width:2465;height:94" filled="true" fillcolor="#565656" stroked="false">
              <v:fill type="solid"/>
            </v:rect>
            <v:rect style="position:absolute;left:4383;top:2409;width:2465;height:94" filled="false" stroked="true" strokeweight=".673pt" strokecolor="#000000">
              <v:stroke dashstyle="solid"/>
            </v:rect>
            <v:line style="position:absolute" from="4383,2094" to="7657,2094" stroked="true" strokeweight="4.68pt" strokecolor="#565656">
              <v:stroke dashstyle="solid"/>
            </v:line>
            <v:rect style="position:absolute;left:4383;top:2046;width:3274;height:94" filled="false" stroked="true" strokeweight=".673pt" strokecolor="#000000">
              <v:stroke dashstyle="solid"/>
            </v:rect>
            <v:line style="position:absolute" from="4383,1729" to="8478,1729" stroked="true" strokeweight="4.68pt" strokecolor="#565656">
              <v:stroke dashstyle="solid"/>
            </v:line>
            <v:rect style="position:absolute;left:4383;top:1681;width:4095;height:94" filled="false" stroked="true" strokeweight=".673pt" strokecolor="#000000">
              <v:stroke dashstyle="solid"/>
            </v:rect>
            <v:line style="position:absolute" from="4383,1366" to="6027,1366" stroked="true" strokeweight="4.68pt" strokecolor="#565656">
              <v:stroke dashstyle="solid"/>
            </v:line>
            <v:rect style="position:absolute;left:4383;top:1319;width:1644;height:94" filled="false" stroked="true" strokeweight=".673pt" strokecolor="#000000">
              <v:stroke dashstyle="solid"/>
            </v:rect>
            <v:shape style="position:absolute;left:4383;top:4521;width:4918;height:68" coordorigin="4383,4521" coordsize="4918,68" path="m4383,4521l9301,4521m5204,4588l5204,4521m6027,4588l6027,4521m6848,4588l6848,4521m7657,4588l7657,4521m8478,4588l8478,4521e" filled="false" stroked="true" strokeweight=".12pt" strokecolor="#000000">
              <v:path arrowok="t"/>
              <v:stroke dashstyle="solid"/>
            </v:shape>
            <v:line style="position:absolute" from="4383,876" to="4383,4588" stroked="true" strokeweight=".12pt" strokecolor="#000000">
              <v:stroke dashstyle="solid"/>
            </v:line>
            <v:shape style="position:absolute;left:4328;top:875;width:56;height:3646" coordorigin="4328,876" coordsize="56,3646" path="m4328,4521l4383,4521m4328,4159l4383,4159m4328,3796l4383,3796m4328,3432l4383,3432m4328,3069l4383,3069m4328,2692l4383,2692m4328,2328l4383,2328m4328,1965l4383,1965m4328,1600l4383,1600m4328,1238l4383,1238m4328,876l4383,876e" filled="false" stroked="true" strokeweight=".12pt" strokecolor="#000000">
              <v:path arrowok="t"/>
              <v:stroke dashstyle="solid"/>
            </v:shape>
            <v:rect style="position:absolute;left:5393;top:5680;width:120;height:120" filled="true" fillcolor="#a4a4a4" stroked="false">
              <v:fill type="solid"/>
            </v:rect>
            <v:rect style="position:absolute;left:5393;top:5680;width:120;height:120" filled="false" stroked="true" strokeweight=".673pt" strokecolor="#000000">
              <v:stroke dashstyle="solid"/>
            </v:rect>
            <v:rect style="position:absolute;left:7023;top:5680;width:123;height:120" filled="true" fillcolor="#565656" stroked="false">
              <v:fill type="solid"/>
            </v:rect>
            <v:rect style="position:absolute;left:7023;top:5680;width:123;height:120" filled="false" stroked="true" strokeweight=".673pt" strokecolor="#000000">
              <v:stroke dashstyle="solid"/>
            </v:rect>
            <v:rect style="position:absolute;left:2364;top:743;width:7155;height:5220" filled="false" stroked="true" strokeweight=".12pt" strokecolor="#000000">
              <v:stroke dashstyle="solid"/>
            </v:rect>
            <v:shape style="position:absolute;left:5703;top:5079;width:2298;height:241" type="#_x0000_t202" filled="false" stroked="false">
              <v:textbox inset="0,0,0,0">
                <w:txbxContent>
                  <w:p>
                    <w:pPr>
                      <w:spacing w:line="239" w:lineRule="exact" w:before="0"/>
                      <w:ind w:left="0" w:right="0" w:firstLine="0"/>
                      <w:jc w:val="left"/>
                      <w:rPr>
                        <w:rFonts w:ascii="Arial"/>
                        <w:b/>
                        <w:sz w:val="21"/>
                      </w:rPr>
                    </w:pPr>
                    <w:r>
                      <w:rPr>
                        <w:rFonts w:ascii="Arial"/>
                        <w:b/>
                        <w:w w:val="105"/>
                        <w:sz w:val="21"/>
                      </w:rPr>
                      <w:t>Number</w:t>
                    </w:r>
                    <w:r>
                      <w:rPr>
                        <w:rFonts w:ascii="Arial"/>
                        <w:b/>
                        <w:spacing w:val="-31"/>
                        <w:w w:val="105"/>
                        <w:sz w:val="21"/>
                      </w:rPr>
                      <w:t> </w:t>
                    </w:r>
                    <w:r>
                      <w:rPr>
                        <w:rFonts w:ascii="Arial"/>
                        <w:b/>
                        <w:w w:val="105"/>
                        <w:sz w:val="21"/>
                      </w:rPr>
                      <w:t>of</w:t>
                    </w:r>
                    <w:r>
                      <w:rPr>
                        <w:rFonts w:ascii="Arial"/>
                        <w:b/>
                        <w:spacing w:val="-30"/>
                        <w:w w:val="105"/>
                        <w:sz w:val="21"/>
                      </w:rPr>
                      <w:t> </w:t>
                    </w:r>
                    <w:r>
                      <w:rPr>
                        <w:rFonts w:ascii="Arial"/>
                        <w:b/>
                        <w:w w:val="105"/>
                        <w:sz w:val="21"/>
                      </w:rPr>
                      <w:t>inventories</w:t>
                    </w:r>
                  </w:p>
                </w:txbxContent>
              </v:textbox>
              <w10:wrap type="none"/>
            </v:shape>
            <v:shape style="position:absolute;left:9247;top:4707;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6</w:t>
                    </w:r>
                  </w:p>
                </w:txbxContent>
              </v:textbox>
              <w10:wrap type="none"/>
            </v:shape>
            <v:shape style="position:absolute;left:8426;top:4707;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5</w:t>
                    </w:r>
                  </w:p>
                </w:txbxContent>
              </v:textbox>
              <w10:wrap type="none"/>
            </v:shape>
            <v:shape style="position:absolute;left:7603;top:4707;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4</w:t>
                    </w:r>
                  </w:p>
                </w:txbxContent>
              </v:textbox>
              <w10:wrap type="none"/>
            </v:shape>
            <v:shape style="position:absolute;left:6795;top:4707;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3</w:t>
                    </w:r>
                  </w:p>
                </w:txbxContent>
              </v:textbox>
              <w10:wrap type="none"/>
            </v:shape>
            <v:shape style="position:absolute;left:5974;top:4707;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2</w:t>
                    </w:r>
                  </w:p>
                </w:txbxContent>
              </v:textbox>
              <w10:wrap type="none"/>
            </v:shape>
            <v:shape style="position:absolute;left:5151;top:4707;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1</w:t>
                    </w:r>
                  </w:p>
                </w:txbxContent>
              </v:textbox>
              <w10:wrap type="none"/>
            </v:shape>
            <v:shape style="position:absolute;left:4330;top:4707;width:140;height:241" type="#_x0000_t202" filled="false" stroked="false">
              <v:textbox inset="0,0,0,0">
                <w:txbxContent>
                  <w:p>
                    <w:pPr>
                      <w:spacing w:line="239" w:lineRule="exact" w:before="0"/>
                      <w:ind w:left="0" w:right="0" w:firstLine="0"/>
                      <w:jc w:val="left"/>
                      <w:rPr>
                        <w:rFonts w:ascii="Arial"/>
                        <w:sz w:val="21"/>
                      </w:rPr>
                    </w:pPr>
                    <w:r>
                      <w:rPr>
                        <w:rFonts w:ascii="Arial"/>
                        <w:w w:val="102"/>
                        <w:sz w:val="21"/>
                      </w:rPr>
                      <w:t>0</w:t>
                    </w:r>
                  </w:p>
                </w:txbxContent>
              </v:textbox>
              <w10:wrap type="none"/>
            </v:shape>
            <v:shape style="position:absolute;left:3212;top:954;width:1056;height:3450" type="#_x0000_t202" filled="false" stroked="false">
              <v:textbox inset="0,0,0,0">
                <w:txbxContent>
                  <w:p>
                    <w:pPr>
                      <w:spacing w:line="180" w:lineRule="exact" w:before="0"/>
                      <w:ind w:left="0" w:right="0" w:firstLine="0"/>
                      <w:jc w:val="left"/>
                      <w:rPr>
                        <w:rFonts w:ascii="Arial"/>
                        <w:sz w:val="16"/>
                      </w:rPr>
                    </w:pPr>
                    <w:r>
                      <w:rPr>
                        <w:rFonts w:ascii="Arial"/>
                        <w:sz w:val="16"/>
                      </w:rPr>
                      <w:t>98% - &lt;</w:t>
                    </w:r>
                    <w:r>
                      <w:rPr>
                        <w:rFonts w:ascii="Arial"/>
                        <w:spacing w:val="9"/>
                        <w:sz w:val="16"/>
                      </w:rPr>
                      <w:t> </w:t>
                    </w:r>
                    <w:r>
                      <w:rPr>
                        <w:rFonts w:ascii="Arial"/>
                        <w:spacing w:val="3"/>
                        <w:sz w:val="16"/>
                      </w:rPr>
                      <w:t>100%</w:t>
                    </w:r>
                  </w:p>
                  <w:p>
                    <w:pPr>
                      <w:spacing w:line="240" w:lineRule="auto" w:before="5"/>
                      <w:rPr>
                        <w:sz w:val="15"/>
                      </w:rPr>
                    </w:pPr>
                  </w:p>
                  <w:p>
                    <w:pPr>
                      <w:spacing w:before="1"/>
                      <w:ind w:left="93" w:right="0" w:firstLine="0"/>
                      <w:jc w:val="left"/>
                      <w:rPr>
                        <w:rFonts w:ascii="Arial"/>
                        <w:sz w:val="16"/>
                      </w:rPr>
                    </w:pPr>
                    <w:r>
                      <w:rPr>
                        <w:rFonts w:ascii="Arial"/>
                        <w:spacing w:val="3"/>
                        <w:sz w:val="16"/>
                      </w:rPr>
                      <w:t>96% </w:t>
                    </w:r>
                    <w:r>
                      <w:rPr>
                        <w:rFonts w:ascii="Arial"/>
                        <w:sz w:val="16"/>
                      </w:rPr>
                      <w:t>- &lt;</w:t>
                    </w:r>
                    <w:r>
                      <w:rPr>
                        <w:rFonts w:ascii="Arial"/>
                        <w:spacing w:val="-5"/>
                        <w:sz w:val="16"/>
                      </w:rPr>
                      <w:t> </w:t>
                    </w:r>
                    <w:r>
                      <w:rPr>
                        <w:rFonts w:ascii="Arial"/>
                        <w:spacing w:val="3"/>
                        <w:sz w:val="16"/>
                      </w:rPr>
                      <w:t>98%</w:t>
                    </w:r>
                  </w:p>
                  <w:p>
                    <w:pPr>
                      <w:spacing w:line="240" w:lineRule="auto" w:before="8"/>
                      <w:rPr>
                        <w:sz w:val="15"/>
                      </w:rPr>
                    </w:pPr>
                  </w:p>
                  <w:p>
                    <w:pPr>
                      <w:spacing w:before="0"/>
                      <w:ind w:left="93" w:right="0" w:firstLine="0"/>
                      <w:jc w:val="left"/>
                      <w:rPr>
                        <w:rFonts w:ascii="Arial"/>
                        <w:sz w:val="16"/>
                      </w:rPr>
                    </w:pPr>
                    <w:r>
                      <w:rPr>
                        <w:rFonts w:ascii="Arial"/>
                        <w:spacing w:val="3"/>
                        <w:sz w:val="16"/>
                      </w:rPr>
                      <w:t>94% </w:t>
                    </w:r>
                    <w:r>
                      <w:rPr>
                        <w:rFonts w:ascii="Arial"/>
                        <w:sz w:val="16"/>
                      </w:rPr>
                      <w:t>- &lt;</w:t>
                    </w:r>
                    <w:r>
                      <w:rPr>
                        <w:rFonts w:ascii="Arial"/>
                        <w:spacing w:val="-5"/>
                        <w:sz w:val="16"/>
                      </w:rPr>
                      <w:t> </w:t>
                    </w:r>
                    <w:r>
                      <w:rPr>
                        <w:rFonts w:ascii="Arial"/>
                        <w:spacing w:val="3"/>
                        <w:sz w:val="16"/>
                      </w:rPr>
                      <w:t>96%</w:t>
                    </w:r>
                  </w:p>
                  <w:p>
                    <w:pPr>
                      <w:spacing w:line="240" w:lineRule="auto" w:before="6"/>
                      <w:rPr>
                        <w:sz w:val="15"/>
                      </w:rPr>
                    </w:pPr>
                  </w:p>
                  <w:p>
                    <w:pPr>
                      <w:spacing w:before="0"/>
                      <w:ind w:left="93" w:right="0" w:firstLine="0"/>
                      <w:jc w:val="left"/>
                      <w:rPr>
                        <w:rFonts w:ascii="Arial"/>
                        <w:sz w:val="16"/>
                      </w:rPr>
                    </w:pPr>
                    <w:r>
                      <w:rPr>
                        <w:rFonts w:ascii="Arial"/>
                        <w:spacing w:val="3"/>
                        <w:sz w:val="16"/>
                      </w:rPr>
                      <w:t>92% </w:t>
                    </w:r>
                    <w:r>
                      <w:rPr>
                        <w:rFonts w:ascii="Arial"/>
                        <w:sz w:val="16"/>
                      </w:rPr>
                      <w:t>- &lt;</w:t>
                    </w:r>
                    <w:r>
                      <w:rPr>
                        <w:rFonts w:ascii="Arial"/>
                        <w:spacing w:val="-5"/>
                        <w:sz w:val="16"/>
                      </w:rPr>
                      <w:t> </w:t>
                    </w:r>
                    <w:r>
                      <w:rPr>
                        <w:rFonts w:ascii="Arial"/>
                        <w:spacing w:val="3"/>
                        <w:sz w:val="16"/>
                      </w:rPr>
                      <w:t>94%</w:t>
                    </w:r>
                  </w:p>
                  <w:p>
                    <w:pPr>
                      <w:spacing w:line="240" w:lineRule="auto" w:before="6"/>
                      <w:rPr>
                        <w:sz w:val="15"/>
                      </w:rPr>
                    </w:pPr>
                  </w:p>
                  <w:p>
                    <w:pPr>
                      <w:spacing w:before="0"/>
                      <w:ind w:left="93" w:right="0" w:firstLine="0"/>
                      <w:jc w:val="left"/>
                      <w:rPr>
                        <w:rFonts w:ascii="Arial"/>
                        <w:sz w:val="16"/>
                      </w:rPr>
                    </w:pPr>
                    <w:r>
                      <w:rPr>
                        <w:rFonts w:ascii="Arial"/>
                        <w:spacing w:val="3"/>
                        <w:sz w:val="16"/>
                      </w:rPr>
                      <w:t>90% </w:t>
                    </w:r>
                    <w:r>
                      <w:rPr>
                        <w:rFonts w:ascii="Arial"/>
                        <w:sz w:val="16"/>
                      </w:rPr>
                      <w:t>- &lt;</w:t>
                    </w:r>
                    <w:r>
                      <w:rPr>
                        <w:rFonts w:ascii="Arial"/>
                        <w:spacing w:val="-5"/>
                        <w:sz w:val="16"/>
                      </w:rPr>
                      <w:t> </w:t>
                    </w:r>
                    <w:r>
                      <w:rPr>
                        <w:rFonts w:ascii="Arial"/>
                        <w:spacing w:val="3"/>
                        <w:sz w:val="16"/>
                      </w:rPr>
                      <w:t>92%</w:t>
                    </w:r>
                  </w:p>
                  <w:p>
                    <w:pPr>
                      <w:spacing w:line="240" w:lineRule="auto" w:before="8"/>
                      <w:rPr>
                        <w:sz w:val="15"/>
                      </w:rPr>
                    </w:pPr>
                  </w:p>
                  <w:p>
                    <w:pPr>
                      <w:spacing w:before="0"/>
                      <w:ind w:left="93" w:right="0" w:firstLine="0"/>
                      <w:jc w:val="left"/>
                      <w:rPr>
                        <w:rFonts w:ascii="Arial"/>
                        <w:sz w:val="16"/>
                      </w:rPr>
                    </w:pPr>
                    <w:r>
                      <w:rPr>
                        <w:rFonts w:ascii="Arial"/>
                        <w:spacing w:val="3"/>
                        <w:sz w:val="16"/>
                      </w:rPr>
                      <w:t>88% </w:t>
                    </w:r>
                    <w:r>
                      <w:rPr>
                        <w:rFonts w:ascii="Arial"/>
                        <w:sz w:val="16"/>
                      </w:rPr>
                      <w:t>- &lt;</w:t>
                    </w:r>
                    <w:r>
                      <w:rPr>
                        <w:rFonts w:ascii="Arial"/>
                        <w:spacing w:val="-5"/>
                        <w:sz w:val="16"/>
                      </w:rPr>
                      <w:t> </w:t>
                    </w:r>
                    <w:r>
                      <w:rPr>
                        <w:rFonts w:ascii="Arial"/>
                        <w:spacing w:val="3"/>
                        <w:sz w:val="16"/>
                      </w:rPr>
                      <w:t>90%</w:t>
                    </w:r>
                  </w:p>
                  <w:p>
                    <w:pPr>
                      <w:spacing w:line="240" w:lineRule="auto" w:before="6"/>
                      <w:rPr>
                        <w:sz w:val="15"/>
                      </w:rPr>
                    </w:pPr>
                  </w:p>
                  <w:p>
                    <w:pPr>
                      <w:spacing w:before="0"/>
                      <w:ind w:left="93" w:right="0" w:firstLine="0"/>
                      <w:jc w:val="left"/>
                      <w:rPr>
                        <w:rFonts w:ascii="Arial"/>
                        <w:sz w:val="16"/>
                      </w:rPr>
                    </w:pPr>
                    <w:r>
                      <w:rPr>
                        <w:rFonts w:ascii="Arial"/>
                        <w:spacing w:val="3"/>
                        <w:sz w:val="16"/>
                      </w:rPr>
                      <w:t>86% </w:t>
                    </w:r>
                    <w:r>
                      <w:rPr>
                        <w:rFonts w:ascii="Arial"/>
                        <w:sz w:val="16"/>
                      </w:rPr>
                      <w:t>- &lt;</w:t>
                    </w:r>
                    <w:r>
                      <w:rPr>
                        <w:rFonts w:ascii="Arial"/>
                        <w:spacing w:val="-5"/>
                        <w:sz w:val="16"/>
                      </w:rPr>
                      <w:t> </w:t>
                    </w:r>
                    <w:r>
                      <w:rPr>
                        <w:rFonts w:ascii="Arial"/>
                        <w:spacing w:val="3"/>
                        <w:sz w:val="16"/>
                      </w:rPr>
                      <w:t>88%</w:t>
                    </w:r>
                  </w:p>
                  <w:p>
                    <w:pPr>
                      <w:spacing w:line="240" w:lineRule="auto" w:before="8"/>
                      <w:rPr>
                        <w:sz w:val="15"/>
                      </w:rPr>
                    </w:pPr>
                  </w:p>
                  <w:p>
                    <w:pPr>
                      <w:spacing w:before="0"/>
                      <w:ind w:left="93" w:right="0" w:firstLine="0"/>
                      <w:jc w:val="left"/>
                      <w:rPr>
                        <w:rFonts w:ascii="Arial"/>
                        <w:sz w:val="16"/>
                      </w:rPr>
                    </w:pPr>
                    <w:r>
                      <w:rPr>
                        <w:rFonts w:ascii="Arial"/>
                        <w:spacing w:val="3"/>
                        <w:sz w:val="16"/>
                      </w:rPr>
                      <w:t>84% </w:t>
                    </w:r>
                    <w:r>
                      <w:rPr>
                        <w:rFonts w:ascii="Arial"/>
                        <w:sz w:val="16"/>
                      </w:rPr>
                      <w:t>- &lt;</w:t>
                    </w:r>
                    <w:r>
                      <w:rPr>
                        <w:rFonts w:ascii="Arial"/>
                        <w:spacing w:val="-5"/>
                        <w:sz w:val="16"/>
                      </w:rPr>
                      <w:t> </w:t>
                    </w:r>
                    <w:r>
                      <w:rPr>
                        <w:rFonts w:ascii="Arial"/>
                        <w:spacing w:val="3"/>
                        <w:sz w:val="16"/>
                      </w:rPr>
                      <w:t>86%</w:t>
                    </w:r>
                  </w:p>
                  <w:p>
                    <w:pPr>
                      <w:spacing w:line="240" w:lineRule="auto" w:before="6"/>
                      <w:rPr>
                        <w:sz w:val="15"/>
                      </w:rPr>
                    </w:pPr>
                  </w:p>
                  <w:p>
                    <w:pPr>
                      <w:spacing w:before="0"/>
                      <w:ind w:left="93" w:right="0" w:firstLine="0"/>
                      <w:jc w:val="left"/>
                      <w:rPr>
                        <w:rFonts w:ascii="Arial"/>
                        <w:sz w:val="16"/>
                      </w:rPr>
                    </w:pPr>
                    <w:r>
                      <w:rPr>
                        <w:rFonts w:ascii="Arial"/>
                        <w:spacing w:val="3"/>
                        <w:sz w:val="16"/>
                      </w:rPr>
                      <w:t>82% </w:t>
                    </w:r>
                    <w:r>
                      <w:rPr>
                        <w:rFonts w:ascii="Arial"/>
                        <w:sz w:val="16"/>
                      </w:rPr>
                      <w:t>- &lt;</w:t>
                    </w:r>
                    <w:r>
                      <w:rPr>
                        <w:rFonts w:ascii="Arial"/>
                        <w:spacing w:val="-5"/>
                        <w:sz w:val="16"/>
                      </w:rPr>
                      <w:t> </w:t>
                    </w:r>
                    <w:r>
                      <w:rPr>
                        <w:rFonts w:ascii="Arial"/>
                        <w:spacing w:val="3"/>
                        <w:sz w:val="16"/>
                      </w:rPr>
                      <w:t>84%</w:t>
                    </w:r>
                  </w:p>
                  <w:p>
                    <w:pPr>
                      <w:spacing w:line="240" w:lineRule="auto" w:before="6"/>
                      <w:rPr>
                        <w:sz w:val="15"/>
                      </w:rPr>
                    </w:pPr>
                  </w:p>
                  <w:p>
                    <w:pPr>
                      <w:spacing w:before="0"/>
                      <w:ind w:left="93" w:right="0" w:firstLine="0"/>
                      <w:jc w:val="left"/>
                      <w:rPr>
                        <w:rFonts w:ascii="Arial"/>
                        <w:sz w:val="16"/>
                      </w:rPr>
                    </w:pPr>
                    <w:r>
                      <w:rPr>
                        <w:rFonts w:ascii="Arial"/>
                        <w:spacing w:val="3"/>
                        <w:sz w:val="16"/>
                      </w:rPr>
                      <w:t>80% </w:t>
                    </w:r>
                    <w:r>
                      <w:rPr>
                        <w:rFonts w:ascii="Arial"/>
                        <w:sz w:val="16"/>
                      </w:rPr>
                      <w:t>- &lt;</w:t>
                    </w:r>
                    <w:r>
                      <w:rPr>
                        <w:rFonts w:ascii="Arial"/>
                        <w:spacing w:val="-5"/>
                        <w:sz w:val="16"/>
                      </w:rPr>
                      <w:t> </w:t>
                    </w:r>
                    <w:r>
                      <w:rPr>
                        <w:rFonts w:ascii="Arial"/>
                        <w:spacing w:val="3"/>
                        <w:sz w:val="16"/>
                      </w:rPr>
                      <w:t>82%</w:t>
                    </w:r>
                  </w:p>
                </w:txbxContent>
              </v:textbox>
              <w10:wrap type="none"/>
            </v:shape>
            <v:shape style="position:absolute;left:5314;top:5560;width:3032;height:351" type="#_x0000_t202" filled="false" stroked="true" strokeweight=".12pt" strokecolor="#000000">
              <v:textbox inset="0,0,0,0">
                <w:txbxContent>
                  <w:p>
                    <w:pPr>
                      <w:tabs>
                        <w:tab w:pos="1897" w:val="left" w:leader="none"/>
                      </w:tabs>
                      <w:spacing w:before="46"/>
                      <w:ind w:left="267" w:right="0" w:firstLine="0"/>
                      <w:jc w:val="left"/>
                      <w:rPr>
                        <w:rFonts w:ascii="Arial"/>
                        <w:sz w:val="21"/>
                      </w:rPr>
                    </w:pPr>
                    <w:r>
                      <w:rPr>
                        <w:rFonts w:ascii="Arial"/>
                        <w:spacing w:val="-4"/>
                        <w:w w:val="105"/>
                        <w:sz w:val="21"/>
                      </w:rPr>
                      <w:t>Without</w:t>
                    </w:r>
                    <w:r>
                      <w:rPr>
                        <w:rFonts w:ascii="Arial"/>
                        <w:spacing w:val="-22"/>
                        <w:w w:val="105"/>
                        <w:sz w:val="21"/>
                      </w:rPr>
                      <w:t> </w:t>
                    </w:r>
                    <w:r>
                      <w:rPr>
                        <w:rFonts w:ascii="Arial"/>
                        <w:w w:val="105"/>
                        <w:sz w:val="21"/>
                      </w:rPr>
                      <w:t>LUCF</w:t>
                      <w:tab/>
                      <w:t>With</w:t>
                    </w:r>
                    <w:r>
                      <w:rPr>
                        <w:rFonts w:ascii="Arial"/>
                        <w:spacing w:val="-28"/>
                        <w:w w:val="105"/>
                        <w:sz w:val="21"/>
                      </w:rPr>
                      <w:t> </w:t>
                    </w:r>
                    <w:r>
                      <w:rPr>
                        <w:rFonts w:ascii="Arial"/>
                        <w:w w:val="105"/>
                        <w:sz w:val="21"/>
                      </w:rPr>
                      <w:t>LUCF</w:t>
                    </w:r>
                  </w:p>
                </w:txbxContent>
              </v:textbox>
              <v:stroke dashstyle="solid"/>
              <w10:wrap type="none"/>
            </v:shape>
            <w10:wrap type="none"/>
          </v:group>
        </w:pict>
      </w:r>
      <w:r>
        <w:rPr/>
        <w:pict>
          <v:shape style="position:absolute;margin-left:127.413704pt;margin-top:49.609486pt;width:28.2pt;height:170.85pt;mso-position-horizontal-relative:page;mso-position-vertical-relative:paragraph;z-index:32032" type="#_x0000_t202" filled="false" stroked="false">
            <v:textbox inset="0,0,0,0" style="layout-flow:vertical;mso-layout-flow-alt:bottom-to-top">
              <w:txbxContent>
                <w:p>
                  <w:pPr>
                    <w:spacing w:line="280" w:lineRule="auto" w:before="18"/>
                    <w:ind w:left="142" w:right="9" w:hanging="123"/>
                    <w:jc w:val="left"/>
                    <w:rPr>
                      <w:rFonts w:ascii="Arial"/>
                      <w:b/>
                      <w:sz w:val="21"/>
                    </w:rPr>
                  </w:pPr>
                  <w:r>
                    <w:rPr>
                      <w:rFonts w:ascii="Arial"/>
                      <w:b/>
                      <w:w w:val="105"/>
                      <w:sz w:val="21"/>
                    </w:rPr>
                    <w:t>Fraction</w:t>
                  </w:r>
                  <w:r>
                    <w:rPr>
                      <w:rFonts w:ascii="Arial"/>
                      <w:b/>
                      <w:spacing w:val="-28"/>
                      <w:w w:val="105"/>
                      <w:sz w:val="21"/>
                    </w:rPr>
                    <w:t> </w:t>
                  </w:r>
                  <w:r>
                    <w:rPr>
                      <w:rFonts w:ascii="Arial"/>
                      <w:b/>
                      <w:w w:val="105"/>
                      <w:sz w:val="21"/>
                    </w:rPr>
                    <w:t>of</w:t>
                  </w:r>
                  <w:r>
                    <w:rPr>
                      <w:rFonts w:ascii="Arial"/>
                      <w:b/>
                      <w:spacing w:val="-33"/>
                      <w:w w:val="105"/>
                      <w:sz w:val="21"/>
                    </w:rPr>
                    <w:t> </w:t>
                  </w:r>
                  <w:r>
                    <w:rPr>
                      <w:rFonts w:ascii="Arial"/>
                      <w:b/>
                      <w:w w:val="105"/>
                      <w:sz w:val="21"/>
                    </w:rPr>
                    <w:t>emissions</w:t>
                  </w:r>
                  <w:r>
                    <w:rPr>
                      <w:rFonts w:ascii="Arial"/>
                      <w:b/>
                      <w:spacing w:val="-29"/>
                      <w:w w:val="105"/>
                      <w:sz w:val="21"/>
                    </w:rPr>
                    <w:t> </w:t>
                  </w:r>
                  <w:r>
                    <w:rPr>
                      <w:rFonts w:ascii="Arial"/>
                      <w:b/>
                      <w:w w:val="105"/>
                      <w:sz w:val="21"/>
                    </w:rPr>
                    <w:t>required</w:t>
                  </w:r>
                  <w:r>
                    <w:rPr>
                      <w:rFonts w:ascii="Arial"/>
                      <w:b/>
                      <w:spacing w:val="-27"/>
                      <w:w w:val="105"/>
                      <w:sz w:val="21"/>
                    </w:rPr>
                    <w:t> </w:t>
                  </w:r>
                  <w:r>
                    <w:rPr>
                      <w:rFonts w:ascii="Arial"/>
                      <w:b/>
                      <w:spacing w:val="-3"/>
                      <w:w w:val="105"/>
                      <w:sz w:val="21"/>
                    </w:rPr>
                    <w:t>to </w:t>
                  </w:r>
                  <w:r>
                    <w:rPr>
                      <w:rFonts w:ascii="Arial"/>
                      <w:b/>
                      <w:w w:val="105"/>
                      <w:sz w:val="21"/>
                    </w:rPr>
                    <w:t>reach</w:t>
                  </w:r>
                  <w:r>
                    <w:rPr>
                      <w:rFonts w:ascii="Arial"/>
                      <w:b/>
                      <w:spacing w:val="-19"/>
                      <w:w w:val="105"/>
                      <w:sz w:val="21"/>
                    </w:rPr>
                    <w:t> </w:t>
                  </w:r>
                  <w:r>
                    <w:rPr>
                      <w:rFonts w:ascii="Arial"/>
                      <w:b/>
                      <w:w w:val="105"/>
                      <w:sz w:val="21"/>
                    </w:rPr>
                    <w:t>90%</w:t>
                  </w:r>
                  <w:r>
                    <w:rPr>
                      <w:rFonts w:ascii="Arial"/>
                      <w:b/>
                      <w:spacing w:val="-22"/>
                      <w:w w:val="105"/>
                      <w:sz w:val="21"/>
                    </w:rPr>
                    <w:t> </w:t>
                  </w:r>
                  <w:r>
                    <w:rPr>
                      <w:rFonts w:ascii="Arial"/>
                      <w:b/>
                      <w:w w:val="105"/>
                      <w:sz w:val="21"/>
                    </w:rPr>
                    <w:t>of</w:t>
                  </w:r>
                  <w:r>
                    <w:rPr>
                      <w:rFonts w:ascii="Arial"/>
                      <w:b/>
                      <w:spacing w:val="-22"/>
                      <w:w w:val="105"/>
                      <w:sz w:val="21"/>
                    </w:rPr>
                    <w:t> </w:t>
                  </w:r>
                  <w:r>
                    <w:rPr>
                      <w:rFonts w:ascii="Arial"/>
                      <w:b/>
                      <w:w w:val="105"/>
                      <w:sz w:val="21"/>
                    </w:rPr>
                    <w:t>trend</w:t>
                  </w:r>
                  <w:r>
                    <w:rPr>
                      <w:rFonts w:ascii="Arial"/>
                      <w:b/>
                      <w:spacing w:val="-18"/>
                      <w:w w:val="105"/>
                      <w:sz w:val="21"/>
                    </w:rPr>
                    <w:t> </w:t>
                  </w:r>
                  <w:r>
                    <w:rPr>
                      <w:rFonts w:ascii="Arial"/>
                      <w:b/>
                      <w:w w:val="105"/>
                      <w:sz w:val="21"/>
                    </w:rPr>
                    <w:t>uncertainty</w:t>
                  </w:r>
                </w:p>
              </w:txbxContent>
            </v:textbox>
            <w10:wrap type="none"/>
          </v:shape>
        </w:pict>
      </w:r>
      <w:r>
        <w:rPr>
          <w:b/>
          <w:sz w:val="20"/>
        </w:rPr>
        <w:t>trend uncertainty in different inventories. With and without LULUCF (with LULUCF using absolute values of emissions).</w:t>
      </w: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rPr>
          <w:b/>
          <w:sz w:val="22"/>
        </w:rPr>
      </w:pPr>
    </w:p>
    <w:p>
      <w:pPr>
        <w:pStyle w:val="BodyText"/>
        <w:spacing w:before="6"/>
        <w:rPr>
          <w:b/>
          <w:sz w:val="31"/>
        </w:rPr>
      </w:pPr>
    </w:p>
    <w:p>
      <w:pPr>
        <w:tabs>
          <w:tab w:pos="899" w:val="left" w:leader="none"/>
        </w:tabs>
        <w:spacing w:before="0"/>
        <w:ind w:left="179" w:right="0" w:firstLine="0"/>
        <w:jc w:val="left"/>
        <w:rPr>
          <w:sz w:val="16"/>
        </w:rPr>
      </w:pPr>
      <w:r>
        <w:rPr>
          <w:sz w:val="16"/>
        </w:rPr>
        <w:t>Source:</w:t>
        <w:tab/>
        <w:t>Data reported by Parties to the UNFCCC and assumed</w:t>
      </w:r>
      <w:r>
        <w:rPr>
          <w:spacing w:val="-12"/>
          <w:sz w:val="16"/>
        </w:rPr>
        <w:t> </w:t>
      </w:r>
      <w:r>
        <w:rPr>
          <w:sz w:val="16"/>
        </w:rPr>
        <w:t>uncertainties</w:t>
      </w: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9"/>
        </w:rPr>
      </w:pPr>
      <w:r>
        <w:rPr/>
        <w:pict>
          <v:line style="position:absolute;mso-position-horizontal-relative:page;mso-position-vertical-relative:paragraph;z-index:29696;mso-wrap-distance-left:0;mso-wrap-distance-right:0" from="70.960999pt,13.427711pt" to="214.960999pt,13.427711pt" stroked="true" strokeweight=".48pt" strokecolor="#000000">
            <v:stroke dashstyle="solid"/>
            <w10:wrap type="topAndBottom"/>
          </v:line>
        </w:pict>
      </w:r>
    </w:p>
    <w:p>
      <w:pPr>
        <w:spacing w:before="150"/>
        <w:ind w:left="337" w:right="1407" w:hanging="159"/>
        <w:jc w:val="left"/>
        <w:rPr>
          <w:sz w:val="18"/>
        </w:rPr>
      </w:pPr>
      <w:r>
        <w:rPr>
          <w:position w:val="8"/>
          <w:sz w:val="12"/>
        </w:rPr>
        <w:t>16 </w:t>
      </w:r>
      <w:r>
        <w:rPr>
          <w:sz w:val="18"/>
        </w:rPr>
        <w:t>The available data did not make it feasible to include HFCs, PFCs and SF</w:t>
      </w:r>
      <w:r>
        <w:rPr>
          <w:sz w:val="18"/>
          <w:vertAlign w:val="subscript"/>
        </w:rPr>
        <w:t>6</w:t>
      </w:r>
      <w:r>
        <w:rPr>
          <w:sz w:val="18"/>
          <w:vertAlign w:val="baseline"/>
        </w:rPr>
        <w:t> in the analysis. However, these gases should be included, if possible, when the method is applied.</w:t>
      </w:r>
    </w:p>
    <w:p>
      <w:pPr>
        <w:spacing w:after="0"/>
        <w:jc w:val="left"/>
        <w:rPr>
          <w:sz w:val="18"/>
        </w:rPr>
        <w:sectPr>
          <w:type w:val="continuous"/>
          <w:pgSz w:w="11900" w:h="16840"/>
          <w:pgMar w:top="1060" w:bottom="280" w:left="1240" w:right="0"/>
        </w:sectPr>
      </w:pPr>
    </w:p>
    <w:p>
      <w:pPr>
        <w:pStyle w:val="BodyText"/>
      </w:pPr>
      <w:r>
        <w:rPr/>
        <w:pict>
          <v:group style="position:absolute;margin-left:359.681pt;margin-top:247.199997pt;width:54.75pt;height:34pt;mso-position-horizontal-relative:page;mso-position-vertical-relative:page;z-index:-2424064" coordorigin="7194,4944" coordsize="1095,680">
            <v:rect style="position:absolute;left:7193;top:5218;width:1095;height:64" filled="true" fillcolor="#e6e6e6" stroked="false">
              <v:fill type="solid"/>
            </v:rect>
            <v:line style="position:absolute" from="7201,5012" to="7201,5218" stroked="true" strokeweight=".72pt" strokecolor="#e6e6e6">
              <v:stroke dashstyle="solid"/>
            </v:line>
            <v:rect style="position:absolute;left:7193;top:4944;width:1095;height:68" filled="true" fillcolor="#e6e6e6" stroked="false">
              <v:fill type="solid"/>
            </v:rect>
            <v:rect style="position:absolute;left:7208;top:5011;width:1080;height:207" filled="true" fillcolor="#e6e6e6" stroked="false">
              <v:fill type="solid"/>
            </v:rect>
            <v:rect style="position:absolute;left:7193;top:5558;width:1095;height:66" filled="true" fillcolor="#e6e6e6" stroked="false">
              <v:fill type="solid"/>
            </v:rect>
            <v:line style="position:absolute" from="7201,5350" to="7201,5558" stroked="true" strokeweight=".72pt" strokecolor="#e6e6e6">
              <v:stroke dashstyle="solid"/>
            </v:line>
            <v:rect style="position:absolute;left:7193;top:5282;width:1095;height:68" filled="true" fillcolor="#e6e6e6" stroked="false">
              <v:fill type="solid"/>
            </v:rect>
            <v:rect style="position:absolute;left:7208;top:5349;width:1080;height:209" filled="true" fillcolor="#e6e6e6" stroked="false">
              <v:fill type="solid"/>
            </v:rect>
            <w10:wrap type="none"/>
          </v:group>
        </w:pict>
      </w:r>
      <w:r>
        <w:rPr/>
        <w:pict>
          <v:group style="position:absolute;margin-left:468.281006pt;margin-top:281.200012pt;width:51.6pt;height:17pt;mso-position-horizontal-relative:page;mso-position-vertical-relative:page;z-index:-2424040" coordorigin="9366,5624" coordsize="1032,340">
            <v:rect style="position:absolute;left:9365;top:5896;width:1032;height:68" filled="true" fillcolor="#e6e6e6" stroked="false">
              <v:fill type="solid"/>
            </v:rect>
            <v:line style="position:absolute" from="9373,5690" to="9373,5896" stroked="true" strokeweight=".72pt" strokecolor="#e6e6e6">
              <v:stroke dashstyle="solid"/>
            </v:line>
            <v:rect style="position:absolute;left:9365;top:5624;width:1032;height:66" filled="true" fillcolor="#e6e6e6" stroked="false">
              <v:fill type="solid"/>
            </v:rect>
            <v:rect style="position:absolute;left:9380;top:5690;width:1018;height:207" filled="true" fillcolor="#e6e6e6" stroked="false">
              <v:fill type="solid"/>
            </v:rect>
            <w10:wrap type="none"/>
          </v:group>
        </w:pict>
      </w:r>
      <w:r>
        <w:rPr/>
        <w:pict>
          <v:group style="position:absolute;margin-left:359.681pt;margin-top:298.200012pt;width:54.75pt;height:85pt;mso-position-horizontal-relative:page;mso-position-vertical-relative:page;z-index:-2424016" coordorigin="7194,5964" coordsize="1095,1700">
            <v:rect style="position:absolute;left:7193;top:6238;width:1095;height:64" filled="true" fillcolor="#e6e6e6" stroked="false">
              <v:fill type="solid"/>
            </v:rect>
            <v:line style="position:absolute" from="7201,6032" to="7201,6238" stroked="true" strokeweight=".72pt" strokecolor="#e6e6e6">
              <v:stroke dashstyle="solid"/>
            </v:line>
            <v:rect style="position:absolute;left:7193;top:5964;width:1095;height:68" filled="true" fillcolor="#e6e6e6" stroked="false">
              <v:fill type="solid"/>
            </v:rect>
            <v:rect style="position:absolute;left:7208;top:6031;width:1080;height:207" filled="true" fillcolor="#e6e6e6" stroked="false">
              <v:fill type="solid"/>
            </v:rect>
            <v:rect style="position:absolute;left:7193;top:6578;width:1095;height:66" filled="true" fillcolor="#e6e6e6" stroked="false">
              <v:fill type="solid"/>
            </v:rect>
            <v:line style="position:absolute" from="7201,6370" to="7201,6578" stroked="true" strokeweight=".72pt" strokecolor="#e6e6e6">
              <v:stroke dashstyle="solid"/>
            </v:line>
            <v:rect style="position:absolute;left:7193;top:6302;width:1095;height:68" filled="true" fillcolor="#e6e6e6" stroked="false">
              <v:fill type="solid"/>
            </v:rect>
            <v:rect style="position:absolute;left:7208;top:6369;width:1080;height:209" filled="true" fillcolor="#e6e6e6" stroked="false">
              <v:fill type="solid"/>
            </v:rect>
            <v:rect style="position:absolute;left:7193;top:6916;width:1095;height:68" filled="true" fillcolor="#e6e6e6" stroked="false">
              <v:fill type="solid"/>
            </v:rect>
            <v:line style="position:absolute" from="7201,6710" to="7201,6916" stroked="true" strokeweight=".72pt" strokecolor="#e6e6e6">
              <v:stroke dashstyle="solid"/>
            </v:line>
            <v:rect style="position:absolute;left:7193;top:6644;width:1095;height:66" filled="true" fillcolor="#e6e6e6" stroked="false">
              <v:fill type="solid"/>
            </v:rect>
            <v:rect style="position:absolute;left:7208;top:6710;width:1080;height:207" filled="true" fillcolor="#e6e6e6" stroked="false">
              <v:fill type="solid"/>
            </v:rect>
            <v:rect style="position:absolute;left:7193;top:7258;width:1095;height:64" filled="true" fillcolor="#e6e6e6" stroked="false">
              <v:fill type="solid"/>
            </v:rect>
            <v:line style="position:absolute" from="7201,7052" to="7201,7258" stroked="true" strokeweight=".72pt" strokecolor="#e6e6e6">
              <v:stroke dashstyle="solid"/>
            </v:line>
            <v:rect style="position:absolute;left:7193;top:6984;width:1095;height:68" filled="true" fillcolor="#e6e6e6" stroked="false">
              <v:fill type="solid"/>
            </v:rect>
            <v:rect style="position:absolute;left:7208;top:7051;width:1080;height:207" filled="true" fillcolor="#e6e6e6" stroked="false">
              <v:fill type="solid"/>
            </v:rect>
            <v:rect style="position:absolute;left:7193;top:7598;width:1095;height:66" filled="true" fillcolor="#e6e6e6" stroked="false">
              <v:fill type="solid"/>
            </v:rect>
            <v:line style="position:absolute" from="7201,7390" to="7201,7598" stroked="true" strokeweight=".72pt" strokecolor="#e6e6e6">
              <v:stroke dashstyle="solid"/>
            </v:line>
            <v:rect style="position:absolute;left:7193;top:7322;width:1095;height:68" filled="true" fillcolor="#e6e6e6" stroked="false">
              <v:fill type="solid"/>
            </v:rect>
            <v:rect style="position:absolute;left:7208;top:7389;width:1080;height:209" filled="true" fillcolor="#e6e6e6" stroked="false">
              <v:fill type="solid"/>
            </v:rect>
            <w10:wrap type="none"/>
          </v:group>
        </w:pict>
      </w:r>
      <w:r>
        <w:rPr/>
        <w:pict>
          <v:group style="position:absolute;margin-left:468.281006pt;margin-top:383.200012pt;width:51.6pt;height:17pt;mso-position-horizontal-relative:page;mso-position-vertical-relative:page;z-index:-2423992" coordorigin="9366,7664" coordsize="1032,340">
            <v:rect style="position:absolute;left:9365;top:7936;width:1032;height:68" filled="true" fillcolor="#e6e6e6" stroked="false">
              <v:fill type="solid"/>
            </v:rect>
            <v:line style="position:absolute" from="9373,7730" to="9373,7936" stroked="true" strokeweight=".72pt" strokecolor="#e6e6e6">
              <v:stroke dashstyle="solid"/>
            </v:line>
            <v:rect style="position:absolute;left:9365;top:7664;width:1032;height:66" filled="true" fillcolor="#e6e6e6" stroked="false">
              <v:fill type="solid"/>
            </v:rect>
            <v:rect style="position:absolute;left:9380;top:7730;width:1018;height:207" filled="true" fillcolor="#e6e6e6" stroked="false">
              <v:fill type="solid"/>
            </v:rect>
            <w10:wrap type="none"/>
          </v:group>
        </w:pict>
      </w:r>
      <w:r>
        <w:rPr/>
        <w:pict>
          <v:group style="position:absolute;margin-left:359.681pt;margin-top:400.200012pt;width:54.75pt;height:34pt;mso-position-horizontal-relative:page;mso-position-vertical-relative:page;z-index:-2423968" coordorigin="7194,8004" coordsize="1095,680">
            <v:rect style="position:absolute;left:7193;top:8278;width:1095;height:64" filled="true" fillcolor="#e6e6e6" stroked="false">
              <v:fill type="solid"/>
            </v:rect>
            <v:line style="position:absolute" from="7201,8072" to="7201,8278" stroked="true" strokeweight=".72pt" strokecolor="#e6e6e6">
              <v:stroke dashstyle="solid"/>
            </v:line>
            <v:rect style="position:absolute;left:7193;top:8004;width:1095;height:68" filled="true" fillcolor="#e6e6e6" stroked="false">
              <v:fill type="solid"/>
            </v:rect>
            <v:rect style="position:absolute;left:7208;top:8071;width:1080;height:207" filled="true" fillcolor="#e6e6e6" stroked="false">
              <v:fill type="solid"/>
            </v:rect>
            <v:rect style="position:absolute;left:7193;top:8618;width:1095;height:66" filled="true" fillcolor="#e6e6e6" stroked="false">
              <v:fill type="solid"/>
            </v:rect>
            <v:line style="position:absolute" from="7201,8410" to="7201,8618" stroked="true" strokeweight=".72pt" strokecolor="#e6e6e6">
              <v:stroke dashstyle="solid"/>
            </v:line>
            <v:rect style="position:absolute;left:7193;top:8342;width:1095;height:68" filled="true" fillcolor="#e6e6e6" stroked="false">
              <v:fill type="solid"/>
            </v:rect>
            <v:rect style="position:absolute;left:7208;top:8409;width:1080;height:209" filled="true" fillcolor="#e6e6e6" stroked="false">
              <v:fill type="solid"/>
            </v:rect>
            <w10:wrap type="none"/>
          </v:group>
        </w:pict>
      </w:r>
      <w:r>
        <w:rPr/>
        <w:pict>
          <v:group style="position:absolute;margin-left:468.281006pt;margin-top:434.200012pt;width:51.6pt;height:17pt;mso-position-horizontal-relative:page;mso-position-vertical-relative:page;z-index:-2423944" coordorigin="9366,8684" coordsize="1032,340">
            <v:rect style="position:absolute;left:9365;top:8956;width:1032;height:68" filled="true" fillcolor="#e6e6e6" stroked="false">
              <v:fill type="solid"/>
            </v:rect>
            <v:line style="position:absolute" from="9373,8750" to="9373,8956" stroked="true" strokeweight=".72pt" strokecolor="#e6e6e6">
              <v:stroke dashstyle="solid"/>
            </v:line>
            <v:rect style="position:absolute;left:9365;top:8684;width:1032;height:66" filled="true" fillcolor="#e6e6e6" stroked="false">
              <v:fill type="solid"/>
            </v:rect>
            <v:rect style="position:absolute;left:9380;top:8750;width:1018;height:207" filled="true" fillcolor="#e6e6e6" stroked="false">
              <v:fill type="solid"/>
            </v:rect>
            <w10:wrap type="none"/>
          </v:group>
        </w:pict>
      </w:r>
      <w:r>
        <w:rPr/>
        <w:pict>
          <v:group style="position:absolute;margin-left:359.681pt;margin-top:451.200012pt;width:54.75pt;height:51pt;mso-position-horizontal-relative:page;mso-position-vertical-relative:page;z-index:-2423920" coordorigin="7194,9024" coordsize="1095,1020">
            <v:rect style="position:absolute;left:7193;top:9298;width:1095;height:64" filled="true" fillcolor="#e6e6e6" stroked="false">
              <v:fill type="solid"/>
            </v:rect>
            <v:line style="position:absolute" from="7201,9092" to="7201,9298" stroked="true" strokeweight=".72pt" strokecolor="#e6e6e6">
              <v:stroke dashstyle="solid"/>
            </v:line>
            <v:rect style="position:absolute;left:7193;top:9024;width:1095;height:68" filled="true" fillcolor="#e6e6e6" stroked="false">
              <v:fill type="solid"/>
            </v:rect>
            <v:rect style="position:absolute;left:7208;top:9091;width:1080;height:207" filled="true" fillcolor="#e6e6e6" stroked="false">
              <v:fill type="solid"/>
            </v:rect>
            <v:rect style="position:absolute;left:7193;top:9638;width:1095;height:66" filled="true" fillcolor="#e6e6e6" stroked="false">
              <v:fill type="solid"/>
            </v:rect>
            <v:line style="position:absolute" from="7201,9430" to="7201,9638" stroked="true" strokeweight=".72pt" strokecolor="#e6e6e6">
              <v:stroke dashstyle="solid"/>
            </v:line>
            <v:rect style="position:absolute;left:7193;top:9362;width:1095;height:68" filled="true" fillcolor="#e6e6e6" stroked="false">
              <v:fill type="solid"/>
            </v:rect>
            <v:rect style="position:absolute;left:7208;top:9429;width:1080;height:209" filled="true" fillcolor="#e6e6e6" stroked="false">
              <v:fill type="solid"/>
            </v:rect>
            <v:rect style="position:absolute;left:7193;top:9976;width:1095;height:68" filled="true" fillcolor="#e6e6e6" stroked="false">
              <v:fill type="solid"/>
            </v:rect>
            <v:line style="position:absolute" from="7201,9770" to="7201,9976" stroked="true" strokeweight=".72pt" strokecolor="#e6e6e6">
              <v:stroke dashstyle="solid"/>
            </v:line>
            <v:rect style="position:absolute;left:7193;top:9704;width:1095;height:66" filled="true" fillcolor="#e6e6e6" stroked="false">
              <v:fill type="solid"/>
            </v:rect>
            <v:rect style="position:absolute;left:7208;top:9770;width:1080;height:207" filled="true" fillcolor="#e6e6e6" stroked="false">
              <v:fill type="solid"/>
            </v:rect>
            <w10:wrap type="none"/>
          </v:group>
        </w:pict>
      </w:r>
      <w:r>
        <w:rPr/>
        <w:pict>
          <v:group style="position:absolute;margin-left:468.281006pt;margin-top:502.200012pt;width:51.6pt;height:16.9pt;mso-position-horizontal-relative:page;mso-position-vertical-relative:page;z-index:-2423896" coordorigin="9366,10044" coordsize="1032,338">
            <v:rect style="position:absolute;left:9365;top:10318;width:1032;height:64" filled="true" fillcolor="#e6e6e6" stroked="false">
              <v:fill type="solid"/>
            </v:rect>
            <v:line style="position:absolute" from="9373,10112" to="9373,10318" stroked="true" strokeweight=".72pt" strokecolor="#e6e6e6">
              <v:stroke dashstyle="solid"/>
            </v:line>
            <v:rect style="position:absolute;left:9365;top:10044;width:1032;height:68" filled="true" fillcolor="#e6e6e6" stroked="false">
              <v:fill type="solid"/>
            </v:rect>
            <v:rect style="position:absolute;left:9380;top:10111;width:1018;height:207" filled="true" fillcolor="#e6e6e6" stroked="false">
              <v:fill type="solid"/>
            </v:rect>
            <w10:wrap type="none"/>
          </v:group>
        </w:pict>
      </w:r>
      <w:r>
        <w:rPr/>
        <w:pict>
          <v:group style="position:absolute;margin-left:359.681pt;margin-top:519.099976pt;width:54.75pt;height:17.1pt;mso-position-horizontal-relative:page;mso-position-vertical-relative:page;z-index:-2423872" coordorigin="7194,10382" coordsize="1095,342">
            <v:rect style="position:absolute;left:7193;top:10658;width:1095;height:66" filled="true" fillcolor="#e6e6e6" stroked="false">
              <v:fill type="solid"/>
            </v:rect>
            <v:line style="position:absolute" from="7201,10450" to="7201,10658" stroked="true" strokeweight=".72pt" strokecolor="#e6e6e6">
              <v:stroke dashstyle="solid"/>
            </v:line>
            <v:rect style="position:absolute;left:7193;top:10382;width:1095;height:68" filled="true" fillcolor="#e6e6e6" stroked="false">
              <v:fill type="solid"/>
            </v:rect>
            <v:rect style="position:absolute;left:7208;top:10449;width:1080;height:209" filled="true" fillcolor="#e6e6e6" stroked="false">
              <v:fill type="solid"/>
            </v:rect>
            <w10:wrap type="none"/>
          </v:group>
        </w:pict>
      </w:r>
    </w:p>
    <w:p>
      <w:pPr>
        <w:pStyle w:val="BodyText"/>
      </w:pPr>
    </w:p>
    <w:p>
      <w:pPr>
        <w:pStyle w:val="BodyText"/>
        <w:spacing w:before="6"/>
        <w:rPr>
          <w:sz w:val="22"/>
        </w:rPr>
      </w:pPr>
    </w:p>
    <w:p>
      <w:pPr>
        <w:pStyle w:val="Heading2"/>
        <w:tabs>
          <w:tab w:pos="1381" w:val="left" w:leader="none"/>
        </w:tabs>
        <w:spacing w:before="86"/>
        <w:ind w:left="179" w:firstLine="0"/>
      </w:pPr>
      <w:bookmarkStart w:name="_TOC_250021" w:id="34"/>
      <w:r>
        <w:rPr>
          <w:spacing w:val="7"/>
        </w:rPr>
        <w:t>5.4.8</w:t>
        <w:tab/>
      </w:r>
      <w:r>
        <w:rPr>
          <w:spacing w:val="8"/>
        </w:rPr>
        <w:t>Example </w:t>
      </w:r>
      <w:r>
        <w:rPr>
          <w:spacing w:val="6"/>
        </w:rPr>
        <w:t>of </w:t>
      </w:r>
      <w:r>
        <w:rPr>
          <w:spacing w:val="7"/>
        </w:rPr>
        <w:t>Tier </w:t>
      </w:r>
      <w:r>
        <w:rPr/>
        <w:t>1 </w:t>
      </w:r>
      <w:r>
        <w:rPr>
          <w:spacing w:val="5"/>
        </w:rPr>
        <w:t>Key </w:t>
      </w:r>
      <w:r>
        <w:rPr>
          <w:spacing w:val="8"/>
        </w:rPr>
        <w:t>Category</w:t>
      </w:r>
      <w:r>
        <w:rPr>
          <w:spacing w:val="92"/>
        </w:rPr>
        <w:t> </w:t>
      </w:r>
      <w:bookmarkEnd w:id="34"/>
      <w:r>
        <w:rPr>
          <w:spacing w:val="10"/>
        </w:rPr>
        <w:t>Analysis</w:t>
      </w:r>
    </w:p>
    <w:p>
      <w:pPr>
        <w:pStyle w:val="BodyText"/>
        <w:spacing w:before="116"/>
        <w:ind w:left="179" w:right="1407"/>
      </w:pPr>
      <w:r>
        <w:rPr/>
        <w:t>The example illustrates the application of the Tier 1 approach based on the submitted inventory for an Annex I country. Both the level and trend assessment is shown.</w:t>
      </w:r>
    </w:p>
    <w:p>
      <w:pPr>
        <w:pStyle w:val="BodyText"/>
        <w:spacing w:before="10"/>
        <w:rPr>
          <w:sz w:val="10"/>
        </w:rPr>
      </w:pPr>
    </w:p>
    <w:tbl>
      <w:tblPr>
        <w:tblW w:w="0" w:type="auto"/>
        <w:jc w:val="lef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4"/>
        <w:gridCol w:w="746"/>
        <w:gridCol w:w="903"/>
        <w:gridCol w:w="905"/>
        <w:gridCol w:w="904"/>
        <w:gridCol w:w="1109"/>
        <w:gridCol w:w="1061"/>
        <w:gridCol w:w="1093"/>
        <w:gridCol w:w="1014"/>
      </w:tblGrid>
      <w:tr>
        <w:trPr>
          <w:trHeight w:val="556" w:hRule="atLeast"/>
        </w:trPr>
        <w:tc>
          <w:tcPr>
            <w:tcW w:w="8889" w:type="dxa"/>
            <w:gridSpan w:val="9"/>
            <w:tcBorders>
              <w:top w:val="single" w:sz="4" w:space="0" w:color="000000"/>
              <w:left w:val="single" w:sz="4" w:space="0" w:color="000000"/>
              <w:bottom w:val="double" w:sz="1" w:space="0" w:color="000000"/>
              <w:right w:val="single" w:sz="4" w:space="0" w:color="000000"/>
            </w:tcBorders>
          </w:tcPr>
          <w:p>
            <w:pPr>
              <w:pStyle w:val="TableParagraph"/>
              <w:spacing w:line="195" w:lineRule="exact" w:before="83"/>
              <w:ind w:left="2136" w:right="2120"/>
              <w:jc w:val="center"/>
              <w:rPr>
                <w:b/>
                <w:sz w:val="18"/>
              </w:rPr>
            </w:pPr>
            <w:r>
              <w:rPr>
                <w:b/>
                <w:sz w:val="18"/>
              </w:rPr>
              <w:t>T</w:t>
            </w:r>
            <w:r>
              <w:rPr>
                <w:b/>
                <w:sz w:val="14"/>
              </w:rPr>
              <w:t>ABLE  </w:t>
            </w:r>
            <w:r>
              <w:rPr>
                <w:b/>
                <w:sz w:val="18"/>
              </w:rPr>
              <w:t>5.4.7</w:t>
            </w:r>
          </w:p>
          <w:p>
            <w:pPr>
              <w:pStyle w:val="TableParagraph"/>
              <w:spacing w:line="219" w:lineRule="exact"/>
              <w:ind w:left="2137" w:right="2120"/>
              <w:jc w:val="center"/>
              <w:rPr>
                <w:b/>
                <w:sz w:val="12"/>
              </w:rPr>
            </w:pPr>
            <w:r>
              <w:rPr>
                <w:b/>
                <w:sz w:val="18"/>
              </w:rPr>
              <w:t>E</w:t>
            </w:r>
            <w:r>
              <w:rPr>
                <w:b/>
                <w:sz w:val="14"/>
              </w:rPr>
              <w:t>XAMPLE OF A LEVEL ASSESSMENT</w:t>
            </w:r>
            <w:r>
              <w:rPr>
                <w:b/>
                <w:position w:val="8"/>
                <w:sz w:val="12"/>
              </w:rPr>
              <w:t>a</w:t>
            </w:r>
          </w:p>
        </w:tc>
      </w:tr>
      <w:tr>
        <w:trPr>
          <w:trHeight w:val="255" w:hRule="atLeast"/>
        </w:trPr>
        <w:tc>
          <w:tcPr>
            <w:tcW w:w="1154" w:type="dxa"/>
            <w:tcBorders>
              <w:top w:val="double" w:sz="1" w:space="0" w:color="000000"/>
              <w:left w:val="single" w:sz="4" w:space="0" w:color="000000"/>
              <w:bottom w:val="single" w:sz="4" w:space="0" w:color="000000"/>
            </w:tcBorders>
          </w:tcPr>
          <w:p>
            <w:pPr>
              <w:pStyle w:val="TableParagraph"/>
              <w:spacing w:before="23"/>
              <w:ind w:right="9"/>
              <w:jc w:val="center"/>
              <w:rPr>
                <w:b/>
                <w:sz w:val="18"/>
              </w:rPr>
            </w:pPr>
            <w:r>
              <w:rPr>
                <w:b/>
                <w:sz w:val="18"/>
              </w:rPr>
              <w:t>A</w:t>
            </w:r>
          </w:p>
        </w:tc>
        <w:tc>
          <w:tcPr>
            <w:tcW w:w="746" w:type="dxa"/>
            <w:tcBorders>
              <w:top w:val="double" w:sz="1" w:space="0" w:color="000000"/>
              <w:bottom w:val="single" w:sz="4" w:space="0" w:color="000000"/>
              <w:right w:val="single" w:sz="4" w:space="0" w:color="000000"/>
            </w:tcBorders>
          </w:tcPr>
          <w:p>
            <w:pPr>
              <w:pStyle w:val="TableParagraph"/>
              <w:spacing w:before="23"/>
              <w:ind w:right="13"/>
              <w:jc w:val="center"/>
              <w:rPr>
                <w:b/>
                <w:sz w:val="18"/>
              </w:rPr>
            </w:pPr>
            <w:r>
              <w:rPr>
                <w:b/>
                <w:sz w:val="18"/>
              </w:rPr>
              <w:t>B</w:t>
            </w:r>
          </w:p>
        </w:tc>
        <w:tc>
          <w:tcPr>
            <w:tcW w:w="1808" w:type="dxa"/>
            <w:gridSpan w:val="2"/>
            <w:tcBorders>
              <w:top w:val="double" w:sz="1" w:space="0" w:color="000000"/>
              <w:left w:val="single" w:sz="4" w:space="0" w:color="000000"/>
              <w:bottom w:val="single" w:sz="4" w:space="0" w:color="000000"/>
              <w:right w:val="single" w:sz="4" w:space="0" w:color="000000"/>
            </w:tcBorders>
          </w:tcPr>
          <w:p>
            <w:pPr>
              <w:pStyle w:val="TableParagraph"/>
              <w:rPr>
                <w:sz w:val="18"/>
              </w:rPr>
            </w:pPr>
          </w:p>
        </w:tc>
        <w:tc>
          <w:tcPr>
            <w:tcW w:w="904" w:type="dxa"/>
            <w:tcBorders>
              <w:top w:val="double" w:sz="1" w:space="0" w:color="000000"/>
              <w:left w:val="single" w:sz="4" w:space="0" w:color="000000"/>
              <w:bottom w:val="single" w:sz="4" w:space="0" w:color="000000"/>
              <w:right w:val="single" w:sz="4" w:space="0" w:color="000000"/>
            </w:tcBorders>
          </w:tcPr>
          <w:p>
            <w:pPr>
              <w:pStyle w:val="TableParagraph"/>
              <w:spacing w:before="23"/>
              <w:ind w:left="13"/>
              <w:jc w:val="center"/>
              <w:rPr>
                <w:b/>
                <w:sz w:val="18"/>
              </w:rPr>
            </w:pPr>
            <w:r>
              <w:rPr>
                <w:b/>
                <w:sz w:val="18"/>
              </w:rPr>
              <w:t>C</w:t>
            </w:r>
          </w:p>
        </w:tc>
        <w:tc>
          <w:tcPr>
            <w:tcW w:w="1109" w:type="dxa"/>
            <w:tcBorders>
              <w:top w:val="double" w:sz="1" w:space="0" w:color="000000"/>
              <w:left w:val="single" w:sz="4" w:space="0" w:color="000000"/>
              <w:bottom w:val="single" w:sz="4" w:space="0" w:color="000000"/>
            </w:tcBorders>
          </w:tcPr>
          <w:p>
            <w:pPr>
              <w:pStyle w:val="TableParagraph"/>
              <w:spacing w:before="23"/>
              <w:ind w:left="29" w:right="37"/>
              <w:jc w:val="center"/>
              <w:rPr>
                <w:b/>
                <w:sz w:val="18"/>
              </w:rPr>
            </w:pPr>
            <w:r>
              <w:rPr>
                <w:b/>
                <w:sz w:val="18"/>
              </w:rPr>
              <w:t>D’</w:t>
            </w:r>
          </w:p>
        </w:tc>
        <w:tc>
          <w:tcPr>
            <w:tcW w:w="1061" w:type="dxa"/>
            <w:tcBorders>
              <w:top w:val="double" w:sz="1" w:space="0" w:color="000000"/>
              <w:bottom w:val="single" w:sz="4" w:space="0" w:color="000000"/>
              <w:right w:val="single" w:sz="4" w:space="0" w:color="000000"/>
            </w:tcBorders>
          </w:tcPr>
          <w:p>
            <w:pPr>
              <w:pStyle w:val="TableParagraph"/>
              <w:spacing w:before="23"/>
              <w:ind w:left="74" w:right="78"/>
              <w:jc w:val="center"/>
              <w:rPr>
                <w:b/>
                <w:sz w:val="18"/>
              </w:rPr>
            </w:pPr>
            <w:r>
              <w:rPr>
                <w:b/>
                <w:sz w:val="18"/>
              </w:rPr>
              <w:t>E’</w:t>
            </w:r>
          </w:p>
        </w:tc>
        <w:tc>
          <w:tcPr>
            <w:tcW w:w="1093" w:type="dxa"/>
            <w:tcBorders>
              <w:top w:val="double" w:sz="1" w:space="0" w:color="000000"/>
              <w:left w:val="single" w:sz="4" w:space="0" w:color="000000"/>
              <w:bottom w:val="single" w:sz="4" w:space="0" w:color="000000"/>
            </w:tcBorders>
          </w:tcPr>
          <w:p>
            <w:pPr>
              <w:pStyle w:val="TableParagraph"/>
              <w:spacing w:before="23"/>
              <w:ind w:left="11"/>
              <w:jc w:val="center"/>
              <w:rPr>
                <w:b/>
                <w:sz w:val="18"/>
              </w:rPr>
            </w:pPr>
            <w:r>
              <w:rPr>
                <w:b/>
                <w:sz w:val="18"/>
              </w:rPr>
              <w:t>D</w:t>
            </w:r>
          </w:p>
        </w:tc>
        <w:tc>
          <w:tcPr>
            <w:tcW w:w="1014" w:type="dxa"/>
            <w:tcBorders>
              <w:top w:val="double" w:sz="1" w:space="0" w:color="000000"/>
              <w:bottom w:val="single" w:sz="4" w:space="0" w:color="000000"/>
              <w:right w:val="single" w:sz="4" w:space="0" w:color="000000"/>
            </w:tcBorders>
          </w:tcPr>
          <w:p>
            <w:pPr>
              <w:pStyle w:val="TableParagraph"/>
              <w:spacing w:before="23"/>
              <w:ind w:left="16"/>
              <w:jc w:val="center"/>
              <w:rPr>
                <w:b/>
                <w:sz w:val="18"/>
              </w:rPr>
            </w:pPr>
            <w:r>
              <w:rPr>
                <w:b/>
                <w:sz w:val="18"/>
              </w:rPr>
              <w:t>E</w:t>
            </w:r>
          </w:p>
        </w:tc>
      </w:tr>
      <w:tr>
        <w:trPr>
          <w:trHeight w:val="231" w:hRule="atLeast"/>
        </w:trPr>
        <w:tc>
          <w:tcPr>
            <w:tcW w:w="1900" w:type="dxa"/>
            <w:gridSpan w:val="2"/>
            <w:tcBorders>
              <w:top w:val="single" w:sz="4" w:space="0" w:color="000000"/>
              <w:left w:val="single" w:sz="4" w:space="0" w:color="000000"/>
              <w:right w:val="single" w:sz="4" w:space="0" w:color="000000"/>
            </w:tcBorders>
          </w:tcPr>
          <w:p>
            <w:pPr>
              <w:pStyle w:val="TableParagraph"/>
              <w:rPr>
                <w:sz w:val="16"/>
              </w:rPr>
            </w:pPr>
          </w:p>
        </w:tc>
        <w:tc>
          <w:tcPr>
            <w:tcW w:w="903" w:type="dxa"/>
            <w:vMerge w:val="restart"/>
            <w:tcBorders>
              <w:top w:val="single" w:sz="4" w:space="0" w:color="000000"/>
              <w:left w:val="single" w:sz="4" w:space="0" w:color="000000"/>
              <w:bottom w:val="single" w:sz="4" w:space="0" w:color="000000"/>
            </w:tcBorders>
          </w:tcPr>
          <w:p>
            <w:pPr>
              <w:pStyle w:val="TableParagraph"/>
              <w:spacing w:before="26"/>
              <w:ind w:left="84" w:right="72" w:firstLine="3"/>
              <w:jc w:val="center"/>
              <w:rPr>
                <w:b/>
                <w:sz w:val="18"/>
              </w:rPr>
            </w:pPr>
            <w:r>
              <w:rPr>
                <w:b/>
                <w:sz w:val="18"/>
              </w:rPr>
              <w:t>Base or Current Year Estimate non- LULUCF</w:t>
            </w:r>
          </w:p>
        </w:tc>
        <w:tc>
          <w:tcPr>
            <w:tcW w:w="905" w:type="dxa"/>
            <w:vMerge w:val="restart"/>
            <w:tcBorders>
              <w:top w:val="single" w:sz="4" w:space="0" w:color="000000"/>
              <w:bottom w:val="single" w:sz="4" w:space="0" w:color="000000"/>
              <w:right w:val="single" w:sz="4" w:space="0" w:color="000000"/>
            </w:tcBorders>
          </w:tcPr>
          <w:p>
            <w:pPr>
              <w:pStyle w:val="TableParagraph"/>
              <w:spacing w:before="129"/>
              <w:ind w:left="86" w:right="73" w:firstLine="3"/>
              <w:jc w:val="center"/>
              <w:rPr>
                <w:b/>
                <w:sz w:val="18"/>
              </w:rPr>
            </w:pPr>
            <w:r>
              <w:rPr>
                <w:b/>
                <w:sz w:val="18"/>
              </w:rPr>
              <w:t>Base or Current Year Estimate LULUCF</w:t>
            </w:r>
          </w:p>
        </w:tc>
        <w:tc>
          <w:tcPr>
            <w:tcW w:w="904" w:type="dxa"/>
            <w:tcBorders>
              <w:top w:val="single" w:sz="4" w:space="0" w:color="000000"/>
              <w:left w:val="single" w:sz="4" w:space="0" w:color="000000"/>
              <w:right w:val="single" w:sz="4" w:space="0" w:color="000000"/>
            </w:tcBorders>
          </w:tcPr>
          <w:p>
            <w:pPr>
              <w:pStyle w:val="TableParagraph"/>
              <w:spacing w:line="185" w:lineRule="exact" w:before="26"/>
              <w:ind w:left="92" w:right="77"/>
              <w:jc w:val="center"/>
              <w:rPr>
                <w:b/>
                <w:sz w:val="18"/>
              </w:rPr>
            </w:pPr>
            <w:r>
              <w:rPr>
                <w:b/>
                <w:sz w:val="18"/>
              </w:rPr>
              <w:t>Base or</w:t>
            </w:r>
          </w:p>
        </w:tc>
        <w:tc>
          <w:tcPr>
            <w:tcW w:w="1109" w:type="dxa"/>
            <w:vMerge w:val="restart"/>
            <w:tcBorders>
              <w:top w:val="single" w:sz="4" w:space="0" w:color="000000"/>
              <w:left w:val="single" w:sz="4" w:space="0" w:color="000000"/>
              <w:bottom w:val="single" w:sz="4" w:space="0" w:color="000000"/>
            </w:tcBorders>
          </w:tcPr>
          <w:p>
            <w:pPr>
              <w:pStyle w:val="TableParagraph"/>
              <w:spacing w:before="26"/>
              <w:ind w:left="30" w:right="37"/>
              <w:jc w:val="center"/>
              <w:rPr>
                <w:b/>
                <w:sz w:val="18"/>
              </w:rPr>
            </w:pPr>
            <w:r>
              <w:rPr>
                <w:b/>
                <w:sz w:val="18"/>
              </w:rPr>
              <w:t>Level Assessment without LULUCF,</w:t>
            </w:r>
          </w:p>
          <w:p>
            <w:pPr>
              <w:pStyle w:val="TableParagraph"/>
              <w:spacing w:line="242" w:lineRule="auto"/>
              <w:ind w:left="30" w:right="37"/>
              <w:jc w:val="center"/>
              <w:rPr>
                <w:b/>
                <w:sz w:val="18"/>
              </w:rPr>
            </w:pPr>
            <w:r>
              <w:rPr>
                <w:b/>
                <w:sz w:val="18"/>
              </w:rPr>
              <w:t>from column C</w:t>
            </w:r>
          </w:p>
        </w:tc>
        <w:tc>
          <w:tcPr>
            <w:tcW w:w="1061" w:type="dxa"/>
            <w:vMerge w:val="restart"/>
            <w:tcBorders>
              <w:top w:val="single" w:sz="4" w:space="0" w:color="000000"/>
              <w:bottom w:val="single" w:sz="4" w:space="0" w:color="000000"/>
              <w:right w:val="single" w:sz="4" w:space="0" w:color="000000"/>
            </w:tcBorders>
          </w:tcPr>
          <w:p>
            <w:pPr>
              <w:pStyle w:val="TableParagraph"/>
              <w:spacing w:before="2"/>
              <w:rPr>
                <w:sz w:val="29"/>
              </w:rPr>
            </w:pPr>
          </w:p>
          <w:p>
            <w:pPr>
              <w:pStyle w:val="TableParagraph"/>
              <w:ind w:left="77" w:right="78"/>
              <w:jc w:val="center"/>
              <w:rPr>
                <w:b/>
                <w:sz w:val="18"/>
              </w:rPr>
            </w:pPr>
            <w:r>
              <w:rPr>
                <w:b/>
                <w:sz w:val="18"/>
              </w:rPr>
              <w:t>Cumulative Total of Column D’</w:t>
            </w:r>
          </w:p>
        </w:tc>
        <w:tc>
          <w:tcPr>
            <w:tcW w:w="1093" w:type="dxa"/>
            <w:vMerge w:val="restart"/>
            <w:tcBorders>
              <w:top w:val="single" w:sz="4" w:space="0" w:color="000000"/>
              <w:left w:val="single" w:sz="4" w:space="0" w:color="000000"/>
              <w:bottom w:val="single" w:sz="4" w:space="0" w:color="000000"/>
            </w:tcBorders>
          </w:tcPr>
          <w:p>
            <w:pPr>
              <w:pStyle w:val="TableParagraph"/>
              <w:spacing w:before="26"/>
              <w:ind w:left="32" w:right="19"/>
              <w:jc w:val="center"/>
              <w:rPr>
                <w:b/>
                <w:sz w:val="18"/>
              </w:rPr>
            </w:pPr>
            <w:r>
              <w:rPr>
                <w:b/>
                <w:sz w:val="18"/>
              </w:rPr>
              <w:t>Level Assessment with LULUCF,</w:t>
            </w:r>
          </w:p>
          <w:p>
            <w:pPr>
              <w:pStyle w:val="TableParagraph"/>
              <w:spacing w:line="242" w:lineRule="auto"/>
              <w:ind w:left="32" w:right="19"/>
              <w:jc w:val="center"/>
              <w:rPr>
                <w:b/>
                <w:sz w:val="18"/>
              </w:rPr>
            </w:pPr>
            <w:r>
              <w:rPr>
                <w:b/>
                <w:sz w:val="18"/>
              </w:rPr>
              <w:t>from column C</w:t>
            </w:r>
          </w:p>
        </w:tc>
        <w:tc>
          <w:tcPr>
            <w:tcW w:w="1014" w:type="dxa"/>
            <w:vMerge w:val="restart"/>
            <w:tcBorders>
              <w:top w:val="single" w:sz="4" w:space="0" w:color="000000"/>
              <w:bottom w:val="single" w:sz="4" w:space="0" w:color="000000"/>
              <w:right w:val="single" w:sz="4" w:space="0" w:color="000000"/>
            </w:tcBorders>
          </w:tcPr>
          <w:p>
            <w:pPr>
              <w:pStyle w:val="TableParagraph"/>
              <w:spacing w:before="26"/>
              <w:ind w:left="43" w:right="23"/>
              <w:jc w:val="center"/>
              <w:rPr>
                <w:b/>
                <w:sz w:val="18"/>
              </w:rPr>
            </w:pPr>
            <w:r>
              <w:rPr>
                <w:b/>
                <w:sz w:val="18"/>
              </w:rPr>
              <w:t>Cumulative Total of Column D (additional LULUCF</w:t>
            </w:r>
          </w:p>
          <w:p>
            <w:pPr>
              <w:pStyle w:val="TableParagraph"/>
              <w:spacing w:line="206" w:lineRule="exact"/>
              <w:ind w:left="43" w:right="23"/>
              <w:jc w:val="center"/>
              <w:rPr>
                <w:b/>
                <w:sz w:val="18"/>
              </w:rPr>
            </w:pPr>
            <w:r>
              <w:rPr>
                <w:b/>
                <w:sz w:val="18"/>
              </w:rPr>
              <w:t>sources)</w:t>
            </w:r>
          </w:p>
        </w:tc>
      </w:tr>
      <w:tr>
        <w:trPr>
          <w:trHeight w:val="247" w:hRule="atLeast"/>
        </w:trPr>
        <w:tc>
          <w:tcPr>
            <w:tcW w:w="1154" w:type="dxa"/>
            <w:tcBorders>
              <w:left w:val="single" w:sz="4" w:space="0" w:color="000000"/>
            </w:tcBorders>
          </w:tcPr>
          <w:p>
            <w:pPr>
              <w:pStyle w:val="TableParagraph"/>
              <w:spacing w:line="134" w:lineRule="exact" w:before="94"/>
              <w:ind w:left="62"/>
              <w:rPr>
                <w:b/>
                <w:sz w:val="18"/>
              </w:rPr>
            </w:pPr>
            <w:r>
              <w:rPr>
                <w:b/>
                <w:sz w:val="18"/>
              </w:rPr>
              <w:t>IPCC Source</w:t>
            </w:r>
          </w:p>
        </w:tc>
        <w:tc>
          <w:tcPr>
            <w:tcW w:w="746" w:type="dxa"/>
            <w:tcBorders>
              <w:right w:val="single" w:sz="4" w:space="0" w:color="000000"/>
            </w:tcBorders>
          </w:tcPr>
          <w:p>
            <w:pPr>
              <w:pStyle w:val="TableParagraph"/>
              <w:spacing w:line="198" w:lineRule="exact"/>
              <w:ind w:right="135"/>
              <w:jc w:val="right"/>
              <w:rPr>
                <w:b/>
                <w:sz w:val="18"/>
              </w:rPr>
            </w:pPr>
            <w:r>
              <w:rPr>
                <w:b/>
                <w:sz w:val="18"/>
              </w:rPr>
              <w:t>Direct</w:t>
            </w:r>
          </w:p>
        </w:tc>
        <w:tc>
          <w:tcPr>
            <w:tcW w:w="903" w:type="dxa"/>
            <w:vMerge/>
            <w:tcBorders>
              <w:top w:val="nil"/>
              <w:left w:val="single" w:sz="4" w:space="0" w:color="000000"/>
              <w:bottom w:val="single" w:sz="4" w:space="0" w:color="000000"/>
            </w:tcBorders>
          </w:tcPr>
          <w:p>
            <w:pPr>
              <w:rPr>
                <w:sz w:val="2"/>
                <w:szCs w:val="2"/>
              </w:rPr>
            </w:pPr>
          </w:p>
        </w:tc>
        <w:tc>
          <w:tcPr>
            <w:tcW w:w="905" w:type="dxa"/>
            <w:vMerge/>
            <w:tcBorders>
              <w:top w:val="nil"/>
              <w:bottom w:val="single" w:sz="4" w:space="0" w:color="000000"/>
              <w:right w:val="single" w:sz="4" w:space="0" w:color="000000"/>
            </w:tcBorders>
          </w:tcPr>
          <w:p>
            <w:pPr>
              <w:rPr>
                <w:sz w:val="2"/>
                <w:szCs w:val="2"/>
              </w:rPr>
            </w:pPr>
          </w:p>
        </w:tc>
        <w:tc>
          <w:tcPr>
            <w:tcW w:w="904" w:type="dxa"/>
            <w:vMerge w:val="restart"/>
            <w:tcBorders>
              <w:left w:val="single" w:sz="4" w:space="0" w:color="000000"/>
              <w:right w:val="single" w:sz="4" w:space="0" w:color="000000"/>
            </w:tcBorders>
          </w:tcPr>
          <w:p>
            <w:pPr>
              <w:pStyle w:val="TableParagraph"/>
              <w:ind w:left="114" w:right="100" w:firstLine="2"/>
              <w:jc w:val="center"/>
              <w:rPr>
                <w:b/>
                <w:sz w:val="18"/>
              </w:rPr>
            </w:pPr>
            <w:r>
              <w:rPr>
                <w:b/>
                <w:sz w:val="18"/>
              </w:rPr>
              <w:t>Current Year </w:t>
            </w:r>
            <w:r>
              <w:rPr>
                <w:b/>
                <w:spacing w:val="-1"/>
                <w:sz w:val="18"/>
              </w:rPr>
              <w:t>Estimate</w:t>
            </w:r>
          </w:p>
          <w:p>
            <w:pPr>
              <w:pStyle w:val="TableParagraph"/>
              <w:spacing w:line="185" w:lineRule="exact"/>
              <w:ind w:left="92" w:right="80"/>
              <w:jc w:val="center"/>
              <w:rPr>
                <w:b/>
                <w:sz w:val="18"/>
              </w:rPr>
            </w:pPr>
            <w:r>
              <w:rPr>
                <w:b/>
                <w:sz w:val="18"/>
              </w:rPr>
              <w:t>Absolute</w:t>
            </w:r>
          </w:p>
        </w:tc>
        <w:tc>
          <w:tcPr>
            <w:tcW w:w="1109" w:type="dxa"/>
            <w:vMerge/>
            <w:tcBorders>
              <w:top w:val="nil"/>
              <w:left w:val="single" w:sz="4" w:space="0" w:color="000000"/>
              <w:bottom w:val="single" w:sz="4" w:space="0" w:color="000000"/>
            </w:tcBorders>
          </w:tcPr>
          <w:p>
            <w:pPr>
              <w:rPr>
                <w:sz w:val="2"/>
                <w:szCs w:val="2"/>
              </w:rPr>
            </w:pPr>
          </w:p>
        </w:tc>
        <w:tc>
          <w:tcPr>
            <w:tcW w:w="1061" w:type="dxa"/>
            <w:vMerge/>
            <w:tcBorders>
              <w:top w:val="nil"/>
              <w:bottom w:val="single" w:sz="4" w:space="0" w:color="000000"/>
              <w:right w:val="single" w:sz="4" w:space="0" w:color="000000"/>
            </w:tcBorders>
          </w:tcPr>
          <w:p>
            <w:pPr>
              <w:rPr>
                <w:sz w:val="2"/>
                <w:szCs w:val="2"/>
              </w:rPr>
            </w:pPr>
          </w:p>
        </w:tc>
        <w:tc>
          <w:tcPr>
            <w:tcW w:w="1093" w:type="dxa"/>
            <w:vMerge/>
            <w:tcBorders>
              <w:top w:val="nil"/>
              <w:left w:val="single" w:sz="4" w:space="0" w:color="000000"/>
              <w:bottom w:val="single" w:sz="4" w:space="0" w:color="000000"/>
            </w:tcBorders>
          </w:tcPr>
          <w:p>
            <w:pPr>
              <w:rPr>
                <w:sz w:val="2"/>
                <w:szCs w:val="2"/>
              </w:rPr>
            </w:pPr>
          </w:p>
        </w:tc>
        <w:tc>
          <w:tcPr>
            <w:tcW w:w="1014" w:type="dxa"/>
            <w:vMerge/>
            <w:tcBorders>
              <w:top w:val="nil"/>
              <w:bottom w:val="single" w:sz="4" w:space="0" w:color="000000"/>
              <w:right w:val="single" w:sz="4" w:space="0" w:color="000000"/>
            </w:tcBorders>
          </w:tcPr>
          <w:p>
            <w:pPr>
              <w:rPr>
                <w:sz w:val="2"/>
                <w:szCs w:val="2"/>
              </w:rPr>
            </w:pPr>
          </w:p>
        </w:tc>
      </w:tr>
      <w:tr>
        <w:trPr>
          <w:trHeight w:val="196" w:hRule="atLeast"/>
        </w:trPr>
        <w:tc>
          <w:tcPr>
            <w:tcW w:w="1154" w:type="dxa"/>
            <w:tcBorders>
              <w:left w:val="single" w:sz="4" w:space="0" w:color="000000"/>
            </w:tcBorders>
          </w:tcPr>
          <w:p>
            <w:pPr>
              <w:pStyle w:val="TableParagraph"/>
              <w:spacing w:line="134" w:lineRule="exact" w:before="42"/>
              <w:ind w:left="184"/>
              <w:rPr>
                <w:b/>
                <w:sz w:val="18"/>
              </w:rPr>
            </w:pPr>
            <w:r>
              <w:rPr>
                <w:b/>
                <w:sz w:val="18"/>
              </w:rPr>
              <w:t>categories</w:t>
            </w:r>
          </w:p>
        </w:tc>
        <w:tc>
          <w:tcPr>
            <w:tcW w:w="746" w:type="dxa"/>
            <w:tcBorders>
              <w:right w:val="single" w:sz="4" w:space="0" w:color="000000"/>
            </w:tcBorders>
          </w:tcPr>
          <w:p>
            <w:pPr>
              <w:pStyle w:val="TableParagraph"/>
              <w:spacing w:line="146" w:lineRule="exact"/>
              <w:ind w:right="116"/>
              <w:jc w:val="right"/>
              <w:rPr>
                <w:b/>
                <w:sz w:val="18"/>
              </w:rPr>
            </w:pPr>
            <w:r>
              <w:rPr>
                <w:b/>
                <w:sz w:val="18"/>
              </w:rPr>
              <w:t>Green-</w:t>
            </w:r>
          </w:p>
        </w:tc>
        <w:tc>
          <w:tcPr>
            <w:tcW w:w="903" w:type="dxa"/>
            <w:vMerge/>
            <w:tcBorders>
              <w:top w:val="nil"/>
              <w:left w:val="single" w:sz="4" w:space="0" w:color="000000"/>
              <w:bottom w:val="single" w:sz="4" w:space="0" w:color="000000"/>
            </w:tcBorders>
          </w:tcPr>
          <w:p>
            <w:pPr>
              <w:rPr>
                <w:sz w:val="2"/>
                <w:szCs w:val="2"/>
              </w:rPr>
            </w:pPr>
          </w:p>
        </w:tc>
        <w:tc>
          <w:tcPr>
            <w:tcW w:w="905" w:type="dxa"/>
            <w:vMerge/>
            <w:tcBorders>
              <w:top w:val="nil"/>
              <w:bottom w:val="single" w:sz="4" w:space="0" w:color="000000"/>
              <w:right w:val="single" w:sz="4" w:space="0" w:color="000000"/>
            </w:tcBorders>
          </w:tcPr>
          <w:p>
            <w:pPr>
              <w:rPr>
                <w:sz w:val="2"/>
                <w:szCs w:val="2"/>
              </w:rPr>
            </w:pPr>
          </w:p>
        </w:tc>
        <w:tc>
          <w:tcPr>
            <w:tcW w:w="904" w:type="dxa"/>
            <w:vMerge/>
            <w:tcBorders>
              <w:top w:val="nil"/>
              <w:left w:val="single" w:sz="4" w:space="0" w:color="000000"/>
              <w:right w:val="single" w:sz="4" w:space="0" w:color="000000"/>
            </w:tcBorders>
          </w:tcPr>
          <w:p>
            <w:pPr>
              <w:rPr>
                <w:sz w:val="2"/>
                <w:szCs w:val="2"/>
              </w:rPr>
            </w:pPr>
          </w:p>
        </w:tc>
        <w:tc>
          <w:tcPr>
            <w:tcW w:w="1109" w:type="dxa"/>
            <w:vMerge/>
            <w:tcBorders>
              <w:top w:val="nil"/>
              <w:left w:val="single" w:sz="4" w:space="0" w:color="000000"/>
              <w:bottom w:val="single" w:sz="4" w:space="0" w:color="000000"/>
            </w:tcBorders>
          </w:tcPr>
          <w:p>
            <w:pPr>
              <w:rPr>
                <w:sz w:val="2"/>
                <w:szCs w:val="2"/>
              </w:rPr>
            </w:pPr>
          </w:p>
        </w:tc>
        <w:tc>
          <w:tcPr>
            <w:tcW w:w="1061" w:type="dxa"/>
            <w:vMerge/>
            <w:tcBorders>
              <w:top w:val="nil"/>
              <w:bottom w:val="single" w:sz="4" w:space="0" w:color="000000"/>
              <w:right w:val="single" w:sz="4" w:space="0" w:color="000000"/>
            </w:tcBorders>
          </w:tcPr>
          <w:p>
            <w:pPr>
              <w:rPr>
                <w:sz w:val="2"/>
                <w:szCs w:val="2"/>
              </w:rPr>
            </w:pPr>
          </w:p>
        </w:tc>
        <w:tc>
          <w:tcPr>
            <w:tcW w:w="1093" w:type="dxa"/>
            <w:vMerge/>
            <w:tcBorders>
              <w:top w:val="nil"/>
              <w:left w:val="single" w:sz="4" w:space="0" w:color="000000"/>
              <w:bottom w:val="single" w:sz="4" w:space="0" w:color="000000"/>
            </w:tcBorders>
          </w:tcPr>
          <w:p>
            <w:pPr>
              <w:rPr>
                <w:sz w:val="2"/>
                <w:szCs w:val="2"/>
              </w:rPr>
            </w:pPr>
          </w:p>
        </w:tc>
        <w:tc>
          <w:tcPr>
            <w:tcW w:w="1014" w:type="dxa"/>
            <w:vMerge/>
            <w:tcBorders>
              <w:top w:val="nil"/>
              <w:bottom w:val="single" w:sz="4" w:space="0" w:color="000000"/>
              <w:right w:val="single" w:sz="4" w:space="0" w:color="000000"/>
            </w:tcBorders>
          </w:tcPr>
          <w:p>
            <w:pPr>
              <w:rPr>
                <w:sz w:val="2"/>
                <w:szCs w:val="2"/>
              </w:rPr>
            </w:pPr>
          </w:p>
        </w:tc>
      </w:tr>
      <w:tr>
        <w:trPr>
          <w:trHeight w:val="196" w:hRule="atLeast"/>
        </w:trPr>
        <w:tc>
          <w:tcPr>
            <w:tcW w:w="1154" w:type="dxa"/>
            <w:tcBorders>
              <w:left w:val="single" w:sz="4" w:space="0" w:color="000000"/>
            </w:tcBorders>
          </w:tcPr>
          <w:p>
            <w:pPr>
              <w:pStyle w:val="TableParagraph"/>
              <w:spacing w:line="134" w:lineRule="exact" w:before="42"/>
              <w:ind w:left="83"/>
              <w:rPr>
                <w:b/>
                <w:sz w:val="18"/>
              </w:rPr>
            </w:pPr>
            <w:r>
              <w:rPr>
                <w:b/>
                <w:sz w:val="18"/>
              </w:rPr>
              <w:t>(IPCC 1996)</w:t>
            </w:r>
          </w:p>
        </w:tc>
        <w:tc>
          <w:tcPr>
            <w:tcW w:w="746" w:type="dxa"/>
            <w:tcBorders>
              <w:right w:val="single" w:sz="4" w:space="0" w:color="000000"/>
            </w:tcBorders>
          </w:tcPr>
          <w:p>
            <w:pPr>
              <w:pStyle w:val="TableParagraph"/>
              <w:spacing w:line="146" w:lineRule="exact"/>
              <w:ind w:right="154"/>
              <w:jc w:val="right"/>
              <w:rPr>
                <w:b/>
                <w:sz w:val="18"/>
              </w:rPr>
            </w:pPr>
            <w:r>
              <w:rPr>
                <w:b/>
                <w:sz w:val="18"/>
              </w:rPr>
              <w:t>house</w:t>
            </w:r>
          </w:p>
        </w:tc>
        <w:tc>
          <w:tcPr>
            <w:tcW w:w="903" w:type="dxa"/>
            <w:vMerge/>
            <w:tcBorders>
              <w:top w:val="nil"/>
              <w:left w:val="single" w:sz="4" w:space="0" w:color="000000"/>
              <w:bottom w:val="single" w:sz="4" w:space="0" w:color="000000"/>
            </w:tcBorders>
          </w:tcPr>
          <w:p>
            <w:pPr>
              <w:rPr>
                <w:sz w:val="2"/>
                <w:szCs w:val="2"/>
              </w:rPr>
            </w:pPr>
          </w:p>
        </w:tc>
        <w:tc>
          <w:tcPr>
            <w:tcW w:w="905" w:type="dxa"/>
            <w:vMerge/>
            <w:tcBorders>
              <w:top w:val="nil"/>
              <w:bottom w:val="single" w:sz="4" w:space="0" w:color="000000"/>
              <w:right w:val="single" w:sz="4" w:space="0" w:color="000000"/>
            </w:tcBorders>
          </w:tcPr>
          <w:p>
            <w:pPr>
              <w:rPr>
                <w:sz w:val="2"/>
                <w:szCs w:val="2"/>
              </w:rPr>
            </w:pPr>
          </w:p>
        </w:tc>
        <w:tc>
          <w:tcPr>
            <w:tcW w:w="904" w:type="dxa"/>
            <w:vMerge/>
            <w:tcBorders>
              <w:top w:val="nil"/>
              <w:left w:val="single" w:sz="4" w:space="0" w:color="000000"/>
              <w:right w:val="single" w:sz="4" w:space="0" w:color="000000"/>
            </w:tcBorders>
          </w:tcPr>
          <w:p>
            <w:pPr>
              <w:rPr>
                <w:sz w:val="2"/>
                <w:szCs w:val="2"/>
              </w:rPr>
            </w:pPr>
          </w:p>
        </w:tc>
        <w:tc>
          <w:tcPr>
            <w:tcW w:w="1109" w:type="dxa"/>
            <w:vMerge/>
            <w:tcBorders>
              <w:top w:val="nil"/>
              <w:left w:val="single" w:sz="4" w:space="0" w:color="000000"/>
              <w:bottom w:val="single" w:sz="4" w:space="0" w:color="000000"/>
            </w:tcBorders>
          </w:tcPr>
          <w:p>
            <w:pPr>
              <w:rPr>
                <w:sz w:val="2"/>
                <w:szCs w:val="2"/>
              </w:rPr>
            </w:pPr>
          </w:p>
        </w:tc>
        <w:tc>
          <w:tcPr>
            <w:tcW w:w="1061" w:type="dxa"/>
            <w:vMerge/>
            <w:tcBorders>
              <w:top w:val="nil"/>
              <w:bottom w:val="single" w:sz="4" w:space="0" w:color="000000"/>
              <w:right w:val="single" w:sz="4" w:space="0" w:color="000000"/>
            </w:tcBorders>
          </w:tcPr>
          <w:p>
            <w:pPr>
              <w:rPr>
                <w:sz w:val="2"/>
                <w:szCs w:val="2"/>
              </w:rPr>
            </w:pPr>
          </w:p>
        </w:tc>
        <w:tc>
          <w:tcPr>
            <w:tcW w:w="1093" w:type="dxa"/>
            <w:vMerge/>
            <w:tcBorders>
              <w:top w:val="nil"/>
              <w:left w:val="single" w:sz="4" w:space="0" w:color="000000"/>
              <w:bottom w:val="single" w:sz="4" w:space="0" w:color="000000"/>
            </w:tcBorders>
          </w:tcPr>
          <w:p>
            <w:pPr>
              <w:rPr>
                <w:sz w:val="2"/>
                <w:szCs w:val="2"/>
              </w:rPr>
            </w:pPr>
          </w:p>
        </w:tc>
        <w:tc>
          <w:tcPr>
            <w:tcW w:w="1014" w:type="dxa"/>
            <w:vMerge/>
            <w:tcBorders>
              <w:top w:val="nil"/>
              <w:bottom w:val="single" w:sz="4" w:space="0" w:color="000000"/>
              <w:right w:val="single" w:sz="4" w:space="0" w:color="000000"/>
            </w:tcBorders>
          </w:tcPr>
          <w:p>
            <w:pPr>
              <w:rPr>
                <w:sz w:val="2"/>
                <w:szCs w:val="2"/>
              </w:rPr>
            </w:pPr>
          </w:p>
        </w:tc>
      </w:tr>
      <w:tr>
        <w:trPr>
          <w:trHeight w:val="146" w:hRule="atLeast"/>
        </w:trPr>
        <w:tc>
          <w:tcPr>
            <w:tcW w:w="1154" w:type="dxa"/>
            <w:tcBorders>
              <w:left w:val="single" w:sz="4" w:space="0" w:color="000000"/>
            </w:tcBorders>
          </w:tcPr>
          <w:p>
            <w:pPr>
              <w:pStyle w:val="TableParagraph"/>
              <w:rPr>
                <w:sz w:val="8"/>
              </w:rPr>
            </w:pPr>
          </w:p>
        </w:tc>
        <w:tc>
          <w:tcPr>
            <w:tcW w:w="746" w:type="dxa"/>
            <w:tcBorders>
              <w:right w:val="single" w:sz="4" w:space="0" w:color="000000"/>
            </w:tcBorders>
          </w:tcPr>
          <w:p>
            <w:pPr>
              <w:pStyle w:val="TableParagraph"/>
              <w:spacing w:line="126" w:lineRule="exact"/>
              <w:ind w:right="149"/>
              <w:jc w:val="right"/>
              <w:rPr>
                <w:b/>
                <w:sz w:val="18"/>
              </w:rPr>
            </w:pPr>
            <w:r>
              <w:rPr>
                <w:b/>
                <w:sz w:val="18"/>
              </w:rPr>
              <w:t>Gases</w:t>
            </w:r>
          </w:p>
        </w:tc>
        <w:tc>
          <w:tcPr>
            <w:tcW w:w="903" w:type="dxa"/>
            <w:vMerge/>
            <w:tcBorders>
              <w:top w:val="nil"/>
              <w:left w:val="single" w:sz="4" w:space="0" w:color="000000"/>
              <w:bottom w:val="single" w:sz="4" w:space="0" w:color="000000"/>
            </w:tcBorders>
          </w:tcPr>
          <w:p>
            <w:pPr>
              <w:rPr>
                <w:sz w:val="2"/>
                <w:szCs w:val="2"/>
              </w:rPr>
            </w:pPr>
          </w:p>
        </w:tc>
        <w:tc>
          <w:tcPr>
            <w:tcW w:w="905" w:type="dxa"/>
            <w:vMerge/>
            <w:tcBorders>
              <w:top w:val="nil"/>
              <w:bottom w:val="single" w:sz="4" w:space="0" w:color="000000"/>
              <w:right w:val="single" w:sz="4" w:space="0" w:color="000000"/>
            </w:tcBorders>
          </w:tcPr>
          <w:p>
            <w:pPr>
              <w:rPr>
                <w:sz w:val="2"/>
                <w:szCs w:val="2"/>
              </w:rPr>
            </w:pPr>
          </w:p>
        </w:tc>
        <w:tc>
          <w:tcPr>
            <w:tcW w:w="904" w:type="dxa"/>
            <w:vMerge/>
            <w:tcBorders>
              <w:top w:val="nil"/>
              <w:left w:val="single" w:sz="4" w:space="0" w:color="000000"/>
              <w:right w:val="single" w:sz="4" w:space="0" w:color="000000"/>
            </w:tcBorders>
          </w:tcPr>
          <w:p>
            <w:pPr>
              <w:rPr>
                <w:sz w:val="2"/>
                <w:szCs w:val="2"/>
              </w:rPr>
            </w:pPr>
          </w:p>
        </w:tc>
        <w:tc>
          <w:tcPr>
            <w:tcW w:w="1109" w:type="dxa"/>
            <w:vMerge/>
            <w:tcBorders>
              <w:top w:val="nil"/>
              <w:left w:val="single" w:sz="4" w:space="0" w:color="000000"/>
              <w:bottom w:val="single" w:sz="4" w:space="0" w:color="000000"/>
            </w:tcBorders>
          </w:tcPr>
          <w:p>
            <w:pPr>
              <w:rPr>
                <w:sz w:val="2"/>
                <w:szCs w:val="2"/>
              </w:rPr>
            </w:pPr>
          </w:p>
        </w:tc>
        <w:tc>
          <w:tcPr>
            <w:tcW w:w="1061" w:type="dxa"/>
            <w:vMerge/>
            <w:tcBorders>
              <w:top w:val="nil"/>
              <w:bottom w:val="single" w:sz="4" w:space="0" w:color="000000"/>
              <w:right w:val="single" w:sz="4" w:space="0" w:color="000000"/>
            </w:tcBorders>
          </w:tcPr>
          <w:p>
            <w:pPr>
              <w:rPr>
                <w:sz w:val="2"/>
                <w:szCs w:val="2"/>
              </w:rPr>
            </w:pPr>
          </w:p>
        </w:tc>
        <w:tc>
          <w:tcPr>
            <w:tcW w:w="1093" w:type="dxa"/>
            <w:vMerge/>
            <w:tcBorders>
              <w:top w:val="nil"/>
              <w:left w:val="single" w:sz="4" w:space="0" w:color="000000"/>
              <w:bottom w:val="single" w:sz="4" w:space="0" w:color="000000"/>
            </w:tcBorders>
          </w:tcPr>
          <w:p>
            <w:pPr>
              <w:rPr>
                <w:sz w:val="2"/>
                <w:szCs w:val="2"/>
              </w:rPr>
            </w:pPr>
          </w:p>
        </w:tc>
        <w:tc>
          <w:tcPr>
            <w:tcW w:w="1014" w:type="dxa"/>
            <w:vMerge/>
            <w:tcBorders>
              <w:top w:val="nil"/>
              <w:bottom w:val="single" w:sz="4" w:space="0" w:color="000000"/>
              <w:right w:val="single" w:sz="4" w:space="0" w:color="000000"/>
            </w:tcBorders>
          </w:tcPr>
          <w:p>
            <w:pPr>
              <w:rPr>
                <w:sz w:val="2"/>
                <w:szCs w:val="2"/>
              </w:rPr>
            </w:pPr>
          </w:p>
        </w:tc>
      </w:tr>
      <w:tr>
        <w:trPr>
          <w:trHeight w:val="224" w:hRule="atLeast"/>
        </w:trPr>
        <w:tc>
          <w:tcPr>
            <w:tcW w:w="1900" w:type="dxa"/>
            <w:gridSpan w:val="2"/>
            <w:tcBorders>
              <w:left w:val="single" w:sz="4" w:space="0" w:color="000000"/>
              <w:bottom w:val="single" w:sz="4" w:space="0" w:color="000000"/>
              <w:right w:val="single" w:sz="4" w:space="0" w:color="000000"/>
            </w:tcBorders>
          </w:tcPr>
          <w:p>
            <w:pPr>
              <w:pStyle w:val="TableParagraph"/>
              <w:rPr>
                <w:sz w:val="16"/>
              </w:rPr>
            </w:pPr>
          </w:p>
        </w:tc>
        <w:tc>
          <w:tcPr>
            <w:tcW w:w="903" w:type="dxa"/>
            <w:vMerge/>
            <w:tcBorders>
              <w:top w:val="nil"/>
              <w:left w:val="single" w:sz="4" w:space="0" w:color="000000"/>
              <w:bottom w:val="single" w:sz="4" w:space="0" w:color="000000"/>
            </w:tcBorders>
          </w:tcPr>
          <w:p>
            <w:pPr>
              <w:rPr>
                <w:sz w:val="2"/>
                <w:szCs w:val="2"/>
              </w:rPr>
            </w:pPr>
          </w:p>
        </w:tc>
        <w:tc>
          <w:tcPr>
            <w:tcW w:w="905" w:type="dxa"/>
            <w:vMerge/>
            <w:tcBorders>
              <w:top w:val="nil"/>
              <w:bottom w:val="single" w:sz="4" w:space="0" w:color="000000"/>
              <w:right w:val="single" w:sz="4" w:space="0" w:color="000000"/>
            </w:tcBorders>
          </w:tcPr>
          <w:p>
            <w:pPr>
              <w:rPr>
                <w:sz w:val="2"/>
                <w:szCs w:val="2"/>
              </w:rPr>
            </w:pPr>
          </w:p>
        </w:tc>
        <w:tc>
          <w:tcPr>
            <w:tcW w:w="904" w:type="dxa"/>
            <w:tcBorders>
              <w:left w:val="single" w:sz="4" w:space="0" w:color="000000"/>
              <w:bottom w:val="single" w:sz="4" w:space="0" w:color="000000"/>
              <w:right w:val="single" w:sz="4" w:space="0" w:color="000000"/>
            </w:tcBorders>
          </w:tcPr>
          <w:p>
            <w:pPr>
              <w:pStyle w:val="TableParagraph"/>
              <w:spacing w:line="199" w:lineRule="exact"/>
              <w:ind w:left="92" w:right="77"/>
              <w:jc w:val="center"/>
              <w:rPr>
                <w:b/>
                <w:sz w:val="18"/>
              </w:rPr>
            </w:pPr>
            <w:r>
              <w:rPr>
                <w:b/>
                <w:sz w:val="18"/>
              </w:rPr>
              <w:t>Value</w:t>
            </w:r>
          </w:p>
        </w:tc>
        <w:tc>
          <w:tcPr>
            <w:tcW w:w="1109" w:type="dxa"/>
            <w:vMerge/>
            <w:tcBorders>
              <w:top w:val="nil"/>
              <w:left w:val="single" w:sz="4" w:space="0" w:color="000000"/>
              <w:bottom w:val="single" w:sz="4" w:space="0" w:color="000000"/>
            </w:tcBorders>
          </w:tcPr>
          <w:p>
            <w:pPr>
              <w:rPr>
                <w:sz w:val="2"/>
                <w:szCs w:val="2"/>
              </w:rPr>
            </w:pPr>
          </w:p>
        </w:tc>
        <w:tc>
          <w:tcPr>
            <w:tcW w:w="1061" w:type="dxa"/>
            <w:vMerge/>
            <w:tcBorders>
              <w:top w:val="nil"/>
              <w:bottom w:val="single" w:sz="4" w:space="0" w:color="000000"/>
              <w:right w:val="single" w:sz="4" w:space="0" w:color="000000"/>
            </w:tcBorders>
          </w:tcPr>
          <w:p>
            <w:pPr>
              <w:rPr>
                <w:sz w:val="2"/>
                <w:szCs w:val="2"/>
              </w:rPr>
            </w:pPr>
          </w:p>
        </w:tc>
        <w:tc>
          <w:tcPr>
            <w:tcW w:w="1093" w:type="dxa"/>
            <w:vMerge/>
            <w:tcBorders>
              <w:top w:val="nil"/>
              <w:left w:val="single" w:sz="4" w:space="0" w:color="000000"/>
              <w:bottom w:val="single" w:sz="4" w:space="0" w:color="000000"/>
            </w:tcBorders>
          </w:tcPr>
          <w:p>
            <w:pPr>
              <w:rPr>
                <w:sz w:val="2"/>
                <w:szCs w:val="2"/>
              </w:rPr>
            </w:pPr>
          </w:p>
        </w:tc>
        <w:tc>
          <w:tcPr>
            <w:tcW w:w="1014" w:type="dxa"/>
            <w:vMerge/>
            <w:tcBorders>
              <w:top w:val="nil"/>
              <w:bottom w:val="single" w:sz="4" w:space="0" w:color="000000"/>
              <w:right w:val="single" w:sz="4" w:space="0" w:color="000000"/>
            </w:tcBorders>
          </w:tcPr>
          <w:p>
            <w:pPr>
              <w:rPr>
                <w:sz w:val="2"/>
                <w:szCs w:val="2"/>
              </w:rPr>
            </w:pPr>
          </w:p>
        </w:tc>
      </w:tr>
      <w:tr>
        <w:trPr>
          <w:trHeight w:val="335" w:hRule="atLeast"/>
        </w:trPr>
        <w:tc>
          <w:tcPr>
            <w:tcW w:w="1900" w:type="dxa"/>
            <w:gridSpan w:val="2"/>
            <w:tcBorders>
              <w:top w:val="single" w:sz="4" w:space="0" w:color="000000"/>
              <w:left w:val="single" w:sz="4" w:space="0" w:color="000000"/>
              <w:right w:val="single" w:sz="4" w:space="0" w:color="000000"/>
            </w:tcBorders>
          </w:tcPr>
          <w:p>
            <w:pPr>
              <w:pStyle w:val="TableParagraph"/>
              <w:spacing w:before="57"/>
              <w:ind w:left="232"/>
              <w:rPr>
                <w:sz w:val="18"/>
              </w:rPr>
            </w:pPr>
            <w:r>
              <w:rPr>
                <w:sz w:val="18"/>
              </w:rPr>
              <w:t>Sum</w:t>
            </w:r>
          </w:p>
        </w:tc>
        <w:tc>
          <w:tcPr>
            <w:tcW w:w="903" w:type="dxa"/>
            <w:tcBorders>
              <w:top w:val="single" w:sz="4" w:space="0" w:color="000000"/>
              <w:left w:val="single" w:sz="4" w:space="0" w:color="000000"/>
            </w:tcBorders>
          </w:tcPr>
          <w:p>
            <w:pPr>
              <w:pStyle w:val="TableParagraph"/>
              <w:spacing w:before="57"/>
              <w:ind w:right="171"/>
              <w:jc w:val="right"/>
              <w:rPr>
                <w:sz w:val="18"/>
              </w:rPr>
            </w:pPr>
            <w:r>
              <w:rPr>
                <w:sz w:val="18"/>
              </w:rPr>
              <w:t>535375</w:t>
            </w:r>
          </w:p>
        </w:tc>
        <w:tc>
          <w:tcPr>
            <w:tcW w:w="905" w:type="dxa"/>
            <w:tcBorders>
              <w:top w:val="single" w:sz="4" w:space="0" w:color="000000"/>
              <w:right w:val="single" w:sz="4" w:space="0" w:color="000000"/>
            </w:tcBorders>
          </w:tcPr>
          <w:p>
            <w:pPr>
              <w:pStyle w:val="TableParagraph"/>
              <w:spacing w:before="62"/>
              <w:ind w:right="175"/>
              <w:jc w:val="right"/>
              <w:rPr>
                <w:b/>
                <w:sz w:val="18"/>
              </w:rPr>
            </w:pPr>
            <w:r>
              <w:rPr>
                <w:b/>
                <w:sz w:val="18"/>
              </w:rPr>
              <w:t>- 61309</w:t>
            </w:r>
          </w:p>
        </w:tc>
        <w:tc>
          <w:tcPr>
            <w:tcW w:w="904" w:type="dxa"/>
            <w:tcBorders>
              <w:top w:val="single" w:sz="4" w:space="0" w:color="000000"/>
              <w:left w:val="single" w:sz="4" w:space="0" w:color="000000"/>
              <w:right w:val="single" w:sz="4" w:space="0" w:color="000000"/>
            </w:tcBorders>
          </w:tcPr>
          <w:p>
            <w:pPr>
              <w:pStyle w:val="TableParagraph"/>
              <w:spacing w:before="57"/>
              <w:ind w:left="92" w:right="77"/>
              <w:jc w:val="center"/>
              <w:rPr>
                <w:sz w:val="18"/>
              </w:rPr>
            </w:pPr>
            <w:r>
              <w:rPr>
                <w:sz w:val="18"/>
              </w:rPr>
              <w:t>643884</w:t>
            </w:r>
            <w:r>
              <w:rPr>
                <w:sz w:val="18"/>
                <w:vertAlign w:val="superscript"/>
              </w:rPr>
              <w:t>b</w:t>
            </w:r>
          </w:p>
        </w:tc>
        <w:tc>
          <w:tcPr>
            <w:tcW w:w="1109" w:type="dxa"/>
            <w:tcBorders>
              <w:top w:val="single" w:sz="4" w:space="0" w:color="000000"/>
              <w:left w:val="single" w:sz="4" w:space="0" w:color="000000"/>
            </w:tcBorders>
          </w:tcPr>
          <w:p>
            <w:pPr>
              <w:pStyle w:val="TableParagraph"/>
              <w:spacing w:before="57"/>
              <w:ind w:right="7"/>
              <w:jc w:val="center"/>
              <w:rPr>
                <w:sz w:val="18"/>
              </w:rPr>
            </w:pPr>
            <w:r>
              <w:rPr>
                <w:sz w:val="18"/>
              </w:rPr>
              <w:t>1</w:t>
            </w:r>
          </w:p>
        </w:tc>
        <w:tc>
          <w:tcPr>
            <w:tcW w:w="1061" w:type="dxa"/>
            <w:tcBorders>
              <w:top w:val="single" w:sz="4" w:space="0" w:color="000000"/>
              <w:right w:val="single" w:sz="4" w:space="0" w:color="000000"/>
            </w:tcBorders>
          </w:tcPr>
          <w:p>
            <w:pPr>
              <w:pStyle w:val="TableParagraph"/>
              <w:rPr>
                <w:sz w:val="18"/>
              </w:rPr>
            </w:pPr>
          </w:p>
        </w:tc>
        <w:tc>
          <w:tcPr>
            <w:tcW w:w="1093" w:type="dxa"/>
            <w:tcBorders>
              <w:top w:val="single" w:sz="4" w:space="0" w:color="000000"/>
              <w:left w:val="single" w:sz="4" w:space="0" w:color="000000"/>
            </w:tcBorders>
          </w:tcPr>
          <w:p>
            <w:pPr>
              <w:pStyle w:val="TableParagraph"/>
              <w:spacing w:before="57"/>
              <w:ind w:left="10"/>
              <w:jc w:val="center"/>
              <w:rPr>
                <w:sz w:val="18"/>
              </w:rPr>
            </w:pPr>
            <w:r>
              <w:rPr>
                <w:sz w:val="18"/>
              </w:rPr>
              <w:t>1</w:t>
            </w:r>
          </w:p>
        </w:tc>
        <w:tc>
          <w:tcPr>
            <w:tcW w:w="1014" w:type="dxa"/>
            <w:tcBorders>
              <w:top w:val="single" w:sz="4" w:space="0" w:color="000000"/>
              <w:right w:val="single" w:sz="4" w:space="0" w:color="000000"/>
            </w:tcBorders>
          </w:tcPr>
          <w:p>
            <w:pPr>
              <w:pStyle w:val="TableParagraph"/>
              <w:rPr>
                <w:sz w:val="18"/>
              </w:rPr>
            </w:pPr>
          </w:p>
        </w:tc>
      </w:tr>
      <w:tr>
        <w:trPr>
          <w:trHeight w:val="343" w:hRule="atLeast"/>
        </w:trPr>
        <w:tc>
          <w:tcPr>
            <w:tcW w:w="1154" w:type="dxa"/>
            <w:tcBorders>
              <w:left w:val="single" w:sz="4" w:space="0" w:color="000000"/>
            </w:tcBorders>
          </w:tcPr>
          <w:p>
            <w:pPr>
              <w:pStyle w:val="TableParagraph"/>
              <w:spacing w:before="58"/>
              <w:ind w:left="232"/>
              <w:rPr>
                <w:sz w:val="18"/>
              </w:rPr>
            </w:pPr>
            <w:r>
              <w:rPr>
                <w:sz w:val="18"/>
              </w:rPr>
              <w:t>1.AA.3</w:t>
            </w:r>
          </w:p>
        </w:tc>
        <w:tc>
          <w:tcPr>
            <w:tcW w:w="746" w:type="dxa"/>
            <w:tcBorders>
              <w:right w:val="single" w:sz="4" w:space="0" w:color="000000"/>
            </w:tcBorders>
          </w:tcPr>
          <w:p>
            <w:pPr>
              <w:pStyle w:val="TableParagraph"/>
              <w:spacing w:before="58"/>
              <w:ind w:right="217"/>
              <w:jc w:val="right"/>
              <w:rPr>
                <w:sz w:val="18"/>
              </w:rPr>
            </w:pPr>
            <w:r>
              <w:rPr>
                <w:w w:val="95"/>
                <w:sz w:val="18"/>
              </w:rPr>
              <w:t>CO</w:t>
            </w:r>
            <w:r>
              <w:rPr>
                <w:w w:val="95"/>
                <w:sz w:val="18"/>
                <w:vertAlign w:val="subscript"/>
              </w:rPr>
              <w:t>2</w:t>
            </w:r>
          </w:p>
        </w:tc>
        <w:tc>
          <w:tcPr>
            <w:tcW w:w="903" w:type="dxa"/>
            <w:tcBorders>
              <w:left w:val="single" w:sz="4" w:space="0" w:color="000000"/>
            </w:tcBorders>
          </w:tcPr>
          <w:p>
            <w:pPr>
              <w:pStyle w:val="TableParagraph"/>
              <w:spacing w:before="58"/>
              <w:ind w:right="172"/>
              <w:jc w:val="right"/>
              <w:rPr>
                <w:sz w:val="18"/>
              </w:rPr>
            </w:pPr>
            <w:r>
              <w:rPr>
                <w:sz w:val="18"/>
              </w:rPr>
              <w:t>138822</w:t>
            </w:r>
          </w:p>
        </w:tc>
        <w:tc>
          <w:tcPr>
            <w:tcW w:w="905" w:type="dxa"/>
            <w:tcBorders>
              <w:right w:val="single" w:sz="4" w:space="0" w:color="000000"/>
            </w:tcBorders>
          </w:tcPr>
          <w:p>
            <w:pPr>
              <w:pStyle w:val="TableParagraph"/>
              <w:spacing w:before="58"/>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8"/>
              <w:ind w:left="92" w:right="80"/>
              <w:jc w:val="center"/>
              <w:rPr>
                <w:sz w:val="18"/>
              </w:rPr>
            </w:pPr>
            <w:r>
              <w:rPr>
                <w:sz w:val="18"/>
              </w:rPr>
              <w:t>138822</w:t>
            </w:r>
          </w:p>
        </w:tc>
        <w:tc>
          <w:tcPr>
            <w:tcW w:w="1109" w:type="dxa"/>
            <w:tcBorders>
              <w:left w:val="single" w:sz="4" w:space="0" w:color="000000"/>
            </w:tcBorders>
          </w:tcPr>
          <w:p>
            <w:pPr>
              <w:pStyle w:val="TableParagraph"/>
              <w:spacing w:before="58"/>
              <w:ind w:left="31" w:right="36"/>
              <w:jc w:val="center"/>
              <w:rPr>
                <w:sz w:val="18"/>
              </w:rPr>
            </w:pPr>
            <w:r>
              <w:rPr>
                <w:sz w:val="18"/>
              </w:rPr>
              <w:t>0.259</w:t>
            </w:r>
          </w:p>
        </w:tc>
        <w:tc>
          <w:tcPr>
            <w:tcW w:w="1061" w:type="dxa"/>
            <w:tcBorders>
              <w:right w:val="single" w:sz="4" w:space="0" w:color="000000"/>
            </w:tcBorders>
          </w:tcPr>
          <w:p>
            <w:pPr>
              <w:pStyle w:val="TableParagraph"/>
              <w:spacing w:before="58"/>
              <w:ind w:left="77" w:right="78"/>
              <w:jc w:val="center"/>
              <w:rPr>
                <w:sz w:val="18"/>
              </w:rPr>
            </w:pPr>
            <w:r>
              <w:rPr>
                <w:sz w:val="18"/>
              </w:rPr>
              <w:t>0.259</w:t>
            </w:r>
          </w:p>
        </w:tc>
        <w:tc>
          <w:tcPr>
            <w:tcW w:w="1093" w:type="dxa"/>
            <w:tcBorders>
              <w:left w:val="single" w:sz="4" w:space="0" w:color="000000"/>
            </w:tcBorders>
          </w:tcPr>
          <w:p>
            <w:pPr>
              <w:pStyle w:val="TableParagraph"/>
              <w:spacing w:before="58"/>
              <w:ind w:left="32" w:right="20"/>
              <w:jc w:val="center"/>
              <w:rPr>
                <w:sz w:val="18"/>
              </w:rPr>
            </w:pPr>
            <w:r>
              <w:rPr>
                <w:sz w:val="18"/>
              </w:rPr>
              <w:t>0.216</w:t>
            </w:r>
          </w:p>
        </w:tc>
        <w:tc>
          <w:tcPr>
            <w:tcW w:w="1014" w:type="dxa"/>
            <w:tcBorders>
              <w:right w:val="single" w:sz="4" w:space="0" w:color="000000"/>
            </w:tcBorders>
          </w:tcPr>
          <w:p>
            <w:pPr>
              <w:pStyle w:val="TableParagraph"/>
              <w:spacing w:before="58"/>
              <w:ind w:left="43" w:right="25"/>
              <w:jc w:val="center"/>
              <w:rPr>
                <w:sz w:val="18"/>
              </w:rPr>
            </w:pPr>
            <w:r>
              <w:rPr>
                <w:sz w:val="18"/>
              </w:rPr>
              <w:t>0.216</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1.AA.4</w:t>
            </w:r>
          </w:p>
        </w:tc>
        <w:tc>
          <w:tcPr>
            <w:tcW w:w="746" w:type="dxa"/>
            <w:tcBorders>
              <w:right w:val="single" w:sz="4" w:space="0" w:color="000000"/>
            </w:tcBorders>
          </w:tcPr>
          <w:p>
            <w:pPr>
              <w:pStyle w:val="TableParagraph"/>
              <w:spacing w:before="52"/>
              <w:ind w:right="217"/>
              <w:jc w:val="right"/>
              <w:rPr>
                <w:sz w:val="18"/>
              </w:rPr>
            </w:pPr>
            <w:r>
              <w:rPr>
                <w:w w:val="95"/>
                <w:sz w:val="18"/>
              </w:rPr>
              <w:t>CO</w:t>
            </w:r>
            <w:r>
              <w:rPr>
                <w:w w:val="95"/>
                <w:sz w:val="18"/>
                <w:vertAlign w:val="subscript"/>
              </w:rPr>
              <w:t>2</w:t>
            </w:r>
          </w:p>
        </w:tc>
        <w:tc>
          <w:tcPr>
            <w:tcW w:w="903" w:type="dxa"/>
            <w:tcBorders>
              <w:left w:val="single" w:sz="4" w:space="0" w:color="000000"/>
            </w:tcBorders>
          </w:tcPr>
          <w:p>
            <w:pPr>
              <w:pStyle w:val="TableParagraph"/>
              <w:spacing w:before="52"/>
              <w:ind w:right="172"/>
              <w:jc w:val="right"/>
              <w:rPr>
                <w:sz w:val="18"/>
              </w:rPr>
            </w:pPr>
            <w:r>
              <w:rPr>
                <w:sz w:val="18"/>
              </w:rPr>
              <w:t>102167</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80"/>
              <w:jc w:val="center"/>
              <w:rPr>
                <w:sz w:val="18"/>
              </w:rPr>
            </w:pPr>
            <w:r>
              <w:rPr>
                <w:sz w:val="18"/>
              </w:rPr>
              <w:t>102167</w:t>
            </w:r>
          </w:p>
        </w:tc>
        <w:tc>
          <w:tcPr>
            <w:tcW w:w="1109" w:type="dxa"/>
            <w:tcBorders>
              <w:left w:val="single" w:sz="4" w:space="0" w:color="000000"/>
            </w:tcBorders>
          </w:tcPr>
          <w:p>
            <w:pPr>
              <w:pStyle w:val="TableParagraph"/>
              <w:spacing w:before="52"/>
              <w:ind w:left="31" w:right="36"/>
              <w:jc w:val="center"/>
              <w:rPr>
                <w:sz w:val="18"/>
              </w:rPr>
            </w:pPr>
            <w:r>
              <w:rPr>
                <w:sz w:val="18"/>
              </w:rPr>
              <w:t>0.191</w:t>
            </w:r>
          </w:p>
        </w:tc>
        <w:tc>
          <w:tcPr>
            <w:tcW w:w="1061" w:type="dxa"/>
            <w:tcBorders>
              <w:right w:val="single" w:sz="4" w:space="0" w:color="000000"/>
            </w:tcBorders>
          </w:tcPr>
          <w:p>
            <w:pPr>
              <w:pStyle w:val="TableParagraph"/>
              <w:spacing w:before="52"/>
              <w:ind w:left="77" w:right="78"/>
              <w:jc w:val="center"/>
              <w:rPr>
                <w:sz w:val="18"/>
              </w:rPr>
            </w:pPr>
            <w:r>
              <w:rPr>
                <w:sz w:val="18"/>
              </w:rPr>
              <w:t>0.450</w:t>
            </w:r>
          </w:p>
        </w:tc>
        <w:tc>
          <w:tcPr>
            <w:tcW w:w="1093" w:type="dxa"/>
            <w:tcBorders>
              <w:left w:val="single" w:sz="4" w:space="0" w:color="000000"/>
            </w:tcBorders>
          </w:tcPr>
          <w:p>
            <w:pPr>
              <w:pStyle w:val="TableParagraph"/>
              <w:spacing w:before="52"/>
              <w:ind w:left="32" w:right="20"/>
              <w:jc w:val="center"/>
              <w:rPr>
                <w:sz w:val="18"/>
              </w:rPr>
            </w:pPr>
            <w:r>
              <w:rPr>
                <w:sz w:val="18"/>
              </w:rPr>
              <w:t>0.159</w:t>
            </w:r>
          </w:p>
        </w:tc>
        <w:tc>
          <w:tcPr>
            <w:tcW w:w="1014" w:type="dxa"/>
            <w:tcBorders>
              <w:right w:val="single" w:sz="4" w:space="0" w:color="000000"/>
            </w:tcBorders>
          </w:tcPr>
          <w:p>
            <w:pPr>
              <w:pStyle w:val="TableParagraph"/>
              <w:spacing w:before="52"/>
              <w:ind w:left="43" w:right="25"/>
              <w:jc w:val="center"/>
              <w:rPr>
                <w:sz w:val="18"/>
              </w:rPr>
            </w:pPr>
            <w:r>
              <w:rPr>
                <w:sz w:val="18"/>
              </w:rPr>
              <w:t>0.374</w:t>
            </w:r>
          </w:p>
        </w:tc>
      </w:tr>
      <w:tr>
        <w:trPr>
          <w:trHeight w:val="340"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5.A</w:t>
              <w:tab/>
              <w:t>CO</w:t>
            </w:r>
            <w:r>
              <w:rPr>
                <w:sz w:val="18"/>
                <w:vertAlign w:val="subscript"/>
              </w:rPr>
              <w:t>2</w:t>
            </w:r>
          </w:p>
        </w:tc>
        <w:tc>
          <w:tcPr>
            <w:tcW w:w="903" w:type="dxa"/>
            <w:tcBorders>
              <w:left w:val="single" w:sz="4" w:space="0" w:color="000000"/>
            </w:tcBorders>
          </w:tcPr>
          <w:p>
            <w:pPr>
              <w:pStyle w:val="TableParagraph"/>
              <w:spacing w:before="54"/>
              <w:ind w:left="63" w:right="53"/>
              <w:jc w:val="center"/>
              <w:rPr>
                <w:sz w:val="18"/>
              </w:rPr>
            </w:pPr>
            <w:r>
              <w:rPr>
                <w:sz w:val="18"/>
              </w:rPr>
              <w:t>..</w:t>
            </w:r>
          </w:p>
        </w:tc>
        <w:tc>
          <w:tcPr>
            <w:tcW w:w="905" w:type="dxa"/>
            <w:tcBorders>
              <w:right w:val="single" w:sz="4" w:space="0" w:color="000000"/>
            </w:tcBorders>
          </w:tcPr>
          <w:p>
            <w:pPr>
              <w:pStyle w:val="TableParagraph"/>
              <w:spacing w:before="58"/>
              <w:ind w:right="175"/>
              <w:jc w:val="right"/>
              <w:rPr>
                <w:b/>
                <w:sz w:val="18"/>
              </w:rPr>
            </w:pPr>
            <w:r>
              <w:rPr>
                <w:b/>
                <w:sz w:val="18"/>
              </w:rPr>
              <w:t>- 84861</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84861</w:t>
            </w:r>
          </w:p>
        </w:tc>
        <w:tc>
          <w:tcPr>
            <w:tcW w:w="1109" w:type="dxa"/>
            <w:tcBorders>
              <w:left w:val="single" w:sz="4" w:space="0" w:color="000000"/>
            </w:tcBorders>
          </w:tcPr>
          <w:p>
            <w:pPr>
              <w:pStyle w:val="TableParagraph"/>
              <w:spacing w:before="54"/>
              <w:ind w:left="31" w:right="37"/>
              <w:jc w:val="center"/>
              <w:rPr>
                <w:sz w:val="18"/>
              </w:rPr>
            </w:pPr>
            <w:r>
              <w:rPr>
                <w:sz w:val="18"/>
              </w:rPr>
              <w:t>..</w:t>
            </w:r>
          </w:p>
        </w:tc>
        <w:tc>
          <w:tcPr>
            <w:tcW w:w="1061" w:type="dxa"/>
            <w:tcBorders>
              <w:right w:val="single" w:sz="4" w:space="0" w:color="000000"/>
            </w:tcBorders>
          </w:tcPr>
          <w:p>
            <w:pPr>
              <w:pStyle w:val="TableParagraph"/>
              <w:spacing w:before="54"/>
              <w:ind w:left="77" w:right="78"/>
              <w:jc w:val="center"/>
              <w:rPr>
                <w:sz w:val="18"/>
              </w:rPr>
            </w:pPr>
            <w:r>
              <w:rPr>
                <w:sz w:val="18"/>
              </w:rPr>
              <w:t>0.450</w:t>
            </w:r>
          </w:p>
        </w:tc>
        <w:tc>
          <w:tcPr>
            <w:tcW w:w="1093" w:type="dxa"/>
            <w:tcBorders>
              <w:left w:val="single" w:sz="4" w:space="0" w:color="000000"/>
            </w:tcBorders>
          </w:tcPr>
          <w:p>
            <w:pPr>
              <w:pStyle w:val="TableParagraph"/>
              <w:spacing w:before="54"/>
              <w:ind w:left="32" w:right="20"/>
              <w:jc w:val="center"/>
              <w:rPr>
                <w:sz w:val="18"/>
              </w:rPr>
            </w:pPr>
            <w:r>
              <w:rPr>
                <w:sz w:val="18"/>
              </w:rPr>
              <w:t>0.132</w:t>
            </w:r>
          </w:p>
        </w:tc>
        <w:tc>
          <w:tcPr>
            <w:tcW w:w="1014" w:type="dxa"/>
            <w:tcBorders>
              <w:right w:val="single" w:sz="4" w:space="0" w:color="000000"/>
            </w:tcBorders>
          </w:tcPr>
          <w:p>
            <w:pPr>
              <w:pStyle w:val="TableParagraph"/>
              <w:spacing w:before="54"/>
              <w:ind w:left="43" w:right="26"/>
              <w:jc w:val="center"/>
              <w:rPr>
                <w:sz w:val="18"/>
              </w:rPr>
            </w:pPr>
            <w:r>
              <w:rPr>
                <w:sz w:val="18"/>
              </w:rPr>
              <w:t>0.506</w:t>
            </w:r>
          </w:p>
        </w:tc>
      </w:tr>
      <w:tr>
        <w:trPr>
          <w:trHeight w:val="339" w:hRule="atLeast"/>
        </w:trPr>
        <w:tc>
          <w:tcPr>
            <w:tcW w:w="1154" w:type="dxa"/>
            <w:tcBorders>
              <w:left w:val="single" w:sz="4" w:space="0" w:color="000000"/>
            </w:tcBorders>
          </w:tcPr>
          <w:p>
            <w:pPr>
              <w:pStyle w:val="TableParagraph"/>
              <w:spacing w:before="54"/>
              <w:ind w:left="232"/>
              <w:rPr>
                <w:sz w:val="18"/>
              </w:rPr>
            </w:pPr>
            <w:r>
              <w:rPr>
                <w:sz w:val="18"/>
              </w:rPr>
              <w:t>1.AA.2</w:t>
            </w:r>
          </w:p>
        </w:tc>
        <w:tc>
          <w:tcPr>
            <w:tcW w:w="746" w:type="dxa"/>
            <w:tcBorders>
              <w:right w:val="single" w:sz="4" w:space="0" w:color="000000"/>
            </w:tcBorders>
          </w:tcPr>
          <w:p>
            <w:pPr>
              <w:pStyle w:val="TableParagraph"/>
              <w:spacing w:before="54"/>
              <w:ind w:right="217"/>
              <w:jc w:val="right"/>
              <w:rPr>
                <w:sz w:val="18"/>
              </w:rPr>
            </w:pPr>
            <w:r>
              <w:rPr>
                <w:w w:val="95"/>
                <w:sz w:val="18"/>
              </w:rPr>
              <w:t>CO</w:t>
            </w:r>
            <w:r>
              <w:rPr>
                <w:w w:val="95"/>
                <w:sz w:val="18"/>
                <w:vertAlign w:val="subscript"/>
              </w:rPr>
              <w:t>2</w:t>
            </w:r>
          </w:p>
        </w:tc>
        <w:tc>
          <w:tcPr>
            <w:tcW w:w="903" w:type="dxa"/>
            <w:tcBorders>
              <w:left w:val="single" w:sz="4" w:space="0" w:color="000000"/>
            </w:tcBorders>
          </w:tcPr>
          <w:p>
            <w:pPr>
              <w:pStyle w:val="TableParagraph"/>
              <w:spacing w:before="54"/>
              <w:ind w:right="214"/>
              <w:jc w:val="right"/>
              <w:rPr>
                <w:sz w:val="18"/>
              </w:rPr>
            </w:pPr>
            <w:r>
              <w:rPr>
                <w:sz w:val="18"/>
              </w:rPr>
              <w:t>77213</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7"/>
              <w:jc w:val="center"/>
              <w:rPr>
                <w:sz w:val="18"/>
              </w:rPr>
            </w:pPr>
            <w:r>
              <w:rPr>
                <w:sz w:val="18"/>
              </w:rPr>
              <w:t>77213</w:t>
            </w:r>
          </w:p>
        </w:tc>
        <w:tc>
          <w:tcPr>
            <w:tcW w:w="1109" w:type="dxa"/>
            <w:tcBorders>
              <w:left w:val="single" w:sz="4" w:space="0" w:color="000000"/>
            </w:tcBorders>
          </w:tcPr>
          <w:p>
            <w:pPr>
              <w:pStyle w:val="TableParagraph"/>
              <w:spacing w:before="54"/>
              <w:ind w:left="31" w:right="37"/>
              <w:jc w:val="center"/>
              <w:rPr>
                <w:sz w:val="18"/>
              </w:rPr>
            </w:pPr>
            <w:r>
              <w:rPr>
                <w:sz w:val="18"/>
              </w:rPr>
              <w:t>0.144</w:t>
            </w:r>
          </w:p>
        </w:tc>
        <w:tc>
          <w:tcPr>
            <w:tcW w:w="1061" w:type="dxa"/>
            <w:tcBorders>
              <w:right w:val="single" w:sz="4" w:space="0" w:color="000000"/>
            </w:tcBorders>
          </w:tcPr>
          <w:p>
            <w:pPr>
              <w:pStyle w:val="TableParagraph"/>
              <w:spacing w:before="54"/>
              <w:ind w:left="77" w:right="78"/>
              <w:jc w:val="center"/>
              <w:rPr>
                <w:sz w:val="18"/>
              </w:rPr>
            </w:pPr>
            <w:r>
              <w:rPr>
                <w:sz w:val="18"/>
              </w:rPr>
              <w:t>0.594</w:t>
            </w:r>
          </w:p>
        </w:tc>
        <w:tc>
          <w:tcPr>
            <w:tcW w:w="1093" w:type="dxa"/>
            <w:tcBorders>
              <w:left w:val="single" w:sz="4" w:space="0" w:color="000000"/>
            </w:tcBorders>
          </w:tcPr>
          <w:p>
            <w:pPr>
              <w:pStyle w:val="TableParagraph"/>
              <w:spacing w:before="54"/>
              <w:ind w:left="32" w:right="21"/>
              <w:jc w:val="center"/>
              <w:rPr>
                <w:sz w:val="18"/>
              </w:rPr>
            </w:pPr>
            <w:r>
              <w:rPr>
                <w:sz w:val="18"/>
              </w:rPr>
              <w:t>0.120</w:t>
            </w:r>
          </w:p>
        </w:tc>
        <w:tc>
          <w:tcPr>
            <w:tcW w:w="1014" w:type="dxa"/>
            <w:tcBorders>
              <w:right w:val="single" w:sz="4" w:space="0" w:color="000000"/>
            </w:tcBorders>
          </w:tcPr>
          <w:p>
            <w:pPr>
              <w:pStyle w:val="TableParagraph"/>
              <w:spacing w:before="54"/>
              <w:ind w:left="43" w:right="26"/>
              <w:jc w:val="center"/>
              <w:rPr>
                <w:sz w:val="18"/>
              </w:rPr>
            </w:pPr>
            <w:r>
              <w:rPr>
                <w:sz w:val="18"/>
              </w:rPr>
              <w:t>0.626</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1.AA.1</w:t>
            </w:r>
          </w:p>
        </w:tc>
        <w:tc>
          <w:tcPr>
            <w:tcW w:w="746" w:type="dxa"/>
            <w:tcBorders>
              <w:right w:val="single" w:sz="4" w:space="0" w:color="000000"/>
            </w:tcBorders>
          </w:tcPr>
          <w:p>
            <w:pPr>
              <w:pStyle w:val="TableParagraph"/>
              <w:spacing w:before="52"/>
              <w:ind w:right="217"/>
              <w:jc w:val="right"/>
              <w:rPr>
                <w:sz w:val="18"/>
              </w:rPr>
            </w:pPr>
            <w:r>
              <w:rPr>
                <w:w w:val="95"/>
                <w:sz w:val="18"/>
              </w:rPr>
              <w:t>CO</w:t>
            </w:r>
            <w:r>
              <w:rPr>
                <w:w w:val="95"/>
                <w:sz w:val="18"/>
                <w:vertAlign w:val="subscript"/>
              </w:rPr>
              <w:t>2</w:t>
            </w:r>
          </w:p>
        </w:tc>
        <w:tc>
          <w:tcPr>
            <w:tcW w:w="903" w:type="dxa"/>
            <w:tcBorders>
              <w:left w:val="single" w:sz="4" w:space="0" w:color="000000"/>
            </w:tcBorders>
          </w:tcPr>
          <w:p>
            <w:pPr>
              <w:pStyle w:val="TableParagraph"/>
              <w:spacing w:before="52"/>
              <w:ind w:right="214"/>
              <w:jc w:val="right"/>
              <w:rPr>
                <w:sz w:val="18"/>
              </w:rPr>
            </w:pPr>
            <w:r>
              <w:rPr>
                <w:sz w:val="18"/>
              </w:rPr>
              <w:t>61389</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7"/>
              <w:jc w:val="center"/>
              <w:rPr>
                <w:sz w:val="18"/>
              </w:rPr>
            </w:pPr>
            <w:r>
              <w:rPr>
                <w:sz w:val="18"/>
              </w:rPr>
              <w:t>61389</w:t>
            </w:r>
          </w:p>
        </w:tc>
        <w:tc>
          <w:tcPr>
            <w:tcW w:w="1109" w:type="dxa"/>
            <w:tcBorders>
              <w:left w:val="single" w:sz="4" w:space="0" w:color="000000"/>
            </w:tcBorders>
          </w:tcPr>
          <w:p>
            <w:pPr>
              <w:pStyle w:val="TableParagraph"/>
              <w:spacing w:before="52"/>
              <w:ind w:left="31" w:right="37"/>
              <w:jc w:val="center"/>
              <w:rPr>
                <w:sz w:val="18"/>
              </w:rPr>
            </w:pPr>
            <w:r>
              <w:rPr>
                <w:sz w:val="18"/>
              </w:rPr>
              <w:t>0.115</w:t>
            </w:r>
          </w:p>
        </w:tc>
        <w:tc>
          <w:tcPr>
            <w:tcW w:w="1061" w:type="dxa"/>
            <w:tcBorders>
              <w:right w:val="single" w:sz="4" w:space="0" w:color="000000"/>
            </w:tcBorders>
          </w:tcPr>
          <w:p>
            <w:pPr>
              <w:pStyle w:val="TableParagraph"/>
              <w:spacing w:before="52"/>
              <w:ind w:left="77" w:right="78"/>
              <w:jc w:val="center"/>
              <w:rPr>
                <w:sz w:val="18"/>
              </w:rPr>
            </w:pPr>
            <w:r>
              <w:rPr>
                <w:sz w:val="18"/>
              </w:rPr>
              <w:t>0.709</w:t>
            </w:r>
          </w:p>
        </w:tc>
        <w:tc>
          <w:tcPr>
            <w:tcW w:w="1093" w:type="dxa"/>
            <w:tcBorders>
              <w:left w:val="single" w:sz="4" w:space="0" w:color="000000"/>
            </w:tcBorders>
          </w:tcPr>
          <w:p>
            <w:pPr>
              <w:pStyle w:val="TableParagraph"/>
              <w:spacing w:before="52"/>
              <w:ind w:left="32" w:right="21"/>
              <w:jc w:val="center"/>
              <w:rPr>
                <w:sz w:val="18"/>
              </w:rPr>
            </w:pPr>
            <w:r>
              <w:rPr>
                <w:sz w:val="18"/>
              </w:rPr>
              <w:t>0.095</w:t>
            </w:r>
          </w:p>
        </w:tc>
        <w:tc>
          <w:tcPr>
            <w:tcW w:w="1014" w:type="dxa"/>
            <w:tcBorders>
              <w:right w:val="single" w:sz="4" w:space="0" w:color="000000"/>
            </w:tcBorders>
          </w:tcPr>
          <w:p>
            <w:pPr>
              <w:pStyle w:val="TableParagraph"/>
              <w:spacing w:before="52"/>
              <w:ind w:left="43" w:right="26"/>
              <w:jc w:val="center"/>
              <w:rPr>
                <w:sz w:val="18"/>
              </w:rPr>
            </w:pPr>
            <w:r>
              <w:rPr>
                <w:sz w:val="18"/>
              </w:rPr>
              <w:t>0.721</w:t>
            </w:r>
          </w:p>
        </w:tc>
      </w:tr>
      <w:tr>
        <w:trPr>
          <w:trHeight w:val="340"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4.D</w:t>
              <w:tab/>
              <w:t>N</w:t>
            </w:r>
            <w:r>
              <w:rPr>
                <w:sz w:val="18"/>
                <w:vertAlign w:val="subscript"/>
              </w:rPr>
              <w:t>2</w:t>
            </w:r>
            <w:r>
              <w:rPr>
                <w:sz w:val="18"/>
                <w:vertAlign w:val="baseline"/>
              </w:rPr>
              <w:t>O</w:t>
            </w:r>
          </w:p>
        </w:tc>
        <w:tc>
          <w:tcPr>
            <w:tcW w:w="903" w:type="dxa"/>
            <w:tcBorders>
              <w:left w:val="single" w:sz="4" w:space="0" w:color="000000"/>
            </w:tcBorders>
          </w:tcPr>
          <w:p>
            <w:pPr>
              <w:pStyle w:val="TableParagraph"/>
              <w:spacing w:before="54"/>
              <w:ind w:right="214"/>
              <w:jc w:val="right"/>
              <w:rPr>
                <w:sz w:val="18"/>
              </w:rPr>
            </w:pPr>
            <w:r>
              <w:rPr>
                <w:sz w:val="18"/>
              </w:rPr>
              <w:t>51152</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7"/>
              <w:jc w:val="center"/>
              <w:rPr>
                <w:sz w:val="18"/>
              </w:rPr>
            </w:pPr>
            <w:r>
              <w:rPr>
                <w:sz w:val="18"/>
              </w:rPr>
              <w:t>51152</w:t>
            </w:r>
          </w:p>
        </w:tc>
        <w:tc>
          <w:tcPr>
            <w:tcW w:w="1109" w:type="dxa"/>
            <w:tcBorders>
              <w:left w:val="single" w:sz="4" w:space="0" w:color="000000"/>
            </w:tcBorders>
          </w:tcPr>
          <w:p>
            <w:pPr>
              <w:pStyle w:val="TableParagraph"/>
              <w:spacing w:before="54"/>
              <w:ind w:left="31" w:right="37"/>
              <w:jc w:val="center"/>
              <w:rPr>
                <w:sz w:val="18"/>
              </w:rPr>
            </w:pPr>
            <w:r>
              <w:rPr>
                <w:sz w:val="18"/>
              </w:rPr>
              <w:t>0.096</w:t>
            </w:r>
          </w:p>
        </w:tc>
        <w:tc>
          <w:tcPr>
            <w:tcW w:w="1061" w:type="dxa"/>
            <w:tcBorders>
              <w:right w:val="single" w:sz="4" w:space="0" w:color="000000"/>
            </w:tcBorders>
          </w:tcPr>
          <w:p>
            <w:pPr>
              <w:pStyle w:val="TableParagraph"/>
              <w:spacing w:before="54"/>
              <w:ind w:left="77" w:right="78"/>
              <w:jc w:val="center"/>
              <w:rPr>
                <w:sz w:val="18"/>
              </w:rPr>
            </w:pPr>
            <w:r>
              <w:rPr>
                <w:sz w:val="18"/>
              </w:rPr>
              <w:t>0.805</w:t>
            </w:r>
          </w:p>
        </w:tc>
        <w:tc>
          <w:tcPr>
            <w:tcW w:w="1093" w:type="dxa"/>
            <w:tcBorders>
              <w:left w:val="single" w:sz="4" w:space="0" w:color="000000"/>
            </w:tcBorders>
          </w:tcPr>
          <w:p>
            <w:pPr>
              <w:pStyle w:val="TableParagraph"/>
              <w:spacing w:before="54"/>
              <w:ind w:left="32" w:right="21"/>
              <w:jc w:val="center"/>
              <w:rPr>
                <w:sz w:val="18"/>
              </w:rPr>
            </w:pPr>
            <w:r>
              <w:rPr>
                <w:sz w:val="18"/>
              </w:rPr>
              <w:t>0.079</w:t>
            </w:r>
          </w:p>
        </w:tc>
        <w:tc>
          <w:tcPr>
            <w:tcW w:w="1014" w:type="dxa"/>
            <w:tcBorders>
              <w:right w:val="single" w:sz="4" w:space="0" w:color="000000"/>
            </w:tcBorders>
          </w:tcPr>
          <w:p>
            <w:pPr>
              <w:pStyle w:val="TableParagraph"/>
              <w:spacing w:before="54"/>
              <w:ind w:left="43" w:right="26"/>
              <w:jc w:val="center"/>
              <w:rPr>
                <w:sz w:val="18"/>
              </w:rPr>
            </w:pPr>
            <w:r>
              <w:rPr>
                <w:sz w:val="18"/>
              </w:rPr>
              <w:t>0.801</w:t>
            </w:r>
          </w:p>
        </w:tc>
      </w:tr>
      <w:tr>
        <w:trPr>
          <w:trHeight w:val="339"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4.A</w:t>
              <w:tab/>
              <w:t>CH</w:t>
            </w:r>
            <w:r>
              <w:rPr>
                <w:sz w:val="18"/>
                <w:vertAlign w:val="subscript"/>
              </w:rPr>
              <w:t>4</w:t>
            </w:r>
          </w:p>
        </w:tc>
        <w:tc>
          <w:tcPr>
            <w:tcW w:w="903" w:type="dxa"/>
            <w:tcBorders>
              <w:left w:val="single" w:sz="4" w:space="0" w:color="000000"/>
            </w:tcBorders>
          </w:tcPr>
          <w:p>
            <w:pPr>
              <w:pStyle w:val="TableParagraph"/>
              <w:spacing w:before="54"/>
              <w:ind w:right="214"/>
              <w:jc w:val="right"/>
              <w:rPr>
                <w:sz w:val="18"/>
              </w:rPr>
            </w:pPr>
            <w:r>
              <w:rPr>
                <w:sz w:val="18"/>
              </w:rPr>
              <w:t>27942</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7"/>
              <w:jc w:val="center"/>
              <w:rPr>
                <w:sz w:val="18"/>
              </w:rPr>
            </w:pPr>
            <w:r>
              <w:rPr>
                <w:sz w:val="18"/>
              </w:rPr>
              <w:t>27942</w:t>
            </w:r>
          </w:p>
        </w:tc>
        <w:tc>
          <w:tcPr>
            <w:tcW w:w="1109" w:type="dxa"/>
            <w:tcBorders>
              <w:left w:val="single" w:sz="4" w:space="0" w:color="000000"/>
            </w:tcBorders>
          </w:tcPr>
          <w:p>
            <w:pPr>
              <w:pStyle w:val="TableParagraph"/>
              <w:spacing w:before="54"/>
              <w:ind w:left="31" w:right="37"/>
              <w:jc w:val="center"/>
              <w:rPr>
                <w:sz w:val="18"/>
              </w:rPr>
            </w:pPr>
            <w:r>
              <w:rPr>
                <w:sz w:val="18"/>
              </w:rPr>
              <w:t>0.052</w:t>
            </w:r>
          </w:p>
        </w:tc>
        <w:tc>
          <w:tcPr>
            <w:tcW w:w="1061" w:type="dxa"/>
            <w:tcBorders>
              <w:right w:val="single" w:sz="4" w:space="0" w:color="000000"/>
            </w:tcBorders>
          </w:tcPr>
          <w:p>
            <w:pPr>
              <w:pStyle w:val="TableParagraph"/>
              <w:spacing w:before="54"/>
              <w:ind w:left="77" w:right="78"/>
              <w:jc w:val="center"/>
              <w:rPr>
                <w:sz w:val="18"/>
              </w:rPr>
            </w:pPr>
            <w:r>
              <w:rPr>
                <w:sz w:val="18"/>
              </w:rPr>
              <w:t>0.857</w:t>
            </w:r>
          </w:p>
        </w:tc>
        <w:tc>
          <w:tcPr>
            <w:tcW w:w="1093" w:type="dxa"/>
            <w:tcBorders>
              <w:left w:val="single" w:sz="4" w:space="0" w:color="000000"/>
            </w:tcBorders>
          </w:tcPr>
          <w:p>
            <w:pPr>
              <w:pStyle w:val="TableParagraph"/>
              <w:spacing w:before="54"/>
              <w:ind w:left="32" w:right="21"/>
              <w:jc w:val="center"/>
              <w:rPr>
                <w:sz w:val="18"/>
              </w:rPr>
            </w:pPr>
            <w:r>
              <w:rPr>
                <w:sz w:val="18"/>
              </w:rPr>
              <w:t>0.043</w:t>
            </w:r>
          </w:p>
        </w:tc>
        <w:tc>
          <w:tcPr>
            <w:tcW w:w="1014" w:type="dxa"/>
            <w:tcBorders>
              <w:right w:val="single" w:sz="4" w:space="0" w:color="000000"/>
            </w:tcBorders>
          </w:tcPr>
          <w:p>
            <w:pPr>
              <w:pStyle w:val="TableParagraph"/>
              <w:spacing w:before="54"/>
              <w:ind w:left="43" w:right="26"/>
              <w:jc w:val="center"/>
              <w:rPr>
                <w:sz w:val="18"/>
              </w:rPr>
            </w:pPr>
            <w:r>
              <w:rPr>
                <w:sz w:val="18"/>
              </w:rPr>
              <w:t>0.844</w:t>
            </w:r>
          </w:p>
        </w:tc>
      </w:tr>
      <w:tr>
        <w:trPr>
          <w:trHeight w:val="339"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2"/>
              <w:ind w:left="232"/>
              <w:rPr>
                <w:sz w:val="18"/>
              </w:rPr>
            </w:pPr>
            <w:r>
              <w:rPr>
                <w:sz w:val="18"/>
              </w:rPr>
              <w:t>6.A</w:t>
              <w:tab/>
              <w:t>CH</w:t>
            </w:r>
            <w:r>
              <w:rPr>
                <w:sz w:val="18"/>
                <w:vertAlign w:val="subscript"/>
              </w:rPr>
              <w:t>4</w:t>
            </w:r>
          </w:p>
        </w:tc>
        <w:tc>
          <w:tcPr>
            <w:tcW w:w="903" w:type="dxa"/>
            <w:tcBorders>
              <w:left w:val="single" w:sz="4" w:space="0" w:color="000000"/>
            </w:tcBorders>
          </w:tcPr>
          <w:p>
            <w:pPr>
              <w:pStyle w:val="TableParagraph"/>
              <w:spacing w:before="52"/>
              <w:ind w:right="214"/>
              <w:jc w:val="right"/>
              <w:rPr>
                <w:sz w:val="18"/>
              </w:rPr>
            </w:pPr>
            <w:r>
              <w:rPr>
                <w:sz w:val="18"/>
              </w:rPr>
              <w:t>16440</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7"/>
              <w:jc w:val="center"/>
              <w:rPr>
                <w:sz w:val="18"/>
              </w:rPr>
            </w:pPr>
            <w:r>
              <w:rPr>
                <w:sz w:val="18"/>
              </w:rPr>
              <w:t>16440</w:t>
            </w:r>
          </w:p>
        </w:tc>
        <w:tc>
          <w:tcPr>
            <w:tcW w:w="1109" w:type="dxa"/>
            <w:tcBorders>
              <w:left w:val="single" w:sz="4" w:space="0" w:color="000000"/>
            </w:tcBorders>
          </w:tcPr>
          <w:p>
            <w:pPr>
              <w:pStyle w:val="TableParagraph"/>
              <w:spacing w:before="52"/>
              <w:ind w:left="31" w:right="37"/>
              <w:jc w:val="center"/>
              <w:rPr>
                <w:sz w:val="18"/>
              </w:rPr>
            </w:pPr>
            <w:r>
              <w:rPr>
                <w:sz w:val="18"/>
              </w:rPr>
              <w:t>0.031</w:t>
            </w:r>
          </w:p>
        </w:tc>
        <w:tc>
          <w:tcPr>
            <w:tcW w:w="1061" w:type="dxa"/>
            <w:tcBorders>
              <w:right w:val="single" w:sz="4" w:space="0" w:color="000000"/>
            </w:tcBorders>
          </w:tcPr>
          <w:p>
            <w:pPr>
              <w:pStyle w:val="TableParagraph"/>
              <w:spacing w:before="52"/>
              <w:ind w:left="77" w:right="78"/>
              <w:jc w:val="center"/>
              <w:rPr>
                <w:sz w:val="18"/>
              </w:rPr>
            </w:pPr>
            <w:r>
              <w:rPr>
                <w:sz w:val="18"/>
              </w:rPr>
              <w:t>0.887</w:t>
            </w:r>
          </w:p>
        </w:tc>
        <w:tc>
          <w:tcPr>
            <w:tcW w:w="1093" w:type="dxa"/>
            <w:tcBorders>
              <w:left w:val="single" w:sz="4" w:space="0" w:color="000000"/>
            </w:tcBorders>
          </w:tcPr>
          <w:p>
            <w:pPr>
              <w:pStyle w:val="TableParagraph"/>
              <w:spacing w:before="52"/>
              <w:ind w:left="32" w:right="21"/>
              <w:jc w:val="center"/>
              <w:rPr>
                <w:sz w:val="18"/>
              </w:rPr>
            </w:pPr>
            <w:r>
              <w:rPr>
                <w:sz w:val="18"/>
              </w:rPr>
              <w:t>0.026</w:t>
            </w:r>
          </w:p>
        </w:tc>
        <w:tc>
          <w:tcPr>
            <w:tcW w:w="1014" w:type="dxa"/>
            <w:tcBorders>
              <w:right w:val="single" w:sz="4" w:space="0" w:color="000000"/>
            </w:tcBorders>
          </w:tcPr>
          <w:p>
            <w:pPr>
              <w:pStyle w:val="TableParagraph"/>
              <w:spacing w:before="52"/>
              <w:ind w:left="43" w:right="26"/>
              <w:jc w:val="center"/>
              <w:rPr>
                <w:sz w:val="18"/>
              </w:rPr>
            </w:pPr>
            <w:r>
              <w:rPr>
                <w:sz w:val="18"/>
              </w:rPr>
              <w:t>0.870</w:t>
            </w:r>
          </w:p>
        </w:tc>
      </w:tr>
      <w:tr>
        <w:trPr>
          <w:trHeight w:val="340" w:hRule="atLeast"/>
        </w:trPr>
        <w:tc>
          <w:tcPr>
            <w:tcW w:w="1154" w:type="dxa"/>
            <w:tcBorders>
              <w:left w:val="single" w:sz="4" w:space="0" w:color="000000"/>
            </w:tcBorders>
          </w:tcPr>
          <w:p>
            <w:pPr>
              <w:pStyle w:val="TableParagraph"/>
              <w:spacing w:before="54"/>
              <w:ind w:left="232"/>
              <w:rPr>
                <w:sz w:val="18"/>
              </w:rPr>
            </w:pPr>
            <w:r>
              <w:rPr>
                <w:sz w:val="18"/>
              </w:rPr>
              <w:t>5.B</w:t>
            </w:r>
          </w:p>
        </w:tc>
        <w:tc>
          <w:tcPr>
            <w:tcW w:w="746" w:type="dxa"/>
            <w:tcBorders>
              <w:right w:val="single" w:sz="4" w:space="0" w:color="000000"/>
            </w:tcBorders>
          </w:tcPr>
          <w:p>
            <w:pPr>
              <w:pStyle w:val="TableParagraph"/>
              <w:spacing w:before="54"/>
              <w:ind w:right="217"/>
              <w:jc w:val="right"/>
              <w:rPr>
                <w:sz w:val="18"/>
              </w:rPr>
            </w:pPr>
            <w:r>
              <w:rPr>
                <w:w w:val="95"/>
                <w:sz w:val="18"/>
              </w:rPr>
              <w:t>CO</w:t>
            </w:r>
            <w:r>
              <w:rPr>
                <w:w w:val="95"/>
                <w:sz w:val="18"/>
                <w:vertAlign w:val="subscript"/>
              </w:rPr>
              <w:t>2</w:t>
            </w:r>
          </w:p>
        </w:tc>
        <w:tc>
          <w:tcPr>
            <w:tcW w:w="903" w:type="dxa"/>
            <w:tcBorders>
              <w:left w:val="single" w:sz="4" w:space="0" w:color="000000"/>
            </w:tcBorders>
          </w:tcPr>
          <w:p>
            <w:pPr>
              <w:pStyle w:val="TableParagraph"/>
              <w:spacing w:before="54"/>
              <w:ind w:left="63" w:right="52"/>
              <w:jc w:val="center"/>
              <w:rPr>
                <w:sz w:val="18"/>
              </w:rPr>
            </w:pPr>
            <w:r>
              <w:rPr>
                <w:sz w:val="18"/>
              </w:rPr>
              <w:t>..</w:t>
            </w:r>
          </w:p>
        </w:tc>
        <w:tc>
          <w:tcPr>
            <w:tcW w:w="905" w:type="dxa"/>
            <w:tcBorders>
              <w:right w:val="single" w:sz="4" w:space="0" w:color="000000"/>
            </w:tcBorders>
          </w:tcPr>
          <w:p>
            <w:pPr>
              <w:pStyle w:val="TableParagraph"/>
              <w:spacing w:before="54"/>
              <w:ind w:right="213"/>
              <w:jc w:val="right"/>
              <w:rPr>
                <w:sz w:val="18"/>
              </w:rPr>
            </w:pPr>
            <w:r>
              <w:rPr>
                <w:sz w:val="18"/>
              </w:rPr>
              <w:t>12540</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12540</w:t>
            </w:r>
          </w:p>
        </w:tc>
        <w:tc>
          <w:tcPr>
            <w:tcW w:w="1109" w:type="dxa"/>
            <w:tcBorders>
              <w:left w:val="single" w:sz="4" w:space="0" w:color="000000"/>
            </w:tcBorders>
          </w:tcPr>
          <w:p>
            <w:pPr>
              <w:pStyle w:val="TableParagraph"/>
              <w:spacing w:before="54"/>
              <w:ind w:left="31" w:right="37"/>
              <w:jc w:val="center"/>
              <w:rPr>
                <w:sz w:val="18"/>
              </w:rPr>
            </w:pPr>
            <w:r>
              <w:rPr>
                <w:sz w:val="18"/>
              </w:rPr>
              <w:t>..</w:t>
            </w:r>
          </w:p>
        </w:tc>
        <w:tc>
          <w:tcPr>
            <w:tcW w:w="1061" w:type="dxa"/>
            <w:tcBorders>
              <w:right w:val="single" w:sz="4" w:space="0" w:color="000000"/>
            </w:tcBorders>
          </w:tcPr>
          <w:p>
            <w:pPr>
              <w:pStyle w:val="TableParagraph"/>
              <w:spacing w:before="54"/>
              <w:ind w:left="77" w:right="78"/>
              <w:jc w:val="center"/>
              <w:rPr>
                <w:sz w:val="18"/>
              </w:rPr>
            </w:pPr>
            <w:r>
              <w:rPr>
                <w:sz w:val="18"/>
              </w:rPr>
              <w:t>0.887</w:t>
            </w:r>
          </w:p>
        </w:tc>
        <w:tc>
          <w:tcPr>
            <w:tcW w:w="1093" w:type="dxa"/>
            <w:tcBorders>
              <w:left w:val="single" w:sz="4" w:space="0" w:color="000000"/>
            </w:tcBorders>
          </w:tcPr>
          <w:p>
            <w:pPr>
              <w:pStyle w:val="TableParagraph"/>
              <w:spacing w:before="54"/>
              <w:ind w:left="32" w:right="21"/>
              <w:jc w:val="center"/>
              <w:rPr>
                <w:sz w:val="18"/>
              </w:rPr>
            </w:pPr>
            <w:r>
              <w:rPr>
                <w:sz w:val="18"/>
              </w:rPr>
              <w:t>0.019</w:t>
            </w:r>
          </w:p>
        </w:tc>
        <w:tc>
          <w:tcPr>
            <w:tcW w:w="1014" w:type="dxa"/>
            <w:tcBorders>
              <w:right w:val="single" w:sz="4" w:space="0" w:color="000000"/>
            </w:tcBorders>
          </w:tcPr>
          <w:p>
            <w:pPr>
              <w:pStyle w:val="TableParagraph"/>
              <w:spacing w:before="54"/>
              <w:ind w:left="43" w:right="26"/>
              <w:jc w:val="center"/>
              <w:rPr>
                <w:sz w:val="18"/>
              </w:rPr>
            </w:pPr>
            <w:r>
              <w:rPr>
                <w:sz w:val="18"/>
              </w:rPr>
              <w:t>0.889</w:t>
            </w:r>
          </w:p>
        </w:tc>
      </w:tr>
      <w:tr>
        <w:trPr>
          <w:trHeight w:val="339"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2.B</w:t>
              <w:tab/>
              <w:t>N</w:t>
            </w:r>
            <w:r>
              <w:rPr>
                <w:sz w:val="18"/>
                <w:vertAlign w:val="subscript"/>
              </w:rPr>
              <w:t>2</w:t>
            </w:r>
            <w:r>
              <w:rPr>
                <w:sz w:val="18"/>
                <w:vertAlign w:val="baseline"/>
              </w:rPr>
              <w:t>O</w:t>
            </w:r>
          </w:p>
        </w:tc>
        <w:tc>
          <w:tcPr>
            <w:tcW w:w="903" w:type="dxa"/>
            <w:tcBorders>
              <w:left w:val="single" w:sz="4" w:space="0" w:color="000000"/>
            </w:tcBorders>
          </w:tcPr>
          <w:p>
            <w:pPr>
              <w:pStyle w:val="TableParagraph"/>
              <w:spacing w:before="54"/>
              <w:ind w:right="214"/>
              <w:jc w:val="right"/>
              <w:rPr>
                <w:sz w:val="18"/>
              </w:rPr>
            </w:pPr>
            <w:r>
              <w:rPr>
                <w:sz w:val="18"/>
              </w:rPr>
              <w:t>11093</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7"/>
              <w:jc w:val="center"/>
              <w:rPr>
                <w:sz w:val="18"/>
              </w:rPr>
            </w:pPr>
            <w:r>
              <w:rPr>
                <w:sz w:val="18"/>
              </w:rPr>
              <w:t>11093</w:t>
            </w:r>
          </w:p>
        </w:tc>
        <w:tc>
          <w:tcPr>
            <w:tcW w:w="1109" w:type="dxa"/>
            <w:tcBorders>
              <w:left w:val="single" w:sz="4" w:space="0" w:color="000000"/>
            </w:tcBorders>
          </w:tcPr>
          <w:p>
            <w:pPr>
              <w:pStyle w:val="TableParagraph"/>
              <w:spacing w:before="54"/>
              <w:ind w:left="31" w:right="37"/>
              <w:jc w:val="center"/>
              <w:rPr>
                <w:sz w:val="18"/>
              </w:rPr>
            </w:pPr>
            <w:r>
              <w:rPr>
                <w:sz w:val="18"/>
              </w:rPr>
              <w:t>0.021</w:t>
            </w:r>
          </w:p>
        </w:tc>
        <w:tc>
          <w:tcPr>
            <w:tcW w:w="1061" w:type="dxa"/>
            <w:tcBorders>
              <w:right w:val="single" w:sz="4" w:space="0" w:color="000000"/>
            </w:tcBorders>
          </w:tcPr>
          <w:p>
            <w:pPr>
              <w:pStyle w:val="TableParagraph"/>
              <w:spacing w:before="54"/>
              <w:ind w:left="77" w:right="78"/>
              <w:jc w:val="center"/>
              <w:rPr>
                <w:sz w:val="18"/>
              </w:rPr>
            </w:pPr>
            <w:r>
              <w:rPr>
                <w:sz w:val="18"/>
              </w:rPr>
              <w:t>0.908</w:t>
            </w:r>
          </w:p>
        </w:tc>
        <w:tc>
          <w:tcPr>
            <w:tcW w:w="1093" w:type="dxa"/>
            <w:tcBorders>
              <w:left w:val="single" w:sz="4" w:space="0" w:color="000000"/>
            </w:tcBorders>
          </w:tcPr>
          <w:p>
            <w:pPr>
              <w:pStyle w:val="TableParagraph"/>
              <w:spacing w:before="54"/>
              <w:ind w:left="32" w:right="21"/>
              <w:jc w:val="center"/>
              <w:rPr>
                <w:sz w:val="18"/>
              </w:rPr>
            </w:pPr>
            <w:r>
              <w:rPr>
                <w:sz w:val="18"/>
              </w:rPr>
              <w:t>0.017</w:t>
            </w:r>
          </w:p>
        </w:tc>
        <w:tc>
          <w:tcPr>
            <w:tcW w:w="1014" w:type="dxa"/>
            <w:tcBorders>
              <w:right w:val="single" w:sz="4" w:space="0" w:color="000000"/>
            </w:tcBorders>
          </w:tcPr>
          <w:p>
            <w:pPr>
              <w:pStyle w:val="TableParagraph"/>
              <w:spacing w:before="54"/>
              <w:ind w:left="43" w:right="26"/>
              <w:jc w:val="center"/>
              <w:rPr>
                <w:sz w:val="18"/>
              </w:rPr>
            </w:pPr>
            <w:r>
              <w:rPr>
                <w:sz w:val="18"/>
              </w:rPr>
              <w:t>0.906</w:t>
            </w:r>
          </w:p>
        </w:tc>
      </w:tr>
      <w:tr>
        <w:trPr>
          <w:trHeight w:val="339"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2"/>
              <w:ind w:left="232"/>
              <w:rPr>
                <w:sz w:val="18"/>
              </w:rPr>
            </w:pPr>
            <w:r>
              <w:rPr>
                <w:sz w:val="18"/>
              </w:rPr>
              <w:t>2.A</w:t>
              <w:tab/>
              <w:t>CO</w:t>
            </w:r>
            <w:r>
              <w:rPr>
                <w:sz w:val="18"/>
                <w:vertAlign w:val="subscript"/>
              </w:rPr>
              <w:t>2</w:t>
            </w:r>
          </w:p>
        </w:tc>
        <w:tc>
          <w:tcPr>
            <w:tcW w:w="903" w:type="dxa"/>
            <w:tcBorders>
              <w:left w:val="single" w:sz="4" w:space="0" w:color="000000"/>
            </w:tcBorders>
          </w:tcPr>
          <w:p>
            <w:pPr>
              <w:pStyle w:val="TableParagraph"/>
              <w:spacing w:before="52"/>
              <w:ind w:right="214"/>
              <w:jc w:val="right"/>
              <w:rPr>
                <w:sz w:val="18"/>
              </w:rPr>
            </w:pPr>
            <w:r>
              <w:rPr>
                <w:sz w:val="18"/>
              </w:rPr>
              <w:t>10371</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7"/>
              <w:jc w:val="center"/>
              <w:rPr>
                <w:sz w:val="18"/>
              </w:rPr>
            </w:pPr>
            <w:r>
              <w:rPr>
                <w:sz w:val="18"/>
              </w:rPr>
              <w:t>10371</w:t>
            </w:r>
          </w:p>
        </w:tc>
        <w:tc>
          <w:tcPr>
            <w:tcW w:w="1109" w:type="dxa"/>
            <w:tcBorders>
              <w:left w:val="single" w:sz="4" w:space="0" w:color="000000"/>
            </w:tcBorders>
          </w:tcPr>
          <w:p>
            <w:pPr>
              <w:pStyle w:val="TableParagraph"/>
              <w:spacing w:before="52"/>
              <w:ind w:left="31" w:right="37"/>
              <w:jc w:val="center"/>
              <w:rPr>
                <w:sz w:val="18"/>
              </w:rPr>
            </w:pPr>
            <w:r>
              <w:rPr>
                <w:sz w:val="18"/>
              </w:rPr>
              <w:t>0.019</w:t>
            </w:r>
          </w:p>
        </w:tc>
        <w:tc>
          <w:tcPr>
            <w:tcW w:w="1061" w:type="dxa"/>
            <w:tcBorders>
              <w:right w:val="single" w:sz="4" w:space="0" w:color="000000"/>
            </w:tcBorders>
          </w:tcPr>
          <w:p>
            <w:pPr>
              <w:pStyle w:val="TableParagraph"/>
              <w:spacing w:before="52"/>
              <w:ind w:left="77" w:right="78"/>
              <w:jc w:val="center"/>
              <w:rPr>
                <w:sz w:val="18"/>
              </w:rPr>
            </w:pPr>
            <w:r>
              <w:rPr>
                <w:sz w:val="18"/>
              </w:rPr>
              <w:t>0.928</w:t>
            </w:r>
          </w:p>
        </w:tc>
        <w:tc>
          <w:tcPr>
            <w:tcW w:w="1093" w:type="dxa"/>
            <w:tcBorders>
              <w:left w:val="single" w:sz="4" w:space="0" w:color="000000"/>
            </w:tcBorders>
          </w:tcPr>
          <w:p>
            <w:pPr>
              <w:pStyle w:val="TableParagraph"/>
              <w:spacing w:before="52"/>
              <w:ind w:left="32" w:right="21"/>
              <w:jc w:val="center"/>
              <w:rPr>
                <w:sz w:val="18"/>
              </w:rPr>
            </w:pPr>
            <w:r>
              <w:rPr>
                <w:sz w:val="18"/>
              </w:rPr>
              <w:t>0.016</w:t>
            </w:r>
          </w:p>
        </w:tc>
        <w:tc>
          <w:tcPr>
            <w:tcW w:w="1014" w:type="dxa"/>
            <w:tcBorders>
              <w:right w:val="single" w:sz="4" w:space="0" w:color="000000"/>
            </w:tcBorders>
          </w:tcPr>
          <w:p>
            <w:pPr>
              <w:pStyle w:val="TableParagraph"/>
              <w:spacing w:before="52"/>
              <w:ind w:left="43" w:right="26"/>
              <w:jc w:val="center"/>
              <w:rPr>
                <w:sz w:val="18"/>
              </w:rPr>
            </w:pPr>
            <w:r>
              <w:rPr>
                <w:sz w:val="18"/>
              </w:rPr>
              <w:t>0.923</w:t>
            </w:r>
          </w:p>
        </w:tc>
      </w:tr>
      <w:tr>
        <w:trPr>
          <w:trHeight w:val="340"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5.E</w:t>
              <w:tab/>
              <w:t>N</w:t>
            </w:r>
            <w:r>
              <w:rPr>
                <w:sz w:val="18"/>
                <w:vertAlign w:val="subscript"/>
              </w:rPr>
              <w:t>2</w:t>
            </w:r>
            <w:r>
              <w:rPr>
                <w:sz w:val="18"/>
                <w:vertAlign w:val="baseline"/>
              </w:rPr>
              <w:t>O</w:t>
            </w:r>
          </w:p>
        </w:tc>
        <w:tc>
          <w:tcPr>
            <w:tcW w:w="903" w:type="dxa"/>
            <w:tcBorders>
              <w:left w:val="single" w:sz="4" w:space="0" w:color="000000"/>
            </w:tcBorders>
          </w:tcPr>
          <w:p>
            <w:pPr>
              <w:pStyle w:val="TableParagraph"/>
              <w:spacing w:before="54"/>
              <w:ind w:left="63" w:right="52"/>
              <w:jc w:val="center"/>
              <w:rPr>
                <w:sz w:val="18"/>
              </w:rPr>
            </w:pPr>
            <w:r>
              <w:rPr>
                <w:sz w:val="18"/>
              </w:rPr>
              <w:t>..</w:t>
            </w:r>
          </w:p>
        </w:tc>
        <w:tc>
          <w:tcPr>
            <w:tcW w:w="905" w:type="dxa"/>
            <w:tcBorders>
              <w:right w:val="single" w:sz="4" w:space="0" w:color="000000"/>
            </w:tcBorders>
          </w:tcPr>
          <w:p>
            <w:pPr>
              <w:pStyle w:val="TableParagraph"/>
              <w:spacing w:before="54"/>
              <w:ind w:right="260"/>
              <w:jc w:val="right"/>
              <w:rPr>
                <w:sz w:val="18"/>
              </w:rPr>
            </w:pPr>
            <w:r>
              <w:rPr>
                <w:sz w:val="18"/>
              </w:rPr>
              <w:t>5550</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5550</w:t>
            </w:r>
          </w:p>
        </w:tc>
        <w:tc>
          <w:tcPr>
            <w:tcW w:w="1109" w:type="dxa"/>
            <w:tcBorders>
              <w:left w:val="single" w:sz="4" w:space="0" w:color="000000"/>
            </w:tcBorders>
          </w:tcPr>
          <w:p>
            <w:pPr>
              <w:pStyle w:val="TableParagraph"/>
              <w:spacing w:before="54"/>
              <w:ind w:left="31" w:right="37"/>
              <w:jc w:val="center"/>
              <w:rPr>
                <w:sz w:val="18"/>
              </w:rPr>
            </w:pPr>
            <w:r>
              <w:rPr>
                <w:sz w:val="18"/>
              </w:rPr>
              <w:t>..</w:t>
            </w:r>
          </w:p>
        </w:tc>
        <w:tc>
          <w:tcPr>
            <w:tcW w:w="1061" w:type="dxa"/>
            <w:tcBorders>
              <w:right w:val="single" w:sz="4" w:space="0" w:color="000000"/>
            </w:tcBorders>
          </w:tcPr>
          <w:p>
            <w:pPr>
              <w:pStyle w:val="TableParagraph"/>
              <w:spacing w:before="54"/>
              <w:ind w:left="77" w:right="77"/>
              <w:jc w:val="center"/>
              <w:rPr>
                <w:sz w:val="18"/>
              </w:rPr>
            </w:pPr>
            <w:r>
              <w:rPr>
                <w:sz w:val="18"/>
              </w:rPr>
              <w:t>0.928</w:t>
            </w:r>
          </w:p>
        </w:tc>
        <w:tc>
          <w:tcPr>
            <w:tcW w:w="1093" w:type="dxa"/>
            <w:tcBorders>
              <w:left w:val="single" w:sz="4" w:space="0" w:color="000000"/>
            </w:tcBorders>
          </w:tcPr>
          <w:p>
            <w:pPr>
              <w:pStyle w:val="TableParagraph"/>
              <w:spacing w:before="54"/>
              <w:ind w:left="32" w:right="20"/>
              <w:jc w:val="center"/>
              <w:rPr>
                <w:sz w:val="18"/>
              </w:rPr>
            </w:pPr>
            <w:r>
              <w:rPr>
                <w:sz w:val="18"/>
              </w:rPr>
              <w:t>0.009</w:t>
            </w:r>
          </w:p>
        </w:tc>
        <w:tc>
          <w:tcPr>
            <w:tcW w:w="1014" w:type="dxa"/>
            <w:tcBorders>
              <w:right w:val="single" w:sz="4" w:space="0" w:color="000000"/>
            </w:tcBorders>
          </w:tcPr>
          <w:p>
            <w:pPr>
              <w:pStyle w:val="TableParagraph"/>
              <w:spacing w:before="54"/>
              <w:ind w:left="43" w:right="26"/>
              <w:jc w:val="center"/>
              <w:rPr>
                <w:sz w:val="18"/>
              </w:rPr>
            </w:pPr>
            <w:r>
              <w:rPr>
                <w:sz w:val="18"/>
              </w:rPr>
              <w:t>0.931</w:t>
            </w:r>
          </w:p>
        </w:tc>
      </w:tr>
      <w:tr>
        <w:trPr>
          <w:trHeight w:val="339" w:hRule="atLeast"/>
        </w:trPr>
        <w:tc>
          <w:tcPr>
            <w:tcW w:w="1154" w:type="dxa"/>
            <w:tcBorders>
              <w:left w:val="single" w:sz="4" w:space="0" w:color="000000"/>
            </w:tcBorders>
          </w:tcPr>
          <w:p>
            <w:pPr>
              <w:pStyle w:val="TableParagraph"/>
              <w:spacing w:before="54"/>
              <w:ind w:left="232"/>
              <w:rPr>
                <w:sz w:val="18"/>
              </w:rPr>
            </w:pPr>
            <w:r>
              <w:rPr>
                <w:sz w:val="18"/>
              </w:rPr>
              <w:t>1.B.2</w:t>
            </w:r>
          </w:p>
        </w:tc>
        <w:tc>
          <w:tcPr>
            <w:tcW w:w="746" w:type="dxa"/>
            <w:tcBorders>
              <w:right w:val="single" w:sz="4" w:space="0" w:color="000000"/>
            </w:tcBorders>
          </w:tcPr>
          <w:p>
            <w:pPr>
              <w:pStyle w:val="TableParagraph"/>
              <w:spacing w:before="54"/>
              <w:ind w:right="217"/>
              <w:jc w:val="right"/>
              <w:rPr>
                <w:sz w:val="18"/>
              </w:rPr>
            </w:pPr>
            <w:r>
              <w:rPr>
                <w:w w:val="95"/>
                <w:sz w:val="18"/>
              </w:rPr>
              <w:t>CO</w:t>
            </w:r>
            <w:r>
              <w:rPr>
                <w:w w:val="95"/>
                <w:sz w:val="18"/>
                <w:vertAlign w:val="subscript"/>
              </w:rPr>
              <w:t>2</w:t>
            </w:r>
          </w:p>
        </w:tc>
        <w:tc>
          <w:tcPr>
            <w:tcW w:w="903" w:type="dxa"/>
            <w:tcBorders>
              <w:left w:val="single" w:sz="4" w:space="0" w:color="000000"/>
            </w:tcBorders>
          </w:tcPr>
          <w:p>
            <w:pPr>
              <w:pStyle w:val="TableParagraph"/>
              <w:spacing w:before="54"/>
              <w:ind w:right="260"/>
              <w:jc w:val="right"/>
              <w:rPr>
                <w:sz w:val="18"/>
              </w:rPr>
            </w:pPr>
            <w:r>
              <w:rPr>
                <w:sz w:val="18"/>
              </w:rPr>
              <w:t>4006</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4006</w:t>
            </w:r>
          </w:p>
        </w:tc>
        <w:tc>
          <w:tcPr>
            <w:tcW w:w="1109" w:type="dxa"/>
            <w:tcBorders>
              <w:left w:val="single" w:sz="4" w:space="0" w:color="000000"/>
            </w:tcBorders>
          </w:tcPr>
          <w:p>
            <w:pPr>
              <w:pStyle w:val="TableParagraph"/>
              <w:spacing w:before="54"/>
              <w:ind w:left="31" w:right="37"/>
              <w:jc w:val="center"/>
              <w:rPr>
                <w:sz w:val="18"/>
              </w:rPr>
            </w:pPr>
            <w:r>
              <w:rPr>
                <w:sz w:val="18"/>
              </w:rPr>
              <w:t>0.007</w:t>
            </w:r>
          </w:p>
        </w:tc>
        <w:tc>
          <w:tcPr>
            <w:tcW w:w="1061" w:type="dxa"/>
            <w:tcBorders>
              <w:right w:val="single" w:sz="4" w:space="0" w:color="000000"/>
            </w:tcBorders>
          </w:tcPr>
          <w:p>
            <w:pPr>
              <w:pStyle w:val="TableParagraph"/>
              <w:spacing w:before="54"/>
              <w:ind w:left="77" w:right="78"/>
              <w:jc w:val="center"/>
              <w:rPr>
                <w:sz w:val="18"/>
              </w:rPr>
            </w:pPr>
            <w:r>
              <w:rPr>
                <w:sz w:val="18"/>
              </w:rPr>
              <w:t>0.935</w:t>
            </w:r>
          </w:p>
        </w:tc>
        <w:tc>
          <w:tcPr>
            <w:tcW w:w="1093" w:type="dxa"/>
            <w:tcBorders>
              <w:left w:val="single" w:sz="4" w:space="0" w:color="000000"/>
            </w:tcBorders>
          </w:tcPr>
          <w:p>
            <w:pPr>
              <w:pStyle w:val="TableParagraph"/>
              <w:spacing w:before="54"/>
              <w:ind w:left="32" w:right="21"/>
              <w:jc w:val="center"/>
              <w:rPr>
                <w:sz w:val="18"/>
              </w:rPr>
            </w:pPr>
            <w:r>
              <w:rPr>
                <w:sz w:val="18"/>
              </w:rPr>
              <w:t>0.006</w:t>
            </w:r>
          </w:p>
        </w:tc>
        <w:tc>
          <w:tcPr>
            <w:tcW w:w="1014" w:type="dxa"/>
            <w:tcBorders>
              <w:right w:val="single" w:sz="4" w:space="0" w:color="000000"/>
            </w:tcBorders>
          </w:tcPr>
          <w:p>
            <w:pPr>
              <w:pStyle w:val="TableParagraph"/>
              <w:spacing w:before="54"/>
              <w:ind w:left="43" w:right="26"/>
              <w:jc w:val="center"/>
              <w:rPr>
                <w:sz w:val="18"/>
              </w:rPr>
            </w:pPr>
            <w:r>
              <w:rPr>
                <w:sz w:val="18"/>
              </w:rPr>
              <w:t>0.937</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4.B</w:t>
            </w:r>
          </w:p>
        </w:tc>
        <w:tc>
          <w:tcPr>
            <w:tcW w:w="746" w:type="dxa"/>
            <w:tcBorders>
              <w:right w:val="single" w:sz="4" w:space="0" w:color="000000"/>
            </w:tcBorders>
          </w:tcPr>
          <w:p>
            <w:pPr>
              <w:pStyle w:val="TableParagraph"/>
              <w:spacing w:before="52"/>
              <w:ind w:right="217"/>
              <w:jc w:val="right"/>
              <w:rPr>
                <w:sz w:val="18"/>
              </w:rPr>
            </w:pPr>
            <w:r>
              <w:rPr>
                <w:w w:val="95"/>
                <w:sz w:val="18"/>
              </w:rPr>
              <w:t>CH</w:t>
            </w:r>
            <w:r>
              <w:rPr>
                <w:w w:val="95"/>
                <w:sz w:val="18"/>
                <w:vertAlign w:val="subscript"/>
              </w:rPr>
              <w:t>4</w:t>
            </w:r>
          </w:p>
        </w:tc>
        <w:tc>
          <w:tcPr>
            <w:tcW w:w="903" w:type="dxa"/>
            <w:tcBorders>
              <w:left w:val="single" w:sz="4" w:space="0" w:color="000000"/>
            </w:tcBorders>
          </w:tcPr>
          <w:p>
            <w:pPr>
              <w:pStyle w:val="TableParagraph"/>
              <w:spacing w:before="52"/>
              <w:ind w:right="260"/>
              <w:jc w:val="right"/>
              <w:rPr>
                <w:sz w:val="18"/>
              </w:rPr>
            </w:pPr>
            <w:r>
              <w:rPr>
                <w:sz w:val="18"/>
              </w:rPr>
              <w:t>3644</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8"/>
              <w:jc w:val="center"/>
              <w:rPr>
                <w:sz w:val="18"/>
              </w:rPr>
            </w:pPr>
            <w:r>
              <w:rPr>
                <w:sz w:val="18"/>
              </w:rPr>
              <w:t>3644</w:t>
            </w:r>
          </w:p>
        </w:tc>
        <w:tc>
          <w:tcPr>
            <w:tcW w:w="1109" w:type="dxa"/>
            <w:tcBorders>
              <w:left w:val="single" w:sz="4" w:space="0" w:color="000000"/>
            </w:tcBorders>
          </w:tcPr>
          <w:p>
            <w:pPr>
              <w:pStyle w:val="TableParagraph"/>
              <w:spacing w:before="52"/>
              <w:ind w:left="31" w:right="37"/>
              <w:jc w:val="center"/>
              <w:rPr>
                <w:sz w:val="18"/>
              </w:rPr>
            </w:pPr>
            <w:r>
              <w:rPr>
                <w:sz w:val="18"/>
              </w:rPr>
              <w:t>0.007</w:t>
            </w:r>
          </w:p>
        </w:tc>
        <w:tc>
          <w:tcPr>
            <w:tcW w:w="1061" w:type="dxa"/>
            <w:tcBorders>
              <w:right w:val="single" w:sz="4" w:space="0" w:color="000000"/>
            </w:tcBorders>
          </w:tcPr>
          <w:p>
            <w:pPr>
              <w:pStyle w:val="TableParagraph"/>
              <w:spacing w:before="52"/>
              <w:ind w:left="77" w:right="78"/>
              <w:jc w:val="center"/>
              <w:rPr>
                <w:sz w:val="18"/>
              </w:rPr>
            </w:pPr>
            <w:r>
              <w:rPr>
                <w:sz w:val="18"/>
              </w:rPr>
              <w:t>0.942</w:t>
            </w:r>
          </w:p>
        </w:tc>
        <w:tc>
          <w:tcPr>
            <w:tcW w:w="1093" w:type="dxa"/>
            <w:tcBorders>
              <w:left w:val="single" w:sz="4" w:space="0" w:color="000000"/>
            </w:tcBorders>
          </w:tcPr>
          <w:p>
            <w:pPr>
              <w:pStyle w:val="TableParagraph"/>
              <w:spacing w:before="52"/>
              <w:ind w:left="32" w:right="21"/>
              <w:jc w:val="center"/>
              <w:rPr>
                <w:sz w:val="18"/>
              </w:rPr>
            </w:pPr>
            <w:r>
              <w:rPr>
                <w:sz w:val="18"/>
              </w:rPr>
              <w:t>0.006</w:t>
            </w:r>
          </w:p>
        </w:tc>
        <w:tc>
          <w:tcPr>
            <w:tcW w:w="1014" w:type="dxa"/>
            <w:tcBorders>
              <w:right w:val="single" w:sz="4" w:space="0" w:color="000000"/>
            </w:tcBorders>
          </w:tcPr>
          <w:p>
            <w:pPr>
              <w:pStyle w:val="TableParagraph"/>
              <w:spacing w:before="52"/>
              <w:ind w:left="43" w:right="26"/>
              <w:jc w:val="center"/>
              <w:rPr>
                <w:sz w:val="18"/>
              </w:rPr>
            </w:pPr>
            <w:r>
              <w:rPr>
                <w:sz w:val="18"/>
              </w:rPr>
              <w:t>0.943</w:t>
            </w:r>
          </w:p>
        </w:tc>
      </w:tr>
      <w:tr>
        <w:trPr>
          <w:trHeight w:val="340" w:hRule="atLeast"/>
        </w:trPr>
        <w:tc>
          <w:tcPr>
            <w:tcW w:w="1154" w:type="dxa"/>
            <w:tcBorders>
              <w:left w:val="single" w:sz="4" w:space="0" w:color="000000"/>
            </w:tcBorders>
          </w:tcPr>
          <w:p>
            <w:pPr>
              <w:pStyle w:val="TableParagraph"/>
              <w:spacing w:before="54"/>
              <w:ind w:left="232"/>
              <w:rPr>
                <w:sz w:val="18"/>
              </w:rPr>
            </w:pPr>
            <w:r>
              <w:rPr>
                <w:sz w:val="18"/>
              </w:rPr>
              <w:t>2.C</w:t>
            </w:r>
          </w:p>
        </w:tc>
        <w:tc>
          <w:tcPr>
            <w:tcW w:w="746" w:type="dxa"/>
            <w:tcBorders>
              <w:right w:val="single" w:sz="4" w:space="0" w:color="000000"/>
            </w:tcBorders>
          </w:tcPr>
          <w:p>
            <w:pPr>
              <w:pStyle w:val="TableParagraph"/>
              <w:spacing w:before="54"/>
              <w:ind w:right="217"/>
              <w:jc w:val="right"/>
              <w:rPr>
                <w:sz w:val="18"/>
              </w:rPr>
            </w:pPr>
            <w:r>
              <w:rPr>
                <w:w w:val="95"/>
                <w:sz w:val="18"/>
              </w:rPr>
              <w:t>CO</w:t>
            </w:r>
            <w:r>
              <w:rPr>
                <w:w w:val="95"/>
                <w:sz w:val="18"/>
                <w:vertAlign w:val="subscript"/>
              </w:rPr>
              <w:t>2</w:t>
            </w:r>
          </w:p>
        </w:tc>
        <w:tc>
          <w:tcPr>
            <w:tcW w:w="903" w:type="dxa"/>
            <w:tcBorders>
              <w:left w:val="single" w:sz="4" w:space="0" w:color="000000"/>
            </w:tcBorders>
          </w:tcPr>
          <w:p>
            <w:pPr>
              <w:pStyle w:val="TableParagraph"/>
              <w:spacing w:before="54"/>
              <w:ind w:right="260"/>
              <w:jc w:val="right"/>
              <w:rPr>
                <w:sz w:val="18"/>
              </w:rPr>
            </w:pPr>
            <w:r>
              <w:rPr>
                <w:sz w:val="18"/>
              </w:rPr>
              <w:t>3443</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3443</w:t>
            </w:r>
          </w:p>
        </w:tc>
        <w:tc>
          <w:tcPr>
            <w:tcW w:w="1109" w:type="dxa"/>
            <w:tcBorders>
              <w:left w:val="single" w:sz="4" w:space="0" w:color="000000"/>
            </w:tcBorders>
          </w:tcPr>
          <w:p>
            <w:pPr>
              <w:pStyle w:val="TableParagraph"/>
              <w:spacing w:before="54"/>
              <w:ind w:left="31" w:right="37"/>
              <w:jc w:val="center"/>
              <w:rPr>
                <w:sz w:val="18"/>
              </w:rPr>
            </w:pPr>
            <w:r>
              <w:rPr>
                <w:sz w:val="18"/>
              </w:rPr>
              <w:t>0.006</w:t>
            </w:r>
          </w:p>
        </w:tc>
        <w:tc>
          <w:tcPr>
            <w:tcW w:w="1061" w:type="dxa"/>
            <w:tcBorders>
              <w:right w:val="single" w:sz="4" w:space="0" w:color="000000"/>
            </w:tcBorders>
          </w:tcPr>
          <w:p>
            <w:pPr>
              <w:pStyle w:val="TableParagraph"/>
              <w:spacing w:before="54"/>
              <w:ind w:left="77" w:right="78"/>
              <w:jc w:val="center"/>
              <w:rPr>
                <w:sz w:val="18"/>
              </w:rPr>
            </w:pPr>
            <w:r>
              <w:rPr>
                <w:sz w:val="18"/>
              </w:rPr>
              <w:t>0.948</w:t>
            </w:r>
          </w:p>
        </w:tc>
        <w:tc>
          <w:tcPr>
            <w:tcW w:w="1093" w:type="dxa"/>
            <w:tcBorders>
              <w:left w:val="single" w:sz="4" w:space="0" w:color="000000"/>
            </w:tcBorders>
          </w:tcPr>
          <w:p>
            <w:pPr>
              <w:pStyle w:val="TableParagraph"/>
              <w:spacing w:before="54"/>
              <w:ind w:left="32" w:right="21"/>
              <w:jc w:val="center"/>
              <w:rPr>
                <w:sz w:val="18"/>
              </w:rPr>
            </w:pPr>
            <w:r>
              <w:rPr>
                <w:sz w:val="18"/>
              </w:rPr>
              <w:t>0.005</w:t>
            </w:r>
          </w:p>
        </w:tc>
        <w:tc>
          <w:tcPr>
            <w:tcW w:w="1014" w:type="dxa"/>
            <w:tcBorders>
              <w:right w:val="single" w:sz="4" w:space="0" w:color="000000"/>
            </w:tcBorders>
          </w:tcPr>
          <w:p>
            <w:pPr>
              <w:pStyle w:val="TableParagraph"/>
              <w:spacing w:before="54"/>
              <w:ind w:left="43" w:right="26"/>
              <w:jc w:val="center"/>
              <w:rPr>
                <w:sz w:val="18"/>
              </w:rPr>
            </w:pPr>
            <w:r>
              <w:rPr>
                <w:sz w:val="18"/>
              </w:rPr>
              <w:t>0.948</w:t>
            </w:r>
          </w:p>
        </w:tc>
      </w:tr>
      <w:tr>
        <w:trPr>
          <w:trHeight w:val="339"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5.D</w:t>
              <w:tab/>
              <w:t>CO</w:t>
            </w:r>
            <w:r>
              <w:rPr>
                <w:sz w:val="18"/>
                <w:vertAlign w:val="subscript"/>
              </w:rPr>
              <w:t>2</w:t>
            </w:r>
          </w:p>
        </w:tc>
        <w:tc>
          <w:tcPr>
            <w:tcW w:w="903" w:type="dxa"/>
            <w:tcBorders>
              <w:left w:val="single" w:sz="4" w:space="0" w:color="000000"/>
            </w:tcBorders>
          </w:tcPr>
          <w:p>
            <w:pPr>
              <w:pStyle w:val="TableParagraph"/>
              <w:spacing w:before="54"/>
              <w:ind w:left="63" w:right="52"/>
              <w:jc w:val="center"/>
              <w:rPr>
                <w:sz w:val="18"/>
              </w:rPr>
            </w:pPr>
            <w:r>
              <w:rPr>
                <w:sz w:val="18"/>
              </w:rPr>
              <w:t>..</w:t>
            </w:r>
          </w:p>
        </w:tc>
        <w:tc>
          <w:tcPr>
            <w:tcW w:w="905" w:type="dxa"/>
            <w:tcBorders>
              <w:right w:val="single" w:sz="4" w:space="0" w:color="000000"/>
            </w:tcBorders>
          </w:tcPr>
          <w:p>
            <w:pPr>
              <w:pStyle w:val="TableParagraph"/>
              <w:spacing w:before="54"/>
              <w:ind w:right="260"/>
              <w:jc w:val="right"/>
              <w:rPr>
                <w:sz w:val="18"/>
              </w:rPr>
            </w:pPr>
            <w:r>
              <w:rPr>
                <w:sz w:val="18"/>
              </w:rPr>
              <w:t>3370</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3370</w:t>
            </w:r>
          </w:p>
        </w:tc>
        <w:tc>
          <w:tcPr>
            <w:tcW w:w="1109" w:type="dxa"/>
            <w:tcBorders>
              <w:left w:val="single" w:sz="4" w:space="0" w:color="000000"/>
            </w:tcBorders>
          </w:tcPr>
          <w:p>
            <w:pPr>
              <w:pStyle w:val="TableParagraph"/>
              <w:spacing w:before="54"/>
              <w:ind w:left="31" w:right="36"/>
              <w:jc w:val="center"/>
              <w:rPr>
                <w:sz w:val="18"/>
              </w:rPr>
            </w:pPr>
            <w:r>
              <w:rPr>
                <w:sz w:val="18"/>
              </w:rPr>
              <w:t>..</w:t>
            </w:r>
          </w:p>
        </w:tc>
        <w:tc>
          <w:tcPr>
            <w:tcW w:w="1061" w:type="dxa"/>
            <w:tcBorders>
              <w:right w:val="single" w:sz="4" w:space="0" w:color="000000"/>
            </w:tcBorders>
          </w:tcPr>
          <w:p>
            <w:pPr>
              <w:pStyle w:val="TableParagraph"/>
              <w:spacing w:before="54"/>
              <w:ind w:left="77" w:right="77"/>
              <w:jc w:val="center"/>
              <w:rPr>
                <w:sz w:val="18"/>
              </w:rPr>
            </w:pPr>
            <w:r>
              <w:rPr>
                <w:sz w:val="18"/>
              </w:rPr>
              <w:t>0.948</w:t>
            </w:r>
          </w:p>
        </w:tc>
        <w:tc>
          <w:tcPr>
            <w:tcW w:w="1093" w:type="dxa"/>
            <w:tcBorders>
              <w:left w:val="single" w:sz="4" w:space="0" w:color="000000"/>
            </w:tcBorders>
          </w:tcPr>
          <w:p>
            <w:pPr>
              <w:pStyle w:val="TableParagraph"/>
              <w:spacing w:before="54"/>
              <w:ind w:left="32" w:right="20"/>
              <w:jc w:val="center"/>
              <w:rPr>
                <w:sz w:val="18"/>
              </w:rPr>
            </w:pPr>
            <w:r>
              <w:rPr>
                <w:sz w:val="18"/>
              </w:rPr>
              <w:t>0.005</w:t>
            </w:r>
          </w:p>
        </w:tc>
        <w:tc>
          <w:tcPr>
            <w:tcW w:w="1014" w:type="dxa"/>
            <w:tcBorders>
              <w:right w:val="single" w:sz="4" w:space="0" w:color="000000"/>
            </w:tcBorders>
          </w:tcPr>
          <w:p>
            <w:pPr>
              <w:pStyle w:val="TableParagraph"/>
              <w:spacing w:before="54"/>
              <w:ind w:left="43" w:right="26"/>
              <w:jc w:val="center"/>
              <w:rPr>
                <w:sz w:val="18"/>
              </w:rPr>
            </w:pPr>
            <w:r>
              <w:rPr>
                <w:sz w:val="18"/>
              </w:rPr>
              <w:t>0.954</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1.AA.3</w:t>
            </w:r>
          </w:p>
        </w:tc>
        <w:tc>
          <w:tcPr>
            <w:tcW w:w="746" w:type="dxa"/>
            <w:tcBorders>
              <w:right w:val="single" w:sz="4" w:space="0" w:color="000000"/>
            </w:tcBorders>
          </w:tcPr>
          <w:p>
            <w:pPr>
              <w:pStyle w:val="TableParagraph"/>
              <w:spacing w:before="52"/>
              <w:ind w:right="207"/>
              <w:jc w:val="right"/>
              <w:rPr>
                <w:sz w:val="18"/>
              </w:rPr>
            </w:pPr>
            <w:r>
              <w:rPr>
                <w:w w:val="95"/>
                <w:sz w:val="18"/>
              </w:rPr>
              <w:t>N</w:t>
            </w:r>
            <w:r>
              <w:rPr>
                <w:w w:val="95"/>
                <w:sz w:val="18"/>
                <w:vertAlign w:val="subscript"/>
              </w:rPr>
              <w:t>2</w:t>
            </w:r>
            <w:r>
              <w:rPr>
                <w:w w:val="95"/>
                <w:sz w:val="18"/>
                <w:vertAlign w:val="baseline"/>
              </w:rPr>
              <w:t>O</w:t>
            </w:r>
          </w:p>
        </w:tc>
        <w:tc>
          <w:tcPr>
            <w:tcW w:w="903" w:type="dxa"/>
            <w:tcBorders>
              <w:left w:val="single" w:sz="4" w:space="0" w:color="000000"/>
            </w:tcBorders>
          </w:tcPr>
          <w:p>
            <w:pPr>
              <w:pStyle w:val="TableParagraph"/>
              <w:spacing w:before="52"/>
              <w:ind w:right="260"/>
              <w:jc w:val="right"/>
              <w:rPr>
                <w:sz w:val="18"/>
              </w:rPr>
            </w:pPr>
            <w:r>
              <w:rPr>
                <w:sz w:val="18"/>
              </w:rPr>
              <w:t>3174</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8"/>
              <w:jc w:val="center"/>
              <w:rPr>
                <w:sz w:val="18"/>
              </w:rPr>
            </w:pPr>
            <w:r>
              <w:rPr>
                <w:sz w:val="18"/>
              </w:rPr>
              <w:t>3174</w:t>
            </w:r>
          </w:p>
        </w:tc>
        <w:tc>
          <w:tcPr>
            <w:tcW w:w="1109" w:type="dxa"/>
            <w:tcBorders>
              <w:left w:val="single" w:sz="4" w:space="0" w:color="000000"/>
            </w:tcBorders>
          </w:tcPr>
          <w:p>
            <w:pPr>
              <w:pStyle w:val="TableParagraph"/>
              <w:spacing w:before="52"/>
              <w:ind w:left="31" w:right="37"/>
              <w:jc w:val="center"/>
              <w:rPr>
                <w:sz w:val="18"/>
              </w:rPr>
            </w:pPr>
            <w:r>
              <w:rPr>
                <w:sz w:val="18"/>
              </w:rPr>
              <w:t>0.006</w:t>
            </w:r>
          </w:p>
        </w:tc>
        <w:tc>
          <w:tcPr>
            <w:tcW w:w="1061" w:type="dxa"/>
            <w:tcBorders>
              <w:right w:val="single" w:sz="4" w:space="0" w:color="000000"/>
            </w:tcBorders>
          </w:tcPr>
          <w:p>
            <w:pPr>
              <w:pStyle w:val="TableParagraph"/>
              <w:spacing w:before="52"/>
              <w:ind w:left="77" w:right="78"/>
              <w:jc w:val="center"/>
              <w:rPr>
                <w:sz w:val="18"/>
              </w:rPr>
            </w:pPr>
            <w:r>
              <w:rPr>
                <w:sz w:val="18"/>
              </w:rPr>
              <w:t>0.954</w:t>
            </w:r>
          </w:p>
        </w:tc>
        <w:tc>
          <w:tcPr>
            <w:tcW w:w="1093" w:type="dxa"/>
            <w:tcBorders>
              <w:left w:val="single" w:sz="4" w:space="0" w:color="000000"/>
            </w:tcBorders>
          </w:tcPr>
          <w:p>
            <w:pPr>
              <w:pStyle w:val="TableParagraph"/>
              <w:spacing w:before="52"/>
              <w:ind w:left="32" w:right="21"/>
              <w:jc w:val="center"/>
              <w:rPr>
                <w:sz w:val="18"/>
              </w:rPr>
            </w:pPr>
            <w:r>
              <w:rPr>
                <w:sz w:val="18"/>
              </w:rPr>
              <w:t>0.005</w:t>
            </w:r>
          </w:p>
        </w:tc>
        <w:tc>
          <w:tcPr>
            <w:tcW w:w="1014" w:type="dxa"/>
            <w:tcBorders>
              <w:right w:val="single" w:sz="4" w:space="0" w:color="000000"/>
            </w:tcBorders>
          </w:tcPr>
          <w:p>
            <w:pPr>
              <w:pStyle w:val="TableParagraph"/>
              <w:spacing w:before="52"/>
              <w:ind w:left="43" w:right="26"/>
              <w:jc w:val="center"/>
              <w:rPr>
                <w:sz w:val="18"/>
              </w:rPr>
            </w:pPr>
            <w:r>
              <w:rPr>
                <w:sz w:val="18"/>
              </w:rPr>
              <w:t>0.959</w:t>
            </w:r>
          </w:p>
        </w:tc>
      </w:tr>
      <w:tr>
        <w:trPr>
          <w:trHeight w:val="340"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4.B</w:t>
              <w:tab/>
              <w:t>N</w:t>
            </w:r>
            <w:r>
              <w:rPr>
                <w:sz w:val="18"/>
                <w:vertAlign w:val="subscript"/>
              </w:rPr>
              <w:t>2</w:t>
            </w:r>
            <w:r>
              <w:rPr>
                <w:sz w:val="18"/>
                <w:vertAlign w:val="baseline"/>
              </w:rPr>
              <w:t>O</w:t>
            </w:r>
          </w:p>
        </w:tc>
        <w:tc>
          <w:tcPr>
            <w:tcW w:w="903" w:type="dxa"/>
            <w:tcBorders>
              <w:left w:val="single" w:sz="4" w:space="0" w:color="000000"/>
            </w:tcBorders>
          </w:tcPr>
          <w:p>
            <w:pPr>
              <w:pStyle w:val="TableParagraph"/>
              <w:spacing w:before="54"/>
              <w:ind w:right="260"/>
              <w:jc w:val="right"/>
              <w:rPr>
                <w:sz w:val="18"/>
              </w:rPr>
            </w:pPr>
            <w:r>
              <w:rPr>
                <w:sz w:val="18"/>
              </w:rPr>
              <w:t>3109</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3109</w:t>
            </w:r>
          </w:p>
        </w:tc>
        <w:tc>
          <w:tcPr>
            <w:tcW w:w="1109" w:type="dxa"/>
            <w:tcBorders>
              <w:left w:val="single" w:sz="4" w:space="0" w:color="000000"/>
            </w:tcBorders>
          </w:tcPr>
          <w:p>
            <w:pPr>
              <w:pStyle w:val="TableParagraph"/>
              <w:spacing w:before="54"/>
              <w:ind w:left="31" w:right="36"/>
              <w:jc w:val="center"/>
              <w:rPr>
                <w:sz w:val="18"/>
              </w:rPr>
            </w:pPr>
            <w:r>
              <w:rPr>
                <w:sz w:val="18"/>
              </w:rPr>
              <w:t>0.006</w:t>
            </w:r>
          </w:p>
        </w:tc>
        <w:tc>
          <w:tcPr>
            <w:tcW w:w="1061" w:type="dxa"/>
            <w:tcBorders>
              <w:right w:val="single" w:sz="4" w:space="0" w:color="000000"/>
            </w:tcBorders>
          </w:tcPr>
          <w:p>
            <w:pPr>
              <w:pStyle w:val="TableParagraph"/>
              <w:spacing w:before="54"/>
              <w:ind w:left="77" w:right="77"/>
              <w:jc w:val="center"/>
              <w:rPr>
                <w:sz w:val="18"/>
              </w:rPr>
            </w:pPr>
            <w:r>
              <w:rPr>
                <w:sz w:val="18"/>
              </w:rPr>
              <w:t>0.960</w:t>
            </w:r>
          </w:p>
        </w:tc>
        <w:tc>
          <w:tcPr>
            <w:tcW w:w="1093" w:type="dxa"/>
            <w:tcBorders>
              <w:left w:val="single" w:sz="4" w:space="0" w:color="000000"/>
            </w:tcBorders>
          </w:tcPr>
          <w:p>
            <w:pPr>
              <w:pStyle w:val="TableParagraph"/>
              <w:spacing w:before="54"/>
              <w:ind w:left="32" w:right="20"/>
              <w:jc w:val="center"/>
              <w:rPr>
                <w:sz w:val="18"/>
              </w:rPr>
            </w:pPr>
            <w:r>
              <w:rPr>
                <w:sz w:val="18"/>
              </w:rPr>
              <w:t>0.005</w:t>
            </w:r>
          </w:p>
        </w:tc>
        <w:tc>
          <w:tcPr>
            <w:tcW w:w="1014" w:type="dxa"/>
            <w:tcBorders>
              <w:right w:val="single" w:sz="4" w:space="0" w:color="000000"/>
            </w:tcBorders>
          </w:tcPr>
          <w:p>
            <w:pPr>
              <w:pStyle w:val="TableParagraph"/>
              <w:spacing w:before="54"/>
              <w:ind w:left="43" w:right="25"/>
              <w:jc w:val="center"/>
              <w:rPr>
                <w:sz w:val="18"/>
              </w:rPr>
            </w:pPr>
            <w:r>
              <w:rPr>
                <w:sz w:val="18"/>
              </w:rPr>
              <w:t>0.963</w:t>
            </w:r>
          </w:p>
        </w:tc>
      </w:tr>
      <w:tr>
        <w:trPr>
          <w:trHeight w:val="339" w:hRule="atLeast"/>
        </w:trPr>
        <w:tc>
          <w:tcPr>
            <w:tcW w:w="1154" w:type="dxa"/>
            <w:tcBorders>
              <w:left w:val="single" w:sz="4" w:space="0" w:color="000000"/>
            </w:tcBorders>
          </w:tcPr>
          <w:p>
            <w:pPr>
              <w:pStyle w:val="TableParagraph"/>
              <w:spacing w:before="54"/>
              <w:ind w:left="232"/>
              <w:rPr>
                <w:sz w:val="18"/>
              </w:rPr>
            </w:pPr>
            <w:r>
              <w:rPr>
                <w:sz w:val="18"/>
              </w:rPr>
              <w:t>1.AA.4</w:t>
            </w:r>
          </w:p>
        </w:tc>
        <w:tc>
          <w:tcPr>
            <w:tcW w:w="746" w:type="dxa"/>
            <w:tcBorders>
              <w:right w:val="single" w:sz="4" w:space="0" w:color="000000"/>
            </w:tcBorders>
          </w:tcPr>
          <w:p>
            <w:pPr>
              <w:pStyle w:val="TableParagraph"/>
              <w:spacing w:before="54"/>
              <w:ind w:right="217"/>
              <w:jc w:val="right"/>
              <w:rPr>
                <w:sz w:val="18"/>
              </w:rPr>
            </w:pPr>
            <w:r>
              <w:rPr>
                <w:w w:val="95"/>
                <w:sz w:val="18"/>
              </w:rPr>
              <w:t>CH</w:t>
            </w:r>
            <w:r>
              <w:rPr>
                <w:w w:val="95"/>
                <w:sz w:val="18"/>
                <w:vertAlign w:val="subscript"/>
              </w:rPr>
              <w:t>4</w:t>
            </w:r>
          </w:p>
        </w:tc>
        <w:tc>
          <w:tcPr>
            <w:tcW w:w="903" w:type="dxa"/>
            <w:tcBorders>
              <w:left w:val="single" w:sz="4" w:space="0" w:color="000000"/>
            </w:tcBorders>
          </w:tcPr>
          <w:p>
            <w:pPr>
              <w:pStyle w:val="TableParagraph"/>
              <w:spacing w:before="54"/>
              <w:ind w:right="260"/>
              <w:jc w:val="right"/>
              <w:rPr>
                <w:sz w:val="18"/>
              </w:rPr>
            </w:pPr>
            <w:r>
              <w:rPr>
                <w:sz w:val="18"/>
              </w:rPr>
              <w:t>2817</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2817</w:t>
            </w:r>
          </w:p>
        </w:tc>
        <w:tc>
          <w:tcPr>
            <w:tcW w:w="1109" w:type="dxa"/>
            <w:tcBorders>
              <w:left w:val="single" w:sz="4" w:space="0" w:color="000000"/>
            </w:tcBorders>
          </w:tcPr>
          <w:p>
            <w:pPr>
              <w:pStyle w:val="TableParagraph"/>
              <w:spacing w:before="54"/>
              <w:ind w:left="31" w:right="36"/>
              <w:jc w:val="center"/>
              <w:rPr>
                <w:sz w:val="18"/>
              </w:rPr>
            </w:pPr>
            <w:r>
              <w:rPr>
                <w:sz w:val="18"/>
              </w:rPr>
              <w:t>0.005</w:t>
            </w:r>
          </w:p>
        </w:tc>
        <w:tc>
          <w:tcPr>
            <w:tcW w:w="1061" w:type="dxa"/>
            <w:tcBorders>
              <w:right w:val="single" w:sz="4" w:space="0" w:color="000000"/>
            </w:tcBorders>
          </w:tcPr>
          <w:p>
            <w:pPr>
              <w:pStyle w:val="TableParagraph"/>
              <w:spacing w:before="54"/>
              <w:ind w:left="77" w:right="77"/>
              <w:jc w:val="center"/>
              <w:rPr>
                <w:sz w:val="18"/>
              </w:rPr>
            </w:pPr>
            <w:r>
              <w:rPr>
                <w:sz w:val="18"/>
              </w:rPr>
              <w:t>0.965</w:t>
            </w:r>
          </w:p>
        </w:tc>
        <w:tc>
          <w:tcPr>
            <w:tcW w:w="1093" w:type="dxa"/>
            <w:tcBorders>
              <w:left w:val="single" w:sz="4" w:space="0" w:color="000000"/>
            </w:tcBorders>
          </w:tcPr>
          <w:p>
            <w:pPr>
              <w:pStyle w:val="TableParagraph"/>
              <w:spacing w:before="54"/>
              <w:ind w:left="32" w:right="20"/>
              <w:jc w:val="center"/>
              <w:rPr>
                <w:sz w:val="18"/>
              </w:rPr>
            </w:pPr>
            <w:r>
              <w:rPr>
                <w:sz w:val="18"/>
              </w:rPr>
              <w:t>0.004</w:t>
            </w:r>
          </w:p>
        </w:tc>
        <w:tc>
          <w:tcPr>
            <w:tcW w:w="1014" w:type="dxa"/>
            <w:tcBorders>
              <w:right w:val="single" w:sz="4" w:space="0" w:color="000000"/>
            </w:tcBorders>
          </w:tcPr>
          <w:p>
            <w:pPr>
              <w:pStyle w:val="TableParagraph"/>
              <w:spacing w:before="54"/>
              <w:ind w:left="43" w:right="25"/>
              <w:jc w:val="center"/>
              <w:rPr>
                <w:sz w:val="18"/>
              </w:rPr>
            </w:pPr>
            <w:r>
              <w:rPr>
                <w:sz w:val="18"/>
              </w:rPr>
              <w:t>0.968</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2.B</w:t>
            </w:r>
          </w:p>
        </w:tc>
        <w:tc>
          <w:tcPr>
            <w:tcW w:w="746" w:type="dxa"/>
            <w:tcBorders>
              <w:right w:val="single" w:sz="4" w:space="0" w:color="000000"/>
            </w:tcBorders>
          </w:tcPr>
          <w:p>
            <w:pPr>
              <w:pStyle w:val="TableParagraph"/>
              <w:spacing w:before="52"/>
              <w:ind w:right="217"/>
              <w:jc w:val="right"/>
              <w:rPr>
                <w:sz w:val="18"/>
              </w:rPr>
            </w:pPr>
            <w:r>
              <w:rPr>
                <w:w w:val="95"/>
                <w:sz w:val="18"/>
              </w:rPr>
              <w:t>CO</w:t>
            </w:r>
            <w:r>
              <w:rPr>
                <w:w w:val="95"/>
                <w:sz w:val="18"/>
                <w:vertAlign w:val="subscript"/>
              </w:rPr>
              <w:t>2</w:t>
            </w:r>
          </w:p>
        </w:tc>
        <w:tc>
          <w:tcPr>
            <w:tcW w:w="903" w:type="dxa"/>
            <w:tcBorders>
              <w:left w:val="single" w:sz="4" w:space="0" w:color="000000"/>
            </w:tcBorders>
          </w:tcPr>
          <w:p>
            <w:pPr>
              <w:pStyle w:val="TableParagraph"/>
              <w:spacing w:before="52"/>
              <w:ind w:right="260"/>
              <w:jc w:val="right"/>
              <w:rPr>
                <w:sz w:val="18"/>
              </w:rPr>
            </w:pPr>
            <w:r>
              <w:rPr>
                <w:sz w:val="18"/>
              </w:rPr>
              <w:t>2723</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8"/>
              <w:jc w:val="center"/>
              <w:rPr>
                <w:sz w:val="18"/>
              </w:rPr>
            </w:pPr>
            <w:r>
              <w:rPr>
                <w:sz w:val="18"/>
              </w:rPr>
              <w:t>2723</w:t>
            </w:r>
          </w:p>
        </w:tc>
        <w:tc>
          <w:tcPr>
            <w:tcW w:w="1109" w:type="dxa"/>
            <w:tcBorders>
              <w:left w:val="single" w:sz="4" w:space="0" w:color="000000"/>
            </w:tcBorders>
          </w:tcPr>
          <w:p>
            <w:pPr>
              <w:pStyle w:val="TableParagraph"/>
              <w:spacing w:before="52"/>
              <w:ind w:left="31" w:right="36"/>
              <w:jc w:val="center"/>
              <w:rPr>
                <w:sz w:val="18"/>
              </w:rPr>
            </w:pPr>
            <w:r>
              <w:rPr>
                <w:sz w:val="18"/>
              </w:rPr>
              <w:t>0.005</w:t>
            </w:r>
          </w:p>
        </w:tc>
        <w:tc>
          <w:tcPr>
            <w:tcW w:w="1061" w:type="dxa"/>
            <w:tcBorders>
              <w:right w:val="single" w:sz="4" w:space="0" w:color="000000"/>
            </w:tcBorders>
          </w:tcPr>
          <w:p>
            <w:pPr>
              <w:pStyle w:val="TableParagraph"/>
              <w:spacing w:before="52"/>
              <w:ind w:left="77" w:right="77"/>
              <w:jc w:val="center"/>
              <w:rPr>
                <w:sz w:val="18"/>
              </w:rPr>
            </w:pPr>
            <w:r>
              <w:rPr>
                <w:sz w:val="18"/>
              </w:rPr>
              <w:t>0.970</w:t>
            </w:r>
          </w:p>
        </w:tc>
        <w:tc>
          <w:tcPr>
            <w:tcW w:w="1093" w:type="dxa"/>
            <w:tcBorders>
              <w:left w:val="single" w:sz="4" w:space="0" w:color="000000"/>
            </w:tcBorders>
          </w:tcPr>
          <w:p>
            <w:pPr>
              <w:pStyle w:val="TableParagraph"/>
              <w:spacing w:before="52"/>
              <w:ind w:left="32" w:right="20"/>
              <w:jc w:val="center"/>
              <w:rPr>
                <w:sz w:val="18"/>
              </w:rPr>
            </w:pPr>
            <w:r>
              <w:rPr>
                <w:sz w:val="18"/>
              </w:rPr>
              <w:t>0.004</w:t>
            </w:r>
          </w:p>
        </w:tc>
        <w:tc>
          <w:tcPr>
            <w:tcW w:w="1014" w:type="dxa"/>
            <w:tcBorders>
              <w:right w:val="single" w:sz="4" w:space="0" w:color="000000"/>
            </w:tcBorders>
          </w:tcPr>
          <w:p>
            <w:pPr>
              <w:pStyle w:val="TableParagraph"/>
              <w:spacing w:before="52"/>
              <w:ind w:left="43" w:right="25"/>
              <w:jc w:val="center"/>
              <w:rPr>
                <w:sz w:val="18"/>
              </w:rPr>
            </w:pPr>
            <w:r>
              <w:rPr>
                <w:sz w:val="18"/>
              </w:rPr>
              <w:t>0.972</w:t>
            </w:r>
          </w:p>
        </w:tc>
      </w:tr>
      <w:tr>
        <w:trPr>
          <w:trHeight w:val="340" w:hRule="atLeast"/>
        </w:trPr>
        <w:tc>
          <w:tcPr>
            <w:tcW w:w="1154" w:type="dxa"/>
            <w:tcBorders>
              <w:left w:val="single" w:sz="4" w:space="0" w:color="000000"/>
            </w:tcBorders>
          </w:tcPr>
          <w:p>
            <w:pPr>
              <w:pStyle w:val="TableParagraph"/>
              <w:spacing w:before="54"/>
              <w:ind w:left="232"/>
              <w:rPr>
                <w:sz w:val="18"/>
              </w:rPr>
            </w:pPr>
            <w:r>
              <w:rPr>
                <w:sz w:val="18"/>
              </w:rPr>
              <w:t>1.B.1</w:t>
            </w:r>
          </w:p>
        </w:tc>
        <w:tc>
          <w:tcPr>
            <w:tcW w:w="746" w:type="dxa"/>
            <w:tcBorders>
              <w:right w:val="single" w:sz="4" w:space="0" w:color="000000"/>
            </w:tcBorders>
          </w:tcPr>
          <w:p>
            <w:pPr>
              <w:pStyle w:val="TableParagraph"/>
              <w:spacing w:before="54"/>
              <w:ind w:right="217"/>
              <w:jc w:val="right"/>
              <w:rPr>
                <w:sz w:val="18"/>
              </w:rPr>
            </w:pPr>
            <w:r>
              <w:rPr>
                <w:w w:val="95"/>
                <w:sz w:val="18"/>
              </w:rPr>
              <w:t>CH</w:t>
            </w:r>
            <w:r>
              <w:rPr>
                <w:w w:val="95"/>
                <w:sz w:val="18"/>
                <w:vertAlign w:val="subscript"/>
              </w:rPr>
              <w:t>4</w:t>
            </w:r>
          </w:p>
        </w:tc>
        <w:tc>
          <w:tcPr>
            <w:tcW w:w="903" w:type="dxa"/>
            <w:tcBorders>
              <w:left w:val="single" w:sz="4" w:space="0" w:color="000000"/>
            </w:tcBorders>
          </w:tcPr>
          <w:p>
            <w:pPr>
              <w:pStyle w:val="TableParagraph"/>
              <w:spacing w:before="54"/>
              <w:ind w:right="260"/>
              <w:jc w:val="right"/>
              <w:rPr>
                <w:sz w:val="18"/>
              </w:rPr>
            </w:pPr>
            <w:r>
              <w:rPr>
                <w:sz w:val="18"/>
              </w:rPr>
              <w:t>2658</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2658</w:t>
            </w:r>
          </w:p>
        </w:tc>
        <w:tc>
          <w:tcPr>
            <w:tcW w:w="1109" w:type="dxa"/>
            <w:tcBorders>
              <w:left w:val="single" w:sz="4" w:space="0" w:color="000000"/>
            </w:tcBorders>
          </w:tcPr>
          <w:p>
            <w:pPr>
              <w:pStyle w:val="TableParagraph"/>
              <w:spacing w:before="54"/>
              <w:ind w:left="31" w:right="36"/>
              <w:jc w:val="center"/>
              <w:rPr>
                <w:sz w:val="18"/>
              </w:rPr>
            </w:pPr>
            <w:r>
              <w:rPr>
                <w:sz w:val="18"/>
              </w:rPr>
              <w:t>0.005</w:t>
            </w:r>
          </w:p>
        </w:tc>
        <w:tc>
          <w:tcPr>
            <w:tcW w:w="1061" w:type="dxa"/>
            <w:tcBorders>
              <w:right w:val="single" w:sz="4" w:space="0" w:color="000000"/>
            </w:tcBorders>
          </w:tcPr>
          <w:p>
            <w:pPr>
              <w:pStyle w:val="TableParagraph"/>
              <w:spacing w:before="54"/>
              <w:ind w:left="77" w:right="77"/>
              <w:jc w:val="center"/>
              <w:rPr>
                <w:sz w:val="18"/>
              </w:rPr>
            </w:pPr>
            <w:r>
              <w:rPr>
                <w:sz w:val="18"/>
              </w:rPr>
              <w:t>0.975</w:t>
            </w:r>
          </w:p>
        </w:tc>
        <w:tc>
          <w:tcPr>
            <w:tcW w:w="1093" w:type="dxa"/>
            <w:tcBorders>
              <w:left w:val="single" w:sz="4" w:space="0" w:color="000000"/>
            </w:tcBorders>
          </w:tcPr>
          <w:p>
            <w:pPr>
              <w:pStyle w:val="TableParagraph"/>
              <w:spacing w:before="54"/>
              <w:ind w:left="32" w:right="20"/>
              <w:jc w:val="center"/>
              <w:rPr>
                <w:sz w:val="18"/>
              </w:rPr>
            </w:pPr>
            <w:r>
              <w:rPr>
                <w:sz w:val="18"/>
              </w:rPr>
              <w:t>0.004</w:t>
            </w:r>
          </w:p>
        </w:tc>
        <w:tc>
          <w:tcPr>
            <w:tcW w:w="1014" w:type="dxa"/>
            <w:tcBorders>
              <w:right w:val="single" w:sz="4" w:space="0" w:color="000000"/>
            </w:tcBorders>
          </w:tcPr>
          <w:p>
            <w:pPr>
              <w:pStyle w:val="TableParagraph"/>
              <w:spacing w:before="54"/>
              <w:ind w:left="43" w:right="25"/>
              <w:jc w:val="center"/>
              <w:rPr>
                <w:sz w:val="18"/>
              </w:rPr>
            </w:pPr>
            <w:r>
              <w:rPr>
                <w:sz w:val="18"/>
              </w:rPr>
              <w:t>0.976</w:t>
            </w:r>
          </w:p>
        </w:tc>
      </w:tr>
      <w:tr>
        <w:trPr>
          <w:trHeight w:val="339" w:hRule="atLeast"/>
        </w:trPr>
        <w:tc>
          <w:tcPr>
            <w:tcW w:w="1154" w:type="dxa"/>
            <w:tcBorders>
              <w:left w:val="single" w:sz="4" w:space="0" w:color="000000"/>
            </w:tcBorders>
          </w:tcPr>
          <w:p>
            <w:pPr>
              <w:pStyle w:val="TableParagraph"/>
              <w:spacing w:before="54"/>
              <w:ind w:left="232"/>
              <w:rPr>
                <w:sz w:val="18"/>
              </w:rPr>
            </w:pPr>
            <w:r>
              <w:rPr>
                <w:sz w:val="18"/>
              </w:rPr>
              <w:t>6.C</w:t>
            </w:r>
          </w:p>
        </w:tc>
        <w:tc>
          <w:tcPr>
            <w:tcW w:w="746" w:type="dxa"/>
            <w:tcBorders>
              <w:right w:val="single" w:sz="4" w:space="0" w:color="000000"/>
            </w:tcBorders>
          </w:tcPr>
          <w:p>
            <w:pPr>
              <w:pStyle w:val="TableParagraph"/>
              <w:spacing w:before="54"/>
              <w:ind w:right="217"/>
              <w:jc w:val="right"/>
              <w:rPr>
                <w:sz w:val="18"/>
              </w:rPr>
            </w:pPr>
            <w:r>
              <w:rPr>
                <w:w w:val="95"/>
                <w:sz w:val="18"/>
              </w:rPr>
              <w:t>CO</w:t>
            </w:r>
            <w:r>
              <w:rPr>
                <w:w w:val="95"/>
                <w:sz w:val="18"/>
                <w:vertAlign w:val="subscript"/>
              </w:rPr>
              <w:t>2</w:t>
            </w:r>
          </w:p>
        </w:tc>
        <w:tc>
          <w:tcPr>
            <w:tcW w:w="903" w:type="dxa"/>
            <w:tcBorders>
              <w:left w:val="single" w:sz="4" w:space="0" w:color="000000"/>
            </w:tcBorders>
          </w:tcPr>
          <w:p>
            <w:pPr>
              <w:pStyle w:val="TableParagraph"/>
              <w:spacing w:before="54"/>
              <w:ind w:right="260"/>
              <w:jc w:val="right"/>
              <w:rPr>
                <w:sz w:val="18"/>
              </w:rPr>
            </w:pPr>
            <w:r>
              <w:rPr>
                <w:sz w:val="18"/>
              </w:rPr>
              <w:t>2287</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2287</w:t>
            </w:r>
          </w:p>
        </w:tc>
        <w:tc>
          <w:tcPr>
            <w:tcW w:w="1109" w:type="dxa"/>
            <w:tcBorders>
              <w:left w:val="single" w:sz="4" w:space="0" w:color="000000"/>
            </w:tcBorders>
          </w:tcPr>
          <w:p>
            <w:pPr>
              <w:pStyle w:val="TableParagraph"/>
              <w:spacing w:before="54"/>
              <w:ind w:left="31" w:right="36"/>
              <w:jc w:val="center"/>
              <w:rPr>
                <w:sz w:val="18"/>
              </w:rPr>
            </w:pPr>
            <w:r>
              <w:rPr>
                <w:sz w:val="18"/>
              </w:rPr>
              <w:t>0.004</w:t>
            </w:r>
          </w:p>
        </w:tc>
        <w:tc>
          <w:tcPr>
            <w:tcW w:w="1061" w:type="dxa"/>
            <w:tcBorders>
              <w:right w:val="single" w:sz="4" w:space="0" w:color="000000"/>
            </w:tcBorders>
          </w:tcPr>
          <w:p>
            <w:pPr>
              <w:pStyle w:val="TableParagraph"/>
              <w:spacing w:before="54"/>
              <w:ind w:left="77" w:right="77"/>
              <w:jc w:val="center"/>
              <w:rPr>
                <w:sz w:val="18"/>
              </w:rPr>
            </w:pPr>
            <w:r>
              <w:rPr>
                <w:sz w:val="18"/>
              </w:rPr>
              <w:t>0.980</w:t>
            </w:r>
          </w:p>
        </w:tc>
        <w:tc>
          <w:tcPr>
            <w:tcW w:w="1093" w:type="dxa"/>
            <w:tcBorders>
              <w:left w:val="single" w:sz="4" w:space="0" w:color="000000"/>
            </w:tcBorders>
          </w:tcPr>
          <w:p>
            <w:pPr>
              <w:pStyle w:val="TableParagraph"/>
              <w:spacing w:before="54"/>
              <w:ind w:left="32" w:right="20"/>
              <w:jc w:val="center"/>
              <w:rPr>
                <w:sz w:val="18"/>
              </w:rPr>
            </w:pPr>
            <w:r>
              <w:rPr>
                <w:sz w:val="18"/>
              </w:rPr>
              <w:t>0.004</w:t>
            </w:r>
          </w:p>
        </w:tc>
        <w:tc>
          <w:tcPr>
            <w:tcW w:w="1014" w:type="dxa"/>
            <w:tcBorders>
              <w:right w:val="single" w:sz="4" w:space="0" w:color="000000"/>
            </w:tcBorders>
          </w:tcPr>
          <w:p>
            <w:pPr>
              <w:pStyle w:val="TableParagraph"/>
              <w:spacing w:before="54"/>
              <w:ind w:left="43" w:right="25"/>
              <w:jc w:val="center"/>
              <w:rPr>
                <w:sz w:val="18"/>
              </w:rPr>
            </w:pPr>
            <w:r>
              <w:rPr>
                <w:sz w:val="18"/>
              </w:rPr>
              <w:t>0.980</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1.B.2</w:t>
            </w:r>
          </w:p>
        </w:tc>
        <w:tc>
          <w:tcPr>
            <w:tcW w:w="746" w:type="dxa"/>
            <w:tcBorders>
              <w:right w:val="single" w:sz="4" w:space="0" w:color="000000"/>
            </w:tcBorders>
          </w:tcPr>
          <w:p>
            <w:pPr>
              <w:pStyle w:val="TableParagraph"/>
              <w:spacing w:before="52"/>
              <w:ind w:right="217"/>
              <w:jc w:val="right"/>
              <w:rPr>
                <w:sz w:val="18"/>
              </w:rPr>
            </w:pPr>
            <w:r>
              <w:rPr>
                <w:w w:val="95"/>
                <w:sz w:val="18"/>
              </w:rPr>
              <w:t>CH</w:t>
            </w:r>
            <w:r>
              <w:rPr>
                <w:w w:val="95"/>
                <w:sz w:val="18"/>
                <w:vertAlign w:val="subscript"/>
              </w:rPr>
              <w:t>4</w:t>
            </w:r>
          </w:p>
        </w:tc>
        <w:tc>
          <w:tcPr>
            <w:tcW w:w="903" w:type="dxa"/>
            <w:tcBorders>
              <w:left w:val="single" w:sz="4" w:space="0" w:color="000000"/>
            </w:tcBorders>
          </w:tcPr>
          <w:p>
            <w:pPr>
              <w:pStyle w:val="TableParagraph"/>
              <w:spacing w:before="52"/>
              <w:ind w:right="260"/>
              <w:jc w:val="right"/>
              <w:rPr>
                <w:sz w:val="18"/>
              </w:rPr>
            </w:pPr>
            <w:r>
              <w:rPr>
                <w:sz w:val="18"/>
              </w:rPr>
              <w:t>1906</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8"/>
              <w:jc w:val="center"/>
              <w:rPr>
                <w:sz w:val="18"/>
              </w:rPr>
            </w:pPr>
            <w:r>
              <w:rPr>
                <w:sz w:val="18"/>
              </w:rPr>
              <w:t>1906</w:t>
            </w:r>
          </w:p>
        </w:tc>
        <w:tc>
          <w:tcPr>
            <w:tcW w:w="1109" w:type="dxa"/>
            <w:tcBorders>
              <w:left w:val="single" w:sz="4" w:space="0" w:color="000000"/>
            </w:tcBorders>
          </w:tcPr>
          <w:p>
            <w:pPr>
              <w:pStyle w:val="TableParagraph"/>
              <w:spacing w:before="52"/>
              <w:ind w:left="31" w:right="36"/>
              <w:jc w:val="center"/>
              <w:rPr>
                <w:sz w:val="18"/>
              </w:rPr>
            </w:pPr>
            <w:r>
              <w:rPr>
                <w:sz w:val="18"/>
              </w:rPr>
              <w:t>0.004</w:t>
            </w:r>
          </w:p>
        </w:tc>
        <w:tc>
          <w:tcPr>
            <w:tcW w:w="1061" w:type="dxa"/>
            <w:tcBorders>
              <w:right w:val="single" w:sz="4" w:space="0" w:color="000000"/>
            </w:tcBorders>
          </w:tcPr>
          <w:p>
            <w:pPr>
              <w:pStyle w:val="TableParagraph"/>
              <w:spacing w:before="52"/>
              <w:ind w:left="77" w:right="77"/>
              <w:jc w:val="center"/>
              <w:rPr>
                <w:sz w:val="18"/>
              </w:rPr>
            </w:pPr>
            <w:r>
              <w:rPr>
                <w:sz w:val="18"/>
              </w:rPr>
              <w:t>0.983</w:t>
            </w:r>
          </w:p>
        </w:tc>
        <w:tc>
          <w:tcPr>
            <w:tcW w:w="1093" w:type="dxa"/>
            <w:tcBorders>
              <w:left w:val="single" w:sz="4" w:space="0" w:color="000000"/>
            </w:tcBorders>
          </w:tcPr>
          <w:p>
            <w:pPr>
              <w:pStyle w:val="TableParagraph"/>
              <w:spacing w:before="52"/>
              <w:ind w:left="32" w:right="20"/>
              <w:jc w:val="center"/>
              <w:rPr>
                <w:sz w:val="18"/>
              </w:rPr>
            </w:pPr>
            <w:r>
              <w:rPr>
                <w:sz w:val="18"/>
              </w:rPr>
              <w:t>0.003</w:t>
            </w:r>
          </w:p>
        </w:tc>
        <w:tc>
          <w:tcPr>
            <w:tcW w:w="1014" w:type="dxa"/>
            <w:tcBorders>
              <w:right w:val="single" w:sz="4" w:space="0" w:color="000000"/>
            </w:tcBorders>
          </w:tcPr>
          <w:p>
            <w:pPr>
              <w:pStyle w:val="TableParagraph"/>
              <w:spacing w:before="52"/>
              <w:ind w:left="43" w:right="25"/>
              <w:jc w:val="center"/>
              <w:rPr>
                <w:sz w:val="18"/>
              </w:rPr>
            </w:pPr>
            <w:r>
              <w:rPr>
                <w:sz w:val="18"/>
              </w:rPr>
              <w:t>0.983</w:t>
            </w:r>
          </w:p>
        </w:tc>
      </w:tr>
      <w:tr>
        <w:trPr>
          <w:trHeight w:val="340"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5.E</w:t>
              <w:tab/>
              <w:t>CH</w:t>
            </w:r>
            <w:r>
              <w:rPr>
                <w:sz w:val="18"/>
                <w:vertAlign w:val="subscript"/>
              </w:rPr>
              <w:t>4</w:t>
            </w:r>
          </w:p>
        </w:tc>
        <w:tc>
          <w:tcPr>
            <w:tcW w:w="903" w:type="dxa"/>
            <w:tcBorders>
              <w:left w:val="single" w:sz="4" w:space="0" w:color="000000"/>
            </w:tcBorders>
          </w:tcPr>
          <w:p>
            <w:pPr>
              <w:pStyle w:val="TableParagraph"/>
              <w:spacing w:before="54"/>
              <w:ind w:left="63" w:right="52"/>
              <w:jc w:val="center"/>
              <w:rPr>
                <w:sz w:val="18"/>
              </w:rPr>
            </w:pPr>
            <w:r>
              <w:rPr>
                <w:sz w:val="18"/>
              </w:rPr>
              <w:t>..</w:t>
            </w:r>
          </w:p>
        </w:tc>
        <w:tc>
          <w:tcPr>
            <w:tcW w:w="905" w:type="dxa"/>
            <w:tcBorders>
              <w:right w:val="single" w:sz="4" w:space="0" w:color="000000"/>
            </w:tcBorders>
          </w:tcPr>
          <w:p>
            <w:pPr>
              <w:pStyle w:val="TableParagraph"/>
              <w:spacing w:before="54"/>
              <w:ind w:right="260"/>
              <w:jc w:val="right"/>
              <w:rPr>
                <w:sz w:val="18"/>
              </w:rPr>
            </w:pPr>
            <w:r>
              <w:rPr>
                <w:sz w:val="18"/>
              </w:rPr>
              <w:t>1880</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1880</w:t>
            </w:r>
          </w:p>
        </w:tc>
        <w:tc>
          <w:tcPr>
            <w:tcW w:w="1109" w:type="dxa"/>
            <w:tcBorders>
              <w:left w:val="single" w:sz="4" w:space="0" w:color="000000"/>
            </w:tcBorders>
          </w:tcPr>
          <w:p>
            <w:pPr>
              <w:pStyle w:val="TableParagraph"/>
              <w:spacing w:before="54"/>
              <w:ind w:left="31" w:right="36"/>
              <w:jc w:val="center"/>
              <w:rPr>
                <w:sz w:val="18"/>
              </w:rPr>
            </w:pPr>
            <w:r>
              <w:rPr>
                <w:sz w:val="18"/>
              </w:rPr>
              <w:t>..</w:t>
            </w:r>
          </w:p>
        </w:tc>
        <w:tc>
          <w:tcPr>
            <w:tcW w:w="1061" w:type="dxa"/>
            <w:tcBorders>
              <w:right w:val="single" w:sz="4" w:space="0" w:color="000000"/>
            </w:tcBorders>
          </w:tcPr>
          <w:p>
            <w:pPr>
              <w:pStyle w:val="TableParagraph"/>
              <w:spacing w:before="54"/>
              <w:ind w:left="77" w:right="77"/>
              <w:jc w:val="center"/>
              <w:rPr>
                <w:sz w:val="18"/>
              </w:rPr>
            </w:pPr>
            <w:r>
              <w:rPr>
                <w:sz w:val="18"/>
              </w:rPr>
              <w:t>0.983</w:t>
            </w:r>
          </w:p>
        </w:tc>
        <w:tc>
          <w:tcPr>
            <w:tcW w:w="1093" w:type="dxa"/>
            <w:tcBorders>
              <w:left w:val="single" w:sz="4" w:space="0" w:color="000000"/>
            </w:tcBorders>
          </w:tcPr>
          <w:p>
            <w:pPr>
              <w:pStyle w:val="TableParagraph"/>
              <w:spacing w:before="54"/>
              <w:ind w:left="32" w:right="20"/>
              <w:jc w:val="center"/>
              <w:rPr>
                <w:sz w:val="18"/>
              </w:rPr>
            </w:pPr>
            <w:r>
              <w:rPr>
                <w:sz w:val="18"/>
              </w:rPr>
              <w:t>0.003</w:t>
            </w:r>
          </w:p>
        </w:tc>
        <w:tc>
          <w:tcPr>
            <w:tcW w:w="1014" w:type="dxa"/>
            <w:tcBorders>
              <w:right w:val="single" w:sz="4" w:space="0" w:color="000000"/>
            </w:tcBorders>
          </w:tcPr>
          <w:p>
            <w:pPr>
              <w:pStyle w:val="TableParagraph"/>
              <w:spacing w:before="54"/>
              <w:ind w:left="43" w:right="26"/>
              <w:jc w:val="center"/>
              <w:rPr>
                <w:sz w:val="18"/>
              </w:rPr>
            </w:pPr>
            <w:r>
              <w:rPr>
                <w:sz w:val="18"/>
              </w:rPr>
              <w:t>0.986</w:t>
            </w:r>
          </w:p>
        </w:tc>
      </w:tr>
      <w:tr>
        <w:trPr>
          <w:trHeight w:val="339" w:hRule="atLeast"/>
        </w:trPr>
        <w:tc>
          <w:tcPr>
            <w:tcW w:w="1154" w:type="dxa"/>
            <w:tcBorders>
              <w:left w:val="single" w:sz="4" w:space="0" w:color="000000"/>
            </w:tcBorders>
          </w:tcPr>
          <w:p>
            <w:pPr>
              <w:pStyle w:val="TableParagraph"/>
              <w:spacing w:before="54"/>
              <w:ind w:left="232"/>
              <w:rPr>
                <w:sz w:val="18"/>
              </w:rPr>
            </w:pPr>
            <w:r>
              <w:rPr>
                <w:sz w:val="18"/>
              </w:rPr>
              <w:t>1.AA.4</w:t>
            </w:r>
          </w:p>
        </w:tc>
        <w:tc>
          <w:tcPr>
            <w:tcW w:w="746" w:type="dxa"/>
            <w:tcBorders>
              <w:right w:val="single" w:sz="4" w:space="0" w:color="000000"/>
            </w:tcBorders>
          </w:tcPr>
          <w:p>
            <w:pPr>
              <w:pStyle w:val="TableParagraph"/>
              <w:spacing w:before="54"/>
              <w:ind w:right="207"/>
              <w:jc w:val="right"/>
              <w:rPr>
                <w:sz w:val="18"/>
              </w:rPr>
            </w:pPr>
            <w:r>
              <w:rPr>
                <w:w w:val="95"/>
                <w:sz w:val="18"/>
              </w:rPr>
              <w:t>N</w:t>
            </w:r>
            <w:r>
              <w:rPr>
                <w:w w:val="95"/>
                <w:sz w:val="18"/>
                <w:vertAlign w:val="subscript"/>
              </w:rPr>
              <w:t>2</w:t>
            </w:r>
            <w:r>
              <w:rPr>
                <w:w w:val="95"/>
                <w:sz w:val="18"/>
                <w:vertAlign w:val="baseline"/>
              </w:rPr>
              <w:t>O</w:t>
            </w:r>
          </w:p>
        </w:tc>
        <w:tc>
          <w:tcPr>
            <w:tcW w:w="903" w:type="dxa"/>
            <w:tcBorders>
              <w:left w:val="single" w:sz="4" w:space="0" w:color="000000"/>
            </w:tcBorders>
          </w:tcPr>
          <w:p>
            <w:pPr>
              <w:pStyle w:val="TableParagraph"/>
              <w:spacing w:before="54"/>
              <w:ind w:right="260"/>
              <w:jc w:val="right"/>
              <w:rPr>
                <w:sz w:val="18"/>
              </w:rPr>
            </w:pPr>
            <w:r>
              <w:rPr>
                <w:sz w:val="18"/>
              </w:rPr>
              <w:t>1456</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8"/>
              <w:jc w:val="center"/>
              <w:rPr>
                <w:sz w:val="18"/>
              </w:rPr>
            </w:pPr>
            <w:r>
              <w:rPr>
                <w:sz w:val="18"/>
              </w:rPr>
              <w:t>1456</w:t>
            </w:r>
          </w:p>
        </w:tc>
        <w:tc>
          <w:tcPr>
            <w:tcW w:w="1109" w:type="dxa"/>
            <w:tcBorders>
              <w:left w:val="single" w:sz="4" w:space="0" w:color="000000"/>
            </w:tcBorders>
          </w:tcPr>
          <w:p>
            <w:pPr>
              <w:pStyle w:val="TableParagraph"/>
              <w:spacing w:before="54"/>
              <w:ind w:left="31" w:right="36"/>
              <w:jc w:val="center"/>
              <w:rPr>
                <w:sz w:val="18"/>
              </w:rPr>
            </w:pPr>
            <w:r>
              <w:rPr>
                <w:sz w:val="18"/>
              </w:rPr>
              <w:t>0.003</w:t>
            </w:r>
          </w:p>
        </w:tc>
        <w:tc>
          <w:tcPr>
            <w:tcW w:w="1061" w:type="dxa"/>
            <w:tcBorders>
              <w:right w:val="single" w:sz="4" w:space="0" w:color="000000"/>
            </w:tcBorders>
          </w:tcPr>
          <w:p>
            <w:pPr>
              <w:pStyle w:val="TableParagraph"/>
              <w:spacing w:before="54"/>
              <w:ind w:left="77" w:right="77"/>
              <w:jc w:val="center"/>
              <w:rPr>
                <w:sz w:val="18"/>
              </w:rPr>
            </w:pPr>
            <w:r>
              <w:rPr>
                <w:sz w:val="18"/>
              </w:rPr>
              <w:t>0.986</w:t>
            </w:r>
          </w:p>
        </w:tc>
        <w:tc>
          <w:tcPr>
            <w:tcW w:w="1093" w:type="dxa"/>
            <w:tcBorders>
              <w:left w:val="single" w:sz="4" w:space="0" w:color="000000"/>
            </w:tcBorders>
          </w:tcPr>
          <w:p>
            <w:pPr>
              <w:pStyle w:val="TableParagraph"/>
              <w:spacing w:before="54"/>
              <w:ind w:left="32" w:right="20"/>
              <w:jc w:val="center"/>
              <w:rPr>
                <w:sz w:val="18"/>
              </w:rPr>
            </w:pPr>
            <w:r>
              <w:rPr>
                <w:sz w:val="18"/>
              </w:rPr>
              <w:t>0.002</w:t>
            </w:r>
          </w:p>
        </w:tc>
        <w:tc>
          <w:tcPr>
            <w:tcW w:w="1014" w:type="dxa"/>
            <w:tcBorders>
              <w:right w:val="single" w:sz="4" w:space="0" w:color="000000"/>
            </w:tcBorders>
          </w:tcPr>
          <w:p>
            <w:pPr>
              <w:pStyle w:val="TableParagraph"/>
              <w:spacing w:before="54"/>
              <w:ind w:left="43" w:right="25"/>
              <w:jc w:val="center"/>
              <w:rPr>
                <w:sz w:val="18"/>
              </w:rPr>
            </w:pPr>
            <w:r>
              <w:rPr>
                <w:sz w:val="18"/>
              </w:rPr>
              <w:t>0.988</w:t>
            </w:r>
          </w:p>
        </w:tc>
      </w:tr>
      <w:tr>
        <w:trPr>
          <w:trHeight w:val="339"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2"/>
              <w:ind w:left="232"/>
              <w:rPr>
                <w:sz w:val="18"/>
              </w:rPr>
            </w:pPr>
            <w:r>
              <w:rPr>
                <w:sz w:val="18"/>
              </w:rPr>
              <w:t>3.A</w:t>
              <w:tab/>
              <w:t>CO</w:t>
            </w:r>
            <w:r>
              <w:rPr>
                <w:sz w:val="18"/>
                <w:vertAlign w:val="subscript"/>
              </w:rPr>
              <w:t>2</w:t>
            </w:r>
          </w:p>
        </w:tc>
        <w:tc>
          <w:tcPr>
            <w:tcW w:w="903" w:type="dxa"/>
            <w:tcBorders>
              <w:left w:val="single" w:sz="4" w:space="0" w:color="000000"/>
            </w:tcBorders>
          </w:tcPr>
          <w:p>
            <w:pPr>
              <w:pStyle w:val="TableParagraph"/>
              <w:spacing w:before="52"/>
              <w:ind w:left="62" w:right="53"/>
              <w:jc w:val="center"/>
              <w:rPr>
                <w:sz w:val="18"/>
              </w:rPr>
            </w:pPr>
            <w:r>
              <w:rPr>
                <w:sz w:val="18"/>
              </w:rPr>
              <w:t>823</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9"/>
              <w:jc w:val="center"/>
              <w:rPr>
                <w:sz w:val="18"/>
              </w:rPr>
            </w:pPr>
            <w:r>
              <w:rPr>
                <w:sz w:val="18"/>
              </w:rPr>
              <w:t>823</w:t>
            </w:r>
          </w:p>
        </w:tc>
        <w:tc>
          <w:tcPr>
            <w:tcW w:w="1109" w:type="dxa"/>
            <w:tcBorders>
              <w:left w:val="single" w:sz="4" w:space="0" w:color="000000"/>
            </w:tcBorders>
          </w:tcPr>
          <w:p>
            <w:pPr>
              <w:pStyle w:val="TableParagraph"/>
              <w:spacing w:before="52"/>
              <w:ind w:left="31" w:right="37"/>
              <w:jc w:val="center"/>
              <w:rPr>
                <w:sz w:val="18"/>
              </w:rPr>
            </w:pPr>
            <w:r>
              <w:rPr>
                <w:sz w:val="18"/>
              </w:rPr>
              <w:t>0.002</w:t>
            </w:r>
          </w:p>
        </w:tc>
        <w:tc>
          <w:tcPr>
            <w:tcW w:w="1061" w:type="dxa"/>
            <w:tcBorders>
              <w:right w:val="single" w:sz="4" w:space="0" w:color="000000"/>
            </w:tcBorders>
          </w:tcPr>
          <w:p>
            <w:pPr>
              <w:pStyle w:val="TableParagraph"/>
              <w:spacing w:before="52"/>
              <w:ind w:left="77" w:right="78"/>
              <w:jc w:val="center"/>
              <w:rPr>
                <w:sz w:val="18"/>
              </w:rPr>
            </w:pPr>
            <w:r>
              <w:rPr>
                <w:sz w:val="18"/>
              </w:rPr>
              <w:t>0.987</w:t>
            </w:r>
          </w:p>
        </w:tc>
        <w:tc>
          <w:tcPr>
            <w:tcW w:w="1093" w:type="dxa"/>
            <w:tcBorders>
              <w:left w:val="single" w:sz="4" w:space="0" w:color="000000"/>
            </w:tcBorders>
          </w:tcPr>
          <w:p>
            <w:pPr>
              <w:pStyle w:val="TableParagraph"/>
              <w:spacing w:before="52"/>
              <w:ind w:left="32" w:right="20"/>
              <w:jc w:val="center"/>
              <w:rPr>
                <w:sz w:val="18"/>
              </w:rPr>
            </w:pPr>
            <w:r>
              <w:rPr>
                <w:sz w:val="18"/>
              </w:rPr>
              <w:t>0.001</w:t>
            </w:r>
          </w:p>
        </w:tc>
        <w:tc>
          <w:tcPr>
            <w:tcW w:w="1014" w:type="dxa"/>
            <w:tcBorders>
              <w:right w:val="single" w:sz="4" w:space="0" w:color="000000"/>
            </w:tcBorders>
          </w:tcPr>
          <w:p>
            <w:pPr>
              <w:pStyle w:val="TableParagraph"/>
              <w:spacing w:before="52"/>
              <w:ind w:left="43" w:right="26"/>
              <w:jc w:val="center"/>
              <w:rPr>
                <w:sz w:val="18"/>
              </w:rPr>
            </w:pPr>
            <w:r>
              <w:rPr>
                <w:sz w:val="18"/>
              </w:rPr>
              <w:t>0.989</w:t>
            </w:r>
          </w:p>
        </w:tc>
      </w:tr>
      <w:tr>
        <w:trPr>
          <w:trHeight w:val="340" w:hRule="atLeast"/>
        </w:trPr>
        <w:tc>
          <w:tcPr>
            <w:tcW w:w="1154" w:type="dxa"/>
            <w:tcBorders>
              <w:left w:val="single" w:sz="4" w:space="0" w:color="000000"/>
            </w:tcBorders>
          </w:tcPr>
          <w:p>
            <w:pPr>
              <w:pStyle w:val="TableParagraph"/>
              <w:spacing w:before="54"/>
              <w:ind w:left="232"/>
              <w:rPr>
                <w:sz w:val="18"/>
              </w:rPr>
            </w:pPr>
            <w:r>
              <w:rPr>
                <w:sz w:val="18"/>
              </w:rPr>
              <w:t>1.AA.2</w:t>
            </w:r>
          </w:p>
        </w:tc>
        <w:tc>
          <w:tcPr>
            <w:tcW w:w="746" w:type="dxa"/>
            <w:tcBorders>
              <w:right w:val="single" w:sz="4" w:space="0" w:color="000000"/>
            </w:tcBorders>
          </w:tcPr>
          <w:p>
            <w:pPr>
              <w:pStyle w:val="TableParagraph"/>
              <w:spacing w:before="54"/>
              <w:ind w:right="207"/>
              <w:jc w:val="right"/>
              <w:rPr>
                <w:sz w:val="18"/>
              </w:rPr>
            </w:pPr>
            <w:r>
              <w:rPr>
                <w:w w:val="95"/>
                <w:sz w:val="18"/>
              </w:rPr>
              <w:t>N</w:t>
            </w:r>
            <w:r>
              <w:rPr>
                <w:w w:val="95"/>
                <w:sz w:val="18"/>
                <w:vertAlign w:val="subscript"/>
              </w:rPr>
              <w:t>2</w:t>
            </w:r>
            <w:r>
              <w:rPr>
                <w:w w:val="95"/>
                <w:sz w:val="18"/>
                <w:vertAlign w:val="baseline"/>
              </w:rPr>
              <w:t>O</w:t>
            </w:r>
          </w:p>
        </w:tc>
        <w:tc>
          <w:tcPr>
            <w:tcW w:w="903" w:type="dxa"/>
            <w:tcBorders>
              <w:left w:val="single" w:sz="4" w:space="0" w:color="000000"/>
            </w:tcBorders>
          </w:tcPr>
          <w:p>
            <w:pPr>
              <w:pStyle w:val="TableParagraph"/>
              <w:spacing w:before="54"/>
              <w:ind w:left="62" w:right="53"/>
              <w:jc w:val="center"/>
              <w:rPr>
                <w:sz w:val="18"/>
              </w:rPr>
            </w:pPr>
            <w:r>
              <w:rPr>
                <w:sz w:val="18"/>
              </w:rPr>
              <w:t>796</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796</w:t>
            </w:r>
          </w:p>
        </w:tc>
        <w:tc>
          <w:tcPr>
            <w:tcW w:w="1109" w:type="dxa"/>
            <w:tcBorders>
              <w:left w:val="single" w:sz="4" w:space="0" w:color="000000"/>
            </w:tcBorders>
          </w:tcPr>
          <w:p>
            <w:pPr>
              <w:pStyle w:val="TableParagraph"/>
              <w:spacing w:before="54"/>
              <w:ind w:left="31" w:right="37"/>
              <w:jc w:val="center"/>
              <w:rPr>
                <w:sz w:val="18"/>
              </w:rPr>
            </w:pPr>
            <w:r>
              <w:rPr>
                <w:sz w:val="18"/>
              </w:rPr>
              <w:t>0.001</w:t>
            </w:r>
          </w:p>
        </w:tc>
        <w:tc>
          <w:tcPr>
            <w:tcW w:w="1061" w:type="dxa"/>
            <w:tcBorders>
              <w:right w:val="single" w:sz="4" w:space="0" w:color="000000"/>
            </w:tcBorders>
          </w:tcPr>
          <w:p>
            <w:pPr>
              <w:pStyle w:val="TableParagraph"/>
              <w:spacing w:before="54"/>
              <w:ind w:left="77" w:right="78"/>
              <w:jc w:val="center"/>
              <w:rPr>
                <w:sz w:val="18"/>
              </w:rPr>
            </w:pPr>
            <w:r>
              <w:rPr>
                <w:sz w:val="18"/>
              </w:rPr>
              <w:t>0.989</w:t>
            </w:r>
          </w:p>
        </w:tc>
        <w:tc>
          <w:tcPr>
            <w:tcW w:w="1093" w:type="dxa"/>
            <w:tcBorders>
              <w:left w:val="single" w:sz="4" w:space="0" w:color="000000"/>
            </w:tcBorders>
          </w:tcPr>
          <w:p>
            <w:pPr>
              <w:pStyle w:val="TableParagraph"/>
              <w:spacing w:before="54"/>
              <w:ind w:left="32" w:right="21"/>
              <w:jc w:val="center"/>
              <w:rPr>
                <w:sz w:val="18"/>
              </w:rPr>
            </w:pPr>
            <w:r>
              <w:rPr>
                <w:sz w:val="18"/>
              </w:rPr>
              <w:t>0.001</w:t>
            </w:r>
          </w:p>
        </w:tc>
        <w:tc>
          <w:tcPr>
            <w:tcW w:w="1014" w:type="dxa"/>
            <w:tcBorders>
              <w:right w:val="single" w:sz="4" w:space="0" w:color="000000"/>
            </w:tcBorders>
          </w:tcPr>
          <w:p>
            <w:pPr>
              <w:pStyle w:val="TableParagraph"/>
              <w:spacing w:before="54"/>
              <w:ind w:left="43" w:right="26"/>
              <w:jc w:val="center"/>
              <w:rPr>
                <w:sz w:val="18"/>
              </w:rPr>
            </w:pPr>
            <w:r>
              <w:rPr>
                <w:sz w:val="18"/>
              </w:rPr>
              <w:t>0.990</w:t>
            </w:r>
          </w:p>
        </w:tc>
      </w:tr>
      <w:tr>
        <w:trPr>
          <w:trHeight w:val="339" w:hRule="atLeast"/>
        </w:trPr>
        <w:tc>
          <w:tcPr>
            <w:tcW w:w="1154" w:type="dxa"/>
            <w:tcBorders>
              <w:left w:val="single" w:sz="4" w:space="0" w:color="000000"/>
            </w:tcBorders>
          </w:tcPr>
          <w:p>
            <w:pPr>
              <w:pStyle w:val="TableParagraph"/>
              <w:spacing w:before="54"/>
              <w:ind w:left="232"/>
              <w:rPr>
                <w:sz w:val="18"/>
              </w:rPr>
            </w:pPr>
            <w:r>
              <w:rPr>
                <w:sz w:val="18"/>
              </w:rPr>
              <w:t>1.AA.1</w:t>
            </w:r>
          </w:p>
        </w:tc>
        <w:tc>
          <w:tcPr>
            <w:tcW w:w="746" w:type="dxa"/>
            <w:tcBorders>
              <w:right w:val="single" w:sz="4" w:space="0" w:color="000000"/>
            </w:tcBorders>
          </w:tcPr>
          <w:p>
            <w:pPr>
              <w:pStyle w:val="TableParagraph"/>
              <w:spacing w:before="54"/>
              <w:ind w:right="207"/>
              <w:jc w:val="right"/>
              <w:rPr>
                <w:sz w:val="18"/>
              </w:rPr>
            </w:pPr>
            <w:r>
              <w:rPr>
                <w:w w:val="95"/>
                <w:sz w:val="18"/>
              </w:rPr>
              <w:t>N</w:t>
            </w:r>
            <w:r>
              <w:rPr>
                <w:w w:val="95"/>
                <w:sz w:val="18"/>
                <w:vertAlign w:val="subscript"/>
              </w:rPr>
              <w:t>2</w:t>
            </w:r>
            <w:r>
              <w:rPr>
                <w:w w:val="95"/>
                <w:sz w:val="18"/>
                <w:vertAlign w:val="baseline"/>
              </w:rPr>
              <w:t>O</w:t>
            </w:r>
          </w:p>
        </w:tc>
        <w:tc>
          <w:tcPr>
            <w:tcW w:w="903" w:type="dxa"/>
            <w:tcBorders>
              <w:left w:val="single" w:sz="4" w:space="0" w:color="000000"/>
            </w:tcBorders>
          </w:tcPr>
          <w:p>
            <w:pPr>
              <w:pStyle w:val="TableParagraph"/>
              <w:spacing w:before="54"/>
              <w:ind w:left="62" w:right="53"/>
              <w:jc w:val="center"/>
              <w:rPr>
                <w:sz w:val="18"/>
              </w:rPr>
            </w:pPr>
            <w:r>
              <w:rPr>
                <w:sz w:val="18"/>
              </w:rPr>
              <w:t>683</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683</w:t>
            </w:r>
          </w:p>
        </w:tc>
        <w:tc>
          <w:tcPr>
            <w:tcW w:w="1109" w:type="dxa"/>
            <w:tcBorders>
              <w:left w:val="single" w:sz="4" w:space="0" w:color="000000"/>
            </w:tcBorders>
          </w:tcPr>
          <w:p>
            <w:pPr>
              <w:pStyle w:val="TableParagraph"/>
              <w:spacing w:before="54"/>
              <w:ind w:left="31" w:right="37"/>
              <w:jc w:val="center"/>
              <w:rPr>
                <w:sz w:val="18"/>
              </w:rPr>
            </w:pPr>
            <w:r>
              <w:rPr>
                <w:sz w:val="18"/>
              </w:rPr>
              <w:t>0.001</w:t>
            </w:r>
          </w:p>
        </w:tc>
        <w:tc>
          <w:tcPr>
            <w:tcW w:w="1061" w:type="dxa"/>
            <w:tcBorders>
              <w:right w:val="single" w:sz="4" w:space="0" w:color="000000"/>
            </w:tcBorders>
          </w:tcPr>
          <w:p>
            <w:pPr>
              <w:pStyle w:val="TableParagraph"/>
              <w:spacing w:before="54"/>
              <w:ind w:left="77" w:right="78"/>
              <w:jc w:val="center"/>
              <w:rPr>
                <w:sz w:val="18"/>
              </w:rPr>
            </w:pPr>
            <w:r>
              <w:rPr>
                <w:sz w:val="18"/>
              </w:rPr>
              <w:t>0.990</w:t>
            </w:r>
          </w:p>
        </w:tc>
        <w:tc>
          <w:tcPr>
            <w:tcW w:w="1093" w:type="dxa"/>
            <w:tcBorders>
              <w:left w:val="single" w:sz="4" w:space="0" w:color="000000"/>
            </w:tcBorders>
          </w:tcPr>
          <w:p>
            <w:pPr>
              <w:pStyle w:val="TableParagraph"/>
              <w:spacing w:before="54"/>
              <w:ind w:left="32" w:right="21"/>
              <w:jc w:val="center"/>
              <w:rPr>
                <w:sz w:val="18"/>
              </w:rPr>
            </w:pPr>
            <w:r>
              <w:rPr>
                <w:sz w:val="18"/>
              </w:rPr>
              <w:t>0.001</w:t>
            </w:r>
          </w:p>
        </w:tc>
        <w:tc>
          <w:tcPr>
            <w:tcW w:w="1014" w:type="dxa"/>
            <w:tcBorders>
              <w:right w:val="single" w:sz="4" w:space="0" w:color="000000"/>
            </w:tcBorders>
          </w:tcPr>
          <w:p>
            <w:pPr>
              <w:pStyle w:val="TableParagraph"/>
              <w:spacing w:before="54"/>
              <w:ind w:left="43" w:right="26"/>
              <w:jc w:val="center"/>
              <w:rPr>
                <w:sz w:val="18"/>
              </w:rPr>
            </w:pPr>
            <w:r>
              <w:rPr>
                <w:sz w:val="18"/>
              </w:rPr>
              <w:t>0.991</w:t>
            </w:r>
          </w:p>
        </w:tc>
      </w:tr>
      <w:tr>
        <w:trPr>
          <w:trHeight w:val="339"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2"/>
              <w:ind w:left="232"/>
              <w:rPr>
                <w:sz w:val="18"/>
              </w:rPr>
            </w:pPr>
            <w:r>
              <w:rPr>
                <w:sz w:val="18"/>
              </w:rPr>
              <w:t>6.B</w:t>
              <w:tab/>
              <w:t>N</w:t>
            </w:r>
            <w:r>
              <w:rPr>
                <w:sz w:val="18"/>
                <w:vertAlign w:val="subscript"/>
              </w:rPr>
              <w:t>2</w:t>
            </w:r>
            <w:r>
              <w:rPr>
                <w:sz w:val="18"/>
                <w:vertAlign w:val="baseline"/>
              </w:rPr>
              <w:t>O</w:t>
            </w:r>
          </w:p>
        </w:tc>
        <w:tc>
          <w:tcPr>
            <w:tcW w:w="903" w:type="dxa"/>
            <w:tcBorders>
              <w:left w:val="single" w:sz="4" w:space="0" w:color="000000"/>
            </w:tcBorders>
          </w:tcPr>
          <w:p>
            <w:pPr>
              <w:pStyle w:val="TableParagraph"/>
              <w:spacing w:before="52"/>
              <w:ind w:left="62" w:right="53"/>
              <w:jc w:val="center"/>
              <w:rPr>
                <w:sz w:val="18"/>
              </w:rPr>
            </w:pPr>
            <w:r>
              <w:rPr>
                <w:sz w:val="18"/>
              </w:rPr>
              <w:t>665</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9"/>
              <w:jc w:val="center"/>
              <w:rPr>
                <w:sz w:val="18"/>
              </w:rPr>
            </w:pPr>
            <w:r>
              <w:rPr>
                <w:sz w:val="18"/>
              </w:rPr>
              <w:t>665</w:t>
            </w:r>
          </w:p>
        </w:tc>
        <w:tc>
          <w:tcPr>
            <w:tcW w:w="1109" w:type="dxa"/>
            <w:tcBorders>
              <w:left w:val="single" w:sz="4" w:space="0" w:color="000000"/>
            </w:tcBorders>
          </w:tcPr>
          <w:p>
            <w:pPr>
              <w:pStyle w:val="TableParagraph"/>
              <w:spacing w:before="52"/>
              <w:ind w:left="31" w:right="37"/>
              <w:jc w:val="center"/>
              <w:rPr>
                <w:sz w:val="18"/>
              </w:rPr>
            </w:pPr>
            <w:r>
              <w:rPr>
                <w:sz w:val="18"/>
              </w:rPr>
              <w:t>0.001</w:t>
            </w:r>
          </w:p>
        </w:tc>
        <w:tc>
          <w:tcPr>
            <w:tcW w:w="1061" w:type="dxa"/>
            <w:tcBorders>
              <w:right w:val="single" w:sz="4" w:space="0" w:color="000000"/>
            </w:tcBorders>
          </w:tcPr>
          <w:p>
            <w:pPr>
              <w:pStyle w:val="TableParagraph"/>
              <w:spacing w:before="52"/>
              <w:ind w:left="77" w:right="78"/>
              <w:jc w:val="center"/>
              <w:rPr>
                <w:sz w:val="18"/>
              </w:rPr>
            </w:pPr>
            <w:r>
              <w:rPr>
                <w:sz w:val="18"/>
              </w:rPr>
              <w:t>0.991</w:t>
            </w:r>
          </w:p>
        </w:tc>
        <w:tc>
          <w:tcPr>
            <w:tcW w:w="1093" w:type="dxa"/>
            <w:tcBorders>
              <w:left w:val="single" w:sz="4" w:space="0" w:color="000000"/>
            </w:tcBorders>
          </w:tcPr>
          <w:p>
            <w:pPr>
              <w:pStyle w:val="TableParagraph"/>
              <w:spacing w:before="52"/>
              <w:ind w:left="32" w:right="21"/>
              <w:jc w:val="center"/>
              <w:rPr>
                <w:sz w:val="18"/>
              </w:rPr>
            </w:pPr>
            <w:r>
              <w:rPr>
                <w:sz w:val="18"/>
              </w:rPr>
              <w:t>0.001</w:t>
            </w:r>
          </w:p>
        </w:tc>
        <w:tc>
          <w:tcPr>
            <w:tcW w:w="1014" w:type="dxa"/>
            <w:tcBorders>
              <w:right w:val="single" w:sz="4" w:space="0" w:color="000000"/>
            </w:tcBorders>
          </w:tcPr>
          <w:p>
            <w:pPr>
              <w:pStyle w:val="TableParagraph"/>
              <w:spacing w:before="52"/>
              <w:ind w:left="43" w:right="26"/>
              <w:jc w:val="center"/>
              <w:rPr>
                <w:sz w:val="18"/>
              </w:rPr>
            </w:pPr>
            <w:r>
              <w:rPr>
                <w:sz w:val="18"/>
              </w:rPr>
              <w:t>0.992</w:t>
            </w:r>
          </w:p>
        </w:tc>
      </w:tr>
      <w:tr>
        <w:trPr>
          <w:trHeight w:val="332" w:hRule="atLeast"/>
        </w:trPr>
        <w:tc>
          <w:tcPr>
            <w:tcW w:w="1900" w:type="dxa"/>
            <w:gridSpan w:val="2"/>
            <w:tcBorders>
              <w:left w:val="single" w:sz="4" w:space="0" w:color="000000"/>
              <w:bottom w:val="single" w:sz="4" w:space="0" w:color="000000"/>
              <w:right w:val="single" w:sz="4" w:space="0" w:color="000000"/>
            </w:tcBorders>
          </w:tcPr>
          <w:p>
            <w:pPr>
              <w:pStyle w:val="TableParagraph"/>
              <w:tabs>
                <w:tab w:pos="1360" w:val="left" w:leader="none"/>
              </w:tabs>
              <w:spacing w:before="54"/>
              <w:ind w:left="232"/>
              <w:rPr>
                <w:sz w:val="18"/>
              </w:rPr>
            </w:pPr>
            <w:r>
              <w:rPr>
                <w:sz w:val="18"/>
              </w:rPr>
              <w:t>3.D</w:t>
              <w:tab/>
              <w:t>CO</w:t>
            </w:r>
            <w:r>
              <w:rPr>
                <w:sz w:val="18"/>
                <w:vertAlign w:val="subscript"/>
              </w:rPr>
              <w:t>2</w:t>
            </w:r>
          </w:p>
        </w:tc>
        <w:tc>
          <w:tcPr>
            <w:tcW w:w="903" w:type="dxa"/>
            <w:tcBorders>
              <w:left w:val="single" w:sz="4" w:space="0" w:color="000000"/>
              <w:bottom w:val="single" w:sz="4" w:space="0" w:color="000000"/>
            </w:tcBorders>
          </w:tcPr>
          <w:p>
            <w:pPr>
              <w:pStyle w:val="TableParagraph"/>
              <w:spacing w:before="54"/>
              <w:ind w:left="62" w:right="53"/>
              <w:jc w:val="center"/>
              <w:rPr>
                <w:sz w:val="18"/>
              </w:rPr>
            </w:pPr>
            <w:r>
              <w:rPr>
                <w:sz w:val="18"/>
              </w:rPr>
              <w:t>658</w:t>
            </w:r>
          </w:p>
        </w:tc>
        <w:tc>
          <w:tcPr>
            <w:tcW w:w="905" w:type="dxa"/>
            <w:tcBorders>
              <w:bottom w:val="single" w:sz="4" w:space="0" w:color="000000"/>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bottom w:val="single" w:sz="4" w:space="0" w:color="000000"/>
              <w:right w:val="single" w:sz="4" w:space="0" w:color="000000"/>
            </w:tcBorders>
          </w:tcPr>
          <w:p>
            <w:pPr>
              <w:pStyle w:val="TableParagraph"/>
              <w:spacing w:before="54"/>
              <w:ind w:left="92" w:right="79"/>
              <w:jc w:val="center"/>
              <w:rPr>
                <w:sz w:val="18"/>
              </w:rPr>
            </w:pPr>
            <w:r>
              <w:rPr>
                <w:sz w:val="18"/>
              </w:rPr>
              <w:t>658</w:t>
            </w:r>
          </w:p>
        </w:tc>
        <w:tc>
          <w:tcPr>
            <w:tcW w:w="1109" w:type="dxa"/>
            <w:tcBorders>
              <w:left w:val="single" w:sz="4" w:space="0" w:color="000000"/>
              <w:bottom w:val="single" w:sz="4" w:space="0" w:color="000000"/>
            </w:tcBorders>
          </w:tcPr>
          <w:p>
            <w:pPr>
              <w:pStyle w:val="TableParagraph"/>
              <w:spacing w:before="54"/>
              <w:ind w:left="31" w:right="37"/>
              <w:jc w:val="center"/>
              <w:rPr>
                <w:sz w:val="18"/>
              </w:rPr>
            </w:pPr>
            <w:r>
              <w:rPr>
                <w:sz w:val="18"/>
              </w:rPr>
              <w:t>0.001</w:t>
            </w:r>
          </w:p>
        </w:tc>
        <w:tc>
          <w:tcPr>
            <w:tcW w:w="1061" w:type="dxa"/>
            <w:tcBorders>
              <w:bottom w:val="single" w:sz="4" w:space="0" w:color="000000"/>
              <w:right w:val="single" w:sz="4" w:space="0" w:color="000000"/>
            </w:tcBorders>
          </w:tcPr>
          <w:p>
            <w:pPr>
              <w:pStyle w:val="TableParagraph"/>
              <w:spacing w:before="54"/>
              <w:ind w:left="77" w:right="78"/>
              <w:jc w:val="center"/>
              <w:rPr>
                <w:sz w:val="18"/>
              </w:rPr>
            </w:pPr>
            <w:r>
              <w:rPr>
                <w:sz w:val="18"/>
              </w:rPr>
              <w:t>0.993</w:t>
            </w:r>
          </w:p>
        </w:tc>
        <w:tc>
          <w:tcPr>
            <w:tcW w:w="1093" w:type="dxa"/>
            <w:tcBorders>
              <w:left w:val="single" w:sz="4" w:space="0" w:color="000000"/>
              <w:bottom w:val="single" w:sz="4" w:space="0" w:color="000000"/>
            </w:tcBorders>
          </w:tcPr>
          <w:p>
            <w:pPr>
              <w:pStyle w:val="TableParagraph"/>
              <w:spacing w:before="54"/>
              <w:ind w:left="32" w:right="20"/>
              <w:jc w:val="center"/>
              <w:rPr>
                <w:sz w:val="18"/>
              </w:rPr>
            </w:pPr>
            <w:r>
              <w:rPr>
                <w:sz w:val="18"/>
              </w:rPr>
              <w:t>0.001</w:t>
            </w:r>
          </w:p>
        </w:tc>
        <w:tc>
          <w:tcPr>
            <w:tcW w:w="1014" w:type="dxa"/>
            <w:tcBorders>
              <w:bottom w:val="single" w:sz="4" w:space="0" w:color="000000"/>
              <w:right w:val="single" w:sz="4" w:space="0" w:color="000000"/>
            </w:tcBorders>
          </w:tcPr>
          <w:p>
            <w:pPr>
              <w:pStyle w:val="TableParagraph"/>
              <w:spacing w:before="54"/>
              <w:ind w:left="43" w:right="26"/>
              <w:jc w:val="center"/>
              <w:rPr>
                <w:sz w:val="18"/>
              </w:rPr>
            </w:pPr>
            <w:r>
              <w:rPr>
                <w:sz w:val="18"/>
              </w:rPr>
              <w:t>0.993</w:t>
            </w:r>
          </w:p>
        </w:tc>
      </w:tr>
    </w:tbl>
    <w:p>
      <w:pPr>
        <w:spacing w:after="0"/>
        <w:jc w:val="center"/>
        <w:rPr>
          <w:sz w:val="18"/>
        </w:rPr>
        <w:sectPr>
          <w:pgSz w:w="11900" w:h="16840"/>
          <w:pgMar w:header="230" w:footer="408" w:top="560" w:bottom="600" w:left="1240" w:right="0"/>
        </w:sectPr>
      </w:pPr>
    </w:p>
    <w:p>
      <w:pPr>
        <w:pStyle w:val="BodyText"/>
      </w:pPr>
    </w:p>
    <w:p>
      <w:pPr>
        <w:pStyle w:val="BodyText"/>
        <w:spacing w:before="9"/>
        <w:rPr>
          <w:sz w:val="18"/>
        </w:rPr>
      </w:pPr>
    </w:p>
    <w:tbl>
      <w:tblPr>
        <w:tblW w:w="0" w:type="auto"/>
        <w:jc w:val="left"/>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4"/>
        <w:gridCol w:w="746"/>
        <w:gridCol w:w="903"/>
        <w:gridCol w:w="905"/>
        <w:gridCol w:w="904"/>
        <w:gridCol w:w="1109"/>
        <w:gridCol w:w="1061"/>
        <w:gridCol w:w="1093"/>
        <w:gridCol w:w="1014"/>
      </w:tblGrid>
      <w:tr>
        <w:trPr>
          <w:trHeight w:val="534" w:hRule="atLeast"/>
        </w:trPr>
        <w:tc>
          <w:tcPr>
            <w:tcW w:w="8889" w:type="dxa"/>
            <w:gridSpan w:val="9"/>
            <w:tcBorders>
              <w:top w:val="single" w:sz="4" w:space="0" w:color="000000"/>
              <w:left w:val="single" w:sz="4" w:space="0" w:color="000000"/>
              <w:bottom w:val="double" w:sz="1" w:space="0" w:color="000000"/>
              <w:right w:val="single" w:sz="4" w:space="0" w:color="000000"/>
            </w:tcBorders>
          </w:tcPr>
          <w:p>
            <w:pPr>
              <w:pStyle w:val="TableParagraph"/>
              <w:spacing w:line="196" w:lineRule="exact" w:before="59"/>
              <w:ind w:left="2134" w:right="2120"/>
              <w:jc w:val="center"/>
              <w:rPr>
                <w:b/>
                <w:sz w:val="18"/>
              </w:rPr>
            </w:pPr>
            <w:r>
              <w:rPr>
                <w:b/>
                <w:sz w:val="18"/>
              </w:rPr>
              <w:t>T</w:t>
            </w:r>
            <w:r>
              <w:rPr>
                <w:b/>
                <w:sz w:val="14"/>
              </w:rPr>
              <w:t>ABLE  </w:t>
            </w:r>
            <w:r>
              <w:rPr>
                <w:b/>
                <w:sz w:val="18"/>
              </w:rPr>
              <w:t>5.4.7 (C</w:t>
            </w:r>
            <w:r>
              <w:rPr>
                <w:b/>
                <w:sz w:val="14"/>
              </w:rPr>
              <w:t>ONTINUED</w:t>
            </w:r>
            <w:r>
              <w:rPr>
                <w:b/>
                <w:sz w:val="18"/>
              </w:rPr>
              <w:t>)</w:t>
            </w:r>
          </w:p>
          <w:p>
            <w:pPr>
              <w:pStyle w:val="TableParagraph"/>
              <w:spacing w:line="220" w:lineRule="exact"/>
              <w:ind w:left="2137" w:right="2120"/>
              <w:jc w:val="center"/>
              <w:rPr>
                <w:b/>
                <w:sz w:val="12"/>
              </w:rPr>
            </w:pPr>
            <w:r>
              <w:rPr>
                <w:b/>
                <w:sz w:val="18"/>
              </w:rPr>
              <w:t>E</w:t>
            </w:r>
            <w:r>
              <w:rPr>
                <w:b/>
                <w:sz w:val="14"/>
              </w:rPr>
              <w:t>XAMPLE OF A LEVEL ASSESSMENT FOR AN ANNEX </w:t>
            </w:r>
            <w:r>
              <w:rPr>
                <w:b/>
                <w:sz w:val="18"/>
              </w:rPr>
              <w:t>I </w:t>
            </w:r>
            <w:r>
              <w:rPr>
                <w:b/>
                <w:sz w:val="14"/>
              </w:rPr>
              <w:t>COUNTRY</w:t>
            </w:r>
            <w:r>
              <w:rPr>
                <w:b/>
                <w:position w:val="8"/>
                <w:sz w:val="12"/>
              </w:rPr>
              <w:t>a</w:t>
            </w:r>
          </w:p>
        </w:tc>
      </w:tr>
      <w:tr>
        <w:trPr>
          <w:trHeight w:val="253" w:hRule="atLeast"/>
        </w:trPr>
        <w:tc>
          <w:tcPr>
            <w:tcW w:w="1154" w:type="dxa"/>
            <w:tcBorders>
              <w:top w:val="double" w:sz="1" w:space="0" w:color="000000"/>
              <w:left w:val="single" w:sz="4" w:space="0" w:color="000000"/>
              <w:bottom w:val="single" w:sz="4" w:space="0" w:color="000000"/>
            </w:tcBorders>
          </w:tcPr>
          <w:p>
            <w:pPr>
              <w:pStyle w:val="TableParagraph"/>
              <w:spacing w:before="23"/>
              <w:ind w:right="9"/>
              <w:jc w:val="center"/>
              <w:rPr>
                <w:b/>
                <w:sz w:val="18"/>
              </w:rPr>
            </w:pPr>
            <w:r>
              <w:rPr>
                <w:b/>
                <w:sz w:val="18"/>
              </w:rPr>
              <w:t>A</w:t>
            </w:r>
          </w:p>
        </w:tc>
        <w:tc>
          <w:tcPr>
            <w:tcW w:w="746" w:type="dxa"/>
            <w:tcBorders>
              <w:top w:val="double" w:sz="1" w:space="0" w:color="000000"/>
              <w:bottom w:val="single" w:sz="4" w:space="0" w:color="000000"/>
              <w:right w:val="single" w:sz="4" w:space="0" w:color="000000"/>
            </w:tcBorders>
          </w:tcPr>
          <w:p>
            <w:pPr>
              <w:pStyle w:val="TableParagraph"/>
              <w:spacing w:before="23"/>
              <w:ind w:right="13"/>
              <w:jc w:val="center"/>
              <w:rPr>
                <w:b/>
                <w:sz w:val="18"/>
              </w:rPr>
            </w:pPr>
            <w:r>
              <w:rPr>
                <w:b/>
                <w:sz w:val="18"/>
              </w:rPr>
              <w:t>B</w:t>
            </w:r>
          </w:p>
        </w:tc>
        <w:tc>
          <w:tcPr>
            <w:tcW w:w="1808" w:type="dxa"/>
            <w:gridSpan w:val="2"/>
            <w:tcBorders>
              <w:top w:val="double" w:sz="1" w:space="0" w:color="000000"/>
              <w:left w:val="single" w:sz="4" w:space="0" w:color="000000"/>
              <w:bottom w:val="single" w:sz="4" w:space="0" w:color="000000"/>
              <w:right w:val="single" w:sz="4" w:space="0" w:color="000000"/>
            </w:tcBorders>
          </w:tcPr>
          <w:p>
            <w:pPr>
              <w:pStyle w:val="TableParagraph"/>
              <w:rPr>
                <w:sz w:val="16"/>
              </w:rPr>
            </w:pPr>
          </w:p>
        </w:tc>
        <w:tc>
          <w:tcPr>
            <w:tcW w:w="904" w:type="dxa"/>
            <w:tcBorders>
              <w:top w:val="double" w:sz="1" w:space="0" w:color="000000"/>
              <w:left w:val="single" w:sz="4" w:space="0" w:color="000000"/>
              <w:bottom w:val="single" w:sz="4" w:space="0" w:color="000000"/>
              <w:right w:val="single" w:sz="4" w:space="0" w:color="000000"/>
            </w:tcBorders>
          </w:tcPr>
          <w:p>
            <w:pPr>
              <w:pStyle w:val="TableParagraph"/>
              <w:spacing w:before="23"/>
              <w:ind w:left="13"/>
              <w:jc w:val="center"/>
              <w:rPr>
                <w:b/>
                <w:sz w:val="18"/>
              </w:rPr>
            </w:pPr>
            <w:r>
              <w:rPr>
                <w:b/>
                <w:sz w:val="18"/>
              </w:rPr>
              <w:t>C</w:t>
            </w:r>
          </w:p>
        </w:tc>
        <w:tc>
          <w:tcPr>
            <w:tcW w:w="1109" w:type="dxa"/>
            <w:tcBorders>
              <w:top w:val="double" w:sz="1" w:space="0" w:color="000000"/>
              <w:left w:val="single" w:sz="4" w:space="0" w:color="000000"/>
              <w:bottom w:val="single" w:sz="4" w:space="0" w:color="000000"/>
            </w:tcBorders>
          </w:tcPr>
          <w:p>
            <w:pPr>
              <w:pStyle w:val="TableParagraph"/>
              <w:spacing w:before="23"/>
              <w:ind w:left="29" w:right="37"/>
              <w:jc w:val="center"/>
              <w:rPr>
                <w:b/>
                <w:sz w:val="18"/>
              </w:rPr>
            </w:pPr>
            <w:r>
              <w:rPr>
                <w:b/>
                <w:sz w:val="18"/>
              </w:rPr>
              <w:t>D’</w:t>
            </w:r>
          </w:p>
        </w:tc>
        <w:tc>
          <w:tcPr>
            <w:tcW w:w="1061" w:type="dxa"/>
            <w:tcBorders>
              <w:top w:val="double" w:sz="1" w:space="0" w:color="000000"/>
              <w:bottom w:val="single" w:sz="4" w:space="0" w:color="000000"/>
              <w:right w:val="single" w:sz="4" w:space="0" w:color="000000"/>
            </w:tcBorders>
          </w:tcPr>
          <w:p>
            <w:pPr>
              <w:pStyle w:val="TableParagraph"/>
              <w:spacing w:before="23"/>
              <w:ind w:left="74" w:right="78"/>
              <w:jc w:val="center"/>
              <w:rPr>
                <w:b/>
                <w:sz w:val="18"/>
              </w:rPr>
            </w:pPr>
            <w:r>
              <w:rPr>
                <w:b/>
                <w:sz w:val="18"/>
              </w:rPr>
              <w:t>E’</w:t>
            </w:r>
          </w:p>
        </w:tc>
        <w:tc>
          <w:tcPr>
            <w:tcW w:w="1093" w:type="dxa"/>
            <w:tcBorders>
              <w:top w:val="double" w:sz="1" w:space="0" w:color="000000"/>
              <w:left w:val="single" w:sz="4" w:space="0" w:color="000000"/>
              <w:bottom w:val="single" w:sz="4" w:space="0" w:color="000000"/>
            </w:tcBorders>
          </w:tcPr>
          <w:p>
            <w:pPr>
              <w:pStyle w:val="TableParagraph"/>
              <w:spacing w:before="23"/>
              <w:ind w:left="11"/>
              <w:jc w:val="center"/>
              <w:rPr>
                <w:b/>
                <w:sz w:val="18"/>
              </w:rPr>
            </w:pPr>
            <w:r>
              <w:rPr>
                <w:b/>
                <w:sz w:val="18"/>
              </w:rPr>
              <w:t>D</w:t>
            </w:r>
          </w:p>
        </w:tc>
        <w:tc>
          <w:tcPr>
            <w:tcW w:w="1014" w:type="dxa"/>
            <w:tcBorders>
              <w:top w:val="double" w:sz="1" w:space="0" w:color="000000"/>
              <w:bottom w:val="single" w:sz="4" w:space="0" w:color="000000"/>
              <w:right w:val="single" w:sz="4" w:space="0" w:color="000000"/>
            </w:tcBorders>
          </w:tcPr>
          <w:p>
            <w:pPr>
              <w:pStyle w:val="TableParagraph"/>
              <w:spacing w:before="23"/>
              <w:ind w:left="16"/>
              <w:jc w:val="center"/>
              <w:rPr>
                <w:b/>
                <w:sz w:val="18"/>
              </w:rPr>
            </w:pPr>
            <w:r>
              <w:rPr>
                <w:b/>
                <w:sz w:val="18"/>
              </w:rPr>
              <w:t>E</w:t>
            </w:r>
          </w:p>
        </w:tc>
      </w:tr>
      <w:tr>
        <w:trPr>
          <w:trHeight w:val="231" w:hRule="atLeast"/>
        </w:trPr>
        <w:tc>
          <w:tcPr>
            <w:tcW w:w="1154" w:type="dxa"/>
            <w:vMerge w:val="restart"/>
            <w:tcBorders>
              <w:top w:val="single" w:sz="4" w:space="0" w:color="000000"/>
              <w:left w:val="single" w:sz="4" w:space="0" w:color="000000"/>
              <w:bottom w:val="single" w:sz="4" w:space="0" w:color="000000"/>
            </w:tcBorders>
          </w:tcPr>
          <w:p>
            <w:pPr>
              <w:pStyle w:val="TableParagraph"/>
              <w:spacing w:before="2"/>
              <w:rPr>
                <w:sz w:val="29"/>
              </w:rPr>
            </w:pPr>
          </w:p>
          <w:p>
            <w:pPr>
              <w:pStyle w:val="TableParagraph"/>
              <w:ind w:left="62" w:right="72"/>
              <w:jc w:val="center"/>
              <w:rPr>
                <w:b/>
                <w:sz w:val="18"/>
              </w:rPr>
            </w:pPr>
            <w:r>
              <w:rPr>
                <w:b/>
                <w:sz w:val="18"/>
              </w:rPr>
              <w:t>IPCC Source categories (IPCC 1996)</w:t>
            </w:r>
          </w:p>
        </w:tc>
        <w:tc>
          <w:tcPr>
            <w:tcW w:w="746" w:type="dxa"/>
            <w:vMerge w:val="restart"/>
            <w:tcBorders>
              <w:top w:val="single" w:sz="4" w:space="0" w:color="000000"/>
              <w:bottom w:val="single" w:sz="4" w:space="0" w:color="000000"/>
              <w:right w:val="single" w:sz="4" w:space="0" w:color="000000"/>
            </w:tcBorders>
          </w:tcPr>
          <w:p>
            <w:pPr>
              <w:pStyle w:val="TableParagraph"/>
              <w:spacing w:before="2"/>
              <w:rPr>
                <w:sz w:val="20"/>
              </w:rPr>
            </w:pPr>
          </w:p>
          <w:p>
            <w:pPr>
              <w:pStyle w:val="TableParagraph"/>
              <w:ind w:left="84" w:right="116" w:firstLine="40"/>
              <w:jc w:val="both"/>
              <w:rPr>
                <w:b/>
                <w:sz w:val="18"/>
              </w:rPr>
            </w:pPr>
            <w:r>
              <w:rPr>
                <w:b/>
                <w:sz w:val="18"/>
              </w:rPr>
              <w:t>Direct Green- house Gases</w:t>
            </w:r>
          </w:p>
        </w:tc>
        <w:tc>
          <w:tcPr>
            <w:tcW w:w="903" w:type="dxa"/>
            <w:tcBorders>
              <w:top w:val="single" w:sz="4" w:space="0" w:color="000000"/>
              <w:left w:val="single" w:sz="4" w:space="0" w:color="000000"/>
            </w:tcBorders>
          </w:tcPr>
          <w:p>
            <w:pPr>
              <w:pStyle w:val="TableParagraph"/>
              <w:spacing w:line="186" w:lineRule="exact" w:before="26"/>
              <w:ind w:left="63" w:right="50"/>
              <w:jc w:val="center"/>
              <w:rPr>
                <w:b/>
                <w:sz w:val="18"/>
              </w:rPr>
            </w:pPr>
            <w:r>
              <w:rPr>
                <w:b/>
                <w:sz w:val="18"/>
              </w:rPr>
              <w:t>Base or</w:t>
            </w:r>
          </w:p>
        </w:tc>
        <w:tc>
          <w:tcPr>
            <w:tcW w:w="905" w:type="dxa"/>
            <w:vMerge w:val="restart"/>
            <w:tcBorders>
              <w:top w:val="single" w:sz="4" w:space="0" w:color="000000"/>
              <w:bottom w:val="single" w:sz="4" w:space="0" w:color="000000"/>
              <w:right w:val="single" w:sz="4" w:space="0" w:color="000000"/>
            </w:tcBorders>
          </w:tcPr>
          <w:p>
            <w:pPr>
              <w:pStyle w:val="TableParagraph"/>
              <w:spacing w:before="129"/>
              <w:ind w:left="86" w:right="73" w:firstLine="3"/>
              <w:jc w:val="center"/>
              <w:rPr>
                <w:b/>
                <w:sz w:val="18"/>
              </w:rPr>
            </w:pPr>
            <w:r>
              <w:rPr>
                <w:b/>
                <w:sz w:val="18"/>
              </w:rPr>
              <w:t>Base or Current Year Estimate LULUCF</w:t>
            </w:r>
          </w:p>
        </w:tc>
        <w:tc>
          <w:tcPr>
            <w:tcW w:w="904" w:type="dxa"/>
            <w:tcBorders>
              <w:top w:val="single" w:sz="4" w:space="0" w:color="000000"/>
              <w:left w:val="single" w:sz="4" w:space="0" w:color="000000"/>
              <w:right w:val="single" w:sz="4" w:space="0" w:color="000000"/>
            </w:tcBorders>
          </w:tcPr>
          <w:p>
            <w:pPr>
              <w:pStyle w:val="TableParagraph"/>
              <w:spacing w:line="186" w:lineRule="exact" w:before="26"/>
              <w:ind w:left="92" w:right="77"/>
              <w:jc w:val="center"/>
              <w:rPr>
                <w:b/>
                <w:sz w:val="18"/>
              </w:rPr>
            </w:pPr>
            <w:r>
              <w:rPr>
                <w:b/>
                <w:sz w:val="18"/>
              </w:rPr>
              <w:t>Base or</w:t>
            </w:r>
          </w:p>
        </w:tc>
        <w:tc>
          <w:tcPr>
            <w:tcW w:w="1109" w:type="dxa"/>
            <w:tcBorders>
              <w:top w:val="single" w:sz="4" w:space="0" w:color="000000"/>
              <w:left w:val="single" w:sz="4" w:space="0" w:color="000000"/>
            </w:tcBorders>
          </w:tcPr>
          <w:p>
            <w:pPr>
              <w:pStyle w:val="TableParagraph"/>
              <w:spacing w:line="185" w:lineRule="exact" w:before="26"/>
              <w:ind w:left="31" w:right="37"/>
              <w:jc w:val="center"/>
              <w:rPr>
                <w:b/>
                <w:sz w:val="18"/>
              </w:rPr>
            </w:pPr>
            <w:r>
              <w:rPr>
                <w:b/>
                <w:sz w:val="18"/>
              </w:rPr>
              <w:t>Level</w:t>
            </w:r>
          </w:p>
        </w:tc>
        <w:tc>
          <w:tcPr>
            <w:tcW w:w="1061" w:type="dxa"/>
            <w:vMerge w:val="restart"/>
            <w:tcBorders>
              <w:top w:val="single" w:sz="4" w:space="0" w:color="000000"/>
              <w:bottom w:val="single" w:sz="4" w:space="0" w:color="000000"/>
              <w:right w:val="single" w:sz="4" w:space="0" w:color="000000"/>
            </w:tcBorders>
          </w:tcPr>
          <w:p>
            <w:pPr>
              <w:pStyle w:val="TableParagraph"/>
              <w:spacing w:before="2"/>
              <w:rPr>
                <w:sz w:val="29"/>
              </w:rPr>
            </w:pPr>
          </w:p>
          <w:p>
            <w:pPr>
              <w:pStyle w:val="TableParagraph"/>
              <w:ind w:left="77" w:right="78"/>
              <w:jc w:val="center"/>
              <w:rPr>
                <w:b/>
                <w:sz w:val="18"/>
              </w:rPr>
            </w:pPr>
            <w:r>
              <w:rPr>
                <w:b/>
                <w:sz w:val="18"/>
              </w:rPr>
              <w:t>Cumulative Total of Column D</w:t>
            </w:r>
          </w:p>
        </w:tc>
        <w:tc>
          <w:tcPr>
            <w:tcW w:w="1093" w:type="dxa"/>
            <w:tcBorders>
              <w:top w:val="single" w:sz="4" w:space="0" w:color="000000"/>
              <w:left w:val="single" w:sz="4" w:space="0" w:color="000000"/>
            </w:tcBorders>
          </w:tcPr>
          <w:p>
            <w:pPr>
              <w:pStyle w:val="TableParagraph"/>
              <w:spacing w:line="185" w:lineRule="exact" w:before="26"/>
              <w:ind w:left="32" w:right="21"/>
              <w:jc w:val="center"/>
              <w:rPr>
                <w:b/>
                <w:sz w:val="18"/>
              </w:rPr>
            </w:pPr>
            <w:r>
              <w:rPr>
                <w:b/>
                <w:sz w:val="18"/>
              </w:rPr>
              <w:t>Level</w:t>
            </w:r>
          </w:p>
        </w:tc>
        <w:tc>
          <w:tcPr>
            <w:tcW w:w="1014" w:type="dxa"/>
            <w:tcBorders>
              <w:top w:val="single" w:sz="4" w:space="0" w:color="000000"/>
              <w:right w:val="single" w:sz="4" w:space="0" w:color="000000"/>
            </w:tcBorders>
          </w:tcPr>
          <w:p>
            <w:pPr>
              <w:pStyle w:val="TableParagraph"/>
              <w:spacing w:line="185" w:lineRule="exact" w:before="26"/>
              <w:ind w:left="43" w:right="26"/>
              <w:jc w:val="center"/>
              <w:rPr>
                <w:b/>
                <w:sz w:val="18"/>
              </w:rPr>
            </w:pPr>
            <w:r>
              <w:rPr>
                <w:b/>
                <w:sz w:val="18"/>
              </w:rPr>
              <w:t>Cumulative</w:t>
            </w:r>
          </w:p>
        </w:tc>
      </w:tr>
      <w:tr>
        <w:trPr>
          <w:trHeight w:val="197" w:hRule="atLeast"/>
        </w:trPr>
        <w:tc>
          <w:tcPr>
            <w:tcW w:w="1154" w:type="dxa"/>
            <w:vMerge/>
            <w:tcBorders>
              <w:top w:val="nil"/>
              <w:left w:val="single" w:sz="4" w:space="0" w:color="000000"/>
              <w:bottom w:val="single" w:sz="4" w:space="0" w:color="000000"/>
            </w:tcBorders>
          </w:tcPr>
          <w:p>
            <w:pPr>
              <w:rPr>
                <w:sz w:val="2"/>
                <w:szCs w:val="2"/>
              </w:rPr>
            </w:pPr>
          </w:p>
        </w:tc>
        <w:tc>
          <w:tcPr>
            <w:tcW w:w="746" w:type="dxa"/>
            <w:vMerge/>
            <w:tcBorders>
              <w:top w:val="nil"/>
              <w:bottom w:val="single" w:sz="4" w:space="0" w:color="000000"/>
              <w:right w:val="single" w:sz="4" w:space="0" w:color="000000"/>
            </w:tcBorders>
          </w:tcPr>
          <w:p>
            <w:pPr>
              <w:rPr>
                <w:sz w:val="2"/>
                <w:szCs w:val="2"/>
              </w:rPr>
            </w:pPr>
          </w:p>
        </w:tc>
        <w:tc>
          <w:tcPr>
            <w:tcW w:w="903" w:type="dxa"/>
            <w:tcBorders>
              <w:left w:val="single" w:sz="4" w:space="0" w:color="000000"/>
            </w:tcBorders>
          </w:tcPr>
          <w:p>
            <w:pPr>
              <w:pStyle w:val="TableParagraph"/>
              <w:spacing w:line="178" w:lineRule="exact"/>
              <w:ind w:left="63" w:right="50"/>
              <w:jc w:val="center"/>
              <w:rPr>
                <w:b/>
                <w:sz w:val="18"/>
              </w:rPr>
            </w:pPr>
            <w:r>
              <w:rPr>
                <w:b/>
                <w:sz w:val="18"/>
              </w:rPr>
              <w:t>Current</w:t>
            </w:r>
          </w:p>
        </w:tc>
        <w:tc>
          <w:tcPr>
            <w:tcW w:w="905" w:type="dxa"/>
            <w:vMerge/>
            <w:tcBorders>
              <w:top w:val="nil"/>
              <w:bottom w:val="single" w:sz="4" w:space="0" w:color="000000"/>
              <w:right w:val="single" w:sz="4" w:space="0" w:color="000000"/>
            </w:tcBorders>
          </w:tcPr>
          <w:p>
            <w:pPr>
              <w:rPr>
                <w:sz w:val="2"/>
                <w:szCs w:val="2"/>
              </w:rPr>
            </w:pPr>
          </w:p>
        </w:tc>
        <w:tc>
          <w:tcPr>
            <w:tcW w:w="904" w:type="dxa"/>
            <w:tcBorders>
              <w:left w:val="single" w:sz="4" w:space="0" w:color="000000"/>
              <w:right w:val="single" w:sz="4" w:space="0" w:color="000000"/>
            </w:tcBorders>
          </w:tcPr>
          <w:p>
            <w:pPr>
              <w:pStyle w:val="TableParagraph"/>
              <w:spacing w:line="178" w:lineRule="exact"/>
              <w:ind w:left="92" w:right="77"/>
              <w:jc w:val="center"/>
              <w:rPr>
                <w:b/>
                <w:sz w:val="18"/>
              </w:rPr>
            </w:pPr>
            <w:r>
              <w:rPr>
                <w:b/>
                <w:sz w:val="18"/>
              </w:rPr>
              <w:t>Current</w:t>
            </w:r>
          </w:p>
        </w:tc>
        <w:tc>
          <w:tcPr>
            <w:tcW w:w="1109" w:type="dxa"/>
            <w:tcBorders>
              <w:left w:val="single" w:sz="4" w:space="0" w:color="000000"/>
            </w:tcBorders>
          </w:tcPr>
          <w:p>
            <w:pPr>
              <w:pStyle w:val="TableParagraph"/>
              <w:spacing w:line="178" w:lineRule="exact"/>
              <w:ind w:left="31" w:right="37"/>
              <w:jc w:val="center"/>
              <w:rPr>
                <w:b/>
                <w:sz w:val="18"/>
              </w:rPr>
            </w:pPr>
            <w:r>
              <w:rPr>
                <w:b/>
                <w:sz w:val="18"/>
              </w:rPr>
              <w:t>Assessment</w:t>
            </w:r>
          </w:p>
        </w:tc>
        <w:tc>
          <w:tcPr>
            <w:tcW w:w="1061" w:type="dxa"/>
            <w:vMerge/>
            <w:tcBorders>
              <w:top w:val="nil"/>
              <w:bottom w:val="single" w:sz="4" w:space="0" w:color="000000"/>
              <w:right w:val="single" w:sz="4" w:space="0" w:color="000000"/>
            </w:tcBorders>
          </w:tcPr>
          <w:p>
            <w:pPr>
              <w:rPr>
                <w:sz w:val="2"/>
                <w:szCs w:val="2"/>
              </w:rPr>
            </w:pPr>
          </w:p>
        </w:tc>
        <w:tc>
          <w:tcPr>
            <w:tcW w:w="1093" w:type="dxa"/>
            <w:tcBorders>
              <w:left w:val="single" w:sz="4" w:space="0" w:color="000000"/>
            </w:tcBorders>
          </w:tcPr>
          <w:p>
            <w:pPr>
              <w:pStyle w:val="TableParagraph"/>
              <w:spacing w:line="178" w:lineRule="exact"/>
              <w:ind w:left="32" w:right="21"/>
              <w:jc w:val="center"/>
              <w:rPr>
                <w:b/>
                <w:sz w:val="18"/>
              </w:rPr>
            </w:pPr>
            <w:r>
              <w:rPr>
                <w:b/>
                <w:sz w:val="18"/>
              </w:rPr>
              <w:t>Assessment</w:t>
            </w:r>
          </w:p>
        </w:tc>
        <w:tc>
          <w:tcPr>
            <w:tcW w:w="1014" w:type="dxa"/>
            <w:tcBorders>
              <w:right w:val="single" w:sz="4" w:space="0" w:color="000000"/>
            </w:tcBorders>
          </w:tcPr>
          <w:p>
            <w:pPr>
              <w:pStyle w:val="TableParagraph"/>
              <w:spacing w:line="178" w:lineRule="exact"/>
              <w:ind w:left="43" w:right="24"/>
              <w:jc w:val="center"/>
              <w:rPr>
                <w:b/>
                <w:sz w:val="18"/>
              </w:rPr>
            </w:pPr>
            <w:r>
              <w:rPr>
                <w:b/>
                <w:sz w:val="18"/>
              </w:rPr>
              <w:t>Total of</w:t>
            </w:r>
          </w:p>
        </w:tc>
      </w:tr>
      <w:tr>
        <w:trPr>
          <w:trHeight w:val="197" w:hRule="atLeast"/>
        </w:trPr>
        <w:tc>
          <w:tcPr>
            <w:tcW w:w="1154" w:type="dxa"/>
            <w:vMerge/>
            <w:tcBorders>
              <w:top w:val="nil"/>
              <w:left w:val="single" w:sz="4" w:space="0" w:color="000000"/>
              <w:bottom w:val="single" w:sz="4" w:space="0" w:color="000000"/>
            </w:tcBorders>
          </w:tcPr>
          <w:p>
            <w:pPr>
              <w:rPr>
                <w:sz w:val="2"/>
                <w:szCs w:val="2"/>
              </w:rPr>
            </w:pPr>
          </w:p>
        </w:tc>
        <w:tc>
          <w:tcPr>
            <w:tcW w:w="746" w:type="dxa"/>
            <w:vMerge/>
            <w:tcBorders>
              <w:top w:val="nil"/>
              <w:bottom w:val="single" w:sz="4" w:space="0" w:color="000000"/>
              <w:right w:val="single" w:sz="4" w:space="0" w:color="000000"/>
            </w:tcBorders>
          </w:tcPr>
          <w:p>
            <w:pPr>
              <w:rPr>
                <w:sz w:val="2"/>
                <w:szCs w:val="2"/>
              </w:rPr>
            </w:pPr>
          </w:p>
        </w:tc>
        <w:tc>
          <w:tcPr>
            <w:tcW w:w="903" w:type="dxa"/>
            <w:tcBorders>
              <w:left w:val="single" w:sz="4" w:space="0" w:color="000000"/>
            </w:tcBorders>
          </w:tcPr>
          <w:p>
            <w:pPr>
              <w:pStyle w:val="TableParagraph"/>
              <w:spacing w:line="178" w:lineRule="exact"/>
              <w:ind w:left="63" w:right="51"/>
              <w:jc w:val="center"/>
              <w:rPr>
                <w:b/>
                <w:sz w:val="18"/>
              </w:rPr>
            </w:pPr>
            <w:r>
              <w:rPr>
                <w:b/>
                <w:sz w:val="18"/>
              </w:rPr>
              <w:t>Year</w:t>
            </w:r>
          </w:p>
        </w:tc>
        <w:tc>
          <w:tcPr>
            <w:tcW w:w="905" w:type="dxa"/>
            <w:vMerge/>
            <w:tcBorders>
              <w:top w:val="nil"/>
              <w:bottom w:val="single" w:sz="4" w:space="0" w:color="000000"/>
              <w:right w:val="single" w:sz="4" w:space="0" w:color="000000"/>
            </w:tcBorders>
          </w:tcPr>
          <w:p>
            <w:pPr>
              <w:rPr>
                <w:sz w:val="2"/>
                <w:szCs w:val="2"/>
              </w:rPr>
            </w:pPr>
          </w:p>
        </w:tc>
        <w:tc>
          <w:tcPr>
            <w:tcW w:w="904" w:type="dxa"/>
            <w:tcBorders>
              <w:left w:val="single" w:sz="4" w:space="0" w:color="000000"/>
              <w:right w:val="single" w:sz="4" w:space="0" w:color="000000"/>
            </w:tcBorders>
          </w:tcPr>
          <w:p>
            <w:pPr>
              <w:pStyle w:val="TableParagraph"/>
              <w:spacing w:line="178" w:lineRule="exact"/>
              <w:ind w:left="92" w:right="78"/>
              <w:jc w:val="center"/>
              <w:rPr>
                <w:b/>
                <w:sz w:val="18"/>
              </w:rPr>
            </w:pPr>
            <w:r>
              <w:rPr>
                <w:b/>
                <w:sz w:val="18"/>
              </w:rPr>
              <w:t>Year</w:t>
            </w:r>
          </w:p>
        </w:tc>
        <w:tc>
          <w:tcPr>
            <w:tcW w:w="1109" w:type="dxa"/>
            <w:tcBorders>
              <w:left w:val="single" w:sz="4" w:space="0" w:color="000000"/>
            </w:tcBorders>
          </w:tcPr>
          <w:p>
            <w:pPr>
              <w:pStyle w:val="TableParagraph"/>
              <w:spacing w:line="178" w:lineRule="exact"/>
              <w:ind w:left="29" w:right="37"/>
              <w:jc w:val="center"/>
              <w:rPr>
                <w:b/>
                <w:sz w:val="18"/>
              </w:rPr>
            </w:pPr>
            <w:r>
              <w:rPr>
                <w:b/>
                <w:sz w:val="18"/>
              </w:rPr>
              <w:t>without</w:t>
            </w:r>
          </w:p>
        </w:tc>
        <w:tc>
          <w:tcPr>
            <w:tcW w:w="1061" w:type="dxa"/>
            <w:vMerge/>
            <w:tcBorders>
              <w:top w:val="nil"/>
              <w:bottom w:val="single" w:sz="4" w:space="0" w:color="000000"/>
              <w:right w:val="single" w:sz="4" w:space="0" w:color="000000"/>
            </w:tcBorders>
          </w:tcPr>
          <w:p>
            <w:pPr>
              <w:rPr>
                <w:sz w:val="2"/>
                <w:szCs w:val="2"/>
              </w:rPr>
            </w:pPr>
          </w:p>
        </w:tc>
        <w:tc>
          <w:tcPr>
            <w:tcW w:w="1093" w:type="dxa"/>
            <w:tcBorders>
              <w:left w:val="single" w:sz="4" w:space="0" w:color="000000"/>
            </w:tcBorders>
          </w:tcPr>
          <w:p>
            <w:pPr>
              <w:pStyle w:val="TableParagraph"/>
              <w:spacing w:line="178" w:lineRule="exact"/>
              <w:ind w:left="32" w:right="19"/>
              <w:jc w:val="center"/>
              <w:rPr>
                <w:b/>
                <w:sz w:val="18"/>
              </w:rPr>
            </w:pPr>
            <w:r>
              <w:rPr>
                <w:b/>
                <w:sz w:val="18"/>
              </w:rPr>
              <w:t>with</w:t>
            </w:r>
          </w:p>
        </w:tc>
        <w:tc>
          <w:tcPr>
            <w:tcW w:w="1014" w:type="dxa"/>
            <w:tcBorders>
              <w:right w:val="single" w:sz="4" w:space="0" w:color="000000"/>
            </w:tcBorders>
          </w:tcPr>
          <w:p>
            <w:pPr>
              <w:pStyle w:val="TableParagraph"/>
              <w:spacing w:line="178" w:lineRule="exact"/>
              <w:ind w:left="43" w:right="26"/>
              <w:jc w:val="center"/>
              <w:rPr>
                <w:b/>
                <w:sz w:val="18"/>
              </w:rPr>
            </w:pPr>
            <w:r>
              <w:rPr>
                <w:b/>
                <w:sz w:val="18"/>
              </w:rPr>
              <w:t>Column F</w:t>
            </w:r>
          </w:p>
        </w:tc>
      </w:tr>
      <w:tr>
        <w:trPr>
          <w:trHeight w:val="196" w:hRule="atLeast"/>
        </w:trPr>
        <w:tc>
          <w:tcPr>
            <w:tcW w:w="1154" w:type="dxa"/>
            <w:vMerge/>
            <w:tcBorders>
              <w:top w:val="nil"/>
              <w:left w:val="single" w:sz="4" w:space="0" w:color="000000"/>
              <w:bottom w:val="single" w:sz="4" w:space="0" w:color="000000"/>
            </w:tcBorders>
          </w:tcPr>
          <w:p>
            <w:pPr>
              <w:rPr>
                <w:sz w:val="2"/>
                <w:szCs w:val="2"/>
              </w:rPr>
            </w:pPr>
          </w:p>
        </w:tc>
        <w:tc>
          <w:tcPr>
            <w:tcW w:w="746" w:type="dxa"/>
            <w:vMerge/>
            <w:tcBorders>
              <w:top w:val="nil"/>
              <w:bottom w:val="single" w:sz="4" w:space="0" w:color="000000"/>
              <w:right w:val="single" w:sz="4" w:space="0" w:color="000000"/>
            </w:tcBorders>
          </w:tcPr>
          <w:p>
            <w:pPr>
              <w:rPr>
                <w:sz w:val="2"/>
                <w:szCs w:val="2"/>
              </w:rPr>
            </w:pPr>
          </w:p>
        </w:tc>
        <w:tc>
          <w:tcPr>
            <w:tcW w:w="903" w:type="dxa"/>
            <w:tcBorders>
              <w:left w:val="single" w:sz="4" w:space="0" w:color="000000"/>
            </w:tcBorders>
          </w:tcPr>
          <w:p>
            <w:pPr>
              <w:pStyle w:val="TableParagraph"/>
              <w:spacing w:line="176" w:lineRule="exact"/>
              <w:ind w:left="63" w:right="53"/>
              <w:jc w:val="center"/>
              <w:rPr>
                <w:b/>
                <w:sz w:val="18"/>
              </w:rPr>
            </w:pPr>
            <w:r>
              <w:rPr>
                <w:b/>
                <w:sz w:val="18"/>
              </w:rPr>
              <w:t>Estimate</w:t>
            </w:r>
          </w:p>
        </w:tc>
        <w:tc>
          <w:tcPr>
            <w:tcW w:w="905" w:type="dxa"/>
            <w:vMerge/>
            <w:tcBorders>
              <w:top w:val="nil"/>
              <w:bottom w:val="single" w:sz="4" w:space="0" w:color="000000"/>
              <w:right w:val="single" w:sz="4" w:space="0" w:color="000000"/>
            </w:tcBorders>
          </w:tcPr>
          <w:p>
            <w:pPr>
              <w:rPr>
                <w:sz w:val="2"/>
                <w:szCs w:val="2"/>
              </w:rPr>
            </w:pPr>
          </w:p>
        </w:tc>
        <w:tc>
          <w:tcPr>
            <w:tcW w:w="904" w:type="dxa"/>
            <w:tcBorders>
              <w:left w:val="single" w:sz="4" w:space="0" w:color="000000"/>
              <w:right w:val="single" w:sz="4" w:space="0" w:color="000000"/>
            </w:tcBorders>
          </w:tcPr>
          <w:p>
            <w:pPr>
              <w:pStyle w:val="TableParagraph"/>
              <w:spacing w:line="176" w:lineRule="exact"/>
              <w:ind w:left="92" w:right="80"/>
              <w:jc w:val="center"/>
              <w:rPr>
                <w:b/>
                <w:sz w:val="18"/>
              </w:rPr>
            </w:pPr>
            <w:r>
              <w:rPr>
                <w:b/>
                <w:sz w:val="18"/>
              </w:rPr>
              <w:t>Estimate</w:t>
            </w:r>
          </w:p>
        </w:tc>
        <w:tc>
          <w:tcPr>
            <w:tcW w:w="1109" w:type="dxa"/>
            <w:tcBorders>
              <w:left w:val="single" w:sz="4" w:space="0" w:color="000000"/>
            </w:tcBorders>
          </w:tcPr>
          <w:p>
            <w:pPr>
              <w:pStyle w:val="TableParagraph"/>
              <w:spacing w:line="176" w:lineRule="exact"/>
              <w:ind w:left="29" w:right="37"/>
              <w:jc w:val="center"/>
              <w:rPr>
                <w:b/>
                <w:sz w:val="18"/>
              </w:rPr>
            </w:pPr>
            <w:r>
              <w:rPr>
                <w:b/>
                <w:sz w:val="18"/>
              </w:rPr>
              <w:t>LULUCF,</w:t>
            </w:r>
          </w:p>
        </w:tc>
        <w:tc>
          <w:tcPr>
            <w:tcW w:w="1061" w:type="dxa"/>
            <w:vMerge/>
            <w:tcBorders>
              <w:top w:val="nil"/>
              <w:bottom w:val="single" w:sz="4" w:space="0" w:color="000000"/>
              <w:right w:val="single" w:sz="4" w:space="0" w:color="000000"/>
            </w:tcBorders>
          </w:tcPr>
          <w:p>
            <w:pPr>
              <w:rPr>
                <w:sz w:val="2"/>
                <w:szCs w:val="2"/>
              </w:rPr>
            </w:pPr>
          </w:p>
        </w:tc>
        <w:tc>
          <w:tcPr>
            <w:tcW w:w="1093" w:type="dxa"/>
            <w:tcBorders>
              <w:left w:val="single" w:sz="4" w:space="0" w:color="000000"/>
            </w:tcBorders>
          </w:tcPr>
          <w:p>
            <w:pPr>
              <w:pStyle w:val="TableParagraph"/>
              <w:spacing w:line="176" w:lineRule="exact"/>
              <w:ind w:left="30" w:right="21"/>
              <w:jc w:val="center"/>
              <w:rPr>
                <w:b/>
                <w:sz w:val="18"/>
              </w:rPr>
            </w:pPr>
            <w:r>
              <w:rPr>
                <w:b/>
                <w:sz w:val="18"/>
              </w:rPr>
              <w:t>LULUCF,</w:t>
            </w:r>
          </w:p>
        </w:tc>
        <w:tc>
          <w:tcPr>
            <w:tcW w:w="1014" w:type="dxa"/>
            <w:tcBorders>
              <w:right w:val="single" w:sz="4" w:space="0" w:color="000000"/>
            </w:tcBorders>
          </w:tcPr>
          <w:p>
            <w:pPr>
              <w:pStyle w:val="TableParagraph"/>
              <w:spacing w:line="176" w:lineRule="exact"/>
              <w:ind w:left="43" w:right="25"/>
              <w:jc w:val="center"/>
              <w:rPr>
                <w:b/>
                <w:sz w:val="18"/>
              </w:rPr>
            </w:pPr>
            <w:r>
              <w:rPr>
                <w:b/>
                <w:sz w:val="18"/>
              </w:rPr>
              <w:t>(additional</w:t>
            </w:r>
          </w:p>
        </w:tc>
      </w:tr>
      <w:tr>
        <w:trPr>
          <w:trHeight w:val="196" w:hRule="atLeast"/>
        </w:trPr>
        <w:tc>
          <w:tcPr>
            <w:tcW w:w="1154" w:type="dxa"/>
            <w:vMerge/>
            <w:tcBorders>
              <w:top w:val="nil"/>
              <w:left w:val="single" w:sz="4" w:space="0" w:color="000000"/>
              <w:bottom w:val="single" w:sz="4" w:space="0" w:color="000000"/>
            </w:tcBorders>
          </w:tcPr>
          <w:p>
            <w:pPr>
              <w:rPr>
                <w:sz w:val="2"/>
                <w:szCs w:val="2"/>
              </w:rPr>
            </w:pPr>
          </w:p>
        </w:tc>
        <w:tc>
          <w:tcPr>
            <w:tcW w:w="746" w:type="dxa"/>
            <w:vMerge/>
            <w:tcBorders>
              <w:top w:val="nil"/>
              <w:bottom w:val="single" w:sz="4" w:space="0" w:color="000000"/>
              <w:right w:val="single" w:sz="4" w:space="0" w:color="000000"/>
            </w:tcBorders>
          </w:tcPr>
          <w:p>
            <w:pPr>
              <w:rPr>
                <w:sz w:val="2"/>
                <w:szCs w:val="2"/>
              </w:rPr>
            </w:pPr>
          </w:p>
        </w:tc>
        <w:tc>
          <w:tcPr>
            <w:tcW w:w="903" w:type="dxa"/>
            <w:tcBorders>
              <w:left w:val="single" w:sz="4" w:space="0" w:color="000000"/>
            </w:tcBorders>
          </w:tcPr>
          <w:p>
            <w:pPr>
              <w:pStyle w:val="TableParagraph"/>
              <w:spacing w:line="176" w:lineRule="exact"/>
              <w:ind w:left="42" w:right="53"/>
              <w:jc w:val="center"/>
              <w:rPr>
                <w:b/>
                <w:sz w:val="18"/>
              </w:rPr>
            </w:pPr>
            <w:r>
              <w:rPr>
                <w:b/>
                <w:sz w:val="18"/>
              </w:rPr>
              <w:t>non-</w:t>
            </w:r>
          </w:p>
        </w:tc>
        <w:tc>
          <w:tcPr>
            <w:tcW w:w="905" w:type="dxa"/>
            <w:vMerge/>
            <w:tcBorders>
              <w:top w:val="nil"/>
              <w:bottom w:val="single" w:sz="4" w:space="0" w:color="000000"/>
              <w:right w:val="single" w:sz="4" w:space="0" w:color="000000"/>
            </w:tcBorders>
          </w:tcPr>
          <w:p>
            <w:pPr>
              <w:rPr>
                <w:sz w:val="2"/>
                <w:szCs w:val="2"/>
              </w:rPr>
            </w:pPr>
          </w:p>
        </w:tc>
        <w:tc>
          <w:tcPr>
            <w:tcW w:w="904" w:type="dxa"/>
            <w:tcBorders>
              <w:left w:val="single" w:sz="4" w:space="0" w:color="000000"/>
              <w:right w:val="single" w:sz="4" w:space="0" w:color="000000"/>
            </w:tcBorders>
          </w:tcPr>
          <w:p>
            <w:pPr>
              <w:pStyle w:val="TableParagraph"/>
              <w:spacing w:line="176" w:lineRule="exact"/>
              <w:ind w:left="92" w:right="80"/>
              <w:jc w:val="center"/>
              <w:rPr>
                <w:b/>
                <w:sz w:val="18"/>
              </w:rPr>
            </w:pPr>
            <w:r>
              <w:rPr>
                <w:b/>
                <w:sz w:val="18"/>
              </w:rPr>
              <w:t>Absolute</w:t>
            </w:r>
          </w:p>
        </w:tc>
        <w:tc>
          <w:tcPr>
            <w:tcW w:w="1109" w:type="dxa"/>
            <w:tcBorders>
              <w:left w:val="single" w:sz="4" w:space="0" w:color="000000"/>
            </w:tcBorders>
          </w:tcPr>
          <w:p>
            <w:pPr>
              <w:pStyle w:val="TableParagraph"/>
              <w:spacing w:line="176" w:lineRule="exact"/>
              <w:ind w:left="31" w:right="37"/>
              <w:jc w:val="center"/>
              <w:rPr>
                <w:b/>
                <w:sz w:val="18"/>
              </w:rPr>
            </w:pPr>
            <w:r>
              <w:rPr>
                <w:b/>
                <w:sz w:val="18"/>
              </w:rPr>
              <w:t>from column</w:t>
            </w:r>
          </w:p>
        </w:tc>
        <w:tc>
          <w:tcPr>
            <w:tcW w:w="1061" w:type="dxa"/>
            <w:vMerge/>
            <w:tcBorders>
              <w:top w:val="nil"/>
              <w:bottom w:val="single" w:sz="4" w:space="0" w:color="000000"/>
              <w:right w:val="single" w:sz="4" w:space="0" w:color="000000"/>
            </w:tcBorders>
          </w:tcPr>
          <w:p>
            <w:pPr>
              <w:rPr>
                <w:sz w:val="2"/>
                <w:szCs w:val="2"/>
              </w:rPr>
            </w:pPr>
          </w:p>
        </w:tc>
        <w:tc>
          <w:tcPr>
            <w:tcW w:w="1093" w:type="dxa"/>
            <w:tcBorders>
              <w:left w:val="single" w:sz="4" w:space="0" w:color="000000"/>
            </w:tcBorders>
          </w:tcPr>
          <w:p>
            <w:pPr>
              <w:pStyle w:val="TableParagraph"/>
              <w:spacing w:line="176" w:lineRule="exact"/>
              <w:ind w:left="32" w:right="21"/>
              <w:jc w:val="center"/>
              <w:rPr>
                <w:b/>
                <w:sz w:val="18"/>
              </w:rPr>
            </w:pPr>
            <w:r>
              <w:rPr>
                <w:b/>
                <w:sz w:val="18"/>
              </w:rPr>
              <w:t>from column</w:t>
            </w:r>
          </w:p>
        </w:tc>
        <w:tc>
          <w:tcPr>
            <w:tcW w:w="1014" w:type="dxa"/>
            <w:tcBorders>
              <w:right w:val="single" w:sz="4" w:space="0" w:color="000000"/>
            </w:tcBorders>
          </w:tcPr>
          <w:p>
            <w:pPr>
              <w:pStyle w:val="TableParagraph"/>
              <w:spacing w:line="176" w:lineRule="exact"/>
              <w:ind w:left="42" w:right="26"/>
              <w:jc w:val="center"/>
              <w:rPr>
                <w:b/>
                <w:sz w:val="18"/>
              </w:rPr>
            </w:pPr>
            <w:r>
              <w:rPr>
                <w:b/>
                <w:sz w:val="18"/>
              </w:rPr>
              <w:t>LULUCF</w:t>
            </w:r>
          </w:p>
        </w:tc>
      </w:tr>
      <w:tr>
        <w:trPr>
          <w:trHeight w:val="225" w:hRule="atLeast"/>
        </w:trPr>
        <w:tc>
          <w:tcPr>
            <w:tcW w:w="1154" w:type="dxa"/>
            <w:vMerge/>
            <w:tcBorders>
              <w:top w:val="nil"/>
              <w:left w:val="single" w:sz="4" w:space="0" w:color="000000"/>
              <w:bottom w:val="single" w:sz="4" w:space="0" w:color="000000"/>
            </w:tcBorders>
          </w:tcPr>
          <w:p>
            <w:pPr>
              <w:rPr>
                <w:sz w:val="2"/>
                <w:szCs w:val="2"/>
              </w:rPr>
            </w:pPr>
          </w:p>
        </w:tc>
        <w:tc>
          <w:tcPr>
            <w:tcW w:w="746" w:type="dxa"/>
            <w:vMerge/>
            <w:tcBorders>
              <w:top w:val="nil"/>
              <w:bottom w:val="single" w:sz="4" w:space="0" w:color="000000"/>
              <w:right w:val="single" w:sz="4" w:space="0" w:color="000000"/>
            </w:tcBorders>
          </w:tcPr>
          <w:p>
            <w:pPr>
              <w:rPr>
                <w:sz w:val="2"/>
                <w:szCs w:val="2"/>
              </w:rPr>
            </w:pPr>
          </w:p>
        </w:tc>
        <w:tc>
          <w:tcPr>
            <w:tcW w:w="903" w:type="dxa"/>
            <w:tcBorders>
              <w:left w:val="single" w:sz="4" w:space="0" w:color="000000"/>
              <w:bottom w:val="single" w:sz="4" w:space="0" w:color="000000"/>
            </w:tcBorders>
          </w:tcPr>
          <w:p>
            <w:pPr>
              <w:pStyle w:val="TableParagraph"/>
              <w:spacing w:line="198" w:lineRule="exact"/>
              <w:ind w:left="63" w:right="53"/>
              <w:jc w:val="center"/>
              <w:rPr>
                <w:b/>
                <w:sz w:val="18"/>
              </w:rPr>
            </w:pPr>
            <w:r>
              <w:rPr>
                <w:b/>
                <w:sz w:val="18"/>
              </w:rPr>
              <w:t>LULUCF</w:t>
            </w:r>
          </w:p>
        </w:tc>
        <w:tc>
          <w:tcPr>
            <w:tcW w:w="905" w:type="dxa"/>
            <w:vMerge/>
            <w:tcBorders>
              <w:top w:val="nil"/>
              <w:bottom w:val="single" w:sz="4" w:space="0" w:color="000000"/>
              <w:right w:val="single" w:sz="4" w:space="0" w:color="000000"/>
            </w:tcBorders>
          </w:tcPr>
          <w:p>
            <w:pPr>
              <w:rPr>
                <w:sz w:val="2"/>
                <w:szCs w:val="2"/>
              </w:rPr>
            </w:pPr>
          </w:p>
        </w:tc>
        <w:tc>
          <w:tcPr>
            <w:tcW w:w="904" w:type="dxa"/>
            <w:tcBorders>
              <w:left w:val="single" w:sz="4" w:space="0" w:color="000000"/>
              <w:bottom w:val="single" w:sz="4" w:space="0" w:color="000000"/>
              <w:right w:val="single" w:sz="4" w:space="0" w:color="000000"/>
            </w:tcBorders>
          </w:tcPr>
          <w:p>
            <w:pPr>
              <w:pStyle w:val="TableParagraph"/>
              <w:spacing w:line="198" w:lineRule="exact"/>
              <w:ind w:left="92" w:right="77"/>
              <w:jc w:val="center"/>
              <w:rPr>
                <w:b/>
                <w:sz w:val="18"/>
              </w:rPr>
            </w:pPr>
            <w:r>
              <w:rPr>
                <w:b/>
                <w:sz w:val="18"/>
              </w:rPr>
              <w:t>Value</w:t>
            </w:r>
          </w:p>
        </w:tc>
        <w:tc>
          <w:tcPr>
            <w:tcW w:w="1109" w:type="dxa"/>
            <w:tcBorders>
              <w:left w:val="single" w:sz="4" w:space="0" w:color="000000"/>
              <w:bottom w:val="single" w:sz="4" w:space="0" w:color="000000"/>
            </w:tcBorders>
          </w:tcPr>
          <w:p>
            <w:pPr>
              <w:pStyle w:val="TableParagraph"/>
              <w:spacing w:line="198" w:lineRule="exact"/>
              <w:ind w:right="6"/>
              <w:jc w:val="center"/>
              <w:rPr>
                <w:b/>
                <w:sz w:val="18"/>
              </w:rPr>
            </w:pPr>
            <w:r>
              <w:rPr>
                <w:b/>
                <w:sz w:val="18"/>
              </w:rPr>
              <w:t>C</w:t>
            </w:r>
          </w:p>
        </w:tc>
        <w:tc>
          <w:tcPr>
            <w:tcW w:w="1061" w:type="dxa"/>
            <w:vMerge/>
            <w:tcBorders>
              <w:top w:val="nil"/>
              <w:bottom w:val="single" w:sz="4" w:space="0" w:color="000000"/>
              <w:right w:val="single" w:sz="4" w:space="0" w:color="000000"/>
            </w:tcBorders>
          </w:tcPr>
          <w:p>
            <w:pPr>
              <w:rPr>
                <w:sz w:val="2"/>
                <w:szCs w:val="2"/>
              </w:rPr>
            </w:pPr>
          </w:p>
        </w:tc>
        <w:tc>
          <w:tcPr>
            <w:tcW w:w="1093" w:type="dxa"/>
            <w:tcBorders>
              <w:left w:val="single" w:sz="4" w:space="0" w:color="000000"/>
              <w:bottom w:val="single" w:sz="4" w:space="0" w:color="000000"/>
            </w:tcBorders>
          </w:tcPr>
          <w:p>
            <w:pPr>
              <w:pStyle w:val="TableParagraph"/>
              <w:spacing w:line="198" w:lineRule="exact"/>
              <w:ind w:left="11"/>
              <w:jc w:val="center"/>
              <w:rPr>
                <w:b/>
                <w:sz w:val="18"/>
              </w:rPr>
            </w:pPr>
            <w:r>
              <w:rPr>
                <w:b/>
                <w:sz w:val="18"/>
              </w:rPr>
              <w:t>C</w:t>
            </w:r>
          </w:p>
        </w:tc>
        <w:tc>
          <w:tcPr>
            <w:tcW w:w="1014" w:type="dxa"/>
            <w:tcBorders>
              <w:bottom w:val="single" w:sz="4" w:space="0" w:color="000000"/>
              <w:right w:val="single" w:sz="4" w:space="0" w:color="000000"/>
            </w:tcBorders>
          </w:tcPr>
          <w:p>
            <w:pPr>
              <w:pStyle w:val="TableParagraph"/>
              <w:spacing w:line="198" w:lineRule="exact"/>
              <w:ind w:left="43" w:right="23"/>
              <w:jc w:val="center"/>
              <w:rPr>
                <w:b/>
                <w:sz w:val="18"/>
              </w:rPr>
            </w:pPr>
            <w:r>
              <w:rPr>
                <w:b/>
                <w:sz w:val="18"/>
              </w:rPr>
              <w:t>sources)</w:t>
            </w:r>
          </w:p>
        </w:tc>
      </w:tr>
      <w:tr>
        <w:trPr>
          <w:trHeight w:val="340" w:hRule="atLeast"/>
        </w:trPr>
        <w:tc>
          <w:tcPr>
            <w:tcW w:w="1900" w:type="dxa"/>
            <w:gridSpan w:val="2"/>
            <w:tcBorders>
              <w:top w:val="single" w:sz="4" w:space="0" w:color="000000"/>
              <w:left w:val="single" w:sz="4" w:space="0" w:color="000000"/>
              <w:right w:val="single" w:sz="4" w:space="0" w:color="000000"/>
            </w:tcBorders>
          </w:tcPr>
          <w:p>
            <w:pPr>
              <w:pStyle w:val="TableParagraph"/>
              <w:tabs>
                <w:tab w:pos="1360" w:val="left" w:leader="none"/>
              </w:tabs>
              <w:spacing w:before="57"/>
              <w:ind w:left="232"/>
              <w:rPr>
                <w:sz w:val="18"/>
              </w:rPr>
            </w:pPr>
            <w:r>
              <w:rPr>
                <w:sz w:val="18"/>
              </w:rPr>
              <w:t>2.D</w:t>
              <w:tab/>
              <w:t>CO</w:t>
            </w:r>
            <w:r>
              <w:rPr>
                <w:sz w:val="18"/>
                <w:vertAlign w:val="subscript"/>
              </w:rPr>
              <w:t>2</w:t>
            </w:r>
          </w:p>
        </w:tc>
        <w:tc>
          <w:tcPr>
            <w:tcW w:w="903" w:type="dxa"/>
            <w:tcBorders>
              <w:top w:val="single" w:sz="4" w:space="0" w:color="000000"/>
              <w:left w:val="single" w:sz="4" w:space="0" w:color="000000"/>
            </w:tcBorders>
          </w:tcPr>
          <w:p>
            <w:pPr>
              <w:pStyle w:val="TableParagraph"/>
              <w:spacing w:before="57"/>
              <w:ind w:left="62" w:right="53"/>
              <w:jc w:val="center"/>
              <w:rPr>
                <w:sz w:val="18"/>
              </w:rPr>
            </w:pPr>
            <w:r>
              <w:rPr>
                <w:sz w:val="18"/>
              </w:rPr>
              <w:t>656</w:t>
            </w:r>
          </w:p>
        </w:tc>
        <w:tc>
          <w:tcPr>
            <w:tcW w:w="905" w:type="dxa"/>
            <w:tcBorders>
              <w:top w:val="single" w:sz="4" w:space="0" w:color="000000"/>
              <w:right w:val="single" w:sz="4" w:space="0" w:color="000000"/>
            </w:tcBorders>
          </w:tcPr>
          <w:p>
            <w:pPr>
              <w:pStyle w:val="TableParagraph"/>
              <w:spacing w:before="57"/>
              <w:ind w:left="292" w:right="280"/>
              <w:jc w:val="center"/>
              <w:rPr>
                <w:sz w:val="18"/>
              </w:rPr>
            </w:pPr>
            <w:r>
              <w:rPr>
                <w:sz w:val="18"/>
              </w:rPr>
              <w:t>..</w:t>
            </w:r>
          </w:p>
        </w:tc>
        <w:tc>
          <w:tcPr>
            <w:tcW w:w="904" w:type="dxa"/>
            <w:tcBorders>
              <w:top w:val="single" w:sz="4" w:space="0" w:color="000000"/>
              <w:left w:val="single" w:sz="4" w:space="0" w:color="000000"/>
              <w:right w:val="single" w:sz="4" w:space="0" w:color="000000"/>
            </w:tcBorders>
          </w:tcPr>
          <w:p>
            <w:pPr>
              <w:pStyle w:val="TableParagraph"/>
              <w:spacing w:before="57"/>
              <w:ind w:left="92" w:right="79"/>
              <w:jc w:val="center"/>
              <w:rPr>
                <w:sz w:val="18"/>
              </w:rPr>
            </w:pPr>
            <w:r>
              <w:rPr>
                <w:sz w:val="18"/>
              </w:rPr>
              <w:t>656</w:t>
            </w:r>
          </w:p>
        </w:tc>
        <w:tc>
          <w:tcPr>
            <w:tcW w:w="1109" w:type="dxa"/>
            <w:tcBorders>
              <w:top w:val="single" w:sz="4" w:space="0" w:color="000000"/>
              <w:left w:val="single" w:sz="4" w:space="0" w:color="000000"/>
            </w:tcBorders>
          </w:tcPr>
          <w:p>
            <w:pPr>
              <w:pStyle w:val="TableParagraph"/>
              <w:spacing w:before="57"/>
              <w:ind w:left="31" w:right="37"/>
              <w:jc w:val="center"/>
              <w:rPr>
                <w:sz w:val="18"/>
              </w:rPr>
            </w:pPr>
            <w:r>
              <w:rPr>
                <w:sz w:val="18"/>
              </w:rPr>
              <w:t>0.001</w:t>
            </w:r>
          </w:p>
        </w:tc>
        <w:tc>
          <w:tcPr>
            <w:tcW w:w="1061" w:type="dxa"/>
            <w:tcBorders>
              <w:top w:val="single" w:sz="4" w:space="0" w:color="000000"/>
              <w:right w:val="single" w:sz="4" w:space="0" w:color="000000"/>
            </w:tcBorders>
          </w:tcPr>
          <w:p>
            <w:pPr>
              <w:pStyle w:val="TableParagraph"/>
              <w:spacing w:before="57"/>
              <w:ind w:left="77" w:right="78"/>
              <w:jc w:val="center"/>
              <w:rPr>
                <w:sz w:val="18"/>
              </w:rPr>
            </w:pPr>
            <w:r>
              <w:rPr>
                <w:sz w:val="18"/>
              </w:rPr>
              <w:t>0.994</w:t>
            </w:r>
          </w:p>
        </w:tc>
        <w:tc>
          <w:tcPr>
            <w:tcW w:w="1093" w:type="dxa"/>
            <w:tcBorders>
              <w:top w:val="single" w:sz="4" w:space="0" w:color="000000"/>
              <w:left w:val="single" w:sz="4" w:space="0" w:color="000000"/>
            </w:tcBorders>
          </w:tcPr>
          <w:p>
            <w:pPr>
              <w:pStyle w:val="TableParagraph"/>
              <w:spacing w:before="57"/>
              <w:ind w:left="32" w:right="20"/>
              <w:jc w:val="center"/>
              <w:rPr>
                <w:sz w:val="18"/>
              </w:rPr>
            </w:pPr>
            <w:r>
              <w:rPr>
                <w:sz w:val="18"/>
              </w:rPr>
              <w:t>0.001</w:t>
            </w:r>
          </w:p>
        </w:tc>
        <w:tc>
          <w:tcPr>
            <w:tcW w:w="1014" w:type="dxa"/>
            <w:tcBorders>
              <w:top w:val="single" w:sz="4" w:space="0" w:color="000000"/>
              <w:right w:val="single" w:sz="4" w:space="0" w:color="000000"/>
            </w:tcBorders>
          </w:tcPr>
          <w:p>
            <w:pPr>
              <w:pStyle w:val="TableParagraph"/>
              <w:spacing w:before="57"/>
              <w:ind w:left="43" w:right="26"/>
              <w:jc w:val="center"/>
              <w:rPr>
                <w:sz w:val="18"/>
              </w:rPr>
            </w:pPr>
            <w:r>
              <w:rPr>
                <w:sz w:val="18"/>
              </w:rPr>
              <w:t>0.994</w:t>
            </w:r>
          </w:p>
        </w:tc>
      </w:tr>
      <w:tr>
        <w:trPr>
          <w:trHeight w:val="337"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0"/>
              <w:ind w:left="232"/>
              <w:rPr>
                <w:sz w:val="18"/>
              </w:rPr>
            </w:pPr>
            <w:r>
              <w:rPr>
                <w:sz w:val="18"/>
              </w:rPr>
              <w:t>3.D</w:t>
              <w:tab/>
              <w:t>N</w:t>
            </w:r>
            <w:r>
              <w:rPr>
                <w:sz w:val="18"/>
                <w:vertAlign w:val="subscript"/>
              </w:rPr>
              <w:t>2</w:t>
            </w:r>
            <w:r>
              <w:rPr>
                <w:sz w:val="18"/>
                <w:vertAlign w:val="baseline"/>
              </w:rPr>
              <w:t>O</w:t>
            </w:r>
          </w:p>
        </w:tc>
        <w:tc>
          <w:tcPr>
            <w:tcW w:w="903" w:type="dxa"/>
            <w:tcBorders>
              <w:left w:val="single" w:sz="4" w:space="0" w:color="000000"/>
            </w:tcBorders>
          </w:tcPr>
          <w:p>
            <w:pPr>
              <w:pStyle w:val="TableParagraph"/>
              <w:spacing w:before="50"/>
              <w:ind w:left="62" w:right="53"/>
              <w:jc w:val="center"/>
              <w:rPr>
                <w:sz w:val="18"/>
              </w:rPr>
            </w:pPr>
            <w:r>
              <w:rPr>
                <w:sz w:val="18"/>
              </w:rPr>
              <w:t>613</w:t>
            </w:r>
          </w:p>
        </w:tc>
        <w:tc>
          <w:tcPr>
            <w:tcW w:w="905" w:type="dxa"/>
            <w:tcBorders>
              <w:right w:val="single" w:sz="4" w:space="0" w:color="000000"/>
            </w:tcBorders>
          </w:tcPr>
          <w:p>
            <w:pPr>
              <w:pStyle w:val="TableParagraph"/>
              <w:spacing w:before="50"/>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0"/>
              <w:ind w:left="92" w:right="79"/>
              <w:jc w:val="center"/>
              <w:rPr>
                <w:sz w:val="18"/>
              </w:rPr>
            </w:pPr>
            <w:r>
              <w:rPr>
                <w:sz w:val="18"/>
              </w:rPr>
              <w:t>613</w:t>
            </w:r>
          </w:p>
        </w:tc>
        <w:tc>
          <w:tcPr>
            <w:tcW w:w="1109" w:type="dxa"/>
            <w:tcBorders>
              <w:left w:val="single" w:sz="4" w:space="0" w:color="000000"/>
            </w:tcBorders>
          </w:tcPr>
          <w:p>
            <w:pPr>
              <w:pStyle w:val="TableParagraph"/>
              <w:spacing w:before="50"/>
              <w:ind w:left="31" w:right="37"/>
              <w:jc w:val="center"/>
              <w:rPr>
                <w:sz w:val="18"/>
              </w:rPr>
            </w:pPr>
            <w:r>
              <w:rPr>
                <w:sz w:val="18"/>
              </w:rPr>
              <w:t>0.001</w:t>
            </w:r>
          </w:p>
        </w:tc>
        <w:tc>
          <w:tcPr>
            <w:tcW w:w="1061" w:type="dxa"/>
            <w:tcBorders>
              <w:right w:val="single" w:sz="4" w:space="0" w:color="000000"/>
            </w:tcBorders>
          </w:tcPr>
          <w:p>
            <w:pPr>
              <w:pStyle w:val="TableParagraph"/>
              <w:spacing w:before="50"/>
              <w:ind w:left="77" w:right="78"/>
              <w:jc w:val="center"/>
              <w:rPr>
                <w:sz w:val="18"/>
              </w:rPr>
            </w:pPr>
            <w:r>
              <w:rPr>
                <w:sz w:val="18"/>
              </w:rPr>
              <w:t>0.995</w:t>
            </w:r>
          </w:p>
        </w:tc>
        <w:tc>
          <w:tcPr>
            <w:tcW w:w="1093" w:type="dxa"/>
            <w:tcBorders>
              <w:left w:val="single" w:sz="4" w:space="0" w:color="000000"/>
            </w:tcBorders>
          </w:tcPr>
          <w:p>
            <w:pPr>
              <w:pStyle w:val="TableParagraph"/>
              <w:spacing w:before="50"/>
              <w:ind w:left="32" w:right="21"/>
              <w:jc w:val="center"/>
              <w:rPr>
                <w:sz w:val="18"/>
              </w:rPr>
            </w:pPr>
            <w:r>
              <w:rPr>
                <w:sz w:val="18"/>
              </w:rPr>
              <w:t>0.001</w:t>
            </w:r>
          </w:p>
        </w:tc>
        <w:tc>
          <w:tcPr>
            <w:tcW w:w="1014" w:type="dxa"/>
            <w:tcBorders>
              <w:right w:val="single" w:sz="4" w:space="0" w:color="000000"/>
            </w:tcBorders>
          </w:tcPr>
          <w:p>
            <w:pPr>
              <w:pStyle w:val="TableParagraph"/>
              <w:spacing w:before="50"/>
              <w:ind w:left="43" w:right="26"/>
              <w:jc w:val="center"/>
              <w:rPr>
                <w:sz w:val="18"/>
              </w:rPr>
            </w:pPr>
            <w:r>
              <w:rPr>
                <w:sz w:val="18"/>
              </w:rPr>
              <w:t>0.995</w:t>
            </w:r>
          </w:p>
        </w:tc>
      </w:tr>
      <w:tr>
        <w:trPr>
          <w:trHeight w:val="340"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4.D</w:t>
              <w:tab/>
              <w:t>CH</w:t>
            </w:r>
            <w:r>
              <w:rPr>
                <w:sz w:val="18"/>
                <w:vertAlign w:val="subscript"/>
              </w:rPr>
              <w:t>4</w:t>
            </w:r>
          </w:p>
        </w:tc>
        <w:tc>
          <w:tcPr>
            <w:tcW w:w="903" w:type="dxa"/>
            <w:tcBorders>
              <w:left w:val="single" w:sz="4" w:space="0" w:color="000000"/>
            </w:tcBorders>
          </w:tcPr>
          <w:p>
            <w:pPr>
              <w:pStyle w:val="TableParagraph"/>
              <w:spacing w:before="54"/>
              <w:ind w:left="62" w:right="53"/>
              <w:jc w:val="center"/>
              <w:rPr>
                <w:sz w:val="18"/>
              </w:rPr>
            </w:pPr>
            <w:r>
              <w:rPr>
                <w:sz w:val="18"/>
              </w:rPr>
              <w:t>482</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482</w:t>
            </w:r>
          </w:p>
        </w:tc>
        <w:tc>
          <w:tcPr>
            <w:tcW w:w="1109" w:type="dxa"/>
            <w:tcBorders>
              <w:left w:val="single" w:sz="4" w:space="0" w:color="000000"/>
            </w:tcBorders>
          </w:tcPr>
          <w:p>
            <w:pPr>
              <w:pStyle w:val="TableParagraph"/>
              <w:spacing w:before="54"/>
              <w:ind w:left="31" w:right="37"/>
              <w:jc w:val="center"/>
              <w:rPr>
                <w:sz w:val="18"/>
              </w:rPr>
            </w:pPr>
            <w:r>
              <w:rPr>
                <w:sz w:val="18"/>
              </w:rPr>
              <w:t>0.001</w:t>
            </w:r>
          </w:p>
        </w:tc>
        <w:tc>
          <w:tcPr>
            <w:tcW w:w="1061" w:type="dxa"/>
            <w:tcBorders>
              <w:right w:val="single" w:sz="4" w:space="0" w:color="000000"/>
            </w:tcBorders>
          </w:tcPr>
          <w:p>
            <w:pPr>
              <w:pStyle w:val="TableParagraph"/>
              <w:spacing w:before="54"/>
              <w:ind w:left="77" w:right="78"/>
              <w:jc w:val="center"/>
              <w:rPr>
                <w:sz w:val="18"/>
              </w:rPr>
            </w:pPr>
            <w:r>
              <w:rPr>
                <w:sz w:val="18"/>
              </w:rPr>
              <w:t>0.996</w:t>
            </w:r>
          </w:p>
        </w:tc>
        <w:tc>
          <w:tcPr>
            <w:tcW w:w="1093" w:type="dxa"/>
            <w:tcBorders>
              <w:left w:val="single" w:sz="4" w:space="0" w:color="000000"/>
            </w:tcBorders>
          </w:tcPr>
          <w:p>
            <w:pPr>
              <w:pStyle w:val="TableParagraph"/>
              <w:spacing w:before="54"/>
              <w:ind w:left="32" w:right="20"/>
              <w:jc w:val="center"/>
              <w:rPr>
                <w:sz w:val="18"/>
              </w:rPr>
            </w:pPr>
            <w:r>
              <w:rPr>
                <w:sz w:val="18"/>
              </w:rPr>
              <w:t>0.001</w:t>
            </w:r>
          </w:p>
        </w:tc>
        <w:tc>
          <w:tcPr>
            <w:tcW w:w="1014" w:type="dxa"/>
            <w:tcBorders>
              <w:right w:val="single" w:sz="4" w:space="0" w:color="000000"/>
            </w:tcBorders>
          </w:tcPr>
          <w:p>
            <w:pPr>
              <w:pStyle w:val="TableParagraph"/>
              <w:spacing w:before="54"/>
              <w:ind w:left="43" w:right="26"/>
              <w:jc w:val="center"/>
              <w:rPr>
                <w:sz w:val="18"/>
              </w:rPr>
            </w:pPr>
            <w:r>
              <w:rPr>
                <w:sz w:val="18"/>
              </w:rPr>
              <w:t>0.996</w:t>
            </w:r>
          </w:p>
        </w:tc>
      </w:tr>
      <w:tr>
        <w:trPr>
          <w:trHeight w:val="339"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6.C</w:t>
              <w:tab/>
              <w:t>N</w:t>
            </w:r>
            <w:r>
              <w:rPr>
                <w:sz w:val="18"/>
                <w:vertAlign w:val="subscript"/>
              </w:rPr>
              <w:t>2</w:t>
            </w:r>
            <w:r>
              <w:rPr>
                <w:sz w:val="18"/>
                <w:vertAlign w:val="baseline"/>
              </w:rPr>
              <w:t>O</w:t>
            </w:r>
          </w:p>
        </w:tc>
        <w:tc>
          <w:tcPr>
            <w:tcW w:w="903" w:type="dxa"/>
            <w:tcBorders>
              <w:left w:val="single" w:sz="4" w:space="0" w:color="000000"/>
            </w:tcBorders>
          </w:tcPr>
          <w:p>
            <w:pPr>
              <w:pStyle w:val="TableParagraph"/>
              <w:spacing w:before="54"/>
              <w:ind w:left="62" w:right="53"/>
              <w:jc w:val="center"/>
              <w:rPr>
                <w:sz w:val="18"/>
              </w:rPr>
            </w:pPr>
            <w:r>
              <w:rPr>
                <w:sz w:val="18"/>
              </w:rPr>
              <w:t>402</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402</w:t>
            </w:r>
          </w:p>
        </w:tc>
        <w:tc>
          <w:tcPr>
            <w:tcW w:w="1109" w:type="dxa"/>
            <w:tcBorders>
              <w:left w:val="single" w:sz="4" w:space="0" w:color="000000"/>
            </w:tcBorders>
          </w:tcPr>
          <w:p>
            <w:pPr>
              <w:pStyle w:val="TableParagraph"/>
              <w:spacing w:before="54"/>
              <w:ind w:left="31" w:right="37"/>
              <w:jc w:val="center"/>
              <w:rPr>
                <w:sz w:val="18"/>
              </w:rPr>
            </w:pPr>
            <w:r>
              <w:rPr>
                <w:sz w:val="18"/>
              </w:rPr>
              <w:t>0.001</w:t>
            </w:r>
          </w:p>
        </w:tc>
        <w:tc>
          <w:tcPr>
            <w:tcW w:w="1061" w:type="dxa"/>
            <w:tcBorders>
              <w:right w:val="single" w:sz="4" w:space="0" w:color="000000"/>
            </w:tcBorders>
          </w:tcPr>
          <w:p>
            <w:pPr>
              <w:pStyle w:val="TableParagraph"/>
              <w:spacing w:before="54"/>
              <w:ind w:left="77" w:right="78"/>
              <w:jc w:val="center"/>
              <w:rPr>
                <w:sz w:val="18"/>
              </w:rPr>
            </w:pPr>
            <w:r>
              <w:rPr>
                <w:sz w:val="18"/>
              </w:rPr>
              <w:t>0.997</w:t>
            </w:r>
          </w:p>
        </w:tc>
        <w:tc>
          <w:tcPr>
            <w:tcW w:w="1093" w:type="dxa"/>
            <w:tcBorders>
              <w:left w:val="single" w:sz="4" w:space="0" w:color="000000"/>
            </w:tcBorders>
          </w:tcPr>
          <w:p>
            <w:pPr>
              <w:pStyle w:val="TableParagraph"/>
              <w:spacing w:before="54"/>
              <w:ind w:left="32" w:right="21"/>
              <w:jc w:val="center"/>
              <w:rPr>
                <w:sz w:val="18"/>
              </w:rPr>
            </w:pPr>
            <w:r>
              <w:rPr>
                <w:sz w:val="18"/>
              </w:rPr>
              <w:t>0.001</w:t>
            </w:r>
          </w:p>
        </w:tc>
        <w:tc>
          <w:tcPr>
            <w:tcW w:w="1014" w:type="dxa"/>
            <w:tcBorders>
              <w:right w:val="single" w:sz="4" w:space="0" w:color="000000"/>
            </w:tcBorders>
          </w:tcPr>
          <w:p>
            <w:pPr>
              <w:pStyle w:val="TableParagraph"/>
              <w:spacing w:before="54"/>
              <w:ind w:left="43" w:right="26"/>
              <w:jc w:val="center"/>
              <w:rPr>
                <w:sz w:val="18"/>
              </w:rPr>
            </w:pPr>
            <w:r>
              <w:rPr>
                <w:sz w:val="18"/>
              </w:rPr>
              <w:t>0.997</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6.C</w:t>
            </w:r>
          </w:p>
        </w:tc>
        <w:tc>
          <w:tcPr>
            <w:tcW w:w="746" w:type="dxa"/>
            <w:tcBorders>
              <w:right w:val="single" w:sz="4" w:space="0" w:color="000000"/>
            </w:tcBorders>
          </w:tcPr>
          <w:p>
            <w:pPr>
              <w:pStyle w:val="TableParagraph"/>
              <w:spacing w:before="52"/>
              <w:ind w:left="184" w:right="190"/>
              <w:jc w:val="center"/>
              <w:rPr>
                <w:sz w:val="18"/>
              </w:rPr>
            </w:pPr>
            <w:r>
              <w:rPr>
                <w:sz w:val="18"/>
              </w:rPr>
              <w:t>CH</w:t>
            </w:r>
            <w:r>
              <w:rPr>
                <w:sz w:val="18"/>
                <w:vertAlign w:val="subscript"/>
              </w:rPr>
              <w:t>4</w:t>
            </w:r>
          </w:p>
        </w:tc>
        <w:tc>
          <w:tcPr>
            <w:tcW w:w="903" w:type="dxa"/>
            <w:tcBorders>
              <w:left w:val="single" w:sz="4" w:space="0" w:color="000000"/>
            </w:tcBorders>
          </w:tcPr>
          <w:p>
            <w:pPr>
              <w:pStyle w:val="TableParagraph"/>
              <w:spacing w:before="52"/>
              <w:ind w:left="62" w:right="53"/>
              <w:jc w:val="center"/>
              <w:rPr>
                <w:sz w:val="18"/>
              </w:rPr>
            </w:pPr>
            <w:r>
              <w:rPr>
                <w:sz w:val="18"/>
              </w:rPr>
              <w:t>368</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9"/>
              <w:jc w:val="center"/>
              <w:rPr>
                <w:sz w:val="18"/>
              </w:rPr>
            </w:pPr>
            <w:r>
              <w:rPr>
                <w:sz w:val="18"/>
              </w:rPr>
              <w:t>368</w:t>
            </w:r>
          </w:p>
        </w:tc>
        <w:tc>
          <w:tcPr>
            <w:tcW w:w="1109" w:type="dxa"/>
            <w:tcBorders>
              <w:left w:val="single" w:sz="4" w:space="0" w:color="000000"/>
            </w:tcBorders>
          </w:tcPr>
          <w:p>
            <w:pPr>
              <w:pStyle w:val="TableParagraph"/>
              <w:spacing w:before="52"/>
              <w:ind w:left="31" w:right="37"/>
              <w:jc w:val="center"/>
              <w:rPr>
                <w:sz w:val="18"/>
              </w:rPr>
            </w:pPr>
            <w:r>
              <w:rPr>
                <w:sz w:val="18"/>
              </w:rPr>
              <w:t>0.001</w:t>
            </w:r>
          </w:p>
        </w:tc>
        <w:tc>
          <w:tcPr>
            <w:tcW w:w="1061" w:type="dxa"/>
            <w:tcBorders>
              <w:right w:val="single" w:sz="4" w:space="0" w:color="000000"/>
            </w:tcBorders>
          </w:tcPr>
          <w:p>
            <w:pPr>
              <w:pStyle w:val="TableParagraph"/>
              <w:spacing w:before="52"/>
              <w:ind w:left="77" w:right="78"/>
              <w:jc w:val="center"/>
              <w:rPr>
                <w:sz w:val="18"/>
              </w:rPr>
            </w:pPr>
            <w:r>
              <w:rPr>
                <w:sz w:val="18"/>
              </w:rPr>
              <w:t>0.997</w:t>
            </w:r>
          </w:p>
        </w:tc>
        <w:tc>
          <w:tcPr>
            <w:tcW w:w="1093" w:type="dxa"/>
            <w:tcBorders>
              <w:left w:val="single" w:sz="4" w:space="0" w:color="000000"/>
            </w:tcBorders>
          </w:tcPr>
          <w:p>
            <w:pPr>
              <w:pStyle w:val="TableParagraph"/>
              <w:spacing w:before="52"/>
              <w:ind w:left="32" w:right="20"/>
              <w:jc w:val="center"/>
              <w:rPr>
                <w:sz w:val="18"/>
              </w:rPr>
            </w:pPr>
            <w:r>
              <w:rPr>
                <w:sz w:val="18"/>
              </w:rPr>
              <w:t>0.001</w:t>
            </w:r>
          </w:p>
        </w:tc>
        <w:tc>
          <w:tcPr>
            <w:tcW w:w="1014" w:type="dxa"/>
            <w:tcBorders>
              <w:right w:val="single" w:sz="4" w:space="0" w:color="000000"/>
            </w:tcBorders>
          </w:tcPr>
          <w:p>
            <w:pPr>
              <w:pStyle w:val="TableParagraph"/>
              <w:spacing w:before="52"/>
              <w:ind w:left="43" w:right="26"/>
              <w:jc w:val="center"/>
              <w:rPr>
                <w:sz w:val="18"/>
              </w:rPr>
            </w:pPr>
            <w:r>
              <w:rPr>
                <w:sz w:val="18"/>
              </w:rPr>
              <w:t>0.997</w:t>
            </w:r>
          </w:p>
        </w:tc>
      </w:tr>
      <w:tr>
        <w:trPr>
          <w:trHeight w:val="340" w:hRule="atLeast"/>
        </w:trPr>
        <w:tc>
          <w:tcPr>
            <w:tcW w:w="1900" w:type="dxa"/>
            <w:gridSpan w:val="2"/>
            <w:tcBorders>
              <w:left w:val="single" w:sz="4" w:space="0" w:color="000000"/>
              <w:right w:val="single" w:sz="4" w:space="0" w:color="000000"/>
            </w:tcBorders>
          </w:tcPr>
          <w:p>
            <w:pPr>
              <w:pStyle w:val="TableParagraph"/>
              <w:tabs>
                <w:tab w:pos="1359" w:val="left" w:leader="none"/>
              </w:tabs>
              <w:spacing w:before="54"/>
              <w:ind w:left="232"/>
              <w:rPr>
                <w:sz w:val="18"/>
              </w:rPr>
            </w:pPr>
            <w:r>
              <w:rPr>
                <w:sz w:val="18"/>
              </w:rPr>
              <w:t>6.D</w:t>
              <w:tab/>
              <w:t>CH</w:t>
            </w:r>
            <w:r>
              <w:rPr>
                <w:sz w:val="18"/>
                <w:vertAlign w:val="subscript"/>
              </w:rPr>
              <w:t>4</w:t>
            </w:r>
          </w:p>
        </w:tc>
        <w:tc>
          <w:tcPr>
            <w:tcW w:w="903" w:type="dxa"/>
            <w:tcBorders>
              <w:left w:val="single" w:sz="4" w:space="0" w:color="000000"/>
            </w:tcBorders>
          </w:tcPr>
          <w:p>
            <w:pPr>
              <w:pStyle w:val="TableParagraph"/>
              <w:spacing w:before="54"/>
              <w:ind w:left="62" w:right="53"/>
              <w:jc w:val="center"/>
              <w:rPr>
                <w:sz w:val="18"/>
              </w:rPr>
            </w:pPr>
            <w:r>
              <w:rPr>
                <w:sz w:val="18"/>
              </w:rPr>
              <w:t>359</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359</w:t>
            </w:r>
          </w:p>
        </w:tc>
        <w:tc>
          <w:tcPr>
            <w:tcW w:w="1109" w:type="dxa"/>
            <w:tcBorders>
              <w:left w:val="single" w:sz="4" w:space="0" w:color="000000"/>
            </w:tcBorders>
          </w:tcPr>
          <w:p>
            <w:pPr>
              <w:pStyle w:val="TableParagraph"/>
              <w:spacing w:before="54"/>
              <w:ind w:left="31" w:right="37"/>
              <w:jc w:val="center"/>
              <w:rPr>
                <w:sz w:val="18"/>
              </w:rPr>
            </w:pPr>
            <w:r>
              <w:rPr>
                <w:sz w:val="18"/>
              </w:rPr>
              <w:t>0.001</w:t>
            </w:r>
          </w:p>
        </w:tc>
        <w:tc>
          <w:tcPr>
            <w:tcW w:w="1061" w:type="dxa"/>
            <w:tcBorders>
              <w:right w:val="single" w:sz="4" w:space="0" w:color="000000"/>
            </w:tcBorders>
          </w:tcPr>
          <w:p>
            <w:pPr>
              <w:pStyle w:val="TableParagraph"/>
              <w:spacing w:before="54"/>
              <w:ind w:left="77" w:right="78"/>
              <w:jc w:val="center"/>
              <w:rPr>
                <w:sz w:val="18"/>
              </w:rPr>
            </w:pPr>
            <w:r>
              <w:rPr>
                <w:sz w:val="18"/>
              </w:rPr>
              <w:t>0.998</w:t>
            </w:r>
          </w:p>
        </w:tc>
        <w:tc>
          <w:tcPr>
            <w:tcW w:w="1093" w:type="dxa"/>
            <w:tcBorders>
              <w:left w:val="single" w:sz="4" w:space="0" w:color="000000"/>
            </w:tcBorders>
          </w:tcPr>
          <w:p>
            <w:pPr>
              <w:pStyle w:val="TableParagraph"/>
              <w:spacing w:before="54"/>
              <w:ind w:left="32" w:right="20"/>
              <w:jc w:val="center"/>
              <w:rPr>
                <w:sz w:val="18"/>
              </w:rPr>
            </w:pPr>
            <w:r>
              <w:rPr>
                <w:sz w:val="18"/>
              </w:rPr>
              <w:t>0.001</w:t>
            </w:r>
          </w:p>
        </w:tc>
        <w:tc>
          <w:tcPr>
            <w:tcW w:w="1014" w:type="dxa"/>
            <w:tcBorders>
              <w:right w:val="single" w:sz="4" w:space="0" w:color="000000"/>
            </w:tcBorders>
          </w:tcPr>
          <w:p>
            <w:pPr>
              <w:pStyle w:val="TableParagraph"/>
              <w:spacing w:before="54"/>
              <w:ind w:left="43" w:right="26"/>
              <w:jc w:val="center"/>
              <w:rPr>
                <w:sz w:val="18"/>
              </w:rPr>
            </w:pPr>
            <w:r>
              <w:rPr>
                <w:sz w:val="18"/>
              </w:rPr>
              <w:t>0.998</w:t>
            </w:r>
          </w:p>
        </w:tc>
      </w:tr>
      <w:tr>
        <w:trPr>
          <w:trHeight w:val="339" w:hRule="atLeast"/>
        </w:trPr>
        <w:tc>
          <w:tcPr>
            <w:tcW w:w="1154" w:type="dxa"/>
            <w:tcBorders>
              <w:left w:val="single" w:sz="4" w:space="0" w:color="000000"/>
            </w:tcBorders>
          </w:tcPr>
          <w:p>
            <w:pPr>
              <w:pStyle w:val="TableParagraph"/>
              <w:spacing w:before="54"/>
              <w:ind w:left="232"/>
              <w:rPr>
                <w:sz w:val="18"/>
              </w:rPr>
            </w:pPr>
            <w:r>
              <w:rPr>
                <w:sz w:val="18"/>
              </w:rPr>
              <w:t>1.AA.3</w:t>
            </w:r>
          </w:p>
        </w:tc>
        <w:tc>
          <w:tcPr>
            <w:tcW w:w="746" w:type="dxa"/>
            <w:tcBorders>
              <w:right w:val="single" w:sz="4" w:space="0" w:color="000000"/>
            </w:tcBorders>
          </w:tcPr>
          <w:p>
            <w:pPr>
              <w:pStyle w:val="TableParagraph"/>
              <w:spacing w:before="54"/>
              <w:ind w:left="184" w:right="190"/>
              <w:jc w:val="center"/>
              <w:rPr>
                <w:sz w:val="18"/>
              </w:rPr>
            </w:pPr>
            <w:r>
              <w:rPr>
                <w:sz w:val="18"/>
              </w:rPr>
              <w:t>CH</w:t>
            </w:r>
            <w:r>
              <w:rPr>
                <w:sz w:val="18"/>
                <w:vertAlign w:val="subscript"/>
              </w:rPr>
              <w:t>4</w:t>
            </w:r>
          </w:p>
        </w:tc>
        <w:tc>
          <w:tcPr>
            <w:tcW w:w="903" w:type="dxa"/>
            <w:tcBorders>
              <w:left w:val="single" w:sz="4" w:space="0" w:color="000000"/>
            </w:tcBorders>
          </w:tcPr>
          <w:p>
            <w:pPr>
              <w:pStyle w:val="TableParagraph"/>
              <w:spacing w:before="54"/>
              <w:ind w:left="62" w:right="53"/>
              <w:jc w:val="center"/>
              <w:rPr>
                <w:sz w:val="18"/>
              </w:rPr>
            </w:pPr>
            <w:r>
              <w:rPr>
                <w:sz w:val="18"/>
              </w:rPr>
              <w:t>312</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312</w:t>
            </w:r>
          </w:p>
        </w:tc>
        <w:tc>
          <w:tcPr>
            <w:tcW w:w="1109" w:type="dxa"/>
            <w:tcBorders>
              <w:left w:val="single" w:sz="4" w:space="0" w:color="000000"/>
            </w:tcBorders>
          </w:tcPr>
          <w:p>
            <w:pPr>
              <w:pStyle w:val="TableParagraph"/>
              <w:spacing w:before="54"/>
              <w:ind w:left="31" w:right="37"/>
              <w:jc w:val="center"/>
              <w:rPr>
                <w:sz w:val="18"/>
              </w:rPr>
            </w:pPr>
            <w:r>
              <w:rPr>
                <w:sz w:val="18"/>
              </w:rPr>
              <w:t>0.001</w:t>
            </w:r>
          </w:p>
        </w:tc>
        <w:tc>
          <w:tcPr>
            <w:tcW w:w="1061" w:type="dxa"/>
            <w:tcBorders>
              <w:right w:val="single" w:sz="4" w:space="0" w:color="000000"/>
            </w:tcBorders>
          </w:tcPr>
          <w:p>
            <w:pPr>
              <w:pStyle w:val="TableParagraph"/>
              <w:spacing w:before="54"/>
              <w:ind w:left="77" w:right="78"/>
              <w:jc w:val="center"/>
              <w:rPr>
                <w:sz w:val="18"/>
              </w:rPr>
            </w:pPr>
            <w:r>
              <w:rPr>
                <w:sz w:val="18"/>
              </w:rPr>
              <w:t>0.999</w:t>
            </w:r>
          </w:p>
        </w:tc>
        <w:tc>
          <w:tcPr>
            <w:tcW w:w="1093" w:type="dxa"/>
            <w:tcBorders>
              <w:left w:val="single" w:sz="4" w:space="0" w:color="000000"/>
            </w:tcBorders>
          </w:tcPr>
          <w:p>
            <w:pPr>
              <w:pStyle w:val="TableParagraph"/>
              <w:spacing w:before="54"/>
              <w:ind w:left="32" w:right="20"/>
              <w:jc w:val="center"/>
              <w:rPr>
                <w:sz w:val="18"/>
              </w:rPr>
            </w:pPr>
            <w:r>
              <w:rPr>
                <w:sz w:val="18"/>
              </w:rPr>
              <w:t>0.000</w:t>
            </w:r>
          </w:p>
        </w:tc>
        <w:tc>
          <w:tcPr>
            <w:tcW w:w="1014" w:type="dxa"/>
            <w:tcBorders>
              <w:right w:val="single" w:sz="4" w:space="0" w:color="000000"/>
            </w:tcBorders>
          </w:tcPr>
          <w:p>
            <w:pPr>
              <w:pStyle w:val="TableParagraph"/>
              <w:spacing w:before="54"/>
              <w:ind w:left="43" w:right="26"/>
              <w:jc w:val="center"/>
              <w:rPr>
                <w:sz w:val="18"/>
              </w:rPr>
            </w:pPr>
            <w:r>
              <w:rPr>
                <w:sz w:val="18"/>
              </w:rPr>
              <w:t>0.998</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6.B</w:t>
            </w:r>
          </w:p>
        </w:tc>
        <w:tc>
          <w:tcPr>
            <w:tcW w:w="746" w:type="dxa"/>
            <w:tcBorders>
              <w:right w:val="single" w:sz="4" w:space="0" w:color="000000"/>
            </w:tcBorders>
          </w:tcPr>
          <w:p>
            <w:pPr>
              <w:pStyle w:val="TableParagraph"/>
              <w:spacing w:before="52"/>
              <w:ind w:left="184" w:right="190"/>
              <w:jc w:val="center"/>
              <w:rPr>
                <w:sz w:val="18"/>
              </w:rPr>
            </w:pPr>
            <w:r>
              <w:rPr>
                <w:sz w:val="18"/>
              </w:rPr>
              <w:t>CH</w:t>
            </w:r>
            <w:r>
              <w:rPr>
                <w:sz w:val="18"/>
                <w:vertAlign w:val="subscript"/>
              </w:rPr>
              <w:t>4</w:t>
            </w:r>
          </w:p>
        </w:tc>
        <w:tc>
          <w:tcPr>
            <w:tcW w:w="903" w:type="dxa"/>
            <w:tcBorders>
              <w:left w:val="single" w:sz="4" w:space="0" w:color="000000"/>
            </w:tcBorders>
          </w:tcPr>
          <w:p>
            <w:pPr>
              <w:pStyle w:val="TableParagraph"/>
              <w:spacing w:before="52"/>
              <w:ind w:left="62" w:right="53"/>
              <w:jc w:val="center"/>
              <w:rPr>
                <w:sz w:val="18"/>
              </w:rPr>
            </w:pPr>
            <w:r>
              <w:rPr>
                <w:sz w:val="18"/>
              </w:rPr>
              <w:t>282</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9"/>
              <w:jc w:val="center"/>
              <w:rPr>
                <w:sz w:val="18"/>
              </w:rPr>
            </w:pPr>
            <w:r>
              <w:rPr>
                <w:sz w:val="18"/>
              </w:rPr>
              <w:t>282</w:t>
            </w:r>
          </w:p>
        </w:tc>
        <w:tc>
          <w:tcPr>
            <w:tcW w:w="1109" w:type="dxa"/>
            <w:tcBorders>
              <w:left w:val="single" w:sz="4" w:space="0" w:color="000000"/>
            </w:tcBorders>
          </w:tcPr>
          <w:p>
            <w:pPr>
              <w:pStyle w:val="TableParagraph"/>
              <w:spacing w:before="52"/>
              <w:ind w:left="31" w:right="37"/>
              <w:jc w:val="center"/>
              <w:rPr>
                <w:sz w:val="18"/>
              </w:rPr>
            </w:pPr>
            <w:r>
              <w:rPr>
                <w:sz w:val="18"/>
              </w:rPr>
              <w:t>0.001</w:t>
            </w:r>
          </w:p>
        </w:tc>
        <w:tc>
          <w:tcPr>
            <w:tcW w:w="1061" w:type="dxa"/>
            <w:tcBorders>
              <w:right w:val="single" w:sz="4" w:space="0" w:color="000000"/>
            </w:tcBorders>
          </w:tcPr>
          <w:p>
            <w:pPr>
              <w:pStyle w:val="TableParagraph"/>
              <w:spacing w:before="52"/>
              <w:ind w:left="77" w:right="78"/>
              <w:jc w:val="center"/>
              <w:rPr>
                <w:sz w:val="18"/>
              </w:rPr>
            </w:pPr>
            <w:r>
              <w:rPr>
                <w:sz w:val="18"/>
              </w:rPr>
              <w:t>0.999</w:t>
            </w:r>
          </w:p>
        </w:tc>
        <w:tc>
          <w:tcPr>
            <w:tcW w:w="1093" w:type="dxa"/>
            <w:tcBorders>
              <w:left w:val="single" w:sz="4" w:space="0" w:color="000000"/>
            </w:tcBorders>
          </w:tcPr>
          <w:p>
            <w:pPr>
              <w:pStyle w:val="TableParagraph"/>
              <w:spacing w:before="52"/>
              <w:ind w:left="32" w:right="20"/>
              <w:jc w:val="center"/>
              <w:rPr>
                <w:sz w:val="18"/>
              </w:rPr>
            </w:pPr>
            <w:r>
              <w:rPr>
                <w:sz w:val="18"/>
              </w:rPr>
              <w:t>0.000</w:t>
            </w:r>
          </w:p>
        </w:tc>
        <w:tc>
          <w:tcPr>
            <w:tcW w:w="1014" w:type="dxa"/>
            <w:tcBorders>
              <w:right w:val="single" w:sz="4" w:space="0" w:color="000000"/>
            </w:tcBorders>
          </w:tcPr>
          <w:p>
            <w:pPr>
              <w:pStyle w:val="TableParagraph"/>
              <w:spacing w:before="52"/>
              <w:ind w:left="43" w:right="26"/>
              <w:jc w:val="center"/>
              <w:rPr>
                <w:sz w:val="18"/>
              </w:rPr>
            </w:pPr>
            <w:r>
              <w:rPr>
                <w:sz w:val="18"/>
              </w:rPr>
              <w:t>0.999</w:t>
            </w:r>
          </w:p>
        </w:tc>
      </w:tr>
      <w:tr>
        <w:trPr>
          <w:trHeight w:val="340" w:hRule="atLeast"/>
        </w:trPr>
        <w:tc>
          <w:tcPr>
            <w:tcW w:w="1154" w:type="dxa"/>
            <w:tcBorders>
              <w:left w:val="single" w:sz="4" w:space="0" w:color="000000"/>
            </w:tcBorders>
          </w:tcPr>
          <w:p>
            <w:pPr>
              <w:pStyle w:val="TableParagraph"/>
              <w:spacing w:before="54"/>
              <w:ind w:left="232"/>
              <w:rPr>
                <w:sz w:val="18"/>
              </w:rPr>
            </w:pPr>
            <w:r>
              <w:rPr>
                <w:sz w:val="18"/>
              </w:rPr>
              <w:t>5.B</w:t>
            </w:r>
          </w:p>
        </w:tc>
        <w:tc>
          <w:tcPr>
            <w:tcW w:w="746" w:type="dxa"/>
            <w:tcBorders>
              <w:right w:val="single" w:sz="4" w:space="0" w:color="000000"/>
            </w:tcBorders>
          </w:tcPr>
          <w:p>
            <w:pPr>
              <w:pStyle w:val="TableParagraph"/>
              <w:spacing w:before="54"/>
              <w:ind w:left="184" w:right="190"/>
              <w:jc w:val="center"/>
              <w:rPr>
                <w:sz w:val="18"/>
              </w:rPr>
            </w:pPr>
            <w:r>
              <w:rPr>
                <w:sz w:val="18"/>
              </w:rPr>
              <w:t>CH</w:t>
            </w:r>
            <w:r>
              <w:rPr>
                <w:sz w:val="18"/>
                <w:vertAlign w:val="subscript"/>
              </w:rPr>
              <w:t>4</w:t>
            </w:r>
          </w:p>
        </w:tc>
        <w:tc>
          <w:tcPr>
            <w:tcW w:w="903" w:type="dxa"/>
            <w:tcBorders>
              <w:left w:val="single" w:sz="4" w:space="0" w:color="000000"/>
            </w:tcBorders>
          </w:tcPr>
          <w:p>
            <w:pPr>
              <w:pStyle w:val="TableParagraph"/>
              <w:spacing w:before="54"/>
              <w:ind w:left="63" w:right="52"/>
              <w:jc w:val="center"/>
              <w:rPr>
                <w:sz w:val="18"/>
              </w:rPr>
            </w:pPr>
            <w:r>
              <w:rPr>
                <w:sz w:val="18"/>
              </w:rPr>
              <w:t>..</w:t>
            </w:r>
          </w:p>
        </w:tc>
        <w:tc>
          <w:tcPr>
            <w:tcW w:w="905" w:type="dxa"/>
            <w:tcBorders>
              <w:right w:val="single" w:sz="4" w:space="0" w:color="000000"/>
            </w:tcBorders>
          </w:tcPr>
          <w:p>
            <w:pPr>
              <w:pStyle w:val="TableParagraph"/>
              <w:spacing w:before="54"/>
              <w:ind w:left="293" w:right="280"/>
              <w:jc w:val="center"/>
              <w:rPr>
                <w:sz w:val="18"/>
              </w:rPr>
            </w:pPr>
            <w:r>
              <w:rPr>
                <w:sz w:val="18"/>
              </w:rPr>
              <w:t>236</w:t>
            </w:r>
          </w:p>
        </w:tc>
        <w:tc>
          <w:tcPr>
            <w:tcW w:w="904" w:type="dxa"/>
            <w:tcBorders>
              <w:left w:val="single" w:sz="4" w:space="0" w:color="000000"/>
              <w:right w:val="single" w:sz="4" w:space="0" w:color="000000"/>
            </w:tcBorders>
          </w:tcPr>
          <w:p>
            <w:pPr>
              <w:pStyle w:val="TableParagraph"/>
              <w:spacing w:before="54"/>
              <w:ind w:left="92" w:right="80"/>
              <w:jc w:val="center"/>
              <w:rPr>
                <w:sz w:val="18"/>
              </w:rPr>
            </w:pPr>
            <w:r>
              <w:rPr>
                <w:sz w:val="18"/>
              </w:rPr>
              <w:t>236</w:t>
            </w:r>
          </w:p>
        </w:tc>
        <w:tc>
          <w:tcPr>
            <w:tcW w:w="1109" w:type="dxa"/>
            <w:tcBorders>
              <w:left w:val="single" w:sz="4" w:space="0" w:color="000000"/>
            </w:tcBorders>
          </w:tcPr>
          <w:p>
            <w:pPr>
              <w:pStyle w:val="TableParagraph"/>
              <w:spacing w:before="54"/>
              <w:ind w:left="31" w:right="37"/>
              <w:jc w:val="center"/>
              <w:rPr>
                <w:sz w:val="18"/>
              </w:rPr>
            </w:pPr>
            <w:r>
              <w:rPr>
                <w:sz w:val="18"/>
              </w:rPr>
              <w:t>..</w:t>
            </w:r>
          </w:p>
        </w:tc>
        <w:tc>
          <w:tcPr>
            <w:tcW w:w="1061" w:type="dxa"/>
            <w:tcBorders>
              <w:right w:val="single" w:sz="4" w:space="0" w:color="000000"/>
            </w:tcBorders>
          </w:tcPr>
          <w:p>
            <w:pPr>
              <w:pStyle w:val="TableParagraph"/>
              <w:spacing w:before="54"/>
              <w:ind w:left="77" w:right="77"/>
              <w:jc w:val="center"/>
              <w:rPr>
                <w:sz w:val="18"/>
              </w:rPr>
            </w:pPr>
            <w:r>
              <w:rPr>
                <w:sz w:val="18"/>
              </w:rPr>
              <w:t>0.999</w:t>
            </w:r>
          </w:p>
        </w:tc>
        <w:tc>
          <w:tcPr>
            <w:tcW w:w="1093" w:type="dxa"/>
            <w:tcBorders>
              <w:left w:val="single" w:sz="4" w:space="0" w:color="000000"/>
            </w:tcBorders>
          </w:tcPr>
          <w:p>
            <w:pPr>
              <w:pStyle w:val="TableParagraph"/>
              <w:spacing w:before="54"/>
              <w:ind w:left="32" w:right="20"/>
              <w:jc w:val="center"/>
              <w:rPr>
                <w:sz w:val="18"/>
              </w:rPr>
            </w:pPr>
            <w:r>
              <w:rPr>
                <w:sz w:val="18"/>
              </w:rPr>
              <w:t>0.000</w:t>
            </w:r>
          </w:p>
        </w:tc>
        <w:tc>
          <w:tcPr>
            <w:tcW w:w="1014" w:type="dxa"/>
            <w:tcBorders>
              <w:right w:val="single" w:sz="4" w:space="0" w:color="000000"/>
            </w:tcBorders>
          </w:tcPr>
          <w:p>
            <w:pPr>
              <w:pStyle w:val="TableParagraph"/>
              <w:spacing w:before="54"/>
              <w:ind w:left="43" w:right="26"/>
              <w:jc w:val="center"/>
              <w:rPr>
                <w:sz w:val="18"/>
              </w:rPr>
            </w:pPr>
            <w:r>
              <w:rPr>
                <w:sz w:val="18"/>
              </w:rPr>
              <w:t>0.999</w:t>
            </w:r>
          </w:p>
        </w:tc>
      </w:tr>
      <w:tr>
        <w:trPr>
          <w:trHeight w:val="339" w:hRule="atLeast"/>
        </w:trPr>
        <w:tc>
          <w:tcPr>
            <w:tcW w:w="1154" w:type="dxa"/>
            <w:tcBorders>
              <w:left w:val="single" w:sz="4" w:space="0" w:color="000000"/>
            </w:tcBorders>
          </w:tcPr>
          <w:p>
            <w:pPr>
              <w:pStyle w:val="TableParagraph"/>
              <w:spacing w:before="54"/>
              <w:ind w:left="232"/>
              <w:rPr>
                <w:sz w:val="18"/>
              </w:rPr>
            </w:pPr>
            <w:r>
              <w:rPr>
                <w:sz w:val="18"/>
              </w:rPr>
              <w:t>4.C</w:t>
            </w:r>
          </w:p>
        </w:tc>
        <w:tc>
          <w:tcPr>
            <w:tcW w:w="746" w:type="dxa"/>
            <w:tcBorders>
              <w:right w:val="single" w:sz="4" w:space="0" w:color="000000"/>
            </w:tcBorders>
          </w:tcPr>
          <w:p>
            <w:pPr>
              <w:pStyle w:val="TableParagraph"/>
              <w:spacing w:before="54"/>
              <w:ind w:left="184" w:right="190"/>
              <w:jc w:val="center"/>
              <w:rPr>
                <w:sz w:val="18"/>
              </w:rPr>
            </w:pPr>
            <w:r>
              <w:rPr>
                <w:sz w:val="18"/>
              </w:rPr>
              <w:t>CH</w:t>
            </w:r>
            <w:r>
              <w:rPr>
                <w:sz w:val="18"/>
                <w:vertAlign w:val="subscript"/>
              </w:rPr>
              <w:t>4</w:t>
            </w:r>
          </w:p>
        </w:tc>
        <w:tc>
          <w:tcPr>
            <w:tcW w:w="903" w:type="dxa"/>
            <w:tcBorders>
              <w:left w:val="single" w:sz="4" w:space="0" w:color="000000"/>
            </w:tcBorders>
          </w:tcPr>
          <w:p>
            <w:pPr>
              <w:pStyle w:val="TableParagraph"/>
              <w:spacing w:before="54"/>
              <w:ind w:left="62" w:right="53"/>
              <w:jc w:val="center"/>
              <w:rPr>
                <w:sz w:val="18"/>
              </w:rPr>
            </w:pPr>
            <w:r>
              <w:rPr>
                <w:sz w:val="18"/>
              </w:rPr>
              <w:t>163</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163</w:t>
            </w:r>
          </w:p>
        </w:tc>
        <w:tc>
          <w:tcPr>
            <w:tcW w:w="1109" w:type="dxa"/>
            <w:tcBorders>
              <w:left w:val="single" w:sz="4" w:space="0" w:color="000000"/>
            </w:tcBorders>
          </w:tcPr>
          <w:p>
            <w:pPr>
              <w:pStyle w:val="TableParagraph"/>
              <w:spacing w:before="54"/>
              <w:ind w:left="31" w:right="37"/>
              <w:jc w:val="center"/>
              <w:rPr>
                <w:sz w:val="18"/>
              </w:rPr>
            </w:pPr>
            <w:r>
              <w:rPr>
                <w:sz w:val="18"/>
              </w:rPr>
              <w:t>0.000</w:t>
            </w:r>
          </w:p>
        </w:tc>
        <w:tc>
          <w:tcPr>
            <w:tcW w:w="1061" w:type="dxa"/>
            <w:tcBorders>
              <w:right w:val="single" w:sz="4" w:space="0" w:color="000000"/>
            </w:tcBorders>
          </w:tcPr>
          <w:p>
            <w:pPr>
              <w:pStyle w:val="TableParagraph"/>
              <w:spacing w:before="54"/>
              <w:ind w:left="77" w:right="78"/>
              <w:jc w:val="center"/>
              <w:rPr>
                <w:sz w:val="18"/>
              </w:rPr>
            </w:pPr>
            <w:r>
              <w:rPr>
                <w:sz w:val="18"/>
              </w:rPr>
              <w:t>0.999</w:t>
            </w:r>
          </w:p>
        </w:tc>
        <w:tc>
          <w:tcPr>
            <w:tcW w:w="1093" w:type="dxa"/>
            <w:tcBorders>
              <w:left w:val="single" w:sz="4" w:space="0" w:color="000000"/>
            </w:tcBorders>
          </w:tcPr>
          <w:p>
            <w:pPr>
              <w:pStyle w:val="TableParagraph"/>
              <w:spacing w:before="54"/>
              <w:ind w:left="32" w:right="20"/>
              <w:jc w:val="center"/>
              <w:rPr>
                <w:sz w:val="18"/>
              </w:rPr>
            </w:pPr>
            <w:r>
              <w:rPr>
                <w:sz w:val="18"/>
              </w:rPr>
              <w:t>0.000</w:t>
            </w:r>
          </w:p>
        </w:tc>
        <w:tc>
          <w:tcPr>
            <w:tcW w:w="1014" w:type="dxa"/>
            <w:tcBorders>
              <w:right w:val="single" w:sz="4" w:space="0" w:color="000000"/>
            </w:tcBorders>
          </w:tcPr>
          <w:p>
            <w:pPr>
              <w:pStyle w:val="TableParagraph"/>
              <w:spacing w:before="54"/>
              <w:ind w:left="43" w:right="26"/>
              <w:jc w:val="center"/>
              <w:rPr>
                <w:sz w:val="18"/>
              </w:rPr>
            </w:pPr>
            <w:r>
              <w:rPr>
                <w:sz w:val="18"/>
              </w:rPr>
              <w:t>0.999</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3.B</w:t>
            </w:r>
          </w:p>
        </w:tc>
        <w:tc>
          <w:tcPr>
            <w:tcW w:w="746" w:type="dxa"/>
            <w:tcBorders>
              <w:right w:val="single" w:sz="4" w:space="0" w:color="000000"/>
            </w:tcBorders>
          </w:tcPr>
          <w:p>
            <w:pPr>
              <w:pStyle w:val="TableParagraph"/>
              <w:spacing w:before="52"/>
              <w:ind w:left="184" w:right="190"/>
              <w:jc w:val="center"/>
              <w:rPr>
                <w:sz w:val="18"/>
              </w:rPr>
            </w:pPr>
            <w:r>
              <w:rPr>
                <w:sz w:val="18"/>
              </w:rPr>
              <w:t>CO</w:t>
            </w:r>
            <w:r>
              <w:rPr>
                <w:sz w:val="18"/>
                <w:vertAlign w:val="subscript"/>
              </w:rPr>
              <w:t>2</w:t>
            </w:r>
          </w:p>
        </w:tc>
        <w:tc>
          <w:tcPr>
            <w:tcW w:w="903" w:type="dxa"/>
            <w:tcBorders>
              <w:left w:val="single" w:sz="4" w:space="0" w:color="000000"/>
            </w:tcBorders>
          </w:tcPr>
          <w:p>
            <w:pPr>
              <w:pStyle w:val="TableParagraph"/>
              <w:spacing w:before="52"/>
              <w:ind w:left="62" w:right="53"/>
              <w:jc w:val="center"/>
              <w:rPr>
                <w:sz w:val="18"/>
              </w:rPr>
            </w:pPr>
            <w:r>
              <w:rPr>
                <w:sz w:val="18"/>
              </w:rPr>
              <w:t>136</w:t>
            </w:r>
          </w:p>
        </w:tc>
        <w:tc>
          <w:tcPr>
            <w:tcW w:w="905" w:type="dxa"/>
            <w:tcBorders>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2"/>
              <w:ind w:left="92" w:right="79"/>
              <w:jc w:val="center"/>
              <w:rPr>
                <w:sz w:val="18"/>
              </w:rPr>
            </w:pPr>
            <w:r>
              <w:rPr>
                <w:sz w:val="18"/>
              </w:rPr>
              <w:t>136</w:t>
            </w:r>
          </w:p>
        </w:tc>
        <w:tc>
          <w:tcPr>
            <w:tcW w:w="1109" w:type="dxa"/>
            <w:tcBorders>
              <w:left w:val="single" w:sz="4" w:space="0" w:color="000000"/>
            </w:tcBorders>
          </w:tcPr>
          <w:p>
            <w:pPr>
              <w:pStyle w:val="TableParagraph"/>
              <w:spacing w:before="52"/>
              <w:ind w:left="31" w:right="37"/>
              <w:jc w:val="center"/>
              <w:rPr>
                <w:sz w:val="18"/>
              </w:rPr>
            </w:pPr>
            <w:r>
              <w:rPr>
                <w:sz w:val="18"/>
              </w:rPr>
              <w:t>0.000</w:t>
            </w:r>
          </w:p>
        </w:tc>
        <w:tc>
          <w:tcPr>
            <w:tcW w:w="1061" w:type="dxa"/>
            <w:tcBorders>
              <w:right w:val="single" w:sz="4" w:space="0" w:color="000000"/>
            </w:tcBorders>
          </w:tcPr>
          <w:p>
            <w:pPr>
              <w:pStyle w:val="TableParagraph"/>
              <w:spacing w:before="52"/>
              <w:ind w:left="77" w:right="78"/>
              <w:jc w:val="center"/>
              <w:rPr>
                <w:sz w:val="18"/>
              </w:rPr>
            </w:pPr>
            <w:r>
              <w:rPr>
                <w:sz w:val="18"/>
              </w:rPr>
              <w:t>1.000</w:t>
            </w:r>
          </w:p>
        </w:tc>
        <w:tc>
          <w:tcPr>
            <w:tcW w:w="1093" w:type="dxa"/>
            <w:tcBorders>
              <w:left w:val="single" w:sz="4" w:space="0" w:color="000000"/>
            </w:tcBorders>
          </w:tcPr>
          <w:p>
            <w:pPr>
              <w:pStyle w:val="TableParagraph"/>
              <w:spacing w:before="52"/>
              <w:ind w:left="32" w:right="20"/>
              <w:jc w:val="center"/>
              <w:rPr>
                <w:sz w:val="18"/>
              </w:rPr>
            </w:pPr>
            <w:r>
              <w:rPr>
                <w:sz w:val="18"/>
              </w:rPr>
              <w:t>0.000</w:t>
            </w:r>
          </w:p>
        </w:tc>
        <w:tc>
          <w:tcPr>
            <w:tcW w:w="1014" w:type="dxa"/>
            <w:tcBorders>
              <w:right w:val="single" w:sz="4" w:space="0" w:color="000000"/>
            </w:tcBorders>
          </w:tcPr>
          <w:p>
            <w:pPr>
              <w:pStyle w:val="TableParagraph"/>
              <w:spacing w:before="52"/>
              <w:ind w:left="43" w:right="26"/>
              <w:jc w:val="center"/>
              <w:rPr>
                <w:sz w:val="18"/>
              </w:rPr>
            </w:pPr>
            <w:r>
              <w:rPr>
                <w:sz w:val="18"/>
              </w:rPr>
              <w:t>1.000</w:t>
            </w:r>
          </w:p>
        </w:tc>
      </w:tr>
      <w:tr>
        <w:trPr>
          <w:trHeight w:val="340" w:hRule="atLeast"/>
        </w:trPr>
        <w:tc>
          <w:tcPr>
            <w:tcW w:w="1154" w:type="dxa"/>
            <w:tcBorders>
              <w:left w:val="single" w:sz="4" w:space="0" w:color="000000"/>
            </w:tcBorders>
          </w:tcPr>
          <w:p>
            <w:pPr>
              <w:pStyle w:val="TableParagraph"/>
              <w:spacing w:before="54"/>
              <w:ind w:left="232"/>
              <w:rPr>
                <w:sz w:val="18"/>
              </w:rPr>
            </w:pPr>
            <w:r>
              <w:rPr>
                <w:sz w:val="18"/>
              </w:rPr>
              <w:t>1.AA.2</w:t>
            </w:r>
          </w:p>
        </w:tc>
        <w:tc>
          <w:tcPr>
            <w:tcW w:w="746" w:type="dxa"/>
            <w:tcBorders>
              <w:right w:val="single" w:sz="4" w:space="0" w:color="000000"/>
            </w:tcBorders>
          </w:tcPr>
          <w:p>
            <w:pPr>
              <w:pStyle w:val="TableParagraph"/>
              <w:spacing w:before="54"/>
              <w:ind w:left="184" w:right="190"/>
              <w:jc w:val="center"/>
              <w:rPr>
                <w:sz w:val="18"/>
              </w:rPr>
            </w:pPr>
            <w:r>
              <w:rPr>
                <w:sz w:val="18"/>
              </w:rPr>
              <w:t>CH</w:t>
            </w:r>
            <w:r>
              <w:rPr>
                <w:sz w:val="18"/>
                <w:vertAlign w:val="subscript"/>
              </w:rPr>
              <w:t>4</w:t>
            </w:r>
          </w:p>
        </w:tc>
        <w:tc>
          <w:tcPr>
            <w:tcW w:w="903" w:type="dxa"/>
            <w:tcBorders>
              <w:left w:val="single" w:sz="4" w:space="0" w:color="000000"/>
            </w:tcBorders>
          </w:tcPr>
          <w:p>
            <w:pPr>
              <w:pStyle w:val="TableParagraph"/>
              <w:spacing w:before="54"/>
              <w:ind w:left="63" w:right="53"/>
              <w:jc w:val="center"/>
              <w:rPr>
                <w:sz w:val="18"/>
              </w:rPr>
            </w:pPr>
            <w:r>
              <w:rPr>
                <w:sz w:val="18"/>
              </w:rPr>
              <w:t>81</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81</w:t>
            </w:r>
          </w:p>
        </w:tc>
        <w:tc>
          <w:tcPr>
            <w:tcW w:w="1109" w:type="dxa"/>
            <w:tcBorders>
              <w:left w:val="single" w:sz="4" w:space="0" w:color="000000"/>
            </w:tcBorders>
          </w:tcPr>
          <w:p>
            <w:pPr>
              <w:pStyle w:val="TableParagraph"/>
              <w:spacing w:before="54"/>
              <w:ind w:left="31" w:right="36"/>
              <w:jc w:val="center"/>
              <w:rPr>
                <w:sz w:val="18"/>
              </w:rPr>
            </w:pPr>
            <w:r>
              <w:rPr>
                <w:sz w:val="18"/>
              </w:rPr>
              <w:t>0.000</w:t>
            </w:r>
          </w:p>
        </w:tc>
        <w:tc>
          <w:tcPr>
            <w:tcW w:w="1061" w:type="dxa"/>
            <w:tcBorders>
              <w:right w:val="single" w:sz="4" w:space="0" w:color="000000"/>
            </w:tcBorders>
          </w:tcPr>
          <w:p>
            <w:pPr>
              <w:pStyle w:val="TableParagraph"/>
              <w:spacing w:before="54"/>
              <w:ind w:left="77" w:right="77"/>
              <w:jc w:val="center"/>
              <w:rPr>
                <w:sz w:val="18"/>
              </w:rPr>
            </w:pPr>
            <w:r>
              <w:rPr>
                <w:sz w:val="18"/>
              </w:rPr>
              <w:t>1.000</w:t>
            </w:r>
          </w:p>
        </w:tc>
        <w:tc>
          <w:tcPr>
            <w:tcW w:w="1093" w:type="dxa"/>
            <w:tcBorders>
              <w:left w:val="single" w:sz="4" w:space="0" w:color="000000"/>
            </w:tcBorders>
          </w:tcPr>
          <w:p>
            <w:pPr>
              <w:pStyle w:val="TableParagraph"/>
              <w:spacing w:before="54"/>
              <w:ind w:left="32" w:right="20"/>
              <w:jc w:val="center"/>
              <w:rPr>
                <w:sz w:val="18"/>
              </w:rPr>
            </w:pPr>
            <w:r>
              <w:rPr>
                <w:sz w:val="18"/>
              </w:rPr>
              <w:t>0.000</w:t>
            </w:r>
          </w:p>
        </w:tc>
        <w:tc>
          <w:tcPr>
            <w:tcW w:w="1014" w:type="dxa"/>
            <w:tcBorders>
              <w:right w:val="single" w:sz="4" w:space="0" w:color="000000"/>
            </w:tcBorders>
          </w:tcPr>
          <w:p>
            <w:pPr>
              <w:pStyle w:val="TableParagraph"/>
              <w:spacing w:before="54"/>
              <w:ind w:left="43" w:right="25"/>
              <w:jc w:val="center"/>
              <w:rPr>
                <w:sz w:val="18"/>
              </w:rPr>
            </w:pPr>
            <w:r>
              <w:rPr>
                <w:sz w:val="18"/>
              </w:rPr>
              <w:t>1.000</w:t>
            </w:r>
          </w:p>
        </w:tc>
      </w:tr>
      <w:tr>
        <w:trPr>
          <w:trHeight w:val="339" w:hRule="atLeast"/>
        </w:trPr>
        <w:tc>
          <w:tcPr>
            <w:tcW w:w="1154" w:type="dxa"/>
            <w:tcBorders>
              <w:left w:val="single" w:sz="4" w:space="0" w:color="000000"/>
            </w:tcBorders>
          </w:tcPr>
          <w:p>
            <w:pPr>
              <w:pStyle w:val="TableParagraph"/>
              <w:spacing w:before="54"/>
              <w:ind w:left="232"/>
              <w:rPr>
                <w:sz w:val="18"/>
              </w:rPr>
            </w:pPr>
            <w:r>
              <w:rPr>
                <w:sz w:val="18"/>
              </w:rPr>
              <w:t>2.B</w:t>
            </w:r>
          </w:p>
        </w:tc>
        <w:tc>
          <w:tcPr>
            <w:tcW w:w="746" w:type="dxa"/>
            <w:tcBorders>
              <w:right w:val="single" w:sz="4" w:space="0" w:color="000000"/>
            </w:tcBorders>
          </w:tcPr>
          <w:p>
            <w:pPr>
              <w:pStyle w:val="TableParagraph"/>
              <w:spacing w:before="54"/>
              <w:ind w:left="184" w:right="190"/>
              <w:jc w:val="center"/>
              <w:rPr>
                <w:sz w:val="18"/>
              </w:rPr>
            </w:pPr>
            <w:r>
              <w:rPr>
                <w:sz w:val="18"/>
              </w:rPr>
              <w:t>CH</w:t>
            </w:r>
            <w:r>
              <w:rPr>
                <w:sz w:val="18"/>
                <w:vertAlign w:val="subscript"/>
              </w:rPr>
              <w:t>4</w:t>
            </w:r>
          </w:p>
        </w:tc>
        <w:tc>
          <w:tcPr>
            <w:tcW w:w="903" w:type="dxa"/>
            <w:tcBorders>
              <w:left w:val="single" w:sz="4" w:space="0" w:color="000000"/>
            </w:tcBorders>
          </w:tcPr>
          <w:p>
            <w:pPr>
              <w:pStyle w:val="TableParagraph"/>
              <w:spacing w:before="54"/>
              <w:ind w:left="63" w:right="53"/>
              <w:jc w:val="center"/>
              <w:rPr>
                <w:sz w:val="18"/>
              </w:rPr>
            </w:pPr>
            <w:r>
              <w:rPr>
                <w:sz w:val="18"/>
              </w:rPr>
              <w:t>55</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55</w:t>
            </w:r>
          </w:p>
        </w:tc>
        <w:tc>
          <w:tcPr>
            <w:tcW w:w="1109" w:type="dxa"/>
            <w:tcBorders>
              <w:left w:val="single" w:sz="4" w:space="0" w:color="000000"/>
            </w:tcBorders>
          </w:tcPr>
          <w:p>
            <w:pPr>
              <w:pStyle w:val="TableParagraph"/>
              <w:spacing w:before="54"/>
              <w:ind w:left="31" w:right="36"/>
              <w:jc w:val="center"/>
              <w:rPr>
                <w:sz w:val="18"/>
              </w:rPr>
            </w:pPr>
            <w:r>
              <w:rPr>
                <w:sz w:val="18"/>
              </w:rPr>
              <w:t>0.000</w:t>
            </w:r>
          </w:p>
        </w:tc>
        <w:tc>
          <w:tcPr>
            <w:tcW w:w="1061" w:type="dxa"/>
            <w:tcBorders>
              <w:right w:val="single" w:sz="4" w:space="0" w:color="000000"/>
            </w:tcBorders>
          </w:tcPr>
          <w:p>
            <w:pPr>
              <w:pStyle w:val="TableParagraph"/>
              <w:spacing w:before="54"/>
              <w:ind w:left="77" w:right="77"/>
              <w:jc w:val="center"/>
              <w:rPr>
                <w:sz w:val="18"/>
              </w:rPr>
            </w:pPr>
            <w:r>
              <w:rPr>
                <w:sz w:val="18"/>
              </w:rPr>
              <w:t>1.000</w:t>
            </w:r>
          </w:p>
        </w:tc>
        <w:tc>
          <w:tcPr>
            <w:tcW w:w="1093" w:type="dxa"/>
            <w:tcBorders>
              <w:left w:val="single" w:sz="4" w:space="0" w:color="000000"/>
            </w:tcBorders>
          </w:tcPr>
          <w:p>
            <w:pPr>
              <w:pStyle w:val="TableParagraph"/>
              <w:spacing w:before="54"/>
              <w:ind w:left="32" w:right="20"/>
              <w:jc w:val="center"/>
              <w:rPr>
                <w:sz w:val="18"/>
              </w:rPr>
            </w:pPr>
            <w:r>
              <w:rPr>
                <w:sz w:val="18"/>
              </w:rPr>
              <w:t>0.000</w:t>
            </w:r>
          </w:p>
        </w:tc>
        <w:tc>
          <w:tcPr>
            <w:tcW w:w="1014" w:type="dxa"/>
            <w:tcBorders>
              <w:right w:val="single" w:sz="4" w:space="0" w:color="000000"/>
            </w:tcBorders>
          </w:tcPr>
          <w:p>
            <w:pPr>
              <w:pStyle w:val="TableParagraph"/>
              <w:spacing w:before="54"/>
              <w:ind w:left="43" w:right="25"/>
              <w:jc w:val="center"/>
              <w:rPr>
                <w:sz w:val="18"/>
              </w:rPr>
            </w:pPr>
            <w:r>
              <w:rPr>
                <w:sz w:val="18"/>
              </w:rPr>
              <w:t>1.000</w:t>
            </w:r>
          </w:p>
        </w:tc>
      </w:tr>
      <w:tr>
        <w:trPr>
          <w:trHeight w:val="339" w:hRule="atLeast"/>
        </w:trPr>
        <w:tc>
          <w:tcPr>
            <w:tcW w:w="1154" w:type="dxa"/>
            <w:tcBorders>
              <w:left w:val="single" w:sz="4" w:space="0" w:color="000000"/>
            </w:tcBorders>
          </w:tcPr>
          <w:p>
            <w:pPr>
              <w:pStyle w:val="TableParagraph"/>
              <w:spacing w:before="52"/>
              <w:ind w:left="232"/>
              <w:rPr>
                <w:sz w:val="18"/>
              </w:rPr>
            </w:pPr>
            <w:r>
              <w:rPr>
                <w:sz w:val="18"/>
              </w:rPr>
              <w:t>5.C</w:t>
            </w:r>
          </w:p>
        </w:tc>
        <w:tc>
          <w:tcPr>
            <w:tcW w:w="746" w:type="dxa"/>
            <w:tcBorders>
              <w:right w:val="single" w:sz="4" w:space="0" w:color="000000"/>
            </w:tcBorders>
          </w:tcPr>
          <w:p>
            <w:pPr>
              <w:pStyle w:val="TableParagraph"/>
              <w:spacing w:before="52"/>
              <w:ind w:left="184" w:right="190"/>
              <w:jc w:val="center"/>
              <w:rPr>
                <w:sz w:val="18"/>
              </w:rPr>
            </w:pPr>
            <w:r>
              <w:rPr>
                <w:sz w:val="18"/>
              </w:rPr>
              <w:t>CO</w:t>
            </w:r>
            <w:r>
              <w:rPr>
                <w:sz w:val="18"/>
                <w:vertAlign w:val="subscript"/>
              </w:rPr>
              <w:t>2</w:t>
            </w:r>
          </w:p>
        </w:tc>
        <w:tc>
          <w:tcPr>
            <w:tcW w:w="903" w:type="dxa"/>
            <w:tcBorders>
              <w:left w:val="single" w:sz="4" w:space="0" w:color="000000"/>
            </w:tcBorders>
          </w:tcPr>
          <w:p>
            <w:pPr>
              <w:pStyle w:val="TableParagraph"/>
              <w:spacing w:before="52"/>
              <w:ind w:left="63" w:right="53"/>
              <w:jc w:val="center"/>
              <w:rPr>
                <w:sz w:val="18"/>
              </w:rPr>
            </w:pPr>
            <w:r>
              <w:rPr>
                <w:sz w:val="18"/>
              </w:rPr>
              <w:t>..</w:t>
            </w:r>
          </w:p>
        </w:tc>
        <w:tc>
          <w:tcPr>
            <w:tcW w:w="905" w:type="dxa"/>
            <w:tcBorders>
              <w:right w:val="single" w:sz="4" w:space="0" w:color="000000"/>
            </w:tcBorders>
          </w:tcPr>
          <w:p>
            <w:pPr>
              <w:pStyle w:val="TableParagraph"/>
              <w:spacing w:before="57"/>
              <w:ind w:left="294" w:right="280"/>
              <w:jc w:val="center"/>
              <w:rPr>
                <w:b/>
                <w:sz w:val="18"/>
              </w:rPr>
            </w:pPr>
            <w:r>
              <w:rPr>
                <w:b/>
                <w:sz w:val="18"/>
              </w:rPr>
              <w:t>- 48</w:t>
            </w:r>
          </w:p>
        </w:tc>
        <w:tc>
          <w:tcPr>
            <w:tcW w:w="904" w:type="dxa"/>
            <w:tcBorders>
              <w:left w:val="single" w:sz="4" w:space="0" w:color="000000"/>
              <w:right w:val="single" w:sz="4" w:space="0" w:color="000000"/>
            </w:tcBorders>
          </w:tcPr>
          <w:p>
            <w:pPr>
              <w:pStyle w:val="TableParagraph"/>
              <w:spacing w:before="52"/>
              <w:ind w:left="92" w:right="80"/>
              <w:jc w:val="center"/>
              <w:rPr>
                <w:sz w:val="18"/>
              </w:rPr>
            </w:pPr>
            <w:r>
              <w:rPr>
                <w:sz w:val="18"/>
              </w:rPr>
              <w:t>48</w:t>
            </w:r>
          </w:p>
        </w:tc>
        <w:tc>
          <w:tcPr>
            <w:tcW w:w="1109" w:type="dxa"/>
            <w:tcBorders>
              <w:left w:val="single" w:sz="4" w:space="0" w:color="000000"/>
            </w:tcBorders>
          </w:tcPr>
          <w:p>
            <w:pPr>
              <w:pStyle w:val="TableParagraph"/>
              <w:spacing w:before="52"/>
              <w:ind w:left="31" w:right="37"/>
              <w:jc w:val="center"/>
              <w:rPr>
                <w:sz w:val="18"/>
              </w:rPr>
            </w:pPr>
            <w:r>
              <w:rPr>
                <w:sz w:val="18"/>
              </w:rPr>
              <w:t>..</w:t>
            </w:r>
          </w:p>
        </w:tc>
        <w:tc>
          <w:tcPr>
            <w:tcW w:w="1061" w:type="dxa"/>
            <w:tcBorders>
              <w:right w:val="single" w:sz="4" w:space="0" w:color="000000"/>
            </w:tcBorders>
          </w:tcPr>
          <w:p>
            <w:pPr>
              <w:pStyle w:val="TableParagraph"/>
              <w:spacing w:before="52"/>
              <w:ind w:left="77" w:right="77"/>
              <w:jc w:val="center"/>
              <w:rPr>
                <w:sz w:val="18"/>
              </w:rPr>
            </w:pPr>
            <w:r>
              <w:rPr>
                <w:sz w:val="18"/>
              </w:rPr>
              <w:t>1.000</w:t>
            </w:r>
          </w:p>
        </w:tc>
        <w:tc>
          <w:tcPr>
            <w:tcW w:w="1093" w:type="dxa"/>
            <w:tcBorders>
              <w:left w:val="single" w:sz="4" w:space="0" w:color="000000"/>
            </w:tcBorders>
          </w:tcPr>
          <w:p>
            <w:pPr>
              <w:pStyle w:val="TableParagraph"/>
              <w:spacing w:before="52"/>
              <w:ind w:left="32" w:right="20"/>
              <w:jc w:val="center"/>
              <w:rPr>
                <w:sz w:val="18"/>
              </w:rPr>
            </w:pPr>
            <w:r>
              <w:rPr>
                <w:sz w:val="18"/>
              </w:rPr>
              <w:t>0.000</w:t>
            </w:r>
          </w:p>
        </w:tc>
        <w:tc>
          <w:tcPr>
            <w:tcW w:w="1014" w:type="dxa"/>
            <w:tcBorders>
              <w:right w:val="single" w:sz="4" w:space="0" w:color="000000"/>
            </w:tcBorders>
          </w:tcPr>
          <w:p>
            <w:pPr>
              <w:pStyle w:val="TableParagraph"/>
              <w:spacing w:before="52"/>
              <w:ind w:left="43" w:right="26"/>
              <w:jc w:val="center"/>
              <w:rPr>
                <w:sz w:val="18"/>
              </w:rPr>
            </w:pPr>
            <w:r>
              <w:rPr>
                <w:sz w:val="18"/>
              </w:rPr>
              <w:t>1.000</w:t>
            </w:r>
          </w:p>
        </w:tc>
      </w:tr>
      <w:tr>
        <w:trPr>
          <w:trHeight w:val="340" w:hRule="atLeast"/>
        </w:trPr>
        <w:tc>
          <w:tcPr>
            <w:tcW w:w="1154" w:type="dxa"/>
            <w:tcBorders>
              <w:left w:val="single" w:sz="4" w:space="0" w:color="000000"/>
            </w:tcBorders>
          </w:tcPr>
          <w:p>
            <w:pPr>
              <w:pStyle w:val="TableParagraph"/>
              <w:spacing w:before="54"/>
              <w:ind w:left="232"/>
              <w:rPr>
                <w:sz w:val="18"/>
              </w:rPr>
            </w:pPr>
            <w:r>
              <w:rPr>
                <w:sz w:val="18"/>
              </w:rPr>
              <w:t>1.AA.1</w:t>
            </w:r>
          </w:p>
        </w:tc>
        <w:tc>
          <w:tcPr>
            <w:tcW w:w="746" w:type="dxa"/>
            <w:tcBorders>
              <w:right w:val="single" w:sz="4" w:space="0" w:color="000000"/>
            </w:tcBorders>
          </w:tcPr>
          <w:p>
            <w:pPr>
              <w:pStyle w:val="TableParagraph"/>
              <w:spacing w:before="54"/>
              <w:ind w:left="184" w:right="190"/>
              <w:jc w:val="center"/>
              <w:rPr>
                <w:sz w:val="18"/>
              </w:rPr>
            </w:pPr>
            <w:r>
              <w:rPr>
                <w:sz w:val="18"/>
              </w:rPr>
              <w:t>CH</w:t>
            </w:r>
            <w:r>
              <w:rPr>
                <w:sz w:val="18"/>
                <w:vertAlign w:val="subscript"/>
              </w:rPr>
              <w:t>4</w:t>
            </w:r>
          </w:p>
        </w:tc>
        <w:tc>
          <w:tcPr>
            <w:tcW w:w="903" w:type="dxa"/>
            <w:tcBorders>
              <w:left w:val="single" w:sz="4" w:space="0" w:color="000000"/>
            </w:tcBorders>
          </w:tcPr>
          <w:p>
            <w:pPr>
              <w:pStyle w:val="TableParagraph"/>
              <w:spacing w:before="54"/>
              <w:ind w:left="63" w:right="53"/>
              <w:jc w:val="center"/>
              <w:rPr>
                <w:sz w:val="18"/>
              </w:rPr>
            </w:pPr>
            <w:r>
              <w:rPr>
                <w:sz w:val="18"/>
              </w:rPr>
              <w:t>28</w:t>
            </w:r>
          </w:p>
        </w:tc>
        <w:tc>
          <w:tcPr>
            <w:tcW w:w="905" w:type="dxa"/>
            <w:tcBorders>
              <w:right w:val="single" w:sz="4" w:space="0" w:color="000000"/>
            </w:tcBorders>
          </w:tcPr>
          <w:p>
            <w:pPr>
              <w:pStyle w:val="TableParagraph"/>
              <w:spacing w:before="54"/>
              <w:ind w:left="292" w:right="280"/>
              <w:jc w:val="center"/>
              <w:rPr>
                <w:sz w:val="18"/>
              </w:rPr>
            </w:pPr>
            <w:r>
              <w:rPr>
                <w:sz w:val="18"/>
              </w:rPr>
              <w:t>..</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28</w:t>
            </w:r>
          </w:p>
        </w:tc>
        <w:tc>
          <w:tcPr>
            <w:tcW w:w="1109" w:type="dxa"/>
            <w:tcBorders>
              <w:left w:val="single" w:sz="4" w:space="0" w:color="000000"/>
            </w:tcBorders>
          </w:tcPr>
          <w:p>
            <w:pPr>
              <w:pStyle w:val="TableParagraph"/>
              <w:spacing w:before="54"/>
              <w:ind w:left="31" w:right="36"/>
              <w:jc w:val="center"/>
              <w:rPr>
                <w:sz w:val="18"/>
              </w:rPr>
            </w:pPr>
            <w:r>
              <w:rPr>
                <w:sz w:val="18"/>
              </w:rPr>
              <w:t>0.000</w:t>
            </w:r>
          </w:p>
        </w:tc>
        <w:tc>
          <w:tcPr>
            <w:tcW w:w="1061" w:type="dxa"/>
            <w:tcBorders>
              <w:right w:val="single" w:sz="4" w:space="0" w:color="000000"/>
            </w:tcBorders>
          </w:tcPr>
          <w:p>
            <w:pPr>
              <w:pStyle w:val="TableParagraph"/>
              <w:spacing w:before="54"/>
              <w:ind w:left="77" w:right="77"/>
              <w:jc w:val="center"/>
              <w:rPr>
                <w:sz w:val="18"/>
              </w:rPr>
            </w:pPr>
            <w:r>
              <w:rPr>
                <w:sz w:val="18"/>
              </w:rPr>
              <w:t>1.000</w:t>
            </w:r>
          </w:p>
        </w:tc>
        <w:tc>
          <w:tcPr>
            <w:tcW w:w="1093" w:type="dxa"/>
            <w:tcBorders>
              <w:left w:val="single" w:sz="4" w:space="0" w:color="000000"/>
            </w:tcBorders>
          </w:tcPr>
          <w:p>
            <w:pPr>
              <w:pStyle w:val="TableParagraph"/>
              <w:spacing w:before="54"/>
              <w:ind w:left="32" w:right="20"/>
              <w:jc w:val="center"/>
              <w:rPr>
                <w:sz w:val="18"/>
              </w:rPr>
            </w:pPr>
            <w:r>
              <w:rPr>
                <w:sz w:val="18"/>
              </w:rPr>
              <w:t>0.000</w:t>
            </w:r>
          </w:p>
        </w:tc>
        <w:tc>
          <w:tcPr>
            <w:tcW w:w="1014" w:type="dxa"/>
            <w:tcBorders>
              <w:right w:val="single" w:sz="4" w:space="0" w:color="000000"/>
            </w:tcBorders>
          </w:tcPr>
          <w:p>
            <w:pPr>
              <w:pStyle w:val="TableParagraph"/>
              <w:spacing w:before="54"/>
              <w:ind w:left="43" w:right="25"/>
              <w:jc w:val="center"/>
              <w:rPr>
                <w:sz w:val="18"/>
              </w:rPr>
            </w:pPr>
            <w:r>
              <w:rPr>
                <w:sz w:val="18"/>
              </w:rPr>
              <w:t>1.000</w:t>
            </w:r>
          </w:p>
        </w:tc>
      </w:tr>
      <w:tr>
        <w:trPr>
          <w:trHeight w:val="339" w:hRule="atLeast"/>
        </w:trPr>
        <w:tc>
          <w:tcPr>
            <w:tcW w:w="1900" w:type="dxa"/>
            <w:gridSpan w:val="2"/>
            <w:tcBorders>
              <w:left w:val="single" w:sz="4" w:space="0" w:color="000000"/>
              <w:right w:val="single" w:sz="4" w:space="0" w:color="000000"/>
            </w:tcBorders>
          </w:tcPr>
          <w:p>
            <w:pPr>
              <w:pStyle w:val="TableParagraph"/>
              <w:tabs>
                <w:tab w:pos="1360" w:val="left" w:leader="none"/>
              </w:tabs>
              <w:spacing w:before="54"/>
              <w:ind w:left="232"/>
              <w:rPr>
                <w:sz w:val="18"/>
              </w:rPr>
            </w:pPr>
            <w:r>
              <w:rPr>
                <w:sz w:val="18"/>
              </w:rPr>
              <w:t>5.B</w:t>
              <w:tab/>
              <w:t>N</w:t>
            </w:r>
            <w:r>
              <w:rPr>
                <w:sz w:val="18"/>
                <w:vertAlign w:val="subscript"/>
              </w:rPr>
              <w:t>2</w:t>
            </w:r>
            <w:r>
              <w:rPr>
                <w:sz w:val="18"/>
                <w:vertAlign w:val="baseline"/>
              </w:rPr>
              <w:t>O</w:t>
            </w:r>
          </w:p>
        </w:tc>
        <w:tc>
          <w:tcPr>
            <w:tcW w:w="903" w:type="dxa"/>
            <w:tcBorders>
              <w:left w:val="single" w:sz="4" w:space="0" w:color="000000"/>
            </w:tcBorders>
          </w:tcPr>
          <w:p>
            <w:pPr>
              <w:pStyle w:val="TableParagraph"/>
              <w:spacing w:before="54"/>
              <w:ind w:left="63" w:right="52"/>
              <w:jc w:val="center"/>
              <w:rPr>
                <w:sz w:val="18"/>
              </w:rPr>
            </w:pPr>
            <w:r>
              <w:rPr>
                <w:sz w:val="18"/>
              </w:rPr>
              <w:t>..</w:t>
            </w:r>
          </w:p>
        </w:tc>
        <w:tc>
          <w:tcPr>
            <w:tcW w:w="905" w:type="dxa"/>
            <w:tcBorders>
              <w:right w:val="single" w:sz="4" w:space="0" w:color="000000"/>
            </w:tcBorders>
          </w:tcPr>
          <w:p>
            <w:pPr>
              <w:pStyle w:val="TableParagraph"/>
              <w:spacing w:before="54"/>
              <w:ind w:left="293" w:right="280"/>
              <w:jc w:val="center"/>
              <w:rPr>
                <w:sz w:val="18"/>
              </w:rPr>
            </w:pPr>
            <w:r>
              <w:rPr>
                <w:sz w:val="18"/>
              </w:rPr>
              <w:t>24</w:t>
            </w:r>
          </w:p>
        </w:tc>
        <w:tc>
          <w:tcPr>
            <w:tcW w:w="904" w:type="dxa"/>
            <w:tcBorders>
              <w:left w:val="single" w:sz="4" w:space="0" w:color="000000"/>
              <w:right w:val="single" w:sz="4" w:space="0" w:color="000000"/>
            </w:tcBorders>
          </w:tcPr>
          <w:p>
            <w:pPr>
              <w:pStyle w:val="TableParagraph"/>
              <w:spacing w:before="54"/>
              <w:ind w:left="92" w:right="79"/>
              <w:jc w:val="center"/>
              <w:rPr>
                <w:sz w:val="18"/>
              </w:rPr>
            </w:pPr>
            <w:r>
              <w:rPr>
                <w:sz w:val="18"/>
              </w:rPr>
              <w:t>24</w:t>
            </w:r>
          </w:p>
        </w:tc>
        <w:tc>
          <w:tcPr>
            <w:tcW w:w="1109" w:type="dxa"/>
            <w:tcBorders>
              <w:left w:val="single" w:sz="4" w:space="0" w:color="000000"/>
            </w:tcBorders>
          </w:tcPr>
          <w:p>
            <w:pPr>
              <w:pStyle w:val="TableParagraph"/>
              <w:spacing w:before="54"/>
              <w:ind w:left="31" w:right="36"/>
              <w:jc w:val="center"/>
              <w:rPr>
                <w:sz w:val="18"/>
              </w:rPr>
            </w:pPr>
            <w:r>
              <w:rPr>
                <w:sz w:val="18"/>
              </w:rPr>
              <w:t>..</w:t>
            </w:r>
          </w:p>
        </w:tc>
        <w:tc>
          <w:tcPr>
            <w:tcW w:w="1061" w:type="dxa"/>
            <w:tcBorders>
              <w:right w:val="single" w:sz="4" w:space="0" w:color="000000"/>
            </w:tcBorders>
          </w:tcPr>
          <w:p>
            <w:pPr>
              <w:pStyle w:val="TableParagraph"/>
              <w:spacing w:before="54"/>
              <w:ind w:left="77" w:right="77"/>
              <w:jc w:val="center"/>
              <w:rPr>
                <w:sz w:val="18"/>
              </w:rPr>
            </w:pPr>
            <w:r>
              <w:rPr>
                <w:sz w:val="18"/>
              </w:rPr>
              <w:t>1.000</w:t>
            </w:r>
          </w:p>
        </w:tc>
        <w:tc>
          <w:tcPr>
            <w:tcW w:w="1093" w:type="dxa"/>
            <w:tcBorders>
              <w:left w:val="single" w:sz="4" w:space="0" w:color="000000"/>
            </w:tcBorders>
          </w:tcPr>
          <w:p>
            <w:pPr>
              <w:pStyle w:val="TableParagraph"/>
              <w:spacing w:before="54"/>
              <w:ind w:left="32" w:right="20"/>
              <w:jc w:val="center"/>
              <w:rPr>
                <w:sz w:val="18"/>
              </w:rPr>
            </w:pPr>
            <w:r>
              <w:rPr>
                <w:sz w:val="18"/>
              </w:rPr>
              <w:t>0.000</w:t>
            </w:r>
          </w:p>
        </w:tc>
        <w:tc>
          <w:tcPr>
            <w:tcW w:w="1014" w:type="dxa"/>
            <w:tcBorders>
              <w:right w:val="single" w:sz="4" w:space="0" w:color="000000"/>
            </w:tcBorders>
          </w:tcPr>
          <w:p>
            <w:pPr>
              <w:pStyle w:val="TableParagraph"/>
              <w:spacing w:before="54"/>
              <w:ind w:left="43" w:right="26"/>
              <w:jc w:val="center"/>
              <w:rPr>
                <w:sz w:val="18"/>
              </w:rPr>
            </w:pPr>
            <w:r>
              <w:rPr>
                <w:sz w:val="18"/>
              </w:rPr>
              <w:t>1.000</w:t>
            </w:r>
          </w:p>
        </w:tc>
      </w:tr>
      <w:tr>
        <w:trPr>
          <w:trHeight w:val="331" w:hRule="atLeast"/>
        </w:trPr>
        <w:tc>
          <w:tcPr>
            <w:tcW w:w="1154" w:type="dxa"/>
            <w:tcBorders>
              <w:left w:val="single" w:sz="4" w:space="0" w:color="000000"/>
              <w:bottom w:val="single" w:sz="4" w:space="0" w:color="000000"/>
            </w:tcBorders>
          </w:tcPr>
          <w:p>
            <w:pPr>
              <w:pStyle w:val="TableParagraph"/>
              <w:spacing w:before="52"/>
              <w:ind w:left="232"/>
              <w:rPr>
                <w:sz w:val="18"/>
              </w:rPr>
            </w:pPr>
            <w:r>
              <w:rPr>
                <w:sz w:val="18"/>
              </w:rPr>
              <w:t>1.B.2</w:t>
            </w:r>
          </w:p>
        </w:tc>
        <w:tc>
          <w:tcPr>
            <w:tcW w:w="746" w:type="dxa"/>
            <w:tcBorders>
              <w:bottom w:val="single" w:sz="4" w:space="0" w:color="000000"/>
              <w:right w:val="single" w:sz="4" w:space="0" w:color="000000"/>
            </w:tcBorders>
          </w:tcPr>
          <w:p>
            <w:pPr>
              <w:pStyle w:val="TableParagraph"/>
              <w:spacing w:before="52"/>
              <w:ind w:left="191" w:right="190"/>
              <w:jc w:val="center"/>
              <w:rPr>
                <w:sz w:val="18"/>
              </w:rPr>
            </w:pPr>
            <w:r>
              <w:rPr>
                <w:sz w:val="18"/>
              </w:rPr>
              <w:t>N</w:t>
            </w:r>
            <w:r>
              <w:rPr>
                <w:sz w:val="18"/>
                <w:vertAlign w:val="subscript"/>
              </w:rPr>
              <w:t>2</w:t>
            </w:r>
            <w:r>
              <w:rPr>
                <w:sz w:val="18"/>
                <w:vertAlign w:val="baseline"/>
              </w:rPr>
              <w:t>O</w:t>
            </w:r>
          </w:p>
        </w:tc>
        <w:tc>
          <w:tcPr>
            <w:tcW w:w="903" w:type="dxa"/>
            <w:tcBorders>
              <w:left w:val="single" w:sz="4" w:space="0" w:color="000000"/>
              <w:bottom w:val="single" w:sz="4" w:space="0" w:color="000000"/>
            </w:tcBorders>
          </w:tcPr>
          <w:p>
            <w:pPr>
              <w:pStyle w:val="TableParagraph"/>
              <w:spacing w:before="52"/>
              <w:ind w:left="9"/>
              <w:jc w:val="center"/>
              <w:rPr>
                <w:sz w:val="18"/>
              </w:rPr>
            </w:pPr>
            <w:r>
              <w:rPr>
                <w:sz w:val="18"/>
              </w:rPr>
              <w:t>0</w:t>
            </w:r>
          </w:p>
        </w:tc>
        <w:tc>
          <w:tcPr>
            <w:tcW w:w="905" w:type="dxa"/>
            <w:tcBorders>
              <w:bottom w:val="single" w:sz="4" w:space="0" w:color="000000"/>
              <w:right w:val="single" w:sz="4" w:space="0" w:color="000000"/>
            </w:tcBorders>
          </w:tcPr>
          <w:p>
            <w:pPr>
              <w:pStyle w:val="TableParagraph"/>
              <w:spacing w:before="52"/>
              <w:ind w:left="292" w:right="280"/>
              <w:jc w:val="center"/>
              <w:rPr>
                <w:sz w:val="18"/>
              </w:rPr>
            </w:pPr>
            <w:r>
              <w:rPr>
                <w:sz w:val="18"/>
              </w:rPr>
              <w:t>..</w:t>
            </w:r>
          </w:p>
        </w:tc>
        <w:tc>
          <w:tcPr>
            <w:tcW w:w="904" w:type="dxa"/>
            <w:tcBorders>
              <w:left w:val="single" w:sz="4" w:space="0" w:color="000000"/>
              <w:bottom w:val="single" w:sz="4" w:space="0" w:color="000000"/>
              <w:right w:val="single" w:sz="4" w:space="0" w:color="000000"/>
            </w:tcBorders>
          </w:tcPr>
          <w:p>
            <w:pPr>
              <w:pStyle w:val="TableParagraph"/>
              <w:spacing w:before="52"/>
              <w:ind w:left="12"/>
              <w:jc w:val="center"/>
              <w:rPr>
                <w:sz w:val="18"/>
              </w:rPr>
            </w:pPr>
            <w:r>
              <w:rPr>
                <w:sz w:val="18"/>
              </w:rPr>
              <w:t>0</w:t>
            </w:r>
          </w:p>
        </w:tc>
        <w:tc>
          <w:tcPr>
            <w:tcW w:w="1109" w:type="dxa"/>
            <w:tcBorders>
              <w:left w:val="single" w:sz="4" w:space="0" w:color="000000"/>
              <w:bottom w:val="single" w:sz="4" w:space="0" w:color="000000"/>
            </w:tcBorders>
          </w:tcPr>
          <w:p>
            <w:pPr>
              <w:pStyle w:val="TableParagraph"/>
              <w:spacing w:before="52"/>
              <w:ind w:left="31" w:right="36"/>
              <w:jc w:val="center"/>
              <w:rPr>
                <w:sz w:val="18"/>
              </w:rPr>
            </w:pPr>
            <w:r>
              <w:rPr>
                <w:sz w:val="18"/>
              </w:rPr>
              <w:t>0.000</w:t>
            </w:r>
          </w:p>
        </w:tc>
        <w:tc>
          <w:tcPr>
            <w:tcW w:w="1061" w:type="dxa"/>
            <w:tcBorders>
              <w:bottom w:val="single" w:sz="4" w:space="0" w:color="000000"/>
              <w:right w:val="single" w:sz="4" w:space="0" w:color="000000"/>
            </w:tcBorders>
          </w:tcPr>
          <w:p>
            <w:pPr>
              <w:pStyle w:val="TableParagraph"/>
              <w:spacing w:before="52"/>
              <w:ind w:left="77" w:right="77"/>
              <w:jc w:val="center"/>
              <w:rPr>
                <w:sz w:val="18"/>
              </w:rPr>
            </w:pPr>
            <w:r>
              <w:rPr>
                <w:sz w:val="18"/>
              </w:rPr>
              <w:t>1.000</w:t>
            </w:r>
          </w:p>
        </w:tc>
        <w:tc>
          <w:tcPr>
            <w:tcW w:w="1093" w:type="dxa"/>
            <w:tcBorders>
              <w:left w:val="single" w:sz="4" w:space="0" w:color="000000"/>
              <w:bottom w:val="single" w:sz="4" w:space="0" w:color="000000"/>
            </w:tcBorders>
          </w:tcPr>
          <w:p>
            <w:pPr>
              <w:pStyle w:val="TableParagraph"/>
              <w:spacing w:before="52"/>
              <w:ind w:left="32" w:right="20"/>
              <w:jc w:val="center"/>
              <w:rPr>
                <w:sz w:val="18"/>
              </w:rPr>
            </w:pPr>
            <w:r>
              <w:rPr>
                <w:sz w:val="18"/>
              </w:rPr>
              <w:t>0.000</w:t>
            </w:r>
          </w:p>
        </w:tc>
        <w:tc>
          <w:tcPr>
            <w:tcW w:w="1014" w:type="dxa"/>
            <w:tcBorders>
              <w:bottom w:val="single" w:sz="4" w:space="0" w:color="000000"/>
              <w:right w:val="single" w:sz="4" w:space="0" w:color="000000"/>
            </w:tcBorders>
          </w:tcPr>
          <w:p>
            <w:pPr>
              <w:pStyle w:val="TableParagraph"/>
              <w:spacing w:before="52"/>
              <w:ind w:left="43" w:right="26"/>
              <w:jc w:val="center"/>
              <w:rPr>
                <w:sz w:val="18"/>
              </w:rPr>
            </w:pPr>
            <w:r>
              <w:rPr>
                <w:sz w:val="18"/>
              </w:rPr>
              <w:t>1.000</w:t>
            </w:r>
          </w:p>
        </w:tc>
      </w:tr>
      <w:tr>
        <w:trPr>
          <w:trHeight w:val="568" w:hRule="atLeast"/>
        </w:trPr>
        <w:tc>
          <w:tcPr>
            <w:tcW w:w="8889" w:type="dxa"/>
            <w:gridSpan w:val="9"/>
            <w:tcBorders>
              <w:top w:val="single" w:sz="4" w:space="0" w:color="000000"/>
              <w:left w:val="single" w:sz="4" w:space="0" w:color="000000"/>
              <w:bottom w:val="single" w:sz="4" w:space="0" w:color="000000"/>
              <w:right w:val="single" w:sz="4" w:space="0" w:color="000000"/>
            </w:tcBorders>
          </w:tcPr>
          <w:p>
            <w:pPr>
              <w:pStyle w:val="TableParagraph"/>
              <w:spacing w:before="21"/>
              <w:ind w:left="102"/>
              <w:rPr>
                <w:sz w:val="16"/>
              </w:rPr>
            </w:pPr>
            <w:r>
              <w:rPr>
                <w:position w:val="7"/>
                <w:sz w:val="10"/>
              </w:rPr>
              <w:t>a </w:t>
            </w:r>
            <w:r>
              <w:rPr>
                <w:sz w:val="16"/>
              </w:rPr>
              <w:t>Shaded cells of the table show values for cumulative assessment that identifies key categories for the level.</w:t>
            </w:r>
          </w:p>
          <w:p>
            <w:pPr>
              <w:pStyle w:val="TableParagraph"/>
              <w:spacing w:before="85"/>
              <w:ind w:left="102"/>
              <w:rPr>
                <w:sz w:val="16"/>
              </w:rPr>
            </w:pPr>
            <w:r>
              <w:rPr>
                <w:position w:val="7"/>
                <w:sz w:val="10"/>
              </w:rPr>
              <w:t>b </w:t>
            </w:r>
            <w:r>
              <w:rPr>
                <w:sz w:val="16"/>
              </w:rPr>
              <w:t>This sum differs from the sum of the two columns to the left because removals are summed up as absolute values.</w:t>
            </w:r>
          </w:p>
        </w:tc>
      </w:tr>
    </w:tbl>
    <w:p>
      <w:pPr>
        <w:spacing w:after="0"/>
        <w:rPr>
          <w:sz w:val="16"/>
        </w:rPr>
        <w:sectPr>
          <w:pgSz w:w="11900" w:h="16840"/>
          <w:pgMar w:header="230" w:footer="408" w:top="560" w:bottom="600" w:left="1240" w:right="0"/>
        </w:sectPr>
      </w:pPr>
    </w:p>
    <w:p>
      <w:pPr>
        <w:pStyle w:val="BodyText"/>
      </w:pPr>
    </w:p>
    <w:p>
      <w:pPr>
        <w:pStyle w:val="BodyText"/>
        <w:spacing w:before="9"/>
        <w:rPr>
          <w:sz w:val="18"/>
        </w:rPr>
      </w:pPr>
    </w:p>
    <w:tbl>
      <w:tblPr>
        <w:tblW w:w="0" w:type="auto"/>
        <w:jc w:val="left"/>
        <w:tblInd w:w="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0"/>
        <w:gridCol w:w="1247"/>
        <w:gridCol w:w="1200"/>
        <w:gridCol w:w="1334"/>
        <w:gridCol w:w="1267"/>
        <w:gridCol w:w="1253"/>
        <w:gridCol w:w="1278"/>
      </w:tblGrid>
      <w:tr>
        <w:trPr>
          <w:trHeight w:val="558" w:hRule="atLeast"/>
        </w:trPr>
        <w:tc>
          <w:tcPr>
            <w:tcW w:w="8879" w:type="dxa"/>
            <w:gridSpan w:val="7"/>
            <w:tcBorders>
              <w:top w:val="single" w:sz="4" w:space="0" w:color="000000"/>
              <w:left w:val="single" w:sz="4" w:space="0" w:color="000000"/>
              <w:bottom w:val="double" w:sz="1" w:space="0" w:color="000000"/>
              <w:right w:val="single" w:sz="6" w:space="0" w:color="000000"/>
            </w:tcBorders>
          </w:tcPr>
          <w:p>
            <w:pPr>
              <w:pStyle w:val="TableParagraph"/>
              <w:spacing w:line="196" w:lineRule="exact" w:before="83"/>
              <w:ind w:left="3113" w:right="3106"/>
              <w:jc w:val="center"/>
              <w:rPr>
                <w:b/>
                <w:sz w:val="18"/>
              </w:rPr>
            </w:pPr>
            <w:r>
              <w:rPr>
                <w:b/>
                <w:sz w:val="18"/>
              </w:rPr>
              <w:t>T</w:t>
            </w:r>
            <w:r>
              <w:rPr>
                <w:b/>
                <w:sz w:val="14"/>
              </w:rPr>
              <w:t>ABLE </w:t>
            </w:r>
            <w:r>
              <w:rPr>
                <w:b/>
                <w:sz w:val="18"/>
              </w:rPr>
              <w:t>5.4.8</w:t>
            </w:r>
          </w:p>
          <w:p>
            <w:pPr>
              <w:pStyle w:val="TableParagraph"/>
              <w:spacing w:line="220" w:lineRule="exact"/>
              <w:ind w:left="3116" w:right="3106"/>
              <w:jc w:val="center"/>
              <w:rPr>
                <w:b/>
                <w:sz w:val="12"/>
              </w:rPr>
            </w:pPr>
            <w:r>
              <w:rPr>
                <w:b/>
                <w:sz w:val="18"/>
              </w:rPr>
              <w:t>T</w:t>
            </w:r>
            <w:r>
              <w:rPr>
                <w:b/>
                <w:sz w:val="14"/>
              </w:rPr>
              <w:t>REND ANALYSIS WITH </w:t>
            </w:r>
            <w:r>
              <w:rPr>
                <w:b/>
                <w:sz w:val="18"/>
              </w:rPr>
              <w:t>LULUCF</w:t>
            </w:r>
            <w:r>
              <w:rPr>
                <w:b/>
                <w:sz w:val="14"/>
              </w:rPr>
              <w:t>S</w:t>
            </w:r>
            <w:r>
              <w:rPr>
                <w:b/>
                <w:position w:val="8"/>
                <w:sz w:val="12"/>
              </w:rPr>
              <w:t>a</w:t>
            </w:r>
          </w:p>
        </w:tc>
      </w:tr>
      <w:tr>
        <w:trPr>
          <w:trHeight w:val="253" w:hRule="atLeast"/>
        </w:trPr>
        <w:tc>
          <w:tcPr>
            <w:tcW w:w="1300" w:type="dxa"/>
            <w:tcBorders>
              <w:top w:val="double" w:sz="1" w:space="0" w:color="000000"/>
              <w:left w:val="single" w:sz="4" w:space="0" w:color="000000"/>
              <w:bottom w:val="single" w:sz="4" w:space="0" w:color="000000"/>
            </w:tcBorders>
          </w:tcPr>
          <w:p>
            <w:pPr>
              <w:pStyle w:val="TableParagraph"/>
              <w:spacing w:before="23"/>
              <w:ind w:right="11"/>
              <w:jc w:val="center"/>
              <w:rPr>
                <w:b/>
                <w:sz w:val="18"/>
              </w:rPr>
            </w:pPr>
            <w:r>
              <w:rPr>
                <w:b/>
                <w:sz w:val="18"/>
              </w:rPr>
              <w:t>A</w:t>
            </w:r>
          </w:p>
        </w:tc>
        <w:tc>
          <w:tcPr>
            <w:tcW w:w="1247" w:type="dxa"/>
            <w:tcBorders>
              <w:top w:val="double" w:sz="1" w:space="0" w:color="000000"/>
              <w:bottom w:val="single" w:sz="4" w:space="0" w:color="000000"/>
              <w:right w:val="single" w:sz="4" w:space="0" w:color="000000"/>
            </w:tcBorders>
          </w:tcPr>
          <w:p>
            <w:pPr>
              <w:pStyle w:val="TableParagraph"/>
              <w:spacing w:before="23"/>
              <w:ind w:right="567"/>
              <w:jc w:val="right"/>
              <w:rPr>
                <w:b/>
                <w:sz w:val="18"/>
              </w:rPr>
            </w:pPr>
            <w:r>
              <w:rPr>
                <w:b/>
                <w:sz w:val="18"/>
              </w:rPr>
              <w:t>B</w:t>
            </w:r>
          </w:p>
        </w:tc>
        <w:tc>
          <w:tcPr>
            <w:tcW w:w="1200" w:type="dxa"/>
            <w:tcBorders>
              <w:top w:val="double" w:sz="1" w:space="0" w:color="000000"/>
              <w:left w:val="single" w:sz="4" w:space="0" w:color="000000"/>
              <w:bottom w:val="single" w:sz="4" w:space="0" w:color="000000"/>
            </w:tcBorders>
          </w:tcPr>
          <w:p>
            <w:pPr>
              <w:pStyle w:val="TableParagraph"/>
              <w:spacing w:before="23"/>
              <w:ind w:left="75"/>
              <w:jc w:val="center"/>
              <w:rPr>
                <w:b/>
                <w:sz w:val="18"/>
              </w:rPr>
            </w:pPr>
            <w:r>
              <w:rPr>
                <w:b/>
                <w:sz w:val="18"/>
              </w:rPr>
              <w:t>C</w:t>
            </w:r>
          </w:p>
        </w:tc>
        <w:tc>
          <w:tcPr>
            <w:tcW w:w="1334" w:type="dxa"/>
            <w:tcBorders>
              <w:top w:val="double" w:sz="1" w:space="0" w:color="000000"/>
              <w:bottom w:val="single" w:sz="4" w:space="0" w:color="000000"/>
              <w:right w:val="single" w:sz="4" w:space="0" w:color="000000"/>
            </w:tcBorders>
          </w:tcPr>
          <w:p>
            <w:pPr>
              <w:pStyle w:val="TableParagraph"/>
              <w:spacing w:before="23"/>
              <w:ind w:left="76"/>
              <w:jc w:val="center"/>
              <w:rPr>
                <w:b/>
                <w:sz w:val="18"/>
              </w:rPr>
            </w:pPr>
            <w:r>
              <w:rPr>
                <w:b/>
                <w:sz w:val="18"/>
              </w:rPr>
              <w:t>D</w:t>
            </w:r>
          </w:p>
        </w:tc>
        <w:tc>
          <w:tcPr>
            <w:tcW w:w="1267" w:type="dxa"/>
            <w:tcBorders>
              <w:top w:val="double" w:sz="1" w:space="0" w:color="000000"/>
              <w:left w:val="single" w:sz="4" w:space="0" w:color="000000"/>
              <w:bottom w:val="single" w:sz="4" w:space="0" w:color="000000"/>
              <w:right w:val="single" w:sz="4" w:space="0" w:color="000000"/>
            </w:tcBorders>
          </w:tcPr>
          <w:p>
            <w:pPr>
              <w:pStyle w:val="TableParagraph"/>
              <w:spacing w:before="23"/>
              <w:ind w:left="9"/>
              <w:jc w:val="center"/>
              <w:rPr>
                <w:b/>
                <w:sz w:val="18"/>
              </w:rPr>
            </w:pPr>
            <w:r>
              <w:rPr>
                <w:b/>
                <w:sz w:val="18"/>
              </w:rPr>
              <w:t>E</w:t>
            </w:r>
          </w:p>
        </w:tc>
        <w:tc>
          <w:tcPr>
            <w:tcW w:w="1253" w:type="dxa"/>
            <w:tcBorders>
              <w:top w:val="double" w:sz="1" w:space="0" w:color="000000"/>
              <w:left w:val="single" w:sz="4" w:space="0" w:color="000000"/>
              <w:bottom w:val="single" w:sz="4" w:space="0" w:color="000000"/>
            </w:tcBorders>
          </w:tcPr>
          <w:p>
            <w:pPr>
              <w:pStyle w:val="TableParagraph"/>
              <w:spacing w:before="23"/>
              <w:ind w:left="23"/>
              <w:jc w:val="center"/>
              <w:rPr>
                <w:b/>
                <w:sz w:val="18"/>
              </w:rPr>
            </w:pPr>
            <w:r>
              <w:rPr>
                <w:b/>
                <w:sz w:val="18"/>
              </w:rPr>
              <w:t>F</w:t>
            </w:r>
          </w:p>
        </w:tc>
        <w:tc>
          <w:tcPr>
            <w:tcW w:w="1278" w:type="dxa"/>
            <w:tcBorders>
              <w:top w:val="double" w:sz="1" w:space="0" w:color="000000"/>
              <w:bottom w:val="single" w:sz="4" w:space="0" w:color="000000"/>
              <w:right w:val="single" w:sz="6" w:space="0" w:color="000000"/>
            </w:tcBorders>
          </w:tcPr>
          <w:p>
            <w:pPr>
              <w:pStyle w:val="TableParagraph"/>
              <w:spacing w:before="23"/>
              <w:ind w:left="29"/>
              <w:jc w:val="center"/>
              <w:rPr>
                <w:b/>
                <w:sz w:val="18"/>
              </w:rPr>
            </w:pPr>
            <w:r>
              <w:rPr>
                <w:b/>
                <w:sz w:val="18"/>
              </w:rPr>
              <w:t>G</w:t>
            </w:r>
          </w:p>
        </w:tc>
      </w:tr>
      <w:tr>
        <w:trPr>
          <w:trHeight w:val="726" w:hRule="atLeast"/>
        </w:trPr>
        <w:tc>
          <w:tcPr>
            <w:tcW w:w="1300" w:type="dxa"/>
            <w:tcBorders>
              <w:top w:val="single" w:sz="4" w:space="0" w:color="000000"/>
              <w:left w:val="single" w:sz="4" w:space="0" w:color="000000"/>
              <w:bottom w:val="single" w:sz="4" w:space="0" w:color="000000"/>
            </w:tcBorders>
          </w:tcPr>
          <w:p>
            <w:pPr>
              <w:pStyle w:val="TableParagraph"/>
              <w:spacing w:before="52"/>
              <w:ind w:left="134" w:right="146"/>
              <w:jc w:val="center"/>
              <w:rPr>
                <w:b/>
                <w:sz w:val="18"/>
              </w:rPr>
            </w:pPr>
            <w:r>
              <w:rPr>
                <w:b/>
                <w:sz w:val="18"/>
              </w:rPr>
              <w:t>IPCC Source Categories (IPCC 1996)</w:t>
            </w:r>
          </w:p>
        </w:tc>
        <w:tc>
          <w:tcPr>
            <w:tcW w:w="1247" w:type="dxa"/>
            <w:tcBorders>
              <w:top w:val="single" w:sz="4" w:space="0" w:color="000000"/>
              <w:bottom w:val="single" w:sz="4" w:space="0" w:color="000000"/>
              <w:right w:val="single" w:sz="4" w:space="0" w:color="000000"/>
            </w:tcBorders>
          </w:tcPr>
          <w:p>
            <w:pPr>
              <w:pStyle w:val="TableParagraph"/>
              <w:spacing w:before="52"/>
              <w:ind w:left="156" w:right="166" w:hanging="3"/>
              <w:jc w:val="center"/>
              <w:rPr>
                <w:b/>
                <w:sz w:val="18"/>
              </w:rPr>
            </w:pPr>
            <w:r>
              <w:rPr>
                <w:b/>
                <w:sz w:val="18"/>
              </w:rPr>
              <w:t>Direct Greenhouse Gas</w:t>
            </w:r>
          </w:p>
        </w:tc>
        <w:tc>
          <w:tcPr>
            <w:tcW w:w="1200" w:type="dxa"/>
            <w:tcBorders>
              <w:top w:val="single" w:sz="4" w:space="0" w:color="000000"/>
              <w:left w:val="single" w:sz="4" w:space="0" w:color="000000"/>
              <w:bottom w:val="single" w:sz="4" w:space="0" w:color="000000"/>
            </w:tcBorders>
          </w:tcPr>
          <w:p>
            <w:pPr>
              <w:pStyle w:val="TableParagraph"/>
              <w:spacing w:before="155"/>
              <w:ind w:left="296" w:right="147" w:hanging="53"/>
              <w:rPr>
                <w:b/>
                <w:sz w:val="18"/>
              </w:rPr>
            </w:pPr>
            <w:r>
              <w:rPr>
                <w:b/>
                <w:sz w:val="18"/>
              </w:rPr>
              <w:t>Base Year Estimate</w:t>
            </w:r>
          </w:p>
        </w:tc>
        <w:tc>
          <w:tcPr>
            <w:tcW w:w="1334" w:type="dxa"/>
            <w:tcBorders>
              <w:top w:val="single" w:sz="4" w:space="0" w:color="000000"/>
              <w:bottom w:val="single" w:sz="4" w:space="0" w:color="000000"/>
              <w:right w:val="single" w:sz="4" w:space="0" w:color="000000"/>
            </w:tcBorders>
          </w:tcPr>
          <w:p>
            <w:pPr>
              <w:pStyle w:val="TableParagraph"/>
              <w:spacing w:before="155"/>
              <w:ind w:left="364" w:right="78" w:hanging="188"/>
              <w:rPr>
                <w:b/>
                <w:sz w:val="18"/>
              </w:rPr>
            </w:pPr>
            <w:r>
              <w:rPr>
                <w:b/>
                <w:sz w:val="18"/>
              </w:rPr>
              <w:t>Current Year Estimate</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before="155"/>
              <w:ind w:left="193" w:right="164" w:firstLine="199"/>
              <w:rPr>
                <w:b/>
                <w:sz w:val="18"/>
              </w:rPr>
            </w:pPr>
            <w:r>
              <w:rPr>
                <w:b/>
                <w:sz w:val="18"/>
              </w:rPr>
              <w:t>Trend Assessment</w:t>
            </w:r>
          </w:p>
        </w:tc>
        <w:tc>
          <w:tcPr>
            <w:tcW w:w="1253" w:type="dxa"/>
            <w:tcBorders>
              <w:top w:val="single" w:sz="4" w:space="0" w:color="000000"/>
              <w:left w:val="single" w:sz="4" w:space="0" w:color="000000"/>
              <w:bottom w:val="single" w:sz="4" w:space="0" w:color="000000"/>
            </w:tcBorders>
          </w:tcPr>
          <w:p>
            <w:pPr>
              <w:pStyle w:val="TableParagraph"/>
              <w:spacing w:before="155"/>
              <w:ind w:left="98" w:right="-26" w:hanging="80"/>
              <w:rPr>
                <w:b/>
                <w:sz w:val="18"/>
              </w:rPr>
            </w:pPr>
            <w:r>
              <w:rPr>
                <w:b/>
                <w:sz w:val="18"/>
              </w:rPr>
              <w:t>% Contribution to</w:t>
            </w:r>
            <w:r>
              <w:rPr>
                <w:b/>
                <w:spacing w:val="-3"/>
                <w:sz w:val="18"/>
              </w:rPr>
              <w:t> </w:t>
            </w:r>
            <w:r>
              <w:rPr>
                <w:b/>
                <w:sz w:val="18"/>
              </w:rPr>
              <w:t>Assessment</w:t>
            </w:r>
          </w:p>
        </w:tc>
        <w:tc>
          <w:tcPr>
            <w:tcW w:w="1278" w:type="dxa"/>
            <w:tcBorders>
              <w:top w:val="single" w:sz="4" w:space="0" w:color="000000"/>
              <w:bottom w:val="single" w:sz="4" w:space="0" w:color="000000"/>
              <w:right w:val="single" w:sz="6" w:space="0" w:color="000000"/>
            </w:tcBorders>
          </w:tcPr>
          <w:p>
            <w:pPr>
              <w:pStyle w:val="TableParagraph"/>
              <w:spacing w:before="52"/>
              <w:ind w:left="201" w:right="169"/>
              <w:jc w:val="center"/>
              <w:rPr>
                <w:b/>
                <w:sz w:val="18"/>
              </w:rPr>
            </w:pPr>
            <w:r>
              <w:rPr>
                <w:b/>
                <w:sz w:val="18"/>
              </w:rPr>
              <w:t>Cumulative Total of Column F</w:t>
            </w:r>
          </w:p>
        </w:tc>
      </w:tr>
      <w:tr>
        <w:trPr>
          <w:trHeight w:val="332" w:hRule="atLeast"/>
        </w:trPr>
        <w:tc>
          <w:tcPr>
            <w:tcW w:w="2547" w:type="dxa"/>
            <w:gridSpan w:val="2"/>
            <w:tcBorders>
              <w:top w:val="single" w:sz="4" w:space="0" w:color="000000"/>
              <w:left w:val="single" w:sz="4" w:space="0" w:color="000000"/>
              <w:right w:val="single" w:sz="4" w:space="0" w:color="000000"/>
            </w:tcBorders>
          </w:tcPr>
          <w:p>
            <w:pPr>
              <w:pStyle w:val="TableParagraph"/>
              <w:spacing w:before="57"/>
              <w:ind w:left="453"/>
              <w:rPr>
                <w:sz w:val="18"/>
              </w:rPr>
            </w:pPr>
            <w:r>
              <w:rPr>
                <w:sz w:val="18"/>
              </w:rPr>
              <w:t>Sum</w:t>
            </w:r>
          </w:p>
        </w:tc>
        <w:tc>
          <w:tcPr>
            <w:tcW w:w="1200" w:type="dxa"/>
            <w:tcBorders>
              <w:top w:val="single" w:sz="4" w:space="0" w:color="000000"/>
              <w:left w:val="single" w:sz="4" w:space="0" w:color="000000"/>
            </w:tcBorders>
          </w:tcPr>
          <w:p>
            <w:pPr>
              <w:pStyle w:val="TableParagraph"/>
              <w:spacing w:before="57"/>
              <w:ind w:left="100" w:right="26"/>
              <w:jc w:val="center"/>
              <w:rPr>
                <w:sz w:val="18"/>
              </w:rPr>
            </w:pPr>
            <w:r>
              <w:rPr>
                <w:sz w:val="18"/>
              </w:rPr>
              <w:t>486002</w:t>
            </w:r>
          </w:p>
        </w:tc>
        <w:tc>
          <w:tcPr>
            <w:tcW w:w="1334" w:type="dxa"/>
            <w:tcBorders>
              <w:top w:val="single" w:sz="4" w:space="0" w:color="000000"/>
              <w:right w:val="single" w:sz="4" w:space="0" w:color="000000"/>
            </w:tcBorders>
          </w:tcPr>
          <w:p>
            <w:pPr>
              <w:pStyle w:val="TableParagraph"/>
              <w:spacing w:before="57"/>
              <w:ind w:left="404" w:right="329"/>
              <w:jc w:val="center"/>
              <w:rPr>
                <w:sz w:val="18"/>
              </w:rPr>
            </w:pPr>
            <w:r>
              <w:rPr>
                <w:sz w:val="18"/>
              </w:rPr>
              <w:t>474066</w:t>
            </w:r>
          </w:p>
        </w:tc>
        <w:tc>
          <w:tcPr>
            <w:tcW w:w="1267" w:type="dxa"/>
            <w:tcBorders>
              <w:top w:val="single" w:sz="4" w:space="0" w:color="000000"/>
              <w:left w:val="single" w:sz="4" w:space="0" w:color="000000"/>
              <w:right w:val="single" w:sz="4" w:space="0" w:color="000000"/>
            </w:tcBorders>
          </w:tcPr>
          <w:p>
            <w:pPr>
              <w:pStyle w:val="TableParagraph"/>
              <w:spacing w:before="57"/>
              <w:ind w:left="212" w:right="204"/>
              <w:jc w:val="center"/>
              <w:rPr>
                <w:sz w:val="18"/>
              </w:rPr>
            </w:pPr>
            <w:r>
              <w:rPr>
                <w:sz w:val="18"/>
              </w:rPr>
              <w:t>0.162226</w:t>
            </w:r>
          </w:p>
        </w:tc>
        <w:tc>
          <w:tcPr>
            <w:tcW w:w="1253" w:type="dxa"/>
            <w:tcBorders>
              <w:top w:val="single" w:sz="4" w:space="0" w:color="000000"/>
              <w:left w:val="single" w:sz="4" w:space="0" w:color="000000"/>
            </w:tcBorders>
          </w:tcPr>
          <w:p>
            <w:pPr>
              <w:pStyle w:val="TableParagraph"/>
              <w:spacing w:before="57"/>
              <w:ind w:left="23"/>
              <w:jc w:val="center"/>
              <w:rPr>
                <w:sz w:val="18"/>
              </w:rPr>
            </w:pPr>
            <w:r>
              <w:rPr>
                <w:sz w:val="18"/>
              </w:rPr>
              <w:t>1</w:t>
            </w:r>
          </w:p>
        </w:tc>
        <w:tc>
          <w:tcPr>
            <w:tcW w:w="1278" w:type="dxa"/>
            <w:tcBorders>
              <w:top w:val="single" w:sz="4" w:space="0" w:color="000000"/>
              <w:right w:val="single" w:sz="6" w:space="0" w:color="000000"/>
            </w:tcBorders>
          </w:tcPr>
          <w:p>
            <w:pPr>
              <w:pStyle w:val="TableParagraph"/>
              <w:rPr>
                <w:sz w:val="16"/>
              </w:rPr>
            </w:pPr>
          </w:p>
        </w:tc>
      </w:tr>
      <w:tr>
        <w:trPr>
          <w:trHeight w:val="346" w:hRule="atLeast"/>
        </w:trPr>
        <w:tc>
          <w:tcPr>
            <w:tcW w:w="1300" w:type="dxa"/>
            <w:tcBorders>
              <w:left w:val="single" w:sz="4" w:space="0" w:color="000000"/>
            </w:tcBorders>
          </w:tcPr>
          <w:p>
            <w:pPr>
              <w:pStyle w:val="TableParagraph"/>
              <w:spacing w:before="60"/>
              <w:ind w:left="453"/>
              <w:rPr>
                <w:sz w:val="18"/>
              </w:rPr>
            </w:pPr>
            <w:r>
              <w:rPr>
                <w:sz w:val="18"/>
              </w:rPr>
              <w:t>1.AA.3</w:t>
            </w:r>
          </w:p>
        </w:tc>
        <w:tc>
          <w:tcPr>
            <w:tcW w:w="1247" w:type="dxa"/>
            <w:tcBorders>
              <w:right w:val="single" w:sz="4" w:space="0" w:color="000000"/>
            </w:tcBorders>
          </w:tcPr>
          <w:p>
            <w:pPr>
              <w:pStyle w:val="TableParagraph"/>
              <w:spacing w:before="60"/>
              <w:ind w:right="495"/>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60"/>
              <w:ind w:left="99" w:right="26"/>
              <w:jc w:val="center"/>
              <w:rPr>
                <w:sz w:val="18"/>
              </w:rPr>
            </w:pPr>
            <w:r>
              <w:rPr>
                <w:sz w:val="18"/>
              </w:rPr>
              <w:t>119156</w:t>
            </w:r>
          </w:p>
        </w:tc>
        <w:tc>
          <w:tcPr>
            <w:tcW w:w="1334" w:type="dxa"/>
            <w:tcBorders>
              <w:right w:val="single" w:sz="4" w:space="0" w:color="000000"/>
            </w:tcBorders>
          </w:tcPr>
          <w:p>
            <w:pPr>
              <w:pStyle w:val="TableParagraph"/>
              <w:spacing w:before="60"/>
              <w:ind w:left="403" w:right="329"/>
              <w:jc w:val="center"/>
              <w:rPr>
                <w:sz w:val="18"/>
              </w:rPr>
            </w:pPr>
            <w:r>
              <w:rPr>
                <w:sz w:val="18"/>
              </w:rPr>
              <w:t>138822</w:t>
            </w:r>
          </w:p>
        </w:tc>
        <w:tc>
          <w:tcPr>
            <w:tcW w:w="1267" w:type="dxa"/>
            <w:tcBorders>
              <w:left w:val="single" w:sz="4" w:space="0" w:color="000000"/>
              <w:right w:val="single" w:sz="4" w:space="0" w:color="000000"/>
            </w:tcBorders>
          </w:tcPr>
          <w:p>
            <w:pPr>
              <w:pStyle w:val="TableParagraph"/>
              <w:spacing w:before="60"/>
              <w:ind w:left="211" w:right="204"/>
              <w:jc w:val="center"/>
              <w:rPr>
                <w:sz w:val="18"/>
              </w:rPr>
            </w:pPr>
            <w:r>
              <w:rPr>
                <w:sz w:val="18"/>
              </w:rPr>
              <w:t>0.046486</w:t>
            </w:r>
          </w:p>
        </w:tc>
        <w:tc>
          <w:tcPr>
            <w:tcW w:w="1253" w:type="dxa"/>
            <w:tcBorders>
              <w:left w:val="single" w:sz="4" w:space="0" w:color="000000"/>
            </w:tcBorders>
          </w:tcPr>
          <w:p>
            <w:pPr>
              <w:pStyle w:val="TableParagraph"/>
              <w:spacing w:before="60"/>
              <w:ind w:left="276" w:right="255"/>
              <w:jc w:val="center"/>
              <w:rPr>
                <w:sz w:val="18"/>
              </w:rPr>
            </w:pPr>
            <w:r>
              <w:rPr>
                <w:sz w:val="18"/>
              </w:rPr>
              <w:t>0.28655</w:t>
            </w:r>
          </w:p>
        </w:tc>
        <w:tc>
          <w:tcPr>
            <w:tcW w:w="1278" w:type="dxa"/>
            <w:tcBorders>
              <w:right w:val="single" w:sz="6" w:space="0" w:color="000000"/>
            </w:tcBorders>
          </w:tcPr>
          <w:p>
            <w:pPr>
              <w:pStyle w:val="TableParagraph"/>
              <w:spacing w:before="60"/>
              <w:ind w:left="197" w:right="169"/>
              <w:jc w:val="center"/>
              <w:rPr>
                <w:sz w:val="18"/>
              </w:rPr>
            </w:pPr>
            <w:r>
              <w:rPr>
                <w:sz w:val="18"/>
              </w:rPr>
              <w:t>0.28655</w:t>
            </w:r>
          </w:p>
        </w:tc>
      </w:tr>
      <w:tr>
        <w:trPr>
          <w:trHeight w:val="330"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2"/>
              <w:ind w:left="453"/>
              <w:rPr>
                <w:sz w:val="18"/>
              </w:rPr>
            </w:pPr>
            <w:r>
              <w:rPr>
                <w:sz w:val="18"/>
              </w:rPr>
              <w:t>2.B</w:t>
              <w:tab/>
              <w:t>N</w:t>
            </w:r>
            <w:r>
              <w:rPr>
                <w:sz w:val="18"/>
                <w:vertAlign w:val="subscript"/>
              </w:rPr>
              <w:t>2</w:t>
            </w:r>
            <w:r>
              <w:rPr>
                <w:sz w:val="18"/>
                <w:vertAlign w:val="baseline"/>
              </w:rPr>
              <w:t>O</w:t>
            </w:r>
          </w:p>
        </w:tc>
        <w:tc>
          <w:tcPr>
            <w:tcW w:w="1200" w:type="dxa"/>
            <w:tcBorders>
              <w:left w:val="single" w:sz="4" w:space="0" w:color="000000"/>
            </w:tcBorders>
          </w:tcPr>
          <w:p>
            <w:pPr>
              <w:pStyle w:val="TableParagraph"/>
              <w:spacing w:before="52"/>
              <w:ind w:left="98" w:right="26"/>
              <w:jc w:val="center"/>
              <w:rPr>
                <w:sz w:val="18"/>
              </w:rPr>
            </w:pPr>
            <w:r>
              <w:rPr>
                <w:sz w:val="18"/>
              </w:rPr>
              <w:t>27775</w:t>
            </w:r>
          </w:p>
        </w:tc>
        <w:tc>
          <w:tcPr>
            <w:tcW w:w="1334" w:type="dxa"/>
            <w:tcBorders>
              <w:right w:val="single" w:sz="4" w:space="0" w:color="000000"/>
            </w:tcBorders>
          </w:tcPr>
          <w:p>
            <w:pPr>
              <w:pStyle w:val="TableParagraph"/>
              <w:spacing w:before="52"/>
              <w:ind w:left="401" w:right="329"/>
              <w:jc w:val="center"/>
              <w:rPr>
                <w:sz w:val="18"/>
              </w:rPr>
            </w:pPr>
            <w:r>
              <w:rPr>
                <w:sz w:val="18"/>
              </w:rPr>
              <w:t>11093</w:t>
            </w:r>
          </w:p>
        </w:tc>
        <w:tc>
          <w:tcPr>
            <w:tcW w:w="1267" w:type="dxa"/>
            <w:tcBorders>
              <w:left w:val="single" w:sz="4" w:space="0" w:color="000000"/>
              <w:right w:val="single" w:sz="4" w:space="0" w:color="000000"/>
            </w:tcBorders>
          </w:tcPr>
          <w:p>
            <w:pPr>
              <w:pStyle w:val="TableParagraph"/>
              <w:spacing w:before="52"/>
              <w:ind w:left="209" w:right="204"/>
              <w:jc w:val="center"/>
              <w:rPr>
                <w:sz w:val="18"/>
              </w:rPr>
            </w:pPr>
            <w:r>
              <w:rPr>
                <w:sz w:val="18"/>
              </w:rPr>
              <w:t>0.03292</w:t>
            </w:r>
          </w:p>
        </w:tc>
        <w:tc>
          <w:tcPr>
            <w:tcW w:w="1253" w:type="dxa"/>
            <w:tcBorders>
              <w:left w:val="single" w:sz="4" w:space="0" w:color="000000"/>
            </w:tcBorders>
          </w:tcPr>
          <w:p>
            <w:pPr>
              <w:pStyle w:val="TableParagraph"/>
              <w:spacing w:before="52"/>
              <w:ind w:left="276" w:right="255"/>
              <w:jc w:val="center"/>
              <w:rPr>
                <w:sz w:val="18"/>
              </w:rPr>
            </w:pPr>
            <w:r>
              <w:rPr>
                <w:sz w:val="18"/>
              </w:rPr>
              <w:t>0.202928</w:t>
            </w:r>
          </w:p>
        </w:tc>
        <w:tc>
          <w:tcPr>
            <w:tcW w:w="1278" w:type="dxa"/>
            <w:tcBorders>
              <w:right w:val="single" w:sz="6" w:space="0" w:color="000000"/>
            </w:tcBorders>
          </w:tcPr>
          <w:p>
            <w:pPr>
              <w:pStyle w:val="TableParagraph"/>
              <w:spacing w:before="52"/>
              <w:ind w:left="198" w:right="169"/>
              <w:jc w:val="center"/>
              <w:rPr>
                <w:sz w:val="18"/>
              </w:rPr>
            </w:pPr>
            <w:r>
              <w:rPr>
                <w:sz w:val="18"/>
              </w:rPr>
              <w:t>0.489477</w:t>
            </w:r>
          </w:p>
        </w:tc>
      </w:tr>
      <w:tr>
        <w:trPr>
          <w:trHeight w:val="342"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63"/>
              <w:ind w:left="453"/>
              <w:rPr>
                <w:sz w:val="18"/>
              </w:rPr>
            </w:pPr>
            <w:r>
              <w:rPr>
                <w:sz w:val="18"/>
              </w:rPr>
              <w:t>5.A</w:t>
              <w:tab/>
              <w:t>CO</w:t>
            </w:r>
            <w:r>
              <w:rPr>
                <w:sz w:val="18"/>
                <w:vertAlign w:val="subscript"/>
              </w:rPr>
              <w:t>2</w:t>
            </w:r>
          </w:p>
        </w:tc>
        <w:tc>
          <w:tcPr>
            <w:tcW w:w="1200" w:type="dxa"/>
            <w:tcBorders>
              <w:left w:val="single" w:sz="4" w:space="0" w:color="000000"/>
            </w:tcBorders>
          </w:tcPr>
          <w:p>
            <w:pPr>
              <w:pStyle w:val="TableParagraph"/>
              <w:spacing w:before="68"/>
              <w:ind w:left="101" w:right="26"/>
              <w:jc w:val="center"/>
              <w:rPr>
                <w:b/>
                <w:sz w:val="18"/>
              </w:rPr>
            </w:pPr>
            <w:r>
              <w:rPr>
                <w:b/>
                <w:sz w:val="18"/>
              </w:rPr>
              <w:t>- 75330</w:t>
            </w:r>
          </w:p>
        </w:tc>
        <w:tc>
          <w:tcPr>
            <w:tcW w:w="1334" w:type="dxa"/>
            <w:tcBorders>
              <w:right w:val="single" w:sz="4" w:space="0" w:color="000000"/>
            </w:tcBorders>
          </w:tcPr>
          <w:p>
            <w:pPr>
              <w:pStyle w:val="TableParagraph"/>
              <w:spacing w:before="68"/>
              <w:ind w:left="405" w:right="329"/>
              <w:jc w:val="center"/>
              <w:rPr>
                <w:b/>
                <w:sz w:val="18"/>
              </w:rPr>
            </w:pPr>
            <w:r>
              <w:rPr>
                <w:b/>
                <w:sz w:val="18"/>
              </w:rPr>
              <w:t>- 84861</w:t>
            </w:r>
          </w:p>
        </w:tc>
        <w:tc>
          <w:tcPr>
            <w:tcW w:w="1267" w:type="dxa"/>
            <w:tcBorders>
              <w:left w:val="single" w:sz="4" w:space="0" w:color="000000"/>
              <w:right w:val="single" w:sz="4" w:space="0" w:color="000000"/>
            </w:tcBorders>
          </w:tcPr>
          <w:p>
            <w:pPr>
              <w:pStyle w:val="TableParagraph"/>
              <w:spacing w:before="63"/>
              <w:ind w:left="210" w:right="204"/>
              <w:jc w:val="center"/>
              <w:rPr>
                <w:sz w:val="18"/>
              </w:rPr>
            </w:pPr>
            <w:r>
              <w:rPr>
                <w:sz w:val="18"/>
              </w:rPr>
              <w:t>0.023418</w:t>
            </w:r>
          </w:p>
        </w:tc>
        <w:tc>
          <w:tcPr>
            <w:tcW w:w="1253" w:type="dxa"/>
            <w:tcBorders>
              <w:left w:val="single" w:sz="4" w:space="0" w:color="000000"/>
            </w:tcBorders>
          </w:tcPr>
          <w:p>
            <w:pPr>
              <w:pStyle w:val="TableParagraph"/>
              <w:spacing w:before="63"/>
              <w:ind w:left="276" w:right="255"/>
              <w:jc w:val="center"/>
              <w:rPr>
                <w:sz w:val="18"/>
              </w:rPr>
            </w:pPr>
            <w:r>
              <w:rPr>
                <w:sz w:val="18"/>
              </w:rPr>
              <w:t>0.144352</w:t>
            </w:r>
          </w:p>
        </w:tc>
        <w:tc>
          <w:tcPr>
            <w:tcW w:w="1278" w:type="dxa"/>
            <w:tcBorders>
              <w:right w:val="single" w:sz="6" w:space="0" w:color="000000"/>
            </w:tcBorders>
            <w:shd w:val="clear" w:color="auto" w:fill="E6E6E6"/>
          </w:tcPr>
          <w:p>
            <w:pPr>
              <w:pStyle w:val="TableParagraph"/>
              <w:spacing w:before="63"/>
              <w:ind w:left="196" w:right="169"/>
              <w:jc w:val="center"/>
              <w:rPr>
                <w:sz w:val="18"/>
              </w:rPr>
            </w:pPr>
            <w:r>
              <w:rPr>
                <w:sz w:val="18"/>
              </w:rPr>
              <w:t>0.63383</w:t>
            </w:r>
          </w:p>
        </w:tc>
      </w:tr>
      <w:tr>
        <w:trPr>
          <w:trHeight w:val="347" w:hRule="atLeast"/>
        </w:trPr>
        <w:tc>
          <w:tcPr>
            <w:tcW w:w="1300" w:type="dxa"/>
            <w:tcBorders>
              <w:left w:val="single" w:sz="4" w:space="0" w:color="000000"/>
            </w:tcBorders>
          </w:tcPr>
          <w:p>
            <w:pPr>
              <w:pStyle w:val="TableParagraph"/>
              <w:spacing w:before="62"/>
              <w:ind w:left="453"/>
              <w:rPr>
                <w:sz w:val="18"/>
              </w:rPr>
            </w:pPr>
            <w:r>
              <w:rPr>
                <w:sz w:val="18"/>
              </w:rPr>
              <w:t>1.AA.4</w:t>
            </w:r>
          </w:p>
        </w:tc>
        <w:tc>
          <w:tcPr>
            <w:tcW w:w="1247" w:type="dxa"/>
            <w:tcBorders>
              <w:right w:val="single" w:sz="4" w:space="0" w:color="000000"/>
            </w:tcBorders>
          </w:tcPr>
          <w:p>
            <w:pPr>
              <w:pStyle w:val="TableParagraph"/>
              <w:spacing w:before="62"/>
              <w:ind w:right="495"/>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62"/>
              <w:ind w:left="98" w:right="26"/>
              <w:jc w:val="center"/>
              <w:rPr>
                <w:sz w:val="18"/>
              </w:rPr>
            </w:pPr>
            <w:r>
              <w:rPr>
                <w:sz w:val="18"/>
              </w:rPr>
              <w:t>94375</w:t>
            </w:r>
          </w:p>
        </w:tc>
        <w:tc>
          <w:tcPr>
            <w:tcW w:w="1334" w:type="dxa"/>
            <w:tcBorders>
              <w:right w:val="single" w:sz="4" w:space="0" w:color="000000"/>
            </w:tcBorders>
          </w:tcPr>
          <w:p>
            <w:pPr>
              <w:pStyle w:val="TableParagraph"/>
              <w:spacing w:before="62"/>
              <w:ind w:left="403" w:right="329"/>
              <w:jc w:val="center"/>
              <w:rPr>
                <w:sz w:val="18"/>
              </w:rPr>
            </w:pPr>
            <w:r>
              <w:rPr>
                <w:sz w:val="18"/>
              </w:rPr>
              <w:t>102167</w:t>
            </w:r>
          </w:p>
        </w:tc>
        <w:tc>
          <w:tcPr>
            <w:tcW w:w="1267" w:type="dxa"/>
            <w:tcBorders>
              <w:left w:val="single" w:sz="4" w:space="0" w:color="000000"/>
              <w:right w:val="single" w:sz="4" w:space="0" w:color="000000"/>
            </w:tcBorders>
          </w:tcPr>
          <w:p>
            <w:pPr>
              <w:pStyle w:val="TableParagraph"/>
              <w:spacing w:before="62"/>
              <w:ind w:left="211" w:right="204"/>
              <w:jc w:val="center"/>
              <w:rPr>
                <w:sz w:val="18"/>
              </w:rPr>
            </w:pPr>
            <w:r>
              <w:rPr>
                <w:sz w:val="18"/>
              </w:rPr>
              <w:t>0.020804</w:t>
            </w:r>
          </w:p>
        </w:tc>
        <w:tc>
          <w:tcPr>
            <w:tcW w:w="1253" w:type="dxa"/>
            <w:tcBorders>
              <w:left w:val="single" w:sz="4" w:space="0" w:color="000000"/>
            </w:tcBorders>
          </w:tcPr>
          <w:p>
            <w:pPr>
              <w:pStyle w:val="TableParagraph"/>
              <w:spacing w:before="62"/>
              <w:ind w:left="276" w:right="254"/>
              <w:jc w:val="center"/>
              <w:rPr>
                <w:sz w:val="18"/>
              </w:rPr>
            </w:pPr>
            <w:r>
              <w:rPr>
                <w:sz w:val="18"/>
              </w:rPr>
              <w:t>0.128239</w:t>
            </w:r>
          </w:p>
        </w:tc>
        <w:tc>
          <w:tcPr>
            <w:tcW w:w="1278" w:type="dxa"/>
            <w:tcBorders>
              <w:right w:val="single" w:sz="6" w:space="0" w:color="000000"/>
            </w:tcBorders>
          </w:tcPr>
          <w:p>
            <w:pPr>
              <w:pStyle w:val="TableParagraph"/>
              <w:spacing w:before="62"/>
              <w:ind w:left="198" w:right="169"/>
              <w:jc w:val="center"/>
              <w:rPr>
                <w:sz w:val="18"/>
              </w:rPr>
            </w:pPr>
            <w:r>
              <w:rPr>
                <w:sz w:val="18"/>
              </w:rPr>
              <w:t>0.762069</w:t>
            </w:r>
          </w:p>
        </w:tc>
      </w:tr>
      <w:tr>
        <w:trPr>
          <w:trHeight w:val="339" w:hRule="atLeast"/>
        </w:trPr>
        <w:tc>
          <w:tcPr>
            <w:tcW w:w="1300" w:type="dxa"/>
            <w:tcBorders>
              <w:left w:val="single" w:sz="4" w:space="0" w:color="000000"/>
            </w:tcBorders>
          </w:tcPr>
          <w:p>
            <w:pPr>
              <w:pStyle w:val="TableParagraph"/>
              <w:spacing w:before="52"/>
              <w:ind w:left="453"/>
              <w:rPr>
                <w:sz w:val="18"/>
              </w:rPr>
            </w:pPr>
            <w:r>
              <w:rPr>
                <w:sz w:val="18"/>
              </w:rPr>
              <w:t>1.AA.1</w:t>
            </w:r>
          </w:p>
        </w:tc>
        <w:tc>
          <w:tcPr>
            <w:tcW w:w="1247" w:type="dxa"/>
            <w:tcBorders>
              <w:right w:val="single" w:sz="4" w:space="0" w:color="000000"/>
            </w:tcBorders>
          </w:tcPr>
          <w:p>
            <w:pPr>
              <w:pStyle w:val="TableParagraph"/>
              <w:spacing w:before="52"/>
              <w:ind w:right="495"/>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52"/>
              <w:ind w:left="98" w:right="26"/>
              <w:jc w:val="center"/>
              <w:rPr>
                <w:sz w:val="18"/>
              </w:rPr>
            </w:pPr>
            <w:r>
              <w:rPr>
                <w:sz w:val="18"/>
              </w:rPr>
              <w:t>65495</w:t>
            </w:r>
          </w:p>
        </w:tc>
        <w:tc>
          <w:tcPr>
            <w:tcW w:w="1334" w:type="dxa"/>
            <w:tcBorders>
              <w:right w:val="single" w:sz="4" w:space="0" w:color="000000"/>
            </w:tcBorders>
          </w:tcPr>
          <w:p>
            <w:pPr>
              <w:pStyle w:val="TableParagraph"/>
              <w:spacing w:before="52"/>
              <w:ind w:left="401" w:right="329"/>
              <w:jc w:val="center"/>
              <w:rPr>
                <w:sz w:val="18"/>
              </w:rPr>
            </w:pPr>
            <w:r>
              <w:rPr>
                <w:sz w:val="18"/>
              </w:rPr>
              <w:t>61389</w:t>
            </w:r>
          </w:p>
        </w:tc>
        <w:tc>
          <w:tcPr>
            <w:tcW w:w="1267" w:type="dxa"/>
            <w:tcBorders>
              <w:left w:val="single" w:sz="4" w:space="0" w:color="000000"/>
              <w:right w:val="single" w:sz="4" w:space="0" w:color="000000"/>
            </w:tcBorders>
          </w:tcPr>
          <w:p>
            <w:pPr>
              <w:pStyle w:val="TableParagraph"/>
              <w:spacing w:before="52"/>
              <w:ind w:left="210" w:right="204"/>
              <w:jc w:val="center"/>
              <w:rPr>
                <w:sz w:val="18"/>
              </w:rPr>
            </w:pPr>
            <w:r>
              <w:rPr>
                <w:sz w:val="18"/>
              </w:rPr>
              <w:t>0.005139</w:t>
            </w:r>
          </w:p>
        </w:tc>
        <w:tc>
          <w:tcPr>
            <w:tcW w:w="1253" w:type="dxa"/>
            <w:tcBorders>
              <w:left w:val="single" w:sz="4" w:space="0" w:color="000000"/>
            </w:tcBorders>
          </w:tcPr>
          <w:p>
            <w:pPr>
              <w:pStyle w:val="TableParagraph"/>
              <w:spacing w:before="52"/>
              <w:ind w:left="276" w:right="255"/>
              <w:jc w:val="center"/>
              <w:rPr>
                <w:sz w:val="18"/>
              </w:rPr>
            </w:pPr>
            <w:r>
              <w:rPr>
                <w:sz w:val="18"/>
              </w:rPr>
              <w:t>0.031676</w:t>
            </w:r>
          </w:p>
        </w:tc>
        <w:tc>
          <w:tcPr>
            <w:tcW w:w="1278" w:type="dxa"/>
            <w:tcBorders>
              <w:right w:val="single" w:sz="6" w:space="0" w:color="000000"/>
            </w:tcBorders>
          </w:tcPr>
          <w:p>
            <w:pPr>
              <w:pStyle w:val="TableParagraph"/>
              <w:spacing w:before="52"/>
              <w:ind w:left="197" w:right="169"/>
              <w:jc w:val="center"/>
              <w:rPr>
                <w:sz w:val="18"/>
              </w:rPr>
            </w:pPr>
            <w:r>
              <w:rPr>
                <w:sz w:val="18"/>
              </w:rPr>
              <w:t>0.793745</w:t>
            </w:r>
          </w:p>
        </w:tc>
      </w:tr>
      <w:tr>
        <w:trPr>
          <w:trHeight w:val="340"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4"/>
              <w:ind w:left="453"/>
              <w:rPr>
                <w:sz w:val="18"/>
              </w:rPr>
            </w:pPr>
            <w:r>
              <w:rPr>
                <w:sz w:val="18"/>
              </w:rPr>
              <w:t>2.A</w:t>
              <w:tab/>
              <w:t>CO</w:t>
            </w:r>
            <w:r>
              <w:rPr>
                <w:sz w:val="18"/>
                <w:vertAlign w:val="subscript"/>
              </w:rPr>
              <w:t>2</w:t>
            </w:r>
          </w:p>
        </w:tc>
        <w:tc>
          <w:tcPr>
            <w:tcW w:w="1200" w:type="dxa"/>
            <w:tcBorders>
              <w:left w:val="single" w:sz="4" w:space="0" w:color="000000"/>
            </w:tcBorders>
          </w:tcPr>
          <w:p>
            <w:pPr>
              <w:pStyle w:val="TableParagraph"/>
              <w:spacing w:before="54"/>
              <w:ind w:left="98" w:right="26"/>
              <w:jc w:val="center"/>
              <w:rPr>
                <w:sz w:val="18"/>
              </w:rPr>
            </w:pPr>
            <w:r>
              <w:rPr>
                <w:sz w:val="18"/>
              </w:rPr>
              <w:t>13016</w:t>
            </w:r>
          </w:p>
        </w:tc>
        <w:tc>
          <w:tcPr>
            <w:tcW w:w="1334" w:type="dxa"/>
            <w:tcBorders>
              <w:right w:val="single" w:sz="4" w:space="0" w:color="000000"/>
            </w:tcBorders>
          </w:tcPr>
          <w:p>
            <w:pPr>
              <w:pStyle w:val="TableParagraph"/>
              <w:spacing w:before="54"/>
              <w:ind w:left="401" w:right="329"/>
              <w:jc w:val="center"/>
              <w:rPr>
                <w:sz w:val="18"/>
              </w:rPr>
            </w:pPr>
            <w:r>
              <w:rPr>
                <w:sz w:val="18"/>
              </w:rPr>
              <w:t>10371</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0.004784</w:t>
            </w:r>
          </w:p>
        </w:tc>
        <w:tc>
          <w:tcPr>
            <w:tcW w:w="1253" w:type="dxa"/>
            <w:tcBorders>
              <w:left w:val="single" w:sz="4" w:space="0" w:color="000000"/>
            </w:tcBorders>
          </w:tcPr>
          <w:p>
            <w:pPr>
              <w:pStyle w:val="TableParagraph"/>
              <w:spacing w:before="54"/>
              <w:ind w:left="276" w:right="255"/>
              <w:jc w:val="center"/>
              <w:rPr>
                <w:sz w:val="18"/>
              </w:rPr>
            </w:pPr>
            <w:r>
              <w:rPr>
                <w:sz w:val="18"/>
              </w:rPr>
              <w:t>0.029492</w:t>
            </w:r>
          </w:p>
        </w:tc>
        <w:tc>
          <w:tcPr>
            <w:tcW w:w="1278" w:type="dxa"/>
            <w:tcBorders>
              <w:right w:val="single" w:sz="6" w:space="0" w:color="000000"/>
            </w:tcBorders>
          </w:tcPr>
          <w:p>
            <w:pPr>
              <w:pStyle w:val="TableParagraph"/>
              <w:spacing w:before="54"/>
              <w:ind w:left="197" w:right="169"/>
              <w:jc w:val="center"/>
              <w:rPr>
                <w:sz w:val="18"/>
              </w:rPr>
            </w:pPr>
            <w:r>
              <w:rPr>
                <w:sz w:val="18"/>
              </w:rPr>
              <w:t>0.823237</w:t>
            </w:r>
          </w:p>
        </w:tc>
      </w:tr>
      <w:tr>
        <w:trPr>
          <w:trHeight w:val="330" w:hRule="atLeast"/>
        </w:trPr>
        <w:tc>
          <w:tcPr>
            <w:tcW w:w="1300" w:type="dxa"/>
            <w:tcBorders>
              <w:left w:val="single" w:sz="4" w:space="0" w:color="000000"/>
            </w:tcBorders>
          </w:tcPr>
          <w:p>
            <w:pPr>
              <w:pStyle w:val="TableParagraph"/>
              <w:spacing w:before="54"/>
              <w:ind w:left="453"/>
              <w:rPr>
                <w:sz w:val="18"/>
              </w:rPr>
            </w:pPr>
            <w:r>
              <w:rPr>
                <w:sz w:val="18"/>
              </w:rPr>
              <w:t>1.AA.2</w:t>
            </w:r>
          </w:p>
        </w:tc>
        <w:tc>
          <w:tcPr>
            <w:tcW w:w="1247" w:type="dxa"/>
            <w:tcBorders>
              <w:right w:val="single" w:sz="4" w:space="0" w:color="000000"/>
            </w:tcBorders>
          </w:tcPr>
          <w:p>
            <w:pPr>
              <w:pStyle w:val="TableParagraph"/>
              <w:spacing w:before="54"/>
              <w:ind w:right="464"/>
              <w:jc w:val="right"/>
              <w:rPr>
                <w:sz w:val="18"/>
              </w:rPr>
            </w:pPr>
            <w:r>
              <w:rPr>
                <w:sz w:val="18"/>
              </w:rPr>
              <w:t>CO2</w:t>
            </w:r>
          </w:p>
        </w:tc>
        <w:tc>
          <w:tcPr>
            <w:tcW w:w="1200" w:type="dxa"/>
            <w:tcBorders>
              <w:left w:val="single" w:sz="4" w:space="0" w:color="000000"/>
            </w:tcBorders>
          </w:tcPr>
          <w:p>
            <w:pPr>
              <w:pStyle w:val="TableParagraph"/>
              <w:spacing w:before="54"/>
              <w:ind w:left="100" w:right="26"/>
              <w:jc w:val="center"/>
              <w:rPr>
                <w:sz w:val="18"/>
              </w:rPr>
            </w:pPr>
            <w:r>
              <w:rPr>
                <w:sz w:val="18"/>
              </w:rPr>
              <w:t>76919</w:t>
            </w:r>
          </w:p>
        </w:tc>
        <w:tc>
          <w:tcPr>
            <w:tcW w:w="1334" w:type="dxa"/>
            <w:tcBorders>
              <w:right w:val="single" w:sz="4" w:space="0" w:color="000000"/>
            </w:tcBorders>
          </w:tcPr>
          <w:p>
            <w:pPr>
              <w:pStyle w:val="TableParagraph"/>
              <w:spacing w:before="54"/>
              <w:ind w:left="403" w:right="329"/>
              <w:jc w:val="center"/>
              <w:rPr>
                <w:sz w:val="18"/>
              </w:rPr>
            </w:pPr>
            <w:r>
              <w:rPr>
                <w:sz w:val="18"/>
              </w:rPr>
              <w:t>77213</w:t>
            </w:r>
          </w:p>
        </w:tc>
        <w:tc>
          <w:tcPr>
            <w:tcW w:w="1267" w:type="dxa"/>
            <w:tcBorders>
              <w:left w:val="single" w:sz="4" w:space="0" w:color="000000"/>
              <w:right w:val="single" w:sz="4" w:space="0" w:color="000000"/>
            </w:tcBorders>
          </w:tcPr>
          <w:p>
            <w:pPr>
              <w:pStyle w:val="TableParagraph"/>
              <w:spacing w:before="54"/>
              <w:ind w:left="212" w:right="204"/>
              <w:jc w:val="center"/>
              <w:rPr>
                <w:sz w:val="18"/>
              </w:rPr>
            </w:pPr>
            <w:r>
              <w:rPr>
                <w:sz w:val="18"/>
              </w:rPr>
              <w:t>0.004491</w:t>
            </w:r>
          </w:p>
        </w:tc>
        <w:tc>
          <w:tcPr>
            <w:tcW w:w="1253" w:type="dxa"/>
            <w:tcBorders>
              <w:left w:val="single" w:sz="4" w:space="0" w:color="000000"/>
            </w:tcBorders>
          </w:tcPr>
          <w:p>
            <w:pPr>
              <w:pStyle w:val="TableParagraph"/>
              <w:spacing w:before="54"/>
              <w:ind w:left="276" w:right="253"/>
              <w:jc w:val="center"/>
              <w:rPr>
                <w:sz w:val="18"/>
              </w:rPr>
            </w:pPr>
            <w:r>
              <w:rPr>
                <w:sz w:val="18"/>
              </w:rPr>
              <w:t>0.027681</w:t>
            </w:r>
          </w:p>
        </w:tc>
        <w:tc>
          <w:tcPr>
            <w:tcW w:w="1278" w:type="dxa"/>
            <w:tcBorders>
              <w:right w:val="single" w:sz="6" w:space="0" w:color="000000"/>
            </w:tcBorders>
          </w:tcPr>
          <w:p>
            <w:pPr>
              <w:pStyle w:val="TableParagraph"/>
              <w:spacing w:before="54"/>
              <w:ind w:left="200" w:right="169"/>
              <w:jc w:val="center"/>
              <w:rPr>
                <w:sz w:val="18"/>
              </w:rPr>
            </w:pPr>
            <w:r>
              <w:rPr>
                <w:sz w:val="18"/>
              </w:rPr>
              <w:t>0.850918</w:t>
            </w:r>
          </w:p>
        </w:tc>
      </w:tr>
      <w:tr>
        <w:trPr>
          <w:trHeight w:val="348" w:hRule="atLeast"/>
        </w:trPr>
        <w:tc>
          <w:tcPr>
            <w:tcW w:w="1300" w:type="dxa"/>
            <w:tcBorders>
              <w:left w:val="single" w:sz="4" w:space="0" w:color="000000"/>
            </w:tcBorders>
          </w:tcPr>
          <w:p>
            <w:pPr>
              <w:pStyle w:val="TableParagraph"/>
              <w:spacing w:before="62"/>
              <w:ind w:left="453"/>
              <w:rPr>
                <w:sz w:val="18"/>
              </w:rPr>
            </w:pPr>
            <w:r>
              <w:rPr>
                <w:sz w:val="18"/>
              </w:rPr>
              <w:t>1.AA.3</w:t>
            </w:r>
          </w:p>
        </w:tc>
        <w:tc>
          <w:tcPr>
            <w:tcW w:w="1247" w:type="dxa"/>
            <w:tcBorders>
              <w:right w:val="single" w:sz="4" w:space="0" w:color="000000"/>
            </w:tcBorders>
          </w:tcPr>
          <w:p>
            <w:pPr>
              <w:pStyle w:val="TableParagraph"/>
              <w:spacing w:before="62"/>
              <w:ind w:right="485"/>
              <w:jc w:val="right"/>
              <w:rPr>
                <w:sz w:val="18"/>
              </w:rPr>
            </w:pPr>
            <w:r>
              <w:rPr>
                <w:w w:val="95"/>
                <w:sz w:val="18"/>
              </w:rPr>
              <w:t>N</w:t>
            </w:r>
            <w:r>
              <w:rPr>
                <w:w w:val="95"/>
                <w:sz w:val="18"/>
                <w:vertAlign w:val="subscript"/>
              </w:rPr>
              <w:t>2</w:t>
            </w:r>
            <w:r>
              <w:rPr>
                <w:w w:val="95"/>
                <w:sz w:val="18"/>
                <w:vertAlign w:val="baseline"/>
              </w:rPr>
              <w:t>O</w:t>
            </w:r>
          </w:p>
        </w:tc>
        <w:tc>
          <w:tcPr>
            <w:tcW w:w="1200" w:type="dxa"/>
            <w:tcBorders>
              <w:left w:val="single" w:sz="4" w:space="0" w:color="000000"/>
            </w:tcBorders>
          </w:tcPr>
          <w:p>
            <w:pPr>
              <w:pStyle w:val="TableParagraph"/>
              <w:spacing w:before="62"/>
              <w:ind w:left="97" w:right="26"/>
              <w:jc w:val="center"/>
              <w:rPr>
                <w:sz w:val="18"/>
              </w:rPr>
            </w:pPr>
            <w:r>
              <w:rPr>
                <w:sz w:val="18"/>
              </w:rPr>
              <w:t>1208</w:t>
            </w:r>
          </w:p>
        </w:tc>
        <w:tc>
          <w:tcPr>
            <w:tcW w:w="1334" w:type="dxa"/>
            <w:tcBorders>
              <w:right w:val="single" w:sz="4" w:space="0" w:color="000000"/>
            </w:tcBorders>
          </w:tcPr>
          <w:p>
            <w:pPr>
              <w:pStyle w:val="TableParagraph"/>
              <w:spacing w:before="62"/>
              <w:ind w:left="400" w:right="329"/>
              <w:jc w:val="center"/>
              <w:rPr>
                <w:sz w:val="18"/>
              </w:rPr>
            </w:pPr>
            <w:r>
              <w:rPr>
                <w:sz w:val="18"/>
              </w:rPr>
              <w:t>3174</w:t>
            </w:r>
          </w:p>
        </w:tc>
        <w:tc>
          <w:tcPr>
            <w:tcW w:w="1267" w:type="dxa"/>
            <w:tcBorders>
              <w:left w:val="single" w:sz="4" w:space="0" w:color="000000"/>
              <w:right w:val="single" w:sz="4" w:space="0" w:color="000000"/>
            </w:tcBorders>
          </w:tcPr>
          <w:p>
            <w:pPr>
              <w:pStyle w:val="TableParagraph"/>
              <w:spacing w:before="62"/>
              <w:ind w:left="211" w:right="204"/>
              <w:jc w:val="center"/>
              <w:rPr>
                <w:sz w:val="18"/>
              </w:rPr>
            </w:pPr>
            <w:r>
              <w:rPr>
                <w:sz w:val="18"/>
              </w:rPr>
              <w:t>0.004106</w:t>
            </w:r>
          </w:p>
        </w:tc>
        <w:tc>
          <w:tcPr>
            <w:tcW w:w="1253" w:type="dxa"/>
            <w:tcBorders>
              <w:left w:val="single" w:sz="4" w:space="0" w:color="000000"/>
            </w:tcBorders>
          </w:tcPr>
          <w:p>
            <w:pPr>
              <w:pStyle w:val="TableParagraph"/>
              <w:spacing w:before="62"/>
              <w:ind w:left="276" w:right="255"/>
              <w:jc w:val="center"/>
              <w:rPr>
                <w:sz w:val="18"/>
              </w:rPr>
            </w:pPr>
            <w:r>
              <w:rPr>
                <w:sz w:val="18"/>
              </w:rPr>
              <w:t>0.02531</w:t>
            </w:r>
          </w:p>
        </w:tc>
        <w:tc>
          <w:tcPr>
            <w:tcW w:w="1278" w:type="dxa"/>
            <w:tcBorders>
              <w:right w:val="single" w:sz="6" w:space="0" w:color="000000"/>
            </w:tcBorders>
          </w:tcPr>
          <w:p>
            <w:pPr>
              <w:pStyle w:val="TableParagraph"/>
              <w:spacing w:before="62"/>
              <w:ind w:left="198" w:right="169"/>
              <w:jc w:val="center"/>
              <w:rPr>
                <w:sz w:val="18"/>
              </w:rPr>
            </w:pPr>
            <w:r>
              <w:rPr>
                <w:sz w:val="18"/>
              </w:rPr>
              <w:t>0.876228</w:t>
            </w:r>
          </w:p>
        </w:tc>
      </w:tr>
      <w:tr>
        <w:trPr>
          <w:trHeight w:val="340" w:hRule="atLeast"/>
        </w:trPr>
        <w:tc>
          <w:tcPr>
            <w:tcW w:w="1300" w:type="dxa"/>
            <w:tcBorders>
              <w:left w:val="single" w:sz="4" w:space="0" w:color="000000"/>
            </w:tcBorders>
          </w:tcPr>
          <w:p>
            <w:pPr>
              <w:pStyle w:val="TableParagraph"/>
              <w:spacing w:before="54"/>
              <w:ind w:left="453"/>
              <w:rPr>
                <w:sz w:val="18"/>
              </w:rPr>
            </w:pPr>
            <w:r>
              <w:rPr>
                <w:sz w:val="18"/>
              </w:rPr>
              <w:t>1.B.1</w:t>
            </w:r>
          </w:p>
        </w:tc>
        <w:tc>
          <w:tcPr>
            <w:tcW w:w="1247" w:type="dxa"/>
            <w:tcBorders>
              <w:right w:val="single" w:sz="4" w:space="0" w:color="000000"/>
            </w:tcBorders>
          </w:tcPr>
          <w:p>
            <w:pPr>
              <w:pStyle w:val="TableParagraph"/>
              <w:spacing w:before="54"/>
              <w:ind w:right="495"/>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4"/>
              <w:ind w:left="97" w:right="26"/>
              <w:jc w:val="center"/>
              <w:rPr>
                <w:sz w:val="18"/>
              </w:rPr>
            </w:pPr>
            <w:r>
              <w:rPr>
                <w:sz w:val="18"/>
              </w:rPr>
              <w:t>4331</w:t>
            </w:r>
          </w:p>
        </w:tc>
        <w:tc>
          <w:tcPr>
            <w:tcW w:w="1334" w:type="dxa"/>
            <w:tcBorders>
              <w:right w:val="single" w:sz="4" w:space="0" w:color="000000"/>
            </w:tcBorders>
          </w:tcPr>
          <w:p>
            <w:pPr>
              <w:pStyle w:val="TableParagraph"/>
              <w:spacing w:before="54"/>
              <w:ind w:left="401" w:right="329"/>
              <w:jc w:val="center"/>
              <w:rPr>
                <w:sz w:val="18"/>
              </w:rPr>
            </w:pPr>
            <w:r>
              <w:rPr>
                <w:sz w:val="18"/>
              </w:rPr>
              <w:t>2658</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0.003225</w:t>
            </w:r>
          </w:p>
        </w:tc>
        <w:tc>
          <w:tcPr>
            <w:tcW w:w="1253" w:type="dxa"/>
            <w:tcBorders>
              <w:left w:val="single" w:sz="4" w:space="0" w:color="000000"/>
            </w:tcBorders>
          </w:tcPr>
          <w:p>
            <w:pPr>
              <w:pStyle w:val="TableParagraph"/>
              <w:spacing w:before="54"/>
              <w:ind w:left="276" w:right="255"/>
              <w:jc w:val="center"/>
              <w:rPr>
                <w:sz w:val="18"/>
              </w:rPr>
            </w:pPr>
            <w:r>
              <w:rPr>
                <w:sz w:val="18"/>
              </w:rPr>
              <w:t>0.019882</w:t>
            </w:r>
          </w:p>
        </w:tc>
        <w:tc>
          <w:tcPr>
            <w:tcW w:w="1278" w:type="dxa"/>
            <w:tcBorders>
              <w:right w:val="single" w:sz="6" w:space="0" w:color="000000"/>
            </w:tcBorders>
          </w:tcPr>
          <w:p>
            <w:pPr>
              <w:pStyle w:val="TableParagraph"/>
              <w:spacing w:before="54"/>
              <w:ind w:left="196" w:right="169"/>
              <w:jc w:val="center"/>
              <w:rPr>
                <w:sz w:val="18"/>
              </w:rPr>
            </w:pPr>
            <w:r>
              <w:rPr>
                <w:sz w:val="18"/>
              </w:rPr>
              <w:t>0.896109</w:t>
            </w:r>
          </w:p>
        </w:tc>
      </w:tr>
      <w:tr>
        <w:trPr>
          <w:trHeight w:val="330"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4"/>
              <w:ind w:left="453"/>
              <w:rPr>
                <w:sz w:val="18"/>
              </w:rPr>
            </w:pPr>
            <w:r>
              <w:rPr>
                <w:sz w:val="18"/>
              </w:rPr>
              <w:t>4.A</w:t>
              <w:tab/>
              <w:t>CH</w:t>
            </w:r>
            <w:r>
              <w:rPr>
                <w:sz w:val="18"/>
                <w:vertAlign w:val="subscript"/>
              </w:rPr>
              <w:t>4</w:t>
            </w:r>
          </w:p>
        </w:tc>
        <w:tc>
          <w:tcPr>
            <w:tcW w:w="1200" w:type="dxa"/>
            <w:tcBorders>
              <w:left w:val="single" w:sz="4" w:space="0" w:color="000000"/>
            </w:tcBorders>
          </w:tcPr>
          <w:p>
            <w:pPr>
              <w:pStyle w:val="TableParagraph"/>
              <w:spacing w:before="54"/>
              <w:ind w:left="98" w:right="26"/>
              <w:jc w:val="center"/>
              <w:rPr>
                <w:sz w:val="18"/>
              </w:rPr>
            </w:pPr>
            <w:r>
              <w:rPr>
                <w:sz w:val="18"/>
              </w:rPr>
              <w:t>30058</w:t>
            </w:r>
          </w:p>
        </w:tc>
        <w:tc>
          <w:tcPr>
            <w:tcW w:w="1334" w:type="dxa"/>
            <w:tcBorders>
              <w:right w:val="single" w:sz="4" w:space="0" w:color="000000"/>
            </w:tcBorders>
          </w:tcPr>
          <w:p>
            <w:pPr>
              <w:pStyle w:val="TableParagraph"/>
              <w:spacing w:before="54"/>
              <w:ind w:left="401" w:right="329"/>
              <w:jc w:val="center"/>
              <w:rPr>
                <w:sz w:val="18"/>
              </w:rPr>
            </w:pPr>
            <w:r>
              <w:rPr>
                <w:sz w:val="18"/>
              </w:rPr>
              <w:t>27942</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0.002834</w:t>
            </w:r>
          </w:p>
        </w:tc>
        <w:tc>
          <w:tcPr>
            <w:tcW w:w="1253" w:type="dxa"/>
            <w:tcBorders>
              <w:left w:val="single" w:sz="4" w:space="0" w:color="000000"/>
            </w:tcBorders>
          </w:tcPr>
          <w:p>
            <w:pPr>
              <w:pStyle w:val="TableParagraph"/>
              <w:spacing w:before="54"/>
              <w:ind w:left="276" w:right="255"/>
              <w:jc w:val="center"/>
              <w:rPr>
                <w:sz w:val="18"/>
              </w:rPr>
            </w:pPr>
            <w:r>
              <w:rPr>
                <w:sz w:val="18"/>
              </w:rPr>
              <w:t>0.017467</w:t>
            </w:r>
          </w:p>
        </w:tc>
        <w:tc>
          <w:tcPr>
            <w:tcW w:w="1278" w:type="dxa"/>
            <w:tcBorders>
              <w:right w:val="single" w:sz="6" w:space="0" w:color="000000"/>
            </w:tcBorders>
          </w:tcPr>
          <w:p>
            <w:pPr>
              <w:pStyle w:val="TableParagraph"/>
              <w:spacing w:before="54"/>
              <w:ind w:left="197" w:right="169"/>
              <w:jc w:val="center"/>
              <w:rPr>
                <w:sz w:val="18"/>
              </w:rPr>
            </w:pPr>
            <w:r>
              <w:rPr>
                <w:sz w:val="18"/>
              </w:rPr>
              <w:t>0.913576</w:t>
            </w:r>
          </w:p>
        </w:tc>
      </w:tr>
      <w:tr>
        <w:trPr>
          <w:trHeight w:val="340" w:hRule="atLeast"/>
        </w:trPr>
        <w:tc>
          <w:tcPr>
            <w:tcW w:w="1300" w:type="dxa"/>
            <w:tcBorders>
              <w:left w:val="single" w:sz="4" w:space="0" w:color="000000"/>
            </w:tcBorders>
          </w:tcPr>
          <w:p>
            <w:pPr>
              <w:pStyle w:val="TableParagraph"/>
              <w:spacing w:before="62"/>
              <w:ind w:left="453"/>
              <w:rPr>
                <w:sz w:val="18"/>
              </w:rPr>
            </w:pPr>
            <w:r>
              <w:rPr>
                <w:sz w:val="18"/>
              </w:rPr>
              <w:t>5.B</w:t>
            </w:r>
          </w:p>
        </w:tc>
        <w:tc>
          <w:tcPr>
            <w:tcW w:w="1247" w:type="dxa"/>
            <w:tcBorders>
              <w:right w:val="single" w:sz="4" w:space="0" w:color="000000"/>
            </w:tcBorders>
          </w:tcPr>
          <w:p>
            <w:pPr>
              <w:pStyle w:val="TableParagraph"/>
              <w:spacing w:before="62"/>
              <w:ind w:right="495"/>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62"/>
              <w:ind w:left="98" w:right="26"/>
              <w:jc w:val="center"/>
              <w:rPr>
                <w:sz w:val="18"/>
              </w:rPr>
            </w:pPr>
            <w:r>
              <w:rPr>
                <w:sz w:val="18"/>
              </w:rPr>
              <w:t>11710</w:t>
            </w:r>
          </w:p>
        </w:tc>
        <w:tc>
          <w:tcPr>
            <w:tcW w:w="1334" w:type="dxa"/>
            <w:tcBorders>
              <w:right w:val="single" w:sz="4" w:space="0" w:color="000000"/>
            </w:tcBorders>
          </w:tcPr>
          <w:p>
            <w:pPr>
              <w:pStyle w:val="TableParagraph"/>
              <w:spacing w:before="62"/>
              <w:ind w:left="401" w:right="329"/>
              <w:jc w:val="center"/>
              <w:rPr>
                <w:sz w:val="18"/>
              </w:rPr>
            </w:pPr>
            <w:r>
              <w:rPr>
                <w:sz w:val="18"/>
              </w:rPr>
              <w:t>12540</w:t>
            </w:r>
          </w:p>
        </w:tc>
        <w:tc>
          <w:tcPr>
            <w:tcW w:w="1267" w:type="dxa"/>
            <w:tcBorders>
              <w:left w:val="single" w:sz="4" w:space="0" w:color="000000"/>
              <w:right w:val="single" w:sz="4" w:space="0" w:color="000000"/>
            </w:tcBorders>
          </w:tcPr>
          <w:p>
            <w:pPr>
              <w:pStyle w:val="TableParagraph"/>
              <w:spacing w:before="62"/>
              <w:ind w:left="209" w:right="204"/>
              <w:jc w:val="center"/>
              <w:rPr>
                <w:sz w:val="18"/>
              </w:rPr>
            </w:pPr>
            <w:r>
              <w:rPr>
                <w:sz w:val="18"/>
              </w:rPr>
              <w:t>0.0023</w:t>
            </w:r>
          </w:p>
        </w:tc>
        <w:tc>
          <w:tcPr>
            <w:tcW w:w="1253" w:type="dxa"/>
            <w:tcBorders>
              <w:left w:val="single" w:sz="4" w:space="0" w:color="000000"/>
            </w:tcBorders>
          </w:tcPr>
          <w:p>
            <w:pPr>
              <w:pStyle w:val="TableParagraph"/>
              <w:spacing w:before="62"/>
              <w:ind w:left="276" w:right="254"/>
              <w:jc w:val="center"/>
              <w:rPr>
                <w:sz w:val="18"/>
              </w:rPr>
            </w:pPr>
            <w:r>
              <w:rPr>
                <w:sz w:val="18"/>
              </w:rPr>
              <w:t>0.014175</w:t>
            </w:r>
          </w:p>
        </w:tc>
        <w:tc>
          <w:tcPr>
            <w:tcW w:w="1278" w:type="dxa"/>
            <w:tcBorders>
              <w:right w:val="single" w:sz="6" w:space="0" w:color="000000"/>
            </w:tcBorders>
            <w:shd w:val="clear" w:color="auto" w:fill="E6E6E6"/>
          </w:tcPr>
          <w:p>
            <w:pPr>
              <w:pStyle w:val="TableParagraph"/>
              <w:spacing w:before="62"/>
              <w:ind w:left="196" w:right="169"/>
              <w:jc w:val="center"/>
              <w:rPr>
                <w:sz w:val="18"/>
              </w:rPr>
            </w:pPr>
            <w:r>
              <w:rPr>
                <w:sz w:val="18"/>
              </w:rPr>
              <w:t>0.927751</w:t>
            </w:r>
          </w:p>
        </w:tc>
      </w:tr>
      <w:tr>
        <w:trPr>
          <w:trHeight w:val="349"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63"/>
              <w:ind w:left="453"/>
              <w:rPr>
                <w:sz w:val="18"/>
              </w:rPr>
            </w:pPr>
            <w:r>
              <w:rPr>
                <w:sz w:val="18"/>
              </w:rPr>
              <w:t>6.A</w:t>
              <w:tab/>
              <w:t>CH</w:t>
            </w:r>
            <w:r>
              <w:rPr>
                <w:sz w:val="18"/>
                <w:vertAlign w:val="subscript"/>
              </w:rPr>
              <w:t>4</w:t>
            </w:r>
          </w:p>
        </w:tc>
        <w:tc>
          <w:tcPr>
            <w:tcW w:w="1200" w:type="dxa"/>
            <w:tcBorders>
              <w:left w:val="single" w:sz="4" w:space="0" w:color="000000"/>
            </w:tcBorders>
          </w:tcPr>
          <w:p>
            <w:pPr>
              <w:pStyle w:val="TableParagraph"/>
              <w:spacing w:before="63"/>
              <w:ind w:left="98" w:right="26"/>
              <w:jc w:val="center"/>
              <w:rPr>
                <w:sz w:val="18"/>
              </w:rPr>
            </w:pPr>
            <w:r>
              <w:rPr>
                <w:sz w:val="18"/>
              </w:rPr>
              <w:t>17917</w:t>
            </w:r>
          </w:p>
        </w:tc>
        <w:tc>
          <w:tcPr>
            <w:tcW w:w="1334" w:type="dxa"/>
            <w:tcBorders>
              <w:right w:val="single" w:sz="4" w:space="0" w:color="000000"/>
            </w:tcBorders>
          </w:tcPr>
          <w:p>
            <w:pPr>
              <w:pStyle w:val="TableParagraph"/>
              <w:spacing w:before="63"/>
              <w:ind w:left="401" w:right="329"/>
              <w:jc w:val="center"/>
              <w:rPr>
                <w:sz w:val="18"/>
              </w:rPr>
            </w:pPr>
            <w:r>
              <w:rPr>
                <w:sz w:val="18"/>
              </w:rPr>
              <w:t>16440</w:t>
            </w:r>
          </w:p>
        </w:tc>
        <w:tc>
          <w:tcPr>
            <w:tcW w:w="1267" w:type="dxa"/>
            <w:tcBorders>
              <w:left w:val="single" w:sz="4" w:space="0" w:color="000000"/>
              <w:right w:val="single" w:sz="4" w:space="0" w:color="000000"/>
            </w:tcBorders>
          </w:tcPr>
          <w:p>
            <w:pPr>
              <w:pStyle w:val="TableParagraph"/>
              <w:spacing w:before="63"/>
              <w:ind w:left="210" w:right="204"/>
              <w:jc w:val="center"/>
              <w:rPr>
                <w:sz w:val="18"/>
              </w:rPr>
            </w:pPr>
            <w:r>
              <w:rPr>
                <w:sz w:val="18"/>
              </w:rPr>
              <w:t>0.002134</w:t>
            </w:r>
          </w:p>
        </w:tc>
        <w:tc>
          <w:tcPr>
            <w:tcW w:w="1253" w:type="dxa"/>
            <w:tcBorders>
              <w:left w:val="single" w:sz="4" w:space="0" w:color="000000"/>
            </w:tcBorders>
          </w:tcPr>
          <w:p>
            <w:pPr>
              <w:pStyle w:val="TableParagraph"/>
              <w:spacing w:before="63"/>
              <w:ind w:left="276" w:right="255"/>
              <w:jc w:val="center"/>
              <w:rPr>
                <w:sz w:val="18"/>
              </w:rPr>
            </w:pPr>
            <w:r>
              <w:rPr>
                <w:sz w:val="18"/>
              </w:rPr>
              <w:t>0.013152</w:t>
            </w:r>
          </w:p>
        </w:tc>
        <w:tc>
          <w:tcPr>
            <w:tcW w:w="1278" w:type="dxa"/>
            <w:tcBorders>
              <w:right w:val="single" w:sz="6" w:space="0" w:color="000000"/>
            </w:tcBorders>
          </w:tcPr>
          <w:p>
            <w:pPr>
              <w:pStyle w:val="TableParagraph"/>
              <w:spacing w:before="63"/>
              <w:ind w:left="197" w:right="169"/>
              <w:jc w:val="center"/>
              <w:rPr>
                <w:sz w:val="18"/>
              </w:rPr>
            </w:pPr>
            <w:r>
              <w:rPr>
                <w:sz w:val="18"/>
              </w:rPr>
              <w:t>0.940903</w:t>
            </w:r>
          </w:p>
        </w:tc>
      </w:tr>
      <w:tr>
        <w:trPr>
          <w:trHeight w:val="339" w:hRule="atLeast"/>
        </w:trPr>
        <w:tc>
          <w:tcPr>
            <w:tcW w:w="1300" w:type="dxa"/>
            <w:tcBorders>
              <w:left w:val="single" w:sz="4" w:space="0" w:color="000000"/>
            </w:tcBorders>
          </w:tcPr>
          <w:p>
            <w:pPr>
              <w:pStyle w:val="TableParagraph"/>
              <w:spacing w:before="54"/>
              <w:ind w:left="453"/>
              <w:rPr>
                <w:sz w:val="18"/>
              </w:rPr>
            </w:pPr>
            <w:r>
              <w:rPr>
                <w:sz w:val="18"/>
              </w:rPr>
              <w:t>2.C</w:t>
            </w:r>
          </w:p>
        </w:tc>
        <w:tc>
          <w:tcPr>
            <w:tcW w:w="1247" w:type="dxa"/>
            <w:tcBorders>
              <w:right w:val="single" w:sz="4" w:space="0" w:color="000000"/>
            </w:tcBorders>
          </w:tcPr>
          <w:p>
            <w:pPr>
              <w:pStyle w:val="TableParagraph"/>
              <w:spacing w:before="54"/>
              <w:ind w:right="495"/>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54"/>
              <w:ind w:left="97" w:right="26"/>
              <w:jc w:val="center"/>
              <w:rPr>
                <w:sz w:val="18"/>
              </w:rPr>
            </w:pPr>
            <w:r>
              <w:rPr>
                <w:sz w:val="18"/>
              </w:rPr>
              <w:t>4550</w:t>
            </w:r>
          </w:p>
        </w:tc>
        <w:tc>
          <w:tcPr>
            <w:tcW w:w="1334" w:type="dxa"/>
            <w:tcBorders>
              <w:right w:val="single" w:sz="4" w:space="0" w:color="000000"/>
            </w:tcBorders>
          </w:tcPr>
          <w:p>
            <w:pPr>
              <w:pStyle w:val="TableParagraph"/>
              <w:spacing w:before="54"/>
              <w:ind w:left="401" w:right="329"/>
              <w:jc w:val="center"/>
              <w:rPr>
                <w:sz w:val="18"/>
              </w:rPr>
            </w:pPr>
            <w:r>
              <w:rPr>
                <w:sz w:val="18"/>
              </w:rPr>
              <w:t>3443</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0.002046</w:t>
            </w:r>
          </w:p>
        </w:tc>
        <w:tc>
          <w:tcPr>
            <w:tcW w:w="1253" w:type="dxa"/>
            <w:tcBorders>
              <w:left w:val="single" w:sz="4" w:space="0" w:color="000000"/>
            </w:tcBorders>
          </w:tcPr>
          <w:p>
            <w:pPr>
              <w:pStyle w:val="TableParagraph"/>
              <w:spacing w:before="54"/>
              <w:ind w:left="276" w:right="255"/>
              <w:jc w:val="center"/>
              <w:rPr>
                <w:sz w:val="18"/>
              </w:rPr>
            </w:pPr>
            <w:r>
              <w:rPr>
                <w:sz w:val="18"/>
              </w:rPr>
              <w:t>0.012613</w:t>
            </w:r>
          </w:p>
        </w:tc>
        <w:tc>
          <w:tcPr>
            <w:tcW w:w="1278" w:type="dxa"/>
            <w:tcBorders>
              <w:right w:val="single" w:sz="6" w:space="0" w:color="000000"/>
            </w:tcBorders>
          </w:tcPr>
          <w:p>
            <w:pPr>
              <w:pStyle w:val="TableParagraph"/>
              <w:spacing w:before="54"/>
              <w:ind w:left="196" w:right="169"/>
              <w:jc w:val="center"/>
              <w:rPr>
                <w:sz w:val="18"/>
              </w:rPr>
            </w:pPr>
            <w:r>
              <w:rPr>
                <w:sz w:val="18"/>
              </w:rPr>
              <w:t>0.953516</w:t>
            </w:r>
          </w:p>
        </w:tc>
      </w:tr>
      <w:tr>
        <w:trPr>
          <w:trHeight w:val="339"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2"/>
              <w:ind w:left="453"/>
              <w:rPr>
                <w:sz w:val="18"/>
              </w:rPr>
            </w:pPr>
            <w:r>
              <w:rPr>
                <w:sz w:val="18"/>
              </w:rPr>
              <w:t>5.D</w:t>
              <w:tab/>
              <w:t>CO</w:t>
            </w:r>
            <w:r>
              <w:rPr>
                <w:sz w:val="18"/>
                <w:vertAlign w:val="subscript"/>
              </w:rPr>
              <w:t>2</w:t>
            </w:r>
          </w:p>
        </w:tc>
        <w:tc>
          <w:tcPr>
            <w:tcW w:w="1200" w:type="dxa"/>
            <w:tcBorders>
              <w:left w:val="single" w:sz="4" w:space="0" w:color="000000"/>
            </w:tcBorders>
          </w:tcPr>
          <w:p>
            <w:pPr>
              <w:pStyle w:val="TableParagraph"/>
              <w:spacing w:before="52"/>
              <w:ind w:left="97" w:right="26"/>
              <w:jc w:val="center"/>
              <w:rPr>
                <w:sz w:val="18"/>
              </w:rPr>
            </w:pPr>
            <w:r>
              <w:rPr>
                <w:sz w:val="18"/>
              </w:rPr>
              <w:t>4051</w:t>
            </w:r>
          </w:p>
        </w:tc>
        <w:tc>
          <w:tcPr>
            <w:tcW w:w="1334" w:type="dxa"/>
            <w:tcBorders>
              <w:right w:val="single" w:sz="4" w:space="0" w:color="000000"/>
            </w:tcBorders>
          </w:tcPr>
          <w:p>
            <w:pPr>
              <w:pStyle w:val="TableParagraph"/>
              <w:spacing w:before="52"/>
              <w:ind w:left="401" w:right="329"/>
              <w:jc w:val="center"/>
              <w:rPr>
                <w:sz w:val="18"/>
              </w:rPr>
            </w:pPr>
            <w:r>
              <w:rPr>
                <w:sz w:val="18"/>
              </w:rPr>
              <w:t>3370</w:t>
            </w:r>
          </w:p>
        </w:tc>
        <w:tc>
          <w:tcPr>
            <w:tcW w:w="1267" w:type="dxa"/>
            <w:tcBorders>
              <w:left w:val="single" w:sz="4" w:space="0" w:color="000000"/>
              <w:right w:val="single" w:sz="4" w:space="0" w:color="000000"/>
            </w:tcBorders>
          </w:tcPr>
          <w:p>
            <w:pPr>
              <w:pStyle w:val="TableParagraph"/>
              <w:spacing w:before="52"/>
              <w:ind w:left="210" w:right="204"/>
              <w:jc w:val="center"/>
              <w:rPr>
                <w:sz w:val="18"/>
              </w:rPr>
            </w:pPr>
            <w:r>
              <w:rPr>
                <w:sz w:val="18"/>
              </w:rPr>
              <w:t>0.001197</w:t>
            </w:r>
          </w:p>
        </w:tc>
        <w:tc>
          <w:tcPr>
            <w:tcW w:w="1253" w:type="dxa"/>
            <w:tcBorders>
              <w:left w:val="single" w:sz="4" w:space="0" w:color="000000"/>
            </w:tcBorders>
          </w:tcPr>
          <w:p>
            <w:pPr>
              <w:pStyle w:val="TableParagraph"/>
              <w:spacing w:before="52"/>
              <w:ind w:left="276" w:right="255"/>
              <w:jc w:val="center"/>
              <w:rPr>
                <w:sz w:val="18"/>
              </w:rPr>
            </w:pPr>
            <w:r>
              <w:rPr>
                <w:sz w:val="18"/>
              </w:rPr>
              <w:t>0.007376</w:t>
            </w:r>
          </w:p>
        </w:tc>
        <w:tc>
          <w:tcPr>
            <w:tcW w:w="1278" w:type="dxa"/>
            <w:tcBorders>
              <w:right w:val="single" w:sz="6" w:space="0" w:color="000000"/>
            </w:tcBorders>
          </w:tcPr>
          <w:p>
            <w:pPr>
              <w:pStyle w:val="TableParagraph"/>
              <w:spacing w:before="52"/>
              <w:ind w:left="196" w:right="169"/>
              <w:jc w:val="center"/>
              <w:rPr>
                <w:sz w:val="18"/>
              </w:rPr>
            </w:pPr>
            <w:r>
              <w:rPr>
                <w:sz w:val="18"/>
              </w:rPr>
              <w:t>0.960892</w:t>
            </w:r>
          </w:p>
        </w:tc>
      </w:tr>
      <w:tr>
        <w:trPr>
          <w:trHeight w:val="340"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4"/>
              <w:ind w:left="453"/>
              <w:rPr>
                <w:sz w:val="18"/>
              </w:rPr>
            </w:pPr>
            <w:r>
              <w:rPr>
                <w:sz w:val="18"/>
              </w:rPr>
              <w:t>4.D</w:t>
              <w:tab/>
              <w:t>N</w:t>
            </w:r>
            <w:r>
              <w:rPr>
                <w:sz w:val="18"/>
                <w:vertAlign w:val="subscript"/>
              </w:rPr>
              <w:t>2</w:t>
            </w:r>
            <w:r>
              <w:rPr>
                <w:sz w:val="18"/>
                <w:vertAlign w:val="baseline"/>
              </w:rPr>
              <w:t>O</w:t>
            </w:r>
          </w:p>
        </w:tc>
        <w:tc>
          <w:tcPr>
            <w:tcW w:w="1200" w:type="dxa"/>
            <w:tcBorders>
              <w:left w:val="single" w:sz="4" w:space="0" w:color="000000"/>
            </w:tcBorders>
          </w:tcPr>
          <w:p>
            <w:pPr>
              <w:pStyle w:val="TableParagraph"/>
              <w:spacing w:before="54"/>
              <w:ind w:left="98" w:right="26"/>
              <w:jc w:val="center"/>
              <w:rPr>
                <w:sz w:val="18"/>
              </w:rPr>
            </w:pPr>
            <w:r>
              <w:rPr>
                <w:sz w:val="18"/>
              </w:rPr>
              <w:t>52898</w:t>
            </w:r>
          </w:p>
        </w:tc>
        <w:tc>
          <w:tcPr>
            <w:tcW w:w="1334" w:type="dxa"/>
            <w:tcBorders>
              <w:right w:val="single" w:sz="4" w:space="0" w:color="000000"/>
            </w:tcBorders>
          </w:tcPr>
          <w:p>
            <w:pPr>
              <w:pStyle w:val="TableParagraph"/>
              <w:spacing w:before="54"/>
              <w:ind w:left="401" w:right="329"/>
              <w:jc w:val="center"/>
              <w:rPr>
                <w:sz w:val="18"/>
              </w:rPr>
            </w:pPr>
            <w:r>
              <w:rPr>
                <w:sz w:val="18"/>
              </w:rPr>
              <w:t>51152</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0.000918</w:t>
            </w:r>
          </w:p>
        </w:tc>
        <w:tc>
          <w:tcPr>
            <w:tcW w:w="1253" w:type="dxa"/>
            <w:tcBorders>
              <w:left w:val="single" w:sz="4" w:space="0" w:color="000000"/>
            </w:tcBorders>
          </w:tcPr>
          <w:p>
            <w:pPr>
              <w:pStyle w:val="TableParagraph"/>
              <w:spacing w:before="54"/>
              <w:ind w:left="276" w:right="255"/>
              <w:jc w:val="center"/>
              <w:rPr>
                <w:sz w:val="18"/>
              </w:rPr>
            </w:pPr>
            <w:r>
              <w:rPr>
                <w:sz w:val="18"/>
              </w:rPr>
              <w:t>0.005659</w:t>
            </w:r>
          </w:p>
        </w:tc>
        <w:tc>
          <w:tcPr>
            <w:tcW w:w="1278" w:type="dxa"/>
            <w:tcBorders>
              <w:right w:val="single" w:sz="6" w:space="0" w:color="000000"/>
            </w:tcBorders>
          </w:tcPr>
          <w:p>
            <w:pPr>
              <w:pStyle w:val="TableParagraph"/>
              <w:spacing w:before="54"/>
              <w:ind w:left="197" w:right="169"/>
              <w:jc w:val="center"/>
              <w:rPr>
                <w:sz w:val="18"/>
              </w:rPr>
            </w:pPr>
            <w:r>
              <w:rPr>
                <w:sz w:val="18"/>
              </w:rPr>
              <w:t>0.966551</w:t>
            </w:r>
          </w:p>
        </w:tc>
      </w:tr>
      <w:tr>
        <w:trPr>
          <w:trHeight w:val="339" w:hRule="atLeast"/>
        </w:trPr>
        <w:tc>
          <w:tcPr>
            <w:tcW w:w="1300" w:type="dxa"/>
            <w:tcBorders>
              <w:left w:val="single" w:sz="4" w:space="0" w:color="000000"/>
            </w:tcBorders>
          </w:tcPr>
          <w:p>
            <w:pPr>
              <w:pStyle w:val="TableParagraph"/>
              <w:spacing w:before="54"/>
              <w:ind w:left="453"/>
              <w:rPr>
                <w:sz w:val="18"/>
              </w:rPr>
            </w:pPr>
            <w:r>
              <w:rPr>
                <w:sz w:val="18"/>
              </w:rPr>
              <w:t>1.B.2</w:t>
            </w:r>
          </w:p>
        </w:tc>
        <w:tc>
          <w:tcPr>
            <w:tcW w:w="1247" w:type="dxa"/>
            <w:tcBorders>
              <w:right w:val="single" w:sz="4" w:space="0" w:color="000000"/>
            </w:tcBorders>
          </w:tcPr>
          <w:p>
            <w:pPr>
              <w:pStyle w:val="TableParagraph"/>
              <w:spacing w:before="54"/>
              <w:ind w:right="495"/>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4"/>
              <w:ind w:left="97" w:right="26"/>
              <w:jc w:val="center"/>
              <w:rPr>
                <w:sz w:val="18"/>
              </w:rPr>
            </w:pPr>
            <w:r>
              <w:rPr>
                <w:sz w:val="18"/>
              </w:rPr>
              <w:t>2199</w:t>
            </w:r>
          </w:p>
        </w:tc>
        <w:tc>
          <w:tcPr>
            <w:tcW w:w="1334" w:type="dxa"/>
            <w:tcBorders>
              <w:right w:val="single" w:sz="4" w:space="0" w:color="000000"/>
            </w:tcBorders>
          </w:tcPr>
          <w:p>
            <w:pPr>
              <w:pStyle w:val="TableParagraph"/>
              <w:spacing w:before="54"/>
              <w:ind w:left="401" w:right="329"/>
              <w:jc w:val="center"/>
              <w:rPr>
                <w:sz w:val="18"/>
              </w:rPr>
            </w:pPr>
            <w:r>
              <w:rPr>
                <w:sz w:val="18"/>
              </w:rPr>
              <w:t>1906</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0.000493</w:t>
            </w:r>
          </w:p>
        </w:tc>
        <w:tc>
          <w:tcPr>
            <w:tcW w:w="1253" w:type="dxa"/>
            <w:tcBorders>
              <w:left w:val="single" w:sz="4" w:space="0" w:color="000000"/>
            </w:tcBorders>
          </w:tcPr>
          <w:p>
            <w:pPr>
              <w:pStyle w:val="TableParagraph"/>
              <w:spacing w:before="54"/>
              <w:ind w:left="276" w:right="255"/>
              <w:jc w:val="center"/>
              <w:rPr>
                <w:sz w:val="18"/>
              </w:rPr>
            </w:pPr>
            <w:r>
              <w:rPr>
                <w:sz w:val="18"/>
              </w:rPr>
              <w:t>0.003041</w:t>
            </w:r>
          </w:p>
        </w:tc>
        <w:tc>
          <w:tcPr>
            <w:tcW w:w="1278" w:type="dxa"/>
            <w:tcBorders>
              <w:right w:val="single" w:sz="6" w:space="0" w:color="000000"/>
            </w:tcBorders>
          </w:tcPr>
          <w:p>
            <w:pPr>
              <w:pStyle w:val="TableParagraph"/>
              <w:spacing w:before="54"/>
              <w:ind w:left="196" w:right="169"/>
              <w:jc w:val="center"/>
              <w:rPr>
                <w:sz w:val="18"/>
              </w:rPr>
            </w:pPr>
            <w:r>
              <w:rPr>
                <w:sz w:val="18"/>
              </w:rPr>
              <w:t>0.969592</w:t>
            </w:r>
          </w:p>
        </w:tc>
      </w:tr>
      <w:tr>
        <w:trPr>
          <w:trHeight w:val="339" w:hRule="atLeast"/>
        </w:trPr>
        <w:tc>
          <w:tcPr>
            <w:tcW w:w="1300" w:type="dxa"/>
            <w:tcBorders>
              <w:left w:val="single" w:sz="4" w:space="0" w:color="000000"/>
            </w:tcBorders>
          </w:tcPr>
          <w:p>
            <w:pPr>
              <w:pStyle w:val="TableParagraph"/>
              <w:spacing w:before="52"/>
              <w:ind w:left="453"/>
              <w:rPr>
                <w:sz w:val="18"/>
              </w:rPr>
            </w:pPr>
            <w:r>
              <w:rPr>
                <w:sz w:val="18"/>
              </w:rPr>
              <w:t>2.B</w:t>
            </w:r>
          </w:p>
        </w:tc>
        <w:tc>
          <w:tcPr>
            <w:tcW w:w="1247" w:type="dxa"/>
            <w:tcBorders>
              <w:right w:val="single" w:sz="4" w:space="0" w:color="000000"/>
            </w:tcBorders>
          </w:tcPr>
          <w:p>
            <w:pPr>
              <w:pStyle w:val="TableParagraph"/>
              <w:spacing w:before="52"/>
              <w:ind w:right="495"/>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52"/>
              <w:ind w:left="97" w:right="26"/>
              <w:jc w:val="center"/>
              <w:rPr>
                <w:sz w:val="18"/>
              </w:rPr>
            </w:pPr>
            <w:r>
              <w:rPr>
                <w:sz w:val="18"/>
              </w:rPr>
              <w:t>3007</w:t>
            </w:r>
          </w:p>
        </w:tc>
        <w:tc>
          <w:tcPr>
            <w:tcW w:w="1334" w:type="dxa"/>
            <w:tcBorders>
              <w:right w:val="single" w:sz="4" w:space="0" w:color="000000"/>
            </w:tcBorders>
          </w:tcPr>
          <w:p>
            <w:pPr>
              <w:pStyle w:val="TableParagraph"/>
              <w:spacing w:before="52"/>
              <w:ind w:left="401" w:right="329"/>
              <w:jc w:val="center"/>
              <w:rPr>
                <w:sz w:val="18"/>
              </w:rPr>
            </w:pPr>
            <w:r>
              <w:rPr>
                <w:sz w:val="18"/>
              </w:rPr>
              <w:t>2723</w:t>
            </w:r>
          </w:p>
        </w:tc>
        <w:tc>
          <w:tcPr>
            <w:tcW w:w="1267" w:type="dxa"/>
            <w:tcBorders>
              <w:left w:val="single" w:sz="4" w:space="0" w:color="000000"/>
              <w:right w:val="single" w:sz="4" w:space="0" w:color="000000"/>
            </w:tcBorders>
          </w:tcPr>
          <w:p>
            <w:pPr>
              <w:pStyle w:val="TableParagraph"/>
              <w:spacing w:before="52"/>
              <w:ind w:left="210" w:right="204"/>
              <w:jc w:val="center"/>
              <w:rPr>
                <w:sz w:val="18"/>
              </w:rPr>
            </w:pPr>
            <w:r>
              <w:rPr>
                <w:sz w:val="18"/>
              </w:rPr>
              <w:t>0.000433</w:t>
            </w:r>
          </w:p>
        </w:tc>
        <w:tc>
          <w:tcPr>
            <w:tcW w:w="1253" w:type="dxa"/>
            <w:tcBorders>
              <w:left w:val="single" w:sz="4" w:space="0" w:color="000000"/>
            </w:tcBorders>
          </w:tcPr>
          <w:p>
            <w:pPr>
              <w:pStyle w:val="TableParagraph"/>
              <w:spacing w:before="52"/>
              <w:ind w:left="276" w:right="255"/>
              <w:jc w:val="center"/>
              <w:rPr>
                <w:sz w:val="18"/>
              </w:rPr>
            </w:pPr>
            <w:r>
              <w:rPr>
                <w:sz w:val="18"/>
              </w:rPr>
              <w:t>0.002667</w:t>
            </w:r>
          </w:p>
        </w:tc>
        <w:tc>
          <w:tcPr>
            <w:tcW w:w="1278" w:type="dxa"/>
            <w:tcBorders>
              <w:right w:val="single" w:sz="6" w:space="0" w:color="000000"/>
            </w:tcBorders>
          </w:tcPr>
          <w:p>
            <w:pPr>
              <w:pStyle w:val="TableParagraph"/>
              <w:spacing w:before="52"/>
              <w:ind w:left="196" w:right="169"/>
              <w:jc w:val="center"/>
              <w:rPr>
                <w:sz w:val="18"/>
              </w:rPr>
            </w:pPr>
            <w:r>
              <w:rPr>
                <w:sz w:val="18"/>
              </w:rPr>
              <w:t>0.972259</w:t>
            </w:r>
          </w:p>
        </w:tc>
      </w:tr>
      <w:tr>
        <w:trPr>
          <w:trHeight w:val="340" w:hRule="atLeast"/>
        </w:trPr>
        <w:tc>
          <w:tcPr>
            <w:tcW w:w="1300" w:type="dxa"/>
            <w:tcBorders>
              <w:left w:val="single" w:sz="4" w:space="0" w:color="000000"/>
            </w:tcBorders>
          </w:tcPr>
          <w:p>
            <w:pPr>
              <w:pStyle w:val="TableParagraph"/>
              <w:spacing w:before="54"/>
              <w:ind w:left="453"/>
              <w:rPr>
                <w:sz w:val="18"/>
              </w:rPr>
            </w:pPr>
            <w:r>
              <w:rPr>
                <w:sz w:val="18"/>
              </w:rPr>
              <w:t>6.C</w:t>
            </w:r>
          </w:p>
        </w:tc>
        <w:tc>
          <w:tcPr>
            <w:tcW w:w="1247" w:type="dxa"/>
            <w:tcBorders>
              <w:right w:val="single" w:sz="4" w:space="0" w:color="000000"/>
            </w:tcBorders>
          </w:tcPr>
          <w:p>
            <w:pPr>
              <w:pStyle w:val="TableParagraph"/>
              <w:spacing w:before="54"/>
              <w:ind w:right="495"/>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54"/>
              <w:ind w:left="97" w:right="26"/>
              <w:jc w:val="center"/>
              <w:rPr>
                <w:sz w:val="18"/>
              </w:rPr>
            </w:pPr>
            <w:r>
              <w:rPr>
                <w:sz w:val="18"/>
              </w:rPr>
              <w:t>2133</w:t>
            </w:r>
          </w:p>
        </w:tc>
        <w:tc>
          <w:tcPr>
            <w:tcW w:w="1334" w:type="dxa"/>
            <w:tcBorders>
              <w:right w:val="single" w:sz="4" w:space="0" w:color="000000"/>
            </w:tcBorders>
          </w:tcPr>
          <w:p>
            <w:pPr>
              <w:pStyle w:val="TableParagraph"/>
              <w:spacing w:before="54"/>
              <w:ind w:left="400" w:right="329"/>
              <w:jc w:val="center"/>
              <w:rPr>
                <w:sz w:val="18"/>
              </w:rPr>
            </w:pPr>
            <w:r>
              <w:rPr>
                <w:sz w:val="18"/>
              </w:rPr>
              <w:t>2287</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0.000425</w:t>
            </w:r>
          </w:p>
        </w:tc>
        <w:tc>
          <w:tcPr>
            <w:tcW w:w="1253" w:type="dxa"/>
            <w:tcBorders>
              <w:left w:val="single" w:sz="4" w:space="0" w:color="000000"/>
            </w:tcBorders>
          </w:tcPr>
          <w:p>
            <w:pPr>
              <w:pStyle w:val="TableParagraph"/>
              <w:spacing w:before="54"/>
              <w:ind w:left="276" w:right="255"/>
              <w:jc w:val="center"/>
              <w:rPr>
                <w:sz w:val="18"/>
              </w:rPr>
            </w:pPr>
            <w:r>
              <w:rPr>
                <w:sz w:val="18"/>
              </w:rPr>
              <w:t>0.00262</w:t>
            </w:r>
          </w:p>
        </w:tc>
        <w:tc>
          <w:tcPr>
            <w:tcW w:w="1278" w:type="dxa"/>
            <w:tcBorders>
              <w:right w:val="single" w:sz="6" w:space="0" w:color="000000"/>
            </w:tcBorders>
          </w:tcPr>
          <w:p>
            <w:pPr>
              <w:pStyle w:val="TableParagraph"/>
              <w:spacing w:before="54"/>
              <w:ind w:left="198" w:right="169"/>
              <w:jc w:val="center"/>
              <w:rPr>
                <w:sz w:val="18"/>
              </w:rPr>
            </w:pPr>
            <w:r>
              <w:rPr>
                <w:sz w:val="18"/>
              </w:rPr>
              <w:t>0.974879</w:t>
            </w:r>
          </w:p>
        </w:tc>
      </w:tr>
      <w:tr>
        <w:trPr>
          <w:trHeight w:val="339" w:hRule="atLeast"/>
        </w:trPr>
        <w:tc>
          <w:tcPr>
            <w:tcW w:w="1300" w:type="dxa"/>
            <w:tcBorders>
              <w:left w:val="single" w:sz="4" w:space="0" w:color="000000"/>
            </w:tcBorders>
          </w:tcPr>
          <w:p>
            <w:pPr>
              <w:pStyle w:val="TableParagraph"/>
              <w:spacing w:before="54"/>
              <w:ind w:left="453"/>
              <w:rPr>
                <w:sz w:val="18"/>
              </w:rPr>
            </w:pPr>
            <w:r>
              <w:rPr>
                <w:sz w:val="18"/>
              </w:rPr>
              <w:t>1.B.2</w:t>
            </w:r>
          </w:p>
        </w:tc>
        <w:tc>
          <w:tcPr>
            <w:tcW w:w="1247" w:type="dxa"/>
            <w:tcBorders>
              <w:right w:val="single" w:sz="4" w:space="0" w:color="000000"/>
            </w:tcBorders>
          </w:tcPr>
          <w:p>
            <w:pPr>
              <w:pStyle w:val="TableParagraph"/>
              <w:spacing w:before="54"/>
              <w:ind w:right="495"/>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54"/>
              <w:ind w:left="97" w:right="26"/>
              <w:jc w:val="center"/>
              <w:rPr>
                <w:sz w:val="18"/>
              </w:rPr>
            </w:pPr>
            <w:r>
              <w:rPr>
                <w:sz w:val="18"/>
              </w:rPr>
              <w:t>4306</w:t>
            </w:r>
          </w:p>
        </w:tc>
        <w:tc>
          <w:tcPr>
            <w:tcW w:w="1334" w:type="dxa"/>
            <w:tcBorders>
              <w:right w:val="single" w:sz="4" w:space="0" w:color="000000"/>
            </w:tcBorders>
          </w:tcPr>
          <w:p>
            <w:pPr>
              <w:pStyle w:val="TableParagraph"/>
              <w:spacing w:before="54"/>
              <w:ind w:left="401" w:right="329"/>
              <w:jc w:val="center"/>
              <w:rPr>
                <w:sz w:val="18"/>
              </w:rPr>
            </w:pPr>
            <w:r>
              <w:rPr>
                <w:sz w:val="18"/>
              </w:rPr>
              <w:t>4006</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0.000398</w:t>
            </w:r>
          </w:p>
        </w:tc>
        <w:tc>
          <w:tcPr>
            <w:tcW w:w="1253" w:type="dxa"/>
            <w:tcBorders>
              <w:left w:val="single" w:sz="4" w:space="0" w:color="000000"/>
            </w:tcBorders>
          </w:tcPr>
          <w:p>
            <w:pPr>
              <w:pStyle w:val="TableParagraph"/>
              <w:spacing w:before="54"/>
              <w:ind w:left="276" w:right="255"/>
              <w:jc w:val="center"/>
              <w:rPr>
                <w:sz w:val="18"/>
              </w:rPr>
            </w:pPr>
            <w:r>
              <w:rPr>
                <w:sz w:val="18"/>
              </w:rPr>
              <w:t>0.002456</w:t>
            </w:r>
          </w:p>
        </w:tc>
        <w:tc>
          <w:tcPr>
            <w:tcW w:w="1278" w:type="dxa"/>
            <w:tcBorders>
              <w:right w:val="single" w:sz="6" w:space="0" w:color="000000"/>
            </w:tcBorders>
          </w:tcPr>
          <w:p>
            <w:pPr>
              <w:pStyle w:val="TableParagraph"/>
              <w:spacing w:before="54"/>
              <w:ind w:left="196" w:right="169"/>
              <w:jc w:val="center"/>
              <w:rPr>
                <w:sz w:val="18"/>
              </w:rPr>
            </w:pPr>
            <w:r>
              <w:rPr>
                <w:sz w:val="18"/>
              </w:rPr>
              <w:t>0.977336</w:t>
            </w:r>
          </w:p>
        </w:tc>
      </w:tr>
      <w:tr>
        <w:trPr>
          <w:trHeight w:val="339" w:hRule="atLeast"/>
        </w:trPr>
        <w:tc>
          <w:tcPr>
            <w:tcW w:w="1300" w:type="dxa"/>
            <w:tcBorders>
              <w:left w:val="single" w:sz="4" w:space="0" w:color="000000"/>
            </w:tcBorders>
          </w:tcPr>
          <w:p>
            <w:pPr>
              <w:pStyle w:val="TableParagraph"/>
              <w:spacing w:before="52"/>
              <w:ind w:left="453"/>
              <w:rPr>
                <w:sz w:val="18"/>
              </w:rPr>
            </w:pPr>
            <w:r>
              <w:rPr>
                <w:sz w:val="18"/>
              </w:rPr>
              <w:t>4.B</w:t>
            </w:r>
          </w:p>
        </w:tc>
        <w:tc>
          <w:tcPr>
            <w:tcW w:w="1247" w:type="dxa"/>
            <w:tcBorders>
              <w:right w:val="single" w:sz="4" w:space="0" w:color="000000"/>
            </w:tcBorders>
          </w:tcPr>
          <w:p>
            <w:pPr>
              <w:pStyle w:val="TableParagraph"/>
              <w:spacing w:before="52"/>
              <w:ind w:right="495"/>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2"/>
              <w:ind w:left="97" w:right="26"/>
              <w:jc w:val="center"/>
              <w:rPr>
                <w:sz w:val="18"/>
              </w:rPr>
            </w:pPr>
            <w:r>
              <w:rPr>
                <w:sz w:val="18"/>
              </w:rPr>
              <w:t>3537</w:t>
            </w:r>
          </w:p>
        </w:tc>
        <w:tc>
          <w:tcPr>
            <w:tcW w:w="1334" w:type="dxa"/>
            <w:tcBorders>
              <w:right w:val="single" w:sz="4" w:space="0" w:color="000000"/>
            </w:tcBorders>
          </w:tcPr>
          <w:p>
            <w:pPr>
              <w:pStyle w:val="TableParagraph"/>
              <w:spacing w:before="52"/>
              <w:ind w:left="401" w:right="329"/>
              <w:jc w:val="center"/>
              <w:rPr>
                <w:sz w:val="18"/>
              </w:rPr>
            </w:pPr>
            <w:r>
              <w:rPr>
                <w:sz w:val="18"/>
              </w:rPr>
              <w:t>3644</w:t>
            </w:r>
          </w:p>
        </w:tc>
        <w:tc>
          <w:tcPr>
            <w:tcW w:w="1267" w:type="dxa"/>
            <w:tcBorders>
              <w:left w:val="single" w:sz="4" w:space="0" w:color="000000"/>
              <w:right w:val="single" w:sz="4" w:space="0" w:color="000000"/>
            </w:tcBorders>
          </w:tcPr>
          <w:p>
            <w:pPr>
              <w:pStyle w:val="TableParagraph"/>
              <w:spacing w:before="52"/>
              <w:ind w:left="210" w:right="204"/>
              <w:jc w:val="center"/>
              <w:rPr>
                <w:sz w:val="18"/>
              </w:rPr>
            </w:pPr>
            <w:r>
              <w:rPr>
                <w:sz w:val="18"/>
              </w:rPr>
              <w:t>0.000398</w:t>
            </w:r>
          </w:p>
        </w:tc>
        <w:tc>
          <w:tcPr>
            <w:tcW w:w="1253" w:type="dxa"/>
            <w:tcBorders>
              <w:left w:val="single" w:sz="4" w:space="0" w:color="000000"/>
            </w:tcBorders>
          </w:tcPr>
          <w:p>
            <w:pPr>
              <w:pStyle w:val="TableParagraph"/>
              <w:spacing w:before="52"/>
              <w:ind w:left="276" w:right="255"/>
              <w:jc w:val="center"/>
              <w:rPr>
                <w:sz w:val="18"/>
              </w:rPr>
            </w:pPr>
            <w:r>
              <w:rPr>
                <w:sz w:val="18"/>
              </w:rPr>
              <w:t>0.002453</w:t>
            </w:r>
          </w:p>
        </w:tc>
        <w:tc>
          <w:tcPr>
            <w:tcW w:w="1278" w:type="dxa"/>
            <w:tcBorders>
              <w:right w:val="single" w:sz="6" w:space="0" w:color="000000"/>
            </w:tcBorders>
          </w:tcPr>
          <w:p>
            <w:pPr>
              <w:pStyle w:val="TableParagraph"/>
              <w:spacing w:before="52"/>
              <w:ind w:left="196" w:right="169"/>
              <w:jc w:val="center"/>
              <w:rPr>
                <w:sz w:val="18"/>
              </w:rPr>
            </w:pPr>
            <w:r>
              <w:rPr>
                <w:sz w:val="18"/>
              </w:rPr>
              <w:t>0.979789</w:t>
            </w:r>
          </w:p>
        </w:tc>
      </w:tr>
      <w:tr>
        <w:trPr>
          <w:trHeight w:val="340" w:hRule="atLeast"/>
        </w:trPr>
        <w:tc>
          <w:tcPr>
            <w:tcW w:w="2547" w:type="dxa"/>
            <w:gridSpan w:val="2"/>
            <w:tcBorders>
              <w:left w:val="single" w:sz="4" w:space="0" w:color="000000"/>
              <w:right w:val="single" w:sz="4" w:space="0" w:color="000000"/>
            </w:tcBorders>
          </w:tcPr>
          <w:p>
            <w:pPr>
              <w:pStyle w:val="TableParagraph"/>
              <w:tabs>
                <w:tab w:pos="1729" w:val="left" w:leader="none"/>
              </w:tabs>
              <w:spacing w:before="54"/>
              <w:ind w:left="453"/>
              <w:rPr>
                <w:sz w:val="18"/>
              </w:rPr>
            </w:pPr>
            <w:r>
              <w:rPr>
                <w:sz w:val="18"/>
              </w:rPr>
              <w:t>5.E</w:t>
              <w:tab/>
              <w:t>N</w:t>
            </w:r>
            <w:r>
              <w:rPr>
                <w:sz w:val="18"/>
                <w:vertAlign w:val="subscript"/>
              </w:rPr>
              <w:t>2</w:t>
            </w:r>
            <w:r>
              <w:rPr>
                <w:sz w:val="18"/>
                <w:vertAlign w:val="baseline"/>
              </w:rPr>
              <w:t>O</w:t>
            </w:r>
          </w:p>
        </w:tc>
        <w:tc>
          <w:tcPr>
            <w:tcW w:w="1200" w:type="dxa"/>
            <w:tcBorders>
              <w:left w:val="single" w:sz="4" w:space="0" w:color="000000"/>
            </w:tcBorders>
          </w:tcPr>
          <w:p>
            <w:pPr>
              <w:pStyle w:val="TableParagraph"/>
              <w:spacing w:before="54"/>
              <w:ind w:left="96" w:right="26"/>
              <w:jc w:val="center"/>
              <w:rPr>
                <w:sz w:val="18"/>
              </w:rPr>
            </w:pPr>
            <w:r>
              <w:rPr>
                <w:sz w:val="18"/>
              </w:rPr>
              <w:t>5494</w:t>
            </w:r>
          </w:p>
        </w:tc>
        <w:tc>
          <w:tcPr>
            <w:tcW w:w="1334" w:type="dxa"/>
            <w:tcBorders>
              <w:right w:val="single" w:sz="4" w:space="0" w:color="000000"/>
            </w:tcBorders>
          </w:tcPr>
          <w:p>
            <w:pPr>
              <w:pStyle w:val="TableParagraph"/>
              <w:spacing w:before="54"/>
              <w:ind w:left="400" w:right="329"/>
              <w:jc w:val="center"/>
              <w:rPr>
                <w:sz w:val="18"/>
              </w:rPr>
            </w:pPr>
            <w:r>
              <w:rPr>
                <w:sz w:val="18"/>
              </w:rPr>
              <w:t>5550</w:t>
            </w:r>
          </w:p>
        </w:tc>
        <w:tc>
          <w:tcPr>
            <w:tcW w:w="1267" w:type="dxa"/>
            <w:tcBorders>
              <w:left w:val="single" w:sz="4" w:space="0" w:color="000000"/>
              <w:right w:val="single" w:sz="4" w:space="0" w:color="000000"/>
            </w:tcBorders>
          </w:tcPr>
          <w:p>
            <w:pPr>
              <w:pStyle w:val="TableParagraph"/>
              <w:spacing w:before="54"/>
              <w:ind w:left="209" w:right="204"/>
              <w:jc w:val="center"/>
              <w:rPr>
                <w:sz w:val="18"/>
              </w:rPr>
            </w:pPr>
            <w:r>
              <w:rPr>
                <w:sz w:val="18"/>
              </w:rPr>
              <w:t>0.000394</w:t>
            </w:r>
          </w:p>
        </w:tc>
        <w:tc>
          <w:tcPr>
            <w:tcW w:w="1253" w:type="dxa"/>
            <w:tcBorders>
              <w:left w:val="single" w:sz="4" w:space="0" w:color="000000"/>
            </w:tcBorders>
          </w:tcPr>
          <w:p>
            <w:pPr>
              <w:pStyle w:val="TableParagraph"/>
              <w:spacing w:before="54"/>
              <w:ind w:left="275" w:right="255"/>
              <w:jc w:val="center"/>
              <w:rPr>
                <w:sz w:val="18"/>
              </w:rPr>
            </w:pPr>
            <w:r>
              <w:rPr>
                <w:sz w:val="18"/>
              </w:rPr>
              <w:t>0.002428</w:t>
            </w:r>
          </w:p>
        </w:tc>
        <w:tc>
          <w:tcPr>
            <w:tcW w:w="1278" w:type="dxa"/>
            <w:tcBorders>
              <w:right w:val="single" w:sz="6" w:space="0" w:color="000000"/>
            </w:tcBorders>
          </w:tcPr>
          <w:p>
            <w:pPr>
              <w:pStyle w:val="TableParagraph"/>
              <w:spacing w:before="54"/>
              <w:ind w:left="196" w:right="169"/>
              <w:jc w:val="center"/>
              <w:rPr>
                <w:sz w:val="18"/>
              </w:rPr>
            </w:pPr>
            <w:r>
              <w:rPr>
                <w:sz w:val="18"/>
              </w:rPr>
              <w:t>0.982217</w:t>
            </w:r>
          </w:p>
        </w:tc>
      </w:tr>
      <w:tr>
        <w:trPr>
          <w:trHeight w:val="339" w:hRule="atLeast"/>
        </w:trPr>
        <w:tc>
          <w:tcPr>
            <w:tcW w:w="1300" w:type="dxa"/>
            <w:tcBorders>
              <w:left w:val="single" w:sz="4" w:space="0" w:color="000000"/>
            </w:tcBorders>
          </w:tcPr>
          <w:p>
            <w:pPr>
              <w:pStyle w:val="TableParagraph"/>
              <w:spacing w:before="54"/>
              <w:ind w:left="453"/>
              <w:rPr>
                <w:sz w:val="18"/>
              </w:rPr>
            </w:pPr>
            <w:r>
              <w:rPr>
                <w:sz w:val="18"/>
              </w:rPr>
              <w:t>1.AA.4</w:t>
            </w:r>
          </w:p>
        </w:tc>
        <w:tc>
          <w:tcPr>
            <w:tcW w:w="1247" w:type="dxa"/>
            <w:tcBorders>
              <w:right w:val="single" w:sz="4" w:space="0" w:color="000000"/>
            </w:tcBorders>
          </w:tcPr>
          <w:p>
            <w:pPr>
              <w:pStyle w:val="TableParagraph"/>
              <w:spacing w:before="54"/>
              <w:ind w:right="495"/>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4"/>
              <w:ind w:left="97" w:right="26"/>
              <w:jc w:val="center"/>
              <w:rPr>
                <w:sz w:val="18"/>
              </w:rPr>
            </w:pPr>
            <w:r>
              <w:rPr>
                <w:sz w:val="18"/>
              </w:rPr>
              <w:t>3043</w:t>
            </w:r>
          </w:p>
        </w:tc>
        <w:tc>
          <w:tcPr>
            <w:tcW w:w="1334" w:type="dxa"/>
            <w:tcBorders>
              <w:right w:val="single" w:sz="4" w:space="0" w:color="000000"/>
            </w:tcBorders>
          </w:tcPr>
          <w:p>
            <w:pPr>
              <w:pStyle w:val="TableParagraph"/>
              <w:spacing w:before="54"/>
              <w:ind w:left="401" w:right="329"/>
              <w:jc w:val="center"/>
              <w:rPr>
                <w:sz w:val="18"/>
              </w:rPr>
            </w:pPr>
            <w:r>
              <w:rPr>
                <w:sz w:val="18"/>
              </w:rPr>
              <w:t>2817</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0.000313</w:t>
            </w:r>
          </w:p>
        </w:tc>
        <w:tc>
          <w:tcPr>
            <w:tcW w:w="1253" w:type="dxa"/>
            <w:tcBorders>
              <w:left w:val="single" w:sz="4" w:space="0" w:color="000000"/>
            </w:tcBorders>
          </w:tcPr>
          <w:p>
            <w:pPr>
              <w:pStyle w:val="TableParagraph"/>
              <w:spacing w:before="54"/>
              <w:ind w:left="276" w:right="255"/>
              <w:jc w:val="center"/>
              <w:rPr>
                <w:sz w:val="18"/>
              </w:rPr>
            </w:pPr>
            <w:r>
              <w:rPr>
                <w:sz w:val="18"/>
              </w:rPr>
              <w:t>0.001927</w:t>
            </w:r>
          </w:p>
        </w:tc>
        <w:tc>
          <w:tcPr>
            <w:tcW w:w="1278" w:type="dxa"/>
            <w:tcBorders>
              <w:right w:val="single" w:sz="6" w:space="0" w:color="000000"/>
            </w:tcBorders>
          </w:tcPr>
          <w:p>
            <w:pPr>
              <w:pStyle w:val="TableParagraph"/>
              <w:spacing w:before="54"/>
              <w:ind w:left="196" w:right="169"/>
              <w:jc w:val="center"/>
              <w:rPr>
                <w:sz w:val="18"/>
              </w:rPr>
            </w:pPr>
            <w:r>
              <w:rPr>
                <w:sz w:val="18"/>
              </w:rPr>
              <w:t>0.984143</w:t>
            </w:r>
          </w:p>
        </w:tc>
      </w:tr>
      <w:tr>
        <w:trPr>
          <w:trHeight w:val="339" w:hRule="atLeast"/>
        </w:trPr>
        <w:tc>
          <w:tcPr>
            <w:tcW w:w="1300" w:type="dxa"/>
            <w:tcBorders>
              <w:left w:val="single" w:sz="4" w:space="0" w:color="000000"/>
            </w:tcBorders>
          </w:tcPr>
          <w:p>
            <w:pPr>
              <w:pStyle w:val="TableParagraph"/>
              <w:spacing w:before="52"/>
              <w:ind w:left="453"/>
              <w:rPr>
                <w:sz w:val="18"/>
              </w:rPr>
            </w:pPr>
            <w:r>
              <w:rPr>
                <w:sz w:val="18"/>
              </w:rPr>
              <w:t>1.AA.4</w:t>
            </w:r>
          </w:p>
        </w:tc>
        <w:tc>
          <w:tcPr>
            <w:tcW w:w="1247" w:type="dxa"/>
            <w:tcBorders>
              <w:right w:val="single" w:sz="4" w:space="0" w:color="000000"/>
            </w:tcBorders>
          </w:tcPr>
          <w:p>
            <w:pPr>
              <w:pStyle w:val="TableParagraph"/>
              <w:spacing w:before="52"/>
              <w:ind w:right="485"/>
              <w:jc w:val="right"/>
              <w:rPr>
                <w:sz w:val="18"/>
              </w:rPr>
            </w:pPr>
            <w:r>
              <w:rPr>
                <w:w w:val="95"/>
                <w:sz w:val="18"/>
              </w:rPr>
              <w:t>N</w:t>
            </w:r>
            <w:r>
              <w:rPr>
                <w:w w:val="95"/>
                <w:sz w:val="18"/>
                <w:vertAlign w:val="subscript"/>
              </w:rPr>
              <w:t>2</w:t>
            </w:r>
            <w:r>
              <w:rPr>
                <w:w w:val="95"/>
                <w:sz w:val="18"/>
                <w:vertAlign w:val="baseline"/>
              </w:rPr>
              <w:t>O</w:t>
            </w:r>
          </w:p>
        </w:tc>
        <w:tc>
          <w:tcPr>
            <w:tcW w:w="1200" w:type="dxa"/>
            <w:tcBorders>
              <w:left w:val="single" w:sz="4" w:space="0" w:color="000000"/>
            </w:tcBorders>
          </w:tcPr>
          <w:p>
            <w:pPr>
              <w:pStyle w:val="TableParagraph"/>
              <w:spacing w:before="52"/>
              <w:ind w:left="97" w:right="26"/>
              <w:jc w:val="center"/>
              <w:rPr>
                <w:sz w:val="18"/>
              </w:rPr>
            </w:pPr>
            <w:r>
              <w:rPr>
                <w:sz w:val="18"/>
              </w:rPr>
              <w:t>1338</w:t>
            </w:r>
          </w:p>
        </w:tc>
        <w:tc>
          <w:tcPr>
            <w:tcW w:w="1334" w:type="dxa"/>
            <w:tcBorders>
              <w:right w:val="single" w:sz="4" w:space="0" w:color="000000"/>
            </w:tcBorders>
          </w:tcPr>
          <w:p>
            <w:pPr>
              <w:pStyle w:val="TableParagraph"/>
              <w:spacing w:before="52"/>
              <w:ind w:left="400" w:right="329"/>
              <w:jc w:val="center"/>
              <w:rPr>
                <w:sz w:val="18"/>
              </w:rPr>
            </w:pPr>
            <w:r>
              <w:rPr>
                <w:sz w:val="18"/>
              </w:rPr>
              <w:t>1456</w:t>
            </w:r>
          </w:p>
        </w:tc>
        <w:tc>
          <w:tcPr>
            <w:tcW w:w="1267" w:type="dxa"/>
            <w:tcBorders>
              <w:left w:val="single" w:sz="4" w:space="0" w:color="000000"/>
              <w:right w:val="single" w:sz="4" w:space="0" w:color="000000"/>
            </w:tcBorders>
          </w:tcPr>
          <w:p>
            <w:pPr>
              <w:pStyle w:val="TableParagraph"/>
              <w:spacing w:before="52"/>
              <w:ind w:left="210" w:right="204"/>
              <w:jc w:val="center"/>
              <w:rPr>
                <w:sz w:val="18"/>
              </w:rPr>
            </w:pPr>
            <w:r>
              <w:rPr>
                <w:sz w:val="18"/>
              </w:rPr>
              <w:t>0.00031</w:t>
            </w:r>
          </w:p>
        </w:tc>
        <w:tc>
          <w:tcPr>
            <w:tcW w:w="1253" w:type="dxa"/>
            <w:tcBorders>
              <w:left w:val="single" w:sz="4" w:space="0" w:color="000000"/>
            </w:tcBorders>
          </w:tcPr>
          <w:p>
            <w:pPr>
              <w:pStyle w:val="TableParagraph"/>
              <w:spacing w:before="52"/>
              <w:ind w:left="276" w:right="254"/>
              <w:jc w:val="center"/>
              <w:rPr>
                <w:sz w:val="18"/>
              </w:rPr>
            </w:pPr>
            <w:r>
              <w:rPr>
                <w:sz w:val="18"/>
              </w:rPr>
              <w:t>0.001913</w:t>
            </w:r>
          </w:p>
        </w:tc>
        <w:tc>
          <w:tcPr>
            <w:tcW w:w="1278" w:type="dxa"/>
            <w:tcBorders>
              <w:right w:val="single" w:sz="6" w:space="0" w:color="000000"/>
            </w:tcBorders>
          </w:tcPr>
          <w:p>
            <w:pPr>
              <w:pStyle w:val="TableParagraph"/>
              <w:spacing w:before="52"/>
              <w:ind w:left="198" w:right="169"/>
              <w:jc w:val="center"/>
              <w:rPr>
                <w:sz w:val="18"/>
              </w:rPr>
            </w:pPr>
            <w:r>
              <w:rPr>
                <w:sz w:val="18"/>
              </w:rPr>
              <w:t>0.986056</w:t>
            </w:r>
          </w:p>
        </w:tc>
      </w:tr>
      <w:tr>
        <w:trPr>
          <w:trHeight w:val="340" w:hRule="atLeast"/>
        </w:trPr>
        <w:tc>
          <w:tcPr>
            <w:tcW w:w="1300" w:type="dxa"/>
            <w:tcBorders>
              <w:left w:val="single" w:sz="4" w:space="0" w:color="000000"/>
            </w:tcBorders>
          </w:tcPr>
          <w:p>
            <w:pPr>
              <w:pStyle w:val="TableParagraph"/>
              <w:spacing w:before="54"/>
              <w:ind w:left="453"/>
              <w:rPr>
                <w:sz w:val="18"/>
              </w:rPr>
            </w:pPr>
            <w:r>
              <w:rPr>
                <w:sz w:val="18"/>
              </w:rPr>
              <w:t>1.AA.1</w:t>
            </w:r>
          </w:p>
        </w:tc>
        <w:tc>
          <w:tcPr>
            <w:tcW w:w="1247" w:type="dxa"/>
            <w:tcBorders>
              <w:right w:val="single" w:sz="4" w:space="0" w:color="000000"/>
            </w:tcBorders>
          </w:tcPr>
          <w:p>
            <w:pPr>
              <w:pStyle w:val="TableParagraph"/>
              <w:spacing w:before="54"/>
              <w:ind w:right="485"/>
              <w:jc w:val="right"/>
              <w:rPr>
                <w:sz w:val="18"/>
              </w:rPr>
            </w:pPr>
            <w:r>
              <w:rPr>
                <w:w w:val="95"/>
                <w:sz w:val="18"/>
              </w:rPr>
              <w:t>N</w:t>
            </w:r>
            <w:r>
              <w:rPr>
                <w:w w:val="95"/>
                <w:sz w:val="18"/>
                <w:vertAlign w:val="subscript"/>
              </w:rPr>
              <w:t>2</w:t>
            </w:r>
            <w:r>
              <w:rPr>
                <w:w w:val="95"/>
                <w:sz w:val="18"/>
                <w:vertAlign w:val="baseline"/>
              </w:rPr>
              <w:t>O</w:t>
            </w:r>
          </w:p>
        </w:tc>
        <w:tc>
          <w:tcPr>
            <w:tcW w:w="1200" w:type="dxa"/>
            <w:tcBorders>
              <w:left w:val="single" w:sz="4" w:space="0" w:color="000000"/>
            </w:tcBorders>
          </w:tcPr>
          <w:p>
            <w:pPr>
              <w:pStyle w:val="TableParagraph"/>
              <w:spacing w:before="54"/>
              <w:ind w:left="100" w:right="26"/>
              <w:jc w:val="center"/>
              <w:rPr>
                <w:sz w:val="18"/>
              </w:rPr>
            </w:pPr>
            <w:r>
              <w:rPr>
                <w:sz w:val="18"/>
              </w:rPr>
              <w:t>561</w:t>
            </w:r>
          </w:p>
        </w:tc>
        <w:tc>
          <w:tcPr>
            <w:tcW w:w="1334" w:type="dxa"/>
            <w:tcBorders>
              <w:right w:val="single" w:sz="4" w:space="0" w:color="000000"/>
            </w:tcBorders>
          </w:tcPr>
          <w:p>
            <w:pPr>
              <w:pStyle w:val="TableParagraph"/>
              <w:spacing w:before="54"/>
              <w:ind w:left="404" w:right="329"/>
              <w:jc w:val="center"/>
              <w:rPr>
                <w:sz w:val="18"/>
              </w:rPr>
            </w:pPr>
            <w:r>
              <w:rPr>
                <w:sz w:val="18"/>
              </w:rPr>
              <w:t>683</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0.000278</w:t>
            </w:r>
          </w:p>
        </w:tc>
        <w:tc>
          <w:tcPr>
            <w:tcW w:w="1253" w:type="dxa"/>
            <w:tcBorders>
              <w:left w:val="single" w:sz="4" w:space="0" w:color="000000"/>
            </w:tcBorders>
          </w:tcPr>
          <w:p>
            <w:pPr>
              <w:pStyle w:val="TableParagraph"/>
              <w:spacing w:before="54"/>
              <w:ind w:left="276" w:right="254"/>
              <w:jc w:val="center"/>
              <w:rPr>
                <w:sz w:val="18"/>
              </w:rPr>
            </w:pPr>
            <w:r>
              <w:rPr>
                <w:sz w:val="18"/>
              </w:rPr>
              <w:t>0.001714</w:t>
            </w:r>
          </w:p>
        </w:tc>
        <w:tc>
          <w:tcPr>
            <w:tcW w:w="1278" w:type="dxa"/>
            <w:tcBorders>
              <w:right w:val="single" w:sz="6" w:space="0" w:color="000000"/>
            </w:tcBorders>
          </w:tcPr>
          <w:p>
            <w:pPr>
              <w:pStyle w:val="TableParagraph"/>
              <w:spacing w:before="54"/>
              <w:ind w:left="196" w:right="169"/>
              <w:jc w:val="center"/>
              <w:rPr>
                <w:sz w:val="18"/>
              </w:rPr>
            </w:pPr>
            <w:r>
              <w:rPr>
                <w:sz w:val="18"/>
              </w:rPr>
              <w:t>0.98777</w:t>
            </w:r>
          </w:p>
        </w:tc>
      </w:tr>
      <w:tr>
        <w:trPr>
          <w:trHeight w:val="339" w:hRule="atLeast"/>
        </w:trPr>
        <w:tc>
          <w:tcPr>
            <w:tcW w:w="1300" w:type="dxa"/>
            <w:tcBorders>
              <w:left w:val="single" w:sz="4" w:space="0" w:color="000000"/>
            </w:tcBorders>
          </w:tcPr>
          <w:p>
            <w:pPr>
              <w:pStyle w:val="TableParagraph"/>
              <w:spacing w:before="54"/>
              <w:ind w:left="453"/>
              <w:rPr>
                <w:sz w:val="18"/>
              </w:rPr>
            </w:pPr>
            <w:r>
              <w:rPr>
                <w:sz w:val="18"/>
              </w:rPr>
              <w:t>1.AA.3</w:t>
            </w:r>
          </w:p>
        </w:tc>
        <w:tc>
          <w:tcPr>
            <w:tcW w:w="1247" w:type="dxa"/>
            <w:tcBorders>
              <w:right w:val="single" w:sz="4" w:space="0" w:color="000000"/>
            </w:tcBorders>
          </w:tcPr>
          <w:p>
            <w:pPr>
              <w:pStyle w:val="TableParagraph"/>
              <w:spacing w:before="54"/>
              <w:ind w:right="495"/>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4"/>
              <w:ind w:left="101" w:right="26"/>
              <w:jc w:val="center"/>
              <w:rPr>
                <w:sz w:val="18"/>
              </w:rPr>
            </w:pPr>
            <w:r>
              <w:rPr>
                <w:sz w:val="18"/>
              </w:rPr>
              <w:t>453</w:t>
            </w:r>
          </w:p>
        </w:tc>
        <w:tc>
          <w:tcPr>
            <w:tcW w:w="1334" w:type="dxa"/>
            <w:tcBorders>
              <w:right w:val="single" w:sz="4" w:space="0" w:color="000000"/>
            </w:tcBorders>
          </w:tcPr>
          <w:p>
            <w:pPr>
              <w:pStyle w:val="TableParagraph"/>
              <w:spacing w:before="54"/>
              <w:ind w:left="404" w:right="329"/>
              <w:jc w:val="center"/>
              <w:rPr>
                <w:sz w:val="18"/>
              </w:rPr>
            </w:pPr>
            <w:r>
              <w:rPr>
                <w:sz w:val="18"/>
              </w:rPr>
              <w:t>312</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0.000267</w:t>
            </w:r>
          </w:p>
        </w:tc>
        <w:tc>
          <w:tcPr>
            <w:tcW w:w="1253" w:type="dxa"/>
            <w:tcBorders>
              <w:left w:val="single" w:sz="4" w:space="0" w:color="000000"/>
            </w:tcBorders>
          </w:tcPr>
          <w:p>
            <w:pPr>
              <w:pStyle w:val="TableParagraph"/>
              <w:spacing w:before="54"/>
              <w:ind w:left="276" w:right="255"/>
              <w:jc w:val="center"/>
              <w:rPr>
                <w:sz w:val="18"/>
              </w:rPr>
            </w:pPr>
            <w:r>
              <w:rPr>
                <w:sz w:val="18"/>
              </w:rPr>
              <w:t>0.001648</w:t>
            </w:r>
          </w:p>
        </w:tc>
        <w:tc>
          <w:tcPr>
            <w:tcW w:w="1278" w:type="dxa"/>
            <w:tcBorders>
              <w:right w:val="single" w:sz="6" w:space="0" w:color="000000"/>
            </w:tcBorders>
          </w:tcPr>
          <w:p>
            <w:pPr>
              <w:pStyle w:val="TableParagraph"/>
              <w:spacing w:before="54"/>
              <w:ind w:left="198" w:right="169"/>
              <w:jc w:val="center"/>
              <w:rPr>
                <w:sz w:val="18"/>
              </w:rPr>
            </w:pPr>
            <w:r>
              <w:rPr>
                <w:sz w:val="18"/>
              </w:rPr>
              <w:t>0.989418</w:t>
            </w:r>
          </w:p>
        </w:tc>
      </w:tr>
      <w:tr>
        <w:trPr>
          <w:trHeight w:val="339"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2"/>
              <w:ind w:left="453"/>
              <w:rPr>
                <w:sz w:val="18"/>
              </w:rPr>
            </w:pPr>
            <w:r>
              <w:rPr>
                <w:sz w:val="18"/>
              </w:rPr>
              <w:t>6.D</w:t>
              <w:tab/>
              <w:t>CH</w:t>
            </w:r>
            <w:r>
              <w:rPr>
                <w:sz w:val="18"/>
                <w:vertAlign w:val="subscript"/>
              </w:rPr>
              <w:t>4</w:t>
            </w:r>
          </w:p>
        </w:tc>
        <w:tc>
          <w:tcPr>
            <w:tcW w:w="1200" w:type="dxa"/>
            <w:tcBorders>
              <w:left w:val="single" w:sz="4" w:space="0" w:color="000000"/>
            </w:tcBorders>
          </w:tcPr>
          <w:p>
            <w:pPr>
              <w:pStyle w:val="TableParagraph"/>
              <w:spacing w:before="52"/>
              <w:ind w:left="101" w:right="26"/>
              <w:jc w:val="center"/>
              <w:rPr>
                <w:sz w:val="18"/>
              </w:rPr>
            </w:pPr>
            <w:r>
              <w:rPr>
                <w:sz w:val="18"/>
              </w:rPr>
              <w:t>246</w:t>
            </w:r>
          </w:p>
        </w:tc>
        <w:tc>
          <w:tcPr>
            <w:tcW w:w="1334" w:type="dxa"/>
            <w:tcBorders>
              <w:right w:val="single" w:sz="4" w:space="0" w:color="000000"/>
            </w:tcBorders>
          </w:tcPr>
          <w:p>
            <w:pPr>
              <w:pStyle w:val="TableParagraph"/>
              <w:spacing w:before="52"/>
              <w:ind w:left="404" w:right="329"/>
              <w:jc w:val="center"/>
              <w:rPr>
                <w:sz w:val="18"/>
              </w:rPr>
            </w:pPr>
            <w:r>
              <w:rPr>
                <w:sz w:val="18"/>
              </w:rPr>
              <w:t>359</w:t>
            </w:r>
          </w:p>
        </w:tc>
        <w:tc>
          <w:tcPr>
            <w:tcW w:w="1267" w:type="dxa"/>
            <w:tcBorders>
              <w:left w:val="single" w:sz="4" w:space="0" w:color="000000"/>
              <w:right w:val="single" w:sz="4" w:space="0" w:color="000000"/>
            </w:tcBorders>
          </w:tcPr>
          <w:p>
            <w:pPr>
              <w:pStyle w:val="TableParagraph"/>
              <w:spacing w:before="52"/>
              <w:ind w:left="211" w:right="204"/>
              <w:jc w:val="center"/>
              <w:rPr>
                <w:sz w:val="18"/>
              </w:rPr>
            </w:pPr>
            <w:r>
              <w:rPr>
                <w:sz w:val="18"/>
              </w:rPr>
              <w:t>0.000245</w:t>
            </w:r>
          </w:p>
        </w:tc>
        <w:tc>
          <w:tcPr>
            <w:tcW w:w="1253" w:type="dxa"/>
            <w:tcBorders>
              <w:left w:val="single" w:sz="4" w:space="0" w:color="000000"/>
            </w:tcBorders>
          </w:tcPr>
          <w:p>
            <w:pPr>
              <w:pStyle w:val="TableParagraph"/>
              <w:spacing w:before="52"/>
              <w:ind w:left="276" w:right="255"/>
              <w:jc w:val="center"/>
              <w:rPr>
                <w:sz w:val="18"/>
              </w:rPr>
            </w:pPr>
            <w:r>
              <w:rPr>
                <w:sz w:val="18"/>
              </w:rPr>
              <w:t>0.001513</w:t>
            </w:r>
          </w:p>
        </w:tc>
        <w:tc>
          <w:tcPr>
            <w:tcW w:w="1278" w:type="dxa"/>
            <w:tcBorders>
              <w:right w:val="single" w:sz="6" w:space="0" w:color="000000"/>
            </w:tcBorders>
          </w:tcPr>
          <w:p>
            <w:pPr>
              <w:pStyle w:val="TableParagraph"/>
              <w:spacing w:before="52"/>
              <w:ind w:left="198" w:right="169"/>
              <w:jc w:val="center"/>
              <w:rPr>
                <w:sz w:val="18"/>
              </w:rPr>
            </w:pPr>
            <w:r>
              <w:rPr>
                <w:sz w:val="18"/>
              </w:rPr>
              <w:t>0.990931</w:t>
            </w:r>
          </w:p>
        </w:tc>
      </w:tr>
      <w:tr>
        <w:trPr>
          <w:trHeight w:val="340" w:hRule="atLeast"/>
        </w:trPr>
        <w:tc>
          <w:tcPr>
            <w:tcW w:w="1300" w:type="dxa"/>
            <w:tcBorders>
              <w:left w:val="single" w:sz="4" w:space="0" w:color="000000"/>
            </w:tcBorders>
          </w:tcPr>
          <w:p>
            <w:pPr>
              <w:pStyle w:val="TableParagraph"/>
              <w:spacing w:before="54"/>
              <w:ind w:left="453"/>
              <w:rPr>
                <w:sz w:val="18"/>
              </w:rPr>
            </w:pPr>
            <w:r>
              <w:rPr>
                <w:sz w:val="18"/>
              </w:rPr>
              <w:t>3.B</w:t>
            </w:r>
          </w:p>
        </w:tc>
        <w:tc>
          <w:tcPr>
            <w:tcW w:w="1247" w:type="dxa"/>
            <w:tcBorders>
              <w:right w:val="single" w:sz="4" w:space="0" w:color="000000"/>
            </w:tcBorders>
          </w:tcPr>
          <w:p>
            <w:pPr>
              <w:pStyle w:val="TableParagraph"/>
              <w:spacing w:before="54"/>
              <w:ind w:right="495"/>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54"/>
              <w:ind w:left="101" w:right="26"/>
              <w:jc w:val="center"/>
              <w:rPr>
                <w:sz w:val="18"/>
              </w:rPr>
            </w:pPr>
            <w:r>
              <w:rPr>
                <w:sz w:val="18"/>
              </w:rPr>
              <w:t>252</w:t>
            </w:r>
          </w:p>
        </w:tc>
        <w:tc>
          <w:tcPr>
            <w:tcW w:w="1334" w:type="dxa"/>
            <w:tcBorders>
              <w:right w:val="single" w:sz="4" w:space="0" w:color="000000"/>
            </w:tcBorders>
          </w:tcPr>
          <w:p>
            <w:pPr>
              <w:pStyle w:val="TableParagraph"/>
              <w:spacing w:before="54"/>
              <w:ind w:left="404" w:right="329"/>
              <w:jc w:val="center"/>
              <w:rPr>
                <w:sz w:val="18"/>
              </w:rPr>
            </w:pPr>
            <w:r>
              <w:rPr>
                <w:sz w:val="18"/>
              </w:rPr>
              <w:t>136</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0.000226</w:t>
            </w:r>
          </w:p>
        </w:tc>
        <w:tc>
          <w:tcPr>
            <w:tcW w:w="1253" w:type="dxa"/>
            <w:tcBorders>
              <w:left w:val="single" w:sz="4" w:space="0" w:color="000000"/>
            </w:tcBorders>
          </w:tcPr>
          <w:p>
            <w:pPr>
              <w:pStyle w:val="TableParagraph"/>
              <w:spacing w:before="54"/>
              <w:ind w:left="276" w:right="255"/>
              <w:jc w:val="center"/>
              <w:rPr>
                <w:sz w:val="18"/>
              </w:rPr>
            </w:pPr>
            <w:r>
              <w:rPr>
                <w:sz w:val="18"/>
              </w:rPr>
              <w:t>0.001394</w:t>
            </w:r>
          </w:p>
        </w:tc>
        <w:tc>
          <w:tcPr>
            <w:tcW w:w="1278" w:type="dxa"/>
            <w:tcBorders>
              <w:right w:val="single" w:sz="6" w:space="0" w:color="000000"/>
            </w:tcBorders>
          </w:tcPr>
          <w:p>
            <w:pPr>
              <w:pStyle w:val="TableParagraph"/>
              <w:spacing w:before="54"/>
              <w:ind w:left="198" w:right="169"/>
              <w:jc w:val="center"/>
              <w:rPr>
                <w:sz w:val="18"/>
              </w:rPr>
            </w:pPr>
            <w:r>
              <w:rPr>
                <w:sz w:val="18"/>
              </w:rPr>
              <w:t>0.992325</w:t>
            </w:r>
          </w:p>
        </w:tc>
      </w:tr>
      <w:tr>
        <w:trPr>
          <w:trHeight w:val="339" w:hRule="atLeast"/>
        </w:trPr>
        <w:tc>
          <w:tcPr>
            <w:tcW w:w="1300" w:type="dxa"/>
            <w:tcBorders>
              <w:left w:val="single" w:sz="4" w:space="0" w:color="000000"/>
            </w:tcBorders>
          </w:tcPr>
          <w:p>
            <w:pPr>
              <w:pStyle w:val="TableParagraph"/>
              <w:spacing w:before="54"/>
              <w:ind w:left="453"/>
              <w:rPr>
                <w:sz w:val="18"/>
              </w:rPr>
            </w:pPr>
            <w:r>
              <w:rPr>
                <w:sz w:val="18"/>
              </w:rPr>
              <w:t>1.AA.2</w:t>
            </w:r>
          </w:p>
        </w:tc>
        <w:tc>
          <w:tcPr>
            <w:tcW w:w="1247" w:type="dxa"/>
            <w:tcBorders>
              <w:right w:val="single" w:sz="4" w:space="0" w:color="000000"/>
            </w:tcBorders>
          </w:tcPr>
          <w:p>
            <w:pPr>
              <w:pStyle w:val="TableParagraph"/>
              <w:spacing w:before="54"/>
              <w:ind w:right="485"/>
              <w:jc w:val="right"/>
              <w:rPr>
                <w:sz w:val="18"/>
              </w:rPr>
            </w:pPr>
            <w:r>
              <w:rPr>
                <w:w w:val="95"/>
                <w:sz w:val="18"/>
              </w:rPr>
              <w:t>N</w:t>
            </w:r>
            <w:r>
              <w:rPr>
                <w:w w:val="95"/>
                <w:sz w:val="18"/>
                <w:vertAlign w:val="subscript"/>
              </w:rPr>
              <w:t>2</w:t>
            </w:r>
            <w:r>
              <w:rPr>
                <w:w w:val="95"/>
                <w:sz w:val="18"/>
                <w:vertAlign w:val="baseline"/>
              </w:rPr>
              <w:t>O</w:t>
            </w:r>
          </w:p>
        </w:tc>
        <w:tc>
          <w:tcPr>
            <w:tcW w:w="1200" w:type="dxa"/>
            <w:tcBorders>
              <w:left w:val="single" w:sz="4" w:space="0" w:color="000000"/>
            </w:tcBorders>
          </w:tcPr>
          <w:p>
            <w:pPr>
              <w:pStyle w:val="TableParagraph"/>
              <w:spacing w:before="54"/>
              <w:ind w:left="100" w:right="26"/>
              <w:jc w:val="center"/>
              <w:rPr>
                <w:sz w:val="18"/>
              </w:rPr>
            </w:pPr>
            <w:r>
              <w:rPr>
                <w:sz w:val="18"/>
              </w:rPr>
              <w:t>731</w:t>
            </w:r>
          </w:p>
        </w:tc>
        <w:tc>
          <w:tcPr>
            <w:tcW w:w="1334" w:type="dxa"/>
            <w:tcBorders>
              <w:right w:val="single" w:sz="4" w:space="0" w:color="000000"/>
            </w:tcBorders>
          </w:tcPr>
          <w:p>
            <w:pPr>
              <w:pStyle w:val="TableParagraph"/>
              <w:spacing w:before="54"/>
              <w:ind w:left="404" w:right="329"/>
              <w:jc w:val="center"/>
              <w:rPr>
                <w:sz w:val="18"/>
              </w:rPr>
            </w:pPr>
            <w:r>
              <w:rPr>
                <w:sz w:val="18"/>
              </w:rPr>
              <w:t>796</w:t>
            </w:r>
          </w:p>
        </w:tc>
        <w:tc>
          <w:tcPr>
            <w:tcW w:w="1267" w:type="dxa"/>
            <w:tcBorders>
              <w:left w:val="single" w:sz="4" w:space="0" w:color="000000"/>
              <w:right w:val="single" w:sz="4" w:space="0" w:color="000000"/>
            </w:tcBorders>
          </w:tcPr>
          <w:p>
            <w:pPr>
              <w:pStyle w:val="TableParagraph"/>
              <w:spacing w:before="54"/>
              <w:ind w:left="209" w:right="204"/>
              <w:jc w:val="center"/>
              <w:rPr>
                <w:sz w:val="18"/>
              </w:rPr>
            </w:pPr>
            <w:r>
              <w:rPr>
                <w:sz w:val="18"/>
              </w:rPr>
              <w:t>0.00017</w:t>
            </w:r>
          </w:p>
        </w:tc>
        <w:tc>
          <w:tcPr>
            <w:tcW w:w="1253" w:type="dxa"/>
            <w:tcBorders>
              <w:left w:val="single" w:sz="4" w:space="0" w:color="000000"/>
            </w:tcBorders>
          </w:tcPr>
          <w:p>
            <w:pPr>
              <w:pStyle w:val="TableParagraph"/>
              <w:spacing w:before="54"/>
              <w:ind w:left="276" w:right="255"/>
              <w:jc w:val="center"/>
              <w:rPr>
                <w:sz w:val="18"/>
              </w:rPr>
            </w:pPr>
            <w:r>
              <w:rPr>
                <w:sz w:val="18"/>
              </w:rPr>
              <w:t>0.001049</w:t>
            </w:r>
          </w:p>
        </w:tc>
        <w:tc>
          <w:tcPr>
            <w:tcW w:w="1278" w:type="dxa"/>
            <w:tcBorders>
              <w:right w:val="single" w:sz="6" w:space="0" w:color="000000"/>
            </w:tcBorders>
          </w:tcPr>
          <w:p>
            <w:pPr>
              <w:pStyle w:val="TableParagraph"/>
              <w:spacing w:before="54"/>
              <w:ind w:left="197" w:right="169"/>
              <w:jc w:val="center"/>
              <w:rPr>
                <w:sz w:val="18"/>
              </w:rPr>
            </w:pPr>
            <w:r>
              <w:rPr>
                <w:sz w:val="18"/>
              </w:rPr>
              <w:t>0.993374</w:t>
            </w:r>
          </w:p>
        </w:tc>
      </w:tr>
      <w:tr>
        <w:trPr>
          <w:trHeight w:val="339"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2"/>
              <w:ind w:left="453"/>
              <w:rPr>
                <w:sz w:val="18"/>
              </w:rPr>
            </w:pPr>
            <w:r>
              <w:rPr>
                <w:sz w:val="18"/>
              </w:rPr>
              <w:t>3.A</w:t>
              <w:tab/>
              <w:t>CO</w:t>
            </w:r>
            <w:r>
              <w:rPr>
                <w:sz w:val="18"/>
                <w:vertAlign w:val="subscript"/>
              </w:rPr>
              <w:t>2</w:t>
            </w:r>
          </w:p>
        </w:tc>
        <w:tc>
          <w:tcPr>
            <w:tcW w:w="1200" w:type="dxa"/>
            <w:tcBorders>
              <w:left w:val="single" w:sz="4" w:space="0" w:color="000000"/>
            </w:tcBorders>
          </w:tcPr>
          <w:p>
            <w:pPr>
              <w:pStyle w:val="TableParagraph"/>
              <w:spacing w:before="52"/>
              <w:ind w:left="101" w:right="26"/>
              <w:jc w:val="center"/>
              <w:rPr>
                <w:sz w:val="18"/>
              </w:rPr>
            </w:pPr>
            <w:r>
              <w:rPr>
                <w:sz w:val="18"/>
              </w:rPr>
              <w:t>920</w:t>
            </w:r>
          </w:p>
        </w:tc>
        <w:tc>
          <w:tcPr>
            <w:tcW w:w="1334" w:type="dxa"/>
            <w:tcBorders>
              <w:right w:val="single" w:sz="4" w:space="0" w:color="000000"/>
            </w:tcBorders>
          </w:tcPr>
          <w:p>
            <w:pPr>
              <w:pStyle w:val="TableParagraph"/>
              <w:spacing w:before="52"/>
              <w:ind w:left="404" w:right="329"/>
              <w:jc w:val="center"/>
              <w:rPr>
                <w:sz w:val="18"/>
              </w:rPr>
            </w:pPr>
            <w:r>
              <w:rPr>
                <w:sz w:val="18"/>
              </w:rPr>
              <w:t>823</w:t>
            </w:r>
          </w:p>
        </w:tc>
        <w:tc>
          <w:tcPr>
            <w:tcW w:w="1267" w:type="dxa"/>
            <w:tcBorders>
              <w:left w:val="single" w:sz="4" w:space="0" w:color="000000"/>
              <w:right w:val="single" w:sz="4" w:space="0" w:color="000000"/>
            </w:tcBorders>
          </w:tcPr>
          <w:p>
            <w:pPr>
              <w:pStyle w:val="TableParagraph"/>
              <w:spacing w:before="52"/>
              <w:ind w:left="211" w:right="204"/>
              <w:jc w:val="center"/>
              <w:rPr>
                <w:sz w:val="18"/>
              </w:rPr>
            </w:pPr>
            <w:r>
              <w:rPr>
                <w:sz w:val="18"/>
              </w:rPr>
              <w:t>0.000153</w:t>
            </w:r>
          </w:p>
        </w:tc>
        <w:tc>
          <w:tcPr>
            <w:tcW w:w="1253" w:type="dxa"/>
            <w:tcBorders>
              <w:left w:val="single" w:sz="4" w:space="0" w:color="000000"/>
            </w:tcBorders>
          </w:tcPr>
          <w:p>
            <w:pPr>
              <w:pStyle w:val="TableParagraph"/>
              <w:spacing w:before="52"/>
              <w:ind w:left="276" w:right="255"/>
              <w:jc w:val="center"/>
              <w:rPr>
                <w:sz w:val="18"/>
              </w:rPr>
            </w:pPr>
            <w:r>
              <w:rPr>
                <w:sz w:val="18"/>
              </w:rPr>
              <w:t>0.000943</w:t>
            </w:r>
          </w:p>
        </w:tc>
        <w:tc>
          <w:tcPr>
            <w:tcW w:w="1278" w:type="dxa"/>
            <w:tcBorders>
              <w:right w:val="single" w:sz="6" w:space="0" w:color="000000"/>
            </w:tcBorders>
          </w:tcPr>
          <w:p>
            <w:pPr>
              <w:pStyle w:val="TableParagraph"/>
              <w:spacing w:before="52"/>
              <w:ind w:left="198" w:right="169"/>
              <w:jc w:val="center"/>
              <w:rPr>
                <w:sz w:val="18"/>
              </w:rPr>
            </w:pPr>
            <w:r>
              <w:rPr>
                <w:sz w:val="18"/>
              </w:rPr>
              <w:t>0.994317</w:t>
            </w:r>
          </w:p>
        </w:tc>
      </w:tr>
      <w:tr>
        <w:trPr>
          <w:trHeight w:val="340"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4"/>
              <w:ind w:left="453"/>
              <w:rPr>
                <w:sz w:val="18"/>
              </w:rPr>
            </w:pPr>
            <w:r>
              <w:rPr>
                <w:sz w:val="18"/>
              </w:rPr>
              <w:t>6.B</w:t>
              <w:tab/>
              <w:t>N</w:t>
            </w:r>
            <w:r>
              <w:rPr>
                <w:sz w:val="18"/>
                <w:vertAlign w:val="subscript"/>
              </w:rPr>
              <w:t>2</w:t>
            </w:r>
            <w:r>
              <w:rPr>
                <w:sz w:val="18"/>
                <w:vertAlign w:val="baseline"/>
              </w:rPr>
              <w:t>O</w:t>
            </w:r>
          </w:p>
        </w:tc>
        <w:tc>
          <w:tcPr>
            <w:tcW w:w="1200" w:type="dxa"/>
            <w:tcBorders>
              <w:left w:val="single" w:sz="4" w:space="0" w:color="000000"/>
            </w:tcBorders>
          </w:tcPr>
          <w:p>
            <w:pPr>
              <w:pStyle w:val="TableParagraph"/>
              <w:spacing w:before="54"/>
              <w:ind w:left="100" w:right="26"/>
              <w:jc w:val="center"/>
              <w:rPr>
                <w:sz w:val="18"/>
              </w:rPr>
            </w:pPr>
            <w:r>
              <w:rPr>
                <w:sz w:val="18"/>
              </w:rPr>
              <w:t>612</w:t>
            </w:r>
          </w:p>
        </w:tc>
        <w:tc>
          <w:tcPr>
            <w:tcW w:w="1334" w:type="dxa"/>
            <w:tcBorders>
              <w:right w:val="single" w:sz="4" w:space="0" w:color="000000"/>
            </w:tcBorders>
          </w:tcPr>
          <w:p>
            <w:pPr>
              <w:pStyle w:val="TableParagraph"/>
              <w:spacing w:before="54"/>
              <w:ind w:left="404" w:right="329"/>
              <w:jc w:val="center"/>
              <w:rPr>
                <w:sz w:val="18"/>
              </w:rPr>
            </w:pPr>
            <w:r>
              <w:rPr>
                <w:sz w:val="18"/>
              </w:rPr>
              <w:t>665</w:t>
            </w:r>
          </w:p>
        </w:tc>
        <w:tc>
          <w:tcPr>
            <w:tcW w:w="1267" w:type="dxa"/>
            <w:tcBorders>
              <w:left w:val="single" w:sz="4" w:space="0" w:color="000000"/>
              <w:right w:val="single" w:sz="4" w:space="0" w:color="000000"/>
            </w:tcBorders>
          </w:tcPr>
          <w:p>
            <w:pPr>
              <w:pStyle w:val="TableParagraph"/>
              <w:spacing w:before="54"/>
              <w:ind w:left="209" w:right="204"/>
              <w:jc w:val="center"/>
              <w:rPr>
                <w:sz w:val="18"/>
              </w:rPr>
            </w:pPr>
            <w:r>
              <w:rPr>
                <w:sz w:val="18"/>
              </w:rPr>
              <w:t>0.00014</w:t>
            </w:r>
          </w:p>
        </w:tc>
        <w:tc>
          <w:tcPr>
            <w:tcW w:w="1253" w:type="dxa"/>
            <w:tcBorders>
              <w:left w:val="single" w:sz="4" w:space="0" w:color="000000"/>
            </w:tcBorders>
          </w:tcPr>
          <w:p>
            <w:pPr>
              <w:pStyle w:val="TableParagraph"/>
              <w:spacing w:before="54"/>
              <w:ind w:left="276" w:right="255"/>
              <w:jc w:val="center"/>
              <w:rPr>
                <w:sz w:val="18"/>
              </w:rPr>
            </w:pPr>
            <w:r>
              <w:rPr>
                <w:sz w:val="18"/>
              </w:rPr>
              <w:t>0.000861</w:t>
            </w:r>
          </w:p>
        </w:tc>
        <w:tc>
          <w:tcPr>
            <w:tcW w:w="1278" w:type="dxa"/>
            <w:tcBorders>
              <w:right w:val="single" w:sz="6" w:space="0" w:color="000000"/>
            </w:tcBorders>
          </w:tcPr>
          <w:p>
            <w:pPr>
              <w:pStyle w:val="TableParagraph"/>
              <w:spacing w:before="54"/>
              <w:ind w:left="197" w:right="169"/>
              <w:jc w:val="center"/>
              <w:rPr>
                <w:sz w:val="18"/>
              </w:rPr>
            </w:pPr>
            <w:r>
              <w:rPr>
                <w:sz w:val="18"/>
              </w:rPr>
              <w:t>0.995178</w:t>
            </w:r>
          </w:p>
        </w:tc>
      </w:tr>
      <w:tr>
        <w:trPr>
          <w:trHeight w:val="339" w:hRule="atLeast"/>
        </w:trPr>
        <w:tc>
          <w:tcPr>
            <w:tcW w:w="2547" w:type="dxa"/>
            <w:gridSpan w:val="2"/>
            <w:tcBorders>
              <w:left w:val="single" w:sz="4" w:space="0" w:color="000000"/>
              <w:right w:val="single" w:sz="4" w:space="0" w:color="000000"/>
            </w:tcBorders>
          </w:tcPr>
          <w:p>
            <w:pPr>
              <w:pStyle w:val="TableParagraph"/>
              <w:tabs>
                <w:tab w:pos="1729" w:val="left" w:leader="none"/>
              </w:tabs>
              <w:spacing w:before="54"/>
              <w:ind w:left="453"/>
              <w:rPr>
                <w:sz w:val="18"/>
              </w:rPr>
            </w:pPr>
            <w:r>
              <w:rPr>
                <w:sz w:val="18"/>
              </w:rPr>
              <w:t>5.E</w:t>
              <w:tab/>
              <w:t>CH</w:t>
            </w:r>
            <w:r>
              <w:rPr>
                <w:sz w:val="18"/>
                <w:vertAlign w:val="subscript"/>
              </w:rPr>
              <w:t>4</w:t>
            </w:r>
          </w:p>
        </w:tc>
        <w:tc>
          <w:tcPr>
            <w:tcW w:w="1200" w:type="dxa"/>
            <w:tcBorders>
              <w:left w:val="single" w:sz="4" w:space="0" w:color="000000"/>
            </w:tcBorders>
          </w:tcPr>
          <w:p>
            <w:pPr>
              <w:pStyle w:val="TableParagraph"/>
              <w:spacing w:before="54"/>
              <w:ind w:left="97" w:right="26"/>
              <w:jc w:val="center"/>
              <w:rPr>
                <w:sz w:val="18"/>
              </w:rPr>
            </w:pPr>
            <w:r>
              <w:rPr>
                <w:sz w:val="18"/>
              </w:rPr>
              <w:t>1861</w:t>
            </w:r>
          </w:p>
        </w:tc>
        <w:tc>
          <w:tcPr>
            <w:tcW w:w="1334" w:type="dxa"/>
            <w:tcBorders>
              <w:right w:val="single" w:sz="4" w:space="0" w:color="000000"/>
            </w:tcBorders>
          </w:tcPr>
          <w:p>
            <w:pPr>
              <w:pStyle w:val="TableParagraph"/>
              <w:spacing w:before="54"/>
              <w:ind w:left="401" w:right="329"/>
              <w:jc w:val="center"/>
              <w:rPr>
                <w:sz w:val="18"/>
              </w:rPr>
            </w:pPr>
            <w:r>
              <w:rPr>
                <w:sz w:val="18"/>
              </w:rPr>
              <w:t>1880</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0.000134</w:t>
            </w:r>
          </w:p>
        </w:tc>
        <w:tc>
          <w:tcPr>
            <w:tcW w:w="1253" w:type="dxa"/>
            <w:tcBorders>
              <w:left w:val="single" w:sz="4" w:space="0" w:color="000000"/>
            </w:tcBorders>
          </w:tcPr>
          <w:p>
            <w:pPr>
              <w:pStyle w:val="TableParagraph"/>
              <w:spacing w:before="54"/>
              <w:ind w:left="276" w:right="255"/>
              <w:jc w:val="center"/>
              <w:rPr>
                <w:sz w:val="18"/>
              </w:rPr>
            </w:pPr>
            <w:r>
              <w:rPr>
                <w:sz w:val="18"/>
              </w:rPr>
              <w:t>0.000824</w:t>
            </w:r>
          </w:p>
        </w:tc>
        <w:tc>
          <w:tcPr>
            <w:tcW w:w="1278" w:type="dxa"/>
            <w:tcBorders>
              <w:right w:val="single" w:sz="6" w:space="0" w:color="000000"/>
            </w:tcBorders>
          </w:tcPr>
          <w:p>
            <w:pPr>
              <w:pStyle w:val="TableParagraph"/>
              <w:spacing w:before="54"/>
              <w:ind w:left="196" w:right="169"/>
              <w:jc w:val="center"/>
              <w:rPr>
                <w:sz w:val="18"/>
              </w:rPr>
            </w:pPr>
            <w:r>
              <w:rPr>
                <w:sz w:val="18"/>
              </w:rPr>
              <w:t>0.996002</w:t>
            </w:r>
          </w:p>
        </w:tc>
      </w:tr>
      <w:tr>
        <w:trPr>
          <w:trHeight w:val="339"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2"/>
              <w:ind w:left="453"/>
              <w:rPr>
                <w:sz w:val="18"/>
              </w:rPr>
            </w:pPr>
            <w:r>
              <w:rPr>
                <w:sz w:val="18"/>
              </w:rPr>
              <w:t>4.B</w:t>
              <w:tab/>
              <w:t>N</w:t>
            </w:r>
            <w:r>
              <w:rPr>
                <w:sz w:val="18"/>
                <w:vertAlign w:val="subscript"/>
              </w:rPr>
              <w:t>2</w:t>
            </w:r>
            <w:r>
              <w:rPr>
                <w:sz w:val="18"/>
                <w:vertAlign w:val="baseline"/>
              </w:rPr>
              <w:t>O</w:t>
            </w:r>
          </w:p>
        </w:tc>
        <w:tc>
          <w:tcPr>
            <w:tcW w:w="1200" w:type="dxa"/>
            <w:tcBorders>
              <w:left w:val="single" w:sz="4" w:space="0" w:color="000000"/>
            </w:tcBorders>
          </w:tcPr>
          <w:p>
            <w:pPr>
              <w:pStyle w:val="TableParagraph"/>
              <w:spacing w:before="52"/>
              <w:ind w:left="96" w:right="26"/>
              <w:jc w:val="center"/>
              <w:rPr>
                <w:sz w:val="18"/>
              </w:rPr>
            </w:pPr>
            <w:r>
              <w:rPr>
                <w:sz w:val="18"/>
              </w:rPr>
              <w:t>3249</w:t>
            </w:r>
          </w:p>
        </w:tc>
        <w:tc>
          <w:tcPr>
            <w:tcW w:w="1334" w:type="dxa"/>
            <w:tcBorders>
              <w:right w:val="single" w:sz="4" w:space="0" w:color="000000"/>
            </w:tcBorders>
          </w:tcPr>
          <w:p>
            <w:pPr>
              <w:pStyle w:val="TableParagraph"/>
              <w:spacing w:before="52"/>
              <w:ind w:left="400" w:right="329"/>
              <w:jc w:val="center"/>
              <w:rPr>
                <w:sz w:val="18"/>
              </w:rPr>
            </w:pPr>
            <w:r>
              <w:rPr>
                <w:sz w:val="18"/>
              </w:rPr>
              <w:t>3109</w:t>
            </w:r>
          </w:p>
        </w:tc>
        <w:tc>
          <w:tcPr>
            <w:tcW w:w="1267" w:type="dxa"/>
            <w:tcBorders>
              <w:left w:val="single" w:sz="4" w:space="0" w:color="000000"/>
              <w:right w:val="single" w:sz="4" w:space="0" w:color="000000"/>
            </w:tcBorders>
          </w:tcPr>
          <w:p>
            <w:pPr>
              <w:pStyle w:val="TableParagraph"/>
              <w:spacing w:before="52"/>
              <w:ind w:left="209" w:right="204"/>
              <w:jc w:val="center"/>
              <w:rPr>
                <w:sz w:val="18"/>
              </w:rPr>
            </w:pPr>
            <w:r>
              <w:rPr>
                <w:sz w:val="18"/>
              </w:rPr>
              <w:t>0.000124</w:t>
            </w:r>
          </w:p>
        </w:tc>
        <w:tc>
          <w:tcPr>
            <w:tcW w:w="1253" w:type="dxa"/>
            <w:tcBorders>
              <w:left w:val="single" w:sz="4" w:space="0" w:color="000000"/>
            </w:tcBorders>
          </w:tcPr>
          <w:p>
            <w:pPr>
              <w:pStyle w:val="TableParagraph"/>
              <w:spacing w:before="52"/>
              <w:ind w:left="275" w:right="255"/>
              <w:jc w:val="center"/>
              <w:rPr>
                <w:sz w:val="18"/>
              </w:rPr>
            </w:pPr>
            <w:r>
              <w:rPr>
                <w:sz w:val="18"/>
              </w:rPr>
              <w:t>0.000766</w:t>
            </w:r>
          </w:p>
        </w:tc>
        <w:tc>
          <w:tcPr>
            <w:tcW w:w="1278" w:type="dxa"/>
            <w:tcBorders>
              <w:right w:val="single" w:sz="6" w:space="0" w:color="000000"/>
            </w:tcBorders>
          </w:tcPr>
          <w:p>
            <w:pPr>
              <w:pStyle w:val="TableParagraph"/>
              <w:spacing w:before="52"/>
              <w:ind w:left="196" w:right="169"/>
              <w:jc w:val="center"/>
              <w:rPr>
                <w:sz w:val="18"/>
              </w:rPr>
            </w:pPr>
            <w:r>
              <w:rPr>
                <w:sz w:val="18"/>
              </w:rPr>
              <w:t>0.996768</w:t>
            </w:r>
          </w:p>
        </w:tc>
      </w:tr>
      <w:tr>
        <w:trPr>
          <w:trHeight w:val="340" w:hRule="atLeast"/>
        </w:trPr>
        <w:tc>
          <w:tcPr>
            <w:tcW w:w="1300" w:type="dxa"/>
            <w:tcBorders>
              <w:left w:val="single" w:sz="4" w:space="0" w:color="000000"/>
            </w:tcBorders>
          </w:tcPr>
          <w:p>
            <w:pPr>
              <w:pStyle w:val="TableParagraph"/>
              <w:spacing w:before="54"/>
              <w:ind w:left="453"/>
              <w:rPr>
                <w:sz w:val="18"/>
              </w:rPr>
            </w:pPr>
            <w:r>
              <w:rPr>
                <w:sz w:val="18"/>
              </w:rPr>
              <w:t>6.C</w:t>
            </w:r>
          </w:p>
        </w:tc>
        <w:tc>
          <w:tcPr>
            <w:tcW w:w="1247" w:type="dxa"/>
            <w:tcBorders>
              <w:right w:val="single" w:sz="4" w:space="0" w:color="000000"/>
            </w:tcBorders>
          </w:tcPr>
          <w:p>
            <w:pPr>
              <w:pStyle w:val="TableParagraph"/>
              <w:spacing w:before="54"/>
              <w:ind w:right="495"/>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4"/>
              <w:ind w:left="101" w:right="26"/>
              <w:jc w:val="center"/>
              <w:rPr>
                <w:sz w:val="18"/>
              </w:rPr>
            </w:pPr>
            <w:r>
              <w:rPr>
                <w:sz w:val="18"/>
              </w:rPr>
              <w:t>320</w:t>
            </w:r>
          </w:p>
        </w:tc>
        <w:tc>
          <w:tcPr>
            <w:tcW w:w="1334" w:type="dxa"/>
            <w:tcBorders>
              <w:right w:val="single" w:sz="4" w:space="0" w:color="000000"/>
            </w:tcBorders>
          </w:tcPr>
          <w:p>
            <w:pPr>
              <w:pStyle w:val="TableParagraph"/>
              <w:spacing w:before="54"/>
              <w:ind w:left="404" w:right="329"/>
              <w:jc w:val="center"/>
              <w:rPr>
                <w:sz w:val="18"/>
              </w:rPr>
            </w:pPr>
            <w:r>
              <w:rPr>
                <w:sz w:val="18"/>
              </w:rPr>
              <w:t>368</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0.000115</w:t>
            </w:r>
          </w:p>
        </w:tc>
        <w:tc>
          <w:tcPr>
            <w:tcW w:w="1253" w:type="dxa"/>
            <w:tcBorders>
              <w:left w:val="single" w:sz="4" w:space="0" w:color="000000"/>
            </w:tcBorders>
          </w:tcPr>
          <w:p>
            <w:pPr>
              <w:pStyle w:val="TableParagraph"/>
              <w:spacing w:before="54"/>
              <w:ind w:left="276" w:right="255"/>
              <w:jc w:val="center"/>
              <w:rPr>
                <w:sz w:val="18"/>
              </w:rPr>
            </w:pPr>
            <w:r>
              <w:rPr>
                <w:sz w:val="18"/>
              </w:rPr>
              <w:t>0.000708</w:t>
            </w:r>
          </w:p>
        </w:tc>
        <w:tc>
          <w:tcPr>
            <w:tcW w:w="1278" w:type="dxa"/>
            <w:tcBorders>
              <w:right w:val="single" w:sz="6" w:space="0" w:color="000000"/>
            </w:tcBorders>
          </w:tcPr>
          <w:p>
            <w:pPr>
              <w:pStyle w:val="TableParagraph"/>
              <w:spacing w:before="54"/>
              <w:ind w:left="198" w:right="169"/>
              <w:jc w:val="center"/>
              <w:rPr>
                <w:sz w:val="18"/>
              </w:rPr>
            </w:pPr>
            <w:r>
              <w:rPr>
                <w:sz w:val="18"/>
              </w:rPr>
              <w:t>0.997477</w:t>
            </w:r>
          </w:p>
        </w:tc>
      </w:tr>
      <w:tr>
        <w:trPr>
          <w:trHeight w:val="339" w:hRule="atLeast"/>
        </w:trPr>
        <w:tc>
          <w:tcPr>
            <w:tcW w:w="2547" w:type="dxa"/>
            <w:gridSpan w:val="2"/>
            <w:tcBorders>
              <w:left w:val="single" w:sz="4" w:space="0" w:color="000000"/>
              <w:right w:val="single" w:sz="4" w:space="0" w:color="000000"/>
            </w:tcBorders>
          </w:tcPr>
          <w:p>
            <w:pPr>
              <w:pStyle w:val="TableParagraph"/>
              <w:tabs>
                <w:tab w:pos="1730" w:val="left" w:leader="none"/>
              </w:tabs>
              <w:spacing w:before="54"/>
              <w:ind w:left="453"/>
              <w:rPr>
                <w:sz w:val="18"/>
              </w:rPr>
            </w:pPr>
            <w:r>
              <w:rPr>
                <w:sz w:val="18"/>
              </w:rPr>
              <w:t>6.C</w:t>
              <w:tab/>
              <w:t>N</w:t>
            </w:r>
            <w:r>
              <w:rPr>
                <w:sz w:val="18"/>
                <w:vertAlign w:val="subscript"/>
              </w:rPr>
              <w:t>2</w:t>
            </w:r>
            <w:r>
              <w:rPr>
                <w:sz w:val="18"/>
                <w:vertAlign w:val="baseline"/>
              </w:rPr>
              <w:t>O</w:t>
            </w:r>
          </w:p>
        </w:tc>
        <w:tc>
          <w:tcPr>
            <w:tcW w:w="1200" w:type="dxa"/>
            <w:tcBorders>
              <w:left w:val="single" w:sz="4" w:space="0" w:color="000000"/>
            </w:tcBorders>
          </w:tcPr>
          <w:p>
            <w:pPr>
              <w:pStyle w:val="TableParagraph"/>
              <w:spacing w:before="54"/>
              <w:ind w:left="100" w:right="26"/>
              <w:jc w:val="center"/>
              <w:rPr>
                <w:sz w:val="18"/>
              </w:rPr>
            </w:pPr>
            <w:r>
              <w:rPr>
                <w:sz w:val="18"/>
              </w:rPr>
              <w:t>357</w:t>
            </w:r>
          </w:p>
        </w:tc>
        <w:tc>
          <w:tcPr>
            <w:tcW w:w="1334" w:type="dxa"/>
            <w:tcBorders>
              <w:right w:val="single" w:sz="4" w:space="0" w:color="000000"/>
            </w:tcBorders>
          </w:tcPr>
          <w:p>
            <w:pPr>
              <w:pStyle w:val="TableParagraph"/>
              <w:spacing w:before="54"/>
              <w:ind w:left="404" w:right="329"/>
              <w:jc w:val="center"/>
              <w:rPr>
                <w:sz w:val="18"/>
              </w:rPr>
            </w:pPr>
            <w:r>
              <w:rPr>
                <w:sz w:val="18"/>
              </w:rPr>
              <w:t>402</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0.000112</w:t>
            </w:r>
          </w:p>
        </w:tc>
        <w:tc>
          <w:tcPr>
            <w:tcW w:w="1253" w:type="dxa"/>
            <w:tcBorders>
              <w:left w:val="single" w:sz="4" w:space="0" w:color="000000"/>
            </w:tcBorders>
          </w:tcPr>
          <w:p>
            <w:pPr>
              <w:pStyle w:val="TableParagraph"/>
              <w:spacing w:before="54"/>
              <w:ind w:left="276" w:right="255"/>
              <w:jc w:val="center"/>
              <w:rPr>
                <w:sz w:val="18"/>
              </w:rPr>
            </w:pPr>
            <w:r>
              <w:rPr>
                <w:sz w:val="18"/>
              </w:rPr>
              <w:t>0.000689</w:t>
            </w:r>
          </w:p>
        </w:tc>
        <w:tc>
          <w:tcPr>
            <w:tcW w:w="1278" w:type="dxa"/>
            <w:tcBorders>
              <w:right w:val="single" w:sz="6" w:space="0" w:color="000000"/>
            </w:tcBorders>
          </w:tcPr>
          <w:p>
            <w:pPr>
              <w:pStyle w:val="TableParagraph"/>
              <w:spacing w:before="54"/>
              <w:ind w:left="197" w:right="169"/>
              <w:jc w:val="center"/>
              <w:rPr>
                <w:sz w:val="18"/>
              </w:rPr>
            </w:pPr>
            <w:r>
              <w:rPr>
                <w:sz w:val="18"/>
              </w:rPr>
              <w:t>0.998166</w:t>
            </w:r>
          </w:p>
        </w:tc>
      </w:tr>
      <w:tr>
        <w:trPr>
          <w:trHeight w:val="331" w:hRule="atLeast"/>
        </w:trPr>
        <w:tc>
          <w:tcPr>
            <w:tcW w:w="2547" w:type="dxa"/>
            <w:gridSpan w:val="2"/>
            <w:tcBorders>
              <w:left w:val="single" w:sz="4" w:space="0" w:color="000000"/>
              <w:bottom w:val="single" w:sz="4" w:space="0" w:color="000000"/>
              <w:right w:val="single" w:sz="4" w:space="0" w:color="000000"/>
            </w:tcBorders>
          </w:tcPr>
          <w:p>
            <w:pPr>
              <w:pStyle w:val="TableParagraph"/>
              <w:tabs>
                <w:tab w:pos="1730" w:val="left" w:leader="none"/>
              </w:tabs>
              <w:spacing w:before="52"/>
              <w:ind w:left="453"/>
              <w:rPr>
                <w:sz w:val="18"/>
              </w:rPr>
            </w:pPr>
            <w:r>
              <w:rPr>
                <w:sz w:val="18"/>
              </w:rPr>
              <w:t>3.D</w:t>
              <w:tab/>
              <w:t>N</w:t>
            </w:r>
            <w:r>
              <w:rPr>
                <w:sz w:val="18"/>
                <w:vertAlign w:val="subscript"/>
              </w:rPr>
              <w:t>2</w:t>
            </w:r>
            <w:r>
              <w:rPr>
                <w:sz w:val="18"/>
                <w:vertAlign w:val="baseline"/>
              </w:rPr>
              <w:t>O</w:t>
            </w:r>
          </w:p>
        </w:tc>
        <w:tc>
          <w:tcPr>
            <w:tcW w:w="1200" w:type="dxa"/>
            <w:tcBorders>
              <w:left w:val="single" w:sz="4" w:space="0" w:color="000000"/>
              <w:bottom w:val="single" w:sz="4" w:space="0" w:color="000000"/>
            </w:tcBorders>
          </w:tcPr>
          <w:p>
            <w:pPr>
              <w:pStyle w:val="TableParagraph"/>
              <w:spacing w:before="52"/>
              <w:ind w:left="100" w:right="26"/>
              <w:jc w:val="center"/>
              <w:rPr>
                <w:sz w:val="18"/>
              </w:rPr>
            </w:pPr>
            <w:r>
              <w:rPr>
                <w:sz w:val="18"/>
              </w:rPr>
              <w:t>596</w:t>
            </w:r>
          </w:p>
        </w:tc>
        <w:tc>
          <w:tcPr>
            <w:tcW w:w="1334" w:type="dxa"/>
            <w:tcBorders>
              <w:bottom w:val="single" w:sz="4" w:space="0" w:color="000000"/>
              <w:right w:val="single" w:sz="4" w:space="0" w:color="000000"/>
            </w:tcBorders>
          </w:tcPr>
          <w:p>
            <w:pPr>
              <w:pStyle w:val="TableParagraph"/>
              <w:spacing w:before="52"/>
              <w:ind w:left="403" w:right="329"/>
              <w:jc w:val="center"/>
              <w:rPr>
                <w:sz w:val="18"/>
              </w:rPr>
            </w:pPr>
            <w:r>
              <w:rPr>
                <w:sz w:val="18"/>
              </w:rPr>
              <w:t>613</w:t>
            </w:r>
          </w:p>
        </w:tc>
        <w:tc>
          <w:tcPr>
            <w:tcW w:w="1267" w:type="dxa"/>
            <w:tcBorders>
              <w:left w:val="single" w:sz="4" w:space="0" w:color="000000"/>
              <w:bottom w:val="single" w:sz="4" w:space="0" w:color="000000"/>
              <w:right w:val="single" w:sz="4" w:space="0" w:color="000000"/>
            </w:tcBorders>
          </w:tcPr>
          <w:p>
            <w:pPr>
              <w:pStyle w:val="TableParagraph"/>
              <w:spacing w:before="52"/>
              <w:ind w:left="210" w:right="204"/>
              <w:jc w:val="center"/>
              <w:rPr>
                <w:sz w:val="18"/>
              </w:rPr>
            </w:pPr>
            <w:r>
              <w:rPr>
                <w:sz w:val="18"/>
              </w:rPr>
              <w:t>6.56E- 05</w:t>
            </w:r>
          </w:p>
        </w:tc>
        <w:tc>
          <w:tcPr>
            <w:tcW w:w="1253" w:type="dxa"/>
            <w:tcBorders>
              <w:left w:val="single" w:sz="4" w:space="0" w:color="000000"/>
              <w:bottom w:val="single" w:sz="4" w:space="0" w:color="000000"/>
            </w:tcBorders>
          </w:tcPr>
          <w:p>
            <w:pPr>
              <w:pStyle w:val="TableParagraph"/>
              <w:spacing w:before="52"/>
              <w:ind w:left="276" w:right="254"/>
              <w:jc w:val="center"/>
              <w:rPr>
                <w:sz w:val="18"/>
              </w:rPr>
            </w:pPr>
            <w:r>
              <w:rPr>
                <w:sz w:val="18"/>
              </w:rPr>
              <w:t>0.000404</w:t>
            </w:r>
          </w:p>
        </w:tc>
        <w:tc>
          <w:tcPr>
            <w:tcW w:w="1278" w:type="dxa"/>
            <w:tcBorders>
              <w:bottom w:val="single" w:sz="4" w:space="0" w:color="000000"/>
              <w:right w:val="single" w:sz="6" w:space="0" w:color="000000"/>
            </w:tcBorders>
          </w:tcPr>
          <w:p>
            <w:pPr>
              <w:pStyle w:val="TableParagraph"/>
              <w:spacing w:before="52"/>
              <w:ind w:left="196" w:right="169"/>
              <w:jc w:val="center"/>
              <w:rPr>
                <w:sz w:val="18"/>
              </w:rPr>
            </w:pPr>
            <w:r>
              <w:rPr>
                <w:sz w:val="18"/>
              </w:rPr>
              <w:t>0.99857</w:t>
            </w:r>
          </w:p>
        </w:tc>
      </w:tr>
    </w:tbl>
    <w:p>
      <w:pPr>
        <w:spacing w:after="0"/>
        <w:jc w:val="center"/>
        <w:rPr>
          <w:sz w:val="18"/>
        </w:rPr>
        <w:sectPr>
          <w:pgSz w:w="11900" w:h="16840"/>
          <w:pgMar w:header="230" w:footer="408" w:top="560" w:bottom="600" w:left="1240" w:right="0"/>
        </w:sectPr>
      </w:pPr>
    </w:p>
    <w:p>
      <w:pPr>
        <w:pStyle w:val="BodyText"/>
      </w:pPr>
    </w:p>
    <w:p>
      <w:pPr>
        <w:pStyle w:val="BodyText"/>
        <w:spacing w:before="9"/>
        <w:rPr>
          <w:sz w:val="18"/>
        </w:rPr>
      </w:pPr>
    </w:p>
    <w:tbl>
      <w:tblPr>
        <w:tblW w:w="0" w:type="auto"/>
        <w:jc w:val="left"/>
        <w:tblInd w:w="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2"/>
        <w:gridCol w:w="1247"/>
        <w:gridCol w:w="1200"/>
        <w:gridCol w:w="1334"/>
        <w:gridCol w:w="1267"/>
        <w:gridCol w:w="1352"/>
        <w:gridCol w:w="1180"/>
      </w:tblGrid>
      <w:tr>
        <w:trPr>
          <w:trHeight w:val="534" w:hRule="atLeast"/>
        </w:trPr>
        <w:tc>
          <w:tcPr>
            <w:tcW w:w="8882" w:type="dxa"/>
            <w:gridSpan w:val="7"/>
            <w:tcBorders>
              <w:top w:val="single" w:sz="4" w:space="0" w:color="000000"/>
              <w:left w:val="single" w:sz="4" w:space="0" w:color="000000"/>
              <w:bottom w:val="double" w:sz="1" w:space="0" w:color="000000"/>
              <w:right w:val="single" w:sz="4" w:space="0" w:color="000000"/>
            </w:tcBorders>
          </w:tcPr>
          <w:p>
            <w:pPr>
              <w:pStyle w:val="TableParagraph"/>
              <w:spacing w:line="216" w:lineRule="auto" w:before="76"/>
              <w:ind w:left="3138" w:right="3109" w:firstLine="297"/>
              <w:rPr>
                <w:b/>
                <w:sz w:val="12"/>
              </w:rPr>
            </w:pPr>
            <w:r>
              <w:rPr>
                <w:b/>
                <w:sz w:val="18"/>
              </w:rPr>
              <w:t>T</w:t>
            </w:r>
            <w:r>
              <w:rPr>
                <w:b/>
                <w:sz w:val="14"/>
              </w:rPr>
              <w:t>ABLE </w:t>
            </w:r>
            <w:r>
              <w:rPr>
                <w:b/>
                <w:sz w:val="18"/>
              </w:rPr>
              <w:t>5.4.8 (C</w:t>
            </w:r>
            <w:r>
              <w:rPr>
                <w:b/>
                <w:sz w:val="14"/>
              </w:rPr>
              <w:t>ONTINUED</w:t>
            </w:r>
            <w:r>
              <w:rPr>
                <w:b/>
                <w:sz w:val="18"/>
              </w:rPr>
              <w:t>) T</w:t>
            </w:r>
            <w:r>
              <w:rPr>
                <w:b/>
                <w:sz w:val="14"/>
              </w:rPr>
              <w:t>REND ANALYSIS WITH </w:t>
            </w:r>
            <w:r>
              <w:rPr>
                <w:b/>
                <w:sz w:val="18"/>
              </w:rPr>
              <w:t>LULUCF</w:t>
            </w:r>
            <w:r>
              <w:rPr>
                <w:b/>
                <w:sz w:val="14"/>
              </w:rPr>
              <w:t>S</w:t>
            </w:r>
            <w:r>
              <w:rPr>
                <w:b/>
                <w:position w:val="8"/>
                <w:sz w:val="12"/>
              </w:rPr>
              <w:t>a</w:t>
            </w:r>
          </w:p>
        </w:tc>
      </w:tr>
      <w:tr>
        <w:trPr>
          <w:trHeight w:val="327" w:hRule="atLeast"/>
        </w:trPr>
        <w:tc>
          <w:tcPr>
            <w:tcW w:w="1302" w:type="dxa"/>
            <w:tcBorders>
              <w:top w:val="double" w:sz="1" w:space="0" w:color="000000"/>
              <w:left w:val="single" w:sz="4" w:space="0" w:color="000000"/>
              <w:bottom w:val="single" w:sz="4" w:space="0" w:color="000000"/>
            </w:tcBorders>
          </w:tcPr>
          <w:p>
            <w:pPr>
              <w:pStyle w:val="TableParagraph"/>
              <w:spacing w:before="61"/>
              <w:ind w:right="8"/>
              <w:jc w:val="center"/>
              <w:rPr>
                <w:b/>
                <w:sz w:val="18"/>
              </w:rPr>
            </w:pPr>
            <w:r>
              <w:rPr>
                <w:b/>
                <w:sz w:val="18"/>
              </w:rPr>
              <w:t>A</w:t>
            </w:r>
          </w:p>
        </w:tc>
        <w:tc>
          <w:tcPr>
            <w:tcW w:w="1247" w:type="dxa"/>
            <w:tcBorders>
              <w:top w:val="double" w:sz="1" w:space="0" w:color="000000"/>
              <w:bottom w:val="single" w:sz="4" w:space="0" w:color="000000"/>
              <w:right w:val="single" w:sz="4" w:space="0" w:color="000000"/>
            </w:tcBorders>
          </w:tcPr>
          <w:p>
            <w:pPr>
              <w:pStyle w:val="TableParagraph"/>
              <w:spacing w:before="61"/>
              <w:ind w:right="566"/>
              <w:jc w:val="right"/>
              <w:rPr>
                <w:b/>
                <w:sz w:val="18"/>
              </w:rPr>
            </w:pPr>
            <w:r>
              <w:rPr>
                <w:b/>
                <w:sz w:val="18"/>
              </w:rPr>
              <w:t>B</w:t>
            </w:r>
          </w:p>
        </w:tc>
        <w:tc>
          <w:tcPr>
            <w:tcW w:w="1200" w:type="dxa"/>
            <w:tcBorders>
              <w:top w:val="double" w:sz="1" w:space="0" w:color="000000"/>
              <w:left w:val="single" w:sz="4" w:space="0" w:color="000000"/>
              <w:bottom w:val="single" w:sz="4" w:space="0" w:color="000000"/>
            </w:tcBorders>
          </w:tcPr>
          <w:p>
            <w:pPr>
              <w:pStyle w:val="TableParagraph"/>
              <w:spacing w:before="61"/>
              <w:ind w:left="76"/>
              <w:jc w:val="center"/>
              <w:rPr>
                <w:b/>
                <w:sz w:val="18"/>
              </w:rPr>
            </w:pPr>
            <w:r>
              <w:rPr>
                <w:b/>
                <w:sz w:val="18"/>
              </w:rPr>
              <w:t>C</w:t>
            </w:r>
          </w:p>
        </w:tc>
        <w:tc>
          <w:tcPr>
            <w:tcW w:w="1334" w:type="dxa"/>
            <w:tcBorders>
              <w:top w:val="double" w:sz="1" w:space="0" w:color="000000"/>
              <w:bottom w:val="single" w:sz="4" w:space="0" w:color="000000"/>
              <w:right w:val="single" w:sz="4" w:space="0" w:color="000000"/>
            </w:tcBorders>
          </w:tcPr>
          <w:p>
            <w:pPr>
              <w:pStyle w:val="TableParagraph"/>
              <w:spacing w:before="61"/>
              <w:ind w:left="638"/>
              <w:rPr>
                <w:b/>
                <w:sz w:val="18"/>
              </w:rPr>
            </w:pPr>
            <w:r>
              <w:rPr>
                <w:b/>
                <w:sz w:val="18"/>
              </w:rPr>
              <w:t>D</w:t>
            </w:r>
          </w:p>
        </w:tc>
        <w:tc>
          <w:tcPr>
            <w:tcW w:w="1267" w:type="dxa"/>
            <w:tcBorders>
              <w:top w:val="double" w:sz="1" w:space="0" w:color="000000"/>
              <w:left w:val="single" w:sz="4" w:space="0" w:color="000000"/>
              <w:bottom w:val="single" w:sz="4" w:space="0" w:color="000000"/>
              <w:right w:val="single" w:sz="4" w:space="0" w:color="000000"/>
            </w:tcBorders>
          </w:tcPr>
          <w:p>
            <w:pPr>
              <w:pStyle w:val="TableParagraph"/>
              <w:spacing w:before="61"/>
              <w:ind w:left="10"/>
              <w:jc w:val="center"/>
              <w:rPr>
                <w:b/>
                <w:sz w:val="18"/>
              </w:rPr>
            </w:pPr>
            <w:r>
              <w:rPr>
                <w:b/>
                <w:sz w:val="18"/>
              </w:rPr>
              <w:t>E</w:t>
            </w:r>
          </w:p>
        </w:tc>
        <w:tc>
          <w:tcPr>
            <w:tcW w:w="1352" w:type="dxa"/>
            <w:tcBorders>
              <w:top w:val="double" w:sz="1" w:space="0" w:color="000000"/>
              <w:left w:val="single" w:sz="4" w:space="0" w:color="000000"/>
              <w:bottom w:val="single" w:sz="4" w:space="0" w:color="000000"/>
            </w:tcBorders>
          </w:tcPr>
          <w:p>
            <w:pPr>
              <w:pStyle w:val="TableParagraph"/>
              <w:spacing w:before="61"/>
              <w:ind w:right="73"/>
              <w:jc w:val="center"/>
              <w:rPr>
                <w:b/>
                <w:sz w:val="18"/>
              </w:rPr>
            </w:pPr>
            <w:r>
              <w:rPr>
                <w:b/>
                <w:sz w:val="18"/>
              </w:rPr>
              <w:t>F</w:t>
            </w:r>
          </w:p>
        </w:tc>
        <w:tc>
          <w:tcPr>
            <w:tcW w:w="1180" w:type="dxa"/>
            <w:tcBorders>
              <w:top w:val="double" w:sz="1" w:space="0" w:color="000000"/>
              <w:bottom w:val="single" w:sz="4" w:space="0" w:color="000000"/>
              <w:right w:val="single" w:sz="4" w:space="0" w:color="000000"/>
            </w:tcBorders>
          </w:tcPr>
          <w:p>
            <w:pPr>
              <w:pStyle w:val="TableParagraph"/>
              <w:spacing w:before="61"/>
              <w:ind w:right="70"/>
              <w:jc w:val="center"/>
              <w:rPr>
                <w:b/>
                <w:sz w:val="18"/>
              </w:rPr>
            </w:pPr>
            <w:r>
              <w:rPr>
                <w:b/>
                <w:sz w:val="18"/>
              </w:rPr>
              <w:t>G</w:t>
            </w:r>
          </w:p>
        </w:tc>
      </w:tr>
      <w:tr>
        <w:trPr>
          <w:trHeight w:val="738" w:hRule="atLeast"/>
        </w:trPr>
        <w:tc>
          <w:tcPr>
            <w:tcW w:w="1302" w:type="dxa"/>
            <w:tcBorders>
              <w:top w:val="single" w:sz="4" w:space="0" w:color="000000"/>
              <w:left w:val="single" w:sz="4" w:space="0" w:color="000000"/>
              <w:bottom w:val="single" w:sz="4" w:space="0" w:color="000000"/>
            </w:tcBorders>
          </w:tcPr>
          <w:p>
            <w:pPr>
              <w:pStyle w:val="TableParagraph"/>
              <w:spacing w:before="59"/>
              <w:ind w:left="136" w:right="146"/>
              <w:jc w:val="center"/>
              <w:rPr>
                <w:b/>
                <w:sz w:val="18"/>
              </w:rPr>
            </w:pPr>
            <w:r>
              <w:rPr>
                <w:b/>
                <w:sz w:val="18"/>
              </w:rPr>
              <w:t>IPCC Source Categories (IPCC 1996)</w:t>
            </w:r>
          </w:p>
        </w:tc>
        <w:tc>
          <w:tcPr>
            <w:tcW w:w="1247" w:type="dxa"/>
            <w:tcBorders>
              <w:top w:val="single" w:sz="4" w:space="0" w:color="000000"/>
              <w:bottom w:val="single" w:sz="4" w:space="0" w:color="000000"/>
              <w:right w:val="single" w:sz="4" w:space="0" w:color="000000"/>
            </w:tcBorders>
          </w:tcPr>
          <w:p>
            <w:pPr>
              <w:pStyle w:val="TableParagraph"/>
              <w:spacing w:before="59"/>
              <w:ind w:left="157" w:right="166" w:hanging="3"/>
              <w:jc w:val="center"/>
              <w:rPr>
                <w:b/>
                <w:sz w:val="18"/>
              </w:rPr>
            </w:pPr>
            <w:r>
              <w:rPr>
                <w:b/>
                <w:sz w:val="18"/>
              </w:rPr>
              <w:t>Direct </w:t>
            </w:r>
            <w:r>
              <w:rPr>
                <w:b/>
                <w:spacing w:val="-1"/>
                <w:sz w:val="18"/>
              </w:rPr>
              <w:t>Greenhouse </w:t>
            </w:r>
            <w:r>
              <w:rPr>
                <w:b/>
                <w:sz w:val="18"/>
              </w:rPr>
              <w:t>Gas</w:t>
            </w:r>
          </w:p>
        </w:tc>
        <w:tc>
          <w:tcPr>
            <w:tcW w:w="1200" w:type="dxa"/>
            <w:tcBorders>
              <w:top w:val="single" w:sz="4" w:space="0" w:color="000000"/>
              <w:left w:val="single" w:sz="4" w:space="0" w:color="000000"/>
              <w:bottom w:val="single" w:sz="4" w:space="0" w:color="000000"/>
            </w:tcBorders>
          </w:tcPr>
          <w:p>
            <w:pPr>
              <w:pStyle w:val="TableParagraph"/>
              <w:spacing w:before="163"/>
              <w:ind w:left="297" w:right="146" w:hanging="53"/>
              <w:rPr>
                <w:b/>
                <w:sz w:val="18"/>
              </w:rPr>
            </w:pPr>
            <w:r>
              <w:rPr>
                <w:b/>
                <w:sz w:val="18"/>
              </w:rPr>
              <w:t>Base Year Estimate</w:t>
            </w:r>
          </w:p>
        </w:tc>
        <w:tc>
          <w:tcPr>
            <w:tcW w:w="1334" w:type="dxa"/>
            <w:tcBorders>
              <w:top w:val="single" w:sz="4" w:space="0" w:color="000000"/>
              <w:bottom w:val="single" w:sz="4" w:space="0" w:color="000000"/>
              <w:right w:val="single" w:sz="4" w:space="0" w:color="000000"/>
            </w:tcBorders>
          </w:tcPr>
          <w:p>
            <w:pPr>
              <w:pStyle w:val="TableParagraph"/>
              <w:spacing w:before="163"/>
              <w:ind w:left="364" w:right="78" w:hanging="188"/>
              <w:rPr>
                <w:b/>
                <w:sz w:val="18"/>
              </w:rPr>
            </w:pPr>
            <w:r>
              <w:rPr>
                <w:b/>
                <w:sz w:val="18"/>
              </w:rPr>
              <w:t>Current Year Estimate</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before="163"/>
              <w:ind w:left="194" w:right="163" w:firstLine="199"/>
              <w:rPr>
                <w:b/>
                <w:sz w:val="18"/>
              </w:rPr>
            </w:pPr>
            <w:r>
              <w:rPr>
                <w:b/>
                <w:sz w:val="18"/>
              </w:rPr>
              <w:t>Trend Assessment</w:t>
            </w:r>
          </w:p>
        </w:tc>
        <w:tc>
          <w:tcPr>
            <w:tcW w:w="1352" w:type="dxa"/>
            <w:tcBorders>
              <w:top w:val="single" w:sz="4" w:space="0" w:color="000000"/>
              <w:left w:val="single" w:sz="4" w:space="0" w:color="000000"/>
              <w:bottom w:val="single" w:sz="4" w:space="0" w:color="000000"/>
            </w:tcBorders>
          </w:tcPr>
          <w:p>
            <w:pPr>
              <w:pStyle w:val="TableParagraph"/>
              <w:spacing w:before="163"/>
              <w:ind w:left="98" w:right="73" w:hanging="80"/>
              <w:rPr>
                <w:b/>
                <w:sz w:val="18"/>
              </w:rPr>
            </w:pPr>
            <w:r>
              <w:rPr>
                <w:b/>
                <w:sz w:val="18"/>
              </w:rPr>
              <w:t>% Contribution to Assessment</w:t>
            </w:r>
          </w:p>
        </w:tc>
        <w:tc>
          <w:tcPr>
            <w:tcW w:w="1180" w:type="dxa"/>
            <w:tcBorders>
              <w:top w:val="single" w:sz="4" w:space="0" w:color="000000"/>
              <w:bottom w:val="single" w:sz="4" w:space="0" w:color="000000"/>
              <w:right w:val="single" w:sz="4" w:space="0" w:color="000000"/>
            </w:tcBorders>
          </w:tcPr>
          <w:p>
            <w:pPr>
              <w:pStyle w:val="TableParagraph"/>
              <w:spacing w:before="59"/>
              <w:ind w:left="102" w:right="172"/>
              <w:jc w:val="center"/>
              <w:rPr>
                <w:b/>
                <w:sz w:val="18"/>
              </w:rPr>
            </w:pPr>
            <w:r>
              <w:rPr>
                <w:b/>
                <w:sz w:val="18"/>
              </w:rPr>
              <w:t>Cumulative Total of Column F</w:t>
            </w:r>
          </w:p>
        </w:tc>
      </w:tr>
      <w:tr>
        <w:trPr>
          <w:trHeight w:val="341" w:hRule="atLeast"/>
        </w:trPr>
        <w:tc>
          <w:tcPr>
            <w:tcW w:w="1302" w:type="dxa"/>
            <w:tcBorders>
              <w:top w:val="single" w:sz="4" w:space="0" w:color="000000"/>
              <w:left w:val="single" w:sz="4" w:space="0" w:color="000000"/>
            </w:tcBorders>
          </w:tcPr>
          <w:p>
            <w:pPr>
              <w:pStyle w:val="TableParagraph"/>
              <w:spacing w:before="57"/>
              <w:ind w:left="455"/>
              <w:rPr>
                <w:sz w:val="18"/>
              </w:rPr>
            </w:pPr>
            <w:r>
              <w:rPr>
                <w:sz w:val="18"/>
              </w:rPr>
              <w:t>6.B</w:t>
            </w:r>
          </w:p>
        </w:tc>
        <w:tc>
          <w:tcPr>
            <w:tcW w:w="1247" w:type="dxa"/>
            <w:tcBorders>
              <w:top w:val="single" w:sz="4" w:space="0" w:color="000000"/>
              <w:right w:val="single" w:sz="4" w:space="0" w:color="000000"/>
            </w:tcBorders>
          </w:tcPr>
          <w:p>
            <w:pPr>
              <w:pStyle w:val="TableParagraph"/>
              <w:spacing w:before="57"/>
              <w:ind w:right="494"/>
              <w:jc w:val="right"/>
              <w:rPr>
                <w:sz w:val="18"/>
              </w:rPr>
            </w:pPr>
            <w:r>
              <w:rPr>
                <w:w w:val="95"/>
                <w:sz w:val="18"/>
              </w:rPr>
              <w:t>CH</w:t>
            </w:r>
            <w:r>
              <w:rPr>
                <w:w w:val="95"/>
                <w:sz w:val="18"/>
                <w:vertAlign w:val="subscript"/>
              </w:rPr>
              <w:t>4</w:t>
            </w:r>
          </w:p>
        </w:tc>
        <w:tc>
          <w:tcPr>
            <w:tcW w:w="1200" w:type="dxa"/>
            <w:tcBorders>
              <w:top w:val="single" w:sz="4" w:space="0" w:color="000000"/>
              <w:left w:val="single" w:sz="4" w:space="0" w:color="000000"/>
            </w:tcBorders>
          </w:tcPr>
          <w:p>
            <w:pPr>
              <w:pStyle w:val="TableParagraph"/>
              <w:spacing w:before="57"/>
              <w:ind w:left="101" w:right="26"/>
              <w:jc w:val="center"/>
              <w:rPr>
                <w:sz w:val="18"/>
              </w:rPr>
            </w:pPr>
            <w:r>
              <w:rPr>
                <w:sz w:val="18"/>
              </w:rPr>
              <w:t>259</w:t>
            </w:r>
          </w:p>
        </w:tc>
        <w:tc>
          <w:tcPr>
            <w:tcW w:w="1334" w:type="dxa"/>
            <w:tcBorders>
              <w:top w:val="single" w:sz="4" w:space="0" w:color="000000"/>
              <w:right w:val="single" w:sz="4" w:space="0" w:color="000000"/>
            </w:tcBorders>
          </w:tcPr>
          <w:p>
            <w:pPr>
              <w:pStyle w:val="TableParagraph"/>
              <w:spacing w:before="57"/>
              <w:ind w:left="565"/>
              <w:rPr>
                <w:sz w:val="18"/>
              </w:rPr>
            </w:pPr>
            <w:r>
              <w:rPr>
                <w:sz w:val="18"/>
              </w:rPr>
              <w:t>282</w:t>
            </w:r>
          </w:p>
        </w:tc>
        <w:tc>
          <w:tcPr>
            <w:tcW w:w="1267" w:type="dxa"/>
            <w:tcBorders>
              <w:top w:val="single" w:sz="4" w:space="0" w:color="000000"/>
              <w:left w:val="single" w:sz="4" w:space="0" w:color="000000"/>
              <w:right w:val="single" w:sz="4" w:space="0" w:color="000000"/>
            </w:tcBorders>
          </w:tcPr>
          <w:p>
            <w:pPr>
              <w:pStyle w:val="TableParagraph"/>
              <w:spacing w:before="57"/>
              <w:ind w:left="211" w:right="204"/>
              <w:jc w:val="center"/>
              <w:rPr>
                <w:sz w:val="18"/>
              </w:rPr>
            </w:pPr>
            <w:r>
              <w:rPr>
                <w:sz w:val="18"/>
              </w:rPr>
              <w:t>5.91E- 05</w:t>
            </w:r>
          </w:p>
        </w:tc>
        <w:tc>
          <w:tcPr>
            <w:tcW w:w="1352" w:type="dxa"/>
            <w:tcBorders>
              <w:top w:val="single" w:sz="4" w:space="0" w:color="000000"/>
              <w:left w:val="single" w:sz="4" w:space="0" w:color="000000"/>
            </w:tcBorders>
          </w:tcPr>
          <w:p>
            <w:pPr>
              <w:pStyle w:val="TableParagraph"/>
              <w:spacing w:before="57"/>
              <w:ind w:left="261" w:right="335"/>
              <w:jc w:val="center"/>
              <w:rPr>
                <w:sz w:val="18"/>
              </w:rPr>
            </w:pPr>
            <w:r>
              <w:rPr>
                <w:sz w:val="18"/>
              </w:rPr>
              <w:t>0.000365</w:t>
            </w:r>
          </w:p>
        </w:tc>
        <w:tc>
          <w:tcPr>
            <w:tcW w:w="1180" w:type="dxa"/>
            <w:tcBorders>
              <w:top w:val="single" w:sz="4" w:space="0" w:color="000000"/>
              <w:right w:val="single" w:sz="4" w:space="0" w:color="000000"/>
            </w:tcBorders>
          </w:tcPr>
          <w:p>
            <w:pPr>
              <w:pStyle w:val="TableParagraph"/>
              <w:spacing w:before="57"/>
              <w:ind w:left="101" w:right="172"/>
              <w:jc w:val="center"/>
              <w:rPr>
                <w:sz w:val="18"/>
              </w:rPr>
            </w:pPr>
            <w:r>
              <w:rPr>
                <w:sz w:val="18"/>
              </w:rPr>
              <w:t>0.998935</w:t>
            </w:r>
          </w:p>
        </w:tc>
      </w:tr>
      <w:tr>
        <w:trPr>
          <w:trHeight w:val="338" w:hRule="atLeast"/>
        </w:trPr>
        <w:tc>
          <w:tcPr>
            <w:tcW w:w="1302" w:type="dxa"/>
            <w:tcBorders>
              <w:left w:val="single" w:sz="4" w:space="0" w:color="000000"/>
            </w:tcBorders>
          </w:tcPr>
          <w:p>
            <w:pPr>
              <w:pStyle w:val="TableParagraph"/>
              <w:spacing w:before="51"/>
              <w:ind w:left="455"/>
              <w:rPr>
                <w:sz w:val="18"/>
              </w:rPr>
            </w:pPr>
            <w:r>
              <w:rPr>
                <w:sz w:val="18"/>
              </w:rPr>
              <w:t>5.B</w:t>
            </w:r>
          </w:p>
        </w:tc>
        <w:tc>
          <w:tcPr>
            <w:tcW w:w="1247" w:type="dxa"/>
            <w:tcBorders>
              <w:right w:val="single" w:sz="4" w:space="0" w:color="000000"/>
            </w:tcBorders>
          </w:tcPr>
          <w:p>
            <w:pPr>
              <w:pStyle w:val="TableParagraph"/>
              <w:spacing w:before="51"/>
              <w:ind w:right="494"/>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1"/>
              <w:ind w:left="101" w:right="26"/>
              <w:jc w:val="center"/>
              <w:rPr>
                <w:sz w:val="18"/>
              </w:rPr>
            </w:pPr>
            <w:r>
              <w:rPr>
                <w:sz w:val="18"/>
              </w:rPr>
              <w:t>221</w:t>
            </w:r>
          </w:p>
        </w:tc>
        <w:tc>
          <w:tcPr>
            <w:tcW w:w="1334" w:type="dxa"/>
            <w:tcBorders>
              <w:right w:val="single" w:sz="4" w:space="0" w:color="000000"/>
            </w:tcBorders>
          </w:tcPr>
          <w:p>
            <w:pPr>
              <w:pStyle w:val="TableParagraph"/>
              <w:spacing w:before="51"/>
              <w:ind w:left="565"/>
              <w:rPr>
                <w:sz w:val="18"/>
              </w:rPr>
            </w:pPr>
            <w:r>
              <w:rPr>
                <w:sz w:val="18"/>
              </w:rPr>
              <w:t>236</w:t>
            </w:r>
          </w:p>
        </w:tc>
        <w:tc>
          <w:tcPr>
            <w:tcW w:w="1267" w:type="dxa"/>
            <w:tcBorders>
              <w:left w:val="single" w:sz="4" w:space="0" w:color="000000"/>
              <w:right w:val="single" w:sz="4" w:space="0" w:color="000000"/>
            </w:tcBorders>
          </w:tcPr>
          <w:p>
            <w:pPr>
              <w:pStyle w:val="TableParagraph"/>
              <w:spacing w:before="51"/>
              <w:ind w:left="211" w:right="204"/>
              <w:jc w:val="center"/>
              <w:rPr>
                <w:sz w:val="18"/>
              </w:rPr>
            </w:pPr>
            <w:r>
              <w:rPr>
                <w:sz w:val="18"/>
              </w:rPr>
              <w:t>4.27E- 05</w:t>
            </w:r>
          </w:p>
        </w:tc>
        <w:tc>
          <w:tcPr>
            <w:tcW w:w="1352" w:type="dxa"/>
            <w:tcBorders>
              <w:left w:val="single" w:sz="4" w:space="0" w:color="000000"/>
            </w:tcBorders>
          </w:tcPr>
          <w:p>
            <w:pPr>
              <w:pStyle w:val="TableParagraph"/>
              <w:spacing w:before="51"/>
              <w:ind w:left="261" w:right="335"/>
              <w:jc w:val="center"/>
              <w:rPr>
                <w:sz w:val="18"/>
              </w:rPr>
            </w:pPr>
            <w:r>
              <w:rPr>
                <w:sz w:val="18"/>
              </w:rPr>
              <w:t>0.000263</w:t>
            </w:r>
          </w:p>
        </w:tc>
        <w:tc>
          <w:tcPr>
            <w:tcW w:w="1180" w:type="dxa"/>
            <w:tcBorders>
              <w:right w:val="single" w:sz="4" w:space="0" w:color="000000"/>
            </w:tcBorders>
          </w:tcPr>
          <w:p>
            <w:pPr>
              <w:pStyle w:val="TableParagraph"/>
              <w:spacing w:before="51"/>
              <w:ind w:left="101" w:right="172"/>
              <w:jc w:val="center"/>
              <w:rPr>
                <w:sz w:val="18"/>
              </w:rPr>
            </w:pPr>
            <w:r>
              <w:rPr>
                <w:sz w:val="18"/>
              </w:rPr>
              <w:t>0.999198</w:t>
            </w:r>
          </w:p>
        </w:tc>
      </w:tr>
      <w:tr>
        <w:trPr>
          <w:trHeight w:val="339" w:hRule="atLeast"/>
        </w:trPr>
        <w:tc>
          <w:tcPr>
            <w:tcW w:w="1302" w:type="dxa"/>
            <w:tcBorders>
              <w:left w:val="single" w:sz="4" w:space="0" w:color="000000"/>
            </w:tcBorders>
          </w:tcPr>
          <w:p>
            <w:pPr>
              <w:pStyle w:val="TableParagraph"/>
              <w:spacing w:before="54"/>
              <w:ind w:left="455"/>
              <w:rPr>
                <w:sz w:val="18"/>
              </w:rPr>
            </w:pPr>
            <w:r>
              <w:rPr>
                <w:sz w:val="18"/>
              </w:rPr>
              <w:t>1.AA.1</w:t>
            </w:r>
          </w:p>
        </w:tc>
        <w:tc>
          <w:tcPr>
            <w:tcW w:w="1247" w:type="dxa"/>
            <w:tcBorders>
              <w:right w:val="single" w:sz="4" w:space="0" w:color="000000"/>
            </w:tcBorders>
          </w:tcPr>
          <w:p>
            <w:pPr>
              <w:pStyle w:val="TableParagraph"/>
              <w:spacing w:before="54"/>
              <w:ind w:right="470"/>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4"/>
              <w:ind w:left="101" w:right="26"/>
              <w:jc w:val="center"/>
              <w:rPr>
                <w:sz w:val="18"/>
              </w:rPr>
            </w:pPr>
            <w:r>
              <w:rPr>
                <w:sz w:val="18"/>
              </w:rPr>
              <w:t>46</w:t>
            </w:r>
          </w:p>
        </w:tc>
        <w:tc>
          <w:tcPr>
            <w:tcW w:w="1334" w:type="dxa"/>
            <w:tcBorders>
              <w:right w:val="single" w:sz="4" w:space="0" w:color="000000"/>
            </w:tcBorders>
          </w:tcPr>
          <w:p>
            <w:pPr>
              <w:pStyle w:val="TableParagraph"/>
              <w:spacing w:before="54"/>
              <w:ind w:left="611"/>
              <w:rPr>
                <w:sz w:val="18"/>
              </w:rPr>
            </w:pPr>
            <w:r>
              <w:rPr>
                <w:sz w:val="18"/>
              </w:rPr>
              <w:t>28</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3.52E- 05</w:t>
            </w:r>
          </w:p>
        </w:tc>
        <w:tc>
          <w:tcPr>
            <w:tcW w:w="1352" w:type="dxa"/>
            <w:tcBorders>
              <w:left w:val="single" w:sz="4" w:space="0" w:color="000000"/>
            </w:tcBorders>
          </w:tcPr>
          <w:p>
            <w:pPr>
              <w:pStyle w:val="TableParagraph"/>
              <w:spacing w:before="54"/>
              <w:ind w:left="261" w:right="335"/>
              <w:jc w:val="center"/>
              <w:rPr>
                <w:sz w:val="18"/>
              </w:rPr>
            </w:pPr>
            <w:r>
              <w:rPr>
                <w:sz w:val="18"/>
              </w:rPr>
              <w:t>0.000217</w:t>
            </w:r>
          </w:p>
        </w:tc>
        <w:tc>
          <w:tcPr>
            <w:tcW w:w="1180" w:type="dxa"/>
            <w:tcBorders>
              <w:right w:val="single" w:sz="4" w:space="0" w:color="000000"/>
            </w:tcBorders>
          </w:tcPr>
          <w:p>
            <w:pPr>
              <w:pStyle w:val="TableParagraph"/>
              <w:spacing w:before="54"/>
              <w:ind w:left="100" w:right="172"/>
              <w:jc w:val="center"/>
              <w:rPr>
                <w:sz w:val="18"/>
              </w:rPr>
            </w:pPr>
            <w:r>
              <w:rPr>
                <w:sz w:val="18"/>
              </w:rPr>
              <w:t>0.999415</w:t>
            </w:r>
          </w:p>
        </w:tc>
      </w:tr>
      <w:tr>
        <w:trPr>
          <w:trHeight w:val="339" w:hRule="atLeast"/>
        </w:trPr>
        <w:tc>
          <w:tcPr>
            <w:tcW w:w="2549" w:type="dxa"/>
            <w:gridSpan w:val="2"/>
            <w:tcBorders>
              <w:left w:val="single" w:sz="4" w:space="0" w:color="000000"/>
              <w:right w:val="single" w:sz="4" w:space="0" w:color="000000"/>
            </w:tcBorders>
          </w:tcPr>
          <w:p>
            <w:pPr>
              <w:pStyle w:val="TableParagraph"/>
              <w:tabs>
                <w:tab w:pos="1732" w:val="left" w:leader="none"/>
              </w:tabs>
              <w:spacing w:before="52"/>
              <w:ind w:left="455"/>
              <w:rPr>
                <w:sz w:val="18"/>
              </w:rPr>
            </w:pPr>
            <w:r>
              <w:rPr>
                <w:sz w:val="18"/>
              </w:rPr>
              <w:t>4.D</w:t>
              <w:tab/>
              <w:t>CH</w:t>
            </w:r>
            <w:r>
              <w:rPr>
                <w:sz w:val="18"/>
                <w:vertAlign w:val="subscript"/>
              </w:rPr>
              <w:t>4</w:t>
            </w:r>
          </w:p>
        </w:tc>
        <w:tc>
          <w:tcPr>
            <w:tcW w:w="1200" w:type="dxa"/>
            <w:tcBorders>
              <w:left w:val="single" w:sz="4" w:space="0" w:color="000000"/>
            </w:tcBorders>
          </w:tcPr>
          <w:p>
            <w:pPr>
              <w:pStyle w:val="TableParagraph"/>
              <w:spacing w:before="52"/>
              <w:ind w:left="101" w:right="26"/>
              <w:jc w:val="center"/>
              <w:rPr>
                <w:sz w:val="18"/>
              </w:rPr>
            </w:pPr>
            <w:r>
              <w:rPr>
                <w:sz w:val="18"/>
              </w:rPr>
              <w:t>482</w:t>
            </w:r>
          </w:p>
        </w:tc>
        <w:tc>
          <w:tcPr>
            <w:tcW w:w="1334" w:type="dxa"/>
            <w:tcBorders>
              <w:right w:val="single" w:sz="4" w:space="0" w:color="000000"/>
            </w:tcBorders>
          </w:tcPr>
          <w:p>
            <w:pPr>
              <w:pStyle w:val="TableParagraph"/>
              <w:spacing w:before="52"/>
              <w:ind w:left="565"/>
              <w:rPr>
                <w:sz w:val="18"/>
              </w:rPr>
            </w:pPr>
            <w:r>
              <w:rPr>
                <w:sz w:val="18"/>
              </w:rPr>
              <w:t>482</w:t>
            </w:r>
          </w:p>
        </w:tc>
        <w:tc>
          <w:tcPr>
            <w:tcW w:w="1267" w:type="dxa"/>
            <w:tcBorders>
              <w:left w:val="single" w:sz="4" w:space="0" w:color="000000"/>
              <w:right w:val="single" w:sz="4" w:space="0" w:color="000000"/>
            </w:tcBorders>
          </w:tcPr>
          <w:p>
            <w:pPr>
              <w:pStyle w:val="TableParagraph"/>
              <w:spacing w:before="52"/>
              <w:ind w:left="210" w:right="204"/>
              <w:jc w:val="center"/>
              <w:rPr>
                <w:sz w:val="18"/>
              </w:rPr>
            </w:pPr>
            <w:r>
              <w:rPr>
                <w:sz w:val="18"/>
              </w:rPr>
              <w:t>2.6E- 05</w:t>
            </w:r>
          </w:p>
        </w:tc>
        <w:tc>
          <w:tcPr>
            <w:tcW w:w="1352" w:type="dxa"/>
            <w:tcBorders>
              <w:left w:val="single" w:sz="4" w:space="0" w:color="000000"/>
            </w:tcBorders>
          </w:tcPr>
          <w:p>
            <w:pPr>
              <w:pStyle w:val="TableParagraph"/>
              <w:spacing w:before="52"/>
              <w:ind w:left="260" w:right="335"/>
              <w:jc w:val="center"/>
              <w:rPr>
                <w:sz w:val="18"/>
              </w:rPr>
            </w:pPr>
            <w:r>
              <w:rPr>
                <w:sz w:val="18"/>
              </w:rPr>
              <w:t>0.00016</w:t>
            </w:r>
          </w:p>
        </w:tc>
        <w:tc>
          <w:tcPr>
            <w:tcW w:w="1180" w:type="dxa"/>
            <w:tcBorders>
              <w:right w:val="single" w:sz="4" w:space="0" w:color="000000"/>
            </w:tcBorders>
          </w:tcPr>
          <w:p>
            <w:pPr>
              <w:pStyle w:val="TableParagraph"/>
              <w:spacing w:before="52"/>
              <w:ind w:left="102" w:right="172"/>
              <w:jc w:val="center"/>
              <w:rPr>
                <w:sz w:val="18"/>
              </w:rPr>
            </w:pPr>
            <w:r>
              <w:rPr>
                <w:sz w:val="18"/>
              </w:rPr>
              <w:t>0.999575</w:t>
            </w:r>
          </w:p>
        </w:tc>
      </w:tr>
      <w:tr>
        <w:trPr>
          <w:trHeight w:val="340" w:hRule="atLeast"/>
        </w:trPr>
        <w:tc>
          <w:tcPr>
            <w:tcW w:w="1302" w:type="dxa"/>
            <w:tcBorders>
              <w:left w:val="single" w:sz="4" w:space="0" w:color="000000"/>
            </w:tcBorders>
          </w:tcPr>
          <w:p>
            <w:pPr>
              <w:pStyle w:val="TableParagraph"/>
              <w:spacing w:before="54"/>
              <w:ind w:left="455"/>
              <w:rPr>
                <w:sz w:val="18"/>
              </w:rPr>
            </w:pPr>
            <w:r>
              <w:rPr>
                <w:sz w:val="18"/>
              </w:rPr>
              <w:t>4.C</w:t>
            </w:r>
          </w:p>
        </w:tc>
        <w:tc>
          <w:tcPr>
            <w:tcW w:w="1247" w:type="dxa"/>
            <w:tcBorders>
              <w:right w:val="single" w:sz="4" w:space="0" w:color="000000"/>
            </w:tcBorders>
          </w:tcPr>
          <w:p>
            <w:pPr>
              <w:pStyle w:val="TableParagraph"/>
              <w:spacing w:before="54"/>
              <w:ind w:right="494"/>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4"/>
              <w:ind w:left="101" w:right="26"/>
              <w:jc w:val="center"/>
              <w:rPr>
                <w:sz w:val="18"/>
              </w:rPr>
            </w:pPr>
            <w:r>
              <w:rPr>
                <w:sz w:val="18"/>
              </w:rPr>
              <w:t>180</w:t>
            </w:r>
          </w:p>
        </w:tc>
        <w:tc>
          <w:tcPr>
            <w:tcW w:w="1334" w:type="dxa"/>
            <w:tcBorders>
              <w:right w:val="single" w:sz="4" w:space="0" w:color="000000"/>
            </w:tcBorders>
          </w:tcPr>
          <w:p>
            <w:pPr>
              <w:pStyle w:val="TableParagraph"/>
              <w:spacing w:before="54"/>
              <w:ind w:left="565"/>
              <w:rPr>
                <w:sz w:val="18"/>
              </w:rPr>
            </w:pPr>
            <w:r>
              <w:rPr>
                <w:sz w:val="18"/>
              </w:rPr>
              <w:t>163</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2.57E- 05</w:t>
            </w:r>
          </w:p>
        </w:tc>
        <w:tc>
          <w:tcPr>
            <w:tcW w:w="1352" w:type="dxa"/>
            <w:tcBorders>
              <w:left w:val="single" w:sz="4" w:space="0" w:color="000000"/>
            </w:tcBorders>
          </w:tcPr>
          <w:p>
            <w:pPr>
              <w:pStyle w:val="TableParagraph"/>
              <w:spacing w:before="54"/>
              <w:ind w:left="261" w:right="335"/>
              <w:jc w:val="center"/>
              <w:rPr>
                <w:sz w:val="18"/>
              </w:rPr>
            </w:pPr>
            <w:r>
              <w:rPr>
                <w:sz w:val="18"/>
              </w:rPr>
              <w:t>0.000159</w:t>
            </w:r>
          </w:p>
        </w:tc>
        <w:tc>
          <w:tcPr>
            <w:tcW w:w="1180" w:type="dxa"/>
            <w:tcBorders>
              <w:right w:val="single" w:sz="4" w:space="0" w:color="000000"/>
            </w:tcBorders>
          </w:tcPr>
          <w:p>
            <w:pPr>
              <w:pStyle w:val="TableParagraph"/>
              <w:spacing w:before="54"/>
              <w:ind w:left="101" w:right="172"/>
              <w:jc w:val="center"/>
              <w:rPr>
                <w:sz w:val="18"/>
              </w:rPr>
            </w:pPr>
            <w:r>
              <w:rPr>
                <w:sz w:val="18"/>
              </w:rPr>
              <w:t>0.999733</w:t>
            </w:r>
          </w:p>
        </w:tc>
      </w:tr>
      <w:tr>
        <w:trPr>
          <w:trHeight w:val="339" w:hRule="atLeast"/>
        </w:trPr>
        <w:tc>
          <w:tcPr>
            <w:tcW w:w="2549" w:type="dxa"/>
            <w:gridSpan w:val="2"/>
            <w:tcBorders>
              <w:left w:val="single" w:sz="4" w:space="0" w:color="000000"/>
              <w:right w:val="single" w:sz="4" w:space="0" w:color="000000"/>
            </w:tcBorders>
          </w:tcPr>
          <w:p>
            <w:pPr>
              <w:pStyle w:val="TableParagraph"/>
              <w:tabs>
                <w:tab w:pos="1732" w:val="left" w:leader="none"/>
              </w:tabs>
              <w:spacing w:before="54"/>
              <w:ind w:left="455"/>
              <w:rPr>
                <w:sz w:val="18"/>
              </w:rPr>
            </w:pPr>
            <w:r>
              <w:rPr>
                <w:sz w:val="18"/>
              </w:rPr>
              <w:t>2.D</w:t>
              <w:tab/>
              <w:t>CO</w:t>
            </w:r>
            <w:r>
              <w:rPr>
                <w:sz w:val="18"/>
                <w:vertAlign w:val="subscript"/>
              </w:rPr>
              <w:t>2</w:t>
            </w:r>
          </w:p>
        </w:tc>
        <w:tc>
          <w:tcPr>
            <w:tcW w:w="1200" w:type="dxa"/>
            <w:tcBorders>
              <w:left w:val="single" w:sz="4" w:space="0" w:color="000000"/>
            </w:tcBorders>
          </w:tcPr>
          <w:p>
            <w:pPr>
              <w:pStyle w:val="TableParagraph"/>
              <w:spacing w:before="54"/>
              <w:ind w:left="101" w:right="26"/>
              <w:jc w:val="center"/>
              <w:rPr>
                <w:sz w:val="18"/>
              </w:rPr>
            </w:pPr>
            <w:r>
              <w:rPr>
                <w:sz w:val="18"/>
              </w:rPr>
              <w:t>681</w:t>
            </w:r>
          </w:p>
        </w:tc>
        <w:tc>
          <w:tcPr>
            <w:tcW w:w="1334" w:type="dxa"/>
            <w:tcBorders>
              <w:right w:val="single" w:sz="4" w:space="0" w:color="000000"/>
            </w:tcBorders>
          </w:tcPr>
          <w:p>
            <w:pPr>
              <w:pStyle w:val="TableParagraph"/>
              <w:spacing w:before="54"/>
              <w:ind w:left="565"/>
              <w:rPr>
                <w:sz w:val="18"/>
              </w:rPr>
            </w:pPr>
            <w:r>
              <w:rPr>
                <w:sz w:val="18"/>
              </w:rPr>
              <w:t>656</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1.65E- 05</w:t>
            </w:r>
          </w:p>
        </w:tc>
        <w:tc>
          <w:tcPr>
            <w:tcW w:w="1352" w:type="dxa"/>
            <w:tcBorders>
              <w:left w:val="single" w:sz="4" w:space="0" w:color="000000"/>
            </w:tcBorders>
          </w:tcPr>
          <w:p>
            <w:pPr>
              <w:pStyle w:val="TableParagraph"/>
              <w:spacing w:before="54"/>
              <w:ind w:left="261" w:right="335"/>
              <w:jc w:val="center"/>
              <w:rPr>
                <w:sz w:val="18"/>
              </w:rPr>
            </w:pPr>
            <w:r>
              <w:rPr>
                <w:sz w:val="18"/>
              </w:rPr>
              <w:t>0.000101</w:t>
            </w:r>
          </w:p>
        </w:tc>
        <w:tc>
          <w:tcPr>
            <w:tcW w:w="1180" w:type="dxa"/>
            <w:tcBorders>
              <w:right w:val="single" w:sz="4" w:space="0" w:color="000000"/>
            </w:tcBorders>
          </w:tcPr>
          <w:p>
            <w:pPr>
              <w:pStyle w:val="TableParagraph"/>
              <w:spacing w:before="54"/>
              <w:ind w:left="101" w:right="172"/>
              <w:jc w:val="center"/>
              <w:rPr>
                <w:sz w:val="18"/>
              </w:rPr>
            </w:pPr>
            <w:r>
              <w:rPr>
                <w:sz w:val="18"/>
              </w:rPr>
              <w:t>0.999835</w:t>
            </w:r>
          </w:p>
        </w:tc>
      </w:tr>
      <w:tr>
        <w:trPr>
          <w:trHeight w:val="339" w:hRule="atLeast"/>
        </w:trPr>
        <w:tc>
          <w:tcPr>
            <w:tcW w:w="2549" w:type="dxa"/>
            <w:gridSpan w:val="2"/>
            <w:tcBorders>
              <w:left w:val="single" w:sz="4" w:space="0" w:color="000000"/>
              <w:right w:val="single" w:sz="4" w:space="0" w:color="000000"/>
            </w:tcBorders>
          </w:tcPr>
          <w:p>
            <w:pPr>
              <w:pStyle w:val="TableParagraph"/>
              <w:tabs>
                <w:tab w:pos="1732" w:val="left" w:leader="none"/>
              </w:tabs>
              <w:spacing w:before="52"/>
              <w:ind w:left="455"/>
              <w:rPr>
                <w:sz w:val="18"/>
              </w:rPr>
            </w:pPr>
            <w:r>
              <w:rPr>
                <w:sz w:val="18"/>
              </w:rPr>
              <w:t>3.D</w:t>
              <w:tab/>
              <w:t>CO</w:t>
            </w:r>
            <w:r>
              <w:rPr>
                <w:sz w:val="18"/>
                <w:vertAlign w:val="subscript"/>
              </w:rPr>
              <w:t>2</w:t>
            </w:r>
          </w:p>
        </w:tc>
        <w:tc>
          <w:tcPr>
            <w:tcW w:w="1200" w:type="dxa"/>
            <w:tcBorders>
              <w:left w:val="single" w:sz="4" w:space="0" w:color="000000"/>
            </w:tcBorders>
          </w:tcPr>
          <w:p>
            <w:pPr>
              <w:pStyle w:val="TableParagraph"/>
              <w:spacing w:before="52"/>
              <w:ind w:left="101" w:right="26"/>
              <w:jc w:val="center"/>
              <w:rPr>
                <w:sz w:val="18"/>
              </w:rPr>
            </w:pPr>
            <w:r>
              <w:rPr>
                <w:sz w:val="18"/>
              </w:rPr>
              <w:t>681</w:t>
            </w:r>
          </w:p>
        </w:tc>
        <w:tc>
          <w:tcPr>
            <w:tcW w:w="1334" w:type="dxa"/>
            <w:tcBorders>
              <w:right w:val="single" w:sz="4" w:space="0" w:color="000000"/>
            </w:tcBorders>
          </w:tcPr>
          <w:p>
            <w:pPr>
              <w:pStyle w:val="TableParagraph"/>
              <w:spacing w:before="52"/>
              <w:ind w:left="565"/>
              <w:rPr>
                <w:sz w:val="18"/>
              </w:rPr>
            </w:pPr>
            <w:r>
              <w:rPr>
                <w:sz w:val="18"/>
              </w:rPr>
              <w:t>658</w:t>
            </w:r>
          </w:p>
        </w:tc>
        <w:tc>
          <w:tcPr>
            <w:tcW w:w="1267" w:type="dxa"/>
            <w:tcBorders>
              <w:left w:val="single" w:sz="4" w:space="0" w:color="000000"/>
              <w:right w:val="single" w:sz="4" w:space="0" w:color="000000"/>
            </w:tcBorders>
          </w:tcPr>
          <w:p>
            <w:pPr>
              <w:pStyle w:val="TableParagraph"/>
              <w:spacing w:before="52"/>
              <w:ind w:left="210" w:right="204"/>
              <w:jc w:val="center"/>
              <w:rPr>
                <w:sz w:val="18"/>
              </w:rPr>
            </w:pPr>
            <w:r>
              <w:rPr>
                <w:sz w:val="18"/>
              </w:rPr>
              <w:t>1.12E- 05</w:t>
            </w:r>
          </w:p>
        </w:tc>
        <w:tc>
          <w:tcPr>
            <w:tcW w:w="1352" w:type="dxa"/>
            <w:tcBorders>
              <w:left w:val="single" w:sz="4" w:space="0" w:color="000000"/>
            </w:tcBorders>
          </w:tcPr>
          <w:p>
            <w:pPr>
              <w:pStyle w:val="TableParagraph"/>
              <w:spacing w:before="52"/>
              <w:ind w:left="260" w:right="335"/>
              <w:jc w:val="center"/>
              <w:rPr>
                <w:sz w:val="18"/>
              </w:rPr>
            </w:pPr>
            <w:r>
              <w:rPr>
                <w:sz w:val="18"/>
              </w:rPr>
              <w:t>6.92E- 05</w:t>
            </w:r>
          </w:p>
        </w:tc>
        <w:tc>
          <w:tcPr>
            <w:tcW w:w="1180" w:type="dxa"/>
            <w:tcBorders>
              <w:right w:val="single" w:sz="4" w:space="0" w:color="000000"/>
            </w:tcBorders>
          </w:tcPr>
          <w:p>
            <w:pPr>
              <w:pStyle w:val="TableParagraph"/>
              <w:spacing w:before="52"/>
              <w:ind w:left="101" w:right="172"/>
              <w:jc w:val="center"/>
              <w:rPr>
                <w:sz w:val="18"/>
              </w:rPr>
            </w:pPr>
            <w:r>
              <w:rPr>
                <w:sz w:val="18"/>
              </w:rPr>
              <w:t>0.999904</w:t>
            </w:r>
          </w:p>
        </w:tc>
      </w:tr>
      <w:tr>
        <w:trPr>
          <w:trHeight w:val="340" w:hRule="atLeast"/>
        </w:trPr>
        <w:tc>
          <w:tcPr>
            <w:tcW w:w="1302" w:type="dxa"/>
            <w:tcBorders>
              <w:left w:val="single" w:sz="4" w:space="0" w:color="000000"/>
            </w:tcBorders>
          </w:tcPr>
          <w:p>
            <w:pPr>
              <w:pStyle w:val="TableParagraph"/>
              <w:spacing w:before="54"/>
              <w:ind w:left="455"/>
              <w:rPr>
                <w:sz w:val="18"/>
              </w:rPr>
            </w:pPr>
            <w:r>
              <w:rPr>
                <w:sz w:val="18"/>
              </w:rPr>
              <w:t>2.B</w:t>
            </w:r>
          </w:p>
        </w:tc>
        <w:tc>
          <w:tcPr>
            <w:tcW w:w="1247" w:type="dxa"/>
            <w:tcBorders>
              <w:right w:val="single" w:sz="4" w:space="0" w:color="000000"/>
            </w:tcBorders>
          </w:tcPr>
          <w:p>
            <w:pPr>
              <w:pStyle w:val="TableParagraph"/>
              <w:spacing w:before="54"/>
              <w:ind w:right="494"/>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4"/>
              <w:ind w:left="100" w:right="26"/>
              <w:jc w:val="center"/>
              <w:rPr>
                <w:sz w:val="18"/>
              </w:rPr>
            </w:pPr>
            <w:r>
              <w:rPr>
                <w:sz w:val="18"/>
              </w:rPr>
              <w:t>53</w:t>
            </w:r>
          </w:p>
        </w:tc>
        <w:tc>
          <w:tcPr>
            <w:tcW w:w="1334" w:type="dxa"/>
            <w:tcBorders>
              <w:right w:val="single" w:sz="4" w:space="0" w:color="000000"/>
            </w:tcBorders>
          </w:tcPr>
          <w:p>
            <w:pPr>
              <w:pStyle w:val="TableParagraph"/>
              <w:spacing w:before="54"/>
              <w:ind w:left="611"/>
              <w:rPr>
                <w:sz w:val="18"/>
              </w:rPr>
            </w:pPr>
            <w:r>
              <w:rPr>
                <w:sz w:val="18"/>
              </w:rPr>
              <w:t>55</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6.85E- 06</w:t>
            </w:r>
          </w:p>
        </w:tc>
        <w:tc>
          <w:tcPr>
            <w:tcW w:w="1352" w:type="dxa"/>
            <w:tcBorders>
              <w:left w:val="single" w:sz="4" w:space="0" w:color="000000"/>
            </w:tcBorders>
          </w:tcPr>
          <w:p>
            <w:pPr>
              <w:pStyle w:val="TableParagraph"/>
              <w:spacing w:before="54"/>
              <w:ind w:left="261" w:right="335"/>
              <w:jc w:val="center"/>
              <w:rPr>
                <w:sz w:val="18"/>
              </w:rPr>
            </w:pPr>
            <w:r>
              <w:rPr>
                <w:sz w:val="18"/>
              </w:rPr>
              <w:t>4.22E- 05</w:t>
            </w:r>
          </w:p>
        </w:tc>
        <w:tc>
          <w:tcPr>
            <w:tcW w:w="1180" w:type="dxa"/>
            <w:tcBorders>
              <w:right w:val="single" w:sz="4" w:space="0" w:color="000000"/>
            </w:tcBorders>
          </w:tcPr>
          <w:p>
            <w:pPr>
              <w:pStyle w:val="TableParagraph"/>
              <w:spacing w:before="54"/>
              <w:ind w:left="100" w:right="172"/>
              <w:jc w:val="center"/>
              <w:rPr>
                <w:sz w:val="18"/>
              </w:rPr>
            </w:pPr>
            <w:r>
              <w:rPr>
                <w:sz w:val="18"/>
              </w:rPr>
              <w:t>0.999946</w:t>
            </w:r>
          </w:p>
        </w:tc>
      </w:tr>
      <w:tr>
        <w:trPr>
          <w:trHeight w:val="339" w:hRule="atLeast"/>
        </w:trPr>
        <w:tc>
          <w:tcPr>
            <w:tcW w:w="2549" w:type="dxa"/>
            <w:gridSpan w:val="2"/>
            <w:tcBorders>
              <w:left w:val="single" w:sz="4" w:space="0" w:color="000000"/>
              <w:right w:val="single" w:sz="4" w:space="0" w:color="000000"/>
            </w:tcBorders>
          </w:tcPr>
          <w:p>
            <w:pPr>
              <w:pStyle w:val="TableParagraph"/>
              <w:tabs>
                <w:tab w:pos="1732" w:val="left" w:leader="none"/>
              </w:tabs>
              <w:spacing w:before="54"/>
              <w:ind w:left="455"/>
              <w:rPr>
                <w:sz w:val="18"/>
              </w:rPr>
            </w:pPr>
            <w:r>
              <w:rPr>
                <w:sz w:val="18"/>
              </w:rPr>
              <w:t>5.B</w:t>
              <w:tab/>
              <w:t>N</w:t>
            </w:r>
            <w:r>
              <w:rPr>
                <w:sz w:val="18"/>
                <w:vertAlign w:val="subscript"/>
              </w:rPr>
              <w:t>2</w:t>
            </w:r>
            <w:r>
              <w:rPr>
                <w:sz w:val="18"/>
                <w:vertAlign w:val="baseline"/>
              </w:rPr>
              <w:t>O</w:t>
            </w:r>
          </w:p>
        </w:tc>
        <w:tc>
          <w:tcPr>
            <w:tcW w:w="1200" w:type="dxa"/>
            <w:tcBorders>
              <w:left w:val="single" w:sz="4" w:space="0" w:color="000000"/>
            </w:tcBorders>
          </w:tcPr>
          <w:p>
            <w:pPr>
              <w:pStyle w:val="TableParagraph"/>
              <w:spacing w:before="54"/>
              <w:ind w:left="99" w:right="26"/>
              <w:jc w:val="center"/>
              <w:rPr>
                <w:sz w:val="18"/>
              </w:rPr>
            </w:pPr>
            <w:r>
              <w:rPr>
                <w:sz w:val="18"/>
              </w:rPr>
              <w:t>22</w:t>
            </w:r>
          </w:p>
        </w:tc>
        <w:tc>
          <w:tcPr>
            <w:tcW w:w="1334" w:type="dxa"/>
            <w:tcBorders>
              <w:right w:val="single" w:sz="4" w:space="0" w:color="000000"/>
            </w:tcBorders>
          </w:tcPr>
          <w:p>
            <w:pPr>
              <w:pStyle w:val="TableParagraph"/>
              <w:spacing w:before="54"/>
              <w:ind w:left="611"/>
              <w:rPr>
                <w:sz w:val="18"/>
              </w:rPr>
            </w:pPr>
            <w:r>
              <w:rPr>
                <w:sz w:val="18"/>
              </w:rPr>
              <w:t>24</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4.42E- 06</w:t>
            </w:r>
          </w:p>
        </w:tc>
        <w:tc>
          <w:tcPr>
            <w:tcW w:w="1352" w:type="dxa"/>
            <w:tcBorders>
              <w:left w:val="single" w:sz="4" w:space="0" w:color="000000"/>
            </w:tcBorders>
          </w:tcPr>
          <w:p>
            <w:pPr>
              <w:pStyle w:val="TableParagraph"/>
              <w:spacing w:before="54"/>
              <w:ind w:left="260" w:right="335"/>
              <w:jc w:val="center"/>
              <w:rPr>
                <w:sz w:val="18"/>
              </w:rPr>
            </w:pPr>
            <w:r>
              <w:rPr>
                <w:sz w:val="18"/>
              </w:rPr>
              <w:t>2.72E- 05</w:t>
            </w:r>
          </w:p>
        </w:tc>
        <w:tc>
          <w:tcPr>
            <w:tcW w:w="1180" w:type="dxa"/>
            <w:tcBorders>
              <w:right w:val="single" w:sz="4" w:space="0" w:color="000000"/>
            </w:tcBorders>
          </w:tcPr>
          <w:p>
            <w:pPr>
              <w:pStyle w:val="TableParagraph"/>
              <w:spacing w:before="54"/>
              <w:ind w:left="100" w:right="172"/>
              <w:jc w:val="center"/>
              <w:rPr>
                <w:sz w:val="18"/>
              </w:rPr>
            </w:pPr>
            <w:r>
              <w:rPr>
                <w:sz w:val="18"/>
              </w:rPr>
              <w:t>0.999974</w:t>
            </w:r>
          </w:p>
        </w:tc>
      </w:tr>
      <w:tr>
        <w:trPr>
          <w:trHeight w:val="339" w:hRule="atLeast"/>
        </w:trPr>
        <w:tc>
          <w:tcPr>
            <w:tcW w:w="1302" w:type="dxa"/>
            <w:tcBorders>
              <w:left w:val="single" w:sz="4" w:space="0" w:color="000000"/>
            </w:tcBorders>
          </w:tcPr>
          <w:p>
            <w:pPr>
              <w:pStyle w:val="TableParagraph"/>
              <w:spacing w:before="52"/>
              <w:ind w:left="455"/>
              <w:rPr>
                <w:sz w:val="18"/>
              </w:rPr>
            </w:pPr>
            <w:r>
              <w:rPr>
                <w:sz w:val="18"/>
              </w:rPr>
              <w:t>5.C</w:t>
            </w:r>
          </w:p>
        </w:tc>
        <w:tc>
          <w:tcPr>
            <w:tcW w:w="1247" w:type="dxa"/>
            <w:tcBorders>
              <w:right w:val="single" w:sz="4" w:space="0" w:color="000000"/>
            </w:tcBorders>
          </w:tcPr>
          <w:p>
            <w:pPr>
              <w:pStyle w:val="TableParagraph"/>
              <w:spacing w:before="52"/>
              <w:ind w:right="494"/>
              <w:jc w:val="right"/>
              <w:rPr>
                <w:sz w:val="18"/>
              </w:rPr>
            </w:pPr>
            <w:r>
              <w:rPr>
                <w:w w:val="95"/>
                <w:sz w:val="18"/>
              </w:rPr>
              <w:t>CO</w:t>
            </w:r>
            <w:r>
              <w:rPr>
                <w:w w:val="95"/>
                <w:sz w:val="18"/>
                <w:vertAlign w:val="subscript"/>
              </w:rPr>
              <w:t>2</w:t>
            </w:r>
          </w:p>
        </w:tc>
        <w:tc>
          <w:tcPr>
            <w:tcW w:w="1200" w:type="dxa"/>
            <w:tcBorders>
              <w:left w:val="single" w:sz="4" w:space="0" w:color="000000"/>
            </w:tcBorders>
          </w:tcPr>
          <w:p>
            <w:pPr>
              <w:pStyle w:val="TableParagraph"/>
              <w:spacing w:before="57"/>
              <w:ind w:left="99" w:right="26"/>
              <w:jc w:val="center"/>
              <w:rPr>
                <w:b/>
                <w:sz w:val="18"/>
              </w:rPr>
            </w:pPr>
            <w:r>
              <w:rPr>
                <w:b/>
                <w:sz w:val="18"/>
              </w:rPr>
              <w:t>- 48</w:t>
            </w:r>
          </w:p>
        </w:tc>
        <w:tc>
          <w:tcPr>
            <w:tcW w:w="1334" w:type="dxa"/>
            <w:tcBorders>
              <w:right w:val="single" w:sz="4" w:space="0" w:color="000000"/>
            </w:tcBorders>
          </w:tcPr>
          <w:p>
            <w:pPr>
              <w:pStyle w:val="TableParagraph"/>
              <w:spacing w:before="57"/>
              <w:ind w:left="570"/>
              <w:rPr>
                <w:b/>
                <w:sz w:val="18"/>
              </w:rPr>
            </w:pPr>
            <w:r>
              <w:rPr>
                <w:b/>
                <w:sz w:val="18"/>
              </w:rPr>
              <w:t>- 48</w:t>
            </w:r>
          </w:p>
        </w:tc>
        <w:tc>
          <w:tcPr>
            <w:tcW w:w="1267" w:type="dxa"/>
            <w:tcBorders>
              <w:left w:val="single" w:sz="4" w:space="0" w:color="000000"/>
              <w:right w:val="single" w:sz="4" w:space="0" w:color="000000"/>
            </w:tcBorders>
          </w:tcPr>
          <w:p>
            <w:pPr>
              <w:pStyle w:val="TableParagraph"/>
              <w:spacing w:before="52"/>
              <w:ind w:left="213" w:right="204"/>
              <w:jc w:val="center"/>
              <w:rPr>
                <w:sz w:val="18"/>
              </w:rPr>
            </w:pPr>
            <w:r>
              <w:rPr>
                <w:sz w:val="18"/>
              </w:rPr>
              <w:t>2.43E- 06</w:t>
            </w:r>
          </w:p>
        </w:tc>
        <w:tc>
          <w:tcPr>
            <w:tcW w:w="1352" w:type="dxa"/>
            <w:tcBorders>
              <w:left w:val="single" w:sz="4" w:space="0" w:color="000000"/>
            </w:tcBorders>
          </w:tcPr>
          <w:p>
            <w:pPr>
              <w:pStyle w:val="TableParagraph"/>
              <w:spacing w:before="52"/>
              <w:ind w:left="261" w:right="335"/>
              <w:jc w:val="center"/>
              <w:rPr>
                <w:sz w:val="18"/>
              </w:rPr>
            </w:pPr>
            <w:r>
              <w:rPr>
                <w:sz w:val="18"/>
              </w:rPr>
              <w:t>1.5E- 05</w:t>
            </w:r>
          </w:p>
        </w:tc>
        <w:tc>
          <w:tcPr>
            <w:tcW w:w="1180" w:type="dxa"/>
            <w:tcBorders>
              <w:right w:val="single" w:sz="4" w:space="0" w:color="000000"/>
            </w:tcBorders>
          </w:tcPr>
          <w:p>
            <w:pPr>
              <w:pStyle w:val="TableParagraph"/>
              <w:spacing w:before="52"/>
              <w:ind w:left="101" w:right="172"/>
              <w:jc w:val="center"/>
              <w:rPr>
                <w:sz w:val="18"/>
              </w:rPr>
            </w:pPr>
            <w:r>
              <w:rPr>
                <w:sz w:val="18"/>
              </w:rPr>
              <w:t>0.999989</w:t>
            </w:r>
          </w:p>
        </w:tc>
      </w:tr>
      <w:tr>
        <w:trPr>
          <w:trHeight w:val="340" w:hRule="atLeast"/>
        </w:trPr>
        <w:tc>
          <w:tcPr>
            <w:tcW w:w="1302" w:type="dxa"/>
            <w:tcBorders>
              <w:left w:val="single" w:sz="4" w:space="0" w:color="000000"/>
            </w:tcBorders>
          </w:tcPr>
          <w:p>
            <w:pPr>
              <w:pStyle w:val="TableParagraph"/>
              <w:spacing w:before="54"/>
              <w:ind w:left="455"/>
              <w:rPr>
                <w:sz w:val="18"/>
              </w:rPr>
            </w:pPr>
            <w:r>
              <w:rPr>
                <w:sz w:val="18"/>
              </w:rPr>
              <w:t>1.AA.2</w:t>
            </w:r>
          </w:p>
        </w:tc>
        <w:tc>
          <w:tcPr>
            <w:tcW w:w="1247" w:type="dxa"/>
            <w:tcBorders>
              <w:right w:val="single" w:sz="4" w:space="0" w:color="000000"/>
            </w:tcBorders>
          </w:tcPr>
          <w:p>
            <w:pPr>
              <w:pStyle w:val="TableParagraph"/>
              <w:spacing w:before="54"/>
              <w:ind w:right="494"/>
              <w:jc w:val="right"/>
              <w:rPr>
                <w:sz w:val="18"/>
              </w:rPr>
            </w:pPr>
            <w:r>
              <w:rPr>
                <w:w w:val="95"/>
                <w:sz w:val="18"/>
              </w:rPr>
              <w:t>CH</w:t>
            </w:r>
            <w:r>
              <w:rPr>
                <w:w w:val="95"/>
                <w:sz w:val="18"/>
                <w:vertAlign w:val="subscript"/>
              </w:rPr>
              <w:t>4</w:t>
            </w:r>
          </w:p>
        </w:tc>
        <w:tc>
          <w:tcPr>
            <w:tcW w:w="1200" w:type="dxa"/>
            <w:tcBorders>
              <w:left w:val="single" w:sz="4" w:space="0" w:color="000000"/>
            </w:tcBorders>
          </w:tcPr>
          <w:p>
            <w:pPr>
              <w:pStyle w:val="TableParagraph"/>
              <w:spacing w:before="54"/>
              <w:ind w:left="100" w:right="26"/>
              <w:jc w:val="center"/>
              <w:rPr>
                <w:sz w:val="18"/>
              </w:rPr>
            </w:pPr>
            <w:r>
              <w:rPr>
                <w:sz w:val="18"/>
              </w:rPr>
              <w:t>82</w:t>
            </w:r>
          </w:p>
        </w:tc>
        <w:tc>
          <w:tcPr>
            <w:tcW w:w="1334" w:type="dxa"/>
            <w:tcBorders>
              <w:right w:val="single" w:sz="4" w:space="0" w:color="000000"/>
            </w:tcBorders>
          </w:tcPr>
          <w:p>
            <w:pPr>
              <w:pStyle w:val="TableParagraph"/>
              <w:spacing w:before="54"/>
              <w:ind w:left="611"/>
              <w:rPr>
                <w:sz w:val="18"/>
              </w:rPr>
            </w:pPr>
            <w:r>
              <w:rPr>
                <w:sz w:val="18"/>
              </w:rPr>
              <w:t>81</w:t>
            </w:r>
          </w:p>
        </w:tc>
        <w:tc>
          <w:tcPr>
            <w:tcW w:w="1267" w:type="dxa"/>
            <w:tcBorders>
              <w:left w:val="single" w:sz="4" w:space="0" w:color="000000"/>
              <w:right w:val="single" w:sz="4" w:space="0" w:color="000000"/>
            </w:tcBorders>
          </w:tcPr>
          <w:p>
            <w:pPr>
              <w:pStyle w:val="TableParagraph"/>
              <w:spacing w:before="54"/>
              <w:ind w:left="211" w:right="204"/>
              <w:jc w:val="center"/>
              <w:rPr>
                <w:sz w:val="18"/>
              </w:rPr>
            </w:pPr>
            <w:r>
              <w:rPr>
                <w:sz w:val="18"/>
              </w:rPr>
              <w:t>7.13E- 07</w:t>
            </w:r>
          </w:p>
        </w:tc>
        <w:tc>
          <w:tcPr>
            <w:tcW w:w="1352" w:type="dxa"/>
            <w:tcBorders>
              <w:left w:val="single" w:sz="4" w:space="0" w:color="000000"/>
            </w:tcBorders>
          </w:tcPr>
          <w:p>
            <w:pPr>
              <w:pStyle w:val="TableParagraph"/>
              <w:spacing w:before="54"/>
              <w:ind w:left="261" w:right="335"/>
              <w:jc w:val="center"/>
              <w:rPr>
                <w:sz w:val="18"/>
              </w:rPr>
            </w:pPr>
            <w:r>
              <w:rPr>
                <w:sz w:val="18"/>
              </w:rPr>
              <w:t>4.39E- 06</w:t>
            </w:r>
          </w:p>
        </w:tc>
        <w:tc>
          <w:tcPr>
            <w:tcW w:w="1180" w:type="dxa"/>
            <w:tcBorders>
              <w:right w:val="single" w:sz="4" w:space="0" w:color="000000"/>
            </w:tcBorders>
          </w:tcPr>
          <w:p>
            <w:pPr>
              <w:pStyle w:val="TableParagraph"/>
              <w:spacing w:before="54"/>
              <w:ind w:left="100" w:right="172"/>
              <w:jc w:val="center"/>
              <w:rPr>
                <w:sz w:val="18"/>
              </w:rPr>
            </w:pPr>
            <w:r>
              <w:rPr>
                <w:sz w:val="18"/>
              </w:rPr>
              <w:t>0.999993</w:t>
            </w:r>
          </w:p>
        </w:tc>
      </w:tr>
      <w:tr>
        <w:trPr>
          <w:trHeight w:val="339" w:hRule="atLeast"/>
        </w:trPr>
        <w:tc>
          <w:tcPr>
            <w:tcW w:w="1302" w:type="dxa"/>
            <w:tcBorders>
              <w:left w:val="single" w:sz="4" w:space="0" w:color="000000"/>
            </w:tcBorders>
          </w:tcPr>
          <w:p>
            <w:pPr>
              <w:pStyle w:val="TableParagraph"/>
              <w:spacing w:before="54"/>
              <w:ind w:left="455"/>
              <w:rPr>
                <w:sz w:val="18"/>
              </w:rPr>
            </w:pPr>
            <w:r>
              <w:rPr>
                <w:sz w:val="18"/>
              </w:rPr>
              <w:t>1.B.2</w:t>
            </w:r>
          </w:p>
        </w:tc>
        <w:tc>
          <w:tcPr>
            <w:tcW w:w="1247" w:type="dxa"/>
            <w:tcBorders>
              <w:right w:val="single" w:sz="4" w:space="0" w:color="000000"/>
            </w:tcBorders>
          </w:tcPr>
          <w:p>
            <w:pPr>
              <w:pStyle w:val="TableParagraph"/>
              <w:spacing w:before="54"/>
              <w:ind w:right="484"/>
              <w:jc w:val="right"/>
              <w:rPr>
                <w:sz w:val="18"/>
              </w:rPr>
            </w:pPr>
            <w:r>
              <w:rPr>
                <w:w w:val="95"/>
                <w:sz w:val="18"/>
              </w:rPr>
              <w:t>N</w:t>
            </w:r>
            <w:r>
              <w:rPr>
                <w:w w:val="95"/>
                <w:sz w:val="18"/>
                <w:vertAlign w:val="subscript"/>
              </w:rPr>
              <w:t>2</w:t>
            </w:r>
            <w:r>
              <w:rPr>
                <w:w w:val="95"/>
                <w:sz w:val="18"/>
                <w:vertAlign w:val="baseline"/>
              </w:rPr>
              <w:t>O</w:t>
            </w:r>
          </w:p>
        </w:tc>
        <w:tc>
          <w:tcPr>
            <w:tcW w:w="1200" w:type="dxa"/>
            <w:tcBorders>
              <w:left w:val="single" w:sz="4" w:space="0" w:color="000000"/>
            </w:tcBorders>
          </w:tcPr>
          <w:p>
            <w:pPr>
              <w:pStyle w:val="TableParagraph"/>
              <w:spacing w:before="54"/>
              <w:ind w:left="100" w:right="26"/>
              <w:jc w:val="center"/>
              <w:rPr>
                <w:sz w:val="18"/>
              </w:rPr>
            </w:pPr>
            <w:r>
              <w:rPr>
                <w:sz w:val="18"/>
              </w:rPr>
              <w:t>..</w:t>
            </w:r>
          </w:p>
        </w:tc>
        <w:tc>
          <w:tcPr>
            <w:tcW w:w="1334" w:type="dxa"/>
            <w:tcBorders>
              <w:right w:val="single" w:sz="4" w:space="0" w:color="000000"/>
            </w:tcBorders>
          </w:tcPr>
          <w:p>
            <w:pPr>
              <w:pStyle w:val="TableParagraph"/>
              <w:spacing w:before="54"/>
              <w:ind w:left="656"/>
              <w:rPr>
                <w:sz w:val="18"/>
              </w:rPr>
            </w:pPr>
            <w:r>
              <w:rPr>
                <w:sz w:val="18"/>
              </w:rPr>
              <w:t>0</w:t>
            </w:r>
          </w:p>
        </w:tc>
        <w:tc>
          <w:tcPr>
            <w:tcW w:w="1267" w:type="dxa"/>
            <w:tcBorders>
              <w:left w:val="single" w:sz="4" w:space="0" w:color="000000"/>
              <w:right w:val="single" w:sz="4" w:space="0" w:color="000000"/>
            </w:tcBorders>
          </w:tcPr>
          <w:p>
            <w:pPr>
              <w:pStyle w:val="TableParagraph"/>
              <w:spacing w:before="54"/>
              <w:ind w:left="210" w:right="204"/>
              <w:jc w:val="center"/>
              <w:rPr>
                <w:sz w:val="18"/>
              </w:rPr>
            </w:pPr>
            <w:r>
              <w:rPr>
                <w:sz w:val="18"/>
              </w:rPr>
              <w:t>5.74E- 07</w:t>
            </w:r>
          </w:p>
        </w:tc>
        <w:tc>
          <w:tcPr>
            <w:tcW w:w="1352" w:type="dxa"/>
            <w:tcBorders>
              <w:left w:val="single" w:sz="4" w:space="0" w:color="000000"/>
            </w:tcBorders>
          </w:tcPr>
          <w:p>
            <w:pPr>
              <w:pStyle w:val="TableParagraph"/>
              <w:spacing w:before="54"/>
              <w:ind w:left="260" w:right="335"/>
              <w:jc w:val="center"/>
              <w:rPr>
                <w:sz w:val="18"/>
              </w:rPr>
            </w:pPr>
            <w:r>
              <w:rPr>
                <w:sz w:val="18"/>
              </w:rPr>
              <w:t>3.54E- 06</w:t>
            </w:r>
          </w:p>
        </w:tc>
        <w:tc>
          <w:tcPr>
            <w:tcW w:w="1180" w:type="dxa"/>
            <w:tcBorders>
              <w:right w:val="single" w:sz="4" w:space="0" w:color="000000"/>
            </w:tcBorders>
          </w:tcPr>
          <w:p>
            <w:pPr>
              <w:pStyle w:val="TableParagraph"/>
              <w:spacing w:before="54"/>
              <w:ind w:left="100" w:right="172"/>
              <w:jc w:val="center"/>
              <w:rPr>
                <w:sz w:val="18"/>
              </w:rPr>
            </w:pPr>
            <w:r>
              <w:rPr>
                <w:sz w:val="18"/>
              </w:rPr>
              <w:t>0.999996</w:t>
            </w:r>
          </w:p>
        </w:tc>
      </w:tr>
      <w:tr>
        <w:trPr>
          <w:trHeight w:val="331" w:hRule="atLeast"/>
        </w:trPr>
        <w:tc>
          <w:tcPr>
            <w:tcW w:w="1302" w:type="dxa"/>
            <w:tcBorders>
              <w:left w:val="single" w:sz="4" w:space="0" w:color="000000"/>
              <w:bottom w:val="single" w:sz="4" w:space="0" w:color="000000"/>
            </w:tcBorders>
          </w:tcPr>
          <w:p>
            <w:pPr>
              <w:pStyle w:val="TableParagraph"/>
              <w:spacing w:before="52"/>
              <w:ind w:left="455"/>
              <w:rPr>
                <w:sz w:val="18"/>
              </w:rPr>
            </w:pPr>
            <w:r>
              <w:rPr>
                <w:sz w:val="18"/>
              </w:rPr>
              <w:t>1.B.2</w:t>
            </w:r>
          </w:p>
        </w:tc>
        <w:tc>
          <w:tcPr>
            <w:tcW w:w="1247" w:type="dxa"/>
            <w:tcBorders>
              <w:bottom w:val="single" w:sz="4" w:space="0" w:color="000000"/>
              <w:right w:val="single" w:sz="4" w:space="0" w:color="000000"/>
            </w:tcBorders>
          </w:tcPr>
          <w:p>
            <w:pPr>
              <w:pStyle w:val="TableParagraph"/>
              <w:spacing w:before="52"/>
              <w:ind w:right="484"/>
              <w:jc w:val="right"/>
              <w:rPr>
                <w:sz w:val="18"/>
              </w:rPr>
            </w:pPr>
            <w:r>
              <w:rPr>
                <w:w w:val="95"/>
                <w:sz w:val="18"/>
              </w:rPr>
              <w:t>N</w:t>
            </w:r>
            <w:r>
              <w:rPr>
                <w:w w:val="95"/>
                <w:sz w:val="18"/>
                <w:vertAlign w:val="subscript"/>
              </w:rPr>
              <w:t>2</w:t>
            </w:r>
            <w:r>
              <w:rPr>
                <w:w w:val="95"/>
                <w:sz w:val="18"/>
                <w:vertAlign w:val="baseline"/>
              </w:rPr>
              <w:t>O</w:t>
            </w:r>
          </w:p>
        </w:tc>
        <w:tc>
          <w:tcPr>
            <w:tcW w:w="1200" w:type="dxa"/>
            <w:tcBorders>
              <w:left w:val="single" w:sz="4" w:space="0" w:color="000000"/>
              <w:bottom w:val="single" w:sz="4" w:space="0" w:color="000000"/>
            </w:tcBorders>
          </w:tcPr>
          <w:p>
            <w:pPr>
              <w:pStyle w:val="TableParagraph"/>
              <w:spacing w:before="52"/>
              <w:ind w:left="100" w:right="26"/>
              <w:jc w:val="center"/>
              <w:rPr>
                <w:sz w:val="18"/>
              </w:rPr>
            </w:pPr>
            <w:r>
              <w:rPr>
                <w:sz w:val="18"/>
              </w:rPr>
              <w:t>..</w:t>
            </w:r>
          </w:p>
        </w:tc>
        <w:tc>
          <w:tcPr>
            <w:tcW w:w="1334" w:type="dxa"/>
            <w:tcBorders>
              <w:bottom w:val="single" w:sz="4" w:space="0" w:color="000000"/>
              <w:right w:val="single" w:sz="4" w:space="0" w:color="000000"/>
            </w:tcBorders>
          </w:tcPr>
          <w:p>
            <w:pPr>
              <w:pStyle w:val="TableParagraph"/>
              <w:spacing w:before="52"/>
              <w:ind w:left="656"/>
              <w:rPr>
                <w:sz w:val="18"/>
              </w:rPr>
            </w:pPr>
            <w:r>
              <w:rPr>
                <w:sz w:val="18"/>
              </w:rPr>
              <w:t>0</w:t>
            </w:r>
          </w:p>
        </w:tc>
        <w:tc>
          <w:tcPr>
            <w:tcW w:w="1267" w:type="dxa"/>
            <w:tcBorders>
              <w:left w:val="single" w:sz="4" w:space="0" w:color="000000"/>
              <w:bottom w:val="single" w:sz="4" w:space="0" w:color="000000"/>
              <w:right w:val="single" w:sz="4" w:space="0" w:color="000000"/>
            </w:tcBorders>
          </w:tcPr>
          <w:p>
            <w:pPr>
              <w:pStyle w:val="TableParagraph"/>
              <w:spacing w:before="52"/>
              <w:ind w:left="210" w:right="204"/>
              <w:jc w:val="center"/>
              <w:rPr>
                <w:sz w:val="18"/>
              </w:rPr>
            </w:pPr>
            <w:r>
              <w:rPr>
                <w:sz w:val="18"/>
              </w:rPr>
              <w:t>5.74E- 07</w:t>
            </w:r>
          </w:p>
        </w:tc>
        <w:tc>
          <w:tcPr>
            <w:tcW w:w="1352" w:type="dxa"/>
            <w:tcBorders>
              <w:left w:val="single" w:sz="4" w:space="0" w:color="000000"/>
              <w:bottom w:val="single" w:sz="4" w:space="0" w:color="000000"/>
            </w:tcBorders>
          </w:tcPr>
          <w:p>
            <w:pPr>
              <w:pStyle w:val="TableParagraph"/>
              <w:spacing w:before="52"/>
              <w:ind w:left="260" w:right="335"/>
              <w:jc w:val="center"/>
              <w:rPr>
                <w:sz w:val="18"/>
              </w:rPr>
            </w:pPr>
            <w:r>
              <w:rPr>
                <w:sz w:val="18"/>
              </w:rPr>
              <w:t>3.54E- 06</w:t>
            </w:r>
          </w:p>
        </w:tc>
        <w:tc>
          <w:tcPr>
            <w:tcW w:w="1180" w:type="dxa"/>
            <w:tcBorders>
              <w:bottom w:val="single" w:sz="4" w:space="0" w:color="000000"/>
              <w:right w:val="single" w:sz="4" w:space="0" w:color="000000"/>
            </w:tcBorders>
          </w:tcPr>
          <w:p>
            <w:pPr>
              <w:pStyle w:val="TableParagraph"/>
              <w:spacing w:before="52"/>
              <w:ind w:right="71"/>
              <w:jc w:val="center"/>
              <w:rPr>
                <w:sz w:val="18"/>
              </w:rPr>
            </w:pPr>
            <w:r>
              <w:rPr>
                <w:sz w:val="18"/>
              </w:rPr>
              <w:t>1</w:t>
            </w:r>
          </w:p>
        </w:tc>
      </w:tr>
      <w:tr>
        <w:trPr>
          <w:trHeight w:val="285" w:hRule="atLeast"/>
        </w:trPr>
        <w:tc>
          <w:tcPr>
            <w:tcW w:w="8882" w:type="dxa"/>
            <w:gridSpan w:val="7"/>
            <w:tcBorders>
              <w:top w:val="single" w:sz="4" w:space="0" w:color="000000"/>
              <w:left w:val="single" w:sz="4" w:space="0" w:color="000000"/>
              <w:bottom w:val="single" w:sz="4" w:space="0" w:color="000000"/>
              <w:right w:val="single" w:sz="4" w:space="0" w:color="000000"/>
            </w:tcBorders>
          </w:tcPr>
          <w:p>
            <w:pPr>
              <w:pStyle w:val="TableParagraph"/>
              <w:spacing w:before="21"/>
              <w:ind w:left="93"/>
              <w:rPr>
                <w:sz w:val="16"/>
              </w:rPr>
            </w:pPr>
            <w:r>
              <w:rPr>
                <w:position w:val="7"/>
                <w:sz w:val="10"/>
              </w:rPr>
              <w:t>a </w:t>
            </w:r>
            <w:r>
              <w:rPr>
                <w:sz w:val="16"/>
              </w:rPr>
              <w:t>Additional LULUCFs identified are shaded.</w:t>
            </w:r>
          </w:p>
        </w:tc>
      </w:tr>
    </w:tbl>
    <w:p>
      <w:pPr>
        <w:spacing w:after="0"/>
        <w:rPr>
          <w:sz w:val="16"/>
        </w:rPr>
        <w:sectPr>
          <w:pgSz w:w="11900" w:h="16840"/>
          <w:pgMar w:header="230" w:footer="408" w:top="560" w:bottom="600" w:left="1240" w:right="0"/>
        </w:sectPr>
      </w:pPr>
    </w:p>
    <w:p>
      <w:pPr>
        <w:pStyle w:val="BodyText"/>
      </w:pPr>
    </w:p>
    <w:p>
      <w:pPr>
        <w:pStyle w:val="BodyText"/>
      </w:pPr>
    </w:p>
    <w:p>
      <w:pPr>
        <w:pStyle w:val="Heading2"/>
        <w:numPr>
          <w:ilvl w:val="1"/>
          <w:numId w:val="182"/>
        </w:numPr>
        <w:tabs>
          <w:tab w:pos="1381" w:val="left" w:leader="none"/>
          <w:tab w:pos="1382" w:val="left" w:leader="none"/>
        </w:tabs>
        <w:spacing w:line="240" w:lineRule="auto" w:before="225" w:after="0"/>
        <w:ind w:left="1381" w:right="2839" w:hanging="1202"/>
        <w:jc w:val="left"/>
      </w:pPr>
      <w:bookmarkStart w:name="_TOC_250020" w:id="35"/>
      <w:r>
        <w:rPr>
          <w:spacing w:val="17"/>
        </w:rPr>
        <w:t>QUALITY ASSURANCE </w:t>
      </w:r>
      <w:r>
        <w:rPr>
          <w:spacing w:val="13"/>
        </w:rPr>
        <w:t>AND </w:t>
      </w:r>
      <w:r>
        <w:rPr>
          <w:spacing w:val="15"/>
        </w:rPr>
        <w:t>QUALITY </w:t>
      </w:r>
      <w:bookmarkEnd w:id="35"/>
      <w:r>
        <w:rPr>
          <w:spacing w:val="19"/>
        </w:rPr>
        <w:t>CONTROL</w:t>
      </w:r>
    </w:p>
    <w:p>
      <w:pPr>
        <w:pStyle w:val="BodyText"/>
        <w:rPr>
          <w:b/>
          <w:sz w:val="47"/>
        </w:rPr>
      </w:pPr>
    </w:p>
    <w:p>
      <w:pPr>
        <w:pStyle w:val="Heading2"/>
        <w:numPr>
          <w:ilvl w:val="2"/>
          <w:numId w:val="182"/>
        </w:numPr>
        <w:tabs>
          <w:tab w:pos="1381" w:val="left" w:leader="none"/>
          <w:tab w:pos="1382" w:val="left" w:leader="none"/>
        </w:tabs>
        <w:spacing w:line="240" w:lineRule="auto" w:before="0" w:after="0"/>
        <w:ind w:left="1381" w:right="0" w:hanging="1202"/>
        <w:jc w:val="left"/>
      </w:pPr>
      <w:bookmarkStart w:name="_TOC_250019" w:id="36"/>
      <w:bookmarkEnd w:id="36"/>
      <w:r>
        <w:rPr>
          <w:spacing w:val="8"/>
        </w:rPr>
        <w:t>Introduction</w:t>
      </w:r>
    </w:p>
    <w:p>
      <w:pPr>
        <w:pStyle w:val="BodyText"/>
        <w:spacing w:before="114"/>
        <w:ind w:left="179" w:right="1406"/>
        <w:jc w:val="both"/>
      </w:pPr>
      <w:r>
        <w:rPr/>
        <w:pict>
          <v:shape style="position:absolute;margin-left:91.960999pt;margin-top:116.316231pt;width:411.5pt;height:281.2pt;mso-position-horizontal-relative:page;mso-position-vertical-relative:paragraph;z-index:30272;mso-wrap-distance-left:0;mso-wrap-distance-right:0" type="#_x0000_t202" filled="false" stroked="true" strokeweight="1.44pt" strokecolor="#000000">
            <v:textbox inset="0,0,0,0">
              <w:txbxContent>
                <w:p>
                  <w:pPr>
                    <w:spacing w:line="207" w:lineRule="exact" w:before="100"/>
                    <w:ind w:left="67" w:right="68" w:firstLine="0"/>
                    <w:jc w:val="center"/>
                    <w:rPr>
                      <w:b/>
                      <w:sz w:val="18"/>
                    </w:rPr>
                  </w:pPr>
                  <w:r>
                    <w:rPr>
                      <w:b/>
                      <w:sz w:val="18"/>
                    </w:rPr>
                    <w:t>B</w:t>
                  </w:r>
                  <w:r>
                    <w:rPr>
                      <w:b/>
                      <w:sz w:val="14"/>
                    </w:rPr>
                    <w:t>OX </w:t>
                  </w:r>
                  <w:r>
                    <w:rPr>
                      <w:b/>
                      <w:sz w:val="18"/>
                    </w:rPr>
                    <w:t>5.5.1</w:t>
                  </w:r>
                </w:p>
                <w:p>
                  <w:pPr>
                    <w:spacing w:line="207" w:lineRule="exact" w:before="0"/>
                    <w:ind w:left="1773" w:right="0" w:firstLine="0"/>
                    <w:jc w:val="left"/>
                    <w:rPr>
                      <w:b/>
                      <w:sz w:val="14"/>
                    </w:rPr>
                  </w:pPr>
                  <w:r>
                    <w:rPr>
                      <w:b/>
                      <w:sz w:val="18"/>
                    </w:rPr>
                    <w:t>D</w:t>
                  </w:r>
                  <w:r>
                    <w:rPr>
                      <w:b/>
                      <w:sz w:val="14"/>
                    </w:rPr>
                    <w:t>EFINITIONS OF </w:t>
                  </w:r>
                  <w:r>
                    <w:rPr>
                      <w:b/>
                      <w:sz w:val="18"/>
                    </w:rPr>
                    <w:t>Q</w:t>
                  </w:r>
                  <w:r>
                    <w:rPr>
                      <w:b/>
                      <w:sz w:val="14"/>
                    </w:rPr>
                    <w:t>UALITY </w:t>
                  </w:r>
                  <w:r>
                    <w:rPr>
                      <w:b/>
                      <w:sz w:val="18"/>
                    </w:rPr>
                    <w:t>A</w:t>
                  </w:r>
                  <w:r>
                    <w:rPr>
                      <w:b/>
                      <w:sz w:val="14"/>
                    </w:rPr>
                    <w:t>SSURANCE AND </w:t>
                  </w:r>
                  <w:r>
                    <w:rPr>
                      <w:b/>
                      <w:sz w:val="18"/>
                    </w:rPr>
                    <w:t>Q</w:t>
                  </w:r>
                  <w:r>
                    <w:rPr>
                      <w:b/>
                      <w:sz w:val="14"/>
                    </w:rPr>
                    <w:t>UALITY </w:t>
                  </w:r>
                  <w:r>
                    <w:rPr>
                      <w:b/>
                      <w:sz w:val="18"/>
                    </w:rPr>
                    <w:t>C</w:t>
                  </w:r>
                  <w:r>
                    <w:rPr>
                      <w:b/>
                      <w:sz w:val="14"/>
                    </w:rPr>
                    <w:t>ONTROL</w:t>
                  </w:r>
                </w:p>
                <w:p>
                  <w:pPr>
                    <w:pStyle w:val="BodyText"/>
                    <w:spacing w:before="113"/>
                    <w:ind w:left="127" w:right="124"/>
                  </w:pPr>
                  <w:r>
                    <w:rPr>
                      <w:i/>
                    </w:rPr>
                    <w:t>Quality Control </w:t>
                  </w:r>
                  <w:r>
                    <w:rPr/>
                    <w:t>(QC) is a system of routine technical activities, to measure and control the quality of the inventory as it is being developed. The QC system is designed to:</w:t>
                  </w:r>
                </w:p>
                <w:p>
                  <w:pPr>
                    <w:pStyle w:val="BodyText"/>
                    <w:numPr>
                      <w:ilvl w:val="0"/>
                      <w:numId w:val="183"/>
                    </w:numPr>
                    <w:tabs>
                      <w:tab w:pos="367" w:val="left" w:leader="none"/>
                    </w:tabs>
                    <w:spacing w:line="240" w:lineRule="auto" w:before="121" w:after="0"/>
                    <w:ind w:left="366" w:right="0" w:hanging="239"/>
                    <w:jc w:val="left"/>
                  </w:pPr>
                  <w:r>
                    <w:rPr/>
                    <w:t>provide routine and consistent checks to ensure data integrity, correctness, and</w:t>
                  </w:r>
                  <w:r>
                    <w:rPr>
                      <w:spacing w:val="-19"/>
                    </w:rPr>
                    <w:t> </w:t>
                  </w:r>
                  <w:r>
                    <w:rPr/>
                    <w:t>completeness;</w:t>
                  </w:r>
                </w:p>
                <w:p>
                  <w:pPr>
                    <w:pStyle w:val="BodyText"/>
                    <w:numPr>
                      <w:ilvl w:val="0"/>
                      <w:numId w:val="183"/>
                    </w:numPr>
                    <w:tabs>
                      <w:tab w:pos="423" w:val="left" w:leader="none"/>
                    </w:tabs>
                    <w:spacing w:line="240" w:lineRule="auto" w:before="120" w:after="0"/>
                    <w:ind w:left="422" w:right="0" w:hanging="295"/>
                    <w:jc w:val="left"/>
                  </w:pPr>
                  <w:r>
                    <w:rPr/>
                    <w:t>identify and address errors and</w:t>
                  </w:r>
                  <w:r>
                    <w:rPr>
                      <w:spacing w:val="-3"/>
                    </w:rPr>
                    <w:t> </w:t>
                  </w:r>
                  <w:r>
                    <w:rPr/>
                    <w:t>omissions;</w:t>
                  </w:r>
                </w:p>
                <w:p>
                  <w:pPr>
                    <w:pStyle w:val="BodyText"/>
                    <w:numPr>
                      <w:ilvl w:val="0"/>
                      <w:numId w:val="183"/>
                    </w:numPr>
                    <w:tabs>
                      <w:tab w:pos="478" w:val="left" w:leader="none"/>
                    </w:tabs>
                    <w:spacing w:line="240" w:lineRule="auto" w:before="121" w:after="0"/>
                    <w:ind w:left="477" w:right="0" w:hanging="350"/>
                    <w:jc w:val="left"/>
                  </w:pPr>
                  <w:r>
                    <w:rPr/>
                    <w:t>document and archive inventory material and record all QC</w:t>
                  </w:r>
                  <w:r>
                    <w:rPr>
                      <w:spacing w:val="-3"/>
                    </w:rPr>
                    <w:t> </w:t>
                  </w:r>
                  <w:r>
                    <w:rPr/>
                    <w:t>activities.</w:t>
                  </w:r>
                </w:p>
                <w:p>
                  <w:pPr>
                    <w:pStyle w:val="BodyText"/>
                    <w:spacing w:before="120"/>
                    <w:ind w:left="127" w:right="123"/>
                    <w:jc w:val="both"/>
                  </w:pPr>
                  <w:r>
                    <w:rPr/>
                    <w:t>QC activities include general methods such as accuracy checks on data acquisition and  calculations and the use of approved standardised procedures for emission calculations, measurements, estimating uncertainties, archiving information and reporting. Higher tier QC activities include technical reviews of source or sink categories, activity and emission factor data, and</w:t>
                  </w:r>
                  <w:r>
                    <w:rPr>
                      <w:spacing w:val="2"/>
                    </w:rPr>
                    <w:t> </w:t>
                  </w:r>
                  <w:r>
                    <w:rPr/>
                    <w:t>methods.</w:t>
                  </w:r>
                </w:p>
                <w:p>
                  <w:pPr>
                    <w:pStyle w:val="BodyText"/>
                    <w:spacing w:before="120"/>
                    <w:ind w:left="127" w:right="119"/>
                    <w:jc w:val="both"/>
                  </w:pPr>
                  <w:r>
                    <w:rPr>
                      <w:i/>
                    </w:rPr>
                    <w:t>Quality Assurance </w:t>
                  </w:r>
                  <w:r>
                    <w:rPr/>
                    <w:t>(QA) activities include a planned system of review procedures conducted by personnel not directly involved in the inventory compilation/development process. Reviews, preferably by independent third parties, should be performed upon a finalised inventory following the implementation of QC procedures. Reviews verify that data quality objectives were  met, ensure that the inventory represents the best possible estimates of emissions and sinks given the current state of scientific knowledge and data available, and support the effectiveness of the QC programme.</w:t>
                  </w:r>
                </w:p>
                <w:p>
                  <w:pPr>
                    <w:pStyle w:val="BodyText"/>
                    <w:spacing w:before="121"/>
                    <w:ind w:left="127"/>
                    <w:jc w:val="both"/>
                  </w:pPr>
                  <w:r>
                    <w:rPr/>
                    <w:t>Source: IPCC (2000).</w:t>
                  </w:r>
                </w:p>
              </w:txbxContent>
            </v:textbox>
            <v:stroke dashstyle="solid"/>
            <w10:wrap type="topAndBottom"/>
          </v:shape>
        </w:pict>
      </w:r>
      <w:r>
        <w:rPr/>
        <w:t>The </w:t>
      </w:r>
      <w:r>
        <w:rPr>
          <w:i/>
        </w:rPr>
        <w:t>IPCC Good Practice Guidance and Uncertainty Management </w:t>
      </w:r>
      <w:r>
        <w:rPr/>
        <w:t>(</w:t>
      </w:r>
      <w:r>
        <w:rPr>
          <w:i/>
        </w:rPr>
        <w:t>GPG2000</w:t>
      </w:r>
      <w:r>
        <w:rPr/>
        <w:t>, IPCC, 2000), Chapter 8, Quality Assurance and Quality Control, defines quality assurance (QA) and quality control (QC), and provides guidance on the elements of a QA/QC system, taking into account the need for transparency and review. It also discusses the practical issues that inventory agencies must consider when allocating resources to QA/QC across the entire inventory and how to rationalise the prioritisation resources for the LULUCF sector. This section enumerates the types of procedures that an inventory agency should undertake in order to ensure that the inventory estimates and their contributing data are of high quality, with particular emphasis on issues in the LULUCF sector. The procedures also contribute to developing an inventory that can be readily assessed in terms of quality and completeness.</w:t>
      </w:r>
    </w:p>
    <w:p>
      <w:pPr>
        <w:pStyle w:val="BodyText"/>
        <w:spacing w:before="83"/>
        <w:ind w:left="179" w:right="1597" w:hanging="1"/>
      </w:pPr>
      <w:r>
        <w:rPr/>
        <w:t>Box 5.5.1 presents the definitions of quality control and quality assurance used in </w:t>
      </w:r>
      <w:r>
        <w:rPr>
          <w:i/>
        </w:rPr>
        <w:t>GPG2000</w:t>
      </w:r>
      <w:r>
        <w:rPr/>
        <w:t>. </w:t>
      </w:r>
      <w:r>
        <w:rPr>
          <w:i/>
        </w:rPr>
        <w:t>GPG2000 </w:t>
      </w:r>
      <w:r>
        <w:rPr/>
        <w:t>also identified the following elements of a complete QA/QC system:</w:t>
      </w:r>
    </w:p>
    <w:p>
      <w:pPr>
        <w:pStyle w:val="ListParagraph"/>
        <w:numPr>
          <w:ilvl w:val="1"/>
          <w:numId w:val="181"/>
        </w:numPr>
        <w:tabs>
          <w:tab w:pos="540" w:val="left" w:leader="none"/>
        </w:tabs>
        <w:spacing w:line="240" w:lineRule="auto" w:before="136" w:after="0"/>
        <w:ind w:left="539" w:right="0" w:hanging="360"/>
        <w:jc w:val="both"/>
        <w:rPr>
          <w:sz w:val="20"/>
        </w:rPr>
      </w:pPr>
      <w:r>
        <w:rPr>
          <w:sz w:val="20"/>
        </w:rPr>
        <w:t>An inventory agency responsible for coordinating QA/QC</w:t>
      </w:r>
      <w:r>
        <w:rPr>
          <w:spacing w:val="-9"/>
          <w:sz w:val="20"/>
        </w:rPr>
        <w:t> </w:t>
      </w:r>
      <w:r>
        <w:rPr>
          <w:sz w:val="20"/>
        </w:rPr>
        <w:t>activities;</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A QA/QC</w:t>
      </w:r>
      <w:r>
        <w:rPr>
          <w:spacing w:val="-3"/>
          <w:sz w:val="20"/>
        </w:rPr>
        <w:t> </w:t>
      </w:r>
      <w:r>
        <w:rPr>
          <w:sz w:val="20"/>
        </w:rPr>
        <w:t>plan;</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General QC procedures (Tier 1) that cross-cut all inventory</w:t>
      </w:r>
      <w:r>
        <w:rPr>
          <w:spacing w:val="-8"/>
          <w:sz w:val="20"/>
        </w:rPr>
        <w:t> </w:t>
      </w:r>
      <w:r>
        <w:rPr>
          <w:sz w:val="20"/>
        </w:rPr>
        <w:t>categories;</w:t>
      </w:r>
    </w:p>
    <w:p>
      <w:pPr>
        <w:pStyle w:val="ListParagraph"/>
        <w:numPr>
          <w:ilvl w:val="1"/>
          <w:numId w:val="181"/>
        </w:numPr>
        <w:tabs>
          <w:tab w:pos="540" w:val="left" w:leader="none"/>
        </w:tabs>
        <w:spacing w:line="240" w:lineRule="auto" w:before="119" w:after="0"/>
        <w:ind w:left="539" w:right="0" w:hanging="360"/>
        <w:jc w:val="both"/>
        <w:rPr>
          <w:sz w:val="20"/>
        </w:rPr>
      </w:pPr>
      <w:r>
        <w:rPr>
          <w:sz w:val="20"/>
        </w:rPr>
        <w:t>Source or sink category-specific QC procedures (Tier 2) that require knowledge of data and</w:t>
      </w:r>
      <w:r>
        <w:rPr>
          <w:spacing w:val="-15"/>
          <w:sz w:val="20"/>
        </w:rPr>
        <w:t> </w:t>
      </w:r>
      <w:r>
        <w:rPr>
          <w:sz w:val="20"/>
        </w:rPr>
        <w:t>methods;</w:t>
      </w:r>
    </w:p>
    <w:p>
      <w:pPr>
        <w:pStyle w:val="ListParagraph"/>
        <w:numPr>
          <w:ilvl w:val="1"/>
          <w:numId w:val="181"/>
        </w:numPr>
        <w:tabs>
          <w:tab w:pos="540" w:val="left" w:leader="none"/>
        </w:tabs>
        <w:spacing w:line="240" w:lineRule="auto" w:before="115" w:after="0"/>
        <w:ind w:left="539" w:right="0" w:hanging="360"/>
        <w:jc w:val="both"/>
        <w:rPr>
          <w:sz w:val="20"/>
        </w:rPr>
      </w:pPr>
      <w:r>
        <w:rPr>
          <w:sz w:val="20"/>
        </w:rPr>
        <w:t>QA review</w:t>
      </w:r>
      <w:r>
        <w:rPr>
          <w:spacing w:val="-5"/>
          <w:sz w:val="20"/>
        </w:rPr>
        <w:t> </w:t>
      </w:r>
      <w:r>
        <w:rPr>
          <w:sz w:val="20"/>
        </w:rPr>
        <w:t>procedures;</w:t>
      </w:r>
    </w:p>
    <w:p>
      <w:pPr>
        <w:pStyle w:val="ListParagraph"/>
        <w:numPr>
          <w:ilvl w:val="1"/>
          <w:numId w:val="181"/>
        </w:numPr>
        <w:tabs>
          <w:tab w:pos="540" w:val="left" w:leader="none"/>
        </w:tabs>
        <w:spacing w:line="240" w:lineRule="auto" w:before="119" w:after="0"/>
        <w:ind w:left="539" w:right="0" w:hanging="360"/>
        <w:jc w:val="both"/>
        <w:rPr>
          <w:sz w:val="20"/>
        </w:rPr>
      </w:pPr>
      <w:r>
        <w:rPr>
          <w:sz w:val="20"/>
        </w:rPr>
        <w:t>Reporting, documentation, and archiving procedures.</w:t>
      </w:r>
    </w:p>
    <w:p>
      <w:pPr>
        <w:pStyle w:val="BodyText"/>
        <w:spacing w:before="104"/>
        <w:ind w:left="179" w:right="1407"/>
        <w:jc w:val="both"/>
      </w:pPr>
      <w:r>
        <w:rPr/>
        <w:t>The inventory methods for the LULUCF sector require specific </w:t>
      </w:r>
      <w:r>
        <w:rPr>
          <w:i/>
        </w:rPr>
        <w:t>good practice guidance </w:t>
      </w:r>
      <w:r>
        <w:rPr/>
        <w:t>for QA/QC in all but the first of these elements. In addition, verification issues and issues related to the Kyoto Protocol can affect QA/QC </w:t>
      </w:r>
      <w:r>
        <w:rPr>
          <w:i/>
        </w:rPr>
        <w:t>good practice</w:t>
      </w:r>
      <w:r>
        <w:rPr/>
        <w:t>. These two issues are addressed in Sections 5.7 and 5.5.7, respectively.</w:t>
      </w:r>
    </w:p>
    <w:p>
      <w:pPr>
        <w:pStyle w:val="BodyText"/>
        <w:spacing w:before="119"/>
        <w:ind w:left="179" w:right="1408"/>
        <w:jc w:val="both"/>
      </w:pPr>
      <w:r>
        <w:rPr/>
        <w:t>Estimating emissions and removals from LULUCF activities involves several important – although not necessarily unique – issues. The primary difference between the LUCF sector and other sectors in the </w:t>
      </w:r>
      <w:r>
        <w:rPr>
          <w:i/>
        </w:rPr>
        <w:t>IPCC Guidelines </w:t>
      </w:r>
      <w:r>
        <w:rPr/>
        <w:t>(IPCC, 1997) (i.e., energy, agriculture) is that the LUCF sector focuses on calculating the net</w:t>
      </w:r>
    </w:p>
    <w:p>
      <w:pPr>
        <w:spacing w:after="0"/>
        <w:jc w:val="both"/>
        <w:sectPr>
          <w:headerReference w:type="even" r:id="rId428"/>
          <w:headerReference w:type="default" r:id="rId429"/>
          <w:pgSz w:w="11900" w:h="16840"/>
          <w:pgMar w:header="230" w:footer="408" w:top="560" w:bottom="600" w:left="1240" w:right="0"/>
        </w:sectPr>
      </w:pPr>
    </w:p>
    <w:p>
      <w:pPr>
        <w:pStyle w:val="BodyText"/>
        <w:spacing w:before="8"/>
        <w:rPr>
          <w:sz w:val="27"/>
        </w:rPr>
      </w:pPr>
    </w:p>
    <w:p>
      <w:pPr>
        <w:pStyle w:val="BodyText"/>
        <w:spacing w:before="121"/>
        <w:ind w:left="179" w:right="1402"/>
        <w:jc w:val="both"/>
      </w:pPr>
      <w:r>
        <w:rPr/>
        <w:t>emissions or removals.</w:t>
      </w:r>
      <w:r>
        <w:rPr>
          <w:vertAlign w:val="superscript"/>
        </w:rPr>
        <w:t>17</w:t>
      </w:r>
      <w:r>
        <w:rPr>
          <w:vertAlign w:val="baseline"/>
        </w:rPr>
        <w:t> In particular, the QA/QC system must recognise that the LULUCF sector is unique because CO</w:t>
      </w:r>
      <w:r>
        <w:rPr>
          <w:vertAlign w:val="subscript"/>
        </w:rPr>
        <w:t>2</w:t>
      </w:r>
      <w:r>
        <w:rPr>
          <w:vertAlign w:val="baseline"/>
        </w:rPr>
        <w:t> can be both removed from and emitted to the atmosphere. From the perspective of inventory QA/QC, however, more important considerations in the LULUCF sector focus on the complexity of the data that are needed for preparation of accurate estimates of emissions and removals from LULUCF. Four important features of LULUCF inventory methods that generally affect QA/QC are highlighted below.</w:t>
      </w:r>
    </w:p>
    <w:p>
      <w:pPr>
        <w:pStyle w:val="ListParagraph"/>
        <w:numPr>
          <w:ilvl w:val="1"/>
          <w:numId w:val="181"/>
        </w:numPr>
        <w:tabs>
          <w:tab w:pos="540" w:val="left" w:leader="none"/>
        </w:tabs>
        <w:spacing w:line="237" w:lineRule="auto" w:before="138" w:after="0"/>
        <w:ind w:left="539" w:right="1406" w:hanging="360"/>
        <w:jc w:val="both"/>
        <w:rPr>
          <w:sz w:val="20"/>
        </w:rPr>
      </w:pPr>
      <w:r>
        <w:rPr>
          <w:b/>
          <w:sz w:val="20"/>
        </w:rPr>
        <w:t>Representativeness of input data: </w:t>
      </w:r>
      <w:r>
        <w:rPr>
          <w:sz w:val="20"/>
        </w:rPr>
        <w:t>LULUCF activities affect large geographical areas. Because of the size of these areas – coupled with the complex nature of the biological processes taking place – it is impractical to rely entirely on direct measurements of greenhouse gas emissions and removals in producing national inventories. Consequently, inventories rely on data produced using sampling through field measurements and land surveys. Further, a complete set of samples is not likely to be taken on an annual basis, but instead will be taken periodically (e.g., every four years). Samples may also be augmented with remote sensing data that allow more complete</w:t>
      </w:r>
      <w:r>
        <w:rPr>
          <w:spacing w:val="-1"/>
          <w:sz w:val="20"/>
        </w:rPr>
        <w:t> </w:t>
      </w:r>
      <w:r>
        <w:rPr>
          <w:sz w:val="20"/>
        </w:rPr>
        <w:t>coverage.</w:t>
      </w:r>
    </w:p>
    <w:p>
      <w:pPr>
        <w:pStyle w:val="ListParagraph"/>
        <w:numPr>
          <w:ilvl w:val="1"/>
          <w:numId w:val="181"/>
        </w:numPr>
        <w:tabs>
          <w:tab w:pos="540" w:val="left" w:leader="none"/>
        </w:tabs>
        <w:spacing w:line="237" w:lineRule="auto" w:before="132" w:after="0"/>
        <w:ind w:left="539" w:right="1402" w:hanging="360"/>
        <w:jc w:val="both"/>
        <w:rPr>
          <w:sz w:val="20"/>
        </w:rPr>
      </w:pPr>
      <w:r>
        <w:rPr>
          <w:b/>
          <w:sz w:val="20"/>
        </w:rPr>
        <w:t>Need for historical data: </w:t>
      </w:r>
      <w:r>
        <w:rPr>
          <w:sz w:val="20"/>
        </w:rPr>
        <w:t>Greenhouse gas emissions and removals related to LULUCF is a function of past land-use activities, which continue to affect current (i.e., inventory year) CO</w:t>
      </w:r>
      <w:r>
        <w:rPr>
          <w:sz w:val="20"/>
          <w:vertAlign w:val="subscript"/>
        </w:rPr>
        <w:t>2</w:t>
      </w:r>
      <w:r>
        <w:rPr>
          <w:sz w:val="20"/>
          <w:vertAlign w:val="baseline"/>
        </w:rPr>
        <w:t> emissions or removals. Thus, both past and current land use and forestry activities influence current emissions and removals. For this reason, sufficient historical data are needed to assess present day emissions, and so the datasets used in the LULUCF sector may cover a longer historical period than other source categories (e.g., 20 to 100 years). However, many countries benefit from the fact that forestry and some other land-use data have been collected for a long time, so detailed and comprehensive – although not necessarily accurate – data sources may be available.</w:t>
      </w:r>
      <w:r>
        <w:rPr>
          <w:sz w:val="20"/>
          <w:vertAlign w:val="superscript"/>
        </w:rPr>
        <w:t>18</w:t>
      </w:r>
      <w:r>
        <w:rPr>
          <w:sz w:val="20"/>
          <w:vertAlign w:val="baseline"/>
        </w:rPr>
        <w:t> Time series consistency is an important QA/QC issue and is discussed in more detail in Section</w:t>
      </w:r>
      <w:r>
        <w:rPr>
          <w:spacing w:val="-2"/>
          <w:sz w:val="20"/>
          <w:vertAlign w:val="baseline"/>
        </w:rPr>
        <w:t> </w:t>
      </w:r>
      <w:r>
        <w:rPr>
          <w:sz w:val="20"/>
          <w:vertAlign w:val="baseline"/>
        </w:rPr>
        <w:t>5.6.</w:t>
      </w:r>
    </w:p>
    <w:p>
      <w:pPr>
        <w:pStyle w:val="ListParagraph"/>
        <w:numPr>
          <w:ilvl w:val="1"/>
          <w:numId w:val="181"/>
        </w:numPr>
        <w:tabs>
          <w:tab w:pos="540" w:val="left" w:leader="none"/>
        </w:tabs>
        <w:spacing w:line="237" w:lineRule="auto" w:before="140" w:after="0"/>
        <w:ind w:left="539" w:right="1402" w:hanging="360"/>
        <w:jc w:val="both"/>
        <w:rPr>
          <w:sz w:val="20"/>
        </w:rPr>
      </w:pPr>
      <w:r>
        <w:rPr>
          <w:b/>
          <w:sz w:val="20"/>
        </w:rPr>
        <w:t>Complex interactions and variability of the biological processes: </w:t>
      </w:r>
      <w:r>
        <w:rPr>
          <w:sz w:val="20"/>
        </w:rPr>
        <w:t>The complex interactions and inherent variability of the biological processes associated with forests, soils, and other LULUCF components can lead to the need for use of more sophisticated models</w:t>
      </w:r>
      <w:r>
        <w:rPr>
          <w:sz w:val="20"/>
          <w:vertAlign w:val="superscript"/>
        </w:rPr>
        <w:t>19</w:t>
      </w:r>
      <w:r>
        <w:rPr>
          <w:sz w:val="20"/>
          <w:vertAlign w:val="baseline"/>
        </w:rPr>
        <w:t> than those employed for estimating emissions from most other source categories. The data, assumptions, and other characteristics of the model may not always be transparent. QA/QC needs to focus on documenting model characteristics and assumptions, checking model outputs, identifying areas for improvement, checking the model algorithms, and documenting the results of those</w:t>
      </w:r>
      <w:r>
        <w:rPr>
          <w:spacing w:val="-3"/>
          <w:sz w:val="20"/>
          <w:vertAlign w:val="baseline"/>
        </w:rPr>
        <w:t> </w:t>
      </w:r>
      <w:r>
        <w:rPr>
          <w:sz w:val="20"/>
          <w:vertAlign w:val="baseline"/>
        </w:rPr>
        <w:t>checks.</w:t>
      </w:r>
    </w:p>
    <w:p>
      <w:pPr>
        <w:pStyle w:val="ListParagraph"/>
        <w:numPr>
          <w:ilvl w:val="1"/>
          <w:numId w:val="181"/>
        </w:numPr>
        <w:tabs>
          <w:tab w:pos="540" w:val="left" w:leader="none"/>
        </w:tabs>
        <w:spacing w:line="237" w:lineRule="auto" w:before="132" w:after="0"/>
        <w:ind w:left="539" w:right="1404" w:hanging="360"/>
        <w:jc w:val="both"/>
        <w:rPr>
          <w:sz w:val="20"/>
        </w:rPr>
      </w:pPr>
      <w:r>
        <w:rPr>
          <w:b/>
          <w:sz w:val="20"/>
        </w:rPr>
        <w:t>Variability in the magnitude and nature of the data: </w:t>
      </w:r>
      <w:r>
        <w:rPr>
          <w:sz w:val="20"/>
        </w:rPr>
        <w:t>Greenhouse gas emissions or removals can be small net fluxes resulting from large gross fluxes or differences between large stocks, for example slow changes in large soil organic carbon stocks in soils. In addition, different types of activities lead to different types of changes. For example, forest management is likely to result in small and dispersed changes per unit area over large areas, whereas large scale deforestation results in relatively large and immediate net emissions. For these reasons, QA/QC procedures should involve the assessment of the suitability of the selected methods for estimation of the greenhouse gas in each case, from direct measurements to sophisticated models.</w:t>
      </w:r>
      <w:r>
        <w:rPr>
          <w:sz w:val="20"/>
          <w:vertAlign w:val="superscript"/>
        </w:rPr>
        <w:t>20</w:t>
      </w:r>
    </w:p>
    <w:p>
      <w:pPr>
        <w:pStyle w:val="BodyText"/>
        <w:rPr>
          <w:sz w:val="24"/>
        </w:rPr>
      </w:pPr>
    </w:p>
    <w:p>
      <w:pPr>
        <w:pStyle w:val="Heading2"/>
        <w:numPr>
          <w:ilvl w:val="2"/>
          <w:numId w:val="182"/>
        </w:numPr>
        <w:tabs>
          <w:tab w:pos="1381" w:val="left" w:leader="none"/>
          <w:tab w:pos="1382" w:val="left" w:leader="none"/>
        </w:tabs>
        <w:spacing w:line="240" w:lineRule="auto" w:before="211" w:after="0"/>
        <w:ind w:left="1381" w:right="0" w:hanging="1202"/>
        <w:jc w:val="left"/>
      </w:pPr>
      <w:bookmarkStart w:name="_TOC_250018" w:id="37"/>
      <w:r>
        <w:rPr>
          <w:spacing w:val="7"/>
        </w:rPr>
        <w:t>QA/QC</w:t>
      </w:r>
      <w:r>
        <w:rPr>
          <w:spacing w:val="20"/>
        </w:rPr>
        <w:t> </w:t>
      </w:r>
      <w:bookmarkEnd w:id="37"/>
      <w:r>
        <w:rPr>
          <w:spacing w:val="7"/>
        </w:rPr>
        <w:t>Plan</w:t>
      </w:r>
    </w:p>
    <w:p>
      <w:pPr>
        <w:pStyle w:val="BodyText"/>
        <w:spacing w:before="113"/>
        <w:ind w:left="179" w:right="1405"/>
        <w:jc w:val="both"/>
      </w:pPr>
      <w:r>
        <w:rPr/>
        <w:t>As discussed in </w:t>
      </w:r>
      <w:r>
        <w:rPr>
          <w:i/>
        </w:rPr>
        <w:t>GPG2000</w:t>
      </w:r>
      <w:r>
        <w:rPr/>
        <w:t>, a QA/QC plan is a fundamental element of a QA/QC system, and it is </w:t>
      </w:r>
      <w:r>
        <w:rPr>
          <w:i/>
        </w:rPr>
        <w:t>good practice </w:t>
      </w:r>
      <w:r>
        <w:rPr/>
        <w:t>to develop one. The plan should, in general, outline the QA/QC activities that will be implemented, and include a scheduled time frame that follows inventory preparation from its initial development through to final reporting in any year. It should also contain an outline of the processes and schedule to review all source and sink categories.</w:t>
      </w:r>
    </w:p>
    <w:p>
      <w:pPr>
        <w:pStyle w:val="BodyText"/>
        <w:spacing w:before="122"/>
        <w:ind w:left="179" w:right="1404"/>
        <w:jc w:val="both"/>
      </w:pPr>
      <w:r>
        <w:rPr/>
        <w:t>For LULUCF source and sink categories, the plan should describe the specific QC procedures that have been or will be implemented in addition to special QA review procedures employed. These procedures should be</w:t>
      </w:r>
    </w:p>
    <w:p>
      <w:pPr>
        <w:pStyle w:val="BodyText"/>
        <w:spacing w:before="2"/>
        <w:rPr>
          <w:sz w:val="28"/>
        </w:rPr>
      </w:pPr>
      <w:r>
        <w:rPr/>
        <w:pict>
          <v:line style="position:absolute;mso-position-horizontal-relative:page;mso-position-vertical-relative:paragraph;z-index:30296;mso-wrap-distance-left:0;mso-wrap-distance-right:0" from="70.960999pt,18.398985pt" to="214.960999pt,18.398985pt" stroked="true" strokeweight=".48pt" strokecolor="#000000">
            <v:stroke dashstyle="solid"/>
            <w10:wrap type="topAndBottom"/>
          </v:line>
        </w:pict>
      </w:r>
    </w:p>
    <w:p>
      <w:pPr>
        <w:spacing w:before="153"/>
        <w:ind w:left="359" w:right="1403" w:hanging="180"/>
        <w:jc w:val="left"/>
        <w:rPr>
          <w:sz w:val="18"/>
        </w:rPr>
      </w:pPr>
      <w:r>
        <w:rPr>
          <w:position w:val="8"/>
          <w:sz w:val="12"/>
        </w:rPr>
        <w:t>17 </w:t>
      </w:r>
      <w:r>
        <w:rPr>
          <w:sz w:val="18"/>
        </w:rPr>
        <w:t>It should be noted, however, that subtracting major components during an emission source category calculation, is not unique to LULUCF sector. For example, thoroughly estimating carbon storage in non-energy fossil fuel feedstocks involves a complicated analysis of fossil fuel processing and fates in order to subtract the amount of carbon in those fuels that is not combusted or oxidized. These adjustments to fossil fuel combustion calculations can be quite significant relative to a country’s overall emissions inventory.</w:t>
      </w:r>
    </w:p>
    <w:p>
      <w:pPr>
        <w:spacing w:before="95"/>
        <w:ind w:left="200" w:right="0" w:hanging="22"/>
        <w:jc w:val="left"/>
        <w:rPr>
          <w:sz w:val="18"/>
        </w:rPr>
      </w:pPr>
      <w:r>
        <w:rPr>
          <w:position w:val="8"/>
          <w:sz w:val="12"/>
        </w:rPr>
        <w:t>18 </w:t>
      </w:r>
      <w:r>
        <w:rPr>
          <w:sz w:val="18"/>
        </w:rPr>
        <w:t>Of course these data will have been collected for reasons other than estimating greenhouse gas emissions and removals.</w:t>
      </w:r>
    </w:p>
    <w:p>
      <w:pPr>
        <w:spacing w:before="96"/>
        <w:ind w:left="359" w:right="1638" w:hanging="159"/>
        <w:jc w:val="left"/>
        <w:rPr>
          <w:sz w:val="18"/>
        </w:rPr>
      </w:pPr>
      <w:r>
        <w:rPr>
          <w:position w:val="8"/>
          <w:sz w:val="12"/>
        </w:rPr>
        <w:t>19 </w:t>
      </w:r>
      <w:r>
        <w:rPr>
          <w:sz w:val="18"/>
        </w:rPr>
        <w:t>Numerical or process models interpolate activity data for intermediate years between samples, extrapolate sample data from measures of timber volume or other metrics to total biomass carbon, and attempt to capture other complexities and subtleties of the relationship of forestry and land- use change to emissions and removals of CO</w:t>
      </w:r>
      <w:r>
        <w:rPr>
          <w:sz w:val="18"/>
          <w:vertAlign w:val="subscript"/>
        </w:rPr>
        <w:t>2</w:t>
      </w:r>
      <w:r>
        <w:rPr>
          <w:sz w:val="18"/>
          <w:vertAlign w:val="baseline"/>
        </w:rPr>
        <w:t> and other gases.</w:t>
      </w:r>
    </w:p>
    <w:p>
      <w:pPr>
        <w:pStyle w:val="BodyText"/>
        <w:rPr>
          <w:sz w:val="18"/>
        </w:rPr>
      </w:pPr>
    </w:p>
    <w:p>
      <w:pPr>
        <w:spacing w:before="0"/>
        <w:ind w:left="179" w:right="0" w:firstLine="0"/>
        <w:jc w:val="left"/>
        <w:rPr>
          <w:sz w:val="18"/>
        </w:rPr>
      </w:pPr>
      <w:r>
        <w:rPr>
          <w:position w:val="8"/>
          <w:sz w:val="12"/>
        </w:rPr>
        <w:t>20 </w:t>
      </w:r>
      <w:r>
        <w:rPr>
          <w:sz w:val="18"/>
        </w:rPr>
        <w:t>The issue of methodological choice is discussed in detail at the subcategory level in Chapter 3 of this report.</w:t>
      </w:r>
    </w:p>
    <w:p>
      <w:pPr>
        <w:spacing w:after="0"/>
        <w:jc w:val="left"/>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404"/>
        <w:jc w:val="both"/>
      </w:pPr>
      <w:r>
        <w:rPr/>
        <w:t>formulated in such a way that they address the four features described in Section 5.5.1, the representation of land areas in Chapter 2 (Basis for Consistent Representation of Land Areas), LULUCF sector methodologies in Chapter 3 (LUCF Sector Good Practice Guidance), and, if relevant, the methods used for accounting emissions and removals under Article 3.3 and 3.4 of Kyoto Protocol in Chapter 4 (Supplementary Methods and Good Practice Guidance Arising form the Kyoto Protocol).</w:t>
      </w:r>
    </w:p>
    <w:p>
      <w:pPr>
        <w:pStyle w:val="BodyText"/>
        <w:rPr>
          <w:sz w:val="22"/>
        </w:rPr>
      </w:pPr>
    </w:p>
    <w:p>
      <w:pPr>
        <w:pStyle w:val="BodyText"/>
        <w:spacing w:before="5"/>
      </w:pPr>
    </w:p>
    <w:p>
      <w:pPr>
        <w:pStyle w:val="Heading2"/>
        <w:numPr>
          <w:ilvl w:val="2"/>
          <w:numId w:val="182"/>
        </w:numPr>
        <w:tabs>
          <w:tab w:pos="1381" w:val="left" w:leader="none"/>
          <w:tab w:pos="1382" w:val="left" w:leader="none"/>
        </w:tabs>
        <w:spacing w:line="240" w:lineRule="auto" w:before="0" w:after="0"/>
        <w:ind w:left="1381" w:right="0" w:hanging="1202"/>
        <w:jc w:val="left"/>
      </w:pPr>
      <w:bookmarkStart w:name="_TOC_250017" w:id="38"/>
      <w:r>
        <w:rPr>
          <w:spacing w:val="8"/>
        </w:rPr>
        <w:t>General </w:t>
      </w:r>
      <w:r>
        <w:rPr>
          <w:spacing w:val="4"/>
        </w:rPr>
        <w:t>QC </w:t>
      </w:r>
      <w:r>
        <w:rPr>
          <w:spacing w:val="8"/>
        </w:rPr>
        <w:t>Procedures </w:t>
      </w:r>
      <w:r>
        <w:rPr>
          <w:spacing w:val="7"/>
        </w:rPr>
        <w:t>(Tier</w:t>
      </w:r>
      <w:r>
        <w:rPr>
          <w:spacing w:val="64"/>
        </w:rPr>
        <w:t> </w:t>
      </w:r>
      <w:bookmarkEnd w:id="38"/>
      <w:r>
        <w:rPr>
          <w:spacing w:val="9"/>
        </w:rPr>
        <w:t>1)</w:t>
      </w:r>
    </w:p>
    <w:p>
      <w:pPr>
        <w:pStyle w:val="BodyText"/>
        <w:spacing w:before="113"/>
        <w:ind w:left="179" w:right="1402"/>
        <w:jc w:val="both"/>
      </w:pPr>
      <w:r>
        <w:rPr/>
        <w:t>It is </w:t>
      </w:r>
      <w:r>
        <w:rPr>
          <w:i/>
        </w:rPr>
        <w:t>good practice </w:t>
      </w:r>
      <w:r>
        <w:rPr/>
        <w:t>to implement the generic QC checks as outlined in </w:t>
      </w:r>
      <w:r>
        <w:rPr>
          <w:i/>
        </w:rPr>
        <w:t>GPG2000</w:t>
      </w:r>
      <w:r>
        <w:rPr/>
        <w:t>, Chapter 8 (Quality Assurance and Quality Control) Tier 1 General Inventory Level QC Procedures. These general techniques focus on the processing, handling, documenting, archiving, and reporting procedures that should be used for all inventory source and sink categories. Table 5.5.1 lists the generic Tier 1 QC checks from Table 8.1 in </w:t>
      </w:r>
      <w:r>
        <w:rPr>
          <w:i/>
        </w:rPr>
        <w:t>GPG2000</w:t>
      </w:r>
      <w:r>
        <w:rPr/>
        <w:t>. These checks have been revised to make them applicable to sinks as well as sources. In cases where estimates for the LULUCF sector are prepared by institutions other than the inventory agency, the inventory agency is still responsible for ensuring that Tier 1 QC procedures are performed and that both findings and procedures are documented.</w:t>
      </w:r>
    </w:p>
    <w:p>
      <w:pPr>
        <w:pStyle w:val="BodyText"/>
        <w:spacing w:before="11"/>
        <w:rPr>
          <w:sz w:val="10"/>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2"/>
        <w:gridCol w:w="6833"/>
      </w:tblGrid>
      <w:tr>
        <w:trPr>
          <w:trHeight w:val="534" w:hRule="atLeast"/>
        </w:trPr>
        <w:tc>
          <w:tcPr>
            <w:tcW w:w="9015" w:type="dxa"/>
            <w:gridSpan w:val="2"/>
            <w:tcBorders>
              <w:bottom w:val="double" w:sz="1" w:space="0" w:color="000000"/>
            </w:tcBorders>
          </w:tcPr>
          <w:p>
            <w:pPr>
              <w:pStyle w:val="TableParagraph"/>
              <w:spacing w:before="59"/>
              <w:ind w:left="130" w:right="123"/>
              <w:jc w:val="center"/>
              <w:rPr>
                <w:b/>
                <w:sz w:val="18"/>
              </w:rPr>
            </w:pPr>
            <w:r>
              <w:rPr>
                <w:b/>
                <w:sz w:val="18"/>
              </w:rPr>
              <w:t>T</w:t>
            </w:r>
            <w:r>
              <w:rPr>
                <w:b/>
                <w:sz w:val="14"/>
              </w:rPr>
              <w:t>ABLE </w:t>
            </w:r>
            <w:r>
              <w:rPr>
                <w:b/>
                <w:sz w:val="18"/>
              </w:rPr>
              <w:t>5.5.1</w:t>
            </w:r>
          </w:p>
          <w:p>
            <w:pPr>
              <w:pStyle w:val="TableParagraph"/>
              <w:spacing w:before="2"/>
              <w:ind w:left="131" w:right="121"/>
              <w:jc w:val="center"/>
              <w:rPr>
                <w:b/>
                <w:sz w:val="14"/>
              </w:rPr>
            </w:pPr>
            <w:r>
              <w:rPr>
                <w:b/>
                <w:sz w:val="18"/>
              </w:rPr>
              <w:t>T</w:t>
            </w:r>
            <w:r>
              <w:rPr>
                <w:b/>
                <w:sz w:val="14"/>
              </w:rPr>
              <w:t>IER </w:t>
            </w:r>
            <w:r>
              <w:rPr>
                <w:b/>
                <w:sz w:val="18"/>
              </w:rPr>
              <w:t>1 </w:t>
            </w:r>
            <w:r>
              <w:rPr>
                <w:b/>
                <w:sz w:val="14"/>
              </w:rPr>
              <w:t>GENERAL INVENTORY LEVEL </w:t>
            </w:r>
            <w:r>
              <w:rPr>
                <w:b/>
                <w:sz w:val="18"/>
              </w:rPr>
              <w:t>QC </w:t>
            </w:r>
            <w:r>
              <w:rPr>
                <w:b/>
                <w:sz w:val="14"/>
              </w:rPr>
              <w:t>PROCEDURES</w:t>
            </w:r>
          </w:p>
        </w:tc>
      </w:tr>
      <w:tr>
        <w:trPr>
          <w:trHeight w:val="337" w:hRule="atLeast"/>
        </w:trPr>
        <w:tc>
          <w:tcPr>
            <w:tcW w:w="2182" w:type="dxa"/>
            <w:tcBorders>
              <w:top w:val="double" w:sz="1" w:space="0" w:color="000000"/>
            </w:tcBorders>
          </w:tcPr>
          <w:p>
            <w:pPr>
              <w:pStyle w:val="TableParagraph"/>
              <w:spacing w:before="66"/>
              <w:ind w:left="54"/>
              <w:rPr>
                <w:b/>
                <w:sz w:val="18"/>
              </w:rPr>
            </w:pPr>
            <w:r>
              <w:rPr>
                <w:b/>
                <w:sz w:val="18"/>
              </w:rPr>
              <w:t>QC Activity</w:t>
            </w:r>
          </w:p>
        </w:tc>
        <w:tc>
          <w:tcPr>
            <w:tcW w:w="6833" w:type="dxa"/>
            <w:tcBorders>
              <w:top w:val="double" w:sz="1" w:space="0" w:color="000000"/>
            </w:tcBorders>
          </w:tcPr>
          <w:p>
            <w:pPr>
              <w:pStyle w:val="TableParagraph"/>
              <w:spacing w:before="66"/>
              <w:ind w:left="56"/>
              <w:rPr>
                <w:b/>
                <w:sz w:val="18"/>
              </w:rPr>
            </w:pPr>
            <w:r>
              <w:rPr>
                <w:b/>
                <w:sz w:val="18"/>
              </w:rPr>
              <w:t>Procedures</w:t>
            </w:r>
          </w:p>
        </w:tc>
      </w:tr>
      <w:tr>
        <w:trPr>
          <w:trHeight w:val="1156" w:hRule="atLeast"/>
        </w:trPr>
        <w:tc>
          <w:tcPr>
            <w:tcW w:w="2182" w:type="dxa"/>
          </w:tcPr>
          <w:p>
            <w:pPr>
              <w:pStyle w:val="TableParagraph"/>
              <w:spacing w:before="55"/>
              <w:ind w:left="54" w:right="74"/>
              <w:rPr>
                <w:sz w:val="18"/>
              </w:rPr>
            </w:pPr>
            <w:r>
              <w:rPr>
                <w:sz w:val="18"/>
              </w:rPr>
              <w:t>Check that assumptions and criteria for the selection of activity data, emission factors and other estimation parameters are documented.</w:t>
            </w:r>
          </w:p>
        </w:tc>
        <w:tc>
          <w:tcPr>
            <w:tcW w:w="6833" w:type="dxa"/>
          </w:tcPr>
          <w:p>
            <w:pPr>
              <w:pStyle w:val="TableParagraph"/>
              <w:spacing w:before="10"/>
              <w:rPr>
                <w:sz w:val="23"/>
              </w:rPr>
            </w:pPr>
          </w:p>
          <w:p>
            <w:pPr>
              <w:pStyle w:val="TableParagraph"/>
              <w:numPr>
                <w:ilvl w:val="0"/>
                <w:numId w:val="184"/>
              </w:numPr>
              <w:tabs>
                <w:tab w:pos="505" w:val="left" w:leader="none"/>
                <w:tab w:pos="506" w:val="left" w:leader="none"/>
              </w:tabs>
              <w:spacing w:line="230" w:lineRule="auto" w:before="0" w:after="0"/>
              <w:ind w:left="505" w:right="285" w:hanging="398"/>
              <w:jc w:val="left"/>
              <w:rPr>
                <w:sz w:val="18"/>
              </w:rPr>
            </w:pPr>
            <w:r>
              <w:rPr>
                <w:sz w:val="18"/>
              </w:rPr>
              <w:t>Cross- check descriptions of activity data, emission factors and other estimation parameters with information on source and sink categories and ensure that these are properly recorded and</w:t>
            </w:r>
            <w:r>
              <w:rPr>
                <w:spacing w:val="-2"/>
                <w:sz w:val="18"/>
              </w:rPr>
              <w:t> </w:t>
            </w:r>
            <w:r>
              <w:rPr>
                <w:sz w:val="18"/>
              </w:rPr>
              <w:t>archived.</w:t>
            </w:r>
          </w:p>
        </w:tc>
      </w:tr>
      <w:tr>
        <w:trPr>
          <w:trHeight w:val="1012" w:hRule="atLeast"/>
        </w:trPr>
        <w:tc>
          <w:tcPr>
            <w:tcW w:w="2182" w:type="dxa"/>
          </w:tcPr>
          <w:p>
            <w:pPr>
              <w:pStyle w:val="TableParagraph"/>
              <w:spacing w:before="7"/>
              <w:rPr>
                <w:sz w:val="16"/>
              </w:rPr>
            </w:pPr>
          </w:p>
          <w:p>
            <w:pPr>
              <w:pStyle w:val="TableParagraph"/>
              <w:ind w:left="54" w:right="442"/>
              <w:jc w:val="both"/>
              <w:rPr>
                <w:sz w:val="18"/>
              </w:rPr>
            </w:pPr>
            <w:r>
              <w:rPr>
                <w:sz w:val="18"/>
              </w:rPr>
              <w:t>Check for transcription errors in data input and reference.</w:t>
            </w:r>
          </w:p>
        </w:tc>
        <w:tc>
          <w:tcPr>
            <w:tcW w:w="6833" w:type="dxa"/>
          </w:tcPr>
          <w:p>
            <w:pPr>
              <w:pStyle w:val="TableParagraph"/>
              <w:numPr>
                <w:ilvl w:val="0"/>
                <w:numId w:val="185"/>
              </w:numPr>
              <w:tabs>
                <w:tab w:pos="505" w:val="left" w:leader="none"/>
                <w:tab w:pos="506" w:val="left" w:leader="none"/>
              </w:tabs>
              <w:spacing w:line="220" w:lineRule="auto" w:before="60" w:after="0"/>
              <w:ind w:left="505" w:right="764" w:hanging="398"/>
              <w:jc w:val="left"/>
              <w:rPr>
                <w:sz w:val="18"/>
              </w:rPr>
            </w:pPr>
            <w:r>
              <w:rPr>
                <w:sz w:val="18"/>
              </w:rPr>
              <w:t>Confirm that bibliographical data references are properly cited in the internal documentation.</w:t>
            </w:r>
          </w:p>
          <w:p>
            <w:pPr>
              <w:pStyle w:val="TableParagraph"/>
              <w:numPr>
                <w:ilvl w:val="0"/>
                <w:numId w:val="185"/>
              </w:numPr>
              <w:tabs>
                <w:tab w:pos="505" w:val="left" w:leader="none"/>
                <w:tab w:pos="506" w:val="left" w:leader="none"/>
              </w:tabs>
              <w:spacing w:line="220" w:lineRule="auto" w:before="110" w:after="0"/>
              <w:ind w:left="505" w:right="232" w:hanging="398"/>
              <w:jc w:val="left"/>
              <w:rPr>
                <w:sz w:val="18"/>
              </w:rPr>
            </w:pPr>
            <w:r>
              <w:rPr>
                <w:sz w:val="18"/>
              </w:rPr>
              <w:t>Cross-</w:t>
            </w:r>
            <w:r>
              <w:rPr>
                <w:spacing w:val="-27"/>
                <w:sz w:val="18"/>
              </w:rPr>
              <w:t> </w:t>
            </w:r>
            <w:r>
              <w:rPr>
                <w:sz w:val="18"/>
              </w:rPr>
              <w:t>check</w:t>
            </w:r>
            <w:r>
              <w:rPr>
                <w:spacing w:val="-1"/>
                <w:sz w:val="18"/>
              </w:rPr>
              <w:t> </w:t>
            </w:r>
            <w:r>
              <w:rPr>
                <w:sz w:val="18"/>
              </w:rPr>
              <w:t>a</w:t>
            </w:r>
            <w:r>
              <w:rPr>
                <w:spacing w:val="-2"/>
                <w:sz w:val="18"/>
              </w:rPr>
              <w:t> </w:t>
            </w:r>
            <w:r>
              <w:rPr>
                <w:sz w:val="18"/>
              </w:rPr>
              <w:t>sample</w:t>
            </w:r>
            <w:r>
              <w:rPr>
                <w:spacing w:val="-2"/>
                <w:sz w:val="18"/>
              </w:rPr>
              <w:t> </w:t>
            </w:r>
            <w:r>
              <w:rPr>
                <w:sz w:val="18"/>
              </w:rPr>
              <w:t>of</w:t>
            </w:r>
            <w:r>
              <w:rPr>
                <w:spacing w:val="-4"/>
                <w:sz w:val="18"/>
              </w:rPr>
              <w:t> </w:t>
            </w:r>
            <w:r>
              <w:rPr>
                <w:sz w:val="18"/>
              </w:rPr>
              <w:t>input data</w:t>
            </w:r>
            <w:r>
              <w:rPr>
                <w:spacing w:val="-2"/>
                <w:sz w:val="18"/>
              </w:rPr>
              <w:t> </w:t>
            </w:r>
            <w:r>
              <w:rPr>
                <w:sz w:val="18"/>
              </w:rPr>
              <w:t>from</w:t>
            </w:r>
            <w:r>
              <w:rPr>
                <w:spacing w:val="-5"/>
                <w:sz w:val="18"/>
              </w:rPr>
              <w:t> </w:t>
            </w:r>
            <w:r>
              <w:rPr>
                <w:sz w:val="18"/>
              </w:rPr>
              <w:t>each source</w:t>
            </w:r>
            <w:r>
              <w:rPr>
                <w:spacing w:val="-1"/>
                <w:sz w:val="18"/>
              </w:rPr>
              <w:t> </w:t>
            </w:r>
            <w:r>
              <w:rPr>
                <w:sz w:val="18"/>
              </w:rPr>
              <w:t>category</w:t>
            </w:r>
            <w:r>
              <w:rPr>
                <w:spacing w:val="-5"/>
                <w:sz w:val="18"/>
              </w:rPr>
              <w:t> </w:t>
            </w:r>
            <w:r>
              <w:rPr>
                <w:sz w:val="18"/>
              </w:rPr>
              <w:t>(either</w:t>
            </w:r>
            <w:r>
              <w:rPr>
                <w:spacing w:val="-1"/>
                <w:sz w:val="18"/>
              </w:rPr>
              <w:t> </w:t>
            </w:r>
            <w:r>
              <w:rPr>
                <w:sz w:val="18"/>
              </w:rPr>
              <w:t>measurements or parameters used in calculations) for transcription</w:t>
            </w:r>
            <w:r>
              <w:rPr>
                <w:spacing w:val="1"/>
                <w:sz w:val="18"/>
              </w:rPr>
              <w:t> </w:t>
            </w:r>
            <w:r>
              <w:rPr>
                <w:sz w:val="18"/>
              </w:rPr>
              <w:t>errors.</w:t>
            </w:r>
          </w:p>
        </w:tc>
      </w:tr>
      <w:tr>
        <w:trPr>
          <w:trHeight w:val="808" w:hRule="atLeast"/>
        </w:trPr>
        <w:tc>
          <w:tcPr>
            <w:tcW w:w="2182" w:type="dxa"/>
          </w:tcPr>
          <w:p>
            <w:pPr>
              <w:pStyle w:val="TableParagraph"/>
              <w:spacing w:before="86"/>
              <w:ind w:left="54" w:right="263"/>
              <w:rPr>
                <w:sz w:val="18"/>
              </w:rPr>
            </w:pPr>
            <w:r>
              <w:rPr>
                <w:sz w:val="18"/>
              </w:rPr>
              <w:t>Check that emissions and removals are calculated correctly.</w:t>
            </w:r>
          </w:p>
        </w:tc>
        <w:tc>
          <w:tcPr>
            <w:tcW w:w="6833" w:type="dxa"/>
          </w:tcPr>
          <w:p>
            <w:pPr>
              <w:pStyle w:val="TableParagraph"/>
              <w:numPr>
                <w:ilvl w:val="0"/>
                <w:numId w:val="186"/>
              </w:numPr>
              <w:tabs>
                <w:tab w:pos="505" w:val="left" w:leader="none"/>
                <w:tab w:pos="506" w:val="left" w:leader="none"/>
              </w:tabs>
              <w:spacing w:line="240" w:lineRule="auto" w:before="45" w:after="0"/>
              <w:ind w:left="505" w:right="0" w:hanging="398"/>
              <w:jc w:val="left"/>
              <w:rPr>
                <w:sz w:val="18"/>
              </w:rPr>
            </w:pPr>
            <w:r>
              <w:rPr>
                <w:sz w:val="18"/>
              </w:rPr>
              <w:t>Reproduce a representative sample of emission or removal</w:t>
            </w:r>
            <w:r>
              <w:rPr>
                <w:spacing w:val="-12"/>
                <w:sz w:val="18"/>
              </w:rPr>
              <w:t> </w:t>
            </w:r>
            <w:r>
              <w:rPr>
                <w:sz w:val="18"/>
              </w:rPr>
              <w:t>calculations.</w:t>
            </w:r>
          </w:p>
          <w:p>
            <w:pPr>
              <w:pStyle w:val="TableParagraph"/>
              <w:numPr>
                <w:ilvl w:val="0"/>
                <w:numId w:val="186"/>
              </w:numPr>
              <w:tabs>
                <w:tab w:pos="505" w:val="left" w:leader="none"/>
                <w:tab w:pos="506" w:val="left" w:leader="none"/>
              </w:tabs>
              <w:spacing w:line="223" w:lineRule="auto" w:before="91" w:after="0"/>
              <w:ind w:left="505" w:right="159" w:hanging="398"/>
              <w:jc w:val="left"/>
              <w:rPr>
                <w:sz w:val="18"/>
              </w:rPr>
            </w:pPr>
            <w:r>
              <w:rPr>
                <w:sz w:val="18"/>
              </w:rPr>
              <w:t>Selectively mimic complex model calculations with abbreviated calculations to judge relative</w:t>
            </w:r>
            <w:r>
              <w:rPr>
                <w:spacing w:val="-1"/>
                <w:sz w:val="18"/>
              </w:rPr>
              <w:t> </w:t>
            </w:r>
            <w:r>
              <w:rPr>
                <w:sz w:val="18"/>
              </w:rPr>
              <w:t>accuracy.</w:t>
            </w:r>
          </w:p>
        </w:tc>
      </w:tr>
      <w:tr>
        <w:trPr>
          <w:trHeight w:val="1199" w:hRule="atLeast"/>
        </w:trPr>
        <w:tc>
          <w:tcPr>
            <w:tcW w:w="2182" w:type="dxa"/>
          </w:tcPr>
          <w:p>
            <w:pPr>
              <w:pStyle w:val="TableParagraph"/>
              <w:spacing w:before="179"/>
              <w:ind w:left="54" w:right="88"/>
              <w:rPr>
                <w:sz w:val="18"/>
              </w:rPr>
            </w:pPr>
            <w:r>
              <w:rPr>
                <w:sz w:val="18"/>
              </w:rPr>
              <w:t>Check that parameter and units are correctly recorded and that appropriate conversion factors are used.</w:t>
            </w:r>
          </w:p>
        </w:tc>
        <w:tc>
          <w:tcPr>
            <w:tcW w:w="6833" w:type="dxa"/>
          </w:tcPr>
          <w:p>
            <w:pPr>
              <w:pStyle w:val="TableParagraph"/>
              <w:numPr>
                <w:ilvl w:val="0"/>
                <w:numId w:val="187"/>
              </w:numPr>
              <w:tabs>
                <w:tab w:pos="505" w:val="left" w:leader="none"/>
                <w:tab w:pos="506" w:val="left" w:leader="none"/>
              </w:tabs>
              <w:spacing w:line="240" w:lineRule="auto" w:before="45" w:after="0"/>
              <w:ind w:left="505" w:right="0" w:hanging="398"/>
              <w:jc w:val="left"/>
              <w:rPr>
                <w:sz w:val="18"/>
              </w:rPr>
            </w:pPr>
            <w:r>
              <w:rPr>
                <w:sz w:val="18"/>
              </w:rPr>
              <w:t>Check that units are properly labelled in calculation</w:t>
            </w:r>
            <w:r>
              <w:rPr>
                <w:spacing w:val="-5"/>
                <w:sz w:val="18"/>
              </w:rPr>
              <w:t> </w:t>
            </w:r>
            <w:r>
              <w:rPr>
                <w:sz w:val="18"/>
              </w:rPr>
              <w:t>sheets.</w:t>
            </w:r>
          </w:p>
          <w:p>
            <w:pPr>
              <w:pStyle w:val="TableParagraph"/>
              <w:numPr>
                <w:ilvl w:val="0"/>
                <w:numId w:val="187"/>
              </w:numPr>
              <w:tabs>
                <w:tab w:pos="505" w:val="left" w:leader="none"/>
                <w:tab w:pos="506" w:val="left" w:leader="none"/>
              </w:tabs>
              <w:spacing w:line="240" w:lineRule="auto" w:before="78" w:after="0"/>
              <w:ind w:left="505" w:right="0" w:hanging="398"/>
              <w:jc w:val="left"/>
              <w:rPr>
                <w:sz w:val="18"/>
              </w:rPr>
            </w:pPr>
            <w:r>
              <w:rPr>
                <w:sz w:val="18"/>
              </w:rPr>
              <w:t>Check that units are correctly carried through from beginning to end of</w:t>
            </w:r>
            <w:r>
              <w:rPr>
                <w:spacing w:val="-19"/>
                <w:sz w:val="18"/>
              </w:rPr>
              <w:t> </w:t>
            </w:r>
            <w:r>
              <w:rPr>
                <w:sz w:val="18"/>
              </w:rPr>
              <w:t>calculations.</w:t>
            </w:r>
          </w:p>
          <w:p>
            <w:pPr>
              <w:pStyle w:val="TableParagraph"/>
              <w:numPr>
                <w:ilvl w:val="0"/>
                <w:numId w:val="187"/>
              </w:numPr>
              <w:tabs>
                <w:tab w:pos="505" w:val="left" w:leader="none"/>
                <w:tab w:pos="506" w:val="left" w:leader="none"/>
              </w:tabs>
              <w:spacing w:line="240" w:lineRule="auto" w:before="78" w:after="0"/>
              <w:ind w:left="505" w:right="0" w:hanging="398"/>
              <w:jc w:val="left"/>
              <w:rPr>
                <w:sz w:val="18"/>
              </w:rPr>
            </w:pPr>
            <w:r>
              <w:rPr>
                <w:sz w:val="18"/>
              </w:rPr>
              <w:t>Check that conversion factors are</w:t>
            </w:r>
            <w:r>
              <w:rPr>
                <w:spacing w:val="1"/>
                <w:sz w:val="18"/>
              </w:rPr>
              <w:t> </w:t>
            </w:r>
            <w:r>
              <w:rPr>
                <w:sz w:val="18"/>
              </w:rPr>
              <w:t>correct.</w:t>
            </w:r>
          </w:p>
          <w:p>
            <w:pPr>
              <w:pStyle w:val="TableParagraph"/>
              <w:numPr>
                <w:ilvl w:val="0"/>
                <w:numId w:val="187"/>
              </w:numPr>
              <w:tabs>
                <w:tab w:pos="505" w:val="left" w:leader="none"/>
                <w:tab w:pos="506" w:val="left" w:leader="none"/>
              </w:tabs>
              <w:spacing w:line="240" w:lineRule="auto" w:before="79" w:after="0"/>
              <w:ind w:left="505" w:right="0" w:hanging="398"/>
              <w:jc w:val="left"/>
              <w:rPr>
                <w:sz w:val="18"/>
              </w:rPr>
            </w:pPr>
            <w:r>
              <w:rPr>
                <w:sz w:val="18"/>
              </w:rPr>
              <w:t>Check that temporal and spatial adjustment factors are used</w:t>
            </w:r>
            <w:r>
              <w:rPr>
                <w:spacing w:val="-1"/>
                <w:sz w:val="18"/>
              </w:rPr>
              <w:t> </w:t>
            </w:r>
            <w:r>
              <w:rPr>
                <w:sz w:val="18"/>
              </w:rPr>
              <w:t>correctly.</w:t>
            </w:r>
          </w:p>
        </w:tc>
      </w:tr>
      <w:tr>
        <w:trPr>
          <w:trHeight w:val="1612" w:hRule="atLeast"/>
        </w:trPr>
        <w:tc>
          <w:tcPr>
            <w:tcW w:w="2182" w:type="dxa"/>
          </w:tcPr>
          <w:p>
            <w:pPr>
              <w:pStyle w:val="TableParagraph"/>
              <w:rPr>
                <w:sz w:val="20"/>
              </w:rPr>
            </w:pPr>
          </w:p>
          <w:p>
            <w:pPr>
              <w:pStyle w:val="TableParagraph"/>
              <w:rPr>
                <w:sz w:val="20"/>
              </w:rPr>
            </w:pPr>
          </w:p>
          <w:p>
            <w:pPr>
              <w:pStyle w:val="TableParagraph"/>
              <w:spacing w:before="135"/>
              <w:ind w:left="54" w:right="523"/>
              <w:rPr>
                <w:sz w:val="18"/>
              </w:rPr>
            </w:pPr>
            <w:r>
              <w:rPr>
                <w:sz w:val="18"/>
              </w:rPr>
              <w:t>Check the integrity of database files.</w:t>
            </w:r>
          </w:p>
        </w:tc>
        <w:tc>
          <w:tcPr>
            <w:tcW w:w="6833" w:type="dxa"/>
          </w:tcPr>
          <w:p>
            <w:pPr>
              <w:pStyle w:val="TableParagraph"/>
              <w:numPr>
                <w:ilvl w:val="0"/>
                <w:numId w:val="188"/>
              </w:numPr>
              <w:tabs>
                <w:tab w:pos="505" w:val="left" w:leader="none"/>
                <w:tab w:pos="506" w:val="left" w:leader="none"/>
              </w:tabs>
              <w:spacing w:line="220" w:lineRule="auto" w:before="60" w:after="0"/>
              <w:ind w:left="505" w:right="419" w:hanging="398"/>
              <w:jc w:val="left"/>
              <w:rPr>
                <w:sz w:val="18"/>
              </w:rPr>
            </w:pPr>
            <w:r>
              <w:rPr>
                <w:sz w:val="18"/>
              </w:rPr>
              <w:t>Confirm that the appropriate data processing steps are correctly represented in the database.</w:t>
            </w:r>
          </w:p>
          <w:p>
            <w:pPr>
              <w:pStyle w:val="TableParagraph"/>
              <w:numPr>
                <w:ilvl w:val="0"/>
                <w:numId w:val="188"/>
              </w:numPr>
              <w:tabs>
                <w:tab w:pos="505" w:val="left" w:leader="none"/>
                <w:tab w:pos="506" w:val="left" w:leader="none"/>
              </w:tabs>
              <w:spacing w:line="240" w:lineRule="auto" w:before="96" w:after="0"/>
              <w:ind w:left="505" w:right="0" w:hanging="398"/>
              <w:jc w:val="left"/>
              <w:rPr>
                <w:sz w:val="18"/>
              </w:rPr>
            </w:pPr>
            <w:r>
              <w:rPr>
                <w:sz w:val="18"/>
              </w:rPr>
              <w:t>Confirm that data relationships are correctly represented in the</w:t>
            </w:r>
            <w:r>
              <w:rPr>
                <w:spacing w:val="-14"/>
                <w:sz w:val="18"/>
              </w:rPr>
              <w:t> </w:t>
            </w:r>
            <w:r>
              <w:rPr>
                <w:sz w:val="18"/>
              </w:rPr>
              <w:t>database.</w:t>
            </w:r>
          </w:p>
          <w:p>
            <w:pPr>
              <w:pStyle w:val="TableParagraph"/>
              <w:numPr>
                <w:ilvl w:val="0"/>
                <w:numId w:val="188"/>
              </w:numPr>
              <w:tabs>
                <w:tab w:pos="505" w:val="left" w:leader="none"/>
                <w:tab w:pos="506" w:val="left" w:leader="none"/>
              </w:tabs>
              <w:spacing w:line="240" w:lineRule="auto" w:before="78" w:after="0"/>
              <w:ind w:left="505" w:right="0" w:hanging="398"/>
              <w:jc w:val="left"/>
              <w:rPr>
                <w:sz w:val="18"/>
              </w:rPr>
            </w:pPr>
            <w:r>
              <w:rPr>
                <w:sz w:val="18"/>
              </w:rPr>
              <w:t>Ensure that data fields are properly labelled and have the correct design</w:t>
            </w:r>
            <w:r>
              <w:rPr>
                <w:spacing w:val="-24"/>
                <w:sz w:val="18"/>
              </w:rPr>
              <w:t> </w:t>
            </w:r>
            <w:r>
              <w:rPr>
                <w:sz w:val="18"/>
              </w:rPr>
              <w:t>specifications.</w:t>
            </w:r>
          </w:p>
          <w:p>
            <w:pPr>
              <w:pStyle w:val="TableParagraph"/>
              <w:numPr>
                <w:ilvl w:val="0"/>
                <w:numId w:val="188"/>
              </w:numPr>
              <w:tabs>
                <w:tab w:pos="505" w:val="left" w:leader="none"/>
                <w:tab w:pos="506" w:val="left" w:leader="none"/>
              </w:tabs>
              <w:spacing w:line="220" w:lineRule="auto" w:before="93" w:after="0"/>
              <w:ind w:left="505" w:right="71" w:hanging="398"/>
              <w:jc w:val="left"/>
              <w:rPr>
                <w:sz w:val="18"/>
              </w:rPr>
            </w:pPr>
            <w:r>
              <w:rPr>
                <w:sz w:val="18"/>
              </w:rPr>
              <w:t>Ensure that adequate documentation of database and model structure and operation are archived.</w:t>
            </w:r>
          </w:p>
        </w:tc>
      </w:tr>
      <w:tr>
        <w:trPr>
          <w:trHeight w:val="714" w:hRule="atLeast"/>
        </w:trPr>
        <w:tc>
          <w:tcPr>
            <w:tcW w:w="2182" w:type="dxa"/>
          </w:tcPr>
          <w:p>
            <w:pPr>
              <w:pStyle w:val="TableParagraph"/>
              <w:spacing w:before="146"/>
              <w:ind w:left="54" w:right="313"/>
              <w:rPr>
                <w:sz w:val="18"/>
              </w:rPr>
            </w:pPr>
            <w:r>
              <w:rPr>
                <w:sz w:val="18"/>
              </w:rPr>
              <w:t>Check for consistency in data between categories.</w:t>
            </w:r>
          </w:p>
        </w:tc>
        <w:tc>
          <w:tcPr>
            <w:tcW w:w="6833" w:type="dxa"/>
          </w:tcPr>
          <w:p>
            <w:pPr>
              <w:pStyle w:val="TableParagraph"/>
              <w:numPr>
                <w:ilvl w:val="0"/>
                <w:numId w:val="189"/>
              </w:numPr>
              <w:tabs>
                <w:tab w:pos="506" w:val="left" w:leader="none"/>
              </w:tabs>
              <w:spacing w:line="230" w:lineRule="auto" w:before="54" w:after="0"/>
              <w:ind w:left="505" w:right="357" w:hanging="398"/>
              <w:jc w:val="both"/>
              <w:rPr>
                <w:sz w:val="18"/>
              </w:rPr>
            </w:pPr>
            <w:r>
              <w:rPr>
                <w:sz w:val="18"/>
              </w:rPr>
              <w:t>Identify parameters (e.g., activity data, and constants) that are common to multiple categories of sources and sinks, and confirm that there is consistency in the values used for these parameters in the emissions</w:t>
            </w:r>
            <w:r>
              <w:rPr>
                <w:spacing w:val="-1"/>
                <w:sz w:val="18"/>
              </w:rPr>
              <w:t> </w:t>
            </w:r>
            <w:r>
              <w:rPr>
                <w:sz w:val="18"/>
              </w:rPr>
              <w:t>calculations.</w:t>
            </w:r>
          </w:p>
        </w:tc>
      </w:tr>
      <w:tr>
        <w:trPr>
          <w:trHeight w:val="1012" w:hRule="atLeast"/>
        </w:trPr>
        <w:tc>
          <w:tcPr>
            <w:tcW w:w="2182" w:type="dxa"/>
          </w:tcPr>
          <w:p>
            <w:pPr>
              <w:pStyle w:val="TableParagraph"/>
              <w:spacing w:before="7"/>
              <w:rPr>
                <w:sz w:val="16"/>
              </w:rPr>
            </w:pPr>
          </w:p>
          <w:p>
            <w:pPr>
              <w:pStyle w:val="TableParagraph"/>
              <w:ind w:left="54" w:right="58"/>
              <w:rPr>
                <w:sz w:val="18"/>
              </w:rPr>
            </w:pPr>
            <w:r>
              <w:rPr>
                <w:sz w:val="18"/>
              </w:rPr>
              <w:t>Check that the movement of inventory data among processing steps is correct.</w:t>
            </w:r>
          </w:p>
        </w:tc>
        <w:tc>
          <w:tcPr>
            <w:tcW w:w="6833" w:type="dxa"/>
          </w:tcPr>
          <w:p>
            <w:pPr>
              <w:pStyle w:val="TableParagraph"/>
              <w:numPr>
                <w:ilvl w:val="0"/>
                <w:numId w:val="190"/>
              </w:numPr>
              <w:tabs>
                <w:tab w:pos="505" w:val="left" w:leader="none"/>
                <w:tab w:pos="506" w:val="left" w:leader="none"/>
              </w:tabs>
              <w:spacing w:line="220" w:lineRule="auto" w:before="60" w:after="0"/>
              <w:ind w:left="505" w:right="229" w:hanging="398"/>
              <w:jc w:val="left"/>
              <w:rPr>
                <w:sz w:val="18"/>
              </w:rPr>
            </w:pPr>
            <w:r>
              <w:rPr>
                <w:sz w:val="18"/>
              </w:rPr>
              <w:t>Check that emission and removal data are correctly aggregated from lower reporting levels to higher reporting levels when preparing</w:t>
            </w:r>
            <w:r>
              <w:rPr>
                <w:spacing w:val="-2"/>
                <w:sz w:val="18"/>
              </w:rPr>
              <w:t> </w:t>
            </w:r>
            <w:r>
              <w:rPr>
                <w:sz w:val="18"/>
              </w:rPr>
              <w:t>summaries.</w:t>
            </w:r>
          </w:p>
          <w:p>
            <w:pPr>
              <w:pStyle w:val="TableParagraph"/>
              <w:numPr>
                <w:ilvl w:val="0"/>
                <w:numId w:val="190"/>
              </w:numPr>
              <w:tabs>
                <w:tab w:pos="505" w:val="left" w:leader="none"/>
                <w:tab w:pos="506" w:val="left" w:leader="none"/>
              </w:tabs>
              <w:spacing w:line="220" w:lineRule="auto" w:before="110" w:after="0"/>
              <w:ind w:left="505" w:right="465" w:hanging="398"/>
              <w:jc w:val="left"/>
              <w:rPr>
                <w:sz w:val="18"/>
              </w:rPr>
            </w:pPr>
            <w:r>
              <w:rPr>
                <w:sz w:val="18"/>
              </w:rPr>
              <w:t>Check that emission and removal data are correctly transcribed between different intermediate</w:t>
            </w:r>
            <w:r>
              <w:rPr>
                <w:spacing w:val="-2"/>
                <w:sz w:val="18"/>
              </w:rPr>
              <w:t> </w:t>
            </w:r>
            <w:r>
              <w:rPr>
                <w:sz w:val="18"/>
              </w:rPr>
              <w:t>products.</w:t>
            </w:r>
          </w:p>
        </w:tc>
      </w:tr>
      <w:tr>
        <w:trPr>
          <w:trHeight w:val="1521" w:hRule="atLeast"/>
        </w:trPr>
        <w:tc>
          <w:tcPr>
            <w:tcW w:w="2182" w:type="dxa"/>
          </w:tcPr>
          <w:p>
            <w:pPr>
              <w:pStyle w:val="TableParagraph"/>
              <w:spacing w:before="7"/>
              <w:rPr>
                <w:sz w:val="29"/>
              </w:rPr>
            </w:pPr>
          </w:p>
          <w:p>
            <w:pPr>
              <w:pStyle w:val="TableParagraph"/>
              <w:ind w:left="54" w:right="113"/>
              <w:rPr>
                <w:sz w:val="18"/>
              </w:rPr>
            </w:pPr>
            <w:r>
              <w:rPr>
                <w:sz w:val="18"/>
              </w:rPr>
              <w:t>Check that uncertainties in emissions and removals are estimated or calculated correctly.</w:t>
            </w:r>
          </w:p>
        </w:tc>
        <w:tc>
          <w:tcPr>
            <w:tcW w:w="6833" w:type="dxa"/>
          </w:tcPr>
          <w:p>
            <w:pPr>
              <w:pStyle w:val="TableParagraph"/>
              <w:numPr>
                <w:ilvl w:val="0"/>
                <w:numId w:val="191"/>
              </w:numPr>
              <w:tabs>
                <w:tab w:pos="505" w:val="left" w:leader="none"/>
                <w:tab w:pos="506" w:val="left" w:leader="none"/>
              </w:tabs>
              <w:spacing w:line="223" w:lineRule="auto" w:before="58" w:after="0"/>
              <w:ind w:left="505" w:right="316" w:hanging="398"/>
              <w:jc w:val="left"/>
              <w:rPr>
                <w:sz w:val="18"/>
              </w:rPr>
            </w:pPr>
            <w:r>
              <w:rPr>
                <w:sz w:val="18"/>
              </w:rPr>
              <w:t>Check that qualifications of individuals providing expert judgement for uncertainty estimates are</w:t>
            </w:r>
            <w:r>
              <w:rPr>
                <w:spacing w:val="-1"/>
                <w:sz w:val="18"/>
              </w:rPr>
              <w:t> </w:t>
            </w:r>
            <w:r>
              <w:rPr>
                <w:sz w:val="18"/>
              </w:rPr>
              <w:t>appropriate.</w:t>
            </w:r>
          </w:p>
          <w:p>
            <w:pPr>
              <w:pStyle w:val="TableParagraph"/>
              <w:numPr>
                <w:ilvl w:val="0"/>
                <w:numId w:val="191"/>
              </w:numPr>
              <w:tabs>
                <w:tab w:pos="505" w:val="left" w:leader="none"/>
                <w:tab w:pos="506" w:val="left" w:leader="none"/>
              </w:tabs>
              <w:spacing w:line="220" w:lineRule="auto" w:before="111" w:after="0"/>
              <w:ind w:left="505" w:right="54" w:hanging="398"/>
              <w:jc w:val="left"/>
              <w:rPr>
                <w:sz w:val="18"/>
              </w:rPr>
            </w:pPr>
            <w:r>
              <w:rPr>
                <w:sz w:val="18"/>
              </w:rPr>
              <w:t>Check that qualifications, assumptions and expert judgements are recorded. Check that calculated uncertainties are complete and calculated</w:t>
            </w:r>
            <w:r>
              <w:rPr>
                <w:spacing w:val="-2"/>
                <w:sz w:val="18"/>
              </w:rPr>
              <w:t> </w:t>
            </w:r>
            <w:r>
              <w:rPr>
                <w:sz w:val="18"/>
              </w:rPr>
              <w:t>correctly.</w:t>
            </w:r>
          </w:p>
          <w:p>
            <w:pPr>
              <w:pStyle w:val="TableParagraph"/>
              <w:numPr>
                <w:ilvl w:val="0"/>
                <w:numId w:val="191"/>
              </w:numPr>
              <w:tabs>
                <w:tab w:pos="505" w:val="left" w:leader="none"/>
                <w:tab w:pos="506" w:val="left" w:leader="none"/>
              </w:tabs>
              <w:spacing w:line="220" w:lineRule="auto" w:before="110" w:after="0"/>
              <w:ind w:left="505" w:right="764" w:hanging="398"/>
              <w:jc w:val="left"/>
              <w:rPr>
                <w:sz w:val="18"/>
              </w:rPr>
            </w:pPr>
            <w:r>
              <w:rPr>
                <w:sz w:val="18"/>
              </w:rPr>
              <w:t>If necessary, duplicate error calculations on a small sample of the probability distributions used by Monte Carlo</w:t>
            </w:r>
            <w:r>
              <w:rPr>
                <w:spacing w:val="-7"/>
                <w:sz w:val="18"/>
              </w:rPr>
              <w:t> </w:t>
            </w:r>
            <w:r>
              <w:rPr>
                <w:sz w:val="18"/>
              </w:rPr>
              <w:t>analyses.</w:t>
            </w:r>
          </w:p>
        </w:tc>
      </w:tr>
    </w:tbl>
    <w:p>
      <w:pPr>
        <w:spacing w:after="0" w:line="220" w:lineRule="auto"/>
        <w:jc w:val="left"/>
        <w:rPr>
          <w:sz w:val="18"/>
        </w:rPr>
        <w:sectPr>
          <w:pgSz w:w="11900" w:h="16840"/>
          <w:pgMar w:header="230" w:footer="408" w:top="560" w:bottom="600" w:left="1240" w:right="0"/>
        </w:sectPr>
      </w:pPr>
    </w:p>
    <w:p>
      <w:pPr>
        <w:pStyle w:val="BodyText"/>
      </w:pPr>
    </w:p>
    <w:p>
      <w:pPr>
        <w:pStyle w:val="BodyText"/>
        <w:spacing w:before="9"/>
        <w:rPr>
          <w:sz w:val="18"/>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82"/>
        <w:gridCol w:w="6833"/>
      </w:tblGrid>
      <w:tr>
        <w:trPr>
          <w:trHeight w:val="534" w:hRule="atLeast"/>
        </w:trPr>
        <w:tc>
          <w:tcPr>
            <w:tcW w:w="9015" w:type="dxa"/>
            <w:gridSpan w:val="2"/>
            <w:tcBorders>
              <w:bottom w:val="double" w:sz="1" w:space="0" w:color="000000"/>
            </w:tcBorders>
          </w:tcPr>
          <w:p>
            <w:pPr>
              <w:pStyle w:val="TableParagraph"/>
              <w:spacing w:before="59"/>
              <w:ind w:left="131" w:right="123"/>
              <w:jc w:val="center"/>
              <w:rPr>
                <w:b/>
                <w:sz w:val="18"/>
              </w:rPr>
            </w:pPr>
            <w:r>
              <w:rPr>
                <w:b/>
                <w:sz w:val="18"/>
              </w:rPr>
              <w:t>T</w:t>
            </w:r>
            <w:r>
              <w:rPr>
                <w:b/>
                <w:sz w:val="14"/>
              </w:rPr>
              <w:t>ABLE  </w:t>
            </w:r>
            <w:r>
              <w:rPr>
                <w:b/>
                <w:sz w:val="18"/>
              </w:rPr>
              <w:t>5.5.1 (C</w:t>
            </w:r>
            <w:r>
              <w:rPr>
                <w:b/>
                <w:sz w:val="14"/>
              </w:rPr>
              <w:t>ONTINUED</w:t>
            </w:r>
            <w:r>
              <w:rPr>
                <w:b/>
                <w:sz w:val="18"/>
              </w:rPr>
              <w:t>)</w:t>
            </w:r>
          </w:p>
          <w:p>
            <w:pPr>
              <w:pStyle w:val="TableParagraph"/>
              <w:spacing w:before="2"/>
              <w:ind w:left="131" w:right="121"/>
              <w:jc w:val="center"/>
              <w:rPr>
                <w:b/>
                <w:sz w:val="14"/>
              </w:rPr>
            </w:pPr>
            <w:r>
              <w:rPr>
                <w:b/>
                <w:sz w:val="18"/>
              </w:rPr>
              <w:t>T</w:t>
            </w:r>
            <w:r>
              <w:rPr>
                <w:b/>
                <w:sz w:val="14"/>
              </w:rPr>
              <w:t>IER </w:t>
            </w:r>
            <w:r>
              <w:rPr>
                <w:b/>
                <w:sz w:val="18"/>
              </w:rPr>
              <w:t>1 </w:t>
            </w:r>
            <w:r>
              <w:rPr>
                <w:b/>
                <w:sz w:val="14"/>
              </w:rPr>
              <w:t>GENERAL INVENTORY LEVEL </w:t>
            </w:r>
            <w:r>
              <w:rPr>
                <w:b/>
                <w:sz w:val="18"/>
              </w:rPr>
              <w:t>QC </w:t>
            </w:r>
            <w:r>
              <w:rPr>
                <w:b/>
                <w:sz w:val="14"/>
              </w:rPr>
              <w:t>PROCEDURES</w:t>
            </w:r>
          </w:p>
        </w:tc>
      </w:tr>
      <w:tr>
        <w:trPr>
          <w:trHeight w:val="1578" w:hRule="atLeast"/>
        </w:trPr>
        <w:tc>
          <w:tcPr>
            <w:tcW w:w="2182" w:type="dxa"/>
            <w:tcBorders>
              <w:top w:val="double" w:sz="1" w:space="0" w:color="000000"/>
            </w:tcBorders>
          </w:tcPr>
          <w:p>
            <w:pPr>
              <w:pStyle w:val="TableParagraph"/>
              <w:rPr>
                <w:sz w:val="20"/>
              </w:rPr>
            </w:pPr>
          </w:p>
          <w:p>
            <w:pPr>
              <w:pStyle w:val="TableParagraph"/>
              <w:rPr>
                <w:sz w:val="20"/>
              </w:rPr>
            </w:pPr>
          </w:p>
          <w:p>
            <w:pPr>
              <w:pStyle w:val="TableParagraph"/>
              <w:spacing w:before="117"/>
              <w:ind w:left="54" w:right="388"/>
              <w:rPr>
                <w:sz w:val="18"/>
              </w:rPr>
            </w:pPr>
            <w:r>
              <w:rPr>
                <w:sz w:val="18"/>
              </w:rPr>
              <w:t>Undertake review of internal documentation.</w:t>
            </w:r>
          </w:p>
        </w:tc>
        <w:tc>
          <w:tcPr>
            <w:tcW w:w="6833" w:type="dxa"/>
            <w:tcBorders>
              <w:top w:val="double" w:sz="1" w:space="0" w:color="000000"/>
            </w:tcBorders>
          </w:tcPr>
          <w:p>
            <w:pPr>
              <w:pStyle w:val="TableParagraph"/>
              <w:numPr>
                <w:ilvl w:val="0"/>
                <w:numId w:val="192"/>
              </w:numPr>
              <w:tabs>
                <w:tab w:pos="505" w:val="left" w:leader="none"/>
                <w:tab w:pos="506" w:val="left" w:leader="none"/>
              </w:tabs>
              <w:spacing w:line="220" w:lineRule="auto" w:before="88" w:after="0"/>
              <w:ind w:left="505" w:right="72" w:hanging="398"/>
              <w:jc w:val="left"/>
              <w:rPr>
                <w:sz w:val="18"/>
              </w:rPr>
            </w:pPr>
            <w:r>
              <w:rPr>
                <w:sz w:val="18"/>
              </w:rPr>
              <w:t>Check that there is detailed internal documentation to support the estimates and enable reproduction of the emission and removal and uncertainty</w:t>
            </w:r>
            <w:r>
              <w:rPr>
                <w:spacing w:val="-11"/>
                <w:sz w:val="18"/>
              </w:rPr>
              <w:t> </w:t>
            </w:r>
            <w:r>
              <w:rPr>
                <w:sz w:val="18"/>
              </w:rPr>
              <w:t>estimates.</w:t>
            </w:r>
          </w:p>
          <w:p>
            <w:pPr>
              <w:pStyle w:val="TableParagraph"/>
              <w:numPr>
                <w:ilvl w:val="0"/>
                <w:numId w:val="192"/>
              </w:numPr>
              <w:tabs>
                <w:tab w:pos="505" w:val="left" w:leader="none"/>
                <w:tab w:pos="506" w:val="left" w:leader="none"/>
              </w:tabs>
              <w:spacing w:line="223" w:lineRule="auto" w:before="109" w:after="0"/>
              <w:ind w:left="505" w:right="359" w:hanging="398"/>
              <w:jc w:val="left"/>
              <w:rPr>
                <w:sz w:val="18"/>
              </w:rPr>
            </w:pPr>
            <w:r>
              <w:rPr>
                <w:sz w:val="18"/>
              </w:rPr>
              <w:t>Check that inventory data, supporting data, and inventory records are archived and stored to facilitate detailed</w:t>
            </w:r>
            <w:r>
              <w:rPr>
                <w:spacing w:val="1"/>
                <w:sz w:val="18"/>
              </w:rPr>
              <w:t> </w:t>
            </w:r>
            <w:r>
              <w:rPr>
                <w:sz w:val="18"/>
              </w:rPr>
              <w:t>review.</w:t>
            </w:r>
          </w:p>
          <w:p>
            <w:pPr>
              <w:pStyle w:val="TableParagraph"/>
              <w:numPr>
                <w:ilvl w:val="0"/>
                <w:numId w:val="192"/>
              </w:numPr>
              <w:tabs>
                <w:tab w:pos="505" w:val="left" w:leader="none"/>
                <w:tab w:pos="506" w:val="left" w:leader="none"/>
              </w:tabs>
              <w:spacing w:line="223" w:lineRule="auto" w:before="107" w:after="0"/>
              <w:ind w:left="505" w:right="173" w:hanging="398"/>
              <w:jc w:val="left"/>
              <w:rPr>
                <w:sz w:val="18"/>
              </w:rPr>
            </w:pPr>
            <w:r>
              <w:rPr>
                <w:sz w:val="18"/>
              </w:rPr>
              <w:t>Check integrity of any data archiving arrangements of outside organisations involved in inventory</w:t>
            </w:r>
            <w:r>
              <w:rPr>
                <w:spacing w:val="-3"/>
                <w:sz w:val="18"/>
              </w:rPr>
              <w:t> </w:t>
            </w:r>
            <w:r>
              <w:rPr>
                <w:sz w:val="18"/>
              </w:rPr>
              <w:t>preparation.</w:t>
            </w:r>
          </w:p>
        </w:tc>
      </w:tr>
      <w:tr>
        <w:trPr>
          <w:trHeight w:val="1367" w:hRule="atLeast"/>
        </w:trPr>
        <w:tc>
          <w:tcPr>
            <w:tcW w:w="2182" w:type="dxa"/>
          </w:tcPr>
          <w:p>
            <w:pPr>
              <w:pStyle w:val="TableParagraph"/>
              <w:rPr>
                <w:sz w:val="20"/>
              </w:rPr>
            </w:pPr>
          </w:p>
          <w:p>
            <w:pPr>
              <w:pStyle w:val="TableParagraph"/>
              <w:spacing w:before="1"/>
              <w:rPr>
                <w:sz w:val="21"/>
              </w:rPr>
            </w:pPr>
          </w:p>
          <w:p>
            <w:pPr>
              <w:pStyle w:val="TableParagraph"/>
              <w:ind w:left="54" w:right="818"/>
              <w:rPr>
                <w:sz w:val="18"/>
              </w:rPr>
            </w:pPr>
            <w:r>
              <w:rPr>
                <w:sz w:val="18"/>
              </w:rPr>
              <w:t>Check time series consistency.</w:t>
            </w:r>
          </w:p>
        </w:tc>
        <w:tc>
          <w:tcPr>
            <w:tcW w:w="6833" w:type="dxa"/>
          </w:tcPr>
          <w:p>
            <w:pPr>
              <w:pStyle w:val="TableParagraph"/>
              <w:numPr>
                <w:ilvl w:val="0"/>
                <w:numId w:val="193"/>
              </w:numPr>
              <w:tabs>
                <w:tab w:pos="505" w:val="left" w:leader="none"/>
                <w:tab w:pos="506" w:val="left" w:leader="none"/>
              </w:tabs>
              <w:spacing w:line="220" w:lineRule="auto" w:before="89" w:after="0"/>
              <w:ind w:left="505" w:right="194" w:hanging="398"/>
              <w:jc w:val="left"/>
              <w:rPr>
                <w:sz w:val="18"/>
              </w:rPr>
            </w:pPr>
            <w:r>
              <w:rPr>
                <w:sz w:val="18"/>
              </w:rPr>
              <w:t>Check</w:t>
            </w:r>
            <w:r>
              <w:rPr>
                <w:spacing w:val="-4"/>
                <w:sz w:val="18"/>
              </w:rPr>
              <w:t> </w:t>
            </w:r>
            <w:r>
              <w:rPr>
                <w:sz w:val="18"/>
              </w:rPr>
              <w:t>for</w:t>
            </w:r>
            <w:r>
              <w:rPr>
                <w:spacing w:val="-2"/>
                <w:sz w:val="18"/>
              </w:rPr>
              <w:t> </w:t>
            </w:r>
            <w:r>
              <w:rPr>
                <w:sz w:val="18"/>
              </w:rPr>
              <w:t>temporal</w:t>
            </w:r>
            <w:r>
              <w:rPr>
                <w:spacing w:val="-1"/>
                <w:sz w:val="18"/>
              </w:rPr>
              <w:t> </w:t>
            </w:r>
            <w:r>
              <w:rPr>
                <w:sz w:val="18"/>
              </w:rPr>
              <w:t>consistency</w:t>
            </w:r>
            <w:r>
              <w:rPr>
                <w:spacing w:val="-5"/>
                <w:sz w:val="18"/>
              </w:rPr>
              <w:t> </w:t>
            </w:r>
            <w:r>
              <w:rPr>
                <w:sz w:val="18"/>
              </w:rPr>
              <w:t>in</w:t>
            </w:r>
            <w:r>
              <w:rPr>
                <w:spacing w:val="-1"/>
                <w:sz w:val="18"/>
              </w:rPr>
              <w:t> </w:t>
            </w:r>
            <w:r>
              <w:rPr>
                <w:sz w:val="18"/>
              </w:rPr>
              <w:t>time</w:t>
            </w:r>
            <w:r>
              <w:rPr>
                <w:spacing w:val="-3"/>
                <w:sz w:val="18"/>
              </w:rPr>
              <w:t> </w:t>
            </w:r>
            <w:r>
              <w:rPr>
                <w:sz w:val="18"/>
              </w:rPr>
              <w:t>series</w:t>
            </w:r>
            <w:r>
              <w:rPr>
                <w:spacing w:val="-2"/>
                <w:sz w:val="18"/>
              </w:rPr>
              <w:t> </w:t>
            </w:r>
            <w:r>
              <w:rPr>
                <w:sz w:val="18"/>
              </w:rPr>
              <w:t>input</w:t>
            </w:r>
            <w:r>
              <w:rPr>
                <w:spacing w:val="-3"/>
                <w:sz w:val="18"/>
              </w:rPr>
              <w:t> </w:t>
            </w:r>
            <w:r>
              <w:rPr>
                <w:sz w:val="18"/>
              </w:rPr>
              <w:t>data</w:t>
            </w:r>
            <w:r>
              <w:rPr>
                <w:spacing w:val="-3"/>
                <w:sz w:val="18"/>
              </w:rPr>
              <w:t> </w:t>
            </w:r>
            <w:r>
              <w:rPr>
                <w:sz w:val="18"/>
              </w:rPr>
              <w:t>for</w:t>
            </w:r>
            <w:r>
              <w:rPr>
                <w:spacing w:val="-2"/>
                <w:sz w:val="18"/>
              </w:rPr>
              <w:t> </w:t>
            </w:r>
            <w:r>
              <w:rPr>
                <w:sz w:val="18"/>
              </w:rPr>
              <w:t>each</w:t>
            </w:r>
            <w:r>
              <w:rPr>
                <w:spacing w:val="-1"/>
                <w:sz w:val="18"/>
              </w:rPr>
              <w:t> </w:t>
            </w:r>
            <w:r>
              <w:rPr>
                <w:sz w:val="18"/>
              </w:rPr>
              <w:t>category</w:t>
            </w:r>
            <w:r>
              <w:rPr>
                <w:spacing w:val="-5"/>
                <w:sz w:val="18"/>
              </w:rPr>
              <w:t> </w:t>
            </w:r>
            <w:r>
              <w:rPr>
                <w:sz w:val="18"/>
              </w:rPr>
              <w:t>of</w:t>
            </w:r>
            <w:r>
              <w:rPr>
                <w:spacing w:val="-4"/>
                <w:sz w:val="18"/>
              </w:rPr>
              <w:t> </w:t>
            </w:r>
            <w:r>
              <w:rPr>
                <w:sz w:val="18"/>
              </w:rPr>
              <w:t>sources and sinks.</w:t>
            </w:r>
          </w:p>
          <w:p>
            <w:pPr>
              <w:pStyle w:val="TableParagraph"/>
              <w:numPr>
                <w:ilvl w:val="0"/>
                <w:numId w:val="193"/>
              </w:numPr>
              <w:tabs>
                <w:tab w:pos="505" w:val="left" w:leader="none"/>
                <w:tab w:pos="506" w:val="left" w:leader="none"/>
              </w:tabs>
              <w:spacing w:line="220" w:lineRule="auto" w:before="110" w:after="0"/>
              <w:ind w:left="505" w:right="292" w:hanging="398"/>
              <w:jc w:val="left"/>
              <w:rPr>
                <w:sz w:val="18"/>
              </w:rPr>
            </w:pPr>
            <w:r>
              <w:rPr>
                <w:sz w:val="18"/>
              </w:rPr>
              <w:t>Check for consistency in the algorithm/method used for calculations throughout the time</w:t>
            </w:r>
            <w:r>
              <w:rPr>
                <w:spacing w:val="-1"/>
                <w:sz w:val="18"/>
              </w:rPr>
              <w:t> </w:t>
            </w:r>
            <w:r>
              <w:rPr>
                <w:sz w:val="18"/>
              </w:rPr>
              <w:t>series.</w:t>
            </w:r>
          </w:p>
          <w:p>
            <w:pPr>
              <w:pStyle w:val="TableParagraph"/>
              <w:numPr>
                <w:ilvl w:val="0"/>
                <w:numId w:val="193"/>
              </w:numPr>
              <w:tabs>
                <w:tab w:pos="505" w:val="left" w:leader="none"/>
                <w:tab w:pos="506" w:val="left" w:leader="none"/>
              </w:tabs>
              <w:spacing w:line="240" w:lineRule="auto" w:before="96" w:after="0"/>
              <w:ind w:left="505" w:right="0" w:hanging="398"/>
              <w:jc w:val="left"/>
              <w:rPr>
                <w:sz w:val="18"/>
              </w:rPr>
            </w:pPr>
            <w:r>
              <w:rPr>
                <w:sz w:val="18"/>
              </w:rPr>
              <w:t>Check recalculation method.</w:t>
            </w:r>
          </w:p>
        </w:tc>
      </w:tr>
      <w:tr>
        <w:trPr>
          <w:trHeight w:val="1070" w:hRule="atLeast"/>
        </w:trPr>
        <w:tc>
          <w:tcPr>
            <w:tcW w:w="2182" w:type="dxa"/>
          </w:tcPr>
          <w:p>
            <w:pPr>
              <w:pStyle w:val="TableParagraph"/>
              <w:spacing w:before="1"/>
              <w:rPr>
                <w:sz w:val="28"/>
              </w:rPr>
            </w:pPr>
          </w:p>
          <w:p>
            <w:pPr>
              <w:pStyle w:val="TableParagraph"/>
              <w:ind w:left="54" w:right="333"/>
              <w:rPr>
                <w:sz w:val="18"/>
              </w:rPr>
            </w:pPr>
            <w:r>
              <w:rPr>
                <w:sz w:val="18"/>
              </w:rPr>
              <w:t>Undertake completeness checks.</w:t>
            </w:r>
          </w:p>
        </w:tc>
        <w:tc>
          <w:tcPr>
            <w:tcW w:w="6833" w:type="dxa"/>
          </w:tcPr>
          <w:p>
            <w:pPr>
              <w:pStyle w:val="TableParagraph"/>
              <w:numPr>
                <w:ilvl w:val="0"/>
                <w:numId w:val="194"/>
              </w:numPr>
              <w:tabs>
                <w:tab w:pos="505" w:val="left" w:leader="none"/>
                <w:tab w:pos="506" w:val="left" w:leader="none"/>
              </w:tabs>
              <w:spacing w:line="223" w:lineRule="auto" w:before="87" w:after="0"/>
              <w:ind w:left="505" w:right="225" w:hanging="398"/>
              <w:jc w:val="left"/>
              <w:rPr>
                <w:sz w:val="18"/>
              </w:rPr>
            </w:pPr>
            <w:r>
              <w:rPr>
                <w:sz w:val="18"/>
              </w:rPr>
              <w:t>Confirm that estimates are reported for all categories of sources and sinks and for all years from the appropriate base year to the period of the current</w:t>
            </w:r>
            <w:r>
              <w:rPr>
                <w:spacing w:val="-12"/>
                <w:sz w:val="18"/>
              </w:rPr>
              <w:t> </w:t>
            </w:r>
            <w:r>
              <w:rPr>
                <w:sz w:val="18"/>
              </w:rPr>
              <w:t>inventory.</w:t>
            </w:r>
          </w:p>
          <w:p>
            <w:pPr>
              <w:pStyle w:val="TableParagraph"/>
              <w:numPr>
                <w:ilvl w:val="0"/>
                <w:numId w:val="194"/>
              </w:numPr>
              <w:tabs>
                <w:tab w:pos="505" w:val="left" w:leader="none"/>
                <w:tab w:pos="506" w:val="left" w:leader="none"/>
              </w:tabs>
              <w:spacing w:line="220" w:lineRule="auto" w:before="110" w:after="0"/>
              <w:ind w:left="505" w:right="761" w:hanging="398"/>
              <w:jc w:val="left"/>
              <w:rPr>
                <w:sz w:val="18"/>
              </w:rPr>
            </w:pPr>
            <w:r>
              <w:rPr>
                <w:sz w:val="18"/>
              </w:rPr>
              <w:t>Check that known data gaps that result in incomplete emissions estimates are documented.</w:t>
            </w:r>
          </w:p>
        </w:tc>
      </w:tr>
      <w:tr>
        <w:trPr>
          <w:trHeight w:val="770" w:hRule="atLeast"/>
        </w:trPr>
        <w:tc>
          <w:tcPr>
            <w:tcW w:w="2182" w:type="dxa"/>
          </w:tcPr>
          <w:p>
            <w:pPr>
              <w:pStyle w:val="TableParagraph"/>
              <w:spacing w:before="172"/>
              <w:ind w:left="54" w:right="538"/>
              <w:rPr>
                <w:sz w:val="18"/>
              </w:rPr>
            </w:pPr>
            <w:r>
              <w:rPr>
                <w:sz w:val="18"/>
              </w:rPr>
              <w:t>Compare estimates to previous estimates.</w:t>
            </w:r>
          </w:p>
        </w:tc>
        <w:tc>
          <w:tcPr>
            <w:tcW w:w="6833" w:type="dxa"/>
          </w:tcPr>
          <w:p>
            <w:pPr>
              <w:pStyle w:val="TableParagraph"/>
              <w:numPr>
                <w:ilvl w:val="0"/>
                <w:numId w:val="195"/>
              </w:numPr>
              <w:tabs>
                <w:tab w:pos="505" w:val="left" w:leader="none"/>
                <w:tab w:pos="506" w:val="left" w:leader="none"/>
              </w:tabs>
              <w:spacing w:line="230" w:lineRule="auto" w:before="82" w:after="0"/>
              <w:ind w:left="505" w:right="375" w:hanging="398"/>
              <w:jc w:val="left"/>
              <w:rPr>
                <w:sz w:val="18"/>
              </w:rPr>
            </w:pPr>
            <w:r>
              <w:rPr>
                <w:sz w:val="18"/>
              </w:rPr>
              <w:t>For each category, current inventory estimates should be compared to previous estimates, if available. If there are significant changes or departures from</w:t>
            </w:r>
            <w:r>
              <w:rPr>
                <w:spacing w:val="-29"/>
                <w:sz w:val="18"/>
              </w:rPr>
              <w:t> </w:t>
            </w:r>
            <w:r>
              <w:rPr>
                <w:sz w:val="18"/>
              </w:rPr>
              <w:t>expected trends, re- check estimates and explain any</w:t>
            </w:r>
            <w:r>
              <w:rPr>
                <w:spacing w:val="-30"/>
                <w:sz w:val="18"/>
              </w:rPr>
              <w:t> </w:t>
            </w:r>
            <w:r>
              <w:rPr>
                <w:sz w:val="18"/>
              </w:rPr>
              <w:t>difference.</w:t>
            </w:r>
          </w:p>
        </w:tc>
      </w:tr>
    </w:tbl>
    <w:p>
      <w:pPr>
        <w:pStyle w:val="BodyText"/>
        <w:spacing w:before="8"/>
        <w:rPr>
          <w:sz w:val="23"/>
        </w:rPr>
      </w:pPr>
    </w:p>
    <w:p>
      <w:pPr>
        <w:pStyle w:val="Heading2"/>
        <w:numPr>
          <w:ilvl w:val="2"/>
          <w:numId w:val="182"/>
        </w:numPr>
        <w:tabs>
          <w:tab w:pos="1381" w:val="left" w:leader="none"/>
          <w:tab w:pos="1382" w:val="left" w:leader="none"/>
        </w:tabs>
        <w:spacing w:line="240" w:lineRule="auto" w:before="86" w:after="0"/>
        <w:ind w:left="1381" w:right="2101" w:hanging="1202"/>
        <w:jc w:val="left"/>
      </w:pPr>
      <w:r>
        <w:rPr>
          <w:spacing w:val="7"/>
        </w:rPr>
        <w:t>Source </w:t>
      </w:r>
      <w:r>
        <w:rPr>
          <w:spacing w:val="4"/>
        </w:rPr>
        <w:t>or </w:t>
      </w:r>
      <w:r>
        <w:rPr>
          <w:spacing w:val="8"/>
        </w:rPr>
        <w:t>Sink </w:t>
      </w:r>
      <w:r>
        <w:rPr>
          <w:spacing w:val="9"/>
        </w:rPr>
        <w:t>Category-Specific </w:t>
      </w:r>
      <w:r>
        <w:rPr>
          <w:spacing w:val="4"/>
        </w:rPr>
        <w:t>QC </w:t>
      </w:r>
      <w:r>
        <w:rPr>
          <w:spacing w:val="8"/>
        </w:rPr>
        <w:t>Procedures </w:t>
      </w:r>
      <w:r>
        <w:rPr>
          <w:spacing w:val="7"/>
        </w:rPr>
        <w:t>(Tier</w:t>
      </w:r>
      <w:r>
        <w:rPr>
          <w:spacing w:val="18"/>
        </w:rPr>
        <w:t> </w:t>
      </w:r>
      <w:r>
        <w:rPr>
          <w:spacing w:val="6"/>
        </w:rPr>
        <w:t>2)</w:t>
      </w:r>
    </w:p>
    <w:p>
      <w:pPr>
        <w:pStyle w:val="BodyText"/>
        <w:spacing w:before="115"/>
        <w:ind w:left="179" w:right="1405"/>
        <w:jc w:val="both"/>
      </w:pPr>
      <w:r>
        <w:rPr/>
        <w:t>It is </w:t>
      </w:r>
      <w:r>
        <w:rPr>
          <w:i/>
        </w:rPr>
        <w:t>good practice </w:t>
      </w:r>
      <w:r>
        <w:rPr/>
        <w:t>to supplement the Tier 1 QC checks related to data processing, handling and reporting with Tier 2 source or sink category-specific procedures for key categories (i.e., with the additional quality control checks outlined in </w:t>
      </w:r>
      <w:r>
        <w:rPr>
          <w:i/>
        </w:rPr>
        <w:t>GPG2000</w:t>
      </w:r>
      <w:r>
        <w:rPr/>
        <w:t>, Section 8.7, Source Category-Specific QC Procedures (Tier 2)). Tier 2 procedures should be implemented on a case-by-case basis. These checks may be applicable, particularly if higher tier inventory methods are used to prepare emission and removal estimates. The Tier 2 QC procedures are directed at specific types of data used in the methods and require knowledge of the source or sink category, the types of data available, and the parameters associated with emissions or removals.</w:t>
      </w:r>
    </w:p>
    <w:p>
      <w:pPr>
        <w:pStyle w:val="BodyText"/>
        <w:spacing w:before="121"/>
        <w:ind w:left="179" w:right="1403"/>
        <w:jc w:val="both"/>
      </w:pPr>
      <w:r>
        <w:rPr/>
        <w:t>In some cases, the quantity and complexity of data that will be used to develop estimates of emissions and removals from LULUCF may lead to some difficulties for implementing Tier 2 QC checks and investigations. At the same time, this complexity makes it all the more important that rigorous Tier 2 data quality investigations be performed and that they be done in cooperation with the institutions that are primarily responsible for collecting and analyzing LULUCF data. These institutions may be numerous and somewhat diverse because of the allocation of land management responsibilities within each country. Investigating the quality of the input data used in LULUCF models and other calculations will require extensive cooperation and communication with these institutions to better understand their existing QA/QC procedures.</w:t>
      </w:r>
    </w:p>
    <w:p>
      <w:pPr>
        <w:pStyle w:val="BodyText"/>
        <w:spacing w:before="118"/>
        <w:ind w:left="179" w:right="1406"/>
        <w:jc w:val="both"/>
      </w:pPr>
      <w:r>
        <w:rPr/>
        <w:t>While source and sink category-specific checks are described in Chapter 3 of this report, Tier 2 QC for the LULUCF sector should focus on the following types of checks:</w:t>
      </w:r>
    </w:p>
    <w:p>
      <w:pPr>
        <w:pStyle w:val="ListParagraph"/>
        <w:numPr>
          <w:ilvl w:val="1"/>
          <w:numId w:val="181"/>
        </w:numPr>
        <w:tabs>
          <w:tab w:pos="540" w:val="left" w:leader="none"/>
        </w:tabs>
        <w:spacing w:line="235" w:lineRule="auto" w:before="139" w:after="0"/>
        <w:ind w:left="539" w:right="1402" w:hanging="360"/>
        <w:jc w:val="both"/>
        <w:rPr>
          <w:sz w:val="20"/>
        </w:rPr>
      </w:pPr>
      <w:r>
        <w:rPr>
          <w:sz w:val="20"/>
        </w:rPr>
        <w:t>The inventory agency should check that land areas are properly classified and that no double counting or omissions of land area have occurred (see Section 2.3.2 of Chapter 2 and Table 2.3.1) This land area classification should be consistent with Chapter 2 (Basis for Consistent Representation of Land Areas). In particular, it is important to check consistency and possible double-counting between the agriculture sector and the LULUCF</w:t>
      </w:r>
      <w:r>
        <w:rPr>
          <w:spacing w:val="1"/>
          <w:sz w:val="20"/>
        </w:rPr>
        <w:t> </w:t>
      </w:r>
      <w:r>
        <w:rPr>
          <w:sz w:val="20"/>
        </w:rPr>
        <w:t>sector.</w:t>
      </w:r>
    </w:p>
    <w:p>
      <w:pPr>
        <w:pStyle w:val="ListParagraph"/>
        <w:numPr>
          <w:ilvl w:val="1"/>
          <w:numId w:val="181"/>
        </w:numPr>
        <w:tabs>
          <w:tab w:pos="540" w:val="left" w:leader="none"/>
        </w:tabs>
        <w:spacing w:line="237" w:lineRule="auto" w:before="139" w:after="0"/>
        <w:ind w:left="539" w:right="1404" w:hanging="360"/>
        <w:jc w:val="both"/>
        <w:rPr>
          <w:sz w:val="20"/>
        </w:rPr>
      </w:pPr>
      <w:r>
        <w:rPr>
          <w:sz w:val="20"/>
        </w:rPr>
        <w:t>The inventory agency should investigate the completeness of source and sink categories in the LULUCF sector, by examining the land-use categories and the subcategories to the extent appropriate, as described in Chapter 3 (see Table 3.1.1 and Table 3.1.2 in Section 3.1.1). This is particularly important because of the complicated relationships among several of the LULUCF categories (e.g., abandoned lands regrowing and changes in woody biomass stocks) and between LULUCF categories and other source categories (e.g., biomass cleared and biomass fuel combustion). This classification should be consistent with Chapter 3, (LUCF Sector Good Practice Guidance). The inventory agency should also assess whether estimates of particular categories cover all relevant geographical areas (e.g., territories), sub-source or sink categories, pools, or activities.</w:t>
      </w:r>
    </w:p>
    <w:p>
      <w:pPr>
        <w:spacing w:after="0" w:line="237" w:lineRule="auto"/>
        <w:jc w:val="both"/>
        <w:rPr>
          <w:sz w:val="20"/>
        </w:rPr>
        <w:sectPr>
          <w:pgSz w:w="11900" w:h="16840"/>
          <w:pgMar w:header="230" w:footer="408" w:top="560" w:bottom="600" w:left="1240" w:right="0"/>
        </w:sectPr>
      </w:pPr>
    </w:p>
    <w:p>
      <w:pPr>
        <w:pStyle w:val="BodyText"/>
        <w:spacing w:before="5"/>
        <w:rPr>
          <w:sz w:val="29"/>
        </w:rPr>
      </w:pPr>
    </w:p>
    <w:p>
      <w:pPr>
        <w:pStyle w:val="ListParagraph"/>
        <w:numPr>
          <w:ilvl w:val="1"/>
          <w:numId w:val="181"/>
        </w:numPr>
        <w:tabs>
          <w:tab w:pos="540" w:val="left" w:leader="none"/>
        </w:tabs>
        <w:spacing w:line="237" w:lineRule="auto" w:before="117" w:after="0"/>
        <w:ind w:left="539" w:right="1405" w:hanging="360"/>
        <w:jc w:val="both"/>
        <w:rPr>
          <w:sz w:val="20"/>
        </w:rPr>
      </w:pPr>
      <w:r>
        <w:rPr>
          <w:sz w:val="20"/>
        </w:rPr>
        <w:t>The inventory agency should periodically check the consistency of the time-series activity data, because of the long history of data needed to estimate emissions for a single year. The activity and other data used should represent a consistent land area for the country, and have been collected using methods which do not introduce temporal biases. Discontinuities in the time series of emissions or other data used in the calculation of emissions or removals should be explained. The direction and magnitude of the emissions/removals estimates for individual LULUCF source or sink categories and their subcategories should be compared and assessed as to the reasonableness and causes of these changes, considering the possible impact of climate variability on time scales (for example at the scales of</w:t>
      </w:r>
      <w:r>
        <w:rPr>
          <w:spacing w:val="-7"/>
          <w:sz w:val="20"/>
        </w:rPr>
        <w:t> </w:t>
      </w:r>
      <w:r>
        <w:rPr>
          <w:sz w:val="20"/>
        </w:rPr>
        <w:t>decades).</w:t>
      </w:r>
    </w:p>
    <w:p>
      <w:pPr>
        <w:pStyle w:val="ListParagraph"/>
        <w:numPr>
          <w:ilvl w:val="1"/>
          <w:numId w:val="181"/>
        </w:numPr>
        <w:tabs>
          <w:tab w:pos="540" w:val="left" w:leader="none"/>
        </w:tabs>
        <w:spacing w:line="235" w:lineRule="auto" w:before="139" w:after="0"/>
        <w:ind w:left="539" w:right="1405" w:hanging="360"/>
        <w:jc w:val="both"/>
        <w:rPr>
          <w:sz w:val="20"/>
        </w:rPr>
      </w:pPr>
      <w:r>
        <w:rPr>
          <w:sz w:val="20"/>
        </w:rPr>
        <w:t>Because of the relative importance of sampling data for preparing estimates, the inventory agency should examine the sampling and extrapolation protocols that have been used, determine what review the protocols have undergone, identify any internal QA/QC procedures that were in place, and consider other relevant factors. See also Section 5.3, Sampling of this report. Additional information on secondary data investigations can be found in Section 8.7.2.1, National Level Activity Data, of Chapter 8 of</w:t>
      </w:r>
      <w:r>
        <w:rPr>
          <w:spacing w:val="-17"/>
          <w:sz w:val="20"/>
        </w:rPr>
        <w:t> </w:t>
      </w:r>
      <w:r>
        <w:rPr>
          <w:i/>
          <w:sz w:val="20"/>
        </w:rPr>
        <w:t>GPG2000</w:t>
      </w:r>
      <w:r>
        <w:rPr>
          <w:sz w:val="20"/>
        </w:rPr>
        <w:t>.</w:t>
      </w:r>
    </w:p>
    <w:p>
      <w:pPr>
        <w:pStyle w:val="ListParagraph"/>
        <w:numPr>
          <w:ilvl w:val="1"/>
          <w:numId w:val="181"/>
        </w:numPr>
        <w:tabs>
          <w:tab w:pos="540" w:val="left" w:leader="none"/>
        </w:tabs>
        <w:spacing w:line="232" w:lineRule="auto" w:before="142" w:after="0"/>
        <w:ind w:left="539" w:right="1405" w:hanging="360"/>
        <w:jc w:val="both"/>
        <w:rPr>
          <w:sz w:val="20"/>
        </w:rPr>
      </w:pPr>
      <w:r>
        <w:rPr>
          <w:sz w:val="20"/>
        </w:rPr>
        <w:t>Because the multiple uses of remote sensing techniques and data for preparing the LULUCF inventory, the inventory agency should provide documentation about the data and tools being used (i.e., type of imagery and processing) at the level of detail needed for each</w:t>
      </w:r>
      <w:r>
        <w:rPr>
          <w:spacing w:val="-4"/>
          <w:sz w:val="20"/>
        </w:rPr>
        <w:t> </w:t>
      </w:r>
      <w:r>
        <w:rPr>
          <w:sz w:val="20"/>
        </w:rPr>
        <w:t>case.</w:t>
      </w:r>
    </w:p>
    <w:p>
      <w:pPr>
        <w:pStyle w:val="ListParagraph"/>
        <w:numPr>
          <w:ilvl w:val="1"/>
          <w:numId w:val="181"/>
        </w:numPr>
        <w:tabs>
          <w:tab w:pos="540" w:val="left" w:leader="none"/>
        </w:tabs>
        <w:spacing w:line="237" w:lineRule="auto" w:before="136" w:after="0"/>
        <w:ind w:left="539" w:right="1403" w:hanging="360"/>
        <w:jc w:val="both"/>
        <w:rPr>
          <w:sz w:val="20"/>
        </w:rPr>
      </w:pPr>
      <w:r>
        <w:rPr>
          <w:sz w:val="20"/>
        </w:rPr>
        <w:t>Models can be a necessary part of the national inventory process. They provide the opportunity to create regional or national estimations when scientific knowledge or available information is limited to specific locations or conditions. Because models are a means of extrapolating and/or interpolating what one knows in order to estimate what one is less sure of, simply assuming that the model chosen is providing accurate output for the inventory needs to be carefully avoided. If QA/QC associated with models is inadequate or not transparent, the inventory agency should attempt to establish checks on the models and data. In particular, the inventory agency should check the</w:t>
      </w:r>
      <w:r>
        <w:rPr>
          <w:spacing w:val="-9"/>
          <w:sz w:val="20"/>
        </w:rPr>
        <w:t> </w:t>
      </w:r>
      <w:r>
        <w:rPr>
          <w:sz w:val="20"/>
        </w:rPr>
        <w:t>following:</w:t>
      </w:r>
    </w:p>
    <w:p>
      <w:pPr>
        <w:pStyle w:val="ListParagraph"/>
        <w:numPr>
          <w:ilvl w:val="3"/>
          <w:numId w:val="182"/>
        </w:numPr>
        <w:tabs>
          <w:tab w:pos="1257" w:val="left" w:leader="none"/>
        </w:tabs>
        <w:spacing w:line="240" w:lineRule="auto" w:before="116" w:after="0"/>
        <w:ind w:left="1256" w:right="1403" w:hanging="571"/>
        <w:jc w:val="both"/>
        <w:rPr>
          <w:sz w:val="20"/>
        </w:rPr>
      </w:pPr>
      <w:r>
        <w:rPr>
          <w:sz w:val="20"/>
        </w:rPr>
        <w:t>Appropriateness of model assumptions, extrapolations, interpolations, calibration-based modifications, data characteristics, and their applicability to the greenhouse gas inventory method and national</w:t>
      </w:r>
      <w:r>
        <w:rPr>
          <w:spacing w:val="-1"/>
          <w:sz w:val="20"/>
        </w:rPr>
        <w:t> </w:t>
      </w:r>
      <w:r>
        <w:rPr>
          <w:sz w:val="20"/>
        </w:rPr>
        <w:t>circumstances;</w:t>
      </w:r>
    </w:p>
    <w:p>
      <w:pPr>
        <w:pStyle w:val="ListParagraph"/>
        <w:numPr>
          <w:ilvl w:val="3"/>
          <w:numId w:val="182"/>
        </w:numPr>
        <w:tabs>
          <w:tab w:pos="1257" w:val="left" w:leader="none"/>
        </w:tabs>
        <w:spacing w:line="240" w:lineRule="auto" w:before="122" w:after="0"/>
        <w:ind w:left="1256" w:right="1408" w:hanging="597"/>
        <w:jc w:val="both"/>
        <w:rPr>
          <w:sz w:val="20"/>
        </w:rPr>
      </w:pPr>
      <w:r>
        <w:rPr>
          <w:sz w:val="20"/>
        </w:rPr>
        <w:t>Availability of model documentation, including descriptions, assumptions, rationale, and scientific evidence</w:t>
      </w:r>
      <w:r>
        <w:rPr>
          <w:spacing w:val="-4"/>
          <w:sz w:val="20"/>
        </w:rPr>
        <w:t> </w:t>
      </w:r>
      <w:r>
        <w:rPr>
          <w:sz w:val="20"/>
        </w:rPr>
        <w:t>and</w:t>
      </w:r>
      <w:r>
        <w:rPr>
          <w:spacing w:val="-3"/>
          <w:sz w:val="20"/>
        </w:rPr>
        <w:t> </w:t>
      </w:r>
      <w:r>
        <w:rPr>
          <w:sz w:val="20"/>
        </w:rPr>
        <w:t>references</w:t>
      </w:r>
      <w:r>
        <w:rPr>
          <w:spacing w:val="-2"/>
          <w:sz w:val="20"/>
        </w:rPr>
        <w:t> </w:t>
      </w:r>
      <w:r>
        <w:rPr>
          <w:sz w:val="20"/>
        </w:rPr>
        <w:t>supporting</w:t>
      </w:r>
      <w:r>
        <w:rPr>
          <w:spacing w:val="-6"/>
          <w:sz w:val="20"/>
        </w:rPr>
        <w:t> </w:t>
      </w:r>
      <w:r>
        <w:rPr>
          <w:sz w:val="20"/>
        </w:rPr>
        <w:t>the</w:t>
      </w:r>
      <w:r>
        <w:rPr>
          <w:spacing w:val="-3"/>
          <w:sz w:val="20"/>
        </w:rPr>
        <w:t> </w:t>
      </w:r>
      <w:r>
        <w:rPr>
          <w:sz w:val="20"/>
        </w:rPr>
        <w:t>approach</w:t>
      </w:r>
      <w:r>
        <w:rPr>
          <w:spacing w:val="-5"/>
          <w:sz w:val="20"/>
        </w:rPr>
        <w:t> </w:t>
      </w:r>
      <w:r>
        <w:rPr>
          <w:sz w:val="20"/>
        </w:rPr>
        <w:t>and</w:t>
      </w:r>
      <w:r>
        <w:rPr>
          <w:spacing w:val="-3"/>
          <w:sz w:val="20"/>
        </w:rPr>
        <w:t> </w:t>
      </w:r>
      <w:r>
        <w:rPr>
          <w:sz w:val="20"/>
        </w:rPr>
        <w:t>parameters</w:t>
      </w:r>
      <w:r>
        <w:rPr>
          <w:spacing w:val="-6"/>
          <w:sz w:val="20"/>
        </w:rPr>
        <w:t> </w:t>
      </w:r>
      <w:r>
        <w:rPr>
          <w:sz w:val="20"/>
        </w:rPr>
        <w:t>used</w:t>
      </w:r>
      <w:r>
        <w:rPr>
          <w:spacing w:val="-3"/>
          <w:sz w:val="20"/>
        </w:rPr>
        <w:t> </w:t>
      </w:r>
      <w:r>
        <w:rPr>
          <w:sz w:val="20"/>
        </w:rPr>
        <w:t>to model</w:t>
      </w:r>
      <w:r>
        <w:rPr>
          <w:spacing w:val="-5"/>
          <w:sz w:val="20"/>
        </w:rPr>
        <w:t> </w:t>
      </w:r>
      <w:r>
        <w:rPr>
          <w:sz w:val="20"/>
        </w:rPr>
        <w:t>land-use</w:t>
      </w:r>
      <w:r>
        <w:rPr>
          <w:spacing w:val="-4"/>
          <w:sz w:val="20"/>
        </w:rPr>
        <w:t> </w:t>
      </w:r>
      <w:r>
        <w:rPr>
          <w:sz w:val="20"/>
        </w:rPr>
        <w:t>processes;</w:t>
      </w:r>
    </w:p>
    <w:p>
      <w:pPr>
        <w:pStyle w:val="ListParagraph"/>
        <w:numPr>
          <w:ilvl w:val="3"/>
          <w:numId w:val="182"/>
        </w:numPr>
        <w:tabs>
          <w:tab w:pos="1257" w:val="left" w:leader="none"/>
        </w:tabs>
        <w:spacing w:line="240" w:lineRule="auto" w:before="118" w:after="0"/>
        <w:ind w:left="1256" w:right="1405" w:hanging="626"/>
        <w:jc w:val="both"/>
        <w:rPr>
          <w:sz w:val="20"/>
        </w:rPr>
      </w:pPr>
      <w:r>
        <w:rPr>
          <w:sz w:val="20"/>
        </w:rPr>
        <w:t>Types of QA/QC procedures performed by model developers and data suppliers and whether or not their quality control procedures are</w:t>
      </w:r>
      <w:r>
        <w:rPr>
          <w:spacing w:val="-4"/>
          <w:sz w:val="20"/>
        </w:rPr>
        <w:t> </w:t>
      </w:r>
      <w:r>
        <w:rPr>
          <w:sz w:val="20"/>
        </w:rPr>
        <w:t>adequate;</w:t>
      </w:r>
    </w:p>
    <w:p>
      <w:pPr>
        <w:pStyle w:val="ListParagraph"/>
        <w:numPr>
          <w:ilvl w:val="3"/>
          <w:numId w:val="182"/>
        </w:numPr>
        <w:tabs>
          <w:tab w:pos="1257" w:val="left" w:leader="none"/>
        </w:tabs>
        <w:spacing w:line="240" w:lineRule="auto" w:before="121" w:after="0"/>
        <w:ind w:left="1256" w:right="1404" w:hanging="621"/>
        <w:jc w:val="both"/>
        <w:rPr>
          <w:sz w:val="20"/>
        </w:rPr>
      </w:pPr>
      <w:r>
        <w:rPr>
          <w:sz w:val="20"/>
        </w:rPr>
        <w:t>Existence of plans to periodically evaluate and update or replace assumptions with appropriate new measurements. Key assumptions may be identified by performing sensitivity</w:t>
      </w:r>
      <w:r>
        <w:rPr>
          <w:spacing w:val="-19"/>
          <w:sz w:val="20"/>
        </w:rPr>
        <w:t> </w:t>
      </w:r>
      <w:r>
        <w:rPr>
          <w:sz w:val="20"/>
        </w:rPr>
        <w:t>analyses.</w:t>
      </w:r>
    </w:p>
    <w:p>
      <w:pPr>
        <w:pStyle w:val="BodyText"/>
        <w:rPr>
          <w:sz w:val="22"/>
        </w:rPr>
      </w:pPr>
    </w:p>
    <w:p>
      <w:pPr>
        <w:pStyle w:val="BodyText"/>
        <w:spacing w:before="3"/>
      </w:pPr>
    </w:p>
    <w:p>
      <w:pPr>
        <w:pStyle w:val="Heading2"/>
        <w:numPr>
          <w:ilvl w:val="2"/>
          <w:numId w:val="182"/>
        </w:numPr>
        <w:tabs>
          <w:tab w:pos="1382" w:val="left" w:leader="none"/>
        </w:tabs>
        <w:spacing w:line="240" w:lineRule="auto" w:before="0" w:after="0"/>
        <w:ind w:left="1381" w:right="0" w:hanging="1202"/>
        <w:jc w:val="both"/>
      </w:pPr>
      <w:bookmarkStart w:name="_TOC_250016" w:id="39"/>
      <w:r>
        <w:rPr>
          <w:spacing w:val="4"/>
        </w:rPr>
        <w:t>QA </w:t>
      </w:r>
      <w:r>
        <w:rPr>
          <w:spacing w:val="7"/>
        </w:rPr>
        <w:t>Review</w:t>
      </w:r>
      <w:r>
        <w:rPr>
          <w:spacing w:val="39"/>
        </w:rPr>
        <w:t> </w:t>
      </w:r>
      <w:bookmarkEnd w:id="39"/>
      <w:r>
        <w:rPr>
          <w:spacing w:val="9"/>
        </w:rPr>
        <w:t>Procedures</w:t>
      </w:r>
    </w:p>
    <w:p>
      <w:pPr>
        <w:pStyle w:val="BodyText"/>
        <w:spacing w:before="114"/>
        <w:ind w:left="179" w:right="1404"/>
        <w:jc w:val="both"/>
      </w:pPr>
      <w:r>
        <w:rPr>
          <w:i/>
        </w:rPr>
        <w:t>Good practice </w:t>
      </w:r>
      <w:r>
        <w:rPr/>
        <w:t>for QA procedures requires an expert review to assess the quality of the inventory, and also to identify areas where improvements could be made. The inventory may be reviewed as a whole or in parts. QA procedures are used in addition to Tier 1 and Tier 2 QC. The objective in QA implementation is to involve reviewers that can conduct an unbiased review of the inventory. It is </w:t>
      </w:r>
      <w:r>
        <w:rPr>
          <w:i/>
        </w:rPr>
        <w:t>good practice </w:t>
      </w:r>
      <w:r>
        <w:rPr/>
        <w:t>to use QA reviewers that have not been involved in preparing the inventory. Preferably, these reviewers would be independent experts from other agencies or a national or international expert or group not closely connected with national inventory compilation. Where third party reviewers outside the inventory agency are not available, staff from another part of the inventory agency not involved in the portion being reviewed can also fulfil QA</w:t>
      </w:r>
      <w:r>
        <w:rPr>
          <w:spacing w:val="-16"/>
        </w:rPr>
        <w:t> </w:t>
      </w:r>
      <w:r>
        <w:rPr/>
        <w:t>roles.</w:t>
      </w:r>
    </w:p>
    <w:p>
      <w:pPr>
        <w:pStyle w:val="BodyText"/>
        <w:spacing w:before="121"/>
        <w:ind w:left="179" w:right="1401"/>
        <w:jc w:val="both"/>
      </w:pPr>
      <w:r>
        <w:rPr/>
        <w:t>It is </w:t>
      </w:r>
      <w:r>
        <w:rPr>
          <w:i/>
        </w:rPr>
        <w:t>good practice </w:t>
      </w:r>
      <w:r>
        <w:rPr/>
        <w:t>for inventory agencies to conduct a basic expert peer review (Tier 1 QA) prior to inventory submission, in order to identify potential problems and make corrections where possible. It is also </w:t>
      </w:r>
      <w:r>
        <w:rPr>
          <w:i/>
        </w:rPr>
        <w:t>good practice </w:t>
      </w:r>
      <w:r>
        <w:rPr/>
        <w:t>to apply this review to all source and sink categories and sectors in the inventory. However, this will not always be practical due to timing and resource constraints. Key categories should be given priority, as well as categories where significant changes in methods or data have been made. Inventory agencies may also choose to perform more extensive peer reviews or audits or both as additional QA procedures within the available resources.</w:t>
      </w:r>
    </w:p>
    <w:p>
      <w:pPr>
        <w:pStyle w:val="BodyText"/>
        <w:spacing w:before="120"/>
        <w:ind w:left="179" w:right="1404"/>
        <w:jc w:val="both"/>
      </w:pPr>
      <w:r>
        <w:rPr/>
        <w:t>Inventory agencies should also consider applying the techniques and procedures for the LULUCF sector described in Section 5.7, Verification, of this report, subject to the availability of data for these techniques and resource constraints. Priority should be given to key source and sink categories in the application of these more rigorous verification techniques. The comparison of emission or removal estimates or other relevant data for the LULUCF sector with data external to the inventory process can help to establish the reliability of individual components. Verification of the inventory may be especially useful for the LULUCF sector, because of the potentially large uncertainties surrounding the inventory estimates. Expert reviews and Tier 2 QC investigations</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7"/>
      </w:pPr>
      <w:r>
        <w:rPr/>
        <w:pict>
          <v:shape style="position:absolute;margin-left:91.960999pt;margin-top:30.096243pt;width:411.5pt;height:338.3pt;mso-position-horizontal-relative:page;mso-position-vertical-relative:paragraph;z-index:30320;mso-wrap-distance-left:0;mso-wrap-distance-right:0" type="#_x0000_t202" filled="false" stroked="true" strokeweight="1.44pt" strokecolor="#000000">
            <v:textbox inset="0,0,0,0">
              <w:txbxContent>
                <w:p>
                  <w:pPr>
                    <w:spacing w:before="100"/>
                    <w:ind w:left="3287" w:right="3272" w:firstLine="448"/>
                    <w:jc w:val="left"/>
                    <w:rPr>
                      <w:b/>
                      <w:sz w:val="14"/>
                    </w:rPr>
                  </w:pPr>
                  <w:r>
                    <w:rPr>
                      <w:b/>
                      <w:sz w:val="18"/>
                    </w:rPr>
                    <w:t>B</w:t>
                  </w:r>
                  <w:r>
                    <w:rPr>
                      <w:b/>
                      <w:sz w:val="14"/>
                    </w:rPr>
                    <w:t>OX </w:t>
                  </w:r>
                  <w:r>
                    <w:rPr>
                      <w:b/>
                      <w:sz w:val="18"/>
                    </w:rPr>
                    <w:t>5.5.2 E</w:t>
                  </w:r>
                  <w:r>
                    <w:rPr>
                      <w:b/>
                      <w:sz w:val="14"/>
                    </w:rPr>
                    <w:t>XPERT PEER REVIEW</w:t>
                  </w:r>
                </w:p>
                <w:p>
                  <w:pPr>
                    <w:pStyle w:val="BodyText"/>
                    <w:spacing w:before="115"/>
                    <w:ind w:left="127" w:right="121"/>
                    <w:jc w:val="both"/>
                  </w:pPr>
                  <w:r>
                    <w:rPr/>
                    <w:t>Expert peer review consists of a review of calculations or assumptions by experts in relevant technical fields. This procedure is generally accomplished by reviewing documentation associated with the methods and results, but usually does not include rigorous certification of data or references such as might be undertaken in an audit. The objective of the expert peer review is to ensure that the inventory’s results, assumptions, and methods are reasonably judged by those knowledgeable in the specific field. Expert review processes in the LULUCF sector may involve technical experts as well as researchers. Where a country has formal stakeholder and public review mechanisms in place, these reviews can supplement but not replace expert peer review.</w:t>
                  </w:r>
                </w:p>
                <w:p>
                  <w:pPr>
                    <w:pStyle w:val="BodyText"/>
                    <w:spacing w:before="119"/>
                    <w:ind w:left="127" w:right="121"/>
                    <w:jc w:val="both"/>
                  </w:pPr>
                  <w:r>
                    <w:rPr/>
                    <w:t>In the LULUCF sector, the complexity of models may make peer review more difficult, as well as more important. Consequently, </w:t>
                  </w:r>
                  <w:r>
                    <w:rPr>
                      <w:i/>
                    </w:rPr>
                    <w:t>good practice </w:t>
                  </w:r>
                  <w:r>
                    <w:rPr/>
                    <w:t>should include:</w:t>
                  </w:r>
                </w:p>
                <w:p>
                  <w:pPr>
                    <w:pStyle w:val="BodyText"/>
                    <w:numPr>
                      <w:ilvl w:val="0"/>
                      <w:numId w:val="196"/>
                    </w:numPr>
                    <w:tabs>
                      <w:tab w:pos="653" w:val="left" w:leader="none"/>
                    </w:tabs>
                    <w:spacing w:line="240" w:lineRule="auto" w:before="120" w:after="0"/>
                    <w:ind w:left="652" w:right="122" w:hanging="525"/>
                    <w:jc w:val="both"/>
                  </w:pPr>
                  <w:r>
                    <w:rPr/>
                    <w:t>Identifying whether the major models used for the analysis have undergone peer review; if not, the inventory agency should initiate a peer review process for the models separately, or as part of, the inventory peer review</w:t>
                  </w:r>
                  <w:r>
                    <w:rPr>
                      <w:spacing w:val="-6"/>
                    </w:rPr>
                    <w:t> </w:t>
                  </w:r>
                  <w:r>
                    <w:rPr/>
                    <w:t>process.</w:t>
                  </w:r>
                </w:p>
                <w:p>
                  <w:pPr>
                    <w:pStyle w:val="BodyText"/>
                    <w:numPr>
                      <w:ilvl w:val="0"/>
                      <w:numId w:val="196"/>
                    </w:numPr>
                    <w:tabs>
                      <w:tab w:pos="653" w:val="left" w:leader="none"/>
                    </w:tabs>
                    <w:spacing w:line="240" w:lineRule="auto" w:before="119" w:after="0"/>
                    <w:ind w:left="652" w:right="126" w:hanging="525"/>
                    <w:jc w:val="both"/>
                  </w:pPr>
                  <w:r>
                    <w:rPr/>
                    <w:t>Determining whether the documentation of the models, input data, and other assumptions, etc., is sufficiently thorough and sufficient to support the peer</w:t>
                  </w:r>
                  <w:r>
                    <w:rPr>
                      <w:spacing w:val="-8"/>
                    </w:rPr>
                    <w:t> </w:t>
                  </w:r>
                  <w:r>
                    <w:rPr/>
                    <w:t>review.</w:t>
                  </w:r>
                </w:p>
                <w:p>
                  <w:pPr>
                    <w:pStyle w:val="BodyText"/>
                    <w:spacing w:before="121"/>
                    <w:ind w:left="127" w:right="120"/>
                    <w:jc w:val="both"/>
                  </w:pPr>
                  <w:r>
                    <w:rPr/>
                    <w:t>There are no standard tools or mechanisms for expert peer review, and its use should be considered on a case-by-case basis. If there is a high level of uncertainty associated with an emission or removal estimate for a category, expert peer review may provide information to improve the estimate, or at least to better quantify the uncertainty. Effective peer reviews often involve identifying and contacting key independent organizations or institutions, including research organizations. In the LULUCF sector, for example, the participation of researchers and research organizations is often needed when applying verification techniques and procedures (see Section 5.7), especially with regards to more complicated models. It is </w:t>
                  </w:r>
                  <w:r>
                    <w:rPr>
                      <w:i/>
                    </w:rPr>
                    <w:t>good practice </w:t>
                  </w:r>
                  <w:r>
                    <w:rPr/>
                    <w:t>to obtain the relevant expertise in development and review of methods, data acquisition, and models.</w:t>
                  </w:r>
                </w:p>
              </w:txbxContent>
            </v:textbox>
            <v:stroke dashstyle="solid"/>
            <w10:wrap type="topAndBottom"/>
          </v:shape>
        </w:pict>
      </w:r>
      <w:r>
        <w:rPr/>
        <w:t>are critical first steps in verification. Box 5.5.2 provides further discussion on conducting an expert peer review for the LULUCF sector.</w:t>
      </w:r>
    </w:p>
    <w:p>
      <w:pPr>
        <w:pStyle w:val="BodyText"/>
      </w:pPr>
    </w:p>
    <w:p>
      <w:pPr>
        <w:pStyle w:val="Heading2"/>
        <w:numPr>
          <w:ilvl w:val="2"/>
          <w:numId w:val="182"/>
        </w:numPr>
        <w:tabs>
          <w:tab w:pos="1381" w:val="left" w:leader="none"/>
          <w:tab w:pos="1382" w:val="left" w:leader="none"/>
        </w:tabs>
        <w:spacing w:line="240" w:lineRule="auto" w:before="219" w:after="0"/>
        <w:ind w:left="1381" w:right="0" w:hanging="1202"/>
        <w:jc w:val="left"/>
      </w:pPr>
      <w:bookmarkStart w:name="_TOC_250015" w:id="40"/>
      <w:r>
        <w:rPr>
          <w:spacing w:val="9"/>
        </w:rPr>
        <w:t>Documentation, </w:t>
      </w:r>
      <w:r>
        <w:rPr>
          <w:spacing w:val="8"/>
        </w:rPr>
        <w:t>Archiving </w:t>
      </w:r>
      <w:r>
        <w:rPr>
          <w:spacing w:val="7"/>
        </w:rPr>
        <w:t>and</w:t>
      </w:r>
      <w:r>
        <w:rPr>
          <w:spacing w:val="41"/>
        </w:rPr>
        <w:t> </w:t>
      </w:r>
      <w:bookmarkEnd w:id="40"/>
      <w:r>
        <w:rPr>
          <w:spacing w:val="9"/>
        </w:rPr>
        <w:t>Reporting</w:t>
      </w:r>
    </w:p>
    <w:p>
      <w:pPr>
        <w:pStyle w:val="BodyText"/>
        <w:spacing w:before="114"/>
        <w:ind w:left="179" w:right="1405"/>
        <w:jc w:val="both"/>
      </w:pPr>
      <w:r>
        <w:rPr/>
        <w:t>It is </w:t>
      </w:r>
      <w:r>
        <w:rPr>
          <w:i/>
        </w:rPr>
        <w:t>good practice </w:t>
      </w:r>
      <w:r>
        <w:rPr/>
        <w:t>to document and archive all information required to produce the national inventory estimates as outlined in </w:t>
      </w:r>
      <w:r>
        <w:rPr>
          <w:i/>
        </w:rPr>
        <w:t>GPG2000 </w:t>
      </w:r>
      <w:r>
        <w:rPr/>
        <w:t>(Chapter 8, Quality Assurance and Quality Control, Section 8.10.1, Internal Documentation and Archiving) including the results of the verification activities and changes in data inputs and methods from previous years. To ensure transparency, documentation should be sufficient to enable the assessment of the estimates of emissions for key categories. Documentation and archiving procedures in the LULUCF sector should be focus on the following issues:</w:t>
      </w:r>
    </w:p>
    <w:p>
      <w:pPr>
        <w:pStyle w:val="ListParagraph"/>
        <w:numPr>
          <w:ilvl w:val="1"/>
          <w:numId w:val="181"/>
        </w:numPr>
        <w:tabs>
          <w:tab w:pos="540" w:val="left" w:leader="none"/>
        </w:tabs>
        <w:spacing w:line="232" w:lineRule="auto" w:before="139" w:after="0"/>
        <w:ind w:left="539" w:right="1404" w:hanging="360"/>
        <w:jc w:val="both"/>
        <w:rPr>
          <w:sz w:val="20"/>
        </w:rPr>
      </w:pPr>
      <w:r>
        <w:rPr>
          <w:sz w:val="20"/>
        </w:rPr>
        <w:t>Because of the likely use of sample data and because annual data are unlikely to be available for areas, stocks and estimation parameters, documentation of the consistency of time series data and methods for interpolating between samples and years is particularly</w:t>
      </w:r>
      <w:r>
        <w:rPr>
          <w:spacing w:val="-1"/>
          <w:sz w:val="20"/>
        </w:rPr>
        <w:t> </w:t>
      </w:r>
      <w:r>
        <w:rPr>
          <w:sz w:val="20"/>
        </w:rPr>
        <w:t>important.</w:t>
      </w:r>
    </w:p>
    <w:p>
      <w:pPr>
        <w:pStyle w:val="ListParagraph"/>
        <w:numPr>
          <w:ilvl w:val="1"/>
          <w:numId w:val="181"/>
        </w:numPr>
        <w:tabs>
          <w:tab w:pos="540" w:val="left" w:leader="none"/>
        </w:tabs>
        <w:spacing w:line="223" w:lineRule="auto" w:before="144" w:after="0"/>
        <w:ind w:left="539" w:right="1404" w:hanging="360"/>
        <w:jc w:val="both"/>
        <w:rPr>
          <w:sz w:val="20"/>
        </w:rPr>
      </w:pPr>
      <w:r>
        <w:rPr>
          <w:sz w:val="20"/>
        </w:rPr>
        <w:t>Because of the importance of clear land-use classification in each year and accurate verifiable tracking of categories over time, documentation should be provided on land-use</w:t>
      </w:r>
      <w:r>
        <w:rPr>
          <w:spacing w:val="-6"/>
          <w:sz w:val="20"/>
        </w:rPr>
        <w:t> </w:t>
      </w:r>
      <w:r>
        <w:rPr>
          <w:sz w:val="20"/>
        </w:rPr>
        <w:t>categories.</w:t>
      </w:r>
    </w:p>
    <w:p>
      <w:pPr>
        <w:pStyle w:val="ListParagraph"/>
        <w:numPr>
          <w:ilvl w:val="1"/>
          <w:numId w:val="181"/>
        </w:numPr>
        <w:tabs>
          <w:tab w:pos="540" w:val="left" w:leader="none"/>
        </w:tabs>
        <w:spacing w:line="223" w:lineRule="auto" w:before="151" w:after="0"/>
        <w:ind w:left="539" w:right="1407" w:hanging="360"/>
        <w:jc w:val="both"/>
        <w:rPr>
          <w:sz w:val="20"/>
        </w:rPr>
      </w:pPr>
      <w:r>
        <w:rPr>
          <w:sz w:val="20"/>
        </w:rPr>
        <w:t>Because of the complexity of LULUCF data and models, providing thorough documentation allows internal QC checks and investigations and external QA reviews to operate</w:t>
      </w:r>
      <w:r>
        <w:rPr>
          <w:spacing w:val="-7"/>
          <w:sz w:val="20"/>
        </w:rPr>
        <w:t> </w:t>
      </w:r>
      <w:r>
        <w:rPr>
          <w:sz w:val="20"/>
        </w:rPr>
        <w:t>effectively:</w:t>
      </w:r>
    </w:p>
    <w:p>
      <w:pPr>
        <w:pStyle w:val="ListParagraph"/>
        <w:numPr>
          <w:ilvl w:val="3"/>
          <w:numId w:val="182"/>
        </w:numPr>
        <w:tabs>
          <w:tab w:pos="1256" w:val="left" w:leader="none"/>
          <w:tab w:pos="1257" w:val="left" w:leader="none"/>
        </w:tabs>
        <w:spacing w:line="240" w:lineRule="auto" w:before="125" w:after="0"/>
        <w:ind w:left="1256" w:right="0" w:hanging="571"/>
        <w:jc w:val="left"/>
        <w:rPr>
          <w:i/>
          <w:sz w:val="20"/>
        </w:rPr>
      </w:pPr>
      <w:r>
        <w:rPr>
          <w:sz w:val="20"/>
        </w:rPr>
        <w:t>The rationale for the choice of models and their consistency with the </w:t>
      </w:r>
      <w:r>
        <w:rPr>
          <w:i/>
          <w:sz w:val="20"/>
        </w:rPr>
        <w:t>good practice</w:t>
      </w:r>
      <w:r>
        <w:rPr>
          <w:i/>
          <w:spacing w:val="3"/>
          <w:sz w:val="20"/>
        </w:rPr>
        <w:t> </w:t>
      </w:r>
      <w:r>
        <w:rPr>
          <w:i/>
          <w:sz w:val="20"/>
        </w:rPr>
        <w:t>guidance</w:t>
      </w:r>
    </w:p>
    <w:p>
      <w:pPr>
        <w:pStyle w:val="BodyText"/>
        <w:ind w:left="1256"/>
      </w:pPr>
      <w:r>
        <w:rPr/>
        <w:t>provided in Chapter 3 should be discussed, documented, and archived;</w:t>
      </w:r>
    </w:p>
    <w:p>
      <w:pPr>
        <w:pStyle w:val="ListParagraph"/>
        <w:numPr>
          <w:ilvl w:val="3"/>
          <w:numId w:val="182"/>
        </w:numPr>
        <w:tabs>
          <w:tab w:pos="1257" w:val="left" w:leader="none"/>
        </w:tabs>
        <w:spacing w:line="240" w:lineRule="auto" w:before="118" w:after="0"/>
        <w:ind w:left="1256" w:right="1406" w:hanging="597"/>
        <w:jc w:val="both"/>
        <w:rPr>
          <w:sz w:val="20"/>
        </w:rPr>
      </w:pPr>
      <w:r>
        <w:rPr>
          <w:sz w:val="20"/>
        </w:rPr>
        <w:t>Archives should contain documentation provided by the model developers on the assumptions and workings of the model, including data sources, source code (if available) and other information (such as sensitivity</w:t>
      </w:r>
      <w:r>
        <w:rPr>
          <w:spacing w:val="-7"/>
          <w:sz w:val="20"/>
        </w:rPr>
        <w:t> </w:t>
      </w:r>
      <w:r>
        <w:rPr>
          <w:sz w:val="20"/>
        </w:rPr>
        <w:t>analyses);</w:t>
      </w:r>
    </w:p>
    <w:p>
      <w:pPr>
        <w:pStyle w:val="ListParagraph"/>
        <w:numPr>
          <w:ilvl w:val="3"/>
          <w:numId w:val="182"/>
        </w:numPr>
        <w:tabs>
          <w:tab w:pos="1257" w:val="left" w:leader="none"/>
        </w:tabs>
        <w:spacing w:line="240" w:lineRule="auto" w:before="122" w:after="0"/>
        <w:ind w:left="1256" w:right="1405" w:hanging="626"/>
        <w:jc w:val="both"/>
        <w:rPr>
          <w:sz w:val="20"/>
        </w:rPr>
      </w:pPr>
      <w:r>
        <w:rPr>
          <w:sz w:val="20"/>
        </w:rPr>
        <w:t>Documentation should include data on QA/QC procedures governing models, both existing procedures or documentation available from model developers, and efforts to institute additional or expanded procedures.</w:t>
      </w:r>
    </w:p>
    <w:p>
      <w:pPr>
        <w:spacing w:after="0" w:line="240" w:lineRule="auto"/>
        <w:jc w:val="both"/>
        <w:rPr>
          <w:sz w:val="20"/>
        </w:rPr>
        <w:sectPr>
          <w:pgSz w:w="11900" w:h="16840"/>
          <w:pgMar w:header="230" w:footer="408" w:top="560" w:bottom="600" w:left="1240" w:right="0"/>
        </w:sectPr>
      </w:pPr>
    </w:p>
    <w:p>
      <w:pPr>
        <w:pStyle w:val="BodyText"/>
      </w:pPr>
    </w:p>
    <w:p>
      <w:pPr>
        <w:pStyle w:val="Heading2"/>
        <w:numPr>
          <w:ilvl w:val="2"/>
          <w:numId w:val="182"/>
        </w:numPr>
        <w:tabs>
          <w:tab w:pos="1381" w:val="left" w:leader="none"/>
          <w:tab w:pos="1382" w:val="left" w:leader="none"/>
        </w:tabs>
        <w:spacing w:line="240" w:lineRule="auto" w:before="215" w:after="0"/>
        <w:ind w:left="1381" w:right="0" w:hanging="1202"/>
        <w:jc w:val="left"/>
      </w:pPr>
      <w:bookmarkStart w:name="_TOC_250014" w:id="41"/>
      <w:r>
        <w:rPr>
          <w:spacing w:val="7"/>
        </w:rPr>
        <w:t>Issues </w:t>
      </w:r>
      <w:r>
        <w:rPr>
          <w:spacing w:val="8"/>
        </w:rPr>
        <w:t>under Kyoto Protocol Articles </w:t>
      </w:r>
      <w:r>
        <w:rPr>
          <w:spacing w:val="6"/>
        </w:rPr>
        <w:t>3.3 </w:t>
      </w:r>
      <w:r>
        <w:rPr>
          <w:spacing w:val="7"/>
        </w:rPr>
        <w:t>and</w:t>
      </w:r>
      <w:r>
        <w:rPr>
          <w:spacing w:val="91"/>
        </w:rPr>
        <w:t> </w:t>
      </w:r>
      <w:bookmarkEnd w:id="41"/>
      <w:r>
        <w:rPr>
          <w:spacing w:val="7"/>
        </w:rPr>
        <w:t>3.4</w:t>
      </w:r>
    </w:p>
    <w:p>
      <w:pPr>
        <w:pStyle w:val="BodyText"/>
        <w:spacing w:before="116"/>
        <w:ind w:left="179" w:right="1403"/>
        <w:jc w:val="both"/>
      </w:pPr>
      <w:r>
        <w:rPr/>
        <w:t>It is </w:t>
      </w:r>
      <w:r>
        <w:rPr>
          <w:i/>
        </w:rPr>
        <w:t>good practice </w:t>
      </w:r>
      <w:r>
        <w:rPr/>
        <w:t>to follow the Tier 1 and Tier 2 QC procedures described in Section 5.5.3 and 5.5.4 for estimates reported under Articles 3.3 and 3.4 of the Kyoto Protocol </w:t>
      </w:r>
      <w:r>
        <w:rPr>
          <w:vertAlign w:val="superscript"/>
        </w:rPr>
        <w:t>21</w:t>
      </w:r>
      <w:r>
        <w:rPr>
          <w:vertAlign w:val="baseline"/>
        </w:rPr>
        <w:t> . For the most part, the QA/QC requirements for estimates of LULUCF prepared under the Kyoto Protocol will be similar to those for any other inventory estimates, but there is a need to undertake additional checks according to Chapter 4. A summary of these Tier 2 QC checks is given below:</w:t>
      </w:r>
    </w:p>
    <w:p>
      <w:pPr>
        <w:pStyle w:val="ListParagraph"/>
        <w:numPr>
          <w:ilvl w:val="1"/>
          <w:numId w:val="181"/>
        </w:numPr>
        <w:tabs>
          <w:tab w:pos="540" w:val="left" w:leader="none"/>
        </w:tabs>
        <w:spacing w:line="237" w:lineRule="auto" w:before="136" w:after="0"/>
        <w:ind w:left="539" w:right="1402" w:hanging="360"/>
        <w:jc w:val="both"/>
        <w:rPr>
          <w:sz w:val="20"/>
        </w:rPr>
      </w:pPr>
      <w:r>
        <w:rPr>
          <w:sz w:val="20"/>
        </w:rPr>
        <w:t>Identify the geographical location of the boundaries of the area that encompasses land subjected to the activities under Articles 3.3 and 3.4 (if elected). Special care is needed for Kyoto Protocol reporting on the attribution of specific activities to relevant land categories in tracking the shifts of an area of land from one category to another, when different activities are taking place, one after the other, within or between commitment periods under the Kyoto Protocol. It is also important to take into account the special requirements for methodological choice as explained in Chapter</w:t>
      </w:r>
      <w:r>
        <w:rPr>
          <w:spacing w:val="3"/>
          <w:sz w:val="20"/>
        </w:rPr>
        <w:t> </w:t>
      </w:r>
      <w:r>
        <w:rPr>
          <w:sz w:val="20"/>
        </w:rPr>
        <w:t>4.</w:t>
      </w:r>
    </w:p>
    <w:p>
      <w:pPr>
        <w:pStyle w:val="ListParagraph"/>
        <w:numPr>
          <w:ilvl w:val="1"/>
          <w:numId w:val="181"/>
        </w:numPr>
        <w:tabs>
          <w:tab w:pos="540" w:val="left" w:leader="none"/>
        </w:tabs>
        <w:spacing w:line="230" w:lineRule="auto" w:before="136" w:after="0"/>
        <w:ind w:left="539" w:right="1407" w:hanging="360"/>
        <w:jc w:val="both"/>
        <w:rPr>
          <w:sz w:val="20"/>
        </w:rPr>
      </w:pPr>
      <w:r>
        <w:rPr>
          <w:sz w:val="20"/>
        </w:rPr>
        <w:t>Check availability of data for estimation of net-net accounting for some activities under Article 3.4 of the Kyoto Protocol. It is important to document estimates both for the base year and commitment period. It is particularly important to document any approximations required to estimate data for the base</w:t>
      </w:r>
      <w:r>
        <w:rPr>
          <w:spacing w:val="-15"/>
          <w:sz w:val="20"/>
        </w:rPr>
        <w:t> </w:t>
      </w:r>
      <w:r>
        <w:rPr>
          <w:sz w:val="20"/>
        </w:rPr>
        <w:t>year.</w:t>
      </w:r>
    </w:p>
    <w:p>
      <w:pPr>
        <w:pStyle w:val="ListParagraph"/>
        <w:numPr>
          <w:ilvl w:val="1"/>
          <w:numId w:val="181"/>
        </w:numPr>
        <w:tabs>
          <w:tab w:pos="540" w:val="left" w:leader="none"/>
        </w:tabs>
        <w:spacing w:line="240" w:lineRule="auto" w:before="138" w:after="0"/>
        <w:ind w:left="539" w:right="0" w:hanging="360"/>
        <w:jc w:val="both"/>
        <w:rPr>
          <w:sz w:val="20"/>
        </w:rPr>
      </w:pPr>
      <w:r>
        <w:rPr>
          <w:sz w:val="20"/>
        </w:rPr>
        <w:t>Ensure that the historical data undergo QC checks that are as rigorous as the current year</w:t>
      </w:r>
      <w:r>
        <w:rPr>
          <w:spacing w:val="-11"/>
          <w:sz w:val="20"/>
        </w:rPr>
        <w:t> </w:t>
      </w:r>
      <w:r>
        <w:rPr>
          <w:sz w:val="20"/>
        </w:rPr>
        <w:t>data.</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Check the analysis conducted to determine that a pool which is not being reported is not a</w:t>
      </w:r>
      <w:r>
        <w:rPr>
          <w:spacing w:val="-9"/>
          <w:sz w:val="20"/>
        </w:rPr>
        <w:t> </w:t>
      </w:r>
      <w:r>
        <w:rPr>
          <w:sz w:val="20"/>
        </w:rPr>
        <w:t>source.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5"/>
        </w:rPr>
      </w:pPr>
      <w:r>
        <w:rPr/>
        <w:pict>
          <v:line style="position:absolute;mso-position-horizontal-relative:page;mso-position-vertical-relative:paragraph;z-index:30344;mso-wrap-distance-left:0;mso-wrap-distance-right:0" from="70.960999pt,11.096387pt" to="214.960999pt,11.096387pt" stroked="true" strokeweight=".48pt" strokecolor="#000000">
            <v:stroke dashstyle="solid"/>
            <w10:wrap type="topAndBottom"/>
          </v:line>
        </w:pict>
      </w:r>
    </w:p>
    <w:p>
      <w:pPr>
        <w:spacing w:before="150"/>
        <w:ind w:left="337" w:right="1407" w:hanging="159"/>
        <w:jc w:val="left"/>
        <w:rPr>
          <w:sz w:val="18"/>
        </w:rPr>
      </w:pPr>
      <w:r>
        <w:rPr>
          <w:position w:val="8"/>
          <w:sz w:val="12"/>
        </w:rPr>
        <w:t>21 </w:t>
      </w:r>
      <w:r>
        <w:rPr>
          <w:sz w:val="18"/>
        </w:rPr>
        <w:t>The present section only deals with activities specified in Article 3.3 and 3.4 under Kyoto Protocol of the United Nations Framework Convention on Climate Change (UNFCCC), it does not address projects (under Article 6 or 12 of Kyoto Protocol).</w:t>
      </w:r>
    </w:p>
    <w:p>
      <w:pPr>
        <w:spacing w:after="0"/>
        <w:jc w:val="left"/>
        <w:rPr>
          <w:sz w:val="18"/>
        </w:rPr>
        <w:sectPr>
          <w:pgSz w:w="11900" w:h="16840"/>
          <w:pgMar w:header="230" w:footer="408" w:top="560" w:bottom="600" w:left="1240" w:right="0"/>
        </w:sectPr>
      </w:pPr>
    </w:p>
    <w:p>
      <w:pPr>
        <w:pStyle w:val="BodyText"/>
      </w:pPr>
    </w:p>
    <w:p>
      <w:pPr>
        <w:pStyle w:val="BodyText"/>
      </w:pPr>
    </w:p>
    <w:p>
      <w:pPr>
        <w:pStyle w:val="Heading2"/>
        <w:numPr>
          <w:ilvl w:val="1"/>
          <w:numId w:val="197"/>
        </w:numPr>
        <w:tabs>
          <w:tab w:pos="1381" w:val="left" w:leader="none"/>
          <w:tab w:pos="1382" w:val="left" w:leader="none"/>
        </w:tabs>
        <w:spacing w:line="240" w:lineRule="auto" w:before="225" w:after="0"/>
        <w:ind w:left="1381" w:right="3520" w:hanging="1202"/>
        <w:jc w:val="left"/>
      </w:pPr>
      <w:bookmarkStart w:name="_TOC_250013" w:id="42"/>
      <w:r>
        <w:rPr>
          <w:spacing w:val="15"/>
        </w:rPr>
        <w:t>TIME </w:t>
      </w:r>
      <w:r>
        <w:rPr>
          <w:spacing w:val="17"/>
        </w:rPr>
        <w:t>SERIES </w:t>
      </w:r>
      <w:r>
        <w:rPr>
          <w:spacing w:val="18"/>
        </w:rPr>
        <w:t>CONSISTENCY </w:t>
      </w:r>
      <w:r>
        <w:rPr>
          <w:spacing w:val="8"/>
        </w:rPr>
        <w:t>AND </w:t>
      </w:r>
      <w:bookmarkEnd w:id="42"/>
      <w:r>
        <w:rPr>
          <w:spacing w:val="20"/>
        </w:rPr>
        <w:t>RECALCULATIONS</w:t>
      </w:r>
    </w:p>
    <w:p>
      <w:pPr>
        <w:pStyle w:val="BodyText"/>
        <w:rPr>
          <w:b/>
          <w:sz w:val="47"/>
        </w:rPr>
      </w:pPr>
    </w:p>
    <w:p>
      <w:pPr>
        <w:pStyle w:val="Heading2"/>
        <w:numPr>
          <w:ilvl w:val="2"/>
          <w:numId w:val="197"/>
        </w:numPr>
        <w:tabs>
          <w:tab w:pos="1382" w:val="left" w:leader="none"/>
        </w:tabs>
        <w:spacing w:line="240" w:lineRule="auto" w:before="0" w:after="0"/>
        <w:ind w:left="1381" w:right="0" w:hanging="1202"/>
        <w:jc w:val="both"/>
      </w:pPr>
      <w:bookmarkStart w:name="_TOC_250012" w:id="43"/>
      <w:bookmarkEnd w:id="43"/>
      <w:r>
        <w:rPr>
          <w:spacing w:val="8"/>
        </w:rPr>
        <w:t>Introduction</w:t>
      </w:r>
    </w:p>
    <w:p>
      <w:pPr>
        <w:pStyle w:val="BodyText"/>
        <w:spacing w:before="114"/>
        <w:ind w:left="179" w:right="1404"/>
        <w:jc w:val="both"/>
      </w:pPr>
      <w:r>
        <w:rPr/>
        <w:t>Greenhouse gas inventories for LULUCF categories typically rely upon numerous data inputs, assumptions, and models brought together in a consistent and transparent way. Because a major interest in an inventory is its trend, it is critical to ensure that inventory totals estimated for different years are as comparable as practically possible. According to the IPCC Good Practice Guidance and Uncertainty Management in National Greenhouse Gas Inventories (</w:t>
      </w:r>
      <w:r>
        <w:rPr>
          <w:i/>
        </w:rPr>
        <w:t>GPG2000</w:t>
      </w:r>
      <w:r>
        <w:rPr/>
        <w:t>, IPCC, 2000), it is most appropriate to use the same methodology and consistent sources of data for all inventory years. If this is not possible, time-series consistency can be approximated using techniques described in this section. Recalculations imply changes in earlier estimates due to changes in methodology or methodological refinements.</w:t>
      </w:r>
    </w:p>
    <w:p>
      <w:pPr>
        <w:pStyle w:val="BodyText"/>
        <w:spacing w:before="121"/>
        <w:ind w:left="179" w:right="1403"/>
        <w:jc w:val="both"/>
      </w:pPr>
      <w:r>
        <w:rPr/>
        <w:t>It is anticipated that the use of recalculation methodologies in LULUCF category inventories will be particularly important for two reasons. First, the development of inventory methods and interpolation/extrapolation tools (models) for this sector is ongoing and it is anticipated that changes to the methods of many countries will occur over time due to the complexity of processes involved. This will be the result of either changes in tiers or modification of national methods. The second reason that recalculation issues are important is that certain data needed to calculate an inventory for the LULUCF categories may not be collected annually. For example, forest inventory data may be compiled only once in a five or ten year period. In these cases, methods are needed to extrapolate and interpolate from infrequent data to develop an annual time series.</w:t>
      </w:r>
    </w:p>
    <w:p>
      <w:pPr>
        <w:pStyle w:val="BodyText"/>
        <w:spacing w:before="121"/>
        <w:ind w:left="179" w:right="1402"/>
        <w:jc w:val="both"/>
      </w:pPr>
      <w:r>
        <w:rPr/>
        <w:t>This section discusses general issues of time series consistency and the use of recalculation in the LULUCF sector. Section 5.6.2 considers the impact of methodological change and methodological refinements (either data or models) and the associated recalculation techniques that can be used to ensure the consistency of the inventory over time. The issue of developing annual inventories when data are only available at a lower frequency (e.g., every 5 years) is covered in Section 5.6.3. Issues particular to the Kyoto Protocol are addressed in Section 5.6.4.</w:t>
      </w:r>
    </w:p>
    <w:p>
      <w:pPr>
        <w:pStyle w:val="BodyText"/>
        <w:rPr>
          <w:sz w:val="22"/>
        </w:rPr>
      </w:pPr>
    </w:p>
    <w:p>
      <w:pPr>
        <w:pStyle w:val="BodyText"/>
        <w:spacing w:before="2"/>
      </w:pPr>
    </w:p>
    <w:p>
      <w:pPr>
        <w:pStyle w:val="Heading2"/>
        <w:numPr>
          <w:ilvl w:val="2"/>
          <w:numId w:val="197"/>
        </w:numPr>
        <w:tabs>
          <w:tab w:pos="1382" w:val="left" w:leader="none"/>
        </w:tabs>
        <w:spacing w:line="240" w:lineRule="auto" w:before="0" w:after="0"/>
        <w:ind w:left="1381" w:right="0" w:hanging="1202"/>
        <w:jc w:val="both"/>
      </w:pPr>
      <w:bookmarkStart w:name="_TOC_250011" w:id="44"/>
      <w:r>
        <w:rPr>
          <w:spacing w:val="6"/>
        </w:rPr>
        <w:t>Time </w:t>
      </w:r>
      <w:r>
        <w:rPr>
          <w:spacing w:val="8"/>
        </w:rPr>
        <w:t>Series </w:t>
      </w:r>
      <w:r>
        <w:rPr>
          <w:spacing w:val="9"/>
        </w:rPr>
        <w:t>Consistency </w:t>
      </w:r>
      <w:r>
        <w:rPr>
          <w:spacing w:val="6"/>
        </w:rPr>
        <w:t>and </w:t>
      </w:r>
      <w:r>
        <w:rPr>
          <w:spacing w:val="9"/>
        </w:rPr>
        <w:t>Methodological</w:t>
      </w:r>
      <w:r>
        <w:rPr>
          <w:spacing w:val="69"/>
        </w:rPr>
        <w:t> </w:t>
      </w:r>
      <w:bookmarkEnd w:id="44"/>
      <w:r>
        <w:rPr>
          <w:spacing w:val="10"/>
        </w:rPr>
        <w:t>Change</w:t>
      </w:r>
    </w:p>
    <w:p>
      <w:pPr>
        <w:pStyle w:val="BodyText"/>
        <w:spacing w:before="114"/>
        <w:ind w:left="179" w:right="1403"/>
        <w:jc w:val="both"/>
      </w:pPr>
      <w:r>
        <w:rPr/>
        <w:t>As inventory methods improve and more relevant data become available, it is </w:t>
      </w:r>
      <w:r>
        <w:rPr>
          <w:i/>
        </w:rPr>
        <w:t>good practice </w:t>
      </w:r>
      <w:r>
        <w:rPr/>
        <w:t>to apply this new information if it improves the reliability and accuracy of the inventory.</w:t>
      </w:r>
      <w:r>
        <w:rPr>
          <w:vertAlign w:val="superscript"/>
        </w:rPr>
        <w:t>22</w:t>
      </w:r>
      <w:r>
        <w:rPr>
          <w:vertAlign w:val="baseline"/>
        </w:rPr>
        <w:t> When modifying methods or input data, care must be taken to ensure that changes in the inventory through time reflect real changes in emissions or removals and not simply the pattern of methodological refinements. For example, if a country moves from a Tier 1 method in one year to a higher tier in the next, any change in emissions and/or removals between the two years will reflect both the different methods as well as real changes. When different methods are used in two different periods there is potential for the time series to be </w:t>
      </w:r>
      <w:r>
        <w:rPr>
          <w:i/>
          <w:vertAlign w:val="baseline"/>
        </w:rPr>
        <w:t>inconsistent </w:t>
      </w:r>
      <w:r>
        <w:rPr>
          <w:vertAlign w:val="baseline"/>
        </w:rPr>
        <w:t>for the two periods. The standard method for ensuring consistency is to </w:t>
      </w:r>
      <w:r>
        <w:rPr>
          <w:i/>
          <w:vertAlign w:val="baseline"/>
        </w:rPr>
        <w:t>recalculate </w:t>
      </w:r>
      <w:r>
        <w:rPr>
          <w:vertAlign w:val="baseline"/>
        </w:rPr>
        <w:t>the estimates using the same method for all inventory years, if possible. The purpose of this recalculation is to ensure that the entire time series reflects the new data and/or method. If it is not possible to use the new data or methods throughout the time series, alternatives must be considered.</w:t>
      </w:r>
    </w:p>
    <w:p>
      <w:pPr>
        <w:pStyle w:val="BodyText"/>
        <w:spacing w:before="119"/>
        <w:ind w:left="179" w:right="1404"/>
        <w:jc w:val="both"/>
      </w:pPr>
      <w:r>
        <w:rPr/>
        <w:t>The </w:t>
      </w:r>
      <w:r>
        <w:rPr>
          <w:i/>
        </w:rPr>
        <w:t>GPG2000</w:t>
      </w:r>
      <w:r>
        <w:rPr/>
        <w:t>, Section 7.3, Recalculations, describes methods for recalculation and time series consistency and it should be referred to for a general description of </w:t>
      </w:r>
      <w:r>
        <w:rPr>
          <w:i/>
        </w:rPr>
        <w:t>good practice guidance </w:t>
      </w:r>
      <w:r>
        <w:rPr/>
        <w:t>in this area. The discussion in the </w:t>
      </w:r>
      <w:r>
        <w:rPr>
          <w:i/>
        </w:rPr>
        <w:t>GPG2000 </w:t>
      </w:r>
      <w:r>
        <w:rPr/>
        <w:t>is not sector-specific and can be applied directly to the LULUCF sector. However, given the ongoing refinement of data and methods in this sector, it is anticipated that the use of recalculation techniques will be particularly important. Following the </w:t>
      </w:r>
      <w:r>
        <w:rPr>
          <w:i/>
        </w:rPr>
        <w:t>GPG2000</w:t>
      </w:r>
      <w:r>
        <w:rPr/>
        <w:t>, it is </w:t>
      </w:r>
      <w:r>
        <w:rPr>
          <w:i/>
        </w:rPr>
        <w:t>good practice </w:t>
      </w:r>
      <w:r>
        <w:rPr/>
        <w:t>to </w:t>
      </w:r>
      <w:r>
        <w:rPr>
          <w:i/>
        </w:rPr>
        <w:t>recalculate </w:t>
      </w:r>
      <w:r>
        <w:rPr/>
        <w:t>previously reported inventory estimates</w:t>
      </w:r>
      <w:r>
        <w:rPr>
          <w:spacing w:val="1"/>
        </w:rPr>
        <w:t> </w:t>
      </w:r>
      <w:r>
        <w:rPr/>
        <w:t>when:</w:t>
      </w:r>
    </w:p>
    <w:p>
      <w:pPr>
        <w:pStyle w:val="ListParagraph"/>
        <w:numPr>
          <w:ilvl w:val="1"/>
          <w:numId w:val="181"/>
        </w:numPr>
        <w:tabs>
          <w:tab w:pos="540" w:val="left" w:leader="none"/>
        </w:tabs>
        <w:spacing w:line="232" w:lineRule="auto" w:before="140" w:after="0"/>
        <w:ind w:left="539" w:right="1404" w:hanging="360"/>
        <w:jc w:val="both"/>
        <w:rPr>
          <w:sz w:val="20"/>
        </w:rPr>
      </w:pPr>
      <w:r>
        <w:rPr>
          <w:i/>
          <w:sz w:val="20"/>
        </w:rPr>
        <w:t>Errors have been identified in the previous inventory data, models, or methods that affect the inventory level or trend</w:t>
      </w:r>
      <w:r>
        <w:rPr>
          <w:sz w:val="20"/>
        </w:rPr>
        <w:t>. If errors are corrected in follow-up inventories, but recalculation is not conducted to correct prior inventories, erroneous reporting of the inventory would</w:t>
      </w:r>
      <w:r>
        <w:rPr>
          <w:spacing w:val="-5"/>
          <w:sz w:val="20"/>
        </w:rPr>
        <w:t> </w:t>
      </w:r>
      <w:r>
        <w:rPr>
          <w:sz w:val="20"/>
        </w:rPr>
        <w:t>result;</w:t>
      </w:r>
    </w:p>
    <w:p>
      <w:pPr>
        <w:pStyle w:val="ListParagraph"/>
        <w:numPr>
          <w:ilvl w:val="1"/>
          <w:numId w:val="181"/>
        </w:numPr>
        <w:tabs>
          <w:tab w:pos="540" w:val="left" w:leader="none"/>
        </w:tabs>
        <w:spacing w:line="230" w:lineRule="auto" w:before="141" w:after="0"/>
        <w:ind w:left="539" w:right="1402" w:hanging="360"/>
        <w:jc w:val="both"/>
        <w:rPr>
          <w:sz w:val="20"/>
        </w:rPr>
      </w:pPr>
      <w:r>
        <w:rPr>
          <w:i/>
          <w:spacing w:val="-3"/>
          <w:sz w:val="20"/>
        </w:rPr>
        <w:t>Available </w:t>
      </w:r>
      <w:r>
        <w:rPr>
          <w:i/>
          <w:sz w:val="20"/>
        </w:rPr>
        <w:t>data have changed</w:t>
      </w:r>
      <w:r>
        <w:rPr>
          <w:sz w:val="20"/>
        </w:rPr>
        <w:t>. The </w:t>
      </w:r>
      <w:r>
        <w:rPr>
          <w:spacing w:val="-3"/>
          <w:sz w:val="20"/>
        </w:rPr>
        <w:t>availability </w:t>
      </w:r>
      <w:r>
        <w:rPr>
          <w:sz w:val="20"/>
        </w:rPr>
        <w:t>of data is a </w:t>
      </w:r>
      <w:r>
        <w:rPr>
          <w:spacing w:val="-3"/>
          <w:sz w:val="20"/>
        </w:rPr>
        <w:t>critical </w:t>
      </w:r>
      <w:r>
        <w:rPr>
          <w:sz w:val="20"/>
        </w:rPr>
        <w:t>determinant of the </w:t>
      </w:r>
      <w:r>
        <w:rPr>
          <w:spacing w:val="-3"/>
          <w:sz w:val="20"/>
        </w:rPr>
        <w:t>appropriate method, </w:t>
      </w:r>
      <w:r>
        <w:rPr>
          <w:sz w:val="20"/>
        </w:rPr>
        <w:t>and thus changes in available data may lead to changes or refinements in methods. As inventory agencies gain experience</w:t>
      </w:r>
      <w:r>
        <w:rPr>
          <w:spacing w:val="7"/>
          <w:sz w:val="20"/>
        </w:rPr>
        <w:t> </w:t>
      </w:r>
      <w:r>
        <w:rPr>
          <w:spacing w:val="-3"/>
          <w:sz w:val="20"/>
        </w:rPr>
        <w:t>and</w:t>
      </w:r>
      <w:r>
        <w:rPr>
          <w:spacing w:val="9"/>
          <w:sz w:val="20"/>
        </w:rPr>
        <w:t> </w:t>
      </w:r>
      <w:r>
        <w:rPr>
          <w:sz w:val="20"/>
        </w:rPr>
        <w:t>devote</w:t>
      </w:r>
      <w:r>
        <w:rPr>
          <w:spacing w:val="8"/>
          <w:sz w:val="20"/>
        </w:rPr>
        <w:t> </w:t>
      </w:r>
      <w:r>
        <w:rPr>
          <w:spacing w:val="-3"/>
          <w:sz w:val="20"/>
        </w:rPr>
        <w:t>additional</w:t>
      </w:r>
      <w:r>
        <w:rPr>
          <w:spacing w:val="21"/>
          <w:sz w:val="20"/>
        </w:rPr>
        <w:t> </w:t>
      </w:r>
      <w:r>
        <w:rPr>
          <w:sz w:val="20"/>
        </w:rPr>
        <w:t>resources</w:t>
      </w:r>
      <w:r>
        <w:rPr>
          <w:spacing w:val="6"/>
          <w:sz w:val="20"/>
        </w:rPr>
        <w:t> </w:t>
      </w:r>
      <w:r>
        <w:rPr>
          <w:sz w:val="20"/>
        </w:rPr>
        <w:t>to</w:t>
      </w:r>
      <w:r>
        <w:rPr>
          <w:spacing w:val="8"/>
          <w:sz w:val="20"/>
        </w:rPr>
        <w:t> </w:t>
      </w:r>
      <w:r>
        <w:rPr>
          <w:sz w:val="20"/>
        </w:rPr>
        <w:t>preparing</w:t>
      </w:r>
      <w:r>
        <w:rPr>
          <w:spacing w:val="6"/>
          <w:sz w:val="20"/>
        </w:rPr>
        <w:t> </w:t>
      </w:r>
      <w:r>
        <w:rPr>
          <w:spacing w:val="-3"/>
          <w:sz w:val="20"/>
        </w:rPr>
        <w:t>greenhouse</w:t>
      </w:r>
      <w:r>
        <w:rPr>
          <w:spacing w:val="10"/>
          <w:sz w:val="20"/>
        </w:rPr>
        <w:t> </w:t>
      </w:r>
      <w:r>
        <w:rPr>
          <w:spacing w:val="-3"/>
          <w:sz w:val="20"/>
        </w:rPr>
        <w:t>gas</w:t>
      </w:r>
      <w:r>
        <w:rPr>
          <w:spacing w:val="6"/>
          <w:sz w:val="20"/>
        </w:rPr>
        <w:t> </w:t>
      </w:r>
      <w:r>
        <w:rPr>
          <w:sz w:val="20"/>
        </w:rPr>
        <w:t>emissions</w:t>
      </w:r>
      <w:r>
        <w:rPr>
          <w:spacing w:val="6"/>
          <w:sz w:val="20"/>
        </w:rPr>
        <w:t> </w:t>
      </w:r>
      <w:r>
        <w:rPr>
          <w:spacing w:val="-3"/>
          <w:sz w:val="20"/>
        </w:rPr>
        <w:t>inventories,</w:t>
      </w:r>
      <w:r>
        <w:rPr>
          <w:spacing w:val="8"/>
          <w:sz w:val="20"/>
        </w:rPr>
        <w:t> </w:t>
      </w:r>
      <w:r>
        <w:rPr>
          <w:sz w:val="20"/>
        </w:rPr>
        <w:t>it</w:t>
      </w:r>
      <w:r>
        <w:rPr>
          <w:spacing w:val="7"/>
          <w:sz w:val="20"/>
        </w:rPr>
        <w:t> </w:t>
      </w:r>
      <w:r>
        <w:rPr>
          <w:sz w:val="20"/>
        </w:rPr>
        <w:t>is</w:t>
      </w:r>
      <w:r>
        <w:rPr>
          <w:spacing w:val="7"/>
          <w:sz w:val="20"/>
        </w:rPr>
        <w:t> </w:t>
      </w:r>
      <w:r>
        <w:rPr>
          <w:sz w:val="20"/>
        </w:rPr>
        <w:t>expected</w:t>
      </w:r>
    </w:p>
    <w:p>
      <w:pPr>
        <w:pStyle w:val="BodyText"/>
        <w:spacing w:before="3"/>
        <w:rPr>
          <w:sz w:val="11"/>
        </w:rPr>
      </w:pPr>
      <w:r>
        <w:rPr/>
        <w:pict>
          <v:line style="position:absolute;mso-position-horizontal-relative:page;mso-position-vertical-relative:paragraph;z-index:30368;mso-wrap-distance-left:0;mso-wrap-distance-right:0" from="70.960999pt,8.678946pt" to="214.960999pt,8.678946pt" stroked="true" strokeweight=".48pt" strokecolor="#000000">
            <v:stroke dashstyle="solid"/>
            <w10:wrap type="topAndBottom"/>
          </v:line>
        </w:pict>
      </w:r>
    </w:p>
    <w:p>
      <w:pPr>
        <w:spacing w:before="150"/>
        <w:ind w:left="337" w:right="1597" w:hanging="159"/>
        <w:jc w:val="left"/>
        <w:rPr>
          <w:sz w:val="18"/>
        </w:rPr>
      </w:pPr>
      <w:r>
        <w:rPr>
          <w:position w:val="8"/>
          <w:sz w:val="12"/>
        </w:rPr>
        <w:t>22 </w:t>
      </w:r>
      <w:r>
        <w:rPr>
          <w:sz w:val="18"/>
        </w:rPr>
        <w:t>New methods or data that are not judged to improve the ultimate inventory estimate and therefore are not used, may provide useful information for analyzing uncertainty, QA/QC, and</w:t>
      </w:r>
      <w:r>
        <w:rPr>
          <w:spacing w:val="-5"/>
          <w:sz w:val="18"/>
        </w:rPr>
        <w:t> </w:t>
      </w:r>
      <w:r>
        <w:rPr>
          <w:sz w:val="18"/>
        </w:rPr>
        <w:t>verification.</w:t>
      </w:r>
    </w:p>
    <w:p>
      <w:pPr>
        <w:spacing w:after="0"/>
        <w:jc w:val="left"/>
        <w:rPr>
          <w:sz w:val="18"/>
        </w:rPr>
        <w:sectPr>
          <w:pgSz w:w="11900" w:h="16840"/>
          <w:pgMar w:header="230" w:footer="408" w:top="560" w:bottom="600" w:left="1240" w:right="0"/>
        </w:sectPr>
      </w:pPr>
    </w:p>
    <w:p>
      <w:pPr>
        <w:pStyle w:val="BodyText"/>
        <w:spacing w:before="8"/>
        <w:rPr>
          <w:sz w:val="27"/>
        </w:rPr>
      </w:pPr>
    </w:p>
    <w:p>
      <w:pPr>
        <w:pStyle w:val="BodyText"/>
        <w:spacing w:before="121"/>
        <w:ind w:left="539" w:right="1407"/>
      </w:pPr>
      <w:r>
        <w:rPr/>
        <w:t>that data availability will improve.</w:t>
      </w:r>
      <w:r>
        <w:rPr>
          <w:vertAlign w:val="superscript"/>
        </w:rPr>
        <w:t>23</w:t>
      </w:r>
      <w:r>
        <w:rPr>
          <w:vertAlign w:val="baseline"/>
        </w:rPr>
        <w:t> Overall, though, inventory agencies should choose methods and collect data consistent with the identification of key source and sink categories, as discussed in Section 5.4.5.</w:t>
      </w:r>
    </w:p>
    <w:p>
      <w:pPr>
        <w:pStyle w:val="ListParagraph"/>
        <w:numPr>
          <w:ilvl w:val="1"/>
          <w:numId w:val="181"/>
        </w:numPr>
        <w:tabs>
          <w:tab w:pos="540" w:val="left" w:leader="none"/>
        </w:tabs>
        <w:spacing w:line="223" w:lineRule="auto" w:before="147" w:after="0"/>
        <w:ind w:left="539" w:right="1408" w:hanging="360"/>
        <w:jc w:val="both"/>
        <w:rPr>
          <w:sz w:val="20"/>
        </w:rPr>
      </w:pPr>
      <w:r>
        <w:rPr>
          <w:i/>
          <w:sz w:val="20"/>
        </w:rPr>
        <w:t>The previously used method is not consistent with good practice guidance for that source/sink category </w:t>
      </w:r>
      <w:r>
        <w:rPr>
          <w:sz w:val="20"/>
        </w:rPr>
        <w:t>as described in Chapters 2, 3 or</w:t>
      </w:r>
      <w:r>
        <w:rPr>
          <w:spacing w:val="1"/>
          <w:sz w:val="20"/>
        </w:rPr>
        <w:t> </w:t>
      </w:r>
      <w:r>
        <w:rPr>
          <w:sz w:val="20"/>
        </w:rPr>
        <w:t>4.</w:t>
      </w:r>
    </w:p>
    <w:p>
      <w:pPr>
        <w:pStyle w:val="ListParagraph"/>
        <w:numPr>
          <w:ilvl w:val="1"/>
          <w:numId w:val="181"/>
        </w:numPr>
        <w:tabs>
          <w:tab w:pos="540" w:val="left" w:leader="none"/>
        </w:tabs>
        <w:spacing w:line="237" w:lineRule="auto" w:before="140" w:after="0"/>
        <w:ind w:left="539" w:right="1405" w:hanging="360"/>
        <w:jc w:val="both"/>
        <w:rPr>
          <w:sz w:val="20"/>
        </w:rPr>
      </w:pPr>
      <w:r>
        <w:rPr>
          <w:i/>
          <w:sz w:val="20"/>
        </w:rPr>
        <w:t>A source/sink category has become key</w:t>
      </w:r>
      <w:r>
        <w:rPr>
          <w:sz w:val="20"/>
        </w:rPr>
        <w:t>. A source or sink category might not be considered key in the base year, depending on the criteria used, but could become key in a future year. For example, a country might launch afforestation programs that could result in a considerable increase of afforested lands, or experience large conversions of forested areas in urban developments which could result in sizable increase of deforestation. Inventory agencies anticipating these types of significant changes and resulting changes to higher tier methods in a category may want to consider this possibility before it becomes</w:t>
      </w:r>
      <w:r>
        <w:rPr>
          <w:spacing w:val="-11"/>
          <w:sz w:val="20"/>
        </w:rPr>
        <w:t> </w:t>
      </w:r>
      <w:r>
        <w:rPr>
          <w:sz w:val="20"/>
        </w:rPr>
        <w:t>key.</w:t>
      </w:r>
    </w:p>
    <w:p>
      <w:pPr>
        <w:pStyle w:val="ListParagraph"/>
        <w:numPr>
          <w:ilvl w:val="1"/>
          <w:numId w:val="181"/>
        </w:numPr>
        <w:tabs>
          <w:tab w:pos="540" w:val="left" w:leader="none"/>
        </w:tabs>
        <w:spacing w:line="235" w:lineRule="auto" w:before="134" w:after="0"/>
        <w:ind w:left="539" w:right="1402" w:hanging="360"/>
        <w:jc w:val="both"/>
        <w:rPr>
          <w:sz w:val="20"/>
        </w:rPr>
      </w:pPr>
      <w:r>
        <w:rPr>
          <w:i/>
          <w:sz w:val="20"/>
        </w:rPr>
        <w:t>The previously used method is insufficient to reflect mitigation activities in a transparent manner. </w:t>
      </w:r>
      <w:r>
        <w:rPr>
          <w:sz w:val="20"/>
        </w:rPr>
        <w:t>As techniques and technologies for reducing emissions or enhancing removals are introduced, inventory agencies should use methods that can account for the resulting decrease changes in emissions or removals in a transparent manner. Where the previously used methods are insufficiently transparent, it is </w:t>
      </w:r>
      <w:r>
        <w:rPr>
          <w:i/>
          <w:sz w:val="20"/>
        </w:rPr>
        <w:t>good practice </w:t>
      </w:r>
      <w:r>
        <w:rPr>
          <w:sz w:val="20"/>
        </w:rPr>
        <w:t>to change or refine</w:t>
      </w:r>
      <w:r>
        <w:rPr>
          <w:spacing w:val="1"/>
          <w:sz w:val="20"/>
        </w:rPr>
        <w:t> </w:t>
      </w:r>
      <w:r>
        <w:rPr>
          <w:sz w:val="20"/>
        </w:rPr>
        <w:t>them.</w:t>
      </w:r>
    </w:p>
    <w:p>
      <w:pPr>
        <w:pStyle w:val="ListParagraph"/>
        <w:numPr>
          <w:ilvl w:val="1"/>
          <w:numId w:val="181"/>
        </w:numPr>
        <w:tabs>
          <w:tab w:pos="540" w:val="left" w:leader="none"/>
        </w:tabs>
        <w:spacing w:line="235" w:lineRule="auto" w:before="141" w:after="0"/>
        <w:ind w:left="539" w:right="1405" w:hanging="360"/>
        <w:jc w:val="both"/>
        <w:rPr>
          <w:sz w:val="20"/>
        </w:rPr>
      </w:pPr>
      <w:r>
        <w:rPr>
          <w:i/>
          <w:sz w:val="20"/>
        </w:rPr>
        <w:t>The capacity for inventory preparation has increased. </w:t>
      </w:r>
      <w:r>
        <w:rPr>
          <w:sz w:val="20"/>
        </w:rPr>
        <w:t>Over time, the human and/or financial capacity to prepare inventories may increase. If inventory agencies increase inventory capacity, it is </w:t>
      </w:r>
      <w:r>
        <w:rPr>
          <w:i/>
          <w:sz w:val="20"/>
        </w:rPr>
        <w:t>good practice </w:t>
      </w:r>
      <w:r>
        <w:rPr>
          <w:sz w:val="20"/>
        </w:rPr>
        <w:t>to change or refine methods so as to produce more accurate, complete or transparent estimates, particularly for key</w:t>
      </w:r>
      <w:r>
        <w:rPr>
          <w:spacing w:val="-5"/>
          <w:sz w:val="20"/>
        </w:rPr>
        <w:t> </w:t>
      </w:r>
      <w:r>
        <w:rPr>
          <w:sz w:val="20"/>
        </w:rPr>
        <w:t>categories.</w:t>
      </w:r>
    </w:p>
    <w:p>
      <w:pPr>
        <w:pStyle w:val="ListParagraph"/>
        <w:numPr>
          <w:ilvl w:val="1"/>
          <w:numId w:val="181"/>
        </w:numPr>
        <w:tabs>
          <w:tab w:pos="540" w:val="left" w:leader="none"/>
        </w:tabs>
        <w:spacing w:line="235" w:lineRule="auto" w:before="135" w:after="0"/>
        <w:ind w:left="539" w:right="1405" w:hanging="360"/>
        <w:jc w:val="both"/>
        <w:rPr>
          <w:sz w:val="20"/>
        </w:rPr>
      </w:pPr>
      <w:r>
        <w:rPr>
          <w:i/>
          <w:sz w:val="20"/>
        </w:rPr>
        <w:t>new methods become available. </w:t>
      </w:r>
      <w:r>
        <w:rPr>
          <w:sz w:val="20"/>
        </w:rPr>
        <w:t>In the future, new methods may be developed that take advantage of new technologies or improved scientific understanding. For example, remote-sensing technology and site  specific modelling is making it feasible to estimate emissions from land clearing activities more accurately than by using simple aggregate emission factor/activity data. Inventory agencies should ensure that their methods are consistent with the </w:t>
      </w:r>
      <w:r>
        <w:rPr>
          <w:i/>
          <w:sz w:val="20"/>
        </w:rPr>
        <w:t>IPCC Guidelines </w:t>
      </w:r>
      <w:r>
        <w:rPr>
          <w:sz w:val="20"/>
        </w:rPr>
        <w:t>and with this</w:t>
      </w:r>
      <w:r>
        <w:rPr>
          <w:spacing w:val="-3"/>
          <w:sz w:val="20"/>
        </w:rPr>
        <w:t> </w:t>
      </w:r>
      <w:r>
        <w:rPr>
          <w:sz w:val="20"/>
        </w:rPr>
        <w:t>report.</w:t>
      </w:r>
    </w:p>
    <w:p>
      <w:pPr>
        <w:pStyle w:val="BodyText"/>
        <w:spacing w:before="123"/>
        <w:ind w:left="179" w:right="1406"/>
        <w:jc w:val="both"/>
      </w:pPr>
      <w:r>
        <w:rPr/>
        <w:t>Once the need for recalculation is determined, there are a variety of approaches that may be considered to address potential inconsistencies in the time series. The choice of recalculation method typically depends on the data that are available to perform the recalculations. </w:t>
      </w:r>
      <w:r>
        <w:rPr>
          <w:i/>
        </w:rPr>
        <w:t>GPG2000 </w:t>
      </w:r>
      <w:r>
        <w:rPr/>
        <w:t>discusses several methods, and these are summarised in Table 5.6.1. The approaches described in </w:t>
      </w:r>
      <w:r>
        <w:rPr>
          <w:i/>
        </w:rPr>
        <w:t>GPG2000 </w:t>
      </w:r>
      <w:r>
        <w:rPr/>
        <w:t>are conceptually fully applicable to the LULUCF</w:t>
      </w:r>
      <w:r>
        <w:rPr>
          <w:spacing w:val="-1"/>
        </w:rPr>
        <w:t> </w:t>
      </w:r>
      <w:r>
        <w:rPr/>
        <w:t>sector.</w:t>
      </w:r>
    </w:p>
    <w:p>
      <w:pPr>
        <w:pStyle w:val="BodyText"/>
        <w:rPr>
          <w:sz w:val="11"/>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6"/>
        <w:gridCol w:w="2844"/>
        <w:gridCol w:w="4464"/>
      </w:tblGrid>
      <w:tr>
        <w:trPr>
          <w:trHeight w:val="443" w:hRule="atLeast"/>
        </w:trPr>
        <w:tc>
          <w:tcPr>
            <w:tcW w:w="9014" w:type="dxa"/>
            <w:gridSpan w:val="3"/>
            <w:tcBorders>
              <w:bottom w:val="double" w:sz="1" w:space="0" w:color="000000"/>
            </w:tcBorders>
          </w:tcPr>
          <w:p>
            <w:pPr>
              <w:pStyle w:val="TableParagraph"/>
              <w:spacing w:line="207" w:lineRule="exact" w:before="14"/>
              <w:ind w:left="123" w:right="113"/>
              <w:jc w:val="center"/>
              <w:rPr>
                <w:b/>
                <w:sz w:val="18"/>
              </w:rPr>
            </w:pPr>
            <w:r>
              <w:rPr>
                <w:b/>
                <w:sz w:val="18"/>
              </w:rPr>
              <w:t>T</w:t>
            </w:r>
            <w:r>
              <w:rPr>
                <w:b/>
                <w:sz w:val="14"/>
              </w:rPr>
              <w:t>ABLE   </w:t>
            </w:r>
            <w:r>
              <w:rPr>
                <w:b/>
                <w:sz w:val="18"/>
              </w:rPr>
              <w:t>5.6.1</w:t>
            </w:r>
          </w:p>
          <w:p>
            <w:pPr>
              <w:pStyle w:val="TableParagraph"/>
              <w:spacing w:line="202" w:lineRule="exact"/>
              <w:ind w:left="123" w:right="76"/>
              <w:jc w:val="center"/>
              <w:rPr>
                <w:b/>
                <w:sz w:val="14"/>
              </w:rPr>
            </w:pPr>
            <w:r>
              <w:rPr>
                <w:b/>
                <w:sz w:val="18"/>
              </w:rPr>
              <w:t>S</w:t>
            </w:r>
            <w:r>
              <w:rPr>
                <w:b/>
                <w:sz w:val="14"/>
              </w:rPr>
              <w:t>UMMARY OF APPROACHES TO OBTAIN CONSISTENCY IN TIME SERIES</w:t>
            </w:r>
          </w:p>
        </w:tc>
      </w:tr>
      <w:tr>
        <w:trPr>
          <w:trHeight w:val="282" w:hRule="atLeast"/>
        </w:trPr>
        <w:tc>
          <w:tcPr>
            <w:tcW w:w="1706" w:type="dxa"/>
            <w:tcBorders>
              <w:top w:val="double" w:sz="1" w:space="0" w:color="000000"/>
            </w:tcBorders>
          </w:tcPr>
          <w:p>
            <w:pPr>
              <w:pStyle w:val="TableParagraph"/>
              <w:spacing w:before="37"/>
              <w:ind w:left="107"/>
              <w:rPr>
                <w:b/>
                <w:sz w:val="18"/>
              </w:rPr>
            </w:pPr>
            <w:r>
              <w:rPr>
                <w:b/>
                <w:sz w:val="18"/>
              </w:rPr>
              <w:t>Approach</w:t>
            </w:r>
          </w:p>
        </w:tc>
        <w:tc>
          <w:tcPr>
            <w:tcW w:w="2844" w:type="dxa"/>
            <w:tcBorders>
              <w:top w:val="double" w:sz="1" w:space="0" w:color="000000"/>
            </w:tcBorders>
          </w:tcPr>
          <w:p>
            <w:pPr>
              <w:pStyle w:val="TableParagraph"/>
              <w:spacing w:before="37"/>
              <w:ind w:left="108"/>
              <w:rPr>
                <w:b/>
                <w:sz w:val="18"/>
              </w:rPr>
            </w:pPr>
            <w:r>
              <w:rPr>
                <w:b/>
                <w:sz w:val="18"/>
              </w:rPr>
              <w:t>Applicability</w:t>
            </w:r>
          </w:p>
        </w:tc>
        <w:tc>
          <w:tcPr>
            <w:tcW w:w="4464" w:type="dxa"/>
            <w:tcBorders>
              <w:top w:val="double" w:sz="1" w:space="0" w:color="000000"/>
            </w:tcBorders>
          </w:tcPr>
          <w:p>
            <w:pPr>
              <w:pStyle w:val="TableParagraph"/>
              <w:spacing w:before="37"/>
              <w:ind w:left="108"/>
              <w:rPr>
                <w:b/>
                <w:sz w:val="18"/>
              </w:rPr>
            </w:pPr>
            <w:r>
              <w:rPr>
                <w:b/>
                <w:sz w:val="18"/>
              </w:rPr>
              <w:t>Comments</w:t>
            </w:r>
          </w:p>
        </w:tc>
      </w:tr>
      <w:tr>
        <w:trPr>
          <w:trHeight w:val="534" w:hRule="atLeast"/>
        </w:trPr>
        <w:tc>
          <w:tcPr>
            <w:tcW w:w="1706" w:type="dxa"/>
          </w:tcPr>
          <w:p>
            <w:pPr>
              <w:pStyle w:val="TableParagraph"/>
              <w:spacing w:before="158"/>
              <w:ind w:left="107"/>
              <w:rPr>
                <w:sz w:val="18"/>
              </w:rPr>
            </w:pPr>
            <w:r>
              <w:rPr>
                <w:sz w:val="18"/>
              </w:rPr>
              <w:t>Total Recalculation</w:t>
            </w:r>
          </w:p>
        </w:tc>
        <w:tc>
          <w:tcPr>
            <w:tcW w:w="2844" w:type="dxa"/>
          </w:tcPr>
          <w:p>
            <w:pPr>
              <w:pStyle w:val="TableParagraph"/>
              <w:spacing w:before="55"/>
              <w:ind w:left="108" w:right="262"/>
              <w:rPr>
                <w:sz w:val="18"/>
              </w:rPr>
            </w:pPr>
            <w:r>
              <w:rPr>
                <w:sz w:val="18"/>
              </w:rPr>
              <w:t>Required data are available for all time periods.</w:t>
            </w:r>
          </w:p>
        </w:tc>
        <w:tc>
          <w:tcPr>
            <w:tcW w:w="4464" w:type="dxa"/>
          </w:tcPr>
          <w:p>
            <w:pPr>
              <w:pStyle w:val="TableParagraph"/>
              <w:numPr>
                <w:ilvl w:val="0"/>
                <w:numId w:val="198"/>
              </w:numPr>
              <w:tabs>
                <w:tab w:pos="468" w:val="left" w:leader="none"/>
                <w:tab w:pos="469" w:val="left" w:leader="none"/>
              </w:tabs>
              <w:spacing w:line="240" w:lineRule="auto" w:before="163" w:after="0"/>
              <w:ind w:left="468" w:right="0" w:hanging="360"/>
              <w:jc w:val="left"/>
              <w:rPr>
                <w:sz w:val="18"/>
              </w:rPr>
            </w:pPr>
            <w:r>
              <w:rPr>
                <w:i/>
                <w:sz w:val="18"/>
              </w:rPr>
              <w:t>Good practice</w:t>
            </w:r>
            <w:r>
              <w:rPr>
                <w:sz w:val="18"/>
              </w:rPr>
              <w:t>, if</w:t>
            </w:r>
            <w:r>
              <w:rPr>
                <w:spacing w:val="-3"/>
                <w:sz w:val="18"/>
              </w:rPr>
              <w:t> </w:t>
            </w:r>
            <w:r>
              <w:rPr>
                <w:sz w:val="18"/>
              </w:rPr>
              <w:t>possible.</w:t>
            </w:r>
          </w:p>
        </w:tc>
      </w:tr>
      <w:tr>
        <w:trPr>
          <w:trHeight w:val="947" w:hRule="atLeast"/>
        </w:trPr>
        <w:tc>
          <w:tcPr>
            <w:tcW w:w="1706" w:type="dxa"/>
          </w:tcPr>
          <w:p>
            <w:pPr>
              <w:pStyle w:val="TableParagraph"/>
              <w:rPr>
                <w:sz w:val="20"/>
              </w:rPr>
            </w:pPr>
          </w:p>
          <w:p>
            <w:pPr>
              <w:pStyle w:val="TableParagraph"/>
              <w:spacing w:before="134"/>
              <w:ind w:left="107"/>
              <w:rPr>
                <w:sz w:val="18"/>
              </w:rPr>
            </w:pPr>
            <w:r>
              <w:rPr>
                <w:sz w:val="18"/>
              </w:rPr>
              <w:t>Interpolation</w:t>
            </w:r>
          </w:p>
        </w:tc>
        <w:tc>
          <w:tcPr>
            <w:tcW w:w="2844" w:type="dxa"/>
          </w:tcPr>
          <w:p>
            <w:pPr>
              <w:pStyle w:val="TableParagraph"/>
              <w:spacing w:before="55"/>
              <w:ind w:left="108" w:right="147"/>
              <w:rPr>
                <w:sz w:val="18"/>
              </w:rPr>
            </w:pPr>
            <w:r>
              <w:rPr>
                <w:sz w:val="18"/>
              </w:rPr>
              <w:t>Data needed for recalculation using the new method are available for intermittent years during the time series.</w:t>
            </w:r>
          </w:p>
        </w:tc>
        <w:tc>
          <w:tcPr>
            <w:tcW w:w="4464" w:type="dxa"/>
          </w:tcPr>
          <w:p>
            <w:pPr>
              <w:pStyle w:val="TableParagraph"/>
              <w:spacing w:before="4"/>
              <w:rPr>
                <w:sz w:val="24"/>
              </w:rPr>
            </w:pPr>
          </w:p>
          <w:p>
            <w:pPr>
              <w:pStyle w:val="TableParagraph"/>
              <w:numPr>
                <w:ilvl w:val="0"/>
                <w:numId w:val="199"/>
              </w:numPr>
              <w:tabs>
                <w:tab w:pos="468" w:val="left" w:leader="none"/>
                <w:tab w:pos="469" w:val="left" w:leader="none"/>
              </w:tabs>
              <w:spacing w:line="220" w:lineRule="auto" w:before="1" w:after="0"/>
              <w:ind w:left="465" w:right="202" w:hanging="357"/>
              <w:jc w:val="left"/>
              <w:rPr>
                <w:sz w:val="18"/>
              </w:rPr>
            </w:pPr>
            <w:r>
              <w:rPr>
                <w:sz w:val="18"/>
              </w:rPr>
              <w:t>Emissions estimates can be linearly interpolated for the periods when the new method cannot be</w:t>
            </w:r>
            <w:r>
              <w:rPr>
                <w:spacing w:val="-25"/>
                <w:sz w:val="18"/>
              </w:rPr>
              <w:t> </w:t>
            </w:r>
            <w:r>
              <w:rPr>
                <w:sz w:val="18"/>
              </w:rPr>
              <w:t>applied.</w:t>
            </w:r>
          </w:p>
        </w:tc>
      </w:tr>
      <w:tr>
        <w:trPr>
          <w:trHeight w:val="1105" w:hRule="atLeast"/>
        </w:trPr>
        <w:tc>
          <w:tcPr>
            <w:tcW w:w="1706" w:type="dxa"/>
          </w:tcPr>
          <w:p>
            <w:pPr>
              <w:pStyle w:val="TableParagraph"/>
              <w:rPr>
                <w:sz w:val="20"/>
              </w:rPr>
            </w:pPr>
          </w:p>
          <w:p>
            <w:pPr>
              <w:pStyle w:val="TableParagraph"/>
              <w:spacing w:before="6"/>
              <w:rPr>
                <w:sz w:val="18"/>
              </w:rPr>
            </w:pPr>
          </w:p>
          <w:p>
            <w:pPr>
              <w:pStyle w:val="TableParagraph"/>
              <w:ind w:left="107"/>
              <w:rPr>
                <w:sz w:val="18"/>
              </w:rPr>
            </w:pPr>
            <w:r>
              <w:rPr>
                <w:sz w:val="18"/>
              </w:rPr>
              <w:t>Trend Extrapolation</w:t>
            </w:r>
          </w:p>
        </w:tc>
        <w:tc>
          <w:tcPr>
            <w:tcW w:w="2844" w:type="dxa"/>
          </w:tcPr>
          <w:p>
            <w:pPr>
              <w:pStyle w:val="TableParagraph"/>
              <w:spacing w:before="134"/>
              <w:ind w:left="108" w:right="86"/>
              <w:rPr>
                <w:sz w:val="18"/>
              </w:rPr>
            </w:pPr>
            <w:r>
              <w:rPr>
                <w:sz w:val="18"/>
              </w:rPr>
              <w:t>Data for the new method are not collected annually and are not available at the beginning or the end of the time series.</w:t>
            </w:r>
          </w:p>
        </w:tc>
        <w:tc>
          <w:tcPr>
            <w:tcW w:w="4464" w:type="dxa"/>
          </w:tcPr>
          <w:p>
            <w:pPr>
              <w:pStyle w:val="TableParagraph"/>
              <w:numPr>
                <w:ilvl w:val="0"/>
                <w:numId w:val="200"/>
              </w:numPr>
              <w:tabs>
                <w:tab w:pos="468" w:val="left" w:leader="none"/>
                <w:tab w:pos="469" w:val="left" w:leader="none"/>
              </w:tabs>
              <w:spacing w:line="240" w:lineRule="auto" w:before="45" w:after="0"/>
              <w:ind w:left="465" w:right="0" w:hanging="357"/>
              <w:jc w:val="left"/>
              <w:rPr>
                <w:sz w:val="18"/>
              </w:rPr>
            </w:pPr>
            <w:r>
              <w:rPr>
                <w:sz w:val="18"/>
              </w:rPr>
              <w:t>Most reliable if the trend over time is</w:t>
            </w:r>
            <w:r>
              <w:rPr>
                <w:spacing w:val="-10"/>
                <w:sz w:val="18"/>
              </w:rPr>
              <w:t> </w:t>
            </w:r>
            <w:r>
              <w:rPr>
                <w:sz w:val="18"/>
              </w:rPr>
              <w:t>constant.</w:t>
            </w:r>
          </w:p>
          <w:p>
            <w:pPr>
              <w:pStyle w:val="TableParagraph"/>
              <w:numPr>
                <w:ilvl w:val="0"/>
                <w:numId w:val="200"/>
              </w:numPr>
              <w:tabs>
                <w:tab w:pos="468" w:val="left" w:leader="none"/>
                <w:tab w:pos="469" w:val="left" w:leader="none"/>
              </w:tabs>
              <w:spacing w:line="220" w:lineRule="auto" w:before="93" w:after="0"/>
              <w:ind w:left="465" w:right="110" w:hanging="357"/>
              <w:jc w:val="left"/>
              <w:rPr>
                <w:sz w:val="18"/>
              </w:rPr>
            </w:pPr>
            <w:r>
              <w:rPr>
                <w:sz w:val="18"/>
              </w:rPr>
              <w:t>Should not be used if the trend is changing (in this case, the surrogate method may be more</w:t>
            </w:r>
            <w:r>
              <w:rPr>
                <w:spacing w:val="-21"/>
                <w:sz w:val="18"/>
              </w:rPr>
              <w:t> </w:t>
            </w:r>
            <w:r>
              <w:rPr>
                <w:sz w:val="18"/>
              </w:rPr>
              <w:t>appropriate).</w:t>
            </w:r>
          </w:p>
          <w:p>
            <w:pPr>
              <w:pStyle w:val="TableParagraph"/>
              <w:numPr>
                <w:ilvl w:val="0"/>
                <w:numId w:val="200"/>
              </w:numPr>
              <w:tabs>
                <w:tab w:pos="468" w:val="left" w:leader="none"/>
                <w:tab w:pos="469" w:val="left" w:leader="none"/>
              </w:tabs>
              <w:spacing w:line="240" w:lineRule="auto" w:before="96" w:after="0"/>
              <w:ind w:left="468" w:right="0" w:hanging="360"/>
              <w:jc w:val="left"/>
              <w:rPr>
                <w:sz w:val="18"/>
              </w:rPr>
            </w:pPr>
            <w:r>
              <w:rPr>
                <w:sz w:val="18"/>
              </w:rPr>
              <w:t>Should not be done for long</w:t>
            </w:r>
            <w:r>
              <w:rPr>
                <w:spacing w:val="-8"/>
                <w:sz w:val="18"/>
              </w:rPr>
              <w:t> </w:t>
            </w:r>
            <w:r>
              <w:rPr>
                <w:sz w:val="18"/>
              </w:rPr>
              <w:t>periods.</w:t>
            </w:r>
          </w:p>
        </w:tc>
      </w:tr>
      <w:tr>
        <w:trPr>
          <w:trHeight w:val="1221" w:hRule="atLeast"/>
        </w:trPr>
        <w:tc>
          <w:tcPr>
            <w:tcW w:w="1706" w:type="dxa"/>
          </w:tcPr>
          <w:p>
            <w:pPr>
              <w:pStyle w:val="TableParagraph"/>
              <w:rPr>
                <w:sz w:val="20"/>
              </w:rPr>
            </w:pPr>
          </w:p>
          <w:p>
            <w:pPr>
              <w:pStyle w:val="TableParagraph"/>
              <w:spacing w:before="6"/>
              <w:rPr>
                <w:sz w:val="23"/>
              </w:rPr>
            </w:pPr>
          </w:p>
          <w:p>
            <w:pPr>
              <w:pStyle w:val="TableParagraph"/>
              <w:spacing w:before="1"/>
              <w:ind w:left="107"/>
              <w:rPr>
                <w:sz w:val="18"/>
              </w:rPr>
            </w:pPr>
            <w:r>
              <w:rPr>
                <w:sz w:val="18"/>
              </w:rPr>
              <w:t>Overlap</w:t>
            </w:r>
          </w:p>
        </w:tc>
        <w:tc>
          <w:tcPr>
            <w:tcW w:w="2844" w:type="dxa"/>
          </w:tcPr>
          <w:p>
            <w:pPr>
              <w:pStyle w:val="TableParagraph"/>
              <w:spacing w:before="7"/>
              <w:rPr>
                <w:sz w:val="16"/>
              </w:rPr>
            </w:pPr>
          </w:p>
          <w:p>
            <w:pPr>
              <w:pStyle w:val="TableParagraph"/>
              <w:ind w:left="108" w:right="361"/>
              <w:rPr>
                <w:sz w:val="18"/>
              </w:rPr>
            </w:pPr>
            <w:r>
              <w:rPr>
                <w:sz w:val="18"/>
              </w:rPr>
              <w:t>Data necessary to apply both the previously used and the new method must be available for at least one year.</w:t>
            </w:r>
          </w:p>
        </w:tc>
        <w:tc>
          <w:tcPr>
            <w:tcW w:w="4464" w:type="dxa"/>
          </w:tcPr>
          <w:p>
            <w:pPr>
              <w:pStyle w:val="TableParagraph"/>
              <w:numPr>
                <w:ilvl w:val="0"/>
                <w:numId w:val="201"/>
              </w:numPr>
              <w:tabs>
                <w:tab w:pos="468" w:val="left" w:leader="none"/>
                <w:tab w:pos="469" w:val="left" w:leader="none"/>
              </w:tabs>
              <w:spacing w:line="223" w:lineRule="auto" w:before="58" w:after="0"/>
              <w:ind w:left="465" w:right="173" w:hanging="357"/>
              <w:jc w:val="left"/>
              <w:rPr>
                <w:sz w:val="18"/>
              </w:rPr>
            </w:pPr>
            <w:r>
              <w:rPr>
                <w:sz w:val="18"/>
              </w:rPr>
              <w:t>Most reliable when the overlap between two or more sets of annual emissions estimates can be</w:t>
            </w:r>
            <w:r>
              <w:rPr>
                <w:spacing w:val="-17"/>
                <w:sz w:val="18"/>
              </w:rPr>
              <w:t> </w:t>
            </w:r>
            <w:r>
              <w:rPr>
                <w:sz w:val="18"/>
              </w:rPr>
              <w:t>assessed.</w:t>
            </w:r>
          </w:p>
          <w:p>
            <w:pPr>
              <w:pStyle w:val="TableParagraph"/>
              <w:numPr>
                <w:ilvl w:val="0"/>
                <w:numId w:val="201"/>
              </w:numPr>
              <w:tabs>
                <w:tab w:pos="468" w:val="left" w:leader="none"/>
                <w:tab w:pos="469" w:val="left" w:leader="none"/>
              </w:tabs>
              <w:spacing w:line="230" w:lineRule="auto" w:before="105" w:after="0"/>
              <w:ind w:left="465" w:right="303" w:hanging="357"/>
              <w:jc w:val="left"/>
              <w:rPr>
                <w:sz w:val="18"/>
              </w:rPr>
            </w:pPr>
            <w:r>
              <w:rPr>
                <w:sz w:val="18"/>
              </w:rPr>
              <w:t>If the relationship between the two methods during the period of overlap is irregular, this approach should not be used for</w:t>
            </w:r>
            <w:r>
              <w:rPr>
                <w:spacing w:val="-6"/>
                <w:sz w:val="18"/>
              </w:rPr>
              <w:t> </w:t>
            </w:r>
            <w:r>
              <w:rPr>
                <w:sz w:val="18"/>
              </w:rPr>
              <w:t>recalculation.</w:t>
            </w:r>
          </w:p>
        </w:tc>
      </w:tr>
      <w:tr>
        <w:trPr>
          <w:trHeight w:val="1156" w:hRule="atLeast"/>
        </w:trPr>
        <w:tc>
          <w:tcPr>
            <w:tcW w:w="1706" w:type="dxa"/>
          </w:tcPr>
          <w:p>
            <w:pPr>
              <w:pStyle w:val="TableParagraph"/>
              <w:rPr>
                <w:sz w:val="20"/>
              </w:rPr>
            </w:pPr>
          </w:p>
          <w:p>
            <w:pPr>
              <w:pStyle w:val="TableParagraph"/>
              <w:spacing w:before="7"/>
              <w:rPr>
                <w:sz w:val="20"/>
              </w:rPr>
            </w:pPr>
          </w:p>
          <w:p>
            <w:pPr>
              <w:pStyle w:val="TableParagraph"/>
              <w:ind w:left="107"/>
              <w:rPr>
                <w:sz w:val="18"/>
              </w:rPr>
            </w:pPr>
            <w:r>
              <w:rPr>
                <w:sz w:val="18"/>
              </w:rPr>
              <w:t>Surrogate</w:t>
            </w:r>
          </w:p>
        </w:tc>
        <w:tc>
          <w:tcPr>
            <w:tcW w:w="2844" w:type="dxa"/>
          </w:tcPr>
          <w:p>
            <w:pPr>
              <w:pStyle w:val="TableParagraph"/>
              <w:spacing w:before="55"/>
              <w:ind w:left="108" w:right="102"/>
              <w:rPr>
                <w:sz w:val="18"/>
              </w:rPr>
            </w:pPr>
            <w:r>
              <w:rPr>
                <w:sz w:val="18"/>
              </w:rPr>
              <w:t>Emission factors or activity data used in the new method are strongly correlated with other well- known and more readily available indicative data.</w:t>
            </w:r>
          </w:p>
        </w:tc>
        <w:tc>
          <w:tcPr>
            <w:tcW w:w="4464" w:type="dxa"/>
          </w:tcPr>
          <w:p>
            <w:pPr>
              <w:pStyle w:val="TableParagraph"/>
              <w:numPr>
                <w:ilvl w:val="0"/>
                <w:numId w:val="202"/>
              </w:numPr>
              <w:tabs>
                <w:tab w:pos="468" w:val="left" w:leader="none"/>
                <w:tab w:pos="469" w:val="left" w:leader="none"/>
              </w:tabs>
              <w:spacing w:line="230" w:lineRule="auto" w:before="123" w:after="0"/>
              <w:ind w:left="465" w:right="259" w:hanging="357"/>
              <w:jc w:val="left"/>
              <w:rPr>
                <w:sz w:val="18"/>
              </w:rPr>
            </w:pPr>
            <w:r>
              <w:rPr>
                <w:sz w:val="18"/>
              </w:rPr>
              <w:t>Multiple indicative data sets (singly or in combination) should be tested in order to determine the most strongly</w:t>
            </w:r>
            <w:r>
              <w:rPr>
                <w:spacing w:val="-4"/>
                <w:sz w:val="18"/>
              </w:rPr>
              <w:t> </w:t>
            </w:r>
            <w:r>
              <w:rPr>
                <w:sz w:val="18"/>
              </w:rPr>
              <w:t>correlated.</w:t>
            </w:r>
          </w:p>
          <w:p>
            <w:pPr>
              <w:pStyle w:val="TableParagraph"/>
              <w:numPr>
                <w:ilvl w:val="0"/>
                <w:numId w:val="202"/>
              </w:numPr>
              <w:tabs>
                <w:tab w:pos="468" w:val="left" w:leader="none"/>
                <w:tab w:pos="469" w:val="left" w:leader="none"/>
              </w:tabs>
              <w:spacing w:line="240" w:lineRule="auto" w:before="96" w:after="0"/>
              <w:ind w:left="468" w:right="0" w:hanging="360"/>
              <w:jc w:val="left"/>
              <w:rPr>
                <w:sz w:val="18"/>
              </w:rPr>
            </w:pPr>
            <w:r>
              <w:rPr>
                <w:sz w:val="18"/>
              </w:rPr>
              <w:t>Should not be done for long</w:t>
            </w:r>
            <w:r>
              <w:rPr>
                <w:spacing w:val="-8"/>
                <w:sz w:val="18"/>
              </w:rPr>
              <w:t> </w:t>
            </w:r>
            <w:r>
              <w:rPr>
                <w:sz w:val="18"/>
              </w:rPr>
              <w:t>periods.</w:t>
            </w:r>
          </w:p>
        </w:tc>
      </w:tr>
    </w:tbl>
    <w:p>
      <w:pPr>
        <w:pStyle w:val="BodyText"/>
      </w:pPr>
    </w:p>
    <w:p>
      <w:pPr>
        <w:pStyle w:val="BodyText"/>
        <w:spacing w:before="6"/>
        <w:rPr>
          <w:sz w:val="18"/>
        </w:rPr>
      </w:pPr>
      <w:r>
        <w:rPr/>
        <w:pict>
          <v:line style="position:absolute;mso-position-horizontal-relative:page;mso-position-vertical-relative:paragraph;z-index:30392;mso-wrap-distance-left:0;mso-wrap-distance-right:0" from="70.960999pt,12.860976pt" to="214.960999pt,12.860976pt" stroked="true" strokeweight=".48pt" strokecolor="#000000">
            <v:stroke dashstyle="solid"/>
            <w10:wrap type="topAndBottom"/>
          </v:line>
        </w:pict>
      </w:r>
    </w:p>
    <w:p>
      <w:pPr>
        <w:spacing w:before="153"/>
        <w:ind w:left="179" w:right="0" w:firstLine="0"/>
        <w:jc w:val="both"/>
        <w:rPr>
          <w:sz w:val="18"/>
        </w:rPr>
      </w:pPr>
      <w:r>
        <w:rPr>
          <w:position w:val="8"/>
          <w:sz w:val="12"/>
        </w:rPr>
        <w:t>23 </w:t>
      </w:r>
      <w:r>
        <w:rPr>
          <w:sz w:val="18"/>
        </w:rPr>
        <w:t>In some circumstances data collections may be reduced which can also lead to a change or refinement in method.</w:t>
      </w:r>
    </w:p>
    <w:p>
      <w:pPr>
        <w:spacing w:after="0"/>
        <w:jc w:val="both"/>
        <w:rPr>
          <w:sz w:val="18"/>
        </w:rPr>
        <w:sectPr>
          <w:headerReference w:type="even" r:id="rId430"/>
          <w:headerReference w:type="default" r:id="rId431"/>
          <w:pgSz w:w="11900" w:h="16840"/>
          <w:pgMar w:header="230" w:footer="408" w:top="560" w:bottom="600" w:left="1240" w:right="0"/>
        </w:sectPr>
      </w:pPr>
    </w:p>
    <w:p>
      <w:pPr>
        <w:pStyle w:val="BodyText"/>
      </w:pPr>
    </w:p>
    <w:p>
      <w:pPr>
        <w:pStyle w:val="BodyText"/>
        <w:spacing w:before="2"/>
        <w:rPr>
          <w:sz w:val="18"/>
        </w:rPr>
      </w:pPr>
    </w:p>
    <w:p>
      <w:pPr>
        <w:pStyle w:val="BodyText"/>
        <w:ind w:left="179" w:right="1403"/>
        <w:jc w:val="both"/>
      </w:pPr>
      <w:r>
        <w:rPr/>
        <w:t>It is not feasible to list all possible issues that may arise when recalculating or to provide detailed recommendations about the appropriate recalculation technique in all instances. Each case should be treated on its merits and the recalculation methodology chosen should be based on a trade off between the cost to implement it and the overall impact on the time series</w:t>
      </w:r>
      <w:r>
        <w:rPr>
          <w:spacing w:val="-3"/>
        </w:rPr>
        <w:t> </w:t>
      </w:r>
      <w:r>
        <w:rPr/>
        <w:t>consistency.</w:t>
      </w:r>
    </w:p>
    <w:p>
      <w:pPr>
        <w:pStyle w:val="BodyText"/>
        <w:spacing w:before="122"/>
        <w:ind w:left="179" w:right="1407"/>
        <w:jc w:val="both"/>
      </w:pPr>
      <w:r>
        <w:rPr/>
        <w:t>Over several years of inventory preparation, a variety of methodological changes may occur. In simple cases (e.g., when moving between tiers), sampling or experimentation may provide country-specific emission factors. In this case, it is </w:t>
      </w:r>
      <w:r>
        <w:rPr>
          <w:i/>
        </w:rPr>
        <w:t>good practice </w:t>
      </w:r>
      <w:r>
        <w:rPr/>
        <w:t>to recalculate the time series incorporating these new emission factors, with the available activity data. More complicated situations can also arise. For example:</w:t>
      </w:r>
    </w:p>
    <w:p>
      <w:pPr>
        <w:pStyle w:val="ListParagraph"/>
        <w:numPr>
          <w:ilvl w:val="1"/>
          <w:numId w:val="181"/>
        </w:numPr>
        <w:tabs>
          <w:tab w:pos="540" w:val="left" w:leader="none"/>
        </w:tabs>
        <w:spacing w:line="235" w:lineRule="auto" w:before="137" w:after="0"/>
        <w:ind w:left="539" w:right="1405" w:hanging="360"/>
        <w:jc w:val="both"/>
        <w:rPr>
          <w:sz w:val="20"/>
        </w:rPr>
      </w:pPr>
      <w:r>
        <w:rPr>
          <w:sz w:val="20"/>
        </w:rPr>
        <w:t>The instruments used to collect activity data may change through time, and it is impossible to go back in time to apply the new instrument. For example, clearing events can be estimated by the use of satellite imagery, but the satellites available for this work change or degrade through time. In this case, the overlap method is most</w:t>
      </w:r>
      <w:r>
        <w:rPr>
          <w:spacing w:val="2"/>
          <w:sz w:val="20"/>
        </w:rPr>
        <w:t> </w:t>
      </w:r>
      <w:r>
        <w:rPr>
          <w:sz w:val="20"/>
        </w:rPr>
        <w:t>applicable.</w:t>
      </w:r>
    </w:p>
    <w:p>
      <w:pPr>
        <w:pStyle w:val="ListParagraph"/>
        <w:numPr>
          <w:ilvl w:val="1"/>
          <w:numId w:val="181"/>
        </w:numPr>
        <w:tabs>
          <w:tab w:pos="540" w:val="left" w:leader="none"/>
        </w:tabs>
        <w:spacing w:line="223" w:lineRule="auto" w:before="144" w:after="0"/>
        <w:ind w:left="539" w:right="1405" w:hanging="360"/>
        <w:jc w:val="both"/>
        <w:rPr>
          <w:sz w:val="20"/>
        </w:rPr>
      </w:pPr>
      <w:r>
        <w:rPr>
          <w:spacing w:val="-4"/>
          <w:sz w:val="20"/>
        </w:rPr>
        <w:t>Some </w:t>
      </w:r>
      <w:r>
        <w:rPr>
          <w:spacing w:val="-3"/>
          <w:sz w:val="20"/>
        </w:rPr>
        <w:t>data </w:t>
      </w:r>
      <w:r>
        <w:rPr>
          <w:spacing w:val="-4"/>
          <w:sz w:val="20"/>
        </w:rPr>
        <w:t>sources </w:t>
      </w:r>
      <w:r>
        <w:rPr>
          <w:spacing w:val="-3"/>
          <w:sz w:val="20"/>
        </w:rPr>
        <w:t>may </w:t>
      </w:r>
      <w:r>
        <w:rPr>
          <w:spacing w:val="-4"/>
          <w:sz w:val="20"/>
        </w:rPr>
        <w:t>not </w:t>
      </w:r>
      <w:r>
        <w:rPr>
          <w:sz w:val="20"/>
        </w:rPr>
        <w:t>be </w:t>
      </w:r>
      <w:r>
        <w:rPr>
          <w:spacing w:val="-4"/>
          <w:sz w:val="20"/>
        </w:rPr>
        <w:t>available annually because </w:t>
      </w:r>
      <w:r>
        <w:rPr>
          <w:spacing w:val="-3"/>
          <w:sz w:val="20"/>
        </w:rPr>
        <w:t>of </w:t>
      </w:r>
      <w:r>
        <w:rPr>
          <w:spacing w:val="-4"/>
          <w:sz w:val="20"/>
        </w:rPr>
        <w:t>resource constraints. </w:t>
      </w:r>
      <w:r>
        <w:rPr>
          <w:sz w:val="20"/>
        </w:rPr>
        <w:t>In </w:t>
      </w:r>
      <w:r>
        <w:rPr>
          <w:spacing w:val="-3"/>
          <w:sz w:val="20"/>
        </w:rPr>
        <w:t>this </w:t>
      </w:r>
      <w:r>
        <w:rPr>
          <w:spacing w:val="-4"/>
          <w:sz w:val="20"/>
        </w:rPr>
        <w:t>case, interpolation between</w:t>
      </w:r>
      <w:r>
        <w:rPr>
          <w:spacing w:val="-9"/>
          <w:sz w:val="20"/>
        </w:rPr>
        <w:t> </w:t>
      </w:r>
      <w:r>
        <w:rPr>
          <w:spacing w:val="-3"/>
          <w:sz w:val="20"/>
        </w:rPr>
        <w:t>years</w:t>
      </w:r>
      <w:r>
        <w:rPr>
          <w:spacing w:val="-10"/>
          <w:sz w:val="20"/>
        </w:rPr>
        <w:t> </w:t>
      </w:r>
      <w:r>
        <w:rPr>
          <w:sz w:val="20"/>
        </w:rPr>
        <w:t>or</w:t>
      </w:r>
      <w:r>
        <w:rPr>
          <w:spacing w:val="-9"/>
          <w:sz w:val="20"/>
        </w:rPr>
        <w:t> </w:t>
      </w:r>
      <w:r>
        <w:rPr>
          <w:spacing w:val="-4"/>
          <w:sz w:val="20"/>
        </w:rPr>
        <w:t>extrapolation</w:t>
      </w:r>
      <w:r>
        <w:rPr>
          <w:spacing w:val="-8"/>
          <w:sz w:val="20"/>
        </w:rPr>
        <w:t> </w:t>
      </w:r>
      <w:r>
        <w:rPr>
          <w:spacing w:val="-3"/>
          <w:sz w:val="20"/>
        </w:rPr>
        <w:t>for</w:t>
      </w:r>
      <w:r>
        <w:rPr>
          <w:spacing w:val="-8"/>
          <w:sz w:val="20"/>
        </w:rPr>
        <w:t> </w:t>
      </w:r>
      <w:r>
        <w:rPr>
          <w:spacing w:val="-4"/>
          <w:sz w:val="20"/>
        </w:rPr>
        <w:t>years</w:t>
      </w:r>
      <w:r>
        <w:rPr>
          <w:spacing w:val="-10"/>
          <w:sz w:val="20"/>
        </w:rPr>
        <w:t> </w:t>
      </w:r>
      <w:r>
        <w:rPr>
          <w:spacing w:val="-4"/>
          <w:sz w:val="20"/>
        </w:rPr>
        <w:t>after</w:t>
      </w:r>
      <w:r>
        <w:rPr>
          <w:spacing w:val="-7"/>
          <w:sz w:val="20"/>
        </w:rPr>
        <w:t> </w:t>
      </w:r>
      <w:r>
        <w:rPr>
          <w:spacing w:val="-3"/>
          <w:sz w:val="20"/>
        </w:rPr>
        <w:t>the</w:t>
      </w:r>
      <w:r>
        <w:rPr>
          <w:spacing w:val="-7"/>
          <w:sz w:val="20"/>
        </w:rPr>
        <w:t> </w:t>
      </w:r>
      <w:r>
        <w:rPr>
          <w:spacing w:val="-3"/>
          <w:sz w:val="20"/>
        </w:rPr>
        <w:t>last</w:t>
      </w:r>
      <w:r>
        <w:rPr>
          <w:spacing w:val="-5"/>
          <w:sz w:val="20"/>
        </w:rPr>
        <w:t> </w:t>
      </w:r>
      <w:r>
        <w:rPr>
          <w:spacing w:val="-4"/>
          <w:sz w:val="20"/>
        </w:rPr>
        <w:t>year</w:t>
      </w:r>
      <w:r>
        <w:rPr>
          <w:spacing w:val="-5"/>
          <w:sz w:val="20"/>
        </w:rPr>
        <w:t> </w:t>
      </w:r>
      <w:r>
        <w:rPr>
          <w:spacing w:val="-4"/>
          <w:sz w:val="20"/>
        </w:rPr>
        <w:t>with</w:t>
      </w:r>
      <w:r>
        <w:rPr>
          <w:spacing w:val="-8"/>
          <w:sz w:val="20"/>
        </w:rPr>
        <w:t> </w:t>
      </w:r>
      <w:r>
        <w:rPr>
          <w:spacing w:val="-4"/>
          <w:sz w:val="20"/>
        </w:rPr>
        <w:t>measured</w:t>
      </w:r>
      <w:r>
        <w:rPr>
          <w:spacing w:val="-8"/>
          <w:sz w:val="20"/>
        </w:rPr>
        <w:t> </w:t>
      </w:r>
      <w:r>
        <w:rPr>
          <w:spacing w:val="-3"/>
          <w:sz w:val="20"/>
        </w:rPr>
        <w:t>data</w:t>
      </w:r>
      <w:r>
        <w:rPr>
          <w:spacing w:val="-7"/>
          <w:sz w:val="20"/>
        </w:rPr>
        <w:t> </w:t>
      </w:r>
      <w:r>
        <w:rPr>
          <w:spacing w:val="-4"/>
          <w:sz w:val="20"/>
        </w:rPr>
        <w:t>available</w:t>
      </w:r>
      <w:r>
        <w:rPr>
          <w:spacing w:val="-5"/>
          <w:sz w:val="20"/>
        </w:rPr>
        <w:t> </w:t>
      </w:r>
      <w:r>
        <w:rPr>
          <w:spacing w:val="-3"/>
          <w:sz w:val="20"/>
        </w:rPr>
        <w:t>may</w:t>
      </w:r>
      <w:r>
        <w:rPr>
          <w:spacing w:val="-12"/>
          <w:sz w:val="20"/>
        </w:rPr>
        <w:t> </w:t>
      </w:r>
      <w:r>
        <w:rPr>
          <w:sz w:val="20"/>
        </w:rPr>
        <w:t>be</w:t>
      </w:r>
      <w:r>
        <w:rPr>
          <w:spacing w:val="-4"/>
          <w:sz w:val="20"/>
        </w:rPr>
        <w:t> most</w:t>
      </w:r>
      <w:r>
        <w:rPr>
          <w:spacing w:val="-10"/>
          <w:sz w:val="20"/>
        </w:rPr>
        <w:t> </w:t>
      </w:r>
      <w:r>
        <w:rPr>
          <w:spacing w:val="-5"/>
          <w:sz w:val="20"/>
        </w:rPr>
        <w:t>appropriate.</w:t>
      </w:r>
    </w:p>
    <w:p>
      <w:pPr>
        <w:pStyle w:val="ListParagraph"/>
        <w:numPr>
          <w:ilvl w:val="1"/>
          <w:numId w:val="181"/>
        </w:numPr>
        <w:tabs>
          <w:tab w:pos="540" w:val="left" w:leader="none"/>
        </w:tabs>
        <w:spacing w:line="232" w:lineRule="auto" w:before="144" w:after="0"/>
        <w:ind w:left="539" w:right="1405" w:hanging="360"/>
        <w:jc w:val="both"/>
        <w:rPr>
          <w:sz w:val="20"/>
        </w:rPr>
      </w:pPr>
      <w:r>
        <w:rPr>
          <w:sz w:val="20"/>
        </w:rPr>
        <w:t>Emissions and removals from LULUCF typically depend on past land use activity. Thus, data must cover a large historical period (20-100 years), and the quality of such data will often vary through time. Overlap, interpolation or extrapolation techniques may be necessary in this</w:t>
      </w:r>
      <w:r>
        <w:rPr>
          <w:spacing w:val="-8"/>
          <w:sz w:val="20"/>
        </w:rPr>
        <w:t> </w:t>
      </w:r>
      <w:r>
        <w:rPr>
          <w:sz w:val="20"/>
        </w:rPr>
        <w:t>case.</w:t>
      </w:r>
    </w:p>
    <w:p>
      <w:pPr>
        <w:pStyle w:val="ListParagraph"/>
        <w:numPr>
          <w:ilvl w:val="1"/>
          <w:numId w:val="181"/>
        </w:numPr>
        <w:tabs>
          <w:tab w:pos="540" w:val="left" w:leader="none"/>
        </w:tabs>
        <w:spacing w:line="237" w:lineRule="auto" w:before="134" w:after="0"/>
        <w:ind w:left="539" w:right="1404" w:hanging="360"/>
        <w:jc w:val="both"/>
        <w:rPr>
          <w:sz w:val="20"/>
        </w:rPr>
      </w:pPr>
      <w:r>
        <w:rPr>
          <w:sz w:val="20"/>
        </w:rPr>
        <w:t>The calculation of emission factors will typically require a combination of sampling and modelling work. Time series consistency must apply to the modelling work as well. Models can be viewed as a way of transforming input data to produce output results. In most cases where changes are made to the data inputs or mathematical relationships in a model, the entire time series of estimates should be recalculated (see Table 5.6.1). In circumstances where this is not feasible due to available data, variations of the overlap method could be</w:t>
      </w:r>
      <w:r>
        <w:rPr>
          <w:spacing w:val="2"/>
          <w:sz w:val="20"/>
        </w:rPr>
        <w:t> </w:t>
      </w:r>
      <w:r>
        <w:rPr>
          <w:sz w:val="20"/>
        </w:rPr>
        <w:t>applied.</w:t>
      </w:r>
    </w:p>
    <w:p>
      <w:pPr>
        <w:pStyle w:val="BodyText"/>
        <w:rPr>
          <w:sz w:val="22"/>
        </w:rPr>
      </w:pPr>
    </w:p>
    <w:p>
      <w:pPr>
        <w:pStyle w:val="BodyText"/>
        <w:spacing w:before="10"/>
        <w:rPr>
          <w:sz w:val="19"/>
        </w:rPr>
      </w:pPr>
    </w:p>
    <w:p>
      <w:pPr>
        <w:pStyle w:val="Heading2"/>
        <w:numPr>
          <w:ilvl w:val="2"/>
          <w:numId w:val="197"/>
        </w:numPr>
        <w:tabs>
          <w:tab w:pos="1382" w:val="left" w:leader="none"/>
        </w:tabs>
        <w:spacing w:line="240" w:lineRule="auto" w:before="0" w:after="0"/>
        <w:ind w:left="1381" w:right="0" w:hanging="1202"/>
        <w:jc w:val="both"/>
      </w:pPr>
      <w:bookmarkStart w:name="_TOC_250010" w:id="45"/>
      <w:r>
        <w:rPr>
          <w:spacing w:val="8"/>
        </w:rPr>
        <w:t>Recalculation and Periodic</w:t>
      </w:r>
      <w:r>
        <w:rPr>
          <w:spacing w:val="40"/>
        </w:rPr>
        <w:t> </w:t>
      </w:r>
      <w:bookmarkEnd w:id="45"/>
      <w:r>
        <w:rPr>
          <w:spacing w:val="9"/>
        </w:rPr>
        <w:t>Data</w:t>
      </w:r>
    </w:p>
    <w:p>
      <w:pPr>
        <w:pStyle w:val="BodyText"/>
        <w:spacing w:before="116"/>
        <w:ind w:left="179" w:right="1404"/>
        <w:jc w:val="both"/>
      </w:pPr>
      <w:r>
        <w:rPr/>
        <w:t>National resource or environmental inventories, such as national forest inventories, only in rare cases cover the entire country on an annual basis. Instead, they are generally carried out every fifth or tenth year, or region-by- region, implying that national level estimates can only be directly obtained once the inventory in every region has been</w:t>
      </w:r>
      <w:r>
        <w:rPr>
          <w:spacing w:val="-3"/>
        </w:rPr>
        <w:t> </w:t>
      </w:r>
      <w:r>
        <w:rPr/>
        <w:t>completed.</w:t>
      </w:r>
    </w:p>
    <w:p>
      <w:pPr>
        <w:pStyle w:val="BodyText"/>
        <w:spacing w:before="119"/>
        <w:ind w:left="179" w:right="1402"/>
        <w:jc w:val="both"/>
      </w:pPr>
      <w:r>
        <w:rPr/>
        <w:t>When data are available at a frequency that is less than annual, several issues arise. First, the estimates need to be updated each time new data become available, and the years between the available data need to be recalculated  in some way. The second issue is producing inventories for years after the last available data point and before new data are available. In this case, new estimates should be extrapolated based on available data, and then recalculated when new data become</w:t>
      </w:r>
      <w:r>
        <w:rPr>
          <w:spacing w:val="-4"/>
        </w:rPr>
        <w:t> </w:t>
      </w:r>
      <w:r>
        <w:rPr/>
        <w:t>available.</w:t>
      </w:r>
    </w:p>
    <w:p>
      <w:pPr>
        <w:pStyle w:val="BodyText"/>
        <w:spacing w:before="120"/>
        <w:ind w:left="179" w:right="1355"/>
        <w:jc w:val="both"/>
      </w:pPr>
      <w:r>
        <w:rPr/>
        <w:pict>
          <v:group style="position:absolute;margin-left:92.200996pt;margin-top:104.377831pt;width:411.15pt;height:150.15pt;mso-position-horizontal-relative:page;mso-position-vertical-relative:paragraph;z-index:30440;mso-wrap-distance-left:0;mso-wrap-distance-right:0" coordorigin="1844,2088" coordsize="8223,3003">
            <v:line style="position:absolute" from="1873,2102" to="10038,2102" stroked="true" strokeweight="1.44pt" strokecolor="#000000">
              <v:stroke dashstyle="solid"/>
            </v:line>
            <v:line style="position:absolute" from="1858,2088" to="1858,5090" stroked="true" strokeweight="1.44pt" strokecolor="#000000">
              <v:stroke dashstyle="solid"/>
            </v:line>
            <v:line style="position:absolute" from="10052,2088" to="10052,5090" stroked="true" strokeweight="1.44pt" strokecolor="#000000">
              <v:stroke dashstyle="solid"/>
            </v:line>
            <v:shape style="position:absolute;left:1844;top:2087;width:8223;height:3003" type="#_x0000_t202" filled="false" stroked="false">
              <v:textbox inset="0,0,0,0">
                <w:txbxContent>
                  <w:p>
                    <w:pPr>
                      <w:spacing w:line="207" w:lineRule="exact" w:before="50"/>
                      <w:ind w:left="3728" w:right="3729" w:firstLine="0"/>
                      <w:jc w:val="center"/>
                      <w:rPr>
                        <w:b/>
                        <w:sz w:val="18"/>
                      </w:rPr>
                    </w:pPr>
                    <w:r>
                      <w:rPr>
                        <w:b/>
                        <w:sz w:val="18"/>
                      </w:rPr>
                      <w:t>B</w:t>
                    </w:r>
                    <w:r>
                      <w:rPr>
                        <w:b/>
                        <w:sz w:val="14"/>
                      </w:rPr>
                      <w:t>OX </w:t>
                    </w:r>
                    <w:r>
                      <w:rPr>
                        <w:b/>
                        <w:sz w:val="18"/>
                      </w:rPr>
                      <w:t>5.6.1</w:t>
                    </w:r>
                  </w:p>
                  <w:p>
                    <w:pPr>
                      <w:spacing w:line="207" w:lineRule="exact" w:before="0"/>
                      <w:ind w:left="919" w:right="0" w:firstLine="0"/>
                      <w:jc w:val="left"/>
                      <w:rPr>
                        <w:b/>
                        <w:sz w:val="14"/>
                      </w:rPr>
                    </w:pPr>
                    <w:r>
                      <w:rPr>
                        <w:b/>
                        <w:sz w:val="18"/>
                      </w:rPr>
                      <w:t>E</w:t>
                    </w:r>
                    <w:r>
                      <w:rPr>
                        <w:b/>
                        <w:sz w:val="14"/>
                      </w:rPr>
                      <w:t>XAMPLE CASE WHERE A NATIONAL FOREST INVENTORY IS CONDUCTED EVERY </w:t>
                    </w:r>
                    <w:r>
                      <w:rPr>
                        <w:b/>
                        <w:sz w:val="18"/>
                      </w:rPr>
                      <w:t>5 </w:t>
                    </w:r>
                    <w:r>
                      <w:rPr>
                        <w:b/>
                        <w:sz w:val="14"/>
                      </w:rPr>
                      <w:t>YEARS</w:t>
                    </w:r>
                  </w:p>
                  <w:p>
                    <w:pPr>
                      <w:spacing w:before="113"/>
                      <w:ind w:left="136" w:right="131" w:firstLine="0"/>
                      <w:jc w:val="both"/>
                      <w:rPr>
                        <w:sz w:val="20"/>
                      </w:rPr>
                    </w:pPr>
                    <w:r>
                      <w:rPr>
                        <w:sz w:val="20"/>
                      </w:rPr>
                      <w:t>Consider a case where a national forest inventory is conducted every 5 years. Estimates of several types of required data (e.g., tree growth) will therefore only be obtained at certain intervals. On the assumption that growth is on average reasonably stable between years, inventory estimates for the years after the last available data should be made using extrapolations of past estimates (i.e., tree growth trends). In Figure 5.6.1, a biomass estimate for 2003 for a plot is obtained in this way, although the latest measurement was made in 2000. The trend between 1995 and 2000 is simply extrapolated linearly. In practice, a log scale might be used to accommodate exponential behaviour but this is not considered for this simple example. Also, extrapolation can be improved using surrogate data or more sophisticated modelling taking into account parameters influencing the parameter we want to extrapolate.</w:t>
                    </w:r>
                  </w:p>
                </w:txbxContent>
              </v:textbox>
              <w10:wrap type="none"/>
            </v:shape>
            <w10:wrap type="topAndBottom"/>
          </v:group>
        </w:pict>
      </w:r>
      <w:r>
        <w:rPr/>
        <w:t>The choice of method to achieve time series consistency will depend on the particular data available. If surrogate data (i.e., alternative datasets that can be used as a proxy for missing data) are available, they can be a useful guide for extrapolating the trend in periodic data and subsequently interpolating the same data following the next data collection cycle. If there are no available surrogates or other information, then the only technique available  is to extrapolate, with a recalculated interpolation of the estimates when the new observations are available. Thus, it is </w:t>
      </w:r>
      <w:r>
        <w:rPr>
          <w:i/>
        </w:rPr>
        <w:t>good practice </w:t>
      </w:r>
      <w:r>
        <w:rPr/>
        <w:t>to attempt to find reliable surrogate data to guide extrapolation and interpolation when the fundamental data used for the inventory estimates are not available annually. Two examples of practical approaches are given in Box 5.6.1 and Box</w:t>
      </w:r>
      <w:r>
        <w:rPr>
          <w:spacing w:val="-4"/>
        </w:rPr>
        <w:t> </w:t>
      </w:r>
      <w:r>
        <w:rPr/>
        <w:t>5.6.2.</w:t>
      </w:r>
    </w:p>
    <w:p>
      <w:pPr>
        <w:spacing w:after="0"/>
        <w:jc w:val="both"/>
        <w:sectPr>
          <w:pgSz w:w="11900" w:h="16840"/>
          <w:pgMar w:header="230" w:footer="408" w:top="560" w:bottom="600" w:left="1240" w:right="0"/>
        </w:sectPr>
      </w:pPr>
    </w:p>
    <w:p>
      <w:pPr>
        <w:pStyle w:val="BodyText"/>
      </w:pPr>
      <w:r>
        <w:rPr/>
        <w:pict>
          <v:line style="position:absolute;mso-position-horizontal-relative:page;mso-position-vertical-relative:page;z-index:-2423416" from="193.960999pt,179.520004pt" to="411.040999pt,179.520004pt" stroked="true" strokeweight=".12pt" strokecolor="#969696">
            <v:stroke dashstyle="solid"/>
            <w10:wrap type="none"/>
          </v:line>
        </w:pict>
      </w:r>
      <w:r>
        <w:rPr/>
        <w:pict>
          <v:rect style="position:absolute;margin-left:215.320999pt;margin-top:187.679993pt;width:6.6pt;height:.96pt;mso-position-horizontal-relative:page;mso-position-vertical-relative:page;z-index:-2423368" filled="true" fillcolor="#4b4b4b" stroked="false">
            <v:fill type="solid"/>
            <w10:wrap type="none"/>
          </v:rect>
        </w:pict>
      </w:r>
      <w:r>
        <w:rPr/>
        <w:pict>
          <v:rect style="position:absolute;margin-left:225.761002pt;margin-top:187.679993pt;width:6.72pt;height:.96pt;mso-position-horizontal-relative:page;mso-position-vertical-relative:page;z-index:-2423344" filled="true" fillcolor="#4b4b4b" stroked="false">
            <v:fill type="solid"/>
            <w10:wrap type="none"/>
          </v:rect>
        </w:pict>
      </w:r>
      <w:r>
        <w:rPr/>
        <w:pict>
          <v:rect style="position:absolute;margin-left:236.320999pt;margin-top:187.679993pt;width:6.72pt;height:.96pt;mso-position-horizontal-relative:page;mso-position-vertical-relative:page;z-index:-2423320" filled="true" fillcolor="#4b4b4b" stroked="false">
            <v:fill type="solid"/>
            <w10:wrap type="none"/>
          </v:rect>
        </w:pict>
      </w:r>
    </w:p>
    <w:p>
      <w:pPr>
        <w:pStyle w:val="BodyText"/>
        <w:spacing w:before="5"/>
        <w:rPr>
          <w:sz w:val="17"/>
        </w:rPr>
      </w:pPr>
    </w:p>
    <w:p>
      <w:pPr>
        <w:pStyle w:val="BodyText"/>
        <w:ind w:left="584"/>
      </w:pPr>
      <w:r>
        <w:rPr/>
        <w:pict>
          <v:group style="width:413.05pt;height:308.3pt;mso-position-horizontal-relative:char;mso-position-vertical-relative:line" coordorigin="0,0" coordsize="8261,6166">
            <v:line style="position:absolute" from="14,0" to="14,209" stroked="true" strokeweight="1.44pt" strokecolor="#000000">
              <v:stroke dashstyle="solid"/>
            </v:line>
            <v:line style="position:absolute" from="14,209" to="14,535" stroked="true" strokeweight="1.44pt" strokecolor="#000000">
              <v:stroke dashstyle="solid"/>
            </v:line>
            <v:line style="position:absolute" from="14,535" to="14,766" stroked="true" strokeweight="1.44pt" strokecolor="#000000">
              <v:stroke dashstyle="solid"/>
            </v:line>
            <v:line style="position:absolute" from="14,766" to="14,996" stroked="true" strokeweight="1.44pt" strokecolor="#000000">
              <v:stroke dashstyle="solid"/>
            </v:line>
            <v:line style="position:absolute" from="14,996" to="14,1224" stroked="true" strokeweight="1.44pt" strokecolor="#000000">
              <v:stroke dashstyle="solid"/>
            </v:line>
            <v:line style="position:absolute" from="14,1224" to="14,1454" stroked="true" strokeweight="1.44pt" strokecolor="#000000">
              <v:stroke dashstyle="solid"/>
            </v:line>
            <v:line style="position:absolute" from="14,1454" to="14,1805" stroked="true" strokeweight="1.44pt" strokecolor="#000000">
              <v:stroke dashstyle="solid"/>
            </v:line>
            <v:line style="position:absolute" from="14,1805" to="14,2011" stroked="true" strokeweight="1.44pt" strokecolor="#000000">
              <v:stroke dashstyle="solid"/>
            </v:line>
            <v:line style="position:absolute" from="14,2011" to="14,2340" stroked="true" strokeweight="1.44pt" strokecolor="#000000">
              <v:stroke dashstyle="solid"/>
            </v:line>
            <v:line style="position:absolute" from="29,6151" to="8232,6151" stroked="true" strokeweight="1.44pt" strokecolor="#000000">
              <v:stroke dashstyle="solid"/>
            </v:line>
            <v:line style="position:absolute" from="14,2340" to="14,6166" stroked="true" strokeweight="1.44pt" strokecolor="#000000">
              <v:stroke dashstyle="solid"/>
            </v:line>
            <v:line style="position:absolute" from="8246,0" to="8246,209" stroked="true" strokeweight="1.44pt" strokecolor="#000000">
              <v:stroke dashstyle="solid"/>
            </v:line>
            <v:line style="position:absolute" from="8246,209" to="8246,535" stroked="true" strokeweight="1.44pt" strokecolor="#000000">
              <v:stroke dashstyle="solid"/>
            </v:line>
            <v:line style="position:absolute" from="8246,535" to="8246,766" stroked="true" strokeweight="1.44pt" strokecolor="#000000">
              <v:stroke dashstyle="solid"/>
            </v:line>
            <v:line style="position:absolute" from="8246,766" to="8246,996" stroked="true" strokeweight="1.44pt" strokecolor="#000000">
              <v:stroke dashstyle="solid"/>
            </v:line>
            <v:line style="position:absolute" from="8246,996" to="8246,1224" stroked="true" strokeweight="1.44pt" strokecolor="#000000">
              <v:stroke dashstyle="solid"/>
            </v:line>
            <v:line style="position:absolute" from="8246,1224" to="8246,1454" stroked="true" strokeweight="1.44pt" strokecolor="#000000">
              <v:stroke dashstyle="solid"/>
            </v:line>
            <v:line style="position:absolute" from="8246,1454" to="8246,1805" stroked="true" strokeweight="1.44pt" strokecolor="#000000">
              <v:stroke dashstyle="solid"/>
            </v:line>
            <v:line style="position:absolute" from="8246,1805" to="8246,2011" stroked="true" strokeweight="1.44pt" strokecolor="#000000">
              <v:stroke dashstyle="solid"/>
            </v:line>
            <v:line style="position:absolute" from="8246,2011" to="8246,2340" stroked="true" strokeweight="1.44pt" strokecolor="#000000">
              <v:stroke dashstyle="solid"/>
            </v:line>
            <v:line style="position:absolute" from="8246,2340" to="8246,6166" stroked="true" strokeweight="1.44pt" strokecolor="#000000">
              <v:stroke dashstyle="solid"/>
            </v:line>
            <v:shape style="position:absolute;left:156;top:7;width:7972;height:2211" type="#_x0000_t202" filled="false" stroked="false">
              <v:textbox inset="0,0,0,0">
                <w:txbxContent>
                  <w:p>
                    <w:pPr>
                      <w:spacing w:line="199" w:lineRule="exact" w:before="0"/>
                      <w:ind w:left="1295" w:right="1316" w:firstLine="0"/>
                      <w:jc w:val="center"/>
                      <w:rPr>
                        <w:b/>
                        <w:sz w:val="18"/>
                      </w:rPr>
                    </w:pPr>
                    <w:r>
                      <w:rPr>
                        <w:b/>
                        <w:sz w:val="18"/>
                      </w:rPr>
                      <w:t>B</w:t>
                    </w:r>
                    <w:r>
                      <w:rPr>
                        <w:b/>
                        <w:sz w:val="14"/>
                      </w:rPr>
                      <w:t>OX </w:t>
                    </w:r>
                    <w:r>
                      <w:rPr>
                        <w:b/>
                        <w:sz w:val="18"/>
                      </w:rPr>
                      <w:t>5.6.1</w:t>
                    </w:r>
                    <w:r>
                      <w:rPr>
                        <w:b/>
                        <w:spacing w:val="-9"/>
                        <w:sz w:val="18"/>
                      </w:rPr>
                      <w:t> </w:t>
                    </w:r>
                    <w:r>
                      <w:rPr>
                        <w:b/>
                        <w:sz w:val="18"/>
                      </w:rPr>
                      <w:t>(C</w:t>
                    </w:r>
                    <w:r>
                      <w:rPr>
                        <w:b/>
                        <w:sz w:val="14"/>
                      </w:rPr>
                      <w:t>ONTINUED</w:t>
                    </w:r>
                    <w:r>
                      <w:rPr>
                        <w:b/>
                        <w:sz w:val="18"/>
                      </w:rPr>
                      <w:t>)</w:t>
                    </w:r>
                  </w:p>
                  <w:p>
                    <w:pPr>
                      <w:spacing w:before="2"/>
                      <w:ind w:left="782" w:right="0" w:firstLine="0"/>
                      <w:jc w:val="left"/>
                      <w:rPr>
                        <w:b/>
                        <w:sz w:val="14"/>
                      </w:rPr>
                    </w:pPr>
                    <w:r>
                      <w:rPr>
                        <w:b/>
                        <w:sz w:val="18"/>
                      </w:rPr>
                      <w:t>E</w:t>
                    </w:r>
                    <w:r>
                      <w:rPr>
                        <w:b/>
                        <w:sz w:val="14"/>
                      </w:rPr>
                      <w:t>XAMPLE CASE WHERE A NATIONAL FOREST INVENTORY IS CONDUCTED EVERY </w:t>
                    </w:r>
                    <w:r>
                      <w:rPr>
                        <w:b/>
                        <w:sz w:val="18"/>
                      </w:rPr>
                      <w:t>5 </w:t>
                    </w:r>
                    <w:r>
                      <w:rPr>
                        <w:b/>
                        <w:sz w:val="14"/>
                      </w:rPr>
                      <w:t>YEARS</w:t>
                    </w:r>
                  </w:p>
                  <w:p>
                    <w:pPr>
                      <w:spacing w:before="112"/>
                      <w:ind w:left="0" w:right="18" w:firstLine="0"/>
                      <w:jc w:val="both"/>
                      <w:rPr>
                        <w:sz w:val="20"/>
                      </w:rPr>
                    </w:pPr>
                    <w:r>
                      <w:rPr>
                        <w:sz w:val="20"/>
                      </w:rPr>
                      <w:t>Next, once the new data for 2005 are collected (Figure 5.6.1), the estimates for the intermediate years (2001-2004) need to be recalculated using an appropriate approach (e.g., a combination of interpolation and surrogate approaches). In this example, the estimates for all of these intermediate years (2001-2004) would be recalculated, since the estimate for 2005 turned out to be lower than the extrapolated trend.</w:t>
                    </w:r>
                  </w:p>
                  <w:p>
                    <w:pPr>
                      <w:spacing w:line="207" w:lineRule="exact" w:before="127"/>
                      <w:ind w:left="1295" w:right="1316" w:firstLine="0"/>
                      <w:jc w:val="center"/>
                      <w:rPr>
                        <w:b/>
                        <w:sz w:val="18"/>
                      </w:rPr>
                    </w:pPr>
                    <w:r>
                      <w:rPr>
                        <w:b/>
                        <w:spacing w:val="7"/>
                        <w:sz w:val="18"/>
                      </w:rPr>
                      <w:t>F</w:t>
                    </w:r>
                    <w:r>
                      <w:rPr>
                        <w:b/>
                        <w:spacing w:val="7"/>
                        <w:sz w:val="14"/>
                      </w:rPr>
                      <w:t>IGURE</w:t>
                    </w:r>
                    <w:r>
                      <w:rPr>
                        <w:b/>
                        <w:spacing w:val="20"/>
                        <w:sz w:val="14"/>
                      </w:rPr>
                      <w:t> </w:t>
                    </w:r>
                    <w:r>
                      <w:rPr>
                        <w:b/>
                        <w:spacing w:val="10"/>
                        <w:sz w:val="18"/>
                      </w:rPr>
                      <w:t>5.6.1</w:t>
                    </w:r>
                  </w:p>
                  <w:p>
                    <w:pPr>
                      <w:spacing w:line="207" w:lineRule="exact" w:before="0"/>
                      <w:ind w:left="1295" w:right="1325" w:firstLine="0"/>
                      <w:jc w:val="center"/>
                      <w:rPr>
                        <w:b/>
                        <w:sz w:val="14"/>
                      </w:rPr>
                    </w:pPr>
                    <w:r>
                      <w:rPr>
                        <w:b/>
                        <w:sz w:val="18"/>
                      </w:rPr>
                      <w:t>R</w:t>
                    </w:r>
                    <w:r>
                      <w:rPr>
                        <w:b/>
                        <w:sz w:val="14"/>
                      </w:rPr>
                      <w:t>ECALCULATED ESTIMATE FOR </w:t>
                    </w:r>
                    <w:r>
                      <w:rPr>
                        <w:b/>
                        <w:sz w:val="18"/>
                      </w:rPr>
                      <w:t>2003 </w:t>
                    </w:r>
                    <w:r>
                      <w:rPr>
                        <w:b/>
                        <w:sz w:val="14"/>
                      </w:rPr>
                      <w:t>BASED ON LINEAR EXTRAPOLATION</w:t>
                    </w:r>
                  </w:p>
                </w:txbxContent>
              </v:textbox>
              <w10:wrap type="none"/>
            </v:shape>
            <v:shape style="position:absolute;left:1718;top:2462;width:222;height:797" type="#_x0000_t202" filled="false" stroked="false">
              <v:textbox inset="0,0,0,0">
                <w:txbxContent>
                  <w:p>
                    <w:pPr>
                      <w:spacing w:line="201" w:lineRule="exact" w:before="0"/>
                      <w:ind w:left="0" w:right="0" w:firstLine="0"/>
                      <w:jc w:val="left"/>
                      <w:rPr>
                        <w:rFonts w:ascii="Arial"/>
                        <w:sz w:val="18"/>
                      </w:rPr>
                    </w:pPr>
                    <w:r>
                      <w:rPr>
                        <w:rFonts w:ascii="Arial"/>
                        <w:sz w:val="18"/>
                      </w:rPr>
                      <w:t>65</w:t>
                    </w:r>
                  </w:p>
                  <w:p>
                    <w:pPr>
                      <w:spacing w:line="240" w:lineRule="auto" w:before="0"/>
                      <w:rPr>
                        <w:sz w:val="20"/>
                      </w:rPr>
                    </w:pPr>
                  </w:p>
                  <w:p>
                    <w:pPr>
                      <w:spacing w:before="158"/>
                      <w:ind w:left="0" w:right="0" w:firstLine="0"/>
                      <w:jc w:val="left"/>
                      <w:rPr>
                        <w:rFonts w:ascii="Arial"/>
                        <w:sz w:val="18"/>
                      </w:rPr>
                    </w:pPr>
                    <w:r>
                      <w:rPr>
                        <w:rFonts w:ascii="Arial"/>
                        <w:sz w:val="18"/>
                      </w:rPr>
                      <w:t>60</w:t>
                    </w:r>
                  </w:p>
                </w:txbxContent>
              </v:textbox>
              <w10:wrap type="none"/>
            </v:shape>
            <v:shape style="position:absolute;left:3129;top:2642;width:1779;height:463" type="#_x0000_t202" filled="false" stroked="false">
              <v:textbox inset="0,0,0,0">
                <w:txbxContent>
                  <w:p>
                    <w:pPr>
                      <w:spacing w:line="201" w:lineRule="exact" w:before="0"/>
                      <w:ind w:left="0" w:right="0" w:firstLine="0"/>
                      <w:jc w:val="left"/>
                      <w:rPr>
                        <w:rFonts w:ascii="Arial"/>
                        <w:sz w:val="18"/>
                      </w:rPr>
                    </w:pPr>
                    <w:r>
                      <w:rPr>
                        <w:rFonts w:ascii="Arial"/>
                        <w:sz w:val="18"/>
                      </w:rPr>
                      <w:t>Original</w:t>
                    </w:r>
                    <w:r>
                      <w:rPr>
                        <w:rFonts w:ascii="Arial"/>
                        <w:spacing w:val="-9"/>
                        <w:sz w:val="18"/>
                      </w:rPr>
                      <w:t> </w:t>
                    </w:r>
                    <w:r>
                      <w:rPr>
                        <w:rFonts w:ascii="Arial"/>
                        <w:sz w:val="18"/>
                      </w:rPr>
                      <w:t>Extrapolation</w:t>
                    </w:r>
                  </w:p>
                  <w:p>
                    <w:pPr>
                      <w:spacing w:before="54"/>
                      <w:ind w:left="0" w:right="0" w:firstLine="0"/>
                      <w:jc w:val="left"/>
                      <w:rPr>
                        <w:rFonts w:ascii="Arial"/>
                        <w:sz w:val="18"/>
                      </w:rPr>
                    </w:pPr>
                    <w:r>
                      <w:rPr>
                        <w:rFonts w:ascii="Arial"/>
                        <w:sz w:val="18"/>
                      </w:rPr>
                      <w:t>Actual (Periodic)</w:t>
                    </w:r>
                    <w:r>
                      <w:rPr>
                        <w:rFonts w:ascii="Arial"/>
                        <w:spacing w:val="-3"/>
                        <w:sz w:val="18"/>
                      </w:rPr>
                      <w:t> </w:t>
                    </w:r>
                    <w:r>
                      <w:rPr>
                        <w:rFonts w:ascii="Arial"/>
                        <w:sz w:val="18"/>
                      </w:rPr>
                      <w:t>Data</w:t>
                    </w:r>
                  </w:p>
                </w:txbxContent>
              </v:textbox>
              <w10:wrap type="none"/>
            </v:shape>
            <v:shape style="position:absolute;left:1718;top:3652;width:557;height:2247" type="#_x0000_t202" filled="false" stroked="false">
              <v:textbox inset="0,0,0,0">
                <w:txbxContent>
                  <w:p>
                    <w:pPr>
                      <w:spacing w:line="201" w:lineRule="exact" w:before="0"/>
                      <w:ind w:left="0" w:right="0" w:firstLine="0"/>
                      <w:jc w:val="left"/>
                      <w:rPr>
                        <w:rFonts w:ascii="Arial"/>
                        <w:sz w:val="18"/>
                      </w:rPr>
                    </w:pPr>
                    <w:r>
                      <w:rPr>
                        <w:rFonts w:ascii="Arial"/>
                        <w:sz w:val="18"/>
                      </w:rPr>
                      <w:t>55</w:t>
                    </w:r>
                  </w:p>
                  <w:p>
                    <w:pPr>
                      <w:spacing w:line="240" w:lineRule="auto" w:before="0"/>
                      <w:rPr>
                        <w:sz w:val="20"/>
                      </w:rPr>
                    </w:pPr>
                  </w:p>
                  <w:p>
                    <w:pPr>
                      <w:spacing w:before="158"/>
                      <w:ind w:left="0" w:right="0" w:firstLine="0"/>
                      <w:jc w:val="left"/>
                      <w:rPr>
                        <w:rFonts w:ascii="Arial"/>
                        <w:sz w:val="18"/>
                      </w:rPr>
                    </w:pPr>
                    <w:r>
                      <w:rPr>
                        <w:rFonts w:ascii="Arial"/>
                        <w:sz w:val="18"/>
                      </w:rPr>
                      <w:t>50</w:t>
                    </w:r>
                  </w:p>
                  <w:p>
                    <w:pPr>
                      <w:spacing w:line="240" w:lineRule="auto" w:before="0"/>
                      <w:rPr>
                        <w:sz w:val="20"/>
                      </w:rPr>
                    </w:pPr>
                  </w:p>
                  <w:p>
                    <w:pPr>
                      <w:spacing w:before="158"/>
                      <w:ind w:left="0" w:right="0" w:firstLine="0"/>
                      <w:jc w:val="left"/>
                      <w:rPr>
                        <w:rFonts w:ascii="Arial"/>
                        <w:sz w:val="18"/>
                      </w:rPr>
                    </w:pPr>
                    <w:r>
                      <w:rPr>
                        <w:rFonts w:ascii="Arial"/>
                        <w:sz w:val="18"/>
                      </w:rPr>
                      <w:t>45</w:t>
                    </w:r>
                  </w:p>
                  <w:p>
                    <w:pPr>
                      <w:spacing w:line="240" w:lineRule="auto" w:before="0"/>
                      <w:rPr>
                        <w:sz w:val="20"/>
                      </w:rPr>
                    </w:pPr>
                  </w:p>
                  <w:p>
                    <w:pPr>
                      <w:spacing w:before="158"/>
                      <w:ind w:left="0" w:right="0" w:firstLine="0"/>
                      <w:jc w:val="left"/>
                      <w:rPr>
                        <w:rFonts w:ascii="Arial"/>
                        <w:sz w:val="18"/>
                      </w:rPr>
                    </w:pPr>
                    <w:r>
                      <w:rPr>
                        <w:rFonts w:ascii="Arial"/>
                        <w:sz w:val="18"/>
                      </w:rPr>
                      <w:t>40</w:t>
                    </w:r>
                  </w:p>
                  <w:p>
                    <w:pPr>
                      <w:spacing w:before="53"/>
                      <w:ind w:left="136" w:right="0" w:firstLine="0"/>
                      <w:jc w:val="left"/>
                      <w:rPr>
                        <w:rFonts w:ascii="Arial"/>
                        <w:sz w:val="18"/>
                      </w:rPr>
                    </w:pPr>
                    <w:r>
                      <w:rPr>
                        <w:rFonts w:ascii="Arial"/>
                        <w:sz w:val="18"/>
                      </w:rPr>
                      <w:t>1985</w:t>
                    </w:r>
                  </w:p>
                </w:txbxContent>
              </v:textbox>
              <w10:wrap type="none"/>
            </v:shape>
            <v:shape style="position:absolute;left:2939;top:5697;width:421;height:202" type="#_x0000_t202" filled="false" stroked="false">
              <v:textbox inset="0,0,0,0">
                <w:txbxContent>
                  <w:p>
                    <w:pPr>
                      <w:spacing w:line="201" w:lineRule="exact" w:before="0"/>
                      <w:ind w:left="0" w:right="0" w:firstLine="0"/>
                      <w:jc w:val="left"/>
                      <w:rPr>
                        <w:rFonts w:ascii="Arial"/>
                        <w:sz w:val="18"/>
                      </w:rPr>
                    </w:pPr>
                    <w:r>
                      <w:rPr>
                        <w:rFonts w:ascii="Arial"/>
                        <w:sz w:val="18"/>
                      </w:rPr>
                      <w:t>1990</w:t>
                    </w:r>
                  </w:p>
                </w:txbxContent>
              </v:textbox>
              <w10:wrap type="none"/>
            </v:shape>
            <v:shape style="position:absolute;left:4026;top:5697;width:421;height:202" type="#_x0000_t202" filled="false" stroked="false">
              <v:textbox inset="0,0,0,0">
                <w:txbxContent>
                  <w:p>
                    <w:pPr>
                      <w:spacing w:line="201" w:lineRule="exact" w:before="0"/>
                      <w:ind w:left="0" w:right="0" w:firstLine="0"/>
                      <w:jc w:val="left"/>
                      <w:rPr>
                        <w:rFonts w:ascii="Arial"/>
                        <w:sz w:val="18"/>
                      </w:rPr>
                    </w:pPr>
                    <w:r>
                      <w:rPr>
                        <w:rFonts w:ascii="Arial"/>
                        <w:sz w:val="18"/>
                      </w:rPr>
                      <w:t>1995</w:t>
                    </w:r>
                  </w:p>
                </w:txbxContent>
              </v:textbox>
              <w10:wrap type="none"/>
            </v:shape>
            <v:shape style="position:absolute;left:5111;top:5697;width:421;height:202" type="#_x0000_t202" filled="false" stroked="false">
              <v:textbox inset="0,0,0,0">
                <w:txbxContent>
                  <w:p>
                    <w:pPr>
                      <w:spacing w:line="201" w:lineRule="exact" w:before="0"/>
                      <w:ind w:left="0" w:right="0" w:firstLine="0"/>
                      <w:jc w:val="left"/>
                      <w:rPr>
                        <w:rFonts w:ascii="Arial"/>
                        <w:sz w:val="18"/>
                      </w:rPr>
                    </w:pPr>
                    <w:r>
                      <w:rPr>
                        <w:rFonts w:ascii="Arial"/>
                        <w:sz w:val="18"/>
                      </w:rPr>
                      <w:t>2000</w:t>
                    </w:r>
                  </w:p>
                </w:txbxContent>
              </v:textbox>
              <w10:wrap type="none"/>
            </v:shape>
            <v:shape style="position:absolute;left:6193;top:5697;width:424;height:202" type="#_x0000_t202" filled="false" stroked="false">
              <v:textbox inset="0,0,0,0">
                <w:txbxContent>
                  <w:p>
                    <w:pPr>
                      <w:spacing w:line="201" w:lineRule="exact" w:before="0"/>
                      <w:ind w:left="0" w:right="0" w:firstLine="0"/>
                      <w:jc w:val="left"/>
                      <w:rPr>
                        <w:rFonts w:ascii="Arial"/>
                        <w:sz w:val="18"/>
                      </w:rPr>
                    </w:pPr>
                    <w:r>
                      <w:rPr>
                        <w:rFonts w:ascii="Arial"/>
                        <w:sz w:val="18"/>
                      </w:rPr>
                      <w:t>2005</w:t>
                    </w:r>
                  </w:p>
                </w:txbxContent>
              </v:textbox>
              <w10:wrap type="none"/>
            </v:shape>
          </v:group>
        </w:pict>
      </w:r>
      <w:r>
        <w:rPr/>
      </w:r>
    </w:p>
    <w:p>
      <w:pPr>
        <w:pStyle w:val="BodyText"/>
        <w:spacing w:before="9"/>
        <w:rPr>
          <w:sz w:val="9"/>
        </w:rPr>
      </w:pPr>
    </w:p>
    <w:p>
      <w:pPr>
        <w:spacing w:before="92"/>
        <w:ind w:left="1892" w:right="3123" w:firstLine="0"/>
        <w:jc w:val="center"/>
        <w:rPr>
          <w:b/>
          <w:sz w:val="18"/>
        </w:rPr>
      </w:pPr>
      <w:r>
        <w:rPr/>
        <w:pict>
          <v:group style="position:absolute;margin-left:190.001999pt;margin-top:-173.716354pt;width:224.9pt;height:126.75pt;mso-position-horizontal-relative:page;mso-position-vertical-relative:paragraph;z-index:-2423440" coordorigin="3800,-3474" coordsize="4498,2535">
            <v:line style="position:absolute" from="3879,-1374" to="8221,-1374" stroked="true" strokeweight=".12pt" strokecolor="#969696">
              <v:stroke dashstyle="solid"/>
            </v:line>
            <v:shape style="position:absolute;left:3874;top:-1860;width:1532;height:850" coordorigin="3874,-1859" coordsize="1532,850" path="m4002,-1074l3992,-1091,3874,-1026,3884,-1010,4002,-1074m4189,-1178l4179,-1194,4093,-1146,4062,-1130,4071,-1113,4102,-1130,4189,-1178m4376,-1278l4366,-1295,4309,-1264,4246,-1230,4256,-1214,4318,-1247,4376,-1278m4561,-1382l4551,-1398,4525,-1384,4431,-1334,4441,-1317,4534,-1367,4561,-1382m4746,-1482l4736,-1499,4618,-1434,4628,-1418,4746,-1482m4933,-1586l4923,-1602,4806,-1535,4815,-1518,4933,-1586m5120,-1686l5110,-1703,4990,-1638,5000,-1622,5120,-1686m5305,-1787l5295,-1804,5178,-1739,5187,-1722,5305,-1787m5406,-1842l5396,-1859,5365,-1842,5374,-1826,5406,-1842e" filled="true" fillcolor="#4b4b4b" stroked="false">
              <v:path arrowok="t"/>
              <v:fill type="solid"/>
            </v:shape>
            <v:line style="position:absolute" from="3879,-1970" to="8221,-1970" stroked="true" strokeweight=".12pt" strokecolor="#969696">
              <v:stroke dashstyle="solid"/>
            </v:line>
            <v:shape style="position:absolute;left:5396;top:-2416;width:1028;height:574" coordorigin="5396,-2416" coordsize="1028,574" path="m5490,-1890l5480,-1907,5396,-1859,5406,-1842,5490,-1890m5677,-1994l5667,-2010,5610,-1979,5547,-1946,5557,-1929,5619,-1962,5677,-1994m5864,-2094l5854,-2111,5828,-2097,5734,-2046,5744,-2030,5838,-2080,5864,-2094m6049,-2198l6039,-2214,5922,-2147,5931,-2130,6049,-2198m6236,-2298l6226,-2315,6109,-2250,6118,-2234,6236,-2298m6423,-2399l6414,-2416,6294,-2351,6303,-2334,6423,-2399e" filled="true" fillcolor="#4b4b4b" stroked="false">
              <v:path arrowok="t"/>
              <v:fill type="solid"/>
            </v:shape>
            <v:line style="position:absolute" from="3879,-2562" to="8221,-2562" stroked="true" strokeweight=".12pt" strokecolor="#969696">
              <v:stroke dashstyle="solid"/>
            </v:line>
            <v:shape style="position:absolute;left:6478;top:-3031;width:1059;height:593" coordorigin="6478,-3030" coordsize="1059,593" path="m6606,-2502l6596,-2519,6478,-2454,6488,-2438,6606,-2502m6793,-2603l6783,-2620,6694,-2572,6666,-2555,6675,-2538,6704,-2555,6793,-2603m6980,-2706l6970,-2723,6913,-2692,6850,-2658,6860,-2642,6922,-2675,6980,-2706m7167,-2810l7158,-2826,7131,-2812,7038,-2762,7047,-2745,7141,-2795,7167,-2810m7352,-2910l7342,-2927,7225,-2862,7234,-2846,7352,-2910m7537,-3014l7527,-3030,7412,-2966,7422,-2949,7537,-3014e" filled="true" fillcolor="#4b4b4b" stroked="false">
              <v:path arrowok="t"/>
              <v:fill type="solid"/>
            </v:shape>
            <v:line style="position:absolute" from="3879,-3158" to="8221,-3158" stroked="true" strokeweight=".12pt" strokecolor="#969696">
              <v:stroke dashstyle="solid"/>
            </v:line>
            <v:shape style="position:absolute;left:7594;top:-3405;width:632;height:356" coordorigin="7594,-3405" coordsize="632,356" path="m7724,-3114l7714,-3131,7594,-3066,7604,-3050,7724,-3114m7909,-3215l7899,-3232,7782,-3167,7791,-3150,7909,-3215m8096,-3318l8086,-3335,7998,-3287,7969,-3270,7978,-3254,8007,-3270,8096,-3318m8226,-3388l8216,-3405,8154,-3371,8163,-3354,8226,-3388e" filled="true" fillcolor="#4b4b4b" stroked="false">
              <v:path arrowok="t"/>
              <v:fill type="solid"/>
            </v:shape>
            <v:shape style="position:absolute;left:3879;top:-2920;width:4342;height:1904" coordorigin="3879,-2920" coordsize="4342,1904" path="m3879,-1017l4964,-1612,6051,-2207,7136,-2802,8221,-2920e" filled="false" stroked="true" strokeweight="1.916pt" strokecolor="#0e0e0e">
              <v:path arrowok="t"/>
              <v:stroke dashstyle="solid"/>
            </v:shape>
            <v:rect style="position:absolute;left:8151;top:-3465;width:137;height:137" filled="false" stroked="true" strokeweight=".958pt" strokecolor="#4b4b4b">
              <v:stroke dashstyle="solid"/>
            </v:rect>
            <v:shape style="position:absolute;left:3800;top:-1096;width:156;height:156" type="#_x0000_t75" stroked="false">
              <v:imagedata r:id="rId432" o:title=""/>
            </v:shape>
            <v:shape style="position:absolute;left:4884;top:-1692;width:156;height:156" type="#_x0000_t75" stroked="false">
              <v:imagedata r:id="rId433" o:title=""/>
            </v:shape>
            <v:shape style="position:absolute;left:5972;top:-2287;width:156;height:156" type="#_x0000_t75" stroked="false">
              <v:imagedata r:id="rId433" o:title=""/>
            </v:shape>
            <v:shape style="position:absolute;left:7056;top:-2882;width:156;height:156" type="#_x0000_t75" stroked="false">
              <v:imagedata r:id="rId434" o:title=""/>
            </v:shape>
            <v:shape style="position:absolute;left:8141;top:-3000;width:156;height:156" type="#_x0000_t75" stroked="false">
              <v:imagedata r:id="rId435" o:title=""/>
            </v:shape>
            <v:line style="position:absolute" from="4306,-3328" to="4914,-3328" stroked="true" strokeweight="1.916pt" strokecolor="#0e0e0e">
              <v:stroke dashstyle="solid"/>
            </v:line>
            <v:shape style="position:absolute;left:4544;top:-3393;width:128;height:128" type="#_x0000_t75" stroked="false">
              <v:imagedata r:id="rId436" o:title=""/>
            </v:shape>
            <w10:wrap type="none"/>
          </v:group>
        </w:pict>
      </w:r>
      <w:r>
        <w:rPr/>
        <w:pict>
          <v:shape style="position:absolute;margin-left:193.960999pt;margin-top:-38.957355pt;width:217.1pt;height:2.8pt;mso-position-horizontal-relative:page;mso-position-vertical-relative:paragraph;z-index:-2423392" coordorigin="3879,-779" coordsize="4342,56" path="m3879,-779l8221,-779m3879,-724l3879,-779m4964,-724l4964,-779m6051,-724l6051,-779m7136,-724l7136,-779m8221,-724l8221,-779e" filled="false" stroked="true" strokeweight=".12pt" strokecolor="#000000">
            <v:path arrowok="t"/>
            <v:stroke dashstyle="solid"/>
            <w10:wrap type="none"/>
          </v:shape>
        </w:pict>
      </w:r>
      <w:r>
        <w:rPr/>
        <w:pict>
          <v:group style="position:absolute;margin-left:91.240997pt;margin-top:-1.877355pt;width:413.05pt;height:397.2pt;mso-position-horizontal-relative:page;mso-position-vertical-relative:paragraph;z-index:-2423296" coordorigin="1825,-38" coordsize="8261,7944">
            <v:shape style="position:absolute;left:1839;top:-38;width:8218;height:7944" coordorigin="1839,-38" coordsize="8218,7944" path="m1854,-23l10057,-23m1854,7892l10057,7892m1839,-38l1839,7906e" filled="false" stroked="true" strokeweight="1.44pt" strokecolor="#000000">
              <v:path arrowok="t"/>
              <v:stroke dashstyle="solid"/>
            </v:shape>
            <v:line style="position:absolute" from="10071,-38" to="10071,7906" stroked="true" strokeweight="1.44pt" strokecolor="#000000">
              <v:stroke dashstyle="solid"/>
            </v:line>
            <w10:wrap type="none"/>
          </v:group>
        </w:pict>
      </w:r>
      <w:r>
        <w:rPr>
          <w:b/>
          <w:sz w:val="18"/>
        </w:rPr>
        <w:t>B</w:t>
      </w:r>
      <w:r>
        <w:rPr>
          <w:b/>
          <w:sz w:val="14"/>
        </w:rPr>
        <w:t>OX </w:t>
      </w:r>
      <w:r>
        <w:rPr>
          <w:b/>
          <w:sz w:val="18"/>
        </w:rPr>
        <w:t>5.6.2</w:t>
      </w:r>
    </w:p>
    <w:p>
      <w:pPr>
        <w:spacing w:before="2"/>
        <w:ind w:left="2418" w:right="0" w:firstLine="0"/>
        <w:jc w:val="left"/>
        <w:rPr>
          <w:b/>
          <w:sz w:val="14"/>
        </w:rPr>
      </w:pPr>
      <w:r>
        <w:rPr>
          <w:b/>
          <w:sz w:val="18"/>
        </w:rPr>
        <w:t>E</w:t>
      </w:r>
      <w:r>
        <w:rPr>
          <w:b/>
          <w:sz w:val="14"/>
        </w:rPr>
        <w:t>XAMPLE OF MODELLING THE EMISSIONS OF A SITE OVER TIME</w:t>
      </w:r>
    </w:p>
    <w:p>
      <w:pPr>
        <w:pStyle w:val="BodyText"/>
        <w:spacing w:before="113"/>
        <w:ind w:left="740" w:right="1971"/>
        <w:jc w:val="both"/>
      </w:pPr>
      <w:r>
        <w:rPr/>
        <w:t>Consider modelling the emissions of a site over time. This might be useful in a country-specific approach if the inventory was based on tracking either a sample or complete population of sites.</w:t>
      </w:r>
    </w:p>
    <w:p>
      <w:pPr>
        <w:pStyle w:val="BodyText"/>
        <w:spacing w:before="118"/>
        <w:ind w:left="740" w:right="1964"/>
        <w:jc w:val="both"/>
      </w:pPr>
      <w:r>
        <w:rPr>
          <w:spacing w:val="-3"/>
        </w:rPr>
        <w:t>Typically, </w:t>
      </w:r>
      <w:r>
        <w:rPr/>
        <w:t>it </w:t>
      </w:r>
      <w:r>
        <w:rPr>
          <w:spacing w:val="-3"/>
        </w:rPr>
        <w:t>would </w:t>
      </w:r>
      <w:r>
        <w:rPr>
          <w:spacing w:val="-2"/>
        </w:rPr>
        <w:t>not </w:t>
      </w:r>
      <w:r>
        <w:rPr/>
        <w:t>be cost-effective to physically visit all sites annually to assess </w:t>
      </w:r>
      <w:r>
        <w:rPr>
          <w:spacing w:val="-3"/>
        </w:rPr>
        <w:t>land-use </w:t>
      </w:r>
      <w:r>
        <w:rPr/>
        <w:t>change.</w:t>
      </w:r>
      <w:r>
        <w:rPr>
          <w:spacing w:val="-13"/>
        </w:rPr>
        <w:t> </w:t>
      </w:r>
      <w:r>
        <w:rPr/>
        <w:t>Instead</w:t>
      </w:r>
      <w:r>
        <w:rPr>
          <w:spacing w:val="-12"/>
        </w:rPr>
        <w:t> </w:t>
      </w:r>
      <w:r>
        <w:rPr>
          <w:spacing w:val="-3"/>
        </w:rPr>
        <w:t>remote</w:t>
      </w:r>
      <w:r>
        <w:rPr>
          <w:spacing w:val="-10"/>
        </w:rPr>
        <w:t> </w:t>
      </w:r>
      <w:r>
        <w:rPr/>
        <w:t>sensing</w:t>
      </w:r>
      <w:r>
        <w:rPr>
          <w:spacing w:val="-13"/>
        </w:rPr>
        <w:t> </w:t>
      </w:r>
      <w:r>
        <w:rPr/>
        <w:t>technologies</w:t>
      </w:r>
      <w:r>
        <w:rPr>
          <w:spacing w:val="-13"/>
        </w:rPr>
        <w:t> </w:t>
      </w:r>
      <w:r>
        <w:rPr/>
        <w:t>could</w:t>
      </w:r>
      <w:r>
        <w:rPr>
          <w:spacing w:val="-12"/>
        </w:rPr>
        <w:t> </w:t>
      </w:r>
      <w:r>
        <w:rPr/>
        <w:t>be</w:t>
      </w:r>
      <w:r>
        <w:rPr>
          <w:spacing w:val="-12"/>
        </w:rPr>
        <w:t> </w:t>
      </w:r>
      <w:r>
        <w:rPr/>
        <w:t>employed</w:t>
      </w:r>
      <w:r>
        <w:rPr>
          <w:spacing w:val="-13"/>
        </w:rPr>
        <w:t> </w:t>
      </w:r>
      <w:r>
        <w:rPr/>
        <w:t>to</w:t>
      </w:r>
      <w:r>
        <w:rPr>
          <w:spacing w:val="-12"/>
        </w:rPr>
        <w:t> </w:t>
      </w:r>
      <w:r>
        <w:rPr>
          <w:spacing w:val="-3"/>
        </w:rPr>
        <w:t>measure</w:t>
      </w:r>
      <w:r>
        <w:rPr>
          <w:spacing w:val="-12"/>
        </w:rPr>
        <w:t> </w:t>
      </w:r>
      <w:r>
        <w:rPr/>
        <w:t>changes</w:t>
      </w:r>
      <w:r>
        <w:rPr>
          <w:spacing w:val="-12"/>
        </w:rPr>
        <w:t> </w:t>
      </w:r>
      <w:r>
        <w:rPr/>
        <w:t>such</w:t>
      </w:r>
      <w:r>
        <w:rPr>
          <w:spacing w:val="-14"/>
        </w:rPr>
        <w:t> </w:t>
      </w:r>
      <w:r>
        <w:rPr/>
        <w:t>as</w:t>
      </w:r>
      <w:r>
        <w:rPr>
          <w:spacing w:val="-11"/>
        </w:rPr>
        <w:t> </w:t>
      </w:r>
      <w:r>
        <w:rPr/>
        <w:t>clearing, with</w:t>
      </w:r>
      <w:r>
        <w:rPr>
          <w:spacing w:val="-6"/>
        </w:rPr>
        <w:t> </w:t>
      </w:r>
      <w:r>
        <w:rPr/>
        <w:t>the</w:t>
      </w:r>
      <w:r>
        <w:rPr>
          <w:spacing w:val="-2"/>
        </w:rPr>
        <w:t> </w:t>
      </w:r>
      <w:r>
        <w:rPr/>
        <w:t>much</w:t>
      </w:r>
      <w:r>
        <w:rPr>
          <w:spacing w:val="-4"/>
        </w:rPr>
        <w:t> </w:t>
      </w:r>
      <w:r>
        <w:rPr/>
        <w:t>greater</w:t>
      </w:r>
      <w:r>
        <w:rPr>
          <w:spacing w:val="-3"/>
        </w:rPr>
        <w:t> </w:t>
      </w:r>
      <w:r>
        <w:rPr/>
        <w:t>coverage</w:t>
      </w:r>
      <w:r>
        <w:rPr>
          <w:spacing w:val="-5"/>
        </w:rPr>
        <w:t> </w:t>
      </w:r>
      <w:r>
        <w:rPr/>
        <w:t>of</w:t>
      </w:r>
      <w:r>
        <w:rPr>
          <w:spacing w:val="-5"/>
        </w:rPr>
        <w:t> </w:t>
      </w:r>
      <w:r>
        <w:rPr/>
        <w:t>the</w:t>
      </w:r>
      <w:r>
        <w:rPr>
          <w:spacing w:val="-3"/>
        </w:rPr>
        <w:t> </w:t>
      </w:r>
      <w:r>
        <w:rPr/>
        <w:t>technique</w:t>
      </w:r>
      <w:r>
        <w:rPr>
          <w:spacing w:val="-5"/>
        </w:rPr>
        <w:t> </w:t>
      </w:r>
      <w:r>
        <w:rPr/>
        <w:t>offsetting</w:t>
      </w:r>
      <w:r>
        <w:rPr>
          <w:spacing w:val="-4"/>
        </w:rPr>
        <w:t> </w:t>
      </w:r>
      <w:r>
        <w:rPr/>
        <w:t>the</w:t>
      </w:r>
      <w:r>
        <w:rPr>
          <w:spacing w:val="-5"/>
        </w:rPr>
        <w:t> </w:t>
      </w:r>
      <w:r>
        <w:rPr/>
        <w:t>lower</w:t>
      </w:r>
      <w:r>
        <w:rPr>
          <w:spacing w:val="-5"/>
        </w:rPr>
        <w:t> </w:t>
      </w:r>
      <w:r>
        <w:rPr/>
        <w:t>precision</w:t>
      </w:r>
      <w:r>
        <w:rPr>
          <w:spacing w:val="-6"/>
        </w:rPr>
        <w:t> </w:t>
      </w:r>
      <w:r>
        <w:rPr/>
        <w:t>of</w:t>
      </w:r>
      <w:r>
        <w:rPr>
          <w:spacing w:val="-5"/>
        </w:rPr>
        <w:t> </w:t>
      </w:r>
      <w:r>
        <w:rPr/>
        <w:t>the</w:t>
      </w:r>
      <w:r>
        <w:rPr>
          <w:spacing w:val="-5"/>
        </w:rPr>
        <w:t> </w:t>
      </w:r>
      <w:r>
        <w:rPr/>
        <w:t>data</w:t>
      </w:r>
      <w:r>
        <w:rPr>
          <w:spacing w:val="-5"/>
        </w:rPr>
        <w:t> </w:t>
      </w:r>
      <w:r>
        <w:rPr/>
        <w:t>compared to </w:t>
      </w:r>
      <w:r>
        <w:rPr>
          <w:spacing w:val="-3"/>
        </w:rPr>
        <w:t>ground visits. </w:t>
      </w:r>
      <w:r>
        <w:rPr/>
        <w:t>Because of the </w:t>
      </w:r>
      <w:r>
        <w:rPr>
          <w:spacing w:val="-3"/>
        </w:rPr>
        <w:t>costs </w:t>
      </w:r>
      <w:r>
        <w:rPr/>
        <w:t>of acquiring and </w:t>
      </w:r>
      <w:r>
        <w:rPr>
          <w:spacing w:val="-3"/>
        </w:rPr>
        <w:t>processing </w:t>
      </w:r>
      <w:r>
        <w:rPr/>
        <w:t>the remote sensing data, it </w:t>
      </w:r>
      <w:r>
        <w:rPr>
          <w:spacing w:val="-3"/>
        </w:rPr>
        <w:t>might </w:t>
      </w:r>
      <w:r>
        <w:rPr>
          <w:spacing w:val="-2"/>
        </w:rPr>
        <w:t>not </w:t>
      </w:r>
      <w:r>
        <w:rPr/>
        <w:t>be either feasible or cost </w:t>
      </w:r>
      <w:r>
        <w:rPr>
          <w:spacing w:val="-2"/>
        </w:rPr>
        <w:t>effective </w:t>
      </w:r>
      <w:r>
        <w:rPr/>
        <w:t>to generate the remotely sensed data on an annual </w:t>
      </w:r>
      <w:r>
        <w:rPr>
          <w:spacing w:val="-3"/>
        </w:rPr>
        <w:t>basis.  Instead,</w:t>
      </w:r>
      <w:r>
        <w:rPr>
          <w:spacing w:val="-7"/>
        </w:rPr>
        <w:t> </w:t>
      </w:r>
      <w:r>
        <w:rPr/>
        <w:t>it</w:t>
      </w:r>
      <w:r>
        <w:rPr>
          <w:spacing w:val="-6"/>
        </w:rPr>
        <w:t> </w:t>
      </w:r>
      <w:r>
        <w:rPr/>
        <w:t>might</w:t>
      </w:r>
      <w:r>
        <w:rPr>
          <w:spacing w:val="-7"/>
        </w:rPr>
        <w:t> </w:t>
      </w:r>
      <w:r>
        <w:rPr/>
        <w:t>be</w:t>
      </w:r>
      <w:r>
        <w:rPr>
          <w:spacing w:val="-5"/>
        </w:rPr>
        <w:t> </w:t>
      </w:r>
      <w:r>
        <w:rPr>
          <w:spacing w:val="-3"/>
        </w:rPr>
        <w:t>generated</w:t>
      </w:r>
      <w:r>
        <w:rPr>
          <w:spacing w:val="-7"/>
        </w:rPr>
        <w:t> </w:t>
      </w:r>
      <w:r>
        <w:rPr/>
        <w:t>every</w:t>
      </w:r>
      <w:r>
        <w:rPr>
          <w:spacing w:val="-8"/>
        </w:rPr>
        <w:t> </w:t>
      </w:r>
      <w:r>
        <w:rPr/>
        <w:t>several</w:t>
      </w:r>
      <w:r>
        <w:rPr>
          <w:spacing w:val="-6"/>
        </w:rPr>
        <w:t> </w:t>
      </w:r>
      <w:r>
        <w:rPr/>
        <w:t>years</w:t>
      </w:r>
      <w:r>
        <w:rPr>
          <w:spacing w:val="-9"/>
        </w:rPr>
        <w:t> </w:t>
      </w:r>
      <w:r>
        <w:rPr/>
        <w:t>and</w:t>
      </w:r>
      <w:r>
        <w:rPr>
          <w:spacing w:val="-6"/>
        </w:rPr>
        <w:t> </w:t>
      </w:r>
      <w:r>
        <w:rPr/>
        <w:t>the</w:t>
      </w:r>
      <w:r>
        <w:rPr>
          <w:spacing w:val="-7"/>
        </w:rPr>
        <w:t> </w:t>
      </w:r>
      <w:r>
        <w:rPr/>
        <w:t>intervening</w:t>
      </w:r>
      <w:r>
        <w:rPr>
          <w:spacing w:val="-8"/>
        </w:rPr>
        <w:t> </w:t>
      </w:r>
      <w:r>
        <w:rPr/>
        <w:t>periods</w:t>
      </w:r>
      <w:r>
        <w:rPr>
          <w:spacing w:val="-6"/>
        </w:rPr>
        <w:t> </w:t>
      </w:r>
      <w:r>
        <w:rPr>
          <w:spacing w:val="-3"/>
        </w:rPr>
        <w:t>interpolated.</w:t>
      </w:r>
    </w:p>
    <w:p>
      <w:pPr>
        <w:pStyle w:val="BodyText"/>
        <w:spacing w:before="120"/>
        <w:ind w:left="740" w:right="1966"/>
        <w:jc w:val="both"/>
      </w:pPr>
      <w:r>
        <w:rPr/>
        <w:t>When a clearing event is identified through periodic surveys or remote sensing, it is necessary to allocate emissions to one or more of the years preceding the event. In the absence of any surrogate or additional information indicating which year or years the event took place, it is </w:t>
      </w:r>
      <w:r>
        <w:rPr>
          <w:i/>
        </w:rPr>
        <w:t>good practice </w:t>
      </w:r>
      <w:r>
        <w:rPr/>
        <w:t>to allocate emissions from the clearing event in equal increments to each year. For example, if remote sensing shows that a particular site was forested during 1997, but was cleared by 2000, then the clearing may have occurred in 1998, 1999 or</w:t>
      </w:r>
      <w:r>
        <w:rPr>
          <w:spacing w:val="-1"/>
        </w:rPr>
        <w:t> </w:t>
      </w:r>
      <w:r>
        <w:rPr/>
        <w:t>2000.</w:t>
      </w:r>
    </w:p>
    <w:p>
      <w:pPr>
        <w:pStyle w:val="BodyText"/>
        <w:spacing w:before="121"/>
        <w:ind w:left="740" w:right="1965"/>
        <w:jc w:val="both"/>
      </w:pPr>
      <w:r>
        <w:rPr/>
        <w:t>The presence of surrogate information may change the approach to the analysis. In making estimates in the period before new satellite data become available, (i.e., for the original 1999 and 2000 inventories) extrapolation from previous years is necessary, perhaps with the use of administrative records. It is </w:t>
      </w:r>
      <w:r>
        <w:rPr>
          <w:i/>
        </w:rPr>
        <w:t>good practice </w:t>
      </w:r>
      <w:r>
        <w:rPr/>
        <w:t>to make the most reliable extrapolation possible, subject to the best available data and resource constraints, recognising that estimates will be revised in the future when more detailed information is</w:t>
      </w:r>
      <w:r>
        <w:rPr>
          <w:spacing w:val="2"/>
        </w:rPr>
        <w:t> </w:t>
      </w:r>
      <w:r>
        <w:rPr/>
        <w:t>available.</w:t>
      </w:r>
    </w:p>
    <w:p>
      <w:pPr>
        <w:pStyle w:val="BodyText"/>
        <w:spacing w:before="120"/>
        <w:ind w:left="740" w:right="1964"/>
        <w:jc w:val="both"/>
      </w:pPr>
      <w:r>
        <w:rPr/>
        <w:t>As an extension for the uncertainty analysis for this category, the clearing event could be randomised to one of the three years (i.e., assigned to each year with probability 1/3).  Analogously, a Monte Carlo approach could repeatedly assign the clearing event to a random year and then calculate the uncertainty in the emissions or removals for the sector. This would incorporate the additional uncertainty in the exact time of clearing into the estimate. If approximate clearing rates are known from administrative records, it may be used to adjust the interpolation probabilities. For example, if the clearing rate in 1998 is estimated to be twice that of 1999 and 2000 then </w:t>
      </w:r>
      <w:r>
        <w:rPr>
          <w:spacing w:val="-3"/>
        </w:rPr>
        <w:t>we </w:t>
      </w:r>
      <w:r>
        <w:rPr/>
        <w:t>could estimate the probability for the above example to be 1/2 that it was cleared in 1998 and 1/4 that its was cleared in 1999 or</w:t>
      </w:r>
      <w:r>
        <w:rPr>
          <w:spacing w:val="-4"/>
        </w:rPr>
        <w:t> </w:t>
      </w:r>
      <w:r>
        <w:rPr/>
        <w:t>2000.</w:t>
      </w:r>
    </w:p>
    <w:p>
      <w:pPr>
        <w:spacing w:after="0"/>
        <w:jc w:val="both"/>
        <w:sectPr>
          <w:pgSz w:w="11900" w:h="16840"/>
          <w:pgMar w:header="230" w:footer="408" w:top="560" w:bottom="600" w:left="1240" w:right="0"/>
        </w:sectPr>
      </w:pPr>
    </w:p>
    <w:p>
      <w:pPr>
        <w:pStyle w:val="BodyText"/>
      </w:pPr>
    </w:p>
    <w:p>
      <w:pPr>
        <w:pStyle w:val="Heading2"/>
        <w:numPr>
          <w:ilvl w:val="2"/>
          <w:numId w:val="197"/>
        </w:numPr>
        <w:tabs>
          <w:tab w:pos="1381" w:val="left" w:leader="none"/>
          <w:tab w:pos="1382" w:val="left" w:leader="none"/>
        </w:tabs>
        <w:spacing w:line="240" w:lineRule="auto" w:before="215" w:after="0"/>
        <w:ind w:left="1381" w:right="0" w:hanging="1202"/>
        <w:jc w:val="left"/>
      </w:pPr>
      <w:bookmarkStart w:name="_TOC_250009" w:id="46"/>
      <w:r>
        <w:rPr>
          <w:spacing w:val="7"/>
        </w:rPr>
        <w:t>Issues </w:t>
      </w:r>
      <w:r>
        <w:rPr>
          <w:spacing w:val="8"/>
        </w:rPr>
        <w:t>under Kyoto Protocol Articles </w:t>
      </w:r>
      <w:r>
        <w:rPr>
          <w:spacing w:val="6"/>
        </w:rPr>
        <w:t>3.3 </w:t>
      </w:r>
      <w:r>
        <w:rPr>
          <w:spacing w:val="7"/>
        </w:rPr>
        <w:t>and</w:t>
      </w:r>
      <w:r>
        <w:rPr>
          <w:spacing w:val="91"/>
        </w:rPr>
        <w:t> </w:t>
      </w:r>
      <w:bookmarkEnd w:id="46"/>
      <w:r>
        <w:rPr>
          <w:spacing w:val="7"/>
        </w:rPr>
        <w:t>3.4</w:t>
      </w:r>
    </w:p>
    <w:p>
      <w:pPr>
        <w:pStyle w:val="BodyText"/>
        <w:spacing w:before="116"/>
        <w:ind w:left="179" w:right="1402"/>
        <w:jc w:val="both"/>
      </w:pPr>
      <w:r>
        <w:rPr/>
        <w:t>In general, </w:t>
      </w:r>
      <w:r>
        <w:rPr>
          <w:i/>
        </w:rPr>
        <w:t>good practice </w:t>
      </w:r>
      <w:r>
        <w:rPr/>
        <w:t>for ensuring time series consistency and performing recalculations for estimates of LULUCF prepared under the Kyoto Protocol reporting of supplementary information will be similar to those for any other inventory estimates. However, there are some special issues that are specific to Articles 3.3 and 3.4 that it is </w:t>
      </w:r>
      <w:r>
        <w:rPr>
          <w:i/>
        </w:rPr>
        <w:t>good practice </w:t>
      </w:r>
      <w:r>
        <w:rPr/>
        <w:t>to take into</w:t>
      </w:r>
      <w:r>
        <w:rPr>
          <w:spacing w:val="-2"/>
        </w:rPr>
        <w:t> </w:t>
      </w:r>
      <w:r>
        <w:rPr/>
        <w:t>account:</w:t>
      </w:r>
    </w:p>
    <w:p>
      <w:pPr>
        <w:pStyle w:val="ListParagraph"/>
        <w:numPr>
          <w:ilvl w:val="1"/>
          <w:numId w:val="181"/>
        </w:numPr>
        <w:tabs>
          <w:tab w:pos="540" w:val="left" w:leader="none"/>
        </w:tabs>
        <w:spacing w:line="237" w:lineRule="auto" w:before="135" w:after="0"/>
        <w:ind w:left="539" w:right="1406" w:hanging="360"/>
        <w:jc w:val="both"/>
        <w:rPr>
          <w:sz w:val="20"/>
        </w:rPr>
      </w:pPr>
      <w:r>
        <w:rPr>
          <w:sz w:val="20"/>
        </w:rPr>
        <w:t>The need to report on an annual basis the geographical location of the boundaries of the area that encompass land subject to the activity. During the commitment period under the Kyoto Protocol, it will be necessary to update the identification of such areas if new lands are brought under Articles 3.3 and 3.4. Thus, it will be necessary to ensure consistent representation of these areas over the period back to 1990 or the onset of any activities under Articles 3.3 and 3.4, as well as to adequately track shifts among categories in those lands. It is </w:t>
      </w:r>
      <w:r>
        <w:rPr>
          <w:i/>
          <w:sz w:val="20"/>
        </w:rPr>
        <w:t>good practice </w:t>
      </w:r>
      <w:r>
        <w:rPr>
          <w:sz w:val="20"/>
        </w:rPr>
        <w:t>to use the methods described in Section</w:t>
      </w:r>
      <w:r>
        <w:rPr>
          <w:spacing w:val="-3"/>
          <w:sz w:val="20"/>
        </w:rPr>
        <w:t> </w:t>
      </w:r>
      <w:r>
        <w:rPr>
          <w:sz w:val="20"/>
        </w:rPr>
        <w:t>5.6.</w:t>
      </w:r>
    </w:p>
    <w:p>
      <w:pPr>
        <w:pStyle w:val="ListParagraph"/>
        <w:numPr>
          <w:ilvl w:val="1"/>
          <w:numId w:val="181"/>
        </w:numPr>
        <w:tabs>
          <w:tab w:pos="539" w:val="left" w:leader="none"/>
          <w:tab w:pos="540" w:val="left" w:leader="none"/>
        </w:tabs>
        <w:spacing w:line="223" w:lineRule="auto" w:before="142" w:after="0"/>
        <w:ind w:left="539" w:right="1403" w:hanging="360"/>
        <w:jc w:val="left"/>
        <w:rPr>
          <w:sz w:val="20"/>
        </w:rPr>
      </w:pPr>
      <w:r>
        <w:rPr>
          <w:sz w:val="20"/>
        </w:rPr>
        <w:t>The need to make recalculations due to updated information on non-annual data (see Chapter 4 for a more detailed description on how to deal with non-annual</w:t>
      </w:r>
      <w:r>
        <w:rPr>
          <w:spacing w:val="-4"/>
          <w:sz w:val="20"/>
        </w:rPr>
        <w:t> </w:t>
      </w:r>
      <w:r>
        <w:rPr>
          <w:sz w:val="20"/>
        </w:rPr>
        <w:t>data).</w:t>
      </w:r>
    </w:p>
    <w:p>
      <w:pPr>
        <w:pStyle w:val="BodyText"/>
        <w:rPr>
          <w:sz w:val="22"/>
        </w:rPr>
      </w:pPr>
    </w:p>
    <w:p>
      <w:pPr>
        <w:pStyle w:val="BodyText"/>
        <w:spacing w:before="7"/>
      </w:pPr>
    </w:p>
    <w:p>
      <w:pPr>
        <w:pStyle w:val="Heading2"/>
        <w:numPr>
          <w:ilvl w:val="2"/>
          <w:numId w:val="197"/>
        </w:numPr>
        <w:tabs>
          <w:tab w:pos="1381" w:val="left" w:leader="none"/>
          <w:tab w:pos="1382" w:val="left" w:leader="none"/>
        </w:tabs>
        <w:spacing w:line="240" w:lineRule="auto" w:before="0" w:after="0"/>
        <w:ind w:left="1381" w:right="0" w:hanging="1202"/>
        <w:jc w:val="left"/>
      </w:pPr>
      <w:bookmarkStart w:name="_TOC_250008" w:id="47"/>
      <w:r>
        <w:rPr>
          <w:spacing w:val="8"/>
        </w:rPr>
        <w:t>Reporting </w:t>
      </w:r>
      <w:r>
        <w:rPr>
          <w:spacing w:val="6"/>
        </w:rPr>
        <w:t>and</w:t>
      </w:r>
      <w:r>
        <w:rPr>
          <w:spacing w:val="31"/>
        </w:rPr>
        <w:t> </w:t>
      </w:r>
      <w:bookmarkEnd w:id="47"/>
      <w:r>
        <w:rPr>
          <w:spacing w:val="9"/>
        </w:rPr>
        <w:t>Documentation</w:t>
      </w:r>
    </w:p>
    <w:p>
      <w:pPr>
        <w:pStyle w:val="BodyText"/>
        <w:spacing w:before="114"/>
        <w:ind w:left="179" w:right="1405"/>
        <w:jc w:val="both"/>
      </w:pPr>
      <w:r>
        <w:rPr/>
        <w:t>In all cases, the calculations performed to ensure time series consistency should be carefully documented because of the complicated processes and large temporal and geographical scales typically involved in the LULUCF sector. The </w:t>
      </w:r>
      <w:r>
        <w:rPr>
          <w:i/>
        </w:rPr>
        <w:t>good practice guidance </w:t>
      </w:r>
      <w:r>
        <w:rPr/>
        <w:t>provided in </w:t>
      </w:r>
      <w:r>
        <w:rPr>
          <w:i/>
        </w:rPr>
        <w:t>GPG2000 </w:t>
      </w:r>
      <w:r>
        <w:rPr/>
        <w:t>on documentation of time series consistency applies fully to this sector. The </w:t>
      </w:r>
      <w:r>
        <w:rPr>
          <w:i/>
        </w:rPr>
        <w:t>GPG2000 </w:t>
      </w:r>
      <w:r>
        <w:rPr/>
        <w:t>states that clear documentation of recalculations is essential for transparent emissions estimates, and to demonstrate that the recalculation is an improvement in accuracy and completeness. In general, the following information should be provided whenever recalculations are</w:t>
      </w:r>
      <w:r>
        <w:rPr>
          <w:spacing w:val="-1"/>
        </w:rPr>
        <w:t> </w:t>
      </w:r>
      <w:r>
        <w:rPr/>
        <w:t>undertaken:</w:t>
      </w:r>
    </w:p>
    <w:p>
      <w:pPr>
        <w:pStyle w:val="ListParagraph"/>
        <w:numPr>
          <w:ilvl w:val="1"/>
          <w:numId w:val="181"/>
        </w:numPr>
        <w:tabs>
          <w:tab w:pos="539" w:val="left" w:leader="none"/>
          <w:tab w:pos="540" w:val="left" w:leader="none"/>
        </w:tabs>
        <w:spacing w:line="223" w:lineRule="auto" w:before="147" w:after="0"/>
        <w:ind w:left="539" w:right="1404" w:hanging="360"/>
        <w:jc w:val="left"/>
        <w:rPr>
          <w:sz w:val="20"/>
        </w:rPr>
      </w:pPr>
      <w:r>
        <w:rPr>
          <w:sz w:val="20"/>
        </w:rPr>
        <w:t>The effect of the recalculations on the level and trend of the estimate (by providing the estimates prepared using both the previously used and new</w:t>
      </w:r>
      <w:r>
        <w:rPr>
          <w:spacing w:val="1"/>
          <w:sz w:val="20"/>
        </w:rPr>
        <w:t> </w:t>
      </w:r>
      <w:r>
        <w:rPr>
          <w:sz w:val="20"/>
        </w:rPr>
        <w:t>methods).</w:t>
      </w:r>
    </w:p>
    <w:p>
      <w:pPr>
        <w:pStyle w:val="ListParagraph"/>
        <w:numPr>
          <w:ilvl w:val="1"/>
          <w:numId w:val="181"/>
        </w:numPr>
        <w:tabs>
          <w:tab w:pos="539" w:val="left" w:leader="none"/>
          <w:tab w:pos="540" w:val="left" w:leader="none"/>
        </w:tabs>
        <w:spacing w:line="223" w:lineRule="auto" w:before="148" w:after="0"/>
        <w:ind w:left="539" w:right="1358" w:hanging="360"/>
        <w:jc w:val="left"/>
        <w:rPr>
          <w:sz w:val="20"/>
        </w:rPr>
      </w:pPr>
      <w:r>
        <w:rPr>
          <w:sz w:val="20"/>
        </w:rPr>
        <w:t>The reason for the recalculation (see Section 7.2.1, Quantitative approaches to identify key source categories, of </w:t>
      </w:r>
      <w:r>
        <w:rPr>
          <w:i/>
          <w:sz w:val="20"/>
        </w:rPr>
        <w:t>GPG2000</w:t>
      </w:r>
      <w:r>
        <w:rPr>
          <w:sz w:val="20"/>
        </w:rPr>
        <w:t>, for further discussion of this</w:t>
      </w:r>
      <w:r>
        <w:rPr>
          <w:spacing w:val="-4"/>
          <w:sz w:val="20"/>
        </w:rPr>
        <w:t> </w:t>
      </w:r>
      <w:r>
        <w:rPr>
          <w:sz w:val="20"/>
        </w:rPr>
        <w:t>issue).</w:t>
      </w:r>
    </w:p>
    <w:p>
      <w:pPr>
        <w:pStyle w:val="ListParagraph"/>
        <w:numPr>
          <w:ilvl w:val="1"/>
          <w:numId w:val="181"/>
        </w:numPr>
        <w:tabs>
          <w:tab w:pos="539" w:val="left" w:leader="none"/>
          <w:tab w:pos="540" w:val="left" w:leader="none"/>
        </w:tabs>
        <w:spacing w:line="240" w:lineRule="auto" w:before="139" w:after="0"/>
        <w:ind w:left="539" w:right="0" w:hanging="360"/>
        <w:jc w:val="left"/>
        <w:rPr>
          <w:sz w:val="20"/>
        </w:rPr>
      </w:pPr>
      <w:r>
        <w:rPr>
          <w:sz w:val="20"/>
        </w:rPr>
        <w:t>A description of the changed or refined data, models, assumptions, factor values, and/or</w:t>
      </w:r>
      <w:r>
        <w:rPr>
          <w:spacing w:val="-5"/>
          <w:sz w:val="20"/>
        </w:rPr>
        <w:t> </w:t>
      </w:r>
      <w:r>
        <w:rPr>
          <w:sz w:val="20"/>
        </w:rPr>
        <w:t>method.</w:t>
      </w:r>
    </w:p>
    <w:p>
      <w:pPr>
        <w:pStyle w:val="ListParagraph"/>
        <w:numPr>
          <w:ilvl w:val="1"/>
          <w:numId w:val="181"/>
        </w:numPr>
        <w:tabs>
          <w:tab w:pos="539" w:val="left" w:leader="none"/>
          <w:tab w:pos="540" w:val="left" w:leader="none"/>
        </w:tabs>
        <w:spacing w:line="223" w:lineRule="auto" w:before="131" w:after="0"/>
        <w:ind w:left="539" w:right="1408" w:hanging="360"/>
        <w:jc w:val="left"/>
        <w:rPr>
          <w:sz w:val="20"/>
        </w:rPr>
      </w:pPr>
      <w:r>
        <w:rPr>
          <w:sz w:val="20"/>
        </w:rPr>
        <w:t>Justification for the methodological change or refinement in terms of an improvement in accuracy, transparency, or</w:t>
      </w:r>
      <w:r>
        <w:rPr>
          <w:spacing w:val="-1"/>
          <w:sz w:val="20"/>
        </w:rPr>
        <w:t> </w:t>
      </w:r>
      <w:r>
        <w:rPr>
          <w:sz w:val="20"/>
        </w:rPr>
        <w:t>completeness.</w:t>
      </w:r>
    </w:p>
    <w:p>
      <w:pPr>
        <w:pStyle w:val="ListParagraph"/>
        <w:numPr>
          <w:ilvl w:val="1"/>
          <w:numId w:val="181"/>
        </w:numPr>
        <w:tabs>
          <w:tab w:pos="539" w:val="left" w:leader="none"/>
          <w:tab w:pos="540" w:val="left" w:leader="none"/>
        </w:tabs>
        <w:spacing w:line="240" w:lineRule="auto" w:before="136" w:after="0"/>
        <w:ind w:left="539" w:right="0" w:hanging="360"/>
        <w:jc w:val="left"/>
        <w:rPr>
          <w:sz w:val="20"/>
        </w:rPr>
      </w:pPr>
      <w:r>
        <w:rPr>
          <w:sz w:val="20"/>
        </w:rPr>
        <w:t>The approach used to recalculate previously submitted</w:t>
      </w:r>
      <w:r>
        <w:rPr>
          <w:spacing w:val="-4"/>
          <w:sz w:val="20"/>
        </w:rPr>
        <w:t> </w:t>
      </w:r>
      <w:r>
        <w:rPr>
          <w:sz w:val="20"/>
        </w:rPr>
        <w:t>estimates.</w:t>
      </w:r>
    </w:p>
    <w:p>
      <w:pPr>
        <w:pStyle w:val="ListParagraph"/>
        <w:numPr>
          <w:ilvl w:val="1"/>
          <w:numId w:val="181"/>
        </w:numPr>
        <w:tabs>
          <w:tab w:pos="540" w:val="left" w:leader="none"/>
        </w:tabs>
        <w:spacing w:line="232" w:lineRule="auto" w:before="124" w:after="0"/>
        <w:ind w:left="536" w:right="1406" w:hanging="357"/>
        <w:jc w:val="both"/>
        <w:rPr>
          <w:sz w:val="20"/>
        </w:rPr>
      </w:pPr>
      <w:r>
        <w:rPr>
          <w:sz w:val="20"/>
        </w:rPr>
        <w:t>The rationale for selecting the approach, which should include a comparison of the results obtained using  the selected approach and other possible alternatives, ideally including a simple graphical plot of emissions or removals versus time or relevant activity data, or</w:t>
      </w:r>
      <w:r>
        <w:rPr>
          <w:spacing w:val="-5"/>
          <w:sz w:val="20"/>
        </w:rPr>
        <w:t> </w:t>
      </w:r>
      <w:r>
        <w:rPr>
          <w:sz w:val="20"/>
        </w:rPr>
        <w:t>both.</w:t>
      </w:r>
    </w:p>
    <w:p>
      <w:pPr>
        <w:spacing w:after="0" w:line="232" w:lineRule="auto"/>
        <w:jc w:val="both"/>
        <w:rPr>
          <w:sz w:val="20"/>
        </w:rPr>
        <w:sectPr>
          <w:pgSz w:w="11900" w:h="16840"/>
          <w:pgMar w:header="230" w:footer="408" w:top="560" w:bottom="600" w:left="1240" w:right="0"/>
        </w:sectPr>
      </w:pPr>
    </w:p>
    <w:p>
      <w:pPr>
        <w:pStyle w:val="BodyText"/>
      </w:pPr>
    </w:p>
    <w:p>
      <w:pPr>
        <w:pStyle w:val="BodyText"/>
      </w:pPr>
    </w:p>
    <w:p>
      <w:pPr>
        <w:pStyle w:val="Heading2"/>
        <w:numPr>
          <w:ilvl w:val="1"/>
          <w:numId w:val="197"/>
        </w:numPr>
        <w:tabs>
          <w:tab w:pos="1381" w:val="left" w:leader="none"/>
          <w:tab w:pos="1382" w:val="left" w:leader="none"/>
        </w:tabs>
        <w:spacing w:line="240" w:lineRule="auto" w:before="225" w:after="0"/>
        <w:ind w:left="1381" w:right="0" w:hanging="1202"/>
        <w:jc w:val="left"/>
      </w:pPr>
      <w:bookmarkStart w:name="_TOC_250007" w:id="48"/>
      <w:bookmarkEnd w:id="48"/>
      <w:r>
        <w:rPr>
          <w:spacing w:val="20"/>
        </w:rPr>
        <w:t>VERIFICATION</w:t>
      </w:r>
    </w:p>
    <w:p>
      <w:pPr>
        <w:pStyle w:val="BodyText"/>
        <w:spacing w:before="1"/>
        <w:rPr>
          <w:b/>
          <w:sz w:val="47"/>
        </w:rPr>
      </w:pPr>
    </w:p>
    <w:p>
      <w:pPr>
        <w:pStyle w:val="Heading2"/>
        <w:numPr>
          <w:ilvl w:val="2"/>
          <w:numId w:val="197"/>
        </w:numPr>
        <w:tabs>
          <w:tab w:pos="1561" w:val="left" w:leader="none"/>
          <w:tab w:pos="1562" w:val="left" w:leader="none"/>
        </w:tabs>
        <w:spacing w:line="240" w:lineRule="auto" w:before="0" w:after="0"/>
        <w:ind w:left="1561" w:right="0" w:hanging="1382"/>
        <w:jc w:val="left"/>
      </w:pPr>
      <w:bookmarkStart w:name="_TOC_250006" w:id="49"/>
      <w:bookmarkEnd w:id="49"/>
      <w:r>
        <w:rPr>
          <w:spacing w:val="8"/>
        </w:rPr>
        <w:t>Introduction</w:t>
      </w:r>
    </w:p>
    <w:p>
      <w:pPr>
        <w:pStyle w:val="BodyText"/>
        <w:spacing w:before="114"/>
        <w:ind w:left="179" w:right="1406"/>
        <w:jc w:val="both"/>
      </w:pPr>
      <w:r>
        <w:rPr/>
        <w:t>The purpose of verifying national greenhouse gas inventories is to establish their reliability and to check the accuracy of the reported numbers by independent means. Verification can be performed at several levels: project, national and international.</w:t>
      </w:r>
    </w:p>
    <w:p>
      <w:pPr>
        <w:pStyle w:val="BodyText"/>
        <w:spacing w:before="118"/>
        <w:ind w:left="179"/>
        <w:jc w:val="both"/>
      </w:pPr>
      <w:r>
        <w:rPr/>
        <w:t>The overall goals of verification are to:</w:t>
      </w:r>
    </w:p>
    <w:p>
      <w:pPr>
        <w:pStyle w:val="ListParagraph"/>
        <w:numPr>
          <w:ilvl w:val="1"/>
          <w:numId w:val="181"/>
        </w:numPr>
        <w:tabs>
          <w:tab w:pos="540" w:val="left" w:leader="none"/>
        </w:tabs>
        <w:spacing w:line="240" w:lineRule="auto" w:before="135" w:after="0"/>
        <w:ind w:left="539" w:right="0" w:hanging="360"/>
        <w:jc w:val="both"/>
        <w:rPr>
          <w:sz w:val="20"/>
        </w:rPr>
      </w:pPr>
      <w:r>
        <w:rPr>
          <w:sz w:val="20"/>
        </w:rPr>
        <w:t>Provide inputs to improve</w:t>
      </w:r>
      <w:r>
        <w:rPr>
          <w:spacing w:val="1"/>
          <w:sz w:val="20"/>
        </w:rPr>
        <w:t> </w:t>
      </w:r>
      <w:r>
        <w:rPr>
          <w:sz w:val="20"/>
        </w:rPr>
        <w:t>inventories;</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Build confidence on estimates and</w:t>
      </w:r>
      <w:r>
        <w:rPr>
          <w:spacing w:val="-14"/>
          <w:sz w:val="20"/>
        </w:rPr>
        <w:t> </w:t>
      </w:r>
      <w:r>
        <w:rPr>
          <w:sz w:val="20"/>
        </w:rPr>
        <w:t>trends;</w:t>
      </w:r>
    </w:p>
    <w:p>
      <w:pPr>
        <w:pStyle w:val="ListParagraph"/>
        <w:numPr>
          <w:ilvl w:val="1"/>
          <w:numId w:val="181"/>
        </w:numPr>
        <w:tabs>
          <w:tab w:pos="540" w:val="left" w:leader="none"/>
        </w:tabs>
        <w:spacing w:line="240" w:lineRule="auto" w:before="116" w:after="0"/>
        <w:ind w:left="539" w:right="0" w:hanging="360"/>
        <w:jc w:val="both"/>
        <w:rPr>
          <w:sz w:val="20"/>
        </w:rPr>
      </w:pPr>
      <w:r>
        <w:rPr>
          <w:sz w:val="20"/>
        </w:rPr>
        <w:t>Help to improve scientific</w:t>
      </w:r>
      <w:r>
        <w:rPr>
          <w:spacing w:val="-15"/>
          <w:sz w:val="20"/>
        </w:rPr>
        <w:t> </w:t>
      </w:r>
      <w:r>
        <w:rPr>
          <w:sz w:val="20"/>
        </w:rPr>
        <w:t>understanding.</w:t>
      </w:r>
    </w:p>
    <w:p>
      <w:pPr>
        <w:pStyle w:val="BodyText"/>
        <w:spacing w:before="104"/>
        <w:ind w:left="179" w:right="1403"/>
        <w:jc w:val="both"/>
      </w:pPr>
      <w:r>
        <w:rPr/>
        <w:t>These goals can be achieved through internal or external inventory checks. Internal verification is generally performed by inventory agencies, while other bodies (e.g., other government agencies, private companies, research consortiums, independent scientists, non- governmental organisations) will carry out external verification.</w:t>
      </w:r>
    </w:p>
    <w:p>
      <w:pPr>
        <w:pStyle w:val="BodyText"/>
        <w:spacing w:before="120"/>
        <w:ind w:left="179" w:right="1597"/>
      </w:pPr>
      <w:r>
        <w:rPr/>
        <w:pict>
          <v:shape style="position:absolute;margin-left:91.960999pt;margin-top:36.097965pt;width:411.5pt;height:72.75pt;mso-position-horizontal-relative:page;mso-position-vertical-relative:paragraph;z-index:30848;mso-wrap-distance-left:0;mso-wrap-distance-right:0" type="#_x0000_t202" filled="false" stroked="true" strokeweight="1.44pt" strokecolor="#000000">
            <v:textbox inset="0,0,0,0">
              <w:txbxContent>
                <w:p>
                  <w:pPr>
                    <w:spacing w:line="207" w:lineRule="exact" w:before="100"/>
                    <w:ind w:left="67" w:right="68" w:firstLine="0"/>
                    <w:jc w:val="center"/>
                    <w:rPr>
                      <w:b/>
                      <w:sz w:val="18"/>
                    </w:rPr>
                  </w:pPr>
                  <w:r>
                    <w:rPr>
                      <w:b/>
                      <w:sz w:val="18"/>
                    </w:rPr>
                    <w:t>B</w:t>
                  </w:r>
                  <w:r>
                    <w:rPr>
                      <w:b/>
                      <w:sz w:val="14"/>
                    </w:rPr>
                    <w:t>OX </w:t>
                  </w:r>
                  <w:r>
                    <w:rPr>
                      <w:b/>
                      <w:sz w:val="18"/>
                    </w:rPr>
                    <w:t>5.7.1</w:t>
                  </w:r>
                </w:p>
                <w:p>
                  <w:pPr>
                    <w:spacing w:line="207" w:lineRule="exact" w:before="0"/>
                    <w:ind w:left="2227" w:right="0" w:firstLine="0"/>
                    <w:jc w:val="left"/>
                    <w:rPr>
                      <w:b/>
                      <w:sz w:val="14"/>
                    </w:rPr>
                  </w:pPr>
                  <w:r>
                    <w:rPr>
                      <w:b/>
                      <w:sz w:val="18"/>
                    </w:rPr>
                    <w:t>D</w:t>
                  </w:r>
                  <w:r>
                    <w:rPr>
                      <w:b/>
                      <w:sz w:val="14"/>
                    </w:rPr>
                    <w:t>EFINITION OF VERIFICATION FOR THE INVENTORY</w:t>
                  </w:r>
                </w:p>
                <w:p>
                  <w:pPr>
                    <w:pStyle w:val="BodyText"/>
                    <w:spacing w:line="242" w:lineRule="auto" w:before="113"/>
                    <w:ind w:left="127" w:right="124"/>
                    <w:jc w:val="both"/>
                  </w:pPr>
                  <w:r>
                    <w:rPr/>
                    <w:t>Verification refers to the collection of activities and procedures that can be followed during the planning and development, or after the completion of an inventory, that can help to establish its reliability for the intended application of the inventory.</w:t>
                  </w:r>
                </w:p>
              </w:txbxContent>
            </v:textbox>
            <v:stroke dashstyle="solid"/>
            <w10:wrap type="topAndBottom"/>
          </v:shape>
        </w:pict>
      </w:r>
      <w:r>
        <w:rPr/>
        <w:t>The Glossary of IPCC Good Practice Guidance and Uncertainty Management in National Greenhouse Gas Inventories (</w:t>
      </w:r>
      <w:r>
        <w:rPr>
          <w:i/>
        </w:rPr>
        <w:t>GPG2000</w:t>
      </w:r>
      <w:r>
        <w:rPr/>
        <w:t>, IPCC 2000) defines verification as shown in Box 5.7.1 (see also Glossary):</w:t>
      </w:r>
    </w:p>
    <w:p>
      <w:pPr>
        <w:pStyle w:val="BodyText"/>
        <w:spacing w:before="83"/>
        <w:ind w:left="179" w:right="1404"/>
        <w:jc w:val="both"/>
      </w:pPr>
      <w:r>
        <w:rPr/>
        <w:t>In general, verification as discussed in Annex 2, Verification, of </w:t>
      </w:r>
      <w:r>
        <w:rPr>
          <w:i/>
        </w:rPr>
        <w:t>GPG2000 </w:t>
      </w:r>
      <w:r>
        <w:rPr/>
        <w:t>is also relevant to the LULUCF sector. There are many approaches to verification, including: comparison of the inventory estimates with independent assessments, procedures and datasets; peer and public review; and direct measurement of emissions and removals of greenhouse gases. Verification approaches can also include examination of specific aspects of the inventory, such as underlying data (collection, transcription, and analysis), emission factors, activity data, assumptions and rules used for the calculations (suitability and application of methods, including models), and upscaling procedures. No matter which verification approaches are used or what aspects of the inventory are verified, it is </w:t>
      </w:r>
      <w:r>
        <w:rPr>
          <w:i/>
        </w:rPr>
        <w:t>good practice </w:t>
      </w:r>
      <w:r>
        <w:rPr/>
        <w:t>to conduct verification using data and methods that are independent from those used to prepare the inventory.</w:t>
      </w:r>
    </w:p>
    <w:p>
      <w:pPr>
        <w:pStyle w:val="BodyText"/>
        <w:spacing w:before="117"/>
        <w:ind w:left="179" w:right="1404"/>
        <w:jc w:val="both"/>
      </w:pPr>
      <w:r>
        <w:rPr/>
        <w:t>To some extent specific approaches for verification are needed for LULUCF sector because of the uniqueness of estimation methods. Ideally, verification of LULUCF activities would be based on complete accounting of emissions and removals at the national scale, measured by independent methods at different levels and, possibly, complemented by top-down approaches based on atmospheric measurements. Such verification would be complex and resource intensive, and will be possibly performed by research consortiums and/or programmes. It is more likely that inventory agencies would apply some more limited verification approaches or seek to address their verification needs through already ongoing research activities. The external verification approaches described in this section may help inventory agencies to evaluate their</w:t>
      </w:r>
      <w:r>
        <w:rPr>
          <w:spacing w:val="-6"/>
        </w:rPr>
        <w:t> </w:t>
      </w:r>
      <w:r>
        <w:rPr/>
        <w:t>results.</w:t>
      </w:r>
    </w:p>
    <w:p>
      <w:pPr>
        <w:pStyle w:val="BodyText"/>
        <w:spacing w:before="118"/>
        <w:ind w:left="179" w:right="1402"/>
        <w:jc w:val="both"/>
      </w:pPr>
      <w:r>
        <w:rPr/>
        <w:t>This section presents a range of verification approaches and provides practical guidance on how to apply them to the entire national inventory, or parts of it. Section 5.7.2 describes some of the approaches available for verifying inventory estimates and/or the data on which they are based. Section 5.7.3 provides practical recommendations for verifying LULUCF Inventories. Section 5.7.4 considers some of the verification issues that are specific to the Kyoto Protocol</w:t>
      </w:r>
      <w:r>
        <w:rPr>
          <w:vertAlign w:val="superscript"/>
        </w:rPr>
        <w:t>24</w:t>
      </w:r>
      <w:r>
        <w:rPr>
          <w:vertAlign w:val="baseline"/>
        </w:rPr>
        <w:t>. Section 5.7.5 addresses reporting and documentation issues. QA/QC is closely related to verification, and it is covered in Section 5.5 of this chapter. Finally, some details for verification approaches are given in Section 5.7.6.</w:t>
      </w:r>
    </w:p>
    <w:p>
      <w:pPr>
        <w:pStyle w:val="BodyText"/>
      </w:pPr>
    </w:p>
    <w:p>
      <w:pPr>
        <w:pStyle w:val="BodyText"/>
        <w:spacing w:before="3"/>
        <w:rPr>
          <w:sz w:val="25"/>
        </w:rPr>
      </w:pPr>
      <w:r>
        <w:rPr/>
        <w:pict>
          <v:line style="position:absolute;mso-position-horizontal-relative:page;mso-position-vertical-relative:paragraph;z-index:30872;mso-wrap-distance-left:0;mso-wrap-distance-right:0" from="70.960999pt,16.744413pt" to="214.960999pt,16.744413pt" stroked="true" strokeweight=".48pt" strokecolor="#000000">
            <v:stroke dashstyle="solid"/>
            <w10:wrap type="topAndBottom"/>
          </v:line>
        </w:pict>
      </w:r>
    </w:p>
    <w:p>
      <w:pPr>
        <w:spacing w:before="153"/>
        <w:ind w:left="337" w:right="1336" w:hanging="159"/>
        <w:jc w:val="left"/>
        <w:rPr>
          <w:sz w:val="18"/>
        </w:rPr>
      </w:pPr>
      <w:r>
        <w:rPr>
          <w:position w:val="8"/>
          <w:sz w:val="12"/>
        </w:rPr>
        <w:t>24 </w:t>
      </w:r>
      <w:r>
        <w:rPr>
          <w:sz w:val="18"/>
        </w:rPr>
        <w:t>Verifiability is a requirement under Article 3.3 of the Kyoto Protocol and for Articles 3.3 and 3.4 under paragraph 17 of the Annex to the draft LULUCF decision agreed in Marrakesh (see FCCC/CP/2001/13/Add.1, page 61).</w:t>
      </w:r>
    </w:p>
    <w:p>
      <w:pPr>
        <w:spacing w:after="0"/>
        <w:jc w:val="left"/>
        <w:rPr>
          <w:sz w:val="18"/>
        </w:rPr>
        <w:sectPr>
          <w:headerReference w:type="even" r:id="rId437"/>
          <w:headerReference w:type="default" r:id="rId438"/>
          <w:pgSz w:w="11900" w:h="16840"/>
          <w:pgMar w:header="230" w:footer="408" w:top="560" w:bottom="600" w:left="1240" w:right="0"/>
        </w:sectPr>
      </w:pPr>
    </w:p>
    <w:p>
      <w:pPr>
        <w:pStyle w:val="BodyText"/>
      </w:pPr>
    </w:p>
    <w:p>
      <w:pPr>
        <w:pStyle w:val="Heading2"/>
        <w:numPr>
          <w:ilvl w:val="2"/>
          <w:numId w:val="197"/>
        </w:numPr>
        <w:tabs>
          <w:tab w:pos="1562" w:val="left" w:leader="none"/>
        </w:tabs>
        <w:spacing w:line="240" w:lineRule="auto" w:before="215" w:after="0"/>
        <w:ind w:left="1561" w:right="0" w:hanging="1382"/>
        <w:jc w:val="both"/>
      </w:pPr>
      <w:bookmarkStart w:name="_TOC_250005" w:id="50"/>
      <w:r>
        <w:rPr>
          <w:spacing w:val="8"/>
        </w:rPr>
        <w:t>Verification</w:t>
      </w:r>
      <w:r>
        <w:rPr>
          <w:spacing w:val="20"/>
        </w:rPr>
        <w:t> </w:t>
      </w:r>
      <w:bookmarkEnd w:id="50"/>
      <w:r>
        <w:rPr>
          <w:spacing w:val="9"/>
        </w:rPr>
        <w:t>Approaches</w:t>
      </w:r>
    </w:p>
    <w:p>
      <w:pPr>
        <w:pStyle w:val="BodyText"/>
        <w:spacing w:before="116"/>
        <w:ind w:left="179" w:right="1359"/>
        <w:jc w:val="both"/>
      </w:pPr>
      <w:r>
        <w:rPr/>
        <w:t>An inventory agency (or an external group) may decide to verify the entire inventory, a part of it or the underlying data and models from which the inventory estimates have been calculated. This section describes approaches that can be used to verify inventory estimates, including some techniques that allow the verification of the overall inventory, and many that can be used to verify selected elements of an inventory. The criteria for selecting verification approaches include: scale of interest, costs, desired level of accuracy and precision, complexity of design and implementation of the verification approaches, and the required level of expertise needed to verify. For each approach, a technical description is given with reference to its applicability (e.g., for a particular category, types of data). Guidance for the application of the approach is also provided, and Table 5.7.1 contains information to assist in identifying the most suitable approaches for particular categories or inputs.  Table</w:t>
      </w:r>
      <w:r>
        <w:rPr>
          <w:spacing w:val="-3"/>
        </w:rPr>
        <w:t> </w:t>
      </w:r>
      <w:r>
        <w:rPr/>
        <w:t>5.7.1</w:t>
      </w:r>
      <w:r>
        <w:rPr>
          <w:spacing w:val="-2"/>
        </w:rPr>
        <w:t> </w:t>
      </w:r>
      <w:r>
        <w:rPr/>
        <w:t>addresses</w:t>
      </w:r>
      <w:r>
        <w:rPr>
          <w:spacing w:val="-4"/>
        </w:rPr>
        <w:t> </w:t>
      </w:r>
      <w:r>
        <w:rPr/>
        <w:t>verification</w:t>
      </w:r>
      <w:r>
        <w:rPr>
          <w:spacing w:val="-4"/>
        </w:rPr>
        <w:t> </w:t>
      </w:r>
      <w:r>
        <w:rPr/>
        <w:t>approaches</w:t>
      </w:r>
      <w:r>
        <w:rPr>
          <w:spacing w:val="-2"/>
        </w:rPr>
        <w:t> </w:t>
      </w:r>
      <w:r>
        <w:rPr/>
        <w:t>for</w:t>
      </w:r>
      <w:r>
        <w:rPr>
          <w:spacing w:val="-2"/>
        </w:rPr>
        <w:t> </w:t>
      </w:r>
      <w:r>
        <w:rPr/>
        <w:t>land</w:t>
      </w:r>
      <w:r>
        <w:rPr>
          <w:spacing w:val="-2"/>
        </w:rPr>
        <w:t> </w:t>
      </w:r>
      <w:r>
        <w:rPr/>
        <w:t>area</w:t>
      </w:r>
      <w:r>
        <w:rPr>
          <w:spacing w:val="-3"/>
        </w:rPr>
        <w:t> </w:t>
      </w:r>
      <w:r>
        <w:rPr/>
        <w:t>classification, major</w:t>
      </w:r>
      <w:r>
        <w:rPr>
          <w:spacing w:val="-3"/>
        </w:rPr>
        <w:t> </w:t>
      </w:r>
      <w:r>
        <w:rPr/>
        <w:t>carbon</w:t>
      </w:r>
      <w:r>
        <w:rPr>
          <w:spacing w:val="-4"/>
        </w:rPr>
        <w:t> </w:t>
      </w:r>
      <w:r>
        <w:rPr/>
        <w:t>pools</w:t>
      </w:r>
      <w:r>
        <w:rPr>
          <w:spacing w:val="-4"/>
        </w:rPr>
        <w:t> </w:t>
      </w:r>
      <w:r>
        <w:rPr/>
        <w:t>and non-</w:t>
      </w:r>
      <w:r>
        <w:rPr>
          <w:spacing w:val="-32"/>
        </w:rPr>
        <w:t> </w:t>
      </w:r>
      <w:r>
        <w:rPr/>
        <w:t>CO</w:t>
      </w:r>
      <w:r>
        <w:rPr>
          <w:vertAlign w:val="subscript"/>
        </w:rPr>
        <w:t>2</w:t>
      </w:r>
      <w:r>
        <w:rPr>
          <w:spacing w:val="-1"/>
          <w:vertAlign w:val="baseline"/>
        </w:rPr>
        <w:t> </w:t>
      </w:r>
      <w:r>
        <w:rPr>
          <w:vertAlign w:val="baseline"/>
        </w:rPr>
        <w:t>gases, although it is not exhaustive. The general applicability of the verification approaches for the estimations of emissions and removals from LULUCF sector for the reporting under the Kyoto Protocol is described in Section 5.7.4.</w:t>
      </w:r>
    </w:p>
    <w:p>
      <w:pPr>
        <w:pStyle w:val="BodyText"/>
        <w:spacing w:before="116"/>
        <w:ind w:left="179" w:right="1407"/>
        <w:jc w:val="both"/>
      </w:pPr>
      <w:r>
        <w:rPr/>
        <w:t>Generally, the most significant emissions and removals related to LULUCF are of carbon dioxide (CO</w:t>
      </w:r>
      <w:r>
        <w:rPr>
          <w:vertAlign w:val="subscript"/>
        </w:rPr>
        <w:t>2</w:t>
      </w:r>
      <w:r>
        <w:rPr>
          <w:vertAlign w:val="baseline"/>
        </w:rPr>
        <w:t>). However, the LULUCF sector also includes non- CO</w:t>
      </w:r>
      <w:r>
        <w:rPr>
          <w:vertAlign w:val="subscript"/>
        </w:rPr>
        <w:t>2</w:t>
      </w:r>
      <w:r>
        <w:rPr>
          <w:vertAlign w:val="baseline"/>
        </w:rPr>
        <w:t> greenhouse gases (mainly emissions) from the fertilisation of forests, land clearing, soil preparation for afforestation/reforestation, grasslands and croplands management and other practices. These non- CO</w:t>
      </w:r>
      <w:r>
        <w:rPr>
          <w:vertAlign w:val="subscript"/>
        </w:rPr>
        <w:t>2</w:t>
      </w:r>
      <w:r>
        <w:rPr>
          <w:vertAlign w:val="baseline"/>
        </w:rPr>
        <w:t> greenhouse gases include methane (CH</w:t>
      </w:r>
      <w:r>
        <w:rPr>
          <w:vertAlign w:val="subscript"/>
        </w:rPr>
        <w:t>4</w:t>
      </w:r>
      <w:r>
        <w:rPr>
          <w:vertAlign w:val="baseline"/>
        </w:rPr>
        <w:t>), nitrous oxide (N</w:t>
      </w:r>
      <w:r>
        <w:rPr>
          <w:vertAlign w:val="subscript"/>
        </w:rPr>
        <w:t>2</w:t>
      </w:r>
      <w:r>
        <w:rPr>
          <w:vertAlign w:val="baseline"/>
        </w:rPr>
        <w:t>O), carbon monoxide</w:t>
      </w:r>
      <w:r>
        <w:rPr>
          <w:spacing w:val="-2"/>
          <w:vertAlign w:val="baseline"/>
        </w:rPr>
        <w:t> </w:t>
      </w:r>
      <w:r>
        <w:rPr>
          <w:vertAlign w:val="baseline"/>
        </w:rPr>
        <w:t>(CO),</w:t>
      </w:r>
      <w:r>
        <w:rPr>
          <w:spacing w:val="-2"/>
          <w:vertAlign w:val="baseline"/>
        </w:rPr>
        <w:t> </w:t>
      </w:r>
      <w:r>
        <w:rPr>
          <w:vertAlign w:val="baseline"/>
        </w:rPr>
        <w:t>oxides</w:t>
      </w:r>
      <w:r>
        <w:rPr>
          <w:spacing w:val="-2"/>
          <w:vertAlign w:val="baseline"/>
        </w:rPr>
        <w:t> </w:t>
      </w:r>
      <w:r>
        <w:rPr>
          <w:vertAlign w:val="baseline"/>
        </w:rPr>
        <w:t>of</w:t>
      </w:r>
      <w:r>
        <w:rPr>
          <w:spacing w:val="-4"/>
          <w:vertAlign w:val="baseline"/>
        </w:rPr>
        <w:t> </w:t>
      </w:r>
      <w:r>
        <w:rPr>
          <w:vertAlign w:val="baseline"/>
        </w:rPr>
        <w:t>nitrogen</w:t>
      </w:r>
      <w:r>
        <w:rPr>
          <w:spacing w:val="-3"/>
          <w:vertAlign w:val="baseline"/>
        </w:rPr>
        <w:t> </w:t>
      </w:r>
      <w:r>
        <w:rPr>
          <w:vertAlign w:val="baseline"/>
        </w:rPr>
        <w:t>(NO</w:t>
      </w:r>
      <w:r>
        <w:rPr>
          <w:vertAlign w:val="subscript"/>
        </w:rPr>
        <w:t>x</w:t>
      </w:r>
      <w:r>
        <w:rPr>
          <w:vertAlign w:val="baseline"/>
        </w:rPr>
        <w:t>),</w:t>
      </w:r>
      <w:r>
        <w:rPr>
          <w:spacing w:val="-2"/>
          <w:vertAlign w:val="baseline"/>
        </w:rPr>
        <w:t> </w:t>
      </w:r>
      <w:r>
        <w:rPr>
          <w:vertAlign w:val="baseline"/>
        </w:rPr>
        <w:t>and</w:t>
      </w:r>
      <w:r>
        <w:rPr>
          <w:spacing w:val="-1"/>
          <w:vertAlign w:val="baseline"/>
        </w:rPr>
        <w:t> </w:t>
      </w:r>
      <w:r>
        <w:rPr>
          <w:vertAlign w:val="baseline"/>
        </w:rPr>
        <w:t>non-</w:t>
      </w:r>
      <w:r>
        <w:rPr>
          <w:spacing w:val="-32"/>
          <w:vertAlign w:val="baseline"/>
        </w:rPr>
        <w:t> </w:t>
      </w:r>
      <w:r>
        <w:rPr>
          <w:vertAlign w:val="baseline"/>
        </w:rPr>
        <w:t>methane volatile</w:t>
      </w:r>
      <w:r>
        <w:rPr>
          <w:spacing w:val="-1"/>
          <w:vertAlign w:val="baseline"/>
        </w:rPr>
        <w:t> </w:t>
      </w:r>
      <w:r>
        <w:rPr>
          <w:vertAlign w:val="baseline"/>
        </w:rPr>
        <w:t>organic</w:t>
      </w:r>
      <w:r>
        <w:rPr>
          <w:spacing w:val="-2"/>
          <w:vertAlign w:val="baseline"/>
        </w:rPr>
        <w:t> </w:t>
      </w:r>
      <w:r>
        <w:rPr>
          <w:vertAlign w:val="baseline"/>
        </w:rPr>
        <w:t>compounds</w:t>
      </w:r>
      <w:r>
        <w:rPr>
          <w:spacing w:val="-2"/>
          <w:vertAlign w:val="baseline"/>
        </w:rPr>
        <w:t> </w:t>
      </w:r>
      <w:r>
        <w:rPr>
          <w:vertAlign w:val="baseline"/>
        </w:rPr>
        <w:t>(NMVOCs).</w:t>
      </w:r>
      <w:r>
        <w:rPr>
          <w:spacing w:val="-3"/>
          <w:vertAlign w:val="baseline"/>
        </w:rPr>
        <w:t> </w:t>
      </w:r>
      <w:r>
        <w:rPr>
          <w:vertAlign w:val="baseline"/>
        </w:rPr>
        <w:t>Emissions and removals of CO</w:t>
      </w:r>
      <w:r>
        <w:rPr>
          <w:vertAlign w:val="subscript"/>
        </w:rPr>
        <w:t>2</w:t>
      </w:r>
      <w:r>
        <w:rPr>
          <w:vertAlign w:val="baseline"/>
        </w:rPr>
        <w:t> can be determined and verified directly as changes in carbon stocks in biomass or soils. For non- CO</w:t>
      </w:r>
      <w:r>
        <w:rPr>
          <w:vertAlign w:val="subscript"/>
        </w:rPr>
        <w:t>2</w:t>
      </w:r>
      <w:r>
        <w:rPr>
          <w:vertAlign w:val="baseline"/>
        </w:rPr>
        <w:t> gases, fluxes can be measured to verify annual emission</w:t>
      </w:r>
      <w:r>
        <w:rPr>
          <w:spacing w:val="-34"/>
          <w:vertAlign w:val="baseline"/>
        </w:rPr>
        <w:t> </w:t>
      </w:r>
      <w:r>
        <w:rPr>
          <w:vertAlign w:val="baseline"/>
        </w:rPr>
        <w:t>estimates.</w:t>
      </w:r>
    </w:p>
    <w:p>
      <w:pPr>
        <w:pStyle w:val="BodyText"/>
        <w:spacing w:before="120"/>
        <w:ind w:left="179" w:right="1400"/>
        <w:jc w:val="both"/>
      </w:pPr>
      <w:r>
        <w:rPr/>
        <w:t>There are many approaches that can be used to verify emission and removal estimates for the LULUCF sector. An overall verification exercise may include cross- checking of the results at different geographical scales, from regional to global. Such cross- checking, however, requires considerable time and it is likely to be implemented over multiple years rather than on single year basis. Compared to fossil fuel emissions, LULUCF activities are more difficult to assess over short time periods, because biospheric carbon is often difficult to monitor and slow to equilibrate. The assessment of the net anthropogenic impacts on biospheric carbon would consequently  require a long- term perspective (Nilsson</w:t>
      </w:r>
      <w:r>
        <w:rPr>
          <w:spacing w:val="-36"/>
        </w:rPr>
        <w:t> </w:t>
      </w:r>
      <w:r>
        <w:rPr>
          <w:i/>
        </w:rPr>
        <w:t>et al</w:t>
      </w:r>
      <w:r>
        <w:rPr/>
        <w:t>. 2001).</w:t>
      </w:r>
    </w:p>
    <w:p>
      <w:pPr>
        <w:pStyle w:val="BodyText"/>
        <w:spacing w:before="118"/>
        <w:ind w:left="179" w:right="1406"/>
        <w:jc w:val="both"/>
      </w:pPr>
      <w:r>
        <w:rPr/>
        <w:t>Table 5.7.1 summarises the applicability of a range of verification approaches to different aspects of LULUCF inventory estimation. More detailed descriptions of the approaches are given in the following part in this section.</w:t>
      </w:r>
    </w:p>
    <w:p>
      <w:pPr>
        <w:pStyle w:val="BodyText"/>
        <w:spacing w:before="2"/>
        <w:rPr>
          <w:sz w:val="21"/>
        </w:rPr>
      </w:pPr>
    </w:p>
    <w:p>
      <w:pPr>
        <w:pStyle w:val="Heading6"/>
        <w:spacing w:before="1"/>
        <w:ind w:left="179"/>
        <w:jc w:val="both"/>
      </w:pPr>
      <w:r>
        <w:rPr/>
        <w:t>APPROACH 1: COMPARISON TO OTHER INFORMATION</w:t>
      </w:r>
    </w:p>
    <w:p>
      <w:pPr>
        <w:pStyle w:val="BodyText"/>
        <w:spacing w:before="116"/>
        <w:ind w:left="179" w:right="1406"/>
        <w:jc w:val="both"/>
      </w:pPr>
      <w:r>
        <w:rPr/>
        <w:t>Comparison of the LULUCF inventory to other independently compiled inventories or data sets can be a useful and efficient means of verification. Two broad types of verification are possible under this approach:  comparison with independent inventories (Approach 1a) or comparison with international programmes and datasets (Approach</w:t>
      </w:r>
      <w:r>
        <w:rPr>
          <w:spacing w:val="-3"/>
        </w:rPr>
        <w:t> </w:t>
      </w:r>
      <w:r>
        <w:rPr/>
        <w:t>1b).</w:t>
      </w:r>
    </w:p>
    <w:p>
      <w:pPr>
        <w:pStyle w:val="BodyText"/>
        <w:spacing w:before="3"/>
        <w:rPr>
          <w:sz w:val="21"/>
        </w:rPr>
      </w:pPr>
    </w:p>
    <w:p>
      <w:pPr>
        <w:pStyle w:val="Heading6"/>
        <w:ind w:left="179"/>
        <w:jc w:val="both"/>
      </w:pPr>
      <w:r>
        <w:rPr/>
        <w:t>Approach 1a: Comparison with independent inventories</w:t>
      </w:r>
    </w:p>
    <w:p>
      <w:pPr>
        <w:pStyle w:val="BodyText"/>
        <w:spacing w:before="53"/>
        <w:ind w:left="179" w:right="1402"/>
        <w:jc w:val="both"/>
      </w:pPr>
      <w:r>
        <w:rPr/>
        <w:t>In some countries, it may be possible to verify the national LULUCF estimates prepared by the inventory agency with inventories put together by other organisations (i.e., other national, regional/provincial agencies, research organisations, etc.). Such external inventories can be used for verification if the same underlying data have not been used to produce the reported estimates and if the relationships between sectors and categories in the different inventories can be assessed. In this respect, it is </w:t>
      </w:r>
      <w:r>
        <w:rPr>
          <w:i/>
        </w:rPr>
        <w:t>good practice </w:t>
      </w:r>
      <w:r>
        <w:rPr/>
        <w:t>to ensure that the same dataset has not been already used to calculate/estimate some of the reported LULUCF category. When comparing independent inventories it is also important to take into account the uncertainties in the estimates.</w:t>
      </w:r>
    </w:p>
    <w:p>
      <w:pPr>
        <w:pStyle w:val="BodyText"/>
        <w:spacing w:before="119"/>
        <w:ind w:left="179" w:right="1402"/>
        <w:jc w:val="both"/>
      </w:pPr>
      <w:r>
        <w:rPr/>
        <w:t>Another effective verification approach is to compare inventory information between countries or groups of countries. Such comparison could be made for overall estimates of particular source/sink categories, default assumptions and/or data used to compile the national inventory. This approach can be quite inexpensive to perform, but care must be taken to ensure that the characteristics of the selected countries are, in fact,  comparable (i.e., they should have similar climatic or biome characteristics). Sometimes data based on inventories from other countries can be better related to national circumstances than those calculated with general default emission factors or activity data, and can in turn be used to improve the</w:t>
      </w:r>
      <w:r>
        <w:rPr>
          <w:spacing w:val="-20"/>
        </w:rPr>
        <w:t> </w:t>
      </w:r>
      <w:r>
        <w:rPr/>
        <w:t>inventory.</w:t>
      </w:r>
    </w:p>
    <w:p>
      <w:pPr>
        <w:pStyle w:val="BodyText"/>
        <w:spacing w:before="120"/>
        <w:ind w:left="179" w:right="1403"/>
        <w:jc w:val="both"/>
      </w:pPr>
      <w:r>
        <w:rPr/>
        <w:t>The comparison of inventory data or estimates with other inventories can be an inexpensive and fairly simple verification approach. In general, it does not require skilled technicians or highly trained personnel, particularly when compared to the requirements of approaches like remote sensing or modelling. It can be applied to all elements of an estimate, including land area classification, inventories of various carbon pools, estimates of non- CO</w:t>
      </w:r>
      <w:r>
        <w:rPr>
          <w:vertAlign w:val="subscript"/>
        </w:rPr>
        <w:t>2</w:t>
      </w:r>
      <w:r>
        <w:rPr>
          <w:vertAlign w:val="baseline"/>
        </w:rPr>
        <w:t> gases, and activities like afforestation, reforestation and deforestation. The key determinant in its</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8"/>
        <w:jc w:val="both"/>
      </w:pPr>
      <w:r>
        <w:rPr/>
        <w:t>applicability is the availability of alternative inventories against which to compare. It is </w:t>
      </w:r>
      <w:r>
        <w:rPr>
          <w:i/>
        </w:rPr>
        <w:t>good practice </w:t>
      </w:r>
      <w:r>
        <w:rPr/>
        <w:t>to use this approach if such inventories are available. If such comparisons identify significant differences, the causes should be investigated, in order to correctly interpret the results and flag possible areas for further inventory checks.</w:t>
      </w:r>
    </w:p>
    <w:p>
      <w:pPr>
        <w:pStyle w:val="BodyText"/>
      </w:pPr>
    </w:p>
    <w:p>
      <w:pPr>
        <w:pStyle w:val="BodyText"/>
        <w:spacing w:before="4" w:after="1"/>
        <w:rPr>
          <w:sz w:val="21"/>
        </w:rPr>
      </w:pPr>
    </w:p>
    <w:tbl>
      <w:tblPr>
        <w:tblW w:w="0" w:type="auto"/>
        <w:jc w:val="left"/>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2"/>
        <w:gridCol w:w="1442"/>
        <w:gridCol w:w="1399"/>
        <w:gridCol w:w="1665"/>
        <w:gridCol w:w="1262"/>
        <w:gridCol w:w="1802"/>
      </w:tblGrid>
      <w:tr>
        <w:trPr>
          <w:trHeight w:val="740" w:hRule="atLeast"/>
        </w:trPr>
        <w:tc>
          <w:tcPr>
            <w:tcW w:w="9012" w:type="dxa"/>
            <w:gridSpan w:val="6"/>
            <w:tcBorders>
              <w:bottom w:val="double" w:sz="1" w:space="0" w:color="000000"/>
            </w:tcBorders>
          </w:tcPr>
          <w:p>
            <w:pPr>
              <w:pStyle w:val="TableParagraph"/>
              <w:spacing w:before="59"/>
              <w:ind w:left="1300" w:right="1292"/>
              <w:jc w:val="center"/>
              <w:rPr>
                <w:b/>
                <w:sz w:val="18"/>
              </w:rPr>
            </w:pPr>
            <w:r>
              <w:rPr>
                <w:b/>
                <w:sz w:val="18"/>
              </w:rPr>
              <w:t>T</w:t>
            </w:r>
            <w:r>
              <w:rPr>
                <w:b/>
                <w:sz w:val="14"/>
              </w:rPr>
              <w:t>ABLE  </w:t>
            </w:r>
            <w:r>
              <w:rPr>
                <w:b/>
                <w:sz w:val="18"/>
              </w:rPr>
              <w:t>5.7.1</w:t>
            </w:r>
          </w:p>
          <w:p>
            <w:pPr>
              <w:pStyle w:val="TableParagraph"/>
              <w:spacing w:before="2"/>
              <w:ind w:left="1564" w:right="1554"/>
              <w:jc w:val="center"/>
              <w:rPr>
                <w:b/>
                <w:sz w:val="14"/>
              </w:rPr>
            </w:pPr>
            <w:r>
              <w:rPr>
                <w:b/>
                <w:sz w:val="18"/>
              </w:rPr>
              <w:t>A</w:t>
            </w:r>
            <w:r>
              <w:rPr>
                <w:b/>
                <w:sz w:val="14"/>
              </w:rPr>
              <w:t>PPLICABILITY OF VERIFICATION APPROACHES FOR LAND AREA IDENTIFICATION AND FOR CARBON POOLS AND NON</w:t>
            </w:r>
            <w:r>
              <w:rPr>
                <w:b/>
                <w:sz w:val="18"/>
              </w:rPr>
              <w:t>-CO</w:t>
            </w:r>
            <w:r>
              <w:rPr>
                <w:b/>
                <w:position w:val="-2"/>
                <w:sz w:val="12"/>
              </w:rPr>
              <w:t>2 </w:t>
            </w:r>
            <w:r>
              <w:rPr>
                <w:b/>
                <w:sz w:val="14"/>
              </w:rPr>
              <w:t>GREENHOUSE GASES</w:t>
            </w:r>
          </w:p>
        </w:tc>
      </w:tr>
      <w:tr>
        <w:trPr>
          <w:trHeight w:val="327" w:hRule="atLeast"/>
        </w:trPr>
        <w:tc>
          <w:tcPr>
            <w:tcW w:w="1442" w:type="dxa"/>
            <w:vMerge w:val="restart"/>
            <w:tcBorders>
              <w:top w:val="double" w:sz="1" w:space="0" w:color="000000"/>
            </w:tcBorders>
          </w:tcPr>
          <w:p>
            <w:pPr>
              <w:pStyle w:val="TableParagraph"/>
              <w:rPr>
                <w:sz w:val="18"/>
              </w:rPr>
            </w:pPr>
          </w:p>
        </w:tc>
        <w:tc>
          <w:tcPr>
            <w:tcW w:w="1442" w:type="dxa"/>
            <w:tcBorders>
              <w:top w:val="double" w:sz="1" w:space="0" w:color="000000"/>
              <w:bottom w:val="nil"/>
            </w:tcBorders>
          </w:tcPr>
          <w:p>
            <w:pPr>
              <w:pStyle w:val="TableParagraph"/>
              <w:spacing w:before="61"/>
              <w:ind w:left="266"/>
              <w:rPr>
                <w:b/>
                <w:sz w:val="18"/>
              </w:rPr>
            </w:pPr>
            <w:r>
              <w:rPr>
                <w:b/>
                <w:sz w:val="18"/>
              </w:rPr>
              <w:t>Approach 1</w:t>
            </w:r>
          </w:p>
        </w:tc>
        <w:tc>
          <w:tcPr>
            <w:tcW w:w="1399" w:type="dxa"/>
            <w:tcBorders>
              <w:top w:val="double" w:sz="1" w:space="0" w:color="000000"/>
              <w:bottom w:val="nil"/>
            </w:tcBorders>
          </w:tcPr>
          <w:p>
            <w:pPr>
              <w:pStyle w:val="TableParagraph"/>
              <w:spacing w:before="61"/>
              <w:ind w:left="245"/>
              <w:rPr>
                <w:b/>
                <w:sz w:val="18"/>
              </w:rPr>
            </w:pPr>
            <w:r>
              <w:rPr>
                <w:b/>
                <w:sz w:val="18"/>
              </w:rPr>
              <w:t>Approach 2</w:t>
            </w:r>
          </w:p>
        </w:tc>
        <w:tc>
          <w:tcPr>
            <w:tcW w:w="1665" w:type="dxa"/>
            <w:tcBorders>
              <w:top w:val="double" w:sz="1" w:space="0" w:color="000000"/>
              <w:bottom w:val="nil"/>
            </w:tcBorders>
          </w:tcPr>
          <w:p>
            <w:pPr>
              <w:pStyle w:val="TableParagraph"/>
              <w:spacing w:before="61"/>
              <w:ind w:left="380"/>
              <w:rPr>
                <w:b/>
                <w:sz w:val="18"/>
              </w:rPr>
            </w:pPr>
            <w:r>
              <w:rPr>
                <w:b/>
                <w:sz w:val="18"/>
              </w:rPr>
              <w:t>Approach 3</w:t>
            </w:r>
          </w:p>
        </w:tc>
        <w:tc>
          <w:tcPr>
            <w:tcW w:w="1262" w:type="dxa"/>
            <w:tcBorders>
              <w:top w:val="double" w:sz="1" w:space="0" w:color="000000"/>
              <w:bottom w:val="nil"/>
            </w:tcBorders>
          </w:tcPr>
          <w:p>
            <w:pPr>
              <w:pStyle w:val="TableParagraph"/>
              <w:spacing w:before="61"/>
              <w:ind w:left="179"/>
              <w:rPr>
                <w:b/>
                <w:sz w:val="18"/>
              </w:rPr>
            </w:pPr>
            <w:r>
              <w:rPr>
                <w:b/>
                <w:sz w:val="18"/>
              </w:rPr>
              <w:t>Approach 4</w:t>
            </w:r>
          </w:p>
        </w:tc>
        <w:tc>
          <w:tcPr>
            <w:tcW w:w="1802" w:type="dxa"/>
            <w:tcBorders>
              <w:top w:val="double" w:sz="1" w:space="0" w:color="000000"/>
              <w:bottom w:val="nil"/>
            </w:tcBorders>
          </w:tcPr>
          <w:p>
            <w:pPr>
              <w:pStyle w:val="TableParagraph"/>
              <w:spacing w:before="61"/>
              <w:ind w:left="450"/>
              <w:rPr>
                <w:b/>
                <w:sz w:val="18"/>
              </w:rPr>
            </w:pPr>
            <w:r>
              <w:rPr>
                <w:b/>
                <w:sz w:val="18"/>
              </w:rPr>
              <w:t>Approach 5</w:t>
            </w:r>
          </w:p>
        </w:tc>
      </w:tr>
      <w:tr>
        <w:trPr>
          <w:trHeight w:val="1351" w:hRule="atLeast"/>
        </w:trPr>
        <w:tc>
          <w:tcPr>
            <w:tcW w:w="1442" w:type="dxa"/>
            <w:vMerge/>
            <w:tcBorders>
              <w:top w:val="nil"/>
            </w:tcBorders>
          </w:tcPr>
          <w:p>
            <w:pPr>
              <w:rPr>
                <w:sz w:val="2"/>
                <w:szCs w:val="2"/>
              </w:rPr>
            </w:pPr>
          </w:p>
        </w:tc>
        <w:tc>
          <w:tcPr>
            <w:tcW w:w="1442" w:type="dxa"/>
            <w:tcBorders>
              <w:top w:val="nil"/>
            </w:tcBorders>
          </w:tcPr>
          <w:p>
            <w:pPr>
              <w:pStyle w:val="TableParagraph"/>
              <w:spacing w:before="51"/>
              <w:ind w:left="127" w:right="118" w:firstLine="1"/>
              <w:jc w:val="center"/>
              <w:rPr>
                <w:b/>
                <w:sz w:val="18"/>
              </w:rPr>
            </w:pPr>
            <w:r>
              <w:rPr>
                <w:b/>
                <w:sz w:val="18"/>
              </w:rPr>
              <w:t>Comparison with other inventories and other independent datasets</w:t>
            </w:r>
          </w:p>
        </w:tc>
        <w:tc>
          <w:tcPr>
            <w:tcW w:w="1399" w:type="dxa"/>
            <w:tcBorders>
              <w:top w:val="nil"/>
            </w:tcBorders>
          </w:tcPr>
          <w:p>
            <w:pPr>
              <w:pStyle w:val="TableParagraph"/>
              <w:spacing w:before="51"/>
              <w:ind w:left="291" w:right="281" w:hanging="2"/>
              <w:jc w:val="center"/>
              <w:rPr>
                <w:b/>
                <w:sz w:val="18"/>
              </w:rPr>
            </w:pPr>
            <w:r>
              <w:rPr>
                <w:b/>
                <w:sz w:val="18"/>
              </w:rPr>
              <w:t>Applying higher tier methods</w:t>
            </w:r>
          </w:p>
        </w:tc>
        <w:tc>
          <w:tcPr>
            <w:tcW w:w="1665" w:type="dxa"/>
            <w:tcBorders>
              <w:top w:val="nil"/>
            </w:tcBorders>
          </w:tcPr>
          <w:p>
            <w:pPr>
              <w:pStyle w:val="TableParagraph"/>
              <w:spacing w:before="51"/>
              <w:ind w:left="315" w:right="280" w:firstLine="278"/>
              <w:rPr>
                <w:b/>
                <w:sz w:val="18"/>
              </w:rPr>
            </w:pPr>
            <w:r>
              <w:rPr>
                <w:b/>
                <w:sz w:val="18"/>
              </w:rPr>
              <w:t>Direct measurement</w:t>
            </w:r>
          </w:p>
        </w:tc>
        <w:tc>
          <w:tcPr>
            <w:tcW w:w="1262" w:type="dxa"/>
            <w:tcBorders>
              <w:top w:val="nil"/>
            </w:tcBorders>
          </w:tcPr>
          <w:p>
            <w:pPr>
              <w:pStyle w:val="TableParagraph"/>
              <w:spacing w:before="51"/>
              <w:ind w:left="351" w:right="306" w:hanging="15"/>
              <w:rPr>
                <w:b/>
                <w:sz w:val="18"/>
              </w:rPr>
            </w:pPr>
            <w:r>
              <w:rPr>
                <w:b/>
                <w:sz w:val="18"/>
              </w:rPr>
              <w:t>Remote sensing</w:t>
            </w:r>
          </w:p>
        </w:tc>
        <w:tc>
          <w:tcPr>
            <w:tcW w:w="1802" w:type="dxa"/>
            <w:tcBorders>
              <w:top w:val="nil"/>
            </w:tcBorders>
          </w:tcPr>
          <w:p>
            <w:pPr>
              <w:pStyle w:val="TableParagraph"/>
              <w:spacing w:before="51"/>
              <w:ind w:left="513"/>
              <w:rPr>
                <w:b/>
                <w:sz w:val="18"/>
              </w:rPr>
            </w:pPr>
            <w:r>
              <w:rPr>
                <w:b/>
                <w:sz w:val="18"/>
              </w:rPr>
              <w:t>Modelling</w:t>
            </w:r>
          </w:p>
        </w:tc>
      </w:tr>
      <w:tr>
        <w:trPr>
          <w:trHeight w:val="532" w:hRule="atLeast"/>
        </w:trPr>
        <w:tc>
          <w:tcPr>
            <w:tcW w:w="1442" w:type="dxa"/>
          </w:tcPr>
          <w:p>
            <w:pPr>
              <w:pStyle w:val="TableParagraph"/>
              <w:spacing w:before="59"/>
              <w:ind w:left="98"/>
              <w:rPr>
                <w:b/>
                <w:sz w:val="18"/>
              </w:rPr>
            </w:pPr>
            <w:r>
              <w:rPr>
                <w:b/>
                <w:sz w:val="18"/>
              </w:rPr>
              <w:t>Land area</w:t>
            </w:r>
          </w:p>
        </w:tc>
        <w:tc>
          <w:tcPr>
            <w:tcW w:w="1442" w:type="dxa"/>
          </w:tcPr>
          <w:p>
            <w:pPr>
              <w:pStyle w:val="TableParagraph"/>
              <w:spacing w:before="55"/>
              <w:ind w:left="98" w:right="179"/>
              <w:rPr>
                <w:sz w:val="18"/>
              </w:rPr>
            </w:pPr>
            <w:r>
              <w:rPr>
                <w:sz w:val="18"/>
              </w:rPr>
              <w:t>Suitable, if data are available</w:t>
            </w:r>
          </w:p>
        </w:tc>
        <w:tc>
          <w:tcPr>
            <w:tcW w:w="1399" w:type="dxa"/>
          </w:tcPr>
          <w:p>
            <w:pPr>
              <w:pStyle w:val="TableParagraph"/>
              <w:spacing w:before="55"/>
              <w:ind w:left="98" w:right="136"/>
              <w:rPr>
                <w:sz w:val="18"/>
              </w:rPr>
            </w:pPr>
            <w:r>
              <w:rPr>
                <w:sz w:val="18"/>
              </w:rPr>
              <w:t>Suitable, if data are available</w:t>
            </w:r>
          </w:p>
        </w:tc>
        <w:tc>
          <w:tcPr>
            <w:tcW w:w="1665" w:type="dxa"/>
          </w:tcPr>
          <w:p>
            <w:pPr>
              <w:pStyle w:val="TableParagraph"/>
              <w:spacing w:before="55"/>
              <w:ind w:left="99"/>
              <w:rPr>
                <w:sz w:val="18"/>
              </w:rPr>
            </w:pPr>
            <w:r>
              <w:rPr>
                <w:sz w:val="18"/>
              </w:rPr>
              <w:t>Not applicable</w:t>
            </w:r>
          </w:p>
        </w:tc>
        <w:tc>
          <w:tcPr>
            <w:tcW w:w="1262" w:type="dxa"/>
          </w:tcPr>
          <w:p>
            <w:pPr>
              <w:pStyle w:val="TableParagraph"/>
              <w:spacing w:before="55"/>
              <w:ind w:left="100"/>
              <w:rPr>
                <w:sz w:val="18"/>
              </w:rPr>
            </w:pPr>
            <w:r>
              <w:rPr>
                <w:sz w:val="18"/>
              </w:rPr>
              <w:t>Suitable</w:t>
            </w:r>
          </w:p>
        </w:tc>
        <w:tc>
          <w:tcPr>
            <w:tcW w:w="1802" w:type="dxa"/>
          </w:tcPr>
          <w:p>
            <w:pPr>
              <w:pStyle w:val="TableParagraph"/>
              <w:spacing w:before="55"/>
              <w:ind w:left="99"/>
              <w:rPr>
                <w:sz w:val="18"/>
              </w:rPr>
            </w:pPr>
            <w:r>
              <w:rPr>
                <w:sz w:val="18"/>
              </w:rPr>
              <w:t>Not applicable</w:t>
            </w:r>
          </w:p>
        </w:tc>
      </w:tr>
      <w:tr>
        <w:trPr>
          <w:trHeight w:val="328" w:hRule="atLeast"/>
        </w:trPr>
        <w:tc>
          <w:tcPr>
            <w:tcW w:w="9012" w:type="dxa"/>
            <w:gridSpan w:val="6"/>
          </w:tcPr>
          <w:p>
            <w:pPr>
              <w:pStyle w:val="TableParagraph"/>
              <w:spacing w:before="59"/>
              <w:ind w:left="98"/>
              <w:rPr>
                <w:b/>
                <w:sz w:val="18"/>
              </w:rPr>
            </w:pPr>
            <w:r>
              <w:rPr>
                <w:b/>
                <w:sz w:val="18"/>
              </w:rPr>
              <w:t>Carbon pools</w:t>
            </w:r>
          </w:p>
        </w:tc>
      </w:tr>
      <w:tr>
        <w:trPr>
          <w:trHeight w:val="738" w:hRule="atLeast"/>
        </w:trPr>
        <w:tc>
          <w:tcPr>
            <w:tcW w:w="1442" w:type="dxa"/>
          </w:tcPr>
          <w:p>
            <w:pPr>
              <w:pStyle w:val="TableParagraph"/>
              <w:spacing w:before="55"/>
              <w:ind w:left="210" w:right="212"/>
              <w:rPr>
                <w:sz w:val="18"/>
              </w:rPr>
            </w:pPr>
            <w:r>
              <w:rPr>
                <w:sz w:val="18"/>
              </w:rPr>
              <w:t>Aboveground biomass</w:t>
            </w:r>
          </w:p>
        </w:tc>
        <w:tc>
          <w:tcPr>
            <w:tcW w:w="1442" w:type="dxa"/>
          </w:tcPr>
          <w:p>
            <w:pPr>
              <w:pStyle w:val="TableParagraph"/>
              <w:spacing w:before="55"/>
              <w:ind w:left="98" w:right="179"/>
              <w:rPr>
                <w:sz w:val="18"/>
              </w:rPr>
            </w:pPr>
            <w:r>
              <w:rPr>
                <w:sz w:val="18"/>
              </w:rPr>
              <w:t>Suitable, if data are available</w:t>
            </w:r>
          </w:p>
        </w:tc>
        <w:tc>
          <w:tcPr>
            <w:tcW w:w="1399" w:type="dxa"/>
          </w:tcPr>
          <w:p>
            <w:pPr>
              <w:pStyle w:val="TableParagraph"/>
              <w:spacing w:before="55"/>
              <w:ind w:left="98" w:right="136"/>
              <w:rPr>
                <w:sz w:val="18"/>
              </w:rPr>
            </w:pPr>
            <w:r>
              <w:rPr>
                <w:sz w:val="18"/>
              </w:rPr>
              <w:t>Suitable, if data are available</w:t>
            </w:r>
          </w:p>
        </w:tc>
        <w:tc>
          <w:tcPr>
            <w:tcW w:w="1665" w:type="dxa"/>
          </w:tcPr>
          <w:p>
            <w:pPr>
              <w:pStyle w:val="TableParagraph"/>
              <w:spacing w:line="207" w:lineRule="exact" w:before="55"/>
              <w:ind w:left="99"/>
              <w:rPr>
                <w:sz w:val="18"/>
              </w:rPr>
            </w:pPr>
            <w:r>
              <w:rPr>
                <w:sz w:val="18"/>
              </w:rPr>
              <w:t>Suitable</w:t>
            </w:r>
          </w:p>
          <w:p>
            <w:pPr>
              <w:pStyle w:val="TableParagraph"/>
              <w:spacing w:line="207" w:lineRule="exact"/>
              <w:ind w:left="99"/>
              <w:rPr>
                <w:sz w:val="18"/>
              </w:rPr>
            </w:pPr>
            <w:r>
              <w:rPr>
                <w:sz w:val="18"/>
              </w:rPr>
              <w:t>(resource-intensive)</w:t>
            </w:r>
          </w:p>
        </w:tc>
        <w:tc>
          <w:tcPr>
            <w:tcW w:w="1262" w:type="dxa"/>
          </w:tcPr>
          <w:p>
            <w:pPr>
              <w:pStyle w:val="TableParagraph"/>
              <w:spacing w:before="55"/>
              <w:ind w:left="99" w:right="218"/>
              <w:rPr>
                <w:sz w:val="18"/>
              </w:rPr>
            </w:pPr>
            <w:r>
              <w:rPr>
                <w:sz w:val="18"/>
              </w:rPr>
              <w:t>Suitable (ground data needed)</w:t>
            </w:r>
          </w:p>
        </w:tc>
        <w:tc>
          <w:tcPr>
            <w:tcW w:w="1802" w:type="dxa"/>
          </w:tcPr>
          <w:p>
            <w:pPr>
              <w:pStyle w:val="TableParagraph"/>
              <w:spacing w:before="55"/>
              <w:ind w:left="100" w:right="192"/>
              <w:rPr>
                <w:sz w:val="18"/>
              </w:rPr>
            </w:pPr>
            <w:r>
              <w:rPr>
                <w:sz w:val="18"/>
              </w:rPr>
              <w:t>Suitable (regression, ecosystem and growth models)</w:t>
            </w:r>
          </w:p>
        </w:tc>
      </w:tr>
      <w:tr>
        <w:trPr>
          <w:trHeight w:val="741" w:hRule="atLeast"/>
        </w:trPr>
        <w:tc>
          <w:tcPr>
            <w:tcW w:w="1442" w:type="dxa"/>
          </w:tcPr>
          <w:p>
            <w:pPr>
              <w:pStyle w:val="TableParagraph"/>
              <w:spacing w:before="55"/>
              <w:ind w:left="210" w:right="222"/>
              <w:rPr>
                <w:sz w:val="18"/>
              </w:rPr>
            </w:pPr>
            <w:r>
              <w:rPr>
                <w:sz w:val="18"/>
              </w:rPr>
              <w:t>Belowground biomass</w:t>
            </w:r>
          </w:p>
        </w:tc>
        <w:tc>
          <w:tcPr>
            <w:tcW w:w="1442" w:type="dxa"/>
          </w:tcPr>
          <w:p>
            <w:pPr>
              <w:pStyle w:val="TableParagraph"/>
              <w:spacing w:before="55"/>
              <w:ind w:left="98" w:right="179"/>
              <w:rPr>
                <w:sz w:val="18"/>
              </w:rPr>
            </w:pPr>
            <w:r>
              <w:rPr>
                <w:sz w:val="18"/>
              </w:rPr>
              <w:t>Suitable, if data are available</w:t>
            </w:r>
          </w:p>
        </w:tc>
        <w:tc>
          <w:tcPr>
            <w:tcW w:w="1399" w:type="dxa"/>
          </w:tcPr>
          <w:p>
            <w:pPr>
              <w:pStyle w:val="TableParagraph"/>
              <w:spacing w:before="55"/>
              <w:ind w:left="98" w:right="136"/>
              <w:rPr>
                <w:sz w:val="18"/>
              </w:rPr>
            </w:pPr>
            <w:r>
              <w:rPr>
                <w:sz w:val="18"/>
              </w:rPr>
              <w:t>Suitable, if data are available</w:t>
            </w:r>
          </w:p>
        </w:tc>
        <w:tc>
          <w:tcPr>
            <w:tcW w:w="1665" w:type="dxa"/>
          </w:tcPr>
          <w:p>
            <w:pPr>
              <w:pStyle w:val="TableParagraph"/>
              <w:spacing w:before="55"/>
              <w:ind w:left="99"/>
              <w:rPr>
                <w:sz w:val="18"/>
              </w:rPr>
            </w:pPr>
            <w:r>
              <w:rPr>
                <w:sz w:val="18"/>
              </w:rPr>
              <w:t>Suitable</w:t>
            </w:r>
          </w:p>
          <w:p>
            <w:pPr>
              <w:pStyle w:val="TableParagraph"/>
              <w:spacing w:before="1"/>
              <w:ind w:left="99"/>
              <w:rPr>
                <w:sz w:val="18"/>
              </w:rPr>
            </w:pPr>
            <w:r>
              <w:rPr>
                <w:sz w:val="18"/>
              </w:rPr>
              <w:t>(resource-intensive)</w:t>
            </w:r>
          </w:p>
        </w:tc>
        <w:tc>
          <w:tcPr>
            <w:tcW w:w="1262" w:type="dxa"/>
          </w:tcPr>
          <w:p>
            <w:pPr>
              <w:pStyle w:val="TableParagraph"/>
              <w:spacing w:before="55"/>
              <w:ind w:left="99"/>
              <w:rPr>
                <w:sz w:val="18"/>
              </w:rPr>
            </w:pPr>
            <w:r>
              <w:rPr>
                <w:sz w:val="18"/>
              </w:rPr>
              <w:t>Not applicable</w:t>
            </w:r>
          </w:p>
        </w:tc>
        <w:tc>
          <w:tcPr>
            <w:tcW w:w="1802" w:type="dxa"/>
          </w:tcPr>
          <w:p>
            <w:pPr>
              <w:pStyle w:val="TableParagraph"/>
              <w:spacing w:before="55"/>
              <w:ind w:left="100" w:right="147"/>
              <w:rPr>
                <w:sz w:val="18"/>
              </w:rPr>
            </w:pPr>
            <w:r>
              <w:rPr>
                <w:sz w:val="18"/>
              </w:rPr>
              <w:t>Suitable, (regression, ecosystem and growth models)</w:t>
            </w:r>
          </w:p>
        </w:tc>
      </w:tr>
      <w:tr>
        <w:trPr>
          <w:trHeight w:val="947" w:hRule="atLeast"/>
        </w:trPr>
        <w:tc>
          <w:tcPr>
            <w:tcW w:w="1442" w:type="dxa"/>
          </w:tcPr>
          <w:p>
            <w:pPr>
              <w:pStyle w:val="TableParagraph"/>
              <w:spacing w:before="55"/>
              <w:ind w:left="210"/>
              <w:rPr>
                <w:sz w:val="18"/>
              </w:rPr>
            </w:pPr>
            <w:r>
              <w:rPr>
                <w:sz w:val="18"/>
              </w:rPr>
              <w:t>Dead wood</w:t>
            </w:r>
          </w:p>
        </w:tc>
        <w:tc>
          <w:tcPr>
            <w:tcW w:w="1442" w:type="dxa"/>
          </w:tcPr>
          <w:p>
            <w:pPr>
              <w:pStyle w:val="TableParagraph"/>
              <w:spacing w:before="55"/>
              <w:ind w:left="98" w:right="181" w:hanging="2"/>
              <w:rPr>
                <w:sz w:val="18"/>
              </w:rPr>
            </w:pPr>
            <w:r>
              <w:rPr>
                <w:sz w:val="18"/>
              </w:rPr>
              <w:t>Suitable, if data are available</w:t>
            </w:r>
          </w:p>
        </w:tc>
        <w:tc>
          <w:tcPr>
            <w:tcW w:w="1399" w:type="dxa"/>
          </w:tcPr>
          <w:p>
            <w:pPr>
              <w:pStyle w:val="TableParagraph"/>
              <w:spacing w:before="55"/>
              <w:ind w:left="98" w:right="136"/>
              <w:rPr>
                <w:sz w:val="18"/>
              </w:rPr>
            </w:pPr>
            <w:r>
              <w:rPr>
                <w:sz w:val="18"/>
              </w:rPr>
              <w:t>Suitable, if data are available</w:t>
            </w:r>
          </w:p>
        </w:tc>
        <w:tc>
          <w:tcPr>
            <w:tcW w:w="1665" w:type="dxa"/>
          </w:tcPr>
          <w:p>
            <w:pPr>
              <w:pStyle w:val="TableParagraph"/>
              <w:spacing w:line="207" w:lineRule="exact" w:before="55"/>
              <w:ind w:left="99"/>
              <w:rPr>
                <w:sz w:val="18"/>
              </w:rPr>
            </w:pPr>
            <w:r>
              <w:rPr>
                <w:sz w:val="18"/>
              </w:rPr>
              <w:t>Suitable</w:t>
            </w:r>
          </w:p>
          <w:p>
            <w:pPr>
              <w:pStyle w:val="TableParagraph"/>
              <w:spacing w:line="207" w:lineRule="exact"/>
              <w:ind w:left="99"/>
              <w:rPr>
                <w:sz w:val="18"/>
              </w:rPr>
            </w:pPr>
            <w:r>
              <w:rPr>
                <w:sz w:val="18"/>
              </w:rPr>
              <w:t>(resource-intensive)</w:t>
            </w:r>
          </w:p>
        </w:tc>
        <w:tc>
          <w:tcPr>
            <w:tcW w:w="1262" w:type="dxa"/>
          </w:tcPr>
          <w:p>
            <w:pPr>
              <w:pStyle w:val="TableParagraph"/>
              <w:spacing w:before="55"/>
              <w:ind w:left="99"/>
              <w:rPr>
                <w:sz w:val="18"/>
              </w:rPr>
            </w:pPr>
            <w:r>
              <w:rPr>
                <w:sz w:val="18"/>
              </w:rPr>
              <w:t>Not applicable</w:t>
            </w:r>
          </w:p>
        </w:tc>
        <w:tc>
          <w:tcPr>
            <w:tcW w:w="1802" w:type="dxa"/>
          </w:tcPr>
          <w:p>
            <w:pPr>
              <w:pStyle w:val="TableParagraph"/>
              <w:spacing w:before="55"/>
              <w:ind w:left="100" w:right="459"/>
              <w:rPr>
                <w:sz w:val="18"/>
              </w:rPr>
            </w:pPr>
            <w:r>
              <w:rPr>
                <w:sz w:val="18"/>
              </w:rPr>
              <w:t>Applicable (ecosystem and inventory- based models)</w:t>
            </w:r>
          </w:p>
        </w:tc>
      </w:tr>
      <w:tr>
        <w:trPr>
          <w:trHeight w:val="947" w:hRule="atLeast"/>
        </w:trPr>
        <w:tc>
          <w:tcPr>
            <w:tcW w:w="1442" w:type="dxa"/>
          </w:tcPr>
          <w:p>
            <w:pPr>
              <w:pStyle w:val="TableParagraph"/>
              <w:spacing w:before="55"/>
              <w:ind w:left="210"/>
              <w:rPr>
                <w:sz w:val="18"/>
              </w:rPr>
            </w:pPr>
            <w:r>
              <w:rPr>
                <w:sz w:val="18"/>
              </w:rPr>
              <w:t>Litter</w:t>
            </w:r>
          </w:p>
        </w:tc>
        <w:tc>
          <w:tcPr>
            <w:tcW w:w="1442" w:type="dxa"/>
          </w:tcPr>
          <w:p>
            <w:pPr>
              <w:pStyle w:val="TableParagraph"/>
              <w:spacing w:before="55"/>
              <w:ind w:left="98" w:right="178" w:firstLine="1"/>
              <w:rPr>
                <w:sz w:val="18"/>
              </w:rPr>
            </w:pPr>
            <w:r>
              <w:rPr>
                <w:sz w:val="18"/>
              </w:rPr>
              <w:t>Suitable, if data are available</w:t>
            </w:r>
          </w:p>
        </w:tc>
        <w:tc>
          <w:tcPr>
            <w:tcW w:w="1399" w:type="dxa"/>
          </w:tcPr>
          <w:p>
            <w:pPr>
              <w:pStyle w:val="TableParagraph"/>
              <w:spacing w:before="55"/>
              <w:ind w:left="98" w:right="136"/>
              <w:rPr>
                <w:sz w:val="18"/>
              </w:rPr>
            </w:pPr>
            <w:r>
              <w:rPr>
                <w:sz w:val="18"/>
              </w:rPr>
              <w:t>Suitable, if data are available</w:t>
            </w:r>
          </w:p>
        </w:tc>
        <w:tc>
          <w:tcPr>
            <w:tcW w:w="1665" w:type="dxa"/>
          </w:tcPr>
          <w:p>
            <w:pPr>
              <w:pStyle w:val="TableParagraph"/>
              <w:spacing w:line="207" w:lineRule="exact" w:before="55"/>
              <w:ind w:left="99"/>
              <w:rPr>
                <w:sz w:val="18"/>
              </w:rPr>
            </w:pPr>
            <w:r>
              <w:rPr>
                <w:sz w:val="18"/>
              </w:rPr>
              <w:t>Suitable</w:t>
            </w:r>
          </w:p>
          <w:p>
            <w:pPr>
              <w:pStyle w:val="TableParagraph"/>
              <w:spacing w:line="207" w:lineRule="exact"/>
              <w:ind w:left="99"/>
              <w:rPr>
                <w:sz w:val="18"/>
              </w:rPr>
            </w:pPr>
            <w:r>
              <w:rPr>
                <w:sz w:val="18"/>
              </w:rPr>
              <w:t>(resource-intensive)</w:t>
            </w:r>
          </w:p>
        </w:tc>
        <w:tc>
          <w:tcPr>
            <w:tcW w:w="1262" w:type="dxa"/>
          </w:tcPr>
          <w:p>
            <w:pPr>
              <w:pStyle w:val="TableParagraph"/>
              <w:spacing w:before="55"/>
              <w:ind w:left="99"/>
              <w:rPr>
                <w:sz w:val="18"/>
              </w:rPr>
            </w:pPr>
            <w:r>
              <w:rPr>
                <w:sz w:val="18"/>
              </w:rPr>
              <w:t>Not applicable</w:t>
            </w:r>
          </w:p>
        </w:tc>
        <w:tc>
          <w:tcPr>
            <w:tcW w:w="1802" w:type="dxa"/>
          </w:tcPr>
          <w:p>
            <w:pPr>
              <w:pStyle w:val="TableParagraph"/>
              <w:spacing w:before="55"/>
              <w:ind w:left="100" w:right="459"/>
              <w:rPr>
                <w:sz w:val="18"/>
              </w:rPr>
            </w:pPr>
            <w:r>
              <w:rPr>
                <w:sz w:val="18"/>
              </w:rPr>
              <w:t>Applicable (ecosystem and inventory- based models)</w:t>
            </w:r>
          </w:p>
        </w:tc>
      </w:tr>
      <w:tr>
        <w:trPr>
          <w:trHeight w:val="741" w:hRule="atLeast"/>
        </w:trPr>
        <w:tc>
          <w:tcPr>
            <w:tcW w:w="1442" w:type="dxa"/>
          </w:tcPr>
          <w:p>
            <w:pPr>
              <w:pStyle w:val="TableParagraph"/>
              <w:spacing w:before="55"/>
              <w:ind w:left="210" w:right="327"/>
              <w:rPr>
                <w:sz w:val="18"/>
              </w:rPr>
            </w:pPr>
            <w:r>
              <w:rPr>
                <w:sz w:val="18"/>
              </w:rPr>
              <w:t>Soil organic matter</w:t>
            </w:r>
          </w:p>
        </w:tc>
        <w:tc>
          <w:tcPr>
            <w:tcW w:w="1442" w:type="dxa"/>
          </w:tcPr>
          <w:p>
            <w:pPr>
              <w:pStyle w:val="TableParagraph"/>
              <w:spacing w:before="55"/>
              <w:ind w:left="98" w:right="179"/>
              <w:rPr>
                <w:sz w:val="18"/>
              </w:rPr>
            </w:pPr>
            <w:r>
              <w:rPr>
                <w:sz w:val="18"/>
              </w:rPr>
              <w:t>Suitable, if data are available</w:t>
            </w:r>
          </w:p>
        </w:tc>
        <w:tc>
          <w:tcPr>
            <w:tcW w:w="1399" w:type="dxa"/>
          </w:tcPr>
          <w:p>
            <w:pPr>
              <w:pStyle w:val="TableParagraph"/>
              <w:spacing w:before="55"/>
              <w:ind w:left="98" w:right="136"/>
              <w:rPr>
                <w:sz w:val="18"/>
              </w:rPr>
            </w:pPr>
            <w:r>
              <w:rPr>
                <w:sz w:val="18"/>
              </w:rPr>
              <w:t>Suitable, if data are available</w:t>
            </w:r>
          </w:p>
        </w:tc>
        <w:tc>
          <w:tcPr>
            <w:tcW w:w="1665" w:type="dxa"/>
          </w:tcPr>
          <w:p>
            <w:pPr>
              <w:pStyle w:val="TableParagraph"/>
              <w:spacing w:line="207" w:lineRule="exact" w:before="55"/>
              <w:ind w:left="99"/>
              <w:rPr>
                <w:sz w:val="18"/>
              </w:rPr>
            </w:pPr>
            <w:r>
              <w:rPr>
                <w:sz w:val="18"/>
              </w:rPr>
              <w:t>Suitable</w:t>
            </w:r>
          </w:p>
          <w:p>
            <w:pPr>
              <w:pStyle w:val="TableParagraph"/>
              <w:spacing w:line="207" w:lineRule="exact"/>
              <w:ind w:left="99"/>
              <w:rPr>
                <w:sz w:val="18"/>
              </w:rPr>
            </w:pPr>
            <w:r>
              <w:rPr>
                <w:sz w:val="18"/>
              </w:rPr>
              <w:t>(resource-intensive)</w:t>
            </w:r>
          </w:p>
        </w:tc>
        <w:tc>
          <w:tcPr>
            <w:tcW w:w="1262" w:type="dxa"/>
          </w:tcPr>
          <w:p>
            <w:pPr>
              <w:pStyle w:val="TableParagraph"/>
              <w:spacing w:before="55"/>
              <w:ind w:left="99"/>
              <w:rPr>
                <w:sz w:val="18"/>
              </w:rPr>
            </w:pPr>
            <w:r>
              <w:rPr>
                <w:sz w:val="18"/>
              </w:rPr>
              <w:t>Not applicable</w:t>
            </w:r>
          </w:p>
        </w:tc>
        <w:tc>
          <w:tcPr>
            <w:tcW w:w="1802" w:type="dxa"/>
          </w:tcPr>
          <w:p>
            <w:pPr>
              <w:pStyle w:val="TableParagraph"/>
              <w:spacing w:before="55"/>
              <w:ind w:left="100" w:right="207"/>
              <w:jc w:val="both"/>
              <w:rPr>
                <w:sz w:val="18"/>
              </w:rPr>
            </w:pPr>
            <w:r>
              <w:rPr>
                <w:sz w:val="18"/>
              </w:rPr>
              <w:t>Suitable (ecosystem and inventory-</w:t>
            </w:r>
            <w:r>
              <w:rPr>
                <w:spacing w:val="-27"/>
                <w:sz w:val="18"/>
              </w:rPr>
              <w:t> </w:t>
            </w:r>
            <w:r>
              <w:rPr>
                <w:spacing w:val="-4"/>
                <w:sz w:val="18"/>
              </w:rPr>
              <w:t>based </w:t>
            </w:r>
            <w:r>
              <w:rPr>
                <w:sz w:val="18"/>
              </w:rPr>
              <w:t>models)</w:t>
            </w:r>
          </w:p>
        </w:tc>
      </w:tr>
      <w:tr>
        <w:trPr>
          <w:trHeight w:val="738" w:hRule="atLeast"/>
        </w:trPr>
        <w:tc>
          <w:tcPr>
            <w:tcW w:w="1442" w:type="dxa"/>
          </w:tcPr>
          <w:p>
            <w:pPr>
              <w:pStyle w:val="TableParagraph"/>
              <w:spacing w:line="207" w:lineRule="exact" w:before="59"/>
              <w:ind w:left="98"/>
              <w:rPr>
                <w:b/>
                <w:sz w:val="18"/>
              </w:rPr>
            </w:pPr>
            <w:r>
              <w:rPr>
                <w:b/>
                <w:sz w:val="18"/>
              </w:rPr>
              <w:t>Non- CO</w:t>
            </w:r>
            <w:r>
              <w:rPr>
                <w:b/>
                <w:sz w:val="18"/>
                <w:vertAlign w:val="subscript"/>
              </w:rPr>
              <w:t>2</w:t>
            </w:r>
          </w:p>
          <w:p>
            <w:pPr>
              <w:pStyle w:val="TableParagraph"/>
              <w:ind w:left="98" w:right="444"/>
              <w:rPr>
                <w:b/>
                <w:sz w:val="18"/>
              </w:rPr>
            </w:pPr>
            <w:r>
              <w:rPr>
                <w:b/>
                <w:sz w:val="18"/>
              </w:rPr>
              <w:t>greenhouse gases</w:t>
            </w:r>
          </w:p>
        </w:tc>
        <w:tc>
          <w:tcPr>
            <w:tcW w:w="1442" w:type="dxa"/>
          </w:tcPr>
          <w:p>
            <w:pPr>
              <w:pStyle w:val="TableParagraph"/>
              <w:spacing w:before="55"/>
              <w:ind w:left="98" w:right="179"/>
              <w:rPr>
                <w:sz w:val="18"/>
              </w:rPr>
            </w:pPr>
            <w:r>
              <w:rPr>
                <w:sz w:val="18"/>
              </w:rPr>
              <w:t>Suitable, if data are available</w:t>
            </w:r>
          </w:p>
        </w:tc>
        <w:tc>
          <w:tcPr>
            <w:tcW w:w="1399" w:type="dxa"/>
          </w:tcPr>
          <w:p>
            <w:pPr>
              <w:pStyle w:val="TableParagraph"/>
              <w:spacing w:before="55"/>
              <w:ind w:left="98" w:right="136"/>
              <w:rPr>
                <w:sz w:val="18"/>
              </w:rPr>
            </w:pPr>
            <w:r>
              <w:rPr>
                <w:sz w:val="18"/>
              </w:rPr>
              <w:t>Suitable, if data are available</w:t>
            </w:r>
          </w:p>
        </w:tc>
        <w:tc>
          <w:tcPr>
            <w:tcW w:w="1665" w:type="dxa"/>
          </w:tcPr>
          <w:p>
            <w:pPr>
              <w:pStyle w:val="TableParagraph"/>
              <w:spacing w:line="207" w:lineRule="exact" w:before="55"/>
              <w:ind w:left="99"/>
              <w:rPr>
                <w:sz w:val="18"/>
              </w:rPr>
            </w:pPr>
            <w:r>
              <w:rPr>
                <w:sz w:val="18"/>
              </w:rPr>
              <w:t>Suitable</w:t>
            </w:r>
          </w:p>
          <w:p>
            <w:pPr>
              <w:pStyle w:val="TableParagraph"/>
              <w:spacing w:line="207" w:lineRule="exact"/>
              <w:ind w:left="99"/>
              <w:rPr>
                <w:sz w:val="18"/>
              </w:rPr>
            </w:pPr>
            <w:r>
              <w:rPr>
                <w:sz w:val="18"/>
              </w:rPr>
              <w:t>(resource-intensive)</w:t>
            </w:r>
          </w:p>
        </w:tc>
        <w:tc>
          <w:tcPr>
            <w:tcW w:w="1262" w:type="dxa"/>
          </w:tcPr>
          <w:p>
            <w:pPr>
              <w:pStyle w:val="TableParagraph"/>
              <w:spacing w:before="55"/>
              <w:ind w:left="99"/>
              <w:rPr>
                <w:sz w:val="18"/>
              </w:rPr>
            </w:pPr>
            <w:r>
              <w:rPr>
                <w:sz w:val="18"/>
              </w:rPr>
              <w:t>Not applicable</w:t>
            </w:r>
          </w:p>
        </w:tc>
        <w:tc>
          <w:tcPr>
            <w:tcW w:w="1802" w:type="dxa"/>
          </w:tcPr>
          <w:p>
            <w:pPr>
              <w:pStyle w:val="TableParagraph"/>
              <w:spacing w:before="55"/>
              <w:ind w:left="100" w:right="227"/>
              <w:rPr>
                <w:sz w:val="18"/>
              </w:rPr>
            </w:pPr>
            <w:r>
              <w:rPr>
                <w:sz w:val="18"/>
              </w:rPr>
              <w:t>Suitable (ecosystem models)</w:t>
            </w:r>
          </w:p>
        </w:tc>
      </w:tr>
      <w:tr>
        <w:trPr>
          <w:trHeight w:val="534" w:hRule="atLeast"/>
        </w:trPr>
        <w:tc>
          <w:tcPr>
            <w:tcW w:w="1442" w:type="dxa"/>
          </w:tcPr>
          <w:p>
            <w:pPr>
              <w:pStyle w:val="TableParagraph"/>
              <w:spacing w:before="59"/>
              <w:ind w:left="98" w:right="613"/>
              <w:rPr>
                <w:b/>
                <w:sz w:val="18"/>
              </w:rPr>
            </w:pPr>
            <w:r>
              <w:rPr>
                <w:b/>
                <w:sz w:val="18"/>
              </w:rPr>
              <w:t>Emission factors</w:t>
            </w:r>
          </w:p>
        </w:tc>
        <w:tc>
          <w:tcPr>
            <w:tcW w:w="1442" w:type="dxa"/>
          </w:tcPr>
          <w:p>
            <w:pPr>
              <w:pStyle w:val="TableParagraph"/>
              <w:spacing w:before="55"/>
              <w:ind w:left="98" w:right="179"/>
              <w:rPr>
                <w:sz w:val="18"/>
              </w:rPr>
            </w:pPr>
            <w:r>
              <w:rPr>
                <w:sz w:val="18"/>
              </w:rPr>
              <w:t>Suitable, if data are available</w:t>
            </w:r>
          </w:p>
        </w:tc>
        <w:tc>
          <w:tcPr>
            <w:tcW w:w="1399" w:type="dxa"/>
          </w:tcPr>
          <w:p>
            <w:pPr>
              <w:pStyle w:val="TableParagraph"/>
              <w:spacing w:before="55"/>
              <w:ind w:left="98" w:right="136"/>
              <w:rPr>
                <w:sz w:val="18"/>
              </w:rPr>
            </w:pPr>
            <w:r>
              <w:rPr>
                <w:sz w:val="18"/>
              </w:rPr>
              <w:t>Suitable, if data are available</w:t>
            </w:r>
          </w:p>
        </w:tc>
        <w:tc>
          <w:tcPr>
            <w:tcW w:w="1665" w:type="dxa"/>
          </w:tcPr>
          <w:p>
            <w:pPr>
              <w:pStyle w:val="TableParagraph"/>
              <w:spacing w:line="207" w:lineRule="exact" w:before="55"/>
              <w:ind w:left="99"/>
              <w:rPr>
                <w:sz w:val="18"/>
              </w:rPr>
            </w:pPr>
            <w:r>
              <w:rPr>
                <w:sz w:val="18"/>
              </w:rPr>
              <w:t>Suitable</w:t>
            </w:r>
          </w:p>
          <w:p>
            <w:pPr>
              <w:pStyle w:val="TableParagraph"/>
              <w:spacing w:line="207" w:lineRule="exact"/>
              <w:ind w:left="99"/>
              <w:rPr>
                <w:sz w:val="18"/>
              </w:rPr>
            </w:pPr>
            <w:r>
              <w:rPr>
                <w:sz w:val="18"/>
              </w:rPr>
              <w:t>(resource-intensive)</w:t>
            </w:r>
          </w:p>
        </w:tc>
        <w:tc>
          <w:tcPr>
            <w:tcW w:w="1262" w:type="dxa"/>
          </w:tcPr>
          <w:p>
            <w:pPr>
              <w:pStyle w:val="TableParagraph"/>
              <w:spacing w:before="55"/>
              <w:ind w:left="99"/>
              <w:rPr>
                <w:sz w:val="18"/>
              </w:rPr>
            </w:pPr>
            <w:r>
              <w:rPr>
                <w:sz w:val="18"/>
              </w:rPr>
              <w:t>Not applicable</w:t>
            </w:r>
          </w:p>
        </w:tc>
        <w:tc>
          <w:tcPr>
            <w:tcW w:w="1802" w:type="dxa"/>
          </w:tcPr>
          <w:p>
            <w:pPr>
              <w:pStyle w:val="TableParagraph"/>
              <w:spacing w:before="55"/>
              <w:ind w:left="100" w:right="227"/>
              <w:rPr>
                <w:sz w:val="18"/>
              </w:rPr>
            </w:pPr>
            <w:r>
              <w:rPr>
                <w:sz w:val="18"/>
              </w:rPr>
              <w:t>Suitable (ecosystem models)</w:t>
            </w:r>
          </w:p>
        </w:tc>
      </w:tr>
      <w:tr>
        <w:trPr>
          <w:trHeight w:val="325" w:hRule="atLeast"/>
        </w:trPr>
        <w:tc>
          <w:tcPr>
            <w:tcW w:w="9012" w:type="dxa"/>
            <w:gridSpan w:val="6"/>
          </w:tcPr>
          <w:p>
            <w:pPr>
              <w:pStyle w:val="TableParagraph"/>
              <w:spacing w:before="59"/>
              <w:ind w:left="98"/>
              <w:rPr>
                <w:b/>
                <w:sz w:val="18"/>
              </w:rPr>
            </w:pPr>
            <w:r>
              <w:rPr>
                <w:b/>
                <w:sz w:val="18"/>
              </w:rPr>
              <w:t>Activity/land-based report</w:t>
            </w:r>
          </w:p>
        </w:tc>
      </w:tr>
      <w:tr>
        <w:trPr>
          <w:trHeight w:val="265" w:hRule="atLeast"/>
        </w:trPr>
        <w:tc>
          <w:tcPr>
            <w:tcW w:w="1442" w:type="dxa"/>
            <w:tcBorders>
              <w:bottom w:val="nil"/>
            </w:tcBorders>
          </w:tcPr>
          <w:p>
            <w:pPr>
              <w:pStyle w:val="TableParagraph"/>
              <w:spacing w:line="191" w:lineRule="exact" w:before="55"/>
              <w:ind w:left="210"/>
              <w:rPr>
                <w:sz w:val="18"/>
              </w:rPr>
            </w:pPr>
            <w:r>
              <w:rPr>
                <w:sz w:val="18"/>
              </w:rPr>
              <w:t>Forest,</w:t>
            </w:r>
          </w:p>
        </w:tc>
        <w:tc>
          <w:tcPr>
            <w:tcW w:w="1442" w:type="dxa"/>
            <w:tcBorders>
              <w:bottom w:val="nil"/>
            </w:tcBorders>
          </w:tcPr>
          <w:p>
            <w:pPr>
              <w:pStyle w:val="TableParagraph"/>
              <w:spacing w:line="191" w:lineRule="exact" w:before="55"/>
              <w:ind w:left="98"/>
              <w:rPr>
                <w:sz w:val="18"/>
              </w:rPr>
            </w:pPr>
            <w:r>
              <w:rPr>
                <w:sz w:val="18"/>
              </w:rPr>
              <w:t>Suitable, if data</w:t>
            </w:r>
          </w:p>
        </w:tc>
        <w:tc>
          <w:tcPr>
            <w:tcW w:w="1399" w:type="dxa"/>
            <w:tcBorders>
              <w:bottom w:val="nil"/>
            </w:tcBorders>
          </w:tcPr>
          <w:p>
            <w:pPr>
              <w:pStyle w:val="TableParagraph"/>
              <w:spacing w:line="191" w:lineRule="exact" w:before="55"/>
              <w:ind w:left="98"/>
              <w:rPr>
                <w:sz w:val="18"/>
              </w:rPr>
            </w:pPr>
            <w:r>
              <w:rPr>
                <w:sz w:val="18"/>
              </w:rPr>
              <w:t>Suitable, if data</w:t>
            </w:r>
          </w:p>
        </w:tc>
        <w:tc>
          <w:tcPr>
            <w:tcW w:w="1665" w:type="dxa"/>
            <w:tcBorders>
              <w:bottom w:val="nil"/>
            </w:tcBorders>
          </w:tcPr>
          <w:p>
            <w:pPr>
              <w:pStyle w:val="TableParagraph"/>
              <w:spacing w:line="191" w:lineRule="exact" w:before="55"/>
              <w:ind w:left="99"/>
              <w:rPr>
                <w:sz w:val="18"/>
              </w:rPr>
            </w:pPr>
            <w:r>
              <w:rPr>
                <w:sz w:val="18"/>
              </w:rPr>
              <w:t>Suitable</w:t>
            </w:r>
          </w:p>
        </w:tc>
        <w:tc>
          <w:tcPr>
            <w:tcW w:w="1262" w:type="dxa"/>
            <w:tcBorders>
              <w:bottom w:val="nil"/>
            </w:tcBorders>
          </w:tcPr>
          <w:p>
            <w:pPr>
              <w:pStyle w:val="TableParagraph"/>
              <w:spacing w:line="191" w:lineRule="exact" w:before="55"/>
              <w:ind w:left="99"/>
              <w:rPr>
                <w:sz w:val="18"/>
              </w:rPr>
            </w:pPr>
            <w:r>
              <w:rPr>
                <w:sz w:val="18"/>
              </w:rPr>
              <w:t>Suitable,</w:t>
            </w:r>
          </w:p>
        </w:tc>
        <w:tc>
          <w:tcPr>
            <w:tcW w:w="1802" w:type="dxa"/>
            <w:tcBorders>
              <w:bottom w:val="nil"/>
            </w:tcBorders>
          </w:tcPr>
          <w:p>
            <w:pPr>
              <w:pStyle w:val="TableParagraph"/>
              <w:spacing w:line="190" w:lineRule="exact" w:before="55"/>
              <w:ind w:left="100"/>
              <w:rPr>
                <w:sz w:val="18"/>
              </w:rPr>
            </w:pPr>
            <w:r>
              <w:rPr>
                <w:sz w:val="18"/>
              </w:rPr>
              <w:t>Suitable,</w:t>
            </w:r>
          </w:p>
        </w:tc>
      </w:tr>
      <w:tr>
        <w:trPr>
          <w:trHeight w:val="206" w:hRule="atLeast"/>
        </w:trPr>
        <w:tc>
          <w:tcPr>
            <w:tcW w:w="1442" w:type="dxa"/>
            <w:tcBorders>
              <w:top w:val="nil"/>
              <w:bottom w:val="nil"/>
            </w:tcBorders>
          </w:tcPr>
          <w:p>
            <w:pPr>
              <w:pStyle w:val="TableParagraph"/>
              <w:spacing w:line="186" w:lineRule="exact"/>
              <w:ind w:left="210"/>
              <w:rPr>
                <w:sz w:val="18"/>
              </w:rPr>
            </w:pPr>
            <w:r>
              <w:rPr>
                <w:sz w:val="18"/>
              </w:rPr>
              <w:t>grassland,</w:t>
            </w:r>
          </w:p>
        </w:tc>
        <w:tc>
          <w:tcPr>
            <w:tcW w:w="1442" w:type="dxa"/>
            <w:tcBorders>
              <w:top w:val="nil"/>
              <w:bottom w:val="nil"/>
            </w:tcBorders>
          </w:tcPr>
          <w:p>
            <w:pPr>
              <w:pStyle w:val="TableParagraph"/>
              <w:spacing w:line="186" w:lineRule="exact"/>
              <w:ind w:left="98"/>
              <w:rPr>
                <w:sz w:val="18"/>
              </w:rPr>
            </w:pPr>
            <w:r>
              <w:rPr>
                <w:sz w:val="18"/>
              </w:rPr>
              <w:t>are available</w:t>
            </w:r>
          </w:p>
        </w:tc>
        <w:tc>
          <w:tcPr>
            <w:tcW w:w="1399" w:type="dxa"/>
            <w:tcBorders>
              <w:top w:val="nil"/>
              <w:bottom w:val="nil"/>
            </w:tcBorders>
          </w:tcPr>
          <w:p>
            <w:pPr>
              <w:pStyle w:val="TableParagraph"/>
              <w:spacing w:line="186" w:lineRule="exact"/>
              <w:ind w:left="98"/>
              <w:rPr>
                <w:sz w:val="18"/>
              </w:rPr>
            </w:pPr>
            <w:r>
              <w:rPr>
                <w:sz w:val="18"/>
              </w:rPr>
              <w:t>are available</w:t>
            </w:r>
          </w:p>
        </w:tc>
        <w:tc>
          <w:tcPr>
            <w:tcW w:w="1665" w:type="dxa"/>
            <w:tcBorders>
              <w:top w:val="nil"/>
              <w:bottom w:val="nil"/>
            </w:tcBorders>
          </w:tcPr>
          <w:p>
            <w:pPr>
              <w:pStyle w:val="TableParagraph"/>
              <w:spacing w:line="186" w:lineRule="exact"/>
              <w:ind w:left="99"/>
              <w:rPr>
                <w:sz w:val="18"/>
              </w:rPr>
            </w:pPr>
            <w:r>
              <w:rPr>
                <w:sz w:val="18"/>
              </w:rPr>
              <w:t>(resource-intensive)</w:t>
            </w:r>
          </w:p>
        </w:tc>
        <w:tc>
          <w:tcPr>
            <w:tcW w:w="1262" w:type="dxa"/>
            <w:tcBorders>
              <w:top w:val="nil"/>
              <w:bottom w:val="nil"/>
            </w:tcBorders>
          </w:tcPr>
          <w:p>
            <w:pPr>
              <w:pStyle w:val="TableParagraph"/>
              <w:spacing w:line="186" w:lineRule="exact"/>
              <w:ind w:left="99"/>
              <w:rPr>
                <w:sz w:val="18"/>
              </w:rPr>
            </w:pPr>
            <w:r>
              <w:rPr>
                <w:sz w:val="18"/>
              </w:rPr>
              <w:t>particularly to</w:t>
            </w:r>
          </w:p>
        </w:tc>
        <w:tc>
          <w:tcPr>
            <w:tcW w:w="1802" w:type="dxa"/>
            <w:tcBorders>
              <w:top w:val="nil"/>
              <w:bottom w:val="nil"/>
            </w:tcBorders>
          </w:tcPr>
          <w:p>
            <w:pPr>
              <w:pStyle w:val="TableParagraph"/>
              <w:spacing w:line="186" w:lineRule="exact"/>
              <w:ind w:left="100"/>
              <w:rPr>
                <w:sz w:val="18"/>
              </w:rPr>
            </w:pPr>
            <w:r>
              <w:rPr>
                <w:sz w:val="18"/>
              </w:rPr>
              <w:t>Data-intensive,</w:t>
            </w:r>
          </w:p>
        </w:tc>
      </w:tr>
      <w:tr>
        <w:trPr>
          <w:trHeight w:val="207" w:hRule="atLeast"/>
        </w:trPr>
        <w:tc>
          <w:tcPr>
            <w:tcW w:w="1442" w:type="dxa"/>
            <w:tcBorders>
              <w:top w:val="nil"/>
              <w:bottom w:val="nil"/>
            </w:tcBorders>
          </w:tcPr>
          <w:p>
            <w:pPr>
              <w:pStyle w:val="TableParagraph"/>
              <w:spacing w:line="188" w:lineRule="exact"/>
              <w:ind w:left="210"/>
              <w:rPr>
                <w:sz w:val="18"/>
              </w:rPr>
            </w:pPr>
            <w:r>
              <w:rPr>
                <w:sz w:val="18"/>
              </w:rPr>
              <w:t>cropland, other</w:t>
            </w:r>
          </w:p>
        </w:tc>
        <w:tc>
          <w:tcPr>
            <w:tcW w:w="1442" w:type="dxa"/>
            <w:tcBorders>
              <w:top w:val="nil"/>
              <w:bottom w:val="nil"/>
            </w:tcBorders>
          </w:tcPr>
          <w:p>
            <w:pPr>
              <w:pStyle w:val="TableParagraph"/>
              <w:rPr>
                <w:sz w:val="14"/>
              </w:rPr>
            </w:pPr>
          </w:p>
        </w:tc>
        <w:tc>
          <w:tcPr>
            <w:tcW w:w="1399" w:type="dxa"/>
            <w:tcBorders>
              <w:top w:val="nil"/>
              <w:bottom w:val="nil"/>
            </w:tcBorders>
          </w:tcPr>
          <w:p>
            <w:pPr>
              <w:pStyle w:val="TableParagraph"/>
              <w:rPr>
                <w:sz w:val="14"/>
              </w:rPr>
            </w:pPr>
          </w:p>
        </w:tc>
        <w:tc>
          <w:tcPr>
            <w:tcW w:w="1665" w:type="dxa"/>
            <w:tcBorders>
              <w:top w:val="nil"/>
              <w:bottom w:val="nil"/>
            </w:tcBorders>
          </w:tcPr>
          <w:p>
            <w:pPr>
              <w:pStyle w:val="TableParagraph"/>
              <w:rPr>
                <w:sz w:val="14"/>
              </w:rPr>
            </w:pPr>
          </w:p>
        </w:tc>
        <w:tc>
          <w:tcPr>
            <w:tcW w:w="1262" w:type="dxa"/>
            <w:tcBorders>
              <w:top w:val="nil"/>
              <w:bottom w:val="nil"/>
            </w:tcBorders>
          </w:tcPr>
          <w:p>
            <w:pPr>
              <w:pStyle w:val="TableParagraph"/>
              <w:spacing w:line="188" w:lineRule="exact"/>
              <w:ind w:left="99"/>
              <w:rPr>
                <w:sz w:val="18"/>
              </w:rPr>
            </w:pPr>
            <w:r>
              <w:rPr>
                <w:sz w:val="18"/>
              </w:rPr>
              <w:t>identify land</w:t>
            </w:r>
          </w:p>
        </w:tc>
        <w:tc>
          <w:tcPr>
            <w:tcW w:w="1802" w:type="dxa"/>
            <w:tcBorders>
              <w:top w:val="nil"/>
              <w:bottom w:val="nil"/>
            </w:tcBorders>
          </w:tcPr>
          <w:p>
            <w:pPr>
              <w:pStyle w:val="TableParagraph"/>
              <w:spacing w:line="188" w:lineRule="exact"/>
              <w:ind w:left="100"/>
              <w:rPr>
                <w:sz w:val="18"/>
              </w:rPr>
            </w:pPr>
            <w:r>
              <w:rPr>
                <w:sz w:val="18"/>
              </w:rPr>
              <w:t>Can be an alternative</w:t>
            </w:r>
          </w:p>
        </w:tc>
      </w:tr>
      <w:tr>
        <w:trPr>
          <w:trHeight w:val="207" w:hRule="atLeast"/>
        </w:trPr>
        <w:tc>
          <w:tcPr>
            <w:tcW w:w="1442" w:type="dxa"/>
            <w:tcBorders>
              <w:top w:val="nil"/>
              <w:bottom w:val="nil"/>
            </w:tcBorders>
          </w:tcPr>
          <w:p>
            <w:pPr>
              <w:pStyle w:val="TableParagraph"/>
              <w:spacing w:line="188" w:lineRule="exact"/>
              <w:ind w:left="210"/>
              <w:rPr>
                <w:sz w:val="18"/>
              </w:rPr>
            </w:pPr>
            <w:r>
              <w:rPr>
                <w:sz w:val="18"/>
              </w:rPr>
              <w:t>land uses</w:t>
            </w:r>
          </w:p>
        </w:tc>
        <w:tc>
          <w:tcPr>
            <w:tcW w:w="1442" w:type="dxa"/>
            <w:tcBorders>
              <w:top w:val="nil"/>
              <w:bottom w:val="nil"/>
            </w:tcBorders>
          </w:tcPr>
          <w:p>
            <w:pPr>
              <w:pStyle w:val="TableParagraph"/>
              <w:rPr>
                <w:sz w:val="14"/>
              </w:rPr>
            </w:pPr>
          </w:p>
        </w:tc>
        <w:tc>
          <w:tcPr>
            <w:tcW w:w="1399" w:type="dxa"/>
            <w:tcBorders>
              <w:top w:val="nil"/>
              <w:bottom w:val="nil"/>
            </w:tcBorders>
          </w:tcPr>
          <w:p>
            <w:pPr>
              <w:pStyle w:val="TableParagraph"/>
              <w:rPr>
                <w:sz w:val="14"/>
              </w:rPr>
            </w:pPr>
          </w:p>
        </w:tc>
        <w:tc>
          <w:tcPr>
            <w:tcW w:w="1665" w:type="dxa"/>
            <w:tcBorders>
              <w:top w:val="nil"/>
              <w:bottom w:val="nil"/>
            </w:tcBorders>
          </w:tcPr>
          <w:p>
            <w:pPr>
              <w:pStyle w:val="TableParagraph"/>
              <w:rPr>
                <w:sz w:val="14"/>
              </w:rPr>
            </w:pPr>
          </w:p>
        </w:tc>
        <w:tc>
          <w:tcPr>
            <w:tcW w:w="1262" w:type="dxa"/>
            <w:tcBorders>
              <w:top w:val="nil"/>
              <w:bottom w:val="nil"/>
            </w:tcBorders>
          </w:tcPr>
          <w:p>
            <w:pPr>
              <w:pStyle w:val="TableParagraph"/>
              <w:spacing w:line="188" w:lineRule="exact"/>
              <w:ind w:left="99"/>
              <w:rPr>
                <w:sz w:val="18"/>
              </w:rPr>
            </w:pPr>
            <w:r>
              <w:rPr>
                <w:sz w:val="18"/>
              </w:rPr>
              <w:t>cover/land use</w:t>
            </w:r>
          </w:p>
        </w:tc>
        <w:tc>
          <w:tcPr>
            <w:tcW w:w="1802" w:type="dxa"/>
            <w:tcBorders>
              <w:top w:val="nil"/>
              <w:bottom w:val="nil"/>
            </w:tcBorders>
          </w:tcPr>
          <w:p>
            <w:pPr>
              <w:pStyle w:val="TableParagraph"/>
              <w:spacing w:line="188" w:lineRule="exact"/>
              <w:ind w:left="100"/>
              <w:rPr>
                <w:sz w:val="18"/>
              </w:rPr>
            </w:pPr>
            <w:r>
              <w:rPr>
                <w:sz w:val="18"/>
              </w:rPr>
              <w:t>approach when</w:t>
            </w:r>
          </w:p>
        </w:tc>
      </w:tr>
      <w:tr>
        <w:trPr>
          <w:trHeight w:val="206" w:hRule="atLeast"/>
        </w:trPr>
        <w:tc>
          <w:tcPr>
            <w:tcW w:w="1442" w:type="dxa"/>
            <w:tcBorders>
              <w:top w:val="nil"/>
              <w:bottom w:val="nil"/>
            </w:tcBorders>
          </w:tcPr>
          <w:p>
            <w:pPr>
              <w:pStyle w:val="TableParagraph"/>
              <w:rPr>
                <w:sz w:val="14"/>
              </w:rPr>
            </w:pPr>
          </w:p>
        </w:tc>
        <w:tc>
          <w:tcPr>
            <w:tcW w:w="1442" w:type="dxa"/>
            <w:tcBorders>
              <w:top w:val="nil"/>
              <w:bottom w:val="nil"/>
            </w:tcBorders>
          </w:tcPr>
          <w:p>
            <w:pPr>
              <w:pStyle w:val="TableParagraph"/>
              <w:rPr>
                <w:sz w:val="14"/>
              </w:rPr>
            </w:pPr>
          </w:p>
        </w:tc>
        <w:tc>
          <w:tcPr>
            <w:tcW w:w="1399" w:type="dxa"/>
            <w:tcBorders>
              <w:top w:val="nil"/>
              <w:bottom w:val="nil"/>
            </w:tcBorders>
          </w:tcPr>
          <w:p>
            <w:pPr>
              <w:pStyle w:val="TableParagraph"/>
              <w:rPr>
                <w:sz w:val="14"/>
              </w:rPr>
            </w:pPr>
          </w:p>
        </w:tc>
        <w:tc>
          <w:tcPr>
            <w:tcW w:w="1665" w:type="dxa"/>
            <w:tcBorders>
              <w:top w:val="nil"/>
              <w:bottom w:val="nil"/>
            </w:tcBorders>
          </w:tcPr>
          <w:p>
            <w:pPr>
              <w:pStyle w:val="TableParagraph"/>
              <w:rPr>
                <w:sz w:val="14"/>
              </w:rPr>
            </w:pPr>
          </w:p>
        </w:tc>
        <w:tc>
          <w:tcPr>
            <w:tcW w:w="1262" w:type="dxa"/>
            <w:tcBorders>
              <w:top w:val="nil"/>
              <w:bottom w:val="nil"/>
            </w:tcBorders>
          </w:tcPr>
          <w:p>
            <w:pPr>
              <w:pStyle w:val="TableParagraph"/>
              <w:spacing w:line="186" w:lineRule="exact"/>
              <w:ind w:left="99"/>
              <w:rPr>
                <w:sz w:val="18"/>
              </w:rPr>
            </w:pPr>
            <w:r>
              <w:rPr>
                <w:sz w:val="18"/>
              </w:rPr>
              <w:t>and their</w:t>
            </w:r>
          </w:p>
        </w:tc>
        <w:tc>
          <w:tcPr>
            <w:tcW w:w="1802" w:type="dxa"/>
            <w:tcBorders>
              <w:top w:val="nil"/>
              <w:bottom w:val="nil"/>
            </w:tcBorders>
          </w:tcPr>
          <w:p>
            <w:pPr>
              <w:pStyle w:val="TableParagraph"/>
              <w:spacing w:line="186" w:lineRule="exact"/>
              <w:ind w:left="100"/>
              <w:rPr>
                <w:sz w:val="18"/>
              </w:rPr>
            </w:pPr>
            <w:r>
              <w:rPr>
                <w:sz w:val="18"/>
              </w:rPr>
              <w:t>estimates from direct</w:t>
            </w:r>
          </w:p>
        </w:tc>
      </w:tr>
      <w:tr>
        <w:trPr>
          <w:trHeight w:val="206" w:hRule="atLeast"/>
        </w:trPr>
        <w:tc>
          <w:tcPr>
            <w:tcW w:w="1442" w:type="dxa"/>
            <w:tcBorders>
              <w:top w:val="nil"/>
              <w:bottom w:val="nil"/>
            </w:tcBorders>
          </w:tcPr>
          <w:p>
            <w:pPr>
              <w:pStyle w:val="TableParagraph"/>
              <w:rPr>
                <w:sz w:val="14"/>
              </w:rPr>
            </w:pPr>
          </w:p>
        </w:tc>
        <w:tc>
          <w:tcPr>
            <w:tcW w:w="1442" w:type="dxa"/>
            <w:tcBorders>
              <w:top w:val="nil"/>
              <w:bottom w:val="nil"/>
            </w:tcBorders>
          </w:tcPr>
          <w:p>
            <w:pPr>
              <w:pStyle w:val="TableParagraph"/>
              <w:rPr>
                <w:sz w:val="14"/>
              </w:rPr>
            </w:pPr>
          </w:p>
        </w:tc>
        <w:tc>
          <w:tcPr>
            <w:tcW w:w="1399" w:type="dxa"/>
            <w:tcBorders>
              <w:top w:val="nil"/>
              <w:bottom w:val="nil"/>
            </w:tcBorders>
          </w:tcPr>
          <w:p>
            <w:pPr>
              <w:pStyle w:val="TableParagraph"/>
              <w:rPr>
                <w:sz w:val="14"/>
              </w:rPr>
            </w:pPr>
          </w:p>
        </w:tc>
        <w:tc>
          <w:tcPr>
            <w:tcW w:w="1665" w:type="dxa"/>
            <w:tcBorders>
              <w:top w:val="nil"/>
              <w:bottom w:val="nil"/>
            </w:tcBorders>
          </w:tcPr>
          <w:p>
            <w:pPr>
              <w:pStyle w:val="TableParagraph"/>
              <w:rPr>
                <w:sz w:val="14"/>
              </w:rPr>
            </w:pPr>
          </w:p>
        </w:tc>
        <w:tc>
          <w:tcPr>
            <w:tcW w:w="1262" w:type="dxa"/>
            <w:tcBorders>
              <w:top w:val="nil"/>
              <w:bottom w:val="nil"/>
            </w:tcBorders>
          </w:tcPr>
          <w:p>
            <w:pPr>
              <w:pStyle w:val="TableParagraph"/>
              <w:spacing w:line="186" w:lineRule="exact"/>
              <w:ind w:left="99"/>
              <w:rPr>
                <w:sz w:val="18"/>
              </w:rPr>
            </w:pPr>
            <w:r>
              <w:rPr>
                <w:sz w:val="18"/>
              </w:rPr>
              <w:t>changes</w:t>
            </w:r>
          </w:p>
        </w:tc>
        <w:tc>
          <w:tcPr>
            <w:tcW w:w="1802" w:type="dxa"/>
            <w:tcBorders>
              <w:top w:val="nil"/>
              <w:bottom w:val="nil"/>
            </w:tcBorders>
          </w:tcPr>
          <w:p>
            <w:pPr>
              <w:pStyle w:val="TableParagraph"/>
              <w:spacing w:line="186" w:lineRule="exact"/>
              <w:ind w:left="100"/>
              <w:rPr>
                <w:sz w:val="18"/>
              </w:rPr>
            </w:pPr>
            <w:r>
              <w:rPr>
                <w:sz w:val="18"/>
              </w:rPr>
              <w:t>measurements and</w:t>
            </w:r>
          </w:p>
        </w:tc>
      </w:tr>
      <w:tr>
        <w:trPr>
          <w:trHeight w:val="206" w:hRule="atLeast"/>
        </w:trPr>
        <w:tc>
          <w:tcPr>
            <w:tcW w:w="1442" w:type="dxa"/>
            <w:tcBorders>
              <w:top w:val="nil"/>
              <w:bottom w:val="nil"/>
            </w:tcBorders>
          </w:tcPr>
          <w:p>
            <w:pPr>
              <w:pStyle w:val="TableParagraph"/>
              <w:rPr>
                <w:sz w:val="14"/>
              </w:rPr>
            </w:pPr>
          </w:p>
        </w:tc>
        <w:tc>
          <w:tcPr>
            <w:tcW w:w="1442" w:type="dxa"/>
            <w:tcBorders>
              <w:top w:val="nil"/>
              <w:bottom w:val="nil"/>
            </w:tcBorders>
          </w:tcPr>
          <w:p>
            <w:pPr>
              <w:pStyle w:val="TableParagraph"/>
              <w:rPr>
                <w:sz w:val="14"/>
              </w:rPr>
            </w:pPr>
          </w:p>
        </w:tc>
        <w:tc>
          <w:tcPr>
            <w:tcW w:w="1399" w:type="dxa"/>
            <w:tcBorders>
              <w:top w:val="nil"/>
              <w:bottom w:val="nil"/>
            </w:tcBorders>
          </w:tcPr>
          <w:p>
            <w:pPr>
              <w:pStyle w:val="TableParagraph"/>
              <w:rPr>
                <w:sz w:val="14"/>
              </w:rPr>
            </w:pPr>
          </w:p>
        </w:tc>
        <w:tc>
          <w:tcPr>
            <w:tcW w:w="1665" w:type="dxa"/>
            <w:tcBorders>
              <w:top w:val="nil"/>
              <w:bottom w:val="nil"/>
            </w:tcBorders>
          </w:tcPr>
          <w:p>
            <w:pPr>
              <w:pStyle w:val="TableParagraph"/>
              <w:rPr>
                <w:sz w:val="14"/>
              </w:rPr>
            </w:pPr>
          </w:p>
        </w:tc>
        <w:tc>
          <w:tcPr>
            <w:tcW w:w="1262" w:type="dxa"/>
            <w:tcBorders>
              <w:top w:val="nil"/>
              <w:bottom w:val="nil"/>
            </w:tcBorders>
          </w:tcPr>
          <w:p>
            <w:pPr>
              <w:pStyle w:val="TableParagraph"/>
              <w:rPr>
                <w:sz w:val="14"/>
              </w:rPr>
            </w:pPr>
          </w:p>
        </w:tc>
        <w:tc>
          <w:tcPr>
            <w:tcW w:w="1802" w:type="dxa"/>
            <w:tcBorders>
              <w:top w:val="nil"/>
              <w:bottom w:val="nil"/>
            </w:tcBorders>
          </w:tcPr>
          <w:p>
            <w:pPr>
              <w:pStyle w:val="TableParagraph"/>
              <w:spacing w:line="186" w:lineRule="exact"/>
              <w:ind w:left="100"/>
              <w:rPr>
                <w:sz w:val="18"/>
              </w:rPr>
            </w:pPr>
            <w:r>
              <w:rPr>
                <w:sz w:val="18"/>
              </w:rPr>
              <w:t>remote sensing are</w:t>
            </w:r>
          </w:p>
        </w:tc>
      </w:tr>
      <w:tr>
        <w:trPr>
          <w:trHeight w:val="269" w:hRule="atLeast"/>
        </w:trPr>
        <w:tc>
          <w:tcPr>
            <w:tcW w:w="1442" w:type="dxa"/>
            <w:tcBorders>
              <w:top w:val="nil"/>
            </w:tcBorders>
          </w:tcPr>
          <w:p>
            <w:pPr>
              <w:pStyle w:val="TableParagraph"/>
              <w:rPr>
                <w:sz w:val="18"/>
              </w:rPr>
            </w:pPr>
          </w:p>
        </w:tc>
        <w:tc>
          <w:tcPr>
            <w:tcW w:w="1442" w:type="dxa"/>
            <w:tcBorders>
              <w:top w:val="nil"/>
            </w:tcBorders>
          </w:tcPr>
          <w:p>
            <w:pPr>
              <w:pStyle w:val="TableParagraph"/>
              <w:rPr>
                <w:sz w:val="18"/>
              </w:rPr>
            </w:pPr>
          </w:p>
        </w:tc>
        <w:tc>
          <w:tcPr>
            <w:tcW w:w="1399" w:type="dxa"/>
            <w:tcBorders>
              <w:top w:val="nil"/>
            </w:tcBorders>
          </w:tcPr>
          <w:p>
            <w:pPr>
              <w:pStyle w:val="TableParagraph"/>
              <w:rPr>
                <w:sz w:val="18"/>
              </w:rPr>
            </w:pPr>
          </w:p>
        </w:tc>
        <w:tc>
          <w:tcPr>
            <w:tcW w:w="1665" w:type="dxa"/>
            <w:tcBorders>
              <w:top w:val="nil"/>
            </w:tcBorders>
          </w:tcPr>
          <w:p>
            <w:pPr>
              <w:pStyle w:val="TableParagraph"/>
              <w:rPr>
                <w:sz w:val="18"/>
              </w:rPr>
            </w:pPr>
          </w:p>
        </w:tc>
        <w:tc>
          <w:tcPr>
            <w:tcW w:w="1262" w:type="dxa"/>
            <w:tcBorders>
              <w:top w:val="nil"/>
            </w:tcBorders>
          </w:tcPr>
          <w:p>
            <w:pPr>
              <w:pStyle w:val="TableParagraph"/>
              <w:rPr>
                <w:sz w:val="18"/>
              </w:rPr>
            </w:pPr>
          </w:p>
        </w:tc>
        <w:tc>
          <w:tcPr>
            <w:tcW w:w="1802" w:type="dxa"/>
            <w:tcBorders>
              <w:top w:val="nil"/>
            </w:tcBorders>
          </w:tcPr>
          <w:p>
            <w:pPr>
              <w:pStyle w:val="TableParagraph"/>
              <w:spacing w:line="203" w:lineRule="exact"/>
              <w:ind w:left="100"/>
              <w:rPr>
                <w:sz w:val="18"/>
              </w:rPr>
            </w:pPr>
            <w:r>
              <w:rPr>
                <w:sz w:val="18"/>
              </w:rPr>
              <w:t>not available</w:t>
            </w:r>
          </w:p>
        </w:tc>
      </w:tr>
      <w:tr>
        <w:trPr>
          <w:trHeight w:val="265" w:hRule="atLeast"/>
        </w:trPr>
        <w:tc>
          <w:tcPr>
            <w:tcW w:w="1442" w:type="dxa"/>
            <w:tcBorders>
              <w:bottom w:val="nil"/>
            </w:tcBorders>
          </w:tcPr>
          <w:p>
            <w:pPr>
              <w:pStyle w:val="TableParagraph"/>
              <w:spacing w:line="191" w:lineRule="exact" w:before="55"/>
              <w:ind w:left="210"/>
              <w:rPr>
                <w:sz w:val="18"/>
              </w:rPr>
            </w:pPr>
            <w:r>
              <w:rPr>
                <w:sz w:val="18"/>
              </w:rPr>
              <w:t>Afforestation,</w:t>
            </w:r>
          </w:p>
        </w:tc>
        <w:tc>
          <w:tcPr>
            <w:tcW w:w="1442" w:type="dxa"/>
            <w:tcBorders>
              <w:bottom w:val="nil"/>
            </w:tcBorders>
          </w:tcPr>
          <w:p>
            <w:pPr>
              <w:pStyle w:val="TableParagraph"/>
              <w:spacing w:line="191" w:lineRule="exact" w:before="55"/>
              <w:ind w:left="98"/>
              <w:rPr>
                <w:sz w:val="18"/>
              </w:rPr>
            </w:pPr>
            <w:r>
              <w:rPr>
                <w:sz w:val="18"/>
              </w:rPr>
              <w:t>Suitable, if data</w:t>
            </w:r>
          </w:p>
        </w:tc>
        <w:tc>
          <w:tcPr>
            <w:tcW w:w="1399" w:type="dxa"/>
            <w:tcBorders>
              <w:bottom w:val="nil"/>
            </w:tcBorders>
          </w:tcPr>
          <w:p>
            <w:pPr>
              <w:pStyle w:val="TableParagraph"/>
              <w:spacing w:line="191" w:lineRule="exact" w:before="55"/>
              <w:ind w:left="98"/>
              <w:rPr>
                <w:sz w:val="18"/>
              </w:rPr>
            </w:pPr>
            <w:r>
              <w:rPr>
                <w:sz w:val="18"/>
              </w:rPr>
              <w:t>Suitable, if data</w:t>
            </w:r>
          </w:p>
        </w:tc>
        <w:tc>
          <w:tcPr>
            <w:tcW w:w="1665" w:type="dxa"/>
            <w:tcBorders>
              <w:bottom w:val="nil"/>
            </w:tcBorders>
          </w:tcPr>
          <w:p>
            <w:pPr>
              <w:pStyle w:val="TableParagraph"/>
              <w:spacing w:line="191" w:lineRule="exact" w:before="55"/>
              <w:ind w:left="99"/>
              <w:rPr>
                <w:sz w:val="18"/>
              </w:rPr>
            </w:pPr>
            <w:r>
              <w:rPr>
                <w:sz w:val="18"/>
              </w:rPr>
              <w:t>Suitable</w:t>
            </w:r>
          </w:p>
        </w:tc>
        <w:tc>
          <w:tcPr>
            <w:tcW w:w="1262" w:type="dxa"/>
            <w:tcBorders>
              <w:bottom w:val="nil"/>
            </w:tcBorders>
          </w:tcPr>
          <w:p>
            <w:pPr>
              <w:pStyle w:val="TableParagraph"/>
              <w:spacing w:line="191" w:lineRule="exact" w:before="55"/>
              <w:ind w:left="99"/>
              <w:rPr>
                <w:sz w:val="18"/>
              </w:rPr>
            </w:pPr>
            <w:r>
              <w:rPr>
                <w:sz w:val="18"/>
              </w:rPr>
              <w:t>Suitable,</w:t>
            </w:r>
          </w:p>
        </w:tc>
        <w:tc>
          <w:tcPr>
            <w:tcW w:w="1802" w:type="dxa"/>
            <w:tcBorders>
              <w:bottom w:val="nil"/>
            </w:tcBorders>
          </w:tcPr>
          <w:p>
            <w:pPr>
              <w:pStyle w:val="TableParagraph"/>
              <w:spacing w:line="190" w:lineRule="exact" w:before="55"/>
              <w:ind w:left="100"/>
              <w:rPr>
                <w:sz w:val="18"/>
              </w:rPr>
            </w:pPr>
            <w:r>
              <w:rPr>
                <w:sz w:val="18"/>
              </w:rPr>
              <w:t>Not practical</w:t>
            </w:r>
          </w:p>
        </w:tc>
      </w:tr>
      <w:tr>
        <w:trPr>
          <w:trHeight w:val="206" w:hRule="atLeast"/>
        </w:trPr>
        <w:tc>
          <w:tcPr>
            <w:tcW w:w="1442" w:type="dxa"/>
            <w:tcBorders>
              <w:top w:val="nil"/>
              <w:bottom w:val="nil"/>
            </w:tcBorders>
          </w:tcPr>
          <w:p>
            <w:pPr>
              <w:pStyle w:val="TableParagraph"/>
              <w:spacing w:line="186" w:lineRule="exact"/>
              <w:ind w:left="210"/>
              <w:rPr>
                <w:sz w:val="18"/>
              </w:rPr>
            </w:pPr>
            <w:r>
              <w:rPr>
                <w:sz w:val="18"/>
              </w:rPr>
              <w:t>Reforestation,</w:t>
            </w:r>
          </w:p>
        </w:tc>
        <w:tc>
          <w:tcPr>
            <w:tcW w:w="1442" w:type="dxa"/>
            <w:tcBorders>
              <w:top w:val="nil"/>
              <w:bottom w:val="nil"/>
            </w:tcBorders>
          </w:tcPr>
          <w:p>
            <w:pPr>
              <w:pStyle w:val="TableParagraph"/>
              <w:spacing w:line="186" w:lineRule="exact"/>
              <w:ind w:left="98"/>
              <w:rPr>
                <w:sz w:val="18"/>
              </w:rPr>
            </w:pPr>
            <w:r>
              <w:rPr>
                <w:sz w:val="18"/>
              </w:rPr>
              <w:t>are available</w:t>
            </w:r>
          </w:p>
        </w:tc>
        <w:tc>
          <w:tcPr>
            <w:tcW w:w="1399" w:type="dxa"/>
            <w:tcBorders>
              <w:top w:val="nil"/>
              <w:bottom w:val="nil"/>
            </w:tcBorders>
          </w:tcPr>
          <w:p>
            <w:pPr>
              <w:pStyle w:val="TableParagraph"/>
              <w:spacing w:line="186" w:lineRule="exact"/>
              <w:ind w:left="98"/>
              <w:rPr>
                <w:sz w:val="18"/>
              </w:rPr>
            </w:pPr>
            <w:r>
              <w:rPr>
                <w:sz w:val="18"/>
              </w:rPr>
              <w:t>are available</w:t>
            </w:r>
          </w:p>
        </w:tc>
        <w:tc>
          <w:tcPr>
            <w:tcW w:w="1665" w:type="dxa"/>
            <w:tcBorders>
              <w:top w:val="nil"/>
              <w:bottom w:val="nil"/>
            </w:tcBorders>
          </w:tcPr>
          <w:p>
            <w:pPr>
              <w:pStyle w:val="TableParagraph"/>
              <w:spacing w:line="186" w:lineRule="exact"/>
              <w:ind w:left="99"/>
              <w:rPr>
                <w:sz w:val="18"/>
              </w:rPr>
            </w:pPr>
            <w:r>
              <w:rPr>
                <w:sz w:val="18"/>
              </w:rPr>
              <w:t>(resource-intensive)</w:t>
            </w:r>
          </w:p>
        </w:tc>
        <w:tc>
          <w:tcPr>
            <w:tcW w:w="1262" w:type="dxa"/>
            <w:tcBorders>
              <w:top w:val="nil"/>
              <w:bottom w:val="nil"/>
            </w:tcBorders>
          </w:tcPr>
          <w:p>
            <w:pPr>
              <w:pStyle w:val="TableParagraph"/>
              <w:spacing w:line="186" w:lineRule="exact"/>
              <w:ind w:left="99"/>
              <w:rPr>
                <w:sz w:val="18"/>
              </w:rPr>
            </w:pPr>
            <w:r>
              <w:rPr>
                <w:sz w:val="18"/>
              </w:rPr>
              <w:t>particularly to</w:t>
            </w:r>
          </w:p>
        </w:tc>
        <w:tc>
          <w:tcPr>
            <w:tcW w:w="1802" w:type="dxa"/>
            <w:tcBorders>
              <w:top w:val="nil"/>
              <w:bottom w:val="nil"/>
            </w:tcBorders>
          </w:tcPr>
          <w:p>
            <w:pPr>
              <w:pStyle w:val="TableParagraph"/>
              <w:rPr>
                <w:sz w:val="14"/>
              </w:rPr>
            </w:pPr>
          </w:p>
        </w:tc>
      </w:tr>
      <w:tr>
        <w:trPr>
          <w:trHeight w:val="206" w:hRule="atLeast"/>
        </w:trPr>
        <w:tc>
          <w:tcPr>
            <w:tcW w:w="1442" w:type="dxa"/>
            <w:tcBorders>
              <w:top w:val="nil"/>
              <w:bottom w:val="nil"/>
            </w:tcBorders>
          </w:tcPr>
          <w:p>
            <w:pPr>
              <w:pStyle w:val="TableParagraph"/>
              <w:spacing w:line="186" w:lineRule="exact"/>
              <w:ind w:left="210"/>
              <w:rPr>
                <w:sz w:val="18"/>
              </w:rPr>
            </w:pPr>
            <w:r>
              <w:rPr>
                <w:sz w:val="18"/>
              </w:rPr>
              <w:t>Deforestation,</w:t>
            </w:r>
          </w:p>
        </w:tc>
        <w:tc>
          <w:tcPr>
            <w:tcW w:w="1442" w:type="dxa"/>
            <w:tcBorders>
              <w:top w:val="nil"/>
              <w:bottom w:val="nil"/>
            </w:tcBorders>
          </w:tcPr>
          <w:p>
            <w:pPr>
              <w:pStyle w:val="TableParagraph"/>
              <w:rPr>
                <w:sz w:val="14"/>
              </w:rPr>
            </w:pPr>
          </w:p>
        </w:tc>
        <w:tc>
          <w:tcPr>
            <w:tcW w:w="1399" w:type="dxa"/>
            <w:tcBorders>
              <w:top w:val="nil"/>
              <w:bottom w:val="nil"/>
            </w:tcBorders>
          </w:tcPr>
          <w:p>
            <w:pPr>
              <w:pStyle w:val="TableParagraph"/>
              <w:rPr>
                <w:sz w:val="14"/>
              </w:rPr>
            </w:pPr>
          </w:p>
        </w:tc>
        <w:tc>
          <w:tcPr>
            <w:tcW w:w="1665" w:type="dxa"/>
            <w:tcBorders>
              <w:top w:val="nil"/>
              <w:bottom w:val="nil"/>
            </w:tcBorders>
          </w:tcPr>
          <w:p>
            <w:pPr>
              <w:pStyle w:val="TableParagraph"/>
              <w:rPr>
                <w:sz w:val="14"/>
              </w:rPr>
            </w:pPr>
          </w:p>
        </w:tc>
        <w:tc>
          <w:tcPr>
            <w:tcW w:w="1262" w:type="dxa"/>
            <w:tcBorders>
              <w:top w:val="nil"/>
              <w:bottom w:val="nil"/>
            </w:tcBorders>
          </w:tcPr>
          <w:p>
            <w:pPr>
              <w:pStyle w:val="TableParagraph"/>
              <w:spacing w:line="186" w:lineRule="exact"/>
              <w:ind w:left="99"/>
              <w:rPr>
                <w:sz w:val="18"/>
              </w:rPr>
            </w:pPr>
            <w:r>
              <w:rPr>
                <w:sz w:val="18"/>
              </w:rPr>
              <w:t>identify land</w:t>
            </w:r>
          </w:p>
        </w:tc>
        <w:tc>
          <w:tcPr>
            <w:tcW w:w="1802" w:type="dxa"/>
            <w:tcBorders>
              <w:top w:val="nil"/>
              <w:bottom w:val="nil"/>
            </w:tcBorders>
          </w:tcPr>
          <w:p>
            <w:pPr>
              <w:pStyle w:val="TableParagraph"/>
              <w:rPr>
                <w:sz w:val="14"/>
              </w:rPr>
            </w:pPr>
          </w:p>
        </w:tc>
      </w:tr>
      <w:tr>
        <w:trPr>
          <w:trHeight w:val="206" w:hRule="atLeast"/>
        </w:trPr>
        <w:tc>
          <w:tcPr>
            <w:tcW w:w="1442" w:type="dxa"/>
            <w:tcBorders>
              <w:top w:val="nil"/>
              <w:bottom w:val="nil"/>
            </w:tcBorders>
          </w:tcPr>
          <w:p>
            <w:pPr>
              <w:pStyle w:val="TableParagraph"/>
              <w:spacing w:line="186" w:lineRule="exact"/>
              <w:ind w:left="210"/>
              <w:rPr>
                <w:sz w:val="18"/>
              </w:rPr>
            </w:pPr>
            <w:r>
              <w:rPr>
                <w:sz w:val="18"/>
              </w:rPr>
              <w:t>projects</w:t>
            </w:r>
          </w:p>
        </w:tc>
        <w:tc>
          <w:tcPr>
            <w:tcW w:w="1442" w:type="dxa"/>
            <w:tcBorders>
              <w:top w:val="nil"/>
              <w:bottom w:val="nil"/>
            </w:tcBorders>
          </w:tcPr>
          <w:p>
            <w:pPr>
              <w:pStyle w:val="TableParagraph"/>
              <w:rPr>
                <w:sz w:val="14"/>
              </w:rPr>
            </w:pPr>
          </w:p>
        </w:tc>
        <w:tc>
          <w:tcPr>
            <w:tcW w:w="1399" w:type="dxa"/>
            <w:tcBorders>
              <w:top w:val="nil"/>
              <w:bottom w:val="nil"/>
            </w:tcBorders>
          </w:tcPr>
          <w:p>
            <w:pPr>
              <w:pStyle w:val="TableParagraph"/>
              <w:rPr>
                <w:sz w:val="14"/>
              </w:rPr>
            </w:pPr>
          </w:p>
        </w:tc>
        <w:tc>
          <w:tcPr>
            <w:tcW w:w="1665" w:type="dxa"/>
            <w:tcBorders>
              <w:top w:val="nil"/>
              <w:bottom w:val="nil"/>
            </w:tcBorders>
          </w:tcPr>
          <w:p>
            <w:pPr>
              <w:pStyle w:val="TableParagraph"/>
              <w:rPr>
                <w:sz w:val="14"/>
              </w:rPr>
            </w:pPr>
          </w:p>
        </w:tc>
        <w:tc>
          <w:tcPr>
            <w:tcW w:w="1262" w:type="dxa"/>
            <w:tcBorders>
              <w:top w:val="nil"/>
              <w:bottom w:val="nil"/>
            </w:tcBorders>
          </w:tcPr>
          <w:p>
            <w:pPr>
              <w:pStyle w:val="TableParagraph"/>
              <w:spacing w:line="186" w:lineRule="exact"/>
              <w:ind w:left="99"/>
              <w:rPr>
                <w:sz w:val="18"/>
              </w:rPr>
            </w:pPr>
            <w:r>
              <w:rPr>
                <w:sz w:val="18"/>
              </w:rPr>
              <w:t>cover/land use</w:t>
            </w:r>
          </w:p>
        </w:tc>
        <w:tc>
          <w:tcPr>
            <w:tcW w:w="1802" w:type="dxa"/>
            <w:tcBorders>
              <w:top w:val="nil"/>
              <w:bottom w:val="nil"/>
            </w:tcBorders>
          </w:tcPr>
          <w:p>
            <w:pPr>
              <w:pStyle w:val="TableParagraph"/>
              <w:rPr>
                <w:sz w:val="14"/>
              </w:rPr>
            </w:pPr>
          </w:p>
        </w:tc>
      </w:tr>
      <w:tr>
        <w:trPr>
          <w:trHeight w:val="207" w:hRule="atLeast"/>
        </w:trPr>
        <w:tc>
          <w:tcPr>
            <w:tcW w:w="1442" w:type="dxa"/>
            <w:tcBorders>
              <w:top w:val="nil"/>
              <w:bottom w:val="nil"/>
            </w:tcBorders>
          </w:tcPr>
          <w:p>
            <w:pPr>
              <w:pStyle w:val="TableParagraph"/>
              <w:rPr>
                <w:sz w:val="14"/>
              </w:rPr>
            </w:pPr>
          </w:p>
        </w:tc>
        <w:tc>
          <w:tcPr>
            <w:tcW w:w="1442" w:type="dxa"/>
            <w:tcBorders>
              <w:top w:val="nil"/>
              <w:bottom w:val="nil"/>
            </w:tcBorders>
          </w:tcPr>
          <w:p>
            <w:pPr>
              <w:pStyle w:val="TableParagraph"/>
              <w:rPr>
                <w:sz w:val="14"/>
              </w:rPr>
            </w:pPr>
          </w:p>
        </w:tc>
        <w:tc>
          <w:tcPr>
            <w:tcW w:w="1399" w:type="dxa"/>
            <w:tcBorders>
              <w:top w:val="nil"/>
              <w:bottom w:val="nil"/>
            </w:tcBorders>
          </w:tcPr>
          <w:p>
            <w:pPr>
              <w:pStyle w:val="TableParagraph"/>
              <w:rPr>
                <w:sz w:val="14"/>
              </w:rPr>
            </w:pPr>
          </w:p>
        </w:tc>
        <w:tc>
          <w:tcPr>
            <w:tcW w:w="1665" w:type="dxa"/>
            <w:tcBorders>
              <w:top w:val="nil"/>
              <w:bottom w:val="nil"/>
            </w:tcBorders>
          </w:tcPr>
          <w:p>
            <w:pPr>
              <w:pStyle w:val="TableParagraph"/>
              <w:rPr>
                <w:sz w:val="14"/>
              </w:rPr>
            </w:pPr>
          </w:p>
        </w:tc>
        <w:tc>
          <w:tcPr>
            <w:tcW w:w="1262" w:type="dxa"/>
            <w:tcBorders>
              <w:top w:val="nil"/>
              <w:bottom w:val="nil"/>
            </w:tcBorders>
          </w:tcPr>
          <w:p>
            <w:pPr>
              <w:pStyle w:val="TableParagraph"/>
              <w:spacing w:line="188" w:lineRule="exact"/>
              <w:ind w:left="99"/>
              <w:rPr>
                <w:sz w:val="18"/>
              </w:rPr>
            </w:pPr>
            <w:r>
              <w:rPr>
                <w:sz w:val="18"/>
              </w:rPr>
              <w:t>and their</w:t>
            </w:r>
          </w:p>
        </w:tc>
        <w:tc>
          <w:tcPr>
            <w:tcW w:w="1802" w:type="dxa"/>
            <w:tcBorders>
              <w:top w:val="nil"/>
              <w:bottom w:val="nil"/>
            </w:tcBorders>
          </w:tcPr>
          <w:p>
            <w:pPr>
              <w:pStyle w:val="TableParagraph"/>
              <w:rPr>
                <w:sz w:val="14"/>
              </w:rPr>
            </w:pPr>
          </w:p>
        </w:tc>
      </w:tr>
      <w:tr>
        <w:trPr>
          <w:trHeight w:val="268" w:hRule="atLeast"/>
        </w:trPr>
        <w:tc>
          <w:tcPr>
            <w:tcW w:w="1442" w:type="dxa"/>
            <w:tcBorders>
              <w:top w:val="nil"/>
            </w:tcBorders>
          </w:tcPr>
          <w:p>
            <w:pPr>
              <w:pStyle w:val="TableParagraph"/>
              <w:rPr>
                <w:sz w:val="18"/>
              </w:rPr>
            </w:pPr>
          </w:p>
        </w:tc>
        <w:tc>
          <w:tcPr>
            <w:tcW w:w="1442" w:type="dxa"/>
            <w:tcBorders>
              <w:top w:val="nil"/>
            </w:tcBorders>
          </w:tcPr>
          <w:p>
            <w:pPr>
              <w:pStyle w:val="TableParagraph"/>
              <w:rPr>
                <w:sz w:val="18"/>
              </w:rPr>
            </w:pPr>
          </w:p>
        </w:tc>
        <w:tc>
          <w:tcPr>
            <w:tcW w:w="1399" w:type="dxa"/>
            <w:tcBorders>
              <w:top w:val="nil"/>
            </w:tcBorders>
          </w:tcPr>
          <w:p>
            <w:pPr>
              <w:pStyle w:val="TableParagraph"/>
              <w:rPr>
                <w:sz w:val="18"/>
              </w:rPr>
            </w:pPr>
          </w:p>
        </w:tc>
        <w:tc>
          <w:tcPr>
            <w:tcW w:w="1665" w:type="dxa"/>
            <w:tcBorders>
              <w:top w:val="nil"/>
            </w:tcBorders>
          </w:tcPr>
          <w:p>
            <w:pPr>
              <w:pStyle w:val="TableParagraph"/>
              <w:rPr>
                <w:sz w:val="18"/>
              </w:rPr>
            </w:pPr>
          </w:p>
        </w:tc>
        <w:tc>
          <w:tcPr>
            <w:tcW w:w="1262" w:type="dxa"/>
            <w:tcBorders>
              <w:top w:val="nil"/>
            </w:tcBorders>
          </w:tcPr>
          <w:p>
            <w:pPr>
              <w:pStyle w:val="TableParagraph"/>
              <w:spacing w:line="204" w:lineRule="exact"/>
              <w:ind w:left="99"/>
              <w:rPr>
                <w:sz w:val="18"/>
              </w:rPr>
            </w:pPr>
            <w:r>
              <w:rPr>
                <w:sz w:val="18"/>
              </w:rPr>
              <w:t>changes</w:t>
            </w:r>
          </w:p>
        </w:tc>
        <w:tc>
          <w:tcPr>
            <w:tcW w:w="1802" w:type="dxa"/>
            <w:tcBorders>
              <w:top w:val="nil"/>
            </w:tcBorders>
          </w:tcPr>
          <w:p>
            <w:pPr>
              <w:pStyle w:val="TableParagraph"/>
              <w:rPr>
                <w:sz w:val="18"/>
              </w:rPr>
            </w:pPr>
          </w:p>
        </w:tc>
      </w:tr>
    </w:tbl>
    <w:p>
      <w:pPr>
        <w:spacing w:after="0"/>
        <w:rPr>
          <w:sz w:val="18"/>
        </w:rPr>
        <w:sectPr>
          <w:pgSz w:w="11900" w:h="16840"/>
          <w:pgMar w:header="230" w:footer="408" w:top="560" w:bottom="600" w:left="1240" w:right="0"/>
        </w:sectPr>
      </w:pPr>
    </w:p>
    <w:p>
      <w:pPr>
        <w:pStyle w:val="BodyText"/>
      </w:pPr>
    </w:p>
    <w:p>
      <w:pPr>
        <w:pStyle w:val="Heading6"/>
        <w:spacing w:before="214"/>
        <w:ind w:left="179"/>
        <w:jc w:val="both"/>
      </w:pPr>
      <w:r>
        <w:rPr/>
        <w:t>Approach 1 b: Comparisons with International Programmes and Datasets </w:t>
      </w:r>
    </w:p>
    <w:p>
      <w:pPr>
        <w:pStyle w:val="BodyText"/>
        <w:spacing w:before="57"/>
        <w:ind w:left="179" w:right="1403"/>
        <w:jc w:val="both"/>
      </w:pPr>
      <w:r>
        <w:rPr/>
        <w:t>A number of research and monitoring initiatives are currently under way at the international level, both at regional/continental scale (research projects, monitoring networks, etc.) and at global scale (remote sensing of the biosphere, global data archiving centre, networks of similar research initiatives between regions,</w:t>
      </w:r>
      <w:r>
        <w:rPr>
          <w:spacing w:val="-24"/>
        </w:rPr>
        <w:t> </w:t>
      </w:r>
      <w:r>
        <w:rPr/>
        <w:t>etc).</w:t>
      </w:r>
    </w:p>
    <w:p>
      <w:pPr>
        <w:pStyle w:val="BodyText"/>
        <w:spacing w:before="118"/>
        <w:ind w:left="179" w:right="1406"/>
        <w:jc w:val="both"/>
      </w:pPr>
      <w:r>
        <w:rPr/>
        <w:t>For the LULUCF sector, most of this research is linked to the quantification of the role of terrestrial ecosystems, particularly forests, in the carbon cycle, from ecosystem to global scale. In this respect, many of the results gathered by research and monitoring networks could be relevant for verification of LULUCF reporting, as well as for other cross-</w:t>
      </w:r>
      <w:r>
        <w:rPr>
          <w:spacing w:val="-42"/>
        </w:rPr>
        <w:t> </w:t>
      </w:r>
      <w:r>
        <w:rPr/>
        <w:t>cutting issues such as those linked to QA/QC and uncertainties.</w:t>
      </w:r>
    </w:p>
    <w:p>
      <w:pPr>
        <w:pStyle w:val="BodyText"/>
        <w:spacing w:before="120"/>
        <w:ind w:left="179" w:right="1403"/>
        <w:jc w:val="both"/>
      </w:pPr>
      <w:r>
        <w:rPr/>
        <w:t>The scale and aggregation level (national, regional, etc.) of the data and information that can be gathered from such programmes and datasets may be useful in different phases and levels of the verification process (internal and external auditing, comparison with data collected by other agencies, etc.).</w:t>
      </w:r>
    </w:p>
    <w:p>
      <w:pPr>
        <w:pStyle w:val="BodyText"/>
        <w:spacing w:before="118"/>
        <w:ind w:left="179" w:right="1404"/>
        <w:jc w:val="both"/>
      </w:pPr>
      <w:r>
        <w:rPr/>
        <w:t>As with Approach 1a, the comparison of inventory data or estimates with independent datasets can be an inexpensive and straightforward verification approach. It can be applied to any element of an inventory for which there is an alternative source of data. Generally, it is most applicable for land area classification, although it can also be used to verify selected elements of estimates of carbon pools, non- CO</w:t>
      </w:r>
      <w:r>
        <w:rPr>
          <w:vertAlign w:val="subscript"/>
        </w:rPr>
        <w:t>2</w:t>
      </w:r>
      <w:r>
        <w:rPr>
          <w:vertAlign w:val="baseline"/>
        </w:rPr>
        <w:t> greenhouse gases, and activities, while data coming from research networks can be used to verify country-specific data (emission factors). As mentioned for the previous approach, when using an international dataset for verification purposes,  it is </w:t>
      </w:r>
      <w:r>
        <w:rPr>
          <w:i/>
          <w:vertAlign w:val="baseline"/>
        </w:rPr>
        <w:t>good practice </w:t>
      </w:r>
      <w:r>
        <w:rPr>
          <w:vertAlign w:val="baseline"/>
        </w:rPr>
        <w:t>to ensure that the same dataset has not been already used to calculate or estimate some elements of the reported LULUCF category. This situation can occur particularly when the internationally available programmes and datasets are compiled from national statistics or include the results of specific studies performed in the territory of the country that is planning to use the data for verification. The analysis of the eventual differences emerging from the comparison with internationally available data- sets and inventories should be devoted particularly to the identification of the possible reasons for such differences, with the final objective of overall inventory improvement. Links to some international programmes and datasets that could be useful for verification purposes can be found in Box 5.7.6, Links and Networks Relevant to LULUCF, in</w:t>
      </w:r>
      <w:r>
        <w:rPr>
          <w:spacing w:val="-30"/>
          <w:vertAlign w:val="baseline"/>
        </w:rPr>
        <w:t> </w:t>
      </w:r>
      <w:r>
        <w:rPr>
          <w:vertAlign w:val="baseline"/>
        </w:rPr>
        <w:t>Section</w:t>
      </w:r>
    </w:p>
    <w:p>
      <w:pPr>
        <w:pStyle w:val="BodyText"/>
        <w:ind w:left="179" w:right="1407"/>
        <w:jc w:val="both"/>
      </w:pPr>
      <w:r>
        <w:rPr/>
        <w:t>5.7.6. Other useful links to open sources for land- use/land- cover data may be found in Chapter 2, Annex 2.A.2, Examples of International Land Cover Datasets.</w:t>
      </w:r>
    </w:p>
    <w:p>
      <w:pPr>
        <w:pStyle w:val="BodyText"/>
        <w:spacing w:before="1"/>
        <w:rPr>
          <w:sz w:val="21"/>
        </w:rPr>
      </w:pPr>
    </w:p>
    <w:p>
      <w:pPr>
        <w:pStyle w:val="Heading6"/>
        <w:ind w:left="179"/>
        <w:jc w:val="both"/>
      </w:pPr>
      <w:r>
        <w:rPr>
          <w:spacing w:val="16"/>
        </w:rPr>
        <w:t>APPROACH </w:t>
      </w:r>
      <w:r>
        <w:rPr>
          <w:spacing w:val="9"/>
        </w:rPr>
        <w:t>2: </w:t>
      </w:r>
      <w:r>
        <w:rPr>
          <w:spacing w:val="16"/>
        </w:rPr>
        <w:t>APPLYING HIGHER </w:t>
      </w:r>
      <w:r>
        <w:rPr>
          <w:spacing w:val="14"/>
        </w:rPr>
        <w:t>TIER</w:t>
      </w:r>
      <w:r>
        <w:rPr>
          <w:spacing w:val="75"/>
        </w:rPr>
        <w:t> </w:t>
      </w:r>
      <w:r>
        <w:rPr>
          <w:spacing w:val="16"/>
        </w:rPr>
        <w:t>METHODS</w:t>
      </w:r>
    </w:p>
    <w:p>
      <w:pPr>
        <w:pStyle w:val="BodyText"/>
        <w:spacing w:before="117"/>
        <w:ind w:left="179" w:right="1402"/>
        <w:jc w:val="both"/>
      </w:pPr>
      <w:r>
        <w:rPr/>
        <w:t>A country may not have sufficient data or resources to use higher tier methods for its total inventory of emissions and removals from all of the various categories of the LULUCF sector. In some cases, however, the country may have access to more comprehensive datasets for specific areas (e.g., a region or subcategory). In this case, the country could conduct verification of part of its estimate using a higher tier method. As an example, if greenhouse gas emissions and removals in managed forests have been estimated using the Tier 1 methods, an inventory agency may consider performing verification by applying, over a portion of the forested area, country- specific data (Tier 2 or Tier 3). In this case, biomass and growth equations would have to be available or developed in selected areas at least for homogeneous growth conditions (biome, climatic regions), forest age classes and management regimes.</w:t>
      </w:r>
    </w:p>
    <w:p>
      <w:pPr>
        <w:pStyle w:val="BodyText"/>
        <w:spacing w:before="116"/>
        <w:ind w:left="179" w:right="1402"/>
        <w:jc w:val="both"/>
      </w:pPr>
      <w:r>
        <w:rPr/>
        <w:t>The application of higher tier methods for parts of an inventory can be an effective verification technique if the necessary data, derived from the more detailed method are available. This approach can be applied at a variety of scales, from plot to national level. Costs will vary depending upon the scope of the verification. In general, development of higher tier estimates for verification can be fairly simple and may use the already available inventory expertise. A key issue with this approach is whether to use the partial higher tier estimates as a part of the inventory itself or as a verification approach.</w:t>
      </w:r>
    </w:p>
    <w:p>
      <w:pPr>
        <w:pStyle w:val="BodyText"/>
        <w:spacing w:before="4"/>
        <w:rPr>
          <w:sz w:val="21"/>
        </w:rPr>
      </w:pPr>
    </w:p>
    <w:p>
      <w:pPr>
        <w:pStyle w:val="Heading6"/>
        <w:ind w:left="1993" w:right="1597" w:hanging="1815"/>
      </w:pPr>
      <w:r>
        <w:rPr/>
        <w:t>APPROACH 3: DIRECT MEASUREMENTS OF EMISSIONS AND REMOVALS OF GREENHOUSE GASES</w:t>
      </w:r>
    </w:p>
    <w:p>
      <w:pPr>
        <w:pStyle w:val="BodyText"/>
        <w:spacing w:before="113"/>
        <w:ind w:left="179" w:right="1402"/>
        <w:jc w:val="both"/>
      </w:pPr>
      <w:r>
        <w:rPr/>
        <w:t>Direct measurements are a verification approach for various carbon pools, as well as non-CO</w:t>
      </w:r>
      <w:r>
        <w:rPr>
          <w:vertAlign w:val="subscript"/>
        </w:rPr>
        <w:t>2</w:t>
      </w:r>
      <w:r>
        <w:rPr>
          <w:vertAlign w:val="baseline"/>
        </w:rPr>
        <w:t> greenhouse gas emissions and LULUCF activities. However, this approach is not generally applicable for verifying land area classification. The scale of the approach can vary from plot to national level. At limited scale, direct measurements can provide country- specific default factors and activity data, while larger scale approaches can be used for verification of sectoral estimates and specific activities. Costs can vary substantially, depending upon sample size and the desired accuracy. With a large sample size, accuracy can be quite high. When applying this approach, the most significant challenges are generally designing the sampling strategy and measurement protocols. Once the infrastructure is in place, measurements collections are generally not technically difficult, although they can be labour intensive.</w:t>
      </w:r>
    </w:p>
    <w:p>
      <w:pPr>
        <w:pStyle w:val="BodyText"/>
        <w:spacing w:before="119"/>
        <w:ind w:left="179" w:right="1405"/>
        <w:jc w:val="both"/>
      </w:pPr>
      <w:r>
        <w:rPr/>
        <w:t>When performing direct measurements of emissions and removals of greenhouse gases in the LULUCF sector, temporal and spatial variability needs to be properly considered, because emissions/removals in a given year are</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1"/>
        <w:jc w:val="both"/>
      </w:pPr>
      <w:r>
        <w:rPr/>
        <w:t>not necessarily indicative of long- term trends. This is due to the fact that most of the emissions and removals in the sector are linked to biological processes and subject to climate variability. The problem can be partly addressed by using average, cumulative measurements or smoothing over several years to get representative results.</w:t>
      </w:r>
      <w:r>
        <w:rPr>
          <w:spacing w:val="-2"/>
        </w:rPr>
        <w:t> </w:t>
      </w:r>
      <w:r>
        <w:rPr/>
        <w:t>Furthermore,</w:t>
      </w:r>
      <w:r>
        <w:rPr>
          <w:spacing w:val="-2"/>
        </w:rPr>
        <w:t> </w:t>
      </w:r>
      <w:r>
        <w:rPr/>
        <w:t>the</w:t>
      </w:r>
      <w:r>
        <w:rPr>
          <w:spacing w:val="-2"/>
        </w:rPr>
        <w:t> </w:t>
      </w:r>
      <w:r>
        <w:rPr/>
        <w:t>effect</w:t>
      </w:r>
      <w:r>
        <w:rPr>
          <w:spacing w:val="-2"/>
        </w:rPr>
        <w:t> </w:t>
      </w:r>
      <w:r>
        <w:rPr/>
        <w:t>of</w:t>
      </w:r>
      <w:r>
        <w:rPr>
          <w:spacing w:val="-3"/>
        </w:rPr>
        <w:t> </w:t>
      </w:r>
      <w:r>
        <w:rPr/>
        <w:t>inter-</w:t>
      </w:r>
      <w:r>
        <w:rPr>
          <w:spacing w:val="-34"/>
        </w:rPr>
        <w:t> </w:t>
      </w:r>
      <w:r>
        <w:rPr/>
        <w:t>annual</w:t>
      </w:r>
      <w:r>
        <w:rPr>
          <w:spacing w:val="1"/>
        </w:rPr>
        <w:t> </w:t>
      </w:r>
      <w:r>
        <w:rPr/>
        <w:t>variability</w:t>
      </w:r>
      <w:r>
        <w:rPr>
          <w:spacing w:val="-3"/>
        </w:rPr>
        <w:t> </w:t>
      </w:r>
      <w:r>
        <w:rPr/>
        <w:t>of data</w:t>
      </w:r>
      <w:r>
        <w:rPr>
          <w:spacing w:val="-2"/>
        </w:rPr>
        <w:t> </w:t>
      </w:r>
      <w:r>
        <w:rPr/>
        <w:t>tends</w:t>
      </w:r>
      <w:r>
        <w:rPr>
          <w:spacing w:val="-2"/>
        </w:rPr>
        <w:t> </w:t>
      </w:r>
      <w:r>
        <w:rPr/>
        <w:t>to</w:t>
      </w:r>
      <w:r>
        <w:rPr>
          <w:spacing w:val="-1"/>
        </w:rPr>
        <w:t> </w:t>
      </w:r>
      <w:r>
        <w:rPr/>
        <w:t>decrease</w:t>
      </w:r>
      <w:r>
        <w:rPr>
          <w:spacing w:val="-2"/>
        </w:rPr>
        <w:t> </w:t>
      </w:r>
      <w:r>
        <w:rPr/>
        <w:t>as</w:t>
      </w:r>
      <w:r>
        <w:rPr>
          <w:spacing w:val="-1"/>
        </w:rPr>
        <w:t> </w:t>
      </w:r>
      <w:r>
        <w:rPr/>
        <w:t>larger</w:t>
      </w:r>
      <w:r>
        <w:rPr>
          <w:spacing w:val="-1"/>
        </w:rPr>
        <w:t> </w:t>
      </w:r>
      <w:r>
        <w:rPr/>
        <w:t>areas</w:t>
      </w:r>
      <w:r>
        <w:rPr>
          <w:spacing w:val="-2"/>
        </w:rPr>
        <w:t> </w:t>
      </w:r>
      <w:r>
        <w:rPr/>
        <w:t>are</w:t>
      </w:r>
      <w:r>
        <w:rPr>
          <w:spacing w:val="-2"/>
        </w:rPr>
        <w:t> </w:t>
      </w:r>
      <w:r>
        <w:rPr/>
        <w:t>considered. Thus, direct measurements over larger areas or with longer measurement intervals are more likely to reflect the effect of management practices (see Chapter 4, Section 4.2.3.7, Interannual Variability). While recognising these issues in using direct measurements as a verification tool, they can still be useful in several ways to verify LULUCF sector estimates and background data, as described below.</w:t>
      </w:r>
    </w:p>
    <w:p>
      <w:pPr>
        <w:pStyle w:val="BodyText"/>
        <w:spacing w:before="2"/>
        <w:rPr>
          <w:sz w:val="21"/>
        </w:rPr>
      </w:pPr>
    </w:p>
    <w:p>
      <w:pPr>
        <w:pStyle w:val="Heading7"/>
        <w:spacing w:line="251" w:lineRule="exact" w:before="1"/>
        <w:ind w:left="179"/>
        <w:rPr>
          <w:rFonts w:ascii="Times New Roman"/>
          <w:i w:val="0"/>
        </w:rPr>
      </w:pPr>
      <w:r>
        <w:rPr/>
        <w:t>Living Biomass </w:t>
      </w:r>
      <w:r>
        <w:rPr>
          <w:rFonts w:ascii="Times New Roman"/>
          <w:i w:val="0"/>
        </w:rPr>
        <w:t>( </w:t>
      </w:r>
      <w:r>
        <w:rPr/>
        <w:t>aboveground and belowground biomass</w:t>
      </w:r>
      <w:r>
        <w:rPr>
          <w:rFonts w:ascii="Times New Roman"/>
          <w:i w:val="0"/>
        </w:rPr>
        <w:t>)</w:t>
      </w:r>
    </w:p>
    <w:p>
      <w:pPr>
        <w:pStyle w:val="BodyText"/>
        <w:ind w:left="179" w:right="1403"/>
        <w:jc w:val="both"/>
      </w:pPr>
      <w:r>
        <w:rPr/>
        <w:t>Reported carbon stock changes in biomass can be verified by </w:t>
      </w:r>
      <w:r>
        <w:rPr>
          <w:b/>
        </w:rPr>
        <w:t>direct measurements of stock changes</w:t>
      </w:r>
      <w:r>
        <w:rPr/>
        <w:t>. Currently available techniques allow reasonably accurate measurement of changes in aboveground biomass at periodic intervals, although, in mature forests, the annual changes in stocks can be small for the size of the pool. Methods for estimating belowground biomass are also available, although the sampling is more difficult than for aboveground biomass. This approach can be used particularly in forests, but it is also suitable for the changes in living biomass in other land- uses which contain woody biomass while not matching the definition for forest land (e.g., agro- forestry systems, revegetated grasslands, etc.).</w:t>
      </w:r>
    </w:p>
    <w:p>
      <w:pPr>
        <w:pStyle w:val="BodyText"/>
        <w:spacing w:before="116"/>
        <w:ind w:left="179" w:right="1403"/>
        <w:jc w:val="both"/>
      </w:pPr>
      <w:r>
        <w:rPr/>
        <w:t>There is a variety of ways in which direct measurements can be used to verify biomass estimates. For example, a country may decide to collect forest inventory data by direct measurements more frequently than they typically do, e.g., on a 5-10 year interval, for a selected subsample of plots or for a region. An inventory agency may also use direct measurements to derive local allometric relationships including belowground biomass that could be used to verify stock changes for the entire living biomass component. Direct measurements could also be used as a verification tool for young forest stands or lands which are undergoing biomass regrowth, as the available allometric equations and biomass expansion factors are normally not applicable for these pools. Available </w:t>
      </w:r>
      <w:r>
        <w:rPr>
          <w:b/>
        </w:rPr>
        <w:t>ecosystem studies </w:t>
      </w:r>
      <w:r>
        <w:rPr/>
        <w:t>could be used to derive species-specific biomass expansion factors, which could be compared against the default factors used for reporting and also to check growth rate of specific forest types.</w:t>
      </w:r>
    </w:p>
    <w:p>
      <w:pPr>
        <w:pStyle w:val="BodyText"/>
        <w:spacing w:before="2"/>
        <w:rPr>
          <w:sz w:val="21"/>
        </w:rPr>
      </w:pPr>
    </w:p>
    <w:p>
      <w:pPr>
        <w:pStyle w:val="Heading7"/>
        <w:spacing w:before="1"/>
        <w:ind w:left="179"/>
        <w:rPr>
          <w:rFonts w:ascii="Times New Roman"/>
          <w:i w:val="0"/>
        </w:rPr>
      </w:pPr>
      <w:r>
        <w:rPr/>
        <w:t>Dead Organic Matter </w:t>
      </w:r>
      <w:r>
        <w:rPr>
          <w:rFonts w:ascii="Times New Roman"/>
          <w:i w:val="0"/>
        </w:rPr>
        <w:t>( </w:t>
      </w:r>
      <w:r>
        <w:rPr/>
        <w:t>dead wood and litter </w:t>
      </w:r>
      <w:r>
        <w:rPr>
          <w:rFonts w:ascii="Times New Roman"/>
          <w:i w:val="0"/>
        </w:rPr>
        <w:t>)</w:t>
      </w:r>
    </w:p>
    <w:p>
      <w:pPr>
        <w:pStyle w:val="BodyText"/>
        <w:ind w:left="179" w:right="1404"/>
        <w:jc w:val="both"/>
      </w:pPr>
      <w:r>
        <w:rPr/>
        <w:t>As for aboveground and belowground biomass, stocks of dead organic matter (litter and dead wood) can also be estimated from direct measurements. However, in forests, litter and dead wood pools are highly variable both in space and in time (e.g., seasonal changes in litter, sudden changes due to natural or human disturbances) and a proper sampling scheme would be needed to accurately assess stocks of dead organic matter. It is expected that litter pools are not changing significantly in mature forests and verification should be preferably directed to afforestation/reforestation areas and to forest stands that are undergoing major management operations such as harvesting, site preparation, thinning, etc.</w:t>
      </w:r>
    </w:p>
    <w:p>
      <w:pPr>
        <w:pStyle w:val="BodyText"/>
        <w:spacing w:before="114"/>
        <w:ind w:left="179" w:right="1404"/>
        <w:jc w:val="both"/>
      </w:pPr>
      <w:r>
        <w:rPr/>
        <w:t>Generally, ecosystem studies are measuring aboveground litter input using netted traps (foliage and twigs) and litter stocks through collection of litter in several plots (also for coarse dead wood). Such studies, if available, could serve to check Tier 1 default factors eventually used for reporting.</w:t>
      </w:r>
    </w:p>
    <w:p>
      <w:pPr>
        <w:pStyle w:val="BodyText"/>
        <w:spacing w:before="5"/>
        <w:rPr>
          <w:sz w:val="21"/>
        </w:rPr>
      </w:pPr>
    </w:p>
    <w:p>
      <w:pPr>
        <w:pStyle w:val="Heading7"/>
        <w:spacing w:before="1"/>
        <w:ind w:left="179"/>
        <w:rPr>
          <w:rFonts w:ascii="Times New Roman"/>
          <w:i w:val="0"/>
        </w:rPr>
      </w:pPr>
      <w:r>
        <w:rPr/>
        <w:t>Soils </w:t>
      </w:r>
      <w:r>
        <w:rPr>
          <w:rFonts w:ascii="Times New Roman"/>
          <w:i w:val="0"/>
        </w:rPr>
        <w:t>( </w:t>
      </w:r>
      <w:r>
        <w:rPr/>
        <w:t>soil organic matter </w:t>
      </w:r>
      <w:r>
        <w:rPr>
          <w:rFonts w:ascii="Times New Roman"/>
          <w:i w:val="0"/>
        </w:rPr>
        <w:t>)</w:t>
      </w:r>
    </w:p>
    <w:p>
      <w:pPr>
        <w:pStyle w:val="BodyText"/>
        <w:ind w:left="179" w:right="1406"/>
        <w:jc w:val="both"/>
      </w:pPr>
      <w:r>
        <w:rPr/>
        <w:t>Verification of emissions and removals from </w:t>
      </w:r>
      <w:r>
        <w:rPr>
          <w:b/>
        </w:rPr>
        <w:t>soils </w:t>
      </w:r>
      <w:r>
        <w:rPr/>
        <w:t>could also be undertaken. As for aboveground biomass, sensitive methods for estimating soil carbon stocks are available. Repeated soil sampling over a certain area, region or at national scale can be a relevant approach for detecting changes in soil carbon in different land uses (forests, grasslands, croplands). However, for ecosystems that are not undergoing land- use changes or are not subject to significant management operation (e.g., harvesting of a mature forest, improvement of a grassland, ploughing of croplands, etc), changes in soil carbon stocks could be small and difficult to assess accurately over short periods.</w:t>
      </w:r>
    </w:p>
    <w:p>
      <w:pPr>
        <w:pStyle w:val="BodyText"/>
        <w:spacing w:before="115"/>
        <w:ind w:left="179" w:right="1406"/>
        <w:jc w:val="both"/>
      </w:pPr>
      <w:r>
        <w:rPr/>
        <w:t>Greenhouse gas emissions and removals from soils can be measured at several sampling points in a plot using portable or transportable gas- sampling systems (cuvettes and gas analyser). Measurements at the sampling points would then need to be upscaled to plot/ecosystem levels, taking into account the significant spatial variability typical of soil- related gas emissions and removals. Both CO</w:t>
      </w:r>
      <w:r>
        <w:rPr>
          <w:vertAlign w:val="subscript"/>
        </w:rPr>
        <w:t>2</w:t>
      </w:r>
      <w:r>
        <w:rPr>
          <w:vertAlign w:val="baseline"/>
        </w:rPr>
        <w:t> and other greenhouse gases (N</w:t>
      </w:r>
      <w:r>
        <w:rPr>
          <w:vertAlign w:val="subscript"/>
        </w:rPr>
        <w:t>2</w:t>
      </w:r>
      <w:r>
        <w:rPr>
          <w:vertAlign w:val="baseline"/>
        </w:rPr>
        <w:t>O, CH</w:t>
      </w:r>
      <w:r>
        <w:rPr>
          <w:vertAlign w:val="subscript"/>
        </w:rPr>
        <w:t>4</w:t>
      </w:r>
      <w:r>
        <w:rPr>
          <w:vertAlign w:val="baseline"/>
        </w:rPr>
        <w:t>) have been measured with this approach (Butterbach- Bahl </w:t>
      </w:r>
      <w:r>
        <w:rPr>
          <w:i/>
          <w:vertAlign w:val="baseline"/>
        </w:rPr>
        <w:t>et al.</w:t>
      </w:r>
      <w:r>
        <w:rPr>
          <w:vertAlign w:val="baseline"/>
        </w:rPr>
        <w:t>, 2002; Janssens </w:t>
      </w:r>
      <w:r>
        <w:rPr>
          <w:i/>
          <w:vertAlign w:val="baseline"/>
        </w:rPr>
        <w:t>et al</w:t>
      </w:r>
      <w:r>
        <w:rPr>
          <w:vertAlign w:val="baseline"/>
        </w:rPr>
        <w:t>, 2001). Direct measurements of greenhouse gas fluxes obtained in this way can be useful also in comparing emissions before and after the application of a specific management practice (Steinkamp </w:t>
      </w:r>
      <w:r>
        <w:rPr>
          <w:i/>
          <w:vertAlign w:val="baseline"/>
        </w:rPr>
        <w:t>et al</w:t>
      </w:r>
      <w:r>
        <w:rPr>
          <w:vertAlign w:val="baseline"/>
        </w:rPr>
        <w:t>., 2001; Butterbach- Bahl and Papen, 2002).</w:t>
      </w:r>
      <w:r>
        <w:rPr>
          <w:spacing w:val="-3"/>
          <w:vertAlign w:val="baseline"/>
        </w:rPr>
        <w:t> </w:t>
      </w:r>
      <w:r>
        <w:rPr>
          <w:vertAlign w:val="baseline"/>
        </w:rPr>
        <w:t>Directly</w:t>
      </w:r>
      <w:r>
        <w:rPr>
          <w:spacing w:val="-4"/>
          <w:vertAlign w:val="baseline"/>
        </w:rPr>
        <w:t> </w:t>
      </w:r>
      <w:r>
        <w:rPr>
          <w:vertAlign w:val="baseline"/>
        </w:rPr>
        <w:t>measured</w:t>
      </w:r>
      <w:r>
        <w:rPr>
          <w:spacing w:val="-2"/>
          <w:vertAlign w:val="baseline"/>
        </w:rPr>
        <w:t> </w:t>
      </w:r>
      <w:r>
        <w:rPr>
          <w:vertAlign w:val="baseline"/>
        </w:rPr>
        <w:t>values</w:t>
      </w:r>
      <w:r>
        <w:rPr>
          <w:spacing w:val="-4"/>
          <w:vertAlign w:val="baseline"/>
        </w:rPr>
        <w:t> </w:t>
      </w:r>
      <w:r>
        <w:rPr>
          <w:vertAlign w:val="baseline"/>
        </w:rPr>
        <w:t>can</w:t>
      </w:r>
      <w:r>
        <w:rPr>
          <w:spacing w:val="-4"/>
          <w:vertAlign w:val="baseline"/>
        </w:rPr>
        <w:t> </w:t>
      </w:r>
      <w:r>
        <w:rPr>
          <w:vertAlign w:val="baseline"/>
        </w:rPr>
        <w:t>be</w:t>
      </w:r>
      <w:r>
        <w:rPr>
          <w:spacing w:val="-2"/>
          <w:vertAlign w:val="baseline"/>
        </w:rPr>
        <w:t> </w:t>
      </w:r>
      <w:r>
        <w:rPr>
          <w:vertAlign w:val="baseline"/>
        </w:rPr>
        <w:t>used</w:t>
      </w:r>
      <w:r>
        <w:rPr>
          <w:spacing w:val="-2"/>
          <w:vertAlign w:val="baseline"/>
        </w:rPr>
        <w:t> </w:t>
      </w:r>
      <w:r>
        <w:rPr>
          <w:vertAlign w:val="baseline"/>
        </w:rPr>
        <w:t>to</w:t>
      </w:r>
      <w:r>
        <w:rPr>
          <w:spacing w:val="-2"/>
          <w:vertAlign w:val="baseline"/>
        </w:rPr>
        <w:t> </w:t>
      </w:r>
      <w:r>
        <w:rPr>
          <w:vertAlign w:val="baseline"/>
        </w:rPr>
        <w:t>verify</w:t>
      </w:r>
      <w:r>
        <w:rPr>
          <w:spacing w:val="-4"/>
          <w:vertAlign w:val="baseline"/>
        </w:rPr>
        <w:t> </w:t>
      </w:r>
      <w:r>
        <w:rPr>
          <w:vertAlign w:val="baseline"/>
        </w:rPr>
        <w:t>the</w:t>
      </w:r>
      <w:r>
        <w:rPr>
          <w:spacing w:val="-2"/>
          <w:vertAlign w:val="baseline"/>
        </w:rPr>
        <w:t> </w:t>
      </w:r>
      <w:r>
        <w:rPr>
          <w:vertAlign w:val="baseline"/>
        </w:rPr>
        <w:t>default</w:t>
      </w:r>
      <w:r>
        <w:rPr>
          <w:spacing w:val="-3"/>
          <w:vertAlign w:val="baseline"/>
        </w:rPr>
        <w:t> </w:t>
      </w:r>
      <w:r>
        <w:rPr>
          <w:vertAlign w:val="baseline"/>
        </w:rPr>
        <w:t>emission</w:t>
      </w:r>
      <w:r>
        <w:rPr>
          <w:spacing w:val="-3"/>
          <w:vertAlign w:val="baseline"/>
        </w:rPr>
        <w:t> </w:t>
      </w:r>
      <w:r>
        <w:rPr>
          <w:vertAlign w:val="baseline"/>
        </w:rPr>
        <w:t>factors</w:t>
      </w:r>
      <w:r>
        <w:rPr>
          <w:spacing w:val="-4"/>
          <w:vertAlign w:val="baseline"/>
        </w:rPr>
        <w:t> </w:t>
      </w:r>
      <w:r>
        <w:rPr>
          <w:vertAlign w:val="baseline"/>
        </w:rPr>
        <w:t>eventually</w:t>
      </w:r>
      <w:r>
        <w:rPr>
          <w:spacing w:val="-6"/>
          <w:vertAlign w:val="baseline"/>
        </w:rPr>
        <w:t> </w:t>
      </w:r>
      <w:r>
        <w:rPr>
          <w:vertAlign w:val="baseline"/>
        </w:rPr>
        <w:t>used</w:t>
      </w:r>
      <w:r>
        <w:rPr>
          <w:spacing w:val="-3"/>
          <w:vertAlign w:val="baseline"/>
        </w:rPr>
        <w:t> </w:t>
      </w:r>
      <w:r>
        <w:rPr>
          <w:vertAlign w:val="baseline"/>
        </w:rPr>
        <w:t>at</w:t>
      </w:r>
      <w:r>
        <w:rPr>
          <w:spacing w:val="-3"/>
          <w:vertAlign w:val="baseline"/>
        </w:rPr>
        <w:t> </w:t>
      </w:r>
      <w:r>
        <w:rPr>
          <w:vertAlign w:val="baseline"/>
        </w:rPr>
        <w:t>lower</w:t>
      </w:r>
      <w:r>
        <w:rPr>
          <w:spacing w:val="-2"/>
          <w:vertAlign w:val="baseline"/>
        </w:rPr>
        <w:t> </w:t>
      </w:r>
      <w:r>
        <w:rPr>
          <w:vertAlign w:val="baseline"/>
        </w:rPr>
        <w:t>tiers.</w:t>
      </w:r>
    </w:p>
    <w:p>
      <w:pPr>
        <w:pStyle w:val="BodyText"/>
        <w:spacing w:before="118"/>
        <w:ind w:left="179" w:right="1405"/>
        <w:jc w:val="both"/>
      </w:pPr>
      <w:r>
        <w:rPr/>
        <w:t>Verification of changes in soil carbon in land that is undergoing transition in use can be performed by comparing measured carbon stocks in the land that has undergone the transition against carbon stocks of lands where the former land use is still present. In such case, care should be taken to ensure paired sites are well matched in terms of factors that may influence soil carbon turnover rates (e.g., soil type, native vegetation, drainage, topography, etc.).</w:t>
      </w:r>
    </w:p>
    <w:p>
      <w:pPr>
        <w:spacing w:after="0"/>
        <w:jc w:val="both"/>
        <w:sectPr>
          <w:pgSz w:w="11900" w:h="16840"/>
          <w:pgMar w:header="230" w:footer="408" w:top="560" w:bottom="600" w:left="1240" w:right="0"/>
        </w:sectPr>
      </w:pPr>
    </w:p>
    <w:p>
      <w:pPr>
        <w:pStyle w:val="BodyText"/>
      </w:pPr>
    </w:p>
    <w:p>
      <w:pPr>
        <w:pStyle w:val="Heading7"/>
        <w:spacing w:line="251" w:lineRule="exact" w:before="214"/>
        <w:ind w:left="179"/>
      </w:pPr>
      <w:r>
        <w:rPr/>
        <w:t>Measurements of Greenhouse Gas Fluxes at Ecosystem Scale</w:t>
      </w:r>
    </w:p>
    <w:p>
      <w:pPr>
        <w:pStyle w:val="BodyText"/>
        <w:ind w:left="179" w:right="1402"/>
        <w:jc w:val="both"/>
      </w:pPr>
      <w:r>
        <w:rPr/>
        <w:t>Direct measurements of </w:t>
      </w:r>
      <w:r>
        <w:rPr>
          <w:b/>
        </w:rPr>
        <w:t>ecosystem fluxes of greenhouse gases </w:t>
      </w:r>
      <w:r>
        <w:rPr/>
        <w:t>can be used to verify, at a local scale, reported changes in carbon stocks. These flux observations are usually conducted by micrometeorological techniques, such as eddy covariance, using canopy towers placed inside forests or other ecosystems, mainly for CO</w:t>
      </w:r>
      <w:r>
        <w:rPr>
          <w:vertAlign w:val="subscript"/>
        </w:rPr>
        <w:t>2</w:t>
      </w:r>
      <w:r>
        <w:rPr>
          <w:vertAlign w:val="baseline"/>
        </w:rPr>
        <w:t> exchanges measurements (Aubinet </w:t>
      </w:r>
      <w:r>
        <w:rPr>
          <w:i/>
          <w:vertAlign w:val="baseline"/>
        </w:rPr>
        <w:t>et al</w:t>
      </w:r>
      <w:r>
        <w:rPr>
          <w:vertAlign w:val="baseline"/>
        </w:rPr>
        <w:t>., 2000). Generally, they provide data on the Net Ecosystem Exchange (NEE, see footnote 26). This approach is suitable for the comprehensive estimation of carbon emissions and removals at plot/ecosystem scale, providing data that can be compared with activity data/emission factors and default values used in deriving the emissions/removals for a particular LULUCF category. However, there are limitations in the upscaling of these results to regional and national level, as temporal and spatial variability, long- term trends and disturbances needs to be properly considered (Körner, 2003). Direct measurements of ecosystem net fluxes require significant investments in equipment and have limitation for possible locations (depending on topography, vegetation and canopy structure). Once implemented, such measurements can be performed on a continuous basis, providing an estimation of the interannual variability of the balance of CO</w:t>
      </w:r>
      <w:r>
        <w:rPr>
          <w:vertAlign w:val="subscript"/>
        </w:rPr>
        <w:t>2</w:t>
      </w:r>
      <w:r>
        <w:rPr>
          <w:vertAlign w:val="baseline"/>
        </w:rPr>
        <w:t> emissions and removals of a certain ecosystem. Due to its complexity, it is likely that ecosystem fluxes will be measured by research institutes/networks. If such experiments are available within a country, the inventory agency may consider using these results for verification.</w:t>
      </w:r>
    </w:p>
    <w:p>
      <w:pPr>
        <w:pStyle w:val="BodyText"/>
        <w:spacing w:before="10"/>
      </w:pPr>
    </w:p>
    <w:p>
      <w:pPr>
        <w:pStyle w:val="Heading6"/>
        <w:spacing w:before="1"/>
        <w:ind w:left="179"/>
        <w:jc w:val="both"/>
      </w:pPr>
      <w:r>
        <w:rPr/>
        <w:t>APPROACH 4: REMOTE SENSING</w:t>
      </w:r>
    </w:p>
    <w:p>
      <w:pPr>
        <w:pStyle w:val="BodyText"/>
        <w:spacing w:before="113"/>
        <w:ind w:left="179" w:right="1405"/>
        <w:jc w:val="both"/>
      </w:pPr>
      <w:r>
        <w:rPr/>
        <w:t>Remote sensing is an effective approach for verifying land- cover/land- use attribution, detection of land- cover change and estimations of land areas under conversion and abandonment. In addition, remote sensing can be used to estimate changes in aboveground biomass. Both of these uses of remote sensing for verification are described below. Remote sensing is not applicable to the verification of belowground biomass, litter, dead wood or soil organic</w:t>
      </w:r>
      <w:r>
        <w:rPr>
          <w:spacing w:val="2"/>
        </w:rPr>
        <w:t> </w:t>
      </w:r>
      <w:r>
        <w:rPr/>
        <w:t>matter.</w:t>
      </w:r>
    </w:p>
    <w:p>
      <w:pPr>
        <w:pStyle w:val="BodyText"/>
        <w:spacing w:before="120"/>
        <w:ind w:left="179" w:right="1404"/>
        <w:jc w:val="both"/>
      </w:pPr>
      <w:r>
        <w:rPr/>
        <w:t>Remote sensing can be employed at scales ranging from plot to continental level. However, extracting accurate and repeatable information from remotely sensed imagery can be a demanding task, and is likely to require considerable technical expertise. The cost will depend upon the scope and scale of the programme. Costs can be relatively low if archived data are available. If frequent measurement and extensive data interpretation are required, however, both costs and the need for skilled expertise can increase substantially. Among other factors, the accuracy of remote sensing will depend upon the scale at which it is used and the source of the images. Generally, it can be quite accurate, but ground truthing is needed to improve result accuracy.</w:t>
      </w:r>
    </w:p>
    <w:p>
      <w:pPr>
        <w:pStyle w:val="BodyText"/>
        <w:spacing w:before="2"/>
        <w:rPr>
          <w:sz w:val="21"/>
        </w:rPr>
      </w:pPr>
    </w:p>
    <w:p>
      <w:pPr>
        <w:pStyle w:val="Heading6"/>
        <w:spacing w:line="251" w:lineRule="exact"/>
        <w:ind w:left="179"/>
        <w:jc w:val="both"/>
      </w:pPr>
      <w:r>
        <w:rPr/>
        <w:t>Approach 4a: Remote Sensing to Verify Land Use and Land- use Changes</w:t>
      </w:r>
    </w:p>
    <w:p>
      <w:pPr>
        <w:pStyle w:val="BodyText"/>
        <w:ind w:left="179" w:right="1402"/>
        <w:jc w:val="both"/>
      </w:pPr>
      <w:r>
        <w:rPr/>
        <w:t>Remote sensing is the most direct tool that can be used for verification of the area involved in conversion of forests and grassland to other land- use types (cropland, settlements, etc), the abandonment of managed land, and for fire detection (which is one of the main factors causing conversions in the tropics). However, if a country has used remote sensing techniques for the consistent representation of land areas (see Chapter 2, Section 2.4.4.1), or for the attribution of land- use and activities related to specific aspects of the Kyoto Protocol (see Chapter 4, Section 4.2.2), care must be taken to ensure that the remote sensing data used for verification are independent of those used for inventory development. From a technical point of view, remote sensing can be considered a verification ex- post, comparing consecutive surveys taken in different years.</w:t>
      </w:r>
    </w:p>
    <w:p>
      <w:pPr>
        <w:pStyle w:val="BodyText"/>
        <w:spacing w:before="116"/>
        <w:ind w:left="179" w:right="1402"/>
        <w:jc w:val="both"/>
      </w:pPr>
      <w:r>
        <w:rPr/>
        <w:t>It is also important to bear in mind that although remote sensing will in many cases readily detect changes in </w:t>
      </w:r>
      <w:r>
        <w:rPr>
          <w:i/>
        </w:rPr>
        <w:t>land cover </w:t>
      </w:r>
      <w:r>
        <w:rPr/>
        <w:t>(e.g., from a vegetation cover to bare ground), it may not always provide adequate and accurate information on changes in </w:t>
      </w:r>
      <w:r>
        <w:rPr>
          <w:i/>
        </w:rPr>
        <w:t>land use </w:t>
      </w:r>
      <w:r>
        <w:rPr/>
        <w:t>or </w:t>
      </w:r>
      <w:r>
        <w:rPr>
          <w:i/>
        </w:rPr>
        <w:t>vegetation types </w:t>
      </w:r>
      <w:r>
        <w:rPr/>
        <w:t>(e.g., from Crop A to Crop B)</w:t>
      </w:r>
      <w:r>
        <w:rPr>
          <w:vertAlign w:val="superscript"/>
        </w:rPr>
        <w:t>25</w:t>
      </w:r>
      <w:r>
        <w:rPr>
          <w:vertAlign w:val="baseline"/>
        </w:rPr>
        <w:t>. For example, detecting clear- cuts in forests based on remotely- sensed data alone is relatively easy, but it is more difficult to distinguish whether these are part of on- going forest management or represent deforestation (see also Chapter 4, Section 4.2.6.2.1). Similarly, separation of unmanaged pine forest from managed coniferous plantation forest has been reported to be difficult, with accuracies of only about 50% (Okuda and Nakane, 1988). Distinguishing between different crop types is a further area where remote sensing can have difficulty. The combination of frequent observation by moderate spatial resolution sensors and detailed observation by high- resolution sensors can sometimes solve this</w:t>
      </w:r>
      <w:r>
        <w:rPr>
          <w:spacing w:val="-3"/>
          <w:vertAlign w:val="baseline"/>
        </w:rPr>
        <w:t> </w:t>
      </w:r>
      <w:r>
        <w:rPr>
          <w:vertAlign w:val="baseline"/>
        </w:rPr>
        <w:t>problem.</w:t>
      </w:r>
    </w:p>
    <w:p>
      <w:pPr>
        <w:pStyle w:val="BodyText"/>
        <w:spacing w:before="117"/>
        <w:ind w:left="179" w:right="1406"/>
        <w:jc w:val="both"/>
      </w:pPr>
      <w:r>
        <w:rPr/>
        <w:t>Due to interactions with the atmosphere, clouds in particular, the use of optical remote sensing data may have limits in certain regions of the globe (e.g., boreal and tropical zones) or periods of the year. In this respect, Synthetic Aperture Radar (SAR) sensors are better suited to this purpose, as data acquisition can be performed regardless of sunlight and cloud cover. Even using new sensors such as SAR, it would be challenging to estimate or verify land-use and land-cover changes on a yearly basis. In part, the challenges result from the resources (personnel and funding) that are needed for such efforts. Nonetheless, as the temporal and spatial resolution of</w:t>
      </w:r>
    </w:p>
    <w:p>
      <w:pPr>
        <w:pStyle w:val="BodyText"/>
      </w:pPr>
    </w:p>
    <w:p>
      <w:pPr>
        <w:pStyle w:val="BodyText"/>
        <w:spacing w:before="4"/>
        <w:rPr>
          <w:sz w:val="13"/>
        </w:rPr>
      </w:pPr>
      <w:r>
        <w:rPr/>
        <w:pict>
          <v:line style="position:absolute;mso-position-horizontal-relative:page;mso-position-vertical-relative:paragraph;z-index:30896;mso-wrap-distance-left:0;mso-wrap-distance-right:0" from="70.960999pt,9.88231pt" to="214.960999pt,9.88231pt" stroked="true" strokeweight=".48pt" strokecolor="#000000">
            <v:stroke dashstyle="solid"/>
            <w10:wrap type="topAndBottom"/>
          </v:line>
        </w:pict>
      </w:r>
    </w:p>
    <w:p>
      <w:pPr>
        <w:spacing w:before="153"/>
        <w:ind w:left="179" w:right="0" w:firstLine="0"/>
        <w:jc w:val="left"/>
        <w:rPr>
          <w:sz w:val="18"/>
        </w:rPr>
      </w:pPr>
      <w:r>
        <w:rPr>
          <w:position w:val="8"/>
          <w:sz w:val="12"/>
        </w:rPr>
        <w:t>25 </w:t>
      </w:r>
      <w:r>
        <w:rPr>
          <w:sz w:val="18"/>
        </w:rPr>
        <w:t>In some cases land cover might change, but not the land use, and vice versa.</w:t>
      </w:r>
    </w:p>
    <w:p>
      <w:pPr>
        <w:spacing w:after="0"/>
        <w:jc w:val="left"/>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409"/>
        <w:jc w:val="both"/>
      </w:pPr>
      <w:r>
        <w:rPr/>
        <w:t>satellite sensors improve, detection of sudden and/or recent changes in land use or cover may become possible on an annual or even more frequent basis.</w:t>
      </w:r>
    </w:p>
    <w:p>
      <w:pPr>
        <w:pStyle w:val="BodyText"/>
        <w:spacing w:before="5"/>
        <w:rPr>
          <w:sz w:val="21"/>
        </w:rPr>
      </w:pPr>
    </w:p>
    <w:p>
      <w:pPr>
        <w:pStyle w:val="Heading6"/>
        <w:spacing w:line="250" w:lineRule="exact"/>
        <w:ind w:left="179"/>
        <w:jc w:val="both"/>
      </w:pPr>
      <w:r>
        <w:rPr/>
        <w:t>Approach 4 b: Remote sensing to verify changes in living biomass</w:t>
      </w:r>
    </w:p>
    <w:p>
      <w:pPr>
        <w:pStyle w:val="BodyText"/>
        <w:ind w:left="179" w:right="1403"/>
        <w:jc w:val="both"/>
      </w:pPr>
      <w:r>
        <w:rPr/>
        <w:t>Satellite remote sensing and its image products may also be appropriate for assessing biomass and biomass changes at the major ecosystem level (e.g., grassland vs. forest). Carbon stocks in forests can be estimated using correlations between spectral image data and biomass, provided that adequate data (not used for inventory estimates) are available to represent the range in forest biomes and management regimes for which estimates are required (Trotter </w:t>
      </w:r>
      <w:r>
        <w:rPr>
          <w:i/>
        </w:rPr>
        <w:t>et al</w:t>
      </w:r>
      <w:r>
        <w:rPr/>
        <w:t>. 1997). Correlation equations, may be affected by several parameters (canopy and understorey type, season, illumination, satellite- viewing geometry) (Okuda </w:t>
      </w:r>
      <w:r>
        <w:rPr>
          <w:i/>
        </w:rPr>
        <w:t>et al</w:t>
      </w:r>
      <w:r>
        <w:rPr/>
        <w:t>., 2003), and must in general be developed for each forest type. In addition, vegetation indices (e.g., the Normalised Difference Vegetation Index, NDVI) have also been used for the estimation of above ground biomass (see Section 5.7.6 for an overview on such indices).</w:t>
      </w:r>
    </w:p>
    <w:p>
      <w:pPr>
        <w:pStyle w:val="BodyText"/>
        <w:spacing w:before="116"/>
        <w:ind w:left="179" w:right="1406"/>
        <w:jc w:val="both"/>
      </w:pPr>
      <w:r>
        <w:rPr/>
        <w:t>Another approach is to employ Synthetic Aperture Radar (SAR) data that provide structural, rather than spectral, information about the monitored land cover. For some forest types, wood biomass can be estimated with a certain level of accuracy, using the relationships between biomass and radar intensity (amplitude, backscattering) (Rauste </w:t>
      </w:r>
      <w:r>
        <w:rPr>
          <w:i/>
        </w:rPr>
        <w:t>et al</w:t>
      </w:r>
      <w:r>
        <w:rPr/>
        <w:t>., 1994; Foody </w:t>
      </w:r>
      <w:r>
        <w:rPr>
          <w:i/>
        </w:rPr>
        <w:t>et al</w:t>
      </w:r>
      <w:r>
        <w:rPr/>
        <w:t>., 1997; Luckman </w:t>
      </w:r>
      <w:r>
        <w:rPr>
          <w:i/>
        </w:rPr>
        <w:t>et al</w:t>
      </w:r>
      <w:r>
        <w:rPr/>
        <w:t>., 1998; Saatchi </w:t>
      </w:r>
      <w:r>
        <w:rPr>
          <w:i/>
        </w:rPr>
        <w:t>et al</w:t>
      </w:r>
      <w:r>
        <w:rPr/>
        <w:t>., 2000; Terhikki Manninen and Ulander, 2001) or indirectly, for instance by linking SAR derived tree heights with </w:t>
      </w:r>
      <w:r>
        <w:rPr>
          <w:i/>
        </w:rPr>
        <w:t>in situ </w:t>
      </w:r>
      <w:r>
        <w:rPr/>
        <w:t>derived allometric relationships. SAR data are suitable for assessing relative incremental changes in aboveground biomass stocks between two or more points in time, particularly when changes are relevant. Time sequences rather than single- date imagery allows characterisation of change trends and minimisation of errors in the</w:t>
      </w:r>
      <w:r>
        <w:rPr>
          <w:spacing w:val="-22"/>
        </w:rPr>
        <w:t> </w:t>
      </w:r>
      <w:r>
        <w:rPr/>
        <w:t>estimations.</w:t>
      </w:r>
    </w:p>
    <w:p>
      <w:pPr>
        <w:pStyle w:val="BodyText"/>
        <w:spacing w:before="118"/>
        <w:ind w:left="179" w:right="1403"/>
        <w:jc w:val="both"/>
      </w:pPr>
      <w:r>
        <w:rPr/>
        <w:t>Both optical and SAR sensors have limitations in rough topographic terrain and in areas with heterogeneous canopy cover. The accuracy level of remotely sensed data varies with the geometric and radiometric characteristics of the sensors, including change in sensor calibration over time. The imaging data used should be chosen according to the geographical scale of the target area and the desired degree of resolution. Specifications (sensor type, spatial resolution, availability, etc.) of various satellite sensors are listed in Table 5.7.2, in Section 5.7.6.</w:t>
      </w:r>
    </w:p>
    <w:p>
      <w:pPr>
        <w:pStyle w:val="BodyText"/>
        <w:spacing w:before="118"/>
        <w:ind w:left="179"/>
        <w:jc w:val="both"/>
      </w:pPr>
      <w:r>
        <w:rPr/>
        <w:t>Other approaches for area and biomass verification using imagery data may include:</w:t>
      </w:r>
    </w:p>
    <w:p>
      <w:pPr>
        <w:pStyle w:val="ListParagraph"/>
        <w:numPr>
          <w:ilvl w:val="1"/>
          <w:numId w:val="181"/>
        </w:numPr>
        <w:tabs>
          <w:tab w:pos="540" w:val="left" w:leader="none"/>
        </w:tabs>
        <w:spacing w:line="240" w:lineRule="auto" w:before="135" w:after="0"/>
        <w:ind w:left="539" w:right="0" w:hanging="360"/>
        <w:jc w:val="both"/>
        <w:rPr>
          <w:sz w:val="20"/>
        </w:rPr>
      </w:pPr>
      <w:r>
        <w:rPr>
          <w:sz w:val="20"/>
        </w:rPr>
        <w:t>Airborne photography (for the vertical canopy structure of forest,</w:t>
      </w:r>
      <w:r>
        <w:rPr>
          <w:spacing w:val="-8"/>
          <w:sz w:val="20"/>
        </w:rPr>
        <w:t> </w:t>
      </w:r>
      <w:r>
        <w:rPr>
          <w:sz w:val="20"/>
        </w:rPr>
        <w:t>labour-intensive);</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Laser profiler (LIDAR canopy height and structure, accuracy still to be examined, experimental,</w:t>
      </w:r>
      <w:r>
        <w:rPr>
          <w:spacing w:val="-14"/>
          <w:sz w:val="20"/>
        </w:rPr>
        <w:t> </w:t>
      </w:r>
      <w:r>
        <w:rPr>
          <w:sz w:val="20"/>
        </w:rPr>
        <w:t>expensive);</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Comparison with maps/data produced by independent agencies using remote</w:t>
      </w:r>
      <w:r>
        <w:rPr>
          <w:spacing w:val="-8"/>
          <w:sz w:val="20"/>
        </w:rPr>
        <w:t> </w:t>
      </w:r>
      <w:r>
        <w:rPr>
          <w:sz w:val="20"/>
        </w:rPr>
        <w:t>sensing.</w:t>
      </w:r>
    </w:p>
    <w:p>
      <w:pPr>
        <w:pStyle w:val="Heading6"/>
        <w:spacing w:before="230"/>
        <w:ind w:left="179"/>
        <w:jc w:val="both"/>
      </w:pPr>
      <w:r>
        <w:rPr/>
        <w:t>APPROACH 5: VERIFICATION USING MODELS</w:t>
      </w:r>
    </w:p>
    <w:p>
      <w:pPr>
        <w:pStyle w:val="BodyText"/>
        <w:spacing w:before="113"/>
        <w:ind w:left="179" w:right="1406"/>
        <w:jc w:val="both"/>
      </w:pPr>
      <w:r>
        <w:rPr/>
        <w:t>Models can be used to verify estimates of carbon pools, activity data and also the overall inventory. Generally, they are not used in verification of land area classification. For specific land-use categories under the UNFCCC and activities selected under the Kyoto Protocol, models can be an attractive option when direct measurements combined with remote sensing are not feasible. Modelling costs can vary significantly, depending on the specific applications, availability of appropriate tools, and the degree of resolution desired. Starting costs associated with model design and calibration are generally much higher than ongoing running costs. Verification using models is quite complex and requires a high level of technical expertise.</w:t>
      </w:r>
    </w:p>
    <w:p>
      <w:pPr>
        <w:pStyle w:val="BodyText"/>
        <w:spacing w:before="118"/>
        <w:ind w:left="179" w:right="1403"/>
        <w:jc w:val="both"/>
      </w:pPr>
      <w:r>
        <w:rPr/>
        <w:t>There are two very different types of modelling approaches for verification purposes: bottom- up models and top- down models. Bottom- up models scale up from lower scale processes to higher aggregation levels, whereas top- down models follow the other direction and try to infer smaller scale processes from larger scale measurements. Although in principle both approaches may be used for verification purposes at the national level, the top- down models are more suited for continental scale verification. Bottom- up models can be used from site/plot level scale to regional and national and even continental level, provided the input data are</w:t>
      </w:r>
      <w:r>
        <w:rPr>
          <w:spacing w:val="-22"/>
        </w:rPr>
        <w:t> </w:t>
      </w:r>
      <w:r>
        <w:rPr/>
        <w:t>available.</w:t>
      </w:r>
    </w:p>
    <w:p>
      <w:pPr>
        <w:pStyle w:val="BodyText"/>
        <w:spacing w:before="120"/>
        <w:ind w:left="179" w:right="1405"/>
        <w:jc w:val="both"/>
      </w:pPr>
      <w:r>
        <w:rPr/>
        <w:t>Models that are used for verification purposes, as models used in inventory preparation, need to be well documented and should have undergone peer-review. Input parameters, data, functions and assumptions should have been subjected to scrutiny, which is typically referred to as validation. The term validation is used in the generally accepted meaning of testing adequately the performance of a model, which is not equal to say that the model is the only true representation of reality (Oreskes </w:t>
      </w:r>
      <w:r>
        <w:rPr>
          <w:i/>
        </w:rPr>
        <w:t>et al</w:t>
      </w:r>
      <w:r>
        <w:rPr/>
        <w:t>, 1994).</w:t>
      </w:r>
    </w:p>
    <w:p>
      <w:pPr>
        <w:pStyle w:val="BodyText"/>
        <w:spacing w:before="118"/>
        <w:ind w:left="179" w:right="1406"/>
        <w:jc w:val="both"/>
      </w:pPr>
      <w:r>
        <w:rPr/>
        <w:t>As with other approaches, it should be noted that models have their advantages and drawbacks, and so far there is no such thing as a “best model”. For avoiding some of the possible biases associated with model choice, an ensemble of identically calibrated models could be used (Alexandrov </w:t>
      </w:r>
      <w:r>
        <w:rPr>
          <w:i/>
        </w:rPr>
        <w:t>et al</w:t>
      </w:r>
      <w:r>
        <w:rPr/>
        <w:t>., 2002). Expert advice is often required to use models as verification</w:t>
      </w:r>
      <w:r>
        <w:rPr>
          <w:spacing w:val="6"/>
        </w:rPr>
        <w:t> </w:t>
      </w:r>
      <w:r>
        <w:rPr/>
        <w:t>tools.</w:t>
      </w:r>
    </w:p>
    <w:p>
      <w:pPr>
        <w:spacing w:after="0"/>
        <w:jc w:val="both"/>
        <w:sectPr>
          <w:pgSz w:w="11900" w:h="16840"/>
          <w:pgMar w:header="230" w:footer="408" w:top="560" w:bottom="600" w:left="1240" w:right="0"/>
        </w:sectPr>
      </w:pPr>
    </w:p>
    <w:p>
      <w:pPr>
        <w:pStyle w:val="BodyText"/>
      </w:pPr>
    </w:p>
    <w:p>
      <w:pPr>
        <w:pStyle w:val="Heading6"/>
        <w:spacing w:line="251" w:lineRule="exact" w:before="214"/>
        <w:ind w:left="179"/>
        <w:jc w:val="both"/>
      </w:pPr>
      <w:r>
        <w:rPr/>
        <w:t>Approach 5a: Bottom-up Modelling</w:t>
      </w:r>
    </w:p>
    <w:p>
      <w:pPr>
        <w:pStyle w:val="BodyText"/>
        <w:spacing w:line="228" w:lineRule="exact"/>
        <w:ind w:left="179"/>
        <w:jc w:val="both"/>
      </w:pPr>
      <w:r>
        <w:rPr/>
        <w:t>There are several types of bottom- up models that can be used for verification:</w:t>
      </w:r>
    </w:p>
    <w:p>
      <w:pPr>
        <w:pStyle w:val="BodyText"/>
        <w:spacing w:before="118"/>
        <w:ind w:left="179" w:right="1350"/>
        <w:jc w:val="both"/>
      </w:pPr>
      <w:r>
        <w:rPr>
          <w:b/>
        </w:rPr>
        <w:t>Ecosystem and growth models </w:t>
      </w:r>
      <w:r>
        <w:rPr/>
        <w:t>can simulate growth of vegetation and the  fate of carbon at sufficiently long time scales, which can be used for verification. They compute biomass growth and fluxes of carbon, water, and nitrogen, and are able to provide estimates of gross primary production (GPP)</w:t>
      </w:r>
      <w:r>
        <w:rPr>
          <w:vertAlign w:val="superscript"/>
        </w:rPr>
        <w:t>26</w:t>
      </w:r>
      <w:r>
        <w:rPr>
          <w:vertAlign w:val="baseline"/>
        </w:rPr>
        <w:t> and net primary production (NPP)</w:t>
      </w:r>
      <w:r>
        <w:rPr>
          <w:vertAlign w:val="superscript"/>
        </w:rPr>
        <w:t>26</w:t>
      </w:r>
      <w:r>
        <w:rPr>
          <w:vertAlign w:val="baseline"/>
        </w:rPr>
        <w:t> of carbon per unit area in forests (Kramer </w:t>
      </w:r>
      <w:r>
        <w:rPr>
          <w:i/>
          <w:vertAlign w:val="baseline"/>
        </w:rPr>
        <w:t>et al</w:t>
      </w:r>
      <w:r>
        <w:rPr>
          <w:vertAlign w:val="baseline"/>
        </w:rPr>
        <w:t>., 2002) and other vegetation types. They can be used to verify Tier 1 and Tier 2 component estimates of biomass and fluxes, and also to derive “emission factors” and/or country- specific parameters relevant to Tier 2 calculations (see Table 5.7.1). In the case of forests, there are basically two classes of ecosystem models that can be applied: those that focus on physiology and biogeochemistry of the ecosystem, and those that are based on forest inventories. Well- known examples of these two classes are FOREST-BGC (Waring and Running 1998), Biome- BGC (Running and Coughlan, 1988; Running and Hunt, 1993; Running, 1994) and inventory based models (Kauppi </w:t>
      </w:r>
      <w:r>
        <w:rPr>
          <w:i/>
          <w:vertAlign w:val="baseline"/>
        </w:rPr>
        <w:t>et al</w:t>
      </w:r>
      <w:r>
        <w:rPr>
          <w:vertAlign w:val="baseline"/>
        </w:rPr>
        <w:t>., 1992; Nabuurs </w:t>
      </w:r>
      <w:r>
        <w:rPr>
          <w:i/>
          <w:vertAlign w:val="baseline"/>
        </w:rPr>
        <w:t>et al</w:t>
      </w:r>
      <w:r>
        <w:rPr>
          <w:vertAlign w:val="baseline"/>
        </w:rPr>
        <w:t>., 1997; Birdsey, 1996; Kurz and Apps,</w:t>
      </w:r>
      <w:r>
        <w:rPr>
          <w:spacing w:val="3"/>
          <w:vertAlign w:val="baseline"/>
        </w:rPr>
        <w:t> </w:t>
      </w:r>
      <w:r>
        <w:rPr>
          <w:vertAlign w:val="baseline"/>
        </w:rPr>
        <w:t>1999)</w:t>
      </w:r>
    </w:p>
    <w:p>
      <w:pPr>
        <w:pStyle w:val="BodyText"/>
        <w:spacing w:before="120"/>
        <w:ind w:left="179" w:right="1403"/>
        <w:jc w:val="both"/>
      </w:pPr>
      <w:r>
        <w:rPr/>
        <w:t>Recently, a new generation of terrestrial carbon cycle models have been developed to integrate the effects of changes in climate, atmospheric chemistry, disturbance rates on NPP, NEP</w:t>
      </w:r>
      <w:r>
        <w:rPr>
          <w:vertAlign w:val="superscript"/>
        </w:rPr>
        <w:t>26</w:t>
      </w:r>
      <w:r>
        <w:rPr>
          <w:vertAlign w:val="baseline"/>
        </w:rPr>
        <w:t> and NBP</w:t>
      </w:r>
      <w:r>
        <w:rPr>
          <w:vertAlign w:val="superscript"/>
        </w:rPr>
        <w:t>26</w:t>
      </w:r>
      <w:r>
        <w:rPr>
          <w:vertAlign w:val="baseline"/>
        </w:rPr>
        <w:t> (e.g., Landsberg and Waring, 1997; Chen </w:t>
      </w:r>
      <w:r>
        <w:rPr>
          <w:i/>
          <w:vertAlign w:val="baseline"/>
        </w:rPr>
        <w:t>et al</w:t>
      </w:r>
      <w:r>
        <w:rPr>
          <w:vertAlign w:val="baseline"/>
        </w:rPr>
        <w:t>., 2000a; Chen </w:t>
      </w:r>
      <w:r>
        <w:rPr>
          <w:i/>
          <w:vertAlign w:val="baseline"/>
        </w:rPr>
        <w:t>et al</w:t>
      </w:r>
      <w:r>
        <w:rPr>
          <w:vertAlign w:val="baseline"/>
        </w:rPr>
        <w:t>., 2000b; McGuire </w:t>
      </w:r>
      <w:r>
        <w:rPr>
          <w:i/>
          <w:vertAlign w:val="baseline"/>
        </w:rPr>
        <w:t>et al</w:t>
      </w:r>
      <w:r>
        <w:rPr>
          <w:vertAlign w:val="baseline"/>
        </w:rPr>
        <w:t>., 2001). Using spatial data from remote sensing (e.g., land cover, burnt area, and leaf area index) and georeferenced datasets of climate, atmospheric chemistry and soil inventory, these process- based models can scale up site- level data (e.g., ecosystem flux measurements) to regional and national scales. Without direct dependence on a forest inventory, the data estimated using these models could be used to compare to forest inventory- based carbon accounting. However, the ability of models in which land representation is based on remote sensing to quantify the carbon stock changes resulting from land use changes at small scale (e.g., afforestation, reforestation and deforestation) is limited by the spatial resolution of the remote sensing information.</w:t>
      </w:r>
    </w:p>
    <w:p>
      <w:pPr>
        <w:pStyle w:val="BodyText"/>
        <w:spacing w:before="117"/>
        <w:ind w:left="179" w:right="1404"/>
        <w:jc w:val="both"/>
      </w:pPr>
      <w:r>
        <w:rPr/>
        <w:t>If models are used to aggregate results and to provide data on biomass changes at national scale, model parameterisation needs to be adequately performed, taking into account the different land use and land cover existing in a country. As an example, to use model results as verification for forest inventory data, the parameterisation should be performed at least for the main tree species.</w:t>
      </w:r>
    </w:p>
    <w:p>
      <w:pPr>
        <w:pStyle w:val="BodyText"/>
        <w:spacing w:before="119"/>
        <w:ind w:left="179" w:right="1406"/>
        <w:jc w:val="both"/>
      </w:pPr>
      <w:r>
        <w:rPr>
          <w:b/>
        </w:rPr>
        <w:t>Regression models </w:t>
      </w:r>
      <w:r>
        <w:rPr/>
        <w:t>have been used to calculate NPP from basic meteorological data (e.g., Chikugo models, Uchijima and Seino, 1985). NPP values derived from regression and process- based models can be used for cross- checking of Tier 1 and Tier 2 data at large scale (see Table 5.7.1).</w:t>
      </w:r>
    </w:p>
    <w:p>
      <w:pPr>
        <w:spacing w:line="237" w:lineRule="auto" w:before="126"/>
        <w:ind w:left="179" w:right="1402" w:firstLine="0"/>
        <w:jc w:val="both"/>
        <w:rPr>
          <w:sz w:val="20"/>
        </w:rPr>
      </w:pPr>
      <w:r>
        <w:rPr>
          <w:b/>
          <w:sz w:val="20"/>
        </w:rPr>
        <w:t>Modelling approaches using Geographical Information Systems (GIS) that incorporate ground truth data </w:t>
      </w:r>
      <w:r>
        <w:rPr>
          <w:sz w:val="20"/>
        </w:rPr>
        <w:t>provide more accurate values than remote sensing approaches. GIS based data, such as topography and canopy cover and structural features such as climate can also be used to drive ecosystem and growth models in order to retrieve spatially explicit results. Accordingly, at continental and global scales, GIS modelling can be used to verify national land survey methodologies (Mollicone </w:t>
      </w:r>
      <w:r>
        <w:rPr>
          <w:i/>
          <w:sz w:val="20"/>
        </w:rPr>
        <w:t>et al</w:t>
      </w:r>
      <w:r>
        <w:rPr>
          <w:sz w:val="20"/>
        </w:rPr>
        <w:t>., 2003).</w:t>
      </w:r>
    </w:p>
    <w:p>
      <w:pPr>
        <w:pStyle w:val="BodyText"/>
        <w:spacing w:before="8"/>
        <w:rPr>
          <w:sz w:val="21"/>
        </w:rPr>
      </w:pPr>
    </w:p>
    <w:p>
      <w:pPr>
        <w:pStyle w:val="Heading6"/>
        <w:spacing w:line="251" w:lineRule="exact"/>
        <w:ind w:left="179"/>
        <w:jc w:val="both"/>
      </w:pPr>
      <w:r>
        <w:rPr/>
        <w:t>Approach 5 b: Top- down Modelling and Large-Scale Approaches</w:t>
      </w:r>
    </w:p>
    <w:p>
      <w:pPr>
        <w:pStyle w:val="BodyText"/>
        <w:ind w:left="179" w:right="1404"/>
        <w:jc w:val="both"/>
      </w:pPr>
      <w:r>
        <w:rPr>
          <w:spacing w:val="2"/>
        </w:rPr>
        <w:t>Top-down </w:t>
      </w:r>
      <w:r>
        <w:rPr/>
        <w:t>models could be used for the verification of carbon stocks and stock changes from regional to global scales. These approaches are not easily applicable to country level estimates, but can be used for aggregated countries, large regions or continents. For countries with very large land area or with features that allow to separation of in- country from external air- mass movements (e.g., North America, Boreal Zone- Siberia, Australia, United Kingdom, etc.), regional/continental scale approaches can be useful also at national scale. While top-down modelling can provide overall constraints on regional carbon budgets, they are not suitable for verification of sectoral carbon budgets, because they cannot separate the contribution of emissions and removals from different land-use categories or management activities -as required for the reporting under the UNFCCC and the Kyoto Protocol. Moreover, top-down modelling approaches include emissions and removals from land- use categories that are not subject to reporting under either the UNFCCC or the Kyoto Protocol (e.g., non- managed lands). Nevertheless, at larger scales, atmospheric measurements of greenhouse gas concentrations and isotopic composition should in principle be able to prove if the aggregate actions taken under UNFCCC and the Kyoto Protocol will be effective with respect to the trend in atmospheric greenhouse gas concentrations (Schulze </w:t>
      </w:r>
      <w:r>
        <w:rPr>
          <w:i/>
        </w:rPr>
        <w:t>et al</w:t>
      </w:r>
      <w:r>
        <w:rPr/>
        <w:t>.,</w:t>
      </w:r>
      <w:r>
        <w:rPr>
          <w:spacing w:val="1"/>
        </w:rPr>
        <w:t> </w:t>
      </w:r>
      <w:r>
        <w:rPr/>
        <w:t>2002).</w:t>
      </w:r>
    </w:p>
    <w:p>
      <w:pPr>
        <w:pStyle w:val="BodyText"/>
        <w:spacing w:before="4"/>
        <w:rPr>
          <w:sz w:val="17"/>
        </w:rPr>
      </w:pPr>
      <w:r>
        <w:rPr/>
        <w:pict>
          <v:line style="position:absolute;mso-position-horizontal-relative:page;mso-position-vertical-relative:paragraph;z-index:30920;mso-wrap-distance-left:0;mso-wrap-distance-right:0" from="70.960999pt,12.208961pt" to="214.960999pt,12.208961pt" stroked="true" strokeweight=".48pt" strokecolor="#000000">
            <v:stroke dashstyle="solid"/>
            <w10:wrap type="topAndBottom"/>
          </v:line>
        </w:pict>
      </w:r>
    </w:p>
    <w:p>
      <w:pPr>
        <w:spacing w:before="153"/>
        <w:ind w:left="337" w:right="1405" w:hanging="159"/>
        <w:jc w:val="both"/>
        <w:rPr>
          <w:sz w:val="18"/>
        </w:rPr>
      </w:pPr>
      <w:r>
        <w:rPr>
          <w:position w:val="8"/>
          <w:sz w:val="12"/>
        </w:rPr>
        <w:t>26 </w:t>
      </w:r>
      <w:r>
        <w:rPr>
          <w:sz w:val="18"/>
        </w:rPr>
        <w:t>GPP: Gross Primary Production, given by the gross photosynthesis; NPP: Net Primary Production, net photosynthesis or GPP minus autotrophic respiration (from above- and belowground living plant biomass); NEP: Net Ecosystem Production, the net emissions or removals of carbon (CO</w:t>
      </w:r>
      <w:r>
        <w:rPr>
          <w:sz w:val="18"/>
          <w:vertAlign w:val="subscript"/>
        </w:rPr>
        <w:t>2</w:t>
      </w:r>
      <w:r>
        <w:rPr>
          <w:sz w:val="18"/>
          <w:vertAlign w:val="baseline"/>
        </w:rPr>
        <w:t>), or NPP minus heterotrophic respiration (soil organic matter and soil  organic carbon decomposition, animals), when NEP is measured using flux techniques in correctly defined as NEE, Net Ecosystem Exchange; NBP: Net Biome Production, the net emissions or removals of carbon at large scale (biome), which takes into account also natural and human-induced disturbances (fire, windtrows, harvest, NBP=NEP-disturbances). NBP  is the term that finally is reflected in the global carbon budget (i.e., the</w:t>
      </w:r>
      <w:r>
        <w:rPr>
          <w:spacing w:val="-12"/>
          <w:sz w:val="18"/>
          <w:vertAlign w:val="baseline"/>
        </w:rPr>
        <w:t> </w:t>
      </w:r>
      <w:r>
        <w:rPr>
          <w:sz w:val="18"/>
          <w:vertAlign w:val="baseline"/>
        </w:rPr>
        <w:t>atmosphere).</w:t>
      </w:r>
    </w:p>
    <w:p>
      <w:pPr>
        <w:spacing w:after="0"/>
        <w:jc w:val="both"/>
        <w:rPr>
          <w:sz w:val="18"/>
        </w:rPr>
        <w:sectPr>
          <w:pgSz w:w="11900" w:h="16840"/>
          <w:pgMar w:header="230" w:footer="408" w:top="560" w:bottom="600" w:left="1240" w:right="0"/>
        </w:sectPr>
      </w:pPr>
    </w:p>
    <w:p>
      <w:pPr>
        <w:pStyle w:val="BodyText"/>
      </w:pPr>
    </w:p>
    <w:p>
      <w:pPr>
        <w:pStyle w:val="BodyText"/>
        <w:spacing w:before="2"/>
        <w:rPr>
          <w:sz w:val="18"/>
        </w:rPr>
      </w:pPr>
    </w:p>
    <w:p>
      <w:pPr>
        <w:pStyle w:val="BodyText"/>
        <w:ind w:left="179" w:right="1403"/>
        <w:jc w:val="both"/>
      </w:pPr>
      <w:r>
        <w:rPr>
          <w:b/>
        </w:rPr>
        <w:t>Inverse models </w:t>
      </w:r>
      <w:r>
        <w:rPr/>
        <w:t>calculate fluxes from concentration measurements and atmospheric transport models. They can be used to determine overall carbon dynamics at continental to global scales, but have limited ability to separate the contribution of different land-use categories or management activities to the total budget. By measuring the spatial and temporal distribution of CO</w:t>
      </w:r>
      <w:r>
        <w:rPr>
          <w:vertAlign w:val="subscript"/>
        </w:rPr>
        <w:t>2</w:t>
      </w:r>
      <w:r>
        <w:rPr>
          <w:vertAlign w:val="baseline"/>
        </w:rPr>
        <w:t> concentrations, it is possible to detect terrestrial and oceanic carbon fluxes. Inverse models are also used to calculate fluxes of methane and other greenhouse gases.</w:t>
      </w:r>
    </w:p>
    <w:p>
      <w:pPr>
        <w:pStyle w:val="BodyText"/>
        <w:spacing w:before="120"/>
        <w:ind w:left="179" w:right="1404"/>
        <w:jc w:val="both"/>
      </w:pPr>
      <w:r>
        <w:rPr/>
        <w:t>Incorporating airborne observations and using regional- level transport models in the inverse analysis can improve the estimates, as can the consideration of spatially distributed emissions/removals data. The implementation of inverse modelling approaches is under continuous development, requiring scientific collaboration and a networked system among nations. It is probable that such estimations will be independent from country data and will be valuable for overall verification at regional to continental level (see Gurney </w:t>
      </w:r>
      <w:r>
        <w:rPr>
          <w:i/>
        </w:rPr>
        <w:t>et al</w:t>
      </w:r>
      <w:r>
        <w:rPr/>
        <w:t>., 2002 for a comparison of several inverse modelling results at continental scale).</w:t>
      </w:r>
    </w:p>
    <w:p>
      <w:pPr>
        <w:pStyle w:val="BodyText"/>
        <w:spacing w:before="120"/>
        <w:ind w:left="179" w:right="1406"/>
        <w:jc w:val="both"/>
      </w:pPr>
      <w:r>
        <w:rPr/>
        <w:t>At national level, another large scale approach that can be used for overall verification is the use of tall towers, which are generally available within a country (e.g., TV towers, transmission towers), to measure the CO</w:t>
      </w:r>
      <w:r>
        <w:rPr>
          <w:vertAlign w:val="subscript"/>
        </w:rPr>
        <w:t>2</w:t>
      </w:r>
      <w:r>
        <w:rPr>
          <w:vertAlign w:val="baseline"/>
        </w:rPr>
        <w:t> gradients (Bakwin </w:t>
      </w:r>
      <w:r>
        <w:rPr>
          <w:i/>
          <w:vertAlign w:val="baseline"/>
        </w:rPr>
        <w:t>et al</w:t>
      </w:r>
      <w:r>
        <w:rPr>
          <w:vertAlign w:val="baseline"/>
        </w:rPr>
        <w:t>., 1995). This approach can be combined with the use of inverse modelling to derive regional/national balances of emissions and removals. Once in place, the system can be automated and is not very</w:t>
      </w:r>
      <w:r>
        <w:rPr>
          <w:spacing w:val="-5"/>
          <w:vertAlign w:val="baseline"/>
        </w:rPr>
        <w:t> </w:t>
      </w:r>
      <w:r>
        <w:rPr>
          <w:vertAlign w:val="baseline"/>
        </w:rPr>
        <w:t>expensive.</w:t>
      </w:r>
    </w:p>
    <w:p>
      <w:pPr>
        <w:pStyle w:val="BodyText"/>
        <w:rPr>
          <w:sz w:val="22"/>
        </w:rPr>
      </w:pPr>
    </w:p>
    <w:p>
      <w:pPr>
        <w:pStyle w:val="BodyText"/>
      </w:pPr>
    </w:p>
    <w:p>
      <w:pPr>
        <w:pStyle w:val="Heading2"/>
        <w:numPr>
          <w:ilvl w:val="2"/>
          <w:numId w:val="197"/>
        </w:numPr>
        <w:tabs>
          <w:tab w:pos="1562" w:val="left" w:leader="none"/>
        </w:tabs>
        <w:spacing w:line="240" w:lineRule="auto" w:before="0" w:after="0"/>
        <w:ind w:left="1561" w:right="0" w:hanging="1382"/>
        <w:jc w:val="both"/>
      </w:pPr>
      <w:bookmarkStart w:name="_TOC_250004" w:id="51"/>
      <w:r>
        <w:rPr>
          <w:spacing w:val="8"/>
        </w:rPr>
        <w:t>Guidance </w:t>
      </w:r>
      <w:r>
        <w:rPr>
          <w:spacing w:val="6"/>
        </w:rPr>
        <w:t>for </w:t>
      </w:r>
      <w:r>
        <w:rPr>
          <w:spacing w:val="9"/>
        </w:rPr>
        <w:t>Verification </w:t>
      </w:r>
      <w:r>
        <w:rPr>
          <w:spacing w:val="4"/>
        </w:rPr>
        <w:t>of </w:t>
      </w:r>
      <w:r>
        <w:rPr>
          <w:spacing w:val="8"/>
        </w:rPr>
        <w:t>LULUCF</w:t>
      </w:r>
      <w:r>
        <w:rPr>
          <w:spacing w:val="66"/>
        </w:rPr>
        <w:t> </w:t>
      </w:r>
      <w:bookmarkEnd w:id="51"/>
      <w:r>
        <w:rPr>
          <w:spacing w:val="9"/>
        </w:rPr>
        <w:t>Inventories</w:t>
      </w:r>
    </w:p>
    <w:p>
      <w:pPr>
        <w:pStyle w:val="BodyText"/>
        <w:spacing w:before="116"/>
        <w:ind w:left="179" w:right="1405"/>
        <w:jc w:val="both"/>
      </w:pPr>
      <w:r>
        <w:rPr/>
        <w:t>Several components of an inventory can be identified by inventory agencies (or external groups) for verification including emissions/removals estimates, input data, and assumptions. The questions in Box 5.7.2 can be used by an inventory agency as guidance for the development of a verification plan.</w:t>
      </w:r>
    </w:p>
    <w:p>
      <w:pPr>
        <w:pStyle w:val="BodyText"/>
      </w:pPr>
    </w:p>
    <w:p>
      <w:pPr>
        <w:pStyle w:val="BodyText"/>
        <w:spacing w:before="11"/>
        <w:rPr>
          <w:sz w:val="17"/>
        </w:rPr>
      </w:pPr>
      <w:r>
        <w:rPr/>
        <w:pict>
          <v:shape style="position:absolute;margin-left:91.960999pt;margin-top:13.03pt;width:411.5pt;height:194.05pt;mso-position-horizontal-relative:page;mso-position-vertical-relative:paragraph;z-index:30944;mso-wrap-distance-left:0;mso-wrap-distance-right:0" type="#_x0000_t202" filled="false" stroked="true" strokeweight="1.44pt" strokecolor="#000000">
            <v:textbox inset="0,0,0,0">
              <w:txbxContent>
                <w:p>
                  <w:pPr>
                    <w:spacing w:line="207" w:lineRule="exact" w:before="100"/>
                    <w:ind w:left="67" w:right="68" w:firstLine="0"/>
                    <w:jc w:val="center"/>
                    <w:rPr>
                      <w:b/>
                      <w:sz w:val="18"/>
                    </w:rPr>
                  </w:pPr>
                  <w:r>
                    <w:rPr>
                      <w:b/>
                      <w:sz w:val="18"/>
                    </w:rPr>
                    <w:t>B</w:t>
                  </w:r>
                  <w:r>
                    <w:rPr>
                      <w:b/>
                      <w:sz w:val="14"/>
                    </w:rPr>
                    <w:t>OX </w:t>
                  </w:r>
                  <w:r>
                    <w:rPr>
                      <w:b/>
                      <w:sz w:val="18"/>
                    </w:rPr>
                    <w:t>5.7.2</w:t>
                  </w:r>
                </w:p>
                <w:p>
                  <w:pPr>
                    <w:spacing w:line="207" w:lineRule="exact" w:before="0"/>
                    <w:ind w:left="227" w:right="0" w:firstLine="0"/>
                    <w:jc w:val="left"/>
                    <w:rPr>
                      <w:b/>
                      <w:sz w:val="14"/>
                    </w:rPr>
                  </w:pPr>
                  <w:r>
                    <w:rPr>
                      <w:b/>
                      <w:sz w:val="18"/>
                    </w:rPr>
                    <w:t>G</w:t>
                  </w:r>
                  <w:r>
                    <w:rPr>
                      <w:b/>
                      <w:sz w:val="14"/>
                    </w:rPr>
                    <w:t>UIDANCE FOR SELECTING INVENTORY COMPONENTS FOR VERIFICATION AND VERIFICATION APPROACHES</w:t>
                  </w:r>
                </w:p>
                <w:p>
                  <w:pPr>
                    <w:spacing w:before="118"/>
                    <w:ind w:left="127" w:right="0" w:firstLine="0"/>
                    <w:jc w:val="left"/>
                    <w:rPr>
                      <w:b/>
                      <w:sz w:val="20"/>
                    </w:rPr>
                  </w:pPr>
                  <w:r>
                    <w:rPr>
                      <w:b/>
                      <w:sz w:val="20"/>
                    </w:rPr>
                    <w:t>Which criteria can be used to choose the inventory elements for verification?</w:t>
                  </w:r>
                </w:p>
                <w:p>
                  <w:pPr>
                    <w:pStyle w:val="BodyText"/>
                    <w:spacing w:before="116"/>
                    <w:ind w:left="127" w:right="124"/>
                    <w:jc w:val="both"/>
                  </w:pPr>
                  <w:r>
                    <w:rPr/>
                    <w:t>If any source/sink category is “key”, it should be given priority for verification. However, emissions and removals that are not “key” can also be selected for verification, especially if these are of relevance to mitigation policies or their uncertainty is high. If a pool is expected to change significantly over the inventory reporting period, particular attention should also be devoted to it.</w:t>
                  </w:r>
                </w:p>
                <w:p>
                  <w:pPr>
                    <w:spacing w:before="124"/>
                    <w:ind w:left="127" w:right="0" w:firstLine="0"/>
                    <w:jc w:val="left"/>
                    <w:rPr>
                      <w:b/>
                      <w:sz w:val="20"/>
                    </w:rPr>
                  </w:pPr>
                  <w:r>
                    <w:rPr>
                      <w:b/>
                      <w:sz w:val="20"/>
                    </w:rPr>
                    <w:t>How will the inventory elements be verified?</w:t>
                  </w:r>
                </w:p>
                <w:p>
                  <w:pPr>
                    <w:pStyle w:val="BodyText"/>
                    <w:spacing w:before="115"/>
                    <w:ind w:left="127" w:right="120"/>
                    <w:jc w:val="both"/>
                  </w:pPr>
                  <w:r>
                    <w:rPr/>
                    <w:t>Selection of the verification approach will depend largely on the suitability/availability of the approach for the inventory agency or the country- specific conditions. Additional criteria are: the type of data to be verified, the spatial scale of the inventory coverage, the quantity and quality of the data to be verified, and the accuracy, precision and cost of the approach itself. The approaches and criteria for choosing them are elaborated in Table 5.7.1 and described in detail in Section 5.7.2.</w:t>
                  </w:r>
                </w:p>
              </w:txbxContent>
            </v:textbox>
            <v:stroke dashstyle="solid"/>
            <w10:wrap type="topAndBottom"/>
          </v:shape>
        </w:pict>
      </w:r>
    </w:p>
    <w:p>
      <w:pPr>
        <w:pStyle w:val="BodyText"/>
        <w:spacing w:before="9"/>
        <w:rPr>
          <w:sz w:val="29"/>
        </w:rPr>
      </w:pPr>
    </w:p>
    <w:p>
      <w:pPr>
        <w:pStyle w:val="BodyText"/>
        <w:spacing w:before="91"/>
        <w:ind w:left="179"/>
        <w:jc w:val="both"/>
      </w:pPr>
      <w:r>
        <w:rPr/>
        <w:t>If a country undertakes internal verification of its inventory, it is </w:t>
      </w:r>
      <w:r>
        <w:rPr>
          <w:i/>
        </w:rPr>
        <w:t>good practice </w:t>
      </w:r>
      <w:r>
        <w:rPr/>
        <w:t>to ensure that:</w:t>
      </w:r>
    </w:p>
    <w:p>
      <w:pPr>
        <w:pStyle w:val="ListParagraph"/>
        <w:numPr>
          <w:ilvl w:val="1"/>
          <w:numId w:val="181"/>
        </w:numPr>
        <w:tabs>
          <w:tab w:pos="540" w:val="left" w:leader="none"/>
        </w:tabs>
        <w:spacing w:line="240" w:lineRule="auto" w:before="135" w:after="0"/>
        <w:ind w:left="539" w:right="0" w:hanging="360"/>
        <w:jc w:val="both"/>
        <w:rPr>
          <w:sz w:val="20"/>
        </w:rPr>
      </w:pPr>
      <w:r>
        <w:rPr>
          <w:sz w:val="20"/>
        </w:rPr>
        <w:t>Sufficient independent expertise is</w:t>
      </w:r>
      <w:r>
        <w:rPr>
          <w:spacing w:val="-1"/>
          <w:sz w:val="20"/>
        </w:rPr>
        <w:t> </w:t>
      </w:r>
      <w:r>
        <w:rPr>
          <w:sz w:val="20"/>
        </w:rPr>
        <w:t>available;</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Documentation of the verification is included in the national inventory</w:t>
      </w:r>
      <w:r>
        <w:rPr>
          <w:spacing w:val="-9"/>
          <w:sz w:val="20"/>
        </w:rPr>
        <w:t> </w:t>
      </w:r>
      <w:r>
        <w:rPr>
          <w:sz w:val="20"/>
        </w:rPr>
        <w:t>report;</w:t>
      </w:r>
    </w:p>
    <w:p>
      <w:pPr>
        <w:pStyle w:val="ListParagraph"/>
        <w:numPr>
          <w:ilvl w:val="1"/>
          <w:numId w:val="181"/>
        </w:numPr>
        <w:tabs>
          <w:tab w:pos="540" w:val="left" w:leader="none"/>
        </w:tabs>
        <w:spacing w:line="240" w:lineRule="auto" w:before="116" w:after="0"/>
        <w:ind w:left="539" w:right="0" w:hanging="360"/>
        <w:jc w:val="both"/>
        <w:rPr>
          <w:sz w:val="20"/>
        </w:rPr>
      </w:pPr>
      <w:r>
        <w:rPr>
          <w:sz w:val="20"/>
        </w:rPr>
        <w:t>Uncertainty estimates and QA/QC documentation is included in the</w:t>
      </w:r>
      <w:r>
        <w:rPr>
          <w:spacing w:val="-6"/>
          <w:sz w:val="20"/>
        </w:rPr>
        <w:t> </w:t>
      </w:r>
      <w:r>
        <w:rPr>
          <w:sz w:val="20"/>
        </w:rPr>
        <w:t>report;</w:t>
      </w:r>
    </w:p>
    <w:p>
      <w:pPr>
        <w:pStyle w:val="ListParagraph"/>
        <w:numPr>
          <w:ilvl w:val="1"/>
          <w:numId w:val="181"/>
        </w:numPr>
        <w:tabs>
          <w:tab w:pos="540" w:val="left" w:leader="none"/>
        </w:tabs>
        <w:spacing w:line="240" w:lineRule="auto" w:before="119" w:after="0"/>
        <w:ind w:left="539" w:right="0" w:hanging="360"/>
        <w:jc w:val="both"/>
        <w:rPr>
          <w:sz w:val="20"/>
        </w:rPr>
      </w:pPr>
      <w:r>
        <w:rPr>
          <w:sz w:val="20"/>
        </w:rPr>
        <w:t>Other available national verification activities are</w:t>
      </w:r>
      <w:r>
        <w:rPr>
          <w:spacing w:val="-2"/>
          <w:sz w:val="20"/>
        </w:rPr>
        <w:t> </w:t>
      </w:r>
      <w:r>
        <w:rPr>
          <w:sz w:val="20"/>
        </w:rPr>
        <w:t>described;</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Applied verification methods are transparent, rigorous and scientifically</w:t>
      </w:r>
      <w:r>
        <w:rPr>
          <w:spacing w:val="-3"/>
          <w:sz w:val="20"/>
        </w:rPr>
        <w:t> </w:t>
      </w:r>
      <w:r>
        <w:rPr>
          <w:sz w:val="20"/>
        </w:rPr>
        <w:t>sound;</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Verification results are reasonable and well-</w:t>
      </w:r>
      <w:r>
        <w:rPr>
          <w:spacing w:val="-33"/>
          <w:sz w:val="20"/>
        </w:rPr>
        <w:t> </w:t>
      </w:r>
      <w:r>
        <w:rPr>
          <w:sz w:val="20"/>
        </w:rPr>
        <w:t>explained;</w:t>
      </w:r>
    </w:p>
    <w:p>
      <w:pPr>
        <w:pStyle w:val="ListParagraph"/>
        <w:numPr>
          <w:ilvl w:val="1"/>
          <w:numId w:val="181"/>
        </w:numPr>
        <w:tabs>
          <w:tab w:pos="540" w:val="left" w:leader="none"/>
        </w:tabs>
        <w:spacing w:line="240" w:lineRule="auto" w:before="119" w:after="0"/>
        <w:ind w:left="539" w:right="0" w:hanging="360"/>
        <w:jc w:val="both"/>
        <w:rPr>
          <w:sz w:val="20"/>
        </w:rPr>
      </w:pPr>
      <w:r>
        <w:rPr>
          <w:sz w:val="20"/>
        </w:rPr>
        <w:t>Final calculations can be reasonably linked to underlying data and</w:t>
      </w:r>
      <w:r>
        <w:rPr>
          <w:spacing w:val="-11"/>
          <w:sz w:val="20"/>
        </w:rPr>
        <w:t> </w:t>
      </w:r>
      <w:r>
        <w:rPr>
          <w:sz w:val="20"/>
        </w:rPr>
        <w:t>assumption.</w:t>
      </w:r>
    </w:p>
    <w:p>
      <w:pPr>
        <w:pStyle w:val="BodyText"/>
        <w:spacing w:before="101"/>
        <w:ind w:left="179" w:right="1405"/>
        <w:jc w:val="both"/>
      </w:pPr>
      <w:r>
        <w:rPr/>
        <w:t>The checklist in the Box 5.7.3 summarises some of the tools that can be used for internal verification of an inventory, with particular emphasis on the LULUCF sector. A specific box is provided also for Kyoto Protocol aspects (see Section 5.7.4, Box 5.7.5).</w:t>
      </w:r>
    </w:p>
    <w:p>
      <w:pPr>
        <w:spacing w:after="0"/>
        <w:jc w:val="both"/>
        <w:sectPr>
          <w:pgSz w:w="11900" w:h="16840"/>
          <w:pgMar w:header="230" w:footer="408" w:top="560" w:bottom="600" w:left="1240" w:right="0"/>
        </w:sectPr>
      </w:pPr>
    </w:p>
    <w:p>
      <w:pPr>
        <w:pStyle w:val="BodyText"/>
      </w:pPr>
    </w:p>
    <w:p>
      <w:pPr>
        <w:pStyle w:val="BodyText"/>
      </w:pPr>
    </w:p>
    <w:p>
      <w:pPr>
        <w:pStyle w:val="BodyText"/>
      </w:pPr>
    </w:p>
    <w:p>
      <w:pPr>
        <w:spacing w:after="0"/>
        <w:sectPr>
          <w:pgSz w:w="11900" w:h="16840"/>
          <w:pgMar w:header="230" w:footer="408" w:top="560" w:bottom="600" w:left="1240" w:right="0"/>
        </w:sectPr>
      </w:pPr>
    </w:p>
    <w:p>
      <w:pPr>
        <w:pStyle w:val="BodyText"/>
        <w:rPr>
          <w:sz w:val="22"/>
        </w:rPr>
      </w:pPr>
    </w:p>
    <w:p>
      <w:pPr>
        <w:pStyle w:val="BodyText"/>
        <w:rPr>
          <w:sz w:val="22"/>
        </w:rPr>
      </w:pPr>
    </w:p>
    <w:p>
      <w:pPr>
        <w:pStyle w:val="BodyText"/>
        <w:spacing w:before="5"/>
        <w:rPr>
          <w:sz w:val="22"/>
        </w:rPr>
      </w:pPr>
    </w:p>
    <w:p>
      <w:pPr>
        <w:pStyle w:val="BodyText"/>
        <w:ind w:left="740"/>
      </w:pPr>
      <w:r>
        <w:rPr>
          <w:u w:val="single"/>
        </w:rPr>
        <w:t>A.</w:t>
      </w:r>
      <w:r>
        <w:rPr>
          <w:spacing w:val="-3"/>
          <w:u w:val="single"/>
        </w:rPr>
        <w:t> Checks:</w:t>
      </w:r>
    </w:p>
    <w:p>
      <w:pPr>
        <w:pStyle w:val="BodyText"/>
        <w:spacing w:before="6"/>
      </w:pPr>
      <w:r>
        <w:rPr/>
        <w:br w:type="column"/>
      </w:r>
      <w:r>
        <w:rPr/>
      </w:r>
    </w:p>
    <w:p>
      <w:pPr>
        <w:spacing w:before="0"/>
        <w:ind w:left="110" w:right="3007" w:firstLine="0"/>
        <w:jc w:val="center"/>
        <w:rPr>
          <w:b/>
          <w:sz w:val="18"/>
        </w:rPr>
      </w:pPr>
      <w:r>
        <w:rPr>
          <w:b/>
          <w:sz w:val="18"/>
        </w:rPr>
        <w:t>B</w:t>
      </w:r>
      <w:r>
        <w:rPr>
          <w:b/>
          <w:sz w:val="14"/>
        </w:rPr>
        <w:t>OX </w:t>
      </w:r>
      <w:r>
        <w:rPr>
          <w:b/>
          <w:sz w:val="18"/>
        </w:rPr>
        <w:t>5.7.3</w:t>
      </w:r>
    </w:p>
    <w:p>
      <w:pPr>
        <w:spacing w:before="2"/>
        <w:ind w:left="113" w:right="3007" w:firstLine="0"/>
        <w:jc w:val="center"/>
        <w:rPr>
          <w:b/>
          <w:sz w:val="14"/>
        </w:rPr>
      </w:pPr>
      <w:r>
        <w:rPr/>
        <w:pict>
          <v:group style="position:absolute;margin-left:91.240997pt;margin-top:-16.817377pt;width:413.05pt;height:521.4pt;mso-position-horizontal-relative:page;mso-position-vertical-relative:paragraph;z-index:-2423152" coordorigin="1825,-336" coordsize="8261,10428">
            <v:line style="position:absolute" from="1854,-322" to="10057,-322" stroked="true" strokeweight="1.44pt" strokecolor="#000000">
              <v:stroke dashstyle="solid"/>
            </v:line>
            <v:shape style="position:absolute;left:1839;top:-337;width:8218;height:10428" coordorigin="1839,-336" coordsize="8218,10428" path="m1854,10077l10057,10077m1839,-336l1839,10092e" filled="false" stroked="true" strokeweight="1.44pt" strokecolor="#000000">
              <v:path arrowok="t"/>
              <v:stroke dashstyle="solid"/>
            </v:shape>
            <v:line style="position:absolute" from="10071,-336" to="10071,10092" stroked="true" strokeweight="1.44pt" strokecolor="#000000">
              <v:stroke dashstyle="solid"/>
            </v:line>
            <w10:wrap type="none"/>
          </v:group>
        </w:pict>
      </w:r>
      <w:r>
        <w:rPr>
          <w:b/>
          <w:sz w:val="18"/>
        </w:rPr>
        <w:t>V</w:t>
      </w:r>
      <w:r>
        <w:rPr>
          <w:b/>
          <w:sz w:val="14"/>
        </w:rPr>
        <w:t>ERIFICATION OF INVENTORY OF </w:t>
      </w:r>
      <w:r>
        <w:rPr>
          <w:b/>
          <w:sz w:val="18"/>
        </w:rPr>
        <w:t>LULUCF </w:t>
      </w:r>
      <w:r>
        <w:rPr>
          <w:b/>
          <w:sz w:val="14"/>
        </w:rPr>
        <w:t>SECTOR IN A NATIONAL INVENTORY</w:t>
      </w:r>
    </w:p>
    <w:p>
      <w:pPr>
        <w:spacing w:after="0"/>
        <w:jc w:val="center"/>
        <w:rPr>
          <w:sz w:val="14"/>
        </w:rPr>
        <w:sectPr>
          <w:type w:val="continuous"/>
          <w:pgSz w:w="11900" w:h="16840"/>
          <w:pgMar w:top="1060" w:bottom="280" w:left="1240" w:right="0"/>
          <w:cols w:num="2" w:equalWidth="0">
            <w:col w:w="1627" w:space="40"/>
            <w:col w:w="8993"/>
          </w:cols>
        </w:sectPr>
      </w:pPr>
    </w:p>
    <w:p>
      <w:pPr>
        <w:pStyle w:val="BodyText"/>
        <w:spacing w:before="118"/>
        <w:ind w:left="740" w:right="1597"/>
      </w:pPr>
      <w:r>
        <w:rPr/>
        <w:t>Does the inventory of the LULUCF sector document the data and assumptions used for estimating emissions and removals for all IPCC source/sink categories?</w:t>
      </w:r>
    </w:p>
    <w:p>
      <w:pPr>
        <w:pStyle w:val="BodyText"/>
        <w:spacing w:before="121"/>
        <w:ind w:left="740"/>
      </w:pPr>
      <w:r>
        <w:rPr/>
        <w:t>Have all important carbon pools been included in the inventory?</w:t>
      </w:r>
    </w:p>
    <w:p>
      <w:pPr>
        <w:pStyle w:val="BodyText"/>
        <w:spacing w:line="362" w:lineRule="auto" w:before="121"/>
        <w:ind w:left="740" w:right="2207"/>
      </w:pPr>
      <w:r>
        <w:rPr/>
        <w:t>If some LULUCF emission/removal categories have been omitted, does the report explain why? Are emissions and removals reported as </w:t>
      </w:r>
      <w:r>
        <w:rPr>
          <w:i/>
        </w:rPr>
        <w:t>positive </w:t>
      </w:r>
      <w:r>
        <w:rPr/>
        <w:t>and </w:t>
      </w:r>
      <w:r>
        <w:rPr>
          <w:i/>
        </w:rPr>
        <w:t>negative </w:t>
      </w:r>
      <w:r>
        <w:rPr/>
        <w:t>terms, respectively?</w:t>
      </w:r>
    </w:p>
    <w:p>
      <w:pPr>
        <w:pStyle w:val="BodyText"/>
        <w:spacing w:before="4"/>
        <w:ind w:left="740" w:right="1993"/>
      </w:pPr>
      <w:r>
        <w:rPr/>
        <w:t>For the total area of the inventory of the LULUCF sector, are the overall changes in land- use for the inventory year equal to zero within the confidence</w:t>
      </w:r>
      <w:r>
        <w:rPr>
          <w:spacing w:val="-3"/>
        </w:rPr>
        <w:t> </w:t>
      </w:r>
      <w:r>
        <w:rPr/>
        <w:t>limit?</w:t>
      </w:r>
    </w:p>
    <w:p>
      <w:pPr>
        <w:pStyle w:val="BodyText"/>
        <w:spacing w:line="362" w:lineRule="auto" w:before="120"/>
        <w:ind w:left="740" w:right="3052"/>
      </w:pPr>
      <w:r>
        <w:rPr/>
        <w:t>Are any discontinuities in trends from base year to end year evaluated and explained? </w:t>
      </w:r>
      <w:r>
        <w:rPr>
          <w:u w:val="single"/>
        </w:rPr>
        <w:t>B. Comparisons of emissions and removals from</w:t>
      </w:r>
      <w:r>
        <w:rPr>
          <w:spacing w:val="-5"/>
          <w:u w:val="single"/>
        </w:rPr>
        <w:t> </w:t>
      </w:r>
      <w:r>
        <w:rPr>
          <w:u w:val="single"/>
        </w:rPr>
        <w:t>LULUCF:</w:t>
      </w:r>
    </w:p>
    <w:p>
      <w:pPr>
        <w:pStyle w:val="BodyText"/>
        <w:spacing w:before="4"/>
        <w:ind w:left="740" w:right="1967"/>
        <w:jc w:val="both"/>
      </w:pPr>
      <w:r>
        <w:rPr/>
        <w:t>Compare the inventory of the LULUCF sector with independently prepared national inventories for the </w:t>
      </w:r>
      <w:r>
        <w:rPr>
          <w:b/>
        </w:rPr>
        <w:t>same </w:t>
      </w:r>
      <w:r>
        <w:rPr/>
        <w:t>country or compare regional sub- sets of the national inventory with independently prepared inventories for those regions. (Table 5.7.1, Approach</w:t>
      </w:r>
      <w:r>
        <w:rPr>
          <w:spacing w:val="-3"/>
        </w:rPr>
        <w:t> </w:t>
      </w:r>
      <w:r>
        <w:rPr/>
        <w:t>1).</w:t>
      </w:r>
    </w:p>
    <w:p>
      <w:pPr>
        <w:pStyle w:val="BodyText"/>
        <w:spacing w:before="119"/>
        <w:ind w:left="740" w:right="1597"/>
      </w:pPr>
      <w:r>
        <w:rPr/>
        <w:t>Compare the inventory of the LULUCF sector with national inventories for a </w:t>
      </w:r>
      <w:r>
        <w:rPr>
          <w:b/>
        </w:rPr>
        <w:t>different</w:t>
      </w:r>
      <w:r>
        <w:rPr/>
        <w:t>, but similar country (Table 5.7.1, Approach 1).</w:t>
      </w:r>
    </w:p>
    <w:p>
      <w:pPr>
        <w:pStyle w:val="BodyText"/>
        <w:spacing w:before="121"/>
        <w:ind w:left="740" w:right="1967"/>
        <w:jc w:val="both"/>
      </w:pPr>
      <w:r>
        <w:rPr/>
        <w:t>Compare activity data and/or emission factors of the inventory of the LULUCF sector with independent international databases and/or other countries. For example, compare Biomass Expansion Factors of similar species with data from countries with similar forest  conditions (Table 5.7.1, Approach</w:t>
      </w:r>
      <w:r>
        <w:rPr>
          <w:spacing w:val="-1"/>
        </w:rPr>
        <w:t> </w:t>
      </w:r>
      <w:r>
        <w:rPr/>
        <w:t>1).</w:t>
      </w:r>
    </w:p>
    <w:p>
      <w:pPr>
        <w:pStyle w:val="BodyText"/>
        <w:spacing w:before="119"/>
        <w:ind w:left="740" w:right="2735"/>
      </w:pPr>
      <w:r>
        <w:rPr/>
        <w:t>Compare the inventory of the LULUCF sector with results calculated using another tier methodology, including defaults (Table 5.7.1, Approach 2).</w:t>
      </w:r>
    </w:p>
    <w:p>
      <w:pPr>
        <w:pStyle w:val="BodyText"/>
        <w:spacing w:before="119"/>
        <w:ind w:left="740" w:right="2735"/>
      </w:pPr>
      <w:r>
        <w:rPr/>
        <w:t>Compare the inventory of the LULUCF sector with available high- intensity studies and experiments (Table 5.7.1, Approach 1-3).</w:t>
      </w:r>
    </w:p>
    <w:p>
      <w:pPr>
        <w:pStyle w:val="BodyText"/>
        <w:spacing w:before="120"/>
        <w:ind w:left="740" w:right="2233"/>
      </w:pPr>
      <w:r>
        <w:rPr/>
        <w:t>Compare  land  areas  and  biomass  stocks  used  in  the  inventory   with   remote   sensing   (Table 5.7.1, Approach</w:t>
      </w:r>
      <w:r>
        <w:rPr>
          <w:spacing w:val="-1"/>
        </w:rPr>
        <w:t> </w:t>
      </w:r>
      <w:r>
        <w:rPr/>
        <w:t>4).</w:t>
      </w:r>
    </w:p>
    <w:p>
      <w:pPr>
        <w:pStyle w:val="BodyText"/>
        <w:spacing w:line="364" w:lineRule="auto" w:before="119"/>
        <w:ind w:left="740" w:right="2979"/>
      </w:pPr>
      <w:r>
        <w:rPr/>
        <w:t>Compare the inventory of the LULUCF sector with models (Table 5.7.1, Approach 5). </w:t>
      </w:r>
      <w:r>
        <w:rPr>
          <w:u w:val="single"/>
        </w:rPr>
        <w:t>C. Comparisons of uncertainties:</w:t>
      </w:r>
    </w:p>
    <w:p>
      <w:pPr>
        <w:pStyle w:val="BodyText"/>
        <w:spacing w:before="2"/>
        <w:ind w:left="740"/>
      </w:pPr>
      <w:r>
        <w:rPr/>
        <w:t>Compare uncertainty estimates with uncertainty reported in the literature.</w:t>
      </w:r>
    </w:p>
    <w:p>
      <w:pPr>
        <w:pStyle w:val="BodyText"/>
        <w:spacing w:line="362" w:lineRule="auto" w:before="120"/>
        <w:ind w:left="740" w:right="2518"/>
      </w:pPr>
      <w:r>
        <w:rPr/>
        <w:t>Compare uncertainty estimates with those from other countries and the IPCC default values. </w:t>
      </w:r>
      <w:r>
        <w:rPr>
          <w:u w:val="single"/>
        </w:rPr>
        <w:t>D. Direct measurements:</w:t>
      </w:r>
    </w:p>
    <w:p>
      <w:pPr>
        <w:pStyle w:val="BodyText"/>
        <w:spacing w:line="242" w:lineRule="auto" w:before="4"/>
        <w:ind w:left="740" w:right="1993"/>
      </w:pPr>
      <w:r>
        <w:rPr/>
        <w:t>Carry out direct measurements (such as local forest inventory, detailed growth measurements and/or ecosystem fluxes of greenhouse gases, Table 5.7.1, Approach 3).</w:t>
      </w:r>
    </w:p>
    <w:p>
      <w:pPr>
        <w:pStyle w:val="BodyText"/>
      </w:pPr>
    </w:p>
    <w:p>
      <w:pPr>
        <w:pStyle w:val="BodyText"/>
        <w:spacing w:before="11"/>
        <w:rPr>
          <w:sz w:val="23"/>
        </w:rPr>
      </w:pPr>
    </w:p>
    <w:p>
      <w:pPr>
        <w:pStyle w:val="BodyText"/>
        <w:spacing w:before="91"/>
        <w:ind w:left="179" w:right="1400"/>
        <w:jc w:val="both"/>
      </w:pPr>
      <w:r>
        <w:rPr/>
        <w:t>Taking into account resource limitation, the information provided in the national inventory report should be verified as far as possible, particularly for key categories. The verification approaches in Box 5.7.3 can be applied as follows:</w:t>
      </w:r>
    </w:p>
    <w:p>
      <w:pPr>
        <w:pStyle w:val="ListParagraph"/>
        <w:numPr>
          <w:ilvl w:val="1"/>
          <w:numId w:val="181"/>
        </w:numPr>
        <w:tabs>
          <w:tab w:pos="539" w:val="left" w:leader="none"/>
          <w:tab w:pos="540" w:val="left" w:leader="none"/>
        </w:tabs>
        <w:spacing w:line="240" w:lineRule="auto" w:before="133" w:after="0"/>
        <w:ind w:left="539" w:right="0" w:hanging="360"/>
        <w:jc w:val="left"/>
        <w:rPr>
          <w:sz w:val="20"/>
        </w:rPr>
      </w:pPr>
      <w:r>
        <w:rPr>
          <w:sz w:val="20"/>
        </w:rPr>
        <w:t>The checks listed under A are essential and, ideally, these should have been conducted as part of</w:t>
      </w:r>
      <w:r>
        <w:rPr>
          <w:spacing w:val="-19"/>
          <w:sz w:val="20"/>
        </w:rPr>
        <w:t> </w:t>
      </w:r>
      <w:r>
        <w:rPr>
          <w:sz w:val="20"/>
        </w:rPr>
        <w:t>QA/QC.</w:t>
      </w:r>
    </w:p>
    <w:p>
      <w:pPr>
        <w:pStyle w:val="ListParagraph"/>
        <w:numPr>
          <w:ilvl w:val="1"/>
          <w:numId w:val="181"/>
        </w:numPr>
        <w:tabs>
          <w:tab w:pos="540" w:val="left" w:leader="none"/>
        </w:tabs>
        <w:spacing w:line="223" w:lineRule="auto" w:before="130" w:after="0"/>
        <w:ind w:left="539" w:right="1407" w:hanging="360"/>
        <w:jc w:val="both"/>
        <w:rPr>
          <w:sz w:val="20"/>
        </w:rPr>
      </w:pPr>
      <w:r>
        <w:rPr>
          <w:sz w:val="20"/>
        </w:rPr>
        <w:t>It is </w:t>
      </w:r>
      <w:r>
        <w:rPr>
          <w:i/>
          <w:sz w:val="20"/>
        </w:rPr>
        <w:t>good practice </w:t>
      </w:r>
      <w:r>
        <w:rPr>
          <w:sz w:val="20"/>
        </w:rPr>
        <w:t>to perform verification with at least one of the approaches listed in Box 5.7.3 under B (see Table 5.7.1 and Section 5.7.2 for more information on the applicable</w:t>
      </w:r>
      <w:r>
        <w:rPr>
          <w:spacing w:val="-9"/>
          <w:sz w:val="20"/>
        </w:rPr>
        <w:t> </w:t>
      </w:r>
      <w:r>
        <w:rPr>
          <w:sz w:val="20"/>
        </w:rPr>
        <w:t>approaches).</w:t>
      </w:r>
    </w:p>
    <w:p>
      <w:pPr>
        <w:pStyle w:val="ListParagraph"/>
        <w:numPr>
          <w:ilvl w:val="1"/>
          <w:numId w:val="181"/>
        </w:numPr>
        <w:tabs>
          <w:tab w:pos="540" w:val="left" w:leader="none"/>
        </w:tabs>
        <w:spacing w:line="235" w:lineRule="auto" w:before="140" w:after="0"/>
        <w:ind w:left="539" w:right="1403" w:hanging="360"/>
        <w:jc w:val="both"/>
        <w:rPr>
          <w:sz w:val="20"/>
        </w:rPr>
      </w:pPr>
      <w:r>
        <w:rPr>
          <w:sz w:val="20"/>
        </w:rPr>
        <w:t>If independent estimates on emissions and removals of greenhouse gases by LULUCF are not available, then internal or external verification will most probably be limited to scrutiny of the data and methods (Smith, 2001). Under these circumstances, it is </w:t>
      </w:r>
      <w:r>
        <w:rPr>
          <w:i/>
          <w:sz w:val="20"/>
        </w:rPr>
        <w:t>good practice </w:t>
      </w:r>
      <w:r>
        <w:rPr>
          <w:sz w:val="20"/>
        </w:rPr>
        <w:t>for the inventory agency to carry out these checks and to provide sufficient documentation in its national inventory report and other supporting material to facilitate external</w:t>
      </w:r>
      <w:r>
        <w:rPr>
          <w:spacing w:val="3"/>
          <w:sz w:val="20"/>
        </w:rPr>
        <w:t> </w:t>
      </w:r>
      <w:r>
        <w:rPr>
          <w:sz w:val="20"/>
        </w:rPr>
        <w:t>verification.</w:t>
      </w:r>
    </w:p>
    <w:p>
      <w:pPr>
        <w:spacing w:after="0" w:line="235" w:lineRule="auto"/>
        <w:jc w:val="both"/>
        <w:rPr>
          <w:sz w:val="20"/>
        </w:rPr>
        <w:sectPr>
          <w:type w:val="continuous"/>
          <w:pgSz w:w="11900" w:h="16840"/>
          <w:pgMar w:top="1060" w:bottom="280" w:left="1240" w:right="0"/>
        </w:sectPr>
      </w:pPr>
    </w:p>
    <w:p>
      <w:pPr>
        <w:pStyle w:val="BodyText"/>
        <w:spacing w:before="5"/>
        <w:rPr>
          <w:sz w:val="29"/>
        </w:rPr>
      </w:pPr>
    </w:p>
    <w:p>
      <w:pPr>
        <w:pStyle w:val="ListParagraph"/>
        <w:numPr>
          <w:ilvl w:val="1"/>
          <w:numId w:val="181"/>
        </w:numPr>
        <w:tabs>
          <w:tab w:pos="540" w:val="left" w:leader="none"/>
        </w:tabs>
        <w:spacing w:line="237" w:lineRule="auto" w:before="117" w:after="0"/>
        <w:ind w:left="539" w:right="1403" w:hanging="360"/>
        <w:jc w:val="both"/>
        <w:rPr>
          <w:sz w:val="20"/>
        </w:rPr>
      </w:pPr>
      <w:r>
        <w:rPr>
          <w:sz w:val="20"/>
        </w:rPr>
        <w:t>Inventory agencies, taking into account country- specific circumstances and the availability of resources, can assess the proper combination of approaches for verifying their LULUCF inventories. Approaches 1, 2 and  3 are feasible for verifying several components of the inventory. Among those listed, Approaches 1 and 2 can be easily implemented by an inventory agency with low to moderate resources. Remote sensing is the most suitable method for the verification of land areas. Direct measurements (under D in Box 5.7.3) are relevant, although this approach can be resource-intensive and, on a large scale, costs may be a constraint. Models can be used as an alternative when direct measurements combined with remote sensing is not feasible.</w:t>
      </w:r>
    </w:p>
    <w:p>
      <w:pPr>
        <w:pStyle w:val="BodyText"/>
        <w:rPr>
          <w:sz w:val="22"/>
        </w:rPr>
      </w:pPr>
    </w:p>
    <w:p>
      <w:pPr>
        <w:pStyle w:val="BodyText"/>
        <w:spacing w:before="3"/>
      </w:pPr>
    </w:p>
    <w:p>
      <w:pPr>
        <w:pStyle w:val="Heading2"/>
        <w:numPr>
          <w:ilvl w:val="2"/>
          <w:numId w:val="197"/>
        </w:numPr>
        <w:tabs>
          <w:tab w:pos="1561" w:val="left" w:leader="none"/>
          <w:tab w:pos="1562" w:val="left" w:leader="none"/>
        </w:tabs>
        <w:spacing w:line="240" w:lineRule="auto" w:before="0" w:after="0"/>
        <w:ind w:left="1561" w:right="0" w:hanging="1382"/>
        <w:jc w:val="left"/>
      </w:pPr>
      <w:bookmarkStart w:name="_TOC_250003" w:id="52"/>
      <w:r>
        <w:rPr>
          <w:spacing w:val="8"/>
        </w:rPr>
        <w:t>Specific Issues Linked </w:t>
      </w:r>
      <w:r>
        <w:rPr>
          <w:spacing w:val="4"/>
        </w:rPr>
        <w:t>to </w:t>
      </w:r>
      <w:r>
        <w:rPr>
          <w:spacing w:val="5"/>
        </w:rPr>
        <w:t>the </w:t>
      </w:r>
      <w:r>
        <w:rPr>
          <w:spacing w:val="7"/>
        </w:rPr>
        <w:t>Kyoto</w:t>
      </w:r>
      <w:r>
        <w:rPr>
          <w:spacing w:val="91"/>
        </w:rPr>
        <w:t> </w:t>
      </w:r>
      <w:bookmarkEnd w:id="52"/>
      <w:r>
        <w:rPr>
          <w:spacing w:val="9"/>
        </w:rPr>
        <w:t>Protocol</w:t>
      </w:r>
    </w:p>
    <w:p>
      <w:pPr>
        <w:pStyle w:val="BodyText"/>
        <w:spacing w:before="114"/>
        <w:ind w:left="179" w:right="1405"/>
        <w:jc w:val="both"/>
      </w:pPr>
      <w:r>
        <w:rPr/>
        <w:t>In general, the same approaches discussed in Section 5.7.2 can be used for verifying both an inventory submitted under the UNFCCC and reporting under the Kyoto Protocol. Although, the cost of measuring changes in carbon stocks for a given area increases as both desired precision and landscape heterogeneity increase, the same principles of </w:t>
      </w:r>
      <w:r>
        <w:rPr>
          <w:i/>
        </w:rPr>
        <w:t>good practice </w:t>
      </w:r>
      <w:r>
        <w:rPr/>
        <w:t>apply to projects and national inventories.</w:t>
      </w:r>
    </w:p>
    <w:p>
      <w:pPr>
        <w:pStyle w:val="BodyText"/>
        <w:spacing w:before="119"/>
        <w:ind w:left="179" w:right="1405"/>
        <w:jc w:val="both"/>
      </w:pPr>
      <w:r>
        <w:rPr/>
        <w:pict>
          <v:shape style="position:absolute;margin-left:91.000999pt;margin-top:36.046898pt;width:412.95pt;height:280.8pt;mso-position-horizontal-relative:page;mso-position-vertical-relative:paragraph;z-index:30992;mso-wrap-distance-left:0;mso-wrap-distance-right:0" type="#_x0000_t202" filled="false" stroked="true" strokeweight="1.44pt" strokecolor="#000000">
            <v:textbox inset="0,0,0,0">
              <w:txbxContent>
                <w:p>
                  <w:pPr>
                    <w:spacing w:before="100"/>
                    <w:ind w:left="1891" w:right="1892" w:firstLine="0"/>
                    <w:jc w:val="center"/>
                    <w:rPr>
                      <w:b/>
                      <w:sz w:val="18"/>
                    </w:rPr>
                  </w:pPr>
                  <w:r>
                    <w:rPr>
                      <w:b/>
                      <w:sz w:val="18"/>
                    </w:rPr>
                    <w:t>B</w:t>
                  </w:r>
                  <w:r>
                    <w:rPr>
                      <w:b/>
                      <w:sz w:val="14"/>
                    </w:rPr>
                    <w:t>OX </w:t>
                  </w:r>
                  <w:r>
                    <w:rPr>
                      <w:b/>
                      <w:sz w:val="18"/>
                    </w:rPr>
                    <w:t>5.7.4</w:t>
                  </w:r>
                </w:p>
                <w:p>
                  <w:pPr>
                    <w:spacing w:before="2"/>
                    <w:ind w:left="1958" w:right="0" w:firstLine="0"/>
                    <w:jc w:val="left"/>
                    <w:rPr>
                      <w:b/>
                      <w:sz w:val="14"/>
                    </w:rPr>
                  </w:pPr>
                  <w:r>
                    <w:rPr>
                      <w:b/>
                      <w:sz w:val="18"/>
                    </w:rPr>
                    <w:t>G</w:t>
                  </w:r>
                  <w:r>
                    <w:rPr>
                      <w:b/>
                      <w:sz w:val="14"/>
                    </w:rPr>
                    <w:t>UIDANCE FOR VERIFYING CARBON POOLS AND ACTIVITIES</w:t>
                  </w:r>
                </w:p>
                <w:p>
                  <w:pPr>
                    <w:spacing w:before="118"/>
                    <w:ind w:left="127" w:right="0" w:firstLine="0"/>
                    <w:jc w:val="left"/>
                    <w:rPr>
                      <w:b/>
                      <w:sz w:val="20"/>
                    </w:rPr>
                  </w:pPr>
                  <w:r>
                    <w:rPr>
                      <w:b/>
                      <w:sz w:val="20"/>
                    </w:rPr>
                    <w:t>Which carbon pools to verify?</w:t>
                  </w:r>
                </w:p>
                <w:p>
                  <w:pPr>
                    <w:pStyle w:val="BodyText"/>
                    <w:spacing w:before="115"/>
                    <w:ind w:left="127" w:right="121"/>
                    <w:jc w:val="both"/>
                  </w:pPr>
                  <w:r>
                    <w:rPr/>
                    <w:t>It is </w:t>
                  </w:r>
                  <w:r>
                    <w:rPr>
                      <w:i/>
                    </w:rPr>
                    <w:t>good practice </w:t>
                  </w:r>
                  <w:r>
                    <w:rPr/>
                    <w:t>to focus verification on those carbon pools that are expected to be most relevant to the Kyoto Protocol but also on </w:t>
                  </w:r>
                  <w:r>
                    <w:rPr>
                      <w:spacing w:val="2"/>
                    </w:rPr>
                    <w:t>non-CO</w:t>
                  </w:r>
                  <w:r>
                    <w:rPr>
                      <w:spacing w:val="2"/>
                      <w:vertAlign w:val="subscript"/>
                    </w:rPr>
                    <w:t>2</w:t>
                  </w:r>
                  <w:r>
                    <w:rPr>
                      <w:spacing w:val="2"/>
                      <w:vertAlign w:val="baseline"/>
                    </w:rPr>
                    <w:t> </w:t>
                  </w:r>
                  <w:r>
                    <w:rPr>
                      <w:vertAlign w:val="baseline"/>
                    </w:rPr>
                    <w:t>greenhouse gas emissions. The Marrakesh Accords list the following pools: aboveground and belowground biomass, litter, dead wood and soil organic carbon. As stated in the Marrakesh Accords, a Party may exclude particular pools from reporting,  if verifiable information is provided showing that the pool has not been a source of greenhouse gases for activities under Article 3.3 and elected activities under Article 3.4, or for projects. Therefore the information required is different for selected (changes of the pools following advice provided on Chapter 3 and 4) and non- selected pools (additional information demonstrating that they are not a source). As for LULUCF inventories, if a pool is expected to change significantly over the inventory reporting period, particular attention should also be devoted to</w:t>
                  </w:r>
                  <w:r>
                    <w:rPr>
                      <w:spacing w:val="-14"/>
                      <w:vertAlign w:val="baseline"/>
                    </w:rPr>
                    <w:t> </w:t>
                  </w:r>
                  <w:r>
                    <w:rPr>
                      <w:vertAlign w:val="baseline"/>
                    </w:rPr>
                    <w:t>it.</w:t>
                  </w:r>
                </w:p>
                <w:p>
                  <w:pPr>
                    <w:spacing w:before="125"/>
                    <w:ind w:left="127" w:right="0" w:firstLine="0"/>
                    <w:jc w:val="left"/>
                    <w:rPr>
                      <w:b/>
                      <w:sz w:val="20"/>
                    </w:rPr>
                  </w:pPr>
                  <w:r>
                    <w:rPr>
                      <w:b/>
                      <w:sz w:val="20"/>
                    </w:rPr>
                    <w:t>Which activities to verify?</w:t>
                  </w:r>
                </w:p>
                <w:p>
                  <w:pPr>
                    <w:pStyle w:val="BodyText"/>
                    <w:spacing w:before="115"/>
                    <w:ind w:left="127" w:right="122"/>
                    <w:jc w:val="both"/>
                  </w:pPr>
                  <w:r>
                    <w:rPr/>
                    <w:t>According to the Marrakesh Accords, a Party has to report activities under Article 3.3 and may choose only certain activities under Article 3.4 of the Kyoto Protocol. For all obligatory or elected activities, elements which are specific to the reporting under Kyoto Protocol inventories include: the identification of the areas in which such activities have taken place, the demonstration that the activities have occurred since 1st January 1990 and are human induced, and the establishment of the “1990” base year (reference year for reforestation activities and base year for net- net accounting).</w:t>
                  </w:r>
                </w:p>
              </w:txbxContent>
            </v:textbox>
            <v:stroke dashstyle="solid"/>
            <w10:wrap type="topAndBottom"/>
          </v:shape>
        </w:pict>
      </w:r>
      <w:r>
        <w:rPr/>
        <w:t>An inventory agency can use the questions in Box 5.7.4 to help guide the development of a verification plan for supplementary information reported under Articles 3.3 and 3.4 of the Kyoto Protocol.</w:t>
      </w:r>
    </w:p>
    <w:p>
      <w:pPr>
        <w:pStyle w:val="BodyText"/>
        <w:spacing w:before="1"/>
        <w:rPr>
          <w:sz w:val="27"/>
        </w:rPr>
      </w:pPr>
    </w:p>
    <w:p>
      <w:pPr>
        <w:pStyle w:val="BodyText"/>
        <w:ind w:left="179"/>
      </w:pPr>
      <w:r>
        <w:rPr/>
        <w:t>Specific verification related to estimates developed under Articles 3.3 and 3.4 of the Kyoto Protocol may include:</w:t>
      </w:r>
    </w:p>
    <w:p>
      <w:pPr>
        <w:pStyle w:val="ListParagraph"/>
        <w:numPr>
          <w:ilvl w:val="1"/>
          <w:numId w:val="181"/>
        </w:numPr>
        <w:tabs>
          <w:tab w:pos="540" w:val="left" w:leader="none"/>
        </w:tabs>
        <w:spacing w:line="232" w:lineRule="auto" w:before="140" w:after="0"/>
        <w:ind w:left="539" w:right="1404" w:hanging="360"/>
        <w:jc w:val="both"/>
        <w:rPr>
          <w:sz w:val="20"/>
        </w:rPr>
      </w:pPr>
      <w:r>
        <w:rPr>
          <w:sz w:val="20"/>
        </w:rPr>
        <w:t>For lands introduced into a reporting under Kyoto Protocol, it is </w:t>
      </w:r>
      <w:r>
        <w:rPr>
          <w:i/>
          <w:sz w:val="20"/>
        </w:rPr>
        <w:t>good practice </w:t>
      </w:r>
      <w:r>
        <w:rPr>
          <w:sz w:val="20"/>
        </w:rPr>
        <w:t>to verify such lands using geographical and statistical information, such as remote sensing data. Even if georeferencing was not required, this would facilitate verification (Smith,</w:t>
      </w:r>
      <w:r>
        <w:rPr>
          <w:spacing w:val="4"/>
          <w:sz w:val="20"/>
        </w:rPr>
        <w:t> </w:t>
      </w:r>
      <w:r>
        <w:rPr>
          <w:sz w:val="20"/>
        </w:rPr>
        <w:t>2001).</w:t>
      </w:r>
    </w:p>
    <w:p>
      <w:pPr>
        <w:pStyle w:val="ListParagraph"/>
        <w:numPr>
          <w:ilvl w:val="1"/>
          <w:numId w:val="181"/>
        </w:numPr>
        <w:tabs>
          <w:tab w:pos="540" w:val="left" w:leader="none"/>
        </w:tabs>
        <w:spacing w:line="237" w:lineRule="auto" w:before="136" w:after="0"/>
        <w:ind w:left="539" w:right="1403" w:hanging="360"/>
        <w:jc w:val="both"/>
        <w:rPr>
          <w:sz w:val="20"/>
        </w:rPr>
      </w:pPr>
      <w:r>
        <w:rPr>
          <w:sz w:val="20"/>
        </w:rPr>
        <w:t>The reporting of greenhouse gas emissions and removals of most Article 3.3 and 3.4 activities require reference to 1990 or </w:t>
      </w:r>
      <w:r>
        <w:rPr>
          <w:spacing w:val="2"/>
          <w:sz w:val="20"/>
        </w:rPr>
        <w:t>pre-1990 </w:t>
      </w:r>
      <w:r>
        <w:rPr>
          <w:sz w:val="20"/>
        </w:rPr>
        <w:t>data (classification of forest/non forest lands for 1990, net- net accounting for cropland management, grazing land management, revegetation, etc.). In some cases, these data may not be available or their reliability may be limited and estimates may be used, subject to advice in Chapter 4 Section 4.2.8.1. In such cases, it is </w:t>
      </w:r>
      <w:r>
        <w:rPr>
          <w:i/>
          <w:sz w:val="20"/>
        </w:rPr>
        <w:t>good practice </w:t>
      </w:r>
      <w:r>
        <w:rPr>
          <w:sz w:val="20"/>
        </w:rPr>
        <w:t>to verify the estimation approach and values, as much as possible.</w:t>
      </w:r>
    </w:p>
    <w:p>
      <w:pPr>
        <w:pStyle w:val="BodyText"/>
        <w:spacing w:before="116"/>
        <w:ind w:left="179" w:right="1405"/>
        <w:jc w:val="both"/>
      </w:pPr>
      <w:r>
        <w:rPr/>
        <w:t>Emissions and removals from project activities can be reported under Articles 6 and 12 of the Kyoto Protocol, and Chapter 4 of this report lists different types of projects and suggests the type of information that may need to be verified for each. While many of the approaches presented in Section 5.7.2 are useful for project verification,</w:t>
      </w:r>
    </w:p>
    <w:p>
      <w:pPr>
        <w:spacing w:after="0"/>
        <w:jc w:val="both"/>
        <w:sectPr>
          <w:pgSz w:w="11900" w:h="16840"/>
          <w:pgMar w:header="230" w:footer="408" w:top="560" w:bottom="600" w:left="1240" w:right="0"/>
        </w:sectPr>
      </w:pPr>
    </w:p>
    <w:p>
      <w:pPr>
        <w:pStyle w:val="BodyText"/>
        <w:spacing w:before="8"/>
        <w:rPr>
          <w:sz w:val="27"/>
        </w:rPr>
      </w:pPr>
    </w:p>
    <w:p>
      <w:pPr>
        <w:pStyle w:val="BodyText"/>
        <w:spacing w:before="121"/>
        <w:ind w:left="179" w:right="1402"/>
        <w:jc w:val="both"/>
      </w:pPr>
      <w:r>
        <w:rPr/>
        <w:t>additional rules are being developed under the Kyoto Protocol and the Marrakesh Accords</w:t>
      </w:r>
      <w:r>
        <w:rPr>
          <w:vertAlign w:val="superscript"/>
        </w:rPr>
        <w:t>27</w:t>
      </w:r>
      <w:r>
        <w:rPr>
          <w:vertAlign w:val="baseline"/>
        </w:rPr>
        <w:t>. This factor not withstanding, verification of projects is generally easier than national level verification. For projects, boundaries, carbon pools and lifetimes are all factors that can be well established, and hence verified. Generally, projects with good monitoring and reporting plans are likely to be easier to</w:t>
      </w:r>
      <w:r>
        <w:rPr>
          <w:spacing w:val="-4"/>
          <w:vertAlign w:val="baseline"/>
        </w:rPr>
        <w:t> </w:t>
      </w:r>
      <w:r>
        <w:rPr>
          <w:vertAlign w:val="baseline"/>
        </w:rPr>
        <w:t>verify.</w:t>
      </w:r>
    </w:p>
    <w:p>
      <w:pPr>
        <w:pStyle w:val="BodyText"/>
        <w:spacing w:before="119"/>
        <w:ind w:left="179" w:right="1358"/>
        <w:jc w:val="both"/>
      </w:pPr>
      <w:r>
        <w:rPr/>
        <w:pict>
          <v:shape style="position:absolute;margin-left:91.000999pt;margin-top:82.006889pt;width:412.95pt;height:241.35pt;mso-position-horizontal-relative:page;mso-position-vertical-relative:paragraph;z-index:31016;mso-wrap-distance-left:0;mso-wrap-distance-right:0" type="#_x0000_t202" filled="false" stroked="true" strokeweight="1.44pt" strokecolor="#000000">
            <v:textbox inset="0,0,0,0">
              <w:txbxContent>
                <w:p>
                  <w:pPr>
                    <w:spacing w:before="100"/>
                    <w:ind w:left="1891" w:right="1892" w:firstLine="0"/>
                    <w:jc w:val="center"/>
                    <w:rPr>
                      <w:b/>
                      <w:sz w:val="18"/>
                    </w:rPr>
                  </w:pPr>
                  <w:r>
                    <w:rPr>
                      <w:b/>
                      <w:sz w:val="18"/>
                    </w:rPr>
                    <w:t>B</w:t>
                  </w:r>
                  <w:r>
                    <w:rPr>
                      <w:b/>
                      <w:sz w:val="14"/>
                    </w:rPr>
                    <w:t>OX </w:t>
                  </w:r>
                  <w:r>
                    <w:rPr>
                      <w:b/>
                      <w:sz w:val="18"/>
                    </w:rPr>
                    <w:t>5.7.5</w:t>
                  </w:r>
                </w:p>
                <w:p>
                  <w:pPr>
                    <w:spacing w:before="2"/>
                    <w:ind w:left="1892" w:right="1892" w:firstLine="0"/>
                    <w:jc w:val="center"/>
                    <w:rPr>
                      <w:b/>
                      <w:sz w:val="14"/>
                    </w:rPr>
                  </w:pPr>
                  <w:r>
                    <w:rPr>
                      <w:b/>
                      <w:sz w:val="18"/>
                    </w:rPr>
                    <w:t>V</w:t>
                  </w:r>
                  <w:r>
                    <w:rPr>
                      <w:b/>
                      <w:sz w:val="14"/>
                    </w:rPr>
                    <w:t>ERIFICATION OF </w:t>
                  </w:r>
                  <w:r>
                    <w:rPr>
                      <w:b/>
                      <w:sz w:val="18"/>
                    </w:rPr>
                    <w:t>LULUCF </w:t>
                  </w:r>
                  <w:r>
                    <w:rPr>
                      <w:b/>
                      <w:sz w:val="14"/>
                    </w:rPr>
                    <w:t>UNDER THE </w:t>
                  </w:r>
                  <w:r>
                    <w:rPr>
                      <w:b/>
                      <w:sz w:val="18"/>
                    </w:rPr>
                    <w:t>K</w:t>
                  </w:r>
                  <w:r>
                    <w:rPr>
                      <w:b/>
                      <w:sz w:val="14"/>
                    </w:rPr>
                    <w:t>YOTO </w:t>
                  </w:r>
                  <w:r>
                    <w:rPr>
                      <w:b/>
                      <w:sz w:val="18"/>
                    </w:rPr>
                    <w:t>P</w:t>
                  </w:r>
                  <w:r>
                    <w:rPr>
                      <w:b/>
                      <w:sz w:val="14"/>
                    </w:rPr>
                    <w:t>ROTOCOL</w:t>
                  </w:r>
                </w:p>
                <w:p>
                  <w:pPr>
                    <w:pStyle w:val="BodyText"/>
                    <w:spacing w:before="113"/>
                    <w:ind w:left="127"/>
                  </w:pPr>
                  <w:r>
                    <w:rPr>
                      <w:u w:val="single"/>
                    </w:rPr>
                    <w:t>Checks:</w:t>
                  </w:r>
                </w:p>
                <w:p>
                  <w:pPr>
                    <w:pStyle w:val="BodyText"/>
                    <w:spacing w:before="120"/>
                    <w:ind w:left="127" w:right="123"/>
                    <w:jc w:val="both"/>
                  </w:pPr>
                  <w:r>
                    <w:rPr/>
                    <w:t>If a Party reports that an activity has occurred on forest land, is the definition of ‘forest’ provided and consistent with activities and land units reported? Is information on selected crown cover and tree height provided?</w:t>
                  </w:r>
                </w:p>
                <w:p>
                  <w:pPr>
                    <w:pStyle w:val="BodyText"/>
                    <w:spacing w:before="119"/>
                    <w:ind w:left="127" w:right="121"/>
                    <w:jc w:val="both"/>
                  </w:pPr>
                  <w:r>
                    <w:rPr/>
                    <w:t>Are changes in all carbon pools reported (aboveground and belowground biomass, dead wood, litter, soil organic carbon)? If not, is the reason and documentation for omitting a pool given?</w:t>
                  </w:r>
                </w:p>
                <w:p>
                  <w:pPr>
                    <w:pStyle w:val="BodyText"/>
                    <w:spacing w:before="121"/>
                    <w:ind w:left="127" w:right="122"/>
                    <w:jc w:val="both"/>
                  </w:pPr>
                  <w:r>
                    <w:rPr/>
                    <w:t>Are geographical boundaries of land areas specified for the activities eligible under Articles 3.3  and 3.4?</w:t>
                  </w:r>
                </w:p>
                <w:p>
                  <w:pPr>
                    <w:pStyle w:val="BodyText"/>
                    <w:spacing w:before="121"/>
                    <w:ind w:left="127" w:right="127"/>
                    <w:jc w:val="both"/>
                  </w:pPr>
                  <w:r>
                    <w:rPr/>
                    <w:t>Is the total land area reported under Article 3.3 and 3.4 constant or increasing throughout subsequent or contiguous commitment periods?</w:t>
                  </w:r>
                </w:p>
                <w:p>
                  <w:pPr>
                    <w:pStyle w:val="BodyText"/>
                    <w:spacing w:before="118"/>
                    <w:ind w:left="127" w:right="122"/>
                    <w:jc w:val="both"/>
                  </w:pPr>
                  <w:r>
                    <w:rPr/>
                    <w:t>Is information provided that demonstrates that the elected activities under Article 3.4 occurred since 1990 and are human</w:t>
                  </w:r>
                  <w:r>
                    <w:rPr>
                      <w:spacing w:val="2"/>
                    </w:rPr>
                    <w:t> </w:t>
                  </w:r>
                  <w:r>
                    <w:rPr/>
                    <w:t>induced?</w:t>
                  </w:r>
                </w:p>
                <w:p>
                  <w:pPr>
                    <w:pStyle w:val="BodyText"/>
                    <w:spacing w:line="242" w:lineRule="auto" w:before="121"/>
                    <w:ind w:left="127" w:right="122"/>
                    <w:jc w:val="both"/>
                  </w:pPr>
                  <w:r>
                    <w:rPr/>
                    <w:t>For Article 3.3, is information provided to distinguish deforestation from harvesting (clear- cut) or forest disturbance followed by re- establishment of a forest?</w:t>
                  </w:r>
                </w:p>
              </w:txbxContent>
            </v:textbox>
            <v:stroke dashstyle="solid"/>
            <w10:wrap type="topAndBottom"/>
          </v:shape>
        </w:pict>
      </w:r>
      <w:r>
        <w:rPr/>
        <w:t>As with inventories of LULUCF sector, inventory agencies, taking specific circumstances and the resource availability into account, may choose the proper combination of approaches for verifying supplementary information reported under the Kyoto Protocol. Among these approaches, remote sensing is the most suitable for the verification of land areas. Direct measurements are relevant, although this approach can be resource intensive. Models can be used as an alternative when direct measurements combined with remote sensing is not feasible. Some verification steps, which are unique to the Kyoto Protocol, are presented in Box 5.7.5.</w:t>
      </w:r>
    </w:p>
    <w:p>
      <w:pPr>
        <w:pStyle w:val="BodyText"/>
        <w:spacing w:before="1"/>
        <w:rPr>
          <w:sz w:val="27"/>
        </w:rPr>
      </w:pPr>
    </w:p>
    <w:p>
      <w:pPr>
        <w:pStyle w:val="BodyText"/>
        <w:ind w:left="179" w:right="1404"/>
        <w:jc w:val="both"/>
      </w:pPr>
      <w:r>
        <w:rPr/>
        <w:t>The checks listed in Box 5.7.5 are essential and, ideally, should have been conducted as part of QA/QC. In addition to these specific checks, the comprehensive list presented in Box 5.7.3 under items B to D can be used to identify additional useful verification activities.</w:t>
      </w:r>
    </w:p>
    <w:p>
      <w:pPr>
        <w:pStyle w:val="BodyText"/>
        <w:rPr>
          <w:sz w:val="22"/>
        </w:rPr>
      </w:pPr>
    </w:p>
    <w:p>
      <w:pPr>
        <w:pStyle w:val="BodyText"/>
        <w:spacing w:before="4"/>
      </w:pPr>
    </w:p>
    <w:p>
      <w:pPr>
        <w:pStyle w:val="Heading2"/>
        <w:numPr>
          <w:ilvl w:val="2"/>
          <w:numId w:val="197"/>
        </w:numPr>
        <w:tabs>
          <w:tab w:pos="1561" w:val="left" w:leader="none"/>
          <w:tab w:pos="1562" w:val="left" w:leader="none"/>
        </w:tabs>
        <w:spacing w:line="240" w:lineRule="auto" w:before="0" w:after="0"/>
        <w:ind w:left="1561" w:right="0" w:hanging="1382"/>
        <w:jc w:val="left"/>
      </w:pPr>
      <w:bookmarkStart w:name="_TOC_250002" w:id="53"/>
      <w:r>
        <w:rPr>
          <w:spacing w:val="8"/>
        </w:rPr>
        <w:t>Reporting </w:t>
      </w:r>
      <w:r>
        <w:rPr>
          <w:spacing w:val="6"/>
        </w:rPr>
        <w:t>and</w:t>
      </w:r>
      <w:r>
        <w:rPr>
          <w:spacing w:val="31"/>
        </w:rPr>
        <w:t> </w:t>
      </w:r>
      <w:bookmarkEnd w:id="53"/>
      <w:r>
        <w:rPr>
          <w:spacing w:val="9"/>
        </w:rPr>
        <w:t>Documentation</w:t>
      </w:r>
    </w:p>
    <w:p>
      <w:pPr>
        <w:pStyle w:val="BodyText"/>
        <w:spacing w:before="113"/>
        <w:ind w:left="179" w:right="1407"/>
      </w:pPr>
      <w:r>
        <w:rPr/>
        <w:t>When an inventory agency has undertaken verification activities, it is </w:t>
      </w:r>
      <w:r>
        <w:rPr>
          <w:i/>
        </w:rPr>
        <w:t>good practice </w:t>
      </w:r>
      <w:r>
        <w:rPr/>
        <w:t>to report and document the following items:</w:t>
      </w:r>
    </w:p>
    <w:p>
      <w:pPr>
        <w:pStyle w:val="ListParagraph"/>
        <w:numPr>
          <w:ilvl w:val="1"/>
          <w:numId w:val="181"/>
        </w:numPr>
        <w:tabs>
          <w:tab w:pos="540" w:val="left" w:leader="none"/>
        </w:tabs>
        <w:spacing w:line="240" w:lineRule="auto" w:before="133" w:after="0"/>
        <w:ind w:left="539" w:right="0" w:hanging="360"/>
        <w:jc w:val="both"/>
        <w:rPr>
          <w:sz w:val="20"/>
        </w:rPr>
      </w:pPr>
      <w:r>
        <w:rPr>
          <w:sz w:val="20"/>
        </w:rPr>
        <w:t>Information that has been</w:t>
      </w:r>
      <w:r>
        <w:rPr>
          <w:spacing w:val="-4"/>
          <w:sz w:val="20"/>
        </w:rPr>
        <w:t> </w:t>
      </w:r>
      <w:r>
        <w:rPr>
          <w:sz w:val="20"/>
        </w:rPr>
        <w:t>verified;</w:t>
      </w:r>
    </w:p>
    <w:p>
      <w:pPr>
        <w:pStyle w:val="ListParagraph"/>
        <w:numPr>
          <w:ilvl w:val="1"/>
          <w:numId w:val="181"/>
        </w:numPr>
        <w:tabs>
          <w:tab w:pos="540" w:val="left" w:leader="none"/>
        </w:tabs>
        <w:spacing w:line="240" w:lineRule="auto" w:before="119" w:after="0"/>
        <w:ind w:left="539" w:right="0" w:hanging="360"/>
        <w:jc w:val="both"/>
        <w:rPr>
          <w:sz w:val="20"/>
        </w:rPr>
      </w:pPr>
      <w:r>
        <w:rPr>
          <w:sz w:val="20"/>
        </w:rPr>
        <w:t>Criteria that were used for the selection of verification</w:t>
      </w:r>
      <w:r>
        <w:rPr>
          <w:spacing w:val="5"/>
          <w:sz w:val="20"/>
        </w:rPr>
        <w:t> </w:t>
      </w:r>
      <w:r>
        <w:rPr>
          <w:sz w:val="20"/>
        </w:rPr>
        <w:t>priorities;</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Verification approaches, along with relevant data that were</w:t>
      </w:r>
      <w:r>
        <w:rPr>
          <w:spacing w:val="2"/>
          <w:sz w:val="20"/>
        </w:rPr>
        <w:t> </w:t>
      </w:r>
      <w:r>
        <w:rPr>
          <w:sz w:val="20"/>
        </w:rPr>
        <w:t>collected;</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Any limitations in the approaches that have been</w:t>
      </w:r>
      <w:r>
        <w:rPr>
          <w:spacing w:val="-7"/>
          <w:sz w:val="20"/>
        </w:rPr>
        <w:t> </w:t>
      </w:r>
      <w:r>
        <w:rPr>
          <w:sz w:val="20"/>
        </w:rPr>
        <w:t>identified;</w:t>
      </w:r>
    </w:p>
    <w:p>
      <w:pPr>
        <w:pStyle w:val="ListParagraph"/>
        <w:numPr>
          <w:ilvl w:val="1"/>
          <w:numId w:val="181"/>
        </w:numPr>
        <w:tabs>
          <w:tab w:pos="539" w:val="left" w:leader="none"/>
          <w:tab w:pos="540" w:val="left" w:leader="none"/>
        </w:tabs>
        <w:spacing w:line="223" w:lineRule="auto" w:before="130" w:after="0"/>
        <w:ind w:left="539" w:right="1406" w:hanging="360"/>
        <w:jc w:val="left"/>
        <w:rPr>
          <w:sz w:val="20"/>
        </w:rPr>
      </w:pPr>
      <w:r>
        <w:rPr>
          <w:sz w:val="20"/>
        </w:rPr>
        <w:t>Eventual comparisons that have been performed with independent inventories, datasets, scientific literature, etc;</w:t>
      </w:r>
    </w:p>
    <w:p>
      <w:pPr>
        <w:pStyle w:val="ListParagraph"/>
        <w:numPr>
          <w:ilvl w:val="1"/>
          <w:numId w:val="181"/>
        </w:numPr>
        <w:tabs>
          <w:tab w:pos="540" w:val="left" w:leader="none"/>
        </w:tabs>
        <w:spacing w:line="240" w:lineRule="auto" w:before="137" w:after="0"/>
        <w:ind w:left="539" w:right="0" w:hanging="360"/>
        <w:jc w:val="both"/>
        <w:rPr>
          <w:sz w:val="20"/>
        </w:rPr>
      </w:pPr>
      <w:r>
        <w:rPr>
          <w:sz w:val="20"/>
        </w:rPr>
        <w:t>Any feedback received from external reviewers, with a summary of key</w:t>
      </w:r>
      <w:r>
        <w:rPr>
          <w:spacing w:val="-11"/>
          <w:sz w:val="20"/>
        </w:rPr>
        <w:t> </w:t>
      </w:r>
      <w:r>
        <w:rPr>
          <w:sz w:val="20"/>
        </w:rPr>
        <w:t>comments;</w:t>
      </w:r>
    </w:p>
    <w:p>
      <w:pPr>
        <w:pStyle w:val="ListParagraph"/>
        <w:numPr>
          <w:ilvl w:val="1"/>
          <w:numId w:val="181"/>
        </w:numPr>
        <w:tabs>
          <w:tab w:pos="540" w:val="left" w:leader="none"/>
        </w:tabs>
        <w:spacing w:line="240" w:lineRule="auto" w:before="118" w:after="0"/>
        <w:ind w:left="539" w:right="0" w:hanging="360"/>
        <w:jc w:val="both"/>
        <w:rPr>
          <w:sz w:val="20"/>
        </w:rPr>
      </w:pPr>
      <w:r>
        <w:rPr>
          <w:sz w:val="20"/>
        </w:rPr>
        <w:t>Main conclusions of the</w:t>
      </w:r>
      <w:r>
        <w:rPr>
          <w:spacing w:val="-2"/>
          <w:sz w:val="20"/>
        </w:rPr>
        <w:t> </w:t>
      </w:r>
      <w:r>
        <w:rPr>
          <w:sz w:val="20"/>
        </w:rPr>
        <w:t>verification;</w:t>
      </w:r>
    </w:p>
    <w:p>
      <w:pPr>
        <w:pStyle w:val="ListParagraph"/>
        <w:numPr>
          <w:ilvl w:val="1"/>
          <w:numId w:val="181"/>
        </w:numPr>
        <w:tabs>
          <w:tab w:pos="540" w:val="left" w:leader="none"/>
        </w:tabs>
        <w:spacing w:line="240" w:lineRule="auto" w:before="119" w:after="0"/>
        <w:ind w:left="539" w:right="0" w:hanging="360"/>
        <w:jc w:val="both"/>
        <w:rPr>
          <w:sz w:val="20"/>
        </w:rPr>
      </w:pPr>
      <w:r>
        <w:rPr>
          <w:sz w:val="20"/>
        </w:rPr>
        <w:t>Actions taken as a result of the verification</w:t>
      </w:r>
      <w:r>
        <w:rPr>
          <w:spacing w:val="-8"/>
          <w:sz w:val="20"/>
        </w:rPr>
        <w:t> </w:t>
      </w:r>
      <w:r>
        <w:rPr>
          <w:sz w:val="20"/>
        </w:rPr>
        <w:t>process;</w:t>
      </w:r>
    </w:p>
    <w:p>
      <w:pPr>
        <w:pStyle w:val="BodyText"/>
      </w:pPr>
    </w:p>
    <w:p>
      <w:pPr>
        <w:pStyle w:val="BodyText"/>
        <w:spacing w:before="8"/>
        <w:rPr>
          <w:sz w:val="13"/>
        </w:rPr>
      </w:pPr>
      <w:r>
        <w:rPr/>
        <w:pict>
          <v:line style="position:absolute;mso-position-horizontal-relative:page;mso-position-vertical-relative:paragraph;z-index:31040;mso-wrap-distance-left:0;mso-wrap-distance-right:0" from="70.960999pt,10.112881pt" to="214.960999pt,10.112881pt" stroked="true" strokeweight=".48pt" strokecolor="#000000">
            <v:stroke dashstyle="solid"/>
            <w10:wrap type="topAndBottom"/>
          </v:line>
        </w:pict>
      </w:r>
    </w:p>
    <w:p>
      <w:pPr>
        <w:spacing w:before="150"/>
        <w:ind w:left="337" w:right="1403" w:hanging="159"/>
        <w:jc w:val="both"/>
        <w:rPr>
          <w:sz w:val="18"/>
        </w:rPr>
      </w:pPr>
      <w:r>
        <w:rPr>
          <w:position w:val="8"/>
          <w:sz w:val="12"/>
        </w:rPr>
        <w:t>27 </w:t>
      </w:r>
      <w:r>
        <w:rPr>
          <w:sz w:val="18"/>
        </w:rPr>
        <w:t>The verification to which the paragraph refers is to be considered in the context of the present chapter (as defined in Section 5.7.1). According to the Marrakesh Accords, projects have to be subjected to specific “verification”, as defined in draft decision -/CMP.1 (Article 6), -/CMP.1 (Article 12) and their annexes</w:t>
      </w:r>
      <w:r>
        <w:rPr>
          <w:spacing w:val="-6"/>
          <w:sz w:val="18"/>
        </w:rPr>
        <w:t> </w:t>
      </w:r>
      <w:r>
        <w:rPr>
          <w:sz w:val="18"/>
        </w:rPr>
        <w:t>(FCCC/CP/2001/13/Add.2).</w:t>
      </w:r>
    </w:p>
    <w:p>
      <w:pPr>
        <w:spacing w:after="0"/>
        <w:jc w:val="both"/>
        <w:rPr>
          <w:sz w:val="18"/>
        </w:rPr>
        <w:sectPr>
          <w:pgSz w:w="11900" w:h="16840"/>
          <w:pgMar w:header="230" w:footer="408" w:top="560" w:bottom="600" w:left="1240" w:right="0"/>
        </w:sectPr>
      </w:pPr>
    </w:p>
    <w:p>
      <w:pPr>
        <w:pStyle w:val="BodyText"/>
        <w:spacing w:before="5"/>
        <w:rPr>
          <w:sz w:val="29"/>
        </w:rPr>
      </w:pPr>
    </w:p>
    <w:p>
      <w:pPr>
        <w:pStyle w:val="ListParagraph"/>
        <w:numPr>
          <w:ilvl w:val="1"/>
          <w:numId w:val="181"/>
        </w:numPr>
        <w:tabs>
          <w:tab w:pos="539" w:val="left" w:leader="none"/>
          <w:tab w:pos="540" w:val="left" w:leader="none"/>
        </w:tabs>
        <w:spacing w:line="223" w:lineRule="auto" w:before="127" w:after="0"/>
        <w:ind w:left="539" w:right="1407" w:hanging="360"/>
        <w:jc w:val="left"/>
        <w:rPr>
          <w:sz w:val="20"/>
        </w:rPr>
      </w:pPr>
      <w:r>
        <w:rPr>
          <w:sz w:val="20"/>
        </w:rPr>
        <w:t>Any recommendations for inventory improvements or research at national/international level arising from the</w:t>
      </w:r>
      <w:r>
        <w:rPr>
          <w:spacing w:val="-1"/>
          <w:sz w:val="20"/>
        </w:rPr>
        <w:t> </w:t>
      </w:r>
      <w:r>
        <w:rPr>
          <w:sz w:val="20"/>
        </w:rPr>
        <w:t>findings.</w:t>
      </w:r>
    </w:p>
    <w:p>
      <w:pPr>
        <w:pStyle w:val="BodyText"/>
        <w:spacing w:before="125"/>
        <w:ind w:left="179" w:right="1405"/>
        <w:jc w:val="both"/>
      </w:pPr>
      <w:r>
        <w:rPr/>
        <w:t>Inventory agencies are also encouraged to provide information on the external verification activities by other bodies, to the extent that they are relevant to the inventory and that any such information can be readily collected and summarised.</w:t>
      </w:r>
    </w:p>
    <w:p>
      <w:pPr>
        <w:pStyle w:val="BodyText"/>
        <w:spacing w:before="118"/>
        <w:ind w:left="179" w:right="1403"/>
        <w:jc w:val="both"/>
      </w:pPr>
      <w:r>
        <w:rPr/>
        <w:t>If modelling has been used for verification, it is </w:t>
      </w:r>
      <w:r>
        <w:rPr>
          <w:i/>
        </w:rPr>
        <w:t>good practice </w:t>
      </w:r>
      <w:r>
        <w:rPr/>
        <w:t>to fully document the modelling process. Other information to be reported includes: sources of input data, a discussion of model and data assumptions, and description of procedures and analysis. Because of the volume of input data, and the number of variables that are needed for a typical large model, documentation may be dense, technical and lengthy. It is </w:t>
      </w:r>
      <w:r>
        <w:rPr>
          <w:i/>
        </w:rPr>
        <w:t>good practice </w:t>
      </w:r>
      <w:r>
        <w:rPr/>
        <w:t>to report the above information comprehensively and transparently. The information to be included should allow a third party to fully understand the verification process, and to corroborate the results if</w:t>
      </w:r>
      <w:r>
        <w:rPr>
          <w:spacing w:val="-7"/>
        </w:rPr>
        <w:t> </w:t>
      </w:r>
      <w:r>
        <w:rPr/>
        <w:t>needed.</w:t>
      </w:r>
    </w:p>
    <w:p>
      <w:pPr>
        <w:pStyle w:val="BodyText"/>
        <w:rPr>
          <w:sz w:val="22"/>
        </w:rPr>
      </w:pPr>
    </w:p>
    <w:p>
      <w:pPr>
        <w:pStyle w:val="BodyText"/>
        <w:spacing w:before="3"/>
      </w:pPr>
    </w:p>
    <w:p>
      <w:pPr>
        <w:pStyle w:val="Heading2"/>
        <w:numPr>
          <w:ilvl w:val="2"/>
          <w:numId w:val="197"/>
        </w:numPr>
        <w:tabs>
          <w:tab w:pos="1561" w:val="left" w:leader="none"/>
          <w:tab w:pos="1562" w:val="left" w:leader="none"/>
        </w:tabs>
        <w:spacing w:line="240" w:lineRule="auto" w:before="0" w:after="0"/>
        <w:ind w:left="1561" w:right="0" w:hanging="1382"/>
        <w:jc w:val="left"/>
      </w:pPr>
      <w:bookmarkStart w:name="_TOC_250001" w:id="54"/>
      <w:r>
        <w:rPr>
          <w:spacing w:val="7"/>
        </w:rPr>
        <w:t>Some </w:t>
      </w:r>
      <w:r>
        <w:rPr>
          <w:spacing w:val="8"/>
        </w:rPr>
        <w:t>Details </w:t>
      </w:r>
      <w:r>
        <w:rPr>
          <w:spacing w:val="6"/>
        </w:rPr>
        <w:t>for </w:t>
      </w:r>
      <w:r>
        <w:rPr>
          <w:spacing w:val="9"/>
        </w:rPr>
        <w:t>Verification</w:t>
      </w:r>
      <w:r>
        <w:rPr>
          <w:spacing w:val="58"/>
        </w:rPr>
        <w:t> </w:t>
      </w:r>
      <w:bookmarkEnd w:id="54"/>
      <w:r>
        <w:rPr>
          <w:spacing w:val="9"/>
        </w:rPr>
        <w:t>Approaches</w:t>
      </w:r>
    </w:p>
    <w:p>
      <w:pPr>
        <w:pStyle w:val="Heading6"/>
        <w:spacing w:before="239"/>
        <w:ind w:left="179"/>
      </w:pPr>
      <w:r>
        <w:rPr>
          <w:spacing w:val="17"/>
        </w:rPr>
        <w:t>COMPARISONS </w:t>
      </w:r>
      <w:r>
        <w:rPr>
          <w:spacing w:val="14"/>
        </w:rPr>
        <w:t>WITH </w:t>
      </w:r>
      <w:r>
        <w:rPr>
          <w:spacing w:val="17"/>
        </w:rPr>
        <w:t>INTERNATIONAL </w:t>
      </w:r>
      <w:r>
        <w:rPr>
          <w:spacing w:val="16"/>
        </w:rPr>
        <w:t>PROGRAMS </w:t>
      </w:r>
      <w:r>
        <w:rPr>
          <w:spacing w:val="12"/>
        </w:rPr>
        <w:t>AND</w:t>
      </w:r>
      <w:r>
        <w:rPr>
          <w:spacing w:val="69"/>
        </w:rPr>
        <w:t> </w:t>
      </w:r>
      <w:r>
        <w:rPr>
          <w:spacing w:val="16"/>
        </w:rPr>
        <w:t>DATASETS</w:t>
      </w:r>
    </w:p>
    <w:p>
      <w:pPr>
        <w:pStyle w:val="BodyText"/>
        <w:spacing w:before="114"/>
        <w:ind w:left="179" w:right="1401"/>
        <w:jc w:val="both"/>
      </w:pPr>
      <w:r>
        <w:rPr/>
        <w:pict>
          <v:group style="position:absolute;margin-left:90.280998pt;margin-top:57.996208pt;width:413.9pt;height:454.7pt;mso-position-horizontal-relative:page;mso-position-vertical-relative:paragraph;z-index:-2423056" coordorigin="1806,1160" coordsize="8278,9094">
            <v:line style="position:absolute" from="1834,1174" to="10054,1174" stroked="true" strokeweight="1.44pt" strokecolor="#000000">
              <v:stroke dashstyle="solid"/>
            </v:line>
            <v:line style="position:absolute" from="1820,1160" to="1820,10254" stroked="true" strokeweight="1.44pt" strokecolor="#000000">
              <v:stroke dashstyle="solid"/>
            </v:line>
            <v:line style="position:absolute" from="10069,1160" to="10069,10254" stroked="true" strokeweight="1.44pt" strokecolor="#000000">
              <v:stroke dashstyle="solid"/>
            </v:line>
            <w10:wrap type="none"/>
          </v:group>
        </w:pict>
      </w:r>
      <w:r>
        <w:rPr/>
        <w:t>For an inventory agency that is willing to compare an inventory or part of it against datasets coming from international monitoring and research programmes, it can be useful to follow the links provided in Box 5.7.6. Obviously, the Box is not exhaustive of all programmes available, but it provides information for some of those that are more relevant to LULUCF.</w:t>
      </w:r>
    </w:p>
    <w:p>
      <w:pPr>
        <w:pStyle w:val="BodyText"/>
        <w:spacing w:before="2"/>
        <w:rPr>
          <w:sz w:val="22"/>
        </w:rPr>
      </w:pPr>
    </w:p>
    <w:p>
      <w:pPr>
        <w:spacing w:before="0"/>
        <w:ind w:left="1892" w:right="3142" w:firstLine="0"/>
        <w:jc w:val="center"/>
        <w:rPr>
          <w:b/>
          <w:sz w:val="18"/>
        </w:rPr>
      </w:pPr>
      <w:r>
        <w:rPr>
          <w:b/>
          <w:sz w:val="18"/>
        </w:rPr>
        <w:t>B</w:t>
      </w:r>
      <w:r>
        <w:rPr>
          <w:b/>
          <w:sz w:val="14"/>
        </w:rPr>
        <w:t>OX </w:t>
      </w:r>
      <w:r>
        <w:rPr>
          <w:b/>
          <w:sz w:val="18"/>
        </w:rPr>
        <w:t>5.7.6</w:t>
      </w:r>
    </w:p>
    <w:p>
      <w:pPr>
        <w:spacing w:before="2"/>
        <w:ind w:left="2658" w:right="0" w:firstLine="0"/>
        <w:jc w:val="left"/>
        <w:rPr>
          <w:b/>
          <w:sz w:val="18"/>
        </w:rPr>
      </w:pPr>
      <w:r>
        <w:rPr>
          <w:b/>
          <w:sz w:val="18"/>
        </w:rPr>
        <w:t>P</w:t>
      </w:r>
      <w:r>
        <w:rPr>
          <w:b/>
          <w:sz w:val="14"/>
        </w:rPr>
        <w:t>ROGRAMMES AND NETWORKS RELEVANT TO </w:t>
      </w:r>
      <w:r>
        <w:rPr>
          <w:b/>
          <w:sz w:val="18"/>
        </w:rPr>
        <w:t>LULUCF</w:t>
      </w:r>
    </w:p>
    <w:p>
      <w:pPr>
        <w:pStyle w:val="BodyText"/>
        <w:spacing w:before="113"/>
        <w:ind w:left="721"/>
      </w:pPr>
      <w:r>
        <w:rPr/>
        <w:t>FLUXNET (Ameriflux, CarboEuroflux)</w:t>
      </w:r>
    </w:p>
    <w:p>
      <w:pPr>
        <w:pStyle w:val="BodyText"/>
        <w:ind w:left="721" w:right="2309"/>
      </w:pPr>
      <w:r>
        <w:rPr/>
        <w:t>Network of ecosystem flux measurements, mostly on forest stands, but also other land use type Common database, links to ecosystem studies</w:t>
      </w:r>
    </w:p>
    <w:p>
      <w:pPr>
        <w:pStyle w:val="BodyText"/>
        <w:spacing w:line="228" w:lineRule="exact"/>
        <w:ind w:left="721"/>
      </w:pPr>
      <w:hyperlink r:id="rId439">
        <w:r>
          <w:rPr/>
          <w:t>http://www- eosdis.ornl.gov/FLUXNET/index.html</w:t>
        </w:r>
      </w:hyperlink>
    </w:p>
    <w:p>
      <w:pPr>
        <w:pStyle w:val="BodyText"/>
        <w:spacing w:before="121"/>
        <w:ind w:left="721"/>
      </w:pPr>
      <w:r>
        <w:rPr/>
        <w:t>CarboEurope (funded by the European Commission)</w:t>
      </w:r>
    </w:p>
    <w:p>
      <w:pPr>
        <w:pStyle w:val="BodyText"/>
        <w:ind w:left="721" w:right="2038"/>
      </w:pPr>
      <w:r>
        <w:rPr/>
        <w:t>Cluster of projects aimed at understanding the carbon balance of Europe with different approaches (flux measurements, ecosystem studies, regional and continental budgeting, inverse modelling, ecosystem modelling)</w:t>
      </w:r>
    </w:p>
    <w:p>
      <w:pPr>
        <w:pStyle w:val="BodyText"/>
        <w:spacing w:before="1"/>
        <w:ind w:left="721"/>
      </w:pPr>
      <w:hyperlink r:id="rId440">
        <w:r>
          <w:rPr/>
          <w:t>http://www.bgc- jena.mpg.de/public/carboeur/</w:t>
        </w:r>
      </w:hyperlink>
    </w:p>
    <w:p>
      <w:pPr>
        <w:pStyle w:val="BodyText"/>
        <w:spacing w:before="118"/>
        <w:ind w:left="721"/>
      </w:pPr>
      <w:r>
        <w:rPr/>
        <w:t>International Geosphere- Biosphere Programme (IGBP)</w:t>
      </w:r>
    </w:p>
    <w:p>
      <w:pPr>
        <w:pStyle w:val="BodyText"/>
        <w:spacing w:before="1"/>
        <w:ind w:left="721" w:right="2043"/>
      </w:pPr>
      <w:r>
        <w:rPr/>
        <w:t>Net Primary Production data sets, coordination of international research efforts, global change and terrestrial ecosystem, etc</w:t>
      </w:r>
    </w:p>
    <w:p>
      <w:pPr>
        <w:pStyle w:val="BodyText"/>
        <w:spacing w:before="1"/>
        <w:ind w:left="721" w:right="4314"/>
      </w:pPr>
      <w:hyperlink r:id="rId441">
        <w:r>
          <w:rPr/>
          <w:t>http://www.igbp.kva.se/cgi- bin/php/frameset.php</w:t>
        </w:r>
      </w:hyperlink>
      <w:r>
        <w:rPr/>
        <w:t> </w:t>
      </w:r>
      <w:hyperlink r:id="rId442">
        <w:r>
          <w:rPr/>
          <w:t>http://www.gcte.org/</w:t>
        </w:r>
      </w:hyperlink>
    </w:p>
    <w:p>
      <w:pPr>
        <w:pStyle w:val="BodyText"/>
        <w:spacing w:line="229" w:lineRule="exact" w:before="121"/>
        <w:ind w:left="721"/>
      </w:pPr>
      <w:r>
        <w:rPr/>
        <w:t>Long Term Ecological Research (forests, grasslands)</w:t>
      </w:r>
    </w:p>
    <w:p>
      <w:pPr>
        <w:pStyle w:val="BodyText"/>
        <w:ind w:left="721" w:right="4287"/>
      </w:pPr>
      <w:r>
        <w:rPr/>
        <w:t>Network of ecosystem ecological studies present in different countries</w:t>
      </w:r>
      <w:hyperlink r:id="rId443">
        <w:r>
          <w:rPr/>
          <w:t> http://www.lternet.edu/</w:t>
        </w:r>
      </w:hyperlink>
    </w:p>
    <w:p>
      <w:pPr>
        <w:pStyle w:val="BodyText"/>
        <w:spacing w:before="119"/>
        <w:ind w:left="721"/>
      </w:pPr>
      <w:r>
        <w:rPr/>
        <w:t>FAO</w:t>
      </w:r>
    </w:p>
    <w:p>
      <w:pPr>
        <w:pStyle w:val="BodyText"/>
        <w:spacing w:before="1"/>
        <w:ind w:left="721" w:right="2493"/>
      </w:pPr>
      <w:r>
        <w:rPr/>
        <w:t>Database of terrestrial ecosystem research sites (TEM), Global Terrestrial Observing System (GTOS ), Global Climate Observing System (GCOS), Forest Resource Assessments (FRA)</w:t>
      </w:r>
      <w:hyperlink r:id="rId444">
        <w:r>
          <w:rPr/>
          <w:t> http://www.fao.org/</w:t>
        </w:r>
      </w:hyperlink>
    </w:p>
    <w:p>
      <w:pPr>
        <w:pStyle w:val="BodyText"/>
        <w:spacing w:before="119"/>
        <w:ind w:left="721"/>
      </w:pPr>
      <w:r>
        <w:rPr/>
        <w:t>Monitoring networks:</w:t>
      </w:r>
    </w:p>
    <w:p>
      <w:pPr>
        <w:pStyle w:val="BodyText"/>
        <w:ind w:left="721"/>
      </w:pPr>
      <w:r>
        <w:rPr/>
        <w:t>ICP Forests</w:t>
      </w:r>
    </w:p>
    <w:p>
      <w:pPr>
        <w:pStyle w:val="BodyText"/>
        <w:spacing w:before="1"/>
        <w:ind w:left="721" w:right="2081"/>
      </w:pPr>
      <w:r>
        <w:rPr/>
        <w:t>The common European Union International Cooperative Programme on Forest (EU/ICP Forests) works on two levels with standardised protocols and methods in 35 countries. The systematic grid net has approximately 6000 Level I points where limited number of surveys are carried out, whereas the intensive monitoring grid net has 860 Level II plots in the mayor forest types of the European continent where large number of surveys are carried out.</w:t>
      </w:r>
    </w:p>
    <w:p>
      <w:pPr>
        <w:pStyle w:val="BodyText"/>
        <w:spacing w:line="230" w:lineRule="exact"/>
        <w:ind w:left="721"/>
      </w:pPr>
      <w:r>
        <w:rPr/>
        <w:t>http://www.icp- forests.org/</w:t>
      </w:r>
    </w:p>
    <w:p>
      <w:pPr>
        <w:pStyle w:val="BodyText"/>
        <w:spacing w:before="120"/>
        <w:ind w:left="721"/>
      </w:pPr>
      <w:r>
        <w:rPr/>
        <w:t>ICP/IM and EMEP</w:t>
      </w:r>
    </w:p>
    <w:p>
      <w:pPr>
        <w:pStyle w:val="BodyText"/>
        <w:ind w:left="721" w:right="1597"/>
      </w:pPr>
      <w:r>
        <w:rPr/>
        <w:t>The multi- disciplinary ICP Integrated Monitoring programme (ICP/IM) and the Co- operative Programme for Monitoring and Evaluation of the Long- Range Transmissions of Air Pollutants in Europe (EMEP)</w:t>
      </w:r>
    </w:p>
    <w:p>
      <w:pPr>
        <w:spacing w:after="0"/>
        <w:sectPr>
          <w:pgSz w:w="11900" w:h="16840"/>
          <w:pgMar w:header="230" w:footer="408" w:top="560" w:bottom="600" w:left="1240" w:right="0"/>
        </w:sectPr>
      </w:pPr>
    </w:p>
    <w:p>
      <w:pPr>
        <w:pStyle w:val="BodyText"/>
      </w:pPr>
    </w:p>
    <w:p>
      <w:pPr>
        <w:pStyle w:val="BodyText"/>
        <w:spacing w:before="5"/>
        <w:rPr>
          <w:sz w:val="17"/>
        </w:rPr>
      </w:pPr>
    </w:p>
    <w:p>
      <w:pPr>
        <w:pStyle w:val="BodyText"/>
        <w:ind w:left="565"/>
      </w:pPr>
      <w:r>
        <w:rPr/>
        <w:pict>
          <v:group style="width:413.9pt;height:286.7pt;mso-position-horizontal-relative:char;mso-position-vertical-relative:line" coordorigin="0,0" coordsize="8278,5734">
            <v:line style="position:absolute" from="14,0" to="14,209" stroked="true" strokeweight="1.44pt" strokecolor="#000000">
              <v:stroke dashstyle="solid"/>
            </v:line>
            <v:line style="position:absolute" from="14,209" to="14,535" stroked="true" strokeweight="1.44pt" strokecolor="#000000">
              <v:stroke dashstyle="solid"/>
            </v:line>
            <v:line style="position:absolute" from="14,535" to="14,766" stroked="true" strokeweight="1.44pt" strokecolor="#000000">
              <v:stroke dashstyle="solid"/>
            </v:line>
            <v:line style="position:absolute" from="14,766" to="14,996" stroked="true" strokeweight="1.44pt" strokecolor="#000000">
              <v:stroke dashstyle="solid"/>
            </v:line>
            <v:line style="position:absolute" from="14,996" to="14,1224" stroked="true" strokeweight="1.44pt" strokecolor="#000000">
              <v:stroke dashstyle="solid"/>
            </v:line>
            <v:line style="position:absolute" from="14,1224" to="14,1454" stroked="true" strokeweight="1.44pt" strokecolor="#000000">
              <v:stroke dashstyle="solid"/>
            </v:line>
            <v:line style="position:absolute" from="14,1454" to="14,1685" stroked="true" strokeweight="1.44pt" strokecolor="#000000">
              <v:stroke dashstyle="solid"/>
            </v:line>
            <v:line style="position:absolute" from="14,1685" to="14,1915" stroked="true" strokeweight="1.44pt" strokecolor="#000000">
              <v:stroke dashstyle="solid"/>
            </v:line>
            <v:line style="position:absolute" from="14,1915" to="14,2266" stroked="true" strokeweight="1.44pt" strokecolor="#000000">
              <v:stroke dashstyle="solid"/>
            </v:line>
            <v:line style="position:absolute" from="14,2266" to="14,2496" stroked="true" strokeweight="1.44pt" strokecolor="#000000">
              <v:stroke dashstyle="solid"/>
            </v:line>
            <v:line style="position:absolute" from="14,2496" to="14,2724" stroked="true" strokeweight="1.44pt" strokecolor="#000000">
              <v:stroke dashstyle="solid"/>
            </v:line>
            <v:line style="position:absolute" from="14,2724" to="14,2954" stroked="true" strokeweight="1.44pt" strokecolor="#000000">
              <v:stroke dashstyle="solid"/>
            </v:line>
            <v:line style="position:absolute" from="14,2954" to="14,3185" stroked="true" strokeweight="1.44pt" strokecolor="#000000">
              <v:stroke dashstyle="solid"/>
            </v:line>
            <v:line style="position:absolute" from="14,3185" to="14,3415" stroked="true" strokeweight="1.44pt" strokecolor="#000000">
              <v:stroke dashstyle="solid"/>
            </v:line>
            <v:line style="position:absolute" from="14,3415" to="14,3646" stroked="true" strokeweight="1.44pt" strokecolor="#000000">
              <v:stroke dashstyle="solid"/>
            </v:line>
            <v:line style="position:absolute" from="14,3646" to="14,3994" stroked="true" strokeweight="1.44pt" strokecolor="#000000">
              <v:stroke dashstyle="solid"/>
            </v:line>
            <v:line style="position:absolute" from="14,3994" to="14,4224" stroked="true" strokeweight="1.44pt" strokecolor="#000000">
              <v:stroke dashstyle="solid"/>
            </v:line>
            <v:line style="position:absolute" from="14,4224" to="14,4454" stroked="true" strokeweight="1.44pt" strokecolor="#000000">
              <v:stroke dashstyle="solid"/>
            </v:line>
            <v:line style="position:absolute" from="14,4454" to="14,4685" stroked="true" strokeweight="1.44pt" strokecolor="#000000">
              <v:stroke dashstyle="solid"/>
            </v:line>
            <v:line style="position:absolute" from="14,4685" to="14,4915" stroked="true" strokeweight="1.44pt" strokecolor="#000000">
              <v:stroke dashstyle="solid"/>
            </v:line>
            <v:line style="position:absolute" from="14,4915" to="14,5146" stroked="true" strokeweight="1.44pt" strokecolor="#000000">
              <v:stroke dashstyle="solid"/>
            </v:line>
            <v:line style="position:absolute" from="14,5146" to="14,5374" stroked="true" strokeweight="1.44pt" strokecolor="#000000">
              <v:stroke dashstyle="solid"/>
            </v:line>
            <v:rect style="position:absolute;left:0;top:5704;width:29;height:29" filled="true" fillcolor="#000000" stroked="false">
              <v:fill type="solid"/>
            </v:rect>
            <v:rect style="position:absolute;left:0;top:5704;width:29;height:29" filled="true" fillcolor="#000000" stroked="false">
              <v:fill type="solid"/>
            </v:rect>
            <v:line style="position:absolute" from="29,5719" to="8249,5719" stroked="true" strokeweight="1.44pt" strokecolor="#000000">
              <v:stroke dashstyle="solid"/>
            </v:line>
            <v:rect style="position:absolute;left:8248;top:5704;width:29;height:29" filled="true" fillcolor="#000000" stroked="false">
              <v:fill type="solid"/>
            </v:rect>
            <v:rect style="position:absolute;left:8248;top:5704;width:29;height:29" filled="true" fillcolor="#000000" stroked="false">
              <v:fill type="solid"/>
            </v:rect>
            <v:line style="position:absolute" from="14,5374" to="14,5705" stroked="true" strokeweight="1.44pt" strokecolor="#000000">
              <v:stroke dashstyle="solid"/>
            </v:line>
            <v:line style="position:absolute" from="8263,0" to="8263,209" stroked="true" strokeweight="1.44pt" strokecolor="#000000">
              <v:stroke dashstyle="solid"/>
            </v:line>
            <v:line style="position:absolute" from="8263,209" to="8263,535" stroked="true" strokeweight="1.44pt" strokecolor="#000000">
              <v:stroke dashstyle="solid"/>
            </v:line>
            <v:line style="position:absolute" from="8263,535" to="8263,766" stroked="true" strokeweight="1.44pt" strokecolor="#000000">
              <v:stroke dashstyle="solid"/>
            </v:line>
            <v:line style="position:absolute" from="8263,766" to="8263,996" stroked="true" strokeweight="1.44pt" strokecolor="#000000">
              <v:stroke dashstyle="solid"/>
            </v:line>
            <v:line style="position:absolute" from="8263,996" to="8263,1224" stroked="true" strokeweight="1.44pt" strokecolor="#000000">
              <v:stroke dashstyle="solid"/>
            </v:line>
            <v:line style="position:absolute" from="8263,1224" to="8263,1454" stroked="true" strokeweight="1.44pt" strokecolor="#000000">
              <v:stroke dashstyle="solid"/>
            </v:line>
            <v:line style="position:absolute" from="8263,1454" to="8263,1685" stroked="true" strokeweight="1.44pt" strokecolor="#000000">
              <v:stroke dashstyle="solid"/>
            </v:line>
            <v:line style="position:absolute" from="8263,1685" to="8263,1915" stroked="true" strokeweight="1.44pt" strokecolor="#000000">
              <v:stroke dashstyle="solid"/>
            </v:line>
            <v:line style="position:absolute" from="8263,1915" to="8263,2266" stroked="true" strokeweight="1.44pt" strokecolor="#000000">
              <v:stroke dashstyle="solid"/>
            </v:line>
            <v:line style="position:absolute" from="8263,2266" to="8263,2496" stroked="true" strokeweight="1.44pt" strokecolor="#000000">
              <v:stroke dashstyle="solid"/>
            </v:line>
            <v:line style="position:absolute" from="8263,2496" to="8263,2724" stroked="true" strokeweight="1.44pt" strokecolor="#000000">
              <v:stroke dashstyle="solid"/>
            </v:line>
            <v:line style="position:absolute" from="8263,2724" to="8263,2954" stroked="true" strokeweight="1.44pt" strokecolor="#000000">
              <v:stroke dashstyle="solid"/>
            </v:line>
            <v:line style="position:absolute" from="8263,2954" to="8263,3185" stroked="true" strokeweight="1.44pt" strokecolor="#000000">
              <v:stroke dashstyle="solid"/>
            </v:line>
            <v:line style="position:absolute" from="8263,3185" to="8263,3415" stroked="true" strokeweight="1.44pt" strokecolor="#000000">
              <v:stroke dashstyle="solid"/>
            </v:line>
            <v:line style="position:absolute" from="8263,3415" to="8263,3646" stroked="true" strokeweight="1.44pt" strokecolor="#000000">
              <v:stroke dashstyle="solid"/>
            </v:line>
            <v:line style="position:absolute" from="8263,3646" to="8263,3994" stroked="true" strokeweight="1.44pt" strokecolor="#000000">
              <v:stroke dashstyle="solid"/>
            </v:line>
            <v:line style="position:absolute" from="8263,3994" to="8263,4224" stroked="true" strokeweight="1.44pt" strokecolor="#000000">
              <v:stroke dashstyle="solid"/>
            </v:line>
            <v:line style="position:absolute" from="8263,4224" to="8263,4454" stroked="true" strokeweight="1.44pt" strokecolor="#000000">
              <v:stroke dashstyle="solid"/>
            </v:line>
            <v:line style="position:absolute" from="8263,4454" to="8263,4685" stroked="true" strokeweight="1.44pt" strokecolor="#000000">
              <v:stroke dashstyle="solid"/>
            </v:line>
            <v:line style="position:absolute" from="8263,4685" to="8263,4915" stroked="true" strokeweight="1.44pt" strokecolor="#000000">
              <v:stroke dashstyle="solid"/>
            </v:line>
            <v:line style="position:absolute" from="8263,4915" to="8263,5146" stroked="true" strokeweight="1.44pt" strokecolor="#000000">
              <v:stroke dashstyle="solid"/>
            </v:line>
            <v:line style="position:absolute" from="8263,5146" to="8263,5374" stroked="true" strokeweight="1.44pt" strokecolor="#000000">
              <v:stroke dashstyle="solid"/>
            </v:line>
            <v:line style="position:absolute" from="8263,5374" to="8263,5705" stroked="true" strokeweight="1.44pt" strokecolor="#000000">
              <v:stroke dashstyle="solid"/>
            </v:line>
            <v:shape style="position:absolute;left:0;top:0;width:8278;height:5734" type="#_x0000_t202" filled="false" stroked="false">
              <v:textbox inset="0,0,0,0">
                <w:txbxContent>
                  <w:p>
                    <w:pPr>
                      <w:spacing w:before="0"/>
                      <w:ind w:left="3231" w:right="3231" w:firstLine="0"/>
                      <w:jc w:val="center"/>
                      <w:rPr>
                        <w:b/>
                        <w:sz w:val="18"/>
                      </w:rPr>
                    </w:pPr>
                    <w:r>
                      <w:rPr>
                        <w:b/>
                        <w:sz w:val="18"/>
                      </w:rPr>
                      <w:t>B</w:t>
                    </w:r>
                    <w:r>
                      <w:rPr>
                        <w:b/>
                        <w:sz w:val="14"/>
                      </w:rPr>
                      <w:t>OX </w:t>
                    </w:r>
                    <w:r>
                      <w:rPr>
                        <w:b/>
                        <w:sz w:val="18"/>
                      </w:rPr>
                      <w:t>5.7.6 (C</w:t>
                    </w:r>
                    <w:r>
                      <w:rPr>
                        <w:b/>
                        <w:sz w:val="14"/>
                      </w:rPr>
                      <w:t>ONTINUED</w:t>
                    </w:r>
                    <w:r>
                      <w:rPr>
                        <w:b/>
                        <w:sz w:val="18"/>
                      </w:rPr>
                      <w:t>)</w:t>
                    </w:r>
                  </w:p>
                  <w:p>
                    <w:pPr>
                      <w:spacing w:before="1"/>
                      <w:ind w:left="2092" w:right="0" w:firstLine="0"/>
                      <w:jc w:val="left"/>
                      <w:rPr>
                        <w:b/>
                        <w:sz w:val="18"/>
                      </w:rPr>
                    </w:pPr>
                    <w:r>
                      <w:rPr>
                        <w:b/>
                        <w:sz w:val="18"/>
                      </w:rPr>
                      <w:t>P</w:t>
                    </w:r>
                    <w:r>
                      <w:rPr>
                        <w:b/>
                        <w:sz w:val="14"/>
                      </w:rPr>
                      <w:t>ROGRAMMES AND NETWORKS RELEVANT TO </w:t>
                    </w:r>
                    <w:r>
                      <w:rPr>
                        <w:b/>
                        <w:sz w:val="18"/>
                      </w:rPr>
                      <w:t>LULUCF</w:t>
                    </w:r>
                  </w:p>
                  <w:p>
                    <w:pPr>
                      <w:spacing w:before="113"/>
                      <w:ind w:left="155" w:right="162" w:firstLine="0"/>
                      <w:jc w:val="left"/>
                      <w:rPr>
                        <w:sz w:val="20"/>
                      </w:rPr>
                    </w:pPr>
                    <w:r>
                      <w:rPr>
                        <w:sz w:val="20"/>
                      </w:rPr>
                      <w:t>A part of the monitoring strategy and evaluation of the effects under the Long- range Transboundary Air Pollution Convention of the United Nation's Economic Commission for Europe (UNECE). The EMEP programme relies on three main elements: (1) collection of emissions data,</w:t>
                    </w:r>
                  </w:p>
                  <w:p>
                    <w:pPr>
                      <w:spacing w:before="0"/>
                      <w:ind w:left="155" w:right="366" w:firstLine="0"/>
                      <w:jc w:val="left"/>
                      <w:rPr>
                        <w:sz w:val="20"/>
                      </w:rPr>
                    </w:pPr>
                    <w:r>
                      <w:rPr>
                        <w:sz w:val="20"/>
                      </w:rPr>
                      <w:t>(2) measurements of air and precipitation quality and (3) modelling of atmospheric transport and deposition of air pollution.</w:t>
                    </w:r>
                  </w:p>
                  <w:p>
                    <w:pPr>
                      <w:spacing w:before="0"/>
                      <w:ind w:left="155" w:right="2289" w:firstLine="0"/>
                      <w:jc w:val="left"/>
                      <w:rPr>
                        <w:sz w:val="20"/>
                      </w:rPr>
                    </w:pPr>
                    <w:hyperlink r:id="rId445">
                      <w:r>
                        <w:rPr>
                          <w:w w:val="95"/>
                          <w:sz w:val="20"/>
                        </w:rPr>
                        <w:t>http://www.vyh.fi/eng/intcoop/projects/icp_im/im.htm</w:t>
                      </w:r>
                    </w:hyperlink>
                    <w:r>
                      <w:rPr>
                        <w:w w:val="95"/>
                        <w:sz w:val="20"/>
                      </w:rPr>
                      <w:t> </w:t>
                    </w:r>
                    <w:hyperlink r:id="rId446">
                      <w:r>
                        <w:rPr>
                          <w:sz w:val="20"/>
                        </w:rPr>
                        <w:t>http://www.emep.int/</w:t>
                      </w:r>
                    </w:hyperlink>
                  </w:p>
                  <w:p>
                    <w:pPr>
                      <w:spacing w:before="121"/>
                      <w:ind w:left="155" w:right="0" w:firstLine="0"/>
                      <w:jc w:val="left"/>
                      <w:rPr>
                        <w:sz w:val="20"/>
                      </w:rPr>
                    </w:pPr>
                    <w:r>
                      <w:rPr>
                        <w:sz w:val="20"/>
                      </w:rPr>
                      <w:t>Global Carbon Project</w:t>
                    </w:r>
                  </w:p>
                  <w:p>
                    <w:pPr>
                      <w:spacing w:before="0"/>
                      <w:ind w:left="155" w:right="166" w:firstLine="0"/>
                      <w:jc w:val="left"/>
                      <w:rPr>
                        <w:sz w:val="20"/>
                      </w:rPr>
                    </w:pPr>
                    <w:r>
                      <w:rPr>
                        <w:sz w:val="20"/>
                      </w:rPr>
                      <w:t>The Global Carbon Project is a project of the Earth System Science Partnership of the International Geosphere Biosphere Programme (IGBP) World Climate Research Programme (WCRP) and the International Human Dimensions Programme (IHDP). The scientific goal of the Global Carbon Project is to develop a complete picture of the global carbon cycle, including both its biophysical and human dimensions together with the interactions and feedbacks between them.</w:t>
                    </w:r>
                    <w:hyperlink r:id="rId447">
                      <w:r>
                        <w:rPr>
                          <w:sz w:val="20"/>
                        </w:rPr>
                        <w:t> http://www.globalcarbonproject.org/</w:t>
                      </w:r>
                    </w:hyperlink>
                  </w:p>
                  <w:p>
                    <w:pPr>
                      <w:spacing w:before="118"/>
                      <w:ind w:left="155" w:right="0" w:firstLine="0"/>
                      <w:jc w:val="left"/>
                      <w:rPr>
                        <w:sz w:val="20"/>
                      </w:rPr>
                    </w:pPr>
                    <w:r>
                      <w:rPr>
                        <w:sz w:val="20"/>
                      </w:rPr>
                      <w:t>The Oak Ridge National Laboratory Distributed Active Archive Center (ORNL DAAC)</w:t>
                    </w:r>
                  </w:p>
                  <w:p>
                    <w:pPr>
                      <w:spacing w:before="0"/>
                      <w:ind w:left="155" w:right="189" w:firstLine="0"/>
                      <w:jc w:val="left"/>
                      <w:rPr>
                        <w:sz w:val="20"/>
                      </w:rPr>
                    </w:pPr>
                    <w:r>
                      <w:rPr>
                        <w:sz w:val="20"/>
                      </w:rPr>
                      <w:t>A source for biogeochemical and ecological data collected on the ground, from aircraft, by satellite or generated by computer models. The scale of data ranges from site- specific to global, and duration range from days to years. ORNL Environmental Sciences Division (ESD) operates the ORNL- DAAC for Biogeochemical Dynamics as part of the National Aeronautics and Space Administration's (NASA) Earth Science Enterprise (ESE) programme.</w:t>
                    </w:r>
                  </w:p>
                  <w:p>
                    <w:pPr>
                      <w:spacing w:before="2"/>
                      <w:ind w:left="155" w:right="0" w:firstLine="0"/>
                      <w:jc w:val="left"/>
                      <w:rPr>
                        <w:sz w:val="20"/>
                      </w:rPr>
                    </w:pPr>
                    <w:hyperlink r:id="rId448">
                      <w:r>
                        <w:rPr>
                          <w:sz w:val="20"/>
                        </w:rPr>
                        <w:t>http://www- </w:t>
                      </w:r>
                    </w:hyperlink>
                    <w:r>
                      <w:rPr>
                        <w:sz w:val="20"/>
                      </w:rPr>
                      <w:t>eosdis.ornl.gov/</w:t>
                    </w:r>
                  </w:p>
                </w:txbxContent>
              </v:textbox>
              <w10:wrap type="none"/>
            </v:shape>
          </v:group>
        </w:pict>
      </w:r>
      <w:r>
        <w:rPr/>
      </w:r>
    </w:p>
    <w:p>
      <w:pPr>
        <w:pStyle w:val="BodyText"/>
      </w:pPr>
    </w:p>
    <w:p>
      <w:pPr>
        <w:pStyle w:val="BodyText"/>
      </w:pPr>
    </w:p>
    <w:p>
      <w:pPr>
        <w:pStyle w:val="BodyText"/>
        <w:spacing w:before="5"/>
        <w:rPr>
          <w:sz w:val="21"/>
        </w:rPr>
      </w:pPr>
    </w:p>
    <w:p>
      <w:pPr>
        <w:pStyle w:val="Heading6"/>
        <w:ind w:left="179"/>
      </w:pPr>
      <w:r>
        <w:rPr/>
        <w:t>REMOTE SENSING</w:t>
      </w:r>
    </w:p>
    <w:p>
      <w:pPr>
        <w:pStyle w:val="BodyText"/>
        <w:spacing w:before="9"/>
        <w:rPr>
          <w:b/>
        </w:rPr>
      </w:pPr>
    </w:p>
    <w:p>
      <w:pPr>
        <w:spacing w:before="0"/>
        <w:ind w:left="179" w:right="0" w:firstLine="0"/>
        <w:jc w:val="left"/>
        <w:rPr>
          <w:b/>
          <w:sz w:val="22"/>
        </w:rPr>
      </w:pPr>
      <w:r>
        <w:rPr>
          <w:b/>
          <w:sz w:val="22"/>
        </w:rPr>
        <w:t>Overview of Available Remote Sensing Sensors</w:t>
      </w:r>
    </w:p>
    <w:p>
      <w:pPr>
        <w:pStyle w:val="BodyText"/>
        <w:spacing w:before="54"/>
        <w:ind w:left="179" w:right="1404"/>
        <w:jc w:val="both"/>
      </w:pPr>
      <w:r>
        <w:rPr/>
        <w:t>Optical satellite data going from coarse to high resolution, are available worldwide from NOAA AVHRR, SPOT Vegetation, ERS/ATSR, MODIS, Envisat MERIS, Landsat TM/ETM and several other sensors. Multi- frequency/polarisation radar, that was only recently made available from NASA AIRSAR missions, is also very useful for vegetation classification. Those sensors, being sensitive to vegetation structural characteristics, provide an excellent complementary data source to optical remote sensing. Such radar data will begin to become more available with Envisat ASAR and the launch of RadarSat 2. The accuracy of remotely sensed data varies with the geometric and radiometric characteristics of the sensors. Specifications (sensor type, spatial resolution, availability, etc.) of various satellite sensors are listed in Table 5.7.2, further information can be found at</w:t>
      </w:r>
      <w:hyperlink r:id="rId449">
        <w:r>
          <w:rPr/>
          <w:t> http://idisk.mac.com/alexandreleroux/Public/agisrs/arsist.html.</w:t>
        </w:r>
      </w:hyperlink>
      <w:r>
        <w:rPr/>
        <w:t> The imaging data used should be chosen according to the geographical scale of the target area and the desired degree of resolution. The use of different sensors can be a solution to circumvent the limitation of remote sensing in areas of persistent cloud cover (e.g., optical and radar</w:t>
      </w:r>
      <w:r>
        <w:rPr>
          <w:spacing w:val="1"/>
        </w:rPr>
        <w:t> </w:t>
      </w:r>
      <w:r>
        <w:rPr/>
        <w:t>data).</w:t>
      </w:r>
    </w:p>
    <w:p>
      <w:pPr>
        <w:pStyle w:val="BodyText"/>
        <w:spacing w:before="1"/>
        <w:rPr>
          <w:sz w:val="21"/>
        </w:rPr>
      </w:pPr>
    </w:p>
    <w:p>
      <w:pPr>
        <w:pStyle w:val="Heading6"/>
        <w:ind w:left="179"/>
      </w:pPr>
      <w:r>
        <w:rPr>
          <w:spacing w:val="12"/>
        </w:rPr>
        <w:t>Use </w:t>
      </w:r>
      <w:r>
        <w:rPr>
          <w:spacing w:val="9"/>
        </w:rPr>
        <w:t>of </w:t>
      </w:r>
      <w:r>
        <w:rPr>
          <w:spacing w:val="15"/>
        </w:rPr>
        <w:t>Remote </w:t>
      </w:r>
      <w:r>
        <w:rPr>
          <w:spacing w:val="16"/>
        </w:rPr>
        <w:t>Sensing </w:t>
      </w:r>
      <w:r>
        <w:rPr>
          <w:spacing w:val="9"/>
        </w:rPr>
        <w:t>to </w:t>
      </w:r>
      <w:r>
        <w:rPr>
          <w:spacing w:val="15"/>
        </w:rPr>
        <w:t>Derive </w:t>
      </w:r>
      <w:r>
        <w:rPr>
          <w:spacing w:val="17"/>
        </w:rPr>
        <w:t>Vegetation</w:t>
      </w:r>
      <w:r>
        <w:rPr>
          <w:spacing w:val="73"/>
        </w:rPr>
        <w:t> </w:t>
      </w:r>
      <w:r>
        <w:rPr>
          <w:spacing w:val="19"/>
        </w:rPr>
        <w:t>Parameters</w:t>
      </w:r>
    </w:p>
    <w:p>
      <w:pPr>
        <w:pStyle w:val="BodyText"/>
        <w:spacing w:before="56"/>
        <w:ind w:left="179" w:right="1407"/>
        <w:jc w:val="both"/>
      </w:pPr>
      <w:r>
        <w:rPr/>
        <w:t>Net Primary Production (NPP) is known to be positively correlated with photosynthetically active radiation (PAR), which also can be estimated from NDVI (Normalised Difference Vegetation Index) and solar radiation.</w:t>
      </w:r>
    </w:p>
    <w:p>
      <w:pPr>
        <w:pStyle w:val="BodyText"/>
        <w:spacing w:before="119"/>
        <w:ind w:left="179" w:right="1356"/>
        <w:jc w:val="both"/>
      </w:pPr>
      <w:r>
        <w:rPr/>
        <w:t>The functional relationship between optical remote sensing data (including indices like the NDVI) and carbon stocks is that canopy reflectance is related to leaf area index (LAI), and LAI in turn has a strong functional relationship to woody biomass and NPP (Gholz, 1982; Waring, 1983). An alternative interpretation of the relationship is that reflectance is related to the fraction of absorbed photosynthetically active radiation (fAPAR), which over longer time periods is linearly correlated to NPP (e.g., Monteith, 1977; Landsberg and Waring, 1997). The NDVI has been widely used to estimate both LAI and fAPAR from remotely sensed data.</w:t>
      </w:r>
    </w:p>
    <w:p>
      <w:pPr>
        <w:pStyle w:val="BodyText"/>
        <w:spacing w:before="120"/>
        <w:ind w:left="179" w:right="1403"/>
        <w:jc w:val="both"/>
      </w:pPr>
      <w:r>
        <w:rPr/>
        <w:t>NDVI and solar radiation determined by remote sensing, coupled with meteorological measurements and geographical information system (GIS) data, can be used to make estimates also at larger scales (regional to global). NDVI has also been used to derive growing season duration, a parameter that has been shown to be closely linked to the Net Ecosystem Exchange (NEE, the net carbon sink) measured by ecosystem fluxes, particularly in deciduous forests (Baldocchi </w:t>
      </w:r>
      <w:r>
        <w:rPr>
          <w:i/>
        </w:rPr>
        <w:t>et al.</w:t>
      </w:r>
      <w:r>
        <w:rPr/>
        <w:t>, 2001). However, when this approach is used, care must be taken in considering that fine- scale differences are difficult to handle and that not all vegetation successional phases are properly covered by NDVI (recovery processes, etc.). Furthermore, most of the ecosystem parameters</w:t>
      </w:r>
    </w:p>
    <w:p>
      <w:pPr>
        <w:spacing w:after="0"/>
        <w:jc w:val="both"/>
        <w:sectPr>
          <w:pgSz w:w="11900" w:h="16840"/>
          <w:pgMar w:header="230" w:footer="408" w:top="560" w:bottom="600" w:left="1240" w:right="0"/>
        </w:sectPr>
      </w:pPr>
    </w:p>
    <w:p>
      <w:pPr>
        <w:pStyle w:val="BodyText"/>
      </w:pPr>
    </w:p>
    <w:p>
      <w:pPr>
        <w:pStyle w:val="BodyText"/>
        <w:spacing w:before="2"/>
        <w:rPr>
          <w:sz w:val="18"/>
        </w:rPr>
      </w:pPr>
    </w:p>
    <w:p>
      <w:pPr>
        <w:pStyle w:val="BodyText"/>
        <w:ind w:left="179" w:right="1403"/>
        <w:jc w:val="both"/>
      </w:pPr>
      <w:r>
        <w:rPr/>
        <w:t>derived from correlations with NDVI are likely to be species and/or biome specific. Moreover, the NDVI is influenced by factors other than canopy LAI or fAPAR, and the relationships have a tendency to saturate at LAI values above about 3 m</w:t>
      </w:r>
      <w:r>
        <w:rPr>
          <w:vertAlign w:val="superscript"/>
        </w:rPr>
        <w:t>2</w:t>
      </w:r>
      <w:r>
        <w:rPr>
          <w:vertAlign w:val="baseline"/>
        </w:rPr>
        <w:t> m</w:t>
      </w:r>
      <w:r>
        <w:rPr>
          <w:vertAlign w:val="superscript"/>
        </w:rPr>
        <w:t>-2</w:t>
      </w:r>
      <w:r>
        <w:rPr>
          <w:vertAlign w:val="baseline"/>
        </w:rPr>
        <w:t> (Moreau and Li, 1996; Carlson and Ripley, 1997; Gemmell and McDonald, 2000), although, for conifer canopies, the saturation did not occur for LAI up to 10 m</w:t>
      </w:r>
      <w:r>
        <w:rPr>
          <w:vertAlign w:val="superscript"/>
        </w:rPr>
        <w:t>2</w:t>
      </w:r>
      <w:r>
        <w:rPr>
          <w:vertAlign w:val="baseline"/>
        </w:rPr>
        <w:t> m</w:t>
      </w:r>
      <w:r>
        <w:rPr>
          <w:vertAlign w:val="superscript"/>
        </w:rPr>
        <w:t>-2</w:t>
      </w:r>
      <w:r>
        <w:rPr>
          <w:vertAlign w:val="baseline"/>
        </w:rPr>
        <w:t> (Chen </w:t>
      </w:r>
      <w:r>
        <w:rPr>
          <w:i/>
          <w:vertAlign w:val="baseline"/>
        </w:rPr>
        <w:t>et al</w:t>
      </w:r>
      <w:r>
        <w:rPr>
          <w:vertAlign w:val="baseline"/>
        </w:rPr>
        <w:t>., 2002). Because of the saturation, NDVI derived from LANDSAT images was found to be poorly correlated with stand structure variables or total aboveground biomass within forest stands in the tropics. In general, NDVI-based approaches to estimating LAI or fAPAR will be a function of soil reflectance, fractional cover, biome type, and illumination/viewing conditions. These factors result in a wide variation in the equations used for estimating LAI (or fAPAR) from NDVI (Moreau and Li 1996), and users should consider this if selecting or deriving equations. If spectral indices are to be used as the basis for constructing a relationship with LAI or fAPAR, consideration should be given to using an index that is less affected by variations in parameters such as soil reflectance (Kaufman and Tanré, 1992; Huete </w:t>
      </w:r>
      <w:r>
        <w:rPr>
          <w:i/>
          <w:vertAlign w:val="baseline"/>
        </w:rPr>
        <w:t>et al</w:t>
      </w:r>
      <w:r>
        <w:rPr>
          <w:vertAlign w:val="baseline"/>
        </w:rPr>
        <w:t>., 1997). The Enhanced Vegetation Index (EVI) is perhaps the most promising of these, and is both simple to implement for most sensors and linearly related to fAPAR (Huete </w:t>
      </w:r>
      <w:r>
        <w:rPr>
          <w:i/>
          <w:vertAlign w:val="baseline"/>
        </w:rPr>
        <w:t>et al</w:t>
      </w:r>
      <w:r>
        <w:rPr>
          <w:vertAlign w:val="baseline"/>
        </w:rPr>
        <w:t>., 1997; Gobron </w:t>
      </w:r>
      <w:r>
        <w:rPr>
          <w:i/>
          <w:vertAlign w:val="baseline"/>
        </w:rPr>
        <w:t>et al</w:t>
      </w:r>
      <w:r>
        <w:rPr>
          <w:vertAlign w:val="baseline"/>
        </w:rPr>
        <w:t>., 2000). For datasets for which 1-km pixels are sufficient, users may be able to use the MODIS or MERIS fAPAR data and MODIS LAI data. In addition, software is freely available to generate high- quality fAPAR values (Gobron </w:t>
      </w:r>
      <w:r>
        <w:rPr>
          <w:i/>
          <w:vertAlign w:val="baseline"/>
        </w:rPr>
        <w:t>et al</w:t>
      </w:r>
      <w:r>
        <w:rPr>
          <w:vertAlign w:val="baseline"/>
        </w:rPr>
        <w:t>., 2000) from data acquired by the SeaWIFS, MERIS, VEGETATION, or GLI sensors.</w:t>
      </w:r>
    </w:p>
    <w:p>
      <w:pPr>
        <w:pStyle w:val="BodyText"/>
        <w:spacing w:before="118"/>
        <w:ind w:left="179" w:right="1403"/>
        <w:jc w:val="both"/>
      </w:pPr>
      <w:r>
        <w:rPr/>
        <w:t>Above ground biomass can be estimated efficiently also by LIDAR airborne sensing that measure the canopy surface and ground elevation height at the same time, by emitting laser pulses with wavelengths that reflect over the canopy surface but pass through trees and reflect off the ground as well. However, because of the small diameter beams of laser, mapping large areas requires extensive flying missions (Dubayah and Drake, 2000). The Laser Vegetation Imaging Sensor (LVIS) by airborne or satellite instruments such as Vegetation Canopy LIDAR with large footprints will possibly solve such problems (Blair </w:t>
      </w:r>
      <w:r>
        <w:rPr>
          <w:i/>
        </w:rPr>
        <w:t>et al</w:t>
      </w:r>
      <w:r>
        <w:rPr/>
        <w:t>., 1999; Means </w:t>
      </w:r>
      <w:r>
        <w:rPr>
          <w:i/>
        </w:rPr>
        <w:t>et al</w:t>
      </w:r>
      <w:r>
        <w:rPr/>
        <w:t>, 1999; Dubayah and Drake, 2000). One can also estimate vegetation structure from optical satellite data using the Bi- Directional Reflectance property based on the Sun-Target- Sensor</w:t>
      </w:r>
      <w:r>
        <w:rPr>
          <w:spacing w:val="-35"/>
        </w:rPr>
        <w:t> </w:t>
      </w:r>
      <w:r>
        <w:rPr/>
        <w:t>Geometry.</w:t>
      </w:r>
    </w:p>
    <w:p>
      <w:pPr>
        <w:pStyle w:val="BodyText"/>
        <w:spacing w:before="2"/>
        <w:rPr>
          <w:sz w:val="21"/>
        </w:rPr>
      </w:pPr>
    </w:p>
    <w:p>
      <w:pPr>
        <w:pStyle w:val="Heading6"/>
        <w:ind w:left="179"/>
      </w:pPr>
      <w:r>
        <w:rPr/>
        <w:t>Use of Remote Sensing for Fire Detection and Burnt area</w:t>
      </w:r>
    </w:p>
    <w:p>
      <w:pPr>
        <w:pStyle w:val="BodyText"/>
        <w:spacing w:before="54"/>
        <w:ind w:left="179" w:right="1402"/>
        <w:jc w:val="both"/>
      </w:pPr>
      <w:r>
        <w:rPr/>
        <w:t>Remote sensing is also frequently applied for forest fire detection.. Examples of forest fire or fire scars detection at different scales range from detection of 1 ha burn scars on a national basis using Landsat TM (e.g., ITALSCAR, 2003: Regional Burned Forest Mapping in Italy, </w:t>
      </w:r>
      <w:hyperlink r:id="rId450">
        <w:r>
          <w:rPr/>
          <w:t>http://www.esa.int/dup) </w:t>
        </w:r>
      </w:hyperlink>
      <w:r>
        <w:rPr/>
        <w:t>or for European Union’s Member States (</w:t>
      </w:r>
      <w:hyperlink r:id="rId451">
        <w:r>
          <w:rPr/>
          <w:t>http://natural- </w:t>
        </w:r>
      </w:hyperlink>
      <w:r>
        <w:rPr/>
        <w:t>hazards.jrc.it/fires/) to the use of ERS SAR in Indonesia (Page </w:t>
      </w:r>
      <w:r>
        <w:rPr>
          <w:i/>
        </w:rPr>
        <w:t>et al</w:t>
      </w:r>
      <w:r>
        <w:rPr/>
        <w:t>., 2002), to global detection of active fires (ATSR World Fire Atlas, 2003: </w:t>
      </w:r>
      <w:hyperlink r:id="rId452">
        <w:r>
          <w:rPr/>
          <w:t>http://earth.esa.int/ionia/FIRE/),</w:t>
        </w:r>
      </w:hyperlink>
      <w:r>
        <w:rPr/>
        <w:t> burn scars (GLOBSCAR, 2003 Global Burned Forest Mapping, </w:t>
      </w:r>
      <w:hyperlink r:id="rId453">
        <w:r>
          <w:rPr/>
          <w:t>http://earth.esa.int/ionia/FIRE/;</w:t>
        </w:r>
      </w:hyperlink>
      <w:r>
        <w:rPr/>
        <w:t> GLOBCARBON, 2003: Global Land Products for Carbon Model Assimilation, </w:t>
      </w:r>
      <w:hyperlink r:id="rId450">
        <w:r>
          <w:rPr/>
          <w:t>http://www.esa.int/dup)</w:t>
        </w:r>
      </w:hyperlink>
      <w:r>
        <w:rPr/>
        <w:t> and burnt areas (Global Brunt Area 2000: </w:t>
      </w:r>
      <w:hyperlink r:id="rId454">
        <w:r>
          <w:rPr/>
          <w:t>http://www.gvm.sai.jrc.it/fire/gba2000_website/index.htm).</w:t>
        </w:r>
      </w:hyperlink>
      <w:r>
        <w:rPr/>
        <w:t> As an example, a recent study using remote sensing techniques has estimated the total area deforested due to fires in the humid tropics between 1990 and 1997, arriving at a different number to that reported by FAO statistics, that are using deforestation data reported by countries and experts (Achard </w:t>
      </w:r>
      <w:r>
        <w:rPr>
          <w:i/>
        </w:rPr>
        <w:t>et al.</w:t>
      </w:r>
      <w:r>
        <w:rPr/>
        <w:t>, 2002).</w:t>
      </w:r>
    </w:p>
    <w:p>
      <w:pPr>
        <w:spacing w:after="0"/>
        <w:jc w:val="both"/>
        <w:sectPr>
          <w:pgSz w:w="11900" w:h="16840"/>
          <w:pgMar w:header="230" w:footer="408" w:top="560" w:bottom="600" w:left="1240" w:right="0"/>
        </w:sectPr>
      </w:pPr>
    </w:p>
    <w:p>
      <w:pPr>
        <w:pStyle w:val="BodyText"/>
        <w:spacing w:before="76"/>
        <w:ind w:left="138"/>
      </w:pPr>
      <w:r>
        <w:rPr/>
        <w:pict>
          <v:line style="position:absolute;mso-position-horizontal-relative:page;mso-position-vertical-relative:paragraph;z-index:31136;mso-wrap-distance-left:0;mso-wrap-distance-right:0" from="69.480003pt,21.175514pt" to="792.360003pt,21.175514pt" stroked="true" strokeweight=".75pt" strokecolor="#010101">
            <v:stroke dashstyle="solid"/>
            <w10:wrap type="topAndBottom"/>
          </v:line>
        </w:pict>
      </w:r>
      <w:r>
        <w:rPr/>
        <w:t>Chapter 5: Cross-Cutting Issues</w:t>
      </w:r>
    </w:p>
    <w:p>
      <w:pPr>
        <w:pStyle w:val="BodyText"/>
      </w:pPr>
    </w:p>
    <w:p>
      <w:pPr>
        <w:pStyle w:val="BodyText"/>
        <w:spacing w:before="2"/>
        <w:rPr>
          <w:sz w:val="11"/>
        </w:rPr>
      </w:pPr>
    </w:p>
    <w:tbl>
      <w:tblPr>
        <w:tblW w:w="0" w:type="auto"/>
        <w:jc w:val="left"/>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2"/>
        <w:gridCol w:w="1591"/>
        <w:gridCol w:w="1157"/>
        <w:gridCol w:w="1445"/>
        <w:gridCol w:w="1157"/>
        <w:gridCol w:w="579"/>
        <w:gridCol w:w="579"/>
        <w:gridCol w:w="579"/>
        <w:gridCol w:w="577"/>
        <w:gridCol w:w="438"/>
        <w:gridCol w:w="580"/>
        <w:gridCol w:w="1012"/>
        <w:gridCol w:w="1014"/>
        <w:gridCol w:w="1014"/>
        <w:gridCol w:w="1014"/>
      </w:tblGrid>
      <w:tr>
        <w:trPr>
          <w:trHeight w:val="227" w:hRule="atLeast"/>
        </w:trPr>
        <w:tc>
          <w:tcPr>
            <w:tcW w:w="14358" w:type="dxa"/>
            <w:gridSpan w:val="15"/>
            <w:tcBorders>
              <w:bottom w:val="double" w:sz="1" w:space="0" w:color="000000"/>
            </w:tcBorders>
          </w:tcPr>
          <w:p>
            <w:pPr>
              <w:pStyle w:val="TableParagraph"/>
              <w:spacing w:line="198" w:lineRule="exact" w:before="9"/>
              <w:ind w:left="4362"/>
              <w:rPr>
                <w:b/>
                <w:sz w:val="14"/>
              </w:rPr>
            </w:pPr>
            <w:r>
              <w:rPr>
                <w:b/>
                <w:sz w:val="18"/>
              </w:rPr>
              <w:t>T</w:t>
            </w:r>
            <w:r>
              <w:rPr>
                <w:b/>
                <w:sz w:val="14"/>
              </w:rPr>
              <w:t>ABLE </w:t>
            </w:r>
            <w:r>
              <w:rPr>
                <w:b/>
                <w:sz w:val="18"/>
              </w:rPr>
              <w:t>5.7.2 F</w:t>
            </w:r>
            <w:r>
              <w:rPr>
                <w:b/>
                <w:sz w:val="14"/>
              </w:rPr>
              <w:t>EATURES OF SOME OF THE MAIN REMOTE SENSING PLATFORMS</w:t>
            </w:r>
          </w:p>
        </w:tc>
      </w:tr>
      <w:tr>
        <w:trPr>
          <w:trHeight w:val="481" w:hRule="atLeast"/>
        </w:trPr>
        <w:tc>
          <w:tcPr>
            <w:tcW w:w="1622" w:type="dxa"/>
            <w:tcBorders>
              <w:top w:val="double" w:sz="1" w:space="0" w:color="000000"/>
            </w:tcBorders>
          </w:tcPr>
          <w:p>
            <w:pPr>
              <w:pStyle w:val="TableParagraph"/>
              <w:spacing w:before="138"/>
              <w:ind w:left="229" w:right="217"/>
              <w:jc w:val="center"/>
              <w:rPr>
                <w:b/>
                <w:sz w:val="18"/>
              </w:rPr>
            </w:pPr>
            <w:r>
              <w:rPr>
                <w:b/>
                <w:sz w:val="18"/>
              </w:rPr>
              <w:t>Satellite</w:t>
            </w:r>
          </w:p>
        </w:tc>
        <w:tc>
          <w:tcPr>
            <w:tcW w:w="1591" w:type="dxa"/>
            <w:tcBorders>
              <w:top w:val="double" w:sz="1" w:space="0" w:color="000000"/>
            </w:tcBorders>
          </w:tcPr>
          <w:p>
            <w:pPr>
              <w:pStyle w:val="TableParagraph"/>
              <w:spacing w:before="138"/>
              <w:ind w:left="65" w:right="52"/>
              <w:jc w:val="center"/>
              <w:rPr>
                <w:b/>
                <w:sz w:val="18"/>
              </w:rPr>
            </w:pPr>
            <w:r>
              <w:rPr>
                <w:b/>
                <w:sz w:val="18"/>
              </w:rPr>
              <w:t>Sensor name</w:t>
            </w:r>
          </w:p>
        </w:tc>
        <w:tc>
          <w:tcPr>
            <w:tcW w:w="1157" w:type="dxa"/>
            <w:tcBorders>
              <w:top w:val="double" w:sz="1" w:space="0" w:color="000000"/>
            </w:tcBorders>
          </w:tcPr>
          <w:p>
            <w:pPr>
              <w:pStyle w:val="TableParagraph"/>
              <w:spacing w:before="35"/>
              <w:ind w:left="122" w:right="95" w:firstLine="129"/>
              <w:rPr>
                <w:b/>
                <w:sz w:val="18"/>
              </w:rPr>
            </w:pPr>
            <w:r>
              <w:rPr>
                <w:b/>
                <w:sz w:val="18"/>
              </w:rPr>
              <w:t>Country (Operation)</w:t>
            </w:r>
          </w:p>
        </w:tc>
        <w:tc>
          <w:tcPr>
            <w:tcW w:w="1445" w:type="dxa"/>
            <w:tcBorders>
              <w:top w:val="double" w:sz="1" w:space="0" w:color="000000"/>
            </w:tcBorders>
          </w:tcPr>
          <w:p>
            <w:pPr>
              <w:pStyle w:val="TableParagraph"/>
              <w:spacing w:before="35"/>
              <w:ind w:left="312" w:right="282" w:firstLine="141"/>
              <w:rPr>
                <w:b/>
                <w:sz w:val="18"/>
              </w:rPr>
            </w:pPr>
            <w:r>
              <w:rPr>
                <w:b/>
                <w:sz w:val="18"/>
              </w:rPr>
              <w:t>Spatial Resolution</w:t>
            </w:r>
          </w:p>
        </w:tc>
        <w:tc>
          <w:tcPr>
            <w:tcW w:w="1157" w:type="dxa"/>
            <w:tcBorders>
              <w:top w:val="double" w:sz="1" w:space="0" w:color="000000"/>
            </w:tcBorders>
          </w:tcPr>
          <w:p>
            <w:pPr>
              <w:pStyle w:val="TableParagraph"/>
              <w:spacing w:before="138"/>
              <w:ind w:left="92" w:right="81"/>
              <w:jc w:val="center"/>
              <w:rPr>
                <w:b/>
                <w:sz w:val="18"/>
              </w:rPr>
            </w:pPr>
            <w:r>
              <w:rPr>
                <w:b/>
                <w:sz w:val="18"/>
              </w:rPr>
              <w:t>Swath</w:t>
            </w:r>
          </w:p>
        </w:tc>
        <w:tc>
          <w:tcPr>
            <w:tcW w:w="1158" w:type="dxa"/>
            <w:gridSpan w:val="2"/>
            <w:tcBorders>
              <w:top w:val="double" w:sz="1" w:space="0" w:color="000000"/>
            </w:tcBorders>
          </w:tcPr>
          <w:p>
            <w:pPr>
              <w:pStyle w:val="TableParagraph"/>
              <w:spacing w:before="35"/>
              <w:ind w:left="227" w:right="102" w:hanging="96"/>
              <w:rPr>
                <w:b/>
                <w:sz w:val="18"/>
              </w:rPr>
            </w:pPr>
            <w:r>
              <w:rPr>
                <w:b/>
                <w:sz w:val="18"/>
              </w:rPr>
              <w:t>Sensor type and scale</w:t>
            </w:r>
          </w:p>
        </w:tc>
        <w:tc>
          <w:tcPr>
            <w:tcW w:w="2174" w:type="dxa"/>
            <w:gridSpan w:val="4"/>
            <w:tcBorders>
              <w:top w:val="double" w:sz="1" w:space="0" w:color="000000"/>
            </w:tcBorders>
          </w:tcPr>
          <w:p>
            <w:pPr>
              <w:pStyle w:val="TableParagraph"/>
              <w:spacing w:before="138"/>
              <w:ind w:left="279"/>
              <w:rPr>
                <w:b/>
                <w:sz w:val="18"/>
              </w:rPr>
            </w:pPr>
            <w:r>
              <w:rPr>
                <w:b/>
                <w:sz w:val="18"/>
              </w:rPr>
              <w:t>Spectral information</w:t>
            </w:r>
          </w:p>
        </w:tc>
        <w:tc>
          <w:tcPr>
            <w:tcW w:w="4054" w:type="dxa"/>
            <w:gridSpan w:val="4"/>
            <w:tcBorders>
              <w:top w:val="double" w:sz="1" w:space="0" w:color="000000"/>
            </w:tcBorders>
          </w:tcPr>
          <w:p>
            <w:pPr>
              <w:pStyle w:val="TableParagraph"/>
              <w:spacing w:before="138"/>
              <w:ind w:left="604"/>
              <w:rPr>
                <w:b/>
                <w:sz w:val="18"/>
              </w:rPr>
            </w:pPr>
            <w:r>
              <w:rPr>
                <w:b/>
                <w:sz w:val="18"/>
              </w:rPr>
              <w:t>Data availability (acquisition period)</w:t>
            </w:r>
          </w:p>
        </w:tc>
      </w:tr>
      <w:tr>
        <w:trPr>
          <w:trHeight w:val="249" w:hRule="atLeast"/>
        </w:trPr>
        <w:tc>
          <w:tcPr>
            <w:tcW w:w="1622" w:type="dxa"/>
          </w:tcPr>
          <w:p>
            <w:pPr>
              <w:pStyle w:val="TableParagraph"/>
              <w:rPr>
                <w:sz w:val="16"/>
              </w:rPr>
            </w:pPr>
          </w:p>
        </w:tc>
        <w:tc>
          <w:tcPr>
            <w:tcW w:w="1591" w:type="dxa"/>
          </w:tcPr>
          <w:p>
            <w:pPr>
              <w:pStyle w:val="TableParagraph"/>
              <w:rPr>
                <w:sz w:val="16"/>
              </w:rPr>
            </w:pPr>
          </w:p>
        </w:tc>
        <w:tc>
          <w:tcPr>
            <w:tcW w:w="1157" w:type="dxa"/>
          </w:tcPr>
          <w:p>
            <w:pPr>
              <w:pStyle w:val="TableParagraph"/>
              <w:rPr>
                <w:sz w:val="16"/>
              </w:rPr>
            </w:pPr>
          </w:p>
        </w:tc>
        <w:tc>
          <w:tcPr>
            <w:tcW w:w="1445" w:type="dxa"/>
          </w:tcPr>
          <w:p>
            <w:pPr>
              <w:pStyle w:val="TableParagraph"/>
              <w:spacing w:before="16"/>
              <w:ind w:left="297"/>
              <w:rPr>
                <w:sz w:val="18"/>
              </w:rPr>
            </w:pPr>
            <w:r>
              <w:rPr>
                <w:sz w:val="18"/>
              </w:rPr>
              <w:t>(m) at nadir</w:t>
            </w:r>
          </w:p>
        </w:tc>
        <w:tc>
          <w:tcPr>
            <w:tcW w:w="1157" w:type="dxa"/>
          </w:tcPr>
          <w:p>
            <w:pPr>
              <w:pStyle w:val="TableParagraph"/>
              <w:spacing w:before="16"/>
              <w:ind w:left="92" w:right="79"/>
              <w:jc w:val="center"/>
              <w:rPr>
                <w:sz w:val="18"/>
              </w:rPr>
            </w:pPr>
            <w:r>
              <w:rPr>
                <w:sz w:val="18"/>
              </w:rPr>
              <w:t>(km)</w:t>
            </w:r>
          </w:p>
        </w:tc>
        <w:tc>
          <w:tcPr>
            <w:tcW w:w="579" w:type="dxa"/>
          </w:tcPr>
          <w:p>
            <w:pPr>
              <w:pStyle w:val="TableParagraph"/>
              <w:spacing w:before="16"/>
              <w:ind w:left="48" w:right="35"/>
              <w:jc w:val="center"/>
              <w:rPr>
                <w:sz w:val="18"/>
              </w:rPr>
            </w:pPr>
            <w:r>
              <w:rPr>
                <w:sz w:val="18"/>
              </w:rPr>
              <w:t>Type</w:t>
            </w:r>
          </w:p>
        </w:tc>
        <w:tc>
          <w:tcPr>
            <w:tcW w:w="579" w:type="dxa"/>
          </w:tcPr>
          <w:p>
            <w:pPr>
              <w:pStyle w:val="TableParagraph"/>
              <w:spacing w:before="16"/>
              <w:ind w:left="48" w:right="39"/>
              <w:jc w:val="center"/>
              <w:rPr>
                <w:sz w:val="18"/>
              </w:rPr>
            </w:pPr>
            <w:r>
              <w:rPr>
                <w:sz w:val="18"/>
              </w:rPr>
              <w:t>Scale</w:t>
            </w:r>
          </w:p>
        </w:tc>
        <w:tc>
          <w:tcPr>
            <w:tcW w:w="579" w:type="dxa"/>
          </w:tcPr>
          <w:p>
            <w:pPr>
              <w:pStyle w:val="TableParagraph"/>
              <w:spacing w:before="16"/>
              <w:ind w:left="48" w:right="41"/>
              <w:jc w:val="center"/>
              <w:rPr>
                <w:sz w:val="18"/>
              </w:rPr>
            </w:pPr>
            <w:r>
              <w:rPr>
                <w:sz w:val="18"/>
              </w:rPr>
              <w:t>VNIR</w:t>
            </w:r>
          </w:p>
        </w:tc>
        <w:tc>
          <w:tcPr>
            <w:tcW w:w="577" w:type="dxa"/>
          </w:tcPr>
          <w:p>
            <w:pPr>
              <w:pStyle w:val="TableParagraph"/>
              <w:spacing w:before="16"/>
              <w:ind w:left="41" w:right="36"/>
              <w:jc w:val="center"/>
              <w:rPr>
                <w:sz w:val="18"/>
              </w:rPr>
            </w:pPr>
            <w:r>
              <w:rPr>
                <w:sz w:val="18"/>
              </w:rPr>
              <w:t>SWIR</w:t>
            </w:r>
          </w:p>
        </w:tc>
        <w:tc>
          <w:tcPr>
            <w:tcW w:w="438" w:type="dxa"/>
          </w:tcPr>
          <w:p>
            <w:pPr>
              <w:pStyle w:val="TableParagraph"/>
              <w:spacing w:before="16"/>
              <w:ind w:left="51" w:right="46"/>
              <w:jc w:val="center"/>
              <w:rPr>
                <w:sz w:val="18"/>
              </w:rPr>
            </w:pPr>
            <w:r>
              <w:rPr>
                <w:sz w:val="18"/>
              </w:rPr>
              <w:t>TIR</w:t>
            </w:r>
          </w:p>
        </w:tc>
        <w:tc>
          <w:tcPr>
            <w:tcW w:w="580" w:type="dxa"/>
          </w:tcPr>
          <w:p>
            <w:pPr>
              <w:pStyle w:val="TableParagraph"/>
              <w:spacing w:before="16"/>
              <w:ind w:left="89" w:right="90"/>
              <w:jc w:val="center"/>
              <w:rPr>
                <w:sz w:val="18"/>
              </w:rPr>
            </w:pPr>
            <w:r>
              <w:rPr>
                <w:sz w:val="18"/>
              </w:rPr>
              <w:t>SAR</w:t>
            </w:r>
          </w:p>
        </w:tc>
        <w:tc>
          <w:tcPr>
            <w:tcW w:w="1012" w:type="dxa"/>
          </w:tcPr>
          <w:p>
            <w:pPr>
              <w:pStyle w:val="TableParagraph"/>
              <w:spacing w:before="16"/>
              <w:ind w:left="46" w:right="46"/>
              <w:jc w:val="center"/>
              <w:rPr>
                <w:sz w:val="18"/>
              </w:rPr>
            </w:pPr>
            <w:r>
              <w:rPr>
                <w:sz w:val="18"/>
              </w:rPr>
              <w:t>1980 - 1990</w:t>
            </w:r>
          </w:p>
        </w:tc>
        <w:tc>
          <w:tcPr>
            <w:tcW w:w="1014" w:type="dxa"/>
          </w:tcPr>
          <w:p>
            <w:pPr>
              <w:pStyle w:val="TableParagraph"/>
              <w:spacing w:before="16"/>
              <w:ind w:left="41" w:right="42"/>
              <w:jc w:val="center"/>
              <w:rPr>
                <w:sz w:val="18"/>
              </w:rPr>
            </w:pPr>
            <w:r>
              <w:rPr>
                <w:sz w:val="18"/>
              </w:rPr>
              <w:t>1990 - 1999</w:t>
            </w:r>
          </w:p>
        </w:tc>
        <w:tc>
          <w:tcPr>
            <w:tcW w:w="1014" w:type="dxa"/>
          </w:tcPr>
          <w:p>
            <w:pPr>
              <w:pStyle w:val="TableParagraph"/>
              <w:spacing w:before="16"/>
              <w:ind w:left="38" w:right="47"/>
              <w:jc w:val="center"/>
              <w:rPr>
                <w:sz w:val="18"/>
              </w:rPr>
            </w:pPr>
            <w:r>
              <w:rPr>
                <w:sz w:val="18"/>
              </w:rPr>
              <w:t>2000 - 2007</w:t>
            </w:r>
          </w:p>
        </w:tc>
        <w:tc>
          <w:tcPr>
            <w:tcW w:w="1014" w:type="dxa"/>
          </w:tcPr>
          <w:p>
            <w:pPr>
              <w:pStyle w:val="TableParagraph"/>
              <w:spacing w:before="16"/>
              <w:ind w:left="35" w:right="47"/>
              <w:jc w:val="center"/>
              <w:rPr>
                <w:sz w:val="18"/>
              </w:rPr>
            </w:pPr>
            <w:r>
              <w:rPr>
                <w:sz w:val="18"/>
              </w:rPr>
              <w:t>2008 - 2012</w:t>
            </w:r>
          </w:p>
        </w:tc>
      </w:tr>
      <w:tr>
        <w:trPr>
          <w:trHeight w:val="251" w:hRule="atLeast"/>
        </w:trPr>
        <w:tc>
          <w:tcPr>
            <w:tcW w:w="1622" w:type="dxa"/>
          </w:tcPr>
          <w:p>
            <w:pPr>
              <w:pStyle w:val="TableParagraph"/>
              <w:spacing w:before="16"/>
              <w:ind w:left="229" w:right="217"/>
              <w:jc w:val="center"/>
              <w:rPr>
                <w:sz w:val="18"/>
              </w:rPr>
            </w:pPr>
            <w:r>
              <w:rPr>
                <w:sz w:val="18"/>
              </w:rPr>
              <w:t>NOAA (POES)</w:t>
            </w:r>
          </w:p>
        </w:tc>
        <w:tc>
          <w:tcPr>
            <w:tcW w:w="1591" w:type="dxa"/>
          </w:tcPr>
          <w:p>
            <w:pPr>
              <w:pStyle w:val="TableParagraph"/>
              <w:spacing w:before="16"/>
              <w:ind w:left="65" w:right="53"/>
              <w:jc w:val="center"/>
              <w:rPr>
                <w:sz w:val="18"/>
              </w:rPr>
            </w:pPr>
            <w:r>
              <w:rPr>
                <w:sz w:val="18"/>
              </w:rPr>
              <w:t>AVHRR</w:t>
            </w:r>
          </w:p>
        </w:tc>
        <w:tc>
          <w:tcPr>
            <w:tcW w:w="1157" w:type="dxa"/>
          </w:tcPr>
          <w:p>
            <w:pPr>
              <w:pStyle w:val="TableParagraph"/>
              <w:spacing w:before="16"/>
              <w:ind w:left="92" w:right="82"/>
              <w:jc w:val="center"/>
              <w:rPr>
                <w:sz w:val="18"/>
              </w:rPr>
            </w:pPr>
            <w:r>
              <w:rPr>
                <w:sz w:val="18"/>
              </w:rPr>
              <w:t>USA</w:t>
            </w:r>
          </w:p>
        </w:tc>
        <w:tc>
          <w:tcPr>
            <w:tcW w:w="1445" w:type="dxa"/>
          </w:tcPr>
          <w:p>
            <w:pPr>
              <w:pStyle w:val="TableParagraph"/>
              <w:spacing w:before="16"/>
              <w:ind w:left="474" w:right="468"/>
              <w:jc w:val="center"/>
              <w:rPr>
                <w:sz w:val="18"/>
              </w:rPr>
            </w:pPr>
            <w:r>
              <w:rPr>
                <w:sz w:val="18"/>
              </w:rPr>
              <w:t>1100</w:t>
            </w:r>
          </w:p>
        </w:tc>
        <w:tc>
          <w:tcPr>
            <w:tcW w:w="1157" w:type="dxa"/>
          </w:tcPr>
          <w:p>
            <w:pPr>
              <w:pStyle w:val="TableParagraph"/>
              <w:spacing w:before="16"/>
              <w:ind w:left="92" w:right="82"/>
              <w:jc w:val="center"/>
              <w:rPr>
                <w:sz w:val="18"/>
              </w:rPr>
            </w:pPr>
            <w:r>
              <w:rPr>
                <w:sz w:val="18"/>
              </w:rPr>
              <w:t>2700</w:t>
            </w:r>
          </w:p>
        </w:tc>
        <w:tc>
          <w:tcPr>
            <w:tcW w:w="579" w:type="dxa"/>
          </w:tcPr>
          <w:p>
            <w:pPr>
              <w:pStyle w:val="TableParagraph"/>
              <w:spacing w:before="16"/>
              <w:ind w:left="11"/>
              <w:jc w:val="center"/>
              <w:rPr>
                <w:sz w:val="18"/>
              </w:rPr>
            </w:pPr>
            <w:r>
              <w:rPr>
                <w:sz w:val="18"/>
              </w:rPr>
              <w:t>O</w:t>
            </w:r>
          </w:p>
        </w:tc>
        <w:tc>
          <w:tcPr>
            <w:tcW w:w="579" w:type="dxa"/>
          </w:tcPr>
          <w:p>
            <w:pPr>
              <w:pStyle w:val="TableParagraph"/>
              <w:spacing w:before="16"/>
              <w:ind w:left="48" w:right="41"/>
              <w:jc w:val="center"/>
              <w:rPr>
                <w:sz w:val="18"/>
              </w:rPr>
            </w:pPr>
            <w:r>
              <w:rPr>
                <w:sz w:val="18"/>
              </w:rPr>
              <w:t>Co-G</w:t>
            </w:r>
          </w:p>
        </w:tc>
        <w:tc>
          <w:tcPr>
            <w:tcW w:w="579" w:type="dxa"/>
          </w:tcPr>
          <w:p>
            <w:pPr>
              <w:pStyle w:val="TableParagraph"/>
              <w:spacing w:before="16"/>
              <w:jc w:val="center"/>
              <w:rPr>
                <w:sz w:val="18"/>
              </w:rPr>
            </w:pPr>
            <w:r>
              <w:rPr>
                <w:sz w:val="18"/>
              </w:rPr>
              <w:t>M</w:t>
            </w:r>
          </w:p>
        </w:tc>
        <w:tc>
          <w:tcPr>
            <w:tcW w:w="577" w:type="dxa"/>
          </w:tcPr>
          <w:p>
            <w:pPr>
              <w:pStyle w:val="TableParagraph"/>
              <w:spacing w:before="16"/>
              <w:ind w:left="3"/>
              <w:jc w:val="center"/>
              <w:rPr>
                <w:sz w:val="18"/>
              </w:rPr>
            </w:pPr>
            <w:r>
              <w:rPr>
                <w:sz w:val="18"/>
              </w:rPr>
              <w:t>S</w:t>
            </w:r>
          </w:p>
        </w:tc>
        <w:tc>
          <w:tcPr>
            <w:tcW w:w="438" w:type="dxa"/>
          </w:tcPr>
          <w:p>
            <w:pPr>
              <w:pStyle w:val="TableParagraph"/>
              <w:spacing w:before="16"/>
              <w:ind w:right="1"/>
              <w:jc w:val="center"/>
              <w:rPr>
                <w:sz w:val="18"/>
              </w:rPr>
            </w:pPr>
            <w:r>
              <w:rPr>
                <w:sz w:val="18"/>
              </w:rPr>
              <w:t>M</w:t>
            </w:r>
          </w:p>
        </w:tc>
        <w:tc>
          <w:tcPr>
            <w:tcW w:w="580" w:type="dxa"/>
          </w:tcPr>
          <w:p>
            <w:pPr>
              <w:pStyle w:val="TableParagraph"/>
              <w:spacing w:before="16"/>
              <w:ind w:right="3"/>
              <w:jc w:val="center"/>
              <w:rPr>
                <w:sz w:val="18"/>
              </w:rPr>
            </w:pPr>
            <w:r>
              <w:rPr>
                <w:sz w:val="18"/>
              </w:rPr>
              <w:t>-</w:t>
            </w:r>
          </w:p>
        </w:tc>
        <w:tc>
          <w:tcPr>
            <w:tcW w:w="1012" w:type="dxa"/>
          </w:tcPr>
          <w:p>
            <w:pPr>
              <w:pStyle w:val="TableParagraph"/>
              <w:spacing w:before="16"/>
              <w:ind w:right="1"/>
              <w:jc w:val="center"/>
              <w:rPr>
                <w:sz w:val="18"/>
              </w:rPr>
            </w:pPr>
            <w:r>
              <w:rPr>
                <w:sz w:val="18"/>
              </w:rPr>
              <w:t>A</w:t>
            </w:r>
          </w:p>
        </w:tc>
        <w:tc>
          <w:tcPr>
            <w:tcW w:w="1014" w:type="dxa"/>
          </w:tcPr>
          <w:p>
            <w:pPr>
              <w:pStyle w:val="TableParagraph"/>
              <w:spacing w:before="16"/>
              <w:jc w:val="center"/>
              <w:rPr>
                <w:sz w:val="18"/>
              </w:rPr>
            </w:pPr>
            <w:r>
              <w:rPr>
                <w:sz w:val="18"/>
              </w:rPr>
              <w:t>A</w:t>
            </w:r>
          </w:p>
        </w:tc>
        <w:tc>
          <w:tcPr>
            <w:tcW w:w="1014" w:type="dxa"/>
          </w:tcPr>
          <w:p>
            <w:pPr>
              <w:pStyle w:val="TableParagraph"/>
              <w:spacing w:before="16"/>
              <w:ind w:right="7"/>
              <w:jc w:val="center"/>
              <w:rPr>
                <w:sz w:val="18"/>
              </w:rPr>
            </w:pPr>
            <w:r>
              <w:rPr>
                <w:sz w:val="18"/>
              </w:rPr>
              <w:t>A</w:t>
            </w:r>
          </w:p>
        </w:tc>
        <w:tc>
          <w:tcPr>
            <w:tcW w:w="1014" w:type="dxa"/>
          </w:tcPr>
          <w:p>
            <w:pPr>
              <w:pStyle w:val="TableParagraph"/>
              <w:spacing w:before="16"/>
              <w:ind w:right="9"/>
              <w:jc w:val="center"/>
              <w:rPr>
                <w:sz w:val="18"/>
              </w:rPr>
            </w:pPr>
            <w:r>
              <w:rPr>
                <w:sz w:val="18"/>
              </w:rPr>
              <w:t>A</w:t>
            </w:r>
          </w:p>
        </w:tc>
      </w:tr>
      <w:tr>
        <w:trPr>
          <w:trHeight w:val="251" w:hRule="atLeast"/>
        </w:trPr>
        <w:tc>
          <w:tcPr>
            <w:tcW w:w="1622" w:type="dxa"/>
          </w:tcPr>
          <w:p>
            <w:pPr>
              <w:pStyle w:val="TableParagraph"/>
              <w:spacing w:before="16"/>
              <w:ind w:left="229" w:right="215"/>
              <w:jc w:val="center"/>
              <w:rPr>
                <w:sz w:val="18"/>
              </w:rPr>
            </w:pPr>
            <w:r>
              <w:rPr>
                <w:sz w:val="18"/>
              </w:rPr>
              <w:t>SPOT</w:t>
            </w:r>
          </w:p>
        </w:tc>
        <w:tc>
          <w:tcPr>
            <w:tcW w:w="1591" w:type="dxa"/>
          </w:tcPr>
          <w:p>
            <w:pPr>
              <w:pStyle w:val="TableParagraph"/>
              <w:spacing w:before="16"/>
              <w:ind w:left="65" w:right="52"/>
              <w:jc w:val="center"/>
              <w:rPr>
                <w:sz w:val="18"/>
              </w:rPr>
            </w:pPr>
            <w:r>
              <w:rPr>
                <w:sz w:val="18"/>
              </w:rPr>
              <w:t>Vegetation</w:t>
            </w:r>
          </w:p>
        </w:tc>
        <w:tc>
          <w:tcPr>
            <w:tcW w:w="1157" w:type="dxa"/>
          </w:tcPr>
          <w:p>
            <w:pPr>
              <w:pStyle w:val="TableParagraph"/>
              <w:spacing w:before="16"/>
              <w:ind w:left="92" w:right="84"/>
              <w:jc w:val="center"/>
              <w:rPr>
                <w:sz w:val="18"/>
              </w:rPr>
            </w:pPr>
            <w:r>
              <w:rPr>
                <w:sz w:val="18"/>
              </w:rPr>
              <w:t>EU</w:t>
            </w:r>
          </w:p>
        </w:tc>
        <w:tc>
          <w:tcPr>
            <w:tcW w:w="1445" w:type="dxa"/>
          </w:tcPr>
          <w:p>
            <w:pPr>
              <w:pStyle w:val="TableParagraph"/>
              <w:spacing w:before="16"/>
              <w:ind w:left="476" w:right="468"/>
              <w:jc w:val="center"/>
              <w:rPr>
                <w:sz w:val="18"/>
              </w:rPr>
            </w:pPr>
            <w:r>
              <w:rPr>
                <w:sz w:val="18"/>
              </w:rPr>
              <w:t>1150</w:t>
            </w:r>
          </w:p>
        </w:tc>
        <w:tc>
          <w:tcPr>
            <w:tcW w:w="1157" w:type="dxa"/>
          </w:tcPr>
          <w:p>
            <w:pPr>
              <w:pStyle w:val="TableParagraph"/>
              <w:spacing w:before="16"/>
              <w:ind w:left="92" w:right="81"/>
              <w:jc w:val="center"/>
              <w:rPr>
                <w:sz w:val="18"/>
              </w:rPr>
            </w:pPr>
            <w:r>
              <w:rPr>
                <w:sz w:val="18"/>
              </w:rPr>
              <w:t>2250</w:t>
            </w:r>
          </w:p>
        </w:tc>
        <w:tc>
          <w:tcPr>
            <w:tcW w:w="579" w:type="dxa"/>
          </w:tcPr>
          <w:p>
            <w:pPr>
              <w:pStyle w:val="TableParagraph"/>
              <w:spacing w:before="16"/>
              <w:ind w:left="11"/>
              <w:jc w:val="center"/>
              <w:rPr>
                <w:sz w:val="18"/>
              </w:rPr>
            </w:pPr>
            <w:r>
              <w:rPr>
                <w:sz w:val="18"/>
              </w:rPr>
              <w:t>O</w:t>
            </w:r>
          </w:p>
        </w:tc>
        <w:tc>
          <w:tcPr>
            <w:tcW w:w="579" w:type="dxa"/>
          </w:tcPr>
          <w:p>
            <w:pPr>
              <w:pStyle w:val="TableParagraph"/>
              <w:spacing w:before="16"/>
              <w:ind w:left="48" w:right="41"/>
              <w:jc w:val="center"/>
              <w:rPr>
                <w:sz w:val="18"/>
              </w:rPr>
            </w:pPr>
            <w:r>
              <w:rPr>
                <w:sz w:val="18"/>
              </w:rPr>
              <w:t>Co-G</w:t>
            </w:r>
          </w:p>
        </w:tc>
        <w:tc>
          <w:tcPr>
            <w:tcW w:w="579" w:type="dxa"/>
          </w:tcPr>
          <w:p>
            <w:pPr>
              <w:pStyle w:val="TableParagraph"/>
              <w:spacing w:before="16"/>
              <w:jc w:val="center"/>
              <w:rPr>
                <w:sz w:val="18"/>
              </w:rPr>
            </w:pPr>
            <w:r>
              <w:rPr>
                <w:sz w:val="18"/>
              </w:rPr>
              <w:t>M</w:t>
            </w:r>
          </w:p>
        </w:tc>
        <w:tc>
          <w:tcPr>
            <w:tcW w:w="577" w:type="dxa"/>
          </w:tcPr>
          <w:p>
            <w:pPr>
              <w:pStyle w:val="TableParagraph"/>
              <w:spacing w:before="16"/>
              <w:ind w:left="4"/>
              <w:jc w:val="center"/>
              <w:rPr>
                <w:sz w:val="18"/>
              </w:rPr>
            </w:pPr>
            <w:r>
              <w:rPr>
                <w:sz w:val="18"/>
              </w:rPr>
              <w:t>S</w:t>
            </w:r>
          </w:p>
        </w:tc>
        <w:tc>
          <w:tcPr>
            <w:tcW w:w="438" w:type="dxa"/>
          </w:tcPr>
          <w:p>
            <w:pPr>
              <w:pStyle w:val="TableParagraph"/>
              <w:rPr>
                <w:sz w:val="16"/>
              </w:rPr>
            </w:pPr>
          </w:p>
        </w:tc>
        <w:tc>
          <w:tcPr>
            <w:tcW w:w="580" w:type="dxa"/>
          </w:tcPr>
          <w:p>
            <w:pPr>
              <w:pStyle w:val="TableParagraph"/>
              <w:spacing w:before="16"/>
              <w:ind w:right="2"/>
              <w:jc w:val="center"/>
              <w:rPr>
                <w:sz w:val="18"/>
              </w:rPr>
            </w:pPr>
            <w:r>
              <w:rPr>
                <w:sz w:val="18"/>
              </w:rPr>
              <w:t>-</w:t>
            </w:r>
          </w:p>
        </w:tc>
        <w:tc>
          <w:tcPr>
            <w:tcW w:w="1012" w:type="dxa"/>
          </w:tcPr>
          <w:p>
            <w:pPr>
              <w:pStyle w:val="TableParagraph"/>
              <w:rPr>
                <w:sz w:val="16"/>
              </w:rPr>
            </w:pPr>
          </w:p>
        </w:tc>
        <w:tc>
          <w:tcPr>
            <w:tcW w:w="1014" w:type="dxa"/>
          </w:tcPr>
          <w:p>
            <w:pPr>
              <w:pStyle w:val="TableParagraph"/>
              <w:spacing w:before="16"/>
              <w:ind w:left="41" w:right="41"/>
              <w:jc w:val="center"/>
              <w:rPr>
                <w:sz w:val="18"/>
              </w:rPr>
            </w:pPr>
            <w:r>
              <w:rPr>
                <w:sz w:val="18"/>
              </w:rPr>
              <w:t>PA</w:t>
            </w:r>
          </w:p>
        </w:tc>
        <w:tc>
          <w:tcPr>
            <w:tcW w:w="1014" w:type="dxa"/>
          </w:tcPr>
          <w:p>
            <w:pPr>
              <w:pStyle w:val="TableParagraph"/>
              <w:spacing w:before="16"/>
              <w:ind w:left="41" w:right="49"/>
              <w:jc w:val="center"/>
              <w:rPr>
                <w:sz w:val="18"/>
              </w:rPr>
            </w:pPr>
            <w:r>
              <w:rPr>
                <w:sz w:val="18"/>
              </w:rPr>
              <w:t>PA</w:t>
            </w:r>
          </w:p>
        </w:tc>
        <w:tc>
          <w:tcPr>
            <w:tcW w:w="1014" w:type="dxa"/>
          </w:tcPr>
          <w:p>
            <w:pPr>
              <w:pStyle w:val="TableParagraph"/>
              <w:spacing w:before="16"/>
              <w:ind w:left="41" w:right="50"/>
              <w:jc w:val="center"/>
              <w:rPr>
                <w:sz w:val="18"/>
              </w:rPr>
            </w:pPr>
            <w:r>
              <w:rPr>
                <w:sz w:val="18"/>
              </w:rPr>
              <w:t>MA</w:t>
            </w:r>
          </w:p>
        </w:tc>
      </w:tr>
      <w:tr>
        <w:trPr>
          <w:trHeight w:val="251" w:hRule="atLeast"/>
        </w:trPr>
        <w:tc>
          <w:tcPr>
            <w:tcW w:w="1622" w:type="dxa"/>
          </w:tcPr>
          <w:p>
            <w:pPr>
              <w:pStyle w:val="TableParagraph"/>
              <w:spacing w:before="16"/>
              <w:ind w:left="227" w:right="217"/>
              <w:jc w:val="center"/>
              <w:rPr>
                <w:sz w:val="18"/>
              </w:rPr>
            </w:pPr>
            <w:r>
              <w:rPr>
                <w:sz w:val="18"/>
              </w:rPr>
              <w:t>ADEOS-II</w:t>
            </w:r>
          </w:p>
        </w:tc>
        <w:tc>
          <w:tcPr>
            <w:tcW w:w="1591" w:type="dxa"/>
          </w:tcPr>
          <w:p>
            <w:pPr>
              <w:pStyle w:val="TableParagraph"/>
              <w:spacing w:before="16"/>
              <w:ind w:left="65" w:right="51"/>
              <w:jc w:val="center"/>
              <w:rPr>
                <w:sz w:val="18"/>
              </w:rPr>
            </w:pPr>
            <w:r>
              <w:rPr>
                <w:sz w:val="18"/>
              </w:rPr>
              <w:t>GLI</w:t>
            </w:r>
          </w:p>
        </w:tc>
        <w:tc>
          <w:tcPr>
            <w:tcW w:w="1157" w:type="dxa"/>
          </w:tcPr>
          <w:p>
            <w:pPr>
              <w:pStyle w:val="TableParagraph"/>
              <w:spacing w:before="16"/>
              <w:ind w:left="92" w:right="82"/>
              <w:jc w:val="center"/>
              <w:rPr>
                <w:sz w:val="18"/>
              </w:rPr>
            </w:pPr>
            <w:r>
              <w:rPr>
                <w:sz w:val="18"/>
              </w:rPr>
              <w:t>Japan</w:t>
            </w:r>
          </w:p>
        </w:tc>
        <w:tc>
          <w:tcPr>
            <w:tcW w:w="1445" w:type="dxa"/>
          </w:tcPr>
          <w:p>
            <w:pPr>
              <w:pStyle w:val="TableParagraph"/>
              <w:spacing w:before="16"/>
              <w:ind w:left="362"/>
              <w:rPr>
                <w:sz w:val="18"/>
              </w:rPr>
            </w:pPr>
            <w:r>
              <w:rPr>
                <w:sz w:val="18"/>
              </w:rPr>
              <w:t>250, 1000</w:t>
            </w:r>
          </w:p>
        </w:tc>
        <w:tc>
          <w:tcPr>
            <w:tcW w:w="1157" w:type="dxa"/>
          </w:tcPr>
          <w:p>
            <w:pPr>
              <w:pStyle w:val="TableParagraph"/>
              <w:spacing w:before="16"/>
              <w:ind w:left="92" w:right="77"/>
              <w:jc w:val="center"/>
              <w:rPr>
                <w:sz w:val="18"/>
              </w:rPr>
            </w:pPr>
            <w:r>
              <w:rPr>
                <w:sz w:val="18"/>
              </w:rPr>
              <w:t>1600</w:t>
            </w:r>
          </w:p>
        </w:tc>
        <w:tc>
          <w:tcPr>
            <w:tcW w:w="579" w:type="dxa"/>
          </w:tcPr>
          <w:p>
            <w:pPr>
              <w:pStyle w:val="TableParagraph"/>
              <w:spacing w:before="16"/>
              <w:ind w:left="16"/>
              <w:jc w:val="center"/>
              <w:rPr>
                <w:sz w:val="18"/>
              </w:rPr>
            </w:pPr>
            <w:r>
              <w:rPr>
                <w:sz w:val="18"/>
              </w:rPr>
              <w:t>O</w:t>
            </w:r>
          </w:p>
        </w:tc>
        <w:tc>
          <w:tcPr>
            <w:tcW w:w="579" w:type="dxa"/>
          </w:tcPr>
          <w:p>
            <w:pPr>
              <w:pStyle w:val="TableParagraph"/>
              <w:spacing w:before="16"/>
              <w:ind w:left="48" w:right="35"/>
              <w:jc w:val="center"/>
              <w:rPr>
                <w:sz w:val="18"/>
              </w:rPr>
            </w:pPr>
            <w:r>
              <w:rPr>
                <w:sz w:val="18"/>
              </w:rPr>
              <w:t>Co-G</w:t>
            </w:r>
          </w:p>
        </w:tc>
        <w:tc>
          <w:tcPr>
            <w:tcW w:w="579" w:type="dxa"/>
          </w:tcPr>
          <w:p>
            <w:pPr>
              <w:pStyle w:val="TableParagraph"/>
              <w:spacing w:before="16"/>
              <w:ind w:left="7"/>
              <w:jc w:val="center"/>
              <w:rPr>
                <w:sz w:val="18"/>
              </w:rPr>
            </w:pPr>
            <w:r>
              <w:rPr>
                <w:sz w:val="18"/>
              </w:rPr>
              <w:t>M</w:t>
            </w:r>
          </w:p>
        </w:tc>
        <w:tc>
          <w:tcPr>
            <w:tcW w:w="577" w:type="dxa"/>
          </w:tcPr>
          <w:p>
            <w:pPr>
              <w:pStyle w:val="TableParagraph"/>
              <w:spacing w:before="16"/>
              <w:ind w:left="6"/>
              <w:jc w:val="center"/>
              <w:rPr>
                <w:sz w:val="18"/>
              </w:rPr>
            </w:pPr>
            <w:r>
              <w:rPr>
                <w:sz w:val="18"/>
              </w:rPr>
              <w:t>M</w:t>
            </w:r>
          </w:p>
        </w:tc>
        <w:tc>
          <w:tcPr>
            <w:tcW w:w="438" w:type="dxa"/>
          </w:tcPr>
          <w:p>
            <w:pPr>
              <w:pStyle w:val="TableParagraph"/>
              <w:spacing w:before="16"/>
              <w:ind w:left="3"/>
              <w:jc w:val="center"/>
              <w:rPr>
                <w:sz w:val="18"/>
              </w:rPr>
            </w:pPr>
            <w:r>
              <w:rPr>
                <w:sz w:val="18"/>
              </w:rPr>
              <w:t>M</w:t>
            </w:r>
          </w:p>
        </w:tc>
        <w:tc>
          <w:tcPr>
            <w:tcW w:w="580" w:type="dxa"/>
          </w:tcPr>
          <w:p>
            <w:pPr>
              <w:pStyle w:val="TableParagraph"/>
              <w:spacing w:before="16"/>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47"/>
              <w:jc w:val="center"/>
              <w:rPr>
                <w:sz w:val="18"/>
              </w:rPr>
            </w:pPr>
            <w:r>
              <w:rPr>
                <w:sz w:val="18"/>
              </w:rPr>
              <w:t>PA</w:t>
            </w:r>
          </w:p>
        </w:tc>
        <w:tc>
          <w:tcPr>
            <w:tcW w:w="1014" w:type="dxa"/>
          </w:tcPr>
          <w:p>
            <w:pPr>
              <w:pStyle w:val="TableParagraph"/>
              <w:spacing w:before="16"/>
              <w:ind w:left="41" w:right="49"/>
              <w:jc w:val="center"/>
              <w:rPr>
                <w:sz w:val="18"/>
              </w:rPr>
            </w:pPr>
            <w:r>
              <w:rPr>
                <w:sz w:val="18"/>
              </w:rPr>
              <w:t>MA</w:t>
            </w:r>
          </w:p>
        </w:tc>
      </w:tr>
      <w:tr>
        <w:trPr>
          <w:trHeight w:val="249" w:hRule="atLeast"/>
        </w:trPr>
        <w:tc>
          <w:tcPr>
            <w:tcW w:w="1622" w:type="dxa"/>
          </w:tcPr>
          <w:p>
            <w:pPr>
              <w:pStyle w:val="TableParagraph"/>
              <w:spacing w:before="16"/>
              <w:ind w:left="229" w:right="216"/>
              <w:jc w:val="center"/>
              <w:rPr>
                <w:sz w:val="18"/>
              </w:rPr>
            </w:pPr>
            <w:r>
              <w:rPr>
                <w:sz w:val="18"/>
              </w:rPr>
              <w:t>Terra/Aqua</w:t>
            </w:r>
          </w:p>
        </w:tc>
        <w:tc>
          <w:tcPr>
            <w:tcW w:w="1591" w:type="dxa"/>
          </w:tcPr>
          <w:p>
            <w:pPr>
              <w:pStyle w:val="TableParagraph"/>
              <w:spacing w:before="16"/>
              <w:ind w:left="65" w:right="54"/>
              <w:jc w:val="center"/>
              <w:rPr>
                <w:sz w:val="18"/>
              </w:rPr>
            </w:pPr>
            <w:r>
              <w:rPr>
                <w:sz w:val="18"/>
              </w:rPr>
              <w:t>MODIS</w:t>
            </w:r>
          </w:p>
        </w:tc>
        <w:tc>
          <w:tcPr>
            <w:tcW w:w="1157" w:type="dxa"/>
          </w:tcPr>
          <w:p>
            <w:pPr>
              <w:pStyle w:val="TableParagraph"/>
              <w:spacing w:before="16"/>
              <w:ind w:left="92" w:right="82"/>
              <w:jc w:val="center"/>
              <w:rPr>
                <w:sz w:val="18"/>
              </w:rPr>
            </w:pPr>
            <w:r>
              <w:rPr>
                <w:sz w:val="18"/>
              </w:rPr>
              <w:t>USA</w:t>
            </w:r>
          </w:p>
        </w:tc>
        <w:tc>
          <w:tcPr>
            <w:tcW w:w="1445" w:type="dxa"/>
          </w:tcPr>
          <w:p>
            <w:pPr>
              <w:pStyle w:val="TableParagraph"/>
              <w:spacing w:before="16"/>
              <w:ind w:right="172"/>
              <w:jc w:val="right"/>
              <w:rPr>
                <w:sz w:val="18"/>
              </w:rPr>
            </w:pPr>
            <w:r>
              <w:rPr>
                <w:sz w:val="18"/>
              </w:rPr>
              <w:t>250, 500, 1000</w:t>
            </w:r>
          </w:p>
        </w:tc>
        <w:tc>
          <w:tcPr>
            <w:tcW w:w="1157" w:type="dxa"/>
          </w:tcPr>
          <w:p>
            <w:pPr>
              <w:pStyle w:val="TableParagraph"/>
              <w:spacing w:before="16"/>
              <w:ind w:left="92" w:right="83"/>
              <w:jc w:val="center"/>
              <w:rPr>
                <w:sz w:val="18"/>
              </w:rPr>
            </w:pPr>
            <w:r>
              <w:rPr>
                <w:sz w:val="18"/>
              </w:rPr>
              <w:t>2330</w:t>
            </w:r>
          </w:p>
        </w:tc>
        <w:tc>
          <w:tcPr>
            <w:tcW w:w="579" w:type="dxa"/>
          </w:tcPr>
          <w:p>
            <w:pPr>
              <w:pStyle w:val="TableParagraph"/>
              <w:spacing w:before="16"/>
              <w:ind w:left="9"/>
              <w:jc w:val="center"/>
              <w:rPr>
                <w:sz w:val="18"/>
              </w:rPr>
            </w:pPr>
            <w:r>
              <w:rPr>
                <w:sz w:val="18"/>
              </w:rPr>
              <w:t>O</w:t>
            </w:r>
          </w:p>
        </w:tc>
        <w:tc>
          <w:tcPr>
            <w:tcW w:w="579" w:type="dxa"/>
          </w:tcPr>
          <w:p>
            <w:pPr>
              <w:pStyle w:val="TableParagraph"/>
              <w:spacing w:before="16"/>
              <w:ind w:left="46" w:right="41"/>
              <w:jc w:val="center"/>
              <w:rPr>
                <w:sz w:val="18"/>
              </w:rPr>
            </w:pPr>
            <w:r>
              <w:rPr>
                <w:sz w:val="18"/>
              </w:rPr>
              <w:t>Co-G</w:t>
            </w:r>
          </w:p>
        </w:tc>
        <w:tc>
          <w:tcPr>
            <w:tcW w:w="579" w:type="dxa"/>
          </w:tcPr>
          <w:p>
            <w:pPr>
              <w:pStyle w:val="TableParagraph"/>
              <w:spacing w:before="16"/>
              <w:ind w:right="1"/>
              <w:jc w:val="center"/>
              <w:rPr>
                <w:sz w:val="18"/>
              </w:rPr>
            </w:pPr>
            <w:r>
              <w:rPr>
                <w:sz w:val="18"/>
              </w:rPr>
              <w:t>M</w:t>
            </w:r>
          </w:p>
        </w:tc>
        <w:tc>
          <w:tcPr>
            <w:tcW w:w="577" w:type="dxa"/>
          </w:tcPr>
          <w:p>
            <w:pPr>
              <w:pStyle w:val="TableParagraph"/>
              <w:spacing w:before="16"/>
              <w:jc w:val="center"/>
              <w:rPr>
                <w:sz w:val="18"/>
              </w:rPr>
            </w:pPr>
            <w:r>
              <w:rPr>
                <w:sz w:val="18"/>
              </w:rPr>
              <w:t>M</w:t>
            </w:r>
          </w:p>
        </w:tc>
        <w:tc>
          <w:tcPr>
            <w:tcW w:w="438" w:type="dxa"/>
          </w:tcPr>
          <w:p>
            <w:pPr>
              <w:pStyle w:val="TableParagraph"/>
              <w:spacing w:before="16"/>
              <w:jc w:val="center"/>
              <w:rPr>
                <w:sz w:val="18"/>
              </w:rPr>
            </w:pPr>
            <w:r>
              <w:rPr>
                <w:sz w:val="18"/>
              </w:rPr>
              <w:t>M</w:t>
            </w:r>
          </w:p>
        </w:tc>
        <w:tc>
          <w:tcPr>
            <w:tcW w:w="580" w:type="dxa"/>
          </w:tcPr>
          <w:p>
            <w:pPr>
              <w:pStyle w:val="TableParagraph"/>
              <w:spacing w:before="16"/>
              <w:ind w:right="4"/>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right="8"/>
              <w:jc w:val="center"/>
              <w:rPr>
                <w:sz w:val="18"/>
              </w:rPr>
            </w:pPr>
            <w:r>
              <w:rPr>
                <w:sz w:val="18"/>
              </w:rPr>
              <w:t>A</w:t>
            </w:r>
          </w:p>
        </w:tc>
        <w:tc>
          <w:tcPr>
            <w:tcW w:w="1014" w:type="dxa"/>
          </w:tcPr>
          <w:p>
            <w:pPr>
              <w:pStyle w:val="TableParagraph"/>
              <w:spacing w:before="16"/>
              <w:ind w:left="41" w:right="53"/>
              <w:jc w:val="center"/>
              <w:rPr>
                <w:sz w:val="18"/>
              </w:rPr>
            </w:pPr>
            <w:r>
              <w:rPr>
                <w:sz w:val="18"/>
              </w:rPr>
              <w:t>PA</w:t>
            </w:r>
          </w:p>
        </w:tc>
      </w:tr>
      <w:tr>
        <w:trPr>
          <w:trHeight w:val="251" w:hRule="atLeast"/>
        </w:trPr>
        <w:tc>
          <w:tcPr>
            <w:tcW w:w="1622" w:type="dxa"/>
          </w:tcPr>
          <w:p>
            <w:pPr>
              <w:pStyle w:val="TableParagraph"/>
              <w:spacing w:before="16"/>
              <w:ind w:left="229" w:right="216"/>
              <w:jc w:val="center"/>
              <w:rPr>
                <w:sz w:val="18"/>
              </w:rPr>
            </w:pPr>
            <w:r>
              <w:rPr>
                <w:sz w:val="18"/>
              </w:rPr>
              <w:t>Terra</w:t>
            </w:r>
          </w:p>
        </w:tc>
        <w:tc>
          <w:tcPr>
            <w:tcW w:w="1591" w:type="dxa"/>
          </w:tcPr>
          <w:p>
            <w:pPr>
              <w:pStyle w:val="TableParagraph"/>
              <w:spacing w:before="16"/>
              <w:ind w:left="65" w:right="51"/>
              <w:jc w:val="center"/>
              <w:rPr>
                <w:sz w:val="18"/>
              </w:rPr>
            </w:pPr>
            <w:r>
              <w:rPr>
                <w:sz w:val="18"/>
              </w:rPr>
              <w:t>MISR</w:t>
            </w:r>
          </w:p>
        </w:tc>
        <w:tc>
          <w:tcPr>
            <w:tcW w:w="1157" w:type="dxa"/>
          </w:tcPr>
          <w:p>
            <w:pPr>
              <w:pStyle w:val="TableParagraph"/>
              <w:spacing w:before="16"/>
              <w:ind w:left="92" w:right="80"/>
              <w:jc w:val="center"/>
              <w:rPr>
                <w:sz w:val="18"/>
              </w:rPr>
            </w:pPr>
            <w:r>
              <w:rPr>
                <w:sz w:val="18"/>
              </w:rPr>
              <w:t>USA</w:t>
            </w:r>
          </w:p>
        </w:tc>
        <w:tc>
          <w:tcPr>
            <w:tcW w:w="1445" w:type="dxa"/>
          </w:tcPr>
          <w:p>
            <w:pPr>
              <w:pStyle w:val="TableParagraph"/>
              <w:spacing w:before="16"/>
              <w:ind w:right="171"/>
              <w:jc w:val="right"/>
              <w:rPr>
                <w:sz w:val="18"/>
              </w:rPr>
            </w:pPr>
            <w:r>
              <w:rPr>
                <w:sz w:val="18"/>
              </w:rPr>
              <w:t>275, 550, 1000</w:t>
            </w:r>
          </w:p>
        </w:tc>
        <w:tc>
          <w:tcPr>
            <w:tcW w:w="1157" w:type="dxa"/>
          </w:tcPr>
          <w:p>
            <w:pPr>
              <w:pStyle w:val="TableParagraph"/>
              <w:spacing w:before="16"/>
              <w:ind w:left="92" w:right="82"/>
              <w:jc w:val="center"/>
              <w:rPr>
                <w:sz w:val="18"/>
              </w:rPr>
            </w:pPr>
            <w:r>
              <w:rPr>
                <w:sz w:val="18"/>
              </w:rPr>
              <w:t>360</w:t>
            </w:r>
          </w:p>
        </w:tc>
        <w:tc>
          <w:tcPr>
            <w:tcW w:w="579" w:type="dxa"/>
          </w:tcPr>
          <w:p>
            <w:pPr>
              <w:pStyle w:val="TableParagraph"/>
              <w:spacing w:before="16"/>
              <w:ind w:left="11"/>
              <w:jc w:val="center"/>
              <w:rPr>
                <w:sz w:val="18"/>
              </w:rPr>
            </w:pPr>
            <w:r>
              <w:rPr>
                <w:sz w:val="18"/>
              </w:rPr>
              <w:t>O</w:t>
            </w:r>
          </w:p>
        </w:tc>
        <w:tc>
          <w:tcPr>
            <w:tcW w:w="579" w:type="dxa"/>
          </w:tcPr>
          <w:p>
            <w:pPr>
              <w:pStyle w:val="TableParagraph"/>
              <w:spacing w:before="16"/>
              <w:ind w:left="48" w:right="41"/>
              <w:jc w:val="center"/>
              <w:rPr>
                <w:sz w:val="18"/>
              </w:rPr>
            </w:pPr>
            <w:r>
              <w:rPr>
                <w:sz w:val="18"/>
              </w:rPr>
              <w:t>Co-G</w:t>
            </w:r>
          </w:p>
        </w:tc>
        <w:tc>
          <w:tcPr>
            <w:tcW w:w="579" w:type="dxa"/>
          </w:tcPr>
          <w:p>
            <w:pPr>
              <w:pStyle w:val="TableParagraph"/>
              <w:spacing w:before="16"/>
              <w:jc w:val="center"/>
              <w:rPr>
                <w:sz w:val="18"/>
              </w:rPr>
            </w:pPr>
            <w:r>
              <w:rPr>
                <w:sz w:val="18"/>
              </w:rPr>
              <w:t>M</w:t>
            </w: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spacing w:before="16"/>
              <w:ind w:right="2"/>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49"/>
              <w:jc w:val="center"/>
              <w:rPr>
                <w:sz w:val="18"/>
              </w:rPr>
            </w:pPr>
            <w:r>
              <w:rPr>
                <w:sz w:val="18"/>
              </w:rPr>
              <w:t>PA</w:t>
            </w:r>
          </w:p>
        </w:tc>
        <w:tc>
          <w:tcPr>
            <w:tcW w:w="1014" w:type="dxa"/>
          </w:tcPr>
          <w:p>
            <w:pPr>
              <w:pStyle w:val="TableParagraph"/>
              <w:rPr>
                <w:sz w:val="16"/>
              </w:rPr>
            </w:pPr>
          </w:p>
        </w:tc>
      </w:tr>
      <w:tr>
        <w:trPr>
          <w:trHeight w:val="251" w:hRule="atLeast"/>
        </w:trPr>
        <w:tc>
          <w:tcPr>
            <w:tcW w:w="1622" w:type="dxa"/>
          </w:tcPr>
          <w:p>
            <w:pPr>
              <w:pStyle w:val="TableParagraph"/>
              <w:spacing w:before="16"/>
              <w:ind w:left="228" w:right="217"/>
              <w:jc w:val="center"/>
              <w:rPr>
                <w:sz w:val="18"/>
              </w:rPr>
            </w:pPr>
            <w:r>
              <w:rPr>
                <w:sz w:val="18"/>
              </w:rPr>
              <w:t>ERS-1/2</w:t>
            </w:r>
          </w:p>
        </w:tc>
        <w:tc>
          <w:tcPr>
            <w:tcW w:w="1591" w:type="dxa"/>
          </w:tcPr>
          <w:p>
            <w:pPr>
              <w:pStyle w:val="TableParagraph"/>
              <w:spacing w:before="16"/>
              <w:ind w:left="65" w:right="54"/>
              <w:jc w:val="center"/>
              <w:rPr>
                <w:sz w:val="18"/>
              </w:rPr>
            </w:pPr>
            <w:r>
              <w:rPr>
                <w:sz w:val="18"/>
              </w:rPr>
              <w:t>ATSR-1/2</w:t>
            </w:r>
          </w:p>
        </w:tc>
        <w:tc>
          <w:tcPr>
            <w:tcW w:w="1157" w:type="dxa"/>
          </w:tcPr>
          <w:p>
            <w:pPr>
              <w:pStyle w:val="TableParagraph"/>
              <w:spacing w:before="16"/>
              <w:ind w:left="92" w:right="81"/>
              <w:jc w:val="center"/>
              <w:rPr>
                <w:sz w:val="18"/>
              </w:rPr>
            </w:pPr>
            <w:r>
              <w:rPr>
                <w:sz w:val="18"/>
              </w:rPr>
              <w:t>Europe</w:t>
            </w:r>
          </w:p>
        </w:tc>
        <w:tc>
          <w:tcPr>
            <w:tcW w:w="1445" w:type="dxa"/>
          </w:tcPr>
          <w:p>
            <w:pPr>
              <w:pStyle w:val="TableParagraph"/>
              <w:spacing w:before="16"/>
              <w:ind w:left="475" w:right="468"/>
              <w:jc w:val="center"/>
              <w:rPr>
                <w:sz w:val="18"/>
              </w:rPr>
            </w:pPr>
            <w:r>
              <w:rPr>
                <w:sz w:val="18"/>
              </w:rPr>
              <w:t>1000</w:t>
            </w:r>
          </w:p>
        </w:tc>
        <w:tc>
          <w:tcPr>
            <w:tcW w:w="1157" w:type="dxa"/>
          </w:tcPr>
          <w:p>
            <w:pPr>
              <w:pStyle w:val="TableParagraph"/>
              <w:spacing w:before="16"/>
              <w:ind w:left="92" w:right="83"/>
              <w:jc w:val="center"/>
              <w:rPr>
                <w:sz w:val="18"/>
              </w:rPr>
            </w:pPr>
            <w:r>
              <w:rPr>
                <w:sz w:val="18"/>
              </w:rPr>
              <w:t>500</w:t>
            </w:r>
          </w:p>
        </w:tc>
        <w:tc>
          <w:tcPr>
            <w:tcW w:w="579" w:type="dxa"/>
          </w:tcPr>
          <w:p>
            <w:pPr>
              <w:pStyle w:val="TableParagraph"/>
              <w:spacing w:before="16"/>
              <w:ind w:left="10"/>
              <w:jc w:val="center"/>
              <w:rPr>
                <w:sz w:val="18"/>
              </w:rPr>
            </w:pPr>
            <w:r>
              <w:rPr>
                <w:sz w:val="18"/>
              </w:rPr>
              <w:t>O</w:t>
            </w:r>
          </w:p>
        </w:tc>
        <w:tc>
          <w:tcPr>
            <w:tcW w:w="579" w:type="dxa"/>
          </w:tcPr>
          <w:p>
            <w:pPr>
              <w:pStyle w:val="TableParagraph"/>
              <w:spacing w:before="16"/>
              <w:ind w:left="47" w:right="41"/>
              <w:jc w:val="center"/>
              <w:rPr>
                <w:sz w:val="18"/>
              </w:rPr>
            </w:pPr>
            <w:r>
              <w:rPr>
                <w:sz w:val="18"/>
              </w:rPr>
              <w:t>Co-G</w:t>
            </w:r>
          </w:p>
        </w:tc>
        <w:tc>
          <w:tcPr>
            <w:tcW w:w="579" w:type="dxa"/>
          </w:tcPr>
          <w:p>
            <w:pPr>
              <w:pStyle w:val="TableParagraph"/>
              <w:spacing w:before="16"/>
              <w:jc w:val="center"/>
              <w:rPr>
                <w:sz w:val="18"/>
              </w:rPr>
            </w:pPr>
            <w:r>
              <w:rPr>
                <w:sz w:val="18"/>
              </w:rPr>
              <w:t>M</w:t>
            </w:r>
          </w:p>
        </w:tc>
        <w:tc>
          <w:tcPr>
            <w:tcW w:w="577" w:type="dxa"/>
          </w:tcPr>
          <w:p>
            <w:pPr>
              <w:pStyle w:val="TableParagraph"/>
              <w:spacing w:before="16"/>
              <w:jc w:val="center"/>
              <w:rPr>
                <w:sz w:val="18"/>
              </w:rPr>
            </w:pPr>
            <w:r>
              <w:rPr>
                <w:sz w:val="18"/>
              </w:rPr>
              <w:t>M</w:t>
            </w:r>
          </w:p>
        </w:tc>
        <w:tc>
          <w:tcPr>
            <w:tcW w:w="438" w:type="dxa"/>
          </w:tcPr>
          <w:p>
            <w:pPr>
              <w:pStyle w:val="TableParagraph"/>
              <w:spacing w:before="16"/>
              <w:ind w:right="1"/>
              <w:jc w:val="center"/>
              <w:rPr>
                <w:sz w:val="18"/>
              </w:rPr>
            </w:pPr>
            <w:r>
              <w:rPr>
                <w:sz w:val="18"/>
              </w:rPr>
              <w:t>M</w:t>
            </w:r>
          </w:p>
        </w:tc>
        <w:tc>
          <w:tcPr>
            <w:tcW w:w="580" w:type="dxa"/>
          </w:tcPr>
          <w:p>
            <w:pPr>
              <w:pStyle w:val="TableParagraph"/>
              <w:rPr>
                <w:sz w:val="16"/>
              </w:rPr>
            </w:pPr>
          </w:p>
        </w:tc>
        <w:tc>
          <w:tcPr>
            <w:tcW w:w="1012" w:type="dxa"/>
          </w:tcPr>
          <w:p>
            <w:pPr>
              <w:pStyle w:val="TableParagraph"/>
              <w:rPr>
                <w:sz w:val="16"/>
              </w:rPr>
            </w:pPr>
          </w:p>
        </w:tc>
        <w:tc>
          <w:tcPr>
            <w:tcW w:w="1014" w:type="dxa"/>
          </w:tcPr>
          <w:p>
            <w:pPr>
              <w:pStyle w:val="TableParagraph"/>
              <w:spacing w:before="16"/>
              <w:ind w:left="41" w:right="43"/>
              <w:jc w:val="center"/>
              <w:rPr>
                <w:sz w:val="18"/>
              </w:rPr>
            </w:pPr>
            <w:r>
              <w:rPr>
                <w:sz w:val="18"/>
              </w:rPr>
              <w:t>PA</w:t>
            </w:r>
          </w:p>
        </w:tc>
        <w:tc>
          <w:tcPr>
            <w:tcW w:w="1014" w:type="dxa"/>
          </w:tcPr>
          <w:p>
            <w:pPr>
              <w:pStyle w:val="TableParagraph"/>
              <w:spacing w:before="16"/>
              <w:ind w:right="7"/>
              <w:jc w:val="center"/>
              <w:rPr>
                <w:sz w:val="18"/>
              </w:rPr>
            </w:pPr>
            <w:r>
              <w:rPr>
                <w:sz w:val="18"/>
              </w:rPr>
              <w:t>A</w:t>
            </w:r>
          </w:p>
        </w:tc>
        <w:tc>
          <w:tcPr>
            <w:tcW w:w="1014" w:type="dxa"/>
          </w:tcPr>
          <w:p>
            <w:pPr>
              <w:pStyle w:val="TableParagraph"/>
              <w:spacing w:before="16"/>
              <w:ind w:left="41" w:right="51"/>
              <w:jc w:val="center"/>
              <w:rPr>
                <w:sz w:val="18"/>
              </w:rPr>
            </w:pPr>
            <w:r>
              <w:rPr>
                <w:sz w:val="18"/>
              </w:rPr>
              <w:t>MA</w:t>
            </w:r>
          </w:p>
        </w:tc>
      </w:tr>
      <w:tr>
        <w:trPr>
          <w:trHeight w:val="251" w:hRule="atLeast"/>
        </w:trPr>
        <w:tc>
          <w:tcPr>
            <w:tcW w:w="1622" w:type="dxa"/>
          </w:tcPr>
          <w:p>
            <w:pPr>
              <w:pStyle w:val="TableParagraph"/>
              <w:spacing w:before="16"/>
              <w:ind w:left="229" w:right="217"/>
              <w:jc w:val="center"/>
              <w:rPr>
                <w:sz w:val="18"/>
              </w:rPr>
            </w:pPr>
            <w:r>
              <w:rPr>
                <w:sz w:val="18"/>
              </w:rPr>
              <w:t>Envisat</w:t>
            </w:r>
          </w:p>
        </w:tc>
        <w:tc>
          <w:tcPr>
            <w:tcW w:w="1591" w:type="dxa"/>
          </w:tcPr>
          <w:p>
            <w:pPr>
              <w:pStyle w:val="TableParagraph"/>
              <w:spacing w:before="16"/>
              <w:ind w:left="65" w:right="52"/>
              <w:jc w:val="center"/>
              <w:rPr>
                <w:sz w:val="18"/>
              </w:rPr>
            </w:pPr>
            <w:r>
              <w:rPr>
                <w:sz w:val="18"/>
              </w:rPr>
              <w:t>AATSR</w:t>
            </w:r>
          </w:p>
        </w:tc>
        <w:tc>
          <w:tcPr>
            <w:tcW w:w="1157" w:type="dxa"/>
          </w:tcPr>
          <w:p>
            <w:pPr>
              <w:pStyle w:val="TableParagraph"/>
              <w:spacing w:before="16"/>
              <w:ind w:left="92" w:right="80"/>
              <w:jc w:val="center"/>
              <w:rPr>
                <w:sz w:val="18"/>
              </w:rPr>
            </w:pPr>
            <w:r>
              <w:rPr>
                <w:sz w:val="18"/>
              </w:rPr>
              <w:t>Europe</w:t>
            </w:r>
          </w:p>
        </w:tc>
        <w:tc>
          <w:tcPr>
            <w:tcW w:w="1445" w:type="dxa"/>
          </w:tcPr>
          <w:p>
            <w:pPr>
              <w:pStyle w:val="TableParagraph"/>
              <w:spacing w:before="16"/>
              <w:ind w:left="476" w:right="468"/>
              <w:jc w:val="center"/>
              <w:rPr>
                <w:sz w:val="18"/>
              </w:rPr>
            </w:pPr>
            <w:r>
              <w:rPr>
                <w:sz w:val="18"/>
              </w:rPr>
              <w:t>1000</w:t>
            </w:r>
          </w:p>
        </w:tc>
        <w:tc>
          <w:tcPr>
            <w:tcW w:w="1157" w:type="dxa"/>
          </w:tcPr>
          <w:p>
            <w:pPr>
              <w:pStyle w:val="TableParagraph"/>
              <w:spacing w:before="16"/>
              <w:ind w:left="92" w:right="82"/>
              <w:jc w:val="center"/>
              <w:rPr>
                <w:sz w:val="18"/>
              </w:rPr>
            </w:pPr>
            <w:r>
              <w:rPr>
                <w:sz w:val="18"/>
              </w:rPr>
              <w:t>500</w:t>
            </w:r>
          </w:p>
        </w:tc>
        <w:tc>
          <w:tcPr>
            <w:tcW w:w="579" w:type="dxa"/>
          </w:tcPr>
          <w:p>
            <w:pPr>
              <w:pStyle w:val="TableParagraph"/>
              <w:spacing w:before="16"/>
              <w:ind w:left="11"/>
              <w:jc w:val="center"/>
              <w:rPr>
                <w:sz w:val="18"/>
              </w:rPr>
            </w:pPr>
            <w:r>
              <w:rPr>
                <w:sz w:val="18"/>
              </w:rPr>
              <w:t>O</w:t>
            </w:r>
          </w:p>
        </w:tc>
        <w:tc>
          <w:tcPr>
            <w:tcW w:w="579" w:type="dxa"/>
          </w:tcPr>
          <w:p>
            <w:pPr>
              <w:pStyle w:val="TableParagraph"/>
              <w:spacing w:before="16"/>
              <w:ind w:left="48" w:right="41"/>
              <w:jc w:val="center"/>
              <w:rPr>
                <w:sz w:val="18"/>
              </w:rPr>
            </w:pPr>
            <w:r>
              <w:rPr>
                <w:sz w:val="18"/>
              </w:rPr>
              <w:t>Co-G</w:t>
            </w:r>
          </w:p>
        </w:tc>
        <w:tc>
          <w:tcPr>
            <w:tcW w:w="579" w:type="dxa"/>
          </w:tcPr>
          <w:p>
            <w:pPr>
              <w:pStyle w:val="TableParagraph"/>
              <w:spacing w:before="16"/>
              <w:jc w:val="center"/>
              <w:rPr>
                <w:sz w:val="18"/>
              </w:rPr>
            </w:pPr>
            <w:r>
              <w:rPr>
                <w:sz w:val="18"/>
              </w:rPr>
              <w:t>M</w:t>
            </w:r>
          </w:p>
        </w:tc>
        <w:tc>
          <w:tcPr>
            <w:tcW w:w="577" w:type="dxa"/>
          </w:tcPr>
          <w:p>
            <w:pPr>
              <w:pStyle w:val="TableParagraph"/>
              <w:spacing w:before="16"/>
              <w:ind w:left="2"/>
              <w:jc w:val="center"/>
              <w:rPr>
                <w:sz w:val="18"/>
              </w:rPr>
            </w:pPr>
            <w:r>
              <w:rPr>
                <w:sz w:val="18"/>
              </w:rPr>
              <w:t>M</w:t>
            </w:r>
          </w:p>
        </w:tc>
        <w:tc>
          <w:tcPr>
            <w:tcW w:w="438" w:type="dxa"/>
          </w:tcPr>
          <w:p>
            <w:pPr>
              <w:pStyle w:val="TableParagraph"/>
              <w:spacing w:before="16"/>
              <w:jc w:val="center"/>
              <w:rPr>
                <w:sz w:val="18"/>
              </w:rPr>
            </w:pPr>
            <w:r>
              <w:rPr>
                <w:sz w:val="18"/>
              </w:rPr>
              <w:t>M</w:t>
            </w:r>
          </w:p>
        </w:tc>
        <w:tc>
          <w:tcPr>
            <w:tcW w:w="580" w:type="dxa"/>
          </w:tcPr>
          <w:p>
            <w:pPr>
              <w:pStyle w:val="TableParagraph"/>
              <w:rPr>
                <w:sz w:val="16"/>
              </w:rPr>
            </w:pP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48"/>
              <w:jc w:val="center"/>
              <w:rPr>
                <w:sz w:val="18"/>
              </w:rPr>
            </w:pPr>
            <w:r>
              <w:rPr>
                <w:sz w:val="18"/>
              </w:rPr>
              <w:t>PA</w:t>
            </w:r>
          </w:p>
        </w:tc>
        <w:tc>
          <w:tcPr>
            <w:tcW w:w="1014" w:type="dxa"/>
          </w:tcPr>
          <w:p>
            <w:pPr>
              <w:pStyle w:val="TableParagraph"/>
              <w:spacing w:before="16"/>
              <w:ind w:left="41" w:right="49"/>
              <w:jc w:val="center"/>
              <w:rPr>
                <w:sz w:val="18"/>
              </w:rPr>
            </w:pPr>
            <w:r>
              <w:rPr>
                <w:sz w:val="18"/>
              </w:rPr>
              <w:t>MA</w:t>
            </w:r>
          </w:p>
        </w:tc>
      </w:tr>
      <w:tr>
        <w:trPr>
          <w:trHeight w:val="249" w:hRule="atLeast"/>
        </w:trPr>
        <w:tc>
          <w:tcPr>
            <w:tcW w:w="1622" w:type="dxa"/>
          </w:tcPr>
          <w:p>
            <w:pPr>
              <w:pStyle w:val="TableParagraph"/>
              <w:spacing w:before="16"/>
              <w:ind w:left="226" w:right="217"/>
              <w:jc w:val="center"/>
              <w:rPr>
                <w:sz w:val="18"/>
              </w:rPr>
            </w:pPr>
            <w:r>
              <w:rPr>
                <w:sz w:val="18"/>
              </w:rPr>
              <w:t>NPOESS</w:t>
            </w:r>
          </w:p>
        </w:tc>
        <w:tc>
          <w:tcPr>
            <w:tcW w:w="1591" w:type="dxa"/>
          </w:tcPr>
          <w:p>
            <w:pPr>
              <w:pStyle w:val="TableParagraph"/>
              <w:spacing w:before="16"/>
              <w:ind w:left="65" w:right="54"/>
              <w:jc w:val="center"/>
              <w:rPr>
                <w:sz w:val="18"/>
              </w:rPr>
            </w:pPr>
            <w:r>
              <w:rPr>
                <w:sz w:val="18"/>
              </w:rPr>
              <w:t>VIRS</w:t>
            </w:r>
          </w:p>
        </w:tc>
        <w:tc>
          <w:tcPr>
            <w:tcW w:w="1157" w:type="dxa"/>
          </w:tcPr>
          <w:p>
            <w:pPr>
              <w:pStyle w:val="TableParagraph"/>
              <w:spacing w:before="16"/>
              <w:ind w:left="92" w:right="84"/>
              <w:jc w:val="center"/>
              <w:rPr>
                <w:sz w:val="18"/>
              </w:rPr>
            </w:pPr>
            <w:r>
              <w:rPr>
                <w:sz w:val="18"/>
              </w:rPr>
              <w:t>USA</w:t>
            </w:r>
          </w:p>
        </w:tc>
        <w:tc>
          <w:tcPr>
            <w:tcW w:w="1445" w:type="dxa"/>
          </w:tcPr>
          <w:p>
            <w:pPr>
              <w:pStyle w:val="TableParagraph"/>
              <w:spacing w:before="16"/>
              <w:ind w:left="475" w:right="468"/>
              <w:jc w:val="center"/>
              <w:rPr>
                <w:sz w:val="18"/>
              </w:rPr>
            </w:pPr>
            <w:r>
              <w:rPr>
                <w:sz w:val="18"/>
              </w:rPr>
              <w:t>400</w:t>
            </w:r>
          </w:p>
        </w:tc>
        <w:tc>
          <w:tcPr>
            <w:tcW w:w="1157" w:type="dxa"/>
          </w:tcPr>
          <w:p>
            <w:pPr>
              <w:pStyle w:val="TableParagraph"/>
              <w:spacing w:before="16"/>
              <w:ind w:left="92" w:right="84"/>
              <w:jc w:val="center"/>
              <w:rPr>
                <w:sz w:val="18"/>
              </w:rPr>
            </w:pPr>
            <w:r>
              <w:rPr>
                <w:sz w:val="18"/>
              </w:rPr>
              <w:t>3000</w:t>
            </w:r>
          </w:p>
        </w:tc>
        <w:tc>
          <w:tcPr>
            <w:tcW w:w="579" w:type="dxa"/>
          </w:tcPr>
          <w:p>
            <w:pPr>
              <w:pStyle w:val="TableParagraph"/>
              <w:spacing w:before="16"/>
              <w:ind w:left="8"/>
              <w:jc w:val="center"/>
              <w:rPr>
                <w:sz w:val="18"/>
              </w:rPr>
            </w:pPr>
            <w:r>
              <w:rPr>
                <w:sz w:val="18"/>
              </w:rPr>
              <w:t>O</w:t>
            </w:r>
          </w:p>
        </w:tc>
        <w:tc>
          <w:tcPr>
            <w:tcW w:w="579" w:type="dxa"/>
          </w:tcPr>
          <w:p>
            <w:pPr>
              <w:pStyle w:val="TableParagraph"/>
              <w:spacing w:before="16"/>
              <w:ind w:left="45" w:right="41"/>
              <w:jc w:val="center"/>
              <w:rPr>
                <w:sz w:val="18"/>
              </w:rPr>
            </w:pPr>
            <w:r>
              <w:rPr>
                <w:sz w:val="18"/>
              </w:rPr>
              <w:t>Co-G</w:t>
            </w:r>
          </w:p>
        </w:tc>
        <w:tc>
          <w:tcPr>
            <w:tcW w:w="579" w:type="dxa"/>
          </w:tcPr>
          <w:p>
            <w:pPr>
              <w:pStyle w:val="TableParagraph"/>
              <w:spacing w:before="16"/>
              <w:jc w:val="center"/>
              <w:rPr>
                <w:sz w:val="18"/>
              </w:rPr>
            </w:pPr>
            <w:r>
              <w:rPr>
                <w:sz w:val="18"/>
              </w:rPr>
              <w:t>M</w:t>
            </w:r>
          </w:p>
        </w:tc>
        <w:tc>
          <w:tcPr>
            <w:tcW w:w="577" w:type="dxa"/>
          </w:tcPr>
          <w:p>
            <w:pPr>
              <w:pStyle w:val="TableParagraph"/>
              <w:spacing w:before="16"/>
              <w:jc w:val="center"/>
              <w:rPr>
                <w:sz w:val="18"/>
              </w:rPr>
            </w:pPr>
            <w:r>
              <w:rPr>
                <w:sz w:val="18"/>
              </w:rPr>
              <w:t>M</w:t>
            </w:r>
          </w:p>
        </w:tc>
        <w:tc>
          <w:tcPr>
            <w:tcW w:w="438" w:type="dxa"/>
          </w:tcPr>
          <w:p>
            <w:pPr>
              <w:pStyle w:val="TableParagraph"/>
              <w:spacing w:before="16"/>
              <w:jc w:val="center"/>
              <w:rPr>
                <w:sz w:val="18"/>
              </w:rPr>
            </w:pPr>
            <w:r>
              <w:rPr>
                <w:sz w:val="18"/>
              </w:rPr>
              <w:t>M</w:t>
            </w:r>
          </w:p>
        </w:tc>
        <w:tc>
          <w:tcPr>
            <w:tcW w:w="580" w:type="dxa"/>
          </w:tcPr>
          <w:p>
            <w:pPr>
              <w:pStyle w:val="TableParagraph"/>
              <w:spacing w:before="16"/>
              <w:ind w:right="4"/>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right="9"/>
              <w:jc w:val="center"/>
              <w:rPr>
                <w:sz w:val="18"/>
              </w:rPr>
            </w:pPr>
            <w:r>
              <w:rPr>
                <w:sz w:val="18"/>
              </w:rPr>
              <w:t>A</w:t>
            </w:r>
          </w:p>
        </w:tc>
      </w:tr>
      <w:tr>
        <w:trPr>
          <w:trHeight w:val="251" w:hRule="atLeast"/>
        </w:trPr>
        <w:tc>
          <w:tcPr>
            <w:tcW w:w="1622" w:type="dxa"/>
          </w:tcPr>
          <w:p>
            <w:pPr>
              <w:pStyle w:val="TableParagraph"/>
              <w:spacing w:before="16"/>
              <w:ind w:left="229" w:right="217"/>
              <w:jc w:val="center"/>
              <w:rPr>
                <w:sz w:val="18"/>
              </w:rPr>
            </w:pPr>
            <w:r>
              <w:rPr>
                <w:sz w:val="18"/>
              </w:rPr>
              <w:t>Envisat</w:t>
            </w:r>
          </w:p>
        </w:tc>
        <w:tc>
          <w:tcPr>
            <w:tcW w:w="1591" w:type="dxa"/>
          </w:tcPr>
          <w:p>
            <w:pPr>
              <w:pStyle w:val="TableParagraph"/>
              <w:spacing w:before="16"/>
              <w:ind w:left="65" w:right="51"/>
              <w:jc w:val="center"/>
              <w:rPr>
                <w:sz w:val="18"/>
              </w:rPr>
            </w:pPr>
            <w:r>
              <w:rPr>
                <w:sz w:val="18"/>
              </w:rPr>
              <w:t>MERIS</w:t>
            </w:r>
          </w:p>
        </w:tc>
        <w:tc>
          <w:tcPr>
            <w:tcW w:w="1157" w:type="dxa"/>
          </w:tcPr>
          <w:p>
            <w:pPr>
              <w:pStyle w:val="TableParagraph"/>
              <w:spacing w:before="16"/>
              <w:ind w:left="92" w:right="79"/>
              <w:jc w:val="center"/>
              <w:rPr>
                <w:sz w:val="18"/>
              </w:rPr>
            </w:pPr>
            <w:r>
              <w:rPr>
                <w:sz w:val="18"/>
              </w:rPr>
              <w:t>Europe</w:t>
            </w:r>
          </w:p>
        </w:tc>
        <w:tc>
          <w:tcPr>
            <w:tcW w:w="1445" w:type="dxa"/>
          </w:tcPr>
          <w:p>
            <w:pPr>
              <w:pStyle w:val="TableParagraph"/>
              <w:spacing w:before="16"/>
              <w:ind w:left="321"/>
              <w:rPr>
                <w:sz w:val="18"/>
              </w:rPr>
            </w:pPr>
            <w:r>
              <w:rPr>
                <w:sz w:val="18"/>
              </w:rPr>
              <w:t>300 (Land)</w:t>
            </w:r>
          </w:p>
        </w:tc>
        <w:tc>
          <w:tcPr>
            <w:tcW w:w="1157" w:type="dxa"/>
          </w:tcPr>
          <w:p>
            <w:pPr>
              <w:pStyle w:val="TableParagraph"/>
              <w:spacing w:before="16"/>
              <w:ind w:left="92" w:right="81"/>
              <w:jc w:val="center"/>
              <w:rPr>
                <w:sz w:val="18"/>
              </w:rPr>
            </w:pPr>
            <w:r>
              <w:rPr>
                <w:sz w:val="18"/>
              </w:rPr>
              <w:t>1150</w:t>
            </w:r>
          </w:p>
        </w:tc>
        <w:tc>
          <w:tcPr>
            <w:tcW w:w="579" w:type="dxa"/>
          </w:tcPr>
          <w:p>
            <w:pPr>
              <w:pStyle w:val="TableParagraph"/>
              <w:spacing w:before="16"/>
              <w:ind w:left="11"/>
              <w:jc w:val="center"/>
              <w:rPr>
                <w:sz w:val="18"/>
              </w:rPr>
            </w:pPr>
            <w:r>
              <w:rPr>
                <w:sz w:val="18"/>
              </w:rPr>
              <w:t>O</w:t>
            </w:r>
          </w:p>
        </w:tc>
        <w:tc>
          <w:tcPr>
            <w:tcW w:w="579" w:type="dxa"/>
          </w:tcPr>
          <w:p>
            <w:pPr>
              <w:pStyle w:val="TableParagraph"/>
              <w:spacing w:before="16"/>
              <w:ind w:left="48" w:right="41"/>
              <w:jc w:val="center"/>
              <w:rPr>
                <w:sz w:val="18"/>
              </w:rPr>
            </w:pPr>
            <w:r>
              <w:rPr>
                <w:sz w:val="18"/>
              </w:rPr>
              <w:t>Co-G</w:t>
            </w:r>
          </w:p>
        </w:tc>
        <w:tc>
          <w:tcPr>
            <w:tcW w:w="579" w:type="dxa"/>
          </w:tcPr>
          <w:p>
            <w:pPr>
              <w:pStyle w:val="TableParagraph"/>
              <w:spacing w:before="16"/>
              <w:jc w:val="center"/>
              <w:rPr>
                <w:sz w:val="18"/>
              </w:rPr>
            </w:pPr>
            <w:r>
              <w:rPr>
                <w:sz w:val="18"/>
              </w:rPr>
              <w:t>M</w:t>
            </w:r>
          </w:p>
        </w:tc>
        <w:tc>
          <w:tcPr>
            <w:tcW w:w="577" w:type="dxa"/>
          </w:tcPr>
          <w:p>
            <w:pPr>
              <w:pStyle w:val="TableParagraph"/>
              <w:spacing w:before="16"/>
              <w:ind w:left="1"/>
              <w:jc w:val="center"/>
              <w:rPr>
                <w:sz w:val="18"/>
              </w:rPr>
            </w:pPr>
            <w:r>
              <w:rPr>
                <w:sz w:val="18"/>
              </w:rPr>
              <w:t>M</w:t>
            </w:r>
          </w:p>
        </w:tc>
        <w:tc>
          <w:tcPr>
            <w:tcW w:w="438" w:type="dxa"/>
          </w:tcPr>
          <w:p>
            <w:pPr>
              <w:pStyle w:val="TableParagraph"/>
              <w:rPr>
                <w:sz w:val="16"/>
              </w:rPr>
            </w:pPr>
          </w:p>
        </w:tc>
        <w:tc>
          <w:tcPr>
            <w:tcW w:w="580" w:type="dxa"/>
          </w:tcPr>
          <w:p>
            <w:pPr>
              <w:pStyle w:val="TableParagraph"/>
              <w:spacing w:before="16"/>
              <w:ind w:right="3"/>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49"/>
              <w:jc w:val="center"/>
              <w:rPr>
                <w:sz w:val="18"/>
              </w:rPr>
            </w:pPr>
            <w:r>
              <w:rPr>
                <w:sz w:val="18"/>
              </w:rPr>
              <w:t>PA</w:t>
            </w:r>
          </w:p>
        </w:tc>
        <w:tc>
          <w:tcPr>
            <w:tcW w:w="1014" w:type="dxa"/>
          </w:tcPr>
          <w:p>
            <w:pPr>
              <w:pStyle w:val="TableParagraph"/>
              <w:spacing w:before="16"/>
              <w:ind w:left="41" w:right="51"/>
              <w:jc w:val="center"/>
              <w:rPr>
                <w:sz w:val="18"/>
              </w:rPr>
            </w:pPr>
            <w:r>
              <w:rPr>
                <w:sz w:val="18"/>
              </w:rPr>
              <w:t>MA</w:t>
            </w:r>
          </w:p>
        </w:tc>
      </w:tr>
      <w:tr>
        <w:trPr>
          <w:trHeight w:val="251" w:hRule="atLeast"/>
        </w:trPr>
        <w:tc>
          <w:tcPr>
            <w:tcW w:w="1622" w:type="dxa"/>
          </w:tcPr>
          <w:p>
            <w:pPr>
              <w:pStyle w:val="TableParagraph"/>
              <w:spacing w:before="16"/>
              <w:ind w:left="228" w:right="217"/>
              <w:jc w:val="center"/>
              <w:rPr>
                <w:sz w:val="18"/>
              </w:rPr>
            </w:pPr>
            <w:r>
              <w:rPr>
                <w:sz w:val="18"/>
              </w:rPr>
              <w:t>Landsat</w:t>
            </w:r>
          </w:p>
        </w:tc>
        <w:tc>
          <w:tcPr>
            <w:tcW w:w="1591" w:type="dxa"/>
          </w:tcPr>
          <w:p>
            <w:pPr>
              <w:pStyle w:val="TableParagraph"/>
              <w:spacing w:before="16"/>
              <w:ind w:left="64" w:right="54"/>
              <w:jc w:val="center"/>
              <w:rPr>
                <w:sz w:val="18"/>
              </w:rPr>
            </w:pPr>
            <w:r>
              <w:rPr>
                <w:sz w:val="18"/>
              </w:rPr>
              <w:t>MSS</w:t>
            </w:r>
          </w:p>
        </w:tc>
        <w:tc>
          <w:tcPr>
            <w:tcW w:w="1157" w:type="dxa"/>
          </w:tcPr>
          <w:p>
            <w:pPr>
              <w:pStyle w:val="TableParagraph"/>
              <w:spacing w:before="16"/>
              <w:ind w:left="92" w:right="81"/>
              <w:jc w:val="center"/>
              <w:rPr>
                <w:sz w:val="18"/>
              </w:rPr>
            </w:pPr>
            <w:r>
              <w:rPr>
                <w:sz w:val="18"/>
              </w:rPr>
              <w:t>USA</w:t>
            </w:r>
          </w:p>
        </w:tc>
        <w:tc>
          <w:tcPr>
            <w:tcW w:w="1445" w:type="dxa"/>
          </w:tcPr>
          <w:p>
            <w:pPr>
              <w:pStyle w:val="TableParagraph"/>
              <w:spacing w:before="16"/>
              <w:ind w:left="476" w:right="466"/>
              <w:jc w:val="center"/>
              <w:rPr>
                <w:sz w:val="18"/>
              </w:rPr>
            </w:pPr>
            <w:r>
              <w:rPr>
                <w:sz w:val="18"/>
              </w:rPr>
              <w:t>80</w:t>
            </w:r>
          </w:p>
        </w:tc>
        <w:tc>
          <w:tcPr>
            <w:tcW w:w="1157" w:type="dxa"/>
          </w:tcPr>
          <w:p>
            <w:pPr>
              <w:pStyle w:val="TableParagraph"/>
              <w:spacing w:before="16"/>
              <w:ind w:left="92" w:right="83"/>
              <w:jc w:val="center"/>
              <w:rPr>
                <w:sz w:val="18"/>
              </w:rPr>
            </w:pPr>
            <w:r>
              <w:rPr>
                <w:sz w:val="18"/>
              </w:rPr>
              <w:t>185</w:t>
            </w:r>
          </w:p>
        </w:tc>
        <w:tc>
          <w:tcPr>
            <w:tcW w:w="579" w:type="dxa"/>
          </w:tcPr>
          <w:p>
            <w:pPr>
              <w:pStyle w:val="TableParagraph"/>
              <w:spacing w:before="16"/>
              <w:ind w:left="10"/>
              <w:jc w:val="center"/>
              <w:rPr>
                <w:sz w:val="18"/>
              </w:rPr>
            </w:pPr>
            <w:r>
              <w:rPr>
                <w:sz w:val="18"/>
              </w:rPr>
              <w:t>O</w:t>
            </w:r>
          </w:p>
        </w:tc>
        <w:tc>
          <w:tcPr>
            <w:tcW w:w="579" w:type="dxa"/>
          </w:tcPr>
          <w:p>
            <w:pPr>
              <w:pStyle w:val="TableParagraph"/>
              <w:spacing w:before="16"/>
              <w:ind w:left="4"/>
              <w:jc w:val="center"/>
              <w:rPr>
                <w:sz w:val="18"/>
              </w:rPr>
            </w:pPr>
            <w:r>
              <w:rPr>
                <w:sz w:val="18"/>
              </w:rPr>
              <w:t>R</w:t>
            </w:r>
          </w:p>
        </w:tc>
        <w:tc>
          <w:tcPr>
            <w:tcW w:w="579" w:type="dxa"/>
          </w:tcPr>
          <w:p>
            <w:pPr>
              <w:pStyle w:val="TableParagraph"/>
              <w:spacing w:before="16"/>
              <w:jc w:val="center"/>
              <w:rPr>
                <w:sz w:val="18"/>
              </w:rPr>
            </w:pPr>
            <w:r>
              <w:rPr>
                <w:sz w:val="18"/>
              </w:rPr>
              <w:t>M</w:t>
            </w: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spacing w:before="16"/>
              <w:ind w:right="3"/>
              <w:jc w:val="center"/>
              <w:rPr>
                <w:sz w:val="18"/>
              </w:rPr>
            </w:pPr>
            <w:r>
              <w:rPr>
                <w:sz w:val="18"/>
              </w:rPr>
              <w:t>-</w:t>
            </w:r>
          </w:p>
        </w:tc>
        <w:tc>
          <w:tcPr>
            <w:tcW w:w="1012" w:type="dxa"/>
          </w:tcPr>
          <w:p>
            <w:pPr>
              <w:pStyle w:val="TableParagraph"/>
              <w:spacing w:before="16"/>
              <w:jc w:val="center"/>
              <w:rPr>
                <w:sz w:val="18"/>
              </w:rPr>
            </w:pPr>
            <w:r>
              <w:rPr>
                <w:sz w:val="18"/>
              </w:rPr>
              <w:t>A</w:t>
            </w:r>
          </w:p>
        </w:tc>
        <w:tc>
          <w:tcPr>
            <w:tcW w:w="1014" w:type="dxa"/>
          </w:tcPr>
          <w:p>
            <w:pPr>
              <w:pStyle w:val="TableParagraph"/>
              <w:spacing w:before="16"/>
              <w:ind w:right="1"/>
              <w:jc w:val="center"/>
              <w:rPr>
                <w:sz w:val="18"/>
              </w:rPr>
            </w:pPr>
            <w:r>
              <w:rPr>
                <w:sz w:val="18"/>
              </w:rPr>
              <w:t>A</w:t>
            </w:r>
          </w:p>
        </w:tc>
        <w:tc>
          <w:tcPr>
            <w:tcW w:w="1014" w:type="dxa"/>
          </w:tcPr>
          <w:p>
            <w:pPr>
              <w:pStyle w:val="TableParagraph"/>
              <w:rPr>
                <w:sz w:val="16"/>
              </w:rPr>
            </w:pPr>
          </w:p>
        </w:tc>
        <w:tc>
          <w:tcPr>
            <w:tcW w:w="1014" w:type="dxa"/>
          </w:tcPr>
          <w:p>
            <w:pPr>
              <w:pStyle w:val="TableParagraph"/>
              <w:rPr>
                <w:sz w:val="16"/>
              </w:rPr>
            </w:pPr>
          </w:p>
        </w:tc>
      </w:tr>
      <w:tr>
        <w:trPr>
          <w:trHeight w:val="251" w:hRule="atLeast"/>
        </w:trPr>
        <w:tc>
          <w:tcPr>
            <w:tcW w:w="1622" w:type="dxa"/>
          </w:tcPr>
          <w:p>
            <w:pPr>
              <w:pStyle w:val="TableParagraph"/>
              <w:spacing w:before="16"/>
              <w:ind w:left="228" w:right="217"/>
              <w:jc w:val="center"/>
              <w:rPr>
                <w:sz w:val="18"/>
              </w:rPr>
            </w:pPr>
            <w:r>
              <w:rPr>
                <w:sz w:val="18"/>
              </w:rPr>
              <w:t>Landsat</w:t>
            </w:r>
          </w:p>
        </w:tc>
        <w:tc>
          <w:tcPr>
            <w:tcW w:w="1591" w:type="dxa"/>
          </w:tcPr>
          <w:p>
            <w:pPr>
              <w:pStyle w:val="TableParagraph"/>
              <w:spacing w:before="16"/>
              <w:ind w:left="65" w:right="54"/>
              <w:jc w:val="center"/>
              <w:rPr>
                <w:sz w:val="18"/>
              </w:rPr>
            </w:pPr>
            <w:r>
              <w:rPr>
                <w:sz w:val="18"/>
              </w:rPr>
              <w:t>TM</w:t>
            </w:r>
          </w:p>
        </w:tc>
        <w:tc>
          <w:tcPr>
            <w:tcW w:w="1157" w:type="dxa"/>
          </w:tcPr>
          <w:p>
            <w:pPr>
              <w:pStyle w:val="TableParagraph"/>
              <w:spacing w:before="16"/>
              <w:ind w:left="92" w:right="82"/>
              <w:jc w:val="center"/>
              <w:rPr>
                <w:sz w:val="18"/>
              </w:rPr>
            </w:pPr>
            <w:r>
              <w:rPr>
                <w:sz w:val="18"/>
              </w:rPr>
              <w:t>USA</w:t>
            </w:r>
          </w:p>
        </w:tc>
        <w:tc>
          <w:tcPr>
            <w:tcW w:w="1445" w:type="dxa"/>
          </w:tcPr>
          <w:p>
            <w:pPr>
              <w:pStyle w:val="TableParagraph"/>
              <w:spacing w:before="16"/>
              <w:ind w:left="451"/>
              <w:rPr>
                <w:sz w:val="18"/>
              </w:rPr>
            </w:pPr>
            <w:r>
              <w:rPr>
                <w:sz w:val="18"/>
              </w:rPr>
              <w:t>30, 120</w:t>
            </w:r>
          </w:p>
        </w:tc>
        <w:tc>
          <w:tcPr>
            <w:tcW w:w="1157" w:type="dxa"/>
          </w:tcPr>
          <w:p>
            <w:pPr>
              <w:pStyle w:val="TableParagraph"/>
              <w:spacing w:before="16"/>
              <w:ind w:left="92" w:right="84"/>
              <w:jc w:val="center"/>
              <w:rPr>
                <w:sz w:val="18"/>
              </w:rPr>
            </w:pPr>
            <w:r>
              <w:rPr>
                <w:sz w:val="18"/>
              </w:rPr>
              <w:t>185</w:t>
            </w:r>
          </w:p>
        </w:tc>
        <w:tc>
          <w:tcPr>
            <w:tcW w:w="579" w:type="dxa"/>
          </w:tcPr>
          <w:p>
            <w:pPr>
              <w:pStyle w:val="TableParagraph"/>
              <w:spacing w:before="16"/>
              <w:ind w:left="9"/>
              <w:jc w:val="center"/>
              <w:rPr>
                <w:sz w:val="18"/>
              </w:rPr>
            </w:pPr>
            <w:r>
              <w:rPr>
                <w:sz w:val="18"/>
              </w:rPr>
              <w:t>O</w:t>
            </w:r>
          </w:p>
        </w:tc>
        <w:tc>
          <w:tcPr>
            <w:tcW w:w="579" w:type="dxa"/>
          </w:tcPr>
          <w:p>
            <w:pPr>
              <w:pStyle w:val="TableParagraph"/>
              <w:spacing w:before="16"/>
              <w:ind w:left="3"/>
              <w:jc w:val="center"/>
              <w:rPr>
                <w:sz w:val="18"/>
              </w:rPr>
            </w:pPr>
            <w:r>
              <w:rPr>
                <w:sz w:val="18"/>
              </w:rPr>
              <w:t>R</w:t>
            </w:r>
          </w:p>
        </w:tc>
        <w:tc>
          <w:tcPr>
            <w:tcW w:w="579" w:type="dxa"/>
          </w:tcPr>
          <w:p>
            <w:pPr>
              <w:pStyle w:val="TableParagraph"/>
              <w:spacing w:before="16"/>
              <w:ind w:right="1"/>
              <w:jc w:val="center"/>
              <w:rPr>
                <w:sz w:val="18"/>
              </w:rPr>
            </w:pPr>
            <w:r>
              <w:rPr>
                <w:sz w:val="18"/>
              </w:rPr>
              <w:t>M</w:t>
            </w:r>
          </w:p>
        </w:tc>
        <w:tc>
          <w:tcPr>
            <w:tcW w:w="577" w:type="dxa"/>
          </w:tcPr>
          <w:p>
            <w:pPr>
              <w:pStyle w:val="TableParagraph"/>
              <w:spacing w:before="16"/>
              <w:jc w:val="center"/>
              <w:rPr>
                <w:sz w:val="18"/>
              </w:rPr>
            </w:pPr>
            <w:r>
              <w:rPr>
                <w:sz w:val="18"/>
              </w:rPr>
              <w:t>M</w:t>
            </w:r>
          </w:p>
        </w:tc>
        <w:tc>
          <w:tcPr>
            <w:tcW w:w="438" w:type="dxa"/>
          </w:tcPr>
          <w:p>
            <w:pPr>
              <w:pStyle w:val="TableParagraph"/>
              <w:spacing w:before="16"/>
              <w:jc w:val="center"/>
              <w:rPr>
                <w:sz w:val="18"/>
              </w:rPr>
            </w:pPr>
            <w:r>
              <w:rPr>
                <w:sz w:val="18"/>
              </w:rPr>
              <w:t>S</w:t>
            </w:r>
          </w:p>
        </w:tc>
        <w:tc>
          <w:tcPr>
            <w:tcW w:w="580" w:type="dxa"/>
          </w:tcPr>
          <w:p>
            <w:pPr>
              <w:pStyle w:val="TableParagraph"/>
              <w:spacing w:before="16"/>
              <w:ind w:right="3"/>
              <w:jc w:val="center"/>
              <w:rPr>
                <w:sz w:val="18"/>
              </w:rPr>
            </w:pPr>
            <w:r>
              <w:rPr>
                <w:sz w:val="18"/>
              </w:rPr>
              <w:t>-</w:t>
            </w:r>
          </w:p>
        </w:tc>
        <w:tc>
          <w:tcPr>
            <w:tcW w:w="1012" w:type="dxa"/>
          </w:tcPr>
          <w:p>
            <w:pPr>
              <w:pStyle w:val="TableParagraph"/>
              <w:spacing w:before="16"/>
              <w:ind w:left="45" w:right="46"/>
              <w:jc w:val="center"/>
              <w:rPr>
                <w:sz w:val="18"/>
              </w:rPr>
            </w:pPr>
            <w:r>
              <w:rPr>
                <w:sz w:val="18"/>
              </w:rPr>
              <w:t>PA</w:t>
            </w:r>
          </w:p>
        </w:tc>
        <w:tc>
          <w:tcPr>
            <w:tcW w:w="1014" w:type="dxa"/>
          </w:tcPr>
          <w:p>
            <w:pPr>
              <w:pStyle w:val="TableParagraph"/>
              <w:spacing w:before="16"/>
              <w:ind w:right="1"/>
              <w:jc w:val="center"/>
              <w:rPr>
                <w:sz w:val="18"/>
              </w:rPr>
            </w:pPr>
            <w:r>
              <w:rPr>
                <w:sz w:val="18"/>
              </w:rPr>
              <w:t>A</w:t>
            </w:r>
          </w:p>
        </w:tc>
        <w:tc>
          <w:tcPr>
            <w:tcW w:w="1014" w:type="dxa"/>
          </w:tcPr>
          <w:p>
            <w:pPr>
              <w:pStyle w:val="TableParagraph"/>
              <w:spacing w:before="16"/>
              <w:ind w:left="41" w:right="50"/>
              <w:jc w:val="center"/>
              <w:rPr>
                <w:sz w:val="18"/>
              </w:rPr>
            </w:pPr>
            <w:r>
              <w:rPr>
                <w:sz w:val="18"/>
              </w:rPr>
              <w:t>PA</w:t>
            </w:r>
          </w:p>
        </w:tc>
        <w:tc>
          <w:tcPr>
            <w:tcW w:w="1014" w:type="dxa"/>
          </w:tcPr>
          <w:p>
            <w:pPr>
              <w:pStyle w:val="TableParagraph"/>
              <w:rPr>
                <w:sz w:val="16"/>
              </w:rPr>
            </w:pPr>
          </w:p>
        </w:tc>
      </w:tr>
      <w:tr>
        <w:trPr>
          <w:trHeight w:val="249" w:hRule="atLeast"/>
        </w:trPr>
        <w:tc>
          <w:tcPr>
            <w:tcW w:w="1622" w:type="dxa"/>
          </w:tcPr>
          <w:p>
            <w:pPr>
              <w:pStyle w:val="TableParagraph"/>
              <w:spacing w:before="16"/>
              <w:ind w:left="228" w:right="217"/>
              <w:jc w:val="center"/>
              <w:rPr>
                <w:sz w:val="18"/>
              </w:rPr>
            </w:pPr>
            <w:r>
              <w:rPr>
                <w:sz w:val="18"/>
              </w:rPr>
              <w:t>Landsat</w:t>
            </w:r>
          </w:p>
        </w:tc>
        <w:tc>
          <w:tcPr>
            <w:tcW w:w="1591" w:type="dxa"/>
          </w:tcPr>
          <w:p>
            <w:pPr>
              <w:pStyle w:val="TableParagraph"/>
              <w:spacing w:before="16"/>
              <w:ind w:left="65" w:right="51"/>
              <w:jc w:val="center"/>
              <w:rPr>
                <w:sz w:val="18"/>
              </w:rPr>
            </w:pPr>
            <w:r>
              <w:rPr>
                <w:sz w:val="18"/>
              </w:rPr>
              <w:t>ETM+</w:t>
            </w:r>
          </w:p>
        </w:tc>
        <w:tc>
          <w:tcPr>
            <w:tcW w:w="1157" w:type="dxa"/>
          </w:tcPr>
          <w:p>
            <w:pPr>
              <w:pStyle w:val="TableParagraph"/>
              <w:spacing w:before="16"/>
              <w:ind w:left="92" w:right="81"/>
              <w:jc w:val="center"/>
              <w:rPr>
                <w:sz w:val="18"/>
              </w:rPr>
            </w:pPr>
            <w:r>
              <w:rPr>
                <w:sz w:val="18"/>
              </w:rPr>
              <w:t>USA</w:t>
            </w:r>
          </w:p>
        </w:tc>
        <w:tc>
          <w:tcPr>
            <w:tcW w:w="1445" w:type="dxa"/>
          </w:tcPr>
          <w:p>
            <w:pPr>
              <w:pStyle w:val="TableParagraph"/>
              <w:spacing w:before="16"/>
              <w:ind w:left="360"/>
              <w:rPr>
                <w:sz w:val="18"/>
              </w:rPr>
            </w:pPr>
            <w:r>
              <w:rPr>
                <w:sz w:val="18"/>
              </w:rPr>
              <w:t>15, 30, 60</w:t>
            </w:r>
          </w:p>
        </w:tc>
        <w:tc>
          <w:tcPr>
            <w:tcW w:w="1157" w:type="dxa"/>
          </w:tcPr>
          <w:p>
            <w:pPr>
              <w:pStyle w:val="TableParagraph"/>
              <w:spacing w:before="16"/>
              <w:ind w:left="92" w:right="84"/>
              <w:jc w:val="center"/>
              <w:rPr>
                <w:sz w:val="18"/>
              </w:rPr>
            </w:pPr>
            <w:r>
              <w:rPr>
                <w:sz w:val="18"/>
              </w:rPr>
              <w:t>185</w:t>
            </w:r>
          </w:p>
        </w:tc>
        <w:tc>
          <w:tcPr>
            <w:tcW w:w="579" w:type="dxa"/>
          </w:tcPr>
          <w:p>
            <w:pPr>
              <w:pStyle w:val="TableParagraph"/>
              <w:spacing w:before="16"/>
              <w:ind w:left="9"/>
              <w:jc w:val="center"/>
              <w:rPr>
                <w:sz w:val="18"/>
              </w:rPr>
            </w:pPr>
            <w:r>
              <w:rPr>
                <w:sz w:val="18"/>
              </w:rPr>
              <w:t>O</w:t>
            </w:r>
          </w:p>
        </w:tc>
        <w:tc>
          <w:tcPr>
            <w:tcW w:w="579" w:type="dxa"/>
          </w:tcPr>
          <w:p>
            <w:pPr>
              <w:pStyle w:val="TableParagraph"/>
              <w:spacing w:before="16"/>
              <w:ind w:left="3"/>
              <w:jc w:val="center"/>
              <w:rPr>
                <w:sz w:val="18"/>
              </w:rPr>
            </w:pPr>
            <w:r>
              <w:rPr>
                <w:sz w:val="18"/>
              </w:rPr>
              <w:t>R</w:t>
            </w:r>
          </w:p>
        </w:tc>
        <w:tc>
          <w:tcPr>
            <w:tcW w:w="579" w:type="dxa"/>
          </w:tcPr>
          <w:p>
            <w:pPr>
              <w:pStyle w:val="TableParagraph"/>
              <w:spacing w:before="16"/>
              <w:jc w:val="center"/>
              <w:rPr>
                <w:sz w:val="18"/>
              </w:rPr>
            </w:pPr>
            <w:r>
              <w:rPr>
                <w:sz w:val="18"/>
              </w:rPr>
              <w:t>M</w:t>
            </w:r>
          </w:p>
        </w:tc>
        <w:tc>
          <w:tcPr>
            <w:tcW w:w="577" w:type="dxa"/>
          </w:tcPr>
          <w:p>
            <w:pPr>
              <w:pStyle w:val="TableParagraph"/>
              <w:spacing w:before="16"/>
              <w:jc w:val="center"/>
              <w:rPr>
                <w:sz w:val="18"/>
              </w:rPr>
            </w:pPr>
            <w:r>
              <w:rPr>
                <w:sz w:val="18"/>
              </w:rPr>
              <w:t>M</w:t>
            </w:r>
          </w:p>
        </w:tc>
        <w:tc>
          <w:tcPr>
            <w:tcW w:w="438" w:type="dxa"/>
          </w:tcPr>
          <w:p>
            <w:pPr>
              <w:pStyle w:val="TableParagraph"/>
              <w:spacing w:before="16"/>
              <w:jc w:val="center"/>
              <w:rPr>
                <w:sz w:val="18"/>
              </w:rPr>
            </w:pPr>
            <w:r>
              <w:rPr>
                <w:sz w:val="18"/>
              </w:rPr>
              <w:t>S</w:t>
            </w:r>
          </w:p>
        </w:tc>
        <w:tc>
          <w:tcPr>
            <w:tcW w:w="580" w:type="dxa"/>
          </w:tcPr>
          <w:p>
            <w:pPr>
              <w:pStyle w:val="TableParagraph"/>
              <w:spacing w:before="16"/>
              <w:ind w:right="4"/>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right="7"/>
              <w:jc w:val="center"/>
              <w:rPr>
                <w:sz w:val="18"/>
              </w:rPr>
            </w:pPr>
            <w:r>
              <w:rPr>
                <w:sz w:val="18"/>
              </w:rPr>
              <w:t>A</w:t>
            </w:r>
          </w:p>
        </w:tc>
        <w:tc>
          <w:tcPr>
            <w:tcW w:w="1014" w:type="dxa"/>
          </w:tcPr>
          <w:p>
            <w:pPr>
              <w:pStyle w:val="TableParagraph"/>
              <w:spacing w:before="16"/>
              <w:ind w:right="9"/>
              <w:jc w:val="center"/>
              <w:rPr>
                <w:sz w:val="18"/>
              </w:rPr>
            </w:pPr>
            <w:r>
              <w:rPr>
                <w:sz w:val="18"/>
              </w:rPr>
              <w:t>A</w:t>
            </w:r>
          </w:p>
        </w:tc>
      </w:tr>
      <w:tr>
        <w:trPr>
          <w:trHeight w:val="251" w:hRule="atLeast"/>
        </w:trPr>
        <w:tc>
          <w:tcPr>
            <w:tcW w:w="1622" w:type="dxa"/>
          </w:tcPr>
          <w:p>
            <w:pPr>
              <w:pStyle w:val="TableParagraph"/>
              <w:spacing w:before="16"/>
              <w:ind w:left="229" w:right="215"/>
              <w:jc w:val="center"/>
              <w:rPr>
                <w:sz w:val="18"/>
              </w:rPr>
            </w:pPr>
            <w:r>
              <w:rPr>
                <w:sz w:val="18"/>
              </w:rPr>
              <w:t>SPOT</w:t>
            </w:r>
          </w:p>
        </w:tc>
        <w:tc>
          <w:tcPr>
            <w:tcW w:w="1591" w:type="dxa"/>
          </w:tcPr>
          <w:p>
            <w:pPr>
              <w:pStyle w:val="TableParagraph"/>
              <w:spacing w:before="16"/>
              <w:ind w:left="65" w:right="54"/>
              <w:jc w:val="center"/>
              <w:rPr>
                <w:sz w:val="18"/>
              </w:rPr>
            </w:pPr>
            <w:r>
              <w:rPr>
                <w:sz w:val="18"/>
              </w:rPr>
              <w:t>HRV/HRVIR/HRG</w:t>
            </w:r>
          </w:p>
        </w:tc>
        <w:tc>
          <w:tcPr>
            <w:tcW w:w="1157" w:type="dxa"/>
          </w:tcPr>
          <w:p>
            <w:pPr>
              <w:pStyle w:val="TableParagraph"/>
              <w:spacing w:before="16"/>
              <w:ind w:left="89" w:right="85"/>
              <w:jc w:val="center"/>
              <w:rPr>
                <w:sz w:val="18"/>
              </w:rPr>
            </w:pPr>
            <w:r>
              <w:rPr>
                <w:sz w:val="18"/>
              </w:rPr>
              <w:t>French</w:t>
            </w:r>
          </w:p>
        </w:tc>
        <w:tc>
          <w:tcPr>
            <w:tcW w:w="1445" w:type="dxa"/>
          </w:tcPr>
          <w:p>
            <w:pPr>
              <w:pStyle w:val="TableParagraph"/>
              <w:spacing w:before="16"/>
              <w:ind w:left="278"/>
              <w:rPr>
                <w:sz w:val="18"/>
              </w:rPr>
            </w:pPr>
            <w:r>
              <w:rPr>
                <w:sz w:val="18"/>
              </w:rPr>
              <w:t>(2.5), 10, 20</w:t>
            </w:r>
          </w:p>
        </w:tc>
        <w:tc>
          <w:tcPr>
            <w:tcW w:w="1157" w:type="dxa"/>
          </w:tcPr>
          <w:p>
            <w:pPr>
              <w:pStyle w:val="TableParagraph"/>
              <w:spacing w:before="16"/>
              <w:ind w:left="92" w:right="84"/>
              <w:jc w:val="center"/>
              <w:rPr>
                <w:sz w:val="18"/>
              </w:rPr>
            </w:pPr>
            <w:r>
              <w:rPr>
                <w:sz w:val="18"/>
              </w:rPr>
              <w:t>60</w:t>
            </w:r>
          </w:p>
        </w:tc>
        <w:tc>
          <w:tcPr>
            <w:tcW w:w="579" w:type="dxa"/>
          </w:tcPr>
          <w:p>
            <w:pPr>
              <w:pStyle w:val="TableParagraph"/>
              <w:spacing w:before="16"/>
              <w:ind w:left="12"/>
              <w:jc w:val="center"/>
              <w:rPr>
                <w:sz w:val="18"/>
              </w:rPr>
            </w:pPr>
            <w:r>
              <w:rPr>
                <w:sz w:val="18"/>
              </w:rPr>
              <w:t>O</w:t>
            </w:r>
          </w:p>
        </w:tc>
        <w:tc>
          <w:tcPr>
            <w:tcW w:w="579" w:type="dxa"/>
          </w:tcPr>
          <w:p>
            <w:pPr>
              <w:pStyle w:val="TableParagraph"/>
              <w:spacing w:before="16"/>
              <w:ind w:left="5"/>
              <w:jc w:val="center"/>
              <w:rPr>
                <w:sz w:val="18"/>
              </w:rPr>
            </w:pPr>
            <w:r>
              <w:rPr>
                <w:sz w:val="18"/>
              </w:rPr>
              <w:t>R</w:t>
            </w:r>
          </w:p>
        </w:tc>
        <w:tc>
          <w:tcPr>
            <w:tcW w:w="579" w:type="dxa"/>
          </w:tcPr>
          <w:p>
            <w:pPr>
              <w:pStyle w:val="TableParagraph"/>
              <w:spacing w:before="16"/>
              <w:ind w:left="1"/>
              <w:jc w:val="center"/>
              <w:rPr>
                <w:sz w:val="18"/>
              </w:rPr>
            </w:pPr>
            <w:r>
              <w:rPr>
                <w:sz w:val="18"/>
              </w:rPr>
              <w:t>M</w:t>
            </w:r>
          </w:p>
        </w:tc>
        <w:tc>
          <w:tcPr>
            <w:tcW w:w="577" w:type="dxa"/>
          </w:tcPr>
          <w:p>
            <w:pPr>
              <w:pStyle w:val="TableParagraph"/>
              <w:spacing w:before="16"/>
              <w:ind w:left="40" w:right="36"/>
              <w:jc w:val="center"/>
              <w:rPr>
                <w:sz w:val="18"/>
              </w:rPr>
            </w:pPr>
            <w:r>
              <w:rPr>
                <w:sz w:val="18"/>
              </w:rPr>
              <w:t>(S)</w:t>
            </w:r>
          </w:p>
        </w:tc>
        <w:tc>
          <w:tcPr>
            <w:tcW w:w="438" w:type="dxa"/>
          </w:tcPr>
          <w:p>
            <w:pPr>
              <w:pStyle w:val="TableParagraph"/>
              <w:rPr>
                <w:sz w:val="16"/>
              </w:rPr>
            </w:pPr>
          </w:p>
        </w:tc>
        <w:tc>
          <w:tcPr>
            <w:tcW w:w="580" w:type="dxa"/>
          </w:tcPr>
          <w:p>
            <w:pPr>
              <w:pStyle w:val="TableParagraph"/>
              <w:spacing w:before="16"/>
              <w:ind w:right="4"/>
              <w:jc w:val="center"/>
              <w:rPr>
                <w:sz w:val="18"/>
              </w:rPr>
            </w:pPr>
            <w:r>
              <w:rPr>
                <w:sz w:val="18"/>
              </w:rPr>
              <w:t>-</w:t>
            </w:r>
          </w:p>
        </w:tc>
        <w:tc>
          <w:tcPr>
            <w:tcW w:w="1012" w:type="dxa"/>
          </w:tcPr>
          <w:p>
            <w:pPr>
              <w:pStyle w:val="TableParagraph"/>
              <w:spacing w:before="16"/>
              <w:ind w:left="44" w:right="46"/>
              <w:jc w:val="center"/>
              <w:rPr>
                <w:sz w:val="18"/>
              </w:rPr>
            </w:pPr>
            <w:r>
              <w:rPr>
                <w:sz w:val="18"/>
              </w:rPr>
              <w:t>PA</w:t>
            </w:r>
          </w:p>
        </w:tc>
        <w:tc>
          <w:tcPr>
            <w:tcW w:w="1014" w:type="dxa"/>
          </w:tcPr>
          <w:p>
            <w:pPr>
              <w:pStyle w:val="TableParagraph"/>
              <w:spacing w:before="16"/>
              <w:jc w:val="center"/>
              <w:rPr>
                <w:sz w:val="18"/>
              </w:rPr>
            </w:pPr>
            <w:r>
              <w:rPr>
                <w:sz w:val="18"/>
              </w:rPr>
              <w:t>A</w:t>
            </w:r>
          </w:p>
        </w:tc>
        <w:tc>
          <w:tcPr>
            <w:tcW w:w="1014" w:type="dxa"/>
          </w:tcPr>
          <w:p>
            <w:pPr>
              <w:pStyle w:val="TableParagraph"/>
              <w:spacing w:before="16"/>
              <w:ind w:right="8"/>
              <w:jc w:val="center"/>
              <w:rPr>
                <w:sz w:val="18"/>
              </w:rPr>
            </w:pPr>
            <w:r>
              <w:rPr>
                <w:sz w:val="18"/>
              </w:rPr>
              <w:t>A</w:t>
            </w:r>
          </w:p>
        </w:tc>
        <w:tc>
          <w:tcPr>
            <w:tcW w:w="1014" w:type="dxa"/>
          </w:tcPr>
          <w:p>
            <w:pPr>
              <w:pStyle w:val="TableParagraph"/>
              <w:rPr>
                <w:sz w:val="16"/>
              </w:rPr>
            </w:pPr>
          </w:p>
        </w:tc>
      </w:tr>
      <w:tr>
        <w:trPr>
          <w:trHeight w:val="251" w:hRule="atLeast"/>
        </w:trPr>
        <w:tc>
          <w:tcPr>
            <w:tcW w:w="1622" w:type="dxa"/>
          </w:tcPr>
          <w:p>
            <w:pPr>
              <w:pStyle w:val="TableParagraph"/>
              <w:spacing w:before="16"/>
              <w:ind w:left="229" w:right="216"/>
              <w:jc w:val="center"/>
              <w:rPr>
                <w:sz w:val="18"/>
              </w:rPr>
            </w:pPr>
            <w:r>
              <w:rPr>
                <w:sz w:val="18"/>
              </w:rPr>
              <w:t>Terra</w:t>
            </w:r>
          </w:p>
        </w:tc>
        <w:tc>
          <w:tcPr>
            <w:tcW w:w="1591" w:type="dxa"/>
          </w:tcPr>
          <w:p>
            <w:pPr>
              <w:pStyle w:val="TableParagraph"/>
              <w:spacing w:before="16"/>
              <w:ind w:left="64" w:right="54"/>
              <w:jc w:val="center"/>
              <w:rPr>
                <w:sz w:val="18"/>
              </w:rPr>
            </w:pPr>
            <w:r>
              <w:rPr>
                <w:sz w:val="18"/>
              </w:rPr>
              <w:t>ASTER</w:t>
            </w:r>
          </w:p>
        </w:tc>
        <w:tc>
          <w:tcPr>
            <w:tcW w:w="1157" w:type="dxa"/>
          </w:tcPr>
          <w:p>
            <w:pPr>
              <w:pStyle w:val="TableParagraph"/>
              <w:spacing w:before="16"/>
              <w:ind w:left="92" w:right="81"/>
              <w:jc w:val="center"/>
              <w:rPr>
                <w:sz w:val="18"/>
              </w:rPr>
            </w:pPr>
            <w:r>
              <w:rPr>
                <w:sz w:val="18"/>
              </w:rPr>
              <w:t>Japan/USA</w:t>
            </w:r>
          </w:p>
        </w:tc>
        <w:tc>
          <w:tcPr>
            <w:tcW w:w="1445" w:type="dxa"/>
          </w:tcPr>
          <w:p>
            <w:pPr>
              <w:pStyle w:val="TableParagraph"/>
              <w:spacing w:before="16"/>
              <w:ind w:left="360"/>
              <w:rPr>
                <w:sz w:val="18"/>
              </w:rPr>
            </w:pPr>
            <w:r>
              <w:rPr>
                <w:sz w:val="18"/>
              </w:rPr>
              <w:t>15, 30, 90</w:t>
            </w:r>
          </w:p>
        </w:tc>
        <w:tc>
          <w:tcPr>
            <w:tcW w:w="1157" w:type="dxa"/>
          </w:tcPr>
          <w:p>
            <w:pPr>
              <w:pStyle w:val="TableParagraph"/>
              <w:spacing w:before="16"/>
              <w:ind w:left="92" w:right="83"/>
              <w:jc w:val="center"/>
              <w:rPr>
                <w:sz w:val="18"/>
              </w:rPr>
            </w:pPr>
            <w:r>
              <w:rPr>
                <w:sz w:val="18"/>
              </w:rPr>
              <w:t>60</w:t>
            </w:r>
          </w:p>
        </w:tc>
        <w:tc>
          <w:tcPr>
            <w:tcW w:w="579" w:type="dxa"/>
          </w:tcPr>
          <w:p>
            <w:pPr>
              <w:pStyle w:val="TableParagraph"/>
              <w:spacing w:before="16"/>
              <w:ind w:left="10"/>
              <w:jc w:val="center"/>
              <w:rPr>
                <w:sz w:val="18"/>
              </w:rPr>
            </w:pPr>
            <w:r>
              <w:rPr>
                <w:sz w:val="18"/>
              </w:rPr>
              <w:t>O</w:t>
            </w:r>
          </w:p>
        </w:tc>
        <w:tc>
          <w:tcPr>
            <w:tcW w:w="579" w:type="dxa"/>
          </w:tcPr>
          <w:p>
            <w:pPr>
              <w:pStyle w:val="TableParagraph"/>
              <w:spacing w:before="16"/>
              <w:ind w:left="4"/>
              <w:jc w:val="center"/>
              <w:rPr>
                <w:sz w:val="18"/>
              </w:rPr>
            </w:pPr>
            <w:r>
              <w:rPr>
                <w:sz w:val="18"/>
              </w:rPr>
              <w:t>R</w:t>
            </w:r>
          </w:p>
        </w:tc>
        <w:tc>
          <w:tcPr>
            <w:tcW w:w="579" w:type="dxa"/>
          </w:tcPr>
          <w:p>
            <w:pPr>
              <w:pStyle w:val="TableParagraph"/>
              <w:spacing w:before="16"/>
              <w:jc w:val="center"/>
              <w:rPr>
                <w:sz w:val="18"/>
              </w:rPr>
            </w:pPr>
            <w:r>
              <w:rPr>
                <w:sz w:val="18"/>
              </w:rPr>
              <w:t>M</w:t>
            </w:r>
          </w:p>
        </w:tc>
        <w:tc>
          <w:tcPr>
            <w:tcW w:w="577" w:type="dxa"/>
          </w:tcPr>
          <w:p>
            <w:pPr>
              <w:pStyle w:val="TableParagraph"/>
              <w:spacing w:before="16"/>
              <w:jc w:val="center"/>
              <w:rPr>
                <w:sz w:val="18"/>
              </w:rPr>
            </w:pPr>
            <w:r>
              <w:rPr>
                <w:sz w:val="18"/>
              </w:rPr>
              <w:t>M</w:t>
            </w:r>
          </w:p>
        </w:tc>
        <w:tc>
          <w:tcPr>
            <w:tcW w:w="438" w:type="dxa"/>
          </w:tcPr>
          <w:p>
            <w:pPr>
              <w:pStyle w:val="TableParagraph"/>
              <w:spacing w:before="16"/>
              <w:ind w:right="1"/>
              <w:jc w:val="center"/>
              <w:rPr>
                <w:sz w:val="18"/>
              </w:rPr>
            </w:pPr>
            <w:r>
              <w:rPr>
                <w:sz w:val="18"/>
              </w:rPr>
              <w:t>M</w:t>
            </w:r>
          </w:p>
        </w:tc>
        <w:tc>
          <w:tcPr>
            <w:tcW w:w="580" w:type="dxa"/>
          </w:tcPr>
          <w:p>
            <w:pPr>
              <w:pStyle w:val="TableParagraph"/>
              <w:spacing w:before="16"/>
              <w:ind w:right="3"/>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right="6"/>
              <w:jc w:val="center"/>
              <w:rPr>
                <w:sz w:val="18"/>
              </w:rPr>
            </w:pPr>
            <w:r>
              <w:rPr>
                <w:sz w:val="18"/>
              </w:rPr>
              <w:t>A</w:t>
            </w:r>
          </w:p>
        </w:tc>
        <w:tc>
          <w:tcPr>
            <w:tcW w:w="1014" w:type="dxa"/>
          </w:tcPr>
          <w:p>
            <w:pPr>
              <w:pStyle w:val="TableParagraph"/>
              <w:rPr>
                <w:sz w:val="16"/>
              </w:rPr>
            </w:pPr>
          </w:p>
        </w:tc>
      </w:tr>
      <w:tr>
        <w:trPr>
          <w:trHeight w:val="251" w:hRule="atLeast"/>
        </w:trPr>
        <w:tc>
          <w:tcPr>
            <w:tcW w:w="1622" w:type="dxa"/>
          </w:tcPr>
          <w:p>
            <w:pPr>
              <w:pStyle w:val="TableParagraph"/>
              <w:spacing w:before="16"/>
              <w:ind w:left="229" w:right="215"/>
              <w:jc w:val="center"/>
              <w:rPr>
                <w:sz w:val="18"/>
              </w:rPr>
            </w:pPr>
            <w:r>
              <w:rPr>
                <w:sz w:val="18"/>
              </w:rPr>
              <w:t>IRS-1C/D</w:t>
            </w:r>
          </w:p>
        </w:tc>
        <w:tc>
          <w:tcPr>
            <w:tcW w:w="1591" w:type="dxa"/>
          </w:tcPr>
          <w:p>
            <w:pPr>
              <w:pStyle w:val="TableParagraph"/>
              <w:spacing w:before="16"/>
              <w:ind w:left="65" w:right="52"/>
              <w:jc w:val="center"/>
              <w:rPr>
                <w:sz w:val="18"/>
              </w:rPr>
            </w:pPr>
            <w:r>
              <w:rPr>
                <w:sz w:val="18"/>
              </w:rPr>
              <w:t>PAN/LISS-3</w:t>
            </w:r>
          </w:p>
        </w:tc>
        <w:tc>
          <w:tcPr>
            <w:tcW w:w="1157" w:type="dxa"/>
          </w:tcPr>
          <w:p>
            <w:pPr>
              <w:pStyle w:val="TableParagraph"/>
              <w:spacing w:before="16"/>
              <w:ind w:left="92" w:right="81"/>
              <w:jc w:val="center"/>
              <w:rPr>
                <w:sz w:val="18"/>
              </w:rPr>
            </w:pPr>
            <w:r>
              <w:rPr>
                <w:sz w:val="18"/>
              </w:rPr>
              <w:t>India</w:t>
            </w:r>
          </w:p>
        </w:tc>
        <w:tc>
          <w:tcPr>
            <w:tcW w:w="1445" w:type="dxa"/>
          </w:tcPr>
          <w:p>
            <w:pPr>
              <w:pStyle w:val="TableParagraph"/>
              <w:spacing w:before="16"/>
              <w:ind w:left="476" w:right="465"/>
              <w:jc w:val="center"/>
              <w:rPr>
                <w:sz w:val="18"/>
              </w:rPr>
            </w:pPr>
            <w:r>
              <w:rPr>
                <w:sz w:val="18"/>
              </w:rPr>
              <w:t>6 / 23</w:t>
            </w:r>
          </w:p>
        </w:tc>
        <w:tc>
          <w:tcPr>
            <w:tcW w:w="1157" w:type="dxa"/>
          </w:tcPr>
          <w:p>
            <w:pPr>
              <w:pStyle w:val="TableParagraph"/>
              <w:spacing w:before="16"/>
              <w:ind w:left="92" w:right="80"/>
              <w:jc w:val="center"/>
              <w:rPr>
                <w:sz w:val="18"/>
              </w:rPr>
            </w:pPr>
            <w:r>
              <w:rPr>
                <w:sz w:val="18"/>
              </w:rPr>
              <w:t>70 / 141</w:t>
            </w:r>
          </w:p>
        </w:tc>
        <w:tc>
          <w:tcPr>
            <w:tcW w:w="579" w:type="dxa"/>
          </w:tcPr>
          <w:p>
            <w:pPr>
              <w:pStyle w:val="TableParagraph"/>
              <w:spacing w:before="16"/>
              <w:ind w:left="10"/>
              <w:jc w:val="center"/>
              <w:rPr>
                <w:sz w:val="18"/>
              </w:rPr>
            </w:pPr>
            <w:r>
              <w:rPr>
                <w:sz w:val="18"/>
              </w:rPr>
              <w:t>O</w:t>
            </w:r>
          </w:p>
        </w:tc>
        <w:tc>
          <w:tcPr>
            <w:tcW w:w="579" w:type="dxa"/>
          </w:tcPr>
          <w:p>
            <w:pPr>
              <w:pStyle w:val="TableParagraph"/>
              <w:spacing w:before="16"/>
              <w:ind w:left="4"/>
              <w:jc w:val="center"/>
              <w:rPr>
                <w:sz w:val="18"/>
              </w:rPr>
            </w:pPr>
            <w:r>
              <w:rPr>
                <w:sz w:val="18"/>
              </w:rPr>
              <w:t>R</w:t>
            </w:r>
          </w:p>
        </w:tc>
        <w:tc>
          <w:tcPr>
            <w:tcW w:w="579" w:type="dxa"/>
          </w:tcPr>
          <w:p>
            <w:pPr>
              <w:pStyle w:val="TableParagraph"/>
              <w:spacing w:before="16"/>
              <w:jc w:val="center"/>
              <w:rPr>
                <w:sz w:val="18"/>
              </w:rPr>
            </w:pPr>
            <w:r>
              <w:rPr>
                <w:sz w:val="18"/>
              </w:rPr>
              <w:t>M</w:t>
            </w:r>
          </w:p>
        </w:tc>
        <w:tc>
          <w:tcPr>
            <w:tcW w:w="577" w:type="dxa"/>
          </w:tcPr>
          <w:p>
            <w:pPr>
              <w:pStyle w:val="TableParagraph"/>
              <w:spacing w:before="16"/>
              <w:ind w:left="3"/>
              <w:jc w:val="center"/>
              <w:rPr>
                <w:sz w:val="18"/>
              </w:rPr>
            </w:pPr>
            <w:r>
              <w:rPr>
                <w:sz w:val="18"/>
              </w:rPr>
              <w:t>S</w:t>
            </w:r>
          </w:p>
        </w:tc>
        <w:tc>
          <w:tcPr>
            <w:tcW w:w="438" w:type="dxa"/>
          </w:tcPr>
          <w:p>
            <w:pPr>
              <w:pStyle w:val="TableParagraph"/>
              <w:rPr>
                <w:sz w:val="16"/>
              </w:rPr>
            </w:pPr>
          </w:p>
        </w:tc>
        <w:tc>
          <w:tcPr>
            <w:tcW w:w="580" w:type="dxa"/>
          </w:tcPr>
          <w:p>
            <w:pPr>
              <w:pStyle w:val="TableParagraph"/>
              <w:spacing w:before="16"/>
              <w:ind w:right="3"/>
              <w:jc w:val="center"/>
              <w:rPr>
                <w:sz w:val="18"/>
              </w:rPr>
            </w:pPr>
            <w:r>
              <w:rPr>
                <w:sz w:val="18"/>
              </w:rPr>
              <w:t>-</w:t>
            </w:r>
          </w:p>
        </w:tc>
        <w:tc>
          <w:tcPr>
            <w:tcW w:w="1012" w:type="dxa"/>
          </w:tcPr>
          <w:p>
            <w:pPr>
              <w:pStyle w:val="TableParagraph"/>
              <w:rPr>
                <w:sz w:val="16"/>
              </w:rPr>
            </w:pPr>
          </w:p>
        </w:tc>
        <w:tc>
          <w:tcPr>
            <w:tcW w:w="1014" w:type="dxa"/>
          </w:tcPr>
          <w:p>
            <w:pPr>
              <w:pStyle w:val="TableParagraph"/>
              <w:spacing w:before="16"/>
              <w:ind w:left="41" w:right="42"/>
              <w:jc w:val="center"/>
              <w:rPr>
                <w:sz w:val="18"/>
              </w:rPr>
            </w:pPr>
            <w:r>
              <w:rPr>
                <w:sz w:val="18"/>
              </w:rPr>
              <w:t>PA</w:t>
            </w:r>
          </w:p>
        </w:tc>
        <w:tc>
          <w:tcPr>
            <w:tcW w:w="1014" w:type="dxa"/>
          </w:tcPr>
          <w:p>
            <w:pPr>
              <w:pStyle w:val="TableParagraph"/>
              <w:spacing w:before="16"/>
              <w:ind w:left="41" w:right="50"/>
              <w:jc w:val="center"/>
              <w:rPr>
                <w:sz w:val="18"/>
              </w:rPr>
            </w:pPr>
            <w:r>
              <w:rPr>
                <w:sz w:val="18"/>
              </w:rPr>
              <w:t>PA</w:t>
            </w:r>
          </w:p>
        </w:tc>
        <w:tc>
          <w:tcPr>
            <w:tcW w:w="1014" w:type="dxa"/>
          </w:tcPr>
          <w:p>
            <w:pPr>
              <w:pStyle w:val="TableParagraph"/>
              <w:rPr>
                <w:sz w:val="16"/>
              </w:rPr>
            </w:pPr>
          </w:p>
        </w:tc>
      </w:tr>
      <w:tr>
        <w:trPr>
          <w:trHeight w:val="249" w:hRule="atLeast"/>
        </w:trPr>
        <w:tc>
          <w:tcPr>
            <w:tcW w:w="1622" w:type="dxa"/>
          </w:tcPr>
          <w:p>
            <w:pPr>
              <w:pStyle w:val="TableParagraph"/>
              <w:spacing w:before="16"/>
              <w:ind w:left="225" w:right="217"/>
              <w:jc w:val="center"/>
              <w:rPr>
                <w:sz w:val="18"/>
              </w:rPr>
            </w:pPr>
            <w:r>
              <w:rPr>
                <w:sz w:val="18"/>
              </w:rPr>
              <w:t>JERS-1</w:t>
            </w:r>
          </w:p>
        </w:tc>
        <w:tc>
          <w:tcPr>
            <w:tcW w:w="1591" w:type="dxa"/>
          </w:tcPr>
          <w:p>
            <w:pPr>
              <w:pStyle w:val="TableParagraph"/>
              <w:spacing w:before="16"/>
              <w:ind w:left="65" w:right="53"/>
              <w:jc w:val="center"/>
              <w:rPr>
                <w:sz w:val="18"/>
              </w:rPr>
            </w:pPr>
            <w:r>
              <w:rPr>
                <w:sz w:val="18"/>
              </w:rPr>
              <w:t>OPS (VNIR)</w:t>
            </w:r>
          </w:p>
        </w:tc>
        <w:tc>
          <w:tcPr>
            <w:tcW w:w="1157" w:type="dxa"/>
          </w:tcPr>
          <w:p>
            <w:pPr>
              <w:pStyle w:val="TableParagraph"/>
              <w:spacing w:before="16"/>
              <w:ind w:left="91" w:right="85"/>
              <w:jc w:val="center"/>
              <w:rPr>
                <w:sz w:val="18"/>
              </w:rPr>
            </w:pPr>
            <w:r>
              <w:rPr>
                <w:sz w:val="18"/>
              </w:rPr>
              <w:t>Japan</w:t>
            </w:r>
          </w:p>
        </w:tc>
        <w:tc>
          <w:tcPr>
            <w:tcW w:w="1445" w:type="dxa"/>
          </w:tcPr>
          <w:p>
            <w:pPr>
              <w:pStyle w:val="TableParagraph"/>
              <w:spacing w:before="16"/>
              <w:ind w:right="216"/>
              <w:jc w:val="right"/>
              <w:rPr>
                <w:sz w:val="18"/>
              </w:rPr>
            </w:pPr>
            <w:r>
              <w:rPr>
                <w:sz w:val="18"/>
              </w:rPr>
              <w:t>18*24</w:t>
            </w:r>
          </w:p>
        </w:tc>
        <w:tc>
          <w:tcPr>
            <w:tcW w:w="1157" w:type="dxa"/>
          </w:tcPr>
          <w:p>
            <w:pPr>
              <w:pStyle w:val="TableParagraph"/>
              <w:spacing w:before="16"/>
              <w:ind w:left="92" w:right="84"/>
              <w:jc w:val="center"/>
              <w:rPr>
                <w:sz w:val="18"/>
              </w:rPr>
            </w:pPr>
            <w:r>
              <w:rPr>
                <w:sz w:val="18"/>
              </w:rPr>
              <w:t>75</w:t>
            </w:r>
          </w:p>
        </w:tc>
        <w:tc>
          <w:tcPr>
            <w:tcW w:w="579" w:type="dxa"/>
          </w:tcPr>
          <w:p>
            <w:pPr>
              <w:pStyle w:val="TableParagraph"/>
              <w:spacing w:before="16"/>
              <w:ind w:left="10"/>
              <w:jc w:val="center"/>
              <w:rPr>
                <w:sz w:val="18"/>
              </w:rPr>
            </w:pPr>
            <w:r>
              <w:rPr>
                <w:sz w:val="18"/>
              </w:rPr>
              <w:t>O</w:t>
            </w:r>
          </w:p>
        </w:tc>
        <w:tc>
          <w:tcPr>
            <w:tcW w:w="579" w:type="dxa"/>
          </w:tcPr>
          <w:p>
            <w:pPr>
              <w:pStyle w:val="TableParagraph"/>
              <w:spacing w:before="16"/>
              <w:ind w:left="4"/>
              <w:jc w:val="center"/>
              <w:rPr>
                <w:sz w:val="18"/>
              </w:rPr>
            </w:pPr>
            <w:r>
              <w:rPr>
                <w:sz w:val="18"/>
              </w:rPr>
              <w:t>R</w:t>
            </w:r>
          </w:p>
        </w:tc>
        <w:tc>
          <w:tcPr>
            <w:tcW w:w="579" w:type="dxa"/>
          </w:tcPr>
          <w:p>
            <w:pPr>
              <w:pStyle w:val="TableParagraph"/>
              <w:spacing w:before="16"/>
              <w:jc w:val="center"/>
              <w:rPr>
                <w:sz w:val="18"/>
              </w:rPr>
            </w:pPr>
            <w:r>
              <w:rPr>
                <w:sz w:val="18"/>
              </w:rPr>
              <w:t>M</w:t>
            </w: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rPr>
                <w:sz w:val="16"/>
              </w:rPr>
            </w:pPr>
          </w:p>
        </w:tc>
        <w:tc>
          <w:tcPr>
            <w:tcW w:w="1012" w:type="dxa"/>
          </w:tcPr>
          <w:p>
            <w:pPr>
              <w:pStyle w:val="TableParagraph"/>
              <w:rPr>
                <w:sz w:val="16"/>
              </w:rPr>
            </w:pPr>
          </w:p>
        </w:tc>
        <w:tc>
          <w:tcPr>
            <w:tcW w:w="1014" w:type="dxa"/>
          </w:tcPr>
          <w:p>
            <w:pPr>
              <w:pStyle w:val="TableParagraph"/>
              <w:spacing w:before="16"/>
              <w:ind w:left="41" w:right="44"/>
              <w:jc w:val="center"/>
              <w:rPr>
                <w:sz w:val="18"/>
              </w:rPr>
            </w:pPr>
            <w:r>
              <w:rPr>
                <w:sz w:val="18"/>
              </w:rPr>
              <w:t>PA</w:t>
            </w:r>
          </w:p>
        </w:tc>
        <w:tc>
          <w:tcPr>
            <w:tcW w:w="1014" w:type="dxa"/>
          </w:tcPr>
          <w:p>
            <w:pPr>
              <w:pStyle w:val="TableParagraph"/>
              <w:rPr>
                <w:sz w:val="16"/>
              </w:rPr>
            </w:pPr>
          </w:p>
        </w:tc>
        <w:tc>
          <w:tcPr>
            <w:tcW w:w="1014" w:type="dxa"/>
          </w:tcPr>
          <w:p>
            <w:pPr>
              <w:pStyle w:val="TableParagraph"/>
              <w:rPr>
                <w:sz w:val="16"/>
              </w:rPr>
            </w:pPr>
          </w:p>
        </w:tc>
      </w:tr>
      <w:tr>
        <w:trPr>
          <w:trHeight w:val="251" w:hRule="atLeast"/>
        </w:trPr>
        <w:tc>
          <w:tcPr>
            <w:tcW w:w="1622" w:type="dxa"/>
          </w:tcPr>
          <w:p>
            <w:pPr>
              <w:pStyle w:val="TableParagraph"/>
              <w:spacing w:before="16"/>
              <w:ind w:left="228" w:right="217"/>
              <w:jc w:val="center"/>
              <w:rPr>
                <w:sz w:val="18"/>
              </w:rPr>
            </w:pPr>
            <w:r>
              <w:rPr>
                <w:sz w:val="18"/>
              </w:rPr>
              <w:t>ALOS</w:t>
            </w:r>
          </w:p>
        </w:tc>
        <w:tc>
          <w:tcPr>
            <w:tcW w:w="1591" w:type="dxa"/>
          </w:tcPr>
          <w:p>
            <w:pPr>
              <w:pStyle w:val="TableParagraph"/>
              <w:spacing w:before="16"/>
              <w:ind w:left="65" w:right="54"/>
              <w:jc w:val="center"/>
              <w:rPr>
                <w:sz w:val="18"/>
              </w:rPr>
            </w:pPr>
            <w:r>
              <w:rPr>
                <w:sz w:val="18"/>
              </w:rPr>
              <w:t>AVNIR-2</w:t>
            </w:r>
          </w:p>
        </w:tc>
        <w:tc>
          <w:tcPr>
            <w:tcW w:w="1157" w:type="dxa"/>
          </w:tcPr>
          <w:p>
            <w:pPr>
              <w:pStyle w:val="TableParagraph"/>
              <w:spacing w:before="16"/>
              <w:ind w:left="91" w:right="85"/>
              <w:jc w:val="center"/>
              <w:rPr>
                <w:sz w:val="18"/>
              </w:rPr>
            </w:pPr>
            <w:r>
              <w:rPr>
                <w:sz w:val="18"/>
              </w:rPr>
              <w:t>Japan</w:t>
            </w:r>
          </w:p>
        </w:tc>
        <w:tc>
          <w:tcPr>
            <w:tcW w:w="1445" w:type="dxa"/>
          </w:tcPr>
          <w:p>
            <w:pPr>
              <w:pStyle w:val="TableParagraph"/>
              <w:spacing w:before="16"/>
              <w:ind w:left="476" w:right="467"/>
              <w:jc w:val="center"/>
              <w:rPr>
                <w:sz w:val="18"/>
              </w:rPr>
            </w:pPr>
            <w:r>
              <w:rPr>
                <w:sz w:val="18"/>
              </w:rPr>
              <w:t>10</w:t>
            </w:r>
          </w:p>
        </w:tc>
        <w:tc>
          <w:tcPr>
            <w:tcW w:w="1157" w:type="dxa"/>
          </w:tcPr>
          <w:p>
            <w:pPr>
              <w:pStyle w:val="TableParagraph"/>
              <w:spacing w:before="16"/>
              <w:ind w:left="92" w:right="84"/>
              <w:jc w:val="center"/>
              <w:rPr>
                <w:sz w:val="18"/>
              </w:rPr>
            </w:pPr>
            <w:r>
              <w:rPr>
                <w:sz w:val="18"/>
              </w:rPr>
              <w:t>70</w:t>
            </w:r>
          </w:p>
        </w:tc>
        <w:tc>
          <w:tcPr>
            <w:tcW w:w="579" w:type="dxa"/>
          </w:tcPr>
          <w:p>
            <w:pPr>
              <w:pStyle w:val="TableParagraph"/>
              <w:spacing w:before="16"/>
              <w:ind w:left="10"/>
              <w:jc w:val="center"/>
              <w:rPr>
                <w:sz w:val="18"/>
              </w:rPr>
            </w:pPr>
            <w:r>
              <w:rPr>
                <w:sz w:val="18"/>
              </w:rPr>
              <w:t>O</w:t>
            </w:r>
          </w:p>
        </w:tc>
        <w:tc>
          <w:tcPr>
            <w:tcW w:w="579" w:type="dxa"/>
          </w:tcPr>
          <w:p>
            <w:pPr>
              <w:pStyle w:val="TableParagraph"/>
              <w:spacing w:before="16"/>
              <w:ind w:left="4"/>
              <w:jc w:val="center"/>
              <w:rPr>
                <w:sz w:val="18"/>
              </w:rPr>
            </w:pPr>
            <w:r>
              <w:rPr>
                <w:sz w:val="18"/>
              </w:rPr>
              <w:t>R</w:t>
            </w:r>
          </w:p>
        </w:tc>
        <w:tc>
          <w:tcPr>
            <w:tcW w:w="579" w:type="dxa"/>
          </w:tcPr>
          <w:p>
            <w:pPr>
              <w:pStyle w:val="TableParagraph"/>
              <w:spacing w:before="16"/>
              <w:jc w:val="center"/>
              <w:rPr>
                <w:sz w:val="18"/>
              </w:rPr>
            </w:pPr>
            <w:r>
              <w:rPr>
                <w:sz w:val="18"/>
              </w:rPr>
              <w:t>M</w:t>
            </w: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spacing w:before="16"/>
              <w:ind w:right="3"/>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50"/>
              <w:jc w:val="center"/>
              <w:rPr>
                <w:sz w:val="18"/>
              </w:rPr>
            </w:pPr>
            <w:r>
              <w:rPr>
                <w:sz w:val="18"/>
              </w:rPr>
              <w:t>PA</w:t>
            </w:r>
          </w:p>
        </w:tc>
        <w:tc>
          <w:tcPr>
            <w:tcW w:w="1014" w:type="dxa"/>
          </w:tcPr>
          <w:p>
            <w:pPr>
              <w:pStyle w:val="TableParagraph"/>
              <w:spacing w:before="16"/>
              <w:ind w:right="9"/>
              <w:jc w:val="center"/>
              <w:rPr>
                <w:sz w:val="18"/>
              </w:rPr>
            </w:pPr>
            <w:r>
              <w:rPr>
                <w:sz w:val="18"/>
              </w:rPr>
              <w:t>A</w:t>
            </w:r>
          </w:p>
        </w:tc>
      </w:tr>
      <w:tr>
        <w:trPr>
          <w:trHeight w:val="251" w:hRule="atLeast"/>
        </w:trPr>
        <w:tc>
          <w:tcPr>
            <w:tcW w:w="1622" w:type="dxa"/>
          </w:tcPr>
          <w:p>
            <w:pPr>
              <w:pStyle w:val="TableParagraph"/>
              <w:spacing w:before="16"/>
              <w:ind w:left="228" w:right="217"/>
              <w:jc w:val="center"/>
              <w:rPr>
                <w:sz w:val="18"/>
              </w:rPr>
            </w:pPr>
            <w:r>
              <w:rPr>
                <w:sz w:val="18"/>
              </w:rPr>
              <w:t>ALOS</w:t>
            </w:r>
          </w:p>
        </w:tc>
        <w:tc>
          <w:tcPr>
            <w:tcW w:w="1591" w:type="dxa"/>
          </w:tcPr>
          <w:p>
            <w:pPr>
              <w:pStyle w:val="TableParagraph"/>
              <w:spacing w:before="16"/>
              <w:ind w:left="65" w:right="53"/>
              <w:jc w:val="center"/>
              <w:rPr>
                <w:sz w:val="18"/>
              </w:rPr>
            </w:pPr>
            <w:r>
              <w:rPr>
                <w:sz w:val="18"/>
              </w:rPr>
              <w:t>PRISM</w:t>
            </w:r>
          </w:p>
        </w:tc>
        <w:tc>
          <w:tcPr>
            <w:tcW w:w="1157" w:type="dxa"/>
          </w:tcPr>
          <w:p>
            <w:pPr>
              <w:pStyle w:val="TableParagraph"/>
              <w:spacing w:before="16"/>
              <w:ind w:left="91" w:right="85"/>
              <w:jc w:val="center"/>
              <w:rPr>
                <w:sz w:val="18"/>
              </w:rPr>
            </w:pPr>
            <w:r>
              <w:rPr>
                <w:sz w:val="18"/>
              </w:rPr>
              <w:t>Japan</w:t>
            </w:r>
          </w:p>
        </w:tc>
        <w:tc>
          <w:tcPr>
            <w:tcW w:w="1445" w:type="dxa"/>
          </w:tcPr>
          <w:p>
            <w:pPr>
              <w:pStyle w:val="TableParagraph"/>
              <w:spacing w:before="16"/>
              <w:ind w:left="475" w:right="468"/>
              <w:jc w:val="center"/>
              <w:rPr>
                <w:sz w:val="18"/>
              </w:rPr>
            </w:pPr>
            <w:r>
              <w:rPr>
                <w:sz w:val="18"/>
              </w:rPr>
              <w:t>2.5</w:t>
            </w:r>
          </w:p>
        </w:tc>
        <w:tc>
          <w:tcPr>
            <w:tcW w:w="1157" w:type="dxa"/>
          </w:tcPr>
          <w:p>
            <w:pPr>
              <w:pStyle w:val="TableParagraph"/>
              <w:spacing w:before="16"/>
              <w:ind w:left="92" w:right="84"/>
              <w:jc w:val="center"/>
              <w:rPr>
                <w:sz w:val="18"/>
              </w:rPr>
            </w:pPr>
            <w:r>
              <w:rPr>
                <w:sz w:val="18"/>
              </w:rPr>
              <w:t>35/70</w:t>
            </w:r>
          </w:p>
        </w:tc>
        <w:tc>
          <w:tcPr>
            <w:tcW w:w="579" w:type="dxa"/>
          </w:tcPr>
          <w:p>
            <w:pPr>
              <w:pStyle w:val="TableParagraph"/>
              <w:spacing w:before="16"/>
              <w:ind w:left="9"/>
              <w:jc w:val="center"/>
              <w:rPr>
                <w:sz w:val="18"/>
              </w:rPr>
            </w:pPr>
            <w:r>
              <w:rPr>
                <w:sz w:val="18"/>
              </w:rPr>
              <w:t>O</w:t>
            </w:r>
          </w:p>
        </w:tc>
        <w:tc>
          <w:tcPr>
            <w:tcW w:w="579" w:type="dxa"/>
          </w:tcPr>
          <w:p>
            <w:pPr>
              <w:pStyle w:val="TableParagraph"/>
              <w:spacing w:before="16"/>
              <w:ind w:left="3"/>
              <w:jc w:val="center"/>
              <w:rPr>
                <w:sz w:val="18"/>
              </w:rPr>
            </w:pPr>
            <w:r>
              <w:rPr>
                <w:sz w:val="18"/>
              </w:rPr>
              <w:t>R</w:t>
            </w:r>
          </w:p>
        </w:tc>
        <w:tc>
          <w:tcPr>
            <w:tcW w:w="579" w:type="dxa"/>
          </w:tcPr>
          <w:p>
            <w:pPr>
              <w:pStyle w:val="TableParagraph"/>
              <w:spacing w:before="16"/>
              <w:ind w:left="1"/>
              <w:jc w:val="center"/>
              <w:rPr>
                <w:sz w:val="18"/>
              </w:rPr>
            </w:pPr>
            <w:r>
              <w:rPr>
                <w:sz w:val="18"/>
              </w:rPr>
              <w:t>S</w:t>
            </w: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spacing w:before="16"/>
              <w:ind w:right="4"/>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50"/>
              <w:jc w:val="center"/>
              <w:rPr>
                <w:sz w:val="18"/>
              </w:rPr>
            </w:pPr>
            <w:r>
              <w:rPr>
                <w:sz w:val="18"/>
              </w:rPr>
              <w:t>PA</w:t>
            </w:r>
          </w:p>
        </w:tc>
        <w:tc>
          <w:tcPr>
            <w:tcW w:w="1014" w:type="dxa"/>
          </w:tcPr>
          <w:p>
            <w:pPr>
              <w:pStyle w:val="TableParagraph"/>
              <w:spacing w:before="16"/>
              <w:ind w:left="41" w:right="52"/>
              <w:jc w:val="center"/>
              <w:rPr>
                <w:sz w:val="18"/>
              </w:rPr>
            </w:pPr>
            <w:r>
              <w:rPr>
                <w:sz w:val="18"/>
              </w:rPr>
              <w:t>MA</w:t>
            </w:r>
          </w:p>
        </w:tc>
      </w:tr>
      <w:tr>
        <w:trPr>
          <w:trHeight w:val="251" w:hRule="atLeast"/>
        </w:trPr>
        <w:tc>
          <w:tcPr>
            <w:tcW w:w="1622" w:type="dxa"/>
          </w:tcPr>
          <w:p>
            <w:pPr>
              <w:pStyle w:val="TableParagraph"/>
              <w:spacing w:before="16"/>
              <w:ind w:left="229" w:right="215"/>
              <w:jc w:val="center"/>
              <w:rPr>
                <w:sz w:val="18"/>
              </w:rPr>
            </w:pPr>
            <w:r>
              <w:rPr>
                <w:sz w:val="18"/>
              </w:rPr>
              <w:t>IKONOS</w:t>
            </w:r>
          </w:p>
        </w:tc>
        <w:tc>
          <w:tcPr>
            <w:tcW w:w="1591" w:type="dxa"/>
          </w:tcPr>
          <w:p>
            <w:pPr>
              <w:pStyle w:val="TableParagraph"/>
              <w:spacing w:before="16"/>
              <w:ind w:left="65" w:right="51"/>
              <w:jc w:val="center"/>
              <w:rPr>
                <w:sz w:val="18"/>
              </w:rPr>
            </w:pPr>
            <w:r>
              <w:rPr>
                <w:sz w:val="18"/>
              </w:rPr>
              <w:t>Pan/Multi</w:t>
            </w:r>
          </w:p>
        </w:tc>
        <w:tc>
          <w:tcPr>
            <w:tcW w:w="1157" w:type="dxa"/>
          </w:tcPr>
          <w:p>
            <w:pPr>
              <w:pStyle w:val="TableParagraph"/>
              <w:spacing w:before="16"/>
              <w:ind w:left="92" w:right="78"/>
              <w:jc w:val="center"/>
              <w:rPr>
                <w:sz w:val="18"/>
              </w:rPr>
            </w:pPr>
            <w:r>
              <w:rPr>
                <w:sz w:val="18"/>
              </w:rPr>
              <w:t>USA</w:t>
            </w:r>
          </w:p>
        </w:tc>
        <w:tc>
          <w:tcPr>
            <w:tcW w:w="1445" w:type="dxa"/>
          </w:tcPr>
          <w:p>
            <w:pPr>
              <w:pStyle w:val="TableParagraph"/>
              <w:spacing w:before="16"/>
              <w:ind w:left="383"/>
              <w:rPr>
                <w:sz w:val="18"/>
              </w:rPr>
            </w:pPr>
            <w:r>
              <w:rPr>
                <w:sz w:val="18"/>
              </w:rPr>
              <w:t>0.82 / 3.3</w:t>
            </w:r>
          </w:p>
        </w:tc>
        <w:tc>
          <w:tcPr>
            <w:tcW w:w="1157" w:type="dxa"/>
          </w:tcPr>
          <w:p>
            <w:pPr>
              <w:pStyle w:val="TableParagraph"/>
              <w:spacing w:before="16"/>
              <w:ind w:left="92" w:right="81"/>
              <w:jc w:val="center"/>
              <w:rPr>
                <w:sz w:val="18"/>
              </w:rPr>
            </w:pPr>
            <w:r>
              <w:rPr>
                <w:sz w:val="18"/>
              </w:rPr>
              <w:t>11</w:t>
            </w:r>
          </w:p>
        </w:tc>
        <w:tc>
          <w:tcPr>
            <w:tcW w:w="579" w:type="dxa"/>
          </w:tcPr>
          <w:p>
            <w:pPr>
              <w:pStyle w:val="TableParagraph"/>
              <w:spacing w:before="16"/>
              <w:ind w:left="14"/>
              <w:jc w:val="center"/>
              <w:rPr>
                <w:sz w:val="18"/>
              </w:rPr>
            </w:pPr>
            <w:r>
              <w:rPr>
                <w:sz w:val="18"/>
              </w:rPr>
              <w:t>O</w:t>
            </w:r>
          </w:p>
        </w:tc>
        <w:tc>
          <w:tcPr>
            <w:tcW w:w="579" w:type="dxa"/>
          </w:tcPr>
          <w:p>
            <w:pPr>
              <w:pStyle w:val="TableParagraph"/>
              <w:spacing w:before="16"/>
              <w:ind w:left="9"/>
              <w:jc w:val="center"/>
              <w:rPr>
                <w:sz w:val="18"/>
              </w:rPr>
            </w:pPr>
            <w:r>
              <w:rPr>
                <w:sz w:val="18"/>
              </w:rPr>
              <w:t>R</w:t>
            </w:r>
          </w:p>
        </w:tc>
        <w:tc>
          <w:tcPr>
            <w:tcW w:w="579" w:type="dxa"/>
          </w:tcPr>
          <w:p>
            <w:pPr>
              <w:pStyle w:val="TableParagraph"/>
              <w:spacing w:before="16"/>
              <w:ind w:left="5"/>
              <w:jc w:val="center"/>
              <w:rPr>
                <w:sz w:val="18"/>
              </w:rPr>
            </w:pPr>
            <w:r>
              <w:rPr>
                <w:sz w:val="18"/>
              </w:rPr>
              <w:t>M</w:t>
            </w: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spacing w:before="16"/>
              <w:ind w:right="1"/>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right="2"/>
              <w:jc w:val="center"/>
              <w:rPr>
                <w:sz w:val="18"/>
              </w:rPr>
            </w:pPr>
            <w:r>
              <w:rPr>
                <w:sz w:val="18"/>
              </w:rPr>
              <w:t>A</w:t>
            </w:r>
          </w:p>
        </w:tc>
        <w:tc>
          <w:tcPr>
            <w:tcW w:w="1014" w:type="dxa"/>
          </w:tcPr>
          <w:p>
            <w:pPr>
              <w:pStyle w:val="TableParagraph"/>
              <w:spacing w:before="16"/>
              <w:ind w:left="41" w:right="48"/>
              <w:jc w:val="center"/>
              <w:rPr>
                <w:sz w:val="18"/>
              </w:rPr>
            </w:pPr>
            <w:r>
              <w:rPr>
                <w:sz w:val="18"/>
              </w:rPr>
              <w:t>MA</w:t>
            </w:r>
          </w:p>
        </w:tc>
      </w:tr>
      <w:tr>
        <w:trPr>
          <w:trHeight w:val="249" w:hRule="atLeast"/>
        </w:trPr>
        <w:tc>
          <w:tcPr>
            <w:tcW w:w="1622" w:type="dxa"/>
          </w:tcPr>
          <w:p>
            <w:pPr>
              <w:pStyle w:val="TableParagraph"/>
              <w:spacing w:before="16"/>
              <w:ind w:left="226" w:right="217"/>
              <w:jc w:val="center"/>
              <w:rPr>
                <w:sz w:val="18"/>
              </w:rPr>
            </w:pPr>
            <w:r>
              <w:rPr>
                <w:sz w:val="18"/>
              </w:rPr>
              <w:t>Orbview-3</w:t>
            </w:r>
          </w:p>
        </w:tc>
        <w:tc>
          <w:tcPr>
            <w:tcW w:w="1591" w:type="dxa"/>
          </w:tcPr>
          <w:p>
            <w:pPr>
              <w:pStyle w:val="TableParagraph"/>
              <w:spacing w:before="16"/>
              <w:ind w:left="65" w:right="54"/>
              <w:jc w:val="center"/>
              <w:rPr>
                <w:sz w:val="18"/>
              </w:rPr>
            </w:pPr>
            <w:r>
              <w:rPr>
                <w:sz w:val="18"/>
              </w:rPr>
              <w:t>Pan/Multi</w:t>
            </w:r>
          </w:p>
        </w:tc>
        <w:tc>
          <w:tcPr>
            <w:tcW w:w="1157" w:type="dxa"/>
          </w:tcPr>
          <w:p>
            <w:pPr>
              <w:pStyle w:val="TableParagraph"/>
              <w:spacing w:before="16"/>
              <w:ind w:left="92" w:right="79"/>
              <w:jc w:val="center"/>
              <w:rPr>
                <w:sz w:val="18"/>
              </w:rPr>
            </w:pPr>
            <w:r>
              <w:rPr>
                <w:sz w:val="18"/>
              </w:rPr>
              <w:t>USA</w:t>
            </w:r>
          </w:p>
        </w:tc>
        <w:tc>
          <w:tcPr>
            <w:tcW w:w="1445" w:type="dxa"/>
          </w:tcPr>
          <w:p>
            <w:pPr>
              <w:pStyle w:val="TableParagraph"/>
              <w:spacing w:before="16"/>
              <w:ind w:left="404"/>
              <w:rPr>
                <w:sz w:val="18"/>
              </w:rPr>
            </w:pPr>
            <w:r>
              <w:rPr>
                <w:sz w:val="18"/>
              </w:rPr>
              <w:t>0.82/ 3.3</w:t>
            </w:r>
          </w:p>
        </w:tc>
        <w:tc>
          <w:tcPr>
            <w:tcW w:w="1157" w:type="dxa"/>
          </w:tcPr>
          <w:p>
            <w:pPr>
              <w:pStyle w:val="TableParagraph"/>
              <w:spacing w:before="16"/>
              <w:ind w:left="7"/>
              <w:jc w:val="center"/>
              <w:rPr>
                <w:sz w:val="18"/>
              </w:rPr>
            </w:pPr>
            <w:r>
              <w:rPr>
                <w:sz w:val="18"/>
              </w:rPr>
              <w:t>8</w:t>
            </w:r>
          </w:p>
        </w:tc>
        <w:tc>
          <w:tcPr>
            <w:tcW w:w="579" w:type="dxa"/>
          </w:tcPr>
          <w:p>
            <w:pPr>
              <w:pStyle w:val="TableParagraph"/>
              <w:spacing w:before="16"/>
              <w:ind w:left="9"/>
              <w:jc w:val="center"/>
              <w:rPr>
                <w:sz w:val="18"/>
              </w:rPr>
            </w:pPr>
            <w:r>
              <w:rPr>
                <w:sz w:val="18"/>
              </w:rPr>
              <w:t>O</w:t>
            </w:r>
          </w:p>
        </w:tc>
        <w:tc>
          <w:tcPr>
            <w:tcW w:w="579" w:type="dxa"/>
          </w:tcPr>
          <w:p>
            <w:pPr>
              <w:pStyle w:val="TableParagraph"/>
              <w:spacing w:before="16"/>
              <w:ind w:left="5"/>
              <w:jc w:val="center"/>
              <w:rPr>
                <w:sz w:val="18"/>
              </w:rPr>
            </w:pPr>
            <w:r>
              <w:rPr>
                <w:sz w:val="18"/>
              </w:rPr>
              <w:t>R</w:t>
            </w:r>
          </w:p>
        </w:tc>
        <w:tc>
          <w:tcPr>
            <w:tcW w:w="579" w:type="dxa"/>
          </w:tcPr>
          <w:p>
            <w:pPr>
              <w:pStyle w:val="TableParagraph"/>
              <w:spacing w:before="16"/>
              <w:ind w:left="2"/>
              <w:jc w:val="center"/>
              <w:rPr>
                <w:sz w:val="18"/>
              </w:rPr>
            </w:pPr>
            <w:r>
              <w:rPr>
                <w:sz w:val="18"/>
              </w:rPr>
              <w:t>M</w:t>
            </w: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spacing w:before="16"/>
              <w:ind w:right="2"/>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47"/>
              <w:jc w:val="center"/>
              <w:rPr>
                <w:sz w:val="18"/>
              </w:rPr>
            </w:pPr>
            <w:r>
              <w:rPr>
                <w:sz w:val="18"/>
              </w:rPr>
              <w:t>PA</w:t>
            </w:r>
          </w:p>
        </w:tc>
        <w:tc>
          <w:tcPr>
            <w:tcW w:w="1014" w:type="dxa"/>
          </w:tcPr>
          <w:p>
            <w:pPr>
              <w:pStyle w:val="TableParagraph"/>
              <w:spacing w:before="16"/>
              <w:ind w:left="41" w:right="50"/>
              <w:jc w:val="center"/>
              <w:rPr>
                <w:sz w:val="18"/>
              </w:rPr>
            </w:pPr>
            <w:r>
              <w:rPr>
                <w:sz w:val="18"/>
              </w:rPr>
              <w:t>MA</w:t>
            </w:r>
          </w:p>
        </w:tc>
      </w:tr>
      <w:tr>
        <w:trPr>
          <w:trHeight w:val="251" w:hRule="atLeast"/>
        </w:trPr>
        <w:tc>
          <w:tcPr>
            <w:tcW w:w="1622" w:type="dxa"/>
          </w:tcPr>
          <w:p>
            <w:pPr>
              <w:pStyle w:val="TableParagraph"/>
              <w:spacing w:before="16"/>
              <w:ind w:left="229" w:right="217"/>
              <w:jc w:val="center"/>
              <w:rPr>
                <w:sz w:val="18"/>
              </w:rPr>
            </w:pPr>
            <w:r>
              <w:rPr>
                <w:sz w:val="18"/>
              </w:rPr>
              <w:t>QuickBird</w:t>
            </w:r>
          </w:p>
        </w:tc>
        <w:tc>
          <w:tcPr>
            <w:tcW w:w="1591" w:type="dxa"/>
          </w:tcPr>
          <w:p>
            <w:pPr>
              <w:pStyle w:val="TableParagraph"/>
              <w:spacing w:before="16"/>
              <w:ind w:left="65" w:right="54"/>
              <w:jc w:val="center"/>
              <w:rPr>
                <w:sz w:val="18"/>
              </w:rPr>
            </w:pPr>
            <w:r>
              <w:rPr>
                <w:sz w:val="18"/>
              </w:rPr>
              <w:t>Pan/Multi</w:t>
            </w:r>
          </w:p>
        </w:tc>
        <w:tc>
          <w:tcPr>
            <w:tcW w:w="1157" w:type="dxa"/>
          </w:tcPr>
          <w:p>
            <w:pPr>
              <w:pStyle w:val="TableParagraph"/>
              <w:spacing w:before="16"/>
              <w:ind w:left="92" w:right="79"/>
              <w:jc w:val="center"/>
              <w:rPr>
                <w:sz w:val="18"/>
              </w:rPr>
            </w:pPr>
            <w:r>
              <w:rPr>
                <w:sz w:val="18"/>
              </w:rPr>
              <w:t>USA</w:t>
            </w:r>
          </w:p>
        </w:tc>
        <w:tc>
          <w:tcPr>
            <w:tcW w:w="1445" w:type="dxa"/>
          </w:tcPr>
          <w:p>
            <w:pPr>
              <w:pStyle w:val="TableParagraph"/>
              <w:spacing w:before="16"/>
              <w:ind w:left="383"/>
              <w:rPr>
                <w:sz w:val="18"/>
              </w:rPr>
            </w:pPr>
            <w:r>
              <w:rPr>
                <w:sz w:val="18"/>
              </w:rPr>
              <w:t>0.61 / 2.5</w:t>
            </w:r>
          </w:p>
        </w:tc>
        <w:tc>
          <w:tcPr>
            <w:tcW w:w="1157" w:type="dxa"/>
          </w:tcPr>
          <w:p>
            <w:pPr>
              <w:pStyle w:val="TableParagraph"/>
              <w:spacing w:before="16"/>
              <w:ind w:left="92" w:right="85"/>
              <w:jc w:val="center"/>
              <w:rPr>
                <w:sz w:val="18"/>
              </w:rPr>
            </w:pPr>
            <w:r>
              <w:rPr>
                <w:sz w:val="18"/>
              </w:rPr>
              <w:t>17</w:t>
            </w:r>
          </w:p>
        </w:tc>
        <w:tc>
          <w:tcPr>
            <w:tcW w:w="579" w:type="dxa"/>
          </w:tcPr>
          <w:p>
            <w:pPr>
              <w:pStyle w:val="TableParagraph"/>
              <w:spacing w:before="16"/>
              <w:ind w:left="8"/>
              <w:jc w:val="center"/>
              <w:rPr>
                <w:sz w:val="18"/>
              </w:rPr>
            </w:pPr>
            <w:r>
              <w:rPr>
                <w:sz w:val="18"/>
              </w:rPr>
              <w:t>O</w:t>
            </w:r>
          </w:p>
        </w:tc>
        <w:tc>
          <w:tcPr>
            <w:tcW w:w="579" w:type="dxa"/>
          </w:tcPr>
          <w:p>
            <w:pPr>
              <w:pStyle w:val="TableParagraph"/>
              <w:spacing w:before="16"/>
              <w:ind w:left="4"/>
              <w:jc w:val="center"/>
              <w:rPr>
                <w:sz w:val="18"/>
              </w:rPr>
            </w:pPr>
            <w:r>
              <w:rPr>
                <w:sz w:val="18"/>
              </w:rPr>
              <w:t>R</w:t>
            </w:r>
          </w:p>
        </w:tc>
        <w:tc>
          <w:tcPr>
            <w:tcW w:w="579" w:type="dxa"/>
          </w:tcPr>
          <w:p>
            <w:pPr>
              <w:pStyle w:val="TableParagraph"/>
              <w:spacing w:before="16"/>
              <w:jc w:val="center"/>
              <w:rPr>
                <w:sz w:val="18"/>
              </w:rPr>
            </w:pPr>
            <w:r>
              <w:rPr>
                <w:sz w:val="18"/>
              </w:rPr>
              <w:t>M</w:t>
            </w: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spacing w:before="16"/>
              <w:ind w:right="3"/>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49"/>
              <w:jc w:val="center"/>
              <w:rPr>
                <w:sz w:val="18"/>
              </w:rPr>
            </w:pPr>
            <w:r>
              <w:rPr>
                <w:sz w:val="18"/>
              </w:rPr>
              <w:t>PA</w:t>
            </w:r>
          </w:p>
        </w:tc>
        <w:tc>
          <w:tcPr>
            <w:tcW w:w="1014" w:type="dxa"/>
          </w:tcPr>
          <w:p>
            <w:pPr>
              <w:pStyle w:val="TableParagraph"/>
              <w:spacing w:before="16"/>
              <w:ind w:left="41" w:right="51"/>
              <w:jc w:val="center"/>
              <w:rPr>
                <w:sz w:val="18"/>
              </w:rPr>
            </w:pPr>
            <w:r>
              <w:rPr>
                <w:sz w:val="18"/>
              </w:rPr>
              <w:t>MA</w:t>
            </w:r>
          </w:p>
        </w:tc>
      </w:tr>
      <w:tr>
        <w:trPr>
          <w:trHeight w:val="251" w:hRule="atLeast"/>
        </w:trPr>
        <w:tc>
          <w:tcPr>
            <w:tcW w:w="1622" w:type="dxa"/>
          </w:tcPr>
          <w:p>
            <w:pPr>
              <w:pStyle w:val="TableParagraph"/>
              <w:spacing w:before="16"/>
              <w:ind w:left="228" w:right="217"/>
              <w:jc w:val="center"/>
              <w:rPr>
                <w:sz w:val="18"/>
              </w:rPr>
            </w:pPr>
            <w:r>
              <w:rPr>
                <w:sz w:val="18"/>
              </w:rPr>
              <w:t>EO-1</w:t>
            </w:r>
          </w:p>
        </w:tc>
        <w:tc>
          <w:tcPr>
            <w:tcW w:w="1591" w:type="dxa"/>
          </w:tcPr>
          <w:p>
            <w:pPr>
              <w:pStyle w:val="TableParagraph"/>
              <w:spacing w:before="16"/>
              <w:ind w:left="65" w:right="51"/>
              <w:jc w:val="center"/>
              <w:rPr>
                <w:sz w:val="18"/>
              </w:rPr>
            </w:pPr>
            <w:r>
              <w:rPr>
                <w:sz w:val="18"/>
              </w:rPr>
              <w:t>ALI</w:t>
            </w:r>
          </w:p>
        </w:tc>
        <w:tc>
          <w:tcPr>
            <w:tcW w:w="1157" w:type="dxa"/>
          </w:tcPr>
          <w:p>
            <w:pPr>
              <w:pStyle w:val="TableParagraph"/>
              <w:spacing w:before="16"/>
              <w:ind w:left="92" w:right="81"/>
              <w:jc w:val="center"/>
              <w:rPr>
                <w:sz w:val="18"/>
              </w:rPr>
            </w:pPr>
            <w:r>
              <w:rPr>
                <w:sz w:val="18"/>
              </w:rPr>
              <w:t>USA</w:t>
            </w:r>
          </w:p>
        </w:tc>
        <w:tc>
          <w:tcPr>
            <w:tcW w:w="1445" w:type="dxa"/>
          </w:tcPr>
          <w:p>
            <w:pPr>
              <w:pStyle w:val="TableParagraph"/>
              <w:spacing w:before="16"/>
              <w:ind w:left="476" w:right="468"/>
              <w:jc w:val="center"/>
              <w:rPr>
                <w:sz w:val="18"/>
              </w:rPr>
            </w:pPr>
            <w:r>
              <w:rPr>
                <w:sz w:val="18"/>
              </w:rPr>
              <w:t>10, 30</w:t>
            </w:r>
          </w:p>
        </w:tc>
        <w:tc>
          <w:tcPr>
            <w:tcW w:w="1157" w:type="dxa"/>
          </w:tcPr>
          <w:p>
            <w:pPr>
              <w:pStyle w:val="TableParagraph"/>
              <w:spacing w:before="16"/>
              <w:ind w:left="92" w:right="84"/>
              <w:jc w:val="center"/>
              <w:rPr>
                <w:sz w:val="18"/>
              </w:rPr>
            </w:pPr>
            <w:r>
              <w:rPr>
                <w:sz w:val="18"/>
              </w:rPr>
              <w:t>185</w:t>
            </w:r>
          </w:p>
        </w:tc>
        <w:tc>
          <w:tcPr>
            <w:tcW w:w="579" w:type="dxa"/>
          </w:tcPr>
          <w:p>
            <w:pPr>
              <w:pStyle w:val="TableParagraph"/>
              <w:spacing w:before="16"/>
              <w:ind w:left="9"/>
              <w:jc w:val="center"/>
              <w:rPr>
                <w:sz w:val="18"/>
              </w:rPr>
            </w:pPr>
            <w:r>
              <w:rPr>
                <w:sz w:val="18"/>
              </w:rPr>
              <w:t>O</w:t>
            </w:r>
          </w:p>
        </w:tc>
        <w:tc>
          <w:tcPr>
            <w:tcW w:w="579" w:type="dxa"/>
          </w:tcPr>
          <w:p>
            <w:pPr>
              <w:pStyle w:val="TableParagraph"/>
              <w:spacing w:before="16"/>
              <w:ind w:left="3"/>
              <w:jc w:val="center"/>
              <w:rPr>
                <w:sz w:val="18"/>
              </w:rPr>
            </w:pPr>
            <w:r>
              <w:rPr>
                <w:sz w:val="18"/>
              </w:rPr>
              <w:t>R</w:t>
            </w:r>
          </w:p>
        </w:tc>
        <w:tc>
          <w:tcPr>
            <w:tcW w:w="579" w:type="dxa"/>
          </w:tcPr>
          <w:p>
            <w:pPr>
              <w:pStyle w:val="TableParagraph"/>
              <w:spacing w:before="16"/>
              <w:jc w:val="center"/>
              <w:rPr>
                <w:sz w:val="18"/>
              </w:rPr>
            </w:pPr>
            <w:r>
              <w:rPr>
                <w:sz w:val="18"/>
              </w:rPr>
              <w:t>M</w:t>
            </w:r>
          </w:p>
        </w:tc>
        <w:tc>
          <w:tcPr>
            <w:tcW w:w="577" w:type="dxa"/>
          </w:tcPr>
          <w:p>
            <w:pPr>
              <w:pStyle w:val="TableParagraph"/>
              <w:spacing w:before="16"/>
              <w:jc w:val="center"/>
              <w:rPr>
                <w:sz w:val="18"/>
              </w:rPr>
            </w:pPr>
            <w:r>
              <w:rPr>
                <w:sz w:val="18"/>
              </w:rPr>
              <w:t>M</w:t>
            </w:r>
          </w:p>
        </w:tc>
        <w:tc>
          <w:tcPr>
            <w:tcW w:w="438" w:type="dxa"/>
          </w:tcPr>
          <w:p>
            <w:pPr>
              <w:pStyle w:val="TableParagraph"/>
              <w:rPr>
                <w:sz w:val="16"/>
              </w:rPr>
            </w:pPr>
          </w:p>
        </w:tc>
        <w:tc>
          <w:tcPr>
            <w:tcW w:w="580" w:type="dxa"/>
          </w:tcPr>
          <w:p>
            <w:pPr>
              <w:pStyle w:val="TableParagraph"/>
              <w:spacing w:before="16"/>
              <w:ind w:right="4"/>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50"/>
              <w:jc w:val="center"/>
              <w:rPr>
                <w:sz w:val="18"/>
              </w:rPr>
            </w:pPr>
            <w:r>
              <w:rPr>
                <w:sz w:val="18"/>
              </w:rPr>
              <w:t>PA</w:t>
            </w:r>
          </w:p>
        </w:tc>
        <w:tc>
          <w:tcPr>
            <w:tcW w:w="1014" w:type="dxa"/>
          </w:tcPr>
          <w:p>
            <w:pPr>
              <w:pStyle w:val="TableParagraph"/>
              <w:rPr>
                <w:sz w:val="16"/>
              </w:rPr>
            </w:pPr>
          </w:p>
        </w:tc>
      </w:tr>
      <w:tr>
        <w:trPr>
          <w:trHeight w:val="251" w:hRule="atLeast"/>
        </w:trPr>
        <w:tc>
          <w:tcPr>
            <w:tcW w:w="1622" w:type="dxa"/>
          </w:tcPr>
          <w:p>
            <w:pPr>
              <w:pStyle w:val="TableParagraph"/>
              <w:spacing w:before="16"/>
              <w:ind w:left="228" w:right="217"/>
              <w:jc w:val="center"/>
              <w:rPr>
                <w:sz w:val="18"/>
              </w:rPr>
            </w:pPr>
            <w:r>
              <w:rPr>
                <w:sz w:val="18"/>
              </w:rPr>
              <w:t>EO-1</w:t>
            </w:r>
          </w:p>
        </w:tc>
        <w:tc>
          <w:tcPr>
            <w:tcW w:w="1591" w:type="dxa"/>
          </w:tcPr>
          <w:p>
            <w:pPr>
              <w:pStyle w:val="TableParagraph"/>
              <w:spacing w:before="16"/>
              <w:ind w:left="65" w:right="52"/>
              <w:jc w:val="center"/>
              <w:rPr>
                <w:sz w:val="18"/>
              </w:rPr>
            </w:pPr>
            <w:r>
              <w:rPr>
                <w:sz w:val="18"/>
              </w:rPr>
              <w:t>Hyperion</w:t>
            </w:r>
          </w:p>
        </w:tc>
        <w:tc>
          <w:tcPr>
            <w:tcW w:w="1157" w:type="dxa"/>
          </w:tcPr>
          <w:p>
            <w:pPr>
              <w:pStyle w:val="TableParagraph"/>
              <w:spacing w:before="16"/>
              <w:ind w:left="92" w:right="82"/>
              <w:jc w:val="center"/>
              <w:rPr>
                <w:sz w:val="18"/>
              </w:rPr>
            </w:pPr>
            <w:r>
              <w:rPr>
                <w:sz w:val="18"/>
              </w:rPr>
              <w:t>USA</w:t>
            </w:r>
          </w:p>
        </w:tc>
        <w:tc>
          <w:tcPr>
            <w:tcW w:w="1445" w:type="dxa"/>
          </w:tcPr>
          <w:p>
            <w:pPr>
              <w:pStyle w:val="TableParagraph"/>
              <w:spacing w:before="16"/>
              <w:ind w:left="476" w:right="467"/>
              <w:jc w:val="center"/>
              <w:rPr>
                <w:sz w:val="18"/>
              </w:rPr>
            </w:pPr>
            <w:r>
              <w:rPr>
                <w:sz w:val="18"/>
              </w:rPr>
              <w:t>30</w:t>
            </w:r>
          </w:p>
        </w:tc>
        <w:tc>
          <w:tcPr>
            <w:tcW w:w="1157" w:type="dxa"/>
          </w:tcPr>
          <w:p>
            <w:pPr>
              <w:pStyle w:val="TableParagraph"/>
              <w:spacing w:before="16"/>
              <w:ind w:left="92" w:right="81"/>
              <w:jc w:val="center"/>
              <w:rPr>
                <w:sz w:val="18"/>
              </w:rPr>
            </w:pPr>
            <w:r>
              <w:rPr>
                <w:sz w:val="18"/>
              </w:rPr>
              <w:t>7.5</w:t>
            </w:r>
          </w:p>
        </w:tc>
        <w:tc>
          <w:tcPr>
            <w:tcW w:w="579" w:type="dxa"/>
          </w:tcPr>
          <w:p>
            <w:pPr>
              <w:pStyle w:val="TableParagraph"/>
              <w:spacing w:before="16"/>
              <w:ind w:left="12"/>
              <w:jc w:val="center"/>
              <w:rPr>
                <w:sz w:val="18"/>
              </w:rPr>
            </w:pPr>
            <w:r>
              <w:rPr>
                <w:sz w:val="18"/>
              </w:rPr>
              <w:t>O</w:t>
            </w:r>
          </w:p>
        </w:tc>
        <w:tc>
          <w:tcPr>
            <w:tcW w:w="579" w:type="dxa"/>
          </w:tcPr>
          <w:p>
            <w:pPr>
              <w:pStyle w:val="TableParagraph"/>
              <w:spacing w:before="16"/>
              <w:ind w:left="5"/>
              <w:jc w:val="center"/>
              <w:rPr>
                <w:sz w:val="18"/>
              </w:rPr>
            </w:pPr>
            <w:r>
              <w:rPr>
                <w:sz w:val="18"/>
              </w:rPr>
              <w:t>R</w:t>
            </w:r>
          </w:p>
        </w:tc>
        <w:tc>
          <w:tcPr>
            <w:tcW w:w="579" w:type="dxa"/>
          </w:tcPr>
          <w:p>
            <w:pPr>
              <w:pStyle w:val="TableParagraph"/>
              <w:spacing w:before="16"/>
              <w:ind w:left="4"/>
              <w:jc w:val="center"/>
              <w:rPr>
                <w:sz w:val="18"/>
              </w:rPr>
            </w:pPr>
            <w:r>
              <w:rPr>
                <w:sz w:val="18"/>
              </w:rPr>
              <w:t>H</w:t>
            </w:r>
          </w:p>
        </w:tc>
        <w:tc>
          <w:tcPr>
            <w:tcW w:w="577" w:type="dxa"/>
          </w:tcPr>
          <w:p>
            <w:pPr>
              <w:pStyle w:val="TableParagraph"/>
              <w:spacing w:before="16"/>
              <w:ind w:left="5"/>
              <w:jc w:val="center"/>
              <w:rPr>
                <w:sz w:val="18"/>
              </w:rPr>
            </w:pPr>
            <w:r>
              <w:rPr>
                <w:sz w:val="18"/>
              </w:rPr>
              <w:t>H</w:t>
            </w:r>
          </w:p>
        </w:tc>
        <w:tc>
          <w:tcPr>
            <w:tcW w:w="438" w:type="dxa"/>
          </w:tcPr>
          <w:p>
            <w:pPr>
              <w:pStyle w:val="TableParagraph"/>
              <w:rPr>
                <w:sz w:val="16"/>
              </w:rPr>
            </w:pPr>
          </w:p>
        </w:tc>
        <w:tc>
          <w:tcPr>
            <w:tcW w:w="580" w:type="dxa"/>
          </w:tcPr>
          <w:p>
            <w:pPr>
              <w:pStyle w:val="TableParagraph"/>
              <w:spacing w:before="16"/>
              <w:ind w:right="2"/>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49"/>
              <w:jc w:val="center"/>
              <w:rPr>
                <w:sz w:val="18"/>
              </w:rPr>
            </w:pPr>
            <w:r>
              <w:rPr>
                <w:sz w:val="18"/>
              </w:rPr>
              <w:t>PA</w:t>
            </w:r>
          </w:p>
        </w:tc>
        <w:tc>
          <w:tcPr>
            <w:tcW w:w="1014" w:type="dxa"/>
          </w:tcPr>
          <w:p>
            <w:pPr>
              <w:pStyle w:val="TableParagraph"/>
              <w:rPr>
                <w:sz w:val="16"/>
              </w:rPr>
            </w:pPr>
          </w:p>
        </w:tc>
      </w:tr>
      <w:tr>
        <w:trPr>
          <w:trHeight w:val="249" w:hRule="atLeast"/>
        </w:trPr>
        <w:tc>
          <w:tcPr>
            <w:tcW w:w="1622" w:type="dxa"/>
          </w:tcPr>
          <w:p>
            <w:pPr>
              <w:pStyle w:val="TableParagraph"/>
              <w:spacing w:before="16"/>
              <w:ind w:left="225" w:right="217"/>
              <w:jc w:val="center"/>
              <w:rPr>
                <w:sz w:val="18"/>
              </w:rPr>
            </w:pPr>
            <w:r>
              <w:rPr>
                <w:sz w:val="18"/>
              </w:rPr>
              <w:t>JERS-1</w:t>
            </w:r>
          </w:p>
        </w:tc>
        <w:tc>
          <w:tcPr>
            <w:tcW w:w="1591" w:type="dxa"/>
          </w:tcPr>
          <w:p>
            <w:pPr>
              <w:pStyle w:val="TableParagraph"/>
              <w:spacing w:before="16"/>
              <w:ind w:left="64" w:right="54"/>
              <w:jc w:val="center"/>
              <w:rPr>
                <w:sz w:val="18"/>
              </w:rPr>
            </w:pPr>
            <w:r>
              <w:rPr>
                <w:sz w:val="18"/>
              </w:rPr>
              <w:t>SAR</w:t>
            </w:r>
          </w:p>
        </w:tc>
        <w:tc>
          <w:tcPr>
            <w:tcW w:w="1157" w:type="dxa"/>
          </w:tcPr>
          <w:p>
            <w:pPr>
              <w:pStyle w:val="TableParagraph"/>
              <w:spacing w:before="16"/>
              <w:ind w:left="92" w:right="85"/>
              <w:jc w:val="center"/>
              <w:rPr>
                <w:sz w:val="18"/>
              </w:rPr>
            </w:pPr>
            <w:r>
              <w:rPr>
                <w:sz w:val="18"/>
              </w:rPr>
              <w:t>Japan</w:t>
            </w:r>
          </w:p>
        </w:tc>
        <w:tc>
          <w:tcPr>
            <w:tcW w:w="1445" w:type="dxa"/>
          </w:tcPr>
          <w:p>
            <w:pPr>
              <w:pStyle w:val="TableParagraph"/>
              <w:spacing w:before="16"/>
              <w:ind w:left="476" w:right="467"/>
              <w:jc w:val="center"/>
              <w:rPr>
                <w:sz w:val="18"/>
              </w:rPr>
            </w:pPr>
            <w:r>
              <w:rPr>
                <w:sz w:val="18"/>
              </w:rPr>
              <w:t>18</w:t>
            </w:r>
          </w:p>
        </w:tc>
        <w:tc>
          <w:tcPr>
            <w:tcW w:w="1157" w:type="dxa"/>
          </w:tcPr>
          <w:p>
            <w:pPr>
              <w:pStyle w:val="TableParagraph"/>
              <w:spacing w:before="16"/>
              <w:ind w:left="92" w:right="84"/>
              <w:jc w:val="center"/>
              <w:rPr>
                <w:sz w:val="18"/>
              </w:rPr>
            </w:pPr>
            <w:r>
              <w:rPr>
                <w:sz w:val="18"/>
              </w:rPr>
              <w:t>75</w:t>
            </w:r>
          </w:p>
        </w:tc>
        <w:tc>
          <w:tcPr>
            <w:tcW w:w="579" w:type="dxa"/>
          </w:tcPr>
          <w:p>
            <w:pPr>
              <w:pStyle w:val="TableParagraph"/>
              <w:spacing w:before="16"/>
              <w:ind w:left="9"/>
              <w:jc w:val="center"/>
              <w:rPr>
                <w:sz w:val="18"/>
              </w:rPr>
            </w:pPr>
            <w:r>
              <w:rPr>
                <w:sz w:val="18"/>
              </w:rPr>
              <w:t>S</w:t>
            </w:r>
          </w:p>
        </w:tc>
        <w:tc>
          <w:tcPr>
            <w:tcW w:w="579" w:type="dxa"/>
          </w:tcPr>
          <w:p>
            <w:pPr>
              <w:pStyle w:val="TableParagraph"/>
              <w:spacing w:before="16"/>
              <w:ind w:left="5"/>
              <w:jc w:val="center"/>
              <w:rPr>
                <w:sz w:val="18"/>
              </w:rPr>
            </w:pPr>
            <w:r>
              <w:rPr>
                <w:sz w:val="18"/>
              </w:rPr>
              <w:t>R</w:t>
            </w:r>
          </w:p>
        </w:tc>
        <w:tc>
          <w:tcPr>
            <w:tcW w:w="579" w:type="dxa"/>
          </w:tcPr>
          <w:p>
            <w:pPr>
              <w:pStyle w:val="TableParagraph"/>
              <w:spacing w:before="16"/>
              <w:ind w:left="1"/>
              <w:jc w:val="center"/>
              <w:rPr>
                <w:sz w:val="18"/>
              </w:rPr>
            </w:pPr>
            <w:r>
              <w:rPr>
                <w:sz w:val="18"/>
              </w:rPr>
              <w:t>-</w:t>
            </w:r>
          </w:p>
        </w:tc>
        <w:tc>
          <w:tcPr>
            <w:tcW w:w="577" w:type="dxa"/>
          </w:tcPr>
          <w:p>
            <w:pPr>
              <w:pStyle w:val="TableParagraph"/>
              <w:spacing w:before="16"/>
              <w:ind w:left="2"/>
              <w:jc w:val="center"/>
              <w:rPr>
                <w:sz w:val="18"/>
              </w:rPr>
            </w:pPr>
            <w:r>
              <w:rPr>
                <w:sz w:val="18"/>
              </w:rPr>
              <w:t>-</w:t>
            </w:r>
          </w:p>
        </w:tc>
        <w:tc>
          <w:tcPr>
            <w:tcW w:w="438" w:type="dxa"/>
          </w:tcPr>
          <w:p>
            <w:pPr>
              <w:pStyle w:val="TableParagraph"/>
              <w:spacing w:before="16"/>
              <w:jc w:val="center"/>
              <w:rPr>
                <w:sz w:val="18"/>
              </w:rPr>
            </w:pPr>
            <w:r>
              <w:rPr>
                <w:sz w:val="18"/>
              </w:rPr>
              <w:t>-</w:t>
            </w:r>
          </w:p>
        </w:tc>
        <w:tc>
          <w:tcPr>
            <w:tcW w:w="580" w:type="dxa"/>
          </w:tcPr>
          <w:p>
            <w:pPr>
              <w:pStyle w:val="TableParagraph"/>
              <w:spacing w:before="16"/>
              <w:ind w:right="1"/>
              <w:jc w:val="center"/>
              <w:rPr>
                <w:sz w:val="18"/>
              </w:rPr>
            </w:pPr>
            <w:r>
              <w:rPr>
                <w:sz w:val="18"/>
              </w:rPr>
              <w:t>L</w:t>
            </w:r>
          </w:p>
        </w:tc>
        <w:tc>
          <w:tcPr>
            <w:tcW w:w="1012" w:type="dxa"/>
          </w:tcPr>
          <w:p>
            <w:pPr>
              <w:pStyle w:val="TableParagraph"/>
              <w:rPr>
                <w:sz w:val="16"/>
              </w:rPr>
            </w:pPr>
          </w:p>
        </w:tc>
        <w:tc>
          <w:tcPr>
            <w:tcW w:w="1014" w:type="dxa"/>
          </w:tcPr>
          <w:p>
            <w:pPr>
              <w:pStyle w:val="TableParagraph"/>
              <w:spacing w:before="16"/>
              <w:ind w:left="41" w:right="42"/>
              <w:jc w:val="center"/>
              <w:rPr>
                <w:sz w:val="18"/>
              </w:rPr>
            </w:pPr>
            <w:r>
              <w:rPr>
                <w:sz w:val="18"/>
              </w:rPr>
              <w:t>PA</w:t>
            </w:r>
          </w:p>
        </w:tc>
        <w:tc>
          <w:tcPr>
            <w:tcW w:w="1014" w:type="dxa"/>
          </w:tcPr>
          <w:p>
            <w:pPr>
              <w:pStyle w:val="TableParagraph"/>
              <w:rPr>
                <w:sz w:val="16"/>
              </w:rPr>
            </w:pPr>
          </w:p>
        </w:tc>
        <w:tc>
          <w:tcPr>
            <w:tcW w:w="1014" w:type="dxa"/>
          </w:tcPr>
          <w:p>
            <w:pPr>
              <w:pStyle w:val="TableParagraph"/>
              <w:rPr>
                <w:sz w:val="16"/>
              </w:rPr>
            </w:pPr>
          </w:p>
        </w:tc>
      </w:tr>
      <w:tr>
        <w:trPr>
          <w:trHeight w:val="251" w:hRule="atLeast"/>
        </w:trPr>
        <w:tc>
          <w:tcPr>
            <w:tcW w:w="1622" w:type="dxa"/>
          </w:tcPr>
          <w:p>
            <w:pPr>
              <w:pStyle w:val="TableParagraph"/>
              <w:spacing w:before="16"/>
              <w:ind w:left="228" w:right="217"/>
              <w:jc w:val="center"/>
              <w:rPr>
                <w:sz w:val="18"/>
              </w:rPr>
            </w:pPr>
            <w:r>
              <w:rPr>
                <w:sz w:val="18"/>
              </w:rPr>
              <w:t>ALOS</w:t>
            </w:r>
          </w:p>
        </w:tc>
        <w:tc>
          <w:tcPr>
            <w:tcW w:w="1591" w:type="dxa"/>
          </w:tcPr>
          <w:p>
            <w:pPr>
              <w:pStyle w:val="TableParagraph"/>
              <w:spacing w:before="16"/>
              <w:ind w:left="64" w:right="54"/>
              <w:jc w:val="center"/>
              <w:rPr>
                <w:sz w:val="18"/>
              </w:rPr>
            </w:pPr>
            <w:r>
              <w:rPr>
                <w:sz w:val="18"/>
              </w:rPr>
              <w:t>PALSAR</w:t>
            </w:r>
          </w:p>
        </w:tc>
        <w:tc>
          <w:tcPr>
            <w:tcW w:w="1157" w:type="dxa"/>
          </w:tcPr>
          <w:p>
            <w:pPr>
              <w:pStyle w:val="TableParagraph"/>
              <w:spacing w:before="16"/>
              <w:ind w:left="91" w:right="85"/>
              <w:jc w:val="center"/>
              <w:rPr>
                <w:sz w:val="18"/>
              </w:rPr>
            </w:pPr>
            <w:r>
              <w:rPr>
                <w:sz w:val="18"/>
              </w:rPr>
              <w:t>Japan</w:t>
            </w:r>
          </w:p>
        </w:tc>
        <w:tc>
          <w:tcPr>
            <w:tcW w:w="1445" w:type="dxa"/>
          </w:tcPr>
          <w:p>
            <w:pPr>
              <w:pStyle w:val="TableParagraph"/>
              <w:spacing w:before="16"/>
              <w:ind w:left="450"/>
              <w:rPr>
                <w:sz w:val="18"/>
              </w:rPr>
            </w:pPr>
            <w:r>
              <w:rPr>
                <w:sz w:val="18"/>
              </w:rPr>
              <w:t>10, 100</w:t>
            </w:r>
          </w:p>
        </w:tc>
        <w:tc>
          <w:tcPr>
            <w:tcW w:w="1157" w:type="dxa"/>
          </w:tcPr>
          <w:p>
            <w:pPr>
              <w:pStyle w:val="TableParagraph"/>
              <w:spacing w:before="16"/>
              <w:ind w:left="92" w:right="85"/>
              <w:jc w:val="center"/>
              <w:rPr>
                <w:sz w:val="18"/>
              </w:rPr>
            </w:pPr>
            <w:r>
              <w:rPr>
                <w:sz w:val="18"/>
              </w:rPr>
              <w:t>70, 250-350</w:t>
            </w:r>
          </w:p>
        </w:tc>
        <w:tc>
          <w:tcPr>
            <w:tcW w:w="579" w:type="dxa"/>
          </w:tcPr>
          <w:p>
            <w:pPr>
              <w:pStyle w:val="TableParagraph"/>
              <w:spacing w:before="16"/>
              <w:ind w:left="7"/>
              <w:jc w:val="center"/>
              <w:rPr>
                <w:sz w:val="18"/>
              </w:rPr>
            </w:pPr>
            <w:r>
              <w:rPr>
                <w:sz w:val="18"/>
              </w:rPr>
              <w:t>S</w:t>
            </w:r>
          </w:p>
        </w:tc>
        <w:tc>
          <w:tcPr>
            <w:tcW w:w="579" w:type="dxa"/>
          </w:tcPr>
          <w:p>
            <w:pPr>
              <w:pStyle w:val="TableParagraph"/>
              <w:spacing w:before="16"/>
              <w:ind w:left="3"/>
              <w:jc w:val="center"/>
              <w:rPr>
                <w:sz w:val="18"/>
              </w:rPr>
            </w:pPr>
            <w:r>
              <w:rPr>
                <w:sz w:val="18"/>
              </w:rPr>
              <w:t>R</w:t>
            </w:r>
          </w:p>
        </w:tc>
        <w:tc>
          <w:tcPr>
            <w:tcW w:w="579" w:type="dxa"/>
          </w:tcPr>
          <w:p>
            <w:pPr>
              <w:pStyle w:val="TableParagraph"/>
              <w:spacing w:before="16"/>
              <w:jc w:val="center"/>
              <w:rPr>
                <w:sz w:val="18"/>
              </w:rPr>
            </w:pPr>
            <w:r>
              <w:rPr>
                <w:sz w:val="18"/>
              </w:rPr>
              <w:t>-</w:t>
            </w:r>
          </w:p>
        </w:tc>
        <w:tc>
          <w:tcPr>
            <w:tcW w:w="577" w:type="dxa"/>
          </w:tcPr>
          <w:p>
            <w:pPr>
              <w:pStyle w:val="TableParagraph"/>
              <w:spacing w:before="16"/>
              <w:jc w:val="center"/>
              <w:rPr>
                <w:sz w:val="18"/>
              </w:rPr>
            </w:pPr>
            <w:r>
              <w:rPr>
                <w:sz w:val="18"/>
              </w:rPr>
              <w:t>-</w:t>
            </w:r>
          </w:p>
        </w:tc>
        <w:tc>
          <w:tcPr>
            <w:tcW w:w="438" w:type="dxa"/>
          </w:tcPr>
          <w:p>
            <w:pPr>
              <w:pStyle w:val="TableParagraph"/>
              <w:spacing w:before="16"/>
              <w:jc w:val="center"/>
              <w:rPr>
                <w:sz w:val="18"/>
              </w:rPr>
            </w:pPr>
            <w:r>
              <w:rPr>
                <w:sz w:val="18"/>
              </w:rPr>
              <w:t>-</w:t>
            </w:r>
          </w:p>
        </w:tc>
        <w:tc>
          <w:tcPr>
            <w:tcW w:w="580" w:type="dxa"/>
          </w:tcPr>
          <w:p>
            <w:pPr>
              <w:pStyle w:val="TableParagraph"/>
              <w:spacing w:before="16"/>
              <w:ind w:right="3"/>
              <w:jc w:val="center"/>
              <w:rPr>
                <w:sz w:val="18"/>
              </w:rPr>
            </w:pPr>
            <w:r>
              <w:rPr>
                <w:sz w:val="18"/>
              </w:rPr>
              <w:t>L</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52"/>
              <w:jc w:val="center"/>
              <w:rPr>
                <w:sz w:val="18"/>
              </w:rPr>
            </w:pPr>
            <w:r>
              <w:rPr>
                <w:sz w:val="18"/>
              </w:rPr>
              <w:t>PA</w:t>
            </w:r>
          </w:p>
        </w:tc>
        <w:tc>
          <w:tcPr>
            <w:tcW w:w="1014" w:type="dxa"/>
          </w:tcPr>
          <w:p>
            <w:pPr>
              <w:pStyle w:val="TableParagraph"/>
              <w:spacing w:before="16"/>
              <w:ind w:left="41" w:right="53"/>
              <w:jc w:val="center"/>
              <w:rPr>
                <w:sz w:val="18"/>
              </w:rPr>
            </w:pPr>
            <w:r>
              <w:rPr>
                <w:sz w:val="18"/>
              </w:rPr>
              <w:t>MA</w:t>
            </w:r>
          </w:p>
        </w:tc>
      </w:tr>
      <w:tr>
        <w:trPr>
          <w:trHeight w:val="251" w:hRule="atLeast"/>
        </w:trPr>
        <w:tc>
          <w:tcPr>
            <w:tcW w:w="1622" w:type="dxa"/>
          </w:tcPr>
          <w:p>
            <w:pPr>
              <w:pStyle w:val="TableParagraph"/>
              <w:spacing w:before="16"/>
              <w:ind w:left="228" w:right="217"/>
              <w:jc w:val="center"/>
              <w:rPr>
                <w:sz w:val="18"/>
              </w:rPr>
            </w:pPr>
            <w:r>
              <w:rPr>
                <w:sz w:val="18"/>
              </w:rPr>
              <w:t>ERS-1/2</w:t>
            </w:r>
          </w:p>
        </w:tc>
        <w:tc>
          <w:tcPr>
            <w:tcW w:w="1591" w:type="dxa"/>
          </w:tcPr>
          <w:p>
            <w:pPr>
              <w:pStyle w:val="TableParagraph"/>
              <w:spacing w:before="16"/>
              <w:ind w:left="65" w:right="54"/>
              <w:jc w:val="center"/>
              <w:rPr>
                <w:sz w:val="18"/>
              </w:rPr>
            </w:pPr>
            <w:r>
              <w:rPr>
                <w:sz w:val="18"/>
              </w:rPr>
              <w:t>AMI</w:t>
            </w:r>
          </w:p>
        </w:tc>
        <w:tc>
          <w:tcPr>
            <w:tcW w:w="1157" w:type="dxa"/>
          </w:tcPr>
          <w:p>
            <w:pPr>
              <w:pStyle w:val="TableParagraph"/>
              <w:spacing w:before="16"/>
              <w:ind w:left="92" w:right="82"/>
              <w:jc w:val="center"/>
              <w:rPr>
                <w:sz w:val="18"/>
              </w:rPr>
            </w:pPr>
            <w:r>
              <w:rPr>
                <w:sz w:val="18"/>
              </w:rPr>
              <w:t>Europe</w:t>
            </w:r>
          </w:p>
        </w:tc>
        <w:tc>
          <w:tcPr>
            <w:tcW w:w="1445" w:type="dxa"/>
          </w:tcPr>
          <w:p>
            <w:pPr>
              <w:pStyle w:val="TableParagraph"/>
              <w:spacing w:before="16"/>
              <w:ind w:left="476" w:right="466"/>
              <w:jc w:val="center"/>
              <w:rPr>
                <w:sz w:val="18"/>
              </w:rPr>
            </w:pPr>
            <w:r>
              <w:rPr>
                <w:sz w:val="18"/>
              </w:rPr>
              <w:t>30</w:t>
            </w:r>
          </w:p>
        </w:tc>
        <w:tc>
          <w:tcPr>
            <w:tcW w:w="1157" w:type="dxa"/>
          </w:tcPr>
          <w:p>
            <w:pPr>
              <w:pStyle w:val="TableParagraph"/>
              <w:spacing w:before="16"/>
              <w:ind w:left="92" w:right="83"/>
              <w:jc w:val="center"/>
              <w:rPr>
                <w:sz w:val="18"/>
              </w:rPr>
            </w:pPr>
            <w:r>
              <w:rPr>
                <w:sz w:val="18"/>
              </w:rPr>
              <w:t>100</w:t>
            </w:r>
          </w:p>
        </w:tc>
        <w:tc>
          <w:tcPr>
            <w:tcW w:w="579" w:type="dxa"/>
          </w:tcPr>
          <w:p>
            <w:pPr>
              <w:pStyle w:val="TableParagraph"/>
              <w:spacing w:before="16"/>
              <w:ind w:left="9"/>
              <w:jc w:val="center"/>
              <w:rPr>
                <w:sz w:val="18"/>
              </w:rPr>
            </w:pPr>
            <w:r>
              <w:rPr>
                <w:sz w:val="18"/>
              </w:rPr>
              <w:t>S</w:t>
            </w:r>
          </w:p>
        </w:tc>
        <w:tc>
          <w:tcPr>
            <w:tcW w:w="579" w:type="dxa"/>
          </w:tcPr>
          <w:p>
            <w:pPr>
              <w:pStyle w:val="TableParagraph"/>
              <w:spacing w:before="16"/>
              <w:ind w:left="4"/>
              <w:jc w:val="center"/>
              <w:rPr>
                <w:sz w:val="18"/>
              </w:rPr>
            </w:pPr>
            <w:r>
              <w:rPr>
                <w:sz w:val="18"/>
              </w:rPr>
              <w:t>R</w:t>
            </w:r>
          </w:p>
        </w:tc>
        <w:tc>
          <w:tcPr>
            <w:tcW w:w="579" w:type="dxa"/>
          </w:tcPr>
          <w:p>
            <w:pPr>
              <w:pStyle w:val="TableParagraph"/>
              <w:spacing w:before="16"/>
              <w:jc w:val="center"/>
              <w:rPr>
                <w:sz w:val="18"/>
              </w:rPr>
            </w:pPr>
            <w:r>
              <w:rPr>
                <w:sz w:val="18"/>
              </w:rPr>
              <w:t>-</w:t>
            </w:r>
          </w:p>
        </w:tc>
        <w:tc>
          <w:tcPr>
            <w:tcW w:w="577" w:type="dxa"/>
          </w:tcPr>
          <w:p>
            <w:pPr>
              <w:pStyle w:val="TableParagraph"/>
              <w:spacing w:before="16"/>
              <w:ind w:left="1"/>
              <w:jc w:val="center"/>
              <w:rPr>
                <w:sz w:val="18"/>
              </w:rPr>
            </w:pPr>
            <w:r>
              <w:rPr>
                <w:sz w:val="18"/>
              </w:rPr>
              <w:t>-</w:t>
            </w:r>
          </w:p>
        </w:tc>
        <w:tc>
          <w:tcPr>
            <w:tcW w:w="438" w:type="dxa"/>
          </w:tcPr>
          <w:p>
            <w:pPr>
              <w:pStyle w:val="TableParagraph"/>
              <w:spacing w:before="16"/>
              <w:jc w:val="center"/>
              <w:rPr>
                <w:sz w:val="18"/>
              </w:rPr>
            </w:pPr>
            <w:r>
              <w:rPr>
                <w:sz w:val="18"/>
              </w:rPr>
              <w:t>-</w:t>
            </w:r>
          </w:p>
        </w:tc>
        <w:tc>
          <w:tcPr>
            <w:tcW w:w="580" w:type="dxa"/>
          </w:tcPr>
          <w:p>
            <w:pPr>
              <w:pStyle w:val="TableParagraph"/>
              <w:spacing w:before="16"/>
              <w:ind w:right="1"/>
              <w:jc w:val="center"/>
              <w:rPr>
                <w:sz w:val="18"/>
              </w:rPr>
            </w:pPr>
            <w:r>
              <w:rPr>
                <w:sz w:val="18"/>
              </w:rPr>
              <w:t>C</w:t>
            </w:r>
          </w:p>
        </w:tc>
        <w:tc>
          <w:tcPr>
            <w:tcW w:w="1012" w:type="dxa"/>
          </w:tcPr>
          <w:p>
            <w:pPr>
              <w:pStyle w:val="TableParagraph"/>
              <w:rPr>
                <w:sz w:val="16"/>
              </w:rPr>
            </w:pPr>
          </w:p>
        </w:tc>
        <w:tc>
          <w:tcPr>
            <w:tcW w:w="1014" w:type="dxa"/>
          </w:tcPr>
          <w:p>
            <w:pPr>
              <w:pStyle w:val="TableParagraph"/>
              <w:spacing w:before="16"/>
              <w:ind w:left="41" w:right="43"/>
              <w:jc w:val="center"/>
              <w:rPr>
                <w:sz w:val="18"/>
              </w:rPr>
            </w:pPr>
            <w:r>
              <w:rPr>
                <w:sz w:val="18"/>
              </w:rPr>
              <w:t>PA</w:t>
            </w:r>
          </w:p>
        </w:tc>
        <w:tc>
          <w:tcPr>
            <w:tcW w:w="1014" w:type="dxa"/>
          </w:tcPr>
          <w:p>
            <w:pPr>
              <w:pStyle w:val="TableParagraph"/>
              <w:spacing w:before="16"/>
              <w:ind w:left="41" w:right="50"/>
              <w:jc w:val="center"/>
              <w:rPr>
                <w:sz w:val="18"/>
              </w:rPr>
            </w:pPr>
            <w:r>
              <w:rPr>
                <w:sz w:val="18"/>
              </w:rPr>
              <w:t>PA</w:t>
            </w:r>
          </w:p>
        </w:tc>
        <w:tc>
          <w:tcPr>
            <w:tcW w:w="1014" w:type="dxa"/>
          </w:tcPr>
          <w:p>
            <w:pPr>
              <w:pStyle w:val="TableParagraph"/>
              <w:spacing w:before="16"/>
              <w:ind w:left="41" w:right="51"/>
              <w:jc w:val="center"/>
              <w:rPr>
                <w:sz w:val="18"/>
              </w:rPr>
            </w:pPr>
            <w:r>
              <w:rPr>
                <w:sz w:val="18"/>
              </w:rPr>
              <w:t>MA</w:t>
            </w:r>
          </w:p>
        </w:tc>
      </w:tr>
      <w:tr>
        <w:trPr>
          <w:trHeight w:val="251" w:hRule="atLeast"/>
        </w:trPr>
        <w:tc>
          <w:tcPr>
            <w:tcW w:w="1622" w:type="dxa"/>
          </w:tcPr>
          <w:p>
            <w:pPr>
              <w:pStyle w:val="TableParagraph"/>
              <w:spacing w:before="16"/>
              <w:ind w:left="229" w:right="217"/>
              <w:jc w:val="center"/>
              <w:rPr>
                <w:sz w:val="18"/>
              </w:rPr>
            </w:pPr>
            <w:r>
              <w:rPr>
                <w:sz w:val="18"/>
              </w:rPr>
              <w:t>Envisat</w:t>
            </w:r>
          </w:p>
        </w:tc>
        <w:tc>
          <w:tcPr>
            <w:tcW w:w="1591" w:type="dxa"/>
          </w:tcPr>
          <w:p>
            <w:pPr>
              <w:pStyle w:val="TableParagraph"/>
              <w:spacing w:before="16"/>
              <w:ind w:left="65" w:right="53"/>
              <w:jc w:val="center"/>
              <w:rPr>
                <w:sz w:val="18"/>
              </w:rPr>
            </w:pPr>
            <w:r>
              <w:rPr>
                <w:sz w:val="18"/>
              </w:rPr>
              <w:t>ASAR</w:t>
            </w:r>
          </w:p>
        </w:tc>
        <w:tc>
          <w:tcPr>
            <w:tcW w:w="1157" w:type="dxa"/>
          </w:tcPr>
          <w:p>
            <w:pPr>
              <w:pStyle w:val="TableParagraph"/>
              <w:spacing w:before="16"/>
              <w:ind w:left="92" w:right="81"/>
              <w:jc w:val="center"/>
              <w:rPr>
                <w:sz w:val="18"/>
              </w:rPr>
            </w:pPr>
            <w:r>
              <w:rPr>
                <w:sz w:val="18"/>
              </w:rPr>
              <w:t>Europe</w:t>
            </w:r>
          </w:p>
        </w:tc>
        <w:tc>
          <w:tcPr>
            <w:tcW w:w="1445" w:type="dxa"/>
          </w:tcPr>
          <w:p>
            <w:pPr>
              <w:pStyle w:val="TableParagraph"/>
              <w:spacing w:before="16"/>
              <w:ind w:left="272"/>
              <w:rPr>
                <w:sz w:val="18"/>
              </w:rPr>
            </w:pPr>
            <w:r>
              <w:rPr>
                <w:sz w:val="18"/>
              </w:rPr>
              <w:t>30, 100, 150</w:t>
            </w:r>
          </w:p>
        </w:tc>
        <w:tc>
          <w:tcPr>
            <w:tcW w:w="1157" w:type="dxa"/>
          </w:tcPr>
          <w:p>
            <w:pPr>
              <w:pStyle w:val="TableParagraph"/>
              <w:spacing w:before="16"/>
              <w:ind w:left="92" w:right="82"/>
              <w:jc w:val="center"/>
              <w:rPr>
                <w:sz w:val="18"/>
              </w:rPr>
            </w:pPr>
            <w:r>
              <w:rPr>
                <w:sz w:val="18"/>
              </w:rPr>
              <w:t>100, 400</w:t>
            </w:r>
          </w:p>
        </w:tc>
        <w:tc>
          <w:tcPr>
            <w:tcW w:w="579" w:type="dxa"/>
          </w:tcPr>
          <w:p>
            <w:pPr>
              <w:pStyle w:val="TableParagraph"/>
              <w:spacing w:before="16"/>
              <w:ind w:left="10"/>
              <w:jc w:val="center"/>
              <w:rPr>
                <w:sz w:val="18"/>
              </w:rPr>
            </w:pPr>
            <w:r>
              <w:rPr>
                <w:sz w:val="18"/>
              </w:rPr>
              <w:t>S</w:t>
            </w:r>
          </w:p>
        </w:tc>
        <w:tc>
          <w:tcPr>
            <w:tcW w:w="579" w:type="dxa"/>
          </w:tcPr>
          <w:p>
            <w:pPr>
              <w:pStyle w:val="TableParagraph"/>
              <w:spacing w:before="16"/>
              <w:ind w:left="5"/>
              <w:jc w:val="center"/>
              <w:rPr>
                <w:sz w:val="18"/>
              </w:rPr>
            </w:pPr>
            <w:r>
              <w:rPr>
                <w:sz w:val="18"/>
              </w:rPr>
              <w:t>R</w:t>
            </w:r>
          </w:p>
        </w:tc>
        <w:tc>
          <w:tcPr>
            <w:tcW w:w="579" w:type="dxa"/>
          </w:tcPr>
          <w:p>
            <w:pPr>
              <w:pStyle w:val="TableParagraph"/>
              <w:spacing w:before="16"/>
              <w:ind w:left="2"/>
              <w:jc w:val="center"/>
              <w:rPr>
                <w:sz w:val="18"/>
              </w:rPr>
            </w:pPr>
            <w:r>
              <w:rPr>
                <w:sz w:val="18"/>
              </w:rPr>
              <w:t>-</w:t>
            </w:r>
          </w:p>
        </w:tc>
        <w:tc>
          <w:tcPr>
            <w:tcW w:w="577" w:type="dxa"/>
          </w:tcPr>
          <w:p>
            <w:pPr>
              <w:pStyle w:val="TableParagraph"/>
              <w:spacing w:before="16"/>
              <w:ind w:left="2"/>
              <w:jc w:val="center"/>
              <w:rPr>
                <w:sz w:val="18"/>
              </w:rPr>
            </w:pPr>
            <w:r>
              <w:rPr>
                <w:sz w:val="18"/>
              </w:rPr>
              <w:t>-</w:t>
            </w:r>
          </w:p>
        </w:tc>
        <w:tc>
          <w:tcPr>
            <w:tcW w:w="438" w:type="dxa"/>
          </w:tcPr>
          <w:p>
            <w:pPr>
              <w:pStyle w:val="TableParagraph"/>
              <w:spacing w:before="16"/>
              <w:jc w:val="center"/>
              <w:rPr>
                <w:sz w:val="18"/>
              </w:rPr>
            </w:pPr>
            <w:r>
              <w:rPr>
                <w:sz w:val="18"/>
              </w:rPr>
              <w:t>-</w:t>
            </w:r>
          </w:p>
        </w:tc>
        <w:tc>
          <w:tcPr>
            <w:tcW w:w="580" w:type="dxa"/>
          </w:tcPr>
          <w:p>
            <w:pPr>
              <w:pStyle w:val="TableParagraph"/>
              <w:spacing w:before="16"/>
              <w:jc w:val="center"/>
              <w:rPr>
                <w:sz w:val="18"/>
              </w:rPr>
            </w:pPr>
            <w:r>
              <w:rPr>
                <w:sz w:val="18"/>
              </w:rPr>
              <w:t>C</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49"/>
              <w:jc w:val="center"/>
              <w:rPr>
                <w:sz w:val="18"/>
              </w:rPr>
            </w:pPr>
            <w:r>
              <w:rPr>
                <w:sz w:val="18"/>
              </w:rPr>
              <w:t>PA</w:t>
            </w:r>
          </w:p>
        </w:tc>
        <w:tc>
          <w:tcPr>
            <w:tcW w:w="1014" w:type="dxa"/>
          </w:tcPr>
          <w:p>
            <w:pPr>
              <w:pStyle w:val="TableParagraph"/>
              <w:spacing w:before="16"/>
              <w:ind w:left="41" w:right="50"/>
              <w:jc w:val="center"/>
              <w:rPr>
                <w:sz w:val="18"/>
              </w:rPr>
            </w:pPr>
            <w:r>
              <w:rPr>
                <w:sz w:val="18"/>
              </w:rPr>
              <w:t>MA</w:t>
            </w:r>
          </w:p>
        </w:tc>
      </w:tr>
      <w:tr>
        <w:trPr>
          <w:trHeight w:val="249" w:hRule="atLeast"/>
        </w:trPr>
        <w:tc>
          <w:tcPr>
            <w:tcW w:w="1622" w:type="dxa"/>
          </w:tcPr>
          <w:p>
            <w:pPr>
              <w:pStyle w:val="TableParagraph"/>
              <w:spacing w:before="16"/>
              <w:ind w:left="227" w:right="217"/>
              <w:jc w:val="center"/>
              <w:rPr>
                <w:sz w:val="18"/>
              </w:rPr>
            </w:pPr>
            <w:r>
              <w:rPr>
                <w:sz w:val="18"/>
              </w:rPr>
              <w:t>Radarsat-1/2</w:t>
            </w:r>
          </w:p>
        </w:tc>
        <w:tc>
          <w:tcPr>
            <w:tcW w:w="1591" w:type="dxa"/>
          </w:tcPr>
          <w:p>
            <w:pPr>
              <w:pStyle w:val="TableParagraph"/>
              <w:spacing w:before="16"/>
              <w:ind w:left="65" w:right="54"/>
              <w:jc w:val="center"/>
              <w:rPr>
                <w:sz w:val="18"/>
              </w:rPr>
            </w:pPr>
            <w:r>
              <w:rPr>
                <w:sz w:val="18"/>
              </w:rPr>
              <w:t>SAR</w:t>
            </w:r>
          </w:p>
        </w:tc>
        <w:tc>
          <w:tcPr>
            <w:tcW w:w="1157" w:type="dxa"/>
          </w:tcPr>
          <w:p>
            <w:pPr>
              <w:pStyle w:val="TableParagraph"/>
              <w:spacing w:before="16"/>
              <w:ind w:left="92" w:right="82"/>
              <w:jc w:val="center"/>
              <w:rPr>
                <w:sz w:val="18"/>
              </w:rPr>
            </w:pPr>
            <w:r>
              <w:rPr>
                <w:sz w:val="18"/>
              </w:rPr>
              <w:t>Canada</w:t>
            </w:r>
          </w:p>
        </w:tc>
        <w:tc>
          <w:tcPr>
            <w:tcW w:w="1445" w:type="dxa"/>
          </w:tcPr>
          <w:p>
            <w:pPr>
              <w:pStyle w:val="TableParagraph"/>
              <w:spacing w:before="16"/>
              <w:ind w:left="256"/>
              <w:rPr>
                <w:sz w:val="18"/>
              </w:rPr>
            </w:pPr>
            <w:r>
              <w:rPr>
                <w:sz w:val="18"/>
              </w:rPr>
              <w:t>(3, 8), 10, 30</w:t>
            </w:r>
          </w:p>
        </w:tc>
        <w:tc>
          <w:tcPr>
            <w:tcW w:w="1157" w:type="dxa"/>
          </w:tcPr>
          <w:p>
            <w:pPr>
              <w:pStyle w:val="TableParagraph"/>
              <w:spacing w:before="16"/>
              <w:ind w:left="92" w:right="85"/>
              <w:jc w:val="center"/>
              <w:rPr>
                <w:sz w:val="18"/>
              </w:rPr>
            </w:pPr>
            <w:r>
              <w:rPr>
                <w:sz w:val="18"/>
              </w:rPr>
              <w:t>(20), 50, 100</w:t>
            </w:r>
          </w:p>
        </w:tc>
        <w:tc>
          <w:tcPr>
            <w:tcW w:w="579" w:type="dxa"/>
          </w:tcPr>
          <w:p>
            <w:pPr>
              <w:pStyle w:val="TableParagraph"/>
              <w:spacing w:before="16"/>
              <w:ind w:left="9"/>
              <w:jc w:val="center"/>
              <w:rPr>
                <w:sz w:val="18"/>
              </w:rPr>
            </w:pPr>
            <w:r>
              <w:rPr>
                <w:sz w:val="18"/>
              </w:rPr>
              <w:t>S</w:t>
            </w:r>
          </w:p>
        </w:tc>
        <w:tc>
          <w:tcPr>
            <w:tcW w:w="579" w:type="dxa"/>
          </w:tcPr>
          <w:p>
            <w:pPr>
              <w:pStyle w:val="TableParagraph"/>
              <w:spacing w:before="16"/>
              <w:ind w:left="4"/>
              <w:jc w:val="center"/>
              <w:rPr>
                <w:sz w:val="18"/>
              </w:rPr>
            </w:pPr>
            <w:r>
              <w:rPr>
                <w:sz w:val="18"/>
              </w:rPr>
              <w:t>R</w:t>
            </w:r>
          </w:p>
        </w:tc>
        <w:tc>
          <w:tcPr>
            <w:tcW w:w="579" w:type="dxa"/>
          </w:tcPr>
          <w:p>
            <w:pPr>
              <w:pStyle w:val="TableParagraph"/>
              <w:spacing w:before="16"/>
              <w:jc w:val="center"/>
              <w:rPr>
                <w:sz w:val="18"/>
              </w:rPr>
            </w:pPr>
            <w:r>
              <w:rPr>
                <w:sz w:val="18"/>
              </w:rPr>
              <w:t>-</w:t>
            </w:r>
          </w:p>
        </w:tc>
        <w:tc>
          <w:tcPr>
            <w:tcW w:w="577" w:type="dxa"/>
          </w:tcPr>
          <w:p>
            <w:pPr>
              <w:pStyle w:val="TableParagraph"/>
              <w:spacing w:before="16"/>
              <w:ind w:left="1"/>
              <w:jc w:val="center"/>
              <w:rPr>
                <w:sz w:val="18"/>
              </w:rPr>
            </w:pPr>
            <w:r>
              <w:rPr>
                <w:sz w:val="18"/>
              </w:rPr>
              <w:t>-</w:t>
            </w:r>
          </w:p>
        </w:tc>
        <w:tc>
          <w:tcPr>
            <w:tcW w:w="438" w:type="dxa"/>
          </w:tcPr>
          <w:p>
            <w:pPr>
              <w:pStyle w:val="TableParagraph"/>
              <w:spacing w:before="16"/>
              <w:ind w:right="1"/>
              <w:jc w:val="center"/>
              <w:rPr>
                <w:sz w:val="18"/>
              </w:rPr>
            </w:pPr>
            <w:r>
              <w:rPr>
                <w:sz w:val="18"/>
              </w:rPr>
              <w:t>-</w:t>
            </w:r>
          </w:p>
        </w:tc>
        <w:tc>
          <w:tcPr>
            <w:tcW w:w="580" w:type="dxa"/>
          </w:tcPr>
          <w:p>
            <w:pPr>
              <w:pStyle w:val="TableParagraph"/>
              <w:spacing w:before="16"/>
              <w:ind w:right="1"/>
              <w:jc w:val="center"/>
              <w:rPr>
                <w:sz w:val="18"/>
              </w:rPr>
            </w:pPr>
            <w:r>
              <w:rPr>
                <w:sz w:val="18"/>
              </w:rPr>
              <w:t>C</w:t>
            </w:r>
          </w:p>
        </w:tc>
        <w:tc>
          <w:tcPr>
            <w:tcW w:w="1012" w:type="dxa"/>
          </w:tcPr>
          <w:p>
            <w:pPr>
              <w:pStyle w:val="TableParagraph"/>
              <w:rPr>
                <w:sz w:val="16"/>
              </w:rPr>
            </w:pPr>
          </w:p>
        </w:tc>
        <w:tc>
          <w:tcPr>
            <w:tcW w:w="1014" w:type="dxa"/>
          </w:tcPr>
          <w:p>
            <w:pPr>
              <w:pStyle w:val="TableParagraph"/>
              <w:spacing w:before="16"/>
              <w:ind w:left="41" w:right="43"/>
              <w:jc w:val="center"/>
              <w:rPr>
                <w:sz w:val="18"/>
              </w:rPr>
            </w:pPr>
            <w:r>
              <w:rPr>
                <w:sz w:val="18"/>
              </w:rPr>
              <w:t>PA</w:t>
            </w:r>
          </w:p>
        </w:tc>
        <w:tc>
          <w:tcPr>
            <w:tcW w:w="1014" w:type="dxa"/>
          </w:tcPr>
          <w:p>
            <w:pPr>
              <w:pStyle w:val="TableParagraph"/>
              <w:spacing w:before="16"/>
              <w:ind w:right="7"/>
              <w:jc w:val="center"/>
              <w:rPr>
                <w:sz w:val="18"/>
              </w:rPr>
            </w:pPr>
            <w:r>
              <w:rPr>
                <w:sz w:val="18"/>
              </w:rPr>
              <w:t>A</w:t>
            </w:r>
          </w:p>
        </w:tc>
        <w:tc>
          <w:tcPr>
            <w:tcW w:w="1014" w:type="dxa"/>
          </w:tcPr>
          <w:p>
            <w:pPr>
              <w:pStyle w:val="TableParagraph"/>
              <w:spacing w:before="16"/>
              <w:ind w:left="41" w:right="52"/>
              <w:jc w:val="center"/>
              <w:rPr>
                <w:sz w:val="18"/>
              </w:rPr>
            </w:pPr>
            <w:r>
              <w:rPr>
                <w:sz w:val="18"/>
              </w:rPr>
              <w:t>MA</w:t>
            </w:r>
          </w:p>
        </w:tc>
      </w:tr>
      <w:tr>
        <w:trPr>
          <w:trHeight w:val="251" w:hRule="atLeast"/>
        </w:trPr>
        <w:tc>
          <w:tcPr>
            <w:tcW w:w="1622" w:type="dxa"/>
          </w:tcPr>
          <w:p>
            <w:pPr>
              <w:pStyle w:val="TableParagraph"/>
              <w:spacing w:before="16"/>
              <w:ind w:left="229" w:right="217"/>
              <w:jc w:val="center"/>
              <w:rPr>
                <w:sz w:val="18"/>
              </w:rPr>
            </w:pPr>
            <w:r>
              <w:rPr>
                <w:sz w:val="18"/>
              </w:rPr>
              <w:t>TerraSAR</w:t>
            </w:r>
          </w:p>
        </w:tc>
        <w:tc>
          <w:tcPr>
            <w:tcW w:w="1591" w:type="dxa"/>
          </w:tcPr>
          <w:p>
            <w:pPr>
              <w:pStyle w:val="TableParagraph"/>
              <w:spacing w:before="16"/>
              <w:ind w:left="65" w:right="54"/>
              <w:jc w:val="center"/>
              <w:rPr>
                <w:sz w:val="18"/>
              </w:rPr>
            </w:pPr>
            <w:r>
              <w:rPr>
                <w:sz w:val="18"/>
              </w:rPr>
              <w:t>SAR</w:t>
            </w:r>
          </w:p>
        </w:tc>
        <w:tc>
          <w:tcPr>
            <w:tcW w:w="1157" w:type="dxa"/>
          </w:tcPr>
          <w:p>
            <w:pPr>
              <w:pStyle w:val="TableParagraph"/>
              <w:spacing w:before="16"/>
              <w:ind w:left="92" w:right="82"/>
              <w:jc w:val="center"/>
              <w:rPr>
                <w:sz w:val="18"/>
              </w:rPr>
            </w:pPr>
            <w:r>
              <w:rPr>
                <w:sz w:val="18"/>
              </w:rPr>
              <w:t>Germany</w:t>
            </w:r>
          </w:p>
        </w:tc>
        <w:tc>
          <w:tcPr>
            <w:tcW w:w="1445" w:type="dxa"/>
          </w:tcPr>
          <w:p>
            <w:pPr>
              <w:pStyle w:val="TableParagraph"/>
              <w:spacing w:before="16"/>
              <w:ind w:left="391"/>
              <w:rPr>
                <w:sz w:val="18"/>
              </w:rPr>
            </w:pPr>
            <w:r>
              <w:rPr>
                <w:sz w:val="18"/>
              </w:rPr>
              <w:t>1-3, 3-15</w:t>
            </w:r>
          </w:p>
        </w:tc>
        <w:tc>
          <w:tcPr>
            <w:tcW w:w="1157" w:type="dxa"/>
          </w:tcPr>
          <w:p>
            <w:pPr>
              <w:pStyle w:val="TableParagraph"/>
              <w:spacing w:before="16"/>
              <w:ind w:left="92" w:right="85"/>
              <w:jc w:val="center"/>
              <w:rPr>
                <w:sz w:val="18"/>
              </w:rPr>
            </w:pPr>
            <w:r>
              <w:rPr>
                <w:sz w:val="18"/>
              </w:rPr>
              <w:t>10, 40-60</w:t>
            </w:r>
          </w:p>
        </w:tc>
        <w:tc>
          <w:tcPr>
            <w:tcW w:w="579" w:type="dxa"/>
          </w:tcPr>
          <w:p>
            <w:pPr>
              <w:pStyle w:val="TableParagraph"/>
              <w:spacing w:before="16"/>
              <w:ind w:left="9"/>
              <w:jc w:val="center"/>
              <w:rPr>
                <w:sz w:val="18"/>
              </w:rPr>
            </w:pPr>
            <w:r>
              <w:rPr>
                <w:sz w:val="18"/>
              </w:rPr>
              <w:t>S</w:t>
            </w:r>
          </w:p>
        </w:tc>
        <w:tc>
          <w:tcPr>
            <w:tcW w:w="579" w:type="dxa"/>
          </w:tcPr>
          <w:p>
            <w:pPr>
              <w:pStyle w:val="TableParagraph"/>
              <w:spacing w:before="16"/>
              <w:ind w:left="4"/>
              <w:jc w:val="center"/>
              <w:rPr>
                <w:sz w:val="18"/>
              </w:rPr>
            </w:pPr>
            <w:r>
              <w:rPr>
                <w:sz w:val="18"/>
              </w:rPr>
              <w:t>R</w:t>
            </w:r>
          </w:p>
        </w:tc>
        <w:tc>
          <w:tcPr>
            <w:tcW w:w="579" w:type="dxa"/>
          </w:tcPr>
          <w:p>
            <w:pPr>
              <w:pStyle w:val="TableParagraph"/>
              <w:spacing w:before="16"/>
              <w:ind w:left="1"/>
              <w:jc w:val="center"/>
              <w:rPr>
                <w:sz w:val="18"/>
              </w:rPr>
            </w:pPr>
            <w:r>
              <w:rPr>
                <w:sz w:val="18"/>
              </w:rPr>
              <w:t>-</w:t>
            </w:r>
          </w:p>
        </w:tc>
        <w:tc>
          <w:tcPr>
            <w:tcW w:w="577" w:type="dxa"/>
          </w:tcPr>
          <w:p>
            <w:pPr>
              <w:pStyle w:val="TableParagraph"/>
              <w:spacing w:before="16"/>
              <w:ind w:left="2"/>
              <w:jc w:val="center"/>
              <w:rPr>
                <w:sz w:val="18"/>
              </w:rPr>
            </w:pPr>
            <w:r>
              <w:rPr>
                <w:sz w:val="18"/>
              </w:rPr>
              <w:t>-</w:t>
            </w:r>
          </w:p>
        </w:tc>
        <w:tc>
          <w:tcPr>
            <w:tcW w:w="438" w:type="dxa"/>
          </w:tcPr>
          <w:p>
            <w:pPr>
              <w:pStyle w:val="TableParagraph"/>
              <w:spacing w:before="16"/>
              <w:jc w:val="center"/>
              <w:rPr>
                <w:sz w:val="18"/>
              </w:rPr>
            </w:pPr>
            <w:r>
              <w:rPr>
                <w:sz w:val="18"/>
              </w:rPr>
              <w:t>-</w:t>
            </w:r>
          </w:p>
        </w:tc>
        <w:tc>
          <w:tcPr>
            <w:tcW w:w="580" w:type="dxa"/>
          </w:tcPr>
          <w:p>
            <w:pPr>
              <w:pStyle w:val="TableParagraph"/>
              <w:spacing w:before="16"/>
              <w:ind w:left="89" w:right="89"/>
              <w:jc w:val="center"/>
              <w:rPr>
                <w:sz w:val="18"/>
              </w:rPr>
            </w:pPr>
            <w:r>
              <w:rPr>
                <w:sz w:val="18"/>
              </w:rPr>
              <w:t>X/L</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50"/>
              <w:jc w:val="center"/>
              <w:rPr>
                <w:sz w:val="18"/>
              </w:rPr>
            </w:pPr>
            <w:r>
              <w:rPr>
                <w:sz w:val="18"/>
              </w:rPr>
              <w:t>PA</w:t>
            </w:r>
          </w:p>
        </w:tc>
        <w:tc>
          <w:tcPr>
            <w:tcW w:w="1014" w:type="dxa"/>
          </w:tcPr>
          <w:p>
            <w:pPr>
              <w:pStyle w:val="TableParagraph"/>
              <w:spacing w:before="16"/>
              <w:ind w:left="41" w:right="51"/>
              <w:jc w:val="center"/>
              <w:rPr>
                <w:sz w:val="18"/>
              </w:rPr>
            </w:pPr>
            <w:r>
              <w:rPr>
                <w:sz w:val="18"/>
              </w:rPr>
              <w:t>MA</w:t>
            </w:r>
          </w:p>
        </w:tc>
      </w:tr>
      <w:tr>
        <w:trPr>
          <w:trHeight w:val="251" w:hRule="atLeast"/>
        </w:trPr>
        <w:tc>
          <w:tcPr>
            <w:tcW w:w="1622" w:type="dxa"/>
          </w:tcPr>
          <w:p>
            <w:pPr>
              <w:pStyle w:val="TableParagraph"/>
              <w:spacing w:before="21"/>
              <w:ind w:left="229" w:right="217"/>
              <w:jc w:val="center"/>
              <w:rPr>
                <w:b/>
                <w:sz w:val="18"/>
              </w:rPr>
            </w:pPr>
            <w:r>
              <w:rPr>
                <w:b/>
                <w:sz w:val="18"/>
              </w:rPr>
              <w:t>LIDAR</w:t>
            </w:r>
          </w:p>
        </w:tc>
        <w:tc>
          <w:tcPr>
            <w:tcW w:w="1591" w:type="dxa"/>
          </w:tcPr>
          <w:p>
            <w:pPr>
              <w:pStyle w:val="TableParagraph"/>
              <w:rPr>
                <w:sz w:val="16"/>
              </w:rPr>
            </w:pPr>
          </w:p>
        </w:tc>
        <w:tc>
          <w:tcPr>
            <w:tcW w:w="1157" w:type="dxa"/>
          </w:tcPr>
          <w:p>
            <w:pPr>
              <w:pStyle w:val="TableParagraph"/>
              <w:rPr>
                <w:sz w:val="16"/>
              </w:rPr>
            </w:pPr>
          </w:p>
        </w:tc>
        <w:tc>
          <w:tcPr>
            <w:tcW w:w="1445" w:type="dxa"/>
          </w:tcPr>
          <w:p>
            <w:pPr>
              <w:pStyle w:val="TableParagraph"/>
              <w:rPr>
                <w:sz w:val="16"/>
              </w:rPr>
            </w:pPr>
          </w:p>
        </w:tc>
        <w:tc>
          <w:tcPr>
            <w:tcW w:w="1157" w:type="dxa"/>
          </w:tcPr>
          <w:p>
            <w:pPr>
              <w:pStyle w:val="TableParagraph"/>
              <w:rPr>
                <w:sz w:val="16"/>
              </w:rPr>
            </w:pPr>
          </w:p>
        </w:tc>
        <w:tc>
          <w:tcPr>
            <w:tcW w:w="579" w:type="dxa"/>
          </w:tcPr>
          <w:p>
            <w:pPr>
              <w:pStyle w:val="TableParagraph"/>
              <w:rPr>
                <w:sz w:val="16"/>
              </w:rPr>
            </w:pPr>
          </w:p>
        </w:tc>
        <w:tc>
          <w:tcPr>
            <w:tcW w:w="579" w:type="dxa"/>
          </w:tcPr>
          <w:p>
            <w:pPr>
              <w:pStyle w:val="TableParagraph"/>
              <w:rPr>
                <w:sz w:val="16"/>
              </w:rPr>
            </w:pPr>
          </w:p>
        </w:tc>
        <w:tc>
          <w:tcPr>
            <w:tcW w:w="579" w:type="dxa"/>
          </w:tcPr>
          <w:p>
            <w:pPr>
              <w:pStyle w:val="TableParagraph"/>
              <w:rPr>
                <w:sz w:val="16"/>
              </w:rPr>
            </w:pP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rPr>
                <w:sz w:val="16"/>
              </w:rPr>
            </w:pP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rPr>
                <w:sz w:val="16"/>
              </w:rPr>
            </w:pPr>
          </w:p>
        </w:tc>
        <w:tc>
          <w:tcPr>
            <w:tcW w:w="1014" w:type="dxa"/>
          </w:tcPr>
          <w:p>
            <w:pPr>
              <w:pStyle w:val="TableParagraph"/>
              <w:rPr>
                <w:sz w:val="16"/>
              </w:rPr>
            </w:pPr>
          </w:p>
        </w:tc>
      </w:tr>
      <w:tr>
        <w:trPr>
          <w:trHeight w:val="251" w:hRule="atLeast"/>
        </w:trPr>
        <w:tc>
          <w:tcPr>
            <w:tcW w:w="1622" w:type="dxa"/>
          </w:tcPr>
          <w:p>
            <w:pPr>
              <w:pStyle w:val="TableParagraph"/>
              <w:spacing w:before="16"/>
              <w:ind w:left="228" w:right="217"/>
              <w:jc w:val="center"/>
              <w:rPr>
                <w:sz w:val="18"/>
              </w:rPr>
            </w:pPr>
            <w:r>
              <w:rPr>
                <w:sz w:val="18"/>
              </w:rPr>
              <w:t>VCL</w:t>
            </w:r>
          </w:p>
        </w:tc>
        <w:tc>
          <w:tcPr>
            <w:tcW w:w="1591" w:type="dxa"/>
          </w:tcPr>
          <w:p>
            <w:pPr>
              <w:pStyle w:val="TableParagraph"/>
              <w:spacing w:before="16"/>
              <w:ind w:left="65" w:right="51"/>
              <w:jc w:val="center"/>
              <w:rPr>
                <w:sz w:val="18"/>
              </w:rPr>
            </w:pPr>
            <w:r>
              <w:rPr>
                <w:sz w:val="18"/>
              </w:rPr>
              <w:t>VCL</w:t>
            </w:r>
          </w:p>
        </w:tc>
        <w:tc>
          <w:tcPr>
            <w:tcW w:w="1157" w:type="dxa"/>
          </w:tcPr>
          <w:p>
            <w:pPr>
              <w:pStyle w:val="TableParagraph"/>
              <w:spacing w:before="16"/>
              <w:ind w:left="92" w:right="82"/>
              <w:jc w:val="center"/>
              <w:rPr>
                <w:sz w:val="18"/>
              </w:rPr>
            </w:pPr>
            <w:r>
              <w:rPr>
                <w:sz w:val="18"/>
              </w:rPr>
              <w:t>USA</w:t>
            </w:r>
          </w:p>
        </w:tc>
        <w:tc>
          <w:tcPr>
            <w:tcW w:w="1445" w:type="dxa"/>
          </w:tcPr>
          <w:p>
            <w:pPr>
              <w:pStyle w:val="TableParagraph"/>
              <w:spacing w:before="16"/>
              <w:ind w:left="476" w:right="467"/>
              <w:jc w:val="center"/>
              <w:rPr>
                <w:sz w:val="18"/>
              </w:rPr>
            </w:pPr>
            <w:r>
              <w:rPr>
                <w:sz w:val="18"/>
              </w:rPr>
              <w:t>25</w:t>
            </w:r>
          </w:p>
        </w:tc>
        <w:tc>
          <w:tcPr>
            <w:tcW w:w="1157" w:type="dxa"/>
          </w:tcPr>
          <w:p>
            <w:pPr>
              <w:pStyle w:val="TableParagraph"/>
              <w:spacing w:before="16"/>
              <w:ind w:left="8"/>
              <w:jc w:val="center"/>
              <w:rPr>
                <w:sz w:val="18"/>
              </w:rPr>
            </w:pPr>
            <w:r>
              <w:rPr>
                <w:sz w:val="18"/>
              </w:rPr>
              <w:t>8</w:t>
            </w:r>
          </w:p>
        </w:tc>
        <w:tc>
          <w:tcPr>
            <w:tcW w:w="579" w:type="dxa"/>
          </w:tcPr>
          <w:p>
            <w:pPr>
              <w:pStyle w:val="TableParagraph"/>
              <w:spacing w:before="16"/>
              <w:ind w:left="11"/>
              <w:jc w:val="center"/>
              <w:rPr>
                <w:sz w:val="18"/>
              </w:rPr>
            </w:pPr>
            <w:r>
              <w:rPr>
                <w:sz w:val="18"/>
              </w:rPr>
              <w:t>L</w:t>
            </w:r>
          </w:p>
        </w:tc>
        <w:tc>
          <w:tcPr>
            <w:tcW w:w="579" w:type="dxa"/>
          </w:tcPr>
          <w:p>
            <w:pPr>
              <w:pStyle w:val="TableParagraph"/>
              <w:spacing w:before="16"/>
              <w:ind w:left="5"/>
              <w:jc w:val="center"/>
              <w:rPr>
                <w:sz w:val="18"/>
              </w:rPr>
            </w:pPr>
            <w:r>
              <w:rPr>
                <w:sz w:val="18"/>
              </w:rPr>
              <w:t>R</w:t>
            </w:r>
          </w:p>
        </w:tc>
        <w:tc>
          <w:tcPr>
            <w:tcW w:w="579" w:type="dxa"/>
          </w:tcPr>
          <w:p>
            <w:pPr>
              <w:pStyle w:val="TableParagraph"/>
              <w:spacing w:before="16"/>
              <w:ind w:left="3"/>
              <w:jc w:val="center"/>
              <w:rPr>
                <w:sz w:val="18"/>
              </w:rPr>
            </w:pPr>
            <w:r>
              <w:rPr>
                <w:sz w:val="18"/>
              </w:rPr>
              <w:t>S</w:t>
            </w:r>
          </w:p>
        </w:tc>
        <w:tc>
          <w:tcPr>
            <w:tcW w:w="577" w:type="dxa"/>
          </w:tcPr>
          <w:p>
            <w:pPr>
              <w:pStyle w:val="TableParagraph"/>
              <w:rPr>
                <w:sz w:val="16"/>
              </w:rPr>
            </w:pPr>
          </w:p>
        </w:tc>
        <w:tc>
          <w:tcPr>
            <w:tcW w:w="438" w:type="dxa"/>
          </w:tcPr>
          <w:p>
            <w:pPr>
              <w:pStyle w:val="TableParagraph"/>
              <w:rPr>
                <w:sz w:val="16"/>
              </w:rPr>
            </w:pPr>
          </w:p>
        </w:tc>
        <w:tc>
          <w:tcPr>
            <w:tcW w:w="580" w:type="dxa"/>
          </w:tcPr>
          <w:p>
            <w:pPr>
              <w:pStyle w:val="TableParagraph"/>
              <w:spacing w:before="16"/>
              <w:ind w:right="2"/>
              <w:jc w:val="center"/>
              <w:rPr>
                <w:sz w:val="18"/>
              </w:rPr>
            </w:pPr>
            <w:r>
              <w:rPr>
                <w:sz w:val="18"/>
              </w:rPr>
              <w:t>-</w:t>
            </w:r>
          </w:p>
        </w:tc>
        <w:tc>
          <w:tcPr>
            <w:tcW w:w="1012" w:type="dxa"/>
          </w:tcPr>
          <w:p>
            <w:pPr>
              <w:pStyle w:val="TableParagraph"/>
              <w:rPr>
                <w:sz w:val="16"/>
              </w:rPr>
            </w:pPr>
          </w:p>
        </w:tc>
        <w:tc>
          <w:tcPr>
            <w:tcW w:w="1014" w:type="dxa"/>
          </w:tcPr>
          <w:p>
            <w:pPr>
              <w:pStyle w:val="TableParagraph"/>
              <w:rPr>
                <w:sz w:val="16"/>
              </w:rPr>
            </w:pPr>
          </w:p>
        </w:tc>
        <w:tc>
          <w:tcPr>
            <w:tcW w:w="1014" w:type="dxa"/>
          </w:tcPr>
          <w:p>
            <w:pPr>
              <w:pStyle w:val="TableParagraph"/>
              <w:spacing w:before="16"/>
              <w:ind w:left="41" w:right="49"/>
              <w:jc w:val="center"/>
              <w:rPr>
                <w:sz w:val="18"/>
              </w:rPr>
            </w:pPr>
            <w:r>
              <w:rPr>
                <w:sz w:val="18"/>
              </w:rPr>
              <w:t>PA</w:t>
            </w:r>
          </w:p>
        </w:tc>
        <w:tc>
          <w:tcPr>
            <w:tcW w:w="1014" w:type="dxa"/>
          </w:tcPr>
          <w:p>
            <w:pPr>
              <w:pStyle w:val="TableParagraph"/>
              <w:spacing w:before="16"/>
              <w:ind w:left="41" w:right="53"/>
              <w:jc w:val="center"/>
              <w:rPr>
                <w:sz w:val="18"/>
              </w:rPr>
            </w:pPr>
            <w:r>
              <w:rPr>
                <w:sz w:val="18"/>
              </w:rPr>
              <w:t>MA</w:t>
            </w:r>
          </w:p>
        </w:tc>
      </w:tr>
      <w:tr>
        <w:trPr>
          <w:trHeight w:val="556" w:hRule="atLeast"/>
        </w:trPr>
        <w:tc>
          <w:tcPr>
            <w:tcW w:w="14358" w:type="dxa"/>
            <w:gridSpan w:val="15"/>
          </w:tcPr>
          <w:p>
            <w:pPr>
              <w:pStyle w:val="TableParagraph"/>
              <w:spacing w:before="35"/>
              <w:ind w:left="210"/>
              <w:rPr>
                <w:sz w:val="16"/>
              </w:rPr>
            </w:pPr>
            <w:r>
              <w:rPr>
                <w:sz w:val="16"/>
              </w:rPr>
              <w:t>O: optical; S: synthetic aperture radar; L: LIDAR; Co: continental; G: global; R: regional; S: single band; M: multiple band; H: hyper band. A: available for the entire period;</w:t>
            </w:r>
          </w:p>
          <w:p>
            <w:pPr>
              <w:pStyle w:val="TableParagraph"/>
              <w:spacing w:before="99"/>
              <w:ind w:left="211"/>
              <w:rPr>
                <w:sz w:val="16"/>
              </w:rPr>
            </w:pPr>
            <w:r>
              <w:rPr>
                <w:sz w:val="16"/>
              </w:rPr>
              <w:t>PA: available for a portion of the period; MA: may be available during the period</w:t>
            </w:r>
          </w:p>
        </w:tc>
      </w:tr>
    </w:tbl>
    <w:p>
      <w:pPr>
        <w:pStyle w:val="BodyText"/>
      </w:pPr>
    </w:p>
    <w:p>
      <w:pPr>
        <w:pStyle w:val="BodyText"/>
        <w:spacing w:before="9"/>
        <w:rPr>
          <w:sz w:val="26"/>
        </w:rPr>
      </w:pPr>
      <w:r>
        <w:rPr/>
        <w:pict>
          <v:line style="position:absolute;mso-position-horizontal-relative:page;mso-position-vertical-relative:paragraph;z-index:31160;mso-wrap-distance-left:0;mso-wrap-distance-right:0" from="69.480003pt,17.780977pt" to="792.360003pt,17.780977pt" stroked="true" strokeweight=".75pt" strokecolor="#010101">
            <v:stroke dashstyle="solid"/>
            <w10:wrap type="topAndBottom"/>
          </v:line>
        </w:pict>
      </w:r>
    </w:p>
    <w:p>
      <w:pPr>
        <w:spacing w:after="0"/>
        <w:rPr>
          <w:sz w:val="26"/>
        </w:rPr>
        <w:sectPr>
          <w:headerReference w:type="default" r:id="rId455"/>
          <w:footerReference w:type="default" r:id="rId456"/>
          <w:pgSz w:w="16840" w:h="11900" w:orient="landscape"/>
          <w:pgMar w:header="0" w:footer="360" w:top="200" w:bottom="540" w:left="1280" w:right="920"/>
        </w:sectPr>
      </w:pPr>
    </w:p>
    <w:p>
      <w:pPr>
        <w:pStyle w:val="BodyText"/>
        <w:spacing w:before="4"/>
        <w:rPr>
          <w:sz w:val="17"/>
        </w:rPr>
      </w:pPr>
    </w:p>
    <w:p>
      <w:pPr>
        <w:spacing w:after="0"/>
        <w:rPr>
          <w:sz w:val="17"/>
        </w:rPr>
        <w:sectPr>
          <w:headerReference w:type="even" r:id="rId457"/>
          <w:footerReference w:type="even" r:id="rId458"/>
          <w:pgSz w:w="11900" w:h="16840"/>
          <w:pgMar w:header="0" w:footer="0" w:top="1600" w:bottom="280" w:left="1260" w:right="1240"/>
        </w:sectPr>
      </w:pPr>
    </w:p>
    <w:p>
      <w:pPr>
        <w:pStyle w:val="BodyText"/>
      </w:pPr>
    </w:p>
    <w:p>
      <w:pPr>
        <w:spacing w:before="214"/>
        <w:ind w:left="159" w:right="0" w:firstLine="0"/>
        <w:jc w:val="left"/>
        <w:rPr>
          <w:b/>
          <w:sz w:val="28"/>
        </w:rPr>
      </w:pPr>
      <w:bookmarkStart w:name="_TOC_250000" w:id="55"/>
      <w:bookmarkEnd w:id="55"/>
      <w:r>
        <w:rPr>
          <w:b/>
          <w:sz w:val="28"/>
        </w:rPr>
        <w:t>References</w:t>
      </w:r>
    </w:p>
    <w:p>
      <w:pPr>
        <w:pStyle w:val="Heading6"/>
        <w:spacing w:before="240"/>
      </w:pPr>
      <w:r>
        <w:rPr/>
        <w:t>INTRODUCTION</w:t>
      </w:r>
    </w:p>
    <w:p>
      <w:pPr>
        <w:spacing w:before="116"/>
        <w:ind w:left="442" w:right="356" w:hanging="284"/>
        <w:jc w:val="left"/>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w:t>
      </w:r>
    </w:p>
    <w:p>
      <w:pPr>
        <w:pStyle w:val="BodyText"/>
        <w:spacing w:line="229" w:lineRule="exact"/>
        <w:ind w:left="442"/>
      </w:pPr>
      <w:r>
        <w:rPr/>
        <w:t>IPCC/OECD/IEA/IGES, Hayama, Japan.</w:t>
      </w:r>
    </w:p>
    <w:p>
      <w:pPr>
        <w:pStyle w:val="BodyText"/>
        <w:rPr>
          <w:sz w:val="22"/>
        </w:rPr>
      </w:pPr>
    </w:p>
    <w:p>
      <w:pPr>
        <w:pStyle w:val="BodyText"/>
        <w:rPr>
          <w:sz w:val="22"/>
        </w:rPr>
      </w:pPr>
    </w:p>
    <w:p>
      <w:pPr>
        <w:pStyle w:val="BodyText"/>
        <w:spacing w:before="2"/>
      </w:pPr>
    </w:p>
    <w:p>
      <w:pPr>
        <w:pStyle w:val="Heading6"/>
      </w:pPr>
      <w:r>
        <w:rPr/>
        <w:t>IDENTIFYING AND QUANTIFYING UNCERTAINTIES</w:t>
      </w:r>
    </w:p>
    <w:p>
      <w:pPr>
        <w:pStyle w:val="BodyText"/>
        <w:spacing w:before="114"/>
        <w:ind w:left="442" w:hanging="284"/>
      </w:pPr>
      <w:r>
        <w:rPr/>
        <w:t>Cullen A.C., and Frey H.C. (1999). Probabilistic Techniques in Exposure and Risk Assessment: a Handbook for Dealing with Variability and Uncertainty in Models and Inputs. Plenum Press, New York.</w:t>
      </w:r>
    </w:p>
    <w:p>
      <w:pPr>
        <w:pStyle w:val="BodyText"/>
        <w:spacing w:before="120"/>
        <w:ind w:left="442" w:right="166" w:hanging="284"/>
        <w:jc w:val="both"/>
      </w:pPr>
      <w:r>
        <w:rPr/>
        <w:t>Eggleston H. S., Charles D., Jones B.M.R., Salway A.G., and Milne R. (1998). Treatment of uncertainties for national greenhouse gas emissions. Report AEAT 2688-1 for DETR Global Atmosphere Division, AEA Technology, Culham, UK.</w:t>
      </w:r>
    </w:p>
    <w:p>
      <w:pPr>
        <w:pStyle w:val="BodyText"/>
        <w:spacing w:before="119"/>
        <w:ind w:left="159"/>
      </w:pPr>
      <w:r>
        <w:rPr/>
        <w:t>Fishman G.S. (1996). Monte Carlo: concepts, algorithms, and applications. Springer-Verlag, New York.</w:t>
      </w:r>
    </w:p>
    <w:p>
      <w:pPr>
        <w:pStyle w:val="BodyText"/>
        <w:spacing w:before="121"/>
        <w:ind w:left="442" w:hanging="284"/>
      </w:pPr>
      <w:r>
        <w:rPr/>
        <w:t>Frey H.C., and Burmaster D.E. (1999). Method for characterization of variability and uncertainty: comparison of bootstrap simulation and likelihood-based approaches. </w:t>
      </w:r>
      <w:r>
        <w:rPr>
          <w:i/>
        </w:rPr>
        <w:t>Risk Analysis</w:t>
      </w:r>
      <w:r>
        <w:rPr/>
        <w:t>, 19: pp. 109-129.</w:t>
      </w:r>
    </w:p>
    <w:p>
      <w:pPr>
        <w:pStyle w:val="BodyText"/>
        <w:spacing w:before="118"/>
        <w:ind w:left="442" w:right="119" w:hanging="284"/>
        <w:jc w:val="both"/>
      </w:pPr>
      <w:r>
        <w:rPr/>
        <w:t>Frey H.C. and Rhodes D.S. (1996). Characterizing, simulating, and analyzing variability and uncertainty: an illustration of methods using an air toxics emissions example. </w:t>
      </w:r>
      <w:r>
        <w:rPr>
          <w:i/>
        </w:rPr>
        <w:t>Human and Ecological Risk Assessment</w:t>
      </w:r>
      <w:r>
        <w:rPr/>
        <w:t>, 2: pp. 762-797.</w:t>
      </w:r>
    </w:p>
    <w:p>
      <w:pPr>
        <w:spacing w:before="121"/>
        <w:ind w:left="442" w:right="190" w:hanging="284"/>
        <w:jc w:val="left"/>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19"/>
        <w:ind w:left="442" w:right="356" w:hanging="284"/>
        <w:jc w:val="left"/>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w:t>
      </w:r>
    </w:p>
    <w:p>
      <w:pPr>
        <w:pStyle w:val="BodyText"/>
        <w:spacing w:line="229" w:lineRule="exact"/>
        <w:ind w:left="442"/>
      </w:pPr>
      <w:r>
        <w:rPr/>
        <w:t>IPCC/OECD/IEA/IGES, Hayama, Japan.</w:t>
      </w:r>
    </w:p>
    <w:p>
      <w:pPr>
        <w:pStyle w:val="BodyText"/>
        <w:spacing w:before="121"/>
        <w:ind w:left="442" w:right="166" w:hanging="284"/>
        <w:jc w:val="both"/>
      </w:pPr>
      <w:r>
        <w:rPr/>
        <w:t>Lehtonen A., Mäkipää R., Heikkinen J., Sievänen R., and Liski J. (2004). Biomass expansion factors (BEF) for Scots pine, Norway spruce and birch according to stand age for boreal forest. </w:t>
      </w:r>
      <w:r>
        <w:rPr>
          <w:i/>
        </w:rPr>
        <w:t>Forest Ecology and Management</w:t>
      </w:r>
      <w:r>
        <w:rPr/>
        <w:t>. 188: 211-224</w:t>
      </w:r>
    </w:p>
    <w:p>
      <w:pPr>
        <w:pStyle w:val="BodyText"/>
        <w:spacing w:before="119"/>
        <w:ind w:left="442" w:right="166" w:hanging="284"/>
      </w:pPr>
      <w:r>
        <w:rPr/>
        <w:t>Morgan M.G., and Henrion M. (1990). Uncertainty: A Guide to Dealing with Uncertainty in Quantitative Risk and Policy Analysis, Cambridge University Press, New York.</w:t>
      </w:r>
    </w:p>
    <w:p>
      <w:pPr>
        <w:pStyle w:val="BodyText"/>
        <w:spacing w:before="120"/>
        <w:ind w:left="442" w:right="168" w:hanging="284"/>
        <w:jc w:val="both"/>
      </w:pPr>
      <w:r>
        <w:rPr/>
        <w:t>Ogle S.M., Eve M.D., Breidt F.J., and Paustian K. (2003). Uncertainty in estimating land use and management impacts on soil organic carbon storage for U.S. agroecosystems between 1982 and 1997. </w:t>
      </w:r>
      <w:r>
        <w:rPr>
          <w:i/>
        </w:rPr>
        <w:t>Global Change Biology </w:t>
      </w:r>
      <w:r>
        <w:rPr/>
        <w:t>9: pp.1521-1542</w:t>
      </w:r>
    </w:p>
    <w:p>
      <w:pPr>
        <w:pStyle w:val="BodyText"/>
        <w:spacing w:before="119"/>
        <w:ind w:left="442" w:hanging="284"/>
      </w:pPr>
      <w:r>
        <w:rPr/>
        <w:t>Oreskes N., Shrader-Frechette K. and Belitz K. (1994). Verification, Validation, and Confirmation of Numerical Models in the Earth Sciences. </w:t>
      </w:r>
      <w:r>
        <w:rPr>
          <w:i/>
        </w:rPr>
        <w:t>Science</w:t>
      </w:r>
      <w:r>
        <w:rPr/>
        <w:t>, 263: pp.641-646.</w:t>
      </w:r>
    </w:p>
    <w:p>
      <w:pPr>
        <w:spacing w:before="119"/>
        <w:ind w:left="442" w:right="0" w:hanging="284"/>
        <w:jc w:val="left"/>
        <w:rPr>
          <w:sz w:val="20"/>
        </w:rPr>
      </w:pPr>
      <w:r>
        <w:rPr>
          <w:sz w:val="20"/>
        </w:rPr>
        <w:t>Rypdal K., and Winiwarter W. (2001). Uncertainties in GHG emission inventories. </w:t>
      </w:r>
      <w:r>
        <w:rPr>
          <w:i/>
          <w:sz w:val="20"/>
        </w:rPr>
        <w:t>Environmental Policy and Science</w:t>
      </w:r>
      <w:r>
        <w:rPr>
          <w:sz w:val="20"/>
        </w:rPr>
        <w:t>, 4(2-3): pp. 107-116.</w:t>
      </w:r>
    </w:p>
    <w:p>
      <w:pPr>
        <w:pStyle w:val="BodyText"/>
        <w:spacing w:before="120"/>
        <w:ind w:left="442" w:hanging="284"/>
      </w:pPr>
      <w:r>
        <w:rPr/>
        <w:t>Winiwarter W., and Rypdal K. (2000). Uncertainties in the Austrian GHG emission inventory. </w:t>
      </w:r>
      <w:r>
        <w:rPr>
          <w:i/>
        </w:rPr>
        <w:t>Atmospheric Environment </w:t>
      </w:r>
      <w:r>
        <w:rPr/>
        <w:t>35/32: pp. 5425-5440.</w:t>
      </w:r>
    </w:p>
    <w:p>
      <w:pPr>
        <w:pStyle w:val="BodyText"/>
        <w:rPr>
          <w:sz w:val="22"/>
        </w:rPr>
      </w:pPr>
    </w:p>
    <w:p>
      <w:pPr>
        <w:pStyle w:val="BodyText"/>
        <w:spacing w:before="8"/>
        <w:rPr>
          <w:sz w:val="29"/>
        </w:rPr>
      </w:pPr>
    </w:p>
    <w:p>
      <w:pPr>
        <w:pStyle w:val="Heading6"/>
      </w:pPr>
      <w:r>
        <w:rPr/>
        <w:t>SAMPLING</w:t>
      </w:r>
    </w:p>
    <w:p>
      <w:pPr>
        <w:pStyle w:val="BodyText"/>
        <w:spacing w:before="116"/>
        <w:ind w:left="159"/>
      </w:pPr>
      <w:r>
        <w:rPr/>
        <w:t>Cochran W.G. (1977). Sampling techniques. John Wiley &amp; Sons, New York.</w:t>
      </w:r>
    </w:p>
    <w:p>
      <w:pPr>
        <w:pStyle w:val="BodyText"/>
        <w:spacing w:before="118"/>
        <w:ind w:left="442" w:right="532" w:hanging="284"/>
      </w:pPr>
      <w:r>
        <w:rPr/>
        <w:t>Dees M., Koch B., and Pelz D.R. (1998). Integrating satellite based forest mapping with Landsat TM in a concept of a large scale forest information system. </w:t>
      </w:r>
      <w:r>
        <w:rPr>
          <w:i/>
        </w:rPr>
        <w:t>PFG</w:t>
      </w:r>
      <w:r>
        <w:rPr/>
        <w:t>, 4/1998: pp.209-</w:t>
      </w:r>
      <w:r>
        <w:rPr>
          <w:spacing w:val="-35"/>
        </w:rPr>
        <w:t> </w:t>
      </w:r>
      <w:r>
        <w:rPr/>
        <w:t>220.</w:t>
      </w:r>
    </w:p>
    <w:p>
      <w:pPr>
        <w:pStyle w:val="BodyText"/>
        <w:spacing w:before="121"/>
        <w:ind w:left="159"/>
      </w:pPr>
      <w:r>
        <w:rPr/>
        <w:t>De Vries P.G. (1986). Sampling theory for forest inventory. Springer- Verlag, New York.</w:t>
      </w:r>
    </w:p>
    <w:p>
      <w:pPr>
        <w:spacing w:after="0"/>
        <w:sectPr>
          <w:headerReference w:type="default" r:id="rId459"/>
          <w:headerReference w:type="even" r:id="rId460"/>
          <w:footerReference w:type="default" r:id="rId461"/>
          <w:footerReference w:type="even" r:id="rId462"/>
          <w:pgSz w:w="11900" w:h="16840"/>
          <w:pgMar w:header="230" w:footer="408" w:top="560" w:bottom="600" w:left="1260" w:right="1240"/>
          <w:pgNumType w:start="77"/>
        </w:sectPr>
      </w:pPr>
    </w:p>
    <w:p>
      <w:pPr>
        <w:pStyle w:val="BodyText"/>
      </w:pPr>
    </w:p>
    <w:p>
      <w:pPr>
        <w:pStyle w:val="BodyText"/>
        <w:spacing w:before="2"/>
        <w:rPr>
          <w:sz w:val="18"/>
        </w:rPr>
      </w:pPr>
    </w:p>
    <w:p>
      <w:pPr>
        <w:pStyle w:val="BodyText"/>
        <w:ind w:left="442" w:hanging="284"/>
      </w:pPr>
      <w:r>
        <w:rPr/>
        <w:t>Gertner G., and Köhl M. (1992). An assessment of some nonsampling errors in a national survey using an error budget. </w:t>
      </w:r>
      <w:r>
        <w:rPr>
          <w:i/>
        </w:rPr>
        <w:t>Forest Science </w:t>
      </w:r>
      <w:r>
        <w:rPr/>
        <w:t>38(3): pp. 525-538.</w:t>
      </w:r>
    </w:p>
    <w:p>
      <w:pPr>
        <w:pStyle w:val="BodyText"/>
        <w:spacing w:before="121"/>
        <w:ind w:left="442" w:right="166" w:hanging="284"/>
      </w:pPr>
      <w:r>
        <w:rPr/>
        <w:t>Köhl M., Scott C.T., and Zingg A. (1995). Evaluation of Permanent Sample Surveys for Growth and Yield Studies. </w:t>
      </w:r>
      <w:r>
        <w:rPr>
          <w:i/>
        </w:rPr>
        <w:t>Forest Ecology and Management</w:t>
      </w:r>
      <w:r>
        <w:rPr/>
        <w:t>, 71(3): pp. 187-194.</w:t>
      </w:r>
    </w:p>
    <w:p>
      <w:pPr>
        <w:pStyle w:val="BodyText"/>
        <w:spacing w:before="118"/>
        <w:ind w:left="442" w:hanging="284"/>
      </w:pPr>
      <w:r>
        <w:rPr/>
        <w:t>Lund G.H. (ed.). (1998). IUFRO Guidelines for designing multipurpose resource inventories. IUFRO World Service Volume 8. International Union of Forest Research Organizations. Vienna, Austria.</w:t>
      </w:r>
    </w:p>
    <w:p>
      <w:pPr>
        <w:pStyle w:val="BodyText"/>
        <w:spacing w:before="121"/>
        <w:ind w:left="159"/>
      </w:pPr>
      <w:r>
        <w:rPr/>
        <w:t>Raj D. (1968). Sampling theory. McGraw- Hill.</w:t>
      </w:r>
    </w:p>
    <w:p>
      <w:pPr>
        <w:pStyle w:val="BodyText"/>
        <w:spacing w:before="121"/>
        <w:ind w:left="442" w:hanging="284"/>
      </w:pPr>
      <w:r>
        <w:rPr/>
        <w:t>Reed D.D., and Mroz G.D, (1997). Resource assessment in forested landscapes. John Wiley &amp; Sons, New York. p.386</w:t>
      </w:r>
    </w:p>
    <w:p>
      <w:pPr>
        <w:pStyle w:val="BodyText"/>
        <w:spacing w:line="350" w:lineRule="exact" w:before="25"/>
        <w:ind w:left="159"/>
      </w:pPr>
      <w:r>
        <w:rPr/>
        <w:t>Särndal C.- E., Swensson B., and Wretman J. (1992). Model assisted survey sampling. Springer, New York. Schreuder H.T., Gregoire T.G., Wood G.B, (1993). Sampling Methods for Multiresource Forest Inventory, John</w:t>
      </w:r>
    </w:p>
    <w:p>
      <w:pPr>
        <w:pStyle w:val="BodyText"/>
        <w:spacing w:line="204" w:lineRule="exact"/>
        <w:ind w:left="442"/>
      </w:pPr>
      <w:r>
        <w:rPr/>
        <w:t>Wiley &amp; Sons, New York.</w:t>
      </w:r>
    </w:p>
    <w:p>
      <w:pPr>
        <w:pStyle w:val="BodyText"/>
        <w:spacing w:before="118"/>
        <w:ind w:left="159"/>
      </w:pPr>
      <w:r>
        <w:rPr/>
        <w:t>Scott C.T., and Köhl M. (1994). Sampling with partial replacement and stratification, </w:t>
      </w:r>
      <w:r>
        <w:rPr>
          <w:i/>
        </w:rPr>
        <w:t>Forest Science </w:t>
      </w:r>
      <w:r>
        <w:rPr/>
        <w:t>40(1): pp.</w:t>
      </w:r>
    </w:p>
    <w:p>
      <w:pPr>
        <w:pStyle w:val="BodyText"/>
        <w:ind w:left="442"/>
      </w:pPr>
      <w:r>
        <w:rPr/>
        <w:t>30-46</w:t>
      </w:r>
    </w:p>
    <w:p>
      <w:pPr>
        <w:pStyle w:val="BodyText"/>
        <w:spacing w:before="121"/>
        <w:ind w:left="159"/>
      </w:pPr>
      <w:r>
        <w:rPr/>
        <w:t>Thompson S.K. (1992). Sampling. John Wiley &amp; Sons, New York.</w:t>
      </w:r>
    </w:p>
    <w:p>
      <w:pPr>
        <w:pStyle w:val="BodyText"/>
        <w:rPr>
          <w:sz w:val="22"/>
        </w:rPr>
      </w:pPr>
    </w:p>
    <w:p>
      <w:pPr>
        <w:pStyle w:val="BodyText"/>
        <w:spacing w:before="7"/>
        <w:rPr>
          <w:sz w:val="29"/>
        </w:rPr>
      </w:pPr>
    </w:p>
    <w:p>
      <w:pPr>
        <w:pStyle w:val="Heading6"/>
      </w:pPr>
      <w:r>
        <w:rPr/>
        <w:t>METHODOLOGICAL CHOICE -IDENTIFICATION OF KEY CATEGORIES</w:t>
      </w:r>
    </w:p>
    <w:p>
      <w:pPr>
        <w:pStyle w:val="BodyText"/>
        <w:spacing w:before="116"/>
        <w:ind w:left="442" w:right="163" w:hanging="284"/>
        <w:jc w:val="both"/>
      </w:pPr>
      <w:r>
        <w:rPr/>
        <w:t>Cullen A.C., and Frey H.C. (1999). Probabilistic Techniques in Exposure Assessment,. A Handbook for Dealing with Variability and Uncertainty in Models and Inputs. ISBN 0-306-45957-4. Plenum Press. New York and London.</w:t>
      </w:r>
    </w:p>
    <w:p>
      <w:pPr>
        <w:pStyle w:val="BodyText"/>
        <w:spacing w:before="119"/>
        <w:ind w:left="442" w:hanging="284"/>
      </w:pPr>
      <w:r>
        <w:rPr/>
        <w:t>Flugsrud K., Irving W., and Rypdal K. (1999). Methodological Choice in Inventory Preparation. Suggestion for Good Practice Guidance. Documents 1999/19. Statistics Norway.</w:t>
      </w:r>
    </w:p>
    <w:p>
      <w:pPr>
        <w:spacing w:before="118"/>
        <w:ind w:left="442" w:right="190" w:hanging="284"/>
        <w:jc w:val="left"/>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22"/>
        <w:ind w:left="442" w:right="356" w:hanging="284"/>
        <w:jc w:val="left"/>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w:t>
      </w:r>
    </w:p>
    <w:p>
      <w:pPr>
        <w:pStyle w:val="BodyText"/>
        <w:spacing w:line="229" w:lineRule="exact"/>
        <w:ind w:left="442"/>
      </w:pPr>
      <w:r>
        <w:rPr/>
        <w:t>IPCC/OECD/IEA/IGES, Hayama, Japan.</w:t>
      </w:r>
    </w:p>
    <w:p>
      <w:pPr>
        <w:pStyle w:val="BodyText"/>
        <w:spacing w:before="120"/>
        <w:ind w:left="442" w:right="166" w:hanging="284"/>
      </w:pPr>
      <w:r>
        <w:rPr/>
        <w:t>Morgan M.G., and Henrion M. (1990). Uncertainty: A Guide to Dealing with Uncertainty in Quantitative Risk and Policy Analysis, Cambridge University Press, New York.</w:t>
      </w:r>
    </w:p>
    <w:p>
      <w:pPr>
        <w:pStyle w:val="BodyText"/>
        <w:spacing w:before="118"/>
        <w:ind w:left="442" w:right="185" w:hanging="284"/>
      </w:pPr>
      <w:r>
        <w:rPr/>
        <w:t>Rypdal K., and Flugsrud K. (2001). Sensititivity Analysis as a Tool for Systematic Reductions in  GHG Inventory Uncertainties. </w:t>
      </w:r>
      <w:r>
        <w:rPr>
          <w:i/>
        </w:rPr>
        <w:t>Environmental Policy and Science</w:t>
      </w:r>
      <w:r>
        <w:rPr/>
        <w:t>. Vol 4 (2-3): pp. 117-135.</w:t>
      </w:r>
    </w:p>
    <w:p>
      <w:pPr>
        <w:pStyle w:val="BodyText"/>
        <w:rPr>
          <w:sz w:val="22"/>
        </w:rPr>
      </w:pPr>
    </w:p>
    <w:p>
      <w:pPr>
        <w:pStyle w:val="BodyText"/>
        <w:spacing w:before="8"/>
        <w:rPr>
          <w:sz w:val="29"/>
        </w:rPr>
      </w:pPr>
    </w:p>
    <w:p>
      <w:pPr>
        <w:pStyle w:val="Heading6"/>
      </w:pPr>
      <w:r>
        <w:rPr/>
        <w:t>QUALITY ASSURANCE AND QUALITY CONTROL</w:t>
      </w:r>
    </w:p>
    <w:p>
      <w:pPr>
        <w:spacing w:before="116"/>
        <w:ind w:left="442" w:right="190" w:hanging="284"/>
        <w:jc w:val="left"/>
        <w:rPr>
          <w:sz w:val="20"/>
        </w:rPr>
      </w:pPr>
      <w:r>
        <w:rPr>
          <w:sz w:val="20"/>
        </w:rPr>
        <w:t>Intergovernmental Panel on Climate Change (IPCC). (1997). Houghton J.T., Meira Filho L.G., Lim B., Treanton K., Mamaty I., Bonduki Y., Griggs D.J. and Callander B.A. (Eds). </w:t>
      </w:r>
      <w:r>
        <w:rPr>
          <w:i/>
          <w:sz w:val="20"/>
        </w:rPr>
        <w:t>Revised 1996 IPCC Guidelines for National Greenhouse Inventories</w:t>
      </w:r>
      <w:r>
        <w:rPr>
          <w:sz w:val="20"/>
        </w:rPr>
        <w:t>. IPCC/OECD/IEA, Paris, France.</w:t>
      </w:r>
    </w:p>
    <w:p>
      <w:pPr>
        <w:spacing w:before="119"/>
        <w:ind w:left="442" w:right="356" w:hanging="284"/>
        <w:jc w:val="left"/>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w:t>
      </w:r>
    </w:p>
    <w:p>
      <w:pPr>
        <w:pStyle w:val="BodyText"/>
        <w:spacing w:line="229" w:lineRule="exact"/>
        <w:ind w:left="442"/>
      </w:pPr>
      <w:r>
        <w:rPr/>
        <w:t>IPCC/OECD/IEA/IGES, Hayama, Japan.</w:t>
      </w:r>
    </w:p>
    <w:p>
      <w:pPr>
        <w:pStyle w:val="BodyText"/>
        <w:rPr>
          <w:sz w:val="22"/>
        </w:rPr>
      </w:pPr>
    </w:p>
    <w:p>
      <w:pPr>
        <w:pStyle w:val="BodyText"/>
        <w:spacing w:before="10"/>
        <w:rPr>
          <w:sz w:val="29"/>
        </w:rPr>
      </w:pPr>
    </w:p>
    <w:p>
      <w:pPr>
        <w:pStyle w:val="Heading6"/>
      </w:pPr>
      <w:r>
        <w:rPr/>
        <w:t>TIME SERIES CONSISTENCY AND RECALCULATIONS</w:t>
      </w:r>
    </w:p>
    <w:p>
      <w:pPr>
        <w:spacing w:before="114"/>
        <w:ind w:left="442" w:right="356" w:hanging="284"/>
        <w:jc w:val="left"/>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w:t>
      </w:r>
    </w:p>
    <w:p>
      <w:pPr>
        <w:pStyle w:val="BodyText"/>
        <w:spacing w:line="229" w:lineRule="exact"/>
        <w:ind w:left="442"/>
      </w:pPr>
      <w:r>
        <w:rPr/>
        <w:t>IPCC/OECD/IEA/IGES, Hayama, Japan.</w:t>
      </w:r>
    </w:p>
    <w:p>
      <w:pPr>
        <w:spacing w:after="0" w:line="229" w:lineRule="exact"/>
        <w:sectPr>
          <w:pgSz w:w="11900" w:h="16840"/>
          <w:pgMar w:header="230" w:footer="408" w:top="560" w:bottom="600" w:left="1260" w:right="1240"/>
        </w:sectPr>
      </w:pPr>
    </w:p>
    <w:p>
      <w:pPr>
        <w:pStyle w:val="BodyText"/>
      </w:pPr>
    </w:p>
    <w:p>
      <w:pPr>
        <w:pStyle w:val="BodyText"/>
      </w:pPr>
    </w:p>
    <w:p>
      <w:pPr>
        <w:pStyle w:val="BodyText"/>
      </w:pPr>
    </w:p>
    <w:p>
      <w:pPr>
        <w:pStyle w:val="BodyText"/>
        <w:spacing w:before="6"/>
        <w:rPr>
          <w:sz w:val="19"/>
        </w:rPr>
      </w:pPr>
    </w:p>
    <w:p>
      <w:pPr>
        <w:pStyle w:val="Heading6"/>
      </w:pPr>
      <w:r>
        <w:rPr/>
        <w:t>VERIFICATION</w:t>
      </w:r>
    </w:p>
    <w:p>
      <w:pPr>
        <w:pStyle w:val="BodyText"/>
        <w:spacing w:before="114"/>
        <w:ind w:left="159"/>
      </w:pPr>
      <w:r>
        <w:rPr/>
        <w:t>Achard F., Eva H.D., Stibig H.J., Mayaux P., Gallego J., Richards T., and Malingreau J.-P. (2002).</w:t>
      </w:r>
    </w:p>
    <w:p>
      <w:pPr>
        <w:pStyle w:val="BodyText"/>
        <w:ind w:left="442"/>
      </w:pPr>
      <w:r>
        <w:rPr/>
        <w:t>Determination of deforestation rates of the world’s humid tropical forests. </w:t>
      </w:r>
      <w:r>
        <w:rPr>
          <w:i/>
        </w:rPr>
        <w:t>Science </w:t>
      </w:r>
      <w:r>
        <w:rPr/>
        <w:t>297: pp. 999-1002.</w:t>
      </w:r>
    </w:p>
    <w:p>
      <w:pPr>
        <w:pStyle w:val="BodyText"/>
        <w:spacing w:before="121"/>
        <w:ind w:left="442" w:right="168" w:hanging="284"/>
        <w:jc w:val="both"/>
      </w:pPr>
      <w:r>
        <w:rPr/>
        <w:t>Alexandrov G.A., Oikawa T., and Yamagata Y, (2002b). The scheme for globalization of a process-based model explaining gradations in terrestrial NPP and its application, </w:t>
      </w:r>
      <w:r>
        <w:rPr>
          <w:i/>
        </w:rPr>
        <w:t>Ecological Modelling</w:t>
      </w:r>
      <w:r>
        <w:rPr/>
        <w:t>, 148: pp.293-306.</w:t>
      </w:r>
    </w:p>
    <w:p>
      <w:pPr>
        <w:pStyle w:val="BodyText"/>
        <w:spacing w:before="118"/>
        <w:ind w:left="442" w:right="166" w:hanging="284"/>
        <w:jc w:val="both"/>
      </w:pPr>
      <w:r>
        <w:rPr/>
        <w:t>Aubinet M., Grelle A., Ibrom A., Rannik U., Moncrieff J., Foken T., Kowalski A.S., Martin P.H,, Berbigier P., Bernhofer C., Clement R., Elbers J., Granier A., Grünwald T., Morgenstern K., Pilegaard K., Rebmann C., Snijders C.W., Valentini R., and Vesala T. (2000). Estimates of the annual net carbon and water exchange of forests: the EUROFLUX methodology. </w:t>
      </w:r>
      <w:r>
        <w:rPr>
          <w:i/>
        </w:rPr>
        <w:t>Advances in Ecological Research </w:t>
      </w:r>
      <w:r>
        <w:rPr/>
        <w:t>30: pp. 113-175.</w:t>
      </w:r>
    </w:p>
    <w:p>
      <w:pPr>
        <w:pStyle w:val="BodyText"/>
        <w:spacing w:before="120"/>
        <w:ind w:left="442" w:right="119" w:hanging="284"/>
        <w:jc w:val="both"/>
      </w:pPr>
      <w:r>
        <w:rPr/>
        <w:t>Baldocchi D., Falge E., Gu L., Olson R., Hollinger D., Running S., Anthoni P., Bernhofer C., Davis K., Evans R., Fuentes J., Goldstein A., Katul G., Law B., Lee X., Malhi Y., Meyers T., Munger W., Oechel W., Paw T., Pilegaard K., Schmid H.P., Valentini R., Verma S., Vesala T., Wilson K., and Wofsy S. (2001). FLUXNET: A New Tool to Study the Temporal and Spatial Variability of Ecosystem-Scale Carbon Dioxide, Water Vapor, and Energy Flux Densities. </w:t>
      </w:r>
      <w:r>
        <w:rPr>
          <w:i/>
        </w:rPr>
        <w:t>Bull. Amer. Met. Soc. </w:t>
      </w:r>
      <w:r>
        <w:rPr/>
        <w:t>82 (11): pp.</w:t>
      </w:r>
      <w:r>
        <w:rPr>
          <w:spacing w:val="-9"/>
        </w:rPr>
        <w:t> </w:t>
      </w:r>
      <w:r>
        <w:rPr/>
        <w:t>2415-2434.</w:t>
      </w:r>
    </w:p>
    <w:p>
      <w:pPr>
        <w:pStyle w:val="BodyText"/>
        <w:spacing w:before="119"/>
        <w:ind w:left="159"/>
      </w:pPr>
      <w:r>
        <w:rPr/>
        <w:t>Bakwin P., Tans P., Ussler W. III, and Quesnell E. (1995). Measurements of carbon dioxide on a very tall tower.</w:t>
      </w:r>
    </w:p>
    <w:p>
      <w:pPr>
        <w:pStyle w:val="BodyText"/>
        <w:spacing w:before="1"/>
        <w:ind w:left="442"/>
      </w:pPr>
      <w:r>
        <w:rPr/>
        <w:t>Tellus 47B: pp. 535–549.</w:t>
      </w:r>
    </w:p>
    <w:p>
      <w:pPr>
        <w:pStyle w:val="BodyText"/>
        <w:spacing w:before="120"/>
        <w:ind w:left="442" w:right="169" w:hanging="284"/>
        <w:jc w:val="both"/>
      </w:pPr>
      <w:r>
        <w:rPr/>
        <w:t>Birdsey R.A. (1996). Carbon storage for major forest types and regions in the conterminous United States. In: Sampson R.N., and Hair D.(eds.) Forests and Global Change, Vol. 2: Forest Management Opportunities for Mitigating Carbon Emission American Forests, Washington D.C., USA, pp. 1-25.</w:t>
      </w:r>
    </w:p>
    <w:p>
      <w:pPr>
        <w:pStyle w:val="BodyText"/>
        <w:spacing w:before="119"/>
        <w:ind w:left="442" w:right="164" w:hanging="284"/>
        <w:jc w:val="both"/>
      </w:pPr>
      <w:r>
        <w:rPr/>
        <w:t>Blair J.B., Rabine D.L., and Hofton M.A. (1999). The Laser Vegetation Imaging Sensor: a medium-altitude, digitization only, airborne laser altimeter for mapping vegetation. ISPRS J. </w:t>
      </w:r>
      <w:r>
        <w:rPr>
          <w:i/>
        </w:rPr>
        <w:t>Photogrammetric &amp; Remote Sensing </w:t>
      </w:r>
      <w:r>
        <w:rPr/>
        <w:t>54: pp.115-122.</w:t>
      </w:r>
    </w:p>
    <w:p>
      <w:pPr>
        <w:pStyle w:val="BodyText"/>
        <w:spacing w:before="119"/>
        <w:ind w:left="442" w:right="164" w:hanging="284"/>
        <w:jc w:val="both"/>
      </w:pPr>
      <w:r>
        <w:rPr/>
        <w:t>Butterbach-Bahl K., Breuer L., Gasche R., Willibald G., and Papen H. (2002). Exchange of trace gases between soils and the atmosphere in Scots pine forest ecosystems of the northeastern German lowlands 1. Fluxes of N</w:t>
      </w:r>
      <w:r>
        <w:rPr>
          <w:vertAlign w:val="subscript"/>
        </w:rPr>
        <w:t>2</w:t>
      </w:r>
      <w:r>
        <w:rPr>
          <w:vertAlign w:val="baseline"/>
        </w:rPr>
        <w:t>O, NO/NO</w:t>
      </w:r>
      <w:r>
        <w:rPr>
          <w:vertAlign w:val="subscript"/>
        </w:rPr>
        <w:t>2</w:t>
      </w:r>
      <w:r>
        <w:rPr>
          <w:vertAlign w:val="baseline"/>
        </w:rPr>
        <w:t> and CH</w:t>
      </w:r>
      <w:r>
        <w:rPr>
          <w:vertAlign w:val="subscript"/>
        </w:rPr>
        <w:t>4</w:t>
      </w:r>
      <w:r>
        <w:rPr>
          <w:vertAlign w:val="baseline"/>
        </w:rPr>
        <w:t> at forest sites with different N-deposition., </w:t>
      </w:r>
      <w:r>
        <w:rPr>
          <w:i/>
          <w:vertAlign w:val="baseline"/>
        </w:rPr>
        <w:t>Forest Ecology and Management </w:t>
      </w:r>
      <w:r>
        <w:rPr>
          <w:vertAlign w:val="baseline"/>
        </w:rPr>
        <w:t>167: pp. 123-134.</w:t>
      </w:r>
    </w:p>
    <w:p>
      <w:pPr>
        <w:pStyle w:val="BodyText"/>
        <w:spacing w:before="119"/>
        <w:ind w:left="442" w:right="165" w:hanging="284"/>
        <w:jc w:val="both"/>
      </w:pPr>
      <w:r>
        <w:rPr/>
        <w:t>Butterbach-Bahl K. and Papen H. (2002). Four years continuous record of CH</w:t>
      </w:r>
      <w:r>
        <w:rPr>
          <w:vertAlign w:val="subscript"/>
        </w:rPr>
        <w:t>4</w:t>
      </w:r>
      <w:r>
        <w:rPr>
          <w:vertAlign w:val="baseline"/>
        </w:rPr>
        <w:t>-exchange between the atmosphere and untreated and limed soil of a N-saturated spruce and forest ecosystem in Germany., </w:t>
      </w:r>
      <w:r>
        <w:rPr>
          <w:i/>
          <w:vertAlign w:val="baseline"/>
        </w:rPr>
        <w:t>Plant and Soil </w:t>
      </w:r>
      <w:r>
        <w:rPr>
          <w:vertAlign w:val="baseline"/>
        </w:rPr>
        <w:t>240: pp.77-90.</w:t>
      </w:r>
    </w:p>
    <w:p>
      <w:pPr>
        <w:pStyle w:val="BodyText"/>
        <w:spacing w:before="119"/>
        <w:ind w:left="442" w:right="169" w:hanging="284"/>
        <w:jc w:val="both"/>
      </w:pPr>
      <w:r>
        <w:rPr/>
        <w:t>Carlson T.N. and Ripley D.A. (1997). On the relation between NDVI, fractional vegetation cover, and leaf area index. </w:t>
      </w:r>
      <w:r>
        <w:rPr>
          <w:i/>
        </w:rPr>
        <w:t>Remote Sensing of Environment</w:t>
      </w:r>
      <w:r>
        <w:rPr/>
        <w:t>, 62: pp.241–252.</w:t>
      </w:r>
    </w:p>
    <w:p>
      <w:pPr>
        <w:pStyle w:val="BodyText"/>
        <w:spacing w:before="121"/>
        <w:ind w:left="442" w:right="169" w:hanging="284"/>
        <w:jc w:val="both"/>
      </w:pPr>
      <w:r>
        <w:rPr/>
        <w:t>Chen W., Chen J.M., Liu J., and Cihlar J. (2000a). Approaches for reducing uncertainties in regional forest carbon balance. </w:t>
      </w:r>
      <w:r>
        <w:rPr>
          <w:i/>
        </w:rPr>
        <w:t>Global Biogeochemical Cycles </w:t>
      </w:r>
      <w:r>
        <w:rPr/>
        <w:t>14(3): pp. 827-838.</w:t>
      </w:r>
    </w:p>
    <w:p>
      <w:pPr>
        <w:pStyle w:val="BodyText"/>
        <w:spacing w:before="118"/>
        <w:ind w:left="442" w:right="166" w:hanging="284"/>
        <w:jc w:val="both"/>
      </w:pPr>
      <w:r>
        <w:rPr/>
        <w:t>Chen W., Chen J.M., and Cihlar J. (2000b). An integrated terrestrial carbon-budget model based on changes in disturbance, climate, and atmospheric chemistry. </w:t>
      </w:r>
      <w:r>
        <w:rPr>
          <w:i/>
        </w:rPr>
        <w:t>Ecol. Modelling </w:t>
      </w:r>
      <w:r>
        <w:rPr/>
        <w:t>135: 55-79.</w:t>
      </w:r>
    </w:p>
    <w:p>
      <w:pPr>
        <w:pStyle w:val="BodyText"/>
        <w:spacing w:before="121"/>
        <w:ind w:left="442" w:right="164" w:hanging="284"/>
        <w:jc w:val="both"/>
      </w:pPr>
      <w:r>
        <w:rPr/>
        <w:t>Chen, J.M., Pavlic G., Brown L., Cihlar J., Leblanc S.G., White H.P., Hall R.J., Peddle D., King D.J., Trofymow J.A., Swift E., Van der Sanden J., and Pellikka P. (2002). Validation of Canada-wide leaf area index maps using ground measurements and high and moderate resolution satellite imagery. </w:t>
      </w:r>
      <w:r>
        <w:rPr>
          <w:i/>
        </w:rPr>
        <w:t>Remote Sensing of Environment, </w:t>
      </w:r>
      <w:r>
        <w:rPr/>
        <w:t>80: pp. 165-184.</w:t>
      </w:r>
    </w:p>
    <w:p>
      <w:pPr>
        <w:pStyle w:val="BodyText"/>
        <w:spacing w:before="119"/>
        <w:ind w:left="159"/>
      </w:pPr>
      <w:r>
        <w:rPr/>
        <w:t>Dubayah R.O., and Drake J.B. (2000). Lidar remote sensing for forestry. </w:t>
      </w:r>
      <w:r>
        <w:rPr>
          <w:i/>
        </w:rPr>
        <w:t>J. Forestry </w:t>
      </w:r>
      <w:r>
        <w:rPr/>
        <w:t>98: pp. 44–46.</w:t>
      </w:r>
    </w:p>
    <w:p>
      <w:pPr>
        <w:pStyle w:val="BodyText"/>
        <w:spacing w:before="121"/>
        <w:ind w:left="442" w:right="166" w:hanging="284"/>
        <w:jc w:val="both"/>
      </w:pPr>
      <w:r>
        <w:rPr/>
        <w:t>Foody C.M., Green R.M., Lucas R.M., Curran P.J., Honzak M., and Do Amaral I. (1997). Observations on the relationship between SIR-C radar backscatter and the biomass of regenerating tropical forests. </w:t>
      </w:r>
      <w:r>
        <w:rPr>
          <w:i/>
        </w:rPr>
        <w:t>Int. J. Remote Sens</w:t>
      </w:r>
      <w:r>
        <w:rPr/>
        <w:t>. 18: pp. 687–694.</w:t>
      </w:r>
    </w:p>
    <w:p>
      <w:pPr>
        <w:pStyle w:val="BodyText"/>
        <w:spacing w:before="119"/>
        <w:ind w:left="442" w:right="168" w:hanging="284"/>
        <w:jc w:val="both"/>
      </w:pPr>
      <w:r>
        <w:rPr/>
        <w:t>Gemmell F. and McDonald A.J. (2000). View zenith angle effects on the forest information content of three spectral indices. </w:t>
      </w:r>
      <w:r>
        <w:rPr>
          <w:i/>
        </w:rPr>
        <w:t>Remote Sensing of Environment</w:t>
      </w:r>
      <w:r>
        <w:rPr/>
        <w:t>, 72: pp. 139–158.</w:t>
      </w:r>
    </w:p>
    <w:p>
      <w:pPr>
        <w:pStyle w:val="BodyText"/>
        <w:spacing w:before="118"/>
        <w:ind w:left="442" w:right="165" w:hanging="284"/>
        <w:jc w:val="both"/>
      </w:pPr>
      <w:r>
        <w:rPr/>
        <w:t>Gholz H.L. (1982). Environmental limits on aboveground net primary production, leaf area and biomass in vegetation zones of the Pacific Northwest. </w:t>
      </w:r>
      <w:r>
        <w:rPr>
          <w:i/>
        </w:rPr>
        <w:t>Ecology </w:t>
      </w:r>
      <w:r>
        <w:rPr/>
        <w:t>63: pp. 469–481.</w:t>
      </w:r>
    </w:p>
    <w:p>
      <w:pPr>
        <w:spacing w:before="121"/>
        <w:ind w:left="442" w:right="166" w:hanging="284"/>
        <w:jc w:val="both"/>
        <w:rPr>
          <w:sz w:val="20"/>
        </w:rPr>
      </w:pPr>
      <w:r>
        <w:rPr>
          <w:sz w:val="20"/>
        </w:rPr>
        <w:t>Gobron N., Pinty B., Verstraete M.M., and Widlowski J.-L. (2000). Advanced vegetation indices optimised for up-coming sensors: design, performance, and applications. </w:t>
      </w:r>
      <w:r>
        <w:rPr>
          <w:i/>
          <w:sz w:val="20"/>
        </w:rPr>
        <w:t>IEEE Transactions on Geoscience and Remote Sensing</w:t>
      </w:r>
      <w:r>
        <w:rPr>
          <w:sz w:val="20"/>
        </w:rPr>
        <w:t>, 38: pp.2489–2505.</w:t>
      </w:r>
    </w:p>
    <w:p>
      <w:pPr>
        <w:spacing w:after="0"/>
        <w:jc w:val="both"/>
        <w:rPr>
          <w:sz w:val="20"/>
        </w:rPr>
        <w:sectPr>
          <w:pgSz w:w="11900" w:h="16840"/>
          <w:pgMar w:header="230" w:footer="408" w:top="560" w:bottom="600" w:left="1260" w:right="1240"/>
        </w:sectPr>
      </w:pPr>
    </w:p>
    <w:p>
      <w:pPr>
        <w:pStyle w:val="BodyText"/>
      </w:pPr>
    </w:p>
    <w:p>
      <w:pPr>
        <w:pStyle w:val="BodyText"/>
        <w:spacing w:before="2"/>
        <w:rPr>
          <w:sz w:val="18"/>
        </w:rPr>
      </w:pPr>
    </w:p>
    <w:p>
      <w:pPr>
        <w:pStyle w:val="BodyText"/>
        <w:ind w:left="442" w:right="166" w:hanging="284"/>
        <w:jc w:val="both"/>
      </w:pPr>
      <w:r>
        <w:rPr/>
        <w:t>Gurney K.R., Law R.M., Scott Denning A., Rayner P.J., Baker D., Bousquet P., Bruhwilerk L., Chen Yu-Han, Ciais P., Fan S., Fung I.Y., Gloor M., Heimann M., Higuchi K., John J., Maki T., Maksyutov S., Masariek K., Peylin P., Prather M., Pakk B.C., Randerson J., Sarmiento J., Taguchi S., Takahashi T., Yuen C.-W. (2002). Towards robust regional estimates of CO</w:t>
      </w:r>
      <w:r>
        <w:rPr>
          <w:vertAlign w:val="subscript"/>
        </w:rPr>
        <w:t>2</w:t>
      </w:r>
      <w:r>
        <w:rPr>
          <w:vertAlign w:val="baseline"/>
        </w:rPr>
        <w:t> sources and sinks using atmospheric transport models. </w:t>
      </w:r>
      <w:r>
        <w:rPr>
          <w:i/>
          <w:vertAlign w:val="baseline"/>
        </w:rPr>
        <w:t>Nature, </w:t>
      </w:r>
      <w:r>
        <w:rPr>
          <w:vertAlign w:val="baseline"/>
        </w:rPr>
        <w:t>415: pp.</w:t>
      </w:r>
      <w:r>
        <w:rPr>
          <w:spacing w:val="1"/>
          <w:vertAlign w:val="baseline"/>
        </w:rPr>
        <w:t> </w:t>
      </w:r>
      <w:r>
        <w:rPr>
          <w:vertAlign w:val="baseline"/>
        </w:rPr>
        <w:t>626-630.</w:t>
      </w:r>
    </w:p>
    <w:p>
      <w:pPr>
        <w:pStyle w:val="BodyText"/>
        <w:spacing w:before="120"/>
        <w:ind w:left="442" w:right="169" w:hanging="284"/>
        <w:jc w:val="both"/>
      </w:pPr>
      <w:r>
        <w:rPr/>
        <w:t>Huete A.R., Liu H.Q., Batchily K., and van Leeuwen W. (1997). A comparison of vegetation indices over a global set of TM images for EOS-MODIS. </w:t>
      </w:r>
      <w:r>
        <w:rPr>
          <w:i/>
        </w:rPr>
        <w:t>Remote Sensing of Environment</w:t>
      </w:r>
      <w:r>
        <w:rPr/>
        <w:t>, 59: pp. 440–451.</w:t>
      </w:r>
    </w:p>
    <w:p>
      <w:pPr>
        <w:spacing w:before="121"/>
        <w:ind w:left="442" w:right="356" w:hanging="284"/>
        <w:jc w:val="left"/>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w:t>
      </w:r>
    </w:p>
    <w:p>
      <w:pPr>
        <w:pStyle w:val="BodyText"/>
        <w:spacing w:line="229" w:lineRule="exact"/>
        <w:ind w:left="442"/>
      </w:pPr>
      <w:r>
        <w:rPr/>
        <w:t>IPCC/OECD/IEA/IGES, Hayama, Japan.</w:t>
      </w:r>
    </w:p>
    <w:p>
      <w:pPr>
        <w:pStyle w:val="BodyText"/>
        <w:spacing w:before="120"/>
        <w:ind w:left="442" w:right="165" w:hanging="284"/>
        <w:jc w:val="both"/>
      </w:pPr>
      <w:r>
        <w:rPr/>
        <w:t>Janssens I.A., Lankreijer H., Matteucci G., Kowalski A.S., Buchmann N., Epron D., Pilegaard K., Kutsch W., Longdoz B., Grünwald T., Montagnani L., Dore S., Rebmann C., Moors E.J., Grelle A., Rannik Ü., Morgenstern K., Oltchev S., Clement R., Guðmundsson J., Minerbi S., Berbigier P., Ibrom A., Moncrieff J., Aubinet M., Bernhofer C., Jensen N.O., Vesala T., Granier A., Schulze E.-D., Lindroth A., Dolman A.J., Jarvis P.G., Ceulemans R., Valentini R. (2001). Productivity overshadows temperature in determining soil and ecosystem respiration across European forests, </w:t>
      </w:r>
      <w:r>
        <w:rPr>
          <w:i/>
        </w:rPr>
        <w:t>Global Change Biology</w:t>
      </w:r>
      <w:r>
        <w:rPr/>
        <w:t>, 7: pp.</w:t>
      </w:r>
      <w:r>
        <w:rPr>
          <w:spacing w:val="-15"/>
        </w:rPr>
        <w:t> </w:t>
      </w:r>
      <w:r>
        <w:rPr/>
        <w:t>269-278.</w:t>
      </w:r>
    </w:p>
    <w:p>
      <w:pPr>
        <w:spacing w:before="118"/>
        <w:ind w:left="442" w:right="166" w:hanging="284"/>
        <w:jc w:val="both"/>
        <w:rPr>
          <w:sz w:val="20"/>
        </w:rPr>
      </w:pPr>
      <w:r>
        <w:rPr>
          <w:sz w:val="20"/>
        </w:rPr>
        <w:t>Kaufman Y.J. and Tanré D. (1992). Atmospherically-resistant vegetation index (ARVI) for EOS-MODIS. </w:t>
      </w:r>
      <w:r>
        <w:rPr>
          <w:i/>
          <w:sz w:val="20"/>
        </w:rPr>
        <w:t>IEEE Transactions on Geoscience and Remote Sensing</w:t>
      </w:r>
      <w:r>
        <w:rPr>
          <w:sz w:val="20"/>
        </w:rPr>
        <w:t>, 30: pp. 261–270.</w:t>
      </w:r>
    </w:p>
    <w:p>
      <w:pPr>
        <w:pStyle w:val="BodyText"/>
        <w:spacing w:line="229" w:lineRule="exact" w:before="121"/>
        <w:ind w:left="159"/>
      </w:pPr>
      <w:r>
        <w:rPr/>
        <w:t>Kauppi P.E., Mielikäinen K., Kuusela K. (1992). Biomass and carbon budget of European forests, 1971 to 1990.</w:t>
      </w:r>
    </w:p>
    <w:p>
      <w:pPr>
        <w:spacing w:line="229" w:lineRule="exact" w:before="0"/>
        <w:ind w:left="442" w:right="0" w:firstLine="0"/>
        <w:jc w:val="left"/>
        <w:rPr>
          <w:sz w:val="20"/>
        </w:rPr>
      </w:pPr>
      <w:r>
        <w:rPr>
          <w:i/>
          <w:sz w:val="20"/>
        </w:rPr>
        <w:t>Science, </w:t>
      </w:r>
      <w:r>
        <w:rPr>
          <w:sz w:val="20"/>
        </w:rPr>
        <w:t>256: pp. 70-74.</w:t>
      </w:r>
    </w:p>
    <w:p>
      <w:pPr>
        <w:pStyle w:val="BodyText"/>
        <w:spacing w:line="350" w:lineRule="atLeast"/>
        <w:ind w:left="159" w:right="166"/>
      </w:pPr>
      <w:r>
        <w:rPr/>
        <w:t>Körner C. (2003). Slow in, rapid out – Carbon flux studies and Kyoto targets. </w:t>
      </w:r>
      <w:r>
        <w:rPr>
          <w:i/>
        </w:rPr>
        <w:t>Science</w:t>
      </w:r>
      <w:r>
        <w:rPr/>
        <w:t>, 300: pp.1242-1243. Kramer K., Leinonen I., Bartelink H.H., Berbigier P., Borghetti M., Bernhofer C., Cienciala E., Dolman A.J.,</w:t>
      </w:r>
    </w:p>
    <w:p>
      <w:pPr>
        <w:pStyle w:val="BodyText"/>
        <w:spacing w:before="1"/>
        <w:ind w:left="442" w:right="163"/>
        <w:jc w:val="both"/>
      </w:pPr>
      <w:r>
        <w:rPr/>
        <w:t>Froer O., Gracia C.A., Granier A., Grünwald T., Hari P., Jans W., Kellomäki S., Loustau D., Magnani F., Markkanen T., Matteucci G., Mohren G.M.J, Moors E., Nissinen A., Peltola H., Sabaté S., Sanchez A., Sontag M., Valentini R., Vesala T. (2002). Evaluation of 6 process-based forest growth models based on eddy-covariance measurements of CO</w:t>
      </w:r>
      <w:r>
        <w:rPr>
          <w:vertAlign w:val="subscript"/>
        </w:rPr>
        <w:t>2</w:t>
      </w:r>
      <w:r>
        <w:rPr>
          <w:vertAlign w:val="baseline"/>
        </w:rPr>
        <w:t> and H</w:t>
      </w:r>
      <w:r>
        <w:rPr>
          <w:vertAlign w:val="subscript"/>
        </w:rPr>
        <w:t>2</w:t>
      </w:r>
      <w:r>
        <w:rPr>
          <w:vertAlign w:val="baseline"/>
        </w:rPr>
        <w:t>O fluxes at 6 forest sites in Europe. </w:t>
      </w:r>
      <w:r>
        <w:rPr>
          <w:i/>
          <w:vertAlign w:val="baseline"/>
        </w:rPr>
        <w:t>Global Change Biology, </w:t>
      </w:r>
      <w:r>
        <w:rPr>
          <w:vertAlign w:val="baseline"/>
        </w:rPr>
        <w:t>8: pp. 213-230.</w:t>
      </w:r>
    </w:p>
    <w:p>
      <w:pPr>
        <w:pStyle w:val="BodyText"/>
        <w:spacing w:before="117"/>
        <w:ind w:left="159"/>
      </w:pPr>
      <w:r>
        <w:rPr/>
        <w:t>Kurz W., Apps M. (1999). A 70-year retrospective analysis of carbon fluxes in the Canadian forest sector.</w:t>
      </w:r>
    </w:p>
    <w:p>
      <w:pPr>
        <w:spacing w:before="1"/>
        <w:ind w:left="452" w:right="0" w:firstLine="0"/>
        <w:jc w:val="left"/>
        <w:rPr>
          <w:sz w:val="20"/>
        </w:rPr>
      </w:pPr>
      <w:r>
        <w:rPr>
          <w:i/>
          <w:sz w:val="20"/>
        </w:rPr>
        <w:t>Ecological Applications </w:t>
      </w:r>
      <w:r>
        <w:rPr>
          <w:sz w:val="20"/>
        </w:rPr>
        <w:t>9(2): pp.526-547.</w:t>
      </w:r>
    </w:p>
    <w:p>
      <w:pPr>
        <w:pStyle w:val="BodyText"/>
        <w:spacing w:before="120"/>
        <w:ind w:left="442" w:right="114" w:hanging="284"/>
        <w:jc w:val="both"/>
      </w:pPr>
      <w:r>
        <w:rPr/>
        <w:t>Landsberg J.J. and Waring R.H. (1997). A generalised model of forest productivity using simplified concepts of radiation-use efficiency, carbon balance, and partitioning. </w:t>
      </w:r>
      <w:r>
        <w:rPr>
          <w:i/>
        </w:rPr>
        <w:t>Forest Ecology and Management</w:t>
      </w:r>
      <w:r>
        <w:rPr/>
        <w:t>, 95: pp. 209–228.</w:t>
      </w:r>
    </w:p>
    <w:p>
      <w:pPr>
        <w:pStyle w:val="BodyText"/>
        <w:spacing w:before="118"/>
        <w:ind w:left="442" w:right="165" w:hanging="284"/>
        <w:jc w:val="both"/>
      </w:pPr>
      <w:r>
        <w:rPr/>
        <w:t>Luckman A., Baker J., Honzák M., and Lucas R. (1998). Tropical forest biomass density estimation using JERS- 1 SAR: Seasonal variation, confidence limits, and application to image mosaics. </w:t>
      </w:r>
      <w:r>
        <w:rPr>
          <w:i/>
        </w:rPr>
        <w:t>Remote Sens. Environ, </w:t>
      </w:r>
      <w:r>
        <w:rPr/>
        <w:t>63: pp. 126–139.</w:t>
      </w:r>
    </w:p>
    <w:p>
      <w:pPr>
        <w:pStyle w:val="BodyText"/>
        <w:spacing w:before="122"/>
        <w:ind w:left="442" w:right="161" w:hanging="284"/>
        <w:jc w:val="both"/>
      </w:pPr>
      <w:r>
        <w:rPr/>
        <w:t>McGuire A.D., Sitch S., Clein J.S., Dargaville R., Esser G., Foley J., Heimann M., Joos F., Kaplan J., Kicklighter D.W., Meier R.A., Melillo J.M., Moore B. III, Prentice I.C., Ramankutty N., Reichenau T., Schloss A., Tian H., Williams L.J., and Wittenberg U. (2001). Carbon balance of the terrestrial biosphere in the twentieth century: Analyses of CO2, climate and land-use effects with four process-based ecosystem models. </w:t>
      </w:r>
      <w:r>
        <w:rPr>
          <w:i/>
        </w:rPr>
        <w:t>Global Biogeochemical Cycles, </w:t>
      </w:r>
      <w:r>
        <w:rPr/>
        <w:t>15: pp.183-206.</w:t>
      </w:r>
    </w:p>
    <w:p>
      <w:pPr>
        <w:pStyle w:val="BodyText"/>
        <w:spacing w:before="117"/>
        <w:ind w:left="442" w:right="166" w:hanging="284"/>
        <w:jc w:val="both"/>
      </w:pPr>
      <w:r>
        <w:rPr/>
        <w:t>Means J.E., Acker S.A., Harding D.J., Blair J.B., Lefsky M.A., Cohen W.B., Harmon M.E., and Mckee W.A. (1999). Use of large-footprint scanning airborne lidar to estimate forest stand characteristics in the Western Cascades of Oregon. </w:t>
      </w:r>
      <w:r>
        <w:rPr>
          <w:i/>
        </w:rPr>
        <w:t>Remote Sens. Environ</w:t>
      </w:r>
      <w:r>
        <w:rPr/>
        <w:t>., 67: pp. 298–308.</w:t>
      </w:r>
    </w:p>
    <w:p>
      <w:pPr>
        <w:pStyle w:val="BodyText"/>
        <w:spacing w:before="121"/>
        <w:ind w:left="442" w:right="165" w:hanging="284"/>
        <w:jc w:val="both"/>
      </w:pPr>
      <w:r>
        <w:rPr/>
        <w:t>Mollicone D., Matteucci G., Koble R., Masci A., Chiesi M., Smits P.C. (2003). A model based approach for the estimation of carbon sink in European forest. In: Valentini R. (ed.) Fluxes of carbon, water and energy of European forests. </w:t>
      </w:r>
      <w:r>
        <w:rPr>
          <w:i/>
        </w:rPr>
        <w:t>Ecological Studies, </w:t>
      </w:r>
      <w:r>
        <w:rPr/>
        <w:t>Vol. 163, Springer-Verlag, Berlin, pp.179-206.</w:t>
      </w:r>
    </w:p>
    <w:p>
      <w:pPr>
        <w:spacing w:before="119"/>
        <w:ind w:left="442" w:right="164" w:hanging="284"/>
        <w:jc w:val="both"/>
        <w:rPr>
          <w:sz w:val="20"/>
        </w:rPr>
      </w:pPr>
      <w:r>
        <w:rPr>
          <w:sz w:val="20"/>
        </w:rPr>
        <w:t>Monteith J.L. (1977). Climate and the efficiency of crop production in Britain. </w:t>
      </w:r>
      <w:r>
        <w:rPr>
          <w:i/>
          <w:sz w:val="20"/>
        </w:rPr>
        <w:t>Philosophical Transactions of the Royal Society of London</w:t>
      </w:r>
      <w:r>
        <w:rPr>
          <w:sz w:val="20"/>
        </w:rPr>
        <w:t>, Series B, 281: pp.277–294.</w:t>
      </w:r>
    </w:p>
    <w:p>
      <w:pPr>
        <w:pStyle w:val="BodyText"/>
        <w:spacing w:before="118"/>
        <w:ind w:left="442" w:right="168" w:hanging="284"/>
        <w:jc w:val="both"/>
      </w:pPr>
      <w:r>
        <w:rPr/>
        <w:t>Moreau L. and Li Z. (1996). A new approach for remote sensing of canopy absorbed photosynthetically active radiation. II.: proportion of canopy absorption. </w:t>
      </w:r>
      <w:r>
        <w:rPr>
          <w:i/>
        </w:rPr>
        <w:t>Remote Sensing of Environment</w:t>
      </w:r>
      <w:r>
        <w:rPr/>
        <w:t>, 55: pp.192–204.</w:t>
      </w:r>
    </w:p>
    <w:p>
      <w:pPr>
        <w:pStyle w:val="BodyText"/>
        <w:spacing w:before="121"/>
        <w:ind w:left="442" w:right="165" w:hanging="284"/>
        <w:jc w:val="both"/>
      </w:pPr>
      <w:r>
        <w:rPr/>
        <w:t>Nabuurs G.J., Pavinen R., Sikkema R., Mohren G.M.J. (1997). The role of European forests in the global carbon cycle – a review. </w:t>
      </w:r>
      <w:r>
        <w:rPr>
          <w:i/>
        </w:rPr>
        <w:t>Biomass and Bioenergy</w:t>
      </w:r>
      <w:r>
        <w:rPr/>
        <w:t>, 13: pp. 345-358.</w:t>
      </w:r>
    </w:p>
    <w:p>
      <w:pPr>
        <w:spacing w:after="0"/>
        <w:jc w:val="both"/>
        <w:sectPr>
          <w:pgSz w:w="11900" w:h="16840"/>
          <w:pgMar w:header="230" w:footer="408" w:top="560" w:bottom="600" w:left="1260" w:right="1240"/>
        </w:sectPr>
      </w:pPr>
    </w:p>
    <w:p>
      <w:pPr>
        <w:pStyle w:val="BodyText"/>
      </w:pPr>
    </w:p>
    <w:p>
      <w:pPr>
        <w:pStyle w:val="BodyText"/>
        <w:spacing w:before="2"/>
        <w:rPr>
          <w:sz w:val="18"/>
        </w:rPr>
      </w:pPr>
    </w:p>
    <w:p>
      <w:pPr>
        <w:pStyle w:val="BodyText"/>
        <w:ind w:left="442" w:right="167" w:hanging="284"/>
        <w:jc w:val="both"/>
      </w:pPr>
      <w:r>
        <w:rPr/>
        <w:t>Nilsson S., Jonas M., Obersteiner M., Victor D.G. (2001). Verification: the gorilla in the struggle to slow global warming. </w:t>
      </w:r>
      <w:r>
        <w:rPr>
          <w:i/>
        </w:rPr>
        <w:t>The Forestry Chronicle </w:t>
      </w:r>
      <w:r>
        <w:rPr/>
        <w:t>77(3): pp.475-478.</w:t>
      </w:r>
    </w:p>
    <w:p>
      <w:pPr>
        <w:pStyle w:val="BodyText"/>
        <w:spacing w:before="121"/>
        <w:ind w:left="442" w:right="167" w:hanging="284"/>
        <w:jc w:val="both"/>
      </w:pPr>
      <w:r>
        <w:rPr/>
        <w:t>Okuda T. and Nakane K. (1988). Application of Landsat MSS data to the vegetation classification—a case study of the northwestern part of Fukuoka prefecture, Japan. </w:t>
      </w:r>
      <w:r>
        <w:rPr>
          <w:i/>
        </w:rPr>
        <w:t>Jpn. J. Ecol</w:t>
      </w:r>
      <w:r>
        <w:rPr/>
        <w:t>. 38: pp. 85–97.</w:t>
      </w:r>
    </w:p>
    <w:p>
      <w:pPr>
        <w:pStyle w:val="BodyText"/>
        <w:spacing w:before="118"/>
        <w:ind w:left="442" w:right="117" w:hanging="284"/>
        <w:jc w:val="both"/>
      </w:pPr>
      <w:r>
        <w:rPr/>
        <w:t>Okuda T., Suzuki M., Adachi N., Yoshida K., Niiyama K., Nur Supardi M.N., Manokaran N., Mazlan H. (2003). Logging history and its impact on forest structure and species composition in the Pasoh Forest Reserve - Implication for the sustainable management of natural resources and landscapes. In Okuda T, Niiyama K., Thomas S.C., and Ashton P.S. (eds.). </w:t>
      </w:r>
      <w:r>
        <w:rPr>
          <w:i/>
        </w:rPr>
        <w:t>Pasoh: Ecology of a Rainforest in South East Asia</w:t>
      </w:r>
      <w:r>
        <w:rPr/>
        <w:t>, Springer, Tokyo, pp. 15-34.</w:t>
      </w:r>
    </w:p>
    <w:p>
      <w:pPr>
        <w:pStyle w:val="BodyText"/>
        <w:spacing w:before="120"/>
        <w:ind w:left="442" w:right="169" w:hanging="284"/>
        <w:jc w:val="both"/>
      </w:pPr>
      <w:r>
        <w:rPr/>
        <w:t>Oreskes N., Shrader-Frechette K. and Belitz K.(1994). Verification, Validation, and Confirmation of Numerical Models in the Earth Sciences.. </w:t>
      </w:r>
      <w:r>
        <w:rPr>
          <w:i/>
        </w:rPr>
        <w:t>Science</w:t>
      </w:r>
      <w:r>
        <w:rPr/>
        <w:t>, 263: pp. 641-646.</w:t>
      </w:r>
    </w:p>
    <w:p>
      <w:pPr>
        <w:pStyle w:val="BodyText"/>
        <w:spacing w:before="121"/>
        <w:ind w:left="442" w:right="166" w:hanging="284"/>
        <w:jc w:val="both"/>
      </w:pPr>
      <w:r>
        <w:rPr/>
        <w:t>Page S.E., Siegert F., Rieley J.O., Boehm H.-D.V., Jaya A. and Limin S. (2002). The amount of carbon released from peat and forest fires in Indonesia during 1997. </w:t>
      </w:r>
      <w:r>
        <w:rPr>
          <w:i/>
        </w:rPr>
        <w:t>Nature</w:t>
      </w:r>
      <w:r>
        <w:rPr/>
        <w:t>, 420: pp.61-65.</w:t>
      </w:r>
    </w:p>
    <w:p>
      <w:pPr>
        <w:pStyle w:val="BodyText"/>
        <w:spacing w:before="118"/>
        <w:ind w:left="159"/>
        <w:rPr>
          <w:i/>
        </w:rPr>
      </w:pPr>
      <w:r>
        <w:rPr/>
        <w:t>Rauste Y., Häme T., Pulliainen J., Heiska K., Hallikainen M. (1994). Radar-based forest biomass estimation. </w:t>
      </w:r>
      <w:r>
        <w:rPr>
          <w:i/>
        </w:rPr>
        <w:t>Int.</w:t>
      </w:r>
    </w:p>
    <w:p>
      <w:pPr>
        <w:spacing w:before="1"/>
        <w:ind w:left="442" w:right="0" w:firstLine="0"/>
        <w:jc w:val="left"/>
        <w:rPr>
          <w:sz w:val="20"/>
        </w:rPr>
      </w:pPr>
      <w:r>
        <w:rPr>
          <w:i/>
          <w:sz w:val="20"/>
        </w:rPr>
        <w:t>Jour. Remote Sensing </w:t>
      </w:r>
      <w:r>
        <w:rPr>
          <w:sz w:val="20"/>
        </w:rPr>
        <w:t>15(14): pp. 2797-2808.</w:t>
      </w:r>
    </w:p>
    <w:p>
      <w:pPr>
        <w:pStyle w:val="BodyText"/>
        <w:spacing w:before="120"/>
        <w:ind w:left="442" w:right="166" w:hanging="284"/>
        <w:jc w:val="both"/>
      </w:pPr>
      <w:r>
        <w:rPr/>
        <w:t>Running S.W. (1994). Testing FOREST-BGC ecosystem process simulations across a climatic gradient in Oregon, </w:t>
      </w:r>
      <w:r>
        <w:rPr>
          <w:i/>
        </w:rPr>
        <w:t>Ecol. Appl</w:t>
      </w:r>
      <w:r>
        <w:rPr/>
        <w:t>. 4(2): pp. 238–247.</w:t>
      </w:r>
    </w:p>
    <w:p>
      <w:pPr>
        <w:pStyle w:val="BodyText"/>
        <w:spacing w:before="119"/>
        <w:ind w:left="442" w:right="110" w:hanging="284"/>
        <w:jc w:val="both"/>
      </w:pPr>
      <w:r>
        <w:rPr/>
        <w:t>Running S.W. and Coughlan J.C. (1988). A general model of forest ecosystem processes for  regional applications I. Hydrological balance, canopy gas exchange and primary production processes </w:t>
      </w:r>
      <w:r>
        <w:rPr>
          <w:i/>
        </w:rPr>
        <w:t>Ecol. Model. </w:t>
      </w:r>
      <w:r>
        <w:rPr/>
        <w:t>42: pp.125–154.</w:t>
      </w:r>
    </w:p>
    <w:p>
      <w:pPr>
        <w:pStyle w:val="BodyText"/>
        <w:spacing w:before="118"/>
        <w:ind w:left="442" w:right="167" w:hanging="284"/>
        <w:jc w:val="both"/>
      </w:pPr>
      <w:r>
        <w:rPr/>
        <w:t>Running S.W. and Hunt E.R. Jr. (1993). Generalization of a forest ecosystem process model for other biomes, BIOME-BGC, and an application for global-scale models. In: Ehleringer J.R. and Field C. (eds.), </w:t>
      </w:r>
      <w:r>
        <w:rPr>
          <w:i/>
        </w:rPr>
        <w:t>Scaling physiological processes: Leaf to globe</w:t>
      </w:r>
      <w:r>
        <w:rPr/>
        <w:t>, Academic Press, San Diego, CA, pp. 141–158.</w:t>
      </w:r>
    </w:p>
    <w:p>
      <w:pPr>
        <w:pStyle w:val="BodyText"/>
        <w:spacing w:before="122"/>
        <w:ind w:left="442" w:right="166" w:hanging="284"/>
        <w:jc w:val="both"/>
      </w:pPr>
      <w:r>
        <w:rPr/>
        <w:t>Saatchi S.S., Nelson B., Podest E., and Holt J. (2000). Mapping land cover types in the Amazon Basin using 1 km JERS-1 mosaic. </w:t>
      </w:r>
      <w:r>
        <w:rPr>
          <w:i/>
        </w:rPr>
        <w:t>Int. J. Remote Sens</w:t>
      </w:r>
      <w:r>
        <w:rPr/>
        <w:t>. 21: pp. 1201–1234.</w:t>
      </w:r>
    </w:p>
    <w:p>
      <w:pPr>
        <w:pStyle w:val="BodyText"/>
        <w:spacing w:before="118"/>
        <w:ind w:left="442" w:right="170" w:hanging="284"/>
        <w:jc w:val="both"/>
      </w:pPr>
      <w:r>
        <w:rPr/>
        <w:t>Schulze E.-D., Valentini R., Sanz M.-J.(2002). The long way from Kyoto to Marrakesh: implication of the  Kyoto Protocol negotiations for global ecology. </w:t>
      </w:r>
      <w:r>
        <w:rPr>
          <w:i/>
        </w:rPr>
        <w:t>Global Change Biology </w:t>
      </w:r>
      <w:r>
        <w:rPr/>
        <w:t>8: pp.</w:t>
      </w:r>
      <w:r>
        <w:rPr>
          <w:spacing w:val="-3"/>
        </w:rPr>
        <w:t> </w:t>
      </w:r>
      <w:r>
        <w:rPr/>
        <w:t>505-518.</w:t>
      </w:r>
    </w:p>
    <w:p>
      <w:pPr>
        <w:pStyle w:val="BodyText"/>
        <w:spacing w:before="121"/>
        <w:ind w:left="442" w:right="167" w:hanging="284"/>
        <w:jc w:val="both"/>
      </w:pPr>
      <w:r>
        <w:rPr/>
        <w:t>Smith P. (2001). Verifying sinks under the Kyoto Protocol. </w:t>
      </w:r>
      <w:r>
        <w:rPr>
          <w:i/>
        </w:rPr>
        <w:t>VERTIC Briefing Paper </w:t>
      </w:r>
      <w:r>
        <w:rPr/>
        <w:t>01/03, 1-9 </w:t>
      </w:r>
      <w:hyperlink r:id="rId463">
        <w:r>
          <w:rPr/>
          <w:t>(http://www</w:t>
        </w:r>
      </w:hyperlink>
      <w:r>
        <w:rPr/>
        <w:t>.</w:t>
      </w:r>
      <w:hyperlink r:id="rId463">
        <w:r>
          <w:rPr/>
          <w:t>vertic.org/briefing/briefing.html)</w:t>
        </w:r>
      </w:hyperlink>
    </w:p>
    <w:p>
      <w:pPr>
        <w:pStyle w:val="BodyText"/>
        <w:spacing w:before="118"/>
        <w:ind w:left="442" w:right="168" w:hanging="284"/>
        <w:jc w:val="both"/>
      </w:pPr>
      <w:r>
        <w:rPr/>
        <w:t>Steinkamp R., Butterbach-Bahl K., Papen H. (2001). Methane oxidation by soils of an N limited and N fertilized spruce forest in the Black Forest, Germany. </w:t>
      </w:r>
      <w:r>
        <w:rPr>
          <w:i/>
        </w:rPr>
        <w:t>Soil Biology &amp; Biochemistry </w:t>
      </w:r>
      <w:r>
        <w:rPr/>
        <w:t>33: pp. 145-153.</w:t>
      </w:r>
    </w:p>
    <w:p>
      <w:pPr>
        <w:spacing w:before="121"/>
        <w:ind w:left="442" w:right="169" w:hanging="284"/>
        <w:jc w:val="both"/>
        <w:rPr>
          <w:sz w:val="20"/>
        </w:rPr>
      </w:pPr>
      <w:r>
        <w:rPr>
          <w:sz w:val="20"/>
        </w:rPr>
        <w:t>Terhikki Manninen A., Ulander L.M.H. (2001). Forestry parameter retrieval from texture in CARABAS VHF- Band SAR images. </w:t>
      </w:r>
      <w:r>
        <w:rPr>
          <w:i/>
          <w:sz w:val="20"/>
        </w:rPr>
        <w:t>IEEE Transactions on Geoscience and Remote Sensing </w:t>
      </w:r>
      <w:r>
        <w:rPr>
          <w:sz w:val="20"/>
        </w:rPr>
        <w:t>39(12): pp. 2622-2633.</w:t>
      </w:r>
    </w:p>
    <w:p>
      <w:pPr>
        <w:spacing w:before="119"/>
        <w:ind w:left="442" w:right="165" w:hanging="284"/>
        <w:jc w:val="both"/>
        <w:rPr>
          <w:sz w:val="20"/>
        </w:rPr>
      </w:pPr>
      <w:r>
        <w:rPr>
          <w:sz w:val="20"/>
        </w:rPr>
        <w:t>Trotter C.M., Dymond J.R., and Goulding C.J. (1997). Estimation of timber volume in a coniferous plantation forest using Landsat TM.. </w:t>
      </w:r>
      <w:r>
        <w:rPr>
          <w:i/>
          <w:sz w:val="20"/>
        </w:rPr>
        <w:t>International Journal of Remote Sensing</w:t>
      </w:r>
      <w:r>
        <w:rPr>
          <w:sz w:val="20"/>
        </w:rPr>
        <w:t>, 18: pp. 2209–2223.</w:t>
      </w:r>
    </w:p>
    <w:p>
      <w:pPr>
        <w:pStyle w:val="BodyText"/>
        <w:spacing w:before="120"/>
        <w:ind w:left="442" w:right="164" w:hanging="284"/>
        <w:jc w:val="both"/>
      </w:pPr>
      <w:r>
        <w:rPr/>
        <w:t>Uchijima Z. and Seino H. (1985). Agroclimatic evaluation of net primary productivity of natural vegetation. (1) Chikugo model for evaluating net primary productivity, </w:t>
      </w:r>
      <w:r>
        <w:rPr>
          <w:i/>
        </w:rPr>
        <w:t>J. Agr. Met</w:t>
      </w:r>
      <w:r>
        <w:rPr/>
        <w:t>. 40: pp. 343–352.</w:t>
      </w:r>
    </w:p>
    <w:p>
      <w:pPr>
        <w:pStyle w:val="BodyText"/>
        <w:spacing w:before="119"/>
        <w:ind w:left="442" w:right="162" w:hanging="284"/>
        <w:jc w:val="both"/>
      </w:pPr>
      <w:r>
        <w:rPr/>
        <w:t>Waring R.H. (1983). Estimating forest growth and efficiency in relation to canopy leaf area</w:t>
      </w:r>
      <w:r>
        <w:rPr>
          <w:i/>
        </w:rPr>
        <w:t>Adv. Ecol. Res. </w:t>
      </w:r>
      <w:r>
        <w:rPr/>
        <w:t>13: pp. 327-354.</w:t>
      </w:r>
    </w:p>
    <w:p>
      <w:pPr>
        <w:spacing w:before="121"/>
        <w:ind w:left="442" w:right="165" w:hanging="284"/>
        <w:jc w:val="both"/>
        <w:rPr>
          <w:sz w:val="20"/>
        </w:rPr>
      </w:pPr>
      <w:r>
        <w:rPr>
          <w:sz w:val="20"/>
        </w:rPr>
        <w:t>Waring R.H. and Running S.W. (1998). </w:t>
      </w:r>
      <w:r>
        <w:rPr>
          <w:i/>
          <w:sz w:val="20"/>
        </w:rPr>
        <w:t>Forest Ecosystems. Analysis at multiple scales. </w:t>
      </w:r>
      <w:r>
        <w:rPr>
          <w:sz w:val="20"/>
        </w:rPr>
        <w:t>Academic Press, San Diego, CA, USA.</w:t>
      </w:r>
    </w:p>
    <w:p>
      <w:pPr>
        <w:spacing w:after="0"/>
        <w:jc w:val="both"/>
        <w:rPr>
          <w:sz w:val="20"/>
        </w:rPr>
        <w:sectPr>
          <w:pgSz w:w="11900" w:h="16840"/>
          <w:pgMar w:header="230" w:footer="408" w:top="560" w:bottom="600" w:left="1260" w:right="1240"/>
        </w:sectPr>
      </w:pPr>
    </w:p>
    <w:p>
      <w:pPr>
        <w:pStyle w:val="BodyText"/>
      </w:pPr>
    </w:p>
    <w:p>
      <w:pPr>
        <w:pStyle w:val="BodyText"/>
        <w:rPr>
          <w:sz w:val="27"/>
        </w:rPr>
      </w:pPr>
    </w:p>
    <w:p>
      <w:pPr>
        <w:tabs>
          <w:tab w:pos="2040" w:val="left" w:leader="none"/>
          <w:tab w:pos="9259" w:val="left" w:leader="none"/>
        </w:tabs>
        <w:spacing w:before="80"/>
        <w:ind w:left="159" w:right="0" w:firstLine="0"/>
        <w:jc w:val="left"/>
        <w:rPr>
          <w:b/>
          <w:sz w:val="48"/>
        </w:rPr>
      </w:pPr>
      <w:r>
        <w:rPr>
          <w:b/>
          <w:spacing w:val="39"/>
          <w:sz w:val="48"/>
          <w:u w:val="thick"/>
        </w:rPr>
        <w:t>A</w:t>
      </w:r>
      <w:r>
        <w:rPr>
          <w:b/>
          <w:spacing w:val="39"/>
          <w:sz w:val="38"/>
          <w:u w:val="thick"/>
        </w:rPr>
        <w:t>NN</w:t>
      </w:r>
      <w:r>
        <w:rPr>
          <w:b/>
          <w:spacing w:val="-37"/>
          <w:sz w:val="38"/>
          <w:u w:val="thick"/>
        </w:rPr>
        <w:t> </w:t>
      </w:r>
      <w:r>
        <w:rPr>
          <w:b/>
          <w:sz w:val="38"/>
          <w:u w:val="thick"/>
        </w:rPr>
        <w:t>E</w:t>
      </w:r>
      <w:r>
        <w:rPr>
          <w:b/>
          <w:spacing w:val="-36"/>
          <w:sz w:val="38"/>
          <w:u w:val="thick"/>
        </w:rPr>
        <w:t> </w:t>
      </w:r>
      <w:r>
        <w:rPr>
          <w:b/>
          <w:sz w:val="38"/>
          <w:u w:val="thick"/>
        </w:rPr>
        <w:t>X</w:t>
        <w:tab/>
      </w:r>
      <w:r>
        <w:rPr>
          <w:b/>
          <w:sz w:val="48"/>
          <w:u w:val="thick"/>
        </w:rPr>
        <w:t>C</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1"/>
      </w:pPr>
      <w:r>
        <w:rPr/>
        <w:t>ABBREVIATIONS AND ACRONYMS</w:t>
      </w:r>
    </w:p>
    <w:p>
      <w:pPr>
        <w:spacing w:after="0"/>
        <w:sectPr>
          <w:headerReference w:type="even" r:id="rId464"/>
          <w:footerReference w:type="even" r:id="rId465"/>
          <w:footerReference w:type="default" r:id="rId466"/>
          <w:pgSz w:w="11900" w:h="16840"/>
          <w:pgMar w:header="0" w:footer="408" w:top="1600" w:bottom="600" w:left="1260" w:right="1240"/>
        </w:sectPr>
      </w:pPr>
    </w:p>
    <w:p>
      <w:pPr>
        <w:pStyle w:val="BodyText"/>
        <w:rPr>
          <w:b/>
        </w:rPr>
      </w:pPr>
    </w:p>
    <w:p>
      <w:pPr>
        <w:spacing w:after="0"/>
        <w:sectPr>
          <w:headerReference w:type="default" r:id="rId467"/>
          <w:pgSz w:w="11900" w:h="16840"/>
          <w:pgMar w:header="230" w:footer="408" w:top="560" w:bottom="600" w:left="1260" w:right="1240"/>
        </w:sectPr>
      </w:pPr>
    </w:p>
    <w:p>
      <w:pPr>
        <w:pStyle w:val="BodyText"/>
        <w:tabs>
          <w:tab w:pos="1407" w:val="left" w:leader="none"/>
        </w:tabs>
        <w:spacing w:line="350" w:lineRule="atLeast" w:before="89"/>
        <w:ind w:left="159" w:right="38"/>
      </w:pPr>
      <w:r>
        <w:rPr>
          <w:b/>
        </w:rPr>
        <w:t>AARS</w:t>
        <w:tab/>
      </w:r>
      <w:r>
        <w:rPr/>
        <w:t>Asian</w:t>
      </w:r>
      <w:r>
        <w:rPr>
          <w:spacing w:val="-11"/>
        </w:rPr>
        <w:t> </w:t>
      </w:r>
      <w:r>
        <w:rPr/>
        <w:t>Association</w:t>
      </w:r>
      <w:r>
        <w:rPr>
          <w:spacing w:val="-13"/>
        </w:rPr>
        <w:t> </w:t>
      </w:r>
      <w:r>
        <w:rPr/>
        <w:t>on</w:t>
      </w:r>
      <w:r>
        <w:rPr>
          <w:spacing w:val="-11"/>
        </w:rPr>
        <w:t> </w:t>
      </w:r>
      <w:r>
        <w:rPr>
          <w:spacing w:val="-3"/>
        </w:rPr>
        <w:t>Remote</w:t>
      </w:r>
      <w:r>
        <w:rPr>
          <w:spacing w:val="-10"/>
        </w:rPr>
        <w:t> </w:t>
      </w:r>
      <w:r>
        <w:rPr>
          <w:spacing w:val="-3"/>
        </w:rPr>
        <w:t>Sensing </w:t>
      </w:r>
      <w:r>
        <w:rPr>
          <w:b/>
        </w:rPr>
        <w:t>ABD</w:t>
        <w:tab/>
      </w:r>
      <w:r>
        <w:rPr/>
        <w:t>Aboveground Biomass Density </w:t>
      </w:r>
      <w:r>
        <w:rPr>
          <w:b/>
        </w:rPr>
        <w:t>AGO</w:t>
        <w:tab/>
      </w:r>
      <w:r>
        <w:rPr/>
        <w:t>Australian Greenhouse Gas Office </w:t>
      </w:r>
      <w:r>
        <w:rPr>
          <w:b/>
        </w:rPr>
        <w:t>ANPP</w:t>
        <w:tab/>
      </w:r>
      <w:r>
        <w:rPr/>
        <w:t>Aboveground net primary</w:t>
      </w:r>
    </w:p>
    <w:p>
      <w:pPr>
        <w:pStyle w:val="BodyText"/>
        <w:spacing w:before="2"/>
        <w:ind w:left="1407"/>
      </w:pPr>
      <w:r>
        <w:rPr/>
        <w:t>productivity (g/m</w:t>
      </w:r>
      <w:r>
        <w:rPr>
          <w:vertAlign w:val="superscript"/>
        </w:rPr>
        <w:t>2</w:t>
      </w:r>
      <w:r>
        <w:rPr>
          <w:vertAlign w:val="baseline"/>
        </w:rPr>
        <w:t>/year)</w:t>
      </w:r>
    </w:p>
    <w:p>
      <w:pPr>
        <w:pStyle w:val="BodyText"/>
        <w:tabs>
          <w:tab w:pos="1407" w:val="left" w:leader="none"/>
        </w:tabs>
        <w:spacing w:before="120"/>
        <w:ind w:left="159"/>
      </w:pPr>
      <w:r>
        <w:rPr>
          <w:b/>
        </w:rPr>
        <w:t>ASAR</w:t>
        <w:tab/>
      </w:r>
      <w:r>
        <w:rPr/>
        <w:t>Advanced Synthetic Aperture</w:t>
      </w:r>
      <w:r>
        <w:rPr>
          <w:spacing w:val="-8"/>
        </w:rPr>
        <w:t> </w:t>
      </w:r>
      <w:r>
        <w:rPr/>
        <w:t>Radar</w:t>
      </w:r>
    </w:p>
    <w:p>
      <w:pPr>
        <w:pStyle w:val="BodyText"/>
        <w:tabs>
          <w:tab w:pos="1407" w:val="left" w:leader="none"/>
        </w:tabs>
        <w:spacing w:before="118"/>
        <w:ind w:left="159"/>
      </w:pPr>
      <w:r>
        <w:rPr>
          <w:b/>
        </w:rPr>
        <w:t>ASB</w:t>
        <w:tab/>
      </w:r>
      <w:r>
        <w:rPr/>
        <w:t>Alternatives to slash and</w:t>
      </w:r>
      <w:r>
        <w:rPr>
          <w:spacing w:val="-2"/>
        </w:rPr>
        <w:t> </w:t>
      </w:r>
      <w:r>
        <w:rPr/>
        <w:t>burn</w:t>
      </w:r>
    </w:p>
    <w:p>
      <w:pPr>
        <w:tabs>
          <w:tab w:pos="1407" w:val="left" w:leader="none"/>
        </w:tabs>
        <w:spacing w:before="121"/>
        <w:ind w:left="159" w:right="0" w:firstLine="0"/>
        <w:jc w:val="left"/>
        <w:rPr>
          <w:sz w:val="20"/>
        </w:rPr>
      </w:pPr>
      <w:r>
        <w:rPr>
          <w:b/>
          <w:sz w:val="20"/>
        </w:rPr>
        <w:t>Ave.</w:t>
        <w:tab/>
      </w:r>
      <w:r>
        <w:rPr>
          <w:sz w:val="20"/>
        </w:rPr>
        <w:t>Average</w:t>
      </w:r>
    </w:p>
    <w:p>
      <w:pPr>
        <w:pStyle w:val="BodyText"/>
        <w:tabs>
          <w:tab w:pos="1407" w:val="left" w:leader="none"/>
        </w:tabs>
        <w:spacing w:before="120"/>
        <w:ind w:left="159"/>
      </w:pPr>
      <w:r>
        <w:rPr>
          <w:b/>
        </w:rPr>
        <w:t>AVHRR</w:t>
        <w:tab/>
      </w:r>
      <w:r>
        <w:rPr/>
        <w:t>Advanced Very High</w:t>
      </w:r>
      <w:r>
        <w:rPr>
          <w:spacing w:val="-7"/>
        </w:rPr>
        <w:t> </w:t>
      </w:r>
      <w:r>
        <w:rPr/>
        <w:t>Resolution</w:t>
      </w:r>
    </w:p>
    <w:p>
      <w:pPr>
        <w:pStyle w:val="BodyText"/>
        <w:ind w:left="1407"/>
      </w:pPr>
      <w:r>
        <w:rPr/>
        <w:t>Radiometer</w:t>
      </w:r>
    </w:p>
    <w:p>
      <w:pPr>
        <w:pStyle w:val="BodyText"/>
        <w:tabs>
          <w:tab w:pos="1407" w:val="left" w:leader="none"/>
        </w:tabs>
        <w:spacing w:before="121"/>
        <w:ind w:left="159"/>
      </w:pPr>
      <w:r>
        <w:rPr>
          <w:b/>
        </w:rPr>
        <w:t>BEF</w:t>
        <w:tab/>
      </w:r>
      <w:r>
        <w:rPr/>
        <w:t>Biomass Expansion</w:t>
      </w:r>
      <w:r>
        <w:rPr>
          <w:spacing w:val="-4"/>
        </w:rPr>
        <w:t> </w:t>
      </w:r>
      <w:r>
        <w:rPr/>
        <w:t>Factor</w:t>
      </w:r>
    </w:p>
    <w:p>
      <w:pPr>
        <w:pStyle w:val="BodyText"/>
        <w:tabs>
          <w:tab w:pos="1407" w:val="left" w:leader="none"/>
        </w:tabs>
        <w:spacing w:before="118"/>
        <w:ind w:left="1407" w:right="966" w:hanging="1248"/>
      </w:pPr>
      <w:r>
        <w:rPr>
          <w:b/>
        </w:rPr>
        <w:t>BNPP</w:t>
        <w:tab/>
      </w:r>
      <w:r>
        <w:rPr/>
        <w:t>Belowground net primary productivity</w:t>
      </w:r>
      <w:r>
        <w:rPr>
          <w:spacing w:val="-6"/>
        </w:rPr>
        <w:t> </w:t>
      </w:r>
      <w:r>
        <w:rPr/>
        <w:t>(g/m</w:t>
      </w:r>
      <w:r>
        <w:rPr>
          <w:vertAlign w:val="superscript"/>
        </w:rPr>
        <w:t>2</w:t>
      </w:r>
      <w:r>
        <w:rPr>
          <w:vertAlign w:val="baseline"/>
        </w:rPr>
        <w:t>/year)</w:t>
      </w:r>
    </w:p>
    <w:p>
      <w:pPr>
        <w:tabs>
          <w:tab w:pos="1407" w:val="left" w:leader="none"/>
        </w:tabs>
        <w:spacing w:before="121"/>
        <w:ind w:left="159" w:right="0" w:firstLine="0"/>
        <w:jc w:val="left"/>
        <w:rPr>
          <w:sz w:val="20"/>
        </w:rPr>
      </w:pPr>
      <w:r>
        <w:rPr>
          <w:b/>
          <w:sz w:val="20"/>
        </w:rPr>
        <w:t>C</w:t>
      </w:r>
      <w:r>
        <w:rPr>
          <w:b/>
          <w:spacing w:val="-1"/>
          <w:sz w:val="20"/>
        </w:rPr>
        <w:t> </w:t>
      </w:r>
      <w:r>
        <w:rPr>
          <w:b/>
          <w:sz w:val="20"/>
        </w:rPr>
        <w:t>stock</w:t>
        <w:tab/>
      </w:r>
      <w:r>
        <w:rPr>
          <w:sz w:val="20"/>
        </w:rPr>
        <w:t>Carbon</w:t>
      </w:r>
      <w:r>
        <w:rPr>
          <w:spacing w:val="-1"/>
          <w:sz w:val="20"/>
        </w:rPr>
        <w:t> </w:t>
      </w:r>
      <w:r>
        <w:rPr>
          <w:sz w:val="20"/>
        </w:rPr>
        <w:t>stock</w:t>
      </w:r>
    </w:p>
    <w:p>
      <w:pPr>
        <w:pStyle w:val="BodyText"/>
        <w:tabs>
          <w:tab w:pos="1407" w:val="left" w:leader="none"/>
        </w:tabs>
        <w:spacing w:before="120"/>
        <w:ind w:left="159"/>
      </w:pPr>
      <w:r>
        <w:rPr>
          <w:b/>
        </w:rPr>
        <w:t>CC</w:t>
        <w:tab/>
      </w:r>
      <w:r>
        <w:rPr/>
        <w:t>Crop land remaining</w:t>
      </w:r>
      <w:r>
        <w:rPr>
          <w:spacing w:val="-3"/>
        </w:rPr>
        <w:t> </w:t>
      </w:r>
      <w:r>
        <w:rPr/>
        <w:t>cropland</w:t>
      </w:r>
    </w:p>
    <w:p>
      <w:pPr>
        <w:pStyle w:val="BodyText"/>
        <w:tabs>
          <w:tab w:pos="1407" w:val="left" w:leader="none"/>
        </w:tabs>
        <w:spacing w:before="120"/>
        <w:ind w:left="159"/>
      </w:pPr>
      <w:r>
        <w:rPr>
          <w:b/>
        </w:rPr>
        <w:t>C&amp;I</w:t>
        <w:tab/>
      </w:r>
      <w:r>
        <w:rPr/>
        <w:t>Criteria and</w:t>
      </w:r>
      <w:r>
        <w:rPr>
          <w:spacing w:val="-1"/>
        </w:rPr>
        <w:t> </w:t>
      </w:r>
      <w:r>
        <w:rPr/>
        <w:t>Indicators</w:t>
      </w:r>
    </w:p>
    <w:p>
      <w:pPr>
        <w:pStyle w:val="BodyText"/>
        <w:tabs>
          <w:tab w:pos="1407" w:val="left" w:leader="none"/>
        </w:tabs>
        <w:spacing w:before="121"/>
        <w:ind w:left="159"/>
      </w:pPr>
      <w:r>
        <w:rPr>
          <w:b/>
        </w:rPr>
        <w:t>CBD</w:t>
        <w:tab/>
      </w:r>
      <w:r>
        <w:rPr/>
        <w:t>Convention on Biological</w:t>
      </w:r>
      <w:r>
        <w:rPr>
          <w:spacing w:val="-10"/>
        </w:rPr>
        <w:t> </w:t>
      </w:r>
      <w:r>
        <w:rPr/>
        <w:t>Diversity</w:t>
      </w:r>
    </w:p>
    <w:p>
      <w:pPr>
        <w:pStyle w:val="BodyText"/>
        <w:tabs>
          <w:tab w:pos="1407" w:val="left" w:leader="none"/>
        </w:tabs>
        <w:spacing w:before="118"/>
        <w:ind w:left="159"/>
      </w:pPr>
      <w:r>
        <w:rPr>
          <w:b/>
        </w:rPr>
        <w:t>CDM</w:t>
        <w:tab/>
      </w:r>
      <w:r>
        <w:rPr/>
        <w:t>Clean Development</w:t>
      </w:r>
      <w:r>
        <w:rPr>
          <w:spacing w:val="-3"/>
        </w:rPr>
        <w:t> </w:t>
      </w:r>
      <w:r>
        <w:rPr/>
        <w:t>Mechanism</w:t>
      </w:r>
    </w:p>
    <w:p>
      <w:pPr>
        <w:pStyle w:val="BodyText"/>
        <w:tabs>
          <w:tab w:pos="1407" w:val="left" w:leader="none"/>
        </w:tabs>
        <w:spacing w:before="120"/>
        <w:ind w:left="159"/>
      </w:pPr>
      <w:r>
        <w:rPr>
          <w:b/>
        </w:rPr>
        <w:t>CI</w:t>
        <w:tab/>
      </w:r>
      <w:r>
        <w:rPr/>
        <w:t>Confidence Interval</w:t>
      </w:r>
    </w:p>
    <w:p>
      <w:pPr>
        <w:pStyle w:val="BodyText"/>
        <w:tabs>
          <w:tab w:pos="1407" w:val="left" w:leader="none"/>
        </w:tabs>
        <w:spacing w:before="121"/>
        <w:ind w:left="159"/>
      </w:pPr>
      <w:r>
        <w:rPr>
          <w:b/>
        </w:rPr>
        <w:t>CIFOR</w:t>
        <w:tab/>
      </w:r>
      <w:r>
        <w:rPr/>
        <w:t>Centre for International</w:t>
      </w:r>
      <w:r>
        <w:rPr>
          <w:spacing w:val="-2"/>
        </w:rPr>
        <w:t> </w:t>
      </w:r>
      <w:r>
        <w:rPr/>
        <w:t>Forestry</w:t>
      </w:r>
    </w:p>
    <w:p>
      <w:pPr>
        <w:pStyle w:val="BodyText"/>
        <w:ind w:left="1407"/>
      </w:pPr>
      <w:r>
        <w:rPr/>
        <w:t>Research</w:t>
      </w:r>
    </w:p>
    <w:p>
      <w:pPr>
        <w:pStyle w:val="BodyText"/>
        <w:tabs>
          <w:tab w:pos="1407" w:val="left" w:leader="none"/>
        </w:tabs>
        <w:spacing w:before="121"/>
        <w:ind w:left="159"/>
      </w:pPr>
      <w:r>
        <w:rPr>
          <w:b/>
        </w:rPr>
        <w:t>CLC</w:t>
        <w:tab/>
      </w:r>
      <w:r>
        <w:rPr/>
        <w:t>CORINE Land</w:t>
      </w:r>
      <w:r>
        <w:rPr>
          <w:spacing w:val="3"/>
        </w:rPr>
        <w:t> </w:t>
      </w:r>
      <w:r>
        <w:rPr/>
        <w:t>Cover</w:t>
      </w:r>
    </w:p>
    <w:p>
      <w:pPr>
        <w:pStyle w:val="BodyText"/>
        <w:tabs>
          <w:tab w:pos="1407" w:val="left" w:leader="none"/>
        </w:tabs>
        <w:spacing w:before="120"/>
        <w:ind w:left="159"/>
      </w:pPr>
      <w:r>
        <w:rPr>
          <w:b/>
        </w:rPr>
        <w:t>COP</w:t>
        <w:tab/>
      </w:r>
      <w:r>
        <w:rPr/>
        <w:t>Conference of the</w:t>
      </w:r>
      <w:r>
        <w:rPr>
          <w:spacing w:val="-2"/>
        </w:rPr>
        <w:t> </w:t>
      </w:r>
      <w:r>
        <w:rPr/>
        <w:t>Parties</w:t>
      </w:r>
    </w:p>
    <w:p>
      <w:pPr>
        <w:pStyle w:val="BodyText"/>
        <w:tabs>
          <w:tab w:pos="1407" w:val="left" w:leader="none"/>
        </w:tabs>
        <w:spacing w:before="118"/>
        <w:ind w:left="1407" w:right="417" w:hanging="1248"/>
      </w:pPr>
      <w:r>
        <w:rPr>
          <w:b/>
        </w:rPr>
        <w:t>CORINE</w:t>
        <w:tab/>
      </w:r>
      <w:r>
        <w:rPr/>
        <w:t>Cordination de l’Information sur l’Environnement</w:t>
      </w:r>
    </w:p>
    <w:p>
      <w:pPr>
        <w:pStyle w:val="BodyText"/>
        <w:tabs>
          <w:tab w:pos="1407" w:val="left" w:leader="none"/>
        </w:tabs>
        <w:spacing w:before="121"/>
        <w:ind w:left="159"/>
      </w:pPr>
      <w:r>
        <w:rPr>
          <w:b/>
        </w:rPr>
        <w:t>CRP</w:t>
        <w:tab/>
      </w:r>
      <w:r>
        <w:rPr/>
        <w:t>Conservation Reserve</w:t>
      </w:r>
      <w:r>
        <w:rPr>
          <w:spacing w:val="-3"/>
        </w:rPr>
        <w:t> </w:t>
      </w:r>
      <w:r>
        <w:rPr/>
        <w:t>Programme</w:t>
      </w:r>
    </w:p>
    <w:p>
      <w:pPr>
        <w:pStyle w:val="BodyText"/>
        <w:tabs>
          <w:tab w:pos="1407" w:val="left" w:leader="none"/>
        </w:tabs>
        <w:spacing w:before="120"/>
        <w:ind w:left="159"/>
      </w:pPr>
      <w:r>
        <w:rPr>
          <w:b/>
        </w:rPr>
        <w:t>CSIRO</w:t>
        <w:tab/>
      </w:r>
      <w:r>
        <w:rPr/>
        <w:t>Commonwealth Scientific</w:t>
      </w:r>
      <w:r>
        <w:rPr>
          <w:spacing w:val="-1"/>
        </w:rPr>
        <w:t> </w:t>
      </w:r>
      <w:r>
        <w:rPr/>
        <w:t>and</w:t>
      </w:r>
    </w:p>
    <w:p>
      <w:pPr>
        <w:pStyle w:val="BodyText"/>
        <w:spacing w:before="1"/>
        <w:ind w:left="1407"/>
      </w:pPr>
      <w:r>
        <w:rPr/>
        <w:t>Industrial Research Organisation</w:t>
      </w:r>
    </w:p>
    <w:p>
      <w:pPr>
        <w:pStyle w:val="BodyText"/>
        <w:tabs>
          <w:tab w:pos="1407" w:val="left" w:leader="none"/>
        </w:tabs>
        <w:spacing w:before="120"/>
        <w:ind w:left="159"/>
      </w:pPr>
      <w:r>
        <w:rPr>
          <w:b/>
        </w:rPr>
        <w:t>CT</w:t>
        <w:tab/>
      </w:r>
      <w:r>
        <w:rPr/>
        <w:t>Conventional</w:t>
      </w:r>
      <w:r>
        <w:rPr>
          <w:spacing w:val="-1"/>
        </w:rPr>
        <w:t> </w:t>
      </w:r>
      <w:r>
        <w:rPr/>
        <w:t>till</w:t>
      </w:r>
    </w:p>
    <w:p>
      <w:pPr>
        <w:pStyle w:val="BodyText"/>
        <w:tabs>
          <w:tab w:pos="1407" w:val="left" w:leader="none"/>
        </w:tabs>
        <w:spacing w:before="118"/>
        <w:ind w:left="1407" w:right="961" w:hanging="1248"/>
      </w:pPr>
      <w:r>
        <w:rPr>
          <w:b/>
        </w:rPr>
        <w:t>CTIC</w:t>
        <w:tab/>
      </w:r>
      <w:r>
        <w:rPr/>
        <w:t>Conservation Technology Information</w:t>
      </w:r>
      <w:r>
        <w:rPr>
          <w:spacing w:val="-2"/>
        </w:rPr>
        <w:t> </w:t>
      </w:r>
      <w:r>
        <w:rPr/>
        <w:t>Center</w:t>
      </w:r>
    </w:p>
    <w:p>
      <w:pPr>
        <w:pStyle w:val="BodyText"/>
        <w:tabs>
          <w:tab w:pos="1407" w:val="left" w:leader="none"/>
        </w:tabs>
        <w:spacing w:before="121"/>
        <w:ind w:left="159"/>
      </w:pPr>
      <w:r>
        <w:rPr>
          <w:b/>
        </w:rPr>
        <w:t>D</w:t>
        <w:tab/>
      </w:r>
      <w:r>
        <w:rPr/>
        <w:t>Wood</w:t>
      </w:r>
      <w:r>
        <w:rPr>
          <w:spacing w:val="-2"/>
        </w:rPr>
        <w:t> </w:t>
      </w:r>
      <w:r>
        <w:rPr/>
        <w:t>density</w:t>
      </w:r>
    </w:p>
    <w:p>
      <w:pPr>
        <w:tabs>
          <w:tab w:pos="1407" w:val="left" w:leader="none"/>
        </w:tabs>
        <w:spacing w:before="120"/>
        <w:ind w:left="159" w:right="0" w:firstLine="0"/>
        <w:jc w:val="left"/>
        <w:rPr>
          <w:sz w:val="20"/>
        </w:rPr>
      </w:pPr>
      <w:r>
        <w:rPr>
          <w:b/>
          <w:sz w:val="20"/>
        </w:rPr>
        <w:t>d.m.</w:t>
        <w:tab/>
      </w:r>
      <w:r>
        <w:rPr>
          <w:sz w:val="20"/>
        </w:rPr>
        <w:t>Dry</w:t>
      </w:r>
      <w:r>
        <w:rPr>
          <w:spacing w:val="-2"/>
          <w:sz w:val="20"/>
        </w:rPr>
        <w:t> </w:t>
      </w:r>
      <w:r>
        <w:rPr>
          <w:sz w:val="20"/>
        </w:rPr>
        <w:t>matter</w:t>
      </w:r>
    </w:p>
    <w:p>
      <w:pPr>
        <w:pStyle w:val="BodyText"/>
        <w:tabs>
          <w:tab w:pos="1407" w:val="left" w:leader="none"/>
        </w:tabs>
        <w:spacing w:before="121"/>
        <w:ind w:left="159"/>
      </w:pPr>
      <w:r>
        <w:rPr>
          <w:b/>
        </w:rPr>
        <w:t>DAAC</w:t>
        <w:tab/>
      </w:r>
      <w:r>
        <w:rPr/>
        <w:t>Distributed Active Archive Centre</w:t>
      </w:r>
    </w:p>
    <w:p>
      <w:pPr>
        <w:pStyle w:val="BodyText"/>
        <w:tabs>
          <w:tab w:pos="1407" w:val="left" w:leader="none"/>
        </w:tabs>
        <w:spacing w:before="118"/>
        <w:ind w:left="159"/>
      </w:pPr>
      <w:r>
        <w:rPr>
          <w:b/>
        </w:rPr>
        <w:t>dbh</w:t>
        <w:tab/>
      </w:r>
      <w:r>
        <w:rPr/>
        <w:t>Diameter at Breast</w:t>
      </w:r>
      <w:r>
        <w:rPr>
          <w:spacing w:val="-2"/>
        </w:rPr>
        <w:t> </w:t>
      </w:r>
      <w:r>
        <w:rPr/>
        <w:t>Height</w:t>
      </w:r>
    </w:p>
    <w:p>
      <w:pPr>
        <w:pStyle w:val="BodyText"/>
        <w:tabs>
          <w:tab w:pos="1407" w:val="left" w:leader="none"/>
        </w:tabs>
        <w:spacing w:before="120"/>
        <w:ind w:left="159"/>
      </w:pPr>
      <w:r>
        <w:rPr>
          <w:b/>
        </w:rPr>
        <w:t>DOC</w:t>
        <w:tab/>
      </w:r>
      <w:r>
        <w:rPr/>
        <w:t>Dead Organic</w:t>
      </w:r>
      <w:r>
        <w:rPr>
          <w:spacing w:val="3"/>
        </w:rPr>
        <w:t> </w:t>
      </w:r>
      <w:r>
        <w:rPr/>
        <w:t>Carbon</w:t>
      </w:r>
    </w:p>
    <w:p>
      <w:pPr>
        <w:pStyle w:val="BodyText"/>
        <w:tabs>
          <w:tab w:pos="1407" w:val="left" w:leader="none"/>
        </w:tabs>
        <w:spacing w:before="121"/>
        <w:ind w:left="159"/>
      </w:pPr>
      <w:r>
        <w:rPr>
          <w:b/>
        </w:rPr>
        <w:t>DOM</w:t>
        <w:tab/>
      </w:r>
      <w:r>
        <w:rPr/>
        <w:t>Dead Organic</w:t>
      </w:r>
      <w:r>
        <w:rPr>
          <w:spacing w:val="-1"/>
        </w:rPr>
        <w:t> </w:t>
      </w:r>
      <w:r>
        <w:rPr/>
        <w:t>Matter</w:t>
      </w:r>
    </w:p>
    <w:p>
      <w:pPr>
        <w:pStyle w:val="BodyText"/>
        <w:tabs>
          <w:tab w:pos="1407" w:val="left" w:leader="none"/>
        </w:tabs>
        <w:spacing w:before="120"/>
        <w:ind w:left="159"/>
      </w:pPr>
      <w:r>
        <w:rPr>
          <w:b/>
        </w:rPr>
        <w:t>EF</w:t>
        <w:tab/>
      </w:r>
      <w:r>
        <w:rPr/>
        <w:t>Emission factor</w:t>
      </w:r>
    </w:p>
    <w:p>
      <w:pPr>
        <w:pStyle w:val="BodyText"/>
        <w:tabs>
          <w:tab w:pos="1407" w:val="left" w:leader="none"/>
        </w:tabs>
        <w:spacing w:before="120"/>
        <w:ind w:left="159"/>
      </w:pPr>
      <w:r>
        <w:rPr>
          <w:b/>
        </w:rPr>
        <w:t>EIT</w:t>
        <w:tab/>
      </w:r>
      <w:r>
        <w:rPr/>
        <w:t>Economies in</w:t>
      </w:r>
      <w:r>
        <w:rPr>
          <w:spacing w:val="-2"/>
        </w:rPr>
        <w:t> </w:t>
      </w:r>
      <w:r>
        <w:rPr/>
        <w:t>Transition</w:t>
      </w:r>
    </w:p>
    <w:p>
      <w:pPr>
        <w:pStyle w:val="BodyText"/>
        <w:tabs>
          <w:tab w:pos="1407" w:val="left" w:leader="none"/>
        </w:tabs>
        <w:spacing w:line="229" w:lineRule="exact" w:before="121"/>
        <w:ind w:left="159"/>
      </w:pPr>
      <w:r>
        <w:rPr>
          <w:b/>
        </w:rPr>
        <w:t>EMEP</w:t>
        <w:tab/>
      </w:r>
      <w:r>
        <w:rPr/>
        <w:t>Co-operative Programme</w:t>
      </w:r>
      <w:r>
        <w:rPr>
          <w:spacing w:val="-2"/>
        </w:rPr>
        <w:t> </w:t>
      </w:r>
      <w:r>
        <w:rPr/>
        <w:t>for</w:t>
      </w:r>
    </w:p>
    <w:p>
      <w:pPr>
        <w:pStyle w:val="BodyText"/>
        <w:ind w:left="1407" w:right="258"/>
      </w:pPr>
      <w:r>
        <w:rPr/>
        <w:t>Monitoring and Evaluation of the Long-Range Transmissions of Air Pollutants in Europe</w:t>
      </w:r>
    </w:p>
    <w:p>
      <w:pPr>
        <w:tabs>
          <w:tab w:pos="1407" w:val="left" w:leader="none"/>
        </w:tabs>
        <w:spacing w:before="120"/>
        <w:ind w:left="159" w:right="0" w:firstLine="0"/>
        <w:jc w:val="left"/>
        <w:rPr>
          <w:sz w:val="20"/>
        </w:rPr>
      </w:pPr>
      <w:r>
        <w:rPr>
          <w:b/>
          <w:sz w:val="20"/>
        </w:rPr>
        <w:t>ES</w:t>
        <w:tab/>
      </w:r>
      <w:r>
        <w:rPr>
          <w:sz w:val="20"/>
        </w:rPr>
        <w:t>Estimate</w:t>
      </w:r>
    </w:p>
    <w:p>
      <w:pPr>
        <w:pStyle w:val="BodyText"/>
        <w:spacing w:before="2"/>
        <w:rPr>
          <w:sz w:val="18"/>
        </w:rPr>
      </w:pPr>
      <w:r>
        <w:rPr/>
        <w:br w:type="column"/>
      </w:r>
      <w:r>
        <w:rPr>
          <w:sz w:val="18"/>
        </w:rPr>
      </w:r>
    </w:p>
    <w:p>
      <w:pPr>
        <w:pStyle w:val="BodyText"/>
        <w:tabs>
          <w:tab w:pos="1407" w:val="left" w:leader="none"/>
        </w:tabs>
        <w:ind w:left="159"/>
      </w:pPr>
      <w:r>
        <w:rPr>
          <w:b/>
        </w:rPr>
        <w:t>ESE</w:t>
        <w:tab/>
      </w:r>
      <w:r>
        <w:rPr/>
        <w:t>Earth Science Enterprise –</w:t>
      </w:r>
      <w:r>
        <w:rPr>
          <w:spacing w:val="-7"/>
        </w:rPr>
        <w:t> </w:t>
      </w:r>
      <w:r>
        <w:rPr/>
        <w:t>(NASA)</w:t>
      </w:r>
    </w:p>
    <w:p>
      <w:pPr>
        <w:pStyle w:val="BodyText"/>
        <w:tabs>
          <w:tab w:pos="1407" w:val="left" w:leader="none"/>
        </w:tabs>
        <w:spacing w:before="120"/>
        <w:ind w:left="159"/>
      </w:pPr>
      <w:r>
        <w:rPr>
          <w:b/>
        </w:rPr>
        <w:t>ESRI</w:t>
        <w:tab/>
      </w:r>
      <w:r>
        <w:rPr/>
        <w:t>Environmental Systems</w:t>
      </w:r>
      <w:r>
        <w:rPr>
          <w:spacing w:val="-4"/>
        </w:rPr>
        <w:t> </w:t>
      </w:r>
      <w:r>
        <w:rPr/>
        <w:t>Research</w:t>
      </w:r>
    </w:p>
    <w:p>
      <w:pPr>
        <w:pStyle w:val="BodyText"/>
        <w:spacing w:before="1"/>
        <w:ind w:left="1109" w:right="2220"/>
        <w:jc w:val="center"/>
      </w:pPr>
      <w:r>
        <w:rPr/>
        <w:t>Institute</w:t>
      </w:r>
    </w:p>
    <w:p>
      <w:pPr>
        <w:pStyle w:val="BodyText"/>
        <w:tabs>
          <w:tab w:pos="1407" w:val="left" w:leader="none"/>
        </w:tabs>
        <w:spacing w:before="120"/>
        <w:ind w:left="159"/>
      </w:pPr>
      <w:r>
        <w:rPr>
          <w:b/>
        </w:rPr>
        <w:t>ETM+</w:t>
        <w:tab/>
      </w:r>
      <w:r>
        <w:rPr/>
        <w:t>Enhanced Thematic Mapper</w:t>
      </w:r>
      <w:r>
        <w:rPr>
          <w:spacing w:val="-2"/>
        </w:rPr>
        <w:t> </w:t>
      </w:r>
      <w:r>
        <w:rPr/>
        <w:t>Plus</w:t>
      </w:r>
    </w:p>
    <w:p>
      <w:pPr>
        <w:pStyle w:val="BodyText"/>
        <w:tabs>
          <w:tab w:pos="1407" w:val="left" w:leader="none"/>
        </w:tabs>
        <w:spacing w:before="121"/>
        <w:ind w:left="159"/>
      </w:pPr>
      <w:r>
        <w:rPr>
          <w:b/>
        </w:rPr>
        <w:t>EU</w:t>
        <w:tab/>
      </w:r>
      <w:r>
        <w:rPr/>
        <w:t>European</w:t>
      </w:r>
      <w:r>
        <w:rPr>
          <w:spacing w:val="-2"/>
        </w:rPr>
        <w:t> </w:t>
      </w:r>
      <w:r>
        <w:rPr/>
        <w:t>Union</w:t>
      </w:r>
    </w:p>
    <w:p>
      <w:pPr>
        <w:pStyle w:val="BodyText"/>
        <w:tabs>
          <w:tab w:pos="1407" w:val="left" w:leader="none"/>
        </w:tabs>
        <w:spacing w:before="120"/>
        <w:ind w:left="159"/>
      </w:pPr>
      <w:r>
        <w:rPr>
          <w:b/>
        </w:rPr>
        <w:t>FAO</w:t>
        <w:tab/>
      </w:r>
      <w:r>
        <w:rPr/>
        <w:t>FAO Statistical</w:t>
      </w:r>
      <w:r>
        <w:rPr>
          <w:spacing w:val="-1"/>
        </w:rPr>
        <w:t> </w:t>
      </w:r>
      <w:r>
        <w:rPr/>
        <w:t>Database</w:t>
      </w:r>
    </w:p>
    <w:p>
      <w:pPr>
        <w:pStyle w:val="BodyText"/>
        <w:tabs>
          <w:tab w:pos="1407" w:val="left" w:leader="none"/>
        </w:tabs>
        <w:spacing w:before="118"/>
        <w:ind w:left="159"/>
      </w:pPr>
      <w:r>
        <w:rPr>
          <w:b/>
        </w:rPr>
        <w:t>FAOSTAT</w:t>
        <w:tab/>
      </w:r>
      <w:r>
        <w:rPr/>
        <w:t>Food and Agriculture</w:t>
      </w:r>
      <w:r>
        <w:rPr>
          <w:spacing w:val="-2"/>
        </w:rPr>
        <w:t> </w:t>
      </w:r>
      <w:r>
        <w:rPr/>
        <w:t>Statistical</w:t>
      </w:r>
    </w:p>
    <w:p>
      <w:pPr>
        <w:pStyle w:val="BodyText"/>
        <w:ind w:left="1188" w:right="2220"/>
        <w:jc w:val="center"/>
      </w:pPr>
      <w:r>
        <w:rPr/>
        <w:t>Database</w:t>
      </w:r>
    </w:p>
    <w:p>
      <w:pPr>
        <w:pStyle w:val="BodyText"/>
        <w:tabs>
          <w:tab w:pos="1407" w:val="left" w:leader="none"/>
        </w:tabs>
        <w:spacing w:before="121"/>
        <w:ind w:left="159"/>
      </w:pPr>
      <w:r>
        <w:rPr>
          <w:b/>
        </w:rPr>
        <w:t>FF</w:t>
        <w:tab/>
      </w:r>
      <w:r>
        <w:rPr/>
        <w:t>Forest land remaining forest</w:t>
      </w:r>
      <w:r>
        <w:rPr>
          <w:spacing w:val="-4"/>
        </w:rPr>
        <w:t> </w:t>
      </w:r>
      <w:r>
        <w:rPr/>
        <w:t>land</w:t>
      </w:r>
    </w:p>
    <w:p>
      <w:pPr>
        <w:pStyle w:val="BodyText"/>
        <w:tabs>
          <w:tab w:pos="1407" w:val="left" w:leader="none"/>
        </w:tabs>
        <w:spacing w:before="120"/>
        <w:ind w:left="159"/>
      </w:pPr>
      <w:r>
        <w:rPr>
          <w:b/>
        </w:rPr>
        <w:t>FIA</w:t>
        <w:tab/>
      </w:r>
      <w:r>
        <w:rPr/>
        <w:t>Forest Inventory and</w:t>
      </w:r>
      <w:r>
        <w:rPr>
          <w:spacing w:val="-5"/>
        </w:rPr>
        <w:t> </w:t>
      </w:r>
      <w:r>
        <w:rPr/>
        <w:t>Analysis</w:t>
      </w:r>
    </w:p>
    <w:p>
      <w:pPr>
        <w:pStyle w:val="BodyText"/>
        <w:tabs>
          <w:tab w:pos="1407" w:val="left" w:leader="none"/>
        </w:tabs>
        <w:spacing w:before="121"/>
        <w:ind w:left="159"/>
      </w:pPr>
      <w:r>
        <w:rPr>
          <w:b/>
        </w:rPr>
        <w:t>FRA</w:t>
        <w:tab/>
      </w:r>
      <w:r>
        <w:rPr/>
        <w:t>Forest Resource</w:t>
      </w:r>
      <w:r>
        <w:rPr>
          <w:spacing w:val="-3"/>
        </w:rPr>
        <w:t> </w:t>
      </w:r>
      <w:r>
        <w:rPr/>
        <w:t>Assessment</w:t>
      </w:r>
    </w:p>
    <w:p>
      <w:pPr>
        <w:pStyle w:val="BodyText"/>
        <w:tabs>
          <w:tab w:pos="1407" w:val="left" w:leader="none"/>
        </w:tabs>
        <w:spacing w:before="118"/>
        <w:ind w:left="159"/>
      </w:pPr>
      <w:r>
        <w:rPr>
          <w:b/>
        </w:rPr>
        <w:t>GBC</w:t>
        <w:tab/>
      </w:r>
      <w:r>
        <w:rPr/>
        <w:t>Green building</w:t>
      </w:r>
      <w:r>
        <w:rPr>
          <w:spacing w:val="-3"/>
        </w:rPr>
        <w:t> </w:t>
      </w:r>
      <w:r>
        <w:rPr/>
        <w:t>challenge</w:t>
      </w:r>
    </w:p>
    <w:p>
      <w:pPr>
        <w:pStyle w:val="BodyText"/>
        <w:tabs>
          <w:tab w:pos="1407" w:val="left" w:leader="none"/>
        </w:tabs>
        <w:spacing w:before="120"/>
        <w:ind w:left="159"/>
      </w:pPr>
      <w:r>
        <w:rPr>
          <w:b/>
        </w:rPr>
        <w:t>GCOS</w:t>
        <w:tab/>
      </w:r>
      <w:r>
        <w:rPr/>
        <w:t>Global Climate Observing</w:t>
      </w:r>
      <w:r>
        <w:rPr>
          <w:spacing w:val="-3"/>
        </w:rPr>
        <w:t> </w:t>
      </w:r>
      <w:r>
        <w:rPr/>
        <w:t>System</w:t>
      </w:r>
    </w:p>
    <w:p>
      <w:pPr>
        <w:pStyle w:val="BodyText"/>
        <w:tabs>
          <w:tab w:pos="1407" w:val="left" w:leader="none"/>
        </w:tabs>
        <w:spacing w:before="121"/>
        <w:ind w:left="159"/>
      </w:pPr>
      <w:r>
        <w:rPr>
          <w:b/>
        </w:rPr>
        <w:t>GG</w:t>
        <w:tab/>
      </w:r>
      <w:r>
        <w:rPr/>
        <w:t>Grassland remaining</w:t>
      </w:r>
      <w:r>
        <w:rPr>
          <w:spacing w:val="-2"/>
        </w:rPr>
        <w:t> </w:t>
      </w:r>
      <w:r>
        <w:rPr/>
        <w:t>grassland</w:t>
      </w:r>
    </w:p>
    <w:p>
      <w:pPr>
        <w:tabs>
          <w:tab w:pos="1407" w:val="left" w:leader="none"/>
        </w:tabs>
        <w:spacing w:before="120"/>
        <w:ind w:left="159" w:right="0" w:firstLine="0"/>
        <w:jc w:val="left"/>
        <w:rPr>
          <w:sz w:val="20"/>
        </w:rPr>
      </w:pPr>
      <w:r>
        <w:rPr>
          <w:b/>
          <w:sz w:val="20"/>
        </w:rPr>
        <w:t>GHG</w:t>
        <w:tab/>
      </w:r>
      <w:r>
        <w:rPr>
          <w:sz w:val="20"/>
        </w:rPr>
        <w:t>Greenhouse</w:t>
      </w:r>
      <w:r>
        <w:rPr>
          <w:spacing w:val="-1"/>
          <w:sz w:val="20"/>
        </w:rPr>
        <w:t> </w:t>
      </w:r>
      <w:r>
        <w:rPr>
          <w:sz w:val="20"/>
        </w:rPr>
        <w:t>Gas</w:t>
      </w:r>
    </w:p>
    <w:p>
      <w:pPr>
        <w:pStyle w:val="BodyText"/>
        <w:tabs>
          <w:tab w:pos="1407" w:val="left" w:leader="none"/>
        </w:tabs>
        <w:spacing w:before="120"/>
        <w:ind w:left="159"/>
      </w:pPr>
      <w:r>
        <w:rPr>
          <w:b/>
        </w:rPr>
        <w:t>GIS</w:t>
        <w:tab/>
      </w:r>
      <w:r>
        <w:rPr/>
        <w:t>Geographic Information</w:t>
      </w:r>
      <w:r>
        <w:rPr>
          <w:spacing w:val="-3"/>
        </w:rPr>
        <w:t> </w:t>
      </w:r>
      <w:r>
        <w:rPr/>
        <w:t>System</w:t>
      </w:r>
    </w:p>
    <w:p>
      <w:pPr>
        <w:pStyle w:val="BodyText"/>
        <w:tabs>
          <w:tab w:pos="1407" w:val="left" w:leader="none"/>
        </w:tabs>
        <w:spacing w:before="121"/>
        <w:ind w:left="159"/>
      </w:pPr>
      <w:r>
        <w:rPr>
          <w:b/>
        </w:rPr>
        <w:t>GLCF</w:t>
        <w:tab/>
      </w:r>
      <w:r>
        <w:rPr/>
        <w:t>Global Land Cover</w:t>
      </w:r>
      <w:r>
        <w:rPr>
          <w:spacing w:val="-2"/>
        </w:rPr>
        <w:t> </w:t>
      </w:r>
      <w:r>
        <w:rPr/>
        <w:t>Facility</w:t>
      </w:r>
    </w:p>
    <w:p>
      <w:pPr>
        <w:pStyle w:val="BodyText"/>
        <w:tabs>
          <w:tab w:pos="1407" w:val="left" w:leader="none"/>
        </w:tabs>
        <w:spacing w:before="118"/>
        <w:ind w:left="159"/>
      </w:pPr>
      <w:r>
        <w:rPr>
          <w:b/>
        </w:rPr>
        <w:t>GPG</w:t>
        <w:tab/>
      </w:r>
      <w:r>
        <w:rPr/>
        <w:t>Good Practice</w:t>
      </w:r>
      <w:r>
        <w:rPr>
          <w:spacing w:val="-2"/>
        </w:rPr>
        <w:t> </w:t>
      </w:r>
      <w:r>
        <w:rPr/>
        <w:t>Guidance</w:t>
      </w:r>
    </w:p>
    <w:p>
      <w:pPr>
        <w:tabs>
          <w:tab w:pos="1407" w:val="left" w:leader="none"/>
        </w:tabs>
        <w:spacing w:before="120"/>
        <w:ind w:left="159" w:right="0" w:firstLine="0"/>
        <w:jc w:val="left"/>
        <w:rPr>
          <w:sz w:val="20"/>
        </w:rPr>
      </w:pPr>
      <w:r>
        <w:rPr>
          <w:b/>
          <w:sz w:val="20"/>
        </w:rPr>
        <w:t>GPG2000</w:t>
        <w:tab/>
      </w:r>
      <w:r>
        <w:rPr>
          <w:sz w:val="20"/>
        </w:rPr>
        <w:t>IPCC Good Practice Guidance</w:t>
      </w:r>
      <w:r>
        <w:rPr>
          <w:spacing w:val="-6"/>
          <w:sz w:val="20"/>
        </w:rPr>
        <w:t> </w:t>
      </w:r>
      <w:r>
        <w:rPr>
          <w:sz w:val="20"/>
        </w:rPr>
        <w:t>and</w:t>
      </w:r>
    </w:p>
    <w:p>
      <w:pPr>
        <w:pStyle w:val="BodyText"/>
        <w:spacing w:before="1"/>
        <w:ind w:left="1407"/>
      </w:pPr>
      <w:r>
        <w:rPr/>
        <w:t>Uncertainty Management in</w:t>
      </w:r>
    </w:p>
    <w:p>
      <w:pPr>
        <w:pStyle w:val="BodyText"/>
        <w:ind w:left="1407"/>
      </w:pPr>
      <w:r>
        <w:rPr/>
        <w:t>National Greenhouse Gas Inventories</w:t>
      </w:r>
    </w:p>
    <w:p>
      <w:pPr>
        <w:pStyle w:val="BodyText"/>
        <w:tabs>
          <w:tab w:pos="1407" w:val="left" w:leader="none"/>
        </w:tabs>
        <w:spacing w:before="120"/>
        <w:ind w:left="159"/>
      </w:pPr>
      <w:r>
        <w:rPr>
          <w:b/>
        </w:rPr>
        <w:t>GPP</w:t>
        <w:tab/>
      </w:r>
      <w:r>
        <w:rPr/>
        <w:t>Gross Primary</w:t>
      </w:r>
      <w:r>
        <w:rPr>
          <w:spacing w:val="-3"/>
        </w:rPr>
        <w:t> </w:t>
      </w:r>
      <w:r>
        <w:rPr/>
        <w:t>Production</w:t>
      </w:r>
    </w:p>
    <w:p>
      <w:pPr>
        <w:pStyle w:val="BodyText"/>
        <w:tabs>
          <w:tab w:pos="1407" w:val="left" w:leader="none"/>
        </w:tabs>
        <w:spacing w:before="121"/>
        <w:ind w:left="159"/>
      </w:pPr>
      <w:r>
        <w:rPr>
          <w:b/>
        </w:rPr>
        <w:t>GPS</w:t>
        <w:tab/>
      </w:r>
      <w:r>
        <w:rPr/>
        <w:t>Global Positioning</w:t>
      </w:r>
      <w:r>
        <w:rPr>
          <w:spacing w:val="-1"/>
        </w:rPr>
        <w:t> </w:t>
      </w:r>
      <w:r>
        <w:rPr/>
        <w:t>System</w:t>
      </w:r>
    </w:p>
    <w:p>
      <w:pPr>
        <w:pStyle w:val="BodyText"/>
        <w:tabs>
          <w:tab w:pos="1407" w:val="left" w:leader="none"/>
        </w:tabs>
        <w:spacing w:before="118"/>
        <w:ind w:left="159"/>
      </w:pPr>
      <w:r>
        <w:rPr>
          <w:b/>
        </w:rPr>
        <w:t>GTOS</w:t>
        <w:tab/>
      </w:r>
      <w:r>
        <w:rPr/>
        <w:t>Global Terrestrial Observing</w:t>
      </w:r>
      <w:r>
        <w:rPr>
          <w:spacing w:val="-6"/>
        </w:rPr>
        <w:t> </w:t>
      </w:r>
      <w:r>
        <w:rPr/>
        <w:t>System</w:t>
      </w:r>
    </w:p>
    <w:p>
      <w:pPr>
        <w:pStyle w:val="BodyText"/>
        <w:tabs>
          <w:tab w:pos="1407" w:val="left" w:leader="none"/>
        </w:tabs>
        <w:spacing w:before="120"/>
        <w:ind w:left="159"/>
      </w:pPr>
      <w:r>
        <w:rPr>
          <w:b/>
        </w:rPr>
        <w:t>GWP</w:t>
        <w:tab/>
      </w:r>
      <w:r>
        <w:rPr/>
        <w:t>Global Warming</w:t>
      </w:r>
      <w:r>
        <w:rPr>
          <w:spacing w:val="-2"/>
        </w:rPr>
        <w:t> </w:t>
      </w:r>
      <w:r>
        <w:rPr/>
        <w:t>Potential</w:t>
      </w:r>
    </w:p>
    <w:p>
      <w:pPr>
        <w:pStyle w:val="BodyText"/>
        <w:tabs>
          <w:tab w:pos="1407" w:val="left" w:leader="none"/>
        </w:tabs>
        <w:spacing w:before="121"/>
        <w:ind w:left="159"/>
      </w:pPr>
      <w:r>
        <w:rPr>
          <w:b/>
        </w:rPr>
        <w:t>HAC</w:t>
        <w:tab/>
      </w:r>
      <w:r>
        <w:rPr/>
        <w:t>High activity</w:t>
      </w:r>
      <w:r>
        <w:rPr>
          <w:spacing w:val="-5"/>
        </w:rPr>
        <w:t> </w:t>
      </w:r>
      <w:r>
        <w:rPr/>
        <w:t>clay</w:t>
      </w:r>
    </w:p>
    <w:p>
      <w:pPr>
        <w:pStyle w:val="BodyText"/>
        <w:tabs>
          <w:tab w:pos="1407" w:val="left" w:leader="none"/>
        </w:tabs>
        <w:spacing w:before="120"/>
        <w:ind w:left="159"/>
      </w:pPr>
      <w:r>
        <w:rPr>
          <w:b/>
        </w:rPr>
        <w:t>HT</w:t>
        <w:tab/>
      </w:r>
      <w:r>
        <w:rPr/>
        <w:t>Total</w:t>
      </w:r>
      <w:r>
        <w:rPr>
          <w:spacing w:val="-1"/>
        </w:rPr>
        <w:t> </w:t>
      </w:r>
      <w:r>
        <w:rPr/>
        <w:t>height</w:t>
      </w:r>
    </w:p>
    <w:p>
      <w:pPr>
        <w:pStyle w:val="BodyText"/>
        <w:tabs>
          <w:tab w:pos="1407" w:val="left" w:leader="none"/>
        </w:tabs>
        <w:spacing w:before="121"/>
        <w:ind w:left="159"/>
      </w:pPr>
      <w:r>
        <w:rPr>
          <w:b/>
        </w:rPr>
        <w:t>ICOD</w:t>
        <w:tab/>
      </w:r>
      <w:r>
        <w:rPr/>
        <w:t>International Commission on</w:t>
      </w:r>
      <w:r>
        <w:rPr>
          <w:spacing w:val="-4"/>
        </w:rPr>
        <w:t> </w:t>
      </w:r>
      <w:r>
        <w:rPr/>
        <w:t>Large</w:t>
      </w:r>
    </w:p>
    <w:p>
      <w:pPr>
        <w:pStyle w:val="BodyText"/>
        <w:ind w:left="1407"/>
      </w:pPr>
      <w:r>
        <w:rPr/>
        <w:t>Dams</w:t>
      </w:r>
    </w:p>
    <w:p>
      <w:pPr>
        <w:pStyle w:val="BodyText"/>
        <w:tabs>
          <w:tab w:pos="1407" w:val="left" w:leader="none"/>
        </w:tabs>
        <w:spacing w:before="118"/>
        <w:ind w:left="1407" w:right="1125" w:hanging="1248"/>
      </w:pPr>
      <w:r>
        <w:rPr>
          <w:b/>
        </w:rPr>
        <w:t>ICP</w:t>
        <w:tab/>
      </w:r>
      <w:r>
        <w:rPr/>
        <w:t>International</w:t>
      </w:r>
      <w:r>
        <w:rPr>
          <w:spacing w:val="-14"/>
        </w:rPr>
        <w:t> </w:t>
      </w:r>
      <w:r>
        <w:rPr/>
        <w:t>Cooperative Programme</w:t>
      </w:r>
    </w:p>
    <w:p>
      <w:pPr>
        <w:pStyle w:val="BodyText"/>
        <w:tabs>
          <w:tab w:pos="1407" w:val="left" w:leader="none"/>
        </w:tabs>
        <w:spacing w:before="121"/>
        <w:ind w:left="159"/>
      </w:pPr>
      <w:r>
        <w:rPr>
          <w:b/>
        </w:rPr>
        <w:t>ID</w:t>
        <w:tab/>
      </w:r>
      <w:r>
        <w:rPr/>
        <w:t>Identification</w:t>
      </w:r>
    </w:p>
    <w:p>
      <w:pPr>
        <w:pStyle w:val="BodyText"/>
        <w:tabs>
          <w:tab w:pos="1407" w:val="left" w:leader="none"/>
        </w:tabs>
        <w:spacing w:before="120"/>
        <w:ind w:left="159"/>
      </w:pPr>
      <w:r>
        <w:rPr>
          <w:b/>
        </w:rPr>
        <w:t>IGBP</w:t>
        <w:tab/>
      </w:r>
      <w:r>
        <w:rPr/>
        <w:t>International</w:t>
      </w:r>
      <w:r>
        <w:rPr>
          <w:spacing w:val="-3"/>
        </w:rPr>
        <w:t> </w:t>
      </w:r>
      <w:r>
        <w:rPr/>
        <w:t>Geosphere-Biosphere</w:t>
      </w:r>
    </w:p>
    <w:p>
      <w:pPr>
        <w:pStyle w:val="BodyText"/>
        <w:spacing w:before="1"/>
        <w:ind w:left="1386" w:right="2220"/>
        <w:jc w:val="center"/>
      </w:pPr>
      <w:r>
        <w:rPr/>
        <w:t>Programme</w:t>
      </w:r>
    </w:p>
    <w:p>
      <w:pPr>
        <w:pStyle w:val="BodyText"/>
        <w:tabs>
          <w:tab w:pos="1407" w:val="left" w:leader="none"/>
        </w:tabs>
        <w:spacing w:before="118"/>
        <w:ind w:left="159"/>
      </w:pPr>
      <w:r>
        <w:rPr>
          <w:b/>
        </w:rPr>
        <w:t>IHDP</w:t>
        <w:tab/>
      </w:r>
      <w:r>
        <w:rPr/>
        <w:t>International Human</w:t>
      </w:r>
      <w:r>
        <w:rPr>
          <w:spacing w:val="-4"/>
        </w:rPr>
        <w:t> </w:t>
      </w:r>
      <w:r>
        <w:rPr/>
        <w:t>Dimensions</w:t>
      </w:r>
    </w:p>
    <w:p>
      <w:pPr>
        <w:pStyle w:val="BodyText"/>
        <w:ind w:left="1386" w:right="2220"/>
        <w:jc w:val="center"/>
      </w:pPr>
      <w:r>
        <w:rPr/>
        <w:t>Programme</w:t>
      </w:r>
    </w:p>
    <w:p>
      <w:pPr>
        <w:pStyle w:val="BodyText"/>
        <w:tabs>
          <w:tab w:pos="1407" w:val="left" w:leader="none"/>
        </w:tabs>
        <w:spacing w:before="120"/>
        <w:ind w:left="159"/>
      </w:pPr>
      <w:r>
        <w:rPr>
          <w:b/>
        </w:rPr>
        <w:t>IM</w:t>
        <w:tab/>
      </w:r>
      <w:r>
        <w:rPr/>
        <w:t>Integrated Monitoring</w:t>
      </w:r>
    </w:p>
    <w:p>
      <w:pPr>
        <w:pStyle w:val="BodyText"/>
        <w:tabs>
          <w:tab w:pos="1407" w:val="left" w:leader="none"/>
        </w:tabs>
        <w:spacing w:before="121"/>
        <w:ind w:left="159"/>
      </w:pPr>
      <w:r>
        <w:rPr>
          <w:b/>
        </w:rPr>
        <w:t>IPCC</w:t>
        <w:tab/>
      </w:r>
      <w:r>
        <w:rPr/>
        <w:t>Intergovernmental Panel on</w:t>
      </w:r>
      <w:r>
        <w:rPr>
          <w:spacing w:val="-7"/>
        </w:rPr>
        <w:t> </w:t>
      </w:r>
      <w:r>
        <w:rPr/>
        <w:t>Climate</w:t>
      </w:r>
    </w:p>
    <w:p>
      <w:pPr>
        <w:pStyle w:val="BodyText"/>
        <w:ind w:left="1064" w:right="2220"/>
        <w:jc w:val="center"/>
      </w:pPr>
      <w:r>
        <w:rPr/>
        <w:t>Change</w:t>
      </w:r>
    </w:p>
    <w:p>
      <w:pPr>
        <w:pStyle w:val="BodyText"/>
        <w:tabs>
          <w:tab w:pos="1407" w:val="left" w:leader="none"/>
        </w:tabs>
        <w:spacing w:before="121"/>
        <w:ind w:left="159"/>
      </w:pPr>
      <w:r>
        <w:rPr>
          <w:b/>
        </w:rPr>
        <w:t>IRW</w:t>
        <w:tab/>
      </w:r>
      <w:r>
        <w:rPr/>
        <w:t>Industrial</w:t>
      </w:r>
      <w:r>
        <w:rPr>
          <w:spacing w:val="1"/>
        </w:rPr>
        <w:t> </w:t>
      </w:r>
      <w:r>
        <w:rPr/>
        <w:t>Roundwood</w:t>
      </w:r>
    </w:p>
    <w:p>
      <w:pPr>
        <w:pStyle w:val="BodyText"/>
        <w:tabs>
          <w:tab w:pos="1407" w:val="left" w:leader="none"/>
        </w:tabs>
        <w:spacing w:before="118"/>
        <w:ind w:left="1407" w:right="212" w:hanging="1248"/>
      </w:pPr>
      <w:r>
        <w:rPr>
          <w:b/>
        </w:rPr>
        <w:t>ISCGM</w:t>
        <w:tab/>
      </w:r>
      <w:r>
        <w:rPr/>
        <w:t>International Steering Committee</w:t>
      </w:r>
      <w:r>
        <w:rPr>
          <w:spacing w:val="-14"/>
        </w:rPr>
        <w:t> </w:t>
      </w:r>
      <w:r>
        <w:rPr/>
        <w:t>for Global</w:t>
      </w:r>
      <w:r>
        <w:rPr>
          <w:spacing w:val="-1"/>
        </w:rPr>
        <w:t> </w:t>
      </w:r>
      <w:r>
        <w:rPr/>
        <w:t>Mapping</w:t>
      </w:r>
    </w:p>
    <w:p>
      <w:pPr>
        <w:pStyle w:val="BodyText"/>
        <w:tabs>
          <w:tab w:pos="1407" w:val="left" w:leader="none"/>
        </w:tabs>
        <w:spacing w:before="121"/>
        <w:ind w:left="159"/>
      </w:pPr>
      <w:r>
        <w:rPr>
          <w:b/>
        </w:rPr>
        <w:t>JI</w:t>
        <w:tab/>
      </w:r>
      <w:r>
        <w:rPr/>
        <w:t>Joint</w:t>
      </w:r>
      <w:r>
        <w:rPr>
          <w:spacing w:val="-1"/>
        </w:rPr>
        <w:t> </w:t>
      </w:r>
      <w:r>
        <w:rPr/>
        <w:t>Implementation</w:t>
      </w:r>
    </w:p>
    <w:p>
      <w:pPr>
        <w:pStyle w:val="BodyText"/>
        <w:tabs>
          <w:tab w:pos="1407" w:val="left" w:leader="none"/>
        </w:tabs>
        <w:spacing w:before="120"/>
        <w:ind w:left="159"/>
      </w:pPr>
      <w:r>
        <w:rPr>
          <w:b/>
        </w:rPr>
        <w:t>LAC</w:t>
        <w:tab/>
      </w:r>
      <w:r>
        <w:rPr/>
        <w:t>Low activity</w:t>
      </w:r>
      <w:r>
        <w:rPr>
          <w:spacing w:val="-6"/>
        </w:rPr>
        <w:t> </w:t>
      </w:r>
      <w:r>
        <w:rPr/>
        <w:t>clay</w:t>
      </w:r>
    </w:p>
    <w:p>
      <w:pPr>
        <w:spacing w:after="0"/>
        <w:sectPr>
          <w:type w:val="continuous"/>
          <w:pgSz w:w="11900" w:h="16840"/>
          <w:pgMar w:top="1060" w:bottom="280" w:left="1260" w:right="1240"/>
          <w:cols w:num="2" w:equalWidth="0">
            <w:col w:w="4444" w:space="375"/>
            <w:col w:w="4581"/>
          </w:cols>
        </w:sectPr>
      </w:pPr>
    </w:p>
    <w:p>
      <w:pPr>
        <w:pStyle w:val="BodyText"/>
        <w:spacing w:before="61"/>
        <w:ind w:left="6056"/>
      </w:pPr>
      <w:r>
        <w:rPr/>
        <w:pict>
          <v:line style="position:absolute;mso-position-horizontal-relative:page;mso-position-vertical-relative:paragraph;z-index:31184;mso-wrap-distance-left:0;mso-wrap-distance-right:0" from="70.960999pt,20.306219pt" to="524.440999pt,20.306219pt" stroked="true" strokeweight=".75pt" strokecolor="#010101">
            <v:stroke dashstyle="solid"/>
            <w10:wrap type="topAndBottom"/>
          </v:line>
        </w:pict>
      </w:r>
      <w:r>
        <w:rPr/>
        <w:t>Annex C: Abbreviations and Acronyms</w:t>
      </w:r>
    </w:p>
    <w:p>
      <w:pPr>
        <w:pStyle w:val="BodyText"/>
        <w:spacing w:before="8"/>
        <w:rPr>
          <w:sz w:val="27"/>
        </w:rPr>
      </w:pPr>
    </w:p>
    <w:p>
      <w:pPr>
        <w:spacing w:after="0"/>
        <w:rPr>
          <w:sz w:val="27"/>
        </w:rPr>
        <w:sectPr>
          <w:headerReference w:type="even" r:id="rId468"/>
          <w:footerReference w:type="even" r:id="rId469"/>
          <w:footerReference w:type="default" r:id="rId470"/>
          <w:pgSz w:w="11900" w:h="16840"/>
          <w:pgMar w:header="0" w:footer="408" w:top="160" w:bottom="600" w:left="1260" w:right="1240"/>
        </w:sectPr>
      </w:pPr>
    </w:p>
    <w:p>
      <w:pPr>
        <w:tabs>
          <w:tab w:pos="1407" w:val="left" w:leader="none"/>
        </w:tabs>
        <w:spacing w:before="91"/>
        <w:ind w:left="159" w:right="0" w:firstLine="0"/>
        <w:jc w:val="left"/>
        <w:rPr>
          <w:sz w:val="20"/>
        </w:rPr>
      </w:pPr>
      <w:r>
        <w:rPr>
          <w:b/>
          <w:sz w:val="20"/>
        </w:rPr>
        <w:t>LAI</w:t>
        <w:tab/>
      </w:r>
      <w:r>
        <w:rPr>
          <w:sz w:val="20"/>
        </w:rPr>
        <w:t>Leaf Area</w:t>
      </w:r>
      <w:r>
        <w:rPr>
          <w:spacing w:val="1"/>
          <w:sz w:val="20"/>
        </w:rPr>
        <w:t> </w:t>
      </w:r>
      <w:r>
        <w:rPr>
          <w:sz w:val="20"/>
        </w:rPr>
        <w:t>Index</w:t>
      </w:r>
    </w:p>
    <w:p>
      <w:pPr>
        <w:pStyle w:val="BodyText"/>
        <w:tabs>
          <w:tab w:pos="1407" w:val="left" w:leader="none"/>
        </w:tabs>
        <w:spacing w:before="121"/>
        <w:ind w:left="159"/>
      </w:pPr>
      <w:r>
        <w:rPr>
          <w:b/>
        </w:rPr>
        <w:t>LC</w:t>
        <w:tab/>
      </w:r>
      <w:r>
        <w:rPr/>
        <w:t>Lands converted to</w:t>
      </w:r>
      <w:r>
        <w:rPr>
          <w:spacing w:val="-2"/>
        </w:rPr>
        <w:t> </w:t>
      </w:r>
      <w:r>
        <w:rPr/>
        <w:t>cropland</w:t>
      </w:r>
    </w:p>
    <w:p>
      <w:pPr>
        <w:pStyle w:val="BodyText"/>
        <w:tabs>
          <w:tab w:pos="1407" w:val="left" w:leader="none"/>
        </w:tabs>
        <w:spacing w:before="120"/>
        <w:ind w:left="159"/>
      </w:pPr>
      <w:r>
        <w:rPr>
          <w:b/>
        </w:rPr>
        <w:t>LCDB</w:t>
        <w:tab/>
      </w:r>
      <w:r>
        <w:rPr/>
        <w:t>Land-use /Cover</w:t>
      </w:r>
      <w:r>
        <w:rPr>
          <w:spacing w:val="-1"/>
        </w:rPr>
        <w:t> </w:t>
      </w:r>
      <w:r>
        <w:rPr/>
        <w:t>Database</w:t>
      </w:r>
    </w:p>
    <w:p>
      <w:pPr>
        <w:pStyle w:val="BodyText"/>
        <w:tabs>
          <w:tab w:pos="1407" w:val="left" w:leader="none"/>
        </w:tabs>
        <w:spacing w:before="120"/>
        <w:ind w:left="159"/>
      </w:pPr>
      <w:r>
        <w:rPr>
          <w:b/>
        </w:rPr>
        <w:t>LF</w:t>
        <w:tab/>
      </w:r>
      <w:r>
        <w:rPr/>
        <w:t>Lands converted to forest</w:t>
      </w:r>
      <w:r>
        <w:rPr>
          <w:spacing w:val="-2"/>
        </w:rPr>
        <w:t> </w:t>
      </w:r>
      <w:r>
        <w:rPr/>
        <w:t>land</w:t>
      </w:r>
    </w:p>
    <w:p>
      <w:pPr>
        <w:pStyle w:val="BodyText"/>
        <w:tabs>
          <w:tab w:pos="1407" w:val="left" w:leader="none"/>
        </w:tabs>
        <w:spacing w:before="121"/>
        <w:ind w:left="159"/>
      </w:pPr>
      <w:r>
        <w:rPr>
          <w:b/>
        </w:rPr>
        <w:t>LG</w:t>
        <w:tab/>
      </w:r>
      <w:r>
        <w:rPr/>
        <w:t>Lands converted to</w:t>
      </w:r>
      <w:r>
        <w:rPr>
          <w:spacing w:val="-3"/>
        </w:rPr>
        <w:t> </w:t>
      </w:r>
      <w:r>
        <w:rPr/>
        <w:t>grassland</w:t>
      </w:r>
    </w:p>
    <w:p>
      <w:pPr>
        <w:pStyle w:val="BodyText"/>
        <w:tabs>
          <w:tab w:pos="1407" w:val="left" w:leader="none"/>
        </w:tabs>
        <w:spacing w:before="120"/>
        <w:ind w:left="159"/>
      </w:pPr>
      <w:r>
        <w:rPr>
          <w:b/>
        </w:rPr>
        <w:t>LHF</w:t>
        <w:tab/>
      </w:r>
      <w:r>
        <w:rPr>
          <w:spacing w:val="-4"/>
        </w:rPr>
        <w:t>Litter-Humus-Fermented </w:t>
      </w:r>
      <w:r>
        <w:rPr>
          <w:spacing w:val="-3"/>
        </w:rPr>
        <w:t>(Soil</w:t>
      </w:r>
      <w:r>
        <w:rPr>
          <w:spacing w:val="-16"/>
        </w:rPr>
        <w:t> </w:t>
      </w:r>
      <w:r>
        <w:rPr>
          <w:spacing w:val="-4"/>
        </w:rPr>
        <w:t>Layers)</w:t>
      </w:r>
    </w:p>
    <w:p>
      <w:pPr>
        <w:pStyle w:val="BodyText"/>
        <w:tabs>
          <w:tab w:pos="1407" w:val="left" w:leader="none"/>
        </w:tabs>
        <w:spacing w:before="118"/>
        <w:ind w:left="159"/>
      </w:pPr>
      <w:r>
        <w:rPr>
          <w:b/>
        </w:rPr>
        <w:t>LIDAR</w:t>
        <w:tab/>
      </w:r>
      <w:r>
        <w:rPr/>
        <w:t>Light Detection and</w:t>
      </w:r>
      <w:r>
        <w:rPr>
          <w:spacing w:val="-3"/>
        </w:rPr>
        <w:t> </w:t>
      </w:r>
      <w:r>
        <w:rPr/>
        <w:t>Ranging</w:t>
      </w:r>
    </w:p>
    <w:p>
      <w:pPr>
        <w:pStyle w:val="BodyText"/>
        <w:tabs>
          <w:tab w:pos="1407" w:val="left" w:leader="none"/>
        </w:tabs>
        <w:spacing w:before="121"/>
        <w:ind w:left="159"/>
      </w:pPr>
      <w:r>
        <w:rPr>
          <w:b/>
        </w:rPr>
        <w:t>LO</w:t>
        <w:tab/>
      </w:r>
      <w:r>
        <w:rPr/>
        <w:t>Lands converted to other</w:t>
      </w:r>
      <w:r>
        <w:rPr>
          <w:spacing w:val="-3"/>
        </w:rPr>
        <w:t> </w:t>
      </w:r>
      <w:r>
        <w:rPr/>
        <w:t>land</w:t>
      </w:r>
    </w:p>
    <w:p>
      <w:pPr>
        <w:pStyle w:val="BodyText"/>
        <w:tabs>
          <w:tab w:pos="1407" w:val="left" w:leader="none"/>
        </w:tabs>
        <w:spacing w:line="364" w:lineRule="auto" w:before="120"/>
        <w:ind w:left="159" w:right="322"/>
      </w:pPr>
      <w:r>
        <w:rPr>
          <w:b/>
        </w:rPr>
        <w:t>LS</w:t>
        <w:tab/>
      </w:r>
      <w:r>
        <w:rPr/>
        <w:t>Lands converted to settlements </w:t>
      </w:r>
      <w:r>
        <w:rPr>
          <w:b/>
        </w:rPr>
        <w:t>LVIS</w:t>
        <w:tab/>
      </w:r>
      <w:r>
        <w:rPr/>
        <w:t>Laser Vegetation Imaging Sensor </w:t>
      </w:r>
      <w:r>
        <w:rPr>
          <w:b/>
        </w:rPr>
        <w:t>LW</w:t>
        <w:tab/>
      </w:r>
      <w:r>
        <w:rPr/>
        <w:t>Lands converted to</w:t>
      </w:r>
      <w:r>
        <w:rPr>
          <w:spacing w:val="-1"/>
        </w:rPr>
        <w:t> </w:t>
      </w:r>
      <w:r>
        <w:rPr/>
        <w:t>wetlands</w:t>
      </w:r>
    </w:p>
    <w:p>
      <w:pPr>
        <w:pStyle w:val="BodyText"/>
        <w:tabs>
          <w:tab w:pos="1407" w:val="left" w:leader="none"/>
        </w:tabs>
        <w:ind w:left="159"/>
      </w:pPr>
      <w:r>
        <w:rPr>
          <w:b/>
        </w:rPr>
        <w:t>M&amp;M</w:t>
        <w:tab/>
      </w:r>
      <w:r>
        <w:rPr/>
        <w:t>Measuring and</w:t>
      </w:r>
      <w:r>
        <w:rPr>
          <w:spacing w:val="-2"/>
        </w:rPr>
        <w:t> </w:t>
      </w:r>
      <w:r>
        <w:rPr/>
        <w:t>Monitoring</w:t>
      </w:r>
    </w:p>
    <w:p>
      <w:pPr>
        <w:pStyle w:val="BodyText"/>
        <w:tabs>
          <w:tab w:pos="1407" w:val="left" w:leader="none"/>
        </w:tabs>
        <w:spacing w:before="120"/>
        <w:ind w:left="159"/>
      </w:pPr>
      <w:r>
        <w:rPr>
          <w:b/>
        </w:rPr>
        <w:t>MA</w:t>
        <w:tab/>
      </w:r>
      <w:r>
        <w:rPr/>
        <w:t>Marrakesh Accords</w:t>
      </w:r>
    </w:p>
    <w:p>
      <w:pPr>
        <w:pStyle w:val="BodyText"/>
        <w:tabs>
          <w:tab w:pos="1407" w:val="left" w:leader="none"/>
        </w:tabs>
        <w:spacing w:before="121"/>
        <w:ind w:left="159"/>
      </w:pPr>
      <w:r>
        <w:rPr>
          <w:b/>
        </w:rPr>
        <w:t>MAT</w:t>
        <w:tab/>
      </w:r>
      <w:r>
        <w:rPr/>
        <w:t>Mean annual</w:t>
      </w:r>
      <w:r>
        <w:rPr>
          <w:spacing w:val="-2"/>
        </w:rPr>
        <w:t> </w:t>
      </w:r>
      <w:r>
        <w:rPr/>
        <w:t>temperature</w:t>
      </w:r>
    </w:p>
    <w:p>
      <w:pPr>
        <w:tabs>
          <w:tab w:pos="1407" w:val="left" w:leader="none"/>
        </w:tabs>
        <w:spacing w:before="120"/>
        <w:ind w:left="159" w:right="0" w:firstLine="0"/>
        <w:jc w:val="left"/>
        <w:rPr>
          <w:sz w:val="20"/>
        </w:rPr>
      </w:pPr>
      <w:r>
        <w:rPr>
          <w:b/>
          <w:sz w:val="20"/>
        </w:rPr>
        <w:t>Max.</w:t>
        <w:tab/>
      </w:r>
      <w:r>
        <w:rPr>
          <w:sz w:val="20"/>
        </w:rPr>
        <w:t>Maximum</w:t>
      </w:r>
    </w:p>
    <w:p>
      <w:pPr>
        <w:pStyle w:val="BodyText"/>
        <w:tabs>
          <w:tab w:pos="1407" w:val="left" w:leader="none"/>
        </w:tabs>
        <w:spacing w:before="121"/>
        <w:ind w:left="159"/>
      </w:pPr>
      <w:r>
        <w:rPr>
          <w:b/>
        </w:rPr>
        <w:t>MDD</w:t>
        <w:tab/>
      </w:r>
      <w:r>
        <w:rPr/>
        <w:t>Minimum Detectable</w:t>
      </w:r>
      <w:r>
        <w:rPr>
          <w:spacing w:val="-3"/>
        </w:rPr>
        <w:t> </w:t>
      </w:r>
      <w:r>
        <w:rPr/>
        <w:t>Difference</w:t>
      </w:r>
    </w:p>
    <w:p>
      <w:pPr>
        <w:tabs>
          <w:tab w:pos="1407" w:val="left" w:leader="none"/>
        </w:tabs>
        <w:spacing w:before="120"/>
        <w:ind w:left="159" w:right="0" w:firstLine="0"/>
        <w:jc w:val="left"/>
        <w:rPr>
          <w:sz w:val="20"/>
        </w:rPr>
      </w:pPr>
      <w:r>
        <w:rPr>
          <w:b/>
          <w:sz w:val="20"/>
        </w:rPr>
        <w:t>Min.</w:t>
        <w:tab/>
      </w:r>
      <w:r>
        <w:rPr>
          <w:sz w:val="20"/>
        </w:rPr>
        <w:t>Minimum</w:t>
      </w:r>
    </w:p>
    <w:p>
      <w:pPr>
        <w:tabs>
          <w:tab w:pos="1407" w:val="left" w:leader="none"/>
        </w:tabs>
        <w:spacing w:before="118"/>
        <w:ind w:left="159" w:right="0" w:firstLine="0"/>
        <w:jc w:val="left"/>
        <w:rPr>
          <w:sz w:val="20"/>
        </w:rPr>
      </w:pPr>
      <w:r>
        <w:rPr>
          <w:b/>
          <w:sz w:val="20"/>
        </w:rPr>
        <w:t>min.</w:t>
        <w:tab/>
      </w:r>
      <w:r>
        <w:rPr>
          <w:sz w:val="20"/>
        </w:rPr>
        <w:t>minute</w:t>
      </w:r>
    </w:p>
    <w:p>
      <w:pPr>
        <w:pStyle w:val="BodyText"/>
        <w:tabs>
          <w:tab w:pos="1407" w:val="left" w:leader="none"/>
        </w:tabs>
        <w:spacing w:before="121"/>
        <w:ind w:left="159"/>
      </w:pPr>
      <w:r>
        <w:rPr>
          <w:b/>
        </w:rPr>
        <w:t>MOP</w:t>
        <w:tab/>
      </w:r>
      <w:r>
        <w:rPr/>
        <w:t>Meeting of the</w:t>
      </w:r>
      <w:r>
        <w:rPr>
          <w:spacing w:val="-7"/>
        </w:rPr>
        <w:t> </w:t>
      </w:r>
      <w:r>
        <w:rPr/>
        <w:t>Parties</w:t>
      </w:r>
    </w:p>
    <w:p>
      <w:pPr>
        <w:pStyle w:val="BodyText"/>
        <w:tabs>
          <w:tab w:pos="1407" w:val="left" w:leader="none"/>
        </w:tabs>
        <w:spacing w:before="120"/>
        <w:ind w:left="159"/>
      </w:pPr>
      <w:r>
        <w:rPr>
          <w:b/>
        </w:rPr>
        <w:t>MSS</w:t>
        <w:tab/>
      </w:r>
      <w:r>
        <w:rPr/>
        <w:t>Multispectral</w:t>
      </w:r>
      <w:r>
        <w:rPr>
          <w:spacing w:val="-9"/>
        </w:rPr>
        <w:t> </w:t>
      </w:r>
      <w:r>
        <w:rPr/>
        <w:t>Scanner</w:t>
      </w:r>
    </w:p>
    <w:p>
      <w:pPr>
        <w:tabs>
          <w:tab w:pos="1407" w:val="left" w:leader="none"/>
        </w:tabs>
        <w:spacing w:before="120"/>
        <w:ind w:left="159" w:right="0" w:firstLine="0"/>
        <w:jc w:val="left"/>
        <w:rPr>
          <w:sz w:val="20"/>
        </w:rPr>
      </w:pPr>
      <w:r>
        <w:rPr>
          <w:b/>
          <w:sz w:val="20"/>
        </w:rPr>
        <w:t>n.s.</w:t>
        <w:tab/>
      </w:r>
      <w:r>
        <w:rPr>
          <w:sz w:val="20"/>
        </w:rPr>
        <w:t>Not</w:t>
      </w:r>
      <w:r>
        <w:rPr>
          <w:spacing w:val="-7"/>
          <w:sz w:val="20"/>
        </w:rPr>
        <w:t> </w:t>
      </w:r>
      <w:r>
        <w:rPr>
          <w:sz w:val="20"/>
        </w:rPr>
        <w:t>significant</w:t>
      </w:r>
    </w:p>
    <w:p>
      <w:pPr>
        <w:pStyle w:val="BodyText"/>
        <w:tabs>
          <w:tab w:pos="1407" w:val="left" w:leader="none"/>
        </w:tabs>
        <w:spacing w:before="121"/>
        <w:ind w:left="1407" w:right="434" w:hanging="1248"/>
      </w:pPr>
      <w:r>
        <w:rPr>
          <w:b/>
        </w:rPr>
        <w:t>NASA</w:t>
        <w:tab/>
      </w:r>
      <w:r>
        <w:rPr/>
        <w:t>National Aeronautics and Space Administration</w:t>
      </w:r>
    </w:p>
    <w:p>
      <w:pPr>
        <w:pStyle w:val="BodyText"/>
        <w:tabs>
          <w:tab w:pos="1407" w:val="left" w:leader="none"/>
        </w:tabs>
        <w:spacing w:before="118"/>
        <w:ind w:left="159"/>
      </w:pPr>
      <w:r>
        <w:rPr>
          <w:b/>
        </w:rPr>
        <w:t>NBP</w:t>
        <w:tab/>
      </w:r>
      <w:r>
        <w:rPr/>
        <w:t>Net Biome Production</w:t>
      </w:r>
    </w:p>
    <w:p>
      <w:pPr>
        <w:tabs>
          <w:tab w:pos="1407" w:val="left" w:leader="none"/>
        </w:tabs>
        <w:spacing w:before="121"/>
        <w:ind w:left="159" w:right="0" w:firstLine="0"/>
        <w:jc w:val="left"/>
        <w:rPr>
          <w:sz w:val="20"/>
        </w:rPr>
      </w:pPr>
      <w:r>
        <w:rPr>
          <w:b/>
          <w:sz w:val="20"/>
        </w:rPr>
        <w:t>NC</w:t>
        <w:tab/>
      </w:r>
      <w:r>
        <w:rPr>
          <w:sz w:val="20"/>
        </w:rPr>
        <w:t>Non-carbon</w:t>
      </w:r>
    </w:p>
    <w:p>
      <w:pPr>
        <w:pStyle w:val="BodyText"/>
        <w:tabs>
          <w:tab w:pos="1407" w:val="left" w:leader="none"/>
        </w:tabs>
        <w:spacing w:before="120"/>
        <w:ind w:left="159"/>
      </w:pPr>
      <w:r>
        <w:rPr>
          <w:b/>
        </w:rPr>
        <w:t>NCAS</w:t>
        <w:tab/>
      </w:r>
      <w:r>
        <w:rPr/>
        <w:t>National Carbon Accounting</w:t>
      </w:r>
      <w:r>
        <w:rPr>
          <w:spacing w:val="-7"/>
        </w:rPr>
        <w:t> </w:t>
      </w:r>
      <w:r>
        <w:rPr/>
        <w:t>System</w:t>
      </w:r>
    </w:p>
    <w:p>
      <w:pPr>
        <w:tabs>
          <w:tab w:pos="1407" w:val="left" w:leader="none"/>
        </w:tabs>
        <w:spacing w:before="120"/>
        <w:ind w:left="159" w:right="0" w:firstLine="0"/>
        <w:jc w:val="left"/>
        <w:rPr>
          <w:sz w:val="20"/>
        </w:rPr>
      </w:pPr>
      <w:r>
        <w:rPr>
          <w:b/>
          <w:sz w:val="20"/>
        </w:rPr>
        <w:t>n.d.</w:t>
        <w:tab/>
      </w:r>
      <w:r>
        <w:rPr>
          <w:sz w:val="20"/>
        </w:rPr>
        <w:t>Not</w:t>
      </w:r>
      <w:r>
        <w:rPr>
          <w:spacing w:val="-1"/>
          <w:sz w:val="20"/>
        </w:rPr>
        <w:t> </w:t>
      </w:r>
      <w:r>
        <w:rPr>
          <w:sz w:val="20"/>
        </w:rPr>
        <w:t>determined</w:t>
      </w:r>
    </w:p>
    <w:p>
      <w:pPr>
        <w:pStyle w:val="BodyText"/>
        <w:tabs>
          <w:tab w:pos="1407" w:val="left" w:leader="none"/>
        </w:tabs>
        <w:spacing w:before="121"/>
        <w:ind w:left="159"/>
      </w:pPr>
      <w:r>
        <w:rPr>
          <w:b/>
        </w:rPr>
        <w:t>NDVI</w:t>
        <w:tab/>
      </w:r>
      <w:r>
        <w:rPr/>
        <w:t>Normalised Difference</w:t>
      </w:r>
      <w:r>
        <w:rPr>
          <w:spacing w:val="-4"/>
        </w:rPr>
        <w:t> </w:t>
      </w:r>
      <w:r>
        <w:rPr/>
        <w:t>Vegetation</w:t>
      </w:r>
    </w:p>
    <w:p>
      <w:pPr>
        <w:pStyle w:val="BodyText"/>
        <w:ind w:left="633" w:right="1775"/>
        <w:jc w:val="center"/>
      </w:pPr>
      <w:r>
        <w:rPr/>
        <w:t>Index</w:t>
      </w:r>
    </w:p>
    <w:p>
      <w:pPr>
        <w:pStyle w:val="BodyText"/>
        <w:tabs>
          <w:tab w:pos="1407" w:val="left" w:leader="none"/>
        </w:tabs>
        <w:spacing w:before="118"/>
        <w:ind w:left="159"/>
      </w:pPr>
      <w:r>
        <w:rPr>
          <w:b/>
        </w:rPr>
        <w:t>NEE</w:t>
        <w:tab/>
      </w:r>
      <w:r>
        <w:rPr/>
        <w:t>Net Ecosystem</w:t>
      </w:r>
      <w:r>
        <w:rPr>
          <w:spacing w:val="-2"/>
        </w:rPr>
        <w:t> </w:t>
      </w:r>
      <w:r>
        <w:rPr/>
        <w:t>Exchange</w:t>
      </w:r>
    </w:p>
    <w:p>
      <w:pPr>
        <w:pStyle w:val="BodyText"/>
        <w:tabs>
          <w:tab w:pos="1407" w:val="left" w:leader="none"/>
        </w:tabs>
        <w:spacing w:before="121"/>
        <w:ind w:left="159"/>
      </w:pPr>
      <w:r>
        <w:rPr>
          <w:b/>
        </w:rPr>
        <w:t>NEP</w:t>
        <w:tab/>
      </w:r>
      <w:r>
        <w:rPr/>
        <w:t>Net Ecosystem</w:t>
      </w:r>
      <w:r>
        <w:rPr>
          <w:spacing w:val="-2"/>
        </w:rPr>
        <w:t> </w:t>
      </w:r>
      <w:r>
        <w:rPr/>
        <w:t>Production</w:t>
      </w:r>
    </w:p>
    <w:p>
      <w:pPr>
        <w:tabs>
          <w:tab w:pos="1407" w:val="left" w:leader="none"/>
        </w:tabs>
        <w:spacing w:before="120"/>
        <w:ind w:left="159" w:right="0" w:firstLine="0"/>
        <w:jc w:val="left"/>
        <w:rPr>
          <w:sz w:val="20"/>
        </w:rPr>
      </w:pPr>
      <w:r>
        <w:rPr>
          <w:b/>
          <w:sz w:val="20"/>
        </w:rPr>
        <w:t>NF</w:t>
        <w:tab/>
      </w:r>
      <w:r>
        <w:rPr>
          <w:sz w:val="20"/>
        </w:rPr>
        <w:t>Non-Federal</w:t>
      </w:r>
    </w:p>
    <w:p>
      <w:pPr>
        <w:pStyle w:val="BodyText"/>
        <w:tabs>
          <w:tab w:pos="1407" w:val="left" w:leader="none"/>
        </w:tabs>
        <w:spacing w:before="121"/>
        <w:ind w:left="159"/>
      </w:pPr>
      <w:r>
        <w:rPr>
          <w:b/>
        </w:rPr>
        <w:t>NGOs</w:t>
        <w:tab/>
      </w:r>
      <w:r>
        <w:rPr/>
        <w:t>Non-government</w:t>
      </w:r>
      <w:r>
        <w:rPr>
          <w:spacing w:val="-2"/>
        </w:rPr>
        <w:t> </w:t>
      </w:r>
      <w:r>
        <w:rPr/>
        <w:t>Organizations</w:t>
      </w:r>
    </w:p>
    <w:p>
      <w:pPr>
        <w:pStyle w:val="BodyText"/>
        <w:tabs>
          <w:tab w:pos="1407" w:val="left" w:leader="none"/>
        </w:tabs>
        <w:spacing w:before="120"/>
        <w:ind w:left="159"/>
      </w:pPr>
      <w:r>
        <w:rPr>
          <w:b/>
        </w:rPr>
        <w:t>NI</w:t>
        <w:tab/>
      </w:r>
      <w:r>
        <w:rPr/>
        <w:t>National</w:t>
      </w:r>
      <w:r>
        <w:rPr>
          <w:spacing w:val="-1"/>
        </w:rPr>
        <w:t> </w:t>
      </w:r>
      <w:r>
        <w:rPr/>
        <w:t>Inventory</w:t>
      </w:r>
    </w:p>
    <w:p>
      <w:pPr>
        <w:pStyle w:val="BodyText"/>
        <w:tabs>
          <w:tab w:pos="1407" w:val="left" w:leader="none"/>
        </w:tabs>
        <w:spacing w:before="118"/>
        <w:ind w:left="159"/>
      </w:pPr>
      <w:r>
        <w:rPr>
          <w:b/>
        </w:rPr>
        <w:t>NMHC</w:t>
        <w:tab/>
      </w:r>
      <w:r>
        <w:rPr/>
        <w:t>Non-methane</w:t>
      </w:r>
      <w:r>
        <w:rPr>
          <w:spacing w:val="-1"/>
        </w:rPr>
        <w:t> </w:t>
      </w:r>
      <w:r>
        <w:rPr/>
        <w:t>hydrocarbons</w:t>
      </w:r>
    </w:p>
    <w:p>
      <w:pPr>
        <w:pStyle w:val="BodyText"/>
        <w:tabs>
          <w:tab w:pos="1407" w:val="left" w:leader="none"/>
        </w:tabs>
        <w:spacing w:before="120"/>
        <w:ind w:left="159"/>
      </w:pPr>
      <w:r>
        <w:rPr>
          <w:b/>
        </w:rPr>
        <w:t>NOAA</w:t>
        <w:tab/>
      </w:r>
      <w:r>
        <w:rPr/>
        <w:t>National Oceanic and</w:t>
      </w:r>
      <w:r>
        <w:rPr>
          <w:spacing w:val="-5"/>
        </w:rPr>
        <w:t> </w:t>
      </w:r>
      <w:r>
        <w:rPr/>
        <w:t>Atmospheric</w:t>
      </w:r>
    </w:p>
    <w:p>
      <w:pPr>
        <w:pStyle w:val="BodyText"/>
        <w:spacing w:before="1"/>
        <w:ind w:left="1387" w:right="1774"/>
        <w:jc w:val="center"/>
      </w:pPr>
      <w:r>
        <w:rPr/>
        <w:t>Administration</w:t>
      </w:r>
    </w:p>
    <w:p>
      <w:pPr>
        <w:pStyle w:val="BodyText"/>
        <w:tabs>
          <w:tab w:pos="1407" w:val="left" w:leader="none"/>
        </w:tabs>
        <w:spacing w:before="120"/>
        <w:ind w:left="159"/>
      </w:pPr>
      <w:r>
        <w:rPr>
          <w:b/>
        </w:rPr>
        <w:t>NPI</w:t>
        <w:tab/>
      </w:r>
      <w:r>
        <w:rPr/>
        <w:t>National Peatland Inventory</w:t>
      </w:r>
    </w:p>
    <w:p>
      <w:pPr>
        <w:pStyle w:val="BodyText"/>
        <w:tabs>
          <w:tab w:pos="1407" w:val="left" w:leader="none"/>
        </w:tabs>
        <w:spacing w:before="121"/>
        <w:ind w:left="159"/>
      </w:pPr>
      <w:r>
        <w:rPr>
          <w:b/>
        </w:rPr>
        <w:t>NPP</w:t>
        <w:tab/>
      </w:r>
      <w:r>
        <w:rPr/>
        <w:t>Net Primary</w:t>
      </w:r>
      <w:r>
        <w:rPr>
          <w:spacing w:val="-5"/>
        </w:rPr>
        <w:t> </w:t>
      </w:r>
      <w:r>
        <w:rPr/>
        <w:t>Production</w:t>
      </w:r>
    </w:p>
    <w:p>
      <w:pPr>
        <w:pStyle w:val="BodyText"/>
        <w:tabs>
          <w:tab w:pos="1407" w:val="left" w:leader="none"/>
        </w:tabs>
        <w:spacing w:line="229" w:lineRule="exact" w:before="120"/>
        <w:ind w:left="159"/>
      </w:pPr>
      <w:r>
        <w:rPr>
          <w:b/>
        </w:rPr>
        <w:t>NRCS</w:t>
        <w:tab/>
      </w:r>
      <w:r>
        <w:rPr/>
        <w:t>Natural Resources</w:t>
      </w:r>
      <w:r>
        <w:rPr>
          <w:spacing w:val="-1"/>
        </w:rPr>
        <w:t> </w:t>
      </w:r>
      <w:r>
        <w:rPr/>
        <w:t>Conservation</w:t>
      </w:r>
    </w:p>
    <w:p>
      <w:pPr>
        <w:pStyle w:val="BodyText"/>
        <w:spacing w:line="229" w:lineRule="exact"/>
        <w:ind w:left="775" w:right="1775"/>
        <w:jc w:val="center"/>
      </w:pPr>
      <w:r>
        <w:rPr/>
        <w:t>Service</w:t>
      </w:r>
    </w:p>
    <w:p>
      <w:pPr>
        <w:pStyle w:val="BodyText"/>
        <w:tabs>
          <w:tab w:pos="1407" w:val="left" w:leader="none"/>
        </w:tabs>
        <w:spacing w:before="120"/>
        <w:ind w:left="159"/>
      </w:pPr>
      <w:r>
        <w:rPr>
          <w:b/>
        </w:rPr>
        <w:t>NRI</w:t>
        <w:tab/>
      </w:r>
      <w:r>
        <w:rPr/>
        <w:t>National Resources</w:t>
      </w:r>
      <w:r>
        <w:rPr>
          <w:spacing w:val="-3"/>
        </w:rPr>
        <w:t> </w:t>
      </w:r>
      <w:r>
        <w:rPr/>
        <w:t>Inventory</w:t>
      </w:r>
    </w:p>
    <w:p>
      <w:pPr>
        <w:tabs>
          <w:tab w:pos="1407" w:val="left" w:leader="none"/>
        </w:tabs>
        <w:spacing w:before="91"/>
        <w:ind w:left="159" w:right="0" w:firstLine="0"/>
        <w:jc w:val="left"/>
        <w:rPr>
          <w:sz w:val="20"/>
        </w:rPr>
      </w:pPr>
      <w:r>
        <w:rPr/>
        <w:br w:type="column"/>
      </w:r>
      <w:r>
        <w:rPr>
          <w:b/>
          <w:sz w:val="20"/>
        </w:rPr>
        <w:t>NZLCDB</w:t>
        <w:tab/>
      </w:r>
      <w:r>
        <w:rPr>
          <w:sz w:val="20"/>
        </w:rPr>
        <w:t>New Zealand Land-use</w:t>
      </w:r>
      <w:r>
        <w:rPr>
          <w:spacing w:val="-4"/>
          <w:sz w:val="20"/>
        </w:rPr>
        <w:t> </w:t>
      </w:r>
      <w:r>
        <w:rPr>
          <w:sz w:val="20"/>
        </w:rPr>
        <w:t>/Cover</w:t>
      </w:r>
    </w:p>
    <w:p>
      <w:pPr>
        <w:pStyle w:val="BodyText"/>
        <w:ind w:left="1407"/>
      </w:pPr>
      <w:r>
        <w:rPr/>
        <w:t>Database</w:t>
      </w:r>
    </w:p>
    <w:p>
      <w:pPr>
        <w:pStyle w:val="BodyText"/>
        <w:tabs>
          <w:tab w:pos="1407" w:val="left" w:leader="none"/>
        </w:tabs>
        <w:spacing w:before="121"/>
        <w:ind w:left="159"/>
      </w:pPr>
      <w:r>
        <w:rPr>
          <w:b/>
        </w:rPr>
        <w:t>OFP</w:t>
        <w:tab/>
      </w:r>
      <w:r>
        <w:rPr/>
        <w:t>Other Fibre</w:t>
      </w:r>
      <w:r>
        <w:rPr>
          <w:spacing w:val="-1"/>
        </w:rPr>
        <w:t> </w:t>
      </w:r>
      <w:r>
        <w:rPr/>
        <w:t>Pulp</w:t>
      </w:r>
    </w:p>
    <w:p>
      <w:pPr>
        <w:pStyle w:val="BodyText"/>
        <w:tabs>
          <w:tab w:pos="1407" w:val="left" w:leader="none"/>
        </w:tabs>
        <w:spacing w:before="120"/>
        <w:ind w:left="159"/>
      </w:pPr>
      <w:r>
        <w:rPr>
          <w:b/>
        </w:rPr>
        <w:t>ONC</w:t>
        <w:tab/>
      </w:r>
      <w:r>
        <w:rPr/>
        <w:t>Operational Navigational</w:t>
      </w:r>
      <w:r>
        <w:rPr>
          <w:spacing w:val="-2"/>
        </w:rPr>
        <w:t> </w:t>
      </w:r>
      <w:r>
        <w:rPr/>
        <w:t>Chart</w:t>
      </w:r>
    </w:p>
    <w:p>
      <w:pPr>
        <w:pStyle w:val="BodyText"/>
        <w:tabs>
          <w:tab w:pos="1407" w:val="left" w:leader="none"/>
        </w:tabs>
        <w:spacing w:line="364" w:lineRule="auto" w:before="121"/>
        <w:ind w:left="159" w:right="442"/>
      </w:pPr>
      <w:r>
        <w:rPr>
          <w:b/>
        </w:rPr>
        <w:t>OO</w:t>
        <w:tab/>
      </w:r>
      <w:r>
        <w:rPr/>
        <w:t>Other land remaining other land </w:t>
      </w:r>
      <w:r>
        <w:rPr>
          <w:b/>
        </w:rPr>
        <w:t>ORNL</w:t>
        <w:tab/>
      </w:r>
      <w:r>
        <w:rPr/>
        <w:t>Oak Ridge National Laboratory </w:t>
      </w:r>
      <w:r>
        <w:rPr>
          <w:b/>
        </w:rPr>
        <w:t>PDF</w:t>
        <w:tab/>
      </w:r>
      <w:r>
        <w:rPr/>
        <w:t>Probability Density Function </w:t>
      </w:r>
      <w:r>
        <w:rPr>
          <w:b/>
        </w:rPr>
        <w:t>PEFC</w:t>
        <w:tab/>
      </w:r>
      <w:r>
        <w:rPr/>
        <w:t>Pan European Forest Certification </w:t>
      </w:r>
      <w:r>
        <w:rPr>
          <w:b/>
        </w:rPr>
        <w:t>PET</w:t>
        <w:tab/>
      </w:r>
      <w:r>
        <w:rPr/>
        <w:t>Potential</w:t>
      </w:r>
      <w:r>
        <w:rPr>
          <w:spacing w:val="-2"/>
        </w:rPr>
        <w:t> </w:t>
      </w:r>
      <w:r>
        <w:rPr/>
        <w:t>evapotranspiration</w:t>
      </w:r>
    </w:p>
    <w:p>
      <w:pPr>
        <w:pStyle w:val="BodyText"/>
        <w:tabs>
          <w:tab w:pos="1407" w:val="left" w:leader="none"/>
        </w:tabs>
        <w:spacing w:before="1"/>
        <w:ind w:left="159"/>
      </w:pPr>
      <w:r>
        <w:rPr>
          <w:b/>
        </w:rPr>
        <w:t>PI</w:t>
        <w:tab/>
      </w:r>
      <w:r>
        <w:rPr/>
        <w:t>Partial</w:t>
      </w:r>
      <w:r>
        <w:rPr>
          <w:spacing w:val="-1"/>
        </w:rPr>
        <w:t> </w:t>
      </w:r>
      <w:r>
        <w:rPr/>
        <w:t>Inventory</w:t>
      </w:r>
    </w:p>
    <w:p>
      <w:pPr>
        <w:pStyle w:val="BodyText"/>
        <w:tabs>
          <w:tab w:pos="1407" w:val="left" w:leader="none"/>
        </w:tabs>
        <w:spacing w:before="121"/>
        <w:ind w:left="159"/>
      </w:pPr>
      <w:r>
        <w:rPr>
          <w:b/>
        </w:rPr>
        <w:t>PWC</w:t>
        <w:tab/>
      </w:r>
      <w:r>
        <w:rPr/>
        <w:t>Perennial woody</w:t>
      </w:r>
      <w:r>
        <w:rPr>
          <w:spacing w:val="-3"/>
        </w:rPr>
        <w:t> </w:t>
      </w:r>
      <w:r>
        <w:rPr/>
        <w:t>crops</w:t>
      </w:r>
    </w:p>
    <w:p>
      <w:pPr>
        <w:pStyle w:val="BodyText"/>
        <w:tabs>
          <w:tab w:pos="1407" w:val="left" w:leader="none"/>
        </w:tabs>
        <w:spacing w:before="118"/>
        <w:ind w:left="159"/>
      </w:pPr>
      <w:r>
        <w:rPr>
          <w:b/>
        </w:rPr>
        <w:t>QA</w:t>
        <w:tab/>
      </w:r>
      <w:r>
        <w:rPr/>
        <w:t>Quality Assurance</w:t>
      </w:r>
    </w:p>
    <w:p>
      <w:pPr>
        <w:pStyle w:val="BodyText"/>
        <w:tabs>
          <w:tab w:pos="1407" w:val="left" w:leader="none"/>
        </w:tabs>
        <w:spacing w:before="120"/>
        <w:ind w:left="159"/>
      </w:pPr>
      <w:r>
        <w:rPr>
          <w:b/>
        </w:rPr>
        <w:t>QC</w:t>
        <w:tab/>
      </w:r>
      <w:r>
        <w:rPr/>
        <w:t>Quality</w:t>
      </w:r>
      <w:r>
        <w:rPr>
          <w:spacing w:val="-2"/>
        </w:rPr>
        <w:t> </w:t>
      </w:r>
      <w:r>
        <w:rPr/>
        <w:t>Control</w:t>
      </w:r>
    </w:p>
    <w:p>
      <w:pPr>
        <w:pStyle w:val="BodyText"/>
        <w:tabs>
          <w:tab w:pos="1407" w:val="left" w:leader="none"/>
        </w:tabs>
        <w:spacing w:before="121"/>
        <w:ind w:left="159"/>
      </w:pPr>
      <w:r>
        <w:rPr>
          <w:b/>
        </w:rPr>
        <w:t>R/S</w:t>
        <w:tab/>
      </w:r>
      <w:r>
        <w:rPr/>
        <w:t>Root-to-shoot</w:t>
      </w:r>
      <w:r>
        <w:rPr>
          <w:spacing w:val="-1"/>
        </w:rPr>
        <w:t> </w:t>
      </w:r>
      <w:r>
        <w:rPr/>
        <w:t>ratio</w:t>
      </w:r>
    </w:p>
    <w:p>
      <w:pPr>
        <w:pStyle w:val="BodyText"/>
        <w:tabs>
          <w:tab w:pos="1407" w:val="left" w:leader="none"/>
        </w:tabs>
        <w:spacing w:before="120"/>
        <w:ind w:left="159"/>
      </w:pPr>
      <w:r>
        <w:rPr>
          <w:b/>
        </w:rPr>
        <w:t>RBD</w:t>
        <w:tab/>
      </w:r>
      <w:r>
        <w:rPr/>
        <w:t>Root biomass</w:t>
      </w:r>
      <w:r>
        <w:rPr>
          <w:spacing w:val="-6"/>
        </w:rPr>
        <w:t> </w:t>
      </w:r>
      <w:r>
        <w:rPr/>
        <w:t>density</w:t>
      </w:r>
    </w:p>
    <w:p>
      <w:pPr>
        <w:pStyle w:val="BodyText"/>
        <w:tabs>
          <w:tab w:pos="1407" w:val="left" w:leader="none"/>
        </w:tabs>
        <w:spacing w:before="120"/>
        <w:ind w:left="159"/>
      </w:pPr>
      <w:r>
        <w:rPr>
          <w:b/>
        </w:rPr>
        <w:t>RFP</w:t>
        <w:tab/>
      </w:r>
      <w:r>
        <w:rPr/>
        <w:t>Recovered Fibre</w:t>
      </w:r>
      <w:r>
        <w:rPr>
          <w:spacing w:val="-10"/>
        </w:rPr>
        <w:t> </w:t>
      </w:r>
      <w:r>
        <w:rPr/>
        <w:t>Pulp</w:t>
      </w:r>
    </w:p>
    <w:p>
      <w:pPr>
        <w:pStyle w:val="BodyText"/>
        <w:tabs>
          <w:tab w:pos="1407" w:val="left" w:leader="none"/>
        </w:tabs>
        <w:spacing w:before="121"/>
        <w:ind w:left="159"/>
      </w:pPr>
      <w:r>
        <w:rPr>
          <w:b/>
        </w:rPr>
        <w:t>RGP</w:t>
        <w:tab/>
      </w:r>
      <w:r>
        <w:rPr/>
        <w:t>Rangelands, Grasslands,</w:t>
      </w:r>
      <w:r>
        <w:rPr>
          <w:spacing w:val="-2"/>
        </w:rPr>
        <w:t> </w:t>
      </w:r>
      <w:r>
        <w:rPr/>
        <w:t>Pastures</w:t>
      </w:r>
    </w:p>
    <w:p>
      <w:pPr>
        <w:pStyle w:val="BodyText"/>
        <w:tabs>
          <w:tab w:pos="1407" w:val="left" w:leader="none"/>
        </w:tabs>
        <w:spacing w:before="118"/>
        <w:ind w:left="159"/>
      </w:pPr>
      <w:r>
        <w:rPr>
          <w:b/>
        </w:rPr>
        <w:t>RP</w:t>
        <w:tab/>
      </w:r>
      <w:r>
        <w:rPr/>
        <w:t>Recovered Paper</w:t>
      </w:r>
    </w:p>
    <w:p>
      <w:pPr>
        <w:pStyle w:val="BodyText"/>
        <w:tabs>
          <w:tab w:pos="1407" w:val="left" w:leader="none"/>
        </w:tabs>
        <w:spacing w:before="120"/>
        <w:ind w:left="159"/>
      </w:pPr>
      <w:r>
        <w:rPr>
          <w:b/>
        </w:rPr>
        <w:t>RS</w:t>
        <w:tab/>
      </w:r>
      <w:r>
        <w:rPr/>
        <w:t>Remote</w:t>
      </w:r>
      <w:r>
        <w:rPr>
          <w:spacing w:val="-1"/>
        </w:rPr>
        <w:t> </w:t>
      </w:r>
      <w:r>
        <w:rPr/>
        <w:t>Sensing</w:t>
      </w:r>
    </w:p>
    <w:p>
      <w:pPr>
        <w:tabs>
          <w:tab w:pos="1407" w:val="left" w:leader="none"/>
        </w:tabs>
        <w:spacing w:before="121"/>
        <w:ind w:left="159" w:right="0" w:firstLine="0"/>
        <w:jc w:val="left"/>
        <w:rPr>
          <w:sz w:val="20"/>
        </w:rPr>
      </w:pPr>
      <w:r>
        <w:rPr>
          <w:b/>
          <w:sz w:val="20"/>
        </w:rPr>
        <w:t>S</w:t>
        <w:tab/>
      </w:r>
      <w:r>
        <w:rPr>
          <w:sz w:val="20"/>
        </w:rPr>
        <w:t>Sulphur</w:t>
      </w:r>
    </w:p>
    <w:p>
      <w:pPr>
        <w:pStyle w:val="BodyText"/>
        <w:tabs>
          <w:tab w:pos="1407" w:val="left" w:leader="none"/>
        </w:tabs>
        <w:spacing w:before="120"/>
        <w:ind w:left="159"/>
      </w:pPr>
      <w:r>
        <w:rPr>
          <w:b/>
        </w:rPr>
        <w:t>SAR</w:t>
        <w:tab/>
      </w:r>
      <w:r>
        <w:rPr/>
        <w:t>Synthetic Aperture</w:t>
      </w:r>
      <w:r>
        <w:rPr>
          <w:spacing w:val="1"/>
        </w:rPr>
        <w:t> </w:t>
      </w:r>
      <w:r>
        <w:rPr/>
        <w:t>Radar</w:t>
      </w:r>
    </w:p>
    <w:p>
      <w:pPr>
        <w:pStyle w:val="BodyText"/>
        <w:tabs>
          <w:tab w:pos="1407" w:val="left" w:leader="none"/>
        </w:tabs>
        <w:spacing w:before="120"/>
        <w:ind w:left="159"/>
      </w:pPr>
      <w:r>
        <w:rPr>
          <w:b/>
        </w:rPr>
        <w:t>SD</w:t>
        <w:tab/>
      </w:r>
      <w:r>
        <w:rPr/>
        <w:t>Standard deviation</w:t>
      </w:r>
    </w:p>
    <w:p>
      <w:pPr>
        <w:pStyle w:val="BodyText"/>
        <w:tabs>
          <w:tab w:pos="1407" w:val="left" w:leader="none"/>
        </w:tabs>
        <w:spacing w:before="121"/>
        <w:ind w:left="159"/>
      </w:pPr>
      <w:r>
        <w:rPr>
          <w:b/>
        </w:rPr>
        <w:t>SFM</w:t>
        <w:tab/>
      </w:r>
      <w:r>
        <w:rPr/>
        <w:t>Sustainable Forest</w:t>
      </w:r>
      <w:r>
        <w:rPr>
          <w:spacing w:val="-3"/>
        </w:rPr>
        <w:t> </w:t>
      </w:r>
      <w:r>
        <w:rPr/>
        <w:t>Management</w:t>
      </w:r>
    </w:p>
    <w:p>
      <w:pPr>
        <w:pStyle w:val="BodyText"/>
        <w:tabs>
          <w:tab w:pos="1407" w:val="left" w:leader="none"/>
        </w:tabs>
        <w:spacing w:before="118"/>
        <w:ind w:left="159"/>
      </w:pPr>
      <w:r>
        <w:rPr>
          <w:b/>
        </w:rPr>
        <w:t>SOM</w:t>
        <w:tab/>
      </w:r>
      <w:r>
        <w:rPr/>
        <w:t>Soil Organic</w:t>
      </w:r>
      <w:r>
        <w:rPr>
          <w:spacing w:val="-1"/>
        </w:rPr>
        <w:t> </w:t>
      </w:r>
      <w:r>
        <w:rPr/>
        <w:t>Matter</w:t>
      </w:r>
    </w:p>
    <w:p>
      <w:pPr>
        <w:pStyle w:val="BodyText"/>
        <w:tabs>
          <w:tab w:pos="1407" w:val="left" w:leader="none"/>
        </w:tabs>
        <w:spacing w:before="120"/>
        <w:ind w:left="159"/>
      </w:pPr>
      <w:r>
        <w:rPr>
          <w:b/>
        </w:rPr>
        <w:t>SOC</w:t>
        <w:tab/>
      </w:r>
      <w:r>
        <w:rPr/>
        <w:t>Soil Organic Carbon</w:t>
      </w:r>
    </w:p>
    <w:p>
      <w:pPr>
        <w:pStyle w:val="BodyText"/>
        <w:tabs>
          <w:tab w:pos="1407" w:val="left" w:leader="none"/>
        </w:tabs>
        <w:spacing w:before="121"/>
        <w:ind w:left="1407" w:right="178" w:hanging="1248"/>
      </w:pPr>
      <w:r>
        <w:rPr>
          <w:b/>
        </w:rPr>
        <w:t>SPOT</w:t>
        <w:tab/>
      </w:r>
      <w:r>
        <w:rPr/>
        <w:t>Système Probatoire d’Observation de la</w:t>
      </w:r>
      <w:r>
        <w:rPr>
          <w:spacing w:val="-1"/>
        </w:rPr>
        <w:t> </w:t>
      </w:r>
      <w:r>
        <w:rPr/>
        <w:t>Terre</w:t>
      </w:r>
    </w:p>
    <w:p>
      <w:pPr>
        <w:pStyle w:val="BodyText"/>
        <w:tabs>
          <w:tab w:pos="1407" w:val="left" w:leader="none"/>
        </w:tabs>
        <w:spacing w:before="121"/>
        <w:ind w:left="159"/>
      </w:pPr>
      <w:r>
        <w:rPr>
          <w:b/>
        </w:rPr>
        <w:t>SS</w:t>
        <w:tab/>
      </w:r>
      <w:r>
        <w:rPr/>
        <w:t>Settlements remaining</w:t>
      </w:r>
      <w:r>
        <w:rPr>
          <w:spacing w:val="-5"/>
        </w:rPr>
        <w:t> </w:t>
      </w:r>
      <w:r>
        <w:rPr/>
        <w:t>settlements</w:t>
      </w:r>
    </w:p>
    <w:p>
      <w:pPr>
        <w:pStyle w:val="BodyText"/>
        <w:tabs>
          <w:tab w:pos="1407" w:val="left" w:leader="none"/>
        </w:tabs>
        <w:spacing w:line="229" w:lineRule="exact" w:before="120"/>
        <w:ind w:left="159"/>
      </w:pPr>
      <w:r>
        <w:rPr>
          <w:b/>
        </w:rPr>
        <w:t>TNPP</w:t>
        <w:tab/>
      </w:r>
      <w:r>
        <w:rPr/>
        <w:t>Total net primary</w:t>
      </w:r>
      <w:r>
        <w:rPr>
          <w:spacing w:val="-5"/>
        </w:rPr>
        <w:t> </w:t>
      </w:r>
      <w:r>
        <w:rPr/>
        <w:t>productivity</w:t>
      </w:r>
    </w:p>
    <w:p>
      <w:pPr>
        <w:pStyle w:val="BodyText"/>
        <w:spacing w:line="229" w:lineRule="exact"/>
        <w:ind w:left="1407"/>
      </w:pPr>
      <w:r>
        <w:rPr/>
        <w:t>(g/m</w:t>
      </w:r>
      <w:r>
        <w:rPr>
          <w:vertAlign w:val="superscript"/>
        </w:rPr>
        <w:t>2</w:t>
      </w:r>
      <w:r>
        <w:rPr>
          <w:vertAlign w:val="baseline"/>
        </w:rPr>
        <w:t>/year)</w:t>
      </w:r>
    </w:p>
    <w:p>
      <w:pPr>
        <w:pStyle w:val="BodyText"/>
        <w:tabs>
          <w:tab w:pos="1407" w:val="left" w:leader="none"/>
        </w:tabs>
        <w:spacing w:before="120"/>
        <w:ind w:left="159"/>
      </w:pPr>
      <w:r>
        <w:rPr>
          <w:b/>
        </w:rPr>
        <w:t>TOR</w:t>
        <w:tab/>
      </w:r>
      <w:r>
        <w:rPr/>
        <w:t>Terms of</w:t>
      </w:r>
      <w:r>
        <w:rPr>
          <w:spacing w:val="-1"/>
        </w:rPr>
        <w:t> </w:t>
      </w:r>
      <w:r>
        <w:rPr/>
        <w:t>Reference</w:t>
      </w:r>
    </w:p>
    <w:p>
      <w:pPr>
        <w:tabs>
          <w:tab w:pos="1407" w:val="left" w:leader="none"/>
        </w:tabs>
        <w:spacing w:before="121"/>
        <w:ind w:left="159" w:right="0" w:firstLine="0"/>
        <w:jc w:val="left"/>
        <w:rPr>
          <w:sz w:val="20"/>
        </w:rPr>
      </w:pPr>
      <w:r>
        <w:rPr>
          <w:b/>
          <w:sz w:val="20"/>
        </w:rPr>
        <w:t>UNECE</w:t>
        <w:tab/>
      </w:r>
      <w:r>
        <w:rPr>
          <w:sz w:val="20"/>
        </w:rPr>
        <w:t>United Nations</w:t>
      </w:r>
      <w:r>
        <w:rPr>
          <w:spacing w:val="-1"/>
          <w:sz w:val="20"/>
        </w:rPr>
        <w:t> </w:t>
      </w:r>
      <w:r>
        <w:rPr>
          <w:sz w:val="20"/>
        </w:rPr>
        <w:t>Economic</w:t>
      </w:r>
    </w:p>
    <w:p>
      <w:pPr>
        <w:pStyle w:val="BodyText"/>
        <w:ind w:left="1407"/>
      </w:pPr>
      <w:r>
        <w:rPr/>
        <w:t>Commission for Europe</w:t>
      </w:r>
    </w:p>
    <w:p>
      <w:pPr>
        <w:pStyle w:val="BodyText"/>
        <w:tabs>
          <w:tab w:pos="1407" w:val="left" w:leader="none"/>
        </w:tabs>
        <w:spacing w:line="229" w:lineRule="exact" w:before="121"/>
        <w:ind w:left="159"/>
      </w:pPr>
      <w:r>
        <w:rPr>
          <w:b/>
        </w:rPr>
        <w:t>UNCED</w:t>
        <w:tab/>
      </w:r>
      <w:r>
        <w:rPr/>
        <w:t>United Nations Conference</w:t>
      </w:r>
      <w:r>
        <w:rPr>
          <w:spacing w:val="-2"/>
        </w:rPr>
        <w:t> </w:t>
      </w:r>
      <w:r>
        <w:rPr/>
        <w:t>on</w:t>
      </w:r>
    </w:p>
    <w:p>
      <w:pPr>
        <w:pStyle w:val="BodyText"/>
        <w:spacing w:line="229" w:lineRule="exact"/>
        <w:ind w:left="1407"/>
      </w:pPr>
      <w:r>
        <w:rPr/>
        <w:t>Environment and Development</w:t>
      </w:r>
    </w:p>
    <w:p>
      <w:pPr>
        <w:spacing w:before="120"/>
        <w:ind w:left="159" w:right="0" w:firstLine="0"/>
        <w:jc w:val="left"/>
        <w:rPr>
          <w:sz w:val="20"/>
        </w:rPr>
      </w:pPr>
      <w:r>
        <w:rPr>
          <w:b/>
          <w:sz w:val="20"/>
        </w:rPr>
        <w:t>UNEP-GRID </w:t>
      </w:r>
      <w:r>
        <w:rPr>
          <w:sz w:val="20"/>
        </w:rPr>
        <w:t>United Nations Environment</w:t>
      </w:r>
    </w:p>
    <w:p>
      <w:pPr>
        <w:pStyle w:val="BodyText"/>
        <w:ind w:left="1407" w:right="682"/>
      </w:pPr>
      <w:r>
        <w:rPr/>
        <w:t>Programme – Global Resource Information Database</w:t>
      </w:r>
    </w:p>
    <w:p>
      <w:pPr>
        <w:tabs>
          <w:tab w:pos="1407" w:val="left" w:leader="none"/>
        </w:tabs>
        <w:spacing w:before="121"/>
        <w:ind w:left="159" w:right="0" w:firstLine="0"/>
        <w:jc w:val="left"/>
        <w:rPr>
          <w:sz w:val="20"/>
        </w:rPr>
      </w:pPr>
      <w:r>
        <w:rPr>
          <w:b/>
          <w:sz w:val="20"/>
        </w:rPr>
        <w:t>UNFCCC</w:t>
        <w:tab/>
      </w:r>
      <w:r>
        <w:rPr>
          <w:sz w:val="20"/>
        </w:rPr>
        <w:t>United Nations</w:t>
      </w:r>
      <w:r>
        <w:rPr>
          <w:spacing w:val="-2"/>
          <w:sz w:val="20"/>
        </w:rPr>
        <w:t> </w:t>
      </w:r>
      <w:r>
        <w:rPr>
          <w:sz w:val="20"/>
        </w:rPr>
        <w:t>Framework</w:t>
      </w:r>
    </w:p>
    <w:p>
      <w:pPr>
        <w:pStyle w:val="BodyText"/>
        <w:spacing w:before="1"/>
        <w:ind w:left="1407"/>
      </w:pPr>
      <w:r>
        <w:rPr/>
        <w:t>Convention on Climate Change</w:t>
      </w:r>
    </w:p>
    <w:p>
      <w:pPr>
        <w:pStyle w:val="BodyText"/>
        <w:tabs>
          <w:tab w:pos="1407" w:val="left" w:leader="none"/>
        </w:tabs>
        <w:spacing w:before="118"/>
        <w:ind w:left="159"/>
      </w:pPr>
      <w:r>
        <w:rPr>
          <w:b/>
        </w:rPr>
        <w:t>URL</w:t>
        <w:tab/>
      </w:r>
      <w:r>
        <w:rPr/>
        <w:t>Uniform Resource</w:t>
      </w:r>
      <w:r>
        <w:rPr>
          <w:spacing w:val="-2"/>
        </w:rPr>
        <w:t> </w:t>
      </w:r>
      <w:r>
        <w:rPr/>
        <w:t>Locator</w:t>
      </w:r>
    </w:p>
    <w:p>
      <w:pPr>
        <w:pStyle w:val="BodyText"/>
        <w:tabs>
          <w:tab w:pos="1407" w:val="left" w:leader="none"/>
        </w:tabs>
        <w:spacing w:before="120"/>
        <w:ind w:left="1407" w:right="889" w:hanging="1248"/>
      </w:pPr>
      <w:r>
        <w:rPr>
          <w:b/>
        </w:rPr>
        <w:t>USDA</w:t>
        <w:tab/>
      </w:r>
      <w:r>
        <w:rPr/>
        <w:t>United States Department of Agriculture</w:t>
      </w:r>
    </w:p>
    <w:p>
      <w:pPr>
        <w:pStyle w:val="BodyText"/>
        <w:tabs>
          <w:tab w:pos="1407" w:val="left" w:leader="none"/>
        </w:tabs>
        <w:spacing w:before="121"/>
        <w:ind w:left="159"/>
      </w:pPr>
      <w:r>
        <w:rPr>
          <w:b/>
        </w:rPr>
        <w:t>USGS</w:t>
        <w:tab/>
      </w:r>
      <w:r>
        <w:rPr/>
        <w:t>United States Geologic</w:t>
      </w:r>
      <w:r>
        <w:rPr>
          <w:spacing w:val="-3"/>
        </w:rPr>
        <w:t> </w:t>
      </w:r>
      <w:r>
        <w:rPr/>
        <w:t>Survey</w:t>
      </w:r>
    </w:p>
    <w:p>
      <w:pPr>
        <w:spacing w:after="0"/>
        <w:sectPr>
          <w:type w:val="continuous"/>
          <w:pgSz w:w="11900" w:h="16840"/>
          <w:pgMar w:top="1060" w:bottom="280" w:left="1260" w:right="1240"/>
          <w:cols w:num="2" w:equalWidth="0">
            <w:col w:w="4415" w:space="404"/>
            <w:col w:w="4581"/>
          </w:cols>
        </w:sectPr>
      </w:pPr>
    </w:p>
    <w:p>
      <w:pPr>
        <w:pStyle w:val="BodyText"/>
      </w:pPr>
    </w:p>
    <w:p>
      <w:pPr>
        <w:pStyle w:val="BodyText"/>
        <w:spacing w:before="11"/>
        <w:rPr>
          <w:sz w:val="17"/>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8"/>
        <w:gridCol w:w="3371"/>
      </w:tblGrid>
      <w:tr>
        <w:trPr>
          <w:trHeight w:val="285" w:hRule="atLeast"/>
        </w:trPr>
        <w:tc>
          <w:tcPr>
            <w:tcW w:w="978" w:type="dxa"/>
          </w:tcPr>
          <w:p>
            <w:pPr>
              <w:pStyle w:val="TableParagraph"/>
              <w:spacing w:line="221" w:lineRule="exact"/>
              <w:ind w:left="50"/>
              <w:rPr>
                <w:b/>
                <w:sz w:val="20"/>
              </w:rPr>
            </w:pPr>
            <w:r>
              <w:rPr>
                <w:b/>
                <w:sz w:val="20"/>
              </w:rPr>
              <w:t>UTM</w:t>
            </w:r>
          </w:p>
        </w:tc>
        <w:tc>
          <w:tcPr>
            <w:tcW w:w="3371" w:type="dxa"/>
          </w:tcPr>
          <w:p>
            <w:pPr>
              <w:pStyle w:val="TableParagraph"/>
              <w:spacing w:line="221" w:lineRule="exact"/>
              <w:ind w:left="320"/>
              <w:rPr>
                <w:sz w:val="20"/>
              </w:rPr>
            </w:pPr>
            <w:r>
              <w:rPr>
                <w:sz w:val="20"/>
              </w:rPr>
              <w:t>Universal Transverse Mercator</w:t>
            </w:r>
          </w:p>
        </w:tc>
      </w:tr>
      <w:tr>
        <w:trPr>
          <w:trHeight w:val="350" w:hRule="atLeast"/>
        </w:trPr>
        <w:tc>
          <w:tcPr>
            <w:tcW w:w="978" w:type="dxa"/>
          </w:tcPr>
          <w:p>
            <w:pPr>
              <w:pStyle w:val="TableParagraph"/>
              <w:spacing w:before="55"/>
              <w:ind w:left="50"/>
              <w:rPr>
                <w:b/>
                <w:sz w:val="20"/>
              </w:rPr>
            </w:pPr>
            <w:r>
              <w:rPr>
                <w:b/>
                <w:sz w:val="20"/>
              </w:rPr>
              <w:t>VOCs</w:t>
            </w:r>
          </w:p>
        </w:tc>
        <w:tc>
          <w:tcPr>
            <w:tcW w:w="3371" w:type="dxa"/>
          </w:tcPr>
          <w:p>
            <w:pPr>
              <w:pStyle w:val="TableParagraph"/>
              <w:spacing w:before="55"/>
              <w:ind w:left="320"/>
              <w:rPr>
                <w:sz w:val="20"/>
              </w:rPr>
            </w:pPr>
            <w:r>
              <w:rPr>
                <w:sz w:val="20"/>
              </w:rPr>
              <w:t>Volatile organic compounds</w:t>
            </w:r>
          </w:p>
        </w:tc>
      </w:tr>
      <w:tr>
        <w:trPr>
          <w:trHeight w:val="350" w:hRule="atLeast"/>
        </w:trPr>
        <w:tc>
          <w:tcPr>
            <w:tcW w:w="978" w:type="dxa"/>
          </w:tcPr>
          <w:p>
            <w:pPr>
              <w:pStyle w:val="TableParagraph"/>
              <w:spacing w:before="55"/>
              <w:ind w:left="50"/>
              <w:rPr>
                <w:b/>
                <w:sz w:val="20"/>
              </w:rPr>
            </w:pPr>
            <w:r>
              <w:rPr>
                <w:b/>
                <w:sz w:val="20"/>
              </w:rPr>
              <w:t>WCD</w:t>
            </w:r>
          </w:p>
        </w:tc>
        <w:tc>
          <w:tcPr>
            <w:tcW w:w="3371" w:type="dxa"/>
          </w:tcPr>
          <w:p>
            <w:pPr>
              <w:pStyle w:val="TableParagraph"/>
              <w:spacing w:before="55"/>
              <w:ind w:left="319"/>
              <w:rPr>
                <w:sz w:val="20"/>
              </w:rPr>
            </w:pPr>
            <w:r>
              <w:rPr>
                <w:sz w:val="20"/>
              </w:rPr>
              <w:t>World Commission on Dams</w:t>
            </w:r>
          </w:p>
        </w:tc>
      </w:tr>
      <w:tr>
        <w:trPr>
          <w:trHeight w:val="350" w:hRule="atLeast"/>
        </w:trPr>
        <w:tc>
          <w:tcPr>
            <w:tcW w:w="978" w:type="dxa"/>
          </w:tcPr>
          <w:p>
            <w:pPr>
              <w:pStyle w:val="TableParagraph"/>
              <w:spacing w:before="55"/>
              <w:ind w:left="50"/>
              <w:rPr>
                <w:b/>
                <w:sz w:val="20"/>
              </w:rPr>
            </w:pPr>
            <w:r>
              <w:rPr>
                <w:b/>
                <w:sz w:val="20"/>
              </w:rPr>
              <w:t>WCRP</w:t>
            </w:r>
          </w:p>
        </w:tc>
        <w:tc>
          <w:tcPr>
            <w:tcW w:w="3371" w:type="dxa"/>
          </w:tcPr>
          <w:p>
            <w:pPr>
              <w:pStyle w:val="TableParagraph"/>
              <w:spacing w:before="55"/>
              <w:ind w:left="320"/>
              <w:rPr>
                <w:sz w:val="20"/>
              </w:rPr>
            </w:pPr>
            <w:r>
              <w:rPr>
                <w:sz w:val="20"/>
              </w:rPr>
              <w:t>World Climate Research Programme</w:t>
            </w:r>
          </w:p>
        </w:tc>
      </w:tr>
      <w:tr>
        <w:trPr>
          <w:trHeight w:val="350" w:hRule="atLeast"/>
        </w:trPr>
        <w:tc>
          <w:tcPr>
            <w:tcW w:w="978" w:type="dxa"/>
          </w:tcPr>
          <w:p>
            <w:pPr>
              <w:pStyle w:val="TableParagraph"/>
              <w:spacing w:before="55"/>
              <w:ind w:left="50"/>
              <w:rPr>
                <w:b/>
                <w:sz w:val="20"/>
              </w:rPr>
            </w:pPr>
            <w:r>
              <w:rPr>
                <w:b/>
                <w:sz w:val="20"/>
              </w:rPr>
              <w:t>WRB</w:t>
            </w:r>
          </w:p>
        </w:tc>
        <w:tc>
          <w:tcPr>
            <w:tcW w:w="3371" w:type="dxa"/>
          </w:tcPr>
          <w:p>
            <w:pPr>
              <w:pStyle w:val="TableParagraph"/>
              <w:spacing w:before="55"/>
              <w:ind w:left="320"/>
              <w:rPr>
                <w:sz w:val="20"/>
              </w:rPr>
            </w:pPr>
            <w:r>
              <w:rPr>
                <w:sz w:val="20"/>
              </w:rPr>
              <w:t>World Reference Base</w:t>
            </w:r>
          </w:p>
        </w:tc>
      </w:tr>
      <w:tr>
        <w:trPr>
          <w:trHeight w:val="349" w:hRule="atLeast"/>
        </w:trPr>
        <w:tc>
          <w:tcPr>
            <w:tcW w:w="978" w:type="dxa"/>
          </w:tcPr>
          <w:p>
            <w:pPr>
              <w:pStyle w:val="TableParagraph"/>
              <w:spacing w:before="55"/>
              <w:ind w:left="50"/>
              <w:rPr>
                <w:b/>
                <w:sz w:val="20"/>
              </w:rPr>
            </w:pPr>
            <w:r>
              <w:rPr>
                <w:b/>
                <w:sz w:val="20"/>
              </w:rPr>
              <w:t>WP</w:t>
            </w:r>
          </w:p>
        </w:tc>
        <w:tc>
          <w:tcPr>
            <w:tcW w:w="3371" w:type="dxa"/>
          </w:tcPr>
          <w:p>
            <w:pPr>
              <w:pStyle w:val="TableParagraph"/>
              <w:spacing w:before="55"/>
              <w:ind w:left="320"/>
              <w:rPr>
                <w:sz w:val="20"/>
              </w:rPr>
            </w:pPr>
            <w:r>
              <w:rPr>
                <w:sz w:val="20"/>
              </w:rPr>
              <w:t>Wood pulp</w:t>
            </w:r>
          </w:p>
        </w:tc>
      </w:tr>
      <w:tr>
        <w:trPr>
          <w:trHeight w:val="349" w:hRule="atLeast"/>
        </w:trPr>
        <w:tc>
          <w:tcPr>
            <w:tcW w:w="978" w:type="dxa"/>
          </w:tcPr>
          <w:p>
            <w:pPr>
              <w:pStyle w:val="TableParagraph"/>
              <w:spacing w:before="54"/>
              <w:ind w:left="50"/>
              <w:rPr>
                <w:b/>
                <w:sz w:val="20"/>
              </w:rPr>
            </w:pPr>
            <w:r>
              <w:rPr>
                <w:b/>
                <w:sz w:val="20"/>
              </w:rPr>
              <w:t>WSO</w:t>
            </w:r>
          </w:p>
        </w:tc>
        <w:tc>
          <w:tcPr>
            <w:tcW w:w="3371" w:type="dxa"/>
          </w:tcPr>
          <w:p>
            <w:pPr>
              <w:pStyle w:val="TableParagraph"/>
              <w:spacing w:before="54"/>
              <w:ind w:left="320"/>
              <w:rPr>
                <w:sz w:val="20"/>
              </w:rPr>
            </w:pPr>
            <w:r>
              <w:rPr>
                <w:sz w:val="20"/>
              </w:rPr>
              <w:t>Wetlands, </w:t>
            </w:r>
            <w:r>
              <w:rPr>
                <w:spacing w:val="-3"/>
                <w:sz w:val="20"/>
              </w:rPr>
              <w:t>Settlements, </w:t>
            </w:r>
            <w:r>
              <w:rPr>
                <w:sz w:val="20"/>
              </w:rPr>
              <w:t>and Other land</w:t>
            </w:r>
          </w:p>
        </w:tc>
      </w:tr>
      <w:tr>
        <w:trPr>
          <w:trHeight w:val="350" w:hRule="atLeast"/>
        </w:trPr>
        <w:tc>
          <w:tcPr>
            <w:tcW w:w="978" w:type="dxa"/>
          </w:tcPr>
          <w:p>
            <w:pPr>
              <w:pStyle w:val="TableParagraph"/>
              <w:spacing w:before="55"/>
              <w:ind w:left="50"/>
              <w:rPr>
                <w:b/>
                <w:sz w:val="20"/>
              </w:rPr>
            </w:pPr>
            <w:r>
              <w:rPr>
                <w:b/>
                <w:sz w:val="20"/>
              </w:rPr>
              <w:t>WW</w:t>
            </w:r>
          </w:p>
        </w:tc>
        <w:tc>
          <w:tcPr>
            <w:tcW w:w="3371" w:type="dxa"/>
          </w:tcPr>
          <w:p>
            <w:pPr>
              <w:pStyle w:val="TableParagraph"/>
              <w:spacing w:before="55"/>
              <w:ind w:left="320"/>
              <w:rPr>
                <w:sz w:val="20"/>
              </w:rPr>
            </w:pPr>
            <w:r>
              <w:rPr>
                <w:sz w:val="20"/>
              </w:rPr>
              <w:t>Wetlands remaining wetlands</w:t>
            </w:r>
          </w:p>
        </w:tc>
      </w:tr>
      <w:tr>
        <w:trPr>
          <w:trHeight w:val="285" w:hRule="atLeast"/>
        </w:trPr>
        <w:tc>
          <w:tcPr>
            <w:tcW w:w="978" w:type="dxa"/>
          </w:tcPr>
          <w:p>
            <w:pPr>
              <w:pStyle w:val="TableParagraph"/>
              <w:spacing w:line="210" w:lineRule="exact" w:before="55"/>
              <w:ind w:left="50"/>
              <w:rPr>
                <w:b/>
                <w:sz w:val="20"/>
              </w:rPr>
            </w:pPr>
            <w:r>
              <w:rPr>
                <w:b/>
                <w:sz w:val="20"/>
              </w:rPr>
              <w:t>yr</w:t>
            </w:r>
          </w:p>
        </w:tc>
        <w:tc>
          <w:tcPr>
            <w:tcW w:w="3371" w:type="dxa"/>
          </w:tcPr>
          <w:p>
            <w:pPr>
              <w:pStyle w:val="TableParagraph"/>
              <w:spacing w:line="210" w:lineRule="exact" w:before="55"/>
              <w:ind w:left="320"/>
              <w:rPr>
                <w:sz w:val="20"/>
              </w:rPr>
            </w:pPr>
            <w:r>
              <w:rPr>
                <w:sz w:val="20"/>
              </w:rPr>
              <w:t>Year</w:t>
            </w:r>
          </w:p>
        </w:tc>
      </w:tr>
    </w:tbl>
    <w:p>
      <w:pPr>
        <w:spacing w:after="0" w:line="210" w:lineRule="exact"/>
        <w:rPr>
          <w:sz w:val="20"/>
        </w:rPr>
        <w:sectPr>
          <w:headerReference w:type="default" r:id="rId471"/>
          <w:pgSz w:w="11900" w:h="16840"/>
          <w:pgMar w:header="230" w:footer="408" w:top="580" w:bottom="600" w:left="1260" w:right="1240"/>
        </w:sectPr>
      </w:pPr>
    </w:p>
    <w:p>
      <w:pPr>
        <w:pStyle w:val="BodyText"/>
      </w:pPr>
    </w:p>
    <w:p>
      <w:pPr>
        <w:pStyle w:val="BodyText"/>
        <w:rPr>
          <w:sz w:val="27"/>
        </w:rPr>
      </w:pPr>
    </w:p>
    <w:p>
      <w:pPr>
        <w:tabs>
          <w:tab w:pos="2064" w:val="left" w:leader="none"/>
          <w:tab w:pos="9259" w:val="left" w:leader="none"/>
        </w:tabs>
        <w:spacing w:before="80"/>
        <w:ind w:left="159" w:right="0" w:firstLine="0"/>
        <w:jc w:val="left"/>
        <w:rPr>
          <w:b/>
          <w:sz w:val="48"/>
        </w:rPr>
      </w:pPr>
      <w:r>
        <w:rPr>
          <w:b/>
          <w:spacing w:val="39"/>
          <w:sz w:val="48"/>
          <w:u w:val="thick"/>
        </w:rPr>
        <w:t>A</w:t>
      </w:r>
      <w:r>
        <w:rPr>
          <w:b/>
          <w:spacing w:val="39"/>
          <w:sz w:val="38"/>
          <w:u w:val="thick"/>
        </w:rPr>
        <w:t>NN</w:t>
      </w:r>
      <w:r>
        <w:rPr>
          <w:b/>
          <w:spacing w:val="-37"/>
          <w:sz w:val="38"/>
          <w:u w:val="thick"/>
        </w:rPr>
        <w:t> </w:t>
      </w:r>
      <w:r>
        <w:rPr>
          <w:b/>
          <w:sz w:val="38"/>
          <w:u w:val="thick"/>
        </w:rPr>
        <w:t>E</w:t>
      </w:r>
      <w:r>
        <w:rPr>
          <w:b/>
          <w:spacing w:val="-36"/>
          <w:sz w:val="38"/>
          <w:u w:val="thick"/>
        </w:rPr>
        <w:t> </w:t>
      </w:r>
      <w:r>
        <w:rPr>
          <w:b/>
          <w:sz w:val="38"/>
          <w:u w:val="thick"/>
        </w:rPr>
        <w:t>X</w:t>
        <w:tab/>
      </w:r>
      <w:r>
        <w:rPr>
          <w:b/>
          <w:sz w:val="48"/>
          <w:u w:val="thick"/>
        </w:rPr>
        <w:t>A</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1"/>
      </w:pPr>
      <w:r>
        <w:rPr/>
        <w:t>GLOSSARY</w:t>
      </w:r>
    </w:p>
    <w:p>
      <w:pPr>
        <w:spacing w:after="0"/>
        <w:sectPr>
          <w:headerReference w:type="even" r:id="rId472"/>
          <w:footerReference w:type="even" r:id="rId473"/>
          <w:footerReference w:type="default" r:id="rId474"/>
          <w:pgSz w:w="11900" w:h="16840"/>
          <w:pgMar w:header="0" w:footer="408" w:top="1600" w:bottom="600" w:left="1260" w:right="1240"/>
        </w:sectPr>
      </w:pPr>
    </w:p>
    <w:p>
      <w:pPr>
        <w:pStyle w:val="BodyText"/>
        <w:rPr>
          <w:b/>
        </w:rPr>
      </w:pPr>
    </w:p>
    <w:p>
      <w:pPr>
        <w:pStyle w:val="BodyText"/>
        <w:spacing w:before="1"/>
        <w:rPr>
          <w:b/>
          <w:sz w:val="21"/>
        </w:rPr>
      </w:pPr>
    </w:p>
    <w:p>
      <w:pPr>
        <w:pStyle w:val="Heading6"/>
        <w:spacing w:before="92"/>
      </w:pPr>
      <w:r>
        <w:rPr/>
        <w:t>ABOVEGROUND BIOMASS</w:t>
      </w:r>
    </w:p>
    <w:p>
      <w:pPr>
        <w:pStyle w:val="BodyText"/>
        <w:spacing w:before="116"/>
        <w:ind w:left="159"/>
      </w:pPr>
      <w:r>
        <w:rPr/>
        <w:t>All living biomass above the soil including stem, stump, branches, bark, seeds, and foliage.</w:t>
      </w:r>
    </w:p>
    <w:p>
      <w:pPr>
        <w:pStyle w:val="BodyText"/>
        <w:spacing w:before="120"/>
        <w:ind w:left="159" w:right="163"/>
        <w:jc w:val="both"/>
      </w:pPr>
      <w:r>
        <w:rPr/>
        <w:t>Note: In cases where forest understorey is a relatively small component of the aboveground biomass carbon pool, it is acceptable for the methodologies and associated data used in some tiers to exclude it, provided the tiers are used in a consistent manner throughout the inventory time series as specified in Chapter</w:t>
      </w:r>
      <w:r>
        <w:rPr>
          <w:spacing w:val="-17"/>
        </w:rPr>
        <w:t> </w:t>
      </w:r>
      <w:r>
        <w:rPr/>
        <w:t>5.</w:t>
      </w:r>
    </w:p>
    <w:p>
      <w:pPr>
        <w:pStyle w:val="BodyText"/>
        <w:rPr>
          <w:sz w:val="22"/>
        </w:rPr>
      </w:pPr>
    </w:p>
    <w:p>
      <w:pPr>
        <w:pStyle w:val="BodyText"/>
        <w:spacing w:before="8"/>
        <w:rPr>
          <w:sz w:val="29"/>
        </w:rPr>
      </w:pPr>
    </w:p>
    <w:p>
      <w:pPr>
        <w:pStyle w:val="Heading6"/>
        <w:spacing w:before="1"/>
        <w:jc w:val="both"/>
      </w:pPr>
      <w:r>
        <w:rPr/>
        <w:t>ABSOLUTE ERROR</w:t>
      </w:r>
    </w:p>
    <w:p>
      <w:pPr>
        <w:pStyle w:val="BodyText"/>
        <w:spacing w:before="113"/>
        <w:ind w:left="159"/>
        <w:jc w:val="both"/>
      </w:pPr>
      <w:r>
        <w:rPr>
          <w:spacing w:val="-4"/>
        </w:rPr>
        <w:t>Maximum tolerable error which </w:t>
      </w:r>
      <w:r>
        <w:rPr>
          <w:spacing w:val="-3"/>
        </w:rPr>
        <w:t>is </w:t>
      </w:r>
      <w:r>
        <w:rPr>
          <w:spacing w:val="-4"/>
        </w:rPr>
        <w:t>defined </w:t>
      </w:r>
      <w:r>
        <w:rPr/>
        <w:t>as an </w:t>
      </w:r>
      <w:r>
        <w:rPr>
          <w:spacing w:val="-3"/>
        </w:rPr>
        <w:t>actual </w:t>
      </w:r>
      <w:r>
        <w:rPr>
          <w:spacing w:val="-4"/>
        </w:rPr>
        <w:t>range independent </w:t>
      </w:r>
      <w:r>
        <w:rPr/>
        <w:t>of </w:t>
      </w:r>
      <w:r>
        <w:rPr>
          <w:spacing w:val="-3"/>
        </w:rPr>
        <w:t>the </w:t>
      </w:r>
      <w:r>
        <w:rPr>
          <w:spacing w:val="-4"/>
        </w:rPr>
        <w:t>value </w:t>
      </w:r>
      <w:r>
        <w:rPr/>
        <w:t>of </w:t>
      </w:r>
      <w:r>
        <w:rPr>
          <w:spacing w:val="-3"/>
        </w:rPr>
        <w:t>the </w:t>
      </w:r>
      <w:r>
        <w:rPr>
          <w:spacing w:val="-4"/>
        </w:rPr>
        <w:t>variable </w:t>
      </w:r>
      <w:r>
        <w:rPr>
          <w:spacing w:val="-3"/>
        </w:rPr>
        <w:t>being </w:t>
      </w:r>
      <w:r>
        <w:rPr>
          <w:spacing w:val="-4"/>
        </w:rPr>
        <w:t>estimated.</w:t>
      </w:r>
    </w:p>
    <w:p>
      <w:pPr>
        <w:pStyle w:val="BodyText"/>
        <w:rPr>
          <w:sz w:val="22"/>
        </w:rPr>
      </w:pPr>
    </w:p>
    <w:p>
      <w:pPr>
        <w:pStyle w:val="BodyText"/>
        <w:spacing w:before="10"/>
        <w:rPr>
          <w:sz w:val="29"/>
        </w:rPr>
      </w:pPr>
    </w:p>
    <w:p>
      <w:pPr>
        <w:pStyle w:val="Heading6"/>
        <w:jc w:val="both"/>
      </w:pPr>
      <w:r>
        <w:rPr/>
        <w:t>ACTIVITY</w:t>
      </w:r>
    </w:p>
    <w:p>
      <w:pPr>
        <w:pStyle w:val="BodyText"/>
        <w:spacing w:before="114"/>
        <w:ind w:left="159"/>
        <w:jc w:val="both"/>
      </w:pPr>
      <w:r>
        <w:rPr/>
        <w:t>A practice or ensemble of practices that take place on a delineated area over a given period of time.</w:t>
      </w:r>
    </w:p>
    <w:p>
      <w:pPr>
        <w:pStyle w:val="BodyText"/>
        <w:rPr>
          <w:sz w:val="22"/>
        </w:rPr>
      </w:pPr>
    </w:p>
    <w:p>
      <w:pPr>
        <w:pStyle w:val="BodyText"/>
        <w:spacing w:before="9"/>
        <w:rPr>
          <w:sz w:val="29"/>
        </w:rPr>
      </w:pPr>
    </w:p>
    <w:p>
      <w:pPr>
        <w:pStyle w:val="Heading6"/>
        <w:jc w:val="both"/>
      </w:pPr>
      <w:r>
        <w:rPr/>
        <w:t>ACCOUNTING</w:t>
      </w:r>
    </w:p>
    <w:p>
      <w:pPr>
        <w:pStyle w:val="BodyText"/>
        <w:spacing w:before="114"/>
        <w:ind w:left="159"/>
        <w:jc w:val="both"/>
      </w:pPr>
      <w:r>
        <w:rPr/>
        <w:t>The rules for comparing emissions and removals as reported with commitments.</w:t>
      </w:r>
    </w:p>
    <w:p>
      <w:pPr>
        <w:pStyle w:val="BodyText"/>
        <w:rPr>
          <w:sz w:val="22"/>
        </w:rPr>
      </w:pPr>
    </w:p>
    <w:p>
      <w:pPr>
        <w:pStyle w:val="BodyText"/>
        <w:spacing w:before="7"/>
        <w:rPr>
          <w:sz w:val="29"/>
        </w:rPr>
      </w:pPr>
    </w:p>
    <w:p>
      <w:pPr>
        <w:pStyle w:val="Heading6"/>
        <w:jc w:val="both"/>
      </w:pPr>
      <w:r>
        <w:rPr/>
        <w:t>ACCURACY</w:t>
      </w:r>
    </w:p>
    <w:p>
      <w:pPr>
        <w:pStyle w:val="BodyText"/>
        <w:spacing w:before="116"/>
        <w:ind w:left="159" w:right="164"/>
        <w:jc w:val="both"/>
      </w:pPr>
      <w:r>
        <w:rPr>
          <w:b/>
        </w:rPr>
        <w:t>Inventory definition: </w:t>
      </w:r>
      <w:r>
        <w:rPr/>
        <w:t>Accuracy is a relative measure of the exactness of an emission or removal estimate. Estimates should be accurate in the sense that they are systematically neither over nor under true emissions or removals, so far as can be judged, and that uncertainties are reduced so far as is practicable. Appropriate methodologies conforming to guidance on </w:t>
      </w:r>
      <w:r>
        <w:rPr>
          <w:i/>
        </w:rPr>
        <w:t>good practices </w:t>
      </w:r>
      <w:r>
        <w:rPr/>
        <w:t>should be used to promote accuracy in inventories. (FCCC/SBSTA/1999/6/Add. 1)</w:t>
      </w:r>
    </w:p>
    <w:p>
      <w:pPr>
        <w:pStyle w:val="BodyText"/>
        <w:spacing w:before="118"/>
        <w:ind w:left="159" w:right="166"/>
      </w:pPr>
      <w:r>
        <w:rPr/>
        <w:drawing>
          <wp:anchor distT="0" distB="0" distL="0" distR="0" allowOverlap="1" layoutInCell="1" locked="0" behindDoc="0" simplePos="0" relativeHeight="1343">
            <wp:simplePos x="0" y="0"/>
            <wp:positionH relativeFrom="page">
              <wp:posOffset>933203</wp:posOffset>
            </wp:positionH>
            <wp:positionV relativeFrom="paragraph">
              <wp:posOffset>448010</wp:posOffset>
            </wp:positionV>
            <wp:extent cx="3630337" cy="1885950"/>
            <wp:effectExtent l="0" t="0" r="0" b="0"/>
            <wp:wrapTopAndBottom/>
            <wp:docPr id="39" name="image126.png" descr=""/>
            <wp:cNvGraphicFramePr>
              <a:graphicFrameLocks noChangeAspect="1"/>
            </wp:cNvGraphicFramePr>
            <a:graphic>
              <a:graphicData uri="http://schemas.openxmlformats.org/drawingml/2006/picture">
                <pic:pic>
                  <pic:nvPicPr>
                    <pic:cNvPr id="40" name="image126.png"/>
                    <pic:cNvPicPr/>
                  </pic:nvPicPr>
                  <pic:blipFill>
                    <a:blip r:embed="rId477" cstate="print"/>
                    <a:stretch>
                      <a:fillRect/>
                    </a:stretch>
                  </pic:blipFill>
                  <pic:spPr>
                    <a:xfrm>
                      <a:off x="0" y="0"/>
                      <a:ext cx="3630337" cy="1885950"/>
                    </a:xfrm>
                    <a:prstGeom prst="rect">
                      <a:avLst/>
                    </a:prstGeom>
                  </pic:spPr>
                </pic:pic>
              </a:graphicData>
            </a:graphic>
          </wp:anchor>
        </w:drawing>
      </w:r>
      <w:r>
        <w:rPr>
          <w:b/>
        </w:rPr>
        <w:t>Statistical definition: </w:t>
      </w:r>
      <w:r>
        <w:rPr/>
        <w:t>Accuracy is a general term which describes the degree to which an estimate of a quantity is unaffected by bias due to systematic error. It should be distinguished from </w:t>
      </w:r>
      <w:r>
        <w:rPr>
          <w:u w:val="single"/>
        </w:rPr>
        <w:t>precision</w:t>
      </w:r>
      <w:r>
        <w:rPr/>
        <w:t> as illustrated below.</w:t>
      </w:r>
    </w:p>
    <w:p>
      <w:pPr>
        <w:pStyle w:val="Heading6"/>
        <w:spacing w:before="93"/>
      </w:pPr>
      <w:r>
        <w:rPr/>
        <w:t>ACTIVITY DATA</w:t>
      </w:r>
    </w:p>
    <w:p>
      <w:pPr>
        <w:pStyle w:val="BodyText"/>
        <w:spacing w:before="116"/>
        <w:ind w:left="159"/>
      </w:pPr>
      <w:r>
        <w:rPr>
          <w:b/>
        </w:rPr>
        <w:t>Inventory definition: </w:t>
      </w:r>
      <w:r>
        <w:rPr/>
        <w:t>Data on the magnitude of human activity resulting in emissions or removals taking place during a given period of time.</w:t>
      </w:r>
    </w:p>
    <w:p>
      <w:pPr>
        <w:pStyle w:val="BodyText"/>
        <w:spacing w:before="118"/>
        <w:ind w:left="159"/>
      </w:pPr>
      <w:r>
        <w:rPr>
          <w:spacing w:val="-3"/>
        </w:rPr>
        <w:t>In the </w:t>
      </w:r>
      <w:r>
        <w:rPr>
          <w:spacing w:val="-4"/>
        </w:rPr>
        <w:t>LULUCF sector, data </w:t>
      </w:r>
      <w:r>
        <w:rPr/>
        <w:t>on </w:t>
      </w:r>
      <w:r>
        <w:rPr>
          <w:spacing w:val="-4"/>
        </w:rPr>
        <w:t>land areas, management systems, lime </w:t>
      </w:r>
      <w:r>
        <w:rPr>
          <w:spacing w:val="-3"/>
        </w:rPr>
        <w:t>and </w:t>
      </w:r>
      <w:r>
        <w:rPr>
          <w:spacing w:val="-4"/>
        </w:rPr>
        <w:t>fertilizer use </w:t>
      </w:r>
      <w:r>
        <w:rPr>
          <w:spacing w:val="-3"/>
        </w:rPr>
        <w:t>are examples </w:t>
      </w:r>
      <w:r>
        <w:rPr/>
        <w:t>of </w:t>
      </w:r>
      <w:r>
        <w:rPr>
          <w:spacing w:val="-4"/>
        </w:rPr>
        <w:t>activity </w:t>
      </w:r>
      <w:r>
        <w:rPr>
          <w:spacing w:val="-5"/>
        </w:rPr>
        <w:t>data.</w:t>
      </w:r>
    </w:p>
    <w:p>
      <w:pPr>
        <w:pStyle w:val="BodyText"/>
        <w:rPr>
          <w:sz w:val="22"/>
        </w:rPr>
      </w:pPr>
    </w:p>
    <w:p>
      <w:pPr>
        <w:pStyle w:val="BodyText"/>
        <w:spacing w:before="10"/>
        <w:rPr>
          <w:sz w:val="29"/>
        </w:rPr>
      </w:pPr>
    </w:p>
    <w:p>
      <w:pPr>
        <w:pStyle w:val="Heading6"/>
      </w:pPr>
      <w:r>
        <w:rPr>
          <w:spacing w:val="17"/>
        </w:rPr>
        <w:t>AFFORESTATION</w:t>
      </w:r>
      <w:r>
        <w:rPr>
          <w:spacing w:val="-35"/>
        </w:rPr>
        <w:t> </w:t>
      </w:r>
      <w:r>
        <w:rPr>
          <w:vertAlign w:val="superscript"/>
        </w:rPr>
        <w:t>1</w:t>
      </w:r>
    </w:p>
    <w:p>
      <w:pPr>
        <w:pStyle w:val="BodyText"/>
        <w:spacing w:before="114"/>
        <w:ind w:left="159" w:right="166"/>
      </w:pPr>
      <w:r>
        <w:rPr/>
        <w:t>The direct human-induced conversion of land that has not been forested for a period of at least 50 years to forested land through planting, seeding and/or the human-induced promotion of natural seed sources.</w:t>
      </w:r>
    </w:p>
    <w:p>
      <w:pPr>
        <w:pStyle w:val="BodyText"/>
        <w:spacing w:before="4"/>
      </w:pPr>
      <w:r>
        <w:rPr/>
        <w:pict>
          <v:line style="position:absolute;mso-position-horizontal-relative:page;mso-position-vertical-relative:paragraph;z-index:31232;mso-wrap-distance-left:0;mso-wrap-distance-right:0" from="70.960999pt,13.944821pt" to="214.960999pt,13.944821pt" stroked="true" strokeweight=".48pt" strokecolor="#000000">
            <v:stroke dashstyle="solid"/>
            <w10:wrap type="topAndBottom"/>
          </v:line>
        </w:pict>
      </w:r>
    </w:p>
    <w:p>
      <w:pPr>
        <w:spacing w:before="30"/>
        <w:ind w:left="159" w:right="0" w:firstLine="0"/>
        <w:jc w:val="left"/>
        <w:rPr>
          <w:sz w:val="18"/>
        </w:rPr>
      </w:pPr>
      <w:r>
        <w:rPr>
          <w:position w:val="8"/>
          <w:sz w:val="12"/>
        </w:rPr>
        <w:t>1 </w:t>
      </w:r>
      <w:r>
        <w:rPr>
          <w:sz w:val="18"/>
        </w:rPr>
        <w:t>In the context of the Kyoto Protocol, as stipulated by the Marrakesh Accords, cf. paragraph 1 of the Annex to draft decision</w:t>
      </w:r>
    </w:p>
    <w:p>
      <w:pPr>
        <w:spacing w:before="2"/>
        <w:ind w:left="300" w:right="0" w:firstLine="0"/>
        <w:jc w:val="left"/>
        <w:rPr>
          <w:sz w:val="18"/>
        </w:rPr>
      </w:pPr>
      <w:r>
        <w:rPr>
          <w:sz w:val="18"/>
        </w:rPr>
        <w:t>-/CMP.1 (Land use, land-use change and forestry) contained in document FCCC/CP/2001/13/Add.1, p.58.</w:t>
      </w:r>
    </w:p>
    <w:p>
      <w:pPr>
        <w:spacing w:after="0"/>
        <w:jc w:val="left"/>
        <w:rPr>
          <w:sz w:val="18"/>
        </w:rPr>
        <w:sectPr>
          <w:headerReference w:type="default" r:id="rId475"/>
          <w:headerReference w:type="even" r:id="rId476"/>
          <w:pgSz w:w="11900" w:h="16840"/>
          <w:pgMar w:header="230" w:footer="408" w:top="560" w:bottom="600" w:left="1260" w:right="1240"/>
        </w:sectPr>
      </w:pPr>
    </w:p>
    <w:p>
      <w:pPr>
        <w:pStyle w:val="BodyText"/>
      </w:pPr>
    </w:p>
    <w:p>
      <w:pPr>
        <w:pStyle w:val="Heading6"/>
        <w:spacing w:before="214"/>
      </w:pPr>
      <w:r>
        <w:rPr/>
        <w:t>ANTHROPOGENIC</w:t>
      </w:r>
    </w:p>
    <w:p>
      <w:pPr>
        <w:pStyle w:val="BodyText"/>
        <w:spacing w:before="117"/>
        <w:ind w:left="159" w:right="169"/>
        <w:jc w:val="both"/>
      </w:pPr>
      <w:r>
        <w:rPr/>
        <w:t>Man-made, resulting from human activities. In the </w:t>
      </w:r>
      <w:r>
        <w:rPr>
          <w:i/>
        </w:rPr>
        <w:t>IPCC Guidelines</w:t>
      </w:r>
      <w:r>
        <w:rPr/>
        <w:t>, anthropogenic emissions are distinguished from natural emissions. Many of the greenhouse gases are also emitted naturally. It is only the man-made increments over natural emissions which may be perturbing natural balances.</w:t>
      </w:r>
    </w:p>
    <w:p>
      <w:pPr>
        <w:pStyle w:val="BodyText"/>
        <w:spacing w:before="118"/>
        <w:ind w:left="159"/>
        <w:jc w:val="both"/>
      </w:pPr>
      <w:r>
        <w:rPr/>
        <w:t>In this </w:t>
      </w:r>
      <w:r>
        <w:rPr>
          <w:i/>
        </w:rPr>
        <w:t>LULUCF-GPG</w:t>
      </w:r>
      <w:r>
        <w:rPr/>
        <w:t>, all emissions and removals of managed lands are seen as anthropogenic.</w:t>
      </w:r>
    </w:p>
    <w:p>
      <w:pPr>
        <w:pStyle w:val="BodyText"/>
        <w:rPr>
          <w:sz w:val="22"/>
        </w:rPr>
      </w:pPr>
    </w:p>
    <w:p>
      <w:pPr>
        <w:pStyle w:val="BodyText"/>
        <w:spacing w:before="7"/>
        <w:rPr>
          <w:sz w:val="29"/>
        </w:rPr>
      </w:pPr>
    </w:p>
    <w:p>
      <w:pPr>
        <w:pStyle w:val="Heading6"/>
        <w:spacing w:before="1"/>
        <w:jc w:val="both"/>
      </w:pPr>
      <w:r>
        <w:rPr/>
        <w:t>ARITHMETIC MEAN</w:t>
      </w:r>
    </w:p>
    <w:p>
      <w:pPr>
        <w:spacing w:before="116"/>
        <w:ind w:left="159" w:right="0" w:firstLine="0"/>
        <w:jc w:val="both"/>
        <w:rPr>
          <w:sz w:val="20"/>
        </w:rPr>
      </w:pPr>
      <w:r>
        <w:rPr>
          <w:b/>
          <w:sz w:val="20"/>
        </w:rPr>
        <w:t>Statistical definition: </w:t>
      </w:r>
      <w:r>
        <w:rPr>
          <w:sz w:val="20"/>
        </w:rPr>
        <w:t>The sum of the values divided by the number of values.</w:t>
      </w:r>
    </w:p>
    <w:p>
      <w:pPr>
        <w:pStyle w:val="BodyText"/>
        <w:rPr>
          <w:sz w:val="22"/>
        </w:rPr>
      </w:pPr>
    </w:p>
    <w:p>
      <w:pPr>
        <w:pStyle w:val="BodyText"/>
        <w:spacing w:before="7"/>
        <w:rPr>
          <w:sz w:val="29"/>
        </w:rPr>
      </w:pPr>
    </w:p>
    <w:p>
      <w:pPr>
        <w:pStyle w:val="Heading6"/>
        <w:jc w:val="both"/>
      </w:pPr>
      <w:r>
        <w:rPr/>
        <w:t>BASIC WOOD DENSITY</w:t>
      </w:r>
    </w:p>
    <w:p>
      <w:pPr>
        <w:pStyle w:val="BodyText"/>
        <w:spacing w:before="116"/>
        <w:ind w:left="159"/>
      </w:pPr>
      <w:r>
        <w:rPr/>
        <w:t>Ratio between oven dry mass and fresh stem-wood volume without bark. It allows the calculation of woody biomass in dry matter mass.</w:t>
      </w:r>
    </w:p>
    <w:p>
      <w:pPr>
        <w:pStyle w:val="BodyText"/>
        <w:rPr>
          <w:sz w:val="22"/>
        </w:rPr>
      </w:pPr>
    </w:p>
    <w:p>
      <w:pPr>
        <w:pStyle w:val="BodyText"/>
        <w:spacing w:before="8"/>
        <w:rPr>
          <w:sz w:val="29"/>
        </w:rPr>
      </w:pPr>
    </w:p>
    <w:p>
      <w:pPr>
        <w:pStyle w:val="Heading6"/>
      </w:pPr>
      <w:r>
        <w:rPr/>
        <w:t>BELOWGROUND BIOMASS</w:t>
      </w:r>
    </w:p>
    <w:p>
      <w:pPr>
        <w:pStyle w:val="BodyText"/>
        <w:spacing w:before="114"/>
        <w:ind w:left="159" w:right="166"/>
      </w:pPr>
      <w:r>
        <w:rPr/>
        <w:t>All living biomass of live roots. Fine roots of less than (suggested) 2mm diameter are sometimes excluded because these often cannot be distinguished empirically from soil organic matter or litter.</w:t>
      </w:r>
    </w:p>
    <w:p>
      <w:pPr>
        <w:pStyle w:val="BodyText"/>
        <w:rPr>
          <w:sz w:val="22"/>
        </w:rPr>
      </w:pPr>
    </w:p>
    <w:p>
      <w:pPr>
        <w:pStyle w:val="BodyText"/>
        <w:spacing w:before="9"/>
        <w:rPr>
          <w:sz w:val="29"/>
        </w:rPr>
      </w:pPr>
    </w:p>
    <w:p>
      <w:pPr>
        <w:pStyle w:val="Heading6"/>
        <w:spacing w:before="1"/>
      </w:pPr>
      <w:r>
        <w:rPr/>
        <w:t>BIAS</w:t>
      </w:r>
    </w:p>
    <w:p>
      <w:pPr>
        <w:pStyle w:val="BodyText"/>
        <w:spacing w:before="113"/>
        <w:ind w:left="159" w:right="164"/>
        <w:jc w:val="both"/>
      </w:pPr>
      <w:r>
        <w:rPr>
          <w:b/>
        </w:rPr>
        <w:t>Inventory definition: </w:t>
      </w:r>
      <w:r>
        <w:rPr/>
        <w:t>A systematic error of the observation method, whose value in most cases is unknown. It can be introduced by using measuring equipment that is improperly calibrated, by selecting items from a wrong population or by favouring certain elements of a population, etc.</w:t>
      </w:r>
    </w:p>
    <w:p>
      <w:pPr>
        <w:pStyle w:val="BodyText"/>
        <w:rPr>
          <w:sz w:val="22"/>
        </w:rPr>
      </w:pPr>
    </w:p>
    <w:p>
      <w:pPr>
        <w:pStyle w:val="BodyText"/>
        <w:spacing w:before="8"/>
        <w:rPr>
          <w:sz w:val="29"/>
        </w:rPr>
      </w:pPr>
    </w:p>
    <w:p>
      <w:pPr>
        <w:pStyle w:val="Heading6"/>
        <w:spacing w:before="1"/>
      </w:pPr>
      <w:r>
        <w:rPr/>
        <w:t>BIOMASS</w:t>
      </w:r>
    </w:p>
    <w:p>
      <w:pPr>
        <w:pStyle w:val="BodyText"/>
        <w:spacing w:before="113"/>
        <w:ind w:left="159"/>
      </w:pPr>
      <w:r>
        <w:rPr/>
        <w:t>Organic material both aboveground and belowground, and both living and dead, e.g., trees, crops, grasses, tree litter, roots etc. Biomass includes the pool definition for above - and below - ground biomass.</w:t>
      </w:r>
    </w:p>
    <w:p>
      <w:pPr>
        <w:pStyle w:val="BodyText"/>
        <w:rPr>
          <w:sz w:val="22"/>
        </w:rPr>
      </w:pPr>
    </w:p>
    <w:p>
      <w:pPr>
        <w:pStyle w:val="BodyText"/>
        <w:spacing w:before="10"/>
        <w:rPr>
          <w:sz w:val="29"/>
        </w:rPr>
      </w:pPr>
    </w:p>
    <w:p>
      <w:pPr>
        <w:pStyle w:val="Heading6"/>
      </w:pPr>
      <w:r>
        <w:rPr/>
        <w:t>BIOMASS ACCUMULATION RATES</w:t>
      </w:r>
    </w:p>
    <w:p>
      <w:pPr>
        <w:pStyle w:val="BodyText"/>
        <w:spacing w:before="114"/>
        <w:ind w:left="159"/>
      </w:pPr>
      <w:r>
        <w:rPr/>
        <w:t>Net build up of biomass, i.e., all increments minus all losses. When carbon accumulation rate is used, only one further conversion step is applied: i.e., the use of 50% carbon content in dry matter (default</w:t>
      </w:r>
      <w:r>
        <w:rPr>
          <w:spacing w:val="-16"/>
        </w:rPr>
        <w:t> </w:t>
      </w:r>
      <w:r>
        <w:rPr/>
        <w:t>value).</w:t>
      </w:r>
    </w:p>
    <w:p>
      <w:pPr>
        <w:pStyle w:val="BodyText"/>
        <w:spacing w:before="118"/>
        <w:ind w:left="159"/>
      </w:pPr>
      <w:r>
        <w:rPr/>
        <w:t>The</w:t>
      </w:r>
      <w:r>
        <w:rPr>
          <w:spacing w:val="-2"/>
        </w:rPr>
        <w:t> </w:t>
      </w:r>
      <w:r>
        <w:rPr/>
        <w:t>biomass</w:t>
      </w:r>
      <w:r>
        <w:rPr>
          <w:spacing w:val="-3"/>
        </w:rPr>
        <w:t> </w:t>
      </w:r>
      <w:r>
        <w:rPr/>
        <w:t>accumulation</w:t>
      </w:r>
      <w:r>
        <w:rPr>
          <w:spacing w:val="-3"/>
        </w:rPr>
        <w:t> </w:t>
      </w:r>
      <w:r>
        <w:rPr/>
        <w:t>rates</w:t>
      </w:r>
      <w:r>
        <w:rPr>
          <w:spacing w:val="-4"/>
        </w:rPr>
        <w:t> </w:t>
      </w:r>
      <w:r>
        <w:rPr/>
        <w:t>can</w:t>
      </w:r>
      <w:r>
        <w:rPr>
          <w:spacing w:val="-3"/>
        </w:rPr>
        <w:t> </w:t>
      </w:r>
      <w:r>
        <w:rPr/>
        <w:t>be</w:t>
      </w:r>
      <w:r>
        <w:rPr>
          <w:spacing w:val="-2"/>
        </w:rPr>
        <w:t> </w:t>
      </w:r>
      <w:r>
        <w:rPr/>
        <w:t>calculated using</w:t>
      </w:r>
      <w:r>
        <w:rPr>
          <w:spacing w:val="-3"/>
        </w:rPr>
        <w:t> </w:t>
      </w:r>
      <w:r>
        <w:rPr/>
        <w:t>Equation</w:t>
      </w:r>
      <w:r>
        <w:rPr>
          <w:spacing w:val="-3"/>
        </w:rPr>
        <w:t> </w:t>
      </w:r>
      <w:r>
        <w:rPr/>
        <w:t>3.2.4</w:t>
      </w:r>
      <w:r>
        <w:rPr>
          <w:spacing w:val="-2"/>
        </w:rPr>
        <w:t> </w:t>
      </w:r>
      <w:r>
        <w:rPr/>
        <w:t>in</w:t>
      </w:r>
      <w:r>
        <w:rPr>
          <w:spacing w:val="-4"/>
        </w:rPr>
        <w:t> </w:t>
      </w:r>
      <w:r>
        <w:rPr/>
        <w:t>Chapter</w:t>
      </w:r>
      <w:r>
        <w:rPr>
          <w:spacing w:val="-1"/>
        </w:rPr>
        <w:t> </w:t>
      </w:r>
      <w:r>
        <w:rPr/>
        <w:t>3</w:t>
      </w:r>
      <w:r>
        <w:rPr>
          <w:spacing w:val="-2"/>
        </w:rPr>
        <w:t> </w:t>
      </w:r>
      <w:r>
        <w:rPr/>
        <w:t>of</w:t>
      </w:r>
      <w:r>
        <w:rPr>
          <w:spacing w:val="-5"/>
        </w:rPr>
        <w:t> </w:t>
      </w:r>
      <w:r>
        <w:rPr/>
        <w:t>this report.</w:t>
      </w:r>
    </w:p>
    <w:p>
      <w:pPr>
        <w:pStyle w:val="BodyText"/>
        <w:rPr>
          <w:sz w:val="22"/>
        </w:rPr>
      </w:pPr>
    </w:p>
    <w:p>
      <w:pPr>
        <w:pStyle w:val="BodyText"/>
        <w:spacing w:before="10"/>
        <w:rPr>
          <w:sz w:val="29"/>
        </w:rPr>
      </w:pPr>
    </w:p>
    <w:p>
      <w:pPr>
        <w:pStyle w:val="Heading6"/>
      </w:pPr>
      <w:r>
        <w:rPr/>
        <w:t>BIOMASS EXPANSION FACTOR ( BEF)</w:t>
      </w:r>
    </w:p>
    <w:p>
      <w:pPr>
        <w:pStyle w:val="BodyText"/>
        <w:spacing w:before="114"/>
        <w:ind w:left="159" w:right="165"/>
        <w:jc w:val="both"/>
      </w:pPr>
      <w:r>
        <w:rPr/>
        <w:t>A multiplication factor that expands growing stock, or commercial round-wood harvest volume, or growing stock volume increment data, to account for non-merchantable biomass components such as branches, foliage, and non-commercial trees.</w:t>
      </w:r>
    </w:p>
    <w:p>
      <w:pPr>
        <w:pStyle w:val="BodyText"/>
        <w:rPr>
          <w:sz w:val="22"/>
        </w:rPr>
      </w:pPr>
    </w:p>
    <w:p>
      <w:pPr>
        <w:pStyle w:val="BodyText"/>
        <w:spacing w:before="8"/>
        <w:rPr>
          <w:sz w:val="29"/>
        </w:rPr>
      </w:pPr>
    </w:p>
    <w:p>
      <w:pPr>
        <w:pStyle w:val="Heading6"/>
        <w:jc w:val="both"/>
      </w:pPr>
      <w:r>
        <w:rPr>
          <w:spacing w:val="15"/>
        </w:rPr>
        <w:t>BACK- </w:t>
      </w:r>
      <w:r>
        <w:rPr>
          <w:spacing w:val="16"/>
        </w:rPr>
        <w:t>CASTING</w:t>
      </w:r>
    </w:p>
    <w:p>
      <w:pPr>
        <w:pStyle w:val="BodyText"/>
        <w:spacing w:before="116"/>
        <w:ind w:left="159"/>
        <w:jc w:val="both"/>
      </w:pPr>
      <w:r>
        <w:rPr/>
        <w:t>The opposite of forecasting. Predicting conditions in the past from current conditions.</w:t>
      </w:r>
    </w:p>
    <w:p>
      <w:pPr>
        <w:pStyle w:val="BodyText"/>
        <w:rPr>
          <w:sz w:val="22"/>
        </w:rPr>
      </w:pPr>
    </w:p>
    <w:p>
      <w:pPr>
        <w:pStyle w:val="BodyText"/>
        <w:spacing w:before="7"/>
        <w:rPr>
          <w:sz w:val="29"/>
        </w:rPr>
      </w:pPr>
    </w:p>
    <w:p>
      <w:pPr>
        <w:pStyle w:val="Heading6"/>
        <w:jc w:val="both"/>
      </w:pPr>
      <w:r>
        <w:rPr/>
        <w:t>BOREAL</w:t>
      </w:r>
    </w:p>
    <w:p>
      <w:pPr>
        <w:spacing w:before="116"/>
        <w:ind w:left="159" w:right="0" w:firstLine="0"/>
        <w:jc w:val="both"/>
        <w:rPr>
          <w:sz w:val="20"/>
        </w:rPr>
      </w:pPr>
      <w:r>
        <w:rPr>
          <w:sz w:val="20"/>
        </w:rPr>
        <w:t>See </w:t>
      </w:r>
      <w:r>
        <w:rPr>
          <w:i/>
          <w:sz w:val="20"/>
        </w:rPr>
        <w:t>polar/boreal</w:t>
      </w:r>
      <w:r>
        <w:rPr>
          <w:sz w:val="20"/>
        </w:rPr>
        <w:t>.</w:t>
      </w:r>
    </w:p>
    <w:p>
      <w:pPr>
        <w:spacing w:after="0"/>
        <w:jc w:val="both"/>
        <w:rPr>
          <w:sz w:val="20"/>
        </w:rPr>
        <w:sectPr>
          <w:footerReference w:type="default" r:id="rId478"/>
          <w:footerReference w:type="even" r:id="rId479"/>
          <w:pgSz w:w="11900" w:h="16840"/>
          <w:pgMar w:footer="408" w:header="230" w:top="560" w:bottom="600" w:left="1260" w:right="1240"/>
          <w:pgNumType w:start="3"/>
        </w:sectPr>
      </w:pPr>
    </w:p>
    <w:p>
      <w:pPr>
        <w:pStyle w:val="BodyText"/>
      </w:pPr>
    </w:p>
    <w:p>
      <w:pPr>
        <w:pStyle w:val="Heading6"/>
        <w:spacing w:before="214"/>
      </w:pPr>
      <w:r>
        <w:rPr/>
        <w:t>BOTTOM- UP MODELLING</w:t>
      </w:r>
    </w:p>
    <w:p>
      <w:pPr>
        <w:pStyle w:val="BodyText"/>
        <w:spacing w:before="117"/>
        <w:ind w:left="159"/>
      </w:pPr>
      <w:r>
        <w:rPr/>
        <w:t>A modelling approach which starts from processes at a detailed scale (i.e., plot/stand/ecosystems scale) and provides results at a larger, aggregated scale (regional/national/continental/global).</w:t>
      </w:r>
    </w:p>
    <w:p>
      <w:pPr>
        <w:pStyle w:val="BodyText"/>
        <w:rPr>
          <w:sz w:val="22"/>
        </w:rPr>
      </w:pPr>
    </w:p>
    <w:p>
      <w:pPr>
        <w:pStyle w:val="BodyText"/>
        <w:spacing w:before="7"/>
        <w:rPr>
          <w:sz w:val="29"/>
        </w:rPr>
      </w:pPr>
    </w:p>
    <w:p>
      <w:pPr>
        <w:pStyle w:val="Heading6"/>
      </w:pPr>
      <w:r>
        <w:rPr/>
        <w:t>BURNING/ FIRE COMPLETENESS</w:t>
      </w:r>
    </w:p>
    <w:p>
      <w:pPr>
        <w:pStyle w:val="BodyText"/>
        <w:spacing w:before="114"/>
        <w:ind w:left="159" w:hanging="1"/>
      </w:pPr>
      <w:r>
        <w:rPr/>
        <w:t>The share of the total amount of biomass in a given unit or area which burns in a fire. Often used in combination with combustion efficiency.</w:t>
      </w:r>
    </w:p>
    <w:p>
      <w:pPr>
        <w:pStyle w:val="BodyText"/>
        <w:rPr>
          <w:sz w:val="22"/>
        </w:rPr>
      </w:pPr>
    </w:p>
    <w:p>
      <w:pPr>
        <w:pStyle w:val="BodyText"/>
        <w:spacing w:before="10"/>
        <w:rPr>
          <w:sz w:val="29"/>
        </w:rPr>
      </w:pPr>
    </w:p>
    <w:p>
      <w:pPr>
        <w:pStyle w:val="Heading6"/>
      </w:pPr>
      <w:r>
        <w:rPr/>
        <w:t>CANOPY COVER</w:t>
      </w:r>
    </w:p>
    <w:p>
      <w:pPr>
        <w:pStyle w:val="BodyText"/>
        <w:spacing w:before="114"/>
        <w:ind w:left="159"/>
      </w:pPr>
      <w:r>
        <w:rPr/>
        <w:t>The percentage of the ground covered by a vertical projection of the outermost perimeter of the natural spread of the foliage of plants. Cannot exceed 100%. (Also called crown closure)</w:t>
      </w:r>
    </w:p>
    <w:p>
      <w:pPr>
        <w:spacing w:before="121"/>
        <w:ind w:left="159" w:right="0" w:firstLine="0"/>
        <w:jc w:val="both"/>
        <w:rPr>
          <w:sz w:val="20"/>
        </w:rPr>
      </w:pPr>
      <w:r>
        <w:rPr>
          <w:sz w:val="20"/>
        </w:rPr>
        <w:t>Same as </w:t>
      </w:r>
      <w:r>
        <w:rPr>
          <w:i/>
          <w:sz w:val="20"/>
        </w:rPr>
        <w:t>crown cover</w:t>
      </w:r>
      <w:r>
        <w:rPr>
          <w:sz w:val="20"/>
        </w:rPr>
        <w:t>.</w:t>
      </w:r>
    </w:p>
    <w:p>
      <w:pPr>
        <w:pStyle w:val="BodyText"/>
        <w:rPr>
          <w:sz w:val="22"/>
        </w:rPr>
      </w:pPr>
    </w:p>
    <w:p>
      <w:pPr>
        <w:pStyle w:val="BodyText"/>
        <w:spacing w:before="9"/>
        <w:rPr>
          <w:sz w:val="29"/>
        </w:rPr>
      </w:pPr>
    </w:p>
    <w:p>
      <w:pPr>
        <w:pStyle w:val="Heading6"/>
        <w:jc w:val="both"/>
      </w:pPr>
      <w:r>
        <w:rPr/>
        <w:t>CARBON ACCUMULATION RATES</w:t>
      </w:r>
    </w:p>
    <w:p>
      <w:pPr>
        <w:spacing w:before="114"/>
        <w:ind w:left="159" w:right="0" w:firstLine="0"/>
        <w:jc w:val="both"/>
        <w:rPr>
          <w:sz w:val="20"/>
        </w:rPr>
      </w:pPr>
      <w:r>
        <w:rPr>
          <w:sz w:val="20"/>
        </w:rPr>
        <w:t>See </w:t>
      </w:r>
      <w:r>
        <w:rPr>
          <w:i/>
          <w:sz w:val="20"/>
        </w:rPr>
        <w:t>biomass accumulation rates</w:t>
      </w:r>
      <w:r>
        <w:rPr>
          <w:sz w:val="20"/>
        </w:rPr>
        <w:t>.</w:t>
      </w:r>
    </w:p>
    <w:p>
      <w:pPr>
        <w:pStyle w:val="BodyText"/>
        <w:rPr>
          <w:sz w:val="22"/>
        </w:rPr>
      </w:pPr>
    </w:p>
    <w:p>
      <w:pPr>
        <w:pStyle w:val="BodyText"/>
        <w:spacing w:before="7"/>
        <w:rPr>
          <w:sz w:val="29"/>
        </w:rPr>
      </w:pPr>
    </w:p>
    <w:p>
      <w:pPr>
        <w:pStyle w:val="Heading6"/>
        <w:jc w:val="both"/>
      </w:pPr>
      <w:r>
        <w:rPr/>
        <w:t>CARBON BUDGET</w:t>
      </w:r>
    </w:p>
    <w:p>
      <w:pPr>
        <w:pStyle w:val="BodyText"/>
        <w:spacing w:before="116"/>
        <w:ind w:left="159" w:right="165"/>
        <w:jc w:val="both"/>
      </w:pPr>
      <w:r>
        <w:rPr/>
        <w:t>The balance of the exchanges of carbon between carbon pools or between one specific loops (e.g., atmosphere – biosphere) of the carbon cycle. The examination of the budget of a pool or reservoir will provide information whether it is acting as a source or a sink.</w:t>
      </w:r>
    </w:p>
    <w:p>
      <w:pPr>
        <w:pStyle w:val="BodyText"/>
        <w:rPr>
          <w:sz w:val="22"/>
        </w:rPr>
      </w:pPr>
    </w:p>
    <w:p>
      <w:pPr>
        <w:pStyle w:val="BodyText"/>
        <w:spacing w:before="8"/>
        <w:rPr>
          <w:sz w:val="29"/>
        </w:rPr>
      </w:pPr>
    </w:p>
    <w:p>
      <w:pPr>
        <w:pStyle w:val="Heading6"/>
      </w:pPr>
      <w:r>
        <w:rPr/>
        <w:t>CARBON CYCLE</w:t>
      </w:r>
    </w:p>
    <w:p>
      <w:pPr>
        <w:pStyle w:val="BodyText"/>
        <w:spacing w:before="114"/>
        <w:ind w:left="159" w:right="163"/>
        <w:jc w:val="both"/>
      </w:pPr>
      <w:r>
        <w:rPr/>
        <w:t>All parts (pools) and fluxes of carbon; usually thought of as a series of the four main pools of carbon interconnected by pathways of exchange. The four pools are atmosphere, biosphere, oceans and sediments. Carbon exchanges from pool to pool by chemical, physical and biological processes.</w:t>
      </w:r>
    </w:p>
    <w:p>
      <w:pPr>
        <w:pStyle w:val="BodyText"/>
        <w:rPr>
          <w:sz w:val="22"/>
        </w:rPr>
      </w:pPr>
    </w:p>
    <w:p>
      <w:pPr>
        <w:pStyle w:val="BodyText"/>
        <w:spacing w:before="8"/>
        <w:rPr>
          <w:sz w:val="29"/>
        </w:rPr>
      </w:pPr>
    </w:p>
    <w:p>
      <w:pPr>
        <w:pStyle w:val="Heading6"/>
      </w:pPr>
      <w:r>
        <w:rPr/>
        <w:t>CARBON FLUX</w:t>
      </w:r>
    </w:p>
    <w:p>
      <w:pPr>
        <w:pStyle w:val="BodyText"/>
        <w:spacing w:before="116"/>
        <w:ind w:left="159" w:right="166"/>
      </w:pPr>
      <w:r>
        <w:rPr/>
        <w:t>Transfer of carbon from one pool to another in units of measurement of mass per unit of area and time (e.g., tonnes C ha</w:t>
      </w:r>
      <w:r>
        <w:rPr>
          <w:vertAlign w:val="superscript"/>
        </w:rPr>
        <w:t>-1</w:t>
      </w:r>
      <w:r>
        <w:rPr>
          <w:vertAlign w:val="baseline"/>
        </w:rPr>
        <w:t> yr</w:t>
      </w:r>
      <w:r>
        <w:rPr>
          <w:vertAlign w:val="superscript"/>
        </w:rPr>
        <w:t>-1</w:t>
      </w:r>
      <w:r>
        <w:rPr>
          <w:vertAlign w:val="baseline"/>
        </w:rPr>
        <w:t>).</w:t>
      </w:r>
    </w:p>
    <w:p>
      <w:pPr>
        <w:pStyle w:val="BodyText"/>
        <w:rPr>
          <w:sz w:val="24"/>
        </w:rPr>
      </w:pPr>
    </w:p>
    <w:p>
      <w:pPr>
        <w:pStyle w:val="BodyText"/>
        <w:spacing w:before="8"/>
        <w:rPr>
          <w:sz w:val="27"/>
        </w:rPr>
      </w:pPr>
    </w:p>
    <w:p>
      <w:pPr>
        <w:pStyle w:val="Heading6"/>
        <w:jc w:val="both"/>
      </w:pPr>
      <w:r>
        <w:rPr/>
        <w:t>CARBON POOL </w:t>
      </w:r>
    </w:p>
    <w:p>
      <w:pPr>
        <w:pStyle w:val="BodyText"/>
        <w:spacing w:before="114"/>
        <w:ind w:left="159"/>
        <w:jc w:val="both"/>
      </w:pPr>
      <w:r>
        <w:rPr/>
        <w:t>The reservoir containing carbon.</w:t>
      </w:r>
    </w:p>
    <w:p>
      <w:pPr>
        <w:pStyle w:val="BodyText"/>
        <w:rPr>
          <w:sz w:val="22"/>
        </w:rPr>
      </w:pPr>
    </w:p>
    <w:p>
      <w:pPr>
        <w:pStyle w:val="BodyText"/>
        <w:spacing w:before="9"/>
        <w:rPr>
          <w:sz w:val="29"/>
        </w:rPr>
      </w:pPr>
    </w:p>
    <w:p>
      <w:pPr>
        <w:pStyle w:val="Heading6"/>
        <w:spacing w:before="1"/>
        <w:jc w:val="both"/>
      </w:pPr>
      <w:r>
        <w:rPr/>
        <w:t>CARBON RESERVE</w:t>
      </w:r>
    </w:p>
    <w:p>
      <w:pPr>
        <w:spacing w:before="113"/>
        <w:ind w:left="159" w:right="0" w:firstLine="0"/>
        <w:jc w:val="both"/>
        <w:rPr>
          <w:sz w:val="20"/>
        </w:rPr>
      </w:pPr>
      <w:r>
        <w:rPr>
          <w:sz w:val="20"/>
        </w:rPr>
        <w:t>Prefer to use carbon stock. See </w:t>
      </w:r>
      <w:r>
        <w:rPr>
          <w:i/>
          <w:sz w:val="20"/>
        </w:rPr>
        <w:t>carbon stock</w:t>
      </w:r>
      <w:r>
        <w:rPr>
          <w:sz w:val="20"/>
        </w:rPr>
        <w:t>.</w:t>
      </w:r>
    </w:p>
    <w:p>
      <w:pPr>
        <w:pStyle w:val="BodyText"/>
        <w:rPr>
          <w:sz w:val="22"/>
        </w:rPr>
      </w:pPr>
    </w:p>
    <w:p>
      <w:pPr>
        <w:pStyle w:val="BodyText"/>
        <w:spacing w:before="10"/>
        <w:rPr>
          <w:sz w:val="29"/>
        </w:rPr>
      </w:pPr>
    </w:p>
    <w:p>
      <w:pPr>
        <w:pStyle w:val="Heading6"/>
        <w:jc w:val="both"/>
      </w:pPr>
      <w:r>
        <w:rPr/>
        <w:t>CARBON STOCK</w:t>
      </w:r>
    </w:p>
    <w:p>
      <w:pPr>
        <w:pStyle w:val="BodyText"/>
        <w:spacing w:before="114"/>
        <w:ind w:left="159"/>
        <w:jc w:val="both"/>
      </w:pPr>
      <w:r>
        <w:rPr/>
        <w:t>The quantity of carbon in a pool.</w:t>
      </w:r>
    </w:p>
    <w:p>
      <w:pPr>
        <w:spacing w:after="0"/>
        <w:jc w:val="both"/>
        <w:sectPr>
          <w:pgSz w:w="11900" w:h="16840"/>
          <w:pgMar w:header="230" w:footer="408" w:top="560" w:bottom="600" w:left="1260" w:right="1240"/>
        </w:sectPr>
      </w:pPr>
    </w:p>
    <w:p>
      <w:pPr>
        <w:pStyle w:val="BodyText"/>
      </w:pPr>
    </w:p>
    <w:p>
      <w:pPr>
        <w:pStyle w:val="Heading6"/>
        <w:spacing w:before="214"/>
      </w:pPr>
      <w:r>
        <w:rPr/>
        <w:t>CARBON STOCK CHANGE</w:t>
      </w:r>
    </w:p>
    <w:p>
      <w:pPr>
        <w:pStyle w:val="BodyText"/>
        <w:spacing w:before="117"/>
        <w:ind w:left="159" w:right="163"/>
        <w:jc w:val="both"/>
      </w:pPr>
      <w:r>
        <w:rPr/>
        <w:t>The carbon stock in a pool can </w:t>
      </w:r>
      <w:r>
        <w:rPr>
          <w:spacing w:val="-2"/>
        </w:rPr>
        <w:t>change </w:t>
      </w:r>
      <w:r>
        <w:rPr/>
        <w:t>due to </w:t>
      </w:r>
      <w:r>
        <w:rPr>
          <w:spacing w:val="-2"/>
        </w:rPr>
        <w:t>the </w:t>
      </w:r>
      <w:r>
        <w:rPr/>
        <w:t>difference between additions of carbon </w:t>
      </w:r>
      <w:r>
        <w:rPr>
          <w:spacing w:val="-2"/>
        </w:rPr>
        <w:t>and losses </w:t>
      </w:r>
      <w:r>
        <w:rPr/>
        <w:t>of carbon. When</w:t>
      </w:r>
      <w:r>
        <w:rPr>
          <w:spacing w:val="-6"/>
        </w:rPr>
        <w:t> </w:t>
      </w:r>
      <w:r>
        <w:rPr/>
        <w:t>the</w:t>
      </w:r>
      <w:r>
        <w:rPr>
          <w:spacing w:val="-1"/>
        </w:rPr>
        <w:t> </w:t>
      </w:r>
      <w:r>
        <w:rPr/>
        <w:t>losses</w:t>
      </w:r>
      <w:r>
        <w:rPr>
          <w:spacing w:val="-5"/>
        </w:rPr>
        <w:t> </w:t>
      </w:r>
      <w:r>
        <w:rPr/>
        <w:t>are</w:t>
      </w:r>
      <w:r>
        <w:rPr>
          <w:spacing w:val="-1"/>
        </w:rPr>
        <w:t> </w:t>
      </w:r>
      <w:r>
        <w:rPr/>
        <w:t>larger</w:t>
      </w:r>
      <w:r>
        <w:rPr>
          <w:spacing w:val="-1"/>
        </w:rPr>
        <w:t> </w:t>
      </w:r>
      <w:r>
        <w:rPr/>
        <w:t>than</w:t>
      </w:r>
      <w:r>
        <w:rPr>
          <w:spacing w:val="-5"/>
        </w:rPr>
        <w:t> </w:t>
      </w:r>
      <w:r>
        <w:rPr/>
        <w:t>the</w:t>
      </w:r>
      <w:r>
        <w:rPr>
          <w:spacing w:val="-2"/>
        </w:rPr>
        <w:t> </w:t>
      </w:r>
      <w:r>
        <w:rPr>
          <w:spacing w:val="-3"/>
        </w:rPr>
        <w:t>additions,</w:t>
      </w:r>
      <w:r>
        <w:rPr>
          <w:spacing w:val="-1"/>
        </w:rPr>
        <w:t> </w:t>
      </w:r>
      <w:r>
        <w:rPr/>
        <w:t>the</w:t>
      </w:r>
      <w:r>
        <w:rPr>
          <w:spacing w:val="-3"/>
        </w:rPr>
        <w:t> </w:t>
      </w:r>
      <w:r>
        <w:rPr/>
        <w:t>carbon</w:t>
      </w:r>
      <w:r>
        <w:rPr>
          <w:spacing w:val="-5"/>
        </w:rPr>
        <w:t> </w:t>
      </w:r>
      <w:r>
        <w:rPr/>
        <w:t>stock</w:t>
      </w:r>
      <w:r>
        <w:rPr>
          <w:spacing w:val="-5"/>
        </w:rPr>
        <w:t> </w:t>
      </w:r>
      <w:r>
        <w:rPr/>
        <w:t>becomes</w:t>
      </w:r>
      <w:r>
        <w:rPr>
          <w:spacing w:val="-3"/>
        </w:rPr>
        <w:t> </w:t>
      </w:r>
      <w:r>
        <w:rPr/>
        <w:t>smaller,</w:t>
      </w:r>
      <w:r>
        <w:rPr>
          <w:spacing w:val="-3"/>
        </w:rPr>
        <w:t> </w:t>
      </w:r>
      <w:r>
        <w:rPr/>
        <w:t>and</w:t>
      </w:r>
      <w:r>
        <w:rPr>
          <w:spacing w:val="-1"/>
        </w:rPr>
        <w:t> </w:t>
      </w:r>
      <w:r>
        <w:rPr/>
        <w:t>thus</w:t>
      </w:r>
      <w:r>
        <w:rPr>
          <w:spacing w:val="-3"/>
        </w:rPr>
        <w:t> </w:t>
      </w:r>
      <w:r>
        <w:rPr/>
        <w:t>the</w:t>
      </w:r>
      <w:r>
        <w:rPr>
          <w:spacing w:val="-3"/>
        </w:rPr>
        <w:t> </w:t>
      </w:r>
      <w:r>
        <w:rPr/>
        <w:t>pool</w:t>
      </w:r>
      <w:r>
        <w:rPr>
          <w:spacing w:val="-2"/>
        </w:rPr>
        <w:t> </w:t>
      </w:r>
      <w:r>
        <w:rPr/>
        <w:t>acts</w:t>
      </w:r>
      <w:r>
        <w:rPr>
          <w:spacing w:val="-4"/>
        </w:rPr>
        <w:t> </w:t>
      </w:r>
      <w:r>
        <w:rPr/>
        <w:t>as</w:t>
      </w:r>
      <w:r>
        <w:rPr>
          <w:spacing w:val="-4"/>
        </w:rPr>
        <w:t> </w:t>
      </w:r>
      <w:r>
        <w:rPr/>
        <w:t>a</w:t>
      </w:r>
      <w:r>
        <w:rPr>
          <w:spacing w:val="-2"/>
        </w:rPr>
        <w:t> </w:t>
      </w:r>
      <w:r>
        <w:rPr>
          <w:spacing w:val="-3"/>
        </w:rPr>
        <w:t>source </w:t>
      </w:r>
      <w:r>
        <w:rPr/>
        <w:t>to</w:t>
      </w:r>
      <w:r>
        <w:rPr>
          <w:spacing w:val="-9"/>
        </w:rPr>
        <w:t> </w:t>
      </w:r>
      <w:r>
        <w:rPr/>
        <w:t>the</w:t>
      </w:r>
      <w:r>
        <w:rPr>
          <w:spacing w:val="-8"/>
        </w:rPr>
        <w:t> </w:t>
      </w:r>
      <w:r>
        <w:rPr/>
        <w:t>atmosphere;</w:t>
      </w:r>
      <w:r>
        <w:rPr>
          <w:spacing w:val="-7"/>
        </w:rPr>
        <w:t> </w:t>
      </w:r>
      <w:r>
        <w:rPr/>
        <w:t>when</w:t>
      </w:r>
      <w:r>
        <w:rPr>
          <w:spacing w:val="-10"/>
        </w:rPr>
        <w:t> </w:t>
      </w:r>
      <w:r>
        <w:rPr/>
        <w:t>the</w:t>
      </w:r>
      <w:r>
        <w:rPr>
          <w:spacing w:val="-6"/>
        </w:rPr>
        <w:t> </w:t>
      </w:r>
      <w:r>
        <w:rPr>
          <w:spacing w:val="-3"/>
        </w:rPr>
        <w:t>losses</w:t>
      </w:r>
      <w:r>
        <w:rPr>
          <w:spacing w:val="-10"/>
        </w:rPr>
        <w:t> </w:t>
      </w:r>
      <w:r>
        <w:rPr/>
        <w:t>are</w:t>
      </w:r>
      <w:r>
        <w:rPr>
          <w:spacing w:val="-6"/>
        </w:rPr>
        <w:t> </w:t>
      </w:r>
      <w:r>
        <w:rPr/>
        <w:t>smaller</w:t>
      </w:r>
      <w:r>
        <w:rPr>
          <w:spacing w:val="-8"/>
        </w:rPr>
        <w:t> </w:t>
      </w:r>
      <w:r>
        <w:rPr/>
        <w:t>than</w:t>
      </w:r>
      <w:r>
        <w:rPr>
          <w:spacing w:val="-10"/>
        </w:rPr>
        <w:t> </w:t>
      </w:r>
      <w:r>
        <w:rPr/>
        <w:t>the</w:t>
      </w:r>
      <w:r>
        <w:rPr>
          <w:spacing w:val="-8"/>
        </w:rPr>
        <w:t> </w:t>
      </w:r>
      <w:r>
        <w:rPr>
          <w:spacing w:val="-3"/>
        </w:rPr>
        <w:t>additions,</w:t>
      </w:r>
      <w:r>
        <w:rPr>
          <w:spacing w:val="-7"/>
        </w:rPr>
        <w:t> </w:t>
      </w:r>
      <w:r>
        <w:rPr/>
        <w:t>the</w:t>
      </w:r>
      <w:r>
        <w:rPr>
          <w:spacing w:val="-8"/>
        </w:rPr>
        <w:t> </w:t>
      </w:r>
      <w:r>
        <w:rPr/>
        <w:t>pools</w:t>
      </w:r>
      <w:r>
        <w:rPr>
          <w:spacing w:val="-10"/>
        </w:rPr>
        <w:t> </w:t>
      </w:r>
      <w:r>
        <w:rPr/>
        <w:t>acts</w:t>
      </w:r>
      <w:r>
        <w:rPr>
          <w:spacing w:val="-10"/>
        </w:rPr>
        <w:t> </w:t>
      </w:r>
      <w:r>
        <w:rPr/>
        <w:t>as</w:t>
      </w:r>
      <w:r>
        <w:rPr>
          <w:spacing w:val="-10"/>
        </w:rPr>
        <w:t> </w:t>
      </w:r>
      <w:r>
        <w:rPr/>
        <w:t>a</w:t>
      </w:r>
      <w:r>
        <w:rPr>
          <w:spacing w:val="-6"/>
        </w:rPr>
        <w:t> </w:t>
      </w:r>
      <w:r>
        <w:rPr/>
        <w:t>sink</w:t>
      </w:r>
      <w:r>
        <w:rPr>
          <w:spacing w:val="-10"/>
        </w:rPr>
        <w:t> </w:t>
      </w:r>
      <w:r>
        <w:rPr/>
        <w:t>to</w:t>
      </w:r>
      <w:r>
        <w:rPr>
          <w:spacing w:val="-8"/>
        </w:rPr>
        <w:t> </w:t>
      </w:r>
      <w:r>
        <w:rPr/>
        <w:t>the</w:t>
      </w:r>
      <w:r>
        <w:rPr>
          <w:spacing w:val="-8"/>
        </w:rPr>
        <w:t> </w:t>
      </w:r>
      <w:r>
        <w:rPr/>
        <w:t>atmosphere.</w:t>
      </w:r>
    </w:p>
    <w:p>
      <w:pPr>
        <w:pStyle w:val="BodyText"/>
        <w:rPr>
          <w:sz w:val="22"/>
        </w:rPr>
      </w:pPr>
    </w:p>
    <w:p>
      <w:pPr>
        <w:pStyle w:val="BodyText"/>
        <w:spacing w:before="7"/>
        <w:rPr>
          <w:sz w:val="29"/>
        </w:rPr>
      </w:pPr>
    </w:p>
    <w:p>
      <w:pPr>
        <w:pStyle w:val="Heading6"/>
        <w:spacing w:before="1"/>
      </w:pPr>
      <w:r>
        <w:rPr/>
        <w:t>CLOSED FORESTS</w:t>
      </w:r>
    </w:p>
    <w:p>
      <w:pPr>
        <w:pStyle w:val="BodyText"/>
        <w:spacing w:before="113"/>
        <w:ind w:left="159"/>
      </w:pPr>
      <w:r>
        <w:rPr/>
        <w:t>Forests characterised by canopy cover higher than 40%.</w:t>
      </w:r>
    </w:p>
    <w:p>
      <w:pPr>
        <w:pStyle w:val="BodyText"/>
        <w:rPr>
          <w:sz w:val="22"/>
        </w:rPr>
      </w:pPr>
    </w:p>
    <w:p>
      <w:pPr>
        <w:pStyle w:val="BodyText"/>
        <w:spacing w:before="10"/>
        <w:rPr>
          <w:sz w:val="29"/>
        </w:rPr>
      </w:pPr>
    </w:p>
    <w:p>
      <w:pPr>
        <w:pStyle w:val="Heading6"/>
      </w:pPr>
      <w:r>
        <w:rPr/>
        <w:t>CARBON DIOXIDE EQUIVALENT</w:t>
      </w:r>
    </w:p>
    <w:p>
      <w:pPr>
        <w:pStyle w:val="BodyText"/>
        <w:spacing w:before="114"/>
        <w:ind w:left="159" w:right="163"/>
        <w:jc w:val="both"/>
      </w:pPr>
      <w:r>
        <w:rPr/>
        <w:t>A measure used to compare different greenhouse gases based on their global warming potentials (GWPs). The GWPs are calculated as the ratio of the radiative forcing of one kilogramme greenhouse gas emitted to the atmosphere to that from one kilogramme CO</w:t>
      </w:r>
      <w:r>
        <w:rPr>
          <w:vertAlign w:val="subscript"/>
        </w:rPr>
        <w:t>2</w:t>
      </w:r>
      <w:r>
        <w:rPr>
          <w:vertAlign w:val="baseline"/>
        </w:rPr>
        <w:t> over a period of time (usually 100 years).</w:t>
      </w:r>
    </w:p>
    <w:p>
      <w:pPr>
        <w:pStyle w:val="BodyText"/>
        <w:rPr>
          <w:sz w:val="24"/>
        </w:rPr>
      </w:pPr>
    </w:p>
    <w:p>
      <w:pPr>
        <w:pStyle w:val="BodyText"/>
        <w:spacing w:before="8"/>
        <w:rPr>
          <w:sz w:val="27"/>
        </w:rPr>
      </w:pPr>
    </w:p>
    <w:p>
      <w:pPr>
        <w:pStyle w:val="Heading6"/>
      </w:pPr>
      <w:r>
        <w:rPr/>
        <w:t>CENSUS</w:t>
      </w:r>
    </w:p>
    <w:p>
      <w:pPr>
        <w:pStyle w:val="BodyText"/>
        <w:spacing w:before="116"/>
        <w:ind w:left="159" w:right="156"/>
      </w:pPr>
      <w:r>
        <w:rPr/>
        <w:t>Data collected by interrogation of (human) population. Usually the total population of interest is interviewed (but sometimes sampled).</w:t>
      </w:r>
    </w:p>
    <w:p>
      <w:pPr>
        <w:pStyle w:val="BodyText"/>
        <w:rPr>
          <w:sz w:val="22"/>
        </w:rPr>
      </w:pPr>
    </w:p>
    <w:p>
      <w:pPr>
        <w:pStyle w:val="BodyText"/>
        <w:spacing w:before="7"/>
        <w:rPr>
          <w:sz w:val="29"/>
        </w:rPr>
      </w:pPr>
    </w:p>
    <w:p>
      <w:pPr>
        <w:pStyle w:val="Heading6"/>
        <w:spacing w:before="1"/>
      </w:pPr>
      <w:r>
        <w:rPr/>
        <w:t>CHRONOSEQUENCE</w:t>
      </w:r>
    </w:p>
    <w:p>
      <w:pPr>
        <w:pStyle w:val="BodyText"/>
        <w:spacing w:before="113"/>
        <w:ind w:left="159" w:right="163"/>
        <w:jc w:val="both"/>
      </w:pPr>
      <w:r>
        <w:rPr/>
        <w:t>Chronosequences consist of measurements taken from similar but separate locations that represent a temporal sequence in land use or management, for example, years since deforestation. Efforts are made to control all other between-site differences (e.g., by selecting areas with similar soil type, topography, previous vegetation). Chronosequences are often used as a surrogate for experimental studies or measurements repeated over time at the same location.</w:t>
      </w:r>
    </w:p>
    <w:p>
      <w:pPr>
        <w:pStyle w:val="BodyText"/>
        <w:rPr>
          <w:sz w:val="22"/>
        </w:rPr>
      </w:pPr>
    </w:p>
    <w:p>
      <w:pPr>
        <w:pStyle w:val="BodyText"/>
        <w:spacing w:before="9"/>
        <w:rPr>
          <w:sz w:val="29"/>
        </w:rPr>
      </w:pPr>
    </w:p>
    <w:p>
      <w:pPr>
        <w:pStyle w:val="Heading6"/>
      </w:pPr>
      <w:r>
        <w:rPr/>
        <w:t>COEFFICIENT OF VARIATION</w:t>
      </w:r>
    </w:p>
    <w:p>
      <w:pPr>
        <w:pStyle w:val="BodyText"/>
        <w:spacing w:before="116"/>
        <w:ind w:left="159" w:right="166"/>
        <w:jc w:val="both"/>
      </w:pPr>
      <w:r>
        <w:rPr>
          <w:b/>
        </w:rPr>
        <w:t>Statistical definition: </w:t>
      </w:r>
      <w:r>
        <w:rPr/>
        <w:t>The coefficient of variation, </w:t>
      </w:r>
      <w:r>
        <w:rPr>
          <w:i/>
        </w:rPr>
        <w:t>v</w:t>
      </w:r>
      <w:r>
        <w:rPr>
          <w:i/>
          <w:vertAlign w:val="subscript"/>
        </w:rPr>
        <w:t>x</w:t>
      </w:r>
      <w:r>
        <w:rPr>
          <w:i/>
          <w:vertAlign w:val="baseline"/>
        </w:rPr>
        <w:t> </w:t>
      </w:r>
      <w:r>
        <w:rPr>
          <w:vertAlign w:val="baseline"/>
        </w:rPr>
        <w:t>is the ratio of the population standard deviation, </w:t>
      </w:r>
      <w:r>
        <w:rPr>
          <w:i/>
          <w:vertAlign w:val="baseline"/>
        </w:rPr>
        <w:t>σ</w:t>
      </w:r>
      <w:r>
        <w:rPr>
          <w:i/>
          <w:vertAlign w:val="subscript"/>
        </w:rPr>
        <w:t>x</w:t>
      </w:r>
      <w:r>
        <w:rPr>
          <w:vertAlign w:val="baseline"/>
        </w:rPr>
        <w:t>, and mean, </w:t>
      </w:r>
      <w:r>
        <w:rPr>
          <w:i/>
          <w:vertAlign w:val="baseline"/>
        </w:rPr>
        <w:t>µ</w:t>
      </w:r>
      <w:r>
        <w:rPr>
          <w:i/>
          <w:vertAlign w:val="subscript"/>
        </w:rPr>
        <w:t>x</w:t>
      </w:r>
      <w:r>
        <w:rPr>
          <w:vertAlign w:val="baseline"/>
        </w:rPr>
        <w:t>, where </w:t>
      </w:r>
      <w:r>
        <w:rPr>
          <w:i/>
          <w:vertAlign w:val="baseline"/>
        </w:rPr>
        <w:t>v</w:t>
      </w:r>
      <w:r>
        <w:rPr>
          <w:i/>
          <w:vertAlign w:val="subscript"/>
        </w:rPr>
        <w:t>x</w:t>
      </w:r>
      <w:r>
        <w:rPr>
          <w:i/>
          <w:vertAlign w:val="baseline"/>
        </w:rPr>
        <w:t> </w:t>
      </w:r>
      <w:r>
        <w:rPr>
          <w:vertAlign w:val="baseline"/>
        </w:rPr>
        <w:t>= </w:t>
      </w:r>
      <w:r>
        <w:rPr>
          <w:i/>
          <w:vertAlign w:val="baseline"/>
        </w:rPr>
        <w:t>σ</w:t>
      </w:r>
      <w:r>
        <w:rPr>
          <w:i/>
          <w:vertAlign w:val="subscript"/>
        </w:rPr>
        <w:t>x</w:t>
      </w:r>
      <w:r>
        <w:rPr>
          <w:i/>
          <w:vertAlign w:val="baseline"/>
        </w:rPr>
        <w:t> </w:t>
      </w:r>
      <w:r>
        <w:rPr>
          <w:vertAlign w:val="baseline"/>
        </w:rPr>
        <w:t>/</w:t>
      </w:r>
      <w:r>
        <w:rPr>
          <w:i/>
          <w:vertAlign w:val="baseline"/>
        </w:rPr>
        <w:t>µ</w:t>
      </w:r>
      <w:r>
        <w:rPr>
          <w:i/>
          <w:vertAlign w:val="subscript"/>
        </w:rPr>
        <w:t>x</w:t>
      </w:r>
      <w:r>
        <w:rPr>
          <w:vertAlign w:val="baseline"/>
        </w:rPr>
        <w:t>. It also frequently refers to the sample coefficient of variation, which is the ratio of the sample standard deviation and sample</w:t>
      </w:r>
      <w:r>
        <w:rPr>
          <w:spacing w:val="3"/>
          <w:vertAlign w:val="baseline"/>
        </w:rPr>
        <w:t> </w:t>
      </w:r>
      <w:r>
        <w:rPr>
          <w:vertAlign w:val="baseline"/>
        </w:rPr>
        <w:t>mean.</w:t>
      </w:r>
      <w:r>
        <w:rPr>
          <w:vertAlign w:val="superscript"/>
        </w:rPr>
        <w:t>2</w:t>
      </w:r>
    </w:p>
    <w:p>
      <w:pPr>
        <w:pStyle w:val="BodyText"/>
        <w:rPr>
          <w:sz w:val="24"/>
        </w:rPr>
      </w:pPr>
    </w:p>
    <w:p>
      <w:pPr>
        <w:pStyle w:val="BodyText"/>
        <w:spacing w:before="8"/>
        <w:rPr>
          <w:sz w:val="27"/>
        </w:rPr>
      </w:pPr>
    </w:p>
    <w:p>
      <w:pPr>
        <w:pStyle w:val="Heading6"/>
        <w:spacing w:before="1"/>
        <w:jc w:val="both"/>
      </w:pPr>
      <w:r>
        <w:rPr/>
        <w:t>COMBUSTION EFFICIENCY</w:t>
      </w:r>
    </w:p>
    <w:p>
      <w:pPr>
        <w:pStyle w:val="BodyText"/>
        <w:spacing w:before="113"/>
        <w:ind w:left="159"/>
        <w:jc w:val="both"/>
      </w:pPr>
      <w:r>
        <w:rPr/>
        <w:t>The fraction of the combusted carbon that is released in the form of CO</w:t>
      </w:r>
      <w:r>
        <w:rPr>
          <w:vertAlign w:val="subscript"/>
        </w:rPr>
        <w:t>2</w:t>
      </w:r>
      <w:r>
        <w:rPr>
          <w:vertAlign w:val="baseline"/>
        </w:rPr>
        <w:t>.</w:t>
      </w:r>
    </w:p>
    <w:p>
      <w:pPr>
        <w:pStyle w:val="BodyText"/>
        <w:rPr>
          <w:sz w:val="24"/>
        </w:rPr>
      </w:pPr>
    </w:p>
    <w:p>
      <w:pPr>
        <w:pStyle w:val="BodyText"/>
        <w:spacing w:before="7"/>
        <w:rPr>
          <w:sz w:val="27"/>
        </w:rPr>
      </w:pPr>
    </w:p>
    <w:p>
      <w:pPr>
        <w:pStyle w:val="Heading6"/>
        <w:spacing w:before="1"/>
        <w:jc w:val="both"/>
      </w:pPr>
      <w:r>
        <w:rPr/>
        <w:t>COMMERCIAL HARVEST</w:t>
      </w:r>
    </w:p>
    <w:p>
      <w:pPr>
        <w:spacing w:before="116"/>
        <w:ind w:left="159" w:right="0" w:firstLine="0"/>
        <w:jc w:val="both"/>
        <w:rPr>
          <w:sz w:val="20"/>
        </w:rPr>
      </w:pPr>
      <w:r>
        <w:rPr>
          <w:sz w:val="20"/>
        </w:rPr>
        <w:t>See </w:t>
      </w:r>
      <w:r>
        <w:rPr>
          <w:i/>
          <w:sz w:val="20"/>
        </w:rPr>
        <w:t>fellings</w:t>
      </w:r>
      <w:r>
        <w:rPr>
          <w:sz w:val="20"/>
        </w:rPr>
        <w:t>.</w:t>
      </w:r>
    </w:p>
    <w:p>
      <w:pPr>
        <w:pStyle w:val="BodyText"/>
        <w:rPr>
          <w:sz w:val="22"/>
        </w:rPr>
      </w:pPr>
    </w:p>
    <w:p>
      <w:pPr>
        <w:pStyle w:val="BodyText"/>
        <w:spacing w:before="7"/>
        <w:rPr>
          <w:sz w:val="29"/>
        </w:rPr>
      </w:pPr>
    </w:p>
    <w:p>
      <w:pPr>
        <w:pStyle w:val="Heading6"/>
        <w:jc w:val="both"/>
      </w:pPr>
      <w:r>
        <w:rPr/>
        <w:t>COMPARABILITY</w:t>
      </w:r>
    </w:p>
    <w:p>
      <w:pPr>
        <w:pStyle w:val="BodyText"/>
        <w:spacing w:before="116"/>
        <w:ind w:left="159" w:right="165"/>
        <w:jc w:val="both"/>
      </w:pPr>
      <w:r>
        <w:rPr>
          <w:b/>
        </w:rPr>
        <w:t>Inventory definition: </w:t>
      </w:r>
      <w:r>
        <w:rPr/>
        <w:t>Comparability means that estimates of emissions and removals reported by Parties in inventories should be comparable among Parties. For this purpose, Parties should use the methodologies and formats agreed by the Conference of the Parties (COP) for estimating and reporting inventories.</w:t>
      </w:r>
    </w:p>
    <w:p>
      <w:pPr>
        <w:pStyle w:val="BodyText"/>
      </w:pPr>
    </w:p>
    <w:p>
      <w:pPr>
        <w:pStyle w:val="BodyText"/>
      </w:pPr>
    </w:p>
    <w:p>
      <w:pPr>
        <w:pStyle w:val="BodyText"/>
      </w:pPr>
    </w:p>
    <w:p>
      <w:pPr>
        <w:pStyle w:val="BodyText"/>
        <w:spacing w:before="9"/>
      </w:pPr>
      <w:r>
        <w:rPr/>
        <w:pict>
          <v:line style="position:absolute;mso-position-horizontal-relative:page;mso-position-vertical-relative:paragraph;z-index:31256;mso-wrap-distance-left:0;mso-wrap-distance-right:0" from="70.960999pt,14.159981pt" to="214.960999pt,14.159981pt" stroked="true" strokeweight=".48pt" strokecolor="#000000">
            <v:stroke dashstyle="solid"/>
            <w10:wrap type="topAndBottom"/>
          </v:line>
        </w:pict>
      </w:r>
    </w:p>
    <w:p>
      <w:pPr>
        <w:spacing w:before="33"/>
        <w:ind w:left="159" w:right="0" w:firstLine="0"/>
        <w:jc w:val="left"/>
        <w:rPr>
          <w:sz w:val="18"/>
        </w:rPr>
      </w:pPr>
      <w:r>
        <w:rPr>
          <w:position w:val="8"/>
          <w:sz w:val="12"/>
        </w:rPr>
        <w:t>2 </w:t>
      </w:r>
      <w:r>
        <w:rPr>
          <w:sz w:val="18"/>
        </w:rPr>
        <w:t>‘Coefficient of variation’ is the term, which is frequently replaced by ‘error’ in a statement like ‘the error is 5%’.</w:t>
      </w:r>
    </w:p>
    <w:p>
      <w:pPr>
        <w:spacing w:after="0"/>
        <w:jc w:val="left"/>
        <w:rPr>
          <w:sz w:val="18"/>
        </w:rPr>
        <w:sectPr>
          <w:pgSz w:w="11900" w:h="16840"/>
          <w:pgMar w:header="230" w:footer="408" w:top="560" w:bottom="600" w:left="1260" w:right="1240"/>
        </w:sectPr>
      </w:pPr>
    </w:p>
    <w:p>
      <w:pPr>
        <w:pStyle w:val="BodyText"/>
      </w:pPr>
    </w:p>
    <w:p>
      <w:pPr>
        <w:pStyle w:val="Heading6"/>
        <w:spacing w:before="214"/>
        <w:jc w:val="both"/>
      </w:pPr>
      <w:r>
        <w:rPr/>
        <w:t>COMPLETENESS</w:t>
      </w:r>
    </w:p>
    <w:p>
      <w:pPr>
        <w:pStyle w:val="BodyText"/>
        <w:spacing w:before="117"/>
        <w:ind w:left="159" w:right="167"/>
        <w:jc w:val="both"/>
        <w:rPr>
          <w:i/>
        </w:rPr>
      </w:pPr>
      <w:r>
        <w:rPr>
          <w:b/>
        </w:rPr>
        <w:t>Inventory definition: </w:t>
      </w:r>
      <w:r>
        <w:rPr/>
        <w:t>Completeness means that an inventory covers all sources and sinks for the full geographic coverage, as well as all gases included in </w:t>
      </w:r>
      <w:r>
        <w:rPr>
          <w:i/>
        </w:rPr>
        <w:t>the IPCC Guidelines </w:t>
      </w:r>
      <w:r>
        <w:rPr/>
        <w:t>in addition to other existing relevant source/sink categories which are specific to individual Parties (and therefore may not be included in the </w:t>
      </w:r>
      <w:r>
        <w:rPr>
          <w:i/>
        </w:rPr>
        <w:t>IPCC Guidelines</w:t>
      </w:r>
      <w:r>
        <w:rPr/>
        <w:t>)</w:t>
      </w:r>
      <w:r>
        <w:rPr>
          <w:i/>
        </w:rPr>
        <w:t>.</w:t>
      </w:r>
    </w:p>
    <w:p>
      <w:pPr>
        <w:pStyle w:val="BodyText"/>
        <w:rPr>
          <w:i/>
          <w:sz w:val="22"/>
        </w:rPr>
      </w:pPr>
    </w:p>
    <w:p>
      <w:pPr>
        <w:pStyle w:val="BodyText"/>
        <w:spacing w:before="7"/>
        <w:rPr>
          <w:i/>
          <w:sz w:val="29"/>
        </w:rPr>
      </w:pPr>
    </w:p>
    <w:p>
      <w:pPr>
        <w:pStyle w:val="Heading6"/>
        <w:spacing w:before="1"/>
        <w:jc w:val="both"/>
      </w:pPr>
      <w:r>
        <w:rPr/>
        <w:t>CONFIDENCE</w:t>
      </w:r>
    </w:p>
    <w:p>
      <w:pPr>
        <w:pStyle w:val="BodyText"/>
        <w:spacing w:before="113"/>
        <w:ind w:left="159" w:right="165" w:hanging="1"/>
        <w:jc w:val="both"/>
      </w:pPr>
      <w:r>
        <w:rPr>
          <w:b/>
        </w:rPr>
        <w:t>Inventory definition: </w:t>
      </w:r>
      <w:r>
        <w:rPr/>
        <w:t>The term ‘confidence’ is used to represent trust in a measurement or estimate. Having confidence in inventory estimates does not make those estimates more accurate or precise; however, it will eventually help to establish a consensus regarding whether the data can be applied to solve a problem. This usage of confidence differs substantially from the statistical usage in the term confidence interval.</w:t>
      </w:r>
    </w:p>
    <w:p>
      <w:pPr>
        <w:pStyle w:val="BodyText"/>
        <w:rPr>
          <w:sz w:val="22"/>
        </w:rPr>
      </w:pPr>
    </w:p>
    <w:p>
      <w:pPr>
        <w:pStyle w:val="BodyText"/>
        <w:spacing w:before="9"/>
        <w:rPr>
          <w:sz w:val="29"/>
        </w:rPr>
      </w:pPr>
    </w:p>
    <w:p>
      <w:pPr>
        <w:pStyle w:val="Heading6"/>
        <w:jc w:val="both"/>
      </w:pPr>
      <w:r>
        <w:rPr/>
        <w:t>CONFIDENCE INTERVAL</w:t>
      </w:r>
    </w:p>
    <w:p>
      <w:pPr>
        <w:pStyle w:val="BodyText"/>
        <w:spacing w:before="114"/>
        <w:ind w:left="159" w:right="163"/>
        <w:jc w:val="both"/>
      </w:pPr>
      <w:r>
        <w:rPr>
          <w:b/>
        </w:rPr>
        <w:t>Statistical definition: </w:t>
      </w:r>
      <w:r>
        <w:rPr/>
        <w:t>A confidence interval is the range in which it is believed that the true value of a quantity lies. The level of belief is expressed by the probability, whose value is related to the size of the interval. It is one of the ways in which uncertainty can be expressed (see </w:t>
      </w:r>
      <w:r>
        <w:rPr>
          <w:i/>
        </w:rPr>
        <w:t>estimation</w:t>
      </w:r>
      <w:r>
        <w:rPr/>
        <w:t>, statistical definition).</w:t>
      </w:r>
    </w:p>
    <w:p>
      <w:pPr>
        <w:pStyle w:val="BodyText"/>
        <w:spacing w:before="118"/>
        <w:ind w:left="159" w:right="164"/>
        <w:jc w:val="both"/>
      </w:pPr>
      <w:r>
        <w:rPr/>
        <w:t>In practice a confidence interval is defined by a probability value, say 95%, and confidence limits on either side of the mean value </w:t>
      </w:r>
      <w:r>
        <w:rPr>
          <w:i/>
        </w:rPr>
        <w:t>x</w:t>
      </w:r>
      <w:r>
        <w:rPr/>
        <w:t>. In this case the confidence limits L</w:t>
      </w:r>
      <w:r>
        <w:rPr>
          <w:vertAlign w:val="subscript"/>
        </w:rPr>
        <w:t>1</w:t>
      </w:r>
      <w:r>
        <w:rPr>
          <w:vertAlign w:val="baseline"/>
        </w:rPr>
        <w:t> and L</w:t>
      </w:r>
      <w:r>
        <w:rPr>
          <w:vertAlign w:val="subscript"/>
        </w:rPr>
        <w:t>2</w:t>
      </w:r>
      <w:r>
        <w:rPr>
          <w:vertAlign w:val="baseline"/>
        </w:rPr>
        <w:t> would be calculated from the probability density function such that there was a 95% chance of the true value of the quantity being estimated by </w:t>
      </w:r>
      <w:r>
        <w:rPr>
          <w:i/>
          <w:vertAlign w:val="baseline"/>
        </w:rPr>
        <w:t>x </w:t>
      </w:r>
      <w:r>
        <w:rPr>
          <w:vertAlign w:val="baseline"/>
        </w:rPr>
        <w:t>lying between L</w:t>
      </w:r>
      <w:r>
        <w:rPr>
          <w:vertAlign w:val="subscript"/>
        </w:rPr>
        <w:t>1</w:t>
      </w:r>
      <w:r>
        <w:rPr>
          <w:vertAlign w:val="baseline"/>
        </w:rPr>
        <w:t> and L</w:t>
      </w:r>
      <w:r>
        <w:rPr>
          <w:vertAlign w:val="subscript"/>
        </w:rPr>
        <w:t>2</w:t>
      </w:r>
      <w:r>
        <w:rPr>
          <w:vertAlign w:val="baseline"/>
        </w:rPr>
        <w:t>. Commonly L</w:t>
      </w:r>
      <w:r>
        <w:rPr>
          <w:vertAlign w:val="subscript"/>
        </w:rPr>
        <w:t>1</w:t>
      </w:r>
      <w:r>
        <w:rPr>
          <w:vertAlign w:val="baseline"/>
        </w:rPr>
        <w:t> and L</w:t>
      </w:r>
      <w:r>
        <w:rPr>
          <w:vertAlign w:val="subscript"/>
        </w:rPr>
        <w:t>2</w:t>
      </w:r>
      <w:r>
        <w:rPr>
          <w:vertAlign w:val="baseline"/>
        </w:rPr>
        <w:t> are the 2.5 percentile and 97.5 percentile</w:t>
      </w:r>
      <w:r>
        <w:rPr>
          <w:spacing w:val="-1"/>
          <w:vertAlign w:val="baseline"/>
        </w:rPr>
        <w:t> </w:t>
      </w:r>
      <w:r>
        <w:rPr>
          <w:vertAlign w:val="baseline"/>
        </w:rPr>
        <w:t>respectively.</w:t>
      </w:r>
    </w:p>
    <w:p>
      <w:pPr>
        <w:pStyle w:val="BodyText"/>
        <w:spacing w:before="120"/>
        <w:ind w:left="159" w:right="166"/>
        <w:jc w:val="both"/>
      </w:pPr>
      <w:r>
        <w:rPr/>
        <w:t>Example: ‘An emission is between 90 and 100 kt with a probability of 95%.’ Such a statement can be provided when the confidence interval is calculated (the numerical values in this example are arbitrarily chosen).</w:t>
      </w:r>
    </w:p>
    <w:p>
      <w:pPr>
        <w:pStyle w:val="BodyText"/>
        <w:rPr>
          <w:sz w:val="22"/>
        </w:rPr>
      </w:pPr>
    </w:p>
    <w:p>
      <w:pPr>
        <w:pStyle w:val="BodyText"/>
        <w:spacing w:before="10"/>
        <w:rPr>
          <w:sz w:val="29"/>
        </w:rPr>
      </w:pPr>
    </w:p>
    <w:p>
      <w:pPr>
        <w:pStyle w:val="Heading6"/>
        <w:jc w:val="both"/>
      </w:pPr>
      <w:r>
        <w:rPr/>
        <w:t>CONFUSION MATRIX</w:t>
      </w:r>
    </w:p>
    <w:p>
      <w:pPr>
        <w:pStyle w:val="BodyText"/>
        <w:spacing w:before="114"/>
        <w:ind w:left="159" w:right="167"/>
        <w:jc w:val="both"/>
      </w:pPr>
      <w:r>
        <w:rPr/>
        <w:t>The conventional technique that establishes a matrix showing, for any given classification of land, the probability of misclassification by one of the other candidate</w:t>
      </w:r>
      <w:r>
        <w:rPr>
          <w:spacing w:val="-12"/>
        </w:rPr>
        <w:t> </w:t>
      </w:r>
      <w:r>
        <w:rPr/>
        <w:t>classifications.</w:t>
      </w:r>
    </w:p>
    <w:p>
      <w:pPr>
        <w:pStyle w:val="BodyText"/>
        <w:rPr>
          <w:sz w:val="22"/>
        </w:rPr>
      </w:pPr>
    </w:p>
    <w:p>
      <w:pPr>
        <w:pStyle w:val="BodyText"/>
        <w:spacing w:before="9"/>
        <w:rPr>
          <w:sz w:val="29"/>
        </w:rPr>
      </w:pPr>
    </w:p>
    <w:p>
      <w:pPr>
        <w:pStyle w:val="Heading6"/>
        <w:spacing w:before="1"/>
        <w:jc w:val="both"/>
      </w:pPr>
      <w:r>
        <w:rPr/>
        <w:t>CONSISTENCY</w:t>
      </w:r>
    </w:p>
    <w:p>
      <w:pPr>
        <w:pStyle w:val="BodyText"/>
        <w:spacing w:before="113"/>
        <w:ind w:left="159" w:right="165"/>
        <w:jc w:val="both"/>
      </w:pPr>
      <w:r>
        <w:rPr>
          <w:b/>
        </w:rPr>
        <w:t>Inventory definition: </w:t>
      </w:r>
      <w:r>
        <w:rPr/>
        <w:t>Consistency means that an inventory should be internally consistent in all its elements over a period of years. An inventory is consistent if the same methodologies are used for the base year and all subsequent years and if consistent data sets are used to estimate emissions or removals from sources or sinks. Under certain circumstances referred to in paragraphs 10 and 11 of FCCC/SBSTA/1999/6/Add.1, an inventory using different methodologies for different years can be considered to be consistent if it has been recalculated in a transparent manner taking into account any </w:t>
      </w:r>
      <w:r>
        <w:rPr>
          <w:i/>
        </w:rPr>
        <w:t>good</w:t>
      </w:r>
      <w:r>
        <w:rPr>
          <w:i/>
          <w:spacing w:val="1"/>
        </w:rPr>
        <w:t> </w:t>
      </w:r>
      <w:r>
        <w:rPr>
          <w:i/>
        </w:rPr>
        <w:t>practices</w:t>
      </w:r>
      <w:r>
        <w:rPr/>
        <w:t>.</w:t>
      </w:r>
    </w:p>
    <w:p>
      <w:pPr>
        <w:pStyle w:val="BodyText"/>
        <w:spacing w:before="118"/>
        <w:ind w:left="159" w:right="163"/>
        <w:jc w:val="both"/>
      </w:pPr>
      <w:r>
        <w:rPr>
          <w:b/>
        </w:rPr>
        <w:t>Statistical definition: </w:t>
      </w:r>
      <w:r>
        <w:rPr/>
        <w:t>A statistical estimator for a parameter is said to be consistent, if the estimator tends towards the parameter as the size of the sample used for the estimator increases – i.e., precision is improved by an increasing number of</w:t>
      </w:r>
      <w:r>
        <w:rPr>
          <w:spacing w:val="-2"/>
        </w:rPr>
        <w:t> </w:t>
      </w:r>
      <w:r>
        <w:rPr/>
        <w:t>observations.</w:t>
      </w:r>
    </w:p>
    <w:p>
      <w:pPr>
        <w:pStyle w:val="BodyText"/>
        <w:rPr>
          <w:sz w:val="22"/>
        </w:rPr>
      </w:pPr>
    </w:p>
    <w:p>
      <w:pPr>
        <w:pStyle w:val="BodyText"/>
        <w:spacing w:before="8"/>
        <w:rPr>
          <w:sz w:val="29"/>
        </w:rPr>
      </w:pPr>
    </w:p>
    <w:p>
      <w:pPr>
        <w:pStyle w:val="Heading6"/>
        <w:jc w:val="both"/>
      </w:pPr>
      <w:r>
        <w:rPr/>
        <w:t>CONVERSION</w:t>
      </w:r>
    </w:p>
    <w:p>
      <w:pPr>
        <w:pStyle w:val="BodyText"/>
        <w:spacing w:before="116"/>
        <w:ind w:left="159"/>
        <w:jc w:val="both"/>
      </w:pPr>
      <w:r>
        <w:rPr/>
        <w:t>Change of one land use to another.</w:t>
      </w:r>
    </w:p>
    <w:p>
      <w:pPr>
        <w:pStyle w:val="BodyText"/>
        <w:rPr>
          <w:sz w:val="22"/>
        </w:rPr>
      </w:pPr>
    </w:p>
    <w:p>
      <w:pPr>
        <w:pStyle w:val="BodyText"/>
        <w:spacing w:before="7"/>
        <w:rPr>
          <w:sz w:val="29"/>
        </w:rPr>
      </w:pPr>
    </w:p>
    <w:p>
      <w:pPr>
        <w:pStyle w:val="Heading6"/>
        <w:spacing w:before="1"/>
        <w:jc w:val="both"/>
      </w:pPr>
      <w:r>
        <w:rPr/>
        <w:t>CORRELATION</w:t>
      </w:r>
    </w:p>
    <w:p>
      <w:pPr>
        <w:spacing w:before="116"/>
        <w:ind w:left="159" w:right="0" w:firstLine="0"/>
        <w:jc w:val="both"/>
        <w:rPr>
          <w:sz w:val="20"/>
        </w:rPr>
      </w:pPr>
      <w:r>
        <w:rPr>
          <w:b/>
          <w:sz w:val="20"/>
        </w:rPr>
        <w:t>Statistical definition: </w:t>
      </w:r>
      <w:r>
        <w:rPr>
          <w:sz w:val="20"/>
        </w:rPr>
        <w:t>Mutual dependence between two quantities. See </w:t>
      </w:r>
      <w:r>
        <w:rPr>
          <w:i/>
          <w:sz w:val="20"/>
        </w:rPr>
        <w:t>correlation coefficient</w:t>
      </w:r>
      <w:r>
        <w:rPr>
          <w:sz w:val="20"/>
        </w:rPr>
        <w:t>.</w:t>
      </w:r>
    </w:p>
    <w:p>
      <w:pPr>
        <w:spacing w:after="0"/>
        <w:jc w:val="both"/>
        <w:rPr>
          <w:sz w:val="20"/>
        </w:rPr>
        <w:sectPr>
          <w:pgSz w:w="11900" w:h="16840"/>
          <w:pgMar w:header="230" w:footer="408" w:top="560" w:bottom="600" w:left="1260" w:right="1240"/>
        </w:sectPr>
      </w:pPr>
    </w:p>
    <w:p>
      <w:pPr>
        <w:pStyle w:val="BodyText"/>
      </w:pPr>
    </w:p>
    <w:p>
      <w:pPr>
        <w:pStyle w:val="Heading6"/>
        <w:spacing w:before="214"/>
      </w:pPr>
      <w:r>
        <w:rPr/>
        <w:t>CORRELATION COEFFICIENT</w:t>
      </w:r>
    </w:p>
    <w:p>
      <w:pPr>
        <w:pStyle w:val="BodyText"/>
        <w:spacing w:before="117"/>
        <w:ind w:left="159" w:right="163"/>
        <w:jc w:val="both"/>
      </w:pPr>
      <w:r>
        <w:rPr>
          <w:b/>
        </w:rPr>
        <w:t>Statistical definition: </w:t>
      </w:r>
      <w:r>
        <w:rPr/>
        <w:t>A number lying between –1 and +1, which measures the mutual dependence between two variables which are observed together. A value of +1 means that the variables have a perfect direct straight line relation; a value of –1 means that there is a perfect inverse straight line relation; and a value of 0 means that  there is no straight line relation. It is defined as the covariance of the two variables divided by the product of their standard deviations.</w:t>
      </w:r>
    </w:p>
    <w:p>
      <w:pPr>
        <w:pStyle w:val="BodyText"/>
        <w:rPr>
          <w:sz w:val="22"/>
        </w:rPr>
      </w:pPr>
    </w:p>
    <w:p>
      <w:pPr>
        <w:pStyle w:val="BodyText"/>
        <w:spacing w:before="6"/>
        <w:rPr>
          <w:sz w:val="29"/>
        </w:rPr>
      </w:pPr>
    </w:p>
    <w:p>
      <w:pPr>
        <w:pStyle w:val="Heading6"/>
      </w:pPr>
      <w:r>
        <w:rPr/>
        <w:t>COUNTRY- SPECIFIC DATA</w:t>
      </w:r>
    </w:p>
    <w:p>
      <w:pPr>
        <w:pStyle w:val="BodyText"/>
        <w:spacing w:before="116"/>
        <w:ind w:left="159"/>
      </w:pPr>
      <w:r>
        <w:rPr/>
        <w:t>Data for either activities or emissions that are based on research carried out on domestic sites.</w:t>
      </w:r>
    </w:p>
    <w:p>
      <w:pPr>
        <w:pStyle w:val="BodyText"/>
        <w:rPr>
          <w:sz w:val="22"/>
        </w:rPr>
      </w:pPr>
    </w:p>
    <w:p>
      <w:pPr>
        <w:pStyle w:val="BodyText"/>
        <w:spacing w:before="7"/>
        <w:rPr>
          <w:sz w:val="29"/>
        </w:rPr>
      </w:pPr>
    </w:p>
    <w:p>
      <w:pPr>
        <w:pStyle w:val="Heading6"/>
      </w:pPr>
      <w:r>
        <w:rPr/>
        <w:t>COVARIANCE</w:t>
      </w:r>
    </w:p>
    <w:p>
      <w:pPr>
        <w:pStyle w:val="BodyText"/>
        <w:spacing w:before="117"/>
        <w:ind w:left="159"/>
      </w:pPr>
      <w:r>
        <w:rPr/>
        <w:t>Statistical definition: The covariance between two variables is a measure of the mutual dependence between two variables.</w:t>
      </w:r>
    </w:p>
    <w:p>
      <w:pPr>
        <w:pStyle w:val="BodyText"/>
        <w:spacing w:before="118"/>
        <w:ind w:left="159"/>
      </w:pPr>
      <w:r>
        <w:rPr/>
        <w:t>The sample covariance of paired samples of random variables X and Y is calculated using the following formula:</w:t>
      </w:r>
    </w:p>
    <w:p>
      <w:pPr>
        <w:spacing w:line="155" w:lineRule="exact" w:before="29" w:after="11"/>
        <w:ind w:left="200" w:right="0" w:firstLine="0"/>
        <w:jc w:val="left"/>
        <w:rPr>
          <w:sz w:val="20"/>
        </w:rPr>
      </w:pPr>
      <w:r>
        <w:rPr/>
        <w:pict>
          <v:line style="position:absolute;mso-position-horizontal-relative:page;mso-position-vertical-relative:paragraph;z-index:33448" from="134.201004pt,7.686235pt" to="138.761004pt,7.686235pt" stroked="true" strokeweight=".495pt" strokecolor="#000000">
            <v:stroke dashstyle="solid"/>
            <w10:wrap type="none"/>
          </v:line>
        </w:pict>
      </w:r>
      <w:r>
        <w:rPr/>
        <w:pict>
          <v:line style="position:absolute;mso-position-horizontal-relative:page;mso-position-vertical-relative:paragraph;z-index:33472" from="164.800995pt,7.686235pt" to="169.960995pt,7.686235pt" stroked="true" strokeweight=".495pt" strokecolor="#000000">
            <v:stroke dashstyle="solid"/>
            <w10:wrap type="none"/>
          </v:line>
        </w:pict>
      </w:r>
      <w:r>
        <w:rPr>
          <w:i/>
          <w:sz w:val="20"/>
        </w:rPr>
        <w:t>s </w:t>
      </w:r>
      <w:r>
        <w:rPr>
          <w:sz w:val="20"/>
          <w:vertAlign w:val="superscript"/>
        </w:rPr>
        <w:t>2</w:t>
      </w:r>
      <w:r>
        <w:rPr>
          <w:sz w:val="20"/>
          <w:vertAlign w:val="baseline"/>
        </w:rPr>
        <w:t> </w:t>
      </w:r>
      <w:r>
        <w:rPr>
          <w:rFonts w:ascii="Symbol" w:hAnsi="Symbol"/>
          <w:sz w:val="20"/>
          <w:vertAlign w:val="baseline"/>
        </w:rPr>
        <w:t>= </w:t>
      </w:r>
      <w:r>
        <w:rPr>
          <w:position w:val="13"/>
          <w:sz w:val="20"/>
          <w:vertAlign w:val="baseline"/>
        </w:rPr>
        <w:t>1 </w:t>
      </w:r>
      <w:r>
        <w:rPr>
          <w:i/>
          <w:position w:val="17"/>
          <w:sz w:val="14"/>
          <w:vertAlign w:val="baseline"/>
        </w:rPr>
        <w:t>n </w:t>
      </w:r>
      <w:r>
        <w:rPr>
          <w:sz w:val="20"/>
          <w:vertAlign w:val="baseline"/>
        </w:rPr>
        <w:t>(</w:t>
      </w:r>
      <w:r>
        <w:rPr>
          <w:i/>
          <w:sz w:val="20"/>
          <w:vertAlign w:val="baseline"/>
        </w:rPr>
        <w:t>x </w:t>
      </w:r>
      <w:r>
        <w:rPr>
          <w:rFonts w:ascii="Symbol" w:hAnsi="Symbol"/>
          <w:sz w:val="20"/>
          <w:vertAlign w:val="baseline"/>
        </w:rPr>
        <w:t>− </w:t>
      </w:r>
      <w:r>
        <w:rPr>
          <w:i/>
          <w:sz w:val="20"/>
          <w:vertAlign w:val="baseline"/>
        </w:rPr>
        <w:t>x</w:t>
      </w:r>
      <w:r>
        <w:rPr>
          <w:sz w:val="20"/>
          <w:vertAlign w:val="baseline"/>
        </w:rPr>
        <w:t>)( </w:t>
      </w:r>
      <w:r>
        <w:rPr>
          <w:i/>
          <w:sz w:val="20"/>
          <w:vertAlign w:val="baseline"/>
        </w:rPr>
        <w:t>y </w:t>
      </w:r>
      <w:r>
        <w:rPr>
          <w:rFonts w:ascii="Symbol" w:hAnsi="Symbol"/>
          <w:sz w:val="20"/>
          <w:vertAlign w:val="baseline"/>
        </w:rPr>
        <w:t>− </w:t>
      </w:r>
      <w:r>
        <w:rPr>
          <w:i/>
          <w:sz w:val="20"/>
          <w:vertAlign w:val="baseline"/>
        </w:rPr>
        <w:t>y</w:t>
      </w:r>
      <w:r>
        <w:rPr>
          <w:sz w:val="20"/>
          <w:vertAlign w:val="baseline"/>
        </w:rPr>
        <w:t>) where </w:t>
      </w:r>
      <w:r>
        <w:rPr>
          <w:i/>
          <w:sz w:val="20"/>
          <w:vertAlign w:val="baseline"/>
        </w:rPr>
        <w:t>x , y , i = 1,…,n </w:t>
      </w:r>
      <w:r>
        <w:rPr>
          <w:sz w:val="20"/>
          <w:vertAlign w:val="baseline"/>
        </w:rPr>
        <w:t>are items in the sample and </w:t>
      </w:r>
      <w:r>
        <w:rPr>
          <w:i/>
          <w:sz w:val="24"/>
          <w:vertAlign w:val="baseline"/>
        </w:rPr>
        <w:t>x </w:t>
      </w:r>
      <w:r>
        <w:rPr>
          <w:sz w:val="20"/>
          <w:vertAlign w:val="baseline"/>
        </w:rPr>
        <w:t>and </w:t>
      </w:r>
      <w:r>
        <w:rPr>
          <w:i/>
          <w:sz w:val="24"/>
          <w:vertAlign w:val="baseline"/>
        </w:rPr>
        <w:t>y </w:t>
      </w:r>
      <w:r>
        <w:rPr>
          <w:sz w:val="20"/>
          <w:vertAlign w:val="baseline"/>
        </w:rPr>
        <w:t>are sample means.</w:t>
      </w:r>
    </w:p>
    <w:p>
      <w:pPr>
        <w:tabs>
          <w:tab w:pos="6955" w:val="left" w:leader="none"/>
        </w:tabs>
        <w:spacing w:line="20" w:lineRule="exact"/>
        <w:ind w:left="6351" w:right="0" w:firstLine="0"/>
        <w:rPr>
          <w:sz w:val="2"/>
        </w:rPr>
      </w:pPr>
      <w:r>
        <w:rPr>
          <w:sz w:val="2"/>
        </w:rPr>
        <w:pict>
          <v:group style="width:5.3pt;height:.5pt;mso-position-horizontal-relative:char;mso-position-vertical-relative:line" coordorigin="0,0" coordsize="106,10">
            <v:line style="position:absolute" from="0,5" to="106,5" stroked="true" strokeweight=".495pt" strokecolor="#000000">
              <v:stroke dashstyle="solid"/>
            </v:line>
          </v:group>
        </w:pict>
      </w:r>
      <w:r>
        <w:rPr>
          <w:sz w:val="2"/>
        </w:rPr>
      </w:r>
      <w:r>
        <w:rPr>
          <w:sz w:val="2"/>
        </w:rPr>
        <w:tab/>
      </w:r>
      <w:r>
        <w:rPr>
          <w:sz w:val="2"/>
        </w:rPr>
        <w:pict>
          <v:group style="width:5.3pt;height:.5pt;mso-position-horizontal-relative:char;mso-position-vertical-relative:line" coordorigin="0,0" coordsize="106,10">
            <v:line style="position:absolute" from="0,5" to="106,5" stroked="true" strokeweight=".495pt" strokecolor="#000000">
              <v:stroke dashstyle="solid"/>
            </v:line>
          </v:group>
        </w:pict>
      </w:r>
      <w:r>
        <w:rPr>
          <w:sz w:val="2"/>
        </w:rPr>
      </w:r>
    </w:p>
    <w:p>
      <w:pPr>
        <w:pStyle w:val="BodyText"/>
        <w:spacing w:before="9"/>
        <w:rPr>
          <w:sz w:val="6"/>
        </w:rPr>
      </w:pPr>
    </w:p>
    <w:p>
      <w:pPr>
        <w:pStyle w:val="BodyText"/>
        <w:spacing w:line="20" w:lineRule="exact"/>
        <w:ind w:left="634"/>
        <w:rPr>
          <w:sz w:val="2"/>
        </w:rPr>
      </w:pPr>
      <w:r>
        <w:rPr>
          <w:sz w:val="2"/>
        </w:rPr>
        <w:pict>
          <v:group style="width:6.6pt;height:.5pt;mso-position-horizontal-relative:char;mso-position-vertical-relative:line" coordorigin="0,0" coordsize="132,10">
            <v:line style="position:absolute" from="0,5" to="132,5" stroked="true" strokeweight=".495pt" strokecolor="#000000">
              <v:stroke dashstyle="solid"/>
            </v:line>
          </v:group>
        </w:pict>
      </w:r>
      <w:r>
        <w:rPr>
          <w:sz w:val="2"/>
        </w:rPr>
      </w:r>
    </w:p>
    <w:p>
      <w:pPr>
        <w:pStyle w:val="BodyText"/>
        <w:spacing w:before="8"/>
        <w:rPr>
          <w:sz w:val="4"/>
        </w:rPr>
      </w:pPr>
    </w:p>
    <w:p>
      <w:pPr>
        <w:pStyle w:val="BodyText"/>
        <w:spacing w:line="20" w:lineRule="exact"/>
        <w:ind w:left="7447"/>
        <w:rPr>
          <w:sz w:val="2"/>
        </w:rPr>
      </w:pPr>
      <w:r>
        <w:rPr>
          <w:sz w:val="2"/>
        </w:rPr>
        <w:pict>
          <v:group style="width:56.2pt;height:.5pt;mso-position-horizontal-relative:char;mso-position-vertical-relative:line" coordorigin="0,0" coordsize="1124,10">
            <v:line style="position:absolute" from="0,5" to="1123,5" stroked="true" strokeweight=".48pt" strokecolor="#000000">
              <v:stroke dashstyle="solid"/>
            </v:line>
          </v:group>
        </w:pict>
      </w:r>
      <w:r>
        <w:rPr>
          <w:sz w:val="2"/>
        </w:rPr>
      </w:r>
    </w:p>
    <w:p>
      <w:pPr>
        <w:tabs>
          <w:tab w:pos="811" w:val="left" w:leader="none"/>
          <w:tab w:pos="1167" w:val="left" w:leader="none"/>
          <w:tab w:pos="1779" w:val="left" w:leader="none"/>
          <w:tab w:pos="2885" w:val="left" w:leader="none"/>
        </w:tabs>
        <w:spacing w:line="-76" w:lineRule="auto" w:before="44"/>
        <w:ind w:left="298" w:right="0" w:firstLine="0"/>
        <w:jc w:val="left"/>
        <w:rPr>
          <w:i/>
          <w:sz w:val="13"/>
        </w:rPr>
      </w:pPr>
      <w:r>
        <w:rPr>
          <w:i/>
          <w:sz w:val="14"/>
        </w:rPr>
        <w:t>xy</w:t>
        <w:tab/>
      </w:r>
      <w:r>
        <w:rPr>
          <w:rFonts w:ascii="Arial" w:hAnsi="Arial"/>
          <w:position w:val="4"/>
          <w:sz w:val="20"/>
        </w:rPr>
        <w:t>∑</w:t>
        <w:tab/>
      </w:r>
      <w:r>
        <w:rPr>
          <w:i/>
          <w:sz w:val="14"/>
        </w:rPr>
        <w:t>i</w:t>
        <w:tab/>
        <w:t>i</w:t>
        <w:tab/>
      </w:r>
      <w:r>
        <w:rPr>
          <w:i/>
          <w:position w:val="2"/>
          <w:sz w:val="13"/>
        </w:rPr>
        <w:t>i</w:t>
      </w:r>
      <w:r>
        <w:rPr>
          <w:i/>
          <w:spacing w:val="26"/>
          <w:position w:val="2"/>
          <w:sz w:val="13"/>
        </w:rPr>
        <w:t> </w:t>
      </w:r>
      <w:r>
        <w:rPr>
          <w:i/>
          <w:position w:val="2"/>
          <w:sz w:val="13"/>
        </w:rPr>
        <w:t>i</w:t>
      </w:r>
    </w:p>
    <w:p>
      <w:pPr>
        <w:spacing w:line="164" w:lineRule="exact" w:before="0"/>
        <w:ind w:left="656" w:right="0" w:firstLine="0"/>
        <w:jc w:val="left"/>
        <w:rPr>
          <w:i/>
          <w:sz w:val="14"/>
        </w:rPr>
      </w:pPr>
      <w:r>
        <w:rPr>
          <w:i/>
          <w:position w:val="2"/>
          <w:sz w:val="20"/>
        </w:rPr>
        <w:t>n </w:t>
      </w:r>
      <w:r>
        <w:rPr>
          <w:i/>
          <w:sz w:val="14"/>
        </w:rPr>
        <w:t>i</w:t>
      </w:r>
    </w:p>
    <w:p>
      <w:pPr>
        <w:pStyle w:val="BodyText"/>
        <w:rPr>
          <w:i/>
        </w:rPr>
      </w:pPr>
    </w:p>
    <w:p>
      <w:pPr>
        <w:pStyle w:val="BodyText"/>
        <w:spacing w:before="6"/>
        <w:rPr>
          <w:i/>
          <w:sz w:val="24"/>
        </w:rPr>
      </w:pPr>
    </w:p>
    <w:p>
      <w:pPr>
        <w:pStyle w:val="Heading6"/>
        <w:spacing w:before="92"/>
      </w:pPr>
      <w:r>
        <w:rPr/>
        <w:t>CROPLAND</w:t>
      </w:r>
    </w:p>
    <w:p>
      <w:pPr>
        <w:pStyle w:val="BodyText"/>
        <w:spacing w:before="114"/>
        <w:ind w:left="159" w:right="166"/>
      </w:pPr>
      <w:r>
        <w:rPr/>
        <w:t>This category includes arable and tillage land, and agro-forestry systems where vegetation falls below the threshold used for the forest land category, consistent with the selection of national definitions.</w:t>
      </w:r>
    </w:p>
    <w:p>
      <w:pPr>
        <w:pStyle w:val="BodyText"/>
        <w:rPr>
          <w:sz w:val="22"/>
        </w:rPr>
      </w:pPr>
    </w:p>
    <w:p>
      <w:pPr>
        <w:pStyle w:val="BodyText"/>
        <w:spacing w:before="10"/>
        <w:rPr>
          <w:sz w:val="29"/>
        </w:rPr>
      </w:pPr>
    </w:p>
    <w:p>
      <w:pPr>
        <w:pStyle w:val="Heading6"/>
      </w:pPr>
      <w:r>
        <w:rPr/>
        <w:t>CROPLAND MANAGEMENT </w:t>
      </w:r>
      <w:r>
        <w:rPr>
          <w:vertAlign w:val="superscript"/>
        </w:rPr>
        <w:t>3</w:t>
      </w:r>
    </w:p>
    <w:p>
      <w:pPr>
        <w:pStyle w:val="BodyText"/>
        <w:spacing w:before="113"/>
        <w:ind w:left="159" w:right="849"/>
      </w:pPr>
      <w:r>
        <w:rPr/>
        <w:t>The system of practices on land on which agricultural crops are grown and on land that is set aside or temporarily not being used for crop</w:t>
      </w:r>
      <w:r>
        <w:rPr>
          <w:spacing w:val="-3"/>
        </w:rPr>
        <w:t> </w:t>
      </w:r>
      <w:r>
        <w:rPr/>
        <w:t>production.</w:t>
      </w:r>
    </w:p>
    <w:p>
      <w:pPr>
        <w:pStyle w:val="BodyText"/>
        <w:rPr>
          <w:sz w:val="22"/>
        </w:rPr>
      </w:pPr>
    </w:p>
    <w:p>
      <w:pPr>
        <w:pStyle w:val="BodyText"/>
        <w:spacing w:before="10"/>
        <w:rPr>
          <w:sz w:val="29"/>
        </w:rPr>
      </w:pPr>
    </w:p>
    <w:p>
      <w:pPr>
        <w:pStyle w:val="Heading6"/>
        <w:spacing w:before="1"/>
      </w:pPr>
      <w:r>
        <w:rPr/>
        <w:t>CROSS- CUTTING ISSUES</w:t>
      </w:r>
    </w:p>
    <w:p>
      <w:pPr>
        <w:pStyle w:val="BodyText"/>
        <w:spacing w:before="113"/>
        <w:ind w:left="159" w:right="116" w:hanging="1"/>
        <w:jc w:val="both"/>
      </w:pPr>
      <w:r>
        <w:rPr>
          <w:spacing w:val="-3"/>
        </w:rPr>
        <w:t>Matters </w:t>
      </w:r>
      <w:r>
        <w:rPr/>
        <w:t>that arise in </w:t>
      </w:r>
      <w:r>
        <w:rPr>
          <w:spacing w:val="-3"/>
        </w:rPr>
        <w:t>more </w:t>
      </w:r>
      <w:r>
        <w:rPr/>
        <w:t>than </w:t>
      </w:r>
      <w:r>
        <w:rPr>
          <w:spacing w:val="-2"/>
        </w:rPr>
        <w:t>one </w:t>
      </w:r>
      <w:r>
        <w:rPr/>
        <w:t>part of the </w:t>
      </w:r>
      <w:r>
        <w:rPr>
          <w:i/>
        </w:rPr>
        <w:t>good practice guidance</w:t>
      </w:r>
      <w:r>
        <w:rPr/>
        <w:t>. In this report </w:t>
      </w:r>
      <w:r>
        <w:rPr>
          <w:spacing w:val="-3"/>
        </w:rPr>
        <w:t>identifying </w:t>
      </w:r>
      <w:r>
        <w:rPr/>
        <w:t>and </w:t>
      </w:r>
      <w:r>
        <w:rPr>
          <w:spacing w:val="-3"/>
        </w:rPr>
        <w:t>quantifying uncertainties, </w:t>
      </w:r>
      <w:r>
        <w:rPr>
          <w:spacing w:val="-4"/>
        </w:rPr>
        <w:t>sampling, </w:t>
      </w:r>
      <w:r>
        <w:rPr>
          <w:spacing w:val="-5"/>
        </w:rPr>
        <w:t>methodological </w:t>
      </w:r>
      <w:r>
        <w:rPr>
          <w:spacing w:val="-4"/>
        </w:rPr>
        <w:t>choice </w:t>
      </w:r>
      <w:r>
        <w:rPr/>
        <w:t>– </w:t>
      </w:r>
      <w:r>
        <w:rPr>
          <w:spacing w:val="-4"/>
        </w:rPr>
        <w:t>identification </w:t>
      </w:r>
      <w:r>
        <w:rPr/>
        <w:t>of </w:t>
      </w:r>
      <w:r>
        <w:rPr>
          <w:spacing w:val="-4"/>
        </w:rPr>
        <w:t>key categories, quality assurance and quality control, time series consistency and </w:t>
      </w:r>
      <w:r>
        <w:rPr>
          <w:spacing w:val="-5"/>
        </w:rPr>
        <w:t>recalculation, </w:t>
      </w:r>
      <w:r>
        <w:rPr>
          <w:spacing w:val="-4"/>
        </w:rPr>
        <w:t>and </w:t>
      </w:r>
      <w:r>
        <w:rPr>
          <w:spacing w:val="-5"/>
        </w:rPr>
        <w:t>verification </w:t>
      </w:r>
      <w:r>
        <w:rPr>
          <w:spacing w:val="-4"/>
        </w:rPr>
        <w:t>are addressed </w:t>
      </w:r>
      <w:r>
        <w:rPr/>
        <w:t>in a </w:t>
      </w:r>
      <w:r>
        <w:rPr>
          <w:spacing w:val="-4"/>
        </w:rPr>
        <w:t>separate chapter called </w:t>
      </w:r>
      <w:r>
        <w:rPr>
          <w:spacing w:val="-5"/>
        </w:rPr>
        <w:t>“Cross-cutting Issues”.</w:t>
      </w:r>
    </w:p>
    <w:p>
      <w:pPr>
        <w:pStyle w:val="BodyText"/>
        <w:rPr>
          <w:sz w:val="22"/>
        </w:rPr>
      </w:pPr>
    </w:p>
    <w:p>
      <w:pPr>
        <w:pStyle w:val="BodyText"/>
        <w:spacing w:before="9"/>
        <w:rPr>
          <w:sz w:val="29"/>
        </w:rPr>
      </w:pPr>
    </w:p>
    <w:p>
      <w:pPr>
        <w:pStyle w:val="Heading6"/>
      </w:pPr>
      <w:r>
        <w:rPr/>
        <w:t>CROWN COVER</w:t>
      </w:r>
    </w:p>
    <w:p>
      <w:pPr>
        <w:spacing w:before="113"/>
        <w:ind w:left="159" w:right="0" w:firstLine="0"/>
        <w:jc w:val="left"/>
        <w:rPr>
          <w:sz w:val="20"/>
        </w:rPr>
      </w:pPr>
      <w:r>
        <w:rPr>
          <w:sz w:val="20"/>
        </w:rPr>
        <w:t>See </w:t>
      </w:r>
      <w:r>
        <w:rPr>
          <w:i/>
          <w:sz w:val="20"/>
        </w:rPr>
        <w:t>canopy cover</w:t>
      </w:r>
      <w:r>
        <w:rPr>
          <w:sz w:val="20"/>
        </w:rPr>
        <w:t>.</w:t>
      </w:r>
    </w:p>
    <w:p>
      <w:pPr>
        <w:pStyle w:val="BodyText"/>
        <w:rPr>
          <w:sz w:val="22"/>
        </w:rPr>
      </w:pPr>
    </w:p>
    <w:p>
      <w:pPr>
        <w:pStyle w:val="BodyText"/>
        <w:spacing w:before="10"/>
        <w:rPr>
          <w:sz w:val="29"/>
        </w:rPr>
      </w:pPr>
    </w:p>
    <w:p>
      <w:pPr>
        <w:pStyle w:val="Heading6"/>
      </w:pPr>
      <w:r>
        <w:rPr/>
        <w:t>DEAD WOOD</w:t>
      </w:r>
    </w:p>
    <w:p>
      <w:pPr>
        <w:pStyle w:val="BodyText"/>
        <w:spacing w:before="114"/>
        <w:ind w:left="159" w:right="165"/>
        <w:jc w:val="both"/>
      </w:pPr>
      <w:r>
        <w:rPr/>
        <w:t>Includes all non-living woody biomass not contained in the litter, either standing, lying on the ground, or in the soil. Dead wood includes wood lying on the surface, dead roots, and stumps larger than or equal to 10 cm in diameter or any other diameter used by the country.</w:t>
      </w:r>
    </w:p>
    <w:p>
      <w:pPr>
        <w:pStyle w:val="BodyText"/>
      </w:pPr>
    </w:p>
    <w:p>
      <w:pPr>
        <w:pStyle w:val="BodyText"/>
      </w:pPr>
    </w:p>
    <w:p>
      <w:pPr>
        <w:pStyle w:val="BodyText"/>
      </w:pPr>
    </w:p>
    <w:p>
      <w:pPr>
        <w:pStyle w:val="BodyText"/>
      </w:pPr>
    </w:p>
    <w:p>
      <w:pPr>
        <w:pStyle w:val="BodyText"/>
        <w:spacing w:before="5"/>
        <w:rPr>
          <w:sz w:val="27"/>
        </w:rPr>
      </w:pPr>
      <w:r>
        <w:rPr/>
        <w:pict>
          <v:line style="position:absolute;mso-position-horizontal-relative:page;mso-position-vertical-relative:paragraph;z-index:31376;mso-wrap-distance-left:0;mso-wrap-distance-right:0" from="70.960999pt,18.009792pt" to="214.960999pt,18.009792pt" stroked="true" strokeweight=".48pt" strokecolor="#000000">
            <v:stroke dashstyle="solid"/>
            <w10:wrap type="topAndBottom"/>
          </v:line>
        </w:pict>
      </w:r>
    </w:p>
    <w:p>
      <w:pPr>
        <w:spacing w:before="30"/>
        <w:ind w:left="159" w:right="0" w:firstLine="0"/>
        <w:jc w:val="left"/>
        <w:rPr>
          <w:sz w:val="18"/>
        </w:rPr>
      </w:pPr>
      <w:r>
        <w:rPr>
          <w:position w:val="8"/>
          <w:sz w:val="12"/>
        </w:rPr>
        <w:t>3 </w:t>
      </w:r>
      <w:r>
        <w:rPr>
          <w:sz w:val="18"/>
        </w:rPr>
        <w:t>In the context of the Kyoto Protocol, as stipulated by the Marrakesh Accords, cf. paragraph 1 of the Annex to draft decision</w:t>
      </w:r>
    </w:p>
    <w:p>
      <w:pPr>
        <w:spacing w:before="2"/>
        <w:ind w:left="300" w:right="0" w:firstLine="0"/>
        <w:jc w:val="left"/>
        <w:rPr>
          <w:sz w:val="18"/>
        </w:rPr>
      </w:pPr>
      <w:r>
        <w:rPr>
          <w:sz w:val="18"/>
        </w:rPr>
        <w:t>-/CMP.1 (Land use, land-use change and forestry) contained in document FCCC/CP/2001/13/Add.1, p.58.</w:t>
      </w:r>
    </w:p>
    <w:p>
      <w:pPr>
        <w:spacing w:after="0"/>
        <w:jc w:val="left"/>
        <w:rPr>
          <w:sz w:val="18"/>
        </w:rPr>
        <w:sectPr>
          <w:pgSz w:w="11900" w:h="16840"/>
          <w:pgMar w:header="230" w:footer="408" w:top="560" w:bottom="600" w:left="1260" w:right="1240"/>
        </w:sectPr>
      </w:pPr>
    </w:p>
    <w:p>
      <w:pPr>
        <w:pStyle w:val="BodyText"/>
      </w:pPr>
    </w:p>
    <w:p>
      <w:pPr>
        <w:pStyle w:val="Heading6"/>
        <w:spacing w:before="214"/>
      </w:pPr>
      <w:r>
        <w:rPr/>
        <w:t>DECISION TREE</w:t>
      </w:r>
    </w:p>
    <w:p>
      <w:pPr>
        <w:pStyle w:val="BodyText"/>
        <w:spacing w:before="117"/>
        <w:ind w:left="159"/>
      </w:pPr>
      <w:r>
        <w:rPr>
          <w:b/>
        </w:rPr>
        <w:t>Inventory definition: </w:t>
      </w:r>
      <w:r>
        <w:rPr/>
        <w:t>A decision tree is a flow chart describing the specific ordered steps which need to be followed to develop an inventory or an inventory component in accordance with the principles of </w:t>
      </w:r>
      <w:r>
        <w:rPr>
          <w:i/>
        </w:rPr>
        <w:t>good practice</w:t>
      </w:r>
      <w:r>
        <w:rPr/>
        <w:t>.</w:t>
      </w:r>
    </w:p>
    <w:p>
      <w:pPr>
        <w:pStyle w:val="BodyText"/>
        <w:rPr>
          <w:sz w:val="22"/>
        </w:rPr>
      </w:pPr>
    </w:p>
    <w:p>
      <w:pPr>
        <w:pStyle w:val="BodyText"/>
        <w:spacing w:before="7"/>
        <w:rPr>
          <w:sz w:val="29"/>
        </w:rPr>
      </w:pPr>
    </w:p>
    <w:p>
      <w:pPr>
        <w:pStyle w:val="Heading6"/>
        <w:jc w:val="both"/>
      </w:pPr>
      <w:r>
        <w:rPr>
          <w:spacing w:val="17"/>
        </w:rPr>
        <w:t>DEFORESTATION</w:t>
      </w:r>
      <w:r>
        <w:rPr>
          <w:spacing w:val="-35"/>
        </w:rPr>
        <w:t> </w:t>
      </w:r>
      <w:r>
        <w:rPr>
          <w:vertAlign w:val="superscript"/>
        </w:rPr>
        <w:t>4</w:t>
      </w:r>
    </w:p>
    <w:p>
      <w:pPr>
        <w:pStyle w:val="BodyText"/>
        <w:spacing w:before="114"/>
        <w:ind w:left="159"/>
        <w:jc w:val="both"/>
      </w:pPr>
      <w:r>
        <w:rPr/>
        <w:t>The direct human-induced conversion of forested land to non-forested land.</w:t>
      </w:r>
    </w:p>
    <w:p>
      <w:pPr>
        <w:pStyle w:val="BodyText"/>
        <w:rPr>
          <w:sz w:val="22"/>
        </w:rPr>
      </w:pPr>
    </w:p>
    <w:p>
      <w:pPr>
        <w:pStyle w:val="BodyText"/>
        <w:spacing w:before="9"/>
        <w:rPr>
          <w:sz w:val="29"/>
        </w:rPr>
      </w:pPr>
    </w:p>
    <w:p>
      <w:pPr>
        <w:pStyle w:val="Heading6"/>
        <w:spacing w:before="1"/>
        <w:jc w:val="both"/>
      </w:pPr>
      <w:r>
        <w:rPr/>
        <w:t>DISTURBANCES</w:t>
      </w:r>
    </w:p>
    <w:p>
      <w:pPr>
        <w:pStyle w:val="BodyText"/>
        <w:spacing w:before="113"/>
        <w:ind w:left="159"/>
        <w:jc w:val="both"/>
      </w:pPr>
      <w:r>
        <w:rPr/>
        <w:t>Processes that reduce or redistribute carbon pools in terrestrial ecosystems.</w:t>
      </w:r>
    </w:p>
    <w:p>
      <w:pPr>
        <w:pStyle w:val="BodyText"/>
        <w:rPr>
          <w:sz w:val="22"/>
        </w:rPr>
      </w:pPr>
    </w:p>
    <w:p>
      <w:pPr>
        <w:pStyle w:val="BodyText"/>
        <w:spacing w:before="10"/>
        <w:rPr>
          <w:sz w:val="29"/>
        </w:rPr>
      </w:pPr>
    </w:p>
    <w:p>
      <w:pPr>
        <w:pStyle w:val="Heading6"/>
        <w:jc w:val="both"/>
      </w:pPr>
      <w:r>
        <w:rPr/>
        <w:t>DRY ( FOREST)</w:t>
      </w:r>
    </w:p>
    <w:p>
      <w:pPr>
        <w:pStyle w:val="BodyText"/>
        <w:spacing w:before="114"/>
        <w:ind w:left="159" w:right="163"/>
        <w:jc w:val="both"/>
      </w:pPr>
      <w:r>
        <w:rPr/>
        <w:t>Moisture regimes for boreal and temperate zones are defined by the ratio of mean annual precipitation (MAP) and potential evapotranspiration (PET): Dry (MAP/PET &lt; 1) and Wet (MAP/PET &gt; 1); and for tropical zones by precipitation alone: Dry (MAP &lt; 1,000 mm), Moist (MAP: 1,000-2,000 </w:t>
      </w:r>
      <w:r>
        <w:rPr>
          <w:spacing w:val="-3"/>
        </w:rPr>
        <w:t>mm) </w:t>
      </w:r>
      <w:r>
        <w:rPr/>
        <w:t>and Wet (MAP &gt; 2,000</w:t>
      </w:r>
      <w:r>
        <w:rPr>
          <w:spacing w:val="-16"/>
        </w:rPr>
        <w:t> </w:t>
      </w:r>
      <w:r>
        <w:rPr/>
        <w:t>mm).</w:t>
      </w:r>
    </w:p>
    <w:p>
      <w:pPr>
        <w:pStyle w:val="BodyText"/>
        <w:rPr>
          <w:sz w:val="22"/>
        </w:rPr>
      </w:pPr>
    </w:p>
    <w:p>
      <w:pPr>
        <w:pStyle w:val="BodyText"/>
        <w:spacing w:before="8"/>
        <w:rPr>
          <w:sz w:val="29"/>
        </w:rPr>
      </w:pPr>
    </w:p>
    <w:p>
      <w:pPr>
        <w:pStyle w:val="Heading6"/>
        <w:jc w:val="both"/>
      </w:pPr>
      <w:r>
        <w:rPr/>
        <w:t>DRY BIOMASS</w:t>
      </w:r>
    </w:p>
    <w:p>
      <w:pPr>
        <w:spacing w:before="116"/>
        <w:ind w:left="159" w:right="0" w:firstLine="0"/>
        <w:jc w:val="both"/>
        <w:rPr>
          <w:sz w:val="20"/>
        </w:rPr>
      </w:pPr>
      <w:r>
        <w:rPr>
          <w:sz w:val="20"/>
        </w:rPr>
        <w:t>See </w:t>
      </w:r>
      <w:r>
        <w:rPr>
          <w:i/>
          <w:sz w:val="20"/>
        </w:rPr>
        <w:t>dry matter</w:t>
      </w:r>
      <w:r>
        <w:rPr>
          <w:sz w:val="20"/>
        </w:rPr>
        <w:t>.</w:t>
      </w:r>
    </w:p>
    <w:p>
      <w:pPr>
        <w:pStyle w:val="BodyText"/>
        <w:rPr>
          <w:sz w:val="22"/>
        </w:rPr>
      </w:pPr>
    </w:p>
    <w:p>
      <w:pPr>
        <w:pStyle w:val="BodyText"/>
        <w:spacing w:before="7"/>
        <w:rPr>
          <w:sz w:val="29"/>
        </w:rPr>
      </w:pPr>
    </w:p>
    <w:p>
      <w:pPr>
        <w:spacing w:before="0"/>
        <w:ind w:left="159" w:right="0" w:firstLine="0"/>
        <w:jc w:val="both"/>
        <w:rPr>
          <w:b/>
          <w:sz w:val="22"/>
        </w:rPr>
      </w:pPr>
      <w:r>
        <w:rPr>
          <w:b/>
          <w:sz w:val="22"/>
        </w:rPr>
        <w:t>DRY MATTER ( </w:t>
      </w:r>
      <w:r>
        <w:rPr>
          <w:sz w:val="20"/>
        </w:rPr>
        <w:t>d.m. </w:t>
      </w:r>
      <w:r>
        <w:rPr>
          <w:b/>
          <w:sz w:val="22"/>
        </w:rPr>
        <w:t>)</w:t>
      </w:r>
    </w:p>
    <w:p>
      <w:pPr>
        <w:pStyle w:val="BodyText"/>
        <w:spacing w:before="114"/>
        <w:ind w:left="159"/>
        <w:jc w:val="both"/>
      </w:pPr>
      <w:r>
        <w:rPr/>
        <w:t>Dry matter refers to biomass that has been dried to an oven-dry state, often at 70ºC.</w:t>
      </w:r>
    </w:p>
    <w:p>
      <w:pPr>
        <w:pStyle w:val="BodyText"/>
        <w:rPr>
          <w:sz w:val="22"/>
        </w:rPr>
      </w:pPr>
    </w:p>
    <w:p>
      <w:pPr>
        <w:pStyle w:val="BodyText"/>
        <w:spacing w:before="9"/>
        <w:rPr>
          <w:sz w:val="29"/>
        </w:rPr>
      </w:pPr>
    </w:p>
    <w:p>
      <w:pPr>
        <w:pStyle w:val="Heading6"/>
        <w:spacing w:before="1"/>
        <w:jc w:val="both"/>
      </w:pPr>
      <w:r>
        <w:rPr/>
        <w:t>EMISSIONS</w:t>
      </w:r>
    </w:p>
    <w:p>
      <w:pPr>
        <w:pStyle w:val="BodyText"/>
        <w:spacing w:before="113"/>
        <w:ind w:left="159"/>
        <w:jc w:val="both"/>
      </w:pPr>
      <w:r>
        <w:rPr/>
        <w:t>The release of </w:t>
      </w:r>
      <w:r>
        <w:rPr>
          <w:spacing w:val="-3"/>
        </w:rPr>
        <w:t>greenhouse </w:t>
      </w:r>
      <w:r>
        <w:rPr/>
        <w:t>gases and/or their precursors into the </w:t>
      </w:r>
      <w:r>
        <w:rPr>
          <w:spacing w:val="-3"/>
        </w:rPr>
        <w:t>atmosphere </w:t>
      </w:r>
      <w:r>
        <w:rPr/>
        <w:t>over a </w:t>
      </w:r>
      <w:r>
        <w:rPr>
          <w:spacing w:val="-3"/>
        </w:rPr>
        <w:t>specified </w:t>
      </w:r>
      <w:r>
        <w:rPr/>
        <w:t>area and period of time.</w:t>
      </w:r>
    </w:p>
    <w:p>
      <w:pPr>
        <w:pStyle w:val="BodyText"/>
        <w:rPr>
          <w:sz w:val="22"/>
        </w:rPr>
      </w:pPr>
    </w:p>
    <w:p>
      <w:pPr>
        <w:pStyle w:val="BodyText"/>
        <w:spacing w:before="10"/>
        <w:rPr>
          <w:sz w:val="29"/>
        </w:rPr>
      </w:pPr>
    </w:p>
    <w:p>
      <w:pPr>
        <w:pStyle w:val="Heading6"/>
        <w:jc w:val="both"/>
      </w:pPr>
      <w:r>
        <w:rPr/>
        <w:t>EMISSION FACTOR </w:t>
      </w:r>
    </w:p>
    <w:p>
      <w:pPr>
        <w:pStyle w:val="BodyText"/>
        <w:spacing w:before="114"/>
        <w:ind w:left="159" w:right="165"/>
        <w:jc w:val="both"/>
      </w:pPr>
      <w:r>
        <w:rPr>
          <w:b/>
        </w:rPr>
        <w:t>Inventory definition: </w:t>
      </w:r>
      <w:r>
        <w:rPr/>
        <w:t>A coefficient that relates the activity data to the amount of chemical compound which is the source of later emissions. Emission factors are often based on a sample of measurement data, averaged to develop a representative rate of emission for a given activity level under a given set of operating conditions.</w:t>
      </w:r>
    </w:p>
    <w:p>
      <w:pPr>
        <w:pStyle w:val="BodyText"/>
        <w:rPr>
          <w:sz w:val="22"/>
        </w:rPr>
      </w:pPr>
    </w:p>
    <w:p>
      <w:pPr>
        <w:pStyle w:val="BodyText"/>
        <w:spacing w:before="8"/>
        <w:rPr>
          <w:sz w:val="29"/>
        </w:rPr>
      </w:pPr>
    </w:p>
    <w:p>
      <w:pPr>
        <w:pStyle w:val="Heading6"/>
      </w:pPr>
      <w:r>
        <w:rPr/>
        <w:t>ERROR</w:t>
      </w:r>
    </w:p>
    <w:p>
      <w:pPr>
        <w:pStyle w:val="BodyText"/>
        <w:spacing w:before="114"/>
        <w:ind w:left="159" w:right="166"/>
        <w:jc w:val="both"/>
      </w:pPr>
      <w:r>
        <w:rPr>
          <w:b/>
        </w:rPr>
        <w:t>Statistical definition: </w:t>
      </w:r>
      <w:r>
        <w:rPr/>
        <w:t>In statistical usage, the term ‘error’ is a general term referring to the difference between an observed (measured) value of a quantity and its ‘true’ (but usually unknown) value and does not carry the (pejorative) sense of a mistake or</w:t>
      </w:r>
      <w:r>
        <w:rPr>
          <w:spacing w:val="3"/>
        </w:rPr>
        <w:t> </w:t>
      </w:r>
      <w:r>
        <w:rPr/>
        <w:t>blunder.</w:t>
      </w:r>
    </w:p>
    <w:p>
      <w:pPr>
        <w:pStyle w:val="BodyText"/>
        <w:rPr>
          <w:sz w:val="22"/>
        </w:rPr>
      </w:pPr>
    </w:p>
    <w:p>
      <w:pPr>
        <w:pStyle w:val="BodyText"/>
        <w:spacing w:before="7"/>
        <w:rPr>
          <w:sz w:val="29"/>
        </w:rPr>
      </w:pPr>
    </w:p>
    <w:p>
      <w:pPr>
        <w:pStyle w:val="Heading6"/>
        <w:spacing w:before="1"/>
        <w:jc w:val="both"/>
      </w:pPr>
      <w:r>
        <w:rPr/>
        <w:t>ERROR MATRIX</w:t>
      </w:r>
    </w:p>
    <w:p>
      <w:pPr>
        <w:spacing w:before="116"/>
        <w:ind w:left="159" w:right="0" w:firstLine="0"/>
        <w:jc w:val="both"/>
        <w:rPr>
          <w:sz w:val="20"/>
        </w:rPr>
      </w:pPr>
      <w:r>
        <w:rPr>
          <w:sz w:val="20"/>
        </w:rPr>
        <w:t>See </w:t>
      </w:r>
      <w:r>
        <w:rPr>
          <w:i/>
          <w:sz w:val="20"/>
        </w:rPr>
        <w:t>confusion matrix</w:t>
      </w:r>
      <w:r>
        <w:rPr>
          <w:sz w:val="20"/>
        </w:rPr>
        <w:t>.</w:t>
      </w:r>
    </w:p>
    <w:p>
      <w:pPr>
        <w:pStyle w:val="BodyText"/>
      </w:pPr>
    </w:p>
    <w:p>
      <w:pPr>
        <w:pStyle w:val="BodyText"/>
      </w:pPr>
    </w:p>
    <w:p>
      <w:pPr>
        <w:pStyle w:val="BodyText"/>
      </w:pPr>
    </w:p>
    <w:p>
      <w:pPr>
        <w:pStyle w:val="BodyText"/>
        <w:spacing w:before="2"/>
        <w:rPr>
          <w:sz w:val="19"/>
        </w:rPr>
      </w:pPr>
      <w:r>
        <w:rPr/>
        <w:pict>
          <v:line style="position:absolute;mso-position-horizontal-relative:page;mso-position-vertical-relative:paragraph;z-index:31448;mso-wrap-distance-left:0;mso-wrap-distance-right:0" from="70.960999pt,13.263662pt" to="214.960999pt,13.263662pt" stroked="true" strokeweight=".48pt" strokecolor="#000000">
            <v:stroke dashstyle="solid"/>
            <w10:wrap type="topAndBottom"/>
          </v:line>
        </w:pict>
      </w:r>
    </w:p>
    <w:p>
      <w:pPr>
        <w:spacing w:before="30"/>
        <w:ind w:left="159" w:right="0" w:firstLine="0"/>
        <w:jc w:val="left"/>
        <w:rPr>
          <w:sz w:val="18"/>
        </w:rPr>
      </w:pPr>
      <w:r>
        <w:rPr>
          <w:position w:val="8"/>
          <w:sz w:val="12"/>
        </w:rPr>
        <w:t>4 </w:t>
      </w:r>
      <w:r>
        <w:rPr>
          <w:sz w:val="18"/>
        </w:rPr>
        <w:t>In the context of the Kyoto Protocol, as stipulated by the Marrakesh Accords, cf. paragraph 1 of the Annex to draft decision</w:t>
      </w:r>
    </w:p>
    <w:p>
      <w:pPr>
        <w:spacing w:before="2"/>
        <w:ind w:left="300" w:right="0" w:firstLine="0"/>
        <w:jc w:val="left"/>
        <w:rPr>
          <w:sz w:val="18"/>
        </w:rPr>
      </w:pPr>
      <w:r>
        <w:rPr>
          <w:sz w:val="18"/>
        </w:rPr>
        <w:t>-/CMP.1 (Land use, land-use change and forestry) contained in document FCCC/CP/2001/13/Add.1, p.58.</w:t>
      </w:r>
    </w:p>
    <w:p>
      <w:pPr>
        <w:spacing w:after="0"/>
        <w:jc w:val="left"/>
        <w:rPr>
          <w:sz w:val="18"/>
        </w:rPr>
        <w:sectPr>
          <w:pgSz w:w="11900" w:h="16840"/>
          <w:pgMar w:header="230" w:footer="408" w:top="560" w:bottom="600" w:left="1260" w:right="1240"/>
        </w:sectPr>
      </w:pPr>
    </w:p>
    <w:p>
      <w:pPr>
        <w:pStyle w:val="BodyText"/>
      </w:pPr>
    </w:p>
    <w:p>
      <w:pPr>
        <w:pStyle w:val="Heading6"/>
        <w:spacing w:before="214"/>
        <w:jc w:val="both"/>
      </w:pPr>
      <w:r>
        <w:rPr/>
        <w:t>ESTIMATION</w:t>
      </w:r>
    </w:p>
    <w:p>
      <w:pPr>
        <w:spacing w:before="117"/>
        <w:ind w:left="159" w:right="0" w:firstLine="0"/>
        <w:jc w:val="both"/>
        <w:rPr>
          <w:sz w:val="20"/>
        </w:rPr>
      </w:pPr>
      <w:r>
        <w:rPr>
          <w:b/>
          <w:sz w:val="20"/>
        </w:rPr>
        <w:t>Inventory definitions: </w:t>
      </w:r>
      <w:r>
        <w:rPr>
          <w:sz w:val="20"/>
        </w:rPr>
        <w:t>The process of calculating emissions.</w:t>
      </w:r>
    </w:p>
    <w:p>
      <w:pPr>
        <w:pStyle w:val="BodyText"/>
        <w:spacing w:before="118"/>
        <w:ind w:left="159" w:right="165" w:hanging="1"/>
        <w:jc w:val="both"/>
      </w:pPr>
      <w:r>
        <w:rPr>
          <w:b/>
        </w:rPr>
        <w:t>Statistical definition: </w:t>
      </w:r>
      <w:r>
        <w:rPr/>
        <w:t>Estimation is the assessment of the value of a quantity or its uncertainty through the assignment of numerical observation values in an estimation formula, or estimator. The results of an estimation can be expressed as follows:</w:t>
      </w:r>
    </w:p>
    <w:p>
      <w:pPr>
        <w:pStyle w:val="ListParagraph"/>
        <w:numPr>
          <w:ilvl w:val="1"/>
          <w:numId w:val="181"/>
        </w:numPr>
        <w:tabs>
          <w:tab w:pos="519" w:val="left" w:leader="none"/>
          <w:tab w:pos="520" w:val="left" w:leader="none"/>
        </w:tabs>
        <w:spacing w:line="223" w:lineRule="auto" w:before="147" w:after="0"/>
        <w:ind w:left="516" w:right="166" w:hanging="357"/>
        <w:jc w:val="left"/>
        <w:rPr>
          <w:sz w:val="20"/>
        </w:rPr>
      </w:pPr>
      <w:r>
        <w:rPr>
          <w:sz w:val="20"/>
        </w:rPr>
        <w:t>a point estimation which provide a number which can be used as an approximation to a parameter (such as the sample standard deviation which estimates the population standard deviation),</w:t>
      </w:r>
      <w:r>
        <w:rPr>
          <w:spacing w:val="-10"/>
          <w:sz w:val="20"/>
        </w:rPr>
        <w:t> </w:t>
      </w:r>
      <w:r>
        <w:rPr>
          <w:sz w:val="20"/>
        </w:rPr>
        <w:t>or</w:t>
      </w:r>
    </w:p>
    <w:p>
      <w:pPr>
        <w:pStyle w:val="ListParagraph"/>
        <w:numPr>
          <w:ilvl w:val="1"/>
          <w:numId w:val="181"/>
        </w:numPr>
        <w:tabs>
          <w:tab w:pos="520" w:val="left" w:leader="none"/>
        </w:tabs>
        <w:spacing w:line="240" w:lineRule="auto" w:before="17" w:after="0"/>
        <w:ind w:left="519" w:right="0" w:hanging="360"/>
        <w:jc w:val="both"/>
        <w:rPr>
          <w:sz w:val="20"/>
        </w:rPr>
      </w:pPr>
      <w:r>
        <w:rPr>
          <w:sz w:val="20"/>
        </w:rPr>
        <w:t>an interval estimate specifying a confidence</w:t>
      </w:r>
      <w:r>
        <w:rPr>
          <w:spacing w:val="-3"/>
          <w:sz w:val="20"/>
        </w:rPr>
        <w:t> </w:t>
      </w:r>
      <w:r>
        <w:rPr>
          <w:sz w:val="20"/>
        </w:rPr>
        <w:t>level.</w:t>
      </w:r>
    </w:p>
    <w:p>
      <w:pPr>
        <w:pStyle w:val="BodyText"/>
        <w:spacing w:before="104"/>
        <w:ind w:left="159" w:right="163"/>
        <w:jc w:val="both"/>
      </w:pPr>
      <w:r>
        <w:rPr>
          <w:spacing w:val="-5"/>
        </w:rPr>
        <w:t>Example: </w:t>
      </w:r>
      <w:r>
        <w:rPr/>
        <w:t>A </w:t>
      </w:r>
      <w:r>
        <w:rPr>
          <w:spacing w:val="-5"/>
        </w:rPr>
        <w:t>statement </w:t>
      </w:r>
      <w:r>
        <w:rPr>
          <w:spacing w:val="-4"/>
        </w:rPr>
        <w:t>like ‘The total emission </w:t>
      </w:r>
      <w:r>
        <w:rPr/>
        <w:t>is </w:t>
      </w:r>
      <w:r>
        <w:rPr>
          <w:spacing w:val="-4"/>
        </w:rPr>
        <w:t>estimated </w:t>
      </w:r>
      <w:r>
        <w:rPr>
          <w:spacing w:val="-3"/>
        </w:rPr>
        <w:t>to be </w:t>
      </w:r>
      <w:r>
        <w:rPr>
          <w:spacing w:val="-4"/>
        </w:rPr>
        <w:t>100 </w:t>
      </w:r>
      <w:r>
        <w:rPr>
          <w:spacing w:val="-3"/>
        </w:rPr>
        <w:t>kt </w:t>
      </w:r>
      <w:r>
        <w:rPr>
          <w:spacing w:val="-4"/>
        </w:rPr>
        <w:t>and </w:t>
      </w:r>
      <w:r>
        <w:rPr/>
        <w:t>its </w:t>
      </w:r>
      <w:r>
        <w:rPr>
          <w:spacing w:val="-4"/>
        </w:rPr>
        <w:t>coefficient </w:t>
      </w:r>
      <w:r>
        <w:rPr/>
        <w:t>of </w:t>
      </w:r>
      <w:r>
        <w:rPr>
          <w:spacing w:val="-5"/>
        </w:rPr>
        <w:t>variation </w:t>
      </w:r>
      <w:r>
        <w:rPr/>
        <w:t>is </w:t>
      </w:r>
      <w:r>
        <w:rPr>
          <w:spacing w:val="-2"/>
        </w:rPr>
        <w:t>5%’ </w:t>
      </w:r>
      <w:r>
        <w:rPr/>
        <w:t>is </w:t>
      </w:r>
      <w:r>
        <w:rPr>
          <w:spacing w:val="-5"/>
        </w:rPr>
        <w:t>based </w:t>
      </w:r>
      <w:r>
        <w:rPr>
          <w:spacing w:val="-4"/>
        </w:rPr>
        <w:t>upon point estimates </w:t>
      </w:r>
      <w:r>
        <w:rPr/>
        <w:t>of </w:t>
      </w:r>
      <w:r>
        <w:rPr>
          <w:spacing w:val="-4"/>
        </w:rPr>
        <w:t>the sample mean and </w:t>
      </w:r>
      <w:r>
        <w:rPr>
          <w:spacing w:val="-5"/>
        </w:rPr>
        <w:t>standard deviation, </w:t>
      </w:r>
      <w:r>
        <w:rPr>
          <w:spacing w:val="-4"/>
        </w:rPr>
        <w:t>whereas </w:t>
      </w:r>
      <w:r>
        <w:rPr/>
        <w:t>a </w:t>
      </w:r>
      <w:r>
        <w:rPr>
          <w:spacing w:val="-4"/>
        </w:rPr>
        <w:t>statement such </w:t>
      </w:r>
      <w:r>
        <w:rPr/>
        <w:t>as </w:t>
      </w:r>
      <w:r>
        <w:rPr>
          <w:spacing w:val="-4"/>
        </w:rPr>
        <w:t>‘The total emission lies between </w:t>
      </w:r>
      <w:r>
        <w:rPr>
          <w:spacing w:val="-3"/>
        </w:rPr>
        <w:t>90 </w:t>
      </w:r>
      <w:r>
        <w:rPr>
          <w:spacing w:val="-4"/>
        </w:rPr>
        <w:t>and 110 </w:t>
      </w:r>
      <w:r>
        <w:rPr>
          <w:spacing w:val="-3"/>
        </w:rPr>
        <w:t>kt </w:t>
      </w:r>
      <w:r>
        <w:rPr>
          <w:spacing w:val="-4"/>
        </w:rPr>
        <w:t>with probability 95%’ expresses the results </w:t>
      </w:r>
      <w:r>
        <w:rPr/>
        <w:t>of </w:t>
      </w:r>
      <w:r>
        <w:rPr>
          <w:spacing w:val="-4"/>
        </w:rPr>
        <w:t>estimation </w:t>
      </w:r>
      <w:r>
        <w:rPr/>
        <w:t>as a </w:t>
      </w:r>
      <w:r>
        <w:rPr>
          <w:spacing w:val="-4"/>
        </w:rPr>
        <w:t>confidence interval.</w:t>
      </w:r>
    </w:p>
    <w:p>
      <w:pPr>
        <w:pStyle w:val="BodyText"/>
        <w:rPr>
          <w:sz w:val="22"/>
        </w:rPr>
      </w:pPr>
    </w:p>
    <w:p>
      <w:pPr>
        <w:pStyle w:val="BodyText"/>
        <w:spacing w:before="8"/>
        <w:rPr>
          <w:sz w:val="29"/>
        </w:rPr>
      </w:pPr>
    </w:p>
    <w:p>
      <w:pPr>
        <w:pStyle w:val="Heading6"/>
        <w:jc w:val="both"/>
      </w:pPr>
      <w:r>
        <w:rPr/>
        <w:t>EXPERT JUDGEMENT</w:t>
      </w:r>
    </w:p>
    <w:p>
      <w:pPr>
        <w:pStyle w:val="BodyText"/>
        <w:spacing w:before="113"/>
        <w:ind w:left="159" w:right="166"/>
        <w:jc w:val="both"/>
      </w:pPr>
      <w:r>
        <w:rPr>
          <w:b/>
        </w:rPr>
        <w:t>Inventory definition: </w:t>
      </w:r>
      <w:r>
        <w:rPr/>
        <w:t>A carefully considered, well-documented qualitative or quantitative judgement made in the absence of unequivocal observational evidence by a person or persons who have a demonstrable expertise in the given field.</w:t>
      </w:r>
    </w:p>
    <w:p>
      <w:pPr>
        <w:pStyle w:val="BodyText"/>
        <w:rPr>
          <w:sz w:val="22"/>
        </w:rPr>
      </w:pPr>
    </w:p>
    <w:p>
      <w:pPr>
        <w:pStyle w:val="BodyText"/>
        <w:spacing w:before="8"/>
        <w:rPr>
          <w:sz w:val="29"/>
        </w:rPr>
      </w:pPr>
    </w:p>
    <w:p>
      <w:pPr>
        <w:pStyle w:val="Heading6"/>
        <w:spacing w:before="1"/>
        <w:jc w:val="both"/>
      </w:pPr>
      <w:r>
        <w:rPr/>
        <w:t>EXTREME VALUE</w:t>
      </w:r>
    </w:p>
    <w:p>
      <w:pPr>
        <w:pStyle w:val="BodyText"/>
        <w:spacing w:before="116"/>
        <w:ind w:left="159" w:right="167"/>
        <w:jc w:val="both"/>
      </w:pPr>
      <w:r>
        <w:rPr>
          <w:b/>
        </w:rPr>
        <w:t>Statistical definition: </w:t>
      </w:r>
      <w:r>
        <w:rPr/>
        <w:t>The extreme values of a sample are the maximum and minimum values of the sample. The statistical theory of extreme values is concerned with estimating the distributions of these extreme values for large numbers of sampled</w:t>
      </w:r>
      <w:r>
        <w:rPr>
          <w:spacing w:val="-3"/>
        </w:rPr>
        <w:t> </w:t>
      </w:r>
      <w:r>
        <w:rPr/>
        <w:t>values.</w:t>
      </w:r>
    </w:p>
    <w:p>
      <w:pPr>
        <w:pStyle w:val="BodyText"/>
        <w:rPr>
          <w:sz w:val="22"/>
        </w:rPr>
      </w:pPr>
    </w:p>
    <w:p>
      <w:pPr>
        <w:pStyle w:val="BodyText"/>
        <w:spacing w:before="8"/>
        <w:rPr>
          <w:sz w:val="29"/>
        </w:rPr>
      </w:pPr>
    </w:p>
    <w:p>
      <w:pPr>
        <w:pStyle w:val="Heading6"/>
        <w:jc w:val="both"/>
      </w:pPr>
      <w:r>
        <w:rPr/>
        <w:t>FELLINGS</w:t>
      </w:r>
    </w:p>
    <w:p>
      <w:pPr>
        <w:pStyle w:val="BodyText"/>
        <w:spacing w:before="114"/>
        <w:ind w:left="159" w:right="164"/>
        <w:jc w:val="both"/>
      </w:pPr>
      <w:r>
        <w:rPr/>
        <w:t>Standing volume of all trees live or dead, measured overbark to a specified minimum diameter at breast height that are felled during the reference period, including those parts of trees that are not removed from the forest. Removals are a subset of fellings (the commercial part destined for processing).</w:t>
      </w:r>
    </w:p>
    <w:p>
      <w:pPr>
        <w:pStyle w:val="BodyText"/>
        <w:rPr>
          <w:sz w:val="22"/>
        </w:rPr>
      </w:pPr>
    </w:p>
    <w:p>
      <w:pPr>
        <w:pStyle w:val="BodyText"/>
        <w:spacing w:before="7"/>
        <w:rPr>
          <w:sz w:val="29"/>
        </w:rPr>
      </w:pPr>
    </w:p>
    <w:p>
      <w:pPr>
        <w:pStyle w:val="Heading6"/>
        <w:spacing w:before="1"/>
        <w:jc w:val="both"/>
      </w:pPr>
      <w:r>
        <w:rPr/>
        <w:t>FERMENTED HORIZON ( F)</w:t>
      </w:r>
    </w:p>
    <w:p>
      <w:pPr>
        <w:pStyle w:val="BodyText"/>
        <w:spacing w:before="113"/>
        <w:ind w:left="159" w:right="167"/>
        <w:jc w:val="both"/>
      </w:pPr>
      <w:r>
        <w:rPr/>
        <w:t>A horizon consisting of partly decomposed litter in which macroscopically recognisable parts of plants remain. Fine organic matter, consisting of macro-fauna excrements is almost always existing, but is less in substance than the recognisable plant material.</w:t>
      </w:r>
    </w:p>
    <w:p>
      <w:pPr>
        <w:pStyle w:val="BodyText"/>
        <w:rPr>
          <w:sz w:val="22"/>
        </w:rPr>
      </w:pPr>
    </w:p>
    <w:p>
      <w:pPr>
        <w:pStyle w:val="BodyText"/>
        <w:spacing w:before="11"/>
        <w:rPr>
          <w:sz w:val="29"/>
        </w:rPr>
      </w:pPr>
    </w:p>
    <w:p>
      <w:pPr>
        <w:pStyle w:val="Heading6"/>
        <w:jc w:val="both"/>
      </w:pPr>
      <w:r>
        <w:rPr/>
        <w:t>FOREST </w:t>
      </w:r>
      <w:r>
        <w:rPr>
          <w:vertAlign w:val="superscript"/>
        </w:rPr>
        <w:t>5</w:t>
      </w:r>
    </w:p>
    <w:p>
      <w:pPr>
        <w:pStyle w:val="BodyText"/>
        <w:spacing w:before="114"/>
        <w:ind w:left="159" w:right="160"/>
        <w:jc w:val="both"/>
      </w:pPr>
      <w:r>
        <w:rPr/>
        <w:t>Forest is a minimum area of land of 0.05 – 1.0 hectares with tree crown cover (or equivalent stocking level) of more than 10 – 30 per cent with trees with the potential to reach a minimum height of 2 – 5 metres at maturity </w:t>
      </w:r>
      <w:r>
        <w:rPr>
          <w:i/>
        </w:rPr>
        <w:t>in situ</w:t>
      </w:r>
      <w:r>
        <w:rPr/>
        <w:t>. A forest may consist either of closed forest formations where trees of various storeys and undergrowth cover a high portion of the ground or open forest. Young natural stands and all plantations which have yet to reach a crown density of 10 – 30 per cent or tree height of 2 – 5 metres are included under forest, as are areas normally forming part of the forest area which are temporarily unstocked as a result of human intervention such as harvesting or natural causes but which are expected to revert to</w:t>
      </w:r>
      <w:r>
        <w:rPr>
          <w:spacing w:val="-6"/>
        </w:rPr>
        <w:t> </w:t>
      </w:r>
      <w:r>
        <w:rPr/>
        <w:t>forest.</w:t>
      </w:r>
    </w:p>
    <w:p>
      <w:pPr>
        <w:pStyle w:val="BodyText"/>
        <w:spacing w:before="120"/>
        <w:ind w:left="159" w:right="167" w:hanging="1"/>
        <w:jc w:val="both"/>
      </w:pPr>
      <w:r>
        <w:rPr/>
        <w:t>Remark: Forests are not defined for reporting under the Convention. The </w:t>
      </w:r>
      <w:r>
        <w:rPr>
          <w:i/>
        </w:rPr>
        <w:t>IPCC Guidelines </w:t>
      </w:r>
      <w:r>
        <w:rPr/>
        <w:t>encourage countries to use detailed ecosystem classifications in the calculations and in reporting broad specified categories to ensure consistency and comparability of national data across</w:t>
      </w:r>
      <w:r>
        <w:rPr>
          <w:spacing w:val="-4"/>
        </w:rPr>
        <w:t> </w:t>
      </w:r>
      <w:r>
        <w:rPr/>
        <w:t>countries.</w:t>
      </w:r>
    </w:p>
    <w:p>
      <w:pPr>
        <w:pStyle w:val="BodyText"/>
      </w:pPr>
    </w:p>
    <w:p>
      <w:pPr>
        <w:pStyle w:val="BodyText"/>
      </w:pPr>
    </w:p>
    <w:p>
      <w:pPr>
        <w:pStyle w:val="BodyText"/>
        <w:spacing w:before="10"/>
        <w:rPr>
          <w:sz w:val="29"/>
        </w:rPr>
      </w:pPr>
      <w:r>
        <w:rPr/>
        <w:pict>
          <v:line style="position:absolute;mso-position-horizontal-relative:page;mso-position-vertical-relative:paragraph;z-index:31472;mso-wrap-distance-left:0;mso-wrap-distance-right:0" from="70.960999pt,19.422548pt" to="214.960999pt,19.422548pt" stroked="true" strokeweight=".48pt" strokecolor="#000000">
            <v:stroke dashstyle="solid"/>
            <w10:wrap type="topAndBottom"/>
          </v:line>
        </w:pict>
      </w:r>
    </w:p>
    <w:p>
      <w:pPr>
        <w:spacing w:before="30"/>
        <w:ind w:left="159" w:right="0" w:firstLine="0"/>
        <w:jc w:val="left"/>
        <w:rPr>
          <w:sz w:val="18"/>
        </w:rPr>
      </w:pPr>
      <w:r>
        <w:rPr>
          <w:position w:val="8"/>
          <w:sz w:val="12"/>
        </w:rPr>
        <w:t>5 </w:t>
      </w:r>
      <w:r>
        <w:rPr>
          <w:sz w:val="18"/>
        </w:rPr>
        <w:t>In the context of the Kyoto Protocol, as stipulated by the Marrakesh Accords, cf. paragraph 1 of the Annex to draft decision</w:t>
      </w:r>
    </w:p>
    <w:p>
      <w:pPr>
        <w:spacing w:before="2"/>
        <w:ind w:left="300" w:right="0" w:firstLine="0"/>
        <w:jc w:val="left"/>
        <w:rPr>
          <w:sz w:val="18"/>
        </w:rPr>
      </w:pPr>
      <w:r>
        <w:rPr>
          <w:sz w:val="18"/>
        </w:rPr>
        <w:t>-/CMP.1 (Land use, land-use change and forestry) contained in document FCCC/CP/2001/13/Add.1, p.58.</w:t>
      </w:r>
    </w:p>
    <w:p>
      <w:pPr>
        <w:spacing w:after="0"/>
        <w:jc w:val="left"/>
        <w:rPr>
          <w:sz w:val="18"/>
        </w:rPr>
        <w:sectPr>
          <w:pgSz w:w="11900" w:h="16840"/>
          <w:pgMar w:header="230" w:footer="408" w:top="560" w:bottom="600" w:left="1260" w:right="1240"/>
        </w:sectPr>
      </w:pPr>
    </w:p>
    <w:p>
      <w:pPr>
        <w:pStyle w:val="BodyText"/>
      </w:pPr>
    </w:p>
    <w:p>
      <w:pPr>
        <w:pStyle w:val="Heading6"/>
        <w:spacing w:before="214"/>
      </w:pPr>
      <w:r>
        <w:rPr/>
        <w:t>FOREST INVENTORY </w:t>
      </w:r>
    </w:p>
    <w:p>
      <w:pPr>
        <w:pStyle w:val="BodyText"/>
        <w:spacing w:before="117"/>
        <w:ind w:left="159"/>
      </w:pPr>
      <w:r>
        <w:rPr/>
        <w:t>System for measuring the extent, quantity and condition of a forest, usually by sampling.</w:t>
      </w:r>
    </w:p>
    <w:p>
      <w:pPr>
        <w:pStyle w:val="BodyText"/>
        <w:rPr>
          <w:sz w:val="22"/>
        </w:rPr>
      </w:pPr>
    </w:p>
    <w:p>
      <w:pPr>
        <w:pStyle w:val="BodyText"/>
        <w:spacing w:before="7"/>
        <w:rPr>
          <w:sz w:val="29"/>
        </w:rPr>
      </w:pPr>
    </w:p>
    <w:p>
      <w:pPr>
        <w:pStyle w:val="Heading6"/>
      </w:pPr>
      <w:r>
        <w:rPr/>
        <w:t>FOREST LAND</w:t>
      </w:r>
    </w:p>
    <w:p>
      <w:pPr>
        <w:pStyle w:val="BodyText"/>
        <w:spacing w:before="116"/>
        <w:ind w:left="159" w:right="165"/>
        <w:jc w:val="both"/>
      </w:pPr>
      <w:r>
        <w:rPr/>
        <w:t>This category includes all land with woody vegetation consistent with thresholds used to define forest land in the national GHG inventory, sub-divided at the national level into managed and unmanaged and also by ecosystem type as specified in the </w:t>
      </w:r>
      <w:r>
        <w:rPr>
          <w:i/>
        </w:rPr>
        <w:t>IPCC Guidelines.</w:t>
      </w:r>
      <w:r>
        <w:rPr>
          <w:vertAlign w:val="superscript"/>
        </w:rPr>
        <w:t>6</w:t>
      </w:r>
      <w:r>
        <w:rPr>
          <w:vertAlign w:val="baseline"/>
        </w:rPr>
        <w:t> It also includes systems with vegetation that currently falls below, but is expected to exceed, the threshold of the forest land category.</w:t>
      </w:r>
    </w:p>
    <w:p>
      <w:pPr>
        <w:pStyle w:val="BodyText"/>
        <w:rPr>
          <w:sz w:val="22"/>
        </w:rPr>
      </w:pPr>
    </w:p>
    <w:p>
      <w:pPr>
        <w:pStyle w:val="BodyText"/>
        <w:spacing w:before="8"/>
        <w:rPr>
          <w:sz w:val="29"/>
        </w:rPr>
      </w:pPr>
    </w:p>
    <w:p>
      <w:pPr>
        <w:pStyle w:val="Heading6"/>
      </w:pPr>
      <w:r>
        <w:rPr/>
        <w:t>FOREST MANAGEMENT </w:t>
      </w:r>
      <w:r>
        <w:rPr>
          <w:vertAlign w:val="superscript"/>
        </w:rPr>
        <w:t>7</w:t>
      </w:r>
    </w:p>
    <w:p>
      <w:pPr>
        <w:pStyle w:val="BodyText"/>
        <w:spacing w:before="114"/>
        <w:ind w:left="159"/>
      </w:pPr>
      <w:r>
        <w:rPr/>
        <w:t>A system of practices for stewardship and use of forest land aimed at fulfilling relevant ecological (including biological diversity), economic and social functions of the forest in a sustainable manner.</w:t>
      </w:r>
    </w:p>
    <w:p>
      <w:pPr>
        <w:pStyle w:val="BodyText"/>
        <w:rPr>
          <w:sz w:val="22"/>
        </w:rPr>
      </w:pPr>
    </w:p>
    <w:p>
      <w:pPr>
        <w:pStyle w:val="BodyText"/>
        <w:spacing w:before="8"/>
        <w:rPr>
          <w:sz w:val="29"/>
        </w:rPr>
      </w:pPr>
    </w:p>
    <w:p>
      <w:pPr>
        <w:pStyle w:val="Heading6"/>
      </w:pPr>
      <w:r>
        <w:rPr/>
        <w:t>GOOD PRACTICE</w:t>
      </w:r>
    </w:p>
    <w:p>
      <w:pPr>
        <w:pStyle w:val="BodyText"/>
        <w:spacing w:before="116"/>
        <w:ind w:left="159" w:right="168"/>
        <w:jc w:val="both"/>
      </w:pPr>
      <w:r>
        <w:rPr>
          <w:b/>
        </w:rPr>
        <w:t>Inventory definition: </w:t>
      </w:r>
      <w:r>
        <w:rPr>
          <w:i/>
        </w:rPr>
        <w:t>Good Practice </w:t>
      </w:r>
      <w:r>
        <w:rPr/>
        <w:t>is a set of procedures intended to ensure that greenhouse gas inventories are accurate in the sense that they are systematically neither over nor underestimates so far as can be judged, and that uncertainties are reduced so far as possible.</w:t>
      </w:r>
    </w:p>
    <w:p>
      <w:pPr>
        <w:pStyle w:val="BodyText"/>
        <w:spacing w:before="119"/>
        <w:ind w:left="159" w:right="165"/>
        <w:jc w:val="both"/>
      </w:pPr>
      <w:r>
        <w:rPr>
          <w:i/>
        </w:rPr>
        <w:t>Good Practice </w:t>
      </w:r>
      <w:r>
        <w:rPr/>
        <w:t>covers choice of estimation methods appropriate to national circumstances, quality assurance and quality control at the national level, quantification of uncertainties and data archiving and reporting to promote transparency.</w:t>
      </w:r>
    </w:p>
    <w:p>
      <w:pPr>
        <w:pStyle w:val="BodyText"/>
        <w:rPr>
          <w:sz w:val="22"/>
        </w:rPr>
      </w:pPr>
    </w:p>
    <w:p>
      <w:pPr>
        <w:pStyle w:val="BodyText"/>
        <w:spacing w:before="8"/>
        <w:rPr>
          <w:sz w:val="29"/>
        </w:rPr>
      </w:pPr>
    </w:p>
    <w:p>
      <w:pPr>
        <w:pStyle w:val="Heading6"/>
      </w:pPr>
      <w:r>
        <w:rPr/>
        <w:t>GRASSLAND</w:t>
      </w:r>
    </w:p>
    <w:p>
      <w:pPr>
        <w:pStyle w:val="BodyText"/>
        <w:spacing w:before="114"/>
        <w:ind w:left="159" w:right="166"/>
        <w:jc w:val="both"/>
      </w:pPr>
      <w:r>
        <w:rPr/>
        <w:t>This category includes rangelands and pasture land that is not considered as cropland. It also includes systems with vegetation that fall below the threshold used in the forest land category and is not expected to exceed, without human intervention, the thresholds used in the forest land category. This category also includes all grassland from wild lands to recreational areas as well as agricultural and silvo-pastural systems, subdivided into managed and unmanaged, consistent with national definitions.</w:t>
      </w:r>
    </w:p>
    <w:p>
      <w:pPr>
        <w:pStyle w:val="BodyText"/>
        <w:rPr>
          <w:sz w:val="22"/>
        </w:rPr>
      </w:pPr>
    </w:p>
    <w:p>
      <w:pPr>
        <w:pStyle w:val="BodyText"/>
        <w:spacing w:before="8"/>
        <w:rPr>
          <w:sz w:val="29"/>
        </w:rPr>
      </w:pPr>
    </w:p>
    <w:p>
      <w:pPr>
        <w:pStyle w:val="Heading6"/>
        <w:spacing w:before="1"/>
      </w:pPr>
      <w:r>
        <w:rPr/>
        <w:t>GRAZING LAND MANAGEMENT </w:t>
      </w:r>
      <w:r>
        <w:rPr>
          <w:vertAlign w:val="superscript"/>
        </w:rPr>
        <w:t>8</w:t>
      </w:r>
    </w:p>
    <w:p>
      <w:pPr>
        <w:pStyle w:val="BodyText"/>
        <w:spacing w:before="116"/>
        <w:ind w:left="159"/>
      </w:pPr>
      <w:r>
        <w:rPr/>
        <w:t>The system of practices on land used for livestock production aimed at manipulating the amount and type of vegetation and livestock produced.</w:t>
      </w:r>
    </w:p>
    <w:p>
      <w:pPr>
        <w:pStyle w:val="BodyText"/>
        <w:rPr>
          <w:sz w:val="22"/>
        </w:rPr>
      </w:pPr>
    </w:p>
    <w:p>
      <w:pPr>
        <w:pStyle w:val="BodyText"/>
        <w:spacing w:before="7"/>
        <w:rPr>
          <w:sz w:val="29"/>
        </w:rPr>
      </w:pPr>
    </w:p>
    <w:p>
      <w:pPr>
        <w:pStyle w:val="Heading6"/>
      </w:pPr>
      <w:r>
        <w:rPr/>
        <w:t>GRID CELL</w:t>
      </w:r>
    </w:p>
    <w:p>
      <w:pPr>
        <w:pStyle w:val="BodyText"/>
        <w:spacing w:before="114"/>
        <w:ind w:left="159" w:right="166"/>
      </w:pPr>
      <w:r>
        <w:rPr/>
        <w:t>The unit of land defined by the boundaries of an imaginary grid imposed on a map. May also be called a raster cell or a pixel.</w:t>
      </w:r>
    </w:p>
    <w:p>
      <w:pPr>
        <w:pStyle w:val="BodyText"/>
        <w:rPr>
          <w:sz w:val="22"/>
        </w:rPr>
      </w:pPr>
    </w:p>
    <w:p>
      <w:pPr>
        <w:pStyle w:val="BodyText"/>
        <w:spacing w:before="10"/>
        <w:rPr>
          <w:sz w:val="29"/>
        </w:rPr>
      </w:pPr>
    </w:p>
    <w:p>
      <w:pPr>
        <w:pStyle w:val="Heading6"/>
      </w:pPr>
      <w:r>
        <w:rPr/>
        <w:t>GROSS ANNUAL INCREMENT</w:t>
      </w:r>
    </w:p>
    <w:p>
      <w:pPr>
        <w:pStyle w:val="BodyText"/>
        <w:spacing w:before="114"/>
        <w:ind w:left="159"/>
      </w:pPr>
      <w:r>
        <w:rPr/>
        <w:t>The average annual increment of volume over the reference period of all trees measured to a specified minimum diameter at breast height (varies by country). Includes increment of trees which have been felled or die.</w:t>
      </w:r>
    </w:p>
    <w:p>
      <w:pPr>
        <w:pStyle w:val="BodyText"/>
        <w:spacing w:before="1"/>
        <w:rPr>
          <w:sz w:val="22"/>
        </w:rPr>
      </w:pPr>
      <w:r>
        <w:rPr/>
        <w:pict>
          <v:line style="position:absolute;mso-position-horizontal-relative:page;mso-position-vertical-relative:paragraph;z-index:31496;mso-wrap-distance-left:0;mso-wrap-distance-right:0" from="70.960999pt,14.910439pt" to="214.960999pt,14.910439pt" stroked="true" strokeweight=".48pt" strokecolor="#000000">
            <v:stroke dashstyle="solid"/>
            <w10:wrap type="topAndBottom"/>
          </v:line>
        </w:pict>
      </w:r>
    </w:p>
    <w:p>
      <w:pPr>
        <w:spacing w:line="247" w:lineRule="auto" w:before="30"/>
        <w:ind w:left="300" w:right="166" w:hanging="142"/>
        <w:jc w:val="left"/>
        <w:rPr>
          <w:sz w:val="18"/>
        </w:rPr>
      </w:pPr>
      <w:r>
        <w:rPr>
          <w:position w:val="9"/>
          <w:sz w:val="13"/>
        </w:rPr>
        <w:t>6 </w:t>
      </w:r>
      <w:r>
        <w:rPr>
          <w:sz w:val="18"/>
        </w:rPr>
        <w:t>Forest management has particular meaning under the Marrakesh Accords, which may require subdivision of the managed forest as described in Chapter 4.</w:t>
      </w:r>
    </w:p>
    <w:p>
      <w:pPr>
        <w:spacing w:line="200" w:lineRule="exact" w:before="0"/>
        <w:ind w:left="159" w:right="0" w:firstLine="0"/>
        <w:jc w:val="left"/>
        <w:rPr>
          <w:sz w:val="18"/>
        </w:rPr>
      </w:pPr>
      <w:r>
        <w:rPr>
          <w:position w:val="8"/>
          <w:sz w:val="12"/>
        </w:rPr>
        <w:t>7 </w:t>
      </w:r>
      <w:r>
        <w:rPr>
          <w:sz w:val="18"/>
        </w:rPr>
        <w:t>In the context of the Kyoto Protocol, as stipulated by the Marrakesh Accords, cf. paragraph 1 of the Annex to draft decision</w:t>
      </w:r>
    </w:p>
    <w:p>
      <w:pPr>
        <w:spacing w:line="194" w:lineRule="exact" w:before="0"/>
        <w:ind w:left="300" w:right="0" w:firstLine="0"/>
        <w:jc w:val="left"/>
        <w:rPr>
          <w:sz w:val="18"/>
        </w:rPr>
      </w:pPr>
      <w:r>
        <w:rPr>
          <w:sz w:val="18"/>
        </w:rPr>
        <w:t>-/CMP.1 (Land use, land-use change and forestry) contained in document FCCC/CP/2001/13/Add.1, p.58.</w:t>
      </w:r>
    </w:p>
    <w:p>
      <w:pPr>
        <w:spacing w:line="219" w:lineRule="exact" w:before="0"/>
        <w:ind w:left="159" w:right="0" w:firstLine="0"/>
        <w:jc w:val="left"/>
        <w:rPr>
          <w:sz w:val="18"/>
        </w:rPr>
      </w:pPr>
      <w:r>
        <w:rPr>
          <w:position w:val="8"/>
          <w:sz w:val="12"/>
        </w:rPr>
        <w:t>8 </w:t>
      </w:r>
      <w:r>
        <w:rPr>
          <w:sz w:val="18"/>
        </w:rPr>
        <w:t>In the context of the Kyoto Protocol, as stipulated by the Marrakesh Accords, cf. paragraph 1 of the Annex to draft decision</w:t>
      </w:r>
    </w:p>
    <w:p>
      <w:pPr>
        <w:spacing w:before="2"/>
        <w:ind w:left="300" w:right="0" w:firstLine="0"/>
        <w:jc w:val="left"/>
        <w:rPr>
          <w:sz w:val="18"/>
        </w:rPr>
      </w:pPr>
      <w:r>
        <w:rPr>
          <w:sz w:val="18"/>
        </w:rPr>
        <w:t>-/CMP.1 (Land use, land-use change and forestry) contained in document FCCC/CP/2001/13/Add.1, p.58.</w:t>
      </w:r>
    </w:p>
    <w:p>
      <w:pPr>
        <w:spacing w:after="0"/>
        <w:jc w:val="left"/>
        <w:rPr>
          <w:sz w:val="18"/>
        </w:rPr>
        <w:sectPr>
          <w:pgSz w:w="11900" w:h="16840"/>
          <w:pgMar w:header="230" w:footer="408" w:top="560" w:bottom="600" w:left="1260" w:right="1240"/>
        </w:sectPr>
      </w:pPr>
    </w:p>
    <w:p>
      <w:pPr>
        <w:pStyle w:val="BodyText"/>
      </w:pPr>
    </w:p>
    <w:p>
      <w:pPr>
        <w:pStyle w:val="Heading6"/>
        <w:spacing w:before="214"/>
      </w:pPr>
      <w:r>
        <w:rPr/>
        <w:t>GROUND TRUTH</w:t>
      </w:r>
    </w:p>
    <w:p>
      <w:pPr>
        <w:pStyle w:val="BodyText"/>
        <w:spacing w:before="117"/>
        <w:ind w:left="159"/>
      </w:pPr>
      <w:r>
        <w:rPr/>
        <w:t>A term used for data obtained by measurements on the ground, usually as validation for, e.g., satellite data.</w:t>
      </w:r>
    </w:p>
    <w:p>
      <w:pPr>
        <w:pStyle w:val="BodyText"/>
        <w:rPr>
          <w:sz w:val="22"/>
        </w:rPr>
      </w:pPr>
    </w:p>
    <w:p>
      <w:pPr>
        <w:pStyle w:val="BodyText"/>
        <w:spacing w:before="7"/>
        <w:rPr>
          <w:sz w:val="29"/>
        </w:rPr>
      </w:pPr>
    </w:p>
    <w:p>
      <w:pPr>
        <w:pStyle w:val="Heading6"/>
      </w:pPr>
      <w:r>
        <w:rPr/>
        <w:t>GROWING STOCK</w:t>
      </w:r>
    </w:p>
    <w:p>
      <w:pPr>
        <w:pStyle w:val="BodyText"/>
        <w:spacing w:before="116"/>
        <w:ind w:left="159"/>
      </w:pPr>
      <w:r>
        <w:rPr/>
        <w:t>The living tree component of the standing volume (measured in m</w:t>
      </w:r>
      <w:r>
        <w:rPr>
          <w:vertAlign w:val="superscript"/>
        </w:rPr>
        <w:t>3</w:t>
      </w:r>
      <w:r>
        <w:rPr>
          <w:vertAlign w:val="baseline"/>
        </w:rPr>
        <w:t> overbark).</w:t>
      </w:r>
    </w:p>
    <w:p>
      <w:pPr>
        <w:pStyle w:val="BodyText"/>
        <w:rPr>
          <w:sz w:val="24"/>
        </w:rPr>
      </w:pPr>
    </w:p>
    <w:p>
      <w:pPr>
        <w:pStyle w:val="BodyText"/>
        <w:spacing w:before="7"/>
        <w:rPr>
          <w:sz w:val="27"/>
        </w:rPr>
      </w:pPr>
    </w:p>
    <w:p>
      <w:pPr>
        <w:pStyle w:val="Heading6"/>
      </w:pPr>
      <w:r>
        <w:rPr>
          <w:spacing w:val="14"/>
        </w:rPr>
        <w:t>HIGH </w:t>
      </w:r>
      <w:r>
        <w:rPr>
          <w:spacing w:val="16"/>
        </w:rPr>
        <w:t>ACTIVITY </w:t>
      </w:r>
      <w:r>
        <w:rPr>
          <w:spacing w:val="14"/>
        </w:rPr>
        <w:t>CLAY </w:t>
      </w:r>
      <w:r>
        <w:rPr/>
        <w:t>( </w:t>
      </w:r>
      <w:r>
        <w:rPr>
          <w:spacing w:val="14"/>
        </w:rPr>
        <w:t>HAC)</w:t>
      </w:r>
      <w:r>
        <w:rPr>
          <w:spacing w:val="78"/>
        </w:rPr>
        <w:t> </w:t>
      </w:r>
      <w:r>
        <w:rPr>
          <w:spacing w:val="15"/>
        </w:rPr>
        <w:t>SOILS</w:t>
      </w:r>
    </w:p>
    <w:p>
      <w:pPr>
        <w:pStyle w:val="BodyText"/>
        <w:spacing w:before="114"/>
        <w:ind w:left="159" w:right="166"/>
      </w:pPr>
      <w:r>
        <w:rPr/>
        <w:t>Soils with high activity clay (HAC) minerals are lightly to moderately weathered soils which are dominated by 2:1 silicated clay minerals (in FAO classification included: Vertisols, Chernozems, Phaezems, Luvisols).</w:t>
      </w:r>
    </w:p>
    <w:p>
      <w:pPr>
        <w:pStyle w:val="BodyText"/>
        <w:rPr>
          <w:sz w:val="22"/>
        </w:rPr>
      </w:pPr>
    </w:p>
    <w:p>
      <w:pPr>
        <w:pStyle w:val="BodyText"/>
        <w:spacing w:before="10"/>
        <w:rPr>
          <w:sz w:val="29"/>
        </w:rPr>
      </w:pPr>
    </w:p>
    <w:p>
      <w:pPr>
        <w:pStyle w:val="Heading6"/>
      </w:pPr>
      <w:r>
        <w:rPr/>
        <w:t>HARMONISATION OF DEFINITIONS</w:t>
      </w:r>
    </w:p>
    <w:p>
      <w:pPr>
        <w:pStyle w:val="BodyText"/>
        <w:spacing w:before="114"/>
        <w:ind w:left="159"/>
      </w:pPr>
      <w:r>
        <w:rPr/>
        <w:t>In this context it is meant to standardize or to increase comparability and/or convergence between definitions.</w:t>
      </w:r>
    </w:p>
    <w:p>
      <w:pPr>
        <w:pStyle w:val="BodyText"/>
        <w:rPr>
          <w:sz w:val="22"/>
        </w:rPr>
      </w:pPr>
    </w:p>
    <w:p>
      <w:pPr>
        <w:pStyle w:val="BodyText"/>
        <w:spacing w:before="9"/>
        <w:rPr>
          <w:sz w:val="29"/>
        </w:rPr>
      </w:pPr>
    </w:p>
    <w:p>
      <w:pPr>
        <w:pStyle w:val="Heading6"/>
      </w:pPr>
      <w:r>
        <w:rPr/>
        <w:t>HUMUS HORIZON ( H)</w:t>
      </w:r>
    </w:p>
    <w:p>
      <w:pPr>
        <w:pStyle w:val="BodyText"/>
        <w:spacing w:before="114"/>
        <w:ind w:left="159" w:right="165"/>
        <w:jc w:val="both"/>
      </w:pPr>
      <w:r>
        <w:rPr/>
        <w:t>Horizon consisting by far of finely distributed organic matter (but still on top of the mineral soil horizons). Macroscopically recognisable parts of plants remain, but occur to much lesser extent than the finely distributed organic matter. The horizon can contain mineral soil particles.</w:t>
      </w:r>
    </w:p>
    <w:p>
      <w:pPr>
        <w:pStyle w:val="BodyText"/>
        <w:rPr>
          <w:sz w:val="22"/>
        </w:rPr>
      </w:pPr>
    </w:p>
    <w:p>
      <w:pPr>
        <w:pStyle w:val="BodyText"/>
        <w:spacing w:before="8"/>
        <w:rPr>
          <w:sz w:val="29"/>
        </w:rPr>
      </w:pPr>
    </w:p>
    <w:p>
      <w:pPr>
        <w:pStyle w:val="Heading6"/>
      </w:pPr>
      <w:r>
        <w:rPr/>
        <w:t>INCREMENT</w:t>
      </w:r>
    </w:p>
    <w:p>
      <w:pPr>
        <w:spacing w:before="116"/>
        <w:ind w:left="159" w:right="0" w:firstLine="0"/>
        <w:jc w:val="left"/>
        <w:rPr>
          <w:sz w:val="20"/>
        </w:rPr>
      </w:pPr>
      <w:r>
        <w:rPr>
          <w:sz w:val="20"/>
        </w:rPr>
        <w:t>See </w:t>
      </w:r>
      <w:r>
        <w:rPr>
          <w:i/>
          <w:sz w:val="20"/>
        </w:rPr>
        <w:t>gross </w:t>
      </w:r>
      <w:r>
        <w:rPr>
          <w:sz w:val="20"/>
        </w:rPr>
        <w:t>and </w:t>
      </w:r>
      <w:r>
        <w:rPr>
          <w:i/>
          <w:sz w:val="20"/>
        </w:rPr>
        <w:t>net annual increment</w:t>
      </w:r>
      <w:r>
        <w:rPr>
          <w:sz w:val="20"/>
        </w:rPr>
        <w:t>.</w:t>
      </w:r>
    </w:p>
    <w:p>
      <w:pPr>
        <w:pStyle w:val="BodyText"/>
        <w:rPr>
          <w:sz w:val="22"/>
        </w:rPr>
      </w:pPr>
    </w:p>
    <w:p>
      <w:pPr>
        <w:pStyle w:val="BodyText"/>
        <w:spacing w:before="7"/>
        <w:rPr>
          <w:sz w:val="29"/>
        </w:rPr>
      </w:pPr>
    </w:p>
    <w:p>
      <w:pPr>
        <w:pStyle w:val="Heading6"/>
        <w:spacing w:before="1"/>
      </w:pPr>
      <w:r>
        <w:rPr/>
        <w:t>INVENTORIES CONSISTENT WITH GOOD PRACTICE </w:t>
      </w:r>
    </w:p>
    <w:p>
      <w:pPr>
        <w:pStyle w:val="BodyText"/>
        <w:spacing w:before="113"/>
        <w:ind w:left="159"/>
      </w:pPr>
      <w:r>
        <w:rPr/>
        <w:t>Those inventories which contain neither over- nor underestimates so far as can be judged, and in which uncertainties are reduced as far as is practicable.</w:t>
      </w:r>
    </w:p>
    <w:p>
      <w:pPr>
        <w:pStyle w:val="BodyText"/>
        <w:rPr>
          <w:sz w:val="22"/>
        </w:rPr>
      </w:pPr>
    </w:p>
    <w:p>
      <w:pPr>
        <w:pStyle w:val="BodyText"/>
        <w:spacing w:before="10"/>
        <w:rPr>
          <w:sz w:val="29"/>
        </w:rPr>
      </w:pPr>
    </w:p>
    <w:p>
      <w:pPr>
        <w:pStyle w:val="Heading6"/>
      </w:pPr>
      <w:r>
        <w:rPr>
          <w:spacing w:val="16"/>
        </w:rPr>
        <w:t>IMPROVED PASTURES/ GRASSLAND/ </w:t>
      </w:r>
      <w:r>
        <w:rPr>
          <w:spacing w:val="18"/>
        </w:rPr>
        <w:t>RANGELAND</w:t>
      </w:r>
    </w:p>
    <w:p>
      <w:pPr>
        <w:pStyle w:val="BodyText"/>
        <w:spacing w:before="114"/>
        <w:ind w:left="159"/>
      </w:pPr>
      <w:r>
        <w:rPr/>
        <w:t>Land subject to intensive, controlled grazing often subject to fertilisation and/or regular re-establishment of the grass cover.</w:t>
      </w:r>
    </w:p>
    <w:p>
      <w:pPr>
        <w:pStyle w:val="BodyText"/>
        <w:rPr>
          <w:sz w:val="22"/>
        </w:rPr>
      </w:pPr>
    </w:p>
    <w:p>
      <w:pPr>
        <w:pStyle w:val="BodyText"/>
        <w:spacing w:before="8"/>
        <w:rPr>
          <w:sz w:val="29"/>
        </w:rPr>
      </w:pPr>
    </w:p>
    <w:p>
      <w:pPr>
        <w:pStyle w:val="Heading6"/>
      </w:pPr>
      <w:r>
        <w:rPr/>
        <w:t>KEY CATEGORY</w:t>
      </w:r>
    </w:p>
    <w:p>
      <w:pPr>
        <w:pStyle w:val="BodyText"/>
        <w:spacing w:before="116"/>
        <w:ind w:left="159" w:right="167"/>
        <w:jc w:val="both"/>
      </w:pPr>
      <w:r>
        <w:rPr/>
        <w:t>A category that is prioritised within the national inventory system because its estimate has a significant influence on a country’s total inventory of direct greenhouse gases in terms of the absolute level of emissions, the trend in emissions, or both.</w:t>
      </w:r>
    </w:p>
    <w:p>
      <w:pPr>
        <w:pStyle w:val="BodyText"/>
        <w:rPr>
          <w:sz w:val="22"/>
        </w:rPr>
      </w:pPr>
    </w:p>
    <w:p>
      <w:pPr>
        <w:pStyle w:val="BodyText"/>
        <w:spacing w:before="8"/>
        <w:rPr>
          <w:sz w:val="29"/>
        </w:rPr>
      </w:pPr>
    </w:p>
    <w:p>
      <w:pPr>
        <w:pStyle w:val="Heading6"/>
      </w:pPr>
      <w:r>
        <w:rPr/>
        <w:t>KEY SOURCE</w:t>
      </w:r>
    </w:p>
    <w:p>
      <w:pPr>
        <w:spacing w:before="114"/>
        <w:ind w:left="159" w:right="0" w:firstLine="0"/>
        <w:jc w:val="left"/>
        <w:rPr>
          <w:sz w:val="20"/>
        </w:rPr>
      </w:pPr>
      <w:r>
        <w:rPr>
          <w:sz w:val="20"/>
        </w:rPr>
        <w:t>See </w:t>
      </w:r>
      <w:r>
        <w:rPr>
          <w:i/>
          <w:sz w:val="20"/>
        </w:rPr>
        <w:t>key category</w:t>
      </w:r>
      <w:r>
        <w:rPr>
          <w:sz w:val="20"/>
        </w:rPr>
        <w:t>.</w:t>
      </w:r>
    </w:p>
    <w:p>
      <w:pPr>
        <w:pStyle w:val="BodyText"/>
        <w:rPr>
          <w:sz w:val="22"/>
        </w:rPr>
      </w:pPr>
    </w:p>
    <w:p>
      <w:pPr>
        <w:pStyle w:val="BodyText"/>
        <w:spacing w:before="9"/>
        <w:rPr>
          <w:sz w:val="29"/>
        </w:rPr>
      </w:pPr>
    </w:p>
    <w:p>
      <w:pPr>
        <w:pStyle w:val="Heading6"/>
      </w:pPr>
      <w:r>
        <w:rPr/>
        <w:t>LAND COVER</w:t>
      </w:r>
    </w:p>
    <w:p>
      <w:pPr>
        <w:pStyle w:val="BodyText"/>
        <w:spacing w:before="114"/>
        <w:ind w:left="159"/>
      </w:pPr>
      <w:r>
        <w:rPr/>
        <w:t>The type of vegetation covering the earth’s surface.</w:t>
      </w:r>
    </w:p>
    <w:p>
      <w:pPr>
        <w:spacing w:after="0"/>
        <w:sectPr>
          <w:pgSz w:w="11900" w:h="16840"/>
          <w:pgMar w:header="230" w:footer="408" w:top="560" w:bottom="600" w:left="1260" w:right="1240"/>
        </w:sectPr>
      </w:pPr>
    </w:p>
    <w:p>
      <w:pPr>
        <w:pStyle w:val="BodyText"/>
      </w:pPr>
    </w:p>
    <w:p>
      <w:pPr>
        <w:pStyle w:val="Heading6"/>
        <w:spacing w:before="214"/>
      </w:pPr>
      <w:r>
        <w:rPr/>
        <w:t>LAND USE</w:t>
      </w:r>
    </w:p>
    <w:p>
      <w:pPr>
        <w:pStyle w:val="BodyText"/>
        <w:spacing w:before="117"/>
        <w:ind w:left="159"/>
      </w:pPr>
      <w:r>
        <w:rPr/>
        <w:t>The type of activity being carried out on a unit of land.</w:t>
      </w:r>
    </w:p>
    <w:p>
      <w:pPr>
        <w:pStyle w:val="BodyText"/>
        <w:spacing w:before="118"/>
        <w:ind w:left="159" w:right="166"/>
        <w:jc w:val="both"/>
      </w:pPr>
      <w:r>
        <w:rPr/>
        <w:t>In </w:t>
      </w:r>
      <w:r>
        <w:rPr>
          <w:i/>
        </w:rPr>
        <w:t>GPG-LULUCF </w:t>
      </w:r>
      <w:r>
        <w:rPr/>
        <w:t>this term is used for the broad land-use categories defined in Chapter 2. It is recognized that these land categories are a mixture of land cover (e.g,, Forest, Grassland, Wetlands) and land use (e.g., Cropland Settlements) classes.</w:t>
      </w:r>
    </w:p>
    <w:p>
      <w:pPr>
        <w:pStyle w:val="BodyText"/>
        <w:rPr>
          <w:sz w:val="22"/>
        </w:rPr>
      </w:pPr>
    </w:p>
    <w:p>
      <w:pPr>
        <w:pStyle w:val="BodyText"/>
        <w:spacing w:before="10"/>
        <w:rPr>
          <w:sz w:val="29"/>
        </w:rPr>
      </w:pPr>
    </w:p>
    <w:p>
      <w:pPr>
        <w:pStyle w:val="Heading6"/>
      </w:pPr>
      <w:r>
        <w:rPr/>
        <w:t>LFH LAYERS</w:t>
      </w:r>
    </w:p>
    <w:p>
      <w:pPr>
        <w:pStyle w:val="BodyText"/>
        <w:spacing w:before="114"/>
        <w:ind w:left="159"/>
      </w:pPr>
      <w:r>
        <w:rPr/>
        <w:t>Soil horizons. For details see individual definitions under litter horizon, fermented horizon and humus horizon.</w:t>
      </w:r>
    </w:p>
    <w:p>
      <w:pPr>
        <w:pStyle w:val="BodyText"/>
        <w:rPr>
          <w:sz w:val="22"/>
        </w:rPr>
      </w:pPr>
    </w:p>
    <w:p>
      <w:pPr>
        <w:pStyle w:val="BodyText"/>
        <w:spacing w:before="9"/>
        <w:rPr>
          <w:sz w:val="29"/>
        </w:rPr>
      </w:pPr>
    </w:p>
    <w:p>
      <w:pPr>
        <w:pStyle w:val="Heading6"/>
      </w:pPr>
      <w:r>
        <w:rPr/>
        <w:t>LITTER</w:t>
      </w:r>
    </w:p>
    <w:p>
      <w:pPr>
        <w:pStyle w:val="BodyText"/>
        <w:spacing w:before="114"/>
        <w:ind w:left="159" w:right="164"/>
        <w:jc w:val="both"/>
      </w:pPr>
      <w:r>
        <w:rPr/>
        <w:t>Includes all non-living biomass with a diameter less than a minimum diameter chosen by the country (for example 10 cm), lying dead, in various states of decomposition above the mineral or organic soil. This includes litter, fumic, and humic layers. Live fine roots (of less than the suggested diameter limit for belowground biomass) are included in litter where they cannot be distinguished from it empirically.</w:t>
      </w:r>
    </w:p>
    <w:p>
      <w:pPr>
        <w:pStyle w:val="BodyText"/>
        <w:rPr>
          <w:sz w:val="22"/>
        </w:rPr>
      </w:pPr>
    </w:p>
    <w:p>
      <w:pPr>
        <w:pStyle w:val="BodyText"/>
        <w:spacing w:before="9"/>
        <w:rPr>
          <w:sz w:val="29"/>
        </w:rPr>
      </w:pPr>
    </w:p>
    <w:p>
      <w:pPr>
        <w:pStyle w:val="Heading6"/>
      </w:pPr>
      <w:r>
        <w:rPr/>
        <w:t>LITTER HORIZON ( L)</w:t>
      </w:r>
    </w:p>
    <w:p>
      <w:pPr>
        <w:pStyle w:val="BodyText"/>
        <w:spacing w:before="113"/>
        <w:ind w:left="159" w:right="166"/>
      </w:pPr>
      <w:r>
        <w:rPr/>
        <w:t>A horizon consisting of relatively fresh dead plant material, it may be colourised, but does not contain excrements from soil fauna. It is not or only partly</w:t>
      </w:r>
      <w:r>
        <w:rPr>
          <w:spacing w:val="-6"/>
        </w:rPr>
        <w:t> </w:t>
      </w:r>
      <w:r>
        <w:rPr/>
        <w:t>fragmented.</w:t>
      </w:r>
    </w:p>
    <w:p>
      <w:pPr>
        <w:pStyle w:val="BodyText"/>
        <w:rPr>
          <w:sz w:val="22"/>
        </w:rPr>
      </w:pPr>
    </w:p>
    <w:p>
      <w:pPr>
        <w:pStyle w:val="BodyText"/>
        <w:spacing w:before="10"/>
        <w:rPr>
          <w:sz w:val="29"/>
        </w:rPr>
      </w:pPr>
    </w:p>
    <w:p>
      <w:pPr>
        <w:pStyle w:val="Heading6"/>
        <w:spacing w:before="1"/>
      </w:pPr>
      <w:r>
        <w:rPr/>
        <w:t>LOGNORMAL DISTRIBUTION</w:t>
      </w:r>
    </w:p>
    <w:p>
      <w:pPr>
        <w:pStyle w:val="BodyText"/>
        <w:spacing w:before="113"/>
        <w:ind w:left="159" w:right="167"/>
        <w:jc w:val="both"/>
      </w:pPr>
      <w:r>
        <w:rPr>
          <w:b/>
        </w:rPr>
        <w:t>Statistical definition: </w:t>
      </w:r>
      <w:r>
        <w:rPr/>
        <w:t>The lognormal distribution is an asymmetric distribution, which starts from zero, rises to  a maximum and then tails off more slowly to infinity. It is related to the normal distribution: X has a lognormal distribution if ln (X) has a normal</w:t>
      </w:r>
      <w:r>
        <w:rPr>
          <w:spacing w:val="-5"/>
        </w:rPr>
        <w:t> </w:t>
      </w:r>
      <w:r>
        <w:rPr/>
        <w:t>distribution.</w:t>
      </w:r>
    </w:p>
    <w:p>
      <w:pPr>
        <w:pStyle w:val="BodyText"/>
        <w:spacing w:before="119"/>
        <w:ind w:left="159"/>
        <w:jc w:val="both"/>
      </w:pPr>
      <w:r>
        <w:rPr/>
        <w:t>The PDF of the lognormal distribution is given by:</w:t>
      </w:r>
    </w:p>
    <w:p>
      <w:pPr>
        <w:spacing w:line="112" w:lineRule="auto" w:before="163"/>
        <w:ind w:left="1628" w:right="0" w:firstLine="0"/>
        <w:jc w:val="left"/>
        <w:rPr>
          <w:sz w:val="13"/>
        </w:rPr>
      </w:pPr>
      <w:r>
        <w:rPr>
          <w:rFonts w:ascii="Symbol" w:hAnsi="Symbol"/>
          <w:position w:val="-11"/>
          <w:sz w:val="17"/>
        </w:rPr>
        <w:t>− </w:t>
      </w:r>
      <w:r>
        <w:rPr>
          <w:sz w:val="17"/>
        </w:rPr>
        <w:t>(ln </w:t>
      </w:r>
      <w:r>
        <w:rPr>
          <w:i/>
          <w:sz w:val="17"/>
        </w:rPr>
        <w:t>x </w:t>
      </w:r>
      <w:r>
        <w:rPr>
          <w:rFonts w:ascii="Symbol" w:hAnsi="Symbol"/>
          <w:sz w:val="17"/>
        </w:rPr>
        <w:t>− </w:t>
      </w:r>
      <w:r>
        <w:rPr>
          <w:rFonts w:ascii="Symbol" w:hAnsi="Symbol"/>
          <w:sz w:val="18"/>
        </w:rPr>
        <w:t>µ</w:t>
      </w:r>
      <w:r>
        <w:rPr>
          <w:i/>
          <w:sz w:val="18"/>
          <w:vertAlign w:val="subscript"/>
        </w:rPr>
        <w:t>l</w:t>
      </w:r>
      <w:r>
        <w:rPr>
          <w:i/>
          <w:sz w:val="18"/>
          <w:vertAlign w:val="baseline"/>
        </w:rPr>
        <w:t> </w:t>
      </w:r>
      <w:r>
        <w:rPr>
          <w:sz w:val="17"/>
          <w:vertAlign w:val="baseline"/>
        </w:rPr>
        <w:t>) </w:t>
      </w:r>
      <w:r>
        <w:rPr>
          <w:position w:val="8"/>
          <w:sz w:val="13"/>
          <w:vertAlign w:val="baseline"/>
        </w:rPr>
        <w:t>2</w:t>
      </w:r>
    </w:p>
    <w:p>
      <w:pPr>
        <w:pStyle w:val="BodyText"/>
        <w:spacing w:line="20" w:lineRule="exact"/>
        <w:ind w:left="1737"/>
        <w:rPr>
          <w:sz w:val="2"/>
        </w:rPr>
      </w:pPr>
      <w:r>
        <w:rPr/>
        <w:pict>
          <v:shape style="position:absolute;margin-left:173.560593pt;margin-top:6.708252pt;width:1.85pt;height:7.4pt;mso-position-horizontal-relative:page;mso-position-vertical-relative:paragraph;z-index:-2422456" type="#_x0000_t202" filled="false" stroked="false">
            <v:textbox inset="0,0,0,0">
              <w:txbxContent>
                <w:p>
                  <w:pPr>
                    <w:spacing w:line="147" w:lineRule="exact" w:before="0"/>
                    <w:ind w:left="0" w:right="0" w:firstLine="0"/>
                    <w:jc w:val="left"/>
                    <w:rPr>
                      <w:i/>
                      <w:sz w:val="13"/>
                    </w:rPr>
                  </w:pPr>
                  <w:r>
                    <w:rPr>
                      <w:i/>
                      <w:w w:val="102"/>
                      <w:sz w:val="13"/>
                    </w:rPr>
                    <w:t>l</w:t>
                  </w:r>
                </w:p>
              </w:txbxContent>
            </v:textbox>
            <w10:wrap type="none"/>
          </v:shape>
        </w:pict>
      </w:r>
      <w:r>
        <w:rPr>
          <w:sz w:val="2"/>
        </w:rPr>
        <w:pict>
          <v:group style="width:41.65pt;height:.25pt;mso-position-horizontal-relative:char;mso-position-vertical-relative:line" coordorigin="0,0" coordsize="833,5">
            <v:line style="position:absolute" from="0,2" to="833,2" stroked="true" strokeweight=".236pt" strokecolor="#000000">
              <v:stroke dashstyle="solid"/>
            </v:line>
          </v:group>
        </w:pict>
      </w:r>
      <w:r>
        <w:rPr>
          <w:sz w:val="2"/>
        </w:rPr>
      </w:r>
    </w:p>
    <w:p>
      <w:pPr>
        <w:spacing w:after="0" w:line="20" w:lineRule="exact"/>
        <w:rPr>
          <w:sz w:val="2"/>
        </w:rPr>
        <w:sectPr>
          <w:pgSz w:w="11900" w:h="16840"/>
          <w:pgMar w:header="230" w:footer="408" w:top="560" w:bottom="600" w:left="1260" w:right="1240"/>
        </w:sectPr>
      </w:pPr>
    </w:p>
    <w:p>
      <w:pPr>
        <w:spacing w:before="92"/>
        <w:ind w:left="231" w:right="0" w:firstLine="0"/>
        <w:jc w:val="left"/>
        <w:rPr>
          <w:rFonts w:ascii="Symbol"/>
          <w:sz w:val="19"/>
        </w:rPr>
      </w:pPr>
      <w:r>
        <w:rPr>
          <w:i/>
          <w:sz w:val="19"/>
        </w:rPr>
        <w:t>f </w:t>
      </w:r>
      <w:r>
        <w:rPr>
          <w:sz w:val="19"/>
        </w:rPr>
        <w:t>(</w:t>
      </w:r>
      <w:r>
        <w:rPr>
          <w:i/>
          <w:sz w:val="19"/>
        </w:rPr>
        <w:t>x</w:t>
      </w:r>
      <w:r>
        <w:rPr>
          <w:sz w:val="19"/>
        </w:rPr>
        <w:t>) </w:t>
      </w:r>
      <w:r>
        <w:rPr>
          <w:rFonts w:ascii="Symbol"/>
          <w:sz w:val="19"/>
        </w:rPr>
        <w:t>=</w:t>
      </w:r>
    </w:p>
    <w:p>
      <w:pPr>
        <w:tabs>
          <w:tab w:pos="328" w:val="left" w:leader="none"/>
          <w:tab w:pos="753" w:val="left" w:leader="none"/>
        </w:tabs>
        <w:spacing w:line="201" w:lineRule="auto" w:before="0"/>
        <w:ind w:left="26" w:right="0" w:firstLine="0"/>
        <w:jc w:val="left"/>
        <w:rPr>
          <w:i/>
          <w:sz w:val="19"/>
        </w:rPr>
      </w:pPr>
      <w:r>
        <w:rPr/>
        <w:br w:type="column"/>
      </w:r>
      <w:r>
        <w:rPr>
          <w:i/>
          <w:w w:val="102"/>
          <w:position w:val="-6"/>
          <w:sz w:val="13"/>
          <w:u w:val="single"/>
        </w:rPr>
        <w:t> </w:t>
      </w:r>
      <w:r>
        <w:rPr>
          <w:i/>
          <w:position w:val="-6"/>
          <w:sz w:val="13"/>
          <w:u w:val="single"/>
        </w:rPr>
        <w:tab/>
      </w:r>
      <w:r>
        <w:rPr>
          <w:sz w:val="19"/>
        </w:rPr>
        <w:t>1</w:t>
        <w:tab/>
      </w:r>
      <w:r>
        <w:rPr>
          <w:i/>
          <w:position w:val="-11"/>
          <w:sz w:val="19"/>
        </w:rPr>
        <w:t>e</w:t>
      </w:r>
    </w:p>
    <w:p>
      <w:pPr>
        <w:pStyle w:val="ListParagraph"/>
        <w:numPr>
          <w:ilvl w:val="0"/>
          <w:numId w:val="203"/>
        </w:numPr>
        <w:tabs>
          <w:tab w:pos="171" w:val="left" w:leader="none"/>
        </w:tabs>
        <w:spacing w:line="213" w:lineRule="auto" w:before="0" w:after="0"/>
        <w:ind w:left="170" w:right="0" w:hanging="144"/>
        <w:jc w:val="left"/>
        <w:rPr>
          <w:i/>
          <w:sz w:val="19"/>
        </w:rPr>
      </w:pPr>
      <w:r>
        <w:rPr/>
        <w:pict>
          <v:group style="position:absolute;margin-left:119.205002pt;margin-top:-1.927679pt;width:17.9pt;height:12.95pt;mso-position-horizontal-relative:page;mso-position-vertical-relative:paragraph;z-index:-2422552" coordorigin="2384,-39" coordsize="358,259">
            <v:line style="position:absolute" from="2389,119" to="2413,105" stroked="true" strokeweight=".472pt" strokecolor="#000000">
              <v:stroke dashstyle="solid"/>
            </v:line>
            <v:line style="position:absolute" from="2413,109" to="2446,174" stroked="true" strokeweight=".945pt" strokecolor="#000000">
              <v:stroke dashstyle="solid"/>
            </v:line>
            <v:shape style="position:absolute;left:2448;top:-26;width:288;height:200" coordorigin="2449,-25" coordsize="288,200" path="m2449,174l2497,-25,2737,-25e" filled="false" stroked="true" strokeweight=".472pt" strokecolor="#000000">
              <v:path arrowok="t"/>
              <v:stroke dashstyle="solid"/>
            </v:shape>
            <v:shape style="position:absolute;left:2384;top:-39;width:358;height:259" type="#_x0000_t202" filled="false" stroked="false">
              <v:textbox inset="0,0,0,0">
                <w:txbxContent>
                  <w:p>
                    <w:pPr>
                      <w:spacing w:line="236" w:lineRule="exact" w:before="23"/>
                      <w:ind w:left="124" w:right="0" w:firstLine="0"/>
                      <w:jc w:val="left"/>
                      <w:rPr>
                        <w:rFonts w:ascii="Symbol" w:hAnsi="Symbol"/>
                        <w:sz w:val="20"/>
                      </w:rPr>
                    </w:pPr>
                    <w:r>
                      <w:rPr>
                        <w:sz w:val="19"/>
                      </w:rPr>
                      <w:t>2</w:t>
                    </w:r>
                    <w:r>
                      <w:rPr>
                        <w:rFonts w:ascii="Symbol" w:hAnsi="Symbol"/>
                        <w:sz w:val="20"/>
                      </w:rPr>
                      <w:t>π</w:t>
                    </w:r>
                  </w:p>
                </w:txbxContent>
              </v:textbox>
              <w10:wrap type="none"/>
            </v:shape>
            <w10:wrap type="none"/>
          </v:group>
        </w:pict>
      </w:r>
      <w:r>
        <w:rPr>
          <w:i/>
          <w:position w:val="-4"/>
          <w:sz w:val="17"/>
        </w:rPr>
        <w:t>l</w:t>
      </w:r>
      <w:r>
        <w:rPr>
          <w:i/>
          <w:spacing w:val="-9"/>
          <w:position w:val="-4"/>
          <w:sz w:val="17"/>
        </w:rPr>
        <w:t> </w:t>
      </w:r>
      <w:r>
        <w:rPr>
          <w:i/>
          <w:sz w:val="19"/>
        </w:rPr>
        <w:t>x</w:t>
      </w:r>
    </w:p>
    <w:p>
      <w:pPr>
        <w:spacing w:line="235" w:lineRule="exact" w:before="0"/>
        <w:ind w:left="231" w:right="0" w:firstLine="0"/>
        <w:jc w:val="left"/>
        <w:rPr>
          <w:sz w:val="13"/>
        </w:rPr>
      </w:pPr>
      <w:r>
        <w:rPr/>
        <w:br w:type="column"/>
      </w:r>
      <w:r>
        <w:rPr>
          <w:sz w:val="17"/>
        </w:rPr>
        <w:t>2</w:t>
      </w:r>
      <w:r>
        <w:rPr>
          <w:rFonts w:ascii="Symbol" w:hAnsi="Symbol"/>
          <w:sz w:val="18"/>
        </w:rPr>
        <w:t>σ </w:t>
      </w:r>
      <w:r>
        <w:rPr>
          <w:position w:val="8"/>
          <w:sz w:val="13"/>
        </w:rPr>
        <w:t>2</w:t>
      </w:r>
    </w:p>
    <w:p>
      <w:pPr>
        <w:spacing w:before="73"/>
        <w:ind w:left="231" w:right="0" w:firstLine="0"/>
        <w:jc w:val="left"/>
        <w:rPr>
          <w:i/>
          <w:sz w:val="20"/>
        </w:rPr>
      </w:pPr>
      <w:r>
        <w:rPr/>
        <w:br w:type="column"/>
      </w:r>
      <w:r>
        <w:rPr>
          <w:sz w:val="19"/>
        </w:rPr>
        <w:t>, for 0 </w:t>
      </w:r>
      <w:r>
        <w:rPr>
          <w:rFonts w:ascii="Symbol" w:hAnsi="Symbol"/>
          <w:sz w:val="19"/>
        </w:rPr>
        <w:t>≤ </w:t>
      </w:r>
      <w:r>
        <w:rPr>
          <w:i/>
          <w:sz w:val="19"/>
        </w:rPr>
        <w:t>x </w:t>
      </w:r>
      <w:r>
        <w:rPr>
          <w:rFonts w:ascii="Symbol" w:hAnsi="Symbol"/>
          <w:sz w:val="19"/>
        </w:rPr>
        <w:t>≤ ∞ </w:t>
      </w:r>
      <w:r>
        <w:rPr>
          <w:i/>
          <w:position w:val="1"/>
          <w:sz w:val="20"/>
        </w:rPr>
        <w:t>.</w:t>
      </w:r>
    </w:p>
    <w:p>
      <w:pPr>
        <w:spacing w:after="0"/>
        <w:jc w:val="left"/>
        <w:rPr>
          <w:sz w:val="20"/>
        </w:rPr>
        <w:sectPr>
          <w:type w:val="continuous"/>
          <w:pgSz w:w="11900" w:h="16840"/>
          <w:pgMar w:top="1060" w:bottom="280" w:left="1260" w:right="1240"/>
          <w:cols w:num="4" w:equalWidth="0">
            <w:col w:w="734" w:space="40"/>
            <w:col w:w="878" w:space="119"/>
            <w:col w:w="561" w:space="96"/>
            <w:col w:w="6972"/>
          </w:cols>
        </w:sectPr>
      </w:pPr>
    </w:p>
    <w:p>
      <w:pPr>
        <w:pStyle w:val="BodyText"/>
        <w:spacing w:line="225" w:lineRule="auto" w:before="110"/>
        <w:ind w:left="159" w:right="203"/>
      </w:pPr>
      <w:r>
        <w:rPr/>
        <w:t>The parameters required to specify the function are: </w:t>
      </w:r>
      <w:r>
        <w:rPr>
          <w:i/>
        </w:rPr>
        <w:t>µ</w:t>
      </w:r>
      <w:r>
        <w:rPr>
          <w:i/>
          <w:vertAlign w:val="subscript"/>
        </w:rPr>
        <w:t>l</w:t>
      </w:r>
      <w:r>
        <w:rPr>
          <w:i/>
          <w:vertAlign w:val="baseline"/>
        </w:rPr>
        <w:t> </w:t>
      </w:r>
      <w:r>
        <w:rPr>
          <w:vertAlign w:val="baseline"/>
        </w:rPr>
        <w:t>the mean of the natural log transform of the data; and </w:t>
      </w:r>
      <w:r>
        <w:rPr>
          <w:rFonts w:ascii="Symbol" w:hAnsi="Symbol"/>
          <w:sz w:val="21"/>
          <w:vertAlign w:val="baseline"/>
        </w:rPr>
        <w:t>σ</w:t>
      </w:r>
      <w:r>
        <w:rPr>
          <w:i/>
          <w:sz w:val="21"/>
          <w:vertAlign w:val="subscript"/>
        </w:rPr>
        <w:t>l</w:t>
      </w:r>
      <w:r>
        <w:rPr>
          <w:i/>
          <w:sz w:val="21"/>
          <w:vertAlign w:val="baseline"/>
        </w:rPr>
        <w:t> </w:t>
      </w:r>
      <w:r>
        <w:rPr>
          <w:position w:val="9"/>
          <w:sz w:val="13"/>
          <w:vertAlign w:val="baseline"/>
        </w:rPr>
        <w:t>2 </w:t>
      </w:r>
      <w:r>
        <w:rPr>
          <w:vertAlign w:val="baseline"/>
        </w:rPr>
        <w:t>the variance of the natural log transform of the data. The data and information that the inventory compiler can use to determine the input parameters are: mean = </w:t>
      </w:r>
      <w:r>
        <w:rPr>
          <w:i/>
          <w:vertAlign w:val="baseline"/>
        </w:rPr>
        <w:t>µ</w:t>
      </w:r>
      <w:r>
        <w:rPr>
          <w:vertAlign w:val="baseline"/>
        </w:rPr>
        <w:t>; variance = </w:t>
      </w:r>
      <w:r>
        <w:rPr>
          <w:rFonts w:ascii="Symbol" w:hAnsi="Symbol"/>
          <w:sz w:val="21"/>
          <w:vertAlign w:val="baseline"/>
        </w:rPr>
        <w:t>σ </w:t>
      </w:r>
      <w:r>
        <w:rPr>
          <w:position w:val="9"/>
          <w:sz w:val="13"/>
          <w:vertAlign w:val="baseline"/>
        </w:rPr>
        <w:t>2</w:t>
      </w:r>
      <w:r>
        <w:rPr>
          <w:vertAlign w:val="baseline"/>
        </w:rPr>
        <w:t>; and the relationships:</w:t>
      </w:r>
    </w:p>
    <w:p>
      <w:pPr>
        <w:tabs>
          <w:tab w:pos="1217" w:val="left" w:leader="none"/>
        </w:tabs>
        <w:spacing w:before="179"/>
        <w:ind w:left="197" w:right="0" w:firstLine="0"/>
        <w:jc w:val="left"/>
        <w:rPr>
          <w:rFonts w:ascii="Symbol" w:hAnsi="Symbol"/>
          <w:sz w:val="20"/>
        </w:rPr>
      </w:pPr>
      <w:r>
        <w:rPr/>
        <w:pict>
          <v:group style="position:absolute;margin-left:105.280998pt;margin-top:20.961336pt;width:48.85pt;height:17.2pt;mso-position-horizontal-relative:page;mso-position-vertical-relative:paragraph;z-index:-2422504" coordorigin="2106,419" coordsize="977,344">
            <v:line style="position:absolute" from="2130,664" to="2154,650" stroked="true" strokeweight=".48pt" strokecolor="#000000">
              <v:stroke dashstyle="solid"/>
            </v:line>
            <v:line style="position:absolute" from="2154,654" to="2187,753" stroked="true" strokeweight=".96pt" strokecolor="#000000">
              <v:stroke dashstyle="solid"/>
            </v:line>
            <v:shape style="position:absolute;left:2105;top:424;width:977;height:329" coordorigin="2106,424" coordsize="977,329" path="m2192,753l2242,467,3063,467m2106,424l3082,424e" filled="false" stroked="true" strokeweight=".48pt" strokecolor="#000000">
              <v:path arrowok="t"/>
              <v:stroke dashstyle="solid"/>
            </v:shape>
            <v:shape style="position:absolute;left:2105;top:419;width:977;height:344" type="#_x0000_t202" filled="false" stroked="false">
              <v:textbox inset="0,0,0,0">
                <w:txbxContent>
                  <w:p>
                    <w:pPr>
                      <w:spacing w:before="69"/>
                      <w:ind w:left="143" w:right="0" w:firstLine="0"/>
                      <w:jc w:val="left"/>
                      <w:rPr>
                        <w:sz w:val="19"/>
                      </w:rPr>
                    </w:pPr>
                    <w:r>
                      <w:rPr>
                        <w:spacing w:val="-5"/>
                        <w:sz w:val="19"/>
                      </w:rPr>
                      <w:t>(</w:t>
                    </w:r>
                    <w:r>
                      <w:rPr>
                        <w:rFonts w:ascii="Symbol" w:hAnsi="Symbol"/>
                        <w:spacing w:val="-5"/>
                        <w:sz w:val="20"/>
                      </w:rPr>
                      <w:t>σ </w:t>
                    </w:r>
                    <w:r>
                      <w:rPr>
                        <w:position w:val="9"/>
                        <w:sz w:val="13"/>
                      </w:rPr>
                      <w:t>2 </w:t>
                    </w:r>
                    <w:r>
                      <w:rPr>
                        <w:rFonts w:ascii="Symbol" w:hAnsi="Symbol"/>
                        <w:sz w:val="19"/>
                      </w:rPr>
                      <w:t>+ </w:t>
                    </w:r>
                    <w:r>
                      <w:rPr>
                        <w:rFonts w:ascii="Symbol" w:hAnsi="Symbol"/>
                        <w:sz w:val="20"/>
                      </w:rPr>
                      <w:t>µ </w:t>
                    </w:r>
                    <w:r>
                      <w:rPr>
                        <w:position w:val="9"/>
                        <w:sz w:val="13"/>
                      </w:rPr>
                      <w:t>2 </w:t>
                    </w:r>
                    <w:r>
                      <w:rPr>
                        <w:spacing w:val="-60"/>
                        <w:sz w:val="19"/>
                      </w:rPr>
                      <w:t>)</w:t>
                    </w:r>
                  </w:p>
                </w:txbxContent>
              </v:textbox>
              <w10:wrap type="none"/>
            </v:shape>
            <w10:wrap type="none"/>
          </v:group>
        </w:pict>
      </w:r>
      <w:r>
        <w:rPr/>
        <w:pict>
          <v:shape style="position:absolute;margin-left:131.080597pt;margin-top:7.032643pt;width:3.4pt;height:7.5pt;mso-position-horizontal-relative:page;mso-position-vertical-relative:paragraph;z-index:33736" type="#_x0000_t202" filled="false" stroked="false">
            <v:textbox inset="0,0,0,0">
              <w:txbxContent>
                <w:p>
                  <w:pPr>
                    <w:spacing w:line="148" w:lineRule="exact" w:before="0"/>
                    <w:ind w:left="0" w:right="0" w:firstLine="0"/>
                    <w:jc w:val="left"/>
                    <w:rPr>
                      <w:sz w:val="13"/>
                    </w:rPr>
                  </w:pPr>
                  <w:r>
                    <w:rPr>
                      <w:w w:val="103"/>
                      <w:sz w:val="13"/>
                    </w:rPr>
                    <w:t>2</w:t>
                  </w:r>
                </w:p>
              </w:txbxContent>
            </v:textbox>
            <w10:wrap type="none"/>
          </v:shape>
        </w:pict>
      </w:r>
      <w:r>
        <w:rPr>
          <w:rFonts w:ascii="Symbol" w:hAnsi="Symbol"/>
          <w:spacing w:val="8"/>
          <w:sz w:val="20"/>
        </w:rPr>
        <w:t>µ</w:t>
      </w:r>
      <w:r>
        <w:rPr>
          <w:i/>
          <w:spacing w:val="8"/>
          <w:sz w:val="20"/>
          <w:vertAlign w:val="subscript"/>
        </w:rPr>
        <w:t>l</w:t>
      </w:r>
      <w:r>
        <w:rPr>
          <w:i/>
          <w:spacing w:val="59"/>
          <w:sz w:val="20"/>
          <w:vertAlign w:val="baseline"/>
        </w:rPr>
        <w:t> </w:t>
      </w:r>
      <w:r>
        <w:rPr>
          <w:rFonts w:ascii="Symbol" w:hAnsi="Symbol"/>
          <w:sz w:val="19"/>
          <w:vertAlign w:val="baseline"/>
        </w:rPr>
        <w:t>=</w:t>
      </w:r>
      <w:r>
        <w:rPr>
          <w:rFonts w:ascii="Symbol" w:hAnsi="Symbol"/>
          <w:spacing w:val="25"/>
          <w:sz w:val="19"/>
          <w:vertAlign w:val="baseline"/>
        </w:rPr>
        <w:t> </w:t>
      </w:r>
      <w:r>
        <w:rPr>
          <w:sz w:val="19"/>
          <w:vertAlign w:val="baseline"/>
        </w:rPr>
        <w:t>ln</w:t>
        <w:tab/>
      </w:r>
      <w:r>
        <w:rPr>
          <w:rFonts w:ascii="Symbol" w:hAnsi="Symbol"/>
          <w:position w:val="13"/>
          <w:sz w:val="20"/>
          <w:vertAlign w:val="baseline"/>
        </w:rPr>
        <w:t>µ</w:t>
      </w:r>
    </w:p>
    <w:p>
      <w:pPr>
        <w:pStyle w:val="BodyText"/>
        <w:spacing w:before="4"/>
        <w:rPr>
          <w:rFonts w:ascii="Symbol"/>
          <w:sz w:val="27"/>
        </w:rPr>
      </w:pPr>
    </w:p>
    <w:p>
      <w:pPr>
        <w:spacing w:after="0"/>
        <w:rPr>
          <w:rFonts w:ascii="Symbol"/>
          <w:sz w:val="27"/>
        </w:rPr>
        <w:sectPr>
          <w:type w:val="continuous"/>
          <w:pgSz w:w="11900" w:h="16840"/>
          <w:pgMar w:top="1060" w:bottom="280" w:left="1260" w:right="1240"/>
        </w:sectPr>
      </w:pPr>
    </w:p>
    <w:p>
      <w:pPr>
        <w:pStyle w:val="BodyText"/>
        <w:spacing w:before="92"/>
        <w:ind w:left="159"/>
      </w:pPr>
      <w:r>
        <w:rPr/>
        <w:t>and</w:t>
      </w:r>
    </w:p>
    <w:p>
      <w:pPr>
        <w:pStyle w:val="BodyText"/>
        <w:rPr>
          <w:sz w:val="28"/>
        </w:rPr>
      </w:pPr>
      <w:r>
        <w:rPr/>
        <w:br w:type="column"/>
      </w:r>
      <w:r>
        <w:rPr>
          <w:sz w:val="28"/>
        </w:rPr>
      </w:r>
    </w:p>
    <w:p>
      <w:pPr>
        <w:tabs>
          <w:tab w:pos="787" w:val="left" w:leader="none"/>
        </w:tabs>
        <w:spacing w:line="121" w:lineRule="exact" w:before="217"/>
        <w:ind w:left="159" w:right="0" w:firstLine="0"/>
        <w:jc w:val="left"/>
        <w:rPr>
          <w:rFonts w:ascii="Arial" w:hAnsi="Arial"/>
          <w:sz w:val="19"/>
        </w:rPr>
      </w:pPr>
      <w:r>
        <w:rPr/>
        <w:pict>
          <v:group style="position:absolute;margin-left:96.161003pt;margin-top:8.242764pt;width:53.3pt;height:32.65pt;mso-position-horizontal-relative:page;mso-position-vertical-relative:paragraph;z-index:-2422480" coordorigin="1923,165" coordsize="1066,653">
            <v:shape style="position:absolute;left:1928;top:505;width:716;height:75" coordorigin="1928,506" coordsize="716,75" path="m2370,506l2643,506m1928,580l1952,566e" filled="false" stroked="true" strokeweight=".48pt" strokecolor="#000000">
              <v:path arrowok="t"/>
              <v:stroke dashstyle="solid"/>
            </v:shape>
            <v:line style="position:absolute" from="1952,570" to="1986,808" stroked="true" strokeweight=".96pt" strokecolor="#000000">
              <v:stroke dashstyle="solid"/>
            </v:line>
            <v:shape style="position:absolute;left:1990;top:169;width:994;height:639" coordorigin="1990,170" coordsize="994,639" path="m1990,808l2038,170,2984,170e" filled="false" stroked="true" strokeweight=".48pt" strokecolor="#000000">
              <v:path arrowok="t"/>
              <v:stroke dashstyle="solid"/>
            </v:shape>
            <w10:wrap type="none"/>
          </v:group>
        </w:pict>
      </w:r>
      <w:r>
        <w:rPr>
          <w:rFonts w:ascii="Arial" w:hAnsi="Arial"/>
          <w:w w:val="80"/>
          <w:sz w:val="19"/>
        </w:rPr>
        <w:t></w:t>
      </w:r>
      <w:r>
        <w:rPr>
          <w:rFonts w:ascii="Arial" w:hAnsi="Arial"/>
          <w:spacing w:val="-24"/>
          <w:w w:val="80"/>
          <w:sz w:val="19"/>
        </w:rPr>
        <w:t> </w:t>
      </w:r>
      <w:r>
        <w:rPr>
          <w:rFonts w:ascii="Symbol" w:hAnsi="Symbol"/>
          <w:w w:val="95"/>
          <w:position w:val="-2"/>
          <w:sz w:val="20"/>
        </w:rPr>
        <w:t>σ</w:t>
      </w:r>
      <w:r>
        <w:rPr>
          <w:rFonts w:ascii="Symbol" w:hAnsi="Symbol"/>
          <w:spacing w:val="-11"/>
          <w:w w:val="95"/>
          <w:position w:val="-2"/>
          <w:sz w:val="20"/>
        </w:rPr>
        <w:t> </w:t>
      </w:r>
      <w:r>
        <w:rPr>
          <w:w w:val="95"/>
          <w:position w:val="5"/>
          <w:sz w:val="13"/>
        </w:rPr>
        <w:t>2</w:t>
        <w:tab/>
      </w:r>
      <w:r>
        <w:rPr>
          <w:rFonts w:ascii="Arial" w:hAnsi="Arial"/>
          <w:w w:val="80"/>
          <w:sz w:val="19"/>
        </w:rPr>
        <w:t></w:t>
      </w:r>
    </w:p>
    <w:p>
      <w:pPr>
        <w:spacing w:after="0" w:line="121" w:lineRule="exact"/>
        <w:jc w:val="left"/>
        <w:rPr>
          <w:rFonts w:ascii="Arial" w:hAnsi="Arial"/>
          <w:sz w:val="19"/>
        </w:rPr>
        <w:sectPr>
          <w:type w:val="continuous"/>
          <w:pgSz w:w="11900" w:h="16840"/>
          <w:pgMar w:top="1060" w:bottom="280" w:left="1260" w:right="1240"/>
          <w:cols w:num="2" w:equalWidth="0">
            <w:col w:w="487" w:space="365"/>
            <w:col w:w="8548"/>
          </w:cols>
        </w:sectPr>
      </w:pPr>
    </w:p>
    <w:p>
      <w:pPr>
        <w:spacing w:line="105" w:lineRule="exact" w:before="32"/>
        <w:ind w:left="180" w:right="0" w:firstLine="0"/>
        <w:jc w:val="left"/>
        <w:rPr>
          <w:rFonts w:ascii="Symbol" w:hAnsi="Symbol"/>
          <w:sz w:val="19"/>
        </w:rPr>
      </w:pPr>
      <w:r>
        <w:rPr>
          <w:rFonts w:ascii="Symbol" w:hAnsi="Symbol"/>
          <w:sz w:val="20"/>
        </w:rPr>
        <w:t>σ </w:t>
      </w:r>
      <w:r>
        <w:rPr>
          <w:i/>
          <w:sz w:val="20"/>
          <w:vertAlign w:val="subscript"/>
        </w:rPr>
        <w:t>l</w:t>
      </w:r>
      <w:r>
        <w:rPr>
          <w:i/>
          <w:sz w:val="20"/>
          <w:vertAlign w:val="baseline"/>
        </w:rPr>
        <w:t> </w:t>
      </w:r>
      <w:r>
        <w:rPr>
          <w:rFonts w:ascii="Symbol" w:hAnsi="Symbol"/>
          <w:spacing w:val="-20"/>
          <w:sz w:val="19"/>
          <w:vertAlign w:val="baseline"/>
        </w:rPr>
        <w:t>=</w:t>
      </w:r>
    </w:p>
    <w:p>
      <w:pPr>
        <w:tabs>
          <w:tab w:pos="595" w:val="left" w:leader="none"/>
        </w:tabs>
        <w:spacing w:line="232" w:lineRule="exact" w:before="0"/>
        <w:ind w:left="0" w:right="7400" w:firstLine="0"/>
        <w:jc w:val="center"/>
        <w:rPr>
          <w:sz w:val="20"/>
        </w:rPr>
      </w:pPr>
      <w:r>
        <w:rPr/>
        <w:br w:type="column"/>
      </w:r>
      <w:r>
        <w:rPr>
          <w:w w:val="95"/>
          <w:sz w:val="19"/>
        </w:rPr>
        <w:t>ln</w:t>
      </w:r>
      <w:r>
        <w:rPr>
          <w:spacing w:val="-27"/>
          <w:w w:val="95"/>
          <w:sz w:val="19"/>
        </w:rPr>
        <w:t> </w:t>
      </w:r>
      <w:r>
        <w:rPr>
          <w:rFonts w:ascii="Arial" w:hAnsi="Arial"/>
          <w:w w:val="90"/>
          <w:position w:val="4"/>
          <w:sz w:val="19"/>
        </w:rPr>
        <w:t></w:t>
        <w:tab/>
      </w:r>
      <w:r>
        <w:rPr>
          <w:rFonts w:ascii="Symbol" w:hAnsi="Symbol"/>
          <w:spacing w:val="3"/>
          <w:w w:val="95"/>
          <w:sz w:val="19"/>
        </w:rPr>
        <w:t>+</w:t>
      </w:r>
      <w:r>
        <w:rPr>
          <w:spacing w:val="3"/>
          <w:w w:val="95"/>
          <w:sz w:val="19"/>
        </w:rPr>
        <w:t>1</w:t>
      </w:r>
      <w:r>
        <w:rPr>
          <w:rFonts w:ascii="Arial" w:hAnsi="Arial"/>
          <w:spacing w:val="3"/>
          <w:w w:val="95"/>
          <w:position w:val="4"/>
          <w:sz w:val="19"/>
        </w:rPr>
        <w:t></w:t>
      </w:r>
      <w:r>
        <w:rPr>
          <w:rFonts w:ascii="Arial" w:hAnsi="Arial"/>
          <w:spacing w:val="-12"/>
          <w:w w:val="95"/>
          <w:position w:val="4"/>
          <w:sz w:val="19"/>
        </w:rPr>
        <w:t> </w:t>
      </w:r>
      <w:r>
        <w:rPr>
          <w:w w:val="95"/>
          <w:position w:val="1"/>
          <w:sz w:val="20"/>
        </w:rPr>
        <w:t>.</w:t>
      </w:r>
    </w:p>
    <w:p>
      <w:pPr>
        <w:spacing w:line="95" w:lineRule="exact" w:before="0"/>
        <w:ind w:left="0" w:right="7573" w:firstLine="0"/>
        <w:jc w:val="center"/>
        <w:rPr>
          <w:sz w:val="13"/>
        </w:rPr>
      </w:pPr>
      <w:r>
        <w:rPr>
          <w:rFonts w:ascii="Symbol" w:hAnsi="Symbol"/>
          <w:position w:val="-8"/>
          <w:sz w:val="20"/>
        </w:rPr>
        <w:t>µ </w:t>
      </w:r>
      <w:r>
        <w:rPr>
          <w:sz w:val="13"/>
        </w:rPr>
        <w:t>2</w:t>
      </w:r>
    </w:p>
    <w:p>
      <w:pPr>
        <w:spacing w:after="0" w:line="95" w:lineRule="exact"/>
        <w:jc w:val="center"/>
        <w:rPr>
          <w:sz w:val="13"/>
        </w:rPr>
        <w:sectPr>
          <w:type w:val="continuous"/>
          <w:pgSz w:w="11900" w:h="16840"/>
          <w:pgMar w:top="1060" w:bottom="280" w:left="1260" w:right="1240"/>
          <w:cols w:num="2" w:equalWidth="0">
            <w:col w:w="586" w:space="62"/>
            <w:col w:w="8752"/>
          </w:cols>
        </w:sectPr>
      </w:pPr>
    </w:p>
    <w:p>
      <w:pPr>
        <w:tabs>
          <w:tab w:pos="1639" w:val="left" w:leader="none"/>
        </w:tabs>
        <w:spacing w:line="13" w:lineRule="exact" w:before="0"/>
        <w:ind w:left="1011" w:right="0" w:firstLine="0"/>
        <w:jc w:val="left"/>
        <w:rPr>
          <w:rFonts w:ascii="Arial" w:hAnsi="Arial"/>
          <w:sz w:val="19"/>
        </w:rPr>
      </w:pPr>
      <w:r>
        <w:rPr>
          <w:rFonts w:ascii="Arial" w:hAnsi="Arial"/>
          <w:w w:val="60"/>
          <w:sz w:val="19"/>
        </w:rPr>
        <w:t></w:t>
        <w:tab/>
        <w:t></w:t>
      </w:r>
    </w:p>
    <w:p>
      <w:pPr>
        <w:tabs>
          <w:tab w:pos="1639" w:val="left" w:leader="none"/>
        </w:tabs>
        <w:spacing w:line="158" w:lineRule="exact" w:before="0"/>
        <w:ind w:left="1011" w:right="0" w:firstLine="0"/>
        <w:jc w:val="left"/>
        <w:rPr>
          <w:rFonts w:ascii="Arial" w:hAnsi="Arial"/>
          <w:sz w:val="19"/>
        </w:rPr>
      </w:pPr>
      <w:r>
        <w:rPr>
          <w:rFonts w:ascii="Arial" w:hAnsi="Arial"/>
          <w:w w:val="60"/>
          <w:sz w:val="19"/>
        </w:rPr>
        <w:t></w:t>
        <w:tab/>
        <w:t></w:t>
      </w:r>
    </w:p>
    <w:p>
      <w:pPr>
        <w:pStyle w:val="BodyText"/>
        <w:rPr>
          <w:rFonts w:ascii="Arial"/>
        </w:rPr>
      </w:pPr>
    </w:p>
    <w:p>
      <w:pPr>
        <w:pStyle w:val="BodyText"/>
        <w:spacing w:before="8"/>
        <w:rPr>
          <w:rFonts w:ascii="Arial"/>
          <w:sz w:val="15"/>
        </w:rPr>
      </w:pPr>
    </w:p>
    <w:p>
      <w:pPr>
        <w:pStyle w:val="Heading6"/>
        <w:spacing w:before="91"/>
      </w:pPr>
      <w:r>
        <w:rPr/>
        <w:t>LOW ACTIVITY CLAY ( LAC) SOILS</w:t>
      </w:r>
    </w:p>
    <w:p>
      <w:pPr>
        <w:pStyle w:val="BodyText"/>
        <w:spacing w:before="114"/>
        <w:ind w:left="159"/>
      </w:pPr>
      <w:r>
        <w:rPr/>
        <w:t>Soils with low activity clay (LAC) minerals are highly weathered soils dominated by 1:1 clay mineral and amorphous iron and aluminium oxides (in FAO classification included: Acrisols, Nitosols, Ferrasols).</w:t>
      </w:r>
    </w:p>
    <w:p>
      <w:pPr>
        <w:spacing w:after="0"/>
        <w:sectPr>
          <w:type w:val="continuous"/>
          <w:pgSz w:w="11900" w:h="16840"/>
          <w:pgMar w:top="1060" w:bottom="280" w:left="1260" w:right="1240"/>
        </w:sectPr>
      </w:pPr>
    </w:p>
    <w:p>
      <w:pPr>
        <w:pStyle w:val="BodyText"/>
      </w:pPr>
    </w:p>
    <w:p>
      <w:pPr>
        <w:pStyle w:val="Heading6"/>
        <w:spacing w:before="214"/>
      </w:pPr>
      <w:r>
        <w:rPr/>
        <w:t>MANAGED FOREST</w:t>
      </w:r>
    </w:p>
    <w:p>
      <w:pPr>
        <w:pStyle w:val="BodyText"/>
        <w:spacing w:before="117"/>
        <w:ind w:left="159" w:right="165"/>
        <w:jc w:val="both"/>
      </w:pPr>
      <w:r>
        <w:rPr/>
        <w:t>All forests subject to some kind of human interactions (notably commercial management, harvest of industrial round-wood (logs) and fuelwood, production and use of wood commodities, and forest managed for amenity value or environmental protection if specified by the country), with defined geographical boundaries.</w:t>
      </w:r>
    </w:p>
    <w:p>
      <w:pPr>
        <w:pStyle w:val="BodyText"/>
        <w:rPr>
          <w:sz w:val="22"/>
        </w:rPr>
      </w:pPr>
    </w:p>
    <w:p>
      <w:pPr>
        <w:pStyle w:val="BodyText"/>
        <w:spacing w:before="7"/>
        <w:rPr>
          <w:sz w:val="29"/>
        </w:rPr>
      </w:pPr>
    </w:p>
    <w:p>
      <w:pPr>
        <w:pStyle w:val="Heading6"/>
        <w:spacing w:before="1"/>
      </w:pPr>
      <w:r>
        <w:rPr/>
        <w:t>MANAGED GRASSLAND</w:t>
      </w:r>
    </w:p>
    <w:p>
      <w:pPr>
        <w:pStyle w:val="BodyText"/>
        <w:spacing w:before="113"/>
        <w:ind w:left="159"/>
      </w:pPr>
      <w:r>
        <w:rPr/>
        <w:t>Grasslands on which human-induced activities are carried out, such as grazing or hay removal.</w:t>
      </w:r>
    </w:p>
    <w:p>
      <w:pPr>
        <w:pStyle w:val="BodyText"/>
        <w:rPr>
          <w:sz w:val="22"/>
        </w:rPr>
      </w:pPr>
    </w:p>
    <w:p>
      <w:pPr>
        <w:pStyle w:val="BodyText"/>
        <w:spacing w:before="10"/>
        <w:rPr>
          <w:sz w:val="29"/>
        </w:rPr>
      </w:pPr>
    </w:p>
    <w:p>
      <w:pPr>
        <w:pStyle w:val="Heading6"/>
      </w:pPr>
      <w:r>
        <w:rPr/>
        <w:t>MEAN</w:t>
      </w:r>
    </w:p>
    <w:p>
      <w:pPr>
        <w:pStyle w:val="BodyText"/>
        <w:spacing w:before="114"/>
        <w:ind w:left="159" w:right="166"/>
        <w:jc w:val="both"/>
      </w:pPr>
      <w:r>
        <w:rPr>
          <w:b/>
        </w:rPr>
        <w:t>Statistical definition: </w:t>
      </w:r>
      <w:r>
        <w:rPr/>
        <w:t>The mean, population mean, expectation or expected value is, broadly speaking, a measure of a central value around which values sampled from a probability distribution tend to lie. The sample mean or arithmetic average is an estimator for the mean. It is an unbiased and consistent estimator of the population mean (expected value) and is itself a random variable with its own variance value. The sample mean is the sum of values divided by the number of</w:t>
      </w:r>
      <w:r>
        <w:rPr>
          <w:spacing w:val="1"/>
        </w:rPr>
        <w:t> </w:t>
      </w:r>
      <w:r>
        <w:rPr/>
        <w:t>values:</w:t>
      </w:r>
    </w:p>
    <w:p>
      <w:pPr>
        <w:spacing w:after="0"/>
        <w:jc w:val="both"/>
        <w:sectPr>
          <w:pgSz w:w="11900" w:h="16840"/>
          <w:pgMar w:header="230" w:footer="408" w:top="560" w:bottom="600" w:left="1260" w:right="1240"/>
        </w:sectPr>
      </w:pPr>
    </w:p>
    <w:p>
      <w:pPr>
        <w:spacing w:line="309" w:lineRule="exact" w:before="148"/>
        <w:ind w:left="204" w:right="0" w:firstLine="0"/>
        <w:jc w:val="left"/>
        <w:rPr>
          <w:i/>
          <w:sz w:val="20"/>
        </w:rPr>
      </w:pPr>
      <w:r>
        <w:rPr/>
        <w:pict>
          <v:line style="position:absolute;mso-position-horizontal-relative:page;mso-position-vertical-relative:paragraph;z-index:-2422408" from="73.000999pt,13.636235pt" to="77.440999pt,13.636235pt" stroked="true" strokeweight=".495pt" strokecolor="#000000">
            <v:stroke dashstyle="solid"/>
            <w10:wrap type="none"/>
          </v:line>
        </w:pict>
      </w:r>
      <w:r>
        <w:rPr/>
        <w:pict>
          <v:line style="position:absolute;mso-position-horizontal-relative:page;mso-position-vertical-relative:paragraph;z-index:-2422384" from="91.481003pt,20.836235pt" to="97.961003pt,20.836235pt" stroked="true" strokeweight=".495pt" strokecolor="#000000">
            <v:stroke dashstyle="solid"/>
            <w10:wrap type="none"/>
          </v:line>
        </w:pict>
      </w:r>
      <w:r>
        <w:rPr/>
        <w:pict>
          <v:shape style="position:absolute;margin-left:100.120598pt;margin-top:15.129118pt;width:7.1pt;height:10pt;mso-position-horizontal-relative:page;mso-position-vertical-relative:paragraph;z-index:-2422360" type="#_x0000_t202" filled="false" stroked="false">
            <v:textbox inset="0,0,0,0">
              <w:txbxContent>
                <w:p>
                  <w:pPr>
                    <w:pStyle w:val="BodyText"/>
                    <w:spacing w:line="200" w:lineRule="exact"/>
                    <w:rPr>
                      <w:rFonts w:ascii="Arial" w:hAnsi="Arial"/>
                    </w:rPr>
                  </w:pPr>
                  <w:r>
                    <w:rPr>
                      <w:rFonts w:ascii="Arial" w:hAnsi="Arial"/>
                      <w:w w:val="99"/>
                    </w:rPr>
                    <w:t>∑</w:t>
                  </w:r>
                </w:p>
              </w:txbxContent>
            </v:textbox>
            <w10:wrap type="none"/>
          </v:shape>
        </w:pict>
      </w:r>
      <w:r>
        <w:rPr>
          <w:i/>
          <w:sz w:val="20"/>
        </w:rPr>
        <w:t>x  </w:t>
      </w:r>
      <w:r>
        <w:rPr>
          <w:rFonts w:ascii="Symbol"/>
          <w:sz w:val="20"/>
        </w:rPr>
        <w:t>=  </w:t>
      </w:r>
      <w:r>
        <w:rPr>
          <w:position w:val="13"/>
          <w:sz w:val="20"/>
        </w:rPr>
        <w:t>1  </w:t>
      </w:r>
      <w:r>
        <w:rPr>
          <w:i/>
          <w:position w:val="17"/>
          <w:sz w:val="14"/>
        </w:rPr>
        <w:t>n</w:t>
      </w:r>
      <w:r>
        <w:rPr>
          <w:i/>
          <w:spacing w:val="20"/>
          <w:position w:val="17"/>
          <w:sz w:val="14"/>
        </w:rPr>
        <w:t> </w:t>
      </w:r>
      <w:r>
        <w:rPr>
          <w:i/>
          <w:sz w:val="20"/>
        </w:rPr>
        <w:t>x</w:t>
      </w:r>
    </w:p>
    <w:p>
      <w:pPr>
        <w:spacing w:line="213" w:lineRule="exact" w:before="0"/>
        <w:ind w:left="586" w:right="0" w:firstLine="0"/>
        <w:jc w:val="left"/>
        <w:rPr>
          <w:i/>
          <w:sz w:val="14"/>
        </w:rPr>
      </w:pPr>
      <w:r>
        <w:rPr>
          <w:i/>
          <w:position w:val="2"/>
          <w:sz w:val="20"/>
        </w:rPr>
        <w:t>n  </w:t>
      </w:r>
      <w:r>
        <w:rPr>
          <w:i/>
          <w:sz w:val="14"/>
        </w:rPr>
        <w:t>i    </w:t>
      </w:r>
      <w:r>
        <w:rPr>
          <w:i/>
          <w:spacing w:val="27"/>
          <w:sz w:val="14"/>
        </w:rPr>
        <w:t> </w:t>
      </w:r>
      <w:r>
        <w:rPr>
          <w:i/>
          <w:spacing w:val="-19"/>
          <w:position w:val="12"/>
          <w:sz w:val="14"/>
        </w:rPr>
        <w:t>i</w:t>
      </w:r>
    </w:p>
    <w:p>
      <w:pPr>
        <w:pStyle w:val="BodyText"/>
        <w:spacing w:before="2"/>
        <w:rPr>
          <w:i/>
          <w:sz w:val="24"/>
        </w:rPr>
      </w:pPr>
      <w:r>
        <w:rPr/>
        <w:br w:type="column"/>
      </w:r>
      <w:r>
        <w:rPr>
          <w:i/>
          <w:sz w:val="24"/>
        </w:rPr>
      </w:r>
    </w:p>
    <w:p>
      <w:pPr>
        <w:spacing w:before="0"/>
        <w:ind w:left="81" w:right="0" w:firstLine="0"/>
        <w:jc w:val="left"/>
        <w:rPr>
          <w:i/>
          <w:sz w:val="20"/>
        </w:rPr>
      </w:pPr>
      <w:r>
        <w:rPr>
          <w:w w:val="99"/>
          <w:sz w:val="20"/>
        </w:rPr>
        <w:t>(</w:t>
      </w:r>
      <w:r>
        <w:rPr>
          <w:i/>
          <w:w w:val="99"/>
          <w:sz w:val="20"/>
        </w:rPr>
        <w:t>x</w:t>
      </w:r>
      <w:r>
        <w:rPr>
          <w:i/>
          <w:w w:val="103"/>
          <w:sz w:val="20"/>
          <w:vertAlign w:val="subscript"/>
        </w:rPr>
        <w:t>i,</w:t>
      </w:r>
    </w:p>
    <w:p>
      <w:pPr>
        <w:pStyle w:val="BodyText"/>
        <w:spacing w:before="2"/>
        <w:rPr>
          <w:i/>
          <w:sz w:val="24"/>
        </w:rPr>
      </w:pPr>
      <w:r>
        <w:rPr/>
        <w:br w:type="column"/>
      </w:r>
      <w:r>
        <w:rPr>
          <w:i/>
          <w:sz w:val="24"/>
        </w:rPr>
      </w:r>
    </w:p>
    <w:p>
      <w:pPr>
        <w:pStyle w:val="BodyText"/>
        <w:ind w:left="11"/>
      </w:pPr>
      <w:r>
        <w:rPr/>
        <w:t>where </w:t>
      </w:r>
      <w:r>
        <w:rPr>
          <w:i/>
        </w:rPr>
        <w:t>i </w:t>
      </w:r>
      <w:r>
        <w:rPr/>
        <w:t>= 1,…., </w:t>
      </w:r>
      <w:r>
        <w:rPr>
          <w:i/>
        </w:rPr>
        <w:t>n </w:t>
      </w:r>
      <w:r>
        <w:rPr/>
        <w:t>are items of a sample).</w:t>
      </w:r>
    </w:p>
    <w:p>
      <w:pPr>
        <w:spacing w:after="0"/>
        <w:sectPr>
          <w:type w:val="continuous"/>
          <w:pgSz w:w="11900" w:h="16840"/>
          <w:pgMar w:top="1060" w:bottom="280" w:left="1260" w:right="1240"/>
          <w:cols w:num="3" w:equalWidth="0">
            <w:col w:w="1067" w:space="40"/>
            <w:col w:w="307" w:space="39"/>
            <w:col w:w="7947"/>
          </w:cols>
        </w:sectPr>
      </w:pPr>
    </w:p>
    <w:p>
      <w:pPr>
        <w:pStyle w:val="BodyText"/>
      </w:pPr>
    </w:p>
    <w:p>
      <w:pPr>
        <w:pStyle w:val="BodyText"/>
        <w:spacing w:before="1"/>
        <w:rPr>
          <w:sz w:val="22"/>
        </w:rPr>
      </w:pPr>
    </w:p>
    <w:p>
      <w:pPr>
        <w:pStyle w:val="Heading6"/>
      </w:pPr>
      <w:r>
        <w:rPr/>
        <w:t>MEDIAN </w:t>
      </w:r>
    </w:p>
    <w:p>
      <w:pPr>
        <w:pStyle w:val="BodyText"/>
        <w:spacing w:before="114"/>
        <w:ind w:left="159" w:right="165"/>
        <w:jc w:val="both"/>
      </w:pPr>
      <w:r>
        <w:rPr>
          <w:b/>
        </w:rPr>
        <w:t>Statistical definition: </w:t>
      </w:r>
      <w:r>
        <w:rPr/>
        <w:t>The median or population median is a value which divides the integral of a probability density function (PDF) into two halves. For symmetric PDFs, it equals the mean. The median is the 50th population percentile.</w:t>
      </w:r>
    </w:p>
    <w:p>
      <w:pPr>
        <w:pStyle w:val="BodyText"/>
        <w:spacing w:before="121"/>
        <w:ind w:left="159" w:right="166"/>
        <w:jc w:val="both"/>
      </w:pPr>
      <w:r>
        <w:rPr/>
        <w:t>The sample median is an estimator of the population median. It is the value that divides an ordered sample into two equal halves. If there are 2</w:t>
      </w:r>
      <w:r>
        <w:rPr>
          <w:i/>
        </w:rPr>
        <w:t>n </w:t>
      </w:r>
      <w:r>
        <w:rPr/>
        <w:t>+ 1 observations, the median is taken as the (</w:t>
      </w:r>
      <w:r>
        <w:rPr>
          <w:i/>
        </w:rPr>
        <w:t>n </w:t>
      </w:r>
      <w:r>
        <w:rPr/>
        <w:t>+ 1)</w:t>
      </w:r>
      <w:r>
        <w:rPr>
          <w:vertAlign w:val="superscript"/>
        </w:rPr>
        <w:t>th</w:t>
      </w:r>
      <w:r>
        <w:rPr>
          <w:vertAlign w:val="baseline"/>
        </w:rPr>
        <w:t> member of the ordered sample. If there are 2</w:t>
      </w:r>
      <w:r>
        <w:rPr>
          <w:i/>
          <w:vertAlign w:val="baseline"/>
        </w:rPr>
        <w:t>n</w:t>
      </w:r>
      <w:r>
        <w:rPr>
          <w:vertAlign w:val="baseline"/>
        </w:rPr>
        <w:t>, it is taken as being halfway between the </w:t>
      </w:r>
      <w:r>
        <w:rPr>
          <w:i/>
          <w:vertAlign w:val="baseline"/>
        </w:rPr>
        <w:t>n</w:t>
      </w:r>
      <w:r>
        <w:rPr>
          <w:vertAlign w:val="superscript"/>
        </w:rPr>
        <w:t>th</w:t>
      </w:r>
      <w:r>
        <w:rPr>
          <w:vertAlign w:val="baseline"/>
        </w:rPr>
        <w:t> and (</w:t>
      </w:r>
      <w:r>
        <w:rPr>
          <w:i/>
          <w:vertAlign w:val="baseline"/>
        </w:rPr>
        <w:t>n </w:t>
      </w:r>
      <w:r>
        <w:rPr>
          <w:vertAlign w:val="baseline"/>
        </w:rPr>
        <w:t>+ 1)</w:t>
      </w:r>
      <w:r>
        <w:rPr>
          <w:vertAlign w:val="superscript"/>
        </w:rPr>
        <w:t>th</w:t>
      </w:r>
      <w:r>
        <w:rPr>
          <w:vertAlign w:val="baseline"/>
        </w:rPr>
        <w:t> .</w:t>
      </w:r>
    </w:p>
    <w:p>
      <w:pPr>
        <w:pStyle w:val="BodyText"/>
        <w:rPr>
          <w:sz w:val="24"/>
        </w:rPr>
      </w:pPr>
    </w:p>
    <w:p>
      <w:pPr>
        <w:pStyle w:val="BodyText"/>
        <w:spacing w:before="8"/>
        <w:rPr>
          <w:sz w:val="27"/>
        </w:rPr>
      </w:pPr>
    </w:p>
    <w:p>
      <w:pPr>
        <w:pStyle w:val="Heading6"/>
      </w:pPr>
      <w:r>
        <w:rPr/>
        <w:t>METADATA</w:t>
      </w:r>
    </w:p>
    <w:p>
      <w:pPr>
        <w:pStyle w:val="BodyText"/>
        <w:spacing w:before="114"/>
        <w:ind w:left="159" w:right="164"/>
        <w:jc w:val="both"/>
      </w:pPr>
      <w:r>
        <w:rPr/>
        <w:t>Information about data; i.e., the description of which parameters and variables are stored in a database: their location, time of recording, accessibility, representativeness, owner, etc</w:t>
      </w:r>
      <w:r>
        <w:rPr>
          <w:color w:val="676767"/>
        </w:rPr>
        <w:t>.</w:t>
      </w:r>
    </w:p>
    <w:p>
      <w:pPr>
        <w:pStyle w:val="BodyText"/>
        <w:rPr>
          <w:sz w:val="22"/>
        </w:rPr>
      </w:pPr>
    </w:p>
    <w:p>
      <w:pPr>
        <w:pStyle w:val="BodyText"/>
        <w:spacing w:before="8"/>
        <w:rPr>
          <w:sz w:val="29"/>
        </w:rPr>
      </w:pPr>
    </w:p>
    <w:p>
      <w:pPr>
        <w:pStyle w:val="Heading6"/>
      </w:pPr>
      <w:r>
        <w:rPr/>
        <w:t>MODEL</w:t>
      </w:r>
    </w:p>
    <w:p>
      <w:pPr>
        <w:pStyle w:val="BodyText"/>
        <w:spacing w:before="116"/>
        <w:ind w:left="159" w:right="165"/>
        <w:jc w:val="both"/>
      </w:pPr>
      <w:r>
        <w:rPr>
          <w:b/>
        </w:rPr>
        <w:t>Statistical definition: </w:t>
      </w:r>
      <w:r>
        <w:rPr/>
        <w:t>A model is a quantitatively-based abstraction of a real-world situation which  may simplify or neglect certain features to better focus on its more important</w:t>
      </w:r>
      <w:r>
        <w:rPr>
          <w:spacing w:val="-4"/>
        </w:rPr>
        <w:t> </w:t>
      </w:r>
      <w:r>
        <w:rPr/>
        <w:t>elements.</w:t>
      </w:r>
    </w:p>
    <w:p>
      <w:pPr>
        <w:pStyle w:val="BodyText"/>
        <w:spacing w:before="118"/>
        <w:ind w:left="159" w:right="165"/>
        <w:jc w:val="both"/>
      </w:pPr>
      <w:r>
        <w:rPr/>
        <w:t>Example: the relationship that emissions equal an emission factor times an activity level is a simple model. The term ‘model’ is also often used in the sense of a computer software realisation of a model abstraction.</w:t>
      </w:r>
    </w:p>
    <w:p>
      <w:pPr>
        <w:pStyle w:val="BodyText"/>
        <w:rPr>
          <w:sz w:val="22"/>
        </w:rPr>
      </w:pPr>
    </w:p>
    <w:p>
      <w:pPr>
        <w:pStyle w:val="BodyText"/>
        <w:spacing w:before="8"/>
        <w:rPr>
          <w:sz w:val="29"/>
        </w:rPr>
      </w:pPr>
    </w:p>
    <w:p>
      <w:pPr>
        <w:pStyle w:val="Heading6"/>
      </w:pPr>
      <w:r>
        <w:rPr/>
        <w:t>MOIST ( FOREST)</w:t>
      </w:r>
    </w:p>
    <w:p>
      <w:pPr>
        <w:pStyle w:val="BodyText"/>
        <w:spacing w:before="116"/>
        <w:ind w:left="159" w:right="163"/>
        <w:jc w:val="both"/>
      </w:pPr>
      <w:r>
        <w:rPr/>
        <w:t>Moisture regimes for boreal and temperate zones are defined by the ratio of mean annual precipitation (MAP) and potential evapotranspiration (PET): Dry (MAP/PET &lt; 1) and Wet (MAP/PET &gt; 1); and for tropical zones by precipitation alone: Dry (MAP &lt; 1,000 mm), Moist (MAP: 1,000-2,000 </w:t>
      </w:r>
      <w:r>
        <w:rPr>
          <w:spacing w:val="-3"/>
        </w:rPr>
        <w:t>mm) </w:t>
      </w:r>
      <w:r>
        <w:rPr/>
        <w:t>and Wet (MAP &gt; 2,000</w:t>
      </w:r>
      <w:r>
        <w:rPr>
          <w:spacing w:val="-16"/>
        </w:rPr>
        <w:t> </w:t>
      </w:r>
      <w:r>
        <w:rPr/>
        <w:t>mm).</w:t>
      </w:r>
    </w:p>
    <w:p>
      <w:pPr>
        <w:pStyle w:val="BodyText"/>
        <w:rPr>
          <w:sz w:val="22"/>
        </w:rPr>
      </w:pPr>
    </w:p>
    <w:p>
      <w:pPr>
        <w:pStyle w:val="BodyText"/>
        <w:spacing w:before="8"/>
        <w:rPr>
          <w:sz w:val="29"/>
        </w:rPr>
      </w:pPr>
    </w:p>
    <w:p>
      <w:pPr>
        <w:pStyle w:val="Heading6"/>
      </w:pPr>
      <w:r>
        <w:rPr/>
        <w:t>MONTE CARLO METHOD</w:t>
      </w:r>
    </w:p>
    <w:p>
      <w:pPr>
        <w:pStyle w:val="BodyText"/>
        <w:spacing w:before="114"/>
        <w:ind w:left="159" w:right="165"/>
        <w:jc w:val="both"/>
      </w:pPr>
      <w:r>
        <w:rPr>
          <w:b/>
        </w:rPr>
        <w:t>Inventory definition: </w:t>
      </w:r>
      <w:r>
        <w:rPr/>
        <w:t>The principle of Monte Carlo analysis is to perform the inventory calculation many times by electronic computer, each time with the uncertain emission factors or model parameters and activity data chosen randomly (by the computer) within the distribution on uncertainties specified initially by the user. Uncertainties in emission factors and/or activity data are often large and may not have normal distributions. In</w:t>
      </w:r>
    </w:p>
    <w:p>
      <w:pPr>
        <w:spacing w:after="0"/>
        <w:jc w:val="both"/>
        <w:sectPr>
          <w:type w:val="continuous"/>
          <w:pgSz w:w="11900" w:h="16840"/>
          <w:pgMar w:top="1060" w:bottom="280" w:left="1260" w:right="1240"/>
        </w:sectPr>
      </w:pPr>
    </w:p>
    <w:p>
      <w:pPr>
        <w:pStyle w:val="BodyText"/>
      </w:pPr>
    </w:p>
    <w:p>
      <w:pPr>
        <w:pStyle w:val="BodyText"/>
        <w:spacing w:before="2"/>
        <w:rPr>
          <w:sz w:val="18"/>
        </w:rPr>
      </w:pPr>
    </w:p>
    <w:p>
      <w:pPr>
        <w:pStyle w:val="BodyText"/>
        <w:ind w:left="159" w:right="164"/>
        <w:jc w:val="both"/>
      </w:pPr>
      <w:r>
        <w:rPr/>
        <w:t>this case the conventional statistical rules for combining uncertainties become very approximate. Monte Carlo analysis can deal with this situation by generating an uncertainty distribution for the inventory estimate that is consistent with the input uncertainty distributions on the emission factors, model parameters and activity data.</w:t>
      </w:r>
    </w:p>
    <w:p>
      <w:pPr>
        <w:pStyle w:val="BodyText"/>
        <w:rPr>
          <w:sz w:val="22"/>
        </w:rPr>
      </w:pPr>
    </w:p>
    <w:p>
      <w:pPr>
        <w:pStyle w:val="BodyText"/>
        <w:spacing w:before="8"/>
        <w:rPr>
          <w:sz w:val="29"/>
        </w:rPr>
      </w:pPr>
    </w:p>
    <w:p>
      <w:pPr>
        <w:pStyle w:val="Heading6"/>
      </w:pPr>
      <w:r>
        <w:rPr/>
        <w:t>NET ANNUAL INCREMENT</w:t>
      </w:r>
    </w:p>
    <w:p>
      <w:pPr>
        <w:pStyle w:val="BodyText"/>
        <w:spacing w:before="116"/>
        <w:ind w:left="159" w:right="312"/>
      </w:pPr>
      <w:r>
        <w:rPr/>
        <w:t>Average annual volume over the given reference period of gross increment minus natural mortality, of all trees  to a specified minimum diameter at breast</w:t>
      </w:r>
      <w:r>
        <w:rPr>
          <w:spacing w:val="-1"/>
        </w:rPr>
        <w:t> </w:t>
      </w:r>
      <w:r>
        <w:rPr/>
        <w:t>height.</w:t>
      </w:r>
    </w:p>
    <w:p>
      <w:pPr>
        <w:pStyle w:val="BodyText"/>
        <w:rPr>
          <w:sz w:val="22"/>
        </w:rPr>
      </w:pPr>
    </w:p>
    <w:p>
      <w:pPr>
        <w:pStyle w:val="BodyText"/>
        <w:spacing w:before="8"/>
        <w:rPr>
          <w:sz w:val="29"/>
        </w:rPr>
      </w:pPr>
    </w:p>
    <w:p>
      <w:pPr>
        <w:pStyle w:val="Heading6"/>
      </w:pPr>
      <w:r>
        <w:rPr/>
        <w:t>NET- NET ACCOUNTING</w:t>
      </w:r>
    </w:p>
    <w:p>
      <w:pPr>
        <w:pStyle w:val="BodyText"/>
        <w:spacing w:before="116"/>
        <w:ind w:left="159"/>
      </w:pPr>
      <w:r>
        <w:rPr/>
        <w:t>The carbon sink or source in the reporting year minus the carbon sink or source in the base year. This is the accounting method for grazing land management, cropland management and revegetation under Article 3.4.</w:t>
      </w:r>
    </w:p>
    <w:p>
      <w:pPr>
        <w:pStyle w:val="BodyText"/>
        <w:rPr>
          <w:sz w:val="22"/>
        </w:rPr>
      </w:pPr>
    </w:p>
    <w:p>
      <w:pPr>
        <w:pStyle w:val="BodyText"/>
        <w:spacing w:before="8"/>
        <w:rPr>
          <w:sz w:val="29"/>
        </w:rPr>
      </w:pPr>
    </w:p>
    <w:p>
      <w:pPr>
        <w:pStyle w:val="Heading6"/>
      </w:pPr>
      <w:r>
        <w:rPr/>
        <w:t>NORMAL DISTRIBUTION</w:t>
      </w:r>
    </w:p>
    <w:p>
      <w:pPr>
        <w:pStyle w:val="BodyText"/>
        <w:spacing w:line="256" w:lineRule="auto" w:before="114"/>
        <w:ind w:left="159"/>
      </w:pPr>
      <w:r>
        <w:rPr>
          <w:b/>
        </w:rPr>
        <w:t>Statistical definition: </w:t>
      </w:r>
      <w:r>
        <w:rPr/>
        <w:t>The normal (or Gaussian) distribution has the PDF given in the following equation and is defined by two parameters (the mean </w:t>
      </w:r>
      <w:r>
        <w:rPr>
          <w:rFonts w:ascii="Symbol" w:hAnsi="Symbol"/>
          <w:sz w:val="21"/>
        </w:rPr>
        <w:t>µ </w:t>
      </w:r>
      <w:r>
        <w:rPr/>
        <w:t>and the standard </w:t>
      </w:r>
      <w:r>
        <w:rPr>
          <w:rFonts w:ascii="Symbol" w:hAnsi="Symbol"/>
          <w:sz w:val="21"/>
        </w:rPr>
        <w:t>σ </w:t>
      </w:r>
      <w:r>
        <w:rPr/>
        <w:t>deviation) .</w:t>
      </w:r>
    </w:p>
    <w:p>
      <w:pPr>
        <w:spacing w:line="45" w:lineRule="auto" w:before="169"/>
        <w:ind w:left="1203" w:right="0" w:firstLine="0"/>
        <w:jc w:val="left"/>
        <w:rPr>
          <w:sz w:val="13"/>
        </w:rPr>
      </w:pPr>
      <w:r>
        <w:rPr/>
        <w:pict>
          <v:line style="position:absolute;mso-position-horizontal-relative:page;mso-position-vertical-relative:paragraph;z-index:31784;mso-wrap-distance-left:0;mso-wrap-distance-right:0" from="128.199768pt,16.01981pt" to="147.759437pt,16.01981pt" stroked="true" strokeweight=".236672pt" strokecolor="#000000">
            <v:stroke dashstyle="solid"/>
            <w10:wrap type="topAndBottom"/>
          </v:line>
        </w:pict>
      </w:r>
      <w:r>
        <w:rPr/>
        <w:pict>
          <v:group style="position:absolute;margin-left:95.679955pt;margin-top:26.583637pt;width:21.75pt;height:14.45pt;mso-position-horizontal-relative:page;mso-position-vertical-relative:paragraph;z-index:-2422288" coordorigin="1914,532" coordsize="435,289">
            <v:line style="position:absolute" from="2046,719" to="2065,704" stroked="true" strokeweight=".44254pt" strokecolor="#000000">
              <v:stroke dashstyle="solid"/>
            </v:line>
            <v:line style="position:absolute" from="2065,709" to="2091,774" stroked="true" strokeweight=".802908pt" strokecolor="#000000">
              <v:stroke dashstyle="solid"/>
            </v:line>
            <v:shape style="position:absolute;left:2106;top:19940;width:479;height:216" coordorigin="2107,19940" coordsize="479,216" path="m2096,774l2134,575,2334,575m1914,536l2348,536e" filled="false" stroked="true" strokeweight=".430973pt" strokecolor="#000000">
              <v:path arrowok="t"/>
              <v:stroke dashstyle="solid"/>
            </v:shape>
            <v:shape style="position:absolute;left:1913;top:531;width:435;height:289" type="#_x0000_t202" filled="false" stroked="false">
              <v:textbox inset="0,0,0,0">
                <w:txbxContent>
                  <w:p>
                    <w:pPr>
                      <w:spacing w:line="236" w:lineRule="exact" w:before="52"/>
                      <w:ind w:left="2" w:right="0" w:firstLine="0"/>
                      <w:jc w:val="left"/>
                      <w:rPr>
                        <w:rFonts w:ascii="Symbol" w:hAnsi="Symbol"/>
                        <w:sz w:val="20"/>
                      </w:rPr>
                    </w:pPr>
                    <w:r>
                      <w:rPr>
                        <w:rFonts w:ascii="Symbol" w:hAnsi="Symbol"/>
                        <w:sz w:val="20"/>
                      </w:rPr>
                      <w:t>σ </w:t>
                    </w:r>
                    <w:r>
                      <w:rPr>
                        <w:sz w:val="19"/>
                      </w:rPr>
                      <w:t>2</w:t>
                    </w:r>
                    <w:r>
                      <w:rPr>
                        <w:rFonts w:ascii="Symbol" w:hAnsi="Symbol"/>
                        <w:sz w:val="20"/>
                      </w:rPr>
                      <w:t>π</w:t>
                    </w:r>
                  </w:p>
                </w:txbxContent>
              </v:textbox>
              <w10:wrap type="none"/>
            </v:shape>
            <w10:wrap type="none"/>
          </v:group>
        </w:pict>
      </w:r>
      <w:r>
        <w:rPr>
          <w:rFonts w:ascii="Symbol" w:hAnsi="Symbol"/>
          <w:position w:val="-8"/>
          <w:sz w:val="13"/>
        </w:rPr>
        <w:t>− </w:t>
      </w:r>
      <w:r>
        <w:rPr>
          <w:sz w:val="13"/>
        </w:rPr>
        <w:t>(</w:t>
      </w:r>
      <w:r>
        <w:rPr>
          <w:i/>
          <w:sz w:val="13"/>
        </w:rPr>
        <w:t>x </w:t>
      </w:r>
      <w:r>
        <w:rPr>
          <w:rFonts w:ascii="Symbol" w:hAnsi="Symbol"/>
          <w:sz w:val="13"/>
        </w:rPr>
        <w:t>−</w:t>
      </w:r>
      <w:r>
        <w:rPr>
          <w:rFonts w:ascii="Symbol" w:hAnsi="Symbol"/>
          <w:sz w:val="14"/>
        </w:rPr>
        <w:t>µ</w:t>
      </w:r>
      <w:r>
        <w:rPr>
          <w:sz w:val="13"/>
        </w:rPr>
        <w:t>)</w:t>
      </w:r>
      <w:r>
        <w:rPr>
          <w:sz w:val="13"/>
          <w:vertAlign w:val="superscript"/>
        </w:rPr>
        <w:t>2</w:t>
      </w:r>
    </w:p>
    <w:p>
      <w:pPr>
        <w:tabs>
          <w:tab w:pos="831" w:val="left" w:leader="none"/>
          <w:tab w:pos="1404" w:val="left" w:leader="none"/>
        </w:tabs>
        <w:spacing w:line="286" w:lineRule="exact" w:before="0"/>
        <w:ind w:left="219" w:right="0" w:firstLine="0"/>
        <w:jc w:val="left"/>
        <w:rPr>
          <w:i/>
          <w:sz w:val="20"/>
        </w:rPr>
      </w:pPr>
      <w:r>
        <w:rPr>
          <w:i/>
          <w:w w:val="99"/>
          <w:sz w:val="19"/>
        </w:rPr>
        <w:t>f</w:t>
      </w:r>
      <w:r>
        <w:rPr>
          <w:i/>
          <w:spacing w:val="-21"/>
          <w:sz w:val="19"/>
        </w:rPr>
        <w:t> </w:t>
      </w:r>
      <w:r>
        <w:rPr>
          <w:spacing w:val="1"/>
          <w:w w:val="99"/>
          <w:sz w:val="19"/>
        </w:rPr>
        <w:t>(</w:t>
      </w:r>
      <w:r>
        <w:rPr>
          <w:i/>
          <w:spacing w:val="-10"/>
          <w:w w:val="99"/>
          <w:sz w:val="19"/>
        </w:rPr>
        <w:t>x</w:t>
      </w:r>
      <w:r>
        <w:rPr>
          <w:w w:val="99"/>
          <w:sz w:val="19"/>
        </w:rPr>
        <w:t>)</w:t>
      </w:r>
      <w:r>
        <w:rPr>
          <w:spacing w:val="-22"/>
          <w:sz w:val="19"/>
        </w:rPr>
        <w:t> </w:t>
      </w:r>
      <w:r>
        <w:rPr>
          <w:rFonts w:ascii="Symbol" w:hAnsi="Symbol"/>
          <w:w w:val="99"/>
          <w:sz w:val="19"/>
        </w:rPr>
        <w:t>=</w:t>
      </w:r>
      <w:r>
        <w:rPr>
          <w:rFonts w:ascii="Symbol" w:hAnsi="Symbol"/>
          <w:sz w:val="19"/>
        </w:rPr>
        <w:tab/>
      </w:r>
      <w:r>
        <w:rPr>
          <w:w w:val="99"/>
          <w:position w:val="12"/>
          <w:sz w:val="19"/>
        </w:rPr>
        <w:t>1</w:t>
      </w:r>
      <w:r>
        <w:rPr>
          <w:position w:val="12"/>
          <w:sz w:val="19"/>
        </w:rPr>
        <w:t>    </w:t>
      </w:r>
      <w:r>
        <w:rPr>
          <w:i/>
          <w:w w:val="99"/>
          <w:sz w:val="19"/>
        </w:rPr>
        <w:t>e</w:t>
      </w:r>
      <w:r>
        <w:rPr>
          <w:i/>
          <w:sz w:val="19"/>
        </w:rPr>
        <w:tab/>
      </w:r>
      <w:r>
        <w:rPr>
          <w:spacing w:val="-16"/>
          <w:w w:val="94"/>
          <w:sz w:val="19"/>
          <w:vertAlign w:val="superscript"/>
        </w:rPr>
        <w:t>2</w:t>
      </w:r>
      <w:r>
        <w:rPr>
          <w:rFonts w:ascii="Symbol" w:hAnsi="Symbol"/>
          <w:spacing w:val="11"/>
          <w:w w:val="41"/>
          <w:sz w:val="19"/>
          <w:vertAlign w:val="superscript"/>
        </w:rPr>
        <w:t>σ</w:t>
      </w:r>
      <w:r>
        <w:rPr>
          <w:w w:val="105"/>
          <w:position w:val="17"/>
          <w:sz w:val="9"/>
          <w:vertAlign w:val="baseline"/>
        </w:rPr>
        <w:t>2</w:t>
      </w:r>
      <w:r>
        <w:rPr>
          <w:position w:val="17"/>
          <w:sz w:val="9"/>
          <w:vertAlign w:val="baseline"/>
        </w:rPr>
        <w:t>     </w:t>
      </w:r>
      <w:r>
        <w:rPr>
          <w:spacing w:val="-8"/>
          <w:position w:val="17"/>
          <w:sz w:val="9"/>
          <w:vertAlign w:val="baseline"/>
        </w:rPr>
        <w:t> </w:t>
      </w:r>
      <w:r>
        <w:rPr>
          <w:w w:val="99"/>
          <w:sz w:val="19"/>
          <w:vertAlign w:val="baseline"/>
        </w:rPr>
        <w:t>,</w:t>
      </w:r>
      <w:r>
        <w:rPr>
          <w:spacing w:val="10"/>
          <w:sz w:val="19"/>
          <w:vertAlign w:val="baseline"/>
        </w:rPr>
        <w:t> </w:t>
      </w:r>
      <w:r>
        <w:rPr>
          <w:w w:val="99"/>
          <w:sz w:val="19"/>
          <w:vertAlign w:val="baseline"/>
        </w:rPr>
        <w:t>for</w:t>
      </w:r>
      <w:r>
        <w:rPr>
          <w:spacing w:val="-12"/>
          <w:sz w:val="19"/>
          <w:vertAlign w:val="baseline"/>
        </w:rPr>
        <w:t> </w:t>
      </w:r>
      <w:r>
        <w:rPr>
          <w:spacing w:val="23"/>
          <w:w w:val="99"/>
          <w:sz w:val="19"/>
          <w:vertAlign w:val="baseline"/>
        </w:rPr>
        <w:t>-</w:t>
      </w:r>
      <w:r>
        <w:rPr>
          <w:rFonts w:ascii="Symbol" w:hAnsi="Symbol"/>
          <w:spacing w:val="13"/>
          <w:w w:val="99"/>
          <w:sz w:val="19"/>
          <w:vertAlign w:val="baseline"/>
        </w:rPr>
        <w:t>∞</w:t>
      </w:r>
      <w:r>
        <w:rPr>
          <w:rFonts w:ascii="Symbol" w:hAnsi="Symbol"/>
          <w:w w:val="99"/>
          <w:sz w:val="19"/>
          <w:vertAlign w:val="baseline"/>
        </w:rPr>
        <w:t>≤</w:t>
      </w:r>
      <w:r>
        <w:rPr>
          <w:rFonts w:ascii="Symbol" w:hAnsi="Symbol"/>
          <w:spacing w:val="-20"/>
          <w:sz w:val="19"/>
          <w:vertAlign w:val="baseline"/>
        </w:rPr>
        <w:t> </w:t>
      </w:r>
      <w:r>
        <w:rPr>
          <w:i/>
          <w:w w:val="99"/>
          <w:sz w:val="19"/>
          <w:vertAlign w:val="baseline"/>
        </w:rPr>
        <w:t>x</w:t>
      </w:r>
      <w:r>
        <w:rPr>
          <w:i/>
          <w:spacing w:val="-27"/>
          <w:sz w:val="19"/>
          <w:vertAlign w:val="baseline"/>
        </w:rPr>
        <w:t> </w:t>
      </w:r>
      <w:r>
        <w:rPr>
          <w:rFonts w:ascii="Symbol" w:hAnsi="Symbol"/>
          <w:spacing w:val="18"/>
          <w:w w:val="99"/>
          <w:sz w:val="19"/>
          <w:vertAlign w:val="baseline"/>
        </w:rPr>
        <w:t>≤</w:t>
      </w:r>
      <w:r>
        <w:rPr>
          <w:rFonts w:ascii="Symbol" w:hAnsi="Symbol"/>
          <w:spacing w:val="13"/>
          <w:w w:val="99"/>
          <w:sz w:val="19"/>
          <w:vertAlign w:val="baseline"/>
        </w:rPr>
        <w:t>∞</w:t>
      </w:r>
      <w:r>
        <w:rPr>
          <w:i/>
          <w:w w:val="99"/>
          <w:position w:val="1"/>
          <w:sz w:val="20"/>
          <w:vertAlign w:val="baseline"/>
        </w:rPr>
        <w:t>.</w:t>
      </w:r>
    </w:p>
    <w:p>
      <w:pPr>
        <w:pStyle w:val="BodyText"/>
        <w:rPr>
          <w:i/>
        </w:rPr>
      </w:pPr>
    </w:p>
    <w:p>
      <w:pPr>
        <w:pStyle w:val="BodyText"/>
        <w:spacing w:before="11"/>
        <w:rPr>
          <w:i/>
          <w:sz w:val="18"/>
        </w:rPr>
      </w:pPr>
    </w:p>
    <w:p>
      <w:pPr>
        <w:pStyle w:val="Heading6"/>
        <w:spacing w:before="91"/>
      </w:pPr>
      <w:r>
        <w:rPr/>
        <w:t>OPEN FORESTS</w:t>
      </w:r>
    </w:p>
    <w:p>
      <w:pPr>
        <w:pStyle w:val="BodyText"/>
        <w:spacing w:before="114"/>
        <w:ind w:left="159" w:right="166"/>
      </w:pPr>
      <w:r>
        <w:rPr/>
        <w:t>Forests characterised by crown cover between 10 and 40% (FAO), or below the canopy cover threshold as adopted by the Party.</w:t>
      </w:r>
    </w:p>
    <w:p>
      <w:pPr>
        <w:pStyle w:val="BodyText"/>
        <w:rPr>
          <w:sz w:val="22"/>
        </w:rPr>
      </w:pPr>
    </w:p>
    <w:p>
      <w:pPr>
        <w:pStyle w:val="BodyText"/>
        <w:spacing w:before="8"/>
        <w:rPr>
          <w:sz w:val="31"/>
        </w:rPr>
      </w:pPr>
    </w:p>
    <w:p>
      <w:pPr>
        <w:pStyle w:val="Heading6"/>
        <w:spacing w:before="1"/>
      </w:pPr>
      <w:r>
        <w:rPr/>
        <w:t>ORGANIC SOILS</w:t>
      </w:r>
    </w:p>
    <w:p>
      <w:pPr>
        <w:pStyle w:val="BodyText"/>
        <w:spacing w:before="113"/>
        <w:ind w:left="159"/>
      </w:pPr>
      <w:r>
        <w:rPr/>
        <w:t>Soils are organic if they satisfy the requirements 1 and 2, or 1 and 3 below (FAO, 1998):</w:t>
      </w:r>
    </w:p>
    <w:p>
      <w:pPr>
        <w:pStyle w:val="ListParagraph"/>
        <w:numPr>
          <w:ilvl w:val="0"/>
          <w:numId w:val="204"/>
        </w:numPr>
        <w:tabs>
          <w:tab w:pos="519" w:val="left" w:leader="none"/>
          <w:tab w:pos="520" w:val="left" w:leader="none"/>
        </w:tabs>
        <w:spacing w:line="240" w:lineRule="auto" w:before="121" w:after="0"/>
        <w:ind w:left="519" w:right="160" w:hanging="360"/>
        <w:jc w:val="left"/>
        <w:rPr>
          <w:sz w:val="20"/>
        </w:rPr>
      </w:pPr>
      <w:r>
        <w:rPr>
          <w:sz w:val="20"/>
        </w:rPr>
        <w:t>Thickness of 10 cm or more. A horizon less than 20 cm thick must have 12 percent or more organic carbon when mixed to a depth of 20 cm;</w:t>
      </w:r>
    </w:p>
    <w:p>
      <w:pPr>
        <w:pStyle w:val="ListParagraph"/>
        <w:numPr>
          <w:ilvl w:val="0"/>
          <w:numId w:val="204"/>
        </w:numPr>
        <w:tabs>
          <w:tab w:pos="519" w:val="left" w:leader="none"/>
          <w:tab w:pos="520" w:val="left" w:leader="none"/>
        </w:tabs>
        <w:spacing w:line="240" w:lineRule="auto" w:before="1" w:after="0"/>
        <w:ind w:left="519" w:right="163" w:hanging="360"/>
        <w:jc w:val="left"/>
        <w:rPr>
          <w:sz w:val="20"/>
        </w:rPr>
      </w:pPr>
      <w:r>
        <w:rPr>
          <w:sz w:val="20"/>
        </w:rPr>
        <w:t>If the soil is never saturated with water for more than a few days, and contains more than 20 percent (by weight) organic carbon (about 35 percent organic</w:t>
      </w:r>
      <w:r>
        <w:rPr>
          <w:spacing w:val="3"/>
          <w:sz w:val="20"/>
        </w:rPr>
        <w:t> </w:t>
      </w:r>
      <w:r>
        <w:rPr>
          <w:sz w:val="20"/>
        </w:rPr>
        <w:t>matter);</w:t>
      </w:r>
    </w:p>
    <w:p>
      <w:pPr>
        <w:pStyle w:val="ListParagraph"/>
        <w:numPr>
          <w:ilvl w:val="0"/>
          <w:numId w:val="204"/>
        </w:numPr>
        <w:tabs>
          <w:tab w:pos="519" w:val="left" w:leader="none"/>
          <w:tab w:pos="520" w:val="left" w:leader="none"/>
        </w:tabs>
        <w:spacing w:line="229" w:lineRule="exact" w:before="0" w:after="0"/>
        <w:ind w:left="519" w:right="0" w:hanging="360"/>
        <w:jc w:val="left"/>
        <w:rPr>
          <w:sz w:val="20"/>
        </w:rPr>
      </w:pPr>
      <w:r>
        <w:rPr>
          <w:sz w:val="20"/>
        </w:rPr>
        <w:t>If the soil is subject to water saturation episodes and has</w:t>
      </w:r>
      <w:r>
        <w:rPr>
          <w:spacing w:val="-8"/>
          <w:sz w:val="20"/>
        </w:rPr>
        <w:t> </w:t>
      </w:r>
      <w:r>
        <w:rPr>
          <w:sz w:val="20"/>
        </w:rPr>
        <w:t>either:</w:t>
      </w:r>
    </w:p>
    <w:p>
      <w:pPr>
        <w:pStyle w:val="ListParagraph"/>
        <w:numPr>
          <w:ilvl w:val="1"/>
          <w:numId w:val="204"/>
        </w:numPr>
        <w:tabs>
          <w:tab w:pos="1236" w:val="left" w:leader="none"/>
          <w:tab w:pos="1237" w:val="left" w:leader="none"/>
        </w:tabs>
        <w:spacing w:line="240" w:lineRule="auto" w:before="0" w:after="0"/>
        <w:ind w:left="1236" w:right="168" w:hanging="571"/>
        <w:jc w:val="left"/>
        <w:rPr>
          <w:sz w:val="20"/>
        </w:rPr>
      </w:pPr>
      <w:r>
        <w:rPr>
          <w:sz w:val="20"/>
        </w:rPr>
        <w:t>At least 12 percent (by weight) organic carbon (about 20 percent organic matter) if it has no clay; or</w:t>
      </w:r>
    </w:p>
    <w:p>
      <w:pPr>
        <w:pStyle w:val="ListParagraph"/>
        <w:numPr>
          <w:ilvl w:val="1"/>
          <w:numId w:val="204"/>
        </w:numPr>
        <w:tabs>
          <w:tab w:pos="1236" w:val="left" w:leader="none"/>
          <w:tab w:pos="1237" w:val="left" w:leader="none"/>
        </w:tabs>
        <w:spacing w:line="240" w:lineRule="auto" w:before="0" w:after="0"/>
        <w:ind w:left="1236" w:right="163" w:hanging="597"/>
        <w:jc w:val="left"/>
        <w:rPr>
          <w:sz w:val="20"/>
        </w:rPr>
      </w:pPr>
      <w:r>
        <w:rPr>
          <w:sz w:val="20"/>
        </w:rPr>
        <w:t>At least 18 percent (by weight) organic carbon (about 30 percent organic matter) if it has 60 percent or more clay;</w:t>
      </w:r>
      <w:r>
        <w:rPr>
          <w:spacing w:val="-1"/>
          <w:sz w:val="20"/>
        </w:rPr>
        <w:t> </w:t>
      </w:r>
      <w:r>
        <w:rPr>
          <w:sz w:val="20"/>
        </w:rPr>
        <w:t>or</w:t>
      </w:r>
    </w:p>
    <w:p>
      <w:pPr>
        <w:pStyle w:val="ListParagraph"/>
        <w:numPr>
          <w:ilvl w:val="1"/>
          <w:numId w:val="204"/>
        </w:numPr>
        <w:tabs>
          <w:tab w:pos="1236" w:val="left" w:leader="none"/>
          <w:tab w:pos="1237" w:val="left" w:leader="none"/>
        </w:tabs>
        <w:spacing w:line="240" w:lineRule="auto" w:before="1" w:after="0"/>
        <w:ind w:left="1236" w:right="0" w:hanging="626"/>
        <w:jc w:val="left"/>
        <w:rPr>
          <w:sz w:val="20"/>
        </w:rPr>
      </w:pPr>
      <w:r>
        <w:rPr>
          <w:sz w:val="20"/>
        </w:rPr>
        <w:t>An intermediate, proportional amount of organic carbon for intermediate amounts of</w:t>
      </w:r>
      <w:r>
        <w:rPr>
          <w:spacing w:val="-20"/>
          <w:sz w:val="20"/>
        </w:rPr>
        <w:t> </w:t>
      </w:r>
      <w:r>
        <w:rPr>
          <w:sz w:val="20"/>
        </w:rPr>
        <w:t>clay.</w:t>
      </w:r>
    </w:p>
    <w:p>
      <w:pPr>
        <w:pStyle w:val="BodyText"/>
        <w:rPr>
          <w:sz w:val="22"/>
        </w:rPr>
      </w:pPr>
    </w:p>
    <w:p>
      <w:pPr>
        <w:pStyle w:val="BodyText"/>
        <w:spacing w:before="7"/>
        <w:rPr>
          <w:sz w:val="29"/>
        </w:rPr>
      </w:pPr>
    </w:p>
    <w:p>
      <w:pPr>
        <w:pStyle w:val="Heading6"/>
      </w:pPr>
      <w:r>
        <w:rPr/>
        <w:t>OTHER LAND ( AS A LAND- USE CATEGORY)</w:t>
      </w:r>
    </w:p>
    <w:p>
      <w:pPr>
        <w:pStyle w:val="BodyText"/>
        <w:spacing w:before="116"/>
        <w:ind w:left="159"/>
      </w:pPr>
      <w:r>
        <w:rPr/>
        <w:t>This category includes bare soil, rock, ice, and all unmanaged land areas that do not fall into any of the other five categories. It allows the total of identified land areas to match the national area, where data are available.</w:t>
      </w:r>
    </w:p>
    <w:p>
      <w:pPr>
        <w:pStyle w:val="BodyText"/>
        <w:rPr>
          <w:sz w:val="22"/>
        </w:rPr>
      </w:pPr>
    </w:p>
    <w:p>
      <w:pPr>
        <w:pStyle w:val="BodyText"/>
        <w:spacing w:before="8"/>
        <w:rPr>
          <w:sz w:val="29"/>
        </w:rPr>
      </w:pPr>
    </w:p>
    <w:p>
      <w:pPr>
        <w:pStyle w:val="Heading6"/>
      </w:pPr>
      <w:r>
        <w:rPr/>
        <w:t>PASTURE</w:t>
      </w:r>
    </w:p>
    <w:p>
      <w:pPr>
        <w:pStyle w:val="BodyText"/>
        <w:spacing w:before="114"/>
        <w:ind w:left="159"/>
      </w:pPr>
      <w:r>
        <w:rPr/>
        <w:t>Grassland managed for grazing.</w:t>
      </w:r>
    </w:p>
    <w:p>
      <w:pPr>
        <w:spacing w:after="0"/>
        <w:sectPr>
          <w:pgSz w:w="11900" w:h="16840"/>
          <w:pgMar w:header="230" w:footer="408" w:top="560" w:bottom="600" w:left="1260" w:right="1240"/>
        </w:sectPr>
      </w:pPr>
    </w:p>
    <w:p>
      <w:pPr>
        <w:pStyle w:val="BodyText"/>
      </w:pPr>
    </w:p>
    <w:p>
      <w:pPr>
        <w:pStyle w:val="Heading6"/>
        <w:spacing w:before="214"/>
      </w:pPr>
      <w:r>
        <w:rPr/>
        <w:t>PEAT SOIL (ALSO HISTOSOL)</w:t>
      </w:r>
    </w:p>
    <w:p>
      <w:pPr>
        <w:pStyle w:val="BodyText"/>
        <w:spacing w:before="117"/>
        <w:ind w:left="159"/>
      </w:pPr>
      <w:r>
        <w:rPr/>
        <w:t>A typical wetland soil with a high water table and an organic layer of at least 40 cm thickness (poorly drained organic soil).</w:t>
      </w:r>
    </w:p>
    <w:p>
      <w:pPr>
        <w:pStyle w:val="BodyText"/>
        <w:rPr>
          <w:sz w:val="22"/>
        </w:rPr>
      </w:pPr>
    </w:p>
    <w:p>
      <w:pPr>
        <w:pStyle w:val="BodyText"/>
        <w:spacing w:before="7"/>
        <w:rPr>
          <w:sz w:val="29"/>
        </w:rPr>
      </w:pPr>
    </w:p>
    <w:p>
      <w:pPr>
        <w:pStyle w:val="Heading6"/>
      </w:pPr>
      <w:r>
        <w:rPr/>
        <w:t>PERCENTILE</w:t>
      </w:r>
    </w:p>
    <w:p>
      <w:pPr>
        <w:pStyle w:val="BodyText"/>
        <w:spacing w:before="116"/>
        <w:ind w:left="159" w:right="166" w:hanging="1"/>
        <w:jc w:val="both"/>
      </w:pPr>
      <w:r>
        <w:rPr>
          <w:b/>
        </w:rPr>
        <w:t>Statistical definition: </w:t>
      </w:r>
      <w:r>
        <w:rPr/>
        <w:t>The k</w:t>
      </w:r>
      <w:r>
        <w:rPr>
          <w:vertAlign w:val="superscript"/>
        </w:rPr>
        <w:t>th</w:t>
      </w:r>
      <w:r>
        <w:rPr>
          <w:vertAlign w:val="baseline"/>
        </w:rPr>
        <w:t> percentile or population percentile is a value which separates the lowest k</w:t>
      </w:r>
      <w:r>
        <w:rPr>
          <w:vertAlign w:val="superscript"/>
        </w:rPr>
        <w:t>th</w:t>
      </w:r>
      <w:r>
        <w:rPr>
          <w:vertAlign w:val="baseline"/>
        </w:rPr>
        <w:t> part of the integral of the probability density function (PDF) – i.e., an integral of a PDF tail from the k</w:t>
      </w:r>
      <w:r>
        <w:rPr>
          <w:vertAlign w:val="superscript"/>
        </w:rPr>
        <w:t>th</w:t>
      </w:r>
      <w:r>
        <w:rPr>
          <w:vertAlign w:val="baseline"/>
        </w:rPr>
        <w:t> percentile towards lower probability densities.</w:t>
      </w:r>
    </w:p>
    <w:p>
      <w:pPr>
        <w:pStyle w:val="BodyText"/>
        <w:rPr>
          <w:sz w:val="22"/>
        </w:rPr>
      </w:pPr>
    </w:p>
    <w:p>
      <w:pPr>
        <w:pStyle w:val="BodyText"/>
        <w:spacing w:before="8"/>
        <w:rPr>
          <w:sz w:val="29"/>
        </w:rPr>
      </w:pPr>
    </w:p>
    <w:p>
      <w:pPr>
        <w:pStyle w:val="Heading6"/>
      </w:pPr>
      <w:r>
        <w:rPr/>
        <w:t>PERENNIAL CROPS</w:t>
      </w:r>
    </w:p>
    <w:p>
      <w:pPr>
        <w:pStyle w:val="BodyText"/>
        <w:spacing w:before="114"/>
        <w:ind w:left="159" w:right="166"/>
        <w:jc w:val="both"/>
      </w:pPr>
      <w:r>
        <w:rPr/>
        <w:t>Multiple year crops, includes trees and shrubs, in combination with herbaceous crops e.g., agroforestry, or orchards, vineyards and plantations such as cocoa, coffee, tea, oil palm, coconut, rubber trees, and bananas, except where these lands meet the canopy cover threshold criteria for forest land.</w:t>
      </w:r>
    </w:p>
    <w:p>
      <w:pPr>
        <w:pStyle w:val="BodyText"/>
        <w:rPr>
          <w:sz w:val="22"/>
        </w:rPr>
      </w:pPr>
    </w:p>
    <w:p>
      <w:pPr>
        <w:pStyle w:val="BodyText"/>
        <w:spacing w:before="8"/>
        <w:rPr>
          <w:sz w:val="29"/>
        </w:rPr>
      </w:pPr>
    </w:p>
    <w:p>
      <w:pPr>
        <w:pStyle w:val="Heading6"/>
      </w:pPr>
      <w:r>
        <w:rPr>
          <w:spacing w:val="15"/>
        </w:rPr>
        <w:t>POLAR/ </w:t>
      </w:r>
      <w:r>
        <w:rPr>
          <w:spacing w:val="18"/>
        </w:rPr>
        <w:t>BOREAL</w:t>
      </w:r>
    </w:p>
    <w:p>
      <w:pPr>
        <w:pStyle w:val="BodyText"/>
        <w:spacing w:before="116"/>
        <w:ind w:left="159"/>
      </w:pPr>
      <w:r>
        <w:rPr/>
        <w:t>Mean annual temperature (MAT) is less than 0 </w:t>
      </w:r>
      <w:r>
        <w:rPr>
          <w:vertAlign w:val="superscript"/>
        </w:rPr>
        <w:t>o</w:t>
      </w:r>
      <w:r>
        <w:rPr>
          <w:vertAlign w:val="baseline"/>
        </w:rPr>
        <w:t>C.</w:t>
      </w:r>
    </w:p>
    <w:p>
      <w:pPr>
        <w:pStyle w:val="BodyText"/>
        <w:rPr>
          <w:sz w:val="24"/>
        </w:rPr>
      </w:pPr>
    </w:p>
    <w:p>
      <w:pPr>
        <w:pStyle w:val="BodyText"/>
        <w:spacing w:before="7"/>
        <w:rPr>
          <w:sz w:val="27"/>
        </w:rPr>
      </w:pPr>
    </w:p>
    <w:p>
      <w:pPr>
        <w:pStyle w:val="Heading6"/>
        <w:spacing w:before="1"/>
      </w:pPr>
      <w:r>
        <w:rPr/>
        <w:t>POOL/ CARBON POOL</w:t>
      </w:r>
    </w:p>
    <w:p>
      <w:pPr>
        <w:pStyle w:val="BodyText"/>
        <w:spacing w:before="113"/>
        <w:ind w:left="159" w:right="166"/>
      </w:pPr>
      <w:r>
        <w:rPr/>
        <w:t>A reservoir. A system which has the capacity to accumulate or release carbon. Examples of carbon pools are forest biomass, wood products, soils and the atmosphere. The units are mass.</w:t>
      </w:r>
    </w:p>
    <w:p>
      <w:pPr>
        <w:pStyle w:val="BodyText"/>
        <w:rPr>
          <w:sz w:val="22"/>
        </w:rPr>
      </w:pPr>
    </w:p>
    <w:p>
      <w:pPr>
        <w:pStyle w:val="BodyText"/>
        <w:spacing w:before="10"/>
        <w:rPr>
          <w:sz w:val="29"/>
        </w:rPr>
      </w:pPr>
    </w:p>
    <w:p>
      <w:pPr>
        <w:pStyle w:val="Heading6"/>
      </w:pPr>
      <w:r>
        <w:rPr/>
        <w:t>POPULATION</w:t>
      </w:r>
    </w:p>
    <w:p>
      <w:pPr>
        <w:pStyle w:val="BodyText"/>
        <w:spacing w:before="114"/>
        <w:ind w:left="159" w:right="166"/>
      </w:pPr>
      <w:r>
        <w:rPr>
          <w:b/>
        </w:rPr>
        <w:t>Statistical definition: </w:t>
      </w:r>
      <w:r>
        <w:rPr/>
        <w:t>The population is the totality of items under consideration. In the case of a random variable, the probability distribution is considered to define the population of that variable.</w:t>
      </w:r>
    </w:p>
    <w:p>
      <w:pPr>
        <w:pStyle w:val="BodyText"/>
        <w:rPr>
          <w:sz w:val="22"/>
        </w:rPr>
      </w:pPr>
    </w:p>
    <w:p>
      <w:pPr>
        <w:pStyle w:val="BodyText"/>
        <w:spacing w:before="10"/>
        <w:rPr>
          <w:sz w:val="29"/>
        </w:rPr>
      </w:pPr>
    </w:p>
    <w:p>
      <w:pPr>
        <w:pStyle w:val="Heading6"/>
      </w:pPr>
      <w:r>
        <w:rPr/>
        <w:t>PRACTICE</w:t>
      </w:r>
    </w:p>
    <w:p>
      <w:pPr>
        <w:pStyle w:val="BodyText"/>
        <w:spacing w:before="114"/>
        <w:ind w:left="159"/>
      </w:pPr>
      <w:r>
        <w:rPr/>
        <w:t>An action or set of actions that affect the land, the stocks of pools associated with it or otherwise affect the exchange of greenhouse gases with the atmosphere.</w:t>
      </w:r>
    </w:p>
    <w:p>
      <w:pPr>
        <w:pStyle w:val="BodyText"/>
        <w:rPr>
          <w:sz w:val="22"/>
        </w:rPr>
      </w:pPr>
    </w:p>
    <w:p>
      <w:pPr>
        <w:pStyle w:val="BodyText"/>
        <w:spacing w:before="10"/>
        <w:rPr>
          <w:sz w:val="29"/>
        </w:rPr>
      </w:pPr>
    </w:p>
    <w:p>
      <w:pPr>
        <w:pStyle w:val="Heading6"/>
      </w:pPr>
      <w:r>
        <w:rPr/>
        <w:t>PRECISION</w:t>
      </w:r>
    </w:p>
    <w:p>
      <w:pPr>
        <w:pStyle w:val="BodyText"/>
        <w:spacing w:before="114"/>
        <w:ind w:left="159" w:hanging="1"/>
      </w:pPr>
      <w:r>
        <w:rPr>
          <w:b/>
        </w:rPr>
        <w:t>Inventory definition: </w:t>
      </w:r>
      <w:r>
        <w:rPr/>
        <w:t>Precision is the inverse of uncertainty in the sense that the more precise something is, the less uncertain it is.</w:t>
      </w:r>
    </w:p>
    <w:p>
      <w:pPr>
        <w:spacing w:before="121"/>
        <w:ind w:left="159" w:right="0" w:firstLine="0"/>
        <w:jc w:val="left"/>
        <w:rPr>
          <w:sz w:val="20"/>
        </w:rPr>
      </w:pPr>
      <w:r>
        <w:rPr>
          <w:b/>
          <w:sz w:val="20"/>
        </w:rPr>
        <w:t>Statistical definition</w:t>
      </w:r>
      <w:r>
        <w:rPr>
          <w:sz w:val="20"/>
        </w:rPr>
        <w:t>: Closeness of agreement between independent results of measurements obtained under stipulated conditions (see also </w:t>
      </w:r>
      <w:r>
        <w:rPr>
          <w:i/>
          <w:sz w:val="20"/>
        </w:rPr>
        <w:t>accuracy</w:t>
      </w:r>
      <w:r>
        <w:rPr>
          <w:sz w:val="20"/>
        </w:rPr>
        <w:t>).</w:t>
      </w:r>
    </w:p>
    <w:p>
      <w:pPr>
        <w:pStyle w:val="BodyText"/>
        <w:rPr>
          <w:sz w:val="22"/>
        </w:rPr>
      </w:pPr>
    </w:p>
    <w:p>
      <w:pPr>
        <w:pStyle w:val="BodyText"/>
        <w:spacing w:before="7"/>
        <w:rPr>
          <w:sz w:val="29"/>
        </w:rPr>
      </w:pPr>
    </w:p>
    <w:p>
      <w:pPr>
        <w:pStyle w:val="Heading6"/>
      </w:pPr>
      <w:r>
        <w:rPr/>
        <w:t>PROBABILITY</w:t>
      </w:r>
    </w:p>
    <w:p>
      <w:pPr>
        <w:pStyle w:val="BodyText"/>
        <w:spacing w:before="114"/>
        <w:ind w:left="159" w:right="164"/>
        <w:jc w:val="both"/>
      </w:pPr>
      <w:r>
        <w:rPr>
          <w:b/>
        </w:rPr>
        <w:t>Statistical definition: </w:t>
      </w:r>
      <w:r>
        <w:rPr/>
        <w:t>A probability is a real number in the scale 0 to 1 attached to a random event. There are different ways in which probability can be interpreted. One interpretation considers a probability as having the nature of a relative frequency (i.e., the proportion of all outcomes corresponding to an event), whilst another interpretation regards a probability as being a measure of degree of belief.</w:t>
      </w:r>
    </w:p>
    <w:p>
      <w:pPr>
        <w:spacing w:after="0"/>
        <w:jc w:val="both"/>
        <w:sectPr>
          <w:pgSz w:w="11900" w:h="16840"/>
          <w:pgMar w:header="230" w:footer="408" w:top="560" w:bottom="600" w:left="1260" w:right="1240"/>
        </w:sectPr>
      </w:pPr>
    </w:p>
    <w:p>
      <w:pPr>
        <w:pStyle w:val="BodyText"/>
      </w:pPr>
    </w:p>
    <w:p>
      <w:pPr>
        <w:pStyle w:val="Heading6"/>
        <w:spacing w:before="214"/>
      </w:pPr>
      <w:r>
        <w:rPr/>
        <w:t>PROBABILITY DENSITY FUNCTION</w:t>
      </w:r>
    </w:p>
    <w:p>
      <w:pPr>
        <w:pStyle w:val="BodyText"/>
        <w:spacing w:before="117"/>
        <w:ind w:left="159" w:right="166"/>
        <w:jc w:val="both"/>
      </w:pPr>
      <w:r>
        <w:rPr>
          <w:b/>
        </w:rPr>
        <w:t>Statistical definition: </w:t>
      </w:r>
      <w:r>
        <w:rPr/>
        <w:t>A probability density function (PDF) is a mathematical function which characterizes the probability behaviour of population</w:t>
      </w:r>
      <w:r>
        <w:rPr>
          <w:b/>
        </w:rPr>
        <w:t>. </w:t>
      </w:r>
      <w:r>
        <w:rPr/>
        <w:t>It is a function f(</w:t>
      </w:r>
      <w:r>
        <w:rPr>
          <w:i/>
        </w:rPr>
        <w:t>x</w:t>
      </w:r>
      <w:r>
        <w:rPr/>
        <w:t>) which specifies the relative likelihood of a continuous random variable </w:t>
      </w:r>
      <w:r>
        <w:rPr>
          <w:i/>
        </w:rPr>
        <w:t>X </w:t>
      </w:r>
      <w:r>
        <w:rPr/>
        <w:t>taking a value near </w:t>
      </w:r>
      <w:r>
        <w:rPr>
          <w:i/>
        </w:rPr>
        <w:t>x</w:t>
      </w:r>
      <w:r>
        <w:rPr/>
        <w:t>, and is defined as the probability that </w:t>
      </w:r>
      <w:r>
        <w:rPr>
          <w:i/>
        </w:rPr>
        <w:t>X </w:t>
      </w:r>
      <w:r>
        <w:rPr/>
        <w:t>takes a value between </w:t>
      </w:r>
      <w:r>
        <w:rPr>
          <w:i/>
        </w:rPr>
        <w:t>x </w:t>
      </w:r>
      <w:r>
        <w:rPr/>
        <w:t>and </w:t>
      </w:r>
      <w:r>
        <w:rPr>
          <w:i/>
        </w:rPr>
        <w:t>x</w:t>
      </w:r>
      <w:r>
        <w:rPr/>
        <w:t>+</w:t>
      </w:r>
      <w:r>
        <w:rPr>
          <w:i/>
        </w:rPr>
        <w:t>dx</w:t>
      </w:r>
      <w:r>
        <w:rPr/>
        <w:t>, divided by </w:t>
      </w:r>
      <w:r>
        <w:rPr>
          <w:i/>
        </w:rPr>
        <w:t>dx </w:t>
      </w:r>
      <w:r>
        <w:rPr/>
        <w:t>where </w:t>
      </w:r>
      <w:r>
        <w:rPr>
          <w:i/>
        </w:rPr>
        <w:t>dx </w:t>
      </w:r>
      <w:r>
        <w:rPr/>
        <w:t>is an infinitesimally small number.</w:t>
      </w:r>
    </w:p>
    <w:p>
      <w:pPr>
        <w:pStyle w:val="BodyText"/>
        <w:rPr>
          <w:sz w:val="22"/>
        </w:rPr>
      </w:pPr>
    </w:p>
    <w:p>
      <w:pPr>
        <w:pStyle w:val="BodyText"/>
        <w:spacing w:before="8"/>
        <w:rPr>
          <w:sz w:val="29"/>
        </w:rPr>
      </w:pPr>
    </w:p>
    <w:p>
      <w:pPr>
        <w:pStyle w:val="Heading6"/>
      </w:pPr>
      <w:r>
        <w:rPr/>
        <w:t>PROBABILITY DISTRIBUTION</w:t>
      </w:r>
    </w:p>
    <w:p>
      <w:pPr>
        <w:pStyle w:val="BodyText"/>
        <w:spacing w:before="114"/>
        <w:ind w:left="159" w:right="166"/>
      </w:pPr>
      <w:r>
        <w:rPr>
          <w:b/>
        </w:rPr>
        <w:t>Statistical definition: </w:t>
      </w:r>
      <w:r>
        <w:rPr/>
        <w:t>A function giving the probability that a random variable takes any given value or belongs to a given set of values. The probability on the whole set of values of the random variable equals 1.</w:t>
      </w:r>
    </w:p>
    <w:p>
      <w:pPr>
        <w:pStyle w:val="BodyText"/>
        <w:rPr>
          <w:sz w:val="22"/>
        </w:rPr>
      </w:pPr>
    </w:p>
    <w:p>
      <w:pPr>
        <w:pStyle w:val="BodyText"/>
        <w:spacing w:before="7"/>
        <w:rPr>
          <w:sz w:val="29"/>
        </w:rPr>
      </w:pPr>
    </w:p>
    <w:p>
      <w:pPr>
        <w:pStyle w:val="Heading6"/>
      </w:pPr>
      <w:r>
        <w:rPr>
          <w:spacing w:val="17"/>
        </w:rPr>
        <w:t>PROPAGATION </w:t>
      </w:r>
      <w:r>
        <w:rPr>
          <w:spacing w:val="10"/>
        </w:rPr>
        <w:t>OF</w:t>
      </w:r>
      <w:r>
        <w:rPr>
          <w:spacing w:val="62"/>
        </w:rPr>
        <w:t> </w:t>
      </w:r>
      <w:r>
        <w:rPr>
          <w:spacing w:val="17"/>
        </w:rPr>
        <w:t>UNCERTAINTIES</w:t>
      </w:r>
    </w:p>
    <w:p>
      <w:pPr>
        <w:pStyle w:val="BodyText"/>
        <w:spacing w:before="117"/>
        <w:ind w:left="159" w:right="165"/>
        <w:jc w:val="both"/>
        <w:rPr>
          <w:i/>
        </w:rPr>
      </w:pPr>
      <w:r>
        <w:rPr>
          <w:b/>
        </w:rPr>
        <w:t>Statistical definition: </w:t>
      </w:r>
      <w:r>
        <w:rPr/>
        <w:t>The rules for propagation of uncertainties specify how to algebraically combine the quantitative measures of uncertainty associated with the input values to the mathematical formulae used in inventory compilation, so as to obtain corresponding measures of uncertainty for the output values. See Chapter 6, Quantifying Uncertainties in Practice, and Annex 1, Conceptual Basis for Uncertainty Analysis of </w:t>
      </w:r>
      <w:r>
        <w:rPr>
          <w:i/>
        </w:rPr>
        <w:t>GPG2000.</w:t>
      </w:r>
    </w:p>
    <w:p>
      <w:pPr>
        <w:pStyle w:val="BodyText"/>
        <w:rPr>
          <w:i/>
          <w:sz w:val="22"/>
        </w:rPr>
      </w:pPr>
    </w:p>
    <w:p>
      <w:pPr>
        <w:pStyle w:val="BodyText"/>
        <w:spacing w:before="6"/>
        <w:rPr>
          <w:i/>
          <w:sz w:val="29"/>
        </w:rPr>
      </w:pPr>
    </w:p>
    <w:p>
      <w:pPr>
        <w:pStyle w:val="Heading6"/>
      </w:pPr>
      <w:r>
        <w:rPr/>
        <w:t>QUALITY ASSURANCE</w:t>
      </w:r>
    </w:p>
    <w:p>
      <w:pPr>
        <w:pStyle w:val="BodyText"/>
        <w:spacing w:before="116"/>
        <w:ind w:left="159" w:right="167"/>
        <w:jc w:val="both"/>
      </w:pPr>
      <w:r>
        <w:rPr>
          <w:b/>
        </w:rPr>
        <w:t>Inventory definition: </w:t>
      </w:r>
      <w:r>
        <w:rPr/>
        <w:t>Quality Assurance (QA) activities include a planned system of review procedures conducted by personnel not directly involved in the inventory compilation/development process to verify that data quality objectives were met, ensure that the inventory represents the best possible estimate of emissions and sinks given the current state of scientific knowledge and data available, and support the effectiveness of the quality control (QC) programme.</w:t>
      </w:r>
    </w:p>
    <w:p>
      <w:pPr>
        <w:pStyle w:val="BodyText"/>
        <w:rPr>
          <w:sz w:val="22"/>
        </w:rPr>
      </w:pPr>
    </w:p>
    <w:p>
      <w:pPr>
        <w:pStyle w:val="BodyText"/>
        <w:spacing w:before="6"/>
        <w:rPr>
          <w:sz w:val="29"/>
        </w:rPr>
      </w:pPr>
    </w:p>
    <w:p>
      <w:pPr>
        <w:pStyle w:val="Heading6"/>
      </w:pPr>
      <w:r>
        <w:rPr/>
        <w:t>QUALITY CONTROL</w:t>
      </w:r>
    </w:p>
    <w:p>
      <w:pPr>
        <w:pStyle w:val="BodyText"/>
        <w:spacing w:before="116"/>
        <w:ind w:left="159" w:right="312"/>
      </w:pPr>
      <w:r>
        <w:rPr>
          <w:b/>
        </w:rPr>
        <w:t>Inventory definition: </w:t>
      </w:r>
      <w:r>
        <w:rPr/>
        <w:t>Quality Control (QC) is a system of routine technical activities, to measure and control the quality of the inventory as it is being developed. The QC system is designed</w:t>
      </w:r>
      <w:r>
        <w:rPr>
          <w:spacing w:val="-19"/>
        </w:rPr>
        <w:t> </w:t>
      </w:r>
      <w:r>
        <w:rPr/>
        <w:t>to:</w:t>
      </w:r>
    </w:p>
    <w:p>
      <w:pPr>
        <w:pStyle w:val="ListParagraph"/>
        <w:numPr>
          <w:ilvl w:val="0"/>
          <w:numId w:val="205"/>
        </w:numPr>
        <w:tabs>
          <w:tab w:pos="1236" w:val="left" w:leader="none"/>
          <w:tab w:pos="1237" w:val="left" w:leader="none"/>
        </w:tabs>
        <w:spacing w:line="240" w:lineRule="auto" w:before="119" w:after="0"/>
        <w:ind w:left="1236" w:right="0" w:hanging="477"/>
        <w:jc w:val="left"/>
        <w:rPr>
          <w:sz w:val="20"/>
        </w:rPr>
      </w:pPr>
      <w:r>
        <w:rPr>
          <w:sz w:val="20"/>
        </w:rPr>
        <w:t>Provide routine and consistent checks to ensure data integrity, correctness, and</w:t>
      </w:r>
      <w:r>
        <w:rPr>
          <w:spacing w:val="-14"/>
          <w:sz w:val="20"/>
        </w:rPr>
        <w:t> </w:t>
      </w:r>
      <w:r>
        <w:rPr>
          <w:sz w:val="20"/>
        </w:rPr>
        <w:t>completeness;</w:t>
      </w:r>
    </w:p>
    <w:p>
      <w:pPr>
        <w:pStyle w:val="ListParagraph"/>
        <w:numPr>
          <w:ilvl w:val="0"/>
          <w:numId w:val="205"/>
        </w:numPr>
        <w:tabs>
          <w:tab w:pos="1237" w:val="left" w:leader="none"/>
          <w:tab w:pos="1238" w:val="left" w:leader="none"/>
        </w:tabs>
        <w:spacing w:line="240" w:lineRule="auto" w:before="120" w:after="0"/>
        <w:ind w:left="1237" w:right="0" w:hanging="478"/>
        <w:jc w:val="left"/>
        <w:rPr>
          <w:sz w:val="20"/>
        </w:rPr>
      </w:pPr>
      <w:r>
        <w:rPr>
          <w:sz w:val="20"/>
        </w:rPr>
        <w:t>Identify and address errors and</w:t>
      </w:r>
      <w:r>
        <w:rPr>
          <w:spacing w:val="-5"/>
          <w:sz w:val="20"/>
        </w:rPr>
        <w:t> </w:t>
      </w:r>
      <w:r>
        <w:rPr>
          <w:sz w:val="20"/>
        </w:rPr>
        <w:t>omissions;</w:t>
      </w:r>
    </w:p>
    <w:p>
      <w:pPr>
        <w:pStyle w:val="ListParagraph"/>
        <w:numPr>
          <w:ilvl w:val="0"/>
          <w:numId w:val="205"/>
        </w:numPr>
        <w:tabs>
          <w:tab w:pos="1237" w:val="left" w:leader="none"/>
        </w:tabs>
        <w:spacing w:line="240" w:lineRule="auto" w:before="121" w:after="0"/>
        <w:ind w:left="1236" w:right="0" w:hanging="477"/>
        <w:jc w:val="left"/>
        <w:rPr>
          <w:sz w:val="20"/>
        </w:rPr>
      </w:pPr>
      <w:r>
        <w:rPr>
          <w:sz w:val="20"/>
        </w:rPr>
        <w:t>Document and archive inventory material and record all QC</w:t>
      </w:r>
      <w:r>
        <w:rPr>
          <w:spacing w:val="-2"/>
          <w:sz w:val="20"/>
        </w:rPr>
        <w:t> </w:t>
      </w:r>
      <w:r>
        <w:rPr>
          <w:sz w:val="20"/>
        </w:rPr>
        <w:t>activities.</w:t>
      </w:r>
    </w:p>
    <w:p>
      <w:pPr>
        <w:pStyle w:val="BodyText"/>
        <w:spacing w:before="118"/>
        <w:ind w:left="159" w:right="168"/>
        <w:jc w:val="both"/>
      </w:pPr>
      <w:r>
        <w:rPr/>
        <w:t>QC activities include general methods such as accuracy checks on data acquisition and calculations and the use of approved standardised procedures for emission calculations, measurements, estimating uncertainties, archiving information and reporting. Higher tier QC activities include technical reviews of source categories, activity and emission factor data, and methods.</w:t>
      </w:r>
    </w:p>
    <w:p>
      <w:pPr>
        <w:pStyle w:val="BodyText"/>
        <w:rPr>
          <w:sz w:val="22"/>
        </w:rPr>
      </w:pPr>
    </w:p>
    <w:p>
      <w:pPr>
        <w:pStyle w:val="BodyText"/>
        <w:spacing w:before="8"/>
        <w:rPr>
          <w:sz w:val="29"/>
        </w:rPr>
      </w:pPr>
    </w:p>
    <w:p>
      <w:pPr>
        <w:pStyle w:val="Heading6"/>
      </w:pPr>
      <w:r>
        <w:rPr/>
        <w:t>RADAR DATA</w:t>
      </w:r>
    </w:p>
    <w:p>
      <w:pPr>
        <w:pStyle w:val="BodyText"/>
        <w:spacing w:before="114"/>
        <w:ind w:left="159"/>
      </w:pPr>
      <w:r>
        <w:rPr/>
        <w:t>Remotely-sensed data from the microwave portion of the electromagnetic spectrum, sent from and collected by aircraft or satellite after reflection from the target.</w:t>
      </w:r>
    </w:p>
    <w:p>
      <w:pPr>
        <w:pStyle w:val="BodyText"/>
        <w:rPr>
          <w:sz w:val="22"/>
        </w:rPr>
      </w:pPr>
    </w:p>
    <w:p>
      <w:pPr>
        <w:pStyle w:val="BodyText"/>
        <w:spacing w:before="10"/>
        <w:rPr>
          <w:sz w:val="29"/>
        </w:rPr>
      </w:pPr>
    </w:p>
    <w:p>
      <w:pPr>
        <w:pStyle w:val="Heading6"/>
        <w:jc w:val="both"/>
      </w:pPr>
      <w:r>
        <w:rPr/>
        <w:t>RANDOM ERROR</w:t>
      </w:r>
    </w:p>
    <w:p>
      <w:pPr>
        <w:spacing w:before="114"/>
        <w:ind w:left="159" w:right="0" w:firstLine="0"/>
        <w:jc w:val="both"/>
        <w:rPr>
          <w:sz w:val="20"/>
        </w:rPr>
      </w:pPr>
      <w:r>
        <w:rPr>
          <w:sz w:val="20"/>
        </w:rPr>
        <w:t>See </w:t>
      </w:r>
      <w:r>
        <w:rPr>
          <w:i/>
          <w:sz w:val="20"/>
        </w:rPr>
        <w:t>systematic and random errors</w:t>
      </w:r>
      <w:r>
        <w:rPr>
          <w:sz w:val="20"/>
        </w:rPr>
        <w:t>.</w:t>
      </w:r>
    </w:p>
    <w:p>
      <w:pPr>
        <w:spacing w:after="0"/>
        <w:jc w:val="both"/>
        <w:rPr>
          <w:sz w:val="20"/>
        </w:rPr>
        <w:sectPr>
          <w:pgSz w:w="11900" w:h="16840"/>
          <w:pgMar w:header="230" w:footer="408" w:top="560" w:bottom="600" w:left="1260" w:right="1240"/>
        </w:sectPr>
      </w:pPr>
    </w:p>
    <w:p>
      <w:pPr>
        <w:pStyle w:val="BodyText"/>
      </w:pPr>
    </w:p>
    <w:p>
      <w:pPr>
        <w:pStyle w:val="Heading6"/>
        <w:spacing w:before="214"/>
      </w:pPr>
      <w:r>
        <w:rPr/>
        <w:t>RANDOM VARIABLE</w:t>
      </w:r>
    </w:p>
    <w:p>
      <w:pPr>
        <w:pStyle w:val="BodyText"/>
        <w:spacing w:before="117"/>
        <w:ind w:left="159" w:right="114"/>
        <w:jc w:val="both"/>
      </w:pPr>
      <w:r>
        <w:rPr>
          <w:b/>
        </w:rPr>
        <w:t>Statistical definition: </w:t>
      </w:r>
      <w:r>
        <w:rPr/>
        <w:t>A variable that may take any of the values of a specified set of values and with which is associated a probability distribution. A random variable which may take only isolated values is said to be ‘discrete.’ A random variable that may take any value within a finite or infinite interval is said to be ‘continuous’.</w:t>
      </w:r>
    </w:p>
    <w:p>
      <w:pPr>
        <w:pStyle w:val="BodyText"/>
        <w:rPr>
          <w:sz w:val="22"/>
        </w:rPr>
      </w:pPr>
    </w:p>
    <w:p>
      <w:pPr>
        <w:pStyle w:val="BodyText"/>
        <w:spacing w:before="7"/>
        <w:rPr>
          <w:sz w:val="29"/>
        </w:rPr>
      </w:pPr>
    </w:p>
    <w:p>
      <w:pPr>
        <w:pStyle w:val="Heading6"/>
        <w:spacing w:before="1"/>
      </w:pPr>
      <w:r>
        <w:rPr/>
        <w:t>RASTER DATA</w:t>
      </w:r>
    </w:p>
    <w:p>
      <w:pPr>
        <w:pStyle w:val="BodyText"/>
        <w:spacing w:before="113"/>
        <w:ind w:left="159"/>
      </w:pPr>
      <w:r>
        <w:rPr/>
        <w:t>Information stored on regular grid of points.</w:t>
      </w:r>
    </w:p>
    <w:p>
      <w:pPr>
        <w:pStyle w:val="BodyText"/>
        <w:rPr>
          <w:sz w:val="22"/>
        </w:rPr>
      </w:pPr>
    </w:p>
    <w:p>
      <w:pPr>
        <w:pStyle w:val="BodyText"/>
        <w:spacing w:before="10"/>
        <w:rPr>
          <w:sz w:val="29"/>
        </w:rPr>
      </w:pPr>
    </w:p>
    <w:p>
      <w:pPr>
        <w:pStyle w:val="Heading6"/>
      </w:pPr>
      <w:r>
        <w:rPr/>
        <w:t>RASTER IMAGES</w:t>
      </w:r>
    </w:p>
    <w:p>
      <w:pPr>
        <w:pStyle w:val="BodyText"/>
        <w:spacing w:before="114"/>
        <w:ind w:left="159" w:right="166"/>
      </w:pPr>
      <w:r>
        <w:rPr/>
        <w:t>Raster data means information stored on a regular grid of points, as opposed to polygon data, which is information stored as the coordinates of an outline area sharing a common attribute.</w:t>
      </w:r>
    </w:p>
    <w:p>
      <w:pPr>
        <w:pStyle w:val="BodyText"/>
        <w:rPr>
          <w:sz w:val="22"/>
        </w:rPr>
      </w:pPr>
    </w:p>
    <w:p>
      <w:pPr>
        <w:pStyle w:val="BodyText"/>
        <w:spacing w:before="7"/>
        <w:rPr>
          <w:sz w:val="29"/>
        </w:rPr>
      </w:pPr>
    </w:p>
    <w:p>
      <w:pPr>
        <w:pStyle w:val="Heading6"/>
      </w:pPr>
      <w:r>
        <w:rPr>
          <w:spacing w:val="17"/>
        </w:rPr>
        <w:t>REFORESTATION</w:t>
      </w:r>
      <w:r>
        <w:rPr>
          <w:spacing w:val="-35"/>
        </w:rPr>
        <w:t> </w:t>
      </w:r>
      <w:r>
        <w:rPr>
          <w:vertAlign w:val="superscript"/>
        </w:rPr>
        <w:t>9</w:t>
      </w:r>
    </w:p>
    <w:p>
      <w:pPr>
        <w:pStyle w:val="BodyText"/>
        <w:spacing w:before="117"/>
        <w:ind w:left="159" w:right="165"/>
        <w:jc w:val="both"/>
      </w:pPr>
      <w:r>
        <w:rPr/>
        <w:t>Direct human-induced conversion of non-forested land to forested land through planting, seeding and/or the human-induced promotion of natural seed sources, on land that was forested but that has been converted to non- forested land. For the first commitment period, reforestation activities will be limited to reforestation occurring on those lands that did not contain forest on 31 December 1989.</w:t>
      </w:r>
    </w:p>
    <w:p>
      <w:pPr>
        <w:pStyle w:val="BodyText"/>
        <w:rPr>
          <w:sz w:val="22"/>
        </w:rPr>
      </w:pPr>
    </w:p>
    <w:p>
      <w:pPr>
        <w:pStyle w:val="BodyText"/>
        <w:spacing w:before="6"/>
        <w:rPr>
          <w:sz w:val="29"/>
        </w:rPr>
      </w:pPr>
    </w:p>
    <w:p>
      <w:pPr>
        <w:pStyle w:val="Heading6"/>
      </w:pPr>
      <w:r>
        <w:rPr/>
        <w:t>RELATIVE ERROR</w:t>
      </w:r>
    </w:p>
    <w:p>
      <w:pPr>
        <w:pStyle w:val="BodyText"/>
        <w:spacing w:before="116"/>
        <w:ind w:left="159"/>
      </w:pPr>
      <w:r>
        <w:rPr/>
        <w:t>Maximum tolerable error which is a fraction of the value of the variable being estimated.</w:t>
      </w:r>
    </w:p>
    <w:p>
      <w:pPr>
        <w:pStyle w:val="BodyText"/>
        <w:rPr>
          <w:sz w:val="22"/>
        </w:rPr>
      </w:pPr>
    </w:p>
    <w:p>
      <w:pPr>
        <w:pStyle w:val="BodyText"/>
        <w:spacing w:before="7"/>
        <w:rPr>
          <w:sz w:val="29"/>
        </w:rPr>
      </w:pPr>
    </w:p>
    <w:p>
      <w:pPr>
        <w:pStyle w:val="Heading6"/>
      </w:pPr>
      <w:r>
        <w:rPr/>
        <w:t>REMOTELY SENSED DATA</w:t>
      </w:r>
    </w:p>
    <w:p>
      <w:pPr>
        <w:pStyle w:val="BodyText"/>
        <w:spacing w:before="116"/>
        <w:ind w:left="159"/>
      </w:pPr>
      <w:r>
        <w:rPr/>
        <w:t>Data generally acquired by means of scanners or cameras onboard aircraft or satellites.</w:t>
      </w:r>
    </w:p>
    <w:p>
      <w:pPr>
        <w:pStyle w:val="BodyText"/>
        <w:rPr>
          <w:sz w:val="22"/>
        </w:rPr>
      </w:pPr>
    </w:p>
    <w:p>
      <w:pPr>
        <w:pStyle w:val="BodyText"/>
        <w:spacing w:before="7"/>
        <w:rPr>
          <w:sz w:val="29"/>
        </w:rPr>
      </w:pPr>
    </w:p>
    <w:p>
      <w:pPr>
        <w:pStyle w:val="Heading6"/>
      </w:pPr>
      <w:r>
        <w:rPr/>
        <w:t>REMOTE SENSING</w:t>
      </w:r>
    </w:p>
    <w:p>
      <w:pPr>
        <w:pStyle w:val="BodyText"/>
        <w:spacing w:before="114"/>
        <w:ind w:left="159" w:right="166"/>
      </w:pPr>
      <w:r>
        <w:rPr/>
        <w:t>Practice of acquiring and using data from satellites and aerial photography to infer or measure land cover/use. May be used in combination with ground surveys to check the accuracy of interpretation.</w:t>
      </w:r>
    </w:p>
    <w:p>
      <w:pPr>
        <w:pStyle w:val="BodyText"/>
        <w:rPr>
          <w:sz w:val="22"/>
        </w:rPr>
      </w:pPr>
    </w:p>
    <w:p>
      <w:pPr>
        <w:pStyle w:val="BodyText"/>
        <w:spacing w:before="10"/>
        <w:rPr>
          <w:sz w:val="29"/>
        </w:rPr>
      </w:pPr>
    </w:p>
    <w:p>
      <w:pPr>
        <w:pStyle w:val="Heading6"/>
      </w:pPr>
      <w:r>
        <w:rPr/>
        <w:t>REMOVALS</w:t>
      </w:r>
    </w:p>
    <w:p>
      <w:pPr>
        <w:pStyle w:val="BodyText"/>
        <w:spacing w:before="114"/>
        <w:ind w:left="159" w:right="185"/>
      </w:pPr>
      <w:r>
        <w:rPr/>
        <w:t>Removals are a subset of fellings (the commercial part destined for processing). The ‘Removals’ term should only be used in this forestry context, not as synonym for carbon sink.</w:t>
      </w:r>
    </w:p>
    <w:p>
      <w:pPr>
        <w:pStyle w:val="BodyText"/>
        <w:rPr>
          <w:sz w:val="22"/>
        </w:rPr>
      </w:pPr>
    </w:p>
    <w:p>
      <w:pPr>
        <w:pStyle w:val="BodyText"/>
        <w:spacing w:before="8"/>
        <w:rPr>
          <w:sz w:val="29"/>
        </w:rPr>
      </w:pPr>
    </w:p>
    <w:p>
      <w:pPr>
        <w:pStyle w:val="Heading6"/>
      </w:pPr>
      <w:r>
        <w:rPr/>
        <w:t>REPORTING</w:t>
      </w:r>
    </w:p>
    <w:p>
      <w:pPr>
        <w:pStyle w:val="BodyText"/>
        <w:spacing w:before="116"/>
        <w:ind w:left="159"/>
      </w:pPr>
      <w:r>
        <w:rPr/>
        <w:t>The process of providing estimates to the UNFCCC.</w:t>
      </w:r>
    </w:p>
    <w:p>
      <w:pPr>
        <w:pStyle w:val="BodyText"/>
        <w:rPr>
          <w:sz w:val="22"/>
        </w:rPr>
      </w:pPr>
    </w:p>
    <w:p>
      <w:pPr>
        <w:pStyle w:val="BodyText"/>
        <w:spacing w:before="7"/>
        <w:rPr>
          <w:sz w:val="29"/>
        </w:rPr>
      </w:pPr>
    </w:p>
    <w:p>
      <w:pPr>
        <w:pStyle w:val="Heading6"/>
      </w:pPr>
      <w:r>
        <w:rPr>
          <w:spacing w:val="17"/>
        </w:rPr>
        <w:t>RESOLUTION</w:t>
      </w:r>
    </w:p>
    <w:p>
      <w:pPr>
        <w:pStyle w:val="BodyText"/>
        <w:spacing w:before="116"/>
        <w:ind w:left="159" w:right="312"/>
      </w:pPr>
      <w:r>
        <w:rPr/>
        <w:t>Smallest unit of land about which land cover or use can be determined. High resolution means the resolvable land units are small.</w:t>
      </w:r>
    </w:p>
    <w:p>
      <w:pPr>
        <w:pStyle w:val="BodyText"/>
      </w:pPr>
    </w:p>
    <w:p>
      <w:pPr>
        <w:pStyle w:val="BodyText"/>
        <w:spacing w:before="2"/>
        <w:rPr>
          <w:sz w:val="19"/>
        </w:rPr>
      </w:pPr>
      <w:r>
        <w:rPr/>
        <w:pict>
          <v:line style="position:absolute;mso-position-horizontal-relative:page;mso-position-vertical-relative:paragraph;z-index:31856;mso-wrap-distance-left:0;mso-wrap-distance-right:0" from="70.960999pt,13.263662pt" to="214.960999pt,13.263662pt" stroked="true" strokeweight=".48pt" strokecolor="#000000">
            <v:stroke dashstyle="solid"/>
            <w10:wrap type="topAndBottom"/>
          </v:line>
        </w:pict>
      </w:r>
    </w:p>
    <w:p>
      <w:pPr>
        <w:spacing w:before="30"/>
        <w:ind w:left="159" w:right="0" w:firstLine="0"/>
        <w:jc w:val="left"/>
        <w:rPr>
          <w:sz w:val="18"/>
        </w:rPr>
      </w:pPr>
      <w:r>
        <w:rPr>
          <w:position w:val="8"/>
          <w:sz w:val="12"/>
        </w:rPr>
        <w:t>9 </w:t>
      </w:r>
      <w:r>
        <w:rPr>
          <w:sz w:val="18"/>
        </w:rPr>
        <w:t>In the context of the Kyoto Protocol, as stipulated by the Marrakesh Accords, cf. paragraph 1 of the Annex to draft decision</w:t>
      </w:r>
    </w:p>
    <w:p>
      <w:pPr>
        <w:spacing w:before="2"/>
        <w:ind w:left="300" w:right="0" w:firstLine="0"/>
        <w:jc w:val="left"/>
        <w:rPr>
          <w:sz w:val="18"/>
        </w:rPr>
      </w:pPr>
      <w:r>
        <w:rPr>
          <w:sz w:val="18"/>
        </w:rPr>
        <w:t>-/CMP.1 (Land use, land-use change and forestry) contained in document FCCC/CP/2001/13/Add.1, p.58.</w:t>
      </w:r>
    </w:p>
    <w:p>
      <w:pPr>
        <w:spacing w:after="0"/>
        <w:jc w:val="left"/>
        <w:rPr>
          <w:sz w:val="18"/>
        </w:rPr>
        <w:sectPr>
          <w:pgSz w:w="11900" w:h="16840"/>
          <w:pgMar w:header="230" w:footer="408" w:top="560" w:bottom="600" w:left="1260" w:right="1240"/>
        </w:sectPr>
      </w:pPr>
    </w:p>
    <w:p>
      <w:pPr>
        <w:pStyle w:val="BodyText"/>
      </w:pPr>
    </w:p>
    <w:p>
      <w:pPr>
        <w:pStyle w:val="Heading6"/>
        <w:spacing w:before="214"/>
      </w:pPr>
      <w:r>
        <w:rPr/>
        <w:t>RESERVOIRS</w:t>
      </w:r>
    </w:p>
    <w:p>
      <w:pPr>
        <w:pStyle w:val="BodyText"/>
        <w:spacing w:before="117"/>
        <w:ind w:left="159" w:right="167"/>
        <w:jc w:val="both"/>
      </w:pPr>
      <w:r>
        <w:rPr/>
        <w:t>Water bodies regulated for human activities (energy production, irrigation, navigation, recreation etc.) where substantial changes in water area due to water level regulation occur. The term should not be used in the context of a carbon reservoir.</w:t>
      </w:r>
    </w:p>
    <w:p>
      <w:pPr>
        <w:pStyle w:val="BodyText"/>
        <w:rPr>
          <w:sz w:val="22"/>
        </w:rPr>
      </w:pPr>
    </w:p>
    <w:p>
      <w:pPr>
        <w:pStyle w:val="BodyText"/>
        <w:spacing w:before="7"/>
        <w:rPr>
          <w:sz w:val="29"/>
        </w:rPr>
      </w:pPr>
    </w:p>
    <w:p>
      <w:pPr>
        <w:pStyle w:val="Heading6"/>
        <w:spacing w:before="1"/>
      </w:pPr>
      <w:r>
        <w:rPr>
          <w:spacing w:val="17"/>
        </w:rPr>
        <w:t>REVEGETATION</w:t>
      </w:r>
      <w:r>
        <w:rPr>
          <w:spacing w:val="-35"/>
        </w:rPr>
        <w:t> </w:t>
      </w:r>
      <w:r>
        <w:rPr>
          <w:vertAlign w:val="superscript"/>
        </w:rPr>
        <w:t>10</w:t>
      </w:r>
    </w:p>
    <w:p>
      <w:pPr>
        <w:pStyle w:val="BodyText"/>
        <w:spacing w:before="113"/>
        <w:ind w:left="159" w:right="166"/>
        <w:jc w:val="both"/>
      </w:pPr>
      <w:r>
        <w:rPr/>
        <w:t>A direct human-induced activity to increase carbon stocks on sites throught the establishment of vegetation that covers a minimum area of 0.05 hectares and does not meet the definitions of afforestation and reforestation contained here.</w:t>
      </w:r>
    </w:p>
    <w:p>
      <w:pPr>
        <w:pStyle w:val="BodyText"/>
        <w:rPr>
          <w:sz w:val="22"/>
        </w:rPr>
      </w:pPr>
    </w:p>
    <w:p>
      <w:pPr>
        <w:pStyle w:val="BodyText"/>
        <w:spacing w:before="11"/>
        <w:rPr>
          <w:sz w:val="29"/>
        </w:rPr>
      </w:pPr>
    </w:p>
    <w:p>
      <w:pPr>
        <w:pStyle w:val="Heading6"/>
      </w:pPr>
      <w:r>
        <w:rPr/>
        <w:t>SAMPLE</w:t>
      </w:r>
    </w:p>
    <w:p>
      <w:pPr>
        <w:spacing w:before="114"/>
        <w:ind w:left="159" w:right="0" w:firstLine="0"/>
        <w:jc w:val="left"/>
        <w:rPr>
          <w:sz w:val="20"/>
        </w:rPr>
      </w:pPr>
      <w:r>
        <w:rPr>
          <w:b/>
          <w:sz w:val="20"/>
        </w:rPr>
        <w:t>Statistical meaning: </w:t>
      </w:r>
      <w:r>
        <w:rPr>
          <w:sz w:val="20"/>
        </w:rPr>
        <w:t>A sample is a finite set of observations drawn from a population.</w:t>
      </w:r>
    </w:p>
    <w:p>
      <w:pPr>
        <w:pStyle w:val="BodyText"/>
        <w:rPr>
          <w:sz w:val="22"/>
        </w:rPr>
      </w:pPr>
    </w:p>
    <w:p>
      <w:pPr>
        <w:pStyle w:val="BodyText"/>
        <w:spacing w:before="7"/>
        <w:rPr>
          <w:sz w:val="29"/>
        </w:rPr>
      </w:pPr>
    </w:p>
    <w:p>
      <w:pPr>
        <w:pStyle w:val="Heading6"/>
      </w:pPr>
      <w:r>
        <w:rPr/>
        <w:t>SANDY SOILS</w:t>
      </w:r>
    </w:p>
    <w:p>
      <w:pPr>
        <w:pStyle w:val="BodyText"/>
        <w:spacing w:before="116"/>
        <w:ind w:left="159"/>
      </w:pPr>
      <w:r>
        <w:rPr/>
        <w:t>Includes all soils (regardless of taxonomic classification) having &gt; 70% sand and &lt; 8 % clay (based on standard textural measurements (in FAO classification include: Arenosols, sandy Regosols)).</w:t>
      </w:r>
    </w:p>
    <w:p>
      <w:pPr>
        <w:pStyle w:val="BodyText"/>
        <w:rPr>
          <w:sz w:val="22"/>
        </w:rPr>
      </w:pPr>
    </w:p>
    <w:p>
      <w:pPr>
        <w:pStyle w:val="BodyText"/>
        <w:spacing w:before="7"/>
        <w:rPr>
          <w:sz w:val="29"/>
        </w:rPr>
      </w:pPr>
    </w:p>
    <w:p>
      <w:pPr>
        <w:pStyle w:val="Heading6"/>
        <w:spacing w:before="1"/>
      </w:pPr>
      <w:r>
        <w:rPr/>
        <w:t>SEASONAL (FOREST)</w:t>
      </w:r>
    </w:p>
    <w:p>
      <w:pPr>
        <w:pStyle w:val="BodyText"/>
        <w:spacing w:before="113"/>
        <w:ind w:left="159"/>
      </w:pPr>
      <w:r>
        <w:rPr/>
        <w:t>Semi-deciduous forests with a distinct wet and dry season and rainfall between 1,200 and 2,000 mm per year.</w:t>
      </w:r>
    </w:p>
    <w:p>
      <w:pPr>
        <w:pStyle w:val="BodyText"/>
        <w:rPr>
          <w:sz w:val="22"/>
        </w:rPr>
      </w:pPr>
    </w:p>
    <w:p>
      <w:pPr>
        <w:pStyle w:val="BodyText"/>
        <w:spacing w:before="10"/>
        <w:rPr>
          <w:sz w:val="29"/>
        </w:rPr>
      </w:pPr>
    </w:p>
    <w:p>
      <w:pPr>
        <w:pStyle w:val="Heading6"/>
      </w:pPr>
      <w:r>
        <w:rPr/>
        <w:t>SENSITIVITY</w:t>
      </w:r>
    </w:p>
    <w:p>
      <w:pPr>
        <w:pStyle w:val="BodyText"/>
        <w:spacing w:before="114"/>
        <w:ind w:left="159" w:right="167" w:hanging="1"/>
        <w:jc w:val="both"/>
      </w:pPr>
      <w:r>
        <w:rPr>
          <w:b/>
        </w:rPr>
        <w:t>Statistical definition: </w:t>
      </w:r>
      <w:r>
        <w:rPr/>
        <w:t>A sensitivity is a measurement of how responsive one quantity is to a change in another related quantity. The sensitivity of a quantity Y that is affected by changes in another quantity X, is defined as the change in Y divided by the change in X that caused the changes in</w:t>
      </w:r>
      <w:r>
        <w:rPr>
          <w:spacing w:val="-12"/>
        </w:rPr>
        <w:t> </w:t>
      </w:r>
      <w:r>
        <w:rPr/>
        <w:t>Y.</w:t>
      </w:r>
    </w:p>
    <w:p>
      <w:pPr>
        <w:pStyle w:val="BodyText"/>
        <w:rPr>
          <w:sz w:val="22"/>
        </w:rPr>
      </w:pPr>
    </w:p>
    <w:p>
      <w:pPr>
        <w:pStyle w:val="BodyText"/>
        <w:spacing w:before="8"/>
        <w:rPr>
          <w:sz w:val="29"/>
        </w:rPr>
      </w:pPr>
    </w:p>
    <w:p>
      <w:pPr>
        <w:pStyle w:val="Heading6"/>
      </w:pPr>
      <w:r>
        <w:rPr/>
        <w:t>SENSITIVITY ANALYSIS </w:t>
      </w:r>
    </w:p>
    <w:p>
      <w:pPr>
        <w:pStyle w:val="BodyText"/>
        <w:spacing w:before="116"/>
        <w:ind w:left="159" w:right="161"/>
        <w:jc w:val="both"/>
      </w:pPr>
      <w:r>
        <w:rPr>
          <w:b/>
        </w:rPr>
        <w:t>Statistical definition: </w:t>
      </w:r>
      <w:r>
        <w:rPr>
          <w:spacing w:val="-4"/>
        </w:rPr>
        <w:t>Sensitivity analysis </w:t>
      </w:r>
      <w:r>
        <w:rPr>
          <w:spacing w:val="-3"/>
        </w:rPr>
        <w:t>is </w:t>
      </w:r>
      <w:r>
        <w:rPr/>
        <w:t>a </w:t>
      </w:r>
      <w:r>
        <w:rPr>
          <w:spacing w:val="-3"/>
        </w:rPr>
        <w:t>study </w:t>
      </w:r>
      <w:r>
        <w:rPr/>
        <w:t>of a </w:t>
      </w:r>
      <w:r>
        <w:rPr>
          <w:spacing w:val="-4"/>
        </w:rPr>
        <w:t>model algorithm </w:t>
      </w:r>
      <w:r>
        <w:rPr>
          <w:spacing w:val="-3"/>
        </w:rPr>
        <w:t>to </w:t>
      </w:r>
      <w:r>
        <w:rPr>
          <w:spacing w:val="-4"/>
        </w:rPr>
        <w:t>determine </w:t>
      </w:r>
      <w:r>
        <w:rPr>
          <w:spacing w:val="-3"/>
        </w:rPr>
        <w:t>how </w:t>
      </w:r>
      <w:r>
        <w:rPr>
          <w:spacing w:val="-4"/>
        </w:rPr>
        <w:t>sensitive </w:t>
      </w:r>
      <w:r>
        <w:rPr>
          <w:spacing w:val="-3"/>
        </w:rPr>
        <w:t>(or </w:t>
      </w:r>
      <w:r>
        <w:rPr>
          <w:spacing w:val="-4"/>
        </w:rPr>
        <w:t>stable) </w:t>
      </w:r>
      <w:r>
        <w:rPr>
          <w:spacing w:val="-3"/>
        </w:rPr>
        <w:t>it is to </w:t>
      </w:r>
      <w:r>
        <w:rPr>
          <w:spacing w:val="-5"/>
        </w:rPr>
        <w:t>variations </w:t>
      </w:r>
      <w:r>
        <w:rPr/>
        <w:t>of </w:t>
      </w:r>
      <w:r>
        <w:rPr>
          <w:spacing w:val="-3"/>
        </w:rPr>
        <w:t>its </w:t>
      </w:r>
      <w:r>
        <w:rPr>
          <w:spacing w:val="-4"/>
        </w:rPr>
        <w:t>input </w:t>
      </w:r>
      <w:r>
        <w:rPr>
          <w:spacing w:val="-3"/>
        </w:rPr>
        <w:t>data </w:t>
      </w:r>
      <w:r>
        <w:rPr/>
        <w:t>or </w:t>
      </w:r>
      <w:r>
        <w:rPr>
          <w:spacing w:val="-4"/>
        </w:rPr>
        <w:t>underlying assumptions. </w:t>
      </w:r>
      <w:r>
        <w:rPr/>
        <w:t>It </w:t>
      </w:r>
      <w:r>
        <w:rPr>
          <w:spacing w:val="-3"/>
        </w:rPr>
        <w:t>is </w:t>
      </w:r>
      <w:r>
        <w:rPr>
          <w:spacing w:val="-4"/>
        </w:rPr>
        <w:t>performed </w:t>
      </w:r>
      <w:r>
        <w:rPr/>
        <w:t>by </w:t>
      </w:r>
      <w:r>
        <w:rPr>
          <w:spacing w:val="-4"/>
        </w:rPr>
        <w:t>varying input values </w:t>
      </w:r>
      <w:r>
        <w:rPr/>
        <w:t>or </w:t>
      </w:r>
      <w:r>
        <w:rPr>
          <w:spacing w:val="-4"/>
        </w:rPr>
        <w:t>model equations and observing </w:t>
      </w:r>
      <w:r>
        <w:rPr>
          <w:spacing w:val="-3"/>
        </w:rPr>
        <w:t>how </w:t>
      </w:r>
      <w:r>
        <w:rPr>
          <w:spacing w:val="-4"/>
        </w:rPr>
        <w:t>the model output varies </w:t>
      </w:r>
      <w:r>
        <w:rPr>
          <w:spacing w:val="-5"/>
        </w:rPr>
        <w:t>correspondingly. </w:t>
      </w:r>
      <w:r>
        <w:rPr>
          <w:spacing w:val="-3"/>
        </w:rPr>
        <w:t>The </w:t>
      </w:r>
      <w:r>
        <w:rPr/>
        <w:t>aim of </w:t>
      </w:r>
      <w:r>
        <w:rPr>
          <w:spacing w:val="-4"/>
        </w:rPr>
        <w:t>such </w:t>
      </w:r>
      <w:r>
        <w:rPr/>
        <w:t>a </w:t>
      </w:r>
      <w:r>
        <w:rPr>
          <w:spacing w:val="-4"/>
        </w:rPr>
        <w:t>sensitivity analysis </w:t>
      </w:r>
      <w:r>
        <w:rPr>
          <w:spacing w:val="-3"/>
        </w:rPr>
        <w:t>can </w:t>
      </w:r>
      <w:r>
        <w:rPr>
          <w:spacing w:val="-5"/>
        </w:rPr>
        <w:t>include:</w:t>
      </w:r>
    </w:p>
    <w:p>
      <w:pPr>
        <w:pStyle w:val="ListParagraph"/>
        <w:numPr>
          <w:ilvl w:val="1"/>
          <w:numId w:val="203"/>
        </w:numPr>
        <w:tabs>
          <w:tab w:pos="519" w:val="left" w:leader="none"/>
          <w:tab w:pos="520" w:val="left" w:leader="none"/>
        </w:tabs>
        <w:spacing w:line="240" w:lineRule="auto" w:before="133" w:after="0"/>
        <w:ind w:left="516" w:right="0" w:hanging="357"/>
        <w:jc w:val="left"/>
        <w:rPr>
          <w:sz w:val="20"/>
        </w:rPr>
      </w:pPr>
      <w:r>
        <w:rPr>
          <w:sz w:val="20"/>
        </w:rPr>
        <w:t>Observing the range of output values corresponding to input variables lying within ‘reasonable’ ranges;</w:t>
      </w:r>
      <w:r>
        <w:rPr>
          <w:spacing w:val="-35"/>
          <w:sz w:val="20"/>
        </w:rPr>
        <w:t> </w:t>
      </w:r>
      <w:r>
        <w:rPr>
          <w:sz w:val="20"/>
        </w:rPr>
        <w:t>and</w:t>
      </w:r>
    </w:p>
    <w:p>
      <w:pPr>
        <w:pStyle w:val="ListParagraph"/>
        <w:numPr>
          <w:ilvl w:val="1"/>
          <w:numId w:val="203"/>
        </w:numPr>
        <w:tabs>
          <w:tab w:pos="519" w:val="left" w:leader="none"/>
          <w:tab w:pos="520" w:val="left" w:leader="none"/>
        </w:tabs>
        <w:spacing w:line="223" w:lineRule="auto" w:before="130" w:after="0"/>
        <w:ind w:left="516" w:right="167" w:hanging="357"/>
        <w:jc w:val="left"/>
        <w:rPr>
          <w:sz w:val="20"/>
        </w:rPr>
      </w:pPr>
      <w:r>
        <w:rPr>
          <w:sz w:val="20"/>
        </w:rPr>
        <w:t>Calculating finite difference approximations for elasticities and sensitivities as required by some methodologies for studying error propagation within a</w:t>
      </w:r>
      <w:r>
        <w:rPr>
          <w:spacing w:val="-4"/>
          <w:sz w:val="20"/>
        </w:rPr>
        <w:t> </w:t>
      </w:r>
      <w:r>
        <w:rPr>
          <w:sz w:val="20"/>
        </w:rPr>
        <w:t>system.</w:t>
      </w:r>
    </w:p>
    <w:p>
      <w:pPr>
        <w:pStyle w:val="BodyText"/>
        <w:rPr>
          <w:sz w:val="22"/>
        </w:rPr>
      </w:pPr>
    </w:p>
    <w:p>
      <w:pPr>
        <w:pStyle w:val="BodyText"/>
        <w:rPr>
          <w:sz w:val="30"/>
        </w:rPr>
      </w:pPr>
    </w:p>
    <w:p>
      <w:pPr>
        <w:pStyle w:val="Heading6"/>
      </w:pPr>
      <w:r>
        <w:rPr/>
        <w:t>SEQUESTRATION </w:t>
      </w:r>
    </w:p>
    <w:p>
      <w:pPr>
        <w:pStyle w:val="BodyText"/>
        <w:spacing w:before="114"/>
        <w:ind w:left="159" w:right="163"/>
      </w:pPr>
      <w:r>
        <w:rPr/>
        <w:t>The process of increasing the carbon content of a carbon pool other than the atmosphere. It is preferred to use the term “sink”.</w:t>
      </w: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3"/>
        </w:rPr>
      </w:pPr>
      <w:r>
        <w:rPr/>
        <w:pict>
          <v:line style="position:absolute;mso-position-horizontal-relative:page;mso-position-vertical-relative:paragraph;z-index:31880;mso-wrap-distance-left:0;mso-wrap-distance-right:0" from="70.960999pt,15.647891pt" to="214.960999pt,15.647891pt" stroked="true" strokeweight=".48pt" strokecolor="#000000">
            <v:stroke dashstyle="solid"/>
            <w10:wrap type="topAndBottom"/>
          </v:line>
        </w:pict>
      </w:r>
    </w:p>
    <w:p>
      <w:pPr>
        <w:spacing w:before="30"/>
        <w:ind w:left="300" w:right="532" w:hanging="142"/>
        <w:jc w:val="left"/>
        <w:rPr>
          <w:sz w:val="18"/>
        </w:rPr>
      </w:pPr>
      <w:r>
        <w:rPr>
          <w:position w:val="8"/>
          <w:sz w:val="12"/>
        </w:rPr>
        <w:t>10 </w:t>
      </w:r>
      <w:r>
        <w:rPr>
          <w:sz w:val="18"/>
        </w:rPr>
        <w:t>In the context of the Kyoto Protocol, as stipulated by the Marrakesh Accords, cf. paragraph 1 of the Annex to draft  decision -/CMP.1 (Land use, land-use change and forestry) contained in document FCCC/CP/2001/13/Add.1,</w:t>
      </w:r>
      <w:r>
        <w:rPr>
          <w:spacing w:val="-17"/>
          <w:sz w:val="18"/>
        </w:rPr>
        <w:t> </w:t>
      </w:r>
      <w:r>
        <w:rPr>
          <w:sz w:val="18"/>
        </w:rPr>
        <w:t>p.58.</w:t>
      </w:r>
    </w:p>
    <w:p>
      <w:pPr>
        <w:spacing w:after="0"/>
        <w:jc w:val="left"/>
        <w:rPr>
          <w:sz w:val="18"/>
        </w:rPr>
        <w:sectPr>
          <w:pgSz w:w="11900" w:h="16840"/>
          <w:pgMar w:header="230" w:footer="408" w:top="560" w:bottom="600" w:left="1260" w:right="1240"/>
        </w:sectPr>
      </w:pPr>
    </w:p>
    <w:p>
      <w:pPr>
        <w:pStyle w:val="BodyText"/>
      </w:pPr>
    </w:p>
    <w:p>
      <w:pPr>
        <w:pStyle w:val="Heading6"/>
        <w:spacing w:before="214"/>
      </w:pPr>
      <w:r>
        <w:rPr/>
        <w:t>SETTLEMENTS</w:t>
      </w:r>
    </w:p>
    <w:p>
      <w:pPr>
        <w:pStyle w:val="BodyText"/>
        <w:spacing w:before="117"/>
        <w:ind w:left="159" w:right="163"/>
        <w:jc w:val="both"/>
      </w:pPr>
      <w:r>
        <w:rPr/>
        <w:t>This category includes all developed land, including transportation infrastructure and human settlements of any size, unless they are already included under other categories. This should be consistent with the selection of national definitions.</w:t>
      </w:r>
    </w:p>
    <w:p>
      <w:pPr>
        <w:pStyle w:val="BodyText"/>
        <w:rPr>
          <w:sz w:val="22"/>
        </w:rPr>
      </w:pPr>
    </w:p>
    <w:p>
      <w:pPr>
        <w:pStyle w:val="BodyText"/>
        <w:spacing w:before="7"/>
        <w:rPr>
          <w:sz w:val="29"/>
        </w:rPr>
      </w:pPr>
    </w:p>
    <w:p>
      <w:pPr>
        <w:pStyle w:val="Heading6"/>
        <w:spacing w:before="1"/>
      </w:pPr>
      <w:r>
        <w:rPr/>
        <w:t>SIMPLE RANDOM SAMPLE</w:t>
      </w:r>
    </w:p>
    <w:p>
      <w:pPr>
        <w:pStyle w:val="BodyText"/>
        <w:spacing w:before="113"/>
        <w:ind w:left="159" w:right="166"/>
      </w:pPr>
      <w:r>
        <w:rPr>
          <w:b/>
        </w:rPr>
        <w:t>Statistical definition: </w:t>
      </w:r>
      <w:r>
        <w:rPr/>
        <w:t>A sample of </w:t>
      </w:r>
      <w:r>
        <w:rPr>
          <w:i/>
        </w:rPr>
        <w:t>n </w:t>
      </w:r>
      <w:r>
        <w:rPr/>
        <w:t>items chosen from a population such that every possible sample has the same probability of being chosen.</w:t>
      </w:r>
    </w:p>
    <w:p>
      <w:pPr>
        <w:pStyle w:val="BodyText"/>
        <w:rPr>
          <w:sz w:val="22"/>
        </w:rPr>
      </w:pPr>
    </w:p>
    <w:p>
      <w:pPr>
        <w:pStyle w:val="BodyText"/>
        <w:spacing w:before="10"/>
        <w:rPr>
          <w:sz w:val="29"/>
        </w:rPr>
      </w:pPr>
    </w:p>
    <w:p>
      <w:pPr>
        <w:pStyle w:val="Heading6"/>
      </w:pPr>
      <w:r>
        <w:rPr/>
        <w:t>SINK</w:t>
      </w:r>
    </w:p>
    <w:p>
      <w:pPr>
        <w:pStyle w:val="BodyText"/>
        <w:spacing w:before="114"/>
        <w:ind w:left="159"/>
      </w:pPr>
      <w:r>
        <w:rPr/>
        <w:t>Any process, activity or mechanism which removes a greenhouse gas, an aerosol, or a precursor of a greenhouse gas from the atmosphere. Notation in the final stages of reporting is the negative (-) sign.</w:t>
      </w:r>
    </w:p>
    <w:p>
      <w:pPr>
        <w:pStyle w:val="BodyText"/>
        <w:rPr>
          <w:sz w:val="22"/>
        </w:rPr>
      </w:pPr>
    </w:p>
    <w:p>
      <w:pPr>
        <w:pStyle w:val="BodyText"/>
        <w:spacing w:before="10"/>
        <w:rPr>
          <w:sz w:val="29"/>
        </w:rPr>
      </w:pPr>
    </w:p>
    <w:p>
      <w:pPr>
        <w:pStyle w:val="Heading6"/>
      </w:pPr>
      <w:r>
        <w:rPr/>
        <w:t>SKEWNESS</w:t>
      </w:r>
    </w:p>
    <w:p>
      <w:pPr>
        <w:pStyle w:val="BodyText"/>
        <w:spacing w:before="114"/>
        <w:ind w:left="159" w:right="166"/>
      </w:pPr>
      <w:r>
        <w:rPr>
          <w:b/>
        </w:rPr>
        <w:t>Statistical definition: </w:t>
      </w:r>
      <w:r>
        <w:rPr/>
        <w:t>Skewness is a measure of asymmetry of a PDF. It is a simple function of two moments of the PDF, given by:</w:t>
      </w:r>
    </w:p>
    <w:p>
      <w:pPr>
        <w:spacing w:after="0"/>
        <w:sectPr>
          <w:pgSz w:w="11900" w:h="16840"/>
          <w:pgMar w:header="230" w:footer="408" w:top="560" w:bottom="600" w:left="1260" w:right="1240"/>
        </w:sectPr>
      </w:pPr>
    </w:p>
    <w:p>
      <w:pPr>
        <w:tabs>
          <w:tab w:pos="1282" w:val="left" w:leader="none"/>
        </w:tabs>
        <w:spacing w:before="131"/>
        <w:ind w:left="665" w:right="0" w:firstLine="0"/>
        <w:jc w:val="left"/>
        <w:rPr>
          <w:sz w:val="21"/>
        </w:rPr>
      </w:pPr>
      <w:r>
        <w:rPr/>
        <w:pict>
          <v:shape style="position:absolute;margin-left:72.159912pt;margin-top:12.767442pt;width:15.45pt;height:13.65pt;mso-position-horizontal-relative:page;mso-position-vertical-relative:paragraph;z-index:34024" type="#_x0000_t202" filled="false" stroked="false">
            <v:textbox inset="0,0,0,0">
              <w:txbxContent>
                <w:p>
                  <w:pPr>
                    <w:spacing w:line="235" w:lineRule="exact" w:before="37"/>
                    <w:ind w:left="0" w:right="0" w:firstLine="0"/>
                    <w:jc w:val="left"/>
                    <w:rPr>
                      <w:rFonts w:ascii="Symbol" w:hAnsi="Symbol"/>
                      <w:sz w:val="20"/>
                    </w:rPr>
                  </w:pPr>
                  <w:r>
                    <w:rPr>
                      <w:rFonts w:ascii="Symbol" w:hAnsi="Symbol"/>
                      <w:sz w:val="21"/>
                    </w:rPr>
                    <w:t>γ </w:t>
                  </w:r>
                  <w:r>
                    <w:rPr>
                      <w:rFonts w:ascii="Symbol" w:hAnsi="Symbol"/>
                      <w:sz w:val="20"/>
                    </w:rPr>
                    <w:t>=</w:t>
                  </w:r>
                </w:p>
              </w:txbxContent>
            </v:textbox>
            <w10:wrap type="none"/>
          </v:shape>
        </w:pict>
      </w:r>
      <w:r>
        <w:rPr/>
        <w:pict>
          <v:shape style="position:absolute;margin-left:116.080597pt;margin-top:13.238379pt;width:5.5pt;height:13pt;mso-position-horizontal-relative:page;mso-position-vertical-relative:paragraph;z-index:-2422120" type="#_x0000_t202" filled="false" stroked="false">
            <v:textbox inset="0,0,0,0">
              <w:txbxContent>
                <w:p>
                  <w:pPr>
                    <w:pStyle w:val="BodyText"/>
                    <w:spacing w:line="224" w:lineRule="exact" w:before="36"/>
                    <w:rPr>
                      <w:rFonts w:ascii="Symbol"/>
                    </w:rPr>
                  </w:pPr>
                  <w:r>
                    <w:rPr>
                      <w:rFonts w:ascii="Symbol"/>
                      <w:w w:val="99"/>
                    </w:rPr>
                    <w:t>=</w:t>
                  </w:r>
                </w:p>
              </w:txbxContent>
            </v:textbox>
            <w10:wrap type="none"/>
          </v:shape>
        </w:pict>
      </w:r>
      <w:r>
        <w:rPr>
          <w:rFonts w:ascii="Symbol" w:hAnsi="Symbol"/>
          <w:spacing w:val="8"/>
          <w:sz w:val="21"/>
        </w:rPr>
        <w:t>µ</w:t>
      </w:r>
      <w:r>
        <w:rPr>
          <w:spacing w:val="8"/>
          <w:sz w:val="21"/>
          <w:vertAlign w:val="subscript"/>
        </w:rPr>
        <w:t>3</w:t>
      </w:r>
      <w:r>
        <w:rPr>
          <w:spacing w:val="8"/>
          <w:sz w:val="21"/>
          <w:vertAlign w:val="baseline"/>
        </w:rPr>
        <w:tab/>
      </w:r>
      <w:r>
        <w:rPr>
          <w:rFonts w:ascii="Symbol" w:hAnsi="Symbol"/>
          <w:spacing w:val="-47"/>
          <w:sz w:val="21"/>
          <w:vertAlign w:val="baseline"/>
        </w:rPr>
        <w:t>µ</w:t>
      </w:r>
      <w:r>
        <w:rPr>
          <w:spacing w:val="-47"/>
          <w:sz w:val="21"/>
          <w:vertAlign w:val="subscript"/>
        </w:rPr>
        <w:t>3</w:t>
      </w:r>
    </w:p>
    <w:p>
      <w:pPr>
        <w:tabs>
          <w:tab w:pos="1421" w:val="left" w:leader="none"/>
        </w:tabs>
        <w:spacing w:line="160" w:lineRule="exact" w:before="41"/>
        <w:ind w:left="742" w:right="0" w:firstLine="0"/>
        <w:jc w:val="left"/>
        <w:rPr>
          <w:sz w:val="14"/>
        </w:rPr>
      </w:pPr>
      <w:r>
        <w:rPr/>
        <w:pict>
          <v:group style="position:absolute;margin-left:91.841003pt;margin-top:1.137946pt;width:19.8pt;height:9.15pt;mso-position-horizontal-relative:page;mso-position-vertical-relative:paragraph;z-index:-2422216" coordorigin="1837,23" coordsize="396,183">
            <v:line style="position:absolute" from="2108,64" to="2065,203" stroked="true" strokeweight=".248pt" strokecolor="#000000">
              <v:stroke dashstyle="solid"/>
            </v:line>
            <v:line style="position:absolute" from="1837,28" to="2233,28" stroked="true" strokeweight=".495pt" strokecolor="#000000">
              <v:stroke dashstyle="solid"/>
            </v:line>
            <w10:wrap type="none"/>
          </v:group>
        </w:pict>
      </w:r>
      <w:r>
        <w:rPr/>
        <w:pict>
          <v:line style="position:absolute;mso-position-horizontal-relative:page;mso-position-vertical-relative:paragraph;z-index:33976" from="125.681pt,1.385446pt" to="139.601pt,1.385446pt" stroked="true" strokeweight=".495pt" strokecolor="#000000">
            <v:stroke dashstyle="solid"/>
            <w10:wrap type="none"/>
          </v:line>
        </w:pict>
      </w:r>
      <w:r>
        <w:rPr/>
        <w:pict>
          <v:shape style="position:absolute;margin-left:92.800056pt;margin-top:2.839402pt;width:5.75pt;height:13.65pt;mso-position-horizontal-relative:page;mso-position-vertical-relative:paragraph;z-index:34000" type="#_x0000_t202" filled="false" stroked="false">
            <v:textbox inset="0,0,0,0">
              <w:txbxContent>
                <w:p>
                  <w:pPr>
                    <w:spacing w:line="235" w:lineRule="exact" w:before="37"/>
                    <w:ind w:left="0" w:right="0" w:firstLine="0"/>
                    <w:jc w:val="left"/>
                    <w:rPr>
                      <w:rFonts w:ascii="Symbol" w:hAnsi="Symbol"/>
                      <w:sz w:val="21"/>
                    </w:rPr>
                  </w:pPr>
                  <w:r>
                    <w:rPr>
                      <w:rFonts w:ascii="Symbol" w:hAnsi="Symbol"/>
                      <w:w w:val="91"/>
                      <w:sz w:val="21"/>
                    </w:rPr>
                    <w:t>µ</w:t>
                  </w:r>
                </w:p>
              </w:txbxContent>
            </v:textbox>
            <w10:wrap type="none"/>
          </v:shape>
        </w:pict>
      </w:r>
      <w:r>
        <w:rPr/>
        <w:pict>
          <v:shape style="position:absolute;margin-left:125.800598pt;margin-top:2.480302pt;width:6.05pt;height:13.65pt;mso-position-horizontal-relative:page;mso-position-vertical-relative:paragraph;z-index:-2422096" type="#_x0000_t202" filled="false" stroked="false">
            <v:textbox inset="0,0,0,0">
              <w:txbxContent>
                <w:p>
                  <w:pPr>
                    <w:spacing w:line="235" w:lineRule="exact" w:before="37"/>
                    <w:ind w:left="0" w:right="0" w:firstLine="0"/>
                    <w:jc w:val="left"/>
                    <w:rPr>
                      <w:rFonts w:ascii="Symbol" w:hAnsi="Symbol"/>
                      <w:sz w:val="21"/>
                    </w:rPr>
                  </w:pPr>
                  <w:r>
                    <w:rPr>
                      <w:rFonts w:ascii="Symbol" w:hAnsi="Symbol"/>
                      <w:w w:val="94"/>
                      <w:sz w:val="21"/>
                    </w:rPr>
                    <w:t>σ</w:t>
                  </w:r>
                </w:p>
              </w:txbxContent>
            </v:textbox>
            <w10:wrap type="none"/>
          </v:shape>
        </w:pict>
      </w:r>
      <w:r>
        <w:rPr>
          <w:sz w:val="14"/>
        </w:rPr>
        <w:t>3</w:t>
      </w:r>
      <w:r>
        <w:rPr>
          <w:spacing w:val="11"/>
          <w:sz w:val="14"/>
        </w:rPr>
        <w:t> </w:t>
      </w:r>
      <w:r>
        <w:rPr>
          <w:sz w:val="14"/>
        </w:rPr>
        <w:t>2</w:t>
        <w:tab/>
      </w:r>
      <w:r>
        <w:rPr>
          <w:spacing w:val="-20"/>
          <w:sz w:val="14"/>
        </w:rPr>
        <w:t>3</w:t>
      </w:r>
    </w:p>
    <w:p>
      <w:pPr>
        <w:spacing w:line="160" w:lineRule="exact" w:before="0"/>
        <w:ind w:left="44" w:right="0" w:firstLine="0"/>
        <w:jc w:val="center"/>
        <w:rPr>
          <w:sz w:val="14"/>
        </w:rPr>
      </w:pPr>
      <w:r>
        <w:rPr>
          <w:w w:val="99"/>
          <w:sz w:val="14"/>
        </w:rPr>
        <w:t>2</w:t>
      </w:r>
    </w:p>
    <w:p>
      <w:pPr>
        <w:pStyle w:val="BodyText"/>
        <w:spacing w:before="5"/>
        <w:rPr>
          <w:sz w:val="23"/>
        </w:rPr>
      </w:pPr>
      <w:r>
        <w:rPr/>
        <w:br w:type="column"/>
      </w:r>
      <w:r>
        <w:rPr>
          <w:sz w:val="23"/>
        </w:rPr>
      </w:r>
    </w:p>
    <w:p>
      <w:pPr>
        <w:pStyle w:val="BodyText"/>
        <w:ind w:left="101"/>
      </w:pPr>
      <w:r>
        <w:rPr/>
        <w:t>where </w:t>
      </w:r>
      <w:r>
        <w:rPr>
          <w:rFonts w:ascii="Symbol" w:hAnsi="Symbol"/>
          <w:sz w:val="21"/>
        </w:rPr>
        <w:t>µ</w:t>
      </w:r>
      <w:r>
        <w:rPr>
          <w:i/>
          <w:sz w:val="21"/>
          <w:vertAlign w:val="subscript"/>
        </w:rPr>
        <w:t>2</w:t>
      </w:r>
      <w:r>
        <w:rPr>
          <w:vertAlign w:val="baseline"/>
        </w:rPr>
        <w:t>, </w:t>
      </w:r>
      <w:r>
        <w:rPr>
          <w:rFonts w:ascii="Symbol" w:hAnsi="Symbol"/>
          <w:sz w:val="21"/>
          <w:vertAlign w:val="baseline"/>
        </w:rPr>
        <w:t>µ</w:t>
      </w:r>
      <w:r>
        <w:rPr>
          <w:i/>
          <w:sz w:val="21"/>
          <w:vertAlign w:val="subscript"/>
        </w:rPr>
        <w:t>3</w:t>
      </w:r>
      <w:r>
        <w:rPr>
          <w:vertAlign w:val="baseline"/>
        </w:rPr>
        <w:t>, and </w:t>
      </w:r>
      <w:r>
        <w:rPr>
          <w:rFonts w:ascii="Symbol" w:hAnsi="Symbol"/>
          <w:sz w:val="21"/>
          <w:vertAlign w:val="baseline"/>
        </w:rPr>
        <w:t>σ </w:t>
      </w:r>
      <w:r>
        <w:rPr>
          <w:vertAlign w:val="baseline"/>
        </w:rPr>
        <w:t>are central moments. Symmetric distributions have </w:t>
      </w:r>
      <w:r>
        <w:rPr>
          <w:rFonts w:ascii="Symbol" w:hAnsi="Symbol"/>
          <w:sz w:val="21"/>
          <w:vertAlign w:val="baseline"/>
        </w:rPr>
        <w:t>γ </w:t>
      </w:r>
      <w:r>
        <w:rPr>
          <w:i/>
          <w:vertAlign w:val="baseline"/>
        </w:rPr>
        <w:t>= </w:t>
      </w:r>
      <w:r>
        <w:rPr>
          <w:vertAlign w:val="baseline"/>
        </w:rPr>
        <w:t>0. The same name</w:t>
      </w:r>
    </w:p>
    <w:p>
      <w:pPr>
        <w:spacing w:after="0"/>
        <w:sectPr>
          <w:type w:val="continuous"/>
          <w:pgSz w:w="11900" w:h="16840"/>
          <w:pgMar w:top="1060" w:bottom="280" w:left="1260" w:right="1240"/>
          <w:cols w:num="2" w:equalWidth="0">
            <w:col w:w="1492" w:space="40"/>
            <w:col w:w="7868"/>
          </w:cols>
        </w:sectPr>
      </w:pPr>
    </w:p>
    <w:p>
      <w:pPr>
        <w:pStyle w:val="BodyText"/>
        <w:spacing w:before="9"/>
        <w:ind w:left="159" w:right="185"/>
      </w:pPr>
      <w:r>
        <w:rPr/>
        <w:t>is frequently used for sample skewness, in which case both population moments are replaced by sample moments.</w:t>
      </w:r>
    </w:p>
    <w:p>
      <w:pPr>
        <w:pStyle w:val="BodyText"/>
        <w:rPr>
          <w:sz w:val="22"/>
        </w:rPr>
      </w:pPr>
    </w:p>
    <w:p>
      <w:pPr>
        <w:pStyle w:val="BodyText"/>
        <w:spacing w:before="8"/>
        <w:rPr>
          <w:sz w:val="29"/>
        </w:rPr>
      </w:pPr>
    </w:p>
    <w:p>
      <w:pPr>
        <w:pStyle w:val="Heading6"/>
      </w:pPr>
      <w:r>
        <w:rPr/>
        <w:t>SOIL ORGANIC MATTER</w:t>
      </w:r>
    </w:p>
    <w:p>
      <w:pPr>
        <w:pStyle w:val="BodyText"/>
        <w:spacing w:before="116"/>
        <w:ind w:left="159" w:right="166"/>
        <w:jc w:val="both"/>
      </w:pPr>
      <w:r>
        <w:rPr/>
        <w:t>Includes</w:t>
      </w:r>
      <w:r>
        <w:rPr>
          <w:spacing w:val="-9"/>
        </w:rPr>
        <w:t> </w:t>
      </w:r>
      <w:r>
        <w:rPr>
          <w:spacing w:val="-3"/>
        </w:rPr>
        <w:t>organic</w:t>
      </w:r>
      <w:r>
        <w:rPr>
          <w:spacing w:val="-7"/>
        </w:rPr>
        <w:t> </w:t>
      </w:r>
      <w:r>
        <w:rPr/>
        <w:t>carbon</w:t>
      </w:r>
      <w:r>
        <w:rPr>
          <w:spacing w:val="-9"/>
        </w:rPr>
        <w:t> </w:t>
      </w:r>
      <w:r>
        <w:rPr/>
        <w:t>in</w:t>
      </w:r>
      <w:r>
        <w:rPr>
          <w:spacing w:val="-8"/>
        </w:rPr>
        <w:t> </w:t>
      </w:r>
      <w:r>
        <w:rPr>
          <w:spacing w:val="-3"/>
        </w:rPr>
        <w:t>mineral</w:t>
      </w:r>
      <w:r>
        <w:rPr>
          <w:spacing w:val="-8"/>
        </w:rPr>
        <w:t> </w:t>
      </w:r>
      <w:r>
        <w:rPr>
          <w:spacing w:val="-2"/>
        </w:rPr>
        <w:t>and</w:t>
      </w:r>
      <w:r>
        <w:rPr>
          <w:spacing w:val="-7"/>
        </w:rPr>
        <w:t> </w:t>
      </w:r>
      <w:r>
        <w:rPr/>
        <w:t>organic</w:t>
      </w:r>
      <w:r>
        <w:rPr>
          <w:spacing w:val="-8"/>
        </w:rPr>
        <w:t> </w:t>
      </w:r>
      <w:r>
        <w:rPr>
          <w:spacing w:val="-2"/>
        </w:rPr>
        <w:t>soils</w:t>
      </w:r>
      <w:r>
        <w:rPr>
          <w:spacing w:val="-8"/>
        </w:rPr>
        <w:t> </w:t>
      </w:r>
      <w:r>
        <w:rPr/>
        <w:t>(including</w:t>
      </w:r>
      <w:r>
        <w:rPr>
          <w:spacing w:val="-9"/>
        </w:rPr>
        <w:t> </w:t>
      </w:r>
      <w:r>
        <w:rPr/>
        <w:t>peat)</w:t>
      </w:r>
      <w:r>
        <w:rPr>
          <w:spacing w:val="-8"/>
        </w:rPr>
        <w:t> </w:t>
      </w:r>
      <w:r>
        <w:rPr/>
        <w:t>to</w:t>
      </w:r>
      <w:r>
        <w:rPr>
          <w:spacing w:val="-7"/>
        </w:rPr>
        <w:t> </w:t>
      </w:r>
      <w:r>
        <w:rPr/>
        <w:t>a</w:t>
      </w:r>
      <w:r>
        <w:rPr>
          <w:spacing w:val="-7"/>
        </w:rPr>
        <w:t> </w:t>
      </w:r>
      <w:r>
        <w:rPr>
          <w:spacing w:val="-3"/>
        </w:rPr>
        <w:t>specified</w:t>
      </w:r>
      <w:r>
        <w:rPr>
          <w:spacing w:val="-8"/>
        </w:rPr>
        <w:t> </w:t>
      </w:r>
      <w:r>
        <w:rPr/>
        <w:t>depth</w:t>
      </w:r>
      <w:r>
        <w:rPr>
          <w:spacing w:val="-9"/>
        </w:rPr>
        <w:t> </w:t>
      </w:r>
      <w:r>
        <w:rPr/>
        <w:t>chosen</w:t>
      </w:r>
      <w:r>
        <w:rPr>
          <w:spacing w:val="-9"/>
        </w:rPr>
        <w:t> </w:t>
      </w:r>
      <w:r>
        <w:rPr/>
        <w:t>by</w:t>
      </w:r>
      <w:r>
        <w:rPr>
          <w:spacing w:val="-11"/>
        </w:rPr>
        <w:t> </w:t>
      </w:r>
      <w:r>
        <w:rPr/>
        <w:t>the</w:t>
      </w:r>
      <w:r>
        <w:rPr>
          <w:spacing w:val="-7"/>
        </w:rPr>
        <w:t> </w:t>
      </w:r>
      <w:r>
        <w:rPr/>
        <w:t>country</w:t>
      </w:r>
      <w:r>
        <w:rPr>
          <w:spacing w:val="-11"/>
        </w:rPr>
        <w:t> </w:t>
      </w:r>
      <w:r>
        <w:rPr/>
        <w:t>and </w:t>
      </w:r>
      <w:r>
        <w:rPr>
          <w:spacing w:val="-3"/>
        </w:rPr>
        <w:t>applied </w:t>
      </w:r>
      <w:r>
        <w:rPr>
          <w:spacing w:val="-2"/>
        </w:rPr>
        <w:t>consistently </w:t>
      </w:r>
      <w:r>
        <w:rPr/>
        <w:t>through the time </w:t>
      </w:r>
      <w:r>
        <w:rPr>
          <w:spacing w:val="-3"/>
        </w:rPr>
        <w:t>series. </w:t>
      </w:r>
      <w:r>
        <w:rPr/>
        <w:t>Live </w:t>
      </w:r>
      <w:r>
        <w:rPr>
          <w:spacing w:val="-3"/>
        </w:rPr>
        <w:t>fine </w:t>
      </w:r>
      <w:r>
        <w:rPr/>
        <w:t>roots (of less than the </w:t>
      </w:r>
      <w:r>
        <w:rPr>
          <w:spacing w:val="-3"/>
        </w:rPr>
        <w:t>suggested </w:t>
      </w:r>
      <w:r>
        <w:rPr/>
        <w:t>diameter limit </w:t>
      </w:r>
      <w:r>
        <w:rPr>
          <w:spacing w:val="-3"/>
        </w:rPr>
        <w:t>for below- ground</w:t>
      </w:r>
      <w:r>
        <w:rPr>
          <w:spacing w:val="-6"/>
        </w:rPr>
        <w:t> </w:t>
      </w:r>
      <w:r>
        <w:rPr>
          <w:spacing w:val="-3"/>
        </w:rPr>
        <w:t>biomass)</w:t>
      </w:r>
      <w:r>
        <w:rPr>
          <w:spacing w:val="-4"/>
        </w:rPr>
        <w:t> </w:t>
      </w:r>
      <w:r>
        <w:rPr/>
        <w:t>are</w:t>
      </w:r>
      <w:r>
        <w:rPr>
          <w:spacing w:val="-6"/>
        </w:rPr>
        <w:t> </w:t>
      </w:r>
      <w:r>
        <w:rPr/>
        <w:t>included</w:t>
      </w:r>
      <w:r>
        <w:rPr>
          <w:spacing w:val="-4"/>
        </w:rPr>
        <w:t> </w:t>
      </w:r>
      <w:r>
        <w:rPr/>
        <w:t>with</w:t>
      </w:r>
      <w:r>
        <w:rPr>
          <w:spacing w:val="-8"/>
        </w:rPr>
        <w:t> </w:t>
      </w:r>
      <w:r>
        <w:rPr/>
        <w:t>soil</w:t>
      </w:r>
      <w:r>
        <w:rPr>
          <w:spacing w:val="-6"/>
        </w:rPr>
        <w:t> </w:t>
      </w:r>
      <w:r>
        <w:rPr/>
        <w:t>organic</w:t>
      </w:r>
      <w:r>
        <w:rPr>
          <w:spacing w:val="-4"/>
        </w:rPr>
        <w:t> </w:t>
      </w:r>
      <w:r>
        <w:rPr>
          <w:spacing w:val="-3"/>
        </w:rPr>
        <w:t>matter</w:t>
      </w:r>
      <w:r>
        <w:rPr>
          <w:spacing w:val="-4"/>
        </w:rPr>
        <w:t> </w:t>
      </w:r>
      <w:r>
        <w:rPr>
          <w:spacing w:val="-3"/>
        </w:rPr>
        <w:t>where</w:t>
      </w:r>
      <w:r>
        <w:rPr>
          <w:spacing w:val="-4"/>
        </w:rPr>
        <w:t> </w:t>
      </w:r>
      <w:r>
        <w:rPr/>
        <w:t>they</w:t>
      </w:r>
      <w:r>
        <w:rPr>
          <w:spacing w:val="-8"/>
        </w:rPr>
        <w:t> </w:t>
      </w:r>
      <w:r>
        <w:rPr/>
        <w:t>cannot</w:t>
      </w:r>
      <w:r>
        <w:rPr>
          <w:spacing w:val="-7"/>
        </w:rPr>
        <w:t> </w:t>
      </w:r>
      <w:r>
        <w:rPr/>
        <w:t>be</w:t>
      </w:r>
      <w:r>
        <w:rPr>
          <w:spacing w:val="-5"/>
        </w:rPr>
        <w:t> </w:t>
      </w:r>
      <w:r>
        <w:rPr>
          <w:spacing w:val="-3"/>
        </w:rPr>
        <w:t>distinguished</w:t>
      </w:r>
      <w:r>
        <w:rPr>
          <w:spacing w:val="-4"/>
        </w:rPr>
        <w:t> </w:t>
      </w:r>
      <w:r>
        <w:rPr/>
        <w:t>from</w:t>
      </w:r>
      <w:r>
        <w:rPr>
          <w:spacing w:val="-11"/>
        </w:rPr>
        <w:t> </w:t>
      </w:r>
      <w:r>
        <w:rPr/>
        <w:t>it</w:t>
      </w:r>
      <w:r>
        <w:rPr>
          <w:spacing w:val="-5"/>
        </w:rPr>
        <w:t> </w:t>
      </w:r>
      <w:r>
        <w:rPr>
          <w:spacing w:val="-3"/>
        </w:rPr>
        <w:t>empirically.</w:t>
      </w:r>
    </w:p>
    <w:p>
      <w:pPr>
        <w:pStyle w:val="BodyText"/>
        <w:rPr>
          <w:sz w:val="22"/>
        </w:rPr>
      </w:pPr>
    </w:p>
    <w:p>
      <w:pPr>
        <w:pStyle w:val="BodyText"/>
        <w:spacing w:before="8"/>
        <w:rPr>
          <w:sz w:val="29"/>
        </w:rPr>
      </w:pPr>
    </w:p>
    <w:p>
      <w:pPr>
        <w:pStyle w:val="Heading6"/>
      </w:pPr>
      <w:r>
        <w:rPr/>
        <w:t>SOURCE</w:t>
      </w:r>
    </w:p>
    <w:p>
      <w:pPr>
        <w:pStyle w:val="BodyText"/>
        <w:spacing w:before="114"/>
        <w:ind w:left="159"/>
      </w:pPr>
      <w:r>
        <w:rPr/>
        <w:t>Any process or activity which releases a greenhouse gas, an aerosol or a precursor of a greenhouse gas into the atmosphere. Notation in the final stages of reporting is the positive (+) sign.</w:t>
      </w:r>
    </w:p>
    <w:p>
      <w:pPr>
        <w:pStyle w:val="BodyText"/>
        <w:rPr>
          <w:sz w:val="22"/>
        </w:rPr>
      </w:pPr>
    </w:p>
    <w:p>
      <w:pPr>
        <w:pStyle w:val="BodyText"/>
        <w:spacing w:before="10"/>
        <w:rPr>
          <w:sz w:val="29"/>
        </w:rPr>
      </w:pPr>
    </w:p>
    <w:p>
      <w:pPr>
        <w:pStyle w:val="Heading6"/>
        <w:jc w:val="both"/>
      </w:pPr>
      <w:r>
        <w:rPr/>
        <w:t>SPATIAL INTERPOLATION</w:t>
      </w:r>
    </w:p>
    <w:p>
      <w:pPr>
        <w:pStyle w:val="BodyText"/>
        <w:spacing w:before="113"/>
        <w:ind w:left="159"/>
        <w:jc w:val="both"/>
      </w:pPr>
      <w:r>
        <w:rPr/>
        <w:t>Inference about the characteristics of land from known information on surrounding land locations.</w:t>
      </w:r>
    </w:p>
    <w:p>
      <w:pPr>
        <w:pStyle w:val="BodyText"/>
        <w:rPr>
          <w:sz w:val="22"/>
        </w:rPr>
      </w:pPr>
    </w:p>
    <w:p>
      <w:pPr>
        <w:pStyle w:val="BodyText"/>
        <w:spacing w:before="8"/>
        <w:rPr>
          <w:sz w:val="29"/>
        </w:rPr>
      </w:pPr>
    </w:p>
    <w:p>
      <w:pPr>
        <w:pStyle w:val="Heading6"/>
        <w:jc w:val="both"/>
      </w:pPr>
      <w:r>
        <w:rPr/>
        <w:t>SPATIALLY EXPLICIT </w:t>
      </w:r>
    </w:p>
    <w:p>
      <w:pPr>
        <w:pStyle w:val="BodyText"/>
        <w:spacing w:before="116"/>
        <w:ind w:left="159"/>
        <w:jc w:val="both"/>
      </w:pPr>
      <w:r>
        <w:rPr/>
        <w:t>Mapped or otherwise geographically referenced.</w:t>
      </w:r>
    </w:p>
    <w:p>
      <w:pPr>
        <w:pStyle w:val="BodyText"/>
        <w:rPr>
          <w:sz w:val="22"/>
        </w:rPr>
      </w:pPr>
    </w:p>
    <w:p>
      <w:pPr>
        <w:pStyle w:val="BodyText"/>
        <w:spacing w:before="7"/>
        <w:rPr>
          <w:sz w:val="29"/>
        </w:rPr>
      </w:pPr>
    </w:p>
    <w:p>
      <w:pPr>
        <w:pStyle w:val="Heading6"/>
        <w:jc w:val="both"/>
      </w:pPr>
      <w:r>
        <w:rPr/>
        <w:t>SPODIC SOILS</w:t>
      </w:r>
    </w:p>
    <w:p>
      <w:pPr>
        <w:pStyle w:val="BodyText"/>
        <w:spacing w:before="116"/>
        <w:ind w:left="159"/>
        <w:jc w:val="both"/>
      </w:pPr>
      <w:r>
        <w:rPr/>
        <w:t>Soils exhibiting strong podzolization (in FAO classification includes many Podzolic groups).</w:t>
      </w:r>
    </w:p>
    <w:p>
      <w:pPr>
        <w:spacing w:after="0"/>
        <w:jc w:val="both"/>
        <w:sectPr>
          <w:type w:val="continuous"/>
          <w:pgSz w:w="11900" w:h="16840"/>
          <w:pgMar w:top="1060" w:bottom="280" w:left="1260" w:right="1240"/>
        </w:sectPr>
      </w:pPr>
    </w:p>
    <w:p>
      <w:pPr>
        <w:pStyle w:val="BodyText"/>
      </w:pPr>
    </w:p>
    <w:p>
      <w:pPr>
        <w:pStyle w:val="Heading6"/>
        <w:spacing w:before="214"/>
      </w:pPr>
      <w:r>
        <w:rPr/>
        <w:t>STANDARD DEVIATION </w:t>
      </w:r>
    </w:p>
    <w:p>
      <w:pPr>
        <w:pStyle w:val="BodyText"/>
        <w:spacing w:before="117"/>
        <w:ind w:left="159" w:right="185"/>
      </w:pPr>
      <w:r>
        <w:rPr>
          <w:b/>
        </w:rPr>
        <w:t>Statistical definition: </w:t>
      </w:r>
      <w:r>
        <w:rPr/>
        <w:t>The population standard deviation is the positive square root of the variance. It is estimated by the sample standard deviation that is the positive square root of the sample variance.</w:t>
      </w:r>
    </w:p>
    <w:p>
      <w:pPr>
        <w:pStyle w:val="BodyText"/>
        <w:rPr>
          <w:sz w:val="22"/>
        </w:rPr>
      </w:pPr>
    </w:p>
    <w:p>
      <w:pPr>
        <w:pStyle w:val="BodyText"/>
        <w:spacing w:before="7"/>
        <w:rPr>
          <w:sz w:val="29"/>
        </w:rPr>
      </w:pPr>
    </w:p>
    <w:p>
      <w:pPr>
        <w:pStyle w:val="Heading6"/>
      </w:pPr>
      <w:r>
        <w:rPr/>
        <w:t>STANDING VOLUME</w:t>
      </w:r>
    </w:p>
    <w:p>
      <w:pPr>
        <w:pStyle w:val="BodyText"/>
        <w:spacing w:before="116"/>
        <w:ind w:left="159" w:right="165"/>
        <w:jc w:val="both"/>
      </w:pPr>
      <w:r>
        <w:rPr/>
        <w:t>Volume of standing trees, living or dead, above stump measured overbark to a predefined top diameter. Includes all trees with diameter above a given diameter at breast height (dbh). The minimum dbh and the top diameter vary by country and are usually country defined.</w:t>
      </w:r>
    </w:p>
    <w:p>
      <w:pPr>
        <w:pStyle w:val="BodyText"/>
        <w:rPr>
          <w:sz w:val="22"/>
        </w:rPr>
      </w:pPr>
    </w:p>
    <w:p>
      <w:pPr>
        <w:pStyle w:val="BodyText"/>
        <w:spacing w:before="8"/>
        <w:rPr>
          <w:sz w:val="29"/>
        </w:rPr>
      </w:pPr>
    </w:p>
    <w:p>
      <w:pPr>
        <w:pStyle w:val="Heading6"/>
      </w:pPr>
      <w:r>
        <w:rPr/>
        <w:t>STATISTIC</w:t>
      </w:r>
    </w:p>
    <w:p>
      <w:pPr>
        <w:spacing w:before="114"/>
        <w:ind w:left="159" w:right="0" w:firstLine="0"/>
        <w:jc w:val="left"/>
        <w:rPr>
          <w:sz w:val="20"/>
        </w:rPr>
      </w:pPr>
      <w:r>
        <w:rPr>
          <w:b/>
          <w:sz w:val="20"/>
        </w:rPr>
        <w:t>Statistical definition: </w:t>
      </w:r>
      <w:r>
        <w:rPr>
          <w:sz w:val="20"/>
        </w:rPr>
        <w:t>A statistic is a function of the sample random variables.</w:t>
      </w:r>
    </w:p>
    <w:p>
      <w:pPr>
        <w:pStyle w:val="BodyText"/>
        <w:rPr>
          <w:sz w:val="22"/>
        </w:rPr>
      </w:pPr>
    </w:p>
    <w:p>
      <w:pPr>
        <w:pStyle w:val="BodyText"/>
        <w:spacing w:before="10"/>
        <w:rPr>
          <w:sz w:val="29"/>
        </w:rPr>
      </w:pPr>
    </w:p>
    <w:p>
      <w:pPr>
        <w:pStyle w:val="Heading6"/>
      </w:pPr>
      <w:r>
        <w:rPr/>
        <w:t>STATISTICS</w:t>
      </w:r>
    </w:p>
    <w:p>
      <w:pPr>
        <w:pStyle w:val="BodyText"/>
        <w:spacing w:before="114"/>
        <w:ind w:left="159" w:right="166"/>
        <w:jc w:val="both"/>
      </w:pPr>
      <w:r>
        <w:rPr>
          <w:b/>
        </w:rPr>
        <w:t>Statistical definition: </w:t>
      </w:r>
      <w:r>
        <w:rPr/>
        <w:t>Statistics can refer either in a general sense to the compilation of data, frequently about human activities, or in a more specific sense to the branch of science concerned with the systematic numerical treatment of data derived from aggregates of items.</w:t>
      </w:r>
    </w:p>
    <w:p>
      <w:pPr>
        <w:pStyle w:val="BodyText"/>
        <w:rPr>
          <w:sz w:val="22"/>
        </w:rPr>
      </w:pPr>
    </w:p>
    <w:p>
      <w:pPr>
        <w:pStyle w:val="BodyText"/>
        <w:spacing w:before="7"/>
        <w:rPr>
          <w:sz w:val="29"/>
        </w:rPr>
      </w:pPr>
    </w:p>
    <w:p>
      <w:pPr>
        <w:pStyle w:val="Heading6"/>
        <w:spacing w:before="1"/>
      </w:pPr>
      <w:r>
        <w:rPr/>
        <w:t>SYSTEMATIC AND RANDOM ERRORS</w:t>
      </w:r>
    </w:p>
    <w:p>
      <w:pPr>
        <w:pStyle w:val="BodyText"/>
        <w:spacing w:before="113"/>
        <w:ind w:left="159" w:right="165"/>
        <w:jc w:val="both"/>
      </w:pPr>
      <w:r>
        <w:rPr>
          <w:b/>
        </w:rPr>
        <w:t>Statistical definition: </w:t>
      </w:r>
      <w:r>
        <w:rPr/>
        <w:t>Systematic error is the difference between the true, but usually unknown, value of a quantity being measured, and the mean observed value as would be estimated by the sample mean of an infinite set of observations. The random error of an individual measurement is the difference between an individual measurement and the above limiting value of the sample mean.</w:t>
      </w:r>
    </w:p>
    <w:p>
      <w:pPr>
        <w:pStyle w:val="BodyText"/>
        <w:rPr>
          <w:sz w:val="22"/>
        </w:rPr>
      </w:pPr>
    </w:p>
    <w:p>
      <w:pPr>
        <w:pStyle w:val="BodyText"/>
        <w:spacing w:before="9"/>
        <w:rPr>
          <w:sz w:val="29"/>
        </w:rPr>
      </w:pPr>
    </w:p>
    <w:p>
      <w:pPr>
        <w:pStyle w:val="Heading6"/>
        <w:jc w:val="both"/>
      </w:pPr>
      <w:r>
        <w:rPr/>
        <w:t>SYSTEMATIC ERROR</w:t>
      </w:r>
    </w:p>
    <w:p>
      <w:pPr>
        <w:spacing w:before="114"/>
        <w:ind w:left="159" w:right="0" w:firstLine="0"/>
        <w:jc w:val="both"/>
        <w:rPr>
          <w:sz w:val="20"/>
        </w:rPr>
      </w:pPr>
      <w:r>
        <w:rPr>
          <w:b/>
          <w:sz w:val="20"/>
        </w:rPr>
        <w:t>Statistical definition: </w:t>
      </w:r>
      <w:r>
        <w:rPr>
          <w:sz w:val="20"/>
        </w:rPr>
        <w:t>See </w:t>
      </w:r>
      <w:r>
        <w:rPr>
          <w:i/>
          <w:sz w:val="20"/>
        </w:rPr>
        <w:t>systematic and random errors</w:t>
      </w:r>
      <w:r>
        <w:rPr>
          <w:sz w:val="20"/>
        </w:rPr>
        <w:t>.</w:t>
      </w:r>
    </w:p>
    <w:p>
      <w:pPr>
        <w:pStyle w:val="BodyText"/>
        <w:rPr>
          <w:sz w:val="22"/>
        </w:rPr>
      </w:pPr>
    </w:p>
    <w:p>
      <w:pPr>
        <w:pStyle w:val="BodyText"/>
        <w:spacing w:before="9"/>
        <w:rPr>
          <w:sz w:val="29"/>
        </w:rPr>
      </w:pPr>
    </w:p>
    <w:p>
      <w:pPr>
        <w:pStyle w:val="Heading6"/>
        <w:jc w:val="both"/>
      </w:pPr>
      <w:r>
        <w:rPr/>
        <w:t>TEMPERATE, COLD</w:t>
      </w:r>
    </w:p>
    <w:p>
      <w:pPr>
        <w:pStyle w:val="BodyText"/>
        <w:spacing w:before="114"/>
        <w:ind w:left="159"/>
        <w:jc w:val="both"/>
      </w:pPr>
      <w:r>
        <w:rPr/>
        <w:t>Mean annual temperature (MAT) is between 0 – 10 </w:t>
      </w:r>
      <w:r>
        <w:rPr>
          <w:vertAlign w:val="superscript"/>
        </w:rPr>
        <w:t>o</w:t>
      </w:r>
      <w:r>
        <w:rPr>
          <w:vertAlign w:val="baseline"/>
        </w:rPr>
        <w:t>C.</w:t>
      </w:r>
    </w:p>
    <w:p>
      <w:pPr>
        <w:pStyle w:val="BodyText"/>
        <w:rPr>
          <w:sz w:val="24"/>
        </w:rPr>
      </w:pPr>
    </w:p>
    <w:p>
      <w:pPr>
        <w:pStyle w:val="BodyText"/>
        <w:spacing w:before="10"/>
        <w:rPr>
          <w:sz w:val="27"/>
        </w:rPr>
      </w:pPr>
    </w:p>
    <w:p>
      <w:pPr>
        <w:pStyle w:val="Heading6"/>
        <w:jc w:val="both"/>
      </w:pPr>
      <w:r>
        <w:rPr/>
        <w:t>TEMPERATE, WARM</w:t>
      </w:r>
    </w:p>
    <w:p>
      <w:pPr>
        <w:pStyle w:val="BodyText"/>
        <w:spacing w:before="113"/>
        <w:ind w:left="159"/>
        <w:jc w:val="both"/>
      </w:pPr>
      <w:r>
        <w:rPr/>
        <w:t>Mean annual temperature (MAT) is between 10 – 20 </w:t>
      </w:r>
      <w:r>
        <w:rPr>
          <w:vertAlign w:val="superscript"/>
        </w:rPr>
        <w:t>o</w:t>
      </w:r>
      <w:r>
        <w:rPr>
          <w:vertAlign w:val="baseline"/>
        </w:rPr>
        <w:t>C.</w:t>
      </w:r>
    </w:p>
    <w:p>
      <w:pPr>
        <w:pStyle w:val="BodyText"/>
        <w:rPr>
          <w:sz w:val="24"/>
        </w:rPr>
      </w:pPr>
    </w:p>
    <w:p>
      <w:pPr>
        <w:pStyle w:val="BodyText"/>
        <w:spacing w:before="10"/>
        <w:rPr>
          <w:sz w:val="27"/>
        </w:rPr>
      </w:pPr>
    </w:p>
    <w:p>
      <w:pPr>
        <w:pStyle w:val="Heading6"/>
        <w:jc w:val="both"/>
      </w:pPr>
      <w:r>
        <w:rPr/>
        <w:t>TIME SERIES</w:t>
      </w:r>
    </w:p>
    <w:p>
      <w:pPr>
        <w:pStyle w:val="BodyText"/>
        <w:spacing w:before="114"/>
        <w:ind w:left="159"/>
      </w:pPr>
      <w:r>
        <w:rPr>
          <w:b/>
        </w:rPr>
        <w:t>Statistical definition: </w:t>
      </w:r>
      <w:r>
        <w:rPr/>
        <w:t>A time series is series of values which are affected by random processes and which are observed at successive (usually equidistant) points in time.</w:t>
      </w:r>
    </w:p>
    <w:p>
      <w:pPr>
        <w:pStyle w:val="BodyText"/>
        <w:rPr>
          <w:sz w:val="22"/>
        </w:rPr>
      </w:pPr>
    </w:p>
    <w:p>
      <w:pPr>
        <w:pStyle w:val="BodyText"/>
        <w:spacing w:before="7"/>
        <w:rPr>
          <w:sz w:val="29"/>
        </w:rPr>
      </w:pPr>
    </w:p>
    <w:p>
      <w:pPr>
        <w:pStyle w:val="Heading6"/>
        <w:spacing w:before="1"/>
      </w:pPr>
      <w:r>
        <w:rPr/>
        <w:t>TOP- DOWN MODELLING</w:t>
      </w:r>
    </w:p>
    <w:p>
      <w:pPr>
        <w:pStyle w:val="BodyText"/>
        <w:spacing w:line="276" w:lineRule="auto" w:before="116"/>
        <w:ind w:left="159" w:right="166"/>
      </w:pPr>
      <w:r>
        <w:rPr/>
        <w:t>A modelling approach which aims to infer processes and parameters at a smaller scale from measurements taken at an aggregated scale (regional/national/continental/global).</w:t>
      </w:r>
    </w:p>
    <w:p>
      <w:pPr>
        <w:spacing w:after="0" w:line="276" w:lineRule="auto"/>
        <w:sectPr>
          <w:pgSz w:w="11900" w:h="16840"/>
          <w:pgMar w:header="230" w:footer="408" w:top="560" w:bottom="600" w:left="1260" w:right="1240"/>
        </w:sectPr>
      </w:pPr>
    </w:p>
    <w:p>
      <w:pPr>
        <w:pStyle w:val="BodyText"/>
      </w:pPr>
    </w:p>
    <w:p>
      <w:pPr>
        <w:pStyle w:val="Heading6"/>
        <w:spacing w:before="214"/>
      </w:pPr>
      <w:r>
        <w:rPr/>
        <w:t>TRANSPARENCY</w:t>
      </w:r>
    </w:p>
    <w:p>
      <w:pPr>
        <w:pStyle w:val="BodyText"/>
        <w:spacing w:before="117"/>
        <w:ind w:left="159" w:right="165"/>
        <w:jc w:val="both"/>
      </w:pPr>
      <w:r>
        <w:rPr>
          <w:b/>
        </w:rPr>
        <w:t>Inventory definition: </w:t>
      </w:r>
      <w:r>
        <w:rPr/>
        <w:t>Transparency means that the assumptions and methodologies used for an inventory  should be clearly explained to facilitate replication and assessment of the inventory by users of the reported information. The transparency of inventories is fundamental to the success of the process for the communication and consideration of</w:t>
      </w:r>
      <w:r>
        <w:rPr>
          <w:spacing w:val="-5"/>
        </w:rPr>
        <w:t> </w:t>
      </w:r>
      <w:r>
        <w:rPr/>
        <w:t>information.</w:t>
      </w:r>
    </w:p>
    <w:p>
      <w:pPr>
        <w:pStyle w:val="BodyText"/>
        <w:rPr>
          <w:sz w:val="22"/>
        </w:rPr>
      </w:pPr>
    </w:p>
    <w:p>
      <w:pPr>
        <w:pStyle w:val="BodyText"/>
        <w:spacing w:before="8"/>
        <w:rPr>
          <w:sz w:val="29"/>
        </w:rPr>
      </w:pPr>
    </w:p>
    <w:p>
      <w:pPr>
        <w:pStyle w:val="Heading6"/>
      </w:pPr>
      <w:r>
        <w:rPr/>
        <w:t>TREND</w:t>
      </w:r>
    </w:p>
    <w:p>
      <w:pPr>
        <w:pStyle w:val="BodyText"/>
        <w:spacing w:before="114"/>
        <w:ind w:left="159" w:right="165" w:hanging="1"/>
        <w:jc w:val="both"/>
      </w:pPr>
      <w:r>
        <w:rPr>
          <w:b/>
        </w:rPr>
        <w:t>Inventory definition: </w:t>
      </w:r>
      <w:r>
        <w:rPr/>
        <w:t>The trend of a quantity measures its change over a time period, with a positive trend value indicating growth in the quantity, and a negative value indicating a decrease. It is defined as the ratio of the change in the quantity over the time period, divided by the initial value of the quantity, and is usually expressed either as a percentage or a fraction.</w:t>
      </w:r>
    </w:p>
    <w:p>
      <w:pPr>
        <w:pStyle w:val="BodyText"/>
        <w:rPr>
          <w:sz w:val="22"/>
        </w:rPr>
      </w:pPr>
    </w:p>
    <w:p>
      <w:pPr>
        <w:pStyle w:val="BodyText"/>
        <w:spacing w:before="8"/>
        <w:rPr>
          <w:sz w:val="29"/>
        </w:rPr>
      </w:pPr>
    </w:p>
    <w:p>
      <w:pPr>
        <w:pStyle w:val="Heading6"/>
      </w:pPr>
      <w:r>
        <w:rPr/>
        <w:t>TROPICAL</w:t>
      </w:r>
    </w:p>
    <w:p>
      <w:pPr>
        <w:pStyle w:val="BodyText"/>
        <w:spacing w:before="114"/>
        <w:ind w:left="159"/>
      </w:pPr>
      <w:r>
        <w:rPr/>
        <w:t>Mean annual temperature (MAT) is more than 20 </w:t>
      </w:r>
      <w:r>
        <w:rPr>
          <w:vertAlign w:val="superscript"/>
        </w:rPr>
        <w:t>o</w:t>
      </w:r>
      <w:r>
        <w:rPr>
          <w:vertAlign w:val="baseline"/>
        </w:rPr>
        <w:t>C.</w:t>
      </w:r>
    </w:p>
    <w:p>
      <w:pPr>
        <w:pStyle w:val="BodyText"/>
        <w:rPr>
          <w:sz w:val="24"/>
        </w:rPr>
      </w:pPr>
    </w:p>
    <w:p>
      <w:pPr>
        <w:pStyle w:val="BodyText"/>
        <w:spacing w:before="10"/>
        <w:rPr>
          <w:sz w:val="27"/>
        </w:rPr>
      </w:pPr>
    </w:p>
    <w:p>
      <w:pPr>
        <w:pStyle w:val="Heading6"/>
      </w:pPr>
      <w:r>
        <w:rPr/>
        <w:t>UNCERTAINTY</w:t>
      </w:r>
    </w:p>
    <w:p>
      <w:pPr>
        <w:pStyle w:val="BodyText"/>
        <w:spacing w:before="113"/>
        <w:ind w:left="159" w:right="168"/>
        <w:jc w:val="both"/>
      </w:pPr>
      <w:r>
        <w:rPr>
          <w:b/>
        </w:rPr>
        <w:t>Statistical definition: </w:t>
      </w:r>
      <w:r>
        <w:rPr/>
        <w:t>An uncertainty is a parameter, associated with the result of measurement that characterises the dispersion of the values that could be reasonably attributed to the measured quantity (e.g., the sample variance or coefficient of</w:t>
      </w:r>
      <w:r>
        <w:rPr>
          <w:spacing w:val="2"/>
        </w:rPr>
        <w:t> </w:t>
      </w:r>
      <w:r>
        <w:rPr/>
        <w:t>variation).</w:t>
      </w:r>
    </w:p>
    <w:p>
      <w:pPr>
        <w:pStyle w:val="BodyText"/>
        <w:spacing w:before="119"/>
        <w:ind w:left="159" w:right="164"/>
        <w:jc w:val="both"/>
      </w:pPr>
      <w:r>
        <w:rPr>
          <w:b/>
        </w:rPr>
        <w:t>Inventory definition: </w:t>
      </w:r>
      <w:r>
        <w:rPr/>
        <w:t>A general and imprecise term which refers to the lack of certainty (in inventory components) resulting from any causal factor such as unidentified sources and sinks, lack of transparency, etc.</w:t>
      </w:r>
    </w:p>
    <w:p>
      <w:pPr>
        <w:pStyle w:val="BodyText"/>
        <w:rPr>
          <w:sz w:val="22"/>
        </w:rPr>
      </w:pPr>
    </w:p>
    <w:p>
      <w:pPr>
        <w:pStyle w:val="BodyText"/>
        <w:spacing w:before="10"/>
        <w:rPr>
          <w:sz w:val="29"/>
        </w:rPr>
      </w:pPr>
    </w:p>
    <w:p>
      <w:pPr>
        <w:pStyle w:val="Heading6"/>
      </w:pPr>
      <w:r>
        <w:rPr>
          <w:spacing w:val="17"/>
        </w:rPr>
        <w:t>UNCERTAINTY</w:t>
      </w:r>
      <w:r>
        <w:rPr>
          <w:spacing w:val="54"/>
        </w:rPr>
        <w:t> </w:t>
      </w:r>
      <w:r>
        <w:rPr>
          <w:spacing w:val="16"/>
        </w:rPr>
        <w:t>ANALYSIS</w:t>
      </w:r>
    </w:p>
    <w:p>
      <w:pPr>
        <w:pStyle w:val="BodyText"/>
        <w:spacing w:before="114"/>
        <w:ind w:left="159" w:right="167" w:hanging="1"/>
        <w:jc w:val="both"/>
      </w:pPr>
      <w:r>
        <w:rPr>
          <w:b/>
        </w:rPr>
        <w:t>Statistical definition: </w:t>
      </w:r>
      <w:r>
        <w:rPr/>
        <w:t>An uncertainty analysis of a model aims to provide quantitative measures of the uncertainty of output values caused by uncertainties in the model itself and in its input values, and to examine the relative importance of these</w:t>
      </w:r>
      <w:r>
        <w:rPr>
          <w:spacing w:val="-3"/>
        </w:rPr>
        <w:t> </w:t>
      </w:r>
      <w:r>
        <w:rPr/>
        <w:t>factors.</w:t>
      </w:r>
    </w:p>
    <w:p>
      <w:pPr>
        <w:pStyle w:val="BodyText"/>
        <w:rPr>
          <w:sz w:val="22"/>
        </w:rPr>
      </w:pPr>
    </w:p>
    <w:p>
      <w:pPr>
        <w:pStyle w:val="BodyText"/>
        <w:spacing w:before="8"/>
        <w:rPr>
          <w:sz w:val="29"/>
        </w:rPr>
      </w:pPr>
    </w:p>
    <w:p>
      <w:pPr>
        <w:pStyle w:val="Heading6"/>
      </w:pPr>
      <w:r>
        <w:rPr>
          <w:spacing w:val="16"/>
        </w:rPr>
        <w:t>UNIFORM</w:t>
      </w:r>
      <w:r>
        <w:rPr>
          <w:spacing w:val="55"/>
        </w:rPr>
        <w:t> </w:t>
      </w:r>
      <w:r>
        <w:rPr>
          <w:spacing w:val="17"/>
        </w:rPr>
        <w:t>DISTRIBUTION</w:t>
      </w:r>
    </w:p>
    <w:p>
      <w:pPr>
        <w:pStyle w:val="BodyText"/>
        <w:spacing w:before="114"/>
        <w:ind w:left="159" w:right="167"/>
        <w:jc w:val="both"/>
      </w:pPr>
      <w:r>
        <w:rPr>
          <w:b/>
        </w:rPr>
        <w:t>Statistical definition: </w:t>
      </w:r>
      <w:r>
        <w:rPr/>
        <w:t>A random variable with a uniform or rectangular distribution is confined to lie within a range over which all values are equally probable. If the upper and lower limits of the range are </w:t>
      </w:r>
      <w:r>
        <w:rPr>
          <w:i/>
        </w:rPr>
        <w:t>a </w:t>
      </w:r>
      <w:r>
        <w:rPr/>
        <w:t>and </w:t>
      </w:r>
      <w:r>
        <w:rPr>
          <w:i/>
        </w:rPr>
        <w:t>b </w:t>
      </w:r>
      <w:r>
        <w:rPr/>
        <w:t>respectively, the PDF is a flat function from </w:t>
      </w:r>
      <w:r>
        <w:rPr>
          <w:i/>
        </w:rPr>
        <w:t>a </w:t>
      </w:r>
      <w:r>
        <w:rPr/>
        <w:t>to </w:t>
      </w:r>
      <w:r>
        <w:rPr>
          <w:i/>
        </w:rPr>
        <w:t>b </w:t>
      </w:r>
      <w:r>
        <w:rPr/>
        <w:t>(the two parameters defining the PDF).</w:t>
      </w:r>
    </w:p>
    <w:p>
      <w:pPr>
        <w:pStyle w:val="BodyText"/>
        <w:spacing w:before="121"/>
        <w:ind w:left="159"/>
        <w:jc w:val="both"/>
      </w:pPr>
      <w:r>
        <w:rPr/>
        <w:t>The PDF of a uniform distribution is given by:</w:t>
      </w:r>
    </w:p>
    <w:p>
      <w:pPr>
        <w:spacing w:after="0"/>
        <w:jc w:val="both"/>
        <w:sectPr>
          <w:pgSz w:w="11900" w:h="16840"/>
          <w:pgMar w:header="230" w:footer="408" w:top="560" w:bottom="600" w:left="1260" w:right="1240"/>
        </w:sectPr>
      </w:pPr>
    </w:p>
    <w:p>
      <w:pPr>
        <w:pStyle w:val="BodyText"/>
        <w:tabs>
          <w:tab w:pos="1150" w:val="left" w:leader="none"/>
        </w:tabs>
        <w:spacing w:line="176" w:lineRule="exact" w:before="166"/>
        <w:ind w:left="848"/>
      </w:pPr>
      <w:r>
        <w:rPr>
          <w:rFonts w:ascii="Arial" w:hAnsi="Arial"/>
          <w:w w:val="95"/>
        </w:rPr>
        <w:t></w:t>
        <w:tab/>
      </w:r>
      <w:r>
        <w:rPr>
          <w:w w:val="95"/>
          <w:position w:val="1"/>
        </w:rPr>
        <w:t>1</w:t>
      </w:r>
    </w:p>
    <w:p>
      <w:pPr>
        <w:spacing w:line="93" w:lineRule="exact" w:before="0"/>
        <w:ind w:left="233" w:right="0" w:firstLine="0"/>
        <w:jc w:val="left"/>
        <w:rPr>
          <w:rFonts w:ascii="Arial" w:hAnsi="Arial"/>
          <w:sz w:val="20"/>
        </w:rPr>
      </w:pPr>
      <w:r>
        <w:rPr/>
        <w:pict>
          <v:line style="position:absolute;mso-position-horizontal-relative:page;mso-position-vertical-relative:paragraph;z-index:34096" from="112.721001pt,4.410388pt" to="133.121001pt,4.410388pt" stroked="true" strokeweight=".495pt" strokecolor="#000000">
            <v:stroke dashstyle="solid"/>
            <w10:wrap type="none"/>
          </v:line>
        </w:pict>
      </w:r>
      <w:r>
        <w:rPr>
          <w:i/>
          <w:sz w:val="20"/>
        </w:rPr>
        <w:t>f </w:t>
      </w:r>
      <w:r>
        <w:rPr>
          <w:sz w:val="20"/>
        </w:rPr>
        <w:t>(</w:t>
      </w:r>
      <w:r>
        <w:rPr>
          <w:i/>
          <w:sz w:val="20"/>
        </w:rPr>
        <w:t>x</w:t>
      </w:r>
      <w:r>
        <w:rPr>
          <w:sz w:val="20"/>
        </w:rPr>
        <w:t>) </w:t>
      </w:r>
      <w:r>
        <w:rPr>
          <w:rFonts w:ascii="Symbol" w:hAnsi="Symbol"/>
          <w:sz w:val="20"/>
        </w:rPr>
        <w:t>= </w:t>
      </w:r>
      <w:r>
        <w:rPr>
          <w:rFonts w:ascii="Arial" w:hAnsi="Arial"/>
          <w:position w:val="12"/>
          <w:sz w:val="20"/>
        </w:rPr>
        <w:t></w:t>
      </w:r>
    </w:p>
    <w:p>
      <w:pPr>
        <w:pStyle w:val="BodyText"/>
        <w:spacing w:before="6"/>
        <w:rPr>
          <w:rFonts w:ascii="Arial"/>
          <w:sz w:val="25"/>
        </w:rPr>
      </w:pPr>
      <w:r>
        <w:rPr/>
        <w:br w:type="column"/>
      </w:r>
      <w:r>
        <w:rPr>
          <w:rFonts w:ascii="Arial"/>
          <w:sz w:val="25"/>
        </w:rPr>
      </w:r>
    </w:p>
    <w:p>
      <w:pPr>
        <w:spacing w:line="141" w:lineRule="exact" w:before="0"/>
        <w:ind w:left="233" w:right="0" w:firstLine="0"/>
        <w:jc w:val="left"/>
        <w:rPr>
          <w:i/>
          <w:sz w:val="20"/>
        </w:rPr>
      </w:pPr>
      <w:r>
        <w:rPr>
          <w:sz w:val="20"/>
        </w:rPr>
        <w:t>for </w:t>
      </w:r>
      <w:r>
        <w:rPr>
          <w:i/>
          <w:sz w:val="20"/>
        </w:rPr>
        <w:t>a </w:t>
      </w:r>
      <w:r>
        <w:rPr>
          <w:rFonts w:ascii="Symbol" w:hAnsi="Symbol"/>
          <w:sz w:val="20"/>
        </w:rPr>
        <w:t>≤ </w:t>
      </w:r>
      <w:r>
        <w:rPr>
          <w:i/>
          <w:sz w:val="20"/>
        </w:rPr>
        <w:t>x </w:t>
      </w:r>
      <w:r>
        <w:rPr>
          <w:rFonts w:ascii="Symbol" w:hAnsi="Symbol"/>
          <w:sz w:val="20"/>
        </w:rPr>
        <w:t>≤ </w:t>
      </w:r>
      <w:r>
        <w:rPr>
          <w:i/>
          <w:sz w:val="20"/>
        </w:rPr>
        <w:t>b</w:t>
      </w:r>
    </w:p>
    <w:p>
      <w:pPr>
        <w:spacing w:after="0" w:line="141" w:lineRule="exact"/>
        <w:jc w:val="left"/>
        <w:rPr>
          <w:sz w:val="20"/>
        </w:rPr>
        <w:sectPr>
          <w:type w:val="continuous"/>
          <w:pgSz w:w="11900" w:h="16840"/>
          <w:pgMar w:top="1060" w:bottom="280" w:left="1260" w:right="1240"/>
          <w:cols w:num="2" w:equalWidth="0">
            <w:col w:w="1291" w:space="72"/>
            <w:col w:w="8037"/>
          </w:cols>
        </w:sectPr>
      </w:pPr>
    </w:p>
    <w:p>
      <w:pPr>
        <w:spacing w:line="190" w:lineRule="exact" w:before="0"/>
        <w:ind w:left="848" w:right="0" w:firstLine="0"/>
        <w:jc w:val="left"/>
        <w:rPr>
          <w:i/>
          <w:sz w:val="20"/>
        </w:rPr>
      </w:pPr>
      <w:r>
        <w:rPr>
          <w:rFonts w:ascii="Arial" w:hAnsi="Arial"/>
          <w:w w:val="95"/>
          <w:position w:val="2"/>
          <w:sz w:val="20"/>
        </w:rPr>
        <w:t> </w:t>
      </w:r>
      <w:r>
        <w:rPr>
          <w:i/>
          <w:sz w:val="20"/>
        </w:rPr>
        <w:t>b </w:t>
      </w:r>
      <w:r>
        <w:rPr>
          <w:rFonts w:ascii="Symbol" w:hAnsi="Symbol"/>
          <w:sz w:val="20"/>
        </w:rPr>
        <w:t>− </w:t>
      </w:r>
      <w:r>
        <w:rPr>
          <w:i/>
          <w:sz w:val="20"/>
        </w:rPr>
        <w:t>a</w:t>
      </w:r>
    </w:p>
    <w:p>
      <w:pPr>
        <w:spacing w:after="0" w:line="190" w:lineRule="exact"/>
        <w:jc w:val="left"/>
        <w:rPr>
          <w:sz w:val="20"/>
        </w:rPr>
        <w:sectPr>
          <w:type w:val="continuous"/>
          <w:pgSz w:w="11900" w:h="16840"/>
          <w:pgMar w:top="1060" w:bottom="280" w:left="1260" w:right="1240"/>
        </w:sectPr>
      </w:pPr>
    </w:p>
    <w:p>
      <w:pPr>
        <w:pStyle w:val="BodyText"/>
        <w:tabs>
          <w:tab w:pos="1169" w:val="left" w:leader="none"/>
        </w:tabs>
        <w:ind w:left="848"/>
      </w:pPr>
      <w:r>
        <w:rPr>
          <w:rFonts w:ascii="Arial" w:hAnsi="Arial"/>
          <w:spacing w:val="-99"/>
          <w:w w:val="65"/>
          <w:position w:val="2"/>
        </w:rPr>
        <w:t></w:t>
      </w:r>
      <w:r>
        <w:rPr>
          <w:rFonts w:ascii="Arial" w:hAnsi="Arial"/>
          <w:w w:val="65"/>
          <w:position w:val="-4"/>
        </w:rPr>
        <w:t></w:t>
      </w:r>
      <w:r>
        <w:rPr>
          <w:rFonts w:ascii="Arial" w:hAnsi="Arial"/>
          <w:position w:val="-4"/>
        </w:rPr>
        <w:tab/>
      </w:r>
      <w:r>
        <w:rPr/>
        <w:t>0</w:t>
      </w:r>
    </w:p>
    <w:p>
      <w:pPr>
        <w:pStyle w:val="BodyText"/>
        <w:spacing w:before="15"/>
        <w:ind w:left="159"/>
      </w:pPr>
      <w:r>
        <w:rPr/>
        <w:t>where</w:t>
      </w:r>
    </w:p>
    <w:p>
      <w:pPr>
        <w:pStyle w:val="BodyText"/>
        <w:spacing w:before="15"/>
        <w:ind w:left="159"/>
      </w:pPr>
      <w:r>
        <w:rPr/>
        <w:br w:type="column"/>
      </w:r>
      <w:r>
        <w:rPr/>
        <w:t>elsewhere</w:t>
      </w:r>
    </w:p>
    <w:p>
      <w:pPr>
        <w:spacing w:after="0"/>
        <w:sectPr>
          <w:type w:val="continuous"/>
          <w:pgSz w:w="11900" w:h="16840"/>
          <w:pgMar w:top="1060" w:bottom="280" w:left="1260" w:right="1240"/>
          <w:cols w:num="2" w:equalWidth="0">
            <w:col w:w="1310" w:space="127"/>
            <w:col w:w="7963"/>
          </w:cols>
        </w:sectPr>
      </w:pPr>
    </w:p>
    <w:p>
      <w:pPr>
        <w:spacing w:line="182" w:lineRule="auto" w:before="36"/>
        <w:ind w:left="200" w:right="0" w:firstLine="0"/>
        <w:jc w:val="left"/>
        <w:rPr>
          <w:i/>
          <w:sz w:val="20"/>
        </w:rPr>
      </w:pPr>
      <w:r>
        <w:rPr>
          <w:rFonts w:ascii="Symbol" w:hAnsi="Symbol"/>
          <w:position w:val="-12"/>
          <w:sz w:val="21"/>
        </w:rPr>
        <w:t>µ </w:t>
      </w:r>
      <w:r>
        <w:rPr>
          <w:rFonts w:ascii="Symbol" w:hAnsi="Symbol"/>
          <w:position w:val="-12"/>
          <w:sz w:val="20"/>
        </w:rPr>
        <w:t>= </w:t>
      </w:r>
      <w:r>
        <w:rPr>
          <w:i/>
          <w:sz w:val="20"/>
          <w:u w:val="single"/>
        </w:rPr>
        <w:t>a </w:t>
      </w:r>
      <w:r>
        <w:rPr>
          <w:rFonts w:ascii="Symbol" w:hAnsi="Symbol"/>
          <w:sz w:val="20"/>
          <w:u w:val="single"/>
        </w:rPr>
        <w:t>+ </w:t>
      </w:r>
      <w:r>
        <w:rPr>
          <w:i/>
          <w:sz w:val="20"/>
          <w:u w:val="single"/>
        </w:rPr>
        <w:t>b</w:t>
      </w:r>
    </w:p>
    <w:p>
      <w:pPr>
        <w:pStyle w:val="BodyText"/>
        <w:spacing w:line="182" w:lineRule="exact"/>
        <w:ind w:right="7779"/>
        <w:jc w:val="center"/>
      </w:pPr>
      <w:r>
        <w:rPr/>
        <w:t>2</w:t>
      </w:r>
    </w:p>
    <w:p>
      <w:pPr>
        <w:pStyle w:val="BodyText"/>
        <w:spacing w:line="227" w:lineRule="exact"/>
        <w:ind w:left="159"/>
      </w:pPr>
      <w:r>
        <w:rPr/>
        <w:t>is the mean and</w:t>
      </w:r>
    </w:p>
    <w:p>
      <w:pPr>
        <w:spacing w:line="182" w:lineRule="auto" w:before="199"/>
        <w:ind w:left="180" w:right="0" w:firstLine="0"/>
        <w:jc w:val="left"/>
        <w:rPr>
          <w:sz w:val="20"/>
        </w:rPr>
      </w:pPr>
      <w:r>
        <w:rPr/>
        <w:pict>
          <v:line style="position:absolute;mso-position-horizontal-relative:page;mso-position-vertical-relative:paragraph;z-index:-2422048" from="99.280998pt,22.842102pt" to="132.640998pt,22.842102pt" stroked="true" strokeweight=".495pt" strokecolor="#000000">
            <v:stroke dashstyle="solid"/>
            <w10:wrap type="none"/>
          </v:line>
        </w:pict>
      </w:r>
      <w:r>
        <w:rPr>
          <w:rFonts w:ascii="Symbol" w:hAnsi="Symbol"/>
          <w:position w:val="-12"/>
          <w:sz w:val="21"/>
        </w:rPr>
        <w:t>σ </w:t>
      </w:r>
      <w:r>
        <w:rPr>
          <w:position w:val="-3"/>
          <w:sz w:val="14"/>
        </w:rPr>
        <w:t>2 </w:t>
      </w:r>
      <w:r>
        <w:rPr>
          <w:rFonts w:ascii="Symbol" w:hAnsi="Symbol"/>
          <w:position w:val="-12"/>
          <w:sz w:val="20"/>
        </w:rPr>
        <w:t>= </w:t>
      </w:r>
      <w:r>
        <w:rPr>
          <w:sz w:val="20"/>
        </w:rPr>
        <w:t>(</w:t>
      </w:r>
      <w:r>
        <w:rPr>
          <w:i/>
          <w:sz w:val="20"/>
        </w:rPr>
        <w:t>b </w:t>
      </w:r>
      <w:r>
        <w:rPr>
          <w:rFonts w:ascii="Symbol" w:hAnsi="Symbol"/>
          <w:sz w:val="20"/>
        </w:rPr>
        <w:t>− </w:t>
      </w:r>
      <w:r>
        <w:rPr>
          <w:i/>
          <w:sz w:val="20"/>
        </w:rPr>
        <w:t>a</w:t>
      </w:r>
      <w:r>
        <w:rPr>
          <w:sz w:val="20"/>
        </w:rPr>
        <w:t>) </w:t>
      </w:r>
      <w:r>
        <w:rPr>
          <w:sz w:val="20"/>
          <w:vertAlign w:val="superscript"/>
        </w:rPr>
        <w:t>2</w:t>
      </w:r>
    </w:p>
    <w:p>
      <w:pPr>
        <w:pStyle w:val="BodyText"/>
        <w:spacing w:line="185" w:lineRule="exact"/>
        <w:ind w:left="951"/>
      </w:pPr>
      <w:r>
        <w:rPr/>
        <w:t>12</w:t>
      </w:r>
    </w:p>
    <w:p>
      <w:pPr>
        <w:pStyle w:val="BodyText"/>
        <w:spacing w:line="223" w:lineRule="exact"/>
        <w:ind w:left="159"/>
      </w:pPr>
      <w:r>
        <w:rPr/>
        <w:t>is the variance.</w:t>
      </w:r>
    </w:p>
    <w:p>
      <w:pPr>
        <w:spacing w:after="0" w:line="223" w:lineRule="exact"/>
        <w:sectPr>
          <w:type w:val="continuous"/>
          <w:pgSz w:w="11900" w:h="16840"/>
          <w:pgMar w:top="1060" w:bottom="280" w:left="1260" w:right="1240"/>
        </w:sectPr>
      </w:pPr>
    </w:p>
    <w:p>
      <w:pPr>
        <w:pStyle w:val="BodyText"/>
      </w:pPr>
    </w:p>
    <w:p>
      <w:pPr>
        <w:pStyle w:val="Heading6"/>
        <w:spacing w:before="214"/>
      </w:pPr>
      <w:r>
        <w:rPr/>
        <w:t>VALIDATION</w:t>
      </w:r>
    </w:p>
    <w:p>
      <w:pPr>
        <w:pStyle w:val="BodyText"/>
        <w:spacing w:before="117"/>
        <w:ind w:left="159" w:right="165"/>
        <w:jc w:val="both"/>
      </w:pPr>
      <w:r>
        <w:rPr>
          <w:b/>
        </w:rPr>
        <w:t>Inventory definition: </w:t>
      </w:r>
      <w:r>
        <w:rPr/>
        <w:t>Validation is the establishment of sound approach and foundation. In the context of emission inventories, validation involves checking to ensure that the inventory has been compiled correctly in line with reporting instructions and guidelines. It checks the internal consistency of the inventory. The legal use of validation is to give an official confirmation or approval of an act or product.</w:t>
      </w:r>
    </w:p>
    <w:p>
      <w:pPr>
        <w:pStyle w:val="BodyText"/>
        <w:rPr>
          <w:sz w:val="22"/>
        </w:rPr>
      </w:pPr>
    </w:p>
    <w:p>
      <w:pPr>
        <w:pStyle w:val="BodyText"/>
        <w:spacing w:before="8"/>
        <w:rPr>
          <w:sz w:val="29"/>
        </w:rPr>
      </w:pPr>
    </w:p>
    <w:p>
      <w:pPr>
        <w:pStyle w:val="Heading6"/>
      </w:pPr>
      <w:r>
        <w:rPr/>
        <w:t>VARIABILITY</w:t>
      </w:r>
    </w:p>
    <w:p>
      <w:pPr>
        <w:pStyle w:val="BodyText"/>
        <w:spacing w:before="114"/>
        <w:ind w:left="159" w:right="167"/>
        <w:jc w:val="both"/>
      </w:pPr>
      <w:r>
        <w:rPr>
          <w:b/>
        </w:rPr>
        <w:t>Statistical definition: </w:t>
      </w:r>
      <w:r>
        <w:rPr/>
        <w:t>This refers to observed differences attributable to true heterogeneity or diversity in a population. Variability derives from processes which are either inherently random or whose nature and effects are influential but unknown. Variability is not usually reducible by further measurement or study, but can be characterised by quantities such as the sample</w:t>
      </w:r>
      <w:r>
        <w:rPr>
          <w:spacing w:val="-7"/>
        </w:rPr>
        <w:t> </w:t>
      </w:r>
      <w:r>
        <w:rPr/>
        <w:t>variance.</w:t>
      </w:r>
    </w:p>
    <w:p>
      <w:pPr>
        <w:pStyle w:val="BodyText"/>
        <w:rPr>
          <w:sz w:val="22"/>
        </w:rPr>
      </w:pPr>
    </w:p>
    <w:p>
      <w:pPr>
        <w:pStyle w:val="BodyText"/>
        <w:spacing w:before="8"/>
        <w:rPr>
          <w:sz w:val="29"/>
        </w:rPr>
      </w:pPr>
    </w:p>
    <w:p>
      <w:pPr>
        <w:pStyle w:val="Heading6"/>
      </w:pPr>
      <w:r>
        <w:rPr/>
        <w:t>VARIANCE</w:t>
      </w:r>
    </w:p>
    <w:p>
      <w:pPr>
        <w:pStyle w:val="BodyText"/>
        <w:spacing w:before="114"/>
        <w:ind w:left="159" w:right="115"/>
        <w:jc w:val="both"/>
      </w:pPr>
      <w:r>
        <w:rPr>
          <w:b/>
        </w:rPr>
        <w:t>Statistical definition: </w:t>
      </w:r>
      <w:r>
        <w:rPr/>
        <w:t>The variance or population variance is a parameter of a PDF, which expresses the variability of the population. It is the second central moment of a random variable. The sample variance is defined as a measure of dispersion, which is the sum of the squared deviations of observations from their average, divided by one less than the number of</w:t>
      </w:r>
      <w:r>
        <w:rPr>
          <w:spacing w:val="-8"/>
        </w:rPr>
        <w:t> </w:t>
      </w:r>
      <w:r>
        <w:rPr/>
        <w:t>observations.</w:t>
      </w:r>
    </w:p>
    <w:p>
      <w:pPr>
        <w:spacing w:after="0"/>
        <w:jc w:val="both"/>
        <w:sectPr>
          <w:pgSz w:w="11900" w:h="16840"/>
          <w:pgMar w:header="230" w:footer="408" w:top="560" w:bottom="600" w:left="1260" w:right="1240"/>
        </w:sectPr>
      </w:pPr>
    </w:p>
    <w:p>
      <w:pPr>
        <w:pStyle w:val="BodyText"/>
        <w:spacing w:before="2"/>
        <w:rPr>
          <w:sz w:val="24"/>
        </w:rPr>
      </w:pPr>
    </w:p>
    <w:p>
      <w:pPr>
        <w:spacing w:line="25" w:lineRule="exact" w:before="0"/>
        <w:ind w:left="200" w:right="0" w:firstLine="0"/>
        <w:jc w:val="left"/>
        <w:rPr>
          <w:rFonts w:ascii="Symbol"/>
          <w:sz w:val="20"/>
        </w:rPr>
      </w:pPr>
      <w:r>
        <w:rPr>
          <w:i/>
          <w:sz w:val="20"/>
        </w:rPr>
        <w:t>s </w:t>
      </w:r>
      <w:r>
        <w:rPr>
          <w:sz w:val="20"/>
          <w:vertAlign w:val="superscript"/>
        </w:rPr>
        <w:t>2</w:t>
      </w:r>
      <w:r>
        <w:rPr>
          <w:sz w:val="20"/>
          <w:vertAlign w:val="baseline"/>
        </w:rPr>
        <w:t> </w:t>
      </w:r>
      <w:r>
        <w:rPr>
          <w:rFonts w:ascii="Symbol"/>
          <w:sz w:val="20"/>
          <w:vertAlign w:val="baseline"/>
        </w:rPr>
        <w:t>=</w:t>
      </w:r>
    </w:p>
    <w:p>
      <w:pPr>
        <w:tabs>
          <w:tab w:pos="490" w:val="left" w:leader="none"/>
        </w:tabs>
        <w:spacing w:line="155" w:lineRule="exact" w:before="148"/>
        <w:ind w:left="176" w:right="0" w:firstLine="0"/>
        <w:jc w:val="left"/>
        <w:rPr>
          <w:sz w:val="20"/>
        </w:rPr>
      </w:pPr>
      <w:r>
        <w:rPr/>
        <w:br w:type="column"/>
      </w:r>
      <w:r>
        <w:rPr>
          <w:position w:val="13"/>
          <w:sz w:val="20"/>
        </w:rPr>
        <w:t>1</w:t>
        <w:tab/>
      </w:r>
      <w:r>
        <w:rPr>
          <w:i/>
          <w:position w:val="17"/>
          <w:sz w:val="14"/>
        </w:rPr>
        <w:t>n </w:t>
      </w:r>
      <w:r>
        <w:rPr>
          <w:spacing w:val="7"/>
          <w:sz w:val="20"/>
        </w:rPr>
        <w:t>(</w:t>
      </w:r>
      <w:r>
        <w:rPr>
          <w:i/>
          <w:spacing w:val="7"/>
          <w:sz w:val="20"/>
        </w:rPr>
        <w:t>x </w:t>
      </w:r>
      <w:r>
        <w:rPr>
          <w:rFonts w:ascii="Symbol" w:hAnsi="Symbol"/>
          <w:sz w:val="20"/>
        </w:rPr>
        <w:t>− </w:t>
      </w:r>
      <w:r>
        <w:rPr>
          <w:i/>
          <w:sz w:val="20"/>
        </w:rPr>
        <w:t>x</w:t>
      </w:r>
      <w:r>
        <w:rPr>
          <w:sz w:val="20"/>
        </w:rPr>
        <w:t>)</w:t>
      </w:r>
      <w:r>
        <w:rPr>
          <w:spacing w:val="-33"/>
          <w:sz w:val="20"/>
        </w:rPr>
        <w:t> </w:t>
      </w:r>
      <w:r>
        <w:rPr>
          <w:sz w:val="20"/>
          <w:vertAlign w:val="superscript"/>
        </w:rPr>
        <w:t>2</w:t>
      </w:r>
    </w:p>
    <w:p>
      <w:pPr>
        <w:spacing w:line="199" w:lineRule="exact"/>
        <w:ind w:left="37" w:right="0" w:firstLine="0"/>
        <w:rPr>
          <w:sz w:val="19"/>
        </w:rPr>
      </w:pPr>
      <w:r>
        <w:rPr>
          <w:position w:val="4"/>
          <w:sz w:val="2"/>
        </w:rPr>
        <w:pict>
          <v:group style="width:18.5pt;height:.5pt;mso-position-horizontal-relative:char;mso-position-vertical-relative:line" coordorigin="0,0" coordsize="370,10">
            <v:line style="position:absolute" from="0,5" to="370,5" stroked="true" strokeweight=".495pt" strokecolor="#000000">
              <v:stroke dashstyle="solid"/>
            </v:line>
          </v:group>
        </w:pict>
      </w:r>
      <w:r>
        <w:rPr>
          <w:position w:val="4"/>
          <w:sz w:val="2"/>
        </w:rPr>
      </w:r>
      <w:r>
        <w:rPr>
          <w:spacing w:val="-30"/>
          <w:position w:val="4"/>
          <w:sz w:val="19"/>
        </w:rPr>
        <w:t> </w:t>
      </w:r>
      <w:r>
        <w:rPr>
          <w:spacing w:val="-30"/>
          <w:position w:val="-3"/>
          <w:sz w:val="19"/>
        </w:rPr>
        <w:pict>
          <v:shape style="width:7.1pt;height:10pt;mso-position-horizontal-relative:char;mso-position-vertical-relative:line" type="#_x0000_t202" filled="false" stroked="false">
            <w10:anchorlock/>
            <v:textbox inset="0,0,0,0">
              <w:txbxContent>
                <w:p>
                  <w:pPr>
                    <w:pStyle w:val="BodyText"/>
                    <w:spacing w:line="200" w:lineRule="exact"/>
                    <w:rPr>
                      <w:rFonts w:ascii="Arial" w:hAnsi="Arial"/>
                    </w:rPr>
                  </w:pPr>
                  <w:r>
                    <w:rPr>
                      <w:rFonts w:ascii="Arial" w:hAnsi="Arial"/>
                      <w:w w:val="99"/>
                    </w:rPr>
                    <w:t>∑</w:t>
                  </w:r>
                </w:p>
              </w:txbxContent>
            </v:textbox>
          </v:shape>
        </w:pict>
      </w:r>
      <w:r>
        <w:rPr>
          <w:spacing w:val="-30"/>
          <w:position w:val="-3"/>
          <w:sz w:val="19"/>
        </w:rPr>
      </w:r>
    </w:p>
    <w:p>
      <w:pPr>
        <w:spacing w:after="0" w:line="199" w:lineRule="exact"/>
        <w:rPr>
          <w:sz w:val="19"/>
        </w:rPr>
        <w:sectPr>
          <w:type w:val="continuous"/>
          <w:pgSz w:w="11900" w:h="16840"/>
          <w:pgMar w:top="1060" w:bottom="280" w:left="1260" w:right="1240"/>
          <w:cols w:num="2" w:equalWidth="0">
            <w:col w:w="594" w:space="40"/>
            <w:col w:w="8766"/>
          </w:cols>
        </w:sectPr>
      </w:pPr>
    </w:p>
    <w:p>
      <w:pPr>
        <w:tabs>
          <w:tab w:pos="1440" w:val="left" w:leader="none"/>
        </w:tabs>
        <w:spacing w:line="178" w:lineRule="exact" w:before="0"/>
        <w:ind w:left="692" w:right="0" w:firstLine="0"/>
        <w:jc w:val="left"/>
        <w:rPr>
          <w:i/>
          <w:sz w:val="14"/>
        </w:rPr>
      </w:pPr>
      <w:r>
        <w:rPr/>
        <w:pict>
          <v:line style="position:absolute;mso-position-horizontal-relative:page;mso-position-vertical-relative:paragraph;z-index:34192" from="147.880997pt,-11.443339pt" to="152.440997pt,-11.443339pt" stroked="true" strokeweight=".495pt" strokecolor="#000000">
            <v:stroke dashstyle="solid"/>
            <w10:wrap type="none"/>
          </v:line>
        </w:pict>
      </w:r>
      <w:r>
        <w:rPr>
          <w:i/>
          <w:position w:val="2"/>
          <w:sz w:val="20"/>
        </w:rPr>
        <w:t>n</w:t>
      </w:r>
      <w:r>
        <w:rPr>
          <w:i/>
          <w:spacing w:val="-14"/>
          <w:position w:val="2"/>
          <w:sz w:val="20"/>
        </w:rPr>
        <w:t> </w:t>
      </w:r>
      <w:r>
        <w:rPr>
          <w:rFonts w:ascii="Symbol" w:hAnsi="Symbol"/>
          <w:spacing w:val="6"/>
          <w:position w:val="2"/>
          <w:sz w:val="20"/>
        </w:rPr>
        <w:t>−</w:t>
      </w:r>
      <w:r>
        <w:rPr>
          <w:spacing w:val="6"/>
          <w:position w:val="2"/>
          <w:sz w:val="20"/>
        </w:rPr>
        <w:t>1</w:t>
      </w:r>
      <w:r>
        <w:rPr>
          <w:spacing w:val="34"/>
          <w:position w:val="2"/>
          <w:sz w:val="20"/>
        </w:rPr>
        <w:t> </w:t>
      </w:r>
      <w:r>
        <w:rPr>
          <w:i/>
          <w:sz w:val="14"/>
        </w:rPr>
        <w:t>i</w:t>
        <w:tab/>
      </w:r>
      <w:r>
        <w:rPr>
          <w:i/>
          <w:position w:val="12"/>
          <w:sz w:val="14"/>
        </w:rPr>
        <w:t>i</w:t>
      </w:r>
    </w:p>
    <w:p>
      <w:pPr>
        <w:pStyle w:val="BodyText"/>
        <w:spacing w:before="11"/>
        <w:rPr>
          <w:i/>
          <w:sz w:val="24"/>
        </w:rPr>
      </w:pPr>
    </w:p>
    <w:p>
      <w:pPr>
        <w:pStyle w:val="Heading6"/>
        <w:spacing w:before="92"/>
      </w:pPr>
      <w:r>
        <w:rPr/>
        <w:t>VARIANCE OF SAMPLE MEAN</w:t>
      </w:r>
    </w:p>
    <w:p>
      <w:pPr>
        <w:pStyle w:val="BodyText"/>
        <w:spacing w:before="113"/>
        <w:ind w:left="159" w:right="166"/>
        <w:jc w:val="both"/>
      </w:pPr>
      <w:r>
        <w:rPr>
          <w:b/>
        </w:rPr>
        <w:t>Statistical definition: </w:t>
      </w:r>
      <w:r>
        <w:rPr/>
        <w:t>The mean of a sample taken from a population is itself a random variable with its own characteristic behaviour and its own variance. For such sample means, the appropriate estimate of the variance is not the sample variance, which estimates the variability associated with a single simple value, but a lower value, equal to the sample variance divided by the sample size.</w:t>
      </w:r>
    </w:p>
    <w:p>
      <w:pPr>
        <w:pStyle w:val="BodyText"/>
        <w:rPr>
          <w:sz w:val="22"/>
        </w:rPr>
      </w:pPr>
    </w:p>
    <w:p>
      <w:pPr>
        <w:pStyle w:val="BodyText"/>
        <w:spacing w:before="9"/>
        <w:rPr>
          <w:sz w:val="29"/>
        </w:rPr>
      </w:pPr>
    </w:p>
    <w:p>
      <w:pPr>
        <w:pStyle w:val="Heading6"/>
      </w:pPr>
      <w:r>
        <w:rPr/>
        <w:t>VERIFICATION</w:t>
      </w:r>
    </w:p>
    <w:p>
      <w:pPr>
        <w:pStyle w:val="BodyText"/>
        <w:spacing w:before="114"/>
        <w:ind w:left="159" w:right="167"/>
        <w:jc w:val="both"/>
      </w:pPr>
      <w:r>
        <w:rPr>
          <w:b/>
        </w:rPr>
        <w:t>Inventory definition: </w:t>
      </w:r>
      <w:r>
        <w:rPr/>
        <w:t>Verification refers to the collection of activities and procedures that can be followed during the planning and development, or after completion of an inventory that can help to establish its reliability for the intended applications of that inventory.</w:t>
      </w:r>
    </w:p>
    <w:p>
      <w:pPr>
        <w:pStyle w:val="BodyText"/>
        <w:spacing w:before="121"/>
        <w:ind w:left="159" w:right="166"/>
        <w:jc w:val="both"/>
      </w:pPr>
      <w:r>
        <w:rPr/>
        <w:t>Typically, methods external to the inventory are used to check the truth of the inventory, including comparisons with estimates made by other bodies or with emission and uptake measurements determined from atmospheric concentrations or concentration gradients of these gases.</w:t>
      </w:r>
    </w:p>
    <w:p>
      <w:pPr>
        <w:pStyle w:val="BodyText"/>
        <w:rPr>
          <w:sz w:val="22"/>
        </w:rPr>
      </w:pPr>
    </w:p>
    <w:p>
      <w:pPr>
        <w:pStyle w:val="BodyText"/>
        <w:spacing w:before="8"/>
        <w:rPr>
          <w:sz w:val="29"/>
        </w:rPr>
      </w:pPr>
    </w:p>
    <w:p>
      <w:pPr>
        <w:pStyle w:val="Heading6"/>
      </w:pPr>
      <w:r>
        <w:rPr/>
        <w:t>WALL- TO- WALL MAPPING</w:t>
      </w:r>
    </w:p>
    <w:p>
      <w:pPr>
        <w:pStyle w:val="BodyText"/>
        <w:spacing w:before="114"/>
        <w:ind w:left="159"/>
      </w:pPr>
      <w:r>
        <w:rPr/>
        <w:t>Complete spatial coverage of a land area, e.g., by satellite data.</w:t>
      </w:r>
    </w:p>
    <w:p>
      <w:pPr>
        <w:pStyle w:val="BodyText"/>
        <w:rPr>
          <w:sz w:val="22"/>
        </w:rPr>
      </w:pPr>
    </w:p>
    <w:p>
      <w:pPr>
        <w:pStyle w:val="BodyText"/>
        <w:spacing w:before="9"/>
        <w:rPr>
          <w:sz w:val="29"/>
        </w:rPr>
      </w:pPr>
    </w:p>
    <w:p>
      <w:pPr>
        <w:pStyle w:val="Heading6"/>
      </w:pPr>
      <w:r>
        <w:rPr/>
        <w:t>WET ( FOREST)</w:t>
      </w:r>
    </w:p>
    <w:p>
      <w:pPr>
        <w:pStyle w:val="BodyText"/>
        <w:spacing w:before="114"/>
        <w:ind w:left="159" w:right="163"/>
        <w:jc w:val="both"/>
      </w:pPr>
      <w:r>
        <w:rPr/>
        <w:t>Moisture regimes for boreal and temperate zones are defined by the ratio of mean annual precipitation (MAP) and potential evapotranspiration (PET): Dry (MAP/PET &lt; 1) and Wet (MAP/PET &gt; 1); and for tropical zones by precipitation alone: Dry (MAP &lt; 1,000 mm), Moist (MAP: 1,000-2,000 </w:t>
      </w:r>
      <w:r>
        <w:rPr>
          <w:spacing w:val="-3"/>
        </w:rPr>
        <w:t>mm) </w:t>
      </w:r>
      <w:r>
        <w:rPr/>
        <w:t>and Wet (MAP &gt; 2,000</w:t>
      </w:r>
      <w:r>
        <w:rPr>
          <w:spacing w:val="-21"/>
        </w:rPr>
        <w:t> </w:t>
      </w:r>
      <w:r>
        <w:rPr/>
        <w:t>mm).</w:t>
      </w:r>
    </w:p>
    <w:p>
      <w:pPr>
        <w:pStyle w:val="BodyText"/>
        <w:rPr>
          <w:sz w:val="22"/>
        </w:rPr>
      </w:pPr>
    </w:p>
    <w:p>
      <w:pPr>
        <w:pStyle w:val="BodyText"/>
        <w:spacing w:before="8"/>
        <w:rPr>
          <w:sz w:val="29"/>
        </w:rPr>
      </w:pPr>
    </w:p>
    <w:p>
      <w:pPr>
        <w:pStyle w:val="Heading6"/>
      </w:pPr>
      <w:r>
        <w:rPr/>
        <w:t>WETLANDS</w:t>
      </w:r>
    </w:p>
    <w:p>
      <w:pPr>
        <w:pStyle w:val="BodyText"/>
        <w:spacing w:before="114"/>
        <w:ind w:left="159" w:right="162"/>
        <w:jc w:val="both"/>
      </w:pPr>
      <w:r>
        <w:rPr/>
        <w:t>This category includes land that is covered or saturated by water for all or part of the year (e.g., peatland) and that does not fall into the forest land, cropland, grassland or settlements categories. This category can</w:t>
      </w:r>
      <w:r>
        <w:rPr>
          <w:spacing w:val="-15"/>
        </w:rPr>
        <w:t> </w:t>
      </w:r>
      <w:r>
        <w:rPr/>
        <w:t>be</w:t>
      </w:r>
    </w:p>
    <w:p>
      <w:pPr>
        <w:spacing w:after="0"/>
        <w:jc w:val="both"/>
        <w:sectPr>
          <w:type w:val="continuous"/>
          <w:pgSz w:w="11900" w:h="16840"/>
          <w:pgMar w:top="1060" w:bottom="280" w:left="1260" w:right="1240"/>
        </w:sectPr>
      </w:pPr>
    </w:p>
    <w:p>
      <w:pPr>
        <w:pStyle w:val="BodyText"/>
      </w:pPr>
    </w:p>
    <w:p>
      <w:pPr>
        <w:pStyle w:val="BodyText"/>
        <w:spacing w:before="2"/>
        <w:rPr>
          <w:sz w:val="18"/>
        </w:rPr>
      </w:pPr>
    </w:p>
    <w:p>
      <w:pPr>
        <w:pStyle w:val="BodyText"/>
        <w:ind w:left="159" w:right="166"/>
      </w:pPr>
      <w:r>
        <w:rPr/>
        <w:t>subdivided into managed and unmanaged according to national definitions. It includes reservoirs as a managed sub-division and natural rivers and lakes as unmanaged sub-divisions.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22"/>
        </w:rPr>
      </w:pPr>
    </w:p>
    <w:p>
      <w:pPr>
        <w:spacing w:before="0"/>
        <w:ind w:left="159" w:right="0" w:firstLine="0"/>
        <w:jc w:val="left"/>
        <w:rPr>
          <w:b/>
          <w:sz w:val="28"/>
        </w:rPr>
      </w:pPr>
      <w:r>
        <w:rPr>
          <w:b/>
          <w:sz w:val="28"/>
        </w:rPr>
        <w:t>References</w:t>
      </w:r>
    </w:p>
    <w:p>
      <w:pPr>
        <w:spacing w:before="117"/>
        <w:ind w:left="442" w:right="165" w:hanging="284"/>
        <w:jc w:val="both"/>
        <w:rPr>
          <w:sz w:val="20"/>
        </w:rPr>
      </w:pPr>
      <w:r>
        <w:rPr>
          <w:sz w:val="20"/>
        </w:rPr>
        <w:t>Intergovernmental Panel on Climate Change (IPCC). (2000). Penman J., Kruger D., Galbally I., Hiraishi T., Nyenzi B., Emmanuel S., Buendia L., Hoppaus R., Martinsen T., Meijer J., Miwa K., and Tanabe K. (Eds). </w:t>
      </w:r>
      <w:r>
        <w:rPr>
          <w:i/>
          <w:sz w:val="20"/>
        </w:rPr>
        <w:t>Good Practice Guidance and Uncertainty Management in National Greenhouse Gas Inventories</w:t>
      </w:r>
      <w:r>
        <w:rPr>
          <w:sz w:val="20"/>
        </w:rPr>
        <w:t>. IPCC/OECD/IEA/IGES, Hayama, Japan.</w:t>
      </w:r>
    </w:p>
    <w:p>
      <w:pPr>
        <w:spacing w:line="240" w:lineRule="auto" w:before="120"/>
        <w:ind w:left="442" w:right="169" w:hanging="284"/>
        <w:jc w:val="both"/>
        <w:rPr>
          <w:sz w:val="20"/>
        </w:rPr>
      </w:pPr>
      <w:r>
        <w:rPr>
          <w:sz w:val="20"/>
        </w:rPr>
        <w:t>Intergovernmental Panel on Climate Change (IPCC). (2000). Watson R., Noble I.R., Bolin B., Ravindranath, N.H., Verardo D.J. and Dokken D.J. (Eds) </w:t>
      </w:r>
      <w:r>
        <w:rPr>
          <w:i/>
          <w:sz w:val="20"/>
        </w:rPr>
        <w:t>Land use, Land-use Change, and Forestry: A Special Report</w:t>
      </w:r>
      <w:r>
        <w:rPr>
          <w:sz w:val="20"/>
        </w:rPr>
        <w:t>. Cambridge University Press. Cambridge, UK.</w:t>
      </w:r>
    </w:p>
    <w:p>
      <w:pPr>
        <w:pStyle w:val="BodyText"/>
        <w:spacing w:before="118"/>
        <w:ind w:left="442" w:right="167" w:hanging="284"/>
        <w:jc w:val="both"/>
      </w:pPr>
      <w:r>
        <w:rPr/>
        <w:t>Intergovernmental Panel on Climate Change (IPCC). (2001). Houghton J. T. et al. (Eds.). Climate Change 2001: The Scientific Basis. Contribution of Working Group I to the Third Assessment Report of the Intergovernmental Panel on Climate Change. Cambridge University Press, Cambridge, UK.</w:t>
      </w:r>
    </w:p>
    <w:p>
      <w:pPr>
        <w:pStyle w:val="BodyText"/>
        <w:spacing w:before="122"/>
        <w:ind w:left="159"/>
      </w:pPr>
      <w:r>
        <w:rPr/>
        <w:t>FAO (1998). World Reference Base for Soil Resources. World Soil Resources Reports 84. FAO, Rome. 88 pp.</w:t>
      </w:r>
    </w:p>
    <w:p>
      <w:pPr>
        <w:pStyle w:val="BodyText"/>
        <w:ind w:left="442"/>
      </w:pPr>
      <w:r>
        <w:rPr/>
        <w:t>ISBN 92-5-104141-5</w:t>
      </w:r>
    </w:p>
    <w:p>
      <w:pPr>
        <w:pStyle w:val="BodyText"/>
        <w:spacing w:before="118"/>
        <w:ind w:left="442" w:right="166" w:hanging="284"/>
        <w:jc w:val="both"/>
      </w:pPr>
      <w:r>
        <w:rPr/>
        <w:t>FAO. (2002). Proceedings of the Expert Meeting on Harmonizing Forest-related Definitions for use by various stakeholders. FAO, Rome, Italy.</w:t>
      </w:r>
    </w:p>
    <w:p>
      <w:pPr>
        <w:pStyle w:val="BodyText"/>
        <w:spacing w:before="121"/>
        <w:ind w:left="442" w:right="169" w:hanging="284"/>
        <w:jc w:val="both"/>
      </w:pPr>
      <w:r>
        <w:rPr/>
        <w:t>Mekkink P. (1999). Soils of Forest Reserves in the Netherlands. Report 98/35, Staring Centre, Wageningen, The Netherlands.</w:t>
      </w:r>
    </w:p>
    <w:p>
      <w:pPr>
        <w:pStyle w:val="BodyText"/>
        <w:spacing w:before="121"/>
        <w:ind w:left="442" w:right="171" w:hanging="284"/>
        <w:jc w:val="both"/>
      </w:pPr>
      <w:r>
        <w:rPr/>
        <w:t>UNFCCC. (2001). Paragraphs 1(a) - (e) in the Annex to draft decision -/CMP.1 (Land use land-use change and forestry), contained in document FCCC/CP/2001/13/Add.1, p.58.</w:t>
      </w:r>
    </w:p>
    <w:p>
      <w:pPr>
        <w:spacing w:after="0"/>
        <w:jc w:val="both"/>
        <w:sectPr>
          <w:pgSz w:w="11900" w:h="16840"/>
          <w:pgMar w:header="230" w:footer="408" w:top="560" w:bottom="600" w:left="1260" w:right="1240"/>
        </w:sectPr>
      </w:pPr>
    </w:p>
    <w:p>
      <w:pPr>
        <w:pStyle w:val="BodyText"/>
      </w:pPr>
    </w:p>
    <w:p>
      <w:pPr>
        <w:pStyle w:val="BodyText"/>
        <w:rPr>
          <w:sz w:val="27"/>
        </w:rPr>
      </w:pPr>
    </w:p>
    <w:p>
      <w:pPr>
        <w:tabs>
          <w:tab w:pos="2064" w:val="left" w:leader="none"/>
          <w:tab w:pos="9259" w:val="left" w:leader="none"/>
        </w:tabs>
        <w:spacing w:before="80"/>
        <w:ind w:left="159" w:right="0" w:firstLine="0"/>
        <w:jc w:val="left"/>
        <w:rPr>
          <w:b/>
          <w:sz w:val="48"/>
        </w:rPr>
      </w:pPr>
      <w:r>
        <w:rPr>
          <w:b/>
          <w:spacing w:val="39"/>
          <w:sz w:val="48"/>
          <w:u w:val="thick"/>
        </w:rPr>
        <w:t>A</w:t>
      </w:r>
      <w:r>
        <w:rPr>
          <w:b/>
          <w:spacing w:val="39"/>
          <w:sz w:val="38"/>
          <w:u w:val="thick"/>
        </w:rPr>
        <w:t>NN</w:t>
      </w:r>
      <w:r>
        <w:rPr>
          <w:b/>
          <w:spacing w:val="-37"/>
          <w:sz w:val="38"/>
          <w:u w:val="thick"/>
        </w:rPr>
        <w:t> </w:t>
      </w:r>
      <w:r>
        <w:rPr>
          <w:b/>
          <w:sz w:val="38"/>
          <w:u w:val="thick"/>
        </w:rPr>
        <w:t>E</w:t>
      </w:r>
      <w:r>
        <w:rPr>
          <w:b/>
          <w:spacing w:val="-36"/>
          <w:sz w:val="38"/>
          <w:u w:val="thick"/>
        </w:rPr>
        <w:t> </w:t>
      </w:r>
      <w:r>
        <w:rPr>
          <w:b/>
          <w:sz w:val="38"/>
          <w:u w:val="thick"/>
        </w:rPr>
        <w:t>X</w:t>
        <w:tab/>
      </w:r>
      <w:r>
        <w:rPr>
          <w:b/>
          <w:sz w:val="48"/>
          <w:u w:val="thick"/>
        </w:rPr>
        <w:t>D</w:t>
        <w:tab/>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Heading1"/>
      </w:pPr>
      <w:r>
        <w:rPr/>
        <w:t>LIST OF REVIEWERS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
        <w:rPr>
          <w:b/>
          <w:sz w:val="12"/>
        </w:rPr>
      </w:pPr>
      <w:r>
        <w:rPr/>
        <w:pict>
          <v:line style="position:absolute;mso-position-horizontal-relative:page;mso-position-vertical-relative:paragraph;z-index:32168;mso-wrap-distance-left:0;mso-wrap-distance-right:0" from="70.960999pt,9.394717pt" to="524.440999pt,9.394717pt" stroked="true" strokeweight=".75pt" strokecolor="#010101">
            <v:stroke dashstyle="solid"/>
            <w10:wrap type="topAndBottom"/>
          </v:line>
        </w:pict>
      </w:r>
    </w:p>
    <w:p>
      <w:pPr>
        <w:pStyle w:val="BodyText"/>
        <w:spacing w:before="9"/>
        <w:ind w:left="519"/>
      </w:pPr>
      <w:r>
        <w:rPr/>
        <w:t>IPCC Good Practice Guidance for LULUCF</w:t>
      </w:r>
    </w:p>
    <w:p>
      <w:pPr>
        <w:spacing w:after="0"/>
        <w:sectPr>
          <w:headerReference w:type="default" r:id="rId480"/>
          <w:footerReference w:type="default" r:id="rId481"/>
          <w:pgSz w:w="11900" w:h="16840"/>
          <w:pgMar w:header="0" w:footer="0" w:top="1600" w:bottom="280" w:left="1260" w:right="1240"/>
        </w:sectPr>
      </w:pPr>
    </w:p>
    <w:p>
      <w:pPr>
        <w:pStyle w:val="BodyText"/>
      </w:pPr>
    </w:p>
    <w:p>
      <w:pPr>
        <w:pStyle w:val="Heading2"/>
        <w:spacing w:before="215"/>
        <w:ind w:left="159" w:firstLine="0"/>
      </w:pPr>
      <w:r>
        <w:rPr/>
        <w:t>List of Reviewers</w:t>
      </w:r>
    </w:p>
    <w:p>
      <w:pPr>
        <w:pStyle w:val="BodyText"/>
        <w:spacing w:before="4"/>
        <w:rPr>
          <w:b/>
          <w:sz w:val="22"/>
        </w:rPr>
      </w:pPr>
    </w:p>
    <w:p>
      <w:pPr>
        <w:spacing w:after="0"/>
        <w:rPr>
          <w:sz w:val="22"/>
        </w:rPr>
        <w:sectPr>
          <w:headerReference w:type="even" r:id="rId482"/>
          <w:headerReference w:type="default" r:id="rId483"/>
          <w:footerReference w:type="even" r:id="rId484"/>
          <w:footerReference w:type="default" r:id="rId485"/>
          <w:pgSz w:w="11900" w:h="16840"/>
          <w:pgMar w:header="230" w:footer="408" w:top="560" w:bottom="600" w:left="1260" w:right="1240"/>
          <w:pgNumType w:start="2"/>
        </w:sectPr>
      </w:pPr>
    </w:p>
    <w:p>
      <w:pPr>
        <w:spacing w:line="228" w:lineRule="exact" w:before="92"/>
        <w:ind w:left="159" w:right="0" w:firstLine="0"/>
        <w:jc w:val="left"/>
        <w:rPr>
          <w:b/>
          <w:sz w:val="20"/>
        </w:rPr>
      </w:pPr>
      <w:r>
        <w:rPr>
          <w:b/>
          <w:sz w:val="20"/>
        </w:rPr>
        <w:t>Argentina</w:t>
      </w:r>
    </w:p>
    <w:p>
      <w:pPr>
        <w:pStyle w:val="BodyText"/>
        <w:tabs>
          <w:tab w:pos="1462" w:val="left" w:leader="none"/>
        </w:tabs>
        <w:ind w:left="159" w:right="617"/>
      </w:pPr>
      <w:r>
        <w:rPr/>
        <w:t>Ginzo,</w:t>
      </w:r>
      <w:r>
        <w:rPr>
          <w:spacing w:val="-1"/>
        </w:rPr>
        <w:t> </w:t>
      </w:r>
      <w:r>
        <w:rPr/>
        <w:t>H.</w:t>
        <w:tab/>
        <w:t>Ministry of Foreign Affairs Glaz,</w:t>
      </w:r>
      <w:r>
        <w:rPr>
          <w:spacing w:val="-1"/>
        </w:rPr>
        <w:t> </w:t>
      </w:r>
      <w:r>
        <w:rPr/>
        <w:t>D.</w:t>
        <w:tab/>
        <w:t>Secretary of Environment</w:t>
      </w:r>
      <w:r>
        <w:rPr>
          <w:spacing w:val="-18"/>
        </w:rPr>
        <w:t> </w:t>
      </w:r>
      <w:r>
        <w:rPr/>
        <w:t>and</w:t>
      </w:r>
    </w:p>
    <w:p>
      <w:pPr>
        <w:pStyle w:val="BodyText"/>
        <w:tabs>
          <w:tab w:pos="1463" w:val="left" w:leader="none"/>
        </w:tabs>
        <w:ind w:left="159" w:right="618" w:firstLine="1303"/>
      </w:pPr>
      <w:r>
        <w:rPr/>
        <w:t>Sustainable Development Marin,</w:t>
      </w:r>
      <w:r>
        <w:rPr>
          <w:spacing w:val="-1"/>
        </w:rPr>
        <w:t> </w:t>
      </w:r>
      <w:r>
        <w:rPr/>
        <w:t>N.</w:t>
        <w:tab/>
        <w:t>Secretary of Environment</w:t>
      </w:r>
      <w:r>
        <w:rPr>
          <w:spacing w:val="-18"/>
        </w:rPr>
        <w:t> </w:t>
      </w:r>
      <w:r>
        <w:rPr/>
        <w:t>and</w:t>
      </w:r>
    </w:p>
    <w:p>
      <w:pPr>
        <w:pStyle w:val="BodyText"/>
        <w:tabs>
          <w:tab w:pos="1462" w:val="left" w:leader="none"/>
        </w:tabs>
        <w:ind w:left="159" w:right="973" w:firstLine="1303"/>
      </w:pPr>
      <w:r>
        <w:rPr/>
        <w:t>Sustainable</w:t>
      </w:r>
      <w:r>
        <w:rPr>
          <w:spacing w:val="-11"/>
        </w:rPr>
        <w:t> </w:t>
      </w:r>
      <w:r>
        <w:rPr/>
        <w:t>Development Nine,</w:t>
      </w:r>
      <w:r>
        <w:rPr>
          <w:spacing w:val="-2"/>
        </w:rPr>
        <w:t> </w:t>
      </w:r>
      <w:r>
        <w:rPr/>
        <w:t>M.</w:t>
        <w:tab/>
        <w:t>Ministerio de</w:t>
      </w:r>
      <w:r>
        <w:rPr>
          <w:spacing w:val="-8"/>
        </w:rPr>
        <w:t> </w:t>
      </w:r>
      <w:r>
        <w:rPr/>
        <w:t>Relaciones</w:t>
      </w:r>
    </w:p>
    <w:p>
      <w:pPr>
        <w:pStyle w:val="BodyText"/>
        <w:tabs>
          <w:tab w:pos="1461" w:val="left" w:leader="none"/>
        </w:tabs>
        <w:ind w:left="159" w:right="38" w:firstLine="1303"/>
      </w:pPr>
      <w:r>
        <w:rPr/>
        <w:t>Exteriores,Comercio Internacional Norverto,</w:t>
      </w:r>
      <w:r>
        <w:rPr>
          <w:spacing w:val="-3"/>
        </w:rPr>
        <w:t> </w:t>
      </w:r>
      <w:r>
        <w:rPr/>
        <w:t>C.</w:t>
        <w:tab/>
        <w:t>Secretaría de Agricultura,</w:t>
      </w:r>
      <w:r>
        <w:rPr>
          <w:spacing w:val="-14"/>
        </w:rPr>
        <w:t> </w:t>
      </w:r>
      <w:r>
        <w:rPr/>
        <w:t>Ganadería,</w:t>
      </w:r>
    </w:p>
    <w:p>
      <w:pPr>
        <w:pStyle w:val="BodyText"/>
        <w:spacing w:line="228" w:lineRule="exact"/>
        <w:ind w:left="1462"/>
      </w:pPr>
      <w:r>
        <w:rPr/>
        <w:t>Pesca y Alimentos</w:t>
      </w:r>
    </w:p>
    <w:p>
      <w:pPr>
        <w:pStyle w:val="BodyText"/>
        <w:spacing w:before="3"/>
      </w:pPr>
    </w:p>
    <w:p>
      <w:pPr>
        <w:spacing w:line="227" w:lineRule="exact" w:before="0"/>
        <w:ind w:left="159" w:right="0" w:firstLine="0"/>
        <w:jc w:val="left"/>
        <w:rPr>
          <w:b/>
          <w:sz w:val="20"/>
        </w:rPr>
      </w:pPr>
      <w:r>
        <w:rPr>
          <w:b/>
          <w:sz w:val="20"/>
        </w:rPr>
        <w:t>Australia</w:t>
      </w:r>
    </w:p>
    <w:p>
      <w:pPr>
        <w:pStyle w:val="BodyText"/>
        <w:tabs>
          <w:tab w:pos="1461" w:val="left" w:leader="none"/>
        </w:tabs>
        <w:spacing w:line="227" w:lineRule="exact"/>
        <w:ind w:left="159"/>
      </w:pPr>
      <w:r>
        <w:rPr/>
        <w:t>Barrett,</w:t>
      </w:r>
      <w:r>
        <w:rPr>
          <w:spacing w:val="-1"/>
        </w:rPr>
        <w:t> </w:t>
      </w:r>
      <w:r>
        <w:rPr/>
        <w:t>D.</w:t>
        <w:tab/>
        <w:t>Cooperative Research Centre</w:t>
      </w:r>
      <w:r>
        <w:rPr>
          <w:spacing w:val="-4"/>
        </w:rPr>
        <w:t> </w:t>
      </w:r>
      <w:r>
        <w:rPr/>
        <w:t>for</w:t>
      </w:r>
    </w:p>
    <w:p>
      <w:pPr>
        <w:pStyle w:val="BodyText"/>
        <w:ind w:left="1462"/>
      </w:pPr>
      <w:r>
        <w:rPr/>
        <w:t>Greenhouse Accounting (CRC GA)</w:t>
      </w:r>
    </w:p>
    <w:p>
      <w:pPr>
        <w:pStyle w:val="BodyText"/>
        <w:tabs>
          <w:tab w:pos="1461" w:val="left" w:leader="none"/>
        </w:tabs>
        <w:spacing w:before="1"/>
        <w:ind w:left="159"/>
      </w:pPr>
      <w:r>
        <w:rPr/>
        <w:t>Barry,</w:t>
      </w:r>
      <w:r>
        <w:rPr>
          <w:spacing w:val="-2"/>
        </w:rPr>
        <w:t> </w:t>
      </w:r>
      <w:r>
        <w:rPr/>
        <w:t>S.</w:t>
        <w:tab/>
        <w:t>CRC</w:t>
      </w:r>
      <w:r>
        <w:rPr>
          <w:spacing w:val="-1"/>
        </w:rPr>
        <w:t> </w:t>
      </w:r>
      <w:r>
        <w:rPr/>
        <w:t>GA</w:t>
      </w:r>
    </w:p>
    <w:p>
      <w:pPr>
        <w:pStyle w:val="BodyText"/>
        <w:tabs>
          <w:tab w:pos="1462" w:val="left" w:leader="none"/>
        </w:tabs>
        <w:spacing w:line="229" w:lineRule="exact"/>
        <w:ind w:left="159"/>
      </w:pPr>
      <w:r>
        <w:rPr/>
        <w:t>Brack,</w:t>
      </w:r>
      <w:r>
        <w:rPr>
          <w:spacing w:val="-1"/>
        </w:rPr>
        <w:t> </w:t>
      </w:r>
      <w:r>
        <w:rPr/>
        <w:t>C.</w:t>
        <w:tab/>
        <w:t>CRC</w:t>
      </w:r>
      <w:r>
        <w:rPr>
          <w:spacing w:val="-2"/>
        </w:rPr>
        <w:t> </w:t>
      </w:r>
      <w:r>
        <w:rPr/>
        <w:t>GA</w:t>
      </w:r>
    </w:p>
    <w:p>
      <w:pPr>
        <w:pStyle w:val="BodyText"/>
        <w:tabs>
          <w:tab w:pos="1462" w:val="left" w:leader="none"/>
        </w:tabs>
        <w:spacing w:line="229" w:lineRule="exact"/>
        <w:ind w:left="159"/>
      </w:pPr>
      <w:r>
        <w:rPr/>
        <w:t>Carter,</w:t>
      </w:r>
      <w:r>
        <w:rPr>
          <w:spacing w:val="-1"/>
        </w:rPr>
        <w:t> </w:t>
      </w:r>
      <w:r>
        <w:rPr/>
        <w:t>J.</w:t>
        <w:tab/>
        <w:t>CRC GA Queensland</w:t>
      </w:r>
      <w:r>
        <w:rPr>
          <w:spacing w:val="-4"/>
        </w:rPr>
        <w:t> </w:t>
      </w:r>
      <w:r>
        <w:rPr/>
        <w:t>Natural</w:t>
      </w:r>
    </w:p>
    <w:p>
      <w:pPr>
        <w:pStyle w:val="BodyText"/>
        <w:tabs>
          <w:tab w:pos="1462" w:val="left" w:leader="none"/>
        </w:tabs>
        <w:spacing w:before="1"/>
        <w:ind w:left="159" w:right="73" w:firstLine="1303"/>
      </w:pPr>
      <w:r>
        <w:rPr/>
        <w:t>Resources and Mines (Qld NR&amp;M) Cowie,</w:t>
      </w:r>
      <w:r>
        <w:rPr>
          <w:spacing w:val="-2"/>
        </w:rPr>
        <w:t> </w:t>
      </w:r>
      <w:r>
        <w:rPr/>
        <w:t>A.</w:t>
        <w:tab/>
        <w:t>CRC GA State Forest of New</w:t>
      </w:r>
      <w:r>
        <w:rPr>
          <w:spacing w:val="-16"/>
        </w:rPr>
        <w:t> </w:t>
      </w:r>
      <w:r>
        <w:rPr/>
        <w:t>South</w:t>
      </w:r>
    </w:p>
    <w:p>
      <w:pPr>
        <w:pStyle w:val="BodyText"/>
        <w:tabs>
          <w:tab w:pos="1461" w:val="left" w:leader="none"/>
        </w:tabs>
        <w:spacing w:before="1"/>
        <w:ind w:left="159" w:right="1274" w:firstLine="1303"/>
      </w:pPr>
      <w:r>
        <w:rPr/>
        <w:t>Wales (SF NSW) Dalal,</w:t>
      </w:r>
      <w:r>
        <w:rPr>
          <w:spacing w:val="-2"/>
        </w:rPr>
        <w:t> </w:t>
      </w:r>
      <w:r>
        <w:rPr/>
        <w:t>R.</w:t>
        <w:tab/>
        <w:t>CRC GA Qld </w:t>
      </w:r>
      <w:r>
        <w:rPr>
          <w:spacing w:val="-4"/>
        </w:rPr>
        <w:t>NR&amp;M </w:t>
      </w:r>
      <w:r>
        <w:rPr/>
        <w:t>Dean,</w:t>
      </w:r>
      <w:r>
        <w:rPr>
          <w:spacing w:val="-2"/>
        </w:rPr>
        <w:t> </w:t>
      </w:r>
      <w:r>
        <w:rPr/>
        <w:t>C.</w:t>
        <w:tab/>
        <w:t>CRC</w:t>
      </w:r>
      <w:r>
        <w:rPr>
          <w:spacing w:val="-1"/>
        </w:rPr>
        <w:t> </w:t>
      </w:r>
      <w:r>
        <w:rPr/>
        <w:t>GA</w:t>
      </w:r>
    </w:p>
    <w:p>
      <w:pPr>
        <w:pStyle w:val="BodyText"/>
        <w:tabs>
          <w:tab w:pos="1459" w:val="left" w:leader="none"/>
        </w:tabs>
        <w:spacing w:line="229" w:lineRule="exact"/>
        <w:ind w:left="159"/>
      </w:pPr>
      <w:r>
        <w:rPr/>
        <w:t>Farquar,</w:t>
      </w:r>
      <w:r>
        <w:rPr>
          <w:spacing w:val="-2"/>
        </w:rPr>
        <w:t> </w:t>
      </w:r>
      <w:r>
        <w:rPr/>
        <w:t>G.</w:t>
        <w:tab/>
        <w:t>CRC GA Australian</w:t>
      </w:r>
      <w:r>
        <w:rPr>
          <w:spacing w:val="-2"/>
        </w:rPr>
        <w:t> </w:t>
      </w:r>
      <w:r>
        <w:rPr/>
        <w:t>National</w:t>
      </w:r>
    </w:p>
    <w:p>
      <w:pPr>
        <w:pStyle w:val="BodyText"/>
        <w:tabs>
          <w:tab w:pos="1463" w:val="left" w:leader="none"/>
        </w:tabs>
        <w:ind w:left="159" w:right="1516" w:firstLine="1303"/>
      </w:pPr>
      <w:r>
        <w:rPr/>
        <w:t>Univeristy Gardner,</w:t>
      </w:r>
      <w:r>
        <w:rPr>
          <w:spacing w:val="-1"/>
        </w:rPr>
        <w:t> </w:t>
      </w:r>
      <w:r>
        <w:rPr/>
        <w:t>D.</w:t>
        <w:tab/>
        <w:t>CRC GA SF</w:t>
      </w:r>
      <w:r>
        <w:rPr>
          <w:spacing w:val="-6"/>
        </w:rPr>
        <w:t> NSW</w:t>
      </w:r>
    </w:p>
    <w:p>
      <w:pPr>
        <w:pStyle w:val="BodyText"/>
        <w:tabs>
          <w:tab w:pos="1462" w:val="left" w:leader="none"/>
        </w:tabs>
        <w:spacing w:line="228" w:lineRule="exact"/>
        <w:ind w:left="159"/>
      </w:pPr>
      <w:r>
        <w:rPr/>
        <w:t>Gifford,</w:t>
      </w:r>
      <w:r>
        <w:rPr>
          <w:spacing w:val="-1"/>
        </w:rPr>
        <w:t> </w:t>
      </w:r>
      <w:r>
        <w:rPr/>
        <w:t>R.</w:t>
        <w:tab/>
        <w:t>CRC GA</w:t>
      </w:r>
      <w:r>
        <w:rPr>
          <w:spacing w:val="-37"/>
        </w:rPr>
        <w:t> </w:t>
      </w:r>
      <w:r>
        <w:rPr>
          <w:spacing w:val="-4"/>
        </w:rPr>
        <w:t>Commonwealth Scientific </w:t>
      </w:r>
      <w:r>
        <w:rPr/>
        <w:t>&amp;</w:t>
      </w:r>
    </w:p>
    <w:p>
      <w:pPr>
        <w:pStyle w:val="BodyText"/>
        <w:ind w:left="1462" w:right="498"/>
      </w:pPr>
      <w:r>
        <w:rPr>
          <w:spacing w:val="-4"/>
        </w:rPr>
        <w:t>Industrial Research Organisation (CSIRO)</w:t>
      </w:r>
    </w:p>
    <w:p>
      <w:pPr>
        <w:pStyle w:val="BodyText"/>
        <w:tabs>
          <w:tab w:pos="1461" w:val="left" w:leader="none"/>
        </w:tabs>
        <w:ind w:left="159" w:right="1273"/>
      </w:pPr>
      <w:r>
        <w:rPr/>
        <w:t>Henry,</w:t>
      </w:r>
      <w:r>
        <w:rPr>
          <w:spacing w:val="-2"/>
        </w:rPr>
        <w:t> </w:t>
      </w:r>
      <w:r>
        <w:rPr/>
        <w:t>B.</w:t>
        <w:tab/>
        <w:t>CRC GA Qld </w:t>
      </w:r>
      <w:r>
        <w:rPr>
          <w:spacing w:val="-5"/>
        </w:rPr>
        <w:t>NR&amp;M </w:t>
      </w:r>
      <w:r>
        <w:rPr/>
        <w:t>Kirschbaum, M. CRC</w:t>
      </w:r>
      <w:r>
        <w:rPr>
          <w:spacing w:val="-16"/>
        </w:rPr>
        <w:t> </w:t>
      </w:r>
      <w:r>
        <w:rPr/>
        <w:t>GA</w:t>
      </w:r>
    </w:p>
    <w:p>
      <w:pPr>
        <w:pStyle w:val="BodyText"/>
        <w:tabs>
          <w:tab w:pos="1459" w:val="left" w:leader="none"/>
        </w:tabs>
        <w:ind w:left="159" w:right="1518"/>
      </w:pPr>
      <w:r>
        <w:rPr/>
        <w:t>Mitchell,</w:t>
      </w:r>
      <w:r>
        <w:rPr>
          <w:spacing w:val="-2"/>
        </w:rPr>
        <w:t> </w:t>
      </w:r>
      <w:r>
        <w:rPr/>
        <w:t>C.</w:t>
        <w:tab/>
        <w:t>CRC  GA Mokany,</w:t>
      </w:r>
      <w:r>
        <w:rPr>
          <w:spacing w:val="-1"/>
        </w:rPr>
        <w:t> </w:t>
      </w:r>
      <w:r>
        <w:rPr/>
        <w:t>K.</w:t>
        <w:tab/>
        <w:t>CRC GA Montagu,</w:t>
      </w:r>
      <w:r>
        <w:rPr>
          <w:spacing w:val="-1"/>
        </w:rPr>
        <w:t> </w:t>
      </w:r>
      <w:r>
        <w:rPr/>
        <w:t>K.</w:t>
        <w:tab/>
        <w:t>CRC GA NSW </w:t>
      </w:r>
      <w:r>
        <w:rPr>
          <w:spacing w:val="-8"/>
        </w:rPr>
        <w:t>SF </w:t>
      </w:r>
      <w:r>
        <w:rPr/>
        <w:t>Raison,</w:t>
      </w:r>
      <w:r>
        <w:rPr>
          <w:spacing w:val="-1"/>
        </w:rPr>
        <w:t> </w:t>
      </w:r>
      <w:r>
        <w:rPr/>
        <w:t>J.</w:t>
        <w:tab/>
        <w:t>CRC GA</w:t>
      </w:r>
      <w:r>
        <w:rPr>
          <w:spacing w:val="-4"/>
        </w:rPr>
        <w:t> </w:t>
      </w:r>
      <w:r>
        <w:rPr/>
        <w:t>CSIRO</w:t>
      </w:r>
    </w:p>
    <w:p>
      <w:pPr>
        <w:pStyle w:val="BodyText"/>
        <w:tabs>
          <w:tab w:pos="1461" w:val="left" w:leader="none"/>
        </w:tabs>
        <w:spacing w:line="229" w:lineRule="exact"/>
        <w:ind w:left="159"/>
      </w:pPr>
      <w:r>
        <w:rPr/>
        <w:t>Ritson,</w:t>
      </w:r>
      <w:r>
        <w:rPr>
          <w:spacing w:val="-1"/>
        </w:rPr>
        <w:t> </w:t>
      </w:r>
      <w:r>
        <w:rPr/>
        <w:t>P.</w:t>
        <w:tab/>
        <w:t>CRC GA CALM,</w:t>
      </w:r>
      <w:r>
        <w:rPr>
          <w:spacing w:val="-2"/>
        </w:rPr>
        <w:t> </w:t>
      </w:r>
      <w:r>
        <w:rPr/>
        <w:t>WA</w:t>
      </w:r>
    </w:p>
    <w:p>
      <w:pPr>
        <w:pStyle w:val="BodyText"/>
        <w:tabs>
          <w:tab w:pos="1461" w:val="left" w:leader="none"/>
        </w:tabs>
        <w:ind w:left="159" w:right="1516"/>
      </w:pPr>
      <w:r>
        <w:rPr/>
        <w:t>Turner, B.</w:t>
        <w:tab/>
        <w:t>CRC GA Ximenes,</w:t>
      </w:r>
      <w:r>
        <w:rPr>
          <w:spacing w:val="-3"/>
        </w:rPr>
        <w:t> </w:t>
      </w:r>
      <w:r>
        <w:rPr/>
        <w:t>F.</w:t>
        <w:tab/>
        <w:t>CRC GA SF</w:t>
      </w:r>
      <w:r>
        <w:rPr>
          <w:spacing w:val="-4"/>
        </w:rPr>
        <w:t> </w:t>
      </w:r>
      <w:r>
        <w:rPr>
          <w:spacing w:val="-6"/>
        </w:rPr>
        <w:t>NSW</w:t>
      </w:r>
    </w:p>
    <w:p>
      <w:pPr>
        <w:pStyle w:val="BodyText"/>
        <w:spacing w:before="4"/>
      </w:pPr>
    </w:p>
    <w:p>
      <w:pPr>
        <w:spacing w:line="228" w:lineRule="exact" w:before="0"/>
        <w:ind w:left="159" w:right="0" w:firstLine="0"/>
        <w:jc w:val="left"/>
        <w:rPr>
          <w:b/>
          <w:sz w:val="20"/>
        </w:rPr>
      </w:pPr>
      <w:r>
        <w:rPr>
          <w:b/>
          <w:sz w:val="20"/>
        </w:rPr>
        <w:t>Austria</w:t>
      </w:r>
    </w:p>
    <w:p>
      <w:pPr>
        <w:pStyle w:val="BodyText"/>
        <w:tabs>
          <w:tab w:pos="1460" w:val="left" w:leader="none"/>
        </w:tabs>
        <w:spacing w:line="228" w:lineRule="exact"/>
        <w:ind w:left="159"/>
      </w:pPr>
      <w:r>
        <w:rPr/>
        <w:t>Radunsky,</w:t>
      </w:r>
      <w:r>
        <w:rPr>
          <w:spacing w:val="-3"/>
        </w:rPr>
        <w:t> </w:t>
      </w:r>
      <w:r>
        <w:rPr/>
        <w:t>K.</w:t>
        <w:tab/>
        <w:t>Federal Environment Agency</w:t>
      </w:r>
    </w:p>
    <w:p>
      <w:pPr>
        <w:pStyle w:val="BodyText"/>
        <w:spacing w:before="3"/>
      </w:pPr>
    </w:p>
    <w:p>
      <w:pPr>
        <w:spacing w:line="228" w:lineRule="exact" w:before="0"/>
        <w:ind w:left="159" w:right="0" w:firstLine="0"/>
        <w:jc w:val="left"/>
        <w:rPr>
          <w:b/>
          <w:sz w:val="20"/>
        </w:rPr>
      </w:pPr>
      <w:r>
        <w:rPr>
          <w:b/>
          <w:sz w:val="20"/>
        </w:rPr>
        <w:t>Azerbaijan</w:t>
      </w:r>
    </w:p>
    <w:p>
      <w:pPr>
        <w:pStyle w:val="BodyText"/>
        <w:spacing w:line="228" w:lineRule="exact"/>
        <w:ind w:left="159"/>
      </w:pPr>
      <w:r>
        <w:rPr/>
        <w:t>Government of Azerbaijan</w:t>
      </w:r>
    </w:p>
    <w:p>
      <w:pPr>
        <w:pStyle w:val="BodyText"/>
        <w:spacing w:before="3"/>
      </w:pPr>
    </w:p>
    <w:p>
      <w:pPr>
        <w:spacing w:line="228" w:lineRule="exact" w:before="0"/>
        <w:ind w:left="159" w:right="0" w:firstLine="0"/>
        <w:jc w:val="left"/>
        <w:rPr>
          <w:b/>
          <w:sz w:val="20"/>
        </w:rPr>
      </w:pPr>
      <w:r>
        <w:rPr>
          <w:b/>
          <w:sz w:val="20"/>
        </w:rPr>
        <w:t>Belgium</w:t>
      </w:r>
    </w:p>
    <w:p>
      <w:pPr>
        <w:pStyle w:val="BodyText"/>
        <w:spacing w:line="228" w:lineRule="exact"/>
        <w:ind w:left="159"/>
      </w:pPr>
      <w:r>
        <w:rPr/>
        <w:t>Vanderstraeten, M.</w:t>
      </w:r>
    </w:p>
    <w:p>
      <w:pPr>
        <w:pStyle w:val="BodyText"/>
        <w:tabs>
          <w:tab w:pos="1462" w:val="left" w:leader="none"/>
        </w:tabs>
        <w:spacing w:before="1"/>
        <w:ind w:left="159"/>
      </w:pPr>
      <w:r>
        <w:rPr/>
        <w:t>Walle,</w:t>
      </w:r>
      <w:r>
        <w:rPr>
          <w:spacing w:val="-1"/>
        </w:rPr>
        <w:t> </w:t>
      </w:r>
      <w:r>
        <w:rPr/>
        <w:t>I.</w:t>
        <w:tab/>
        <w:t>Ghent University</w:t>
      </w:r>
    </w:p>
    <w:p>
      <w:pPr>
        <w:pStyle w:val="BodyText"/>
        <w:spacing w:before="3"/>
      </w:pPr>
    </w:p>
    <w:p>
      <w:pPr>
        <w:spacing w:line="228" w:lineRule="exact" w:before="0"/>
        <w:ind w:left="159" w:right="0" w:firstLine="0"/>
        <w:jc w:val="left"/>
        <w:rPr>
          <w:b/>
          <w:sz w:val="20"/>
        </w:rPr>
      </w:pPr>
      <w:r>
        <w:rPr>
          <w:b/>
          <w:sz w:val="20"/>
        </w:rPr>
        <w:t>Benin</w:t>
      </w:r>
    </w:p>
    <w:p>
      <w:pPr>
        <w:pStyle w:val="BodyText"/>
        <w:spacing w:line="228" w:lineRule="exact"/>
        <w:ind w:left="159"/>
      </w:pPr>
      <w:r>
        <w:rPr/>
        <w:t>Guendehou, S.  Benin Centre of Scientific</w:t>
      </w:r>
      <w:r>
        <w:rPr>
          <w:spacing w:val="-1"/>
        </w:rPr>
        <w:t> </w:t>
      </w:r>
      <w:r>
        <w:rPr/>
        <w:t>and</w:t>
      </w:r>
    </w:p>
    <w:p>
      <w:pPr>
        <w:pStyle w:val="BodyText"/>
        <w:ind w:left="1462"/>
      </w:pPr>
      <w:r>
        <w:rPr/>
        <w:t>Technical Research</w:t>
      </w:r>
      <w:r>
        <w:rPr>
          <w:spacing w:val="-10"/>
        </w:rPr>
        <w:t> </w:t>
      </w:r>
      <w:r>
        <w:rPr/>
        <w:t>(CBRST)</w:t>
      </w:r>
    </w:p>
    <w:p>
      <w:pPr>
        <w:pStyle w:val="BodyText"/>
        <w:spacing w:before="3"/>
      </w:pPr>
    </w:p>
    <w:p>
      <w:pPr>
        <w:spacing w:line="228" w:lineRule="exact" w:before="1"/>
        <w:ind w:left="159" w:right="0" w:firstLine="0"/>
        <w:jc w:val="left"/>
        <w:rPr>
          <w:b/>
          <w:sz w:val="20"/>
        </w:rPr>
      </w:pPr>
      <w:r>
        <w:rPr>
          <w:b/>
          <w:sz w:val="20"/>
        </w:rPr>
        <w:t>Brazil</w:t>
      </w:r>
    </w:p>
    <w:p>
      <w:pPr>
        <w:pStyle w:val="BodyText"/>
        <w:ind w:left="159" w:right="2500"/>
      </w:pPr>
      <w:r>
        <w:rPr/>
        <w:t>de Oliveira Santos, M. dos Santos, M.</w:t>
      </w:r>
    </w:p>
    <w:p>
      <w:pPr>
        <w:pStyle w:val="BodyText"/>
        <w:tabs>
          <w:tab w:pos="1461" w:val="left" w:leader="none"/>
        </w:tabs>
        <w:spacing w:line="229" w:lineRule="exact"/>
        <w:ind w:left="159"/>
      </w:pPr>
      <w:r>
        <w:rPr/>
        <w:t>Fearnside,</w:t>
      </w:r>
      <w:r>
        <w:rPr>
          <w:spacing w:val="-2"/>
        </w:rPr>
        <w:t> </w:t>
      </w:r>
      <w:r>
        <w:rPr/>
        <w:t>P.</w:t>
        <w:tab/>
        <w:t>National Amazon Research</w:t>
      </w:r>
      <w:r>
        <w:rPr>
          <w:spacing w:val="-5"/>
        </w:rPr>
        <w:t> </w:t>
      </w:r>
      <w:r>
        <w:rPr/>
        <w:t>Institute</w:t>
      </w:r>
    </w:p>
    <w:p>
      <w:pPr>
        <w:pStyle w:val="BodyText"/>
        <w:spacing w:line="229" w:lineRule="exact"/>
        <w:ind w:left="1462"/>
      </w:pPr>
      <w:r>
        <w:rPr/>
        <w:t>(INPA)</w:t>
      </w:r>
    </w:p>
    <w:p>
      <w:pPr>
        <w:pStyle w:val="BodyText"/>
        <w:tabs>
          <w:tab w:pos="1463" w:val="left" w:leader="none"/>
        </w:tabs>
        <w:ind w:left="159" w:right="885"/>
      </w:pPr>
      <w:r>
        <w:rPr/>
        <w:t>Fujihara,</w:t>
      </w:r>
      <w:r>
        <w:rPr>
          <w:spacing w:val="-2"/>
        </w:rPr>
        <w:t> </w:t>
      </w:r>
      <w:r>
        <w:rPr/>
        <w:t>M.</w:t>
        <w:tab/>
        <w:t>Price Waterhouse Coopers Gualda,</w:t>
      </w:r>
      <w:r>
        <w:rPr>
          <w:spacing w:val="-1"/>
        </w:rPr>
        <w:t> </w:t>
      </w:r>
      <w:r>
        <w:rPr/>
        <w:t>R.</w:t>
      </w:r>
    </w:p>
    <w:p>
      <w:pPr>
        <w:spacing w:line="228" w:lineRule="exact" w:before="91"/>
        <w:ind w:left="159" w:right="0" w:firstLine="0"/>
        <w:jc w:val="left"/>
        <w:rPr>
          <w:b/>
          <w:sz w:val="20"/>
        </w:rPr>
      </w:pPr>
      <w:r>
        <w:rPr/>
        <w:br w:type="column"/>
      </w:r>
      <w:r>
        <w:rPr>
          <w:b/>
          <w:sz w:val="20"/>
        </w:rPr>
        <w:t>Brazil (Continued)</w:t>
      </w:r>
    </w:p>
    <w:p>
      <w:pPr>
        <w:pStyle w:val="BodyText"/>
        <w:tabs>
          <w:tab w:pos="1462" w:val="left" w:leader="none"/>
        </w:tabs>
        <w:spacing w:line="228" w:lineRule="exact"/>
        <w:ind w:left="159"/>
      </w:pPr>
      <w:r>
        <w:rPr/>
        <w:t>Krug,</w:t>
      </w:r>
      <w:r>
        <w:rPr>
          <w:spacing w:val="-1"/>
        </w:rPr>
        <w:t> </w:t>
      </w:r>
      <w:r>
        <w:rPr/>
        <w:t>T.</w:t>
        <w:tab/>
        <w:t>Inter-American Institute for</w:t>
      </w:r>
      <w:r>
        <w:rPr>
          <w:spacing w:val="-5"/>
        </w:rPr>
        <w:t> </w:t>
      </w:r>
      <w:r>
        <w:rPr/>
        <w:t>Global</w:t>
      </w:r>
    </w:p>
    <w:p>
      <w:pPr>
        <w:pStyle w:val="BodyText"/>
        <w:spacing w:before="1"/>
        <w:ind w:left="1462"/>
      </w:pPr>
      <w:r>
        <w:rPr/>
        <w:t>Change Research (IAI)</w:t>
      </w:r>
    </w:p>
    <w:p>
      <w:pPr>
        <w:pStyle w:val="BodyText"/>
        <w:tabs>
          <w:tab w:pos="1462" w:val="left" w:leader="none"/>
        </w:tabs>
        <w:ind w:left="159" w:right="279"/>
      </w:pPr>
      <w:r>
        <w:rPr/>
        <w:t>Miguez,</w:t>
      </w:r>
      <w:r>
        <w:rPr>
          <w:spacing w:val="-2"/>
        </w:rPr>
        <w:t> </w:t>
      </w:r>
      <w:r>
        <w:rPr/>
        <w:t>J.D.</w:t>
        <w:tab/>
        <w:t>Ministry of Science and Technology Monteiro Lourenço,</w:t>
      </w:r>
      <w:r>
        <w:rPr>
          <w:spacing w:val="1"/>
        </w:rPr>
        <w:t> </w:t>
      </w:r>
      <w:r>
        <w:rPr/>
        <w:t>R.</w:t>
      </w:r>
    </w:p>
    <w:p>
      <w:pPr>
        <w:pStyle w:val="BodyText"/>
        <w:tabs>
          <w:tab w:pos="1462" w:val="left" w:leader="none"/>
        </w:tabs>
        <w:ind w:left="159" w:right="280"/>
      </w:pPr>
      <w:r>
        <w:rPr/>
        <w:t>Paciornik,</w:t>
      </w:r>
      <w:r>
        <w:rPr>
          <w:spacing w:val="-2"/>
        </w:rPr>
        <w:t> </w:t>
      </w:r>
      <w:r>
        <w:rPr/>
        <w:t>N.</w:t>
        <w:tab/>
        <w:t>Ministry of Science and Technology Tavares de Lima, I.</w:t>
      </w:r>
    </w:p>
    <w:p>
      <w:pPr>
        <w:pStyle w:val="BodyText"/>
        <w:ind w:left="159"/>
      </w:pPr>
      <w:r>
        <w:rPr/>
        <w:t>Vianna Rodrigues, R.</w:t>
      </w:r>
    </w:p>
    <w:p>
      <w:pPr>
        <w:pStyle w:val="BodyText"/>
        <w:spacing w:before="3"/>
      </w:pPr>
    </w:p>
    <w:p>
      <w:pPr>
        <w:spacing w:line="228" w:lineRule="exact" w:before="0"/>
        <w:ind w:left="159" w:right="0" w:firstLine="0"/>
        <w:jc w:val="left"/>
        <w:rPr>
          <w:b/>
          <w:sz w:val="20"/>
        </w:rPr>
      </w:pPr>
      <w:r>
        <w:rPr>
          <w:b/>
          <w:sz w:val="20"/>
        </w:rPr>
        <w:t>Canada</w:t>
      </w:r>
    </w:p>
    <w:p>
      <w:pPr>
        <w:pStyle w:val="BodyText"/>
        <w:tabs>
          <w:tab w:pos="1461" w:val="left" w:leader="none"/>
        </w:tabs>
        <w:ind w:left="159" w:right="1248"/>
      </w:pPr>
      <w:r>
        <w:rPr/>
        <w:t>Bernier,</w:t>
      </w:r>
      <w:r>
        <w:rPr>
          <w:spacing w:val="-1"/>
        </w:rPr>
        <w:t> </w:t>
      </w:r>
      <w:r>
        <w:rPr/>
        <w:t>P.</w:t>
        <w:tab/>
        <w:t>Canadian Forest Service Blain,</w:t>
      </w:r>
      <w:r>
        <w:rPr>
          <w:spacing w:val="-1"/>
        </w:rPr>
        <w:t> </w:t>
      </w:r>
      <w:r>
        <w:rPr/>
        <w:t>D.</w:t>
        <w:tab/>
        <w:t>Environment</w:t>
      </w:r>
      <w:r>
        <w:rPr>
          <w:spacing w:val="-1"/>
        </w:rPr>
        <w:t> </w:t>
      </w:r>
      <w:r>
        <w:rPr/>
        <w:t>Canada</w:t>
      </w:r>
    </w:p>
    <w:p>
      <w:pPr>
        <w:pStyle w:val="BodyText"/>
        <w:tabs>
          <w:tab w:pos="1462" w:val="left" w:leader="none"/>
        </w:tabs>
        <w:ind w:left="159" w:right="248"/>
      </w:pPr>
      <w:r>
        <w:rPr/>
        <w:t>Boehm,</w:t>
      </w:r>
      <w:r>
        <w:rPr>
          <w:spacing w:val="-2"/>
        </w:rPr>
        <w:t> </w:t>
      </w:r>
      <w:r>
        <w:rPr/>
        <w:t>M.</w:t>
        <w:tab/>
        <w:t>Agriculture and Agri-Food Canada Boysen,</w:t>
      </w:r>
      <w:r>
        <w:rPr>
          <w:spacing w:val="-1"/>
        </w:rPr>
        <w:t> </w:t>
      </w:r>
      <w:r>
        <w:rPr/>
        <w:t>E.</w:t>
        <w:tab/>
      </w:r>
      <w:r>
        <w:rPr>
          <w:spacing w:val="-4"/>
        </w:rPr>
        <w:t>Ontario Ministry </w:t>
      </w:r>
      <w:r>
        <w:rPr/>
        <w:t>of </w:t>
      </w:r>
      <w:r>
        <w:rPr>
          <w:spacing w:val="-4"/>
        </w:rPr>
        <w:t>Natural Resources </w:t>
      </w:r>
      <w:r>
        <w:rPr/>
        <w:t>Brierley,</w:t>
      </w:r>
      <w:r>
        <w:rPr>
          <w:spacing w:val="-1"/>
        </w:rPr>
        <w:t> </w:t>
      </w:r>
      <w:r>
        <w:rPr/>
        <w:t>T.</w:t>
        <w:tab/>
        <w:t>Department of Agriculture and</w:t>
      </w:r>
      <w:r>
        <w:rPr>
          <w:spacing w:val="-15"/>
        </w:rPr>
        <w:t> </w:t>
      </w:r>
      <w:r>
        <w:rPr/>
        <w:t>Agri-</w:t>
      </w:r>
    </w:p>
    <w:p>
      <w:pPr>
        <w:pStyle w:val="BodyText"/>
        <w:spacing w:line="229" w:lineRule="exact"/>
        <w:ind w:left="1462"/>
      </w:pPr>
      <w:r>
        <w:rPr/>
        <w:t>Food</w:t>
      </w:r>
    </w:p>
    <w:p>
      <w:pPr>
        <w:pStyle w:val="BodyText"/>
        <w:tabs>
          <w:tab w:pos="1462" w:val="left" w:leader="none"/>
        </w:tabs>
        <w:ind w:left="159" w:right="1447"/>
      </w:pPr>
      <w:r>
        <w:rPr/>
        <w:t>Chang,</w:t>
      </w:r>
      <w:r>
        <w:rPr>
          <w:spacing w:val="-2"/>
        </w:rPr>
        <w:t> </w:t>
      </w:r>
      <w:r>
        <w:rPr/>
        <w:t>L.</w:t>
        <w:tab/>
        <w:t>Environment Canada Chen,</w:t>
      </w:r>
      <w:r>
        <w:rPr>
          <w:spacing w:val="-1"/>
        </w:rPr>
        <w:t> </w:t>
      </w:r>
      <w:r>
        <w:rPr/>
        <w:t>J.</w:t>
        <w:tab/>
        <w:t>University of</w:t>
      </w:r>
      <w:r>
        <w:rPr>
          <w:spacing w:val="-8"/>
        </w:rPr>
        <w:t> </w:t>
      </w:r>
      <w:r>
        <w:rPr/>
        <w:t>Toronto</w:t>
      </w:r>
    </w:p>
    <w:p>
      <w:pPr>
        <w:pStyle w:val="BodyText"/>
        <w:tabs>
          <w:tab w:pos="1463" w:val="left" w:leader="none"/>
        </w:tabs>
        <w:ind w:left="159" w:right="508"/>
        <w:jc w:val="both"/>
      </w:pPr>
      <w:r>
        <w:rPr/>
        <w:t>Chen,</w:t>
      </w:r>
      <w:r>
        <w:rPr>
          <w:spacing w:val="-1"/>
        </w:rPr>
        <w:t> </w:t>
      </w:r>
      <w:r>
        <w:rPr/>
        <w:t>W.</w:t>
        <w:tab/>
        <w:t>Narural Resources Canada CCRS Fernandes, R. Natural Resources Canada CCRS Graham, P. Canadian Forest</w:t>
      </w:r>
      <w:r>
        <w:rPr>
          <w:spacing w:val="-9"/>
        </w:rPr>
        <w:t> </w:t>
      </w:r>
      <w:r>
        <w:rPr/>
        <w:t>Service</w:t>
      </w:r>
    </w:p>
    <w:p>
      <w:pPr>
        <w:pStyle w:val="BodyText"/>
        <w:tabs>
          <w:tab w:pos="1462" w:val="left" w:leader="none"/>
        </w:tabs>
        <w:ind w:left="159" w:right="257"/>
      </w:pPr>
      <w:r>
        <w:rPr/>
        <w:t>Gray,</w:t>
      </w:r>
      <w:r>
        <w:rPr>
          <w:spacing w:val="-1"/>
        </w:rPr>
        <w:t> </w:t>
      </w:r>
      <w:r>
        <w:rPr/>
        <w:t>P.</w:t>
        <w:tab/>
      </w:r>
      <w:r>
        <w:rPr>
          <w:spacing w:val="-4"/>
        </w:rPr>
        <w:t>Ontario Ministry </w:t>
      </w:r>
      <w:r>
        <w:rPr/>
        <w:t>of </w:t>
      </w:r>
      <w:r>
        <w:rPr>
          <w:spacing w:val="-4"/>
        </w:rPr>
        <w:t>Natural</w:t>
      </w:r>
      <w:r>
        <w:rPr>
          <w:spacing w:val="-21"/>
        </w:rPr>
        <w:t> </w:t>
      </w:r>
      <w:r>
        <w:rPr>
          <w:spacing w:val="-4"/>
        </w:rPr>
        <w:t>Resources </w:t>
      </w:r>
      <w:r>
        <w:rPr/>
        <w:t>Henderson, L</w:t>
        <w:tab/>
        <w:t>Environment</w:t>
      </w:r>
      <w:r>
        <w:rPr>
          <w:spacing w:val="1"/>
        </w:rPr>
        <w:t> </w:t>
      </w:r>
      <w:r>
        <w:rPr/>
        <w:t>Canada</w:t>
      </w:r>
    </w:p>
    <w:p>
      <w:pPr>
        <w:pStyle w:val="BodyText"/>
        <w:tabs>
          <w:tab w:pos="1462" w:val="left" w:leader="none"/>
        </w:tabs>
        <w:spacing w:line="229" w:lineRule="exact"/>
        <w:ind w:left="159"/>
      </w:pPr>
      <w:r>
        <w:rPr/>
        <w:t>Jaques,</w:t>
      </w:r>
      <w:r>
        <w:rPr>
          <w:spacing w:val="-2"/>
        </w:rPr>
        <w:t> </w:t>
      </w:r>
      <w:r>
        <w:rPr/>
        <w:t>A.</w:t>
        <w:tab/>
      </w:r>
      <w:r>
        <w:rPr>
          <w:spacing w:val="-3"/>
        </w:rPr>
        <w:t>Government </w:t>
      </w:r>
      <w:r>
        <w:rPr/>
        <w:t>of </w:t>
      </w:r>
      <w:r>
        <w:rPr>
          <w:spacing w:val="-3"/>
        </w:rPr>
        <w:t>Canada </w:t>
      </w:r>
      <w:r>
        <w:rPr/>
        <w:t>/</w:t>
      </w:r>
      <w:r>
        <w:rPr>
          <w:spacing w:val="-20"/>
        </w:rPr>
        <w:t> </w:t>
      </w:r>
      <w:r>
        <w:rPr/>
        <w:t>Environment</w:t>
      </w:r>
    </w:p>
    <w:p>
      <w:pPr>
        <w:pStyle w:val="BodyText"/>
        <w:spacing w:line="229" w:lineRule="exact"/>
        <w:ind w:left="1462"/>
      </w:pPr>
      <w:r>
        <w:rPr/>
        <w:t>Canada</w:t>
      </w:r>
    </w:p>
    <w:p>
      <w:pPr>
        <w:pStyle w:val="BodyText"/>
        <w:tabs>
          <w:tab w:pos="1462" w:val="left" w:leader="none"/>
        </w:tabs>
        <w:ind w:left="159" w:right="464"/>
      </w:pPr>
      <w:r>
        <w:rPr/>
        <w:t>Leckie,</w:t>
      </w:r>
      <w:r>
        <w:rPr>
          <w:spacing w:val="-1"/>
        </w:rPr>
        <w:t> </w:t>
      </w:r>
      <w:r>
        <w:rPr/>
        <w:t>D.</w:t>
        <w:tab/>
        <w:t>Canadian Forest Service Lempriere, T. Canadian Forest Service Magnussen, S. Canadian Forest Service McConkey, B Agricultue and Agri-Food Canada McGovern, M. Environment</w:t>
      </w:r>
      <w:r>
        <w:rPr>
          <w:spacing w:val="10"/>
        </w:rPr>
        <w:t> </w:t>
      </w:r>
      <w:r>
        <w:rPr/>
        <w:t>Canada</w:t>
      </w:r>
    </w:p>
    <w:p>
      <w:pPr>
        <w:pStyle w:val="BodyText"/>
        <w:tabs>
          <w:tab w:pos="1462" w:val="left" w:leader="none"/>
        </w:tabs>
        <w:ind w:left="159" w:right="1249"/>
      </w:pPr>
      <w:r>
        <w:rPr/>
        <w:t>Trofymow,</w:t>
      </w:r>
      <w:r>
        <w:rPr>
          <w:spacing w:val="-1"/>
        </w:rPr>
        <w:t> </w:t>
      </w:r>
      <w:r>
        <w:rPr/>
        <w:t>J.</w:t>
        <w:tab/>
        <w:t>Canadian Forest</w:t>
      </w:r>
      <w:r>
        <w:rPr>
          <w:spacing w:val="-10"/>
        </w:rPr>
        <w:t> </w:t>
      </w:r>
      <w:r>
        <w:rPr/>
        <w:t>Service Varfalvy,</w:t>
      </w:r>
      <w:r>
        <w:rPr>
          <w:spacing w:val="-1"/>
        </w:rPr>
        <w:t> </w:t>
      </w:r>
      <w:r>
        <w:rPr/>
        <w:t>L.</w:t>
        <w:tab/>
        <w:t>Hydro-Québec Wellisch,</w:t>
      </w:r>
      <w:r>
        <w:rPr>
          <w:spacing w:val="-2"/>
        </w:rPr>
        <w:t> </w:t>
      </w:r>
      <w:r>
        <w:rPr/>
        <w:t>M.</w:t>
        <w:tab/>
        <w:t>Environment</w:t>
      </w:r>
      <w:r>
        <w:rPr>
          <w:spacing w:val="1"/>
        </w:rPr>
        <w:t> </w:t>
      </w:r>
      <w:r>
        <w:rPr/>
        <w:t>Canada</w:t>
      </w:r>
    </w:p>
    <w:p>
      <w:pPr>
        <w:pStyle w:val="BodyText"/>
        <w:spacing w:before="1"/>
      </w:pPr>
    </w:p>
    <w:p>
      <w:pPr>
        <w:spacing w:line="228" w:lineRule="exact" w:before="0"/>
        <w:ind w:left="159" w:right="0" w:firstLine="0"/>
        <w:jc w:val="left"/>
        <w:rPr>
          <w:b/>
          <w:sz w:val="20"/>
        </w:rPr>
      </w:pPr>
      <w:r>
        <w:rPr>
          <w:b/>
          <w:sz w:val="20"/>
        </w:rPr>
        <w:t>Chile</w:t>
      </w:r>
    </w:p>
    <w:p>
      <w:pPr>
        <w:pStyle w:val="BodyText"/>
        <w:spacing w:line="227" w:lineRule="exact"/>
        <w:ind w:left="159"/>
      </w:pPr>
      <w:r>
        <w:rPr/>
        <w:t>Bahamondez,C. Centro de Información Forestal</w:t>
      </w:r>
    </w:p>
    <w:p>
      <w:pPr>
        <w:pStyle w:val="BodyText"/>
        <w:spacing w:line="229" w:lineRule="exact"/>
        <w:ind w:left="1462"/>
      </w:pPr>
      <w:r>
        <w:rPr/>
        <w:t>(CINFOR)</w:t>
      </w:r>
    </w:p>
    <w:p>
      <w:pPr>
        <w:pStyle w:val="BodyText"/>
        <w:spacing w:before="5"/>
      </w:pPr>
    </w:p>
    <w:p>
      <w:pPr>
        <w:spacing w:line="228" w:lineRule="exact" w:before="1"/>
        <w:ind w:left="159" w:right="0" w:firstLine="0"/>
        <w:jc w:val="left"/>
        <w:rPr>
          <w:b/>
          <w:sz w:val="20"/>
        </w:rPr>
      </w:pPr>
      <w:r>
        <w:rPr>
          <w:b/>
          <w:sz w:val="20"/>
        </w:rPr>
        <w:t>China, Peoples Republic of</w:t>
      </w:r>
    </w:p>
    <w:p>
      <w:pPr>
        <w:pStyle w:val="BodyText"/>
        <w:tabs>
          <w:tab w:pos="1461" w:val="left" w:leader="none"/>
        </w:tabs>
        <w:ind w:left="159" w:right="191"/>
        <w:jc w:val="both"/>
      </w:pPr>
      <w:r>
        <w:rPr/>
        <w:t>Chen, Z.</w:t>
        <w:tab/>
        <w:t>China Meteorological Administration Gao, Y.</w:t>
        <w:tab/>
        <w:t>China Meteorological Administration Kong,</w:t>
      </w:r>
      <w:r>
        <w:rPr>
          <w:spacing w:val="-1"/>
        </w:rPr>
        <w:t> </w:t>
      </w:r>
      <w:r>
        <w:rPr/>
        <w:t>X.</w:t>
        <w:tab/>
        <w:t>Ministry of Foreign</w:t>
      </w:r>
      <w:r>
        <w:rPr>
          <w:spacing w:val="-5"/>
        </w:rPr>
        <w:t> </w:t>
      </w:r>
      <w:r>
        <w:rPr/>
        <w:t>Affairs</w:t>
      </w:r>
    </w:p>
    <w:p>
      <w:pPr>
        <w:pStyle w:val="BodyText"/>
        <w:tabs>
          <w:tab w:pos="1462" w:val="left" w:leader="none"/>
        </w:tabs>
        <w:ind w:left="1462" w:right="913" w:hanging="1304"/>
      </w:pPr>
      <w:r>
        <w:rPr/>
        <w:t>Li, L.</w:t>
        <w:tab/>
        <w:t>State Development Planning Commission</w:t>
      </w:r>
    </w:p>
    <w:p>
      <w:pPr>
        <w:pStyle w:val="BodyText"/>
        <w:tabs>
          <w:tab w:pos="1461" w:val="left" w:leader="none"/>
        </w:tabs>
        <w:ind w:left="159" w:right="553"/>
      </w:pPr>
      <w:r>
        <w:rPr/>
        <w:t>Li,</w:t>
      </w:r>
      <w:r>
        <w:rPr>
          <w:spacing w:val="-2"/>
        </w:rPr>
        <w:t> </w:t>
      </w:r>
      <w:r>
        <w:rPr/>
        <w:t>Y.</w:t>
        <w:tab/>
        <w:t>Chinese Academy of Agriculture Liu,</w:t>
      </w:r>
      <w:r>
        <w:rPr>
          <w:spacing w:val="-1"/>
        </w:rPr>
        <w:t> </w:t>
      </w:r>
      <w:r>
        <w:rPr/>
        <w:t>H.</w:t>
        <w:tab/>
        <w:t>National Meteorological Center Liu,</w:t>
      </w:r>
      <w:r>
        <w:rPr>
          <w:spacing w:val="-1"/>
        </w:rPr>
        <w:t> </w:t>
      </w:r>
      <w:r>
        <w:rPr/>
        <w:t>S.</w:t>
        <w:tab/>
        <w:t>Chinese Academy of</w:t>
      </w:r>
      <w:r>
        <w:rPr>
          <w:spacing w:val="-4"/>
        </w:rPr>
        <w:t> </w:t>
      </w:r>
      <w:r>
        <w:rPr/>
        <w:t>Forestry</w:t>
      </w:r>
    </w:p>
    <w:p>
      <w:pPr>
        <w:pStyle w:val="BodyText"/>
        <w:tabs>
          <w:tab w:pos="1462" w:val="left" w:leader="none"/>
        </w:tabs>
        <w:ind w:left="159" w:right="279"/>
      </w:pPr>
      <w:r>
        <w:rPr/>
        <w:t>Lv,</w:t>
      </w:r>
      <w:r>
        <w:rPr>
          <w:spacing w:val="-1"/>
        </w:rPr>
        <w:t> </w:t>
      </w:r>
      <w:r>
        <w:rPr/>
        <w:t>X.</w:t>
        <w:tab/>
        <w:t>Ministry of Science and Technology Ma,</w:t>
      </w:r>
      <w:r>
        <w:rPr>
          <w:spacing w:val="-1"/>
        </w:rPr>
        <w:t> </w:t>
      </w:r>
      <w:r>
        <w:rPr/>
        <w:t>A.</w:t>
        <w:tab/>
      </w:r>
      <w:r>
        <w:rPr>
          <w:spacing w:val="-4"/>
        </w:rPr>
        <w:t>State Development</w:t>
      </w:r>
      <w:r>
        <w:rPr>
          <w:spacing w:val="-12"/>
        </w:rPr>
        <w:t> </w:t>
      </w:r>
      <w:r>
        <w:rPr>
          <w:spacing w:val="-4"/>
        </w:rPr>
        <w:t>Planning</w:t>
      </w:r>
    </w:p>
    <w:p>
      <w:pPr>
        <w:pStyle w:val="BodyText"/>
        <w:spacing w:line="228" w:lineRule="exact"/>
        <w:ind w:left="1462"/>
      </w:pPr>
      <w:r>
        <w:rPr/>
        <w:t>Commission</w:t>
      </w:r>
    </w:p>
    <w:p>
      <w:pPr>
        <w:pStyle w:val="BodyText"/>
        <w:tabs>
          <w:tab w:pos="1461" w:val="left" w:leader="none"/>
        </w:tabs>
        <w:ind w:left="159" w:right="191"/>
        <w:jc w:val="both"/>
      </w:pPr>
      <w:r>
        <w:rPr/>
        <w:t>Qin,</w:t>
      </w:r>
      <w:r>
        <w:rPr>
          <w:spacing w:val="-1"/>
        </w:rPr>
        <w:t> </w:t>
      </w:r>
      <w:r>
        <w:rPr/>
        <w:t>D.</w:t>
        <w:tab/>
        <w:t>China Meteorological Administration Wang,</w:t>
      </w:r>
      <w:r>
        <w:rPr>
          <w:spacing w:val="-2"/>
        </w:rPr>
        <w:t> </w:t>
      </w:r>
      <w:r>
        <w:rPr/>
        <w:t>B.</w:t>
        <w:tab/>
        <w:t>China Meteorological Administration Wang,</w:t>
      </w:r>
      <w:r>
        <w:rPr>
          <w:spacing w:val="-1"/>
        </w:rPr>
        <w:t> </w:t>
      </w:r>
      <w:r>
        <w:rPr/>
        <w:t>X.</w:t>
        <w:tab/>
        <w:t>State Forestry</w:t>
      </w:r>
      <w:r>
        <w:rPr>
          <w:spacing w:val="-2"/>
        </w:rPr>
        <w:t> </w:t>
      </w:r>
      <w:r>
        <w:rPr/>
        <w:t>Administration</w:t>
      </w:r>
    </w:p>
    <w:p>
      <w:pPr>
        <w:pStyle w:val="BodyText"/>
        <w:tabs>
          <w:tab w:pos="1462" w:val="left" w:leader="none"/>
        </w:tabs>
        <w:spacing w:line="229" w:lineRule="exact"/>
        <w:ind w:left="159"/>
      </w:pPr>
      <w:r>
        <w:rPr/>
        <w:t>Xu,</w:t>
      </w:r>
      <w:r>
        <w:rPr>
          <w:spacing w:val="-2"/>
        </w:rPr>
        <w:t> </w:t>
      </w:r>
      <w:r>
        <w:rPr/>
        <w:t>D.</w:t>
        <w:tab/>
        <w:t>Chinese Academy of</w:t>
      </w:r>
      <w:r>
        <w:rPr>
          <w:spacing w:val="-13"/>
        </w:rPr>
        <w:t> </w:t>
      </w:r>
      <w:r>
        <w:rPr/>
        <w:t>Forestry</w:t>
      </w:r>
    </w:p>
    <w:p>
      <w:pPr>
        <w:pStyle w:val="BodyText"/>
        <w:tabs>
          <w:tab w:pos="1462" w:val="left" w:leader="none"/>
        </w:tabs>
        <w:ind w:left="159"/>
      </w:pPr>
      <w:r>
        <w:rPr/>
        <w:t>Yan,</w:t>
      </w:r>
      <w:r>
        <w:rPr>
          <w:spacing w:val="-1"/>
        </w:rPr>
        <w:t> </w:t>
      </w:r>
      <w:r>
        <w:rPr/>
        <w:t>C.</w:t>
        <w:tab/>
        <w:t>Ministry of</w:t>
      </w:r>
      <w:r>
        <w:rPr>
          <w:spacing w:val="-4"/>
        </w:rPr>
        <w:t> </w:t>
      </w:r>
      <w:r>
        <w:rPr/>
        <w:t>Agriculture</w:t>
      </w:r>
    </w:p>
    <w:p>
      <w:pPr>
        <w:pStyle w:val="BodyText"/>
        <w:tabs>
          <w:tab w:pos="1461" w:val="left" w:leader="none"/>
        </w:tabs>
        <w:spacing w:line="229" w:lineRule="exact"/>
        <w:ind w:left="159"/>
      </w:pPr>
      <w:r>
        <w:rPr/>
        <w:t>Yang,</w:t>
      </w:r>
      <w:r>
        <w:rPr>
          <w:spacing w:val="-2"/>
        </w:rPr>
        <w:t> </w:t>
      </w:r>
      <w:r>
        <w:rPr/>
        <w:t>Z.</w:t>
        <w:tab/>
        <w:t>National Satellite</w:t>
      </w:r>
      <w:r>
        <w:rPr>
          <w:spacing w:val="-1"/>
        </w:rPr>
        <w:t> </w:t>
      </w:r>
      <w:r>
        <w:rPr/>
        <w:t>Meteorological</w:t>
      </w:r>
    </w:p>
    <w:p>
      <w:pPr>
        <w:pStyle w:val="BodyText"/>
        <w:spacing w:line="229" w:lineRule="exact"/>
        <w:ind w:left="1462"/>
      </w:pPr>
      <w:r>
        <w:rPr/>
        <w:t>Center</w:t>
      </w:r>
    </w:p>
    <w:p>
      <w:pPr>
        <w:pStyle w:val="BodyText"/>
        <w:tabs>
          <w:tab w:pos="1461" w:val="left" w:leader="none"/>
        </w:tabs>
        <w:ind w:left="159"/>
      </w:pPr>
      <w:r>
        <w:rPr/>
        <w:t>Yi,</w:t>
      </w:r>
      <w:r>
        <w:rPr>
          <w:spacing w:val="-1"/>
        </w:rPr>
        <w:t> </w:t>
      </w:r>
      <w:r>
        <w:rPr/>
        <w:t>X.</w:t>
        <w:tab/>
        <w:t>Ministry of Foreign</w:t>
      </w:r>
      <w:r>
        <w:rPr>
          <w:spacing w:val="-3"/>
        </w:rPr>
        <w:t> </w:t>
      </w:r>
      <w:r>
        <w:rPr/>
        <w:t>Affairs</w:t>
      </w:r>
    </w:p>
    <w:p>
      <w:pPr>
        <w:pStyle w:val="BodyText"/>
        <w:tabs>
          <w:tab w:pos="1462" w:val="left" w:leader="none"/>
        </w:tabs>
        <w:ind w:left="159"/>
      </w:pPr>
      <w:r>
        <w:rPr/>
        <w:t>Ying,</w:t>
      </w:r>
      <w:r>
        <w:rPr>
          <w:spacing w:val="-1"/>
        </w:rPr>
        <w:t> </w:t>
      </w:r>
      <w:r>
        <w:rPr/>
        <w:t>N.</w:t>
        <w:tab/>
        <w:t>China Meteorological</w:t>
      </w:r>
      <w:r>
        <w:rPr>
          <w:spacing w:val="-5"/>
        </w:rPr>
        <w:t> </w:t>
      </w:r>
      <w:r>
        <w:rPr/>
        <w:t>Administration</w:t>
      </w:r>
    </w:p>
    <w:p>
      <w:pPr>
        <w:spacing w:after="0"/>
        <w:sectPr>
          <w:type w:val="continuous"/>
          <w:pgSz w:w="11900" w:h="16840"/>
          <w:pgMar w:top="1060" w:bottom="280" w:left="1260" w:right="1240"/>
          <w:cols w:num="2" w:equalWidth="0">
            <w:col w:w="4485" w:space="248"/>
            <w:col w:w="4667"/>
          </w:cols>
        </w:sectPr>
      </w:pPr>
    </w:p>
    <w:p>
      <w:pPr>
        <w:pStyle w:val="BodyText"/>
      </w:pPr>
    </w:p>
    <w:p>
      <w:pPr>
        <w:spacing w:after="0"/>
        <w:sectPr>
          <w:pgSz w:w="11900" w:h="16840"/>
          <w:pgMar w:header="230" w:footer="408" w:top="560" w:bottom="600" w:left="1260" w:right="1240"/>
        </w:sectPr>
      </w:pPr>
    </w:p>
    <w:p>
      <w:pPr>
        <w:pStyle w:val="BodyText"/>
        <w:spacing w:before="7"/>
        <w:rPr>
          <w:sz w:val="18"/>
        </w:rPr>
      </w:pPr>
    </w:p>
    <w:p>
      <w:pPr>
        <w:spacing w:line="228" w:lineRule="exact" w:before="0"/>
        <w:ind w:left="159" w:right="0" w:firstLine="0"/>
        <w:jc w:val="left"/>
        <w:rPr>
          <w:b/>
          <w:sz w:val="20"/>
        </w:rPr>
      </w:pPr>
      <w:r>
        <w:rPr>
          <w:b/>
          <w:sz w:val="20"/>
        </w:rPr>
        <w:t>China, Peoples Republic of (Continued)</w:t>
      </w:r>
    </w:p>
    <w:p>
      <w:pPr>
        <w:pStyle w:val="BodyText"/>
        <w:tabs>
          <w:tab w:pos="1461" w:val="left" w:leader="none"/>
        </w:tabs>
        <w:spacing w:line="228" w:lineRule="exact"/>
        <w:ind w:left="159"/>
      </w:pPr>
      <w:r>
        <w:rPr/>
        <w:t>Zhang, L.</w:t>
        <w:tab/>
        <w:t>National Satellite</w:t>
      </w:r>
      <w:r>
        <w:rPr>
          <w:spacing w:val="-1"/>
        </w:rPr>
        <w:t> </w:t>
      </w:r>
      <w:r>
        <w:rPr/>
        <w:t>Meteorological</w:t>
      </w:r>
    </w:p>
    <w:p>
      <w:pPr>
        <w:pStyle w:val="BodyText"/>
        <w:ind w:left="1462"/>
      </w:pPr>
      <w:r>
        <w:rPr/>
        <w:t>Center</w:t>
      </w:r>
    </w:p>
    <w:p>
      <w:pPr>
        <w:pStyle w:val="BodyText"/>
        <w:tabs>
          <w:tab w:pos="1462" w:val="left" w:leader="none"/>
        </w:tabs>
        <w:spacing w:line="229" w:lineRule="exact" w:before="1"/>
        <w:ind w:left="159"/>
      </w:pPr>
      <w:r>
        <w:rPr/>
        <w:t>Zhang,</w:t>
      </w:r>
      <w:r>
        <w:rPr>
          <w:spacing w:val="-2"/>
        </w:rPr>
        <w:t> </w:t>
      </w:r>
      <w:r>
        <w:rPr/>
        <w:t>X.</w:t>
        <w:tab/>
        <w:t>Chinese Academy of</w:t>
      </w:r>
      <w:r>
        <w:rPr>
          <w:spacing w:val="-2"/>
        </w:rPr>
        <w:t> </w:t>
      </w:r>
      <w:r>
        <w:rPr/>
        <w:t>Forestry</w:t>
      </w:r>
    </w:p>
    <w:p>
      <w:pPr>
        <w:pStyle w:val="BodyText"/>
        <w:tabs>
          <w:tab w:pos="1462" w:val="left" w:leader="none"/>
        </w:tabs>
        <w:spacing w:line="229" w:lineRule="exact"/>
        <w:ind w:left="159"/>
      </w:pPr>
      <w:r>
        <w:rPr/>
        <w:t>Zheng,</w:t>
      </w:r>
      <w:r>
        <w:rPr>
          <w:spacing w:val="-2"/>
        </w:rPr>
        <w:t> </w:t>
      </w:r>
      <w:r>
        <w:rPr/>
        <w:t>G.</w:t>
        <w:tab/>
        <w:t>China Meteorological</w:t>
      </w:r>
      <w:r>
        <w:rPr>
          <w:spacing w:val="-11"/>
        </w:rPr>
        <w:t> </w:t>
      </w:r>
      <w:r>
        <w:rPr/>
        <w:t>Administration</w:t>
      </w:r>
    </w:p>
    <w:p>
      <w:pPr>
        <w:pStyle w:val="BodyText"/>
        <w:spacing w:before="5"/>
      </w:pPr>
    </w:p>
    <w:p>
      <w:pPr>
        <w:spacing w:line="228" w:lineRule="exact" w:before="0"/>
        <w:ind w:left="159" w:right="0" w:firstLine="0"/>
        <w:jc w:val="left"/>
        <w:rPr>
          <w:b/>
          <w:sz w:val="20"/>
        </w:rPr>
      </w:pPr>
      <w:r>
        <w:rPr>
          <w:b/>
          <w:sz w:val="20"/>
        </w:rPr>
        <w:t>Colombia</w:t>
      </w:r>
    </w:p>
    <w:p>
      <w:pPr>
        <w:pStyle w:val="BodyText"/>
        <w:spacing w:line="228" w:lineRule="exact"/>
        <w:ind w:left="159"/>
      </w:pPr>
      <w:r>
        <w:rPr/>
        <w:t>Government of Colombia</w:t>
      </w:r>
    </w:p>
    <w:p>
      <w:pPr>
        <w:pStyle w:val="BodyText"/>
        <w:spacing w:before="3"/>
      </w:pPr>
    </w:p>
    <w:p>
      <w:pPr>
        <w:spacing w:line="228" w:lineRule="exact" w:before="1"/>
        <w:ind w:left="159" w:right="0" w:firstLine="0"/>
        <w:jc w:val="left"/>
        <w:rPr>
          <w:b/>
          <w:sz w:val="20"/>
        </w:rPr>
      </w:pPr>
      <w:r>
        <w:rPr>
          <w:b/>
          <w:sz w:val="20"/>
        </w:rPr>
        <w:t>Congo, Democratic Republic of</w:t>
      </w:r>
    </w:p>
    <w:p>
      <w:pPr>
        <w:pStyle w:val="BodyText"/>
        <w:tabs>
          <w:tab w:pos="1462" w:val="left" w:leader="none"/>
        </w:tabs>
        <w:spacing w:line="228" w:lineRule="exact"/>
        <w:ind w:left="159"/>
      </w:pPr>
      <w:r>
        <w:rPr/>
        <w:t>Ntombi</w:t>
        <w:tab/>
        <w:t>IPCC/Point</w:t>
      </w:r>
      <w:r>
        <w:rPr>
          <w:spacing w:val="-1"/>
        </w:rPr>
        <w:t> </w:t>
      </w:r>
      <w:r>
        <w:rPr/>
        <w:t>Focal</w:t>
      </w:r>
    </w:p>
    <w:p>
      <w:pPr>
        <w:pStyle w:val="BodyText"/>
        <w:spacing w:before="3"/>
      </w:pPr>
    </w:p>
    <w:p>
      <w:pPr>
        <w:spacing w:line="228" w:lineRule="exact" w:before="0"/>
        <w:ind w:left="159" w:right="0" w:firstLine="0"/>
        <w:jc w:val="left"/>
        <w:rPr>
          <w:b/>
          <w:sz w:val="20"/>
        </w:rPr>
      </w:pPr>
      <w:r>
        <w:rPr>
          <w:b/>
          <w:sz w:val="20"/>
        </w:rPr>
        <w:t>Finland</w:t>
      </w:r>
    </w:p>
    <w:p>
      <w:pPr>
        <w:pStyle w:val="BodyText"/>
        <w:tabs>
          <w:tab w:pos="1463" w:val="left" w:leader="none"/>
        </w:tabs>
        <w:ind w:left="159" w:right="400"/>
        <w:jc w:val="both"/>
      </w:pPr>
      <w:r>
        <w:rPr/>
        <w:t>Alm, J.</w:t>
        <w:tab/>
        <w:t>Finnish Forest Research Institute Esala,</w:t>
      </w:r>
      <w:r>
        <w:rPr>
          <w:spacing w:val="-1"/>
        </w:rPr>
        <w:t> </w:t>
      </w:r>
      <w:r>
        <w:rPr/>
        <w:t>M.</w:t>
        <w:tab/>
        <w:t>MTT Agrifood Research</w:t>
      </w:r>
      <w:r>
        <w:rPr>
          <w:spacing w:val="-15"/>
        </w:rPr>
        <w:t> </w:t>
      </w:r>
      <w:r>
        <w:rPr/>
        <w:t>Finland Heikinheimo, P. Ministry of</w:t>
      </w:r>
      <w:r>
        <w:rPr>
          <w:spacing w:val="-28"/>
        </w:rPr>
        <w:t> </w:t>
      </w:r>
      <w:r>
        <w:rPr/>
        <w:t>Environment</w:t>
      </w:r>
    </w:p>
    <w:p>
      <w:pPr>
        <w:pStyle w:val="BodyText"/>
        <w:tabs>
          <w:tab w:pos="1461" w:val="left" w:leader="none"/>
        </w:tabs>
        <w:ind w:left="159" w:right="153"/>
      </w:pPr>
      <w:r>
        <w:rPr/>
        <w:t>Heino,</w:t>
      </w:r>
      <w:r>
        <w:rPr>
          <w:spacing w:val="-1"/>
        </w:rPr>
        <w:t> </w:t>
      </w:r>
      <w:r>
        <w:rPr/>
        <w:t>P.</w:t>
        <w:tab/>
        <w:t>Finnish Forest Industries Federation Laine, J.</w:t>
        <w:tab/>
        <w:t>Helsinki</w:t>
      </w:r>
      <w:r>
        <w:rPr>
          <w:spacing w:val="-1"/>
        </w:rPr>
        <w:t> </w:t>
      </w:r>
      <w:r>
        <w:rPr/>
        <w:t>University</w:t>
      </w:r>
    </w:p>
    <w:p>
      <w:pPr>
        <w:pStyle w:val="BodyText"/>
        <w:tabs>
          <w:tab w:pos="1462" w:val="left" w:leader="none"/>
        </w:tabs>
        <w:ind w:left="159" w:right="121"/>
      </w:pPr>
      <w:r>
        <w:rPr/>
        <w:t>Lapveteläinen,</w:t>
      </w:r>
      <w:r>
        <w:rPr>
          <w:spacing w:val="-1"/>
        </w:rPr>
        <w:t> </w:t>
      </w:r>
      <w:r>
        <w:rPr/>
        <w:t>T.</w:t>
      </w:r>
      <w:r>
        <w:rPr>
          <w:spacing w:val="-18"/>
        </w:rPr>
        <w:t> </w:t>
      </w:r>
      <w:r>
        <w:rPr>
          <w:spacing w:val="-4"/>
        </w:rPr>
        <w:t>Minisrty</w:t>
      </w:r>
      <w:r>
        <w:rPr>
          <w:spacing w:val="-12"/>
        </w:rPr>
        <w:t> </w:t>
      </w:r>
      <w:r>
        <w:rPr/>
        <w:t>of</w:t>
      </w:r>
      <w:r>
        <w:rPr>
          <w:spacing w:val="-11"/>
        </w:rPr>
        <w:t> </w:t>
      </w:r>
      <w:r>
        <w:rPr>
          <w:spacing w:val="-4"/>
        </w:rPr>
        <w:t>Agriculture</w:t>
      </w:r>
      <w:r>
        <w:rPr>
          <w:spacing w:val="-8"/>
        </w:rPr>
        <w:t> </w:t>
      </w:r>
      <w:r>
        <w:rPr>
          <w:spacing w:val="-3"/>
        </w:rPr>
        <w:t>and</w:t>
      </w:r>
      <w:r>
        <w:rPr>
          <w:spacing w:val="-10"/>
        </w:rPr>
        <w:t> </w:t>
      </w:r>
      <w:r>
        <w:rPr>
          <w:spacing w:val="-4"/>
        </w:rPr>
        <w:t>Forestry </w:t>
      </w:r>
      <w:r>
        <w:rPr/>
        <w:t>Lehtonen, A.</w:t>
        <w:tab/>
        <w:t>Finnish Forest Research Institute Monni,</w:t>
      </w:r>
      <w:r>
        <w:rPr>
          <w:spacing w:val="-3"/>
        </w:rPr>
        <w:t> </w:t>
      </w:r>
      <w:r>
        <w:rPr/>
        <w:t>S.</w:t>
        <w:tab/>
        <w:t>VTT Technical Research Centre</w:t>
      </w:r>
      <w:r>
        <w:rPr>
          <w:spacing w:val="-7"/>
        </w:rPr>
        <w:t> </w:t>
      </w:r>
      <w:r>
        <w:rPr/>
        <w:t>of</w:t>
      </w:r>
    </w:p>
    <w:p>
      <w:pPr>
        <w:pStyle w:val="BodyText"/>
        <w:spacing w:line="229" w:lineRule="exact"/>
        <w:ind w:left="1462"/>
      </w:pPr>
      <w:r>
        <w:rPr/>
        <w:t>Finland</w:t>
      </w:r>
    </w:p>
    <w:p>
      <w:pPr>
        <w:pStyle w:val="BodyText"/>
        <w:ind w:left="159"/>
      </w:pPr>
      <w:r>
        <w:rPr/>
        <w:t>Muukkonen, J. STAT, Statistics Finland</w:t>
      </w:r>
    </w:p>
    <w:p>
      <w:pPr>
        <w:pStyle w:val="BodyText"/>
        <w:tabs>
          <w:tab w:pos="1462" w:val="left" w:leader="none"/>
        </w:tabs>
        <w:ind w:left="159" w:right="400"/>
      </w:pPr>
      <w:r>
        <w:rPr/>
        <w:t>Myllys,</w:t>
      </w:r>
      <w:r>
        <w:rPr>
          <w:spacing w:val="-2"/>
        </w:rPr>
        <w:t> </w:t>
      </w:r>
      <w:r>
        <w:rPr/>
        <w:t>M.</w:t>
        <w:tab/>
        <w:t>MTT Agrifood Research Finland Pajukallio, A. Ministy of</w:t>
      </w:r>
      <w:r>
        <w:rPr>
          <w:spacing w:val="-11"/>
        </w:rPr>
        <w:t> </w:t>
      </w:r>
      <w:r>
        <w:rPr/>
        <w:t>Environment</w:t>
      </w:r>
    </w:p>
    <w:p>
      <w:pPr>
        <w:pStyle w:val="BodyText"/>
        <w:tabs>
          <w:tab w:pos="1461" w:val="left" w:leader="none"/>
        </w:tabs>
        <w:ind w:left="159" w:right="237"/>
      </w:pPr>
      <w:r>
        <w:rPr/>
        <w:t>Perälä,</w:t>
      </w:r>
      <w:r>
        <w:rPr>
          <w:spacing w:val="-4"/>
        </w:rPr>
        <w:t> </w:t>
      </w:r>
      <w:r>
        <w:rPr/>
        <w:t>P.</w:t>
        <w:tab/>
        <w:t>MTT Agrifood Research Finland Pingoud,</w:t>
      </w:r>
      <w:r>
        <w:rPr>
          <w:spacing w:val="-2"/>
        </w:rPr>
        <w:t> </w:t>
      </w:r>
      <w:r>
        <w:rPr/>
        <w:t>K.</w:t>
        <w:tab/>
        <w:t>VTT Technical Research Centre</w:t>
      </w:r>
      <w:r>
        <w:rPr>
          <w:spacing w:val="-12"/>
        </w:rPr>
        <w:t> </w:t>
      </w:r>
      <w:r>
        <w:rPr/>
        <w:t>of</w:t>
      </w:r>
    </w:p>
    <w:p>
      <w:pPr>
        <w:pStyle w:val="BodyText"/>
        <w:spacing w:line="229" w:lineRule="exact"/>
        <w:ind w:left="1462"/>
      </w:pPr>
      <w:r>
        <w:rPr/>
        <w:t>Finland</w:t>
      </w:r>
    </w:p>
    <w:p>
      <w:pPr>
        <w:pStyle w:val="BodyText"/>
        <w:tabs>
          <w:tab w:pos="1462" w:val="left" w:leader="none"/>
        </w:tabs>
        <w:ind w:left="159" w:right="237"/>
      </w:pPr>
      <w:r>
        <w:rPr/>
        <w:t>Regina,</w:t>
      </w:r>
      <w:r>
        <w:rPr>
          <w:spacing w:val="-1"/>
        </w:rPr>
        <w:t> </w:t>
      </w:r>
      <w:r>
        <w:rPr/>
        <w:t>K.</w:t>
        <w:tab/>
        <w:t>MTT Agrifood Research Finland Savolainen, I. VTT Technical Research Centre</w:t>
      </w:r>
      <w:r>
        <w:rPr>
          <w:spacing w:val="-19"/>
        </w:rPr>
        <w:t> </w:t>
      </w:r>
      <w:r>
        <w:rPr/>
        <w:t>of</w:t>
      </w:r>
    </w:p>
    <w:p>
      <w:pPr>
        <w:pStyle w:val="BodyText"/>
        <w:ind w:left="1462"/>
      </w:pPr>
      <w:r>
        <w:rPr/>
        <w:t>Finland</w:t>
      </w:r>
    </w:p>
    <w:p>
      <w:pPr>
        <w:pStyle w:val="BodyText"/>
        <w:tabs>
          <w:tab w:pos="1461" w:val="left" w:leader="none"/>
        </w:tabs>
        <w:ind w:left="159" w:right="411"/>
      </w:pPr>
      <w:r>
        <w:rPr/>
        <w:t>Seppänen, A.</w:t>
        <w:tab/>
        <w:t>Ministy of Environment Smolander, A. Finnish Forest Research Institute Starr,</w:t>
      </w:r>
      <w:r>
        <w:rPr>
          <w:spacing w:val="-1"/>
        </w:rPr>
        <w:t> </w:t>
      </w:r>
      <w:r>
        <w:rPr/>
        <w:t>M.</w:t>
        <w:tab/>
        <w:t>Finnish Forest Reseach Institute Tomppo,</w:t>
      </w:r>
      <w:r>
        <w:rPr>
          <w:spacing w:val="-1"/>
        </w:rPr>
        <w:t> </w:t>
      </w:r>
      <w:r>
        <w:rPr/>
        <w:t>E.</w:t>
        <w:tab/>
        <w:t>Finnish Forest Research</w:t>
      </w:r>
      <w:r>
        <w:rPr>
          <w:spacing w:val="-18"/>
        </w:rPr>
        <w:t> </w:t>
      </w:r>
      <w:r>
        <w:rPr/>
        <w:t>Institute</w:t>
      </w:r>
    </w:p>
    <w:p>
      <w:pPr>
        <w:pStyle w:val="BodyText"/>
        <w:tabs>
          <w:tab w:pos="1463" w:val="left" w:leader="none"/>
        </w:tabs>
        <w:ind w:left="159" w:right="93"/>
      </w:pPr>
      <w:r>
        <w:rPr/>
        <w:t>Vainio-Mattila,M.Ministry</w:t>
      </w:r>
      <w:r>
        <w:rPr>
          <w:spacing w:val="-19"/>
        </w:rPr>
        <w:t> </w:t>
      </w:r>
      <w:r>
        <w:rPr/>
        <w:t>of</w:t>
      </w:r>
      <w:r>
        <w:rPr>
          <w:spacing w:val="-17"/>
        </w:rPr>
        <w:t> </w:t>
      </w:r>
      <w:r>
        <w:rPr>
          <w:spacing w:val="-4"/>
        </w:rPr>
        <w:t>Agriculture</w:t>
      </w:r>
      <w:r>
        <w:rPr>
          <w:spacing w:val="-17"/>
        </w:rPr>
        <w:t> </w:t>
      </w:r>
      <w:r>
        <w:rPr>
          <w:spacing w:val="-3"/>
        </w:rPr>
        <w:t>and</w:t>
      </w:r>
      <w:r>
        <w:rPr>
          <w:spacing w:val="-15"/>
        </w:rPr>
        <w:t> </w:t>
      </w:r>
      <w:r>
        <w:rPr>
          <w:spacing w:val="-4"/>
        </w:rPr>
        <w:t>Forestry </w:t>
      </w:r>
      <w:r>
        <w:rPr/>
        <w:t>Yli-Halla,</w:t>
      </w:r>
      <w:r>
        <w:rPr>
          <w:spacing w:val="-2"/>
        </w:rPr>
        <w:t> </w:t>
      </w:r>
      <w:r>
        <w:rPr/>
        <w:t>M.</w:t>
        <w:tab/>
        <w:t>MTT Agrifood Research</w:t>
      </w:r>
      <w:r>
        <w:rPr>
          <w:spacing w:val="-3"/>
        </w:rPr>
        <w:t> </w:t>
      </w:r>
      <w:r>
        <w:rPr/>
        <w:t>Finland</w:t>
      </w:r>
    </w:p>
    <w:p>
      <w:pPr>
        <w:pStyle w:val="BodyText"/>
      </w:pPr>
    </w:p>
    <w:p>
      <w:pPr>
        <w:spacing w:line="228" w:lineRule="exact" w:before="1"/>
        <w:ind w:left="159" w:right="0" w:firstLine="0"/>
        <w:jc w:val="left"/>
        <w:rPr>
          <w:b/>
          <w:sz w:val="20"/>
        </w:rPr>
      </w:pPr>
      <w:r>
        <w:rPr>
          <w:b/>
          <w:sz w:val="20"/>
        </w:rPr>
        <w:t>France</w:t>
      </w:r>
    </w:p>
    <w:p>
      <w:pPr>
        <w:pStyle w:val="BodyText"/>
        <w:tabs>
          <w:tab w:pos="1464" w:val="left" w:leader="none"/>
        </w:tabs>
        <w:spacing w:line="227" w:lineRule="exact"/>
        <w:ind w:left="159"/>
      </w:pPr>
      <w:r>
        <w:rPr/>
        <w:t>Loisel,</w:t>
      </w:r>
      <w:r>
        <w:rPr>
          <w:spacing w:val="1"/>
        </w:rPr>
        <w:t> </w:t>
      </w:r>
      <w:r>
        <w:rPr/>
        <w:t>C.</w:t>
        <w:tab/>
        <w:t>Office National des Forêts (ONF)</w:t>
      </w:r>
      <w:r>
        <w:rPr>
          <w:spacing w:val="-4"/>
        </w:rPr>
        <w:t> </w:t>
      </w:r>
      <w:r>
        <w:rPr/>
        <w:t>-</w:t>
      </w:r>
    </w:p>
    <w:p>
      <w:pPr>
        <w:pStyle w:val="BodyText"/>
        <w:tabs>
          <w:tab w:pos="1460" w:val="left" w:leader="none"/>
        </w:tabs>
        <w:ind w:left="159" w:right="234" w:firstLine="1303"/>
      </w:pPr>
      <w:r>
        <w:rPr/>
        <w:t>Inventaire Forestier National (INF) Pignard,</w:t>
      </w:r>
      <w:r>
        <w:rPr>
          <w:spacing w:val="-3"/>
        </w:rPr>
        <w:t> </w:t>
      </w:r>
      <w:r>
        <w:rPr/>
        <w:t>G.</w:t>
        <w:tab/>
        <w:t>ONF - INF, Institut National de</w:t>
      </w:r>
      <w:r>
        <w:rPr>
          <w:spacing w:val="-8"/>
        </w:rPr>
        <w:t> </w:t>
      </w:r>
      <w:r>
        <w:rPr/>
        <w:t>la</w:t>
      </w:r>
    </w:p>
    <w:p>
      <w:pPr>
        <w:pStyle w:val="BodyText"/>
        <w:ind w:left="1462" w:right="180"/>
      </w:pPr>
      <w:r>
        <w:rPr/>
        <w:t>Recherche Agronomique (INRA) - Mission Interministérielle de l'Effet de Serre (MIES)</w:t>
      </w:r>
    </w:p>
    <w:p>
      <w:pPr>
        <w:pStyle w:val="BodyText"/>
        <w:spacing w:line="229" w:lineRule="exact"/>
        <w:ind w:left="159"/>
      </w:pPr>
      <w:r>
        <w:rPr/>
        <w:t>Riedacker, A. ONF - IFN, INRA -MIES</w:t>
      </w:r>
    </w:p>
    <w:p>
      <w:pPr>
        <w:pStyle w:val="BodyText"/>
        <w:tabs>
          <w:tab w:pos="1462" w:val="left" w:leader="none"/>
        </w:tabs>
        <w:ind w:left="159"/>
      </w:pPr>
      <w:r>
        <w:rPr/>
        <w:t>Seguin,</w:t>
      </w:r>
      <w:r>
        <w:rPr>
          <w:spacing w:val="-1"/>
        </w:rPr>
        <w:t> </w:t>
      </w:r>
      <w:r>
        <w:rPr/>
        <w:t>B.</w:t>
        <w:tab/>
        <w:t>IFN</w:t>
      </w:r>
    </w:p>
    <w:p>
      <w:pPr>
        <w:pStyle w:val="BodyText"/>
        <w:spacing w:before="3"/>
      </w:pPr>
    </w:p>
    <w:p>
      <w:pPr>
        <w:spacing w:line="228" w:lineRule="exact" w:before="0"/>
        <w:ind w:left="159" w:right="0" w:firstLine="0"/>
        <w:jc w:val="left"/>
        <w:rPr>
          <w:b/>
          <w:sz w:val="20"/>
        </w:rPr>
      </w:pPr>
      <w:r>
        <w:rPr>
          <w:b/>
          <w:sz w:val="20"/>
        </w:rPr>
        <w:t>Germany</w:t>
      </w:r>
    </w:p>
    <w:p>
      <w:pPr>
        <w:pStyle w:val="BodyText"/>
        <w:tabs>
          <w:tab w:pos="1462" w:val="left" w:leader="none"/>
        </w:tabs>
        <w:spacing w:line="228" w:lineRule="exact"/>
        <w:ind w:left="159"/>
      </w:pPr>
      <w:r>
        <w:rPr/>
        <w:t>Appel,</w:t>
      </w:r>
      <w:r>
        <w:rPr>
          <w:spacing w:val="-1"/>
        </w:rPr>
        <w:t> </w:t>
      </w:r>
      <w:r>
        <w:rPr/>
        <w:t>V.</w:t>
        <w:tab/>
        <w:t>Bundesministerium</w:t>
      </w:r>
      <w:r>
        <w:rPr>
          <w:spacing w:val="-2"/>
        </w:rPr>
        <w:t> </w:t>
      </w:r>
      <w:r>
        <w:rPr/>
        <w:t>für</w:t>
      </w:r>
    </w:p>
    <w:p>
      <w:pPr>
        <w:pStyle w:val="BodyText"/>
        <w:spacing w:before="1"/>
        <w:ind w:left="1462" w:right="227"/>
      </w:pPr>
      <w:r>
        <w:rPr/>
        <w:t>Verbraucherschutz, Ernährung und Landwirtschaft (BMVEL)</w:t>
      </w:r>
    </w:p>
    <w:p>
      <w:pPr>
        <w:pStyle w:val="BodyText"/>
        <w:tabs>
          <w:tab w:pos="1462" w:val="left" w:leader="none"/>
        </w:tabs>
        <w:spacing w:line="228" w:lineRule="exact"/>
        <w:ind w:left="159"/>
      </w:pPr>
      <w:r>
        <w:rPr/>
        <w:t>Augustin,</w:t>
      </w:r>
      <w:r>
        <w:rPr>
          <w:spacing w:val="-2"/>
        </w:rPr>
        <w:t> </w:t>
      </w:r>
      <w:r>
        <w:rPr/>
        <w:t>S.</w:t>
        <w:tab/>
        <w:t>Bundesforschungsanstalt für</w:t>
      </w:r>
      <w:r>
        <w:rPr>
          <w:spacing w:val="-3"/>
        </w:rPr>
        <w:t> </w:t>
      </w:r>
      <w:r>
        <w:rPr/>
        <w:t>Forst-</w:t>
      </w:r>
    </w:p>
    <w:p>
      <w:pPr>
        <w:pStyle w:val="BodyText"/>
        <w:ind w:left="1462"/>
      </w:pPr>
      <w:r>
        <w:rPr/>
        <w:t>und Holzwirtschaft (BFH)</w:t>
      </w:r>
    </w:p>
    <w:p>
      <w:pPr>
        <w:pStyle w:val="BodyText"/>
        <w:tabs>
          <w:tab w:pos="1462" w:val="left" w:leader="none"/>
        </w:tabs>
        <w:ind w:left="159"/>
      </w:pPr>
      <w:r>
        <w:rPr/>
        <w:t>Beerbaum</w:t>
        <w:tab/>
        <w:t>BMVEL</w:t>
      </w:r>
    </w:p>
    <w:p>
      <w:pPr>
        <w:pStyle w:val="BodyText"/>
        <w:tabs>
          <w:tab w:pos="1461" w:val="left" w:leader="none"/>
        </w:tabs>
        <w:spacing w:before="1"/>
        <w:ind w:left="159" w:right="80"/>
      </w:pPr>
      <w:r>
        <w:rPr/>
        <w:t>Benndorf,</w:t>
      </w:r>
      <w:r>
        <w:rPr>
          <w:spacing w:val="-4"/>
        </w:rPr>
        <w:t> </w:t>
      </w:r>
      <w:r>
        <w:rPr/>
        <w:t>R.</w:t>
        <w:tab/>
        <w:t>Federal Environment Agency</w:t>
      </w:r>
      <w:r>
        <w:rPr>
          <w:spacing w:val="-18"/>
        </w:rPr>
        <w:t> </w:t>
      </w:r>
      <w:r>
        <w:rPr/>
        <w:t>(UBA) Butterbach-Bahl, K.Institut für Meteorologie</w:t>
      </w:r>
      <w:r>
        <w:rPr>
          <w:spacing w:val="-8"/>
        </w:rPr>
        <w:t> </w:t>
      </w:r>
      <w:r>
        <w:rPr/>
        <w:t>und</w:t>
      </w:r>
    </w:p>
    <w:p>
      <w:pPr>
        <w:pStyle w:val="BodyText"/>
        <w:ind w:left="1769" w:right="386"/>
      </w:pPr>
      <w:r>
        <w:rPr/>
        <w:t>Klimaforschung - Atmosphärische Umweltforschung Garmisch- Partenkirchen (IMK-IFU)</w:t>
      </w:r>
    </w:p>
    <w:p>
      <w:pPr>
        <w:pStyle w:val="BodyText"/>
        <w:tabs>
          <w:tab w:pos="1461" w:val="left" w:leader="none"/>
        </w:tabs>
        <w:spacing w:line="229" w:lineRule="exact"/>
        <w:ind w:left="159"/>
      </w:pPr>
      <w:r>
        <w:rPr/>
        <w:t>Dieter,</w:t>
      </w:r>
      <w:r>
        <w:rPr>
          <w:spacing w:val="-1"/>
        </w:rPr>
        <w:t> </w:t>
      </w:r>
      <w:r>
        <w:rPr/>
        <w:t>M.</w:t>
        <w:tab/>
        <w:t>BFH</w:t>
      </w:r>
    </w:p>
    <w:p>
      <w:pPr>
        <w:pStyle w:val="BodyText"/>
        <w:spacing w:before="7"/>
        <w:rPr>
          <w:sz w:val="18"/>
        </w:rPr>
      </w:pPr>
      <w:r>
        <w:rPr/>
        <w:br w:type="column"/>
      </w:r>
      <w:r>
        <w:rPr>
          <w:sz w:val="18"/>
        </w:rPr>
      </w:r>
    </w:p>
    <w:p>
      <w:pPr>
        <w:spacing w:line="228" w:lineRule="exact" w:before="0"/>
        <w:ind w:left="159" w:right="0" w:firstLine="0"/>
        <w:jc w:val="left"/>
        <w:rPr>
          <w:b/>
          <w:sz w:val="20"/>
        </w:rPr>
      </w:pPr>
      <w:r>
        <w:rPr>
          <w:b/>
          <w:sz w:val="20"/>
        </w:rPr>
        <w:t>Germany (Continued)</w:t>
      </w:r>
    </w:p>
    <w:p>
      <w:pPr>
        <w:pStyle w:val="BodyText"/>
        <w:tabs>
          <w:tab w:pos="1464" w:val="left" w:leader="none"/>
        </w:tabs>
        <w:ind w:left="159" w:right="387"/>
      </w:pPr>
      <w:r>
        <w:rPr/>
        <w:t>Glatzel,</w:t>
      </w:r>
      <w:r>
        <w:rPr>
          <w:spacing w:val="-1"/>
        </w:rPr>
        <w:t> </w:t>
      </w:r>
      <w:r>
        <w:rPr/>
        <w:t>S.</w:t>
        <w:tab/>
        <w:t>University of Göttingen Heinemeyer, O. BMVEL-</w:t>
      </w:r>
      <w:r>
        <w:rPr>
          <w:spacing w:val="-37"/>
        </w:rPr>
        <w:t> </w:t>
      </w:r>
      <w:r>
        <w:rPr/>
        <w:t>Bundesforschungsanstalt</w:t>
      </w:r>
    </w:p>
    <w:p>
      <w:pPr>
        <w:pStyle w:val="BodyText"/>
        <w:spacing w:line="229" w:lineRule="exact"/>
        <w:ind w:left="1462"/>
      </w:pPr>
      <w:r>
        <w:rPr/>
        <w:t>für Landwirtschaft (FAL)</w:t>
      </w:r>
    </w:p>
    <w:p>
      <w:pPr>
        <w:pStyle w:val="BodyText"/>
        <w:tabs>
          <w:tab w:pos="1462" w:val="left" w:leader="none"/>
        </w:tabs>
        <w:spacing w:line="229" w:lineRule="exact"/>
        <w:ind w:left="159"/>
      </w:pPr>
      <w:r>
        <w:rPr/>
        <w:t>Rogasik,</w:t>
      </w:r>
      <w:r>
        <w:rPr>
          <w:spacing w:val="-2"/>
        </w:rPr>
        <w:t> </w:t>
      </w:r>
      <w:r>
        <w:rPr/>
        <w:t>J.</w:t>
        <w:tab/>
        <w:t>FAL/PB</w:t>
      </w:r>
    </w:p>
    <w:p>
      <w:pPr>
        <w:pStyle w:val="BodyText"/>
        <w:tabs>
          <w:tab w:pos="1463" w:val="left" w:leader="none"/>
        </w:tabs>
        <w:ind w:left="159"/>
      </w:pPr>
      <w:r>
        <w:rPr/>
        <w:t>Schmitz</w:t>
        <w:tab/>
        <w:t>BMVEL</w:t>
      </w:r>
    </w:p>
    <w:p>
      <w:pPr>
        <w:pStyle w:val="BodyText"/>
        <w:tabs>
          <w:tab w:pos="1463" w:val="left" w:leader="none"/>
        </w:tabs>
        <w:ind w:left="159"/>
      </w:pPr>
      <w:r>
        <w:rPr/>
        <w:t>Strich,</w:t>
      </w:r>
      <w:r>
        <w:rPr>
          <w:spacing w:val="-3"/>
        </w:rPr>
        <w:t> </w:t>
      </w:r>
      <w:r>
        <w:rPr/>
        <w:t>S.</w:t>
        <w:tab/>
        <w:t>BMVEL</w:t>
      </w:r>
    </w:p>
    <w:p>
      <w:pPr>
        <w:pStyle w:val="BodyText"/>
        <w:tabs>
          <w:tab w:pos="1462" w:val="left" w:leader="none"/>
        </w:tabs>
        <w:ind w:left="159"/>
      </w:pPr>
      <w:r>
        <w:rPr/>
        <w:t>Strogies,</w:t>
      </w:r>
      <w:r>
        <w:rPr>
          <w:spacing w:val="-2"/>
        </w:rPr>
        <w:t> </w:t>
      </w:r>
      <w:r>
        <w:rPr/>
        <w:t>M.</w:t>
        <w:tab/>
        <w:t>Federal Environment</w:t>
      </w:r>
      <w:r>
        <w:rPr>
          <w:spacing w:val="1"/>
        </w:rPr>
        <w:t> </w:t>
      </w:r>
      <w:r>
        <w:rPr/>
        <w:t>Agency</w:t>
      </w:r>
    </w:p>
    <w:p>
      <w:pPr>
        <w:pStyle w:val="BodyText"/>
        <w:spacing w:before="3"/>
      </w:pPr>
    </w:p>
    <w:p>
      <w:pPr>
        <w:spacing w:line="228" w:lineRule="exact" w:before="0"/>
        <w:ind w:left="159" w:right="0" w:firstLine="0"/>
        <w:jc w:val="left"/>
        <w:rPr>
          <w:b/>
          <w:sz w:val="20"/>
        </w:rPr>
      </w:pPr>
      <w:r>
        <w:rPr>
          <w:b/>
          <w:sz w:val="20"/>
        </w:rPr>
        <w:t>Iceland</w:t>
      </w:r>
    </w:p>
    <w:p>
      <w:pPr>
        <w:pStyle w:val="BodyText"/>
        <w:spacing w:line="228" w:lineRule="exact"/>
        <w:ind w:left="159"/>
      </w:pPr>
      <w:r>
        <w:rPr/>
        <w:t>The Ministry for the Environment</w:t>
      </w:r>
    </w:p>
    <w:p>
      <w:pPr>
        <w:pStyle w:val="BodyText"/>
        <w:spacing w:before="3"/>
      </w:pPr>
    </w:p>
    <w:p>
      <w:pPr>
        <w:spacing w:line="228" w:lineRule="exact" w:before="0"/>
        <w:ind w:left="159" w:right="0" w:firstLine="0"/>
        <w:jc w:val="left"/>
        <w:rPr>
          <w:b/>
          <w:sz w:val="20"/>
        </w:rPr>
      </w:pPr>
      <w:r>
        <w:rPr>
          <w:b/>
          <w:sz w:val="20"/>
        </w:rPr>
        <w:t>Ireland</w:t>
      </w:r>
    </w:p>
    <w:p>
      <w:pPr>
        <w:pStyle w:val="BodyText"/>
        <w:tabs>
          <w:tab w:pos="1462" w:val="left" w:leader="none"/>
        </w:tabs>
        <w:spacing w:line="228" w:lineRule="exact"/>
        <w:ind w:left="159"/>
      </w:pPr>
      <w:r>
        <w:rPr/>
        <w:t>Fay,</w:t>
      </w:r>
      <w:r>
        <w:rPr>
          <w:spacing w:val="-1"/>
        </w:rPr>
        <w:t> </w:t>
      </w:r>
      <w:r>
        <w:rPr/>
        <w:t>D.</w:t>
        <w:tab/>
        <w:t>The Irish Agriculture and</w:t>
      </w:r>
      <w:r>
        <w:rPr>
          <w:spacing w:val="-2"/>
        </w:rPr>
        <w:t> </w:t>
      </w:r>
      <w:r>
        <w:rPr/>
        <w:t>Food</w:t>
      </w:r>
    </w:p>
    <w:p>
      <w:pPr>
        <w:pStyle w:val="BodyText"/>
        <w:spacing w:before="1"/>
        <w:ind w:left="159" w:firstLine="1303"/>
      </w:pPr>
      <w:r>
        <w:rPr/>
        <w:t>Development Authority</w:t>
      </w:r>
      <w:r>
        <w:rPr>
          <w:spacing w:val="-11"/>
        </w:rPr>
        <w:t> </w:t>
      </w:r>
      <w:r>
        <w:rPr/>
        <w:t>(TEAGASC)</w:t>
      </w:r>
    </w:p>
    <w:p>
      <w:pPr>
        <w:pStyle w:val="BodyText"/>
        <w:tabs>
          <w:tab w:pos="1460" w:val="left" w:leader="none"/>
        </w:tabs>
        <w:spacing w:line="229" w:lineRule="exact"/>
        <w:ind w:left="159"/>
      </w:pPr>
      <w:r>
        <w:rPr/>
        <w:t>Gallagher,</w:t>
      </w:r>
      <w:r>
        <w:rPr>
          <w:spacing w:val="-2"/>
        </w:rPr>
        <w:t> </w:t>
      </w:r>
      <w:r>
        <w:rPr/>
        <w:t>G.</w:t>
        <w:tab/>
        <w:t>National Council for Forest</w:t>
      </w:r>
      <w:r>
        <w:rPr>
          <w:spacing w:val="-10"/>
        </w:rPr>
        <w:t> </w:t>
      </w:r>
      <w:r>
        <w:rPr/>
        <w:t>Research</w:t>
      </w:r>
    </w:p>
    <w:p>
      <w:pPr>
        <w:pStyle w:val="BodyText"/>
        <w:tabs>
          <w:tab w:pos="1462" w:val="left" w:leader="none"/>
        </w:tabs>
        <w:ind w:left="159" w:right="793" w:firstLine="1303"/>
      </w:pPr>
      <w:r>
        <w:rPr/>
        <w:t>and Development</w:t>
      </w:r>
      <w:r>
        <w:rPr>
          <w:spacing w:val="-10"/>
        </w:rPr>
        <w:t> </w:t>
      </w:r>
      <w:r>
        <w:rPr/>
        <w:t>(COFORD) Hendrick,</w:t>
      </w:r>
      <w:r>
        <w:rPr>
          <w:spacing w:val="-2"/>
        </w:rPr>
        <w:t> </w:t>
      </w:r>
      <w:r>
        <w:rPr/>
        <w:t>E.</w:t>
        <w:tab/>
        <w:t>COFORD</w:t>
      </w:r>
    </w:p>
    <w:p>
      <w:pPr>
        <w:pStyle w:val="BodyText"/>
        <w:tabs>
          <w:tab w:pos="1462" w:val="left" w:leader="none"/>
        </w:tabs>
        <w:ind w:left="159"/>
      </w:pPr>
      <w:r>
        <w:rPr/>
        <w:t>Michael,</w:t>
      </w:r>
      <w:r>
        <w:rPr>
          <w:spacing w:val="-2"/>
        </w:rPr>
        <w:t> </w:t>
      </w:r>
      <w:r>
        <w:rPr/>
        <w:t>Y.</w:t>
        <w:tab/>
        <w:t>AT</w:t>
      </w:r>
      <w:r>
        <w:rPr>
          <w:spacing w:val="3"/>
        </w:rPr>
        <w:t> </w:t>
      </w:r>
      <w:r>
        <w:rPr/>
        <w:t>ENVIRON</w:t>
      </w:r>
    </w:p>
    <w:p>
      <w:pPr>
        <w:pStyle w:val="BodyText"/>
        <w:spacing w:before="3"/>
      </w:pPr>
    </w:p>
    <w:p>
      <w:pPr>
        <w:spacing w:line="228" w:lineRule="exact" w:before="0"/>
        <w:ind w:left="159" w:right="0" w:firstLine="0"/>
        <w:jc w:val="left"/>
        <w:rPr>
          <w:b/>
          <w:sz w:val="20"/>
        </w:rPr>
      </w:pPr>
      <w:r>
        <w:rPr>
          <w:b/>
          <w:sz w:val="20"/>
        </w:rPr>
        <w:t>Italy</w:t>
      </w:r>
    </w:p>
    <w:p>
      <w:pPr>
        <w:pStyle w:val="BodyText"/>
        <w:tabs>
          <w:tab w:pos="1462" w:val="left" w:leader="none"/>
        </w:tabs>
        <w:spacing w:line="228" w:lineRule="exact"/>
        <w:ind w:left="159"/>
      </w:pPr>
      <w:r>
        <w:rPr/>
        <w:t>Lumicisi,</w:t>
      </w:r>
      <w:r>
        <w:rPr>
          <w:spacing w:val="-2"/>
        </w:rPr>
        <w:t> </w:t>
      </w:r>
      <w:r>
        <w:rPr/>
        <w:t>A.</w:t>
        <w:tab/>
        <w:t>Italian Ministry of Environment</w:t>
      </w:r>
      <w:r>
        <w:rPr>
          <w:spacing w:val="-10"/>
        </w:rPr>
        <w:t> </w:t>
      </w:r>
      <w:r>
        <w:rPr/>
        <w:t>and</w:t>
      </w:r>
    </w:p>
    <w:p>
      <w:pPr>
        <w:pStyle w:val="BodyText"/>
        <w:ind w:left="1462"/>
      </w:pPr>
      <w:r>
        <w:rPr/>
        <w:t>Territory</w:t>
      </w:r>
    </w:p>
    <w:p>
      <w:pPr>
        <w:pStyle w:val="BodyText"/>
        <w:tabs>
          <w:tab w:pos="1462" w:val="left" w:leader="none"/>
        </w:tabs>
        <w:spacing w:before="1"/>
        <w:ind w:left="159"/>
      </w:pPr>
      <w:r>
        <w:rPr/>
        <w:t>Tubiello,</w:t>
      </w:r>
      <w:r>
        <w:rPr>
          <w:spacing w:val="-1"/>
        </w:rPr>
        <w:t> </w:t>
      </w:r>
      <w:r>
        <w:rPr/>
        <w:t>F.</w:t>
        <w:tab/>
        <w:t>Columbia University</w:t>
      </w:r>
    </w:p>
    <w:p>
      <w:pPr>
        <w:pStyle w:val="BodyText"/>
        <w:spacing w:before="3"/>
      </w:pPr>
    </w:p>
    <w:p>
      <w:pPr>
        <w:spacing w:line="228" w:lineRule="exact" w:before="0"/>
        <w:ind w:left="159" w:right="0" w:firstLine="0"/>
        <w:jc w:val="left"/>
        <w:rPr>
          <w:b/>
          <w:sz w:val="20"/>
        </w:rPr>
      </w:pPr>
      <w:r>
        <w:rPr>
          <w:b/>
          <w:sz w:val="20"/>
        </w:rPr>
        <w:t>Japan</w:t>
      </w:r>
    </w:p>
    <w:p>
      <w:pPr>
        <w:pStyle w:val="BodyText"/>
        <w:tabs>
          <w:tab w:pos="1461" w:val="left" w:leader="none"/>
        </w:tabs>
        <w:ind w:left="1462" w:right="1004" w:hanging="1304"/>
      </w:pPr>
      <w:r>
        <w:rPr/>
        <w:t>Fujimori,</w:t>
      </w:r>
      <w:r>
        <w:rPr>
          <w:spacing w:val="-1"/>
        </w:rPr>
        <w:t> </w:t>
      </w:r>
      <w:r>
        <w:rPr/>
        <w:t>T.</w:t>
        <w:tab/>
        <w:t>Japan Forest Technological Association</w:t>
      </w:r>
    </w:p>
    <w:p>
      <w:pPr>
        <w:pStyle w:val="BodyText"/>
        <w:tabs>
          <w:tab w:pos="1462" w:val="left" w:leader="none"/>
        </w:tabs>
        <w:spacing w:line="228" w:lineRule="exact"/>
        <w:ind w:left="159"/>
      </w:pPr>
      <w:r>
        <w:rPr/>
        <w:t>Handa,</w:t>
      </w:r>
      <w:r>
        <w:rPr>
          <w:spacing w:val="-1"/>
        </w:rPr>
        <w:t> </w:t>
      </w:r>
      <w:r>
        <w:rPr/>
        <w:t>M.</w:t>
        <w:tab/>
        <w:t>Organization for Landscape</w:t>
      </w:r>
      <w:r>
        <w:rPr>
          <w:spacing w:val="-1"/>
        </w:rPr>
        <w:t> </w:t>
      </w:r>
      <w:r>
        <w:rPr/>
        <w:t>and</w:t>
      </w:r>
    </w:p>
    <w:p>
      <w:pPr>
        <w:pStyle w:val="BodyText"/>
        <w:ind w:left="1462" w:right="885"/>
      </w:pPr>
      <w:r>
        <w:rPr/>
        <w:t>Urban Greenery Technology Development</w:t>
      </w:r>
    </w:p>
    <w:p>
      <w:pPr>
        <w:pStyle w:val="BodyText"/>
        <w:tabs>
          <w:tab w:pos="1461" w:val="left" w:leader="none"/>
        </w:tabs>
        <w:spacing w:line="229" w:lineRule="exact"/>
        <w:ind w:left="159"/>
      </w:pPr>
      <w:r>
        <w:rPr/>
        <w:t>Harada,</w:t>
      </w:r>
      <w:r>
        <w:rPr>
          <w:spacing w:val="-3"/>
        </w:rPr>
        <w:t> </w:t>
      </w:r>
      <w:r>
        <w:rPr/>
        <w:t>T.</w:t>
        <w:tab/>
        <w:t>Forestry Agency, Ministry</w:t>
      </w:r>
      <w:r>
        <w:rPr>
          <w:spacing w:val="-6"/>
        </w:rPr>
        <w:t> </w:t>
      </w:r>
      <w:r>
        <w:rPr/>
        <w:t>of</w:t>
      </w:r>
    </w:p>
    <w:p>
      <w:pPr>
        <w:pStyle w:val="BodyText"/>
        <w:tabs>
          <w:tab w:pos="1462" w:val="left" w:leader="none"/>
        </w:tabs>
        <w:ind w:left="159" w:right="403" w:firstLine="1303"/>
      </w:pPr>
      <w:r>
        <w:rPr/>
        <w:t>Agriculture, Forestry and Fisheries Hayashi,</w:t>
      </w:r>
      <w:r>
        <w:rPr>
          <w:spacing w:val="-2"/>
        </w:rPr>
        <w:t> </w:t>
      </w:r>
      <w:r>
        <w:rPr/>
        <w:t>Y.</w:t>
        <w:tab/>
        <w:t>National Institute for Agro-</w:t>
      </w:r>
    </w:p>
    <w:p>
      <w:pPr>
        <w:pStyle w:val="BodyText"/>
        <w:ind w:left="1462"/>
      </w:pPr>
      <w:r>
        <w:rPr/>
        <w:t>Environmental Sciences</w:t>
      </w:r>
    </w:p>
    <w:p>
      <w:pPr>
        <w:pStyle w:val="BodyText"/>
        <w:tabs>
          <w:tab w:pos="1462" w:val="left" w:leader="none"/>
        </w:tabs>
        <w:spacing w:line="229" w:lineRule="exact"/>
        <w:ind w:left="159"/>
      </w:pPr>
      <w:r>
        <w:rPr/>
        <w:t>Higashi,</w:t>
      </w:r>
      <w:r>
        <w:rPr>
          <w:spacing w:val="-2"/>
        </w:rPr>
        <w:t> </w:t>
      </w:r>
      <w:r>
        <w:rPr/>
        <w:t>M.</w:t>
        <w:tab/>
        <w:t>Ministry of Land, Intrastructure</w:t>
      </w:r>
      <w:r>
        <w:rPr>
          <w:spacing w:val="-9"/>
        </w:rPr>
        <w:t> </w:t>
      </w:r>
      <w:r>
        <w:rPr/>
        <w:t>and</w:t>
      </w:r>
    </w:p>
    <w:p>
      <w:pPr>
        <w:pStyle w:val="BodyText"/>
        <w:spacing w:line="229" w:lineRule="exact"/>
        <w:ind w:left="1462"/>
      </w:pPr>
      <w:r>
        <w:rPr/>
        <w:t>Transport</w:t>
      </w:r>
    </w:p>
    <w:p>
      <w:pPr>
        <w:pStyle w:val="BodyText"/>
        <w:tabs>
          <w:tab w:pos="1461" w:val="left" w:leader="none"/>
        </w:tabs>
        <w:ind w:left="159"/>
      </w:pPr>
      <w:r>
        <w:rPr/>
        <w:t>Hiranuma,</w:t>
      </w:r>
      <w:r>
        <w:rPr>
          <w:spacing w:val="-3"/>
        </w:rPr>
        <w:t> </w:t>
      </w:r>
      <w:r>
        <w:rPr/>
        <w:t>K.</w:t>
        <w:tab/>
        <w:t>Ministry of Agriculture, Forestry</w:t>
      </w:r>
      <w:r>
        <w:rPr>
          <w:spacing w:val="-10"/>
        </w:rPr>
        <w:t> </w:t>
      </w:r>
      <w:r>
        <w:rPr/>
        <w:t>and</w:t>
      </w:r>
    </w:p>
    <w:p>
      <w:pPr>
        <w:pStyle w:val="BodyText"/>
        <w:ind w:left="1462"/>
      </w:pPr>
      <w:r>
        <w:rPr/>
        <w:t>Fisheries</w:t>
      </w:r>
    </w:p>
    <w:p>
      <w:pPr>
        <w:pStyle w:val="BodyText"/>
        <w:tabs>
          <w:tab w:pos="1462" w:val="left" w:leader="none"/>
        </w:tabs>
        <w:spacing w:line="229" w:lineRule="exact" w:before="1"/>
        <w:ind w:left="159"/>
      </w:pPr>
      <w:r>
        <w:rPr/>
        <w:t>Honda,</w:t>
      </w:r>
      <w:r>
        <w:rPr>
          <w:spacing w:val="-2"/>
        </w:rPr>
        <w:t> </w:t>
      </w:r>
      <w:r>
        <w:rPr/>
        <w:t>Y.</w:t>
        <w:tab/>
        <w:t>Chiba University</w:t>
      </w:r>
    </w:p>
    <w:p>
      <w:pPr>
        <w:pStyle w:val="BodyText"/>
        <w:tabs>
          <w:tab w:pos="1461" w:val="left" w:leader="none"/>
        </w:tabs>
        <w:spacing w:line="229" w:lineRule="exact"/>
        <w:ind w:left="159"/>
      </w:pPr>
      <w:r>
        <w:rPr/>
        <w:t>Inoue,</w:t>
      </w:r>
      <w:r>
        <w:rPr>
          <w:spacing w:val="-2"/>
        </w:rPr>
        <w:t> </w:t>
      </w:r>
      <w:r>
        <w:rPr/>
        <w:t>G.</w:t>
        <w:tab/>
        <w:t>National Institute for</w:t>
      </w:r>
      <w:r>
        <w:rPr>
          <w:spacing w:val="-3"/>
        </w:rPr>
        <w:t> </w:t>
      </w:r>
      <w:r>
        <w:rPr/>
        <w:t>Environmental</w:t>
      </w:r>
    </w:p>
    <w:p>
      <w:pPr>
        <w:pStyle w:val="BodyText"/>
        <w:ind w:left="1462"/>
      </w:pPr>
      <w:r>
        <w:rPr/>
        <w:t>Studies</w:t>
      </w:r>
    </w:p>
    <w:p>
      <w:pPr>
        <w:pStyle w:val="BodyText"/>
        <w:tabs>
          <w:tab w:pos="1462" w:val="left" w:leader="none"/>
        </w:tabs>
        <w:ind w:left="159"/>
      </w:pPr>
      <w:r>
        <w:rPr/>
        <w:t>Ishizuka,</w:t>
      </w:r>
      <w:r>
        <w:rPr>
          <w:spacing w:val="-3"/>
        </w:rPr>
        <w:t> </w:t>
      </w:r>
      <w:r>
        <w:rPr/>
        <w:t>M.</w:t>
        <w:tab/>
        <w:t>Forestry and Forest</w:t>
      </w:r>
      <w:r>
        <w:rPr>
          <w:spacing w:val="-4"/>
        </w:rPr>
        <w:t> </w:t>
      </w:r>
      <w:r>
        <w:rPr/>
        <w:t>Products</w:t>
      </w:r>
    </w:p>
    <w:p>
      <w:pPr>
        <w:pStyle w:val="BodyText"/>
        <w:spacing w:line="229" w:lineRule="exact" w:before="1"/>
        <w:ind w:left="1462"/>
      </w:pPr>
      <w:r>
        <w:rPr/>
        <w:t>Research Institute</w:t>
      </w:r>
    </w:p>
    <w:p>
      <w:pPr>
        <w:pStyle w:val="BodyText"/>
        <w:tabs>
          <w:tab w:pos="1462" w:val="left" w:leader="none"/>
        </w:tabs>
        <w:spacing w:line="229" w:lineRule="exact"/>
        <w:ind w:left="159"/>
      </w:pPr>
      <w:r>
        <w:rPr/>
        <w:t>Itakura,</w:t>
      </w:r>
      <w:r>
        <w:rPr>
          <w:spacing w:val="-1"/>
        </w:rPr>
        <w:t> </w:t>
      </w:r>
      <w:r>
        <w:rPr/>
        <w:t>T.</w:t>
        <w:tab/>
        <w:t>Ministry of Eduation,</w:t>
      </w:r>
      <w:r>
        <w:rPr>
          <w:spacing w:val="-7"/>
        </w:rPr>
        <w:t> </w:t>
      </w:r>
      <w:r>
        <w:rPr/>
        <w:t>Culture,</w:t>
      </w:r>
    </w:p>
    <w:p>
      <w:pPr>
        <w:pStyle w:val="BodyText"/>
        <w:tabs>
          <w:tab w:pos="1462" w:val="left" w:leader="none"/>
        </w:tabs>
        <w:ind w:left="159" w:right="321" w:firstLine="1303"/>
      </w:pPr>
      <w:r>
        <w:rPr/>
        <w:t>Sports, Science and Technology Itakura,</w:t>
      </w:r>
      <w:r>
        <w:rPr>
          <w:spacing w:val="-2"/>
        </w:rPr>
        <w:t> </w:t>
      </w:r>
      <w:r>
        <w:rPr/>
        <w:t>K.</w:t>
        <w:tab/>
        <w:t>Ministry of Land, Intrastructure</w:t>
      </w:r>
      <w:r>
        <w:rPr>
          <w:spacing w:val="-19"/>
        </w:rPr>
        <w:t> </w:t>
      </w:r>
      <w:r>
        <w:rPr/>
        <w:t>and</w:t>
      </w:r>
    </w:p>
    <w:p>
      <w:pPr>
        <w:pStyle w:val="BodyText"/>
        <w:spacing w:line="229" w:lineRule="exact" w:before="1"/>
        <w:ind w:left="1462"/>
      </w:pPr>
      <w:r>
        <w:rPr/>
        <w:t>Transport</w:t>
      </w:r>
    </w:p>
    <w:p>
      <w:pPr>
        <w:pStyle w:val="BodyText"/>
        <w:tabs>
          <w:tab w:pos="1462" w:val="left" w:leader="none"/>
        </w:tabs>
        <w:spacing w:line="229" w:lineRule="exact"/>
        <w:ind w:left="159"/>
      </w:pPr>
      <w:r>
        <w:rPr/>
        <w:t>Kato, J.</w:t>
        <w:tab/>
        <w:t>Ministry of Land, Infrastructure</w:t>
      </w:r>
      <w:r>
        <w:rPr>
          <w:spacing w:val="-8"/>
        </w:rPr>
        <w:t> </w:t>
      </w:r>
      <w:r>
        <w:rPr/>
        <w:t>and</w:t>
      </w:r>
    </w:p>
    <w:p>
      <w:pPr>
        <w:pStyle w:val="BodyText"/>
        <w:spacing w:before="1"/>
        <w:ind w:left="1462"/>
      </w:pPr>
      <w:r>
        <w:rPr/>
        <w:t>Transport</w:t>
      </w:r>
    </w:p>
    <w:p>
      <w:pPr>
        <w:pStyle w:val="BodyText"/>
        <w:ind w:left="159"/>
      </w:pPr>
      <w:r>
        <w:rPr/>
        <w:t>Kobayashi, S. Forestry and Forest Products</w:t>
      </w:r>
    </w:p>
    <w:p>
      <w:pPr>
        <w:pStyle w:val="BodyText"/>
        <w:tabs>
          <w:tab w:pos="1463" w:val="left" w:leader="none"/>
        </w:tabs>
        <w:ind w:left="159" w:right="1518" w:firstLine="1303"/>
      </w:pPr>
      <w:r>
        <w:rPr/>
        <w:t>Research Institute Kohyama, T.</w:t>
        <w:tab/>
        <w:t>Hokkaido</w:t>
      </w:r>
      <w:r>
        <w:rPr>
          <w:spacing w:val="-13"/>
        </w:rPr>
        <w:t> </w:t>
      </w:r>
      <w:r>
        <w:rPr/>
        <w:t>University</w:t>
      </w:r>
    </w:p>
    <w:p>
      <w:pPr>
        <w:pStyle w:val="BodyText"/>
        <w:tabs>
          <w:tab w:pos="1461" w:val="left" w:leader="none"/>
        </w:tabs>
        <w:ind w:left="159" w:right="437"/>
      </w:pPr>
      <w:r>
        <w:rPr/>
        <w:t>Koike,</w:t>
      </w:r>
      <w:r>
        <w:rPr>
          <w:spacing w:val="-1"/>
        </w:rPr>
        <w:t> </w:t>
      </w:r>
      <w:r>
        <w:rPr/>
        <w:t>T.</w:t>
        <w:tab/>
        <w:t>Hokkaido University Forests, FSC Matsumoto, M. Forestry and Forest</w:t>
      </w:r>
      <w:r>
        <w:rPr>
          <w:spacing w:val="4"/>
        </w:rPr>
        <w:t> </w:t>
      </w:r>
      <w:r>
        <w:rPr/>
        <w:t>Products</w:t>
      </w:r>
    </w:p>
    <w:p>
      <w:pPr>
        <w:pStyle w:val="BodyText"/>
        <w:tabs>
          <w:tab w:pos="1462" w:val="left" w:leader="none"/>
        </w:tabs>
        <w:ind w:left="159" w:right="996" w:firstLine="1303"/>
      </w:pPr>
      <w:r>
        <w:rPr/>
        <w:t>Research Institute (FFPRI) Minami,</w:t>
      </w:r>
      <w:r>
        <w:rPr>
          <w:spacing w:val="-2"/>
        </w:rPr>
        <w:t> </w:t>
      </w:r>
      <w:r>
        <w:rPr/>
        <w:t>K.</w:t>
        <w:tab/>
        <w:t>National Institute for</w:t>
      </w:r>
      <w:r>
        <w:rPr>
          <w:spacing w:val="-8"/>
        </w:rPr>
        <w:t> </w:t>
      </w:r>
      <w:r>
        <w:rPr/>
        <w:t>Agro-</w:t>
      </w:r>
    </w:p>
    <w:p>
      <w:pPr>
        <w:pStyle w:val="BodyText"/>
        <w:ind w:left="159" w:right="1246" w:firstLine="1303"/>
      </w:pPr>
      <w:r>
        <w:rPr/>
        <w:t>Environmental Sciences Morikawa, Y. Waseda University</w:t>
      </w:r>
    </w:p>
    <w:p>
      <w:pPr>
        <w:pStyle w:val="BodyText"/>
        <w:tabs>
          <w:tab w:pos="1462" w:val="left" w:leader="none"/>
        </w:tabs>
        <w:spacing w:line="229" w:lineRule="exact"/>
        <w:ind w:left="159"/>
      </w:pPr>
      <w:r>
        <w:rPr/>
        <w:t>Muto,</w:t>
      </w:r>
      <w:r>
        <w:rPr>
          <w:spacing w:val="-2"/>
        </w:rPr>
        <w:t> </w:t>
      </w:r>
      <w:r>
        <w:rPr/>
        <w:t>N.</w:t>
        <w:tab/>
        <w:t>Forestry Agency, Ministry</w:t>
      </w:r>
      <w:r>
        <w:rPr>
          <w:spacing w:val="-6"/>
        </w:rPr>
        <w:t> </w:t>
      </w:r>
      <w:r>
        <w:rPr/>
        <w:t>of</w:t>
      </w:r>
    </w:p>
    <w:p>
      <w:pPr>
        <w:pStyle w:val="BodyText"/>
        <w:tabs>
          <w:tab w:pos="1462" w:val="left" w:leader="none"/>
        </w:tabs>
        <w:ind w:left="159" w:right="403" w:firstLine="1303"/>
      </w:pPr>
      <w:r>
        <w:rPr/>
        <w:t>Agriculture, Forestry and Fisheries Nara,</w:t>
      </w:r>
      <w:r>
        <w:rPr>
          <w:spacing w:val="-1"/>
        </w:rPr>
        <w:t> </w:t>
      </w:r>
      <w:r>
        <w:rPr/>
        <w:t>C.</w:t>
        <w:tab/>
        <w:t>Ministry of the</w:t>
      </w:r>
      <w:r>
        <w:rPr>
          <w:spacing w:val="-7"/>
        </w:rPr>
        <w:t> </w:t>
      </w:r>
      <w:r>
        <w:rPr/>
        <w:t>Environment</w:t>
      </w:r>
    </w:p>
    <w:p>
      <w:pPr>
        <w:spacing w:after="0"/>
        <w:sectPr>
          <w:type w:val="continuous"/>
          <w:pgSz w:w="11900" w:h="16840"/>
          <w:pgMar w:top="1060" w:bottom="280" w:left="1260" w:right="1240"/>
          <w:cols w:num="2" w:equalWidth="0">
            <w:col w:w="4514" w:space="219"/>
            <w:col w:w="4667"/>
          </w:cols>
        </w:sectPr>
      </w:pPr>
    </w:p>
    <w:p>
      <w:pPr>
        <w:pStyle w:val="BodyText"/>
      </w:pPr>
    </w:p>
    <w:p>
      <w:pPr>
        <w:spacing w:after="0"/>
        <w:sectPr>
          <w:pgSz w:w="11900" w:h="16840"/>
          <w:pgMar w:header="230" w:footer="408" w:top="560" w:bottom="600" w:left="1260" w:right="1240"/>
        </w:sectPr>
      </w:pPr>
    </w:p>
    <w:p>
      <w:pPr>
        <w:pStyle w:val="BodyText"/>
        <w:spacing w:before="7"/>
        <w:rPr>
          <w:sz w:val="18"/>
        </w:rPr>
      </w:pPr>
    </w:p>
    <w:p>
      <w:pPr>
        <w:spacing w:line="228" w:lineRule="exact" w:before="0"/>
        <w:ind w:left="159" w:right="0" w:firstLine="0"/>
        <w:jc w:val="left"/>
        <w:rPr>
          <w:b/>
          <w:sz w:val="20"/>
        </w:rPr>
      </w:pPr>
      <w:r>
        <w:rPr>
          <w:b/>
          <w:sz w:val="20"/>
        </w:rPr>
        <w:t>Japan (Continued)</w:t>
      </w:r>
    </w:p>
    <w:p>
      <w:pPr>
        <w:pStyle w:val="BodyText"/>
        <w:tabs>
          <w:tab w:pos="1461" w:val="left" w:leader="none"/>
        </w:tabs>
        <w:spacing w:line="228" w:lineRule="exact"/>
        <w:ind w:left="159"/>
      </w:pPr>
      <w:r>
        <w:rPr/>
        <w:t>Nouchi,</w:t>
      </w:r>
      <w:r>
        <w:rPr>
          <w:spacing w:val="-3"/>
        </w:rPr>
        <w:t> </w:t>
      </w:r>
      <w:r>
        <w:rPr/>
        <w:t>I.</w:t>
        <w:tab/>
        <w:t>National Institute for</w:t>
      </w:r>
      <w:r>
        <w:rPr>
          <w:spacing w:val="1"/>
        </w:rPr>
        <w:t> </w:t>
      </w:r>
      <w:r>
        <w:rPr/>
        <w:t>Agro-</w:t>
      </w:r>
    </w:p>
    <w:p>
      <w:pPr>
        <w:pStyle w:val="BodyText"/>
        <w:tabs>
          <w:tab w:pos="1462" w:val="left" w:leader="none"/>
        </w:tabs>
        <w:ind w:left="159" w:right="608" w:firstLine="1303"/>
      </w:pPr>
      <w:r>
        <w:rPr/>
        <w:t>Environmental Sciences Ogiwara,</w:t>
      </w:r>
      <w:r>
        <w:rPr>
          <w:spacing w:val="-3"/>
        </w:rPr>
        <w:t> </w:t>
      </w:r>
      <w:r>
        <w:rPr/>
        <w:t>H.</w:t>
        <w:tab/>
        <w:t>Forestry Agency, Ministry</w:t>
      </w:r>
      <w:r>
        <w:rPr>
          <w:spacing w:val="-12"/>
        </w:rPr>
        <w:t> </w:t>
      </w:r>
      <w:r>
        <w:rPr/>
        <w:t>of</w:t>
      </w:r>
    </w:p>
    <w:p>
      <w:pPr>
        <w:pStyle w:val="BodyText"/>
        <w:tabs>
          <w:tab w:pos="1461" w:val="left" w:leader="none"/>
        </w:tabs>
        <w:ind w:left="159" w:right="152" w:firstLine="1303"/>
      </w:pPr>
      <w:r>
        <w:rPr/>
        <w:t>Agriculture, Forestry and Fisheries Ohta,</w:t>
      </w:r>
      <w:r>
        <w:rPr>
          <w:spacing w:val="-3"/>
        </w:rPr>
        <w:t> </w:t>
      </w:r>
      <w:r>
        <w:rPr/>
        <w:t>S.</w:t>
        <w:tab/>
        <w:t>Forestry and Forest</w:t>
      </w:r>
      <w:r>
        <w:rPr>
          <w:spacing w:val="-6"/>
        </w:rPr>
        <w:t> </w:t>
      </w:r>
      <w:r>
        <w:rPr/>
        <w:t>Products</w:t>
      </w:r>
    </w:p>
    <w:p>
      <w:pPr>
        <w:pStyle w:val="BodyText"/>
        <w:tabs>
          <w:tab w:pos="1462" w:val="left" w:leader="none"/>
        </w:tabs>
        <w:ind w:left="159" w:right="797" w:firstLine="1303"/>
      </w:pPr>
      <w:r>
        <w:rPr/>
        <w:t>Research Institute (FFPRI) Oikawa,</w:t>
      </w:r>
      <w:r>
        <w:rPr>
          <w:spacing w:val="-2"/>
        </w:rPr>
        <w:t> </w:t>
      </w:r>
      <w:r>
        <w:rPr/>
        <w:t>K.</w:t>
        <w:tab/>
        <w:t>University of</w:t>
      </w:r>
      <w:r>
        <w:rPr>
          <w:spacing w:val="-5"/>
        </w:rPr>
        <w:t> </w:t>
      </w:r>
      <w:r>
        <w:rPr/>
        <w:t>Tsukuba</w:t>
      </w:r>
    </w:p>
    <w:p>
      <w:pPr>
        <w:pStyle w:val="BodyText"/>
        <w:tabs>
          <w:tab w:pos="1461" w:val="left" w:leader="none"/>
        </w:tabs>
        <w:spacing w:line="228" w:lineRule="exact"/>
        <w:ind w:left="159"/>
      </w:pPr>
      <w:r>
        <w:rPr/>
        <w:t>Okuda, T.</w:t>
        <w:tab/>
        <w:t>National Institute for</w:t>
      </w:r>
      <w:r>
        <w:rPr>
          <w:spacing w:val="-11"/>
        </w:rPr>
        <w:t> </w:t>
      </w:r>
      <w:r>
        <w:rPr/>
        <w:t>Environmental</w:t>
      </w:r>
    </w:p>
    <w:p>
      <w:pPr>
        <w:pStyle w:val="BodyText"/>
        <w:ind w:left="1462"/>
      </w:pPr>
      <w:r>
        <w:rPr/>
        <w:t>Studies</w:t>
      </w:r>
    </w:p>
    <w:p>
      <w:pPr>
        <w:pStyle w:val="BodyText"/>
        <w:tabs>
          <w:tab w:pos="1462" w:val="left" w:leader="none"/>
        </w:tabs>
        <w:ind w:left="159" w:right="646"/>
      </w:pPr>
      <w:r>
        <w:rPr/>
        <w:t>Shibasaki,</w:t>
      </w:r>
      <w:r>
        <w:rPr>
          <w:spacing w:val="-3"/>
        </w:rPr>
        <w:t> </w:t>
      </w:r>
      <w:r>
        <w:rPr/>
        <w:t>R.</w:t>
        <w:tab/>
        <w:t>University of Tokyo Shimizu,</w:t>
      </w:r>
      <w:r>
        <w:rPr>
          <w:spacing w:val="-3"/>
        </w:rPr>
        <w:t> </w:t>
      </w:r>
      <w:r>
        <w:rPr/>
        <w:t>K.</w:t>
        <w:tab/>
        <w:t>Forestry and Forest</w:t>
      </w:r>
      <w:r>
        <w:rPr>
          <w:spacing w:val="-14"/>
        </w:rPr>
        <w:t> </w:t>
      </w:r>
      <w:r>
        <w:rPr/>
        <w:t>Products</w:t>
      </w:r>
    </w:p>
    <w:p>
      <w:pPr>
        <w:pStyle w:val="BodyText"/>
        <w:spacing w:line="228" w:lineRule="exact"/>
        <w:ind w:left="1462"/>
      </w:pPr>
      <w:r>
        <w:rPr/>
        <w:t>Research Institute</w:t>
      </w:r>
    </w:p>
    <w:p>
      <w:pPr>
        <w:pStyle w:val="BodyText"/>
        <w:tabs>
          <w:tab w:pos="1462" w:val="left" w:leader="none"/>
        </w:tabs>
        <w:spacing w:before="1"/>
        <w:ind w:left="159"/>
      </w:pPr>
      <w:r>
        <w:rPr/>
        <w:t>Shirato,</w:t>
      </w:r>
      <w:r>
        <w:rPr>
          <w:spacing w:val="-1"/>
        </w:rPr>
        <w:t> </w:t>
      </w:r>
      <w:r>
        <w:rPr/>
        <w:t>Y.</w:t>
        <w:tab/>
        <w:t>National Institute for</w:t>
      </w:r>
      <w:r>
        <w:rPr>
          <w:spacing w:val="1"/>
        </w:rPr>
        <w:t> </w:t>
      </w:r>
      <w:r>
        <w:rPr/>
        <w:t>Agro-</w:t>
      </w:r>
    </w:p>
    <w:p>
      <w:pPr>
        <w:pStyle w:val="BodyText"/>
        <w:tabs>
          <w:tab w:pos="1462" w:val="left" w:leader="none"/>
        </w:tabs>
        <w:ind w:left="159" w:right="648" w:firstLine="1303"/>
      </w:pPr>
      <w:r>
        <w:rPr/>
        <w:t>Environmental Sciences Sweda,</w:t>
      </w:r>
      <w:r>
        <w:rPr>
          <w:spacing w:val="-1"/>
        </w:rPr>
        <w:t> </w:t>
      </w:r>
      <w:r>
        <w:rPr/>
        <w:t>T.</w:t>
        <w:tab/>
        <w:t>Ehime University Takahashi, M. Forestry and Forest</w:t>
      </w:r>
      <w:r>
        <w:rPr>
          <w:spacing w:val="-14"/>
        </w:rPr>
        <w:t> </w:t>
      </w:r>
      <w:r>
        <w:rPr/>
        <w:t>Products</w:t>
      </w:r>
    </w:p>
    <w:p>
      <w:pPr>
        <w:pStyle w:val="BodyText"/>
        <w:tabs>
          <w:tab w:pos="1462" w:val="left" w:leader="none"/>
        </w:tabs>
        <w:ind w:left="159" w:right="746" w:firstLine="1303"/>
      </w:pPr>
      <w:r>
        <w:rPr/>
        <w:t>Research Institute Taniyama,</w:t>
      </w:r>
      <w:r>
        <w:rPr>
          <w:spacing w:val="-3"/>
        </w:rPr>
        <w:t> </w:t>
      </w:r>
      <w:r>
        <w:rPr/>
        <w:t>I.</w:t>
        <w:tab/>
        <w:t>National Institute for</w:t>
      </w:r>
      <w:r>
        <w:rPr>
          <w:spacing w:val="-11"/>
        </w:rPr>
        <w:t> </w:t>
      </w:r>
      <w:r>
        <w:rPr/>
        <w:t>Agro-</w:t>
      </w:r>
    </w:p>
    <w:p>
      <w:pPr>
        <w:pStyle w:val="BodyText"/>
        <w:tabs>
          <w:tab w:pos="1463" w:val="left" w:leader="none"/>
        </w:tabs>
        <w:ind w:left="159" w:right="647" w:firstLine="1303"/>
      </w:pPr>
      <w:r>
        <w:rPr/>
        <w:t>Environmental Sciences Tanouchi,</w:t>
      </w:r>
      <w:r>
        <w:rPr>
          <w:spacing w:val="-1"/>
        </w:rPr>
        <w:t> </w:t>
      </w:r>
      <w:r>
        <w:rPr/>
        <w:t>H.</w:t>
        <w:tab/>
        <w:t>Forestry and Forest</w:t>
      </w:r>
      <w:r>
        <w:rPr>
          <w:spacing w:val="-12"/>
        </w:rPr>
        <w:t> </w:t>
      </w:r>
      <w:r>
        <w:rPr/>
        <w:t>Products</w:t>
      </w:r>
    </w:p>
    <w:p>
      <w:pPr>
        <w:pStyle w:val="BodyText"/>
        <w:spacing w:line="228" w:lineRule="exact"/>
        <w:ind w:left="1462"/>
      </w:pPr>
      <w:r>
        <w:rPr/>
        <w:t>Research Institute</w:t>
      </w:r>
    </w:p>
    <w:p>
      <w:pPr>
        <w:pStyle w:val="BodyText"/>
        <w:tabs>
          <w:tab w:pos="1463" w:val="left" w:leader="none"/>
        </w:tabs>
        <w:ind w:left="159"/>
      </w:pPr>
      <w:r>
        <w:rPr/>
        <w:t>Tonosaki, M.</w:t>
        <w:tab/>
        <w:t>Forestry and Forest</w:t>
      </w:r>
      <w:r>
        <w:rPr>
          <w:spacing w:val="-6"/>
        </w:rPr>
        <w:t> </w:t>
      </w:r>
      <w:r>
        <w:rPr/>
        <w:t>Products</w:t>
      </w:r>
    </w:p>
    <w:p>
      <w:pPr>
        <w:pStyle w:val="BodyText"/>
        <w:tabs>
          <w:tab w:pos="1461" w:val="left" w:leader="none"/>
        </w:tabs>
        <w:spacing w:before="1"/>
        <w:ind w:left="159" w:right="813" w:firstLine="1303"/>
      </w:pPr>
      <w:r>
        <w:rPr/>
        <w:t>Research Institute Tsuruta,</w:t>
      </w:r>
      <w:r>
        <w:rPr>
          <w:spacing w:val="-2"/>
        </w:rPr>
        <w:t> </w:t>
      </w:r>
      <w:r>
        <w:rPr/>
        <w:t>H.</w:t>
        <w:tab/>
        <w:t>National Institute of</w:t>
      </w:r>
      <w:r>
        <w:rPr>
          <w:spacing w:val="-8"/>
        </w:rPr>
        <w:t> </w:t>
      </w:r>
      <w:r>
        <w:rPr/>
        <w:t>Agro-</w:t>
      </w:r>
    </w:p>
    <w:p>
      <w:pPr>
        <w:pStyle w:val="BodyText"/>
        <w:tabs>
          <w:tab w:pos="1461" w:val="left" w:leader="none"/>
        </w:tabs>
        <w:ind w:left="159" w:right="608" w:firstLine="1303"/>
      </w:pPr>
      <w:r>
        <w:rPr/>
        <w:t>Environmental Sciences Watanabe,</w:t>
      </w:r>
      <w:r>
        <w:rPr>
          <w:spacing w:val="-1"/>
        </w:rPr>
        <w:t> </w:t>
      </w:r>
      <w:r>
        <w:rPr/>
        <w:t>T.</w:t>
        <w:tab/>
        <w:t>Forestry Agency, Ministry</w:t>
      </w:r>
      <w:r>
        <w:rPr>
          <w:spacing w:val="-13"/>
        </w:rPr>
        <w:t> </w:t>
      </w:r>
      <w:r>
        <w:rPr/>
        <w:t>of</w:t>
      </w:r>
    </w:p>
    <w:p>
      <w:pPr>
        <w:pStyle w:val="BodyText"/>
        <w:tabs>
          <w:tab w:pos="1462" w:val="left" w:leader="none"/>
        </w:tabs>
        <w:ind w:left="159" w:right="152" w:firstLine="1303"/>
      </w:pPr>
      <w:r>
        <w:rPr/>
        <w:t>Agriculture, Forestry and Fisheries Yagi,</w:t>
      </w:r>
      <w:r>
        <w:rPr>
          <w:spacing w:val="-2"/>
        </w:rPr>
        <w:t> </w:t>
      </w:r>
      <w:r>
        <w:rPr/>
        <w:t>K.</w:t>
        <w:tab/>
        <w:t>National Institute for</w:t>
      </w:r>
      <w:r>
        <w:rPr>
          <w:spacing w:val="1"/>
        </w:rPr>
        <w:t> </w:t>
      </w:r>
      <w:r>
        <w:rPr/>
        <w:t>Agro-</w:t>
      </w:r>
    </w:p>
    <w:p>
      <w:pPr>
        <w:pStyle w:val="BodyText"/>
        <w:spacing w:line="228" w:lineRule="exact"/>
        <w:ind w:left="1462"/>
      </w:pPr>
      <w:r>
        <w:rPr/>
        <w:t>Environmental Sciences</w:t>
      </w:r>
    </w:p>
    <w:p>
      <w:pPr>
        <w:pStyle w:val="BodyText"/>
        <w:ind w:left="159"/>
      </w:pPr>
      <w:r>
        <w:rPr/>
        <w:t>Yamagata, Y. National Institute for Environmental</w:t>
      </w:r>
    </w:p>
    <w:p>
      <w:pPr>
        <w:pStyle w:val="BodyText"/>
        <w:spacing w:line="229" w:lineRule="exact"/>
        <w:ind w:left="1462"/>
      </w:pPr>
      <w:r>
        <w:rPr/>
        <w:t>Studies</w:t>
      </w:r>
    </w:p>
    <w:p>
      <w:pPr>
        <w:pStyle w:val="BodyText"/>
        <w:tabs>
          <w:tab w:pos="1463" w:val="left" w:leader="none"/>
        </w:tabs>
        <w:spacing w:line="229" w:lineRule="exact"/>
        <w:ind w:left="159"/>
      </w:pPr>
      <w:r>
        <w:rPr/>
        <w:t>Yasuoka,</w:t>
      </w:r>
      <w:r>
        <w:rPr>
          <w:spacing w:val="-1"/>
        </w:rPr>
        <w:t> </w:t>
      </w:r>
      <w:r>
        <w:rPr/>
        <w:t>Y.</w:t>
        <w:tab/>
        <w:t>University of</w:t>
      </w:r>
      <w:r>
        <w:rPr>
          <w:spacing w:val="-4"/>
        </w:rPr>
        <w:t> </w:t>
      </w:r>
      <w:r>
        <w:rPr/>
        <w:t>Tokyo</w:t>
      </w:r>
    </w:p>
    <w:p>
      <w:pPr>
        <w:pStyle w:val="BodyText"/>
        <w:spacing w:before="7"/>
      </w:pPr>
    </w:p>
    <w:p>
      <w:pPr>
        <w:pStyle w:val="BodyText"/>
        <w:spacing w:line="237" w:lineRule="auto"/>
        <w:ind w:left="159" w:right="3243"/>
      </w:pPr>
      <w:r>
        <w:rPr>
          <w:b/>
        </w:rPr>
        <w:t>Kenya </w:t>
      </w:r>
      <w:r>
        <w:rPr/>
        <w:t>Ambenje, P. Marigi, S. Munah, P. Njihia, J.</w:t>
      </w:r>
    </w:p>
    <w:p>
      <w:pPr>
        <w:pStyle w:val="BodyText"/>
        <w:tabs>
          <w:tab w:pos="1461" w:val="left" w:leader="none"/>
        </w:tabs>
        <w:spacing w:before="5"/>
        <w:ind w:left="159"/>
      </w:pPr>
      <w:r>
        <w:rPr/>
        <w:t>Wairoto,</w:t>
      </w:r>
      <w:r>
        <w:rPr>
          <w:spacing w:val="-4"/>
        </w:rPr>
        <w:t> </w:t>
      </w:r>
      <w:r>
        <w:rPr/>
        <w:t>J.</w:t>
        <w:tab/>
        <w:t>Kenya Meteorological</w:t>
      </w:r>
      <w:r>
        <w:rPr>
          <w:spacing w:val="-6"/>
        </w:rPr>
        <w:t> </w:t>
      </w:r>
      <w:r>
        <w:rPr/>
        <w:t>Department</w:t>
      </w:r>
    </w:p>
    <w:p>
      <w:pPr>
        <w:pStyle w:val="BodyText"/>
        <w:spacing w:before="3"/>
      </w:pPr>
    </w:p>
    <w:p>
      <w:pPr>
        <w:spacing w:line="228" w:lineRule="exact" w:before="0"/>
        <w:ind w:left="159" w:right="0" w:firstLine="0"/>
        <w:jc w:val="left"/>
        <w:rPr>
          <w:b/>
          <w:sz w:val="20"/>
        </w:rPr>
      </w:pPr>
      <w:r>
        <w:rPr>
          <w:b/>
          <w:sz w:val="20"/>
        </w:rPr>
        <w:t>Malaysia</w:t>
      </w:r>
    </w:p>
    <w:p>
      <w:pPr>
        <w:pStyle w:val="BodyText"/>
        <w:ind w:left="159" w:right="972"/>
      </w:pPr>
      <w:r>
        <w:rPr/>
        <w:t>Ministry of Science, Technology and the Environment (MOSTE)</w:t>
      </w:r>
    </w:p>
    <w:p>
      <w:pPr>
        <w:pStyle w:val="BodyText"/>
        <w:tabs>
          <w:tab w:pos="1462" w:val="left" w:leader="none"/>
        </w:tabs>
        <w:spacing w:line="228" w:lineRule="exact"/>
        <w:ind w:left="159"/>
      </w:pPr>
      <w:r>
        <w:rPr/>
        <w:t>Chan,</w:t>
      </w:r>
      <w:r>
        <w:rPr>
          <w:spacing w:val="-2"/>
        </w:rPr>
        <w:t> </w:t>
      </w:r>
      <w:r>
        <w:rPr/>
        <w:t>K.</w:t>
        <w:tab/>
        <w:t>Malaysian Palm Oil Board</w:t>
      </w:r>
      <w:r>
        <w:rPr>
          <w:spacing w:val="-7"/>
        </w:rPr>
        <w:t> </w:t>
      </w:r>
      <w:r>
        <w:rPr/>
        <w:t>(MPOB)</w:t>
      </w:r>
    </w:p>
    <w:p>
      <w:pPr>
        <w:pStyle w:val="BodyText"/>
        <w:spacing w:before="3"/>
      </w:pPr>
    </w:p>
    <w:p>
      <w:pPr>
        <w:spacing w:line="228" w:lineRule="exact" w:before="1"/>
        <w:ind w:left="159" w:right="0" w:firstLine="0"/>
        <w:jc w:val="left"/>
        <w:rPr>
          <w:b/>
          <w:sz w:val="20"/>
        </w:rPr>
      </w:pPr>
      <w:r>
        <w:rPr>
          <w:b/>
          <w:sz w:val="20"/>
        </w:rPr>
        <w:t>Netherlands</w:t>
      </w:r>
    </w:p>
    <w:p>
      <w:pPr>
        <w:pStyle w:val="BodyText"/>
        <w:tabs>
          <w:tab w:pos="1463" w:val="left" w:leader="none"/>
        </w:tabs>
        <w:spacing w:line="227" w:lineRule="exact"/>
        <w:ind w:left="159"/>
      </w:pPr>
      <w:r>
        <w:rPr/>
        <w:t>Abeelen,</w:t>
      </w:r>
      <w:r>
        <w:rPr>
          <w:spacing w:val="-2"/>
        </w:rPr>
        <w:t> </w:t>
      </w:r>
      <w:r>
        <w:rPr/>
        <w:t>C.</w:t>
        <w:tab/>
        <w:t>Netherlands Agency for Energy</w:t>
      </w:r>
      <w:r>
        <w:rPr>
          <w:spacing w:val="-12"/>
        </w:rPr>
        <w:t> </w:t>
      </w:r>
      <w:r>
        <w:rPr/>
        <w:t>and</w:t>
      </w:r>
    </w:p>
    <w:p>
      <w:pPr>
        <w:pStyle w:val="BodyText"/>
        <w:tabs>
          <w:tab w:pos="1462" w:val="left" w:leader="none"/>
        </w:tabs>
        <w:ind w:left="159" w:right="360" w:firstLine="1303"/>
      </w:pPr>
      <w:r>
        <w:rPr/>
        <w:t>the Environment (Novem) Batjes, N.</w:t>
        <w:tab/>
        <w:t>International Soil Reference</w:t>
      </w:r>
      <w:r>
        <w:rPr>
          <w:spacing w:val="-13"/>
        </w:rPr>
        <w:t> </w:t>
      </w:r>
      <w:r>
        <w:rPr/>
        <w:t>and</w:t>
      </w:r>
    </w:p>
    <w:p>
      <w:pPr>
        <w:pStyle w:val="BodyText"/>
        <w:ind w:left="1462" w:right="180"/>
      </w:pPr>
      <w:r>
        <w:rPr/>
        <w:t>Information Centre (ISRIC)/WDC for soils</w:t>
      </w:r>
    </w:p>
    <w:p>
      <w:pPr>
        <w:pStyle w:val="BodyText"/>
        <w:tabs>
          <w:tab w:pos="1462" w:val="left" w:leader="none"/>
        </w:tabs>
        <w:ind w:left="1462" w:right="329" w:hanging="1304"/>
      </w:pPr>
      <w:r>
        <w:rPr/>
        <w:t>Clabbers,</w:t>
      </w:r>
      <w:r>
        <w:rPr>
          <w:spacing w:val="-2"/>
        </w:rPr>
        <w:t> </w:t>
      </w:r>
      <w:r>
        <w:rPr/>
        <w:t>B.</w:t>
        <w:tab/>
        <w:t>Ministerie Landbouw, Natuur en Visserij</w:t>
      </w:r>
      <w:r>
        <w:rPr>
          <w:spacing w:val="1"/>
        </w:rPr>
        <w:t> </w:t>
      </w:r>
      <w:r>
        <w:rPr/>
        <w:t>(LNV)</w:t>
      </w:r>
    </w:p>
    <w:p>
      <w:pPr>
        <w:pStyle w:val="BodyText"/>
        <w:tabs>
          <w:tab w:pos="1461" w:val="left" w:leader="none"/>
        </w:tabs>
        <w:ind w:left="159"/>
      </w:pPr>
      <w:r>
        <w:rPr/>
        <w:t>Dirkse,</w:t>
      </w:r>
      <w:r>
        <w:rPr>
          <w:spacing w:val="-2"/>
        </w:rPr>
        <w:t> </w:t>
      </w:r>
      <w:r>
        <w:rPr/>
        <w:t>G.</w:t>
        <w:tab/>
        <w:t>ALTERRA</w:t>
      </w:r>
    </w:p>
    <w:p>
      <w:pPr>
        <w:pStyle w:val="BodyText"/>
        <w:tabs>
          <w:tab w:pos="1462" w:val="left" w:leader="none"/>
        </w:tabs>
        <w:spacing w:line="229" w:lineRule="exact"/>
        <w:ind w:left="159"/>
      </w:pPr>
      <w:r>
        <w:rPr/>
        <w:t>Groesz,</w:t>
      </w:r>
      <w:r>
        <w:rPr>
          <w:spacing w:val="-1"/>
        </w:rPr>
        <w:t> </w:t>
      </w:r>
      <w:r>
        <w:rPr/>
        <w:t>F.</w:t>
        <w:tab/>
        <w:t>NEO</w:t>
      </w:r>
    </w:p>
    <w:p>
      <w:pPr>
        <w:pStyle w:val="BodyText"/>
        <w:tabs>
          <w:tab w:pos="1461" w:val="left" w:leader="none"/>
        </w:tabs>
        <w:spacing w:line="229" w:lineRule="exact"/>
        <w:ind w:left="159"/>
      </w:pPr>
      <w:r>
        <w:rPr/>
        <w:t>Moors,</w:t>
      </w:r>
      <w:r>
        <w:rPr>
          <w:spacing w:val="-1"/>
        </w:rPr>
        <w:t> </w:t>
      </w:r>
      <w:r>
        <w:rPr/>
        <w:t>E.</w:t>
        <w:tab/>
        <w:t>ALTERRA</w:t>
      </w:r>
    </w:p>
    <w:p>
      <w:pPr>
        <w:pStyle w:val="BodyText"/>
        <w:tabs>
          <w:tab w:pos="1461" w:val="left" w:leader="none"/>
        </w:tabs>
        <w:ind w:left="159" w:right="2031"/>
      </w:pPr>
      <w:r>
        <w:rPr/>
        <w:t>Nabuurs,</w:t>
      </w:r>
      <w:r>
        <w:rPr>
          <w:spacing w:val="-4"/>
        </w:rPr>
        <w:t> </w:t>
      </w:r>
      <w:r>
        <w:rPr/>
        <w:t>G.</w:t>
        <w:tab/>
      </w:r>
      <w:r>
        <w:rPr>
          <w:spacing w:val="-3"/>
        </w:rPr>
        <w:t>ALTERRA </w:t>
      </w:r>
      <w:r>
        <w:rPr/>
        <w:t>Paasman,</w:t>
      </w:r>
      <w:r>
        <w:rPr>
          <w:spacing w:val="-2"/>
        </w:rPr>
        <w:t> </w:t>
      </w:r>
      <w:r>
        <w:rPr/>
        <w:t>J.</w:t>
        <w:tab/>
        <w:t>Bosdata Trines,</w:t>
      </w:r>
      <w:r>
        <w:rPr>
          <w:spacing w:val="-1"/>
        </w:rPr>
        <w:t> </w:t>
      </w:r>
      <w:r>
        <w:rPr/>
        <w:t>E.</w:t>
        <w:tab/>
        <w:t>LNV</w:t>
      </w:r>
    </w:p>
    <w:p>
      <w:pPr>
        <w:pStyle w:val="BodyText"/>
        <w:tabs>
          <w:tab w:pos="1462" w:val="left" w:leader="none"/>
        </w:tabs>
        <w:spacing w:line="229" w:lineRule="exact"/>
        <w:ind w:left="159"/>
      </w:pPr>
      <w:r>
        <w:rPr/>
        <w:t>van</w:t>
      </w:r>
      <w:r>
        <w:rPr>
          <w:spacing w:val="-2"/>
        </w:rPr>
        <w:t> </w:t>
      </w:r>
      <w:r>
        <w:rPr/>
        <w:t>Tol, G.</w:t>
        <w:tab/>
        <w:t>EC-LNV</w:t>
      </w:r>
    </w:p>
    <w:p>
      <w:pPr>
        <w:pStyle w:val="BodyText"/>
        <w:spacing w:before="7"/>
        <w:rPr>
          <w:sz w:val="18"/>
        </w:rPr>
      </w:pPr>
      <w:r>
        <w:rPr/>
        <w:br w:type="column"/>
      </w:r>
      <w:r>
        <w:rPr>
          <w:sz w:val="18"/>
        </w:rPr>
      </w:r>
    </w:p>
    <w:p>
      <w:pPr>
        <w:spacing w:line="228" w:lineRule="exact" w:before="0"/>
        <w:ind w:left="159" w:right="0" w:firstLine="0"/>
        <w:jc w:val="left"/>
        <w:rPr>
          <w:b/>
          <w:sz w:val="20"/>
        </w:rPr>
      </w:pPr>
      <w:r>
        <w:rPr>
          <w:b/>
          <w:sz w:val="20"/>
        </w:rPr>
        <w:t>New Zealand</w:t>
      </w:r>
    </w:p>
    <w:p>
      <w:pPr>
        <w:pStyle w:val="BodyText"/>
        <w:tabs>
          <w:tab w:pos="1462" w:val="left" w:leader="none"/>
        </w:tabs>
        <w:spacing w:line="228" w:lineRule="exact"/>
        <w:ind w:left="159"/>
      </w:pPr>
      <w:r>
        <w:rPr/>
        <w:t>Baisden, T.</w:t>
        <w:tab/>
        <w:t>Landcare</w:t>
      </w:r>
      <w:r>
        <w:rPr>
          <w:spacing w:val="-1"/>
        </w:rPr>
        <w:t> </w:t>
      </w:r>
      <w:r>
        <w:rPr/>
        <w:t>Research</w:t>
      </w:r>
    </w:p>
    <w:p>
      <w:pPr>
        <w:pStyle w:val="BodyText"/>
        <w:tabs>
          <w:tab w:pos="1461" w:val="left" w:leader="none"/>
        </w:tabs>
        <w:ind w:left="159" w:right="225"/>
      </w:pPr>
      <w:r>
        <w:rPr/>
        <w:t>Barton,</w:t>
      </w:r>
      <w:r>
        <w:rPr>
          <w:spacing w:val="-1"/>
        </w:rPr>
        <w:t> </w:t>
      </w:r>
      <w:r>
        <w:rPr/>
        <w:t>J.</w:t>
        <w:tab/>
        <w:t>New Zealand Climate Change Office Beets, P.</w:t>
        <w:tab/>
        <w:t>Forest Research</w:t>
      </w:r>
    </w:p>
    <w:p>
      <w:pPr>
        <w:pStyle w:val="BodyText"/>
        <w:tabs>
          <w:tab w:pos="1461" w:val="left" w:leader="none"/>
        </w:tabs>
        <w:spacing w:line="228" w:lineRule="exact"/>
        <w:ind w:left="159"/>
      </w:pPr>
      <w:r>
        <w:rPr/>
        <w:t>Edwards,</w:t>
      </w:r>
      <w:r>
        <w:rPr>
          <w:spacing w:val="-2"/>
        </w:rPr>
        <w:t> </w:t>
      </w:r>
      <w:r>
        <w:rPr/>
        <w:t>S.</w:t>
        <w:tab/>
        <w:t>Ministry of Agriculture and</w:t>
      </w:r>
      <w:r>
        <w:rPr>
          <w:spacing w:val="-8"/>
        </w:rPr>
        <w:t> </w:t>
      </w:r>
      <w:r>
        <w:rPr/>
        <w:t>Forestry</w:t>
      </w:r>
    </w:p>
    <w:p>
      <w:pPr>
        <w:pStyle w:val="BodyText"/>
        <w:spacing w:before="1"/>
        <w:ind w:left="1462"/>
      </w:pPr>
      <w:r>
        <w:rPr/>
        <w:t>(MAF)</w:t>
      </w:r>
    </w:p>
    <w:p>
      <w:pPr>
        <w:pStyle w:val="BodyText"/>
        <w:tabs>
          <w:tab w:pos="1461" w:val="left" w:leader="none"/>
        </w:tabs>
        <w:ind w:left="159" w:right="553"/>
      </w:pPr>
      <w:r>
        <w:rPr/>
        <w:t>Ford-Robertson, J.Ford-Robertson Initiatives Ltd Goulding,</w:t>
      </w:r>
      <w:r>
        <w:rPr>
          <w:spacing w:val="-3"/>
        </w:rPr>
        <w:t> </w:t>
      </w:r>
      <w:r>
        <w:rPr/>
        <w:t>C.</w:t>
        <w:tab/>
        <w:t>Forest Research</w:t>
      </w:r>
    </w:p>
    <w:p>
      <w:pPr>
        <w:pStyle w:val="BodyText"/>
        <w:tabs>
          <w:tab w:pos="1461" w:val="left" w:leader="none"/>
        </w:tabs>
        <w:spacing w:line="228" w:lineRule="exact"/>
        <w:ind w:left="159"/>
      </w:pPr>
      <w:r>
        <w:rPr/>
        <w:t>Jebson,</w:t>
      </w:r>
      <w:r>
        <w:rPr>
          <w:spacing w:val="-1"/>
        </w:rPr>
        <w:t> </w:t>
      </w:r>
      <w:r>
        <w:rPr/>
        <w:t>M.</w:t>
        <w:tab/>
        <w:t>MAF</w:t>
      </w:r>
    </w:p>
    <w:p>
      <w:pPr>
        <w:pStyle w:val="BodyText"/>
        <w:tabs>
          <w:tab w:pos="1462" w:val="left" w:leader="none"/>
        </w:tabs>
        <w:ind w:left="159"/>
      </w:pPr>
      <w:r>
        <w:rPr/>
        <w:t>Lane,</w:t>
      </w:r>
      <w:r>
        <w:rPr>
          <w:spacing w:val="-1"/>
        </w:rPr>
        <w:t> </w:t>
      </w:r>
      <w:r>
        <w:rPr/>
        <w:t>P.</w:t>
        <w:tab/>
        <w:t>MAF</w:t>
      </w:r>
    </w:p>
    <w:p>
      <w:pPr>
        <w:pStyle w:val="BodyText"/>
        <w:tabs>
          <w:tab w:pos="1462" w:val="left" w:leader="none"/>
        </w:tabs>
        <w:spacing w:before="1"/>
        <w:ind w:left="159" w:right="753"/>
      </w:pPr>
      <w:r>
        <w:rPr/>
        <w:t>Maclaren,</w:t>
      </w:r>
      <w:r>
        <w:rPr>
          <w:spacing w:val="-2"/>
        </w:rPr>
        <w:t> </w:t>
      </w:r>
      <w:r>
        <w:rPr/>
        <w:t>P.</w:t>
        <w:tab/>
        <w:t>Piers Maclaren and Associates Manley,</w:t>
      </w:r>
      <w:r>
        <w:rPr>
          <w:spacing w:val="-2"/>
        </w:rPr>
        <w:t> </w:t>
      </w:r>
      <w:r>
        <w:rPr/>
        <w:t>B.</w:t>
        <w:tab/>
      </w:r>
      <w:r>
        <w:rPr>
          <w:spacing w:val="-4"/>
        </w:rPr>
        <w:t>School </w:t>
      </w:r>
      <w:r>
        <w:rPr/>
        <w:t>of </w:t>
      </w:r>
      <w:r>
        <w:rPr>
          <w:spacing w:val="-4"/>
        </w:rPr>
        <w:t>Forestry,</w:t>
      </w:r>
      <w:r>
        <w:rPr>
          <w:spacing w:val="-21"/>
        </w:rPr>
        <w:t> </w:t>
      </w:r>
      <w:r>
        <w:rPr>
          <w:spacing w:val="-4"/>
        </w:rPr>
        <w:t>Canterbury</w:t>
      </w:r>
    </w:p>
    <w:p>
      <w:pPr>
        <w:pStyle w:val="BodyText"/>
        <w:spacing w:line="228" w:lineRule="exact"/>
        <w:ind w:left="1462"/>
      </w:pPr>
      <w:r>
        <w:rPr/>
        <w:t>University</w:t>
      </w:r>
    </w:p>
    <w:p>
      <w:pPr>
        <w:pStyle w:val="BodyText"/>
        <w:tabs>
          <w:tab w:pos="1462" w:val="left" w:leader="none"/>
        </w:tabs>
        <w:ind w:left="159"/>
      </w:pPr>
      <w:r>
        <w:rPr/>
        <w:t>Novis,</w:t>
      </w:r>
      <w:r>
        <w:rPr>
          <w:spacing w:val="-2"/>
        </w:rPr>
        <w:t> </w:t>
      </w:r>
      <w:r>
        <w:rPr/>
        <w:t>J.</w:t>
        <w:tab/>
        <w:t>MAF</w:t>
      </w:r>
    </w:p>
    <w:p>
      <w:pPr>
        <w:pStyle w:val="BodyText"/>
        <w:tabs>
          <w:tab w:pos="1461" w:val="left" w:leader="none"/>
        </w:tabs>
        <w:spacing w:before="1"/>
        <w:ind w:left="159" w:right="224"/>
      </w:pPr>
      <w:r>
        <w:rPr/>
        <w:t>Plume,</w:t>
      </w:r>
      <w:r>
        <w:rPr>
          <w:spacing w:val="-3"/>
        </w:rPr>
        <w:t> </w:t>
      </w:r>
      <w:r>
        <w:rPr/>
        <w:t>H.</w:t>
        <w:tab/>
        <w:t>New Zealand Climate Change Ofice Reisinger,</w:t>
      </w:r>
      <w:r>
        <w:rPr>
          <w:spacing w:val="-3"/>
        </w:rPr>
        <w:t> </w:t>
      </w:r>
      <w:r>
        <w:rPr/>
        <w:t>A.</w:t>
        <w:tab/>
        <w:t>New Zealand Climate Change Office Robertson, K. Force Consulting</w:t>
      </w:r>
      <w:r>
        <w:rPr>
          <w:spacing w:val="-16"/>
        </w:rPr>
        <w:t> </w:t>
      </w:r>
      <w:r>
        <w:rPr/>
        <w:t>Ltd</w:t>
      </w:r>
    </w:p>
    <w:p>
      <w:pPr>
        <w:pStyle w:val="BodyText"/>
        <w:tabs>
          <w:tab w:pos="1461" w:val="left" w:leader="none"/>
        </w:tabs>
        <w:spacing w:line="229" w:lineRule="exact"/>
        <w:ind w:left="159"/>
      </w:pPr>
      <w:r>
        <w:rPr/>
        <w:t>Rys,</w:t>
      </w:r>
      <w:r>
        <w:rPr>
          <w:spacing w:val="-1"/>
        </w:rPr>
        <w:t> </w:t>
      </w:r>
      <w:r>
        <w:rPr/>
        <w:t>G.</w:t>
        <w:tab/>
        <w:t>MAF</w:t>
      </w:r>
    </w:p>
    <w:p>
      <w:pPr>
        <w:pStyle w:val="BodyText"/>
        <w:tabs>
          <w:tab w:pos="1462" w:val="left" w:leader="none"/>
        </w:tabs>
        <w:ind w:left="159"/>
      </w:pPr>
      <w:r>
        <w:rPr/>
        <w:t>Smith,</w:t>
      </w:r>
      <w:r>
        <w:rPr>
          <w:spacing w:val="-2"/>
        </w:rPr>
        <w:t> </w:t>
      </w:r>
      <w:r>
        <w:rPr/>
        <w:t>B.</w:t>
        <w:tab/>
        <w:t>MAF</w:t>
      </w:r>
    </w:p>
    <w:p>
      <w:pPr>
        <w:pStyle w:val="BodyText"/>
        <w:tabs>
          <w:tab w:pos="1463" w:val="left" w:leader="none"/>
        </w:tabs>
        <w:ind w:left="159" w:right="1676"/>
        <w:jc w:val="both"/>
      </w:pPr>
      <w:r>
        <w:rPr/>
        <w:t>Stephens, P. Landcare Research Tate, K.</w:t>
        <w:tab/>
        <w:t>Landcare</w:t>
      </w:r>
      <w:r>
        <w:rPr>
          <w:spacing w:val="-8"/>
        </w:rPr>
        <w:t> </w:t>
      </w:r>
      <w:r>
        <w:rPr/>
        <w:t>Research Trotter, C. Landcare</w:t>
      </w:r>
      <w:r>
        <w:rPr>
          <w:spacing w:val="1"/>
        </w:rPr>
        <w:t> </w:t>
      </w:r>
      <w:r>
        <w:rPr/>
        <w:t>Research</w:t>
      </w:r>
    </w:p>
    <w:p>
      <w:pPr>
        <w:pStyle w:val="BodyText"/>
        <w:tabs>
          <w:tab w:pos="1461" w:val="left" w:leader="none"/>
        </w:tabs>
        <w:ind w:left="159" w:right="226"/>
      </w:pPr>
      <w:r>
        <w:rPr/>
        <w:t>Ward,</w:t>
      </w:r>
      <w:r>
        <w:rPr>
          <w:spacing w:val="-1"/>
        </w:rPr>
        <w:t> </w:t>
      </w:r>
      <w:r>
        <w:rPr/>
        <w:t>M.</w:t>
        <w:tab/>
        <w:t>New Zealand Climate Change Office Wratt,</w:t>
      </w:r>
      <w:r>
        <w:rPr>
          <w:spacing w:val="-1"/>
        </w:rPr>
        <w:t> </w:t>
      </w:r>
      <w:r>
        <w:rPr/>
        <w:t>D.</w:t>
        <w:tab/>
        <w:t>National Institute of Water</w:t>
      </w:r>
      <w:r>
        <w:rPr>
          <w:spacing w:val="-4"/>
        </w:rPr>
        <w:t> </w:t>
      </w:r>
      <w:r>
        <w:rPr/>
        <w:t>and</w:t>
      </w:r>
    </w:p>
    <w:p>
      <w:pPr>
        <w:pStyle w:val="BodyText"/>
        <w:spacing w:line="228" w:lineRule="exact"/>
        <w:ind w:left="1462"/>
      </w:pPr>
      <w:r>
        <w:rPr/>
        <w:t>Atmospheric Research (NIWA)</w:t>
      </w:r>
    </w:p>
    <w:p>
      <w:pPr>
        <w:pStyle w:val="BodyText"/>
        <w:spacing w:before="5"/>
      </w:pPr>
    </w:p>
    <w:p>
      <w:pPr>
        <w:spacing w:line="228" w:lineRule="exact" w:before="0"/>
        <w:ind w:left="159" w:right="0" w:firstLine="0"/>
        <w:jc w:val="left"/>
        <w:rPr>
          <w:b/>
          <w:sz w:val="20"/>
        </w:rPr>
      </w:pPr>
      <w:r>
        <w:rPr>
          <w:b/>
          <w:sz w:val="20"/>
        </w:rPr>
        <w:t>Nigeria</w:t>
      </w:r>
    </w:p>
    <w:p>
      <w:pPr>
        <w:pStyle w:val="BodyText"/>
        <w:tabs>
          <w:tab w:pos="1461" w:val="left" w:leader="none"/>
        </w:tabs>
        <w:spacing w:line="228" w:lineRule="exact"/>
        <w:ind w:left="159"/>
      </w:pPr>
      <w:r>
        <w:rPr/>
        <w:t>Obioh, I.</w:t>
        <w:tab/>
        <w:t>DERD, OAU</w:t>
      </w:r>
    </w:p>
    <w:p>
      <w:pPr>
        <w:pStyle w:val="BodyText"/>
        <w:spacing w:before="3"/>
      </w:pPr>
    </w:p>
    <w:p>
      <w:pPr>
        <w:spacing w:line="228" w:lineRule="exact" w:before="0"/>
        <w:ind w:left="159" w:right="0" w:firstLine="0"/>
        <w:jc w:val="left"/>
        <w:rPr>
          <w:b/>
          <w:sz w:val="20"/>
        </w:rPr>
      </w:pPr>
      <w:r>
        <w:rPr>
          <w:b/>
          <w:sz w:val="20"/>
        </w:rPr>
        <w:t>Norway</w:t>
      </w:r>
    </w:p>
    <w:p>
      <w:pPr>
        <w:pStyle w:val="BodyText"/>
        <w:tabs>
          <w:tab w:pos="1462" w:val="left" w:leader="none"/>
        </w:tabs>
        <w:spacing w:line="228" w:lineRule="exact"/>
        <w:ind w:left="159"/>
      </w:pPr>
      <w:r>
        <w:rPr/>
        <w:t>Aalde,</w:t>
      </w:r>
      <w:r>
        <w:rPr>
          <w:spacing w:val="-2"/>
        </w:rPr>
        <w:t> </w:t>
      </w:r>
      <w:r>
        <w:rPr/>
        <w:t>H.</w:t>
        <w:tab/>
        <w:t>Norwegian Institute of</w:t>
      </w:r>
      <w:r>
        <w:rPr>
          <w:spacing w:val="-4"/>
        </w:rPr>
        <w:t> </w:t>
      </w:r>
      <w:r>
        <w:rPr/>
        <w:t>Land</w:t>
      </w:r>
    </w:p>
    <w:p>
      <w:pPr>
        <w:pStyle w:val="BodyText"/>
        <w:tabs>
          <w:tab w:pos="1462" w:val="left" w:leader="none"/>
        </w:tabs>
        <w:spacing w:before="1"/>
        <w:ind w:left="159" w:right="1681" w:firstLine="1303"/>
      </w:pPr>
      <w:r>
        <w:rPr/>
        <w:t>Inventory (NIJOS) de Wit, H.</w:t>
        <w:tab/>
        <w:t>Skogforsk / </w:t>
      </w:r>
      <w:r>
        <w:rPr>
          <w:spacing w:val="-3"/>
        </w:rPr>
        <w:t>NIJOS </w:t>
      </w:r>
      <w:r>
        <w:rPr/>
        <w:t>Eldhuset, T.</w:t>
        <w:tab/>
        <w:t>Skogforsk Flugsrud,</w:t>
      </w:r>
      <w:r>
        <w:rPr>
          <w:spacing w:val="-2"/>
        </w:rPr>
        <w:t> </w:t>
      </w:r>
      <w:r>
        <w:rPr/>
        <w:t>K.</w:t>
        <w:tab/>
        <w:t>Statistic</w:t>
      </w:r>
      <w:r>
        <w:rPr>
          <w:spacing w:val="-2"/>
        </w:rPr>
        <w:t> </w:t>
      </w:r>
      <w:r>
        <w:rPr/>
        <w:t>Norway</w:t>
      </w:r>
    </w:p>
    <w:p>
      <w:pPr>
        <w:pStyle w:val="BodyText"/>
        <w:tabs>
          <w:tab w:pos="1461" w:val="left" w:leader="none"/>
        </w:tabs>
        <w:spacing w:line="228" w:lineRule="exact"/>
        <w:ind w:left="159"/>
      </w:pPr>
      <w:r>
        <w:rPr/>
        <w:t>Grønlund,</w:t>
      </w:r>
      <w:r>
        <w:rPr>
          <w:spacing w:val="-3"/>
        </w:rPr>
        <w:t> </w:t>
      </w:r>
      <w:r>
        <w:rPr/>
        <w:t>A.</w:t>
        <w:tab/>
        <w:t>Norwegian Centre for Soil</w:t>
      </w:r>
      <w:r>
        <w:rPr>
          <w:spacing w:val="-1"/>
        </w:rPr>
        <w:t> </w:t>
      </w:r>
      <w:r>
        <w:rPr/>
        <w:t>and</w:t>
      </w:r>
    </w:p>
    <w:p>
      <w:pPr>
        <w:pStyle w:val="BodyText"/>
        <w:spacing w:line="229" w:lineRule="exact"/>
        <w:ind w:left="1462"/>
      </w:pPr>
      <w:r>
        <w:rPr/>
        <w:t>Environmental Research</w:t>
      </w:r>
    </w:p>
    <w:p>
      <w:pPr>
        <w:pStyle w:val="BodyText"/>
        <w:tabs>
          <w:tab w:pos="1462" w:val="left" w:leader="none"/>
        </w:tabs>
        <w:ind w:left="159" w:right="420"/>
        <w:jc w:val="both"/>
      </w:pPr>
      <w:r>
        <w:rPr/>
        <w:t>Klokk,</w:t>
      </w:r>
      <w:r>
        <w:rPr>
          <w:spacing w:val="-1"/>
        </w:rPr>
        <w:t> </w:t>
      </w:r>
      <w:r>
        <w:rPr/>
        <w:t>T.</w:t>
        <w:tab/>
        <w:t>Directorate for Nature Mangement Lindstad, B. Agricultural University of Norway Nilsen, P.</w:t>
      </w:r>
      <w:r>
        <w:rPr>
          <w:spacing w:val="17"/>
        </w:rPr>
        <w:t> </w:t>
      </w:r>
      <w:r>
        <w:rPr/>
        <w:t>Skogforsk</w:t>
      </w:r>
    </w:p>
    <w:p>
      <w:pPr>
        <w:pStyle w:val="BodyText"/>
        <w:tabs>
          <w:tab w:pos="1462" w:val="left" w:leader="none"/>
        </w:tabs>
        <w:spacing w:line="229" w:lineRule="exact"/>
        <w:ind w:left="159"/>
      </w:pPr>
      <w:r>
        <w:rPr/>
        <w:t>Njøs,</w:t>
      </w:r>
      <w:r>
        <w:rPr>
          <w:spacing w:val="-1"/>
        </w:rPr>
        <w:t> </w:t>
      </w:r>
      <w:r>
        <w:rPr/>
        <w:t>A.</w:t>
        <w:tab/>
        <w:t>Jordforsk</w:t>
      </w:r>
    </w:p>
    <w:p>
      <w:pPr>
        <w:pStyle w:val="BodyText"/>
        <w:ind w:left="159" w:right="184"/>
        <w:jc w:val="both"/>
      </w:pPr>
      <w:r>
        <w:rPr/>
        <w:t>Pettersen, M. Norwegian Pollution Control Authority Rosland, A. Norwegian Pollution Control Authority Rypdal, K. Center for International Climate and</w:t>
      </w:r>
    </w:p>
    <w:p>
      <w:pPr>
        <w:pStyle w:val="BodyText"/>
        <w:ind w:left="1462" w:right="785"/>
      </w:pPr>
      <w:r>
        <w:rPr/>
        <w:t>Environmental Research Oslo (CICERO)</w:t>
      </w:r>
    </w:p>
    <w:p>
      <w:pPr>
        <w:pStyle w:val="BodyText"/>
        <w:tabs>
          <w:tab w:pos="1461" w:val="left" w:leader="none"/>
        </w:tabs>
        <w:ind w:left="159"/>
      </w:pPr>
      <w:r>
        <w:rPr/>
        <w:t>Sletnes, A.</w:t>
        <w:tab/>
        <w:t>Ministry of</w:t>
      </w:r>
      <w:r>
        <w:rPr>
          <w:spacing w:val="-4"/>
        </w:rPr>
        <w:t> </w:t>
      </w:r>
      <w:r>
        <w:rPr/>
        <w:t>Agriculture</w:t>
      </w:r>
    </w:p>
    <w:p>
      <w:pPr>
        <w:pStyle w:val="BodyText"/>
        <w:tabs>
          <w:tab w:pos="1461" w:val="left" w:leader="none"/>
        </w:tabs>
        <w:spacing w:before="1"/>
        <w:ind w:left="159" w:right="422"/>
      </w:pPr>
      <w:r>
        <w:rPr/>
        <w:t>Solberg,</w:t>
      </w:r>
      <w:r>
        <w:rPr>
          <w:spacing w:val="-1"/>
        </w:rPr>
        <w:t> </w:t>
      </w:r>
      <w:r>
        <w:rPr/>
        <w:t>B.</w:t>
        <w:tab/>
        <w:t>Directorate for Nature</w:t>
      </w:r>
      <w:r>
        <w:rPr>
          <w:spacing w:val="-14"/>
        </w:rPr>
        <w:t> </w:t>
      </w:r>
      <w:r>
        <w:rPr/>
        <w:t>Mangement Tomter,</w:t>
      </w:r>
      <w:r>
        <w:rPr>
          <w:spacing w:val="-2"/>
        </w:rPr>
        <w:t> </w:t>
      </w:r>
      <w:r>
        <w:rPr/>
        <w:t>S.</w:t>
        <w:tab/>
        <w:t>NIJOS</w:t>
      </w:r>
    </w:p>
    <w:p>
      <w:pPr>
        <w:pStyle w:val="BodyText"/>
        <w:spacing w:line="228" w:lineRule="exact"/>
        <w:ind w:left="159"/>
      </w:pPr>
      <w:r>
        <w:rPr/>
        <w:t>Torvanger, A.  </w:t>
      </w:r>
      <w:r>
        <w:rPr>
          <w:spacing w:val="13"/>
        </w:rPr>
        <w:t> </w:t>
      </w:r>
      <w:r>
        <w:rPr/>
        <w:t>CICERO</w:t>
      </w:r>
    </w:p>
    <w:p>
      <w:pPr>
        <w:pStyle w:val="BodyText"/>
        <w:tabs>
          <w:tab w:pos="1462" w:val="left" w:leader="none"/>
        </w:tabs>
        <w:ind w:left="159" w:right="422"/>
      </w:pPr>
      <w:r>
        <w:rPr/>
        <w:t>Utseth,</w:t>
      </w:r>
      <w:r>
        <w:rPr>
          <w:spacing w:val="-3"/>
        </w:rPr>
        <w:t> </w:t>
      </w:r>
      <w:r>
        <w:rPr/>
        <w:t>A.</w:t>
        <w:tab/>
        <w:t>Directorate for Nature</w:t>
      </w:r>
      <w:r>
        <w:rPr>
          <w:spacing w:val="-14"/>
        </w:rPr>
        <w:t> </w:t>
      </w:r>
      <w:r>
        <w:rPr/>
        <w:t>Mangement Vestgarden, L.</w:t>
      </w:r>
      <w:r>
        <w:rPr>
          <w:spacing w:val="22"/>
        </w:rPr>
        <w:t> </w:t>
      </w:r>
      <w:r>
        <w:rPr/>
        <w:t>Jordforsk</w:t>
      </w:r>
    </w:p>
    <w:p>
      <w:pPr>
        <w:pStyle w:val="BodyText"/>
        <w:spacing w:before="3"/>
      </w:pPr>
    </w:p>
    <w:p>
      <w:pPr>
        <w:spacing w:line="228" w:lineRule="exact" w:before="1"/>
        <w:ind w:left="159" w:right="0" w:firstLine="0"/>
        <w:jc w:val="left"/>
        <w:rPr>
          <w:b/>
          <w:sz w:val="20"/>
        </w:rPr>
      </w:pPr>
      <w:r>
        <w:rPr>
          <w:b/>
          <w:sz w:val="20"/>
        </w:rPr>
        <w:t>Oman</w:t>
      </w:r>
    </w:p>
    <w:p>
      <w:pPr>
        <w:pStyle w:val="BodyText"/>
        <w:spacing w:line="228" w:lineRule="exact"/>
        <w:ind w:left="159"/>
      </w:pPr>
      <w:r>
        <w:rPr/>
        <w:t>bin Ali Al-Hakmani, M.</w:t>
      </w:r>
    </w:p>
    <w:p>
      <w:pPr>
        <w:pStyle w:val="BodyText"/>
        <w:ind w:left="1462" w:right="252"/>
      </w:pPr>
      <w:r>
        <w:rPr/>
        <w:t>Ministry of Regional Municipalities, Environment and Water Resources</w:t>
      </w:r>
    </w:p>
    <w:p>
      <w:pPr>
        <w:pStyle w:val="BodyText"/>
        <w:spacing w:before="3"/>
      </w:pPr>
    </w:p>
    <w:p>
      <w:pPr>
        <w:spacing w:line="228" w:lineRule="exact" w:before="1"/>
        <w:ind w:left="159" w:right="0" w:firstLine="0"/>
        <w:jc w:val="left"/>
        <w:rPr>
          <w:b/>
          <w:sz w:val="20"/>
        </w:rPr>
      </w:pPr>
      <w:r>
        <w:rPr>
          <w:b/>
          <w:sz w:val="20"/>
        </w:rPr>
        <w:t>Poland</w:t>
      </w:r>
    </w:p>
    <w:p>
      <w:pPr>
        <w:pStyle w:val="BodyText"/>
        <w:tabs>
          <w:tab w:pos="1463" w:val="left" w:leader="none"/>
        </w:tabs>
        <w:spacing w:line="227" w:lineRule="exact"/>
        <w:ind w:left="159"/>
      </w:pPr>
      <w:r>
        <w:rPr/>
        <w:t>Olecka, A.</w:t>
        <w:tab/>
        <w:t>Institute of Meteorology and</w:t>
      </w:r>
      <w:r>
        <w:rPr>
          <w:spacing w:val="-9"/>
        </w:rPr>
        <w:t> </w:t>
      </w:r>
      <w:r>
        <w:rPr/>
        <w:t>Water</w:t>
      </w:r>
    </w:p>
    <w:p>
      <w:pPr>
        <w:pStyle w:val="BodyText"/>
        <w:spacing w:line="229" w:lineRule="exact"/>
        <w:ind w:left="1462"/>
      </w:pPr>
      <w:r>
        <w:rPr/>
        <w:t>Management, Meteorology Centre</w:t>
      </w:r>
    </w:p>
    <w:p>
      <w:pPr>
        <w:spacing w:after="0" w:line="229" w:lineRule="exact"/>
        <w:sectPr>
          <w:type w:val="continuous"/>
          <w:pgSz w:w="11900" w:h="16840"/>
          <w:pgMar w:top="1060" w:bottom="280" w:left="1260" w:right="1240"/>
          <w:cols w:num="2" w:equalWidth="0">
            <w:col w:w="4417" w:space="316"/>
            <w:col w:w="4667"/>
          </w:cols>
        </w:sectPr>
      </w:pPr>
    </w:p>
    <w:p>
      <w:pPr>
        <w:pStyle w:val="BodyText"/>
      </w:pPr>
    </w:p>
    <w:p>
      <w:pPr>
        <w:spacing w:after="0"/>
        <w:sectPr>
          <w:pgSz w:w="11900" w:h="16840"/>
          <w:pgMar w:header="230" w:footer="408" w:top="560" w:bottom="600" w:left="1260" w:right="1240"/>
        </w:sectPr>
      </w:pPr>
    </w:p>
    <w:p>
      <w:pPr>
        <w:pStyle w:val="BodyText"/>
        <w:spacing w:before="7"/>
        <w:rPr>
          <w:sz w:val="18"/>
        </w:rPr>
      </w:pPr>
    </w:p>
    <w:p>
      <w:pPr>
        <w:spacing w:line="228" w:lineRule="exact" w:before="0"/>
        <w:ind w:left="159" w:right="0" w:firstLine="0"/>
        <w:jc w:val="left"/>
        <w:rPr>
          <w:b/>
          <w:sz w:val="20"/>
        </w:rPr>
      </w:pPr>
      <w:r>
        <w:rPr>
          <w:b/>
          <w:sz w:val="20"/>
        </w:rPr>
        <w:t>Portugal</w:t>
      </w:r>
    </w:p>
    <w:p>
      <w:pPr>
        <w:pStyle w:val="BodyText"/>
        <w:tabs>
          <w:tab w:pos="1461" w:val="left" w:leader="none"/>
        </w:tabs>
        <w:spacing w:line="228" w:lineRule="exact"/>
        <w:ind w:left="159"/>
      </w:pPr>
      <w:r>
        <w:rPr/>
        <w:t>Ferreira,</w:t>
      </w:r>
      <w:r>
        <w:rPr>
          <w:spacing w:val="-2"/>
        </w:rPr>
        <w:t> </w:t>
      </w:r>
      <w:r>
        <w:rPr/>
        <w:t>C.</w:t>
        <w:tab/>
        <w:t>DG Forests</w:t>
      </w:r>
    </w:p>
    <w:p>
      <w:pPr>
        <w:pStyle w:val="BodyText"/>
        <w:tabs>
          <w:tab w:pos="1462" w:val="left" w:leader="none"/>
        </w:tabs>
        <w:ind w:left="159"/>
      </w:pPr>
      <w:r>
        <w:rPr/>
        <w:t>Seixas,</w:t>
      </w:r>
      <w:r>
        <w:rPr>
          <w:spacing w:val="-1"/>
        </w:rPr>
        <w:t> </w:t>
      </w:r>
      <w:r>
        <w:rPr/>
        <w:t>J.</w:t>
        <w:tab/>
        <w:t>New University</w:t>
      </w:r>
      <w:r>
        <w:rPr>
          <w:spacing w:val="-4"/>
        </w:rPr>
        <w:t> </w:t>
      </w:r>
      <w:r>
        <w:rPr/>
        <w:t>Lisbon</w:t>
      </w:r>
    </w:p>
    <w:p>
      <w:pPr>
        <w:pStyle w:val="BodyText"/>
        <w:spacing w:before="3"/>
      </w:pPr>
    </w:p>
    <w:p>
      <w:pPr>
        <w:spacing w:line="228" w:lineRule="exact" w:before="1"/>
        <w:ind w:left="159" w:right="0" w:firstLine="0"/>
        <w:jc w:val="left"/>
        <w:rPr>
          <w:b/>
          <w:sz w:val="20"/>
        </w:rPr>
      </w:pPr>
      <w:r>
        <w:rPr>
          <w:b/>
          <w:sz w:val="20"/>
        </w:rPr>
        <w:t>Russian Federation</w:t>
      </w:r>
    </w:p>
    <w:p>
      <w:pPr>
        <w:pStyle w:val="BodyText"/>
        <w:tabs>
          <w:tab w:pos="1461" w:val="left" w:leader="none"/>
        </w:tabs>
        <w:spacing w:line="228" w:lineRule="exact"/>
        <w:ind w:left="159"/>
      </w:pPr>
      <w:r>
        <w:rPr/>
        <w:t>Bedritsky,</w:t>
      </w:r>
      <w:r>
        <w:rPr>
          <w:spacing w:val="-2"/>
        </w:rPr>
        <w:t> </w:t>
      </w:r>
      <w:r>
        <w:rPr/>
        <w:t>A.</w:t>
        <w:tab/>
        <w:t>Russian Federal Service for</w:t>
      </w:r>
    </w:p>
    <w:p>
      <w:pPr>
        <w:pStyle w:val="BodyText"/>
        <w:ind w:left="1462" w:right="907"/>
      </w:pPr>
      <w:r>
        <w:rPr/>
        <w:t>Hydrometeorology and Environmental Monitoring</w:t>
      </w:r>
    </w:p>
    <w:p>
      <w:pPr>
        <w:pStyle w:val="BodyText"/>
        <w:tabs>
          <w:tab w:pos="1462" w:val="left" w:leader="none"/>
        </w:tabs>
        <w:spacing w:line="228" w:lineRule="exact"/>
        <w:ind w:left="159"/>
      </w:pPr>
      <w:r>
        <w:rPr/>
        <w:t>Filipchuk,</w:t>
      </w:r>
      <w:r>
        <w:rPr>
          <w:spacing w:val="-4"/>
        </w:rPr>
        <w:t> </w:t>
      </w:r>
      <w:r>
        <w:rPr/>
        <w:t>A.</w:t>
        <w:tab/>
        <w:t>All-Russian Scientific and</w:t>
      </w:r>
      <w:r>
        <w:rPr>
          <w:spacing w:val="-7"/>
        </w:rPr>
        <w:t> </w:t>
      </w:r>
      <w:r>
        <w:rPr/>
        <w:t>Research</w:t>
      </w:r>
    </w:p>
    <w:p>
      <w:pPr>
        <w:pStyle w:val="BodyText"/>
        <w:ind w:left="1462" w:right="108"/>
      </w:pPr>
      <w:r>
        <w:rPr/>
        <w:t>Institute for Forestry and Mechanization / International Center on Forests / Institute for Silviculture and Forest Mechanization(VNIILM)</w:t>
      </w:r>
    </w:p>
    <w:p>
      <w:pPr>
        <w:pStyle w:val="BodyText"/>
        <w:tabs>
          <w:tab w:pos="1461" w:val="left" w:leader="none"/>
        </w:tabs>
        <w:spacing w:line="229" w:lineRule="exact"/>
        <w:ind w:left="159"/>
      </w:pPr>
      <w:r>
        <w:rPr/>
        <w:t>Gytarsky,</w:t>
      </w:r>
      <w:r>
        <w:rPr>
          <w:spacing w:val="-3"/>
        </w:rPr>
        <w:t> </w:t>
      </w:r>
      <w:r>
        <w:rPr/>
        <w:t>M.</w:t>
        <w:tab/>
        <w:t>Institute of Global Climate</w:t>
      </w:r>
      <w:r>
        <w:rPr>
          <w:spacing w:val="-4"/>
        </w:rPr>
        <w:t> </w:t>
      </w:r>
      <w:r>
        <w:rPr/>
        <w:t>and</w:t>
      </w:r>
    </w:p>
    <w:p>
      <w:pPr>
        <w:pStyle w:val="BodyText"/>
        <w:spacing w:before="1"/>
        <w:ind w:left="1462"/>
      </w:pPr>
      <w:r>
        <w:rPr/>
        <w:t>Ecology</w:t>
      </w:r>
    </w:p>
    <w:p>
      <w:pPr>
        <w:pStyle w:val="BodyText"/>
        <w:tabs>
          <w:tab w:pos="1462" w:val="left" w:leader="none"/>
        </w:tabs>
        <w:spacing w:line="229" w:lineRule="exact"/>
        <w:ind w:left="159"/>
      </w:pPr>
      <w:r>
        <w:rPr/>
        <w:t>Karaban,</w:t>
      </w:r>
      <w:r>
        <w:rPr>
          <w:spacing w:val="-2"/>
        </w:rPr>
        <w:t> </w:t>
      </w:r>
      <w:r>
        <w:rPr/>
        <w:t>R.</w:t>
        <w:tab/>
        <w:t>Institute of Global Climate</w:t>
      </w:r>
      <w:r>
        <w:rPr>
          <w:spacing w:val="-4"/>
        </w:rPr>
        <w:t> </w:t>
      </w:r>
      <w:r>
        <w:rPr/>
        <w:t>and</w:t>
      </w:r>
    </w:p>
    <w:p>
      <w:pPr>
        <w:pStyle w:val="BodyText"/>
        <w:spacing w:line="229" w:lineRule="exact"/>
        <w:ind w:left="1462"/>
      </w:pPr>
      <w:r>
        <w:rPr/>
        <w:t>Ecology</w:t>
      </w:r>
    </w:p>
    <w:p>
      <w:pPr>
        <w:pStyle w:val="BodyText"/>
        <w:tabs>
          <w:tab w:pos="1461" w:val="left" w:leader="none"/>
        </w:tabs>
        <w:spacing w:before="1"/>
        <w:ind w:left="159" w:right="584"/>
      </w:pPr>
      <w:r>
        <w:rPr/>
        <w:t>Moiseev,</w:t>
      </w:r>
      <w:r>
        <w:rPr>
          <w:spacing w:val="-2"/>
        </w:rPr>
        <w:t> </w:t>
      </w:r>
      <w:r>
        <w:rPr/>
        <w:t>B.</w:t>
        <w:tab/>
        <w:t>International Center on Forests Nazarov,</w:t>
      </w:r>
      <w:r>
        <w:rPr>
          <w:spacing w:val="-2"/>
        </w:rPr>
        <w:t> </w:t>
      </w:r>
      <w:r>
        <w:rPr/>
        <w:t>I.</w:t>
        <w:tab/>
        <w:t>Institute of Global Climate</w:t>
      </w:r>
      <w:r>
        <w:rPr>
          <w:spacing w:val="-13"/>
        </w:rPr>
        <w:t> </w:t>
      </w:r>
      <w:r>
        <w:rPr/>
        <w:t>and</w:t>
      </w:r>
    </w:p>
    <w:p>
      <w:pPr>
        <w:pStyle w:val="BodyText"/>
        <w:spacing w:line="229" w:lineRule="exact"/>
        <w:ind w:left="1462"/>
      </w:pPr>
      <w:r>
        <w:rPr/>
        <w:t>Ecology</w:t>
      </w:r>
    </w:p>
    <w:p>
      <w:pPr>
        <w:pStyle w:val="BodyText"/>
        <w:ind w:left="1824" w:hanging="1666"/>
      </w:pPr>
      <w:r>
        <w:rPr/>
        <w:t>Romanovskaya, A. Institute of Global Climate and Ecology</w:t>
      </w:r>
    </w:p>
    <w:p>
      <w:pPr>
        <w:pStyle w:val="BodyText"/>
        <w:spacing w:before="5"/>
      </w:pPr>
    </w:p>
    <w:p>
      <w:pPr>
        <w:spacing w:line="227" w:lineRule="exact" w:before="1"/>
        <w:ind w:left="159" w:right="0" w:firstLine="0"/>
        <w:jc w:val="left"/>
        <w:rPr>
          <w:b/>
          <w:sz w:val="20"/>
        </w:rPr>
      </w:pPr>
      <w:r>
        <w:rPr>
          <w:b/>
          <w:sz w:val="20"/>
        </w:rPr>
        <w:t>Spain</w:t>
      </w:r>
    </w:p>
    <w:p>
      <w:pPr>
        <w:pStyle w:val="BodyText"/>
        <w:tabs>
          <w:tab w:pos="1461" w:val="left" w:leader="none"/>
        </w:tabs>
        <w:spacing w:line="227" w:lineRule="exact"/>
        <w:ind w:left="159"/>
      </w:pPr>
      <w:r>
        <w:rPr/>
        <w:t>Díaz,</w:t>
      </w:r>
      <w:r>
        <w:rPr>
          <w:spacing w:val="-1"/>
        </w:rPr>
        <w:t> </w:t>
      </w:r>
      <w:r>
        <w:rPr/>
        <w:t>C.</w:t>
        <w:tab/>
        <w:t>OECC-MMA</w:t>
      </w:r>
    </w:p>
    <w:p>
      <w:pPr>
        <w:pStyle w:val="BodyText"/>
        <w:ind w:left="159"/>
      </w:pPr>
      <w:r>
        <w:rPr/>
        <w:t>Sanchez-Pena, G. Ministry for Environment</w:t>
      </w:r>
    </w:p>
    <w:p>
      <w:pPr>
        <w:pStyle w:val="BodyText"/>
        <w:tabs>
          <w:tab w:pos="1462" w:val="left" w:leader="none"/>
        </w:tabs>
        <w:ind w:left="159"/>
      </w:pPr>
      <w:r>
        <w:rPr/>
        <w:t>Sanz,</w:t>
      </w:r>
      <w:r>
        <w:rPr>
          <w:spacing w:val="-1"/>
        </w:rPr>
        <w:t> </w:t>
      </w:r>
      <w:r>
        <w:rPr/>
        <w:t>M.</w:t>
        <w:tab/>
        <w:t>Centro de Estudios Ambientales</w:t>
      </w:r>
      <w:r>
        <w:rPr>
          <w:spacing w:val="-8"/>
        </w:rPr>
        <w:t> </w:t>
      </w:r>
      <w:r>
        <w:rPr/>
        <w:t>del</w:t>
      </w:r>
    </w:p>
    <w:p>
      <w:pPr>
        <w:pStyle w:val="BodyText"/>
        <w:tabs>
          <w:tab w:pos="1463" w:val="left" w:leader="none"/>
        </w:tabs>
        <w:spacing w:before="1"/>
        <w:ind w:left="159" w:right="1153" w:firstLine="1303"/>
      </w:pPr>
      <w:r>
        <w:rPr/>
        <w:t>Mediterraneo (CEAM) Vallejo,</w:t>
      </w:r>
      <w:r>
        <w:rPr>
          <w:spacing w:val="-1"/>
        </w:rPr>
        <w:t> </w:t>
      </w:r>
      <w:r>
        <w:rPr/>
        <w:t>R.</w:t>
        <w:tab/>
        <w:t>University of</w:t>
      </w:r>
      <w:r>
        <w:rPr>
          <w:spacing w:val="-12"/>
        </w:rPr>
        <w:t> </w:t>
      </w:r>
      <w:r>
        <w:rPr/>
        <w:t>Barcelona</w:t>
      </w:r>
    </w:p>
    <w:p>
      <w:pPr>
        <w:pStyle w:val="BodyText"/>
        <w:spacing w:before="3"/>
      </w:pPr>
    </w:p>
    <w:p>
      <w:pPr>
        <w:spacing w:line="228" w:lineRule="exact" w:before="0"/>
        <w:ind w:left="159" w:right="0" w:firstLine="0"/>
        <w:jc w:val="left"/>
        <w:rPr>
          <w:b/>
          <w:sz w:val="20"/>
        </w:rPr>
      </w:pPr>
      <w:r>
        <w:rPr>
          <w:b/>
          <w:sz w:val="20"/>
        </w:rPr>
        <w:t>Sri Lanka</w:t>
      </w:r>
    </w:p>
    <w:p>
      <w:pPr>
        <w:pStyle w:val="BodyText"/>
        <w:spacing w:line="228" w:lineRule="exact"/>
        <w:ind w:left="159"/>
      </w:pPr>
      <w:r>
        <w:rPr/>
        <w:t>Punyawardena, B. Department of Agriculture</w:t>
      </w:r>
    </w:p>
    <w:p>
      <w:pPr>
        <w:pStyle w:val="BodyText"/>
        <w:spacing w:before="3"/>
      </w:pPr>
    </w:p>
    <w:p>
      <w:pPr>
        <w:spacing w:line="228" w:lineRule="exact" w:before="1"/>
        <w:ind w:left="159" w:right="0" w:firstLine="0"/>
        <w:jc w:val="left"/>
        <w:rPr>
          <w:b/>
          <w:sz w:val="20"/>
        </w:rPr>
      </w:pPr>
      <w:r>
        <w:rPr>
          <w:b/>
          <w:sz w:val="20"/>
        </w:rPr>
        <w:t>Sudan</w:t>
      </w:r>
    </w:p>
    <w:p>
      <w:pPr>
        <w:pStyle w:val="BodyText"/>
        <w:tabs>
          <w:tab w:pos="1463" w:val="left" w:leader="none"/>
        </w:tabs>
        <w:spacing w:line="228" w:lineRule="exact"/>
        <w:ind w:left="159"/>
      </w:pPr>
      <w:r>
        <w:rPr/>
        <w:t>Elgizouli,</w:t>
      </w:r>
      <w:r>
        <w:rPr>
          <w:spacing w:val="-2"/>
        </w:rPr>
        <w:t> </w:t>
      </w:r>
      <w:r>
        <w:rPr/>
        <w:t>I.</w:t>
        <w:tab/>
        <w:t>Higher Council for Environment</w:t>
      </w:r>
      <w:r>
        <w:rPr>
          <w:spacing w:val="-8"/>
        </w:rPr>
        <w:t> </w:t>
      </w:r>
      <w:r>
        <w:rPr/>
        <w:t>and</w:t>
      </w:r>
    </w:p>
    <w:p>
      <w:pPr>
        <w:pStyle w:val="BodyText"/>
        <w:tabs>
          <w:tab w:pos="1461" w:val="left" w:leader="none"/>
        </w:tabs>
        <w:ind w:left="159" w:right="743" w:firstLine="1303"/>
      </w:pPr>
      <w:r>
        <w:rPr/>
        <w:t>Natural Resources</w:t>
      </w:r>
      <w:r>
        <w:rPr>
          <w:spacing w:val="-12"/>
        </w:rPr>
        <w:t> </w:t>
      </w:r>
      <w:r>
        <w:rPr/>
        <w:t>(HCENR) Elhassan,</w:t>
      </w:r>
      <w:r>
        <w:rPr>
          <w:spacing w:val="-3"/>
        </w:rPr>
        <w:t> </w:t>
      </w:r>
      <w:r>
        <w:rPr/>
        <w:t>N.</w:t>
        <w:tab/>
        <w:t>HCENR</w:t>
      </w:r>
    </w:p>
    <w:p>
      <w:pPr>
        <w:pStyle w:val="BodyText"/>
        <w:spacing w:before="4"/>
      </w:pPr>
    </w:p>
    <w:p>
      <w:pPr>
        <w:spacing w:line="228" w:lineRule="exact" w:before="0"/>
        <w:ind w:left="159" w:right="0" w:firstLine="0"/>
        <w:jc w:val="left"/>
        <w:rPr>
          <w:b/>
          <w:sz w:val="20"/>
        </w:rPr>
      </w:pPr>
      <w:r>
        <w:rPr>
          <w:b/>
          <w:sz w:val="20"/>
        </w:rPr>
        <w:t>Sweden</w:t>
      </w:r>
    </w:p>
    <w:p>
      <w:pPr>
        <w:pStyle w:val="BodyText"/>
        <w:tabs>
          <w:tab w:pos="1462" w:val="left" w:leader="none"/>
        </w:tabs>
        <w:spacing w:line="227" w:lineRule="exact"/>
        <w:ind w:left="159"/>
      </w:pPr>
      <w:r>
        <w:rPr/>
        <w:t>Boström,</w:t>
      </w:r>
      <w:r>
        <w:rPr>
          <w:spacing w:val="-1"/>
        </w:rPr>
        <w:t> </w:t>
      </w:r>
      <w:r>
        <w:rPr/>
        <w:t>B.</w:t>
        <w:tab/>
        <w:t>Environmental Protection Agency</w:t>
      </w:r>
      <w:r>
        <w:rPr>
          <w:spacing w:val="-9"/>
        </w:rPr>
        <w:t> </w:t>
      </w:r>
      <w:r>
        <w:rPr/>
        <w:t>/</w:t>
      </w:r>
    </w:p>
    <w:p>
      <w:pPr>
        <w:pStyle w:val="BodyText"/>
        <w:tabs>
          <w:tab w:pos="1462" w:val="left" w:leader="none"/>
        </w:tabs>
        <w:ind w:left="159" w:right="811" w:firstLine="1303"/>
      </w:pPr>
      <w:r>
        <w:rPr/>
        <w:t>Swedish Energy Agency Eriksson,</w:t>
      </w:r>
      <w:r>
        <w:rPr>
          <w:spacing w:val="-1"/>
        </w:rPr>
        <w:t> </w:t>
      </w:r>
      <w:r>
        <w:rPr/>
        <w:t>H.</w:t>
        <w:tab/>
        <w:t>National Board of Forestry</w:t>
      </w:r>
      <w:r>
        <w:rPr>
          <w:spacing w:val="-10"/>
        </w:rPr>
        <w:t> </w:t>
      </w:r>
      <w:r>
        <w:rPr>
          <w:spacing w:val="-11"/>
        </w:rPr>
        <w:t>/</w:t>
      </w:r>
    </w:p>
    <w:p>
      <w:pPr>
        <w:pStyle w:val="BodyText"/>
        <w:tabs>
          <w:tab w:pos="1461" w:val="left" w:leader="none"/>
        </w:tabs>
        <w:ind w:left="159" w:right="340" w:firstLine="1303"/>
      </w:pPr>
      <w:r>
        <w:rPr/>
        <w:t>Environmental Protection Agency Jacobsson,</w:t>
      </w:r>
      <w:r>
        <w:rPr>
          <w:spacing w:val="-1"/>
        </w:rPr>
        <w:t> </w:t>
      </w:r>
      <w:r>
        <w:rPr/>
        <w:t>J.</w:t>
        <w:tab/>
        <w:t>Naturvårds-verket</w:t>
      </w:r>
    </w:p>
    <w:p>
      <w:pPr>
        <w:pStyle w:val="BodyText"/>
        <w:spacing w:line="228" w:lineRule="exact"/>
        <w:ind w:left="159"/>
      </w:pPr>
      <w:r>
        <w:rPr/>
        <w:t>Lilliesköld, M. Swedish Environmental</w:t>
      </w:r>
    </w:p>
    <w:p>
      <w:pPr>
        <w:pStyle w:val="BodyText"/>
        <w:ind w:left="1462"/>
      </w:pPr>
      <w:r>
        <w:rPr/>
        <w:t>Protection Agency</w:t>
      </w:r>
    </w:p>
    <w:p>
      <w:pPr>
        <w:pStyle w:val="BodyText"/>
        <w:tabs>
          <w:tab w:pos="1462" w:val="left" w:leader="none"/>
        </w:tabs>
        <w:ind w:left="159"/>
      </w:pPr>
      <w:r>
        <w:rPr/>
        <w:t>Österberg,</w:t>
      </w:r>
      <w:r>
        <w:rPr>
          <w:spacing w:val="-2"/>
        </w:rPr>
        <w:t> </w:t>
      </w:r>
      <w:r>
        <w:rPr/>
        <w:t>K.</w:t>
        <w:tab/>
        <w:t>Swedish University of</w:t>
      </w:r>
      <w:r>
        <w:rPr>
          <w:spacing w:val="-6"/>
        </w:rPr>
        <w:t> </w:t>
      </w:r>
      <w:r>
        <w:rPr/>
        <w:t>Agricultural</w:t>
      </w:r>
    </w:p>
    <w:p>
      <w:pPr>
        <w:pStyle w:val="BodyText"/>
        <w:spacing w:before="1"/>
        <w:ind w:left="1462" w:right="285"/>
      </w:pPr>
      <w:r>
        <w:rPr/>
        <w:t>Sciences / Swedish Environmental Protection Agency</w:t>
      </w:r>
    </w:p>
    <w:p>
      <w:pPr>
        <w:pStyle w:val="BodyText"/>
        <w:tabs>
          <w:tab w:pos="1463" w:val="left" w:leader="none"/>
        </w:tabs>
        <w:spacing w:line="228" w:lineRule="exact"/>
        <w:ind w:left="159"/>
      </w:pPr>
      <w:r>
        <w:rPr/>
        <w:t>Ståhl,</w:t>
      </w:r>
      <w:r>
        <w:rPr>
          <w:spacing w:val="-2"/>
        </w:rPr>
        <w:t> </w:t>
      </w:r>
      <w:r>
        <w:rPr/>
        <w:t>G.</w:t>
        <w:tab/>
        <w:t>Swedish University of</w:t>
      </w:r>
      <w:r>
        <w:rPr>
          <w:spacing w:val="-7"/>
        </w:rPr>
        <w:t> </w:t>
      </w:r>
      <w:r>
        <w:rPr/>
        <w:t>Agricultural</w:t>
      </w:r>
    </w:p>
    <w:p>
      <w:pPr>
        <w:pStyle w:val="BodyText"/>
        <w:ind w:left="1462"/>
      </w:pPr>
      <w:r>
        <w:rPr/>
        <w:t>Sciences</w:t>
      </w:r>
    </w:p>
    <w:p>
      <w:pPr>
        <w:pStyle w:val="BodyText"/>
        <w:spacing w:before="3"/>
      </w:pPr>
    </w:p>
    <w:p>
      <w:pPr>
        <w:spacing w:line="228" w:lineRule="exact" w:before="0"/>
        <w:ind w:left="159" w:right="0" w:firstLine="0"/>
        <w:jc w:val="left"/>
        <w:rPr>
          <w:b/>
          <w:sz w:val="20"/>
        </w:rPr>
      </w:pPr>
      <w:r>
        <w:rPr>
          <w:b/>
          <w:sz w:val="20"/>
        </w:rPr>
        <w:t>Switzerland</w:t>
      </w:r>
    </w:p>
    <w:p>
      <w:pPr>
        <w:pStyle w:val="BodyText"/>
        <w:tabs>
          <w:tab w:pos="1462" w:val="left" w:leader="none"/>
        </w:tabs>
        <w:ind w:left="159" w:right="686"/>
      </w:pPr>
      <w:r>
        <w:rPr/>
        <w:t>Filliger,</w:t>
      </w:r>
      <w:r>
        <w:rPr>
          <w:spacing w:val="-1"/>
        </w:rPr>
        <w:t> </w:t>
      </w:r>
      <w:r>
        <w:rPr/>
        <w:t>P.</w:t>
        <w:tab/>
        <w:t>Government of Switzerland Robledo,</w:t>
      </w:r>
      <w:r>
        <w:rPr>
          <w:spacing w:val="-1"/>
        </w:rPr>
        <w:t> </w:t>
      </w:r>
      <w:r>
        <w:rPr/>
        <w:t>C.</w:t>
        <w:tab/>
      </w:r>
      <w:r>
        <w:rPr>
          <w:spacing w:val="-4"/>
        </w:rPr>
        <w:t>Swiss Federal Laboratories</w:t>
      </w:r>
      <w:r>
        <w:rPr>
          <w:spacing w:val="-13"/>
        </w:rPr>
        <w:t> </w:t>
      </w:r>
      <w:r>
        <w:rPr>
          <w:spacing w:val="-4"/>
        </w:rPr>
        <w:t>For</w:t>
      </w:r>
    </w:p>
    <w:p>
      <w:pPr>
        <w:pStyle w:val="BodyText"/>
        <w:tabs>
          <w:tab w:pos="1461" w:val="left" w:leader="none"/>
        </w:tabs>
        <w:ind w:left="159" w:right="38" w:firstLine="1286"/>
      </w:pPr>
      <w:r>
        <w:rPr>
          <w:spacing w:val="-4"/>
        </w:rPr>
        <w:t>Material Testing </w:t>
      </w:r>
      <w:r>
        <w:rPr>
          <w:spacing w:val="-3"/>
        </w:rPr>
        <w:t>and </w:t>
      </w:r>
      <w:r>
        <w:rPr>
          <w:spacing w:val="-4"/>
        </w:rPr>
        <w:t>Research (EMPA) </w:t>
      </w:r>
      <w:r>
        <w:rPr/>
        <w:t>Romero,</w:t>
      </w:r>
      <w:r>
        <w:rPr>
          <w:spacing w:val="-1"/>
        </w:rPr>
        <w:t> </w:t>
      </w:r>
      <w:r>
        <w:rPr/>
        <w:t>J.</w:t>
        <w:tab/>
        <w:t>Government of</w:t>
      </w:r>
      <w:r>
        <w:rPr>
          <w:spacing w:val="-3"/>
        </w:rPr>
        <w:t> </w:t>
      </w:r>
      <w:r>
        <w:rPr/>
        <w:t>Switzerland</w:t>
      </w:r>
    </w:p>
    <w:p>
      <w:pPr>
        <w:pStyle w:val="BodyText"/>
        <w:spacing w:before="3"/>
      </w:pPr>
    </w:p>
    <w:p>
      <w:pPr>
        <w:spacing w:line="228" w:lineRule="exact" w:before="0"/>
        <w:ind w:left="159" w:right="0" w:firstLine="0"/>
        <w:jc w:val="left"/>
        <w:rPr>
          <w:b/>
          <w:sz w:val="20"/>
        </w:rPr>
      </w:pPr>
      <w:r>
        <w:rPr>
          <w:b/>
          <w:sz w:val="20"/>
        </w:rPr>
        <w:t>Tajikistan</w:t>
      </w:r>
    </w:p>
    <w:p>
      <w:pPr>
        <w:pStyle w:val="BodyText"/>
        <w:tabs>
          <w:tab w:pos="1462" w:val="left" w:leader="none"/>
        </w:tabs>
        <w:spacing w:line="228" w:lineRule="exact"/>
        <w:ind w:left="159"/>
      </w:pPr>
      <w:r>
        <w:rPr/>
        <w:t>Novikov,</w:t>
      </w:r>
      <w:r>
        <w:rPr>
          <w:spacing w:val="-2"/>
        </w:rPr>
        <w:t> </w:t>
      </w:r>
      <w:r>
        <w:rPr/>
        <w:t>V.</w:t>
        <w:tab/>
        <w:t>Tajik Hydrometeo-rological</w:t>
      </w:r>
      <w:r>
        <w:rPr>
          <w:spacing w:val="-4"/>
        </w:rPr>
        <w:t> </w:t>
      </w:r>
      <w:r>
        <w:rPr/>
        <w:t>Service</w:t>
      </w:r>
    </w:p>
    <w:p>
      <w:pPr>
        <w:pStyle w:val="BodyText"/>
        <w:spacing w:before="7"/>
        <w:rPr>
          <w:sz w:val="18"/>
        </w:rPr>
      </w:pPr>
      <w:r>
        <w:rPr/>
        <w:br w:type="column"/>
      </w:r>
      <w:r>
        <w:rPr>
          <w:sz w:val="18"/>
        </w:rPr>
      </w:r>
    </w:p>
    <w:p>
      <w:pPr>
        <w:spacing w:line="228" w:lineRule="exact" w:before="0"/>
        <w:ind w:left="159" w:right="0" w:firstLine="0"/>
        <w:jc w:val="left"/>
        <w:rPr>
          <w:b/>
          <w:sz w:val="20"/>
        </w:rPr>
      </w:pPr>
      <w:r>
        <w:rPr>
          <w:b/>
          <w:sz w:val="20"/>
        </w:rPr>
        <w:t>Turkey</w:t>
      </w:r>
    </w:p>
    <w:p>
      <w:pPr>
        <w:pStyle w:val="BodyText"/>
        <w:tabs>
          <w:tab w:pos="1463" w:val="left" w:leader="none"/>
        </w:tabs>
        <w:spacing w:line="228" w:lineRule="exact"/>
        <w:ind w:left="159"/>
      </w:pPr>
      <w:r>
        <w:rPr/>
        <w:t>Sensoy,</w:t>
      </w:r>
      <w:r>
        <w:rPr>
          <w:spacing w:val="-2"/>
        </w:rPr>
        <w:t> </w:t>
      </w:r>
      <w:r>
        <w:rPr/>
        <w:t>S.</w:t>
        <w:tab/>
        <w:t>Turkish State Meteorological</w:t>
      </w:r>
      <w:r>
        <w:rPr>
          <w:spacing w:val="-5"/>
        </w:rPr>
        <w:t> </w:t>
      </w:r>
      <w:r>
        <w:rPr/>
        <w:t>Service</w:t>
      </w:r>
    </w:p>
    <w:p>
      <w:pPr>
        <w:pStyle w:val="BodyText"/>
        <w:ind w:left="1462"/>
      </w:pPr>
      <w:r>
        <w:rPr/>
        <w:t>(TSMS)</w:t>
      </w:r>
    </w:p>
    <w:p>
      <w:pPr>
        <w:pStyle w:val="BodyText"/>
        <w:spacing w:before="3"/>
      </w:pPr>
    </w:p>
    <w:p>
      <w:pPr>
        <w:spacing w:line="228" w:lineRule="exact" w:before="0"/>
        <w:ind w:left="159" w:right="0" w:firstLine="0"/>
        <w:jc w:val="left"/>
        <w:rPr>
          <w:b/>
          <w:sz w:val="20"/>
        </w:rPr>
      </w:pPr>
      <w:r>
        <w:rPr>
          <w:b/>
          <w:sz w:val="20"/>
        </w:rPr>
        <w:t>Tuvalu</w:t>
      </w:r>
    </w:p>
    <w:p>
      <w:pPr>
        <w:pStyle w:val="BodyText"/>
        <w:tabs>
          <w:tab w:pos="1462" w:val="left" w:leader="none"/>
        </w:tabs>
        <w:spacing w:line="228" w:lineRule="exact"/>
        <w:ind w:left="159"/>
      </w:pPr>
      <w:r>
        <w:rPr/>
        <w:t>Fry,</w:t>
      </w:r>
      <w:r>
        <w:rPr>
          <w:spacing w:val="-1"/>
        </w:rPr>
        <w:t> </w:t>
      </w:r>
      <w:r>
        <w:rPr/>
        <w:t>I.</w:t>
        <w:tab/>
        <w:t>Departmentt of</w:t>
      </w:r>
      <w:r>
        <w:rPr>
          <w:spacing w:val="-3"/>
        </w:rPr>
        <w:t> </w:t>
      </w:r>
      <w:r>
        <w:rPr/>
        <w:t>Environment</w:t>
      </w:r>
    </w:p>
    <w:p>
      <w:pPr>
        <w:pStyle w:val="BodyText"/>
        <w:spacing w:before="6"/>
      </w:pPr>
    </w:p>
    <w:p>
      <w:pPr>
        <w:spacing w:line="227" w:lineRule="exact" w:before="0"/>
        <w:ind w:left="159" w:right="0" w:firstLine="0"/>
        <w:jc w:val="left"/>
        <w:rPr>
          <w:b/>
          <w:sz w:val="20"/>
        </w:rPr>
      </w:pPr>
      <w:r>
        <w:rPr>
          <w:b/>
          <w:sz w:val="20"/>
        </w:rPr>
        <w:t>United Kingdom</w:t>
      </w:r>
    </w:p>
    <w:p>
      <w:pPr>
        <w:pStyle w:val="BodyText"/>
        <w:tabs>
          <w:tab w:pos="1462" w:val="left" w:leader="none"/>
        </w:tabs>
        <w:ind w:left="159" w:right="1464"/>
      </w:pPr>
      <w:r>
        <w:rPr/>
        <w:t>Broadmeadow, M. Forest Research Grace,</w:t>
      </w:r>
      <w:r>
        <w:rPr>
          <w:spacing w:val="-1"/>
        </w:rPr>
        <w:t> </w:t>
      </w:r>
      <w:r>
        <w:rPr/>
        <w:t>J.</w:t>
        <w:tab/>
        <w:t>Edinburgh University Gregory,</w:t>
      </w:r>
      <w:r>
        <w:rPr>
          <w:spacing w:val="-2"/>
        </w:rPr>
        <w:t> </w:t>
      </w:r>
      <w:r>
        <w:rPr/>
        <w:t>S.</w:t>
        <w:tab/>
        <w:t>FC</w:t>
      </w:r>
    </w:p>
    <w:p>
      <w:pPr>
        <w:pStyle w:val="BodyText"/>
        <w:tabs>
          <w:tab w:pos="1461" w:val="left" w:leader="none"/>
        </w:tabs>
        <w:spacing w:line="229" w:lineRule="exact"/>
        <w:ind w:left="159"/>
      </w:pPr>
      <w:r>
        <w:rPr/>
        <w:t>Penman,</w:t>
      </w:r>
      <w:r>
        <w:rPr>
          <w:spacing w:val="-2"/>
        </w:rPr>
        <w:t> </w:t>
      </w:r>
      <w:r>
        <w:rPr/>
        <w:t>J.</w:t>
        <w:tab/>
        <w:t>Department for Environment,</w:t>
      </w:r>
      <w:r>
        <w:rPr>
          <w:spacing w:val="3"/>
        </w:rPr>
        <w:t> </w:t>
      </w:r>
      <w:r>
        <w:rPr/>
        <w:t>Food</w:t>
      </w:r>
    </w:p>
    <w:p>
      <w:pPr>
        <w:pStyle w:val="BodyText"/>
        <w:tabs>
          <w:tab w:pos="1462" w:val="left" w:leader="none"/>
        </w:tabs>
        <w:ind w:left="159" w:right="1100" w:firstLine="1303"/>
      </w:pPr>
      <w:r>
        <w:rPr/>
        <w:t>&amp; Rural Affairs</w:t>
      </w:r>
      <w:r>
        <w:rPr>
          <w:spacing w:val="-14"/>
        </w:rPr>
        <w:t> </w:t>
      </w:r>
      <w:r>
        <w:rPr/>
        <w:t>(DEFRA) Smith,</w:t>
      </w:r>
      <w:r>
        <w:rPr>
          <w:spacing w:val="-1"/>
        </w:rPr>
        <w:t> </w:t>
      </w:r>
      <w:r>
        <w:rPr/>
        <w:t>K.</w:t>
        <w:tab/>
        <w:t>University of</w:t>
      </w:r>
      <w:r>
        <w:rPr>
          <w:spacing w:val="-6"/>
        </w:rPr>
        <w:t> </w:t>
      </w:r>
      <w:r>
        <w:rPr/>
        <w:t>Edinburgh</w:t>
      </w:r>
    </w:p>
    <w:p>
      <w:pPr>
        <w:pStyle w:val="BodyText"/>
        <w:spacing w:before="3"/>
      </w:pPr>
    </w:p>
    <w:p>
      <w:pPr>
        <w:spacing w:line="227" w:lineRule="exact" w:before="0"/>
        <w:ind w:left="159" w:right="0" w:firstLine="0"/>
        <w:jc w:val="left"/>
        <w:rPr>
          <w:b/>
          <w:sz w:val="20"/>
        </w:rPr>
      </w:pPr>
      <w:r>
        <w:rPr>
          <w:b/>
          <w:sz w:val="20"/>
        </w:rPr>
        <w:t>United States</w:t>
      </w:r>
    </w:p>
    <w:p>
      <w:pPr>
        <w:pStyle w:val="BodyText"/>
        <w:tabs>
          <w:tab w:pos="1462" w:val="left" w:leader="none"/>
        </w:tabs>
        <w:spacing w:line="227" w:lineRule="exact"/>
        <w:ind w:left="159"/>
      </w:pPr>
      <w:r>
        <w:rPr/>
        <w:t>Andrasko,</w:t>
      </w:r>
      <w:r>
        <w:rPr>
          <w:spacing w:val="-2"/>
        </w:rPr>
        <w:t> </w:t>
      </w:r>
      <w:r>
        <w:rPr/>
        <w:t>K.</w:t>
        <w:tab/>
        <w:t>USEPA</w:t>
      </w:r>
    </w:p>
    <w:p>
      <w:pPr>
        <w:pStyle w:val="BodyText"/>
        <w:tabs>
          <w:tab w:pos="1460" w:val="left" w:leader="none"/>
        </w:tabs>
        <w:ind w:left="159" w:right="978"/>
      </w:pPr>
      <w:r>
        <w:rPr/>
        <w:t>Birdsey, R.</w:t>
        <w:tab/>
        <w:t>USDA Forest Service Buford,</w:t>
      </w:r>
      <w:r>
        <w:rPr>
          <w:spacing w:val="-1"/>
        </w:rPr>
        <w:t> </w:t>
      </w:r>
      <w:r>
        <w:rPr/>
        <w:t>M.</w:t>
        <w:tab/>
        <w:t>USDA Forest Service</w:t>
      </w:r>
      <w:r>
        <w:rPr>
          <w:spacing w:val="-11"/>
        </w:rPr>
        <w:t> </w:t>
      </w:r>
      <w:r>
        <w:rPr/>
        <w:t>R&amp;D DeAngelo, B.</w:t>
      </w:r>
      <w:r>
        <w:rPr>
          <w:spacing w:val="46"/>
        </w:rPr>
        <w:t> </w:t>
      </w:r>
      <w:r>
        <w:rPr/>
        <w:t>USEPA</w:t>
      </w:r>
    </w:p>
    <w:p>
      <w:pPr>
        <w:pStyle w:val="BodyText"/>
        <w:tabs>
          <w:tab w:pos="1460" w:val="left" w:leader="none"/>
        </w:tabs>
        <w:ind w:left="159" w:right="1460"/>
      </w:pPr>
      <w:r>
        <w:rPr/>
        <w:t>Franzluebbers, </w:t>
      </w:r>
      <w:r>
        <w:rPr>
          <w:spacing w:val="2"/>
        </w:rPr>
        <w:t>A.USDA </w:t>
      </w:r>
      <w:r>
        <w:rPr/>
        <w:t>ARS Goklany,</w:t>
      </w:r>
      <w:r>
        <w:rPr>
          <w:spacing w:val="-3"/>
        </w:rPr>
        <w:t> </w:t>
      </w:r>
      <w:r>
        <w:rPr/>
        <w:t>I.</w:t>
        <w:tab/>
        <w:t>USDA Forest</w:t>
      </w:r>
      <w:r>
        <w:rPr>
          <w:spacing w:val="-15"/>
        </w:rPr>
        <w:t> </w:t>
      </w:r>
      <w:r>
        <w:rPr/>
        <w:t>Service</w:t>
      </w:r>
    </w:p>
    <w:p>
      <w:pPr>
        <w:pStyle w:val="BodyText"/>
        <w:tabs>
          <w:tab w:pos="1462" w:val="left" w:leader="none"/>
        </w:tabs>
        <w:ind w:left="159" w:right="976"/>
      </w:pPr>
      <w:r>
        <w:rPr/>
        <w:t>Higgs,</w:t>
      </w:r>
      <w:r>
        <w:rPr>
          <w:spacing w:val="-2"/>
        </w:rPr>
        <w:t> </w:t>
      </w:r>
      <w:r>
        <w:rPr/>
        <w:t>M.</w:t>
        <w:tab/>
        <w:t>USDA Forest Service </w:t>
      </w:r>
      <w:r>
        <w:rPr>
          <w:spacing w:val="-6"/>
        </w:rPr>
        <w:t>R&amp;D </w:t>
      </w:r>
      <w:r>
        <w:rPr/>
        <w:t>Hohenstein, W</w:t>
      </w:r>
      <w:r>
        <w:rPr>
          <w:spacing w:val="3"/>
        </w:rPr>
        <w:t> </w:t>
      </w:r>
      <w:r>
        <w:rPr/>
        <w:t>USDA</w:t>
      </w:r>
    </w:p>
    <w:p>
      <w:pPr>
        <w:pStyle w:val="BodyText"/>
        <w:tabs>
          <w:tab w:pos="1461" w:val="left" w:leader="none"/>
        </w:tabs>
        <w:ind w:left="159" w:right="2569"/>
      </w:pPr>
      <w:r>
        <w:rPr/>
        <w:t>Hrubovcak, J. USDA Irving,</w:t>
      </w:r>
      <w:r>
        <w:rPr>
          <w:spacing w:val="-2"/>
        </w:rPr>
        <w:t> </w:t>
      </w:r>
      <w:r>
        <w:rPr/>
        <w:t>W.</w:t>
        <w:tab/>
      </w:r>
      <w:r>
        <w:rPr>
          <w:spacing w:val="-4"/>
        </w:rPr>
        <w:t>USEPA</w:t>
      </w:r>
    </w:p>
    <w:p>
      <w:pPr>
        <w:pStyle w:val="BodyText"/>
        <w:tabs>
          <w:tab w:pos="1461" w:val="left" w:leader="none"/>
        </w:tabs>
        <w:ind w:left="159"/>
      </w:pPr>
      <w:r>
        <w:rPr/>
        <w:t>Kruger,</w:t>
      </w:r>
      <w:r>
        <w:rPr>
          <w:spacing w:val="-3"/>
        </w:rPr>
        <w:t> </w:t>
      </w:r>
      <w:r>
        <w:rPr/>
        <w:t>D.</w:t>
        <w:tab/>
        <w:t>USEPA</w:t>
      </w:r>
    </w:p>
    <w:p>
      <w:pPr>
        <w:pStyle w:val="BodyText"/>
        <w:tabs>
          <w:tab w:pos="1461" w:val="left" w:leader="none"/>
        </w:tabs>
        <w:ind w:left="159" w:right="972"/>
      </w:pPr>
      <w:r>
        <w:rPr/>
        <w:t>Lund,</w:t>
      </w:r>
      <w:r>
        <w:rPr>
          <w:spacing w:val="-1"/>
        </w:rPr>
        <w:t> </w:t>
      </w:r>
      <w:r>
        <w:rPr/>
        <w:t>H.</w:t>
        <w:tab/>
        <w:t>Forest Information</w:t>
      </w:r>
      <w:r>
        <w:rPr>
          <w:spacing w:val="-12"/>
        </w:rPr>
        <w:t> </w:t>
      </w:r>
      <w:r>
        <w:rPr/>
        <w:t>Services Norfleet,</w:t>
      </w:r>
      <w:r>
        <w:rPr>
          <w:spacing w:val="-2"/>
        </w:rPr>
        <w:t> </w:t>
      </w:r>
      <w:r>
        <w:rPr/>
        <w:t>L.</w:t>
        <w:tab/>
        <w:t>USDA</w:t>
      </w:r>
      <w:r>
        <w:rPr>
          <w:spacing w:val="-3"/>
        </w:rPr>
        <w:t> </w:t>
      </w:r>
      <w:r>
        <w:rPr/>
        <w:t>NRCS</w:t>
      </w:r>
    </w:p>
    <w:p>
      <w:pPr>
        <w:pStyle w:val="BodyText"/>
        <w:tabs>
          <w:tab w:pos="1461" w:val="left" w:leader="none"/>
        </w:tabs>
        <w:ind w:left="159" w:right="976"/>
      </w:pPr>
      <w:r>
        <w:rPr/>
        <w:t>Sampson,</w:t>
      </w:r>
      <w:r>
        <w:rPr>
          <w:spacing w:val="-2"/>
        </w:rPr>
        <w:t> </w:t>
      </w:r>
      <w:r>
        <w:rPr/>
        <w:t>R.</w:t>
        <w:tab/>
        <w:t>The Sampson Group, Inc. Sperow,</w:t>
      </w:r>
      <w:r>
        <w:rPr>
          <w:spacing w:val="-2"/>
        </w:rPr>
        <w:t> </w:t>
      </w:r>
      <w:r>
        <w:rPr/>
        <w:t>M.</w:t>
        <w:tab/>
        <w:t>West Virginia University Stokes,</w:t>
      </w:r>
      <w:r>
        <w:rPr>
          <w:spacing w:val="-1"/>
        </w:rPr>
        <w:t> </w:t>
      </w:r>
      <w:r>
        <w:rPr/>
        <w:t>B.</w:t>
        <w:tab/>
        <w:t>USDA Forest Service </w:t>
      </w:r>
      <w:r>
        <w:rPr>
          <w:spacing w:val="-6"/>
        </w:rPr>
        <w:t>R&amp;D </w:t>
      </w:r>
      <w:r>
        <w:rPr/>
        <w:t>Wirth, T.</w:t>
        <w:tab/>
        <w:t>USEPA</w:t>
      </w:r>
    </w:p>
    <w:p>
      <w:pPr>
        <w:pStyle w:val="BodyText"/>
        <w:spacing w:before="2"/>
      </w:pPr>
    </w:p>
    <w:p>
      <w:pPr>
        <w:spacing w:line="228" w:lineRule="exact" w:before="1"/>
        <w:ind w:left="159" w:right="0" w:firstLine="0"/>
        <w:jc w:val="left"/>
        <w:rPr>
          <w:b/>
          <w:sz w:val="20"/>
        </w:rPr>
      </w:pPr>
      <w:r>
        <w:rPr>
          <w:b/>
          <w:sz w:val="20"/>
        </w:rPr>
        <w:t>European Comission</w:t>
      </w:r>
      <w:r>
        <w:rPr>
          <w:b/>
          <w:spacing w:val="-7"/>
          <w:sz w:val="20"/>
        </w:rPr>
        <w:t> </w:t>
      </w:r>
      <w:r>
        <w:rPr>
          <w:b/>
          <w:sz w:val="20"/>
        </w:rPr>
        <w:t>(EC)</w:t>
      </w:r>
    </w:p>
    <w:p>
      <w:pPr>
        <w:pStyle w:val="BodyText"/>
        <w:tabs>
          <w:tab w:pos="1461" w:val="left" w:leader="none"/>
        </w:tabs>
        <w:spacing w:line="227" w:lineRule="exact"/>
        <w:ind w:left="159"/>
      </w:pPr>
      <w:r>
        <w:rPr/>
        <w:t>Herold,</w:t>
      </w:r>
      <w:r>
        <w:rPr>
          <w:spacing w:val="-2"/>
        </w:rPr>
        <w:t> </w:t>
      </w:r>
      <w:r>
        <w:rPr/>
        <w:t>A.</w:t>
        <w:tab/>
        <w:t>Öko-Institut</w:t>
      </w:r>
    </w:p>
    <w:p>
      <w:pPr>
        <w:pStyle w:val="BodyText"/>
        <w:tabs>
          <w:tab w:pos="1462" w:val="left" w:leader="none"/>
        </w:tabs>
        <w:spacing w:line="229" w:lineRule="exact"/>
        <w:ind w:left="159"/>
      </w:pPr>
      <w:r>
        <w:rPr/>
        <w:t>Matteucci,</w:t>
      </w:r>
      <w:r>
        <w:rPr>
          <w:spacing w:val="-2"/>
        </w:rPr>
        <w:t> </w:t>
      </w:r>
      <w:r>
        <w:rPr/>
        <w:t>G.</w:t>
        <w:tab/>
        <w:t>Joint Research Centre, Institute</w:t>
      </w:r>
      <w:r>
        <w:rPr>
          <w:spacing w:val="-3"/>
        </w:rPr>
        <w:t> </w:t>
      </w:r>
      <w:r>
        <w:rPr/>
        <w:t>for</w:t>
      </w:r>
    </w:p>
    <w:p>
      <w:pPr>
        <w:pStyle w:val="BodyText"/>
        <w:ind w:left="1462" w:right="652"/>
      </w:pPr>
      <w:r>
        <w:rPr/>
        <w:t>Environment and Sustainability (JRC IES)</w:t>
      </w:r>
    </w:p>
    <w:p>
      <w:pPr>
        <w:pStyle w:val="BodyText"/>
        <w:tabs>
          <w:tab w:pos="1460" w:val="left" w:leader="none"/>
        </w:tabs>
        <w:spacing w:before="1"/>
        <w:ind w:left="159" w:right="2509"/>
      </w:pPr>
      <w:r>
        <w:rPr/>
        <w:t>Seufert,</w:t>
      </w:r>
      <w:r>
        <w:rPr>
          <w:spacing w:val="-3"/>
        </w:rPr>
        <w:t> </w:t>
      </w:r>
      <w:r>
        <w:rPr/>
        <w:t>G.</w:t>
        <w:tab/>
        <w:t>JRC </w:t>
      </w:r>
      <w:r>
        <w:rPr>
          <w:spacing w:val="-5"/>
        </w:rPr>
        <w:t>IES </w:t>
      </w:r>
      <w:r>
        <w:rPr/>
        <w:t>Wenning, M.</w:t>
      </w:r>
    </w:p>
    <w:p>
      <w:pPr>
        <w:pStyle w:val="BodyText"/>
        <w:spacing w:before="3"/>
      </w:pPr>
    </w:p>
    <w:p>
      <w:pPr>
        <w:spacing w:line="228" w:lineRule="exact" w:before="1"/>
        <w:ind w:left="159" w:right="0" w:firstLine="0"/>
        <w:jc w:val="left"/>
        <w:rPr>
          <w:b/>
          <w:sz w:val="20"/>
        </w:rPr>
      </w:pPr>
      <w:r>
        <w:rPr>
          <w:b/>
          <w:sz w:val="20"/>
        </w:rPr>
        <w:t>United Nations Food and Agriculture Organisation</w:t>
      </w:r>
    </w:p>
    <w:p>
      <w:pPr>
        <w:pStyle w:val="BodyText"/>
        <w:ind w:left="159" w:right="2804"/>
        <w:jc w:val="both"/>
      </w:pPr>
      <w:r>
        <w:rPr/>
        <w:t>Friedrich, T. FAO Holmgren, P. FAO Killmann, W. FAO Schoene, D. FAO</w:t>
      </w:r>
    </w:p>
    <w:p>
      <w:pPr>
        <w:pStyle w:val="BodyText"/>
        <w:spacing w:before="11"/>
        <w:rPr>
          <w:sz w:val="19"/>
        </w:rPr>
      </w:pPr>
    </w:p>
    <w:p>
      <w:pPr>
        <w:spacing w:before="0"/>
        <w:ind w:left="159" w:right="843" w:firstLine="0"/>
        <w:jc w:val="left"/>
        <w:rPr>
          <w:b/>
          <w:sz w:val="20"/>
        </w:rPr>
      </w:pPr>
      <w:r>
        <w:rPr>
          <w:b/>
          <w:sz w:val="20"/>
        </w:rPr>
        <w:t>United Nations Framework Convention on Climate Change</w:t>
      </w:r>
    </w:p>
    <w:p>
      <w:pPr>
        <w:pStyle w:val="BodyText"/>
        <w:tabs>
          <w:tab w:pos="1462" w:val="left" w:leader="none"/>
        </w:tabs>
        <w:ind w:left="159" w:right="2406"/>
      </w:pPr>
      <w:r>
        <w:rPr/>
        <w:t>Forner,</w:t>
      </w:r>
      <w:r>
        <w:rPr>
          <w:spacing w:val="-1"/>
        </w:rPr>
        <w:t> </w:t>
      </w:r>
      <w:r>
        <w:rPr/>
        <w:t>C.</w:t>
        <w:tab/>
      </w:r>
      <w:r>
        <w:rPr>
          <w:spacing w:val="-4"/>
        </w:rPr>
        <w:t>UNFCCC </w:t>
      </w:r>
      <w:r>
        <w:rPr/>
        <w:t>Granholm, H.  </w:t>
      </w:r>
      <w:r>
        <w:rPr>
          <w:spacing w:val="32"/>
        </w:rPr>
        <w:t> </w:t>
      </w:r>
      <w:r>
        <w:rPr/>
        <w:t>UNFCCC</w:t>
      </w:r>
    </w:p>
    <w:p>
      <w:pPr>
        <w:pStyle w:val="BodyText"/>
        <w:spacing w:before="11"/>
        <w:rPr>
          <w:sz w:val="19"/>
        </w:rPr>
      </w:pPr>
    </w:p>
    <w:p>
      <w:pPr>
        <w:spacing w:line="228" w:lineRule="exact" w:before="0"/>
        <w:ind w:left="159" w:right="0" w:firstLine="0"/>
        <w:jc w:val="left"/>
        <w:rPr>
          <w:b/>
          <w:sz w:val="20"/>
        </w:rPr>
      </w:pPr>
      <w:r>
        <w:rPr>
          <w:b/>
          <w:sz w:val="20"/>
        </w:rPr>
        <w:t>European Space</w:t>
      </w:r>
      <w:r>
        <w:rPr>
          <w:b/>
          <w:spacing w:val="-10"/>
          <w:sz w:val="20"/>
        </w:rPr>
        <w:t> </w:t>
      </w:r>
      <w:r>
        <w:rPr>
          <w:b/>
          <w:sz w:val="20"/>
        </w:rPr>
        <w:t>Agency</w:t>
      </w:r>
    </w:p>
    <w:p>
      <w:pPr>
        <w:pStyle w:val="BodyText"/>
        <w:tabs>
          <w:tab w:pos="1462" w:val="left" w:leader="none"/>
        </w:tabs>
        <w:spacing w:line="228" w:lineRule="exact"/>
        <w:ind w:left="159"/>
      </w:pPr>
      <w:r>
        <w:rPr/>
        <w:t>Arino,</w:t>
      </w:r>
      <w:r>
        <w:rPr>
          <w:spacing w:val="-1"/>
        </w:rPr>
        <w:t> </w:t>
      </w:r>
      <w:r>
        <w:rPr/>
        <w:t>O.</w:t>
        <w:tab/>
        <w:t>ESA</w:t>
      </w:r>
    </w:p>
    <w:p>
      <w:pPr>
        <w:pStyle w:val="BodyText"/>
        <w:tabs>
          <w:tab w:pos="1462" w:val="left" w:leader="none"/>
        </w:tabs>
        <w:spacing w:before="1"/>
        <w:ind w:left="159" w:right="2080"/>
      </w:pPr>
      <w:r>
        <w:rPr/>
        <w:t>Dees,</w:t>
      </w:r>
      <w:r>
        <w:rPr>
          <w:spacing w:val="-1"/>
        </w:rPr>
        <w:t> </w:t>
      </w:r>
      <w:r>
        <w:rPr/>
        <w:t>M.</w:t>
        <w:tab/>
        <w:t>GAF, </w:t>
      </w:r>
      <w:r>
        <w:rPr>
          <w:spacing w:val="-4"/>
        </w:rPr>
        <w:t>Munich </w:t>
      </w:r>
      <w:r>
        <w:rPr/>
        <w:t>Fernández-Prieto, D. ESA Volden,</w:t>
      </w:r>
      <w:r>
        <w:rPr>
          <w:spacing w:val="-1"/>
        </w:rPr>
        <w:t> </w:t>
      </w:r>
      <w:r>
        <w:rPr/>
        <w:t>E.</w:t>
        <w:tab/>
        <w:t>ESA</w:t>
      </w:r>
    </w:p>
    <w:p>
      <w:pPr>
        <w:pStyle w:val="BodyText"/>
        <w:spacing w:before="3"/>
      </w:pPr>
    </w:p>
    <w:p>
      <w:pPr>
        <w:spacing w:line="227" w:lineRule="exact" w:before="1"/>
        <w:ind w:left="159" w:right="0" w:firstLine="0"/>
        <w:jc w:val="left"/>
        <w:rPr>
          <w:b/>
          <w:sz w:val="20"/>
        </w:rPr>
      </w:pPr>
      <w:r>
        <w:rPr>
          <w:b/>
          <w:sz w:val="20"/>
        </w:rPr>
        <w:t>World Wildlife</w:t>
      </w:r>
      <w:r>
        <w:rPr>
          <w:b/>
          <w:spacing w:val="-15"/>
          <w:sz w:val="20"/>
        </w:rPr>
        <w:t> </w:t>
      </w:r>
      <w:r>
        <w:rPr>
          <w:b/>
          <w:sz w:val="20"/>
        </w:rPr>
        <w:t>Fund</w:t>
      </w:r>
    </w:p>
    <w:p>
      <w:pPr>
        <w:pStyle w:val="BodyText"/>
        <w:spacing w:line="227" w:lineRule="exact"/>
        <w:ind w:left="159"/>
      </w:pPr>
      <w:r>
        <w:rPr/>
        <w:t>Rakonczay, Z. </w:t>
      </w:r>
      <w:r>
        <w:rPr>
          <w:spacing w:val="35"/>
        </w:rPr>
        <w:t> </w:t>
      </w:r>
      <w:r>
        <w:rPr/>
        <w:t>WWF</w:t>
      </w:r>
    </w:p>
    <w:sectPr>
      <w:type w:val="continuous"/>
      <w:pgSz w:w="11900" w:h="16840"/>
      <w:pgMar w:top="1060" w:bottom="280" w:left="1260" w:right="1240"/>
      <w:cols w:num="2" w:equalWidth="0">
        <w:col w:w="4539" w:space="194"/>
        <w:col w:w="466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0"/>
    <w:family w:val="auto"/>
    <w:pitch w:val="variable"/>
  </w:font>
  <w:font w:name="Arial">
    <w:altName w:val="Arial"/>
    <w:charset w:val="0"/>
    <w:family w:val="swiss"/>
    <w:pitch w:val="variable"/>
  </w:font>
  <w:font w:name="TimesNewRomanPS-BoldItalicMT">
    <w:altName w:val="TimesNewRomanPS-BoldItalicMT"/>
    <w:charset w:val="0"/>
    <w:family w:val="roman"/>
    <w:pitch w:val="variable"/>
  </w:font>
  <w:font w:name="Arial Unicode MS">
    <w:altName w:val="Arial Unicode MS"/>
    <w:charset w:val="0"/>
    <w:family w:val="swiss"/>
    <w:pitch w:val="variable"/>
  </w:font>
  <w:font w:name="Courier">
    <w:altName w:val="Courier"/>
    <w:charset w:val="0"/>
    <w:family w:val="roman"/>
    <w:pitch w:val="fixed"/>
  </w:font>
  <w:font w:name="Arial Narrow">
    <w:altName w:val="Arial Narrow"/>
    <w:charset w:val="0"/>
    <w:family w:val="swiss"/>
    <w:pitch w:val="variable"/>
  </w:font>
  <w:font w:name="Wingdings">
    <w:altName w:val="Wingdings"/>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5096"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5507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14.160645pt;margin-top:809.724548pt;width:12.45pt;height:13.15pt;mso-position-horizontal-relative:page;mso-position-vertical-relative:page;z-index:-2455048" type="#_x0000_t202" filled="false" stroked="false">
          <v:textbox inset="0,0,0,0">
            <w:txbxContent>
              <w:p>
                <w:pPr>
                  <w:pStyle w:val="BodyText"/>
                  <w:spacing w:before="10"/>
                  <w:ind w:left="108"/>
                </w:pPr>
                <w:r>
                  <w:rPr/>
                  <w:fldChar w:fldCharType="begin"/>
                </w:r>
                <w:r>
                  <w:rPr>
                    <w:w w:val="99"/>
                  </w:rPr>
                  <w:instrText> PAGE  \* roman </w:instrText>
                </w:r>
                <w:r>
                  <w:rPr/>
                  <w:fldChar w:fldCharType="separate"/>
                </w:r>
                <w:r>
                  <w:rPr/>
                  <w:t>v</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424" from="70.960999pt,807.960022pt" to="524.440999pt,807.960022pt" stroked="true" strokeweight=".75pt" strokecolor="#010101">
          <v:stroke dashstyle="solid"/>
          <w10:wrap type="none"/>
        </v:line>
      </w:pict>
    </w:r>
    <w:r>
      <w:rPr/>
      <w:pict>
        <v:shape style="position:absolute;margin-left:69.960602pt;margin-top:809.724548pt;width:20.65pt;height:13.05pt;mso-position-horizontal-relative:page;mso-position-vertical-relative:page;z-index:-2454400" type="#_x0000_t202" filled="false" stroked="false">
          <v:textbox inset="0,0,0,0">
            <w:txbxContent>
              <w:p>
                <w:pPr>
                  <w:pStyle w:val="BodyText"/>
                  <w:spacing w:before="10"/>
                  <w:ind w:left="20"/>
                </w:pPr>
                <w:r>
                  <w:rPr/>
                  <w:t>2.</w:t>
                </w:r>
                <w:r>
                  <w:rPr/>
                  <w:t>10</w:t>
                </w:r>
              </w:p>
            </w:txbxContent>
          </v:textbox>
          <w10:wrap type="none"/>
        </v:shape>
      </w:pict>
    </w:r>
    <w:r>
      <w:rPr/>
      <w:pict>
        <v:shape style="position:absolute;margin-left:345.580688pt;margin-top:809.724548pt;width:180pt;height:13.05pt;mso-position-horizontal-relative:page;mso-position-vertical-relative:page;z-index:-245437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720" from="71.081001pt,807.960022pt" to="524.681001pt,807.960022pt" stroked="true" strokeweight=".75pt" strokecolor="#010101">
          <v:stroke dashstyle="solid"/>
          <w10:wrap type="none"/>
        </v:line>
      </w:pict>
    </w:r>
    <w:r>
      <w:rPr/>
      <w:pict>
        <v:shape style="position:absolute;margin-left:69.960602pt;margin-top:809.484375pt;width:180pt;height:13.05pt;mso-position-horizontal-relative:page;mso-position-vertical-relative:page;z-index:-244669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484375pt;width:24.65pt;height:13.05pt;mso-position-horizontal-relative:page;mso-position-vertical-relative:page;z-index:-2446672" type="#_x0000_t202" filled="false" stroked="false">
          <v:textbox inset="0,0,0,0">
            <w:txbxContent>
              <w:p>
                <w:pPr>
                  <w:pStyle w:val="BodyText"/>
                  <w:spacing w:before="10"/>
                  <w:ind w:left="20"/>
                </w:pPr>
                <w:r>
                  <w:rPr/>
                  <w:t>3.261</w:t>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648" from="71.081001pt,807.960022pt" to="524.681001pt,807.960022pt" stroked="true" strokeweight=".75pt" strokecolor="#010101">
          <v:stroke dashstyle="solid"/>
          <w10:wrap type="none"/>
        </v:line>
      </w:pict>
    </w:r>
    <w:r>
      <w:rPr/>
      <w:pict>
        <v:shape style="position:absolute;margin-left:69.960602pt;margin-top:809.484375pt;width:25.65pt;height:13.05pt;mso-position-horizontal-relative:page;mso-position-vertical-relative:page;z-index:-244662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262</w:t>
                </w:r>
                <w:r>
                  <w:rPr/>
                  <w:fldChar w:fldCharType="end"/>
                </w:r>
              </w:p>
            </w:txbxContent>
          </v:textbox>
          <w10:wrap type="none"/>
        </v:shape>
      </w:pict>
    </w:r>
    <w:r>
      <w:rPr/>
      <w:pict>
        <v:shape style="position:absolute;margin-left:345.561768pt;margin-top:809.484375pt;width:180pt;height:13.05pt;mso-position-horizontal-relative:page;mso-position-vertical-relative:page;z-index:-244660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576" from="71.081001pt,807.960022pt" to="524.681001pt,807.960022pt" stroked="true" strokeweight=".75pt" strokecolor="#010101">
          <v:stroke dashstyle="solid"/>
          <w10:wrap type="none"/>
        </v:line>
      </w:pict>
    </w:r>
    <w:r>
      <w:rPr/>
      <w:pict>
        <v:shape style="position:absolute;margin-left:69.960602pt;margin-top:809.484375pt;width:180pt;height:13.05pt;mso-position-horizontal-relative:page;mso-position-vertical-relative:page;z-index:-244655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484375pt;width:25.65pt;height:13.05pt;mso-position-horizontal-relative:page;mso-position-vertical-relative:page;z-index:-244652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263</w:t>
                </w:r>
                <w:r>
                  <w:rPr/>
                  <w:fldChar w:fldCharType="end"/>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504" from="69.480003pt,564.119019pt" to="792.360003pt,564.119019pt" stroked="true" strokeweight=".75pt" strokecolor="#010101">
          <v:stroke dashstyle="solid"/>
          <w10:wrap type="none"/>
        </v:line>
      </w:pict>
    </w:r>
    <w:r>
      <w:rPr/>
      <w:pict>
        <v:shape style="position:absolute;margin-left:69.919701pt;margin-top:566.00415pt;width:180pt;height:13.05pt;mso-position-horizontal-relative:page;mso-position-vertical-relative:page;z-index:-244648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66.00415pt;width:24.7pt;height:13.05pt;mso-position-horizontal-relative:page;mso-position-vertical-relative:page;z-index:-2446456" type="#_x0000_t202" filled="false" stroked="false">
          <v:textbox inset="0,0,0,0">
            <w:txbxContent>
              <w:p>
                <w:pPr>
                  <w:pStyle w:val="BodyText"/>
                  <w:spacing w:before="10"/>
                  <w:ind w:left="20"/>
                </w:pPr>
                <w:r>
                  <w:rPr/>
                  <w:t>3.269</w:t>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432" from="71.081001pt,807.960022pt" to="524.681001pt,807.960022pt" stroked="true" strokeweight=".75pt" strokecolor="#010101">
          <v:stroke dashstyle="solid"/>
          <w10:wrap type="none"/>
        </v:line>
      </w:pict>
    </w:r>
    <w:r>
      <w:rPr/>
      <w:pict>
        <v:shape style="position:absolute;margin-left:69.960602pt;margin-top:562.484375pt;width:24.65pt;height:13.05pt;mso-position-horizontal-relative:page;mso-position-vertical-relative:page;z-index:-2446408" type="#_x0000_t202" filled="false" stroked="false">
          <v:textbox inset="0,0,0,0">
            <w:txbxContent>
              <w:p>
                <w:pPr>
                  <w:pStyle w:val="BodyText"/>
                  <w:spacing w:before="10"/>
                  <w:ind w:left="20"/>
                </w:pPr>
                <w:r>
                  <w:rPr/>
                  <w:t>3.270</w:t>
                </w:r>
              </w:p>
            </w:txbxContent>
          </v:textbox>
          <w10:wrap type="none"/>
        </v:shape>
      </w:pict>
    </w:r>
    <w:r>
      <w:rPr/>
      <w:pict>
        <v:shape style="position:absolute;margin-left:345.561768pt;margin-top:562.484375pt;width:180pt;height:13.05pt;mso-position-horizontal-relative:page;mso-position-vertical-relative:page;z-index:-2446384"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312" from="69.480003pt,564.119019pt" to="792.360003pt,564.119019pt" stroked="true" strokeweight=".75pt" strokecolor="#010101">
          <v:stroke dashstyle="solid"/>
          <w10:wrap type="none"/>
        </v:line>
      </w:pict>
    </w:r>
    <w:r>
      <w:rPr/>
      <w:pict>
        <v:shape style="position:absolute;margin-left:69.919701pt;margin-top:566.00415pt;width:179.95pt;height:13.05pt;mso-position-horizontal-relative:page;mso-position-vertical-relative:page;z-index:-244628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66.00415pt;width:24.7pt;height:13.05pt;mso-position-horizontal-relative:page;mso-position-vertical-relative:page;z-index:-2446264" type="#_x0000_t202" filled="false" stroked="false">
          <v:textbox inset="0,0,0,0">
            <w:txbxContent>
              <w:p>
                <w:pPr>
                  <w:pStyle w:val="BodyText"/>
                  <w:spacing w:before="10"/>
                  <w:ind w:left="20"/>
                </w:pPr>
                <w:r>
                  <w:rPr/>
                  <w:t>3.271</w:t>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240" from="71.081001pt,807.960022pt" to="524.681001pt,807.960022pt" stroked="true" strokeweight=".75pt" strokecolor="#010101">
          <v:stroke dashstyle="solid"/>
          <w10:wrap type="none"/>
        </v:line>
      </w:pict>
    </w:r>
    <w:r>
      <w:rPr/>
      <w:pict>
        <v:shape style="position:absolute;margin-left:69.960602pt;margin-top:562.484375pt;width:25.65pt;height:13.3pt;mso-position-horizontal-relative:page;mso-position-vertical-relative:page;z-index:-2446216" type="#_x0000_t202" filled="false" stroked="false">
          <v:textbox inset="0,0,0,0">
            <w:txbxContent>
              <w:p>
                <w:pPr>
                  <w:pStyle w:val="BodyText"/>
                  <w:spacing w:before="15"/>
                  <w:ind w:left="20"/>
                </w:pPr>
                <w:r>
                  <w:rPr/>
                  <w:t>3.</w:t>
                </w:r>
                <w:r>
                  <w:rPr/>
                  <w:t>274</w:t>
                </w:r>
              </w:p>
            </w:txbxContent>
          </v:textbox>
          <w10:wrap type="none"/>
        </v:shape>
      </w:pict>
    </w:r>
    <w:r>
      <w:rPr/>
      <w:pict>
        <v:shape style="position:absolute;margin-left:345.561768pt;margin-top:562.724548pt;width:180pt;height:13.05pt;mso-position-horizontal-relative:page;mso-position-vertical-relative:page;z-index:-244619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072"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604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4602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273</w:t>
                </w:r>
                <w:r>
                  <w:rPr/>
                  <w:fldChar w:fldCharType="end"/>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000"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45976"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274</w:t>
                </w:r>
                <w:r>
                  <w:rPr/>
                  <w:fldChar w:fldCharType="end"/>
                </w:r>
              </w:p>
            </w:txbxContent>
          </v:textbox>
          <w10:wrap type="none"/>
        </v:shape>
      </w:pict>
    </w:r>
    <w:r>
      <w:rPr/>
      <w:pict>
        <v:shape style="position:absolute;margin-left:345.561768pt;margin-top:809.724548pt;width:180pt;height:13.05pt;mso-position-horizontal-relative:page;mso-position-vertical-relative:page;z-index:-244595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832"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45808" type="#_x0000_t202" filled="false" stroked="false">
          <v:textbox inset="0,0,0,0">
            <w:txbxContent>
              <w:p>
                <w:pPr>
                  <w:pStyle w:val="BodyText"/>
                  <w:spacing w:before="10"/>
                  <w:ind w:left="20"/>
                </w:pPr>
                <w:r>
                  <w:rPr/>
                  <w:t>3.280</w:t>
                </w:r>
              </w:p>
            </w:txbxContent>
          </v:textbox>
          <w10:wrap type="none"/>
        </v:shape>
      </w:pict>
    </w:r>
    <w:r>
      <w:rPr/>
      <w:pict>
        <v:shape style="position:absolute;margin-left:345.561768pt;margin-top:809.724548pt;width:180pt;height:13.05pt;mso-position-horizontal-relative:page;mso-position-vertical-relative:page;z-index:-2445784"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256"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5423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920746pt;margin-top:809.724548pt;width:20.7pt;height:13.3pt;mso-position-horizontal-relative:page;mso-position-vertical-relative:page;z-index:-2454208" type="#_x0000_t202" filled="false" stroked="false">
          <v:textbox inset="0,0,0,0">
            <w:txbxContent>
              <w:p>
                <w:pPr>
                  <w:pStyle w:val="BodyText"/>
                  <w:spacing w:before="15"/>
                  <w:ind w:left="20"/>
                </w:pPr>
                <w:r>
                  <w:rPr/>
                  <w:t>2.</w:t>
                </w:r>
                <w:r>
                  <w:rPr/>
                  <w:fldChar w:fldCharType="begin"/>
                </w:r>
                <w:r>
                  <w:rPr/>
                  <w:instrText> PAGE </w:instrText>
                </w:r>
                <w:r>
                  <w:rPr/>
                  <w:fldChar w:fldCharType="separate"/>
                </w:r>
                <w:r>
                  <w:rPr/>
                  <w:t>17</w:t>
                </w:r>
                <w:r>
                  <w:rPr/>
                  <w:fldChar w:fldCharType="end"/>
                </w:r>
              </w:p>
            </w:txbxContent>
          </v:textbox>
          <w10:wrap type="none"/>
        </v:shape>
      </w:pict>
    </w: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760"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573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45712" type="#_x0000_t202" filled="false" stroked="false">
          <v:textbox inset="0,0,0,0">
            <w:txbxContent>
              <w:p>
                <w:pPr>
                  <w:pStyle w:val="BodyText"/>
                  <w:spacing w:before="10"/>
                  <w:ind w:left="20"/>
                </w:pPr>
                <w:r>
                  <w:rPr/>
                  <w:t>3.281</w:t>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688"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4566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282</w:t>
                </w:r>
                <w:r>
                  <w:rPr/>
                  <w:fldChar w:fldCharType="end"/>
                </w:r>
              </w:p>
            </w:txbxContent>
          </v:textbox>
          <w10:wrap type="none"/>
        </v:shape>
      </w:pict>
    </w:r>
    <w:r>
      <w:rPr/>
      <w:pict>
        <v:shape style="position:absolute;margin-left:345.561768pt;margin-top:809.724548pt;width:180pt;height:13.05pt;mso-position-horizontal-relative:page;mso-position-vertical-relative:page;z-index:-244564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61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559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4556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283</w:t>
                </w:r>
                <w:r>
                  <w:rPr/>
                  <w:fldChar w:fldCharType="end"/>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544"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45520" type="#_x0000_t202" filled="false" stroked="false">
          <v:textbox inset="0,0,0,0">
            <w:txbxContent>
              <w:p>
                <w:pPr>
                  <w:pStyle w:val="BodyText"/>
                  <w:spacing w:before="10"/>
                  <w:ind w:left="20"/>
                </w:pPr>
                <w:r>
                  <w:rPr/>
                  <w:t>3.290</w:t>
                </w:r>
              </w:p>
            </w:txbxContent>
          </v:textbox>
          <w10:wrap type="none"/>
        </v:shape>
      </w:pict>
    </w:r>
    <w:r>
      <w:rPr/>
      <w:pict>
        <v:shape style="position:absolute;margin-left:345.561768pt;margin-top:809.724548pt;width:180pt;height:13.05pt;mso-position-horizontal-relative:page;mso-position-vertical-relative:page;z-index:-244549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472"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544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45424" type="#_x0000_t202" filled="false" stroked="false">
          <v:textbox inset="0,0,0,0">
            <w:txbxContent>
              <w:p>
                <w:pPr>
                  <w:pStyle w:val="BodyText"/>
                  <w:spacing w:before="10"/>
                  <w:ind w:left="20"/>
                </w:pPr>
                <w:r>
                  <w:rPr/>
                  <w:t>3.291</w:t>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400" from="70.960999pt,807.960022pt" to="524.440999pt,807.960022pt" stroked="true" strokeweight=".75pt" strokecolor="#010101">
          <v:stroke dashstyle="solid"/>
          <w10:wrap type="none"/>
        </v:line>
      </w:pict>
    </w:r>
    <w:r>
      <w:rPr/>
      <w:pict>
        <v:shape style="position:absolute;margin-left:69.960602pt;margin-top:809.710815pt;width:25.65pt;height:13.05pt;mso-position-horizontal-relative:page;mso-position-vertical-relative:page;z-index:-2445376" type="#_x0000_t202" filled="false" stroked="false">
          <v:textbox inset="0,0,0,0">
            <w:txbxContent>
              <w:p>
                <w:pPr>
                  <w:pStyle w:val="BodyText"/>
                  <w:spacing w:before="11"/>
                  <w:ind w:left="20"/>
                </w:pPr>
                <w:r>
                  <w:rPr/>
                  <w:t>3.</w:t>
                </w:r>
                <w:r>
                  <w:rPr/>
                  <w:fldChar w:fldCharType="begin"/>
                </w:r>
                <w:r>
                  <w:rPr/>
                  <w:instrText> PAGE </w:instrText>
                </w:r>
                <w:r>
                  <w:rPr/>
                  <w:fldChar w:fldCharType="separate"/>
                </w:r>
                <w:r>
                  <w:rPr/>
                  <w:t>298</w:t>
                </w:r>
                <w:r>
                  <w:rPr/>
                  <w:fldChar w:fldCharType="end"/>
                </w:r>
              </w:p>
            </w:txbxContent>
          </v:textbox>
          <w10:wrap type="none"/>
        </v:shape>
      </w:pict>
    </w:r>
    <w:r>
      <w:rPr/>
      <w:pict>
        <v:shape style="position:absolute;margin-left:345.563873pt;margin-top:809.710815pt;width:180pt;height:13.05pt;mso-position-horizontal-relative:page;mso-position-vertical-relative:page;z-index:-2445352" type="#_x0000_t202" filled="false" stroked="false">
          <v:textbox inset="0,0,0,0">
            <w:txbxContent>
              <w:p>
                <w:pPr>
                  <w:pStyle w:val="BodyText"/>
                  <w:spacing w:before="11"/>
                  <w:ind w:left="20"/>
                </w:pPr>
                <w:r>
                  <w:rPr/>
                  <w:t>IPCC Good Practice Guidance for LULUCF</w:t>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328" from="70.960999pt,807.960022pt" to="524.440999pt,807.960022pt" stroked="true" strokeweight=".75pt" strokecolor="#010101">
          <v:stroke dashstyle="solid"/>
          <w10:wrap type="none"/>
        </v:line>
      </w:pict>
    </w:r>
    <w:r>
      <w:rPr/>
      <w:pict>
        <v:shape style="position:absolute;margin-left:69.960602pt;margin-top:809.710815pt;width:180pt;height:13.05pt;mso-position-horizontal-relative:page;mso-position-vertical-relative:page;z-index:-2445304" type="#_x0000_t202" filled="false" stroked="false">
          <v:textbox inset="0,0,0,0">
            <w:txbxContent>
              <w:p>
                <w:pPr>
                  <w:pStyle w:val="BodyText"/>
                  <w:spacing w:before="11"/>
                  <w:ind w:left="20"/>
                </w:pPr>
                <w:r>
                  <w:rPr/>
                  <w:t>IPCC Good Practice Guidance for LULUCF</w:t>
                </w:r>
              </w:p>
            </w:txbxContent>
          </v:textbox>
          <w10:wrap type="none"/>
        </v:shape>
      </w:pict>
    </w:r>
    <w:r>
      <w:rPr/>
      <w:pict>
        <v:shape style="position:absolute;margin-left:500.883636pt;margin-top:809.710815pt;width:25.65pt;height:13.05pt;mso-position-horizontal-relative:page;mso-position-vertical-relative:page;z-index:-2445280" type="#_x0000_t202" filled="false" stroked="false">
          <v:textbox inset="0,0,0,0">
            <w:txbxContent>
              <w:p>
                <w:pPr>
                  <w:pStyle w:val="BodyText"/>
                  <w:spacing w:before="11"/>
                  <w:ind w:left="20"/>
                </w:pPr>
                <w:r>
                  <w:rPr/>
                  <w:t>3.</w:t>
                </w:r>
                <w:r>
                  <w:rPr/>
                  <w:fldChar w:fldCharType="begin"/>
                </w:r>
                <w:r>
                  <w:rPr/>
                  <w:instrText> PAGE </w:instrText>
                </w:r>
                <w:r>
                  <w:rPr/>
                  <w:fldChar w:fldCharType="separate"/>
                </w:r>
                <w:r>
                  <w:rPr/>
                  <w:t>297</w:t>
                </w:r>
                <w:r>
                  <w:rPr/>
                  <w:fldChar w:fldCharType="end"/>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160"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4513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184" from="70.960999pt,807.960022pt" to="524.440999pt,807.960022pt" stroked="true" strokeweight=".75pt" strokecolor="#010101">
          <v:stroke dashstyle="solid"/>
          <w10:wrap type="none"/>
        </v:line>
      </w:pict>
    </w:r>
    <w:r>
      <w:rPr/>
      <w:pict>
        <v:shape style="position:absolute;margin-left:69.960602pt;margin-top:809.724548pt;width:15.6pt;height:13.05pt;mso-position-horizontal-relative:page;mso-position-vertical-relative:page;z-index:-2454160" type="#_x0000_t202" filled="false" stroked="false">
          <v:textbox inset="0,0,0,0">
            <w:txbxContent>
              <w:p>
                <w:pPr>
                  <w:pStyle w:val="BodyText"/>
                  <w:spacing w:before="10"/>
                  <w:ind w:left="20"/>
                </w:pPr>
                <w:r>
                  <w:rPr/>
                  <w:t>2.</w:t>
                </w:r>
                <w:r>
                  <w:rPr/>
                  <w:fldChar w:fldCharType="begin"/>
                </w:r>
                <w:r>
                  <w:rPr/>
                  <w:instrText> PAGE </w:instrText>
                </w:r>
                <w:r>
                  <w:rPr/>
                  <w:fldChar w:fldCharType="separate"/>
                </w:r>
                <w:r>
                  <w:rPr/>
                  <w:t>4</w:t>
                </w:r>
                <w:r>
                  <w:rPr/>
                  <w:fldChar w:fldCharType="end"/>
                </w:r>
              </w:p>
            </w:txbxContent>
          </v:textbox>
          <w10:wrap type="none"/>
        </v:shape>
      </w:pict>
    </w:r>
    <w:r>
      <w:rPr/>
      <w:pict>
        <v:shape style="position:absolute;margin-left:345.596619pt;margin-top:809.724548pt;width:180pt;height:13.05pt;mso-position-horizontal-relative:page;mso-position-vertical-relative:page;z-index:-245413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112"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508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9.259399pt;margin-top:809.724548pt;width:16.25pt;height:13.05pt;mso-position-horizontal-relative:page;mso-position-vertical-relative:page;z-index:-2445064" type="#_x0000_t202" filled="false" stroked="false">
          <v:textbox inset="0,0,0,0">
            <w:txbxContent>
              <w:p>
                <w:pPr>
                  <w:pStyle w:val="BodyText"/>
                  <w:spacing w:before="10"/>
                  <w:ind w:left="20"/>
                </w:pPr>
                <w:r>
                  <w:rPr/>
                  <w:t>B.3</w:t>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040"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4501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896" from="70.960999pt,807.960022pt" to="524.440999pt,807.960022pt" stroked="true" strokeweight=".75pt" strokecolor="#010101">
          <v:stroke dashstyle="solid"/>
          <w10:wrap type="none"/>
        </v:line>
      </w:pict>
    </w:r>
    <w:r>
      <w:rPr/>
      <w:pict>
        <v:shape style="position:absolute;margin-left:69.960602pt;margin-top:809.724548pt;width:20.65pt;height:13.05pt;mso-position-horizontal-relative:page;mso-position-vertical-relative:page;z-index:-2444872"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10</w:t>
                </w:r>
                <w:r>
                  <w:rPr/>
                  <w:fldChar w:fldCharType="end"/>
                </w:r>
              </w:p>
            </w:txbxContent>
          </v:textbox>
          <w10:wrap type="none"/>
        </v:shape>
      </w:pict>
    </w:r>
    <w:r>
      <w:rPr/>
      <w:pict>
        <v:shape style="position:absolute;margin-left:345.583679pt;margin-top:809.724548pt;width:180pt;height:13.05pt;mso-position-horizontal-relative:page;mso-position-vertical-relative:page;z-index:-2444848"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824"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480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898895pt;margin-top:809.724548pt;width:20.65pt;height:13.05pt;mso-position-horizontal-relative:page;mso-position-vertical-relative:page;z-index:-2444776"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11</w:t>
                </w:r>
                <w:r>
                  <w:rPr/>
                  <w:fldChar w:fldCharType="end"/>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464" from="70.919998pt,524.518982pt" to="793.799998pt,524.518982pt" stroked="true" strokeweight=".75pt" strokecolor="#010101">
          <v:stroke dashstyle="solid"/>
          <w10:wrap type="none"/>
        </v:line>
      </w:pict>
    </w:r>
    <w:r>
      <w:rPr/>
      <w:pict>
        <v:shape style="position:absolute;margin-left:69.919701pt;margin-top:528.683960pt;width:20.65pt;height:13.05pt;mso-position-horizontal-relative:page;mso-position-vertical-relative:page;z-index:-2444440"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44</w:t>
                </w:r>
                <w:r>
                  <w:rPr/>
                  <w:fldChar w:fldCharType="end"/>
                </w:r>
              </w:p>
            </w:txbxContent>
          </v:textbox>
          <w10:wrap type="none"/>
        </v:shape>
      </w:pict>
    </w:r>
    <w:r>
      <w:rPr/>
      <w:pict>
        <v:shape style="position:absolute;margin-left:614.959778pt;margin-top:528.683960pt;width:179.95pt;height:13.05pt;mso-position-horizontal-relative:page;mso-position-vertical-relative:page;z-index:-244441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392" from="69.480003pt,524.518982pt" to="792.360003pt,524.518982pt" stroked="true" strokeweight=".75pt" strokecolor="#010101">
          <v:stroke dashstyle="solid"/>
          <w10:wrap type="none"/>
        </v:line>
      </w:pict>
    </w:r>
    <w:r>
      <w:rPr/>
      <w:pict>
        <v:shape style="position:absolute;margin-left:69.919266pt;margin-top:528.682922pt;width:179.95pt;height:13.05pt;mso-position-horizontal-relative:page;mso-position-vertical-relative:page;z-index:-244436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5.27948pt;margin-top:528.682922pt;width:20.65pt;height:13.05pt;mso-position-horizontal-relative:page;mso-position-vertical-relative:page;z-index:-2444344"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45</w:t>
                </w:r>
                <w:r>
                  <w:rPr/>
                  <w:fldChar w:fldCharType="end"/>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44272" from="70.960999pt,807.960022pt" to="524.440999pt,807.960022pt" stroked="true" strokeweight=".75pt" strokecolor="#010101">
          <v:stroke dashstyle="solid"/>
          <w10:wrap type="none"/>
        </v:line>
      </w:pict>
    </w:r>
    <w:r>
      <w:rPr/>
      <w:pict>
        <v:shape style="position:absolute;margin-left:69.600601pt;margin-top:809.483398pt;width:20.65pt;height:13.05pt;mso-position-horizontal-relative:page;mso-position-vertical-relative:page;z-index:-2444248" type="#_x0000_t202" filled="false" stroked="false">
          <v:textbox inset="0,0,0,0">
            <w:txbxContent>
              <w:p>
                <w:pPr>
                  <w:pStyle w:val="BodyText"/>
                  <w:spacing w:before="11"/>
                  <w:ind w:left="20"/>
                </w:pPr>
                <w:r>
                  <w:rPr/>
                  <w:t>4.</w:t>
                </w:r>
                <w:r>
                  <w:rPr/>
                  <w:fldChar w:fldCharType="begin"/>
                </w:r>
                <w:r>
                  <w:rPr/>
                  <w:instrText> PAGE </w:instrText>
                </w:r>
                <w:r>
                  <w:rPr/>
                  <w:fldChar w:fldCharType="separate"/>
                </w:r>
                <w:r>
                  <w:rPr/>
                  <w:t>50</w:t>
                </w:r>
                <w:r>
                  <w:rPr/>
                  <w:fldChar w:fldCharType="end"/>
                </w:r>
              </w:p>
            </w:txbxContent>
          </v:textbox>
          <w10:wrap type="none"/>
        </v:shape>
      </w:pict>
    </w:r>
    <w:r>
      <w:rPr/>
      <w:pict>
        <v:shape style="position:absolute;margin-left:345.219696pt;margin-top:809.484009pt;width:180pt;height:13.05pt;mso-position-horizontal-relative:page;mso-position-vertical-relative:page;z-index:-2444224"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200" from="72.280998pt,807.960022pt" to="525.760998pt,807.960022pt" stroked="true" strokeweight=".75pt" strokecolor="#010101">
          <v:stroke dashstyle="solid"/>
          <w10:wrap type="none"/>
        </v:line>
      </w:pict>
    </w:r>
    <w:r>
      <w:rPr/>
      <w:pict>
        <v:shape style="position:absolute;margin-left:69.600143pt;margin-top:809.484009pt;width:180pt;height:13.05pt;mso-position-horizontal-relative:page;mso-position-vertical-relative:page;z-index:-244417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538422pt;margin-top:809.484009pt;width:19.650pt;height:13.05pt;mso-position-horizontal-relative:page;mso-position-vertical-relative:page;z-index:-2444152" type="#_x0000_t202" filled="false" stroked="false">
          <v:textbox inset="0,0,0,0">
            <w:txbxContent>
              <w:p>
                <w:pPr>
                  <w:pStyle w:val="BodyText"/>
                  <w:spacing w:before="10"/>
                  <w:ind w:left="20"/>
                </w:pPr>
                <w:r>
                  <w:rPr/>
                  <w:t>4.49</w:t>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032" from="72.280998pt,807.23999pt" to="525.760998pt,807.23999pt" stroked="true" strokeweight=".75pt" strokecolor="#010101">
          <v:stroke dashstyle="solid"/>
          <w10:wrap type="none"/>
        </v:line>
      </w:pict>
    </w:r>
    <w:r>
      <w:rPr/>
      <w:pict>
        <v:shape style="position:absolute;margin-left:69.600601pt;margin-top:809.484009pt;width:20.65pt;height:13.05pt;mso-position-horizontal-relative:page;mso-position-vertical-relative:page;z-index:-2444008"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50</w:t>
                </w:r>
                <w:r>
                  <w:rPr/>
                  <w:fldChar w:fldCharType="end"/>
                </w:r>
              </w:p>
            </w:txbxContent>
          </v:textbox>
          <w10:wrap type="none"/>
        </v:shape>
      </w:pict>
    </w:r>
    <w:r>
      <w:rPr/>
      <w:pict>
        <v:shape style="position:absolute;margin-left:345.219696pt;margin-top:809.484009pt;width:180pt;height:13.05pt;mso-position-horizontal-relative:page;mso-position-vertical-relative:page;z-index:-2443984"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960"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393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43912"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101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9.559700pt;margin-top:563.243164pt;width:20.65pt;height:13.05pt;mso-position-horizontal-relative:page;mso-position-vertical-relative:page;z-index:-2453920" type="#_x0000_t202" filled="false" stroked="false">
          <v:textbox inset="0,0,0,0">
            <w:txbxContent>
              <w:p>
                <w:pPr>
                  <w:pStyle w:val="BodyText"/>
                  <w:spacing w:before="10"/>
                  <w:ind w:left="20"/>
                </w:pPr>
                <w:r>
                  <w:rPr/>
                  <w:t>2.</w:t>
                </w:r>
                <w:r>
                  <w:rPr/>
                  <w:fldChar w:fldCharType="begin"/>
                </w:r>
                <w:r>
                  <w:rPr/>
                  <w:instrText> PAGE </w:instrText>
                </w:r>
                <w:r>
                  <w:rPr/>
                  <w:fldChar w:fldCharType="separate"/>
                </w:r>
                <w:r>
                  <w:rPr/>
                  <w:t>16</w:t>
                </w:r>
                <w:r>
                  <w:rPr/>
                  <w:fldChar w:fldCharType="end"/>
                </w:r>
              </w:p>
            </w:txbxContent>
          </v:textbox>
          <w10:wrap type="none"/>
        </v:shape>
      </w:pict>
    </w:r>
    <w:r>
      <w:rPr/>
      <w:pict>
        <v:shape style="position:absolute;margin-left:614.599792pt;margin-top:563.123657pt;width:179.95pt;height:13.05pt;mso-position-horizontal-relative:page;mso-position-vertical-relative:page;z-index:-245389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888"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43864"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100</w:t>
                </w:r>
                <w:r>
                  <w:rPr/>
                  <w:fldChar w:fldCharType="end"/>
                </w:r>
              </w:p>
            </w:txbxContent>
          </v:textbox>
          <w10:wrap type="none"/>
        </v:shape>
      </w:pict>
    </w:r>
    <w:r>
      <w:rPr/>
      <w:pict>
        <v:shape style="position:absolute;margin-left:345.566742pt;margin-top:809.724548pt;width:180pt;height:13.05pt;mso-position-horizontal-relative:page;mso-position-vertical-relative:page;z-index:-244384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81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379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898895pt;margin-top:809.724548pt;width:20.65pt;height:13.05pt;mso-position-horizontal-relative:page;mso-position-vertical-relative:page;z-index:-2443768"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91</w:t>
                </w:r>
                <w:r>
                  <w:rPr/>
                  <w:fldChar w:fldCharType="end"/>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744"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43720" type="#_x0000_t202" filled="false" stroked="false">
          <v:textbox inset="0,0,0,0">
            <w:txbxContent>
              <w:p>
                <w:pPr>
                  <w:pStyle w:val="BodyText"/>
                  <w:spacing w:before="10"/>
                  <w:ind w:left="20"/>
                </w:pPr>
                <w:r>
                  <w:rPr/>
                  <w:t>4.110</w:t>
                </w:r>
              </w:p>
            </w:txbxContent>
          </v:textbox>
          <w10:wrap type="none"/>
        </v:shape>
      </w:pict>
    </w:r>
    <w:r>
      <w:rPr/>
      <w:pict>
        <v:shape style="position:absolute;margin-left:345.566742pt;margin-top:809.724548pt;width:180pt;height:13.05pt;mso-position-horizontal-relative:page;mso-position-vertical-relative:page;z-index:-244369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672"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364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43624" type="#_x0000_t202" filled="false" stroked="false">
          <v:textbox inset="0,0,0,0">
            <w:txbxContent>
              <w:p>
                <w:pPr>
                  <w:pStyle w:val="BodyText"/>
                  <w:spacing w:before="10"/>
                  <w:ind w:left="20"/>
                </w:pPr>
                <w:r>
                  <w:rPr/>
                  <w:t>4.111</w:t>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600"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43576"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112</w:t>
                </w:r>
                <w:r>
                  <w:rPr/>
                  <w:fldChar w:fldCharType="end"/>
                </w:r>
              </w:p>
            </w:txbxContent>
          </v:textbox>
          <w10:wrap type="none"/>
        </v:shape>
      </w:pict>
    </w:r>
    <w:r>
      <w:rPr/>
      <w:pict>
        <v:shape style="position:absolute;margin-left:345.566742pt;margin-top:809.724548pt;width:180pt;height:13.05pt;mso-position-horizontal-relative:page;mso-position-vertical-relative:page;z-index:-244355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528" from="70.960999pt,807.960022pt" to="524.440999pt,807.960022pt" stroked="true" strokeweight=".75pt" strokecolor="#010101">
          <v:stroke dashstyle="solid"/>
          <w10:wrap type="none"/>
        </v:line>
      </w:pict>
    </w:r>
    <w:r>
      <w:rPr/>
      <w:pict>
        <v:shape style="position:absolute;margin-left:69.960144pt;margin-top:809.724548pt;width:180pt;height:13.05pt;mso-position-horizontal-relative:page;mso-position-vertical-relative:page;z-index:-244350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1613pt;margin-top:809.724548pt;width:25.65pt;height:13.05pt;mso-position-horizontal-relative:page;mso-position-vertical-relative:page;z-index:-2443480"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113</w:t>
                </w:r>
                <w:r>
                  <w:rPr/>
                  <w:fldChar w:fldCharType="end"/>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168"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43144" type="#_x0000_t202" filled="false" stroked="false">
          <v:textbox inset="0,0,0,0">
            <w:txbxContent>
              <w:p>
                <w:pPr>
                  <w:pStyle w:val="BodyText"/>
                  <w:spacing w:before="10"/>
                  <w:ind w:left="20"/>
                </w:pPr>
                <w:r>
                  <w:rPr/>
                  <w:t>4.120</w:t>
                </w:r>
              </w:p>
            </w:txbxContent>
          </v:textbox>
          <w10:wrap type="none"/>
        </v:shape>
      </w:pict>
    </w:r>
    <w:r>
      <w:rPr/>
      <w:pict>
        <v:shape style="position:absolute;margin-left:345.566742pt;margin-top:809.724548pt;width:180pt;height:13.05pt;mso-position-horizontal-relative:page;mso-position-vertical-relative:page;z-index:-244312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09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307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898895pt;margin-top:809.724548pt;width:20.65pt;height:13.05pt;mso-position-horizontal-relative:page;mso-position-vertical-relative:page;z-index:-2443048" type="#_x0000_t202" filled="false" stroked="false">
          <v:textbox inset="0,0,0,0">
            <w:txbxContent>
              <w:p>
                <w:pPr>
                  <w:pStyle w:val="BodyText"/>
                  <w:spacing w:before="10"/>
                  <w:ind w:left="20"/>
                </w:pPr>
                <w:r>
                  <w:rPr/>
                  <w:t>4.</w:t>
                </w:r>
                <w:r>
                  <w:rPr/>
                  <w:t>51</w:t>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928" from="70.960999pt,807.960022pt" to="524.440999pt,807.960022pt" stroked="true" strokeweight=".75pt" strokecolor="#010101">
          <v:stroke dashstyle="solid"/>
          <w10:wrap type="none"/>
        </v:line>
      </w:pict>
    </w:r>
    <w:r>
      <w:rPr/>
      <w:pict>
        <v:shape style="position:absolute;margin-left:69.960602pt;margin-top:809.724548pt;width:20.65pt;height:13.05pt;mso-position-horizontal-relative:page;mso-position-vertical-relative:page;z-index:-2442904"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52</w:t>
                </w:r>
                <w:r>
                  <w:rPr/>
                  <w:fldChar w:fldCharType="end"/>
                </w:r>
              </w:p>
            </w:txbxContent>
          </v:textbox>
          <w10:wrap type="none"/>
        </v:shape>
      </w:pict>
    </w:r>
    <w:r>
      <w:rPr/>
      <w:pict>
        <v:shape style="position:absolute;margin-left:345.583679pt;margin-top:809.724548pt;width:180pt;height:13.05pt;mso-position-horizontal-relative:page;mso-position-vertical-relative:page;z-index:-244288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85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283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898895pt;margin-top:809.724548pt;width:20.65pt;height:13.05pt;mso-position-horizontal-relative:page;mso-position-vertical-relative:page;z-index:-2442808" type="#_x0000_t202" filled="false" stroked="false">
          <v:textbox inset="0,0,0,0">
            <w:txbxContent>
              <w:p>
                <w:pPr>
                  <w:pStyle w:val="BodyText"/>
                  <w:spacing w:before="10"/>
                  <w:ind w:left="20"/>
                </w:pPr>
                <w:r>
                  <w:rPr/>
                  <w:t>4.</w:t>
                </w:r>
                <w:r>
                  <w:rPr/>
                  <w:fldChar w:fldCharType="begin"/>
                </w:r>
                <w:r>
                  <w:rPr/>
                  <w:instrText> PAGE </w:instrText>
                </w:r>
                <w:r>
                  <w:rPr/>
                  <w:fldChar w:fldCharType="separate"/>
                </w:r>
                <w:r>
                  <w:rPr/>
                  <w:t>53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872" from="70.960999pt,807.960022pt" to="524.440999pt,807.960022pt" stroked="true" strokeweight=".75pt" strokecolor="#010101">
          <v:stroke dashstyle="solid"/>
          <w10:wrap type="none"/>
        </v:line>
      </w:pict>
    </w:r>
    <w:r>
      <w:rPr/>
      <w:pict>
        <v:shape style="position:absolute;margin-left:69.960602pt;margin-top:562.724548pt;width:179.95pt;height:13.05pt;mso-position-horizontal-relative:page;mso-position-vertical-relative:page;z-index:-245384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920746pt;margin-top:562.9646pt;width:20.65pt;height:13.05pt;mso-position-horizontal-relative:page;mso-position-vertical-relative:page;z-index:-2453824" type="#_x0000_t202" filled="false" stroked="false">
          <v:textbox inset="0,0,0,0">
            <w:txbxContent>
              <w:p>
                <w:pPr>
                  <w:pStyle w:val="BodyText"/>
                  <w:spacing w:before="10"/>
                  <w:ind w:left="20"/>
                </w:pPr>
                <w:r>
                  <w:rPr/>
                  <w:t>2.</w:t>
                </w:r>
                <w:r>
                  <w:rPr/>
                  <w:fldChar w:fldCharType="begin"/>
                </w:r>
                <w:r>
                  <w:rPr/>
                  <w:instrText> PAGE </w:instrText>
                </w:r>
                <w:r>
                  <w:rPr/>
                  <w:fldChar w:fldCharType="separate"/>
                </w:r>
                <w:r>
                  <w:rPr/>
                  <w:t>17</w:t>
                </w:r>
                <w:r>
                  <w:rPr/>
                  <w:fldChar w:fldCharType="end"/>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784" from="70.960999pt,807.960022pt" to="524.440999pt,807.960022pt" stroked="true" strokeweight=".75pt" strokecolor="#010101">
          <v:stroke dashstyle="solid"/>
          <w10:wrap type="none"/>
        </v:line>
      </w:pict>
    </w:r>
    <w:r>
      <w:rPr/>
      <w:pict>
        <v:shape style="position:absolute;margin-left:69.960602pt;margin-top:809.724182pt;width:179.95pt;height:13.05pt;mso-position-horizontal-relative:page;mso-position-vertical-relative:page;z-index:-244276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736" from="70.960999pt,807.960022pt" to="524.440999pt,807.960022pt" stroked="true" strokeweight=".75pt" strokecolor="#010101">
          <v:stroke dashstyle="solid"/>
          <w10:wrap type="none"/>
        </v:line>
      </w:pict>
    </w:r>
    <w:r>
      <w:rPr/>
      <w:pict>
        <v:shape style="position:absolute;margin-left:69.960602pt;margin-top:809.844116pt;width:15.6pt;height:13.15pt;mso-position-horizontal-relative:page;mso-position-vertical-relative:page;z-index:-2442712" type="#_x0000_t202" filled="false" stroked="false">
          <v:textbox inset="0,0,0,0">
            <w:txbxContent>
              <w:p>
                <w:pPr>
                  <w:pStyle w:val="BodyText"/>
                  <w:spacing w:before="10"/>
                  <w:ind w:left="20"/>
                </w:pPr>
                <w:r>
                  <w:rPr/>
                  <w:t>5.</w:t>
                </w:r>
                <w:r>
                  <w:rPr/>
                  <w:t>2</w:t>
                </w:r>
              </w:p>
            </w:txbxContent>
          </v:textbox>
          <w10:wrap type="none"/>
        </v:shape>
      </w:pict>
    </w:r>
    <w:r>
      <w:rPr/>
      <w:pict>
        <v:shape style="position:absolute;margin-left:345.600616pt;margin-top:809.724548pt;width:179.95pt;height:13.05pt;mso-position-horizontal-relative:page;mso-position-vertical-relative:page;z-index:-2442688"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568" from="70.960999pt,807.960022pt" to="524.440999pt,807.960022pt" stroked="true" strokeweight=".75pt" strokecolor="#010101">
          <v:stroke dashstyle="solid"/>
          <w10:wrap type="none"/>
        </v:line>
      </w:pict>
    </w:r>
    <w:r>
      <w:rPr/>
      <w:pict>
        <v:shape style="position:absolute;margin-left:69.960602pt;margin-top:809.670959pt;width:180pt;height:13.1pt;mso-position-horizontal-relative:page;mso-position-vertical-relative:page;z-index:-2442544" type="#_x0000_t202" filled="false" stroked="false">
          <v:textbox inset="0,0,0,0">
            <w:txbxContent>
              <w:p>
                <w:pPr>
                  <w:pStyle w:val="BodyText"/>
                  <w:spacing w:before="12"/>
                  <w:ind w:left="20"/>
                </w:pPr>
                <w:r>
                  <w:rPr/>
                  <w:t>IPCC Good Practice Guidance for LULUCF</w:t>
                </w:r>
              </w:p>
            </w:txbxContent>
          </v:textbox>
          <w10:wrap type="none"/>
        </v:shape>
      </w:pict>
    </w:r>
    <w:r>
      <w:rPr/>
      <w:pict>
        <v:shape style="position:absolute;margin-left:505.920776pt;margin-top:809.911438pt;width:20.65pt;height:13.95pt;mso-position-horizontal-relative:page;mso-position-vertical-relative:page;z-index:-2442520" type="#_x0000_t202" filled="false" stroked="false">
          <v:textbox inset="0,0,0,0">
            <w:txbxContent>
              <w:p>
                <w:pPr>
                  <w:pStyle w:val="BodyText"/>
                  <w:spacing w:before="12"/>
                  <w:ind w:left="20"/>
                </w:pPr>
                <w:r>
                  <w:rPr/>
                  <w:t>5.</w:t>
                </w:r>
                <w:r>
                  <w:rPr/>
                  <w:fldChar w:fldCharType="begin"/>
                </w:r>
                <w:r>
                  <w:rPr/>
                  <w:instrText> PAGE </w:instrText>
                </w:r>
                <w:r>
                  <w:rPr/>
                  <w:fldChar w:fldCharType="separate"/>
                </w:r>
                <w:r>
                  <w:rPr/>
                  <w:t>11</w:t>
                </w:r>
                <w:r>
                  <w:rPr/>
                  <w:fldChar w:fldCharType="end"/>
                </w:r>
              </w:p>
            </w:txbxContent>
          </v:textbox>
          <w10:wrap type="none"/>
        </v:shape>
      </w:pict>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496" from="70.960999pt,807.960022pt" to="524.440999pt,807.960022pt" stroked="true" strokeweight=".75pt" strokecolor="#010101">
          <v:stroke dashstyle="solid"/>
          <w10:wrap type="none"/>
        </v:line>
      </w:pict>
    </w:r>
    <w:r>
      <w:rPr/>
      <w:pict>
        <v:shape style="position:absolute;margin-left:69.960602pt;margin-top:809.844116pt;width:15.6pt;height:13.05pt;mso-position-horizontal-relative:page;mso-position-vertical-relative:page;z-index:-2442472" type="#_x0000_t202" filled="false" stroked="false">
          <v:textbox inset="0,0,0,0">
            <w:txbxContent>
              <w:p>
                <w:pPr>
                  <w:pStyle w:val="BodyText"/>
                  <w:spacing w:before="10"/>
                  <w:ind w:left="20"/>
                </w:pPr>
                <w:r>
                  <w:rPr/>
                  <w:t>5.</w:t>
                </w:r>
                <w:r>
                  <w:rPr/>
                  <w:fldChar w:fldCharType="begin"/>
                </w:r>
                <w:r>
                  <w:rPr/>
                  <w:instrText> PAGE </w:instrText>
                </w:r>
                <w:r>
                  <w:rPr/>
                  <w:fldChar w:fldCharType="separate"/>
                </w:r>
                <w:r>
                  <w:rPr/>
                  <w:t>4</w:t>
                </w:r>
                <w:r>
                  <w:rPr/>
                  <w:fldChar w:fldCharType="end"/>
                </w:r>
              </w:p>
            </w:txbxContent>
          </v:textbox>
          <w10:wrap type="none"/>
        </v:shape>
      </w:pict>
    </w:r>
    <w:r>
      <w:rPr/>
      <w:pict>
        <v:shape style="position:absolute;margin-left:345.600616pt;margin-top:809.724548pt;width:179.95pt;height:13.05pt;mso-position-horizontal-relative:page;mso-position-vertical-relative:page;z-index:-2442448"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232" from="70.960999pt,807.960022pt" to="524.440999pt,807.960022pt" stroked="true" strokeweight=".75pt" strokecolor="#010101">
          <v:stroke dashstyle="solid"/>
          <w10:wrap type="none"/>
        </v:line>
      </w:pict>
    </w:r>
    <w:r>
      <w:rPr/>
      <w:pict>
        <v:shape style="position:absolute;margin-left:69.960602pt;margin-top:809.724548pt;width:20.65pt;height:13.3pt;mso-position-horizontal-relative:page;mso-position-vertical-relative:page;z-index:-2442208" type="#_x0000_t202" filled="false" stroked="false">
          <v:textbox inset="0,0,0,0">
            <w:txbxContent>
              <w:p>
                <w:pPr>
                  <w:pStyle w:val="BodyText"/>
                  <w:spacing w:before="10"/>
                  <w:ind w:left="20"/>
                </w:pPr>
                <w:r>
                  <w:rPr/>
                  <w:t>5.</w:t>
                </w:r>
                <w:r>
                  <w:rPr/>
                  <w:fldChar w:fldCharType="begin"/>
                </w:r>
                <w:r>
                  <w:rPr/>
                  <w:instrText> PAGE </w:instrText>
                </w:r>
                <w:r>
                  <w:rPr/>
                  <w:fldChar w:fldCharType="separate"/>
                </w:r>
                <w:r>
                  <w:rPr/>
                  <w:t>56</w:t>
                </w:r>
                <w:r>
                  <w:rPr/>
                  <w:fldChar w:fldCharType="end"/>
                </w:r>
              </w:p>
            </w:txbxContent>
          </v:textbox>
          <w10:wrap type="none"/>
        </v:shape>
      </w:pict>
    </w:r>
    <w:r>
      <w:rPr/>
      <w:pict>
        <v:shape style="position:absolute;margin-left:345.579712pt;margin-top:809.724548pt;width:180pt;height:13.05pt;mso-position-horizontal-relative:page;mso-position-vertical-relative:page;z-index:-2442184"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160" from="70.960999pt,807.960022pt" to="524.440999pt,807.960022pt" stroked="true" strokeweight=".75pt" strokecolor="#010101">
          <v:stroke dashstyle="solid"/>
          <w10:wrap type="none"/>
        </v:line>
      </w:pict>
    </w:r>
    <w:r>
      <w:rPr/>
      <w:pict>
        <v:shape style="position:absolute;margin-left:69.960602pt;margin-top:809.670959pt;width:180pt;height:13.1pt;mso-position-horizontal-relative:page;mso-position-vertical-relative:page;z-index:-2442136" type="#_x0000_t202" filled="false" stroked="false">
          <v:textbox inset="0,0,0,0">
            <w:txbxContent>
              <w:p>
                <w:pPr>
                  <w:pStyle w:val="BodyText"/>
                  <w:spacing w:before="12"/>
                  <w:ind w:left="20"/>
                </w:pPr>
                <w:r>
                  <w:rPr/>
                  <w:t>IPCC Good Practice Guidance for LULUCF</w:t>
                </w:r>
              </w:p>
            </w:txbxContent>
          </v:textbox>
          <w10:wrap type="none"/>
        </v:shape>
      </w:pict>
    </w:r>
    <w:r>
      <w:rPr/>
      <w:pict>
        <v:shape style="position:absolute;margin-left:505.920776pt;margin-top:809.911438pt;width:20.65pt;height:13.1pt;mso-position-horizontal-relative:page;mso-position-vertical-relative:page;z-index:-2442112" type="#_x0000_t202" filled="false" stroked="false">
          <v:textbox inset="0,0,0,0">
            <w:txbxContent>
              <w:p>
                <w:pPr>
                  <w:pStyle w:val="BodyText"/>
                  <w:spacing w:before="12"/>
                  <w:ind w:left="20"/>
                </w:pPr>
                <w:r>
                  <w:rPr/>
                  <w:t>5.</w:t>
                </w:r>
                <w:r>
                  <w:rPr/>
                  <w:fldChar w:fldCharType="begin"/>
                </w:r>
                <w:r>
                  <w:rPr/>
                  <w:instrText> PAGE </w:instrText>
                </w:r>
                <w:r>
                  <w:rPr/>
                  <w:fldChar w:fldCharType="separate"/>
                </w:r>
                <w:r>
                  <w:rPr/>
                  <w:t>11</w:t>
                </w:r>
                <w:r>
                  <w:rPr/>
                  <w:fldChar w:fldCharType="end"/>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992" from="70.960999pt,807.960022pt" to="524.440999pt,807.960022pt" stroked="true" strokeweight=".75pt" strokecolor="#010101">
          <v:stroke dashstyle="solid"/>
          <w10:wrap type="none"/>
        </v:line>
      </w:pict>
    </w:r>
    <w:r>
      <w:rPr/>
      <w:pict>
        <v:shape style="position:absolute;margin-left:69.960815pt;margin-top:809.724548pt;width:180pt;height:13.05pt;mso-position-horizontal-relative:page;mso-position-vertical-relative:page;z-index:-244196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899109pt;margin-top:809.724548pt;width:20.7pt;height:13.3pt;mso-position-horizontal-relative:page;mso-position-vertical-relative:page;z-index:-2441944" type="#_x0000_t202" filled="false" stroked="false">
          <v:textbox inset="0,0,0,0">
            <w:txbxContent>
              <w:p>
                <w:pPr>
                  <w:pStyle w:val="BodyText"/>
                  <w:spacing w:before="10"/>
                  <w:ind w:left="20"/>
                </w:pPr>
                <w:r>
                  <w:rPr/>
                  <w:t>5.</w:t>
                </w:r>
                <w:r>
                  <w:rPr/>
                  <w:fldChar w:fldCharType="begin"/>
                </w:r>
                <w:r>
                  <w:rPr/>
                  <w:instrText> PAGE </w:instrText>
                </w:r>
                <w:r>
                  <w:rPr/>
                  <w:fldChar w:fldCharType="separate"/>
                </w:r>
                <w:r>
                  <w:rPr/>
                  <w:t>57</w:t>
                </w:r>
                <w:r>
                  <w:rPr/>
                  <w:fldChar w:fldCharType="end"/>
                </w:r>
              </w:p>
            </w:txbxContent>
          </v:textbox>
          <w10:wrap type="none"/>
        </v:shape>
      </w:pict>
    </w: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920" from="70.960999pt,807.960022pt" to="524.440999pt,807.960022pt" stroked="true" strokeweight=".75pt" strokecolor="#010101">
          <v:stroke dashstyle="solid"/>
          <w10:wrap type="none"/>
        </v:line>
      </w:pict>
    </w:r>
    <w:r>
      <w:rPr/>
      <w:pict>
        <v:shape style="position:absolute;margin-left:69.960602pt;margin-top:809.9646pt;width:20.65pt;height:13.05pt;mso-position-horizontal-relative:page;mso-position-vertical-relative:page;z-index:-2441896" type="#_x0000_t202" filled="false" stroked="false">
          <v:textbox inset="0,0,0,0">
            <w:txbxContent>
              <w:p>
                <w:pPr>
                  <w:pStyle w:val="BodyText"/>
                  <w:spacing w:before="10"/>
                  <w:ind w:left="20"/>
                </w:pPr>
                <w:r>
                  <w:rPr/>
                  <w:t>5.</w:t>
                </w:r>
                <w:r>
                  <w:rPr/>
                  <w:fldChar w:fldCharType="begin"/>
                </w:r>
                <w:r>
                  <w:rPr/>
                  <w:instrText> PAGE </w:instrText>
                </w:r>
                <w:r>
                  <w:rPr/>
                  <w:fldChar w:fldCharType="separate"/>
                </w:r>
                <w:r>
                  <w:rPr/>
                  <w:t>22</w:t>
                </w:r>
                <w:r>
                  <w:rPr/>
                  <w:fldChar w:fldCharType="end"/>
                </w:r>
              </w:p>
            </w:txbxContent>
          </v:textbox>
          <w10:wrap type="none"/>
        </v:shape>
      </w:pict>
    </w:r>
    <w:r>
      <w:rPr/>
      <w:pict>
        <v:shape style="position:absolute;margin-left:345.600616pt;margin-top:809.724548pt;width:179.95pt;height:13.05pt;mso-position-horizontal-relative:page;mso-position-vertical-relative:page;z-index:-244187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9.919701pt;margin-top:566.00415pt;width:19.650pt;height:13.05pt;mso-position-horizontal-relative:page;mso-position-vertical-relative:page;z-index:-2441464" type="#_x0000_t202" filled="false" stroked="false">
          <v:textbox inset="0,0,0,0">
            <w:txbxContent>
              <w:p>
                <w:pPr>
                  <w:pStyle w:val="BodyText"/>
                  <w:spacing w:before="10"/>
                  <w:ind w:left="20"/>
                </w:pPr>
                <w:r>
                  <w:rPr/>
                  <w:t>5.76</w:t>
                </w:r>
              </w:p>
            </w:txbxContent>
          </v:textbox>
          <w10:wrap type="none"/>
        </v:shape>
      </w:pict>
    </w:r>
    <w:r>
      <w:rPr/>
      <w:pict>
        <v:shape style="position:absolute;margin-left:614.959778pt;margin-top:566.00415pt;width:179.95pt;height:13.05pt;mso-position-horizontal-relative:page;mso-position-vertical-relative:page;z-index:-244144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704" from="70.960999pt,807.960022pt" to="524.440999pt,807.960022pt" stroked="true" strokeweight=".75pt" strokecolor="#010101">
          <v:stroke dashstyle="solid"/>
          <w10:wrap type="none"/>
        </v:line>
      </w:pict>
    </w:r>
    <w:r>
      <w:rPr/>
      <w:pict>
        <v:shape style="position:absolute;margin-left:69.960602pt;margin-top:809.9646pt;width:20.65pt;height:13.05pt;mso-position-horizontal-relative:page;mso-position-vertical-relative:page;z-index:-2453680" type="#_x0000_t202" filled="false" stroked="false">
          <v:textbox inset="0,0,0,0">
            <w:txbxContent>
              <w:p>
                <w:pPr>
                  <w:pStyle w:val="BodyText"/>
                  <w:spacing w:before="10"/>
                  <w:ind w:left="20"/>
                </w:pPr>
                <w:r>
                  <w:rPr/>
                  <w:t>2.</w:t>
                </w:r>
                <w:r>
                  <w:rPr/>
                  <w:fldChar w:fldCharType="begin"/>
                </w:r>
                <w:r>
                  <w:rPr/>
                  <w:instrText> PAGE </w:instrText>
                </w:r>
                <w:r>
                  <w:rPr/>
                  <w:fldChar w:fldCharType="separate"/>
                </w:r>
                <w:r>
                  <w:rPr/>
                  <w:t>18</w:t>
                </w:r>
                <w:r>
                  <w:rPr/>
                  <w:fldChar w:fldCharType="end"/>
                </w:r>
              </w:p>
            </w:txbxContent>
          </v:textbox>
          <w10:wrap type="none"/>
        </v:shape>
      </w:pict>
    </w:r>
    <w:r>
      <w:rPr/>
      <w:pict>
        <v:shape style="position:absolute;margin-left:345.601593pt;margin-top:809.724548pt;width:180pt;height:13.05pt;mso-position-horizontal-relative:page;mso-position-vertical-relative:page;z-index:-245365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320"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4129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920746pt;margin-top:809.9646pt;width:20.65pt;height:13.05pt;mso-position-horizontal-relative:page;mso-position-vertical-relative:page;z-index:-2441272" type="#_x0000_t202" filled="false" stroked="false">
          <v:textbox inset="0,0,0,0">
            <w:txbxContent>
              <w:p>
                <w:pPr>
                  <w:pStyle w:val="BodyText"/>
                  <w:spacing w:before="10"/>
                  <w:ind w:left="20"/>
                </w:pPr>
                <w:r>
                  <w:rPr/>
                  <w:t>5.</w:t>
                </w:r>
                <w:r>
                  <w:rPr/>
                  <w:fldChar w:fldCharType="begin"/>
                </w:r>
                <w:r>
                  <w:rPr/>
                  <w:instrText> PAGE </w:instrText>
                </w:r>
                <w:r>
                  <w:rPr/>
                  <w:fldChar w:fldCharType="separate"/>
                </w:r>
                <w:r>
                  <w:rPr/>
                  <w:t>77</w:t>
                </w:r>
                <w:r>
                  <w:rPr/>
                  <w:fldChar w:fldCharType="end"/>
                </w:r>
              </w:p>
            </w:txbxContent>
          </v:textbox>
          <w10:wrap type="none"/>
        </v:shape>
      </w:pic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248" from="70.960999pt,807.960022pt" to="524.440999pt,807.960022pt" stroked="true" strokeweight=".75pt" strokecolor="#010101">
          <v:stroke dashstyle="solid"/>
          <w10:wrap type="none"/>
        </v:line>
      </w:pict>
    </w:r>
    <w:r>
      <w:rPr/>
      <w:pict>
        <v:shape style="position:absolute;margin-left:69.960602pt;margin-top:809.9646pt;width:20.65pt;height:13.05pt;mso-position-horizontal-relative:page;mso-position-vertical-relative:page;z-index:-2441224" type="#_x0000_t202" filled="false" stroked="false">
          <v:textbox inset="0,0,0,0">
            <w:txbxContent>
              <w:p>
                <w:pPr>
                  <w:pStyle w:val="BodyText"/>
                  <w:spacing w:before="10"/>
                  <w:ind w:left="20"/>
                </w:pPr>
                <w:r>
                  <w:rPr/>
                  <w:t>5.</w:t>
                </w:r>
                <w:r>
                  <w:rPr/>
                  <w:fldChar w:fldCharType="begin"/>
                </w:r>
                <w:r>
                  <w:rPr/>
                  <w:instrText> PAGE </w:instrText>
                </w:r>
                <w:r>
                  <w:rPr/>
                  <w:fldChar w:fldCharType="separate"/>
                </w:r>
                <w:r>
                  <w:rPr/>
                  <w:t>78</w:t>
                </w:r>
                <w:r>
                  <w:rPr/>
                  <w:fldChar w:fldCharType="end"/>
                </w:r>
              </w:p>
            </w:txbxContent>
          </v:textbox>
          <w10:wrap type="none"/>
        </v:shape>
      </w:pict>
    </w:r>
    <w:r>
      <w:rPr/>
      <w:pict>
        <v:shape style="position:absolute;margin-left:345.600616pt;margin-top:809.724548pt;width:179.95pt;height:13.05pt;mso-position-horizontal-relative:page;mso-position-vertical-relative:page;z-index:-244120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176"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4115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128" from="70.960999pt,807.960022pt" to="524.440999pt,807.960022pt" stroked="true" strokeweight=".75pt" strokecolor="#010101">
          <v:stroke dashstyle="solid"/>
          <w10:wrap type="none"/>
        </v:line>
      </w:pict>
    </w:r>
    <w:r>
      <w:rPr/>
      <w:pict>
        <v:shape style="position:absolute;margin-left:69.960602pt;margin-top:809.844116pt;width:23.8pt;height:13.05pt;mso-position-horizontal-relative:page;mso-position-vertical-relative:page;z-index:-2441104" type="#_x0000_t202" filled="false" stroked="false">
          <v:textbox inset="0,0,0,0">
            <w:txbxContent>
              <w:p>
                <w:pPr>
                  <w:pStyle w:val="BodyText"/>
                  <w:spacing w:before="10"/>
                  <w:ind w:left="20"/>
                </w:pPr>
                <w:r>
                  <w:rPr/>
                  <w:t>AA.2</w:t>
                </w:r>
              </w:p>
            </w:txbxContent>
          </v:textbox>
          <w10:wrap type="none"/>
        </v:shape>
      </w:pict>
    </w:r>
    <w:r>
      <w:rPr/>
      <w:pict>
        <v:shape style="position:absolute;margin-left:345.599609pt;margin-top:809.724548pt;width:179.95pt;height:13.05pt;mso-position-horizontal-relative:page;mso-position-vertical-relative:page;z-index:-244108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008"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4098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1.480591pt;margin-top:809.9646pt;width:23.8pt;height:13.05pt;mso-position-horizontal-relative:page;mso-position-vertical-relative:page;z-index:-2440960" type="#_x0000_t202" filled="false" stroked="false">
          <v:textbox inset="0,0,0,0">
            <w:txbxContent>
              <w:p>
                <w:pPr>
                  <w:pStyle w:val="BodyText"/>
                  <w:spacing w:before="10"/>
                  <w:ind w:left="20"/>
                </w:pPr>
                <w:r>
                  <w:rPr/>
                  <w:t>AA.3</w:t>
                </w:r>
              </w:p>
            </w:txbxContent>
          </v:textbox>
          <w10:wrap type="none"/>
        </v:shape>
      </w:pict>
    </w: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936" from="70.960999pt,807.960022pt" to="524.440999pt,807.960022pt" stroked="true" strokeweight=".75pt" strokecolor="#010101">
          <v:stroke dashstyle="solid"/>
          <w10:wrap type="none"/>
        </v:line>
      </w:pict>
    </w:r>
    <w:r>
      <w:rPr/>
      <w:pict>
        <v:shape style="position:absolute;margin-left:69.960602pt;margin-top:809.844116pt;width:23.8pt;height:13.05pt;mso-position-horizontal-relative:page;mso-position-vertical-relative:page;z-index:-2440912" type="#_x0000_t202" filled="false" stroked="false">
          <v:textbox inset="0,0,0,0">
            <w:txbxContent>
              <w:p>
                <w:pPr>
                  <w:pStyle w:val="BodyText"/>
                  <w:spacing w:before="10"/>
                  <w:ind w:left="20"/>
                </w:pPr>
                <w:r>
                  <w:rPr/>
                  <w:t>AA.4</w:t>
                </w:r>
              </w:p>
            </w:txbxContent>
          </v:textbox>
          <w10:wrap type="none"/>
        </v:shape>
      </w:pict>
    </w:r>
    <w:r>
      <w:rPr/>
      <w:pict>
        <v:shape style="position:absolute;margin-left:350.040771pt;margin-top:809.724548pt;width:174.45pt;height:13.05pt;mso-position-horizontal-relative:page;mso-position-vertical-relative:page;z-index:-2440888" type="#_x0000_t202" filled="false" stroked="false">
          <v:textbox inset="0,0,0,0">
            <w:txbxContent>
              <w:p>
                <w:pPr>
                  <w:pStyle w:val="BodyText"/>
                  <w:spacing w:before="10"/>
                  <w:ind w:left="20"/>
                </w:pPr>
                <w:r>
                  <w:rPr/>
                  <w:t>IPCC Good Practice Guidance for LULUC</w:t>
                </w:r>
              </w:p>
            </w:txbxContent>
          </v:textbox>
          <w10:wrap type="none"/>
        </v:shape>
      </w:pict>
    </w:r>
  </w:p>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816"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4079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768" from="70.960999pt,807.960022pt" to="524.440999pt,807.960022pt" stroked="true" strokeweight=".75pt" strokecolor="#010101">
          <v:stroke dashstyle="solid"/>
          <w10:wrap type="none"/>
        </v:line>
      </w:pict>
    </w:r>
    <w:r>
      <w:rPr/>
      <w:pict>
        <v:shape style="position:absolute;margin-left:69.960602pt;margin-top:809.676147pt;width:22.8pt;height:13.1pt;mso-position-horizontal-relative:page;mso-position-vertical-relative:page;z-index:-2440744" type="#_x0000_t202" filled="false" stroked="false">
          <v:textbox inset="0,0,0,0">
            <w:txbxContent>
              <w:p>
                <w:pPr>
                  <w:pStyle w:val="BodyText"/>
                  <w:spacing w:before="11"/>
                  <w:ind w:left="20"/>
                </w:pPr>
                <w:r>
                  <w:rPr/>
                  <w:t>G.</w:t>
                </w:r>
                <w:r>
                  <w:rPr/>
                  <w:t>22</w:t>
                </w:r>
              </w:p>
            </w:txbxContent>
          </v:textbox>
          <w10:wrap type="none"/>
        </v:shape>
      </w:pict>
    </w:r>
    <w:r>
      <w:rPr/>
      <w:pict>
        <v:shape style="position:absolute;margin-left:345.584442pt;margin-top:809.676147pt;width:180pt;height:13.1pt;mso-position-horizontal-relative:page;mso-position-vertical-relative:page;z-index:-2440720" type="#_x0000_t202" filled="false" stroked="false">
          <v:textbox inset="0,0,0,0">
            <w:txbxContent>
              <w:p>
                <w:pPr>
                  <w:pStyle w:val="BodyText"/>
                  <w:spacing w:before="11"/>
                  <w:ind w:left="20"/>
                </w:pPr>
                <w:r>
                  <w:rPr/>
                  <w:t>IPCC Good Practice Guidance for LULUCF</w:t>
                </w:r>
              </w:p>
            </w:txbxContent>
          </v:textbox>
          <w10:wrap type="none"/>
        </v:shape>
      </w:pict>
    </w: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600" from="70.960999pt,807.960022pt" to="524.440999pt,807.960022pt" stroked="true" strokeweight=".75pt" strokecolor="#010101">
          <v:stroke dashstyle="solid"/>
          <w10:wrap type="none"/>
        </v:line>
      </w:pict>
    </w:r>
    <w:r>
      <w:rPr/>
      <w:pict>
        <v:shape style="position:absolute;margin-left:69.960602pt;margin-top:809.677124pt;width:180.05pt;height:13.1pt;mso-position-horizontal-relative:page;mso-position-vertical-relative:page;z-index:-2440576" type="#_x0000_t202" filled="false" stroked="false">
          <v:textbox inset="0,0,0,0">
            <w:txbxContent>
              <w:p>
                <w:pPr>
                  <w:pStyle w:val="BodyText"/>
                  <w:spacing w:before="11"/>
                  <w:ind w:left="20"/>
                </w:pPr>
                <w:r>
                  <w:rPr/>
                  <w:t>IPCC Good Practice Guidance for LULUCF</w:t>
                </w:r>
              </w:p>
            </w:txbxContent>
          </v:textbox>
          <w10:wrap type="none"/>
        </v:shape>
      </w:pict>
    </w:r>
    <w:r>
      <w:rPr/>
      <w:pict>
        <v:shape style="position:absolute;margin-left:503.75415pt;margin-top:809.677124pt;width:22.8pt;height:13.1pt;mso-position-horizontal-relative:page;mso-position-vertical-relative:page;z-index:-2440552" type="#_x0000_t202" filled="false" stroked="false">
          <v:textbox inset="0,0,0,0">
            <w:txbxContent>
              <w:p>
                <w:pPr>
                  <w:pStyle w:val="BodyText"/>
                  <w:spacing w:before="11"/>
                  <w:ind w:left="20"/>
                </w:pPr>
                <w:r>
                  <w:rPr/>
                  <w:t>G.</w:t>
                </w:r>
                <w:r>
                  <w:rPr/>
                  <w:fldChar w:fldCharType="begin"/>
                </w:r>
                <w:r>
                  <w:rPr/>
                  <w:instrText> PAGE </w:instrText>
                </w:r>
                <w:r>
                  <w:rPr/>
                  <w:fldChar w:fldCharType="separate"/>
                </w:r>
                <w:r>
                  <w:rPr/>
                  <w:t>23</w:t>
                </w:r>
                <w:r>
                  <w:rPr/>
                  <w:fldChar w:fldCharType="end"/>
                </w:r>
              </w:p>
            </w:txbxContent>
          </v:textbox>
          <w10:wrap type="none"/>
        </v:shape>
      </w:pict>
    </w:r>
  </w:p>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528" from="70.960999pt,807.960022pt" to="524.440999pt,807.960022pt" stroked="true" strokeweight=".75pt" strokecolor="#010101">
          <v:stroke dashstyle="solid"/>
          <w10:wrap type="none"/>
        </v:line>
      </w:pict>
    </w:r>
    <w:r>
      <w:rPr/>
      <w:pict>
        <v:shape style="position:absolute;margin-left:69.960602pt;margin-top:809.724548pt;width:17.7pt;height:13.05pt;mso-position-horizontal-relative:page;mso-position-vertical-relative:page;z-index:-2440504" type="#_x0000_t202" filled="false" stroked="false">
          <v:textbox inset="0,0,0,0">
            <w:txbxContent>
              <w:p>
                <w:pPr>
                  <w:pStyle w:val="BodyText"/>
                  <w:spacing w:before="10"/>
                  <w:ind w:left="20"/>
                </w:pPr>
                <w:r>
                  <w:rPr/>
                  <w:t>G.</w:t>
                </w:r>
                <w:r>
                  <w:rPr/>
                  <w:fldChar w:fldCharType="begin"/>
                </w:r>
                <w:r>
                  <w:rPr/>
                  <w:instrText> PAGE </w:instrText>
                </w:r>
                <w:r>
                  <w:rPr/>
                  <w:fldChar w:fldCharType="separate"/>
                </w:r>
                <w:r>
                  <w:rPr/>
                  <w:t>4</w:t>
                </w:r>
                <w:r>
                  <w:rPr/>
                  <w:fldChar w:fldCharType="end"/>
                </w:r>
              </w:p>
            </w:txbxContent>
          </v:textbox>
          <w10:wrap type="none"/>
        </v:shape>
      </w:pict>
    </w:r>
    <w:r>
      <w:rPr/>
      <w:pict>
        <v:shape style="position:absolute;margin-left:345.581696pt;margin-top:809.724548pt;width:180pt;height:13.05pt;mso-position-horizontal-relative:page;mso-position-vertical-relative:page;z-index:-244048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632"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5360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920746pt;margin-top:809.9646pt;width:20.65pt;height:13.05pt;mso-position-horizontal-relative:page;mso-position-vertical-relative:page;z-index:-2453584" type="#_x0000_t202" filled="false" stroked="false">
          <v:textbox inset="0,0,0,0">
            <w:txbxContent>
              <w:p>
                <w:pPr>
                  <w:pStyle w:val="BodyText"/>
                  <w:spacing w:before="10"/>
                  <w:ind w:left="20"/>
                </w:pPr>
                <w:r>
                  <w:rPr/>
                  <w:t>2.</w:t>
                </w:r>
                <w:r>
                  <w:rPr/>
                  <w:fldChar w:fldCharType="begin"/>
                </w:r>
                <w:r>
                  <w:rPr/>
                  <w:instrText> PAGE </w:instrText>
                </w:r>
                <w:r>
                  <w:rPr/>
                  <w:fldChar w:fldCharType="separate"/>
                </w:r>
                <w:r>
                  <w:rPr/>
                  <w:t>19</w:t>
                </w:r>
                <w:r>
                  <w:rPr/>
                  <w:fldChar w:fldCharType="end"/>
                </w:r>
              </w:p>
            </w:txbxContent>
          </v:textbox>
          <w10:wrap type="none"/>
        </v:shape>
      </w:pict>
    </w: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360" from="70.960999pt,807.960022pt" to="524.440999pt,807.960022pt" stroked="true" strokeweight=".75pt" strokecolor="#010101">
          <v:stroke dashstyle="solid"/>
          <w10:wrap type="none"/>
        </v:line>
      </w:pict>
    </w:r>
    <w:r>
      <w:rPr/>
      <w:pict>
        <v:shape style="position:absolute;margin-left:69.960602pt;margin-top:809.9646pt;width:23.3pt;height:13.05pt;mso-position-horizontal-relative:page;mso-position-vertical-relative:page;z-index:-2440336" type="#_x0000_t202" filled="false" stroked="false">
          <v:textbox inset="0,0,0,0">
            <w:txbxContent>
              <w:p>
                <w:pPr>
                  <w:pStyle w:val="BodyText"/>
                  <w:spacing w:before="10"/>
                  <w:ind w:left="20"/>
                </w:pPr>
                <w:r>
                  <w:rPr/>
                  <w:t>LR.</w:t>
                </w:r>
                <w:r>
                  <w:rPr/>
                  <w:fldChar w:fldCharType="begin"/>
                </w:r>
                <w:r>
                  <w:rPr/>
                  <w:instrText> PAGE </w:instrText>
                </w:r>
                <w:r>
                  <w:rPr/>
                  <w:fldChar w:fldCharType="separate"/>
                </w:r>
                <w:r>
                  <w:rPr/>
                  <w:t>2</w:t>
                </w:r>
                <w:r>
                  <w:rPr/>
                  <w:fldChar w:fldCharType="end"/>
                </w:r>
              </w:p>
            </w:txbxContent>
          </v:textbox>
          <w10:wrap type="none"/>
        </v:shape>
      </w:pict>
    </w:r>
    <w:r>
      <w:rPr/>
      <w:pict>
        <v:shape style="position:absolute;margin-left:345.600616pt;margin-top:809.724548pt;width:179.95pt;height:13.05pt;mso-position-horizontal-relative:page;mso-position-vertical-relative:page;z-index:-244031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288"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4026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3.230621pt;margin-top:809.724548pt;width:23.3pt;height:13.05pt;mso-position-horizontal-relative:page;mso-position-vertical-relative:page;z-index:-2440240" type="#_x0000_t202" filled="false" stroked="false">
          <v:textbox inset="0,0,0,0">
            <w:txbxContent>
              <w:p>
                <w:pPr>
                  <w:pStyle w:val="BodyText"/>
                  <w:spacing w:before="10"/>
                  <w:ind w:left="20"/>
                </w:pPr>
                <w:r>
                  <w:rPr/>
                  <w:t>LR.</w:t>
                </w:r>
                <w:r>
                  <w:rPr/>
                  <w:fldChar w:fldCharType="begin"/>
                </w:r>
                <w:r>
                  <w:rPr/>
                  <w:instrText> PAGE </w:instrText>
                </w:r>
                <w:r>
                  <w:rPr/>
                  <w:fldChar w:fldCharType="separate"/>
                </w:r>
                <w:r>
                  <w:rPr/>
                  <w:t>3</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9.919701pt;margin-top:566.003174pt;width:179.95pt;height:13.05pt;mso-position-horizontal-relative:page;mso-position-vertical-relative:page;z-index:-245336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5.279907pt;margin-top:566.003174pt;width:19.650pt;height:13.05pt;mso-position-horizontal-relative:page;mso-position-vertical-relative:page;z-index:-2453344" type="#_x0000_t202" filled="false" stroked="false">
          <v:textbox inset="0,0,0,0">
            <w:txbxContent>
              <w:p>
                <w:pPr>
                  <w:pStyle w:val="BodyText"/>
                  <w:spacing w:before="10"/>
                  <w:ind w:left="20"/>
                </w:pPr>
                <w:r>
                  <w:rPr/>
                  <w:t>2.27</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9.919701pt;margin-top:566.003174pt;width:19.650pt;height:13.05pt;mso-position-horizontal-relative:page;mso-position-vertical-relative:page;z-index:-2453320" type="#_x0000_t202" filled="false" stroked="false">
          <v:textbox inset="0,0,0,0">
            <w:txbxContent>
              <w:p>
                <w:pPr>
                  <w:pStyle w:val="BodyText"/>
                  <w:spacing w:before="10"/>
                  <w:ind w:left="20"/>
                </w:pPr>
                <w:r>
                  <w:rPr/>
                  <w:t>2.28</w:t>
                </w:r>
              </w:p>
            </w:txbxContent>
          </v:textbox>
          <w10:wrap type="none"/>
        </v:shape>
      </w:pict>
    </w:r>
    <w:r>
      <w:rPr/>
      <w:pict>
        <v:shape style="position:absolute;margin-left:614.959778pt;margin-top:566.003174pt;width:179.95pt;height:13.05pt;mso-position-horizontal-relative:page;mso-position-vertical-relative:page;z-index:-245329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9.960602pt;margin-top:809.724548pt;width:180pt;height:13.05pt;mso-position-horizontal-relative:page;mso-position-vertical-relative:page;z-index:-245327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6.018402pt;margin-top:809.724548pt;width:19.650pt;height:13.05pt;mso-position-horizontal-relative:page;mso-position-vertical-relative:page;z-index:-2453248" type="#_x0000_t202" filled="false" stroked="false">
          <v:textbox inset="0,0,0,0">
            <w:txbxContent>
              <w:p>
                <w:pPr>
                  <w:pStyle w:val="BodyText"/>
                  <w:spacing w:before="10"/>
                  <w:ind w:left="20"/>
                </w:pPr>
                <w:r>
                  <w:rPr/>
                  <w:t>2.29</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5024" from="70.960999pt,807.960022pt" to="524.440999pt,807.960022pt" stroked="true" strokeweight=".75pt" strokecolor="#010101">
          <v:stroke dashstyle="solid"/>
          <w10:wrap type="none"/>
        </v:line>
      </w:pict>
    </w:r>
    <w:r>
      <w:rPr/>
      <w:pict>
        <v:shape style="position:absolute;margin-left:69.961594pt;margin-top:809.9646pt;width:9.75pt;height:13.05pt;mso-position-horizontal-relative:page;mso-position-vertical-relative:page;z-index:-2455000" type="#_x0000_t202" filled="false" stroked="false">
          <v:textbox inset="0,0,0,0">
            <w:txbxContent>
              <w:p>
                <w:pPr>
                  <w:pStyle w:val="BodyText"/>
                  <w:spacing w:before="10"/>
                  <w:ind w:left="20"/>
                </w:pPr>
                <w:r>
                  <w:rPr/>
                  <w:t>iv</w:t>
                </w:r>
              </w:p>
            </w:txbxContent>
          </v:textbox>
          <w10:wrap type="none"/>
        </v:shape>
      </w:pict>
    </w:r>
    <w:r>
      <w:rPr/>
      <w:pict>
        <v:shape style="position:absolute;margin-left:345.601593pt;margin-top:809.724548pt;width:179.95pt;height:13.05pt;mso-position-horizontal-relative:page;mso-position-vertical-relative:page;z-index:-245497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224" from="70.960999pt,807.960022pt" to="524.440999pt,807.960022pt" stroked="true" strokeweight=".75pt" strokecolor="#010101">
          <v:stroke dashstyle="solid"/>
          <w10:wrap type="none"/>
        </v:line>
      </w:pict>
    </w:r>
    <w:r>
      <w:rPr/>
      <w:pict>
        <v:shape style="position:absolute;margin-left:69.960602pt;margin-top:809.724182pt;width:179.95pt;height:13.05pt;mso-position-horizontal-relative:page;mso-position-vertical-relative:page;z-index:-245320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080" from="70.960999pt,807.960022pt" to="524.440999pt,807.960022pt" stroked="true" strokeweight=".75pt" strokecolor="#010101">
          <v:stroke dashstyle="solid"/>
          <w10:wrap type="none"/>
        </v:line>
      </w:pict>
    </w:r>
    <w:r>
      <w:rPr/>
      <w:pict>
        <v:shape style="position:absolute;margin-left:69.960602pt;margin-top:809.724548pt;width:20.65pt;height:13.05pt;mso-position-horizontal-relative:page;mso-position-vertical-relative:page;z-index:-2453056"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10</w:t>
                </w:r>
                <w:r>
                  <w:rPr/>
                  <w:fldChar w:fldCharType="end"/>
                </w:r>
              </w:p>
            </w:txbxContent>
          </v:textbox>
          <w10:wrap type="none"/>
        </v:shape>
      </w:pict>
    </w:r>
    <w:r>
      <w:rPr/>
      <w:pict>
        <v:shape style="position:absolute;margin-left:345.579712pt;margin-top:809.724548pt;width:180pt;height:13.05pt;mso-position-horizontal-relative:page;mso-position-vertical-relative:page;z-index:-245303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008"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298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898895pt;margin-top:809.724548pt;width:20.65pt;height:13.05pt;mso-position-horizontal-relative:page;mso-position-vertical-relative:page;z-index:-2452960"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11</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9.919701pt;margin-top:566.003174pt;width:179.95pt;height:13.05pt;mso-position-horizontal-relative:page;mso-position-vertical-relative:page;z-index:-245284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5.398438pt;margin-top:566.003174pt;width:19.5pt;height:13.05pt;mso-position-horizontal-relative:page;mso-position-vertical-relative:page;z-index:-2452816" type="#_x0000_t202" filled="false" stroked="false">
          <v:textbox inset="0,0,0,0">
            <w:txbxContent>
              <w:p>
                <w:pPr>
                  <w:pStyle w:val="BodyText"/>
                  <w:spacing w:before="10"/>
                  <w:ind w:left="20"/>
                </w:pPr>
                <w:r>
                  <w:rPr/>
                  <w:t>3.21</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69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267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3077pt;margin-top:809.724548pt;width:25.65pt;height:13.05pt;mso-position-horizontal-relative:page;mso-position-vertical-relative:page;z-index:-245264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101</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624"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52600"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100</w:t>
                </w:r>
                <w:r>
                  <w:rPr/>
                  <w:fldChar w:fldCharType="end"/>
                </w:r>
              </w:p>
            </w:txbxContent>
          </v:textbox>
          <w10:wrap type="none"/>
        </v:shape>
      </w:pict>
    </w:r>
    <w:r>
      <w:rPr/>
      <w:pict>
        <v:shape style="position:absolute;margin-left:345.561768pt;margin-top:809.724548pt;width:180pt;height:13.05pt;mso-position-horizontal-relative:page;mso-position-vertical-relative:page;z-index:-245257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360"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233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52312"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105</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288"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5226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106</w:t>
                </w:r>
                <w:r>
                  <w:rPr/>
                  <w:fldChar w:fldCharType="end"/>
                </w:r>
              </w:p>
            </w:txbxContent>
          </v:textbox>
          <w10:wrap type="none"/>
        </v:shape>
      </w:pict>
    </w:r>
    <w:r>
      <w:rPr/>
      <w:pict>
        <v:shape style="position:absolute;margin-left:345.561768pt;margin-top:809.724548pt;width:180pt;height:13.05pt;mso-position-horizontal-relative:page;mso-position-vertical-relative:page;z-index:-245224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904"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5488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17.590942pt;margin-top:809.724548pt;width:9pt;height:13.05pt;mso-position-horizontal-relative:page;mso-position-vertical-relative:page;z-index:-2454856" type="#_x0000_t202" filled="false" stroked="false">
          <v:textbox inset="0,0,0,0">
            <w:txbxContent>
              <w:p>
                <w:pPr>
                  <w:pStyle w:val="BodyText"/>
                  <w:spacing w:before="10"/>
                  <w:ind w:left="40"/>
                </w:pPr>
                <w:r>
                  <w:rPr/>
                  <w:fldChar w:fldCharType="begin"/>
                </w:r>
                <w:r>
                  <w:rPr>
                    <w:w w:val="99"/>
                  </w:rPr>
                  <w:instrText> PAGE  \* roman </w:instrText>
                </w:r>
                <w:r>
                  <w:rPr/>
                  <w:fldChar w:fldCharType="separate"/>
                </w:r>
                <w:r>
                  <w:rPr/>
                  <w:t>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216"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52192" type="#_x0000_t202" filled="false" stroked="false">
          <v:textbox inset="0,0,0,0">
            <w:txbxContent>
              <w:p>
                <w:pPr>
                  <w:pStyle w:val="BodyText"/>
                  <w:spacing w:before="10"/>
                  <w:ind w:left="20"/>
                </w:pPr>
                <w:r>
                  <w:rPr/>
                  <w:t>3.110</w:t>
                </w:r>
              </w:p>
            </w:txbxContent>
          </v:textbox>
          <w10:wrap type="none"/>
        </v:shape>
      </w:pict>
    </w:r>
    <w:r>
      <w:rPr/>
      <w:pict>
        <v:shape style="position:absolute;margin-left:345.561768pt;margin-top:809.724548pt;width:180pt;height:13.05pt;mso-position-horizontal-relative:page;mso-position-vertical-relative:page;z-index:-2452168"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144"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212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52096" type="#_x0000_t202" filled="false" stroked="false">
          <v:textbox inset="0,0,0,0">
            <w:txbxContent>
              <w:p>
                <w:pPr>
                  <w:pStyle w:val="BodyText"/>
                  <w:spacing w:before="10"/>
                  <w:ind w:left="20"/>
                </w:pPr>
                <w:r>
                  <w:rPr/>
                  <w:t>3.111</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072"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5204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112</w:t>
                </w:r>
                <w:r>
                  <w:rPr/>
                  <w:fldChar w:fldCharType="end"/>
                </w:r>
              </w:p>
            </w:txbxContent>
          </v:textbox>
          <w10:wrap type="none"/>
        </v:shape>
      </w:pict>
    </w:r>
    <w:r>
      <w:rPr/>
      <w:pict>
        <v:shape style="position:absolute;margin-left:345.561768pt;margin-top:809.724548pt;width:180pt;height:13.05pt;mso-position-horizontal-relative:page;mso-position-vertical-relative:page;z-index:-2452024"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000"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197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51952"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113</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928"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51904" type="#_x0000_t202" filled="false" stroked="false">
          <v:textbox inset="0,0,0,0">
            <w:txbxContent>
              <w:p>
                <w:pPr>
                  <w:pStyle w:val="BodyText"/>
                  <w:spacing w:before="10"/>
                  <w:ind w:left="20"/>
                </w:pPr>
                <w:r>
                  <w:rPr/>
                  <w:t>3.120</w:t>
                </w:r>
              </w:p>
            </w:txbxContent>
          </v:textbox>
          <w10:wrap type="none"/>
        </v:shape>
      </w:pict>
    </w:r>
    <w:r>
      <w:rPr/>
      <w:pict>
        <v:shape style="position:absolute;margin-left:345.561768pt;margin-top:809.724548pt;width:180pt;height:13.05pt;mso-position-horizontal-relative:page;mso-position-vertical-relative:page;z-index:-245188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85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183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51808" type="#_x0000_t202" filled="false" stroked="false">
          <v:textbox inset="0,0,0,0">
            <w:txbxContent>
              <w:p>
                <w:pPr>
                  <w:pStyle w:val="BodyText"/>
                  <w:spacing w:before="10"/>
                  <w:ind w:left="20"/>
                </w:pPr>
                <w:r>
                  <w:rPr/>
                  <w:t>3.121</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784"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51760"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122</w:t>
                </w:r>
                <w:r>
                  <w:rPr/>
                  <w:fldChar w:fldCharType="end"/>
                </w:r>
              </w:p>
            </w:txbxContent>
          </v:textbox>
          <w10:wrap type="none"/>
        </v:shape>
      </w:pict>
    </w:r>
    <w:r>
      <w:rPr/>
      <w:pict>
        <v:shape style="position:absolute;margin-left:345.561768pt;margin-top:809.724548pt;width:180pt;height:13.05pt;mso-position-horizontal-relative:page;mso-position-vertical-relative:page;z-index:-245173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712"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168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5166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123</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640"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51616" type="#_x0000_t202" filled="false" stroked="false">
          <v:textbox inset="0,0,0,0">
            <w:txbxContent>
              <w:p>
                <w:pPr>
                  <w:pStyle w:val="BodyText"/>
                  <w:spacing w:before="10"/>
                  <w:ind w:left="20"/>
                </w:pPr>
                <w:r>
                  <w:rPr/>
                  <w:t>3.130</w:t>
                </w:r>
              </w:p>
            </w:txbxContent>
          </v:textbox>
          <w10:wrap type="none"/>
        </v:shape>
      </w:pict>
    </w:r>
    <w:r>
      <w:rPr/>
      <w:pict>
        <v:shape style="position:absolute;margin-left:345.561768pt;margin-top:809.724548pt;width:180pt;height:13.05pt;mso-position-horizontal-relative:page;mso-position-vertical-relative:page;z-index:-245159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568"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154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51520" type="#_x0000_t202" filled="false" stroked="false">
          <v:textbox inset="0,0,0,0">
            <w:txbxContent>
              <w:p>
                <w:pPr>
                  <w:pStyle w:val="BodyText"/>
                  <w:spacing w:before="10"/>
                  <w:ind w:left="20"/>
                </w:pPr>
                <w:r>
                  <w:rPr/>
                  <w:t>3.131</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496"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51472"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132</w:t>
                </w:r>
                <w:r>
                  <w:rPr/>
                  <w:fldChar w:fldCharType="end"/>
                </w:r>
              </w:p>
            </w:txbxContent>
          </v:textbox>
          <w10:wrap type="none"/>
        </v:shape>
      </w:pict>
    </w:r>
    <w:r>
      <w:rPr/>
      <w:pict>
        <v:shape style="position:absolute;margin-left:345.561768pt;margin-top:809.724548pt;width:180pt;height:13.05pt;mso-position-horizontal-relative:page;mso-position-vertical-relative:page;z-index:-2451448"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424"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140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51376"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133</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256"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51232" type="#_x0000_t202" filled="false" stroked="false">
          <v:textbox inset="0,0,0,0">
            <w:txbxContent>
              <w:p>
                <w:pPr>
                  <w:pStyle w:val="BodyText"/>
                  <w:spacing w:before="10"/>
                  <w:ind w:left="20"/>
                </w:pPr>
                <w:r>
                  <w:rPr/>
                  <w:t>3.140</w:t>
                </w:r>
              </w:p>
            </w:txbxContent>
          </v:textbox>
          <w10:wrap type="none"/>
        </v:shape>
      </w:pict>
    </w:r>
    <w:r>
      <w:rPr/>
      <w:pict>
        <v:shape style="position:absolute;margin-left:345.561768pt;margin-top:809.724548pt;width:180pt;height:13.05pt;mso-position-horizontal-relative:page;mso-position-vertical-relative:page;z-index:-2451208"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184"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116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51136" type="#_x0000_t202" filled="false" stroked="false">
          <v:textbox inset="0,0,0,0">
            <w:txbxContent>
              <w:p>
                <w:pPr>
                  <w:pStyle w:val="BodyText"/>
                  <w:spacing w:before="10"/>
                  <w:ind w:left="20"/>
                </w:pPr>
                <w:r>
                  <w:rPr/>
                  <w:t>3.141</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112" from="70.960999pt,807.960022pt" to="524.440999pt,807.960022pt" stroked="true" strokeweight=".75pt" strokecolor="#010101">
          <v:stroke dashstyle="solid"/>
          <w10:wrap type="none"/>
        </v:line>
      </w:pict>
    </w:r>
    <w:r>
      <w:rPr/>
      <w:pict>
        <v:shape style="position:absolute;margin-left:69.960297pt;margin-top:809.724548pt;width:180pt;height:13.05pt;mso-position-horizontal-relative:page;mso-position-vertical-relative:page;z-index:-245108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1765pt;margin-top:809.724548pt;width:25.65pt;height:13.05pt;mso-position-horizontal-relative:page;mso-position-vertical-relative:page;z-index:-245106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143</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040"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51016"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144</w:t>
                </w:r>
                <w:r>
                  <w:rPr/>
                  <w:fldChar w:fldCharType="end"/>
                </w:r>
              </w:p>
            </w:txbxContent>
          </v:textbox>
          <w10:wrap type="none"/>
        </v:shape>
      </w:pict>
    </w:r>
    <w:r>
      <w:rPr/>
      <w:pict>
        <v:shape style="position:absolute;margin-left:345.561768pt;margin-top:809.724548pt;width:180pt;height:13.05pt;mso-position-horizontal-relative:page;mso-position-vertical-relative:page;z-index:-245099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77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075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5072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301</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704"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50680"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302</w:t>
                </w:r>
                <w:r>
                  <w:rPr/>
                  <w:fldChar w:fldCharType="end"/>
                </w:r>
              </w:p>
            </w:txbxContent>
          </v:textbox>
          <w10:wrap type="none"/>
        </v:shape>
      </w:pict>
    </w:r>
    <w:r>
      <w:rPr/>
      <w:pict>
        <v:shape style="position:absolute;margin-left:345.561768pt;margin-top:809.724548pt;width:180pt;height:13.05pt;mso-position-horizontal-relative:page;mso-position-vertical-relative:page;z-index:-245065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832"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54808"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632"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50608" type="#_x0000_t202" filled="false" stroked="false">
          <v:textbox inset="0,0,0,0">
            <w:txbxContent>
              <w:p>
                <w:pPr>
                  <w:pStyle w:val="BodyText"/>
                  <w:spacing w:before="10"/>
                  <w:ind w:left="20"/>
                </w:pPr>
                <w:r>
                  <w:rPr/>
                  <w:t>3.310</w:t>
                </w:r>
              </w:p>
            </w:txbxContent>
          </v:textbox>
          <w10:wrap type="none"/>
        </v:shape>
      </w:pict>
    </w:r>
    <w:r>
      <w:rPr/>
      <w:pict>
        <v:shape style="position:absolute;margin-left:345.561768pt;margin-top:809.724548pt;width:180pt;height:13.05pt;mso-position-horizontal-relative:page;mso-position-vertical-relative:page;z-index:-2450584"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560"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053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50512" type="#_x0000_t202" filled="false" stroked="false">
          <v:textbox inset="0,0,0,0">
            <w:txbxContent>
              <w:p>
                <w:pPr>
                  <w:pStyle w:val="BodyText"/>
                  <w:spacing w:before="10"/>
                  <w:ind w:left="20"/>
                </w:pPr>
                <w:r>
                  <w:rPr/>
                  <w:t>3.311</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488"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50464" type="#_x0000_t202" filled="false" stroked="false">
          <v:textbox inset="0,0,0,0">
            <w:txbxContent>
              <w:p>
                <w:pPr>
                  <w:pStyle w:val="BodyText"/>
                  <w:spacing w:before="10"/>
                  <w:ind w:left="20"/>
                </w:pPr>
                <w:r>
                  <w:rPr/>
                  <w:t>3.312</w:t>
                </w:r>
              </w:p>
            </w:txbxContent>
          </v:textbox>
          <w10:wrap type="none"/>
        </v:shape>
      </w:pict>
    </w:r>
    <w:r>
      <w:rPr/>
      <w:pict>
        <v:shape style="position:absolute;margin-left:345.561768pt;margin-top:809.724548pt;width:180pt;height:13.05pt;mso-position-horizontal-relative:page;mso-position-vertical-relative:page;z-index:-245044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41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039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50368" type="#_x0000_t202" filled="false" stroked="false">
          <v:textbox inset="0,0,0,0">
            <w:txbxContent>
              <w:p>
                <w:pPr>
                  <w:pStyle w:val="BodyText"/>
                  <w:spacing w:before="10"/>
                  <w:ind w:left="20"/>
                </w:pPr>
                <w:r>
                  <w:rPr/>
                  <w:t>3.</w:t>
                </w:r>
                <w:r>
                  <w:rPr/>
                  <w:t>151</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248"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5022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152</w:t>
                </w:r>
                <w:r>
                  <w:rPr/>
                  <w:fldChar w:fldCharType="end"/>
                </w:r>
              </w:p>
            </w:txbxContent>
          </v:textbox>
          <w10:wrap type="none"/>
        </v:shape>
      </w:pict>
    </w:r>
    <w:r>
      <w:rPr/>
      <w:pict>
        <v:shape style="position:absolute;margin-left:345.561768pt;margin-top:809.724548pt;width:180pt;height:13.05pt;mso-position-horizontal-relative:page;mso-position-vertical-relative:page;z-index:-245020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17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015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5012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153</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104"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50080" type="#_x0000_t202" filled="false" stroked="false">
          <v:textbox inset="0,0,0,0">
            <w:txbxContent>
              <w:p>
                <w:pPr>
                  <w:pStyle w:val="BodyText"/>
                  <w:spacing w:before="10"/>
                  <w:ind w:left="20"/>
                </w:pPr>
                <w:r>
                  <w:rPr/>
                  <w:t>3.160</w:t>
                </w:r>
              </w:p>
            </w:txbxContent>
          </v:textbox>
          <w10:wrap type="none"/>
        </v:shape>
      </w:pict>
    </w:r>
    <w:r>
      <w:rPr/>
      <w:pict>
        <v:shape style="position:absolute;margin-left:345.561768pt;margin-top:809.724548pt;width:180pt;height:13.05pt;mso-position-horizontal-relative:page;mso-position-vertical-relative:page;z-index:-245005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032"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000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49984" type="#_x0000_t202" filled="false" stroked="false">
          <v:textbox inset="0,0,0,0">
            <w:txbxContent>
              <w:p>
                <w:pPr>
                  <w:pStyle w:val="BodyText"/>
                  <w:spacing w:before="10"/>
                  <w:ind w:left="20"/>
                </w:pPr>
                <w:r>
                  <w:rPr/>
                  <w:t>3.161</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960"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49936"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162</w:t>
                </w:r>
                <w:r>
                  <w:rPr/>
                  <w:fldChar w:fldCharType="end"/>
                </w:r>
              </w:p>
            </w:txbxContent>
          </v:textbox>
          <w10:wrap type="none"/>
        </v:shape>
      </w:pict>
    </w:r>
    <w:r>
      <w:rPr/>
      <w:pict>
        <v:shape style="position:absolute;margin-left:345.561768pt;margin-top:809.724548pt;width:180pt;height:13.05pt;mso-position-horizontal-relative:page;mso-position-vertical-relative:page;z-index:-2449912"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888"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986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49840"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163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784" from="70.960999pt,807.960022pt" to="524.440999pt,807.960022pt" stroked="true" strokeweight=".75pt" strokecolor="#010101">
          <v:stroke dashstyle="solid"/>
          <w10:wrap type="none"/>
        </v:line>
      </w:pict>
    </w:r>
    <w:r>
      <w:rPr/>
      <w:pict>
        <v:shape style="position:absolute;margin-left:69.960602pt;margin-top:809.724548pt;width:20.65pt;height:13.05pt;mso-position-horizontal-relative:page;mso-position-vertical-relative:page;z-index:-2454760" type="#_x0000_t202" filled="false" stroked="false">
          <v:textbox inset="0,0,0,0">
            <w:txbxContent>
              <w:p>
                <w:pPr>
                  <w:pStyle w:val="BodyText"/>
                  <w:spacing w:before="10"/>
                  <w:ind w:left="20"/>
                </w:pPr>
                <w:r>
                  <w:rPr/>
                  <w:t>1.</w:t>
                </w:r>
                <w:r>
                  <w:rPr/>
                  <w:t>10</w:t>
                </w:r>
              </w:p>
            </w:txbxContent>
          </v:textbox>
          <w10:wrap type="none"/>
        </v:shape>
      </w:pict>
    </w:r>
    <w:r>
      <w:rPr/>
      <w:pict>
        <v:shape style="position:absolute;margin-left:345.579712pt;margin-top:809.724548pt;width:180pt;height:13.05pt;mso-position-horizontal-relative:page;mso-position-vertical-relative:page;z-index:-245473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816"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49792" type="#_x0000_t202" filled="false" stroked="false">
          <v:textbox inset="0,0,0,0">
            <w:txbxContent>
              <w:p>
                <w:pPr>
                  <w:pStyle w:val="BodyText"/>
                  <w:spacing w:before="10"/>
                  <w:ind w:left="20"/>
                </w:pPr>
                <w:r>
                  <w:rPr/>
                  <w:t>3.170</w:t>
                </w:r>
              </w:p>
            </w:txbxContent>
          </v:textbox>
          <w10:wrap type="none"/>
        </v:shape>
      </w:pict>
    </w:r>
    <w:r>
      <w:rPr/>
      <w:pict>
        <v:shape style="position:absolute;margin-left:345.561768pt;margin-top:809.724548pt;width:180pt;height:13.05pt;mso-position-horizontal-relative:page;mso-position-vertical-relative:page;z-index:-2449768"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744"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972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49696" type="#_x0000_t202" filled="false" stroked="false">
          <v:textbox inset="0,0,0,0">
            <w:txbxContent>
              <w:p>
                <w:pPr>
                  <w:pStyle w:val="BodyText"/>
                  <w:spacing w:before="10"/>
                  <w:ind w:left="20"/>
                </w:pPr>
                <w:r>
                  <w:rPr/>
                  <w:t>3.171</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672"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4964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172</w:t>
                </w:r>
                <w:r>
                  <w:rPr/>
                  <w:fldChar w:fldCharType="end"/>
                </w:r>
              </w:p>
            </w:txbxContent>
          </v:textbox>
          <w10:wrap type="none"/>
        </v:shape>
      </w:pict>
    </w:r>
    <w:r>
      <w:rPr/>
      <w:pict>
        <v:shape style="position:absolute;margin-left:345.561768pt;margin-top:809.724548pt;width:180pt;height:13.05pt;mso-position-horizontal-relative:page;mso-position-vertical-relative:page;z-index:-2449624"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600"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957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49552"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173</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528" from="70.960999pt,807.960022pt" to="524.440999pt,807.960022pt" stroked="true" strokeweight=".75pt" strokecolor="#010101">
          <v:stroke dashstyle="solid"/>
          <w10:wrap type="none"/>
        </v:line>
      </w:pict>
    </w:r>
    <w:r>
      <w:rPr/>
      <w:pict>
        <v:shape style="position:absolute;margin-left:69.960602pt;margin-top:809.724548pt;width:24.65pt;height:13.05pt;mso-position-horizontal-relative:page;mso-position-vertical-relative:page;z-index:-2449504" type="#_x0000_t202" filled="false" stroked="false">
          <v:textbox inset="0,0,0,0">
            <w:txbxContent>
              <w:p>
                <w:pPr>
                  <w:pStyle w:val="BodyText"/>
                  <w:spacing w:before="10"/>
                  <w:ind w:left="20"/>
                </w:pPr>
                <w:r>
                  <w:rPr/>
                  <w:t>3.180</w:t>
                </w:r>
              </w:p>
            </w:txbxContent>
          </v:textbox>
          <w10:wrap type="none"/>
        </v:shape>
      </w:pict>
    </w:r>
    <w:r>
      <w:rPr/>
      <w:pict>
        <v:shape style="position:absolute;margin-left:345.561768pt;margin-top:809.724548pt;width:180pt;height:13.05pt;mso-position-horizontal-relative:page;mso-position-vertical-relative:page;z-index:-2449480"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45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943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4.65pt;height:13.05pt;mso-position-horizontal-relative:page;mso-position-vertical-relative:page;z-index:-2449408" type="#_x0000_t202" filled="false" stroked="false">
          <v:textbox inset="0,0,0,0">
            <w:txbxContent>
              <w:p>
                <w:pPr>
                  <w:pStyle w:val="BodyText"/>
                  <w:spacing w:before="10"/>
                  <w:ind w:left="20"/>
                </w:pPr>
                <w:r>
                  <w:rPr/>
                  <w:t>3.181</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384" from="70.960999pt,807.960022pt" to="524.440999pt,807.960022pt" stroked="true" strokeweight=".75pt" strokecolor="#010101">
          <v:stroke dashstyle="solid"/>
          <w10:wrap type="none"/>
        </v:line>
      </w:pict>
    </w:r>
    <w:r>
      <w:rPr/>
      <w:pict>
        <v:shape style="position:absolute;margin-left:69.960602pt;margin-top:809.724548pt;width:25.65pt;height:13.05pt;mso-position-horizontal-relative:page;mso-position-vertical-relative:page;z-index:-2449360"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182</w:t>
                </w:r>
                <w:r>
                  <w:rPr/>
                  <w:fldChar w:fldCharType="end"/>
                </w:r>
              </w:p>
            </w:txbxContent>
          </v:textbox>
          <w10:wrap type="none"/>
        </v:shape>
      </w:pict>
    </w:r>
    <w:r>
      <w:rPr/>
      <w:pict>
        <v:shape style="position:absolute;margin-left:345.561768pt;margin-top:809.724548pt;width:180pt;height:13.05pt;mso-position-horizontal-relative:page;mso-position-vertical-relative:page;z-index:-244933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312"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928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4926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183</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240"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4921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724548pt;width:25.65pt;height:13.05pt;mso-position-horizontal-relative:page;mso-position-vertical-relative:page;z-index:-2449192"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187</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616" from="70.960999pt,807.960022pt" to="524.440999pt,807.960022pt" stroked="true" strokeweight=".75pt" strokecolor="#010101">
          <v:stroke dashstyle="solid"/>
          <w10:wrap type="none"/>
        </v:line>
      </w:pict>
    </w:r>
    <w:r>
      <w:rPr/>
      <w:pict>
        <v:shape style="position:absolute;margin-left:69.960602pt;margin-top:809.724548pt;width:180pt;height:13.05pt;mso-position-horizontal-relative:page;mso-position-vertical-relative:page;z-index:-245459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5.898895pt;margin-top:809.724548pt;width:20.65pt;height:13.05pt;mso-position-horizontal-relative:page;mso-position-vertical-relative:page;z-index:-2454568" type="#_x0000_t202" filled="false" stroked="false">
          <v:textbox inset="0,0,0,0">
            <w:txbxContent>
              <w:p>
                <w:pPr>
                  <w:pStyle w:val="BodyText"/>
                  <w:spacing w:before="10"/>
                  <w:ind w:left="20"/>
                </w:pPr>
                <w:r>
                  <w:rPr/>
                  <w:t>1.</w:t>
                </w:r>
                <w:r>
                  <w:rPr/>
                  <w:fldChar w:fldCharType="begin"/>
                </w:r>
                <w:r>
                  <w:rPr/>
                  <w:instrText> PAGE </w:instrText>
                </w:r>
                <w:r>
                  <w:rPr/>
                  <w:fldChar w:fldCharType="separate"/>
                </w:r>
                <w:r>
                  <w:rPr/>
                  <w:t>11</w:t>
                </w:r>
                <w:r>
                  <w:rPr/>
                  <w:fldChar w:fldCharType="end"/>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096" from="69.480003pt,566.999023pt" to="792.360003pt,566.999023pt" stroked="true" strokeweight=".75pt" strokecolor="#010101">
          <v:stroke dashstyle="solid"/>
          <w10:wrap type="none"/>
        </v:line>
      </w:pict>
    </w:r>
    <w:r>
      <w:rPr/>
      <w:pict>
        <v:shape style="position:absolute;margin-left:69.919701pt;margin-top:568.763855pt;width:179.95pt;height:13.05pt;mso-position-horizontal-relative:page;mso-position-vertical-relative:page;z-index:-244907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67.480225pt;margin-top:568.883362pt;width:24.7pt;height:13.05pt;mso-position-horizontal-relative:page;mso-position-vertical-relative:page;z-index:-2449048" type="#_x0000_t202" filled="false" stroked="false">
          <v:textbox inset="0,0,0,0">
            <w:txbxContent>
              <w:p>
                <w:pPr>
                  <w:pStyle w:val="BodyText"/>
                  <w:spacing w:before="10"/>
                  <w:ind w:left="20"/>
                </w:pPr>
                <w:r>
                  <w:rPr/>
                  <w:t>3.189</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449024" from="69.480003pt,527.278992pt" to="792.360003pt,527.278992pt" stroked="true" strokeweight=".75pt" strokecolor="#010101">
          <v:stroke dashstyle="solid"/>
          <w10:wrap type="none"/>
        </v:line>
      </w:pict>
    </w:r>
    <w:r>
      <w:rPr/>
      <w:pict>
        <v:shape style="position:absolute;margin-left:69.919701pt;margin-top:528.682922pt;width:179.95pt;height:13.05pt;mso-position-horizontal-relative:page;mso-position-vertical-relative:page;z-index:-244900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28.682922pt;width:25.8pt;height:18.7pt;mso-position-horizontal-relative:page;mso-position-vertical-relative:page;z-index:-2448976" type="#_x0000_t202" filled="false" stroked="false">
          <v:textbox inset="0,0,0,0">
            <w:txbxContent>
              <w:p>
                <w:pPr>
                  <w:pStyle w:val="BodyText"/>
                  <w:spacing w:before="10"/>
                  <w:ind w:left="20"/>
                </w:pPr>
                <w:r>
                  <w:rPr/>
                  <w:t>3.</w:t>
                </w:r>
                <w:r>
                  <w:rPr/>
                  <w:t>192</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952" from="69.480003pt,566.999023pt" to="792.360003pt,566.999023pt" stroked="true" strokeweight=".75pt" strokecolor="#010101">
          <v:stroke dashstyle="solid"/>
          <w10:wrap type="none"/>
        </v:line>
      </w:pict>
    </w:r>
    <w:r>
      <w:rPr/>
      <w:pict>
        <v:shape style="position:absolute;margin-left:69.919701pt;margin-top:568.763855pt;width:179.95pt;height:13.05pt;mso-position-horizontal-relative:page;mso-position-vertical-relative:page;z-index:-244892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67.480225pt;margin-top:568.883362pt;width:24.7pt;height:13.05pt;mso-position-horizontal-relative:page;mso-position-vertical-relative:page;z-index:-2448904" type="#_x0000_t202" filled="false" stroked="false">
          <v:textbox inset="0,0,0,0">
            <w:txbxContent>
              <w:p>
                <w:pPr>
                  <w:pStyle w:val="BodyText"/>
                  <w:spacing w:before="10"/>
                  <w:ind w:left="20"/>
                </w:pPr>
                <w:r>
                  <w:rPr/>
                  <w:t>3.191</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880" from="68.879997pt,524.999023pt" to="792.839997pt,524.999023pt" stroked="true" strokeweight=".75pt" strokecolor="#010101">
          <v:stroke dashstyle="solid"/>
          <w10:wrap type="none"/>
        </v:line>
      </w:pict>
    </w:r>
    <w:r>
      <w:rPr/>
      <w:pict>
        <v:shape style="position:absolute;margin-left:69.919701pt;margin-top:528.682922pt;width:179.95pt;height:13.05pt;mso-position-horizontal-relative:page;mso-position-vertical-relative:page;z-index:-244885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28.682922pt;width:25.7pt;height:13.05pt;mso-position-horizontal-relative:page;mso-position-vertical-relative:page;z-index:-2448832" type="#_x0000_t202" filled="false" stroked="false">
          <v:textbox inset="0,0,0,0">
            <w:txbxContent>
              <w:p>
                <w:pPr>
                  <w:pStyle w:val="BodyText"/>
                  <w:spacing w:before="10"/>
                  <w:ind w:left="20"/>
                </w:pPr>
                <w:r>
                  <w:rPr/>
                  <w:t>3.</w:t>
                </w:r>
                <w:r>
                  <w:rPr/>
                  <w:t>192</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712"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868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63.123657pt;width:25.7pt;height:13.05pt;mso-position-horizontal-relative:page;mso-position-vertical-relative:page;z-index:-244866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193</w:t>
                </w:r>
                <w:r>
                  <w:rPr/>
                  <w:fldChar w:fldCharType="end"/>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640" from="68.879997pt,524.999023pt" to="792.839997pt,524.999023pt" stroked="true" strokeweight=".75pt" strokecolor="#010101">
          <v:stroke dashstyle="solid"/>
          <w10:wrap type="none"/>
        </v:line>
      </w:pict>
    </w:r>
    <w:r>
      <w:rPr/>
      <w:pict>
        <v:shape style="position:absolute;margin-left:69.919701pt;margin-top:528.682922pt;width:179.95pt;height:13.05pt;mso-position-horizontal-relative:page;mso-position-vertical-relative:page;z-index:-244861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28.682922pt;width:25.7pt;height:13.05pt;mso-position-horizontal-relative:page;mso-position-vertical-relative:page;z-index:-2448592"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194</w:t>
                </w:r>
                <w:r>
                  <w:rPr/>
                  <w:fldChar w:fldCharType="end"/>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472" from="68.879997pt,524.999023pt" to="792.839997pt,524.999023pt" stroked="true" strokeweight=".75pt" strokecolor="#010101">
          <v:stroke dashstyle="solid"/>
          <w10:wrap type="none"/>
        </v:line>
      </w:pict>
    </w:r>
    <w:r>
      <w:rPr/>
      <w:pict>
        <v:shape style="position:absolute;margin-left:69.919701pt;margin-top:528.682922pt;width:179.95pt;height:13.05pt;mso-position-horizontal-relative:page;mso-position-vertical-relative:page;z-index:-244844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2922pt;width:24.7pt;height:13.05pt;mso-position-horizontal-relative:page;mso-position-vertical-relative:page;z-index:-2448424" type="#_x0000_t202" filled="false" stroked="false">
          <v:textbox inset="0,0,0,0">
            <w:txbxContent>
              <w:p>
                <w:pPr>
                  <w:pStyle w:val="BodyText"/>
                  <w:spacing w:before="10"/>
                  <w:ind w:left="20"/>
                </w:pPr>
                <w:r>
                  <w:rPr/>
                  <w:t>3.210</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400"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837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63.123657pt;width:24.7pt;height:13.05pt;mso-position-horizontal-relative:page;mso-position-vertical-relative:page;z-index:-2448352" type="#_x0000_t202" filled="false" stroked="false">
          <v:textbox inset="0,0,0,0">
            <w:txbxContent>
              <w:p>
                <w:pPr>
                  <w:pStyle w:val="BodyText"/>
                  <w:spacing w:before="10"/>
                  <w:ind w:left="20"/>
                </w:pPr>
                <w:r>
                  <w:rPr/>
                  <w:t>3.211</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328" from="68.879997pt,524.999023pt" to="792.839997pt,524.999023pt" stroked="true" strokeweight=".75pt" strokecolor="#010101">
          <v:stroke dashstyle="solid"/>
          <w10:wrap type="none"/>
        </v:line>
      </w:pict>
    </w:r>
    <w:r>
      <w:rPr/>
      <w:pict>
        <v:shape style="position:absolute;margin-left:69.919701pt;margin-top:528.682922pt;width:179.95pt;height:13.05pt;mso-position-horizontal-relative:page;mso-position-vertical-relative:page;z-index:-244830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2922pt;width:25.7pt;height:13.05pt;mso-position-horizontal-relative:page;mso-position-vertical-relative:page;z-index:-2448280"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212</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544" from="70.960999pt,807.960022pt" to="524.440999pt,807.960022pt" stroked="true" strokeweight=".75pt" strokecolor="#010101">
          <v:stroke dashstyle="solid"/>
          <w10:wrap type="none"/>
        </v:line>
      </w:pict>
    </w:r>
    <w:r>
      <w:rPr/>
      <w:pict>
        <v:shape style="position:absolute;margin-left:69.960602pt;margin-top:809.724548pt;width:15.6pt;height:13.05pt;mso-position-horizontal-relative:page;mso-position-vertical-relative:page;z-index:-2454520" type="#_x0000_t202" filled="false" stroked="false">
          <v:textbox inset="0,0,0,0">
            <w:txbxContent>
              <w:p>
                <w:pPr>
                  <w:pStyle w:val="BodyText"/>
                  <w:spacing w:before="10"/>
                  <w:ind w:left="20"/>
                </w:pPr>
                <w:r>
                  <w:rPr/>
                  <w:t>1.</w:t>
                </w:r>
                <w:r>
                  <w:rPr/>
                  <w:fldChar w:fldCharType="begin"/>
                </w:r>
                <w:r>
                  <w:rPr/>
                  <w:instrText> PAGE </w:instrText>
                </w:r>
                <w:r>
                  <w:rPr/>
                  <w:fldChar w:fldCharType="separate"/>
                </w:r>
                <w:r>
                  <w:rPr/>
                  <w:t>4</w:t>
                </w:r>
                <w:r>
                  <w:rPr/>
                  <w:fldChar w:fldCharType="end"/>
                </w:r>
              </w:p>
            </w:txbxContent>
          </v:textbox>
          <w10:wrap type="none"/>
        </v:shape>
      </w:pict>
    </w:r>
    <w:r>
      <w:rPr/>
      <w:pict>
        <v:shape style="position:absolute;margin-left:345.592651pt;margin-top:809.724548pt;width:179.95pt;height:13.05pt;mso-position-horizontal-relative:page;mso-position-vertical-relative:page;z-index:-245449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256"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823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63.123657pt;width:25.8pt;height:13.05pt;mso-position-horizontal-relative:page;mso-position-vertical-relative:page;z-index:-244820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213</w:t>
                </w:r>
                <w:r>
                  <w:rPr/>
                  <w:fldChar w:fldCharType="end"/>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184" from="68.879997pt,524.999023pt" to="792.839997pt,524.999023pt" stroked="true" strokeweight=".75pt" strokecolor="#010101">
          <v:stroke dashstyle="solid"/>
          <w10:wrap type="none"/>
        </v:line>
      </w:pict>
    </w:r>
    <w:r>
      <w:rPr/>
      <w:pict>
        <v:shape style="position:absolute;margin-left:69.919701pt;margin-top:528.683960pt;width:179.95pt;height:13.05pt;mso-position-horizontal-relative:page;mso-position-vertical-relative:page;z-index:-244816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3960pt;width:24.7pt;height:13.05pt;mso-position-horizontal-relative:page;mso-position-vertical-relative:page;z-index:-2448136" type="#_x0000_t202" filled="false" stroked="false">
          <v:textbox inset="0,0,0,0">
            <w:txbxContent>
              <w:p>
                <w:pPr>
                  <w:pStyle w:val="BodyText"/>
                  <w:spacing w:before="10"/>
                  <w:ind w:left="20"/>
                </w:pPr>
                <w:r>
                  <w:rPr/>
                  <w:t>3.220</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112"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808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63.123657pt;width:24.7pt;height:13.05pt;mso-position-horizontal-relative:page;mso-position-vertical-relative:page;z-index:-2448064" type="#_x0000_t202" filled="false" stroked="false">
          <v:textbox inset="0,0,0,0">
            <w:txbxContent>
              <w:p>
                <w:pPr>
                  <w:pStyle w:val="BodyText"/>
                  <w:spacing w:before="10"/>
                  <w:ind w:left="20"/>
                </w:pPr>
                <w:r>
                  <w:rPr/>
                  <w:t>3.221</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040" from="68.879997pt,524.999023pt" to="792.839997pt,524.999023pt" stroked="true" strokeweight=".75pt" strokecolor="#010101">
          <v:stroke dashstyle="solid"/>
          <w10:wrap type="none"/>
        </v:line>
      </w:pict>
    </w:r>
    <w:r>
      <w:rPr/>
      <w:pict>
        <v:shape style="position:absolute;margin-left:69.919701pt;margin-top:528.683960pt;width:179.95pt;height:13.05pt;mso-position-horizontal-relative:page;mso-position-vertical-relative:page;z-index:-244801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2922pt;width:25.7pt;height:13.05pt;mso-position-horizontal-relative:page;mso-position-vertical-relative:page;z-index:-2447992" type="#_x0000_t202" filled="false" stroked="false">
          <v:textbox inset="0,0,0,0">
            <w:txbxContent>
              <w:p>
                <w:pPr>
                  <w:pStyle w:val="BodyText"/>
                  <w:spacing w:before="11"/>
                  <w:ind w:left="20"/>
                </w:pPr>
                <w:r>
                  <w:rPr/>
                  <w:t>3.</w:t>
                </w:r>
                <w:r>
                  <w:rPr/>
                  <w:fldChar w:fldCharType="begin"/>
                </w:r>
                <w:r>
                  <w:rPr/>
                  <w:instrText> PAGE </w:instrText>
                </w:r>
                <w:r>
                  <w:rPr/>
                  <w:fldChar w:fldCharType="separate"/>
                </w:r>
                <w:r>
                  <w:rPr/>
                  <w:t>222</w:t>
                </w:r>
                <w:r>
                  <w:rPr/>
                  <w:fldChar w:fldCharType="end"/>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968"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794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63.123657pt;width:25.8pt;height:13.05pt;mso-position-horizontal-relative:page;mso-position-vertical-relative:page;z-index:-2447920"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229</w:t>
                </w:r>
                <w:r>
                  <w:rPr/>
                  <w:fldChar w:fldCharType="end"/>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896" from="68.879997pt,524.999023pt" to="792.839997pt,524.999023pt" stroked="true" strokeweight=".75pt" strokecolor="#010101">
          <v:stroke dashstyle="solid"/>
          <w10:wrap type="none"/>
        </v:line>
      </w:pict>
    </w:r>
    <w:r>
      <w:rPr/>
      <w:pict>
        <v:shape style="position:absolute;margin-left:69.919701pt;margin-top:528.682922pt;width:179.95pt;height:13.05pt;mso-position-horizontal-relative:page;mso-position-vertical-relative:page;z-index:-244787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2922pt;width:24.7pt;height:13.05pt;mso-position-horizontal-relative:page;mso-position-vertical-relative:page;z-index:-2447848" type="#_x0000_t202" filled="false" stroked="false">
          <v:textbox inset="0,0,0,0">
            <w:txbxContent>
              <w:p>
                <w:pPr>
                  <w:pStyle w:val="BodyText"/>
                  <w:spacing w:before="10"/>
                  <w:ind w:left="20"/>
                </w:pPr>
                <w:r>
                  <w:rPr/>
                  <w:t>3.230</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824"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780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63.123657pt;width:24.7pt;height:13.05pt;mso-position-horizontal-relative:page;mso-position-vertical-relative:page;z-index:-2447776" type="#_x0000_t202" filled="false" stroked="false">
          <v:textbox inset="0,0,0,0">
            <w:txbxContent>
              <w:p>
                <w:pPr>
                  <w:pStyle w:val="BodyText"/>
                  <w:spacing w:before="10"/>
                  <w:ind w:left="20"/>
                </w:pPr>
                <w:r>
                  <w:rPr/>
                  <w:t>3.231</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752" from="68.879997pt,524.999023pt" to="792.839997pt,524.999023pt" stroked="true" strokeweight=".75pt" strokecolor="#010101">
          <v:stroke dashstyle="solid"/>
          <w10:wrap type="none"/>
        </v:line>
      </w:pict>
    </w:r>
    <w:r>
      <w:rPr/>
      <w:pict>
        <v:shape style="position:absolute;margin-left:69.919701pt;margin-top:528.682922pt;width:179.95pt;height:13.05pt;mso-position-horizontal-relative:page;mso-position-vertical-relative:page;z-index:-244772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2922pt;width:25.7pt;height:13.05pt;mso-position-horizontal-relative:page;mso-position-vertical-relative:page;z-index:-244770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232</w:t>
                </w:r>
                <w:r>
                  <w:rPr/>
                  <w:fldChar w:fldCharType="end"/>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680"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765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63.123657pt;width:25.7pt;height:13.05pt;mso-position-horizontal-relative:page;mso-position-vertical-relative:page;z-index:-2447632"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233</w:t>
                </w:r>
                <w:r>
                  <w:rPr/>
                  <w:fldChar w:fldCharType="end"/>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608" from="68.879997pt,524.999023pt" to="792.839997pt,524.999023pt" stroked="true" strokeweight=".75pt" strokecolor="#010101">
          <v:stroke dashstyle="solid"/>
          <w10:wrap type="none"/>
        </v:line>
      </w:pict>
    </w:r>
    <w:r>
      <w:rPr/>
      <w:pict>
        <v:shape style="position:absolute;margin-left:69.919701pt;margin-top:528.682922pt;width:179.95pt;height:13.05pt;mso-position-horizontal-relative:page;mso-position-vertical-relative:page;z-index:-244758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2922pt;width:24.7pt;height:13.05pt;mso-position-horizontal-relative:page;mso-position-vertical-relative:page;z-index:-2447560" type="#_x0000_t202" filled="false" stroked="false">
          <v:textbox inset="0,0,0,0">
            <w:txbxContent>
              <w:p>
                <w:pPr>
                  <w:pStyle w:val="BodyText"/>
                  <w:spacing w:before="10"/>
                  <w:ind w:left="20"/>
                </w:pPr>
                <w:r>
                  <w:rPr/>
                  <w:t>3.240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472" from="70.960999pt,807.960022pt" to="524.440999pt,807.960022pt" stroked="true" strokeweight=".75pt" strokecolor="#010101">
          <v:stroke dashstyle="solid"/>
          <w10:wrap type="none"/>
        </v:line>
      </w:pict>
    </w:r>
    <w:r>
      <w:rPr/>
      <w:pict>
        <v:shape style="position:absolute;margin-left:69.960602pt;margin-top:809.724548pt;width:179.95pt;height:13.05pt;mso-position-horizontal-relative:page;mso-position-vertical-relative:page;z-index:-2454448"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536"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751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240173pt;margin-top:563.123657pt;width:24.7pt;height:13.05pt;mso-position-horizontal-relative:page;mso-position-vertical-relative:page;z-index:-2447488" type="#_x0000_t202" filled="false" stroked="false">
          <v:textbox inset="0,0,0,0">
            <w:txbxContent>
              <w:p>
                <w:pPr>
                  <w:pStyle w:val="BodyText"/>
                  <w:spacing w:before="10"/>
                  <w:ind w:left="20"/>
                </w:pPr>
                <w:r>
                  <w:rPr/>
                  <w:t>3.241</w:t>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464" from="68.879997pt,524.999023pt" to="792.839997pt,524.999023pt" stroked="true" strokeweight=".75pt" strokecolor="#010101">
          <v:stroke dashstyle="solid"/>
          <w10:wrap type="none"/>
        </v:line>
      </w:pict>
    </w:r>
    <w:r>
      <w:rPr/>
      <w:pict>
        <v:shape style="position:absolute;margin-left:69.919701pt;margin-top:528.682922pt;width:179.95pt;height:13.05pt;mso-position-horizontal-relative:page;mso-position-vertical-relative:page;z-index:-244744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2922pt;width:25.7pt;height:13.05pt;mso-position-horizontal-relative:page;mso-position-vertical-relative:page;z-index:-2447416"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242</w:t>
                </w:r>
                <w:r>
                  <w:rPr/>
                  <w:fldChar w:fldCharType="end"/>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392"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7368"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63.123657pt;width:25.7pt;height:13.05pt;mso-position-horizontal-relative:page;mso-position-vertical-relative:page;z-index:-2447344"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243</w:t>
                </w:r>
                <w:r>
                  <w:rPr/>
                  <w:fldChar w:fldCharType="end"/>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320" from="68.879997pt,524.999023pt" to="792.839997pt,524.999023pt" stroked="true" strokeweight=".75pt" strokecolor="#010101">
          <v:stroke dashstyle="solid"/>
          <w10:wrap type="none"/>
        </v:line>
      </w:pict>
    </w:r>
    <w:r>
      <w:rPr/>
      <w:pict>
        <v:shape style="position:absolute;margin-left:69.919701pt;margin-top:528.683960pt;width:179.95pt;height:13.05pt;mso-position-horizontal-relative:page;mso-position-vertical-relative:page;z-index:-2447296"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3960pt;width:24.7pt;height:13.05pt;mso-position-horizontal-relative:page;mso-position-vertical-relative:page;z-index:-2447272" type="#_x0000_t202" filled="false" stroked="false">
          <v:textbox inset="0,0,0,0">
            <w:txbxContent>
              <w:p>
                <w:pPr>
                  <w:pStyle w:val="BodyText"/>
                  <w:spacing w:before="10"/>
                  <w:ind w:left="20"/>
                </w:pPr>
                <w:r>
                  <w:rPr/>
                  <w:t>3.250</w:t>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248"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7224"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63.123657pt;width:24.7pt;height:13.05pt;mso-position-horizontal-relative:page;mso-position-vertical-relative:page;z-index:-2447200" type="#_x0000_t202" filled="false" stroked="false">
          <v:textbox inset="0,0,0,0">
            <w:txbxContent>
              <w:p>
                <w:pPr>
                  <w:pStyle w:val="BodyText"/>
                  <w:spacing w:before="10"/>
                  <w:ind w:left="20"/>
                </w:pPr>
                <w:r>
                  <w:rPr/>
                  <w:t>3.251</w:t>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176" from="70.919998pt,525.119019pt" to="794.879998pt,525.119019pt" stroked="true" strokeweight=".75pt" strokecolor="#010101">
          <v:stroke dashstyle="solid"/>
          <w10:wrap type="none"/>
        </v:line>
      </w:pict>
    </w:r>
    <w:r>
      <w:rPr/>
      <w:pict>
        <v:shape style="position:absolute;margin-left:69.919701pt;margin-top:528.683960pt;width:179.95pt;height:13.05pt;mso-position-horizontal-relative:page;mso-position-vertical-relative:page;z-index:-244715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28.683960pt;width:25.7pt;height:13.05pt;mso-position-horizontal-relative:page;mso-position-vertical-relative:page;z-index:-244712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252</w:t>
                </w:r>
                <w:r>
                  <w:rPr/>
                  <w:fldChar w:fldCharType="end"/>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104" from="68.879997pt,559.439026pt" to="792.839997pt,559.439026pt" stroked="true" strokeweight=".75pt" strokecolor="#010101">
          <v:stroke dashstyle="solid"/>
          <w10:wrap type="none"/>
        </v:line>
      </w:pict>
    </w:r>
    <w:r>
      <w:rPr/>
      <w:pict>
        <v:shape style="position:absolute;margin-left:69.919701pt;margin-top:563.123657pt;width:179.95pt;height:13.05pt;mso-position-horizontal-relative:page;mso-position-vertical-relative:page;z-index:-2447080"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770.35968pt;margin-top:563.123657pt;width:25.7pt;height:13.05pt;mso-position-horizontal-relative:page;mso-position-vertical-relative:page;z-index:-2447056"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253</w:t>
                </w:r>
                <w:r>
                  <w:rPr/>
                  <w:fldChar w:fldCharType="end"/>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936" from="71.081001pt,807.960022pt" to="524.681001pt,807.960022pt" stroked="true" strokeweight=".75pt" strokecolor="#010101">
          <v:stroke dashstyle="solid"/>
          <w10:wrap type="none"/>
        </v:line>
      </w:pict>
    </w:r>
    <w:r>
      <w:rPr/>
      <w:pict>
        <v:shape style="position:absolute;margin-left:69.960602pt;margin-top:809.484375pt;width:180pt;height:13.05pt;mso-position-horizontal-relative:page;mso-position-vertical-relative:page;z-index:-2446912" type="#_x0000_t202" filled="false" stroked="false">
          <v:textbox inset="0,0,0,0">
            <w:txbxContent>
              <w:p>
                <w:pPr>
                  <w:pStyle w:val="BodyText"/>
                  <w:spacing w:before="10"/>
                  <w:ind w:left="20"/>
                </w:pPr>
                <w:r>
                  <w:rPr/>
                  <w:t>IPCC Good Practice Guidance for LULUCF</w:t>
                </w:r>
              </w:p>
            </w:txbxContent>
          </v:textbox>
          <w10:wrap type="none"/>
        </v:shape>
      </w:pict>
    </w:r>
    <w:r>
      <w:rPr/>
      <w:pict>
        <v:shape style="position:absolute;margin-left:500.87207pt;margin-top:809.484375pt;width:25.65pt;height:13.05pt;mso-position-horizontal-relative:page;mso-position-vertical-relative:page;z-index:-2446888" type="#_x0000_t202" filled="false" stroked="false">
          <v:textbox inset="0,0,0,0">
            <w:txbxContent>
              <w:p>
                <w:pPr>
                  <w:pStyle w:val="BodyText"/>
                  <w:spacing w:before="10"/>
                  <w:ind w:left="20"/>
                </w:pPr>
                <w:r>
                  <w:rPr/>
                  <w:t>3.</w:t>
                </w:r>
                <w:r>
                  <w:rPr/>
                  <w:fldChar w:fldCharType="begin"/>
                </w:r>
                <w:r>
                  <w:rPr/>
                  <w:instrText> PAGE </w:instrText>
                </w:r>
                <w:r>
                  <w:rPr/>
                  <w:fldChar w:fldCharType="separate"/>
                </w:r>
                <w:r>
                  <w:rPr/>
                  <w:t>257</w:t>
                </w:r>
                <w:r>
                  <w:rPr/>
                  <w:fldChar w:fldCharType="end"/>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864" from="71.081001pt,807.960022pt" to="524.681001pt,807.960022pt" stroked="true" strokeweight=".75pt" strokecolor="#010101">
          <v:stroke dashstyle="solid"/>
          <w10:wrap type="none"/>
        </v:line>
      </w:pict>
    </w:r>
    <w:r>
      <w:rPr/>
      <w:pict>
        <v:shape style="position:absolute;margin-left:69.960602pt;margin-top:809.484375pt;width:24.65pt;height:13.05pt;mso-position-horizontal-relative:page;mso-position-vertical-relative:page;z-index:-2446840" type="#_x0000_t202" filled="false" stroked="false">
          <v:textbox inset="0,0,0,0">
            <w:txbxContent>
              <w:p>
                <w:pPr>
                  <w:pStyle w:val="BodyText"/>
                  <w:spacing w:before="10"/>
                  <w:ind w:left="20"/>
                </w:pPr>
                <w:r>
                  <w:rPr/>
                  <w:t>3.258</w:t>
                </w:r>
              </w:p>
            </w:txbxContent>
          </v:textbox>
          <w10:wrap type="none"/>
        </v:shape>
      </w:pict>
    </w:r>
    <w:r>
      <w:rPr/>
      <w:pict>
        <v:shape style="position:absolute;margin-left:345.561768pt;margin-top:809.484375pt;width:180pt;height:13.05pt;mso-position-horizontal-relative:page;mso-position-vertical-relative:page;z-index:-2446816" type="#_x0000_t202" filled="false" stroked="false">
          <v:textbox inset="0,0,0,0">
            <w:txbxContent>
              <w:p>
                <w:pPr>
                  <w:pStyle w:val="BodyText"/>
                  <w:spacing w:before="10"/>
                  <w:ind w:left="20"/>
                </w:pPr>
                <w:r>
                  <w:rPr/>
                  <w:t>IPCC Good Practice Guidance for LULUCF</w:t>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792" from="71.081001pt,807.960022pt" to="524.681001pt,807.960022pt" stroked="true" strokeweight=".75pt" strokecolor="#010101">
          <v:stroke dashstyle="solid"/>
          <w10:wrap type="none"/>
        </v:line>
      </w:pict>
    </w:r>
    <w:r>
      <w:rPr/>
      <w:pict>
        <v:shape style="position:absolute;margin-left:69.960602pt;margin-top:809.484375pt;width:24.65pt;height:13.05pt;mso-position-horizontal-relative:page;mso-position-vertical-relative:page;z-index:-2446768" type="#_x0000_t202" filled="false" stroked="false">
          <v:textbox inset="0,0,0,0">
            <w:txbxContent>
              <w:p>
                <w:pPr>
                  <w:pStyle w:val="BodyText"/>
                  <w:spacing w:before="10"/>
                  <w:ind w:left="20"/>
                </w:pPr>
                <w:r>
                  <w:rPr/>
                  <w:t>3.260</w:t>
                </w:r>
              </w:p>
            </w:txbxContent>
          </v:textbox>
          <w10:wrap type="none"/>
        </v:shape>
      </w:pict>
    </w:r>
    <w:r>
      <w:rPr/>
      <w:pict>
        <v:shape style="position:absolute;margin-left:345.561768pt;margin-top:809.484375pt;width:180pt;height:13.05pt;mso-position-horizontal-relative:page;mso-position-vertical-relative:page;z-index:-2446744" type="#_x0000_t202" filled="false" stroked="false">
          <v:textbox inset="0,0,0,0">
            <w:txbxContent>
              <w:p>
                <w:pPr>
                  <w:pStyle w:val="BodyText"/>
                  <w:spacing w:before="10"/>
                  <w:ind w:left="20"/>
                </w:pPr>
                <w:r>
                  <w:rPr/>
                  <w:t>IPCC Good Practice Guidance for LULUCF</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5144" from="70.960999pt,28.32pt" to="524.440999pt,28.32pt" stroked="true" strokeweight=".75pt" strokecolor="#010101">
          <v:stroke dashstyle="solid"/>
          <w10:wrap type="none"/>
        </v:line>
      </w:pict>
    </w:r>
    <w:r>
      <w:rPr/>
      <w:pict>
        <v:shapetype id="_x0000_t202" o:spt="202" coordsize="21600,21600" path="m,l,21600r21600,l21600,xe">
          <v:stroke joinstyle="miter"/>
          <v:path gradientshapeok="t" o:connecttype="rect"/>
        </v:shapetype>
        <v:shape style="position:absolute;margin-left:488.040558pt;margin-top:10.524212pt;width:37.450pt;height:13.05pt;mso-position-horizontal-relative:page;mso-position-vertical-relative:page;z-index:-2455120" type="#_x0000_t202" filled="false" stroked="false">
          <v:textbox inset="0,0,0,0">
            <w:txbxContent>
              <w:p>
                <w:pPr>
                  <w:pStyle w:val="BodyText"/>
                  <w:spacing w:before="10"/>
                  <w:ind w:left="20"/>
                </w:pPr>
                <w:r>
                  <w:rPr/>
                  <w:t>Contents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0.960999pt;margin-top:28.32pt;width:453.5pt;height:.1pt;mso-position-horizontal-relative:page;mso-position-vertical-relative:page;z-index:-2454304" coordorigin="1419,566" coordsize="9070,0" path="m1419,566l10489,566m1419,566l10489,566e" filled="false" stroked="true" strokeweight=".75pt" strokecolor="#010101">
          <v:path arrowok="t"/>
          <v:stroke dashstyle="solid"/>
          <w10:wrap type="none"/>
        </v:shape>
      </w:pict>
    </w:r>
    <w:r>
      <w:rPr/>
      <w:pict>
        <v:shape style="position:absolute;margin-left:488.161072pt;margin-top:10.524212pt;width:37.4pt;height:13.05pt;mso-position-horizontal-relative:page;mso-position-vertical-relative:page;z-index:-2454280" type="#_x0000_t202" filled="false" stroked="false">
          <v:textbox inset="0,0,0,0">
            <w:txbxContent>
              <w:p>
                <w:pPr>
                  <w:pStyle w:val="BodyText"/>
                  <w:spacing w:before="10"/>
                  <w:ind w:left="20"/>
                </w:pPr>
                <w:r>
                  <w:rPr/>
                  <w:t>Contents</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328" from="70.960999pt,28.32pt" to="524.440999pt,28.32pt" stroked="true" strokeweight=".75pt" strokecolor="#010101">
          <v:stroke dashstyle="solid"/>
          <w10:wrap type="none"/>
        </v:line>
      </w:pict>
    </w:r>
    <w:r>
      <w:rPr/>
      <w:pict>
        <v:shape style="position:absolute;margin-left:355.681122pt;margin-top:10.524212pt;width:169.95pt;height:13.05pt;mso-position-horizontal-relative:page;mso-position-vertical-relative:page;z-index:-2442304" type="#_x0000_t202" filled="false" stroked="false">
          <v:textbox inset="0,0,0,0">
            <w:txbxContent>
              <w:p>
                <w:pPr>
                  <w:pStyle w:val="BodyText"/>
                  <w:spacing w:before="10"/>
                  <w:ind w:left="20"/>
                </w:pPr>
                <w:r>
                  <w:rPr/>
                  <w:t>Identifying and Quantifying Uncertainties</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280" from="70.960999pt,28.32pt" to="524.440999pt,28.32pt" stroked="true" strokeweight=".75pt" strokecolor="#010101">
          <v:stroke dashstyle="solid"/>
          <w10:wrap type="none"/>
        </v:line>
      </w:pict>
    </w:r>
    <w:r>
      <w:rPr/>
      <w:pict>
        <v:shape style="position:absolute;margin-left:69.960602pt;margin-top:10.524212pt;width:129.5500pt;height:13.05pt;mso-position-horizontal-relative:page;mso-position-vertical-relative:page;z-index:-2442256" type="#_x0000_t202" filled="false" stroked="false">
          <v:textbox inset="0,0,0,0">
            <w:txbxContent>
              <w:p>
                <w:pPr>
                  <w:pStyle w:val="BodyText"/>
                  <w:spacing w:before="10"/>
                  <w:ind w:left="20"/>
                </w:pPr>
                <w:r>
                  <w:rPr/>
                  <w:t>Chapter 5: Cross-Cutting Issues</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088" from="70.960999pt,28.32pt" to="524.440999pt,28.32pt" stroked="true" strokeweight=".75pt" strokecolor="#010101">
          <v:stroke dashstyle="solid"/>
          <w10:wrap type="none"/>
        </v:line>
      </w:pict>
    </w:r>
    <w:r>
      <w:rPr/>
      <w:pict>
        <v:shape style="position:absolute;margin-left:485.28064pt;margin-top:10.524212pt;width:40.35pt;height:13.05pt;mso-position-horizontal-relative:page;mso-position-vertical-relative:page;z-index:-2442064" type="#_x0000_t202" filled="false" stroked="false">
          <v:textbox inset="0,0,0,0">
            <w:txbxContent>
              <w:p>
                <w:pPr>
                  <w:pStyle w:val="BodyText"/>
                  <w:spacing w:before="10"/>
                  <w:ind w:left="20"/>
                </w:pPr>
                <w:r>
                  <w:rPr/>
                  <w:t>Sampling</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040" from="70.960999pt,28.32pt" to="524.440999pt,28.32pt" stroked="true" strokeweight=".75pt" strokecolor="#010101">
          <v:stroke dashstyle="solid"/>
          <w10:wrap type="none"/>
        </v:line>
      </w:pict>
    </w:r>
    <w:r>
      <w:rPr/>
      <w:pict>
        <v:shape style="position:absolute;margin-left:69.960602pt;margin-top:10.524212pt;width:130.4500pt;height:13.05pt;mso-position-horizontal-relative:page;mso-position-vertical-relative:page;z-index:-2442016" type="#_x0000_t202" filled="false" stroked="false">
          <v:textbox inset="0,0,0,0">
            <w:txbxContent>
              <w:p>
                <w:pPr>
                  <w:pStyle w:val="BodyText"/>
                  <w:spacing w:before="10"/>
                  <w:ind w:left="20"/>
                </w:pPr>
                <w:r>
                  <w:rPr/>
                  <w:t>Chapter 5: Cross-</w:t>
                </w:r>
                <w:r>
                  <w:rPr>
                    <w:spacing w:val="-38"/>
                  </w:rPr>
                  <w:t> </w:t>
                </w:r>
                <w:r>
                  <w:rPr/>
                  <w:t>Cutting Issues</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848" from="70.960999pt,28.32pt" to="524.440999pt,28.32pt" stroked="true" strokeweight=".75pt" strokecolor="#010101">
          <v:stroke dashstyle="solid"/>
          <w10:wrap type="none"/>
        </v:line>
      </w:pict>
    </w:r>
    <w:r>
      <w:rPr/>
      <w:pict>
        <v:shape style="position:absolute;margin-left:290.401306pt;margin-top:10.524212pt;width:235.3pt;height:13.05pt;mso-position-horizontal-relative:page;mso-position-vertical-relative:page;z-index:-2441824" type="#_x0000_t202" filled="false" stroked="false">
          <v:textbox inset="0,0,0,0">
            <w:txbxContent>
              <w:p>
                <w:pPr>
                  <w:pStyle w:val="BodyText"/>
                  <w:spacing w:before="10"/>
                  <w:ind w:left="20"/>
                </w:pPr>
                <w:r>
                  <w:rPr/>
                  <w:t>Methodological Choice – Identification of Key Categories</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800" from="70.960999pt,28.32pt" to="524.440999pt,28.32pt" stroked="true" strokeweight=".75pt" strokecolor="#010101">
          <v:stroke dashstyle="solid"/>
          <w10:wrap type="none"/>
        </v:line>
      </w:pict>
    </w:r>
    <w:r>
      <w:rPr/>
      <w:pict>
        <v:shape style="position:absolute;margin-left:69.960602pt;margin-top:10.524212pt;width:130.4500pt;height:13.05pt;mso-position-horizontal-relative:page;mso-position-vertical-relative:page;z-index:-2441776" type="#_x0000_t202" filled="false" stroked="false">
          <v:textbox inset="0,0,0,0">
            <w:txbxContent>
              <w:p>
                <w:pPr>
                  <w:pStyle w:val="BodyText"/>
                  <w:spacing w:before="10"/>
                  <w:ind w:left="20"/>
                </w:pPr>
                <w:r>
                  <w:rPr/>
                  <w:t>Chapter 5: Cross-</w:t>
                </w:r>
                <w:r>
                  <w:rPr>
                    <w:spacing w:val="-38"/>
                  </w:rPr>
                  <w:t> </w:t>
                </w:r>
                <w:r>
                  <w:rPr/>
                  <w:t>Cutting Issues</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752" from="70.960999pt,28.32pt" to="524.440999pt,28.32pt" stroked="true" strokeweight=".75pt" strokecolor="#010101">
          <v:stroke dashstyle="solid"/>
          <w10:wrap type="none"/>
        </v:line>
      </w:pict>
    </w:r>
    <w:r>
      <w:rPr/>
      <w:pict>
        <v:shape style="position:absolute;margin-left:366.960815pt;margin-top:10.524212pt;width:158.65pt;height:13.05pt;mso-position-horizontal-relative:page;mso-position-vertical-relative:page;z-index:-2441728" type="#_x0000_t202" filled="false" stroked="false">
          <v:textbox inset="0,0,0,0">
            <w:txbxContent>
              <w:p>
                <w:pPr>
                  <w:pStyle w:val="BodyText"/>
                  <w:spacing w:before="10"/>
                  <w:ind w:left="20"/>
                </w:pPr>
                <w:r>
                  <w:rPr/>
                  <w:t>Quality Assurance and Quality Control</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704" from="70.960999pt,28.32pt" to="524.440999pt,28.32pt" stroked="true" strokeweight=".75pt" strokecolor="#010101">
          <v:stroke dashstyle="solid"/>
          <w10:wrap type="none"/>
        </v:line>
      </w:pict>
    </w:r>
    <w:r>
      <w:rPr/>
      <w:pict>
        <v:shape style="position:absolute;margin-left:69.960602pt;margin-top:10.524212pt;width:130.4500pt;height:13.05pt;mso-position-horizontal-relative:page;mso-position-vertical-relative:page;z-index:-2441680" type="#_x0000_t202" filled="false" stroked="false">
          <v:textbox inset="0,0,0,0">
            <w:txbxContent>
              <w:p>
                <w:pPr>
                  <w:pStyle w:val="BodyText"/>
                  <w:spacing w:before="10"/>
                  <w:ind w:left="20"/>
                </w:pPr>
                <w:r>
                  <w:rPr/>
                  <w:t>Chapter 5: Cross-</w:t>
                </w:r>
                <w:r>
                  <w:rPr>
                    <w:spacing w:val="-38"/>
                  </w:rPr>
                  <w:t> </w:t>
                </w:r>
                <w:r>
                  <w:rPr/>
                  <w:t>Cutting Issues</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656" from="70.960999pt,28.32pt" to="524.440999pt,28.32pt" stroked="true" strokeweight=".75pt" strokecolor="#010101">
          <v:stroke dashstyle="solid"/>
          <w10:wrap type="none"/>
        </v:line>
      </w:pict>
    </w:r>
    <w:r>
      <w:rPr/>
      <w:pict>
        <v:shape style="position:absolute;margin-left:345.840851pt;margin-top:10.524212pt;width:179.9pt;height:13.05pt;mso-position-horizontal-relative:page;mso-position-vertical-relative:page;z-index:-2441632" type="#_x0000_t202" filled="false" stroked="false">
          <v:textbox inset="0,0,0,0">
            <w:txbxContent>
              <w:p>
                <w:pPr>
                  <w:pStyle w:val="BodyText"/>
                  <w:spacing w:before="10"/>
                  <w:ind w:left="20"/>
                </w:pPr>
                <w:r>
                  <w:rPr/>
                  <w:t>Time Series Consistency and Recalculations</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608" from="70.960999pt,28.32pt" to="524.440999pt,28.32pt" stroked="true" strokeweight=".75pt" strokecolor="#010101">
          <v:stroke dashstyle="solid"/>
          <w10:wrap type="none"/>
        </v:line>
      </w:pict>
    </w:r>
    <w:r>
      <w:rPr/>
      <w:pict>
        <v:shape style="position:absolute;margin-left:69.960602pt;margin-top:10.524212pt;width:130.4500pt;height:13.05pt;mso-position-horizontal-relative:page;mso-position-vertical-relative:page;z-index:-2441584" type="#_x0000_t202" filled="false" stroked="false">
          <v:textbox inset="0,0,0,0">
            <w:txbxContent>
              <w:p>
                <w:pPr>
                  <w:pStyle w:val="BodyText"/>
                  <w:spacing w:before="10"/>
                  <w:ind w:left="20"/>
                </w:pPr>
                <w:r>
                  <w:rPr/>
                  <w:t>Chapter 5: Cross-</w:t>
                </w:r>
                <w:r>
                  <w:rPr>
                    <w:spacing w:val="-38"/>
                  </w:rPr>
                  <w:t> </w:t>
                </w:r>
                <w:r>
                  <w:rPr/>
                  <w:t>Cutting Issues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0.960999pt;margin-top:28.32pt;width:453.5pt;height:.1pt;mso-position-horizontal-relative:page;mso-position-vertical-relative:page;z-index:-2454112" coordorigin="1419,566" coordsize="9070,0" path="m1419,566l10489,566m1419,566l10489,566e" filled="false" stroked="true" strokeweight=".75pt" strokecolor="#010101">
          <v:path arrowok="t"/>
          <v:stroke dashstyle="solid"/>
          <w10:wrap type="none"/>
        </v:shape>
      </w:pict>
    </w:r>
    <w:r>
      <w:rPr/>
      <w:pict>
        <v:shape style="position:absolute;margin-left:438.960663pt;margin-top:10.524212pt;width:86.65pt;height:13.05pt;mso-position-horizontal-relative:page;mso-position-vertical-relative:page;z-index:-2454088" type="#_x0000_t202" filled="false" stroked="false">
          <v:textbox inset="0,0,0,0">
            <w:txbxContent>
              <w:p>
                <w:pPr>
                  <w:pStyle w:val="BodyText"/>
                  <w:spacing w:before="10"/>
                  <w:ind w:left="20"/>
                </w:pPr>
                <w:r>
                  <w:rPr/>
                  <w:t>Land-Use Categories</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560" from="70.960999pt,28.32pt" to="524.440999pt,28.32pt" stroked="true" strokeweight=".75pt" strokecolor="#010101">
          <v:stroke dashstyle="solid"/>
          <w10:wrap type="none"/>
        </v:line>
      </w:pict>
    </w:r>
    <w:r>
      <w:rPr/>
      <w:pict>
        <v:shape style="position:absolute;margin-left:475.320648pt;margin-top:10.524212pt;width:50.3pt;height:13.05pt;mso-position-horizontal-relative:page;mso-position-vertical-relative:page;z-index:-2441536" type="#_x0000_t202" filled="false" stroked="false">
          <v:textbox inset="0,0,0,0">
            <w:txbxContent>
              <w:p>
                <w:pPr>
                  <w:pStyle w:val="BodyText"/>
                  <w:spacing w:before="10"/>
                  <w:ind w:left="20"/>
                </w:pPr>
                <w:r>
                  <w:rPr/>
                  <w:t>Verification</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512" from="70.960999pt,28.32pt" to="524.440999pt,28.32pt" stroked="true" strokeweight=".75pt" strokecolor="#010101">
          <v:stroke dashstyle="solid"/>
          <w10:wrap type="none"/>
        </v:line>
      </w:pict>
    </w:r>
    <w:r>
      <w:rPr/>
      <w:pict>
        <v:shape style="position:absolute;margin-left:69.960602pt;margin-top:10.524212pt;width:129.5500pt;height:13.05pt;mso-position-horizontal-relative:page;mso-position-vertical-relative:page;z-index:-2441488" type="#_x0000_t202" filled="false" stroked="false">
          <v:textbox inset="0,0,0,0">
            <w:txbxContent>
              <w:p>
                <w:pPr>
                  <w:pStyle w:val="BodyText"/>
                  <w:spacing w:before="10"/>
                  <w:ind w:left="20"/>
                </w:pPr>
                <w:r>
                  <w:rPr/>
                  <w:t>Chapter 5: Cross-Cutting Issues</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416" from="70.960999pt,28.32pt" to="524.440999pt,28.32pt" stroked="true" strokeweight=".75pt" strokecolor="#010101">
          <v:stroke dashstyle="solid"/>
          <w10:wrap type="none"/>
        </v:line>
      </w:pict>
    </w:r>
    <w:r>
      <w:rPr/>
      <w:pict>
        <v:shape style="position:absolute;margin-left:479.280731pt;margin-top:10.524212pt;width:46.4pt;height:13.05pt;mso-position-horizontal-relative:page;mso-position-vertical-relative:page;z-index:-2441392" type="#_x0000_t202" filled="false" stroked="false">
          <v:textbox inset="0,0,0,0">
            <w:txbxContent>
              <w:p>
                <w:pPr>
                  <w:pStyle w:val="BodyText"/>
                  <w:spacing w:before="10"/>
                  <w:ind w:left="20"/>
                </w:pPr>
                <w:r>
                  <w:rPr/>
                  <w:t>References</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368" from="70.960999pt,28.32pt" to="524.440999pt,28.32pt" stroked="true" strokeweight=".75pt" strokecolor="#010101">
          <v:stroke dashstyle="solid"/>
          <w10:wrap type="none"/>
        </v:line>
      </w:pict>
    </w:r>
    <w:r>
      <w:rPr/>
      <w:pict>
        <v:shape style="position:absolute;margin-left:69.960602pt;margin-top:10.524212pt;width:129.5500pt;height:13.05pt;mso-position-horizontal-relative:page;mso-position-vertical-relative:page;z-index:-2441344" type="#_x0000_t202" filled="false" stroked="false">
          <v:textbox inset="0,0,0,0">
            <w:txbxContent>
              <w:p>
                <w:pPr>
                  <w:pStyle w:val="BodyText"/>
                  <w:spacing w:before="10"/>
                  <w:ind w:left="20"/>
                </w:pPr>
                <w:r>
                  <w:rPr/>
                  <w:t>Chapter 5: Cross-Cutting Issues</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1056" from="70.960999pt,28.32pt" to="524.440999pt,28.32pt" stroked="true" strokeweight=".75pt" strokecolor="#010101">
          <v:stroke dashstyle="solid"/>
          <w10:wrap type="none"/>
        </v:line>
      </w:pict>
    </w:r>
    <w:r>
      <w:rPr/>
      <w:pict>
        <v:shape style="position:absolute;margin-left:69.960602pt;margin-top:10.524212pt;width:160.8pt;height:13.05pt;mso-position-horizontal-relative:page;mso-position-vertical-relative:page;z-index:-2441032" type="#_x0000_t202" filled="false" stroked="false">
          <v:textbox inset="0,0,0,0">
            <w:txbxContent>
              <w:p>
                <w:pPr>
                  <w:pStyle w:val="BodyText"/>
                  <w:spacing w:before="10"/>
                  <w:ind w:left="20"/>
                </w:pPr>
                <w:r>
                  <w:rPr/>
                  <w:t>Annex C: Abbreviations and Acronyms</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864" from="72.041pt,28.92pt" to="525.641pt,28.92pt" stroked="true" strokeweight=".75pt" strokecolor="#010101">
          <v:stroke dashstyle="solid"/>
          <w10:wrap type="none"/>
        </v:line>
      </w:pict>
    </w:r>
    <w:r>
      <w:rPr/>
      <w:pict>
        <v:shape style="position:absolute;margin-left:69.960602pt;margin-top:10.524212pt;width:160.8pt;height:13.05pt;mso-position-horizontal-relative:page;mso-position-vertical-relative:page;z-index:-2440840" type="#_x0000_t202" filled="false" stroked="false">
          <v:textbox inset="0,0,0,0">
            <w:txbxContent>
              <w:p>
                <w:pPr>
                  <w:pStyle w:val="BodyText"/>
                  <w:spacing w:before="10"/>
                  <w:ind w:left="20"/>
                </w:pPr>
                <w:r>
                  <w:rPr/>
                  <w:t>Annex C: Abbreviations and Acronyms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0.960999pt;margin-top:28.32pt;width:453.5pt;height:.1pt;mso-position-horizontal-relative:page;mso-position-vertical-relative:page;z-index:-2454064" coordorigin="1419,566" coordsize="9070,0" path="m1419,566l10489,566m1419,566l10489,566e" filled="false" stroked="true" strokeweight=".75pt" strokecolor="#010101">
          <v:path arrowok="t"/>
          <v:stroke dashstyle="solid"/>
          <w10:wrap type="none"/>
        </v:shape>
      </w:pict>
    </w:r>
    <w:r>
      <w:rPr/>
      <w:pict>
        <v:shape style="position:absolute;margin-left:69.960602pt;margin-top:10.524212pt;width:249.25pt;height:13.05pt;mso-position-horizontal-relative:page;mso-position-vertical-relative:page;z-index:-2454040" type="#_x0000_t202" filled="false" stroked="false">
          <v:textbox inset="0,0,0,0">
            <w:txbxContent>
              <w:p>
                <w:pPr>
                  <w:pStyle w:val="BodyText"/>
                  <w:spacing w:before="10"/>
                  <w:ind w:left="20"/>
                </w:pPr>
                <w:r>
                  <w:rPr/>
                  <w:t>Chapter 2: Basis for Consistent Representation of Land Areas</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696" from="70.960999pt,28.32pt" to="524.440999pt,28.32pt" stroked="true" strokeweight=".75pt" strokecolor="#010101">
          <v:stroke dashstyle="solid"/>
          <w10:wrap type="none"/>
        </v:line>
      </w:pict>
    </w:r>
    <w:r>
      <w:rPr/>
      <w:pict>
        <v:shape style="position:absolute;margin-left:69.960602pt;margin-top:10.524212pt;width:79.25pt;height:13.05pt;mso-position-horizontal-relative:page;mso-position-vertical-relative:page;z-index:-2440672" type="#_x0000_t202" filled="false" stroked="false">
          <v:textbox inset="0,0,0,0">
            <w:txbxContent>
              <w:p>
                <w:pPr>
                  <w:pStyle w:val="BodyText"/>
                  <w:spacing w:before="10"/>
                  <w:ind w:left="20"/>
                </w:pPr>
                <w:r>
                  <w:rPr/>
                  <w:t>Annex A: Glossary</w:t>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648" from="70.960999pt,28.32pt" to="524.440999pt,28.32pt" stroked="true" strokeweight=".75pt" strokecolor="#010101">
          <v:stroke dashstyle="solid"/>
          <w10:wrap type="none"/>
        </v:line>
      </w:pict>
    </w:r>
    <w:r>
      <w:rPr/>
      <w:pict>
        <v:shape style="position:absolute;margin-left:446.520325pt;margin-top:10.524212pt;width:79.25pt;height:13.05pt;mso-position-horizontal-relative:page;mso-position-vertical-relative:page;z-index:-2440624" type="#_x0000_t202" filled="false" stroked="false">
          <v:textbox inset="0,0,0,0">
            <w:txbxContent>
              <w:p>
                <w:pPr>
                  <w:pStyle w:val="BodyText"/>
                  <w:spacing w:before="10"/>
                  <w:ind w:left="20"/>
                </w:pPr>
                <w:r>
                  <w:rPr/>
                  <w:t>Annex A: Glossary</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456" from="70.960999pt,28.32pt" to="524.440999pt,28.32pt" stroked="true" strokeweight=".75pt" strokecolor="#010101">
          <v:stroke dashstyle="solid"/>
          <w10:wrap type="none"/>
        </v:line>
      </w:pict>
    </w:r>
    <w:r>
      <w:rPr/>
      <w:pict>
        <v:shape style="position:absolute;margin-left:69.960602pt;margin-top:10.524212pt;width:114.75pt;height:13.05pt;mso-position-horizontal-relative:page;mso-position-vertical-relative:page;z-index:-2440432" type="#_x0000_t202" filled="false" stroked="false">
          <v:textbox inset="0,0,0,0">
            <w:txbxContent>
              <w:p>
                <w:pPr>
                  <w:pStyle w:val="BodyText"/>
                  <w:spacing w:before="10"/>
                  <w:ind w:left="20"/>
                </w:pPr>
                <w:r>
                  <w:rPr/>
                  <w:t>Annex D: List of Reviewers</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0408" from="70.960999pt,28.32pt" to="524.440999pt,28.32pt" stroked="true" strokeweight=".75pt" strokecolor="#010101">
          <v:stroke dashstyle="solid"/>
          <w10:wrap type="none"/>
        </v:line>
      </w:pict>
    </w:r>
    <w:r>
      <w:rPr/>
      <w:pict>
        <v:shape style="position:absolute;margin-left:410.880432pt;margin-top:10.524212pt;width:114.75pt;height:13.05pt;mso-position-horizontal-relative:page;mso-position-vertical-relative:page;z-index:-2440384" type="#_x0000_t202" filled="false" stroked="false">
          <v:textbox inset="0,0,0,0">
            <w:txbxContent>
              <w:p>
                <w:pPr>
                  <w:pStyle w:val="BodyText"/>
                  <w:spacing w:before="10"/>
                  <w:ind w:left="20"/>
                </w:pPr>
                <w:r>
                  <w:rPr/>
                  <w:t>Annex D: List of Reviewers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0.960999pt;margin-top:28.32pt;width:453.5pt;height:.1pt;mso-position-horizontal-relative:page;mso-position-vertical-relative:page;z-index:-2454016" coordorigin="1419,566" coordsize="9070,0" path="m1419,566l10489,566m1419,566l10489,566e" filled="false" stroked="true" strokeweight=".75pt" strokecolor="#010101">
          <v:path arrowok="t"/>
          <v:stroke dashstyle="solid"/>
          <w10:wrap type="none"/>
        </v:shape>
      </w:pict>
    </w:r>
    <w:r>
      <w:rPr/>
      <w:pict>
        <v:shape style="position:absolute;margin-left:422.040619pt;margin-top:10.524212pt;width:103.6pt;height:13.05pt;mso-position-horizontal-relative:page;mso-position-vertical-relative:page;z-index:-2453992" type="#_x0000_t202" filled="false" stroked="false">
          <v:textbox inset="0,0,0,0">
            <w:txbxContent>
              <w:p>
                <w:pPr>
                  <w:pStyle w:val="BodyText"/>
                  <w:spacing w:before="10"/>
                  <w:ind w:left="20"/>
                </w:pPr>
                <w:r>
                  <w:rPr/>
                  <w:t>Representing Land Areas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0.960999pt;margin-top:28.32pt;width:453.5pt;height:.1pt;mso-position-horizontal-relative:page;mso-position-vertical-relative:page;z-index:-2453968" coordorigin="1419,566" coordsize="9070,0" path="m1419,566l10489,566m1419,566l10489,566e" filled="false" stroked="true" strokeweight=".75pt" strokecolor="#010101">
          <v:path arrowok="t"/>
          <v:stroke dashstyle="solid"/>
          <w10:wrap type="none"/>
        </v:shape>
      </w:pict>
    </w:r>
    <w:r>
      <w:rPr/>
      <w:pict>
        <v:shape style="position:absolute;margin-left:69.960602pt;margin-top:10.524212pt;width:249.25pt;height:13.05pt;mso-position-horizontal-relative:page;mso-position-vertical-relative:page;z-index:-2453944" type="#_x0000_t202" filled="false" stroked="false">
          <v:textbox inset="0,0,0,0">
            <w:txbxContent>
              <w:p>
                <w:pPr>
                  <w:pStyle w:val="BodyText"/>
                  <w:spacing w:before="10"/>
                  <w:ind w:left="20"/>
                </w:pPr>
                <w:r>
                  <w:rPr/>
                  <w:t>Chapter 2: Basis for Consistent Representation of Land Areas</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800" from="70.960999pt,28.32pt" to="524.440999pt,28.32pt" stroked="true" strokeweight=".75pt" strokecolor="#010101">
          <v:stroke dashstyle="solid"/>
          <w10:wrap type="none"/>
        </v:line>
      </w:pict>
    </w:r>
    <w:r>
      <w:rPr/>
      <w:pict>
        <v:shape style="position:absolute;margin-left:422.040619pt;margin-top:10.524212pt;width:103.6pt;height:13.05pt;mso-position-horizontal-relative:page;mso-position-vertical-relative:page;z-index:-2453776" type="#_x0000_t202" filled="false" stroked="false">
          <v:textbox inset="0,0,0,0">
            <w:txbxContent>
              <w:p>
                <w:pPr>
                  <w:pStyle w:val="BodyText"/>
                  <w:spacing w:before="10"/>
                  <w:ind w:left="20"/>
                </w:pPr>
                <w:r>
                  <w:rPr/>
                  <w:t>Representing Land Areas</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752" from="70.960999pt,28.32pt" to="524.440999pt,28.32pt" stroked="true" strokeweight=".75pt" strokecolor="#010101">
          <v:stroke dashstyle="solid"/>
          <w10:wrap type="none"/>
        </v:line>
      </w:pict>
    </w:r>
    <w:r>
      <w:rPr/>
      <w:pict>
        <v:shape style="position:absolute;margin-left:69.960602pt;margin-top:10.524212pt;width:249.25pt;height:13.05pt;mso-position-horizontal-relative:page;mso-position-vertical-relative:page;z-index:-2453728" type="#_x0000_t202" filled="false" stroked="false">
          <v:textbox inset="0,0,0,0">
            <w:txbxContent>
              <w:p>
                <w:pPr>
                  <w:pStyle w:val="BodyText"/>
                  <w:spacing w:before="10"/>
                  <w:ind w:left="20"/>
                </w:pPr>
                <w:r>
                  <w:rPr/>
                  <w:t>Chapter 2: Basis for Consistent Representation of Land Areas</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560" from="70.960999pt,28.32pt" to="524.440999pt,28.32pt" stroked="true" strokeweight=".75pt" strokecolor="#010101">
          <v:stroke dashstyle="solid"/>
          <w10:wrap type="none"/>
        </v:line>
      </w:pict>
    </w:r>
    <w:r>
      <w:rPr/>
      <w:pict>
        <v:shape style="position:absolute;margin-left:373.920868pt;margin-top:10.524212pt;width:151.65pt;height:13.05pt;mso-position-horizontal-relative:page;mso-position-vertical-relative:page;z-index:-2453536" type="#_x0000_t202" filled="false" stroked="false">
          <v:textbox inset="0,0,0,0">
            <w:txbxContent>
              <w:p>
                <w:pPr>
                  <w:pStyle w:val="BodyText"/>
                  <w:spacing w:before="10"/>
                  <w:ind w:left="20"/>
                </w:pPr>
                <w:r>
                  <w:rPr/>
                  <w:t>Development of Land-Use Databases</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512" from="70.960999pt,28.32pt" to="524.440999pt,28.32pt" stroked="true" strokeweight=".75pt" strokecolor="#010101">
          <v:stroke dashstyle="solid"/>
          <w10:wrap type="none"/>
        </v:line>
      </w:pict>
    </w:r>
    <w:r>
      <w:rPr/>
      <w:pict>
        <v:shape style="position:absolute;margin-left:69.960602pt;margin-top:10.524212pt;width:249.25pt;height:13.05pt;mso-position-horizontal-relative:page;mso-position-vertical-relative:page;z-index:-2453488" type="#_x0000_t202" filled="false" stroked="false">
          <v:textbox inset="0,0,0,0">
            <w:txbxContent>
              <w:p>
                <w:pPr>
                  <w:pStyle w:val="BodyText"/>
                  <w:spacing w:before="10"/>
                  <w:ind w:left="20"/>
                </w:pPr>
                <w:r>
                  <w:rPr/>
                  <w:t>Chapter 2: Basis for Consistent Representation of Land Areas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464" from="70.960999pt,28.32pt" to="524.440999pt,28.32pt" stroked="true" strokeweight=".75pt" strokecolor="#010101">
          <v:stroke dashstyle="solid"/>
          <w10:wrap type="none"/>
        </v:line>
      </w:pict>
    </w:r>
    <w:r>
      <w:rPr/>
      <w:pict>
        <v:shape style="position:absolute;margin-left:474.721069pt;margin-top:10.524212pt;width:50.8pt;height:13.05pt;mso-position-horizontal-relative:page;mso-position-vertical-relative:page;z-index:-2453440" type="#_x0000_t202" filled="false" stroked="false">
          <v:textbox inset="0,0,0,0">
            <w:txbxContent>
              <w:p>
                <w:pPr>
                  <w:pStyle w:val="BodyText"/>
                  <w:spacing w:before="10"/>
                  <w:ind w:left="20"/>
                </w:pPr>
                <w:r>
                  <w:rPr/>
                  <w:t>Annex 2A.1</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416" from="70.960999pt,28.32pt" to="524.440999pt,28.32pt" stroked="true" strokeweight=".75pt" strokecolor="#010101">
          <v:stroke dashstyle="solid"/>
          <w10:wrap type="none"/>
        </v:line>
      </w:pict>
    </w:r>
    <w:r>
      <w:rPr/>
      <w:pict>
        <v:shape style="position:absolute;margin-left:69.960602pt;margin-top:10.524212pt;width:249.25pt;height:13.05pt;mso-position-horizontal-relative:page;mso-position-vertical-relative:page;z-index:-2453392" type="#_x0000_t202" filled="false" stroked="false">
          <v:textbox inset="0,0,0,0">
            <w:txbxContent>
              <w:p>
                <w:pPr>
                  <w:pStyle w:val="BodyText"/>
                  <w:spacing w:before="10"/>
                  <w:ind w:left="20"/>
                </w:pPr>
                <w:r>
                  <w:rPr/>
                  <w:t>Chapter 2: Basis for Consistent Representation of Land Areas</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176"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53152"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3128" from="70.960999pt,28.32pt" to="524.440999pt,28.32pt" stroked="true" strokeweight=".75pt" strokecolor="#010101">
          <v:stroke dashstyle="solid"/>
          <w10:wrap type="none"/>
        </v:line>
      </w:pict>
    </w:r>
    <w:r>
      <w:rPr/>
      <w:pict>
        <v:shape style="position:absolute;margin-left:325.320587pt;margin-top:10.524212pt;width:200.3pt;height:13.05pt;mso-position-horizontal-relative:page;mso-position-vertical-relative:page;z-index:-2453104"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936" from="70.960999pt,28.32pt" to="524.440999pt,28.32pt" stroked="true" strokeweight=".75pt" strokecolor="#010101">
          <v:stroke dashstyle="solid"/>
          <w10:wrap type="none"/>
        </v:line>
      </w:pict>
    </w:r>
    <w:r>
      <w:rPr/>
      <w:pict>
        <v:shape style="position:absolute;margin-left:474.240997pt;margin-top:10.524212pt;width:51.4pt;height:13.05pt;mso-position-horizontal-relative:page;mso-position-vertical-relative:page;z-index:-2452912" type="#_x0000_t202" filled="false" stroked="false">
          <v:textbox inset="0,0,0,0">
            <w:txbxContent>
              <w:p>
                <w:pPr>
                  <w:pStyle w:val="BodyText"/>
                  <w:spacing w:before="10"/>
                  <w:ind w:left="20"/>
                </w:pPr>
                <w:r>
                  <w:rPr/>
                  <w:t>Introduction</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888"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52864"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952" from="70.960999pt,28.32pt" to="524.440999pt,28.32pt" stroked="true" strokeweight=".75pt" strokecolor="#010101">
          <v:stroke dashstyle="solid"/>
          <w10:wrap type="none"/>
        </v:line>
      </w:pict>
    </w:r>
    <w:r>
      <w:rPr/>
      <w:pict>
        <v:shape style="position:absolute;margin-left:493.560394pt;margin-top:10.524212pt;width:32.0500pt;height:13.05pt;mso-position-horizontal-relative:page;mso-position-vertical-relative:page;z-index:-2454928" type="#_x0000_t202" filled="false" stroked="false">
          <v:textbox inset="0,0,0,0">
            <w:txbxContent>
              <w:p>
                <w:pPr>
                  <w:pStyle w:val="BodyText"/>
                  <w:spacing w:before="10"/>
                  <w:ind w:left="20"/>
                </w:pPr>
                <w:r>
                  <w:rPr/>
                  <w:t>Preface</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792" from="70.960999pt,28.32pt" to="524.440999pt,28.32pt" stroked="true" strokeweight=".75pt" strokecolor="#010101">
          <v:stroke dashstyle="solid"/>
          <w10:wrap type="none"/>
        </v:line>
      </w:pict>
    </w:r>
    <w:r>
      <w:rPr/>
      <w:pict>
        <v:shape style="position:absolute;margin-left:475.560669pt;margin-top:10.524212pt;width:49.95pt;height:13.05pt;mso-position-horizontal-relative:page;mso-position-vertical-relative:page;z-index:-2452768" type="#_x0000_t202" filled="false" stroked="false">
          <v:textbox inset="0,0,0,0">
            <w:txbxContent>
              <w:p>
                <w:pPr>
                  <w:pStyle w:val="BodyText"/>
                  <w:spacing w:before="10"/>
                  <w:ind w:left="20"/>
                </w:pPr>
                <w:r>
                  <w:rPr/>
                  <w:t>Forest Land</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744"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52720"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552" from="70.960999pt,28.32pt" to="524.440999pt,28.32pt" stroked="true" strokeweight=".75pt" strokecolor="#010101">
          <v:stroke dashstyle="solid"/>
          <w10:wrap type="none"/>
        </v:line>
      </w:pict>
    </w:r>
    <w:r>
      <w:rPr/>
      <w:pict>
        <v:shape style="position:absolute;margin-left:486.360321pt;margin-top:10.524212pt;width:39.15pt;height:13.05pt;mso-position-horizontal-relative:page;mso-position-vertical-relative:page;z-index:-2452528" type="#_x0000_t202" filled="false" stroked="false">
          <v:textbox inset="0,0,0,0">
            <w:txbxContent>
              <w:p>
                <w:pPr>
                  <w:pStyle w:val="BodyText"/>
                  <w:spacing w:before="10"/>
                  <w:ind w:left="20"/>
                </w:pPr>
                <w:r>
                  <w:rPr/>
                  <w:t>Cropland</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504"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52480"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456" from="70.960999pt,28.32pt" to="524.440999pt,28.32pt" stroked="true" strokeweight=".75pt" strokecolor="#010101">
          <v:stroke dashstyle="solid"/>
          <w10:wrap type="none"/>
        </v:line>
      </w:pict>
    </w:r>
    <w:r>
      <w:rPr/>
      <w:pict>
        <v:shape style="position:absolute;margin-left:483.600403pt;margin-top:10.524212pt;width:41.95pt;height:13.05pt;mso-position-horizontal-relative:page;mso-position-vertical-relative:page;z-index:-2452432" type="#_x0000_t202" filled="false" stroked="false">
          <v:textbox inset="0,0,0,0">
            <w:txbxContent>
              <w:p>
                <w:pPr>
                  <w:pStyle w:val="BodyText"/>
                  <w:spacing w:before="10"/>
                  <w:ind w:left="20"/>
                </w:pPr>
                <w:r>
                  <w:rPr/>
                  <w:t>Grassland</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2408"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52384"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352" from="70.960999pt,28.32pt" to="524.440999pt,28.32pt" stroked="true" strokeweight=".75pt" strokecolor="#010101">
          <v:stroke dashstyle="solid"/>
          <w10:wrap type="none"/>
        </v:line>
      </w:pict>
    </w:r>
    <w:r>
      <w:rPr/>
      <w:pict>
        <v:shape style="position:absolute;margin-left:485.880249pt;margin-top:10.524212pt;width:39.7pt;height:13.05pt;mso-position-horizontal-relative:page;mso-position-vertical-relative:page;z-index:-2451328" type="#_x0000_t202" filled="false" stroked="false">
          <v:textbox inset="0,0,0,0">
            <w:txbxContent>
              <w:p>
                <w:pPr>
                  <w:pStyle w:val="BodyText"/>
                  <w:spacing w:before="10"/>
                  <w:ind w:left="20"/>
                </w:pPr>
                <w:r>
                  <w:rPr/>
                  <w:t>Wetlands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1304"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51280"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968"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50944"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920" from="70.960999pt,28.32pt" to="524.440999pt,28.32pt" stroked="true" strokeweight=".75pt" strokecolor="#010101">
          <v:stroke dashstyle="solid"/>
          <w10:wrap type="none"/>
        </v:line>
      </w:pict>
    </w:r>
    <w:r>
      <w:rPr/>
      <w:pict>
        <v:shape style="position:absolute;margin-left:477.840607pt;margin-top:10.524212pt;width:47.6pt;height:13.05pt;mso-position-horizontal-relative:page;mso-position-vertical-relative:page;z-index:-2450896" type="#_x0000_t202" filled="false" stroked="false">
          <v:textbox inset="0,0,0,0">
            <w:txbxContent>
              <w:p>
                <w:pPr>
                  <w:pStyle w:val="BodyText"/>
                  <w:spacing w:before="10"/>
                  <w:ind w:left="20"/>
                </w:pPr>
                <w:r>
                  <w:rPr/>
                  <w:t>Other Land</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872" from="70.960999pt,28.32pt" to="524.440999pt,28.32pt" stroked="true" strokeweight=".75pt" strokecolor="#010101">
          <v:stroke dashstyle="solid"/>
          <w10:wrap type="none"/>
        </v:line>
      </w:pict>
    </w:r>
    <w:r>
      <w:rPr/>
      <w:pict>
        <v:shape style="position:absolute;margin-left:479.280731pt;margin-top:10.524212pt;width:46.4pt;height:13.05pt;mso-position-horizontal-relative:page;mso-position-vertical-relative:page;z-index:-2450848" type="#_x0000_t202" filled="false" stroked="false">
          <v:textbox inset="0,0,0,0">
            <w:txbxContent>
              <w:p>
                <w:pPr>
                  <w:pStyle w:val="BodyText"/>
                  <w:spacing w:before="10"/>
                  <w:ind w:left="20"/>
                </w:pPr>
                <w:r>
                  <w:rPr/>
                  <w:t>References</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824" from="72.041pt,28.92pt" to="525.641pt,28.9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50800"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344" from="70.960999pt,28.32pt" to="524.440999pt,28.32pt" stroked="true" strokeweight=".75pt" strokecolor="#010101">
          <v:stroke dashstyle="solid"/>
          <w10:wrap type="none"/>
        </v:line>
      </w:pict>
    </w:r>
    <w:r>
      <w:rPr/>
      <w:pict>
        <v:shape style="position:absolute;margin-left:474.721069pt;margin-top:10.524212pt;width:50.8pt;height:13.05pt;mso-position-horizontal-relative:page;mso-position-vertical-relative:page;z-index:-2450320" type="#_x0000_t202" filled="false" stroked="false">
          <v:textbox inset="0,0,0,0">
            <w:txbxContent>
              <w:p>
                <w:pPr>
                  <w:pStyle w:val="BodyText"/>
                  <w:spacing w:before="10"/>
                  <w:ind w:left="20"/>
                </w:pPr>
                <w:r>
                  <w:rPr/>
                  <w:t>Annex 3A.1</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0296"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50272"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9168" from="69.480003pt,67.439003pt" to="792.360003pt,67.439003pt" stroked="true" strokeweight=".75pt" strokecolor="#010101">
          <v:stroke dashstyle="solid"/>
          <w10:wrap type="none"/>
        </v:line>
      </w:pict>
    </w:r>
    <w:r>
      <w:rPr/>
      <w:pict>
        <v:shape style="position:absolute;margin-left:744.0802pt;margin-top:50.723335pt;width:50.8pt;height:13.05pt;mso-position-horizontal-relative:page;mso-position-vertical-relative:page;z-index:-2449144" type="#_x0000_t202" filled="false" stroked="false">
          <v:textbox inset="0,0,0,0">
            <w:txbxContent>
              <w:p>
                <w:pPr>
                  <w:pStyle w:val="BodyText"/>
                  <w:spacing w:before="10"/>
                  <w:ind w:left="20"/>
                </w:pPr>
                <w:r>
                  <w:rPr/>
                  <w:t>Annex 3A.2</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9.919701pt;margin-top:16.283648pt;width:200.3pt;height:13.05pt;mso-position-horizontal-relative:page;mso-position-vertical-relative:page;z-index:-2449120"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808" from="68.879997pt,37.199001pt" to="792.839997pt,37.199001pt" stroked="true" strokeweight=".75pt" strokecolor="#010101">
          <v:stroke dashstyle="solid"/>
          <w10:wrap type="none"/>
        </v:line>
      </w:pict>
    </w:r>
    <w:r>
      <w:rPr/>
      <w:pict>
        <v:shape style="position:absolute;margin-left:69.919701pt;margin-top:21.924128pt;width:200.3pt;height:13.05pt;mso-position-horizontal-relative:page;mso-position-vertical-relative:page;z-index:-2448784"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760" from="68.879997pt,60.118999pt" to="792.839997pt,60.118999pt" stroked="true" strokeweight=".75pt" strokecolor="#010101">
          <v:stroke dashstyle="solid"/>
          <w10:wrap type="none"/>
        </v:line>
      </w:pict>
    </w:r>
    <w:r>
      <w:rPr/>
      <w:pict>
        <v:shape style="position:absolute;margin-left:744.0802pt;margin-top:44.9636pt;width:50.8pt;height:13.05pt;mso-position-horizontal-relative:page;mso-position-vertical-relative:page;z-index:-2448736" type="#_x0000_t202" filled="false" stroked="false">
          <v:textbox inset="0,0,0,0">
            <w:txbxContent>
              <w:p>
                <w:pPr>
                  <w:pStyle w:val="BodyText"/>
                  <w:spacing w:before="10"/>
                  <w:ind w:left="20"/>
                </w:pPr>
                <w:r>
                  <w:rPr/>
                  <w:t>Annex 3A.2</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568" from="68.879997pt,71.639pt" to="792.839997pt,71.639pt" stroked="true" strokeweight=".75pt" strokecolor="#010101">
          <v:stroke dashstyle="solid"/>
          <w10:wrap type="none"/>
        </v:line>
      </w:pict>
    </w:r>
    <w:r>
      <w:rPr/>
      <w:pict>
        <v:shape style="position:absolute;margin-left:744.0802pt;margin-top:56.483337pt;width:50.8pt;height:13.05pt;mso-position-horizontal-relative:page;mso-position-vertical-relative:page;z-index:-2448544" type="#_x0000_t202" filled="false" stroked="false">
          <v:textbox inset="0,0,0,0">
            <w:txbxContent>
              <w:p>
                <w:pPr>
                  <w:pStyle w:val="BodyText"/>
                  <w:spacing w:before="10"/>
                  <w:ind w:left="20"/>
                </w:pPr>
                <w:r>
                  <w:rPr/>
                  <w:t>Annex 3A.2</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8520" from="68.879997pt,37.199001pt" to="792.839997pt,37.199001pt" stroked="true" strokeweight=".75pt" strokecolor="#010101">
          <v:stroke dashstyle="solid"/>
          <w10:wrap type="none"/>
        </v:line>
      </w:pict>
    </w:r>
    <w:r>
      <w:rPr/>
      <w:pict>
        <v:shape style="position:absolute;margin-left:69.919701pt;margin-top:21.924128pt;width:200.3pt;height:13.05pt;mso-position-horizontal-relative:page;mso-position-vertical-relative:page;z-index:-2448496"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7032" from="71.081001pt,28.32pt" to="524.681001pt,28.32pt" stroked="true" strokeweight=".75pt" strokecolor="#010101">
          <v:stroke dashstyle="solid"/>
          <w10:wrap type="none"/>
        </v:line>
      </w:pict>
    </w:r>
    <w:r>
      <w:rPr/>
      <w:pict>
        <v:shape style="position:absolute;margin-left:464.640533pt;margin-top:10.764112pt;width:60.95pt;height:13.05pt;mso-position-horizontal-relative:page;mso-position-vertical-relative:page;z-index:-2447008" type="#_x0000_t202" filled="false" stroked="false">
          <v:textbox inset="0,0,0,0">
            <w:txbxContent>
              <w:p>
                <w:pPr>
                  <w:pStyle w:val="BodyText"/>
                  <w:spacing w:before="10"/>
                  <w:ind w:left="20"/>
                </w:pPr>
                <w:r>
                  <w:rPr/>
                  <w:t>Appendix 3a.1</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712" from="70.960999pt,28.32pt" to="524.440999pt,28.32pt" stroked="true" strokeweight=".75pt" strokecolor="#010101">
          <v:stroke dashstyle="solid"/>
          <w10:wrap type="none"/>
        </v:line>
      </w:pict>
    </w:r>
    <w:r>
      <w:rPr/>
      <w:pict>
        <v:shape style="position:absolute;margin-left:69.960602pt;margin-top:10.524212pt;width:85.9pt;height:13.05pt;mso-position-horizontal-relative:page;mso-position-vertical-relative:page;z-index:-2454688" type="#_x0000_t202" filled="false" stroked="false">
          <v:textbox inset="0,0,0,0">
            <w:txbxContent>
              <w:p>
                <w:pPr>
                  <w:pStyle w:val="BodyText"/>
                  <w:spacing w:before="10"/>
                  <w:ind w:left="20"/>
                </w:pPr>
                <w:r>
                  <w:rPr/>
                  <w:t>Chapter 1: Overview</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984" from="71.081001pt,28.32pt" to="524.681001pt,28.32pt" stroked="true" strokeweight=".75pt" strokecolor="#010101">
          <v:stroke dashstyle="solid"/>
          <w10:wrap type="none"/>
        </v:line>
      </w:pict>
    </w:r>
    <w:r>
      <w:rPr/>
      <w:pict>
        <v:shape style="position:absolute;margin-left:69.960602pt;margin-top:10.764112pt;width:200.3pt;height:13.05pt;mso-position-horizontal-relative:page;mso-position-vertical-relative:page;z-index:-2446960"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360" from="71.081001pt,28.32pt" to="524.681001pt,28.32pt" stroked="true" strokeweight=".75pt" strokecolor="#010101">
          <v:stroke dashstyle="solid"/>
          <w10:wrap type="none"/>
        </v:line>
      </w:pict>
    </w:r>
    <w:r>
      <w:rPr/>
      <w:pict>
        <v:shape style="position:absolute;margin-left:69.960602pt;margin-top:10.764112pt;width:200.3pt;height:13.05pt;mso-position-horizontal-relative:page;mso-position-vertical-relative:page;z-index:-2446336"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168" from="71.081001pt,28.32pt" to="524.681001pt,28.32pt" stroked="true" strokeweight=".75pt" strokecolor="#010101">
          <v:stroke dashstyle="solid"/>
          <w10:wrap type="none"/>
        </v:line>
      </w:pict>
    </w:r>
    <w:r>
      <w:rPr/>
      <w:pict>
        <v:shape style="position:absolute;margin-left:69.960602pt;margin-top:10.764112pt;width:200.3pt;height:13.05pt;mso-position-horizontal-relative:page;mso-position-vertical-relative:page;z-index:-2446144"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6120" from="70.960999pt,28.32pt" to="524.440999pt,28.32pt" stroked="true" strokeweight=".75pt" strokecolor="#010101">
          <v:stroke dashstyle="solid"/>
          <w10:wrap type="none"/>
        </v:line>
      </w:pict>
    </w:r>
    <w:r>
      <w:rPr/>
      <w:pict>
        <v:shape style="position:absolute;margin-left:464.640533pt;margin-top:10.524212pt;width:60.95pt;height:13.05pt;mso-position-horizontal-relative:page;mso-position-vertical-relative:page;z-index:-2446096" type="#_x0000_t202" filled="false" stroked="false">
          <v:textbox inset="0,0,0,0">
            <w:txbxContent>
              <w:p>
                <w:pPr>
                  <w:pStyle w:val="BodyText"/>
                  <w:spacing w:before="10"/>
                  <w:ind w:left="20"/>
                </w:pPr>
                <w:r>
                  <w:rPr/>
                  <w:t>Appendix 3a.2</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928" from="70.960999pt,28.32pt" to="524.440999pt,28.32pt" stroked="true" strokeweight=".75pt" strokecolor="#010101">
          <v:stroke dashstyle="solid"/>
          <w10:wrap type="none"/>
        </v:line>
      </w:pict>
    </w:r>
    <w:r>
      <w:rPr/>
      <w:pict>
        <v:shape style="position:absolute;margin-left:464.640533pt;margin-top:10.524212pt;width:60.95pt;height:13.05pt;mso-position-horizontal-relative:page;mso-position-vertical-relative:page;z-index:-2445904" type="#_x0000_t202" filled="false" stroked="false">
          <v:textbox inset="0,0,0,0">
            <w:txbxContent>
              <w:p>
                <w:pPr>
                  <w:pStyle w:val="BodyText"/>
                  <w:spacing w:before="10"/>
                  <w:ind w:left="20"/>
                </w:pPr>
                <w:r>
                  <w:rPr/>
                  <w:t>Appendix 3a.3</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880"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45856"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256" from="70.960999pt,28.32pt" to="524.440999pt,28.32pt" stroked="true" strokeweight=".75pt" strokecolor="#010101">
          <v:stroke dashstyle="solid"/>
          <w10:wrap type="none"/>
        </v:line>
      </w:pict>
    </w:r>
    <w:r>
      <w:rPr/>
      <w:pict>
        <v:shape style="position:absolute;margin-left:464.640533pt;margin-top:10.524212pt;width:60.95pt;height:13.05pt;mso-position-horizontal-relative:page;mso-position-vertical-relative:page;z-index:-2445232" type="#_x0000_t202" filled="false" stroked="false">
          <v:textbox inset="0,0,0,0">
            <w:txbxContent>
              <w:p>
                <w:pPr>
                  <w:pStyle w:val="BodyText"/>
                  <w:spacing w:before="10"/>
                  <w:ind w:left="20"/>
                </w:pPr>
                <w:r>
                  <w:rPr/>
                  <w:t>Appendix 3a.4</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5208" from="70.960999pt,28.32pt" to="524.440999pt,28.32pt" stroked="true" strokeweight=".75pt" strokecolor="#010101">
          <v:stroke dashstyle="solid"/>
          <w10:wrap type="none"/>
        </v:line>
      </w:pict>
    </w:r>
    <w:r>
      <w:rPr/>
      <w:pict>
        <v:shape style="position:absolute;margin-left:69.960602pt;margin-top:10.524212pt;width:200.3pt;height:13.05pt;mso-position-horizontal-relative:page;mso-position-vertical-relative:page;z-index:-2445184" type="#_x0000_t202" filled="false" stroked="false">
          <v:textbox inset="0,0,0,0">
            <w:txbxContent>
              <w:p>
                <w:pPr>
                  <w:pStyle w:val="BodyText"/>
                  <w:spacing w:before="10"/>
                  <w:ind w:left="20"/>
                </w:pPr>
                <w:r>
                  <w:rPr/>
                  <w:t>Chapter 3: LUCF Sector Good Practice Guidance</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54664" from="70.960999pt,28.32pt" to="524.440999pt,28.32pt" stroked="true" strokeweight=".75pt" strokecolor="#010101">
          <v:stroke dashstyle="solid"/>
          <w10:wrap type="none"/>
        </v:line>
      </w:pict>
    </w:r>
    <w:r>
      <w:rPr/>
      <w:pict>
        <v:shape style="position:absolute;margin-left:439.800293pt;margin-top:10.524212pt;width:85.9pt;height:13.05pt;mso-position-horizontal-relative:page;mso-position-vertical-relative:page;z-index:-2454640" type="#_x0000_t202" filled="false" stroked="false">
          <v:textbox inset="0,0,0,0">
            <w:txbxContent>
              <w:p>
                <w:pPr>
                  <w:pStyle w:val="BodyText"/>
                  <w:spacing w:before="10"/>
                  <w:ind w:left="20"/>
                </w:pPr>
                <w:r>
                  <w:rPr/>
                  <w:t>Chapter 1: Overview</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992" from="70.960999pt,28.32pt" to="524.440999pt,28.32pt" stroked="true" strokeweight=".75pt" strokecolor="#010101">
          <v:stroke dashstyle="solid"/>
          <w10:wrap type="none"/>
        </v:line>
      </w:pict>
    </w:r>
    <w:r>
      <w:rPr/>
      <w:pict>
        <v:shape style="position:absolute;margin-left:69.960602pt;margin-top:10.524212pt;width:394.9pt;height:13.05pt;mso-position-horizontal-relative:page;mso-position-vertical-relative:page;z-index:-2444968"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944" from="70.960999pt,28.32pt" to="524.440999pt,28.32pt" stroked="true" strokeweight=".75pt" strokecolor="#010101">
          <v:stroke dashstyle="solid"/>
          <w10:wrap type="none"/>
        </v:line>
      </w:pict>
    </w:r>
    <w:r>
      <w:rPr/>
      <w:pict>
        <v:shape style="position:absolute;margin-left:130.680740pt;margin-top:10.524212pt;width:394.9pt;height:13.05pt;mso-position-horizontal-relative:page;mso-position-vertical-relative:page;z-index:-2444920"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752" from="70.960999pt,28.32pt" to="524.440999pt,28.32pt" stroked="true" strokeweight=".75pt" strokecolor="#010101">
          <v:stroke dashstyle="solid"/>
          <w10:wrap type="none"/>
        </v:line>
      </w:pict>
    </w:r>
    <w:r>
      <w:rPr/>
      <w:pict>
        <v:shape style="position:absolute;margin-left:474.240997pt;margin-top:10.524212pt;width:51.4pt;height:13.05pt;mso-position-horizontal-relative:page;mso-position-vertical-relative:page;z-index:-2444728" type="#_x0000_t202" filled="false" stroked="false">
          <v:textbox inset="0,0,0,0">
            <w:txbxContent>
              <w:p>
                <w:pPr>
                  <w:pStyle w:val="BodyText"/>
                  <w:spacing w:before="10"/>
                  <w:ind w:left="20"/>
                </w:pPr>
                <w:r>
                  <w:rPr/>
                  <w:t>Introduction</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704" from="70.960999pt,28.32pt" to="524.440999pt,28.32pt" stroked="true" strokeweight=".75pt" strokecolor="#010101">
          <v:stroke dashstyle="solid"/>
          <w10:wrap type="none"/>
        </v:line>
      </w:pict>
    </w:r>
    <w:r>
      <w:rPr/>
      <w:pict>
        <v:shape style="position:absolute;margin-left:69.960602pt;margin-top:10.524212pt;width:394.9pt;height:13.05pt;mso-position-horizontal-relative:page;mso-position-vertical-relative:page;z-index:-2444680"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656" from="70.960999pt,28.32pt" to="524.440999pt,28.32pt" stroked="true" strokeweight=".75pt" strokecolor="#010101">
          <v:stroke dashstyle="solid"/>
          <w10:wrap type="none"/>
        </v:line>
      </w:pict>
    </w:r>
    <w:r>
      <w:rPr/>
      <w:pict>
        <v:shape style="position:absolute;margin-left:75.720467pt;margin-top:10.524212pt;width:450pt;height:13.05pt;mso-position-horizontal-relative:page;mso-position-vertical-relative:page;z-index:-2444632" type="#_x0000_t202" filled="false" stroked="false">
          <v:textbox inset="0,0,0,0">
            <w:txbxContent>
              <w:p>
                <w:pPr>
                  <w:pStyle w:val="BodyText"/>
                  <w:spacing w:before="10"/>
                  <w:ind w:left="20"/>
                </w:pPr>
                <w:r>
                  <w:rPr/>
                  <w:t>Methods for estimation, measurement, monitoring and reporting of LULUCF activities under Articles 3.3 &amp; 3.4</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608" from="70.960999pt,28.32pt" to="524.440999pt,28.32pt" stroked="true" strokeweight=".75pt" strokecolor="#010101">
          <v:stroke dashstyle="solid"/>
          <w10:wrap type="none"/>
        </v:line>
      </w:pict>
    </w:r>
    <w:r>
      <w:rPr/>
      <w:pict>
        <v:shape style="position:absolute;margin-left:69.960602pt;margin-top:10.524212pt;width:394.9pt;height:13.05pt;mso-position-horizontal-relative:page;mso-position-vertical-relative:page;z-index:-2444584"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560" from="69.480003pt,28.319pt" to="792.360003pt,28.319pt" stroked="true" strokeweight=".75pt" strokecolor="#010101">
          <v:stroke dashstyle="solid"/>
          <w10:wrap type="none"/>
        </v:line>
      </w:pict>
    </w:r>
    <w:r>
      <w:rPr/>
      <w:pict>
        <v:shape style="position:absolute;margin-left:69.919701pt;margin-top:10.523911pt;width:394.9pt;height:13.05pt;mso-position-horizontal-relative:page;mso-position-vertical-relative:page;z-index:-2444536"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512" from="69.480003pt,70.918999pt" to="792.360003pt,70.918999pt" stroked="true" strokeweight=".75pt" strokecolor="#010101">
          <v:stroke dashstyle="solid"/>
          <w10:wrap type="none"/>
        </v:line>
      </w:pict>
    </w:r>
    <w:r>
      <w:rPr/>
      <w:pict>
        <v:shape style="position:absolute;margin-left:345.079193pt;margin-top:56.483337pt;width:450pt;height:13.05pt;mso-position-horizontal-relative:page;mso-position-vertical-relative:page;z-index:-2444488" type="#_x0000_t202" filled="false" stroked="false">
          <v:textbox inset="0,0,0,0">
            <w:txbxContent>
              <w:p>
                <w:pPr>
                  <w:pStyle w:val="BodyText"/>
                  <w:spacing w:before="10"/>
                  <w:ind w:left="20"/>
                </w:pPr>
                <w:r>
                  <w:rPr/>
                  <w:t>Methods for estimation, measurement, monitoring and reporting of LULUCF activities under Articles 3.3 &amp; 3.4</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320" from="70.960999pt,28.32pt" to="524.440999pt,28.32pt" stroked="true" strokeweight=".75pt" strokecolor="#010101">
          <v:stroke dashstyle="solid"/>
          <w10:wrap type="none"/>
        </v:line>
      </w:pict>
    </w:r>
    <w:r>
      <w:rPr/>
      <w:pict>
        <v:shape style="position:absolute;margin-left:69.600601pt;margin-top:10.764112pt;width:394.9pt;height:13.05pt;mso-position-horizontal-relative:page;mso-position-vertical-relative:page;z-index:-2444296"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128" from="70.960999pt,28.32pt" to="524.440999pt,28.32pt" stroked="true" strokeweight=".75pt" strokecolor="#010101">
          <v:stroke dashstyle="solid"/>
          <w10:wrap type="none"/>
        </v:line>
      </w:pict>
    </w:r>
    <w:r>
      <w:rPr/>
      <w:pict>
        <v:shape style="position:absolute;margin-left:69.600601pt;margin-top:10.644212pt;width:394.9pt;height:13.05pt;mso-position-horizontal-relative:page;mso-position-vertical-relative:page;z-index:-2444104"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4080" from="70.960999pt,28.32pt" to="524.440999pt,28.32pt" stroked="true" strokeweight=".75pt" strokecolor="#010101">
          <v:stroke dashstyle="solid"/>
          <w10:wrap type="none"/>
        </v:line>
      </w:pict>
    </w:r>
    <w:r>
      <w:rPr/>
      <w:pict>
        <v:shape style="position:absolute;margin-left:449.880829pt;margin-top:10.524212pt;width:75.8pt;height:13.05pt;mso-position-horizontal-relative:page;mso-position-vertical-relative:page;z-index:-2444056" type="#_x0000_t202" filled="false" stroked="false">
          <v:textbox inset="0,0,0,0">
            <w:txbxContent>
              <w:p>
                <w:pPr>
                  <w:pStyle w:val="BodyText"/>
                  <w:spacing w:before="10"/>
                  <w:ind w:left="20"/>
                </w:pPr>
                <w:r>
                  <w:rPr/>
                  <w:t>LULUCF Projects</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456" from="70.960999pt,28.32pt" to="524.440999pt,28.32pt" stroked="true" strokeweight=".75pt" strokecolor="#010101">
          <v:stroke dashstyle="solid"/>
          <w10:wrap type="none"/>
        </v:line>
      </w:pict>
    </w:r>
    <w:r>
      <w:rPr/>
      <w:pict>
        <v:shape style="position:absolute;margin-left:474.720612pt;margin-top:10.524212pt;width:50.8pt;height:13.05pt;mso-position-horizontal-relative:page;mso-position-vertical-relative:page;z-index:-2443432" type="#_x0000_t202" filled="false" stroked="false">
          <v:textbox inset="0,0,0,0">
            <w:txbxContent>
              <w:p>
                <w:pPr>
                  <w:pStyle w:val="BodyText"/>
                  <w:spacing w:before="10"/>
                  <w:ind w:left="20"/>
                </w:pPr>
                <w:r>
                  <w:rPr/>
                  <w:t>Annex 4A.1</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408" from="70.960999pt,28.32pt" to="524.440999pt,28.32pt" stroked="true" strokeweight=".75pt" strokecolor="#010101">
          <v:stroke dashstyle="solid"/>
          <w10:wrap type="none"/>
        </v:line>
      </w:pict>
    </w:r>
    <w:r>
      <w:rPr/>
      <w:pict>
        <v:shape style="position:absolute;margin-left:69.960602pt;margin-top:10.524212pt;width:394.9pt;height:13.05pt;mso-position-horizontal-relative:page;mso-position-vertical-relative:page;z-index:-2443384"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360" from="70.960999pt,28.32pt" to="524.440999pt,28.32pt" stroked="true" strokeweight=".75pt" strokecolor="#010101">
          <v:stroke dashstyle="solid"/>
          <w10:wrap type="none"/>
        </v:line>
      </w:pict>
    </w:r>
    <w:r>
      <w:rPr/>
      <w:pict>
        <v:shape style="position:absolute;margin-left:474.720612pt;margin-top:10.524212pt;width:50.8pt;height:13.05pt;mso-position-horizontal-relative:page;mso-position-vertical-relative:page;z-index:-2443336" type="#_x0000_t202" filled="false" stroked="false">
          <v:textbox inset="0,0,0,0">
            <w:txbxContent>
              <w:p>
                <w:pPr>
                  <w:pStyle w:val="BodyText"/>
                  <w:spacing w:before="10"/>
                  <w:ind w:left="20"/>
                </w:pPr>
                <w:r>
                  <w:rPr/>
                  <w:t>Annex 4A.2</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0.960999pt;margin-top:28.32pt;width:453.5pt;height:.1pt;mso-position-horizontal-relative:page;mso-position-vertical-relative:page;z-index:-2454352" coordorigin="1419,566" coordsize="9070,0" path="m1419,566l10489,566m1419,566l10489,566e" filled="false" stroked="true" strokeweight=".75pt" strokecolor="#010101">
          <v:path arrowok="t"/>
          <v:stroke dashstyle="solid"/>
          <w10:wrap type="none"/>
        </v:shape>
      </w:pict>
    </w:r>
    <w:r>
      <w:rPr/>
      <w:pict>
        <v:shape style="position:absolute;margin-left:69.960602pt;margin-top:10.524212pt;width:249.25pt;height:13.05pt;mso-position-horizontal-relative:page;mso-position-vertical-relative:page;z-index:-2454328" type="#_x0000_t202" filled="false" stroked="false">
          <v:textbox inset="0,0,0,0">
            <w:txbxContent>
              <w:p>
                <w:pPr>
                  <w:pStyle w:val="BodyText"/>
                  <w:spacing w:before="10"/>
                  <w:ind w:left="20"/>
                </w:pPr>
                <w:r>
                  <w:rPr/>
                  <w:t>Chapter 2: Basis for Consistent Representation of Land Areas</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312" from="70.960999pt,28.32pt" to="524.440999pt,28.32pt" stroked="true" strokeweight=".75pt" strokecolor="#010101">
          <v:stroke dashstyle="solid"/>
          <w10:wrap type="none"/>
        </v:line>
      </w:pict>
    </w:r>
    <w:r>
      <w:rPr/>
      <w:pict>
        <v:shape style="position:absolute;margin-left:69.960602pt;margin-top:10.524212pt;width:394.9pt;height:13.05pt;mso-position-horizontal-relative:page;mso-position-vertical-relative:page;z-index:-2443288"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264" from="70.960999pt,28.32pt" to="524.440999pt,28.32pt" stroked="true" strokeweight=".75pt" strokecolor="#010101">
          <v:stroke dashstyle="solid"/>
          <w10:wrap type="none"/>
        </v:line>
      </w:pict>
    </w:r>
    <w:r>
      <w:rPr/>
      <w:pict>
        <v:shape style="position:absolute;margin-left:479.280731pt;margin-top:10.524212pt;width:46.4pt;height:13.05pt;mso-position-horizontal-relative:page;mso-position-vertical-relative:page;z-index:-2443240" type="#_x0000_t202" filled="false" stroked="false">
          <v:textbox inset="0,0,0,0">
            <w:txbxContent>
              <w:p>
                <w:pPr>
                  <w:pStyle w:val="BodyText"/>
                  <w:spacing w:before="10"/>
                  <w:ind w:left="20"/>
                </w:pPr>
                <w:r>
                  <w:rPr/>
                  <w:t>References</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216" from="70.960999pt,28.32pt" to="524.440999pt,28.32pt" stroked="true" strokeweight=".75pt" strokecolor="#010101">
          <v:stroke dashstyle="solid"/>
          <w10:wrap type="none"/>
        </v:line>
      </w:pict>
    </w:r>
    <w:r>
      <w:rPr/>
      <w:pict>
        <v:shape style="position:absolute;margin-left:69.960602pt;margin-top:10.524212pt;width:394.9pt;height:13.05pt;mso-position-horizontal-relative:page;mso-position-vertical-relative:page;z-index:-2443192"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3024" from="70.960999pt,28.32pt" to="524.440999pt,28.32pt" stroked="true" strokeweight=".75pt" strokecolor="#010101">
          <v:stroke dashstyle="solid"/>
          <w10:wrap type="none"/>
        </v:line>
      </w:pict>
    </w:r>
    <w:r>
      <w:rPr/>
      <w:pict>
        <v:shape style="position:absolute;margin-left:75.720467pt;margin-top:10.524212pt;width:450pt;height:13.05pt;mso-position-horizontal-relative:page;mso-position-vertical-relative:page;z-index:-2443000" type="#_x0000_t202" filled="false" stroked="false">
          <v:textbox inset="0,0,0,0">
            <w:txbxContent>
              <w:p>
                <w:pPr>
                  <w:pStyle w:val="BodyText"/>
                  <w:spacing w:before="10"/>
                  <w:ind w:left="20"/>
                </w:pPr>
                <w:r>
                  <w:rPr/>
                  <w:t>Methods for estimation, measurement, monitoring and reporting of LULUCF activities under Articles 3.3 &amp; 3.4</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70.960999pt;margin-top:28.32pt;width:453.5pt;height:.1pt;mso-position-horizontal-relative:page;mso-position-vertical-relative:page;z-index:-2442976" coordorigin="1419,566" coordsize="9070,0" path="m1419,566l10489,566m1419,566l10489,566e" filled="false" stroked="true" strokeweight=".75pt" strokecolor="#010101">
          <v:path arrowok="t"/>
          <v:stroke dashstyle="solid"/>
          <w10:wrap type="none"/>
        </v:shape>
      </w:pict>
    </w:r>
    <w:r>
      <w:rPr/>
      <w:pict>
        <v:shape style="position:absolute;margin-left:69.960602pt;margin-top:10.524212pt;width:394.9pt;height:13.05pt;mso-position-horizontal-relative:page;mso-position-vertical-relative:page;z-index:-2442952" type="#_x0000_t202" filled="false" stroked="false">
          <v:textbox inset="0,0,0,0">
            <w:txbxContent>
              <w:p>
                <w:pPr>
                  <w:pStyle w:val="BodyText"/>
                  <w:spacing w:before="10"/>
                  <w:ind w:left="20"/>
                </w:pPr>
                <w:r>
                  <w:rPr/>
                  <w:t>Chapter 4: Supplementary Methods and Good Practice Guidance Arising from the Kyoto Protocol</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664" from="70.960999pt,28.32pt" to="524.440999pt,28.32pt" stroked="true" strokeweight=".75pt" strokecolor="#010101">
          <v:stroke dashstyle="solid"/>
          <w10:wrap type="none"/>
        </v:line>
      </w:pict>
    </w:r>
    <w:r>
      <w:rPr/>
      <w:pict>
        <v:shape style="position:absolute;margin-left:69.960602pt;margin-top:10.524212pt;width:129.5500pt;height:13.05pt;mso-position-horizontal-relative:page;mso-position-vertical-relative:page;z-index:-2442640" type="#_x0000_t202" filled="false" stroked="false">
          <v:textbox inset="0,0,0,0">
            <w:txbxContent>
              <w:p>
                <w:pPr>
                  <w:pStyle w:val="BodyText"/>
                  <w:spacing w:before="10"/>
                  <w:ind w:left="20"/>
                </w:pPr>
                <w:r>
                  <w:rPr/>
                  <w:t>Chapter 5: Cross-Cutting Issues</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616" from="70.960999pt,28.32pt" to="524.440999pt,28.32pt" stroked="true" strokeweight=".75pt" strokecolor="#010101">
          <v:stroke dashstyle="solid"/>
          <w10:wrap type="none"/>
        </v:line>
      </w:pict>
    </w:r>
    <w:r>
      <w:rPr/>
      <w:pict>
        <v:shape style="position:absolute;margin-left:396.120728pt;margin-top:10.524212pt;width:129.5500pt;height:13.05pt;mso-position-horizontal-relative:page;mso-position-vertical-relative:page;z-index:-2442592" type="#_x0000_t202" filled="false" stroked="false">
          <v:textbox inset="0,0,0,0">
            <w:txbxContent>
              <w:p>
                <w:pPr>
                  <w:pStyle w:val="BodyText"/>
                  <w:spacing w:before="10"/>
                  <w:ind w:left="20"/>
                </w:pPr>
                <w:r>
                  <w:rPr/>
                  <w:t>Chapter 5: Cross-Cutting Issues</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424" from="70.960999pt,28.32pt" to="524.440999pt,28.32pt" stroked="true" strokeweight=".75pt" strokecolor="#010101">
          <v:stroke dashstyle="solid"/>
          <w10:wrap type="none"/>
        </v:line>
      </w:pict>
    </w:r>
    <w:r>
      <w:rPr/>
      <w:pict>
        <v:shape style="position:absolute;margin-left:474.240997pt;margin-top:10.524212pt;width:51.4pt;height:13.05pt;mso-position-horizontal-relative:page;mso-position-vertical-relative:page;z-index:-2442400" type="#_x0000_t202" filled="false" stroked="false">
          <v:textbox inset="0,0,0,0">
            <w:txbxContent>
              <w:p>
                <w:pPr>
                  <w:pStyle w:val="BodyText"/>
                  <w:spacing w:before="10"/>
                  <w:ind w:left="20"/>
                </w:pPr>
                <w:r>
                  <w:rPr/>
                  <w:t>Introduction</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442376" from="70.960999pt,28.32pt" to="524.440999pt,28.32pt" stroked="true" strokeweight=".75pt" strokecolor="#010101">
          <v:stroke dashstyle="solid"/>
          <w10:wrap type="none"/>
        </v:line>
      </w:pict>
    </w:r>
    <w:r>
      <w:rPr/>
      <w:pict>
        <v:shape style="position:absolute;margin-left:69.960602pt;margin-top:10.524212pt;width:129.5500pt;height:13.05pt;mso-position-horizontal-relative:page;mso-position-vertical-relative:page;z-index:-2442352" type="#_x0000_t202" filled="false" stroked="false">
          <v:textbox inset="0,0,0,0">
            <w:txbxContent>
              <w:p>
                <w:pPr>
                  <w:pStyle w:val="BodyText"/>
                  <w:spacing w:before="10"/>
                  <w:ind w:left="20"/>
                </w:pPr>
                <w:r>
                  <w:rPr/>
                  <w:t>Chapter 5: Cross-Cutting Issues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04">
    <w:multiLevelType w:val="hybridMultilevel"/>
    <w:lvl w:ilvl="0">
      <w:start w:val="1"/>
      <w:numFmt w:val="lowerRoman"/>
      <w:lvlText w:val="(%1)"/>
      <w:lvlJc w:val="left"/>
      <w:pPr>
        <w:ind w:left="1236" w:hanging="478"/>
        <w:jc w:val="left"/>
      </w:pPr>
      <w:rPr>
        <w:rFonts w:hint="default" w:ascii="Times New Roman" w:hAnsi="Times New Roman" w:eastAsia="Times New Roman" w:cs="Times New Roman"/>
        <w:w w:val="99"/>
        <w:sz w:val="20"/>
        <w:szCs w:val="20"/>
      </w:rPr>
    </w:lvl>
    <w:lvl w:ilvl="1">
      <w:start w:val="0"/>
      <w:numFmt w:val="bullet"/>
      <w:lvlText w:val="•"/>
      <w:lvlJc w:val="left"/>
      <w:pPr>
        <w:ind w:left="2056" w:hanging="478"/>
      </w:pPr>
      <w:rPr>
        <w:rFonts w:hint="default"/>
      </w:rPr>
    </w:lvl>
    <w:lvl w:ilvl="2">
      <w:start w:val="0"/>
      <w:numFmt w:val="bullet"/>
      <w:lvlText w:val="•"/>
      <w:lvlJc w:val="left"/>
      <w:pPr>
        <w:ind w:left="2872" w:hanging="478"/>
      </w:pPr>
      <w:rPr>
        <w:rFonts w:hint="default"/>
      </w:rPr>
    </w:lvl>
    <w:lvl w:ilvl="3">
      <w:start w:val="0"/>
      <w:numFmt w:val="bullet"/>
      <w:lvlText w:val="•"/>
      <w:lvlJc w:val="left"/>
      <w:pPr>
        <w:ind w:left="3688" w:hanging="478"/>
      </w:pPr>
      <w:rPr>
        <w:rFonts w:hint="default"/>
      </w:rPr>
    </w:lvl>
    <w:lvl w:ilvl="4">
      <w:start w:val="0"/>
      <w:numFmt w:val="bullet"/>
      <w:lvlText w:val="•"/>
      <w:lvlJc w:val="left"/>
      <w:pPr>
        <w:ind w:left="4504" w:hanging="478"/>
      </w:pPr>
      <w:rPr>
        <w:rFonts w:hint="default"/>
      </w:rPr>
    </w:lvl>
    <w:lvl w:ilvl="5">
      <w:start w:val="0"/>
      <w:numFmt w:val="bullet"/>
      <w:lvlText w:val="•"/>
      <w:lvlJc w:val="left"/>
      <w:pPr>
        <w:ind w:left="5320" w:hanging="478"/>
      </w:pPr>
      <w:rPr>
        <w:rFonts w:hint="default"/>
      </w:rPr>
    </w:lvl>
    <w:lvl w:ilvl="6">
      <w:start w:val="0"/>
      <w:numFmt w:val="bullet"/>
      <w:lvlText w:val="•"/>
      <w:lvlJc w:val="left"/>
      <w:pPr>
        <w:ind w:left="6136" w:hanging="478"/>
      </w:pPr>
      <w:rPr>
        <w:rFonts w:hint="default"/>
      </w:rPr>
    </w:lvl>
    <w:lvl w:ilvl="7">
      <w:start w:val="0"/>
      <w:numFmt w:val="bullet"/>
      <w:lvlText w:val="•"/>
      <w:lvlJc w:val="left"/>
      <w:pPr>
        <w:ind w:left="6952" w:hanging="478"/>
      </w:pPr>
      <w:rPr>
        <w:rFonts w:hint="default"/>
      </w:rPr>
    </w:lvl>
    <w:lvl w:ilvl="8">
      <w:start w:val="0"/>
      <w:numFmt w:val="bullet"/>
      <w:lvlText w:val="•"/>
      <w:lvlJc w:val="left"/>
      <w:pPr>
        <w:ind w:left="7768" w:hanging="478"/>
      </w:pPr>
      <w:rPr>
        <w:rFonts w:hint="default"/>
      </w:rPr>
    </w:lvl>
  </w:abstractNum>
  <w:abstractNum w:abstractNumId="203">
    <w:multiLevelType w:val="hybridMultilevel"/>
    <w:lvl w:ilvl="0">
      <w:start w:val="1"/>
      <w:numFmt w:val="decimal"/>
      <w:lvlText w:val="%1."/>
      <w:lvlJc w:val="left"/>
      <w:pPr>
        <w:ind w:left="519" w:hanging="360"/>
        <w:jc w:val="left"/>
      </w:pPr>
      <w:rPr>
        <w:rFonts w:hint="default" w:ascii="Times New Roman" w:hAnsi="Times New Roman" w:eastAsia="Times New Roman" w:cs="Times New Roman"/>
        <w:w w:val="99"/>
        <w:sz w:val="20"/>
        <w:szCs w:val="20"/>
      </w:rPr>
    </w:lvl>
    <w:lvl w:ilvl="1">
      <w:start w:val="1"/>
      <w:numFmt w:val="lowerRoman"/>
      <w:lvlText w:val="(%2)"/>
      <w:lvlJc w:val="left"/>
      <w:pPr>
        <w:ind w:left="1236" w:hanging="572"/>
        <w:jc w:val="left"/>
      </w:pPr>
      <w:rPr>
        <w:rFonts w:hint="default" w:ascii="Times New Roman" w:hAnsi="Times New Roman" w:eastAsia="Times New Roman" w:cs="Times New Roman"/>
        <w:w w:val="99"/>
        <w:sz w:val="20"/>
        <w:szCs w:val="20"/>
      </w:rPr>
    </w:lvl>
    <w:lvl w:ilvl="2">
      <w:start w:val="0"/>
      <w:numFmt w:val="bullet"/>
      <w:lvlText w:val="•"/>
      <w:lvlJc w:val="left"/>
      <w:pPr>
        <w:ind w:left="2146" w:hanging="572"/>
      </w:pPr>
      <w:rPr>
        <w:rFonts w:hint="default"/>
      </w:rPr>
    </w:lvl>
    <w:lvl w:ilvl="3">
      <w:start w:val="0"/>
      <w:numFmt w:val="bullet"/>
      <w:lvlText w:val="•"/>
      <w:lvlJc w:val="left"/>
      <w:pPr>
        <w:ind w:left="3053" w:hanging="572"/>
      </w:pPr>
      <w:rPr>
        <w:rFonts w:hint="default"/>
      </w:rPr>
    </w:lvl>
    <w:lvl w:ilvl="4">
      <w:start w:val="0"/>
      <w:numFmt w:val="bullet"/>
      <w:lvlText w:val="•"/>
      <w:lvlJc w:val="left"/>
      <w:pPr>
        <w:ind w:left="3960" w:hanging="572"/>
      </w:pPr>
      <w:rPr>
        <w:rFonts w:hint="default"/>
      </w:rPr>
    </w:lvl>
    <w:lvl w:ilvl="5">
      <w:start w:val="0"/>
      <w:numFmt w:val="bullet"/>
      <w:lvlText w:val="•"/>
      <w:lvlJc w:val="left"/>
      <w:pPr>
        <w:ind w:left="4866" w:hanging="572"/>
      </w:pPr>
      <w:rPr>
        <w:rFonts w:hint="default"/>
      </w:rPr>
    </w:lvl>
    <w:lvl w:ilvl="6">
      <w:start w:val="0"/>
      <w:numFmt w:val="bullet"/>
      <w:lvlText w:val="•"/>
      <w:lvlJc w:val="left"/>
      <w:pPr>
        <w:ind w:left="5773" w:hanging="572"/>
      </w:pPr>
      <w:rPr>
        <w:rFonts w:hint="default"/>
      </w:rPr>
    </w:lvl>
    <w:lvl w:ilvl="7">
      <w:start w:val="0"/>
      <w:numFmt w:val="bullet"/>
      <w:lvlText w:val="•"/>
      <w:lvlJc w:val="left"/>
      <w:pPr>
        <w:ind w:left="6680" w:hanging="572"/>
      </w:pPr>
      <w:rPr>
        <w:rFonts w:hint="default"/>
      </w:rPr>
    </w:lvl>
    <w:lvl w:ilvl="8">
      <w:start w:val="0"/>
      <w:numFmt w:val="bullet"/>
      <w:lvlText w:val="•"/>
      <w:lvlJc w:val="left"/>
      <w:pPr>
        <w:ind w:left="7586" w:hanging="572"/>
      </w:pPr>
      <w:rPr>
        <w:rFonts w:hint="default"/>
      </w:rPr>
    </w:lvl>
  </w:abstractNum>
  <w:abstractNum w:abstractNumId="202">
    <w:multiLevelType w:val="hybridMultilevel"/>
    <w:lvl w:ilvl="0">
      <w:start w:val="0"/>
      <w:numFmt w:val="bullet"/>
      <w:lvlText w:val="σ"/>
      <w:lvlJc w:val="left"/>
      <w:pPr>
        <w:ind w:left="170" w:hanging="144"/>
      </w:pPr>
      <w:rPr>
        <w:rFonts w:hint="default" w:ascii="Symbol" w:hAnsi="Symbol" w:eastAsia="Symbol" w:cs="Symbol"/>
        <w:w w:val="94"/>
        <w:sz w:val="20"/>
        <w:szCs w:val="20"/>
      </w:rPr>
    </w:lvl>
    <w:lvl w:ilvl="1">
      <w:start w:val="0"/>
      <w:numFmt w:val="bullet"/>
      <w:lvlText w:val="•"/>
      <w:lvlJc w:val="left"/>
      <w:pPr>
        <w:ind w:left="516" w:hanging="360"/>
      </w:pPr>
      <w:rPr>
        <w:rFonts w:hint="default" w:ascii="Symbol" w:hAnsi="Symbol" w:eastAsia="Symbol" w:cs="Symbol"/>
        <w:w w:val="99"/>
        <w:sz w:val="20"/>
        <w:szCs w:val="20"/>
      </w:rPr>
    </w:lvl>
    <w:lvl w:ilvl="2">
      <w:start w:val="0"/>
      <w:numFmt w:val="bullet"/>
      <w:lvlText w:val="•"/>
      <w:lvlJc w:val="left"/>
      <w:pPr>
        <w:ind w:left="559" w:hanging="360"/>
      </w:pPr>
      <w:rPr>
        <w:rFonts w:hint="default"/>
      </w:rPr>
    </w:lvl>
    <w:lvl w:ilvl="3">
      <w:start w:val="0"/>
      <w:numFmt w:val="bullet"/>
      <w:lvlText w:val="•"/>
      <w:lvlJc w:val="left"/>
      <w:pPr>
        <w:ind w:left="599" w:hanging="360"/>
      </w:pPr>
      <w:rPr>
        <w:rFonts w:hint="default"/>
      </w:rPr>
    </w:lvl>
    <w:lvl w:ilvl="4">
      <w:start w:val="0"/>
      <w:numFmt w:val="bullet"/>
      <w:lvlText w:val="•"/>
      <w:lvlJc w:val="left"/>
      <w:pPr>
        <w:ind w:left="639" w:hanging="360"/>
      </w:pPr>
      <w:rPr>
        <w:rFonts w:hint="default"/>
      </w:rPr>
    </w:lvl>
    <w:lvl w:ilvl="5">
      <w:start w:val="0"/>
      <w:numFmt w:val="bullet"/>
      <w:lvlText w:val="•"/>
      <w:lvlJc w:val="left"/>
      <w:pPr>
        <w:ind w:left="678" w:hanging="360"/>
      </w:pPr>
      <w:rPr>
        <w:rFonts w:hint="default"/>
      </w:rPr>
    </w:lvl>
    <w:lvl w:ilvl="6">
      <w:start w:val="0"/>
      <w:numFmt w:val="bullet"/>
      <w:lvlText w:val="•"/>
      <w:lvlJc w:val="left"/>
      <w:pPr>
        <w:ind w:left="718" w:hanging="360"/>
      </w:pPr>
      <w:rPr>
        <w:rFonts w:hint="default"/>
      </w:rPr>
    </w:lvl>
    <w:lvl w:ilvl="7">
      <w:start w:val="0"/>
      <w:numFmt w:val="bullet"/>
      <w:lvlText w:val="•"/>
      <w:lvlJc w:val="left"/>
      <w:pPr>
        <w:ind w:left="758" w:hanging="360"/>
      </w:pPr>
      <w:rPr>
        <w:rFonts w:hint="default"/>
      </w:rPr>
    </w:lvl>
    <w:lvl w:ilvl="8">
      <w:start w:val="0"/>
      <w:numFmt w:val="bullet"/>
      <w:lvlText w:val="•"/>
      <w:lvlJc w:val="left"/>
      <w:pPr>
        <w:ind w:left="798" w:hanging="360"/>
      </w:pPr>
      <w:rPr>
        <w:rFonts w:hint="default"/>
      </w:rPr>
    </w:lvl>
  </w:abstractNum>
  <w:abstractNum w:abstractNumId="201">
    <w:multiLevelType w:val="hybridMultilevel"/>
    <w:lvl w:ilvl="0">
      <w:start w:val="0"/>
      <w:numFmt w:val="bullet"/>
      <w:lvlText w:val="•"/>
      <w:lvlJc w:val="left"/>
      <w:pPr>
        <w:ind w:left="465" w:hanging="360"/>
      </w:pPr>
      <w:rPr>
        <w:rFonts w:hint="default" w:ascii="Symbol" w:hAnsi="Symbol" w:eastAsia="Symbol" w:cs="Symbol"/>
        <w:spacing w:val="-4"/>
        <w:w w:val="100"/>
        <w:sz w:val="18"/>
        <w:szCs w:val="18"/>
      </w:rPr>
    </w:lvl>
    <w:lvl w:ilvl="1">
      <w:start w:val="0"/>
      <w:numFmt w:val="bullet"/>
      <w:lvlText w:val="•"/>
      <w:lvlJc w:val="left"/>
      <w:pPr>
        <w:ind w:left="859" w:hanging="360"/>
      </w:pPr>
      <w:rPr>
        <w:rFonts w:hint="default"/>
      </w:rPr>
    </w:lvl>
    <w:lvl w:ilvl="2">
      <w:start w:val="0"/>
      <w:numFmt w:val="bullet"/>
      <w:lvlText w:val="•"/>
      <w:lvlJc w:val="left"/>
      <w:pPr>
        <w:ind w:left="1258" w:hanging="360"/>
      </w:pPr>
      <w:rPr>
        <w:rFonts w:hint="default"/>
      </w:rPr>
    </w:lvl>
    <w:lvl w:ilvl="3">
      <w:start w:val="0"/>
      <w:numFmt w:val="bullet"/>
      <w:lvlText w:val="•"/>
      <w:lvlJc w:val="left"/>
      <w:pPr>
        <w:ind w:left="1658" w:hanging="360"/>
      </w:pPr>
      <w:rPr>
        <w:rFonts w:hint="default"/>
      </w:rPr>
    </w:lvl>
    <w:lvl w:ilvl="4">
      <w:start w:val="0"/>
      <w:numFmt w:val="bullet"/>
      <w:lvlText w:val="•"/>
      <w:lvlJc w:val="left"/>
      <w:pPr>
        <w:ind w:left="2057" w:hanging="360"/>
      </w:pPr>
      <w:rPr>
        <w:rFonts w:hint="default"/>
      </w:rPr>
    </w:lvl>
    <w:lvl w:ilvl="5">
      <w:start w:val="0"/>
      <w:numFmt w:val="bullet"/>
      <w:lvlText w:val="•"/>
      <w:lvlJc w:val="left"/>
      <w:pPr>
        <w:ind w:left="2457" w:hanging="360"/>
      </w:pPr>
      <w:rPr>
        <w:rFonts w:hint="default"/>
      </w:rPr>
    </w:lvl>
    <w:lvl w:ilvl="6">
      <w:start w:val="0"/>
      <w:numFmt w:val="bullet"/>
      <w:lvlText w:val="•"/>
      <w:lvlJc w:val="left"/>
      <w:pPr>
        <w:ind w:left="2856" w:hanging="360"/>
      </w:pPr>
      <w:rPr>
        <w:rFonts w:hint="default"/>
      </w:rPr>
    </w:lvl>
    <w:lvl w:ilvl="7">
      <w:start w:val="0"/>
      <w:numFmt w:val="bullet"/>
      <w:lvlText w:val="•"/>
      <w:lvlJc w:val="left"/>
      <w:pPr>
        <w:ind w:left="3255" w:hanging="360"/>
      </w:pPr>
      <w:rPr>
        <w:rFonts w:hint="default"/>
      </w:rPr>
    </w:lvl>
    <w:lvl w:ilvl="8">
      <w:start w:val="0"/>
      <w:numFmt w:val="bullet"/>
      <w:lvlText w:val="•"/>
      <w:lvlJc w:val="left"/>
      <w:pPr>
        <w:ind w:left="3655" w:hanging="360"/>
      </w:pPr>
      <w:rPr>
        <w:rFonts w:hint="default"/>
      </w:rPr>
    </w:lvl>
  </w:abstractNum>
  <w:abstractNum w:abstractNumId="200">
    <w:multiLevelType w:val="hybridMultilevel"/>
    <w:lvl w:ilvl="0">
      <w:start w:val="0"/>
      <w:numFmt w:val="bullet"/>
      <w:lvlText w:val="•"/>
      <w:lvlJc w:val="left"/>
      <w:pPr>
        <w:ind w:left="465" w:hanging="360"/>
      </w:pPr>
      <w:rPr>
        <w:rFonts w:hint="default" w:ascii="Symbol" w:hAnsi="Symbol" w:eastAsia="Symbol" w:cs="Symbol"/>
        <w:spacing w:val="-4"/>
        <w:w w:val="100"/>
        <w:sz w:val="18"/>
        <w:szCs w:val="18"/>
      </w:rPr>
    </w:lvl>
    <w:lvl w:ilvl="1">
      <w:start w:val="0"/>
      <w:numFmt w:val="bullet"/>
      <w:lvlText w:val="•"/>
      <w:lvlJc w:val="left"/>
      <w:pPr>
        <w:ind w:left="859" w:hanging="360"/>
      </w:pPr>
      <w:rPr>
        <w:rFonts w:hint="default"/>
      </w:rPr>
    </w:lvl>
    <w:lvl w:ilvl="2">
      <w:start w:val="0"/>
      <w:numFmt w:val="bullet"/>
      <w:lvlText w:val="•"/>
      <w:lvlJc w:val="left"/>
      <w:pPr>
        <w:ind w:left="1258" w:hanging="360"/>
      </w:pPr>
      <w:rPr>
        <w:rFonts w:hint="default"/>
      </w:rPr>
    </w:lvl>
    <w:lvl w:ilvl="3">
      <w:start w:val="0"/>
      <w:numFmt w:val="bullet"/>
      <w:lvlText w:val="•"/>
      <w:lvlJc w:val="left"/>
      <w:pPr>
        <w:ind w:left="1658" w:hanging="360"/>
      </w:pPr>
      <w:rPr>
        <w:rFonts w:hint="default"/>
      </w:rPr>
    </w:lvl>
    <w:lvl w:ilvl="4">
      <w:start w:val="0"/>
      <w:numFmt w:val="bullet"/>
      <w:lvlText w:val="•"/>
      <w:lvlJc w:val="left"/>
      <w:pPr>
        <w:ind w:left="2057" w:hanging="360"/>
      </w:pPr>
      <w:rPr>
        <w:rFonts w:hint="default"/>
      </w:rPr>
    </w:lvl>
    <w:lvl w:ilvl="5">
      <w:start w:val="0"/>
      <w:numFmt w:val="bullet"/>
      <w:lvlText w:val="•"/>
      <w:lvlJc w:val="left"/>
      <w:pPr>
        <w:ind w:left="2457" w:hanging="360"/>
      </w:pPr>
      <w:rPr>
        <w:rFonts w:hint="default"/>
      </w:rPr>
    </w:lvl>
    <w:lvl w:ilvl="6">
      <w:start w:val="0"/>
      <w:numFmt w:val="bullet"/>
      <w:lvlText w:val="•"/>
      <w:lvlJc w:val="left"/>
      <w:pPr>
        <w:ind w:left="2856" w:hanging="360"/>
      </w:pPr>
      <w:rPr>
        <w:rFonts w:hint="default"/>
      </w:rPr>
    </w:lvl>
    <w:lvl w:ilvl="7">
      <w:start w:val="0"/>
      <w:numFmt w:val="bullet"/>
      <w:lvlText w:val="•"/>
      <w:lvlJc w:val="left"/>
      <w:pPr>
        <w:ind w:left="3255" w:hanging="360"/>
      </w:pPr>
      <w:rPr>
        <w:rFonts w:hint="default"/>
      </w:rPr>
    </w:lvl>
    <w:lvl w:ilvl="8">
      <w:start w:val="0"/>
      <w:numFmt w:val="bullet"/>
      <w:lvlText w:val="•"/>
      <w:lvlJc w:val="left"/>
      <w:pPr>
        <w:ind w:left="3655" w:hanging="360"/>
      </w:pPr>
      <w:rPr>
        <w:rFonts w:hint="default"/>
      </w:rPr>
    </w:lvl>
  </w:abstractNum>
  <w:abstractNum w:abstractNumId="199">
    <w:multiLevelType w:val="hybridMultilevel"/>
    <w:lvl w:ilvl="0">
      <w:start w:val="0"/>
      <w:numFmt w:val="bullet"/>
      <w:lvlText w:val="•"/>
      <w:lvlJc w:val="left"/>
      <w:pPr>
        <w:ind w:left="465" w:hanging="360"/>
      </w:pPr>
      <w:rPr>
        <w:rFonts w:hint="default" w:ascii="Symbol" w:hAnsi="Symbol" w:eastAsia="Symbol" w:cs="Symbol"/>
        <w:spacing w:val="-4"/>
        <w:w w:val="100"/>
        <w:sz w:val="18"/>
        <w:szCs w:val="18"/>
      </w:rPr>
    </w:lvl>
    <w:lvl w:ilvl="1">
      <w:start w:val="0"/>
      <w:numFmt w:val="bullet"/>
      <w:lvlText w:val="•"/>
      <w:lvlJc w:val="left"/>
      <w:pPr>
        <w:ind w:left="859" w:hanging="360"/>
      </w:pPr>
      <w:rPr>
        <w:rFonts w:hint="default"/>
      </w:rPr>
    </w:lvl>
    <w:lvl w:ilvl="2">
      <w:start w:val="0"/>
      <w:numFmt w:val="bullet"/>
      <w:lvlText w:val="•"/>
      <w:lvlJc w:val="left"/>
      <w:pPr>
        <w:ind w:left="1258" w:hanging="360"/>
      </w:pPr>
      <w:rPr>
        <w:rFonts w:hint="default"/>
      </w:rPr>
    </w:lvl>
    <w:lvl w:ilvl="3">
      <w:start w:val="0"/>
      <w:numFmt w:val="bullet"/>
      <w:lvlText w:val="•"/>
      <w:lvlJc w:val="left"/>
      <w:pPr>
        <w:ind w:left="1658" w:hanging="360"/>
      </w:pPr>
      <w:rPr>
        <w:rFonts w:hint="default"/>
      </w:rPr>
    </w:lvl>
    <w:lvl w:ilvl="4">
      <w:start w:val="0"/>
      <w:numFmt w:val="bullet"/>
      <w:lvlText w:val="•"/>
      <w:lvlJc w:val="left"/>
      <w:pPr>
        <w:ind w:left="2057" w:hanging="360"/>
      </w:pPr>
      <w:rPr>
        <w:rFonts w:hint="default"/>
      </w:rPr>
    </w:lvl>
    <w:lvl w:ilvl="5">
      <w:start w:val="0"/>
      <w:numFmt w:val="bullet"/>
      <w:lvlText w:val="•"/>
      <w:lvlJc w:val="left"/>
      <w:pPr>
        <w:ind w:left="2457" w:hanging="360"/>
      </w:pPr>
      <w:rPr>
        <w:rFonts w:hint="default"/>
      </w:rPr>
    </w:lvl>
    <w:lvl w:ilvl="6">
      <w:start w:val="0"/>
      <w:numFmt w:val="bullet"/>
      <w:lvlText w:val="•"/>
      <w:lvlJc w:val="left"/>
      <w:pPr>
        <w:ind w:left="2856" w:hanging="360"/>
      </w:pPr>
      <w:rPr>
        <w:rFonts w:hint="default"/>
      </w:rPr>
    </w:lvl>
    <w:lvl w:ilvl="7">
      <w:start w:val="0"/>
      <w:numFmt w:val="bullet"/>
      <w:lvlText w:val="•"/>
      <w:lvlJc w:val="left"/>
      <w:pPr>
        <w:ind w:left="3255" w:hanging="360"/>
      </w:pPr>
      <w:rPr>
        <w:rFonts w:hint="default"/>
      </w:rPr>
    </w:lvl>
    <w:lvl w:ilvl="8">
      <w:start w:val="0"/>
      <w:numFmt w:val="bullet"/>
      <w:lvlText w:val="•"/>
      <w:lvlJc w:val="left"/>
      <w:pPr>
        <w:ind w:left="3655" w:hanging="360"/>
      </w:pPr>
      <w:rPr>
        <w:rFonts w:hint="default"/>
      </w:rPr>
    </w:lvl>
  </w:abstractNum>
  <w:abstractNum w:abstractNumId="198">
    <w:multiLevelType w:val="hybridMultilevel"/>
    <w:lvl w:ilvl="0">
      <w:start w:val="0"/>
      <w:numFmt w:val="bullet"/>
      <w:lvlText w:val="•"/>
      <w:lvlJc w:val="left"/>
      <w:pPr>
        <w:ind w:left="465" w:hanging="360"/>
      </w:pPr>
      <w:rPr>
        <w:rFonts w:hint="default" w:ascii="Symbol" w:hAnsi="Symbol" w:eastAsia="Symbol" w:cs="Symbol"/>
        <w:spacing w:val="-4"/>
        <w:w w:val="100"/>
        <w:sz w:val="18"/>
        <w:szCs w:val="18"/>
      </w:rPr>
    </w:lvl>
    <w:lvl w:ilvl="1">
      <w:start w:val="0"/>
      <w:numFmt w:val="bullet"/>
      <w:lvlText w:val="•"/>
      <w:lvlJc w:val="left"/>
      <w:pPr>
        <w:ind w:left="859" w:hanging="360"/>
      </w:pPr>
      <w:rPr>
        <w:rFonts w:hint="default"/>
      </w:rPr>
    </w:lvl>
    <w:lvl w:ilvl="2">
      <w:start w:val="0"/>
      <w:numFmt w:val="bullet"/>
      <w:lvlText w:val="•"/>
      <w:lvlJc w:val="left"/>
      <w:pPr>
        <w:ind w:left="1258" w:hanging="360"/>
      </w:pPr>
      <w:rPr>
        <w:rFonts w:hint="default"/>
      </w:rPr>
    </w:lvl>
    <w:lvl w:ilvl="3">
      <w:start w:val="0"/>
      <w:numFmt w:val="bullet"/>
      <w:lvlText w:val="•"/>
      <w:lvlJc w:val="left"/>
      <w:pPr>
        <w:ind w:left="1658" w:hanging="360"/>
      </w:pPr>
      <w:rPr>
        <w:rFonts w:hint="default"/>
      </w:rPr>
    </w:lvl>
    <w:lvl w:ilvl="4">
      <w:start w:val="0"/>
      <w:numFmt w:val="bullet"/>
      <w:lvlText w:val="•"/>
      <w:lvlJc w:val="left"/>
      <w:pPr>
        <w:ind w:left="2057" w:hanging="360"/>
      </w:pPr>
      <w:rPr>
        <w:rFonts w:hint="default"/>
      </w:rPr>
    </w:lvl>
    <w:lvl w:ilvl="5">
      <w:start w:val="0"/>
      <w:numFmt w:val="bullet"/>
      <w:lvlText w:val="•"/>
      <w:lvlJc w:val="left"/>
      <w:pPr>
        <w:ind w:left="2457" w:hanging="360"/>
      </w:pPr>
      <w:rPr>
        <w:rFonts w:hint="default"/>
      </w:rPr>
    </w:lvl>
    <w:lvl w:ilvl="6">
      <w:start w:val="0"/>
      <w:numFmt w:val="bullet"/>
      <w:lvlText w:val="•"/>
      <w:lvlJc w:val="left"/>
      <w:pPr>
        <w:ind w:left="2856" w:hanging="360"/>
      </w:pPr>
      <w:rPr>
        <w:rFonts w:hint="default"/>
      </w:rPr>
    </w:lvl>
    <w:lvl w:ilvl="7">
      <w:start w:val="0"/>
      <w:numFmt w:val="bullet"/>
      <w:lvlText w:val="•"/>
      <w:lvlJc w:val="left"/>
      <w:pPr>
        <w:ind w:left="3255" w:hanging="360"/>
      </w:pPr>
      <w:rPr>
        <w:rFonts w:hint="default"/>
      </w:rPr>
    </w:lvl>
    <w:lvl w:ilvl="8">
      <w:start w:val="0"/>
      <w:numFmt w:val="bullet"/>
      <w:lvlText w:val="•"/>
      <w:lvlJc w:val="left"/>
      <w:pPr>
        <w:ind w:left="3655" w:hanging="360"/>
      </w:pPr>
      <w:rPr>
        <w:rFonts w:hint="default"/>
      </w:rPr>
    </w:lvl>
  </w:abstractNum>
  <w:abstractNum w:abstractNumId="197">
    <w:multiLevelType w:val="hybridMultilevel"/>
    <w:lvl w:ilvl="0">
      <w:start w:val="0"/>
      <w:numFmt w:val="bullet"/>
      <w:lvlText w:val="•"/>
      <w:lvlJc w:val="left"/>
      <w:pPr>
        <w:ind w:left="468" w:hanging="360"/>
      </w:pPr>
      <w:rPr>
        <w:rFonts w:hint="default" w:ascii="Symbol" w:hAnsi="Symbol" w:eastAsia="Symbol" w:cs="Symbol"/>
        <w:spacing w:val="-2"/>
        <w:w w:val="100"/>
        <w:sz w:val="18"/>
        <w:szCs w:val="18"/>
      </w:rPr>
    </w:lvl>
    <w:lvl w:ilvl="1">
      <w:start w:val="0"/>
      <w:numFmt w:val="bullet"/>
      <w:lvlText w:val="•"/>
      <w:lvlJc w:val="left"/>
      <w:pPr>
        <w:ind w:left="859" w:hanging="360"/>
      </w:pPr>
      <w:rPr>
        <w:rFonts w:hint="default"/>
      </w:rPr>
    </w:lvl>
    <w:lvl w:ilvl="2">
      <w:start w:val="0"/>
      <w:numFmt w:val="bullet"/>
      <w:lvlText w:val="•"/>
      <w:lvlJc w:val="left"/>
      <w:pPr>
        <w:ind w:left="1258" w:hanging="360"/>
      </w:pPr>
      <w:rPr>
        <w:rFonts w:hint="default"/>
      </w:rPr>
    </w:lvl>
    <w:lvl w:ilvl="3">
      <w:start w:val="0"/>
      <w:numFmt w:val="bullet"/>
      <w:lvlText w:val="•"/>
      <w:lvlJc w:val="left"/>
      <w:pPr>
        <w:ind w:left="1658" w:hanging="360"/>
      </w:pPr>
      <w:rPr>
        <w:rFonts w:hint="default"/>
      </w:rPr>
    </w:lvl>
    <w:lvl w:ilvl="4">
      <w:start w:val="0"/>
      <w:numFmt w:val="bullet"/>
      <w:lvlText w:val="•"/>
      <w:lvlJc w:val="left"/>
      <w:pPr>
        <w:ind w:left="2057" w:hanging="360"/>
      </w:pPr>
      <w:rPr>
        <w:rFonts w:hint="default"/>
      </w:rPr>
    </w:lvl>
    <w:lvl w:ilvl="5">
      <w:start w:val="0"/>
      <w:numFmt w:val="bullet"/>
      <w:lvlText w:val="•"/>
      <w:lvlJc w:val="left"/>
      <w:pPr>
        <w:ind w:left="2457" w:hanging="360"/>
      </w:pPr>
      <w:rPr>
        <w:rFonts w:hint="default"/>
      </w:rPr>
    </w:lvl>
    <w:lvl w:ilvl="6">
      <w:start w:val="0"/>
      <w:numFmt w:val="bullet"/>
      <w:lvlText w:val="•"/>
      <w:lvlJc w:val="left"/>
      <w:pPr>
        <w:ind w:left="2856" w:hanging="360"/>
      </w:pPr>
      <w:rPr>
        <w:rFonts w:hint="default"/>
      </w:rPr>
    </w:lvl>
    <w:lvl w:ilvl="7">
      <w:start w:val="0"/>
      <w:numFmt w:val="bullet"/>
      <w:lvlText w:val="•"/>
      <w:lvlJc w:val="left"/>
      <w:pPr>
        <w:ind w:left="3255" w:hanging="360"/>
      </w:pPr>
      <w:rPr>
        <w:rFonts w:hint="default"/>
      </w:rPr>
    </w:lvl>
    <w:lvl w:ilvl="8">
      <w:start w:val="0"/>
      <w:numFmt w:val="bullet"/>
      <w:lvlText w:val="•"/>
      <w:lvlJc w:val="left"/>
      <w:pPr>
        <w:ind w:left="3655" w:hanging="360"/>
      </w:pPr>
      <w:rPr>
        <w:rFonts w:hint="default"/>
      </w:rPr>
    </w:lvl>
  </w:abstractNum>
  <w:abstractNum w:abstractNumId="196">
    <w:multiLevelType w:val="hybridMultilevel"/>
    <w:lvl w:ilvl="0">
      <w:start w:val="5"/>
      <w:numFmt w:val="decimal"/>
      <w:lvlText w:val="%1"/>
      <w:lvlJc w:val="left"/>
      <w:pPr>
        <w:ind w:left="1381" w:hanging="1203"/>
        <w:jc w:val="left"/>
      </w:pPr>
      <w:rPr>
        <w:rFonts w:hint="default"/>
      </w:rPr>
    </w:lvl>
    <w:lvl w:ilvl="1">
      <w:start w:val="6"/>
      <w:numFmt w:val="decimal"/>
      <w:lvlText w:val="%1.%2"/>
      <w:lvlJc w:val="left"/>
      <w:pPr>
        <w:ind w:left="1381" w:hanging="1203"/>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1568" w:hanging="1203"/>
      </w:pPr>
      <w:rPr>
        <w:rFonts w:hint="default"/>
      </w:rPr>
    </w:lvl>
    <w:lvl w:ilvl="4">
      <w:start w:val="0"/>
      <w:numFmt w:val="bullet"/>
      <w:lvlText w:val="•"/>
      <w:lvlJc w:val="left"/>
      <w:pPr>
        <w:ind w:left="1576" w:hanging="1203"/>
      </w:pPr>
      <w:rPr>
        <w:rFonts w:hint="default"/>
      </w:rPr>
    </w:lvl>
    <w:lvl w:ilvl="5">
      <w:start w:val="0"/>
      <w:numFmt w:val="bullet"/>
      <w:lvlText w:val="•"/>
      <w:lvlJc w:val="left"/>
      <w:pPr>
        <w:ind w:left="1584" w:hanging="1203"/>
      </w:pPr>
      <w:rPr>
        <w:rFonts w:hint="default"/>
      </w:rPr>
    </w:lvl>
    <w:lvl w:ilvl="6">
      <w:start w:val="0"/>
      <w:numFmt w:val="bullet"/>
      <w:lvlText w:val="•"/>
      <w:lvlJc w:val="left"/>
      <w:pPr>
        <w:ind w:left="1593" w:hanging="1203"/>
      </w:pPr>
      <w:rPr>
        <w:rFonts w:hint="default"/>
      </w:rPr>
    </w:lvl>
    <w:lvl w:ilvl="7">
      <w:start w:val="0"/>
      <w:numFmt w:val="bullet"/>
      <w:lvlText w:val="•"/>
      <w:lvlJc w:val="left"/>
      <w:pPr>
        <w:ind w:left="1601" w:hanging="1203"/>
      </w:pPr>
      <w:rPr>
        <w:rFonts w:hint="default"/>
      </w:rPr>
    </w:lvl>
    <w:lvl w:ilvl="8">
      <w:start w:val="0"/>
      <w:numFmt w:val="bullet"/>
      <w:lvlText w:val="•"/>
      <w:lvlJc w:val="left"/>
      <w:pPr>
        <w:ind w:left="1609" w:hanging="1203"/>
      </w:pPr>
      <w:rPr>
        <w:rFonts w:hint="default"/>
      </w:rPr>
    </w:lvl>
  </w:abstractNum>
  <w:abstractNum w:abstractNumId="195">
    <w:multiLevelType w:val="hybridMultilevel"/>
    <w:lvl w:ilvl="0">
      <w:start w:val="0"/>
      <w:numFmt w:val="bullet"/>
      <w:lvlText w:val="●"/>
      <w:lvlJc w:val="left"/>
      <w:pPr>
        <w:ind w:left="652" w:hanging="526"/>
      </w:pPr>
      <w:rPr>
        <w:rFonts w:hint="default" w:ascii="Arial" w:hAnsi="Arial" w:eastAsia="Arial" w:cs="Arial"/>
        <w:w w:val="100"/>
        <w:sz w:val="16"/>
        <w:szCs w:val="16"/>
      </w:rPr>
    </w:lvl>
    <w:lvl w:ilvl="1">
      <w:start w:val="0"/>
      <w:numFmt w:val="bullet"/>
      <w:lvlText w:val="•"/>
      <w:lvlJc w:val="left"/>
      <w:pPr>
        <w:ind w:left="1414" w:hanging="526"/>
      </w:pPr>
      <w:rPr>
        <w:rFonts w:hint="default"/>
      </w:rPr>
    </w:lvl>
    <w:lvl w:ilvl="2">
      <w:start w:val="0"/>
      <w:numFmt w:val="bullet"/>
      <w:lvlText w:val="•"/>
      <w:lvlJc w:val="left"/>
      <w:pPr>
        <w:ind w:left="2168" w:hanging="526"/>
      </w:pPr>
      <w:rPr>
        <w:rFonts w:hint="default"/>
      </w:rPr>
    </w:lvl>
    <w:lvl w:ilvl="3">
      <w:start w:val="0"/>
      <w:numFmt w:val="bullet"/>
      <w:lvlText w:val="•"/>
      <w:lvlJc w:val="left"/>
      <w:pPr>
        <w:ind w:left="2922" w:hanging="526"/>
      </w:pPr>
      <w:rPr>
        <w:rFonts w:hint="default"/>
      </w:rPr>
    </w:lvl>
    <w:lvl w:ilvl="4">
      <w:start w:val="0"/>
      <w:numFmt w:val="bullet"/>
      <w:lvlText w:val="•"/>
      <w:lvlJc w:val="left"/>
      <w:pPr>
        <w:ind w:left="3676" w:hanging="526"/>
      </w:pPr>
      <w:rPr>
        <w:rFonts w:hint="default"/>
      </w:rPr>
    </w:lvl>
    <w:lvl w:ilvl="5">
      <w:start w:val="0"/>
      <w:numFmt w:val="bullet"/>
      <w:lvlText w:val="•"/>
      <w:lvlJc w:val="left"/>
      <w:pPr>
        <w:ind w:left="4430" w:hanging="526"/>
      </w:pPr>
      <w:rPr>
        <w:rFonts w:hint="default"/>
      </w:rPr>
    </w:lvl>
    <w:lvl w:ilvl="6">
      <w:start w:val="0"/>
      <w:numFmt w:val="bullet"/>
      <w:lvlText w:val="•"/>
      <w:lvlJc w:val="left"/>
      <w:pPr>
        <w:ind w:left="5184" w:hanging="526"/>
      </w:pPr>
      <w:rPr>
        <w:rFonts w:hint="default"/>
      </w:rPr>
    </w:lvl>
    <w:lvl w:ilvl="7">
      <w:start w:val="0"/>
      <w:numFmt w:val="bullet"/>
      <w:lvlText w:val="•"/>
      <w:lvlJc w:val="left"/>
      <w:pPr>
        <w:ind w:left="5938" w:hanging="526"/>
      </w:pPr>
      <w:rPr>
        <w:rFonts w:hint="default"/>
      </w:rPr>
    </w:lvl>
    <w:lvl w:ilvl="8">
      <w:start w:val="0"/>
      <w:numFmt w:val="bullet"/>
      <w:lvlText w:val="•"/>
      <w:lvlJc w:val="left"/>
      <w:pPr>
        <w:ind w:left="6692" w:hanging="526"/>
      </w:pPr>
      <w:rPr>
        <w:rFonts w:hint="default"/>
      </w:rPr>
    </w:lvl>
  </w:abstractNum>
  <w:abstractNum w:abstractNumId="194">
    <w:multiLevelType w:val="hybridMultilevel"/>
    <w:lvl w:ilvl="0">
      <w:start w:val="0"/>
      <w:numFmt w:val="bullet"/>
      <w:lvlText w:val="•"/>
      <w:lvlJc w:val="left"/>
      <w:pPr>
        <w:ind w:left="505" w:hanging="399"/>
      </w:pPr>
      <w:rPr>
        <w:rFonts w:hint="default" w:ascii="Symbol" w:hAnsi="Symbol" w:eastAsia="Symbol" w:cs="Symbol"/>
        <w:spacing w:val="-26"/>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93">
    <w:multiLevelType w:val="hybridMultilevel"/>
    <w:lvl w:ilvl="0">
      <w:start w:val="0"/>
      <w:numFmt w:val="bullet"/>
      <w:lvlText w:val="•"/>
      <w:lvlJc w:val="left"/>
      <w:pPr>
        <w:ind w:left="505" w:hanging="399"/>
      </w:pPr>
      <w:rPr>
        <w:rFonts w:hint="default" w:ascii="Symbol" w:hAnsi="Symbol" w:eastAsia="Symbol" w:cs="Symbol"/>
        <w:spacing w:val="-4"/>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92">
    <w:multiLevelType w:val="hybridMultilevel"/>
    <w:lvl w:ilvl="0">
      <w:start w:val="0"/>
      <w:numFmt w:val="bullet"/>
      <w:lvlText w:val="•"/>
      <w:lvlJc w:val="left"/>
      <w:pPr>
        <w:ind w:left="505" w:hanging="399"/>
      </w:pPr>
      <w:rPr>
        <w:rFonts w:hint="default" w:ascii="Symbol" w:hAnsi="Symbol" w:eastAsia="Symbol" w:cs="Symbol"/>
        <w:spacing w:val="-4"/>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91">
    <w:multiLevelType w:val="hybridMultilevel"/>
    <w:lvl w:ilvl="0">
      <w:start w:val="0"/>
      <w:numFmt w:val="bullet"/>
      <w:lvlText w:val="•"/>
      <w:lvlJc w:val="left"/>
      <w:pPr>
        <w:ind w:left="505" w:hanging="399"/>
      </w:pPr>
      <w:rPr>
        <w:rFonts w:hint="default" w:ascii="Symbol" w:hAnsi="Symbol" w:eastAsia="Symbol" w:cs="Symbol"/>
        <w:spacing w:val="-4"/>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90">
    <w:multiLevelType w:val="hybridMultilevel"/>
    <w:lvl w:ilvl="0">
      <w:start w:val="0"/>
      <w:numFmt w:val="bullet"/>
      <w:lvlText w:val="•"/>
      <w:lvlJc w:val="left"/>
      <w:pPr>
        <w:ind w:left="505" w:hanging="399"/>
      </w:pPr>
      <w:rPr>
        <w:rFonts w:hint="default" w:ascii="Symbol" w:hAnsi="Symbol" w:eastAsia="Symbol" w:cs="Symbol"/>
        <w:spacing w:val="-4"/>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89">
    <w:multiLevelType w:val="hybridMultilevel"/>
    <w:lvl w:ilvl="0">
      <w:start w:val="0"/>
      <w:numFmt w:val="bullet"/>
      <w:lvlText w:val="•"/>
      <w:lvlJc w:val="left"/>
      <w:pPr>
        <w:ind w:left="505" w:hanging="399"/>
      </w:pPr>
      <w:rPr>
        <w:rFonts w:hint="default" w:ascii="Symbol" w:hAnsi="Symbol" w:eastAsia="Symbol" w:cs="Symbol"/>
        <w:spacing w:val="-4"/>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88">
    <w:multiLevelType w:val="hybridMultilevel"/>
    <w:lvl w:ilvl="0">
      <w:start w:val="0"/>
      <w:numFmt w:val="bullet"/>
      <w:lvlText w:val="•"/>
      <w:lvlJc w:val="left"/>
      <w:pPr>
        <w:ind w:left="505" w:hanging="399"/>
      </w:pPr>
      <w:rPr>
        <w:rFonts w:hint="default" w:ascii="Symbol" w:hAnsi="Symbol" w:eastAsia="Symbol" w:cs="Symbol"/>
        <w:spacing w:val="-4"/>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87">
    <w:multiLevelType w:val="hybridMultilevel"/>
    <w:lvl w:ilvl="0">
      <w:start w:val="0"/>
      <w:numFmt w:val="bullet"/>
      <w:lvlText w:val="•"/>
      <w:lvlJc w:val="left"/>
      <w:pPr>
        <w:ind w:left="505" w:hanging="399"/>
      </w:pPr>
      <w:rPr>
        <w:rFonts w:hint="default" w:ascii="Symbol" w:hAnsi="Symbol" w:eastAsia="Symbol" w:cs="Symbol"/>
        <w:spacing w:val="-3"/>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86">
    <w:multiLevelType w:val="hybridMultilevel"/>
    <w:lvl w:ilvl="0">
      <w:start w:val="0"/>
      <w:numFmt w:val="bullet"/>
      <w:lvlText w:val="•"/>
      <w:lvlJc w:val="left"/>
      <w:pPr>
        <w:ind w:left="505" w:hanging="399"/>
      </w:pPr>
      <w:rPr>
        <w:rFonts w:hint="default" w:ascii="Symbol" w:hAnsi="Symbol" w:eastAsia="Symbol" w:cs="Symbol"/>
        <w:spacing w:val="-3"/>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85">
    <w:multiLevelType w:val="hybridMultilevel"/>
    <w:lvl w:ilvl="0">
      <w:start w:val="0"/>
      <w:numFmt w:val="bullet"/>
      <w:lvlText w:val="•"/>
      <w:lvlJc w:val="left"/>
      <w:pPr>
        <w:ind w:left="505" w:hanging="399"/>
      </w:pPr>
      <w:rPr>
        <w:rFonts w:hint="default" w:ascii="Symbol" w:hAnsi="Symbol" w:eastAsia="Symbol" w:cs="Symbol"/>
        <w:spacing w:val="-4"/>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84">
    <w:multiLevelType w:val="hybridMultilevel"/>
    <w:lvl w:ilvl="0">
      <w:start w:val="0"/>
      <w:numFmt w:val="bullet"/>
      <w:lvlText w:val="•"/>
      <w:lvlJc w:val="left"/>
      <w:pPr>
        <w:ind w:left="505" w:hanging="399"/>
      </w:pPr>
      <w:rPr>
        <w:rFonts w:hint="default" w:ascii="Symbol" w:hAnsi="Symbol" w:eastAsia="Symbol" w:cs="Symbol"/>
        <w:spacing w:val="-4"/>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83">
    <w:multiLevelType w:val="hybridMultilevel"/>
    <w:lvl w:ilvl="0">
      <w:start w:val="0"/>
      <w:numFmt w:val="bullet"/>
      <w:lvlText w:val="•"/>
      <w:lvlJc w:val="left"/>
      <w:pPr>
        <w:ind w:left="505" w:hanging="399"/>
      </w:pPr>
      <w:rPr>
        <w:rFonts w:hint="default" w:ascii="Symbol" w:hAnsi="Symbol" w:eastAsia="Symbol" w:cs="Symbol"/>
        <w:spacing w:val="-26"/>
        <w:w w:val="100"/>
        <w:sz w:val="18"/>
        <w:szCs w:val="18"/>
      </w:rPr>
    </w:lvl>
    <w:lvl w:ilvl="1">
      <w:start w:val="0"/>
      <w:numFmt w:val="bullet"/>
      <w:lvlText w:val="•"/>
      <w:lvlJc w:val="left"/>
      <w:pPr>
        <w:ind w:left="1132" w:hanging="399"/>
      </w:pPr>
      <w:rPr>
        <w:rFonts w:hint="default"/>
      </w:rPr>
    </w:lvl>
    <w:lvl w:ilvl="2">
      <w:start w:val="0"/>
      <w:numFmt w:val="bullet"/>
      <w:lvlText w:val="•"/>
      <w:lvlJc w:val="left"/>
      <w:pPr>
        <w:ind w:left="1764" w:hanging="399"/>
      </w:pPr>
      <w:rPr>
        <w:rFonts w:hint="default"/>
      </w:rPr>
    </w:lvl>
    <w:lvl w:ilvl="3">
      <w:start w:val="0"/>
      <w:numFmt w:val="bullet"/>
      <w:lvlText w:val="•"/>
      <w:lvlJc w:val="left"/>
      <w:pPr>
        <w:ind w:left="2396" w:hanging="399"/>
      </w:pPr>
      <w:rPr>
        <w:rFonts w:hint="default"/>
      </w:rPr>
    </w:lvl>
    <w:lvl w:ilvl="4">
      <w:start w:val="0"/>
      <w:numFmt w:val="bullet"/>
      <w:lvlText w:val="•"/>
      <w:lvlJc w:val="left"/>
      <w:pPr>
        <w:ind w:left="3029" w:hanging="399"/>
      </w:pPr>
      <w:rPr>
        <w:rFonts w:hint="default"/>
      </w:rPr>
    </w:lvl>
    <w:lvl w:ilvl="5">
      <w:start w:val="0"/>
      <w:numFmt w:val="bullet"/>
      <w:lvlText w:val="•"/>
      <w:lvlJc w:val="left"/>
      <w:pPr>
        <w:ind w:left="3661" w:hanging="399"/>
      </w:pPr>
      <w:rPr>
        <w:rFonts w:hint="default"/>
      </w:rPr>
    </w:lvl>
    <w:lvl w:ilvl="6">
      <w:start w:val="0"/>
      <w:numFmt w:val="bullet"/>
      <w:lvlText w:val="•"/>
      <w:lvlJc w:val="left"/>
      <w:pPr>
        <w:ind w:left="4293" w:hanging="399"/>
      </w:pPr>
      <w:rPr>
        <w:rFonts w:hint="default"/>
      </w:rPr>
    </w:lvl>
    <w:lvl w:ilvl="7">
      <w:start w:val="0"/>
      <w:numFmt w:val="bullet"/>
      <w:lvlText w:val="•"/>
      <w:lvlJc w:val="left"/>
      <w:pPr>
        <w:ind w:left="4926" w:hanging="399"/>
      </w:pPr>
      <w:rPr>
        <w:rFonts w:hint="default"/>
      </w:rPr>
    </w:lvl>
    <w:lvl w:ilvl="8">
      <w:start w:val="0"/>
      <w:numFmt w:val="bullet"/>
      <w:lvlText w:val="•"/>
      <w:lvlJc w:val="left"/>
      <w:pPr>
        <w:ind w:left="5558" w:hanging="399"/>
      </w:pPr>
      <w:rPr>
        <w:rFonts w:hint="default"/>
      </w:rPr>
    </w:lvl>
  </w:abstractNum>
  <w:abstractNum w:abstractNumId="182">
    <w:multiLevelType w:val="hybridMultilevel"/>
    <w:lvl w:ilvl="0">
      <w:start w:val="1"/>
      <w:numFmt w:val="lowerRoman"/>
      <w:lvlText w:val="(%1)"/>
      <w:lvlJc w:val="left"/>
      <w:pPr>
        <w:ind w:left="366" w:hanging="239"/>
        <w:jc w:val="left"/>
      </w:pPr>
      <w:rPr>
        <w:rFonts w:hint="default" w:ascii="Times New Roman" w:hAnsi="Times New Roman" w:eastAsia="Times New Roman" w:cs="Times New Roman"/>
        <w:w w:val="99"/>
        <w:sz w:val="20"/>
        <w:szCs w:val="20"/>
      </w:rPr>
    </w:lvl>
    <w:lvl w:ilvl="1">
      <w:start w:val="0"/>
      <w:numFmt w:val="bullet"/>
      <w:lvlText w:val="•"/>
      <w:lvlJc w:val="left"/>
      <w:pPr>
        <w:ind w:left="1144" w:hanging="239"/>
      </w:pPr>
      <w:rPr>
        <w:rFonts w:hint="default"/>
      </w:rPr>
    </w:lvl>
    <w:lvl w:ilvl="2">
      <w:start w:val="0"/>
      <w:numFmt w:val="bullet"/>
      <w:lvlText w:val="•"/>
      <w:lvlJc w:val="left"/>
      <w:pPr>
        <w:ind w:left="1928" w:hanging="239"/>
      </w:pPr>
      <w:rPr>
        <w:rFonts w:hint="default"/>
      </w:rPr>
    </w:lvl>
    <w:lvl w:ilvl="3">
      <w:start w:val="0"/>
      <w:numFmt w:val="bullet"/>
      <w:lvlText w:val="•"/>
      <w:lvlJc w:val="left"/>
      <w:pPr>
        <w:ind w:left="2712" w:hanging="239"/>
      </w:pPr>
      <w:rPr>
        <w:rFonts w:hint="default"/>
      </w:rPr>
    </w:lvl>
    <w:lvl w:ilvl="4">
      <w:start w:val="0"/>
      <w:numFmt w:val="bullet"/>
      <w:lvlText w:val="•"/>
      <w:lvlJc w:val="left"/>
      <w:pPr>
        <w:ind w:left="3496" w:hanging="239"/>
      </w:pPr>
      <w:rPr>
        <w:rFonts w:hint="default"/>
      </w:rPr>
    </w:lvl>
    <w:lvl w:ilvl="5">
      <w:start w:val="0"/>
      <w:numFmt w:val="bullet"/>
      <w:lvlText w:val="•"/>
      <w:lvlJc w:val="left"/>
      <w:pPr>
        <w:ind w:left="4280" w:hanging="239"/>
      </w:pPr>
      <w:rPr>
        <w:rFonts w:hint="default"/>
      </w:rPr>
    </w:lvl>
    <w:lvl w:ilvl="6">
      <w:start w:val="0"/>
      <w:numFmt w:val="bullet"/>
      <w:lvlText w:val="•"/>
      <w:lvlJc w:val="left"/>
      <w:pPr>
        <w:ind w:left="5064" w:hanging="239"/>
      </w:pPr>
      <w:rPr>
        <w:rFonts w:hint="default"/>
      </w:rPr>
    </w:lvl>
    <w:lvl w:ilvl="7">
      <w:start w:val="0"/>
      <w:numFmt w:val="bullet"/>
      <w:lvlText w:val="•"/>
      <w:lvlJc w:val="left"/>
      <w:pPr>
        <w:ind w:left="5848" w:hanging="239"/>
      </w:pPr>
      <w:rPr>
        <w:rFonts w:hint="default"/>
      </w:rPr>
    </w:lvl>
    <w:lvl w:ilvl="8">
      <w:start w:val="0"/>
      <w:numFmt w:val="bullet"/>
      <w:lvlText w:val="•"/>
      <w:lvlJc w:val="left"/>
      <w:pPr>
        <w:ind w:left="6632" w:hanging="239"/>
      </w:pPr>
      <w:rPr>
        <w:rFonts w:hint="default"/>
      </w:rPr>
    </w:lvl>
  </w:abstractNum>
  <w:abstractNum w:abstractNumId="181">
    <w:multiLevelType w:val="hybridMultilevel"/>
    <w:lvl w:ilvl="0">
      <w:start w:val="5"/>
      <w:numFmt w:val="decimal"/>
      <w:lvlText w:val="%1"/>
      <w:lvlJc w:val="left"/>
      <w:pPr>
        <w:ind w:left="1381" w:hanging="1203"/>
        <w:jc w:val="left"/>
      </w:pPr>
      <w:rPr>
        <w:rFonts w:hint="default"/>
      </w:rPr>
    </w:lvl>
    <w:lvl w:ilvl="1">
      <w:start w:val="5"/>
      <w:numFmt w:val="decimal"/>
      <w:lvlText w:val="%1.%2"/>
      <w:lvlJc w:val="left"/>
      <w:pPr>
        <w:ind w:left="1381" w:hanging="1203"/>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lowerRoman"/>
      <w:lvlText w:val="(%4)"/>
      <w:lvlJc w:val="left"/>
      <w:pPr>
        <w:ind w:left="1256" w:hanging="572"/>
        <w:jc w:val="left"/>
      </w:pPr>
      <w:rPr>
        <w:rFonts w:hint="default" w:ascii="Times New Roman" w:hAnsi="Times New Roman" w:eastAsia="Times New Roman" w:cs="Times New Roman"/>
        <w:w w:val="99"/>
        <w:sz w:val="20"/>
        <w:szCs w:val="20"/>
      </w:rPr>
    </w:lvl>
    <w:lvl w:ilvl="4">
      <w:start w:val="0"/>
      <w:numFmt w:val="bullet"/>
      <w:lvlText w:val="•"/>
      <w:lvlJc w:val="left"/>
      <w:pPr>
        <w:ind w:left="4473" w:hanging="572"/>
      </w:pPr>
      <w:rPr>
        <w:rFonts w:hint="default"/>
      </w:rPr>
    </w:lvl>
    <w:lvl w:ilvl="5">
      <w:start w:val="0"/>
      <w:numFmt w:val="bullet"/>
      <w:lvlText w:val="•"/>
      <w:lvlJc w:val="left"/>
      <w:pPr>
        <w:ind w:left="5504" w:hanging="572"/>
      </w:pPr>
      <w:rPr>
        <w:rFonts w:hint="default"/>
      </w:rPr>
    </w:lvl>
    <w:lvl w:ilvl="6">
      <w:start w:val="0"/>
      <w:numFmt w:val="bullet"/>
      <w:lvlText w:val="•"/>
      <w:lvlJc w:val="left"/>
      <w:pPr>
        <w:ind w:left="6535" w:hanging="572"/>
      </w:pPr>
      <w:rPr>
        <w:rFonts w:hint="default"/>
      </w:rPr>
    </w:lvl>
    <w:lvl w:ilvl="7">
      <w:start w:val="0"/>
      <w:numFmt w:val="bullet"/>
      <w:lvlText w:val="•"/>
      <w:lvlJc w:val="left"/>
      <w:pPr>
        <w:ind w:left="7566" w:hanging="572"/>
      </w:pPr>
      <w:rPr>
        <w:rFonts w:hint="default"/>
      </w:rPr>
    </w:lvl>
    <w:lvl w:ilvl="8">
      <w:start w:val="0"/>
      <w:numFmt w:val="bullet"/>
      <w:lvlText w:val="•"/>
      <w:lvlJc w:val="left"/>
      <w:pPr>
        <w:ind w:left="8597" w:hanging="572"/>
      </w:pPr>
      <w:rPr>
        <w:rFonts w:hint="default"/>
      </w:rPr>
    </w:lvl>
  </w:abstractNum>
  <w:abstractNum w:abstractNumId="180">
    <w:multiLevelType w:val="hybridMultilevel"/>
    <w:lvl w:ilvl="0">
      <w:start w:val="0"/>
      <w:numFmt w:val="bullet"/>
      <w:lvlText w:val="*"/>
      <w:lvlJc w:val="left"/>
      <w:pPr>
        <w:ind w:left="219" w:hanging="123"/>
      </w:pPr>
      <w:rPr>
        <w:rFonts w:hint="default" w:ascii="Times New Roman" w:hAnsi="Times New Roman" w:eastAsia="Times New Roman" w:cs="Times New Roman"/>
        <w:w w:val="99"/>
        <w:position w:val="9"/>
        <w:sz w:val="13"/>
        <w:szCs w:val="13"/>
      </w:rPr>
    </w:lvl>
    <w:lvl w:ilvl="1">
      <w:start w:val="0"/>
      <w:numFmt w:val="bullet"/>
      <w:lvlText w:val="•"/>
      <w:lvlJc w:val="left"/>
      <w:pPr>
        <w:ind w:left="539" w:hanging="360"/>
      </w:pPr>
      <w:rPr>
        <w:rFonts w:hint="default" w:ascii="Symbol" w:hAnsi="Symbol" w:eastAsia="Symbol" w:cs="Symbol"/>
        <w:w w:val="99"/>
        <w:sz w:val="20"/>
        <w:szCs w:val="20"/>
      </w:rPr>
    </w:lvl>
    <w:lvl w:ilvl="2">
      <w:start w:val="0"/>
      <w:numFmt w:val="bullet"/>
      <w:lvlText w:val="•"/>
      <w:lvlJc w:val="left"/>
      <w:pPr>
        <w:ind w:left="1151" w:hanging="360"/>
      </w:pPr>
      <w:rPr>
        <w:rFonts w:hint="default"/>
      </w:rPr>
    </w:lvl>
    <w:lvl w:ilvl="3">
      <w:start w:val="0"/>
      <w:numFmt w:val="bullet"/>
      <w:lvlText w:val="•"/>
      <w:lvlJc w:val="left"/>
      <w:pPr>
        <w:ind w:left="1763" w:hanging="360"/>
      </w:pPr>
      <w:rPr>
        <w:rFonts w:hint="default"/>
      </w:rPr>
    </w:lvl>
    <w:lvl w:ilvl="4">
      <w:start w:val="0"/>
      <w:numFmt w:val="bullet"/>
      <w:lvlText w:val="•"/>
      <w:lvlJc w:val="left"/>
      <w:pPr>
        <w:ind w:left="2375" w:hanging="360"/>
      </w:pPr>
      <w:rPr>
        <w:rFonts w:hint="default"/>
      </w:rPr>
    </w:lvl>
    <w:lvl w:ilvl="5">
      <w:start w:val="0"/>
      <w:numFmt w:val="bullet"/>
      <w:lvlText w:val="•"/>
      <w:lvlJc w:val="left"/>
      <w:pPr>
        <w:ind w:left="2987" w:hanging="360"/>
      </w:pPr>
      <w:rPr>
        <w:rFonts w:hint="default"/>
      </w:rPr>
    </w:lvl>
    <w:lvl w:ilvl="6">
      <w:start w:val="0"/>
      <w:numFmt w:val="bullet"/>
      <w:lvlText w:val="•"/>
      <w:lvlJc w:val="left"/>
      <w:pPr>
        <w:ind w:left="3599" w:hanging="360"/>
      </w:pPr>
      <w:rPr>
        <w:rFonts w:hint="default"/>
      </w:rPr>
    </w:lvl>
    <w:lvl w:ilvl="7">
      <w:start w:val="0"/>
      <w:numFmt w:val="bullet"/>
      <w:lvlText w:val="•"/>
      <w:lvlJc w:val="left"/>
      <w:pPr>
        <w:ind w:left="4211" w:hanging="360"/>
      </w:pPr>
      <w:rPr>
        <w:rFonts w:hint="default"/>
      </w:rPr>
    </w:lvl>
    <w:lvl w:ilvl="8">
      <w:start w:val="0"/>
      <w:numFmt w:val="bullet"/>
      <w:lvlText w:val="•"/>
      <w:lvlJc w:val="left"/>
      <w:pPr>
        <w:ind w:left="4823" w:hanging="360"/>
      </w:pPr>
      <w:rPr>
        <w:rFonts w:hint="default"/>
      </w:rPr>
    </w:lvl>
  </w:abstractNum>
  <w:abstractNum w:abstractNumId="179">
    <w:multiLevelType w:val="hybridMultilevel"/>
    <w:lvl w:ilvl="0">
      <w:start w:val="5"/>
      <w:numFmt w:val="decimal"/>
      <w:lvlText w:val="%1"/>
      <w:lvlJc w:val="left"/>
      <w:pPr>
        <w:ind w:left="1381" w:hanging="1203"/>
        <w:jc w:val="left"/>
      </w:pPr>
      <w:rPr>
        <w:rFonts w:hint="default"/>
      </w:rPr>
    </w:lvl>
    <w:lvl w:ilvl="1">
      <w:start w:val="4"/>
      <w:numFmt w:val="decimal"/>
      <w:lvlText w:val="%1.%2"/>
      <w:lvlJc w:val="left"/>
      <w:pPr>
        <w:ind w:left="1381" w:hanging="1203"/>
        <w:jc w:val="left"/>
      </w:pPr>
      <w:rPr>
        <w:rFonts w:hint="default"/>
      </w:rPr>
    </w:lvl>
    <w:lvl w:ilvl="2">
      <w:start w:val="6"/>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633" w:hanging="1440"/>
      </w:pPr>
      <w:rPr>
        <w:rFonts w:hint="default"/>
      </w:rPr>
    </w:lvl>
    <w:lvl w:ilvl="5">
      <w:start w:val="0"/>
      <w:numFmt w:val="bullet"/>
      <w:lvlText w:val="•"/>
      <w:lvlJc w:val="left"/>
      <w:pPr>
        <w:ind w:left="5637" w:hanging="1440"/>
      </w:pPr>
      <w:rPr>
        <w:rFonts w:hint="default"/>
      </w:rPr>
    </w:lvl>
    <w:lvl w:ilvl="6">
      <w:start w:val="0"/>
      <w:numFmt w:val="bullet"/>
      <w:lvlText w:val="•"/>
      <w:lvlJc w:val="left"/>
      <w:pPr>
        <w:ind w:left="6642" w:hanging="1440"/>
      </w:pPr>
      <w:rPr>
        <w:rFonts w:hint="default"/>
      </w:rPr>
    </w:lvl>
    <w:lvl w:ilvl="7">
      <w:start w:val="0"/>
      <w:numFmt w:val="bullet"/>
      <w:lvlText w:val="•"/>
      <w:lvlJc w:val="left"/>
      <w:pPr>
        <w:ind w:left="7646" w:hanging="1440"/>
      </w:pPr>
      <w:rPr>
        <w:rFonts w:hint="default"/>
      </w:rPr>
    </w:lvl>
    <w:lvl w:ilvl="8">
      <w:start w:val="0"/>
      <w:numFmt w:val="bullet"/>
      <w:lvlText w:val="•"/>
      <w:lvlJc w:val="left"/>
      <w:pPr>
        <w:ind w:left="8651" w:hanging="1440"/>
      </w:pPr>
      <w:rPr>
        <w:rFonts w:hint="default"/>
      </w:rPr>
    </w:lvl>
  </w:abstractNum>
  <w:abstractNum w:abstractNumId="178">
    <w:multiLevelType w:val="hybridMultilevel"/>
    <w:lvl w:ilvl="0">
      <w:start w:val="5"/>
      <w:numFmt w:val="decimal"/>
      <w:lvlText w:val="%1"/>
      <w:lvlJc w:val="left"/>
      <w:pPr>
        <w:ind w:left="1381" w:hanging="1203"/>
        <w:jc w:val="left"/>
      </w:pPr>
      <w:rPr>
        <w:rFonts w:hint="default"/>
      </w:rPr>
    </w:lvl>
    <w:lvl w:ilvl="1">
      <w:start w:val="4"/>
      <w:numFmt w:val="decimal"/>
      <w:lvlText w:val="%1.%2"/>
      <w:lvlJc w:val="left"/>
      <w:pPr>
        <w:ind w:left="1381" w:hanging="1203"/>
        <w:jc w:val="left"/>
      </w:pPr>
      <w:rPr>
        <w:rFonts w:hint="default"/>
      </w:rPr>
    </w:lvl>
    <w:lvl w:ilvl="2">
      <w:start w:val="3"/>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4164" w:hanging="1203"/>
      </w:pPr>
      <w:rPr>
        <w:rFonts w:hint="default"/>
      </w:rPr>
    </w:lvl>
    <w:lvl w:ilvl="4">
      <w:start w:val="0"/>
      <w:numFmt w:val="bullet"/>
      <w:lvlText w:val="•"/>
      <w:lvlJc w:val="left"/>
      <w:pPr>
        <w:ind w:left="5092" w:hanging="1203"/>
      </w:pPr>
      <w:rPr>
        <w:rFonts w:hint="default"/>
      </w:rPr>
    </w:lvl>
    <w:lvl w:ilvl="5">
      <w:start w:val="0"/>
      <w:numFmt w:val="bullet"/>
      <w:lvlText w:val="•"/>
      <w:lvlJc w:val="left"/>
      <w:pPr>
        <w:ind w:left="6020" w:hanging="1203"/>
      </w:pPr>
      <w:rPr>
        <w:rFonts w:hint="default"/>
      </w:rPr>
    </w:lvl>
    <w:lvl w:ilvl="6">
      <w:start w:val="0"/>
      <w:numFmt w:val="bullet"/>
      <w:lvlText w:val="•"/>
      <w:lvlJc w:val="left"/>
      <w:pPr>
        <w:ind w:left="6948" w:hanging="1203"/>
      </w:pPr>
      <w:rPr>
        <w:rFonts w:hint="default"/>
      </w:rPr>
    </w:lvl>
    <w:lvl w:ilvl="7">
      <w:start w:val="0"/>
      <w:numFmt w:val="bullet"/>
      <w:lvlText w:val="•"/>
      <w:lvlJc w:val="left"/>
      <w:pPr>
        <w:ind w:left="7876" w:hanging="1203"/>
      </w:pPr>
      <w:rPr>
        <w:rFonts w:hint="default"/>
      </w:rPr>
    </w:lvl>
    <w:lvl w:ilvl="8">
      <w:start w:val="0"/>
      <w:numFmt w:val="bullet"/>
      <w:lvlText w:val="•"/>
      <w:lvlJc w:val="left"/>
      <w:pPr>
        <w:ind w:left="8804" w:hanging="1203"/>
      </w:pPr>
      <w:rPr>
        <w:rFonts w:hint="default"/>
      </w:rPr>
    </w:lvl>
  </w:abstractNum>
  <w:abstractNum w:abstractNumId="177">
    <w:multiLevelType w:val="hybridMultilevel"/>
    <w:lvl w:ilvl="0">
      <w:start w:val="5"/>
      <w:numFmt w:val="decimal"/>
      <w:lvlText w:val="%1"/>
      <w:lvlJc w:val="left"/>
      <w:pPr>
        <w:ind w:left="1626" w:hanging="1440"/>
        <w:jc w:val="left"/>
      </w:pPr>
      <w:rPr>
        <w:rFonts w:hint="default"/>
      </w:rPr>
    </w:lvl>
    <w:lvl w:ilvl="1">
      <w:start w:val="4"/>
      <w:numFmt w:val="decimal"/>
      <w:lvlText w:val="%1.%2"/>
      <w:lvlJc w:val="left"/>
      <w:pPr>
        <w:ind w:left="1626" w:hanging="1440"/>
        <w:jc w:val="left"/>
      </w:pPr>
      <w:rPr>
        <w:rFonts w:hint="default"/>
      </w:rPr>
    </w:lvl>
    <w:lvl w:ilvl="2">
      <w:start w:val="2"/>
      <w:numFmt w:val="decimal"/>
      <w:lvlText w:val="%1.%2.%3"/>
      <w:lvlJc w:val="left"/>
      <w:pPr>
        <w:ind w:left="1626" w:hanging="1440"/>
        <w:jc w:val="left"/>
      </w:pPr>
      <w:rPr>
        <w:rFonts w:hint="default"/>
      </w:rPr>
    </w:lvl>
    <w:lvl w:ilvl="3">
      <w:start w:val="1"/>
      <w:numFmt w:val="decimal"/>
      <w:lvlText w:val="%1.%2.%3.%4"/>
      <w:lvlJc w:val="left"/>
      <w:pPr>
        <w:ind w:left="1626"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5236" w:hanging="1440"/>
      </w:pPr>
      <w:rPr>
        <w:rFonts w:hint="default"/>
      </w:rPr>
    </w:lvl>
    <w:lvl w:ilvl="5">
      <w:start w:val="0"/>
      <w:numFmt w:val="bullet"/>
      <w:lvlText w:val="•"/>
      <w:lvlJc w:val="left"/>
      <w:pPr>
        <w:ind w:left="6140" w:hanging="1440"/>
      </w:pPr>
      <w:rPr>
        <w:rFonts w:hint="default"/>
      </w:rPr>
    </w:lvl>
    <w:lvl w:ilvl="6">
      <w:start w:val="0"/>
      <w:numFmt w:val="bullet"/>
      <w:lvlText w:val="•"/>
      <w:lvlJc w:val="left"/>
      <w:pPr>
        <w:ind w:left="7044" w:hanging="1440"/>
      </w:pPr>
      <w:rPr>
        <w:rFonts w:hint="default"/>
      </w:rPr>
    </w:lvl>
    <w:lvl w:ilvl="7">
      <w:start w:val="0"/>
      <w:numFmt w:val="bullet"/>
      <w:lvlText w:val="•"/>
      <w:lvlJc w:val="left"/>
      <w:pPr>
        <w:ind w:left="7948" w:hanging="1440"/>
      </w:pPr>
      <w:rPr>
        <w:rFonts w:hint="default"/>
      </w:rPr>
    </w:lvl>
    <w:lvl w:ilvl="8">
      <w:start w:val="0"/>
      <w:numFmt w:val="bullet"/>
      <w:lvlText w:val="•"/>
      <w:lvlJc w:val="left"/>
      <w:pPr>
        <w:ind w:left="8852" w:hanging="1440"/>
      </w:pPr>
      <w:rPr>
        <w:rFonts w:hint="default"/>
      </w:rPr>
    </w:lvl>
  </w:abstractNum>
  <w:abstractNum w:abstractNumId="176">
    <w:multiLevelType w:val="hybridMultilevel"/>
    <w:lvl w:ilvl="0">
      <w:start w:val="1"/>
      <w:numFmt w:val="lowerRoman"/>
      <w:lvlText w:val="(%1)"/>
      <w:lvlJc w:val="left"/>
      <w:pPr>
        <w:ind w:left="721" w:hanging="569"/>
        <w:jc w:val="left"/>
      </w:pPr>
      <w:rPr>
        <w:rFonts w:hint="default" w:ascii="Times New Roman" w:hAnsi="Times New Roman" w:eastAsia="Times New Roman" w:cs="Times New Roman"/>
        <w:w w:val="99"/>
        <w:sz w:val="20"/>
        <w:szCs w:val="20"/>
      </w:rPr>
    </w:lvl>
    <w:lvl w:ilvl="1">
      <w:start w:val="0"/>
      <w:numFmt w:val="bullet"/>
      <w:lvlText w:val="•"/>
      <w:lvlJc w:val="left"/>
      <w:pPr>
        <w:ind w:left="1714" w:hanging="569"/>
      </w:pPr>
      <w:rPr>
        <w:rFonts w:hint="default"/>
      </w:rPr>
    </w:lvl>
    <w:lvl w:ilvl="2">
      <w:start w:val="0"/>
      <w:numFmt w:val="bullet"/>
      <w:lvlText w:val="•"/>
      <w:lvlJc w:val="left"/>
      <w:pPr>
        <w:ind w:left="2708" w:hanging="569"/>
      </w:pPr>
      <w:rPr>
        <w:rFonts w:hint="default"/>
      </w:rPr>
    </w:lvl>
    <w:lvl w:ilvl="3">
      <w:start w:val="0"/>
      <w:numFmt w:val="bullet"/>
      <w:lvlText w:val="•"/>
      <w:lvlJc w:val="left"/>
      <w:pPr>
        <w:ind w:left="3702" w:hanging="569"/>
      </w:pPr>
      <w:rPr>
        <w:rFonts w:hint="default"/>
      </w:rPr>
    </w:lvl>
    <w:lvl w:ilvl="4">
      <w:start w:val="0"/>
      <w:numFmt w:val="bullet"/>
      <w:lvlText w:val="•"/>
      <w:lvlJc w:val="left"/>
      <w:pPr>
        <w:ind w:left="4696" w:hanging="569"/>
      </w:pPr>
      <w:rPr>
        <w:rFonts w:hint="default"/>
      </w:rPr>
    </w:lvl>
    <w:lvl w:ilvl="5">
      <w:start w:val="0"/>
      <w:numFmt w:val="bullet"/>
      <w:lvlText w:val="•"/>
      <w:lvlJc w:val="left"/>
      <w:pPr>
        <w:ind w:left="5690" w:hanging="569"/>
      </w:pPr>
      <w:rPr>
        <w:rFonts w:hint="default"/>
      </w:rPr>
    </w:lvl>
    <w:lvl w:ilvl="6">
      <w:start w:val="0"/>
      <w:numFmt w:val="bullet"/>
      <w:lvlText w:val="•"/>
      <w:lvlJc w:val="left"/>
      <w:pPr>
        <w:ind w:left="6684" w:hanging="569"/>
      </w:pPr>
      <w:rPr>
        <w:rFonts w:hint="default"/>
      </w:rPr>
    </w:lvl>
    <w:lvl w:ilvl="7">
      <w:start w:val="0"/>
      <w:numFmt w:val="bullet"/>
      <w:lvlText w:val="•"/>
      <w:lvlJc w:val="left"/>
      <w:pPr>
        <w:ind w:left="7678" w:hanging="569"/>
      </w:pPr>
      <w:rPr>
        <w:rFonts w:hint="default"/>
      </w:rPr>
    </w:lvl>
    <w:lvl w:ilvl="8">
      <w:start w:val="0"/>
      <w:numFmt w:val="bullet"/>
      <w:lvlText w:val="•"/>
      <w:lvlJc w:val="left"/>
      <w:pPr>
        <w:ind w:left="8672" w:hanging="569"/>
      </w:pPr>
      <w:rPr>
        <w:rFonts w:hint="default"/>
      </w:rPr>
    </w:lvl>
  </w:abstractNum>
  <w:abstractNum w:abstractNumId="175">
    <w:multiLevelType w:val="hybridMultilevel"/>
    <w:lvl w:ilvl="0">
      <w:start w:val="5"/>
      <w:numFmt w:val="decimal"/>
      <w:lvlText w:val="%1"/>
      <w:lvlJc w:val="left"/>
      <w:pPr>
        <w:ind w:left="1381" w:hanging="1203"/>
        <w:jc w:val="left"/>
      </w:pPr>
      <w:rPr>
        <w:rFonts w:hint="default"/>
      </w:rPr>
    </w:lvl>
    <w:lvl w:ilvl="1">
      <w:start w:val="4"/>
      <w:numFmt w:val="decimal"/>
      <w:lvlText w:val="%1.%2"/>
      <w:lvlJc w:val="left"/>
      <w:pPr>
        <w:ind w:left="1381" w:hanging="1203"/>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4164" w:hanging="1203"/>
      </w:pPr>
      <w:rPr>
        <w:rFonts w:hint="default"/>
      </w:rPr>
    </w:lvl>
    <w:lvl w:ilvl="4">
      <w:start w:val="0"/>
      <w:numFmt w:val="bullet"/>
      <w:lvlText w:val="•"/>
      <w:lvlJc w:val="left"/>
      <w:pPr>
        <w:ind w:left="5092" w:hanging="1203"/>
      </w:pPr>
      <w:rPr>
        <w:rFonts w:hint="default"/>
      </w:rPr>
    </w:lvl>
    <w:lvl w:ilvl="5">
      <w:start w:val="0"/>
      <w:numFmt w:val="bullet"/>
      <w:lvlText w:val="•"/>
      <w:lvlJc w:val="left"/>
      <w:pPr>
        <w:ind w:left="6020" w:hanging="1203"/>
      </w:pPr>
      <w:rPr>
        <w:rFonts w:hint="default"/>
      </w:rPr>
    </w:lvl>
    <w:lvl w:ilvl="6">
      <w:start w:val="0"/>
      <w:numFmt w:val="bullet"/>
      <w:lvlText w:val="•"/>
      <w:lvlJc w:val="left"/>
      <w:pPr>
        <w:ind w:left="6948" w:hanging="1203"/>
      </w:pPr>
      <w:rPr>
        <w:rFonts w:hint="default"/>
      </w:rPr>
    </w:lvl>
    <w:lvl w:ilvl="7">
      <w:start w:val="0"/>
      <w:numFmt w:val="bullet"/>
      <w:lvlText w:val="•"/>
      <w:lvlJc w:val="left"/>
      <w:pPr>
        <w:ind w:left="7876" w:hanging="1203"/>
      </w:pPr>
      <w:rPr>
        <w:rFonts w:hint="default"/>
      </w:rPr>
    </w:lvl>
    <w:lvl w:ilvl="8">
      <w:start w:val="0"/>
      <w:numFmt w:val="bullet"/>
      <w:lvlText w:val="•"/>
      <w:lvlJc w:val="left"/>
      <w:pPr>
        <w:ind w:left="8804" w:hanging="1203"/>
      </w:pPr>
      <w:rPr>
        <w:rFonts w:hint="default"/>
      </w:rPr>
    </w:lvl>
  </w:abstractNum>
  <w:abstractNum w:abstractNumId="174">
    <w:multiLevelType w:val="hybridMultilevel"/>
    <w:lvl w:ilvl="0">
      <w:start w:val="5"/>
      <w:numFmt w:val="decimal"/>
      <w:lvlText w:val="%1"/>
      <w:lvlJc w:val="left"/>
      <w:pPr>
        <w:ind w:left="1381" w:hanging="1203"/>
        <w:jc w:val="left"/>
      </w:pPr>
      <w:rPr>
        <w:rFonts w:hint="default"/>
      </w:rPr>
    </w:lvl>
    <w:lvl w:ilvl="1">
      <w:start w:val="3"/>
      <w:numFmt w:val="decimal"/>
      <w:lvlText w:val="%1.%2"/>
      <w:lvlJc w:val="left"/>
      <w:pPr>
        <w:ind w:left="1381" w:hanging="1203"/>
        <w:jc w:val="left"/>
      </w:pPr>
      <w:rPr>
        <w:rFonts w:hint="default"/>
      </w:rPr>
    </w:lvl>
    <w:lvl w:ilvl="2">
      <w:start w:val="5"/>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633" w:hanging="1440"/>
      </w:pPr>
      <w:rPr>
        <w:rFonts w:hint="default"/>
      </w:rPr>
    </w:lvl>
    <w:lvl w:ilvl="5">
      <w:start w:val="0"/>
      <w:numFmt w:val="bullet"/>
      <w:lvlText w:val="•"/>
      <w:lvlJc w:val="left"/>
      <w:pPr>
        <w:ind w:left="5637" w:hanging="1440"/>
      </w:pPr>
      <w:rPr>
        <w:rFonts w:hint="default"/>
      </w:rPr>
    </w:lvl>
    <w:lvl w:ilvl="6">
      <w:start w:val="0"/>
      <w:numFmt w:val="bullet"/>
      <w:lvlText w:val="•"/>
      <w:lvlJc w:val="left"/>
      <w:pPr>
        <w:ind w:left="6642" w:hanging="1440"/>
      </w:pPr>
      <w:rPr>
        <w:rFonts w:hint="default"/>
      </w:rPr>
    </w:lvl>
    <w:lvl w:ilvl="7">
      <w:start w:val="0"/>
      <w:numFmt w:val="bullet"/>
      <w:lvlText w:val="•"/>
      <w:lvlJc w:val="left"/>
      <w:pPr>
        <w:ind w:left="7646" w:hanging="1440"/>
      </w:pPr>
      <w:rPr>
        <w:rFonts w:hint="default"/>
      </w:rPr>
    </w:lvl>
    <w:lvl w:ilvl="8">
      <w:start w:val="0"/>
      <w:numFmt w:val="bullet"/>
      <w:lvlText w:val="•"/>
      <w:lvlJc w:val="left"/>
      <w:pPr>
        <w:ind w:left="8651" w:hanging="1440"/>
      </w:pPr>
      <w:rPr>
        <w:rFonts w:hint="default"/>
      </w:rPr>
    </w:lvl>
  </w:abstractNum>
  <w:abstractNum w:abstractNumId="173">
    <w:multiLevelType w:val="hybridMultilevel"/>
    <w:lvl w:ilvl="0">
      <w:start w:val="5"/>
      <w:numFmt w:val="decimal"/>
      <w:lvlText w:val="%1"/>
      <w:lvlJc w:val="left"/>
      <w:pPr>
        <w:ind w:left="1381" w:hanging="1203"/>
        <w:jc w:val="left"/>
      </w:pPr>
      <w:rPr>
        <w:rFonts w:hint="default"/>
      </w:rPr>
    </w:lvl>
    <w:lvl w:ilvl="1">
      <w:start w:val="3"/>
      <w:numFmt w:val="decimal"/>
      <w:lvlText w:val="%1.%2"/>
      <w:lvlJc w:val="left"/>
      <w:pPr>
        <w:ind w:left="1381" w:hanging="1203"/>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633" w:hanging="1440"/>
      </w:pPr>
      <w:rPr>
        <w:rFonts w:hint="default"/>
      </w:rPr>
    </w:lvl>
    <w:lvl w:ilvl="5">
      <w:start w:val="0"/>
      <w:numFmt w:val="bullet"/>
      <w:lvlText w:val="•"/>
      <w:lvlJc w:val="left"/>
      <w:pPr>
        <w:ind w:left="5637" w:hanging="1440"/>
      </w:pPr>
      <w:rPr>
        <w:rFonts w:hint="default"/>
      </w:rPr>
    </w:lvl>
    <w:lvl w:ilvl="6">
      <w:start w:val="0"/>
      <w:numFmt w:val="bullet"/>
      <w:lvlText w:val="•"/>
      <w:lvlJc w:val="left"/>
      <w:pPr>
        <w:ind w:left="6642" w:hanging="1440"/>
      </w:pPr>
      <w:rPr>
        <w:rFonts w:hint="default"/>
      </w:rPr>
    </w:lvl>
    <w:lvl w:ilvl="7">
      <w:start w:val="0"/>
      <w:numFmt w:val="bullet"/>
      <w:lvlText w:val="•"/>
      <w:lvlJc w:val="left"/>
      <w:pPr>
        <w:ind w:left="7646" w:hanging="1440"/>
      </w:pPr>
      <w:rPr>
        <w:rFonts w:hint="default"/>
      </w:rPr>
    </w:lvl>
    <w:lvl w:ilvl="8">
      <w:start w:val="0"/>
      <w:numFmt w:val="bullet"/>
      <w:lvlText w:val="•"/>
      <w:lvlJc w:val="left"/>
      <w:pPr>
        <w:ind w:left="8651" w:hanging="1440"/>
      </w:pPr>
      <w:rPr>
        <w:rFonts w:hint="default"/>
      </w:rPr>
    </w:lvl>
  </w:abstractNum>
  <w:abstractNum w:abstractNumId="172">
    <w:multiLevelType w:val="hybridMultilevel"/>
    <w:lvl w:ilvl="0">
      <w:start w:val="5"/>
      <w:numFmt w:val="decimal"/>
      <w:lvlText w:val="%1"/>
      <w:lvlJc w:val="left"/>
      <w:pPr>
        <w:ind w:left="1381" w:hanging="1203"/>
        <w:jc w:val="left"/>
      </w:pPr>
      <w:rPr>
        <w:rFonts w:hint="default"/>
      </w:rPr>
    </w:lvl>
    <w:lvl w:ilvl="1">
      <w:start w:val="1"/>
      <w:numFmt w:val="decimal"/>
      <w:lvlText w:val="%1.%2"/>
      <w:lvlJc w:val="left"/>
      <w:pPr>
        <w:ind w:left="1381" w:hanging="1203"/>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633" w:hanging="1440"/>
      </w:pPr>
      <w:rPr>
        <w:rFonts w:hint="default"/>
      </w:rPr>
    </w:lvl>
    <w:lvl w:ilvl="5">
      <w:start w:val="0"/>
      <w:numFmt w:val="bullet"/>
      <w:lvlText w:val="•"/>
      <w:lvlJc w:val="left"/>
      <w:pPr>
        <w:ind w:left="5637" w:hanging="1440"/>
      </w:pPr>
      <w:rPr>
        <w:rFonts w:hint="default"/>
      </w:rPr>
    </w:lvl>
    <w:lvl w:ilvl="6">
      <w:start w:val="0"/>
      <w:numFmt w:val="bullet"/>
      <w:lvlText w:val="•"/>
      <w:lvlJc w:val="left"/>
      <w:pPr>
        <w:ind w:left="6642" w:hanging="1440"/>
      </w:pPr>
      <w:rPr>
        <w:rFonts w:hint="default"/>
      </w:rPr>
    </w:lvl>
    <w:lvl w:ilvl="7">
      <w:start w:val="0"/>
      <w:numFmt w:val="bullet"/>
      <w:lvlText w:val="•"/>
      <w:lvlJc w:val="left"/>
      <w:pPr>
        <w:ind w:left="7646" w:hanging="1440"/>
      </w:pPr>
      <w:rPr>
        <w:rFonts w:hint="default"/>
      </w:rPr>
    </w:lvl>
    <w:lvl w:ilvl="8">
      <w:start w:val="0"/>
      <w:numFmt w:val="bullet"/>
      <w:lvlText w:val="•"/>
      <w:lvlJc w:val="left"/>
      <w:pPr>
        <w:ind w:left="8651" w:hanging="1440"/>
      </w:pPr>
      <w:rPr>
        <w:rFonts w:hint="default"/>
      </w:rPr>
    </w:lvl>
  </w:abstractNum>
  <w:abstractNum w:abstractNumId="171">
    <w:multiLevelType w:val="hybridMultilevel"/>
    <w:lvl w:ilvl="0">
      <w:start w:val="5"/>
      <w:numFmt w:val="decimal"/>
      <w:lvlText w:val="%1"/>
      <w:lvlJc w:val="left"/>
      <w:pPr>
        <w:ind w:left="1199" w:hanging="1021"/>
        <w:jc w:val="left"/>
      </w:pPr>
      <w:rPr>
        <w:rFonts w:hint="default"/>
      </w:rPr>
    </w:lvl>
    <w:lvl w:ilvl="1">
      <w:start w:val="1"/>
      <w:numFmt w:val="decimal"/>
      <w:lvlText w:val="%1.%2"/>
      <w:lvlJc w:val="left"/>
      <w:pPr>
        <w:ind w:left="1199" w:hanging="1021"/>
        <w:jc w:val="left"/>
      </w:pPr>
      <w:rPr>
        <w:rFonts w:hint="default" w:ascii="Times New Roman" w:hAnsi="Times New Roman" w:eastAsia="Times New Roman" w:cs="Times New Roman"/>
        <w:b/>
        <w:bCs/>
        <w:spacing w:val="0"/>
        <w:w w:val="99"/>
        <w:sz w:val="20"/>
        <w:szCs w:val="20"/>
      </w:rPr>
    </w:lvl>
    <w:lvl w:ilvl="2">
      <w:start w:val="1"/>
      <w:numFmt w:val="decimal"/>
      <w:lvlText w:val="%1.%2.%3"/>
      <w:lvlJc w:val="left"/>
      <w:pPr>
        <w:ind w:left="1198" w:hanging="736"/>
        <w:jc w:val="left"/>
      </w:pPr>
      <w:rPr>
        <w:rFonts w:hint="default" w:ascii="Times New Roman" w:hAnsi="Times New Roman" w:eastAsia="Times New Roman" w:cs="Times New Roman"/>
        <w:w w:val="99"/>
        <w:sz w:val="20"/>
        <w:szCs w:val="20"/>
      </w:rPr>
    </w:lvl>
    <w:lvl w:ilvl="3">
      <w:start w:val="1"/>
      <w:numFmt w:val="decimal"/>
      <w:lvlText w:val="%1.%2.%3.%4"/>
      <w:lvlJc w:val="left"/>
      <w:pPr>
        <w:ind w:left="1480" w:hanging="736"/>
        <w:jc w:val="left"/>
      </w:pPr>
      <w:rPr>
        <w:rFonts w:hint="default" w:ascii="Times New Roman" w:hAnsi="Times New Roman" w:eastAsia="Times New Roman" w:cs="Times New Roman"/>
        <w:spacing w:val="-2"/>
        <w:w w:val="99"/>
        <w:sz w:val="20"/>
        <w:szCs w:val="20"/>
      </w:rPr>
    </w:lvl>
    <w:lvl w:ilvl="4">
      <w:start w:val="0"/>
      <w:numFmt w:val="bullet"/>
      <w:lvlText w:val="•"/>
      <w:lvlJc w:val="left"/>
      <w:pPr>
        <w:ind w:left="4540" w:hanging="736"/>
      </w:pPr>
      <w:rPr>
        <w:rFonts w:hint="default"/>
      </w:rPr>
    </w:lvl>
    <w:lvl w:ilvl="5">
      <w:start w:val="0"/>
      <w:numFmt w:val="bullet"/>
      <w:lvlText w:val="•"/>
      <w:lvlJc w:val="left"/>
      <w:pPr>
        <w:ind w:left="5560" w:hanging="736"/>
      </w:pPr>
      <w:rPr>
        <w:rFonts w:hint="default"/>
      </w:rPr>
    </w:lvl>
    <w:lvl w:ilvl="6">
      <w:start w:val="0"/>
      <w:numFmt w:val="bullet"/>
      <w:lvlText w:val="•"/>
      <w:lvlJc w:val="left"/>
      <w:pPr>
        <w:ind w:left="6580" w:hanging="736"/>
      </w:pPr>
      <w:rPr>
        <w:rFonts w:hint="default"/>
      </w:rPr>
    </w:lvl>
    <w:lvl w:ilvl="7">
      <w:start w:val="0"/>
      <w:numFmt w:val="bullet"/>
      <w:lvlText w:val="•"/>
      <w:lvlJc w:val="left"/>
      <w:pPr>
        <w:ind w:left="7600" w:hanging="736"/>
      </w:pPr>
      <w:rPr>
        <w:rFonts w:hint="default"/>
      </w:rPr>
    </w:lvl>
    <w:lvl w:ilvl="8">
      <w:start w:val="0"/>
      <w:numFmt w:val="bullet"/>
      <w:lvlText w:val="•"/>
      <w:lvlJc w:val="left"/>
      <w:pPr>
        <w:ind w:left="8620" w:hanging="736"/>
      </w:pPr>
      <w:rPr>
        <w:rFonts w:hint="default"/>
      </w:rPr>
    </w:lvl>
  </w:abstractNum>
  <w:abstractNum w:abstractNumId="170">
    <w:multiLevelType w:val="hybridMultilevel"/>
    <w:lvl w:ilvl="0">
      <w:start w:val="4"/>
      <w:numFmt w:val="decimal"/>
      <w:lvlText w:val="%1"/>
      <w:lvlJc w:val="left"/>
      <w:pPr>
        <w:ind w:left="926" w:hanging="682"/>
        <w:jc w:val="left"/>
      </w:pPr>
      <w:rPr>
        <w:rFonts w:hint="default" w:ascii="Times New Roman" w:hAnsi="Times New Roman" w:eastAsia="Times New Roman" w:cs="Times New Roman"/>
        <w:w w:val="99"/>
        <w:sz w:val="20"/>
        <w:szCs w:val="20"/>
      </w:rPr>
    </w:lvl>
    <w:lvl w:ilvl="1">
      <w:start w:val="0"/>
      <w:numFmt w:val="bullet"/>
      <w:lvlText w:val="•"/>
      <w:lvlJc w:val="left"/>
      <w:pPr>
        <w:ind w:left="1648" w:hanging="682"/>
      </w:pPr>
      <w:rPr>
        <w:rFonts w:hint="default"/>
      </w:rPr>
    </w:lvl>
    <w:lvl w:ilvl="2">
      <w:start w:val="0"/>
      <w:numFmt w:val="bullet"/>
      <w:lvlText w:val="•"/>
      <w:lvlJc w:val="left"/>
      <w:pPr>
        <w:ind w:left="2376" w:hanging="682"/>
      </w:pPr>
      <w:rPr>
        <w:rFonts w:hint="default"/>
      </w:rPr>
    </w:lvl>
    <w:lvl w:ilvl="3">
      <w:start w:val="0"/>
      <w:numFmt w:val="bullet"/>
      <w:lvlText w:val="•"/>
      <w:lvlJc w:val="left"/>
      <w:pPr>
        <w:ind w:left="3104" w:hanging="682"/>
      </w:pPr>
      <w:rPr>
        <w:rFonts w:hint="default"/>
      </w:rPr>
    </w:lvl>
    <w:lvl w:ilvl="4">
      <w:start w:val="0"/>
      <w:numFmt w:val="bullet"/>
      <w:lvlText w:val="•"/>
      <w:lvlJc w:val="left"/>
      <w:pPr>
        <w:ind w:left="3832" w:hanging="682"/>
      </w:pPr>
      <w:rPr>
        <w:rFonts w:hint="default"/>
      </w:rPr>
    </w:lvl>
    <w:lvl w:ilvl="5">
      <w:start w:val="0"/>
      <w:numFmt w:val="bullet"/>
      <w:lvlText w:val="•"/>
      <w:lvlJc w:val="left"/>
      <w:pPr>
        <w:ind w:left="4560" w:hanging="682"/>
      </w:pPr>
      <w:rPr>
        <w:rFonts w:hint="default"/>
      </w:rPr>
    </w:lvl>
    <w:lvl w:ilvl="6">
      <w:start w:val="0"/>
      <w:numFmt w:val="bullet"/>
      <w:lvlText w:val="•"/>
      <w:lvlJc w:val="left"/>
      <w:pPr>
        <w:ind w:left="5288" w:hanging="682"/>
      </w:pPr>
      <w:rPr>
        <w:rFonts w:hint="default"/>
      </w:rPr>
    </w:lvl>
    <w:lvl w:ilvl="7">
      <w:start w:val="0"/>
      <w:numFmt w:val="bullet"/>
      <w:lvlText w:val="•"/>
      <w:lvlJc w:val="left"/>
      <w:pPr>
        <w:ind w:left="6016" w:hanging="682"/>
      </w:pPr>
      <w:rPr>
        <w:rFonts w:hint="default"/>
      </w:rPr>
    </w:lvl>
    <w:lvl w:ilvl="8">
      <w:start w:val="0"/>
      <w:numFmt w:val="bullet"/>
      <w:lvlText w:val="•"/>
      <w:lvlJc w:val="left"/>
      <w:pPr>
        <w:ind w:left="6744" w:hanging="682"/>
      </w:pPr>
      <w:rPr>
        <w:rFonts w:hint="default"/>
      </w:rPr>
    </w:lvl>
  </w:abstractNum>
  <w:abstractNum w:abstractNumId="169">
    <w:multiLevelType w:val="hybridMultilevel"/>
    <w:lvl w:ilvl="0">
      <w:start w:val="4"/>
      <w:numFmt w:val="decimal"/>
      <w:lvlText w:val="%1"/>
      <w:lvlJc w:val="left"/>
      <w:pPr>
        <w:ind w:left="1619" w:hanging="1440"/>
        <w:jc w:val="left"/>
      </w:pPr>
      <w:rPr>
        <w:rFonts w:hint="default"/>
      </w:rPr>
    </w:lvl>
    <w:lvl w:ilvl="1">
      <w:start w:val="2"/>
      <w:numFmt w:val="decimal"/>
      <w:lvlText w:val="%1.%2"/>
      <w:lvlJc w:val="left"/>
      <w:pPr>
        <w:ind w:left="1619" w:hanging="1440"/>
        <w:jc w:val="left"/>
      </w:pPr>
      <w:rPr>
        <w:rFonts w:hint="default"/>
      </w:rPr>
    </w:lvl>
    <w:lvl w:ilvl="2">
      <w:start w:val="10"/>
      <w:numFmt w:val="decimal"/>
      <w:lvlText w:val="%1.%2.%3"/>
      <w:lvlJc w:val="left"/>
      <w:pPr>
        <w:ind w:left="1619" w:hanging="1440"/>
        <w:jc w:val="left"/>
      </w:pPr>
      <w:rPr>
        <w:rFonts w:hint="default"/>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331" w:hanging="1152"/>
        <w:jc w:val="left"/>
      </w:pPr>
      <w:rPr>
        <w:rFonts w:hint="default" w:ascii="Times New Roman" w:hAnsi="Times New Roman" w:eastAsia="Times New Roman" w:cs="Times New Roman"/>
        <w:b/>
        <w:bCs/>
        <w:spacing w:val="-34"/>
        <w:w w:val="100"/>
        <w:sz w:val="22"/>
        <w:szCs w:val="22"/>
      </w:rPr>
    </w:lvl>
    <w:lvl w:ilvl="5">
      <w:start w:val="0"/>
      <w:numFmt w:val="bullet"/>
      <w:lvlText w:val="•"/>
      <w:lvlJc w:val="left"/>
      <w:pPr>
        <w:ind w:left="5637" w:hanging="1152"/>
      </w:pPr>
      <w:rPr>
        <w:rFonts w:hint="default"/>
      </w:rPr>
    </w:lvl>
    <w:lvl w:ilvl="6">
      <w:start w:val="0"/>
      <w:numFmt w:val="bullet"/>
      <w:lvlText w:val="•"/>
      <w:lvlJc w:val="left"/>
      <w:pPr>
        <w:ind w:left="6642" w:hanging="1152"/>
      </w:pPr>
      <w:rPr>
        <w:rFonts w:hint="default"/>
      </w:rPr>
    </w:lvl>
    <w:lvl w:ilvl="7">
      <w:start w:val="0"/>
      <w:numFmt w:val="bullet"/>
      <w:lvlText w:val="•"/>
      <w:lvlJc w:val="left"/>
      <w:pPr>
        <w:ind w:left="7646" w:hanging="1152"/>
      </w:pPr>
      <w:rPr>
        <w:rFonts w:hint="default"/>
      </w:rPr>
    </w:lvl>
    <w:lvl w:ilvl="8">
      <w:start w:val="0"/>
      <w:numFmt w:val="bullet"/>
      <w:lvlText w:val="•"/>
      <w:lvlJc w:val="left"/>
      <w:pPr>
        <w:ind w:left="8651" w:hanging="1152"/>
      </w:pPr>
      <w:rPr>
        <w:rFonts w:hint="default"/>
      </w:rPr>
    </w:lvl>
  </w:abstractNum>
  <w:abstractNum w:abstractNumId="168">
    <w:multiLevelType w:val="hybridMultilevel"/>
    <w:lvl w:ilvl="0">
      <w:start w:val="4"/>
      <w:numFmt w:val="decimal"/>
      <w:lvlText w:val="%1"/>
      <w:lvlJc w:val="left"/>
      <w:pPr>
        <w:ind w:left="1331" w:hanging="1152"/>
        <w:jc w:val="left"/>
      </w:pPr>
      <w:rPr>
        <w:rFonts w:hint="default"/>
      </w:rPr>
    </w:lvl>
    <w:lvl w:ilvl="1">
      <w:start w:val="2"/>
      <w:numFmt w:val="decimal"/>
      <w:lvlText w:val="%1.%2"/>
      <w:lvlJc w:val="left"/>
      <w:pPr>
        <w:ind w:left="1331" w:hanging="1152"/>
        <w:jc w:val="left"/>
      </w:pPr>
      <w:rPr>
        <w:rFonts w:hint="default"/>
      </w:rPr>
    </w:lvl>
    <w:lvl w:ilvl="2">
      <w:start w:val="9"/>
      <w:numFmt w:val="decimal"/>
      <w:lvlText w:val="%1.%2.%3"/>
      <w:lvlJc w:val="left"/>
      <w:pPr>
        <w:ind w:left="1331" w:hanging="1152"/>
        <w:jc w:val="left"/>
      </w:pPr>
      <w:rPr>
        <w:rFonts w:hint="default"/>
      </w:rPr>
    </w:lvl>
    <w:lvl w:ilvl="3">
      <w:start w:val="3"/>
      <w:numFmt w:val="decimal"/>
      <w:lvlText w:val="%1.%2.%3.%4"/>
      <w:lvlJc w:val="left"/>
      <w:pPr>
        <w:ind w:left="1331" w:hanging="1152"/>
        <w:jc w:val="left"/>
      </w:pPr>
      <w:rPr>
        <w:rFonts w:hint="default"/>
      </w:rPr>
    </w:lvl>
    <w:lvl w:ilvl="4">
      <w:start w:val="1"/>
      <w:numFmt w:val="decimal"/>
      <w:lvlText w:val="%1.%2.%3.%4.%5"/>
      <w:lvlJc w:val="left"/>
      <w:pPr>
        <w:ind w:left="1331" w:hanging="1152"/>
        <w:jc w:val="left"/>
      </w:pPr>
      <w:rPr>
        <w:rFonts w:hint="default" w:ascii="Times New Roman" w:hAnsi="Times New Roman" w:eastAsia="Times New Roman" w:cs="Times New Roman"/>
        <w:b/>
        <w:bCs/>
        <w:spacing w:val="-34"/>
        <w:w w:val="100"/>
        <w:sz w:val="22"/>
        <w:szCs w:val="22"/>
      </w:rPr>
    </w:lvl>
    <w:lvl w:ilvl="5">
      <w:start w:val="0"/>
      <w:numFmt w:val="bullet"/>
      <w:lvlText w:val="•"/>
      <w:lvlJc w:val="left"/>
      <w:pPr>
        <w:ind w:left="6000" w:hanging="1152"/>
      </w:pPr>
      <w:rPr>
        <w:rFonts w:hint="default"/>
      </w:rPr>
    </w:lvl>
    <w:lvl w:ilvl="6">
      <w:start w:val="0"/>
      <w:numFmt w:val="bullet"/>
      <w:lvlText w:val="•"/>
      <w:lvlJc w:val="left"/>
      <w:pPr>
        <w:ind w:left="6932" w:hanging="1152"/>
      </w:pPr>
      <w:rPr>
        <w:rFonts w:hint="default"/>
      </w:rPr>
    </w:lvl>
    <w:lvl w:ilvl="7">
      <w:start w:val="0"/>
      <w:numFmt w:val="bullet"/>
      <w:lvlText w:val="•"/>
      <w:lvlJc w:val="left"/>
      <w:pPr>
        <w:ind w:left="7864" w:hanging="1152"/>
      </w:pPr>
      <w:rPr>
        <w:rFonts w:hint="default"/>
      </w:rPr>
    </w:lvl>
    <w:lvl w:ilvl="8">
      <w:start w:val="0"/>
      <w:numFmt w:val="bullet"/>
      <w:lvlText w:val="•"/>
      <w:lvlJc w:val="left"/>
      <w:pPr>
        <w:ind w:left="8796" w:hanging="1152"/>
      </w:pPr>
      <w:rPr>
        <w:rFonts w:hint="default"/>
      </w:rPr>
    </w:lvl>
  </w:abstractNum>
  <w:abstractNum w:abstractNumId="167">
    <w:multiLevelType w:val="hybridMultilevel"/>
    <w:lvl w:ilvl="0">
      <w:start w:val="4"/>
      <w:numFmt w:val="decimal"/>
      <w:lvlText w:val="%1"/>
      <w:lvlJc w:val="left"/>
      <w:pPr>
        <w:ind w:left="926" w:hanging="641"/>
        <w:jc w:val="left"/>
      </w:pPr>
      <w:rPr>
        <w:rFonts w:hint="default" w:ascii="Times New Roman" w:hAnsi="Times New Roman" w:eastAsia="Times New Roman" w:cs="Times New Roman"/>
        <w:w w:val="99"/>
        <w:sz w:val="20"/>
        <w:szCs w:val="20"/>
      </w:rPr>
    </w:lvl>
    <w:lvl w:ilvl="1">
      <w:start w:val="0"/>
      <w:numFmt w:val="bullet"/>
      <w:lvlText w:val="•"/>
      <w:lvlJc w:val="left"/>
      <w:pPr>
        <w:ind w:left="1648" w:hanging="641"/>
      </w:pPr>
      <w:rPr>
        <w:rFonts w:hint="default"/>
      </w:rPr>
    </w:lvl>
    <w:lvl w:ilvl="2">
      <w:start w:val="0"/>
      <w:numFmt w:val="bullet"/>
      <w:lvlText w:val="•"/>
      <w:lvlJc w:val="left"/>
      <w:pPr>
        <w:ind w:left="2376" w:hanging="641"/>
      </w:pPr>
      <w:rPr>
        <w:rFonts w:hint="default"/>
      </w:rPr>
    </w:lvl>
    <w:lvl w:ilvl="3">
      <w:start w:val="0"/>
      <w:numFmt w:val="bullet"/>
      <w:lvlText w:val="•"/>
      <w:lvlJc w:val="left"/>
      <w:pPr>
        <w:ind w:left="3104" w:hanging="641"/>
      </w:pPr>
      <w:rPr>
        <w:rFonts w:hint="default"/>
      </w:rPr>
    </w:lvl>
    <w:lvl w:ilvl="4">
      <w:start w:val="0"/>
      <w:numFmt w:val="bullet"/>
      <w:lvlText w:val="•"/>
      <w:lvlJc w:val="left"/>
      <w:pPr>
        <w:ind w:left="3832" w:hanging="641"/>
      </w:pPr>
      <w:rPr>
        <w:rFonts w:hint="default"/>
      </w:rPr>
    </w:lvl>
    <w:lvl w:ilvl="5">
      <w:start w:val="0"/>
      <w:numFmt w:val="bullet"/>
      <w:lvlText w:val="•"/>
      <w:lvlJc w:val="left"/>
      <w:pPr>
        <w:ind w:left="4560" w:hanging="641"/>
      </w:pPr>
      <w:rPr>
        <w:rFonts w:hint="default"/>
      </w:rPr>
    </w:lvl>
    <w:lvl w:ilvl="6">
      <w:start w:val="0"/>
      <w:numFmt w:val="bullet"/>
      <w:lvlText w:val="•"/>
      <w:lvlJc w:val="left"/>
      <w:pPr>
        <w:ind w:left="5288" w:hanging="641"/>
      </w:pPr>
      <w:rPr>
        <w:rFonts w:hint="default"/>
      </w:rPr>
    </w:lvl>
    <w:lvl w:ilvl="7">
      <w:start w:val="0"/>
      <w:numFmt w:val="bullet"/>
      <w:lvlText w:val="•"/>
      <w:lvlJc w:val="left"/>
      <w:pPr>
        <w:ind w:left="6016" w:hanging="641"/>
      </w:pPr>
      <w:rPr>
        <w:rFonts w:hint="default"/>
      </w:rPr>
    </w:lvl>
    <w:lvl w:ilvl="8">
      <w:start w:val="0"/>
      <w:numFmt w:val="bullet"/>
      <w:lvlText w:val="•"/>
      <w:lvlJc w:val="left"/>
      <w:pPr>
        <w:ind w:left="6744" w:hanging="641"/>
      </w:pPr>
      <w:rPr>
        <w:rFonts w:hint="default"/>
      </w:rPr>
    </w:lvl>
  </w:abstractNum>
  <w:abstractNum w:abstractNumId="166">
    <w:multiLevelType w:val="hybridMultilevel"/>
    <w:lvl w:ilvl="0">
      <w:start w:val="4"/>
      <w:numFmt w:val="decimal"/>
      <w:lvlText w:val="%1"/>
      <w:lvlJc w:val="left"/>
      <w:pPr>
        <w:ind w:left="1619" w:hanging="1440"/>
        <w:jc w:val="left"/>
      </w:pPr>
      <w:rPr>
        <w:rFonts w:hint="default"/>
      </w:rPr>
    </w:lvl>
    <w:lvl w:ilvl="1">
      <w:start w:val="2"/>
      <w:numFmt w:val="decimal"/>
      <w:lvlText w:val="%1.%2"/>
      <w:lvlJc w:val="left"/>
      <w:pPr>
        <w:ind w:left="1619" w:hanging="1440"/>
        <w:jc w:val="left"/>
      </w:pPr>
      <w:rPr>
        <w:rFonts w:hint="default"/>
      </w:rPr>
    </w:lvl>
    <w:lvl w:ilvl="2">
      <w:start w:val="9"/>
      <w:numFmt w:val="decimal"/>
      <w:lvlText w:val="%1.%2.%3"/>
      <w:lvlJc w:val="left"/>
      <w:pPr>
        <w:ind w:left="1619" w:hanging="1440"/>
        <w:jc w:val="left"/>
      </w:pPr>
      <w:rPr>
        <w:rFonts w:hint="default"/>
      </w:rPr>
    </w:lvl>
    <w:lvl w:ilvl="3">
      <w:start w:val="2"/>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5236" w:hanging="1440"/>
      </w:pPr>
      <w:rPr>
        <w:rFonts w:hint="default"/>
      </w:rPr>
    </w:lvl>
    <w:lvl w:ilvl="5">
      <w:start w:val="0"/>
      <w:numFmt w:val="bullet"/>
      <w:lvlText w:val="•"/>
      <w:lvlJc w:val="left"/>
      <w:pPr>
        <w:ind w:left="6140" w:hanging="1440"/>
      </w:pPr>
      <w:rPr>
        <w:rFonts w:hint="default"/>
      </w:rPr>
    </w:lvl>
    <w:lvl w:ilvl="6">
      <w:start w:val="0"/>
      <w:numFmt w:val="bullet"/>
      <w:lvlText w:val="•"/>
      <w:lvlJc w:val="left"/>
      <w:pPr>
        <w:ind w:left="7044" w:hanging="1440"/>
      </w:pPr>
      <w:rPr>
        <w:rFonts w:hint="default"/>
      </w:rPr>
    </w:lvl>
    <w:lvl w:ilvl="7">
      <w:start w:val="0"/>
      <w:numFmt w:val="bullet"/>
      <w:lvlText w:val="•"/>
      <w:lvlJc w:val="left"/>
      <w:pPr>
        <w:ind w:left="7948" w:hanging="1440"/>
      </w:pPr>
      <w:rPr>
        <w:rFonts w:hint="default"/>
      </w:rPr>
    </w:lvl>
    <w:lvl w:ilvl="8">
      <w:start w:val="0"/>
      <w:numFmt w:val="bullet"/>
      <w:lvlText w:val="•"/>
      <w:lvlJc w:val="left"/>
      <w:pPr>
        <w:ind w:left="8852" w:hanging="1440"/>
      </w:pPr>
      <w:rPr>
        <w:rFonts w:hint="default"/>
      </w:rPr>
    </w:lvl>
  </w:abstractNum>
  <w:abstractNum w:abstractNumId="165">
    <w:multiLevelType w:val="hybridMultilevel"/>
    <w:lvl w:ilvl="0">
      <w:start w:val="1"/>
      <w:numFmt w:val="decimal"/>
      <w:lvlText w:val="%1)"/>
      <w:lvlJc w:val="left"/>
      <w:pPr>
        <w:ind w:left="539" w:hanging="360"/>
        <w:jc w:val="left"/>
      </w:pPr>
      <w:rPr>
        <w:rFonts w:hint="default" w:ascii="Times New Roman" w:hAnsi="Times New Roman" w:eastAsia="Times New Roman" w:cs="Times New Roman"/>
        <w:spacing w:val="0"/>
        <w:w w:val="99"/>
        <w:sz w:val="20"/>
        <w:szCs w:val="20"/>
      </w:rPr>
    </w:lvl>
    <w:lvl w:ilvl="1">
      <w:start w:val="0"/>
      <w:numFmt w:val="bullet"/>
      <w:lvlText w:val="•"/>
      <w:lvlJc w:val="left"/>
      <w:pPr>
        <w:ind w:left="880" w:hanging="356"/>
      </w:pPr>
      <w:rPr>
        <w:rFonts w:hint="default" w:ascii="Symbol" w:hAnsi="Symbol" w:eastAsia="Symbol" w:cs="Symbol"/>
        <w:w w:val="99"/>
        <w:sz w:val="20"/>
        <w:szCs w:val="20"/>
      </w:rPr>
    </w:lvl>
    <w:lvl w:ilvl="2">
      <w:start w:val="0"/>
      <w:numFmt w:val="bullet"/>
      <w:lvlText w:val="•"/>
      <w:lvlJc w:val="left"/>
      <w:pPr>
        <w:ind w:left="880" w:hanging="356"/>
      </w:pPr>
      <w:rPr>
        <w:rFonts w:hint="default"/>
      </w:rPr>
    </w:lvl>
    <w:lvl w:ilvl="3">
      <w:start w:val="0"/>
      <w:numFmt w:val="bullet"/>
      <w:lvlText w:val="•"/>
      <w:lvlJc w:val="left"/>
      <w:pPr>
        <w:ind w:left="2102" w:hanging="356"/>
      </w:pPr>
      <w:rPr>
        <w:rFonts w:hint="default"/>
      </w:rPr>
    </w:lvl>
    <w:lvl w:ilvl="4">
      <w:start w:val="0"/>
      <w:numFmt w:val="bullet"/>
      <w:lvlText w:val="•"/>
      <w:lvlJc w:val="left"/>
      <w:pPr>
        <w:ind w:left="3325" w:hanging="356"/>
      </w:pPr>
      <w:rPr>
        <w:rFonts w:hint="default"/>
      </w:rPr>
    </w:lvl>
    <w:lvl w:ilvl="5">
      <w:start w:val="0"/>
      <w:numFmt w:val="bullet"/>
      <w:lvlText w:val="•"/>
      <w:lvlJc w:val="left"/>
      <w:pPr>
        <w:ind w:left="4547" w:hanging="356"/>
      </w:pPr>
      <w:rPr>
        <w:rFonts w:hint="default"/>
      </w:rPr>
    </w:lvl>
    <w:lvl w:ilvl="6">
      <w:start w:val="0"/>
      <w:numFmt w:val="bullet"/>
      <w:lvlText w:val="•"/>
      <w:lvlJc w:val="left"/>
      <w:pPr>
        <w:ind w:left="5770" w:hanging="356"/>
      </w:pPr>
      <w:rPr>
        <w:rFonts w:hint="default"/>
      </w:rPr>
    </w:lvl>
    <w:lvl w:ilvl="7">
      <w:start w:val="0"/>
      <w:numFmt w:val="bullet"/>
      <w:lvlText w:val="•"/>
      <w:lvlJc w:val="left"/>
      <w:pPr>
        <w:ind w:left="6992" w:hanging="356"/>
      </w:pPr>
      <w:rPr>
        <w:rFonts w:hint="default"/>
      </w:rPr>
    </w:lvl>
    <w:lvl w:ilvl="8">
      <w:start w:val="0"/>
      <w:numFmt w:val="bullet"/>
      <w:lvlText w:val="•"/>
      <w:lvlJc w:val="left"/>
      <w:pPr>
        <w:ind w:left="8215" w:hanging="356"/>
      </w:pPr>
      <w:rPr>
        <w:rFonts w:hint="default"/>
      </w:rPr>
    </w:lvl>
  </w:abstractNum>
  <w:abstractNum w:abstractNumId="164">
    <w:multiLevelType w:val="hybridMultilevel"/>
    <w:lvl w:ilvl="0">
      <w:start w:val="4"/>
      <w:numFmt w:val="decimal"/>
      <w:lvlText w:val="%1"/>
      <w:lvlJc w:val="left"/>
      <w:pPr>
        <w:ind w:left="926" w:hanging="682"/>
        <w:jc w:val="left"/>
      </w:pPr>
      <w:rPr>
        <w:rFonts w:hint="default" w:ascii="Times New Roman" w:hAnsi="Times New Roman" w:eastAsia="Times New Roman" w:cs="Times New Roman"/>
        <w:w w:val="99"/>
        <w:sz w:val="20"/>
        <w:szCs w:val="20"/>
      </w:rPr>
    </w:lvl>
    <w:lvl w:ilvl="1">
      <w:start w:val="0"/>
      <w:numFmt w:val="bullet"/>
      <w:lvlText w:val="•"/>
      <w:lvlJc w:val="left"/>
      <w:pPr>
        <w:ind w:left="1648" w:hanging="682"/>
      </w:pPr>
      <w:rPr>
        <w:rFonts w:hint="default"/>
      </w:rPr>
    </w:lvl>
    <w:lvl w:ilvl="2">
      <w:start w:val="0"/>
      <w:numFmt w:val="bullet"/>
      <w:lvlText w:val="•"/>
      <w:lvlJc w:val="left"/>
      <w:pPr>
        <w:ind w:left="2376" w:hanging="682"/>
      </w:pPr>
      <w:rPr>
        <w:rFonts w:hint="default"/>
      </w:rPr>
    </w:lvl>
    <w:lvl w:ilvl="3">
      <w:start w:val="0"/>
      <w:numFmt w:val="bullet"/>
      <w:lvlText w:val="•"/>
      <w:lvlJc w:val="left"/>
      <w:pPr>
        <w:ind w:left="3104" w:hanging="682"/>
      </w:pPr>
      <w:rPr>
        <w:rFonts w:hint="default"/>
      </w:rPr>
    </w:lvl>
    <w:lvl w:ilvl="4">
      <w:start w:val="0"/>
      <w:numFmt w:val="bullet"/>
      <w:lvlText w:val="•"/>
      <w:lvlJc w:val="left"/>
      <w:pPr>
        <w:ind w:left="3833" w:hanging="682"/>
      </w:pPr>
      <w:rPr>
        <w:rFonts w:hint="default"/>
      </w:rPr>
    </w:lvl>
    <w:lvl w:ilvl="5">
      <w:start w:val="0"/>
      <w:numFmt w:val="bullet"/>
      <w:lvlText w:val="•"/>
      <w:lvlJc w:val="left"/>
      <w:pPr>
        <w:ind w:left="4561" w:hanging="682"/>
      </w:pPr>
      <w:rPr>
        <w:rFonts w:hint="default"/>
      </w:rPr>
    </w:lvl>
    <w:lvl w:ilvl="6">
      <w:start w:val="0"/>
      <w:numFmt w:val="bullet"/>
      <w:lvlText w:val="•"/>
      <w:lvlJc w:val="left"/>
      <w:pPr>
        <w:ind w:left="5289" w:hanging="682"/>
      </w:pPr>
      <w:rPr>
        <w:rFonts w:hint="default"/>
      </w:rPr>
    </w:lvl>
    <w:lvl w:ilvl="7">
      <w:start w:val="0"/>
      <w:numFmt w:val="bullet"/>
      <w:lvlText w:val="•"/>
      <w:lvlJc w:val="left"/>
      <w:pPr>
        <w:ind w:left="6018" w:hanging="682"/>
      </w:pPr>
      <w:rPr>
        <w:rFonts w:hint="default"/>
      </w:rPr>
    </w:lvl>
    <w:lvl w:ilvl="8">
      <w:start w:val="0"/>
      <w:numFmt w:val="bullet"/>
      <w:lvlText w:val="•"/>
      <w:lvlJc w:val="left"/>
      <w:pPr>
        <w:ind w:left="6746" w:hanging="682"/>
      </w:pPr>
      <w:rPr>
        <w:rFonts w:hint="default"/>
      </w:rPr>
    </w:lvl>
  </w:abstractNum>
  <w:abstractNum w:abstractNumId="163">
    <w:multiLevelType w:val="hybridMultilevel"/>
    <w:lvl w:ilvl="0">
      <w:start w:val="4"/>
      <w:numFmt w:val="decimal"/>
      <w:lvlText w:val="%1"/>
      <w:lvlJc w:val="left"/>
      <w:pPr>
        <w:ind w:left="1619" w:hanging="1440"/>
        <w:jc w:val="left"/>
      </w:pPr>
      <w:rPr>
        <w:rFonts w:hint="default"/>
      </w:rPr>
    </w:lvl>
    <w:lvl w:ilvl="1">
      <w:start w:val="2"/>
      <w:numFmt w:val="decimal"/>
      <w:lvlText w:val="%1.%2"/>
      <w:lvlJc w:val="left"/>
      <w:pPr>
        <w:ind w:left="1619" w:hanging="1440"/>
        <w:jc w:val="left"/>
      </w:pPr>
      <w:rPr>
        <w:rFonts w:hint="default"/>
      </w:rPr>
    </w:lvl>
    <w:lvl w:ilvl="2">
      <w:start w:val="8"/>
      <w:numFmt w:val="decimal"/>
      <w:lvlText w:val="%1.%2.%3"/>
      <w:lvlJc w:val="left"/>
      <w:pPr>
        <w:ind w:left="1619" w:hanging="1440"/>
        <w:jc w:val="left"/>
      </w:pPr>
      <w:rPr>
        <w:rFonts w:hint="default"/>
      </w:rPr>
    </w:lvl>
    <w:lvl w:ilvl="3">
      <w:start w:val="3"/>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331" w:hanging="1152"/>
        <w:jc w:val="left"/>
      </w:pPr>
      <w:rPr>
        <w:rFonts w:hint="default" w:ascii="Times New Roman" w:hAnsi="Times New Roman" w:eastAsia="Times New Roman" w:cs="Times New Roman"/>
        <w:b/>
        <w:bCs/>
        <w:spacing w:val="-34"/>
        <w:w w:val="100"/>
        <w:sz w:val="22"/>
        <w:szCs w:val="22"/>
      </w:rPr>
    </w:lvl>
    <w:lvl w:ilvl="5">
      <w:start w:val="0"/>
      <w:numFmt w:val="bullet"/>
      <w:lvlText w:val="•"/>
      <w:lvlJc w:val="left"/>
      <w:pPr>
        <w:ind w:left="5637" w:hanging="1152"/>
      </w:pPr>
      <w:rPr>
        <w:rFonts w:hint="default"/>
      </w:rPr>
    </w:lvl>
    <w:lvl w:ilvl="6">
      <w:start w:val="0"/>
      <w:numFmt w:val="bullet"/>
      <w:lvlText w:val="•"/>
      <w:lvlJc w:val="left"/>
      <w:pPr>
        <w:ind w:left="6642" w:hanging="1152"/>
      </w:pPr>
      <w:rPr>
        <w:rFonts w:hint="default"/>
      </w:rPr>
    </w:lvl>
    <w:lvl w:ilvl="7">
      <w:start w:val="0"/>
      <w:numFmt w:val="bullet"/>
      <w:lvlText w:val="•"/>
      <w:lvlJc w:val="left"/>
      <w:pPr>
        <w:ind w:left="7646" w:hanging="1152"/>
      </w:pPr>
      <w:rPr>
        <w:rFonts w:hint="default"/>
      </w:rPr>
    </w:lvl>
    <w:lvl w:ilvl="8">
      <w:start w:val="0"/>
      <w:numFmt w:val="bullet"/>
      <w:lvlText w:val="•"/>
      <w:lvlJc w:val="left"/>
      <w:pPr>
        <w:ind w:left="8651" w:hanging="1152"/>
      </w:pPr>
      <w:rPr>
        <w:rFonts w:hint="default"/>
      </w:rPr>
    </w:lvl>
  </w:abstractNum>
  <w:abstractNum w:abstractNumId="162">
    <w:multiLevelType w:val="hybridMultilevel"/>
    <w:lvl w:ilvl="0">
      <w:start w:val="4"/>
      <w:numFmt w:val="decimal"/>
      <w:lvlText w:val="%1"/>
      <w:lvlJc w:val="left"/>
      <w:pPr>
        <w:ind w:left="1381" w:hanging="1203"/>
        <w:jc w:val="left"/>
      </w:pPr>
      <w:rPr>
        <w:rFonts w:hint="default"/>
      </w:rPr>
    </w:lvl>
    <w:lvl w:ilvl="1">
      <w:start w:val="2"/>
      <w:numFmt w:val="decimal"/>
      <w:lvlText w:val="%1.%2"/>
      <w:lvlJc w:val="left"/>
      <w:pPr>
        <w:ind w:left="1381" w:hanging="1203"/>
        <w:jc w:val="left"/>
      </w:pPr>
      <w:rPr>
        <w:rFonts w:hint="default"/>
      </w:rPr>
    </w:lvl>
    <w:lvl w:ilvl="2">
      <w:start w:val="8"/>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3880" w:hanging="1440"/>
      </w:pPr>
      <w:rPr>
        <w:rFonts w:hint="default"/>
      </w:rPr>
    </w:lvl>
    <w:lvl w:ilvl="5">
      <w:start w:val="0"/>
      <w:numFmt w:val="bullet"/>
      <w:lvlText w:val="•"/>
      <w:lvlJc w:val="left"/>
      <w:pPr>
        <w:ind w:left="5010" w:hanging="1440"/>
      </w:pPr>
      <w:rPr>
        <w:rFonts w:hint="default"/>
      </w:rPr>
    </w:lvl>
    <w:lvl w:ilvl="6">
      <w:start w:val="0"/>
      <w:numFmt w:val="bullet"/>
      <w:lvlText w:val="•"/>
      <w:lvlJc w:val="left"/>
      <w:pPr>
        <w:ind w:left="6140" w:hanging="1440"/>
      </w:pPr>
      <w:rPr>
        <w:rFonts w:hint="default"/>
      </w:rPr>
    </w:lvl>
    <w:lvl w:ilvl="7">
      <w:start w:val="0"/>
      <w:numFmt w:val="bullet"/>
      <w:lvlText w:val="•"/>
      <w:lvlJc w:val="left"/>
      <w:pPr>
        <w:ind w:left="7270" w:hanging="1440"/>
      </w:pPr>
      <w:rPr>
        <w:rFonts w:hint="default"/>
      </w:rPr>
    </w:lvl>
    <w:lvl w:ilvl="8">
      <w:start w:val="0"/>
      <w:numFmt w:val="bullet"/>
      <w:lvlText w:val="•"/>
      <w:lvlJc w:val="left"/>
      <w:pPr>
        <w:ind w:left="8400" w:hanging="1440"/>
      </w:pPr>
      <w:rPr>
        <w:rFonts w:hint="default"/>
      </w:rPr>
    </w:lvl>
  </w:abstractNum>
  <w:abstractNum w:abstractNumId="161">
    <w:multiLevelType w:val="hybridMultilevel"/>
    <w:lvl w:ilvl="0">
      <w:start w:val="1"/>
      <w:numFmt w:val="decimal"/>
      <w:lvlText w:val="%1."/>
      <w:lvlJc w:val="left"/>
      <w:pPr>
        <w:ind w:left="539" w:hanging="360"/>
        <w:jc w:val="left"/>
      </w:pPr>
      <w:rPr>
        <w:rFonts w:hint="default" w:ascii="Times New Roman" w:hAnsi="Times New Roman" w:eastAsia="Times New Roman" w:cs="Times New Roman"/>
        <w:spacing w:val="0"/>
        <w:w w:val="99"/>
        <w:sz w:val="20"/>
        <w:szCs w:val="20"/>
      </w:rPr>
    </w:lvl>
    <w:lvl w:ilvl="1">
      <w:start w:val="0"/>
      <w:numFmt w:val="bullet"/>
      <w:lvlText w:val="•"/>
      <w:lvlJc w:val="left"/>
      <w:pPr>
        <w:ind w:left="1552" w:hanging="360"/>
      </w:pPr>
      <w:rPr>
        <w:rFonts w:hint="default"/>
      </w:rPr>
    </w:lvl>
    <w:lvl w:ilvl="2">
      <w:start w:val="0"/>
      <w:numFmt w:val="bullet"/>
      <w:lvlText w:val="•"/>
      <w:lvlJc w:val="left"/>
      <w:pPr>
        <w:ind w:left="2564" w:hanging="360"/>
      </w:pPr>
      <w:rPr>
        <w:rFonts w:hint="default"/>
      </w:rPr>
    </w:lvl>
    <w:lvl w:ilvl="3">
      <w:start w:val="0"/>
      <w:numFmt w:val="bullet"/>
      <w:lvlText w:val="•"/>
      <w:lvlJc w:val="left"/>
      <w:pPr>
        <w:ind w:left="3576" w:hanging="360"/>
      </w:pPr>
      <w:rPr>
        <w:rFonts w:hint="default"/>
      </w:rPr>
    </w:lvl>
    <w:lvl w:ilvl="4">
      <w:start w:val="0"/>
      <w:numFmt w:val="bullet"/>
      <w:lvlText w:val="•"/>
      <w:lvlJc w:val="left"/>
      <w:pPr>
        <w:ind w:left="4588" w:hanging="360"/>
      </w:pPr>
      <w:rPr>
        <w:rFonts w:hint="default"/>
      </w:rPr>
    </w:lvl>
    <w:lvl w:ilvl="5">
      <w:start w:val="0"/>
      <w:numFmt w:val="bullet"/>
      <w:lvlText w:val="•"/>
      <w:lvlJc w:val="left"/>
      <w:pPr>
        <w:ind w:left="5600" w:hanging="360"/>
      </w:pPr>
      <w:rPr>
        <w:rFonts w:hint="default"/>
      </w:rPr>
    </w:lvl>
    <w:lvl w:ilvl="6">
      <w:start w:val="0"/>
      <w:numFmt w:val="bullet"/>
      <w:lvlText w:val="•"/>
      <w:lvlJc w:val="left"/>
      <w:pPr>
        <w:ind w:left="6612" w:hanging="360"/>
      </w:pPr>
      <w:rPr>
        <w:rFonts w:hint="default"/>
      </w:rPr>
    </w:lvl>
    <w:lvl w:ilvl="7">
      <w:start w:val="0"/>
      <w:numFmt w:val="bullet"/>
      <w:lvlText w:val="•"/>
      <w:lvlJc w:val="left"/>
      <w:pPr>
        <w:ind w:left="7624" w:hanging="360"/>
      </w:pPr>
      <w:rPr>
        <w:rFonts w:hint="default"/>
      </w:rPr>
    </w:lvl>
    <w:lvl w:ilvl="8">
      <w:start w:val="0"/>
      <w:numFmt w:val="bullet"/>
      <w:lvlText w:val="•"/>
      <w:lvlJc w:val="left"/>
      <w:pPr>
        <w:ind w:left="8636" w:hanging="360"/>
      </w:pPr>
      <w:rPr>
        <w:rFonts w:hint="default"/>
      </w:rPr>
    </w:lvl>
  </w:abstractNum>
  <w:abstractNum w:abstractNumId="160">
    <w:multiLevelType w:val="hybridMultilevel"/>
    <w:lvl w:ilvl="0">
      <w:start w:val="1"/>
      <w:numFmt w:val="decimal"/>
      <w:lvlText w:val="%1."/>
      <w:lvlJc w:val="left"/>
      <w:pPr>
        <w:ind w:left="539" w:hanging="360"/>
        <w:jc w:val="left"/>
      </w:pPr>
      <w:rPr>
        <w:rFonts w:hint="default" w:ascii="Times New Roman" w:hAnsi="Times New Roman" w:eastAsia="Times New Roman" w:cs="Times New Roman"/>
        <w:spacing w:val="0"/>
        <w:w w:val="99"/>
        <w:sz w:val="20"/>
        <w:szCs w:val="20"/>
      </w:rPr>
    </w:lvl>
    <w:lvl w:ilvl="1">
      <w:start w:val="0"/>
      <w:numFmt w:val="bullet"/>
      <w:lvlText w:val="•"/>
      <w:lvlJc w:val="left"/>
      <w:pPr>
        <w:ind w:left="1552" w:hanging="360"/>
      </w:pPr>
      <w:rPr>
        <w:rFonts w:hint="default"/>
      </w:rPr>
    </w:lvl>
    <w:lvl w:ilvl="2">
      <w:start w:val="0"/>
      <w:numFmt w:val="bullet"/>
      <w:lvlText w:val="•"/>
      <w:lvlJc w:val="left"/>
      <w:pPr>
        <w:ind w:left="2564" w:hanging="360"/>
      </w:pPr>
      <w:rPr>
        <w:rFonts w:hint="default"/>
      </w:rPr>
    </w:lvl>
    <w:lvl w:ilvl="3">
      <w:start w:val="0"/>
      <w:numFmt w:val="bullet"/>
      <w:lvlText w:val="•"/>
      <w:lvlJc w:val="left"/>
      <w:pPr>
        <w:ind w:left="3576" w:hanging="360"/>
      </w:pPr>
      <w:rPr>
        <w:rFonts w:hint="default"/>
      </w:rPr>
    </w:lvl>
    <w:lvl w:ilvl="4">
      <w:start w:val="0"/>
      <w:numFmt w:val="bullet"/>
      <w:lvlText w:val="•"/>
      <w:lvlJc w:val="left"/>
      <w:pPr>
        <w:ind w:left="4588" w:hanging="360"/>
      </w:pPr>
      <w:rPr>
        <w:rFonts w:hint="default"/>
      </w:rPr>
    </w:lvl>
    <w:lvl w:ilvl="5">
      <w:start w:val="0"/>
      <w:numFmt w:val="bullet"/>
      <w:lvlText w:val="•"/>
      <w:lvlJc w:val="left"/>
      <w:pPr>
        <w:ind w:left="5600" w:hanging="360"/>
      </w:pPr>
      <w:rPr>
        <w:rFonts w:hint="default"/>
      </w:rPr>
    </w:lvl>
    <w:lvl w:ilvl="6">
      <w:start w:val="0"/>
      <w:numFmt w:val="bullet"/>
      <w:lvlText w:val="•"/>
      <w:lvlJc w:val="left"/>
      <w:pPr>
        <w:ind w:left="6612" w:hanging="360"/>
      </w:pPr>
      <w:rPr>
        <w:rFonts w:hint="default"/>
      </w:rPr>
    </w:lvl>
    <w:lvl w:ilvl="7">
      <w:start w:val="0"/>
      <w:numFmt w:val="bullet"/>
      <w:lvlText w:val="•"/>
      <w:lvlJc w:val="left"/>
      <w:pPr>
        <w:ind w:left="7624" w:hanging="360"/>
      </w:pPr>
      <w:rPr>
        <w:rFonts w:hint="default"/>
      </w:rPr>
    </w:lvl>
    <w:lvl w:ilvl="8">
      <w:start w:val="0"/>
      <w:numFmt w:val="bullet"/>
      <w:lvlText w:val="•"/>
      <w:lvlJc w:val="left"/>
      <w:pPr>
        <w:ind w:left="8636" w:hanging="360"/>
      </w:pPr>
      <w:rPr>
        <w:rFonts w:hint="default"/>
      </w:rPr>
    </w:lvl>
  </w:abstractNum>
  <w:abstractNum w:abstractNumId="159">
    <w:multiLevelType w:val="hybridMultilevel"/>
    <w:lvl w:ilvl="0">
      <w:start w:val="4"/>
      <w:numFmt w:val="decimal"/>
      <w:lvlText w:val="%1"/>
      <w:lvlJc w:val="left"/>
      <w:pPr>
        <w:ind w:left="1381" w:hanging="1203"/>
        <w:jc w:val="left"/>
      </w:pPr>
      <w:rPr>
        <w:rFonts w:hint="default"/>
      </w:rPr>
    </w:lvl>
    <w:lvl w:ilvl="1">
      <w:start w:val="2"/>
      <w:numFmt w:val="decimal"/>
      <w:lvlText w:val="%1.%2"/>
      <w:lvlJc w:val="left"/>
      <w:pPr>
        <w:ind w:left="1381" w:hanging="1203"/>
        <w:jc w:val="left"/>
      </w:pPr>
      <w:rPr>
        <w:rFonts w:hint="default"/>
      </w:rPr>
    </w:lvl>
    <w:lvl w:ilvl="2">
      <w:start w:val="7"/>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633" w:hanging="1440"/>
      </w:pPr>
      <w:rPr>
        <w:rFonts w:hint="default"/>
      </w:rPr>
    </w:lvl>
    <w:lvl w:ilvl="5">
      <w:start w:val="0"/>
      <w:numFmt w:val="bullet"/>
      <w:lvlText w:val="•"/>
      <w:lvlJc w:val="left"/>
      <w:pPr>
        <w:ind w:left="5637" w:hanging="1440"/>
      </w:pPr>
      <w:rPr>
        <w:rFonts w:hint="default"/>
      </w:rPr>
    </w:lvl>
    <w:lvl w:ilvl="6">
      <w:start w:val="0"/>
      <w:numFmt w:val="bullet"/>
      <w:lvlText w:val="•"/>
      <w:lvlJc w:val="left"/>
      <w:pPr>
        <w:ind w:left="6642" w:hanging="1440"/>
      </w:pPr>
      <w:rPr>
        <w:rFonts w:hint="default"/>
      </w:rPr>
    </w:lvl>
    <w:lvl w:ilvl="7">
      <w:start w:val="0"/>
      <w:numFmt w:val="bullet"/>
      <w:lvlText w:val="•"/>
      <w:lvlJc w:val="left"/>
      <w:pPr>
        <w:ind w:left="7646" w:hanging="1440"/>
      </w:pPr>
      <w:rPr>
        <w:rFonts w:hint="default"/>
      </w:rPr>
    </w:lvl>
    <w:lvl w:ilvl="8">
      <w:start w:val="0"/>
      <w:numFmt w:val="bullet"/>
      <w:lvlText w:val="•"/>
      <w:lvlJc w:val="left"/>
      <w:pPr>
        <w:ind w:left="8651" w:hanging="1440"/>
      </w:pPr>
      <w:rPr>
        <w:rFonts w:hint="default"/>
      </w:rPr>
    </w:lvl>
  </w:abstractNum>
  <w:abstractNum w:abstractNumId="158">
    <w:multiLevelType w:val="hybridMultilevel"/>
    <w:lvl w:ilvl="0">
      <w:start w:val="1"/>
      <w:numFmt w:val="decimal"/>
      <w:lvlText w:val="%1."/>
      <w:lvlJc w:val="left"/>
      <w:pPr>
        <w:ind w:left="539" w:hanging="360"/>
        <w:jc w:val="left"/>
      </w:pPr>
      <w:rPr>
        <w:rFonts w:hint="default" w:ascii="Times New Roman" w:hAnsi="Times New Roman" w:eastAsia="Times New Roman" w:cs="Times New Roman"/>
        <w:spacing w:val="0"/>
        <w:w w:val="99"/>
        <w:sz w:val="20"/>
        <w:szCs w:val="20"/>
      </w:rPr>
    </w:lvl>
    <w:lvl w:ilvl="1">
      <w:start w:val="0"/>
      <w:numFmt w:val="bullet"/>
      <w:lvlText w:val="•"/>
      <w:lvlJc w:val="left"/>
      <w:pPr>
        <w:ind w:left="1552" w:hanging="360"/>
      </w:pPr>
      <w:rPr>
        <w:rFonts w:hint="default"/>
      </w:rPr>
    </w:lvl>
    <w:lvl w:ilvl="2">
      <w:start w:val="0"/>
      <w:numFmt w:val="bullet"/>
      <w:lvlText w:val="•"/>
      <w:lvlJc w:val="left"/>
      <w:pPr>
        <w:ind w:left="2564" w:hanging="360"/>
      </w:pPr>
      <w:rPr>
        <w:rFonts w:hint="default"/>
      </w:rPr>
    </w:lvl>
    <w:lvl w:ilvl="3">
      <w:start w:val="0"/>
      <w:numFmt w:val="bullet"/>
      <w:lvlText w:val="•"/>
      <w:lvlJc w:val="left"/>
      <w:pPr>
        <w:ind w:left="3576" w:hanging="360"/>
      </w:pPr>
      <w:rPr>
        <w:rFonts w:hint="default"/>
      </w:rPr>
    </w:lvl>
    <w:lvl w:ilvl="4">
      <w:start w:val="0"/>
      <w:numFmt w:val="bullet"/>
      <w:lvlText w:val="•"/>
      <w:lvlJc w:val="left"/>
      <w:pPr>
        <w:ind w:left="4588" w:hanging="360"/>
      </w:pPr>
      <w:rPr>
        <w:rFonts w:hint="default"/>
      </w:rPr>
    </w:lvl>
    <w:lvl w:ilvl="5">
      <w:start w:val="0"/>
      <w:numFmt w:val="bullet"/>
      <w:lvlText w:val="•"/>
      <w:lvlJc w:val="left"/>
      <w:pPr>
        <w:ind w:left="5600" w:hanging="360"/>
      </w:pPr>
      <w:rPr>
        <w:rFonts w:hint="default"/>
      </w:rPr>
    </w:lvl>
    <w:lvl w:ilvl="6">
      <w:start w:val="0"/>
      <w:numFmt w:val="bullet"/>
      <w:lvlText w:val="•"/>
      <w:lvlJc w:val="left"/>
      <w:pPr>
        <w:ind w:left="6612" w:hanging="360"/>
      </w:pPr>
      <w:rPr>
        <w:rFonts w:hint="default"/>
      </w:rPr>
    </w:lvl>
    <w:lvl w:ilvl="7">
      <w:start w:val="0"/>
      <w:numFmt w:val="bullet"/>
      <w:lvlText w:val="•"/>
      <w:lvlJc w:val="left"/>
      <w:pPr>
        <w:ind w:left="7624" w:hanging="360"/>
      </w:pPr>
      <w:rPr>
        <w:rFonts w:hint="default"/>
      </w:rPr>
    </w:lvl>
    <w:lvl w:ilvl="8">
      <w:start w:val="0"/>
      <w:numFmt w:val="bullet"/>
      <w:lvlText w:val="•"/>
      <w:lvlJc w:val="left"/>
      <w:pPr>
        <w:ind w:left="8636" w:hanging="360"/>
      </w:pPr>
      <w:rPr>
        <w:rFonts w:hint="default"/>
      </w:rPr>
    </w:lvl>
  </w:abstractNum>
  <w:abstractNum w:abstractNumId="157">
    <w:multiLevelType w:val="hybridMultilevel"/>
    <w:lvl w:ilvl="0">
      <w:start w:val="4"/>
      <w:numFmt w:val="decimal"/>
      <w:lvlText w:val="%1"/>
      <w:lvlJc w:val="left"/>
      <w:pPr>
        <w:ind w:left="1381" w:hanging="1203"/>
        <w:jc w:val="left"/>
      </w:pPr>
      <w:rPr>
        <w:rFonts w:hint="default"/>
      </w:rPr>
    </w:lvl>
    <w:lvl w:ilvl="1">
      <w:start w:val="2"/>
      <w:numFmt w:val="decimal"/>
      <w:lvlText w:val="%1.%2"/>
      <w:lvlJc w:val="left"/>
      <w:pPr>
        <w:ind w:left="1381" w:hanging="1203"/>
        <w:jc w:val="left"/>
      </w:pPr>
      <w:rPr>
        <w:rFonts w:hint="default"/>
      </w:rPr>
    </w:lvl>
    <w:lvl w:ilvl="2">
      <w:start w:val="6"/>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633" w:hanging="1440"/>
      </w:pPr>
      <w:rPr>
        <w:rFonts w:hint="default"/>
      </w:rPr>
    </w:lvl>
    <w:lvl w:ilvl="5">
      <w:start w:val="0"/>
      <w:numFmt w:val="bullet"/>
      <w:lvlText w:val="•"/>
      <w:lvlJc w:val="left"/>
      <w:pPr>
        <w:ind w:left="5637" w:hanging="1440"/>
      </w:pPr>
      <w:rPr>
        <w:rFonts w:hint="default"/>
      </w:rPr>
    </w:lvl>
    <w:lvl w:ilvl="6">
      <w:start w:val="0"/>
      <w:numFmt w:val="bullet"/>
      <w:lvlText w:val="•"/>
      <w:lvlJc w:val="left"/>
      <w:pPr>
        <w:ind w:left="6642" w:hanging="1440"/>
      </w:pPr>
      <w:rPr>
        <w:rFonts w:hint="default"/>
      </w:rPr>
    </w:lvl>
    <w:lvl w:ilvl="7">
      <w:start w:val="0"/>
      <w:numFmt w:val="bullet"/>
      <w:lvlText w:val="•"/>
      <w:lvlJc w:val="left"/>
      <w:pPr>
        <w:ind w:left="7646" w:hanging="1440"/>
      </w:pPr>
      <w:rPr>
        <w:rFonts w:hint="default"/>
      </w:rPr>
    </w:lvl>
    <w:lvl w:ilvl="8">
      <w:start w:val="0"/>
      <w:numFmt w:val="bullet"/>
      <w:lvlText w:val="•"/>
      <w:lvlJc w:val="left"/>
      <w:pPr>
        <w:ind w:left="8651" w:hanging="1440"/>
      </w:pPr>
      <w:rPr>
        <w:rFonts w:hint="default"/>
      </w:rPr>
    </w:lvl>
  </w:abstractNum>
  <w:abstractNum w:abstractNumId="156">
    <w:multiLevelType w:val="hybridMultilevel"/>
    <w:lvl w:ilvl="0">
      <w:start w:val="4"/>
      <w:numFmt w:val="decimal"/>
      <w:lvlText w:val="%1"/>
      <w:lvlJc w:val="left"/>
      <w:pPr>
        <w:ind w:left="1381" w:hanging="1203"/>
        <w:jc w:val="left"/>
      </w:pPr>
      <w:rPr>
        <w:rFonts w:hint="default"/>
      </w:rPr>
    </w:lvl>
    <w:lvl w:ilvl="1">
      <w:start w:val="2"/>
      <w:numFmt w:val="decimal"/>
      <w:lvlText w:val="%1.%2"/>
      <w:lvlJc w:val="left"/>
      <w:pPr>
        <w:ind w:left="1381" w:hanging="1203"/>
        <w:jc w:val="left"/>
      </w:pPr>
      <w:rPr>
        <w:rFonts w:hint="default"/>
      </w:rPr>
    </w:lvl>
    <w:lvl w:ilvl="2">
      <w:start w:val="5"/>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331" w:hanging="1152"/>
        <w:jc w:val="left"/>
      </w:pPr>
      <w:rPr>
        <w:rFonts w:hint="default" w:ascii="Times New Roman" w:hAnsi="Times New Roman" w:eastAsia="Times New Roman" w:cs="Times New Roman"/>
        <w:b/>
        <w:bCs/>
        <w:spacing w:val="-34"/>
        <w:w w:val="100"/>
        <w:sz w:val="22"/>
        <w:szCs w:val="22"/>
      </w:rPr>
    </w:lvl>
    <w:lvl w:ilvl="5">
      <w:start w:val="0"/>
      <w:numFmt w:val="bullet"/>
      <w:lvlText w:val="•"/>
      <w:lvlJc w:val="left"/>
      <w:pPr>
        <w:ind w:left="5010" w:hanging="1152"/>
      </w:pPr>
      <w:rPr>
        <w:rFonts w:hint="default"/>
      </w:rPr>
    </w:lvl>
    <w:lvl w:ilvl="6">
      <w:start w:val="0"/>
      <w:numFmt w:val="bullet"/>
      <w:lvlText w:val="•"/>
      <w:lvlJc w:val="left"/>
      <w:pPr>
        <w:ind w:left="6140" w:hanging="1152"/>
      </w:pPr>
      <w:rPr>
        <w:rFonts w:hint="default"/>
      </w:rPr>
    </w:lvl>
    <w:lvl w:ilvl="7">
      <w:start w:val="0"/>
      <w:numFmt w:val="bullet"/>
      <w:lvlText w:val="•"/>
      <w:lvlJc w:val="left"/>
      <w:pPr>
        <w:ind w:left="7270" w:hanging="1152"/>
      </w:pPr>
      <w:rPr>
        <w:rFonts w:hint="default"/>
      </w:rPr>
    </w:lvl>
    <w:lvl w:ilvl="8">
      <w:start w:val="0"/>
      <w:numFmt w:val="bullet"/>
      <w:lvlText w:val="•"/>
      <w:lvlJc w:val="left"/>
      <w:pPr>
        <w:ind w:left="8400" w:hanging="1152"/>
      </w:pPr>
      <w:rPr>
        <w:rFonts w:hint="default"/>
      </w:rPr>
    </w:lvl>
  </w:abstractNum>
  <w:abstractNum w:abstractNumId="155">
    <w:multiLevelType w:val="hybridMultilevel"/>
    <w:lvl w:ilvl="0">
      <w:start w:val="4"/>
      <w:numFmt w:val="decimal"/>
      <w:lvlText w:val="%1"/>
      <w:lvlJc w:val="left"/>
      <w:pPr>
        <w:ind w:left="1381" w:hanging="1203"/>
        <w:jc w:val="left"/>
      </w:pPr>
      <w:rPr>
        <w:rFonts w:hint="default"/>
      </w:rPr>
    </w:lvl>
    <w:lvl w:ilvl="1">
      <w:start w:val="3"/>
      <w:numFmt w:val="decimal"/>
      <w:lvlText w:val="%1.%2"/>
      <w:lvlJc w:val="left"/>
      <w:pPr>
        <w:ind w:left="1381" w:hanging="1203"/>
        <w:jc w:val="left"/>
      </w:pPr>
      <w:rPr>
        <w:rFonts w:hint="default"/>
      </w:rPr>
    </w:lvl>
    <w:lvl w:ilvl="2">
      <w:start w:val="4"/>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633" w:hanging="1440"/>
      </w:pPr>
      <w:rPr>
        <w:rFonts w:hint="default"/>
      </w:rPr>
    </w:lvl>
    <w:lvl w:ilvl="5">
      <w:start w:val="0"/>
      <w:numFmt w:val="bullet"/>
      <w:lvlText w:val="•"/>
      <w:lvlJc w:val="left"/>
      <w:pPr>
        <w:ind w:left="5637" w:hanging="1440"/>
      </w:pPr>
      <w:rPr>
        <w:rFonts w:hint="default"/>
      </w:rPr>
    </w:lvl>
    <w:lvl w:ilvl="6">
      <w:start w:val="0"/>
      <w:numFmt w:val="bullet"/>
      <w:lvlText w:val="•"/>
      <w:lvlJc w:val="left"/>
      <w:pPr>
        <w:ind w:left="6642" w:hanging="1440"/>
      </w:pPr>
      <w:rPr>
        <w:rFonts w:hint="default"/>
      </w:rPr>
    </w:lvl>
    <w:lvl w:ilvl="7">
      <w:start w:val="0"/>
      <w:numFmt w:val="bullet"/>
      <w:lvlText w:val="•"/>
      <w:lvlJc w:val="left"/>
      <w:pPr>
        <w:ind w:left="7646" w:hanging="1440"/>
      </w:pPr>
      <w:rPr>
        <w:rFonts w:hint="default"/>
      </w:rPr>
    </w:lvl>
    <w:lvl w:ilvl="8">
      <w:start w:val="0"/>
      <w:numFmt w:val="bullet"/>
      <w:lvlText w:val="•"/>
      <w:lvlJc w:val="left"/>
      <w:pPr>
        <w:ind w:left="8651" w:hanging="1440"/>
      </w:pPr>
      <w:rPr>
        <w:rFonts w:hint="default"/>
      </w:rPr>
    </w:lvl>
  </w:abstractNum>
  <w:abstractNum w:abstractNumId="154">
    <w:multiLevelType w:val="hybridMultilevel"/>
    <w:lvl w:ilvl="0">
      <w:start w:val="0"/>
      <w:numFmt w:val="bullet"/>
      <w:lvlText w:val="•"/>
      <w:lvlJc w:val="left"/>
      <w:pPr>
        <w:ind w:left="448" w:hanging="360"/>
      </w:pPr>
      <w:rPr>
        <w:rFonts w:hint="default" w:ascii="Symbol" w:hAnsi="Symbol" w:eastAsia="Symbol" w:cs="Symbol"/>
        <w:spacing w:val="-4"/>
        <w:w w:val="100"/>
        <w:sz w:val="18"/>
        <w:szCs w:val="18"/>
      </w:rPr>
    </w:lvl>
    <w:lvl w:ilvl="1">
      <w:start w:val="0"/>
      <w:numFmt w:val="bullet"/>
      <w:lvlText w:val="•"/>
      <w:lvlJc w:val="left"/>
      <w:pPr>
        <w:ind w:left="1122" w:hanging="360"/>
      </w:pPr>
      <w:rPr>
        <w:rFonts w:hint="default"/>
      </w:rPr>
    </w:lvl>
    <w:lvl w:ilvl="2">
      <w:start w:val="0"/>
      <w:numFmt w:val="bullet"/>
      <w:lvlText w:val="•"/>
      <w:lvlJc w:val="left"/>
      <w:pPr>
        <w:ind w:left="1805" w:hanging="360"/>
      </w:pPr>
      <w:rPr>
        <w:rFonts w:hint="default"/>
      </w:rPr>
    </w:lvl>
    <w:lvl w:ilvl="3">
      <w:start w:val="0"/>
      <w:numFmt w:val="bullet"/>
      <w:lvlText w:val="•"/>
      <w:lvlJc w:val="left"/>
      <w:pPr>
        <w:ind w:left="2488" w:hanging="360"/>
      </w:pPr>
      <w:rPr>
        <w:rFonts w:hint="default"/>
      </w:rPr>
    </w:lvl>
    <w:lvl w:ilvl="4">
      <w:start w:val="0"/>
      <w:numFmt w:val="bullet"/>
      <w:lvlText w:val="•"/>
      <w:lvlJc w:val="left"/>
      <w:pPr>
        <w:ind w:left="3170" w:hanging="360"/>
      </w:pPr>
      <w:rPr>
        <w:rFonts w:hint="default"/>
      </w:rPr>
    </w:lvl>
    <w:lvl w:ilvl="5">
      <w:start w:val="0"/>
      <w:numFmt w:val="bullet"/>
      <w:lvlText w:val="•"/>
      <w:lvlJc w:val="left"/>
      <w:pPr>
        <w:ind w:left="3853" w:hanging="360"/>
      </w:pPr>
      <w:rPr>
        <w:rFonts w:hint="default"/>
      </w:rPr>
    </w:lvl>
    <w:lvl w:ilvl="6">
      <w:start w:val="0"/>
      <w:numFmt w:val="bullet"/>
      <w:lvlText w:val="•"/>
      <w:lvlJc w:val="left"/>
      <w:pPr>
        <w:ind w:left="4536" w:hanging="360"/>
      </w:pPr>
      <w:rPr>
        <w:rFonts w:hint="default"/>
      </w:rPr>
    </w:lvl>
    <w:lvl w:ilvl="7">
      <w:start w:val="0"/>
      <w:numFmt w:val="bullet"/>
      <w:lvlText w:val="•"/>
      <w:lvlJc w:val="left"/>
      <w:pPr>
        <w:ind w:left="5218" w:hanging="360"/>
      </w:pPr>
      <w:rPr>
        <w:rFonts w:hint="default"/>
      </w:rPr>
    </w:lvl>
    <w:lvl w:ilvl="8">
      <w:start w:val="0"/>
      <w:numFmt w:val="bullet"/>
      <w:lvlText w:val="•"/>
      <w:lvlJc w:val="left"/>
      <w:pPr>
        <w:ind w:left="5901" w:hanging="360"/>
      </w:pPr>
      <w:rPr>
        <w:rFonts w:hint="default"/>
      </w:rPr>
    </w:lvl>
  </w:abstractNum>
  <w:abstractNum w:abstractNumId="153">
    <w:multiLevelType w:val="hybridMultilevel"/>
    <w:lvl w:ilvl="0">
      <w:start w:val="0"/>
      <w:numFmt w:val="bullet"/>
      <w:lvlText w:val="•"/>
      <w:lvlJc w:val="left"/>
      <w:pPr>
        <w:ind w:left="448" w:hanging="360"/>
      </w:pPr>
      <w:rPr>
        <w:rFonts w:hint="default" w:ascii="Symbol" w:hAnsi="Symbol" w:eastAsia="Symbol" w:cs="Symbol"/>
        <w:spacing w:val="-4"/>
        <w:w w:val="97"/>
        <w:sz w:val="18"/>
        <w:szCs w:val="18"/>
      </w:rPr>
    </w:lvl>
    <w:lvl w:ilvl="1">
      <w:start w:val="0"/>
      <w:numFmt w:val="bullet"/>
      <w:lvlText w:val="•"/>
      <w:lvlJc w:val="left"/>
      <w:pPr>
        <w:ind w:left="1122" w:hanging="360"/>
      </w:pPr>
      <w:rPr>
        <w:rFonts w:hint="default"/>
      </w:rPr>
    </w:lvl>
    <w:lvl w:ilvl="2">
      <w:start w:val="0"/>
      <w:numFmt w:val="bullet"/>
      <w:lvlText w:val="•"/>
      <w:lvlJc w:val="left"/>
      <w:pPr>
        <w:ind w:left="1805" w:hanging="360"/>
      </w:pPr>
      <w:rPr>
        <w:rFonts w:hint="default"/>
      </w:rPr>
    </w:lvl>
    <w:lvl w:ilvl="3">
      <w:start w:val="0"/>
      <w:numFmt w:val="bullet"/>
      <w:lvlText w:val="•"/>
      <w:lvlJc w:val="left"/>
      <w:pPr>
        <w:ind w:left="2488" w:hanging="360"/>
      </w:pPr>
      <w:rPr>
        <w:rFonts w:hint="default"/>
      </w:rPr>
    </w:lvl>
    <w:lvl w:ilvl="4">
      <w:start w:val="0"/>
      <w:numFmt w:val="bullet"/>
      <w:lvlText w:val="•"/>
      <w:lvlJc w:val="left"/>
      <w:pPr>
        <w:ind w:left="3170" w:hanging="360"/>
      </w:pPr>
      <w:rPr>
        <w:rFonts w:hint="default"/>
      </w:rPr>
    </w:lvl>
    <w:lvl w:ilvl="5">
      <w:start w:val="0"/>
      <w:numFmt w:val="bullet"/>
      <w:lvlText w:val="•"/>
      <w:lvlJc w:val="left"/>
      <w:pPr>
        <w:ind w:left="3853" w:hanging="360"/>
      </w:pPr>
      <w:rPr>
        <w:rFonts w:hint="default"/>
      </w:rPr>
    </w:lvl>
    <w:lvl w:ilvl="6">
      <w:start w:val="0"/>
      <w:numFmt w:val="bullet"/>
      <w:lvlText w:val="•"/>
      <w:lvlJc w:val="left"/>
      <w:pPr>
        <w:ind w:left="4536" w:hanging="360"/>
      </w:pPr>
      <w:rPr>
        <w:rFonts w:hint="default"/>
      </w:rPr>
    </w:lvl>
    <w:lvl w:ilvl="7">
      <w:start w:val="0"/>
      <w:numFmt w:val="bullet"/>
      <w:lvlText w:val="•"/>
      <w:lvlJc w:val="left"/>
      <w:pPr>
        <w:ind w:left="5218" w:hanging="360"/>
      </w:pPr>
      <w:rPr>
        <w:rFonts w:hint="default"/>
      </w:rPr>
    </w:lvl>
    <w:lvl w:ilvl="8">
      <w:start w:val="0"/>
      <w:numFmt w:val="bullet"/>
      <w:lvlText w:val="•"/>
      <w:lvlJc w:val="left"/>
      <w:pPr>
        <w:ind w:left="5901" w:hanging="360"/>
      </w:pPr>
      <w:rPr>
        <w:rFonts w:hint="default"/>
      </w:rPr>
    </w:lvl>
  </w:abstractNum>
  <w:abstractNum w:abstractNumId="152">
    <w:multiLevelType w:val="hybridMultilevel"/>
    <w:lvl w:ilvl="0">
      <w:start w:val="0"/>
      <w:numFmt w:val="bullet"/>
      <w:lvlText w:val="•"/>
      <w:lvlJc w:val="left"/>
      <w:pPr>
        <w:ind w:left="448" w:hanging="360"/>
      </w:pPr>
      <w:rPr>
        <w:rFonts w:hint="default" w:ascii="Symbol" w:hAnsi="Symbol" w:eastAsia="Symbol" w:cs="Symbol"/>
        <w:spacing w:val="-4"/>
        <w:w w:val="97"/>
        <w:sz w:val="18"/>
        <w:szCs w:val="18"/>
      </w:rPr>
    </w:lvl>
    <w:lvl w:ilvl="1">
      <w:start w:val="0"/>
      <w:numFmt w:val="bullet"/>
      <w:lvlText w:val="•"/>
      <w:lvlJc w:val="left"/>
      <w:pPr>
        <w:ind w:left="1122" w:hanging="360"/>
      </w:pPr>
      <w:rPr>
        <w:rFonts w:hint="default"/>
      </w:rPr>
    </w:lvl>
    <w:lvl w:ilvl="2">
      <w:start w:val="0"/>
      <w:numFmt w:val="bullet"/>
      <w:lvlText w:val="•"/>
      <w:lvlJc w:val="left"/>
      <w:pPr>
        <w:ind w:left="1805" w:hanging="360"/>
      </w:pPr>
      <w:rPr>
        <w:rFonts w:hint="default"/>
      </w:rPr>
    </w:lvl>
    <w:lvl w:ilvl="3">
      <w:start w:val="0"/>
      <w:numFmt w:val="bullet"/>
      <w:lvlText w:val="•"/>
      <w:lvlJc w:val="left"/>
      <w:pPr>
        <w:ind w:left="2488" w:hanging="360"/>
      </w:pPr>
      <w:rPr>
        <w:rFonts w:hint="default"/>
      </w:rPr>
    </w:lvl>
    <w:lvl w:ilvl="4">
      <w:start w:val="0"/>
      <w:numFmt w:val="bullet"/>
      <w:lvlText w:val="•"/>
      <w:lvlJc w:val="left"/>
      <w:pPr>
        <w:ind w:left="3170" w:hanging="360"/>
      </w:pPr>
      <w:rPr>
        <w:rFonts w:hint="default"/>
      </w:rPr>
    </w:lvl>
    <w:lvl w:ilvl="5">
      <w:start w:val="0"/>
      <w:numFmt w:val="bullet"/>
      <w:lvlText w:val="•"/>
      <w:lvlJc w:val="left"/>
      <w:pPr>
        <w:ind w:left="3853" w:hanging="360"/>
      </w:pPr>
      <w:rPr>
        <w:rFonts w:hint="default"/>
      </w:rPr>
    </w:lvl>
    <w:lvl w:ilvl="6">
      <w:start w:val="0"/>
      <w:numFmt w:val="bullet"/>
      <w:lvlText w:val="•"/>
      <w:lvlJc w:val="left"/>
      <w:pPr>
        <w:ind w:left="4536" w:hanging="360"/>
      </w:pPr>
      <w:rPr>
        <w:rFonts w:hint="default"/>
      </w:rPr>
    </w:lvl>
    <w:lvl w:ilvl="7">
      <w:start w:val="0"/>
      <w:numFmt w:val="bullet"/>
      <w:lvlText w:val="•"/>
      <w:lvlJc w:val="left"/>
      <w:pPr>
        <w:ind w:left="5218" w:hanging="360"/>
      </w:pPr>
      <w:rPr>
        <w:rFonts w:hint="default"/>
      </w:rPr>
    </w:lvl>
    <w:lvl w:ilvl="8">
      <w:start w:val="0"/>
      <w:numFmt w:val="bullet"/>
      <w:lvlText w:val="•"/>
      <w:lvlJc w:val="left"/>
      <w:pPr>
        <w:ind w:left="5901" w:hanging="360"/>
      </w:pPr>
      <w:rPr>
        <w:rFonts w:hint="default"/>
      </w:rPr>
    </w:lvl>
  </w:abstractNum>
  <w:abstractNum w:abstractNumId="151">
    <w:multiLevelType w:val="hybridMultilevel"/>
    <w:lvl w:ilvl="0">
      <w:start w:val="0"/>
      <w:numFmt w:val="bullet"/>
      <w:lvlText w:val="•"/>
      <w:lvlJc w:val="left"/>
      <w:pPr>
        <w:ind w:left="448" w:hanging="360"/>
      </w:pPr>
      <w:rPr>
        <w:rFonts w:hint="default" w:ascii="Symbol" w:hAnsi="Symbol" w:eastAsia="Symbol" w:cs="Symbol"/>
        <w:spacing w:val="-4"/>
        <w:w w:val="100"/>
        <w:sz w:val="18"/>
        <w:szCs w:val="18"/>
      </w:rPr>
    </w:lvl>
    <w:lvl w:ilvl="1">
      <w:start w:val="0"/>
      <w:numFmt w:val="bullet"/>
      <w:lvlText w:val="•"/>
      <w:lvlJc w:val="left"/>
      <w:pPr>
        <w:ind w:left="1122" w:hanging="360"/>
      </w:pPr>
      <w:rPr>
        <w:rFonts w:hint="default"/>
      </w:rPr>
    </w:lvl>
    <w:lvl w:ilvl="2">
      <w:start w:val="0"/>
      <w:numFmt w:val="bullet"/>
      <w:lvlText w:val="•"/>
      <w:lvlJc w:val="left"/>
      <w:pPr>
        <w:ind w:left="1805" w:hanging="360"/>
      </w:pPr>
      <w:rPr>
        <w:rFonts w:hint="default"/>
      </w:rPr>
    </w:lvl>
    <w:lvl w:ilvl="3">
      <w:start w:val="0"/>
      <w:numFmt w:val="bullet"/>
      <w:lvlText w:val="•"/>
      <w:lvlJc w:val="left"/>
      <w:pPr>
        <w:ind w:left="2488" w:hanging="360"/>
      </w:pPr>
      <w:rPr>
        <w:rFonts w:hint="default"/>
      </w:rPr>
    </w:lvl>
    <w:lvl w:ilvl="4">
      <w:start w:val="0"/>
      <w:numFmt w:val="bullet"/>
      <w:lvlText w:val="•"/>
      <w:lvlJc w:val="left"/>
      <w:pPr>
        <w:ind w:left="3170" w:hanging="360"/>
      </w:pPr>
      <w:rPr>
        <w:rFonts w:hint="default"/>
      </w:rPr>
    </w:lvl>
    <w:lvl w:ilvl="5">
      <w:start w:val="0"/>
      <w:numFmt w:val="bullet"/>
      <w:lvlText w:val="•"/>
      <w:lvlJc w:val="left"/>
      <w:pPr>
        <w:ind w:left="3853" w:hanging="360"/>
      </w:pPr>
      <w:rPr>
        <w:rFonts w:hint="default"/>
      </w:rPr>
    </w:lvl>
    <w:lvl w:ilvl="6">
      <w:start w:val="0"/>
      <w:numFmt w:val="bullet"/>
      <w:lvlText w:val="•"/>
      <w:lvlJc w:val="left"/>
      <w:pPr>
        <w:ind w:left="4536" w:hanging="360"/>
      </w:pPr>
      <w:rPr>
        <w:rFonts w:hint="default"/>
      </w:rPr>
    </w:lvl>
    <w:lvl w:ilvl="7">
      <w:start w:val="0"/>
      <w:numFmt w:val="bullet"/>
      <w:lvlText w:val="•"/>
      <w:lvlJc w:val="left"/>
      <w:pPr>
        <w:ind w:left="5218" w:hanging="360"/>
      </w:pPr>
      <w:rPr>
        <w:rFonts w:hint="default"/>
      </w:rPr>
    </w:lvl>
    <w:lvl w:ilvl="8">
      <w:start w:val="0"/>
      <w:numFmt w:val="bullet"/>
      <w:lvlText w:val="•"/>
      <w:lvlJc w:val="left"/>
      <w:pPr>
        <w:ind w:left="5901" w:hanging="360"/>
      </w:pPr>
      <w:rPr>
        <w:rFonts w:hint="default"/>
      </w:rPr>
    </w:lvl>
  </w:abstractNum>
  <w:abstractNum w:abstractNumId="150">
    <w:multiLevelType w:val="hybridMultilevel"/>
    <w:lvl w:ilvl="0">
      <w:start w:val="0"/>
      <w:numFmt w:val="bullet"/>
      <w:lvlText w:val="•"/>
      <w:lvlJc w:val="left"/>
      <w:pPr>
        <w:ind w:left="448" w:hanging="360"/>
      </w:pPr>
      <w:rPr>
        <w:rFonts w:hint="default" w:ascii="Symbol" w:hAnsi="Symbol" w:eastAsia="Symbol" w:cs="Symbol"/>
        <w:spacing w:val="-4"/>
        <w:w w:val="97"/>
        <w:sz w:val="18"/>
        <w:szCs w:val="18"/>
      </w:rPr>
    </w:lvl>
    <w:lvl w:ilvl="1">
      <w:start w:val="0"/>
      <w:numFmt w:val="bullet"/>
      <w:lvlText w:val="•"/>
      <w:lvlJc w:val="left"/>
      <w:pPr>
        <w:ind w:left="1122" w:hanging="360"/>
      </w:pPr>
      <w:rPr>
        <w:rFonts w:hint="default"/>
      </w:rPr>
    </w:lvl>
    <w:lvl w:ilvl="2">
      <w:start w:val="0"/>
      <w:numFmt w:val="bullet"/>
      <w:lvlText w:val="•"/>
      <w:lvlJc w:val="left"/>
      <w:pPr>
        <w:ind w:left="1805" w:hanging="360"/>
      </w:pPr>
      <w:rPr>
        <w:rFonts w:hint="default"/>
      </w:rPr>
    </w:lvl>
    <w:lvl w:ilvl="3">
      <w:start w:val="0"/>
      <w:numFmt w:val="bullet"/>
      <w:lvlText w:val="•"/>
      <w:lvlJc w:val="left"/>
      <w:pPr>
        <w:ind w:left="2488" w:hanging="360"/>
      </w:pPr>
      <w:rPr>
        <w:rFonts w:hint="default"/>
      </w:rPr>
    </w:lvl>
    <w:lvl w:ilvl="4">
      <w:start w:val="0"/>
      <w:numFmt w:val="bullet"/>
      <w:lvlText w:val="•"/>
      <w:lvlJc w:val="left"/>
      <w:pPr>
        <w:ind w:left="3170" w:hanging="360"/>
      </w:pPr>
      <w:rPr>
        <w:rFonts w:hint="default"/>
      </w:rPr>
    </w:lvl>
    <w:lvl w:ilvl="5">
      <w:start w:val="0"/>
      <w:numFmt w:val="bullet"/>
      <w:lvlText w:val="•"/>
      <w:lvlJc w:val="left"/>
      <w:pPr>
        <w:ind w:left="3853" w:hanging="360"/>
      </w:pPr>
      <w:rPr>
        <w:rFonts w:hint="default"/>
      </w:rPr>
    </w:lvl>
    <w:lvl w:ilvl="6">
      <w:start w:val="0"/>
      <w:numFmt w:val="bullet"/>
      <w:lvlText w:val="•"/>
      <w:lvlJc w:val="left"/>
      <w:pPr>
        <w:ind w:left="4536" w:hanging="360"/>
      </w:pPr>
      <w:rPr>
        <w:rFonts w:hint="default"/>
      </w:rPr>
    </w:lvl>
    <w:lvl w:ilvl="7">
      <w:start w:val="0"/>
      <w:numFmt w:val="bullet"/>
      <w:lvlText w:val="•"/>
      <w:lvlJc w:val="left"/>
      <w:pPr>
        <w:ind w:left="5218" w:hanging="360"/>
      </w:pPr>
      <w:rPr>
        <w:rFonts w:hint="default"/>
      </w:rPr>
    </w:lvl>
    <w:lvl w:ilvl="8">
      <w:start w:val="0"/>
      <w:numFmt w:val="bullet"/>
      <w:lvlText w:val="•"/>
      <w:lvlJc w:val="left"/>
      <w:pPr>
        <w:ind w:left="5901" w:hanging="360"/>
      </w:pPr>
      <w:rPr>
        <w:rFonts w:hint="default"/>
      </w:rPr>
    </w:lvl>
  </w:abstractNum>
  <w:abstractNum w:abstractNumId="149">
    <w:multiLevelType w:val="hybridMultilevel"/>
    <w:lvl w:ilvl="0">
      <w:start w:val="0"/>
      <w:numFmt w:val="bullet"/>
      <w:lvlText w:val="•"/>
      <w:lvlJc w:val="left"/>
      <w:pPr>
        <w:ind w:left="448" w:hanging="360"/>
      </w:pPr>
      <w:rPr>
        <w:rFonts w:hint="default" w:ascii="Symbol" w:hAnsi="Symbol" w:eastAsia="Symbol" w:cs="Symbol"/>
        <w:spacing w:val="-4"/>
        <w:w w:val="100"/>
        <w:sz w:val="18"/>
        <w:szCs w:val="18"/>
      </w:rPr>
    </w:lvl>
    <w:lvl w:ilvl="1">
      <w:start w:val="0"/>
      <w:numFmt w:val="bullet"/>
      <w:lvlText w:val="•"/>
      <w:lvlJc w:val="left"/>
      <w:pPr>
        <w:ind w:left="1122" w:hanging="360"/>
      </w:pPr>
      <w:rPr>
        <w:rFonts w:hint="default"/>
      </w:rPr>
    </w:lvl>
    <w:lvl w:ilvl="2">
      <w:start w:val="0"/>
      <w:numFmt w:val="bullet"/>
      <w:lvlText w:val="•"/>
      <w:lvlJc w:val="left"/>
      <w:pPr>
        <w:ind w:left="1805" w:hanging="360"/>
      </w:pPr>
      <w:rPr>
        <w:rFonts w:hint="default"/>
      </w:rPr>
    </w:lvl>
    <w:lvl w:ilvl="3">
      <w:start w:val="0"/>
      <w:numFmt w:val="bullet"/>
      <w:lvlText w:val="•"/>
      <w:lvlJc w:val="left"/>
      <w:pPr>
        <w:ind w:left="2488" w:hanging="360"/>
      </w:pPr>
      <w:rPr>
        <w:rFonts w:hint="default"/>
      </w:rPr>
    </w:lvl>
    <w:lvl w:ilvl="4">
      <w:start w:val="0"/>
      <w:numFmt w:val="bullet"/>
      <w:lvlText w:val="•"/>
      <w:lvlJc w:val="left"/>
      <w:pPr>
        <w:ind w:left="3170" w:hanging="360"/>
      </w:pPr>
      <w:rPr>
        <w:rFonts w:hint="default"/>
      </w:rPr>
    </w:lvl>
    <w:lvl w:ilvl="5">
      <w:start w:val="0"/>
      <w:numFmt w:val="bullet"/>
      <w:lvlText w:val="•"/>
      <w:lvlJc w:val="left"/>
      <w:pPr>
        <w:ind w:left="3853" w:hanging="360"/>
      </w:pPr>
      <w:rPr>
        <w:rFonts w:hint="default"/>
      </w:rPr>
    </w:lvl>
    <w:lvl w:ilvl="6">
      <w:start w:val="0"/>
      <w:numFmt w:val="bullet"/>
      <w:lvlText w:val="•"/>
      <w:lvlJc w:val="left"/>
      <w:pPr>
        <w:ind w:left="4536" w:hanging="360"/>
      </w:pPr>
      <w:rPr>
        <w:rFonts w:hint="default"/>
      </w:rPr>
    </w:lvl>
    <w:lvl w:ilvl="7">
      <w:start w:val="0"/>
      <w:numFmt w:val="bullet"/>
      <w:lvlText w:val="•"/>
      <w:lvlJc w:val="left"/>
      <w:pPr>
        <w:ind w:left="5218" w:hanging="360"/>
      </w:pPr>
      <w:rPr>
        <w:rFonts w:hint="default"/>
      </w:rPr>
    </w:lvl>
    <w:lvl w:ilvl="8">
      <w:start w:val="0"/>
      <w:numFmt w:val="bullet"/>
      <w:lvlText w:val="•"/>
      <w:lvlJc w:val="left"/>
      <w:pPr>
        <w:ind w:left="5901" w:hanging="360"/>
      </w:pPr>
      <w:rPr>
        <w:rFonts w:hint="default"/>
      </w:rPr>
    </w:lvl>
  </w:abstractNum>
  <w:abstractNum w:abstractNumId="148">
    <w:multiLevelType w:val="hybridMultilevel"/>
    <w:lvl w:ilvl="0">
      <w:start w:val="4"/>
      <w:numFmt w:val="decimal"/>
      <w:lvlText w:val="%1"/>
      <w:lvlJc w:val="left"/>
      <w:pPr>
        <w:ind w:left="1619" w:hanging="1440"/>
        <w:jc w:val="left"/>
      </w:pPr>
      <w:rPr>
        <w:rFonts w:hint="default"/>
      </w:rPr>
    </w:lvl>
    <w:lvl w:ilvl="1">
      <w:start w:val="3"/>
      <w:numFmt w:val="decimal"/>
      <w:lvlText w:val="%1.%2"/>
      <w:lvlJc w:val="left"/>
      <w:pPr>
        <w:ind w:left="1619" w:hanging="1440"/>
        <w:jc w:val="left"/>
      </w:pPr>
      <w:rPr>
        <w:rFonts w:hint="default"/>
      </w:rPr>
    </w:lvl>
    <w:lvl w:ilvl="2">
      <w:start w:val="3"/>
      <w:numFmt w:val="decimal"/>
      <w:lvlText w:val="%1.%2.%3"/>
      <w:lvlJc w:val="left"/>
      <w:pPr>
        <w:ind w:left="1619" w:hanging="1440"/>
        <w:jc w:val="left"/>
      </w:pPr>
      <w:rPr>
        <w:rFonts w:hint="default"/>
      </w:rPr>
    </w:lvl>
    <w:lvl w:ilvl="3">
      <w:start w:val="6"/>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199" w:hanging="1020"/>
        <w:jc w:val="left"/>
      </w:pPr>
      <w:rPr>
        <w:rFonts w:hint="default" w:ascii="Times New Roman" w:hAnsi="Times New Roman" w:eastAsia="Times New Roman" w:cs="Times New Roman"/>
        <w:b/>
        <w:bCs/>
        <w:spacing w:val="-34"/>
        <w:w w:val="100"/>
        <w:sz w:val="22"/>
        <w:szCs w:val="22"/>
      </w:rPr>
    </w:lvl>
    <w:lvl w:ilvl="5">
      <w:start w:val="0"/>
      <w:numFmt w:val="bullet"/>
      <w:lvlText w:val="•"/>
      <w:lvlJc w:val="left"/>
      <w:pPr>
        <w:ind w:left="5637" w:hanging="1020"/>
      </w:pPr>
      <w:rPr>
        <w:rFonts w:hint="default"/>
      </w:rPr>
    </w:lvl>
    <w:lvl w:ilvl="6">
      <w:start w:val="0"/>
      <w:numFmt w:val="bullet"/>
      <w:lvlText w:val="•"/>
      <w:lvlJc w:val="left"/>
      <w:pPr>
        <w:ind w:left="6642" w:hanging="1020"/>
      </w:pPr>
      <w:rPr>
        <w:rFonts w:hint="default"/>
      </w:rPr>
    </w:lvl>
    <w:lvl w:ilvl="7">
      <w:start w:val="0"/>
      <w:numFmt w:val="bullet"/>
      <w:lvlText w:val="•"/>
      <w:lvlJc w:val="left"/>
      <w:pPr>
        <w:ind w:left="7646" w:hanging="1020"/>
      </w:pPr>
      <w:rPr>
        <w:rFonts w:hint="default"/>
      </w:rPr>
    </w:lvl>
    <w:lvl w:ilvl="8">
      <w:start w:val="0"/>
      <w:numFmt w:val="bullet"/>
      <w:lvlText w:val="•"/>
      <w:lvlJc w:val="left"/>
      <w:pPr>
        <w:ind w:left="8651" w:hanging="1020"/>
      </w:pPr>
      <w:rPr>
        <w:rFonts w:hint="default"/>
      </w:rPr>
    </w:lvl>
  </w:abstractNum>
  <w:abstractNum w:abstractNumId="147">
    <w:multiLevelType w:val="hybridMultilevel"/>
    <w:lvl w:ilvl="0">
      <w:start w:val="4"/>
      <w:numFmt w:val="decimal"/>
      <w:lvlText w:val="%1"/>
      <w:lvlJc w:val="left"/>
      <w:pPr>
        <w:ind w:left="179" w:hanging="1019"/>
        <w:jc w:val="left"/>
      </w:pPr>
      <w:rPr>
        <w:rFonts w:hint="default"/>
      </w:rPr>
    </w:lvl>
    <w:lvl w:ilvl="1">
      <w:start w:val="3"/>
      <w:numFmt w:val="decimal"/>
      <w:lvlText w:val="%1.%2"/>
      <w:lvlJc w:val="left"/>
      <w:pPr>
        <w:ind w:left="179" w:hanging="1019"/>
        <w:jc w:val="left"/>
      </w:pPr>
      <w:rPr>
        <w:rFonts w:hint="default"/>
      </w:rPr>
    </w:lvl>
    <w:lvl w:ilvl="2">
      <w:start w:val="3"/>
      <w:numFmt w:val="decimal"/>
      <w:lvlText w:val="%1.%2.%3"/>
      <w:lvlJc w:val="left"/>
      <w:pPr>
        <w:ind w:left="179" w:hanging="1019"/>
        <w:jc w:val="left"/>
      </w:pPr>
      <w:rPr>
        <w:rFonts w:hint="default"/>
      </w:rPr>
    </w:lvl>
    <w:lvl w:ilvl="3">
      <w:start w:val="5"/>
      <w:numFmt w:val="decimal"/>
      <w:lvlText w:val="%1.%2.%3.%4"/>
      <w:lvlJc w:val="left"/>
      <w:pPr>
        <w:ind w:left="179" w:hanging="1019"/>
        <w:jc w:val="left"/>
      </w:pPr>
      <w:rPr>
        <w:rFonts w:hint="default"/>
      </w:rPr>
    </w:lvl>
    <w:lvl w:ilvl="4">
      <w:start w:val="2"/>
      <w:numFmt w:val="decimal"/>
      <w:lvlText w:val="%1.%2.%3.%4.%5"/>
      <w:lvlJc w:val="left"/>
      <w:pPr>
        <w:ind w:left="179" w:hanging="1019"/>
        <w:jc w:val="left"/>
      </w:pPr>
      <w:rPr>
        <w:rFonts w:hint="default" w:ascii="Times New Roman" w:hAnsi="Times New Roman" w:eastAsia="Times New Roman" w:cs="Times New Roman"/>
        <w:b/>
        <w:bCs/>
        <w:spacing w:val="-36"/>
        <w:w w:val="100"/>
        <w:sz w:val="22"/>
        <w:szCs w:val="22"/>
      </w:rPr>
    </w:lvl>
    <w:lvl w:ilvl="5">
      <w:start w:val="0"/>
      <w:numFmt w:val="bullet"/>
      <w:lvlText w:val="•"/>
      <w:lvlJc w:val="left"/>
      <w:pPr>
        <w:ind w:left="5420" w:hanging="1019"/>
      </w:pPr>
      <w:rPr>
        <w:rFonts w:hint="default"/>
      </w:rPr>
    </w:lvl>
    <w:lvl w:ilvl="6">
      <w:start w:val="0"/>
      <w:numFmt w:val="bullet"/>
      <w:lvlText w:val="•"/>
      <w:lvlJc w:val="left"/>
      <w:pPr>
        <w:ind w:left="6468" w:hanging="1019"/>
      </w:pPr>
      <w:rPr>
        <w:rFonts w:hint="default"/>
      </w:rPr>
    </w:lvl>
    <w:lvl w:ilvl="7">
      <w:start w:val="0"/>
      <w:numFmt w:val="bullet"/>
      <w:lvlText w:val="•"/>
      <w:lvlJc w:val="left"/>
      <w:pPr>
        <w:ind w:left="7516" w:hanging="1019"/>
      </w:pPr>
      <w:rPr>
        <w:rFonts w:hint="default"/>
      </w:rPr>
    </w:lvl>
    <w:lvl w:ilvl="8">
      <w:start w:val="0"/>
      <w:numFmt w:val="bullet"/>
      <w:lvlText w:val="•"/>
      <w:lvlJc w:val="left"/>
      <w:pPr>
        <w:ind w:left="8564" w:hanging="1019"/>
      </w:pPr>
      <w:rPr>
        <w:rFonts w:hint="default"/>
      </w:rPr>
    </w:lvl>
  </w:abstractNum>
  <w:abstractNum w:abstractNumId="146">
    <w:multiLevelType w:val="hybridMultilevel"/>
    <w:lvl w:ilvl="0">
      <w:start w:val="0"/>
      <w:numFmt w:val="bullet"/>
      <w:lvlText w:val="•"/>
      <w:lvlJc w:val="left"/>
      <w:pPr>
        <w:ind w:left="343" w:hanging="216"/>
      </w:pPr>
      <w:rPr>
        <w:rFonts w:hint="default" w:ascii="Symbol" w:hAnsi="Symbol" w:eastAsia="Symbol" w:cs="Symbol"/>
        <w:w w:val="100"/>
        <w:sz w:val="22"/>
        <w:szCs w:val="22"/>
      </w:rPr>
    </w:lvl>
    <w:lvl w:ilvl="1">
      <w:start w:val="0"/>
      <w:numFmt w:val="bullet"/>
      <w:lvlText w:val="•"/>
      <w:lvlJc w:val="left"/>
      <w:pPr>
        <w:ind w:left="1126" w:hanging="216"/>
      </w:pPr>
      <w:rPr>
        <w:rFonts w:hint="default"/>
      </w:rPr>
    </w:lvl>
    <w:lvl w:ilvl="2">
      <w:start w:val="0"/>
      <w:numFmt w:val="bullet"/>
      <w:lvlText w:val="•"/>
      <w:lvlJc w:val="left"/>
      <w:pPr>
        <w:ind w:left="1912" w:hanging="216"/>
      </w:pPr>
      <w:rPr>
        <w:rFonts w:hint="default"/>
      </w:rPr>
    </w:lvl>
    <w:lvl w:ilvl="3">
      <w:start w:val="0"/>
      <w:numFmt w:val="bullet"/>
      <w:lvlText w:val="•"/>
      <w:lvlJc w:val="left"/>
      <w:pPr>
        <w:ind w:left="2698" w:hanging="216"/>
      </w:pPr>
      <w:rPr>
        <w:rFonts w:hint="default"/>
      </w:rPr>
    </w:lvl>
    <w:lvl w:ilvl="4">
      <w:start w:val="0"/>
      <w:numFmt w:val="bullet"/>
      <w:lvlText w:val="•"/>
      <w:lvlJc w:val="left"/>
      <w:pPr>
        <w:ind w:left="3484" w:hanging="216"/>
      </w:pPr>
      <w:rPr>
        <w:rFonts w:hint="default"/>
      </w:rPr>
    </w:lvl>
    <w:lvl w:ilvl="5">
      <w:start w:val="0"/>
      <w:numFmt w:val="bullet"/>
      <w:lvlText w:val="•"/>
      <w:lvlJc w:val="left"/>
      <w:pPr>
        <w:ind w:left="4270" w:hanging="216"/>
      </w:pPr>
      <w:rPr>
        <w:rFonts w:hint="default"/>
      </w:rPr>
    </w:lvl>
    <w:lvl w:ilvl="6">
      <w:start w:val="0"/>
      <w:numFmt w:val="bullet"/>
      <w:lvlText w:val="•"/>
      <w:lvlJc w:val="left"/>
      <w:pPr>
        <w:ind w:left="5056" w:hanging="216"/>
      </w:pPr>
      <w:rPr>
        <w:rFonts w:hint="default"/>
      </w:rPr>
    </w:lvl>
    <w:lvl w:ilvl="7">
      <w:start w:val="0"/>
      <w:numFmt w:val="bullet"/>
      <w:lvlText w:val="•"/>
      <w:lvlJc w:val="left"/>
      <w:pPr>
        <w:ind w:left="5842" w:hanging="216"/>
      </w:pPr>
      <w:rPr>
        <w:rFonts w:hint="default"/>
      </w:rPr>
    </w:lvl>
    <w:lvl w:ilvl="8">
      <w:start w:val="0"/>
      <w:numFmt w:val="bullet"/>
      <w:lvlText w:val="•"/>
      <w:lvlJc w:val="left"/>
      <w:pPr>
        <w:ind w:left="6628" w:hanging="216"/>
      </w:pPr>
      <w:rPr>
        <w:rFonts w:hint="default"/>
      </w:rPr>
    </w:lvl>
  </w:abstractNum>
  <w:abstractNum w:abstractNumId="145">
    <w:multiLevelType w:val="hybridMultilevel"/>
    <w:lvl w:ilvl="0">
      <w:start w:val="0"/>
      <w:numFmt w:val="bullet"/>
      <w:lvlText w:val="•"/>
      <w:lvlJc w:val="left"/>
      <w:pPr>
        <w:ind w:left="343" w:hanging="216"/>
      </w:pPr>
      <w:rPr>
        <w:rFonts w:hint="default" w:ascii="Symbol" w:hAnsi="Symbol" w:eastAsia="Symbol" w:cs="Symbol"/>
        <w:w w:val="100"/>
        <w:sz w:val="22"/>
        <w:szCs w:val="22"/>
      </w:rPr>
    </w:lvl>
    <w:lvl w:ilvl="1">
      <w:start w:val="0"/>
      <w:numFmt w:val="bullet"/>
      <w:lvlText w:val="•"/>
      <w:lvlJc w:val="left"/>
      <w:pPr>
        <w:ind w:left="1126" w:hanging="216"/>
      </w:pPr>
      <w:rPr>
        <w:rFonts w:hint="default"/>
      </w:rPr>
    </w:lvl>
    <w:lvl w:ilvl="2">
      <w:start w:val="0"/>
      <w:numFmt w:val="bullet"/>
      <w:lvlText w:val="•"/>
      <w:lvlJc w:val="left"/>
      <w:pPr>
        <w:ind w:left="1912" w:hanging="216"/>
      </w:pPr>
      <w:rPr>
        <w:rFonts w:hint="default"/>
      </w:rPr>
    </w:lvl>
    <w:lvl w:ilvl="3">
      <w:start w:val="0"/>
      <w:numFmt w:val="bullet"/>
      <w:lvlText w:val="•"/>
      <w:lvlJc w:val="left"/>
      <w:pPr>
        <w:ind w:left="2698" w:hanging="216"/>
      </w:pPr>
      <w:rPr>
        <w:rFonts w:hint="default"/>
      </w:rPr>
    </w:lvl>
    <w:lvl w:ilvl="4">
      <w:start w:val="0"/>
      <w:numFmt w:val="bullet"/>
      <w:lvlText w:val="•"/>
      <w:lvlJc w:val="left"/>
      <w:pPr>
        <w:ind w:left="3484" w:hanging="216"/>
      </w:pPr>
      <w:rPr>
        <w:rFonts w:hint="default"/>
      </w:rPr>
    </w:lvl>
    <w:lvl w:ilvl="5">
      <w:start w:val="0"/>
      <w:numFmt w:val="bullet"/>
      <w:lvlText w:val="•"/>
      <w:lvlJc w:val="left"/>
      <w:pPr>
        <w:ind w:left="4270" w:hanging="216"/>
      </w:pPr>
      <w:rPr>
        <w:rFonts w:hint="default"/>
      </w:rPr>
    </w:lvl>
    <w:lvl w:ilvl="6">
      <w:start w:val="0"/>
      <w:numFmt w:val="bullet"/>
      <w:lvlText w:val="•"/>
      <w:lvlJc w:val="left"/>
      <w:pPr>
        <w:ind w:left="5056" w:hanging="216"/>
      </w:pPr>
      <w:rPr>
        <w:rFonts w:hint="default"/>
      </w:rPr>
    </w:lvl>
    <w:lvl w:ilvl="7">
      <w:start w:val="0"/>
      <w:numFmt w:val="bullet"/>
      <w:lvlText w:val="•"/>
      <w:lvlJc w:val="left"/>
      <w:pPr>
        <w:ind w:left="5842" w:hanging="216"/>
      </w:pPr>
      <w:rPr>
        <w:rFonts w:hint="default"/>
      </w:rPr>
    </w:lvl>
    <w:lvl w:ilvl="8">
      <w:start w:val="0"/>
      <w:numFmt w:val="bullet"/>
      <w:lvlText w:val="•"/>
      <w:lvlJc w:val="left"/>
      <w:pPr>
        <w:ind w:left="6628" w:hanging="216"/>
      </w:pPr>
      <w:rPr>
        <w:rFonts w:hint="default"/>
      </w:rPr>
    </w:lvl>
  </w:abstractNum>
  <w:abstractNum w:abstractNumId="144">
    <w:multiLevelType w:val="hybridMultilevel"/>
    <w:lvl w:ilvl="0">
      <w:start w:val="0"/>
      <w:numFmt w:val="bullet"/>
      <w:lvlText w:val="•"/>
      <w:lvlJc w:val="left"/>
      <w:pPr>
        <w:ind w:left="324" w:hanging="216"/>
      </w:pPr>
      <w:rPr>
        <w:rFonts w:hint="default" w:ascii="Symbol" w:hAnsi="Symbol" w:eastAsia="Symbol" w:cs="Symbol"/>
        <w:w w:val="100"/>
        <w:sz w:val="22"/>
        <w:szCs w:val="22"/>
      </w:rPr>
    </w:lvl>
    <w:lvl w:ilvl="1">
      <w:start w:val="0"/>
      <w:numFmt w:val="bullet"/>
      <w:lvlText w:val="•"/>
      <w:lvlJc w:val="left"/>
      <w:pPr>
        <w:ind w:left="1104" w:hanging="216"/>
      </w:pPr>
      <w:rPr>
        <w:rFonts w:hint="default"/>
      </w:rPr>
    </w:lvl>
    <w:lvl w:ilvl="2">
      <w:start w:val="0"/>
      <w:numFmt w:val="bullet"/>
      <w:lvlText w:val="•"/>
      <w:lvlJc w:val="left"/>
      <w:pPr>
        <w:ind w:left="1888" w:hanging="216"/>
      </w:pPr>
      <w:rPr>
        <w:rFonts w:hint="default"/>
      </w:rPr>
    </w:lvl>
    <w:lvl w:ilvl="3">
      <w:start w:val="0"/>
      <w:numFmt w:val="bullet"/>
      <w:lvlText w:val="•"/>
      <w:lvlJc w:val="left"/>
      <w:pPr>
        <w:ind w:left="2672" w:hanging="216"/>
      </w:pPr>
      <w:rPr>
        <w:rFonts w:hint="default"/>
      </w:rPr>
    </w:lvl>
    <w:lvl w:ilvl="4">
      <w:start w:val="0"/>
      <w:numFmt w:val="bullet"/>
      <w:lvlText w:val="•"/>
      <w:lvlJc w:val="left"/>
      <w:pPr>
        <w:ind w:left="3456" w:hanging="216"/>
      </w:pPr>
      <w:rPr>
        <w:rFonts w:hint="default"/>
      </w:rPr>
    </w:lvl>
    <w:lvl w:ilvl="5">
      <w:start w:val="0"/>
      <w:numFmt w:val="bullet"/>
      <w:lvlText w:val="•"/>
      <w:lvlJc w:val="left"/>
      <w:pPr>
        <w:ind w:left="4241" w:hanging="216"/>
      </w:pPr>
      <w:rPr>
        <w:rFonts w:hint="default"/>
      </w:rPr>
    </w:lvl>
    <w:lvl w:ilvl="6">
      <w:start w:val="0"/>
      <w:numFmt w:val="bullet"/>
      <w:lvlText w:val="•"/>
      <w:lvlJc w:val="left"/>
      <w:pPr>
        <w:ind w:left="5025" w:hanging="216"/>
      </w:pPr>
      <w:rPr>
        <w:rFonts w:hint="default"/>
      </w:rPr>
    </w:lvl>
    <w:lvl w:ilvl="7">
      <w:start w:val="0"/>
      <w:numFmt w:val="bullet"/>
      <w:lvlText w:val="•"/>
      <w:lvlJc w:val="left"/>
      <w:pPr>
        <w:ind w:left="5809" w:hanging="216"/>
      </w:pPr>
      <w:rPr>
        <w:rFonts w:hint="default"/>
      </w:rPr>
    </w:lvl>
    <w:lvl w:ilvl="8">
      <w:start w:val="0"/>
      <w:numFmt w:val="bullet"/>
      <w:lvlText w:val="•"/>
      <w:lvlJc w:val="left"/>
      <w:pPr>
        <w:ind w:left="6593" w:hanging="216"/>
      </w:pPr>
      <w:rPr>
        <w:rFonts w:hint="default"/>
      </w:rPr>
    </w:lvl>
  </w:abstractNum>
  <w:abstractNum w:abstractNumId="143">
    <w:multiLevelType w:val="hybridMultilevel"/>
    <w:lvl w:ilvl="0">
      <w:start w:val="0"/>
      <w:numFmt w:val="bullet"/>
      <w:lvlText w:val="•"/>
      <w:lvlJc w:val="left"/>
      <w:pPr>
        <w:ind w:left="343" w:hanging="216"/>
      </w:pPr>
      <w:rPr>
        <w:rFonts w:hint="default" w:ascii="Symbol" w:hAnsi="Symbol" w:eastAsia="Symbol" w:cs="Symbol"/>
        <w:w w:val="100"/>
        <w:sz w:val="22"/>
        <w:szCs w:val="22"/>
      </w:rPr>
    </w:lvl>
    <w:lvl w:ilvl="1">
      <w:start w:val="0"/>
      <w:numFmt w:val="bullet"/>
      <w:lvlText w:val="•"/>
      <w:lvlJc w:val="left"/>
      <w:pPr>
        <w:ind w:left="1126" w:hanging="216"/>
      </w:pPr>
      <w:rPr>
        <w:rFonts w:hint="default"/>
      </w:rPr>
    </w:lvl>
    <w:lvl w:ilvl="2">
      <w:start w:val="0"/>
      <w:numFmt w:val="bullet"/>
      <w:lvlText w:val="•"/>
      <w:lvlJc w:val="left"/>
      <w:pPr>
        <w:ind w:left="1912" w:hanging="216"/>
      </w:pPr>
      <w:rPr>
        <w:rFonts w:hint="default"/>
      </w:rPr>
    </w:lvl>
    <w:lvl w:ilvl="3">
      <w:start w:val="0"/>
      <w:numFmt w:val="bullet"/>
      <w:lvlText w:val="•"/>
      <w:lvlJc w:val="left"/>
      <w:pPr>
        <w:ind w:left="2698" w:hanging="216"/>
      </w:pPr>
      <w:rPr>
        <w:rFonts w:hint="default"/>
      </w:rPr>
    </w:lvl>
    <w:lvl w:ilvl="4">
      <w:start w:val="0"/>
      <w:numFmt w:val="bullet"/>
      <w:lvlText w:val="•"/>
      <w:lvlJc w:val="left"/>
      <w:pPr>
        <w:ind w:left="3484" w:hanging="216"/>
      </w:pPr>
      <w:rPr>
        <w:rFonts w:hint="default"/>
      </w:rPr>
    </w:lvl>
    <w:lvl w:ilvl="5">
      <w:start w:val="0"/>
      <w:numFmt w:val="bullet"/>
      <w:lvlText w:val="•"/>
      <w:lvlJc w:val="left"/>
      <w:pPr>
        <w:ind w:left="4270" w:hanging="216"/>
      </w:pPr>
      <w:rPr>
        <w:rFonts w:hint="default"/>
      </w:rPr>
    </w:lvl>
    <w:lvl w:ilvl="6">
      <w:start w:val="0"/>
      <w:numFmt w:val="bullet"/>
      <w:lvlText w:val="•"/>
      <w:lvlJc w:val="left"/>
      <w:pPr>
        <w:ind w:left="5056" w:hanging="216"/>
      </w:pPr>
      <w:rPr>
        <w:rFonts w:hint="default"/>
      </w:rPr>
    </w:lvl>
    <w:lvl w:ilvl="7">
      <w:start w:val="0"/>
      <w:numFmt w:val="bullet"/>
      <w:lvlText w:val="•"/>
      <w:lvlJc w:val="left"/>
      <w:pPr>
        <w:ind w:left="5842" w:hanging="216"/>
      </w:pPr>
      <w:rPr>
        <w:rFonts w:hint="default"/>
      </w:rPr>
    </w:lvl>
    <w:lvl w:ilvl="8">
      <w:start w:val="0"/>
      <w:numFmt w:val="bullet"/>
      <w:lvlText w:val="•"/>
      <w:lvlJc w:val="left"/>
      <w:pPr>
        <w:ind w:left="6628" w:hanging="216"/>
      </w:pPr>
      <w:rPr>
        <w:rFonts w:hint="default"/>
      </w:rPr>
    </w:lvl>
  </w:abstractNum>
  <w:abstractNum w:abstractNumId="142">
    <w:multiLevelType w:val="hybridMultilevel"/>
    <w:lvl w:ilvl="0">
      <w:start w:val="4"/>
      <w:numFmt w:val="decimal"/>
      <w:lvlText w:val="%1"/>
      <w:lvlJc w:val="left"/>
      <w:pPr>
        <w:ind w:left="1381" w:hanging="1203"/>
        <w:jc w:val="left"/>
      </w:pPr>
      <w:rPr>
        <w:rFonts w:hint="default"/>
      </w:rPr>
    </w:lvl>
    <w:lvl w:ilvl="1">
      <w:start w:val="3"/>
      <w:numFmt w:val="decimal"/>
      <w:lvlText w:val="%1.%2"/>
      <w:lvlJc w:val="left"/>
      <w:pPr>
        <w:ind w:left="1381" w:hanging="1203"/>
        <w:jc w:val="left"/>
      </w:pPr>
      <w:rPr>
        <w:rFonts w:hint="default"/>
      </w:rPr>
    </w:lvl>
    <w:lvl w:ilvl="2">
      <w:start w:val="2"/>
      <w:numFmt w:val="decimal"/>
      <w:lvlText w:val="%1.%2.%3"/>
      <w:lvlJc w:val="left"/>
      <w:pPr>
        <w:ind w:left="138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1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633" w:hanging="1440"/>
      </w:pPr>
      <w:rPr>
        <w:rFonts w:hint="default"/>
      </w:rPr>
    </w:lvl>
    <w:lvl w:ilvl="5">
      <w:start w:val="0"/>
      <w:numFmt w:val="bullet"/>
      <w:lvlText w:val="•"/>
      <w:lvlJc w:val="left"/>
      <w:pPr>
        <w:ind w:left="5637" w:hanging="1440"/>
      </w:pPr>
      <w:rPr>
        <w:rFonts w:hint="default"/>
      </w:rPr>
    </w:lvl>
    <w:lvl w:ilvl="6">
      <w:start w:val="0"/>
      <w:numFmt w:val="bullet"/>
      <w:lvlText w:val="•"/>
      <w:lvlJc w:val="left"/>
      <w:pPr>
        <w:ind w:left="6642" w:hanging="1440"/>
      </w:pPr>
      <w:rPr>
        <w:rFonts w:hint="default"/>
      </w:rPr>
    </w:lvl>
    <w:lvl w:ilvl="7">
      <w:start w:val="0"/>
      <w:numFmt w:val="bullet"/>
      <w:lvlText w:val="•"/>
      <w:lvlJc w:val="left"/>
      <w:pPr>
        <w:ind w:left="7646" w:hanging="1440"/>
      </w:pPr>
      <w:rPr>
        <w:rFonts w:hint="default"/>
      </w:rPr>
    </w:lvl>
    <w:lvl w:ilvl="8">
      <w:start w:val="0"/>
      <w:numFmt w:val="bullet"/>
      <w:lvlText w:val="•"/>
      <w:lvlJc w:val="left"/>
      <w:pPr>
        <w:ind w:left="8651" w:hanging="1440"/>
      </w:pPr>
      <w:rPr>
        <w:rFonts w:hint="default"/>
      </w:rPr>
    </w:lvl>
  </w:abstractNum>
  <w:abstractNum w:abstractNumId="141">
    <w:multiLevelType w:val="hybridMultilevel"/>
    <w:lvl w:ilvl="0">
      <w:start w:val="4"/>
      <w:numFmt w:val="decimal"/>
      <w:lvlText w:val="%1"/>
      <w:lvlJc w:val="left"/>
      <w:pPr>
        <w:ind w:left="1612" w:hanging="1440"/>
        <w:jc w:val="left"/>
      </w:pPr>
      <w:rPr>
        <w:rFonts w:hint="default"/>
      </w:rPr>
    </w:lvl>
    <w:lvl w:ilvl="1">
      <w:start w:val="2"/>
      <w:numFmt w:val="decimal"/>
      <w:lvlText w:val="%1.%2"/>
      <w:lvlJc w:val="left"/>
      <w:pPr>
        <w:ind w:left="1612" w:hanging="1440"/>
        <w:jc w:val="left"/>
      </w:pPr>
      <w:rPr>
        <w:rFonts w:hint="default"/>
      </w:rPr>
    </w:lvl>
    <w:lvl w:ilvl="2">
      <w:start w:val="4"/>
      <w:numFmt w:val="decimal"/>
      <w:lvlText w:val="%1.%2.%3"/>
      <w:lvlJc w:val="left"/>
      <w:pPr>
        <w:ind w:left="1612" w:hanging="1440"/>
        <w:jc w:val="left"/>
      </w:pPr>
      <w:rPr>
        <w:rFonts w:hint="default"/>
      </w:rPr>
    </w:lvl>
    <w:lvl w:ilvl="3">
      <w:start w:val="4"/>
      <w:numFmt w:val="decimal"/>
      <w:lvlText w:val="%1.%2.%3.%4"/>
      <w:lvlJc w:val="left"/>
      <w:pPr>
        <w:ind w:left="1612"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5236" w:hanging="1440"/>
      </w:pPr>
      <w:rPr>
        <w:rFonts w:hint="default"/>
      </w:rPr>
    </w:lvl>
    <w:lvl w:ilvl="5">
      <w:start w:val="0"/>
      <w:numFmt w:val="bullet"/>
      <w:lvlText w:val="•"/>
      <w:lvlJc w:val="left"/>
      <w:pPr>
        <w:ind w:left="6140" w:hanging="1440"/>
      </w:pPr>
      <w:rPr>
        <w:rFonts w:hint="default"/>
      </w:rPr>
    </w:lvl>
    <w:lvl w:ilvl="6">
      <w:start w:val="0"/>
      <w:numFmt w:val="bullet"/>
      <w:lvlText w:val="•"/>
      <w:lvlJc w:val="left"/>
      <w:pPr>
        <w:ind w:left="7044" w:hanging="1440"/>
      </w:pPr>
      <w:rPr>
        <w:rFonts w:hint="default"/>
      </w:rPr>
    </w:lvl>
    <w:lvl w:ilvl="7">
      <w:start w:val="0"/>
      <w:numFmt w:val="bullet"/>
      <w:lvlText w:val="•"/>
      <w:lvlJc w:val="left"/>
      <w:pPr>
        <w:ind w:left="7948" w:hanging="1440"/>
      </w:pPr>
      <w:rPr>
        <w:rFonts w:hint="default"/>
      </w:rPr>
    </w:lvl>
    <w:lvl w:ilvl="8">
      <w:start w:val="0"/>
      <w:numFmt w:val="bullet"/>
      <w:lvlText w:val="•"/>
      <w:lvlJc w:val="left"/>
      <w:pPr>
        <w:ind w:left="8852" w:hanging="1440"/>
      </w:pPr>
      <w:rPr>
        <w:rFonts w:hint="default"/>
      </w:rPr>
    </w:lvl>
  </w:abstractNum>
  <w:abstractNum w:abstractNumId="140">
    <w:multiLevelType w:val="hybridMultilevel"/>
    <w:lvl w:ilvl="0">
      <w:start w:val="0"/>
      <w:numFmt w:val="bullet"/>
      <w:lvlText w:val="•"/>
      <w:lvlJc w:val="left"/>
      <w:pPr>
        <w:ind w:left="407" w:hanging="360"/>
      </w:pPr>
      <w:rPr>
        <w:rFonts w:hint="default" w:ascii="Symbol" w:hAnsi="Symbol" w:eastAsia="Symbol" w:cs="Symbol"/>
        <w:spacing w:val="-3"/>
        <w:w w:val="100"/>
        <w:sz w:val="18"/>
        <w:szCs w:val="18"/>
      </w:rPr>
    </w:lvl>
    <w:lvl w:ilvl="1">
      <w:start w:val="0"/>
      <w:numFmt w:val="bullet"/>
      <w:lvlText w:val="•"/>
      <w:lvlJc w:val="left"/>
      <w:pPr>
        <w:ind w:left="953" w:hanging="360"/>
      </w:pPr>
      <w:rPr>
        <w:rFonts w:hint="default"/>
      </w:rPr>
    </w:lvl>
    <w:lvl w:ilvl="2">
      <w:start w:val="0"/>
      <w:numFmt w:val="bullet"/>
      <w:lvlText w:val="•"/>
      <w:lvlJc w:val="left"/>
      <w:pPr>
        <w:ind w:left="1507" w:hanging="360"/>
      </w:pPr>
      <w:rPr>
        <w:rFonts w:hint="default"/>
      </w:rPr>
    </w:lvl>
    <w:lvl w:ilvl="3">
      <w:start w:val="0"/>
      <w:numFmt w:val="bullet"/>
      <w:lvlText w:val="•"/>
      <w:lvlJc w:val="left"/>
      <w:pPr>
        <w:ind w:left="2060" w:hanging="360"/>
      </w:pPr>
      <w:rPr>
        <w:rFonts w:hint="default"/>
      </w:rPr>
    </w:lvl>
    <w:lvl w:ilvl="4">
      <w:start w:val="0"/>
      <w:numFmt w:val="bullet"/>
      <w:lvlText w:val="•"/>
      <w:lvlJc w:val="left"/>
      <w:pPr>
        <w:ind w:left="2614" w:hanging="360"/>
      </w:pPr>
      <w:rPr>
        <w:rFonts w:hint="default"/>
      </w:rPr>
    </w:lvl>
    <w:lvl w:ilvl="5">
      <w:start w:val="0"/>
      <w:numFmt w:val="bullet"/>
      <w:lvlText w:val="•"/>
      <w:lvlJc w:val="left"/>
      <w:pPr>
        <w:ind w:left="3167" w:hanging="360"/>
      </w:pPr>
      <w:rPr>
        <w:rFonts w:hint="default"/>
      </w:rPr>
    </w:lvl>
    <w:lvl w:ilvl="6">
      <w:start w:val="0"/>
      <w:numFmt w:val="bullet"/>
      <w:lvlText w:val="•"/>
      <w:lvlJc w:val="left"/>
      <w:pPr>
        <w:ind w:left="3721" w:hanging="360"/>
      </w:pPr>
      <w:rPr>
        <w:rFonts w:hint="default"/>
      </w:rPr>
    </w:lvl>
    <w:lvl w:ilvl="7">
      <w:start w:val="0"/>
      <w:numFmt w:val="bullet"/>
      <w:lvlText w:val="•"/>
      <w:lvlJc w:val="left"/>
      <w:pPr>
        <w:ind w:left="4274" w:hanging="360"/>
      </w:pPr>
      <w:rPr>
        <w:rFonts w:hint="default"/>
      </w:rPr>
    </w:lvl>
    <w:lvl w:ilvl="8">
      <w:start w:val="0"/>
      <w:numFmt w:val="bullet"/>
      <w:lvlText w:val="•"/>
      <w:lvlJc w:val="left"/>
      <w:pPr>
        <w:ind w:left="4828" w:hanging="360"/>
      </w:pPr>
      <w:rPr>
        <w:rFonts w:hint="default"/>
      </w:rPr>
    </w:lvl>
  </w:abstractNum>
  <w:abstractNum w:abstractNumId="139">
    <w:multiLevelType w:val="hybridMultilevel"/>
    <w:lvl w:ilvl="0">
      <w:start w:val="1"/>
      <w:numFmt w:val="lowerLetter"/>
      <w:lvlText w:val="(%1)"/>
      <w:lvlJc w:val="left"/>
      <w:pPr>
        <w:ind w:left="321" w:hanging="255"/>
        <w:jc w:val="left"/>
      </w:pPr>
      <w:rPr>
        <w:rFonts w:hint="default" w:ascii="Times New Roman" w:hAnsi="Times New Roman" w:eastAsia="Times New Roman" w:cs="Times New Roman"/>
        <w:i/>
        <w:spacing w:val="-4"/>
        <w:w w:val="100"/>
        <w:sz w:val="18"/>
        <w:szCs w:val="18"/>
      </w:rPr>
    </w:lvl>
    <w:lvl w:ilvl="1">
      <w:start w:val="0"/>
      <w:numFmt w:val="bullet"/>
      <w:lvlText w:val="•"/>
      <w:lvlJc w:val="left"/>
      <w:pPr>
        <w:ind w:left="881" w:hanging="255"/>
      </w:pPr>
      <w:rPr>
        <w:rFonts w:hint="default"/>
      </w:rPr>
    </w:lvl>
    <w:lvl w:ilvl="2">
      <w:start w:val="0"/>
      <w:numFmt w:val="bullet"/>
      <w:lvlText w:val="•"/>
      <w:lvlJc w:val="left"/>
      <w:pPr>
        <w:ind w:left="1443" w:hanging="255"/>
      </w:pPr>
      <w:rPr>
        <w:rFonts w:hint="default"/>
      </w:rPr>
    </w:lvl>
    <w:lvl w:ilvl="3">
      <w:start w:val="0"/>
      <w:numFmt w:val="bullet"/>
      <w:lvlText w:val="•"/>
      <w:lvlJc w:val="left"/>
      <w:pPr>
        <w:ind w:left="2004" w:hanging="255"/>
      </w:pPr>
      <w:rPr>
        <w:rFonts w:hint="default"/>
      </w:rPr>
    </w:lvl>
    <w:lvl w:ilvl="4">
      <w:start w:val="0"/>
      <w:numFmt w:val="bullet"/>
      <w:lvlText w:val="•"/>
      <w:lvlJc w:val="left"/>
      <w:pPr>
        <w:ind w:left="2566" w:hanging="255"/>
      </w:pPr>
      <w:rPr>
        <w:rFonts w:hint="default"/>
      </w:rPr>
    </w:lvl>
    <w:lvl w:ilvl="5">
      <w:start w:val="0"/>
      <w:numFmt w:val="bullet"/>
      <w:lvlText w:val="•"/>
      <w:lvlJc w:val="left"/>
      <w:pPr>
        <w:ind w:left="3127" w:hanging="255"/>
      </w:pPr>
      <w:rPr>
        <w:rFonts w:hint="default"/>
      </w:rPr>
    </w:lvl>
    <w:lvl w:ilvl="6">
      <w:start w:val="0"/>
      <w:numFmt w:val="bullet"/>
      <w:lvlText w:val="•"/>
      <w:lvlJc w:val="left"/>
      <w:pPr>
        <w:ind w:left="3689" w:hanging="255"/>
      </w:pPr>
      <w:rPr>
        <w:rFonts w:hint="default"/>
      </w:rPr>
    </w:lvl>
    <w:lvl w:ilvl="7">
      <w:start w:val="0"/>
      <w:numFmt w:val="bullet"/>
      <w:lvlText w:val="•"/>
      <w:lvlJc w:val="left"/>
      <w:pPr>
        <w:ind w:left="4250" w:hanging="255"/>
      </w:pPr>
      <w:rPr>
        <w:rFonts w:hint="default"/>
      </w:rPr>
    </w:lvl>
    <w:lvl w:ilvl="8">
      <w:start w:val="0"/>
      <w:numFmt w:val="bullet"/>
      <w:lvlText w:val="•"/>
      <w:lvlJc w:val="left"/>
      <w:pPr>
        <w:ind w:left="4812" w:hanging="255"/>
      </w:pPr>
      <w:rPr>
        <w:rFonts w:hint="default"/>
      </w:rPr>
    </w:lvl>
  </w:abstractNum>
  <w:abstractNum w:abstractNumId="138">
    <w:multiLevelType w:val="hybridMultilevel"/>
    <w:lvl w:ilvl="0">
      <w:start w:val="1"/>
      <w:numFmt w:val="lowerRoman"/>
      <w:lvlText w:val="(%1)"/>
      <w:lvlJc w:val="left"/>
      <w:pPr>
        <w:ind w:left="354" w:hanging="288"/>
        <w:jc w:val="left"/>
      </w:pPr>
      <w:rPr>
        <w:rFonts w:hint="default" w:ascii="Times New Roman" w:hAnsi="Times New Roman" w:eastAsia="Times New Roman" w:cs="Times New Roman"/>
        <w:i/>
        <w:spacing w:val="-15"/>
        <w:w w:val="100"/>
        <w:sz w:val="18"/>
        <w:szCs w:val="18"/>
      </w:rPr>
    </w:lvl>
    <w:lvl w:ilvl="1">
      <w:start w:val="0"/>
      <w:numFmt w:val="bullet"/>
      <w:lvlText w:val="•"/>
      <w:lvlJc w:val="left"/>
      <w:pPr>
        <w:ind w:left="917" w:hanging="288"/>
      </w:pPr>
      <w:rPr>
        <w:rFonts w:hint="default"/>
      </w:rPr>
    </w:lvl>
    <w:lvl w:ilvl="2">
      <w:start w:val="0"/>
      <w:numFmt w:val="bullet"/>
      <w:lvlText w:val="•"/>
      <w:lvlJc w:val="left"/>
      <w:pPr>
        <w:ind w:left="1475" w:hanging="288"/>
      </w:pPr>
      <w:rPr>
        <w:rFonts w:hint="default"/>
      </w:rPr>
    </w:lvl>
    <w:lvl w:ilvl="3">
      <w:start w:val="0"/>
      <w:numFmt w:val="bullet"/>
      <w:lvlText w:val="•"/>
      <w:lvlJc w:val="left"/>
      <w:pPr>
        <w:ind w:left="2032" w:hanging="288"/>
      </w:pPr>
      <w:rPr>
        <w:rFonts w:hint="default"/>
      </w:rPr>
    </w:lvl>
    <w:lvl w:ilvl="4">
      <w:start w:val="0"/>
      <w:numFmt w:val="bullet"/>
      <w:lvlText w:val="•"/>
      <w:lvlJc w:val="left"/>
      <w:pPr>
        <w:ind w:left="2590" w:hanging="288"/>
      </w:pPr>
      <w:rPr>
        <w:rFonts w:hint="default"/>
      </w:rPr>
    </w:lvl>
    <w:lvl w:ilvl="5">
      <w:start w:val="0"/>
      <w:numFmt w:val="bullet"/>
      <w:lvlText w:val="•"/>
      <w:lvlJc w:val="left"/>
      <w:pPr>
        <w:ind w:left="3147" w:hanging="288"/>
      </w:pPr>
      <w:rPr>
        <w:rFonts w:hint="default"/>
      </w:rPr>
    </w:lvl>
    <w:lvl w:ilvl="6">
      <w:start w:val="0"/>
      <w:numFmt w:val="bullet"/>
      <w:lvlText w:val="•"/>
      <w:lvlJc w:val="left"/>
      <w:pPr>
        <w:ind w:left="3705" w:hanging="288"/>
      </w:pPr>
      <w:rPr>
        <w:rFonts w:hint="default"/>
      </w:rPr>
    </w:lvl>
    <w:lvl w:ilvl="7">
      <w:start w:val="0"/>
      <w:numFmt w:val="bullet"/>
      <w:lvlText w:val="•"/>
      <w:lvlJc w:val="left"/>
      <w:pPr>
        <w:ind w:left="4262" w:hanging="288"/>
      </w:pPr>
      <w:rPr>
        <w:rFonts w:hint="default"/>
      </w:rPr>
    </w:lvl>
    <w:lvl w:ilvl="8">
      <w:start w:val="0"/>
      <w:numFmt w:val="bullet"/>
      <w:lvlText w:val="•"/>
      <w:lvlJc w:val="left"/>
      <w:pPr>
        <w:ind w:left="4820" w:hanging="288"/>
      </w:pPr>
      <w:rPr>
        <w:rFonts w:hint="default"/>
      </w:rPr>
    </w:lvl>
  </w:abstractNum>
  <w:abstractNum w:abstractNumId="137">
    <w:multiLevelType w:val="hybridMultilevel"/>
    <w:lvl w:ilvl="0">
      <w:start w:val="0"/>
      <w:numFmt w:val="bullet"/>
      <w:lvlText w:val="•"/>
      <w:lvlJc w:val="left"/>
      <w:pPr>
        <w:ind w:left="427" w:hanging="360"/>
      </w:pPr>
      <w:rPr>
        <w:rFonts w:hint="default" w:ascii="Symbol" w:hAnsi="Symbol" w:eastAsia="Symbol" w:cs="Symbol"/>
        <w:spacing w:val="-4"/>
        <w:w w:val="100"/>
        <w:sz w:val="18"/>
        <w:szCs w:val="18"/>
      </w:rPr>
    </w:lvl>
    <w:lvl w:ilvl="1">
      <w:start w:val="0"/>
      <w:numFmt w:val="bullet"/>
      <w:lvlText w:val="•"/>
      <w:lvlJc w:val="left"/>
      <w:pPr>
        <w:ind w:left="967" w:hanging="360"/>
      </w:pPr>
      <w:rPr>
        <w:rFonts w:hint="default"/>
      </w:rPr>
    </w:lvl>
    <w:lvl w:ilvl="2">
      <w:start w:val="0"/>
      <w:numFmt w:val="bullet"/>
      <w:lvlText w:val="•"/>
      <w:lvlJc w:val="left"/>
      <w:pPr>
        <w:ind w:left="1515" w:hanging="360"/>
      </w:pPr>
      <w:rPr>
        <w:rFonts w:hint="default"/>
      </w:rPr>
    </w:lvl>
    <w:lvl w:ilvl="3">
      <w:start w:val="0"/>
      <w:numFmt w:val="bullet"/>
      <w:lvlText w:val="•"/>
      <w:lvlJc w:val="left"/>
      <w:pPr>
        <w:ind w:left="2062" w:hanging="360"/>
      </w:pPr>
      <w:rPr>
        <w:rFonts w:hint="default"/>
      </w:rPr>
    </w:lvl>
    <w:lvl w:ilvl="4">
      <w:start w:val="0"/>
      <w:numFmt w:val="bullet"/>
      <w:lvlText w:val="•"/>
      <w:lvlJc w:val="left"/>
      <w:pPr>
        <w:ind w:left="2610" w:hanging="360"/>
      </w:pPr>
      <w:rPr>
        <w:rFonts w:hint="default"/>
      </w:rPr>
    </w:lvl>
    <w:lvl w:ilvl="5">
      <w:start w:val="0"/>
      <w:numFmt w:val="bullet"/>
      <w:lvlText w:val="•"/>
      <w:lvlJc w:val="left"/>
      <w:pPr>
        <w:ind w:left="3158" w:hanging="360"/>
      </w:pPr>
      <w:rPr>
        <w:rFonts w:hint="default"/>
      </w:rPr>
    </w:lvl>
    <w:lvl w:ilvl="6">
      <w:start w:val="0"/>
      <w:numFmt w:val="bullet"/>
      <w:lvlText w:val="•"/>
      <w:lvlJc w:val="left"/>
      <w:pPr>
        <w:ind w:left="3705" w:hanging="360"/>
      </w:pPr>
      <w:rPr>
        <w:rFonts w:hint="default"/>
      </w:rPr>
    </w:lvl>
    <w:lvl w:ilvl="7">
      <w:start w:val="0"/>
      <w:numFmt w:val="bullet"/>
      <w:lvlText w:val="•"/>
      <w:lvlJc w:val="left"/>
      <w:pPr>
        <w:ind w:left="4253" w:hanging="360"/>
      </w:pPr>
      <w:rPr>
        <w:rFonts w:hint="default"/>
      </w:rPr>
    </w:lvl>
    <w:lvl w:ilvl="8">
      <w:start w:val="0"/>
      <w:numFmt w:val="bullet"/>
      <w:lvlText w:val="•"/>
      <w:lvlJc w:val="left"/>
      <w:pPr>
        <w:ind w:left="4800" w:hanging="360"/>
      </w:pPr>
      <w:rPr>
        <w:rFonts w:hint="default"/>
      </w:rPr>
    </w:lvl>
  </w:abstractNum>
  <w:abstractNum w:abstractNumId="136">
    <w:multiLevelType w:val="hybridMultilevel"/>
    <w:lvl w:ilvl="0">
      <w:start w:val="0"/>
      <w:numFmt w:val="bullet"/>
      <w:lvlText w:val="•"/>
      <w:lvlJc w:val="left"/>
      <w:pPr>
        <w:ind w:left="427" w:hanging="360"/>
      </w:pPr>
      <w:rPr>
        <w:rFonts w:hint="default" w:ascii="Symbol" w:hAnsi="Symbol" w:eastAsia="Symbol" w:cs="Symbol"/>
        <w:spacing w:val="-3"/>
        <w:w w:val="100"/>
        <w:sz w:val="18"/>
        <w:szCs w:val="18"/>
      </w:rPr>
    </w:lvl>
    <w:lvl w:ilvl="1">
      <w:start w:val="0"/>
      <w:numFmt w:val="bullet"/>
      <w:lvlText w:val="•"/>
      <w:lvlJc w:val="left"/>
      <w:pPr>
        <w:ind w:left="967" w:hanging="360"/>
      </w:pPr>
      <w:rPr>
        <w:rFonts w:hint="default"/>
      </w:rPr>
    </w:lvl>
    <w:lvl w:ilvl="2">
      <w:start w:val="0"/>
      <w:numFmt w:val="bullet"/>
      <w:lvlText w:val="•"/>
      <w:lvlJc w:val="left"/>
      <w:pPr>
        <w:ind w:left="1515" w:hanging="360"/>
      </w:pPr>
      <w:rPr>
        <w:rFonts w:hint="default"/>
      </w:rPr>
    </w:lvl>
    <w:lvl w:ilvl="3">
      <w:start w:val="0"/>
      <w:numFmt w:val="bullet"/>
      <w:lvlText w:val="•"/>
      <w:lvlJc w:val="left"/>
      <w:pPr>
        <w:ind w:left="2062" w:hanging="360"/>
      </w:pPr>
      <w:rPr>
        <w:rFonts w:hint="default"/>
      </w:rPr>
    </w:lvl>
    <w:lvl w:ilvl="4">
      <w:start w:val="0"/>
      <w:numFmt w:val="bullet"/>
      <w:lvlText w:val="•"/>
      <w:lvlJc w:val="left"/>
      <w:pPr>
        <w:ind w:left="2610" w:hanging="360"/>
      </w:pPr>
      <w:rPr>
        <w:rFonts w:hint="default"/>
      </w:rPr>
    </w:lvl>
    <w:lvl w:ilvl="5">
      <w:start w:val="0"/>
      <w:numFmt w:val="bullet"/>
      <w:lvlText w:val="•"/>
      <w:lvlJc w:val="left"/>
      <w:pPr>
        <w:ind w:left="3158" w:hanging="360"/>
      </w:pPr>
      <w:rPr>
        <w:rFonts w:hint="default"/>
      </w:rPr>
    </w:lvl>
    <w:lvl w:ilvl="6">
      <w:start w:val="0"/>
      <w:numFmt w:val="bullet"/>
      <w:lvlText w:val="•"/>
      <w:lvlJc w:val="left"/>
      <w:pPr>
        <w:ind w:left="3705" w:hanging="360"/>
      </w:pPr>
      <w:rPr>
        <w:rFonts w:hint="default"/>
      </w:rPr>
    </w:lvl>
    <w:lvl w:ilvl="7">
      <w:start w:val="0"/>
      <w:numFmt w:val="bullet"/>
      <w:lvlText w:val="•"/>
      <w:lvlJc w:val="left"/>
      <w:pPr>
        <w:ind w:left="4253" w:hanging="360"/>
      </w:pPr>
      <w:rPr>
        <w:rFonts w:hint="default"/>
      </w:rPr>
    </w:lvl>
    <w:lvl w:ilvl="8">
      <w:start w:val="0"/>
      <w:numFmt w:val="bullet"/>
      <w:lvlText w:val="•"/>
      <w:lvlJc w:val="left"/>
      <w:pPr>
        <w:ind w:left="4800" w:hanging="360"/>
      </w:pPr>
      <w:rPr>
        <w:rFonts w:hint="default"/>
      </w:rPr>
    </w:lvl>
  </w:abstractNum>
  <w:abstractNum w:abstractNumId="135">
    <w:multiLevelType w:val="hybridMultilevel"/>
    <w:lvl w:ilvl="0">
      <w:start w:val="0"/>
      <w:numFmt w:val="bullet"/>
      <w:lvlText w:val="•"/>
      <w:lvlJc w:val="left"/>
      <w:pPr>
        <w:ind w:left="427" w:hanging="360"/>
      </w:pPr>
      <w:rPr>
        <w:rFonts w:hint="default" w:ascii="Symbol" w:hAnsi="Symbol" w:eastAsia="Symbol" w:cs="Symbol"/>
        <w:spacing w:val="-4"/>
        <w:w w:val="100"/>
        <w:sz w:val="18"/>
        <w:szCs w:val="18"/>
      </w:rPr>
    </w:lvl>
    <w:lvl w:ilvl="1">
      <w:start w:val="0"/>
      <w:numFmt w:val="bullet"/>
      <w:lvlText w:val="•"/>
      <w:lvlJc w:val="left"/>
      <w:pPr>
        <w:ind w:left="967" w:hanging="360"/>
      </w:pPr>
      <w:rPr>
        <w:rFonts w:hint="default"/>
      </w:rPr>
    </w:lvl>
    <w:lvl w:ilvl="2">
      <w:start w:val="0"/>
      <w:numFmt w:val="bullet"/>
      <w:lvlText w:val="•"/>
      <w:lvlJc w:val="left"/>
      <w:pPr>
        <w:ind w:left="1515" w:hanging="360"/>
      </w:pPr>
      <w:rPr>
        <w:rFonts w:hint="default"/>
      </w:rPr>
    </w:lvl>
    <w:lvl w:ilvl="3">
      <w:start w:val="0"/>
      <w:numFmt w:val="bullet"/>
      <w:lvlText w:val="•"/>
      <w:lvlJc w:val="left"/>
      <w:pPr>
        <w:ind w:left="2062" w:hanging="360"/>
      </w:pPr>
      <w:rPr>
        <w:rFonts w:hint="default"/>
      </w:rPr>
    </w:lvl>
    <w:lvl w:ilvl="4">
      <w:start w:val="0"/>
      <w:numFmt w:val="bullet"/>
      <w:lvlText w:val="•"/>
      <w:lvlJc w:val="left"/>
      <w:pPr>
        <w:ind w:left="2610" w:hanging="360"/>
      </w:pPr>
      <w:rPr>
        <w:rFonts w:hint="default"/>
      </w:rPr>
    </w:lvl>
    <w:lvl w:ilvl="5">
      <w:start w:val="0"/>
      <w:numFmt w:val="bullet"/>
      <w:lvlText w:val="•"/>
      <w:lvlJc w:val="left"/>
      <w:pPr>
        <w:ind w:left="3158" w:hanging="360"/>
      </w:pPr>
      <w:rPr>
        <w:rFonts w:hint="default"/>
      </w:rPr>
    </w:lvl>
    <w:lvl w:ilvl="6">
      <w:start w:val="0"/>
      <w:numFmt w:val="bullet"/>
      <w:lvlText w:val="•"/>
      <w:lvlJc w:val="left"/>
      <w:pPr>
        <w:ind w:left="3705" w:hanging="360"/>
      </w:pPr>
      <w:rPr>
        <w:rFonts w:hint="default"/>
      </w:rPr>
    </w:lvl>
    <w:lvl w:ilvl="7">
      <w:start w:val="0"/>
      <w:numFmt w:val="bullet"/>
      <w:lvlText w:val="•"/>
      <w:lvlJc w:val="left"/>
      <w:pPr>
        <w:ind w:left="4253" w:hanging="360"/>
      </w:pPr>
      <w:rPr>
        <w:rFonts w:hint="default"/>
      </w:rPr>
    </w:lvl>
    <w:lvl w:ilvl="8">
      <w:start w:val="0"/>
      <w:numFmt w:val="bullet"/>
      <w:lvlText w:val="•"/>
      <w:lvlJc w:val="left"/>
      <w:pPr>
        <w:ind w:left="4800" w:hanging="360"/>
      </w:pPr>
      <w:rPr>
        <w:rFonts w:hint="default"/>
      </w:rPr>
    </w:lvl>
  </w:abstractNum>
  <w:abstractNum w:abstractNumId="134">
    <w:multiLevelType w:val="hybridMultilevel"/>
    <w:lvl w:ilvl="0">
      <w:start w:val="4"/>
      <w:numFmt w:val="decimal"/>
      <w:lvlText w:val="%1"/>
      <w:lvlJc w:val="left"/>
      <w:pPr>
        <w:ind w:left="1599" w:hanging="1440"/>
        <w:jc w:val="left"/>
      </w:pPr>
      <w:rPr>
        <w:rFonts w:hint="default"/>
      </w:rPr>
    </w:lvl>
    <w:lvl w:ilvl="1">
      <w:start w:val="2"/>
      <w:numFmt w:val="decimal"/>
      <w:lvlText w:val="%1.%2"/>
      <w:lvlJc w:val="left"/>
      <w:pPr>
        <w:ind w:left="1599" w:hanging="1440"/>
        <w:jc w:val="left"/>
      </w:pPr>
      <w:rPr>
        <w:rFonts w:hint="default"/>
      </w:rPr>
    </w:lvl>
    <w:lvl w:ilvl="2">
      <w:start w:val="4"/>
      <w:numFmt w:val="decimal"/>
      <w:lvlText w:val="%1.%2.%3"/>
      <w:lvlJc w:val="left"/>
      <w:pPr>
        <w:ind w:left="1599" w:hanging="1440"/>
        <w:jc w:val="left"/>
      </w:pPr>
      <w:rPr>
        <w:rFonts w:hint="default"/>
      </w:rPr>
    </w:lvl>
    <w:lvl w:ilvl="3">
      <w:start w:val="3"/>
      <w:numFmt w:val="decimal"/>
      <w:lvlText w:val="%1.%2.%3.%4"/>
      <w:lvlJc w:val="left"/>
      <w:pPr>
        <w:ind w:left="159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311" w:hanging="1152"/>
        <w:jc w:val="left"/>
      </w:pPr>
      <w:rPr>
        <w:rFonts w:hint="default" w:ascii="Times New Roman" w:hAnsi="Times New Roman" w:eastAsia="Times New Roman" w:cs="Times New Roman"/>
        <w:b/>
        <w:bCs/>
        <w:spacing w:val="-34"/>
        <w:w w:val="100"/>
        <w:sz w:val="22"/>
        <w:szCs w:val="22"/>
      </w:rPr>
    </w:lvl>
    <w:lvl w:ilvl="5">
      <w:start w:val="0"/>
      <w:numFmt w:val="bullet"/>
      <w:lvlText w:val="•"/>
      <w:lvlJc w:val="left"/>
      <w:pPr>
        <w:ind w:left="5066" w:hanging="1152"/>
      </w:pPr>
      <w:rPr>
        <w:rFonts w:hint="default"/>
      </w:rPr>
    </w:lvl>
    <w:lvl w:ilvl="6">
      <w:start w:val="0"/>
      <w:numFmt w:val="bullet"/>
      <w:lvlText w:val="•"/>
      <w:lvlJc w:val="left"/>
      <w:pPr>
        <w:ind w:left="5933" w:hanging="1152"/>
      </w:pPr>
      <w:rPr>
        <w:rFonts w:hint="default"/>
      </w:rPr>
    </w:lvl>
    <w:lvl w:ilvl="7">
      <w:start w:val="0"/>
      <w:numFmt w:val="bullet"/>
      <w:lvlText w:val="•"/>
      <w:lvlJc w:val="left"/>
      <w:pPr>
        <w:ind w:left="6800" w:hanging="1152"/>
      </w:pPr>
      <w:rPr>
        <w:rFonts w:hint="default"/>
      </w:rPr>
    </w:lvl>
    <w:lvl w:ilvl="8">
      <w:start w:val="0"/>
      <w:numFmt w:val="bullet"/>
      <w:lvlText w:val="•"/>
      <w:lvlJc w:val="left"/>
      <w:pPr>
        <w:ind w:left="7666" w:hanging="1152"/>
      </w:pPr>
      <w:rPr>
        <w:rFonts w:hint="default"/>
      </w:rPr>
    </w:lvl>
  </w:abstractNum>
  <w:abstractNum w:abstractNumId="133">
    <w:multiLevelType w:val="hybridMultilevel"/>
    <w:lvl w:ilvl="0">
      <w:start w:val="4"/>
      <w:numFmt w:val="decimal"/>
      <w:lvlText w:val="%1"/>
      <w:lvlJc w:val="left"/>
      <w:pPr>
        <w:ind w:left="1311" w:hanging="1152"/>
        <w:jc w:val="left"/>
      </w:pPr>
      <w:rPr>
        <w:rFonts w:hint="default"/>
      </w:rPr>
    </w:lvl>
    <w:lvl w:ilvl="1">
      <w:start w:val="2"/>
      <w:numFmt w:val="decimal"/>
      <w:lvlText w:val="%1.%2"/>
      <w:lvlJc w:val="left"/>
      <w:pPr>
        <w:ind w:left="1311" w:hanging="1152"/>
        <w:jc w:val="left"/>
      </w:pPr>
      <w:rPr>
        <w:rFonts w:hint="default"/>
      </w:rPr>
    </w:lvl>
    <w:lvl w:ilvl="2">
      <w:start w:val="4"/>
      <w:numFmt w:val="decimal"/>
      <w:lvlText w:val="%1.%2.%3"/>
      <w:lvlJc w:val="left"/>
      <w:pPr>
        <w:ind w:left="1311" w:hanging="1152"/>
        <w:jc w:val="left"/>
      </w:pPr>
      <w:rPr>
        <w:rFonts w:hint="default"/>
      </w:rPr>
    </w:lvl>
    <w:lvl w:ilvl="3">
      <w:start w:val="2"/>
      <w:numFmt w:val="decimal"/>
      <w:lvlText w:val="%1.%2.%3.%4"/>
      <w:lvlJc w:val="left"/>
      <w:pPr>
        <w:ind w:left="1311" w:hanging="1152"/>
        <w:jc w:val="left"/>
      </w:pPr>
      <w:rPr>
        <w:rFonts w:hint="default"/>
      </w:rPr>
    </w:lvl>
    <w:lvl w:ilvl="4">
      <w:start w:val="1"/>
      <w:numFmt w:val="decimal"/>
      <w:lvlText w:val="%1.%2.%3.%4.%5"/>
      <w:lvlJc w:val="left"/>
      <w:pPr>
        <w:ind w:left="1311" w:hanging="1152"/>
        <w:jc w:val="left"/>
      </w:pPr>
      <w:rPr>
        <w:rFonts w:hint="default" w:ascii="Times New Roman" w:hAnsi="Times New Roman" w:eastAsia="Times New Roman" w:cs="Times New Roman"/>
        <w:b/>
        <w:bCs/>
        <w:spacing w:val="-34"/>
        <w:w w:val="100"/>
        <w:sz w:val="22"/>
        <w:szCs w:val="22"/>
      </w:rPr>
    </w:lvl>
    <w:lvl w:ilvl="5">
      <w:start w:val="0"/>
      <w:numFmt w:val="bullet"/>
      <w:lvlText w:val="•"/>
      <w:lvlJc w:val="left"/>
      <w:pPr>
        <w:ind w:left="5360" w:hanging="1152"/>
      </w:pPr>
      <w:rPr>
        <w:rFonts w:hint="default"/>
      </w:rPr>
    </w:lvl>
    <w:lvl w:ilvl="6">
      <w:start w:val="0"/>
      <w:numFmt w:val="bullet"/>
      <w:lvlText w:val="•"/>
      <w:lvlJc w:val="left"/>
      <w:pPr>
        <w:ind w:left="6168" w:hanging="1152"/>
      </w:pPr>
      <w:rPr>
        <w:rFonts w:hint="default"/>
      </w:rPr>
    </w:lvl>
    <w:lvl w:ilvl="7">
      <w:start w:val="0"/>
      <w:numFmt w:val="bullet"/>
      <w:lvlText w:val="•"/>
      <w:lvlJc w:val="left"/>
      <w:pPr>
        <w:ind w:left="6976" w:hanging="1152"/>
      </w:pPr>
      <w:rPr>
        <w:rFonts w:hint="default"/>
      </w:rPr>
    </w:lvl>
    <w:lvl w:ilvl="8">
      <w:start w:val="0"/>
      <w:numFmt w:val="bullet"/>
      <w:lvlText w:val="•"/>
      <w:lvlJc w:val="left"/>
      <w:pPr>
        <w:ind w:left="7784" w:hanging="1152"/>
      </w:pPr>
      <w:rPr>
        <w:rFonts w:hint="default"/>
      </w:rPr>
    </w:lvl>
  </w:abstractNum>
  <w:abstractNum w:abstractNumId="132">
    <w:multiLevelType w:val="hybridMultilevel"/>
    <w:lvl w:ilvl="0">
      <w:start w:val="4"/>
      <w:numFmt w:val="decimal"/>
      <w:lvlText w:val="%1"/>
      <w:lvlJc w:val="left"/>
      <w:pPr>
        <w:ind w:left="1361" w:hanging="1203"/>
        <w:jc w:val="left"/>
      </w:pPr>
      <w:rPr>
        <w:rFonts w:hint="default"/>
      </w:rPr>
    </w:lvl>
    <w:lvl w:ilvl="1">
      <w:start w:val="2"/>
      <w:numFmt w:val="decimal"/>
      <w:lvlText w:val="%1.%2"/>
      <w:lvlJc w:val="left"/>
      <w:pPr>
        <w:ind w:left="1361" w:hanging="1203"/>
        <w:jc w:val="left"/>
      </w:pPr>
      <w:rPr>
        <w:rFonts w:hint="default"/>
      </w:rPr>
    </w:lvl>
    <w:lvl w:ilvl="2">
      <w:start w:val="4"/>
      <w:numFmt w:val="decimal"/>
      <w:lvlText w:val="%1.%2.%3"/>
      <w:lvlJc w:val="left"/>
      <w:pPr>
        <w:ind w:left="136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59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3550" w:hanging="1440"/>
      </w:pPr>
      <w:rPr>
        <w:rFonts w:hint="default"/>
      </w:rPr>
    </w:lvl>
    <w:lvl w:ilvl="5">
      <w:start w:val="0"/>
      <w:numFmt w:val="bullet"/>
      <w:lvlText w:val="•"/>
      <w:lvlJc w:val="left"/>
      <w:pPr>
        <w:ind w:left="4525" w:hanging="1440"/>
      </w:pPr>
      <w:rPr>
        <w:rFonts w:hint="default"/>
      </w:rPr>
    </w:lvl>
    <w:lvl w:ilvl="6">
      <w:start w:val="0"/>
      <w:numFmt w:val="bullet"/>
      <w:lvlText w:val="•"/>
      <w:lvlJc w:val="left"/>
      <w:pPr>
        <w:ind w:left="5500" w:hanging="1440"/>
      </w:pPr>
      <w:rPr>
        <w:rFonts w:hint="default"/>
      </w:rPr>
    </w:lvl>
    <w:lvl w:ilvl="7">
      <w:start w:val="0"/>
      <w:numFmt w:val="bullet"/>
      <w:lvlText w:val="•"/>
      <w:lvlJc w:val="left"/>
      <w:pPr>
        <w:ind w:left="6475" w:hanging="1440"/>
      </w:pPr>
      <w:rPr>
        <w:rFonts w:hint="default"/>
      </w:rPr>
    </w:lvl>
    <w:lvl w:ilvl="8">
      <w:start w:val="0"/>
      <w:numFmt w:val="bullet"/>
      <w:lvlText w:val="•"/>
      <w:lvlJc w:val="left"/>
      <w:pPr>
        <w:ind w:left="7450" w:hanging="1440"/>
      </w:pPr>
      <w:rPr>
        <w:rFonts w:hint="default"/>
      </w:rPr>
    </w:lvl>
  </w:abstractNum>
  <w:abstractNum w:abstractNumId="131">
    <w:multiLevelType w:val="hybridMultilevel"/>
    <w:lvl w:ilvl="0">
      <w:start w:val="4"/>
      <w:numFmt w:val="decimal"/>
      <w:lvlText w:val="%1"/>
      <w:lvlJc w:val="left"/>
      <w:pPr>
        <w:ind w:left="1599" w:hanging="1440"/>
        <w:jc w:val="left"/>
      </w:pPr>
      <w:rPr>
        <w:rFonts w:hint="default"/>
      </w:rPr>
    </w:lvl>
    <w:lvl w:ilvl="1">
      <w:start w:val="2"/>
      <w:numFmt w:val="decimal"/>
      <w:lvlText w:val="%1.%2"/>
      <w:lvlJc w:val="left"/>
      <w:pPr>
        <w:ind w:left="1599" w:hanging="1440"/>
        <w:jc w:val="left"/>
      </w:pPr>
      <w:rPr>
        <w:rFonts w:hint="default"/>
      </w:rPr>
    </w:lvl>
    <w:lvl w:ilvl="2">
      <w:start w:val="3"/>
      <w:numFmt w:val="decimal"/>
      <w:lvlText w:val="%1.%2.%3"/>
      <w:lvlJc w:val="left"/>
      <w:pPr>
        <w:ind w:left="1599" w:hanging="1440"/>
        <w:jc w:val="left"/>
      </w:pPr>
      <w:rPr>
        <w:rFonts w:hint="default"/>
      </w:rPr>
    </w:lvl>
    <w:lvl w:ilvl="3">
      <w:start w:val="5"/>
      <w:numFmt w:val="decimal"/>
      <w:lvlText w:val="%1.%2.%3.%4"/>
      <w:lvlJc w:val="left"/>
      <w:pPr>
        <w:ind w:left="159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720" w:hanging="1440"/>
      </w:pPr>
      <w:rPr>
        <w:rFonts w:hint="default"/>
      </w:rPr>
    </w:lvl>
    <w:lvl w:ilvl="5">
      <w:start w:val="0"/>
      <w:numFmt w:val="bullet"/>
      <w:lvlText w:val="•"/>
      <w:lvlJc w:val="left"/>
      <w:pPr>
        <w:ind w:left="5500" w:hanging="1440"/>
      </w:pPr>
      <w:rPr>
        <w:rFonts w:hint="default"/>
      </w:rPr>
    </w:lvl>
    <w:lvl w:ilvl="6">
      <w:start w:val="0"/>
      <w:numFmt w:val="bullet"/>
      <w:lvlText w:val="•"/>
      <w:lvlJc w:val="left"/>
      <w:pPr>
        <w:ind w:left="6280" w:hanging="1440"/>
      </w:pPr>
      <w:rPr>
        <w:rFonts w:hint="default"/>
      </w:rPr>
    </w:lvl>
    <w:lvl w:ilvl="7">
      <w:start w:val="0"/>
      <w:numFmt w:val="bullet"/>
      <w:lvlText w:val="•"/>
      <w:lvlJc w:val="left"/>
      <w:pPr>
        <w:ind w:left="7060" w:hanging="1440"/>
      </w:pPr>
      <w:rPr>
        <w:rFonts w:hint="default"/>
      </w:rPr>
    </w:lvl>
    <w:lvl w:ilvl="8">
      <w:start w:val="0"/>
      <w:numFmt w:val="bullet"/>
      <w:lvlText w:val="•"/>
      <w:lvlJc w:val="left"/>
      <w:pPr>
        <w:ind w:left="7840" w:hanging="1440"/>
      </w:pPr>
      <w:rPr>
        <w:rFonts w:hint="default"/>
      </w:rPr>
    </w:lvl>
  </w:abstractNum>
  <w:abstractNum w:abstractNumId="130">
    <w:multiLevelType w:val="hybridMultilevel"/>
    <w:lvl w:ilvl="0">
      <w:start w:val="4"/>
      <w:numFmt w:val="decimal"/>
      <w:lvlText w:val="%1"/>
      <w:lvlJc w:val="left"/>
      <w:pPr>
        <w:ind w:left="1361" w:hanging="1203"/>
        <w:jc w:val="left"/>
      </w:pPr>
      <w:rPr>
        <w:rFonts w:hint="default"/>
      </w:rPr>
    </w:lvl>
    <w:lvl w:ilvl="1">
      <w:start w:val="2"/>
      <w:numFmt w:val="decimal"/>
      <w:lvlText w:val="%1.%2"/>
      <w:lvlJc w:val="left"/>
      <w:pPr>
        <w:ind w:left="1361" w:hanging="1203"/>
        <w:jc w:val="left"/>
      </w:pPr>
      <w:rPr>
        <w:rFonts w:hint="default"/>
      </w:rPr>
    </w:lvl>
    <w:lvl w:ilvl="2">
      <w:start w:val="3"/>
      <w:numFmt w:val="decimal"/>
      <w:lvlText w:val="%1.%2.%3"/>
      <w:lvlJc w:val="left"/>
      <w:pPr>
        <w:ind w:left="1361" w:hanging="1203"/>
        <w:jc w:val="left"/>
      </w:pPr>
      <w:rPr>
        <w:rFonts w:hint="default" w:ascii="Times New Roman" w:hAnsi="Times New Roman" w:eastAsia="Times New Roman" w:cs="Times New Roman"/>
        <w:b/>
        <w:bCs/>
        <w:spacing w:val="-1"/>
        <w:w w:val="99"/>
        <w:sz w:val="32"/>
        <w:szCs w:val="32"/>
      </w:rPr>
    </w:lvl>
    <w:lvl w:ilvl="3">
      <w:start w:val="1"/>
      <w:numFmt w:val="decimal"/>
      <w:lvlText w:val="%1.%2.%3.%4"/>
      <w:lvlJc w:val="left"/>
      <w:pPr>
        <w:ind w:left="159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200" w:hanging="1440"/>
      </w:pPr>
      <w:rPr>
        <w:rFonts w:hint="default"/>
      </w:rPr>
    </w:lvl>
    <w:lvl w:ilvl="5">
      <w:start w:val="0"/>
      <w:numFmt w:val="bullet"/>
      <w:lvlText w:val="•"/>
      <w:lvlJc w:val="left"/>
      <w:pPr>
        <w:ind w:left="5066" w:hanging="1440"/>
      </w:pPr>
      <w:rPr>
        <w:rFonts w:hint="default"/>
      </w:rPr>
    </w:lvl>
    <w:lvl w:ilvl="6">
      <w:start w:val="0"/>
      <w:numFmt w:val="bullet"/>
      <w:lvlText w:val="•"/>
      <w:lvlJc w:val="left"/>
      <w:pPr>
        <w:ind w:left="5933" w:hanging="1440"/>
      </w:pPr>
      <w:rPr>
        <w:rFonts w:hint="default"/>
      </w:rPr>
    </w:lvl>
    <w:lvl w:ilvl="7">
      <w:start w:val="0"/>
      <w:numFmt w:val="bullet"/>
      <w:lvlText w:val="•"/>
      <w:lvlJc w:val="left"/>
      <w:pPr>
        <w:ind w:left="6800" w:hanging="1440"/>
      </w:pPr>
      <w:rPr>
        <w:rFonts w:hint="default"/>
      </w:rPr>
    </w:lvl>
    <w:lvl w:ilvl="8">
      <w:start w:val="0"/>
      <w:numFmt w:val="bullet"/>
      <w:lvlText w:val="•"/>
      <w:lvlJc w:val="left"/>
      <w:pPr>
        <w:ind w:left="7666" w:hanging="1440"/>
      </w:pPr>
      <w:rPr>
        <w:rFonts w:hint="default"/>
      </w:rPr>
    </w:lvl>
  </w:abstractNum>
  <w:abstractNum w:abstractNumId="129">
    <w:multiLevelType w:val="hybridMultilevel"/>
    <w:lvl w:ilvl="0">
      <w:start w:val="2"/>
      <w:numFmt w:val="lowerLetter"/>
      <w:lvlText w:val="(%1)"/>
      <w:lvlJc w:val="left"/>
      <w:pPr>
        <w:ind w:left="752" w:hanging="210"/>
        <w:jc w:val="left"/>
      </w:pPr>
      <w:rPr>
        <w:rFonts w:hint="default" w:ascii="Times New Roman" w:hAnsi="Times New Roman" w:eastAsia="Times New Roman" w:cs="Times New Roman"/>
        <w:i/>
        <w:spacing w:val="-3"/>
        <w:w w:val="100"/>
        <w:sz w:val="16"/>
        <w:szCs w:val="16"/>
      </w:rPr>
    </w:lvl>
    <w:lvl w:ilvl="1">
      <w:start w:val="1"/>
      <w:numFmt w:val="lowerRoman"/>
      <w:lvlText w:val="(%2)"/>
      <w:lvlJc w:val="left"/>
      <w:pPr>
        <w:ind w:left="1247" w:hanging="342"/>
        <w:jc w:val="left"/>
      </w:pPr>
      <w:rPr>
        <w:rFonts w:hint="default" w:ascii="Times New Roman" w:hAnsi="Times New Roman" w:eastAsia="Times New Roman" w:cs="Times New Roman"/>
        <w:i/>
        <w:spacing w:val="-7"/>
        <w:w w:val="100"/>
        <w:sz w:val="18"/>
        <w:szCs w:val="18"/>
      </w:rPr>
    </w:lvl>
    <w:lvl w:ilvl="2">
      <w:start w:val="0"/>
      <w:numFmt w:val="bullet"/>
      <w:lvlText w:val="•"/>
      <w:lvlJc w:val="left"/>
      <w:pPr>
        <w:ind w:left="2146" w:hanging="342"/>
      </w:pPr>
      <w:rPr>
        <w:rFonts w:hint="default"/>
      </w:rPr>
    </w:lvl>
    <w:lvl w:ilvl="3">
      <w:start w:val="0"/>
      <w:numFmt w:val="bullet"/>
      <w:lvlText w:val="•"/>
      <w:lvlJc w:val="left"/>
      <w:pPr>
        <w:ind w:left="3053" w:hanging="342"/>
      </w:pPr>
      <w:rPr>
        <w:rFonts w:hint="default"/>
      </w:rPr>
    </w:lvl>
    <w:lvl w:ilvl="4">
      <w:start w:val="0"/>
      <w:numFmt w:val="bullet"/>
      <w:lvlText w:val="•"/>
      <w:lvlJc w:val="left"/>
      <w:pPr>
        <w:ind w:left="3960" w:hanging="342"/>
      </w:pPr>
      <w:rPr>
        <w:rFonts w:hint="default"/>
      </w:rPr>
    </w:lvl>
    <w:lvl w:ilvl="5">
      <w:start w:val="0"/>
      <w:numFmt w:val="bullet"/>
      <w:lvlText w:val="•"/>
      <w:lvlJc w:val="left"/>
      <w:pPr>
        <w:ind w:left="4866" w:hanging="342"/>
      </w:pPr>
      <w:rPr>
        <w:rFonts w:hint="default"/>
      </w:rPr>
    </w:lvl>
    <w:lvl w:ilvl="6">
      <w:start w:val="0"/>
      <w:numFmt w:val="bullet"/>
      <w:lvlText w:val="•"/>
      <w:lvlJc w:val="left"/>
      <w:pPr>
        <w:ind w:left="5773" w:hanging="342"/>
      </w:pPr>
      <w:rPr>
        <w:rFonts w:hint="default"/>
      </w:rPr>
    </w:lvl>
    <w:lvl w:ilvl="7">
      <w:start w:val="0"/>
      <w:numFmt w:val="bullet"/>
      <w:lvlText w:val="•"/>
      <w:lvlJc w:val="left"/>
      <w:pPr>
        <w:ind w:left="6680" w:hanging="342"/>
      </w:pPr>
      <w:rPr>
        <w:rFonts w:hint="default"/>
      </w:rPr>
    </w:lvl>
    <w:lvl w:ilvl="8">
      <w:start w:val="0"/>
      <w:numFmt w:val="bullet"/>
      <w:lvlText w:val="•"/>
      <w:lvlJc w:val="left"/>
      <w:pPr>
        <w:ind w:left="7586" w:hanging="342"/>
      </w:pPr>
      <w:rPr>
        <w:rFonts w:hint="default"/>
      </w:rPr>
    </w:lvl>
  </w:abstractNum>
  <w:abstractNum w:abstractNumId="128">
    <w:multiLevelType w:val="hybridMultilevel"/>
    <w:lvl w:ilvl="0">
      <w:start w:val="1"/>
      <w:numFmt w:val="decimal"/>
      <w:lvlText w:val="%1."/>
      <w:lvlJc w:val="left"/>
      <w:pPr>
        <w:ind w:left="345" w:hanging="284"/>
        <w:jc w:val="left"/>
      </w:pPr>
      <w:rPr>
        <w:rFonts w:hint="default" w:ascii="Times New Roman" w:hAnsi="Times New Roman" w:eastAsia="Times New Roman" w:cs="Times New Roman"/>
        <w:spacing w:val="0"/>
        <w:w w:val="100"/>
        <w:sz w:val="16"/>
        <w:szCs w:val="16"/>
      </w:rPr>
    </w:lvl>
    <w:lvl w:ilvl="1">
      <w:start w:val="0"/>
      <w:numFmt w:val="bullet"/>
      <w:lvlText w:val="•"/>
      <w:lvlJc w:val="left"/>
      <w:pPr>
        <w:ind w:left="1204" w:hanging="284"/>
      </w:pPr>
      <w:rPr>
        <w:rFonts w:hint="default"/>
      </w:rPr>
    </w:lvl>
    <w:lvl w:ilvl="2">
      <w:start w:val="0"/>
      <w:numFmt w:val="bullet"/>
      <w:lvlText w:val="•"/>
      <w:lvlJc w:val="left"/>
      <w:pPr>
        <w:ind w:left="2069" w:hanging="284"/>
      </w:pPr>
      <w:rPr>
        <w:rFonts w:hint="default"/>
      </w:rPr>
    </w:lvl>
    <w:lvl w:ilvl="3">
      <w:start w:val="0"/>
      <w:numFmt w:val="bullet"/>
      <w:lvlText w:val="•"/>
      <w:lvlJc w:val="left"/>
      <w:pPr>
        <w:ind w:left="2933" w:hanging="284"/>
      </w:pPr>
      <w:rPr>
        <w:rFonts w:hint="default"/>
      </w:rPr>
    </w:lvl>
    <w:lvl w:ilvl="4">
      <w:start w:val="0"/>
      <w:numFmt w:val="bullet"/>
      <w:lvlText w:val="•"/>
      <w:lvlJc w:val="left"/>
      <w:pPr>
        <w:ind w:left="3798" w:hanging="284"/>
      </w:pPr>
      <w:rPr>
        <w:rFonts w:hint="default"/>
      </w:rPr>
    </w:lvl>
    <w:lvl w:ilvl="5">
      <w:start w:val="0"/>
      <w:numFmt w:val="bullet"/>
      <w:lvlText w:val="•"/>
      <w:lvlJc w:val="left"/>
      <w:pPr>
        <w:ind w:left="4662" w:hanging="284"/>
      </w:pPr>
      <w:rPr>
        <w:rFonts w:hint="default"/>
      </w:rPr>
    </w:lvl>
    <w:lvl w:ilvl="6">
      <w:start w:val="0"/>
      <w:numFmt w:val="bullet"/>
      <w:lvlText w:val="•"/>
      <w:lvlJc w:val="left"/>
      <w:pPr>
        <w:ind w:left="5527" w:hanging="284"/>
      </w:pPr>
      <w:rPr>
        <w:rFonts w:hint="default"/>
      </w:rPr>
    </w:lvl>
    <w:lvl w:ilvl="7">
      <w:start w:val="0"/>
      <w:numFmt w:val="bullet"/>
      <w:lvlText w:val="•"/>
      <w:lvlJc w:val="left"/>
      <w:pPr>
        <w:ind w:left="6391" w:hanging="284"/>
      </w:pPr>
      <w:rPr>
        <w:rFonts w:hint="default"/>
      </w:rPr>
    </w:lvl>
    <w:lvl w:ilvl="8">
      <w:start w:val="0"/>
      <w:numFmt w:val="bullet"/>
      <w:lvlText w:val="•"/>
      <w:lvlJc w:val="left"/>
      <w:pPr>
        <w:ind w:left="7256" w:hanging="284"/>
      </w:pPr>
      <w:rPr>
        <w:rFonts w:hint="default"/>
      </w:rPr>
    </w:lvl>
  </w:abstractNum>
  <w:abstractNum w:abstractNumId="127">
    <w:multiLevelType w:val="hybridMultilevel"/>
    <w:lvl w:ilvl="0">
      <w:start w:val="1"/>
      <w:numFmt w:val="lowerRoman"/>
      <w:lvlText w:val="(%1)"/>
      <w:lvlJc w:val="left"/>
      <w:pPr>
        <w:ind w:left="725" w:hanging="567"/>
        <w:jc w:val="left"/>
      </w:pPr>
      <w:rPr>
        <w:rFonts w:hint="default" w:ascii="Times New Roman" w:hAnsi="Times New Roman" w:eastAsia="Times New Roman" w:cs="Times New Roman"/>
        <w:spacing w:val="-1"/>
        <w:w w:val="99"/>
        <w:sz w:val="20"/>
        <w:szCs w:val="20"/>
      </w:rPr>
    </w:lvl>
    <w:lvl w:ilvl="1">
      <w:start w:val="0"/>
      <w:numFmt w:val="bullet"/>
      <w:lvlText w:val="•"/>
      <w:lvlJc w:val="left"/>
      <w:pPr>
        <w:ind w:left="1588" w:hanging="567"/>
      </w:pPr>
      <w:rPr>
        <w:rFonts w:hint="default"/>
      </w:rPr>
    </w:lvl>
    <w:lvl w:ilvl="2">
      <w:start w:val="0"/>
      <w:numFmt w:val="bullet"/>
      <w:lvlText w:val="•"/>
      <w:lvlJc w:val="left"/>
      <w:pPr>
        <w:ind w:left="2456" w:hanging="567"/>
      </w:pPr>
      <w:rPr>
        <w:rFonts w:hint="default"/>
      </w:rPr>
    </w:lvl>
    <w:lvl w:ilvl="3">
      <w:start w:val="0"/>
      <w:numFmt w:val="bullet"/>
      <w:lvlText w:val="•"/>
      <w:lvlJc w:val="left"/>
      <w:pPr>
        <w:ind w:left="3324" w:hanging="567"/>
      </w:pPr>
      <w:rPr>
        <w:rFonts w:hint="default"/>
      </w:rPr>
    </w:lvl>
    <w:lvl w:ilvl="4">
      <w:start w:val="0"/>
      <w:numFmt w:val="bullet"/>
      <w:lvlText w:val="•"/>
      <w:lvlJc w:val="left"/>
      <w:pPr>
        <w:ind w:left="4192" w:hanging="567"/>
      </w:pPr>
      <w:rPr>
        <w:rFonts w:hint="default"/>
      </w:rPr>
    </w:lvl>
    <w:lvl w:ilvl="5">
      <w:start w:val="0"/>
      <w:numFmt w:val="bullet"/>
      <w:lvlText w:val="•"/>
      <w:lvlJc w:val="left"/>
      <w:pPr>
        <w:ind w:left="5060" w:hanging="567"/>
      </w:pPr>
      <w:rPr>
        <w:rFonts w:hint="default"/>
      </w:rPr>
    </w:lvl>
    <w:lvl w:ilvl="6">
      <w:start w:val="0"/>
      <w:numFmt w:val="bullet"/>
      <w:lvlText w:val="•"/>
      <w:lvlJc w:val="left"/>
      <w:pPr>
        <w:ind w:left="5928" w:hanging="567"/>
      </w:pPr>
      <w:rPr>
        <w:rFonts w:hint="default"/>
      </w:rPr>
    </w:lvl>
    <w:lvl w:ilvl="7">
      <w:start w:val="0"/>
      <w:numFmt w:val="bullet"/>
      <w:lvlText w:val="•"/>
      <w:lvlJc w:val="left"/>
      <w:pPr>
        <w:ind w:left="6796" w:hanging="567"/>
      </w:pPr>
      <w:rPr>
        <w:rFonts w:hint="default"/>
      </w:rPr>
    </w:lvl>
    <w:lvl w:ilvl="8">
      <w:start w:val="0"/>
      <w:numFmt w:val="bullet"/>
      <w:lvlText w:val="•"/>
      <w:lvlJc w:val="left"/>
      <w:pPr>
        <w:ind w:left="7664" w:hanging="567"/>
      </w:pPr>
      <w:rPr>
        <w:rFonts w:hint="default"/>
      </w:rPr>
    </w:lvl>
  </w:abstractNum>
  <w:abstractNum w:abstractNumId="126">
    <w:multiLevelType w:val="hybridMultilevel"/>
    <w:lvl w:ilvl="0">
      <w:start w:val="4"/>
      <w:numFmt w:val="decimal"/>
      <w:lvlText w:val="%1"/>
      <w:lvlJc w:val="left"/>
      <w:pPr>
        <w:ind w:left="1361" w:hanging="1203"/>
        <w:jc w:val="left"/>
      </w:pPr>
      <w:rPr>
        <w:rFonts w:hint="default"/>
      </w:rPr>
    </w:lvl>
    <w:lvl w:ilvl="1">
      <w:start w:val="2"/>
      <w:numFmt w:val="decimal"/>
      <w:lvlText w:val="%1.%2"/>
      <w:lvlJc w:val="left"/>
      <w:pPr>
        <w:ind w:left="1361" w:hanging="1203"/>
        <w:jc w:val="left"/>
      </w:pPr>
      <w:rPr>
        <w:rFonts w:hint="default"/>
      </w:rPr>
    </w:lvl>
    <w:lvl w:ilvl="2">
      <w:start w:val="1"/>
      <w:numFmt w:val="decimal"/>
      <w:lvlText w:val="%1.%2.%3"/>
      <w:lvlJc w:val="left"/>
      <w:pPr>
        <w:ind w:left="136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59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311" w:hanging="1152"/>
        <w:jc w:val="left"/>
      </w:pPr>
      <w:rPr>
        <w:rFonts w:hint="default" w:ascii="Times New Roman" w:hAnsi="Times New Roman" w:eastAsia="Times New Roman" w:cs="Times New Roman"/>
        <w:b/>
        <w:bCs/>
        <w:spacing w:val="-34"/>
        <w:w w:val="100"/>
        <w:sz w:val="22"/>
        <w:szCs w:val="22"/>
      </w:rPr>
    </w:lvl>
    <w:lvl w:ilvl="5">
      <w:start w:val="0"/>
      <w:numFmt w:val="bullet"/>
      <w:lvlText w:val="•"/>
      <w:lvlJc w:val="left"/>
      <w:pPr>
        <w:ind w:left="4525" w:hanging="1152"/>
      </w:pPr>
      <w:rPr>
        <w:rFonts w:hint="default"/>
      </w:rPr>
    </w:lvl>
    <w:lvl w:ilvl="6">
      <w:start w:val="0"/>
      <w:numFmt w:val="bullet"/>
      <w:lvlText w:val="•"/>
      <w:lvlJc w:val="left"/>
      <w:pPr>
        <w:ind w:left="5500" w:hanging="1152"/>
      </w:pPr>
      <w:rPr>
        <w:rFonts w:hint="default"/>
      </w:rPr>
    </w:lvl>
    <w:lvl w:ilvl="7">
      <w:start w:val="0"/>
      <w:numFmt w:val="bullet"/>
      <w:lvlText w:val="•"/>
      <w:lvlJc w:val="left"/>
      <w:pPr>
        <w:ind w:left="6475" w:hanging="1152"/>
      </w:pPr>
      <w:rPr>
        <w:rFonts w:hint="default"/>
      </w:rPr>
    </w:lvl>
    <w:lvl w:ilvl="8">
      <w:start w:val="0"/>
      <w:numFmt w:val="bullet"/>
      <w:lvlText w:val="•"/>
      <w:lvlJc w:val="left"/>
      <w:pPr>
        <w:ind w:left="7450" w:hanging="1152"/>
      </w:pPr>
      <w:rPr>
        <w:rFonts w:hint="default"/>
      </w:rPr>
    </w:lvl>
  </w:abstractNum>
  <w:abstractNum w:abstractNumId="125">
    <w:multiLevelType w:val="hybridMultilevel"/>
    <w:lvl w:ilvl="0">
      <w:start w:val="1"/>
      <w:numFmt w:val="lowerRoman"/>
      <w:lvlText w:val="(%1)"/>
      <w:lvlJc w:val="left"/>
      <w:pPr>
        <w:ind w:left="826" w:hanging="214"/>
        <w:jc w:val="left"/>
      </w:pPr>
      <w:rPr>
        <w:rFonts w:hint="default" w:ascii="Times New Roman" w:hAnsi="Times New Roman" w:eastAsia="Times New Roman" w:cs="Times New Roman"/>
        <w:i/>
        <w:spacing w:val="-3"/>
        <w:w w:val="100"/>
        <w:sz w:val="18"/>
        <w:szCs w:val="18"/>
      </w:rPr>
    </w:lvl>
    <w:lvl w:ilvl="1">
      <w:start w:val="0"/>
      <w:numFmt w:val="bullet"/>
      <w:lvlText w:val="•"/>
      <w:lvlJc w:val="left"/>
      <w:pPr>
        <w:ind w:left="1678" w:hanging="214"/>
      </w:pPr>
      <w:rPr>
        <w:rFonts w:hint="default"/>
      </w:rPr>
    </w:lvl>
    <w:lvl w:ilvl="2">
      <w:start w:val="0"/>
      <w:numFmt w:val="bullet"/>
      <w:lvlText w:val="•"/>
      <w:lvlJc w:val="left"/>
      <w:pPr>
        <w:ind w:left="2536" w:hanging="214"/>
      </w:pPr>
      <w:rPr>
        <w:rFonts w:hint="default"/>
      </w:rPr>
    </w:lvl>
    <w:lvl w:ilvl="3">
      <w:start w:val="0"/>
      <w:numFmt w:val="bullet"/>
      <w:lvlText w:val="•"/>
      <w:lvlJc w:val="left"/>
      <w:pPr>
        <w:ind w:left="3394" w:hanging="214"/>
      </w:pPr>
      <w:rPr>
        <w:rFonts w:hint="default"/>
      </w:rPr>
    </w:lvl>
    <w:lvl w:ilvl="4">
      <w:start w:val="0"/>
      <w:numFmt w:val="bullet"/>
      <w:lvlText w:val="•"/>
      <w:lvlJc w:val="left"/>
      <w:pPr>
        <w:ind w:left="4252" w:hanging="214"/>
      </w:pPr>
      <w:rPr>
        <w:rFonts w:hint="default"/>
      </w:rPr>
    </w:lvl>
    <w:lvl w:ilvl="5">
      <w:start w:val="0"/>
      <w:numFmt w:val="bullet"/>
      <w:lvlText w:val="•"/>
      <w:lvlJc w:val="left"/>
      <w:pPr>
        <w:ind w:left="5110" w:hanging="214"/>
      </w:pPr>
      <w:rPr>
        <w:rFonts w:hint="default"/>
      </w:rPr>
    </w:lvl>
    <w:lvl w:ilvl="6">
      <w:start w:val="0"/>
      <w:numFmt w:val="bullet"/>
      <w:lvlText w:val="•"/>
      <w:lvlJc w:val="left"/>
      <w:pPr>
        <w:ind w:left="5968" w:hanging="214"/>
      </w:pPr>
      <w:rPr>
        <w:rFonts w:hint="default"/>
      </w:rPr>
    </w:lvl>
    <w:lvl w:ilvl="7">
      <w:start w:val="0"/>
      <w:numFmt w:val="bullet"/>
      <w:lvlText w:val="•"/>
      <w:lvlJc w:val="left"/>
      <w:pPr>
        <w:ind w:left="6826" w:hanging="214"/>
      </w:pPr>
      <w:rPr>
        <w:rFonts w:hint="default"/>
      </w:rPr>
    </w:lvl>
    <w:lvl w:ilvl="8">
      <w:start w:val="0"/>
      <w:numFmt w:val="bullet"/>
      <w:lvlText w:val="•"/>
      <w:lvlJc w:val="left"/>
      <w:pPr>
        <w:ind w:left="7684" w:hanging="214"/>
      </w:pPr>
      <w:rPr>
        <w:rFonts w:hint="default"/>
      </w:rPr>
    </w:lvl>
  </w:abstractNum>
  <w:abstractNum w:abstractNumId="124">
    <w:multiLevelType w:val="hybridMultilevel"/>
    <w:lvl w:ilvl="0">
      <w:start w:val="4"/>
      <w:numFmt w:val="decimal"/>
      <w:lvlText w:val="%1"/>
      <w:lvlJc w:val="left"/>
      <w:pPr>
        <w:ind w:left="1361" w:hanging="1203"/>
        <w:jc w:val="left"/>
      </w:pPr>
      <w:rPr>
        <w:rFonts w:hint="default"/>
      </w:rPr>
    </w:lvl>
    <w:lvl w:ilvl="1">
      <w:start w:val="1"/>
      <w:numFmt w:val="decimal"/>
      <w:lvlText w:val="%1.%2"/>
      <w:lvlJc w:val="left"/>
      <w:pPr>
        <w:ind w:left="1361" w:hanging="1203"/>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36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3772" w:hanging="1203"/>
      </w:pPr>
      <w:rPr>
        <w:rFonts w:hint="default"/>
      </w:rPr>
    </w:lvl>
    <w:lvl w:ilvl="4">
      <w:start w:val="0"/>
      <w:numFmt w:val="bullet"/>
      <w:lvlText w:val="•"/>
      <w:lvlJc w:val="left"/>
      <w:pPr>
        <w:ind w:left="4576" w:hanging="1203"/>
      </w:pPr>
      <w:rPr>
        <w:rFonts w:hint="default"/>
      </w:rPr>
    </w:lvl>
    <w:lvl w:ilvl="5">
      <w:start w:val="0"/>
      <w:numFmt w:val="bullet"/>
      <w:lvlText w:val="•"/>
      <w:lvlJc w:val="left"/>
      <w:pPr>
        <w:ind w:left="5380" w:hanging="1203"/>
      </w:pPr>
      <w:rPr>
        <w:rFonts w:hint="default"/>
      </w:rPr>
    </w:lvl>
    <w:lvl w:ilvl="6">
      <w:start w:val="0"/>
      <w:numFmt w:val="bullet"/>
      <w:lvlText w:val="•"/>
      <w:lvlJc w:val="left"/>
      <w:pPr>
        <w:ind w:left="6184" w:hanging="1203"/>
      </w:pPr>
      <w:rPr>
        <w:rFonts w:hint="default"/>
      </w:rPr>
    </w:lvl>
    <w:lvl w:ilvl="7">
      <w:start w:val="0"/>
      <w:numFmt w:val="bullet"/>
      <w:lvlText w:val="•"/>
      <w:lvlJc w:val="left"/>
      <w:pPr>
        <w:ind w:left="6988" w:hanging="1203"/>
      </w:pPr>
      <w:rPr>
        <w:rFonts w:hint="default"/>
      </w:rPr>
    </w:lvl>
    <w:lvl w:ilvl="8">
      <w:start w:val="0"/>
      <w:numFmt w:val="bullet"/>
      <w:lvlText w:val="•"/>
      <w:lvlJc w:val="left"/>
      <w:pPr>
        <w:ind w:left="7792" w:hanging="1203"/>
      </w:pPr>
      <w:rPr>
        <w:rFonts w:hint="default"/>
      </w:rPr>
    </w:lvl>
  </w:abstractNum>
  <w:abstractNum w:abstractNumId="123">
    <w:multiLevelType w:val="hybridMultilevel"/>
    <w:lvl w:ilvl="0">
      <w:start w:val="4"/>
      <w:numFmt w:val="decimal"/>
      <w:lvlText w:val="%1"/>
      <w:lvlJc w:val="left"/>
      <w:pPr>
        <w:ind w:left="1178" w:hanging="736"/>
        <w:jc w:val="left"/>
      </w:pPr>
      <w:rPr>
        <w:rFonts w:hint="default"/>
      </w:rPr>
    </w:lvl>
    <w:lvl w:ilvl="1">
      <w:start w:val="3"/>
      <w:numFmt w:val="decimal"/>
      <w:lvlText w:val="%1.%2"/>
      <w:lvlJc w:val="left"/>
      <w:pPr>
        <w:ind w:left="1178" w:hanging="736"/>
        <w:jc w:val="left"/>
      </w:pPr>
      <w:rPr>
        <w:rFonts w:hint="default"/>
      </w:rPr>
    </w:lvl>
    <w:lvl w:ilvl="2">
      <w:start w:val="1"/>
      <w:numFmt w:val="decimal"/>
      <w:lvlText w:val="%1.%2.%3"/>
      <w:lvlJc w:val="left"/>
      <w:pPr>
        <w:ind w:left="1178" w:hanging="736"/>
        <w:jc w:val="left"/>
      </w:pPr>
      <w:rPr>
        <w:rFonts w:hint="default" w:ascii="Times New Roman" w:hAnsi="Times New Roman" w:eastAsia="Times New Roman" w:cs="Times New Roman"/>
        <w:w w:val="99"/>
        <w:sz w:val="20"/>
        <w:szCs w:val="20"/>
      </w:rPr>
    </w:lvl>
    <w:lvl w:ilvl="3">
      <w:start w:val="1"/>
      <w:numFmt w:val="decimal"/>
      <w:lvlText w:val="%1.%2.%3.%4"/>
      <w:lvlJc w:val="left"/>
      <w:pPr>
        <w:ind w:left="1614" w:hanging="735"/>
        <w:jc w:val="left"/>
      </w:pPr>
      <w:rPr>
        <w:rFonts w:hint="default" w:ascii="Times New Roman" w:hAnsi="Times New Roman" w:eastAsia="Times New Roman" w:cs="Times New Roman"/>
        <w:spacing w:val="-2"/>
        <w:w w:val="99"/>
        <w:sz w:val="20"/>
        <w:szCs w:val="20"/>
      </w:rPr>
    </w:lvl>
    <w:lvl w:ilvl="4">
      <w:start w:val="0"/>
      <w:numFmt w:val="bullet"/>
      <w:lvlText w:val="•"/>
      <w:lvlJc w:val="left"/>
      <w:pPr>
        <w:ind w:left="4213" w:hanging="735"/>
      </w:pPr>
      <w:rPr>
        <w:rFonts w:hint="default"/>
      </w:rPr>
    </w:lvl>
    <w:lvl w:ilvl="5">
      <w:start w:val="0"/>
      <w:numFmt w:val="bullet"/>
      <w:lvlText w:val="•"/>
      <w:lvlJc w:val="left"/>
      <w:pPr>
        <w:ind w:left="5077" w:hanging="735"/>
      </w:pPr>
      <w:rPr>
        <w:rFonts w:hint="default"/>
      </w:rPr>
    </w:lvl>
    <w:lvl w:ilvl="6">
      <w:start w:val="0"/>
      <w:numFmt w:val="bullet"/>
      <w:lvlText w:val="•"/>
      <w:lvlJc w:val="left"/>
      <w:pPr>
        <w:ind w:left="5942" w:hanging="735"/>
      </w:pPr>
      <w:rPr>
        <w:rFonts w:hint="default"/>
      </w:rPr>
    </w:lvl>
    <w:lvl w:ilvl="7">
      <w:start w:val="0"/>
      <w:numFmt w:val="bullet"/>
      <w:lvlText w:val="•"/>
      <w:lvlJc w:val="left"/>
      <w:pPr>
        <w:ind w:left="6806" w:hanging="735"/>
      </w:pPr>
      <w:rPr>
        <w:rFonts w:hint="default"/>
      </w:rPr>
    </w:lvl>
    <w:lvl w:ilvl="8">
      <w:start w:val="0"/>
      <w:numFmt w:val="bullet"/>
      <w:lvlText w:val="•"/>
      <w:lvlJc w:val="left"/>
      <w:pPr>
        <w:ind w:left="7671" w:hanging="735"/>
      </w:pPr>
      <w:rPr>
        <w:rFonts w:hint="default"/>
      </w:rPr>
    </w:lvl>
  </w:abstractNum>
  <w:abstractNum w:abstractNumId="122">
    <w:multiLevelType w:val="hybridMultilevel"/>
    <w:lvl w:ilvl="0">
      <w:start w:val="4"/>
      <w:numFmt w:val="decimal"/>
      <w:lvlText w:val="%1"/>
      <w:lvlJc w:val="left"/>
      <w:pPr>
        <w:ind w:left="1614" w:hanging="735"/>
        <w:jc w:val="left"/>
      </w:pPr>
      <w:rPr>
        <w:rFonts w:hint="default"/>
      </w:rPr>
    </w:lvl>
    <w:lvl w:ilvl="1">
      <w:start w:val="2"/>
      <w:numFmt w:val="decimal"/>
      <w:lvlText w:val="%1.%2"/>
      <w:lvlJc w:val="left"/>
      <w:pPr>
        <w:ind w:left="1614" w:hanging="735"/>
        <w:jc w:val="right"/>
      </w:pPr>
      <w:rPr>
        <w:rFonts w:hint="default"/>
      </w:rPr>
    </w:lvl>
    <w:lvl w:ilvl="2">
      <w:start w:val="4"/>
      <w:numFmt w:val="decimal"/>
      <w:lvlText w:val="%1.%2.%3"/>
      <w:lvlJc w:val="left"/>
      <w:pPr>
        <w:ind w:left="1614" w:hanging="735"/>
        <w:jc w:val="right"/>
      </w:pPr>
      <w:rPr>
        <w:rFonts w:hint="default"/>
      </w:rPr>
    </w:lvl>
    <w:lvl w:ilvl="3">
      <w:start w:val="1"/>
      <w:numFmt w:val="decimal"/>
      <w:lvlText w:val="%1.%2.%3.%4"/>
      <w:lvlJc w:val="left"/>
      <w:pPr>
        <w:ind w:left="1614" w:hanging="735"/>
        <w:jc w:val="left"/>
      </w:pPr>
      <w:rPr>
        <w:rFonts w:hint="default" w:ascii="Times New Roman" w:hAnsi="Times New Roman" w:eastAsia="Times New Roman" w:cs="Times New Roman"/>
        <w:spacing w:val="-2"/>
        <w:w w:val="99"/>
        <w:sz w:val="20"/>
        <w:szCs w:val="20"/>
      </w:rPr>
    </w:lvl>
    <w:lvl w:ilvl="4">
      <w:start w:val="0"/>
      <w:numFmt w:val="bullet"/>
      <w:lvlText w:val="•"/>
      <w:lvlJc w:val="left"/>
      <w:pPr>
        <w:ind w:left="4732" w:hanging="735"/>
      </w:pPr>
      <w:rPr>
        <w:rFonts w:hint="default"/>
      </w:rPr>
    </w:lvl>
    <w:lvl w:ilvl="5">
      <w:start w:val="0"/>
      <w:numFmt w:val="bullet"/>
      <w:lvlText w:val="•"/>
      <w:lvlJc w:val="left"/>
      <w:pPr>
        <w:ind w:left="5510" w:hanging="735"/>
      </w:pPr>
      <w:rPr>
        <w:rFonts w:hint="default"/>
      </w:rPr>
    </w:lvl>
    <w:lvl w:ilvl="6">
      <w:start w:val="0"/>
      <w:numFmt w:val="bullet"/>
      <w:lvlText w:val="•"/>
      <w:lvlJc w:val="left"/>
      <w:pPr>
        <w:ind w:left="6288" w:hanging="735"/>
      </w:pPr>
      <w:rPr>
        <w:rFonts w:hint="default"/>
      </w:rPr>
    </w:lvl>
    <w:lvl w:ilvl="7">
      <w:start w:val="0"/>
      <w:numFmt w:val="bullet"/>
      <w:lvlText w:val="•"/>
      <w:lvlJc w:val="left"/>
      <w:pPr>
        <w:ind w:left="7066" w:hanging="735"/>
      </w:pPr>
      <w:rPr>
        <w:rFonts w:hint="default"/>
      </w:rPr>
    </w:lvl>
    <w:lvl w:ilvl="8">
      <w:start w:val="0"/>
      <w:numFmt w:val="bullet"/>
      <w:lvlText w:val="•"/>
      <w:lvlJc w:val="left"/>
      <w:pPr>
        <w:ind w:left="7844" w:hanging="735"/>
      </w:pPr>
      <w:rPr>
        <w:rFonts w:hint="default"/>
      </w:rPr>
    </w:lvl>
  </w:abstractNum>
  <w:abstractNum w:abstractNumId="121">
    <w:multiLevelType w:val="hybridMultilevel"/>
    <w:lvl w:ilvl="0">
      <w:start w:val="4"/>
      <w:numFmt w:val="decimal"/>
      <w:lvlText w:val="%1"/>
      <w:lvlJc w:val="left"/>
      <w:pPr>
        <w:ind w:left="1614" w:hanging="736"/>
        <w:jc w:val="left"/>
      </w:pPr>
      <w:rPr>
        <w:rFonts w:hint="default"/>
      </w:rPr>
    </w:lvl>
    <w:lvl w:ilvl="1">
      <w:start w:val="2"/>
      <w:numFmt w:val="decimal"/>
      <w:lvlText w:val="%1.%2"/>
      <w:lvlJc w:val="left"/>
      <w:pPr>
        <w:ind w:left="1614" w:hanging="736"/>
        <w:jc w:val="left"/>
      </w:pPr>
      <w:rPr>
        <w:rFonts w:hint="default"/>
      </w:rPr>
    </w:lvl>
    <w:lvl w:ilvl="2">
      <w:start w:val="3"/>
      <w:numFmt w:val="decimal"/>
      <w:lvlText w:val="%1.%2.%3"/>
      <w:lvlJc w:val="left"/>
      <w:pPr>
        <w:ind w:left="1614" w:hanging="736"/>
        <w:jc w:val="right"/>
      </w:pPr>
      <w:rPr>
        <w:rFonts w:hint="default"/>
      </w:rPr>
    </w:lvl>
    <w:lvl w:ilvl="3">
      <w:start w:val="4"/>
      <w:numFmt w:val="decimal"/>
      <w:lvlText w:val="%1.%2.%3.%4"/>
      <w:lvlJc w:val="left"/>
      <w:pPr>
        <w:ind w:left="1614" w:hanging="736"/>
        <w:jc w:val="left"/>
      </w:pPr>
      <w:rPr>
        <w:rFonts w:hint="default" w:ascii="Times New Roman" w:hAnsi="Times New Roman" w:eastAsia="Times New Roman" w:cs="Times New Roman"/>
        <w:spacing w:val="-2"/>
        <w:w w:val="99"/>
        <w:sz w:val="20"/>
        <w:szCs w:val="20"/>
      </w:rPr>
    </w:lvl>
    <w:lvl w:ilvl="4">
      <w:start w:val="0"/>
      <w:numFmt w:val="bullet"/>
      <w:lvlText w:val="•"/>
      <w:lvlJc w:val="left"/>
      <w:pPr>
        <w:ind w:left="4732" w:hanging="736"/>
      </w:pPr>
      <w:rPr>
        <w:rFonts w:hint="default"/>
      </w:rPr>
    </w:lvl>
    <w:lvl w:ilvl="5">
      <w:start w:val="0"/>
      <w:numFmt w:val="bullet"/>
      <w:lvlText w:val="•"/>
      <w:lvlJc w:val="left"/>
      <w:pPr>
        <w:ind w:left="5510" w:hanging="736"/>
      </w:pPr>
      <w:rPr>
        <w:rFonts w:hint="default"/>
      </w:rPr>
    </w:lvl>
    <w:lvl w:ilvl="6">
      <w:start w:val="0"/>
      <w:numFmt w:val="bullet"/>
      <w:lvlText w:val="•"/>
      <w:lvlJc w:val="left"/>
      <w:pPr>
        <w:ind w:left="6288" w:hanging="736"/>
      </w:pPr>
      <w:rPr>
        <w:rFonts w:hint="default"/>
      </w:rPr>
    </w:lvl>
    <w:lvl w:ilvl="7">
      <w:start w:val="0"/>
      <w:numFmt w:val="bullet"/>
      <w:lvlText w:val="•"/>
      <w:lvlJc w:val="left"/>
      <w:pPr>
        <w:ind w:left="7066" w:hanging="736"/>
      </w:pPr>
      <w:rPr>
        <w:rFonts w:hint="default"/>
      </w:rPr>
    </w:lvl>
    <w:lvl w:ilvl="8">
      <w:start w:val="0"/>
      <w:numFmt w:val="bullet"/>
      <w:lvlText w:val="•"/>
      <w:lvlJc w:val="left"/>
      <w:pPr>
        <w:ind w:left="7844" w:hanging="736"/>
      </w:pPr>
      <w:rPr>
        <w:rFonts w:hint="default"/>
      </w:rPr>
    </w:lvl>
  </w:abstractNum>
  <w:abstractNum w:abstractNumId="120">
    <w:multiLevelType w:val="hybridMultilevel"/>
    <w:lvl w:ilvl="0">
      <w:start w:val="4"/>
      <w:numFmt w:val="decimal"/>
      <w:lvlText w:val="%1"/>
      <w:lvlJc w:val="left"/>
      <w:pPr>
        <w:ind w:left="1179" w:hanging="1021"/>
        <w:jc w:val="left"/>
      </w:pPr>
      <w:rPr>
        <w:rFonts w:hint="default"/>
      </w:rPr>
    </w:lvl>
    <w:lvl w:ilvl="1">
      <w:start w:val="1"/>
      <w:numFmt w:val="decimal"/>
      <w:lvlText w:val="%1.%2"/>
      <w:lvlJc w:val="left"/>
      <w:pPr>
        <w:ind w:left="1179" w:hanging="1021"/>
        <w:jc w:val="left"/>
      </w:pPr>
      <w:rPr>
        <w:rFonts w:hint="default" w:ascii="Times New Roman" w:hAnsi="Times New Roman" w:eastAsia="Times New Roman" w:cs="Times New Roman"/>
        <w:b/>
        <w:bCs/>
        <w:spacing w:val="0"/>
        <w:w w:val="99"/>
        <w:sz w:val="20"/>
        <w:szCs w:val="20"/>
      </w:rPr>
    </w:lvl>
    <w:lvl w:ilvl="2">
      <w:start w:val="1"/>
      <w:numFmt w:val="decimal"/>
      <w:lvlText w:val="%1.%2.%3"/>
      <w:lvlJc w:val="left"/>
      <w:pPr>
        <w:ind w:left="1179" w:hanging="737"/>
        <w:jc w:val="left"/>
      </w:pPr>
      <w:rPr>
        <w:rFonts w:hint="default" w:ascii="Times New Roman" w:hAnsi="Times New Roman" w:eastAsia="Times New Roman" w:cs="Times New Roman"/>
        <w:spacing w:val="0"/>
        <w:w w:val="99"/>
        <w:sz w:val="20"/>
        <w:szCs w:val="20"/>
      </w:rPr>
    </w:lvl>
    <w:lvl w:ilvl="3">
      <w:start w:val="1"/>
      <w:numFmt w:val="decimal"/>
      <w:lvlText w:val="%1.%2.%3.%4"/>
      <w:lvlJc w:val="left"/>
      <w:pPr>
        <w:ind w:left="1613" w:hanging="735"/>
        <w:jc w:val="left"/>
      </w:pPr>
      <w:rPr>
        <w:rFonts w:hint="default" w:ascii="Times New Roman" w:hAnsi="Times New Roman" w:eastAsia="Times New Roman" w:cs="Times New Roman"/>
        <w:spacing w:val="-2"/>
        <w:w w:val="99"/>
        <w:sz w:val="20"/>
        <w:szCs w:val="20"/>
      </w:rPr>
    </w:lvl>
    <w:lvl w:ilvl="4">
      <w:start w:val="0"/>
      <w:numFmt w:val="bullet"/>
      <w:lvlText w:val="•"/>
      <w:lvlJc w:val="left"/>
      <w:pPr>
        <w:ind w:left="4213" w:hanging="735"/>
      </w:pPr>
      <w:rPr>
        <w:rFonts w:hint="default"/>
      </w:rPr>
    </w:lvl>
    <w:lvl w:ilvl="5">
      <w:start w:val="0"/>
      <w:numFmt w:val="bullet"/>
      <w:lvlText w:val="•"/>
      <w:lvlJc w:val="left"/>
      <w:pPr>
        <w:ind w:left="5077" w:hanging="735"/>
      </w:pPr>
      <w:rPr>
        <w:rFonts w:hint="default"/>
      </w:rPr>
    </w:lvl>
    <w:lvl w:ilvl="6">
      <w:start w:val="0"/>
      <w:numFmt w:val="bullet"/>
      <w:lvlText w:val="•"/>
      <w:lvlJc w:val="left"/>
      <w:pPr>
        <w:ind w:left="5942" w:hanging="735"/>
      </w:pPr>
      <w:rPr>
        <w:rFonts w:hint="default"/>
      </w:rPr>
    </w:lvl>
    <w:lvl w:ilvl="7">
      <w:start w:val="0"/>
      <w:numFmt w:val="bullet"/>
      <w:lvlText w:val="•"/>
      <w:lvlJc w:val="left"/>
      <w:pPr>
        <w:ind w:left="6806" w:hanging="735"/>
      </w:pPr>
      <w:rPr>
        <w:rFonts w:hint="default"/>
      </w:rPr>
    </w:lvl>
    <w:lvl w:ilvl="8">
      <w:start w:val="0"/>
      <w:numFmt w:val="bullet"/>
      <w:lvlText w:val="•"/>
      <w:lvlJc w:val="left"/>
      <w:pPr>
        <w:ind w:left="7671" w:hanging="735"/>
      </w:pPr>
      <w:rPr>
        <w:rFonts w:hint="default"/>
      </w:rPr>
    </w:lvl>
  </w:abstractNum>
  <w:abstractNum w:abstractNumId="119">
    <w:multiLevelType w:val="hybridMultilevel"/>
    <w:lvl w:ilvl="0">
      <w:start w:val="0"/>
      <w:numFmt w:val="bullet"/>
      <w:lvlText w:val="●"/>
      <w:lvlJc w:val="left"/>
      <w:pPr>
        <w:ind w:left="3530" w:hanging="171"/>
      </w:pPr>
      <w:rPr>
        <w:rFonts w:hint="default" w:ascii="Times New Roman" w:hAnsi="Times New Roman" w:eastAsia="Times New Roman" w:cs="Times New Roman"/>
        <w:w w:val="99"/>
        <w:sz w:val="20"/>
        <w:szCs w:val="20"/>
      </w:rPr>
    </w:lvl>
    <w:lvl w:ilvl="1">
      <w:start w:val="0"/>
      <w:numFmt w:val="bullet"/>
      <w:lvlText w:val="•"/>
      <w:lvlJc w:val="left"/>
      <w:pPr>
        <w:ind w:left="4006" w:hanging="171"/>
      </w:pPr>
      <w:rPr>
        <w:rFonts w:hint="default"/>
      </w:rPr>
    </w:lvl>
    <w:lvl w:ilvl="2">
      <w:start w:val="0"/>
      <w:numFmt w:val="bullet"/>
      <w:lvlText w:val="•"/>
      <w:lvlJc w:val="left"/>
      <w:pPr>
        <w:ind w:left="4472" w:hanging="171"/>
      </w:pPr>
      <w:rPr>
        <w:rFonts w:hint="default"/>
      </w:rPr>
    </w:lvl>
    <w:lvl w:ilvl="3">
      <w:start w:val="0"/>
      <w:numFmt w:val="bullet"/>
      <w:lvlText w:val="•"/>
      <w:lvlJc w:val="left"/>
      <w:pPr>
        <w:ind w:left="4938" w:hanging="171"/>
      </w:pPr>
      <w:rPr>
        <w:rFonts w:hint="default"/>
      </w:rPr>
    </w:lvl>
    <w:lvl w:ilvl="4">
      <w:start w:val="0"/>
      <w:numFmt w:val="bullet"/>
      <w:lvlText w:val="•"/>
      <w:lvlJc w:val="left"/>
      <w:pPr>
        <w:ind w:left="5404" w:hanging="171"/>
      </w:pPr>
      <w:rPr>
        <w:rFonts w:hint="default"/>
      </w:rPr>
    </w:lvl>
    <w:lvl w:ilvl="5">
      <w:start w:val="0"/>
      <w:numFmt w:val="bullet"/>
      <w:lvlText w:val="•"/>
      <w:lvlJc w:val="left"/>
      <w:pPr>
        <w:ind w:left="5870" w:hanging="171"/>
      </w:pPr>
      <w:rPr>
        <w:rFonts w:hint="default"/>
      </w:rPr>
    </w:lvl>
    <w:lvl w:ilvl="6">
      <w:start w:val="0"/>
      <w:numFmt w:val="bullet"/>
      <w:lvlText w:val="•"/>
      <w:lvlJc w:val="left"/>
      <w:pPr>
        <w:ind w:left="6336" w:hanging="171"/>
      </w:pPr>
      <w:rPr>
        <w:rFonts w:hint="default"/>
      </w:rPr>
    </w:lvl>
    <w:lvl w:ilvl="7">
      <w:start w:val="0"/>
      <w:numFmt w:val="bullet"/>
      <w:lvlText w:val="•"/>
      <w:lvlJc w:val="left"/>
      <w:pPr>
        <w:ind w:left="6802" w:hanging="171"/>
      </w:pPr>
      <w:rPr>
        <w:rFonts w:hint="default"/>
      </w:rPr>
    </w:lvl>
    <w:lvl w:ilvl="8">
      <w:start w:val="0"/>
      <w:numFmt w:val="bullet"/>
      <w:lvlText w:val="•"/>
      <w:lvlJc w:val="left"/>
      <w:pPr>
        <w:ind w:left="7268" w:hanging="171"/>
      </w:pPr>
      <w:rPr>
        <w:rFonts w:hint="default"/>
      </w:rPr>
    </w:lvl>
  </w:abstractNum>
  <w:abstractNum w:abstractNumId="118">
    <w:multiLevelType w:val="hybridMultilevel"/>
    <w:lvl w:ilvl="0">
      <w:start w:val="3"/>
      <w:numFmt w:val="decimal"/>
      <w:lvlText w:val="%1"/>
      <w:lvlJc w:val="left"/>
      <w:pPr>
        <w:ind w:left="610" w:hanging="451"/>
        <w:jc w:val="left"/>
      </w:pPr>
      <w:rPr>
        <w:rFonts w:hint="default"/>
      </w:rPr>
    </w:lvl>
    <w:lvl w:ilvl="1">
      <w:start w:val="2"/>
      <w:numFmt w:val="decimal"/>
      <w:lvlText w:val="%1.%2"/>
      <w:lvlJc w:val="left"/>
      <w:pPr>
        <w:ind w:left="610" w:hanging="451"/>
        <w:jc w:val="left"/>
      </w:pPr>
      <w:rPr>
        <w:rFonts w:hint="default"/>
      </w:rPr>
    </w:lvl>
    <w:lvl w:ilvl="2">
      <w:start w:val="3"/>
      <w:numFmt w:val="decimal"/>
      <w:lvlText w:val="%1.%2.%3"/>
      <w:lvlJc w:val="left"/>
      <w:pPr>
        <w:ind w:left="610" w:hanging="451"/>
        <w:jc w:val="left"/>
      </w:pPr>
      <w:rPr>
        <w:rFonts w:hint="default" w:ascii="Times New Roman" w:hAnsi="Times New Roman" w:eastAsia="Times New Roman" w:cs="Times New Roman"/>
        <w:w w:val="99"/>
        <w:sz w:val="20"/>
        <w:szCs w:val="20"/>
      </w:rPr>
    </w:lvl>
    <w:lvl w:ilvl="3">
      <w:start w:val="0"/>
      <w:numFmt w:val="bullet"/>
      <w:lvlText w:val="•"/>
      <w:lvlJc w:val="left"/>
      <w:pPr>
        <w:ind w:left="3254" w:hanging="451"/>
      </w:pPr>
      <w:rPr>
        <w:rFonts w:hint="default"/>
      </w:rPr>
    </w:lvl>
    <w:lvl w:ilvl="4">
      <w:start w:val="0"/>
      <w:numFmt w:val="bullet"/>
      <w:lvlText w:val="•"/>
      <w:lvlJc w:val="left"/>
      <w:pPr>
        <w:ind w:left="4132" w:hanging="451"/>
      </w:pPr>
      <w:rPr>
        <w:rFonts w:hint="default"/>
      </w:rPr>
    </w:lvl>
    <w:lvl w:ilvl="5">
      <w:start w:val="0"/>
      <w:numFmt w:val="bullet"/>
      <w:lvlText w:val="•"/>
      <w:lvlJc w:val="left"/>
      <w:pPr>
        <w:ind w:left="5010" w:hanging="451"/>
      </w:pPr>
      <w:rPr>
        <w:rFonts w:hint="default"/>
      </w:rPr>
    </w:lvl>
    <w:lvl w:ilvl="6">
      <w:start w:val="0"/>
      <w:numFmt w:val="bullet"/>
      <w:lvlText w:val="•"/>
      <w:lvlJc w:val="left"/>
      <w:pPr>
        <w:ind w:left="5888" w:hanging="451"/>
      </w:pPr>
      <w:rPr>
        <w:rFonts w:hint="default"/>
      </w:rPr>
    </w:lvl>
    <w:lvl w:ilvl="7">
      <w:start w:val="0"/>
      <w:numFmt w:val="bullet"/>
      <w:lvlText w:val="•"/>
      <w:lvlJc w:val="left"/>
      <w:pPr>
        <w:ind w:left="6766" w:hanging="451"/>
      </w:pPr>
      <w:rPr>
        <w:rFonts w:hint="default"/>
      </w:rPr>
    </w:lvl>
    <w:lvl w:ilvl="8">
      <w:start w:val="0"/>
      <w:numFmt w:val="bullet"/>
      <w:lvlText w:val="•"/>
      <w:lvlJc w:val="left"/>
      <w:pPr>
        <w:ind w:left="7644" w:hanging="451"/>
      </w:pPr>
      <w:rPr>
        <w:rFonts w:hint="default"/>
      </w:rPr>
    </w:lvl>
  </w:abstractNum>
  <w:abstractNum w:abstractNumId="117">
    <w:multiLevelType w:val="hybridMultilevel"/>
    <w:lvl w:ilvl="0">
      <w:start w:val="0"/>
      <w:numFmt w:val="bullet"/>
      <w:lvlText w:val="•"/>
      <w:lvlJc w:val="left"/>
      <w:pPr>
        <w:ind w:left="141" w:hanging="142"/>
      </w:pPr>
      <w:rPr>
        <w:rFonts w:hint="default" w:ascii="Symbol" w:hAnsi="Symbol" w:eastAsia="Symbol" w:cs="Symbol"/>
        <w:w w:val="99"/>
        <w:sz w:val="20"/>
        <w:szCs w:val="20"/>
      </w:rPr>
    </w:lvl>
    <w:lvl w:ilvl="1">
      <w:start w:val="0"/>
      <w:numFmt w:val="bullet"/>
      <w:lvlText w:val="•"/>
      <w:lvlJc w:val="left"/>
      <w:pPr>
        <w:ind w:left="179" w:hanging="142"/>
      </w:pPr>
      <w:rPr>
        <w:rFonts w:hint="default"/>
      </w:rPr>
    </w:lvl>
    <w:lvl w:ilvl="2">
      <w:start w:val="0"/>
      <w:numFmt w:val="bullet"/>
      <w:lvlText w:val="•"/>
      <w:lvlJc w:val="left"/>
      <w:pPr>
        <w:ind w:left="219" w:hanging="142"/>
      </w:pPr>
      <w:rPr>
        <w:rFonts w:hint="default"/>
      </w:rPr>
    </w:lvl>
    <w:lvl w:ilvl="3">
      <w:start w:val="0"/>
      <w:numFmt w:val="bullet"/>
      <w:lvlText w:val="•"/>
      <w:lvlJc w:val="left"/>
      <w:pPr>
        <w:ind w:left="259" w:hanging="142"/>
      </w:pPr>
      <w:rPr>
        <w:rFonts w:hint="default"/>
      </w:rPr>
    </w:lvl>
    <w:lvl w:ilvl="4">
      <w:start w:val="0"/>
      <w:numFmt w:val="bullet"/>
      <w:lvlText w:val="•"/>
      <w:lvlJc w:val="left"/>
      <w:pPr>
        <w:ind w:left="299" w:hanging="142"/>
      </w:pPr>
      <w:rPr>
        <w:rFonts w:hint="default"/>
      </w:rPr>
    </w:lvl>
    <w:lvl w:ilvl="5">
      <w:start w:val="0"/>
      <w:numFmt w:val="bullet"/>
      <w:lvlText w:val="•"/>
      <w:lvlJc w:val="left"/>
      <w:pPr>
        <w:ind w:left="339" w:hanging="142"/>
      </w:pPr>
      <w:rPr>
        <w:rFonts w:hint="default"/>
      </w:rPr>
    </w:lvl>
    <w:lvl w:ilvl="6">
      <w:start w:val="0"/>
      <w:numFmt w:val="bullet"/>
      <w:lvlText w:val="•"/>
      <w:lvlJc w:val="left"/>
      <w:pPr>
        <w:ind w:left="379" w:hanging="142"/>
      </w:pPr>
      <w:rPr>
        <w:rFonts w:hint="default"/>
      </w:rPr>
    </w:lvl>
    <w:lvl w:ilvl="7">
      <w:start w:val="0"/>
      <w:numFmt w:val="bullet"/>
      <w:lvlText w:val="•"/>
      <w:lvlJc w:val="left"/>
      <w:pPr>
        <w:ind w:left="418" w:hanging="142"/>
      </w:pPr>
      <w:rPr>
        <w:rFonts w:hint="default"/>
      </w:rPr>
    </w:lvl>
    <w:lvl w:ilvl="8">
      <w:start w:val="0"/>
      <w:numFmt w:val="bullet"/>
      <w:lvlText w:val="•"/>
      <w:lvlJc w:val="left"/>
      <w:pPr>
        <w:ind w:left="458" w:hanging="142"/>
      </w:pPr>
      <w:rPr>
        <w:rFonts w:hint="default"/>
      </w:rPr>
    </w:lvl>
  </w:abstractNum>
  <w:abstractNum w:abstractNumId="116">
    <w:multiLevelType w:val="hybridMultilevel"/>
    <w:lvl w:ilvl="0">
      <w:start w:val="0"/>
      <w:numFmt w:val="bullet"/>
      <w:lvlText w:val="•"/>
      <w:lvlJc w:val="left"/>
      <w:pPr>
        <w:ind w:left="476" w:hanging="360"/>
      </w:pPr>
      <w:rPr>
        <w:rFonts w:hint="default" w:ascii="Symbol" w:hAnsi="Symbol" w:eastAsia="Symbol" w:cs="Symbol"/>
        <w:w w:val="99"/>
        <w:sz w:val="20"/>
        <w:szCs w:val="20"/>
      </w:rPr>
    </w:lvl>
    <w:lvl w:ilvl="1">
      <w:start w:val="0"/>
      <w:numFmt w:val="bullet"/>
      <w:lvlText w:val="−"/>
      <w:lvlJc w:val="left"/>
      <w:pPr>
        <w:ind w:left="809" w:hanging="288"/>
      </w:pPr>
      <w:rPr>
        <w:rFonts w:hint="default" w:ascii="Symbol" w:hAnsi="Symbol" w:eastAsia="Symbol" w:cs="Symbol"/>
        <w:w w:val="99"/>
        <w:sz w:val="20"/>
        <w:szCs w:val="20"/>
      </w:rPr>
    </w:lvl>
    <w:lvl w:ilvl="2">
      <w:start w:val="0"/>
      <w:numFmt w:val="bullet"/>
      <w:lvlText w:val="•"/>
      <w:lvlJc w:val="left"/>
      <w:pPr>
        <w:ind w:left="800" w:hanging="288"/>
      </w:pPr>
      <w:rPr>
        <w:rFonts w:hint="default"/>
      </w:rPr>
    </w:lvl>
    <w:lvl w:ilvl="3">
      <w:start w:val="0"/>
      <w:numFmt w:val="bullet"/>
      <w:lvlText w:val="•"/>
      <w:lvlJc w:val="left"/>
      <w:pPr>
        <w:ind w:left="1865" w:hanging="288"/>
      </w:pPr>
      <w:rPr>
        <w:rFonts w:hint="default"/>
      </w:rPr>
    </w:lvl>
    <w:lvl w:ilvl="4">
      <w:start w:val="0"/>
      <w:numFmt w:val="bullet"/>
      <w:lvlText w:val="•"/>
      <w:lvlJc w:val="left"/>
      <w:pPr>
        <w:ind w:left="2930" w:hanging="288"/>
      </w:pPr>
      <w:rPr>
        <w:rFonts w:hint="default"/>
      </w:rPr>
    </w:lvl>
    <w:lvl w:ilvl="5">
      <w:start w:val="0"/>
      <w:numFmt w:val="bullet"/>
      <w:lvlText w:val="•"/>
      <w:lvlJc w:val="left"/>
      <w:pPr>
        <w:ind w:left="3995" w:hanging="288"/>
      </w:pPr>
      <w:rPr>
        <w:rFonts w:hint="default"/>
      </w:rPr>
    </w:lvl>
    <w:lvl w:ilvl="6">
      <w:start w:val="0"/>
      <w:numFmt w:val="bullet"/>
      <w:lvlText w:val="•"/>
      <w:lvlJc w:val="left"/>
      <w:pPr>
        <w:ind w:left="5060" w:hanging="288"/>
      </w:pPr>
      <w:rPr>
        <w:rFonts w:hint="default"/>
      </w:rPr>
    </w:lvl>
    <w:lvl w:ilvl="7">
      <w:start w:val="0"/>
      <w:numFmt w:val="bullet"/>
      <w:lvlText w:val="•"/>
      <w:lvlJc w:val="left"/>
      <w:pPr>
        <w:ind w:left="6125" w:hanging="288"/>
      </w:pPr>
      <w:rPr>
        <w:rFonts w:hint="default"/>
      </w:rPr>
    </w:lvl>
    <w:lvl w:ilvl="8">
      <w:start w:val="0"/>
      <w:numFmt w:val="bullet"/>
      <w:lvlText w:val="•"/>
      <w:lvlJc w:val="left"/>
      <w:pPr>
        <w:ind w:left="7190" w:hanging="288"/>
      </w:pPr>
      <w:rPr>
        <w:rFonts w:hint="default"/>
      </w:rPr>
    </w:lvl>
  </w:abstractNum>
  <w:abstractNum w:abstractNumId="115">
    <w:multiLevelType w:val="hybridMultilevel"/>
    <w:lvl w:ilvl="0">
      <w:start w:val="0"/>
      <w:numFmt w:val="bullet"/>
      <w:lvlText w:val="●"/>
      <w:lvlJc w:val="left"/>
      <w:pPr>
        <w:ind w:left="170" w:hanging="171"/>
      </w:pPr>
      <w:rPr>
        <w:rFonts w:hint="default" w:ascii="Times New Roman" w:hAnsi="Times New Roman" w:eastAsia="Times New Roman" w:cs="Times New Roman"/>
        <w:w w:val="99"/>
        <w:position w:val="3"/>
        <w:sz w:val="20"/>
        <w:szCs w:val="20"/>
      </w:rPr>
    </w:lvl>
    <w:lvl w:ilvl="1">
      <w:start w:val="0"/>
      <w:numFmt w:val="bullet"/>
      <w:lvlText w:val="•"/>
      <w:lvlJc w:val="left"/>
      <w:pPr>
        <w:ind w:left="234" w:hanging="171"/>
      </w:pPr>
      <w:rPr>
        <w:rFonts w:hint="default"/>
      </w:rPr>
    </w:lvl>
    <w:lvl w:ilvl="2">
      <w:start w:val="0"/>
      <w:numFmt w:val="bullet"/>
      <w:lvlText w:val="•"/>
      <w:lvlJc w:val="left"/>
      <w:pPr>
        <w:ind w:left="289" w:hanging="171"/>
      </w:pPr>
      <w:rPr>
        <w:rFonts w:hint="default"/>
      </w:rPr>
    </w:lvl>
    <w:lvl w:ilvl="3">
      <w:start w:val="0"/>
      <w:numFmt w:val="bullet"/>
      <w:lvlText w:val="•"/>
      <w:lvlJc w:val="left"/>
      <w:pPr>
        <w:ind w:left="344" w:hanging="171"/>
      </w:pPr>
      <w:rPr>
        <w:rFonts w:hint="default"/>
      </w:rPr>
    </w:lvl>
    <w:lvl w:ilvl="4">
      <w:start w:val="0"/>
      <w:numFmt w:val="bullet"/>
      <w:lvlText w:val="•"/>
      <w:lvlJc w:val="left"/>
      <w:pPr>
        <w:ind w:left="399" w:hanging="171"/>
      </w:pPr>
      <w:rPr>
        <w:rFonts w:hint="default"/>
      </w:rPr>
    </w:lvl>
    <w:lvl w:ilvl="5">
      <w:start w:val="0"/>
      <w:numFmt w:val="bullet"/>
      <w:lvlText w:val="•"/>
      <w:lvlJc w:val="left"/>
      <w:pPr>
        <w:ind w:left="454" w:hanging="171"/>
      </w:pPr>
      <w:rPr>
        <w:rFonts w:hint="default"/>
      </w:rPr>
    </w:lvl>
    <w:lvl w:ilvl="6">
      <w:start w:val="0"/>
      <w:numFmt w:val="bullet"/>
      <w:lvlText w:val="•"/>
      <w:lvlJc w:val="left"/>
      <w:pPr>
        <w:ind w:left="508" w:hanging="171"/>
      </w:pPr>
      <w:rPr>
        <w:rFonts w:hint="default"/>
      </w:rPr>
    </w:lvl>
    <w:lvl w:ilvl="7">
      <w:start w:val="0"/>
      <w:numFmt w:val="bullet"/>
      <w:lvlText w:val="•"/>
      <w:lvlJc w:val="left"/>
      <w:pPr>
        <w:ind w:left="563" w:hanging="171"/>
      </w:pPr>
      <w:rPr>
        <w:rFonts w:hint="default"/>
      </w:rPr>
    </w:lvl>
    <w:lvl w:ilvl="8">
      <w:start w:val="0"/>
      <w:numFmt w:val="bullet"/>
      <w:lvlText w:val="•"/>
      <w:lvlJc w:val="left"/>
      <w:pPr>
        <w:ind w:left="618" w:hanging="171"/>
      </w:pPr>
      <w:rPr>
        <w:rFonts w:hint="default"/>
      </w:rPr>
    </w:lvl>
  </w:abstractNum>
  <w:abstractNum w:abstractNumId="114">
    <w:multiLevelType w:val="hybridMultilevel"/>
    <w:lvl w:ilvl="0">
      <w:start w:val="0"/>
      <w:numFmt w:val="bullet"/>
      <w:lvlText w:val="●"/>
      <w:lvlJc w:val="left"/>
      <w:pPr>
        <w:ind w:left="170" w:hanging="171"/>
      </w:pPr>
      <w:rPr>
        <w:rFonts w:hint="default" w:ascii="Times New Roman" w:hAnsi="Times New Roman" w:eastAsia="Times New Roman" w:cs="Times New Roman"/>
        <w:w w:val="99"/>
        <w:sz w:val="20"/>
        <w:szCs w:val="20"/>
      </w:rPr>
    </w:lvl>
    <w:lvl w:ilvl="1">
      <w:start w:val="0"/>
      <w:numFmt w:val="bullet"/>
      <w:lvlText w:val="•"/>
      <w:lvlJc w:val="left"/>
      <w:pPr>
        <w:ind w:left="415" w:hanging="171"/>
      </w:pPr>
      <w:rPr>
        <w:rFonts w:hint="default"/>
      </w:rPr>
    </w:lvl>
    <w:lvl w:ilvl="2">
      <w:start w:val="0"/>
      <w:numFmt w:val="bullet"/>
      <w:lvlText w:val="•"/>
      <w:lvlJc w:val="left"/>
      <w:pPr>
        <w:ind w:left="650" w:hanging="171"/>
      </w:pPr>
      <w:rPr>
        <w:rFonts w:hint="default"/>
      </w:rPr>
    </w:lvl>
    <w:lvl w:ilvl="3">
      <w:start w:val="0"/>
      <w:numFmt w:val="bullet"/>
      <w:lvlText w:val="•"/>
      <w:lvlJc w:val="left"/>
      <w:pPr>
        <w:ind w:left="885" w:hanging="171"/>
      </w:pPr>
      <w:rPr>
        <w:rFonts w:hint="default"/>
      </w:rPr>
    </w:lvl>
    <w:lvl w:ilvl="4">
      <w:start w:val="0"/>
      <w:numFmt w:val="bullet"/>
      <w:lvlText w:val="•"/>
      <w:lvlJc w:val="left"/>
      <w:pPr>
        <w:ind w:left="1120" w:hanging="171"/>
      </w:pPr>
      <w:rPr>
        <w:rFonts w:hint="default"/>
      </w:rPr>
    </w:lvl>
    <w:lvl w:ilvl="5">
      <w:start w:val="0"/>
      <w:numFmt w:val="bullet"/>
      <w:lvlText w:val="•"/>
      <w:lvlJc w:val="left"/>
      <w:pPr>
        <w:ind w:left="1355" w:hanging="171"/>
      </w:pPr>
      <w:rPr>
        <w:rFonts w:hint="default"/>
      </w:rPr>
    </w:lvl>
    <w:lvl w:ilvl="6">
      <w:start w:val="0"/>
      <w:numFmt w:val="bullet"/>
      <w:lvlText w:val="•"/>
      <w:lvlJc w:val="left"/>
      <w:pPr>
        <w:ind w:left="1590" w:hanging="171"/>
      </w:pPr>
      <w:rPr>
        <w:rFonts w:hint="default"/>
      </w:rPr>
    </w:lvl>
    <w:lvl w:ilvl="7">
      <w:start w:val="0"/>
      <w:numFmt w:val="bullet"/>
      <w:lvlText w:val="•"/>
      <w:lvlJc w:val="left"/>
      <w:pPr>
        <w:ind w:left="1825" w:hanging="171"/>
      </w:pPr>
      <w:rPr>
        <w:rFonts w:hint="default"/>
      </w:rPr>
    </w:lvl>
    <w:lvl w:ilvl="8">
      <w:start w:val="0"/>
      <w:numFmt w:val="bullet"/>
      <w:lvlText w:val="•"/>
      <w:lvlJc w:val="left"/>
      <w:pPr>
        <w:ind w:left="2060" w:hanging="171"/>
      </w:pPr>
      <w:rPr>
        <w:rFonts w:hint="default"/>
      </w:rPr>
    </w:lvl>
  </w:abstractNum>
  <w:abstractNum w:abstractNumId="113">
    <w:multiLevelType w:val="hybridMultilevel"/>
    <w:lvl w:ilvl="0">
      <w:start w:val="0"/>
      <w:numFmt w:val="bullet"/>
      <w:lvlText w:val="●"/>
      <w:lvlJc w:val="left"/>
      <w:pPr>
        <w:ind w:left="170" w:hanging="171"/>
      </w:pPr>
      <w:rPr>
        <w:rFonts w:hint="default" w:ascii="Times New Roman" w:hAnsi="Times New Roman" w:eastAsia="Times New Roman" w:cs="Times New Roman"/>
        <w:w w:val="99"/>
        <w:sz w:val="20"/>
        <w:szCs w:val="20"/>
      </w:rPr>
    </w:lvl>
    <w:lvl w:ilvl="1">
      <w:start w:val="0"/>
      <w:numFmt w:val="bullet"/>
      <w:lvlText w:val="•"/>
      <w:lvlJc w:val="left"/>
      <w:pPr>
        <w:ind w:left="546" w:hanging="171"/>
      </w:pPr>
      <w:rPr>
        <w:rFonts w:hint="default"/>
      </w:rPr>
    </w:lvl>
    <w:lvl w:ilvl="2">
      <w:start w:val="0"/>
      <w:numFmt w:val="bullet"/>
      <w:lvlText w:val="•"/>
      <w:lvlJc w:val="left"/>
      <w:pPr>
        <w:ind w:left="912" w:hanging="171"/>
      </w:pPr>
      <w:rPr>
        <w:rFonts w:hint="default"/>
      </w:rPr>
    </w:lvl>
    <w:lvl w:ilvl="3">
      <w:start w:val="0"/>
      <w:numFmt w:val="bullet"/>
      <w:lvlText w:val="•"/>
      <w:lvlJc w:val="left"/>
      <w:pPr>
        <w:ind w:left="1279" w:hanging="171"/>
      </w:pPr>
      <w:rPr>
        <w:rFonts w:hint="default"/>
      </w:rPr>
    </w:lvl>
    <w:lvl w:ilvl="4">
      <w:start w:val="0"/>
      <w:numFmt w:val="bullet"/>
      <w:lvlText w:val="•"/>
      <w:lvlJc w:val="left"/>
      <w:pPr>
        <w:ind w:left="1645" w:hanging="171"/>
      </w:pPr>
      <w:rPr>
        <w:rFonts w:hint="default"/>
      </w:rPr>
    </w:lvl>
    <w:lvl w:ilvl="5">
      <w:start w:val="0"/>
      <w:numFmt w:val="bullet"/>
      <w:lvlText w:val="•"/>
      <w:lvlJc w:val="left"/>
      <w:pPr>
        <w:ind w:left="2012" w:hanging="171"/>
      </w:pPr>
      <w:rPr>
        <w:rFonts w:hint="default"/>
      </w:rPr>
    </w:lvl>
    <w:lvl w:ilvl="6">
      <w:start w:val="0"/>
      <w:numFmt w:val="bullet"/>
      <w:lvlText w:val="•"/>
      <w:lvlJc w:val="left"/>
      <w:pPr>
        <w:ind w:left="2378" w:hanging="171"/>
      </w:pPr>
      <w:rPr>
        <w:rFonts w:hint="default"/>
      </w:rPr>
    </w:lvl>
    <w:lvl w:ilvl="7">
      <w:start w:val="0"/>
      <w:numFmt w:val="bullet"/>
      <w:lvlText w:val="•"/>
      <w:lvlJc w:val="left"/>
      <w:pPr>
        <w:ind w:left="2744" w:hanging="171"/>
      </w:pPr>
      <w:rPr>
        <w:rFonts w:hint="default"/>
      </w:rPr>
    </w:lvl>
    <w:lvl w:ilvl="8">
      <w:start w:val="0"/>
      <w:numFmt w:val="bullet"/>
      <w:lvlText w:val="•"/>
      <w:lvlJc w:val="left"/>
      <w:pPr>
        <w:ind w:left="3111" w:hanging="171"/>
      </w:pPr>
      <w:rPr>
        <w:rFonts w:hint="default"/>
      </w:rPr>
    </w:lvl>
  </w:abstractNum>
  <w:abstractNum w:abstractNumId="112">
    <w:multiLevelType w:val="hybridMultilevel"/>
    <w:lvl w:ilvl="0">
      <w:start w:val="20"/>
      <w:numFmt w:val="lowerLetter"/>
      <w:lvlText w:val="(%1)"/>
      <w:lvlJc w:val="left"/>
      <w:pPr>
        <w:ind w:left="231" w:hanging="224"/>
        <w:jc w:val="left"/>
      </w:pPr>
      <w:rPr>
        <w:rFonts w:hint="default" w:ascii="Times New Roman" w:hAnsi="Times New Roman" w:eastAsia="Times New Roman" w:cs="Times New Roman"/>
        <w:w w:val="99"/>
        <w:sz w:val="20"/>
        <w:szCs w:val="20"/>
      </w:rPr>
    </w:lvl>
    <w:lvl w:ilvl="1">
      <w:start w:val="1"/>
      <w:numFmt w:val="lowerRoman"/>
      <w:lvlText w:val="(%2)"/>
      <w:lvlJc w:val="left"/>
      <w:pPr>
        <w:ind w:left="1196" w:hanging="572"/>
        <w:jc w:val="left"/>
      </w:pPr>
      <w:rPr>
        <w:rFonts w:hint="default" w:ascii="Times New Roman" w:hAnsi="Times New Roman" w:eastAsia="Times New Roman" w:cs="Times New Roman"/>
        <w:w w:val="99"/>
        <w:sz w:val="20"/>
        <w:szCs w:val="20"/>
      </w:rPr>
    </w:lvl>
    <w:lvl w:ilvl="2">
      <w:start w:val="0"/>
      <w:numFmt w:val="bullet"/>
      <w:lvlText w:val="•"/>
      <w:lvlJc w:val="left"/>
      <w:pPr>
        <w:ind w:left="1174" w:hanging="572"/>
      </w:pPr>
      <w:rPr>
        <w:rFonts w:hint="default"/>
      </w:rPr>
    </w:lvl>
    <w:lvl w:ilvl="3">
      <w:start w:val="0"/>
      <w:numFmt w:val="bullet"/>
      <w:lvlText w:val="•"/>
      <w:lvlJc w:val="left"/>
      <w:pPr>
        <w:ind w:left="1148" w:hanging="572"/>
      </w:pPr>
      <w:rPr>
        <w:rFonts w:hint="default"/>
      </w:rPr>
    </w:lvl>
    <w:lvl w:ilvl="4">
      <w:start w:val="0"/>
      <w:numFmt w:val="bullet"/>
      <w:lvlText w:val="•"/>
      <w:lvlJc w:val="left"/>
      <w:pPr>
        <w:ind w:left="1123" w:hanging="572"/>
      </w:pPr>
      <w:rPr>
        <w:rFonts w:hint="default"/>
      </w:rPr>
    </w:lvl>
    <w:lvl w:ilvl="5">
      <w:start w:val="0"/>
      <w:numFmt w:val="bullet"/>
      <w:lvlText w:val="•"/>
      <w:lvlJc w:val="left"/>
      <w:pPr>
        <w:ind w:left="1097" w:hanging="572"/>
      </w:pPr>
      <w:rPr>
        <w:rFonts w:hint="default"/>
      </w:rPr>
    </w:lvl>
    <w:lvl w:ilvl="6">
      <w:start w:val="0"/>
      <w:numFmt w:val="bullet"/>
      <w:lvlText w:val="•"/>
      <w:lvlJc w:val="left"/>
      <w:pPr>
        <w:ind w:left="1072" w:hanging="572"/>
      </w:pPr>
      <w:rPr>
        <w:rFonts w:hint="default"/>
      </w:rPr>
    </w:lvl>
    <w:lvl w:ilvl="7">
      <w:start w:val="0"/>
      <w:numFmt w:val="bullet"/>
      <w:lvlText w:val="•"/>
      <w:lvlJc w:val="left"/>
      <w:pPr>
        <w:ind w:left="1046" w:hanging="572"/>
      </w:pPr>
      <w:rPr>
        <w:rFonts w:hint="default"/>
      </w:rPr>
    </w:lvl>
    <w:lvl w:ilvl="8">
      <w:start w:val="0"/>
      <w:numFmt w:val="bullet"/>
      <w:lvlText w:val="•"/>
      <w:lvlJc w:val="left"/>
      <w:pPr>
        <w:ind w:left="1021" w:hanging="572"/>
      </w:pPr>
      <w:rPr>
        <w:rFonts w:hint="default"/>
      </w:rPr>
    </w:lvl>
  </w:abstractNum>
  <w:abstractNum w:abstractNumId="111">
    <w:multiLevelType w:val="hybridMultilevel"/>
    <w:lvl w:ilvl="0">
      <w:start w:val="0"/>
      <w:numFmt w:val="bullet"/>
      <w:lvlText w:val="•"/>
      <w:lvlJc w:val="left"/>
      <w:pPr>
        <w:ind w:left="674"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2" w:hanging="116"/>
      </w:pPr>
      <w:rPr>
        <w:rFonts w:hint="default"/>
      </w:rPr>
    </w:lvl>
    <w:lvl w:ilvl="4">
      <w:start w:val="0"/>
      <w:numFmt w:val="bullet"/>
      <w:lvlText w:val="•"/>
      <w:lvlJc w:val="left"/>
      <w:pPr>
        <w:ind w:left="1003" w:hanging="116"/>
      </w:pPr>
      <w:rPr>
        <w:rFonts w:hint="default"/>
      </w:rPr>
    </w:lvl>
    <w:lvl w:ilvl="5">
      <w:start w:val="0"/>
      <w:numFmt w:val="bullet"/>
      <w:lvlText w:val="•"/>
      <w:lvlJc w:val="left"/>
      <w:pPr>
        <w:ind w:left="1084" w:hanging="116"/>
      </w:pPr>
      <w:rPr>
        <w:rFonts w:hint="default"/>
      </w:rPr>
    </w:lvl>
    <w:lvl w:ilvl="6">
      <w:start w:val="0"/>
      <w:numFmt w:val="bullet"/>
      <w:lvlText w:val="•"/>
      <w:lvlJc w:val="left"/>
      <w:pPr>
        <w:ind w:left="1164" w:hanging="116"/>
      </w:pPr>
      <w:rPr>
        <w:rFonts w:hint="default"/>
      </w:rPr>
    </w:lvl>
    <w:lvl w:ilvl="7">
      <w:start w:val="0"/>
      <w:numFmt w:val="bullet"/>
      <w:lvlText w:val="•"/>
      <w:lvlJc w:val="left"/>
      <w:pPr>
        <w:ind w:left="1245" w:hanging="116"/>
      </w:pPr>
      <w:rPr>
        <w:rFonts w:hint="default"/>
      </w:rPr>
    </w:lvl>
    <w:lvl w:ilvl="8">
      <w:start w:val="0"/>
      <w:numFmt w:val="bullet"/>
      <w:lvlText w:val="•"/>
      <w:lvlJc w:val="left"/>
      <w:pPr>
        <w:ind w:left="1326" w:hanging="116"/>
      </w:pPr>
      <w:rPr>
        <w:rFonts w:hint="default"/>
      </w:rPr>
    </w:lvl>
  </w:abstractNum>
  <w:abstractNum w:abstractNumId="110">
    <w:multiLevelType w:val="hybridMultilevel"/>
    <w:lvl w:ilvl="0">
      <w:start w:val="0"/>
      <w:numFmt w:val="bullet"/>
      <w:lvlText w:val="•"/>
      <w:lvlJc w:val="left"/>
      <w:pPr>
        <w:ind w:left="676"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2"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3" w:hanging="116"/>
      </w:pPr>
      <w:rPr>
        <w:rFonts w:hint="default"/>
      </w:rPr>
    </w:lvl>
    <w:lvl w:ilvl="7">
      <w:start w:val="0"/>
      <w:numFmt w:val="bullet"/>
      <w:lvlText w:val="•"/>
      <w:lvlJc w:val="left"/>
      <w:pPr>
        <w:ind w:left="1243" w:hanging="116"/>
      </w:pPr>
      <w:rPr>
        <w:rFonts w:hint="default"/>
      </w:rPr>
    </w:lvl>
    <w:lvl w:ilvl="8">
      <w:start w:val="0"/>
      <w:numFmt w:val="bullet"/>
      <w:lvlText w:val="•"/>
      <w:lvlJc w:val="left"/>
      <w:pPr>
        <w:ind w:left="1324" w:hanging="116"/>
      </w:pPr>
      <w:rPr>
        <w:rFonts w:hint="default"/>
      </w:rPr>
    </w:lvl>
  </w:abstractNum>
  <w:abstractNum w:abstractNumId="109">
    <w:multiLevelType w:val="hybridMultilevel"/>
    <w:lvl w:ilvl="0">
      <w:start w:val="0"/>
      <w:numFmt w:val="bullet"/>
      <w:lvlText w:val="•"/>
      <w:lvlJc w:val="left"/>
      <w:pPr>
        <w:ind w:left="677"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0"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1"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2" w:hanging="116"/>
      </w:pPr>
      <w:rPr>
        <w:rFonts w:hint="default"/>
      </w:rPr>
    </w:lvl>
    <w:lvl w:ilvl="7">
      <w:start w:val="0"/>
      <w:numFmt w:val="bullet"/>
      <w:lvlText w:val="•"/>
      <w:lvlJc w:val="left"/>
      <w:pPr>
        <w:ind w:left="1242" w:hanging="116"/>
      </w:pPr>
      <w:rPr>
        <w:rFonts w:hint="default"/>
      </w:rPr>
    </w:lvl>
    <w:lvl w:ilvl="8">
      <w:start w:val="0"/>
      <w:numFmt w:val="bullet"/>
      <w:lvlText w:val="•"/>
      <w:lvlJc w:val="left"/>
      <w:pPr>
        <w:ind w:left="1323" w:hanging="116"/>
      </w:pPr>
      <w:rPr>
        <w:rFonts w:hint="default"/>
      </w:rPr>
    </w:lvl>
  </w:abstractNum>
  <w:abstractNum w:abstractNumId="108">
    <w:multiLevelType w:val="hybridMultilevel"/>
    <w:lvl w:ilvl="0">
      <w:start w:val="0"/>
      <w:numFmt w:val="bullet"/>
      <w:lvlText w:val="•"/>
      <w:lvlJc w:val="left"/>
      <w:pPr>
        <w:ind w:left="679"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2"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3" w:hanging="116"/>
      </w:pPr>
      <w:rPr>
        <w:rFonts w:hint="default"/>
      </w:rPr>
    </w:lvl>
    <w:lvl w:ilvl="7">
      <w:start w:val="0"/>
      <w:numFmt w:val="bullet"/>
      <w:lvlText w:val="•"/>
      <w:lvlJc w:val="left"/>
      <w:pPr>
        <w:ind w:left="1243" w:hanging="116"/>
      </w:pPr>
      <w:rPr>
        <w:rFonts w:hint="default"/>
      </w:rPr>
    </w:lvl>
    <w:lvl w:ilvl="8">
      <w:start w:val="0"/>
      <w:numFmt w:val="bullet"/>
      <w:lvlText w:val="•"/>
      <w:lvlJc w:val="left"/>
      <w:pPr>
        <w:ind w:left="1324" w:hanging="116"/>
      </w:pPr>
      <w:rPr>
        <w:rFonts w:hint="default"/>
      </w:rPr>
    </w:lvl>
  </w:abstractNum>
  <w:abstractNum w:abstractNumId="107">
    <w:multiLevelType w:val="hybridMultilevel"/>
    <w:lvl w:ilvl="0">
      <w:start w:val="0"/>
      <w:numFmt w:val="bullet"/>
      <w:lvlText w:val="•"/>
      <w:lvlJc w:val="left"/>
      <w:pPr>
        <w:ind w:left="674"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2" w:hanging="116"/>
      </w:pPr>
      <w:rPr>
        <w:rFonts w:hint="default"/>
      </w:rPr>
    </w:lvl>
    <w:lvl w:ilvl="4">
      <w:start w:val="0"/>
      <w:numFmt w:val="bullet"/>
      <w:lvlText w:val="•"/>
      <w:lvlJc w:val="left"/>
      <w:pPr>
        <w:ind w:left="1003" w:hanging="116"/>
      </w:pPr>
      <w:rPr>
        <w:rFonts w:hint="default"/>
      </w:rPr>
    </w:lvl>
    <w:lvl w:ilvl="5">
      <w:start w:val="0"/>
      <w:numFmt w:val="bullet"/>
      <w:lvlText w:val="•"/>
      <w:lvlJc w:val="left"/>
      <w:pPr>
        <w:ind w:left="1084" w:hanging="116"/>
      </w:pPr>
      <w:rPr>
        <w:rFonts w:hint="default"/>
      </w:rPr>
    </w:lvl>
    <w:lvl w:ilvl="6">
      <w:start w:val="0"/>
      <w:numFmt w:val="bullet"/>
      <w:lvlText w:val="•"/>
      <w:lvlJc w:val="left"/>
      <w:pPr>
        <w:ind w:left="1164" w:hanging="116"/>
      </w:pPr>
      <w:rPr>
        <w:rFonts w:hint="default"/>
      </w:rPr>
    </w:lvl>
    <w:lvl w:ilvl="7">
      <w:start w:val="0"/>
      <w:numFmt w:val="bullet"/>
      <w:lvlText w:val="•"/>
      <w:lvlJc w:val="left"/>
      <w:pPr>
        <w:ind w:left="1245" w:hanging="116"/>
      </w:pPr>
      <w:rPr>
        <w:rFonts w:hint="default"/>
      </w:rPr>
    </w:lvl>
    <w:lvl w:ilvl="8">
      <w:start w:val="0"/>
      <w:numFmt w:val="bullet"/>
      <w:lvlText w:val="•"/>
      <w:lvlJc w:val="left"/>
      <w:pPr>
        <w:ind w:left="1326" w:hanging="116"/>
      </w:pPr>
      <w:rPr>
        <w:rFonts w:hint="default"/>
      </w:rPr>
    </w:lvl>
  </w:abstractNum>
  <w:abstractNum w:abstractNumId="106">
    <w:multiLevelType w:val="hybridMultilevel"/>
    <w:lvl w:ilvl="0">
      <w:start w:val="0"/>
      <w:numFmt w:val="bullet"/>
      <w:lvlText w:val="•"/>
      <w:lvlJc w:val="left"/>
      <w:pPr>
        <w:ind w:left="676"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2"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3" w:hanging="116"/>
      </w:pPr>
      <w:rPr>
        <w:rFonts w:hint="default"/>
      </w:rPr>
    </w:lvl>
    <w:lvl w:ilvl="7">
      <w:start w:val="0"/>
      <w:numFmt w:val="bullet"/>
      <w:lvlText w:val="•"/>
      <w:lvlJc w:val="left"/>
      <w:pPr>
        <w:ind w:left="1243" w:hanging="116"/>
      </w:pPr>
      <w:rPr>
        <w:rFonts w:hint="default"/>
      </w:rPr>
    </w:lvl>
    <w:lvl w:ilvl="8">
      <w:start w:val="0"/>
      <w:numFmt w:val="bullet"/>
      <w:lvlText w:val="•"/>
      <w:lvlJc w:val="left"/>
      <w:pPr>
        <w:ind w:left="1324" w:hanging="116"/>
      </w:pPr>
      <w:rPr>
        <w:rFonts w:hint="default"/>
      </w:rPr>
    </w:lvl>
  </w:abstractNum>
  <w:abstractNum w:abstractNumId="105">
    <w:multiLevelType w:val="hybridMultilevel"/>
    <w:lvl w:ilvl="0">
      <w:start w:val="0"/>
      <w:numFmt w:val="bullet"/>
      <w:lvlText w:val="•"/>
      <w:lvlJc w:val="left"/>
      <w:pPr>
        <w:ind w:left="677"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0"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1"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2" w:hanging="116"/>
      </w:pPr>
      <w:rPr>
        <w:rFonts w:hint="default"/>
      </w:rPr>
    </w:lvl>
    <w:lvl w:ilvl="7">
      <w:start w:val="0"/>
      <w:numFmt w:val="bullet"/>
      <w:lvlText w:val="•"/>
      <w:lvlJc w:val="left"/>
      <w:pPr>
        <w:ind w:left="1242" w:hanging="116"/>
      </w:pPr>
      <w:rPr>
        <w:rFonts w:hint="default"/>
      </w:rPr>
    </w:lvl>
    <w:lvl w:ilvl="8">
      <w:start w:val="0"/>
      <w:numFmt w:val="bullet"/>
      <w:lvlText w:val="•"/>
      <w:lvlJc w:val="left"/>
      <w:pPr>
        <w:ind w:left="1323" w:hanging="116"/>
      </w:pPr>
      <w:rPr>
        <w:rFonts w:hint="default"/>
      </w:rPr>
    </w:lvl>
  </w:abstractNum>
  <w:abstractNum w:abstractNumId="104">
    <w:multiLevelType w:val="hybridMultilevel"/>
    <w:lvl w:ilvl="0">
      <w:start w:val="0"/>
      <w:numFmt w:val="bullet"/>
      <w:lvlText w:val="•"/>
      <w:lvlJc w:val="left"/>
      <w:pPr>
        <w:ind w:left="679"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2"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3" w:hanging="116"/>
      </w:pPr>
      <w:rPr>
        <w:rFonts w:hint="default"/>
      </w:rPr>
    </w:lvl>
    <w:lvl w:ilvl="7">
      <w:start w:val="0"/>
      <w:numFmt w:val="bullet"/>
      <w:lvlText w:val="•"/>
      <w:lvlJc w:val="left"/>
      <w:pPr>
        <w:ind w:left="1243" w:hanging="116"/>
      </w:pPr>
      <w:rPr>
        <w:rFonts w:hint="default"/>
      </w:rPr>
    </w:lvl>
    <w:lvl w:ilvl="8">
      <w:start w:val="0"/>
      <w:numFmt w:val="bullet"/>
      <w:lvlText w:val="•"/>
      <w:lvlJc w:val="left"/>
      <w:pPr>
        <w:ind w:left="1324" w:hanging="116"/>
      </w:pPr>
      <w:rPr>
        <w:rFonts w:hint="default"/>
      </w:rPr>
    </w:lvl>
  </w:abstractNum>
  <w:abstractNum w:abstractNumId="103">
    <w:multiLevelType w:val="hybridMultilevel"/>
    <w:lvl w:ilvl="0">
      <w:start w:val="0"/>
      <w:numFmt w:val="bullet"/>
      <w:lvlText w:val="•"/>
      <w:lvlJc w:val="left"/>
      <w:pPr>
        <w:ind w:left="674"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2" w:hanging="116"/>
      </w:pPr>
      <w:rPr>
        <w:rFonts w:hint="default"/>
      </w:rPr>
    </w:lvl>
    <w:lvl w:ilvl="4">
      <w:start w:val="0"/>
      <w:numFmt w:val="bullet"/>
      <w:lvlText w:val="•"/>
      <w:lvlJc w:val="left"/>
      <w:pPr>
        <w:ind w:left="1003" w:hanging="116"/>
      </w:pPr>
      <w:rPr>
        <w:rFonts w:hint="default"/>
      </w:rPr>
    </w:lvl>
    <w:lvl w:ilvl="5">
      <w:start w:val="0"/>
      <w:numFmt w:val="bullet"/>
      <w:lvlText w:val="•"/>
      <w:lvlJc w:val="left"/>
      <w:pPr>
        <w:ind w:left="1084" w:hanging="116"/>
      </w:pPr>
      <w:rPr>
        <w:rFonts w:hint="default"/>
      </w:rPr>
    </w:lvl>
    <w:lvl w:ilvl="6">
      <w:start w:val="0"/>
      <w:numFmt w:val="bullet"/>
      <w:lvlText w:val="•"/>
      <w:lvlJc w:val="left"/>
      <w:pPr>
        <w:ind w:left="1164" w:hanging="116"/>
      </w:pPr>
      <w:rPr>
        <w:rFonts w:hint="default"/>
      </w:rPr>
    </w:lvl>
    <w:lvl w:ilvl="7">
      <w:start w:val="0"/>
      <w:numFmt w:val="bullet"/>
      <w:lvlText w:val="•"/>
      <w:lvlJc w:val="left"/>
      <w:pPr>
        <w:ind w:left="1245" w:hanging="116"/>
      </w:pPr>
      <w:rPr>
        <w:rFonts w:hint="default"/>
      </w:rPr>
    </w:lvl>
    <w:lvl w:ilvl="8">
      <w:start w:val="0"/>
      <w:numFmt w:val="bullet"/>
      <w:lvlText w:val="•"/>
      <w:lvlJc w:val="left"/>
      <w:pPr>
        <w:ind w:left="1326" w:hanging="116"/>
      </w:pPr>
      <w:rPr>
        <w:rFonts w:hint="default"/>
      </w:rPr>
    </w:lvl>
  </w:abstractNum>
  <w:abstractNum w:abstractNumId="102">
    <w:multiLevelType w:val="hybridMultilevel"/>
    <w:lvl w:ilvl="0">
      <w:start w:val="0"/>
      <w:numFmt w:val="bullet"/>
      <w:lvlText w:val="•"/>
      <w:lvlJc w:val="left"/>
      <w:pPr>
        <w:ind w:left="676"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2"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3" w:hanging="116"/>
      </w:pPr>
      <w:rPr>
        <w:rFonts w:hint="default"/>
      </w:rPr>
    </w:lvl>
    <w:lvl w:ilvl="7">
      <w:start w:val="0"/>
      <w:numFmt w:val="bullet"/>
      <w:lvlText w:val="•"/>
      <w:lvlJc w:val="left"/>
      <w:pPr>
        <w:ind w:left="1243" w:hanging="116"/>
      </w:pPr>
      <w:rPr>
        <w:rFonts w:hint="default"/>
      </w:rPr>
    </w:lvl>
    <w:lvl w:ilvl="8">
      <w:start w:val="0"/>
      <w:numFmt w:val="bullet"/>
      <w:lvlText w:val="•"/>
      <w:lvlJc w:val="left"/>
      <w:pPr>
        <w:ind w:left="1324" w:hanging="116"/>
      </w:pPr>
      <w:rPr>
        <w:rFonts w:hint="default"/>
      </w:rPr>
    </w:lvl>
  </w:abstractNum>
  <w:abstractNum w:abstractNumId="101">
    <w:multiLevelType w:val="hybridMultilevel"/>
    <w:lvl w:ilvl="0">
      <w:start w:val="0"/>
      <w:numFmt w:val="bullet"/>
      <w:lvlText w:val="•"/>
      <w:lvlJc w:val="left"/>
      <w:pPr>
        <w:ind w:left="677"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0"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1"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2" w:hanging="116"/>
      </w:pPr>
      <w:rPr>
        <w:rFonts w:hint="default"/>
      </w:rPr>
    </w:lvl>
    <w:lvl w:ilvl="7">
      <w:start w:val="0"/>
      <w:numFmt w:val="bullet"/>
      <w:lvlText w:val="•"/>
      <w:lvlJc w:val="left"/>
      <w:pPr>
        <w:ind w:left="1242" w:hanging="116"/>
      </w:pPr>
      <w:rPr>
        <w:rFonts w:hint="default"/>
      </w:rPr>
    </w:lvl>
    <w:lvl w:ilvl="8">
      <w:start w:val="0"/>
      <w:numFmt w:val="bullet"/>
      <w:lvlText w:val="•"/>
      <w:lvlJc w:val="left"/>
      <w:pPr>
        <w:ind w:left="1323" w:hanging="116"/>
      </w:pPr>
      <w:rPr>
        <w:rFonts w:hint="default"/>
      </w:rPr>
    </w:lvl>
  </w:abstractNum>
  <w:abstractNum w:abstractNumId="100">
    <w:multiLevelType w:val="hybridMultilevel"/>
    <w:lvl w:ilvl="0">
      <w:start w:val="0"/>
      <w:numFmt w:val="bullet"/>
      <w:lvlText w:val="•"/>
      <w:lvlJc w:val="left"/>
      <w:pPr>
        <w:ind w:left="679"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2"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3" w:hanging="116"/>
      </w:pPr>
      <w:rPr>
        <w:rFonts w:hint="default"/>
      </w:rPr>
    </w:lvl>
    <w:lvl w:ilvl="7">
      <w:start w:val="0"/>
      <w:numFmt w:val="bullet"/>
      <w:lvlText w:val="•"/>
      <w:lvlJc w:val="left"/>
      <w:pPr>
        <w:ind w:left="1243" w:hanging="116"/>
      </w:pPr>
      <w:rPr>
        <w:rFonts w:hint="default"/>
      </w:rPr>
    </w:lvl>
    <w:lvl w:ilvl="8">
      <w:start w:val="0"/>
      <w:numFmt w:val="bullet"/>
      <w:lvlText w:val="•"/>
      <w:lvlJc w:val="left"/>
      <w:pPr>
        <w:ind w:left="1324" w:hanging="116"/>
      </w:pPr>
      <w:rPr>
        <w:rFonts w:hint="default"/>
      </w:rPr>
    </w:lvl>
  </w:abstractNum>
  <w:abstractNum w:abstractNumId="99">
    <w:multiLevelType w:val="hybridMultilevel"/>
    <w:lvl w:ilvl="0">
      <w:start w:val="0"/>
      <w:numFmt w:val="bullet"/>
      <w:lvlText w:val="•"/>
      <w:lvlJc w:val="left"/>
      <w:pPr>
        <w:ind w:left="676"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2"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3" w:hanging="116"/>
      </w:pPr>
      <w:rPr>
        <w:rFonts w:hint="default"/>
      </w:rPr>
    </w:lvl>
    <w:lvl w:ilvl="7">
      <w:start w:val="0"/>
      <w:numFmt w:val="bullet"/>
      <w:lvlText w:val="•"/>
      <w:lvlJc w:val="left"/>
      <w:pPr>
        <w:ind w:left="1243" w:hanging="116"/>
      </w:pPr>
      <w:rPr>
        <w:rFonts w:hint="default"/>
      </w:rPr>
    </w:lvl>
    <w:lvl w:ilvl="8">
      <w:start w:val="0"/>
      <w:numFmt w:val="bullet"/>
      <w:lvlText w:val="•"/>
      <w:lvlJc w:val="left"/>
      <w:pPr>
        <w:ind w:left="1324" w:hanging="116"/>
      </w:pPr>
      <w:rPr>
        <w:rFonts w:hint="default"/>
      </w:rPr>
    </w:lvl>
  </w:abstractNum>
  <w:abstractNum w:abstractNumId="98">
    <w:multiLevelType w:val="hybridMultilevel"/>
    <w:lvl w:ilvl="0">
      <w:start w:val="0"/>
      <w:numFmt w:val="bullet"/>
      <w:lvlText w:val="•"/>
      <w:lvlJc w:val="left"/>
      <w:pPr>
        <w:ind w:left="677"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0"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1"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2" w:hanging="116"/>
      </w:pPr>
      <w:rPr>
        <w:rFonts w:hint="default"/>
      </w:rPr>
    </w:lvl>
    <w:lvl w:ilvl="7">
      <w:start w:val="0"/>
      <w:numFmt w:val="bullet"/>
      <w:lvlText w:val="•"/>
      <w:lvlJc w:val="left"/>
      <w:pPr>
        <w:ind w:left="1242" w:hanging="116"/>
      </w:pPr>
      <w:rPr>
        <w:rFonts w:hint="default"/>
      </w:rPr>
    </w:lvl>
    <w:lvl w:ilvl="8">
      <w:start w:val="0"/>
      <w:numFmt w:val="bullet"/>
      <w:lvlText w:val="•"/>
      <w:lvlJc w:val="left"/>
      <w:pPr>
        <w:ind w:left="1323" w:hanging="116"/>
      </w:pPr>
      <w:rPr>
        <w:rFonts w:hint="default"/>
      </w:rPr>
    </w:lvl>
  </w:abstractNum>
  <w:abstractNum w:abstractNumId="97">
    <w:multiLevelType w:val="hybridMultilevel"/>
    <w:lvl w:ilvl="0">
      <w:start w:val="0"/>
      <w:numFmt w:val="bullet"/>
      <w:lvlText w:val="•"/>
      <w:lvlJc w:val="left"/>
      <w:pPr>
        <w:ind w:left="679" w:hanging="116"/>
      </w:pPr>
      <w:rPr>
        <w:rFonts w:hint="default" w:ascii="Symbol" w:hAnsi="Symbol" w:eastAsia="Symbol" w:cs="Symbol"/>
        <w:w w:val="100"/>
        <w:sz w:val="16"/>
        <w:szCs w:val="16"/>
      </w:rPr>
    </w:lvl>
    <w:lvl w:ilvl="1">
      <w:start w:val="0"/>
      <w:numFmt w:val="bullet"/>
      <w:lvlText w:val="•"/>
      <w:lvlJc w:val="left"/>
      <w:pPr>
        <w:ind w:left="760" w:hanging="116"/>
      </w:pPr>
      <w:rPr>
        <w:rFonts w:hint="default"/>
      </w:rPr>
    </w:lvl>
    <w:lvl w:ilvl="2">
      <w:start w:val="0"/>
      <w:numFmt w:val="bullet"/>
      <w:lvlText w:val="•"/>
      <w:lvlJc w:val="left"/>
      <w:pPr>
        <w:ind w:left="841" w:hanging="116"/>
      </w:pPr>
      <w:rPr>
        <w:rFonts w:hint="default"/>
      </w:rPr>
    </w:lvl>
    <w:lvl w:ilvl="3">
      <w:start w:val="0"/>
      <w:numFmt w:val="bullet"/>
      <w:lvlText w:val="•"/>
      <w:lvlJc w:val="left"/>
      <w:pPr>
        <w:ind w:left="921" w:hanging="116"/>
      </w:pPr>
      <w:rPr>
        <w:rFonts w:hint="default"/>
      </w:rPr>
    </w:lvl>
    <w:lvl w:ilvl="4">
      <w:start w:val="0"/>
      <w:numFmt w:val="bullet"/>
      <w:lvlText w:val="•"/>
      <w:lvlJc w:val="left"/>
      <w:pPr>
        <w:ind w:left="1002" w:hanging="116"/>
      </w:pPr>
      <w:rPr>
        <w:rFonts w:hint="default"/>
      </w:rPr>
    </w:lvl>
    <w:lvl w:ilvl="5">
      <w:start w:val="0"/>
      <w:numFmt w:val="bullet"/>
      <w:lvlText w:val="•"/>
      <w:lvlJc w:val="left"/>
      <w:pPr>
        <w:ind w:left="1082" w:hanging="116"/>
      </w:pPr>
      <w:rPr>
        <w:rFonts w:hint="default"/>
      </w:rPr>
    </w:lvl>
    <w:lvl w:ilvl="6">
      <w:start w:val="0"/>
      <w:numFmt w:val="bullet"/>
      <w:lvlText w:val="•"/>
      <w:lvlJc w:val="left"/>
      <w:pPr>
        <w:ind w:left="1163" w:hanging="116"/>
      </w:pPr>
      <w:rPr>
        <w:rFonts w:hint="default"/>
      </w:rPr>
    </w:lvl>
    <w:lvl w:ilvl="7">
      <w:start w:val="0"/>
      <w:numFmt w:val="bullet"/>
      <w:lvlText w:val="•"/>
      <w:lvlJc w:val="left"/>
      <w:pPr>
        <w:ind w:left="1243" w:hanging="116"/>
      </w:pPr>
      <w:rPr>
        <w:rFonts w:hint="default"/>
      </w:rPr>
    </w:lvl>
    <w:lvl w:ilvl="8">
      <w:start w:val="0"/>
      <w:numFmt w:val="bullet"/>
      <w:lvlText w:val="•"/>
      <w:lvlJc w:val="left"/>
      <w:pPr>
        <w:ind w:left="1324" w:hanging="116"/>
      </w:pPr>
      <w:rPr>
        <w:rFonts w:hint="default"/>
      </w:rPr>
    </w:lvl>
  </w:abstractNum>
  <w:abstractNum w:abstractNumId="96">
    <w:multiLevelType w:val="hybridMultilevel"/>
    <w:lvl w:ilvl="0">
      <w:start w:val="0"/>
      <w:numFmt w:val="bullet"/>
      <w:lvlText w:val="-"/>
      <w:lvlJc w:val="left"/>
      <w:pPr>
        <w:ind w:left="470" w:hanging="248"/>
      </w:pPr>
      <w:rPr>
        <w:rFonts w:hint="default" w:ascii="Times New Roman" w:hAnsi="Times New Roman" w:eastAsia="Times New Roman" w:cs="Times New Roman"/>
        <w:w w:val="99"/>
        <w:sz w:val="20"/>
        <w:szCs w:val="20"/>
      </w:rPr>
    </w:lvl>
    <w:lvl w:ilvl="1">
      <w:start w:val="0"/>
      <w:numFmt w:val="bullet"/>
      <w:lvlText w:val="•"/>
      <w:lvlJc w:val="left"/>
      <w:pPr>
        <w:ind w:left="1252" w:hanging="248"/>
      </w:pPr>
      <w:rPr>
        <w:rFonts w:hint="default"/>
      </w:rPr>
    </w:lvl>
    <w:lvl w:ilvl="2">
      <w:start w:val="0"/>
      <w:numFmt w:val="bullet"/>
      <w:lvlText w:val="•"/>
      <w:lvlJc w:val="left"/>
      <w:pPr>
        <w:ind w:left="2024" w:hanging="248"/>
      </w:pPr>
      <w:rPr>
        <w:rFonts w:hint="default"/>
      </w:rPr>
    </w:lvl>
    <w:lvl w:ilvl="3">
      <w:start w:val="0"/>
      <w:numFmt w:val="bullet"/>
      <w:lvlText w:val="•"/>
      <w:lvlJc w:val="left"/>
      <w:pPr>
        <w:ind w:left="2796" w:hanging="248"/>
      </w:pPr>
      <w:rPr>
        <w:rFonts w:hint="default"/>
      </w:rPr>
    </w:lvl>
    <w:lvl w:ilvl="4">
      <w:start w:val="0"/>
      <w:numFmt w:val="bullet"/>
      <w:lvlText w:val="•"/>
      <w:lvlJc w:val="left"/>
      <w:pPr>
        <w:ind w:left="3568" w:hanging="248"/>
      </w:pPr>
      <w:rPr>
        <w:rFonts w:hint="default"/>
      </w:rPr>
    </w:lvl>
    <w:lvl w:ilvl="5">
      <w:start w:val="0"/>
      <w:numFmt w:val="bullet"/>
      <w:lvlText w:val="•"/>
      <w:lvlJc w:val="left"/>
      <w:pPr>
        <w:ind w:left="4340" w:hanging="248"/>
      </w:pPr>
      <w:rPr>
        <w:rFonts w:hint="default"/>
      </w:rPr>
    </w:lvl>
    <w:lvl w:ilvl="6">
      <w:start w:val="0"/>
      <w:numFmt w:val="bullet"/>
      <w:lvlText w:val="•"/>
      <w:lvlJc w:val="left"/>
      <w:pPr>
        <w:ind w:left="5112" w:hanging="248"/>
      </w:pPr>
      <w:rPr>
        <w:rFonts w:hint="default"/>
      </w:rPr>
    </w:lvl>
    <w:lvl w:ilvl="7">
      <w:start w:val="0"/>
      <w:numFmt w:val="bullet"/>
      <w:lvlText w:val="•"/>
      <w:lvlJc w:val="left"/>
      <w:pPr>
        <w:ind w:left="5884" w:hanging="248"/>
      </w:pPr>
      <w:rPr>
        <w:rFonts w:hint="default"/>
      </w:rPr>
    </w:lvl>
    <w:lvl w:ilvl="8">
      <w:start w:val="0"/>
      <w:numFmt w:val="bullet"/>
      <w:lvlText w:val="•"/>
      <w:lvlJc w:val="left"/>
      <w:pPr>
        <w:ind w:left="6656" w:hanging="248"/>
      </w:pPr>
      <w:rPr>
        <w:rFonts w:hint="default"/>
      </w:rPr>
    </w:lvl>
  </w:abstractNum>
  <w:abstractNum w:abstractNumId="95">
    <w:multiLevelType w:val="hybridMultilevel"/>
    <w:lvl w:ilvl="0">
      <w:start w:val="1"/>
      <w:numFmt w:val="decimal"/>
      <w:lvlText w:val="%1."/>
      <w:lvlJc w:val="left"/>
      <w:pPr>
        <w:ind w:left="576" w:hanging="358"/>
        <w:jc w:val="left"/>
      </w:pPr>
      <w:rPr>
        <w:rFonts w:hint="default" w:ascii="Times New Roman" w:hAnsi="Times New Roman" w:eastAsia="Times New Roman" w:cs="Times New Roman"/>
        <w:w w:val="100"/>
        <w:sz w:val="16"/>
        <w:szCs w:val="16"/>
      </w:rPr>
    </w:lvl>
    <w:lvl w:ilvl="1">
      <w:start w:val="6"/>
      <w:numFmt w:val="decimal"/>
      <w:lvlText w:val="%2."/>
      <w:lvlJc w:val="left"/>
      <w:pPr>
        <w:ind w:left="442" w:hanging="184"/>
        <w:jc w:val="left"/>
      </w:pPr>
      <w:rPr>
        <w:rFonts w:hint="default" w:ascii="Times New Roman" w:hAnsi="Times New Roman" w:eastAsia="Times New Roman" w:cs="Times New Roman"/>
        <w:i/>
        <w:w w:val="100"/>
        <w:sz w:val="18"/>
        <w:szCs w:val="18"/>
      </w:rPr>
    </w:lvl>
    <w:lvl w:ilvl="2">
      <w:start w:val="1"/>
      <w:numFmt w:val="lowerRoman"/>
      <w:lvlText w:val="(%3)"/>
      <w:lvlJc w:val="left"/>
      <w:pPr>
        <w:ind w:left="883" w:hanging="456"/>
        <w:jc w:val="left"/>
      </w:pPr>
      <w:rPr>
        <w:rFonts w:hint="default" w:ascii="Times New Roman" w:hAnsi="Times New Roman" w:eastAsia="Times New Roman" w:cs="Times New Roman"/>
        <w:w w:val="99"/>
        <w:sz w:val="20"/>
        <w:szCs w:val="20"/>
      </w:rPr>
    </w:lvl>
    <w:lvl w:ilvl="3">
      <w:start w:val="0"/>
      <w:numFmt w:val="bullet"/>
      <w:lvlText w:val="•"/>
      <w:lvlJc w:val="left"/>
      <w:pPr>
        <w:ind w:left="1945" w:hanging="456"/>
      </w:pPr>
      <w:rPr>
        <w:rFonts w:hint="default"/>
      </w:rPr>
    </w:lvl>
    <w:lvl w:ilvl="4">
      <w:start w:val="0"/>
      <w:numFmt w:val="bullet"/>
      <w:lvlText w:val="•"/>
      <w:lvlJc w:val="left"/>
      <w:pPr>
        <w:ind w:left="3010" w:hanging="456"/>
      </w:pPr>
      <w:rPr>
        <w:rFonts w:hint="default"/>
      </w:rPr>
    </w:lvl>
    <w:lvl w:ilvl="5">
      <w:start w:val="0"/>
      <w:numFmt w:val="bullet"/>
      <w:lvlText w:val="•"/>
      <w:lvlJc w:val="left"/>
      <w:pPr>
        <w:ind w:left="4075" w:hanging="456"/>
      </w:pPr>
      <w:rPr>
        <w:rFonts w:hint="default"/>
      </w:rPr>
    </w:lvl>
    <w:lvl w:ilvl="6">
      <w:start w:val="0"/>
      <w:numFmt w:val="bullet"/>
      <w:lvlText w:val="•"/>
      <w:lvlJc w:val="left"/>
      <w:pPr>
        <w:ind w:left="5140" w:hanging="456"/>
      </w:pPr>
      <w:rPr>
        <w:rFonts w:hint="default"/>
      </w:rPr>
    </w:lvl>
    <w:lvl w:ilvl="7">
      <w:start w:val="0"/>
      <w:numFmt w:val="bullet"/>
      <w:lvlText w:val="•"/>
      <w:lvlJc w:val="left"/>
      <w:pPr>
        <w:ind w:left="6205" w:hanging="456"/>
      </w:pPr>
      <w:rPr>
        <w:rFonts w:hint="default"/>
      </w:rPr>
    </w:lvl>
    <w:lvl w:ilvl="8">
      <w:start w:val="0"/>
      <w:numFmt w:val="bullet"/>
      <w:lvlText w:val="•"/>
      <w:lvlJc w:val="left"/>
      <w:pPr>
        <w:ind w:left="7270" w:hanging="456"/>
      </w:pPr>
      <w:rPr>
        <w:rFonts w:hint="default"/>
      </w:rPr>
    </w:lvl>
  </w:abstractNum>
  <w:abstractNum w:abstractNumId="94">
    <w:multiLevelType w:val="hybridMultilevel"/>
    <w:lvl w:ilvl="0">
      <w:start w:val="1"/>
      <w:numFmt w:val="decimal"/>
      <w:lvlText w:val="%1."/>
      <w:lvlJc w:val="left"/>
      <w:pPr>
        <w:ind w:left="275" w:hanging="164"/>
        <w:jc w:val="left"/>
      </w:pPr>
      <w:rPr>
        <w:rFonts w:hint="default" w:ascii="Times New Roman" w:hAnsi="Times New Roman" w:eastAsia="Times New Roman" w:cs="Times New Roman"/>
        <w:w w:val="100"/>
        <w:sz w:val="16"/>
        <w:szCs w:val="16"/>
      </w:rPr>
    </w:lvl>
    <w:lvl w:ilvl="1">
      <w:start w:val="0"/>
      <w:numFmt w:val="bullet"/>
      <w:lvlText w:val="•"/>
      <w:lvlJc w:val="left"/>
      <w:pPr>
        <w:ind w:left="931" w:hanging="164"/>
      </w:pPr>
      <w:rPr>
        <w:rFonts w:hint="default"/>
      </w:rPr>
    </w:lvl>
    <w:lvl w:ilvl="2">
      <w:start w:val="0"/>
      <w:numFmt w:val="bullet"/>
      <w:lvlText w:val="•"/>
      <w:lvlJc w:val="left"/>
      <w:pPr>
        <w:ind w:left="1582" w:hanging="164"/>
      </w:pPr>
      <w:rPr>
        <w:rFonts w:hint="default"/>
      </w:rPr>
    </w:lvl>
    <w:lvl w:ilvl="3">
      <w:start w:val="0"/>
      <w:numFmt w:val="bullet"/>
      <w:lvlText w:val="•"/>
      <w:lvlJc w:val="left"/>
      <w:pPr>
        <w:ind w:left="2234" w:hanging="164"/>
      </w:pPr>
      <w:rPr>
        <w:rFonts w:hint="default"/>
      </w:rPr>
    </w:lvl>
    <w:lvl w:ilvl="4">
      <w:start w:val="0"/>
      <w:numFmt w:val="bullet"/>
      <w:lvlText w:val="•"/>
      <w:lvlJc w:val="left"/>
      <w:pPr>
        <w:ind w:left="2885" w:hanging="164"/>
      </w:pPr>
      <w:rPr>
        <w:rFonts w:hint="default"/>
      </w:rPr>
    </w:lvl>
    <w:lvl w:ilvl="5">
      <w:start w:val="0"/>
      <w:numFmt w:val="bullet"/>
      <w:lvlText w:val="•"/>
      <w:lvlJc w:val="left"/>
      <w:pPr>
        <w:ind w:left="3537" w:hanging="164"/>
      </w:pPr>
      <w:rPr>
        <w:rFonts w:hint="default"/>
      </w:rPr>
    </w:lvl>
    <w:lvl w:ilvl="6">
      <w:start w:val="0"/>
      <w:numFmt w:val="bullet"/>
      <w:lvlText w:val="•"/>
      <w:lvlJc w:val="left"/>
      <w:pPr>
        <w:ind w:left="4188" w:hanging="164"/>
      </w:pPr>
      <w:rPr>
        <w:rFonts w:hint="default"/>
      </w:rPr>
    </w:lvl>
    <w:lvl w:ilvl="7">
      <w:start w:val="0"/>
      <w:numFmt w:val="bullet"/>
      <w:lvlText w:val="•"/>
      <w:lvlJc w:val="left"/>
      <w:pPr>
        <w:ind w:left="4839" w:hanging="164"/>
      </w:pPr>
      <w:rPr>
        <w:rFonts w:hint="default"/>
      </w:rPr>
    </w:lvl>
    <w:lvl w:ilvl="8">
      <w:start w:val="0"/>
      <w:numFmt w:val="bullet"/>
      <w:lvlText w:val="•"/>
      <w:lvlJc w:val="left"/>
      <w:pPr>
        <w:ind w:left="5491" w:hanging="164"/>
      </w:pPr>
      <w:rPr>
        <w:rFonts w:hint="default"/>
      </w:rPr>
    </w:lvl>
  </w:abstractNum>
  <w:abstractNum w:abstractNumId="93">
    <w:multiLevelType w:val="hybridMultilevel"/>
    <w:lvl w:ilvl="0">
      <w:start w:val="1"/>
      <w:numFmt w:val="decimal"/>
      <w:lvlText w:val="%1."/>
      <w:lvlJc w:val="left"/>
      <w:pPr>
        <w:ind w:left="579" w:hanging="360"/>
        <w:jc w:val="left"/>
      </w:pPr>
      <w:rPr>
        <w:rFonts w:hint="default" w:ascii="Times New Roman" w:hAnsi="Times New Roman" w:eastAsia="Times New Roman" w:cs="Times New Roman"/>
        <w:w w:val="100"/>
        <w:sz w:val="16"/>
        <w:szCs w:val="16"/>
      </w:rPr>
    </w:lvl>
    <w:lvl w:ilvl="1">
      <w:start w:val="0"/>
      <w:numFmt w:val="bullet"/>
      <w:lvlText w:val="•"/>
      <w:lvlJc w:val="left"/>
      <w:pPr>
        <w:ind w:left="1478" w:hanging="360"/>
      </w:pPr>
      <w:rPr>
        <w:rFonts w:hint="default"/>
      </w:rPr>
    </w:lvl>
    <w:lvl w:ilvl="2">
      <w:start w:val="0"/>
      <w:numFmt w:val="bullet"/>
      <w:lvlText w:val="•"/>
      <w:lvlJc w:val="left"/>
      <w:pPr>
        <w:ind w:left="2376" w:hanging="360"/>
      </w:pPr>
      <w:rPr>
        <w:rFonts w:hint="default"/>
      </w:rPr>
    </w:lvl>
    <w:lvl w:ilvl="3">
      <w:start w:val="0"/>
      <w:numFmt w:val="bullet"/>
      <w:lvlText w:val="•"/>
      <w:lvlJc w:val="left"/>
      <w:pPr>
        <w:ind w:left="3274" w:hanging="360"/>
      </w:pPr>
      <w:rPr>
        <w:rFonts w:hint="default"/>
      </w:rPr>
    </w:lvl>
    <w:lvl w:ilvl="4">
      <w:start w:val="0"/>
      <w:numFmt w:val="bullet"/>
      <w:lvlText w:val="•"/>
      <w:lvlJc w:val="left"/>
      <w:pPr>
        <w:ind w:left="4172" w:hanging="360"/>
      </w:pPr>
      <w:rPr>
        <w:rFonts w:hint="default"/>
      </w:rPr>
    </w:lvl>
    <w:lvl w:ilvl="5">
      <w:start w:val="0"/>
      <w:numFmt w:val="bullet"/>
      <w:lvlText w:val="•"/>
      <w:lvlJc w:val="left"/>
      <w:pPr>
        <w:ind w:left="5070" w:hanging="360"/>
      </w:pPr>
      <w:rPr>
        <w:rFonts w:hint="default"/>
      </w:rPr>
    </w:lvl>
    <w:lvl w:ilvl="6">
      <w:start w:val="0"/>
      <w:numFmt w:val="bullet"/>
      <w:lvlText w:val="•"/>
      <w:lvlJc w:val="left"/>
      <w:pPr>
        <w:ind w:left="5968" w:hanging="360"/>
      </w:pPr>
      <w:rPr>
        <w:rFonts w:hint="default"/>
      </w:rPr>
    </w:lvl>
    <w:lvl w:ilvl="7">
      <w:start w:val="0"/>
      <w:numFmt w:val="bullet"/>
      <w:lvlText w:val="•"/>
      <w:lvlJc w:val="left"/>
      <w:pPr>
        <w:ind w:left="6866" w:hanging="360"/>
      </w:pPr>
      <w:rPr>
        <w:rFonts w:hint="default"/>
      </w:rPr>
    </w:lvl>
    <w:lvl w:ilvl="8">
      <w:start w:val="0"/>
      <w:numFmt w:val="bullet"/>
      <w:lvlText w:val="•"/>
      <w:lvlJc w:val="left"/>
      <w:pPr>
        <w:ind w:left="7764" w:hanging="360"/>
      </w:pPr>
      <w:rPr>
        <w:rFonts w:hint="default"/>
      </w:rPr>
    </w:lvl>
  </w:abstractNum>
  <w:abstractNum w:abstractNumId="92">
    <w:multiLevelType w:val="hybridMultilevel"/>
    <w:lvl w:ilvl="0">
      <w:start w:val="1"/>
      <w:numFmt w:val="decimal"/>
      <w:lvlText w:val="(%1)"/>
      <w:lvlJc w:val="left"/>
      <w:pPr>
        <w:ind w:left="438"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40" w:hanging="257"/>
      </w:pPr>
      <w:rPr>
        <w:rFonts w:hint="default"/>
      </w:rPr>
    </w:lvl>
    <w:lvl w:ilvl="2">
      <w:start w:val="0"/>
      <w:numFmt w:val="bullet"/>
      <w:lvlText w:val="•"/>
      <w:lvlJc w:val="left"/>
      <w:pPr>
        <w:ind w:left="1241" w:hanging="257"/>
      </w:pPr>
      <w:rPr>
        <w:rFonts w:hint="default"/>
      </w:rPr>
    </w:lvl>
    <w:lvl w:ilvl="3">
      <w:start w:val="0"/>
      <w:numFmt w:val="bullet"/>
      <w:lvlText w:val="•"/>
      <w:lvlJc w:val="left"/>
      <w:pPr>
        <w:ind w:left="1641" w:hanging="257"/>
      </w:pPr>
      <w:rPr>
        <w:rFonts w:hint="default"/>
      </w:rPr>
    </w:lvl>
    <w:lvl w:ilvl="4">
      <w:start w:val="0"/>
      <w:numFmt w:val="bullet"/>
      <w:lvlText w:val="•"/>
      <w:lvlJc w:val="left"/>
      <w:pPr>
        <w:ind w:left="2042" w:hanging="257"/>
      </w:pPr>
      <w:rPr>
        <w:rFonts w:hint="default"/>
      </w:rPr>
    </w:lvl>
    <w:lvl w:ilvl="5">
      <w:start w:val="0"/>
      <w:numFmt w:val="bullet"/>
      <w:lvlText w:val="•"/>
      <w:lvlJc w:val="left"/>
      <w:pPr>
        <w:ind w:left="2443" w:hanging="257"/>
      </w:pPr>
      <w:rPr>
        <w:rFonts w:hint="default"/>
      </w:rPr>
    </w:lvl>
    <w:lvl w:ilvl="6">
      <w:start w:val="0"/>
      <w:numFmt w:val="bullet"/>
      <w:lvlText w:val="•"/>
      <w:lvlJc w:val="left"/>
      <w:pPr>
        <w:ind w:left="2843" w:hanging="257"/>
      </w:pPr>
      <w:rPr>
        <w:rFonts w:hint="default"/>
      </w:rPr>
    </w:lvl>
    <w:lvl w:ilvl="7">
      <w:start w:val="0"/>
      <w:numFmt w:val="bullet"/>
      <w:lvlText w:val="•"/>
      <w:lvlJc w:val="left"/>
      <w:pPr>
        <w:ind w:left="3244" w:hanging="257"/>
      </w:pPr>
      <w:rPr>
        <w:rFonts w:hint="default"/>
      </w:rPr>
    </w:lvl>
    <w:lvl w:ilvl="8">
      <w:start w:val="0"/>
      <w:numFmt w:val="bullet"/>
      <w:lvlText w:val="•"/>
      <w:lvlJc w:val="left"/>
      <w:pPr>
        <w:ind w:left="3645" w:hanging="257"/>
      </w:pPr>
      <w:rPr>
        <w:rFonts w:hint="default"/>
      </w:rPr>
    </w:lvl>
  </w:abstractNum>
  <w:abstractNum w:abstractNumId="91">
    <w:multiLevelType w:val="hybridMultilevel"/>
    <w:lvl w:ilvl="0">
      <w:start w:val="1"/>
      <w:numFmt w:val="decimal"/>
      <w:lvlText w:val="(%1)"/>
      <w:lvlJc w:val="left"/>
      <w:pPr>
        <w:ind w:left="465"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58" w:hanging="257"/>
      </w:pPr>
      <w:rPr>
        <w:rFonts w:hint="default"/>
      </w:rPr>
    </w:lvl>
    <w:lvl w:ilvl="2">
      <w:start w:val="0"/>
      <w:numFmt w:val="bullet"/>
      <w:lvlText w:val="•"/>
      <w:lvlJc w:val="left"/>
      <w:pPr>
        <w:ind w:left="1256" w:hanging="257"/>
      </w:pPr>
      <w:rPr>
        <w:rFonts w:hint="default"/>
      </w:rPr>
    </w:lvl>
    <w:lvl w:ilvl="3">
      <w:start w:val="0"/>
      <w:numFmt w:val="bullet"/>
      <w:lvlText w:val="•"/>
      <w:lvlJc w:val="left"/>
      <w:pPr>
        <w:ind w:left="1654" w:hanging="257"/>
      </w:pPr>
      <w:rPr>
        <w:rFonts w:hint="default"/>
      </w:rPr>
    </w:lvl>
    <w:lvl w:ilvl="4">
      <w:start w:val="0"/>
      <w:numFmt w:val="bullet"/>
      <w:lvlText w:val="•"/>
      <w:lvlJc w:val="left"/>
      <w:pPr>
        <w:ind w:left="2053" w:hanging="257"/>
      </w:pPr>
      <w:rPr>
        <w:rFonts w:hint="default"/>
      </w:rPr>
    </w:lvl>
    <w:lvl w:ilvl="5">
      <w:start w:val="0"/>
      <w:numFmt w:val="bullet"/>
      <w:lvlText w:val="•"/>
      <w:lvlJc w:val="left"/>
      <w:pPr>
        <w:ind w:left="2451" w:hanging="257"/>
      </w:pPr>
      <w:rPr>
        <w:rFonts w:hint="default"/>
      </w:rPr>
    </w:lvl>
    <w:lvl w:ilvl="6">
      <w:start w:val="0"/>
      <w:numFmt w:val="bullet"/>
      <w:lvlText w:val="•"/>
      <w:lvlJc w:val="left"/>
      <w:pPr>
        <w:ind w:left="2849" w:hanging="257"/>
      </w:pPr>
      <w:rPr>
        <w:rFonts w:hint="default"/>
      </w:rPr>
    </w:lvl>
    <w:lvl w:ilvl="7">
      <w:start w:val="0"/>
      <w:numFmt w:val="bullet"/>
      <w:lvlText w:val="•"/>
      <w:lvlJc w:val="left"/>
      <w:pPr>
        <w:ind w:left="3247" w:hanging="257"/>
      </w:pPr>
      <w:rPr>
        <w:rFonts w:hint="default"/>
      </w:rPr>
    </w:lvl>
    <w:lvl w:ilvl="8">
      <w:start w:val="0"/>
      <w:numFmt w:val="bullet"/>
      <w:lvlText w:val="•"/>
      <w:lvlJc w:val="left"/>
      <w:pPr>
        <w:ind w:left="3646" w:hanging="257"/>
      </w:pPr>
      <w:rPr>
        <w:rFonts w:hint="default"/>
      </w:rPr>
    </w:lvl>
  </w:abstractNum>
  <w:abstractNum w:abstractNumId="90">
    <w:multiLevelType w:val="hybridMultilevel"/>
    <w:lvl w:ilvl="0">
      <w:start w:val="1"/>
      <w:numFmt w:val="decimal"/>
      <w:lvlText w:val="(%1)"/>
      <w:lvlJc w:val="left"/>
      <w:pPr>
        <w:ind w:left="465"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57" w:hanging="257"/>
      </w:pPr>
      <w:rPr>
        <w:rFonts w:hint="default"/>
      </w:rPr>
    </w:lvl>
    <w:lvl w:ilvl="2">
      <w:start w:val="0"/>
      <w:numFmt w:val="bullet"/>
      <w:lvlText w:val="•"/>
      <w:lvlJc w:val="left"/>
      <w:pPr>
        <w:ind w:left="1255" w:hanging="257"/>
      </w:pPr>
      <w:rPr>
        <w:rFonts w:hint="default"/>
      </w:rPr>
    </w:lvl>
    <w:lvl w:ilvl="3">
      <w:start w:val="0"/>
      <w:numFmt w:val="bullet"/>
      <w:lvlText w:val="•"/>
      <w:lvlJc w:val="left"/>
      <w:pPr>
        <w:ind w:left="1652" w:hanging="257"/>
      </w:pPr>
      <w:rPr>
        <w:rFonts w:hint="default"/>
      </w:rPr>
    </w:lvl>
    <w:lvl w:ilvl="4">
      <w:start w:val="0"/>
      <w:numFmt w:val="bullet"/>
      <w:lvlText w:val="•"/>
      <w:lvlJc w:val="left"/>
      <w:pPr>
        <w:ind w:left="2050" w:hanging="257"/>
      </w:pPr>
      <w:rPr>
        <w:rFonts w:hint="default"/>
      </w:rPr>
    </w:lvl>
    <w:lvl w:ilvl="5">
      <w:start w:val="0"/>
      <w:numFmt w:val="bullet"/>
      <w:lvlText w:val="•"/>
      <w:lvlJc w:val="left"/>
      <w:pPr>
        <w:ind w:left="2447" w:hanging="257"/>
      </w:pPr>
      <w:rPr>
        <w:rFonts w:hint="default"/>
      </w:rPr>
    </w:lvl>
    <w:lvl w:ilvl="6">
      <w:start w:val="0"/>
      <w:numFmt w:val="bullet"/>
      <w:lvlText w:val="•"/>
      <w:lvlJc w:val="left"/>
      <w:pPr>
        <w:ind w:left="2845" w:hanging="257"/>
      </w:pPr>
      <w:rPr>
        <w:rFonts w:hint="default"/>
      </w:rPr>
    </w:lvl>
    <w:lvl w:ilvl="7">
      <w:start w:val="0"/>
      <w:numFmt w:val="bullet"/>
      <w:lvlText w:val="•"/>
      <w:lvlJc w:val="left"/>
      <w:pPr>
        <w:ind w:left="3242" w:hanging="257"/>
      </w:pPr>
      <w:rPr>
        <w:rFonts w:hint="default"/>
      </w:rPr>
    </w:lvl>
    <w:lvl w:ilvl="8">
      <w:start w:val="0"/>
      <w:numFmt w:val="bullet"/>
      <w:lvlText w:val="•"/>
      <w:lvlJc w:val="left"/>
      <w:pPr>
        <w:ind w:left="3640" w:hanging="257"/>
      </w:pPr>
      <w:rPr>
        <w:rFonts w:hint="default"/>
      </w:rPr>
    </w:lvl>
  </w:abstractNum>
  <w:abstractNum w:abstractNumId="89">
    <w:multiLevelType w:val="hybridMultilevel"/>
    <w:lvl w:ilvl="0">
      <w:start w:val="1"/>
      <w:numFmt w:val="decimal"/>
      <w:lvlText w:val="(%1)"/>
      <w:lvlJc w:val="left"/>
      <w:pPr>
        <w:ind w:left="494"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95" w:hanging="257"/>
      </w:pPr>
      <w:rPr>
        <w:rFonts w:hint="default"/>
      </w:rPr>
    </w:lvl>
    <w:lvl w:ilvl="2">
      <w:start w:val="0"/>
      <w:numFmt w:val="bullet"/>
      <w:lvlText w:val="•"/>
      <w:lvlJc w:val="left"/>
      <w:pPr>
        <w:ind w:left="1291" w:hanging="257"/>
      </w:pPr>
      <w:rPr>
        <w:rFonts w:hint="default"/>
      </w:rPr>
    </w:lvl>
    <w:lvl w:ilvl="3">
      <w:start w:val="0"/>
      <w:numFmt w:val="bullet"/>
      <w:lvlText w:val="•"/>
      <w:lvlJc w:val="left"/>
      <w:pPr>
        <w:ind w:left="1687" w:hanging="257"/>
      </w:pPr>
      <w:rPr>
        <w:rFonts w:hint="default"/>
      </w:rPr>
    </w:lvl>
    <w:lvl w:ilvl="4">
      <w:start w:val="0"/>
      <w:numFmt w:val="bullet"/>
      <w:lvlText w:val="•"/>
      <w:lvlJc w:val="left"/>
      <w:pPr>
        <w:ind w:left="2082" w:hanging="257"/>
      </w:pPr>
      <w:rPr>
        <w:rFonts w:hint="default"/>
      </w:rPr>
    </w:lvl>
    <w:lvl w:ilvl="5">
      <w:start w:val="0"/>
      <w:numFmt w:val="bullet"/>
      <w:lvlText w:val="•"/>
      <w:lvlJc w:val="left"/>
      <w:pPr>
        <w:ind w:left="2478" w:hanging="257"/>
      </w:pPr>
      <w:rPr>
        <w:rFonts w:hint="default"/>
      </w:rPr>
    </w:lvl>
    <w:lvl w:ilvl="6">
      <w:start w:val="0"/>
      <w:numFmt w:val="bullet"/>
      <w:lvlText w:val="•"/>
      <w:lvlJc w:val="left"/>
      <w:pPr>
        <w:ind w:left="2874" w:hanging="257"/>
      </w:pPr>
      <w:rPr>
        <w:rFonts w:hint="default"/>
      </w:rPr>
    </w:lvl>
    <w:lvl w:ilvl="7">
      <w:start w:val="0"/>
      <w:numFmt w:val="bullet"/>
      <w:lvlText w:val="•"/>
      <w:lvlJc w:val="left"/>
      <w:pPr>
        <w:ind w:left="3269" w:hanging="257"/>
      </w:pPr>
      <w:rPr>
        <w:rFonts w:hint="default"/>
      </w:rPr>
    </w:lvl>
    <w:lvl w:ilvl="8">
      <w:start w:val="0"/>
      <w:numFmt w:val="bullet"/>
      <w:lvlText w:val="•"/>
      <w:lvlJc w:val="left"/>
      <w:pPr>
        <w:ind w:left="3665" w:hanging="257"/>
      </w:pPr>
      <w:rPr>
        <w:rFonts w:hint="default"/>
      </w:rPr>
    </w:lvl>
  </w:abstractNum>
  <w:abstractNum w:abstractNumId="88">
    <w:multiLevelType w:val="hybridMultilevel"/>
    <w:lvl w:ilvl="0">
      <w:start w:val="1"/>
      <w:numFmt w:val="decimal"/>
      <w:lvlText w:val="(%1)"/>
      <w:lvlJc w:val="left"/>
      <w:pPr>
        <w:ind w:left="465"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59" w:hanging="257"/>
      </w:pPr>
      <w:rPr>
        <w:rFonts w:hint="default"/>
      </w:rPr>
    </w:lvl>
    <w:lvl w:ilvl="2">
      <w:start w:val="0"/>
      <w:numFmt w:val="bullet"/>
      <w:lvlText w:val="•"/>
      <w:lvlJc w:val="left"/>
      <w:pPr>
        <w:ind w:left="1259" w:hanging="257"/>
      </w:pPr>
      <w:rPr>
        <w:rFonts w:hint="default"/>
      </w:rPr>
    </w:lvl>
    <w:lvl w:ilvl="3">
      <w:start w:val="0"/>
      <w:numFmt w:val="bullet"/>
      <w:lvlText w:val="•"/>
      <w:lvlJc w:val="left"/>
      <w:pPr>
        <w:ind w:left="1659" w:hanging="257"/>
      </w:pPr>
      <w:rPr>
        <w:rFonts w:hint="default"/>
      </w:rPr>
    </w:lvl>
    <w:lvl w:ilvl="4">
      <w:start w:val="0"/>
      <w:numFmt w:val="bullet"/>
      <w:lvlText w:val="•"/>
      <w:lvlJc w:val="left"/>
      <w:pPr>
        <w:ind w:left="2058" w:hanging="257"/>
      </w:pPr>
      <w:rPr>
        <w:rFonts w:hint="default"/>
      </w:rPr>
    </w:lvl>
    <w:lvl w:ilvl="5">
      <w:start w:val="0"/>
      <w:numFmt w:val="bullet"/>
      <w:lvlText w:val="•"/>
      <w:lvlJc w:val="left"/>
      <w:pPr>
        <w:ind w:left="2458" w:hanging="257"/>
      </w:pPr>
      <w:rPr>
        <w:rFonts w:hint="default"/>
      </w:rPr>
    </w:lvl>
    <w:lvl w:ilvl="6">
      <w:start w:val="0"/>
      <w:numFmt w:val="bullet"/>
      <w:lvlText w:val="•"/>
      <w:lvlJc w:val="left"/>
      <w:pPr>
        <w:ind w:left="2858" w:hanging="257"/>
      </w:pPr>
      <w:rPr>
        <w:rFonts w:hint="default"/>
      </w:rPr>
    </w:lvl>
    <w:lvl w:ilvl="7">
      <w:start w:val="0"/>
      <w:numFmt w:val="bullet"/>
      <w:lvlText w:val="•"/>
      <w:lvlJc w:val="left"/>
      <w:pPr>
        <w:ind w:left="3257" w:hanging="257"/>
      </w:pPr>
      <w:rPr>
        <w:rFonts w:hint="default"/>
      </w:rPr>
    </w:lvl>
    <w:lvl w:ilvl="8">
      <w:start w:val="0"/>
      <w:numFmt w:val="bullet"/>
      <w:lvlText w:val="•"/>
      <w:lvlJc w:val="left"/>
      <w:pPr>
        <w:ind w:left="3657" w:hanging="257"/>
      </w:pPr>
      <w:rPr>
        <w:rFonts w:hint="default"/>
      </w:rPr>
    </w:lvl>
  </w:abstractNum>
  <w:abstractNum w:abstractNumId="87">
    <w:multiLevelType w:val="hybridMultilevel"/>
    <w:lvl w:ilvl="0">
      <w:start w:val="1"/>
      <w:numFmt w:val="decimal"/>
      <w:lvlText w:val="(%1)"/>
      <w:lvlJc w:val="left"/>
      <w:pPr>
        <w:ind w:left="467"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59" w:hanging="257"/>
      </w:pPr>
      <w:rPr>
        <w:rFonts w:hint="default"/>
      </w:rPr>
    </w:lvl>
    <w:lvl w:ilvl="2">
      <w:start w:val="0"/>
      <w:numFmt w:val="bullet"/>
      <w:lvlText w:val="•"/>
      <w:lvlJc w:val="left"/>
      <w:pPr>
        <w:ind w:left="1258" w:hanging="257"/>
      </w:pPr>
      <w:rPr>
        <w:rFonts w:hint="default"/>
      </w:rPr>
    </w:lvl>
    <w:lvl w:ilvl="3">
      <w:start w:val="0"/>
      <w:numFmt w:val="bullet"/>
      <w:lvlText w:val="•"/>
      <w:lvlJc w:val="left"/>
      <w:pPr>
        <w:ind w:left="1658" w:hanging="257"/>
      </w:pPr>
      <w:rPr>
        <w:rFonts w:hint="default"/>
      </w:rPr>
    </w:lvl>
    <w:lvl w:ilvl="4">
      <w:start w:val="0"/>
      <w:numFmt w:val="bullet"/>
      <w:lvlText w:val="•"/>
      <w:lvlJc w:val="left"/>
      <w:pPr>
        <w:ind w:left="2057" w:hanging="257"/>
      </w:pPr>
      <w:rPr>
        <w:rFonts w:hint="default"/>
      </w:rPr>
    </w:lvl>
    <w:lvl w:ilvl="5">
      <w:start w:val="0"/>
      <w:numFmt w:val="bullet"/>
      <w:lvlText w:val="•"/>
      <w:lvlJc w:val="left"/>
      <w:pPr>
        <w:ind w:left="2456" w:hanging="257"/>
      </w:pPr>
      <w:rPr>
        <w:rFonts w:hint="default"/>
      </w:rPr>
    </w:lvl>
    <w:lvl w:ilvl="6">
      <w:start w:val="0"/>
      <w:numFmt w:val="bullet"/>
      <w:lvlText w:val="•"/>
      <w:lvlJc w:val="left"/>
      <w:pPr>
        <w:ind w:left="2856" w:hanging="257"/>
      </w:pPr>
      <w:rPr>
        <w:rFonts w:hint="default"/>
      </w:rPr>
    </w:lvl>
    <w:lvl w:ilvl="7">
      <w:start w:val="0"/>
      <w:numFmt w:val="bullet"/>
      <w:lvlText w:val="•"/>
      <w:lvlJc w:val="left"/>
      <w:pPr>
        <w:ind w:left="3255" w:hanging="257"/>
      </w:pPr>
      <w:rPr>
        <w:rFonts w:hint="default"/>
      </w:rPr>
    </w:lvl>
    <w:lvl w:ilvl="8">
      <w:start w:val="0"/>
      <w:numFmt w:val="bullet"/>
      <w:lvlText w:val="•"/>
      <w:lvlJc w:val="left"/>
      <w:pPr>
        <w:ind w:left="3654" w:hanging="257"/>
      </w:pPr>
      <w:rPr>
        <w:rFonts w:hint="default"/>
      </w:rPr>
    </w:lvl>
  </w:abstractNum>
  <w:abstractNum w:abstractNumId="86">
    <w:multiLevelType w:val="hybridMultilevel"/>
    <w:lvl w:ilvl="0">
      <w:start w:val="1"/>
      <w:numFmt w:val="decimal"/>
      <w:lvlText w:val="(%1)"/>
      <w:lvlJc w:val="left"/>
      <w:pPr>
        <w:ind w:left="465"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59" w:hanging="257"/>
      </w:pPr>
      <w:rPr>
        <w:rFonts w:hint="default"/>
      </w:rPr>
    </w:lvl>
    <w:lvl w:ilvl="2">
      <w:start w:val="0"/>
      <w:numFmt w:val="bullet"/>
      <w:lvlText w:val="•"/>
      <w:lvlJc w:val="left"/>
      <w:pPr>
        <w:ind w:left="1258" w:hanging="257"/>
      </w:pPr>
      <w:rPr>
        <w:rFonts w:hint="default"/>
      </w:rPr>
    </w:lvl>
    <w:lvl w:ilvl="3">
      <w:start w:val="0"/>
      <w:numFmt w:val="bullet"/>
      <w:lvlText w:val="•"/>
      <w:lvlJc w:val="left"/>
      <w:pPr>
        <w:ind w:left="1657" w:hanging="257"/>
      </w:pPr>
      <w:rPr>
        <w:rFonts w:hint="default"/>
      </w:rPr>
    </w:lvl>
    <w:lvl w:ilvl="4">
      <w:start w:val="0"/>
      <w:numFmt w:val="bullet"/>
      <w:lvlText w:val="•"/>
      <w:lvlJc w:val="left"/>
      <w:pPr>
        <w:ind w:left="2057" w:hanging="257"/>
      </w:pPr>
      <w:rPr>
        <w:rFonts w:hint="default"/>
      </w:rPr>
    </w:lvl>
    <w:lvl w:ilvl="5">
      <w:start w:val="0"/>
      <w:numFmt w:val="bullet"/>
      <w:lvlText w:val="•"/>
      <w:lvlJc w:val="left"/>
      <w:pPr>
        <w:ind w:left="2456" w:hanging="257"/>
      </w:pPr>
      <w:rPr>
        <w:rFonts w:hint="default"/>
      </w:rPr>
    </w:lvl>
    <w:lvl w:ilvl="6">
      <w:start w:val="0"/>
      <w:numFmt w:val="bullet"/>
      <w:lvlText w:val="•"/>
      <w:lvlJc w:val="left"/>
      <w:pPr>
        <w:ind w:left="2855" w:hanging="257"/>
      </w:pPr>
      <w:rPr>
        <w:rFonts w:hint="default"/>
      </w:rPr>
    </w:lvl>
    <w:lvl w:ilvl="7">
      <w:start w:val="0"/>
      <w:numFmt w:val="bullet"/>
      <w:lvlText w:val="•"/>
      <w:lvlJc w:val="left"/>
      <w:pPr>
        <w:ind w:left="3255" w:hanging="257"/>
      </w:pPr>
      <w:rPr>
        <w:rFonts w:hint="default"/>
      </w:rPr>
    </w:lvl>
    <w:lvl w:ilvl="8">
      <w:start w:val="0"/>
      <w:numFmt w:val="bullet"/>
      <w:lvlText w:val="•"/>
      <w:lvlJc w:val="left"/>
      <w:pPr>
        <w:ind w:left="3654" w:hanging="257"/>
      </w:pPr>
      <w:rPr>
        <w:rFonts w:hint="default"/>
      </w:rPr>
    </w:lvl>
  </w:abstractNum>
  <w:abstractNum w:abstractNumId="85">
    <w:multiLevelType w:val="hybridMultilevel"/>
    <w:lvl w:ilvl="0">
      <w:start w:val="1"/>
      <w:numFmt w:val="decimal"/>
      <w:lvlText w:val="(%1)"/>
      <w:lvlJc w:val="left"/>
      <w:pPr>
        <w:ind w:left="467"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59" w:hanging="257"/>
      </w:pPr>
      <w:rPr>
        <w:rFonts w:hint="default"/>
      </w:rPr>
    </w:lvl>
    <w:lvl w:ilvl="2">
      <w:start w:val="0"/>
      <w:numFmt w:val="bullet"/>
      <w:lvlText w:val="•"/>
      <w:lvlJc w:val="left"/>
      <w:pPr>
        <w:ind w:left="1258" w:hanging="257"/>
      </w:pPr>
      <w:rPr>
        <w:rFonts w:hint="default"/>
      </w:rPr>
    </w:lvl>
    <w:lvl w:ilvl="3">
      <w:start w:val="0"/>
      <w:numFmt w:val="bullet"/>
      <w:lvlText w:val="•"/>
      <w:lvlJc w:val="left"/>
      <w:pPr>
        <w:ind w:left="1657" w:hanging="257"/>
      </w:pPr>
      <w:rPr>
        <w:rFonts w:hint="default"/>
      </w:rPr>
    </w:lvl>
    <w:lvl w:ilvl="4">
      <w:start w:val="0"/>
      <w:numFmt w:val="bullet"/>
      <w:lvlText w:val="•"/>
      <w:lvlJc w:val="left"/>
      <w:pPr>
        <w:ind w:left="2057" w:hanging="257"/>
      </w:pPr>
      <w:rPr>
        <w:rFonts w:hint="default"/>
      </w:rPr>
    </w:lvl>
    <w:lvl w:ilvl="5">
      <w:start w:val="0"/>
      <w:numFmt w:val="bullet"/>
      <w:lvlText w:val="•"/>
      <w:lvlJc w:val="left"/>
      <w:pPr>
        <w:ind w:left="2456" w:hanging="257"/>
      </w:pPr>
      <w:rPr>
        <w:rFonts w:hint="default"/>
      </w:rPr>
    </w:lvl>
    <w:lvl w:ilvl="6">
      <w:start w:val="0"/>
      <w:numFmt w:val="bullet"/>
      <w:lvlText w:val="•"/>
      <w:lvlJc w:val="left"/>
      <w:pPr>
        <w:ind w:left="2855" w:hanging="257"/>
      </w:pPr>
      <w:rPr>
        <w:rFonts w:hint="default"/>
      </w:rPr>
    </w:lvl>
    <w:lvl w:ilvl="7">
      <w:start w:val="0"/>
      <w:numFmt w:val="bullet"/>
      <w:lvlText w:val="•"/>
      <w:lvlJc w:val="left"/>
      <w:pPr>
        <w:ind w:left="3255" w:hanging="257"/>
      </w:pPr>
      <w:rPr>
        <w:rFonts w:hint="default"/>
      </w:rPr>
    </w:lvl>
    <w:lvl w:ilvl="8">
      <w:start w:val="0"/>
      <w:numFmt w:val="bullet"/>
      <w:lvlText w:val="•"/>
      <w:lvlJc w:val="left"/>
      <w:pPr>
        <w:ind w:left="3654" w:hanging="257"/>
      </w:pPr>
      <w:rPr>
        <w:rFonts w:hint="default"/>
      </w:rPr>
    </w:lvl>
  </w:abstractNum>
  <w:abstractNum w:abstractNumId="84">
    <w:multiLevelType w:val="hybridMultilevel"/>
    <w:lvl w:ilvl="0">
      <w:start w:val="1"/>
      <w:numFmt w:val="decimal"/>
      <w:lvlText w:val="(%1)"/>
      <w:lvlJc w:val="left"/>
      <w:pPr>
        <w:ind w:left="465"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62" w:hanging="257"/>
      </w:pPr>
      <w:rPr>
        <w:rFonts w:hint="default"/>
      </w:rPr>
    </w:lvl>
    <w:lvl w:ilvl="2">
      <w:start w:val="0"/>
      <w:numFmt w:val="bullet"/>
      <w:lvlText w:val="•"/>
      <w:lvlJc w:val="left"/>
      <w:pPr>
        <w:ind w:left="1265" w:hanging="257"/>
      </w:pPr>
      <w:rPr>
        <w:rFonts w:hint="default"/>
      </w:rPr>
    </w:lvl>
    <w:lvl w:ilvl="3">
      <w:start w:val="0"/>
      <w:numFmt w:val="bullet"/>
      <w:lvlText w:val="•"/>
      <w:lvlJc w:val="left"/>
      <w:pPr>
        <w:ind w:left="1668" w:hanging="257"/>
      </w:pPr>
      <w:rPr>
        <w:rFonts w:hint="default"/>
      </w:rPr>
    </w:lvl>
    <w:lvl w:ilvl="4">
      <w:start w:val="0"/>
      <w:numFmt w:val="bullet"/>
      <w:lvlText w:val="•"/>
      <w:lvlJc w:val="left"/>
      <w:pPr>
        <w:ind w:left="2071" w:hanging="257"/>
      </w:pPr>
      <w:rPr>
        <w:rFonts w:hint="default"/>
      </w:rPr>
    </w:lvl>
    <w:lvl w:ilvl="5">
      <w:start w:val="0"/>
      <w:numFmt w:val="bullet"/>
      <w:lvlText w:val="•"/>
      <w:lvlJc w:val="left"/>
      <w:pPr>
        <w:ind w:left="2474" w:hanging="257"/>
      </w:pPr>
      <w:rPr>
        <w:rFonts w:hint="default"/>
      </w:rPr>
    </w:lvl>
    <w:lvl w:ilvl="6">
      <w:start w:val="0"/>
      <w:numFmt w:val="bullet"/>
      <w:lvlText w:val="•"/>
      <w:lvlJc w:val="left"/>
      <w:pPr>
        <w:ind w:left="2876" w:hanging="257"/>
      </w:pPr>
      <w:rPr>
        <w:rFonts w:hint="default"/>
      </w:rPr>
    </w:lvl>
    <w:lvl w:ilvl="7">
      <w:start w:val="0"/>
      <w:numFmt w:val="bullet"/>
      <w:lvlText w:val="•"/>
      <w:lvlJc w:val="left"/>
      <w:pPr>
        <w:ind w:left="3279" w:hanging="257"/>
      </w:pPr>
      <w:rPr>
        <w:rFonts w:hint="default"/>
      </w:rPr>
    </w:lvl>
    <w:lvl w:ilvl="8">
      <w:start w:val="0"/>
      <w:numFmt w:val="bullet"/>
      <w:lvlText w:val="•"/>
      <w:lvlJc w:val="left"/>
      <w:pPr>
        <w:ind w:left="3682" w:hanging="257"/>
      </w:pPr>
      <w:rPr>
        <w:rFonts w:hint="default"/>
      </w:rPr>
    </w:lvl>
  </w:abstractNum>
  <w:abstractNum w:abstractNumId="83">
    <w:multiLevelType w:val="hybridMultilevel"/>
    <w:lvl w:ilvl="0">
      <w:start w:val="1"/>
      <w:numFmt w:val="decimal"/>
      <w:lvlText w:val="(%1)"/>
      <w:lvlJc w:val="left"/>
      <w:pPr>
        <w:ind w:left="467"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58" w:hanging="257"/>
      </w:pPr>
      <w:rPr>
        <w:rFonts w:hint="default"/>
      </w:rPr>
    </w:lvl>
    <w:lvl w:ilvl="2">
      <w:start w:val="0"/>
      <w:numFmt w:val="bullet"/>
      <w:lvlText w:val="•"/>
      <w:lvlJc w:val="left"/>
      <w:pPr>
        <w:ind w:left="1257" w:hanging="257"/>
      </w:pPr>
      <w:rPr>
        <w:rFonts w:hint="default"/>
      </w:rPr>
    </w:lvl>
    <w:lvl w:ilvl="3">
      <w:start w:val="0"/>
      <w:numFmt w:val="bullet"/>
      <w:lvlText w:val="•"/>
      <w:lvlJc w:val="left"/>
      <w:pPr>
        <w:ind w:left="1656" w:hanging="257"/>
      </w:pPr>
      <w:rPr>
        <w:rFonts w:hint="default"/>
      </w:rPr>
    </w:lvl>
    <w:lvl w:ilvl="4">
      <w:start w:val="0"/>
      <w:numFmt w:val="bullet"/>
      <w:lvlText w:val="•"/>
      <w:lvlJc w:val="left"/>
      <w:pPr>
        <w:ind w:left="2054" w:hanging="257"/>
      </w:pPr>
      <w:rPr>
        <w:rFonts w:hint="default"/>
      </w:rPr>
    </w:lvl>
    <w:lvl w:ilvl="5">
      <w:start w:val="0"/>
      <w:numFmt w:val="bullet"/>
      <w:lvlText w:val="•"/>
      <w:lvlJc w:val="left"/>
      <w:pPr>
        <w:ind w:left="2453" w:hanging="257"/>
      </w:pPr>
      <w:rPr>
        <w:rFonts w:hint="default"/>
      </w:rPr>
    </w:lvl>
    <w:lvl w:ilvl="6">
      <w:start w:val="0"/>
      <w:numFmt w:val="bullet"/>
      <w:lvlText w:val="•"/>
      <w:lvlJc w:val="left"/>
      <w:pPr>
        <w:ind w:left="2852" w:hanging="257"/>
      </w:pPr>
      <w:rPr>
        <w:rFonts w:hint="default"/>
      </w:rPr>
    </w:lvl>
    <w:lvl w:ilvl="7">
      <w:start w:val="0"/>
      <w:numFmt w:val="bullet"/>
      <w:lvlText w:val="•"/>
      <w:lvlJc w:val="left"/>
      <w:pPr>
        <w:ind w:left="3250" w:hanging="257"/>
      </w:pPr>
      <w:rPr>
        <w:rFonts w:hint="default"/>
      </w:rPr>
    </w:lvl>
    <w:lvl w:ilvl="8">
      <w:start w:val="0"/>
      <w:numFmt w:val="bullet"/>
      <w:lvlText w:val="•"/>
      <w:lvlJc w:val="left"/>
      <w:pPr>
        <w:ind w:left="3649" w:hanging="257"/>
      </w:pPr>
      <w:rPr>
        <w:rFonts w:hint="default"/>
      </w:rPr>
    </w:lvl>
  </w:abstractNum>
  <w:abstractNum w:abstractNumId="82">
    <w:multiLevelType w:val="hybridMultilevel"/>
    <w:lvl w:ilvl="0">
      <w:start w:val="1"/>
      <w:numFmt w:val="decimal"/>
      <w:lvlText w:val="(%1)"/>
      <w:lvlJc w:val="left"/>
      <w:pPr>
        <w:ind w:left="465" w:hanging="257"/>
        <w:jc w:val="left"/>
      </w:pPr>
      <w:rPr>
        <w:rFonts w:hint="default" w:ascii="Times New Roman" w:hAnsi="Times New Roman" w:eastAsia="Times New Roman" w:cs="Times New Roman"/>
        <w:spacing w:val="-3"/>
        <w:w w:val="100"/>
        <w:sz w:val="18"/>
        <w:szCs w:val="18"/>
      </w:rPr>
    </w:lvl>
    <w:lvl w:ilvl="1">
      <w:start w:val="0"/>
      <w:numFmt w:val="bullet"/>
      <w:lvlText w:val="•"/>
      <w:lvlJc w:val="left"/>
      <w:pPr>
        <w:ind w:left="858" w:hanging="257"/>
      </w:pPr>
      <w:rPr>
        <w:rFonts w:hint="default"/>
      </w:rPr>
    </w:lvl>
    <w:lvl w:ilvl="2">
      <w:start w:val="0"/>
      <w:numFmt w:val="bullet"/>
      <w:lvlText w:val="•"/>
      <w:lvlJc w:val="left"/>
      <w:pPr>
        <w:ind w:left="1256" w:hanging="257"/>
      </w:pPr>
      <w:rPr>
        <w:rFonts w:hint="default"/>
      </w:rPr>
    </w:lvl>
    <w:lvl w:ilvl="3">
      <w:start w:val="0"/>
      <w:numFmt w:val="bullet"/>
      <w:lvlText w:val="•"/>
      <w:lvlJc w:val="left"/>
      <w:pPr>
        <w:ind w:left="1654" w:hanging="257"/>
      </w:pPr>
      <w:rPr>
        <w:rFonts w:hint="default"/>
      </w:rPr>
    </w:lvl>
    <w:lvl w:ilvl="4">
      <w:start w:val="0"/>
      <w:numFmt w:val="bullet"/>
      <w:lvlText w:val="•"/>
      <w:lvlJc w:val="left"/>
      <w:pPr>
        <w:ind w:left="2053" w:hanging="257"/>
      </w:pPr>
      <w:rPr>
        <w:rFonts w:hint="default"/>
      </w:rPr>
    </w:lvl>
    <w:lvl w:ilvl="5">
      <w:start w:val="0"/>
      <w:numFmt w:val="bullet"/>
      <w:lvlText w:val="•"/>
      <w:lvlJc w:val="left"/>
      <w:pPr>
        <w:ind w:left="2451" w:hanging="257"/>
      </w:pPr>
      <w:rPr>
        <w:rFonts w:hint="default"/>
      </w:rPr>
    </w:lvl>
    <w:lvl w:ilvl="6">
      <w:start w:val="0"/>
      <w:numFmt w:val="bullet"/>
      <w:lvlText w:val="•"/>
      <w:lvlJc w:val="left"/>
      <w:pPr>
        <w:ind w:left="2849" w:hanging="257"/>
      </w:pPr>
      <w:rPr>
        <w:rFonts w:hint="default"/>
      </w:rPr>
    </w:lvl>
    <w:lvl w:ilvl="7">
      <w:start w:val="0"/>
      <w:numFmt w:val="bullet"/>
      <w:lvlText w:val="•"/>
      <w:lvlJc w:val="left"/>
      <w:pPr>
        <w:ind w:left="3248" w:hanging="257"/>
      </w:pPr>
      <w:rPr>
        <w:rFonts w:hint="default"/>
      </w:rPr>
    </w:lvl>
    <w:lvl w:ilvl="8">
      <w:start w:val="0"/>
      <w:numFmt w:val="bullet"/>
      <w:lvlText w:val="•"/>
      <w:lvlJc w:val="left"/>
      <w:pPr>
        <w:ind w:left="3646" w:hanging="257"/>
      </w:pPr>
      <w:rPr>
        <w:rFonts w:hint="default"/>
      </w:rPr>
    </w:lvl>
  </w:abstractNum>
  <w:abstractNum w:abstractNumId="81">
    <w:multiLevelType w:val="hybridMultilevel"/>
    <w:lvl w:ilvl="0">
      <w:start w:val="1"/>
      <w:numFmt w:val="decimal"/>
      <w:lvlText w:val="(%1)"/>
      <w:lvlJc w:val="left"/>
      <w:pPr>
        <w:ind w:left="390" w:hanging="283"/>
        <w:jc w:val="left"/>
      </w:pPr>
      <w:rPr>
        <w:rFonts w:hint="default" w:ascii="Times New Roman" w:hAnsi="Times New Roman" w:eastAsia="Times New Roman" w:cs="Times New Roman"/>
        <w:w w:val="99"/>
        <w:sz w:val="20"/>
        <w:szCs w:val="20"/>
      </w:rPr>
    </w:lvl>
    <w:lvl w:ilvl="1">
      <w:start w:val="0"/>
      <w:numFmt w:val="bullet"/>
      <w:lvlText w:val="•"/>
      <w:lvlJc w:val="left"/>
      <w:pPr>
        <w:ind w:left="854" w:hanging="283"/>
      </w:pPr>
      <w:rPr>
        <w:rFonts w:hint="default"/>
      </w:rPr>
    </w:lvl>
    <w:lvl w:ilvl="2">
      <w:start w:val="0"/>
      <w:numFmt w:val="bullet"/>
      <w:lvlText w:val="•"/>
      <w:lvlJc w:val="left"/>
      <w:pPr>
        <w:ind w:left="1308" w:hanging="283"/>
      </w:pPr>
      <w:rPr>
        <w:rFonts w:hint="default"/>
      </w:rPr>
    </w:lvl>
    <w:lvl w:ilvl="3">
      <w:start w:val="0"/>
      <w:numFmt w:val="bullet"/>
      <w:lvlText w:val="•"/>
      <w:lvlJc w:val="left"/>
      <w:pPr>
        <w:ind w:left="1763" w:hanging="283"/>
      </w:pPr>
      <w:rPr>
        <w:rFonts w:hint="default"/>
      </w:rPr>
    </w:lvl>
    <w:lvl w:ilvl="4">
      <w:start w:val="0"/>
      <w:numFmt w:val="bullet"/>
      <w:lvlText w:val="•"/>
      <w:lvlJc w:val="left"/>
      <w:pPr>
        <w:ind w:left="2217" w:hanging="283"/>
      </w:pPr>
      <w:rPr>
        <w:rFonts w:hint="default"/>
      </w:rPr>
    </w:lvl>
    <w:lvl w:ilvl="5">
      <w:start w:val="0"/>
      <w:numFmt w:val="bullet"/>
      <w:lvlText w:val="•"/>
      <w:lvlJc w:val="left"/>
      <w:pPr>
        <w:ind w:left="2672" w:hanging="283"/>
      </w:pPr>
      <w:rPr>
        <w:rFonts w:hint="default"/>
      </w:rPr>
    </w:lvl>
    <w:lvl w:ilvl="6">
      <w:start w:val="0"/>
      <w:numFmt w:val="bullet"/>
      <w:lvlText w:val="•"/>
      <w:lvlJc w:val="left"/>
      <w:pPr>
        <w:ind w:left="3126" w:hanging="283"/>
      </w:pPr>
      <w:rPr>
        <w:rFonts w:hint="default"/>
      </w:rPr>
    </w:lvl>
    <w:lvl w:ilvl="7">
      <w:start w:val="0"/>
      <w:numFmt w:val="bullet"/>
      <w:lvlText w:val="•"/>
      <w:lvlJc w:val="left"/>
      <w:pPr>
        <w:ind w:left="3580" w:hanging="283"/>
      </w:pPr>
      <w:rPr>
        <w:rFonts w:hint="default"/>
      </w:rPr>
    </w:lvl>
    <w:lvl w:ilvl="8">
      <w:start w:val="0"/>
      <w:numFmt w:val="bullet"/>
      <w:lvlText w:val="•"/>
      <w:lvlJc w:val="left"/>
      <w:pPr>
        <w:ind w:left="4035" w:hanging="283"/>
      </w:pPr>
      <w:rPr>
        <w:rFonts w:hint="default"/>
      </w:rPr>
    </w:lvl>
  </w:abstractNum>
  <w:abstractNum w:abstractNumId="80">
    <w:multiLevelType w:val="hybridMultilevel"/>
    <w:lvl w:ilvl="0">
      <w:start w:val="3"/>
      <w:numFmt w:val="decimal"/>
      <w:lvlText w:val="%1"/>
      <w:lvlJc w:val="left"/>
      <w:pPr>
        <w:ind w:left="548" w:hanging="330"/>
        <w:jc w:val="left"/>
      </w:pPr>
      <w:rPr>
        <w:rFonts w:hint="default"/>
      </w:rPr>
    </w:lvl>
    <w:lvl w:ilvl="1">
      <w:start w:val="3"/>
      <w:numFmt w:val="decimal"/>
      <w:lvlText w:val="%1.%2"/>
      <w:lvlJc w:val="left"/>
      <w:pPr>
        <w:ind w:left="548" w:hanging="330"/>
        <w:jc w:val="left"/>
      </w:pPr>
      <w:rPr>
        <w:rFonts w:hint="default" w:ascii="Times New Roman" w:hAnsi="Times New Roman" w:eastAsia="Times New Roman" w:cs="Times New Roman"/>
        <w:b/>
        <w:bCs/>
        <w:spacing w:val="-1"/>
        <w:w w:val="100"/>
        <w:sz w:val="22"/>
        <w:szCs w:val="22"/>
      </w:rPr>
    </w:lvl>
    <w:lvl w:ilvl="2">
      <w:start w:val="0"/>
      <w:numFmt w:val="bullet"/>
      <w:lvlText w:val="•"/>
      <w:lvlJc w:val="left"/>
      <w:pPr>
        <w:ind w:left="2344" w:hanging="330"/>
      </w:pPr>
      <w:rPr>
        <w:rFonts w:hint="default"/>
      </w:rPr>
    </w:lvl>
    <w:lvl w:ilvl="3">
      <w:start w:val="0"/>
      <w:numFmt w:val="bullet"/>
      <w:lvlText w:val="•"/>
      <w:lvlJc w:val="left"/>
      <w:pPr>
        <w:ind w:left="3246" w:hanging="330"/>
      </w:pPr>
      <w:rPr>
        <w:rFonts w:hint="default"/>
      </w:rPr>
    </w:lvl>
    <w:lvl w:ilvl="4">
      <w:start w:val="0"/>
      <w:numFmt w:val="bullet"/>
      <w:lvlText w:val="•"/>
      <w:lvlJc w:val="left"/>
      <w:pPr>
        <w:ind w:left="4148" w:hanging="330"/>
      </w:pPr>
      <w:rPr>
        <w:rFonts w:hint="default"/>
      </w:rPr>
    </w:lvl>
    <w:lvl w:ilvl="5">
      <w:start w:val="0"/>
      <w:numFmt w:val="bullet"/>
      <w:lvlText w:val="•"/>
      <w:lvlJc w:val="left"/>
      <w:pPr>
        <w:ind w:left="5050" w:hanging="330"/>
      </w:pPr>
      <w:rPr>
        <w:rFonts w:hint="default"/>
      </w:rPr>
    </w:lvl>
    <w:lvl w:ilvl="6">
      <w:start w:val="0"/>
      <w:numFmt w:val="bullet"/>
      <w:lvlText w:val="•"/>
      <w:lvlJc w:val="left"/>
      <w:pPr>
        <w:ind w:left="5952" w:hanging="330"/>
      </w:pPr>
      <w:rPr>
        <w:rFonts w:hint="default"/>
      </w:rPr>
    </w:lvl>
    <w:lvl w:ilvl="7">
      <w:start w:val="0"/>
      <w:numFmt w:val="bullet"/>
      <w:lvlText w:val="•"/>
      <w:lvlJc w:val="left"/>
      <w:pPr>
        <w:ind w:left="6854" w:hanging="330"/>
      </w:pPr>
      <w:rPr>
        <w:rFonts w:hint="default"/>
      </w:rPr>
    </w:lvl>
    <w:lvl w:ilvl="8">
      <w:start w:val="0"/>
      <w:numFmt w:val="bullet"/>
      <w:lvlText w:val="•"/>
      <w:lvlJc w:val="left"/>
      <w:pPr>
        <w:ind w:left="7756" w:hanging="330"/>
      </w:pPr>
      <w:rPr>
        <w:rFonts w:hint="default"/>
      </w:rPr>
    </w:lvl>
  </w:abstractNum>
  <w:abstractNum w:abstractNumId="79">
    <w:multiLevelType w:val="hybridMultilevel"/>
    <w:lvl w:ilvl="0">
      <w:start w:val="3"/>
      <w:numFmt w:val="decimal"/>
      <w:lvlText w:val="%1"/>
      <w:lvlJc w:val="left"/>
      <w:pPr>
        <w:ind w:left="548" w:hanging="330"/>
        <w:jc w:val="left"/>
      </w:pPr>
      <w:rPr>
        <w:rFonts w:hint="default"/>
      </w:rPr>
    </w:lvl>
    <w:lvl w:ilvl="1">
      <w:start w:val="1"/>
      <w:numFmt w:val="decimal"/>
      <w:lvlText w:val="%1.%2"/>
      <w:lvlJc w:val="left"/>
      <w:pPr>
        <w:ind w:left="548" w:hanging="330"/>
        <w:jc w:val="left"/>
      </w:pPr>
      <w:rPr>
        <w:rFonts w:hint="default" w:ascii="Times New Roman" w:hAnsi="Times New Roman" w:eastAsia="Times New Roman" w:cs="Times New Roman"/>
        <w:b/>
        <w:bCs/>
        <w:spacing w:val="-1"/>
        <w:w w:val="100"/>
        <w:sz w:val="22"/>
        <w:szCs w:val="22"/>
      </w:rPr>
    </w:lvl>
    <w:lvl w:ilvl="2">
      <w:start w:val="0"/>
      <w:numFmt w:val="bullet"/>
      <w:lvlText w:val="•"/>
      <w:lvlJc w:val="left"/>
      <w:pPr>
        <w:ind w:left="2344" w:hanging="330"/>
      </w:pPr>
      <w:rPr>
        <w:rFonts w:hint="default"/>
      </w:rPr>
    </w:lvl>
    <w:lvl w:ilvl="3">
      <w:start w:val="0"/>
      <w:numFmt w:val="bullet"/>
      <w:lvlText w:val="•"/>
      <w:lvlJc w:val="left"/>
      <w:pPr>
        <w:ind w:left="3246" w:hanging="330"/>
      </w:pPr>
      <w:rPr>
        <w:rFonts w:hint="default"/>
      </w:rPr>
    </w:lvl>
    <w:lvl w:ilvl="4">
      <w:start w:val="0"/>
      <w:numFmt w:val="bullet"/>
      <w:lvlText w:val="•"/>
      <w:lvlJc w:val="left"/>
      <w:pPr>
        <w:ind w:left="4148" w:hanging="330"/>
      </w:pPr>
      <w:rPr>
        <w:rFonts w:hint="default"/>
      </w:rPr>
    </w:lvl>
    <w:lvl w:ilvl="5">
      <w:start w:val="0"/>
      <w:numFmt w:val="bullet"/>
      <w:lvlText w:val="•"/>
      <w:lvlJc w:val="left"/>
      <w:pPr>
        <w:ind w:left="5050" w:hanging="330"/>
      </w:pPr>
      <w:rPr>
        <w:rFonts w:hint="default"/>
      </w:rPr>
    </w:lvl>
    <w:lvl w:ilvl="6">
      <w:start w:val="0"/>
      <w:numFmt w:val="bullet"/>
      <w:lvlText w:val="•"/>
      <w:lvlJc w:val="left"/>
      <w:pPr>
        <w:ind w:left="5952" w:hanging="330"/>
      </w:pPr>
      <w:rPr>
        <w:rFonts w:hint="default"/>
      </w:rPr>
    </w:lvl>
    <w:lvl w:ilvl="7">
      <w:start w:val="0"/>
      <w:numFmt w:val="bullet"/>
      <w:lvlText w:val="•"/>
      <w:lvlJc w:val="left"/>
      <w:pPr>
        <w:ind w:left="6854" w:hanging="330"/>
      </w:pPr>
      <w:rPr>
        <w:rFonts w:hint="default"/>
      </w:rPr>
    </w:lvl>
    <w:lvl w:ilvl="8">
      <w:start w:val="0"/>
      <w:numFmt w:val="bullet"/>
      <w:lvlText w:val="•"/>
      <w:lvlJc w:val="left"/>
      <w:pPr>
        <w:ind w:left="7756" w:hanging="330"/>
      </w:pPr>
      <w:rPr>
        <w:rFonts w:hint="default"/>
      </w:rPr>
    </w:lvl>
  </w:abstractNum>
  <w:abstractNum w:abstractNumId="78">
    <w:multiLevelType w:val="hybridMultilevel"/>
    <w:lvl w:ilvl="0">
      <w:start w:val="3"/>
      <w:numFmt w:val="decimal"/>
      <w:lvlText w:val="%1"/>
      <w:lvlJc w:val="left"/>
      <w:pPr>
        <w:ind w:left="1421" w:hanging="1203"/>
        <w:jc w:val="left"/>
      </w:pPr>
      <w:rPr>
        <w:rFonts w:hint="default"/>
      </w:rPr>
    </w:lvl>
    <w:lvl w:ilvl="1">
      <w:start w:val="7"/>
      <w:numFmt w:val="decimal"/>
      <w:lvlText w:val="%1.%2"/>
      <w:lvlJc w:val="left"/>
      <w:pPr>
        <w:ind w:left="1421" w:hanging="1203"/>
        <w:jc w:val="left"/>
      </w:pPr>
      <w:rPr>
        <w:rFonts w:hint="default"/>
      </w:rPr>
    </w:lvl>
    <w:lvl w:ilvl="2">
      <w:start w:val="3"/>
      <w:numFmt w:val="decimal"/>
      <w:lvlText w:val="%1.%2.%3"/>
      <w:lvlJc w:val="left"/>
      <w:pPr>
        <w:ind w:left="142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3862" w:hanging="1203"/>
      </w:pPr>
      <w:rPr>
        <w:rFonts w:hint="default"/>
      </w:rPr>
    </w:lvl>
    <w:lvl w:ilvl="4">
      <w:start w:val="0"/>
      <w:numFmt w:val="bullet"/>
      <w:lvlText w:val="•"/>
      <w:lvlJc w:val="left"/>
      <w:pPr>
        <w:ind w:left="4676" w:hanging="1203"/>
      </w:pPr>
      <w:rPr>
        <w:rFonts w:hint="default"/>
      </w:rPr>
    </w:lvl>
    <w:lvl w:ilvl="5">
      <w:start w:val="0"/>
      <w:numFmt w:val="bullet"/>
      <w:lvlText w:val="•"/>
      <w:lvlJc w:val="left"/>
      <w:pPr>
        <w:ind w:left="5490" w:hanging="1203"/>
      </w:pPr>
      <w:rPr>
        <w:rFonts w:hint="default"/>
      </w:rPr>
    </w:lvl>
    <w:lvl w:ilvl="6">
      <w:start w:val="0"/>
      <w:numFmt w:val="bullet"/>
      <w:lvlText w:val="•"/>
      <w:lvlJc w:val="left"/>
      <w:pPr>
        <w:ind w:left="6304" w:hanging="1203"/>
      </w:pPr>
      <w:rPr>
        <w:rFonts w:hint="default"/>
      </w:rPr>
    </w:lvl>
    <w:lvl w:ilvl="7">
      <w:start w:val="0"/>
      <w:numFmt w:val="bullet"/>
      <w:lvlText w:val="•"/>
      <w:lvlJc w:val="left"/>
      <w:pPr>
        <w:ind w:left="7118" w:hanging="1203"/>
      </w:pPr>
      <w:rPr>
        <w:rFonts w:hint="default"/>
      </w:rPr>
    </w:lvl>
    <w:lvl w:ilvl="8">
      <w:start w:val="0"/>
      <w:numFmt w:val="bullet"/>
      <w:lvlText w:val="•"/>
      <w:lvlJc w:val="left"/>
      <w:pPr>
        <w:ind w:left="7932" w:hanging="1203"/>
      </w:pPr>
      <w:rPr>
        <w:rFonts w:hint="default"/>
      </w:rPr>
    </w:lvl>
  </w:abstractNum>
  <w:abstractNum w:abstractNumId="77">
    <w:multiLevelType w:val="hybridMultilevel"/>
    <w:lvl w:ilvl="0">
      <w:start w:val="3"/>
      <w:numFmt w:val="decimal"/>
      <w:lvlText w:val="%1"/>
      <w:lvlJc w:val="left"/>
      <w:pPr>
        <w:ind w:left="1421" w:hanging="1203"/>
        <w:jc w:val="left"/>
      </w:pPr>
      <w:rPr>
        <w:rFonts w:hint="default"/>
      </w:rPr>
    </w:lvl>
    <w:lvl w:ilvl="1">
      <w:start w:val="6"/>
      <w:numFmt w:val="decimal"/>
      <w:lvlText w:val="%1.%2"/>
      <w:lvlJc w:val="left"/>
      <w:pPr>
        <w:ind w:left="1421" w:hanging="1203"/>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42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5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219" w:hanging="1441"/>
        <w:jc w:val="left"/>
      </w:pPr>
      <w:rPr>
        <w:rFonts w:hint="default" w:ascii="Times New Roman" w:hAnsi="Times New Roman" w:eastAsia="Times New Roman" w:cs="Times New Roman"/>
        <w:b/>
        <w:bCs/>
        <w:spacing w:val="-34"/>
        <w:w w:val="100"/>
        <w:sz w:val="22"/>
        <w:szCs w:val="22"/>
      </w:rPr>
    </w:lvl>
    <w:lvl w:ilvl="5">
      <w:start w:val="2"/>
      <w:numFmt w:val="decimal"/>
      <w:lvlText w:val="%1.%2.%3.%4.%5.%6"/>
      <w:lvlJc w:val="left"/>
      <w:pPr>
        <w:ind w:left="1661" w:hanging="1443"/>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5610" w:hanging="1443"/>
      </w:pPr>
      <w:rPr>
        <w:rFonts w:hint="default"/>
      </w:rPr>
    </w:lvl>
    <w:lvl w:ilvl="7">
      <w:start w:val="0"/>
      <w:numFmt w:val="bullet"/>
      <w:lvlText w:val="•"/>
      <w:lvlJc w:val="left"/>
      <w:pPr>
        <w:ind w:left="6597" w:hanging="1443"/>
      </w:pPr>
      <w:rPr>
        <w:rFonts w:hint="default"/>
      </w:rPr>
    </w:lvl>
    <w:lvl w:ilvl="8">
      <w:start w:val="0"/>
      <w:numFmt w:val="bullet"/>
      <w:lvlText w:val="•"/>
      <w:lvlJc w:val="left"/>
      <w:pPr>
        <w:ind w:left="7585" w:hanging="1443"/>
      </w:pPr>
      <w:rPr>
        <w:rFonts w:hint="default"/>
      </w:rPr>
    </w:lvl>
  </w:abstractNum>
  <w:abstractNum w:abstractNumId="76">
    <w:multiLevelType w:val="hybridMultilevel"/>
    <w:lvl w:ilvl="0">
      <w:start w:val="3"/>
      <w:numFmt w:val="decimal"/>
      <w:lvlText w:val="%1"/>
      <w:lvlJc w:val="left"/>
      <w:pPr>
        <w:ind w:left="1421" w:hanging="1203"/>
        <w:jc w:val="left"/>
      </w:pPr>
      <w:rPr>
        <w:rFonts w:hint="default"/>
      </w:rPr>
    </w:lvl>
    <w:lvl w:ilvl="1">
      <w:start w:val="5"/>
      <w:numFmt w:val="decimal"/>
      <w:lvlText w:val="%1.%2"/>
      <w:lvlJc w:val="left"/>
      <w:pPr>
        <w:ind w:left="1421" w:hanging="1203"/>
        <w:jc w:val="left"/>
      </w:pPr>
      <w:rPr>
        <w:rFonts w:hint="default"/>
      </w:rPr>
    </w:lvl>
    <w:lvl w:ilvl="2">
      <w:start w:val="3"/>
      <w:numFmt w:val="decimal"/>
      <w:lvlText w:val="%1.%2.%3"/>
      <w:lvlJc w:val="left"/>
      <w:pPr>
        <w:ind w:left="142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3862" w:hanging="1203"/>
      </w:pPr>
      <w:rPr>
        <w:rFonts w:hint="default"/>
      </w:rPr>
    </w:lvl>
    <w:lvl w:ilvl="4">
      <w:start w:val="0"/>
      <w:numFmt w:val="bullet"/>
      <w:lvlText w:val="•"/>
      <w:lvlJc w:val="left"/>
      <w:pPr>
        <w:ind w:left="4676" w:hanging="1203"/>
      </w:pPr>
      <w:rPr>
        <w:rFonts w:hint="default"/>
      </w:rPr>
    </w:lvl>
    <w:lvl w:ilvl="5">
      <w:start w:val="0"/>
      <w:numFmt w:val="bullet"/>
      <w:lvlText w:val="•"/>
      <w:lvlJc w:val="left"/>
      <w:pPr>
        <w:ind w:left="5490" w:hanging="1203"/>
      </w:pPr>
      <w:rPr>
        <w:rFonts w:hint="default"/>
      </w:rPr>
    </w:lvl>
    <w:lvl w:ilvl="6">
      <w:start w:val="0"/>
      <w:numFmt w:val="bullet"/>
      <w:lvlText w:val="•"/>
      <w:lvlJc w:val="left"/>
      <w:pPr>
        <w:ind w:left="6304" w:hanging="1203"/>
      </w:pPr>
      <w:rPr>
        <w:rFonts w:hint="default"/>
      </w:rPr>
    </w:lvl>
    <w:lvl w:ilvl="7">
      <w:start w:val="0"/>
      <w:numFmt w:val="bullet"/>
      <w:lvlText w:val="•"/>
      <w:lvlJc w:val="left"/>
      <w:pPr>
        <w:ind w:left="7118" w:hanging="1203"/>
      </w:pPr>
      <w:rPr>
        <w:rFonts w:hint="default"/>
      </w:rPr>
    </w:lvl>
    <w:lvl w:ilvl="8">
      <w:start w:val="0"/>
      <w:numFmt w:val="bullet"/>
      <w:lvlText w:val="•"/>
      <w:lvlJc w:val="left"/>
      <w:pPr>
        <w:ind w:left="7932" w:hanging="1203"/>
      </w:pPr>
      <w:rPr>
        <w:rFonts w:hint="default"/>
      </w:rPr>
    </w:lvl>
  </w:abstractNum>
  <w:abstractNum w:abstractNumId="75">
    <w:multiLevelType w:val="hybridMultilevel"/>
    <w:lvl w:ilvl="0">
      <w:start w:val="3"/>
      <w:numFmt w:val="decimal"/>
      <w:lvlText w:val="%1"/>
      <w:lvlJc w:val="left"/>
      <w:pPr>
        <w:ind w:left="727" w:hanging="509"/>
        <w:jc w:val="left"/>
      </w:pPr>
      <w:rPr>
        <w:rFonts w:hint="default"/>
      </w:rPr>
    </w:lvl>
    <w:lvl w:ilvl="1">
      <w:start w:val="5"/>
      <w:numFmt w:val="decimal"/>
      <w:lvlText w:val="%1.%2"/>
      <w:lvlJc w:val="left"/>
      <w:pPr>
        <w:ind w:left="727" w:hanging="509"/>
        <w:jc w:val="left"/>
      </w:pPr>
      <w:rPr>
        <w:rFonts w:hint="default"/>
      </w:rPr>
    </w:lvl>
    <w:lvl w:ilvl="2">
      <w:start w:val="5"/>
      <w:numFmt w:val="decimal"/>
      <w:lvlText w:val="%1.%2.%3."/>
      <w:lvlJc w:val="left"/>
      <w:pPr>
        <w:ind w:left="727" w:hanging="509"/>
        <w:jc w:val="left"/>
      </w:pPr>
      <w:rPr>
        <w:rFonts w:hint="default" w:ascii="Times New Roman" w:hAnsi="Times New Roman" w:eastAsia="Times New Roman" w:cs="Times New Roman"/>
        <w:w w:val="99"/>
        <w:sz w:val="20"/>
        <w:szCs w:val="20"/>
      </w:rPr>
    </w:lvl>
    <w:lvl w:ilvl="3">
      <w:start w:val="0"/>
      <w:numFmt w:val="bullet"/>
      <w:lvlText w:val="•"/>
      <w:lvlJc w:val="left"/>
      <w:pPr>
        <w:ind w:left="3372" w:hanging="509"/>
      </w:pPr>
      <w:rPr>
        <w:rFonts w:hint="default"/>
      </w:rPr>
    </w:lvl>
    <w:lvl w:ilvl="4">
      <w:start w:val="0"/>
      <w:numFmt w:val="bullet"/>
      <w:lvlText w:val="•"/>
      <w:lvlJc w:val="left"/>
      <w:pPr>
        <w:ind w:left="4256" w:hanging="509"/>
      </w:pPr>
      <w:rPr>
        <w:rFonts w:hint="default"/>
      </w:rPr>
    </w:lvl>
    <w:lvl w:ilvl="5">
      <w:start w:val="0"/>
      <w:numFmt w:val="bullet"/>
      <w:lvlText w:val="•"/>
      <w:lvlJc w:val="left"/>
      <w:pPr>
        <w:ind w:left="5140" w:hanging="509"/>
      </w:pPr>
      <w:rPr>
        <w:rFonts w:hint="default"/>
      </w:rPr>
    </w:lvl>
    <w:lvl w:ilvl="6">
      <w:start w:val="0"/>
      <w:numFmt w:val="bullet"/>
      <w:lvlText w:val="•"/>
      <w:lvlJc w:val="left"/>
      <w:pPr>
        <w:ind w:left="6024" w:hanging="509"/>
      </w:pPr>
      <w:rPr>
        <w:rFonts w:hint="default"/>
      </w:rPr>
    </w:lvl>
    <w:lvl w:ilvl="7">
      <w:start w:val="0"/>
      <w:numFmt w:val="bullet"/>
      <w:lvlText w:val="•"/>
      <w:lvlJc w:val="left"/>
      <w:pPr>
        <w:ind w:left="6908" w:hanging="509"/>
      </w:pPr>
      <w:rPr>
        <w:rFonts w:hint="default"/>
      </w:rPr>
    </w:lvl>
    <w:lvl w:ilvl="8">
      <w:start w:val="0"/>
      <w:numFmt w:val="bullet"/>
      <w:lvlText w:val="•"/>
      <w:lvlJc w:val="left"/>
      <w:pPr>
        <w:ind w:left="7792" w:hanging="509"/>
      </w:pPr>
      <w:rPr>
        <w:rFonts w:hint="default"/>
      </w:rPr>
    </w:lvl>
  </w:abstractNum>
  <w:abstractNum w:abstractNumId="74">
    <w:multiLevelType w:val="hybridMultilevel"/>
    <w:lvl w:ilvl="0">
      <w:start w:val="3"/>
      <w:numFmt w:val="decimal"/>
      <w:lvlText w:val="%1"/>
      <w:lvlJc w:val="left"/>
      <w:pPr>
        <w:ind w:left="1421" w:hanging="1203"/>
        <w:jc w:val="left"/>
      </w:pPr>
      <w:rPr>
        <w:rFonts w:hint="default"/>
      </w:rPr>
    </w:lvl>
    <w:lvl w:ilvl="1">
      <w:start w:val="5"/>
      <w:numFmt w:val="decimal"/>
      <w:lvlText w:val="%1.%2"/>
      <w:lvlJc w:val="left"/>
      <w:pPr>
        <w:ind w:left="1421" w:hanging="1203"/>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42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2211" w:hanging="1992"/>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241" w:hanging="1023"/>
        <w:jc w:val="left"/>
      </w:pPr>
      <w:rPr>
        <w:rFonts w:hint="default" w:ascii="Times New Roman" w:hAnsi="Times New Roman" w:eastAsia="Times New Roman" w:cs="Times New Roman"/>
        <w:b/>
        <w:bCs/>
        <w:spacing w:val="-34"/>
        <w:w w:val="100"/>
        <w:sz w:val="22"/>
        <w:szCs w:val="22"/>
      </w:rPr>
    </w:lvl>
    <w:lvl w:ilvl="5">
      <w:start w:val="1"/>
      <w:numFmt w:val="decimal"/>
      <w:lvlText w:val="%1.%2.%3.%4.%5.%6"/>
      <w:lvlJc w:val="left"/>
      <w:pPr>
        <w:ind w:left="1659" w:hanging="1441"/>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5365" w:hanging="1441"/>
      </w:pPr>
      <w:rPr>
        <w:rFonts w:hint="default"/>
      </w:rPr>
    </w:lvl>
    <w:lvl w:ilvl="7">
      <w:start w:val="0"/>
      <w:numFmt w:val="bullet"/>
      <w:lvlText w:val="•"/>
      <w:lvlJc w:val="left"/>
      <w:pPr>
        <w:ind w:left="6414" w:hanging="1441"/>
      </w:pPr>
      <w:rPr>
        <w:rFonts w:hint="default"/>
      </w:rPr>
    </w:lvl>
    <w:lvl w:ilvl="8">
      <w:start w:val="0"/>
      <w:numFmt w:val="bullet"/>
      <w:lvlText w:val="•"/>
      <w:lvlJc w:val="left"/>
      <w:pPr>
        <w:ind w:left="7462" w:hanging="1441"/>
      </w:pPr>
      <w:rPr>
        <w:rFonts w:hint="default"/>
      </w:rPr>
    </w:lvl>
  </w:abstractNum>
  <w:abstractNum w:abstractNumId="73">
    <w:multiLevelType w:val="hybridMultilevel"/>
    <w:lvl w:ilvl="0">
      <w:start w:val="3"/>
      <w:numFmt w:val="decimal"/>
      <w:lvlText w:val="%1"/>
      <w:lvlJc w:val="left"/>
      <w:pPr>
        <w:ind w:left="1421" w:hanging="1203"/>
        <w:jc w:val="left"/>
      </w:pPr>
      <w:rPr>
        <w:rFonts w:hint="default"/>
      </w:rPr>
    </w:lvl>
    <w:lvl w:ilvl="1">
      <w:start w:val="4"/>
      <w:numFmt w:val="decimal"/>
      <w:lvlText w:val="%1.%2"/>
      <w:lvlJc w:val="left"/>
      <w:pPr>
        <w:ind w:left="1421" w:hanging="1203"/>
        <w:jc w:val="left"/>
      </w:pPr>
      <w:rPr>
        <w:rFonts w:hint="default"/>
      </w:rPr>
    </w:lvl>
    <w:lvl w:ilvl="2">
      <w:start w:val="3"/>
      <w:numFmt w:val="decimal"/>
      <w:lvlText w:val="%1.%2.%3"/>
      <w:lvlJc w:val="left"/>
      <w:pPr>
        <w:ind w:left="142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2437" w:hanging="1203"/>
      </w:pPr>
      <w:rPr>
        <w:rFonts w:hint="default"/>
      </w:rPr>
    </w:lvl>
    <w:lvl w:ilvl="4">
      <w:start w:val="0"/>
      <w:numFmt w:val="bullet"/>
      <w:lvlText w:val="•"/>
      <w:lvlJc w:val="left"/>
      <w:pPr>
        <w:ind w:left="3455" w:hanging="1203"/>
      </w:pPr>
      <w:rPr>
        <w:rFonts w:hint="default"/>
      </w:rPr>
    </w:lvl>
    <w:lvl w:ilvl="5">
      <w:start w:val="0"/>
      <w:numFmt w:val="bullet"/>
      <w:lvlText w:val="•"/>
      <w:lvlJc w:val="left"/>
      <w:pPr>
        <w:ind w:left="4472" w:hanging="1203"/>
      </w:pPr>
      <w:rPr>
        <w:rFonts w:hint="default"/>
      </w:rPr>
    </w:lvl>
    <w:lvl w:ilvl="6">
      <w:start w:val="0"/>
      <w:numFmt w:val="bullet"/>
      <w:lvlText w:val="•"/>
      <w:lvlJc w:val="left"/>
      <w:pPr>
        <w:ind w:left="5490" w:hanging="1203"/>
      </w:pPr>
      <w:rPr>
        <w:rFonts w:hint="default"/>
      </w:rPr>
    </w:lvl>
    <w:lvl w:ilvl="7">
      <w:start w:val="0"/>
      <w:numFmt w:val="bullet"/>
      <w:lvlText w:val="•"/>
      <w:lvlJc w:val="left"/>
      <w:pPr>
        <w:ind w:left="6507" w:hanging="1203"/>
      </w:pPr>
      <w:rPr>
        <w:rFonts w:hint="default"/>
      </w:rPr>
    </w:lvl>
    <w:lvl w:ilvl="8">
      <w:start w:val="0"/>
      <w:numFmt w:val="bullet"/>
      <w:lvlText w:val="•"/>
      <w:lvlJc w:val="left"/>
      <w:pPr>
        <w:ind w:left="7525" w:hanging="1203"/>
      </w:pPr>
      <w:rPr>
        <w:rFonts w:hint="default"/>
      </w:rPr>
    </w:lvl>
  </w:abstractNum>
  <w:abstractNum w:abstractNumId="72">
    <w:multiLevelType w:val="hybridMultilevel"/>
    <w:lvl w:ilvl="0">
      <w:start w:val="3"/>
      <w:numFmt w:val="decimal"/>
      <w:lvlText w:val="%1"/>
      <w:lvlJc w:val="left"/>
      <w:pPr>
        <w:ind w:left="1659" w:hanging="1440"/>
        <w:jc w:val="left"/>
      </w:pPr>
      <w:rPr>
        <w:rFonts w:hint="default"/>
      </w:rPr>
    </w:lvl>
    <w:lvl w:ilvl="1">
      <w:start w:val="4"/>
      <w:numFmt w:val="decimal"/>
      <w:lvlText w:val="%1.%2"/>
      <w:lvlJc w:val="left"/>
      <w:pPr>
        <w:ind w:left="1659" w:hanging="1440"/>
        <w:jc w:val="left"/>
      </w:pPr>
      <w:rPr>
        <w:rFonts w:hint="default"/>
      </w:rPr>
    </w:lvl>
    <w:lvl w:ilvl="2">
      <w:start w:val="2"/>
      <w:numFmt w:val="decimal"/>
      <w:lvlText w:val="%1.%2.%3"/>
      <w:lvlJc w:val="left"/>
      <w:pPr>
        <w:ind w:left="1659" w:hanging="1440"/>
        <w:jc w:val="left"/>
      </w:pPr>
      <w:rPr>
        <w:rFonts w:hint="default"/>
      </w:rPr>
    </w:lvl>
    <w:lvl w:ilvl="3">
      <w:start w:val="2"/>
      <w:numFmt w:val="decimal"/>
      <w:lvlText w:val="%1.%2.%3.%4"/>
      <w:lvlJc w:val="left"/>
      <w:pPr>
        <w:ind w:left="165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242" w:hanging="1024"/>
        <w:jc w:val="left"/>
      </w:pPr>
      <w:rPr>
        <w:rFonts w:hint="default" w:ascii="Times New Roman" w:hAnsi="Times New Roman" w:eastAsia="Times New Roman" w:cs="Times New Roman"/>
        <w:b/>
        <w:bCs/>
        <w:spacing w:val="-34"/>
        <w:w w:val="100"/>
        <w:sz w:val="22"/>
        <w:szCs w:val="22"/>
      </w:rPr>
    </w:lvl>
    <w:lvl w:ilvl="5">
      <w:start w:val="1"/>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5610" w:hanging="1230"/>
      </w:pPr>
      <w:rPr>
        <w:rFonts w:hint="default"/>
      </w:rPr>
    </w:lvl>
    <w:lvl w:ilvl="7">
      <w:start w:val="0"/>
      <w:numFmt w:val="bullet"/>
      <w:lvlText w:val="•"/>
      <w:lvlJc w:val="left"/>
      <w:pPr>
        <w:ind w:left="6597" w:hanging="1230"/>
      </w:pPr>
      <w:rPr>
        <w:rFonts w:hint="default"/>
      </w:rPr>
    </w:lvl>
    <w:lvl w:ilvl="8">
      <w:start w:val="0"/>
      <w:numFmt w:val="bullet"/>
      <w:lvlText w:val="•"/>
      <w:lvlJc w:val="left"/>
      <w:pPr>
        <w:ind w:left="7585" w:hanging="1230"/>
      </w:pPr>
      <w:rPr>
        <w:rFonts w:hint="default"/>
      </w:rPr>
    </w:lvl>
  </w:abstractNum>
  <w:abstractNum w:abstractNumId="71">
    <w:multiLevelType w:val="hybridMultilevel"/>
    <w:lvl w:ilvl="0">
      <w:start w:val="1"/>
      <w:numFmt w:val="decimal"/>
      <w:lvlText w:val="%1."/>
      <w:lvlJc w:val="left"/>
      <w:pPr>
        <w:ind w:left="579" w:hanging="360"/>
        <w:jc w:val="left"/>
      </w:pPr>
      <w:rPr>
        <w:rFonts w:hint="default" w:ascii="Times New Roman" w:hAnsi="Times New Roman" w:eastAsia="Times New Roman" w:cs="Times New Roman"/>
        <w:spacing w:val="0"/>
        <w:w w:val="99"/>
        <w:sz w:val="20"/>
        <w:szCs w:val="20"/>
      </w:rPr>
    </w:lvl>
    <w:lvl w:ilvl="1">
      <w:start w:val="0"/>
      <w:numFmt w:val="bullet"/>
      <w:lvlText w:val="•"/>
      <w:lvlJc w:val="left"/>
      <w:pPr>
        <w:ind w:left="1478" w:hanging="360"/>
      </w:pPr>
      <w:rPr>
        <w:rFonts w:hint="default"/>
      </w:rPr>
    </w:lvl>
    <w:lvl w:ilvl="2">
      <w:start w:val="0"/>
      <w:numFmt w:val="bullet"/>
      <w:lvlText w:val="•"/>
      <w:lvlJc w:val="left"/>
      <w:pPr>
        <w:ind w:left="2376" w:hanging="360"/>
      </w:pPr>
      <w:rPr>
        <w:rFonts w:hint="default"/>
      </w:rPr>
    </w:lvl>
    <w:lvl w:ilvl="3">
      <w:start w:val="0"/>
      <w:numFmt w:val="bullet"/>
      <w:lvlText w:val="•"/>
      <w:lvlJc w:val="left"/>
      <w:pPr>
        <w:ind w:left="3274" w:hanging="360"/>
      </w:pPr>
      <w:rPr>
        <w:rFonts w:hint="default"/>
      </w:rPr>
    </w:lvl>
    <w:lvl w:ilvl="4">
      <w:start w:val="0"/>
      <w:numFmt w:val="bullet"/>
      <w:lvlText w:val="•"/>
      <w:lvlJc w:val="left"/>
      <w:pPr>
        <w:ind w:left="4172" w:hanging="360"/>
      </w:pPr>
      <w:rPr>
        <w:rFonts w:hint="default"/>
      </w:rPr>
    </w:lvl>
    <w:lvl w:ilvl="5">
      <w:start w:val="0"/>
      <w:numFmt w:val="bullet"/>
      <w:lvlText w:val="•"/>
      <w:lvlJc w:val="left"/>
      <w:pPr>
        <w:ind w:left="5070" w:hanging="360"/>
      </w:pPr>
      <w:rPr>
        <w:rFonts w:hint="default"/>
      </w:rPr>
    </w:lvl>
    <w:lvl w:ilvl="6">
      <w:start w:val="0"/>
      <w:numFmt w:val="bullet"/>
      <w:lvlText w:val="•"/>
      <w:lvlJc w:val="left"/>
      <w:pPr>
        <w:ind w:left="5968" w:hanging="360"/>
      </w:pPr>
      <w:rPr>
        <w:rFonts w:hint="default"/>
      </w:rPr>
    </w:lvl>
    <w:lvl w:ilvl="7">
      <w:start w:val="0"/>
      <w:numFmt w:val="bullet"/>
      <w:lvlText w:val="•"/>
      <w:lvlJc w:val="left"/>
      <w:pPr>
        <w:ind w:left="6866" w:hanging="360"/>
      </w:pPr>
      <w:rPr>
        <w:rFonts w:hint="default"/>
      </w:rPr>
    </w:lvl>
    <w:lvl w:ilvl="8">
      <w:start w:val="0"/>
      <w:numFmt w:val="bullet"/>
      <w:lvlText w:val="•"/>
      <w:lvlJc w:val="left"/>
      <w:pPr>
        <w:ind w:left="7764" w:hanging="360"/>
      </w:pPr>
      <w:rPr>
        <w:rFonts w:hint="default"/>
      </w:rPr>
    </w:lvl>
  </w:abstractNum>
  <w:abstractNum w:abstractNumId="70">
    <w:multiLevelType w:val="hybridMultilevel"/>
    <w:lvl w:ilvl="0">
      <w:start w:val="3"/>
      <w:numFmt w:val="decimal"/>
      <w:lvlText w:val="%1"/>
      <w:lvlJc w:val="left"/>
      <w:pPr>
        <w:ind w:left="1448" w:hanging="1230"/>
        <w:jc w:val="left"/>
      </w:pPr>
      <w:rPr>
        <w:rFonts w:hint="default"/>
      </w:rPr>
    </w:lvl>
    <w:lvl w:ilvl="1">
      <w:start w:val="4"/>
      <w:numFmt w:val="decimal"/>
      <w:lvlText w:val="%1.%2"/>
      <w:lvlJc w:val="left"/>
      <w:pPr>
        <w:ind w:left="1448" w:hanging="1230"/>
        <w:jc w:val="left"/>
      </w:pPr>
      <w:rPr>
        <w:rFonts w:hint="default"/>
      </w:rPr>
    </w:lvl>
    <w:lvl w:ilvl="2">
      <w:start w:val="2"/>
      <w:numFmt w:val="decimal"/>
      <w:lvlText w:val="%1.%2.%3"/>
      <w:lvlJc w:val="left"/>
      <w:pPr>
        <w:ind w:left="1448" w:hanging="1230"/>
        <w:jc w:val="left"/>
      </w:pPr>
      <w:rPr>
        <w:rFonts w:hint="default"/>
      </w:rPr>
    </w:lvl>
    <w:lvl w:ilvl="3">
      <w:start w:val="1"/>
      <w:numFmt w:val="decimal"/>
      <w:lvlText w:val="%1.%2.%3.%4"/>
      <w:lvlJc w:val="left"/>
      <w:pPr>
        <w:ind w:left="1448" w:hanging="1230"/>
        <w:jc w:val="left"/>
      </w:pPr>
      <w:rPr>
        <w:rFonts w:hint="default"/>
      </w:rPr>
    </w:lvl>
    <w:lvl w:ilvl="4">
      <w:start w:val="1"/>
      <w:numFmt w:val="decimal"/>
      <w:lvlText w:val="%1.%2.%3.%4.%5"/>
      <w:lvlJc w:val="left"/>
      <w:pPr>
        <w:ind w:left="1448" w:hanging="1230"/>
        <w:jc w:val="left"/>
      </w:pPr>
      <w:rPr>
        <w:rFonts w:hint="default"/>
      </w:rPr>
    </w:lvl>
    <w:lvl w:ilvl="5">
      <w:start w:val="1"/>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312" w:hanging="1230"/>
      </w:pPr>
      <w:rPr>
        <w:rFonts w:hint="default"/>
      </w:rPr>
    </w:lvl>
    <w:lvl w:ilvl="7">
      <w:start w:val="0"/>
      <w:numFmt w:val="bullet"/>
      <w:lvlText w:val="•"/>
      <w:lvlJc w:val="left"/>
      <w:pPr>
        <w:ind w:left="7124" w:hanging="1230"/>
      </w:pPr>
      <w:rPr>
        <w:rFonts w:hint="default"/>
      </w:rPr>
    </w:lvl>
    <w:lvl w:ilvl="8">
      <w:start w:val="0"/>
      <w:numFmt w:val="bullet"/>
      <w:lvlText w:val="•"/>
      <w:lvlJc w:val="left"/>
      <w:pPr>
        <w:ind w:left="7936" w:hanging="1230"/>
      </w:pPr>
      <w:rPr>
        <w:rFonts w:hint="default"/>
      </w:rPr>
    </w:lvl>
  </w:abstractNum>
  <w:abstractNum w:abstractNumId="69">
    <w:multiLevelType w:val="hybridMultilevel"/>
    <w:lvl w:ilvl="0">
      <w:start w:val="3"/>
      <w:numFmt w:val="decimal"/>
      <w:lvlText w:val="%1"/>
      <w:lvlJc w:val="left"/>
      <w:pPr>
        <w:ind w:left="1448" w:hanging="1230"/>
        <w:jc w:val="left"/>
      </w:pPr>
      <w:rPr>
        <w:rFonts w:hint="default"/>
      </w:rPr>
    </w:lvl>
    <w:lvl w:ilvl="1">
      <w:start w:val="4"/>
      <w:numFmt w:val="decimal"/>
      <w:lvlText w:val="%1.%2"/>
      <w:lvlJc w:val="left"/>
      <w:pPr>
        <w:ind w:left="1448" w:hanging="1230"/>
        <w:jc w:val="left"/>
      </w:pPr>
      <w:rPr>
        <w:rFonts w:hint="default"/>
      </w:rPr>
    </w:lvl>
    <w:lvl w:ilvl="2">
      <w:start w:val="1"/>
      <w:numFmt w:val="decimal"/>
      <w:lvlText w:val="%1.%2.%3"/>
      <w:lvlJc w:val="left"/>
      <w:pPr>
        <w:ind w:left="1448" w:hanging="1230"/>
        <w:jc w:val="left"/>
      </w:pPr>
      <w:rPr>
        <w:rFonts w:hint="default"/>
      </w:rPr>
    </w:lvl>
    <w:lvl w:ilvl="3">
      <w:start w:val="2"/>
      <w:numFmt w:val="decimal"/>
      <w:lvlText w:val="%1.%2.%3.%4"/>
      <w:lvlJc w:val="left"/>
      <w:pPr>
        <w:ind w:left="1448" w:hanging="1230"/>
        <w:jc w:val="left"/>
      </w:pPr>
      <w:rPr>
        <w:rFonts w:hint="default"/>
      </w:rPr>
    </w:lvl>
    <w:lvl w:ilvl="4">
      <w:start w:val="1"/>
      <w:numFmt w:val="decimal"/>
      <w:lvlText w:val="%1.%2.%3.%4.%5"/>
      <w:lvlJc w:val="left"/>
      <w:pPr>
        <w:ind w:left="1448" w:hanging="1230"/>
        <w:jc w:val="left"/>
      </w:pPr>
      <w:rPr>
        <w:rFonts w:hint="default"/>
      </w:rPr>
    </w:lvl>
    <w:lvl w:ilvl="5">
      <w:start w:val="3"/>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312" w:hanging="1230"/>
      </w:pPr>
      <w:rPr>
        <w:rFonts w:hint="default"/>
      </w:rPr>
    </w:lvl>
    <w:lvl w:ilvl="7">
      <w:start w:val="0"/>
      <w:numFmt w:val="bullet"/>
      <w:lvlText w:val="•"/>
      <w:lvlJc w:val="left"/>
      <w:pPr>
        <w:ind w:left="7124" w:hanging="1230"/>
      </w:pPr>
      <w:rPr>
        <w:rFonts w:hint="default"/>
      </w:rPr>
    </w:lvl>
    <w:lvl w:ilvl="8">
      <w:start w:val="0"/>
      <w:numFmt w:val="bullet"/>
      <w:lvlText w:val="•"/>
      <w:lvlJc w:val="left"/>
      <w:pPr>
        <w:ind w:left="7936" w:hanging="1230"/>
      </w:pPr>
      <w:rPr>
        <w:rFonts w:hint="default"/>
      </w:rPr>
    </w:lvl>
  </w:abstractNum>
  <w:abstractNum w:abstractNumId="68">
    <w:multiLevelType w:val="hybridMultilevel"/>
    <w:lvl w:ilvl="0">
      <w:start w:val="3"/>
      <w:numFmt w:val="decimal"/>
      <w:lvlText w:val="%1"/>
      <w:lvlJc w:val="left"/>
      <w:pPr>
        <w:ind w:left="1421" w:hanging="1203"/>
        <w:jc w:val="left"/>
      </w:pPr>
      <w:rPr>
        <w:rFonts w:hint="default"/>
      </w:rPr>
    </w:lvl>
    <w:lvl w:ilvl="1">
      <w:start w:val="4"/>
      <w:numFmt w:val="decimal"/>
      <w:lvlText w:val="%1.%2"/>
      <w:lvlJc w:val="left"/>
      <w:pPr>
        <w:ind w:left="1421" w:hanging="1203"/>
        <w:jc w:val="left"/>
      </w:pPr>
      <w:rPr>
        <w:rFonts w:hint="default"/>
      </w:rPr>
    </w:lvl>
    <w:lvl w:ilvl="2">
      <w:start w:val="1"/>
      <w:numFmt w:val="decimal"/>
      <w:lvlText w:val="%1.%2.%3"/>
      <w:lvlJc w:val="left"/>
      <w:pPr>
        <w:ind w:left="1421" w:hanging="1203"/>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65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242" w:hanging="1024"/>
        <w:jc w:val="left"/>
      </w:pPr>
      <w:rPr>
        <w:rFonts w:hint="default" w:ascii="Times New Roman" w:hAnsi="Times New Roman" w:eastAsia="Times New Roman" w:cs="Times New Roman"/>
        <w:b/>
        <w:bCs/>
        <w:spacing w:val="-34"/>
        <w:w w:val="100"/>
        <w:sz w:val="22"/>
        <w:szCs w:val="22"/>
      </w:rPr>
    </w:lvl>
    <w:lvl w:ilvl="5">
      <w:start w:val="1"/>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5045" w:hanging="1230"/>
      </w:pPr>
      <w:rPr>
        <w:rFonts w:hint="default"/>
      </w:rPr>
    </w:lvl>
    <w:lvl w:ilvl="7">
      <w:start w:val="0"/>
      <w:numFmt w:val="bullet"/>
      <w:lvlText w:val="•"/>
      <w:lvlJc w:val="left"/>
      <w:pPr>
        <w:ind w:left="6174" w:hanging="1230"/>
      </w:pPr>
      <w:rPr>
        <w:rFonts w:hint="default"/>
      </w:rPr>
    </w:lvl>
    <w:lvl w:ilvl="8">
      <w:start w:val="0"/>
      <w:numFmt w:val="bullet"/>
      <w:lvlText w:val="•"/>
      <w:lvlJc w:val="left"/>
      <w:pPr>
        <w:ind w:left="7302" w:hanging="1230"/>
      </w:pPr>
      <w:rPr>
        <w:rFonts w:hint="default"/>
      </w:rPr>
    </w:lvl>
  </w:abstractNum>
  <w:abstractNum w:abstractNumId="67">
    <w:multiLevelType w:val="hybridMultilevel"/>
    <w:lvl w:ilvl="0">
      <w:start w:val="3"/>
      <w:numFmt w:val="decimal"/>
      <w:lvlText w:val="%1"/>
      <w:lvlJc w:val="left"/>
      <w:pPr>
        <w:ind w:left="1421" w:hanging="1203"/>
        <w:jc w:val="left"/>
      </w:pPr>
      <w:rPr>
        <w:rFonts w:hint="default"/>
      </w:rPr>
    </w:lvl>
    <w:lvl w:ilvl="1">
      <w:start w:val="3"/>
      <w:numFmt w:val="decimal"/>
      <w:lvlText w:val="%1.%2"/>
      <w:lvlJc w:val="left"/>
      <w:pPr>
        <w:ind w:left="1421" w:hanging="1203"/>
        <w:jc w:val="left"/>
      </w:pPr>
      <w:rPr>
        <w:rFonts w:hint="default"/>
      </w:rPr>
    </w:lvl>
    <w:lvl w:ilvl="2">
      <w:start w:val="3"/>
      <w:numFmt w:val="decimal"/>
      <w:lvlText w:val="%1.%2.%3"/>
      <w:lvlJc w:val="left"/>
      <w:pPr>
        <w:ind w:left="142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3862" w:hanging="1203"/>
      </w:pPr>
      <w:rPr>
        <w:rFonts w:hint="default"/>
      </w:rPr>
    </w:lvl>
    <w:lvl w:ilvl="4">
      <w:start w:val="0"/>
      <w:numFmt w:val="bullet"/>
      <w:lvlText w:val="•"/>
      <w:lvlJc w:val="left"/>
      <w:pPr>
        <w:ind w:left="4676" w:hanging="1203"/>
      </w:pPr>
      <w:rPr>
        <w:rFonts w:hint="default"/>
      </w:rPr>
    </w:lvl>
    <w:lvl w:ilvl="5">
      <w:start w:val="0"/>
      <w:numFmt w:val="bullet"/>
      <w:lvlText w:val="•"/>
      <w:lvlJc w:val="left"/>
      <w:pPr>
        <w:ind w:left="5490" w:hanging="1203"/>
      </w:pPr>
      <w:rPr>
        <w:rFonts w:hint="default"/>
      </w:rPr>
    </w:lvl>
    <w:lvl w:ilvl="6">
      <w:start w:val="0"/>
      <w:numFmt w:val="bullet"/>
      <w:lvlText w:val="•"/>
      <w:lvlJc w:val="left"/>
      <w:pPr>
        <w:ind w:left="6304" w:hanging="1203"/>
      </w:pPr>
      <w:rPr>
        <w:rFonts w:hint="default"/>
      </w:rPr>
    </w:lvl>
    <w:lvl w:ilvl="7">
      <w:start w:val="0"/>
      <w:numFmt w:val="bullet"/>
      <w:lvlText w:val="•"/>
      <w:lvlJc w:val="left"/>
      <w:pPr>
        <w:ind w:left="7118" w:hanging="1203"/>
      </w:pPr>
      <w:rPr>
        <w:rFonts w:hint="default"/>
      </w:rPr>
    </w:lvl>
    <w:lvl w:ilvl="8">
      <w:start w:val="0"/>
      <w:numFmt w:val="bullet"/>
      <w:lvlText w:val="•"/>
      <w:lvlJc w:val="left"/>
      <w:pPr>
        <w:ind w:left="7932" w:hanging="1203"/>
      </w:pPr>
      <w:rPr>
        <w:rFonts w:hint="default"/>
      </w:rPr>
    </w:lvl>
  </w:abstractNum>
  <w:abstractNum w:abstractNumId="66">
    <w:multiLevelType w:val="hybridMultilevel"/>
    <w:lvl w:ilvl="0">
      <w:start w:val="3"/>
      <w:numFmt w:val="decimal"/>
      <w:lvlText w:val="%1"/>
      <w:lvlJc w:val="left"/>
      <w:pPr>
        <w:ind w:left="1659" w:hanging="1440"/>
        <w:jc w:val="left"/>
      </w:pPr>
      <w:rPr>
        <w:rFonts w:hint="default"/>
      </w:rPr>
    </w:lvl>
    <w:lvl w:ilvl="1">
      <w:start w:val="3"/>
      <w:numFmt w:val="decimal"/>
      <w:lvlText w:val="%1.%2"/>
      <w:lvlJc w:val="left"/>
      <w:pPr>
        <w:ind w:left="1659" w:hanging="1440"/>
        <w:jc w:val="left"/>
      </w:pPr>
      <w:rPr>
        <w:rFonts w:hint="default"/>
      </w:rPr>
    </w:lvl>
    <w:lvl w:ilvl="2">
      <w:start w:val="2"/>
      <w:numFmt w:val="decimal"/>
      <w:lvlText w:val="%1.%2.%3"/>
      <w:lvlJc w:val="left"/>
      <w:pPr>
        <w:ind w:left="1659" w:hanging="1440"/>
        <w:jc w:val="left"/>
      </w:pPr>
      <w:rPr>
        <w:rFonts w:hint="default"/>
      </w:rPr>
    </w:lvl>
    <w:lvl w:ilvl="3">
      <w:start w:val="3"/>
      <w:numFmt w:val="decimal"/>
      <w:lvlText w:val="%1.%2.%3.%4"/>
      <w:lvlJc w:val="left"/>
      <w:pPr>
        <w:ind w:left="165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242" w:hanging="1024"/>
        <w:jc w:val="left"/>
      </w:pPr>
      <w:rPr>
        <w:rFonts w:hint="default" w:ascii="Times New Roman" w:hAnsi="Times New Roman" w:eastAsia="Times New Roman" w:cs="Times New Roman"/>
        <w:b/>
        <w:bCs/>
        <w:spacing w:val="-34"/>
        <w:w w:val="100"/>
        <w:sz w:val="22"/>
        <w:szCs w:val="22"/>
      </w:rPr>
    </w:lvl>
    <w:lvl w:ilvl="5">
      <w:start w:val="1"/>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5610" w:hanging="1230"/>
      </w:pPr>
      <w:rPr>
        <w:rFonts w:hint="default"/>
      </w:rPr>
    </w:lvl>
    <w:lvl w:ilvl="7">
      <w:start w:val="0"/>
      <w:numFmt w:val="bullet"/>
      <w:lvlText w:val="•"/>
      <w:lvlJc w:val="left"/>
      <w:pPr>
        <w:ind w:left="6597" w:hanging="1230"/>
      </w:pPr>
      <w:rPr>
        <w:rFonts w:hint="default"/>
      </w:rPr>
    </w:lvl>
    <w:lvl w:ilvl="8">
      <w:start w:val="0"/>
      <w:numFmt w:val="bullet"/>
      <w:lvlText w:val="•"/>
      <w:lvlJc w:val="left"/>
      <w:pPr>
        <w:ind w:left="7585" w:hanging="1230"/>
      </w:pPr>
      <w:rPr>
        <w:rFonts w:hint="default"/>
      </w:rPr>
    </w:lvl>
  </w:abstractNum>
  <w:abstractNum w:abstractNumId="65">
    <w:multiLevelType w:val="hybridMultilevel"/>
    <w:lvl w:ilvl="0">
      <w:start w:val="3"/>
      <w:numFmt w:val="decimal"/>
      <w:lvlText w:val="%1"/>
      <w:lvlJc w:val="left"/>
      <w:pPr>
        <w:ind w:left="1659" w:hanging="1440"/>
        <w:jc w:val="left"/>
      </w:pPr>
      <w:rPr>
        <w:rFonts w:hint="default"/>
      </w:rPr>
    </w:lvl>
    <w:lvl w:ilvl="1">
      <w:start w:val="3"/>
      <w:numFmt w:val="decimal"/>
      <w:lvlText w:val="%1.%2"/>
      <w:lvlJc w:val="left"/>
      <w:pPr>
        <w:ind w:left="1659" w:hanging="1440"/>
        <w:jc w:val="left"/>
      </w:pPr>
      <w:rPr>
        <w:rFonts w:hint="default"/>
      </w:rPr>
    </w:lvl>
    <w:lvl w:ilvl="2">
      <w:start w:val="2"/>
      <w:numFmt w:val="decimal"/>
      <w:lvlText w:val="%1.%2.%3"/>
      <w:lvlJc w:val="left"/>
      <w:pPr>
        <w:ind w:left="1659" w:hanging="1440"/>
        <w:jc w:val="left"/>
      </w:pPr>
      <w:rPr>
        <w:rFonts w:hint="default"/>
      </w:rPr>
    </w:lvl>
    <w:lvl w:ilvl="3">
      <w:start w:val="2"/>
      <w:numFmt w:val="decimal"/>
      <w:lvlText w:val="%1.%2.%3.%4"/>
      <w:lvlJc w:val="left"/>
      <w:pPr>
        <w:ind w:left="165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242" w:hanging="1024"/>
        <w:jc w:val="left"/>
      </w:pPr>
      <w:rPr>
        <w:rFonts w:hint="default" w:ascii="Times New Roman" w:hAnsi="Times New Roman" w:eastAsia="Times New Roman" w:cs="Times New Roman"/>
        <w:b/>
        <w:bCs/>
        <w:spacing w:val="-34"/>
        <w:w w:val="100"/>
        <w:sz w:val="22"/>
        <w:szCs w:val="22"/>
      </w:rPr>
    </w:lvl>
    <w:lvl w:ilvl="5">
      <w:start w:val="1"/>
      <w:numFmt w:val="decimal"/>
      <w:lvlText w:val="%1.%2.%3.%4.%5.%6"/>
      <w:lvlJc w:val="left"/>
      <w:pPr>
        <w:ind w:left="1448" w:hanging="1230"/>
        <w:jc w:val="right"/>
      </w:pPr>
      <w:rPr>
        <w:rFonts w:hint="default" w:ascii="Times New Roman" w:hAnsi="Times New Roman" w:eastAsia="Times New Roman" w:cs="Times New Roman"/>
        <w:b/>
        <w:bCs/>
        <w:spacing w:val="-34"/>
        <w:w w:val="100"/>
        <w:sz w:val="22"/>
        <w:szCs w:val="22"/>
      </w:rPr>
    </w:lvl>
    <w:lvl w:ilvl="6">
      <w:start w:val="0"/>
      <w:numFmt w:val="bullet"/>
      <w:lvlText w:val="•"/>
      <w:lvlJc w:val="left"/>
      <w:pPr>
        <w:ind w:left="5610" w:hanging="1230"/>
      </w:pPr>
      <w:rPr>
        <w:rFonts w:hint="default"/>
      </w:rPr>
    </w:lvl>
    <w:lvl w:ilvl="7">
      <w:start w:val="0"/>
      <w:numFmt w:val="bullet"/>
      <w:lvlText w:val="•"/>
      <w:lvlJc w:val="left"/>
      <w:pPr>
        <w:ind w:left="6597" w:hanging="1230"/>
      </w:pPr>
      <w:rPr>
        <w:rFonts w:hint="default"/>
      </w:rPr>
    </w:lvl>
    <w:lvl w:ilvl="8">
      <w:start w:val="0"/>
      <w:numFmt w:val="bullet"/>
      <w:lvlText w:val="•"/>
      <w:lvlJc w:val="left"/>
      <w:pPr>
        <w:ind w:left="7585" w:hanging="1230"/>
      </w:pPr>
      <w:rPr>
        <w:rFonts w:hint="default"/>
      </w:rPr>
    </w:lvl>
  </w:abstractNum>
  <w:abstractNum w:abstractNumId="64">
    <w:multiLevelType w:val="hybridMultilevel"/>
    <w:lvl w:ilvl="0">
      <w:start w:val="3"/>
      <w:numFmt w:val="decimal"/>
      <w:lvlText w:val="%1"/>
      <w:lvlJc w:val="left"/>
      <w:pPr>
        <w:ind w:left="1242" w:hanging="1024"/>
        <w:jc w:val="left"/>
      </w:pPr>
      <w:rPr>
        <w:rFonts w:hint="default"/>
      </w:rPr>
    </w:lvl>
    <w:lvl w:ilvl="1">
      <w:start w:val="3"/>
      <w:numFmt w:val="decimal"/>
      <w:lvlText w:val="%1.%2"/>
      <w:lvlJc w:val="left"/>
      <w:pPr>
        <w:ind w:left="1242" w:hanging="1024"/>
        <w:jc w:val="left"/>
      </w:pPr>
      <w:rPr>
        <w:rFonts w:hint="default"/>
      </w:rPr>
    </w:lvl>
    <w:lvl w:ilvl="2">
      <w:start w:val="2"/>
      <w:numFmt w:val="decimal"/>
      <w:lvlText w:val="%1.%2.%3"/>
      <w:lvlJc w:val="left"/>
      <w:pPr>
        <w:ind w:left="1242" w:hanging="1024"/>
        <w:jc w:val="left"/>
      </w:pPr>
      <w:rPr>
        <w:rFonts w:hint="default"/>
      </w:rPr>
    </w:lvl>
    <w:lvl w:ilvl="3">
      <w:start w:val="1"/>
      <w:numFmt w:val="decimal"/>
      <w:lvlText w:val="%1.%2.%3.%4"/>
      <w:lvlJc w:val="left"/>
      <w:pPr>
        <w:ind w:left="1242" w:hanging="1024"/>
        <w:jc w:val="left"/>
      </w:pPr>
      <w:rPr>
        <w:rFonts w:hint="default"/>
      </w:rPr>
    </w:lvl>
    <w:lvl w:ilvl="4">
      <w:start w:val="1"/>
      <w:numFmt w:val="decimal"/>
      <w:lvlText w:val="%1.%2.%3.%4.%5"/>
      <w:lvlJc w:val="left"/>
      <w:pPr>
        <w:ind w:left="1242" w:hanging="1024"/>
        <w:jc w:val="left"/>
      </w:pPr>
      <w:rPr>
        <w:rFonts w:hint="default" w:ascii="Times New Roman" w:hAnsi="Times New Roman" w:eastAsia="Times New Roman" w:cs="Times New Roman"/>
        <w:b/>
        <w:bCs/>
        <w:spacing w:val="-34"/>
        <w:w w:val="100"/>
        <w:sz w:val="22"/>
        <w:szCs w:val="22"/>
      </w:rPr>
    </w:lvl>
    <w:lvl w:ilvl="5">
      <w:start w:val="1"/>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1"/>
      <w:numFmt w:val="lowerRoman"/>
      <w:lvlText w:val="(%7)"/>
      <w:lvlJc w:val="left"/>
      <w:pPr>
        <w:ind w:left="1296" w:hanging="572"/>
        <w:jc w:val="left"/>
      </w:pPr>
      <w:rPr>
        <w:rFonts w:hint="default" w:ascii="Times New Roman" w:hAnsi="Times New Roman" w:eastAsia="Times New Roman" w:cs="Times New Roman"/>
        <w:w w:val="99"/>
        <w:sz w:val="20"/>
        <w:szCs w:val="20"/>
      </w:rPr>
    </w:lvl>
    <w:lvl w:ilvl="7">
      <w:start w:val="0"/>
      <w:numFmt w:val="bullet"/>
      <w:lvlText w:val="•"/>
      <w:lvlJc w:val="left"/>
      <w:pPr>
        <w:ind w:left="6515" w:hanging="572"/>
      </w:pPr>
      <w:rPr>
        <w:rFonts w:hint="default"/>
      </w:rPr>
    </w:lvl>
    <w:lvl w:ilvl="8">
      <w:start w:val="0"/>
      <w:numFmt w:val="bullet"/>
      <w:lvlText w:val="•"/>
      <w:lvlJc w:val="left"/>
      <w:pPr>
        <w:ind w:left="7530" w:hanging="572"/>
      </w:pPr>
      <w:rPr>
        <w:rFonts w:hint="default"/>
      </w:rPr>
    </w:lvl>
  </w:abstractNum>
  <w:abstractNum w:abstractNumId="63">
    <w:multiLevelType w:val="hybridMultilevel"/>
    <w:lvl w:ilvl="0">
      <w:start w:val="3"/>
      <w:numFmt w:val="decimal"/>
      <w:lvlText w:val="%1"/>
      <w:lvlJc w:val="left"/>
      <w:pPr>
        <w:ind w:left="1448" w:hanging="1230"/>
        <w:jc w:val="left"/>
      </w:pPr>
      <w:rPr>
        <w:rFonts w:hint="default"/>
      </w:rPr>
    </w:lvl>
    <w:lvl w:ilvl="1">
      <w:start w:val="3"/>
      <w:numFmt w:val="decimal"/>
      <w:lvlText w:val="%1.%2"/>
      <w:lvlJc w:val="left"/>
      <w:pPr>
        <w:ind w:left="1448" w:hanging="1230"/>
        <w:jc w:val="left"/>
      </w:pPr>
      <w:rPr>
        <w:rFonts w:hint="default"/>
      </w:rPr>
    </w:lvl>
    <w:lvl w:ilvl="2">
      <w:start w:val="1"/>
      <w:numFmt w:val="decimal"/>
      <w:lvlText w:val="%1.%2.%3"/>
      <w:lvlJc w:val="left"/>
      <w:pPr>
        <w:ind w:left="1448" w:hanging="1230"/>
        <w:jc w:val="left"/>
      </w:pPr>
      <w:rPr>
        <w:rFonts w:hint="default"/>
      </w:rPr>
    </w:lvl>
    <w:lvl w:ilvl="3">
      <w:start w:val="2"/>
      <w:numFmt w:val="decimal"/>
      <w:lvlText w:val="%1.%2.%3.%4"/>
      <w:lvlJc w:val="left"/>
      <w:pPr>
        <w:ind w:left="1448" w:hanging="1230"/>
        <w:jc w:val="left"/>
      </w:pPr>
      <w:rPr>
        <w:rFonts w:hint="default"/>
      </w:rPr>
    </w:lvl>
    <w:lvl w:ilvl="4">
      <w:start w:val="1"/>
      <w:numFmt w:val="decimal"/>
      <w:lvlText w:val="%1.%2.%3.%4.%5"/>
      <w:lvlJc w:val="left"/>
      <w:pPr>
        <w:ind w:left="1448" w:hanging="1230"/>
        <w:jc w:val="left"/>
      </w:pPr>
      <w:rPr>
        <w:rFonts w:hint="default"/>
      </w:rPr>
    </w:lvl>
    <w:lvl w:ilvl="5">
      <w:start w:val="3"/>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312" w:hanging="1230"/>
      </w:pPr>
      <w:rPr>
        <w:rFonts w:hint="default"/>
      </w:rPr>
    </w:lvl>
    <w:lvl w:ilvl="7">
      <w:start w:val="0"/>
      <w:numFmt w:val="bullet"/>
      <w:lvlText w:val="•"/>
      <w:lvlJc w:val="left"/>
      <w:pPr>
        <w:ind w:left="7124" w:hanging="1230"/>
      </w:pPr>
      <w:rPr>
        <w:rFonts w:hint="default"/>
      </w:rPr>
    </w:lvl>
    <w:lvl w:ilvl="8">
      <w:start w:val="0"/>
      <w:numFmt w:val="bullet"/>
      <w:lvlText w:val="•"/>
      <w:lvlJc w:val="left"/>
      <w:pPr>
        <w:ind w:left="7936" w:hanging="1230"/>
      </w:pPr>
      <w:rPr>
        <w:rFonts w:hint="default"/>
      </w:rPr>
    </w:lvl>
  </w:abstractNum>
  <w:abstractNum w:abstractNumId="62">
    <w:multiLevelType w:val="hybridMultilevel"/>
    <w:lvl w:ilvl="0">
      <w:start w:val="3"/>
      <w:numFmt w:val="decimal"/>
      <w:lvlText w:val="%1"/>
      <w:lvlJc w:val="left"/>
      <w:pPr>
        <w:ind w:left="219" w:hanging="537"/>
        <w:jc w:val="left"/>
      </w:pPr>
      <w:rPr>
        <w:rFonts w:hint="default"/>
      </w:rPr>
    </w:lvl>
    <w:lvl w:ilvl="1">
      <w:start w:val="3"/>
      <w:numFmt w:val="decimal"/>
      <w:lvlText w:val="%1.%2"/>
      <w:lvlJc w:val="left"/>
      <w:pPr>
        <w:ind w:left="219" w:hanging="537"/>
        <w:jc w:val="left"/>
      </w:pPr>
      <w:rPr>
        <w:rFonts w:hint="default"/>
      </w:rPr>
    </w:lvl>
    <w:lvl w:ilvl="2">
      <w:start w:val="3"/>
      <w:numFmt w:val="decimal"/>
      <w:lvlText w:val="%1.%2.%3."/>
      <w:lvlJc w:val="left"/>
      <w:pPr>
        <w:ind w:left="219" w:hanging="537"/>
        <w:jc w:val="left"/>
      </w:pPr>
      <w:rPr>
        <w:rFonts w:hint="default" w:ascii="Times New Roman" w:hAnsi="Times New Roman" w:eastAsia="Times New Roman" w:cs="Times New Roman"/>
        <w:w w:val="99"/>
        <w:sz w:val="20"/>
        <w:szCs w:val="20"/>
      </w:rPr>
    </w:lvl>
    <w:lvl w:ilvl="3">
      <w:start w:val="0"/>
      <w:numFmt w:val="bullet"/>
      <w:lvlText w:val="•"/>
      <w:lvlJc w:val="left"/>
      <w:pPr>
        <w:ind w:left="3022" w:hanging="537"/>
      </w:pPr>
      <w:rPr>
        <w:rFonts w:hint="default"/>
      </w:rPr>
    </w:lvl>
    <w:lvl w:ilvl="4">
      <w:start w:val="0"/>
      <w:numFmt w:val="bullet"/>
      <w:lvlText w:val="•"/>
      <w:lvlJc w:val="left"/>
      <w:pPr>
        <w:ind w:left="3956" w:hanging="537"/>
      </w:pPr>
      <w:rPr>
        <w:rFonts w:hint="default"/>
      </w:rPr>
    </w:lvl>
    <w:lvl w:ilvl="5">
      <w:start w:val="0"/>
      <w:numFmt w:val="bullet"/>
      <w:lvlText w:val="•"/>
      <w:lvlJc w:val="left"/>
      <w:pPr>
        <w:ind w:left="4890" w:hanging="537"/>
      </w:pPr>
      <w:rPr>
        <w:rFonts w:hint="default"/>
      </w:rPr>
    </w:lvl>
    <w:lvl w:ilvl="6">
      <w:start w:val="0"/>
      <w:numFmt w:val="bullet"/>
      <w:lvlText w:val="•"/>
      <w:lvlJc w:val="left"/>
      <w:pPr>
        <w:ind w:left="5824" w:hanging="537"/>
      </w:pPr>
      <w:rPr>
        <w:rFonts w:hint="default"/>
      </w:rPr>
    </w:lvl>
    <w:lvl w:ilvl="7">
      <w:start w:val="0"/>
      <w:numFmt w:val="bullet"/>
      <w:lvlText w:val="•"/>
      <w:lvlJc w:val="left"/>
      <w:pPr>
        <w:ind w:left="6758" w:hanging="537"/>
      </w:pPr>
      <w:rPr>
        <w:rFonts w:hint="default"/>
      </w:rPr>
    </w:lvl>
    <w:lvl w:ilvl="8">
      <w:start w:val="0"/>
      <w:numFmt w:val="bullet"/>
      <w:lvlText w:val="•"/>
      <w:lvlJc w:val="left"/>
      <w:pPr>
        <w:ind w:left="7692" w:hanging="537"/>
      </w:pPr>
      <w:rPr>
        <w:rFonts w:hint="default"/>
      </w:rPr>
    </w:lvl>
  </w:abstractNum>
  <w:abstractNum w:abstractNumId="61">
    <w:multiLevelType w:val="hybridMultilevel"/>
    <w:lvl w:ilvl="0">
      <w:start w:val="0"/>
      <w:numFmt w:val="bullet"/>
      <w:lvlText w:val="●"/>
      <w:lvlJc w:val="left"/>
      <w:pPr>
        <w:ind w:left="182" w:hanging="183"/>
      </w:pPr>
      <w:rPr>
        <w:rFonts w:hint="default" w:ascii="Times New Roman" w:hAnsi="Times New Roman" w:eastAsia="Times New Roman" w:cs="Times New Roman"/>
        <w:w w:val="99"/>
        <w:sz w:val="20"/>
        <w:szCs w:val="20"/>
      </w:rPr>
    </w:lvl>
    <w:lvl w:ilvl="1">
      <w:start w:val="0"/>
      <w:numFmt w:val="bullet"/>
      <w:lvlText w:val="•"/>
      <w:lvlJc w:val="left"/>
      <w:pPr>
        <w:ind w:left="888" w:hanging="183"/>
      </w:pPr>
      <w:rPr>
        <w:rFonts w:hint="default"/>
      </w:rPr>
    </w:lvl>
    <w:lvl w:ilvl="2">
      <w:start w:val="0"/>
      <w:numFmt w:val="bullet"/>
      <w:lvlText w:val="•"/>
      <w:lvlJc w:val="left"/>
      <w:pPr>
        <w:ind w:left="1596" w:hanging="183"/>
      </w:pPr>
      <w:rPr>
        <w:rFonts w:hint="default"/>
      </w:rPr>
    </w:lvl>
    <w:lvl w:ilvl="3">
      <w:start w:val="0"/>
      <w:numFmt w:val="bullet"/>
      <w:lvlText w:val="•"/>
      <w:lvlJc w:val="left"/>
      <w:pPr>
        <w:ind w:left="2305" w:hanging="183"/>
      </w:pPr>
      <w:rPr>
        <w:rFonts w:hint="default"/>
      </w:rPr>
    </w:lvl>
    <w:lvl w:ilvl="4">
      <w:start w:val="0"/>
      <w:numFmt w:val="bullet"/>
      <w:lvlText w:val="•"/>
      <w:lvlJc w:val="left"/>
      <w:pPr>
        <w:ind w:left="3013" w:hanging="183"/>
      </w:pPr>
      <w:rPr>
        <w:rFonts w:hint="default"/>
      </w:rPr>
    </w:lvl>
    <w:lvl w:ilvl="5">
      <w:start w:val="0"/>
      <w:numFmt w:val="bullet"/>
      <w:lvlText w:val="•"/>
      <w:lvlJc w:val="left"/>
      <w:pPr>
        <w:ind w:left="3722" w:hanging="183"/>
      </w:pPr>
      <w:rPr>
        <w:rFonts w:hint="default"/>
      </w:rPr>
    </w:lvl>
    <w:lvl w:ilvl="6">
      <w:start w:val="0"/>
      <w:numFmt w:val="bullet"/>
      <w:lvlText w:val="•"/>
      <w:lvlJc w:val="left"/>
      <w:pPr>
        <w:ind w:left="4430" w:hanging="183"/>
      </w:pPr>
      <w:rPr>
        <w:rFonts w:hint="default"/>
      </w:rPr>
    </w:lvl>
    <w:lvl w:ilvl="7">
      <w:start w:val="0"/>
      <w:numFmt w:val="bullet"/>
      <w:lvlText w:val="•"/>
      <w:lvlJc w:val="left"/>
      <w:pPr>
        <w:ind w:left="5139" w:hanging="183"/>
      </w:pPr>
      <w:rPr>
        <w:rFonts w:hint="default"/>
      </w:rPr>
    </w:lvl>
    <w:lvl w:ilvl="8">
      <w:start w:val="0"/>
      <w:numFmt w:val="bullet"/>
      <w:lvlText w:val="•"/>
      <w:lvlJc w:val="left"/>
      <w:pPr>
        <w:ind w:left="5847" w:hanging="183"/>
      </w:pPr>
      <w:rPr>
        <w:rFonts w:hint="default"/>
      </w:rPr>
    </w:lvl>
  </w:abstractNum>
  <w:abstractNum w:abstractNumId="60">
    <w:multiLevelType w:val="hybridMultilevel"/>
    <w:lvl w:ilvl="0">
      <w:start w:val="3"/>
      <w:numFmt w:val="decimal"/>
      <w:lvlText w:val="%1"/>
      <w:lvlJc w:val="left"/>
      <w:pPr>
        <w:ind w:left="1659" w:hanging="1440"/>
        <w:jc w:val="left"/>
      </w:pPr>
      <w:rPr>
        <w:rFonts w:hint="default"/>
      </w:rPr>
    </w:lvl>
    <w:lvl w:ilvl="1">
      <w:start w:val="3"/>
      <w:numFmt w:val="decimal"/>
      <w:lvlText w:val="%1.%2"/>
      <w:lvlJc w:val="left"/>
      <w:pPr>
        <w:ind w:left="1659" w:hanging="1440"/>
        <w:jc w:val="left"/>
      </w:pPr>
      <w:rPr>
        <w:rFonts w:hint="default"/>
      </w:rPr>
    </w:lvl>
    <w:lvl w:ilvl="2">
      <w:start w:val="1"/>
      <w:numFmt w:val="decimal"/>
      <w:lvlText w:val="%1.%2.%3"/>
      <w:lvlJc w:val="left"/>
      <w:pPr>
        <w:ind w:left="1659" w:hanging="1440"/>
        <w:jc w:val="left"/>
      </w:pPr>
      <w:rPr>
        <w:rFonts w:hint="default"/>
      </w:rPr>
    </w:lvl>
    <w:lvl w:ilvl="3">
      <w:start w:val="2"/>
      <w:numFmt w:val="decimal"/>
      <w:lvlText w:val="%1.%2.%3.%4"/>
      <w:lvlJc w:val="left"/>
      <w:pPr>
        <w:ind w:left="165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242" w:hanging="1024"/>
        <w:jc w:val="left"/>
      </w:pPr>
      <w:rPr>
        <w:rFonts w:hint="default" w:ascii="Times New Roman" w:hAnsi="Times New Roman" w:eastAsia="Times New Roman" w:cs="Times New Roman"/>
        <w:b/>
        <w:bCs/>
        <w:spacing w:val="-34"/>
        <w:w w:val="100"/>
        <w:sz w:val="22"/>
        <w:szCs w:val="22"/>
      </w:rPr>
    </w:lvl>
    <w:lvl w:ilvl="5">
      <w:start w:val="1"/>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5610" w:hanging="1230"/>
      </w:pPr>
      <w:rPr>
        <w:rFonts w:hint="default"/>
      </w:rPr>
    </w:lvl>
    <w:lvl w:ilvl="7">
      <w:start w:val="0"/>
      <w:numFmt w:val="bullet"/>
      <w:lvlText w:val="•"/>
      <w:lvlJc w:val="left"/>
      <w:pPr>
        <w:ind w:left="6597" w:hanging="1230"/>
      </w:pPr>
      <w:rPr>
        <w:rFonts w:hint="default"/>
      </w:rPr>
    </w:lvl>
    <w:lvl w:ilvl="8">
      <w:start w:val="0"/>
      <w:numFmt w:val="bullet"/>
      <w:lvlText w:val="•"/>
      <w:lvlJc w:val="left"/>
      <w:pPr>
        <w:ind w:left="7585" w:hanging="1230"/>
      </w:pPr>
      <w:rPr>
        <w:rFonts w:hint="default"/>
      </w:rPr>
    </w:lvl>
  </w:abstractNum>
  <w:abstractNum w:abstractNumId="59">
    <w:multiLevelType w:val="hybridMultilevel"/>
    <w:lvl w:ilvl="0">
      <w:start w:val="3"/>
      <w:numFmt w:val="decimal"/>
      <w:lvlText w:val="%1"/>
      <w:lvlJc w:val="left"/>
      <w:pPr>
        <w:ind w:left="1448" w:hanging="1230"/>
        <w:jc w:val="left"/>
      </w:pPr>
      <w:rPr>
        <w:rFonts w:hint="default"/>
      </w:rPr>
    </w:lvl>
    <w:lvl w:ilvl="1">
      <w:start w:val="3"/>
      <w:numFmt w:val="decimal"/>
      <w:lvlText w:val="%1.%2"/>
      <w:lvlJc w:val="left"/>
      <w:pPr>
        <w:ind w:left="1448" w:hanging="1230"/>
        <w:jc w:val="left"/>
      </w:pPr>
      <w:rPr>
        <w:rFonts w:hint="default"/>
      </w:rPr>
    </w:lvl>
    <w:lvl w:ilvl="2">
      <w:start w:val="1"/>
      <w:numFmt w:val="decimal"/>
      <w:lvlText w:val="%1.%2.%3"/>
      <w:lvlJc w:val="left"/>
      <w:pPr>
        <w:ind w:left="1448" w:hanging="1230"/>
        <w:jc w:val="left"/>
      </w:pPr>
      <w:rPr>
        <w:rFonts w:hint="default"/>
      </w:rPr>
    </w:lvl>
    <w:lvl w:ilvl="3">
      <w:start w:val="1"/>
      <w:numFmt w:val="decimal"/>
      <w:lvlText w:val="%1.%2.%3.%4"/>
      <w:lvlJc w:val="left"/>
      <w:pPr>
        <w:ind w:left="1448" w:hanging="1230"/>
        <w:jc w:val="left"/>
      </w:pPr>
      <w:rPr>
        <w:rFonts w:hint="default"/>
      </w:rPr>
    </w:lvl>
    <w:lvl w:ilvl="4">
      <w:start w:val="1"/>
      <w:numFmt w:val="decimal"/>
      <w:lvlText w:val="%1.%2.%3.%4.%5"/>
      <w:lvlJc w:val="left"/>
      <w:pPr>
        <w:ind w:left="1448" w:hanging="1230"/>
        <w:jc w:val="left"/>
      </w:pPr>
      <w:rPr>
        <w:rFonts w:hint="default"/>
      </w:rPr>
    </w:lvl>
    <w:lvl w:ilvl="5">
      <w:start w:val="3"/>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312" w:hanging="1230"/>
      </w:pPr>
      <w:rPr>
        <w:rFonts w:hint="default"/>
      </w:rPr>
    </w:lvl>
    <w:lvl w:ilvl="7">
      <w:start w:val="0"/>
      <w:numFmt w:val="bullet"/>
      <w:lvlText w:val="•"/>
      <w:lvlJc w:val="left"/>
      <w:pPr>
        <w:ind w:left="7124" w:hanging="1230"/>
      </w:pPr>
      <w:rPr>
        <w:rFonts w:hint="default"/>
      </w:rPr>
    </w:lvl>
    <w:lvl w:ilvl="8">
      <w:start w:val="0"/>
      <w:numFmt w:val="bullet"/>
      <w:lvlText w:val="•"/>
      <w:lvlJc w:val="left"/>
      <w:pPr>
        <w:ind w:left="7936" w:hanging="1230"/>
      </w:pPr>
      <w:rPr>
        <w:rFonts w:hint="default"/>
      </w:rPr>
    </w:lvl>
  </w:abstractNum>
  <w:abstractNum w:abstractNumId="58">
    <w:multiLevelType w:val="hybridMultilevel"/>
    <w:lvl w:ilvl="0">
      <w:start w:val="3"/>
      <w:numFmt w:val="decimal"/>
      <w:lvlText w:val="%1"/>
      <w:lvlJc w:val="left"/>
      <w:pPr>
        <w:ind w:left="1659" w:hanging="1440"/>
        <w:jc w:val="left"/>
      </w:pPr>
      <w:rPr>
        <w:rFonts w:hint="default"/>
      </w:rPr>
    </w:lvl>
    <w:lvl w:ilvl="1">
      <w:start w:val="3"/>
      <w:numFmt w:val="decimal"/>
      <w:lvlText w:val="%1.%2"/>
      <w:lvlJc w:val="left"/>
      <w:pPr>
        <w:ind w:left="1659" w:hanging="1440"/>
        <w:jc w:val="left"/>
      </w:pPr>
      <w:rPr>
        <w:rFonts w:hint="default"/>
      </w:rPr>
    </w:lvl>
    <w:lvl w:ilvl="2">
      <w:start w:val="1"/>
      <w:numFmt w:val="decimal"/>
      <w:lvlText w:val="%1.%2.%3"/>
      <w:lvlJc w:val="left"/>
      <w:pPr>
        <w:ind w:left="1659" w:hanging="1440"/>
        <w:jc w:val="left"/>
      </w:pPr>
      <w:rPr>
        <w:rFonts w:hint="default"/>
      </w:rPr>
    </w:lvl>
    <w:lvl w:ilvl="3">
      <w:start w:val="1"/>
      <w:numFmt w:val="decimal"/>
      <w:lvlText w:val="%1.%2.%3.%4"/>
      <w:lvlJc w:val="left"/>
      <w:pPr>
        <w:ind w:left="1659" w:hanging="1440"/>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1242" w:hanging="1024"/>
        <w:jc w:val="left"/>
      </w:pPr>
      <w:rPr>
        <w:rFonts w:hint="default" w:ascii="Times New Roman" w:hAnsi="Times New Roman" w:eastAsia="Times New Roman" w:cs="Times New Roman"/>
        <w:b/>
        <w:bCs/>
        <w:spacing w:val="-34"/>
        <w:w w:val="100"/>
        <w:sz w:val="22"/>
        <w:szCs w:val="22"/>
      </w:rPr>
    </w:lvl>
    <w:lvl w:ilvl="5">
      <w:start w:val="1"/>
      <w:numFmt w:val="decimal"/>
      <w:lvlText w:val="%1.%2.%3.%4.%5.%6"/>
      <w:lvlJc w:val="left"/>
      <w:pPr>
        <w:ind w:left="1448" w:hanging="1230"/>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3366" w:hanging="1230"/>
      </w:pPr>
      <w:rPr>
        <w:rFonts w:hint="default"/>
      </w:rPr>
    </w:lvl>
    <w:lvl w:ilvl="7">
      <w:start w:val="0"/>
      <w:numFmt w:val="bullet"/>
      <w:lvlText w:val="•"/>
      <w:lvlJc w:val="left"/>
      <w:pPr>
        <w:ind w:left="3792" w:hanging="1230"/>
      </w:pPr>
      <w:rPr>
        <w:rFonts w:hint="default"/>
      </w:rPr>
    </w:lvl>
    <w:lvl w:ilvl="8">
      <w:start w:val="0"/>
      <w:numFmt w:val="bullet"/>
      <w:lvlText w:val="•"/>
      <w:lvlJc w:val="left"/>
      <w:pPr>
        <w:ind w:left="4219" w:hanging="1230"/>
      </w:pPr>
      <w:rPr>
        <w:rFonts w:hint="default"/>
      </w:rPr>
    </w:lvl>
  </w:abstractNum>
  <w:abstractNum w:abstractNumId="57">
    <w:multiLevelType w:val="hybridMultilevel"/>
    <w:lvl w:ilvl="0">
      <w:start w:val="3"/>
      <w:numFmt w:val="decimal"/>
      <w:lvlText w:val="%1"/>
      <w:lvlJc w:val="left"/>
      <w:pPr>
        <w:ind w:left="1421" w:hanging="1203"/>
        <w:jc w:val="left"/>
      </w:pPr>
      <w:rPr>
        <w:rFonts w:hint="default"/>
      </w:rPr>
    </w:lvl>
    <w:lvl w:ilvl="1">
      <w:start w:val="2"/>
      <w:numFmt w:val="decimal"/>
      <w:lvlText w:val="%1.%2"/>
      <w:lvlJc w:val="left"/>
      <w:pPr>
        <w:ind w:left="1421" w:hanging="1203"/>
        <w:jc w:val="left"/>
      </w:pPr>
      <w:rPr>
        <w:rFonts w:hint="default"/>
      </w:rPr>
    </w:lvl>
    <w:lvl w:ilvl="2">
      <w:start w:val="3"/>
      <w:numFmt w:val="decimal"/>
      <w:lvlText w:val="%1.%2.%3"/>
      <w:lvlJc w:val="left"/>
      <w:pPr>
        <w:ind w:left="142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3862" w:hanging="1203"/>
      </w:pPr>
      <w:rPr>
        <w:rFonts w:hint="default"/>
      </w:rPr>
    </w:lvl>
    <w:lvl w:ilvl="4">
      <w:start w:val="0"/>
      <w:numFmt w:val="bullet"/>
      <w:lvlText w:val="•"/>
      <w:lvlJc w:val="left"/>
      <w:pPr>
        <w:ind w:left="4676" w:hanging="1203"/>
      </w:pPr>
      <w:rPr>
        <w:rFonts w:hint="default"/>
      </w:rPr>
    </w:lvl>
    <w:lvl w:ilvl="5">
      <w:start w:val="0"/>
      <w:numFmt w:val="bullet"/>
      <w:lvlText w:val="•"/>
      <w:lvlJc w:val="left"/>
      <w:pPr>
        <w:ind w:left="5490" w:hanging="1203"/>
      </w:pPr>
      <w:rPr>
        <w:rFonts w:hint="default"/>
      </w:rPr>
    </w:lvl>
    <w:lvl w:ilvl="6">
      <w:start w:val="0"/>
      <w:numFmt w:val="bullet"/>
      <w:lvlText w:val="•"/>
      <w:lvlJc w:val="left"/>
      <w:pPr>
        <w:ind w:left="6304" w:hanging="1203"/>
      </w:pPr>
      <w:rPr>
        <w:rFonts w:hint="default"/>
      </w:rPr>
    </w:lvl>
    <w:lvl w:ilvl="7">
      <w:start w:val="0"/>
      <w:numFmt w:val="bullet"/>
      <w:lvlText w:val="•"/>
      <w:lvlJc w:val="left"/>
      <w:pPr>
        <w:ind w:left="7118" w:hanging="1203"/>
      </w:pPr>
      <w:rPr>
        <w:rFonts w:hint="default"/>
      </w:rPr>
    </w:lvl>
    <w:lvl w:ilvl="8">
      <w:start w:val="0"/>
      <w:numFmt w:val="bullet"/>
      <w:lvlText w:val="•"/>
      <w:lvlJc w:val="left"/>
      <w:pPr>
        <w:ind w:left="7932" w:hanging="1203"/>
      </w:pPr>
      <w:rPr>
        <w:rFonts w:hint="default"/>
      </w:rPr>
    </w:lvl>
  </w:abstractNum>
  <w:abstractNum w:abstractNumId="56">
    <w:multiLevelType w:val="hybridMultilevel"/>
    <w:lvl w:ilvl="0">
      <w:start w:val="3"/>
      <w:numFmt w:val="decimal"/>
      <w:lvlText w:val="%1"/>
      <w:lvlJc w:val="left"/>
      <w:pPr>
        <w:ind w:left="1659" w:hanging="1441"/>
        <w:jc w:val="left"/>
      </w:pPr>
      <w:rPr>
        <w:rFonts w:hint="default"/>
      </w:rPr>
    </w:lvl>
    <w:lvl w:ilvl="1">
      <w:start w:val="2"/>
      <w:numFmt w:val="decimal"/>
      <w:lvlText w:val="%1.%2"/>
      <w:lvlJc w:val="left"/>
      <w:pPr>
        <w:ind w:left="1659" w:hanging="1441"/>
        <w:jc w:val="left"/>
      </w:pPr>
      <w:rPr>
        <w:rFonts w:hint="default"/>
      </w:rPr>
    </w:lvl>
    <w:lvl w:ilvl="2">
      <w:start w:val="2"/>
      <w:numFmt w:val="decimal"/>
      <w:lvlText w:val="%1.%2.%3"/>
      <w:lvlJc w:val="left"/>
      <w:pPr>
        <w:ind w:left="1659" w:hanging="1441"/>
        <w:jc w:val="left"/>
      </w:pPr>
      <w:rPr>
        <w:rFonts w:hint="default"/>
      </w:rPr>
    </w:lvl>
    <w:lvl w:ilvl="3">
      <w:start w:val="3"/>
      <w:numFmt w:val="decimal"/>
      <w:lvlText w:val="%1.%2.%3.%4"/>
      <w:lvlJc w:val="left"/>
      <w:pPr>
        <w:ind w:left="1659" w:hanging="1441"/>
        <w:jc w:val="left"/>
      </w:pPr>
      <w:rPr>
        <w:rFonts w:hint="default"/>
      </w:rPr>
    </w:lvl>
    <w:lvl w:ilvl="4">
      <w:start w:val="1"/>
      <w:numFmt w:val="decimal"/>
      <w:lvlText w:val="%1.%2.%3.%4.%5"/>
      <w:lvlJc w:val="left"/>
      <w:pPr>
        <w:ind w:left="1659" w:hanging="1441"/>
        <w:jc w:val="left"/>
      </w:pPr>
      <w:rPr>
        <w:rFonts w:hint="default"/>
      </w:rPr>
    </w:lvl>
    <w:lvl w:ilvl="5">
      <w:start w:val="1"/>
      <w:numFmt w:val="decimal"/>
      <w:lvlText w:val="%1.%2.%3.%4.%5.%6"/>
      <w:lvlJc w:val="left"/>
      <w:pPr>
        <w:ind w:left="1659" w:hanging="1441"/>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400" w:hanging="1441"/>
      </w:pPr>
      <w:rPr>
        <w:rFonts w:hint="default"/>
      </w:rPr>
    </w:lvl>
    <w:lvl w:ilvl="7">
      <w:start w:val="0"/>
      <w:numFmt w:val="bullet"/>
      <w:lvlText w:val="•"/>
      <w:lvlJc w:val="left"/>
      <w:pPr>
        <w:ind w:left="7190" w:hanging="1441"/>
      </w:pPr>
      <w:rPr>
        <w:rFonts w:hint="default"/>
      </w:rPr>
    </w:lvl>
    <w:lvl w:ilvl="8">
      <w:start w:val="0"/>
      <w:numFmt w:val="bullet"/>
      <w:lvlText w:val="•"/>
      <w:lvlJc w:val="left"/>
      <w:pPr>
        <w:ind w:left="7980" w:hanging="1441"/>
      </w:pPr>
      <w:rPr>
        <w:rFonts w:hint="default"/>
      </w:rPr>
    </w:lvl>
  </w:abstractNum>
  <w:abstractNum w:abstractNumId="55">
    <w:multiLevelType w:val="hybridMultilevel"/>
    <w:lvl w:ilvl="0">
      <w:start w:val="3"/>
      <w:numFmt w:val="decimal"/>
      <w:lvlText w:val="%1"/>
      <w:lvlJc w:val="left"/>
      <w:pPr>
        <w:ind w:left="1660" w:hanging="1442"/>
        <w:jc w:val="left"/>
      </w:pPr>
      <w:rPr>
        <w:rFonts w:hint="default"/>
      </w:rPr>
    </w:lvl>
    <w:lvl w:ilvl="1">
      <w:start w:val="2"/>
      <w:numFmt w:val="decimal"/>
      <w:lvlText w:val="%1.%2"/>
      <w:lvlJc w:val="left"/>
      <w:pPr>
        <w:ind w:left="1660" w:hanging="1442"/>
        <w:jc w:val="left"/>
      </w:pPr>
      <w:rPr>
        <w:rFonts w:hint="default"/>
      </w:rPr>
    </w:lvl>
    <w:lvl w:ilvl="2">
      <w:start w:val="2"/>
      <w:numFmt w:val="decimal"/>
      <w:lvlText w:val="%1.%2.%3"/>
      <w:lvlJc w:val="left"/>
      <w:pPr>
        <w:ind w:left="1660" w:hanging="1442"/>
        <w:jc w:val="left"/>
      </w:pPr>
      <w:rPr>
        <w:rFonts w:hint="default"/>
      </w:rPr>
    </w:lvl>
    <w:lvl w:ilvl="3">
      <w:start w:val="2"/>
      <w:numFmt w:val="decimal"/>
      <w:lvlText w:val="%1.%2.%3.%4"/>
      <w:lvlJc w:val="left"/>
      <w:pPr>
        <w:ind w:left="1660" w:hanging="1442"/>
        <w:jc w:val="left"/>
      </w:pPr>
      <w:rPr>
        <w:rFonts w:hint="default"/>
      </w:rPr>
    </w:lvl>
    <w:lvl w:ilvl="4">
      <w:start w:val="1"/>
      <w:numFmt w:val="decimal"/>
      <w:lvlText w:val="%1.%2.%3.%4.%5"/>
      <w:lvlJc w:val="left"/>
      <w:pPr>
        <w:ind w:left="1659" w:hanging="1441"/>
        <w:jc w:val="left"/>
      </w:pPr>
      <w:rPr>
        <w:rFonts w:hint="default"/>
        <w:b/>
        <w:bCs/>
        <w:spacing w:val="-34"/>
        <w:w w:val="100"/>
      </w:rPr>
    </w:lvl>
    <w:lvl w:ilvl="5">
      <w:start w:val="3"/>
      <w:numFmt w:val="decimal"/>
      <w:lvlText w:val="%1.%2.%3.%4.%5.%6"/>
      <w:lvlJc w:val="left"/>
      <w:pPr>
        <w:ind w:left="1660" w:hanging="1441"/>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400" w:hanging="1441"/>
      </w:pPr>
      <w:rPr>
        <w:rFonts w:hint="default"/>
      </w:rPr>
    </w:lvl>
    <w:lvl w:ilvl="7">
      <w:start w:val="0"/>
      <w:numFmt w:val="bullet"/>
      <w:lvlText w:val="•"/>
      <w:lvlJc w:val="left"/>
      <w:pPr>
        <w:ind w:left="7190" w:hanging="1441"/>
      </w:pPr>
      <w:rPr>
        <w:rFonts w:hint="default"/>
      </w:rPr>
    </w:lvl>
    <w:lvl w:ilvl="8">
      <w:start w:val="0"/>
      <w:numFmt w:val="bullet"/>
      <w:lvlText w:val="•"/>
      <w:lvlJc w:val="left"/>
      <w:pPr>
        <w:ind w:left="7980" w:hanging="1441"/>
      </w:pPr>
      <w:rPr>
        <w:rFonts w:hint="default"/>
      </w:rPr>
    </w:lvl>
  </w:abstractNum>
  <w:abstractNum w:abstractNumId="54">
    <w:multiLevelType w:val="hybridMultilevel"/>
    <w:lvl w:ilvl="0">
      <w:start w:val="0"/>
      <w:numFmt w:val="bullet"/>
      <w:lvlText w:val="●"/>
      <w:lvlJc w:val="left"/>
      <w:pPr>
        <w:ind w:left="170" w:hanging="171"/>
      </w:pPr>
      <w:rPr>
        <w:rFonts w:hint="default" w:ascii="Times New Roman" w:hAnsi="Times New Roman" w:eastAsia="Times New Roman" w:cs="Times New Roman"/>
        <w:w w:val="99"/>
        <w:sz w:val="20"/>
        <w:szCs w:val="20"/>
      </w:rPr>
    </w:lvl>
    <w:lvl w:ilvl="1">
      <w:start w:val="0"/>
      <w:numFmt w:val="bullet"/>
      <w:lvlText w:val="•"/>
      <w:lvlJc w:val="left"/>
      <w:pPr>
        <w:ind w:left="206" w:hanging="171"/>
      </w:pPr>
      <w:rPr>
        <w:rFonts w:hint="default"/>
      </w:rPr>
    </w:lvl>
    <w:lvl w:ilvl="2">
      <w:start w:val="0"/>
      <w:numFmt w:val="bullet"/>
      <w:lvlText w:val="•"/>
      <w:lvlJc w:val="left"/>
      <w:pPr>
        <w:ind w:left="233" w:hanging="171"/>
      </w:pPr>
      <w:rPr>
        <w:rFonts w:hint="default"/>
      </w:rPr>
    </w:lvl>
    <w:lvl w:ilvl="3">
      <w:start w:val="0"/>
      <w:numFmt w:val="bullet"/>
      <w:lvlText w:val="•"/>
      <w:lvlJc w:val="left"/>
      <w:pPr>
        <w:ind w:left="260" w:hanging="171"/>
      </w:pPr>
      <w:rPr>
        <w:rFonts w:hint="default"/>
      </w:rPr>
    </w:lvl>
    <w:lvl w:ilvl="4">
      <w:start w:val="0"/>
      <w:numFmt w:val="bullet"/>
      <w:lvlText w:val="•"/>
      <w:lvlJc w:val="left"/>
      <w:pPr>
        <w:ind w:left="287" w:hanging="171"/>
      </w:pPr>
      <w:rPr>
        <w:rFonts w:hint="default"/>
      </w:rPr>
    </w:lvl>
    <w:lvl w:ilvl="5">
      <w:start w:val="0"/>
      <w:numFmt w:val="bullet"/>
      <w:lvlText w:val="•"/>
      <w:lvlJc w:val="left"/>
      <w:pPr>
        <w:ind w:left="314" w:hanging="171"/>
      </w:pPr>
      <w:rPr>
        <w:rFonts w:hint="default"/>
      </w:rPr>
    </w:lvl>
    <w:lvl w:ilvl="6">
      <w:start w:val="0"/>
      <w:numFmt w:val="bullet"/>
      <w:lvlText w:val="•"/>
      <w:lvlJc w:val="left"/>
      <w:pPr>
        <w:ind w:left="340" w:hanging="171"/>
      </w:pPr>
      <w:rPr>
        <w:rFonts w:hint="default"/>
      </w:rPr>
    </w:lvl>
    <w:lvl w:ilvl="7">
      <w:start w:val="0"/>
      <w:numFmt w:val="bullet"/>
      <w:lvlText w:val="•"/>
      <w:lvlJc w:val="left"/>
      <w:pPr>
        <w:ind w:left="367" w:hanging="171"/>
      </w:pPr>
      <w:rPr>
        <w:rFonts w:hint="default"/>
      </w:rPr>
    </w:lvl>
    <w:lvl w:ilvl="8">
      <w:start w:val="0"/>
      <w:numFmt w:val="bullet"/>
      <w:lvlText w:val="•"/>
      <w:lvlJc w:val="left"/>
      <w:pPr>
        <w:ind w:left="394" w:hanging="171"/>
      </w:pPr>
      <w:rPr>
        <w:rFonts w:hint="default"/>
      </w:rPr>
    </w:lvl>
  </w:abstractNum>
  <w:abstractNum w:abstractNumId="53">
    <w:multiLevelType w:val="hybridMultilevel"/>
    <w:lvl w:ilvl="0">
      <w:start w:val="0"/>
      <w:numFmt w:val="bullet"/>
      <w:lvlText w:val="●"/>
      <w:lvlJc w:val="left"/>
      <w:pPr>
        <w:ind w:left="170" w:hanging="171"/>
      </w:pPr>
      <w:rPr>
        <w:rFonts w:hint="default" w:ascii="Times New Roman" w:hAnsi="Times New Roman" w:eastAsia="Times New Roman" w:cs="Times New Roman"/>
        <w:w w:val="99"/>
        <w:position w:val="3"/>
        <w:sz w:val="20"/>
        <w:szCs w:val="20"/>
      </w:rPr>
    </w:lvl>
    <w:lvl w:ilvl="1">
      <w:start w:val="0"/>
      <w:numFmt w:val="bullet"/>
      <w:lvlText w:val="•"/>
      <w:lvlJc w:val="left"/>
      <w:pPr>
        <w:ind w:left="221" w:hanging="171"/>
      </w:pPr>
      <w:rPr>
        <w:rFonts w:hint="default"/>
      </w:rPr>
    </w:lvl>
    <w:lvl w:ilvl="2">
      <w:start w:val="0"/>
      <w:numFmt w:val="bullet"/>
      <w:lvlText w:val="•"/>
      <w:lvlJc w:val="left"/>
      <w:pPr>
        <w:ind w:left="262" w:hanging="171"/>
      </w:pPr>
      <w:rPr>
        <w:rFonts w:hint="default"/>
      </w:rPr>
    </w:lvl>
    <w:lvl w:ilvl="3">
      <w:start w:val="0"/>
      <w:numFmt w:val="bullet"/>
      <w:lvlText w:val="•"/>
      <w:lvlJc w:val="left"/>
      <w:pPr>
        <w:ind w:left="304" w:hanging="171"/>
      </w:pPr>
      <w:rPr>
        <w:rFonts w:hint="default"/>
      </w:rPr>
    </w:lvl>
    <w:lvl w:ilvl="4">
      <w:start w:val="0"/>
      <w:numFmt w:val="bullet"/>
      <w:lvlText w:val="•"/>
      <w:lvlJc w:val="left"/>
      <w:pPr>
        <w:ind w:left="345" w:hanging="171"/>
      </w:pPr>
      <w:rPr>
        <w:rFonts w:hint="default"/>
      </w:rPr>
    </w:lvl>
    <w:lvl w:ilvl="5">
      <w:start w:val="0"/>
      <w:numFmt w:val="bullet"/>
      <w:lvlText w:val="•"/>
      <w:lvlJc w:val="left"/>
      <w:pPr>
        <w:ind w:left="386" w:hanging="171"/>
      </w:pPr>
      <w:rPr>
        <w:rFonts w:hint="default"/>
      </w:rPr>
    </w:lvl>
    <w:lvl w:ilvl="6">
      <w:start w:val="0"/>
      <w:numFmt w:val="bullet"/>
      <w:lvlText w:val="•"/>
      <w:lvlJc w:val="left"/>
      <w:pPr>
        <w:ind w:left="428" w:hanging="171"/>
      </w:pPr>
      <w:rPr>
        <w:rFonts w:hint="default"/>
      </w:rPr>
    </w:lvl>
    <w:lvl w:ilvl="7">
      <w:start w:val="0"/>
      <w:numFmt w:val="bullet"/>
      <w:lvlText w:val="•"/>
      <w:lvlJc w:val="left"/>
      <w:pPr>
        <w:ind w:left="469" w:hanging="171"/>
      </w:pPr>
      <w:rPr>
        <w:rFonts w:hint="default"/>
      </w:rPr>
    </w:lvl>
    <w:lvl w:ilvl="8">
      <w:start w:val="0"/>
      <w:numFmt w:val="bullet"/>
      <w:lvlText w:val="•"/>
      <w:lvlJc w:val="left"/>
      <w:pPr>
        <w:ind w:left="510" w:hanging="171"/>
      </w:pPr>
      <w:rPr>
        <w:rFonts w:hint="default"/>
      </w:rPr>
    </w:lvl>
  </w:abstractNum>
  <w:abstractNum w:abstractNumId="52">
    <w:multiLevelType w:val="hybridMultilevel"/>
    <w:lvl w:ilvl="0">
      <w:start w:val="0"/>
      <w:numFmt w:val="bullet"/>
      <w:lvlText w:val="●"/>
      <w:lvlJc w:val="left"/>
      <w:pPr>
        <w:ind w:left="170" w:hanging="171"/>
      </w:pPr>
      <w:rPr>
        <w:rFonts w:hint="default" w:ascii="Times New Roman" w:hAnsi="Times New Roman" w:eastAsia="Times New Roman" w:cs="Times New Roman"/>
        <w:w w:val="99"/>
        <w:position w:val="3"/>
        <w:sz w:val="20"/>
        <w:szCs w:val="20"/>
      </w:rPr>
    </w:lvl>
    <w:lvl w:ilvl="1">
      <w:start w:val="0"/>
      <w:numFmt w:val="bullet"/>
      <w:lvlText w:val="•"/>
      <w:lvlJc w:val="left"/>
      <w:pPr>
        <w:ind w:left="221" w:hanging="171"/>
      </w:pPr>
      <w:rPr>
        <w:rFonts w:hint="default"/>
      </w:rPr>
    </w:lvl>
    <w:lvl w:ilvl="2">
      <w:start w:val="0"/>
      <w:numFmt w:val="bullet"/>
      <w:lvlText w:val="•"/>
      <w:lvlJc w:val="left"/>
      <w:pPr>
        <w:ind w:left="262" w:hanging="171"/>
      </w:pPr>
      <w:rPr>
        <w:rFonts w:hint="default"/>
      </w:rPr>
    </w:lvl>
    <w:lvl w:ilvl="3">
      <w:start w:val="0"/>
      <w:numFmt w:val="bullet"/>
      <w:lvlText w:val="•"/>
      <w:lvlJc w:val="left"/>
      <w:pPr>
        <w:ind w:left="304" w:hanging="171"/>
      </w:pPr>
      <w:rPr>
        <w:rFonts w:hint="default"/>
      </w:rPr>
    </w:lvl>
    <w:lvl w:ilvl="4">
      <w:start w:val="0"/>
      <w:numFmt w:val="bullet"/>
      <w:lvlText w:val="•"/>
      <w:lvlJc w:val="left"/>
      <w:pPr>
        <w:ind w:left="345" w:hanging="171"/>
      </w:pPr>
      <w:rPr>
        <w:rFonts w:hint="default"/>
      </w:rPr>
    </w:lvl>
    <w:lvl w:ilvl="5">
      <w:start w:val="0"/>
      <w:numFmt w:val="bullet"/>
      <w:lvlText w:val="•"/>
      <w:lvlJc w:val="left"/>
      <w:pPr>
        <w:ind w:left="386" w:hanging="171"/>
      </w:pPr>
      <w:rPr>
        <w:rFonts w:hint="default"/>
      </w:rPr>
    </w:lvl>
    <w:lvl w:ilvl="6">
      <w:start w:val="0"/>
      <w:numFmt w:val="bullet"/>
      <w:lvlText w:val="•"/>
      <w:lvlJc w:val="left"/>
      <w:pPr>
        <w:ind w:left="428" w:hanging="171"/>
      </w:pPr>
      <w:rPr>
        <w:rFonts w:hint="default"/>
      </w:rPr>
    </w:lvl>
    <w:lvl w:ilvl="7">
      <w:start w:val="0"/>
      <w:numFmt w:val="bullet"/>
      <w:lvlText w:val="•"/>
      <w:lvlJc w:val="left"/>
      <w:pPr>
        <w:ind w:left="469" w:hanging="171"/>
      </w:pPr>
      <w:rPr>
        <w:rFonts w:hint="default"/>
      </w:rPr>
    </w:lvl>
    <w:lvl w:ilvl="8">
      <w:start w:val="0"/>
      <w:numFmt w:val="bullet"/>
      <w:lvlText w:val="•"/>
      <w:lvlJc w:val="left"/>
      <w:pPr>
        <w:ind w:left="510" w:hanging="171"/>
      </w:pPr>
      <w:rPr>
        <w:rFonts w:hint="default"/>
      </w:rPr>
    </w:lvl>
  </w:abstractNum>
  <w:abstractNum w:abstractNumId="51">
    <w:multiLevelType w:val="hybridMultilevel"/>
    <w:lvl w:ilvl="0">
      <w:start w:val="3"/>
      <w:numFmt w:val="decimal"/>
      <w:lvlText w:val="%1"/>
      <w:lvlJc w:val="left"/>
      <w:pPr>
        <w:ind w:left="1659" w:hanging="1441"/>
        <w:jc w:val="left"/>
      </w:pPr>
      <w:rPr>
        <w:rFonts w:hint="default"/>
      </w:rPr>
    </w:lvl>
    <w:lvl w:ilvl="1">
      <w:start w:val="2"/>
      <w:numFmt w:val="decimal"/>
      <w:lvlText w:val="%1.%2"/>
      <w:lvlJc w:val="left"/>
      <w:pPr>
        <w:ind w:left="1659" w:hanging="1441"/>
        <w:jc w:val="left"/>
      </w:pPr>
      <w:rPr>
        <w:rFonts w:hint="default"/>
      </w:rPr>
    </w:lvl>
    <w:lvl w:ilvl="2">
      <w:start w:val="2"/>
      <w:numFmt w:val="decimal"/>
      <w:lvlText w:val="%1.%2.%3"/>
      <w:lvlJc w:val="left"/>
      <w:pPr>
        <w:ind w:left="1659" w:hanging="1441"/>
        <w:jc w:val="left"/>
      </w:pPr>
      <w:rPr>
        <w:rFonts w:hint="default"/>
      </w:rPr>
    </w:lvl>
    <w:lvl w:ilvl="3">
      <w:start w:val="2"/>
      <w:numFmt w:val="decimal"/>
      <w:lvlText w:val="%1.%2.%3.%4"/>
      <w:lvlJc w:val="left"/>
      <w:pPr>
        <w:ind w:left="1659" w:hanging="1441"/>
        <w:jc w:val="left"/>
      </w:pPr>
      <w:rPr>
        <w:rFonts w:hint="default"/>
      </w:rPr>
    </w:lvl>
    <w:lvl w:ilvl="4">
      <w:start w:val="1"/>
      <w:numFmt w:val="decimal"/>
      <w:lvlText w:val="%1.%2.%3.%4.%5"/>
      <w:lvlJc w:val="left"/>
      <w:pPr>
        <w:ind w:left="1659" w:hanging="1441"/>
        <w:jc w:val="left"/>
      </w:pPr>
      <w:rPr>
        <w:rFonts w:hint="default"/>
      </w:rPr>
    </w:lvl>
    <w:lvl w:ilvl="5">
      <w:start w:val="1"/>
      <w:numFmt w:val="decimal"/>
      <w:lvlText w:val="%1.%2.%3.%4.%5.%6"/>
      <w:lvlJc w:val="left"/>
      <w:pPr>
        <w:ind w:left="1659" w:hanging="1441"/>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400" w:hanging="1441"/>
      </w:pPr>
      <w:rPr>
        <w:rFonts w:hint="default"/>
      </w:rPr>
    </w:lvl>
    <w:lvl w:ilvl="7">
      <w:start w:val="0"/>
      <w:numFmt w:val="bullet"/>
      <w:lvlText w:val="•"/>
      <w:lvlJc w:val="left"/>
      <w:pPr>
        <w:ind w:left="7190" w:hanging="1441"/>
      </w:pPr>
      <w:rPr>
        <w:rFonts w:hint="default"/>
      </w:rPr>
    </w:lvl>
    <w:lvl w:ilvl="8">
      <w:start w:val="0"/>
      <w:numFmt w:val="bullet"/>
      <w:lvlText w:val="•"/>
      <w:lvlJc w:val="left"/>
      <w:pPr>
        <w:ind w:left="7980" w:hanging="1441"/>
      </w:pPr>
      <w:rPr>
        <w:rFonts w:hint="default"/>
      </w:rPr>
    </w:lvl>
  </w:abstractNum>
  <w:abstractNum w:abstractNumId="50">
    <w:multiLevelType w:val="hybridMultilevel"/>
    <w:lvl w:ilvl="0">
      <w:start w:val="3"/>
      <w:numFmt w:val="decimal"/>
      <w:lvlText w:val="%1"/>
      <w:lvlJc w:val="left"/>
      <w:pPr>
        <w:ind w:left="1661" w:hanging="1443"/>
        <w:jc w:val="left"/>
      </w:pPr>
      <w:rPr>
        <w:rFonts w:hint="default"/>
      </w:rPr>
    </w:lvl>
    <w:lvl w:ilvl="1">
      <w:start w:val="2"/>
      <w:numFmt w:val="decimal"/>
      <w:lvlText w:val="%1.%2"/>
      <w:lvlJc w:val="left"/>
      <w:pPr>
        <w:ind w:left="1661" w:hanging="1443"/>
        <w:jc w:val="left"/>
      </w:pPr>
      <w:rPr>
        <w:rFonts w:hint="default"/>
      </w:rPr>
    </w:lvl>
    <w:lvl w:ilvl="2">
      <w:start w:val="2"/>
      <w:numFmt w:val="decimal"/>
      <w:lvlText w:val="%1.%2.%3"/>
      <w:lvlJc w:val="left"/>
      <w:pPr>
        <w:ind w:left="1661" w:hanging="1443"/>
        <w:jc w:val="left"/>
      </w:pPr>
      <w:rPr>
        <w:rFonts w:hint="default"/>
      </w:rPr>
    </w:lvl>
    <w:lvl w:ilvl="3">
      <w:start w:val="1"/>
      <w:numFmt w:val="decimal"/>
      <w:lvlText w:val="%1.%2.%3.%4"/>
      <w:lvlJc w:val="left"/>
      <w:pPr>
        <w:ind w:left="1661" w:hanging="1443"/>
        <w:jc w:val="left"/>
      </w:pPr>
      <w:rPr>
        <w:rFonts w:hint="default"/>
      </w:rPr>
    </w:lvl>
    <w:lvl w:ilvl="4">
      <w:start w:val="1"/>
      <w:numFmt w:val="decimal"/>
      <w:lvlText w:val="%1.%2.%3.%4.%5"/>
      <w:lvlJc w:val="left"/>
      <w:pPr>
        <w:ind w:left="1659" w:hanging="1441"/>
        <w:jc w:val="left"/>
      </w:pPr>
      <w:rPr>
        <w:rFonts w:hint="default"/>
        <w:b/>
        <w:bCs/>
        <w:spacing w:val="-34"/>
        <w:w w:val="100"/>
      </w:rPr>
    </w:lvl>
    <w:lvl w:ilvl="5">
      <w:start w:val="2"/>
      <w:numFmt w:val="decimal"/>
      <w:lvlText w:val="%1.%2.%3.%4.%5.%6"/>
      <w:lvlJc w:val="left"/>
      <w:pPr>
        <w:ind w:left="1661" w:hanging="1441"/>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400" w:hanging="1441"/>
      </w:pPr>
      <w:rPr>
        <w:rFonts w:hint="default"/>
      </w:rPr>
    </w:lvl>
    <w:lvl w:ilvl="7">
      <w:start w:val="0"/>
      <w:numFmt w:val="bullet"/>
      <w:lvlText w:val="•"/>
      <w:lvlJc w:val="left"/>
      <w:pPr>
        <w:ind w:left="7190" w:hanging="1441"/>
      </w:pPr>
      <w:rPr>
        <w:rFonts w:hint="default"/>
      </w:rPr>
    </w:lvl>
    <w:lvl w:ilvl="8">
      <w:start w:val="0"/>
      <w:numFmt w:val="bullet"/>
      <w:lvlText w:val="•"/>
      <w:lvlJc w:val="left"/>
      <w:pPr>
        <w:ind w:left="7980" w:hanging="1441"/>
      </w:pPr>
      <w:rPr>
        <w:rFonts w:hint="default"/>
      </w:rPr>
    </w:lvl>
  </w:abstractNum>
  <w:abstractNum w:abstractNumId="49">
    <w:multiLevelType w:val="hybridMultilevel"/>
    <w:lvl w:ilvl="0">
      <w:start w:val="0"/>
      <w:numFmt w:val="bullet"/>
      <w:lvlText w:val="●"/>
      <w:lvlJc w:val="left"/>
      <w:pPr>
        <w:ind w:left="172" w:hanging="173"/>
      </w:pPr>
      <w:rPr>
        <w:rFonts w:hint="default" w:ascii="Times New Roman" w:hAnsi="Times New Roman" w:eastAsia="Times New Roman" w:cs="Times New Roman"/>
        <w:w w:val="99"/>
        <w:sz w:val="20"/>
        <w:szCs w:val="20"/>
      </w:rPr>
    </w:lvl>
    <w:lvl w:ilvl="1">
      <w:start w:val="0"/>
      <w:numFmt w:val="bullet"/>
      <w:lvlText w:val="•"/>
      <w:lvlJc w:val="left"/>
      <w:pPr>
        <w:ind w:left="205" w:hanging="173"/>
      </w:pPr>
      <w:rPr>
        <w:rFonts w:hint="default"/>
      </w:rPr>
    </w:lvl>
    <w:lvl w:ilvl="2">
      <w:start w:val="0"/>
      <w:numFmt w:val="bullet"/>
      <w:lvlText w:val="•"/>
      <w:lvlJc w:val="left"/>
      <w:pPr>
        <w:ind w:left="231" w:hanging="173"/>
      </w:pPr>
      <w:rPr>
        <w:rFonts w:hint="default"/>
      </w:rPr>
    </w:lvl>
    <w:lvl w:ilvl="3">
      <w:start w:val="0"/>
      <w:numFmt w:val="bullet"/>
      <w:lvlText w:val="•"/>
      <w:lvlJc w:val="left"/>
      <w:pPr>
        <w:ind w:left="256" w:hanging="173"/>
      </w:pPr>
      <w:rPr>
        <w:rFonts w:hint="default"/>
      </w:rPr>
    </w:lvl>
    <w:lvl w:ilvl="4">
      <w:start w:val="0"/>
      <w:numFmt w:val="bullet"/>
      <w:lvlText w:val="•"/>
      <w:lvlJc w:val="left"/>
      <w:pPr>
        <w:ind w:left="282" w:hanging="173"/>
      </w:pPr>
      <w:rPr>
        <w:rFonts w:hint="default"/>
      </w:rPr>
    </w:lvl>
    <w:lvl w:ilvl="5">
      <w:start w:val="0"/>
      <w:numFmt w:val="bullet"/>
      <w:lvlText w:val="•"/>
      <w:lvlJc w:val="left"/>
      <w:pPr>
        <w:ind w:left="307" w:hanging="173"/>
      </w:pPr>
      <w:rPr>
        <w:rFonts w:hint="default"/>
      </w:rPr>
    </w:lvl>
    <w:lvl w:ilvl="6">
      <w:start w:val="0"/>
      <w:numFmt w:val="bullet"/>
      <w:lvlText w:val="•"/>
      <w:lvlJc w:val="left"/>
      <w:pPr>
        <w:ind w:left="333" w:hanging="173"/>
      </w:pPr>
      <w:rPr>
        <w:rFonts w:hint="default"/>
      </w:rPr>
    </w:lvl>
    <w:lvl w:ilvl="7">
      <w:start w:val="0"/>
      <w:numFmt w:val="bullet"/>
      <w:lvlText w:val="•"/>
      <w:lvlJc w:val="left"/>
      <w:pPr>
        <w:ind w:left="358" w:hanging="173"/>
      </w:pPr>
      <w:rPr>
        <w:rFonts w:hint="default"/>
      </w:rPr>
    </w:lvl>
    <w:lvl w:ilvl="8">
      <w:start w:val="0"/>
      <w:numFmt w:val="bullet"/>
      <w:lvlText w:val="•"/>
      <w:lvlJc w:val="left"/>
      <w:pPr>
        <w:ind w:left="384" w:hanging="173"/>
      </w:pPr>
      <w:rPr>
        <w:rFonts w:hint="default"/>
      </w:rPr>
    </w:lvl>
  </w:abstractNum>
  <w:abstractNum w:abstractNumId="48">
    <w:multiLevelType w:val="hybridMultilevel"/>
    <w:lvl w:ilvl="0">
      <w:start w:val="0"/>
      <w:numFmt w:val="bullet"/>
      <w:lvlText w:val="●"/>
      <w:lvlJc w:val="left"/>
      <w:pPr>
        <w:ind w:left="172" w:hanging="173"/>
      </w:pPr>
      <w:rPr>
        <w:rFonts w:hint="default" w:ascii="Times New Roman" w:hAnsi="Times New Roman" w:eastAsia="Times New Roman" w:cs="Times New Roman"/>
        <w:w w:val="99"/>
        <w:sz w:val="20"/>
        <w:szCs w:val="20"/>
      </w:rPr>
    </w:lvl>
    <w:lvl w:ilvl="1">
      <w:start w:val="0"/>
      <w:numFmt w:val="bullet"/>
      <w:lvlText w:val="•"/>
      <w:lvlJc w:val="left"/>
      <w:pPr>
        <w:ind w:left="195" w:hanging="173"/>
      </w:pPr>
      <w:rPr>
        <w:rFonts w:hint="default"/>
      </w:rPr>
    </w:lvl>
    <w:lvl w:ilvl="2">
      <w:start w:val="0"/>
      <w:numFmt w:val="bullet"/>
      <w:lvlText w:val="•"/>
      <w:lvlJc w:val="left"/>
      <w:pPr>
        <w:ind w:left="211" w:hanging="173"/>
      </w:pPr>
      <w:rPr>
        <w:rFonts w:hint="default"/>
      </w:rPr>
    </w:lvl>
    <w:lvl w:ilvl="3">
      <w:start w:val="0"/>
      <w:numFmt w:val="bullet"/>
      <w:lvlText w:val="•"/>
      <w:lvlJc w:val="left"/>
      <w:pPr>
        <w:ind w:left="227" w:hanging="173"/>
      </w:pPr>
      <w:rPr>
        <w:rFonts w:hint="default"/>
      </w:rPr>
    </w:lvl>
    <w:lvl w:ilvl="4">
      <w:start w:val="0"/>
      <w:numFmt w:val="bullet"/>
      <w:lvlText w:val="•"/>
      <w:lvlJc w:val="left"/>
      <w:pPr>
        <w:ind w:left="242" w:hanging="173"/>
      </w:pPr>
      <w:rPr>
        <w:rFonts w:hint="default"/>
      </w:rPr>
    </w:lvl>
    <w:lvl w:ilvl="5">
      <w:start w:val="0"/>
      <w:numFmt w:val="bullet"/>
      <w:lvlText w:val="•"/>
      <w:lvlJc w:val="left"/>
      <w:pPr>
        <w:ind w:left="258" w:hanging="173"/>
      </w:pPr>
      <w:rPr>
        <w:rFonts w:hint="default"/>
      </w:rPr>
    </w:lvl>
    <w:lvl w:ilvl="6">
      <w:start w:val="0"/>
      <w:numFmt w:val="bullet"/>
      <w:lvlText w:val="•"/>
      <w:lvlJc w:val="left"/>
      <w:pPr>
        <w:ind w:left="274" w:hanging="173"/>
      </w:pPr>
      <w:rPr>
        <w:rFonts w:hint="default"/>
      </w:rPr>
    </w:lvl>
    <w:lvl w:ilvl="7">
      <w:start w:val="0"/>
      <w:numFmt w:val="bullet"/>
      <w:lvlText w:val="•"/>
      <w:lvlJc w:val="left"/>
      <w:pPr>
        <w:ind w:left="289" w:hanging="173"/>
      </w:pPr>
      <w:rPr>
        <w:rFonts w:hint="default"/>
      </w:rPr>
    </w:lvl>
    <w:lvl w:ilvl="8">
      <w:start w:val="0"/>
      <w:numFmt w:val="bullet"/>
      <w:lvlText w:val="•"/>
      <w:lvlJc w:val="left"/>
      <w:pPr>
        <w:ind w:left="305" w:hanging="173"/>
      </w:pPr>
      <w:rPr>
        <w:rFonts w:hint="default"/>
      </w:rPr>
    </w:lvl>
  </w:abstractNum>
  <w:abstractNum w:abstractNumId="47">
    <w:multiLevelType w:val="hybridMultilevel"/>
    <w:lvl w:ilvl="0">
      <w:start w:val="3"/>
      <w:numFmt w:val="decimal"/>
      <w:lvlText w:val="%1"/>
      <w:lvlJc w:val="left"/>
      <w:pPr>
        <w:ind w:left="1659" w:hanging="1441"/>
        <w:jc w:val="left"/>
      </w:pPr>
      <w:rPr>
        <w:rFonts w:hint="default"/>
      </w:rPr>
    </w:lvl>
    <w:lvl w:ilvl="1">
      <w:start w:val="2"/>
      <w:numFmt w:val="decimal"/>
      <w:lvlText w:val="%1.%2"/>
      <w:lvlJc w:val="left"/>
      <w:pPr>
        <w:ind w:left="1659" w:hanging="1441"/>
        <w:jc w:val="left"/>
      </w:pPr>
      <w:rPr>
        <w:rFonts w:hint="default"/>
      </w:rPr>
    </w:lvl>
    <w:lvl w:ilvl="2">
      <w:start w:val="1"/>
      <w:numFmt w:val="decimal"/>
      <w:lvlText w:val="%1.%2.%3"/>
      <w:lvlJc w:val="left"/>
      <w:pPr>
        <w:ind w:left="1659" w:hanging="1441"/>
        <w:jc w:val="left"/>
      </w:pPr>
      <w:rPr>
        <w:rFonts w:hint="default"/>
      </w:rPr>
    </w:lvl>
    <w:lvl w:ilvl="3">
      <w:start w:val="3"/>
      <w:numFmt w:val="decimal"/>
      <w:lvlText w:val="%1.%2.%3.%4"/>
      <w:lvlJc w:val="left"/>
      <w:pPr>
        <w:ind w:left="1659" w:hanging="1441"/>
        <w:jc w:val="left"/>
      </w:pPr>
      <w:rPr>
        <w:rFonts w:hint="default"/>
      </w:rPr>
    </w:lvl>
    <w:lvl w:ilvl="4">
      <w:start w:val="1"/>
      <w:numFmt w:val="decimal"/>
      <w:lvlText w:val="%1.%2.%3.%4.%5"/>
      <w:lvlJc w:val="left"/>
      <w:pPr>
        <w:ind w:left="1659" w:hanging="1441"/>
        <w:jc w:val="left"/>
      </w:pPr>
      <w:rPr>
        <w:rFonts w:hint="default"/>
        <w:b/>
        <w:bCs/>
        <w:spacing w:val="-34"/>
        <w:w w:val="100"/>
      </w:rPr>
    </w:lvl>
    <w:lvl w:ilvl="5">
      <w:start w:val="1"/>
      <w:numFmt w:val="decimal"/>
      <w:lvlText w:val="%1.%2.%3.%4.%5.%6"/>
      <w:lvlJc w:val="left"/>
      <w:pPr>
        <w:ind w:left="1659" w:hanging="1441"/>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785" w:hanging="207"/>
      </w:pPr>
      <w:rPr>
        <w:rFonts w:hint="default" w:ascii="Symbol" w:hAnsi="Symbol" w:eastAsia="Symbol" w:cs="Symbol"/>
        <w:w w:val="100"/>
        <w:sz w:val="20"/>
        <w:szCs w:val="20"/>
      </w:rPr>
    </w:lvl>
    <w:lvl w:ilvl="7">
      <w:start w:val="0"/>
      <w:numFmt w:val="bullet"/>
      <w:lvlText w:val="•"/>
      <w:lvlJc w:val="left"/>
      <w:pPr>
        <w:ind w:left="6926" w:hanging="207"/>
      </w:pPr>
      <w:rPr>
        <w:rFonts w:hint="default"/>
      </w:rPr>
    </w:lvl>
    <w:lvl w:ilvl="8">
      <w:start w:val="0"/>
      <w:numFmt w:val="bullet"/>
      <w:lvlText w:val="•"/>
      <w:lvlJc w:val="left"/>
      <w:pPr>
        <w:ind w:left="7804" w:hanging="207"/>
      </w:pPr>
      <w:rPr>
        <w:rFonts w:hint="default"/>
      </w:rPr>
    </w:lvl>
  </w:abstractNum>
  <w:abstractNum w:abstractNumId="46">
    <w:multiLevelType w:val="hybridMultilevel"/>
    <w:lvl w:ilvl="0">
      <w:start w:val="1"/>
      <w:numFmt w:val="lowerRoman"/>
      <w:lvlText w:val="(%1)"/>
      <w:lvlJc w:val="left"/>
      <w:pPr>
        <w:ind w:left="1296" w:hanging="572"/>
        <w:jc w:val="right"/>
      </w:pPr>
      <w:rPr>
        <w:rFonts w:hint="default" w:ascii="Times New Roman" w:hAnsi="Times New Roman" w:eastAsia="Times New Roman" w:cs="Times New Roman"/>
        <w:w w:val="99"/>
        <w:sz w:val="20"/>
        <w:szCs w:val="20"/>
      </w:rPr>
    </w:lvl>
    <w:lvl w:ilvl="1">
      <w:start w:val="0"/>
      <w:numFmt w:val="bullet"/>
      <w:lvlText w:val="•"/>
      <w:lvlJc w:val="left"/>
      <w:pPr>
        <w:ind w:left="2126" w:hanging="572"/>
      </w:pPr>
      <w:rPr>
        <w:rFonts w:hint="default"/>
      </w:rPr>
    </w:lvl>
    <w:lvl w:ilvl="2">
      <w:start w:val="0"/>
      <w:numFmt w:val="bullet"/>
      <w:lvlText w:val="•"/>
      <w:lvlJc w:val="left"/>
      <w:pPr>
        <w:ind w:left="2952" w:hanging="572"/>
      </w:pPr>
      <w:rPr>
        <w:rFonts w:hint="default"/>
      </w:rPr>
    </w:lvl>
    <w:lvl w:ilvl="3">
      <w:start w:val="0"/>
      <w:numFmt w:val="bullet"/>
      <w:lvlText w:val="•"/>
      <w:lvlJc w:val="left"/>
      <w:pPr>
        <w:ind w:left="3778" w:hanging="572"/>
      </w:pPr>
      <w:rPr>
        <w:rFonts w:hint="default"/>
      </w:rPr>
    </w:lvl>
    <w:lvl w:ilvl="4">
      <w:start w:val="0"/>
      <w:numFmt w:val="bullet"/>
      <w:lvlText w:val="•"/>
      <w:lvlJc w:val="left"/>
      <w:pPr>
        <w:ind w:left="4604" w:hanging="572"/>
      </w:pPr>
      <w:rPr>
        <w:rFonts w:hint="default"/>
      </w:rPr>
    </w:lvl>
    <w:lvl w:ilvl="5">
      <w:start w:val="0"/>
      <w:numFmt w:val="bullet"/>
      <w:lvlText w:val="•"/>
      <w:lvlJc w:val="left"/>
      <w:pPr>
        <w:ind w:left="5430" w:hanging="572"/>
      </w:pPr>
      <w:rPr>
        <w:rFonts w:hint="default"/>
      </w:rPr>
    </w:lvl>
    <w:lvl w:ilvl="6">
      <w:start w:val="0"/>
      <w:numFmt w:val="bullet"/>
      <w:lvlText w:val="•"/>
      <w:lvlJc w:val="left"/>
      <w:pPr>
        <w:ind w:left="6256" w:hanging="572"/>
      </w:pPr>
      <w:rPr>
        <w:rFonts w:hint="default"/>
      </w:rPr>
    </w:lvl>
    <w:lvl w:ilvl="7">
      <w:start w:val="0"/>
      <w:numFmt w:val="bullet"/>
      <w:lvlText w:val="•"/>
      <w:lvlJc w:val="left"/>
      <w:pPr>
        <w:ind w:left="7082" w:hanging="572"/>
      </w:pPr>
      <w:rPr>
        <w:rFonts w:hint="default"/>
      </w:rPr>
    </w:lvl>
    <w:lvl w:ilvl="8">
      <w:start w:val="0"/>
      <w:numFmt w:val="bullet"/>
      <w:lvlText w:val="•"/>
      <w:lvlJc w:val="left"/>
      <w:pPr>
        <w:ind w:left="7908" w:hanging="572"/>
      </w:pPr>
      <w:rPr>
        <w:rFonts w:hint="default"/>
      </w:rPr>
    </w:lvl>
  </w:abstractNum>
  <w:abstractNum w:abstractNumId="45">
    <w:multiLevelType w:val="hybridMultilevel"/>
    <w:lvl w:ilvl="0">
      <w:start w:val="3"/>
      <w:numFmt w:val="decimal"/>
      <w:lvlText w:val="%1"/>
      <w:lvlJc w:val="left"/>
      <w:pPr>
        <w:ind w:left="1661" w:hanging="1443"/>
        <w:jc w:val="left"/>
      </w:pPr>
      <w:rPr>
        <w:rFonts w:hint="default"/>
      </w:rPr>
    </w:lvl>
    <w:lvl w:ilvl="1">
      <w:start w:val="2"/>
      <w:numFmt w:val="decimal"/>
      <w:lvlText w:val="%1.%2"/>
      <w:lvlJc w:val="left"/>
      <w:pPr>
        <w:ind w:left="1661" w:hanging="1443"/>
        <w:jc w:val="left"/>
      </w:pPr>
      <w:rPr>
        <w:rFonts w:hint="default"/>
      </w:rPr>
    </w:lvl>
    <w:lvl w:ilvl="2">
      <w:start w:val="1"/>
      <w:numFmt w:val="decimal"/>
      <w:lvlText w:val="%1.%2.%3"/>
      <w:lvlJc w:val="left"/>
      <w:pPr>
        <w:ind w:left="1661" w:hanging="1443"/>
        <w:jc w:val="left"/>
      </w:pPr>
      <w:rPr>
        <w:rFonts w:hint="default"/>
      </w:rPr>
    </w:lvl>
    <w:lvl w:ilvl="3">
      <w:start w:val="2"/>
      <w:numFmt w:val="decimal"/>
      <w:lvlText w:val="%1.%2.%3.%4"/>
      <w:lvlJc w:val="left"/>
      <w:pPr>
        <w:ind w:left="1661" w:hanging="1443"/>
        <w:jc w:val="left"/>
      </w:pPr>
      <w:rPr>
        <w:rFonts w:hint="default"/>
      </w:rPr>
    </w:lvl>
    <w:lvl w:ilvl="4">
      <w:start w:val="1"/>
      <w:numFmt w:val="decimal"/>
      <w:lvlText w:val="%1.%2.%3.%4.%5"/>
      <w:lvlJc w:val="left"/>
      <w:pPr>
        <w:ind w:left="1659" w:hanging="1441"/>
        <w:jc w:val="left"/>
      </w:pPr>
      <w:rPr>
        <w:rFonts w:hint="default"/>
        <w:b/>
        <w:bCs/>
        <w:spacing w:val="-34"/>
        <w:w w:val="100"/>
      </w:rPr>
    </w:lvl>
    <w:lvl w:ilvl="5">
      <w:start w:val="2"/>
      <w:numFmt w:val="decimal"/>
      <w:lvlText w:val="%1.%2.%3.%4.%5.%6"/>
      <w:lvlJc w:val="left"/>
      <w:pPr>
        <w:ind w:left="1661" w:hanging="1441"/>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400" w:hanging="1441"/>
      </w:pPr>
      <w:rPr>
        <w:rFonts w:hint="default"/>
      </w:rPr>
    </w:lvl>
    <w:lvl w:ilvl="7">
      <w:start w:val="0"/>
      <w:numFmt w:val="bullet"/>
      <w:lvlText w:val="•"/>
      <w:lvlJc w:val="left"/>
      <w:pPr>
        <w:ind w:left="7190" w:hanging="1441"/>
      </w:pPr>
      <w:rPr>
        <w:rFonts w:hint="default"/>
      </w:rPr>
    </w:lvl>
    <w:lvl w:ilvl="8">
      <w:start w:val="0"/>
      <w:numFmt w:val="bullet"/>
      <w:lvlText w:val="•"/>
      <w:lvlJc w:val="left"/>
      <w:pPr>
        <w:ind w:left="7980" w:hanging="1441"/>
      </w:pPr>
      <w:rPr>
        <w:rFonts w:hint="default"/>
      </w:rPr>
    </w:lvl>
  </w:abstractNum>
  <w:abstractNum w:abstractNumId="44">
    <w:multiLevelType w:val="hybridMultilevel"/>
    <w:lvl w:ilvl="0">
      <w:start w:val="3"/>
      <w:numFmt w:val="decimal"/>
      <w:lvlText w:val="%1"/>
      <w:lvlJc w:val="left"/>
      <w:pPr>
        <w:ind w:left="1661" w:hanging="1443"/>
        <w:jc w:val="left"/>
      </w:pPr>
      <w:rPr>
        <w:rFonts w:hint="default"/>
      </w:rPr>
    </w:lvl>
    <w:lvl w:ilvl="1">
      <w:start w:val="2"/>
      <w:numFmt w:val="decimal"/>
      <w:lvlText w:val="%1.%2"/>
      <w:lvlJc w:val="left"/>
      <w:pPr>
        <w:ind w:left="1661" w:hanging="1443"/>
        <w:jc w:val="left"/>
      </w:pPr>
      <w:rPr>
        <w:rFonts w:hint="default"/>
      </w:rPr>
    </w:lvl>
    <w:lvl w:ilvl="2">
      <w:start w:val="1"/>
      <w:numFmt w:val="decimal"/>
      <w:lvlText w:val="%1.%2.%3"/>
      <w:lvlJc w:val="left"/>
      <w:pPr>
        <w:ind w:left="1661" w:hanging="1443"/>
        <w:jc w:val="left"/>
      </w:pPr>
      <w:rPr>
        <w:rFonts w:hint="default"/>
      </w:rPr>
    </w:lvl>
    <w:lvl w:ilvl="3">
      <w:start w:val="1"/>
      <w:numFmt w:val="decimal"/>
      <w:lvlText w:val="%1.%2.%3.%4"/>
      <w:lvlJc w:val="left"/>
      <w:pPr>
        <w:ind w:left="1661" w:hanging="1443"/>
        <w:jc w:val="left"/>
      </w:pPr>
      <w:rPr>
        <w:rFonts w:hint="default"/>
      </w:rPr>
    </w:lvl>
    <w:lvl w:ilvl="4">
      <w:start w:val="1"/>
      <w:numFmt w:val="decimal"/>
      <w:lvlText w:val="%1.%2.%3.%4.%5"/>
      <w:lvlJc w:val="left"/>
      <w:pPr>
        <w:ind w:left="1661" w:hanging="1443"/>
        <w:jc w:val="left"/>
      </w:pPr>
      <w:rPr>
        <w:rFonts w:hint="default"/>
      </w:rPr>
    </w:lvl>
    <w:lvl w:ilvl="5">
      <w:start w:val="2"/>
      <w:numFmt w:val="decimal"/>
      <w:lvlText w:val="%1.%2.%3.%4.%5.%6"/>
      <w:lvlJc w:val="left"/>
      <w:pPr>
        <w:ind w:left="1661" w:hanging="1443"/>
        <w:jc w:val="left"/>
      </w:pPr>
      <w:rPr>
        <w:rFonts w:hint="default" w:ascii="Times New Roman" w:hAnsi="Times New Roman" w:eastAsia="Times New Roman" w:cs="Times New Roman"/>
        <w:b/>
        <w:bCs/>
        <w:spacing w:val="-34"/>
        <w:w w:val="100"/>
        <w:sz w:val="22"/>
        <w:szCs w:val="22"/>
      </w:rPr>
    </w:lvl>
    <w:lvl w:ilvl="6">
      <w:start w:val="0"/>
      <w:numFmt w:val="bullet"/>
      <w:lvlText w:val="•"/>
      <w:lvlJc w:val="left"/>
      <w:pPr>
        <w:ind w:left="6400" w:hanging="1443"/>
      </w:pPr>
      <w:rPr>
        <w:rFonts w:hint="default"/>
      </w:rPr>
    </w:lvl>
    <w:lvl w:ilvl="7">
      <w:start w:val="0"/>
      <w:numFmt w:val="bullet"/>
      <w:lvlText w:val="•"/>
      <w:lvlJc w:val="left"/>
      <w:pPr>
        <w:ind w:left="7190" w:hanging="1443"/>
      </w:pPr>
      <w:rPr>
        <w:rFonts w:hint="default"/>
      </w:rPr>
    </w:lvl>
    <w:lvl w:ilvl="8">
      <w:start w:val="0"/>
      <w:numFmt w:val="bullet"/>
      <w:lvlText w:val="•"/>
      <w:lvlJc w:val="left"/>
      <w:pPr>
        <w:ind w:left="7980" w:hanging="1443"/>
      </w:pPr>
      <w:rPr>
        <w:rFonts w:hint="default"/>
      </w:rPr>
    </w:lvl>
  </w:abstractNum>
  <w:abstractNum w:abstractNumId="43">
    <w:multiLevelType w:val="hybridMultilevel"/>
    <w:lvl w:ilvl="0">
      <w:start w:val="3"/>
      <w:numFmt w:val="decimal"/>
      <w:lvlText w:val="%1"/>
      <w:lvlJc w:val="left"/>
      <w:pPr>
        <w:ind w:left="1666" w:hanging="1448"/>
        <w:jc w:val="left"/>
      </w:pPr>
      <w:rPr>
        <w:rFonts w:hint="default"/>
      </w:rPr>
    </w:lvl>
    <w:lvl w:ilvl="1">
      <w:start w:val="2"/>
      <w:numFmt w:val="decimal"/>
      <w:lvlText w:val="%1.%2"/>
      <w:lvlJc w:val="left"/>
      <w:pPr>
        <w:ind w:left="1666" w:hanging="1448"/>
        <w:jc w:val="left"/>
      </w:pPr>
      <w:rPr>
        <w:rFonts w:hint="default"/>
      </w:rPr>
    </w:lvl>
    <w:lvl w:ilvl="2">
      <w:start w:val="1"/>
      <w:numFmt w:val="decimal"/>
      <w:lvlText w:val="%1.%2.%3"/>
      <w:lvlJc w:val="left"/>
      <w:pPr>
        <w:ind w:left="1666" w:hanging="1448"/>
        <w:jc w:val="left"/>
      </w:pPr>
      <w:rPr>
        <w:rFonts w:hint="default"/>
      </w:rPr>
    </w:lvl>
    <w:lvl w:ilvl="3">
      <w:start w:val="1"/>
      <w:numFmt w:val="decimal"/>
      <w:lvlText w:val="%1.%2.%3.%4"/>
      <w:lvlJc w:val="left"/>
      <w:pPr>
        <w:ind w:left="1666" w:hanging="1448"/>
        <w:jc w:val="left"/>
      </w:pPr>
      <w:rPr>
        <w:rFonts w:hint="default" w:ascii="Times New Roman" w:hAnsi="Times New Roman" w:eastAsia="Times New Roman" w:cs="Times New Roman"/>
        <w:b/>
        <w:bCs/>
        <w:spacing w:val="0"/>
        <w:w w:val="100"/>
        <w:sz w:val="28"/>
        <w:szCs w:val="28"/>
      </w:rPr>
    </w:lvl>
    <w:lvl w:ilvl="4">
      <w:start w:val="1"/>
      <w:numFmt w:val="decimal"/>
      <w:lvlText w:val="%1.%2.%3.%4.%5"/>
      <w:lvlJc w:val="left"/>
      <w:pPr>
        <w:ind w:left="219" w:hanging="1441"/>
        <w:jc w:val="left"/>
      </w:pPr>
      <w:rPr>
        <w:rFonts w:hint="default" w:ascii="Times New Roman" w:hAnsi="Times New Roman" w:eastAsia="Times New Roman" w:cs="Times New Roman"/>
        <w:b/>
        <w:bCs/>
        <w:spacing w:val="-34"/>
        <w:w w:val="100"/>
        <w:sz w:val="22"/>
        <w:szCs w:val="22"/>
      </w:rPr>
    </w:lvl>
    <w:lvl w:ilvl="5">
      <w:start w:val="1"/>
      <w:numFmt w:val="lowerRoman"/>
      <w:lvlText w:val="(%6)"/>
      <w:lvlJc w:val="left"/>
      <w:pPr>
        <w:ind w:left="1296" w:hanging="572"/>
        <w:jc w:val="left"/>
      </w:pPr>
      <w:rPr>
        <w:rFonts w:hint="default" w:ascii="Times New Roman" w:hAnsi="Times New Roman" w:eastAsia="Times New Roman" w:cs="Times New Roman"/>
        <w:w w:val="99"/>
        <w:sz w:val="20"/>
        <w:szCs w:val="20"/>
      </w:rPr>
    </w:lvl>
    <w:lvl w:ilvl="6">
      <w:start w:val="0"/>
      <w:numFmt w:val="bullet"/>
      <w:lvlText w:val="•"/>
      <w:lvlJc w:val="left"/>
      <w:pPr>
        <w:ind w:left="5610" w:hanging="572"/>
      </w:pPr>
      <w:rPr>
        <w:rFonts w:hint="default"/>
      </w:rPr>
    </w:lvl>
    <w:lvl w:ilvl="7">
      <w:start w:val="0"/>
      <w:numFmt w:val="bullet"/>
      <w:lvlText w:val="•"/>
      <w:lvlJc w:val="left"/>
      <w:pPr>
        <w:ind w:left="6597" w:hanging="572"/>
      </w:pPr>
      <w:rPr>
        <w:rFonts w:hint="default"/>
      </w:rPr>
    </w:lvl>
    <w:lvl w:ilvl="8">
      <w:start w:val="0"/>
      <w:numFmt w:val="bullet"/>
      <w:lvlText w:val="•"/>
      <w:lvlJc w:val="left"/>
      <w:pPr>
        <w:ind w:left="7585" w:hanging="572"/>
      </w:pPr>
      <w:rPr>
        <w:rFonts w:hint="default"/>
      </w:rPr>
    </w:lvl>
  </w:abstractNum>
  <w:abstractNum w:abstractNumId="42">
    <w:multiLevelType w:val="hybridMultilevel"/>
    <w:lvl w:ilvl="0">
      <w:start w:val="3"/>
      <w:numFmt w:val="decimal"/>
      <w:lvlText w:val="%1"/>
      <w:lvlJc w:val="left"/>
      <w:pPr>
        <w:ind w:left="1361" w:hanging="1203"/>
        <w:jc w:val="left"/>
      </w:pPr>
      <w:rPr>
        <w:rFonts w:hint="default"/>
      </w:rPr>
    </w:lvl>
    <w:lvl w:ilvl="1">
      <w:start w:val="1"/>
      <w:numFmt w:val="decimal"/>
      <w:lvlText w:val="%1.%2"/>
      <w:lvlJc w:val="left"/>
      <w:pPr>
        <w:ind w:left="1361" w:hanging="1203"/>
        <w:jc w:val="left"/>
      </w:pPr>
      <w:rPr>
        <w:rFonts w:hint="default"/>
      </w:rPr>
    </w:lvl>
    <w:lvl w:ilvl="2">
      <w:start w:val="7"/>
      <w:numFmt w:val="decimal"/>
      <w:lvlText w:val="%1.%2.%3"/>
      <w:lvlJc w:val="left"/>
      <w:pPr>
        <w:ind w:left="136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3772" w:hanging="1203"/>
      </w:pPr>
      <w:rPr>
        <w:rFonts w:hint="default"/>
      </w:rPr>
    </w:lvl>
    <w:lvl w:ilvl="4">
      <w:start w:val="0"/>
      <w:numFmt w:val="bullet"/>
      <w:lvlText w:val="•"/>
      <w:lvlJc w:val="left"/>
      <w:pPr>
        <w:ind w:left="4576" w:hanging="1203"/>
      </w:pPr>
      <w:rPr>
        <w:rFonts w:hint="default"/>
      </w:rPr>
    </w:lvl>
    <w:lvl w:ilvl="5">
      <w:start w:val="0"/>
      <w:numFmt w:val="bullet"/>
      <w:lvlText w:val="•"/>
      <w:lvlJc w:val="left"/>
      <w:pPr>
        <w:ind w:left="5380" w:hanging="1203"/>
      </w:pPr>
      <w:rPr>
        <w:rFonts w:hint="default"/>
      </w:rPr>
    </w:lvl>
    <w:lvl w:ilvl="6">
      <w:start w:val="0"/>
      <w:numFmt w:val="bullet"/>
      <w:lvlText w:val="•"/>
      <w:lvlJc w:val="left"/>
      <w:pPr>
        <w:ind w:left="6184" w:hanging="1203"/>
      </w:pPr>
      <w:rPr>
        <w:rFonts w:hint="default"/>
      </w:rPr>
    </w:lvl>
    <w:lvl w:ilvl="7">
      <w:start w:val="0"/>
      <w:numFmt w:val="bullet"/>
      <w:lvlText w:val="•"/>
      <w:lvlJc w:val="left"/>
      <w:pPr>
        <w:ind w:left="6988" w:hanging="1203"/>
      </w:pPr>
      <w:rPr>
        <w:rFonts w:hint="default"/>
      </w:rPr>
    </w:lvl>
    <w:lvl w:ilvl="8">
      <w:start w:val="0"/>
      <w:numFmt w:val="bullet"/>
      <w:lvlText w:val="•"/>
      <w:lvlJc w:val="left"/>
      <w:pPr>
        <w:ind w:left="7792" w:hanging="1203"/>
      </w:pPr>
      <w:rPr>
        <w:rFonts w:hint="default"/>
      </w:rPr>
    </w:lvl>
  </w:abstractNum>
  <w:abstractNum w:abstractNumId="41">
    <w:multiLevelType w:val="hybridMultilevel"/>
    <w:lvl w:ilvl="0">
      <w:start w:val="0"/>
      <w:numFmt w:val="bullet"/>
      <w:lvlText w:val="-"/>
      <w:lvlJc w:val="left"/>
      <w:pPr>
        <w:ind w:left="115" w:hanging="116"/>
      </w:pPr>
      <w:rPr>
        <w:rFonts w:hint="default" w:ascii="Times New Roman" w:hAnsi="Times New Roman" w:eastAsia="Times New Roman" w:cs="Times New Roman"/>
        <w:w w:val="99"/>
        <w:sz w:val="20"/>
        <w:szCs w:val="20"/>
      </w:rPr>
    </w:lvl>
    <w:lvl w:ilvl="1">
      <w:start w:val="0"/>
      <w:numFmt w:val="bullet"/>
      <w:lvlText w:val="•"/>
      <w:lvlJc w:val="left"/>
      <w:pPr>
        <w:ind w:left="352" w:hanging="116"/>
      </w:pPr>
      <w:rPr>
        <w:rFonts w:hint="default"/>
      </w:rPr>
    </w:lvl>
    <w:lvl w:ilvl="2">
      <w:start w:val="0"/>
      <w:numFmt w:val="bullet"/>
      <w:lvlText w:val="•"/>
      <w:lvlJc w:val="left"/>
      <w:pPr>
        <w:ind w:left="584" w:hanging="116"/>
      </w:pPr>
      <w:rPr>
        <w:rFonts w:hint="default"/>
      </w:rPr>
    </w:lvl>
    <w:lvl w:ilvl="3">
      <w:start w:val="0"/>
      <w:numFmt w:val="bullet"/>
      <w:lvlText w:val="•"/>
      <w:lvlJc w:val="left"/>
      <w:pPr>
        <w:ind w:left="817" w:hanging="116"/>
      </w:pPr>
      <w:rPr>
        <w:rFonts w:hint="default"/>
      </w:rPr>
    </w:lvl>
    <w:lvl w:ilvl="4">
      <w:start w:val="0"/>
      <w:numFmt w:val="bullet"/>
      <w:lvlText w:val="•"/>
      <w:lvlJc w:val="left"/>
      <w:pPr>
        <w:ind w:left="1049" w:hanging="116"/>
      </w:pPr>
      <w:rPr>
        <w:rFonts w:hint="default"/>
      </w:rPr>
    </w:lvl>
    <w:lvl w:ilvl="5">
      <w:start w:val="0"/>
      <w:numFmt w:val="bullet"/>
      <w:lvlText w:val="•"/>
      <w:lvlJc w:val="left"/>
      <w:pPr>
        <w:ind w:left="1282" w:hanging="116"/>
      </w:pPr>
      <w:rPr>
        <w:rFonts w:hint="default"/>
      </w:rPr>
    </w:lvl>
    <w:lvl w:ilvl="6">
      <w:start w:val="0"/>
      <w:numFmt w:val="bullet"/>
      <w:lvlText w:val="•"/>
      <w:lvlJc w:val="left"/>
      <w:pPr>
        <w:ind w:left="1514" w:hanging="116"/>
      </w:pPr>
      <w:rPr>
        <w:rFonts w:hint="default"/>
      </w:rPr>
    </w:lvl>
    <w:lvl w:ilvl="7">
      <w:start w:val="0"/>
      <w:numFmt w:val="bullet"/>
      <w:lvlText w:val="•"/>
      <w:lvlJc w:val="left"/>
      <w:pPr>
        <w:ind w:left="1747" w:hanging="116"/>
      </w:pPr>
      <w:rPr>
        <w:rFonts w:hint="default"/>
      </w:rPr>
    </w:lvl>
    <w:lvl w:ilvl="8">
      <w:start w:val="0"/>
      <w:numFmt w:val="bullet"/>
      <w:lvlText w:val="•"/>
      <w:lvlJc w:val="left"/>
      <w:pPr>
        <w:ind w:left="1979" w:hanging="116"/>
      </w:pPr>
      <w:rPr>
        <w:rFonts w:hint="default"/>
      </w:rPr>
    </w:lvl>
  </w:abstractNum>
  <w:abstractNum w:abstractNumId="40">
    <w:multiLevelType w:val="hybridMultilevel"/>
    <w:lvl w:ilvl="0">
      <w:start w:val="0"/>
      <w:numFmt w:val="bullet"/>
      <w:lvlText w:val="-"/>
      <w:lvlJc w:val="left"/>
      <w:pPr>
        <w:ind w:left="115" w:hanging="116"/>
      </w:pPr>
      <w:rPr>
        <w:rFonts w:hint="default" w:ascii="Times New Roman" w:hAnsi="Times New Roman" w:eastAsia="Times New Roman" w:cs="Times New Roman"/>
        <w:w w:val="99"/>
        <w:sz w:val="20"/>
        <w:szCs w:val="20"/>
      </w:rPr>
    </w:lvl>
    <w:lvl w:ilvl="1">
      <w:start w:val="0"/>
      <w:numFmt w:val="bullet"/>
      <w:lvlText w:val="•"/>
      <w:lvlJc w:val="left"/>
      <w:pPr>
        <w:ind w:left="272" w:hanging="116"/>
      </w:pPr>
      <w:rPr>
        <w:rFonts w:hint="default"/>
      </w:rPr>
    </w:lvl>
    <w:lvl w:ilvl="2">
      <w:start w:val="0"/>
      <w:numFmt w:val="bullet"/>
      <w:lvlText w:val="•"/>
      <w:lvlJc w:val="left"/>
      <w:pPr>
        <w:ind w:left="425" w:hanging="116"/>
      </w:pPr>
      <w:rPr>
        <w:rFonts w:hint="default"/>
      </w:rPr>
    </w:lvl>
    <w:lvl w:ilvl="3">
      <w:start w:val="0"/>
      <w:numFmt w:val="bullet"/>
      <w:lvlText w:val="•"/>
      <w:lvlJc w:val="left"/>
      <w:pPr>
        <w:ind w:left="577" w:hanging="116"/>
      </w:pPr>
      <w:rPr>
        <w:rFonts w:hint="default"/>
      </w:rPr>
    </w:lvl>
    <w:lvl w:ilvl="4">
      <w:start w:val="0"/>
      <w:numFmt w:val="bullet"/>
      <w:lvlText w:val="•"/>
      <w:lvlJc w:val="left"/>
      <w:pPr>
        <w:ind w:left="730" w:hanging="116"/>
      </w:pPr>
      <w:rPr>
        <w:rFonts w:hint="default"/>
      </w:rPr>
    </w:lvl>
    <w:lvl w:ilvl="5">
      <w:start w:val="0"/>
      <w:numFmt w:val="bullet"/>
      <w:lvlText w:val="•"/>
      <w:lvlJc w:val="left"/>
      <w:pPr>
        <w:ind w:left="882" w:hanging="116"/>
      </w:pPr>
      <w:rPr>
        <w:rFonts w:hint="default"/>
      </w:rPr>
    </w:lvl>
    <w:lvl w:ilvl="6">
      <w:start w:val="0"/>
      <w:numFmt w:val="bullet"/>
      <w:lvlText w:val="•"/>
      <w:lvlJc w:val="left"/>
      <w:pPr>
        <w:ind w:left="1035" w:hanging="116"/>
      </w:pPr>
      <w:rPr>
        <w:rFonts w:hint="default"/>
      </w:rPr>
    </w:lvl>
    <w:lvl w:ilvl="7">
      <w:start w:val="0"/>
      <w:numFmt w:val="bullet"/>
      <w:lvlText w:val="•"/>
      <w:lvlJc w:val="left"/>
      <w:pPr>
        <w:ind w:left="1187" w:hanging="116"/>
      </w:pPr>
      <w:rPr>
        <w:rFonts w:hint="default"/>
      </w:rPr>
    </w:lvl>
    <w:lvl w:ilvl="8">
      <w:start w:val="0"/>
      <w:numFmt w:val="bullet"/>
      <w:lvlText w:val="•"/>
      <w:lvlJc w:val="left"/>
      <w:pPr>
        <w:ind w:left="1340" w:hanging="116"/>
      </w:pPr>
      <w:rPr>
        <w:rFonts w:hint="default"/>
      </w:rPr>
    </w:lvl>
  </w:abstractNum>
  <w:abstractNum w:abstractNumId="39">
    <w:multiLevelType w:val="hybridMultilevel"/>
    <w:lvl w:ilvl="0">
      <w:start w:val="0"/>
      <w:numFmt w:val="bullet"/>
      <w:lvlText w:val="-"/>
      <w:lvlJc w:val="left"/>
      <w:pPr>
        <w:ind w:left="117" w:hanging="118"/>
      </w:pPr>
      <w:rPr>
        <w:rFonts w:hint="default" w:ascii="Times New Roman" w:hAnsi="Times New Roman" w:eastAsia="Times New Roman" w:cs="Times New Roman"/>
        <w:w w:val="99"/>
        <w:sz w:val="20"/>
        <w:szCs w:val="20"/>
      </w:rPr>
    </w:lvl>
    <w:lvl w:ilvl="1">
      <w:start w:val="0"/>
      <w:numFmt w:val="bullet"/>
      <w:lvlText w:val="•"/>
      <w:lvlJc w:val="left"/>
      <w:pPr>
        <w:ind w:left="385" w:hanging="118"/>
      </w:pPr>
      <w:rPr>
        <w:rFonts w:hint="default"/>
      </w:rPr>
    </w:lvl>
    <w:lvl w:ilvl="2">
      <w:start w:val="0"/>
      <w:numFmt w:val="bullet"/>
      <w:lvlText w:val="•"/>
      <w:lvlJc w:val="left"/>
      <w:pPr>
        <w:ind w:left="651" w:hanging="118"/>
      </w:pPr>
      <w:rPr>
        <w:rFonts w:hint="default"/>
      </w:rPr>
    </w:lvl>
    <w:lvl w:ilvl="3">
      <w:start w:val="0"/>
      <w:numFmt w:val="bullet"/>
      <w:lvlText w:val="•"/>
      <w:lvlJc w:val="left"/>
      <w:pPr>
        <w:ind w:left="917" w:hanging="118"/>
      </w:pPr>
      <w:rPr>
        <w:rFonts w:hint="default"/>
      </w:rPr>
    </w:lvl>
    <w:lvl w:ilvl="4">
      <w:start w:val="0"/>
      <w:numFmt w:val="bullet"/>
      <w:lvlText w:val="•"/>
      <w:lvlJc w:val="left"/>
      <w:pPr>
        <w:ind w:left="1183" w:hanging="118"/>
      </w:pPr>
      <w:rPr>
        <w:rFonts w:hint="default"/>
      </w:rPr>
    </w:lvl>
    <w:lvl w:ilvl="5">
      <w:start w:val="0"/>
      <w:numFmt w:val="bullet"/>
      <w:lvlText w:val="•"/>
      <w:lvlJc w:val="left"/>
      <w:pPr>
        <w:ind w:left="1448" w:hanging="118"/>
      </w:pPr>
      <w:rPr>
        <w:rFonts w:hint="default"/>
      </w:rPr>
    </w:lvl>
    <w:lvl w:ilvl="6">
      <w:start w:val="0"/>
      <w:numFmt w:val="bullet"/>
      <w:lvlText w:val="•"/>
      <w:lvlJc w:val="left"/>
      <w:pPr>
        <w:ind w:left="1714" w:hanging="118"/>
      </w:pPr>
      <w:rPr>
        <w:rFonts w:hint="default"/>
      </w:rPr>
    </w:lvl>
    <w:lvl w:ilvl="7">
      <w:start w:val="0"/>
      <w:numFmt w:val="bullet"/>
      <w:lvlText w:val="•"/>
      <w:lvlJc w:val="left"/>
      <w:pPr>
        <w:ind w:left="1980" w:hanging="118"/>
      </w:pPr>
      <w:rPr>
        <w:rFonts w:hint="default"/>
      </w:rPr>
    </w:lvl>
    <w:lvl w:ilvl="8">
      <w:start w:val="0"/>
      <w:numFmt w:val="bullet"/>
      <w:lvlText w:val="•"/>
      <w:lvlJc w:val="left"/>
      <w:pPr>
        <w:ind w:left="2246" w:hanging="118"/>
      </w:pPr>
      <w:rPr>
        <w:rFonts w:hint="default"/>
      </w:rPr>
    </w:lvl>
  </w:abstractNum>
  <w:abstractNum w:abstractNumId="38">
    <w:multiLevelType w:val="hybridMultilevel"/>
    <w:lvl w:ilvl="0">
      <w:start w:val="0"/>
      <w:numFmt w:val="bullet"/>
      <w:lvlText w:val="-"/>
      <w:lvlJc w:val="left"/>
      <w:pPr>
        <w:ind w:left="115" w:hanging="116"/>
      </w:pPr>
      <w:rPr>
        <w:rFonts w:hint="default" w:ascii="Times New Roman" w:hAnsi="Times New Roman" w:eastAsia="Times New Roman" w:cs="Times New Roman"/>
        <w:w w:val="99"/>
        <w:sz w:val="20"/>
        <w:szCs w:val="20"/>
      </w:rPr>
    </w:lvl>
    <w:lvl w:ilvl="1">
      <w:start w:val="0"/>
      <w:numFmt w:val="bullet"/>
      <w:lvlText w:val="•"/>
      <w:lvlJc w:val="left"/>
      <w:pPr>
        <w:ind w:left="352" w:hanging="116"/>
      </w:pPr>
      <w:rPr>
        <w:rFonts w:hint="default"/>
      </w:rPr>
    </w:lvl>
    <w:lvl w:ilvl="2">
      <w:start w:val="0"/>
      <w:numFmt w:val="bullet"/>
      <w:lvlText w:val="•"/>
      <w:lvlJc w:val="left"/>
      <w:pPr>
        <w:ind w:left="584" w:hanging="116"/>
      </w:pPr>
      <w:rPr>
        <w:rFonts w:hint="default"/>
      </w:rPr>
    </w:lvl>
    <w:lvl w:ilvl="3">
      <w:start w:val="0"/>
      <w:numFmt w:val="bullet"/>
      <w:lvlText w:val="•"/>
      <w:lvlJc w:val="left"/>
      <w:pPr>
        <w:ind w:left="817" w:hanging="116"/>
      </w:pPr>
      <w:rPr>
        <w:rFonts w:hint="default"/>
      </w:rPr>
    </w:lvl>
    <w:lvl w:ilvl="4">
      <w:start w:val="0"/>
      <w:numFmt w:val="bullet"/>
      <w:lvlText w:val="•"/>
      <w:lvlJc w:val="left"/>
      <w:pPr>
        <w:ind w:left="1049" w:hanging="116"/>
      </w:pPr>
      <w:rPr>
        <w:rFonts w:hint="default"/>
      </w:rPr>
    </w:lvl>
    <w:lvl w:ilvl="5">
      <w:start w:val="0"/>
      <w:numFmt w:val="bullet"/>
      <w:lvlText w:val="•"/>
      <w:lvlJc w:val="left"/>
      <w:pPr>
        <w:ind w:left="1282" w:hanging="116"/>
      </w:pPr>
      <w:rPr>
        <w:rFonts w:hint="default"/>
      </w:rPr>
    </w:lvl>
    <w:lvl w:ilvl="6">
      <w:start w:val="0"/>
      <w:numFmt w:val="bullet"/>
      <w:lvlText w:val="•"/>
      <w:lvlJc w:val="left"/>
      <w:pPr>
        <w:ind w:left="1514" w:hanging="116"/>
      </w:pPr>
      <w:rPr>
        <w:rFonts w:hint="default"/>
      </w:rPr>
    </w:lvl>
    <w:lvl w:ilvl="7">
      <w:start w:val="0"/>
      <w:numFmt w:val="bullet"/>
      <w:lvlText w:val="•"/>
      <w:lvlJc w:val="left"/>
      <w:pPr>
        <w:ind w:left="1747" w:hanging="116"/>
      </w:pPr>
      <w:rPr>
        <w:rFonts w:hint="default"/>
      </w:rPr>
    </w:lvl>
    <w:lvl w:ilvl="8">
      <w:start w:val="0"/>
      <w:numFmt w:val="bullet"/>
      <w:lvlText w:val="•"/>
      <w:lvlJc w:val="left"/>
      <w:pPr>
        <w:ind w:left="1979" w:hanging="116"/>
      </w:pPr>
      <w:rPr>
        <w:rFonts w:hint="default"/>
      </w:rPr>
    </w:lvl>
  </w:abstractNum>
  <w:abstractNum w:abstractNumId="37">
    <w:multiLevelType w:val="hybridMultilevel"/>
    <w:lvl w:ilvl="0">
      <w:start w:val="0"/>
      <w:numFmt w:val="bullet"/>
      <w:lvlText w:val="-"/>
      <w:lvlJc w:val="left"/>
      <w:pPr>
        <w:ind w:left="115" w:hanging="116"/>
      </w:pPr>
      <w:rPr>
        <w:rFonts w:hint="default" w:ascii="Times New Roman" w:hAnsi="Times New Roman" w:eastAsia="Times New Roman" w:cs="Times New Roman"/>
        <w:w w:val="99"/>
        <w:sz w:val="20"/>
        <w:szCs w:val="20"/>
      </w:rPr>
    </w:lvl>
    <w:lvl w:ilvl="1">
      <w:start w:val="0"/>
      <w:numFmt w:val="bullet"/>
      <w:lvlText w:val="•"/>
      <w:lvlJc w:val="left"/>
      <w:pPr>
        <w:ind w:left="272" w:hanging="116"/>
      </w:pPr>
      <w:rPr>
        <w:rFonts w:hint="default"/>
      </w:rPr>
    </w:lvl>
    <w:lvl w:ilvl="2">
      <w:start w:val="0"/>
      <w:numFmt w:val="bullet"/>
      <w:lvlText w:val="•"/>
      <w:lvlJc w:val="left"/>
      <w:pPr>
        <w:ind w:left="425" w:hanging="116"/>
      </w:pPr>
      <w:rPr>
        <w:rFonts w:hint="default"/>
      </w:rPr>
    </w:lvl>
    <w:lvl w:ilvl="3">
      <w:start w:val="0"/>
      <w:numFmt w:val="bullet"/>
      <w:lvlText w:val="•"/>
      <w:lvlJc w:val="left"/>
      <w:pPr>
        <w:ind w:left="577" w:hanging="116"/>
      </w:pPr>
      <w:rPr>
        <w:rFonts w:hint="default"/>
      </w:rPr>
    </w:lvl>
    <w:lvl w:ilvl="4">
      <w:start w:val="0"/>
      <w:numFmt w:val="bullet"/>
      <w:lvlText w:val="•"/>
      <w:lvlJc w:val="left"/>
      <w:pPr>
        <w:ind w:left="730" w:hanging="116"/>
      </w:pPr>
      <w:rPr>
        <w:rFonts w:hint="default"/>
      </w:rPr>
    </w:lvl>
    <w:lvl w:ilvl="5">
      <w:start w:val="0"/>
      <w:numFmt w:val="bullet"/>
      <w:lvlText w:val="•"/>
      <w:lvlJc w:val="left"/>
      <w:pPr>
        <w:ind w:left="882" w:hanging="116"/>
      </w:pPr>
      <w:rPr>
        <w:rFonts w:hint="default"/>
      </w:rPr>
    </w:lvl>
    <w:lvl w:ilvl="6">
      <w:start w:val="0"/>
      <w:numFmt w:val="bullet"/>
      <w:lvlText w:val="•"/>
      <w:lvlJc w:val="left"/>
      <w:pPr>
        <w:ind w:left="1035" w:hanging="116"/>
      </w:pPr>
      <w:rPr>
        <w:rFonts w:hint="default"/>
      </w:rPr>
    </w:lvl>
    <w:lvl w:ilvl="7">
      <w:start w:val="0"/>
      <w:numFmt w:val="bullet"/>
      <w:lvlText w:val="•"/>
      <w:lvlJc w:val="left"/>
      <w:pPr>
        <w:ind w:left="1187" w:hanging="116"/>
      </w:pPr>
      <w:rPr>
        <w:rFonts w:hint="default"/>
      </w:rPr>
    </w:lvl>
    <w:lvl w:ilvl="8">
      <w:start w:val="0"/>
      <w:numFmt w:val="bullet"/>
      <w:lvlText w:val="•"/>
      <w:lvlJc w:val="left"/>
      <w:pPr>
        <w:ind w:left="1340" w:hanging="116"/>
      </w:pPr>
      <w:rPr>
        <w:rFonts w:hint="default"/>
      </w:rPr>
    </w:lvl>
  </w:abstractNum>
  <w:abstractNum w:abstractNumId="36">
    <w:multiLevelType w:val="hybridMultilevel"/>
    <w:lvl w:ilvl="0">
      <w:start w:val="0"/>
      <w:numFmt w:val="bullet"/>
      <w:lvlText w:val="-"/>
      <w:lvlJc w:val="left"/>
      <w:pPr>
        <w:ind w:left="115" w:hanging="116"/>
      </w:pPr>
      <w:rPr>
        <w:rFonts w:hint="default" w:ascii="Times New Roman" w:hAnsi="Times New Roman" w:eastAsia="Times New Roman" w:cs="Times New Roman"/>
        <w:w w:val="99"/>
        <w:sz w:val="20"/>
        <w:szCs w:val="20"/>
      </w:rPr>
    </w:lvl>
    <w:lvl w:ilvl="1">
      <w:start w:val="0"/>
      <w:numFmt w:val="bullet"/>
      <w:lvlText w:val="•"/>
      <w:lvlJc w:val="left"/>
      <w:pPr>
        <w:ind w:left="385" w:hanging="116"/>
      </w:pPr>
      <w:rPr>
        <w:rFonts w:hint="default"/>
      </w:rPr>
    </w:lvl>
    <w:lvl w:ilvl="2">
      <w:start w:val="0"/>
      <w:numFmt w:val="bullet"/>
      <w:lvlText w:val="•"/>
      <w:lvlJc w:val="left"/>
      <w:pPr>
        <w:ind w:left="651" w:hanging="116"/>
      </w:pPr>
      <w:rPr>
        <w:rFonts w:hint="default"/>
      </w:rPr>
    </w:lvl>
    <w:lvl w:ilvl="3">
      <w:start w:val="0"/>
      <w:numFmt w:val="bullet"/>
      <w:lvlText w:val="•"/>
      <w:lvlJc w:val="left"/>
      <w:pPr>
        <w:ind w:left="917" w:hanging="116"/>
      </w:pPr>
      <w:rPr>
        <w:rFonts w:hint="default"/>
      </w:rPr>
    </w:lvl>
    <w:lvl w:ilvl="4">
      <w:start w:val="0"/>
      <w:numFmt w:val="bullet"/>
      <w:lvlText w:val="•"/>
      <w:lvlJc w:val="left"/>
      <w:pPr>
        <w:ind w:left="1183" w:hanging="116"/>
      </w:pPr>
      <w:rPr>
        <w:rFonts w:hint="default"/>
      </w:rPr>
    </w:lvl>
    <w:lvl w:ilvl="5">
      <w:start w:val="0"/>
      <w:numFmt w:val="bullet"/>
      <w:lvlText w:val="•"/>
      <w:lvlJc w:val="left"/>
      <w:pPr>
        <w:ind w:left="1448" w:hanging="116"/>
      </w:pPr>
      <w:rPr>
        <w:rFonts w:hint="default"/>
      </w:rPr>
    </w:lvl>
    <w:lvl w:ilvl="6">
      <w:start w:val="0"/>
      <w:numFmt w:val="bullet"/>
      <w:lvlText w:val="•"/>
      <w:lvlJc w:val="left"/>
      <w:pPr>
        <w:ind w:left="1714" w:hanging="116"/>
      </w:pPr>
      <w:rPr>
        <w:rFonts w:hint="default"/>
      </w:rPr>
    </w:lvl>
    <w:lvl w:ilvl="7">
      <w:start w:val="0"/>
      <w:numFmt w:val="bullet"/>
      <w:lvlText w:val="•"/>
      <w:lvlJc w:val="left"/>
      <w:pPr>
        <w:ind w:left="1980" w:hanging="116"/>
      </w:pPr>
      <w:rPr>
        <w:rFonts w:hint="default"/>
      </w:rPr>
    </w:lvl>
    <w:lvl w:ilvl="8">
      <w:start w:val="0"/>
      <w:numFmt w:val="bullet"/>
      <w:lvlText w:val="•"/>
      <w:lvlJc w:val="left"/>
      <w:pPr>
        <w:ind w:left="2246" w:hanging="116"/>
      </w:pPr>
      <w:rPr>
        <w:rFonts w:hint="default"/>
      </w:rPr>
    </w:lvl>
  </w:abstractNum>
  <w:abstractNum w:abstractNumId="35">
    <w:multiLevelType w:val="hybridMultilevel"/>
    <w:lvl w:ilvl="0">
      <w:start w:val="3"/>
      <w:numFmt w:val="decimal"/>
      <w:lvlText w:val="%1"/>
      <w:lvlJc w:val="left"/>
      <w:pPr>
        <w:ind w:left="1361" w:hanging="1203"/>
        <w:jc w:val="left"/>
      </w:pPr>
      <w:rPr>
        <w:rFonts w:hint="default"/>
      </w:rPr>
    </w:lvl>
    <w:lvl w:ilvl="1">
      <w:start w:val="1"/>
      <w:numFmt w:val="decimal"/>
      <w:lvlText w:val="%1.%2"/>
      <w:lvlJc w:val="left"/>
      <w:pPr>
        <w:ind w:left="1361" w:hanging="1203"/>
        <w:jc w:val="left"/>
      </w:pPr>
      <w:rPr>
        <w:rFonts w:hint="default"/>
      </w:rPr>
    </w:lvl>
    <w:lvl w:ilvl="2">
      <w:start w:val="3"/>
      <w:numFmt w:val="decimal"/>
      <w:lvlText w:val="%1.%2.%3"/>
      <w:lvlJc w:val="left"/>
      <w:pPr>
        <w:ind w:left="1361" w:hanging="1203"/>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3772" w:hanging="1203"/>
      </w:pPr>
      <w:rPr>
        <w:rFonts w:hint="default"/>
      </w:rPr>
    </w:lvl>
    <w:lvl w:ilvl="4">
      <w:start w:val="0"/>
      <w:numFmt w:val="bullet"/>
      <w:lvlText w:val="•"/>
      <w:lvlJc w:val="left"/>
      <w:pPr>
        <w:ind w:left="4576" w:hanging="1203"/>
      </w:pPr>
      <w:rPr>
        <w:rFonts w:hint="default"/>
      </w:rPr>
    </w:lvl>
    <w:lvl w:ilvl="5">
      <w:start w:val="0"/>
      <w:numFmt w:val="bullet"/>
      <w:lvlText w:val="•"/>
      <w:lvlJc w:val="left"/>
      <w:pPr>
        <w:ind w:left="5380" w:hanging="1203"/>
      </w:pPr>
      <w:rPr>
        <w:rFonts w:hint="default"/>
      </w:rPr>
    </w:lvl>
    <w:lvl w:ilvl="6">
      <w:start w:val="0"/>
      <w:numFmt w:val="bullet"/>
      <w:lvlText w:val="•"/>
      <w:lvlJc w:val="left"/>
      <w:pPr>
        <w:ind w:left="6184" w:hanging="1203"/>
      </w:pPr>
      <w:rPr>
        <w:rFonts w:hint="default"/>
      </w:rPr>
    </w:lvl>
    <w:lvl w:ilvl="7">
      <w:start w:val="0"/>
      <w:numFmt w:val="bullet"/>
      <w:lvlText w:val="•"/>
      <w:lvlJc w:val="left"/>
      <w:pPr>
        <w:ind w:left="6988" w:hanging="1203"/>
      </w:pPr>
      <w:rPr>
        <w:rFonts w:hint="default"/>
      </w:rPr>
    </w:lvl>
    <w:lvl w:ilvl="8">
      <w:start w:val="0"/>
      <w:numFmt w:val="bullet"/>
      <w:lvlText w:val="•"/>
      <w:lvlJc w:val="left"/>
      <w:pPr>
        <w:ind w:left="7792" w:hanging="1203"/>
      </w:pPr>
      <w:rPr>
        <w:rFonts w:hint="default"/>
      </w:rPr>
    </w:lvl>
  </w:abstractNum>
  <w:abstractNum w:abstractNumId="34">
    <w:multiLevelType w:val="hybridMultilevel"/>
    <w:lvl w:ilvl="0">
      <w:start w:val="3"/>
      <w:numFmt w:val="decimal"/>
      <w:lvlText w:val="%1"/>
      <w:lvlJc w:val="left"/>
      <w:pPr>
        <w:ind w:left="1599" w:hanging="1440"/>
        <w:jc w:val="left"/>
      </w:pPr>
      <w:rPr>
        <w:rFonts w:hint="default"/>
      </w:rPr>
    </w:lvl>
    <w:lvl w:ilvl="1">
      <w:start w:val="1"/>
      <w:numFmt w:val="decimal"/>
      <w:lvlText w:val="%1.%2"/>
      <w:lvlJc w:val="left"/>
      <w:pPr>
        <w:ind w:left="1599" w:hanging="1440"/>
        <w:jc w:val="left"/>
      </w:pPr>
      <w:rPr>
        <w:rFonts w:hint="default"/>
      </w:rPr>
    </w:lvl>
    <w:lvl w:ilvl="2">
      <w:start w:val="2"/>
      <w:numFmt w:val="decimal"/>
      <w:lvlText w:val="%1.%2.%3"/>
      <w:lvlJc w:val="left"/>
      <w:pPr>
        <w:ind w:left="1599" w:hanging="1440"/>
        <w:jc w:val="left"/>
      </w:pPr>
      <w:rPr>
        <w:rFonts w:hint="default"/>
      </w:rPr>
    </w:lvl>
    <w:lvl w:ilvl="3">
      <w:start w:val="1"/>
      <w:numFmt w:val="decimal"/>
      <w:lvlText w:val="%1.%2.%3.%4"/>
      <w:lvlJc w:val="left"/>
      <w:pPr>
        <w:ind w:left="159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4720" w:hanging="1440"/>
      </w:pPr>
      <w:rPr>
        <w:rFonts w:hint="default"/>
      </w:rPr>
    </w:lvl>
    <w:lvl w:ilvl="5">
      <w:start w:val="0"/>
      <w:numFmt w:val="bullet"/>
      <w:lvlText w:val="•"/>
      <w:lvlJc w:val="left"/>
      <w:pPr>
        <w:ind w:left="5500" w:hanging="1440"/>
      </w:pPr>
      <w:rPr>
        <w:rFonts w:hint="default"/>
      </w:rPr>
    </w:lvl>
    <w:lvl w:ilvl="6">
      <w:start w:val="0"/>
      <w:numFmt w:val="bullet"/>
      <w:lvlText w:val="•"/>
      <w:lvlJc w:val="left"/>
      <w:pPr>
        <w:ind w:left="6280" w:hanging="1440"/>
      </w:pPr>
      <w:rPr>
        <w:rFonts w:hint="default"/>
      </w:rPr>
    </w:lvl>
    <w:lvl w:ilvl="7">
      <w:start w:val="0"/>
      <w:numFmt w:val="bullet"/>
      <w:lvlText w:val="•"/>
      <w:lvlJc w:val="left"/>
      <w:pPr>
        <w:ind w:left="7060" w:hanging="1440"/>
      </w:pPr>
      <w:rPr>
        <w:rFonts w:hint="default"/>
      </w:rPr>
    </w:lvl>
    <w:lvl w:ilvl="8">
      <w:start w:val="0"/>
      <w:numFmt w:val="bullet"/>
      <w:lvlText w:val="•"/>
      <w:lvlJc w:val="left"/>
      <w:pPr>
        <w:ind w:left="7840" w:hanging="1440"/>
      </w:pPr>
      <w:rPr>
        <w:rFonts w:hint="default"/>
      </w:rPr>
    </w:lvl>
  </w:abstractNum>
  <w:abstractNum w:abstractNumId="33">
    <w:multiLevelType w:val="hybridMultilevel"/>
    <w:lvl w:ilvl="0">
      <w:start w:val="3"/>
      <w:numFmt w:val="decimal"/>
      <w:lvlText w:val="%1"/>
      <w:lvlJc w:val="left"/>
      <w:pPr>
        <w:ind w:left="1361" w:hanging="1203"/>
        <w:jc w:val="left"/>
      </w:pPr>
      <w:rPr>
        <w:rFonts w:hint="default"/>
      </w:rPr>
    </w:lvl>
    <w:lvl w:ilvl="1">
      <w:start w:val="1"/>
      <w:numFmt w:val="decimal"/>
      <w:lvlText w:val="%1.%2"/>
      <w:lvlJc w:val="left"/>
      <w:pPr>
        <w:ind w:left="1361" w:hanging="1203"/>
        <w:jc w:val="left"/>
      </w:pPr>
      <w:rPr>
        <w:rFonts w:hint="default"/>
      </w:rPr>
    </w:lvl>
    <w:lvl w:ilvl="2">
      <w:start w:val="1"/>
      <w:numFmt w:val="decimal"/>
      <w:lvlText w:val="%1.%2.%3"/>
      <w:lvlJc w:val="left"/>
      <w:pPr>
        <w:ind w:left="1361" w:hanging="1203"/>
        <w:jc w:val="left"/>
      </w:pPr>
      <w:rPr>
        <w:rFonts w:hint="default" w:ascii="Times New Roman" w:hAnsi="Times New Roman" w:eastAsia="Times New Roman" w:cs="Times New Roman"/>
        <w:b/>
        <w:bCs/>
        <w:spacing w:val="0"/>
        <w:w w:val="99"/>
        <w:sz w:val="32"/>
        <w:szCs w:val="32"/>
      </w:rPr>
    </w:lvl>
    <w:lvl w:ilvl="3">
      <w:start w:val="1"/>
      <w:numFmt w:val="lowerRoman"/>
      <w:lvlText w:val="(%4)"/>
      <w:lvlJc w:val="left"/>
      <w:pPr>
        <w:ind w:left="1236" w:hanging="572"/>
        <w:jc w:val="right"/>
      </w:pPr>
      <w:rPr>
        <w:rFonts w:hint="default" w:ascii="Times New Roman" w:hAnsi="Times New Roman" w:eastAsia="Times New Roman" w:cs="Times New Roman"/>
        <w:w w:val="99"/>
        <w:sz w:val="20"/>
        <w:szCs w:val="20"/>
      </w:rPr>
    </w:lvl>
    <w:lvl w:ilvl="4">
      <w:start w:val="0"/>
      <w:numFmt w:val="bullet"/>
      <w:lvlText w:val="•"/>
      <w:lvlJc w:val="left"/>
      <w:pPr>
        <w:ind w:left="4040" w:hanging="572"/>
      </w:pPr>
      <w:rPr>
        <w:rFonts w:hint="default"/>
      </w:rPr>
    </w:lvl>
    <w:lvl w:ilvl="5">
      <w:start w:val="0"/>
      <w:numFmt w:val="bullet"/>
      <w:lvlText w:val="•"/>
      <w:lvlJc w:val="left"/>
      <w:pPr>
        <w:ind w:left="4933" w:hanging="572"/>
      </w:pPr>
      <w:rPr>
        <w:rFonts w:hint="default"/>
      </w:rPr>
    </w:lvl>
    <w:lvl w:ilvl="6">
      <w:start w:val="0"/>
      <w:numFmt w:val="bullet"/>
      <w:lvlText w:val="•"/>
      <w:lvlJc w:val="left"/>
      <w:pPr>
        <w:ind w:left="5826" w:hanging="572"/>
      </w:pPr>
      <w:rPr>
        <w:rFonts w:hint="default"/>
      </w:rPr>
    </w:lvl>
    <w:lvl w:ilvl="7">
      <w:start w:val="0"/>
      <w:numFmt w:val="bullet"/>
      <w:lvlText w:val="•"/>
      <w:lvlJc w:val="left"/>
      <w:pPr>
        <w:ind w:left="6720" w:hanging="572"/>
      </w:pPr>
      <w:rPr>
        <w:rFonts w:hint="default"/>
      </w:rPr>
    </w:lvl>
    <w:lvl w:ilvl="8">
      <w:start w:val="0"/>
      <w:numFmt w:val="bullet"/>
      <w:lvlText w:val="•"/>
      <w:lvlJc w:val="left"/>
      <w:pPr>
        <w:ind w:left="7613" w:hanging="572"/>
      </w:pPr>
      <w:rPr>
        <w:rFonts w:hint="default"/>
      </w:rPr>
    </w:lvl>
  </w:abstractNum>
  <w:abstractNum w:abstractNumId="32">
    <w:multiLevelType w:val="hybridMultilevel"/>
    <w:lvl w:ilvl="0">
      <w:start w:val="3"/>
      <w:numFmt w:val="decimal"/>
      <w:lvlText w:val="%1"/>
      <w:lvlJc w:val="left"/>
      <w:pPr>
        <w:ind w:left="1361" w:hanging="1203"/>
        <w:jc w:val="left"/>
      </w:pPr>
      <w:rPr>
        <w:rFonts w:hint="default"/>
      </w:rPr>
    </w:lvl>
    <w:lvl w:ilvl="1">
      <w:start w:val="1"/>
      <w:numFmt w:val="decimal"/>
      <w:lvlText w:val="%1.%2"/>
      <w:lvlJc w:val="left"/>
      <w:pPr>
        <w:ind w:left="1361" w:hanging="1203"/>
        <w:jc w:val="left"/>
      </w:pPr>
      <w:rPr>
        <w:rFonts w:hint="default" w:ascii="Times New Roman" w:hAnsi="Times New Roman" w:eastAsia="Times New Roman" w:cs="Times New Roman"/>
        <w:b/>
        <w:bCs/>
        <w:spacing w:val="0"/>
        <w:w w:val="99"/>
        <w:sz w:val="32"/>
        <w:szCs w:val="32"/>
      </w:rPr>
    </w:lvl>
    <w:lvl w:ilvl="2">
      <w:start w:val="1"/>
      <w:numFmt w:val="lowerRoman"/>
      <w:lvlText w:val="(%3)"/>
      <w:lvlJc w:val="left"/>
      <w:pPr>
        <w:ind w:left="1236" w:hanging="572"/>
        <w:jc w:val="left"/>
      </w:pPr>
      <w:rPr>
        <w:rFonts w:hint="default" w:ascii="Times New Roman" w:hAnsi="Times New Roman" w:eastAsia="Times New Roman" w:cs="Times New Roman"/>
        <w:w w:val="99"/>
        <w:sz w:val="20"/>
        <w:szCs w:val="20"/>
      </w:rPr>
    </w:lvl>
    <w:lvl w:ilvl="3">
      <w:start w:val="0"/>
      <w:numFmt w:val="bullet"/>
      <w:lvlText w:val="•"/>
      <w:lvlJc w:val="left"/>
      <w:pPr>
        <w:ind w:left="3146" w:hanging="572"/>
      </w:pPr>
      <w:rPr>
        <w:rFonts w:hint="default"/>
      </w:rPr>
    </w:lvl>
    <w:lvl w:ilvl="4">
      <w:start w:val="0"/>
      <w:numFmt w:val="bullet"/>
      <w:lvlText w:val="•"/>
      <w:lvlJc w:val="left"/>
      <w:pPr>
        <w:ind w:left="4040" w:hanging="572"/>
      </w:pPr>
      <w:rPr>
        <w:rFonts w:hint="default"/>
      </w:rPr>
    </w:lvl>
    <w:lvl w:ilvl="5">
      <w:start w:val="0"/>
      <w:numFmt w:val="bullet"/>
      <w:lvlText w:val="•"/>
      <w:lvlJc w:val="left"/>
      <w:pPr>
        <w:ind w:left="4933" w:hanging="572"/>
      </w:pPr>
      <w:rPr>
        <w:rFonts w:hint="default"/>
      </w:rPr>
    </w:lvl>
    <w:lvl w:ilvl="6">
      <w:start w:val="0"/>
      <w:numFmt w:val="bullet"/>
      <w:lvlText w:val="•"/>
      <w:lvlJc w:val="left"/>
      <w:pPr>
        <w:ind w:left="5826" w:hanging="572"/>
      </w:pPr>
      <w:rPr>
        <w:rFonts w:hint="default"/>
      </w:rPr>
    </w:lvl>
    <w:lvl w:ilvl="7">
      <w:start w:val="0"/>
      <w:numFmt w:val="bullet"/>
      <w:lvlText w:val="•"/>
      <w:lvlJc w:val="left"/>
      <w:pPr>
        <w:ind w:left="6720" w:hanging="572"/>
      </w:pPr>
      <w:rPr>
        <w:rFonts w:hint="default"/>
      </w:rPr>
    </w:lvl>
    <w:lvl w:ilvl="8">
      <w:start w:val="0"/>
      <w:numFmt w:val="bullet"/>
      <w:lvlText w:val="•"/>
      <w:lvlJc w:val="left"/>
      <w:pPr>
        <w:ind w:left="7613" w:hanging="572"/>
      </w:pPr>
      <w:rPr>
        <w:rFonts w:hint="default"/>
      </w:rPr>
    </w:lvl>
  </w:abstractNum>
  <w:abstractNum w:abstractNumId="31">
    <w:multiLevelType w:val="hybridMultilevel"/>
    <w:lvl w:ilvl="0">
      <w:start w:val="3"/>
      <w:numFmt w:val="decimal"/>
      <w:lvlText w:val="%1"/>
      <w:lvlJc w:val="left"/>
      <w:pPr>
        <w:ind w:left="1460" w:hanging="736"/>
        <w:jc w:val="left"/>
      </w:pPr>
      <w:rPr>
        <w:rFonts w:hint="default"/>
      </w:rPr>
    </w:lvl>
    <w:lvl w:ilvl="1">
      <w:start w:val="7"/>
      <w:numFmt w:val="decimal"/>
      <w:lvlText w:val="%1.%2"/>
      <w:lvlJc w:val="left"/>
      <w:pPr>
        <w:ind w:left="1460" w:hanging="736"/>
        <w:jc w:val="left"/>
      </w:pPr>
      <w:rPr>
        <w:rFonts w:hint="default"/>
      </w:rPr>
    </w:lvl>
    <w:lvl w:ilvl="2">
      <w:start w:val="2"/>
      <w:numFmt w:val="decimal"/>
      <w:lvlText w:val="%1.%2.%3"/>
      <w:lvlJc w:val="left"/>
      <w:pPr>
        <w:ind w:left="1460" w:hanging="736"/>
        <w:jc w:val="right"/>
      </w:pPr>
      <w:rPr>
        <w:rFonts w:hint="default"/>
      </w:rPr>
    </w:lvl>
    <w:lvl w:ilvl="3">
      <w:start w:val="1"/>
      <w:numFmt w:val="decimal"/>
      <w:lvlText w:val="%1.%2.%3.%4"/>
      <w:lvlJc w:val="left"/>
      <w:pPr>
        <w:ind w:left="1460" w:hanging="736"/>
        <w:jc w:val="left"/>
      </w:pPr>
      <w:rPr>
        <w:rFonts w:hint="default" w:ascii="Times New Roman" w:hAnsi="Times New Roman" w:eastAsia="Times New Roman" w:cs="Times New Roman"/>
        <w:spacing w:val="-2"/>
        <w:w w:val="99"/>
        <w:sz w:val="20"/>
        <w:szCs w:val="20"/>
      </w:rPr>
    </w:lvl>
    <w:lvl w:ilvl="4">
      <w:start w:val="0"/>
      <w:numFmt w:val="bullet"/>
      <w:lvlText w:val="•"/>
      <w:lvlJc w:val="left"/>
      <w:pPr>
        <w:ind w:left="4636" w:hanging="736"/>
      </w:pPr>
      <w:rPr>
        <w:rFonts w:hint="default"/>
      </w:rPr>
    </w:lvl>
    <w:lvl w:ilvl="5">
      <w:start w:val="0"/>
      <w:numFmt w:val="bullet"/>
      <w:lvlText w:val="•"/>
      <w:lvlJc w:val="left"/>
      <w:pPr>
        <w:ind w:left="5430" w:hanging="736"/>
      </w:pPr>
      <w:rPr>
        <w:rFonts w:hint="default"/>
      </w:rPr>
    </w:lvl>
    <w:lvl w:ilvl="6">
      <w:start w:val="0"/>
      <w:numFmt w:val="bullet"/>
      <w:lvlText w:val="•"/>
      <w:lvlJc w:val="left"/>
      <w:pPr>
        <w:ind w:left="6224" w:hanging="736"/>
      </w:pPr>
      <w:rPr>
        <w:rFonts w:hint="default"/>
      </w:rPr>
    </w:lvl>
    <w:lvl w:ilvl="7">
      <w:start w:val="0"/>
      <w:numFmt w:val="bullet"/>
      <w:lvlText w:val="•"/>
      <w:lvlJc w:val="left"/>
      <w:pPr>
        <w:ind w:left="7018" w:hanging="736"/>
      </w:pPr>
      <w:rPr>
        <w:rFonts w:hint="default"/>
      </w:rPr>
    </w:lvl>
    <w:lvl w:ilvl="8">
      <w:start w:val="0"/>
      <w:numFmt w:val="bullet"/>
      <w:lvlText w:val="•"/>
      <w:lvlJc w:val="left"/>
      <w:pPr>
        <w:ind w:left="7812" w:hanging="736"/>
      </w:pPr>
      <w:rPr>
        <w:rFonts w:hint="default"/>
      </w:rPr>
    </w:lvl>
  </w:abstractNum>
  <w:abstractNum w:abstractNumId="30">
    <w:multiLevelType w:val="hybridMultilevel"/>
    <w:lvl w:ilvl="0">
      <w:start w:val="3"/>
      <w:numFmt w:val="decimal"/>
      <w:lvlText w:val="%1"/>
      <w:lvlJc w:val="left"/>
      <w:pPr>
        <w:ind w:left="1179" w:hanging="1021"/>
        <w:jc w:val="left"/>
      </w:pPr>
      <w:rPr>
        <w:rFonts w:hint="default"/>
      </w:rPr>
    </w:lvl>
    <w:lvl w:ilvl="1">
      <w:start w:val="1"/>
      <w:numFmt w:val="decimal"/>
      <w:lvlText w:val="%1.%2"/>
      <w:lvlJc w:val="left"/>
      <w:pPr>
        <w:ind w:left="1179" w:hanging="1021"/>
        <w:jc w:val="left"/>
      </w:pPr>
      <w:rPr>
        <w:rFonts w:hint="default" w:ascii="Times New Roman" w:hAnsi="Times New Roman" w:eastAsia="Times New Roman" w:cs="Times New Roman"/>
        <w:b/>
        <w:bCs/>
        <w:spacing w:val="0"/>
        <w:w w:val="99"/>
        <w:sz w:val="20"/>
        <w:szCs w:val="20"/>
      </w:rPr>
    </w:lvl>
    <w:lvl w:ilvl="2">
      <w:start w:val="1"/>
      <w:numFmt w:val="decimal"/>
      <w:lvlText w:val="%1.%2.%3"/>
      <w:lvlJc w:val="left"/>
      <w:pPr>
        <w:ind w:left="1178" w:hanging="736"/>
        <w:jc w:val="left"/>
      </w:pPr>
      <w:rPr>
        <w:rFonts w:hint="default" w:ascii="Times New Roman" w:hAnsi="Times New Roman" w:eastAsia="Times New Roman" w:cs="Times New Roman"/>
        <w:w w:val="99"/>
        <w:sz w:val="20"/>
        <w:szCs w:val="20"/>
      </w:rPr>
    </w:lvl>
    <w:lvl w:ilvl="3">
      <w:start w:val="1"/>
      <w:numFmt w:val="decimal"/>
      <w:lvlText w:val="%1.%2.%3.%4"/>
      <w:lvlJc w:val="left"/>
      <w:pPr>
        <w:ind w:left="1461" w:hanging="736"/>
        <w:jc w:val="left"/>
      </w:pPr>
      <w:rPr>
        <w:rFonts w:hint="default" w:ascii="Times New Roman" w:hAnsi="Times New Roman" w:eastAsia="Times New Roman" w:cs="Times New Roman"/>
        <w:spacing w:val="-2"/>
        <w:w w:val="99"/>
        <w:sz w:val="20"/>
        <w:szCs w:val="20"/>
      </w:rPr>
    </w:lvl>
    <w:lvl w:ilvl="4">
      <w:start w:val="0"/>
      <w:numFmt w:val="bullet"/>
      <w:lvlText w:val="•"/>
      <w:lvlJc w:val="left"/>
      <w:pPr>
        <w:ind w:left="4106" w:hanging="736"/>
      </w:pPr>
      <w:rPr>
        <w:rFonts w:hint="default"/>
      </w:rPr>
    </w:lvl>
    <w:lvl w:ilvl="5">
      <w:start w:val="0"/>
      <w:numFmt w:val="bullet"/>
      <w:lvlText w:val="•"/>
      <w:lvlJc w:val="left"/>
      <w:pPr>
        <w:ind w:left="4988" w:hanging="736"/>
      </w:pPr>
      <w:rPr>
        <w:rFonts w:hint="default"/>
      </w:rPr>
    </w:lvl>
    <w:lvl w:ilvl="6">
      <w:start w:val="0"/>
      <w:numFmt w:val="bullet"/>
      <w:lvlText w:val="•"/>
      <w:lvlJc w:val="left"/>
      <w:pPr>
        <w:ind w:left="5871" w:hanging="736"/>
      </w:pPr>
      <w:rPr>
        <w:rFonts w:hint="default"/>
      </w:rPr>
    </w:lvl>
    <w:lvl w:ilvl="7">
      <w:start w:val="0"/>
      <w:numFmt w:val="bullet"/>
      <w:lvlText w:val="•"/>
      <w:lvlJc w:val="left"/>
      <w:pPr>
        <w:ind w:left="6753" w:hanging="736"/>
      </w:pPr>
      <w:rPr>
        <w:rFonts w:hint="default"/>
      </w:rPr>
    </w:lvl>
    <w:lvl w:ilvl="8">
      <w:start w:val="0"/>
      <w:numFmt w:val="bullet"/>
      <w:lvlText w:val="•"/>
      <w:lvlJc w:val="left"/>
      <w:pPr>
        <w:ind w:left="7635" w:hanging="736"/>
      </w:pPr>
      <w:rPr>
        <w:rFonts w:hint="default"/>
      </w:rPr>
    </w:lvl>
  </w:abstractNum>
  <w:abstractNum w:abstractNumId="29">
    <w:multiLevelType w:val="hybridMultilevel"/>
    <w:lvl w:ilvl="0">
      <w:start w:val="0"/>
      <w:numFmt w:val="bullet"/>
      <w:lvlText w:val="-"/>
      <w:lvlJc w:val="left"/>
      <w:pPr>
        <w:ind w:left="258" w:hanging="152"/>
      </w:pPr>
      <w:rPr>
        <w:rFonts w:hint="default" w:ascii="Times New Roman" w:hAnsi="Times New Roman" w:eastAsia="Times New Roman" w:cs="Times New Roman"/>
        <w:spacing w:val="-4"/>
        <w:w w:val="100"/>
        <w:sz w:val="18"/>
        <w:szCs w:val="18"/>
      </w:rPr>
    </w:lvl>
    <w:lvl w:ilvl="1">
      <w:start w:val="0"/>
      <w:numFmt w:val="bullet"/>
      <w:lvlText w:val="•"/>
      <w:lvlJc w:val="left"/>
      <w:pPr>
        <w:ind w:left="518" w:hanging="152"/>
      </w:pPr>
      <w:rPr>
        <w:rFonts w:hint="default"/>
      </w:rPr>
    </w:lvl>
    <w:lvl w:ilvl="2">
      <w:start w:val="0"/>
      <w:numFmt w:val="bullet"/>
      <w:lvlText w:val="•"/>
      <w:lvlJc w:val="left"/>
      <w:pPr>
        <w:ind w:left="777" w:hanging="152"/>
      </w:pPr>
      <w:rPr>
        <w:rFonts w:hint="default"/>
      </w:rPr>
    </w:lvl>
    <w:lvl w:ilvl="3">
      <w:start w:val="0"/>
      <w:numFmt w:val="bullet"/>
      <w:lvlText w:val="•"/>
      <w:lvlJc w:val="left"/>
      <w:pPr>
        <w:ind w:left="1035" w:hanging="152"/>
      </w:pPr>
      <w:rPr>
        <w:rFonts w:hint="default"/>
      </w:rPr>
    </w:lvl>
    <w:lvl w:ilvl="4">
      <w:start w:val="0"/>
      <w:numFmt w:val="bullet"/>
      <w:lvlText w:val="•"/>
      <w:lvlJc w:val="left"/>
      <w:pPr>
        <w:ind w:left="1294" w:hanging="152"/>
      </w:pPr>
      <w:rPr>
        <w:rFonts w:hint="default"/>
      </w:rPr>
    </w:lvl>
    <w:lvl w:ilvl="5">
      <w:start w:val="0"/>
      <w:numFmt w:val="bullet"/>
      <w:lvlText w:val="•"/>
      <w:lvlJc w:val="left"/>
      <w:pPr>
        <w:ind w:left="1552" w:hanging="152"/>
      </w:pPr>
      <w:rPr>
        <w:rFonts w:hint="default"/>
      </w:rPr>
    </w:lvl>
    <w:lvl w:ilvl="6">
      <w:start w:val="0"/>
      <w:numFmt w:val="bullet"/>
      <w:lvlText w:val="•"/>
      <w:lvlJc w:val="left"/>
      <w:pPr>
        <w:ind w:left="1811" w:hanging="152"/>
      </w:pPr>
      <w:rPr>
        <w:rFonts w:hint="default"/>
      </w:rPr>
    </w:lvl>
    <w:lvl w:ilvl="7">
      <w:start w:val="0"/>
      <w:numFmt w:val="bullet"/>
      <w:lvlText w:val="•"/>
      <w:lvlJc w:val="left"/>
      <w:pPr>
        <w:ind w:left="2069" w:hanging="152"/>
      </w:pPr>
      <w:rPr>
        <w:rFonts w:hint="default"/>
      </w:rPr>
    </w:lvl>
    <w:lvl w:ilvl="8">
      <w:start w:val="0"/>
      <w:numFmt w:val="bullet"/>
      <w:lvlText w:val="•"/>
      <w:lvlJc w:val="left"/>
      <w:pPr>
        <w:ind w:left="2328" w:hanging="152"/>
      </w:pPr>
      <w:rPr>
        <w:rFonts w:hint="default"/>
      </w:rPr>
    </w:lvl>
  </w:abstractNum>
  <w:abstractNum w:abstractNumId="28">
    <w:multiLevelType w:val="hybridMultilevel"/>
    <w:lvl w:ilvl="0">
      <w:start w:val="0"/>
      <w:numFmt w:val="bullet"/>
      <w:lvlText w:val="-"/>
      <w:lvlJc w:val="left"/>
      <w:pPr>
        <w:ind w:left="246" w:hanging="149"/>
      </w:pPr>
      <w:rPr>
        <w:rFonts w:hint="default" w:ascii="Times New Roman" w:hAnsi="Times New Roman" w:eastAsia="Times New Roman" w:cs="Times New Roman"/>
        <w:spacing w:val="-3"/>
        <w:w w:val="100"/>
        <w:sz w:val="18"/>
        <w:szCs w:val="18"/>
      </w:rPr>
    </w:lvl>
    <w:lvl w:ilvl="1">
      <w:start w:val="0"/>
      <w:numFmt w:val="bullet"/>
      <w:lvlText w:val="•"/>
      <w:lvlJc w:val="left"/>
      <w:pPr>
        <w:ind w:left="478" w:hanging="149"/>
      </w:pPr>
      <w:rPr>
        <w:rFonts w:hint="default"/>
      </w:rPr>
    </w:lvl>
    <w:lvl w:ilvl="2">
      <w:start w:val="0"/>
      <w:numFmt w:val="bullet"/>
      <w:lvlText w:val="•"/>
      <w:lvlJc w:val="left"/>
      <w:pPr>
        <w:ind w:left="717" w:hanging="149"/>
      </w:pPr>
      <w:rPr>
        <w:rFonts w:hint="default"/>
      </w:rPr>
    </w:lvl>
    <w:lvl w:ilvl="3">
      <w:start w:val="0"/>
      <w:numFmt w:val="bullet"/>
      <w:lvlText w:val="•"/>
      <w:lvlJc w:val="left"/>
      <w:pPr>
        <w:ind w:left="956" w:hanging="149"/>
      </w:pPr>
      <w:rPr>
        <w:rFonts w:hint="default"/>
      </w:rPr>
    </w:lvl>
    <w:lvl w:ilvl="4">
      <w:start w:val="0"/>
      <w:numFmt w:val="bullet"/>
      <w:lvlText w:val="•"/>
      <w:lvlJc w:val="left"/>
      <w:pPr>
        <w:ind w:left="1195" w:hanging="149"/>
      </w:pPr>
      <w:rPr>
        <w:rFonts w:hint="default"/>
      </w:rPr>
    </w:lvl>
    <w:lvl w:ilvl="5">
      <w:start w:val="0"/>
      <w:numFmt w:val="bullet"/>
      <w:lvlText w:val="•"/>
      <w:lvlJc w:val="left"/>
      <w:pPr>
        <w:ind w:left="1434" w:hanging="149"/>
      </w:pPr>
      <w:rPr>
        <w:rFonts w:hint="default"/>
      </w:rPr>
    </w:lvl>
    <w:lvl w:ilvl="6">
      <w:start w:val="0"/>
      <w:numFmt w:val="bullet"/>
      <w:lvlText w:val="•"/>
      <w:lvlJc w:val="left"/>
      <w:pPr>
        <w:ind w:left="1673" w:hanging="149"/>
      </w:pPr>
      <w:rPr>
        <w:rFonts w:hint="default"/>
      </w:rPr>
    </w:lvl>
    <w:lvl w:ilvl="7">
      <w:start w:val="0"/>
      <w:numFmt w:val="bullet"/>
      <w:lvlText w:val="•"/>
      <w:lvlJc w:val="left"/>
      <w:pPr>
        <w:ind w:left="1912" w:hanging="149"/>
      </w:pPr>
      <w:rPr>
        <w:rFonts w:hint="default"/>
      </w:rPr>
    </w:lvl>
    <w:lvl w:ilvl="8">
      <w:start w:val="0"/>
      <w:numFmt w:val="bullet"/>
      <w:lvlText w:val="•"/>
      <w:lvlJc w:val="left"/>
      <w:pPr>
        <w:ind w:left="2151" w:hanging="149"/>
      </w:pPr>
      <w:rPr>
        <w:rFonts w:hint="default"/>
      </w:rPr>
    </w:lvl>
  </w:abstractNum>
  <w:abstractNum w:abstractNumId="27">
    <w:multiLevelType w:val="hybridMultilevel"/>
    <w:lvl w:ilvl="0">
      <w:start w:val="0"/>
      <w:numFmt w:val="bullet"/>
      <w:lvlText w:val="-"/>
      <w:lvlJc w:val="left"/>
      <w:pPr>
        <w:ind w:left="234" w:hanging="147"/>
      </w:pPr>
      <w:rPr>
        <w:rFonts w:hint="default" w:ascii="Times New Roman" w:hAnsi="Times New Roman" w:eastAsia="Times New Roman" w:cs="Times New Roman"/>
        <w:spacing w:val="-4"/>
        <w:w w:val="100"/>
        <w:sz w:val="18"/>
        <w:szCs w:val="18"/>
      </w:rPr>
    </w:lvl>
    <w:lvl w:ilvl="1">
      <w:start w:val="0"/>
      <w:numFmt w:val="bullet"/>
      <w:lvlText w:val="•"/>
      <w:lvlJc w:val="left"/>
      <w:pPr>
        <w:ind w:left="489" w:hanging="147"/>
      </w:pPr>
      <w:rPr>
        <w:rFonts w:hint="default"/>
      </w:rPr>
    </w:lvl>
    <w:lvl w:ilvl="2">
      <w:start w:val="0"/>
      <w:numFmt w:val="bullet"/>
      <w:lvlText w:val="•"/>
      <w:lvlJc w:val="left"/>
      <w:pPr>
        <w:ind w:left="738" w:hanging="147"/>
      </w:pPr>
      <w:rPr>
        <w:rFonts w:hint="default"/>
      </w:rPr>
    </w:lvl>
    <w:lvl w:ilvl="3">
      <w:start w:val="0"/>
      <w:numFmt w:val="bullet"/>
      <w:lvlText w:val="•"/>
      <w:lvlJc w:val="left"/>
      <w:pPr>
        <w:ind w:left="987" w:hanging="147"/>
      </w:pPr>
      <w:rPr>
        <w:rFonts w:hint="default"/>
      </w:rPr>
    </w:lvl>
    <w:lvl w:ilvl="4">
      <w:start w:val="0"/>
      <w:numFmt w:val="bullet"/>
      <w:lvlText w:val="•"/>
      <w:lvlJc w:val="left"/>
      <w:pPr>
        <w:ind w:left="1236" w:hanging="147"/>
      </w:pPr>
      <w:rPr>
        <w:rFonts w:hint="default"/>
      </w:rPr>
    </w:lvl>
    <w:lvl w:ilvl="5">
      <w:start w:val="0"/>
      <w:numFmt w:val="bullet"/>
      <w:lvlText w:val="•"/>
      <w:lvlJc w:val="left"/>
      <w:pPr>
        <w:ind w:left="1486" w:hanging="147"/>
      </w:pPr>
      <w:rPr>
        <w:rFonts w:hint="default"/>
      </w:rPr>
    </w:lvl>
    <w:lvl w:ilvl="6">
      <w:start w:val="0"/>
      <w:numFmt w:val="bullet"/>
      <w:lvlText w:val="•"/>
      <w:lvlJc w:val="left"/>
      <w:pPr>
        <w:ind w:left="1735" w:hanging="147"/>
      </w:pPr>
      <w:rPr>
        <w:rFonts w:hint="default"/>
      </w:rPr>
    </w:lvl>
    <w:lvl w:ilvl="7">
      <w:start w:val="0"/>
      <w:numFmt w:val="bullet"/>
      <w:lvlText w:val="•"/>
      <w:lvlJc w:val="left"/>
      <w:pPr>
        <w:ind w:left="1984" w:hanging="147"/>
      </w:pPr>
      <w:rPr>
        <w:rFonts w:hint="default"/>
      </w:rPr>
    </w:lvl>
    <w:lvl w:ilvl="8">
      <w:start w:val="0"/>
      <w:numFmt w:val="bullet"/>
      <w:lvlText w:val="•"/>
      <w:lvlJc w:val="left"/>
      <w:pPr>
        <w:ind w:left="2233" w:hanging="147"/>
      </w:pPr>
      <w:rPr>
        <w:rFonts w:hint="default"/>
      </w:rPr>
    </w:lvl>
  </w:abstractNum>
  <w:abstractNum w:abstractNumId="26">
    <w:multiLevelType w:val="hybridMultilevel"/>
    <w:lvl w:ilvl="0">
      <w:start w:val="0"/>
      <w:numFmt w:val="bullet"/>
      <w:lvlText w:val="-"/>
      <w:lvlJc w:val="left"/>
      <w:pPr>
        <w:ind w:left="246" w:hanging="137"/>
      </w:pPr>
      <w:rPr>
        <w:rFonts w:hint="default" w:ascii="Times New Roman" w:hAnsi="Times New Roman" w:eastAsia="Times New Roman" w:cs="Times New Roman"/>
        <w:spacing w:val="-14"/>
        <w:w w:val="100"/>
        <w:sz w:val="18"/>
        <w:szCs w:val="18"/>
      </w:rPr>
    </w:lvl>
    <w:lvl w:ilvl="1">
      <w:start w:val="0"/>
      <w:numFmt w:val="bullet"/>
      <w:lvlText w:val="•"/>
      <w:lvlJc w:val="left"/>
      <w:pPr>
        <w:ind w:left="544" w:hanging="137"/>
      </w:pPr>
      <w:rPr>
        <w:rFonts w:hint="default"/>
      </w:rPr>
    </w:lvl>
    <w:lvl w:ilvl="2">
      <w:start w:val="0"/>
      <w:numFmt w:val="bullet"/>
      <w:lvlText w:val="•"/>
      <w:lvlJc w:val="left"/>
      <w:pPr>
        <w:ind w:left="848" w:hanging="137"/>
      </w:pPr>
      <w:rPr>
        <w:rFonts w:hint="default"/>
      </w:rPr>
    </w:lvl>
    <w:lvl w:ilvl="3">
      <w:start w:val="0"/>
      <w:numFmt w:val="bullet"/>
      <w:lvlText w:val="•"/>
      <w:lvlJc w:val="left"/>
      <w:pPr>
        <w:ind w:left="1152" w:hanging="137"/>
      </w:pPr>
      <w:rPr>
        <w:rFonts w:hint="default"/>
      </w:rPr>
    </w:lvl>
    <w:lvl w:ilvl="4">
      <w:start w:val="0"/>
      <w:numFmt w:val="bullet"/>
      <w:lvlText w:val="•"/>
      <w:lvlJc w:val="left"/>
      <w:pPr>
        <w:ind w:left="1456" w:hanging="137"/>
      </w:pPr>
      <w:rPr>
        <w:rFonts w:hint="default"/>
      </w:rPr>
    </w:lvl>
    <w:lvl w:ilvl="5">
      <w:start w:val="0"/>
      <w:numFmt w:val="bullet"/>
      <w:lvlText w:val="•"/>
      <w:lvlJc w:val="left"/>
      <w:pPr>
        <w:ind w:left="1760" w:hanging="137"/>
      </w:pPr>
      <w:rPr>
        <w:rFonts w:hint="default"/>
      </w:rPr>
    </w:lvl>
    <w:lvl w:ilvl="6">
      <w:start w:val="0"/>
      <w:numFmt w:val="bullet"/>
      <w:lvlText w:val="•"/>
      <w:lvlJc w:val="left"/>
      <w:pPr>
        <w:ind w:left="2065" w:hanging="137"/>
      </w:pPr>
      <w:rPr>
        <w:rFonts w:hint="default"/>
      </w:rPr>
    </w:lvl>
    <w:lvl w:ilvl="7">
      <w:start w:val="0"/>
      <w:numFmt w:val="bullet"/>
      <w:lvlText w:val="•"/>
      <w:lvlJc w:val="left"/>
      <w:pPr>
        <w:ind w:left="2369" w:hanging="137"/>
      </w:pPr>
      <w:rPr>
        <w:rFonts w:hint="default"/>
      </w:rPr>
    </w:lvl>
    <w:lvl w:ilvl="8">
      <w:start w:val="0"/>
      <w:numFmt w:val="bullet"/>
      <w:lvlText w:val="•"/>
      <w:lvlJc w:val="left"/>
      <w:pPr>
        <w:ind w:left="2673" w:hanging="137"/>
      </w:pPr>
      <w:rPr>
        <w:rFonts w:hint="default"/>
      </w:rPr>
    </w:lvl>
  </w:abstractNum>
  <w:abstractNum w:abstractNumId="25">
    <w:multiLevelType w:val="hybridMultilevel"/>
    <w:lvl w:ilvl="0">
      <w:start w:val="0"/>
      <w:numFmt w:val="bullet"/>
      <w:lvlText w:val="-"/>
      <w:lvlJc w:val="left"/>
      <w:pPr>
        <w:ind w:left="107" w:hanging="101"/>
      </w:pPr>
      <w:rPr>
        <w:rFonts w:hint="default" w:ascii="Times New Roman" w:hAnsi="Times New Roman" w:eastAsia="Times New Roman" w:cs="Times New Roman"/>
        <w:w w:val="100"/>
        <w:sz w:val="18"/>
        <w:szCs w:val="18"/>
      </w:rPr>
    </w:lvl>
    <w:lvl w:ilvl="1">
      <w:start w:val="0"/>
      <w:numFmt w:val="bullet"/>
      <w:lvlText w:val="•"/>
      <w:lvlJc w:val="left"/>
      <w:pPr>
        <w:ind w:left="351" w:hanging="101"/>
      </w:pPr>
      <w:rPr>
        <w:rFonts w:hint="default"/>
      </w:rPr>
    </w:lvl>
    <w:lvl w:ilvl="2">
      <w:start w:val="0"/>
      <w:numFmt w:val="bullet"/>
      <w:lvlText w:val="•"/>
      <w:lvlJc w:val="left"/>
      <w:pPr>
        <w:ind w:left="603" w:hanging="101"/>
      </w:pPr>
      <w:rPr>
        <w:rFonts w:hint="default"/>
      </w:rPr>
    </w:lvl>
    <w:lvl w:ilvl="3">
      <w:start w:val="0"/>
      <w:numFmt w:val="bullet"/>
      <w:lvlText w:val="•"/>
      <w:lvlJc w:val="left"/>
      <w:pPr>
        <w:ind w:left="855" w:hanging="101"/>
      </w:pPr>
      <w:rPr>
        <w:rFonts w:hint="default"/>
      </w:rPr>
    </w:lvl>
    <w:lvl w:ilvl="4">
      <w:start w:val="0"/>
      <w:numFmt w:val="bullet"/>
      <w:lvlText w:val="•"/>
      <w:lvlJc w:val="left"/>
      <w:pPr>
        <w:ind w:left="1106" w:hanging="101"/>
      </w:pPr>
      <w:rPr>
        <w:rFonts w:hint="default"/>
      </w:rPr>
    </w:lvl>
    <w:lvl w:ilvl="5">
      <w:start w:val="0"/>
      <w:numFmt w:val="bullet"/>
      <w:lvlText w:val="•"/>
      <w:lvlJc w:val="left"/>
      <w:pPr>
        <w:ind w:left="1358" w:hanging="101"/>
      </w:pPr>
      <w:rPr>
        <w:rFonts w:hint="default"/>
      </w:rPr>
    </w:lvl>
    <w:lvl w:ilvl="6">
      <w:start w:val="0"/>
      <w:numFmt w:val="bullet"/>
      <w:lvlText w:val="•"/>
      <w:lvlJc w:val="left"/>
      <w:pPr>
        <w:ind w:left="1610" w:hanging="101"/>
      </w:pPr>
      <w:rPr>
        <w:rFonts w:hint="default"/>
      </w:rPr>
    </w:lvl>
    <w:lvl w:ilvl="7">
      <w:start w:val="0"/>
      <w:numFmt w:val="bullet"/>
      <w:lvlText w:val="•"/>
      <w:lvlJc w:val="left"/>
      <w:pPr>
        <w:ind w:left="1861" w:hanging="101"/>
      </w:pPr>
      <w:rPr>
        <w:rFonts w:hint="default"/>
      </w:rPr>
    </w:lvl>
    <w:lvl w:ilvl="8">
      <w:start w:val="0"/>
      <w:numFmt w:val="bullet"/>
      <w:lvlText w:val="•"/>
      <w:lvlJc w:val="left"/>
      <w:pPr>
        <w:ind w:left="2113" w:hanging="101"/>
      </w:pPr>
      <w:rPr>
        <w:rFonts w:hint="default"/>
      </w:rPr>
    </w:lvl>
  </w:abstractNum>
  <w:abstractNum w:abstractNumId="24">
    <w:multiLevelType w:val="hybridMultilevel"/>
    <w:lvl w:ilvl="0">
      <w:start w:val="0"/>
      <w:numFmt w:val="bullet"/>
      <w:lvlText w:val="-"/>
      <w:lvlJc w:val="left"/>
      <w:pPr>
        <w:ind w:left="234" w:hanging="149"/>
      </w:pPr>
      <w:rPr>
        <w:rFonts w:hint="default" w:ascii="Times New Roman" w:hAnsi="Times New Roman" w:eastAsia="Times New Roman" w:cs="Times New Roman"/>
        <w:spacing w:val="-18"/>
        <w:w w:val="100"/>
        <w:sz w:val="18"/>
        <w:szCs w:val="18"/>
      </w:rPr>
    </w:lvl>
    <w:lvl w:ilvl="1">
      <w:start w:val="0"/>
      <w:numFmt w:val="bullet"/>
      <w:lvlText w:val="•"/>
      <w:lvlJc w:val="left"/>
      <w:pPr>
        <w:ind w:left="477" w:hanging="149"/>
      </w:pPr>
      <w:rPr>
        <w:rFonts w:hint="default"/>
      </w:rPr>
    </w:lvl>
    <w:lvl w:ilvl="2">
      <w:start w:val="0"/>
      <w:numFmt w:val="bullet"/>
      <w:lvlText w:val="•"/>
      <w:lvlJc w:val="left"/>
      <w:pPr>
        <w:ind w:left="715" w:hanging="149"/>
      </w:pPr>
      <w:rPr>
        <w:rFonts w:hint="default"/>
      </w:rPr>
    </w:lvl>
    <w:lvl w:ilvl="3">
      <w:start w:val="0"/>
      <w:numFmt w:val="bullet"/>
      <w:lvlText w:val="•"/>
      <w:lvlJc w:val="left"/>
      <w:pPr>
        <w:ind w:left="953" w:hanging="149"/>
      </w:pPr>
      <w:rPr>
        <w:rFonts w:hint="default"/>
      </w:rPr>
    </w:lvl>
    <w:lvl w:ilvl="4">
      <w:start w:val="0"/>
      <w:numFmt w:val="bullet"/>
      <w:lvlText w:val="•"/>
      <w:lvlJc w:val="left"/>
      <w:pPr>
        <w:ind w:left="1191" w:hanging="149"/>
      </w:pPr>
      <w:rPr>
        <w:rFonts w:hint="default"/>
      </w:rPr>
    </w:lvl>
    <w:lvl w:ilvl="5">
      <w:start w:val="0"/>
      <w:numFmt w:val="bullet"/>
      <w:lvlText w:val="•"/>
      <w:lvlJc w:val="left"/>
      <w:pPr>
        <w:ind w:left="1429" w:hanging="149"/>
      </w:pPr>
      <w:rPr>
        <w:rFonts w:hint="default"/>
      </w:rPr>
    </w:lvl>
    <w:lvl w:ilvl="6">
      <w:start w:val="0"/>
      <w:numFmt w:val="bullet"/>
      <w:lvlText w:val="•"/>
      <w:lvlJc w:val="left"/>
      <w:pPr>
        <w:ind w:left="1667" w:hanging="149"/>
      </w:pPr>
      <w:rPr>
        <w:rFonts w:hint="default"/>
      </w:rPr>
    </w:lvl>
    <w:lvl w:ilvl="7">
      <w:start w:val="0"/>
      <w:numFmt w:val="bullet"/>
      <w:lvlText w:val="•"/>
      <w:lvlJc w:val="left"/>
      <w:pPr>
        <w:ind w:left="1905" w:hanging="149"/>
      </w:pPr>
      <w:rPr>
        <w:rFonts w:hint="default"/>
      </w:rPr>
    </w:lvl>
    <w:lvl w:ilvl="8">
      <w:start w:val="0"/>
      <w:numFmt w:val="bullet"/>
      <w:lvlText w:val="•"/>
      <w:lvlJc w:val="left"/>
      <w:pPr>
        <w:ind w:left="2143" w:hanging="149"/>
      </w:pPr>
      <w:rPr>
        <w:rFonts w:hint="default"/>
      </w:rPr>
    </w:lvl>
  </w:abstractNum>
  <w:abstractNum w:abstractNumId="23">
    <w:multiLevelType w:val="hybridMultilevel"/>
    <w:lvl w:ilvl="0">
      <w:start w:val="1"/>
      <w:numFmt w:val="decimal"/>
      <w:lvlText w:val="%1."/>
      <w:lvlJc w:val="left"/>
      <w:pPr>
        <w:ind w:left="378" w:hanging="260"/>
        <w:jc w:val="left"/>
      </w:pPr>
      <w:rPr>
        <w:rFonts w:hint="default" w:ascii="Times New Roman" w:hAnsi="Times New Roman" w:eastAsia="Times New Roman" w:cs="Times New Roman"/>
        <w:b/>
        <w:bCs/>
        <w:spacing w:val="0"/>
        <w:w w:val="99"/>
        <w:sz w:val="20"/>
        <w:szCs w:val="20"/>
      </w:rPr>
    </w:lvl>
    <w:lvl w:ilvl="1">
      <w:start w:val="0"/>
      <w:numFmt w:val="bullet"/>
      <w:lvlText w:val="•"/>
      <w:lvlJc w:val="left"/>
      <w:pPr>
        <w:ind w:left="1280" w:hanging="260"/>
      </w:pPr>
      <w:rPr>
        <w:rFonts w:hint="default"/>
      </w:rPr>
    </w:lvl>
    <w:lvl w:ilvl="2">
      <w:start w:val="0"/>
      <w:numFmt w:val="bullet"/>
      <w:lvlText w:val="•"/>
      <w:lvlJc w:val="left"/>
      <w:pPr>
        <w:ind w:left="2180" w:hanging="260"/>
      </w:pPr>
      <w:rPr>
        <w:rFonts w:hint="default"/>
      </w:rPr>
    </w:lvl>
    <w:lvl w:ilvl="3">
      <w:start w:val="0"/>
      <w:numFmt w:val="bullet"/>
      <w:lvlText w:val="•"/>
      <w:lvlJc w:val="left"/>
      <w:pPr>
        <w:ind w:left="3080" w:hanging="260"/>
      </w:pPr>
      <w:rPr>
        <w:rFonts w:hint="default"/>
      </w:rPr>
    </w:lvl>
    <w:lvl w:ilvl="4">
      <w:start w:val="0"/>
      <w:numFmt w:val="bullet"/>
      <w:lvlText w:val="•"/>
      <w:lvlJc w:val="left"/>
      <w:pPr>
        <w:ind w:left="3980" w:hanging="260"/>
      </w:pPr>
      <w:rPr>
        <w:rFonts w:hint="default"/>
      </w:rPr>
    </w:lvl>
    <w:lvl w:ilvl="5">
      <w:start w:val="0"/>
      <w:numFmt w:val="bullet"/>
      <w:lvlText w:val="•"/>
      <w:lvlJc w:val="left"/>
      <w:pPr>
        <w:ind w:left="4880" w:hanging="260"/>
      </w:pPr>
      <w:rPr>
        <w:rFonts w:hint="default"/>
      </w:rPr>
    </w:lvl>
    <w:lvl w:ilvl="6">
      <w:start w:val="0"/>
      <w:numFmt w:val="bullet"/>
      <w:lvlText w:val="•"/>
      <w:lvlJc w:val="left"/>
      <w:pPr>
        <w:ind w:left="5780" w:hanging="260"/>
      </w:pPr>
      <w:rPr>
        <w:rFonts w:hint="default"/>
      </w:rPr>
    </w:lvl>
    <w:lvl w:ilvl="7">
      <w:start w:val="0"/>
      <w:numFmt w:val="bullet"/>
      <w:lvlText w:val="•"/>
      <w:lvlJc w:val="left"/>
      <w:pPr>
        <w:ind w:left="6680" w:hanging="260"/>
      </w:pPr>
      <w:rPr>
        <w:rFonts w:hint="default"/>
      </w:rPr>
    </w:lvl>
    <w:lvl w:ilvl="8">
      <w:start w:val="0"/>
      <w:numFmt w:val="bullet"/>
      <w:lvlText w:val="•"/>
      <w:lvlJc w:val="left"/>
      <w:pPr>
        <w:ind w:left="7580" w:hanging="260"/>
      </w:pPr>
      <w:rPr>
        <w:rFonts w:hint="default"/>
      </w:rPr>
    </w:lvl>
  </w:abstractNum>
  <w:abstractNum w:abstractNumId="22">
    <w:multiLevelType w:val="hybridMultilevel"/>
    <w:lvl w:ilvl="0">
      <w:start w:val="0"/>
      <w:numFmt w:val="bullet"/>
      <w:lvlText w:val="•"/>
      <w:lvlJc w:val="left"/>
      <w:pPr>
        <w:ind w:left="476" w:hanging="360"/>
      </w:pPr>
      <w:rPr>
        <w:rFonts w:hint="default" w:ascii="Symbol" w:hAnsi="Symbol" w:eastAsia="Symbol" w:cs="Symbol"/>
        <w:w w:val="99"/>
        <w:sz w:val="20"/>
        <w:szCs w:val="20"/>
      </w:rPr>
    </w:lvl>
    <w:lvl w:ilvl="1">
      <w:start w:val="0"/>
      <w:numFmt w:val="bullet"/>
      <w:lvlText w:val="•"/>
      <w:lvlJc w:val="left"/>
      <w:pPr>
        <w:ind w:left="1370" w:hanging="360"/>
      </w:pPr>
      <w:rPr>
        <w:rFonts w:hint="default"/>
      </w:rPr>
    </w:lvl>
    <w:lvl w:ilvl="2">
      <w:start w:val="0"/>
      <w:numFmt w:val="bullet"/>
      <w:lvlText w:val="•"/>
      <w:lvlJc w:val="left"/>
      <w:pPr>
        <w:ind w:left="2260" w:hanging="360"/>
      </w:pPr>
      <w:rPr>
        <w:rFonts w:hint="default"/>
      </w:rPr>
    </w:lvl>
    <w:lvl w:ilvl="3">
      <w:start w:val="0"/>
      <w:numFmt w:val="bullet"/>
      <w:lvlText w:val="•"/>
      <w:lvlJc w:val="left"/>
      <w:pPr>
        <w:ind w:left="3150" w:hanging="360"/>
      </w:pPr>
      <w:rPr>
        <w:rFonts w:hint="default"/>
      </w:rPr>
    </w:lvl>
    <w:lvl w:ilvl="4">
      <w:start w:val="0"/>
      <w:numFmt w:val="bullet"/>
      <w:lvlText w:val="•"/>
      <w:lvlJc w:val="left"/>
      <w:pPr>
        <w:ind w:left="4040" w:hanging="360"/>
      </w:pPr>
      <w:rPr>
        <w:rFonts w:hint="default"/>
      </w:rPr>
    </w:lvl>
    <w:lvl w:ilvl="5">
      <w:start w:val="0"/>
      <w:numFmt w:val="bullet"/>
      <w:lvlText w:val="•"/>
      <w:lvlJc w:val="left"/>
      <w:pPr>
        <w:ind w:left="4930" w:hanging="360"/>
      </w:pPr>
      <w:rPr>
        <w:rFonts w:hint="default"/>
      </w:rPr>
    </w:lvl>
    <w:lvl w:ilvl="6">
      <w:start w:val="0"/>
      <w:numFmt w:val="bullet"/>
      <w:lvlText w:val="•"/>
      <w:lvlJc w:val="left"/>
      <w:pPr>
        <w:ind w:left="5820" w:hanging="360"/>
      </w:pPr>
      <w:rPr>
        <w:rFonts w:hint="default"/>
      </w:rPr>
    </w:lvl>
    <w:lvl w:ilvl="7">
      <w:start w:val="0"/>
      <w:numFmt w:val="bullet"/>
      <w:lvlText w:val="•"/>
      <w:lvlJc w:val="left"/>
      <w:pPr>
        <w:ind w:left="6710" w:hanging="360"/>
      </w:pPr>
      <w:rPr>
        <w:rFonts w:hint="default"/>
      </w:rPr>
    </w:lvl>
    <w:lvl w:ilvl="8">
      <w:start w:val="0"/>
      <w:numFmt w:val="bullet"/>
      <w:lvlText w:val="•"/>
      <w:lvlJc w:val="left"/>
      <w:pPr>
        <w:ind w:left="7600" w:hanging="360"/>
      </w:pPr>
      <w:rPr>
        <w:rFonts w:hint="default"/>
      </w:rPr>
    </w:lvl>
  </w:abstractNum>
  <w:abstractNum w:abstractNumId="21">
    <w:multiLevelType w:val="hybridMultilevel"/>
    <w:lvl w:ilvl="0">
      <w:start w:val="2"/>
      <w:numFmt w:val="decimal"/>
      <w:lvlText w:val="%1"/>
      <w:lvlJc w:val="left"/>
      <w:pPr>
        <w:ind w:left="839" w:hanging="720"/>
        <w:jc w:val="left"/>
      </w:pPr>
      <w:rPr>
        <w:rFonts w:hint="default"/>
      </w:rPr>
    </w:lvl>
    <w:lvl w:ilvl="1">
      <w:start w:val="4"/>
      <w:numFmt w:val="decimal"/>
      <w:lvlText w:val="%1.%2"/>
      <w:lvlJc w:val="left"/>
      <w:pPr>
        <w:ind w:left="839" w:hanging="720"/>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127" w:hanging="1008"/>
        <w:jc w:val="lef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55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3515" w:hanging="1440"/>
      </w:pPr>
      <w:rPr>
        <w:rFonts w:hint="default"/>
      </w:rPr>
    </w:lvl>
    <w:lvl w:ilvl="5">
      <w:start w:val="0"/>
      <w:numFmt w:val="bullet"/>
      <w:lvlText w:val="•"/>
      <w:lvlJc w:val="left"/>
      <w:pPr>
        <w:ind w:left="4492" w:hanging="1440"/>
      </w:pPr>
      <w:rPr>
        <w:rFonts w:hint="default"/>
      </w:rPr>
    </w:lvl>
    <w:lvl w:ilvl="6">
      <w:start w:val="0"/>
      <w:numFmt w:val="bullet"/>
      <w:lvlText w:val="•"/>
      <w:lvlJc w:val="left"/>
      <w:pPr>
        <w:ind w:left="5470" w:hanging="1440"/>
      </w:pPr>
      <w:rPr>
        <w:rFonts w:hint="default"/>
      </w:rPr>
    </w:lvl>
    <w:lvl w:ilvl="7">
      <w:start w:val="0"/>
      <w:numFmt w:val="bullet"/>
      <w:lvlText w:val="•"/>
      <w:lvlJc w:val="left"/>
      <w:pPr>
        <w:ind w:left="6447" w:hanging="1440"/>
      </w:pPr>
      <w:rPr>
        <w:rFonts w:hint="default"/>
      </w:rPr>
    </w:lvl>
    <w:lvl w:ilvl="8">
      <w:start w:val="0"/>
      <w:numFmt w:val="bullet"/>
      <w:lvlText w:val="•"/>
      <w:lvlJc w:val="left"/>
      <w:pPr>
        <w:ind w:left="7425" w:hanging="1440"/>
      </w:pPr>
      <w:rPr>
        <w:rFonts w:hint="default"/>
      </w:rPr>
    </w:lvl>
  </w:abstractNum>
  <w:abstractNum w:abstractNumId="20">
    <w:multiLevelType w:val="hybridMultilevel"/>
    <w:lvl w:ilvl="0">
      <w:start w:val="0"/>
      <w:numFmt w:val="bullet"/>
      <w:lvlText w:val="•"/>
      <w:lvlJc w:val="left"/>
      <w:pPr>
        <w:ind w:left="468" w:hanging="360"/>
      </w:pPr>
      <w:rPr>
        <w:rFonts w:hint="default" w:ascii="Symbol" w:hAnsi="Symbol" w:eastAsia="Symbol" w:cs="Symbol"/>
        <w:spacing w:val="-4"/>
        <w:w w:val="100"/>
        <w:sz w:val="18"/>
        <w:szCs w:val="18"/>
      </w:rPr>
    </w:lvl>
    <w:lvl w:ilvl="1">
      <w:start w:val="0"/>
      <w:numFmt w:val="bullet"/>
      <w:lvlText w:val="•"/>
      <w:lvlJc w:val="left"/>
      <w:pPr>
        <w:ind w:left="693" w:hanging="360"/>
      </w:pPr>
      <w:rPr>
        <w:rFonts w:hint="default"/>
      </w:rPr>
    </w:lvl>
    <w:lvl w:ilvl="2">
      <w:start w:val="0"/>
      <w:numFmt w:val="bullet"/>
      <w:lvlText w:val="•"/>
      <w:lvlJc w:val="left"/>
      <w:pPr>
        <w:ind w:left="926" w:hanging="360"/>
      </w:pPr>
      <w:rPr>
        <w:rFonts w:hint="default"/>
      </w:rPr>
    </w:lvl>
    <w:lvl w:ilvl="3">
      <w:start w:val="0"/>
      <w:numFmt w:val="bullet"/>
      <w:lvlText w:val="•"/>
      <w:lvlJc w:val="left"/>
      <w:pPr>
        <w:ind w:left="1159" w:hanging="360"/>
      </w:pPr>
      <w:rPr>
        <w:rFonts w:hint="default"/>
      </w:rPr>
    </w:lvl>
    <w:lvl w:ilvl="4">
      <w:start w:val="0"/>
      <w:numFmt w:val="bullet"/>
      <w:lvlText w:val="•"/>
      <w:lvlJc w:val="left"/>
      <w:pPr>
        <w:ind w:left="1392" w:hanging="360"/>
      </w:pPr>
      <w:rPr>
        <w:rFonts w:hint="default"/>
      </w:rPr>
    </w:lvl>
    <w:lvl w:ilvl="5">
      <w:start w:val="0"/>
      <w:numFmt w:val="bullet"/>
      <w:lvlText w:val="•"/>
      <w:lvlJc w:val="left"/>
      <w:pPr>
        <w:ind w:left="1625" w:hanging="360"/>
      </w:pPr>
      <w:rPr>
        <w:rFonts w:hint="default"/>
      </w:rPr>
    </w:lvl>
    <w:lvl w:ilvl="6">
      <w:start w:val="0"/>
      <w:numFmt w:val="bullet"/>
      <w:lvlText w:val="•"/>
      <w:lvlJc w:val="left"/>
      <w:pPr>
        <w:ind w:left="1858" w:hanging="360"/>
      </w:pPr>
      <w:rPr>
        <w:rFonts w:hint="default"/>
      </w:rPr>
    </w:lvl>
    <w:lvl w:ilvl="7">
      <w:start w:val="0"/>
      <w:numFmt w:val="bullet"/>
      <w:lvlText w:val="•"/>
      <w:lvlJc w:val="left"/>
      <w:pPr>
        <w:ind w:left="2091" w:hanging="360"/>
      </w:pPr>
      <w:rPr>
        <w:rFonts w:hint="default"/>
      </w:rPr>
    </w:lvl>
    <w:lvl w:ilvl="8">
      <w:start w:val="0"/>
      <w:numFmt w:val="bullet"/>
      <w:lvlText w:val="•"/>
      <w:lvlJc w:val="left"/>
      <w:pPr>
        <w:ind w:left="2324" w:hanging="360"/>
      </w:pPr>
      <w:rPr>
        <w:rFonts w:hint="default"/>
      </w:rPr>
    </w:lvl>
  </w:abstractNum>
  <w:abstractNum w:abstractNumId="19">
    <w:multiLevelType w:val="hybridMultilevel"/>
    <w:lvl w:ilvl="0">
      <w:start w:val="0"/>
      <w:numFmt w:val="bullet"/>
      <w:lvlText w:val="•"/>
      <w:lvlJc w:val="left"/>
      <w:pPr>
        <w:ind w:left="468" w:hanging="360"/>
      </w:pPr>
      <w:rPr>
        <w:rFonts w:hint="default" w:ascii="Symbol" w:hAnsi="Symbol" w:eastAsia="Symbol" w:cs="Symbol"/>
        <w:spacing w:val="-4"/>
        <w:w w:val="100"/>
        <w:sz w:val="18"/>
        <w:szCs w:val="18"/>
      </w:rPr>
    </w:lvl>
    <w:lvl w:ilvl="1">
      <w:start w:val="0"/>
      <w:numFmt w:val="bullet"/>
      <w:lvlText w:val="•"/>
      <w:lvlJc w:val="left"/>
      <w:pPr>
        <w:ind w:left="693" w:hanging="360"/>
      </w:pPr>
      <w:rPr>
        <w:rFonts w:hint="default"/>
      </w:rPr>
    </w:lvl>
    <w:lvl w:ilvl="2">
      <w:start w:val="0"/>
      <w:numFmt w:val="bullet"/>
      <w:lvlText w:val="•"/>
      <w:lvlJc w:val="left"/>
      <w:pPr>
        <w:ind w:left="926" w:hanging="360"/>
      </w:pPr>
      <w:rPr>
        <w:rFonts w:hint="default"/>
      </w:rPr>
    </w:lvl>
    <w:lvl w:ilvl="3">
      <w:start w:val="0"/>
      <w:numFmt w:val="bullet"/>
      <w:lvlText w:val="•"/>
      <w:lvlJc w:val="left"/>
      <w:pPr>
        <w:ind w:left="1159" w:hanging="360"/>
      </w:pPr>
      <w:rPr>
        <w:rFonts w:hint="default"/>
      </w:rPr>
    </w:lvl>
    <w:lvl w:ilvl="4">
      <w:start w:val="0"/>
      <w:numFmt w:val="bullet"/>
      <w:lvlText w:val="•"/>
      <w:lvlJc w:val="left"/>
      <w:pPr>
        <w:ind w:left="1392" w:hanging="360"/>
      </w:pPr>
      <w:rPr>
        <w:rFonts w:hint="default"/>
      </w:rPr>
    </w:lvl>
    <w:lvl w:ilvl="5">
      <w:start w:val="0"/>
      <w:numFmt w:val="bullet"/>
      <w:lvlText w:val="•"/>
      <w:lvlJc w:val="left"/>
      <w:pPr>
        <w:ind w:left="1625" w:hanging="360"/>
      </w:pPr>
      <w:rPr>
        <w:rFonts w:hint="default"/>
      </w:rPr>
    </w:lvl>
    <w:lvl w:ilvl="6">
      <w:start w:val="0"/>
      <w:numFmt w:val="bullet"/>
      <w:lvlText w:val="•"/>
      <w:lvlJc w:val="left"/>
      <w:pPr>
        <w:ind w:left="1858" w:hanging="360"/>
      </w:pPr>
      <w:rPr>
        <w:rFonts w:hint="default"/>
      </w:rPr>
    </w:lvl>
    <w:lvl w:ilvl="7">
      <w:start w:val="0"/>
      <w:numFmt w:val="bullet"/>
      <w:lvlText w:val="•"/>
      <w:lvlJc w:val="left"/>
      <w:pPr>
        <w:ind w:left="2091" w:hanging="360"/>
      </w:pPr>
      <w:rPr>
        <w:rFonts w:hint="default"/>
      </w:rPr>
    </w:lvl>
    <w:lvl w:ilvl="8">
      <w:start w:val="0"/>
      <w:numFmt w:val="bullet"/>
      <w:lvlText w:val="•"/>
      <w:lvlJc w:val="left"/>
      <w:pPr>
        <w:ind w:left="2324" w:hanging="360"/>
      </w:pPr>
      <w:rPr>
        <w:rFonts w:hint="default"/>
      </w:rPr>
    </w:lvl>
  </w:abstractNum>
  <w:abstractNum w:abstractNumId="18">
    <w:multiLevelType w:val="hybridMultilevel"/>
    <w:lvl w:ilvl="0">
      <w:start w:val="0"/>
      <w:numFmt w:val="bullet"/>
      <w:lvlText w:val="•"/>
      <w:lvlJc w:val="left"/>
      <w:pPr>
        <w:ind w:left="468" w:hanging="360"/>
      </w:pPr>
      <w:rPr>
        <w:rFonts w:hint="default" w:ascii="Symbol" w:hAnsi="Symbol" w:eastAsia="Symbol" w:cs="Symbol"/>
        <w:spacing w:val="-3"/>
        <w:w w:val="100"/>
        <w:sz w:val="18"/>
        <w:szCs w:val="18"/>
      </w:rPr>
    </w:lvl>
    <w:lvl w:ilvl="1">
      <w:start w:val="0"/>
      <w:numFmt w:val="bullet"/>
      <w:lvlText w:val="•"/>
      <w:lvlJc w:val="left"/>
      <w:pPr>
        <w:ind w:left="693" w:hanging="360"/>
      </w:pPr>
      <w:rPr>
        <w:rFonts w:hint="default"/>
      </w:rPr>
    </w:lvl>
    <w:lvl w:ilvl="2">
      <w:start w:val="0"/>
      <w:numFmt w:val="bullet"/>
      <w:lvlText w:val="•"/>
      <w:lvlJc w:val="left"/>
      <w:pPr>
        <w:ind w:left="926" w:hanging="360"/>
      </w:pPr>
      <w:rPr>
        <w:rFonts w:hint="default"/>
      </w:rPr>
    </w:lvl>
    <w:lvl w:ilvl="3">
      <w:start w:val="0"/>
      <w:numFmt w:val="bullet"/>
      <w:lvlText w:val="•"/>
      <w:lvlJc w:val="left"/>
      <w:pPr>
        <w:ind w:left="1159" w:hanging="360"/>
      </w:pPr>
      <w:rPr>
        <w:rFonts w:hint="default"/>
      </w:rPr>
    </w:lvl>
    <w:lvl w:ilvl="4">
      <w:start w:val="0"/>
      <w:numFmt w:val="bullet"/>
      <w:lvlText w:val="•"/>
      <w:lvlJc w:val="left"/>
      <w:pPr>
        <w:ind w:left="1392" w:hanging="360"/>
      </w:pPr>
      <w:rPr>
        <w:rFonts w:hint="default"/>
      </w:rPr>
    </w:lvl>
    <w:lvl w:ilvl="5">
      <w:start w:val="0"/>
      <w:numFmt w:val="bullet"/>
      <w:lvlText w:val="•"/>
      <w:lvlJc w:val="left"/>
      <w:pPr>
        <w:ind w:left="1625" w:hanging="360"/>
      </w:pPr>
      <w:rPr>
        <w:rFonts w:hint="default"/>
      </w:rPr>
    </w:lvl>
    <w:lvl w:ilvl="6">
      <w:start w:val="0"/>
      <w:numFmt w:val="bullet"/>
      <w:lvlText w:val="•"/>
      <w:lvlJc w:val="left"/>
      <w:pPr>
        <w:ind w:left="1858" w:hanging="360"/>
      </w:pPr>
      <w:rPr>
        <w:rFonts w:hint="default"/>
      </w:rPr>
    </w:lvl>
    <w:lvl w:ilvl="7">
      <w:start w:val="0"/>
      <w:numFmt w:val="bullet"/>
      <w:lvlText w:val="•"/>
      <w:lvlJc w:val="left"/>
      <w:pPr>
        <w:ind w:left="2091" w:hanging="360"/>
      </w:pPr>
      <w:rPr>
        <w:rFonts w:hint="default"/>
      </w:rPr>
    </w:lvl>
    <w:lvl w:ilvl="8">
      <w:start w:val="0"/>
      <w:numFmt w:val="bullet"/>
      <w:lvlText w:val="•"/>
      <w:lvlJc w:val="left"/>
      <w:pPr>
        <w:ind w:left="2324" w:hanging="360"/>
      </w:pPr>
      <w:rPr>
        <w:rFonts w:hint="default"/>
      </w:rPr>
    </w:lvl>
  </w:abstractNum>
  <w:abstractNum w:abstractNumId="17">
    <w:multiLevelType w:val="hybridMultilevel"/>
    <w:lvl w:ilvl="0">
      <w:start w:val="0"/>
      <w:numFmt w:val="bullet"/>
      <w:lvlText w:val="•"/>
      <w:lvlJc w:val="left"/>
      <w:pPr>
        <w:ind w:left="468" w:hanging="360"/>
      </w:pPr>
      <w:rPr>
        <w:rFonts w:hint="default" w:ascii="Symbol" w:hAnsi="Symbol" w:eastAsia="Symbol" w:cs="Symbol"/>
        <w:spacing w:val="-3"/>
        <w:w w:val="100"/>
        <w:sz w:val="18"/>
        <w:szCs w:val="18"/>
      </w:rPr>
    </w:lvl>
    <w:lvl w:ilvl="1">
      <w:start w:val="0"/>
      <w:numFmt w:val="bullet"/>
      <w:lvlText w:val="•"/>
      <w:lvlJc w:val="left"/>
      <w:pPr>
        <w:ind w:left="693" w:hanging="360"/>
      </w:pPr>
      <w:rPr>
        <w:rFonts w:hint="default"/>
      </w:rPr>
    </w:lvl>
    <w:lvl w:ilvl="2">
      <w:start w:val="0"/>
      <w:numFmt w:val="bullet"/>
      <w:lvlText w:val="•"/>
      <w:lvlJc w:val="left"/>
      <w:pPr>
        <w:ind w:left="926" w:hanging="360"/>
      </w:pPr>
      <w:rPr>
        <w:rFonts w:hint="default"/>
      </w:rPr>
    </w:lvl>
    <w:lvl w:ilvl="3">
      <w:start w:val="0"/>
      <w:numFmt w:val="bullet"/>
      <w:lvlText w:val="•"/>
      <w:lvlJc w:val="left"/>
      <w:pPr>
        <w:ind w:left="1159" w:hanging="360"/>
      </w:pPr>
      <w:rPr>
        <w:rFonts w:hint="default"/>
      </w:rPr>
    </w:lvl>
    <w:lvl w:ilvl="4">
      <w:start w:val="0"/>
      <w:numFmt w:val="bullet"/>
      <w:lvlText w:val="•"/>
      <w:lvlJc w:val="left"/>
      <w:pPr>
        <w:ind w:left="1392" w:hanging="360"/>
      </w:pPr>
      <w:rPr>
        <w:rFonts w:hint="default"/>
      </w:rPr>
    </w:lvl>
    <w:lvl w:ilvl="5">
      <w:start w:val="0"/>
      <w:numFmt w:val="bullet"/>
      <w:lvlText w:val="•"/>
      <w:lvlJc w:val="left"/>
      <w:pPr>
        <w:ind w:left="1625" w:hanging="360"/>
      </w:pPr>
      <w:rPr>
        <w:rFonts w:hint="default"/>
      </w:rPr>
    </w:lvl>
    <w:lvl w:ilvl="6">
      <w:start w:val="0"/>
      <w:numFmt w:val="bullet"/>
      <w:lvlText w:val="•"/>
      <w:lvlJc w:val="left"/>
      <w:pPr>
        <w:ind w:left="1858" w:hanging="360"/>
      </w:pPr>
      <w:rPr>
        <w:rFonts w:hint="default"/>
      </w:rPr>
    </w:lvl>
    <w:lvl w:ilvl="7">
      <w:start w:val="0"/>
      <w:numFmt w:val="bullet"/>
      <w:lvlText w:val="•"/>
      <w:lvlJc w:val="left"/>
      <w:pPr>
        <w:ind w:left="2091" w:hanging="360"/>
      </w:pPr>
      <w:rPr>
        <w:rFonts w:hint="default"/>
      </w:rPr>
    </w:lvl>
    <w:lvl w:ilvl="8">
      <w:start w:val="0"/>
      <w:numFmt w:val="bullet"/>
      <w:lvlText w:val="•"/>
      <w:lvlJc w:val="left"/>
      <w:pPr>
        <w:ind w:left="2324" w:hanging="360"/>
      </w:pPr>
      <w:rPr>
        <w:rFonts w:hint="default"/>
      </w:rPr>
    </w:lvl>
  </w:abstractNum>
  <w:abstractNum w:abstractNumId="16">
    <w:multiLevelType w:val="hybridMultilevel"/>
    <w:lvl w:ilvl="0">
      <w:start w:val="0"/>
      <w:numFmt w:val="bullet"/>
      <w:lvlText w:val="•"/>
      <w:lvlJc w:val="left"/>
      <w:pPr>
        <w:ind w:left="469" w:hanging="360"/>
      </w:pPr>
      <w:rPr>
        <w:rFonts w:hint="default" w:ascii="Symbol" w:hAnsi="Symbol" w:eastAsia="Symbol" w:cs="Symbol"/>
        <w:spacing w:val="-3"/>
        <w:w w:val="100"/>
        <w:sz w:val="18"/>
        <w:szCs w:val="18"/>
      </w:rPr>
    </w:lvl>
    <w:lvl w:ilvl="1">
      <w:start w:val="0"/>
      <w:numFmt w:val="bullet"/>
      <w:lvlText w:val="•"/>
      <w:lvlJc w:val="left"/>
      <w:pPr>
        <w:ind w:left="664" w:hanging="360"/>
      </w:pPr>
      <w:rPr>
        <w:rFonts w:hint="default"/>
      </w:rPr>
    </w:lvl>
    <w:lvl w:ilvl="2">
      <w:start w:val="0"/>
      <w:numFmt w:val="bullet"/>
      <w:lvlText w:val="•"/>
      <w:lvlJc w:val="left"/>
      <w:pPr>
        <w:ind w:left="868" w:hanging="360"/>
      </w:pPr>
      <w:rPr>
        <w:rFonts w:hint="default"/>
      </w:rPr>
    </w:lvl>
    <w:lvl w:ilvl="3">
      <w:start w:val="0"/>
      <w:numFmt w:val="bullet"/>
      <w:lvlText w:val="•"/>
      <w:lvlJc w:val="left"/>
      <w:pPr>
        <w:ind w:left="1072" w:hanging="360"/>
      </w:pPr>
      <w:rPr>
        <w:rFonts w:hint="default"/>
      </w:rPr>
    </w:lvl>
    <w:lvl w:ilvl="4">
      <w:start w:val="0"/>
      <w:numFmt w:val="bullet"/>
      <w:lvlText w:val="•"/>
      <w:lvlJc w:val="left"/>
      <w:pPr>
        <w:ind w:left="1276" w:hanging="360"/>
      </w:pPr>
      <w:rPr>
        <w:rFonts w:hint="default"/>
      </w:rPr>
    </w:lvl>
    <w:lvl w:ilvl="5">
      <w:start w:val="0"/>
      <w:numFmt w:val="bullet"/>
      <w:lvlText w:val="•"/>
      <w:lvlJc w:val="left"/>
      <w:pPr>
        <w:ind w:left="1480" w:hanging="360"/>
      </w:pPr>
      <w:rPr>
        <w:rFonts w:hint="default"/>
      </w:rPr>
    </w:lvl>
    <w:lvl w:ilvl="6">
      <w:start w:val="0"/>
      <w:numFmt w:val="bullet"/>
      <w:lvlText w:val="•"/>
      <w:lvlJc w:val="left"/>
      <w:pPr>
        <w:ind w:left="1684" w:hanging="360"/>
      </w:pPr>
      <w:rPr>
        <w:rFonts w:hint="default"/>
      </w:rPr>
    </w:lvl>
    <w:lvl w:ilvl="7">
      <w:start w:val="0"/>
      <w:numFmt w:val="bullet"/>
      <w:lvlText w:val="•"/>
      <w:lvlJc w:val="left"/>
      <w:pPr>
        <w:ind w:left="1888" w:hanging="360"/>
      </w:pPr>
      <w:rPr>
        <w:rFonts w:hint="default"/>
      </w:rPr>
    </w:lvl>
    <w:lvl w:ilvl="8">
      <w:start w:val="0"/>
      <w:numFmt w:val="bullet"/>
      <w:lvlText w:val="•"/>
      <w:lvlJc w:val="left"/>
      <w:pPr>
        <w:ind w:left="2092" w:hanging="360"/>
      </w:pPr>
      <w:rPr>
        <w:rFonts w:hint="default"/>
      </w:rPr>
    </w:lvl>
  </w:abstractNum>
  <w:abstractNum w:abstractNumId="15">
    <w:multiLevelType w:val="hybridMultilevel"/>
    <w:lvl w:ilvl="0">
      <w:start w:val="1"/>
      <w:numFmt w:val="lowerRoman"/>
      <w:lvlText w:val="(%1)"/>
      <w:lvlJc w:val="left"/>
      <w:pPr>
        <w:ind w:left="659" w:hanging="241"/>
        <w:jc w:val="left"/>
      </w:pPr>
      <w:rPr>
        <w:rFonts w:hint="default" w:ascii="Times New Roman" w:hAnsi="Times New Roman" w:eastAsia="Times New Roman" w:cs="Times New Roman"/>
        <w:b/>
        <w:bCs/>
        <w:w w:val="99"/>
        <w:sz w:val="20"/>
        <w:szCs w:val="20"/>
      </w:rPr>
    </w:lvl>
    <w:lvl w:ilvl="1">
      <w:start w:val="0"/>
      <w:numFmt w:val="bullet"/>
      <w:lvlText w:val="•"/>
      <w:lvlJc w:val="left"/>
      <w:pPr>
        <w:ind w:left="1598" w:hanging="241"/>
      </w:pPr>
      <w:rPr>
        <w:rFonts w:hint="default"/>
      </w:rPr>
    </w:lvl>
    <w:lvl w:ilvl="2">
      <w:start w:val="0"/>
      <w:numFmt w:val="bullet"/>
      <w:lvlText w:val="•"/>
      <w:lvlJc w:val="left"/>
      <w:pPr>
        <w:ind w:left="2536" w:hanging="241"/>
      </w:pPr>
      <w:rPr>
        <w:rFonts w:hint="default"/>
      </w:rPr>
    </w:lvl>
    <w:lvl w:ilvl="3">
      <w:start w:val="0"/>
      <w:numFmt w:val="bullet"/>
      <w:lvlText w:val="•"/>
      <w:lvlJc w:val="left"/>
      <w:pPr>
        <w:ind w:left="3474" w:hanging="241"/>
      </w:pPr>
      <w:rPr>
        <w:rFonts w:hint="default"/>
      </w:rPr>
    </w:lvl>
    <w:lvl w:ilvl="4">
      <w:start w:val="0"/>
      <w:numFmt w:val="bullet"/>
      <w:lvlText w:val="•"/>
      <w:lvlJc w:val="left"/>
      <w:pPr>
        <w:ind w:left="4412" w:hanging="241"/>
      </w:pPr>
      <w:rPr>
        <w:rFonts w:hint="default"/>
      </w:rPr>
    </w:lvl>
    <w:lvl w:ilvl="5">
      <w:start w:val="0"/>
      <w:numFmt w:val="bullet"/>
      <w:lvlText w:val="•"/>
      <w:lvlJc w:val="left"/>
      <w:pPr>
        <w:ind w:left="5350" w:hanging="241"/>
      </w:pPr>
      <w:rPr>
        <w:rFonts w:hint="default"/>
      </w:rPr>
    </w:lvl>
    <w:lvl w:ilvl="6">
      <w:start w:val="0"/>
      <w:numFmt w:val="bullet"/>
      <w:lvlText w:val="•"/>
      <w:lvlJc w:val="left"/>
      <w:pPr>
        <w:ind w:left="6288" w:hanging="241"/>
      </w:pPr>
      <w:rPr>
        <w:rFonts w:hint="default"/>
      </w:rPr>
    </w:lvl>
    <w:lvl w:ilvl="7">
      <w:start w:val="0"/>
      <w:numFmt w:val="bullet"/>
      <w:lvlText w:val="•"/>
      <w:lvlJc w:val="left"/>
      <w:pPr>
        <w:ind w:left="7226" w:hanging="241"/>
      </w:pPr>
      <w:rPr>
        <w:rFonts w:hint="default"/>
      </w:rPr>
    </w:lvl>
    <w:lvl w:ilvl="8">
      <w:start w:val="0"/>
      <w:numFmt w:val="bullet"/>
      <w:lvlText w:val="•"/>
      <w:lvlJc w:val="left"/>
      <w:pPr>
        <w:ind w:left="8164" w:hanging="241"/>
      </w:pPr>
      <w:rPr>
        <w:rFonts w:hint="default"/>
      </w:rPr>
    </w:lvl>
  </w:abstractNum>
  <w:abstractNum w:abstractNumId="14">
    <w:multiLevelType w:val="hybridMultilevel"/>
    <w:lvl w:ilvl="0">
      <w:start w:val="2"/>
      <w:numFmt w:val="decimal"/>
      <w:lvlText w:val="%1"/>
      <w:lvlJc w:val="left"/>
      <w:pPr>
        <w:ind w:left="1621" w:hanging="1203"/>
        <w:jc w:val="left"/>
      </w:pPr>
      <w:rPr>
        <w:rFonts w:hint="default"/>
      </w:rPr>
    </w:lvl>
    <w:lvl w:ilvl="1">
      <w:start w:val="1"/>
      <w:numFmt w:val="decimal"/>
      <w:lvlText w:val="%1.%2"/>
      <w:lvlJc w:val="left"/>
      <w:pPr>
        <w:ind w:left="1621" w:hanging="1203"/>
        <w:jc w:val="left"/>
      </w:pPr>
      <w:rPr>
        <w:rFonts w:hint="default" w:ascii="Times New Roman" w:hAnsi="Times New Roman" w:eastAsia="Times New Roman" w:cs="Times New Roman"/>
        <w:b/>
        <w:bCs/>
        <w:spacing w:val="0"/>
        <w:w w:val="99"/>
        <w:sz w:val="32"/>
        <w:szCs w:val="32"/>
      </w:rPr>
    </w:lvl>
    <w:lvl w:ilvl="2">
      <w:start w:val="1"/>
      <w:numFmt w:val="decimal"/>
      <w:lvlText w:val="%1.%2.%3"/>
      <w:lvlJc w:val="left"/>
      <w:pPr>
        <w:ind w:left="1427" w:hanging="1008"/>
        <w:jc w:val="right"/>
      </w:pPr>
      <w:rPr>
        <w:rFonts w:hint="default" w:ascii="Times New Roman" w:hAnsi="Times New Roman" w:eastAsia="Times New Roman" w:cs="Times New Roman"/>
        <w:b/>
        <w:bCs/>
        <w:spacing w:val="0"/>
        <w:w w:val="99"/>
        <w:sz w:val="32"/>
        <w:szCs w:val="32"/>
      </w:rPr>
    </w:lvl>
    <w:lvl w:ilvl="3">
      <w:start w:val="1"/>
      <w:numFmt w:val="decimal"/>
      <w:lvlText w:val="%1.%2.%3.%4"/>
      <w:lvlJc w:val="left"/>
      <w:pPr>
        <w:ind w:left="1859" w:hanging="1440"/>
        <w:jc w:val="left"/>
      </w:pPr>
      <w:rPr>
        <w:rFonts w:hint="default" w:ascii="Times New Roman" w:hAnsi="Times New Roman" w:eastAsia="Times New Roman" w:cs="Times New Roman"/>
        <w:b/>
        <w:bCs/>
        <w:spacing w:val="0"/>
        <w:w w:val="100"/>
        <w:sz w:val="28"/>
        <w:szCs w:val="28"/>
      </w:rPr>
    </w:lvl>
    <w:lvl w:ilvl="4">
      <w:start w:val="0"/>
      <w:numFmt w:val="bullet"/>
      <w:lvlText w:val="•"/>
      <w:lvlJc w:val="left"/>
      <w:pPr>
        <w:ind w:left="3905" w:hanging="1440"/>
      </w:pPr>
      <w:rPr>
        <w:rFonts w:hint="default"/>
      </w:rPr>
    </w:lvl>
    <w:lvl w:ilvl="5">
      <w:start w:val="0"/>
      <w:numFmt w:val="bullet"/>
      <w:lvlText w:val="•"/>
      <w:lvlJc w:val="left"/>
      <w:pPr>
        <w:ind w:left="4927" w:hanging="1440"/>
      </w:pPr>
      <w:rPr>
        <w:rFonts w:hint="default"/>
      </w:rPr>
    </w:lvl>
    <w:lvl w:ilvl="6">
      <w:start w:val="0"/>
      <w:numFmt w:val="bullet"/>
      <w:lvlText w:val="•"/>
      <w:lvlJc w:val="left"/>
      <w:pPr>
        <w:ind w:left="5950" w:hanging="1440"/>
      </w:pPr>
      <w:rPr>
        <w:rFonts w:hint="default"/>
      </w:rPr>
    </w:lvl>
    <w:lvl w:ilvl="7">
      <w:start w:val="0"/>
      <w:numFmt w:val="bullet"/>
      <w:lvlText w:val="•"/>
      <w:lvlJc w:val="left"/>
      <w:pPr>
        <w:ind w:left="6972" w:hanging="1440"/>
      </w:pPr>
      <w:rPr>
        <w:rFonts w:hint="default"/>
      </w:rPr>
    </w:lvl>
    <w:lvl w:ilvl="8">
      <w:start w:val="0"/>
      <w:numFmt w:val="bullet"/>
      <w:lvlText w:val="•"/>
      <w:lvlJc w:val="left"/>
      <w:pPr>
        <w:ind w:left="7995" w:hanging="1440"/>
      </w:pPr>
      <w:rPr>
        <w:rFonts w:hint="default"/>
      </w:rPr>
    </w:lvl>
  </w:abstractNum>
  <w:abstractNum w:abstractNumId="13">
    <w:multiLevelType w:val="hybridMultilevel"/>
    <w:lvl w:ilvl="0">
      <w:start w:val="2"/>
      <w:numFmt w:val="decimal"/>
      <w:lvlText w:val="%1"/>
      <w:lvlJc w:val="left"/>
      <w:pPr>
        <w:ind w:left="1439" w:hanging="737"/>
        <w:jc w:val="left"/>
      </w:pPr>
      <w:rPr>
        <w:rFonts w:hint="default"/>
      </w:rPr>
    </w:lvl>
    <w:lvl w:ilvl="1">
      <w:start w:val="4"/>
      <w:numFmt w:val="decimal"/>
      <w:lvlText w:val="%1.%2"/>
      <w:lvlJc w:val="left"/>
      <w:pPr>
        <w:ind w:left="1439" w:hanging="737"/>
        <w:jc w:val="left"/>
      </w:pPr>
      <w:rPr>
        <w:rFonts w:hint="default"/>
      </w:rPr>
    </w:lvl>
    <w:lvl w:ilvl="2">
      <w:start w:val="1"/>
      <w:numFmt w:val="decimal"/>
      <w:lvlText w:val="%1.%2.%3"/>
      <w:lvlJc w:val="left"/>
      <w:pPr>
        <w:ind w:left="1439" w:hanging="737"/>
        <w:jc w:val="left"/>
      </w:pPr>
      <w:rPr>
        <w:rFonts w:hint="default" w:ascii="Times New Roman" w:hAnsi="Times New Roman" w:eastAsia="Times New Roman" w:cs="Times New Roman"/>
        <w:w w:val="99"/>
        <w:sz w:val="20"/>
        <w:szCs w:val="20"/>
      </w:rPr>
    </w:lvl>
    <w:lvl w:ilvl="3">
      <w:start w:val="1"/>
      <w:numFmt w:val="decimal"/>
      <w:lvlText w:val="%1.%2.%3.%4"/>
      <w:lvlJc w:val="left"/>
      <w:pPr>
        <w:ind w:left="1722" w:hanging="737"/>
        <w:jc w:val="left"/>
      </w:pPr>
      <w:rPr>
        <w:rFonts w:hint="default" w:ascii="Times New Roman" w:hAnsi="Times New Roman" w:eastAsia="Times New Roman" w:cs="Times New Roman"/>
        <w:spacing w:val="-2"/>
        <w:w w:val="99"/>
        <w:sz w:val="20"/>
        <w:szCs w:val="20"/>
      </w:rPr>
    </w:lvl>
    <w:lvl w:ilvl="4">
      <w:start w:val="0"/>
      <w:numFmt w:val="bullet"/>
      <w:lvlText w:val="•"/>
      <w:lvlJc w:val="left"/>
      <w:pPr>
        <w:ind w:left="4493" w:hanging="737"/>
      </w:pPr>
      <w:rPr>
        <w:rFonts w:hint="default"/>
      </w:rPr>
    </w:lvl>
    <w:lvl w:ilvl="5">
      <w:start w:val="0"/>
      <w:numFmt w:val="bullet"/>
      <w:lvlText w:val="•"/>
      <w:lvlJc w:val="left"/>
      <w:pPr>
        <w:ind w:left="5417" w:hanging="737"/>
      </w:pPr>
      <w:rPr>
        <w:rFonts w:hint="default"/>
      </w:rPr>
    </w:lvl>
    <w:lvl w:ilvl="6">
      <w:start w:val="0"/>
      <w:numFmt w:val="bullet"/>
      <w:lvlText w:val="•"/>
      <w:lvlJc w:val="left"/>
      <w:pPr>
        <w:ind w:left="6342" w:hanging="737"/>
      </w:pPr>
      <w:rPr>
        <w:rFonts w:hint="default"/>
      </w:rPr>
    </w:lvl>
    <w:lvl w:ilvl="7">
      <w:start w:val="0"/>
      <w:numFmt w:val="bullet"/>
      <w:lvlText w:val="•"/>
      <w:lvlJc w:val="left"/>
      <w:pPr>
        <w:ind w:left="7266" w:hanging="737"/>
      </w:pPr>
      <w:rPr>
        <w:rFonts w:hint="default"/>
      </w:rPr>
    </w:lvl>
    <w:lvl w:ilvl="8">
      <w:start w:val="0"/>
      <w:numFmt w:val="bullet"/>
      <w:lvlText w:val="•"/>
      <w:lvlJc w:val="left"/>
      <w:pPr>
        <w:ind w:left="8191" w:hanging="737"/>
      </w:pPr>
      <w:rPr>
        <w:rFonts w:hint="default"/>
      </w:rPr>
    </w:lvl>
  </w:abstractNum>
  <w:abstractNum w:abstractNumId="12">
    <w:multiLevelType w:val="hybridMultilevel"/>
    <w:lvl w:ilvl="0">
      <w:start w:val="2"/>
      <w:numFmt w:val="decimal"/>
      <w:lvlText w:val="%1"/>
      <w:lvlJc w:val="left"/>
      <w:pPr>
        <w:ind w:left="1722" w:hanging="737"/>
        <w:jc w:val="left"/>
      </w:pPr>
      <w:rPr>
        <w:rFonts w:hint="default"/>
      </w:rPr>
    </w:lvl>
    <w:lvl w:ilvl="1">
      <w:start w:val="3"/>
      <w:numFmt w:val="decimal"/>
      <w:lvlText w:val="%1.%2"/>
      <w:lvlJc w:val="left"/>
      <w:pPr>
        <w:ind w:left="1722" w:hanging="737"/>
        <w:jc w:val="right"/>
      </w:pPr>
      <w:rPr>
        <w:rFonts w:hint="default"/>
      </w:rPr>
    </w:lvl>
    <w:lvl w:ilvl="2">
      <w:start w:val="2"/>
      <w:numFmt w:val="decimal"/>
      <w:lvlText w:val="%1.%2.%3"/>
      <w:lvlJc w:val="left"/>
      <w:pPr>
        <w:ind w:left="1722" w:hanging="737"/>
        <w:jc w:val="right"/>
      </w:pPr>
      <w:rPr>
        <w:rFonts w:hint="default"/>
      </w:rPr>
    </w:lvl>
    <w:lvl w:ilvl="3">
      <w:start w:val="1"/>
      <w:numFmt w:val="decimal"/>
      <w:lvlText w:val="%1.%2.%3.%4"/>
      <w:lvlJc w:val="left"/>
      <w:pPr>
        <w:ind w:left="1722" w:hanging="737"/>
        <w:jc w:val="left"/>
      </w:pPr>
      <w:rPr>
        <w:rFonts w:hint="default" w:ascii="Times New Roman" w:hAnsi="Times New Roman" w:eastAsia="Times New Roman" w:cs="Times New Roman"/>
        <w:spacing w:val="-2"/>
        <w:w w:val="99"/>
        <w:sz w:val="20"/>
        <w:szCs w:val="20"/>
      </w:rPr>
    </w:lvl>
    <w:lvl w:ilvl="4">
      <w:start w:val="0"/>
      <w:numFmt w:val="bullet"/>
      <w:lvlText w:val="•"/>
      <w:lvlJc w:val="left"/>
      <w:pPr>
        <w:ind w:left="5048" w:hanging="737"/>
      </w:pPr>
      <w:rPr>
        <w:rFonts w:hint="default"/>
      </w:rPr>
    </w:lvl>
    <w:lvl w:ilvl="5">
      <w:start w:val="0"/>
      <w:numFmt w:val="bullet"/>
      <w:lvlText w:val="•"/>
      <w:lvlJc w:val="left"/>
      <w:pPr>
        <w:ind w:left="5880" w:hanging="737"/>
      </w:pPr>
      <w:rPr>
        <w:rFonts w:hint="default"/>
      </w:rPr>
    </w:lvl>
    <w:lvl w:ilvl="6">
      <w:start w:val="0"/>
      <w:numFmt w:val="bullet"/>
      <w:lvlText w:val="•"/>
      <w:lvlJc w:val="left"/>
      <w:pPr>
        <w:ind w:left="6712" w:hanging="737"/>
      </w:pPr>
      <w:rPr>
        <w:rFonts w:hint="default"/>
      </w:rPr>
    </w:lvl>
    <w:lvl w:ilvl="7">
      <w:start w:val="0"/>
      <w:numFmt w:val="bullet"/>
      <w:lvlText w:val="•"/>
      <w:lvlJc w:val="left"/>
      <w:pPr>
        <w:ind w:left="7544" w:hanging="737"/>
      </w:pPr>
      <w:rPr>
        <w:rFonts w:hint="default"/>
      </w:rPr>
    </w:lvl>
    <w:lvl w:ilvl="8">
      <w:start w:val="0"/>
      <w:numFmt w:val="bullet"/>
      <w:lvlText w:val="•"/>
      <w:lvlJc w:val="left"/>
      <w:pPr>
        <w:ind w:left="8376" w:hanging="737"/>
      </w:pPr>
      <w:rPr>
        <w:rFonts w:hint="default"/>
      </w:rPr>
    </w:lvl>
  </w:abstractNum>
  <w:abstractNum w:abstractNumId="11">
    <w:multiLevelType w:val="hybridMultilevel"/>
    <w:lvl w:ilvl="0">
      <w:start w:val="1"/>
      <w:numFmt w:val="decimal"/>
      <w:lvlText w:val="%1."/>
      <w:lvlJc w:val="left"/>
      <w:pPr>
        <w:ind w:left="779" w:hanging="360"/>
        <w:jc w:val="left"/>
      </w:pPr>
      <w:rPr>
        <w:rFonts w:hint="default" w:ascii="Times New Roman" w:hAnsi="Times New Roman" w:eastAsia="Times New Roman" w:cs="Times New Roman"/>
        <w:spacing w:val="0"/>
        <w:w w:val="99"/>
        <w:sz w:val="20"/>
        <w:szCs w:val="20"/>
      </w:rPr>
    </w:lvl>
    <w:lvl w:ilvl="1">
      <w:start w:val="0"/>
      <w:numFmt w:val="bullet"/>
      <w:lvlText w:val="•"/>
      <w:lvlJc w:val="left"/>
      <w:pPr>
        <w:ind w:left="1706" w:hanging="360"/>
      </w:pPr>
      <w:rPr>
        <w:rFonts w:hint="default"/>
      </w:rPr>
    </w:lvl>
    <w:lvl w:ilvl="2">
      <w:start w:val="0"/>
      <w:numFmt w:val="bullet"/>
      <w:lvlText w:val="•"/>
      <w:lvlJc w:val="left"/>
      <w:pPr>
        <w:ind w:left="2632" w:hanging="360"/>
      </w:pPr>
      <w:rPr>
        <w:rFonts w:hint="default"/>
      </w:rPr>
    </w:lvl>
    <w:lvl w:ilvl="3">
      <w:start w:val="0"/>
      <w:numFmt w:val="bullet"/>
      <w:lvlText w:val="•"/>
      <w:lvlJc w:val="left"/>
      <w:pPr>
        <w:ind w:left="3558" w:hanging="360"/>
      </w:pPr>
      <w:rPr>
        <w:rFonts w:hint="default"/>
      </w:rPr>
    </w:lvl>
    <w:lvl w:ilvl="4">
      <w:start w:val="0"/>
      <w:numFmt w:val="bullet"/>
      <w:lvlText w:val="•"/>
      <w:lvlJc w:val="left"/>
      <w:pPr>
        <w:ind w:left="4484" w:hanging="360"/>
      </w:pPr>
      <w:rPr>
        <w:rFonts w:hint="default"/>
      </w:rPr>
    </w:lvl>
    <w:lvl w:ilvl="5">
      <w:start w:val="0"/>
      <w:numFmt w:val="bullet"/>
      <w:lvlText w:val="•"/>
      <w:lvlJc w:val="left"/>
      <w:pPr>
        <w:ind w:left="5410" w:hanging="360"/>
      </w:pPr>
      <w:rPr>
        <w:rFonts w:hint="default"/>
      </w:rPr>
    </w:lvl>
    <w:lvl w:ilvl="6">
      <w:start w:val="0"/>
      <w:numFmt w:val="bullet"/>
      <w:lvlText w:val="•"/>
      <w:lvlJc w:val="left"/>
      <w:pPr>
        <w:ind w:left="6336" w:hanging="360"/>
      </w:pPr>
      <w:rPr>
        <w:rFonts w:hint="default"/>
      </w:rPr>
    </w:lvl>
    <w:lvl w:ilvl="7">
      <w:start w:val="0"/>
      <w:numFmt w:val="bullet"/>
      <w:lvlText w:val="•"/>
      <w:lvlJc w:val="left"/>
      <w:pPr>
        <w:ind w:left="7262" w:hanging="360"/>
      </w:pPr>
      <w:rPr>
        <w:rFonts w:hint="default"/>
      </w:rPr>
    </w:lvl>
    <w:lvl w:ilvl="8">
      <w:start w:val="0"/>
      <w:numFmt w:val="bullet"/>
      <w:lvlText w:val="•"/>
      <w:lvlJc w:val="left"/>
      <w:pPr>
        <w:ind w:left="8188" w:hanging="360"/>
      </w:pPr>
      <w:rPr>
        <w:rFonts w:hint="default"/>
      </w:rPr>
    </w:lvl>
  </w:abstractNum>
  <w:abstractNum w:abstractNumId="10">
    <w:multiLevelType w:val="hybridMultilevel"/>
    <w:lvl w:ilvl="0">
      <w:start w:val="1"/>
      <w:numFmt w:val="decimal"/>
      <w:lvlText w:val="%1"/>
      <w:lvlJc w:val="left"/>
      <w:pPr>
        <w:ind w:left="1621" w:hanging="1203"/>
        <w:jc w:val="left"/>
      </w:pPr>
      <w:rPr>
        <w:rFonts w:hint="default"/>
      </w:rPr>
    </w:lvl>
    <w:lvl w:ilvl="1">
      <w:start w:val="6"/>
      <w:numFmt w:val="decimal"/>
      <w:lvlText w:val="%1.%2"/>
      <w:lvlJc w:val="left"/>
      <w:pPr>
        <w:ind w:left="1621" w:hanging="1203"/>
        <w:jc w:val="left"/>
      </w:pPr>
      <w:rPr>
        <w:rFonts w:hint="default" w:ascii="Times New Roman" w:hAnsi="Times New Roman" w:eastAsia="Times New Roman" w:cs="Times New Roman"/>
        <w:b/>
        <w:bCs/>
        <w:spacing w:val="0"/>
        <w:w w:val="99"/>
        <w:sz w:val="32"/>
        <w:szCs w:val="32"/>
      </w:rPr>
    </w:lvl>
    <w:lvl w:ilvl="2">
      <w:start w:val="0"/>
      <w:numFmt w:val="bullet"/>
      <w:lvlText w:val="•"/>
      <w:lvlJc w:val="left"/>
      <w:pPr>
        <w:ind w:left="3304" w:hanging="1203"/>
      </w:pPr>
      <w:rPr>
        <w:rFonts w:hint="default"/>
      </w:rPr>
    </w:lvl>
    <w:lvl w:ilvl="3">
      <w:start w:val="0"/>
      <w:numFmt w:val="bullet"/>
      <w:lvlText w:val="•"/>
      <w:lvlJc w:val="left"/>
      <w:pPr>
        <w:ind w:left="4146" w:hanging="1203"/>
      </w:pPr>
      <w:rPr>
        <w:rFonts w:hint="default"/>
      </w:rPr>
    </w:lvl>
    <w:lvl w:ilvl="4">
      <w:start w:val="0"/>
      <w:numFmt w:val="bullet"/>
      <w:lvlText w:val="•"/>
      <w:lvlJc w:val="left"/>
      <w:pPr>
        <w:ind w:left="4988" w:hanging="1203"/>
      </w:pPr>
      <w:rPr>
        <w:rFonts w:hint="default"/>
      </w:rPr>
    </w:lvl>
    <w:lvl w:ilvl="5">
      <w:start w:val="0"/>
      <w:numFmt w:val="bullet"/>
      <w:lvlText w:val="•"/>
      <w:lvlJc w:val="left"/>
      <w:pPr>
        <w:ind w:left="5830" w:hanging="1203"/>
      </w:pPr>
      <w:rPr>
        <w:rFonts w:hint="default"/>
      </w:rPr>
    </w:lvl>
    <w:lvl w:ilvl="6">
      <w:start w:val="0"/>
      <w:numFmt w:val="bullet"/>
      <w:lvlText w:val="•"/>
      <w:lvlJc w:val="left"/>
      <w:pPr>
        <w:ind w:left="6672" w:hanging="1203"/>
      </w:pPr>
      <w:rPr>
        <w:rFonts w:hint="default"/>
      </w:rPr>
    </w:lvl>
    <w:lvl w:ilvl="7">
      <w:start w:val="0"/>
      <w:numFmt w:val="bullet"/>
      <w:lvlText w:val="•"/>
      <w:lvlJc w:val="left"/>
      <w:pPr>
        <w:ind w:left="7514" w:hanging="1203"/>
      </w:pPr>
      <w:rPr>
        <w:rFonts w:hint="default"/>
      </w:rPr>
    </w:lvl>
    <w:lvl w:ilvl="8">
      <w:start w:val="0"/>
      <w:numFmt w:val="bullet"/>
      <w:lvlText w:val="•"/>
      <w:lvlJc w:val="left"/>
      <w:pPr>
        <w:ind w:left="8356" w:hanging="1203"/>
      </w:pPr>
      <w:rPr>
        <w:rFonts w:hint="default"/>
      </w:rPr>
    </w:lvl>
  </w:abstractNum>
  <w:abstractNum w:abstractNumId="9">
    <w:multiLevelType w:val="hybridMultilevel"/>
    <w:lvl w:ilvl="0">
      <w:start w:val="1"/>
      <w:numFmt w:val="decimal"/>
      <w:lvlText w:val="%1"/>
      <w:lvlJc w:val="left"/>
      <w:pPr>
        <w:ind w:left="1621" w:hanging="1203"/>
        <w:jc w:val="left"/>
      </w:pPr>
      <w:rPr>
        <w:rFonts w:hint="default"/>
      </w:rPr>
    </w:lvl>
    <w:lvl w:ilvl="1">
      <w:start w:val="4"/>
      <w:numFmt w:val="decimal"/>
      <w:lvlText w:val="%1.%2"/>
      <w:lvlJc w:val="left"/>
      <w:pPr>
        <w:ind w:left="1621" w:hanging="1203"/>
        <w:jc w:val="left"/>
      </w:pPr>
      <w:rPr>
        <w:rFonts w:hint="default" w:ascii="Times New Roman" w:hAnsi="Times New Roman" w:eastAsia="Times New Roman" w:cs="Times New Roman"/>
        <w:b/>
        <w:bCs/>
        <w:spacing w:val="0"/>
        <w:w w:val="99"/>
        <w:sz w:val="32"/>
        <w:szCs w:val="32"/>
      </w:rPr>
    </w:lvl>
    <w:lvl w:ilvl="2">
      <w:start w:val="1"/>
      <w:numFmt w:val="lowerRoman"/>
      <w:lvlText w:val="(%3)"/>
      <w:lvlJc w:val="left"/>
      <w:pPr>
        <w:ind w:left="1496" w:hanging="572"/>
        <w:jc w:val="left"/>
      </w:pPr>
      <w:rPr>
        <w:rFonts w:hint="default" w:ascii="Times New Roman" w:hAnsi="Times New Roman" w:eastAsia="Times New Roman" w:cs="Times New Roman"/>
        <w:w w:val="99"/>
        <w:sz w:val="20"/>
        <w:szCs w:val="20"/>
      </w:rPr>
    </w:lvl>
    <w:lvl w:ilvl="3">
      <w:start w:val="0"/>
      <w:numFmt w:val="bullet"/>
      <w:lvlText w:val="•"/>
      <w:lvlJc w:val="left"/>
      <w:pPr>
        <w:ind w:left="3491" w:hanging="572"/>
      </w:pPr>
      <w:rPr>
        <w:rFonts w:hint="default"/>
      </w:rPr>
    </w:lvl>
    <w:lvl w:ilvl="4">
      <w:start w:val="0"/>
      <w:numFmt w:val="bullet"/>
      <w:lvlText w:val="•"/>
      <w:lvlJc w:val="left"/>
      <w:pPr>
        <w:ind w:left="4426" w:hanging="572"/>
      </w:pPr>
      <w:rPr>
        <w:rFonts w:hint="default"/>
      </w:rPr>
    </w:lvl>
    <w:lvl w:ilvl="5">
      <w:start w:val="0"/>
      <w:numFmt w:val="bullet"/>
      <w:lvlText w:val="•"/>
      <w:lvlJc w:val="left"/>
      <w:pPr>
        <w:ind w:left="5362" w:hanging="572"/>
      </w:pPr>
      <w:rPr>
        <w:rFonts w:hint="default"/>
      </w:rPr>
    </w:lvl>
    <w:lvl w:ilvl="6">
      <w:start w:val="0"/>
      <w:numFmt w:val="bullet"/>
      <w:lvlText w:val="•"/>
      <w:lvlJc w:val="left"/>
      <w:pPr>
        <w:ind w:left="6297" w:hanging="572"/>
      </w:pPr>
      <w:rPr>
        <w:rFonts w:hint="default"/>
      </w:rPr>
    </w:lvl>
    <w:lvl w:ilvl="7">
      <w:start w:val="0"/>
      <w:numFmt w:val="bullet"/>
      <w:lvlText w:val="•"/>
      <w:lvlJc w:val="left"/>
      <w:pPr>
        <w:ind w:left="7233" w:hanging="572"/>
      </w:pPr>
      <w:rPr>
        <w:rFonts w:hint="default"/>
      </w:rPr>
    </w:lvl>
    <w:lvl w:ilvl="8">
      <w:start w:val="0"/>
      <w:numFmt w:val="bullet"/>
      <w:lvlText w:val="•"/>
      <w:lvlJc w:val="left"/>
      <w:pPr>
        <w:ind w:left="8168" w:hanging="572"/>
      </w:pPr>
      <w:rPr>
        <w:rFonts w:hint="default"/>
      </w:rPr>
    </w:lvl>
  </w:abstractNum>
  <w:abstractNum w:abstractNumId="8">
    <w:multiLevelType w:val="hybridMultilevel"/>
    <w:lvl w:ilvl="0">
      <w:start w:val="0"/>
      <w:numFmt w:val="bullet"/>
      <w:lvlText w:val="-"/>
      <w:lvlJc w:val="left"/>
      <w:pPr>
        <w:ind w:left="115" w:hanging="116"/>
      </w:pPr>
      <w:rPr>
        <w:rFonts w:hint="default" w:ascii="Times New Roman" w:hAnsi="Times New Roman" w:eastAsia="Times New Roman" w:cs="Times New Roman"/>
        <w:w w:val="99"/>
        <w:sz w:val="20"/>
        <w:szCs w:val="20"/>
      </w:rPr>
    </w:lvl>
    <w:lvl w:ilvl="1">
      <w:start w:val="0"/>
      <w:numFmt w:val="bullet"/>
      <w:lvlText w:val="•"/>
      <w:lvlJc w:val="left"/>
      <w:pPr>
        <w:ind w:left="359" w:hanging="116"/>
      </w:pPr>
      <w:rPr>
        <w:rFonts w:hint="default"/>
      </w:rPr>
    </w:lvl>
    <w:lvl w:ilvl="2">
      <w:start w:val="0"/>
      <w:numFmt w:val="bullet"/>
      <w:lvlText w:val="•"/>
      <w:lvlJc w:val="left"/>
      <w:pPr>
        <w:ind w:left="598" w:hanging="116"/>
      </w:pPr>
      <w:rPr>
        <w:rFonts w:hint="default"/>
      </w:rPr>
    </w:lvl>
    <w:lvl w:ilvl="3">
      <w:start w:val="0"/>
      <w:numFmt w:val="bullet"/>
      <w:lvlText w:val="•"/>
      <w:lvlJc w:val="left"/>
      <w:pPr>
        <w:ind w:left="838" w:hanging="116"/>
      </w:pPr>
      <w:rPr>
        <w:rFonts w:hint="default"/>
      </w:rPr>
    </w:lvl>
    <w:lvl w:ilvl="4">
      <w:start w:val="0"/>
      <w:numFmt w:val="bullet"/>
      <w:lvlText w:val="•"/>
      <w:lvlJc w:val="left"/>
      <w:pPr>
        <w:ind w:left="1077" w:hanging="116"/>
      </w:pPr>
      <w:rPr>
        <w:rFonts w:hint="default"/>
      </w:rPr>
    </w:lvl>
    <w:lvl w:ilvl="5">
      <w:start w:val="0"/>
      <w:numFmt w:val="bullet"/>
      <w:lvlText w:val="•"/>
      <w:lvlJc w:val="left"/>
      <w:pPr>
        <w:ind w:left="1317" w:hanging="116"/>
      </w:pPr>
      <w:rPr>
        <w:rFonts w:hint="default"/>
      </w:rPr>
    </w:lvl>
    <w:lvl w:ilvl="6">
      <w:start w:val="0"/>
      <w:numFmt w:val="bullet"/>
      <w:lvlText w:val="•"/>
      <w:lvlJc w:val="left"/>
      <w:pPr>
        <w:ind w:left="1556" w:hanging="116"/>
      </w:pPr>
      <w:rPr>
        <w:rFonts w:hint="default"/>
      </w:rPr>
    </w:lvl>
    <w:lvl w:ilvl="7">
      <w:start w:val="0"/>
      <w:numFmt w:val="bullet"/>
      <w:lvlText w:val="•"/>
      <w:lvlJc w:val="left"/>
      <w:pPr>
        <w:ind w:left="1795" w:hanging="116"/>
      </w:pPr>
      <w:rPr>
        <w:rFonts w:hint="default"/>
      </w:rPr>
    </w:lvl>
    <w:lvl w:ilvl="8">
      <w:start w:val="0"/>
      <w:numFmt w:val="bullet"/>
      <w:lvlText w:val="•"/>
      <w:lvlJc w:val="left"/>
      <w:pPr>
        <w:ind w:left="2035" w:hanging="116"/>
      </w:pPr>
      <w:rPr>
        <w:rFonts w:hint="default"/>
      </w:rPr>
    </w:lvl>
  </w:abstractNum>
  <w:abstractNum w:abstractNumId="7">
    <w:multiLevelType w:val="hybridMultilevel"/>
    <w:lvl w:ilvl="0">
      <w:start w:val="0"/>
      <w:numFmt w:val="bullet"/>
      <w:lvlText w:val="-"/>
      <w:lvlJc w:val="left"/>
      <w:pPr>
        <w:ind w:left="115" w:hanging="116"/>
      </w:pPr>
      <w:rPr>
        <w:rFonts w:hint="default" w:ascii="Times New Roman" w:hAnsi="Times New Roman" w:eastAsia="Times New Roman" w:cs="Times New Roman"/>
        <w:w w:val="99"/>
        <w:sz w:val="20"/>
        <w:szCs w:val="20"/>
      </w:rPr>
    </w:lvl>
    <w:lvl w:ilvl="1">
      <w:start w:val="0"/>
      <w:numFmt w:val="bullet"/>
      <w:lvlText w:val="•"/>
      <w:lvlJc w:val="left"/>
      <w:pPr>
        <w:ind w:left="272" w:hanging="116"/>
      </w:pPr>
      <w:rPr>
        <w:rFonts w:hint="default"/>
      </w:rPr>
    </w:lvl>
    <w:lvl w:ilvl="2">
      <w:start w:val="0"/>
      <w:numFmt w:val="bullet"/>
      <w:lvlText w:val="•"/>
      <w:lvlJc w:val="left"/>
      <w:pPr>
        <w:ind w:left="425" w:hanging="116"/>
      </w:pPr>
      <w:rPr>
        <w:rFonts w:hint="default"/>
      </w:rPr>
    </w:lvl>
    <w:lvl w:ilvl="3">
      <w:start w:val="0"/>
      <w:numFmt w:val="bullet"/>
      <w:lvlText w:val="•"/>
      <w:lvlJc w:val="left"/>
      <w:pPr>
        <w:ind w:left="577" w:hanging="116"/>
      </w:pPr>
      <w:rPr>
        <w:rFonts w:hint="default"/>
      </w:rPr>
    </w:lvl>
    <w:lvl w:ilvl="4">
      <w:start w:val="0"/>
      <w:numFmt w:val="bullet"/>
      <w:lvlText w:val="•"/>
      <w:lvlJc w:val="left"/>
      <w:pPr>
        <w:ind w:left="730" w:hanging="116"/>
      </w:pPr>
      <w:rPr>
        <w:rFonts w:hint="default"/>
      </w:rPr>
    </w:lvl>
    <w:lvl w:ilvl="5">
      <w:start w:val="0"/>
      <w:numFmt w:val="bullet"/>
      <w:lvlText w:val="•"/>
      <w:lvlJc w:val="left"/>
      <w:pPr>
        <w:ind w:left="882" w:hanging="116"/>
      </w:pPr>
      <w:rPr>
        <w:rFonts w:hint="default"/>
      </w:rPr>
    </w:lvl>
    <w:lvl w:ilvl="6">
      <w:start w:val="0"/>
      <w:numFmt w:val="bullet"/>
      <w:lvlText w:val="•"/>
      <w:lvlJc w:val="left"/>
      <w:pPr>
        <w:ind w:left="1035" w:hanging="116"/>
      </w:pPr>
      <w:rPr>
        <w:rFonts w:hint="default"/>
      </w:rPr>
    </w:lvl>
    <w:lvl w:ilvl="7">
      <w:start w:val="0"/>
      <w:numFmt w:val="bullet"/>
      <w:lvlText w:val="•"/>
      <w:lvlJc w:val="left"/>
      <w:pPr>
        <w:ind w:left="1187" w:hanging="116"/>
      </w:pPr>
      <w:rPr>
        <w:rFonts w:hint="default"/>
      </w:rPr>
    </w:lvl>
    <w:lvl w:ilvl="8">
      <w:start w:val="0"/>
      <w:numFmt w:val="bullet"/>
      <w:lvlText w:val="•"/>
      <w:lvlJc w:val="left"/>
      <w:pPr>
        <w:ind w:left="1340" w:hanging="116"/>
      </w:pPr>
      <w:rPr>
        <w:rFonts w:hint="default"/>
      </w:rPr>
    </w:lvl>
  </w:abstractNum>
  <w:abstractNum w:abstractNumId="6">
    <w:multiLevelType w:val="hybridMultilevel"/>
    <w:lvl w:ilvl="0">
      <w:start w:val="0"/>
      <w:numFmt w:val="bullet"/>
      <w:lvlText w:val="-"/>
      <w:lvlJc w:val="left"/>
      <w:pPr>
        <w:ind w:left="117" w:hanging="118"/>
      </w:pPr>
      <w:rPr>
        <w:rFonts w:hint="default" w:ascii="Times New Roman" w:hAnsi="Times New Roman" w:eastAsia="Times New Roman" w:cs="Times New Roman"/>
        <w:w w:val="99"/>
        <w:sz w:val="20"/>
        <w:szCs w:val="20"/>
      </w:rPr>
    </w:lvl>
    <w:lvl w:ilvl="1">
      <w:start w:val="0"/>
      <w:numFmt w:val="bullet"/>
      <w:lvlText w:val="•"/>
      <w:lvlJc w:val="left"/>
      <w:pPr>
        <w:ind w:left="385" w:hanging="118"/>
      </w:pPr>
      <w:rPr>
        <w:rFonts w:hint="default"/>
      </w:rPr>
    </w:lvl>
    <w:lvl w:ilvl="2">
      <w:start w:val="0"/>
      <w:numFmt w:val="bullet"/>
      <w:lvlText w:val="•"/>
      <w:lvlJc w:val="left"/>
      <w:pPr>
        <w:ind w:left="651" w:hanging="118"/>
      </w:pPr>
      <w:rPr>
        <w:rFonts w:hint="default"/>
      </w:rPr>
    </w:lvl>
    <w:lvl w:ilvl="3">
      <w:start w:val="0"/>
      <w:numFmt w:val="bullet"/>
      <w:lvlText w:val="•"/>
      <w:lvlJc w:val="left"/>
      <w:pPr>
        <w:ind w:left="917" w:hanging="118"/>
      </w:pPr>
      <w:rPr>
        <w:rFonts w:hint="default"/>
      </w:rPr>
    </w:lvl>
    <w:lvl w:ilvl="4">
      <w:start w:val="0"/>
      <w:numFmt w:val="bullet"/>
      <w:lvlText w:val="•"/>
      <w:lvlJc w:val="left"/>
      <w:pPr>
        <w:ind w:left="1183" w:hanging="118"/>
      </w:pPr>
      <w:rPr>
        <w:rFonts w:hint="default"/>
      </w:rPr>
    </w:lvl>
    <w:lvl w:ilvl="5">
      <w:start w:val="0"/>
      <w:numFmt w:val="bullet"/>
      <w:lvlText w:val="•"/>
      <w:lvlJc w:val="left"/>
      <w:pPr>
        <w:ind w:left="1448" w:hanging="118"/>
      </w:pPr>
      <w:rPr>
        <w:rFonts w:hint="default"/>
      </w:rPr>
    </w:lvl>
    <w:lvl w:ilvl="6">
      <w:start w:val="0"/>
      <w:numFmt w:val="bullet"/>
      <w:lvlText w:val="•"/>
      <w:lvlJc w:val="left"/>
      <w:pPr>
        <w:ind w:left="1714" w:hanging="118"/>
      </w:pPr>
      <w:rPr>
        <w:rFonts w:hint="default"/>
      </w:rPr>
    </w:lvl>
    <w:lvl w:ilvl="7">
      <w:start w:val="0"/>
      <w:numFmt w:val="bullet"/>
      <w:lvlText w:val="•"/>
      <w:lvlJc w:val="left"/>
      <w:pPr>
        <w:ind w:left="1980" w:hanging="118"/>
      </w:pPr>
      <w:rPr>
        <w:rFonts w:hint="default"/>
      </w:rPr>
    </w:lvl>
    <w:lvl w:ilvl="8">
      <w:start w:val="0"/>
      <w:numFmt w:val="bullet"/>
      <w:lvlText w:val="•"/>
      <w:lvlJc w:val="left"/>
      <w:pPr>
        <w:ind w:left="2246" w:hanging="118"/>
      </w:pPr>
      <w:rPr>
        <w:rFonts w:hint="default"/>
      </w:rPr>
    </w:lvl>
  </w:abstractNum>
  <w:abstractNum w:abstractNumId="5">
    <w:multiLevelType w:val="hybridMultilevel"/>
    <w:lvl w:ilvl="0">
      <w:start w:val="1"/>
      <w:numFmt w:val="lowerLetter"/>
      <w:lvlText w:val="(%1)"/>
      <w:lvlJc w:val="left"/>
      <w:pPr>
        <w:ind w:left="980" w:hanging="288"/>
        <w:jc w:val="left"/>
      </w:pPr>
      <w:rPr>
        <w:rFonts w:hint="default" w:ascii="Times New Roman" w:hAnsi="Times New Roman" w:eastAsia="Times New Roman" w:cs="Times New Roman"/>
        <w:w w:val="99"/>
        <w:sz w:val="20"/>
        <w:szCs w:val="20"/>
      </w:rPr>
    </w:lvl>
    <w:lvl w:ilvl="1">
      <w:start w:val="0"/>
      <w:numFmt w:val="bullet"/>
      <w:lvlText w:val="•"/>
      <w:lvlJc w:val="left"/>
      <w:pPr>
        <w:ind w:left="1886" w:hanging="288"/>
      </w:pPr>
      <w:rPr>
        <w:rFonts w:hint="default"/>
      </w:rPr>
    </w:lvl>
    <w:lvl w:ilvl="2">
      <w:start w:val="0"/>
      <w:numFmt w:val="bullet"/>
      <w:lvlText w:val="•"/>
      <w:lvlJc w:val="left"/>
      <w:pPr>
        <w:ind w:left="2792" w:hanging="288"/>
      </w:pPr>
      <w:rPr>
        <w:rFonts w:hint="default"/>
      </w:rPr>
    </w:lvl>
    <w:lvl w:ilvl="3">
      <w:start w:val="0"/>
      <w:numFmt w:val="bullet"/>
      <w:lvlText w:val="•"/>
      <w:lvlJc w:val="left"/>
      <w:pPr>
        <w:ind w:left="3698" w:hanging="288"/>
      </w:pPr>
      <w:rPr>
        <w:rFonts w:hint="default"/>
      </w:rPr>
    </w:lvl>
    <w:lvl w:ilvl="4">
      <w:start w:val="0"/>
      <w:numFmt w:val="bullet"/>
      <w:lvlText w:val="•"/>
      <w:lvlJc w:val="left"/>
      <w:pPr>
        <w:ind w:left="4604" w:hanging="288"/>
      </w:pPr>
      <w:rPr>
        <w:rFonts w:hint="default"/>
      </w:rPr>
    </w:lvl>
    <w:lvl w:ilvl="5">
      <w:start w:val="0"/>
      <w:numFmt w:val="bullet"/>
      <w:lvlText w:val="•"/>
      <w:lvlJc w:val="left"/>
      <w:pPr>
        <w:ind w:left="5510" w:hanging="288"/>
      </w:pPr>
      <w:rPr>
        <w:rFonts w:hint="default"/>
      </w:rPr>
    </w:lvl>
    <w:lvl w:ilvl="6">
      <w:start w:val="0"/>
      <w:numFmt w:val="bullet"/>
      <w:lvlText w:val="•"/>
      <w:lvlJc w:val="left"/>
      <w:pPr>
        <w:ind w:left="6416" w:hanging="288"/>
      </w:pPr>
      <w:rPr>
        <w:rFonts w:hint="default"/>
      </w:rPr>
    </w:lvl>
    <w:lvl w:ilvl="7">
      <w:start w:val="0"/>
      <w:numFmt w:val="bullet"/>
      <w:lvlText w:val="•"/>
      <w:lvlJc w:val="left"/>
      <w:pPr>
        <w:ind w:left="7322" w:hanging="288"/>
      </w:pPr>
      <w:rPr>
        <w:rFonts w:hint="default"/>
      </w:rPr>
    </w:lvl>
    <w:lvl w:ilvl="8">
      <w:start w:val="0"/>
      <w:numFmt w:val="bullet"/>
      <w:lvlText w:val="•"/>
      <w:lvlJc w:val="left"/>
      <w:pPr>
        <w:ind w:left="8228" w:hanging="288"/>
      </w:pPr>
      <w:rPr>
        <w:rFonts w:hint="default"/>
      </w:rPr>
    </w:lvl>
  </w:abstractNum>
  <w:abstractNum w:abstractNumId="4">
    <w:multiLevelType w:val="hybridMultilevel"/>
    <w:lvl w:ilvl="0">
      <w:start w:val="1"/>
      <w:numFmt w:val="decimal"/>
      <w:lvlText w:val="%1"/>
      <w:lvlJc w:val="left"/>
      <w:pPr>
        <w:ind w:left="1621" w:hanging="1203"/>
        <w:jc w:val="left"/>
      </w:pPr>
      <w:rPr>
        <w:rFonts w:hint="default"/>
      </w:rPr>
    </w:lvl>
    <w:lvl w:ilvl="1">
      <w:start w:val="1"/>
      <w:numFmt w:val="decimal"/>
      <w:lvlText w:val="%1.%2"/>
      <w:lvlJc w:val="left"/>
      <w:pPr>
        <w:ind w:left="1621" w:hanging="1203"/>
        <w:jc w:val="left"/>
      </w:pPr>
      <w:rPr>
        <w:rFonts w:hint="default" w:ascii="Times New Roman" w:hAnsi="Times New Roman" w:eastAsia="Times New Roman" w:cs="Times New Roman"/>
        <w:b/>
        <w:bCs/>
        <w:spacing w:val="0"/>
        <w:w w:val="99"/>
        <w:sz w:val="32"/>
        <w:szCs w:val="32"/>
      </w:rPr>
    </w:lvl>
    <w:lvl w:ilvl="2">
      <w:start w:val="0"/>
      <w:numFmt w:val="bullet"/>
      <w:lvlText w:val="•"/>
      <w:lvlJc w:val="left"/>
      <w:pPr>
        <w:ind w:left="2555" w:hanging="1203"/>
      </w:pPr>
      <w:rPr>
        <w:rFonts w:hint="default"/>
      </w:rPr>
    </w:lvl>
    <w:lvl w:ilvl="3">
      <w:start w:val="0"/>
      <w:numFmt w:val="bullet"/>
      <w:lvlText w:val="•"/>
      <w:lvlJc w:val="left"/>
      <w:pPr>
        <w:ind w:left="3491" w:hanging="1203"/>
      </w:pPr>
      <w:rPr>
        <w:rFonts w:hint="default"/>
      </w:rPr>
    </w:lvl>
    <w:lvl w:ilvl="4">
      <w:start w:val="0"/>
      <w:numFmt w:val="bullet"/>
      <w:lvlText w:val="•"/>
      <w:lvlJc w:val="left"/>
      <w:pPr>
        <w:ind w:left="4426" w:hanging="1203"/>
      </w:pPr>
      <w:rPr>
        <w:rFonts w:hint="default"/>
      </w:rPr>
    </w:lvl>
    <w:lvl w:ilvl="5">
      <w:start w:val="0"/>
      <w:numFmt w:val="bullet"/>
      <w:lvlText w:val="•"/>
      <w:lvlJc w:val="left"/>
      <w:pPr>
        <w:ind w:left="5362" w:hanging="1203"/>
      </w:pPr>
      <w:rPr>
        <w:rFonts w:hint="default"/>
      </w:rPr>
    </w:lvl>
    <w:lvl w:ilvl="6">
      <w:start w:val="0"/>
      <w:numFmt w:val="bullet"/>
      <w:lvlText w:val="•"/>
      <w:lvlJc w:val="left"/>
      <w:pPr>
        <w:ind w:left="6297" w:hanging="1203"/>
      </w:pPr>
      <w:rPr>
        <w:rFonts w:hint="default"/>
      </w:rPr>
    </w:lvl>
    <w:lvl w:ilvl="7">
      <w:start w:val="0"/>
      <w:numFmt w:val="bullet"/>
      <w:lvlText w:val="•"/>
      <w:lvlJc w:val="left"/>
      <w:pPr>
        <w:ind w:left="7233" w:hanging="1203"/>
      </w:pPr>
      <w:rPr>
        <w:rFonts w:hint="default"/>
      </w:rPr>
    </w:lvl>
    <w:lvl w:ilvl="8">
      <w:start w:val="0"/>
      <w:numFmt w:val="bullet"/>
      <w:lvlText w:val="•"/>
      <w:lvlJc w:val="left"/>
      <w:pPr>
        <w:ind w:left="8168" w:hanging="1203"/>
      </w:pPr>
      <w:rPr>
        <w:rFonts w:hint="default"/>
      </w:rPr>
    </w:lvl>
  </w:abstractNum>
  <w:abstractNum w:abstractNumId="3">
    <w:multiLevelType w:val="hybridMultilevel"/>
    <w:lvl w:ilvl="0">
      <w:start w:val="1"/>
      <w:numFmt w:val="decimal"/>
      <w:lvlText w:val="%1"/>
      <w:lvlJc w:val="left"/>
      <w:pPr>
        <w:ind w:left="1439" w:hanging="1020"/>
        <w:jc w:val="left"/>
      </w:pPr>
      <w:rPr>
        <w:rFonts w:hint="default"/>
      </w:rPr>
    </w:lvl>
    <w:lvl w:ilvl="1">
      <w:start w:val="1"/>
      <w:numFmt w:val="decimal"/>
      <w:lvlText w:val="%1.%2"/>
      <w:lvlJc w:val="left"/>
      <w:pPr>
        <w:ind w:left="1439" w:hanging="1020"/>
        <w:jc w:val="left"/>
      </w:pPr>
      <w:rPr>
        <w:rFonts w:hint="default" w:ascii="Times New Roman" w:hAnsi="Times New Roman" w:eastAsia="Times New Roman" w:cs="Times New Roman"/>
        <w:b/>
        <w:bCs/>
        <w:w w:val="99"/>
        <w:sz w:val="20"/>
        <w:szCs w:val="20"/>
      </w:rPr>
    </w:lvl>
    <w:lvl w:ilvl="2">
      <w:start w:val="0"/>
      <w:numFmt w:val="bullet"/>
      <w:lvlText w:val="•"/>
      <w:lvlJc w:val="left"/>
      <w:pPr>
        <w:ind w:left="3160" w:hanging="1020"/>
      </w:pPr>
      <w:rPr>
        <w:rFonts w:hint="default"/>
      </w:rPr>
    </w:lvl>
    <w:lvl w:ilvl="3">
      <w:start w:val="0"/>
      <w:numFmt w:val="bullet"/>
      <w:lvlText w:val="•"/>
      <w:lvlJc w:val="left"/>
      <w:pPr>
        <w:ind w:left="4020" w:hanging="1020"/>
      </w:pPr>
      <w:rPr>
        <w:rFonts w:hint="default"/>
      </w:rPr>
    </w:lvl>
    <w:lvl w:ilvl="4">
      <w:start w:val="0"/>
      <w:numFmt w:val="bullet"/>
      <w:lvlText w:val="•"/>
      <w:lvlJc w:val="left"/>
      <w:pPr>
        <w:ind w:left="4880" w:hanging="1020"/>
      </w:pPr>
      <w:rPr>
        <w:rFonts w:hint="default"/>
      </w:rPr>
    </w:lvl>
    <w:lvl w:ilvl="5">
      <w:start w:val="0"/>
      <w:numFmt w:val="bullet"/>
      <w:lvlText w:val="•"/>
      <w:lvlJc w:val="left"/>
      <w:pPr>
        <w:ind w:left="5740" w:hanging="1020"/>
      </w:pPr>
      <w:rPr>
        <w:rFonts w:hint="default"/>
      </w:rPr>
    </w:lvl>
    <w:lvl w:ilvl="6">
      <w:start w:val="0"/>
      <w:numFmt w:val="bullet"/>
      <w:lvlText w:val="•"/>
      <w:lvlJc w:val="left"/>
      <w:pPr>
        <w:ind w:left="6600" w:hanging="1020"/>
      </w:pPr>
      <w:rPr>
        <w:rFonts w:hint="default"/>
      </w:rPr>
    </w:lvl>
    <w:lvl w:ilvl="7">
      <w:start w:val="0"/>
      <w:numFmt w:val="bullet"/>
      <w:lvlText w:val="•"/>
      <w:lvlJc w:val="left"/>
      <w:pPr>
        <w:ind w:left="7460" w:hanging="1020"/>
      </w:pPr>
      <w:rPr>
        <w:rFonts w:hint="default"/>
      </w:rPr>
    </w:lvl>
    <w:lvl w:ilvl="8">
      <w:start w:val="0"/>
      <w:numFmt w:val="bullet"/>
      <w:lvlText w:val="•"/>
      <w:lvlJc w:val="left"/>
      <w:pPr>
        <w:ind w:left="8320" w:hanging="1020"/>
      </w:pPr>
      <w:rPr>
        <w:rFonts w:hint="default"/>
      </w:rPr>
    </w:lvl>
  </w:abstractNum>
  <w:abstractNum w:abstractNumId="2">
    <w:multiLevelType w:val="hybridMultilevel"/>
    <w:lvl w:ilvl="0">
      <w:start w:val="1"/>
      <w:numFmt w:val="decimal"/>
      <w:lvlText w:val="%1"/>
      <w:lvlJc w:val="left"/>
      <w:pPr>
        <w:ind w:left="546" w:hanging="128"/>
        <w:jc w:val="left"/>
      </w:pPr>
      <w:rPr>
        <w:rFonts w:hint="default" w:ascii="Times New Roman" w:hAnsi="Times New Roman" w:eastAsia="Times New Roman" w:cs="Times New Roman"/>
        <w:w w:val="100"/>
        <w:position w:val="6"/>
        <w:sz w:val="16"/>
        <w:szCs w:val="16"/>
      </w:rPr>
    </w:lvl>
    <w:lvl w:ilvl="1">
      <w:start w:val="0"/>
      <w:numFmt w:val="bullet"/>
      <w:lvlText w:val="•"/>
      <w:lvlJc w:val="left"/>
      <w:pPr>
        <w:ind w:left="1144" w:hanging="540"/>
      </w:pPr>
      <w:rPr>
        <w:rFonts w:hint="default" w:ascii="Symbol" w:hAnsi="Symbol" w:eastAsia="Symbol" w:cs="Symbol"/>
        <w:spacing w:val="-4"/>
        <w:w w:val="100"/>
        <w:sz w:val="18"/>
        <w:szCs w:val="18"/>
      </w:rPr>
    </w:lvl>
    <w:lvl w:ilvl="2">
      <w:start w:val="0"/>
      <w:numFmt w:val="bullet"/>
      <w:lvlText w:val="•"/>
      <w:lvlJc w:val="left"/>
      <w:pPr>
        <w:ind w:left="2128" w:hanging="540"/>
      </w:pPr>
      <w:rPr>
        <w:rFonts w:hint="default"/>
      </w:rPr>
    </w:lvl>
    <w:lvl w:ilvl="3">
      <w:start w:val="0"/>
      <w:numFmt w:val="bullet"/>
      <w:lvlText w:val="•"/>
      <w:lvlJc w:val="left"/>
      <w:pPr>
        <w:ind w:left="3117" w:hanging="540"/>
      </w:pPr>
      <w:rPr>
        <w:rFonts w:hint="default"/>
      </w:rPr>
    </w:lvl>
    <w:lvl w:ilvl="4">
      <w:start w:val="0"/>
      <w:numFmt w:val="bullet"/>
      <w:lvlText w:val="•"/>
      <w:lvlJc w:val="left"/>
      <w:pPr>
        <w:ind w:left="4106" w:hanging="540"/>
      </w:pPr>
      <w:rPr>
        <w:rFonts w:hint="default"/>
      </w:rPr>
    </w:lvl>
    <w:lvl w:ilvl="5">
      <w:start w:val="0"/>
      <w:numFmt w:val="bullet"/>
      <w:lvlText w:val="•"/>
      <w:lvlJc w:val="left"/>
      <w:pPr>
        <w:ind w:left="5095" w:hanging="540"/>
      </w:pPr>
      <w:rPr>
        <w:rFonts w:hint="default"/>
      </w:rPr>
    </w:lvl>
    <w:lvl w:ilvl="6">
      <w:start w:val="0"/>
      <w:numFmt w:val="bullet"/>
      <w:lvlText w:val="•"/>
      <w:lvlJc w:val="left"/>
      <w:pPr>
        <w:ind w:left="6084" w:hanging="540"/>
      </w:pPr>
      <w:rPr>
        <w:rFonts w:hint="default"/>
      </w:rPr>
    </w:lvl>
    <w:lvl w:ilvl="7">
      <w:start w:val="0"/>
      <w:numFmt w:val="bullet"/>
      <w:lvlText w:val="•"/>
      <w:lvlJc w:val="left"/>
      <w:pPr>
        <w:ind w:left="7073" w:hanging="540"/>
      </w:pPr>
      <w:rPr>
        <w:rFonts w:hint="default"/>
      </w:rPr>
    </w:lvl>
    <w:lvl w:ilvl="8">
      <w:start w:val="0"/>
      <w:numFmt w:val="bullet"/>
      <w:lvlText w:val="•"/>
      <w:lvlJc w:val="left"/>
      <w:pPr>
        <w:ind w:left="8062" w:hanging="540"/>
      </w:pPr>
      <w:rPr>
        <w:rFonts w:hint="default"/>
      </w:rPr>
    </w:lvl>
  </w:abstractNum>
  <w:abstractNum w:abstractNumId="1">
    <w:multiLevelType w:val="hybridMultilevel"/>
    <w:lvl w:ilvl="0">
      <w:start w:val="0"/>
      <w:numFmt w:val="bullet"/>
      <w:lvlText w:val="•"/>
      <w:lvlJc w:val="left"/>
      <w:pPr>
        <w:ind w:left="760" w:hanging="360"/>
      </w:pPr>
      <w:rPr>
        <w:rFonts w:hint="default" w:ascii="Symbol" w:hAnsi="Symbol" w:eastAsia="Symbol" w:cs="Symbol"/>
        <w:w w:val="99"/>
        <w:sz w:val="20"/>
        <w:szCs w:val="20"/>
      </w:rPr>
    </w:lvl>
    <w:lvl w:ilvl="1">
      <w:start w:val="0"/>
      <w:numFmt w:val="bullet"/>
      <w:lvlText w:val="•"/>
      <w:lvlJc w:val="left"/>
      <w:pPr>
        <w:ind w:left="1688" w:hanging="360"/>
      </w:pPr>
      <w:rPr>
        <w:rFonts w:hint="default"/>
      </w:rPr>
    </w:lvl>
    <w:lvl w:ilvl="2">
      <w:start w:val="0"/>
      <w:numFmt w:val="bullet"/>
      <w:lvlText w:val="•"/>
      <w:lvlJc w:val="left"/>
      <w:pPr>
        <w:ind w:left="2616" w:hanging="360"/>
      </w:pPr>
      <w:rPr>
        <w:rFonts w:hint="default"/>
      </w:rPr>
    </w:lvl>
    <w:lvl w:ilvl="3">
      <w:start w:val="0"/>
      <w:numFmt w:val="bullet"/>
      <w:lvlText w:val="•"/>
      <w:lvlJc w:val="left"/>
      <w:pPr>
        <w:ind w:left="3544" w:hanging="360"/>
      </w:pPr>
      <w:rPr>
        <w:rFonts w:hint="default"/>
      </w:rPr>
    </w:lvl>
    <w:lvl w:ilvl="4">
      <w:start w:val="0"/>
      <w:numFmt w:val="bullet"/>
      <w:lvlText w:val="•"/>
      <w:lvlJc w:val="left"/>
      <w:pPr>
        <w:ind w:left="4472" w:hanging="360"/>
      </w:pPr>
      <w:rPr>
        <w:rFonts w:hint="default"/>
      </w:rPr>
    </w:lvl>
    <w:lvl w:ilvl="5">
      <w:start w:val="0"/>
      <w:numFmt w:val="bullet"/>
      <w:lvlText w:val="•"/>
      <w:lvlJc w:val="left"/>
      <w:pPr>
        <w:ind w:left="5400" w:hanging="360"/>
      </w:pPr>
      <w:rPr>
        <w:rFonts w:hint="default"/>
      </w:rPr>
    </w:lvl>
    <w:lvl w:ilvl="6">
      <w:start w:val="0"/>
      <w:numFmt w:val="bullet"/>
      <w:lvlText w:val="•"/>
      <w:lvlJc w:val="left"/>
      <w:pPr>
        <w:ind w:left="6328" w:hanging="360"/>
      </w:pPr>
      <w:rPr>
        <w:rFonts w:hint="default"/>
      </w:rPr>
    </w:lvl>
    <w:lvl w:ilvl="7">
      <w:start w:val="0"/>
      <w:numFmt w:val="bullet"/>
      <w:lvlText w:val="•"/>
      <w:lvlJc w:val="left"/>
      <w:pPr>
        <w:ind w:left="7256" w:hanging="360"/>
      </w:pPr>
      <w:rPr>
        <w:rFonts w:hint="default"/>
      </w:rPr>
    </w:lvl>
    <w:lvl w:ilvl="8">
      <w:start w:val="0"/>
      <w:numFmt w:val="bullet"/>
      <w:lvlText w:val="•"/>
      <w:lvlJc w:val="left"/>
      <w:pPr>
        <w:ind w:left="8184" w:hanging="360"/>
      </w:pPr>
      <w:rPr>
        <w:rFonts w:hint="default"/>
      </w:rPr>
    </w:lvl>
  </w:abstractNum>
  <w:abstractNum w:abstractNumId="0">
    <w:multiLevelType w:val="hybridMultilevel"/>
    <w:lvl w:ilvl="0">
      <w:start w:val="1"/>
      <w:numFmt w:val="decimal"/>
      <w:lvlText w:val="%1"/>
      <w:lvlJc w:val="left"/>
      <w:pPr>
        <w:ind w:left="872" w:hanging="453"/>
        <w:jc w:val="left"/>
      </w:pPr>
      <w:rPr>
        <w:rFonts w:hint="default" w:ascii="Times New Roman" w:hAnsi="Times New Roman" w:eastAsia="Times New Roman" w:cs="Times New Roman"/>
        <w:w w:val="99"/>
        <w:sz w:val="20"/>
        <w:szCs w:val="20"/>
      </w:rPr>
    </w:lvl>
    <w:lvl w:ilvl="1">
      <w:start w:val="0"/>
      <w:numFmt w:val="bullet"/>
      <w:lvlText w:val="•"/>
      <w:lvlJc w:val="left"/>
      <w:pPr>
        <w:ind w:left="1796" w:hanging="453"/>
      </w:pPr>
      <w:rPr>
        <w:rFonts w:hint="default"/>
      </w:rPr>
    </w:lvl>
    <w:lvl w:ilvl="2">
      <w:start w:val="0"/>
      <w:numFmt w:val="bullet"/>
      <w:lvlText w:val="•"/>
      <w:lvlJc w:val="left"/>
      <w:pPr>
        <w:ind w:left="2712" w:hanging="453"/>
      </w:pPr>
      <w:rPr>
        <w:rFonts w:hint="default"/>
      </w:rPr>
    </w:lvl>
    <w:lvl w:ilvl="3">
      <w:start w:val="0"/>
      <w:numFmt w:val="bullet"/>
      <w:lvlText w:val="•"/>
      <w:lvlJc w:val="left"/>
      <w:pPr>
        <w:ind w:left="3628" w:hanging="453"/>
      </w:pPr>
      <w:rPr>
        <w:rFonts w:hint="default"/>
      </w:rPr>
    </w:lvl>
    <w:lvl w:ilvl="4">
      <w:start w:val="0"/>
      <w:numFmt w:val="bullet"/>
      <w:lvlText w:val="•"/>
      <w:lvlJc w:val="left"/>
      <w:pPr>
        <w:ind w:left="4544" w:hanging="453"/>
      </w:pPr>
      <w:rPr>
        <w:rFonts w:hint="default"/>
      </w:rPr>
    </w:lvl>
    <w:lvl w:ilvl="5">
      <w:start w:val="0"/>
      <w:numFmt w:val="bullet"/>
      <w:lvlText w:val="•"/>
      <w:lvlJc w:val="left"/>
      <w:pPr>
        <w:ind w:left="5460" w:hanging="453"/>
      </w:pPr>
      <w:rPr>
        <w:rFonts w:hint="default"/>
      </w:rPr>
    </w:lvl>
    <w:lvl w:ilvl="6">
      <w:start w:val="0"/>
      <w:numFmt w:val="bullet"/>
      <w:lvlText w:val="•"/>
      <w:lvlJc w:val="left"/>
      <w:pPr>
        <w:ind w:left="6376" w:hanging="453"/>
      </w:pPr>
      <w:rPr>
        <w:rFonts w:hint="default"/>
      </w:rPr>
    </w:lvl>
    <w:lvl w:ilvl="7">
      <w:start w:val="0"/>
      <w:numFmt w:val="bullet"/>
      <w:lvlText w:val="•"/>
      <w:lvlJc w:val="left"/>
      <w:pPr>
        <w:ind w:left="7292" w:hanging="453"/>
      </w:pPr>
      <w:rPr>
        <w:rFonts w:hint="default"/>
      </w:rPr>
    </w:lvl>
    <w:lvl w:ilvl="8">
      <w:start w:val="0"/>
      <w:numFmt w:val="bullet"/>
      <w:lvlText w:val="•"/>
      <w:lvlJc w:val="left"/>
      <w:pPr>
        <w:ind w:left="8208" w:hanging="453"/>
      </w:pPr>
      <w:rPr>
        <w:rFonts w:hint="default"/>
      </w:rPr>
    </w:lvl>
  </w:abstract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TOC1" w:type="paragraph">
    <w:name w:val="TOC 1"/>
    <w:basedOn w:val="Normal"/>
    <w:uiPriority w:val="1"/>
    <w:qFormat/>
    <w:pPr>
      <w:spacing w:before="245"/>
      <w:ind w:left="1199" w:hanging="1020"/>
    </w:pPr>
    <w:rPr>
      <w:rFonts w:ascii="Times New Roman" w:hAnsi="Times New Roman" w:eastAsia="Times New Roman" w:cs="Times New Roman"/>
      <w:b/>
      <w:bCs/>
      <w:sz w:val="20"/>
      <w:szCs w:val="20"/>
    </w:rPr>
  </w:style>
  <w:style w:styleId="TOC2" w:type="paragraph">
    <w:name w:val="TOC 2"/>
    <w:basedOn w:val="Normal"/>
    <w:uiPriority w:val="1"/>
    <w:qFormat/>
    <w:pPr>
      <w:spacing w:before="120"/>
      <w:ind w:left="1197" w:hanging="735"/>
    </w:pPr>
    <w:rPr>
      <w:rFonts w:ascii="Times New Roman" w:hAnsi="Times New Roman" w:eastAsia="Times New Roman" w:cs="Times New Roman"/>
      <w:sz w:val="20"/>
      <w:szCs w:val="20"/>
    </w:rPr>
  </w:style>
  <w:style w:styleId="TOC3" w:type="paragraph">
    <w:name w:val="TOC 3"/>
    <w:basedOn w:val="Normal"/>
    <w:uiPriority w:val="1"/>
    <w:qFormat/>
    <w:pPr>
      <w:spacing w:before="120"/>
      <w:ind w:left="1480" w:hanging="735"/>
    </w:pPr>
    <w:rPr>
      <w:rFonts w:ascii="Times New Roman" w:hAnsi="Times New Roman" w:eastAsia="Times New Roman" w:cs="Times New Roman"/>
      <w:sz w:val="20"/>
      <w:szCs w:val="20"/>
    </w:rPr>
  </w:style>
  <w:style w:styleId="BodyText" w:type="paragraph">
    <w:name w:val="Body Text"/>
    <w:basedOn w:val="Normal"/>
    <w:uiPriority w:val="1"/>
    <w:qFormat/>
    <w:pPr/>
    <w:rPr>
      <w:rFonts w:ascii="Times New Roman" w:hAnsi="Times New Roman" w:eastAsia="Times New Roman" w:cs="Times New Roman"/>
      <w:sz w:val="20"/>
      <w:szCs w:val="20"/>
    </w:rPr>
  </w:style>
  <w:style w:styleId="Heading1" w:type="paragraph">
    <w:name w:val="Heading 1"/>
    <w:basedOn w:val="Normal"/>
    <w:uiPriority w:val="1"/>
    <w:qFormat/>
    <w:pPr>
      <w:spacing w:before="228"/>
      <w:ind w:left="159"/>
      <w:outlineLvl w:val="1"/>
    </w:pPr>
    <w:rPr>
      <w:rFonts w:ascii="Times New Roman" w:hAnsi="Times New Roman" w:eastAsia="Times New Roman" w:cs="Times New Roman"/>
      <w:b/>
      <w:bCs/>
      <w:sz w:val="48"/>
      <w:szCs w:val="48"/>
    </w:rPr>
  </w:style>
  <w:style w:styleId="Heading2" w:type="paragraph">
    <w:name w:val="Heading 2"/>
    <w:basedOn w:val="Normal"/>
    <w:uiPriority w:val="1"/>
    <w:qFormat/>
    <w:pPr>
      <w:ind w:left="1381" w:hanging="1202"/>
      <w:outlineLvl w:val="2"/>
    </w:pPr>
    <w:rPr>
      <w:rFonts w:ascii="Times New Roman" w:hAnsi="Times New Roman" w:eastAsia="Times New Roman" w:cs="Times New Roman"/>
      <w:b/>
      <w:bCs/>
      <w:sz w:val="32"/>
      <w:szCs w:val="32"/>
    </w:rPr>
  </w:style>
  <w:style w:styleId="Heading3" w:type="paragraph">
    <w:name w:val="Heading 3"/>
    <w:basedOn w:val="Normal"/>
    <w:uiPriority w:val="1"/>
    <w:qFormat/>
    <w:pPr>
      <w:spacing w:before="87"/>
      <w:ind w:left="860"/>
      <w:outlineLvl w:val="3"/>
    </w:pPr>
    <w:rPr>
      <w:rFonts w:ascii="Times New Roman" w:hAnsi="Times New Roman" w:eastAsia="Times New Roman" w:cs="Times New Roman"/>
      <w:b/>
      <w:bCs/>
      <w:sz w:val="30"/>
      <w:szCs w:val="30"/>
    </w:rPr>
  </w:style>
  <w:style w:styleId="Heading4" w:type="paragraph">
    <w:name w:val="Heading 4"/>
    <w:basedOn w:val="Normal"/>
    <w:uiPriority w:val="1"/>
    <w:qFormat/>
    <w:pPr>
      <w:outlineLvl w:val="4"/>
    </w:pPr>
    <w:rPr>
      <w:rFonts w:ascii="Arial" w:hAnsi="Arial" w:eastAsia="Arial" w:cs="Arial"/>
      <w:b/>
      <w:bCs/>
      <w:sz w:val="28"/>
      <w:szCs w:val="28"/>
    </w:rPr>
  </w:style>
  <w:style w:styleId="Heading5" w:type="paragraph">
    <w:name w:val="Heading 5"/>
    <w:basedOn w:val="Normal"/>
    <w:uiPriority w:val="1"/>
    <w:qFormat/>
    <w:pPr>
      <w:ind w:left="159"/>
      <w:outlineLvl w:val="5"/>
    </w:pPr>
    <w:rPr>
      <w:rFonts w:ascii="Times New Roman" w:hAnsi="Times New Roman" w:eastAsia="Times New Roman" w:cs="Times New Roman"/>
      <w:b/>
      <w:bCs/>
      <w:sz w:val="24"/>
      <w:szCs w:val="24"/>
    </w:rPr>
  </w:style>
  <w:style w:styleId="Heading6" w:type="paragraph">
    <w:name w:val="Heading 6"/>
    <w:basedOn w:val="Normal"/>
    <w:uiPriority w:val="1"/>
    <w:qFormat/>
    <w:pPr>
      <w:ind w:left="159"/>
      <w:outlineLvl w:val="6"/>
    </w:pPr>
    <w:rPr>
      <w:rFonts w:ascii="Times New Roman" w:hAnsi="Times New Roman" w:eastAsia="Times New Roman" w:cs="Times New Roman"/>
      <w:b/>
      <w:bCs/>
      <w:sz w:val="22"/>
      <w:szCs w:val="22"/>
    </w:rPr>
  </w:style>
  <w:style w:styleId="Heading7" w:type="paragraph">
    <w:name w:val="Heading 7"/>
    <w:basedOn w:val="Normal"/>
    <w:uiPriority w:val="1"/>
    <w:qFormat/>
    <w:pPr>
      <w:spacing w:line="250" w:lineRule="exact"/>
      <w:ind w:left="219"/>
      <w:jc w:val="both"/>
      <w:outlineLvl w:val="7"/>
    </w:pPr>
    <w:rPr>
      <w:rFonts w:ascii="TimesNewRomanPS-BoldItalicMT" w:hAnsi="TimesNewRomanPS-BoldItalicMT" w:eastAsia="TimesNewRomanPS-BoldItalicMT" w:cs="TimesNewRomanPS-BoldItalicMT"/>
      <w:b/>
      <w:bCs/>
      <w:i/>
      <w:sz w:val="22"/>
      <w:szCs w:val="22"/>
    </w:rPr>
  </w:style>
  <w:style w:styleId="Heading8" w:type="paragraph">
    <w:name w:val="Heading 8"/>
    <w:basedOn w:val="Normal"/>
    <w:uiPriority w:val="1"/>
    <w:qFormat/>
    <w:pPr>
      <w:ind w:left="3382"/>
      <w:outlineLvl w:val="8"/>
    </w:pPr>
    <w:rPr>
      <w:rFonts w:ascii="Times New Roman" w:hAnsi="Times New Roman" w:eastAsia="Times New Roman" w:cs="Times New Roman"/>
      <w:sz w:val="22"/>
      <w:szCs w:val="22"/>
    </w:rPr>
  </w:style>
  <w:style w:styleId="Heading9" w:type="paragraph">
    <w:name w:val="Heading 9"/>
    <w:basedOn w:val="Normal"/>
    <w:uiPriority w:val="1"/>
    <w:qFormat/>
    <w:pPr>
      <w:ind w:left="172"/>
      <w:outlineLvl w:val="9"/>
    </w:pPr>
    <w:rPr>
      <w:rFonts w:ascii="Arial" w:hAnsi="Arial" w:eastAsia="Arial" w:cs="Arial"/>
      <w:b/>
      <w:bCs/>
      <w:sz w:val="21"/>
      <w:szCs w:val="21"/>
    </w:rPr>
  </w:style>
  <w:style w:styleId="ListParagraph" w:type="paragraph">
    <w:name w:val="List Paragraph"/>
    <w:basedOn w:val="Normal"/>
    <w:uiPriority w:val="1"/>
    <w:qFormat/>
    <w:pPr>
      <w:ind w:left="539" w:hanging="360"/>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www.ipcc-nggip.iges.or.jp/"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2.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header" Target="header6.xm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header" Target="header8.xml"/><Relationship Id="rId31" Type="http://schemas.openxmlformats.org/officeDocument/2006/relationships/footer" Target="footer9.xml"/><Relationship Id="rId32" Type="http://schemas.openxmlformats.org/officeDocument/2006/relationships/footer" Target="footer10.xml"/><Relationship Id="rId33" Type="http://schemas.openxmlformats.org/officeDocument/2006/relationships/header" Target="header9.xml"/><Relationship Id="rId34" Type="http://schemas.openxmlformats.org/officeDocument/2006/relationships/header" Target="header10.xml"/><Relationship Id="rId35" Type="http://schemas.openxmlformats.org/officeDocument/2006/relationships/footer" Target="footer11.xml"/><Relationship Id="rId36" Type="http://schemas.openxmlformats.org/officeDocument/2006/relationships/footer" Target="footer12.xml"/><Relationship Id="rId37" Type="http://schemas.openxmlformats.org/officeDocument/2006/relationships/header" Target="header11.xml"/><Relationship Id="rId38" Type="http://schemas.openxmlformats.org/officeDocument/2006/relationships/header" Target="header12.xml"/><Relationship Id="rId39" Type="http://schemas.openxmlformats.org/officeDocument/2006/relationships/header" Target="header13.xml"/><Relationship Id="rId40" Type="http://schemas.openxmlformats.org/officeDocument/2006/relationships/header" Target="header14.xml"/><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image" Target="media/image16.png"/><Relationship Id="rId48" Type="http://schemas.openxmlformats.org/officeDocument/2006/relationships/image" Target="media/image17.png"/><Relationship Id="rId49" Type="http://schemas.openxmlformats.org/officeDocument/2006/relationships/image" Target="media/image18.png"/><Relationship Id="rId50" Type="http://schemas.openxmlformats.org/officeDocument/2006/relationships/image" Target="media/image19.png"/><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image" Target="media/image22.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header" Target="header15.xml"/><Relationship Id="rId59" Type="http://schemas.openxmlformats.org/officeDocument/2006/relationships/footer" Target="footer13.xml"/><Relationship Id="rId60" Type="http://schemas.openxmlformats.org/officeDocument/2006/relationships/footer" Target="footer14.xml"/><Relationship Id="rId61" Type="http://schemas.openxmlformats.org/officeDocument/2006/relationships/image" Target="media/image27.png"/><Relationship Id="rId62" Type="http://schemas.openxmlformats.org/officeDocument/2006/relationships/image" Target="media/image28.png"/><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header" Target="header16.xml"/><Relationship Id="rId67" Type="http://schemas.openxmlformats.org/officeDocument/2006/relationships/header" Target="header17.xml"/><Relationship Id="rId68" Type="http://schemas.openxmlformats.org/officeDocument/2006/relationships/footer" Target="footer15.xml"/><Relationship Id="rId69" Type="http://schemas.openxmlformats.org/officeDocument/2006/relationships/footer" Target="footer16.xml"/><Relationship Id="rId70" Type="http://schemas.openxmlformats.org/officeDocument/2006/relationships/header" Target="header18.xml"/><Relationship Id="rId71" Type="http://schemas.openxmlformats.org/officeDocument/2006/relationships/header" Target="header19.xml"/><Relationship Id="rId72" Type="http://schemas.openxmlformats.org/officeDocument/2006/relationships/header" Target="header20.xml"/><Relationship Id="rId73" Type="http://schemas.openxmlformats.org/officeDocument/2006/relationships/header" Target="header21.xml"/><Relationship Id="rId74" Type="http://schemas.openxmlformats.org/officeDocument/2006/relationships/hyperlink" Target="http://www.nhq.nrcs.usda.gov/technical/NRI/1997/" TargetMode="External"/><Relationship Id="rId75" Type="http://schemas.openxmlformats.org/officeDocument/2006/relationships/hyperlink" Target="http://fia.fs.fed.us/" TargetMode="External"/><Relationship Id="rId76" Type="http://schemas.openxmlformats.org/officeDocument/2006/relationships/hyperlink" Target="http://www.mfe.govt.nz/issues/land/land-cover-dbase/index.html" TargetMode="External"/><Relationship Id="rId77" Type="http://schemas.openxmlformats.org/officeDocument/2006/relationships/hyperlink" Target="http://www.greenhouse.gov.au/ncas" TargetMode="External"/><Relationship Id="rId78" Type="http://schemas.openxmlformats.org/officeDocument/2006/relationships/header" Target="header22.xml"/><Relationship Id="rId79" Type="http://schemas.openxmlformats.org/officeDocument/2006/relationships/footer" Target="footer17.xml"/><Relationship Id="rId80" Type="http://schemas.openxmlformats.org/officeDocument/2006/relationships/footer" Target="footer18.xml"/><Relationship Id="rId81" Type="http://schemas.openxmlformats.org/officeDocument/2006/relationships/hyperlink" Target="mailto:tateishi@rsirc.cr.chiba-u.ac.jp" TargetMode="External"/><Relationship Id="rId82" Type="http://schemas.openxmlformats.org/officeDocument/2006/relationships/hyperlink" Target="mailto:alan.belward@jrc.it" TargetMode="External"/><Relationship Id="rId83" Type="http://schemas.openxmlformats.org/officeDocument/2006/relationships/hyperlink" Target="http://www.ngdc.noaa.gov/paleo/igbp-" TargetMode="External"/><Relationship Id="rId84" Type="http://schemas.openxmlformats.org/officeDocument/2006/relationships/hyperlink" Target="http://edcdaac.usgs.gov/glc" TargetMode="External"/><Relationship Id="rId85" Type="http://schemas.openxmlformats.org/officeDocument/2006/relationships/hyperlink" Target="http://glcf.umiacs.umd.edu/data.html" TargetMode="External"/><Relationship Id="rId86" Type="http://schemas.openxmlformats.org/officeDocument/2006/relationships/header" Target="header23.xml"/><Relationship Id="rId87" Type="http://schemas.openxmlformats.org/officeDocument/2006/relationships/hyperlink" Target="http://www.iscgm.org/gm-" TargetMode="External"/><Relationship Id="rId88" Type="http://schemas.openxmlformats.org/officeDocument/2006/relationships/hyperlink" Target="http://dataservice.eea.eu.int/dataservice/oth" TargetMode="External"/><Relationship Id="rId89" Type="http://schemas.openxmlformats.org/officeDocument/2006/relationships/hyperlink" Target="mailto:landcov@geog.umd.edu" TargetMode="External"/><Relationship Id="rId90" Type="http://schemas.openxmlformats.org/officeDocument/2006/relationships/hyperlink" Target="http://www.geog.umd.edu/landcover/1d-" TargetMode="External"/><Relationship Id="rId91" Type="http://schemas.openxmlformats.org/officeDocument/2006/relationships/hyperlink" Target="mailto:dataservice@eea.eu.int" TargetMode="External"/><Relationship Id="rId92" Type="http://schemas.openxmlformats.org/officeDocument/2006/relationships/hyperlink" Target="http://dataservice.eea.eu.int/dataservice/me" TargetMode="External"/><Relationship Id="rId93" Type="http://schemas.openxmlformats.org/officeDocument/2006/relationships/hyperlink" Target="http://www.esri.com/data/index.html" TargetMode="External"/><Relationship Id="rId94" Type="http://schemas.openxmlformats.org/officeDocument/2006/relationships/hyperlink" Target="mailto:sec@iscgm.org" TargetMode="External"/><Relationship Id="rId95" Type="http://schemas.openxmlformats.org/officeDocument/2006/relationships/hyperlink" Target="http://www.iscgm.org/" TargetMode="External"/><Relationship Id="rId96" Type="http://schemas.openxmlformats.org/officeDocument/2006/relationships/header" Target="header24.xml"/><Relationship Id="rId97" Type="http://schemas.openxmlformats.org/officeDocument/2006/relationships/footer" Target="footer19.xml"/><Relationship Id="rId98" Type="http://schemas.openxmlformats.org/officeDocument/2006/relationships/footer" Target="footer20.xml"/><Relationship Id="rId99" Type="http://schemas.openxmlformats.org/officeDocument/2006/relationships/hyperlink" Target="http://www.fao.org/forestry/fop/fopw/Climate/doc/Y3431E.pdf" TargetMode="External"/><Relationship Id="rId100" Type="http://schemas.openxmlformats.org/officeDocument/2006/relationships/hyperlink" Target="http://www.nhq.nrcs.usda.gov/NRI/1997/stat_estimate.htm" TargetMode="External"/><Relationship Id="rId101" Type="http://schemas.openxmlformats.org/officeDocument/2006/relationships/hyperlink" Target="http://edcdaac.usgs.gov/glcc/globe_int.html" TargetMode="External"/><Relationship Id="rId102" Type="http://schemas.openxmlformats.org/officeDocument/2006/relationships/header" Target="header25.xml"/><Relationship Id="rId103" Type="http://schemas.openxmlformats.org/officeDocument/2006/relationships/header" Target="header26.xml"/><Relationship Id="rId104" Type="http://schemas.openxmlformats.org/officeDocument/2006/relationships/header" Target="header27.xml"/><Relationship Id="rId105" Type="http://schemas.openxmlformats.org/officeDocument/2006/relationships/footer" Target="footer21.xml"/><Relationship Id="rId106" Type="http://schemas.openxmlformats.org/officeDocument/2006/relationships/footer" Target="footer22.xml"/><Relationship Id="rId107" Type="http://schemas.openxmlformats.org/officeDocument/2006/relationships/header" Target="header28.xml"/><Relationship Id="rId108" Type="http://schemas.openxmlformats.org/officeDocument/2006/relationships/header" Target="header29.xml"/><Relationship Id="rId109" Type="http://schemas.openxmlformats.org/officeDocument/2006/relationships/image" Target="media/image32.png"/><Relationship Id="rId110" Type="http://schemas.openxmlformats.org/officeDocument/2006/relationships/image" Target="media/image33.png"/><Relationship Id="rId111" Type="http://schemas.openxmlformats.org/officeDocument/2006/relationships/image" Target="media/image34.png"/><Relationship Id="rId112" Type="http://schemas.openxmlformats.org/officeDocument/2006/relationships/header" Target="header30.xml"/><Relationship Id="rId113" Type="http://schemas.openxmlformats.org/officeDocument/2006/relationships/footer" Target="footer23.xml"/><Relationship Id="rId114" Type="http://schemas.openxmlformats.org/officeDocument/2006/relationships/image" Target="media/image35.png"/><Relationship Id="rId115" Type="http://schemas.openxmlformats.org/officeDocument/2006/relationships/hyperlink" Target="http://www.grid.unep.ch/data/grid/climate.php" TargetMode="External"/><Relationship Id="rId116" Type="http://schemas.openxmlformats.org/officeDocument/2006/relationships/header" Target="header31.xml"/><Relationship Id="rId117" Type="http://schemas.openxmlformats.org/officeDocument/2006/relationships/footer" Target="footer24.xml"/><Relationship Id="rId118" Type="http://schemas.openxmlformats.org/officeDocument/2006/relationships/header" Target="header32.xml"/><Relationship Id="rId119" Type="http://schemas.openxmlformats.org/officeDocument/2006/relationships/header" Target="header33.xml"/><Relationship Id="rId120" Type="http://schemas.openxmlformats.org/officeDocument/2006/relationships/footer" Target="footer25.xml"/><Relationship Id="rId121" Type="http://schemas.openxmlformats.org/officeDocument/2006/relationships/footer" Target="footer26.xml"/><Relationship Id="rId122" Type="http://schemas.openxmlformats.org/officeDocument/2006/relationships/hyperlink" Target="http://www.efi.fi/projects/dfde" TargetMode="External"/><Relationship Id="rId123" Type="http://schemas.openxmlformats.org/officeDocument/2006/relationships/hyperlink" Target="http://www.grid.unep.ch/activities/earlywarning/preview/ims/gba/" TargetMode="External"/><Relationship Id="rId124" Type="http://schemas.openxmlformats.org/officeDocument/2006/relationships/image" Target="media/image36.png"/><Relationship Id="rId125" Type="http://schemas.openxmlformats.org/officeDocument/2006/relationships/image" Target="media/image37.png"/><Relationship Id="rId126" Type="http://schemas.openxmlformats.org/officeDocument/2006/relationships/image" Target="media/image38.png"/><Relationship Id="rId127" Type="http://schemas.openxmlformats.org/officeDocument/2006/relationships/image" Target="media/image39.png"/><Relationship Id="rId128" Type="http://schemas.openxmlformats.org/officeDocument/2006/relationships/image" Target="media/image40.png"/><Relationship Id="rId129" Type="http://schemas.openxmlformats.org/officeDocument/2006/relationships/image" Target="media/image41.png"/><Relationship Id="rId130" Type="http://schemas.openxmlformats.org/officeDocument/2006/relationships/image" Target="media/image42.png"/><Relationship Id="rId131" Type="http://schemas.openxmlformats.org/officeDocument/2006/relationships/hyperlink" Target="http://www.grid.unep.ch/activities" TargetMode="External"/><Relationship Id="rId132" Type="http://schemas.openxmlformats.org/officeDocument/2006/relationships/header" Target="header34.xml"/><Relationship Id="rId133" Type="http://schemas.openxmlformats.org/officeDocument/2006/relationships/header" Target="header35.xml"/><Relationship Id="rId134" Type="http://schemas.openxmlformats.org/officeDocument/2006/relationships/header" Target="header36.xml"/><Relationship Id="rId135" Type="http://schemas.openxmlformats.org/officeDocument/2006/relationships/footer" Target="footer27.xml"/><Relationship Id="rId136" Type="http://schemas.openxmlformats.org/officeDocument/2006/relationships/header" Target="header37.xml"/><Relationship Id="rId137" Type="http://schemas.openxmlformats.org/officeDocument/2006/relationships/header" Target="header38.xml"/><Relationship Id="rId138" Type="http://schemas.openxmlformats.org/officeDocument/2006/relationships/footer" Target="footer28.xml"/><Relationship Id="rId139" Type="http://schemas.openxmlformats.org/officeDocument/2006/relationships/footer" Target="footer29.xml"/><Relationship Id="rId140" Type="http://schemas.openxmlformats.org/officeDocument/2006/relationships/hyperlink" Target="http://www.daac.ornl.gov/NPP/html_docs/npp_site.html" TargetMode="External"/><Relationship Id="rId141" Type="http://schemas.openxmlformats.org/officeDocument/2006/relationships/hyperlink" Target="http://www.daac.ornl.gov/NPP/html_docs/EMDI_des.html" TargetMode="External"/><Relationship Id="rId142" Type="http://schemas.openxmlformats.org/officeDocument/2006/relationships/footer" Target="footer30.xml"/><Relationship Id="rId143" Type="http://schemas.openxmlformats.org/officeDocument/2006/relationships/footer" Target="footer31.xml"/><Relationship Id="rId144" Type="http://schemas.openxmlformats.org/officeDocument/2006/relationships/footer" Target="footer32.xml"/><Relationship Id="rId145" Type="http://schemas.openxmlformats.org/officeDocument/2006/relationships/footer" Target="footer33.xml"/><Relationship Id="rId146" Type="http://schemas.openxmlformats.org/officeDocument/2006/relationships/hyperlink" Target="http://www.fao.org/waicent/portal/glossary_en.asp)" TargetMode="External"/><Relationship Id="rId147" Type="http://schemas.openxmlformats.org/officeDocument/2006/relationships/footer" Target="footer34.xml"/><Relationship Id="rId148" Type="http://schemas.openxmlformats.org/officeDocument/2006/relationships/footer" Target="footer35.xml"/><Relationship Id="rId149" Type="http://schemas.openxmlformats.org/officeDocument/2006/relationships/footer" Target="footer36.xml"/><Relationship Id="rId150" Type="http://schemas.openxmlformats.org/officeDocument/2006/relationships/footer" Target="footer37.xml"/><Relationship Id="rId151" Type="http://schemas.openxmlformats.org/officeDocument/2006/relationships/footer" Target="footer38.xml"/><Relationship Id="rId152" Type="http://schemas.openxmlformats.org/officeDocument/2006/relationships/footer" Target="footer39.xml"/><Relationship Id="rId153" Type="http://schemas.openxmlformats.org/officeDocument/2006/relationships/footer" Target="footer40.xml"/><Relationship Id="rId154" Type="http://schemas.openxmlformats.org/officeDocument/2006/relationships/footer" Target="footer41.xml"/><Relationship Id="rId155" Type="http://schemas.openxmlformats.org/officeDocument/2006/relationships/header" Target="header39.xml"/><Relationship Id="rId156" Type="http://schemas.openxmlformats.org/officeDocument/2006/relationships/header" Target="header40.xml"/><Relationship Id="rId157" Type="http://schemas.openxmlformats.org/officeDocument/2006/relationships/footer" Target="footer42.xml"/><Relationship Id="rId158" Type="http://schemas.openxmlformats.org/officeDocument/2006/relationships/footer" Target="footer43.xml"/><Relationship Id="rId159" Type="http://schemas.openxmlformats.org/officeDocument/2006/relationships/header" Target="header41.xml"/><Relationship Id="rId160" Type="http://schemas.openxmlformats.org/officeDocument/2006/relationships/footer" Target="footer44.xml"/><Relationship Id="rId161" Type="http://schemas.openxmlformats.org/officeDocument/2006/relationships/header" Target="header42.xml"/><Relationship Id="rId162" Type="http://schemas.openxmlformats.org/officeDocument/2006/relationships/footer" Target="footer45.xml"/><Relationship Id="rId163" Type="http://schemas.openxmlformats.org/officeDocument/2006/relationships/footer" Target="footer46.xml"/><Relationship Id="rId164" Type="http://schemas.openxmlformats.org/officeDocument/2006/relationships/header" Target="header43.xml"/><Relationship Id="rId165" Type="http://schemas.openxmlformats.org/officeDocument/2006/relationships/header" Target="header44.xml"/><Relationship Id="rId166" Type="http://schemas.openxmlformats.org/officeDocument/2006/relationships/header" Target="header45.xml"/><Relationship Id="rId167" Type="http://schemas.openxmlformats.org/officeDocument/2006/relationships/footer" Target="footer47.xml"/><Relationship Id="rId168" Type="http://schemas.openxmlformats.org/officeDocument/2006/relationships/header" Target="header46.xml"/><Relationship Id="rId169" Type="http://schemas.openxmlformats.org/officeDocument/2006/relationships/header" Target="header47.xml"/><Relationship Id="rId170" Type="http://schemas.openxmlformats.org/officeDocument/2006/relationships/footer" Target="footer48.xml"/><Relationship Id="rId171" Type="http://schemas.openxmlformats.org/officeDocument/2006/relationships/footer" Target="footer49.xml"/><Relationship Id="rId172" Type="http://schemas.openxmlformats.org/officeDocument/2006/relationships/hyperlink" Target="http://www.efi.fi/projects/dfde/" TargetMode="External"/><Relationship Id="rId173" Type="http://schemas.openxmlformats.org/officeDocument/2006/relationships/hyperlink" Target="http://www.daac.ornl.gov/" TargetMode="External"/><Relationship Id="rId174" Type="http://schemas.openxmlformats.org/officeDocument/2006/relationships/hyperlink" Target="http://www.sml.slu.se/lustra/index.phtml" TargetMode="External"/><Relationship Id="rId175" Type="http://schemas.openxmlformats.org/officeDocument/2006/relationships/hyperlink" Target="http://apps.fao.org/page/collections?subset=forestry" TargetMode="External"/><Relationship Id="rId176" Type="http://schemas.openxmlformats.org/officeDocument/2006/relationships/hyperlink" Target="http://www.sft.no/publikasjoner/luft/1831/ta1831.pdf" TargetMode="External"/><Relationship Id="rId177" Type="http://schemas.openxmlformats.org/officeDocument/2006/relationships/hyperlink" Target="http://www.ipcc-nggip.iges.or.jp/public/mtdocs/dakar.htm" TargetMode="External"/><Relationship Id="rId178" Type="http://schemas.openxmlformats.org/officeDocument/2006/relationships/footer" Target="footer50.xml"/><Relationship Id="rId179" Type="http://schemas.openxmlformats.org/officeDocument/2006/relationships/footer" Target="footer51.xml"/><Relationship Id="rId180" Type="http://schemas.openxmlformats.org/officeDocument/2006/relationships/hyperlink" Target="http://www.fao.org/docrep/x5872e/x5872e04.htm" TargetMode="External"/><Relationship Id="rId181" Type="http://schemas.openxmlformats.org/officeDocument/2006/relationships/footer" Target="footer52.xml"/><Relationship Id="rId182" Type="http://schemas.openxmlformats.org/officeDocument/2006/relationships/footer" Target="footer53.xml"/><Relationship Id="rId183" Type="http://schemas.openxmlformats.org/officeDocument/2006/relationships/hyperlink" Target="http://www.dams.org/" TargetMode="External"/><Relationship Id="rId184" Type="http://schemas.openxmlformats.org/officeDocument/2006/relationships/header" Target="header48.xml"/><Relationship Id="rId185" Type="http://schemas.openxmlformats.org/officeDocument/2006/relationships/header" Target="header49.xml"/><Relationship Id="rId186" Type="http://schemas.openxmlformats.org/officeDocument/2006/relationships/footer" Target="footer54.xml"/><Relationship Id="rId187" Type="http://schemas.openxmlformats.org/officeDocument/2006/relationships/footer" Target="footer55.xml"/><Relationship Id="rId188" Type="http://schemas.openxmlformats.org/officeDocument/2006/relationships/hyperlink" Target="http://www.fao.org/forestry/fo/fra/index.jsp)" TargetMode="External"/><Relationship Id="rId189" Type="http://schemas.openxmlformats.org/officeDocument/2006/relationships/footer" Target="footer56.xml"/><Relationship Id="rId190" Type="http://schemas.openxmlformats.org/officeDocument/2006/relationships/footer" Target="footer57.xml"/><Relationship Id="rId191" Type="http://schemas.openxmlformats.org/officeDocument/2006/relationships/footer" Target="footer58.xml"/><Relationship Id="rId192" Type="http://schemas.openxmlformats.org/officeDocument/2006/relationships/footer" Target="footer59.xml"/><Relationship Id="rId193" Type="http://schemas.openxmlformats.org/officeDocument/2006/relationships/hyperlink" Target="mailto:jsmith11@fs.fed.us" TargetMode="External"/><Relationship Id="rId194" Type="http://schemas.openxmlformats.org/officeDocument/2006/relationships/hyperlink" Target="mailto:Lheath@fs.fed.us" TargetMode="External"/><Relationship Id="rId195" Type="http://schemas.openxmlformats.org/officeDocument/2006/relationships/hyperlink" Target="http://www.fao.org/DOCREP/004/AC121E/AC121E00.HTM" TargetMode="External"/><Relationship Id="rId196" Type="http://schemas.openxmlformats.org/officeDocument/2006/relationships/footer" Target="footer60.xml"/><Relationship Id="rId197" Type="http://schemas.openxmlformats.org/officeDocument/2006/relationships/footer" Target="footer61.xml"/><Relationship Id="rId198" Type="http://schemas.openxmlformats.org/officeDocument/2006/relationships/footer" Target="footer62.xml"/><Relationship Id="rId199" Type="http://schemas.openxmlformats.org/officeDocument/2006/relationships/footer" Target="footer63.xml"/><Relationship Id="rId200" Type="http://schemas.openxmlformats.org/officeDocument/2006/relationships/hyperlink" Target="http://www.fao.org/forestry/index.jsp)" TargetMode="External"/><Relationship Id="rId201" Type="http://schemas.openxmlformats.org/officeDocument/2006/relationships/footer" Target="footer64.xml"/><Relationship Id="rId202" Type="http://schemas.openxmlformats.org/officeDocument/2006/relationships/footer" Target="footer65.xml"/><Relationship Id="rId203" Type="http://schemas.openxmlformats.org/officeDocument/2006/relationships/footer" Target="footer66.xml"/><Relationship Id="rId204" Type="http://schemas.openxmlformats.org/officeDocument/2006/relationships/footer" Target="footer67.xml"/><Relationship Id="rId205" Type="http://schemas.openxmlformats.org/officeDocument/2006/relationships/header" Target="header50.xml"/><Relationship Id="rId206" Type="http://schemas.openxmlformats.org/officeDocument/2006/relationships/footer" Target="footer68.xml"/><Relationship Id="rId207" Type="http://schemas.openxmlformats.org/officeDocument/2006/relationships/header" Target="header51.xml"/><Relationship Id="rId208" Type="http://schemas.openxmlformats.org/officeDocument/2006/relationships/footer" Target="footer69.xml"/><Relationship Id="rId209" Type="http://schemas.openxmlformats.org/officeDocument/2006/relationships/header" Target="header52.xml"/><Relationship Id="rId210" Type="http://schemas.openxmlformats.org/officeDocument/2006/relationships/footer" Target="footer70.xml"/><Relationship Id="rId211" Type="http://schemas.openxmlformats.org/officeDocument/2006/relationships/header" Target="header53.xml"/><Relationship Id="rId212" Type="http://schemas.openxmlformats.org/officeDocument/2006/relationships/header" Target="header54.xml"/><Relationship Id="rId213" Type="http://schemas.openxmlformats.org/officeDocument/2006/relationships/footer" Target="footer71.xml"/><Relationship Id="rId214" Type="http://schemas.openxmlformats.org/officeDocument/2006/relationships/footer" Target="footer72.xml"/><Relationship Id="rId215" Type="http://schemas.openxmlformats.org/officeDocument/2006/relationships/footer" Target="footer73.xml"/><Relationship Id="rId216" Type="http://schemas.openxmlformats.org/officeDocument/2006/relationships/footer" Target="footer74.xml"/><Relationship Id="rId217" Type="http://schemas.openxmlformats.org/officeDocument/2006/relationships/header" Target="header55.xml"/><Relationship Id="rId218" Type="http://schemas.openxmlformats.org/officeDocument/2006/relationships/header" Target="header56.xml"/><Relationship Id="rId219" Type="http://schemas.openxmlformats.org/officeDocument/2006/relationships/footer" Target="footer75.xml"/><Relationship Id="rId220" Type="http://schemas.openxmlformats.org/officeDocument/2006/relationships/footer" Target="footer76.xml"/><Relationship Id="rId221" Type="http://schemas.openxmlformats.org/officeDocument/2006/relationships/header" Target="header57.xml"/><Relationship Id="rId222" Type="http://schemas.openxmlformats.org/officeDocument/2006/relationships/header" Target="header58.xml"/><Relationship Id="rId223" Type="http://schemas.openxmlformats.org/officeDocument/2006/relationships/footer" Target="footer77.xml"/><Relationship Id="rId224" Type="http://schemas.openxmlformats.org/officeDocument/2006/relationships/footer" Target="footer78.xml"/><Relationship Id="rId225" Type="http://schemas.openxmlformats.org/officeDocument/2006/relationships/footer" Target="footer79.xml"/><Relationship Id="rId226" Type="http://schemas.openxmlformats.org/officeDocument/2006/relationships/footer" Target="footer80.xml"/><Relationship Id="rId227" Type="http://schemas.openxmlformats.org/officeDocument/2006/relationships/footer" Target="footer81.xml"/><Relationship Id="rId228" Type="http://schemas.openxmlformats.org/officeDocument/2006/relationships/footer" Target="footer82.xml"/><Relationship Id="rId229" Type="http://schemas.openxmlformats.org/officeDocument/2006/relationships/footer" Target="footer83.xml"/><Relationship Id="rId230" Type="http://schemas.openxmlformats.org/officeDocument/2006/relationships/footer" Target="footer84.xml"/><Relationship Id="rId231" Type="http://schemas.openxmlformats.org/officeDocument/2006/relationships/footer" Target="footer85.xml"/><Relationship Id="rId232" Type="http://schemas.openxmlformats.org/officeDocument/2006/relationships/footer" Target="footer86.xml"/><Relationship Id="rId233" Type="http://schemas.openxmlformats.org/officeDocument/2006/relationships/footer" Target="footer87.xml"/><Relationship Id="rId234" Type="http://schemas.openxmlformats.org/officeDocument/2006/relationships/footer" Target="footer88.xml"/><Relationship Id="rId235" Type="http://schemas.openxmlformats.org/officeDocument/2006/relationships/footer" Target="footer89.xml"/><Relationship Id="rId236" Type="http://schemas.openxmlformats.org/officeDocument/2006/relationships/footer" Target="footer90.xml"/><Relationship Id="rId237" Type="http://schemas.openxmlformats.org/officeDocument/2006/relationships/footer" Target="footer91.xml"/><Relationship Id="rId238" Type="http://schemas.openxmlformats.org/officeDocument/2006/relationships/footer" Target="footer92.xml"/><Relationship Id="rId239" Type="http://schemas.openxmlformats.org/officeDocument/2006/relationships/footer" Target="footer93.xml"/><Relationship Id="rId240" Type="http://schemas.openxmlformats.org/officeDocument/2006/relationships/footer" Target="footer94.xml"/><Relationship Id="rId241" Type="http://schemas.openxmlformats.org/officeDocument/2006/relationships/footer" Target="footer95.xml"/><Relationship Id="rId242" Type="http://schemas.openxmlformats.org/officeDocument/2006/relationships/footer" Target="footer96.xml"/><Relationship Id="rId243" Type="http://schemas.openxmlformats.org/officeDocument/2006/relationships/header" Target="header59.xml"/><Relationship Id="rId244" Type="http://schemas.openxmlformats.org/officeDocument/2006/relationships/header" Target="header60.xml"/><Relationship Id="rId245" Type="http://schemas.openxmlformats.org/officeDocument/2006/relationships/footer" Target="footer97.xml"/><Relationship Id="rId246" Type="http://schemas.openxmlformats.org/officeDocument/2006/relationships/footer" Target="footer98.xml"/><Relationship Id="rId247" Type="http://schemas.openxmlformats.org/officeDocument/2006/relationships/image" Target="media/image43.png"/><Relationship Id="rId248" Type="http://schemas.openxmlformats.org/officeDocument/2006/relationships/footer" Target="footer99.xml"/><Relationship Id="rId249" Type="http://schemas.openxmlformats.org/officeDocument/2006/relationships/footer" Target="footer100.xml"/><Relationship Id="rId250" Type="http://schemas.openxmlformats.org/officeDocument/2006/relationships/image" Target="media/image44.png"/><Relationship Id="rId251" Type="http://schemas.openxmlformats.org/officeDocument/2006/relationships/footer" Target="footer101.xml"/><Relationship Id="rId252" Type="http://schemas.openxmlformats.org/officeDocument/2006/relationships/footer" Target="footer102.xml"/><Relationship Id="rId253" Type="http://schemas.openxmlformats.org/officeDocument/2006/relationships/header" Target="header61.xml"/><Relationship Id="rId254" Type="http://schemas.openxmlformats.org/officeDocument/2006/relationships/footer" Target="footer103.xml"/><Relationship Id="rId255" Type="http://schemas.openxmlformats.org/officeDocument/2006/relationships/footer" Target="footer104.xml"/><Relationship Id="rId256" Type="http://schemas.openxmlformats.org/officeDocument/2006/relationships/header" Target="header62.xml"/><Relationship Id="rId257" Type="http://schemas.openxmlformats.org/officeDocument/2006/relationships/header" Target="header63.xml"/><Relationship Id="rId258" Type="http://schemas.openxmlformats.org/officeDocument/2006/relationships/footer" Target="footer105.xml"/><Relationship Id="rId259" Type="http://schemas.openxmlformats.org/officeDocument/2006/relationships/footer" Target="footer106.xml"/><Relationship Id="rId260" Type="http://schemas.openxmlformats.org/officeDocument/2006/relationships/header" Target="header64.xml"/><Relationship Id="rId261" Type="http://schemas.openxmlformats.org/officeDocument/2006/relationships/header" Target="header65.xml"/><Relationship Id="rId262" Type="http://schemas.openxmlformats.org/officeDocument/2006/relationships/footer" Target="footer107.xml"/><Relationship Id="rId263" Type="http://schemas.openxmlformats.org/officeDocument/2006/relationships/footer" Target="footer108.xml"/><Relationship Id="rId264" Type="http://schemas.openxmlformats.org/officeDocument/2006/relationships/header" Target="header66.xml"/><Relationship Id="rId265" Type="http://schemas.openxmlformats.org/officeDocument/2006/relationships/header" Target="header67.xml"/><Relationship Id="rId266" Type="http://schemas.openxmlformats.org/officeDocument/2006/relationships/footer" Target="footer109.xml"/><Relationship Id="rId267" Type="http://schemas.openxmlformats.org/officeDocument/2006/relationships/footer" Target="footer110.xml"/><Relationship Id="rId268" Type="http://schemas.openxmlformats.org/officeDocument/2006/relationships/hyperlink" Target="http://www.worldenergy.org/wec-geis/publications/reports" TargetMode="External"/><Relationship Id="rId269" Type="http://schemas.openxmlformats.org/officeDocument/2006/relationships/hyperlink" Target="http://www.wetlands.org/" TargetMode="External"/><Relationship Id="rId270" Type="http://schemas.openxmlformats.org/officeDocument/2006/relationships/footer" Target="footer111.xml"/><Relationship Id="rId271" Type="http://schemas.openxmlformats.org/officeDocument/2006/relationships/footer" Target="footer112.xml"/><Relationship Id="rId272" Type="http://schemas.openxmlformats.org/officeDocument/2006/relationships/hyperlink" Target="http://www.worldenergy.org/wec-geis/publications/reports/ser/peat/peat.asp" TargetMode="External"/><Relationship Id="rId273" Type="http://schemas.openxmlformats.org/officeDocument/2006/relationships/footer" Target="footer113.xml"/><Relationship Id="rId274" Type="http://schemas.openxmlformats.org/officeDocument/2006/relationships/footer" Target="footer114.xml"/><Relationship Id="rId275" Type="http://schemas.openxmlformats.org/officeDocument/2006/relationships/footer" Target="footer115.xml"/><Relationship Id="rId276" Type="http://schemas.openxmlformats.org/officeDocument/2006/relationships/footer" Target="footer116.xml"/><Relationship Id="rId277" Type="http://schemas.openxmlformats.org/officeDocument/2006/relationships/header" Target="header68.xml"/><Relationship Id="rId278" Type="http://schemas.openxmlformats.org/officeDocument/2006/relationships/header" Target="header69.xml"/><Relationship Id="rId279" Type="http://schemas.openxmlformats.org/officeDocument/2006/relationships/header" Target="header70.xml"/><Relationship Id="rId280" Type="http://schemas.openxmlformats.org/officeDocument/2006/relationships/footer" Target="footer117.xml"/><Relationship Id="rId281" Type="http://schemas.openxmlformats.org/officeDocument/2006/relationships/header" Target="header71.xml"/><Relationship Id="rId282" Type="http://schemas.openxmlformats.org/officeDocument/2006/relationships/footer" Target="footer118.xml"/><Relationship Id="rId283" Type="http://schemas.openxmlformats.org/officeDocument/2006/relationships/header" Target="header72.xml"/><Relationship Id="rId284" Type="http://schemas.openxmlformats.org/officeDocument/2006/relationships/footer" Target="footer119.xml"/><Relationship Id="rId285" Type="http://schemas.openxmlformats.org/officeDocument/2006/relationships/header" Target="header73.xml"/><Relationship Id="rId286" Type="http://schemas.openxmlformats.org/officeDocument/2006/relationships/footer" Target="footer120.xml"/><Relationship Id="rId287" Type="http://schemas.openxmlformats.org/officeDocument/2006/relationships/footer" Target="footer121.xml"/><Relationship Id="rId288" Type="http://schemas.openxmlformats.org/officeDocument/2006/relationships/header" Target="header74.xml"/><Relationship Id="rId289" Type="http://schemas.openxmlformats.org/officeDocument/2006/relationships/header" Target="header75.xml"/><Relationship Id="rId290" Type="http://schemas.openxmlformats.org/officeDocument/2006/relationships/header" Target="header76.xml"/><Relationship Id="rId291" Type="http://schemas.openxmlformats.org/officeDocument/2006/relationships/footer" Target="footer122.xml"/><Relationship Id="rId292" Type="http://schemas.openxmlformats.org/officeDocument/2006/relationships/footer" Target="footer123.xml"/><Relationship Id="rId293" Type="http://schemas.openxmlformats.org/officeDocument/2006/relationships/header" Target="header77.xml"/><Relationship Id="rId294" Type="http://schemas.openxmlformats.org/officeDocument/2006/relationships/header" Target="header78.xml"/><Relationship Id="rId295" Type="http://schemas.openxmlformats.org/officeDocument/2006/relationships/hyperlink" Target="http://unfccc.int/resource/docs/convkp/kpeng.pdf)" TargetMode="External"/><Relationship Id="rId296" Type="http://schemas.openxmlformats.org/officeDocument/2006/relationships/image" Target="media/image45.png"/><Relationship Id="rId297" Type="http://schemas.openxmlformats.org/officeDocument/2006/relationships/image" Target="media/image46.png"/><Relationship Id="rId298" Type="http://schemas.openxmlformats.org/officeDocument/2006/relationships/image" Target="media/image47.png"/><Relationship Id="rId299" Type="http://schemas.openxmlformats.org/officeDocument/2006/relationships/image" Target="media/image48.png"/><Relationship Id="rId300" Type="http://schemas.openxmlformats.org/officeDocument/2006/relationships/image" Target="media/image49.png"/><Relationship Id="rId301" Type="http://schemas.openxmlformats.org/officeDocument/2006/relationships/image" Target="media/image50.png"/><Relationship Id="rId302" Type="http://schemas.openxmlformats.org/officeDocument/2006/relationships/image" Target="media/image51.png"/><Relationship Id="rId303" Type="http://schemas.openxmlformats.org/officeDocument/2006/relationships/image" Target="media/image52.png"/><Relationship Id="rId304" Type="http://schemas.openxmlformats.org/officeDocument/2006/relationships/image" Target="media/image53.png"/><Relationship Id="rId305" Type="http://schemas.openxmlformats.org/officeDocument/2006/relationships/image" Target="media/image54.png"/><Relationship Id="rId306" Type="http://schemas.openxmlformats.org/officeDocument/2006/relationships/image" Target="media/image55.png"/><Relationship Id="rId307" Type="http://schemas.openxmlformats.org/officeDocument/2006/relationships/header" Target="header79.xml"/><Relationship Id="rId308" Type="http://schemas.openxmlformats.org/officeDocument/2006/relationships/header" Target="header80.xml"/><Relationship Id="rId309" Type="http://schemas.openxmlformats.org/officeDocument/2006/relationships/image" Target="media/image56.png"/><Relationship Id="rId310" Type="http://schemas.openxmlformats.org/officeDocument/2006/relationships/image" Target="media/image57.png"/><Relationship Id="rId311" Type="http://schemas.openxmlformats.org/officeDocument/2006/relationships/image" Target="media/image58.png"/><Relationship Id="rId312" Type="http://schemas.openxmlformats.org/officeDocument/2006/relationships/image" Target="media/image59.png"/><Relationship Id="rId313" Type="http://schemas.openxmlformats.org/officeDocument/2006/relationships/image" Target="media/image60.png"/><Relationship Id="rId314" Type="http://schemas.openxmlformats.org/officeDocument/2006/relationships/header" Target="header81.xml"/><Relationship Id="rId315" Type="http://schemas.openxmlformats.org/officeDocument/2006/relationships/header" Target="header82.xml"/><Relationship Id="rId316" Type="http://schemas.openxmlformats.org/officeDocument/2006/relationships/footer" Target="footer124.xml"/><Relationship Id="rId317" Type="http://schemas.openxmlformats.org/officeDocument/2006/relationships/footer" Target="footer125.xml"/><Relationship Id="rId318" Type="http://schemas.openxmlformats.org/officeDocument/2006/relationships/header" Target="header83.xml"/><Relationship Id="rId319" Type="http://schemas.openxmlformats.org/officeDocument/2006/relationships/footer" Target="footer126.xml"/><Relationship Id="rId320" Type="http://schemas.openxmlformats.org/officeDocument/2006/relationships/footer" Target="footer127.xml"/><Relationship Id="rId321" Type="http://schemas.openxmlformats.org/officeDocument/2006/relationships/header" Target="header84.xml"/><Relationship Id="rId322" Type="http://schemas.openxmlformats.org/officeDocument/2006/relationships/header" Target="header85.xml"/><Relationship Id="rId323" Type="http://schemas.openxmlformats.org/officeDocument/2006/relationships/header" Target="header86.xml"/><Relationship Id="rId324" Type="http://schemas.openxmlformats.org/officeDocument/2006/relationships/footer" Target="footer128.xml"/><Relationship Id="rId325" Type="http://schemas.openxmlformats.org/officeDocument/2006/relationships/footer" Target="footer129.xml"/><Relationship Id="rId326" Type="http://schemas.openxmlformats.org/officeDocument/2006/relationships/footer" Target="footer130.xml"/><Relationship Id="rId327" Type="http://schemas.openxmlformats.org/officeDocument/2006/relationships/footer" Target="footer131.xml"/><Relationship Id="rId328" Type="http://schemas.openxmlformats.org/officeDocument/2006/relationships/image" Target="media/image61.png"/><Relationship Id="rId329" Type="http://schemas.openxmlformats.org/officeDocument/2006/relationships/hyperlink" Target="http://www.winrock.org/REEP/NoelKmpff_rpt.html)" TargetMode="External"/><Relationship Id="rId330" Type="http://schemas.openxmlformats.org/officeDocument/2006/relationships/image" Target="media/image62.png"/><Relationship Id="rId331" Type="http://schemas.openxmlformats.org/officeDocument/2006/relationships/image" Target="media/image63.png"/><Relationship Id="rId332" Type="http://schemas.openxmlformats.org/officeDocument/2006/relationships/image" Target="media/image64.png"/><Relationship Id="rId333" Type="http://schemas.openxmlformats.org/officeDocument/2006/relationships/footer" Target="footer132.xml"/><Relationship Id="rId334" Type="http://schemas.openxmlformats.org/officeDocument/2006/relationships/footer" Target="footer133.xml"/><Relationship Id="rId335" Type="http://schemas.openxmlformats.org/officeDocument/2006/relationships/footer" Target="footer134.xml"/><Relationship Id="rId336" Type="http://schemas.openxmlformats.org/officeDocument/2006/relationships/footer" Target="footer135.xml"/><Relationship Id="rId337" Type="http://schemas.openxmlformats.org/officeDocument/2006/relationships/header" Target="header87.xml"/><Relationship Id="rId338" Type="http://schemas.openxmlformats.org/officeDocument/2006/relationships/header" Target="header88.xml"/><Relationship Id="rId339" Type="http://schemas.openxmlformats.org/officeDocument/2006/relationships/header" Target="header89.xml"/><Relationship Id="rId340" Type="http://schemas.openxmlformats.org/officeDocument/2006/relationships/header" Target="header90.xml"/><Relationship Id="rId341" Type="http://schemas.openxmlformats.org/officeDocument/2006/relationships/header" Target="header91.xml"/><Relationship Id="rId342" Type="http://schemas.openxmlformats.org/officeDocument/2006/relationships/header" Target="header92.xml"/><Relationship Id="rId343" Type="http://schemas.openxmlformats.org/officeDocument/2006/relationships/hyperlink" Target="http://www.lternet.edu/documents/Publications/woodydetritus/" TargetMode="External"/><Relationship Id="rId344" Type="http://schemas.openxmlformats.org/officeDocument/2006/relationships/hyperlink" Target="http://www.winrock.org/REEP/PDF_Pubs/carbon.pdf%3B" TargetMode="External"/><Relationship Id="rId345" Type="http://schemas.openxmlformats.org/officeDocument/2006/relationships/hyperlink" Target="http://www.winrock.org/REEP/PDF_Pubs/fundacionsolar.pdf" TargetMode="External"/><Relationship Id="rId346" Type="http://schemas.openxmlformats.org/officeDocument/2006/relationships/footer" Target="footer136.xml"/><Relationship Id="rId347" Type="http://schemas.openxmlformats.org/officeDocument/2006/relationships/footer" Target="footer137.xml"/><Relationship Id="rId348" Type="http://schemas.openxmlformats.org/officeDocument/2006/relationships/header" Target="header93.xml"/><Relationship Id="rId349" Type="http://schemas.openxmlformats.org/officeDocument/2006/relationships/header" Target="header94.xml"/><Relationship Id="rId350" Type="http://schemas.openxmlformats.org/officeDocument/2006/relationships/footer" Target="footer138.xml"/><Relationship Id="rId351" Type="http://schemas.openxmlformats.org/officeDocument/2006/relationships/footer" Target="footer139.xml"/><Relationship Id="rId352" Type="http://schemas.openxmlformats.org/officeDocument/2006/relationships/image" Target="media/image65.png"/><Relationship Id="rId353" Type="http://schemas.openxmlformats.org/officeDocument/2006/relationships/image" Target="media/image66.png"/><Relationship Id="rId354" Type="http://schemas.openxmlformats.org/officeDocument/2006/relationships/image" Target="media/image67.png"/><Relationship Id="rId355" Type="http://schemas.openxmlformats.org/officeDocument/2006/relationships/image" Target="media/image68.png"/><Relationship Id="rId356" Type="http://schemas.openxmlformats.org/officeDocument/2006/relationships/image" Target="media/image69.png"/><Relationship Id="rId357" Type="http://schemas.openxmlformats.org/officeDocument/2006/relationships/image" Target="media/image70.png"/><Relationship Id="rId358" Type="http://schemas.openxmlformats.org/officeDocument/2006/relationships/image" Target="media/image71.png"/><Relationship Id="rId359" Type="http://schemas.openxmlformats.org/officeDocument/2006/relationships/image" Target="media/image72.png"/><Relationship Id="rId360" Type="http://schemas.openxmlformats.org/officeDocument/2006/relationships/image" Target="media/image73.png"/><Relationship Id="rId361" Type="http://schemas.openxmlformats.org/officeDocument/2006/relationships/image" Target="media/image74.png"/><Relationship Id="rId362" Type="http://schemas.openxmlformats.org/officeDocument/2006/relationships/image" Target="media/image75.png"/><Relationship Id="rId363" Type="http://schemas.openxmlformats.org/officeDocument/2006/relationships/image" Target="media/image76.png"/><Relationship Id="rId364" Type="http://schemas.openxmlformats.org/officeDocument/2006/relationships/image" Target="media/image77.png"/><Relationship Id="rId365" Type="http://schemas.openxmlformats.org/officeDocument/2006/relationships/hyperlink" Target="http://www.unescap.org/stat/envstat/stwes-class-landuse.pdf" TargetMode="External"/><Relationship Id="rId366" Type="http://schemas.openxmlformats.org/officeDocument/2006/relationships/image" Target="media/image78.png"/><Relationship Id="rId367" Type="http://schemas.openxmlformats.org/officeDocument/2006/relationships/header" Target="header95.xml"/><Relationship Id="rId368" Type="http://schemas.openxmlformats.org/officeDocument/2006/relationships/footer" Target="footer140.xml"/><Relationship Id="rId369" Type="http://schemas.openxmlformats.org/officeDocument/2006/relationships/footer" Target="footer141.xml"/><Relationship Id="rId370" Type="http://schemas.openxmlformats.org/officeDocument/2006/relationships/header" Target="header96.xml"/><Relationship Id="rId371" Type="http://schemas.openxmlformats.org/officeDocument/2006/relationships/header" Target="header97.xml"/><Relationship Id="rId372" Type="http://schemas.openxmlformats.org/officeDocument/2006/relationships/footer" Target="footer142.xml"/><Relationship Id="rId373" Type="http://schemas.openxmlformats.org/officeDocument/2006/relationships/footer" Target="footer143.xml"/><Relationship Id="rId374" Type="http://schemas.openxmlformats.org/officeDocument/2006/relationships/header" Target="header98.xml"/><Relationship Id="rId375" Type="http://schemas.openxmlformats.org/officeDocument/2006/relationships/header" Target="header99.xml"/><Relationship Id="rId376" Type="http://schemas.openxmlformats.org/officeDocument/2006/relationships/header" Target="header100.xml"/><Relationship Id="rId377" Type="http://schemas.openxmlformats.org/officeDocument/2006/relationships/header" Target="header101.xml"/><Relationship Id="rId378" Type="http://schemas.openxmlformats.org/officeDocument/2006/relationships/image" Target="media/image79.png"/><Relationship Id="rId379" Type="http://schemas.openxmlformats.org/officeDocument/2006/relationships/footer" Target="footer144.xml"/><Relationship Id="rId380" Type="http://schemas.openxmlformats.org/officeDocument/2006/relationships/footer" Target="footer145.xml"/><Relationship Id="rId381" Type="http://schemas.openxmlformats.org/officeDocument/2006/relationships/header" Target="header102.xml"/><Relationship Id="rId382" Type="http://schemas.openxmlformats.org/officeDocument/2006/relationships/header" Target="header103.xml"/><Relationship Id="rId383" Type="http://schemas.openxmlformats.org/officeDocument/2006/relationships/footer" Target="footer146.xml"/><Relationship Id="rId384" Type="http://schemas.openxmlformats.org/officeDocument/2006/relationships/footer" Target="footer147.xml"/><Relationship Id="rId385" Type="http://schemas.openxmlformats.org/officeDocument/2006/relationships/image" Target="media/image80.png"/><Relationship Id="rId386" Type="http://schemas.openxmlformats.org/officeDocument/2006/relationships/image" Target="media/image81.png"/><Relationship Id="rId387" Type="http://schemas.openxmlformats.org/officeDocument/2006/relationships/image" Target="media/image82.png"/><Relationship Id="rId388" Type="http://schemas.openxmlformats.org/officeDocument/2006/relationships/image" Target="media/image83.png"/><Relationship Id="rId389" Type="http://schemas.openxmlformats.org/officeDocument/2006/relationships/image" Target="media/image84.png"/><Relationship Id="rId390" Type="http://schemas.openxmlformats.org/officeDocument/2006/relationships/image" Target="media/image85.png"/><Relationship Id="rId391" Type="http://schemas.openxmlformats.org/officeDocument/2006/relationships/image" Target="media/image86.png"/><Relationship Id="rId392" Type="http://schemas.openxmlformats.org/officeDocument/2006/relationships/image" Target="media/image87.png"/><Relationship Id="rId393" Type="http://schemas.openxmlformats.org/officeDocument/2006/relationships/image" Target="media/image88.png"/><Relationship Id="rId394" Type="http://schemas.openxmlformats.org/officeDocument/2006/relationships/image" Target="media/image89.png"/><Relationship Id="rId395" Type="http://schemas.openxmlformats.org/officeDocument/2006/relationships/image" Target="media/image90.png"/><Relationship Id="rId396" Type="http://schemas.openxmlformats.org/officeDocument/2006/relationships/image" Target="media/image91.png"/><Relationship Id="rId397" Type="http://schemas.openxmlformats.org/officeDocument/2006/relationships/image" Target="media/image92.png"/><Relationship Id="rId398" Type="http://schemas.openxmlformats.org/officeDocument/2006/relationships/image" Target="media/image93.png"/><Relationship Id="rId399" Type="http://schemas.openxmlformats.org/officeDocument/2006/relationships/image" Target="media/image94.png"/><Relationship Id="rId400" Type="http://schemas.openxmlformats.org/officeDocument/2006/relationships/image" Target="media/image95.png"/><Relationship Id="rId401" Type="http://schemas.openxmlformats.org/officeDocument/2006/relationships/image" Target="media/image96.png"/><Relationship Id="rId402" Type="http://schemas.openxmlformats.org/officeDocument/2006/relationships/image" Target="media/image97.png"/><Relationship Id="rId403" Type="http://schemas.openxmlformats.org/officeDocument/2006/relationships/image" Target="media/image98.png"/><Relationship Id="rId404" Type="http://schemas.openxmlformats.org/officeDocument/2006/relationships/image" Target="media/image99.png"/><Relationship Id="rId405" Type="http://schemas.openxmlformats.org/officeDocument/2006/relationships/image" Target="media/image100.png"/><Relationship Id="rId406" Type="http://schemas.openxmlformats.org/officeDocument/2006/relationships/image" Target="media/image101.png"/><Relationship Id="rId407" Type="http://schemas.openxmlformats.org/officeDocument/2006/relationships/image" Target="media/image102.png"/><Relationship Id="rId408" Type="http://schemas.openxmlformats.org/officeDocument/2006/relationships/image" Target="media/image103.png"/><Relationship Id="rId409" Type="http://schemas.openxmlformats.org/officeDocument/2006/relationships/image" Target="media/image104.png"/><Relationship Id="rId410" Type="http://schemas.openxmlformats.org/officeDocument/2006/relationships/image" Target="media/image105.png"/><Relationship Id="rId411" Type="http://schemas.openxmlformats.org/officeDocument/2006/relationships/image" Target="media/image106.png"/><Relationship Id="rId412" Type="http://schemas.openxmlformats.org/officeDocument/2006/relationships/image" Target="media/image107.png"/><Relationship Id="rId413" Type="http://schemas.openxmlformats.org/officeDocument/2006/relationships/image" Target="media/image108.png"/><Relationship Id="rId414" Type="http://schemas.openxmlformats.org/officeDocument/2006/relationships/image" Target="media/image109.png"/><Relationship Id="rId415" Type="http://schemas.openxmlformats.org/officeDocument/2006/relationships/image" Target="media/image110.png"/><Relationship Id="rId416" Type="http://schemas.openxmlformats.org/officeDocument/2006/relationships/image" Target="media/image111.png"/><Relationship Id="rId417" Type="http://schemas.openxmlformats.org/officeDocument/2006/relationships/image" Target="media/image112.png"/><Relationship Id="rId418" Type="http://schemas.openxmlformats.org/officeDocument/2006/relationships/image" Target="media/image113.png"/><Relationship Id="rId419" Type="http://schemas.openxmlformats.org/officeDocument/2006/relationships/image" Target="media/image114.png"/><Relationship Id="rId420" Type="http://schemas.openxmlformats.org/officeDocument/2006/relationships/image" Target="media/image115.png"/><Relationship Id="rId421" Type="http://schemas.openxmlformats.org/officeDocument/2006/relationships/image" Target="media/image116.png"/><Relationship Id="rId422" Type="http://schemas.openxmlformats.org/officeDocument/2006/relationships/image" Target="media/image117.png"/><Relationship Id="rId423" Type="http://schemas.openxmlformats.org/officeDocument/2006/relationships/header" Target="header104.xml"/><Relationship Id="rId424" Type="http://schemas.openxmlformats.org/officeDocument/2006/relationships/header" Target="header105.xml"/><Relationship Id="rId425" Type="http://schemas.openxmlformats.org/officeDocument/2006/relationships/image" Target="media/image118.png"/><Relationship Id="rId426" Type="http://schemas.openxmlformats.org/officeDocument/2006/relationships/image" Target="media/image119.png"/><Relationship Id="rId427" Type="http://schemas.openxmlformats.org/officeDocument/2006/relationships/image" Target="media/image120.png"/><Relationship Id="rId428" Type="http://schemas.openxmlformats.org/officeDocument/2006/relationships/header" Target="header106.xml"/><Relationship Id="rId429" Type="http://schemas.openxmlformats.org/officeDocument/2006/relationships/header" Target="header107.xml"/><Relationship Id="rId430" Type="http://schemas.openxmlformats.org/officeDocument/2006/relationships/header" Target="header108.xml"/><Relationship Id="rId431" Type="http://schemas.openxmlformats.org/officeDocument/2006/relationships/header" Target="header109.xml"/><Relationship Id="rId432" Type="http://schemas.openxmlformats.org/officeDocument/2006/relationships/image" Target="media/image121.png"/><Relationship Id="rId433" Type="http://schemas.openxmlformats.org/officeDocument/2006/relationships/image" Target="media/image122.png"/><Relationship Id="rId434" Type="http://schemas.openxmlformats.org/officeDocument/2006/relationships/image" Target="media/image123.png"/><Relationship Id="rId435" Type="http://schemas.openxmlformats.org/officeDocument/2006/relationships/image" Target="media/image124.png"/><Relationship Id="rId436" Type="http://schemas.openxmlformats.org/officeDocument/2006/relationships/image" Target="media/image125.png"/><Relationship Id="rId437" Type="http://schemas.openxmlformats.org/officeDocument/2006/relationships/header" Target="header110.xml"/><Relationship Id="rId438" Type="http://schemas.openxmlformats.org/officeDocument/2006/relationships/header" Target="header111.xml"/><Relationship Id="rId439" Type="http://schemas.openxmlformats.org/officeDocument/2006/relationships/hyperlink" Target="http://www-eosdis.ornl.gov/FLUXNET/index.html" TargetMode="External"/><Relationship Id="rId440" Type="http://schemas.openxmlformats.org/officeDocument/2006/relationships/hyperlink" Target="http://www.bgc-jena.mpg.de/public/carboeur/" TargetMode="External"/><Relationship Id="rId441" Type="http://schemas.openxmlformats.org/officeDocument/2006/relationships/hyperlink" Target="http://www.igbp.kva.se/cgi-bin/php/frameset.php" TargetMode="External"/><Relationship Id="rId442" Type="http://schemas.openxmlformats.org/officeDocument/2006/relationships/hyperlink" Target="http://www.gcte.org/" TargetMode="External"/><Relationship Id="rId443" Type="http://schemas.openxmlformats.org/officeDocument/2006/relationships/hyperlink" Target="http://www.lternet.edu/" TargetMode="External"/><Relationship Id="rId444" Type="http://schemas.openxmlformats.org/officeDocument/2006/relationships/hyperlink" Target="http://www.fao.org/" TargetMode="External"/><Relationship Id="rId445" Type="http://schemas.openxmlformats.org/officeDocument/2006/relationships/hyperlink" Target="http://www.vyh.fi/eng/intcoop/projects/icp_im/im.htm" TargetMode="External"/><Relationship Id="rId446" Type="http://schemas.openxmlformats.org/officeDocument/2006/relationships/hyperlink" Target="http://www.emep.int/" TargetMode="External"/><Relationship Id="rId447" Type="http://schemas.openxmlformats.org/officeDocument/2006/relationships/hyperlink" Target="http://www.globalcarbonproject.org/" TargetMode="External"/><Relationship Id="rId448" Type="http://schemas.openxmlformats.org/officeDocument/2006/relationships/hyperlink" Target="http://www-/" TargetMode="External"/><Relationship Id="rId449" Type="http://schemas.openxmlformats.org/officeDocument/2006/relationships/hyperlink" Target="http://idisk.mac.com/alexandreleroux/Public/agisrs/arsist.html" TargetMode="External"/><Relationship Id="rId450" Type="http://schemas.openxmlformats.org/officeDocument/2006/relationships/hyperlink" Target="http://www.esa.int/dup)" TargetMode="External"/><Relationship Id="rId451" Type="http://schemas.openxmlformats.org/officeDocument/2006/relationships/hyperlink" Target="http://natural-/" TargetMode="External"/><Relationship Id="rId452" Type="http://schemas.openxmlformats.org/officeDocument/2006/relationships/hyperlink" Target="http://earth.esa.int/ionia/FIRE/)" TargetMode="External"/><Relationship Id="rId453" Type="http://schemas.openxmlformats.org/officeDocument/2006/relationships/hyperlink" Target="http://earth.esa.int/ionia/FIRE/%3B" TargetMode="External"/><Relationship Id="rId454" Type="http://schemas.openxmlformats.org/officeDocument/2006/relationships/hyperlink" Target="http://www.gvm.sai.jrc.it/fire/gba2000_website/index.htm)" TargetMode="External"/><Relationship Id="rId455" Type="http://schemas.openxmlformats.org/officeDocument/2006/relationships/header" Target="header112.xml"/><Relationship Id="rId456" Type="http://schemas.openxmlformats.org/officeDocument/2006/relationships/footer" Target="footer148.xml"/><Relationship Id="rId457" Type="http://schemas.openxmlformats.org/officeDocument/2006/relationships/header" Target="header113.xml"/><Relationship Id="rId458" Type="http://schemas.openxmlformats.org/officeDocument/2006/relationships/footer" Target="footer149.xml"/><Relationship Id="rId459" Type="http://schemas.openxmlformats.org/officeDocument/2006/relationships/header" Target="header114.xml"/><Relationship Id="rId460" Type="http://schemas.openxmlformats.org/officeDocument/2006/relationships/header" Target="header115.xml"/><Relationship Id="rId461" Type="http://schemas.openxmlformats.org/officeDocument/2006/relationships/footer" Target="footer150.xml"/><Relationship Id="rId462" Type="http://schemas.openxmlformats.org/officeDocument/2006/relationships/footer" Target="footer151.xml"/><Relationship Id="rId463" Type="http://schemas.openxmlformats.org/officeDocument/2006/relationships/hyperlink" Target="http://www.vertic.org/briefing/briefing.html)" TargetMode="External"/><Relationship Id="rId464" Type="http://schemas.openxmlformats.org/officeDocument/2006/relationships/header" Target="header116.xml"/><Relationship Id="rId465" Type="http://schemas.openxmlformats.org/officeDocument/2006/relationships/footer" Target="footer152.xml"/><Relationship Id="rId466" Type="http://schemas.openxmlformats.org/officeDocument/2006/relationships/footer" Target="footer153.xml"/><Relationship Id="rId467" Type="http://schemas.openxmlformats.org/officeDocument/2006/relationships/header" Target="header117.xml"/><Relationship Id="rId468" Type="http://schemas.openxmlformats.org/officeDocument/2006/relationships/header" Target="header118.xml"/><Relationship Id="rId469" Type="http://schemas.openxmlformats.org/officeDocument/2006/relationships/footer" Target="footer154.xml"/><Relationship Id="rId470" Type="http://schemas.openxmlformats.org/officeDocument/2006/relationships/footer" Target="footer155.xml"/><Relationship Id="rId471" Type="http://schemas.openxmlformats.org/officeDocument/2006/relationships/header" Target="header119.xml"/><Relationship Id="rId472" Type="http://schemas.openxmlformats.org/officeDocument/2006/relationships/header" Target="header120.xml"/><Relationship Id="rId473" Type="http://schemas.openxmlformats.org/officeDocument/2006/relationships/footer" Target="footer156.xml"/><Relationship Id="rId474" Type="http://schemas.openxmlformats.org/officeDocument/2006/relationships/footer" Target="footer157.xml"/><Relationship Id="rId475" Type="http://schemas.openxmlformats.org/officeDocument/2006/relationships/header" Target="header121.xml"/><Relationship Id="rId476" Type="http://schemas.openxmlformats.org/officeDocument/2006/relationships/header" Target="header122.xml"/><Relationship Id="rId477" Type="http://schemas.openxmlformats.org/officeDocument/2006/relationships/image" Target="media/image126.png"/><Relationship Id="rId478" Type="http://schemas.openxmlformats.org/officeDocument/2006/relationships/footer" Target="footer158.xml"/><Relationship Id="rId479" Type="http://schemas.openxmlformats.org/officeDocument/2006/relationships/footer" Target="footer159.xml"/><Relationship Id="rId480" Type="http://schemas.openxmlformats.org/officeDocument/2006/relationships/header" Target="header123.xml"/><Relationship Id="rId481" Type="http://schemas.openxmlformats.org/officeDocument/2006/relationships/footer" Target="footer160.xml"/><Relationship Id="rId482" Type="http://schemas.openxmlformats.org/officeDocument/2006/relationships/header" Target="header124.xml"/><Relationship Id="rId483" Type="http://schemas.openxmlformats.org/officeDocument/2006/relationships/header" Target="header125.xml"/><Relationship Id="rId484" Type="http://schemas.openxmlformats.org/officeDocument/2006/relationships/footer" Target="footer161.xml"/><Relationship Id="rId485" Type="http://schemas.openxmlformats.org/officeDocument/2006/relationships/footer" Target="footer162.xml"/><Relationship Id="rId48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2019-01-15T14:30:48Z</dcterms:created>
  <dcterms:modified xsi:type="dcterms:W3CDTF">2019-01-15T14:30:48Z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2009-07-02T00:00:00Z</vt:filetime>
  </property>
  <property fmtid="{D5CDD505-2E9C-101B-9397-08002B2CF9AE}" pid="3" name="LastSaved">
    <vt:filetime>2019-01-15T00:00:00Z</vt:filetime>
  </property>
</Properties>
</file>